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footer4.xml" ContentType="application/vnd.openxmlformats-officedocument.wordprocessingml.footer+xml"/>
  <Override PartName="/word/header7.xml" ContentType="application/vnd.openxmlformats-officedocument.wordprocessingml.header+xml"/>
  <Override PartName="/word/footer5.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footer6.xml" ContentType="application/vnd.openxmlformats-officedocument.wordprocessingml.footer+xml"/>
  <Override PartName="/word/header11.xml" ContentType="application/vnd.openxmlformats-officedocument.wordprocessingml.header+xml"/>
  <Override PartName="/word/footer7.xml" ContentType="application/vnd.openxmlformats-officedocument.wordprocessingml.footer+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header12.xml" ContentType="application/vnd.openxmlformats-officedocument.wordprocessingml.header+xml"/>
  <Override PartName="/word/header13.xml" ContentType="application/vnd.openxmlformats-officedocument.wordprocessingml.header+xml"/>
  <Override PartName="/word/footer8.xml" ContentType="application/vnd.openxmlformats-officedocument.wordprocessingml.footer+xml"/>
  <Override PartName="/word/header1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D0AEA91" w14:textId="3E1D56DB" w:rsidR="001D1059" w:rsidRPr="00394D50" w:rsidRDefault="001D1059" w:rsidP="00E643E2">
      <w:pPr>
        <w:ind w:left="709" w:hanging="709"/>
        <w:jc w:val="center"/>
        <w:rPr>
          <w:rFonts w:cs="Arial"/>
          <w:b/>
          <w:spacing w:val="-3"/>
        </w:rPr>
      </w:pPr>
    </w:p>
    <w:p w14:paraId="06D5B264" w14:textId="77777777" w:rsidR="001D1059" w:rsidRPr="00394D50" w:rsidRDefault="001D1059" w:rsidP="001D1059">
      <w:pPr>
        <w:jc w:val="center"/>
        <w:rPr>
          <w:rFonts w:cs="Arial"/>
          <w:b/>
          <w:spacing w:val="-3"/>
        </w:rPr>
      </w:pPr>
    </w:p>
    <w:p w14:paraId="4F296784" w14:textId="77777777" w:rsidR="001D1059" w:rsidRPr="00394D50" w:rsidRDefault="001D1059" w:rsidP="001D1059">
      <w:pPr>
        <w:jc w:val="center"/>
        <w:rPr>
          <w:rFonts w:cs="Arial"/>
          <w:b/>
          <w:spacing w:val="-3"/>
        </w:rPr>
      </w:pPr>
    </w:p>
    <w:p w14:paraId="02750DD8" w14:textId="77777777" w:rsidR="001D1059" w:rsidRPr="00394D50" w:rsidRDefault="001D1059" w:rsidP="001D1059">
      <w:pPr>
        <w:jc w:val="center"/>
        <w:rPr>
          <w:rFonts w:cs="Arial"/>
          <w:b/>
          <w:spacing w:val="-3"/>
        </w:rPr>
      </w:pPr>
    </w:p>
    <w:p w14:paraId="5FA0D79B" w14:textId="77777777" w:rsidR="001D1059" w:rsidRPr="00394D50" w:rsidRDefault="001D1059" w:rsidP="001D1059">
      <w:pPr>
        <w:jc w:val="center"/>
        <w:rPr>
          <w:rFonts w:cs="Arial"/>
          <w:b/>
          <w:spacing w:val="-3"/>
        </w:rPr>
      </w:pPr>
    </w:p>
    <w:p w14:paraId="387C41BC" w14:textId="77777777" w:rsidR="001D1059" w:rsidRPr="00394D50" w:rsidRDefault="001D1059" w:rsidP="001D1059">
      <w:pPr>
        <w:jc w:val="center"/>
        <w:rPr>
          <w:rFonts w:cs="Arial"/>
          <w:b/>
          <w:spacing w:val="-3"/>
        </w:rPr>
      </w:pPr>
    </w:p>
    <w:p w14:paraId="11F28D69" w14:textId="77777777" w:rsidR="001D1059" w:rsidRPr="00BD1319" w:rsidRDefault="001D1059" w:rsidP="001D1059">
      <w:pPr>
        <w:jc w:val="center"/>
        <w:rPr>
          <w:rFonts w:cs="Arial"/>
          <w:b/>
          <w:spacing w:val="-3"/>
        </w:rPr>
      </w:pPr>
      <w:r w:rsidRPr="00BD1319">
        <w:rPr>
          <w:rFonts w:cs="Arial"/>
          <w:b/>
          <w:spacing w:val="-3"/>
        </w:rPr>
        <w:t>MINISTERIO DE AMBIENTE Y DESARROLLO SOSTENIBLE</w:t>
      </w:r>
    </w:p>
    <w:p w14:paraId="2127ACE5" w14:textId="77777777" w:rsidR="001D1059" w:rsidRPr="00BD1319" w:rsidRDefault="001D1059" w:rsidP="001D1059">
      <w:pPr>
        <w:jc w:val="center"/>
        <w:rPr>
          <w:rFonts w:cs="Arial"/>
          <w:b/>
          <w:spacing w:val="-3"/>
        </w:rPr>
      </w:pPr>
    </w:p>
    <w:p w14:paraId="0A208611" w14:textId="77777777" w:rsidR="001D1059" w:rsidRPr="00BD1319" w:rsidRDefault="001D1059" w:rsidP="001D1059">
      <w:pPr>
        <w:jc w:val="center"/>
        <w:rPr>
          <w:rFonts w:cs="Arial"/>
          <w:b/>
          <w:spacing w:val="-3"/>
        </w:rPr>
      </w:pPr>
      <w:r w:rsidRPr="00BD1319">
        <w:rPr>
          <w:rFonts w:cs="Arial"/>
          <w:b/>
          <w:spacing w:val="-3"/>
        </w:rPr>
        <w:t>AUTORIDAD NACIONAL DE LICENCIAS AMBIENTALES</w:t>
      </w:r>
    </w:p>
    <w:p w14:paraId="1CC3E87C" w14:textId="77777777" w:rsidR="001D1059" w:rsidRPr="00BD1319" w:rsidRDefault="001D1059" w:rsidP="001D1059">
      <w:pPr>
        <w:jc w:val="center"/>
        <w:rPr>
          <w:rFonts w:cs="Arial"/>
          <w:b/>
          <w:spacing w:val="-3"/>
        </w:rPr>
      </w:pPr>
    </w:p>
    <w:p w14:paraId="22BA9A44" w14:textId="77777777" w:rsidR="001D1059" w:rsidRPr="00BD1319" w:rsidRDefault="001D1059" w:rsidP="001D1059">
      <w:pPr>
        <w:jc w:val="center"/>
        <w:rPr>
          <w:rFonts w:cs="Arial"/>
          <w:b/>
          <w:spacing w:val="-3"/>
        </w:rPr>
      </w:pPr>
    </w:p>
    <w:p w14:paraId="6BBCE589" w14:textId="77777777" w:rsidR="001D1059" w:rsidRPr="00BD1319" w:rsidRDefault="001D1059" w:rsidP="001D1059">
      <w:pPr>
        <w:jc w:val="center"/>
        <w:rPr>
          <w:rFonts w:cs="Arial"/>
          <w:b/>
          <w:spacing w:val="-3"/>
        </w:rPr>
      </w:pPr>
    </w:p>
    <w:p w14:paraId="48BEB9DF" w14:textId="77777777" w:rsidR="001D1059" w:rsidRPr="00BD1319" w:rsidRDefault="001D1059" w:rsidP="001D1059">
      <w:pPr>
        <w:jc w:val="center"/>
        <w:rPr>
          <w:rFonts w:cs="Arial"/>
          <w:b/>
          <w:spacing w:val="-3"/>
        </w:rPr>
      </w:pPr>
    </w:p>
    <w:p w14:paraId="57ED78A7" w14:textId="77777777" w:rsidR="001D1059" w:rsidRPr="00BD1319" w:rsidRDefault="001D1059" w:rsidP="001D1059">
      <w:pPr>
        <w:jc w:val="center"/>
        <w:rPr>
          <w:rFonts w:cs="Arial"/>
          <w:b/>
          <w:spacing w:val="-3"/>
        </w:rPr>
      </w:pPr>
    </w:p>
    <w:p w14:paraId="4C3A73F0" w14:textId="77777777" w:rsidR="001D1059" w:rsidRPr="00BD1319" w:rsidRDefault="001D1059" w:rsidP="001D1059">
      <w:pPr>
        <w:jc w:val="center"/>
        <w:rPr>
          <w:rFonts w:cs="Arial"/>
          <w:b/>
          <w:spacing w:val="-3"/>
        </w:rPr>
      </w:pPr>
    </w:p>
    <w:p w14:paraId="797E8CC9" w14:textId="77777777" w:rsidR="001D1059" w:rsidRPr="00BD1319" w:rsidRDefault="001D1059" w:rsidP="001D1059">
      <w:pPr>
        <w:jc w:val="center"/>
        <w:rPr>
          <w:rFonts w:cs="Arial"/>
          <w:b/>
          <w:spacing w:val="-3"/>
        </w:rPr>
      </w:pPr>
    </w:p>
    <w:p w14:paraId="06EBE99E" w14:textId="77777777" w:rsidR="001D1059" w:rsidRPr="00BD1319" w:rsidRDefault="001D1059" w:rsidP="001D1059">
      <w:pPr>
        <w:jc w:val="center"/>
        <w:rPr>
          <w:rFonts w:cs="Arial"/>
          <w:b/>
          <w:spacing w:val="-3"/>
        </w:rPr>
      </w:pPr>
    </w:p>
    <w:p w14:paraId="236E09C6" w14:textId="77777777" w:rsidR="001D1059" w:rsidRPr="00BD1319" w:rsidRDefault="001D1059" w:rsidP="001D1059">
      <w:pPr>
        <w:jc w:val="center"/>
        <w:rPr>
          <w:rFonts w:cs="Arial"/>
          <w:b/>
          <w:spacing w:val="-3"/>
        </w:rPr>
      </w:pPr>
    </w:p>
    <w:p w14:paraId="4F79AD52" w14:textId="77777777" w:rsidR="001D1059" w:rsidRPr="00BD1319" w:rsidRDefault="001D1059" w:rsidP="001D1059">
      <w:pPr>
        <w:jc w:val="center"/>
        <w:rPr>
          <w:rFonts w:cs="Arial"/>
          <w:b/>
          <w:spacing w:val="-3"/>
        </w:rPr>
      </w:pPr>
    </w:p>
    <w:p w14:paraId="09FB0C11" w14:textId="77777777" w:rsidR="001D1059" w:rsidRPr="00BD1319" w:rsidRDefault="001D1059" w:rsidP="001D1059">
      <w:pPr>
        <w:jc w:val="center"/>
        <w:rPr>
          <w:rFonts w:cs="Arial"/>
          <w:b/>
          <w:spacing w:val="-3"/>
        </w:rPr>
      </w:pPr>
    </w:p>
    <w:p w14:paraId="7F0AA384" w14:textId="77777777" w:rsidR="001D1059" w:rsidRPr="00BD1319" w:rsidRDefault="001D1059" w:rsidP="001D1059">
      <w:pPr>
        <w:jc w:val="center"/>
        <w:rPr>
          <w:rFonts w:cs="Arial"/>
          <w:b/>
          <w:spacing w:val="-3"/>
        </w:rPr>
      </w:pPr>
    </w:p>
    <w:p w14:paraId="562FF9C2" w14:textId="77777777" w:rsidR="001D1059" w:rsidRPr="00BD1319" w:rsidRDefault="001D1059" w:rsidP="001D1059">
      <w:pPr>
        <w:jc w:val="center"/>
        <w:rPr>
          <w:rFonts w:cs="Arial"/>
          <w:b/>
          <w:spacing w:val="-3"/>
        </w:rPr>
      </w:pPr>
    </w:p>
    <w:p w14:paraId="098D7C98" w14:textId="77777777" w:rsidR="001D1059" w:rsidRPr="00BD1319" w:rsidRDefault="001D1059" w:rsidP="001D1059">
      <w:pPr>
        <w:jc w:val="center"/>
        <w:rPr>
          <w:rFonts w:cs="Arial"/>
          <w:b/>
          <w:spacing w:val="-3"/>
        </w:rPr>
      </w:pPr>
      <w:r w:rsidRPr="00BD1319">
        <w:rPr>
          <w:rFonts w:cs="Arial"/>
          <w:b/>
          <w:spacing w:val="-3"/>
        </w:rPr>
        <w:t>METODOLOGÍA GENERAL PARA LA ELABORACIÓN Y PRESENTACIÓN DE ESTUDIOS AMBIENTALES</w:t>
      </w:r>
    </w:p>
    <w:p w14:paraId="13F18307" w14:textId="77777777" w:rsidR="001D1059" w:rsidRPr="00BD1319" w:rsidRDefault="001D1059" w:rsidP="001D1059">
      <w:pPr>
        <w:jc w:val="center"/>
        <w:rPr>
          <w:rFonts w:cs="Arial"/>
          <w:b/>
          <w:spacing w:val="-3"/>
        </w:rPr>
      </w:pPr>
    </w:p>
    <w:p w14:paraId="333C52AD" w14:textId="77777777" w:rsidR="001D1059" w:rsidRPr="00BD1319" w:rsidRDefault="001D1059" w:rsidP="001D1059">
      <w:pPr>
        <w:jc w:val="center"/>
        <w:rPr>
          <w:rFonts w:cs="Arial"/>
          <w:b/>
          <w:spacing w:val="-3"/>
        </w:rPr>
      </w:pPr>
    </w:p>
    <w:p w14:paraId="2C3C73FE" w14:textId="77777777" w:rsidR="001D1059" w:rsidRPr="00BD1319" w:rsidRDefault="001D1059" w:rsidP="001D1059">
      <w:pPr>
        <w:jc w:val="center"/>
        <w:rPr>
          <w:rFonts w:cs="Arial"/>
          <w:b/>
          <w:spacing w:val="-3"/>
        </w:rPr>
      </w:pPr>
    </w:p>
    <w:p w14:paraId="263A9325" w14:textId="2BC36B19" w:rsidR="001D1059" w:rsidRPr="00BD1319" w:rsidRDefault="001D1059" w:rsidP="001D1059">
      <w:pPr>
        <w:jc w:val="center"/>
        <w:rPr>
          <w:rFonts w:cs="Arial"/>
          <w:b/>
          <w:spacing w:val="-3"/>
        </w:rPr>
      </w:pPr>
    </w:p>
    <w:p w14:paraId="302BAAF0" w14:textId="77777777" w:rsidR="001D1059" w:rsidRPr="00BD1319" w:rsidRDefault="001D1059" w:rsidP="001D1059">
      <w:pPr>
        <w:jc w:val="center"/>
        <w:rPr>
          <w:rFonts w:cs="Arial"/>
          <w:b/>
          <w:spacing w:val="-3"/>
        </w:rPr>
      </w:pPr>
    </w:p>
    <w:p w14:paraId="16499162" w14:textId="77777777" w:rsidR="001D1059" w:rsidRPr="00BD1319" w:rsidRDefault="001D1059" w:rsidP="001D1059">
      <w:pPr>
        <w:jc w:val="center"/>
        <w:rPr>
          <w:rFonts w:cs="Arial"/>
          <w:b/>
          <w:spacing w:val="-3"/>
        </w:rPr>
      </w:pPr>
    </w:p>
    <w:p w14:paraId="1F5B0810" w14:textId="77777777" w:rsidR="001D1059" w:rsidRPr="00BD1319" w:rsidRDefault="001D1059" w:rsidP="001D1059">
      <w:pPr>
        <w:jc w:val="center"/>
        <w:rPr>
          <w:rFonts w:cs="Arial"/>
          <w:b/>
          <w:spacing w:val="-3"/>
        </w:rPr>
      </w:pPr>
    </w:p>
    <w:p w14:paraId="02510EC8" w14:textId="77777777" w:rsidR="001D1059" w:rsidRPr="00BD1319" w:rsidRDefault="001D1059" w:rsidP="001D1059">
      <w:pPr>
        <w:jc w:val="center"/>
        <w:rPr>
          <w:rFonts w:cs="Arial"/>
          <w:b/>
          <w:spacing w:val="-3"/>
        </w:rPr>
      </w:pPr>
    </w:p>
    <w:p w14:paraId="7AB0AE46" w14:textId="77777777" w:rsidR="001D1059" w:rsidRPr="00BD1319" w:rsidRDefault="001D1059" w:rsidP="001D1059">
      <w:pPr>
        <w:jc w:val="center"/>
        <w:rPr>
          <w:rFonts w:cs="Arial"/>
          <w:b/>
          <w:spacing w:val="-3"/>
        </w:rPr>
      </w:pPr>
    </w:p>
    <w:p w14:paraId="671AA64C" w14:textId="77777777" w:rsidR="001D1059" w:rsidRPr="00BD1319" w:rsidRDefault="001D1059" w:rsidP="001D1059">
      <w:pPr>
        <w:jc w:val="center"/>
        <w:rPr>
          <w:rFonts w:cs="Arial"/>
          <w:b/>
          <w:spacing w:val="-3"/>
        </w:rPr>
      </w:pPr>
    </w:p>
    <w:p w14:paraId="046A8D8D" w14:textId="6970AC48" w:rsidR="001D1059" w:rsidRPr="00BD1319" w:rsidRDefault="001D1059" w:rsidP="001D1059">
      <w:pPr>
        <w:jc w:val="center"/>
        <w:rPr>
          <w:rFonts w:cs="Arial"/>
          <w:b/>
          <w:spacing w:val="-3"/>
        </w:rPr>
      </w:pPr>
      <w:r w:rsidRPr="00BD1319">
        <w:rPr>
          <w:rFonts w:cs="Arial"/>
          <w:b/>
          <w:spacing w:val="-3"/>
        </w:rPr>
        <w:t>BOGOTÁ D.</w:t>
      </w:r>
      <w:r w:rsidR="004D56CE" w:rsidRPr="00BD1319">
        <w:rPr>
          <w:rFonts w:cs="Arial"/>
          <w:b/>
          <w:spacing w:val="-3"/>
        </w:rPr>
        <w:t xml:space="preserve"> </w:t>
      </w:r>
      <w:r w:rsidRPr="00BD1319">
        <w:rPr>
          <w:rFonts w:cs="Arial"/>
          <w:b/>
          <w:spacing w:val="-3"/>
        </w:rPr>
        <w:t>C.</w:t>
      </w:r>
    </w:p>
    <w:p w14:paraId="06C508D5" w14:textId="5CA366E2" w:rsidR="001D1059" w:rsidRPr="00BD1319" w:rsidRDefault="001D1059" w:rsidP="001D1059">
      <w:pPr>
        <w:jc w:val="center"/>
        <w:rPr>
          <w:rFonts w:cs="Arial"/>
          <w:b/>
          <w:spacing w:val="-3"/>
        </w:rPr>
      </w:pPr>
      <w:r w:rsidRPr="00BD1319">
        <w:rPr>
          <w:rFonts w:cs="Arial"/>
          <w:b/>
          <w:spacing w:val="-3"/>
        </w:rPr>
        <w:t>202</w:t>
      </w:r>
      <w:r w:rsidR="007E530F" w:rsidRPr="00BD1319">
        <w:rPr>
          <w:rFonts w:cs="Arial"/>
          <w:b/>
          <w:spacing w:val="-3"/>
        </w:rPr>
        <w:t>4</w:t>
      </w:r>
    </w:p>
    <w:p w14:paraId="4FF0861B" w14:textId="77777777" w:rsidR="001D1059" w:rsidRPr="00BD1319" w:rsidRDefault="001D1059" w:rsidP="001D1059">
      <w:pPr>
        <w:jc w:val="center"/>
        <w:rPr>
          <w:rFonts w:cs="Arial"/>
          <w:b/>
          <w:spacing w:val="-3"/>
        </w:rPr>
      </w:pPr>
    </w:p>
    <w:p w14:paraId="59559286" w14:textId="77777777" w:rsidR="001D1059" w:rsidRPr="00BD1319" w:rsidRDefault="001D1059" w:rsidP="001D1059">
      <w:pPr>
        <w:jc w:val="center"/>
        <w:rPr>
          <w:rFonts w:cs="Arial"/>
          <w:b/>
          <w:spacing w:val="-3"/>
        </w:rPr>
      </w:pPr>
    </w:p>
    <w:p w14:paraId="42E2FAEB" w14:textId="77777777" w:rsidR="001D1059" w:rsidRPr="00BD1319" w:rsidRDefault="001D1059" w:rsidP="001D1059">
      <w:pPr>
        <w:jc w:val="center"/>
        <w:rPr>
          <w:rFonts w:cs="Arial"/>
          <w:b/>
          <w:spacing w:val="-3"/>
        </w:rPr>
      </w:pPr>
    </w:p>
    <w:p w14:paraId="18C0D3DA" w14:textId="77777777" w:rsidR="001D1059" w:rsidRPr="00BD1319" w:rsidRDefault="001D1059" w:rsidP="001D1059">
      <w:pPr>
        <w:jc w:val="center"/>
        <w:rPr>
          <w:rFonts w:cs="Arial"/>
          <w:b/>
          <w:spacing w:val="-3"/>
        </w:rPr>
      </w:pPr>
    </w:p>
    <w:p w14:paraId="388C1ACD" w14:textId="77777777" w:rsidR="001D1059" w:rsidRPr="00BD1319" w:rsidRDefault="001D1059" w:rsidP="001D1059">
      <w:pPr>
        <w:jc w:val="center"/>
        <w:rPr>
          <w:rFonts w:cs="Arial"/>
          <w:b/>
          <w:spacing w:val="-3"/>
        </w:rPr>
      </w:pPr>
    </w:p>
    <w:p w14:paraId="71ED04AF" w14:textId="77777777" w:rsidR="001D1059" w:rsidRPr="00BD1319" w:rsidRDefault="001D1059" w:rsidP="001D1059">
      <w:pPr>
        <w:jc w:val="center"/>
        <w:rPr>
          <w:rFonts w:cs="Arial"/>
          <w:b/>
          <w:spacing w:val="-3"/>
        </w:rPr>
      </w:pPr>
    </w:p>
    <w:p w14:paraId="2CD9A217" w14:textId="77777777" w:rsidR="001D1059" w:rsidRPr="00BD1319" w:rsidRDefault="001D1059" w:rsidP="001D1059">
      <w:pPr>
        <w:jc w:val="center"/>
        <w:rPr>
          <w:rFonts w:cs="Arial"/>
          <w:b/>
          <w:spacing w:val="-3"/>
        </w:rPr>
      </w:pPr>
    </w:p>
    <w:p w14:paraId="342C1137" w14:textId="77777777" w:rsidR="001D1059" w:rsidRPr="00BD1319" w:rsidRDefault="001D1059" w:rsidP="001D1059">
      <w:pPr>
        <w:jc w:val="center"/>
        <w:rPr>
          <w:rFonts w:cs="Arial"/>
          <w:b/>
          <w:spacing w:val="-3"/>
        </w:rPr>
        <w:sectPr w:rsidR="001D1059" w:rsidRPr="00BD1319" w:rsidSect="00544833">
          <w:headerReference w:type="even" r:id="rId11"/>
          <w:headerReference w:type="default" r:id="rId12"/>
          <w:footerReference w:type="even" r:id="rId13"/>
          <w:footerReference w:type="default" r:id="rId14"/>
          <w:headerReference w:type="first" r:id="rId15"/>
          <w:endnotePr>
            <w:numFmt w:val="decimal"/>
          </w:endnotePr>
          <w:type w:val="continuous"/>
          <w:pgSz w:w="12242" w:h="15842" w:code="1"/>
          <w:pgMar w:top="2268" w:right="1701" w:bottom="1701" w:left="1701" w:header="1134" w:footer="851" w:gutter="0"/>
          <w:pgNumType w:start="1"/>
          <w:cols w:space="720"/>
          <w:titlePg/>
        </w:sectPr>
      </w:pPr>
    </w:p>
    <w:p w14:paraId="09E24E4D" w14:textId="76E959E4" w:rsidR="008035F2" w:rsidRPr="00BD1319" w:rsidRDefault="008035F2" w:rsidP="008035F2">
      <w:pPr>
        <w:jc w:val="center"/>
        <w:rPr>
          <w:b/>
          <w:spacing w:val="-3"/>
        </w:rPr>
      </w:pPr>
      <w:bookmarkStart w:id="0" w:name="_Toc391040015"/>
      <w:r w:rsidRPr="00BD1319">
        <w:rPr>
          <w:b/>
          <w:spacing w:val="-3"/>
        </w:rPr>
        <w:lastRenderedPageBreak/>
        <w:t>TABLA DE CONTENIDO</w:t>
      </w:r>
      <w:bookmarkEnd w:id="0"/>
    </w:p>
    <w:sdt>
      <w:sdtPr>
        <w:rPr>
          <w:rFonts w:cs="Arial"/>
        </w:rPr>
        <w:id w:val="-1039282596"/>
        <w:docPartObj>
          <w:docPartGallery w:val="Table of Contents"/>
          <w:docPartUnique/>
        </w:docPartObj>
      </w:sdtPr>
      <w:sdtEndPr>
        <w:rPr>
          <w:b/>
          <w:bCs/>
        </w:rPr>
      </w:sdtEndPr>
      <w:sdtContent>
        <w:p w14:paraId="1242AB58" w14:textId="77777777" w:rsidR="008035F2" w:rsidRPr="00BD1319" w:rsidRDefault="008035F2" w:rsidP="008035F2">
          <w:pPr>
            <w:jc w:val="center"/>
            <w:rPr>
              <w:rFonts w:cs="Arial"/>
              <w:spacing w:val="-3"/>
            </w:rPr>
          </w:pPr>
        </w:p>
        <w:p w14:paraId="764B5902" w14:textId="7EEEF816" w:rsidR="00296654" w:rsidRPr="00BD1319" w:rsidRDefault="0068720A">
          <w:pPr>
            <w:pStyle w:val="TDC1"/>
            <w:rPr>
              <w:rFonts w:asciiTheme="minorHAnsi" w:eastAsiaTheme="minorEastAsia" w:hAnsiTheme="minorHAnsi" w:cstheme="minorBidi"/>
              <w:b w:val="0"/>
              <w:bCs w:val="0"/>
              <w:caps w:val="0"/>
              <w:kern w:val="2"/>
              <w:lang w:eastAsia="es-CO"/>
              <w14:ligatures w14:val="standardContextual"/>
            </w:rPr>
          </w:pPr>
          <w:r w:rsidRPr="00BD1319">
            <w:rPr>
              <w:noProof w:val="0"/>
            </w:rPr>
            <w:fldChar w:fldCharType="begin"/>
          </w:r>
          <w:r w:rsidRPr="00BD1319">
            <w:rPr>
              <w:noProof w:val="0"/>
            </w:rPr>
            <w:instrText xml:space="preserve"> TOC \o "1-3" \h \z \u </w:instrText>
          </w:r>
          <w:r w:rsidRPr="00BD1319">
            <w:rPr>
              <w:noProof w:val="0"/>
            </w:rPr>
            <w:fldChar w:fldCharType="separate"/>
          </w:r>
          <w:hyperlink w:anchor="_Toc175326661" w:history="1">
            <w:r w:rsidR="00296654" w:rsidRPr="00BD1319">
              <w:rPr>
                <w:rStyle w:val="Hipervnculo"/>
              </w:rPr>
              <w:t>INTRODUCCIÓN</w:t>
            </w:r>
            <w:r w:rsidR="00296654" w:rsidRPr="00BD1319">
              <w:rPr>
                <w:webHidden/>
              </w:rPr>
              <w:tab/>
            </w:r>
            <w:r w:rsidR="00296654" w:rsidRPr="00BD1319">
              <w:rPr>
                <w:webHidden/>
              </w:rPr>
              <w:fldChar w:fldCharType="begin"/>
            </w:r>
            <w:r w:rsidR="00296654" w:rsidRPr="00BD1319">
              <w:rPr>
                <w:webHidden/>
              </w:rPr>
              <w:instrText xml:space="preserve"> PAGEREF _Toc175326661 \h </w:instrText>
            </w:r>
            <w:r w:rsidR="00296654" w:rsidRPr="00BD1319">
              <w:rPr>
                <w:webHidden/>
              </w:rPr>
            </w:r>
            <w:r w:rsidR="00296654" w:rsidRPr="00BD1319">
              <w:rPr>
                <w:webHidden/>
              </w:rPr>
              <w:fldChar w:fldCharType="separate"/>
            </w:r>
            <w:r w:rsidR="00296654" w:rsidRPr="00BD1319">
              <w:rPr>
                <w:webHidden/>
              </w:rPr>
              <w:t>10</w:t>
            </w:r>
            <w:r w:rsidR="00296654" w:rsidRPr="00BD1319">
              <w:rPr>
                <w:webHidden/>
              </w:rPr>
              <w:fldChar w:fldCharType="end"/>
            </w:r>
          </w:hyperlink>
        </w:p>
        <w:p w14:paraId="43A2963D" w14:textId="2580A04F" w:rsidR="00296654" w:rsidRPr="00BD1319" w:rsidRDefault="00296654">
          <w:pPr>
            <w:pStyle w:val="TDC1"/>
            <w:rPr>
              <w:rFonts w:asciiTheme="minorHAnsi" w:eastAsiaTheme="minorEastAsia" w:hAnsiTheme="minorHAnsi" w:cstheme="minorBidi"/>
              <w:b w:val="0"/>
              <w:bCs w:val="0"/>
              <w:caps w:val="0"/>
              <w:kern w:val="2"/>
              <w:lang w:eastAsia="es-CO"/>
              <w14:ligatures w14:val="standardContextual"/>
            </w:rPr>
          </w:pPr>
          <w:hyperlink w:anchor="_Toc175326662" w:history="1">
            <w:r w:rsidRPr="00BD1319">
              <w:rPr>
                <w:rStyle w:val="Hipervnculo"/>
              </w:rPr>
              <w:t>LISTA DE ACRÓNIMOS Y SIGLAS</w:t>
            </w:r>
            <w:r w:rsidRPr="00BD1319">
              <w:rPr>
                <w:webHidden/>
              </w:rPr>
              <w:tab/>
            </w:r>
            <w:r w:rsidRPr="00BD1319">
              <w:rPr>
                <w:webHidden/>
              </w:rPr>
              <w:fldChar w:fldCharType="begin"/>
            </w:r>
            <w:r w:rsidRPr="00BD1319">
              <w:rPr>
                <w:webHidden/>
              </w:rPr>
              <w:instrText xml:space="preserve"> PAGEREF _Toc175326662 \h </w:instrText>
            </w:r>
            <w:r w:rsidRPr="00BD1319">
              <w:rPr>
                <w:webHidden/>
              </w:rPr>
            </w:r>
            <w:r w:rsidRPr="00BD1319">
              <w:rPr>
                <w:webHidden/>
              </w:rPr>
              <w:fldChar w:fldCharType="separate"/>
            </w:r>
            <w:r w:rsidRPr="00BD1319">
              <w:rPr>
                <w:webHidden/>
              </w:rPr>
              <w:t>18</w:t>
            </w:r>
            <w:r w:rsidRPr="00BD1319">
              <w:rPr>
                <w:webHidden/>
              </w:rPr>
              <w:fldChar w:fldCharType="end"/>
            </w:r>
          </w:hyperlink>
        </w:p>
        <w:p w14:paraId="4F6A8D62" w14:textId="77E9C987" w:rsidR="00296654" w:rsidRPr="00BD1319" w:rsidRDefault="00296654">
          <w:pPr>
            <w:pStyle w:val="TDC1"/>
            <w:rPr>
              <w:rFonts w:asciiTheme="minorHAnsi" w:eastAsiaTheme="minorEastAsia" w:hAnsiTheme="minorHAnsi" w:cstheme="minorBidi"/>
              <w:b w:val="0"/>
              <w:bCs w:val="0"/>
              <w:caps w:val="0"/>
              <w:kern w:val="2"/>
              <w:lang w:eastAsia="es-CO"/>
              <w14:ligatures w14:val="standardContextual"/>
            </w:rPr>
          </w:pPr>
          <w:hyperlink w:anchor="_Toc175326663" w:history="1">
            <w:r w:rsidRPr="00BD1319">
              <w:rPr>
                <w:rStyle w:val="Hipervnculo"/>
              </w:rPr>
              <w:t>GLOSARIO</w:t>
            </w:r>
            <w:r w:rsidRPr="00BD1319">
              <w:rPr>
                <w:webHidden/>
              </w:rPr>
              <w:tab/>
            </w:r>
            <w:r w:rsidRPr="00BD1319">
              <w:rPr>
                <w:webHidden/>
              </w:rPr>
              <w:fldChar w:fldCharType="begin"/>
            </w:r>
            <w:r w:rsidRPr="00BD1319">
              <w:rPr>
                <w:webHidden/>
              </w:rPr>
              <w:instrText xml:space="preserve"> PAGEREF _Toc175326663 \h </w:instrText>
            </w:r>
            <w:r w:rsidRPr="00BD1319">
              <w:rPr>
                <w:webHidden/>
              </w:rPr>
            </w:r>
            <w:r w:rsidRPr="00BD1319">
              <w:rPr>
                <w:webHidden/>
              </w:rPr>
              <w:fldChar w:fldCharType="separate"/>
            </w:r>
            <w:r w:rsidRPr="00BD1319">
              <w:rPr>
                <w:webHidden/>
              </w:rPr>
              <w:t>23</w:t>
            </w:r>
            <w:r w:rsidRPr="00BD1319">
              <w:rPr>
                <w:webHidden/>
              </w:rPr>
              <w:fldChar w:fldCharType="end"/>
            </w:r>
          </w:hyperlink>
        </w:p>
        <w:p w14:paraId="45BEBFAB" w14:textId="36BB0BD9" w:rsidR="00296654" w:rsidRPr="00BD1319" w:rsidRDefault="00296654">
          <w:pPr>
            <w:pStyle w:val="TDC1"/>
            <w:rPr>
              <w:rFonts w:asciiTheme="minorHAnsi" w:eastAsiaTheme="minorEastAsia" w:hAnsiTheme="minorHAnsi" w:cstheme="minorBidi"/>
              <w:b w:val="0"/>
              <w:bCs w:val="0"/>
              <w:caps w:val="0"/>
              <w:kern w:val="2"/>
              <w:lang w:eastAsia="es-CO"/>
              <w14:ligatures w14:val="standardContextual"/>
            </w:rPr>
          </w:pPr>
          <w:hyperlink w:anchor="_Toc175326664" w:history="1">
            <w:r w:rsidRPr="00BD1319">
              <w:rPr>
                <w:rStyle w:val="Hipervnculo"/>
              </w:rPr>
              <w:t>I.</w:t>
            </w:r>
            <w:r w:rsidRPr="00BD1319">
              <w:rPr>
                <w:rFonts w:asciiTheme="minorHAnsi" w:eastAsiaTheme="minorEastAsia" w:hAnsiTheme="minorHAnsi" w:cstheme="minorBidi"/>
                <w:b w:val="0"/>
                <w:bCs w:val="0"/>
                <w:caps w:val="0"/>
                <w:kern w:val="2"/>
                <w:lang w:eastAsia="es-CO"/>
                <w14:ligatures w14:val="standardContextual"/>
              </w:rPr>
              <w:tab/>
            </w:r>
            <w:r w:rsidRPr="00BD1319">
              <w:rPr>
                <w:rStyle w:val="Hipervnculo"/>
              </w:rPr>
              <w:t>CONSIDERACIONES GENERALES PARA LA ELABORACIÓN Y PRESENTACIÓN DE LOS ESTUDIOS AMBIENTALES</w:t>
            </w:r>
            <w:r w:rsidRPr="00BD1319">
              <w:rPr>
                <w:webHidden/>
              </w:rPr>
              <w:tab/>
            </w:r>
            <w:r w:rsidRPr="00BD1319">
              <w:rPr>
                <w:webHidden/>
              </w:rPr>
              <w:fldChar w:fldCharType="begin"/>
            </w:r>
            <w:r w:rsidRPr="00BD1319">
              <w:rPr>
                <w:webHidden/>
              </w:rPr>
              <w:instrText xml:space="preserve"> PAGEREF _Toc175326664 \h </w:instrText>
            </w:r>
            <w:r w:rsidRPr="00BD1319">
              <w:rPr>
                <w:webHidden/>
              </w:rPr>
            </w:r>
            <w:r w:rsidRPr="00BD1319">
              <w:rPr>
                <w:webHidden/>
              </w:rPr>
              <w:fldChar w:fldCharType="separate"/>
            </w:r>
            <w:r w:rsidRPr="00BD1319">
              <w:rPr>
                <w:webHidden/>
              </w:rPr>
              <w:t>43</w:t>
            </w:r>
            <w:r w:rsidRPr="00BD1319">
              <w:rPr>
                <w:webHidden/>
              </w:rPr>
              <w:fldChar w:fldCharType="end"/>
            </w:r>
          </w:hyperlink>
        </w:p>
        <w:p w14:paraId="41CBDF82" w14:textId="08473C76" w:rsidR="00296654" w:rsidRPr="00BD1319" w:rsidRDefault="00296654">
          <w:pPr>
            <w:pStyle w:val="TDC1"/>
            <w:rPr>
              <w:rFonts w:asciiTheme="minorHAnsi" w:eastAsiaTheme="minorEastAsia" w:hAnsiTheme="minorHAnsi" w:cstheme="minorBidi"/>
              <w:b w:val="0"/>
              <w:bCs w:val="0"/>
              <w:caps w:val="0"/>
              <w:kern w:val="2"/>
              <w:lang w:eastAsia="es-CO"/>
              <w14:ligatures w14:val="standardContextual"/>
            </w:rPr>
          </w:pPr>
          <w:hyperlink w:anchor="_Toc175326665" w:history="1">
            <w:r w:rsidRPr="00BD1319">
              <w:rPr>
                <w:rStyle w:val="Hipervnculo"/>
              </w:rPr>
              <w:t>1.</w:t>
            </w:r>
            <w:r w:rsidRPr="00BD1319">
              <w:rPr>
                <w:rFonts w:asciiTheme="minorHAnsi" w:eastAsiaTheme="minorEastAsia" w:hAnsiTheme="minorHAnsi" w:cstheme="minorBidi"/>
                <w:b w:val="0"/>
                <w:bCs w:val="0"/>
                <w:caps w:val="0"/>
                <w:kern w:val="2"/>
                <w:lang w:eastAsia="es-CO"/>
                <w14:ligatures w14:val="standardContextual"/>
              </w:rPr>
              <w:tab/>
            </w:r>
            <w:r w:rsidRPr="00BD1319">
              <w:rPr>
                <w:rStyle w:val="Hipervnculo"/>
              </w:rPr>
              <w:t>LINEAMIENTOS PARA LA ELABORACIÓN DE LOS ESTUDIOS AMBIENTALES</w:t>
            </w:r>
            <w:r w:rsidRPr="00BD1319">
              <w:rPr>
                <w:webHidden/>
              </w:rPr>
              <w:tab/>
            </w:r>
            <w:r w:rsidRPr="00BD1319">
              <w:rPr>
                <w:webHidden/>
              </w:rPr>
              <w:fldChar w:fldCharType="begin"/>
            </w:r>
            <w:r w:rsidRPr="00BD1319">
              <w:rPr>
                <w:webHidden/>
              </w:rPr>
              <w:instrText xml:space="preserve"> PAGEREF _Toc175326665 \h </w:instrText>
            </w:r>
            <w:r w:rsidRPr="00BD1319">
              <w:rPr>
                <w:webHidden/>
              </w:rPr>
            </w:r>
            <w:r w:rsidRPr="00BD1319">
              <w:rPr>
                <w:webHidden/>
              </w:rPr>
              <w:fldChar w:fldCharType="separate"/>
            </w:r>
            <w:r w:rsidRPr="00BD1319">
              <w:rPr>
                <w:webHidden/>
              </w:rPr>
              <w:t>43</w:t>
            </w:r>
            <w:r w:rsidRPr="00BD1319">
              <w:rPr>
                <w:webHidden/>
              </w:rPr>
              <w:fldChar w:fldCharType="end"/>
            </w:r>
          </w:hyperlink>
        </w:p>
        <w:p w14:paraId="454A56A4" w14:textId="10CF3278" w:rsidR="00296654" w:rsidRPr="00BD1319" w:rsidRDefault="00296654">
          <w:pPr>
            <w:pStyle w:val="TDC1"/>
            <w:rPr>
              <w:rFonts w:asciiTheme="minorHAnsi" w:eastAsiaTheme="minorEastAsia" w:hAnsiTheme="minorHAnsi" w:cstheme="minorBidi"/>
              <w:b w:val="0"/>
              <w:bCs w:val="0"/>
              <w:caps w:val="0"/>
              <w:kern w:val="2"/>
              <w:lang w:eastAsia="es-CO"/>
              <w14:ligatures w14:val="standardContextual"/>
            </w:rPr>
          </w:pPr>
          <w:hyperlink w:anchor="_Toc175326666" w:history="1">
            <w:r w:rsidRPr="00BD1319">
              <w:rPr>
                <w:rStyle w:val="Hipervnculo"/>
              </w:rPr>
              <w:t>2.</w:t>
            </w:r>
            <w:r w:rsidRPr="00BD1319">
              <w:rPr>
                <w:rFonts w:asciiTheme="minorHAnsi" w:eastAsiaTheme="minorEastAsia" w:hAnsiTheme="minorHAnsi" w:cstheme="minorBidi"/>
                <w:b w:val="0"/>
                <w:bCs w:val="0"/>
                <w:caps w:val="0"/>
                <w:kern w:val="2"/>
                <w:lang w:eastAsia="es-CO"/>
                <w14:ligatures w14:val="standardContextual"/>
              </w:rPr>
              <w:tab/>
            </w:r>
            <w:r w:rsidRPr="00BD1319">
              <w:rPr>
                <w:rStyle w:val="Hipervnculo"/>
              </w:rPr>
              <w:t>FUENTES DE INFORMACIÓN</w:t>
            </w:r>
            <w:r w:rsidRPr="00BD1319">
              <w:rPr>
                <w:webHidden/>
              </w:rPr>
              <w:tab/>
            </w:r>
            <w:r w:rsidRPr="00BD1319">
              <w:rPr>
                <w:webHidden/>
              </w:rPr>
              <w:fldChar w:fldCharType="begin"/>
            </w:r>
            <w:r w:rsidRPr="00BD1319">
              <w:rPr>
                <w:webHidden/>
              </w:rPr>
              <w:instrText xml:space="preserve"> PAGEREF _Toc175326666 \h </w:instrText>
            </w:r>
            <w:r w:rsidRPr="00BD1319">
              <w:rPr>
                <w:webHidden/>
              </w:rPr>
            </w:r>
            <w:r w:rsidRPr="00BD1319">
              <w:rPr>
                <w:webHidden/>
              </w:rPr>
              <w:fldChar w:fldCharType="separate"/>
            </w:r>
            <w:r w:rsidRPr="00BD1319">
              <w:rPr>
                <w:webHidden/>
              </w:rPr>
              <w:t>54</w:t>
            </w:r>
            <w:r w:rsidRPr="00BD1319">
              <w:rPr>
                <w:webHidden/>
              </w:rPr>
              <w:fldChar w:fldCharType="end"/>
            </w:r>
          </w:hyperlink>
        </w:p>
        <w:p w14:paraId="4FEAB84E" w14:textId="2DE16588" w:rsidR="00296654" w:rsidRPr="00BD1319" w:rsidRDefault="00296654">
          <w:pPr>
            <w:pStyle w:val="TDC1"/>
            <w:rPr>
              <w:rFonts w:asciiTheme="minorHAnsi" w:eastAsiaTheme="minorEastAsia" w:hAnsiTheme="minorHAnsi" w:cstheme="minorBidi"/>
              <w:b w:val="0"/>
              <w:bCs w:val="0"/>
              <w:caps w:val="0"/>
              <w:kern w:val="2"/>
              <w:lang w:eastAsia="es-CO"/>
              <w14:ligatures w14:val="standardContextual"/>
            </w:rPr>
          </w:pPr>
          <w:hyperlink w:anchor="_Toc175326667" w:history="1">
            <w:r w:rsidRPr="00BD1319">
              <w:rPr>
                <w:rStyle w:val="Hipervnculo"/>
              </w:rPr>
              <w:t>3.</w:t>
            </w:r>
            <w:r w:rsidRPr="00BD1319">
              <w:rPr>
                <w:rFonts w:asciiTheme="minorHAnsi" w:eastAsiaTheme="minorEastAsia" w:hAnsiTheme="minorHAnsi" w:cstheme="minorBidi"/>
                <w:b w:val="0"/>
                <w:bCs w:val="0"/>
                <w:caps w:val="0"/>
                <w:kern w:val="2"/>
                <w:lang w:eastAsia="es-CO"/>
                <w14:ligatures w14:val="standardContextual"/>
              </w:rPr>
              <w:tab/>
            </w:r>
            <w:r w:rsidRPr="00BD1319">
              <w:rPr>
                <w:rStyle w:val="Hipervnculo"/>
              </w:rPr>
              <w:t>ESPECIFICACIONES DOCUMENTALES DE LOS ESTUDIOS AMBIENTALES</w:t>
            </w:r>
            <w:r w:rsidRPr="00BD1319">
              <w:rPr>
                <w:webHidden/>
              </w:rPr>
              <w:tab/>
            </w:r>
            <w:r w:rsidRPr="00BD1319">
              <w:rPr>
                <w:webHidden/>
              </w:rPr>
              <w:fldChar w:fldCharType="begin"/>
            </w:r>
            <w:r w:rsidRPr="00BD1319">
              <w:rPr>
                <w:webHidden/>
              </w:rPr>
              <w:instrText xml:space="preserve"> PAGEREF _Toc175326667 \h </w:instrText>
            </w:r>
            <w:r w:rsidRPr="00BD1319">
              <w:rPr>
                <w:webHidden/>
              </w:rPr>
            </w:r>
            <w:r w:rsidRPr="00BD1319">
              <w:rPr>
                <w:webHidden/>
              </w:rPr>
              <w:fldChar w:fldCharType="separate"/>
            </w:r>
            <w:r w:rsidRPr="00BD1319">
              <w:rPr>
                <w:webHidden/>
              </w:rPr>
              <w:t>66</w:t>
            </w:r>
            <w:r w:rsidRPr="00BD1319">
              <w:rPr>
                <w:webHidden/>
              </w:rPr>
              <w:fldChar w:fldCharType="end"/>
            </w:r>
          </w:hyperlink>
        </w:p>
        <w:p w14:paraId="7AAD634C" w14:textId="30DDB745" w:rsidR="00296654" w:rsidRPr="00BD1319" w:rsidRDefault="00296654">
          <w:pPr>
            <w:pStyle w:val="TDC2"/>
            <w:rPr>
              <w:rFonts w:asciiTheme="minorHAnsi" w:eastAsiaTheme="minorEastAsia" w:hAnsiTheme="minorHAnsi" w:cstheme="minorBidi"/>
              <w:b w:val="0"/>
              <w:caps w:val="0"/>
              <w:noProof/>
              <w:kern w:val="2"/>
              <w:szCs w:val="24"/>
              <w:lang w:eastAsia="es-CO"/>
              <w14:ligatures w14:val="standardContextual"/>
            </w:rPr>
          </w:pPr>
          <w:hyperlink w:anchor="_Toc175326668" w:history="1">
            <w:r w:rsidRPr="00BD1319">
              <w:rPr>
                <w:rStyle w:val="Hipervnculo"/>
                <w:rFonts w:cs="Arial"/>
                <w:noProof/>
              </w:rPr>
              <w:t>3.1</w:t>
            </w:r>
            <w:r w:rsidRPr="00BD1319">
              <w:rPr>
                <w:rFonts w:asciiTheme="minorHAnsi" w:eastAsiaTheme="minorEastAsia" w:hAnsiTheme="minorHAnsi" w:cstheme="minorBidi"/>
                <w:b w:val="0"/>
                <w:caps w:val="0"/>
                <w:noProof/>
                <w:kern w:val="2"/>
                <w:szCs w:val="24"/>
                <w:lang w:eastAsia="es-CO"/>
                <w14:ligatures w14:val="standardContextual"/>
              </w:rPr>
              <w:tab/>
            </w:r>
            <w:r w:rsidRPr="00BD1319">
              <w:rPr>
                <w:rStyle w:val="Hipervnculo"/>
                <w:noProof/>
              </w:rPr>
              <w:t>PRESENTACIÓN DEL DOCUMENTO</w:t>
            </w:r>
            <w:r w:rsidRPr="00BD1319">
              <w:rPr>
                <w:noProof/>
                <w:webHidden/>
              </w:rPr>
              <w:tab/>
            </w:r>
            <w:r w:rsidRPr="00BD1319">
              <w:rPr>
                <w:noProof/>
                <w:webHidden/>
              </w:rPr>
              <w:fldChar w:fldCharType="begin"/>
            </w:r>
            <w:r w:rsidRPr="00BD1319">
              <w:rPr>
                <w:noProof/>
                <w:webHidden/>
              </w:rPr>
              <w:instrText xml:space="preserve"> PAGEREF _Toc175326668 \h </w:instrText>
            </w:r>
            <w:r w:rsidRPr="00BD1319">
              <w:rPr>
                <w:noProof/>
                <w:webHidden/>
              </w:rPr>
            </w:r>
            <w:r w:rsidRPr="00BD1319">
              <w:rPr>
                <w:noProof/>
                <w:webHidden/>
              </w:rPr>
              <w:fldChar w:fldCharType="separate"/>
            </w:r>
            <w:r w:rsidRPr="00BD1319">
              <w:rPr>
                <w:noProof/>
                <w:webHidden/>
              </w:rPr>
              <w:t>66</w:t>
            </w:r>
            <w:r w:rsidRPr="00BD1319">
              <w:rPr>
                <w:noProof/>
                <w:webHidden/>
              </w:rPr>
              <w:fldChar w:fldCharType="end"/>
            </w:r>
          </w:hyperlink>
        </w:p>
        <w:p w14:paraId="68C74814" w14:textId="5B0412AC" w:rsidR="00296654" w:rsidRPr="00BD1319" w:rsidRDefault="00296654">
          <w:pPr>
            <w:pStyle w:val="TDC2"/>
            <w:rPr>
              <w:rFonts w:asciiTheme="minorHAnsi" w:eastAsiaTheme="minorEastAsia" w:hAnsiTheme="minorHAnsi" w:cstheme="minorBidi"/>
              <w:b w:val="0"/>
              <w:caps w:val="0"/>
              <w:noProof/>
              <w:kern w:val="2"/>
              <w:szCs w:val="24"/>
              <w:lang w:eastAsia="es-CO"/>
              <w14:ligatures w14:val="standardContextual"/>
            </w:rPr>
          </w:pPr>
          <w:hyperlink w:anchor="_Toc175326669" w:history="1">
            <w:r w:rsidRPr="00BD1319">
              <w:rPr>
                <w:rStyle w:val="Hipervnculo"/>
                <w:rFonts w:cs="Arial"/>
                <w:noProof/>
              </w:rPr>
              <w:t>3.2</w:t>
            </w:r>
            <w:r w:rsidRPr="00BD1319">
              <w:rPr>
                <w:rFonts w:asciiTheme="minorHAnsi" w:eastAsiaTheme="minorEastAsia" w:hAnsiTheme="minorHAnsi" w:cstheme="minorBidi"/>
                <w:b w:val="0"/>
                <w:caps w:val="0"/>
                <w:noProof/>
                <w:kern w:val="2"/>
                <w:szCs w:val="24"/>
                <w:lang w:eastAsia="es-CO"/>
                <w14:ligatures w14:val="standardContextual"/>
              </w:rPr>
              <w:tab/>
            </w:r>
            <w:r w:rsidRPr="00BD1319">
              <w:rPr>
                <w:rStyle w:val="Hipervnculo"/>
                <w:noProof/>
              </w:rPr>
              <w:t>ESPECIFICACIONES PARA LA PRESENTACIÓN DEL ESTUDIO</w:t>
            </w:r>
            <w:r w:rsidRPr="00BD1319">
              <w:rPr>
                <w:noProof/>
                <w:webHidden/>
              </w:rPr>
              <w:tab/>
            </w:r>
            <w:r w:rsidRPr="00BD1319">
              <w:rPr>
                <w:noProof/>
                <w:webHidden/>
              </w:rPr>
              <w:fldChar w:fldCharType="begin"/>
            </w:r>
            <w:r w:rsidRPr="00BD1319">
              <w:rPr>
                <w:noProof/>
                <w:webHidden/>
              </w:rPr>
              <w:instrText xml:space="preserve"> PAGEREF _Toc175326669 \h </w:instrText>
            </w:r>
            <w:r w:rsidRPr="00BD1319">
              <w:rPr>
                <w:noProof/>
                <w:webHidden/>
              </w:rPr>
            </w:r>
            <w:r w:rsidRPr="00BD1319">
              <w:rPr>
                <w:noProof/>
                <w:webHidden/>
              </w:rPr>
              <w:fldChar w:fldCharType="separate"/>
            </w:r>
            <w:r w:rsidRPr="00BD1319">
              <w:rPr>
                <w:noProof/>
                <w:webHidden/>
              </w:rPr>
              <w:t>66</w:t>
            </w:r>
            <w:r w:rsidRPr="00BD1319">
              <w:rPr>
                <w:noProof/>
                <w:webHidden/>
              </w:rPr>
              <w:fldChar w:fldCharType="end"/>
            </w:r>
          </w:hyperlink>
        </w:p>
        <w:p w14:paraId="40250FA4" w14:textId="54E51CFB" w:rsidR="00296654" w:rsidRPr="00BD1319" w:rsidRDefault="00296654">
          <w:pPr>
            <w:pStyle w:val="TDC3"/>
            <w:rPr>
              <w:rFonts w:asciiTheme="minorHAnsi" w:eastAsiaTheme="minorEastAsia" w:hAnsiTheme="minorHAnsi" w:cstheme="minorBidi"/>
              <w:iCs w:val="0"/>
              <w:caps w:val="0"/>
              <w:noProof/>
              <w:kern w:val="2"/>
              <w:szCs w:val="24"/>
              <w:lang w:eastAsia="es-CO"/>
              <w14:ligatures w14:val="standardContextual"/>
            </w:rPr>
          </w:pPr>
          <w:hyperlink w:anchor="_Toc175326670" w:history="1">
            <w:r w:rsidRPr="00BD1319">
              <w:rPr>
                <w:rStyle w:val="Hipervnculo"/>
                <w:noProof/>
              </w:rPr>
              <w:t>3.2.1</w:t>
            </w:r>
            <w:r w:rsidRPr="00BD1319">
              <w:rPr>
                <w:rFonts w:asciiTheme="minorHAnsi" w:eastAsiaTheme="minorEastAsia" w:hAnsiTheme="minorHAnsi" w:cstheme="minorBidi"/>
                <w:iCs w:val="0"/>
                <w:caps w:val="0"/>
                <w:noProof/>
                <w:kern w:val="2"/>
                <w:szCs w:val="24"/>
                <w:lang w:eastAsia="es-CO"/>
                <w14:ligatures w14:val="standardContextual"/>
              </w:rPr>
              <w:tab/>
            </w:r>
            <w:r w:rsidRPr="00BD1319">
              <w:rPr>
                <w:rStyle w:val="Hipervnculo"/>
                <w:noProof/>
              </w:rPr>
              <w:t>Formatos de archivos</w:t>
            </w:r>
            <w:r w:rsidRPr="00BD1319">
              <w:rPr>
                <w:noProof/>
                <w:webHidden/>
              </w:rPr>
              <w:tab/>
            </w:r>
            <w:r w:rsidRPr="00BD1319">
              <w:rPr>
                <w:noProof/>
                <w:webHidden/>
              </w:rPr>
              <w:fldChar w:fldCharType="begin"/>
            </w:r>
            <w:r w:rsidRPr="00BD1319">
              <w:rPr>
                <w:noProof/>
                <w:webHidden/>
              </w:rPr>
              <w:instrText xml:space="preserve"> PAGEREF _Toc175326670 \h </w:instrText>
            </w:r>
            <w:r w:rsidRPr="00BD1319">
              <w:rPr>
                <w:noProof/>
                <w:webHidden/>
              </w:rPr>
            </w:r>
            <w:r w:rsidRPr="00BD1319">
              <w:rPr>
                <w:noProof/>
                <w:webHidden/>
              </w:rPr>
              <w:fldChar w:fldCharType="separate"/>
            </w:r>
            <w:r w:rsidRPr="00BD1319">
              <w:rPr>
                <w:noProof/>
                <w:webHidden/>
              </w:rPr>
              <w:t>67</w:t>
            </w:r>
            <w:r w:rsidRPr="00BD1319">
              <w:rPr>
                <w:noProof/>
                <w:webHidden/>
              </w:rPr>
              <w:fldChar w:fldCharType="end"/>
            </w:r>
          </w:hyperlink>
        </w:p>
        <w:p w14:paraId="68D5E164" w14:textId="7A0B234F" w:rsidR="00296654" w:rsidRPr="00BD1319" w:rsidRDefault="00296654">
          <w:pPr>
            <w:pStyle w:val="TDC3"/>
            <w:rPr>
              <w:rFonts w:asciiTheme="minorHAnsi" w:eastAsiaTheme="minorEastAsia" w:hAnsiTheme="minorHAnsi" w:cstheme="minorBidi"/>
              <w:iCs w:val="0"/>
              <w:caps w:val="0"/>
              <w:noProof/>
              <w:kern w:val="2"/>
              <w:szCs w:val="24"/>
              <w:lang w:eastAsia="es-CO"/>
              <w14:ligatures w14:val="standardContextual"/>
            </w:rPr>
          </w:pPr>
          <w:hyperlink w:anchor="_Toc175326671" w:history="1">
            <w:r w:rsidRPr="00BD1319">
              <w:rPr>
                <w:rStyle w:val="Hipervnculo"/>
                <w:noProof/>
              </w:rPr>
              <w:t>3.2.2</w:t>
            </w:r>
            <w:r w:rsidRPr="00BD1319">
              <w:rPr>
                <w:rFonts w:asciiTheme="minorHAnsi" w:eastAsiaTheme="minorEastAsia" w:hAnsiTheme="minorHAnsi" w:cstheme="minorBidi"/>
                <w:iCs w:val="0"/>
                <w:caps w:val="0"/>
                <w:noProof/>
                <w:kern w:val="2"/>
                <w:szCs w:val="24"/>
                <w:lang w:eastAsia="es-CO"/>
                <w14:ligatures w14:val="standardContextual"/>
              </w:rPr>
              <w:tab/>
            </w:r>
            <w:r w:rsidRPr="00BD1319">
              <w:rPr>
                <w:rStyle w:val="Hipervnculo"/>
                <w:noProof/>
              </w:rPr>
              <w:t>Permisos y restricciones en archivos</w:t>
            </w:r>
            <w:r w:rsidRPr="00BD1319">
              <w:rPr>
                <w:noProof/>
                <w:webHidden/>
              </w:rPr>
              <w:tab/>
            </w:r>
            <w:r w:rsidRPr="00BD1319">
              <w:rPr>
                <w:noProof/>
                <w:webHidden/>
              </w:rPr>
              <w:fldChar w:fldCharType="begin"/>
            </w:r>
            <w:r w:rsidRPr="00BD1319">
              <w:rPr>
                <w:noProof/>
                <w:webHidden/>
              </w:rPr>
              <w:instrText xml:space="preserve"> PAGEREF _Toc175326671 \h </w:instrText>
            </w:r>
            <w:r w:rsidRPr="00BD1319">
              <w:rPr>
                <w:noProof/>
                <w:webHidden/>
              </w:rPr>
            </w:r>
            <w:r w:rsidRPr="00BD1319">
              <w:rPr>
                <w:noProof/>
                <w:webHidden/>
              </w:rPr>
              <w:fldChar w:fldCharType="separate"/>
            </w:r>
            <w:r w:rsidRPr="00BD1319">
              <w:rPr>
                <w:noProof/>
                <w:webHidden/>
              </w:rPr>
              <w:t>69</w:t>
            </w:r>
            <w:r w:rsidRPr="00BD1319">
              <w:rPr>
                <w:noProof/>
                <w:webHidden/>
              </w:rPr>
              <w:fldChar w:fldCharType="end"/>
            </w:r>
          </w:hyperlink>
        </w:p>
        <w:p w14:paraId="703498DC" w14:textId="48D80FF8" w:rsidR="00296654" w:rsidRPr="00BD1319" w:rsidRDefault="00296654">
          <w:pPr>
            <w:pStyle w:val="TDC3"/>
            <w:rPr>
              <w:rFonts w:asciiTheme="minorHAnsi" w:eastAsiaTheme="minorEastAsia" w:hAnsiTheme="minorHAnsi" w:cstheme="minorBidi"/>
              <w:iCs w:val="0"/>
              <w:caps w:val="0"/>
              <w:noProof/>
              <w:kern w:val="2"/>
              <w:szCs w:val="24"/>
              <w:lang w:eastAsia="es-CO"/>
              <w14:ligatures w14:val="standardContextual"/>
            </w:rPr>
          </w:pPr>
          <w:hyperlink w:anchor="_Toc175326672" w:history="1">
            <w:r w:rsidRPr="00BD1319">
              <w:rPr>
                <w:rStyle w:val="Hipervnculo"/>
                <w:noProof/>
              </w:rPr>
              <w:t>3.2.3</w:t>
            </w:r>
            <w:r w:rsidRPr="00BD1319">
              <w:rPr>
                <w:rFonts w:asciiTheme="minorHAnsi" w:eastAsiaTheme="minorEastAsia" w:hAnsiTheme="minorHAnsi" w:cstheme="minorBidi"/>
                <w:iCs w:val="0"/>
                <w:caps w:val="0"/>
                <w:noProof/>
                <w:kern w:val="2"/>
                <w:szCs w:val="24"/>
                <w:lang w:eastAsia="es-CO"/>
                <w14:ligatures w14:val="standardContextual"/>
              </w:rPr>
              <w:tab/>
            </w:r>
            <w:r w:rsidRPr="00BD1319">
              <w:rPr>
                <w:rStyle w:val="Hipervnculo"/>
                <w:noProof/>
              </w:rPr>
              <w:t>Metadatos</w:t>
            </w:r>
            <w:r w:rsidRPr="00BD1319">
              <w:rPr>
                <w:noProof/>
                <w:webHidden/>
              </w:rPr>
              <w:tab/>
            </w:r>
            <w:r w:rsidRPr="00BD1319">
              <w:rPr>
                <w:noProof/>
                <w:webHidden/>
              </w:rPr>
              <w:fldChar w:fldCharType="begin"/>
            </w:r>
            <w:r w:rsidRPr="00BD1319">
              <w:rPr>
                <w:noProof/>
                <w:webHidden/>
              </w:rPr>
              <w:instrText xml:space="preserve"> PAGEREF _Toc175326672 \h </w:instrText>
            </w:r>
            <w:r w:rsidRPr="00BD1319">
              <w:rPr>
                <w:noProof/>
                <w:webHidden/>
              </w:rPr>
            </w:r>
            <w:r w:rsidRPr="00BD1319">
              <w:rPr>
                <w:noProof/>
                <w:webHidden/>
              </w:rPr>
              <w:fldChar w:fldCharType="separate"/>
            </w:r>
            <w:r w:rsidRPr="00BD1319">
              <w:rPr>
                <w:noProof/>
                <w:webHidden/>
              </w:rPr>
              <w:t>69</w:t>
            </w:r>
            <w:r w:rsidRPr="00BD1319">
              <w:rPr>
                <w:noProof/>
                <w:webHidden/>
              </w:rPr>
              <w:fldChar w:fldCharType="end"/>
            </w:r>
          </w:hyperlink>
        </w:p>
        <w:p w14:paraId="2CD92077" w14:textId="77CD926D" w:rsidR="00296654" w:rsidRPr="00BD1319" w:rsidRDefault="00296654">
          <w:pPr>
            <w:pStyle w:val="TDC3"/>
            <w:rPr>
              <w:rFonts w:asciiTheme="minorHAnsi" w:eastAsiaTheme="minorEastAsia" w:hAnsiTheme="minorHAnsi" w:cstheme="minorBidi"/>
              <w:iCs w:val="0"/>
              <w:caps w:val="0"/>
              <w:noProof/>
              <w:kern w:val="2"/>
              <w:szCs w:val="24"/>
              <w:lang w:eastAsia="es-CO"/>
              <w14:ligatures w14:val="standardContextual"/>
            </w:rPr>
          </w:pPr>
          <w:hyperlink w:anchor="_Toc175326673" w:history="1">
            <w:r w:rsidRPr="00BD1319">
              <w:rPr>
                <w:rStyle w:val="Hipervnculo"/>
                <w:noProof/>
              </w:rPr>
              <w:t>3.2.4</w:t>
            </w:r>
            <w:r w:rsidRPr="00BD1319">
              <w:rPr>
                <w:rFonts w:asciiTheme="minorHAnsi" w:eastAsiaTheme="minorEastAsia" w:hAnsiTheme="minorHAnsi" w:cstheme="minorBidi"/>
                <w:iCs w:val="0"/>
                <w:caps w:val="0"/>
                <w:noProof/>
                <w:kern w:val="2"/>
                <w:szCs w:val="24"/>
                <w:lang w:eastAsia="es-CO"/>
                <w14:ligatures w14:val="standardContextual"/>
              </w:rPr>
              <w:tab/>
            </w:r>
            <w:r w:rsidRPr="00BD1319">
              <w:rPr>
                <w:rStyle w:val="Hipervnculo"/>
                <w:noProof/>
              </w:rPr>
              <w:t>Denominación de archivos</w:t>
            </w:r>
            <w:r w:rsidRPr="00BD1319">
              <w:rPr>
                <w:noProof/>
                <w:webHidden/>
              </w:rPr>
              <w:tab/>
            </w:r>
            <w:r w:rsidRPr="00BD1319">
              <w:rPr>
                <w:noProof/>
                <w:webHidden/>
              </w:rPr>
              <w:fldChar w:fldCharType="begin"/>
            </w:r>
            <w:r w:rsidRPr="00BD1319">
              <w:rPr>
                <w:noProof/>
                <w:webHidden/>
              </w:rPr>
              <w:instrText xml:space="preserve"> PAGEREF _Toc175326673 \h </w:instrText>
            </w:r>
            <w:r w:rsidRPr="00BD1319">
              <w:rPr>
                <w:noProof/>
                <w:webHidden/>
              </w:rPr>
            </w:r>
            <w:r w:rsidRPr="00BD1319">
              <w:rPr>
                <w:noProof/>
                <w:webHidden/>
              </w:rPr>
              <w:fldChar w:fldCharType="separate"/>
            </w:r>
            <w:r w:rsidRPr="00BD1319">
              <w:rPr>
                <w:noProof/>
                <w:webHidden/>
              </w:rPr>
              <w:t>70</w:t>
            </w:r>
            <w:r w:rsidRPr="00BD1319">
              <w:rPr>
                <w:noProof/>
                <w:webHidden/>
              </w:rPr>
              <w:fldChar w:fldCharType="end"/>
            </w:r>
          </w:hyperlink>
        </w:p>
        <w:p w14:paraId="20BF487A" w14:textId="362B7D0C" w:rsidR="00296654" w:rsidRPr="00BD1319" w:rsidRDefault="00296654">
          <w:pPr>
            <w:pStyle w:val="TDC3"/>
            <w:rPr>
              <w:rFonts w:asciiTheme="minorHAnsi" w:eastAsiaTheme="minorEastAsia" w:hAnsiTheme="minorHAnsi" w:cstheme="minorBidi"/>
              <w:iCs w:val="0"/>
              <w:caps w:val="0"/>
              <w:noProof/>
              <w:kern w:val="2"/>
              <w:szCs w:val="24"/>
              <w:lang w:eastAsia="es-CO"/>
              <w14:ligatures w14:val="standardContextual"/>
            </w:rPr>
          </w:pPr>
          <w:hyperlink w:anchor="_Toc175326674" w:history="1">
            <w:r w:rsidRPr="00BD1319">
              <w:rPr>
                <w:rStyle w:val="Hipervnculo"/>
                <w:noProof/>
              </w:rPr>
              <w:t>3.2.5</w:t>
            </w:r>
            <w:r w:rsidRPr="00BD1319">
              <w:rPr>
                <w:rFonts w:asciiTheme="minorHAnsi" w:eastAsiaTheme="minorEastAsia" w:hAnsiTheme="minorHAnsi" w:cstheme="minorBidi"/>
                <w:iCs w:val="0"/>
                <w:caps w:val="0"/>
                <w:noProof/>
                <w:kern w:val="2"/>
                <w:szCs w:val="24"/>
                <w:lang w:eastAsia="es-CO"/>
                <w14:ligatures w14:val="standardContextual"/>
              </w:rPr>
              <w:tab/>
            </w:r>
            <w:r w:rsidRPr="00BD1319">
              <w:rPr>
                <w:rStyle w:val="Hipervnculo"/>
                <w:noProof/>
              </w:rPr>
              <w:t>Clasificación o agrupación de información</w:t>
            </w:r>
            <w:r w:rsidRPr="00BD1319">
              <w:rPr>
                <w:noProof/>
                <w:webHidden/>
              </w:rPr>
              <w:tab/>
            </w:r>
            <w:r w:rsidRPr="00BD1319">
              <w:rPr>
                <w:noProof/>
                <w:webHidden/>
              </w:rPr>
              <w:fldChar w:fldCharType="begin"/>
            </w:r>
            <w:r w:rsidRPr="00BD1319">
              <w:rPr>
                <w:noProof/>
                <w:webHidden/>
              </w:rPr>
              <w:instrText xml:space="preserve"> PAGEREF _Toc175326674 \h </w:instrText>
            </w:r>
            <w:r w:rsidRPr="00BD1319">
              <w:rPr>
                <w:noProof/>
                <w:webHidden/>
              </w:rPr>
            </w:r>
            <w:r w:rsidRPr="00BD1319">
              <w:rPr>
                <w:noProof/>
                <w:webHidden/>
              </w:rPr>
              <w:fldChar w:fldCharType="separate"/>
            </w:r>
            <w:r w:rsidRPr="00BD1319">
              <w:rPr>
                <w:noProof/>
                <w:webHidden/>
              </w:rPr>
              <w:t>71</w:t>
            </w:r>
            <w:r w:rsidRPr="00BD1319">
              <w:rPr>
                <w:noProof/>
                <w:webHidden/>
              </w:rPr>
              <w:fldChar w:fldCharType="end"/>
            </w:r>
          </w:hyperlink>
        </w:p>
        <w:p w14:paraId="654C4297" w14:textId="1CBEFB54" w:rsidR="00296654" w:rsidRPr="00BD1319" w:rsidRDefault="00296654">
          <w:pPr>
            <w:pStyle w:val="TDC3"/>
            <w:rPr>
              <w:rFonts w:asciiTheme="minorHAnsi" w:eastAsiaTheme="minorEastAsia" w:hAnsiTheme="minorHAnsi" w:cstheme="minorBidi"/>
              <w:iCs w:val="0"/>
              <w:caps w:val="0"/>
              <w:noProof/>
              <w:kern w:val="2"/>
              <w:szCs w:val="24"/>
              <w:lang w:eastAsia="es-CO"/>
              <w14:ligatures w14:val="standardContextual"/>
            </w:rPr>
          </w:pPr>
          <w:hyperlink w:anchor="_Toc175326675" w:history="1">
            <w:r w:rsidRPr="00BD1319">
              <w:rPr>
                <w:rStyle w:val="Hipervnculo"/>
                <w:noProof/>
              </w:rPr>
              <w:t>3.2.6</w:t>
            </w:r>
            <w:r w:rsidRPr="00BD1319">
              <w:rPr>
                <w:rFonts w:asciiTheme="minorHAnsi" w:eastAsiaTheme="minorEastAsia" w:hAnsiTheme="minorHAnsi" w:cstheme="minorBidi"/>
                <w:iCs w:val="0"/>
                <w:caps w:val="0"/>
                <w:noProof/>
                <w:kern w:val="2"/>
                <w:szCs w:val="24"/>
                <w:lang w:eastAsia="es-CO"/>
                <w14:ligatures w14:val="standardContextual"/>
              </w:rPr>
              <w:tab/>
            </w:r>
            <w:r w:rsidRPr="00BD1319">
              <w:rPr>
                <w:rStyle w:val="Hipervnculo"/>
                <w:noProof/>
              </w:rPr>
              <w:t>Programa de compresión de archivos</w:t>
            </w:r>
            <w:r w:rsidRPr="00BD1319">
              <w:rPr>
                <w:noProof/>
                <w:webHidden/>
              </w:rPr>
              <w:tab/>
            </w:r>
            <w:r w:rsidRPr="00BD1319">
              <w:rPr>
                <w:noProof/>
                <w:webHidden/>
              </w:rPr>
              <w:fldChar w:fldCharType="begin"/>
            </w:r>
            <w:r w:rsidRPr="00BD1319">
              <w:rPr>
                <w:noProof/>
                <w:webHidden/>
              </w:rPr>
              <w:instrText xml:space="preserve"> PAGEREF _Toc175326675 \h </w:instrText>
            </w:r>
            <w:r w:rsidRPr="00BD1319">
              <w:rPr>
                <w:noProof/>
                <w:webHidden/>
              </w:rPr>
            </w:r>
            <w:r w:rsidRPr="00BD1319">
              <w:rPr>
                <w:noProof/>
                <w:webHidden/>
              </w:rPr>
              <w:fldChar w:fldCharType="separate"/>
            </w:r>
            <w:r w:rsidRPr="00BD1319">
              <w:rPr>
                <w:noProof/>
                <w:webHidden/>
              </w:rPr>
              <w:t>71</w:t>
            </w:r>
            <w:r w:rsidRPr="00BD1319">
              <w:rPr>
                <w:noProof/>
                <w:webHidden/>
              </w:rPr>
              <w:fldChar w:fldCharType="end"/>
            </w:r>
          </w:hyperlink>
        </w:p>
        <w:p w14:paraId="39A385A1" w14:textId="20CA2F4E" w:rsidR="00296654" w:rsidRPr="00BD1319" w:rsidRDefault="00296654">
          <w:pPr>
            <w:pStyle w:val="TDC3"/>
            <w:rPr>
              <w:rFonts w:asciiTheme="minorHAnsi" w:eastAsiaTheme="minorEastAsia" w:hAnsiTheme="minorHAnsi" w:cstheme="minorBidi"/>
              <w:iCs w:val="0"/>
              <w:caps w:val="0"/>
              <w:noProof/>
              <w:kern w:val="2"/>
              <w:szCs w:val="24"/>
              <w:lang w:eastAsia="es-CO"/>
              <w14:ligatures w14:val="standardContextual"/>
            </w:rPr>
          </w:pPr>
          <w:hyperlink w:anchor="_Toc175326676" w:history="1">
            <w:r w:rsidRPr="00BD1319">
              <w:rPr>
                <w:rStyle w:val="Hipervnculo"/>
                <w:noProof/>
              </w:rPr>
              <w:t>3.2.7</w:t>
            </w:r>
            <w:r w:rsidRPr="00BD1319">
              <w:rPr>
                <w:rFonts w:asciiTheme="minorHAnsi" w:eastAsiaTheme="minorEastAsia" w:hAnsiTheme="minorHAnsi" w:cstheme="minorBidi"/>
                <w:iCs w:val="0"/>
                <w:caps w:val="0"/>
                <w:noProof/>
                <w:kern w:val="2"/>
                <w:szCs w:val="24"/>
                <w:lang w:eastAsia="es-CO"/>
                <w14:ligatures w14:val="standardContextual"/>
              </w:rPr>
              <w:tab/>
            </w:r>
            <w:r w:rsidRPr="00BD1319">
              <w:rPr>
                <w:rStyle w:val="Hipervnculo"/>
                <w:noProof/>
              </w:rPr>
              <w:t>Medio de cargue de archivos y envío de solicitudes</w:t>
            </w:r>
            <w:r w:rsidRPr="00BD1319">
              <w:rPr>
                <w:noProof/>
                <w:webHidden/>
              </w:rPr>
              <w:tab/>
            </w:r>
            <w:r w:rsidRPr="00BD1319">
              <w:rPr>
                <w:noProof/>
                <w:webHidden/>
              </w:rPr>
              <w:fldChar w:fldCharType="begin"/>
            </w:r>
            <w:r w:rsidRPr="00BD1319">
              <w:rPr>
                <w:noProof/>
                <w:webHidden/>
              </w:rPr>
              <w:instrText xml:space="preserve"> PAGEREF _Toc175326676 \h </w:instrText>
            </w:r>
            <w:r w:rsidRPr="00BD1319">
              <w:rPr>
                <w:noProof/>
                <w:webHidden/>
              </w:rPr>
            </w:r>
            <w:r w:rsidRPr="00BD1319">
              <w:rPr>
                <w:noProof/>
                <w:webHidden/>
              </w:rPr>
              <w:fldChar w:fldCharType="separate"/>
            </w:r>
            <w:r w:rsidRPr="00BD1319">
              <w:rPr>
                <w:noProof/>
                <w:webHidden/>
              </w:rPr>
              <w:t>72</w:t>
            </w:r>
            <w:r w:rsidRPr="00BD1319">
              <w:rPr>
                <w:noProof/>
                <w:webHidden/>
              </w:rPr>
              <w:fldChar w:fldCharType="end"/>
            </w:r>
          </w:hyperlink>
        </w:p>
        <w:p w14:paraId="514A451C" w14:textId="3E228212" w:rsidR="00296654" w:rsidRPr="00BD1319" w:rsidRDefault="00296654">
          <w:pPr>
            <w:pStyle w:val="TDC3"/>
            <w:rPr>
              <w:rFonts w:asciiTheme="minorHAnsi" w:eastAsiaTheme="minorEastAsia" w:hAnsiTheme="minorHAnsi" w:cstheme="minorBidi"/>
              <w:iCs w:val="0"/>
              <w:caps w:val="0"/>
              <w:noProof/>
              <w:kern w:val="2"/>
              <w:szCs w:val="24"/>
              <w:lang w:eastAsia="es-CO"/>
              <w14:ligatures w14:val="standardContextual"/>
            </w:rPr>
          </w:pPr>
          <w:hyperlink w:anchor="_Toc175326677" w:history="1">
            <w:r w:rsidRPr="00BD1319">
              <w:rPr>
                <w:rStyle w:val="Hipervnculo"/>
                <w:noProof/>
              </w:rPr>
              <w:t>3.2.8</w:t>
            </w:r>
            <w:r w:rsidRPr="00BD1319">
              <w:rPr>
                <w:rFonts w:asciiTheme="minorHAnsi" w:eastAsiaTheme="minorEastAsia" w:hAnsiTheme="minorHAnsi" w:cstheme="minorBidi"/>
                <w:iCs w:val="0"/>
                <w:caps w:val="0"/>
                <w:noProof/>
                <w:kern w:val="2"/>
                <w:szCs w:val="24"/>
                <w:lang w:eastAsia="es-CO"/>
                <w14:ligatures w14:val="standardContextual"/>
              </w:rPr>
              <w:tab/>
            </w:r>
            <w:r w:rsidRPr="00BD1319">
              <w:rPr>
                <w:rStyle w:val="Hipervnculo"/>
                <w:noProof/>
              </w:rPr>
              <w:t>Horarios de atención y canal de internet</w:t>
            </w:r>
            <w:r w:rsidRPr="00BD1319">
              <w:rPr>
                <w:noProof/>
                <w:webHidden/>
              </w:rPr>
              <w:tab/>
            </w:r>
            <w:r w:rsidRPr="00BD1319">
              <w:rPr>
                <w:noProof/>
                <w:webHidden/>
              </w:rPr>
              <w:fldChar w:fldCharType="begin"/>
            </w:r>
            <w:r w:rsidRPr="00BD1319">
              <w:rPr>
                <w:noProof/>
                <w:webHidden/>
              </w:rPr>
              <w:instrText xml:space="preserve"> PAGEREF _Toc175326677 \h </w:instrText>
            </w:r>
            <w:r w:rsidRPr="00BD1319">
              <w:rPr>
                <w:noProof/>
                <w:webHidden/>
              </w:rPr>
            </w:r>
            <w:r w:rsidRPr="00BD1319">
              <w:rPr>
                <w:noProof/>
                <w:webHidden/>
              </w:rPr>
              <w:fldChar w:fldCharType="separate"/>
            </w:r>
            <w:r w:rsidRPr="00BD1319">
              <w:rPr>
                <w:noProof/>
                <w:webHidden/>
              </w:rPr>
              <w:t>73</w:t>
            </w:r>
            <w:r w:rsidRPr="00BD1319">
              <w:rPr>
                <w:noProof/>
                <w:webHidden/>
              </w:rPr>
              <w:fldChar w:fldCharType="end"/>
            </w:r>
          </w:hyperlink>
        </w:p>
        <w:p w14:paraId="294A11EC" w14:textId="720BCA59" w:rsidR="00296654" w:rsidRPr="00BD1319" w:rsidRDefault="00296654">
          <w:pPr>
            <w:pStyle w:val="TDC1"/>
            <w:rPr>
              <w:rFonts w:asciiTheme="minorHAnsi" w:eastAsiaTheme="minorEastAsia" w:hAnsiTheme="minorHAnsi" w:cstheme="minorBidi"/>
              <w:b w:val="0"/>
              <w:bCs w:val="0"/>
              <w:caps w:val="0"/>
              <w:kern w:val="2"/>
              <w:lang w:eastAsia="es-CO"/>
              <w14:ligatures w14:val="standardContextual"/>
            </w:rPr>
          </w:pPr>
          <w:hyperlink w:anchor="_Toc175326678" w:history="1">
            <w:r w:rsidRPr="00BD1319">
              <w:rPr>
                <w:rStyle w:val="Hipervnculo"/>
              </w:rPr>
              <w:t>4.</w:t>
            </w:r>
            <w:r w:rsidRPr="00BD1319">
              <w:rPr>
                <w:rFonts w:asciiTheme="minorHAnsi" w:eastAsiaTheme="minorEastAsia" w:hAnsiTheme="minorHAnsi" w:cstheme="minorBidi"/>
                <w:b w:val="0"/>
                <w:bCs w:val="0"/>
                <w:caps w:val="0"/>
                <w:kern w:val="2"/>
                <w:lang w:eastAsia="es-CO"/>
                <w14:ligatures w14:val="standardContextual"/>
              </w:rPr>
              <w:tab/>
            </w:r>
            <w:r w:rsidRPr="00BD1319">
              <w:rPr>
                <w:rStyle w:val="Hipervnculo"/>
              </w:rPr>
              <w:t>ESPECIFICACIONES PARA LA PRESENTACIÓN DE LA INFORMACIÓN GEOGRÁFICA Y CARTOGRÁFICA</w:t>
            </w:r>
            <w:r w:rsidRPr="00BD1319">
              <w:rPr>
                <w:webHidden/>
              </w:rPr>
              <w:tab/>
            </w:r>
            <w:r w:rsidRPr="00BD1319">
              <w:rPr>
                <w:webHidden/>
              </w:rPr>
              <w:fldChar w:fldCharType="begin"/>
            </w:r>
            <w:r w:rsidRPr="00BD1319">
              <w:rPr>
                <w:webHidden/>
              </w:rPr>
              <w:instrText xml:space="preserve"> PAGEREF _Toc175326678 \h </w:instrText>
            </w:r>
            <w:r w:rsidRPr="00BD1319">
              <w:rPr>
                <w:webHidden/>
              </w:rPr>
            </w:r>
            <w:r w:rsidRPr="00BD1319">
              <w:rPr>
                <w:webHidden/>
              </w:rPr>
              <w:fldChar w:fldCharType="separate"/>
            </w:r>
            <w:r w:rsidRPr="00BD1319">
              <w:rPr>
                <w:webHidden/>
              </w:rPr>
              <w:t>74</w:t>
            </w:r>
            <w:r w:rsidRPr="00BD1319">
              <w:rPr>
                <w:webHidden/>
              </w:rPr>
              <w:fldChar w:fldCharType="end"/>
            </w:r>
          </w:hyperlink>
        </w:p>
        <w:p w14:paraId="199E60E8" w14:textId="22DEDBB1" w:rsidR="00296654" w:rsidRPr="00BD1319" w:rsidRDefault="00296654">
          <w:pPr>
            <w:pStyle w:val="TDC2"/>
            <w:rPr>
              <w:rFonts w:asciiTheme="minorHAnsi" w:eastAsiaTheme="minorEastAsia" w:hAnsiTheme="minorHAnsi" w:cstheme="minorBidi"/>
              <w:b w:val="0"/>
              <w:caps w:val="0"/>
              <w:noProof/>
              <w:kern w:val="2"/>
              <w:szCs w:val="24"/>
              <w:lang w:eastAsia="es-CO"/>
              <w14:ligatures w14:val="standardContextual"/>
            </w:rPr>
          </w:pPr>
          <w:hyperlink w:anchor="_Toc175326679" w:history="1">
            <w:r w:rsidRPr="00BD1319">
              <w:rPr>
                <w:rStyle w:val="Hipervnculo"/>
                <w:rFonts w:cs="Arial"/>
                <w:noProof/>
              </w:rPr>
              <w:t>4.1</w:t>
            </w:r>
            <w:r w:rsidRPr="00BD1319">
              <w:rPr>
                <w:rFonts w:asciiTheme="minorHAnsi" w:eastAsiaTheme="minorEastAsia" w:hAnsiTheme="minorHAnsi" w:cstheme="minorBidi"/>
                <w:b w:val="0"/>
                <w:caps w:val="0"/>
                <w:noProof/>
                <w:kern w:val="2"/>
                <w:szCs w:val="24"/>
                <w:lang w:eastAsia="es-CO"/>
                <w14:ligatures w14:val="standardContextual"/>
              </w:rPr>
              <w:tab/>
            </w:r>
            <w:r w:rsidRPr="00BD1319">
              <w:rPr>
                <w:rStyle w:val="Hipervnculo"/>
                <w:noProof/>
              </w:rPr>
              <w:t>CAPTURA DE INFORMACIÓN</w:t>
            </w:r>
            <w:r w:rsidRPr="00BD1319">
              <w:rPr>
                <w:noProof/>
                <w:webHidden/>
              </w:rPr>
              <w:tab/>
            </w:r>
            <w:r w:rsidRPr="00BD1319">
              <w:rPr>
                <w:noProof/>
                <w:webHidden/>
              </w:rPr>
              <w:fldChar w:fldCharType="begin"/>
            </w:r>
            <w:r w:rsidRPr="00BD1319">
              <w:rPr>
                <w:noProof/>
                <w:webHidden/>
              </w:rPr>
              <w:instrText xml:space="preserve"> PAGEREF _Toc175326679 \h </w:instrText>
            </w:r>
            <w:r w:rsidRPr="00BD1319">
              <w:rPr>
                <w:noProof/>
                <w:webHidden/>
              </w:rPr>
            </w:r>
            <w:r w:rsidRPr="00BD1319">
              <w:rPr>
                <w:noProof/>
                <w:webHidden/>
              </w:rPr>
              <w:fldChar w:fldCharType="separate"/>
            </w:r>
            <w:r w:rsidRPr="00BD1319">
              <w:rPr>
                <w:noProof/>
                <w:webHidden/>
              </w:rPr>
              <w:t>74</w:t>
            </w:r>
            <w:r w:rsidRPr="00BD1319">
              <w:rPr>
                <w:noProof/>
                <w:webHidden/>
              </w:rPr>
              <w:fldChar w:fldCharType="end"/>
            </w:r>
          </w:hyperlink>
        </w:p>
        <w:p w14:paraId="6BF85369" w14:textId="79773EF8" w:rsidR="00296654" w:rsidRPr="00BD1319" w:rsidRDefault="00296654">
          <w:pPr>
            <w:pStyle w:val="TDC3"/>
            <w:rPr>
              <w:rFonts w:asciiTheme="minorHAnsi" w:eastAsiaTheme="minorEastAsia" w:hAnsiTheme="minorHAnsi" w:cstheme="minorBidi"/>
              <w:iCs w:val="0"/>
              <w:caps w:val="0"/>
              <w:noProof/>
              <w:kern w:val="2"/>
              <w:szCs w:val="24"/>
              <w:lang w:eastAsia="es-CO"/>
              <w14:ligatures w14:val="standardContextual"/>
            </w:rPr>
          </w:pPr>
          <w:hyperlink w:anchor="_Toc175326680" w:history="1">
            <w:r w:rsidRPr="00BD1319">
              <w:rPr>
                <w:rStyle w:val="Hipervnculo"/>
                <w:noProof/>
              </w:rPr>
              <w:t>4.1.1</w:t>
            </w:r>
            <w:r w:rsidRPr="00BD1319">
              <w:rPr>
                <w:rFonts w:asciiTheme="minorHAnsi" w:eastAsiaTheme="minorEastAsia" w:hAnsiTheme="minorHAnsi" w:cstheme="minorBidi"/>
                <w:iCs w:val="0"/>
                <w:caps w:val="0"/>
                <w:noProof/>
                <w:kern w:val="2"/>
                <w:szCs w:val="24"/>
                <w:lang w:eastAsia="es-CO"/>
                <w14:ligatures w14:val="standardContextual"/>
              </w:rPr>
              <w:tab/>
            </w:r>
            <w:r w:rsidRPr="00BD1319">
              <w:rPr>
                <w:rStyle w:val="Hipervnculo"/>
                <w:noProof/>
              </w:rPr>
              <w:t>Modelo de Almacenamiento Geográfico (MAG)</w:t>
            </w:r>
            <w:r w:rsidRPr="00BD1319">
              <w:rPr>
                <w:noProof/>
                <w:webHidden/>
              </w:rPr>
              <w:tab/>
            </w:r>
            <w:r w:rsidRPr="00BD1319">
              <w:rPr>
                <w:noProof/>
                <w:webHidden/>
              </w:rPr>
              <w:fldChar w:fldCharType="begin"/>
            </w:r>
            <w:r w:rsidRPr="00BD1319">
              <w:rPr>
                <w:noProof/>
                <w:webHidden/>
              </w:rPr>
              <w:instrText xml:space="preserve"> PAGEREF _Toc175326680 \h </w:instrText>
            </w:r>
            <w:r w:rsidRPr="00BD1319">
              <w:rPr>
                <w:noProof/>
                <w:webHidden/>
              </w:rPr>
            </w:r>
            <w:r w:rsidRPr="00BD1319">
              <w:rPr>
                <w:noProof/>
                <w:webHidden/>
              </w:rPr>
              <w:fldChar w:fldCharType="separate"/>
            </w:r>
            <w:r w:rsidRPr="00BD1319">
              <w:rPr>
                <w:noProof/>
                <w:webHidden/>
              </w:rPr>
              <w:t>76</w:t>
            </w:r>
            <w:r w:rsidRPr="00BD1319">
              <w:rPr>
                <w:noProof/>
                <w:webHidden/>
              </w:rPr>
              <w:fldChar w:fldCharType="end"/>
            </w:r>
          </w:hyperlink>
        </w:p>
        <w:p w14:paraId="30A4C6A7" w14:textId="67F5D588" w:rsidR="00296654" w:rsidRPr="00BD1319" w:rsidRDefault="00296654">
          <w:pPr>
            <w:pStyle w:val="TDC3"/>
            <w:rPr>
              <w:rFonts w:asciiTheme="minorHAnsi" w:eastAsiaTheme="minorEastAsia" w:hAnsiTheme="minorHAnsi" w:cstheme="minorBidi"/>
              <w:iCs w:val="0"/>
              <w:caps w:val="0"/>
              <w:noProof/>
              <w:kern w:val="2"/>
              <w:szCs w:val="24"/>
              <w:lang w:eastAsia="es-CO"/>
              <w14:ligatures w14:val="standardContextual"/>
            </w:rPr>
          </w:pPr>
          <w:hyperlink w:anchor="_Toc175326681" w:history="1">
            <w:r w:rsidRPr="00BD1319">
              <w:rPr>
                <w:rStyle w:val="Hipervnculo"/>
                <w:noProof/>
              </w:rPr>
              <w:t>4.1.2</w:t>
            </w:r>
            <w:r w:rsidRPr="00BD1319">
              <w:rPr>
                <w:rFonts w:asciiTheme="minorHAnsi" w:eastAsiaTheme="minorEastAsia" w:hAnsiTheme="minorHAnsi" w:cstheme="minorBidi"/>
                <w:iCs w:val="0"/>
                <w:caps w:val="0"/>
                <w:noProof/>
                <w:kern w:val="2"/>
                <w:szCs w:val="24"/>
                <w:lang w:eastAsia="es-CO"/>
                <w14:ligatures w14:val="standardContextual"/>
              </w:rPr>
              <w:tab/>
            </w:r>
            <w:r w:rsidRPr="00BD1319">
              <w:rPr>
                <w:rStyle w:val="Hipervnculo"/>
                <w:noProof/>
              </w:rPr>
              <w:t>Información tipo Ráster</w:t>
            </w:r>
            <w:r w:rsidRPr="00BD1319">
              <w:rPr>
                <w:noProof/>
                <w:webHidden/>
              </w:rPr>
              <w:tab/>
            </w:r>
            <w:r w:rsidRPr="00BD1319">
              <w:rPr>
                <w:noProof/>
                <w:webHidden/>
              </w:rPr>
              <w:fldChar w:fldCharType="begin"/>
            </w:r>
            <w:r w:rsidRPr="00BD1319">
              <w:rPr>
                <w:noProof/>
                <w:webHidden/>
              </w:rPr>
              <w:instrText xml:space="preserve"> PAGEREF _Toc175326681 \h </w:instrText>
            </w:r>
            <w:r w:rsidRPr="00BD1319">
              <w:rPr>
                <w:noProof/>
                <w:webHidden/>
              </w:rPr>
            </w:r>
            <w:r w:rsidRPr="00BD1319">
              <w:rPr>
                <w:noProof/>
                <w:webHidden/>
              </w:rPr>
              <w:fldChar w:fldCharType="separate"/>
            </w:r>
            <w:r w:rsidRPr="00BD1319">
              <w:rPr>
                <w:noProof/>
                <w:webHidden/>
              </w:rPr>
              <w:t>76</w:t>
            </w:r>
            <w:r w:rsidRPr="00BD1319">
              <w:rPr>
                <w:noProof/>
                <w:webHidden/>
              </w:rPr>
              <w:fldChar w:fldCharType="end"/>
            </w:r>
          </w:hyperlink>
        </w:p>
        <w:p w14:paraId="3C65B089" w14:textId="3F826605" w:rsidR="00296654" w:rsidRPr="00BD1319" w:rsidRDefault="00296654">
          <w:pPr>
            <w:pStyle w:val="TDC2"/>
            <w:rPr>
              <w:rFonts w:asciiTheme="minorHAnsi" w:eastAsiaTheme="minorEastAsia" w:hAnsiTheme="minorHAnsi" w:cstheme="minorBidi"/>
              <w:b w:val="0"/>
              <w:caps w:val="0"/>
              <w:noProof/>
              <w:kern w:val="2"/>
              <w:szCs w:val="24"/>
              <w:lang w:eastAsia="es-CO"/>
              <w14:ligatures w14:val="standardContextual"/>
            </w:rPr>
          </w:pPr>
          <w:hyperlink w:anchor="_Toc175326682" w:history="1">
            <w:r w:rsidRPr="00BD1319">
              <w:rPr>
                <w:rStyle w:val="Hipervnculo"/>
                <w:rFonts w:cs="Arial"/>
                <w:noProof/>
              </w:rPr>
              <w:t>4.2</w:t>
            </w:r>
            <w:r w:rsidRPr="00BD1319">
              <w:rPr>
                <w:rFonts w:asciiTheme="minorHAnsi" w:eastAsiaTheme="minorEastAsia" w:hAnsiTheme="minorHAnsi" w:cstheme="minorBidi"/>
                <w:b w:val="0"/>
                <w:caps w:val="0"/>
                <w:noProof/>
                <w:kern w:val="2"/>
                <w:szCs w:val="24"/>
                <w:lang w:eastAsia="es-CO"/>
                <w14:ligatures w14:val="standardContextual"/>
              </w:rPr>
              <w:tab/>
            </w:r>
            <w:r w:rsidRPr="00BD1319">
              <w:rPr>
                <w:rStyle w:val="Hipervnculo"/>
                <w:noProof/>
              </w:rPr>
              <w:t>ENTREGA DE INFORMACIÓN GEOGRÁFICA Y CARTOGRÁFICA</w:t>
            </w:r>
            <w:r w:rsidRPr="00BD1319">
              <w:rPr>
                <w:noProof/>
                <w:webHidden/>
              </w:rPr>
              <w:tab/>
            </w:r>
            <w:r w:rsidRPr="00BD1319">
              <w:rPr>
                <w:noProof/>
                <w:webHidden/>
              </w:rPr>
              <w:fldChar w:fldCharType="begin"/>
            </w:r>
            <w:r w:rsidRPr="00BD1319">
              <w:rPr>
                <w:noProof/>
                <w:webHidden/>
              </w:rPr>
              <w:instrText xml:space="preserve"> PAGEREF _Toc175326682 \h </w:instrText>
            </w:r>
            <w:r w:rsidRPr="00BD1319">
              <w:rPr>
                <w:noProof/>
                <w:webHidden/>
              </w:rPr>
            </w:r>
            <w:r w:rsidRPr="00BD1319">
              <w:rPr>
                <w:noProof/>
                <w:webHidden/>
              </w:rPr>
              <w:fldChar w:fldCharType="separate"/>
            </w:r>
            <w:r w:rsidRPr="00BD1319">
              <w:rPr>
                <w:noProof/>
                <w:webHidden/>
              </w:rPr>
              <w:t>76</w:t>
            </w:r>
            <w:r w:rsidRPr="00BD1319">
              <w:rPr>
                <w:noProof/>
                <w:webHidden/>
              </w:rPr>
              <w:fldChar w:fldCharType="end"/>
            </w:r>
          </w:hyperlink>
        </w:p>
        <w:p w14:paraId="243256A1" w14:textId="596AD615" w:rsidR="00296654" w:rsidRPr="00BD1319" w:rsidRDefault="00296654">
          <w:pPr>
            <w:pStyle w:val="TDC1"/>
            <w:rPr>
              <w:rFonts w:asciiTheme="minorHAnsi" w:eastAsiaTheme="minorEastAsia" w:hAnsiTheme="minorHAnsi" w:cstheme="minorBidi"/>
              <w:b w:val="0"/>
              <w:bCs w:val="0"/>
              <w:caps w:val="0"/>
              <w:kern w:val="2"/>
              <w:lang w:eastAsia="es-CO"/>
              <w14:ligatures w14:val="standardContextual"/>
            </w:rPr>
          </w:pPr>
          <w:hyperlink w:anchor="_Toc175326683" w:history="1">
            <w:r w:rsidRPr="00BD1319">
              <w:rPr>
                <w:rStyle w:val="Hipervnculo"/>
              </w:rPr>
              <w:t>II.</w:t>
            </w:r>
            <w:r w:rsidRPr="00BD1319">
              <w:rPr>
                <w:rFonts w:asciiTheme="minorHAnsi" w:eastAsiaTheme="minorEastAsia" w:hAnsiTheme="minorHAnsi" w:cstheme="minorBidi"/>
                <w:b w:val="0"/>
                <w:bCs w:val="0"/>
                <w:caps w:val="0"/>
                <w:kern w:val="2"/>
                <w:lang w:eastAsia="es-CO"/>
                <w14:ligatures w14:val="standardContextual"/>
              </w:rPr>
              <w:tab/>
            </w:r>
            <w:r w:rsidRPr="00BD1319">
              <w:rPr>
                <w:rStyle w:val="Hipervnculo"/>
              </w:rPr>
              <w:t>ESPECIFICACIONES TÉCNICAS DEL DIAGNÓSTICO AMBIENTAL DE ALTERNATIVAS</w:t>
            </w:r>
            <w:r w:rsidRPr="00BD1319">
              <w:rPr>
                <w:webHidden/>
              </w:rPr>
              <w:tab/>
            </w:r>
            <w:r w:rsidRPr="00BD1319">
              <w:rPr>
                <w:webHidden/>
              </w:rPr>
              <w:fldChar w:fldCharType="begin"/>
            </w:r>
            <w:r w:rsidRPr="00BD1319">
              <w:rPr>
                <w:webHidden/>
              </w:rPr>
              <w:instrText xml:space="preserve"> PAGEREF _Toc175326683 \h </w:instrText>
            </w:r>
            <w:r w:rsidRPr="00BD1319">
              <w:rPr>
                <w:webHidden/>
              </w:rPr>
            </w:r>
            <w:r w:rsidRPr="00BD1319">
              <w:rPr>
                <w:webHidden/>
              </w:rPr>
              <w:fldChar w:fldCharType="separate"/>
            </w:r>
            <w:r w:rsidRPr="00BD1319">
              <w:rPr>
                <w:webHidden/>
              </w:rPr>
              <w:t>79</w:t>
            </w:r>
            <w:r w:rsidRPr="00BD1319">
              <w:rPr>
                <w:webHidden/>
              </w:rPr>
              <w:fldChar w:fldCharType="end"/>
            </w:r>
          </w:hyperlink>
        </w:p>
        <w:p w14:paraId="3A3236AE" w14:textId="71193AB2" w:rsidR="00296654" w:rsidRPr="00BD1319" w:rsidRDefault="00296654">
          <w:pPr>
            <w:pStyle w:val="TDC1"/>
            <w:rPr>
              <w:rFonts w:asciiTheme="minorHAnsi" w:eastAsiaTheme="minorEastAsia" w:hAnsiTheme="minorHAnsi" w:cstheme="minorBidi"/>
              <w:b w:val="0"/>
              <w:bCs w:val="0"/>
              <w:caps w:val="0"/>
              <w:kern w:val="2"/>
              <w:lang w:eastAsia="es-CO"/>
              <w14:ligatures w14:val="standardContextual"/>
            </w:rPr>
          </w:pPr>
          <w:hyperlink w:anchor="_Toc175326684" w:history="1">
            <w:r w:rsidRPr="00BD1319">
              <w:rPr>
                <w:rStyle w:val="Hipervnculo"/>
              </w:rPr>
              <w:t>1.</w:t>
            </w:r>
            <w:r w:rsidRPr="00BD1319">
              <w:rPr>
                <w:rFonts w:asciiTheme="minorHAnsi" w:eastAsiaTheme="minorEastAsia" w:hAnsiTheme="minorHAnsi" w:cstheme="minorBidi"/>
                <w:b w:val="0"/>
                <w:bCs w:val="0"/>
                <w:caps w:val="0"/>
                <w:kern w:val="2"/>
                <w:lang w:eastAsia="es-CO"/>
                <w14:ligatures w14:val="standardContextual"/>
              </w:rPr>
              <w:tab/>
            </w:r>
            <w:r w:rsidRPr="00BD1319">
              <w:rPr>
                <w:rStyle w:val="Hipervnculo"/>
              </w:rPr>
              <w:t>DESCRIPCIÓN DEL PROYECTO</w:t>
            </w:r>
            <w:r w:rsidRPr="00BD1319">
              <w:rPr>
                <w:webHidden/>
              </w:rPr>
              <w:tab/>
            </w:r>
            <w:r w:rsidRPr="00BD1319">
              <w:rPr>
                <w:webHidden/>
              </w:rPr>
              <w:fldChar w:fldCharType="begin"/>
            </w:r>
            <w:r w:rsidRPr="00BD1319">
              <w:rPr>
                <w:webHidden/>
              </w:rPr>
              <w:instrText xml:space="preserve"> PAGEREF _Toc175326684 \h </w:instrText>
            </w:r>
            <w:r w:rsidRPr="00BD1319">
              <w:rPr>
                <w:webHidden/>
              </w:rPr>
            </w:r>
            <w:r w:rsidRPr="00BD1319">
              <w:rPr>
                <w:webHidden/>
              </w:rPr>
              <w:fldChar w:fldCharType="separate"/>
            </w:r>
            <w:r w:rsidRPr="00BD1319">
              <w:rPr>
                <w:webHidden/>
              </w:rPr>
              <w:t>81</w:t>
            </w:r>
            <w:r w:rsidRPr="00BD1319">
              <w:rPr>
                <w:webHidden/>
              </w:rPr>
              <w:fldChar w:fldCharType="end"/>
            </w:r>
          </w:hyperlink>
        </w:p>
        <w:p w14:paraId="33688309" w14:textId="192CE658" w:rsidR="00296654" w:rsidRPr="00BD1319" w:rsidRDefault="00296654">
          <w:pPr>
            <w:pStyle w:val="TDC1"/>
            <w:rPr>
              <w:rFonts w:asciiTheme="minorHAnsi" w:eastAsiaTheme="minorEastAsia" w:hAnsiTheme="minorHAnsi" w:cstheme="minorBidi"/>
              <w:b w:val="0"/>
              <w:bCs w:val="0"/>
              <w:caps w:val="0"/>
              <w:kern w:val="2"/>
              <w:lang w:eastAsia="es-CO"/>
              <w14:ligatures w14:val="standardContextual"/>
            </w:rPr>
          </w:pPr>
          <w:hyperlink w:anchor="_Toc175326685" w:history="1">
            <w:r w:rsidRPr="00BD1319">
              <w:rPr>
                <w:rStyle w:val="Hipervnculo"/>
              </w:rPr>
              <w:t>2.</w:t>
            </w:r>
            <w:r w:rsidRPr="00BD1319">
              <w:rPr>
                <w:rFonts w:asciiTheme="minorHAnsi" w:eastAsiaTheme="minorEastAsia" w:hAnsiTheme="minorHAnsi" w:cstheme="minorBidi"/>
                <w:b w:val="0"/>
                <w:bCs w:val="0"/>
                <w:caps w:val="0"/>
                <w:kern w:val="2"/>
                <w:lang w:eastAsia="es-CO"/>
                <w14:ligatures w14:val="standardContextual"/>
              </w:rPr>
              <w:tab/>
            </w:r>
            <w:r w:rsidRPr="00BD1319">
              <w:rPr>
                <w:rStyle w:val="Hipervnculo"/>
              </w:rPr>
              <w:t>ÁREA DE ESTUDIO</w:t>
            </w:r>
            <w:r w:rsidRPr="00BD1319">
              <w:rPr>
                <w:webHidden/>
              </w:rPr>
              <w:tab/>
            </w:r>
            <w:r w:rsidRPr="00BD1319">
              <w:rPr>
                <w:webHidden/>
              </w:rPr>
              <w:fldChar w:fldCharType="begin"/>
            </w:r>
            <w:r w:rsidRPr="00BD1319">
              <w:rPr>
                <w:webHidden/>
              </w:rPr>
              <w:instrText xml:space="preserve"> PAGEREF _Toc175326685 \h </w:instrText>
            </w:r>
            <w:r w:rsidRPr="00BD1319">
              <w:rPr>
                <w:webHidden/>
              </w:rPr>
            </w:r>
            <w:r w:rsidRPr="00BD1319">
              <w:rPr>
                <w:webHidden/>
              </w:rPr>
              <w:fldChar w:fldCharType="separate"/>
            </w:r>
            <w:r w:rsidRPr="00BD1319">
              <w:rPr>
                <w:webHidden/>
              </w:rPr>
              <w:t>82</w:t>
            </w:r>
            <w:r w:rsidRPr="00BD1319">
              <w:rPr>
                <w:webHidden/>
              </w:rPr>
              <w:fldChar w:fldCharType="end"/>
            </w:r>
          </w:hyperlink>
        </w:p>
        <w:p w14:paraId="4B77B13B" w14:textId="7C3CF900" w:rsidR="00296654" w:rsidRPr="00BD1319" w:rsidRDefault="00296654">
          <w:pPr>
            <w:pStyle w:val="TDC1"/>
            <w:rPr>
              <w:rFonts w:asciiTheme="minorHAnsi" w:eastAsiaTheme="minorEastAsia" w:hAnsiTheme="minorHAnsi" w:cstheme="minorBidi"/>
              <w:b w:val="0"/>
              <w:bCs w:val="0"/>
              <w:caps w:val="0"/>
              <w:kern w:val="2"/>
              <w:lang w:eastAsia="es-CO"/>
              <w14:ligatures w14:val="standardContextual"/>
            </w:rPr>
          </w:pPr>
          <w:hyperlink w:anchor="_Toc175326686" w:history="1">
            <w:r w:rsidRPr="00BD1319">
              <w:rPr>
                <w:rStyle w:val="Hipervnculo"/>
              </w:rPr>
              <w:t>3.</w:t>
            </w:r>
            <w:r w:rsidRPr="00BD1319">
              <w:rPr>
                <w:rFonts w:asciiTheme="minorHAnsi" w:eastAsiaTheme="minorEastAsia" w:hAnsiTheme="minorHAnsi" w:cstheme="minorBidi"/>
                <w:b w:val="0"/>
                <w:bCs w:val="0"/>
                <w:caps w:val="0"/>
                <w:kern w:val="2"/>
                <w:lang w:eastAsia="es-CO"/>
                <w14:ligatures w14:val="standardContextual"/>
              </w:rPr>
              <w:tab/>
            </w:r>
            <w:r w:rsidRPr="00BD1319">
              <w:rPr>
                <w:rStyle w:val="Hipervnculo"/>
              </w:rPr>
              <w:t>LINEAMIENTOS DE PARTICIPACIÓN CON LOS GRUPOS DE INTERÉS</w:t>
            </w:r>
            <w:r w:rsidRPr="00BD1319">
              <w:rPr>
                <w:webHidden/>
              </w:rPr>
              <w:tab/>
            </w:r>
            <w:r w:rsidRPr="00BD1319">
              <w:rPr>
                <w:webHidden/>
              </w:rPr>
              <w:fldChar w:fldCharType="begin"/>
            </w:r>
            <w:r w:rsidRPr="00BD1319">
              <w:rPr>
                <w:webHidden/>
              </w:rPr>
              <w:instrText xml:space="preserve"> PAGEREF _Toc175326686 \h </w:instrText>
            </w:r>
            <w:r w:rsidRPr="00BD1319">
              <w:rPr>
                <w:webHidden/>
              </w:rPr>
            </w:r>
            <w:r w:rsidRPr="00BD1319">
              <w:rPr>
                <w:webHidden/>
              </w:rPr>
              <w:fldChar w:fldCharType="separate"/>
            </w:r>
            <w:r w:rsidRPr="00BD1319">
              <w:rPr>
                <w:webHidden/>
              </w:rPr>
              <w:t>84</w:t>
            </w:r>
            <w:r w:rsidRPr="00BD1319">
              <w:rPr>
                <w:webHidden/>
              </w:rPr>
              <w:fldChar w:fldCharType="end"/>
            </w:r>
          </w:hyperlink>
        </w:p>
        <w:p w14:paraId="49D710C8" w14:textId="33524F93" w:rsidR="00296654" w:rsidRPr="00BD1319" w:rsidRDefault="00296654">
          <w:pPr>
            <w:pStyle w:val="TDC2"/>
            <w:rPr>
              <w:rFonts w:asciiTheme="minorHAnsi" w:eastAsiaTheme="minorEastAsia" w:hAnsiTheme="minorHAnsi" w:cstheme="minorBidi"/>
              <w:b w:val="0"/>
              <w:caps w:val="0"/>
              <w:noProof/>
              <w:kern w:val="2"/>
              <w:szCs w:val="24"/>
              <w:lang w:eastAsia="es-CO"/>
              <w14:ligatures w14:val="standardContextual"/>
            </w:rPr>
          </w:pPr>
          <w:hyperlink w:anchor="_Toc175326687" w:history="1">
            <w:r w:rsidRPr="00BD1319">
              <w:rPr>
                <w:rStyle w:val="Hipervnculo"/>
                <w:rFonts w:cs="Arial"/>
                <w:noProof/>
              </w:rPr>
              <w:t>3.1</w:t>
            </w:r>
            <w:r w:rsidRPr="00BD1319">
              <w:rPr>
                <w:rFonts w:asciiTheme="minorHAnsi" w:eastAsiaTheme="minorEastAsia" w:hAnsiTheme="minorHAnsi" w:cstheme="minorBidi"/>
                <w:b w:val="0"/>
                <w:caps w:val="0"/>
                <w:noProof/>
                <w:kern w:val="2"/>
                <w:szCs w:val="24"/>
                <w:lang w:eastAsia="es-CO"/>
                <w14:ligatures w14:val="standardContextual"/>
              </w:rPr>
              <w:tab/>
            </w:r>
            <w:r w:rsidRPr="00BD1319">
              <w:rPr>
                <w:rStyle w:val="Hipervnculo"/>
                <w:noProof/>
              </w:rPr>
              <w:t>CARACTERÍSTICAS Y ALCANCES DE LA PARTICIPACIÓN</w:t>
            </w:r>
            <w:r w:rsidRPr="00BD1319">
              <w:rPr>
                <w:noProof/>
                <w:webHidden/>
              </w:rPr>
              <w:tab/>
            </w:r>
            <w:r w:rsidRPr="00BD1319">
              <w:rPr>
                <w:noProof/>
                <w:webHidden/>
              </w:rPr>
              <w:fldChar w:fldCharType="begin"/>
            </w:r>
            <w:r w:rsidRPr="00BD1319">
              <w:rPr>
                <w:noProof/>
                <w:webHidden/>
              </w:rPr>
              <w:instrText xml:space="preserve"> PAGEREF _Toc175326687 \h </w:instrText>
            </w:r>
            <w:r w:rsidRPr="00BD1319">
              <w:rPr>
                <w:noProof/>
                <w:webHidden/>
              </w:rPr>
            </w:r>
            <w:r w:rsidRPr="00BD1319">
              <w:rPr>
                <w:noProof/>
                <w:webHidden/>
              </w:rPr>
              <w:fldChar w:fldCharType="separate"/>
            </w:r>
            <w:r w:rsidRPr="00BD1319">
              <w:rPr>
                <w:noProof/>
                <w:webHidden/>
              </w:rPr>
              <w:t>86</w:t>
            </w:r>
            <w:r w:rsidRPr="00BD1319">
              <w:rPr>
                <w:noProof/>
                <w:webHidden/>
              </w:rPr>
              <w:fldChar w:fldCharType="end"/>
            </w:r>
          </w:hyperlink>
        </w:p>
        <w:p w14:paraId="5AAB9528" w14:textId="75593786" w:rsidR="00296654" w:rsidRPr="00BD1319" w:rsidRDefault="00296654">
          <w:pPr>
            <w:pStyle w:val="TDC2"/>
            <w:rPr>
              <w:rFonts w:asciiTheme="minorHAnsi" w:eastAsiaTheme="minorEastAsia" w:hAnsiTheme="minorHAnsi" w:cstheme="minorBidi"/>
              <w:b w:val="0"/>
              <w:caps w:val="0"/>
              <w:noProof/>
              <w:kern w:val="2"/>
              <w:szCs w:val="24"/>
              <w:lang w:eastAsia="es-CO"/>
              <w14:ligatures w14:val="standardContextual"/>
            </w:rPr>
          </w:pPr>
          <w:hyperlink w:anchor="_Toc175326688" w:history="1">
            <w:r w:rsidRPr="00BD1319">
              <w:rPr>
                <w:rStyle w:val="Hipervnculo"/>
                <w:rFonts w:cs="Arial"/>
                <w:bCs/>
                <w:noProof/>
                <w:spacing w:val="-3"/>
              </w:rPr>
              <w:t>3.2</w:t>
            </w:r>
            <w:r w:rsidRPr="00BD1319">
              <w:rPr>
                <w:rFonts w:asciiTheme="minorHAnsi" w:eastAsiaTheme="minorEastAsia" w:hAnsiTheme="minorHAnsi" w:cstheme="minorBidi"/>
                <w:b w:val="0"/>
                <w:caps w:val="0"/>
                <w:noProof/>
                <w:kern w:val="2"/>
                <w:szCs w:val="24"/>
                <w:lang w:eastAsia="es-CO"/>
                <w14:ligatures w14:val="standardContextual"/>
              </w:rPr>
              <w:tab/>
            </w:r>
            <w:r w:rsidRPr="00BD1319">
              <w:rPr>
                <w:rStyle w:val="Hipervnculo"/>
                <w:bCs/>
                <w:noProof/>
                <w:spacing w:val="-3"/>
              </w:rPr>
              <w:t>INSTANCIAS DEL PROCESO DE PARTICIPACIÓN</w:t>
            </w:r>
            <w:r w:rsidRPr="00BD1319">
              <w:rPr>
                <w:noProof/>
                <w:webHidden/>
              </w:rPr>
              <w:tab/>
            </w:r>
            <w:r w:rsidRPr="00BD1319">
              <w:rPr>
                <w:noProof/>
                <w:webHidden/>
              </w:rPr>
              <w:fldChar w:fldCharType="begin"/>
            </w:r>
            <w:r w:rsidRPr="00BD1319">
              <w:rPr>
                <w:noProof/>
                <w:webHidden/>
              </w:rPr>
              <w:instrText xml:space="preserve"> PAGEREF _Toc175326688 \h </w:instrText>
            </w:r>
            <w:r w:rsidRPr="00BD1319">
              <w:rPr>
                <w:noProof/>
                <w:webHidden/>
              </w:rPr>
            </w:r>
            <w:r w:rsidRPr="00BD1319">
              <w:rPr>
                <w:noProof/>
                <w:webHidden/>
              </w:rPr>
              <w:fldChar w:fldCharType="separate"/>
            </w:r>
            <w:r w:rsidRPr="00BD1319">
              <w:rPr>
                <w:noProof/>
                <w:webHidden/>
              </w:rPr>
              <w:t>88</w:t>
            </w:r>
            <w:r w:rsidRPr="00BD1319">
              <w:rPr>
                <w:noProof/>
                <w:webHidden/>
              </w:rPr>
              <w:fldChar w:fldCharType="end"/>
            </w:r>
          </w:hyperlink>
        </w:p>
        <w:p w14:paraId="03860AD5" w14:textId="7A6439ED" w:rsidR="00296654" w:rsidRPr="00BD1319" w:rsidRDefault="00296654">
          <w:pPr>
            <w:pStyle w:val="TDC3"/>
            <w:rPr>
              <w:rFonts w:asciiTheme="minorHAnsi" w:eastAsiaTheme="minorEastAsia" w:hAnsiTheme="minorHAnsi" w:cstheme="minorBidi"/>
              <w:iCs w:val="0"/>
              <w:caps w:val="0"/>
              <w:noProof/>
              <w:kern w:val="2"/>
              <w:szCs w:val="24"/>
              <w:lang w:eastAsia="es-CO"/>
              <w14:ligatures w14:val="standardContextual"/>
            </w:rPr>
          </w:pPr>
          <w:hyperlink w:anchor="_Toc175326689" w:history="1">
            <w:r w:rsidRPr="00BD1319">
              <w:rPr>
                <w:rStyle w:val="Hipervnculo"/>
                <w:noProof/>
              </w:rPr>
              <w:t>3.2.1</w:t>
            </w:r>
            <w:r w:rsidRPr="00BD1319">
              <w:rPr>
                <w:rFonts w:asciiTheme="minorHAnsi" w:eastAsiaTheme="minorEastAsia" w:hAnsiTheme="minorHAnsi" w:cstheme="minorBidi"/>
                <w:iCs w:val="0"/>
                <w:caps w:val="0"/>
                <w:noProof/>
                <w:kern w:val="2"/>
                <w:szCs w:val="24"/>
                <w:lang w:eastAsia="es-CO"/>
                <w14:ligatures w14:val="standardContextual"/>
              </w:rPr>
              <w:tab/>
            </w:r>
            <w:r w:rsidRPr="00BD1319">
              <w:rPr>
                <w:rStyle w:val="Hipervnculo"/>
                <w:noProof/>
              </w:rPr>
              <w:t>Planeación</w:t>
            </w:r>
            <w:r w:rsidRPr="00BD1319">
              <w:rPr>
                <w:noProof/>
                <w:webHidden/>
              </w:rPr>
              <w:tab/>
            </w:r>
            <w:r w:rsidRPr="00BD1319">
              <w:rPr>
                <w:noProof/>
                <w:webHidden/>
              </w:rPr>
              <w:fldChar w:fldCharType="begin"/>
            </w:r>
            <w:r w:rsidRPr="00BD1319">
              <w:rPr>
                <w:noProof/>
                <w:webHidden/>
              </w:rPr>
              <w:instrText xml:space="preserve"> PAGEREF _Toc175326689 \h </w:instrText>
            </w:r>
            <w:r w:rsidRPr="00BD1319">
              <w:rPr>
                <w:noProof/>
                <w:webHidden/>
              </w:rPr>
            </w:r>
            <w:r w:rsidRPr="00BD1319">
              <w:rPr>
                <w:noProof/>
                <w:webHidden/>
              </w:rPr>
              <w:fldChar w:fldCharType="separate"/>
            </w:r>
            <w:r w:rsidRPr="00BD1319">
              <w:rPr>
                <w:noProof/>
                <w:webHidden/>
              </w:rPr>
              <w:t>88</w:t>
            </w:r>
            <w:r w:rsidRPr="00BD1319">
              <w:rPr>
                <w:noProof/>
                <w:webHidden/>
              </w:rPr>
              <w:fldChar w:fldCharType="end"/>
            </w:r>
          </w:hyperlink>
        </w:p>
        <w:p w14:paraId="485A450D" w14:textId="592BCBEF" w:rsidR="00296654" w:rsidRPr="00BD1319" w:rsidRDefault="00296654">
          <w:pPr>
            <w:pStyle w:val="TDC3"/>
            <w:rPr>
              <w:rFonts w:asciiTheme="minorHAnsi" w:eastAsiaTheme="minorEastAsia" w:hAnsiTheme="minorHAnsi" w:cstheme="minorBidi"/>
              <w:iCs w:val="0"/>
              <w:caps w:val="0"/>
              <w:noProof/>
              <w:kern w:val="2"/>
              <w:szCs w:val="24"/>
              <w:lang w:eastAsia="es-CO"/>
              <w14:ligatures w14:val="standardContextual"/>
            </w:rPr>
          </w:pPr>
          <w:hyperlink w:anchor="_Toc175326690" w:history="1">
            <w:r w:rsidRPr="00BD1319">
              <w:rPr>
                <w:rStyle w:val="Hipervnculo"/>
                <w:noProof/>
              </w:rPr>
              <w:t>3.2.2</w:t>
            </w:r>
            <w:r w:rsidRPr="00BD1319">
              <w:rPr>
                <w:rFonts w:asciiTheme="minorHAnsi" w:eastAsiaTheme="minorEastAsia" w:hAnsiTheme="minorHAnsi" w:cstheme="minorBidi"/>
                <w:iCs w:val="0"/>
                <w:caps w:val="0"/>
                <w:noProof/>
                <w:kern w:val="2"/>
                <w:szCs w:val="24"/>
                <w:lang w:eastAsia="es-CO"/>
                <w14:ligatures w14:val="standardContextual"/>
              </w:rPr>
              <w:tab/>
            </w:r>
            <w:r w:rsidRPr="00BD1319">
              <w:rPr>
                <w:rStyle w:val="Hipervnculo"/>
                <w:noProof/>
              </w:rPr>
              <w:t>Ejecución de los espacios de participación</w:t>
            </w:r>
            <w:r w:rsidRPr="00BD1319">
              <w:rPr>
                <w:noProof/>
                <w:webHidden/>
              </w:rPr>
              <w:tab/>
            </w:r>
            <w:r w:rsidRPr="00BD1319">
              <w:rPr>
                <w:noProof/>
                <w:webHidden/>
              </w:rPr>
              <w:fldChar w:fldCharType="begin"/>
            </w:r>
            <w:r w:rsidRPr="00BD1319">
              <w:rPr>
                <w:noProof/>
                <w:webHidden/>
              </w:rPr>
              <w:instrText xml:space="preserve"> PAGEREF _Toc175326690 \h </w:instrText>
            </w:r>
            <w:r w:rsidRPr="00BD1319">
              <w:rPr>
                <w:noProof/>
                <w:webHidden/>
              </w:rPr>
            </w:r>
            <w:r w:rsidRPr="00BD1319">
              <w:rPr>
                <w:noProof/>
                <w:webHidden/>
              </w:rPr>
              <w:fldChar w:fldCharType="separate"/>
            </w:r>
            <w:r w:rsidRPr="00BD1319">
              <w:rPr>
                <w:noProof/>
                <w:webHidden/>
              </w:rPr>
              <w:t>90</w:t>
            </w:r>
            <w:r w:rsidRPr="00BD1319">
              <w:rPr>
                <w:noProof/>
                <w:webHidden/>
              </w:rPr>
              <w:fldChar w:fldCharType="end"/>
            </w:r>
          </w:hyperlink>
        </w:p>
        <w:p w14:paraId="4A17DBFD" w14:textId="698E8427" w:rsidR="00296654" w:rsidRPr="00BD1319" w:rsidRDefault="00296654">
          <w:pPr>
            <w:pStyle w:val="TDC3"/>
            <w:rPr>
              <w:rFonts w:asciiTheme="minorHAnsi" w:eastAsiaTheme="minorEastAsia" w:hAnsiTheme="minorHAnsi" w:cstheme="minorBidi"/>
              <w:iCs w:val="0"/>
              <w:caps w:val="0"/>
              <w:noProof/>
              <w:kern w:val="2"/>
              <w:szCs w:val="24"/>
              <w:lang w:eastAsia="es-CO"/>
              <w14:ligatures w14:val="standardContextual"/>
            </w:rPr>
          </w:pPr>
          <w:hyperlink w:anchor="_Toc175326691" w:history="1">
            <w:r w:rsidRPr="00BD1319">
              <w:rPr>
                <w:rStyle w:val="Hipervnculo"/>
                <w:noProof/>
              </w:rPr>
              <w:t>3.2.3</w:t>
            </w:r>
            <w:r w:rsidRPr="00BD1319">
              <w:rPr>
                <w:rFonts w:asciiTheme="minorHAnsi" w:eastAsiaTheme="minorEastAsia" w:hAnsiTheme="minorHAnsi" w:cstheme="minorBidi"/>
                <w:iCs w:val="0"/>
                <w:caps w:val="0"/>
                <w:noProof/>
                <w:kern w:val="2"/>
                <w:szCs w:val="24"/>
                <w:lang w:eastAsia="es-CO"/>
                <w14:ligatures w14:val="standardContextual"/>
              </w:rPr>
              <w:tab/>
            </w:r>
            <w:r w:rsidRPr="00BD1319">
              <w:rPr>
                <w:rStyle w:val="Hipervnculo"/>
                <w:noProof/>
              </w:rPr>
              <w:t>Análisis de resultados</w:t>
            </w:r>
            <w:r w:rsidRPr="00BD1319">
              <w:rPr>
                <w:noProof/>
                <w:webHidden/>
              </w:rPr>
              <w:tab/>
            </w:r>
            <w:r w:rsidRPr="00BD1319">
              <w:rPr>
                <w:noProof/>
                <w:webHidden/>
              </w:rPr>
              <w:fldChar w:fldCharType="begin"/>
            </w:r>
            <w:r w:rsidRPr="00BD1319">
              <w:rPr>
                <w:noProof/>
                <w:webHidden/>
              </w:rPr>
              <w:instrText xml:space="preserve"> PAGEREF _Toc175326691 \h </w:instrText>
            </w:r>
            <w:r w:rsidRPr="00BD1319">
              <w:rPr>
                <w:noProof/>
                <w:webHidden/>
              </w:rPr>
            </w:r>
            <w:r w:rsidRPr="00BD1319">
              <w:rPr>
                <w:noProof/>
                <w:webHidden/>
              </w:rPr>
              <w:fldChar w:fldCharType="separate"/>
            </w:r>
            <w:r w:rsidRPr="00BD1319">
              <w:rPr>
                <w:noProof/>
                <w:webHidden/>
              </w:rPr>
              <w:t>92</w:t>
            </w:r>
            <w:r w:rsidRPr="00BD1319">
              <w:rPr>
                <w:noProof/>
                <w:webHidden/>
              </w:rPr>
              <w:fldChar w:fldCharType="end"/>
            </w:r>
          </w:hyperlink>
        </w:p>
        <w:p w14:paraId="105F51B4" w14:textId="212B6C7B" w:rsidR="00296654" w:rsidRPr="00BD1319" w:rsidRDefault="00296654">
          <w:pPr>
            <w:pStyle w:val="TDC2"/>
            <w:rPr>
              <w:rFonts w:asciiTheme="minorHAnsi" w:eastAsiaTheme="minorEastAsia" w:hAnsiTheme="minorHAnsi" w:cstheme="minorBidi"/>
              <w:b w:val="0"/>
              <w:caps w:val="0"/>
              <w:noProof/>
              <w:kern w:val="2"/>
              <w:szCs w:val="24"/>
              <w:lang w:eastAsia="es-CO"/>
              <w14:ligatures w14:val="standardContextual"/>
            </w:rPr>
          </w:pPr>
          <w:hyperlink w:anchor="_Toc175326692" w:history="1">
            <w:r w:rsidRPr="00BD1319">
              <w:rPr>
                <w:rStyle w:val="Hipervnculo"/>
                <w:rFonts w:cs="Arial"/>
                <w:noProof/>
              </w:rPr>
              <w:t>3.3</w:t>
            </w:r>
            <w:r w:rsidRPr="00BD1319">
              <w:rPr>
                <w:rFonts w:asciiTheme="minorHAnsi" w:eastAsiaTheme="minorEastAsia" w:hAnsiTheme="minorHAnsi" w:cstheme="minorBidi"/>
                <w:b w:val="0"/>
                <w:caps w:val="0"/>
                <w:noProof/>
                <w:kern w:val="2"/>
                <w:szCs w:val="24"/>
                <w:lang w:eastAsia="es-CO"/>
                <w14:ligatures w14:val="standardContextual"/>
              </w:rPr>
              <w:tab/>
            </w:r>
            <w:r w:rsidRPr="00BD1319">
              <w:rPr>
                <w:rStyle w:val="Hipervnculo"/>
                <w:noProof/>
              </w:rPr>
              <w:t>SOPORTES Y EVIDENCIAS DEL PROCESO DE PARTICIPACIÓN</w:t>
            </w:r>
            <w:r w:rsidRPr="00BD1319">
              <w:rPr>
                <w:noProof/>
                <w:webHidden/>
              </w:rPr>
              <w:tab/>
            </w:r>
            <w:r w:rsidRPr="00BD1319">
              <w:rPr>
                <w:noProof/>
                <w:webHidden/>
              </w:rPr>
              <w:fldChar w:fldCharType="begin"/>
            </w:r>
            <w:r w:rsidRPr="00BD1319">
              <w:rPr>
                <w:noProof/>
                <w:webHidden/>
              </w:rPr>
              <w:instrText xml:space="preserve"> PAGEREF _Toc175326692 \h </w:instrText>
            </w:r>
            <w:r w:rsidRPr="00BD1319">
              <w:rPr>
                <w:noProof/>
                <w:webHidden/>
              </w:rPr>
            </w:r>
            <w:r w:rsidRPr="00BD1319">
              <w:rPr>
                <w:noProof/>
                <w:webHidden/>
              </w:rPr>
              <w:fldChar w:fldCharType="separate"/>
            </w:r>
            <w:r w:rsidRPr="00BD1319">
              <w:rPr>
                <w:noProof/>
                <w:webHidden/>
              </w:rPr>
              <w:t>92</w:t>
            </w:r>
            <w:r w:rsidRPr="00BD1319">
              <w:rPr>
                <w:noProof/>
                <w:webHidden/>
              </w:rPr>
              <w:fldChar w:fldCharType="end"/>
            </w:r>
          </w:hyperlink>
        </w:p>
        <w:p w14:paraId="33CE233C" w14:textId="631FCDF3" w:rsidR="00296654" w:rsidRPr="00BD1319" w:rsidRDefault="00296654">
          <w:pPr>
            <w:pStyle w:val="TDC2"/>
            <w:rPr>
              <w:rFonts w:asciiTheme="minorHAnsi" w:eastAsiaTheme="minorEastAsia" w:hAnsiTheme="minorHAnsi" w:cstheme="minorBidi"/>
              <w:b w:val="0"/>
              <w:caps w:val="0"/>
              <w:noProof/>
              <w:kern w:val="2"/>
              <w:szCs w:val="24"/>
              <w:lang w:eastAsia="es-CO"/>
              <w14:ligatures w14:val="standardContextual"/>
            </w:rPr>
          </w:pPr>
          <w:hyperlink w:anchor="_Toc175326693" w:history="1">
            <w:r w:rsidRPr="00BD1319">
              <w:rPr>
                <w:rStyle w:val="Hipervnculo"/>
                <w:rFonts w:cs="Arial"/>
                <w:bCs/>
                <w:noProof/>
                <w:spacing w:val="-3"/>
              </w:rPr>
              <w:t>3.4</w:t>
            </w:r>
            <w:r w:rsidRPr="00BD1319">
              <w:rPr>
                <w:rFonts w:asciiTheme="minorHAnsi" w:eastAsiaTheme="minorEastAsia" w:hAnsiTheme="minorHAnsi" w:cstheme="minorBidi"/>
                <w:b w:val="0"/>
                <w:caps w:val="0"/>
                <w:noProof/>
                <w:kern w:val="2"/>
                <w:szCs w:val="24"/>
                <w:lang w:eastAsia="es-CO"/>
                <w14:ligatures w14:val="standardContextual"/>
              </w:rPr>
              <w:tab/>
            </w:r>
            <w:r w:rsidRPr="00BD1319">
              <w:rPr>
                <w:rStyle w:val="Hipervnculo"/>
                <w:noProof/>
                <w:spacing w:val="-3"/>
              </w:rPr>
              <w:t>MECANISMOS VIRTUALES PARA LA PARTICIPACIÓN</w:t>
            </w:r>
            <w:r w:rsidRPr="00BD1319">
              <w:rPr>
                <w:noProof/>
                <w:webHidden/>
              </w:rPr>
              <w:tab/>
            </w:r>
            <w:r w:rsidRPr="00BD1319">
              <w:rPr>
                <w:noProof/>
                <w:webHidden/>
              </w:rPr>
              <w:fldChar w:fldCharType="begin"/>
            </w:r>
            <w:r w:rsidRPr="00BD1319">
              <w:rPr>
                <w:noProof/>
                <w:webHidden/>
              </w:rPr>
              <w:instrText xml:space="preserve"> PAGEREF _Toc175326693 \h </w:instrText>
            </w:r>
            <w:r w:rsidRPr="00BD1319">
              <w:rPr>
                <w:noProof/>
                <w:webHidden/>
              </w:rPr>
            </w:r>
            <w:r w:rsidRPr="00BD1319">
              <w:rPr>
                <w:noProof/>
                <w:webHidden/>
              </w:rPr>
              <w:fldChar w:fldCharType="separate"/>
            </w:r>
            <w:r w:rsidRPr="00BD1319">
              <w:rPr>
                <w:noProof/>
                <w:webHidden/>
              </w:rPr>
              <w:t>94</w:t>
            </w:r>
            <w:r w:rsidRPr="00BD1319">
              <w:rPr>
                <w:noProof/>
                <w:webHidden/>
              </w:rPr>
              <w:fldChar w:fldCharType="end"/>
            </w:r>
          </w:hyperlink>
        </w:p>
        <w:p w14:paraId="062A7B29" w14:textId="54C1C7C5" w:rsidR="00296654" w:rsidRPr="00BD1319" w:rsidRDefault="00296654">
          <w:pPr>
            <w:pStyle w:val="TDC1"/>
            <w:rPr>
              <w:rFonts w:asciiTheme="minorHAnsi" w:eastAsiaTheme="minorEastAsia" w:hAnsiTheme="minorHAnsi" w:cstheme="minorBidi"/>
              <w:b w:val="0"/>
              <w:bCs w:val="0"/>
              <w:caps w:val="0"/>
              <w:kern w:val="2"/>
              <w:lang w:eastAsia="es-CO"/>
              <w14:ligatures w14:val="standardContextual"/>
            </w:rPr>
          </w:pPr>
          <w:hyperlink w:anchor="_Toc175326694" w:history="1">
            <w:r w:rsidRPr="00BD1319">
              <w:rPr>
                <w:rStyle w:val="Hipervnculo"/>
              </w:rPr>
              <w:t>4.</w:t>
            </w:r>
            <w:r w:rsidRPr="00BD1319">
              <w:rPr>
                <w:rFonts w:asciiTheme="minorHAnsi" w:eastAsiaTheme="minorEastAsia" w:hAnsiTheme="minorHAnsi" w:cstheme="minorBidi"/>
                <w:b w:val="0"/>
                <w:bCs w:val="0"/>
                <w:caps w:val="0"/>
                <w:kern w:val="2"/>
                <w:lang w:eastAsia="es-CO"/>
                <w14:ligatures w14:val="standardContextual"/>
              </w:rPr>
              <w:tab/>
            </w:r>
            <w:r w:rsidRPr="00BD1319">
              <w:rPr>
                <w:rStyle w:val="Hipervnculo"/>
              </w:rPr>
              <w:t>CARACTERIZACIÓN DEL ÁREA DE ESTUDIO</w:t>
            </w:r>
            <w:r w:rsidRPr="00BD1319">
              <w:rPr>
                <w:webHidden/>
              </w:rPr>
              <w:tab/>
            </w:r>
            <w:r w:rsidRPr="00BD1319">
              <w:rPr>
                <w:webHidden/>
              </w:rPr>
              <w:fldChar w:fldCharType="begin"/>
            </w:r>
            <w:r w:rsidRPr="00BD1319">
              <w:rPr>
                <w:webHidden/>
              </w:rPr>
              <w:instrText xml:space="preserve"> PAGEREF _Toc175326694 \h </w:instrText>
            </w:r>
            <w:r w:rsidRPr="00BD1319">
              <w:rPr>
                <w:webHidden/>
              </w:rPr>
            </w:r>
            <w:r w:rsidRPr="00BD1319">
              <w:rPr>
                <w:webHidden/>
              </w:rPr>
              <w:fldChar w:fldCharType="separate"/>
            </w:r>
            <w:r w:rsidRPr="00BD1319">
              <w:rPr>
                <w:webHidden/>
              </w:rPr>
              <w:t>95</w:t>
            </w:r>
            <w:r w:rsidRPr="00BD1319">
              <w:rPr>
                <w:webHidden/>
              </w:rPr>
              <w:fldChar w:fldCharType="end"/>
            </w:r>
          </w:hyperlink>
        </w:p>
        <w:p w14:paraId="26C37683" w14:textId="683EA521" w:rsidR="00296654" w:rsidRPr="00BD1319" w:rsidRDefault="00296654">
          <w:pPr>
            <w:pStyle w:val="TDC2"/>
            <w:rPr>
              <w:rFonts w:asciiTheme="minorHAnsi" w:eastAsiaTheme="minorEastAsia" w:hAnsiTheme="minorHAnsi" w:cstheme="minorBidi"/>
              <w:b w:val="0"/>
              <w:caps w:val="0"/>
              <w:noProof/>
              <w:kern w:val="2"/>
              <w:szCs w:val="24"/>
              <w:lang w:eastAsia="es-CO"/>
              <w14:ligatures w14:val="standardContextual"/>
            </w:rPr>
          </w:pPr>
          <w:hyperlink w:anchor="_Toc175326695" w:history="1">
            <w:r w:rsidRPr="00BD1319">
              <w:rPr>
                <w:rStyle w:val="Hipervnculo"/>
                <w:rFonts w:cs="Arial"/>
                <w:noProof/>
              </w:rPr>
              <w:t>4.1</w:t>
            </w:r>
            <w:r w:rsidRPr="00BD1319">
              <w:rPr>
                <w:rFonts w:asciiTheme="minorHAnsi" w:eastAsiaTheme="minorEastAsia" w:hAnsiTheme="minorHAnsi" w:cstheme="minorBidi"/>
                <w:b w:val="0"/>
                <w:caps w:val="0"/>
                <w:noProof/>
                <w:kern w:val="2"/>
                <w:szCs w:val="24"/>
                <w:lang w:eastAsia="es-CO"/>
                <w14:ligatures w14:val="standardContextual"/>
              </w:rPr>
              <w:tab/>
            </w:r>
            <w:r w:rsidRPr="00BD1319">
              <w:rPr>
                <w:rStyle w:val="Hipervnculo"/>
                <w:noProof/>
              </w:rPr>
              <w:t>MEDIO ABIÓTICO</w:t>
            </w:r>
            <w:r w:rsidRPr="00BD1319">
              <w:rPr>
                <w:noProof/>
                <w:webHidden/>
              </w:rPr>
              <w:tab/>
            </w:r>
            <w:r w:rsidRPr="00BD1319">
              <w:rPr>
                <w:noProof/>
                <w:webHidden/>
              </w:rPr>
              <w:fldChar w:fldCharType="begin"/>
            </w:r>
            <w:r w:rsidRPr="00BD1319">
              <w:rPr>
                <w:noProof/>
                <w:webHidden/>
              </w:rPr>
              <w:instrText xml:space="preserve"> PAGEREF _Toc175326695 \h </w:instrText>
            </w:r>
            <w:r w:rsidRPr="00BD1319">
              <w:rPr>
                <w:noProof/>
                <w:webHidden/>
              </w:rPr>
            </w:r>
            <w:r w:rsidRPr="00BD1319">
              <w:rPr>
                <w:noProof/>
                <w:webHidden/>
              </w:rPr>
              <w:fldChar w:fldCharType="separate"/>
            </w:r>
            <w:r w:rsidRPr="00BD1319">
              <w:rPr>
                <w:noProof/>
                <w:webHidden/>
              </w:rPr>
              <w:t>97</w:t>
            </w:r>
            <w:r w:rsidRPr="00BD1319">
              <w:rPr>
                <w:noProof/>
                <w:webHidden/>
              </w:rPr>
              <w:fldChar w:fldCharType="end"/>
            </w:r>
          </w:hyperlink>
        </w:p>
        <w:p w14:paraId="33A65648" w14:textId="036F0545" w:rsidR="00296654" w:rsidRPr="00BD1319" w:rsidRDefault="00296654">
          <w:pPr>
            <w:pStyle w:val="TDC3"/>
            <w:rPr>
              <w:rFonts w:asciiTheme="minorHAnsi" w:eastAsiaTheme="minorEastAsia" w:hAnsiTheme="minorHAnsi" w:cstheme="minorBidi"/>
              <w:iCs w:val="0"/>
              <w:caps w:val="0"/>
              <w:noProof/>
              <w:kern w:val="2"/>
              <w:szCs w:val="24"/>
              <w:lang w:eastAsia="es-CO"/>
              <w14:ligatures w14:val="standardContextual"/>
            </w:rPr>
          </w:pPr>
          <w:hyperlink w:anchor="_Toc175326696" w:history="1">
            <w:r w:rsidRPr="00BD1319">
              <w:rPr>
                <w:rStyle w:val="Hipervnculo"/>
                <w:noProof/>
              </w:rPr>
              <w:t>4.1.1</w:t>
            </w:r>
            <w:r w:rsidRPr="00BD1319">
              <w:rPr>
                <w:rFonts w:asciiTheme="minorHAnsi" w:eastAsiaTheme="minorEastAsia" w:hAnsiTheme="minorHAnsi" w:cstheme="minorBidi"/>
                <w:iCs w:val="0"/>
                <w:caps w:val="0"/>
                <w:noProof/>
                <w:kern w:val="2"/>
                <w:szCs w:val="24"/>
                <w:lang w:eastAsia="es-CO"/>
                <w14:ligatures w14:val="standardContextual"/>
              </w:rPr>
              <w:tab/>
            </w:r>
            <w:r w:rsidRPr="00BD1319">
              <w:rPr>
                <w:rStyle w:val="Hipervnculo"/>
                <w:noProof/>
              </w:rPr>
              <w:t>Geológico</w:t>
            </w:r>
            <w:r w:rsidRPr="00BD1319">
              <w:rPr>
                <w:noProof/>
                <w:webHidden/>
              </w:rPr>
              <w:tab/>
            </w:r>
            <w:r w:rsidRPr="00BD1319">
              <w:rPr>
                <w:noProof/>
                <w:webHidden/>
              </w:rPr>
              <w:fldChar w:fldCharType="begin"/>
            </w:r>
            <w:r w:rsidRPr="00BD1319">
              <w:rPr>
                <w:noProof/>
                <w:webHidden/>
              </w:rPr>
              <w:instrText xml:space="preserve"> PAGEREF _Toc175326696 \h </w:instrText>
            </w:r>
            <w:r w:rsidRPr="00BD1319">
              <w:rPr>
                <w:noProof/>
                <w:webHidden/>
              </w:rPr>
            </w:r>
            <w:r w:rsidRPr="00BD1319">
              <w:rPr>
                <w:noProof/>
                <w:webHidden/>
              </w:rPr>
              <w:fldChar w:fldCharType="separate"/>
            </w:r>
            <w:r w:rsidRPr="00BD1319">
              <w:rPr>
                <w:noProof/>
                <w:webHidden/>
              </w:rPr>
              <w:t>98</w:t>
            </w:r>
            <w:r w:rsidRPr="00BD1319">
              <w:rPr>
                <w:noProof/>
                <w:webHidden/>
              </w:rPr>
              <w:fldChar w:fldCharType="end"/>
            </w:r>
          </w:hyperlink>
        </w:p>
        <w:p w14:paraId="0F48E811" w14:textId="22C6C891" w:rsidR="00296654" w:rsidRPr="00BD1319" w:rsidRDefault="00296654">
          <w:pPr>
            <w:pStyle w:val="TDC3"/>
            <w:rPr>
              <w:rFonts w:asciiTheme="minorHAnsi" w:eastAsiaTheme="minorEastAsia" w:hAnsiTheme="minorHAnsi" w:cstheme="minorBidi"/>
              <w:iCs w:val="0"/>
              <w:caps w:val="0"/>
              <w:noProof/>
              <w:kern w:val="2"/>
              <w:szCs w:val="24"/>
              <w:lang w:eastAsia="es-CO"/>
              <w14:ligatures w14:val="standardContextual"/>
            </w:rPr>
          </w:pPr>
          <w:hyperlink w:anchor="_Toc175326697" w:history="1">
            <w:r w:rsidRPr="00BD1319">
              <w:rPr>
                <w:rStyle w:val="Hipervnculo"/>
                <w:noProof/>
              </w:rPr>
              <w:t>4.1.2</w:t>
            </w:r>
            <w:r w:rsidRPr="00BD1319">
              <w:rPr>
                <w:rFonts w:asciiTheme="minorHAnsi" w:eastAsiaTheme="minorEastAsia" w:hAnsiTheme="minorHAnsi" w:cstheme="minorBidi"/>
                <w:iCs w:val="0"/>
                <w:caps w:val="0"/>
                <w:noProof/>
                <w:kern w:val="2"/>
                <w:szCs w:val="24"/>
                <w:lang w:eastAsia="es-CO"/>
                <w14:ligatures w14:val="standardContextual"/>
              </w:rPr>
              <w:tab/>
            </w:r>
            <w:r w:rsidRPr="00BD1319">
              <w:rPr>
                <w:rStyle w:val="Hipervnculo"/>
                <w:noProof/>
              </w:rPr>
              <w:t>Edafológico y usos de la tierra</w:t>
            </w:r>
            <w:r w:rsidRPr="00BD1319">
              <w:rPr>
                <w:noProof/>
                <w:webHidden/>
              </w:rPr>
              <w:tab/>
            </w:r>
            <w:r w:rsidRPr="00BD1319">
              <w:rPr>
                <w:noProof/>
                <w:webHidden/>
              </w:rPr>
              <w:fldChar w:fldCharType="begin"/>
            </w:r>
            <w:r w:rsidRPr="00BD1319">
              <w:rPr>
                <w:noProof/>
                <w:webHidden/>
              </w:rPr>
              <w:instrText xml:space="preserve"> PAGEREF _Toc175326697 \h </w:instrText>
            </w:r>
            <w:r w:rsidRPr="00BD1319">
              <w:rPr>
                <w:noProof/>
                <w:webHidden/>
              </w:rPr>
            </w:r>
            <w:r w:rsidRPr="00BD1319">
              <w:rPr>
                <w:noProof/>
                <w:webHidden/>
              </w:rPr>
              <w:fldChar w:fldCharType="separate"/>
            </w:r>
            <w:r w:rsidRPr="00BD1319">
              <w:rPr>
                <w:noProof/>
                <w:webHidden/>
              </w:rPr>
              <w:t>99</w:t>
            </w:r>
            <w:r w:rsidRPr="00BD1319">
              <w:rPr>
                <w:noProof/>
                <w:webHidden/>
              </w:rPr>
              <w:fldChar w:fldCharType="end"/>
            </w:r>
          </w:hyperlink>
        </w:p>
        <w:p w14:paraId="7AFB9AD4" w14:textId="4AB72647" w:rsidR="00296654" w:rsidRPr="00BD1319" w:rsidRDefault="00296654">
          <w:pPr>
            <w:pStyle w:val="TDC3"/>
            <w:rPr>
              <w:rFonts w:asciiTheme="minorHAnsi" w:eastAsiaTheme="minorEastAsia" w:hAnsiTheme="minorHAnsi" w:cstheme="minorBidi"/>
              <w:iCs w:val="0"/>
              <w:caps w:val="0"/>
              <w:noProof/>
              <w:kern w:val="2"/>
              <w:szCs w:val="24"/>
              <w:lang w:eastAsia="es-CO"/>
              <w14:ligatures w14:val="standardContextual"/>
            </w:rPr>
          </w:pPr>
          <w:hyperlink w:anchor="_Toc175326698" w:history="1">
            <w:r w:rsidRPr="00BD1319">
              <w:rPr>
                <w:rStyle w:val="Hipervnculo"/>
                <w:noProof/>
              </w:rPr>
              <w:t>4.1.3</w:t>
            </w:r>
            <w:r w:rsidRPr="00BD1319">
              <w:rPr>
                <w:rFonts w:asciiTheme="minorHAnsi" w:eastAsiaTheme="minorEastAsia" w:hAnsiTheme="minorHAnsi" w:cstheme="minorBidi"/>
                <w:iCs w:val="0"/>
                <w:caps w:val="0"/>
                <w:noProof/>
                <w:kern w:val="2"/>
                <w:szCs w:val="24"/>
                <w:lang w:eastAsia="es-CO"/>
                <w14:ligatures w14:val="standardContextual"/>
              </w:rPr>
              <w:tab/>
            </w:r>
            <w:r w:rsidRPr="00BD1319">
              <w:rPr>
                <w:rStyle w:val="Hipervnculo"/>
                <w:noProof/>
              </w:rPr>
              <w:t>Hidrológico</w:t>
            </w:r>
            <w:r w:rsidRPr="00BD1319">
              <w:rPr>
                <w:noProof/>
                <w:webHidden/>
              </w:rPr>
              <w:tab/>
            </w:r>
            <w:r w:rsidRPr="00BD1319">
              <w:rPr>
                <w:noProof/>
                <w:webHidden/>
              </w:rPr>
              <w:fldChar w:fldCharType="begin"/>
            </w:r>
            <w:r w:rsidRPr="00BD1319">
              <w:rPr>
                <w:noProof/>
                <w:webHidden/>
              </w:rPr>
              <w:instrText xml:space="preserve"> PAGEREF _Toc175326698 \h </w:instrText>
            </w:r>
            <w:r w:rsidRPr="00BD1319">
              <w:rPr>
                <w:noProof/>
                <w:webHidden/>
              </w:rPr>
            </w:r>
            <w:r w:rsidRPr="00BD1319">
              <w:rPr>
                <w:noProof/>
                <w:webHidden/>
              </w:rPr>
              <w:fldChar w:fldCharType="separate"/>
            </w:r>
            <w:r w:rsidRPr="00BD1319">
              <w:rPr>
                <w:noProof/>
                <w:webHidden/>
              </w:rPr>
              <w:t>101</w:t>
            </w:r>
            <w:r w:rsidRPr="00BD1319">
              <w:rPr>
                <w:noProof/>
                <w:webHidden/>
              </w:rPr>
              <w:fldChar w:fldCharType="end"/>
            </w:r>
          </w:hyperlink>
        </w:p>
        <w:p w14:paraId="216FC23C" w14:textId="12B55CDB" w:rsidR="00296654" w:rsidRPr="00BD1319" w:rsidRDefault="00296654">
          <w:pPr>
            <w:pStyle w:val="TDC3"/>
            <w:rPr>
              <w:rFonts w:asciiTheme="minorHAnsi" w:eastAsiaTheme="minorEastAsia" w:hAnsiTheme="minorHAnsi" w:cstheme="minorBidi"/>
              <w:iCs w:val="0"/>
              <w:caps w:val="0"/>
              <w:noProof/>
              <w:kern w:val="2"/>
              <w:szCs w:val="24"/>
              <w:lang w:eastAsia="es-CO"/>
              <w14:ligatures w14:val="standardContextual"/>
            </w:rPr>
          </w:pPr>
          <w:hyperlink w:anchor="_Toc175326699" w:history="1">
            <w:r w:rsidRPr="00BD1319">
              <w:rPr>
                <w:rStyle w:val="Hipervnculo"/>
                <w:noProof/>
              </w:rPr>
              <w:t>4.1.4</w:t>
            </w:r>
            <w:r w:rsidRPr="00BD1319">
              <w:rPr>
                <w:rFonts w:asciiTheme="minorHAnsi" w:eastAsiaTheme="minorEastAsia" w:hAnsiTheme="minorHAnsi" w:cstheme="minorBidi"/>
                <w:iCs w:val="0"/>
                <w:caps w:val="0"/>
                <w:noProof/>
                <w:kern w:val="2"/>
                <w:szCs w:val="24"/>
                <w:lang w:eastAsia="es-CO"/>
                <w14:ligatures w14:val="standardContextual"/>
              </w:rPr>
              <w:tab/>
            </w:r>
            <w:r w:rsidRPr="00BD1319">
              <w:rPr>
                <w:rStyle w:val="Hipervnculo"/>
                <w:noProof/>
              </w:rPr>
              <w:t>Oceanográfico</w:t>
            </w:r>
            <w:r w:rsidRPr="00BD1319">
              <w:rPr>
                <w:noProof/>
                <w:webHidden/>
              </w:rPr>
              <w:tab/>
            </w:r>
            <w:r w:rsidRPr="00BD1319">
              <w:rPr>
                <w:noProof/>
                <w:webHidden/>
              </w:rPr>
              <w:fldChar w:fldCharType="begin"/>
            </w:r>
            <w:r w:rsidRPr="00BD1319">
              <w:rPr>
                <w:noProof/>
                <w:webHidden/>
              </w:rPr>
              <w:instrText xml:space="preserve"> PAGEREF _Toc175326699 \h </w:instrText>
            </w:r>
            <w:r w:rsidRPr="00BD1319">
              <w:rPr>
                <w:noProof/>
                <w:webHidden/>
              </w:rPr>
            </w:r>
            <w:r w:rsidRPr="00BD1319">
              <w:rPr>
                <w:noProof/>
                <w:webHidden/>
              </w:rPr>
              <w:fldChar w:fldCharType="separate"/>
            </w:r>
            <w:r w:rsidRPr="00BD1319">
              <w:rPr>
                <w:noProof/>
                <w:webHidden/>
              </w:rPr>
              <w:t>106</w:t>
            </w:r>
            <w:r w:rsidRPr="00BD1319">
              <w:rPr>
                <w:noProof/>
                <w:webHidden/>
              </w:rPr>
              <w:fldChar w:fldCharType="end"/>
            </w:r>
          </w:hyperlink>
        </w:p>
        <w:p w14:paraId="577B3E27" w14:textId="220977CC" w:rsidR="00296654" w:rsidRPr="00BD1319" w:rsidRDefault="00296654">
          <w:pPr>
            <w:pStyle w:val="TDC3"/>
            <w:rPr>
              <w:rFonts w:asciiTheme="minorHAnsi" w:eastAsiaTheme="minorEastAsia" w:hAnsiTheme="minorHAnsi" w:cstheme="minorBidi"/>
              <w:iCs w:val="0"/>
              <w:caps w:val="0"/>
              <w:noProof/>
              <w:kern w:val="2"/>
              <w:szCs w:val="24"/>
              <w:lang w:eastAsia="es-CO"/>
              <w14:ligatures w14:val="standardContextual"/>
            </w:rPr>
          </w:pPr>
          <w:hyperlink w:anchor="_Toc175326700" w:history="1">
            <w:r w:rsidRPr="00BD1319">
              <w:rPr>
                <w:rStyle w:val="Hipervnculo"/>
                <w:noProof/>
              </w:rPr>
              <w:t>4.1.5</w:t>
            </w:r>
            <w:r w:rsidRPr="00BD1319">
              <w:rPr>
                <w:rFonts w:asciiTheme="minorHAnsi" w:eastAsiaTheme="minorEastAsia" w:hAnsiTheme="minorHAnsi" w:cstheme="minorBidi"/>
                <w:iCs w:val="0"/>
                <w:caps w:val="0"/>
                <w:noProof/>
                <w:kern w:val="2"/>
                <w:szCs w:val="24"/>
                <w:lang w:eastAsia="es-CO"/>
                <w14:ligatures w14:val="standardContextual"/>
              </w:rPr>
              <w:tab/>
            </w:r>
            <w:r w:rsidRPr="00BD1319">
              <w:rPr>
                <w:rStyle w:val="Hipervnculo"/>
                <w:noProof/>
              </w:rPr>
              <w:t>Hidrogeológico</w:t>
            </w:r>
            <w:r w:rsidRPr="00BD1319">
              <w:rPr>
                <w:noProof/>
                <w:webHidden/>
              </w:rPr>
              <w:tab/>
            </w:r>
            <w:r w:rsidRPr="00BD1319">
              <w:rPr>
                <w:noProof/>
                <w:webHidden/>
              </w:rPr>
              <w:fldChar w:fldCharType="begin"/>
            </w:r>
            <w:r w:rsidRPr="00BD1319">
              <w:rPr>
                <w:noProof/>
                <w:webHidden/>
              </w:rPr>
              <w:instrText xml:space="preserve"> PAGEREF _Toc175326700 \h </w:instrText>
            </w:r>
            <w:r w:rsidRPr="00BD1319">
              <w:rPr>
                <w:noProof/>
                <w:webHidden/>
              </w:rPr>
            </w:r>
            <w:r w:rsidRPr="00BD1319">
              <w:rPr>
                <w:noProof/>
                <w:webHidden/>
              </w:rPr>
              <w:fldChar w:fldCharType="separate"/>
            </w:r>
            <w:r w:rsidRPr="00BD1319">
              <w:rPr>
                <w:noProof/>
                <w:webHidden/>
              </w:rPr>
              <w:t>106</w:t>
            </w:r>
            <w:r w:rsidRPr="00BD1319">
              <w:rPr>
                <w:noProof/>
                <w:webHidden/>
              </w:rPr>
              <w:fldChar w:fldCharType="end"/>
            </w:r>
          </w:hyperlink>
        </w:p>
        <w:p w14:paraId="2E0C4D83" w14:textId="21DAD0E8" w:rsidR="00296654" w:rsidRPr="00BD1319" w:rsidRDefault="00296654">
          <w:pPr>
            <w:pStyle w:val="TDC3"/>
            <w:rPr>
              <w:rFonts w:asciiTheme="minorHAnsi" w:eastAsiaTheme="minorEastAsia" w:hAnsiTheme="minorHAnsi" w:cstheme="minorBidi"/>
              <w:iCs w:val="0"/>
              <w:caps w:val="0"/>
              <w:noProof/>
              <w:kern w:val="2"/>
              <w:szCs w:val="24"/>
              <w:lang w:eastAsia="es-CO"/>
              <w14:ligatures w14:val="standardContextual"/>
            </w:rPr>
          </w:pPr>
          <w:hyperlink w:anchor="_Toc175326701" w:history="1">
            <w:r w:rsidRPr="00BD1319">
              <w:rPr>
                <w:rStyle w:val="Hipervnculo"/>
                <w:noProof/>
              </w:rPr>
              <w:t>4.1.6</w:t>
            </w:r>
            <w:r w:rsidRPr="00BD1319">
              <w:rPr>
                <w:rFonts w:asciiTheme="minorHAnsi" w:eastAsiaTheme="minorEastAsia" w:hAnsiTheme="minorHAnsi" w:cstheme="minorBidi"/>
                <w:iCs w:val="0"/>
                <w:caps w:val="0"/>
                <w:noProof/>
                <w:kern w:val="2"/>
                <w:szCs w:val="24"/>
                <w:lang w:eastAsia="es-CO"/>
                <w14:ligatures w14:val="standardContextual"/>
              </w:rPr>
              <w:tab/>
            </w:r>
            <w:r w:rsidRPr="00BD1319">
              <w:rPr>
                <w:rStyle w:val="Hipervnculo"/>
                <w:noProof/>
              </w:rPr>
              <w:t>Atmosférico</w:t>
            </w:r>
            <w:r w:rsidRPr="00BD1319">
              <w:rPr>
                <w:noProof/>
                <w:webHidden/>
              </w:rPr>
              <w:tab/>
            </w:r>
            <w:r w:rsidRPr="00BD1319">
              <w:rPr>
                <w:noProof/>
                <w:webHidden/>
              </w:rPr>
              <w:fldChar w:fldCharType="begin"/>
            </w:r>
            <w:r w:rsidRPr="00BD1319">
              <w:rPr>
                <w:noProof/>
                <w:webHidden/>
              </w:rPr>
              <w:instrText xml:space="preserve"> PAGEREF _Toc175326701 \h </w:instrText>
            </w:r>
            <w:r w:rsidRPr="00BD1319">
              <w:rPr>
                <w:noProof/>
                <w:webHidden/>
              </w:rPr>
            </w:r>
            <w:r w:rsidRPr="00BD1319">
              <w:rPr>
                <w:noProof/>
                <w:webHidden/>
              </w:rPr>
              <w:fldChar w:fldCharType="separate"/>
            </w:r>
            <w:r w:rsidRPr="00BD1319">
              <w:rPr>
                <w:noProof/>
                <w:webHidden/>
              </w:rPr>
              <w:t>107</w:t>
            </w:r>
            <w:r w:rsidRPr="00BD1319">
              <w:rPr>
                <w:noProof/>
                <w:webHidden/>
              </w:rPr>
              <w:fldChar w:fldCharType="end"/>
            </w:r>
          </w:hyperlink>
        </w:p>
        <w:p w14:paraId="29067149" w14:textId="3D9BCA66" w:rsidR="00296654" w:rsidRPr="00BD1319" w:rsidRDefault="00296654">
          <w:pPr>
            <w:pStyle w:val="TDC2"/>
            <w:rPr>
              <w:rFonts w:asciiTheme="minorHAnsi" w:eastAsiaTheme="minorEastAsia" w:hAnsiTheme="minorHAnsi" w:cstheme="minorBidi"/>
              <w:b w:val="0"/>
              <w:caps w:val="0"/>
              <w:noProof/>
              <w:kern w:val="2"/>
              <w:szCs w:val="24"/>
              <w:lang w:eastAsia="es-CO"/>
              <w14:ligatures w14:val="standardContextual"/>
            </w:rPr>
          </w:pPr>
          <w:hyperlink w:anchor="_Toc175326702" w:history="1">
            <w:r w:rsidRPr="00BD1319">
              <w:rPr>
                <w:rStyle w:val="Hipervnculo"/>
                <w:rFonts w:cs="Arial"/>
                <w:noProof/>
              </w:rPr>
              <w:t>4.2</w:t>
            </w:r>
            <w:r w:rsidRPr="00BD1319">
              <w:rPr>
                <w:rFonts w:asciiTheme="minorHAnsi" w:eastAsiaTheme="minorEastAsia" w:hAnsiTheme="minorHAnsi" w:cstheme="minorBidi"/>
                <w:b w:val="0"/>
                <w:caps w:val="0"/>
                <w:noProof/>
                <w:kern w:val="2"/>
                <w:szCs w:val="24"/>
                <w:lang w:eastAsia="es-CO"/>
                <w14:ligatures w14:val="standardContextual"/>
              </w:rPr>
              <w:tab/>
            </w:r>
            <w:r w:rsidRPr="00BD1319">
              <w:rPr>
                <w:rStyle w:val="Hipervnculo"/>
                <w:noProof/>
              </w:rPr>
              <w:t>MEDIO BIÓTICO</w:t>
            </w:r>
            <w:r w:rsidRPr="00BD1319">
              <w:rPr>
                <w:noProof/>
                <w:webHidden/>
              </w:rPr>
              <w:tab/>
            </w:r>
            <w:r w:rsidRPr="00BD1319">
              <w:rPr>
                <w:noProof/>
                <w:webHidden/>
              </w:rPr>
              <w:fldChar w:fldCharType="begin"/>
            </w:r>
            <w:r w:rsidRPr="00BD1319">
              <w:rPr>
                <w:noProof/>
                <w:webHidden/>
              </w:rPr>
              <w:instrText xml:space="preserve"> PAGEREF _Toc175326702 \h </w:instrText>
            </w:r>
            <w:r w:rsidRPr="00BD1319">
              <w:rPr>
                <w:noProof/>
                <w:webHidden/>
              </w:rPr>
            </w:r>
            <w:r w:rsidRPr="00BD1319">
              <w:rPr>
                <w:noProof/>
                <w:webHidden/>
              </w:rPr>
              <w:fldChar w:fldCharType="separate"/>
            </w:r>
            <w:r w:rsidRPr="00BD1319">
              <w:rPr>
                <w:noProof/>
                <w:webHidden/>
              </w:rPr>
              <w:t>112</w:t>
            </w:r>
            <w:r w:rsidRPr="00BD1319">
              <w:rPr>
                <w:noProof/>
                <w:webHidden/>
              </w:rPr>
              <w:fldChar w:fldCharType="end"/>
            </w:r>
          </w:hyperlink>
        </w:p>
        <w:p w14:paraId="7734B710" w14:textId="30A675A6" w:rsidR="00296654" w:rsidRPr="00BD1319" w:rsidRDefault="00296654">
          <w:pPr>
            <w:pStyle w:val="TDC3"/>
            <w:rPr>
              <w:rFonts w:asciiTheme="minorHAnsi" w:eastAsiaTheme="minorEastAsia" w:hAnsiTheme="minorHAnsi" w:cstheme="minorBidi"/>
              <w:iCs w:val="0"/>
              <w:caps w:val="0"/>
              <w:noProof/>
              <w:kern w:val="2"/>
              <w:szCs w:val="24"/>
              <w:lang w:eastAsia="es-CO"/>
              <w14:ligatures w14:val="standardContextual"/>
            </w:rPr>
          </w:pPr>
          <w:hyperlink w:anchor="_Toc175326703" w:history="1">
            <w:r w:rsidRPr="00BD1319">
              <w:rPr>
                <w:rStyle w:val="Hipervnculo"/>
                <w:noProof/>
              </w:rPr>
              <w:t>4.2.1</w:t>
            </w:r>
            <w:r w:rsidRPr="00BD1319">
              <w:rPr>
                <w:rFonts w:asciiTheme="minorHAnsi" w:eastAsiaTheme="minorEastAsia" w:hAnsiTheme="minorHAnsi" w:cstheme="minorBidi"/>
                <w:iCs w:val="0"/>
                <w:caps w:val="0"/>
                <w:noProof/>
                <w:kern w:val="2"/>
                <w:szCs w:val="24"/>
                <w:lang w:eastAsia="es-CO"/>
                <w14:ligatures w14:val="standardContextual"/>
              </w:rPr>
              <w:tab/>
            </w:r>
            <w:r w:rsidRPr="00BD1319">
              <w:rPr>
                <w:rStyle w:val="Hipervnculo"/>
                <w:noProof/>
              </w:rPr>
              <w:t>Ecosistemas terrestres</w:t>
            </w:r>
            <w:r w:rsidRPr="00BD1319">
              <w:rPr>
                <w:noProof/>
                <w:webHidden/>
              </w:rPr>
              <w:tab/>
            </w:r>
            <w:r w:rsidRPr="00BD1319">
              <w:rPr>
                <w:noProof/>
                <w:webHidden/>
              </w:rPr>
              <w:fldChar w:fldCharType="begin"/>
            </w:r>
            <w:r w:rsidRPr="00BD1319">
              <w:rPr>
                <w:noProof/>
                <w:webHidden/>
              </w:rPr>
              <w:instrText xml:space="preserve"> PAGEREF _Toc175326703 \h </w:instrText>
            </w:r>
            <w:r w:rsidRPr="00BD1319">
              <w:rPr>
                <w:noProof/>
                <w:webHidden/>
              </w:rPr>
            </w:r>
            <w:r w:rsidRPr="00BD1319">
              <w:rPr>
                <w:noProof/>
                <w:webHidden/>
              </w:rPr>
              <w:fldChar w:fldCharType="separate"/>
            </w:r>
            <w:r w:rsidRPr="00BD1319">
              <w:rPr>
                <w:noProof/>
                <w:webHidden/>
              </w:rPr>
              <w:t>113</w:t>
            </w:r>
            <w:r w:rsidRPr="00BD1319">
              <w:rPr>
                <w:noProof/>
                <w:webHidden/>
              </w:rPr>
              <w:fldChar w:fldCharType="end"/>
            </w:r>
          </w:hyperlink>
        </w:p>
        <w:p w14:paraId="3C5FCDD5" w14:textId="22F5E8CB" w:rsidR="00296654" w:rsidRPr="00BD1319" w:rsidRDefault="00296654">
          <w:pPr>
            <w:pStyle w:val="TDC3"/>
            <w:rPr>
              <w:rFonts w:asciiTheme="minorHAnsi" w:eastAsiaTheme="minorEastAsia" w:hAnsiTheme="minorHAnsi" w:cstheme="minorBidi"/>
              <w:iCs w:val="0"/>
              <w:caps w:val="0"/>
              <w:noProof/>
              <w:kern w:val="2"/>
              <w:szCs w:val="24"/>
              <w:lang w:eastAsia="es-CO"/>
              <w14:ligatures w14:val="standardContextual"/>
            </w:rPr>
          </w:pPr>
          <w:hyperlink w:anchor="_Toc175326704" w:history="1">
            <w:r w:rsidRPr="00BD1319">
              <w:rPr>
                <w:rStyle w:val="Hipervnculo"/>
                <w:noProof/>
              </w:rPr>
              <w:t>4.2.2</w:t>
            </w:r>
            <w:r w:rsidRPr="00BD1319">
              <w:rPr>
                <w:rFonts w:asciiTheme="minorHAnsi" w:eastAsiaTheme="minorEastAsia" w:hAnsiTheme="minorHAnsi" w:cstheme="minorBidi"/>
                <w:iCs w:val="0"/>
                <w:caps w:val="0"/>
                <w:noProof/>
                <w:kern w:val="2"/>
                <w:szCs w:val="24"/>
                <w:lang w:eastAsia="es-CO"/>
                <w14:ligatures w14:val="standardContextual"/>
              </w:rPr>
              <w:tab/>
            </w:r>
            <w:r w:rsidRPr="00BD1319">
              <w:rPr>
                <w:rStyle w:val="Hipervnculo"/>
                <w:noProof/>
              </w:rPr>
              <w:t>Ecosistemas acuáticos</w:t>
            </w:r>
            <w:r w:rsidRPr="00BD1319">
              <w:rPr>
                <w:noProof/>
                <w:webHidden/>
              </w:rPr>
              <w:tab/>
            </w:r>
            <w:r w:rsidRPr="00BD1319">
              <w:rPr>
                <w:noProof/>
                <w:webHidden/>
              </w:rPr>
              <w:fldChar w:fldCharType="begin"/>
            </w:r>
            <w:r w:rsidRPr="00BD1319">
              <w:rPr>
                <w:noProof/>
                <w:webHidden/>
              </w:rPr>
              <w:instrText xml:space="preserve"> PAGEREF _Toc175326704 \h </w:instrText>
            </w:r>
            <w:r w:rsidRPr="00BD1319">
              <w:rPr>
                <w:noProof/>
                <w:webHidden/>
              </w:rPr>
            </w:r>
            <w:r w:rsidRPr="00BD1319">
              <w:rPr>
                <w:noProof/>
                <w:webHidden/>
              </w:rPr>
              <w:fldChar w:fldCharType="separate"/>
            </w:r>
            <w:r w:rsidRPr="00BD1319">
              <w:rPr>
                <w:noProof/>
                <w:webHidden/>
              </w:rPr>
              <w:t>115</w:t>
            </w:r>
            <w:r w:rsidRPr="00BD1319">
              <w:rPr>
                <w:noProof/>
                <w:webHidden/>
              </w:rPr>
              <w:fldChar w:fldCharType="end"/>
            </w:r>
          </w:hyperlink>
        </w:p>
        <w:p w14:paraId="4268494F" w14:textId="414A084C" w:rsidR="00296654" w:rsidRPr="00BD1319" w:rsidRDefault="00296654">
          <w:pPr>
            <w:pStyle w:val="TDC3"/>
            <w:rPr>
              <w:rFonts w:asciiTheme="minorHAnsi" w:eastAsiaTheme="minorEastAsia" w:hAnsiTheme="minorHAnsi" w:cstheme="minorBidi"/>
              <w:iCs w:val="0"/>
              <w:caps w:val="0"/>
              <w:noProof/>
              <w:kern w:val="2"/>
              <w:szCs w:val="24"/>
              <w:lang w:eastAsia="es-CO"/>
              <w14:ligatures w14:val="standardContextual"/>
            </w:rPr>
          </w:pPr>
          <w:hyperlink w:anchor="_Toc175326705" w:history="1">
            <w:r w:rsidRPr="00BD1319">
              <w:rPr>
                <w:rStyle w:val="Hipervnculo"/>
                <w:noProof/>
              </w:rPr>
              <w:t>4.2.3</w:t>
            </w:r>
            <w:r w:rsidRPr="00BD1319">
              <w:rPr>
                <w:rFonts w:asciiTheme="minorHAnsi" w:eastAsiaTheme="minorEastAsia" w:hAnsiTheme="minorHAnsi" w:cstheme="minorBidi"/>
                <w:iCs w:val="0"/>
                <w:caps w:val="0"/>
                <w:noProof/>
                <w:kern w:val="2"/>
                <w:szCs w:val="24"/>
                <w:lang w:eastAsia="es-CO"/>
                <w14:ligatures w14:val="standardContextual"/>
              </w:rPr>
              <w:tab/>
            </w:r>
            <w:r w:rsidRPr="00BD1319">
              <w:rPr>
                <w:rStyle w:val="Hipervnculo"/>
                <w:noProof/>
              </w:rPr>
              <w:t>Áreas Ambientales Estratégicas (AAE)</w:t>
            </w:r>
            <w:r w:rsidRPr="00BD1319">
              <w:rPr>
                <w:noProof/>
                <w:webHidden/>
              </w:rPr>
              <w:tab/>
            </w:r>
            <w:r w:rsidRPr="00BD1319">
              <w:rPr>
                <w:noProof/>
                <w:webHidden/>
              </w:rPr>
              <w:fldChar w:fldCharType="begin"/>
            </w:r>
            <w:r w:rsidRPr="00BD1319">
              <w:rPr>
                <w:noProof/>
                <w:webHidden/>
              </w:rPr>
              <w:instrText xml:space="preserve"> PAGEREF _Toc175326705 \h </w:instrText>
            </w:r>
            <w:r w:rsidRPr="00BD1319">
              <w:rPr>
                <w:noProof/>
                <w:webHidden/>
              </w:rPr>
            </w:r>
            <w:r w:rsidRPr="00BD1319">
              <w:rPr>
                <w:noProof/>
                <w:webHidden/>
              </w:rPr>
              <w:fldChar w:fldCharType="separate"/>
            </w:r>
            <w:r w:rsidRPr="00BD1319">
              <w:rPr>
                <w:noProof/>
                <w:webHidden/>
              </w:rPr>
              <w:t>116</w:t>
            </w:r>
            <w:r w:rsidRPr="00BD1319">
              <w:rPr>
                <w:noProof/>
                <w:webHidden/>
              </w:rPr>
              <w:fldChar w:fldCharType="end"/>
            </w:r>
          </w:hyperlink>
        </w:p>
        <w:p w14:paraId="35D128E0" w14:textId="74BC954C" w:rsidR="00296654" w:rsidRPr="00BD1319" w:rsidRDefault="00296654">
          <w:pPr>
            <w:pStyle w:val="TDC2"/>
            <w:rPr>
              <w:rFonts w:asciiTheme="minorHAnsi" w:eastAsiaTheme="minorEastAsia" w:hAnsiTheme="minorHAnsi" w:cstheme="minorBidi"/>
              <w:b w:val="0"/>
              <w:caps w:val="0"/>
              <w:noProof/>
              <w:kern w:val="2"/>
              <w:szCs w:val="24"/>
              <w:lang w:eastAsia="es-CO"/>
              <w14:ligatures w14:val="standardContextual"/>
            </w:rPr>
          </w:pPr>
          <w:hyperlink w:anchor="_Toc175326706" w:history="1">
            <w:r w:rsidRPr="00BD1319">
              <w:rPr>
                <w:rStyle w:val="Hipervnculo"/>
                <w:rFonts w:cs="Arial"/>
                <w:noProof/>
              </w:rPr>
              <w:t>4.3</w:t>
            </w:r>
            <w:r w:rsidRPr="00BD1319">
              <w:rPr>
                <w:rFonts w:asciiTheme="minorHAnsi" w:eastAsiaTheme="minorEastAsia" w:hAnsiTheme="minorHAnsi" w:cstheme="minorBidi"/>
                <w:b w:val="0"/>
                <w:caps w:val="0"/>
                <w:noProof/>
                <w:kern w:val="2"/>
                <w:szCs w:val="24"/>
                <w:lang w:eastAsia="es-CO"/>
                <w14:ligatures w14:val="standardContextual"/>
              </w:rPr>
              <w:tab/>
            </w:r>
            <w:r w:rsidRPr="00BD1319">
              <w:rPr>
                <w:rStyle w:val="Hipervnculo"/>
                <w:noProof/>
              </w:rPr>
              <w:t>MEDIO SOCIOECONÓMICO</w:t>
            </w:r>
            <w:r w:rsidRPr="00BD1319">
              <w:rPr>
                <w:noProof/>
                <w:webHidden/>
              </w:rPr>
              <w:tab/>
            </w:r>
            <w:r w:rsidRPr="00BD1319">
              <w:rPr>
                <w:noProof/>
                <w:webHidden/>
              </w:rPr>
              <w:fldChar w:fldCharType="begin"/>
            </w:r>
            <w:r w:rsidRPr="00BD1319">
              <w:rPr>
                <w:noProof/>
                <w:webHidden/>
              </w:rPr>
              <w:instrText xml:space="preserve"> PAGEREF _Toc175326706 \h </w:instrText>
            </w:r>
            <w:r w:rsidRPr="00BD1319">
              <w:rPr>
                <w:noProof/>
                <w:webHidden/>
              </w:rPr>
            </w:r>
            <w:r w:rsidRPr="00BD1319">
              <w:rPr>
                <w:noProof/>
                <w:webHidden/>
              </w:rPr>
              <w:fldChar w:fldCharType="separate"/>
            </w:r>
            <w:r w:rsidRPr="00BD1319">
              <w:rPr>
                <w:noProof/>
                <w:webHidden/>
              </w:rPr>
              <w:t>119</w:t>
            </w:r>
            <w:r w:rsidRPr="00BD1319">
              <w:rPr>
                <w:noProof/>
                <w:webHidden/>
              </w:rPr>
              <w:fldChar w:fldCharType="end"/>
            </w:r>
          </w:hyperlink>
        </w:p>
        <w:p w14:paraId="3419F6A9" w14:textId="63FFA385" w:rsidR="00296654" w:rsidRPr="00BD1319" w:rsidRDefault="00296654">
          <w:pPr>
            <w:pStyle w:val="TDC3"/>
            <w:rPr>
              <w:rFonts w:asciiTheme="minorHAnsi" w:eastAsiaTheme="minorEastAsia" w:hAnsiTheme="minorHAnsi" w:cstheme="minorBidi"/>
              <w:iCs w:val="0"/>
              <w:caps w:val="0"/>
              <w:noProof/>
              <w:kern w:val="2"/>
              <w:szCs w:val="24"/>
              <w:lang w:eastAsia="es-CO"/>
              <w14:ligatures w14:val="standardContextual"/>
            </w:rPr>
          </w:pPr>
          <w:hyperlink w:anchor="_Toc175326707" w:history="1">
            <w:r w:rsidRPr="00BD1319">
              <w:rPr>
                <w:rStyle w:val="Hipervnculo"/>
                <w:noProof/>
              </w:rPr>
              <w:t>4.3.1</w:t>
            </w:r>
            <w:r w:rsidRPr="00BD1319">
              <w:rPr>
                <w:rFonts w:asciiTheme="minorHAnsi" w:eastAsiaTheme="minorEastAsia" w:hAnsiTheme="minorHAnsi" w:cstheme="minorBidi"/>
                <w:iCs w:val="0"/>
                <w:caps w:val="0"/>
                <w:noProof/>
                <w:kern w:val="2"/>
                <w:szCs w:val="24"/>
                <w:lang w:eastAsia="es-CO"/>
                <w14:ligatures w14:val="standardContextual"/>
              </w:rPr>
              <w:tab/>
            </w:r>
            <w:r w:rsidRPr="00BD1319">
              <w:rPr>
                <w:rStyle w:val="Hipervnculo"/>
                <w:noProof/>
              </w:rPr>
              <w:t>Demográfico</w:t>
            </w:r>
            <w:r w:rsidRPr="00BD1319">
              <w:rPr>
                <w:noProof/>
                <w:webHidden/>
              </w:rPr>
              <w:tab/>
            </w:r>
            <w:r w:rsidRPr="00BD1319">
              <w:rPr>
                <w:noProof/>
                <w:webHidden/>
              </w:rPr>
              <w:fldChar w:fldCharType="begin"/>
            </w:r>
            <w:r w:rsidRPr="00BD1319">
              <w:rPr>
                <w:noProof/>
                <w:webHidden/>
              </w:rPr>
              <w:instrText xml:space="preserve"> PAGEREF _Toc175326707 \h </w:instrText>
            </w:r>
            <w:r w:rsidRPr="00BD1319">
              <w:rPr>
                <w:noProof/>
                <w:webHidden/>
              </w:rPr>
            </w:r>
            <w:r w:rsidRPr="00BD1319">
              <w:rPr>
                <w:noProof/>
                <w:webHidden/>
              </w:rPr>
              <w:fldChar w:fldCharType="separate"/>
            </w:r>
            <w:r w:rsidRPr="00BD1319">
              <w:rPr>
                <w:noProof/>
                <w:webHidden/>
              </w:rPr>
              <w:t>120</w:t>
            </w:r>
            <w:r w:rsidRPr="00BD1319">
              <w:rPr>
                <w:noProof/>
                <w:webHidden/>
              </w:rPr>
              <w:fldChar w:fldCharType="end"/>
            </w:r>
          </w:hyperlink>
        </w:p>
        <w:p w14:paraId="631890B4" w14:textId="7A0EF805" w:rsidR="00296654" w:rsidRPr="00BD1319" w:rsidRDefault="00296654">
          <w:pPr>
            <w:pStyle w:val="TDC3"/>
            <w:rPr>
              <w:rFonts w:asciiTheme="minorHAnsi" w:eastAsiaTheme="minorEastAsia" w:hAnsiTheme="minorHAnsi" w:cstheme="minorBidi"/>
              <w:iCs w:val="0"/>
              <w:caps w:val="0"/>
              <w:noProof/>
              <w:kern w:val="2"/>
              <w:szCs w:val="24"/>
              <w:lang w:eastAsia="es-CO"/>
              <w14:ligatures w14:val="standardContextual"/>
            </w:rPr>
          </w:pPr>
          <w:hyperlink w:anchor="_Toc175326708" w:history="1">
            <w:r w:rsidRPr="00BD1319">
              <w:rPr>
                <w:rStyle w:val="Hipervnculo"/>
                <w:noProof/>
              </w:rPr>
              <w:t>4.3.2</w:t>
            </w:r>
            <w:r w:rsidRPr="00BD1319">
              <w:rPr>
                <w:rFonts w:asciiTheme="minorHAnsi" w:eastAsiaTheme="minorEastAsia" w:hAnsiTheme="minorHAnsi" w:cstheme="minorBidi"/>
                <w:iCs w:val="0"/>
                <w:caps w:val="0"/>
                <w:noProof/>
                <w:kern w:val="2"/>
                <w:szCs w:val="24"/>
                <w:lang w:eastAsia="es-CO"/>
                <w14:ligatures w14:val="standardContextual"/>
              </w:rPr>
              <w:tab/>
            </w:r>
            <w:r w:rsidRPr="00BD1319">
              <w:rPr>
                <w:rStyle w:val="Hipervnculo"/>
                <w:noProof/>
              </w:rPr>
              <w:t>Espacial</w:t>
            </w:r>
            <w:r w:rsidRPr="00BD1319">
              <w:rPr>
                <w:noProof/>
                <w:webHidden/>
              </w:rPr>
              <w:tab/>
            </w:r>
            <w:r w:rsidRPr="00BD1319">
              <w:rPr>
                <w:noProof/>
                <w:webHidden/>
              </w:rPr>
              <w:fldChar w:fldCharType="begin"/>
            </w:r>
            <w:r w:rsidRPr="00BD1319">
              <w:rPr>
                <w:noProof/>
                <w:webHidden/>
              </w:rPr>
              <w:instrText xml:space="preserve"> PAGEREF _Toc175326708 \h </w:instrText>
            </w:r>
            <w:r w:rsidRPr="00BD1319">
              <w:rPr>
                <w:noProof/>
                <w:webHidden/>
              </w:rPr>
            </w:r>
            <w:r w:rsidRPr="00BD1319">
              <w:rPr>
                <w:noProof/>
                <w:webHidden/>
              </w:rPr>
              <w:fldChar w:fldCharType="separate"/>
            </w:r>
            <w:r w:rsidRPr="00BD1319">
              <w:rPr>
                <w:noProof/>
                <w:webHidden/>
              </w:rPr>
              <w:t>120</w:t>
            </w:r>
            <w:r w:rsidRPr="00BD1319">
              <w:rPr>
                <w:noProof/>
                <w:webHidden/>
              </w:rPr>
              <w:fldChar w:fldCharType="end"/>
            </w:r>
          </w:hyperlink>
        </w:p>
        <w:p w14:paraId="40742507" w14:textId="3C92CC4B" w:rsidR="00296654" w:rsidRPr="00BD1319" w:rsidRDefault="00296654">
          <w:pPr>
            <w:pStyle w:val="TDC3"/>
            <w:rPr>
              <w:rFonts w:asciiTheme="minorHAnsi" w:eastAsiaTheme="minorEastAsia" w:hAnsiTheme="minorHAnsi" w:cstheme="minorBidi"/>
              <w:iCs w:val="0"/>
              <w:caps w:val="0"/>
              <w:noProof/>
              <w:kern w:val="2"/>
              <w:szCs w:val="24"/>
              <w:lang w:eastAsia="es-CO"/>
              <w14:ligatures w14:val="standardContextual"/>
            </w:rPr>
          </w:pPr>
          <w:hyperlink w:anchor="_Toc175326709" w:history="1">
            <w:r w:rsidRPr="00BD1319">
              <w:rPr>
                <w:rStyle w:val="Hipervnculo"/>
                <w:noProof/>
              </w:rPr>
              <w:t>4.3.3</w:t>
            </w:r>
            <w:r w:rsidRPr="00BD1319">
              <w:rPr>
                <w:rFonts w:asciiTheme="minorHAnsi" w:eastAsiaTheme="minorEastAsia" w:hAnsiTheme="minorHAnsi" w:cstheme="minorBidi"/>
                <w:iCs w:val="0"/>
                <w:caps w:val="0"/>
                <w:noProof/>
                <w:kern w:val="2"/>
                <w:szCs w:val="24"/>
                <w:lang w:eastAsia="es-CO"/>
                <w14:ligatures w14:val="standardContextual"/>
              </w:rPr>
              <w:tab/>
            </w:r>
            <w:r w:rsidRPr="00BD1319">
              <w:rPr>
                <w:rStyle w:val="Hipervnculo"/>
                <w:noProof/>
              </w:rPr>
              <w:t>Económico</w:t>
            </w:r>
            <w:r w:rsidRPr="00BD1319">
              <w:rPr>
                <w:noProof/>
                <w:webHidden/>
              </w:rPr>
              <w:tab/>
            </w:r>
            <w:r w:rsidRPr="00BD1319">
              <w:rPr>
                <w:noProof/>
                <w:webHidden/>
              </w:rPr>
              <w:fldChar w:fldCharType="begin"/>
            </w:r>
            <w:r w:rsidRPr="00BD1319">
              <w:rPr>
                <w:noProof/>
                <w:webHidden/>
              </w:rPr>
              <w:instrText xml:space="preserve"> PAGEREF _Toc175326709 \h </w:instrText>
            </w:r>
            <w:r w:rsidRPr="00BD1319">
              <w:rPr>
                <w:noProof/>
                <w:webHidden/>
              </w:rPr>
            </w:r>
            <w:r w:rsidRPr="00BD1319">
              <w:rPr>
                <w:noProof/>
                <w:webHidden/>
              </w:rPr>
              <w:fldChar w:fldCharType="separate"/>
            </w:r>
            <w:r w:rsidRPr="00BD1319">
              <w:rPr>
                <w:noProof/>
                <w:webHidden/>
              </w:rPr>
              <w:t>120</w:t>
            </w:r>
            <w:r w:rsidRPr="00BD1319">
              <w:rPr>
                <w:noProof/>
                <w:webHidden/>
              </w:rPr>
              <w:fldChar w:fldCharType="end"/>
            </w:r>
          </w:hyperlink>
        </w:p>
        <w:p w14:paraId="42BD5D00" w14:textId="74812F3F" w:rsidR="00296654" w:rsidRPr="00BD1319" w:rsidRDefault="00296654">
          <w:pPr>
            <w:pStyle w:val="TDC3"/>
            <w:rPr>
              <w:rFonts w:asciiTheme="minorHAnsi" w:eastAsiaTheme="minorEastAsia" w:hAnsiTheme="minorHAnsi" w:cstheme="minorBidi"/>
              <w:iCs w:val="0"/>
              <w:caps w:val="0"/>
              <w:noProof/>
              <w:kern w:val="2"/>
              <w:szCs w:val="24"/>
              <w:lang w:eastAsia="es-CO"/>
              <w14:ligatures w14:val="standardContextual"/>
            </w:rPr>
          </w:pPr>
          <w:hyperlink w:anchor="_Toc175326710" w:history="1">
            <w:r w:rsidRPr="00BD1319">
              <w:rPr>
                <w:rStyle w:val="Hipervnculo"/>
                <w:noProof/>
              </w:rPr>
              <w:t>4.3.4</w:t>
            </w:r>
            <w:r w:rsidRPr="00BD1319">
              <w:rPr>
                <w:rFonts w:asciiTheme="minorHAnsi" w:eastAsiaTheme="minorEastAsia" w:hAnsiTheme="minorHAnsi" w:cstheme="minorBidi"/>
                <w:iCs w:val="0"/>
                <w:caps w:val="0"/>
                <w:noProof/>
                <w:kern w:val="2"/>
                <w:szCs w:val="24"/>
                <w:lang w:eastAsia="es-CO"/>
                <w14:ligatures w14:val="standardContextual"/>
              </w:rPr>
              <w:tab/>
            </w:r>
            <w:r w:rsidRPr="00BD1319">
              <w:rPr>
                <w:rStyle w:val="Hipervnculo"/>
                <w:noProof/>
              </w:rPr>
              <w:t>Cultural</w:t>
            </w:r>
            <w:r w:rsidRPr="00BD1319">
              <w:rPr>
                <w:noProof/>
                <w:webHidden/>
              </w:rPr>
              <w:tab/>
            </w:r>
            <w:r w:rsidRPr="00BD1319">
              <w:rPr>
                <w:noProof/>
                <w:webHidden/>
              </w:rPr>
              <w:fldChar w:fldCharType="begin"/>
            </w:r>
            <w:r w:rsidRPr="00BD1319">
              <w:rPr>
                <w:noProof/>
                <w:webHidden/>
              </w:rPr>
              <w:instrText xml:space="preserve"> PAGEREF _Toc175326710 \h </w:instrText>
            </w:r>
            <w:r w:rsidRPr="00BD1319">
              <w:rPr>
                <w:noProof/>
                <w:webHidden/>
              </w:rPr>
            </w:r>
            <w:r w:rsidRPr="00BD1319">
              <w:rPr>
                <w:noProof/>
                <w:webHidden/>
              </w:rPr>
              <w:fldChar w:fldCharType="separate"/>
            </w:r>
            <w:r w:rsidRPr="00BD1319">
              <w:rPr>
                <w:noProof/>
                <w:webHidden/>
              </w:rPr>
              <w:t>121</w:t>
            </w:r>
            <w:r w:rsidRPr="00BD1319">
              <w:rPr>
                <w:noProof/>
                <w:webHidden/>
              </w:rPr>
              <w:fldChar w:fldCharType="end"/>
            </w:r>
          </w:hyperlink>
        </w:p>
        <w:p w14:paraId="75A5B292" w14:textId="0F60B917" w:rsidR="00296654" w:rsidRPr="00BD1319" w:rsidRDefault="00296654">
          <w:pPr>
            <w:pStyle w:val="TDC3"/>
            <w:rPr>
              <w:rFonts w:asciiTheme="minorHAnsi" w:eastAsiaTheme="minorEastAsia" w:hAnsiTheme="minorHAnsi" w:cstheme="minorBidi"/>
              <w:iCs w:val="0"/>
              <w:caps w:val="0"/>
              <w:noProof/>
              <w:kern w:val="2"/>
              <w:szCs w:val="24"/>
              <w:lang w:eastAsia="es-CO"/>
              <w14:ligatures w14:val="standardContextual"/>
            </w:rPr>
          </w:pPr>
          <w:hyperlink w:anchor="_Toc175326711" w:history="1">
            <w:r w:rsidRPr="00BD1319">
              <w:rPr>
                <w:rStyle w:val="Hipervnculo"/>
                <w:noProof/>
              </w:rPr>
              <w:t>4.3.5</w:t>
            </w:r>
            <w:r w:rsidRPr="00BD1319">
              <w:rPr>
                <w:rFonts w:asciiTheme="minorHAnsi" w:eastAsiaTheme="minorEastAsia" w:hAnsiTheme="minorHAnsi" w:cstheme="minorBidi"/>
                <w:iCs w:val="0"/>
                <w:caps w:val="0"/>
                <w:noProof/>
                <w:kern w:val="2"/>
                <w:szCs w:val="24"/>
                <w:lang w:eastAsia="es-CO"/>
                <w14:ligatures w14:val="standardContextual"/>
              </w:rPr>
              <w:tab/>
            </w:r>
            <w:r w:rsidRPr="00BD1319">
              <w:rPr>
                <w:rStyle w:val="Hipervnculo"/>
                <w:noProof/>
              </w:rPr>
              <w:t>Arqueológico y patrimonio cultural</w:t>
            </w:r>
            <w:r w:rsidRPr="00BD1319">
              <w:rPr>
                <w:noProof/>
                <w:webHidden/>
              </w:rPr>
              <w:tab/>
            </w:r>
            <w:r w:rsidRPr="00BD1319">
              <w:rPr>
                <w:noProof/>
                <w:webHidden/>
              </w:rPr>
              <w:fldChar w:fldCharType="begin"/>
            </w:r>
            <w:r w:rsidRPr="00BD1319">
              <w:rPr>
                <w:noProof/>
                <w:webHidden/>
              </w:rPr>
              <w:instrText xml:space="preserve"> PAGEREF _Toc175326711 \h </w:instrText>
            </w:r>
            <w:r w:rsidRPr="00BD1319">
              <w:rPr>
                <w:noProof/>
                <w:webHidden/>
              </w:rPr>
            </w:r>
            <w:r w:rsidRPr="00BD1319">
              <w:rPr>
                <w:noProof/>
                <w:webHidden/>
              </w:rPr>
              <w:fldChar w:fldCharType="separate"/>
            </w:r>
            <w:r w:rsidRPr="00BD1319">
              <w:rPr>
                <w:noProof/>
                <w:webHidden/>
              </w:rPr>
              <w:t>122</w:t>
            </w:r>
            <w:r w:rsidRPr="00BD1319">
              <w:rPr>
                <w:noProof/>
                <w:webHidden/>
              </w:rPr>
              <w:fldChar w:fldCharType="end"/>
            </w:r>
          </w:hyperlink>
        </w:p>
        <w:p w14:paraId="70C0889E" w14:textId="5C6C8334" w:rsidR="00296654" w:rsidRPr="00BD1319" w:rsidRDefault="00296654">
          <w:pPr>
            <w:pStyle w:val="TDC3"/>
            <w:rPr>
              <w:rFonts w:asciiTheme="minorHAnsi" w:eastAsiaTheme="minorEastAsia" w:hAnsiTheme="minorHAnsi" w:cstheme="minorBidi"/>
              <w:iCs w:val="0"/>
              <w:caps w:val="0"/>
              <w:noProof/>
              <w:kern w:val="2"/>
              <w:szCs w:val="24"/>
              <w:lang w:eastAsia="es-CO"/>
              <w14:ligatures w14:val="standardContextual"/>
            </w:rPr>
          </w:pPr>
          <w:hyperlink w:anchor="_Toc175326712" w:history="1">
            <w:r w:rsidRPr="00BD1319">
              <w:rPr>
                <w:rStyle w:val="Hipervnculo"/>
                <w:noProof/>
              </w:rPr>
              <w:t>4.3.6</w:t>
            </w:r>
            <w:r w:rsidRPr="00BD1319">
              <w:rPr>
                <w:rFonts w:asciiTheme="minorHAnsi" w:eastAsiaTheme="minorEastAsia" w:hAnsiTheme="minorHAnsi" w:cstheme="minorBidi"/>
                <w:iCs w:val="0"/>
                <w:caps w:val="0"/>
                <w:noProof/>
                <w:kern w:val="2"/>
                <w:szCs w:val="24"/>
                <w:lang w:eastAsia="es-CO"/>
                <w14:ligatures w14:val="standardContextual"/>
              </w:rPr>
              <w:tab/>
            </w:r>
            <w:r w:rsidRPr="00BD1319">
              <w:rPr>
                <w:rStyle w:val="Hipervnculo"/>
                <w:noProof/>
              </w:rPr>
              <w:t>Político-organizativo</w:t>
            </w:r>
            <w:r w:rsidRPr="00BD1319">
              <w:rPr>
                <w:noProof/>
                <w:webHidden/>
              </w:rPr>
              <w:tab/>
            </w:r>
            <w:r w:rsidRPr="00BD1319">
              <w:rPr>
                <w:noProof/>
                <w:webHidden/>
              </w:rPr>
              <w:fldChar w:fldCharType="begin"/>
            </w:r>
            <w:r w:rsidRPr="00BD1319">
              <w:rPr>
                <w:noProof/>
                <w:webHidden/>
              </w:rPr>
              <w:instrText xml:space="preserve"> PAGEREF _Toc175326712 \h </w:instrText>
            </w:r>
            <w:r w:rsidRPr="00BD1319">
              <w:rPr>
                <w:noProof/>
                <w:webHidden/>
              </w:rPr>
            </w:r>
            <w:r w:rsidRPr="00BD1319">
              <w:rPr>
                <w:noProof/>
                <w:webHidden/>
              </w:rPr>
              <w:fldChar w:fldCharType="separate"/>
            </w:r>
            <w:r w:rsidRPr="00BD1319">
              <w:rPr>
                <w:noProof/>
                <w:webHidden/>
              </w:rPr>
              <w:t>122</w:t>
            </w:r>
            <w:r w:rsidRPr="00BD1319">
              <w:rPr>
                <w:noProof/>
                <w:webHidden/>
              </w:rPr>
              <w:fldChar w:fldCharType="end"/>
            </w:r>
          </w:hyperlink>
        </w:p>
        <w:p w14:paraId="2545FFB9" w14:textId="5910211E" w:rsidR="00296654" w:rsidRPr="00BD1319" w:rsidRDefault="00296654">
          <w:pPr>
            <w:pStyle w:val="TDC3"/>
            <w:rPr>
              <w:rFonts w:asciiTheme="minorHAnsi" w:eastAsiaTheme="minorEastAsia" w:hAnsiTheme="minorHAnsi" w:cstheme="minorBidi"/>
              <w:iCs w:val="0"/>
              <w:caps w:val="0"/>
              <w:noProof/>
              <w:kern w:val="2"/>
              <w:szCs w:val="24"/>
              <w:lang w:eastAsia="es-CO"/>
              <w14:ligatures w14:val="standardContextual"/>
            </w:rPr>
          </w:pPr>
          <w:hyperlink w:anchor="_Toc175326713" w:history="1">
            <w:r w:rsidRPr="00BD1319">
              <w:rPr>
                <w:rStyle w:val="Hipervnculo"/>
                <w:noProof/>
              </w:rPr>
              <w:t>4.3.7</w:t>
            </w:r>
            <w:r w:rsidRPr="00BD1319">
              <w:rPr>
                <w:rFonts w:asciiTheme="minorHAnsi" w:eastAsiaTheme="minorEastAsia" w:hAnsiTheme="minorHAnsi" w:cstheme="minorBidi"/>
                <w:iCs w:val="0"/>
                <w:caps w:val="0"/>
                <w:noProof/>
                <w:kern w:val="2"/>
                <w:szCs w:val="24"/>
                <w:lang w:eastAsia="es-CO"/>
                <w14:ligatures w14:val="standardContextual"/>
              </w:rPr>
              <w:tab/>
            </w:r>
            <w:r w:rsidRPr="00BD1319">
              <w:rPr>
                <w:rStyle w:val="Hipervnculo"/>
                <w:noProof/>
              </w:rPr>
              <w:t>Tendencias del desarrollo</w:t>
            </w:r>
            <w:r w:rsidRPr="00BD1319">
              <w:rPr>
                <w:noProof/>
                <w:webHidden/>
              </w:rPr>
              <w:tab/>
            </w:r>
            <w:r w:rsidRPr="00BD1319">
              <w:rPr>
                <w:noProof/>
                <w:webHidden/>
              </w:rPr>
              <w:fldChar w:fldCharType="begin"/>
            </w:r>
            <w:r w:rsidRPr="00BD1319">
              <w:rPr>
                <w:noProof/>
                <w:webHidden/>
              </w:rPr>
              <w:instrText xml:space="preserve"> PAGEREF _Toc175326713 \h </w:instrText>
            </w:r>
            <w:r w:rsidRPr="00BD1319">
              <w:rPr>
                <w:noProof/>
                <w:webHidden/>
              </w:rPr>
            </w:r>
            <w:r w:rsidRPr="00BD1319">
              <w:rPr>
                <w:noProof/>
                <w:webHidden/>
              </w:rPr>
              <w:fldChar w:fldCharType="separate"/>
            </w:r>
            <w:r w:rsidRPr="00BD1319">
              <w:rPr>
                <w:noProof/>
                <w:webHidden/>
              </w:rPr>
              <w:t>123</w:t>
            </w:r>
            <w:r w:rsidRPr="00BD1319">
              <w:rPr>
                <w:noProof/>
                <w:webHidden/>
              </w:rPr>
              <w:fldChar w:fldCharType="end"/>
            </w:r>
          </w:hyperlink>
        </w:p>
        <w:p w14:paraId="09702C75" w14:textId="1D632F58" w:rsidR="00296654" w:rsidRPr="00BD1319" w:rsidRDefault="00296654">
          <w:pPr>
            <w:pStyle w:val="TDC3"/>
            <w:rPr>
              <w:rFonts w:asciiTheme="minorHAnsi" w:eastAsiaTheme="minorEastAsia" w:hAnsiTheme="minorHAnsi" w:cstheme="minorBidi"/>
              <w:iCs w:val="0"/>
              <w:caps w:val="0"/>
              <w:noProof/>
              <w:kern w:val="2"/>
              <w:szCs w:val="24"/>
              <w:lang w:eastAsia="es-CO"/>
              <w14:ligatures w14:val="standardContextual"/>
            </w:rPr>
          </w:pPr>
          <w:hyperlink w:anchor="_Toc175326714" w:history="1">
            <w:r w:rsidRPr="00BD1319">
              <w:rPr>
                <w:rStyle w:val="Hipervnculo"/>
                <w:noProof/>
              </w:rPr>
              <w:t>4.3.8</w:t>
            </w:r>
            <w:r w:rsidRPr="00BD1319">
              <w:rPr>
                <w:rFonts w:asciiTheme="minorHAnsi" w:eastAsiaTheme="minorEastAsia" w:hAnsiTheme="minorHAnsi" w:cstheme="minorBidi"/>
                <w:iCs w:val="0"/>
                <w:caps w:val="0"/>
                <w:noProof/>
                <w:kern w:val="2"/>
                <w:szCs w:val="24"/>
                <w:lang w:eastAsia="es-CO"/>
                <w14:ligatures w14:val="standardContextual"/>
              </w:rPr>
              <w:tab/>
            </w:r>
            <w:r w:rsidRPr="00BD1319">
              <w:rPr>
                <w:rStyle w:val="Hipervnculo"/>
                <w:noProof/>
              </w:rPr>
              <w:t>Conflictividad socioambiental</w:t>
            </w:r>
            <w:r w:rsidRPr="00BD1319">
              <w:rPr>
                <w:noProof/>
                <w:webHidden/>
              </w:rPr>
              <w:tab/>
            </w:r>
            <w:r w:rsidRPr="00BD1319">
              <w:rPr>
                <w:noProof/>
                <w:webHidden/>
              </w:rPr>
              <w:fldChar w:fldCharType="begin"/>
            </w:r>
            <w:r w:rsidRPr="00BD1319">
              <w:rPr>
                <w:noProof/>
                <w:webHidden/>
              </w:rPr>
              <w:instrText xml:space="preserve"> PAGEREF _Toc175326714 \h </w:instrText>
            </w:r>
            <w:r w:rsidRPr="00BD1319">
              <w:rPr>
                <w:noProof/>
                <w:webHidden/>
              </w:rPr>
            </w:r>
            <w:r w:rsidRPr="00BD1319">
              <w:rPr>
                <w:noProof/>
                <w:webHidden/>
              </w:rPr>
              <w:fldChar w:fldCharType="separate"/>
            </w:r>
            <w:r w:rsidRPr="00BD1319">
              <w:rPr>
                <w:noProof/>
                <w:webHidden/>
              </w:rPr>
              <w:t>123</w:t>
            </w:r>
            <w:r w:rsidRPr="00BD1319">
              <w:rPr>
                <w:noProof/>
                <w:webHidden/>
              </w:rPr>
              <w:fldChar w:fldCharType="end"/>
            </w:r>
          </w:hyperlink>
        </w:p>
        <w:p w14:paraId="2F664C96" w14:textId="6C59DB8C" w:rsidR="00296654" w:rsidRPr="00BD1319" w:rsidRDefault="00296654">
          <w:pPr>
            <w:pStyle w:val="TDC3"/>
            <w:rPr>
              <w:rFonts w:asciiTheme="minorHAnsi" w:eastAsiaTheme="minorEastAsia" w:hAnsiTheme="minorHAnsi" w:cstheme="minorBidi"/>
              <w:iCs w:val="0"/>
              <w:caps w:val="0"/>
              <w:noProof/>
              <w:kern w:val="2"/>
              <w:szCs w:val="24"/>
              <w:lang w:eastAsia="es-CO"/>
              <w14:ligatures w14:val="standardContextual"/>
            </w:rPr>
          </w:pPr>
          <w:hyperlink w:anchor="_Toc175326715" w:history="1">
            <w:r w:rsidRPr="00BD1319">
              <w:rPr>
                <w:rStyle w:val="Hipervnculo"/>
                <w:noProof/>
              </w:rPr>
              <w:t>4.3.9</w:t>
            </w:r>
            <w:r w:rsidRPr="00BD1319">
              <w:rPr>
                <w:rFonts w:asciiTheme="minorHAnsi" w:eastAsiaTheme="minorEastAsia" w:hAnsiTheme="minorHAnsi" w:cstheme="minorBidi"/>
                <w:iCs w:val="0"/>
                <w:caps w:val="0"/>
                <w:noProof/>
                <w:kern w:val="2"/>
                <w:szCs w:val="24"/>
                <w:lang w:eastAsia="es-CO"/>
                <w14:ligatures w14:val="standardContextual"/>
              </w:rPr>
              <w:tab/>
            </w:r>
            <w:r w:rsidRPr="00BD1319">
              <w:rPr>
                <w:rStyle w:val="Hipervnculo"/>
                <w:noProof/>
              </w:rPr>
              <w:t>Información preliminar sobre reasentamiento involuntario de población</w:t>
            </w:r>
            <w:r w:rsidRPr="00BD1319">
              <w:rPr>
                <w:noProof/>
                <w:webHidden/>
              </w:rPr>
              <w:tab/>
            </w:r>
            <w:r w:rsidRPr="00BD1319">
              <w:rPr>
                <w:noProof/>
                <w:webHidden/>
              </w:rPr>
              <w:fldChar w:fldCharType="begin"/>
            </w:r>
            <w:r w:rsidRPr="00BD1319">
              <w:rPr>
                <w:noProof/>
                <w:webHidden/>
              </w:rPr>
              <w:instrText xml:space="preserve"> PAGEREF _Toc175326715 \h </w:instrText>
            </w:r>
            <w:r w:rsidRPr="00BD1319">
              <w:rPr>
                <w:noProof/>
                <w:webHidden/>
              </w:rPr>
            </w:r>
            <w:r w:rsidRPr="00BD1319">
              <w:rPr>
                <w:noProof/>
                <w:webHidden/>
              </w:rPr>
              <w:fldChar w:fldCharType="separate"/>
            </w:r>
            <w:r w:rsidRPr="00BD1319">
              <w:rPr>
                <w:noProof/>
                <w:webHidden/>
              </w:rPr>
              <w:t>124</w:t>
            </w:r>
            <w:r w:rsidRPr="00BD1319">
              <w:rPr>
                <w:noProof/>
                <w:webHidden/>
              </w:rPr>
              <w:fldChar w:fldCharType="end"/>
            </w:r>
          </w:hyperlink>
        </w:p>
        <w:p w14:paraId="0294E64B" w14:textId="40967650" w:rsidR="00296654" w:rsidRPr="00BD1319" w:rsidRDefault="00296654">
          <w:pPr>
            <w:pStyle w:val="TDC2"/>
            <w:rPr>
              <w:rFonts w:asciiTheme="minorHAnsi" w:eastAsiaTheme="minorEastAsia" w:hAnsiTheme="minorHAnsi" w:cstheme="minorBidi"/>
              <w:b w:val="0"/>
              <w:caps w:val="0"/>
              <w:noProof/>
              <w:kern w:val="2"/>
              <w:szCs w:val="24"/>
              <w:lang w:eastAsia="es-CO"/>
              <w14:ligatures w14:val="standardContextual"/>
            </w:rPr>
          </w:pPr>
          <w:hyperlink w:anchor="_Toc175326716" w:history="1">
            <w:r w:rsidRPr="00BD1319">
              <w:rPr>
                <w:rStyle w:val="Hipervnculo"/>
                <w:rFonts w:cs="Arial"/>
                <w:noProof/>
              </w:rPr>
              <w:t>4.4</w:t>
            </w:r>
            <w:r w:rsidRPr="00BD1319">
              <w:rPr>
                <w:rFonts w:asciiTheme="minorHAnsi" w:eastAsiaTheme="minorEastAsia" w:hAnsiTheme="minorHAnsi" w:cstheme="minorBidi"/>
                <w:b w:val="0"/>
                <w:caps w:val="0"/>
                <w:noProof/>
                <w:kern w:val="2"/>
                <w:szCs w:val="24"/>
                <w:lang w:eastAsia="es-CO"/>
                <w14:ligatures w14:val="standardContextual"/>
              </w:rPr>
              <w:tab/>
            </w:r>
            <w:r w:rsidRPr="00BD1319">
              <w:rPr>
                <w:rStyle w:val="Hipervnculo"/>
                <w:noProof/>
              </w:rPr>
              <w:t>PAISAJE</w:t>
            </w:r>
            <w:r w:rsidRPr="00BD1319">
              <w:rPr>
                <w:noProof/>
                <w:webHidden/>
              </w:rPr>
              <w:tab/>
            </w:r>
            <w:r w:rsidRPr="00BD1319">
              <w:rPr>
                <w:noProof/>
                <w:webHidden/>
              </w:rPr>
              <w:fldChar w:fldCharType="begin"/>
            </w:r>
            <w:r w:rsidRPr="00BD1319">
              <w:rPr>
                <w:noProof/>
                <w:webHidden/>
              </w:rPr>
              <w:instrText xml:space="preserve"> PAGEREF _Toc175326716 \h </w:instrText>
            </w:r>
            <w:r w:rsidRPr="00BD1319">
              <w:rPr>
                <w:noProof/>
                <w:webHidden/>
              </w:rPr>
            </w:r>
            <w:r w:rsidRPr="00BD1319">
              <w:rPr>
                <w:noProof/>
                <w:webHidden/>
              </w:rPr>
              <w:fldChar w:fldCharType="separate"/>
            </w:r>
            <w:r w:rsidRPr="00BD1319">
              <w:rPr>
                <w:noProof/>
                <w:webHidden/>
              </w:rPr>
              <w:t>124</w:t>
            </w:r>
            <w:r w:rsidRPr="00BD1319">
              <w:rPr>
                <w:noProof/>
                <w:webHidden/>
              </w:rPr>
              <w:fldChar w:fldCharType="end"/>
            </w:r>
          </w:hyperlink>
        </w:p>
        <w:p w14:paraId="25538FE2" w14:textId="77299EED" w:rsidR="00296654" w:rsidRPr="00BD1319" w:rsidRDefault="00296654">
          <w:pPr>
            <w:pStyle w:val="TDC1"/>
            <w:rPr>
              <w:rFonts w:asciiTheme="minorHAnsi" w:eastAsiaTheme="minorEastAsia" w:hAnsiTheme="minorHAnsi" w:cstheme="minorBidi"/>
              <w:b w:val="0"/>
              <w:bCs w:val="0"/>
              <w:caps w:val="0"/>
              <w:kern w:val="2"/>
              <w:lang w:eastAsia="es-CO"/>
              <w14:ligatures w14:val="standardContextual"/>
            </w:rPr>
          </w:pPr>
          <w:hyperlink w:anchor="_Toc175326717" w:history="1">
            <w:r w:rsidRPr="00BD1319">
              <w:rPr>
                <w:rStyle w:val="Hipervnculo"/>
              </w:rPr>
              <w:t>5.</w:t>
            </w:r>
            <w:r w:rsidRPr="00BD1319">
              <w:rPr>
                <w:rFonts w:asciiTheme="minorHAnsi" w:eastAsiaTheme="minorEastAsia" w:hAnsiTheme="minorHAnsi" w:cstheme="minorBidi"/>
                <w:b w:val="0"/>
                <w:bCs w:val="0"/>
                <w:caps w:val="0"/>
                <w:kern w:val="2"/>
                <w:lang w:eastAsia="es-CO"/>
                <w14:ligatures w14:val="standardContextual"/>
              </w:rPr>
              <w:tab/>
            </w:r>
            <w:r w:rsidRPr="00BD1319">
              <w:rPr>
                <w:rStyle w:val="Hipervnculo"/>
              </w:rPr>
              <w:t>ANÁLISIS DE RIESGOS</w:t>
            </w:r>
            <w:r w:rsidRPr="00BD1319">
              <w:rPr>
                <w:webHidden/>
              </w:rPr>
              <w:tab/>
            </w:r>
            <w:r w:rsidRPr="00BD1319">
              <w:rPr>
                <w:webHidden/>
              </w:rPr>
              <w:fldChar w:fldCharType="begin"/>
            </w:r>
            <w:r w:rsidRPr="00BD1319">
              <w:rPr>
                <w:webHidden/>
              </w:rPr>
              <w:instrText xml:space="preserve"> PAGEREF _Toc175326717 \h </w:instrText>
            </w:r>
            <w:r w:rsidRPr="00BD1319">
              <w:rPr>
                <w:webHidden/>
              </w:rPr>
            </w:r>
            <w:r w:rsidRPr="00BD1319">
              <w:rPr>
                <w:webHidden/>
              </w:rPr>
              <w:fldChar w:fldCharType="separate"/>
            </w:r>
            <w:r w:rsidRPr="00BD1319">
              <w:rPr>
                <w:webHidden/>
              </w:rPr>
              <w:t>125</w:t>
            </w:r>
            <w:r w:rsidRPr="00BD1319">
              <w:rPr>
                <w:webHidden/>
              </w:rPr>
              <w:fldChar w:fldCharType="end"/>
            </w:r>
          </w:hyperlink>
        </w:p>
        <w:p w14:paraId="11C39345" w14:textId="7F43C57C" w:rsidR="00296654" w:rsidRPr="00BD1319" w:rsidRDefault="00296654">
          <w:pPr>
            <w:pStyle w:val="TDC1"/>
            <w:rPr>
              <w:rFonts w:asciiTheme="minorHAnsi" w:eastAsiaTheme="minorEastAsia" w:hAnsiTheme="minorHAnsi" w:cstheme="minorBidi"/>
              <w:b w:val="0"/>
              <w:bCs w:val="0"/>
              <w:caps w:val="0"/>
              <w:kern w:val="2"/>
              <w:lang w:eastAsia="es-CO"/>
              <w14:ligatures w14:val="standardContextual"/>
            </w:rPr>
          </w:pPr>
          <w:hyperlink w:anchor="_Toc175326718" w:history="1">
            <w:r w:rsidRPr="00BD1319">
              <w:rPr>
                <w:rStyle w:val="Hipervnculo"/>
              </w:rPr>
              <w:t>6.</w:t>
            </w:r>
            <w:r w:rsidRPr="00BD1319">
              <w:rPr>
                <w:rFonts w:asciiTheme="minorHAnsi" w:eastAsiaTheme="minorEastAsia" w:hAnsiTheme="minorHAnsi" w:cstheme="minorBidi"/>
                <w:b w:val="0"/>
                <w:bCs w:val="0"/>
                <w:caps w:val="0"/>
                <w:kern w:val="2"/>
                <w:lang w:eastAsia="es-CO"/>
                <w14:ligatures w14:val="standardContextual"/>
              </w:rPr>
              <w:tab/>
            </w:r>
            <w:r w:rsidRPr="00BD1319">
              <w:rPr>
                <w:rStyle w:val="Hipervnculo"/>
              </w:rPr>
              <w:t>ZONIFICACIÓN AMBIENTAL</w:t>
            </w:r>
            <w:r w:rsidRPr="00BD1319">
              <w:rPr>
                <w:webHidden/>
              </w:rPr>
              <w:tab/>
            </w:r>
            <w:r w:rsidRPr="00BD1319">
              <w:rPr>
                <w:webHidden/>
              </w:rPr>
              <w:fldChar w:fldCharType="begin"/>
            </w:r>
            <w:r w:rsidRPr="00BD1319">
              <w:rPr>
                <w:webHidden/>
              </w:rPr>
              <w:instrText xml:space="preserve"> PAGEREF _Toc175326718 \h </w:instrText>
            </w:r>
            <w:r w:rsidRPr="00BD1319">
              <w:rPr>
                <w:webHidden/>
              </w:rPr>
            </w:r>
            <w:r w:rsidRPr="00BD1319">
              <w:rPr>
                <w:webHidden/>
              </w:rPr>
              <w:fldChar w:fldCharType="separate"/>
            </w:r>
            <w:r w:rsidRPr="00BD1319">
              <w:rPr>
                <w:webHidden/>
              </w:rPr>
              <w:t>126</w:t>
            </w:r>
            <w:r w:rsidRPr="00BD1319">
              <w:rPr>
                <w:webHidden/>
              </w:rPr>
              <w:fldChar w:fldCharType="end"/>
            </w:r>
          </w:hyperlink>
        </w:p>
        <w:p w14:paraId="16F57118" w14:textId="6AFEBE5C" w:rsidR="00296654" w:rsidRPr="00BD1319" w:rsidRDefault="00296654">
          <w:pPr>
            <w:pStyle w:val="TDC1"/>
            <w:rPr>
              <w:rFonts w:asciiTheme="minorHAnsi" w:eastAsiaTheme="minorEastAsia" w:hAnsiTheme="minorHAnsi" w:cstheme="minorBidi"/>
              <w:b w:val="0"/>
              <w:bCs w:val="0"/>
              <w:caps w:val="0"/>
              <w:kern w:val="2"/>
              <w:lang w:eastAsia="es-CO"/>
              <w14:ligatures w14:val="standardContextual"/>
            </w:rPr>
          </w:pPr>
          <w:hyperlink w:anchor="_Toc175326719" w:history="1">
            <w:r w:rsidRPr="00BD1319">
              <w:rPr>
                <w:rStyle w:val="Hipervnculo"/>
              </w:rPr>
              <w:t>7.</w:t>
            </w:r>
            <w:r w:rsidRPr="00BD1319">
              <w:rPr>
                <w:rFonts w:asciiTheme="minorHAnsi" w:eastAsiaTheme="minorEastAsia" w:hAnsiTheme="minorHAnsi" w:cstheme="minorBidi"/>
                <w:b w:val="0"/>
                <w:bCs w:val="0"/>
                <w:caps w:val="0"/>
                <w:kern w:val="2"/>
                <w:lang w:eastAsia="es-CO"/>
                <w14:ligatures w14:val="standardContextual"/>
              </w:rPr>
              <w:tab/>
            </w:r>
            <w:r w:rsidRPr="00BD1319">
              <w:rPr>
                <w:rStyle w:val="Hipervnculo"/>
              </w:rPr>
              <w:t>DETERMINACIÓN Y VALORACIÓN DE IMPACTOS POTENCIALES</w:t>
            </w:r>
            <w:r w:rsidRPr="00BD1319">
              <w:rPr>
                <w:webHidden/>
              </w:rPr>
              <w:tab/>
            </w:r>
            <w:r w:rsidRPr="00BD1319">
              <w:rPr>
                <w:webHidden/>
              </w:rPr>
              <w:fldChar w:fldCharType="begin"/>
            </w:r>
            <w:r w:rsidRPr="00BD1319">
              <w:rPr>
                <w:webHidden/>
              </w:rPr>
              <w:instrText xml:space="preserve"> PAGEREF _Toc175326719 \h </w:instrText>
            </w:r>
            <w:r w:rsidRPr="00BD1319">
              <w:rPr>
                <w:webHidden/>
              </w:rPr>
            </w:r>
            <w:r w:rsidRPr="00BD1319">
              <w:rPr>
                <w:webHidden/>
              </w:rPr>
              <w:fldChar w:fldCharType="separate"/>
            </w:r>
            <w:r w:rsidRPr="00BD1319">
              <w:rPr>
                <w:webHidden/>
              </w:rPr>
              <w:t>128</w:t>
            </w:r>
            <w:r w:rsidRPr="00BD1319">
              <w:rPr>
                <w:webHidden/>
              </w:rPr>
              <w:fldChar w:fldCharType="end"/>
            </w:r>
          </w:hyperlink>
        </w:p>
        <w:p w14:paraId="610073F1" w14:textId="1D597334" w:rsidR="00296654" w:rsidRPr="00BD1319" w:rsidRDefault="00296654">
          <w:pPr>
            <w:pStyle w:val="TDC2"/>
            <w:rPr>
              <w:rFonts w:asciiTheme="minorHAnsi" w:eastAsiaTheme="minorEastAsia" w:hAnsiTheme="minorHAnsi" w:cstheme="minorBidi"/>
              <w:b w:val="0"/>
              <w:caps w:val="0"/>
              <w:noProof/>
              <w:kern w:val="2"/>
              <w:szCs w:val="24"/>
              <w:lang w:eastAsia="es-CO"/>
              <w14:ligatures w14:val="standardContextual"/>
            </w:rPr>
          </w:pPr>
          <w:hyperlink w:anchor="_Toc175326720" w:history="1">
            <w:r w:rsidRPr="00BD1319">
              <w:rPr>
                <w:rStyle w:val="Hipervnculo"/>
                <w:rFonts w:cs="Arial"/>
                <w:noProof/>
              </w:rPr>
              <w:t>7.1</w:t>
            </w:r>
            <w:r w:rsidRPr="00BD1319">
              <w:rPr>
                <w:rFonts w:asciiTheme="minorHAnsi" w:eastAsiaTheme="minorEastAsia" w:hAnsiTheme="minorHAnsi" w:cstheme="minorBidi"/>
                <w:b w:val="0"/>
                <w:caps w:val="0"/>
                <w:noProof/>
                <w:kern w:val="2"/>
                <w:szCs w:val="24"/>
                <w:lang w:eastAsia="es-CO"/>
                <w14:ligatures w14:val="standardContextual"/>
              </w:rPr>
              <w:tab/>
            </w:r>
            <w:r w:rsidRPr="00BD1319">
              <w:rPr>
                <w:rStyle w:val="Hipervnculo"/>
                <w:noProof/>
              </w:rPr>
              <w:t>ESCENARIOS PROSPECTIVOS</w:t>
            </w:r>
            <w:r w:rsidRPr="00BD1319">
              <w:rPr>
                <w:noProof/>
                <w:webHidden/>
              </w:rPr>
              <w:tab/>
            </w:r>
            <w:r w:rsidRPr="00BD1319">
              <w:rPr>
                <w:noProof/>
                <w:webHidden/>
              </w:rPr>
              <w:fldChar w:fldCharType="begin"/>
            </w:r>
            <w:r w:rsidRPr="00BD1319">
              <w:rPr>
                <w:noProof/>
                <w:webHidden/>
              </w:rPr>
              <w:instrText xml:space="preserve"> PAGEREF _Toc175326720 \h </w:instrText>
            </w:r>
            <w:r w:rsidRPr="00BD1319">
              <w:rPr>
                <w:noProof/>
                <w:webHidden/>
              </w:rPr>
            </w:r>
            <w:r w:rsidRPr="00BD1319">
              <w:rPr>
                <w:noProof/>
                <w:webHidden/>
              </w:rPr>
              <w:fldChar w:fldCharType="separate"/>
            </w:r>
            <w:r w:rsidRPr="00BD1319">
              <w:rPr>
                <w:noProof/>
                <w:webHidden/>
              </w:rPr>
              <w:t>130</w:t>
            </w:r>
            <w:r w:rsidRPr="00BD1319">
              <w:rPr>
                <w:noProof/>
                <w:webHidden/>
              </w:rPr>
              <w:fldChar w:fldCharType="end"/>
            </w:r>
          </w:hyperlink>
        </w:p>
        <w:p w14:paraId="696CD6AA" w14:textId="1BA515DF" w:rsidR="00296654" w:rsidRPr="00BD1319" w:rsidRDefault="00296654">
          <w:pPr>
            <w:pStyle w:val="TDC1"/>
            <w:rPr>
              <w:rFonts w:asciiTheme="minorHAnsi" w:eastAsiaTheme="minorEastAsia" w:hAnsiTheme="minorHAnsi" w:cstheme="minorBidi"/>
              <w:b w:val="0"/>
              <w:bCs w:val="0"/>
              <w:caps w:val="0"/>
              <w:kern w:val="2"/>
              <w:lang w:eastAsia="es-CO"/>
              <w14:ligatures w14:val="standardContextual"/>
            </w:rPr>
          </w:pPr>
          <w:hyperlink w:anchor="_Toc175326721" w:history="1">
            <w:r w:rsidRPr="00BD1319">
              <w:rPr>
                <w:rStyle w:val="Hipervnculo"/>
              </w:rPr>
              <w:t>8.</w:t>
            </w:r>
            <w:r w:rsidRPr="00BD1319">
              <w:rPr>
                <w:rFonts w:asciiTheme="minorHAnsi" w:eastAsiaTheme="minorEastAsia" w:hAnsiTheme="minorHAnsi" w:cstheme="minorBidi"/>
                <w:b w:val="0"/>
                <w:bCs w:val="0"/>
                <w:caps w:val="0"/>
                <w:kern w:val="2"/>
                <w:lang w:eastAsia="es-CO"/>
                <w14:ligatures w14:val="standardContextual"/>
              </w:rPr>
              <w:tab/>
            </w:r>
            <w:r w:rsidRPr="00BD1319">
              <w:rPr>
                <w:rStyle w:val="Hipervnculo"/>
              </w:rPr>
              <w:t>ANÁLISIS COSTO BENEFICIO AMBIENTAL DE LAS ALTERNATIVAS</w:t>
            </w:r>
            <w:r w:rsidRPr="00BD1319">
              <w:rPr>
                <w:webHidden/>
              </w:rPr>
              <w:tab/>
            </w:r>
            <w:r w:rsidRPr="00BD1319">
              <w:rPr>
                <w:webHidden/>
              </w:rPr>
              <w:fldChar w:fldCharType="begin"/>
            </w:r>
            <w:r w:rsidRPr="00BD1319">
              <w:rPr>
                <w:webHidden/>
              </w:rPr>
              <w:instrText xml:space="preserve"> PAGEREF _Toc175326721 \h </w:instrText>
            </w:r>
            <w:r w:rsidRPr="00BD1319">
              <w:rPr>
                <w:webHidden/>
              </w:rPr>
            </w:r>
            <w:r w:rsidRPr="00BD1319">
              <w:rPr>
                <w:webHidden/>
              </w:rPr>
              <w:fldChar w:fldCharType="separate"/>
            </w:r>
            <w:r w:rsidRPr="00BD1319">
              <w:rPr>
                <w:webHidden/>
              </w:rPr>
              <w:t>132</w:t>
            </w:r>
            <w:r w:rsidRPr="00BD1319">
              <w:rPr>
                <w:webHidden/>
              </w:rPr>
              <w:fldChar w:fldCharType="end"/>
            </w:r>
          </w:hyperlink>
        </w:p>
        <w:p w14:paraId="0F742A1A" w14:textId="13566EED" w:rsidR="00296654" w:rsidRPr="00BD1319" w:rsidRDefault="00296654">
          <w:pPr>
            <w:pStyle w:val="TDC1"/>
            <w:rPr>
              <w:rFonts w:asciiTheme="minorHAnsi" w:eastAsiaTheme="minorEastAsia" w:hAnsiTheme="minorHAnsi" w:cstheme="minorBidi"/>
              <w:b w:val="0"/>
              <w:bCs w:val="0"/>
              <w:caps w:val="0"/>
              <w:kern w:val="2"/>
              <w:lang w:eastAsia="es-CO"/>
              <w14:ligatures w14:val="standardContextual"/>
            </w:rPr>
          </w:pPr>
          <w:hyperlink w:anchor="_Toc175326722" w:history="1">
            <w:r w:rsidRPr="00BD1319">
              <w:rPr>
                <w:rStyle w:val="Hipervnculo"/>
              </w:rPr>
              <w:t>9.</w:t>
            </w:r>
            <w:r w:rsidRPr="00BD1319">
              <w:rPr>
                <w:rFonts w:asciiTheme="minorHAnsi" w:eastAsiaTheme="minorEastAsia" w:hAnsiTheme="minorHAnsi" w:cstheme="minorBidi"/>
                <w:b w:val="0"/>
                <w:bCs w:val="0"/>
                <w:caps w:val="0"/>
                <w:kern w:val="2"/>
                <w:lang w:eastAsia="es-CO"/>
                <w14:ligatures w14:val="standardContextual"/>
              </w:rPr>
              <w:tab/>
            </w:r>
            <w:r w:rsidRPr="00BD1319">
              <w:rPr>
                <w:rStyle w:val="Hipervnculo"/>
              </w:rPr>
              <w:t>EVALUACIÓN Y COMPARACIÓN DE ALTERNATIVAS</w:t>
            </w:r>
            <w:r w:rsidRPr="00BD1319">
              <w:rPr>
                <w:webHidden/>
              </w:rPr>
              <w:tab/>
            </w:r>
            <w:r w:rsidRPr="00BD1319">
              <w:rPr>
                <w:webHidden/>
              </w:rPr>
              <w:fldChar w:fldCharType="begin"/>
            </w:r>
            <w:r w:rsidRPr="00BD1319">
              <w:rPr>
                <w:webHidden/>
              </w:rPr>
              <w:instrText xml:space="preserve"> PAGEREF _Toc175326722 \h </w:instrText>
            </w:r>
            <w:r w:rsidRPr="00BD1319">
              <w:rPr>
                <w:webHidden/>
              </w:rPr>
            </w:r>
            <w:r w:rsidRPr="00BD1319">
              <w:rPr>
                <w:webHidden/>
              </w:rPr>
              <w:fldChar w:fldCharType="separate"/>
            </w:r>
            <w:r w:rsidRPr="00BD1319">
              <w:rPr>
                <w:webHidden/>
              </w:rPr>
              <w:t>134</w:t>
            </w:r>
            <w:r w:rsidRPr="00BD1319">
              <w:rPr>
                <w:webHidden/>
              </w:rPr>
              <w:fldChar w:fldCharType="end"/>
            </w:r>
          </w:hyperlink>
        </w:p>
        <w:p w14:paraId="767FE1F6" w14:textId="7A61A6B4" w:rsidR="00296654" w:rsidRPr="00BD1319" w:rsidRDefault="00296654">
          <w:pPr>
            <w:pStyle w:val="TDC2"/>
            <w:rPr>
              <w:rFonts w:asciiTheme="minorHAnsi" w:eastAsiaTheme="minorEastAsia" w:hAnsiTheme="minorHAnsi" w:cstheme="minorBidi"/>
              <w:b w:val="0"/>
              <w:caps w:val="0"/>
              <w:noProof/>
              <w:kern w:val="2"/>
              <w:szCs w:val="24"/>
              <w:lang w:eastAsia="es-CO"/>
              <w14:ligatures w14:val="standardContextual"/>
            </w:rPr>
          </w:pPr>
          <w:hyperlink w:anchor="_Toc175326723" w:history="1">
            <w:r w:rsidRPr="00BD1319">
              <w:rPr>
                <w:rStyle w:val="Hipervnculo"/>
                <w:rFonts w:cs="Arial"/>
                <w:noProof/>
              </w:rPr>
              <w:t>9.1</w:t>
            </w:r>
            <w:r w:rsidRPr="00BD1319">
              <w:rPr>
                <w:rFonts w:asciiTheme="minorHAnsi" w:eastAsiaTheme="minorEastAsia" w:hAnsiTheme="minorHAnsi" w:cstheme="minorBidi"/>
                <w:b w:val="0"/>
                <w:caps w:val="0"/>
                <w:noProof/>
                <w:kern w:val="2"/>
                <w:szCs w:val="24"/>
                <w:lang w:eastAsia="es-CO"/>
                <w14:ligatures w14:val="standardContextual"/>
              </w:rPr>
              <w:tab/>
            </w:r>
            <w:r w:rsidRPr="00BD1319">
              <w:rPr>
                <w:rStyle w:val="Hipervnculo"/>
                <w:noProof/>
              </w:rPr>
              <w:t>GENERALIDADES DE LA EVALUACIÓN MULTICRITERIO</w:t>
            </w:r>
            <w:r w:rsidRPr="00BD1319">
              <w:rPr>
                <w:noProof/>
                <w:webHidden/>
              </w:rPr>
              <w:tab/>
            </w:r>
            <w:r w:rsidRPr="00BD1319">
              <w:rPr>
                <w:noProof/>
                <w:webHidden/>
              </w:rPr>
              <w:fldChar w:fldCharType="begin"/>
            </w:r>
            <w:r w:rsidRPr="00BD1319">
              <w:rPr>
                <w:noProof/>
                <w:webHidden/>
              </w:rPr>
              <w:instrText xml:space="preserve"> PAGEREF _Toc175326723 \h </w:instrText>
            </w:r>
            <w:r w:rsidRPr="00BD1319">
              <w:rPr>
                <w:noProof/>
                <w:webHidden/>
              </w:rPr>
            </w:r>
            <w:r w:rsidRPr="00BD1319">
              <w:rPr>
                <w:noProof/>
                <w:webHidden/>
              </w:rPr>
              <w:fldChar w:fldCharType="separate"/>
            </w:r>
            <w:r w:rsidRPr="00BD1319">
              <w:rPr>
                <w:noProof/>
                <w:webHidden/>
              </w:rPr>
              <w:t>135</w:t>
            </w:r>
            <w:r w:rsidRPr="00BD1319">
              <w:rPr>
                <w:noProof/>
                <w:webHidden/>
              </w:rPr>
              <w:fldChar w:fldCharType="end"/>
            </w:r>
          </w:hyperlink>
        </w:p>
        <w:p w14:paraId="230C9540" w14:textId="7B0901F1" w:rsidR="00296654" w:rsidRPr="00BD1319" w:rsidRDefault="00296654">
          <w:pPr>
            <w:pStyle w:val="TDC2"/>
            <w:rPr>
              <w:rFonts w:asciiTheme="minorHAnsi" w:eastAsiaTheme="minorEastAsia" w:hAnsiTheme="minorHAnsi" w:cstheme="minorBidi"/>
              <w:b w:val="0"/>
              <w:caps w:val="0"/>
              <w:noProof/>
              <w:kern w:val="2"/>
              <w:szCs w:val="24"/>
              <w:lang w:eastAsia="es-CO"/>
              <w14:ligatures w14:val="standardContextual"/>
            </w:rPr>
          </w:pPr>
          <w:hyperlink w:anchor="_Toc175326724" w:history="1">
            <w:r w:rsidRPr="00BD1319">
              <w:rPr>
                <w:rStyle w:val="Hipervnculo"/>
                <w:rFonts w:cs="Arial"/>
                <w:noProof/>
              </w:rPr>
              <w:t>9.2</w:t>
            </w:r>
            <w:r w:rsidRPr="00BD1319">
              <w:rPr>
                <w:rFonts w:asciiTheme="minorHAnsi" w:eastAsiaTheme="minorEastAsia" w:hAnsiTheme="minorHAnsi" w:cstheme="minorBidi"/>
                <w:b w:val="0"/>
                <w:caps w:val="0"/>
                <w:noProof/>
                <w:kern w:val="2"/>
                <w:szCs w:val="24"/>
                <w:lang w:eastAsia="es-CO"/>
                <w14:ligatures w14:val="standardContextual"/>
              </w:rPr>
              <w:tab/>
            </w:r>
            <w:r w:rsidRPr="00BD1319">
              <w:rPr>
                <w:rStyle w:val="Hipervnculo"/>
                <w:noProof/>
              </w:rPr>
              <w:t>PROCEDIMIENTO PARA SELECCIONAR EL MÉTODO DE EVALUACIÓN MULTICRITERIO MÁS APROPIADO AL DAA</w:t>
            </w:r>
            <w:r w:rsidRPr="00BD1319">
              <w:rPr>
                <w:noProof/>
                <w:webHidden/>
              </w:rPr>
              <w:tab/>
            </w:r>
            <w:r w:rsidRPr="00BD1319">
              <w:rPr>
                <w:noProof/>
                <w:webHidden/>
              </w:rPr>
              <w:fldChar w:fldCharType="begin"/>
            </w:r>
            <w:r w:rsidRPr="00BD1319">
              <w:rPr>
                <w:noProof/>
                <w:webHidden/>
              </w:rPr>
              <w:instrText xml:space="preserve"> PAGEREF _Toc175326724 \h </w:instrText>
            </w:r>
            <w:r w:rsidRPr="00BD1319">
              <w:rPr>
                <w:noProof/>
                <w:webHidden/>
              </w:rPr>
            </w:r>
            <w:r w:rsidRPr="00BD1319">
              <w:rPr>
                <w:noProof/>
                <w:webHidden/>
              </w:rPr>
              <w:fldChar w:fldCharType="separate"/>
            </w:r>
            <w:r w:rsidRPr="00BD1319">
              <w:rPr>
                <w:noProof/>
                <w:webHidden/>
              </w:rPr>
              <w:t>136</w:t>
            </w:r>
            <w:r w:rsidRPr="00BD1319">
              <w:rPr>
                <w:noProof/>
                <w:webHidden/>
              </w:rPr>
              <w:fldChar w:fldCharType="end"/>
            </w:r>
          </w:hyperlink>
        </w:p>
        <w:p w14:paraId="34C68DE5" w14:textId="009BE4F6" w:rsidR="00296654" w:rsidRPr="00BD1319" w:rsidRDefault="00296654">
          <w:pPr>
            <w:pStyle w:val="TDC2"/>
            <w:rPr>
              <w:rFonts w:asciiTheme="minorHAnsi" w:eastAsiaTheme="minorEastAsia" w:hAnsiTheme="minorHAnsi" w:cstheme="minorBidi"/>
              <w:b w:val="0"/>
              <w:caps w:val="0"/>
              <w:noProof/>
              <w:kern w:val="2"/>
              <w:szCs w:val="24"/>
              <w:lang w:eastAsia="es-CO"/>
              <w14:ligatures w14:val="standardContextual"/>
            </w:rPr>
          </w:pPr>
          <w:hyperlink w:anchor="_Toc175326725" w:history="1">
            <w:r w:rsidRPr="00BD1319">
              <w:rPr>
                <w:rStyle w:val="Hipervnculo"/>
                <w:rFonts w:cs="Arial"/>
                <w:noProof/>
              </w:rPr>
              <w:t>9.3</w:t>
            </w:r>
            <w:r w:rsidRPr="00BD1319">
              <w:rPr>
                <w:rFonts w:asciiTheme="minorHAnsi" w:eastAsiaTheme="minorEastAsia" w:hAnsiTheme="minorHAnsi" w:cstheme="minorBidi"/>
                <w:b w:val="0"/>
                <w:caps w:val="0"/>
                <w:noProof/>
                <w:kern w:val="2"/>
                <w:szCs w:val="24"/>
                <w:lang w:eastAsia="es-CO"/>
                <w14:ligatures w14:val="standardContextual"/>
              </w:rPr>
              <w:tab/>
            </w:r>
            <w:r w:rsidRPr="00BD1319">
              <w:rPr>
                <w:rStyle w:val="Hipervnculo"/>
                <w:noProof/>
              </w:rPr>
              <w:t>LINEAMIENTOS PARA LA IMPLEMENTACIÓN DE LAS EVALUACIONES MULTICRITERIO EN EL MARCO DE LOS DAA.</w:t>
            </w:r>
            <w:r w:rsidRPr="00BD1319">
              <w:rPr>
                <w:noProof/>
                <w:webHidden/>
              </w:rPr>
              <w:tab/>
            </w:r>
            <w:r w:rsidRPr="00BD1319">
              <w:rPr>
                <w:noProof/>
                <w:webHidden/>
              </w:rPr>
              <w:fldChar w:fldCharType="begin"/>
            </w:r>
            <w:r w:rsidRPr="00BD1319">
              <w:rPr>
                <w:noProof/>
                <w:webHidden/>
              </w:rPr>
              <w:instrText xml:space="preserve"> PAGEREF _Toc175326725 \h </w:instrText>
            </w:r>
            <w:r w:rsidRPr="00BD1319">
              <w:rPr>
                <w:noProof/>
                <w:webHidden/>
              </w:rPr>
            </w:r>
            <w:r w:rsidRPr="00BD1319">
              <w:rPr>
                <w:noProof/>
                <w:webHidden/>
              </w:rPr>
              <w:fldChar w:fldCharType="separate"/>
            </w:r>
            <w:r w:rsidRPr="00BD1319">
              <w:rPr>
                <w:noProof/>
                <w:webHidden/>
              </w:rPr>
              <w:t>147</w:t>
            </w:r>
            <w:r w:rsidRPr="00BD1319">
              <w:rPr>
                <w:noProof/>
                <w:webHidden/>
              </w:rPr>
              <w:fldChar w:fldCharType="end"/>
            </w:r>
          </w:hyperlink>
        </w:p>
        <w:p w14:paraId="403E5545" w14:textId="1B25B968" w:rsidR="00296654" w:rsidRPr="00BD1319" w:rsidRDefault="00296654">
          <w:pPr>
            <w:pStyle w:val="TDC3"/>
            <w:rPr>
              <w:rFonts w:asciiTheme="minorHAnsi" w:eastAsiaTheme="minorEastAsia" w:hAnsiTheme="minorHAnsi" w:cstheme="minorBidi"/>
              <w:iCs w:val="0"/>
              <w:caps w:val="0"/>
              <w:noProof/>
              <w:kern w:val="2"/>
              <w:szCs w:val="24"/>
              <w:lang w:eastAsia="es-CO"/>
              <w14:ligatures w14:val="standardContextual"/>
            </w:rPr>
          </w:pPr>
          <w:hyperlink w:anchor="_Toc175326726" w:history="1">
            <w:r w:rsidRPr="00BD1319">
              <w:rPr>
                <w:rStyle w:val="Hipervnculo"/>
                <w:noProof/>
              </w:rPr>
              <w:t>9.3.1</w:t>
            </w:r>
            <w:r w:rsidRPr="00BD1319">
              <w:rPr>
                <w:rFonts w:asciiTheme="minorHAnsi" w:eastAsiaTheme="minorEastAsia" w:hAnsiTheme="minorHAnsi" w:cstheme="minorBidi"/>
                <w:iCs w:val="0"/>
                <w:caps w:val="0"/>
                <w:noProof/>
                <w:kern w:val="2"/>
                <w:szCs w:val="24"/>
                <w:lang w:eastAsia="es-CO"/>
                <w14:ligatures w14:val="standardContextual"/>
              </w:rPr>
              <w:tab/>
            </w:r>
            <w:r w:rsidRPr="00BD1319">
              <w:rPr>
                <w:rStyle w:val="Hipervnculo"/>
                <w:noProof/>
              </w:rPr>
              <w:t>Conocer el contexto del licenciamiento ambiental como proceso de toma de decisiones</w:t>
            </w:r>
            <w:r w:rsidRPr="00BD1319">
              <w:rPr>
                <w:noProof/>
                <w:webHidden/>
              </w:rPr>
              <w:tab/>
            </w:r>
            <w:r w:rsidRPr="00BD1319">
              <w:rPr>
                <w:noProof/>
                <w:webHidden/>
              </w:rPr>
              <w:fldChar w:fldCharType="begin"/>
            </w:r>
            <w:r w:rsidRPr="00BD1319">
              <w:rPr>
                <w:noProof/>
                <w:webHidden/>
              </w:rPr>
              <w:instrText xml:space="preserve"> PAGEREF _Toc175326726 \h </w:instrText>
            </w:r>
            <w:r w:rsidRPr="00BD1319">
              <w:rPr>
                <w:noProof/>
                <w:webHidden/>
              </w:rPr>
            </w:r>
            <w:r w:rsidRPr="00BD1319">
              <w:rPr>
                <w:noProof/>
                <w:webHidden/>
              </w:rPr>
              <w:fldChar w:fldCharType="separate"/>
            </w:r>
            <w:r w:rsidRPr="00BD1319">
              <w:rPr>
                <w:noProof/>
                <w:webHidden/>
              </w:rPr>
              <w:t>147</w:t>
            </w:r>
            <w:r w:rsidRPr="00BD1319">
              <w:rPr>
                <w:noProof/>
                <w:webHidden/>
              </w:rPr>
              <w:fldChar w:fldCharType="end"/>
            </w:r>
          </w:hyperlink>
        </w:p>
        <w:p w14:paraId="325A120E" w14:textId="61C5BA84" w:rsidR="00296654" w:rsidRPr="00BD1319" w:rsidRDefault="00296654">
          <w:pPr>
            <w:pStyle w:val="TDC3"/>
            <w:rPr>
              <w:rFonts w:asciiTheme="minorHAnsi" w:eastAsiaTheme="minorEastAsia" w:hAnsiTheme="minorHAnsi" w:cstheme="minorBidi"/>
              <w:iCs w:val="0"/>
              <w:caps w:val="0"/>
              <w:noProof/>
              <w:kern w:val="2"/>
              <w:szCs w:val="24"/>
              <w:lang w:eastAsia="es-CO"/>
              <w14:ligatures w14:val="standardContextual"/>
            </w:rPr>
          </w:pPr>
          <w:hyperlink w:anchor="_Toc175326727" w:history="1">
            <w:r w:rsidRPr="00BD1319">
              <w:rPr>
                <w:rStyle w:val="Hipervnculo"/>
                <w:noProof/>
              </w:rPr>
              <w:t>9.3.2</w:t>
            </w:r>
            <w:r w:rsidRPr="00BD1319">
              <w:rPr>
                <w:rFonts w:asciiTheme="minorHAnsi" w:eastAsiaTheme="minorEastAsia" w:hAnsiTheme="minorHAnsi" w:cstheme="minorBidi"/>
                <w:iCs w:val="0"/>
                <w:caps w:val="0"/>
                <w:noProof/>
                <w:kern w:val="2"/>
                <w:szCs w:val="24"/>
                <w:lang w:eastAsia="es-CO"/>
                <w14:ligatures w14:val="standardContextual"/>
              </w:rPr>
              <w:tab/>
            </w:r>
            <w:r w:rsidRPr="00BD1319">
              <w:rPr>
                <w:rStyle w:val="Hipervnculo"/>
                <w:noProof/>
              </w:rPr>
              <w:t>Identificar las alternativas</w:t>
            </w:r>
            <w:r w:rsidRPr="00BD1319">
              <w:rPr>
                <w:noProof/>
                <w:webHidden/>
              </w:rPr>
              <w:tab/>
            </w:r>
            <w:r w:rsidRPr="00BD1319">
              <w:rPr>
                <w:noProof/>
                <w:webHidden/>
              </w:rPr>
              <w:fldChar w:fldCharType="begin"/>
            </w:r>
            <w:r w:rsidRPr="00BD1319">
              <w:rPr>
                <w:noProof/>
                <w:webHidden/>
              </w:rPr>
              <w:instrText xml:space="preserve"> PAGEREF _Toc175326727 \h </w:instrText>
            </w:r>
            <w:r w:rsidRPr="00BD1319">
              <w:rPr>
                <w:noProof/>
                <w:webHidden/>
              </w:rPr>
            </w:r>
            <w:r w:rsidRPr="00BD1319">
              <w:rPr>
                <w:noProof/>
                <w:webHidden/>
              </w:rPr>
              <w:fldChar w:fldCharType="separate"/>
            </w:r>
            <w:r w:rsidRPr="00BD1319">
              <w:rPr>
                <w:noProof/>
                <w:webHidden/>
              </w:rPr>
              <w:t>148</w:t>
            </w:r>
            <w:r w:rsidRPr="00BD1319">
              <w:rPr>
                <w:noProof/>
                <w:webHidden/>
              </w:rPr>
              <w:fldChar w:fldCharType="end"/>
            </w:r>
          </w:hyperlink>
        </w:p>
        <w:p w14:paraId="447382B2" w14:textId="24B935AD" w:rsidR="00296654" w:rsidRPr="00BD1319" w:rsidRDefault="00296654">
          <w:pPr>
            <w:pStyle w:val="TDC3"/>
            <w:rPr>
              <w:rFonts w:asciiTheme="minorHAnsi" w:eastAsiaTheme="minorEastAsia" w:hAnsiTheme="minorHAnsi" w:cstheme="minorBidi"/>
              <w:iCs w:val="0"/>
              <w:caps w:val="0"/>
              <w:noProof/>
              <w:kern w:val="2"/>
              <w:szCs w:val="24"/>
              <w:lang w:eastAsia="es-CO"/>
              <w14:ligatures w14:val="standardContextual"/>
            </w:rPr>
          </w:pPr>
          <w:hyperlink w:anchor="_Toc175326728" w:history="1">
            <w:r w:rsidRPr="00BD1319">
              <w:rPr>
                <w:rStyle w:val="Hipervnculo"/>
                <w:noProof/>
              </w:rPr>
              <w:t>9.3.3</w:t>
            </w:r>
            <w:r w:rsidRPr="00BD1319">
              <w:rPr>
                <w:rFonts w:asciiTheme="minorHAnsi" w:eastAsiaTheme="minorEastAsia" w:hAnsiTheme="minorHAnsi" w:cstheme="minorBidi"/>
                <w:iCs w:val="0"/>
                <w:caps w:val="0"/>
                <w:noProof/>
                <w:kern w:val="2"/>
                <w:szCs w:val="24"/>
                <w:lang w:eastAsia="es-CO"/>
                <w14:ligatures w14:val="standardContextual"/>
              </w:rPr>
              <w:tab/>
            </w:r>
            <w:r w:rsidRPr="00BD1319">
              <w:rPr>
                <w:rStyle w:val="Hipervnculo"/>
                <w:noProof/>
              </w:rPr>
              <w:t>Establecer los criterios de evaluación</w:t>
            </w:r>
            <w:r w:rsidRPr="00BD1319">
              <w:rPr>
                <w:noProof/>
                <w:webHidden/>
              </w:rPr>
              <w:tab/>
            </w:r>
            <w:r w:rsidRPr="00BD1319">
              <w:rPr>
                <w:noProof/>
                <w:webHidden/>
              </w:rPr>
              <w:fldChar w:fldCharType="begin"/>
            </w:r>
            <w:r w:rsidRPr="00BD1319">
              <w:rPr>
                <w:noProof/>
                <w:webHidden/>
              </w:rPr>
              <w:instrText xml:space="preserve"> PAGEREF _Toc175326728 \h </w:instrText>
            </w:r>
            <w:r w:rsidRPr="00BD1319">
              <w:rPr>
                <w:noProof/>
                <w:webHidden/>
              </w:rPr>
            </w:r>
            <w:r w:rsidRPr="00BD1319">
              <w:rPr>
                <w:noProof/>
                <w:webHidden/>
              </w:rPr>
              <w:fldChar w:fldCharType="separate"/>
            </w:r>
            <w:r w:rsidRPr="00BD1319">
              <w:rPr>
                <w:noProof/>
                <w:webHidden/>
              </w:rPr>
              <w:t>149</w:t>
            </w:r>
            <w:r w:rsidRPr="00BD1319">
              <w:rPr>
                <w:noProof/>
                <w:webHidden/>
              </w:rPr>
              <w:fldChar w:fldCharType="end"/>
            </w:r>
          </w:hyperlink>
        </w:p>
        <w:p w14:paraId="1E69B7D0" w14:textId="73B9258E" w:rsidR="00296654" w:rsidRPr="00BD1319" w:rsidRDefault="00296654">
          <w:pPr>
            <w:pStyle w:val="TDC3"/>
            <w:rPr>
              <w:rFonts w:asciiTheme="minorHAnsi" w:eastAsiaTheme="minorEastAsia" w:hAnsiTheme="minorHAnsi" w:cstheme="minorBidi"/>
              <w:iCs w:val="0"/>
              <w:caps w:val="0"/>
              <w:noProof/>
              <w:kern w:val="2"/>
              <w:szCs w:val="24"/>
              <w:lang w:eastAsia="es-CO"/>
              <w14:ligatures w14:val="standardContextual"/>
            </w:rPr>
          </w:pPr>
          <w:hyperlink w:anchor="_Toc175326729" w:history="1">
            <w:r w:rsidRPr="00BD1319">
              <w:rPr>
                <w:rStyle w:val="Hipervnculo"/>
                <w:noProof/>
              </w:rPr>
              <w:t>9.3.4</w:t>
            </w:r>
            <w:r w:rsidRPr="00BD1319">
              <w:rPr>
                <w:rFonts w:asciiTheme="minorHAnsi" w:eastAsiaTheme="minorEastAsia" w:hAnsiTheme="minorHAnsi" w:cstheme="minorBidi"/>
                <w:iCs w:val="0"/>
                <w:caps w:val="0"/>
                <w:noProof/>
                <w:kern w:val="2"/>
                <w:szCs w:val="24"/>
                <w:lang w:eastAsia="es-CO"/>
                <w14:ligatures w14:val="standardContextual"/>
              </w:rPr>
              <w:tab/>
            </w:r>
            <w:r w:rsidRPr="00BD1319">
              <w:rPr>
                <w:rStyle w:val="Hipervnculo"/>
                <w:noProof/>
              </w:rPr>
              <w:t>Ejecutar el procedimiento de EMC del método seleccionado</w:t>
            </w:r>
            <w:r w:rsidRPr="00BD1319">
              <w:rPr>
                <w:noProof/>
                <w:webHidden/>
              </w:rPr>
              <w:tab/>
            </w:r>
            <w:r w:rsidRPr="00BD1319">
              <w:rPr>
                <w:noProof/>
                <w:webHidden/>
              </w:rPr>
              <w:fldChar w:fldCharType="begin"/>
            </w:r>
            <w:r w:rsidRPr="00BD1319">
              <w:rPr>
                <w:noProof/>
                <w:webHidden/>
              </w:rPr>
              <w:instrText xml:space="preserve"> PAGEREF _Toc175326729 \h </w:instrText>
            </w:r>
            <w:r w:rsidRPr="00BD1319">
              <w:rPr>
                <w:noProof/>
                <w:webHidden/>
              </w:rPr>
            </w:r>
            <w:r w:rsidRPr="00BD1319">
              <w:rPr>
                <w:noProof/>
                <w:webHidden/>
              </w:rPr>
              <w:fldChar w:fldCharType="separate"/>
            </w:r>
            <w:r w:rsidRPr="00BD1319">
              <w:rPr>
                <w:noProof/>
                <w:webHidden/>
              </w:rPr>
              <w:t>151</w:t>
            </w:r>
            <w:r w:rsidRPr="00BD1319">
              <w:rPr>
                <w:noProof/>
                <w:webHidden/>
              </w:rPr>
              <w:fldChar w:fldCharType="end"/>
            </w:r>
          </w:hyperlink>
        </w:p>
        <w:p w14:paraId="58BD7589" w14:textId="260C3D5D" w:rsidR="00296654" w:rsidRPr="00BD1319" w:rsidRDefault="00296654">
          <w:pPr>
            <w:pStyle w:val="TDC3"/>
            <w:rPr>
              <w:rFonts w:asciiTheme="minorHAnsi" w:eastAsiaTheme="minorEastAsia" w:hAnsiTheme="minorHAnsi" w:cstheme="minorBidi"/>
              <w:iCs w:val="0"/>
              <w:caps w:val="0"/>
              <w:noProof/>
              <w:kern w:val="2"/>
              <w:szCs w:val="24"/>
              <w:lang w:eastAsia="es-CO"/>
              <w14:ligatures w14:val="standardContextual"/>
            </w:rPr>
          </w:pPr>
          <w:hyperlink w:anchor="_Toc175326730" w:history="1">
            <w:r w:rsidRPr="00BD1319">
              <w:rPr>
                <w:rStyle w:val="Hipervnculo"/>
                <w:noProof/>
              </w:rPr>
              <w:t>9.3.5</w:t>
            </w:r>
            <w:r w:rsidRPr="00BD1319">
              <w:rPr>
                <w:rFonts w:asciiTheme="minorHAnsi" w:eastAsiaTheme="minorEastAsia" w:hAnsiTheme="minorHAnsi" w:cstheme="minorBidi"/>
                <w:iCs w:val="0"/>
                <w:caps w:val="0"/>
                <w:noProof/>
                <w:kern w:val="2"/>
                <w:szCs w:val="24"/>
                <w:lang w:eastAsia="es-CO"/>
                <w14:ligatures w14:val="standardContextual"/>
              </w:rPr>
              <w:tab/>
            </w:r>
            <w:r w:rsidRPr="00BD1319">
              <w:rPr>
                <w:rStyle w:val="Hipervnculo"/>
                <w:noProof/>
              </w:rPr>
              <w:t>Ejecutar un análisis de sensibilidad</w:t>
            </w:r>
            <w:r w:rsidRPr="00BD1319">
              <w:rPr>
                <w:noProof/>
                <w:webHidden/>
              </w:rPr>
              <w:tab/>
            </w:r>
            <w:r w:rsidRPr="00BD1319">
              <w:rPr>
                <w:noProof/>
                <w:webHidden/>
              </w:rPr>
              <w:fldChar w:fldCharType="begin"/>
            </w:r>
            <w:r w:rsidRPr="00BD1319">
              <w:rPr>
                <w:noProof/>
                <w:webHidden/>
              </w:rPr>
              <w:instrText xml:space="preserve"> PAGEREF _Toc175326730 \h </w:instrText>
            </w:r>
            <w:r w:rsidRPr="00BD1319">
              <w:rPr>
                <w:noProof/>
                <w:webHidden/>
              </w:rPr>
            </w:r>
            <w:r w:rsidRPr="00BD1319">
              <w:rPr>
                <w:noProof/>
                <w:webHidden/>
              </w:rPr>
              <w:fldChar w:fldCharType="separate"/>
            </w:r>
            <w:r w:rsidRPr="00BD1319">
              <w:rPr>
                <w:noProof/>
                <w:webHidden/>
              </w:rPr>
              <w:t>154</w:t>
            </w:r>
            <w:r w:rsidRPr="00BD1319">
              <w:rPr>
                <w:noProof/>
                <w:webHidden/>
              </w:rPr>
              <w:fldChar w:fldCharType="end"/>
            </w:r>
          </w:hyperlink>
        </w:p>
        <w:p w14:paraId="7752F3D7" w14:textId="47862EE5" w:rsidR="00296654" w:rsidRPr="00BD1319" w:rsidRDefault="00296654">
          <w:pPr>
            <w:pStyle w:val="TDC3"/>
            <w:rPr>
              <w:rFonts w:asciiTheme="minorHAnsi" w:eastAsiaTheme="minorEastAsia" w:hAnsiTheme="minorHAnsi" w:cstheme="minorBidi"/>
              <w:iCs w:val="0"/>
              <w:caps w:val="0"/>
              <w:noProof/>
              <w:kern w:val="2"/>
              <w:szCs w:val="24"/>
              <w:lang w:eastAsia="es-CO"/>
              <w14:ligatures w14:val="standardContextual"/>
            </w:rPr>
          </w:pPr>
          <w:hyperlink w:anchor="_Toc175326731" w:history="1">
            <w:r w:rsidRPr="00BD1319">
              <w:rPr>
                <w:rStyle w:val="Hipervnculo"/>
                <w:noProof/>
              </w:rPr>
              <w:t>9.3.6</w:t>
            </w:r>
            <w:r w:rsidRPr="00BD1319">
              <w:rPr>
                <w:rFonts w:asciiTheme="minorHAnsi" w:eastAsiaTheme="minorEastAsia" w:hAnsiTheme="minorHAnsi" w:cstheme="minorBidi"/>
                <w:iCs w:val="0"/>
                <w:caps w:val="0"/>
                <w:noProof/>
                <w:kern w:val="2"/>
                <w:szCs w:val="24"/>
                <w:lang w:eastAsia="es-CO"/>
                <w14:ligatures w14:val="standardContextual"/>
              </w:rPr>
              <w:tab/>
            </w:r>
            <w:r w:rsidRPr="00BD1319">
              <w:rPr>
                <w:rStyle w:val="Hipervnculo"/>
                <w:noProof/>
              </w:rPr>
              <w:t>Formular ajustes a las alternativas</w:t>
            </w:r>
            <w:r w:rsidRPr="00BD1319">
              <w:rPr>
                <w:noProof/>
                <w:webHidden/>
              </w:rPr>
              <w:tab/>
            </w:r>
            <w:r w:rsidRPr="00BD1319">
              <w:rPr>
                <w:noProof/>
                <w:webHidden/>
              </w:rPr>
              <w:fldChar w:fldCharType="begin"/>
            </w:r>
            <w:r w:rsidRPr="00BD1319">
              <w:rPr>
                <w:noProof/>
                <w:webHidden/>
              </w:rPr>
              <w:instrText xml:space="preserve"> PAGEREF _Toc175326731 \h </w:instrText>
            </w:r>
            <w:r w:rsidRPr="00BD1319">
              <w:rPr>
                <w:noProof/>
                <w:webHidden/>
              </w:rPr>
            </w:r>
            <w:r w:rsidRPr="00BD1319">
              <w:rPr>
                <w:noProof/>
                <w:webHidden/>
              </w:rPr>
              <w:fldChar w:fldCharType="separate"/>
            </w:r>
            <w:r w:rsidRPr="00BD1319">
              <w:rPr>
                <w:noProof/>
                <w:webHidden/>
              </w:rPr>
              <w:t>155</w:t>
            </w:r>
            <w:r w:rsidRPr="00BD1319">
              <w:rPr>
                <w:noProof/>
                <w:webHidden/>
              </w:rPr>
              <w:fldChar w:fldCharType="end"/>
            </w:r>
          </w:hyperlink>
        </w:p>
        <w:p w14:paraId="44616E99" w14:textId="06AF6B25" w:rsidR="00296654" w:rsidRPr="00BD1319" w:rsidRDefault="00296654">
          <w:pPr>
            <w:pStyle w:val="TDC3"/>
            <w:rPr>
              <w:rFonts w:asciiTheme="minorHAnsi" w:eastAsiaTheme="minorEastAsia" w:hAnsiTheme="minorHAnsi" w:cstheme="minorBidi"/>
              <w:iCs w:val="0"/>
              <w:caps w:val="0"/>
              <w:noProof/>
              <w:kern w:val="2"/>
              <w:szCs w:val="24"/>
              <w:lang w:eastAsia="es-CO"/>
              <w14:ligatures w14:val="standardContextual"/>
            </w:rPr>
          </w:pPr>
          <w:hyperlink w:anchor="_Toc175326732" w:history="1">
            <w:r w:rsidRPr="00BD1319">
              <w:rPr>
                <w:rStyle w:val="Hipervnculo"/>
                <w:noProof/>
              </w:rPr>
              <w:t>9.3.7</w:t>
            </w:r>
            <w:r w:rsidRPr="00BD1319">
              <w:rPr>
                <w:rFonts w:asciiTheme="minorHAnsi" w:eastAsiaTheme="minorEastAsia" w:hAnsiTheme="minorHAnsi" w:cstheme="minorBidi"/>
                <w:iCs w:val="0"/>
                <w:caps w:val="0"/>
                <w:noProof/>
                <w:kern w:val="2"/>
                <w:szCs w:val="24"/>
                <w:lang w:eastAsia="es-CO"/>
                <w14:ligatures w14:val="standardContextual"/>
              </w:rPr>
              <w:tab/>
            </w:r>
            <w:r w:rsidRPr="00BD1319">
              <w:rPr>
                <w:rStyle w:val="Hipervnculo"/>
                <w:noProof/>
              </w:rPr>
              <w:t>Repetir la EMC hasta obtener una buena evaluación</w:t>
            </w:r>
            <w:r w:rsidRPr="00BD1319">
              <w:rPr>
                <w:noProof/>
                <w:webHidden/>
              </w:rPr>
              <w:tab/>
            </w:r>
            <w:r w:rsidRPr="00BD1319">
              <w:rPr>
                <w:noProof/>
                <w:webHidden/>
              </w:rPr>
              <w:fldChar w:fldCharType="begin"/>
            </w:r>
            <w:r w:rsidRPr="00BD1319">
              <w:rPr>
                <w:noProof/>
                <w:webHidden/>
              </w:rPr>
              <w:instrText xml:space="preserve"> PAGEREF _Toc175326732 \h </w:instrText>
            </w:r>
            <w:r w:rsidRPr="00BD1319">
              <w:rPr>
                <w:noProof/>
                <w:webHidden/>
              </w:rPr>
            </w:r>
            <w:r w:rsidRPr="00BD1319">
              <w:rPr>
                <w:noProof/>
                <w:webHidden/>
              </w:rPr>
              <w:fldChar w:fldCharType="separate"/>
            </w:r>
            <w:r w:rsidRPr="00BD1319">
              <w:rPr>
                <w:noProof/>
                <w:webHidden/>
              </w:rPr>
              <w:t>156</w:t>
            </w:r>
            <w:r w:rsidRPr="00BD1319">
              <w:rPr>
                <w:noProof/>
                <w:webHidden/>
              </w:rPr>
              <w:fldChar w:fldCharType="end"/>
            </w:r>
          </w:hyperlink>
        </w:p>
        <w:p w14:paraId="68DCC835" w14:textId="7F9AFE75" w:rsidR="00296654" w:rsidRPr="00BD1319" w:rsidRDefault="00296654">
          <w:pPr>
            <w:pStyle w:val="TDC2"/>
            <w:rPr>
              <w:rFonts w:asciiTheme="minorHAnsi" w:eastAsiaTheme="minorEastAsia" w:hAnsiTheme="minorHAnsi" w:cstheme="minorBidi"/>
              <w:b w:val="0"/>
              <w:caps w:val="0"/>
              <w:noProof/>
              <w:kern w:val="2"/>
              <w:szCs w:val="24"/>
              <w:lang w:eastAsia="es-CO"/>
              <w14:ligatures w14:val="standardContextual"/>
            </w:rPr>
          </w:pPr>
          <w:hyperlink w:anchor="_Toc175326733" w:history="1">
            <w:r w:rsidRPr="00BD1319">
              <w:rPr>
                <w:rStyle w:val="Hipervnculo"/>
                <w:rFonts w:cs="Arial"/>
                <w:noProof/>
              </w:rPr>
              <w:t>9.4</w:t>
            </w:r>
            <w:r w:rsidRPr="00BD1319">
              <w:rPr>
                <w:rFonts w:asciiTheme="minorHAnsi" w:eastAsiaTheme="minorEastAsia" w:hAnsiTheme="minorHAnsi" w:cstheme="minorBidi"/>
                <w:b w:val="0"/>
                <w:caps w:val="0"/>
                <w:noProof/>
                <w:kern w:val="2"/>
                <w:szCs w:val="24"/>
                <w:lang w:eastAsia="es-CO"/>
                <w14:ligatures w14:val="standardContextual"/>
              </w:rPr>
              <w:tab/>
            </w:r>
            <w:r w:rsidRPr="00BD1319">
              <w:rPr>
                <w:rStyle w:val="Hipervnculo"/>
                <w:noProof/>
              </w:rPr>
              <w:t>CRITERIOS PARA LA COMPARACIÓN DE ALTERNATIVAS</w:t>
            </w:r>
            <w:r w:rsidRPr="00BD1319">
              <w:rPr>
                <w:noProof/>
                <w:webHidden/>
              </w:rPr>
              <w:tab/>
            </w:r>
            <w:r w:rsidRPr="00BD1319">
              <w:rPr>
                <w:noProof/>
                <w:webHidden/>
              </w:rPr>
              <w:fldChar w:fldCharType="begin"/>
            </w:r>
            <w:r w:rsidRPr="00BD1319">
              <w:rPr>
                <w:noProof/>
                <w:webHidden/>
              </w:rPr>
              <w:instrText xml:space="preserve"> PAGEREF _Toc175326733 \h </w:instrText>
            </w:r>
            <w:r w:rsidRPr="00BD1319">
              <w:rPr>
                <w:noProof/>
                <w:webHidden/>
              </w:rPr>
            </w:r>
            <w:r w:rsidRPr="00BD1319">
              <w:rPr>
                <w:noProof/>
                <w:webHidden/>
              </w:rPr>
              <w:fldChar w:fldCharType="separate"/>
            </w:r>
            <w:r w:rsidRPr="00BD1319">
              <w:rPr>
                <w:noProof/>
                <w:webHidden/>
              </w:rPr>
              <w:t>156</w:t>
            </w:r>
            <w:r w:rsidRPr="00BD1319">
              <w:rPr>
                <w:noProof/>
                <w:webHidden/>
              </w:rPr>
              <w:fldChar w:fldCharType="end"/>
            </w:r>
          </w:hyperlink>
        </w:p>
        <w:p w14:paraId="78F99748" w14:textId="7160B407" w:rsidR="00296654" w:rsidRPr="00BD1319" w:rsidRDefault="00296654">
          <w:pPr>
            <w:pStyle w:val="TDC3"/>
            <w:rPr>
              <w:rFonts w:asciiTheme="minorHAnsi" w:eastAsiaTheme="minorEastAsia" w:hAnsiTheme="minorHAnsi" w:cstheme="minorBidi"/>
              <w:iCs w:val="0"/>
              <w:caps w:val="0"/>
              <w:noProof/>
              <w:kern w:val="2"/>
              <w:szCs w:val="24"/>
              <w:lang w:eastAsia="es-CO"/>
              <w14:ligatures w14:val="standardContextual"/>
            </w:rPr>
          </w:pPr>
          <w:hyperlink w:anchor="_Toc175326734" w:history="1">
            <w:r w:rsidRPr="00BD1319">
              <w:rPr>
                <w:rStyle w:val="Hipervnculo"/>
                <w:noProof/>
              </w:rPr>
              <w:t>9.4.1</w:t>
            </w:r>
            <w:r w:rsidRPr="00BD1319">
              <w:rPr>
                <w:rFonts w:asciiTheme="minorHAnsi" w:eastAsiaTheme="minorEastAsia" w:hAnsiTheme="minorHAnsi" w:cstheme="minorBidi"/>
                <w:iCs w:val="0"/>
                <w:caps w:val="0"/>
                <w:noProof/>
                <w:kern w:val="2"/>
                <w:szCs w:val="24"/>
                <w:lang w:eastAsia="es-CO"/>
                <w14:ligatures w14:val="standardContextual"/>
              </w:rPr>
              <w:tab/>
            </w:r>
            <w:r w:rsidRPr="00BD1319">
              <w:rPr>
                <w:rStyle w:val="Hipervnculo"/>
                <w:noProof/>
              </w:rPr>
              <w:t>Criterios relacionados con el medio abiótico</w:t>
            </w:r>
            <w:r w:rsidRPr="00BD1319">
              <w:rPr>
                <w:noProof/>
                <w:webHidden/>
              </w:rPr>
              <w:tab/>
            </w:r>
            <w:r w:rsidRPr="00BD1319">
              <w:rPr>
                <w:noProof/>
                <w:webHidden/>
              </w:rPr>
              <w:fldChar w:fldCharType="begin"/>
            </w:r>
            <w:r w:rsidRPr="00BD1319">
              <w:rPr>
                <w:noProof/>
                <w:webHidden/>
              </w:rPr>
              <w:instrText xml:space="preserve"> PAGEREF _Toc175326734 \h </w:instrText>
            </w:r>
            <w:r w:rsidRPr="00BD1319">
              <w:rPr>
                <w:noProof/>
                <w:webHidden/>
              </w:rPr>
            </w:r>
            <w:r w:rsidRPr="00BD1319">
              <w:rPr>
                <w:noProof/>
                <w:webHidden/>
              </w:rPr>
              <w:fldChar w:fldCharType="separate"/>
            </w:r>
            <w:r w:rsidRPr="00BD1319">
              <w:rPr>
                <w:noProof/>
                <w:webHidden/>
              </w:rPr>
              <w:t>157</w:t>
            </w:r>
            <w:r w:rsidRPr="00BD1319">
              <w:rPr>
                <w:noProof/>
                <w:webHidden/>
              </w:rPr>
              <w:fldChar w:fldCharType="end"/>
            </w:r>
          </w:hyperlink>
        </w:p>
        <w:p w14:paraId="1A2D92EE" w14:textId="5E3BA38F" w:rsidR="00296654" w:rsidRPr="00BD1319" w:rsidRDefault="00296654">
          <w:pPr>
            <w:pStyle w:val="TDC3"/>
            <w:rPr>
              <w:rFonts w:asciiTheme="minorHAnsi" w:eastAsiaTheme="minorEastAsia" w:hAnsiTheme="minorHAnsi" w:cstheme="minorBidi"/>
              <w:iCs w:val="0"/>
              <w:caps w:val="0"/>
              <w:noProof/>
              <w:kern w:val="2"/>
              <w:szCs w:val="24"/>
              <w:lang w:eastAsia="es-CO"/>
              <w14:ligatures w14:val="standardContextual"/>
            </w:rPr>
          </w:pPr>
          <w:hyperlink w:anchor="_Toc175326735" w:history="1">
            <w:r w:rsidRPr="00BD1319">
              <w:rPr>
                <w:rStyle w:val="Hipervnculo"/>
                <w:noProof/>
              </w:rPr>
              <w:t>9.4.2</w:t>
            </w:r>
            <w:r w:rsidRPr="00BD1319">
              <w:rPr>
                <w:rFonts w:asciiTheme="minorHAnsi" w:eastAsiaTheme="minorEastAsia" w:hAnsiTheme="minorHAnsi" w:cstheme="minorBidi"/>
                <w:iCs w:val="0"/>
                <w:caps w:val="0"/>
                <w:noProof/>
                <w:kern w:val="2"/>
                <w:szCs w:val="24"/>
                <w:lang w:eastAsia="es-CO"/>
                <w14:ligatures w14:val="standardContextual"/>
              </w:rPr>
              <w:tab/>
            </w:r>
            <w:r w:rsidRPr="00BD1319">
              <w:rPr>
                <w:rStyle w:val="Hipervnculo"/>
                <w:noProof/>
              </w:rPr>
              <w:t>Criterios relacionados con el medio biótico</w:t>
            </w:r>
            <w:r w:rsidRPr="00BD1319">
              <w:rPr>
                <w:noProof/>
                <w:webHidden/>
              </w:rPr>
              <w:tab/>
            </w:r>
            <w:r w:rsidRPr="00BD1319">
              <w:rPr>
                <w:noProof/>
                <w:webHidden/>
              </w:rPr>
              <w:fldChar w:fldCharType="begin"/>
            </w:r>
            <w:r w:rsidRPr="00BD1319">
              <w:rPr>
                <w:noProof/>
                <w:webHidden/>
              </w:rPr>
              <w:instrText xml:space="preserve"> PAGEREF _Toc175326735 \h </w:instrText>
            </w:r>
            <w:r w:rsidRPr="00BD1319">
              <w:rPr>
                <w:noProof/>
                <w:webHidden/>
              </w:rPr>
            </w:r>
            <w:r w:rsidRPr="00BD1319">
              <w:rPr>
                <w:noProof/>
                <w:webHidden/>
              </w:rPr>
              <w:fldChar w:fldCharType="separate"/>
            </w:r>
            <w:r w:rsidRPr="00BD1319">
              <w:rPr>
                <w:noProof/>
                <w:webHidden/>
              </w:rPr>
              <w:t>159</w:t>
            </w:r>
            <w:r w:rsidRPr="00BD1319">
              <w:rPr>
                <w:noProof/>
                <w:webHidden/>
              </w:rPr>
              <w:fldChar w:fldCharType="end"/>
            </w:r>
          </w:hyperlink>
        </w:p>
        <w:p w14:paraId="616A6BFB" w14:textId="74563465" w:rsidR="00296654" w:rsidRPr="00BD1319" w:rsidRDefault="00296654">
          <w:pPr>
            <w:pStyle w:val="TDC3"/>
            <w:rPr>
              <w:rFonts w:asciiTheme="minorHAnsi" w:eastAsiaTheme="minorEastAsia" w:hAnsiTheme="minorHAnsi" w:cstheme="minorBidi"/>
              <w:iCs w:val="0"/>
              <w:caps w:val="0"/>
              <w:noProof/>
              <w:kern w:val="2"/>
              <w:szCs w:val="24"/>
              <w:lang w:eastAsia="es-CO"/>
              <w14:ligatures w14:val="standardContextual"/>
            </w:rPr>
          </w:pPr>
          <w:hyperlink w:anchor="_Toc175326736" w:history="1">
            <w:r w:rsidRPr="00BD1319">
              <w:rPr>
                <w:rStyle w:val="Hipervnculo"/>
                <w:noProof/>
              </w:rPr>
              <w:t>9.4.3</w:t>
            </w:r>
            <w:r w:rsidRPr="00BD1319">
              <w:rPr>
                <w:rFonts w:asciiTheme="minorHAnsi" w:eastAsiaTheme="minorEastAsia" w:hAnsiTheme="minorHAnsi" w:cstheme="minorBidi"/>
                <w:iCs w:val="0"/>
                <w:caps w:val="0"/>
                <w:noProof/>
                <w:kern w:val="2"/>
                <w:szCs w:val="24"/>
                <w:lang w:eastAsia="es-CO"/>
                <w14:ligatures w14:val="standardContextual"/>
              </w:rPr>
              <w:tab/>
            </w:r>
            <w:r w:rsidRPr="00BD1319">
              <w:rPr>
                <w:rStyle w:val="Hipervnculo"/>
                <w:noProof/>
              </w:rPr>
              <w:t>Criterios relacionados con el medio socioeconómico</w:t>
            </w:r>
            <w:r w:rsidRPr="00BD1319">
              <w:rPr>
                <w:noProof/>
                <w:webHidden/>
              </w:rPr>
              <w:tab/>
            </w:r>
            <w:r w:rsidRPr="00BD1319">
              <w:rPr>
                <w:noProof/>
                <w:webHidden/>
              </w:rPr>
              <w:fldChar w:fldCharType="begin"/>
            </w:r>
            <w:r w:rsidRPr="00BD1319">
              <w:rPr>
                <w:noProof/>
                <w:webHidden/>
              </w:rPr>
              <w:instrText xml:space="preserve"> PAGEREF _Toc175326736 \h </w:instrText>
            </w:r>
            <w:r w:rsidRPr="00BD1319">
              <w:rPr>
                <w:noProof/>
                <w:webHidden/>
              </w:rPr>
            </w:r>
            <w:r w:rsidRPr="00BD1319">
              <w:rPr>
                <w:noProof/>
                <w:webHidden/>
              </w:rPr>
              <w:fldChar w:fldCharType="separate"/>
            </w:r>
            <w:r w:rsidRPr="00BD1319">
              <w:rPr>
                <w:noProof/>
                <w:webHidden/>
              </w:rPr>
              <w:t>159</w:t>
            </w:r>
            <w:r w:rsidRPr="00BD1319">
              <w:rPr>
                <w:noProof/>
                <w:webHidden/>
              </w:rPr>
              <w:fldChar w:fldCharType="end"/>
            </w:r>
          </w:hyperlink>
        </w:p>
        <w:p w14:paraId="4ABD6CE0" w14:textId="02C866E5" w:rsidR="00296654" w:rsidRPr="00BD1319" w:rsidRDefault="00296654">
          <w:pPr>
            <w:pStyle w:val="TDC3"/>
            <w:rPr>
              <w:rFonts w:asciiTheme="minorHAnsi" w:eastAsiaTheme="minorEastAsia" w:hAnsiTheme="minorHAnsi" w:cstheme="minorBidi"/>
              <w:iCs w:val="0"/>
              <w:caps w:val="0"/>
              <w:noProof/>
              <w:kern w:val="2"/>
              <w:szCs w:val="24"/>
              <w:lang w:eastAsia="es-CO"/>
              <w14:ligatures w14:val="standardContextual"/>
            </w:rPr>
          </w:pPr>
          <w:hyperlink w:anchor="_Toc175326737" w:history="1">
            <w:r w:rsidRPr="00BD1319">
              <w:rPr>
                <w:rStyle w:val="Hipervnculo"/>
                <w:noProof/>
              </w:rPr>
              <w:t>9.4.4</w:t>
            </w:r>
            <w:r w:rsidRPr="00BD1319">
              <w:rPr>
                <w:rFonts w:asciiTheme="minorHAnsi" w:eastAsiaTheme="minorEastAsia" w:hAnsiTheme="minorHAnsi" w:cstheme="minorBidi"/>
                <w:iCs w:val="0"/>
                <w:caps w:val="0"/>
                <w:noProof/>
                <w:kern w:val="2"/>
                <w:szCs w:val="24"/>
                <w:lang w:eastAsia="es-CO"/>
                <w14:ligatures w14:val="standardContextual"/>
              </w:rPr>
              <w:tab/>
            </w:r>
            <w:r w:rsidRPr="00BD1319">
              <w:rPr>
                <w:rStyle w:val="Hipervnculo"/>
                <w:noProof/>
              </w:rPr>
              <w:t>Criterios de tipo general</w:t>
            </w:r>
            <w:r w:rsidRPr="00BD1319">
              <w:rPr>
                <w:noProof/>
                <w:webHidden/>
              </w:rPr>
              <w:tab/>
            </w:r>
            <w:r w:rsidRPr="00BD1319">
              <w:rPr>
                <w:noProof/>
                <w:webHidden/>
              </w:rPr>
              <w:fldChar w:fldCharType="begin"/>
            </w:r>
            <w:r w:rsidRPr="00BD1319">
              <w:rPr>
                <w:noProof/>
                <w:webHidden/>
              </w:rPr>
              <w:instrText xml:space="preserve"> PAGEREF _Toc175326737 \h </w:instrText>
            </w:r>
            <w:r w:rsidRPr="00BD1319">
              <w:rPr>
                <w:noProof/>
                <w:webHidden/>
              </w:rPr>
            </w:r>
            <w:r w:rsidRPr="00BD1319">
              <w:rPr>
                <w:noProof/>
                <w:webHidden/>
              </w:rPr>
              <w:fldChar w:fldCharType="separate"/>
            </w:r>
            <w:r w:rsidRPr="00BD1319">
              <w:rPr>
                <w:noProof/>
                <w:webHidden/>
              </w:rPr>
              <w:t>161</w:t>
            </w:r>
            <w:r w:rsidRPr="00BD1319">
              <w:rPr>
                <w:noProof/>
                <w:webHidden/>
              </w:rPr>
              <w:fldChar w:fldCharType="end"/>
            </w:r>
          </w:hyperlink>
        </w:p>
        <w:p w14:paraId="6006AE68" w14:textId="0F88638D" w:rsidR="00296654" w:rsidRPr="00BD1319" w:rsidRDefault="00296654">
          <w:pPr>
            <w:pStyle w:val="TDC1"/>
            <w:rPr>
              <w:rFonts w:asciiTheme="minorHAnsi" w:eastAsiaTheme="minorEastAsia" w:hAnsiTheme="minorHAnsi" w:cstheme="minorBidi"/>
              <w:b w:val="0"/>
              <w:bCs w:val="0"/>
              <w:caps w:val="0"/>
              <w:kern w:val="2"/>
              <w:lang w:eastAsia="es-CO"/>
              <w14:ligatures w14:val="standardContextual"/>
            </w:rPr>
          </w:pPr>
          <w:hyperlink w:anchor="_Toc175326738" w:history="1">
            <w:r w:rsidRPr="00BD1319">
              <w:rPr>
                <w:rStyle w:val="Hipervnculo"/>
              </w:rPr>
              <w:t>III.</w:t>
            </w:r>
            <w:r w:rsidRPr="00BD1319">
              <w:rPr>
                <w:rFonts w:asciiTheme="minorHAnsi" w:eastAsiaTheme="minorEastAsia" w:hAnsiTheme="minorHAnsi" w:cstheme="minorBidi"/>
                <w:b w:val="0"/>
                <w:bCs w:val="0"/>
                <w:caps w:val="0"/>
                <w:kern w:val="2"/>
                <w:lang w:eastAsia="es-CO"/>
                <w14:ligatures w14:val="standardContextual"/>
              </w:rPr>
              <w:tab/>
            </w:r>
            <w:r w:rsidRPr="00BD1319">
              <w:rPr>
                <w:rStyle w:val="Hipervnculo"/>
              </w:rPr>
              <w:t>ESPECIFICACIONES TÉCNICAS DEL ESTUDIO DE IMPACTO AMBIENTAL</w:t>
            </w:r>
            <w:r w:rsidRPr="00BD1319">
              <w:rPr>
                <w:webHidden/>
              </w:rPr>
              <w:tab/>
            </w:r>
            <w:r w:rsidRPr="00BD1319">
              <w:rPr>
                <w:webHidden/>
              </w:rPr>
              <w:fldChar w:fldCharType="begin"/>
            </w:r>
            <w:r w:rsidRPr="00BD1319">
              <w:rPr>
                <w:webHidden/>
              </w:rPr>
              <w:instrText xml:space="preserve"> PAGEREF _Toc175326738 \h </w:instrText>
            </w:r>
            <w:r w:rsidRPr="00BD1319">
              <w:rPr>
                <w:webHidden/>
              </w:rPr>
            </w:r>
            <w:r w:rsidRPr="00BD1319">
              <w:rPr>
                <w:webHidden/>
              </w:rPr>
              <w:fldChar w:fldCharType="separate"/>
            </w:r>
            <w:r w:rsidRPr="00BD1319">
              <w:rPr>
                <w:webHidden/>
              </w:rPr>
              <w:t>163</w:t>
            </w:r>
            <w:r w:rsidRPr="00BD1319">
              <w:rPr>
                <w:webHidden/>
              </w:rPr>
              <w:fldChar w:fldCharType="end"/>
            </w:r>
          </w:hyperlink>
        </w:p>
        <w:p w14:paraId="7B5DAE3C" w14:textId="2BD8B3A6" w:rsidR="00296654" w:rsidRPr="00BD1319" w:rsidRDefault="00296654">
          <w:pPr>
            <w:pStyle w:val="TDC1"/>
            <w:rPr>
              <w:rFonts w:asciiTheme="minorHAnsi" w:eastAsiaTheme="minorEastAsia" w:hAnsiTheme="minorHAnsi" w:cstheme="minorBidi"/>
              <w:b w:val="0"/>
              <w:bCs w:val="0"/>
              <w:caps w:val="0"/>
              <w:kern w:val="2"/>
              <w:lang w:eastAsia="es-CO"/>
              <w14:ligatures w14:val="standardContextual"/>
            </w:rPr>
          </w:pPr>
          <w:hyperlink w:anchor="_Toc175326739" w:history="1">
            <w:r w:rsidRPr="00BD1319">
              <w:rPr>
                <w:rStyle w:val="Hipervnculo"/>
              </w:rPr>
              <w:t>1.</w:t>
            </w:r>
            <w:r w:rsidRPr="00BD1319">
              <w:rPr>
                <w:rFonts w:asciiTheme="minorHAnsi" w:eastAsiaTheme="minorEastAsia" w:hAnsiTheme="minorHAnsi" w:cstheme="minorBidi"/>
                <w:b w:val="0"/>
                <w:bCs w:val="0"/>
                <w:caps w:val="0"/>
                <w:kern w:val="2"/>
                <w:lang w:eastAsia="es-CO"/>
                <w14:ligatures w14:val="standardContextual"/>
              </w:rPr>
              <w:tab/>
            </w:r>
            <w:r w:rsidRPr="00BD1319">
              <w:rPr>
                <w:rStyle w:val="Hipervnculo"/>
              </w:rPr>
              <w:t>DESCRIPCIÓN DEL PROYECTO</w:t>
            </w:r>
            <w:r w:rsidRPr="00BD1319">
              <w:rPr>
                <w:webHidden/>
              </w:rPr>
              <w:tab/>
            </w:r>
            <w:r w:rsidRPr="00BD1319">
              <w:rPr>
                <w:webHidden/>
              </w:rPr>
              <w:fldChar w:fldCharType="begin"/>
            </w:r>
            <w:r w:rsidRPr="00BD1319">
              <w:rPr>
                <w:webHidden/>
              </w:rPr>
              <w:instrText xml:space="preserve"> PAGEREF _Toc175326739 \h </w:instrText>
            </w:r>
            <w:r w:rsidRPr="00BD1319">
              <w:rPr>
                <w:webHidden/>
              </w:rPr>
            </w:r>
            <w:r w:rsidRPr="00BD1319">
              <w:rPr>
                <w:webHidden/>
              </w:rPr>
              <w:fldChar w:fldCharType="separate"/>
            </w:r>
            <w:r w:rsidRPr="00BD1319">
              <w:rPr>
                <w:webHidden/>
              </w:rPr>
              <w:t>163</w:t>
            </w:r>
            <w:r w:rsidRPr="00BD1319">
              <w:rPr>
                <w:webHidden/>
              </w:rPr>
              <w:fldChar w:fldCharType="end"/>
            </w:r>
          </w:hyperlink>
        </w:p>
        <w:p w14:paraId="53F2278F" w14:textId="71C35FF4" w:rsidR="00296654" w:rsidRPr="00BD1319" w:rsidRDefault="00296654">
          <w:pPr>
            <w:pStyle w:val="TDC1"/>
            <w:rPr>
              <w:rFonts w:asciiTheme="minorHAnsi" w:eastAsiaTheme="minorEastAsia" w:hAnsiTheme="minorHAnsi" w:cstheme="minorBidi"/>
              <w:b w:val="0"/>
              <w:bCs w:val="0"/>
              <w:caps w:val="0"/>
              <w:kern w:val="2"/>
              <w:lang w:eastAsia="es-CO"/>
              <w14:ligatures w14:val="standardContextual"/>
            </w:rPr>
          </w:pPr>
          <w:hyperlink w:anchor="_Toc175326740" w:history="1">
            <w:r w:rsidRPr="00BD1319">
              <w:rPr>
                <w:rStyle w:val="Hipervnculo"/>
              </w:rPr>
              <w:t>2.</w:t>
            </w:r>
            <w:r w:rsidRPr="00BD1319">
              <w:rPr>
                <w:rFonts w:asciiTheme="minorHAnsi" w:eastAsiaTheme="minorEastAsia" w:hAnsiTheme="minorHAnsi" w:cstheme="minorBidi"/>
                <w:b w:val="0"/>
                <w:bCs w:val="0"/>
                <w:caps w:val="0"/>
                <w:kern w:val="2"/>
                <w:lang w:eastAsia="es-CO"/>
                <w14:ligatures w14:val="standardContextual"/>
              </w:rPr>
              <w:tab/>
            </w:r>
            <w:r w:rsidRPr="00BD1319">
              <w:rPr>
                <w:rStyle w:val="Hipervnculo"/>
              </w:rPr>
              <w:t>ÁREA DE INFLUENCIA</w:t>
            </w:r>
            <w:r w:rsidRPr="00BD1319">
              <w:rPr>
                <w:webHidden/>
              </w:rPr>
              <w:tab/>
            </w:r>
            <w:r w:rsidRPr="00BD1319">
              <w:rPr>
                <w:webHidden/>
              </w:rPr>
              <w:fldChar w:fldCharType="begin"/>
            </w:r>
            <w:r w:rsidRPr="00BD1319">
              <w:rPr>
                <w:webHidden/>
              </w:rPr>
              <w:instrText xml:space="preserve"> PAGEREF _Toc175326740 \h </w:instrText>
            </w:r>
            <w:r w:rsidRPr="00BD1319">
              <w:rPr>
                <w:webHidden/>
              </w:rPr>
            </w:r>
            <w:r w:rsidRPr="00BD1319">
              <w:rPr>
                <w:webHidden/>
              </w:rPr>
              <w:fldChar w:fldCharType="separate"/>
            </w:r>
            <w:r w:rsidRPr="00BD1319">
              <w:rPr>
                <w:webHidden/>
              </w:rPr>
              <w:t>167</w:t>
            </w:r>
            <w:r w:rsidRPr="00BD1319">
              <w:rPr>
                <w:webHidden/>
              </w:rPr>
              <w:fldChar w:fldCharType="end"/>
            </w:r>
          </w:hyperlink>
        </w:p>
        <w:p w14:paraId="0BE48B38" w14:textId="6A026104" w:rsidR="00296654" w:rsidRPr="00BD1319" w:rsidRDefault="00296654">
          <w:pPr>
            <w:pStyle w:val="TDC2"/>
            <w:rPr>
              <w:rFonts w:asciiTheme="minorHAnsi" w:eastAsiaTheme="minorEastAsia" w:hAnsiTheme="minorHAnsi" w:cstheme="minorBidi"/>
              <w:b w:val="0"/>
              <w:caps w:val="0"/>
              <w:noProof/>
              <w:kern w:val="2"/>
              <w:szCs w:val="24"/>
              <w:lang w:eastAsia="es-CO"/>
              <w14:ligatures w14:val="standardContextual"/>
            </w:rPr>
          </w:pPr>
          <w:hyperlink w:anchor="_Toc175326741" w:history="1">
            <w:r w:rsidRPr="00BD1319">
              <w:rPr>
                <w:rStyle w:val="Hipervnculo"/>
                <w:rFonts w:cs="Arial"/>
                <w:noProof/>
              </w:rPr>
              <w:t>2.1</w:t>
            </w:r>
            <w:r w:rsidRPr="00BD1319">
              <w:rPr>
                <w:rFonts w:asciiTheme="minorHAnsi" w:eastAsiaTheme="minorEastAsia" w:hAnsiTheme="minorHAnsi" w:cstheme="minorBidi"/>
                <w:b w:val="0"/>
                <w:caps w:val="0"/>
                <w:noProof/>
                <w:kern w:val="2"/>
                <w:szCs w:val="24"/>
                <w:lang w:eastAsia="es-CO"/>
                <w14:ligatures w14:val="standardContextual"/>
              </w:rPr>
              <w:tab/>
            </w:r>
            <w:r w:rsidRPr="00BD1319">
              <w:rPr>
                <w:rStyle w:val="Hipervnculo"/>
                <w:noProof/>
              </w:rPr>
              <w:t>PROCEDIMIENTO GENERAL PARA LA DELIMITACIÓN DEL ÁREA DE INFLUENCIA</w:t>
            </w:r>
            <w:r w:rsidRPr="00BD1319">
              <w:rPr>
                <w:noProof/>
                <w:webHidden/>
              </w:rPr>
              <w:tab/>
            </w:r>
            <w:r w:rsidRPr="00BD1319">
              <w:rPr>
                <w:noProof/>
                <w:webHidden/>
              </w:rPr>
              <w:fldChar w:fldCharType="begin"/>
            </w:r>
            <w:r w:rsidRPr="00BD1319">
              <w:rPr>
                <w:noProof/>
                <w:webHidden/>
              </w:rPr>
              <w:instrText xml:space="preserve"> PAGEREF _Toc175326741 \h </w:instrText>
            </w:r>
            <w:r w:rsidRPr="00BD1319">
              <w:rPr>
                <w:noProof/>
                <w:webHidden/>
              </w:rPr>
            </w:r>
            <w:r w:rsidRPr="00BD1319">
              <w:rPr>
                <w:noProof/>
                <w:webHidden/>
              </w:rPr>
              <w:fldChar w:fldCharType="separate"/>
            </w:r>
            <w:r w:rsidRPr="00BD1319">
              <w:rPr>
                <w:noProof/>
                <w:webHidden/>
              </w:rPr>
              <w:t>172</w:t>
            </w:r>
            <w:r w:rsidRPr="00BD1319">
              <w:rPr>
                <w:noProof/>
                <w:webHidden/>
              </w:rPr>
              <w:fldChar w:fldCharType="end"/>
            </w:r>
          </w:hyperlink>
        </w:p>
        <w:p w14:paraId="59BD96E5" w14:textId="7131225D" w:rsidR="00296654" w:rsidRPr="00BD1319" w:rsidRDefault="00296654">
          <w:pPr>
            <w:pStyle w:val="TDC2"/>
            <w:rPr>
              <w:rFonts w:asciiTheme="minorHAnsi" w:eastAsiaTheme="minorEastAsia" w:hAnsiTheme="minorHAnsi" w:cstheme="minorBidi"/>
              <w:b w:val="0"/>
              <w:caps w:val="0"/>
              <w:noProof/>
              <w:kern w:val="2"/>
              <w:szCs w:val="24"/>
              <w:lang w:eastAsia="es-CO"/>
              <w14:ligatures w14:val="standardContextual"/>
            </w:rPr>
          </w:pPr>
          <w:hyperlink w:anchor="_Toc175326742" w:history="1">
            <w:r w:rsidRPr="00BD1319">
              <w:rPr>
                <w:rStyle w:val="Hipervnculo"/>
                <w:rFonts w:cs="Arial"/>
                <w:noProof/>
              </w:rPr>
              <w:t>2.2</w:t>
            </w:r>
            <w:r w:rsidRPr="00BD1319">
              <w:rPr>
                <w:rFonts w:asciiTheme="minorHAnsi" w:eastAsiaTheme="minorEastAsia" w:hAnsiTheme="minorHAnsi" w:cstheme="minorBidi"/>
                <w:b w:val="0"/>
                <w:caps w:val="0"/>
                <w:noProof/>
                <w:kern w:val="2"/>
                <w:szCs w:val="24"/>
                <w:lang w:eastAsia="es-CO"/>
                <w14:ligatures w14:val="standardContextual"/>
              </w:rPr>
              <w:tab/>
            </w:r>
            <w:r w:rsidRPr="00BD1319">
              <w:rPr>
                <w:rStyle w:val="Hipervnculo"/>
                <w:noProof/>
              </w:rPr>
              <w:t>LINEAMIENTOS PARA LA DELIMITACIÓN DEL ÁREA DE INFLUENCIA DEL MEDIO ABIÓTICO</w:t>
            </w:r>
            <w:r w:rsidRPr="00BD1319">
              <w:rPr>
                <w:noProof/>
                <w:webHidden/>
              </w:rPr>
              <w:tab/>
            </w:r>
            <w:r w:rsidRPr="00BD1319">
              <w:rPr>
                <w:noProof/>
                <w:webHidden/>
              </w:rPr>
              <w:fldChar w:fldCharType="begin"/>
            </w:r>
            <w:r w:rsidRPr="00BD1319">
              <w:rPr>
                <w:noProof/>
                <w:webHidden/>
              </w:rPr>
              <w:instrText xml:space="preserve"> PAGEREF _Toc175326742 \h </w:instrText>
            </w:r>
            <w:r w:rsidRPr="00BD1319">
              <w:rPr>
                <w:noProof/>
                <w:webHidden/>
              </w:rPr>
            </w:r>
            <w:r w:rsidRPr="00BD1319">
              <w:rPr>
                <w:noProof/>
                <w:webHidden/>
              </w:rPr>
              <w:fldChar w:fldCharType="separate"/>
            </w:r>
            <w:r w:rsidRPr="00BD1319">
              <w:rPr>
                <w:noProof/>
                <w:webHidden/>
              </w:rPr>
              <w:t>179</w:t>
            </w:r>
            <w:r w:rsidRPr="00BD1319">
              <w:rPr>
                <w:noProof/>
                <w:webHidden/>
              </w:rPr>
              <w:fldChar w:fldCharType="end"/>
            </w:r>
          </w:hyperlink>
        </w:p>
        <w:p w14:paraId="5952A7D5" w14:textId="1497619F" w:rsidR="00296654" w:rsidRPr="00BD1319" w:rsidRDefault="00296654">
          <w:pPr>
            <w:pStyle w:val="TDC3"/>
            <w:rPr>
              <w:rFonts w:asciiTheme="minorHAnsi" w:eastAsiaTheme="minorEastAsia" w:hAnsiTheme="minorHAnsi" w:cstheme="minorBidi"/>
              <w:iCs w:val="0"/>
              <w:caps w:val="0"/>
              <w:noProof/>
              <w:kern w:val="2"/>
              <w:szCs w:val="24"/>
              <w:lang w:eastAsia="es-CO"/>
              <w14:ligatures w14:val="standardContextual"/>
            </w:rPr>
          </w:pPr>
          <w:hyperlink w:anchor="_Toc175326743" w:history="1">
            <w:r w:rsidRPr="00BD1319">
              <w:rPr>
                <w:rStyle w:val="Hipervnculo"/>
                <w:noProof/>
              </w:rPr>
              <w:t>2.2.1</w:t>
            </w:r>
            <w:r w:rsidRPr="00BD1319">
              <w:rPr>
                <w:rFonts w:asciiTheme="minorHAnsi" w:eastAsiaTheme="minorEastAsia" w:hAnsiTheme="minorHAnsi" w:cstheme="minorBidi"/>
                <w:iCs w:val="0"/>
                <w:caps w:val="0"/>
                <w:noProof/>
                <w:kern w:val="2"/>
                <w:szCs w:val="24"/>
                <w:lang w:eastAsia="es-CO"/>
                <w14:ligatures w14:val="standardContextual"/>
              </w:rPr>
              <w:tab/>
            </w:r>
            <w:r w:rsidRPr="00BD1319">
              <w:rPr>
                <w:rStyle w:val="Hipervnculo"/>
                <w:noProof/>
              </w:rPr>
              <w:t>Hidrológico</w:t>
            </w:r>
            <w:r w:rsidRPr="00BD1319">
              <w:rPr>
                <w:noProof/>
                <w:webHidden/>
              </w:rPr>
              <w:tab/>
            </w:r>
            <w:r w:rsidRPr="00BD1319">
              <w:rPr>
                <w:noProof/>
                <w:webHidden/>
              </w:rPr>
              <w:fldChar w:fldCharType="begin"/>
            </w:r>
            <w:r w:rsidRPr="00BD1319">
              <w:rPr>
                <w:noProof/>
                <w:webHidden/>
              </w:rPr>
              <w:instrText xml:space="preserve"> PAGEREF _Toc175326743 \h </w:instrText>
            </w:r>
            <w:r w:rsidRPr="00BD1319">
              <w:rPr>
                <w:noProof/>
                <w:webHidden/>
              </w:rPr>
            </w:r>
            <w:r w:rsidRPr="00BD1319">
              <w:rPr>
                <w:noProof/>
                <w:webHidden/>
              </w:rPr>
              <w:fldChar w:fldCharType="separate"/>
            </w:r>
            <w:r w:rsidRPr="00BD1319">
              <w:rPr>
                <w:noProof/>
                <w:webHidden/>
              </w:rPr>
              <w:t>180</w:t>
            </w:r>
            <w:r w:rsidRPr="00BD1319">
              <w:rPr>
                <w:noProof/>
                <w:webHidden/>
              </w:rPr>
              <w:fldChar w:fldCharType="end"/>
            </w:r>
          </w:hyperlink>
        </w:p>
        <w:p w14:paraId="52FD6BA5" w14:textId="63B8AE57" w:rsidR="00296654" w:rsidRPr="00BD1319" w:rsidRDefault="00296654">
          <w:pPr>
            <w:pStyle w:val="TDC3"/>
            <w:rPr>
              <w:rFonts w:asciiTheme="minorHAnsi" w:eastAsiaTheme="minorEastAsia" w:hAnsiTheme="minorHAnsi" w:cstheme="minorBidi"/>
              <w:iCs w:val="0"/>
              <w:caps w:val="0"/>
              <w:noProof/>
              <w:kern w:val="2"/>
              <w:szCs w:val="24"/>
              <w:lang w:eastAsia="es-CO"/>
              <w14:ligatures w14:val="standardContextual"/>
            </w:rPr>
          </w:pPr>
          <w:hyperlink w:anchor="_Toc175326744" w:history="1">
            <w:r w:rsidRPr="00BD1319">
              <w:rPr>
                <w:rStyle w:val="Hipervnculo"/>
                <w:noProof/>
              </w:rPr>
              <w:t>2.2.2</w:t>
            </w:r>
            <w:r w:rsidRPr="00BD1319">
              <w:rPr>
                <w:rFonts w:asciiTheme="minorHAnsi" w:eastAsiaTheme="minorEastAsia" w:hAnsiTheme="minorHAnsi" w:cstheme="minorBidi"/>
                <w:iCs w:val="0"/>
                <w:caps w:val="0"/>
                <w:noProof/>
                <w:kern w:val="2"/>
                <w:szCs w:val="24"/>
                <w:lang w:eastAsia="es-CO"/>
                <w14:ligatures w14:val="standardContextual"/>
              </w:rPr>
              <w:tab/>
            </w:r>
            <w:r w:rsidRPr="00BD1319">
              <w:rPr>
                <w:rStyle w:val="Hipervnculo"/>
                <w:noProof/>
              </w:rPr>
              <w:t>Atmosférico</w:t>
            </w:r>
            <w:r w:rsidRPr="00BD1319">
              <w:rPr>
                <w:noProof/>
                <w:webHidden/>
              </w:rPr>
              <w:tab/>
            </w:r>
            <w:r w:rsidRPr="00BD1319">
              <w:rPr>
                <w:noProof/>
                <w:webHidden/>
              </w:rPr>
              <w:fldChar w:fldCharType="begin"/>
            </w:r>
            <w:r w:rsidRPr="00BD1319">
              <w:rPr>
                <w:noProof/>
                <w:webHidden/>
              </w:rPr>
              <w:instrText xml:space="preserve"> PAGEREF _Toc175326744 \h </w:instrText>
            </w:r>
            <w:r w:rsidRPr="00BD1319">
              <w:rPr>
                <w:noProof/>
                <w:webHidden/>
              </w:rPr>
            </w:r>
            <w:r w:rsidRPr="00BD1319">
              <w:rPr>
                <w:noProof/>
                <w:webHidden/>
              </w:rPr>
              <w:fldChar w:fldCharType="separate"/>
            </w:r>
            <w:r w:rsidRPr="00BD1319">
              <w:rPr>
                <w:noProof/>
                <w:webHidden/>
              </w:rPr>
              <w:t>181</w:t>
            </w:r>
            <w:r w:rsidRPr="00BD1319">
              <w:rPr>
                <w:noProof/>
                <w:webHidden/>
              </w:rPr>
              <w:fldChar w:fldCharType="end"/>
            </w:r>
          </w:hyperlink>
        </w:p>
        <w:p w14:paraId="5F178DE7" w14:textId="41F91B2A" w:rsidR="00296654" w:rsidRPr="00BD1319" w:rsidRDefault="00296654">
          <w:pPr>
            <w:pStyle w:val="TDC2"/>
            <w:rPr>
              <w:rFonts w:asciiTheme="minorHAnsi" w:eastAsiaTheme="minorEastAsia" w:hAnsiTheme="minorHAnsi" w:cstheme="minorBidi"/>
              <w:b w:val="0"/>
              <w:caps w:val="0"/>
              <w:noProof/>
              <w:kern w:val="2"/>
              <w:szCs w:val="24"/>
              <w:lang w:eastAsia="es-CO"/>
              <w14:ligatures w14:val="standardContextual"/>
            </w:rPr>
          </w:pPr>
          <w:hyperlink w:anchor="_Toc175326745" w:history="1">
            <w:r w:rsidRPr="00BD1319">
              <w:rPr>
                <w:rStyle w:val="Hipervnculo"/>
                <w:rFonts w:cs="Arial"/>
                <w:noProof/>
              </w:rPr>
              <w:t>2.3</w:t>
            </w:r>
            <w:r w:rsidRPr="00BD1319">
              <w:rPr>
                <w:rFonts w:asciiTheme="minorHAnsi" w:eastAsiaTheme="minorEastAsia" w:hAnsiTheme="minorHAnsi" w:cstheme="minorBidi"/>
                <w:b w:val="0"/>
                <w:caps w:val="0"/>
                <w:noProof/>
                <w:kern w:val="2"/>
                <w:szCs w:val="24"/>
                <w:lang w:eastAsia="es-CO"/>
                <w14:ligatures w14:val="standardContextual"/>
              </w:rPr>
              <w:tab/>
            </w:r>
            <w:r w:rsidRPr="00BD1319">
              <w:rPr>
                <w:rStyle w:val="Hipervnculo"/>
                <w:noProof/>
              </w:rPr>
              <w:t>LINEAMIENTOS PARA LA DELIMITACIÓN DEL ÁREA DE INFLUENCIA DEL MEDIO BIÓTICO</w:t>
            </w:r>
            <w:r w:rsidRPr="00BD1319">
              <w:rPr>
                <w:noProof/>
                <w:webHidden/>
              </w:rPr>
              <w:tab/>
            </w:r>
            <w:r w:rsidRPr="00BD1319">
              <w:rPr>
                <w:noProof/>
                <w:webHidden/>
              </w:rPr>
              <w:fldChar w:fldCharType="begin"/>
            </w:r>
            <w:r w:rsidRPr="00BD1319">
              <w:rPr>
                <w:noProof/>
                <w:webHidden/>
              </w:rPr>
              <w:instrText xml:space="preserve"> PAGEREF _Toc175326745 \h </w:instrText>
            </w:r>
            <w:r w:rsidRPr="00BD1319">
              <w:rPr>
                <w:noProof/>
                <w:webHidden/>
              </w:rPr>
            </w:r>
            <w:r w:rsidRPr="00BD1319">
              <w:rPr>
                <w:noProof/>
                <w:webHidden/>
              </w:rPr>
              <w:fldChar w:fldCharType="separate"/>
            </w:r>
            <w:r w:rsidRPr="00BD1319">
              <w:rPr>
                <w:noProof/>
                <w:webHidden/>
              </w:rPr>
              <w:t>182</w:t>
            </w:r>
            <w:r w:rsidRPr="00BD1319">
              <w:rPr>
                <w:noProof/>
                <w:webHidden/>
              </w:rPr>
              <w:fldChar w:fldCharType="end"/>
            </w:r>
          </w:hyperlink>
        </w:p>
        <w:p w14:paraId="25ABC584" w14:textId="69697D48" w:rsidR="00296654" w:rsidRPr="00BD1319" w:rsidRDefault="00296654">
          <w:pPr>
            <w:pStyle w:val="TDC3"/>
            <w:rPr>
              <w:rFonts w:asciiTheme="minorHAnsi" w:eastAsiaTheme="minorEastAsia" w:hAnsiTheme="minorHAnsi" w:cstheme="minorBidi"/>
              <w:iCs w:val="0"/>
              <w:caps w:val="0"/>
              <w:noProof/>
              <w:kern w:val="2"/>
              <w:szCs w:val="24"/>
              <w:lang w:eastAsia="es-CO"/>
              <w14:ligatures w14:val="standardContextual"/>
            </w:rPr>
          </w:pPr>
          <w:hyperlink w:anchor="_Toc175326746" w:history="1">
            <w:r w:rsidRPr="00BD1319">
              <w:rPr>
                <w:rStyle w:val="Hipervnculo"/>
                <w:noProof/>
              </w:rPr>
              <w:t>2.3.1</w:t>
            </w:r>
            <w:r w:rsidRPr="00BD1319">
              <w:rPr>
                <w:rFonts w:asciiTheme="minorHAnsi" w:eastAsiaTheme="minorEastAsia" w:hAnsiTheme="minorHAnsi" w:cstheme="minorBidi"/>
                <w:iCs w:val="0"/>
                <w:caps w:val="0"/>
                <w:noProof/>
                <w:kern w:val="2"/>
                <w:szCs w:val="24"/>
                <w:lang w:eastAsia="es-CO"/>
                <w14:ligatures w14:val="standardContextual"/>
              </w:rPr>
              <w:tab/>
            </w:r>
            <w:r w:rsidRPr="00BD1319">
              <w:rPr>
                <w:rStyle w:val="Hipervnculo"/>
                <w:noProof/>
              </w:rPr>
              <w:t>Verificación de la posibilidad de que una unidad de análisis sea impactada</w:t>
            </w:r>
            <w:r w:rsidRPr="00BD1319">
              <w:rPr>
                <w:noProof/>
                <w:webHidden/>
              </w:rPr>
              <w:tab/>
            </w:r>
            <w:r w:rsidRPr="00BD1319">
              <w:rPr>
                <w:noProof/>
                <w:webHidden/>
              </w:rPr>
              <w:fldChar w:fldCharType="begin"/>
            </w:r>
            <w:r w:rsidRPr="00BD1319">
              <w:rPr>
                <w:noProof/>
                <w:webHidden/>
              </w:rPr>
              <w:instrText xml:space="preserve"> PAGEREF _Toc175326746 \h </w:instrText>
            </w:r>
            <w:r w:rsidRPr="00BD1319">
              <w:rPr>
                <w:noProof/>
                <w:webHidden/>
              </w:rPr>
            </w:r>
            <w:r w:rsidRPr="00BD1319">
              <w:rPr>
                <w:noProof/>
                <w:webHidden/>
              </w:rPr>
              <w:fldChar w:fldCharType="separate"/>
            </w:r>
            <w:r w:rsidRPr="00BD1319">
              <w:rPr>
                <w:noProof/>
                <w:webHidden/>
              </w:rPr>
              <w:t>183</w:t>
            </w:r>
            <w:r w:rsidRPr="00BD1319">
              <w:rPr>
                <w:noProof/>
                <w:webHidden/>
              </w:rPr>
              <w:fldChar w:fldCharType="end"/>
            </w:r>
          </w:hyperlink>
        </w:p>
        <w:p w14:paraId="49C51053" w14:textId="7C61D1F5" w:rsidR="00296654" w:rsidRPr="00BD1319" w:rsidRDefault="00296654">
          <w:pPr>
            <w:pStyle w:val="TDC3"/>
            <w:rPr>
              <w:rFonts w:asciiTheme="minorHAnsi" w:eastAsiaTheme="minorEastAsia" w:hAnsiTheme="minorHAnsi" w:cstheme="minorBidi"/>
              <w:iCs w:val="0"/>
              <w:caps w:val="0"/>
              <w:noProof/>
              <w:kern w:val="2"/>
              <w:szCs w:val="24"/>
              <w:lang w:eastAsia="es-CO"/>
              <w14:ligatures w14:val="standardContextual"/>
            </w:rPr>
          </w:pPr>
          <w:hyperlink w:anchor="_Toc175326747" w:history="1">
            <w:r w:rsidRPr="00BD1319">
              <w:rPr>
                <w:rStyle w:val="Hipervnculo"/>
                <w:noProof/>
              </w:rPr>
              <w:t>2.3.2</w:t>
            </w:r>
            <w:r w:rsidRPr="00BD1319">
              <w:rPr>
                <w:rFonts w:asciiTheme="minorHAnsi" w:eastAsiaTheme="minorEastAsia" w:hAnsiTheme="minorHAnsi" w:cstheme="minorBidi"/>
                <w:iCs w:val="0"/>
                <w:caps w:val="0"/>
                <w:noProof/>
                <w:kern w:val="2"/>
                <w:szCs w:val="24"/>
                <w:lang w:eastAsia="es-CO"/>
                <w14:ligatures w14:val="standardContextual"/>
              </w:rPr>
              <w:tab/>
            </w:r>
            <w:r w:rsidRPr="00BD1319">
              <w:rPr>
                <w:rStyle w:val="Hipervnculo"/>
                <w:noProof/>
              </w:rPr>
              <w:t>Determinación del alcance de la manifestación de los impactos</w:t>
            </w:r>
            <w:r w:rsidRPr="00BD1319">
              <w:rPr>
                <w:noProof/>
                <w:webHidden/>
              </w:rPr>
              <w:tab/>
            </w:r>
            <w:r w:rsidRPr="00BD1319">
              <w:rPr>
                <w:noProof/>
                <w:webHidden/>
              </w:rPr>
              <w:fldChar w:fldCharType="begin"/>
            </w:r>
            <w:r w:rsidRPr="00BD1319">
              <w:rPr>
                <w:noProof/>
                <w:webHidden/>
              </w:rPr>
              <w:instrText xml:space="preserve"> PAGEREF _Toc175326747 \h </w:instrText>
            </w:r>
            <w:r w:rsidRPr="00BD1319">
              <w:rPr>
                <w:noProof/>
                <w:webHidden/>
              </w:rPr>
            </w:r>
            <w:r w:rsidRPr="00BD1319">
              <w:rPr>
                <w:noProof/>
                <w:webHidden/>
              </w:rPr>
              <w:fldChar w:fldCharType="separate"/>
            </w:r>
            <w:r w:rsidRPr="00BD1319">
              <w:rPr>
                <w:noProof/>
                <w:webHidden/>
              </w:rPr>
              <w:t>184</w:t>
            </w:r>
            <w:r w:rsidRPr="00BD1319">
              <w:rPr>
                <w:noProof/>
                <w:webHidden/>
              </w:rPr>
              <w:fldChar w:fldCharType="end"/>
            </w:r>
          </w:hyperlink>
        </w:p>
        <w:p w14:paraId="281022E9" w14:textId="417A0B9D" w:rsidR="00296654" w:rsidRPr="00BD1319" w:rsidRDefault="00296654">
          <w:pPr>
            <w:pStyle w:val="TDC3"/>
            <w:rPr>
              <w:rFonts w:asciiTheme="minorHAnsi" w:eastAsiaTheme="minorEastAsia" w:hAnsiTheme="minorHAnsi" w:cstheme="minorBidi"/>
              <w:iCs w:val="0"/>
              <w:caps w:val="0"/>
              <w:noProof/>
              <w:kern w:val="2"/>
              <w:szCs w:val="24"/>
              <w:lang w:eastAsia="es-CO"/>
              <w14:ligatures w14:val="standardContextual"/>
            </w:rPr>
          </w:pPr>
          <w:hyperlink w:anchor="_Toc175326748" w:history="1">
            <w:r w:rsidRPr="00BD1319">
              <w:rPr>
                <w:rStyle w:val="Hipervnculo"/>
                <w:noProof/>
              </w:rPr>
              <w:t>2.3.3</w:t>
            </w:r>
            <w:r w:rsidRPr="00BD1319">
              <w:rPr>
                <w:rFonts w:asciiTheme="minorHAnsi" w:eastAsiaTheme="minorEastAsia" w:hAnsiTheme="minorHAnsi" w:cstheme="minorBidi"/>
                <w:iCs w:val="0"/>
                <w:caps w:val="0"/>
                <w:noProof/>
                <w:kern w:val="2"/>
                <w:szCs w:val="24"/>
                <w:lang w:eastAsia="es-CO"/>
                <w14:ligatures w14:val="standardContextual"/>
              </w:rPr>
              <w:tab/>
            </w:r>
            <w:r w:rsidRPr="00BD1319">
              <w:rPr>
                <w:rStyle w:val="Hipervnculo"/>
                <w:noProof/>
              </w:rPr>
              <w:t>Conectividad ecológica</w:t>
            </w:r>
            <w:r w:rsidRPr="00BD1319">
              <w:rPr>
                <w:noProof/>
                <w:webHidden/>
              </w:rPr>
              <w:tab/>
            </w:r>
            <w:r w:rsidRPr="00BD1319">
              <w:rPr>
                <w:noProof/>
                <w:webHidden/>
              </w:rPr>
              <w:fldChar w:fldCharType="begin"/>
            </w:r>
            <w:r w:rsidRPr="00BD1319">
              <w:rPr>
                <w:noProof/>
                <w:webHidden/>
              </w:rPr>
              <w:instrText xml:space="preserve"> PAGEREF _Toc175326748 \h </w:instrText>
            </w:r>
            <w:r w:rsidRPr="00BD1319">
              <w:rPr>
                <w:noProof/>
                <w:webHidden/>
              </w:rPr>
            </w:r>
            <w:r w:rsidRPr="00BD1319">
              <w:rPr>
                <w:noProof/>
                <w:webHidden/>
              </w:rPr>
              <w:fldChar w:fldCharType="separate"/>
            </w:r>
            <w:r w:rsidRPr="00BD1319">
              <w:rPr>
                <w:noProof/>
                <w:webHidden/>
              </w:rPr>
              <w:t>187</w:t>
            </w:r>
            <w:r w:rsidRPr="00BD1319">
              <w:rPr>
                <w:noProof/>
                <w:webHidden/>
              </w:rPr>
              <w:fldChar w:fldCharType="end"/>
            </w:r>
          </w:hyperlink>
        </w:p>
        <w:p w14:paraId="0E18078F" w14:textId="7C775FF7" w:rsidR="00296654" w:rsidRPr="00BD1319" w:rsidRDefault="00296654">
          <w:pPr>
            <w:pStyle w:val="TDC2"/>
            <w:rPr>
              <w:rFonts w:asciiTheme="minorHAnsi" w:eastAsiaTheme="minorEastAsia" w:hAnsiTheme="minorHAnsi" w:cstheme="minorBidi"/>
              <w:b w:val="0"/>
              <w:caps w:val="0"/>
              <w:noProof/>
              <w:kern w:val="2"/>
              <w:szCs w:val="24"/>
              <w:lang w:eastAsia="es-CO"/>
              <w14:ligatures w14:val="standardContextual"/>
            </w:rPr>
          </w:pPr>
          <w:hyperlink w:anchor="_Toc175326749" w:history="1">
            <w:r w:rsidRPr="00BD1319">
              <w:rPr>
                <w:rStyle w:val="Hipervnculo"/>
                <w:rFonts w:cs="Arial"/>
                <w:noProof/>
              </w:rPr>
              <w:t>2.4</w:t>
            </w:r>
            <w:r w:rsidRPr="00BD1319">
              <w:rPr>
                <w:rFonts w:asciiTheme="minorHAnsi" w:eastAsiaTheme="minorEastAsia" w:hAnsiTheme="minorHAnsi" w:cstheme="minorBidi"/>
                <w:b w:val="0"/>
                <w:caps w:val="0"/>
                <w:noProof/>
                <w:kern w:val="2"/>
                <w:szCs w:val="24"/>
                <w:lang w:eastAsia="es-CO"/>
                <w14:ligatures w14:val="standardContextual"/>
              </w:rPr>
              <w:tab/>
            </w:r>
            <w:r w:rsidRPr="00BD1319">
              <w:rPr>
                <w:rStyle w:val="Hipervnculo"/>
                <w:noProof/>
              </w:rPr>
              <w:t>LINEAMIENTOS PARA LA DELIMITACIÓN DEL ÁREA DE INFLUENCIA DEL MEDIO SOCIOECONÓMICO</w:t>
            </w:r>
            <w:r w:rsidRPr="00BD1319">
              <w:rPr>
                <w:noProof/>
                <w:webHidden/>
              </w:rPr>
              <w:tab/>
            </w:r>
            <w:r w:rsidRPr="00BD1319">
              <w:rPr>
                <w:noProof/>
                <w:webHidden/>
              </w:rPr>
              <w:fldChar w:fldCharType="begin"/>
            </w:r>
            <w:r w:rsidRPr="00BD1319">
              <w:rPr>
                <w:noProof/>
                <w:webHidden/>
              </w:rPr>
              <w:instrText xml:space="preserve"> PAGEREF _Toc175326749 \h </w:instrText>
            </w:r>
            <w:r w:rsidRPr="00BD1319">
              <w:rPr>
                <w:noProof/>
                <w:webHidden/>
              </w:rPr>
            </w:r>
            <w:r w:rsidRPr="00BD1319">
              <w:rPr>
                <w:noProof/>
                <w:webHidden/>
              </w:rPr>
              <w:fldChar w:fldCharType="separate"/>
            </w:r>
            <w:r w:rsidRPr="00BD1319">
              <w:rPr>
                <w:noProof/>
                <w:webHidden/>
              </w:rPr>
              <w:t>192</w:t>
            </w:r>
            <w:r w:rsidRPr="00BD1319">
              <w:rPr>
                <w:noProof/>
                <w:webHidden/>
              </w:rPr>
              <w:fldChar w:fldCharType="end"/>
            </w:r>
          </w:hyperlink>
        </w:p>
        <w:p w14:paraId="4AE6B44B" w14:textId="5FF08DDF" w:rsidR="00296654" w:rsidRPr="00BD1319" w:rsidRDefault="00296654">
          <w:pPr>
            <w:pStyle w:val="TDC2"/>
            <w:rPr>
              <w:rFonts w:asciiTheme="minorHAnsi" w:eastAsiaTheme="minorEastAsia" w:hAnsiTheme="minorHAnsi" w:cstheme="minorBidi"/>
              <w:b w:val="0"/>
              <w:caps w:val="0"/>
              <w:noProof/>
              <w:kern w:val="2"/>
              <w:szCs w:val="24"/>
              <w:lang w:eastAsia="es-CO"/>
              <w14:ligatures w14:val="standardContextual"/>
            </w:rPr>
          </w:pPr>
          <w:hyperlink w:anchor="_Toc175326750" w:history="1">
            <w:r w:rsidRPr="00BD1319">
              <w:rPr>
                <w:rStyle w:val="Hipervnculo"/>
                <w:rFonts w:cs="Arial"/>
                <w:noProof/>
              </w:rPr>
              <w:t>2.5</w:t>
            </w:r>
            <w:r w:rsidRPr="00BD1319">
              <w:rPr>
                <w:rFonts w:asciiTheme="minorHAnsi" w:eastAsiaTheme="minorEastAsia" w:hAnsiTheme="minorHAnsi" w:cstheme="minorBidi"/>
                <w:b w:val="0"/>
                <w:caps w:val="0"/>
                <w:noProof/>
                <w:kern w:val="2"/>
                <w:szCs w:val="24"/>
                <w:lang w:eastAsia="es-CO"/>
                <w14:ligatures w14:val="standardContextual"/>
              </w:rPr>
              <w:tab/>
            </w:r>
            <w:r w:rsidRPr="00BD1319">
              <w:rPr>
                <w:rStyle w:val="Hipervnculo"/>
                <w:noProof/>
              </w:rPr>
              <w:t>LINEAMIENTOS PARA LA DELIMITACIÓN DEL ÁREA DE INFLUENCIA REFERIDA AL PAISAJE</w:t>
            </w:r>
            <w:r w:rsidRPr="00BD1319">
              <w:rPr>
                <w:noProof/>
                <w:webHidden/>
              </w:rPr>
              <w:tab/>
            </w:r>
            <w:r w:rsidRPr="00BD1319">
              <w:rPr>
                <w:noProof/>
                <w:webHidden/>
              </w:rPr>
              <w:fldChar w:fldCharType="begin"/>
            </w:r>
            <w:r w:rsidRPr="00BD1319">
              <w:rPr>
                <w:noProof/>
                <w:webHidden/>
              </w:rPr>
              <w:instrText xml:space="preserve"> PAGEREF _Toc175326750 \h </w:instrText>
            </w:r>
            <w:r w:rsidRPr="00BD1319">
              <w:rPr>
                <w:noProof/>
                <w:webHidden/>
              </w:rPr>
            </w:r>
            <w:r w:rsidRPr="00BD1319">
              <w:rPr>
                <w:noProof/>
                <w:webHidden/>
              </w:rPr>
              <w:fldChar w:fldCharType="separate"/>
            </w:r>
            <w:r w:rsidRPr="00BD1319">
              <w:rPr>
                <w:noProof/>
                <w:webHidden/>
              </w:rPr>
              <w:t>196</w:t>
            </w:r>
            <w:r w:rsidRPr="00BD1319">
              <w:rPr>
                <w:noProof/>
                <w:webHidden/>
              </w:rPr>
              <w:fldChar w:fldCharType="end"/>
            </w:r>
          </w:hyperlink>
        </w:p>
        <w:p w14:paraId="0F9F75B2" w14:textId="50315859" w:rsidR="00296654" w:rsidRPr="00BD1319" w:rsidRDefault="00296654">
          <w:pPr>
            <w:pStyle w:val="TDC1"/>
            <w:rPr>
              <w:rFonts w:asciiTheme="minorHAnsi" w:eastAsiaTheme="minorEastAsia" w:hAnsiTheme="minorHAnsi" w:cstheme="minorBidi"/>
              <w:b w:val="0"/>
              <w:bCs w:val="0"/>
              <w:caps w:val="0"/>
              <w:kern w:val="2"/>
              <w:lang w:eastAsia="es-CO"/>
              <w14:ligatures w14:val="standardContextual"/>
            </w:rPr>
          </w:pPr>
          <w:hyperlink w:anchor="_Toc175326751" w:history="1">
            <w:r w:rsidRPr="00BD1319">
              <w:rPr>
                <w:rStyle w:val="Hipervnculo"/>
              </w:rPr>
              <w:t>3.</w:t>
            </w:r>
            <w:r w:rsidRPr="00BD1319">
              <w:rPr>
                <w:rFonts w:asciiTheme="minorHAnsi" w:eastAsiaTheme="minorEastAsia" w:hAnsiTheme="minorHAnsi" w:cstheme="minorBidi"/>
                <w:b w:val="0"/>
                <w:bCs w:val="0"/>
                <w:caps w:val="0"/>
                <w:kern w:val="2"/>
                <w:lang w:eastAsia="es-CO"/>
                <w14:ligatures w14:val="standardContextual"/>
              </w:rPr>
              <w:tab/>
            </w:r>
            <w:r w:rsidRPr="00BD1319">
              <w:rPr>
                <w:rStyle w:val="Hipervnculo"/>
              </w:rPr>
              <w:t>LINEAMIENTOS DE PARTICIPACIÓN CON LOS GRUPOS DE INTERÉS</w:t>
            </w:r>
            <w:r w:rsidRPr="00BD1319">
              <w:rPr>
                <w:webHidden/>
              </w:rPr>
              <w:tab/>
            </w:r>
            <w:r w:rsidRPr="00BD1319">
              <w:rPr>
                <w:webHidden/>
              </w:rPr>
              <w:fldChar w:fldCharType="begin"/>
            </w:r>
            <w:r w:rsidRPr="00BD1319">
              <w:rPr>
                <w:webHidden/>
              </w:rPr>
              <w:instrText xml:space="preserve"> PAGEREF _Toc175326751 \h </w:instrText>
            </w:r>
            <w:r w:rsidRPr="00BD1319">
              <w:rPr>
                <w:webHidden/>
              </w:rPr>
            </w:r>
            <w:r w:rsidRPr="00BD1319">
              <w:rPr>
                <w:webHidden/>
              </w:rPr>
              <w:fldChar w:fldCharType="separate"/>
            </w:r>
            <w:r w:rsidRPr="00BD1319">
              <w:rPr>
                <w:webHidden/>
              </w:rPr>
              <w:t>197</w:t>
            </w:r>
            <w:r w:rsidRPr="00BD1319">
              <w:rPr>
                <w:webHidden/>
              </w:rPr>
              <w:fldChar w:fldCharType="end"/>
            </w:r>
          </w:hyperlink>
        </w:p>
        <w:p w14:paraId="7372D5F9" w14:textId="4376D6D7" w:rsidR="00296654" w:rsidRPr="00BD1319" w:rsidRDefault="00296654">
          <w:pPr>
            <w:pStyle w:val="TDC2"/>
            <w:rPr>
              <w:rFonts w:asciiTheme="minorHAnsi" w:eastAsiaTheme="minorEastAsia" w:hAnsiTheme="minorHAnsi" w:cstheme="minorBidi"/>
              <w:b w:val="0"/>
              <w:caps w:val="0"/>
              <w:noProof/>
              <w:kern w:val="2"/>
              <w:szCs w:val="24"/>
              <w:lang w:eastAsia="es-CO"/>
              <w14:ligatures w14:val="standardContextual"/>
            </w:rPr>
          </w:pPr>
          <w:hyperlink w:anchor="_Toc175326752" w:history="1">
            <w:r w:rsidRPr="00BD1319">
              <w:rPr>
                <w:rStyle w:val="Hipervnculo"/>
                <w:rFonts w:cs="Arial"/>
                <w:noProof/>
              </w:rPr>
              <w:t>3.1</w:t>
            </w:r>
            <w:r w:rsidRPr="00BD1319">
              <w:rPr>
                <w:rFonts w:asciiTheme="minorHAnsi" w:eastAsiaTheme="minorEastAsia" w:hAnsiTheme="minorHAnsi" w:cstheme="minorBidi"/>
                <w:b w:val="0"/>
                <w:caps w:val="0"/>
                <w:noProof/>
                <w:kern w:val="2"/>
                <w:szCs w:val="24"/>
                <w:lang w:eastAsia="es-CO"/>
                <w14:ligatures w14:val="standardContextual"/>
              </w:rPr>
              <w:tab/>
            </w:r>
            <w:r w:rsidRPr="00BD1319">
              <w:rPr>
                <w:rStyle w:val="Hipervnculo"/>
                <w:noProof/>
              </w:rPr>
              <w:t>CARACTERÍSTICAS Y ALCANCES DE LA PARTICIPACIÓN</w:t>
            </w:r>
            <w:r w:rsidRPr="00BD1319">
              <w:rPr>
                <w:noProof/>
                <w:webHidden/>
              </w:rPr>
              <w:tab/>
            </w:r>
            <w:r w:rsidRPr="00BD1319">
              <w:rPr>
                <w:noProof/>
                <w:webHidden/>
              </w:rPr>
              <w:fldChar w:fldCharType="begin"/>
            </w:r>
            <w:r w:rsidRPr="00BD1319">
              <w:rPr>
                <w:noProof/>
                <w:webHidden/>
              </w:rPr>
              <w:instrText xml:space="preserve"> PAGEREF _Toc175326752 \h </w:instrText>
            </w:r>
            <w:r w:rsidRPr="00BD1319">
              <w:rPr>
                <w:noProof/>
                <w:webHidden/>
              </w:rPr>
            </w:r>
            <w:r w:rsidRPr="00BD1319">
              <w:rPr>
                <w:noProof/>
                <w:webHidden/>
              </w:rPr>
              <w:fldChar w:fldCharType="separate"/>
            </w:r>
            <w:r w:rsidRPr="00BD1319">
              <w:rPr>
                <w:noProof/>
                <w:webHidden/>
              </w:rPr>
              <w:t>198</w:t>
            </w:r>
            <w:r w:rsidRPr="00BD1319">
              <w:rPr>
                <w:noProof/>
                <w:webHidden/>
              </w:rPr>
              <w:fldChar w:fldCharType="end"/>
            </w:r>
          </w:hyperlink>
        </w:p>
        <w:p w14:paraId="1787A706" w14:textId="053E57DD" w:rsidR="00296654" w:rsidRPr="00BD1319" w:rsidRDefault="00296654">
          <w:pPr>
            <w:pStyle w:val="TDC2"/>
            <w:rPr>
              <w:rFonts w:asciiTheme="minorHAnsi" w:eastAsiaTheme="minorEastAsia" w:hAnsiTheme="minorHAnsi" w:cstheme="minorBidi"/>
              <w:b w:val="0"/>
              <w:caps w:val="0"/>
              <w:noProof/>
              <w:kern w:val="2"/>
              <w:szCs w:val="24"/>
              <w:lang w:eastAsia="es-CO"/>
              <w14:ligatures w14:val="standardContextual"/>
            </w:rPr>
          </w:pPr>
          <w:hyperlink w:anchor="_Toc175326753" w:history="1">
            <w:r w:rsidRPr="00BD1319">
              <w:rPr>
                <w:rStyle w:val="Hipervnculo"/>
                <w:rFonts w:cs="Arial"/>
                <w:bCs/>
                <w:noProof/>
                <w:spacing w:val="-3"/>
              </w:rPr>
              <w:t>3.2</w:t>
            </w:r>
            <w:r w:rsidRPr="00BD1319">
              <w:rPr>
                <w:rFonts w:asciiTheme="minorHAnsi" w:eastAsiaTheme="minorEastAsia" w:hAnsiTheme="minorHAnsi" w:cstheme="minorBidi"/>
                <w:b w:val="0"/>
                <w:caps w:val="0"/>
                <w:noProof/>
                <w:kern w:val="2"/>
                <w:szCs w:val="24"/>
                <w:lang w:eastAsia="es-CO"/>
                <w14:ligatures w14:val="standardContextual"/>
              </w:rPr>
              <w:tab/>
            </w:r>
            <w:r w:rsidRPr="00BD1319">
              <w:rPr>
                <w:rStyle w:val="Hipervnculo"/>
                <w:bCs/>
                <w:noProof/>
                <w:spacing w:val="-3"/>
              </w:rPr>
              <w:t>INSTANCIAS DEL PROCESO DE PARTICIPACIÓN</w:t>
            </w:r>
            <w:r w:rsidRPr="00BD1319">
              <w:rPr>
                <w:noProof/>
                <w:webHidden/>
              </w:rPr>
              <w:tab/>
            </w:r>
            <w:r w:rsidRPr="00BD1319">
              <w:rPr>
                <w:noProof/>
                <w:webHidden/>
              </w:rPr>
              <w:fldChar w:fldCharType="begin"/>
            </w:r>
            <w:r w:rsidRPr="00BD1319">
              <w:rPr>
                <w:noProof/>
                <w:webHidden/>
              </w:rPr>
              <w:instrText xml:space="preserve"> PAGEREF _Toc175326753 \h </w:instrText>
            </w:r>
            <w:r w:rsidRPr="00BD1319">
              <w:rPr>
                <w:noProof/>
                <w:webHidden/>
              </w:rPr>
            </w:r>
            <w:r w:rsidRPr="00BD1319">
              <w:rPr>
                <w:noProof/>
                <w:webHidden/>
              </w:rPr>
              <w:fldChar w:fldCharType="separate"/>
            </w:r>
            <w:r w:rsidRPr="00BD1319">
              <w:rPr>
                <w:noProof/>
                <w:webHidden/>
              </w:rPr>
              <w:t>204</w:t>
            </w:r>
            <w:r w:rsidRPr="00BD1319">
              <w:rPr>
                <w:noProof/>
                <w:webHidden/>
              </w:rPr>
              <w:fldChar w:fldCharType="end"/>
            </w:r>
          </w:hyperlink>
        </w:p>
        <w:p w14:paraId="4A1F4481" w14:textId="3DEFA7D9" w:rsidR="00296654" w:rsidRPr="00BD1319" w:rsidRDefault="00296654">
          <w:pPr>
            <w:pStyle w:val="TDC3"/>
            <w:rPr>
              <w:rFonts w:asciiTheme="minorHAnsi" w:eastAsiaTheme="minorEastAsia" w:hAnsiTheme="minorHAnsi" w:cstheme="minorBidi"/>
              <w:iCs w:val="0"/>
              <w:caps w:val="0"/>
              <w:noProof/>
              <w:kern w:val="2"/>
              <w:szCs w:val="24"/>
              <w:lang w:eastAsia="es-CO"/>
              <w14:ligatures w14:val="standardContextual"/>
            </w:rPr>
          </w:pPr>
          <w:hyperlink w:anchor="_Toc175326754" w:history="1">
            <w:r w:rsidRPr="00BD1319">
              <w:rPr>
                <w:rStyle w:val="Hipervnculo"/>
                <w:noProof/>
              </w:rPr>
              <w:t>3.2.1</w:t>
            </w:r>
            <w:r w:rsidRPr="00BD1319">
              <w:rPr>
                <w:rFonts w:asciiTheme="minorHAnsi" w:eastAsiaTheme="minorEastAsia" w:hAnsiTheme="minorHAnsi" w:cstheme="minorBidi"/>
                <w:iCs w:val="0"/>
                <w:caps w:val="0"/>
                <w:noProof/>
                <w:kern w:val="2"/>
                <w:szCs w:val="24"/>
                <w:lang w:eastAsia="es-CO"/>
                <w14:ligatures w14:val="standardContextual"/>
              </w:rPr>
              <w:tab/>
            </w:r>
            <w:r w:rsidRPr="00BD1319">
              <w:rPr>
                <w:rStyle w:val="Hipervnculo"/>
                <w:noProof/>
              </w:rPr>
              <w:t>Planeación</w:t>
            </w:r>
            <w:r w:rsidRPr="00BD1319">
              <w:rPr>
                <w:noProof/>
                <w:webHidden/>
              </w:rPr>
              <w:tab/>
            </w:r>
            <w:r w:rsidRPr="00BD1319">
              <w:rPr>
                <w:noProof/>
                <w:webHidden/>
              </w:rPr>
              <w:fldChar w:fldCharType="begin"/>
            </w:r>
            <w:r w:rsidRPr="00BD1319">
              <w:rPr>
                <w:noProof/>
                <w:webHidden/>
              </w:rPr>
              <w:instrText xml:space="preserve"> PAGEREF _Toc175326754 \h </w:instrText>
            </w:r>
            <w:r w:rsidRPr="00BD1319">
              <w:rPr>
                <w:noProof/>
                <w:webHidden/>
              </w:rPr>
            </w:r>
            <w:r w:rsidRPr="00BD1319">
              <w:rPr>
                <w:noProof/>
                <w:webHidden/>
              </w:rPr>
              <w:fldChar w:fldCharType="separate"/>
            </w:r>
            <w:r w:rsidRPr="00BD1319">
              <w:rPr>
                <w:noProof/>
                <w:webHidden/>
              </w:rPr>
              <w:t>204</w:t>
            </w:r>
            <w:r w:rsidRPr="00BD1319">
              <w:rPr>
                <w:noProof/>
                <w:webHidden/>
              </w:rPr>
              <w:fldChar w:fldCharType="end"/>
            </w:r>
          </w:hyperlink>
        </w:p>
        <w:p w14:paraId="2C93F2F7" w14:textId="28CF4E42" w:rsidR="00296654" w:rsidRPr="00BD1319" w:rsidRDefault="00296654">
          <w:pPr>
            <w:pStyle w:val="TDC3"/>
            <w:rPr>
              <w:rFonts w:asciiTheme="minorHAnsi" w:eastAsiaTheme="minorEastAsia" w:hAnsiTheme="minorHAnsi" w:cstheme="minorBidi"/>
              <w:iCs w:val="0"/>
              <w:caps w:val="0"/>
              <w:noProof/>
              <w:kern w:val="2"/>
              <w:szCs w:val="24"/>
              <w:lang w:eastAsia="es-CO"/>
              <w14:ligatures w14:val="standardContextual"/>
            </w:rPr>
          </w:pPr>
          <w:hyperlink w:anchor="_Toc175326755" w:history="1">
            <w:r w:rsidRPr="00BD1319">
              <w:rPr>
                <w:rStyle w:val="Hipervnculo"/>
                <w:noProof/>
              </w:rPr>
              <w:t>3.2.2</w:t>
            </w:r>
            <w:r w:rsidRPr="00BD1319">
              <w:rPr>
                <w:rFonts w:asciiTheme="minorHAnsi" w:eastAsiaTheme="minorEastAsia" w:hAnsiTheme="minorHAnsi" w:cstheme="minorBidi"/>
                <w:iCs w:val="0"/>
                <w:caps w:val="0"/>
                <w:noProof/>
                <w:kern w:val="2"/>
                <w:szCs w:val="24"/>
                <w:lang w:eastAsia="es-CO"/>
                <w14:ligatures w14:val="standardContextual"/>
              </w:rPr>
              <w:tab/>
            </w:r>
            <w:r w:rsidRPr="00BD1319">
              <w:rPr>
                <w:rStyle w:val="Hipervnculo"/>
                <w:noProof/>
              </w:rPr>
              <w:t>Ejecución de los espacios de participación</w:t>
            </w:r>
            <w:r w:rsidRPr="00BD1319">
              <w:rPr>
                <w:noProof/>
                <w:webHidden/>
              </w:rPr>
              <w:tab/>
            </w:r>
            <w:r w:rsidRPr="00BD1319">
              <w:rPr>
                <w:noProof/>
                <w:webHidden/>
              </w:rPr>
              <w:fldChar w:fldCharType="begin"/>
            </w:r>
            <w:r w:rsidRPr="00BD1319">
              <w:rPr>
                <w:noProof/>
                <w:webHidden/>
              </w:rPr>
              <w:instrText xml:space="preserve"> PAGEREF _Toc175326755 \h </w:instrText>
            </w:r>
            <w:r w:rsidRPr="00BD1319">
              <w:rPr>
                <w:noProof/>
                <w:webHidden/>
              </w:rPr>
            </w:r>
            <w:r w:rsidRPr="00BD1319">
              <w:rPr>
                <w:noProof/>
                <w:webHidden/>
              </w:rPr>
              <w:fldChar w:fldCharType="separate"/>
            </w:r>
            <w:r w:rsidRPr="00BD1319">
              <w:rPr>
                <w:noProof/>
                <w:webHidden/>
              </w:rPr>
              <w:t>207</w:t>
            </w:r>
            <w:r w:rsidRPr="00BD1319">
              <w:rPr>
                <w:noProof/>
                <w:webHidden/>
              </w:rPr>
              <w:fldChar w:fldCharType="end"/>
            </w:r>
          </w:hyperlink>
        </w:p>
        <w:p w14:paraId="42DCA900" w14:textId="57619E8E" w:rsidR="00296654" w:rsidRPr="00BD1319" w:rsidRDefault="00296654">
          <w:pPr>
            <w:pStyle w:val="TDC3"/>
            <w:rPr>
              <w:rFonts w:asciiTheme="minorHAnsi" w:eastAsiaTheme="minorEastAsia" w:hAnsiTheme="minorHAnsi" w:cstheme="minorBidi"/>
              <w:iCs w:val="0"/>
              <w:caps w:val="0"/>
              <w:noProof/>
              <w:kern w:val="2"/>
              <w:szCs w:val="24"/>
              <w:lang w:eastAsia="es-CO"/>
              <w14:ligatures w14:val="standardContextual"/>
            </w:rPr>
          </w:pPr>
          <w:hyperlink w:anchor="_Toc175326756" w:history="1">
            <w:r w:rsidRPr="00BD1319">
              <w:rPr>
                <w:rStyle w:val="Hipervnculo"/>
                <w:noProof/>
              </w:rPr>
              <w:t>3.2.3</w:t>
            </w:r>
            <w:r w:rsidRPr="00BD1319">
              <w:rPr>
                <w:rFonts w:asciiTheme="minorHAnsi" w:eastAsiaTheme="minorEastAsia" w:hAnsiTheme="minorHAnsi" w:cstheme="minorBidi"/>
                <w:iCs w:val="0"/>
                <w:caps w:val="0"/>
                <w:noProof/>
                <w:kern w:val="2"/>
                <w:szCs w:val="24"/>
                <w:lang w:eastAsia="es-CO"/>
                <w14:ligatures w14:val="standardContextual"/>
              </w:rPr>
              <w:tab/>
            </w:r>
            <w:r w:rsidRPr="00BD1319">
              <w:rPr>
                <w:rStyle w:val="Hipervnculo"/>
                <w:noProof/>
              </w:rPr>
              <w:t>Análisis y comunicación de resultados</w:t>
            </w:r>
            <w:r w:rsidRPr="00BD1319">
              <w:rPr>
                <w:noProof/>
                <w:webHidden/>
              </w:rPr>
              <w:tab/>
            </w:r>
            <w:r w:rsidRPr="00BD1319">
              <w:rPr>
                <w:noProof/>
                <w:webHidden/>
              </w:rPr>
              <w:fldChar w:fldCharType="begin"/>
            </w:r>
            <w:r w:rsidRPr="00BD1319">
              <w:rPr>
                <w:noProof/>
                <w:webHidden/>
              </w:rPr>
              <w:instrText xml:space="preserve"> PAGEREF _Toc175326756 \h </w:instrText>
            </w:r>
            <w:r w:rsidRPr="00BD1319">
              <w:rPr>
                <w:noProof/>
                <w:webHidden/>
              </w:rPr>
            </w:r>
            <w:r w:rsidRPr="00BD1319">
              <w:rPr>
                <w:noProof/>
                <w:webHidden/>
              </w:rPr>
              <w:fldChar w:fldCharType="separate"/>
            </w:r>
            <w:r w:rsidRPr="00BD1319">
              <w:rPr>
                <w:noProof/>
                <w:webHidden/>
              </w:rPr>
              <w:t>209</w:t>
            </w:r>
            <w:r w:rsidRPr="00BD1319">
              <w:rPr>
                <w:noProof/>
                <w:webHidden/>
              </w:rPr>
              <w:fldChar w:fldCharType="end"/>
            </w:r>
          </w:hyperlink>
        </w:p>
        <w:p w14:paraId="264C327A" w14:textId="7E02A162" w:rsidR="00296654" w:rsidRPr="00BD1319" w:rsidRDefault="00296654">
          <w:pPr>
            <w:pStyle w:val="TDC2"/>
            <w:rPr>
              <w:rFonts w:asciiTheme="minorHAnsi" w:eastAsiaTheme="minorEastAsia" w:hAnsiTheme="minorHAnsi" w:cstheme="minorBidi"/>
              <w:b w:val="0"/>
              <w:caps w:val="0"/>
              <w:noProof/>
              <w:kern w:val="2"/>
              <w:szCs w:val="24"/>
              <w:lang w:eastAsia="es-CO"/>
              <w14:ligatures w14:val="standardContextual"/>
            </w:rPr>
          </w:pPr>
          <w:hyperlink w:anchor="_Toc175326757" w:history="1">
            <w:r w:rsidRPr="00BD1319">
              <w:rPr>
                <w:rStyle w:val="Hipervnculo"/>
                <w:rFonts w:cs="Arial"/>
                <w:noProof/>
              </w:rPr>
              <w:t>3.3</w:t>
            </w:r>
            <w:r w:rsidRPr="00BD1319">
              <w:rPr>
                <w:rFonts w:asciiTheme="minorHAnsi" w:eastAsiaTheme="minorEastAsia" w:hAnsiTheme="minorHAnsi" w:cstheme="minorBidi"/>
                <w:b w:val="0"/>
                <w:caps w:val="0"/>
                <w:noProof/>
                <w:kern w:val="2"/>
                <w:szCs w:val="24"/>
                <w:lang w:eastAsia="es-CO"/>
                <w14:ligatures w14:val="standardContextual"/>
              </w:rPr>
              <w:tab/>
            </w:r>
            <w:r w:rsidRPr="00BD1319">
              <w:rPr>
                <w:rStyle w:val="Hipervnculo"/>
                <w:noProof/>
              </w:rPr>
              <w:t>SOPORTES Y EVIDENCIAS DEL PROCESO DE PARTICIPACIÓN</w:t>
            </w:r>
            <w:r w:rsidRPr="00BD1319">
              <w:rPr>
                <w:noProof/>
                <w:webHidden/>
              </w:rPr>
              <w:tab/>
            </w:r>
            <w:r w:rsidRPr="00BD1319">
              <w:rPr>
                <w:noProof/>
                <w:webHidden/>
              </w:rPr>
              <w:fldChar w:fldCharType="begin"/>
            </w:r>
            <w:r w:rsidRPr="00BD1319">
              <w:rPr>
                <w:noProof/>
                <w:webHidden/>
              </w:rPr>
              <w:instrText xml:space="preserve"> PAGEREF _Toc175326757 \h </w:instrText>
            </w:r>
            <w:r w:rsidRPr="00BD1319">
              <w:rPr>
                <w:noProof/>
                <w:webHidden/>
              </w:rPr>
            </w:r>
            <w:r w:rsidRPr="00BD1319">
              <w:rPr>
                <w:noProof/>
                <w:webHidden/>
              </w:rPr>
              <w:fldChar w:fldCharType="separate"/>
            </w:r>
            <w:r w:rsidRPr="00BD1319">
              <w:rPr>
                <w:noProof/>
                <w:webHidden/>
              </w:rPr>
              <w:t>210</w:t>
            </w:r>
            <w:r w:rsidRPr="00BD1319">
              <w:rPr>
                <w:noProof/>
                <w:webHidden/>
              </w:rPr>
              <w:fldChar w:fldCharType="end"/>
            </w:r>
          </w:hyperlink>
        </w:p>
        <w:p w14:paraId="5439451D" w14:textId="0CCB660C" w:rsidR="00296654" w:rsidRPr="00BD1319" w:rsidRDefault="00296654">
          <w:pPr>
            <w:pStyle w:val="TDC2"/>
            <w:rPr>
              <w:rFonts w:asciiTheme="minorHAnsi" w:eastAsiaTheme="minorEastAsia" w:hAnsiTheme="minorHAnsi" w:cstheme="minorBidi"/>
              <w:b w:val="0"/>
              <w:caps w:val="0"/>
              <w:noProof/>
              <w:kern w:val="2"/>
              <w:szCs w:val="24"/>
              <w:lang w:eastAsia="es-CO"/>
              <w14:ligatures w14:val="standardContextual"/>
            </w:rPr>
          </w:pPr>
          <w:hyperlink w:anchor="_Toc175326758" w:history="1">
            <w:r w:rsidRPr="00BD1319">
              <w:rPr>
                <w:rStyle w:val="Hipervnculo"/>
                <w:rFonts w:cs="Arial"/>
                <w:bCs/>
                <w:noProof/>
                <w:spacing w:val="-3"/>
              </w:rPr>
              <w:t>3.4</w:t>
            </w:r>
            <w:r w:rsidRPr="00BD1319">
              <w:rPr>
                <w:rFonts w:asciiTheme="minorHAnsi" w:eastAsiaTheme="minorEastAsia" w:hAnsiTheme="minorHAnsi" w:cstheme="minorBidi"/>
                <w:b w:val="0"/>
                <w:caps w:val="0"/>
                <w:noProof/>
                <w:kern w:val="2"/>
                <w:szCs w:val="24"/>
                <w:lang w:eastAsia="es-CO"/>
                <w14:ligatures w14:val="standardContextual"/>
              </w:rPr>
              <w:tab/>
            </w:r>
            <w:r w:rsidRPr="00BD1319">
              <w:rPr>
                <w:rStyle w:val="Hipervnculo"/>
                <w:noProof/>
                <w:spacing w:val="-3"/>
              </w:rPr>
              <w:t>MECANISMOS VIRTUALES PARA LA PARTICIPACIÓN</w:t>
            </w:r>
            <w:r w:rsidRPr="00BD1319">
              <w:rPr>
                <w:noProof/>
                <w:webHidden/>
              </w:rPr>
              <w:tab/>
            </w:r>
            <w:r w:rsidRPr="00BD1319">
              <w:rPr>
                <w:noProof/>
                <w:webHidden/>
              </w:rPr>
              <w:fldChar w:fldCharType="begin"/>
            </w:r>
            <w:r w:rsidRPr="00BD1319">
              <w:rPr>
                <w:noProof/>
                <w:webHidden/>
              </w:rPr>
              <w:instrText xml:space="preserve"> PAGEREF _Toc175326758 \h </w:instrText>
            </w:r>
            <w:r w:rsidRPr="00BD1319">
              <w:rPr>
                <w:noProof/>
                <w:webHidden/>
              </w:rPr>
            </w:r>
            <w:r w:rsidRPr="00BD1319">
              <w:rPr>
                <w:noProof/>
                <w:webHidden/>
              </w:rPr>
              <w:fldChar w:fldCharType="separate"/>
            </w:r>
            <w:r w:rsidRPr="00BD1319">
              <w:rPr>
                <w:noProof/>
                <w:webHidden/>
              </w:rPr>
              <w:t>212</w:t>
            </w:r>
            <w:r w:rsidRPr="00BD1319">
              <w:rPr>
                <w:noProof/>
                <w:webHidden/>
              </w:rPr>
              <w:fldChar w:fldCharType="end"/>
            </w:r>
          </w:hyperlink>
        </w:p>
        <w:p w14:paraId="341D5EB9" w14:textId="224726B0" w:rsidR="00296654" w:rsidRPr="00BD1319" w:rsidRDefault="00296654">
          <w:pPr>
            <w:pStyle w:val="TDC1"/>
            <w:rPr>
              <w:rFonts w:asciiTheme="minorHAnsi" w:eastAsiaTheme="minorEastAsia" w:hAnsiTheme="minorHAnsi" w:cstheme="minorBidi"/>
              <w:b w:val="0"/>
              <w:bCs w:val="0"/>
              <w:caps w:val="0"/>
              <w:kern w:val="2"/>
              <w:lang w:eastAsia="es-CO"/>
              <w14:ligatures w14:val="standardContextual"/>
            </w:rPr>
          </w:pPr>
          <w:hyperlink w:anchor="_Toc175326759" w:history="1">
            <w:r w:rsidRPr="00BD1319">
              <w:rPr>
                <w:rStyle w:val="Hipervnculo"/>
              </w:rPr>
              <w:t>4.</w:t>
            </w:r>
            <w:r w:rsidRPr="00BD1319">
              <w:rPr>
                <w:rFonts w:asciiTheme="minorHAnsi" w:eastAsiaTheme="minorEastAsia" w:hAnsiTheme="minorHAnsi" w:cstheme="minorBidi"/>
                <w:b w:val="0"/>
                <w:bCs w:val="0"/>
                <w:caps w:val="0"/>
                <w:kern w:val="2"/>
                <w:lang w:eastAsia="es-CO"/>
                <w14:ligatures w14:val="standardContextual"/>
              </w:rPr>
              <w:tab/>
            </w:r>
            <w:r w:rsidRPr="00BD1319">
              <w:rPr>
                <w:rStyle w:val="Hipervnculo"/>
              </w:rPr>
              <w:t>CARACTERIZACIÓN DEL ÁREA DE INFLUENCIA</w:t>
            </w:r>
            <w:r w:rsidRPr="00BD1319">
              <w:rPr>
                <w:webHidden/>
              </w:rPr>
              <w:tab/>
            </w:r>
            <w:r w:rsidRPr="00BD1319">
              <w:rPr>
                <w:webHidden/>
              </w:rPr>
              <w:fldChar w:fldCharType="begin"/>
            </w:r>
            <w:r w:rsidRPr="00BD1319">
              <w:rPr>
                <w:webHidden/>
              </w:rPr>
              <w:instrText xml:space="preserve"> PAGEREF _Toc175326759 \h </w:instrText>
            </w:r>
            <w:r w:rsidRPr="00BD1319">
              <w:rPr>
                <w:webHidden/>
              </w:rPr>
            </w:r>
            <w:r w:rsidRPr="00BD1319">
              <w:rPr>
                <w:webHidden/>
              </w:rPr>
              <w:fldChar w:fldCharType="separate"/>
            </w:r>
            <w:r w:rsidRPr="00BD1319">
              <w:rPr>
                <w:webHidden/>
              </w:rPr>
              <w:t>213</w:t>
            </w:r>
            <w:r w:rsidRPr="00BD1319">
              <w:rPr>
                <w:webHidden/>
              </w:rPr>
              <w:fldChar w:fldCharType="end"/>
            </w:r>
          </w:hyperlink>
        </w:p>
        <w:p w14:paraId="65C7BC57" w14:textId="27591FF9" w:rsidR="00296654" w:rsidRPr="00BD1319" w:rsidRDefault="00296654">
          <w:pPr>
            <w:pStyle w:val="TDC2"/>
            <w:rPr>
              <w:rFonts w:asciiTheme="minorHAnsi" w:eastAsiaTheme="minorEastAsia" w:hAnsiTheme="minorHAnsi" w:cstheme="minorBidi"/>
              <w:b w:val="0"/>
              <w:caps w:val="0"/>
              <w:noProof/>
              <w:kern w:val="2"/>
              <w:szCs w:val="24"/>
              <w:lang w:eastAsia="es-CO"/>
              <w14:ligatures w14:val="standardContextual"/>
            </w:rPr>
          </w:pPr>
          <w:hyperlink w:anchor="_Toc175326760" w:history="1">
            <w:r w:rsidRPr="00BD1319">
              <w:rPr>
                <w:rStyle w:val="Hipervnculo"/>
                <w:rFonts w:cs="Arial"/>
                <w:noProof/>
              </w:rPr>
              <w:t>4.1</w:t>
            </w:r>
            <w:r w:rsidRPr="00BD1319">
              <w:rPr>
                <w:rFonts w:asciiTheme="minorHAnsi" w:eastAsiaTheme="minorEastAsia" w:hAnsiTheme="minorHAnsi" w:cstheme="minorBidi"/>
                <w:b w:val="0"/>
                <w:caps w:val="0"/>
                <w:noProof/>
                <w:kern w:val="2"/>
                <w:szCs w:val="24"/>
                <w:lang w:eastAsia="es-CO"/>
                <w14:ligatures w14:val="standardContextual"/>
              </w:rPr>
              <w:tab/>
            </w:r>
            <w:r w:rsidRPr="00BD1319">
              <w:rPr>
                <w:rStyle w:val="Hipervnculo"/>
                <w:noProof/>
              </w:rPr>
              <w:t>MEDIO ABIÓTICO</w:t>
            </w:r>
            <w:r w:rsidRPr="00BD1319">
              <w:rPr>
                <w:noProof/>
                <w:webHidden/>
              </w:rPr>
              <w:tab/>
            </w:r>
            <w:r w:rsidRPr="00BD1319">
              <w:rPr>
                <w:noProof/>
                <w:webHidden/>
              </w:rPr>
              <w:fldChar w:fldCharType="begin"/>
            </w:r>
            <w:r w:rsidRPr="00BD1319">
              <w:rPr>
                <w:noProof/>
                <w:webHidden/>
              </w:rPr>
              <w:instrText xml:space="preserve"> PAGEREF _Toc175326760 \h </w:instrText>
            </w:r>
            <w:r w:rsidRPr="00BD1319">
              <w:rPr>
                <w:noProof/>
                <w:webHidden/>
              </w:rPr>
            </w:r>
            <w:r w:rsidRPr="00BD1319">
              <w:rPr>
                <w:noProof/>
                <w:webHidden/>
              </w:rPr>
              <w:fldChar w:fldCharType="separate"/>
            </w:r>
            <w:r w:rsidRPr="00BD1319">
              <w:rPr>
                <w:noProof/>
                <w:webHidden/>
              </w:rPr>
              <w:t>215</w:t>
            </w:r>
            <w:r w:rsidRPr="00BD1319">
              <w:rPr>
                <w:noProof/>
                <w:webHidden/>
              </w:rPr>
              <w:fldChar w:fldCharType="end"/>
            </w:r>
          </w:hyperlink>
        </w:p>
        <w:p w14:paraId="3A914D57" w14:textId="65B2ACC9" w:rsidR="00296654" w:rsidRPr="00BD1319" w:rsidRDefault="00296654">
          <w:pPr>
            <w:pStyle w:val="TDC3"/>
            <w:rPr>
              <w:rFonts w:asciiTheme="minorHAnsi" w:eastAsiaTheme="minorEastAsia" w:hAnsiTheme="minorHAnsi" w:cstheme="minorBidi"/>
              <w:iCs w:val="0"/>
              <w:caps w:val="0"/>
              <w:noProof/>
              <w:kern w:val="2"/>
              <w:szCs w:val="24"/>
              <w:lang w:eastAsia="es-CO"/>
              <w14:ligatures w14:val="standardContextual"/>
            </w:rPr>
          </w:pPr>
          <w:hyperlink w:anchor="_Toc175326761" w:history="1">
            <w:r w:rsidRPr="00BD1319">
              <w:rPr>
                <w:rStyle w:val="Hipervnculo"/>
                <w:noProof/>
              </w:rPr>
              <w:t>4.1.1</w:t>
            </w:r>
            <w:r w:rsidRPr="00BD1319">
              <w:rPr>
                <w:rFonts w:asciiTheme="minorHAnsi" w:eastAsiaTheme="minorEastAsia" w:hAnsiTheme="minorHAnsi" w:cstheme="minorBidi"/>
                <w:iCs w:val="0"/>
                <w:caps w:val="0"/>
                <w:noProof/>
                <w:kern w:val="2"/>
                <w:szCs w:val="24"/>
                <w:lang w:eastAsia="es-CO"/>
                <w14:ligatures w14:val="standardContextual"/>
              </w:rPr>
              <w:tab/>
            </w:r>
            <w:r w:rsidRPr="00BD1319">
              <w:rPr>
                <w:rStyle w:val="Hipervnculo"/>
                <w:noProof/>
              </w:rPr>
              <w:t>Geológico</w:t>
            </w:r>
            <w:r w:rsidRPr="00BD1319">
              <w:rPr>
                <w:noProof/>
                <w:webHidden/>
              </w:rPr>
              <w:tab/>
            </w:r>
            <w:r w:rsidRPr="00BD1319">
              <w:rPr>
                <w:noProof/>
                <w:webHidden/>
              </w:rPr>
              <w:fldChar w:fldCharType="begin"/>
            </w:r>
            <w:r w:rsidRPr="00BD1319">
              <w:rPr>
                <w:noProof/>
                <w:webHidden/>
              </w:rPr>
              <w:instrText xml:space="preserve"> PAGEREF _Toc175326761 \h </w:instrText>
            </w:r>
            <w:r w:rsidRPr="00BD1319">
              <w:rPr>
                <w:noProof/>
                <w:webHidden/>
              </w:rPr>
            </w:r>
            <w:r w:rsidRPr="00BD1319">
              <w:rPr>
                <w:noProof/>
                <w:webHidden/>
              </w:rPr>
              <w:fldChar w:fldCharType="separate"/>
            </w:r>
            <w:r w:rsidRPr="00BD1319">
              <w:rPr>
                <w:noProof/>
                <w:webHidden/>
              </w:rPr>
              <w:t>215</w:t>
            </w:r>
            <w:r w:rsidRPr="00BD1319">
              <w:rPr>
                <w:noProof/>
                <w:webHidden/>
              </w:rPr>
              <w:fldChar w:fldCharType="end"/>
            </w:r>
          </w:hyperlink>
        </w:p>
        <w:p w14:paraId="7350E67B" w14:textId="031AF4D6" w:rsidR="00296654" w:rsidRPr="00BD1319" w:rsidRDefault="00296654">
          <w:pPr>
            <w:pStyle w:val="TDC3"/>
            <w:rPr>
              <w:rFonts w:asciiTheme="minorHAnsi" w:eastAsiaTheme="minorEastAsia" w:hAnsiTheme="minorHAnsi" w:cstheme="minorBidi"/>
              <w:iCs w:val="0"/>
              <w:caps w:val="0"/>
              <w:noProof/>
              <w:kern w:val="2"/>
              <w:szCs w:val="24"/>
              <w:lang w:eastAsia="es-CO"/>
              <w14:ligatures w14:val="standardContextual"/>
            </w:rPr>
          </w:pPr>
          <w:hyperlink w:anchor="_Toc175326762" w:history="1">
            <w:r w:rsidRPr="00BD1319">
              <w:rPr>
                <w:rStyle w:val="Hipervnculo"/>
                <w:noProof/>
              </w:rPr>
              <w:t>4.1.2</w:t>
            </w:r>
            <w:r w:rsidRPr="00BD1319">
              <w:rPr>
                <w:rFonts w:asciiTheme="minorHAnsi" w:eastAsiaTheme="minorEastAsia" w:hAnsiTheme="minorHAnsi" w:cstheme="minorBidi"/>
                <w:iCs w:val="0"/>
                <w:caps w:val="0"/>
                <w:noProof/>
                <w:kern w:val="2"/>
                <w:szCs w:val="24"/>
                <w:lang w:eastAsia="es-CO"/>
                <w14:ligatures w14:val="standardContextual"/>
              </w:rPr>
              <w:tab/>
            </w:r>
            <w:r w:rsidRPr="00BD1319">
              <w:rPr>
                <w:rStyle w:val="Hipervnculo"/>
                <w:noProof/>
              </w:rPr>
              <w:t>Edafológico</w:t>
            </w:r>
            <w:r w:rsidRPr="00BD1319">
              <w:rPr>
                <w:noProof/>
                <w:webHidden/>
              </w:rPr>
              <w:tab/>
            </w:r>
            <w:r w:rsidRPr="00BD1319">
              <w:rPr>
                <w:noProof/>
                <w:webHidden/>
              </w:rPr>
              <w:fldChar w:fldCharType="begin"/>
            </w:r>
            <w:r w:rsidRPr="00BD1319">
              <w:rPr>
                <w:noProof/>
                <w:webHidden/>
              </w:rPr>
              <w:instrText xml:space="preserve"> PAGEREF _Toc175326762 \h </w:instrText>
            </w:r>
            <w:r w:rsidRPr="00BD1319">
              <w:rPr>
                <w:noProof/>
                <w:webHidden/>
              </w:rPr>
            </w:r>
            <w:r w:rsidRPr="00BD1319">
              <w:rPr>
                <w:noProof/>
                <w:webHidden/>
              </w:rPr>
              <w:fldChar w:fldCharType="separate"/>
            </w:r>
            <w:r w:rsidRPr="00BD1319">
              <w:rPr>
                <w:noProof/>
                <w:webHidden/>
              </w:rPr>
              <w:t>222</w:t>
            </w:r>
            <w:r w:rsidRPr="00BD1319">
              <w:rPr>
                <w:noProof/>
                <w:webHidden/>
              </w:rPr>
              <w:fldChar w:fldCharType="end"/>
            </w:r>
          </w:hyperlink>
        </w:p>
        <w:p w14:paraId="01A701C3" w14:textId="174E8F97" w:rsidR="00296654" w:rsidRPr="00BD1319" w:rsidRDefault="00296654">
          <w:pPr>
            <w:pStyle w:val="TDC3"/>
            <w:rPr>
              <w:rFonts w:asciiTheme="minorHAnsi" w:eastAsiaTheme="minorEastAsia" w:hAnsiTheme="minorHAnsi" w:cstheme="minorBidi"/>
              <w:iCs w:val="0"/>
              <w:caps w:val="0"/>
              <w:noProof/>
              <w:kern w:val="2"/>
              <w:szCs w:val="24"/>
              <w:lang w:eastAsia="es-CO"/>
              <w14:ligatures w14:val="standardContextual"/>
            </w:rPr>
          </w:pPr>
          <w:hyperlink w:anchor="_Toc175326763" w:history="1">
            <w:r w:rsidRPr="00BD1319">
              <w:rPr>
                <w:rStyle w:val="Hipervnculo"/>
                <w:noProof/>
              </w:rPr>
              <w:t>4.1.3</w:t>
            </w:r>
            <w:r w:rsidRPr="00BD1319">
              <w:rPr>
                <w:rFonts w:asciiTheme="minorHAnsi" w:eastAsiaTheme="minorEastAsia" w:hAnsiTheme="minorHAnsi" w:cstheme="minorBidi"/>
                <w:iCs w:val="0"/>
                <w:caps w:val="0"/>
                <w:noProof/>
                <w:kern w:val="2"/>
                <w:szCs w:val="24"/>
                <w:lang w:eastAsia="es-CO"/>
                <w14:ligatures w14:val="standardContextual"/>
              </w:rPr>
              <w:tab/>
            </w:r>
            <w:r w:rsidRPr="00BD1319">
              <w:rPr>
                <w:rStyle w:val="Hipervnculo"/>
                <w:noProof/>
              </w:rPr>
              <w:t>Uso de las tierras</w:t>
            </w:r>
            <w:r w:rsidRPr="00BD1319">
              <w:rPr>
                <w:noProof/>
                <w:webHidden/>
              </w:rPr>
              <w:tab/>
            </w:r>
            <w:r w:rsidRPr="00BD1319">
              <w:rPr>
                <w:noProof/>
                <w:webHidden/>
              </w:rPr>
              <w:fldChar w:fldCharType="begin"/>
            </w:r>
            <w:r w:rsidRPr="00BD1319">
              <w:rPr>
                <w:noProof/>
                <w:webHidden/>
              </w:rPr>
              <w:instrText xml:space="preserve"> PAGEREF _Toc175326763 \h </w:instrText>
            </w:r>
            <w:r w:rsidRPr="00BD1319">
              <w:rPr>
                <w:noProof/>
                <w:webHidden/>
              </w:rPr>
            </w:r>
            <w:r w:rsidRPr="00BD1319">
              <w:rPr>
                <w:noProof/>
                <w:webHidden/>
              </w:rPr>
              <w:fldChar w:fldCharType="separate"/>
            </w:r>
            <w:r w:rsidRPr="00BD1319">
              <w:rPr>
                <w:noProof/>
                <w:webHidden/>
              </w:rPr>
              <w:t>226</w:t>
            </w:r>
            <w:r w:rsidRPr="00BD1319">
              <w:rPr>
                <w:noProof/>
                <w:webHidden/>
              </w:rPr>
              <w:fldChar w:fldCharType="end"/>
            </w:r>
          </w:hyperlink>
        </w:p>
        <w:p w14:paraId="7EFB39BA" w14:textId="44034F8F" w:rsidR="00296654" w:rsidRPr="00BD1319" w:rsidRDefault="00296654">
          <w:pPr>
            <w:pStyle w:val="TDC3"/>
            <w:rPr>
              <w:rFonts w:asciiTheme="minorHAnsi" w:eastAsiaTheme="minorEastAsia" w:hAnsiTheme="minorHAnsi" w:cstheme="minorBidi"/>
              <w:iCs w:val="0"/>
              <w:caps w:val="0"/>
              <w:noProof/>
              <w:kern w:val="2"/>
              <w:szCs w:val="24"/>
              <w:lang w:eastAsia="es-CO"/>
              <w14:ligatures w14:val="standardContextual"/>
            </w:rPr>
          </w:pPr>
          <w:hyperlink w:anchor="_Toc175326764" w:history="1">
            <w:r w:rsidRPr="00BD1319">
              <w:rPr>
                <w:rStyle w:val="Hipervnculo"/>
                <w:noProof/>
              </w:rPr>
              <w:t>4.1.4</w:t>
            </w:r>
            <w:r w:rsidRPr="00BD1319">
              <w:rPr>
                <w:rFonts w:asciiTheme="minorHAnsi" w:eastAsiaTheme="minorEastAsia" w:hAnsiTheme="minorHAnsi" w:cstheme="minorBidi"/>
                <w:iCs w:val="0"/>
                <w:caps w:val="0"/>
                <w:noProof/>
                <w:kern w:val="2"/>
                <w:szCs w:val="24"/>
                <w:lang w:eastAsia="es-CO"/>
                <w14:ligatures w14:val="standardContextual"/>
              </w:rPr>
              <w:tab/>
            </w:r>
            <w:r w:rsidRPr="00BD1319">
              <w:rPr>
                <w:rStyle w:val="Hipervnculo"/>
                <w:noProof/>
              </w:rPr>
              <w:t>Hidrológico</w:t>
            </w:r>
            <w:r w:rsidRPr="00BD1319">
              <w:rPr>
                <w:noProof/>
                <w:webHidden/>
              </w:rPr>
              <w:tab/>
            </w:r>
            <w:r w:rsidRPr="00BD1319">
              <w:rPr>
                <w:noProof/>
                <w:webHidden/>
              </w:rPr>
              <w:fldChar w:fldCharType="begin"/>
            </w:r>
            <w:r w:rsidRPr="00BD1319">
              <w:rPr>
                <w:noProof/>
                <w:webHidden/>
              </w:rPr>
              <w:instrText xml:space="preserve"> PAGEREF _Toc175326764 \h </w:instrText>
            </w:r>
            <w:r w:rsidRPr="00BD1319">
              <w:rPr>
                <w:noProof/>
                <w:webHidden/>
              </w:rPr>
            </w:r>
            <w:r w:rsidRPr="00BD1319">
              <w:rPr>
                <w:noProof/>
                <w:webHidden/>
              </w:rPr>
              <w:fldChar w:fldCharType="separate"/>
            </w:r>
            <w:r w:rsidRPr="00BD1319">
              <w:rPr>
                <w:noProof/>
                <w:webHidden/>
              </w:rPr>
              <w:t>228</w:t>
            </w:r>
            <w:r w:rsidRPr="00BD1319">
              <w:rPr>
                <w:noProof/>
                <w:webHidden/>
              </w:rPr>
              <w:fldChar w:fldCharType="end"/>
            </w:r>
          </w:hyperlink>
        </w:p>
        <w:p w14:paraId="06E29501" w14:textId="7382EA1C" w:rsidR="00296654" w:rsidRPr="00BD1319" w:rsidRDefault="00296654">
          <w:pPr>
            <w:pStyle w:val="TDC3"/>
            <w:rPr>
              <w:rFonts w:asciiTheme="minorHAnsi" w:eastAsiaTheme="minorEastAsia" w:hAnsiTheme="minorHAnsi" w:cstheme="minorBidi"/>
              <w:iCs w:val="0"/>
              <w:caps w:val="0"/>
              <w:noProof/>
              <w:kern w:val="2"/>
              <w:szCs w:val="24"/>
              <w:lang w:eastAsia="es-CO"/>
              <w14:ligatures w14:val="standardContextual"/>
            </w:rPr>
          </w:pPr>
          <w:hyperlink w:anchor="_Toc175326765" w:history="1">
            <w:r w:rsidRPr="00BD1319">
              <w:rPr>
                <w:rStyle w:val="Hipervnculo"/>
                <w:noProof/>
              </w:rPr>
              <w:t>4.1.5</w:t>
            </w:r>
            <w:r w:rsidRPr="00BD1319">
              <w:rPr>
                <w:rFonts w:asciiTheme="minorHAnsi" w:eastAsiaTheme="minorEastAsia" w:hAnsiTheme="minorHAnsi" w:cstheme="minorBidi"/>
                <w:iCs w:val="0"/>
                <w:caps w:val="0"/>
                <w:noProof/>
                <w:kern w:val="2"/>
                <w:szCs w:val="24"/>
                <w:lang w:eastAsia="es-CO"/>
                <w14:ligatures w14:val="standardContextual"/>
              </w:rPr>
              <w:tab/>
            </w:r>
            <w:r w:rsidRPr="00BD1319">
              <w:rPr>
                <w:rStyle w:val="Hipervnculo"/>
                <w:noProof/>
              </w:rPr>
              <w:t>Hidrogeológico</w:t>
            </w:r>
            <w:r w:rsidRPr="00BD1319">
              <w:rPr>
                <w:noProof/>
                <w:webHidden/>
              </w:rPr>
              <w:tab/>
            </w:r>
            <w:r w:rsidRPr="00BD1319">
              <w:rPr>
                <w:noProof/>
                <w:webHidden/>
              </w:rPr>
              <w:fldChar w:fldCharType="begin"/>
            </w:r>
            <w:r w:rsidRPr="00BD1319">
              <w:rPr>
                <w:noProof/>
                <w:webHidden/>
              </w:rPr>
              <w:instrText xml:space="preserve"> PAGEREF _Toc175326765 \h </w:instrText>
            </w:r>
            <w:r w:rsidRPr="00BD1319">
              <w:rPr>
                <w:noProof/>
                <w:webHidden/>
              </w:rPr>
            </w:r>
            <w:r w:rsidRPr="00BD1319">
              <w:rPr>
                <w:noProof/>
                <w:webHidden/>
              </w:rPr>
              <w:fldChar w:fldCharType="separate"/>
            </w:r>
            <w:r w:rsidRPr="00BD1319">
              <w:rPr>
                <w:noProof/>
                <w:webHidden/>
              </w:rPr>
              <w:t>235</w:t>
            </w:r>
            <w:r w:rsidRPr="00BD1319">
              <w:rPr>
                <w:noProof/>
                <w:webHidden/>
              </w:rPr>
              <w:fldChar w:fldCharType="end"/>
            </w:r>
          </w:hyperlink>
        </w:p>
        <w:p w14:paraId="3D7AECC1" w14:textId="4613B447" w:rsidR="00296654" w:rsidRPr="00BD1319" w:rsidRDefault="00296654">
          <w:pPr>
            <w:pStyle w:val="TDC3"/>
            <w:rPr>
              <w:rFonts w:asciiTheme="minorHAnsi" w:eastAsiaTheme="minorEastAsia" w:hAnsiTheme="minorHAnsi" w:cstheme="minorBidi"/>
              <w:iCs w:val="0"/>
              <w:caps w:val="0"/>
              <w:noProof/>
              <w:kern w:val="2"/>
              <w:szCs w:val="24"/>
              <w:lang w:eastAsia="es-CO"/>
              <w14:ligatures w14:val="standardContextual"/>
            </w:rPr>
          </w:pPr>
          <w:hyperlink w:anchor="_Toc175326766" w:history="1">
            <w:r w:rsidRPr="00BD1319">
              <w:rPr>
                <w:rStyle w:val="Hipervnculo"/>
                <w:noProof/>
              </w:rPr>
              <w:t>4.1.6</w:t>
            </w:r>
            <w:r w:rsidRPr="00BD1319">
              <w:rPr>
                <w:rFonts w:asciiTheme="minorHAnsi" w:eastAsiaTheme="minorEastAsia" w:hAnsiTheme="minorHAnsi" w:cstheme="minorBidi"/>
                <w:iCs w:val="0"/>
                <w:caps w:val="0"/>
                <w:noProof/>
                <w:kern w:val="2"/>
                <w:szCs w:val="24"/>
                <w:lang w:eastAsia="es-CO"/>
                <w14:ligatures w14:val="standardContextual"/>
              </w:rPr>
              <w:tab/>
            </w:r>
            <w:r w:rsidRPr="00BD1319">
              <w:rPr>
                <w:rStyle w:val="Hipervnculo"/>
                <w:noProof/>
              </w:rPr>
              <w:t>Oceanográfico</w:t>
            </w:r>
            <w:r w:rsidRPr="00BD1319">
              <w:rPr>
                <w:noProof/>
                <w:webHidden/>
              </w:rPr>
              <w:tab/>
            </w:r>
            <w:r w:rsidRPr="00BD1319">
              <w:rPr>
                <w:noProof/>
                <w:webHidden/>
              </w:rPr>
              <w:fldChar w:fldCharType="begin"/>
            </w:r>
            <w:r w:rsidRPr="00BD1319">
              <w:rPr>
                <w:noProof/>
                <w:webHidden/>
              </w:rPr>
              <w:instrText xml:space="preserve"> PAGEREF _Toc175326766 \h </w:instrText>
            </w:r>
            <w:r w:rsidRPr="00BD1319">
              <w:rPr>
                <w:noProof/>
                <w:webHidden/>
              </w:rPr>
            </w:r>
            <w:r w:rsidRPr="00BD1319">
              <w:rPr>
                <w:noProof/>
                <w:webHidden/>
              </w:rPr>
              <w:fldChar w:fldCharType="separate"/>
            </w:r>
            <w:r w:rsidRPr="00BD1319">
              <w:rPr>
                <w:noProof/>
                <w:webHidden/>
              </w:rPr>
              <w:t>244</w:t>
            </w:r>
            <w:r w:rsidRPr="00BD1319">
              <w:rPr>
                <w:noProof/>
                <w:webHidden/>
              </w:rPr>
              <w:fldChar w:fldCharType="end"/>
            </w:r>
          </w:hyperlink>
        </w:p>
        <w:p w14:paraId="2FD97418" w14:textId="5EB145F6" w:rsidR="00296654" w:rsidRPr="00BD1319" w:rsidRDefault="00296654">
          <w:pPr>
            <w:pStyle w:val="TDC3"/>
            <w:rPr>
              <w:rFonts w:asciiTheme="minorHAnsi" w:eastAsiaTheme="minorEastAsia" w:hAnsiTheme="minorHAnsi" w:cstheme="minorBidi"/>
              <w:iCs w:val="0"/>
              <w:caps w:val="0"/>
              <w:noProof/>
              <w:kern w:val="2"/>
              <w:szCs w:val="24"/>
              <w:lang w:eastAsia="es-CO"/>
              <w14:ligatures w14:val="standardContextual"/>
            </w:rPr>
          </w:pPr>
          <w:hyperlink w:anchor="_Toc175326767" w:history="1">
            <w:r w:rsidRPr="00BD1319">
              <w:rPr>
                <w:rStyle w:val="Hipervnculo"/>
                <w:noProof/>
              </w:rPr>
              <w:t>4.1.7</w:t>
            </w:r>
            <w:r w:rsidRPr="00BD1319">
              <w:rPr>
                <w:rFonts w:asciiTheme="minorHAnsi" w:eastAsiaTheme="minorEastAsia" w:hAnsiTheme="minorHAnsi" w:cstheme="minorBidi"/>
                <w:iCs w:val="0"/>
                <w:caps w:val="0"/>
                <w:noProof/>
                <w:kern w:val="2"/>
                <w:szCs w:val="24"/>
                <w:lang w:eastAsia="es-CO"/>
                <w14:ligatures w14:val="standardContextual"/>
              </w:rPr>
              <w:tab/>
            </w:r>
            <w:r w:rsidRPr="00BD1319">
              <w:rPr>
                <w:rStyle w:val="Hipervnculo"/>
                <w:noProof/>
              </w:rPr>
              <w:t>Atmosférico</w:t>
            </w:r>
            <w:r w:rsidRPr="00BD1319">
              <w:rPr>
                <w:noProof/>
                <w:webHidden/>
              </w:rPr>
              <w:tab/>
            </w:r>
            <w:r w:rsidRPr="00BD1319">
              <w:rPr>
                <w:noProof/>
                <w:webHidden/>
              </w:rPr>
              <w:fldChar w:fldCharType="begin"/>
            </w:r>
            <w:r w:rsidRPr="00BD1319">
              <w:rPr>
                <w:noProof/>
                <w:webHidden/>
              </w:rPr>
              <w:instrText xml:space="preserve"> PAGEREF _Toc175326767 \h </w:instrText>
            </w:r>
            <w:r w:rsidRPr="00BD1319">
              <w:rPr>
                <w:noProof/>
                <w:webHidden/>
              </w:rPr>
            </w:r>
            <w:r w:rsidRPr="00BD1319">
              <w:rPr>
                <w:noProof/>
                <w:webHidden/>
              </w:rPr>
              <w:fldChar w:fldCharType="separate"/>
            </w:r>
            <w:r w:rsidRPr="00BD1319">
              <w:rPr>
                <w:noProof/>
                <w:webHidden/>
              </w:rPr>
              <w:t>249</w:t>
            </w:r>
            <w:r w:rsidRPr="00BD1319">
              <w:rPr>
                <w:noProof/>
                <w:webHidden/>
              </w:rPr>
              <w:fldChar w:fldCharType="end"/>
            </w:r>
          </w:hyperlink>
        </w:p>
        <w:p w14:paraId="4447773D" w14:textId="4A2913D9" w:rsidR="00296654" w:rsidRPr="00BD1319" w:rsidRDefault="00296654">
          <w:pPr>
            <w:pStyle w:val="TDC2"/>
            <w:rPr>
              <w:rFonts w:asciiTheme="minorHAnsi" w:eastAsiaTheme="minorEastAsia" w:hAnsiTheme="minorHAnsi" w:cstheme="minorBidi"/>
              <w:b w:val="0"/>
              <w:caps w:val="0"/>
              <w:noProof/>
              <w:kern w:val="2"/>
              <w:szCs w:val="24"/>
              <w:lang w:eastAsia="es-CO"/>
              <w14:ligatures w14:val="standardContextual"/>
            </w:rPr>
          </w:pPr>
          <w:hyperlink w:anchor="_Toc175326768" w:history="1">
            <w:r w:rsidRPr="00BD1319">
              <w:rPr>
                <w:rStyle w:val="Hipervnculo"/>
                <w:rFonts w:cs="Arial"/>
                <w:noProof/>
              </w:rPr>
              <w:t>4.2</w:t>
            </w:r>
            <w:r w:rsidRPr="00BD1319">
              <w:rPr>
                <w:rFonts w:asciiTheme="minorHAnsi" w:eastAsiaTheme="minorEastAsia" w:hAnsiTheme="minorHAnsi" w:cstheme="minorBidi"/>
                <w:b w:val="0"/>
                <w:caps w:val="0"/>
                <w:noProof/>
                <w:kern w:val="2"/>
                <w:szCs w:val="24"/>
                <w:lang w:eastAsia="es-CO"/>
                <w14:ligatures w14:val="standardContextual"/>
              </w:rPr>
              <w:tab/>
            </w:r>
            <w:r w:rsidRPr="00BD1319">
              <w:rPr>
                <w:rStyle w:val="Hipervnculo"/>
                <w:noProof/>
              </w:rPr>
              <w:t>MEDIO BIÓTICO</w:t>
            </w:r>
            <w:r w:rsidRPr="00BD1319">
              <w:rPr>
                <w:noProof/>
                <w:webHidden/>
              </w:rPr>
              <w:tab/>
            </w:r>
            <w:r w:rsidRPr="00BD1319">
              <w:rPr>
                <w:noProof/>
                <w:webHidden/>
              </w:rPr>
              <w:fldChar w:fldCharType="begin"/>
            </w:r>
            <w:r w:rsidRPr="00BD1319">
              <w:rPr>
                <w:noProof/>
                <w:webHidden/>
              </w:rPr>
              <w:instrText xml:space="preserve"> PAGEREF _Toc175326768 \h </w:instrText>
            </w:r>
            <w:r w:rsidRPr="00BD1319">
              <w:rPr>
                <w:noProof/>
                <w:webHidden/>
              </w:rPr>
            </w:r>
            <w:r w:rsidRPr="00BD1319">
              <w:rPr>
                <w:noProof/>
                <w:webHidden/>
              </w:rPr>
              <w:fldChar w:fldCharType="separate"/>
            </w:r>
            <w:r w:rsidRPr="00BD1319">
              <w:rPr>
                <w:noProof/>
                <w:webHidden/>
              </w:rPr>
              <w:t>255</w:t>
            </w:r>
            <w:r w:rsidRPr="00BD1319">
              <w:rPr>
                <w:noProof/>
                <w:webHidden/>
              </w:rPr>
              <w:fldChar w:fldCharType="end"/>
            </w:r>
          </w:hyperlink>
        </w:p>
        <w:p w14:paraId="04B633AF" w14:textId="665125AA" w:rsidR="00296654" w:rsidRPr="00BD1319" w:rsidRDefault="00296654">
          <w:pPr>
            <w:pStyle w:val="TDC3"/>
            <w:rPr>
              <w:rFonts w:asciiTheme="minorHAnsi" w:eastAsiaTheme="minorEastAsia" w:hAnsiTheme="minorHAnsi" w:cstheme="minorBidi"/>
              <w:iCs w:val="0"/>
              <w:caps w:val="0"/>
              <w:noProof/>
              <w:kern w:val="2"/>
              <w:szCs w:val="24"/>
              <w:lang w:eastAsia="es-CO"/>
              <w14:ligatures w14:val="standardContextual"/>
            </w:rPr>
          </w:pPr>
          <w:hyperlink w:anchor="_Toc175326769" w:history="1">
            <w:r w:rsidRPr="00BD1319">
              <w:rPr>
                <w:rStyle w:val="Hipervnculo"/>
                <w:noProof/>
              </w:rPr>
              <w:t>4.2.1</w:t>
            </w:r>
            <w:r w:rsidRPr="00BD1319">
              <w:rPr>
                <w:rFonts w:asciiTheme="minorHAnsi" w:eastAsiaTheme="minorEastAsia" w:hAnsiTheme="minorHAnsi" w:cstheme="minorBidi"/>
                <w:iCs w:val="0"/>
                <w:caps w:val="0"/>
                <w:noProof/>
                <w:kern w:val="2"/>
                <w:szCs w:val="24"/>
                <w:lang w:eastAsia="es-CO"/>
                <w14:ligatures w14:val="standardContextual"/>
              </w:rPr>
              <w:tab/>
            </w:r>
            <w:r w:rsidRPr="00BD1319">
              <w:rPr>
                <w:rStyle w:val="Hipervnculo"/>
                <w:noProof/>
              </w:rPr>
              <w:t>Ecosistemas</w:t>
            </w:r>
            <w:r w:rsidRPr="00BD1319">
              <w:rPr>
                <w:noProof/>
                <w:webHidden/>
              </w:rPr>
              <w:tab/>
            </w:r>
            <w:r w:rsidRPr="00BD1319">
              <w:rPr>
                <w:noProof/>
                <w:webHidden/>
              </w:rPr>
              <w:fldChar w:fldCharType="begin"/>
            </w:r>
            <w:r w:rsidRPr="00BD1319">
              <w:rPr>
                <w:noProof/>
                <w:webHidden/>
              </w:rPr>
              <w:instrText xml:space="preserve"> PAGEREF _Toc175326769 \h </w:instrText>
            </w:r>
            <w:r w:rsidRPr="00BD1319">
              <w:rPr>
                <w:noProof/>
                <w:webHidden/>
              </w:rPr>
            </w:r>
            <w:r w:rsidRPr="00BD1319">
              <w:rPr>
                <w:noProof/>
                <w:webHidden/>
              </w:rPr>
              <w:fldChar w:fldCharType="separate"/>
            </w:r>
            <w:r w:rsidRPr="00BD1319">
              <w:rPr>
                <w:noProof/>
                <w:webHidden/>
              </w:rPr>
              <w:t>257</w:t>
            </w:r>
            <w:r w:rsidRPr="00BD1319">
              <w:rPr>
                <w:noProof/>
                <w:webHidden/>
              </w:rPr>
              <w:fldChar w:fldCharType="end"/>
            </w:r>
          </w:hyperlink>
        </w:p>
        <w:p w14:paraId="5CE96FDA" w14:textId="278F469E" w:rsidR="00296654" w:rsidRPr="00BD1319" w:rsidRDefault="00296654">
          <w:pPr>
            <w:pStyle w:val="TDC3"/>
            <w:rPr>
              <w:rFonts w:asciiTheme="minorHAnsi" w:eastAsiaTheme="minorEastAsia" w:hAnsiTheme="minorHAnsi" w:cstheme="minorBidi"/>
              <w:iCs w:val="0"/>
              <w:caps w:val="0"/>
              <w:noProof/>
              <w:kern w:val="2"/>
              <w:szCs w:val="24"/>
              <w:lang w:eastAsia="es-CO"/>
              <w14:ligatures w14:val="standardContextual"/>
            </w:rPr>
          </w:pPr>
          <w:hyperlink w:anchor="_Toc175326770" w:history="1">
            <w:r w:rsidRPr="00BD1319">
              <w:rPr>
                <w:rStyle w:val="Hipervnculo"/>
                <w:noProof/>
              </w:rPr>
              <w:t>4.2.2</w:t>
            </w:r>
            <w:r w:rsidRPr="00BD1319">
              <w:rPr>
                <w:rFonts w:asciiTheme="minorHAnsi" w:eastAsiaTheme="minorEastAsia" w:hAnsiTheme="minorHAnsi" w:cstheme="minorBidi"/>
                <w:iCs w:val="0"/>
                <w:caps w:val="0"/>
                <w:noProof/>
                <w:kern w:val="2"/>
                <w:szCs w:val="24"/>
                <w:lang w:eastAsia="es-CO"/>
                <w14:ligatures w14:val="standardContextual"/>
              </w:rPr>
              <w:tab/>
            </w:r>
            <w:r w:rsidRPr="00BD1319">
              <w:rPr>
                <w:rStyle w:val="Hipervnculo"/>
                <w:noProof/>
              </w:rPr>
              <w:t>Ecosistemas terrestres</w:t>
            </w:r>
            <w:r w:rsidRPr="00BD1319">
              <w:rPr>
                <w:noProof/>
                <w:webHidden/>
              </w:rPr>
              <w:tab/>
            </w:r>
            <w:r w:rsidRPr="00BD1319">
              <w:rPr>
                <w:noProof/>
                <w:webHidden/>
              </w:rPr>
              <w:fldChar w:fldCharType="begin"/>
            </w:r>
            <w:r w:rsidRPr="00BD1319">
              <w:rPr>
                <w:noProof/>
                <w:webHidden/>
              </w:rPr>
              <w:instrText xml:space="preserve"> PAGEREF _Toc175326770 \h </w:instrText>
            </w:r>
            <w:r w:rsidRPr="00BD1319">
              <w:rPr>
                <w:noProof/>
                <w:webHidden/>
              </w:rPr>
            </w:r>
            <w:r w:rsidRPr="00BD1319">
              <w:rPr>
                <w:noProof/>
                <w:webHidden/>
              </w:rPr>
              <w:fldChar w:fldCharType="separate"/>
            </w:r>
            <w:r w:rsidRPr="00BD1319">
              <w:rPr>
                <w:noProof/>
                <w:webHidden/>
              </w:rPr>
              <w:t>258</w:t>
            </w:r>
            <w:r w:rsidRPr="00BD1319">
              <w:rPr>
                <w:noProof/>
                <w:webHidden/>
              </w:rPr>
              <w:fldChar w:fldCharType="end"/>
            </w:r>
          </w:hyperlink>
        </w:p>
        <w:p w14:paraId="0274EFA4" w14:textId="60F528AD" w:rsidR="00296654" w:rsidRPr="00BD1319" w:rsidRDefault="00296654">
          <w:pPr>
            <w:pStyle w:val="TDC3"/>
            <w:rPr>
              <w:rFonts w:asciiTheme="minorHAnsi" w:eastAsiaTheme="minorEastAsia" w:hAnsiTheme="minorHAnsi" w:cstheme="minorBidi"/>
              <w:iCs w:val="0"/>
              <w:caps w:val="0"/>
              <w:noProof/>
              <w:kern w:val="2"/>
              <w:szCs w:val="24"/>
              <w:lang w:eastAsia="es-CO"/>
              <w14:ligatures w14:val="standardContextual"/>
            </w:rPr>
          </w:pPr>
          <w:hyperlink w:anchor="_Toc175326771" w:history="1">
            <w:r w:rsidRPr="00BD1319">
              <w:rPr>
                <w:rStyle w:val="Hipervnculo"/>
                <w:noProof/>
              </w:rPr>
              <w:t>4.2.3</w:t>
            </w:r>
            <w:r w:rsidRPr="00BD1319">
              <w:rPr>
                <w:rFonts w:asciiTheme="minorHAnsi" w:eastAsiaTheme="minorEastAsia" w:hAnsiTheme="minorHAnsi" w:cstheme="minorBidi"/>
                <w:iCs w:val="0"/>
                <w:caps w:val="0"/>
                <w:noProof/>
                <w:kern w:val="2"/>
                <w:szCs w:val="24"/>
                <w:lang w:eastAsia="es-CO"/>
                <w14:ligatures w14:val="standardContextual"/>
              </w:rPr>
              <w:tab/>
            </w:r>
            <w:r w:rsidRPr="00BD1319">
              <w:rPr>
                <w:rStyle w:val="Hipervnculo"/>
                <w:noProof/>
              </w:rPr>
              <w:t>Ecosistemas acuáticos continentales y marino-costeros</w:t>
            </w:r>
            <w:r w:rsidRPr="00BD1319">
              <w:rPr>
                <w:noProof/>
                <w:webHidden/>
              </w:rPr>
              <w:tab/>
            </w:r>
            <w:r w:rsidRPr="00BD1319">
              <w:rPr>
                <w:noProof/>
                <w:webHidden/>
              </w:rPr>
              <w:fldChar w:fldCharType="begin"/>
            </w:r>
            <w:r w:rsidRPr="00BD1319">
              <w:rPr>
                <w:noProof/>
                <w:webHidden/>
              </w:rPr>
              <w:instrText xml:space="preserve"> PAGEREF _Toc175326771 \h </w:instrText>
            </w:r>
            <w:r w:rsidRPr="00BD1319">
              <w:rPr>
                <w:noProof/>
                <w:webHidden/>
              </w:rPr>
            </w:r>
            <w:r w:rsidRPr="00BD1319">
              <w:rPr>
                <w:noProof/>
                <w:webHidden/>
              </w:rPr>
              <w:fldChar w:fldCharType="separate"/>
            </w:r>
            <w:r w:rsidRPr="00BD1319">
              <w:rPr>
                <w:noProof/>
                <w:webHidden/>
              </w:rPr>
              <w:t>292</w:t>
            </w:r>
            <w:r w:rsidRPr="00BD1319">
              <w:rPr>
                <w:noProof/>
                <w:webHidden/>
              </w:rPr>
              <w:fldChar w:fldCharType="end"/>
            </w:r>
          </w:hyperlink>
        </w:p>
        <w:p w14:paraId="5B1A1A34" w14:textId="240465A1" w:rsidR="00296654" w:rsidRPr="00BD1319" w:rsidRDefault="00296654">
          <w:pPr>
            <w:pStyle w:val="TDC3"/>
            <w:rPr>
              <w:rFonts w:asciiTheme="minorHAnsi" w:eastAsiaTheme="minorEastAsia" w:hAnsiTheme="minorHAnsi" w:cstheme="minorBidi"/>
              <w:iCs w:val="0"/>
              <w:caps w:val="0"/>
              <w:noProof/>
              <w:kern w:val="2"/>
              <w:szCs w:val="24"/>
              <w:lang w:eastAsia="es-CO"/>
              <w14:ligatures w14:val="standardContextual"/>
            </w:rPr>
          </w:pPr>
          <w:hyperlink w:anchor="_Toc175326772" w:history="1">
            <w:r w:rsidRPr="00BD1319">
              <w:rPr>
                <w:rStyle w:val="Hipervnculo"/>
                <w:noProof/>
              </w:rPr>
              <w:t>4.2.4</w:t>
            </w:r>
            <w:r w:rsidRPr="00BD1319">
              <w:rPr>
                <w:rFonts w:asciiTheme="minorHAnsi" w:eastAsiaTheme="minorEastAsia" w:hAnsiTheme="minorHAnsi" w:cstheme="minorBidi"/>
                <w:iCs w:val="0"/>
                <w:caps w:val="0"/>
                <w:noProof/>
                <w:kern w:val="2"/>
                <w:szCs w:val="24"/>
                <w:lang w:eastAsia="es-CO"/>
                <w14:ligatures w14:val="standardContextual"/>
              </w:rPr>
              <w:tab/>
            </w:r>
            <w:r w:rsidRPr="00BD1319">
              <w:rPr>
                <w:rStyle w:val="Hipervnculo"/>
                <w:noProof/>
              </w:rPr>
              <w:t>Áreas Ambientales Estratégicas (AAE)</w:t>
            </w:r>
            <w:r w:rsidRPr="00BD1319">
              <w:rPr>
                <w:noProof/>
                <w:webHidden/>
              </w:rPr>
              <w:tab/>
            </w:r>
            <w:r w:rsidRPr="00BD1319">
              <w:rPr>
                <w:noProof/>
                <w:webHidden/>
              </w:rPr>
              <w:fldChar w:fldCharType="begin"/>
            </w:r>
            <w:r w:rsidRPr="00BD1319">
              <w:rPr>
                <w:noProof/>
                <w:webHidden/>
              </w:rPr>
              <w:instrText xml:space="preserve"> PAGEREF _Toc175326772 \h </w:instrText>
            </w:r>
            <w:r w:rsidRPr="00BD1319">
              <w:rPr>
                <w:noProof/>
                <w:webHidden/>
              </w:rPr>
            </w:r>
            <w:r w:rsidRPr="00BD1319">
              <w:rPr>
                <w:noProof/>
                <w:webHidden/>
              </w:rPr>
              <w:fldChar w:fldCharType="separate"/>
            </w:r>
            <w:r w:rsidRPr="00BD1319">
              <w:rPr>
                <w:noProof/>
                <w:webHidden/>
              </w:rPr>
              <w:t>301</w:t>
            </w:r>
            <w:r w:rsidRPr="00BD1319">
              <w:rPr>
                <w:noProof/>
                <w:webHidden/>
              </w:rPr>
              <w:fldChar w:fldCharType="end"/>
            </w:r>
          </w:hyperlink>
        </w:p>
        <w:p w14:paraId="136C1C81" w14:textId="6165D394" w:rsidR="00296654" w:rsidRPr="00BD1319" w:rsidRDefault="00296654">
          <w:pPr>
            <w:pStyle w:val="TDC2"/>
            <w:rPr>
              <w:rFonts w:asciiTheme="minorHAnsi" w:eastAsiaTheme="minorEastAsia" w:hAnsiTheme="minorHAnsi" w:cstheme="minorBidi"/>
              <w:b w:val="0"/>
              <w:caps w:val="0"/>
              <w:noProof/>
              <w:kern w:val="2"/>
              <w:szCs w:val="24"/>
              <w:lang w:eastAsia="es-CO"/>
              <w14:ligatures w14:val="standardContextual"/>
            </w:rPr>
          </w:pPr>
          <w:hyperlink w:anchor="_Toc175326773" w:history="1">
            <w:r w:rsidRPr="00BD1319">
              <w:rPr>
                <w:rStyle w:val="Hipervnculo"/>
                <w:rFonts w:cs="Arial"/>
                <w:noProof/>
              </w:rPr>
              <w:t>4.3</w:t>
            </w:r>
            <w:r w:rsidRPr="00BD1319">
              <w:rPr>
                <w:rFonts w:asciiTheme="minorHAnsi" w:eastAsiaTheme="minorEastAsia" w:hAnsiTheme="minorHAnsi" w:cstheme="minorBidi"/>
                <w:b w:val="0"/>
                <w:caps w:val="0"/>
                <w:noProof/>
                <w:kern w:val="2"/>
                <w:szCs w:val="24"/>
                <w:lang w:eastAsia="es-CO"/>
                <w14:ligatures w14:val="standardContextual"/>
              </w:rPr>
              <w:tab/>
            </w:r>
            <w:r w:rsidRPr="00BD1319">
              <w:rPr>
                <w:rStyle w:val="Hipervnculo"/>
                <w:noProof/>
              </w:rPr>
              <w:t>MEDIO SOCIOECONÓMICO</w:t>
            </w:r>
            <w:r w:rsidRPr="00BD1319">
              <w:rPr>
                <w:noProof/>
                <w:webHidden/>
              </w:rPr>
              <w:tab/>
            </w:r>
            <w:r w:rsidRPr="00BD1319">
              <w:rPr>
                <w:noProof/>
                <w:webHidden/>
              </w:rPr>
              <w:fldChar w:fldCharType="begin"/>
            </w:r>
            <w:r w:rsidRPr="00BD1319">
              <w:rPr>
                <w:noProof/>
                <w:webHidden/>
              </w:rPr>
              <w:instrText xml:space="preserve"> PAGEREF _Toc175326773 \h </w:instrText>
            </w:r>
            <w:r w:rsidRPr="00BD1319">
              <w:rPr>
                <w:noProof/>
                <w:webHidden/>
              </w:rPr>
            </w:r>
            <w:r w:rsidRPr="00BD1319">
              <w:rPr>
                <w:noProof/>
                <w:webHidden/>
              </w:rPr>
              <w:fldChar w:fldCharType="separate"/>
            </w:r>
            <w:r w:rsidRPr="00BD1319">
              <w:rPr>
                <w:noProof/>
                <w:webHidden/>
              </w:rPr>
              <w:t>304</w:t>
            </w:r>
            <w:r w:rsidRPr="00BD1319">
              <w:rPr>
                <w:noProof/>
                <w:webHidden/>
              </w:rPr>
              <w:fldChar w:fldCharType="end"/>
            </w:r>
          </w:hyperlink>
        </w:p>
        <w:p w14:paraId="358E42A7" w14:textId="3463CB5D" w:rsidR="00296654" w:rsidRPr="00BD1319" w:rsidRDefault="00296654">
          <w:pPr>
            <w:pStyle w:val="TDC3"/>
            <w:rPr>
              <w:rFonts w:asciiTheme="minorHAnsi" w:eastAsiaTheme="minorEastAsia" w:hAnsiTheme="minorHAnsi" w:cstheme="minorBidi"/>
              <w:iCs w:val="0"/>
              <w:caps w:val="0"/>
              <w:noProof/>
              <w:kern w:val="2"/>
              <w:szCs w:val="24"/>
              <w:lang w:eastAsia="es-CO"/>
              <w14:ligatures w14:val="standardContextual"/>
            </w:rPr>
          </w:pPr>
          <w:hyperlink w:anchor="_Toc175326774" w:history="1">
            <w:r w:rsidRPr="00BD1319">
              <w:rPr>
                <w:rStyle w:val="Hipervnculo"/>
                <w:noProof/>
              </w:rPr>
              <w:t>4.3.1</w:t>
            </w:r>
            <w:r w:rsidRPr="00BD1319">
              <w:rPr>
                <w:rFonts w:asciiTheme="minorHAnsi" w:eastAsiaTheme="minorEastAsia" w:hAnsiTheme="minorHAnsi" w:cstheme="minorBidi"/>
                <w:iCs w:val="0"/>
                <w:caps w:val="0"/>
                <w:noProof/>
                <w:kern w:val="2"/>
                <w:szCs w:val="24"/>
                <w:lang w:eastAsia="es-CO"/>
                <w14:ligatures w14:val="standardContextual"/>
              </w:rPr>
              <w:tab/>
            </w:r>
            <w:r w:rsidRPr="00BD1319">
              <w:rPr>
                <w:rStyle w:val="Hipervnculo"/>
                <w:noProof/>
              </w:rPr>
              <w:t>Información de contexto</w:t>
            </w:r>
            <w:r w:rsidRPr="00BD1319">
              <w:rPr>
                <w:noProof/>
                <w:webHidden/>
              </w:rPr>
              <w:tab/>
            </w:r>
            <w:r w:rsidRPr="00BD1319">
              <w:rPr>
                <w:noProof/>
                <w:webHidden/>
              </w:rPr>
              <w:fldChar w:fldCharType="begin"/>
            </w:r>
            <w:r w:rsidRPr="00BD1319">
              <w:rPr>
                <w:noProof/>
                <w:webHidden/>
              </w:rPr>
              <w:instrText xml:space="preserve"> PAGEREF _Toc175326774 \h </w:instrText>
            </w:r>
            <w:r w:rsidRPr="00BD1319">
              <w:rPr>
                <w:noProof/>
                <w:webHidden/>
              </w:rPr>
            </w:r>
            <w:r w:rsidRPr="00BD1319">
              <w:rPr>
                <w:noProof/>
                <w:webHidden/>
              </w:rPr>
              <w:fldChar w:fldCharType="separate"/>
            </w:r>
            <w:r w:rsidRPr="00BD1319">
              <w:rPr>
                <w:noProof/>
                <w:webHidden/>
              </w:rPr>
              <w:t>305</w:t>
            </w:r>
            <w:r w:rsidRPr="00BD1319">
              <w:rPr>
                <w:noProof/>
                <w:webHidden/>
              </w:rPr>
              <w:fldChar w:fldCharType="end"/>
            </w:r>
          </w:hyperlink>
        </w:p>
        <w:p w14:paraId="2D9FC694" w14:textId="112ADC71" w:rsidR="00296654" w:rsidRPr="00BD1319" w:rsidRDefault="00296654">
          <w:pPr>
            <w:pStyle w:val="TDC3"/>
            <w:rPr>
              <w:rFonts w:asciiTheme="minorHAnsi" w:eastAsiaTheme="minorEastAsia" w:hAnsiTheme="minorHAnsi" w:cstheme="minorBidi"/>
              <w:iCs w:val="0"/>
              <w:caps w:val="0"/>
              <w:noProof/>
              <w:kern w:val="2"/>
              <w:szCs w:val="24"/>
              <w:lang w:eastAsia="es-CO"/>
              <w14:ligatures w14:val="standardContextual"/>
            </w:rPr>
          </w:pPr>
          <w:hyperlink w:anchor="_Toc175326775" w:history="1">
            <w:r w:rsidRPr="00BD1319">
              <w:rPr>
                <w:rStyle w:val="Hipervnculo"/>
                <w:noProof/>
              </w:rPr>
              <w:t>4.3.2</w:t>
            </w:r>
            <w:r w:rsidRPr="00BD1319">
              <w:rPr>
                <w:rFonts w:asciiTheme="minorHAnsi" w:eastAsiaTheme="minorEastAsia" w:hAnsiTheme="minorHAnsi" w:cstheme="minorBidi"/>
                <w:iCs w:val="0"/>
                <w:caps w:val="0"/>
                <w:noProof/>
                <w:kern w:val="2"/>
                <w:szCs w:val="24"/>
                <w:lang w:eastAsia="es-CO"/>
                <w14:ligatures w14:val="standardContextual"/>
              </w:rPr>
              <w:tab/>
            </w:r>
            <w:r w:rsidRPr="00BD1319">
              <w:rPr>
                <w:rStyle w:val="Hipervnculo"/>
                <w:noProof/>
              </w:rPr>
              <w:t>Caracterización del área de influencia del medio socioeconómico</w:t>
            </w:r>
            <w:r w:rsidRPr="00BD1319">
              <w:rPr>
                <w:noProof/>
                <w:webHidden/>
              </w:rPr>
              <w:tab/>
            </w:r>
            <w:r w:rsidRPr="00BD1319">
              <w:rPr>
                <w:noProof/>
                <w:webHidden/>
              </w:rPr>
              <w:fldChar w:fldCharType="begin"/>
            </w:r>
            <w:r w:rsidRPr="00BD1319">
              <w:rPr>
                <w:noProof/>
                <w:webHidden/>
              </w:rPr>
              <w:instrText xml:space="preserve"> PAGEREF _Toc175326775 \h </w:instrText>
            </w:r>
            <w:r w:rsidRPr="00BD1319">
              <w:rPr>
                <w:noProof/>
                <w:webHidden/>
              </w:rPr>
            </w:r>
            <w:r w:rsidRPr="00BD1319">
              <w:rPr>
                <w:noProof/>
                <w:webHidden/>
              </w:rPr>
              <w:fldChar w:fldCharType="separate"/>
            </w:r>
            <w:r w:rsidRPr="00BD1319">
              <w:rPr>
                <w:noProof/>
                <w:webHidden/>
              </w:rPr>
              <w:t>307</w:t>
            </w:r>
            <w:r w:rsidRPr="00BD1319">
              <w:rPr>
                <w:noProof/>
                <w:webHidden/>
              </w:rPr>
              <w:fldChar w:fldCharType="end"/>
            </w:r>
          </w:hyperlink>
        </w:p>
        <w:p w14:paraId="6591E14C" w14:textId="5D4C43F2" w:rsidR="00296654" w:rsidRPr="00BD1319" w:rsidRDefault="00296654">
          <w:pPr>
            <w:pStyle w:val="TDC2"/>
            <w:rPr>
              <w:rFonts w:asciiTheme="minorHAnsi" w:eastAsiaTheme="minorEastAsia" w:hAnsiTheme="minorHAnsi" w:cstheme="minorBidi"/>
              <w:b w:val="0"/>
              <w:caps w:val="0"/>
              <w:noProof/>
              <w:kern w:val="2"/>
              <w:szCs w:val="24"/>
              <w:lang w:eastAsia="es-CO"/>
              <w14:ligatures w14:val="standardContextual"/>
            </w:rPr>
          </w:pPr>
          <w:hyperlink w:anchor="_Toc175326776" w:history="1">
            <w:r w:rsidRPr="00BD1319">
              <w:rPr>
                <w:rStyle w:val="Hipervnculo"/>
                <w:rFonts w:cs="Arial"/>
                <w:noProof/>
              </w:rPr>
              <w:t>4.4</w:t>
            </w:r>
            <w:r w:rsidRPr="00BD1319">
              <w:rPr>
                <w:rFonts w:asciiTheme="minorHAnsi" w:eastAsiaTheme="minorEastAsia" w:hAnsiTheme="minorHAnsi" w:cstheme="minorBidi"/>
                <w:b w:val="0"/>
                <w:caps w:val="0"/>
                <w:noProof/>
                <w:kern w:val="2"/>
                <w:szCs w:val="24"/>
                <w:lang w:eastAsia="es-CO"/>
                <w14:ligatures w14:val="standardContextual"/>
              </w:rPr>
              <w:tab/>
            </w:r>
            <w:r w:rsidRPr="00BD1319">
              <w:rPr>
                <w:rStyle w:val="Hipervnculo"/>
                <w:noProof/>
              </w:rPr>
              <w:t>SERVICIOS ECOSISTÉMICOS</w:t>
            </w:r>
            <w:r w:rsidRPr="00BD1319">
              <w:rPr>
                <w:noProof/>
                <w:webHidden/>
              </w:rPr>
              <w:tab/>
            </w:r>
            <w:r w:rsidRPr="00BD1319">
              <w:rPr>
                <w:noProof/>
                <w:webHidden/>
              </w:rPr>
              <w:fldChar w:fldCharType="begin"/>
            </w:r>
            <w:r w:rsidRPr="00BD1319">
              <w:rPr>
                <w:noProof/>
                <w:webHidden/>
              </w:rPr>
              <w:instrText xml:space="preserve"> PAGEREF _Toc175326776 \h </w:instrText>
            </w:r>
            <w:r w:rsidRPr="00BD1319">
              <w:rPr>
                <w:noProof/>
                <w:webHidden/>
              </w:rPr>
            </w:r>
            <w:r w:rsidRPr="00BD1319">
              <w:rPr>
                <w:noProof/>
                <w:webHidden/>
              </w:rPr>
              <w:fldChar w:fldCharType="separate"/>
            </w:r>
            <w:r w:rsidRPr="00BD1319">
              <w:rPr>
                <w:noProof/>
                <w:webHidden/>
              </w:rPr>
              <w:t>324</w:t>
            </w:r>
            <w:r w:rsidRPr="00BD1319">
              <w:rPr>
                <w:noProof/>
                <w:webHidden/>
              </w:rPr>
              <w:fldChar w:fldCharType="end"/>
            </w:r>
          </w:hyperlink>
        </w:p>
        <w:p w14:paraId="287D1008" w14:textId="664114C3" w:rsidR="00296654" w:rsidRPr="00BD1319" w:rsidRDefault="00296654">
          <w:pPr>
            <w:pStyle w:val="TDC3"/>
            <w:rPr>
              <w:rFonts w:asciiTheme="minorHAnsi" w:eastAsiaTheme="minorEastAsia" w:hAnsiTheme="minorHAnsi" w:cstheme="minorBidi"/>
              <w:iCs w:val="0"/>
              <w:caps w:val="0"/>
              <w:noProof/>
              <w:kern w:val="2"/>
              <w:szCs w:val="24"/>
              <w:lang w:eastAsia="es-CO"/>
              <w14:ligatures w14:val="standardContextual"/>
            </w:rPr>
          </w:pPr>
          <w:hyperlink w:anchor="_Toc175326777" w:history="1">
            <w:r w:rsidRPr="00BD1319">
              <w:rPr>
                <w:rStyle w:val="Hipervnculo"/>
                <w:noProof/>
              </w:rPr>
              <w:t>4.4.1</w:t>
            </w:r>
            <w:r w:rsidRPr="00BD1319">
              <w:rPr>
                <w:rFonts w:asciiTheme="minorHAnsi" w:eastAsiaTheme="minorEastAsia" w:hAnsiTheme="minorHAnsi" w:cstheme="minorBidi"/>
                <w:iCs w:val="0"/>
                <w:caps w:val="0"/>
                <w:noProof/>
                <w:kern w:val="2"/>
                <w:szCs w:val="24"/>
                <w:lang w:eastAsia="es-CO"/>
                <w14:ligatures w14:val="standardContextual"/>
              </w:rPr>
              <w:tab/>
            </w:r>
            <w:r w:rsidRPr="00BD1319">
              <w:rPr>
                <w:rStyle w:val="Hipervnculo"/>
                <w:noProof/>
              </w:rPr>
              <w:t>Procedimiento general para caracterizar los SE</w:t>
            </w:r>
            <w:r w:rsidRPr="00BD1319">
              <w:rPr>
                <w:noProof/>
                <w:webHidden/>
              </w:rPr>
              <w:tab/>
            </w:r>
            <w:r w:rsidRPr="00BD1319">
              <w:rPr>
                <w:noProof/>
                <w:webHidden/>
              </w:rPr>
              <w:fldChar w:fldCharType="begin"/>
            </w:r>
            <w:r w:rsidRPr="00BD1319">
              <w:rPr>
                <w:noProof/>
                <w:webHidden/>
              </w:rPr>
              <w:instrText xml:space="preserve"> PAGEREF _Toc175326777 \h </w:instrText>
            </w:r>
            <w:r w:rsidRPr="00BD1319">
              <w:rPr>
                <w:noProof/>
                <w:webHidden/>
              </w:rPr>
            </w:r>
            <w:r w:rsidRPr="00BD1319">
              <w:rPr>
                <w:noProof/>
                <w:webHidden/>
              </w:rPr>
              <w:fldChar w:fldCharType="separate"/>
            </w:r>
            <w:r w:rsidRPr="00BD1319">
              <w:rPr>
                <w:noProof/>
                <w:webHidden/>
              </w:rPr>
              <w:t>326</w:t>
            </w:r>
            <w:r w:rsidRPr="00BD1319">
              <w:rPr>
                <w:noProof/>
                <w:webHidden/>
              </w:rPr>
              <w:fldChar w:fldCharType="end"/>
            </w:r>
          </w:hyperlink>
        </w:p>
        <w:p w14:paraId="60DCBA34" w14:textId="5067412B" w:rsidR="00296654" w:rsidRPr="00BD1319" w:rsidRDefault="00296654">
          <w:pPr>
            <w:pStyle w:val="TDC3"/>
            <w:rPr>
              <w:rFonts w:asciiTheme="minorHAnsi" w:eastAsiaTheme="minorEastAsia" w:hAnsiTheme="minorHAnsi" w:cstheme="minorBidi"/>
              <w:iCs w:val="0"/>
              <w:caps w:val="0"/>
              <w:noProof/>
              <w:kern w:val="2"/>
              <w:szCs w:val="24"/>
              <w:lang w:eastAsia="es-CO"/>
              <w14:ligatures w14:val="standardContextual"/>
            </w:rPr>
          </w:pPr>
          <w:hyperlink w:anchor="_Toc175326778" w:history="1">
            <w:r w:rsidRPr="00BD1319">
              <w:rPr>
                <w:rStyle w:val="Hipervnculo"/>
                <w:noProof/>
              </w:rPr>
              <w:t>4.4.2</w:t>
            </w:r>
            <w:r w:rsidRPr="00BD1319">
              <w:rPr>
                <w:rFonts w:asciiTheme="minorHAnsi" w:eastAsiaTheme="minorEastAsia" w:hAnsiTheme="minorHAnsi" w:cstheme="minorBidi"/>
                <w:iCs w:val="0"/>
                <w:caps w:val="0"/>
                <w:noProof/>
                <w:kern w:val="2"/>
                <w:szCs w:val="24"/>
                <w:lang w:eastAsia="es-CO"/>
                <w14:ligatures w14:val="standardContextual"/>
              </w:rPr>
              <w:tab/>
            </w:r>
            <w:r w:rsidRPr="00BD1319">
              <w:rPr>
                <w:rStyle w:val="Hipervnculo"/>
                <w:noProof/>
              </w:rPr>
              <w:t>Lineamientos generales para la caracterización de los SE asociados al suelo</w:t>
            </w:r>
            <w:r w:rsidRPr="00BD1319">
              <w:rPr>
                <w:noProof/>
                <w:webHidden/>
              </w:rPr>
              <w:tab/>
            </w:r>
            <w:r w:rsidRPr="00BD1319">
              <w:rPr>
                <w:noProof/>
                <w:webHidden/>
              </w:rPr>
              <w:fldChar w:fldCharType="begin"/>
            </w:r>
            <w:r w:rsidRPr="00BD1319">
              <w:rPr>
                <w:noProof/>
                <w:webHidden/>
              </w:rPr>
              <w:instrText xml:space="preserve"> PAGEREF _Toc175326778 \h </w:instrText>
            </w:r>
            <w:r w:rsidRPr="00BD1319">
              <w:rPr>
                <w:noProof/>
                <w:webHidden/>
              </w:rPr>
            </w:r>
            <w:r w:rsidRPr="00BD1319">
              <w:rPr>
                <w:noProof/>
                <w:webHidden/>
              </w:rPr>
              <w:fldChar w:fldCharType="separate"/>
            </w:r>
            <w:r w:rsidRPr="00BD1319">
              <w:rPr>
                <w:noProof/>
                <w:webHidden/>
              </w:rPr>
              <w:t>329</w:t>
            </w:r>
            <w:r w:rsidRPr="00BD1319">
              <w:rPr>
                <w:noProof/>
                <w:webHidden/>
              </w:rPr>
              <w:fldChar w:fldCharType="end"/>
            </w:r>
          </w:hyperlink>
        </w:p>
        <w:p w14:paraId="0EE038AE" w14:textId="163A38D6" w:rsidR="00296654" w:rsidRPr="00BD1319" w:rsidRDefault="00296654">
          <w:pPr>
            <w:pStyle w:val="TDC3"/>
            <w:rPr>
              <w:rFonts w:asciiTheme="minorHAnsi" w:eastAsiaTheme="minorEastAsia" w:hAnsiTheme="minorHAnsi" w:cstheme="minorBidi"/>
              <w:iCs w:val="0"/>
              <w:caps w:val="0"/>
              <w:noProof/>
              <w:kern w:val="2"/>
              <w:szCs w:val="24"/>
              <w:lang w:eastAsia="es-CO"/>
              <w14:ligatures w14:val="standardContextual"/>
            </w:rPr>
          </w:pPr>
          <w:hyperlink w:anchor="_Toc175326779" w:history="1">
            <w:r w:rsidRPr="00BD1319">
              <w:rPr>
                <w:rStyle w:val="Hipervnculo"/>
                <w:noProof/>
              </w:rPr>
              <w:t>4.4.3</w:t>
            </w:r>
            <w:r w:rsidRPr="00BD1319">
              <w:rPr>
                <w:rFonts w:asciiTheme="minorHAnsi" w:eastAsiaTheme="minorEastAsia" w:hAnsiTheme="minorHAnsi" w:cstheme="minorBidi"/>
                <w:iCs w:val="0"/>
                <w:caps w:val="0"/>
                <w:noProof/>
                <w:kern w:val="2"/>
                <w:szCs w:val="24"/>
                <w:lang w:eastAsia="es-CO"/>
                <w14:ligatures w14:val="standardContextual"/>
              </w:rPr>
              <w:tab/>
            </w:r>
            <w:r w:rsidRPr="00BD1319">
              <w:rPr>
                <w:rStyle w:val="Hipervnculo"/>
                <w:noProof/>
              </w:rPr>
              <w:t>Información de los SE a presentar</w:t>
            </w:r>
            <w:r w:rsidRPr="00BD1319">
              <w:rPr>
                <w:noProof/>
                <w:webHidden/>
              </w:rPr>
              <w:tab/>
            </w:r>
            <w:r w:rsidRPr="00BD1319">
              <w:rPr>
                <w:noProof/>
                <w:webHidden/>
              </w:rPr>
              <w:fldChar w:fldCharType="begin"/>
            </w:r>
            <w:r w:rsidRPr="00BD1319">
              <w:rPr>
                <w:noProof/>
                <w:webHidden/>
              </w:rPr>
              <w:instrText xml:space="preserve"> PAGEREF _Toc175326779 \h </w:instrText>
            </w:r>
            <w:r w:rsidRPr="00BD1319">
              <w:rPr>
                <w:noProof/>
                <w:webHidden/>
              </w:rPr>
            </w:r>
            <w:r w:rsidRPr="00BD1319">
              <w:rPr>
                <w:noProof/>
                <w:webHidden/>
              </w:rPr>
              <w:fldChar w:fldCharType="separate"/>
            </w:r>
            <w:r w:rsidRPr="00BD1319">
              <w:rPr>
                <w:noProof/>
                <w:webHidden/>
              </w:rPr>
              <w:t>330</w:t>
            </w:r>
            <w:r w:rsidRPr="00BD1319">
              <w:rPr>
                <w:noProof/>
                <w:webHidden/>
              </w:rPr>
              <w:fldChar w:fldCharType="end"/>
            </w:r>
          </w:hyperlink>
        </w:p>
        <w:p w14:paraId="4AEB323E" w14:textId="78F1AF5E" w:rsidR="00296654" w:rsidRPr="00BD1319" w:rsidRDefault="00296654">
          <w:pPr>
            <w:pStyle w:val="TDC2"/>
            <w:rPr>
              <w:rFonts w:asciiTheme="minorHAnsi" w:eastAsiaTheme="minorEastAsia" w:hAnsiTheme="minorHAnsi" w:cstheme="minorBidi"/>
              <w:b w:val="0"/>
              <w:caps w:val="0"/>
              <w:noProof/>
              <w:kern w:val="2"/>
              <w:szCs w:val="24"/>
              <w:lang w:eastAsia="es-CO"/>
              <w14:ligatures w14:val="standardContextual"/>
            </w:rPr>
          </w:pPr>
          <w:hyperlink w:anchor="_Toc175326780" w:history="1">
            <w:r w:rsidRPr="00BD1319">
              <w:rPr>
                <w:rStyle w:val="Hipervnculo"/>
                <w:rFonts w:cs="Arial"/>
                <w:noProof/>
              </w:rPr>
              <w:t>4.5</w:t>
            </w:r>
            <w:r w:rsidRPr="00BD1319">
              <w:rPr>
                <w:rFonts w:asciiTheme="minorHAnsi" w:eastAsiaTheme="minorEastAsia" w:hAnsiTheme="minorHAnsi" w:cstheme="minorBidi"/>
                <w:b w:val="0"/>
                <w:caps w:val="0"/>
                <w:noProof/>
                <w:kern w:val="2"/>
                <w:szCs w:val="24"/>
                <w:lang w:eastAsia="es-CO"/>
                <w14:ligatures w14:val="standardContextual"/>
              </w:rPr>
              <w:tab/>
            </w:r>
            <w:r w:rsidRPr="00BD1319">
              <w:rPr>
                <w:rStyle w:val="Hipervnculo"/>
                <w:noProof/>
              </w:rPr>
              <w:t>PAISAJE</w:t>
            </w:r>
            <w:r w:rsidRPr="00BD1319">
              <w:rPr>
                <w:noProof/>
                <w:webHidden/>
              </w:rPr>
              <w:tab/>
            </w:r>
            <w:r w:rsidRPr="00BD1319">
              <w:rPr>
                <w:noProof/>
                <w:webHidden/>
              </w:rPr>
              <w:fldChar w:fldCharType="begin"/>
            </w:r>
            <w:r w:rsidRPr="00BD1319">
              <w:rPr>
                <w:noProof/>
                <w:webHidden/>
              </w:rPr>
              <w:instrText xml:space="preserve"> PAGEREF _Toc175326780 \h </w:instrText>
            </w:r>
            <w:r w:rsidRPr="00BD1319">
              <w:rPr>
                <w:noProof/>
                <w:webHidden/>
              </w:rPr>
            </w:r>
            <w:r w:rsidRPr="00BD1319">
              <w:rPr>
                <w:noProof/>
                <w:webHidden/>
              </w:rPr>
              <w:fldChar w:fldCharType="separate"/>
            </w:r>
            <w:r w:rsidRPr="00BD1319">
              <w:rPr>
                <w:noProof/>
                <w:webHidden/>
              </w:rPr>
              <w:t>337</w:t>
            </w:r>
            <w:r w:rsidRPr="00BD1319">
              <w:rPr>
                <w:noProof/>
                <w:webHidden/>
              </w:rPr>
              <w:fldChar w:fldCharType="end"/>
            </w:r>
          </w:hyperlink>
        </w:p>
        <w:p w14:paraId="3BF355DB" w14:textId="3A89A102" w:rsidR="00296654" w:rsidRPr="00BD1319" w:rsidRDefault="00296654">
          <w:pPr>
            <w:pStyle w:val="TDC1"/>
            <w:rPr>
              <w:rFonts w:asciiTheme="minorHAnsi" w:eastAsiaTheme="minorEastAsia" w:hAnsiTheme="minorHAnsi" w:cstheme="minorBidi"/>
              <w:b w:val="0"/>
              <w:bCs w:val="0"/>
              <w:caps w:val="0"/>
              <w:kern w:val="2"/>
              <w:lang w:eastAsia="es-CO"/>
              <w14:ligatures w14:val="standardContextual"/>
            </w:rPr>
          </w:pPr>
          <w:hyperlink w:anchor="_Toc175326781" w:history="1">
            <w:r w:rsidRPr="00BD1319">
              <w:rPr>
                <w:rStyle w:val="Hipervnculo"/>
              </w:rPr>
              <w:t>5.</w:t>
            </w:r>
            <w:r w:rsidRPr="00BD1319">
              <w:rPr>
                <w:rFonts w:asciiTheme="minorHAnsi" w:eastAsiaTheme="minorEastAsia" w:hAnsiTheme="minorHAnsi" w:cstheme="minorBidi"/>
                <w:b w:val="0"/>
                <w:bCs w:val="0"/>
                <w:caps w:val="0"/>
                <w:kern w:val="2"/>
                <w:lang w:eastAsia="es-CO"/>
                <w14:ligatures w14:val="standardContextual"/>
              </w:rPr>
              <w:tab/>
            </w:r>
            <w:r w:rsidRPr="00BD1319">
              <w:rPr>
                <w:rStyle w:val="Hipervnculo"/>
              </w:rPr>
              <w:t>ZONIFICACIÓN AMBIENTAL</w:t>
            </w:r>
            <w:r w:rsidRPr="00BD1319">
              <w:rPr>
                <w:webHidden/>
              </w:rPr>
              <w:tab/>
            </w:r>
            <w:r w:rsidRPr="00BD1319">
              <w:rPr>
                <w:webHidden/>
              </w:rPr>
              <w:fldChar w:fldCharType="begin"/>
            </w:r>
            <w:r w:rsidRPr="00BD1319">
              <w:rPr>
                <w:webHidden/>
              </w:rPr>
              <w:instrText xml:space="preserve"> PAGEREF _Toc175326781 \h </w:instrText>
            </w:r>
            <w:r w:rsidRPr="00BD1319">
              <w:rPr>
                <w:webHidden/>
              </w:rPr>
            </w:r>
            <w:r w:rsidRPr="00BD1319">
              <w:rPr>
                <w:webHidden/>
              </w:rPr>
              <w:fldChar w:fldCharType="separate"/>
            </w:r>
            <w:r w:rsidRPr="00BD1319">
              <w:rPr>
                <w:webHidden/>
              </w:rPr>
              <w:t>340</w:t>
            </w:r>
            <w:r w:rsidRPr="00BD1319">
              <w:rPr>
                <w:webHidden/>
              </w:rPr>
              <w:fldChar w:fldCharType="end"/>
            </w:r>
          </w:hyperlink>
        </w:p>
        <w:p w14:paraId="01318A87" w14:textId="33B99010" w:rsidR="00296654" w:rsidRPr="00BD1319" w:rsidRDefault="00296654">
          <w:pPr>
            <w:pStyle w:val="TDC1"/>
            <w:rPr>
              <w:rFonts w:asciiTheme="minorHAnsi" w:eastAsiaTheme="minorEastAsia" w:hAnsiTheme="minorHAnsi" w:cstheme="minorBidi"/>
              <w:b w:val="0"/>
              <w:bCs w:val="0"/>
              <w:caps w:val="0"/>
              <w:kern w:val="2"/>
              <w:lang w:eastAsia="es-CO"/>
              <w14:ligatures w14:val="standardContextual"/>
            </w:rPr>
          </w:pPr>
          <w:hyperlink w:anchor="_Toc175326782" w:history="1">
            <w:r w:rsidRPr="00BD1319">
              <w:rPr>
                <w:rStyle w:val="Hipervnculo"/>
              </w:rPr>
              <w:t>6.</w:t>
            </w:r>
            <w:r w:rsidRPr="00BD1319">
              <w:rPr>
                <w:rFonts w:asciiTheme="minorHAnsi" w:eastAsiaTheme="minorEastAsia" w:hAnsiTheme="minorHAnsi" w:cstheme="minorBidi"/>
                <w:b w:val="0"/>
                <w:bCs w:val="0"/>
                <w:caps w:val="0"/>
                <w:kern w:val="2"/>
                <w:lang w:eastAsia="es-CO"/>
                <w14:ligatures w14:val="standardContextual"/>
              </w:rPr>
              <w:tab/>
            </w:r>
            <w:r w:rsidRPr="00BD1319">
              <w:rPr>
                <w:rStyle w:val="Hipervnculo"/>
              </w:rPr>
              <w:t>DEMANDA, USO, APROVECHAMIENTO Y AFECTACIÓN DE RECURSOS NATURALES</w:t>
            </w:r>
            <w:r w:rsidRPr="00BD1319">
              <w:rPr>
                <w:webHidden/>
              </w:rPr>
              <w:tab/>
            </w:r>
            <w:r w:rsidRPr="00BD1319">
              <w:rPr>
                <w:webHidden/>
              </w:rPr>
              <w:fldChar w:fldCharType="begin"/>
            </w:r>
            <w:r w:rsidRPr="00BD1319">
              <w:rPr>
                <w:webHidden/>
              </w:rPr>
              <w:instrText xml:space="preserve"> PAGEREF _Toc175326782 \h </w:instrText>
            </w:r>
            <w:r w:rsidRPr="00BD1319">
              <w:rPr>
                <w:webHidden/>
              </w:rPr>
            </w:r>
            <w:r w:rsidRPr="00BD1319">
              <w:rPr>
                <w:webHidden/>
              </w:rPr>
              <w:fldChar w:fldCharType="separate"/>
            </w:r>
            <w:r w:rsidRPr="00BD1319">
              <w:rPr>
                <w:webHidden/>
              </w:rPr>
              <w:t>345</w:t>
            </w:r>
            <w:r w:rsidRPr="00BD1319">
              <w:rPr>
                <w:webHidden/>
              </w:rPr>
              <w:fldChar w:fldCharType="end"/>
            </w:r>
          </w:hyperlink>
        </w:p>
        <w:p w14:paraId="649C19F5" w14:textId="46EDFBBB" w:rsidR="00296654" w:rsidRPr="00BD1319" w:rsidRDefault="00296654">
          <w:pPr>
            <w:pStyle w:val="TDC2"/>
            <w:rPr>
              <w:rFonts w:asciiTheme="minorHAnsi" w:eastAsiaTheme="minorEastAsia" w:hAnsiTheme="minorHAnsi" w:cstheme="minorBidi"/>
              <w:b w:val="0"/>
              <w:caps w:val="0"/>
              <w:noProof/>
              <w:kern w:val="2"/>
              <w:szCs w:val="24"/>
              <w:lang w:eastAsia="es-CO"/>
              <w14:ligatures w14:val="standardContextual"/>
            </w:rPr>
          </w:pPr>
          <w:hyperlink w:anchor="_Toc175326783" w:history="1">
            <w:r w:rsidRPr="00BD1319">
              <w:rPr>
                <w:rStyle w:val="Hipervnculo"/>
                <w:rFonts w:cs="Arial"/>
                <w:noProof/>
              </w:rPr>
              <w:t>6.1</w:t>
            </w:r>
            <w:r w:rsidRPr="00BD1319">
              <w:rPr>
                <w:rFonts w:asciiTheme="minorHAnsi" w:eastAsiaTheme="minorEastAsia" w:hAnsiTheme="minorHAnsi" w:cstheme="minorBidi"/>
                <w:b w:val="0"/>
                <w:caps w:val="0"/>
                <w:noProof/>
                <w:kern w:val="2"/>
                <w:szCs w:val="24"/>
                <w:lang w:eastAsia="es-CO"/>
                <w14:ligatures w14:val="standardContextual"/>
              </w:rPr>
              <w:tab/>
            </w:r>
            <w:r w:rsidRPr="00BD1319">
              <w:rPr>
                <w:rStyle w:val="Hipervnculo"/>
                <w:noProof/>
              </w:rPr>
              <w:t>CONCESIÓN DE AGUA SUPERFICIAL</w:t>
            </w:r>
            <w:r w:rsidRPr="00BD1319">
              <w:rPr>
                <w:noProof/>
                <w:webHidden/>
              </w:rPr>
              <w:tab/>
            </w:r>
            <w:r w:rsidRPr="00BD1319">
              <w:rPr>
                <w:noProof/>
                <w:webHidden/>
              </w:rPr>
              <w:fldChar w:fldCharType="begin"/>
            </w:r>
            <w:r w:rsidRPr="00BD1319">
              <w:rPr>
                <w:noProof/>
                <w:webHidden/>
              </w:rPr>
              <w:instrText xml:space="preserve"> PAGEREF _Toc175326783 \h </w:instrText>
            </w:r>
            <w:r w:rsidRPr="00BD1319">
              <w:rPr>
                <w:noProof/>
                <w:webHidden/>
              </w:rPr>
            </w:r>
            <w:r w:rsidRPr="00BD1319">
              <w:rPr>
                <w:noProof/>
                <w:webHidden/>
              </w:rPr>
              <w:fldChar w:fldCharType="separate"/>
            </w:r>
            <w:r w:rsidRPr="00BD1319">
              <w:rPr>
                <w:noProof/>
                <w:webHidden/>
              </w:rPr>
              <w:t>346</w:t>
            </w:r>
            <w:r w:rsidRPr="00BD1319">
              <w:rPr>
                <w:noProof/>
                <w:webHidden/>
              </w:rPr>
              <w:fldChar w:fldCharType="end"/>
            </w:r>
          </w:hyperlink>
        </w:p>
        <w:p w14:paraId="539CBFB2" w14:textId="6015C77B" w:rsidR="00296654" w:rsidRPr="00BD1319" w:rsidRDefault="00296654">
          <w:pPr>
            <w:pStyle w:val="TDC2"/>
            <w:rPr>
              <w:rFonts w:asciiTheme="minorHAnsi" w:eastAsiaTheme="minorEastAsia" w:hAnsiTheme="minorHAnsi" w:cstheme="minorBidi"/>
              <w:b w:val="0"/>
              <w:caps w:val="0"/>
              <w:noProof/>
              <w:kern w:val="2"/>
              <w:szCs w:val="24"/>
              <w:lang w:eastAsia="es-CO"/>
              <w14:ligatures w14:val="standardContextual"/>
            </w:rPr>
          </w:pPr>
          <w:hyperlink w:anchor="_Toc175326784" w:history="1">
            <w:r w:rsidRPr="00BD1319">
              <w:rPr>
                <w:rStyle w:val="Hipervnculo"/>
                <w:rFonts w:cs="Arial"/>
                <w:noProof/>
              </w:rPr>
              <w:t>6.2</w:t>
            </w:r>
            <w:r w:rsidRPr="00BD1319">
              <w:rPr>
                <w:rFonts w:asciiTheme="minorHAnsi" w:eastAsiaTheme="minorEastAsia" w:hAnsiTheme="minorHAnsi" w:cstheme="minorBidi"/>
                <w:b w:val="0"/>
                <w:caps w:val="0"/>
                <w:noProof/>
                <w:kern w:val="2"/>
                <w:szCs w:val="24"/>
                <w:lang w:eastAsia="es-CO"/>
                <w14:ligatures w14:val="standardContextual"/>
              </w:rPr>
              <w:tab/>
            </w:r>
            <w:r w:rsidRPr="00BD1319">
              <w:rPr>
                <w:rStyle w:val="Hipervnculo"/>
                <w:noProof/>
              </w:rPr>
              <w:t>EXPLORACIÓN DE AGUA SUBTERRÁNEA</w:t>
            </w:r>
            <w:r w:rsidRPr="00BD1319">
              <w:rPr>
                <w:noProof/>
                <w:webHidden/>
              </w:rPr>
              <w:tab/>
            </w:r>
            <w:r w:rsidRPr="00BD1319">
              <w:rPr>
                <w:noProof/>
                <w:webHidden/>
              </w:rPr>
              <w:fldChar w:fldCharType="begin"/>
            </w:r>
            <w:r w:rsidRPr="00BD1319">
              <w:rPr>
                <w:noProof/>
                <w:webHidden/>
              </w:rPr>
              <w:instrText xml:space="preserve"> PAGEREF _Toc175326784 \h </w:instrText>
            </w:r>
            <w:r w:rsidRPr="00BD1319">
              <w:rPr>
                <w:noProof/>
                <w:webHidden/>
              </w:rPr>
            </w:r>
            <w:r w:rsidRPr="00BD1319">
              <w:rPr>
                <w:noProof/>
                <w:webHidden/>
              </w:rPr>
              <w:fldChar w:fldCharType="separate"/>
            </w:r>
            <w:r w:rsidRPr="00BD1319">
              <w:rPr>
                <w:noProof/>
                <w:webHidden/>
              </w:rPr>
              <w:t>347</w:t>
            </w:r>
            <w:r w:rsidRPr="00BD1319">
              <w:rPr>
                <w:noProof/>
                <w:webHidden/>
              </w:rPr>
              <w:fldChar w:fldCharType="end"/>
            </w:r>
          </w:hyperlink>
        </w:p>
        <w:p w14:paraId="3F72DFFD" w14:textId="30C6A9C2" w:rsidR="00296654" w:rsidRPr="00BD1319" w:rsidRDefault="00296654">
          <w:pPr>
            <w:pStyle w:val="TDC2"/>
            <w:rPr>
              <w:rFonts w:asciiTheme="minorHAnsi" w:eastAsiaTheme="minorEastAsia" w:hAnsiTheme="minorHAnsi" w:cstheme="minorBidi"/>
              <w:b w:val="0"/>
              <w:caps w:val="0"/>
              <w:noProof/>
              <w:kern w:val="2"/>
              <w:szCs w:val="24"/>
              <w:lang w:eastAsia="es-CO"/>
              <w14:ligatures w14:val="standardContextual"/>
            </w:rPr>
          </w:pPr>
          <w:hyperlink w:anchor="_Toc175326785" w:history="1">
            <w:r w:rsidRPr="00BD1319">
              <w:rPr>
                <w:rStyle w:val="Hipervnculo"/>
                <w:rFonts w:cs="Arial"/>
                <w:noProof/>
              </w:rPr>
              <w:t>6.3</w:t>
            </w:r>
            <w:r w:rsidRPr="00BD1319">
              <w:rPr>
                <w:rFonts w:asciiTheme="minorHAnsi" w:eastAsiaTheme="minorEastAsia" w:hAnsiTheme="minorHAnsi" w:cstheme="minorBidi"/>
                <w:b w:val="0"/>
                <w:caps w:val="0"/>
                <w:noProof/>
                <w:kern w:val="2"/>
                <w:szCs w:val="24"/>
                <w:lang w:eastAsia="es-CO"/>
                <w14:ligatures w14:val="standardContextual"/>
              </w:rPr>
              <w:tab/>
            </w:r>
            <w:r w:rsidRPr="00BD1319">
              <w:rPr>
                <w:rStyle w:val="Hipervnculo"/>
                <w:noProof/>
              </w:rPr>
              <w:t>CONCESIÓN DE AGUA SUBTERRÁNEA</w:t>
            </w:r>
            <w:r w:rsidRPr="00BD1319">
              <w:rPr>
                <w:noProof/>
                <w:webHidden/>
              </w:rPr>
              <w:tab/>
            </w:r>
            <w:r w:rsidRPr="00BD1319">
              <w:rPr>
                <w:noProof/>
                <w:webHidden/>
              </w:rPr>
              <w:fldChar w:fldCharType="begin"/>
            </w:r>
            <w:r w:rsidRPr="00BD1319">
              <w:rPr>
                <w:noProof/>
                <w:webHidden/>
              </w:rPr>
              <w:instrText xml:space="preserve"> PAGEREF _Toc175326785 \h </w:instrText>
            </w:r>
            <w:r w:rsidRPr="00BD1319">
              <w:rPr>
                <w:noProof/>
                <w:webHidden/>
              </w:rPr>
            </w:r>
            <w:r w:rsidRPr="00BD1319">
              <w:rPr>
                <w:noProof/>
                <w:webHidden/>
              </w:rPr>
              <w:fldChar w:fldCharType="separate"/>
            </w:r>
            <w:r w:rsidRPr="00BD1319">
              <w:rPr>
                <w:noProof/>
                <w:webHidden/>
              </w:rPr>
              <w:t>348</w:t>
            </w:r>
            <w:r w:rsidRPr="00BD1319">
              <w:rPr>
                <w:noProof/>
                <w:webHidden/>
              </w:rPr>
              <w:fldChar w:fldCharType="end"/>
            </w:r>
          </w:hyperlink>
        </w:p>
        <w:p w14:paraId="3507BBF6" w14:textId="2177BAB2" w:rsidR="00296654" w:rsidRPr="00BD1319" w:rsidRDefault="00296654">
          <w:pPr>
            <w:pStyle w:val="TDC2"/>
            <w:rPr>
              <w:rFonts w:asciiTheme="minorHAnsi" w:eastAsiaTheme="minorEastAsia" w:hAnsiTheme="minorHAnsi" w:cstheme="minorBidi"/>
              <w:b w:val="0"/>
              <w:caps w:val="0"/>
              <w:noProof/>
              <w:kern w:val="2"/>
              <w:szCs w:val="24"/>
              <w:lang w:eastAsia="es-CO"/>
              <w14:ligatures w14:val="standardContextual"/>
            </w:rPr>
          </w:pPr>
          <w:hyperlink w:anchor="_Toc175326786" w:history="1">
            <w:r w:rsidRPr="00BD1319">
              <w:rPr>
                <w:rStyle w:val="Hipervnculo"/>
                <w:rFonts w:cs="Arial"/>
                <w:noProof/>
              </w:rPr>
              <w:t>6.4</w:t>
            </w:r>
            <w:r w:rsidRPr="00BD1319">
              <w:rPr>
                <w:rFonts w:asciiTheme="minorHAnsi" w:eastAsiaTheme="minorEastAsia" w:hAnsiTheme="minorHAnsi" w:cstheme="minorBidi"/>
                <w:b w:val="0"/>
                <w:caps w:val="0"/>
                <w:noProof/>
                <w:kern w:val="2"/>
                <w:szCs w:val="24"/>
                <w:lang w:eastAsia="es-CO"/>
                <w14:ligatures w14:val="standardContextual"/>
              </w:rPr>
              <w:tab/>
            </w:r>
            <w:r w:rsidRPr="00BD1319">
              <w:rPr>
                <w:rStyle w:val="Hipervnculo"/>
                <w:noProof/>
              </w:rPr>
              <w:t>PERMISO DE VERTIMIENTO</w:t>
            </w:r>
            <w:r w:rsidRPr="00BD1319">
              <w:rPr>
                <w:noProof/>
                <w:webHidden/>
              </w:rPr>
              <w:tab/>
            </w:r>
            <w:r w:rsidRPr="00BD1319">
              <w:rPr>
                <w:noProof/>
                <w:webHidden/>
              </w:rPr>
              <w:fldChar w:fldCharType="begin"/>
            </w:r>
            <w:r w:rsidRPr="00BD1319">
              <w:rPr>
                <w:noProof/>
                <w:webHidden/>
              </w:rPr>
              <w:instrText xml:space="preserve"> PAGEREF _Toc175326786 \h </w:instrText>
            </w:r>
            <w:r w:rsidRPr="00BD1319">
              <w:rPr>
                <w:noProof/>
                <w:webHidden/>
              </w:rPr>
            </w:r>
            <w:r w:rsidRPr="00BD1319">
              <w:rPr>
                <w:noProof/>
                <w:webHidden/>
              </w:rPr>
              <w:fldChar w:fldCharType="separate"/>
            </w:r>
            <w:r w:rsidRPr="00BD1319">
              <w:rPr>
                <w:noProof/>
                <w:webHidden/>
              </w:rPr>
              <w:t>351</w:t>
            </w:r>
            <w:r w:rsidRPr="00BD1319">
              <w:rPr>
                <w:noProof/>
                <w:webHidden/>
              </w:rPr>
              <w:fldChar w:fldCharType="end"/>
            </w:r>
          </w:hyperlink>
        </w:p>
        <w:p w14:paraId="04C2980C" w14:textId="7173EB46" w:rsidR="00296654" w:rsidRPr="00BD1319" w:rsidRDefault="00296654">
          <w:pPr>
            <w:pStyle w:val="TDC2"/>
            <w:rPr>
              <w:rFonts w:asciiTheme="minorHAnsi" w:eastAsiaTheme="minorEastAsia" w:hAnsiTheme="minorHAnsi" w:cstheme="minorBidi"/>
              <w:b w:val="0"/>
              <w:caps w:val="0"/>
              <w:noProof/>
              <w:kern w:val="2"/>
              <w:szCs w:val="24"/>
              <w:lang w:eastAsia="es-CO"/>
              <w14:ligatures w14:val="standardContextual"/>
            </w:rPr>
          </w:pPr>
          <w:hyperlink w:anchor="_Toc175326787" w:history="1">
            <w:r w:rsidRPr="00BD1319">
              <w:rPr>
                <w:rStyle w:val="Hipervnculo"/>
                <w:rFonts w:cs="Arial"/>
                <w:noProof/>
              </w:rPr>
              <w:t>6.5</w:t>
            </w:r>
            <w:r w:rsidRPr="00BD1319">
              <w:rPr>
                <w:rFonts w:asciiTheme="minorHAnsi" w:eastAsiaTheme="minorEastAsia" w:hAnsiTheme="minorHAnsi" w:cstheme="minorBidi"/>
                <w:b w:val="0"/>
                <w:caps w:val="0"/>
                <w:noProof/>
                <w:kern w:val="2"/>
                <w:szCs w:val="24"/>
                <w:lang w:eastAsia="es-CO"/>
                <w14:ligatures w14:val="standardContextual"/>
              </w:rPr>
              <w:tab/>
            </w:r>
            <w:r w:rsidRPr="00BD1319">
              <w:rPr>
                <w:rStyle w:val="Hipervnculo"/>
                <w:noProof/>
              </w:rPr>
              <w:t>OCUPACIÓN DE CAUCES, PLAYAS Y LECHOS</w:t>
            </w:r>
            <w:r w:rsidRPr="00BD1319">
              <w:rPr>
                <w:noProof/>
                <w:webHidden/>
              </w:rPr>
              <w:tab/>
            </w:r>
            <w:r w:rsidRPr="00BD1319">
              <w:rPr>
                <w:noProof/>
                <w:webHidden/>
              </w:rPr>
              <w:fldChar w:fldCharType="begin"/>
            </w:r>
            <w:r w:rsidRPr="00BD1319">
              <w:rPr>
                <w:noProof/>
                <w:webHidden/>
              </w:rPr>
              <w:instrText xml:space="preserve"> PAGEREF _Toc175326787 \h </w:instrText>
            </w:r>
            <w:r w:rsidRPr="00BD1319">
              <w:rPr>
                <w:noProof/>
                <w:webHidden/>
              </w:rPr>
            </w:r>
            <w:r w:rsidRPr="00BD1319">
              <w:rPr>
                <w:noProof/>
                <w:webHidden/>
              </w:rPr>
              <w:fldChar w:fldCharType="separate"/>
            </w:r>
            <w:r w:rsidRPr="00BD1319">
              <w:rPr>
                <w:noProof/>
                <w:webHidden/>
              </w:rPr>
              <w:t>356</w:t>
            </w:r>
            <w:r w:rsidRPr="00BD1319">
              <w:rPr>
                <w:noProof/>
                <w:webHidden/>
              </w:rPr>
              <w:fldChar w:fldCharType="end"/>
            </w:r>
          </w:hyperlink>
        </w:p>
        <w:p w14:paraId="384FC95E" w14:textId="58B949A5" w:rsidR="00296654" w:rsidRPr="00BD1319" w:rsidRDefault="00296654">
          <w:pPr>
            <w:pStyle w:val="TDC2"/>
            <w:rPr>
              <w:rFonts w:asciiTheme="minorHAnsi" w:eastAsiaTheme="minorEastAsia" w:hAnsiTheme="minorHAnsi" w:cstheme="minorBidi"/>
              <w:b w:val="0"/>
              <w:caps w:val="0"/>
              <w:noProof/>
              <w:kern w:val="2"/>
              <w:szCs w:val="24"/>
              <w:lang w:eastAsia="es-CO"/>
              <w14:ligatures w14:val="standardContextual"/>
            </w:rPr>
          </w:pPr>
          <w:hyperlink w:anchor="_Toc175326788" w:history="1">
            <w:r w:rsidRPr="00BD1319">
              <w:rPr>
                <w:rStyle w:val="Hipervnculo"/>
                <w:rFonts w:cs="Arial"/>
                <w:noProof/>
              </w:rPr>
              <w:t>6.6</w:t>
            </w:r>
            <w:r w:rsidRPr="00BD1319">
              <w:rPr>
                <w:rFonts w:asciiTheme="minorHAnsi" w:eastAsiaTheme="minorEastAsia" w:hAnsiTheme="minorHAnsi" w:cstheme="minorBidi"/>
                <w:b w:val="0"/>
                <w:caps w:val="0"/>
                <w:noProof/>
                <w:kern w:val="2"/>
                <w:szCs w:val="24"/>
                <w:lang w:eastAsia="es-CO"/>
                <w14:ligatures w14:val="standardContextual"/>
              </w:rPr>
              <w:tab/>
            </w:r>
            <w:r w:rsidRPr="00BD1319">
              <w:rPr>
                <w:rStyle w:val="Hipervnculo"/>
                <w:noProof/>
              </w:rPr>
              <w:t>APROVECHAMIENTO FORESTAL</w:t>
            </w:r>
            <w:r w:rsidRPr="00BD1319">
              <w:rPr>
                <w:noProof/>
                <w:webHidden/>
              </w:rPr>
              <w:tab/>
            </w:r>
            <w:r w:rsidRPr="00BD1319">
              <w:rPr>
                <w:noProof/>
                <w:webHidden/>
              </w:rPr>
              <w:fldChar w:fldCharType="begin"/>
            </w:r>
            <w:r w:rsidRPr="00BD1319">
              <w:rPr>
                <w:noProof/>
                <w:webHidden/>
              </w:rPr>
              <w:instrText xml:space="preserve"> PAGEREF _Toc175326788 \h </w:instrText>
            </w:r>
            <w:r w:rsidRPr="00BD1319">
              <w:rPr>
                <w:noProof/>
                <w:webHidden/>
              </w:rPr>
            </w:r>
            <w:r w:rsidRPr="00BD1319">
              <w:rPr>
                <w:noProof/>
                <w:webHidden/>
              </w:rPr>
              <w:fldChar w:fldCharType="separate"/>
            </w:r>
            <w:r w:rsidRPr="00BD1319">
              <w:rPr>
                <w:noProof/>
                <w:webHidden/>
              </w:rPr>
              <w:t>358</w:t>
            </w:r>
            <w:r w:rsidRPr="00BD1319">
              <w:rPr>
                <w:noProof/>
                <w:webHidden/>
              </w:rPr>
              <w:fldChar w:fldCharType="end"/>
            </w:r>
          </w:hyperlink>
        </w:p>
        <w:p w14:paraId="67ED0026" w14:textId="02E9AE8A" w:rsidR="00296654" w:rsidRPr="00BD1319" w:rsidRDefault="00296654">
          <w:pPr>
            <w:pStyle w:val="TDC2"/>
            <w:rPr>
              <w:rFonts w:asciiTheme="minorHAnsi" w:eastAsiaTheme="minorEastAsia" w:hAnsiTheme="minorHAnsi" w:cstheme="minorBidi"/>
              <w:b w:val="0"/>
              <w:caps w:val="0"/>
              <w:noProof/>
              <w:kern w:val="2"/>
              <w:szCs w:val="24"/>
              <w:lang w:eastAsia="es-CO"/>
              <w14:ligatures w14:val="standardContextual"/>
            </w:rPr>
          </w:pPr>
          <w:hyperlink w:anchor="_Toc175326789" w:history="1">
            <w:r w:rsidRPr="00BD1319">
              <w:rPr>
                <w:rStyle w:val="Hipervnculo"/>
                <w:rFonts w:cs="Arial"/>
                <w:noProof/>
              </w:rPr>
              <w:t>6.7</w:t>
            </w:r>
            <w:r w:rsidRPr="00BD1319">
              <w:rPr>
                <w:rFonts w:asciiTheme="minorHAnsi" w:eastAsiaTheme="minorEastAsia" w:hAnsiTheme="minorHAnsi" w:cstheme="minorBidi"/>
                <w:b w:val="0"/>
                <w:caps w:val="0"/>
                <w:noProof/>
                <w:kern w:val="2"/>
                <w:szCs w:val="24"/>
                <w:lang w:eastAsia="es-CO"/>
                <w14:ligatures w14:val="standardContextual"/>
              </w:rPr>
              <w:tab/>
            </w:r>
            <w:r w:rsidRPr="00BD1319">
              <w:rPr>
                <w:rStyle w:val="Hipervnculo"/>
                <w:noProof/>
              </w:rPr>
              <w:t>PERMISO DE EMISIÓN ATMOSFÉRICA</w:t>
            </w:r>
            <w:r w:rsidRPr="00BD1319">
              <w:rPr>
                <w:noProof/>
                <w:webHidden/>
              </w:rPr>
              <w:tab/>
            </w:r>
            <w:r w:rsidRPr="00BD1319">
              <w:rPr>
                <w:noProof/>
                <w:webHidden/>
              </w:rPr>
              <w:fldChar w:fldCharType="begin"/>
            </w:r>
            <w:r w:rsidRPr="00BD1319">
              <w:rPr>
                <w:noProof/>
                <w:webHidden/>
              </w:rPr>
              <w:instrText xml:space="preserve"> PAGEREF _Toc175326789 \h </w:instrText>
            </w:r>
            <w:r w:rsidRPr="00BD1319">
              <w:rPr>
                <w:noProof/>
                <w:webHidden/>
              </w:rPr>
            </w:r>
            <w:r w:rsidRPr="00BD1319">
              <w:rPr>
                <w:noProof/>
                <w:webHidden/>
              </w:rPr>
              <w:fldChar w:fldCharType="separate"/>
            </w:r>
            <w:r w:rsidRPr="00BD1319">
              <w:rPr>
                <w:noProof/>
                <w:webHidden/>
              </w:rPr>
              <w:t>360</w:t>
            </w:r>
            <w:r w:rsidRPr="00BD1319">
              <w:rPr>
                <w:noProof/>
                <w:webHidden/>
              </w:rPr>
              <w:fldChar w:fldCharType="end"/>
            </w:r>
          </w:hyperlink>
        </w:p>
        <w:p w14:paraId="0A2BAC51" w14:textId="4BD67553" w:rsidR="00296654" w:rsidRPr="00BD1319" w:rsidRDefault="00296654">
          <w:pPr>
            <w:pStyle w:val="TDC3"/>
            <w:rPr>
              <w:rFonts w:asciiTheme="minorHAnsi" w:eastAsiaTheme="minorEastAsia" w:hAnsiTheme="minorHAnsi" w:cstheme="minorBidi"/>
              <w:iCs w:val="0"/>
              <w:caps w:val="0"/>
              <w:noProof/>
              <w:kern w:val="2"/>
              <w:szCs w:val="24"/>
              <w:lang w:eastAsia="es-CO"/>
              <w14:ligatures w14:val="standardContextual"/>
            </w:rPr>
          </w:pPr>
          <w:hyperlink w:anchor="_Toc175326790" w:history="1">
            <w:r w:rsidRPr="00BD1319">
              <w:rPr>
                <w:rStyle w:val="Hipervnculo"/>
                <w:noProof/>
              </w:rPr>
              <w:t>6.7.1</w:t>
            </w:r>
            <w:r w:rsidRPr="00BD1319">
              <w:rPr>
                <w:rFonts w:asciiTheme="minorHAnsi" w:eastAsiaTheme="minorEastAsia" w:hAnsiTheme="minorHAnsi" w:cstheme="minorBidi"/>
                <w:iCs w:val="0"/>
                <w:caps w:val="0"/>
                <w:noProof/>
                <w:kern w:val="2"/>
                <w:szCs w:val="24"/>
                <w:lang w:eastAsia="es-CO"/>
                <w14:ligatures w14:val="standardContextual"/>
              </w:rPr>
              <w:tab/>
            </w:r>
            <w:r w:rsidRPr="00BD1319">
              <w:rPr>
                <w:rStyle w:val="Hipervnculo"/>
                <w:noProof/>
              </w:rPr>
              <w:t>Emisión de contaminantes del aire – fuentes de emisión</w:t>
            </w:r>
            <w:r w:rsidRPr="00BD1319">
              <w:rPr>
                <w:noProof/>
                <w:webHidden/>
              </w:rPr>
              <w:tab/>
            </w:r>
            <w:r w:rsidRPr="00BD1319">
              <w:rPr>
                <w:noProof/>
                <w:webHidden/>
              </w:rPr>
              <w:fldChar w:fldCharType="begin"/>
            </w:r>
            <w:r w:rsidRPr="00BD1319">
              <w:rPr>
                <w:noProof/>
                <w:webHidden/>
              </w:rPr>
              <w:instrText xml:space="preserve"> PAGEREF _Toc175326790 \h </w:instrText>
            </w:r>
            <w:r w:rsidRPr="00BD1319">
              <w:rPr>
                <w:noProof/>
                <w:webHidden/>
              </w:rPr>
            </w:r>
            <w:r w:rsidRPr="00BD1319">
              <w:rPr>
                <w:noProof/>
                <w:webHidden/>
              </w:rPr>
              <w:fldChar w:fldCharType="separate"/>
            </w:r>
            <w:r w:rsidRPr="00BD1319">
              <w:rPr>
                <w:noProof/>
                <w:webHidden/>
              </w:rPr>
              <w:t>360</w:t>
            </w:r>
            <w:r w:rsidRPr="00BD1319">
              <w:rPr>
                <w:noProof/>
                <w:webHidden/>
              </w:rPr>
              <w:fldChar w:fldCharType="end"/>
            </w:r>
          </w:hyperlink>
        </w:p>
        <w:p w14:paraId="487E523A" w14:textId="295DE656" w:rsidR="00296654" w:rsidRPr="00BD1319" w:rsidRDefault="00296654">
          <w:pPr>
            <w:pStyle w:val="TDC3"/>
            <w:rPr>
              <w:rFonts w:asciiTheme="minorHAnsi" w:eastAsiaTheme="minorEastAsia" w:hAnsiTheme="minorHAnsi" w:cstheme="minorBidi"/>
              <w:iCs w:val="0"/>
              <w:caps w:val="0"/>
              <w:noProof/>
              <w:kern w:val="2"/>
              <w:szCs w:val="24"/>
              <w:lang w:eastAsia="es-CO"/>
              <w14:ligatures w14:val="standardContextual"/>
            </w:rPr>
          </w:pPr>
          <w:hyperlink w:anchor="_Toc175326791" w:history="1">
            <w:r w:rsidRPr="00BD1319">
              <w:rPr>
                <w:rStyle w:val="Hipervnculo"/>
                <w:noProof/>
              </w:rPr>
              <w:t>6.7.2</w:t>
            </w:r>
            <w:r w:rsidRPr="00BD1319">
              <w:rPr>
                <w:rFonts w:asciiTheme="minorHAnsi" w:eastAsiaTheme="minorEastAsia" w:hAnsiTheme="minorHAnsi" w:cstheme="minorBidi"/>
                <w:iCs w:val="0"/>
                <w:caps w:val="0"/>
                <w:noProof/>
                <w:kern w:val="2"/>
                <w:szCs w:val="24"/>
                <w:lang w:eastAsia="es-CO"/>
                <w14:ligatures w14:val="standardContextual"/>
              </w:rPr>
              <w:tab/>
            </w:r>
            <w:r w:rsidRPr="00BD1319">
              <w:rPr>
                <w:rStyle w:val="Hipervnculo"/>
                <w:noProof/>
              </w:rPr>
              <w:t>Modelo de dispersión</w:t>
            </w:r>
            <w:r w:rsidRPr="00BD1319">
              <w:rPr>
                <w:noProof/>
                <w:webHidden/>
              </w:rPr>
              <w:tab/>
            </w:r>
            <w:r w:rsidRPr="00BD1319">
              <w:rPr>
                <w:noProof/>
                <w:webHidden/>
              </w:rPr>
              <w:fldChar w:fldCharType="begin"/>
            </w:r>
            <w:r w:rsidRPr="00BD1319">
              <w:rPr>
                <w:noProof/>
                <w:webHidden/>
              </w:rPr>
              <w:instrText xml:space="preserve"> PAGEREF _Toc175326791 \h </w:instrText>
            </w:r>
            <w:r w:rsidRPr="00BD1319">
              <w:rPr>
                <w:noProof/>
                <w:webHidden/>
              </w:rPr>
            </w:r>
            <w:r w:rsidRPr="00BD1319">
              <w:rPr>
                <w:noProof/>
                <w:webHidden/>
              </w:rPr>
              <w:fldChar w:fldCharType="separate"/>
            </w:r>
            <w:r w:rsidRPr="00BD1319">
              <w:rPr>
                <w:noProof/>
                <w:webHidden/>
              </w:rPr>
              <w:t>362</w:t>
            </w:r>
            <w:r w:rsidRPr="00BD1319">
              <w:rPr>
                <w:noProof/>
                <w:webHidden/>
              </w:rPr>
              <w:fldChar w:fldCharType="end"/>
            </w:r>
          </w:hyperlink>
        </w:p>
        <w:p w14:paraId="31255AC1" w14:textId="55F21E78" w:rsidR="00296654" w:rsidRPr="00BD1319" w:rsidRDefault="00296654">
          <w:pPr>
            <w:pStyle w:val="TDC2"/>
            <w:rPr>
              <w:rFonts w:asciiTheme="minorHAnsi" w:eastAsiaTheme="minorEastAsia" w:hAnsiTheme="minorHAnsi" w:cstheme="minorBidi"/>
              <w:b w:val="0"/>
              <w:caps w:val="0"/>
              <w:noProof/>
              <w:kern w:val="2"/>
              <w:szCs w:val="24"/>
              <w:lang w:eastAsia="es-CO"/>
              <w14:ligatures w14:val="standardContextual"/>
            </w:rPr>
          </w:pPr>
          <w:hyperlink w:anchor="_Toc175326792" w:history="1">
            <w:r w:rsidRPr="00BD1319">
              <w:rPr>
                <w:rStyle w:val="Hipervnculo"/>
                <w:rFonts w:cs="Arial"/>
                <w:noProof/>
              </w:rPr>
              <w:t>6.8</w:t>
            </w:r>
            <w:r w:rsidRPr="00BD1319">
              <w:rPr>
                <w:rFonts w:asciiTheme="minorHAnsi" w:eastAsiaTheme="minorEastAsia" w:hAnsiTheme="minorHAnsi" w:cstheme="minorBidi"/>
                <w:b w:val="0"/>
                <w:caps w:val="0"/>
                <w:noProof/>
                <w:kern w:val="2"/>
                <w:szCs w:val="24"/>
                <w:lang w:eastAsia="es-CO"/>
                <w14:ligatures w14:val="standardContextual"/>
              </w:rPr>
              <w:tab/>
            </w:r>
            <w:r w:rsidRPr="00BD1319">
              <w:rPr>
                <w:rStyle w:val="Hipervnculo"/>
                <w:noProof/>
              </w:rPr>
              <w:t>PERMISO DE CAZA DE FOMENTO</w:t>
            </w:r>
            <w:r w:rsidRPr="00BD1319">
              <w:rPr>
                <w:noProof/>
                <w:webHidden/>
              </w:rPr>
              <w:tab/>
            </w:r>
            <w:r w:rsidRPr="00BD1319">
              <w:rPr>
                <w:noProof/>
                <w:webHidden/>
              </w:rPr>
              <w:fldChar w:fldCharType="begin"/>
            </w:r>
            <w:r w:rsidRPr="00BD1319">
              <w:rPr>
                <w:noProof/>
                <w:webHidden/>
              </w:rPr>
              <w:instrText xml:space="preserve"> PAGEREF _Toc175326792 \h </w:instrText>
            </w:r>
            <w:r w:rsidRPr="00BD1319">
              <w:rPr>
                <w:noProof/>
                <w:webHidden/>
              </w:rPr>
            </w:r>
            <w:r w:rsidRPr="00BD1319">
              <w:rPr>
                <w:noProof/>
                <w:webHidden/>
              </w:rPr>
              <w:fldChar w:fldCharType="separate"/>
            </w:r>
            <w:r w:rsidRPr="00BD1319">
              <w:rPr>
                <w:noProof/>
                <w:webHidden/>
              </w:rPr>
              <w:t>367</w:t>
            </w:r>
            <w:r w:rsidRPr="00BD1319">
              <w:rPr>
                <w:noProof/>
                <w:webHidden/>
              </w:rPr>
              <w:fldChar w:fldCharType="end"/>
            </w:r>
          </w:hyperlink>
        </w:p>
        <w:p w14:paraId="0117763C" w14:textId="2565E688" w:rsidR="00296654" w:rsidRPr="00BD1319" w:rsidRDefault="00296654">
          <w:pPr>
            <w:pStyle w:val="TDC3"/>
            <w:rPr>
              <w:rFonts w:asciiTheme="minorHAnsi" w:eastAsiaTheme="minorEastAsia" w:hAnsiTheme="minorHAnsi" w:cstheme="minorBidi"/>
              <w:iCs w:val="0"/>
              <w:caps w:val="0"/>
              <w:noProof/>
              <w:kern w:val="2"/>
              <w:szCs w:val="24"/>
              <w:lang w:eastAsia="es-CO"/>
              <w14:ligatures w14:val="standardContextual"/>
            </w:rPr>
          </w:pPr>
          <w:hyperlink w:anchor="_Toc175326793" w:history="1">
            <w:r w:rsidRPr="00BD1319">
              <w:rPr>
                <w:rStyle w:val="Hipervnculo"/>
                <w:noProof/>
              </w:rPr>
              <w:t>6.8.1</w:t>
            </w:r>
            <w:r w:rsidRPr="00BD1319">
              <w:rPr>
                <w:rFonts w:asciiTheme="minorHAnsi" w:eastAsiaTheme="minorEastAsia" w:hAnsiTheme="minorHAnsi" w:cstheme="minorBidi"/>
                <w:iCs w:val="0"/>
                <w:caps w:val="0"/>
                <w:noProof/>
                <w:kern w:val="2"/>
                <w:szCs w:val="24"/>
                <w:lang w:eastAsia="es-CO"/>
                <w14:ligatures w14:val="standardContextual"/>
              </w:rPr>
              <w:tab/>
            </w:r>
            <w:r w:rsidRPr="00BD1319">
              <w:rPr>
                <w:rStyle w:val="Hipervnculo"/>
                <w:noProof/>
              </w:rPr>
              <w:t>Caracterización del área donde se pretende llevar a cabo la caza de fomento.</w:t>
            </w:r>
            <w:r w:rsidRPr="00BD1319">
              <w:rPr>
                <w:noProof/>
                <w:webHidden/>
              </w:rPr>
              <w:tab/>
            </w:r>
            <w:r w:rsidRPr="00BD1319">
              <w:rPr>
                <w:noProof/>
                <w:webHidden/>
              </w:rPr>
              <w:fldChar w:fldCharType="begin"/>
            </w:r>
            <w:r w:rsidRPr="00BD1319">
              <w:rPr>
                <w:noProof/>
                <w:webHidden/>
              </w:rPr>
              <w:instrText xml:space="preserve"> PAGEREF _Toc175326793 \h </w:instrText>
            </w:r>
            <w:r w:rsidRPr="00BD1319">
              <w:rPr>
                <w:noProof/>
                <w:webHidden/>
              </w:rPr>
            </w:r>
            <w:r w:rsidRPr="00BD1319">
              <w:rPr>
                <w:noProof/>
                <w:webHidden/>
              </w:rPr>
              <w:fldChar w:fldCharType="separate"/>
            </w:r>
            <w:r w:rsidRPr="00BD1319">
              <w:rPr>
                <w:noProof/>
                <w:webHidden/>
              </w:rPr>
              <w:t>368</w:t>
            </w:r>
            <w:r w:rsidRPr="00BD1319">
              <w:rPr>
                <w:noProof/>
                <w:webHidden/>
              </w:rPr>
              <w:fldChar w:fldCharType="end"/>
            </w:r>
          </w:hyperlink>
        </w:p>
        <w:p w14:paraId="7C1F8049" w14:textId="1DE45BC6" w:rsidR="00296654" w:rsidRPr="00BD1319" w:rsidRDefault="00296654">
          <w:pPr>
            <w:pStyle w:val="TDC3"/>
            <w:rPr>
              <w:rFonts w:asciiTheme="minorHAnsi" w:eastAsiaTheme="minorEastAsia" w:hAnsiTheme="minorHAnsi" w:cstheme="minorBidi"/>
              <w:iCs w:val="0"/>
              <w:caps w:val="0"/>
              <w:noProof/>
              <w:kern w:val="2"/>
              <w:szCs w:val="24"/>
              <w:lang w:eastAsia="es-CO"/>
              <w14:ligatures w14:val="standardContextual"/>
            </w:rPr>
          </w:pPr>
          <w:hyperlink w:anchor="_Toc175326794" w:history="1">
            <w:r w:rsidRPr="00BD1319">
              <w:rPr>
                <w:rStyle w:val="Hipervnculo"/>
                <w:noProof/>
              </w:rPr>
              <w:t>6.8.2</w:t>
            </w:r>
            <w:r w:rsidRPr="00BD1319">
              <w:rPr>
                <w:rFonts w:asciiTheme="minorHAnsi" w:eastAsiaTheme="minorEastAsia" w:hAnsiTheme="minorHAnsi" w:cstheme="minorBidi"/>
                <w:iCs w:val="0"/>
                <w:caps w:val="0"/>
                <w:noProof/>
                <w:kern w:val="2"/>
                <w:szCs w:val="24"/>
                <w:lang w:eastAsia="es-CO"/>
                <w14:ligatures w14:val="standardContextual"/>
              </w:rPr>
              <w:tab/>
            </w:r>
            <w:r w:rsidRPr="00BD1319">
              <w:rPr>
                <w:rStyle w:val="Hipervnculo"/>
                <w:noProof/>
              </w:rPr>
              <w:t>Recopilación de información actual sobre las poblaciones naturales en el país.</w:t>
            </w:r>
            <w:r w:rsidRPr="00BD1319">
              <w:rPr>
                <w:noProof/>
                <w:webHidden/>
              </w:rPr>
              <w:tab/>
            </w:r>
            <w:r w:rsidRPr="00BD1319">
              <w:rPr>
                <w:noProof/>
                <w:webHidden/>
              </w:rPr>
              <w:fldChar w:fldCharType="begin"/>
            </w:r>
            <w:r w:rsidRPr="00BD1319">
              <w:rPr>
                <w:noProof/>
                <w:webHidden/>
              </w:rPr>
              <w:instrText xml:space="preserve"> PAGEREF _Toc175326794 \h </w:instrText>
            </w:r>
            <w:r w:rsidRPr="00BD1319">
              <w:rPr>
                <w:noProof/>
                <w:webHidden/>
              </w:rPr>
            </w:r>
            <w:r w:rsidRPr="00BD1319">
              <w:rPr>
                <w:noProof/>
                <w:webHidden/>
              </w:rPr>
              <w:fldChar w:fldCharType="separate"/>
            </w:r>
            <w:r w:rsidRPr="00BD1319">
              <w:rPr>
                <w:noProof/>
                <w:webHidden/>
              </w:rPr>
              <w:t>369</w:t>
            </w:r>
            <w:r w:rsidRPr="00BD1319">
              <w:rPr>
                <w:noProof/>
                <w:webHidden/>
              </w:rPr>
              <w:fldChar w:fldCharType="end"/>
            </w:r>
          </w:hyperlink>
        </w:p>
        <w:p w14:paraId="5F895BF7" w14:textId="33C106C4" w:rsidR="00296654" w:rsidRPr="00BD1319" w:rsidRDefault="00296654">
          <w:pPr>
            <w:pStyle w:val="TDC3"/>
            <w:rPr>
              <w:rFonts w:asciiTheme="minorHAnsi" w:eastAsiaTheme="minorEastAsia" w:hAnsiTheme="minorHAnsi" w:cstheme="minorBidi"/>
              <w:iCs w:val="0"/>
              <w:caps w:val="0"/>
              <w:noProof/>
              <w:kern w:val="2"/>
              <w:szCs w:val="24"/>
              <w:lang w:eastAsia="es-CO"/>
              <w14:ligatures w14:val="standardContextual"/>
            </w:rPr>
          </w:pPr>
          <w:hyperlink w:anchor="_Toc175326795" w:history="1">
            <w:r w:rsidRPr="00BD1319">
              <w:rPr>
                <w:rStyle w:val="Hipervnculo"/>
                <w:noProof/>
              </w:rPr>
              <w:t>6.8.3</w:t>
            </w:r>
            <w:r w:rsidRPr="00BD1319">
              <w:rPr>
                <w:rFonts w:asciiTheme="minorHAnsi" w:eastAsiaTheme="minorEastAsia" w:hAnsiTheme="minorHAnsi" w:cstheme="minorBidi"/>
                <w:iCs w:val="0"/>
                <w:caps w:val="0"/>
                <w:noProof/>
                <w:kern w:val="2"/>
                <w:szCs w:val="24"/>
                <w:lang w:eastAsia="es-CO"/>
                <w14:ligatures w14:val="standardContextual"/>
              </w:rPr>
              <w:tab/>
            </w:r>
            <w:r w:rsidRPr="00BD1319">
              <w:rPr>
                <w:rStyle w:val="Hipervnculo"/>
                <w:noProof/>
              </w:rPr>
              <w:t>Elaboración del estudio para determinar la viabilidad biológica de la caza de fomento.</w:t>
            </w:r>
            <w:r w:rsidRPr="00BD1319">
              <w:rPr>
                <w:noProof/>
                <w:webHidden/>
              </w:rPr>
              <w:tab/>
            </w:r>
            <w:r w:rsidRPr="00BD1319">
              <w:rPr>
                <w:noProof/>
                <w:webHidden/>
              </w:rPr>
              <w:fldChar w:fldCharType="begin"/>
            </w:r>
            <w:r w:rsidRPr="00BD1319">
              <w:rPr>
                <w:noProof/>
                <w:webHidden/>
              </w:rPr>
              <w:instrText xml:space="preserve"> PAGEREF _Toc175326795 \h </w:instrText>
            </w:r>
            <w:r w:rsidRPr="00BD1319">
              <w:rPr>
                <w:noProof/>
                <w:webHidden/>
              </w:rPr>
            </w:r>
            <w:r w:rsidRPr="00BD1319">
              <w:rPr>
                <w:noProof/>
                <w:webHidden/>
              </w:rPr>
              <w:fldChar w:fldCharType="separate"/>
            </w:r>
            <w:r w:rsidRPr="00BD1319">
              <w:rPr>
                <w:noProof/>
                <w:webHidden/>
              </w:rPr>
              <w:t>369</w:t>
            </w:r>
            <w:r w:rsidRPr="00BD1319">
              <w:rPr>
                <w:noProof/>
                <w:webHidden/>
              </w:rPr>
              <w:fldChar w:fldCharType="end"/>
            </w:r>
          </w:hyperlink>
        </w:p>
        <w:p w14:paraId="339A0A3E" w14:textId="272B618C" w:rsidR="00296654" w:rsidRPr="00BD1319" w:rsidRDefault="00296654">
          <w:pPr>
            <w:pStyle w:val="TDC3"/>
            <w:rPr>
              <w:rFonts w:asciiTheme="minorHAnsi" w:eastAsiaTheme="minorEastAsia" w:hAnsiTheme="minorHAnsi" w:cstheme="minorBidi"/>
              <w:iCs w:val="0"/>
              <w:caps w:val="0"/>
              <w:noProof/>
              <w:kern w:val="2"/>
              <w:szCs w:val="24"/>
              <w:lang w:eastAsia="es-CO"/>
              <w14:ligatures w14:val="standardContextual"/>
            </w:rPr>
          </w:pPr>
          <w:hyperlink w:anchor="_Toc175326796" w:history="1">
            <w:r w:rsidRPr="00BD1319">
              <w:rPr>
                <w:rStyle w:val="Hipervnculo"/>
                <w:noProof/>
              </w:rPr>
              <w:t>6.8.4</w:t>
            </w:r>
            <w:r w:rsidRPr="00BD1319">
              <w:rPr>
                <w:rFonts w:asciiTheme="minorHAnsi" w:eastAsiaTheme="minorEastAsia" w:hAnsiTheme="minorHAnsi" w:cstheme="minorBidi"/>
                <w:iCs w:val="0"/>
                <w:caps w:val="0"/>
                <w:noProof/>
                <w:kern w:val="2"/>
                <w:szCs w:val="24"/>
                <w:lang w:eastAsia="es-CO"/>
                <w14:ligatures w14:val="standardContextual"/>
              </w:rPr>
              <w:tab/>
            </w:r>
            <w:r w:rsidRPr="00BD1319">
              <w:rPr>
                <w:rStyle w:val="Hipervnculo"/>
                <w:noProof/>
              </w:rPr>
              <w:t>Determinación de las especies y cantidad de especímenes que compondrán la población parental.</w:t>
            </w:r>
            <w:r w:rsidRPr="00BD1319">
              <w:rPr>
                <w:noProof/>
                <w:webHidden/>
              </w:rPr>
              <w:tab/>
            </w:r>
            <w:r w:rsidRPr="00BD1319">
              <w:rPr>
                <w:noProof/>
                <w:webHidden/>
              </w:rPr>
              <w:fldChar w:fldCharType="begin"/>
            </w:r>
            <w:r w:rsidRPr="00BD1319">
              <w:rPr>
                <w:noProof/>
                <w:webHidden/>
              </w:rPr>
              <w:instrText xml:space="preserve"> PAGEREF _Toc175326796 \h </w:instrText>
            </w:r>
            <w:r w:rsidRPr="00BD1319">
              <w:rPr>
                <w:noProof/>
                <w:webHidden/>
              </w:rPr>
            </w:r>
            <w:r w:rsidRPr="00BD1319">
              <w:rPr>
                <w:noProof/>
                <w:webHidden/>
              </w:rPr>
              <w:fldChar w:fldCharType="separate"/>
            </w:r>
            <w:r w:rsidRPr="00BD1319">
              <w:rPr>
                <w:noProof/>
                <w:webHidden/>
              </w:rPr>
              <w:t>373</w:t>
            </w:r>
            <w:r w:rsidRPr="00BD1319">
              <w:rPr>
                <w:noProof/>
                <w:webHidden/>
              </w:rPr>
              <w:fldChar w:fldCharType="end"/>
            </w:r>
          </w:hyperlink>
        </w:p>
        <w:p w14:paraId="3787BB80" w14:textId="397FDA9A" w:rsidR="00296654" w:rsidRPr="00BD1319" w:rsidRDefault="00296654">
          <w:pPr>
            <w:pStyle w:val="TDC3"/>
            <w:rPr>
              <w:rFonts w:asciiTheme="minorHAnsi" w:eastAsiaTheme="minorEastAsia" w:hAnsiTheme="minorHAnsi" w:cstheme="minorBidi"/>
              <w:iCs w:val="0"/>
              <w:caps w:val="0"/>
              <w:noProof/>
              <w:kern w:val="2"/>
              <w:szCs w:val="24"/>
              <w:lang w:eastAsia="es-CO"/>
              <w14:ligatures w14:val="standardContextual"/>
            </w:rPr>
          </w:pPr>
          <w:hyperlink w:anchor="_Toc175326797" w:history="1">
            <w:r w:rsidRPr="00BD1319">
              <w:rPr>
                <w:rStyle w:val="Hipervnculo"/>
                <w:noProof/>
              </w:rPr>
              <w:t>6.8.5</w:t>
            </w:r>
            <w:r w:rsidRPr="00BD1319">
              <w:rPr>
                <w:rFonts w:asciiTheme="minorHAnsi" w:eastAsiaTheme="minorEastAsia" w:hAnsiTheme="minorHAnsi" w:cstheme="minorBidi"/>
                <w:iCs w:val="0"/>
                <w:caps w:val="0"/>
                <w:noProof/>
                <w:kern w:val="2"/>
                <w:szCs w:val="24"/>
                <w:lang w:eastAsia="es-CO"/>
                <w14:ligatures w14:val="standardContextual"/>
              </w:rPr>
              <w:tab/>
            </w:r>
            <w:r w:rsidRPr="00BD1319">
              <w:rPr>
                <w:rStyle w:val="Hipervnculo"/>
                <w:noProof/>
              </w:rPr>
              <w:t>Descripción de los sistemas de selección de especímenes, de caza y de captura a emplear, señalando la época de ejecución de estas labores.</w:t>
            </w:r>
            <w:r w:rsidRPr="00BD1319">
              <w:rPr>
                <w:noProof/>
                <w:webHidden/>
              </w:rPr>
              <w:tab/>
            </w:r>
            <w:r w:rsidRPr="00BD1319">
              <w:rPr>
                <w:noProof/>
                <w:webHidden/>
              </w:rPr>
              <w:fldChar w:fldCharType="begin"/>
            </w:r>
            <w:r w:rsidRPr="00BD1319">
              <w:rPr>
                <w:noProof/>
                <w:webHidden/>
              </w:rPr>
              <w:instrText xml:space="preserve"> PAGEREF _Toc175326797 \h </w:instrText>
            </w:r>
            <w:r w:rsidRPr="00BD1319">
              <w:rPr>
                <w:noProof/>
                <w:webHidden/>
              </w:rPr>
            </w:r>
            <w:r w:rsidRPr="00BD1319">
              <w:rPr>
                <w:noProof/>
                <w:webHidden/>
              </w:rPr>
              <w:fldChar w:fldCharType="separate"/>
            </w:r>
            <w:r w:rsidRPr="00BD1319">
              <w:rPr>
                <w:noProof/>
                <w:webHidden/>
              </w:rPr>
              <w:t>373</w:t>
            </w:r>
            <w:r w:rsidRPr="00BD1319">
              <w:rPr>
                <w:noProof/>
                <w:webHidden/>
              </w:rPr>
              <w:fldChar w:fldCharType="end"/>
            </w:r>
          </w:hyperlink>
        </w:p>
        <w:p w14:paraId="6D30E235" w14:textId="0E09D7A8" w:rsidR="00296654" w:rsidRPr="00BD1319" w:rsidRDefault="00296654">
          <w:pPr>
            <w:pStyle w:val="TDC3"/>
            <w:rPr>
              <w:rFonts w:asciiTheme="minorHAnsi" w:eastAsiaTheme="minorEastAsia" w:hAnsiTheme="minorHAnsi" w:cstheme="minorBidi"/>
              <w:iCs w:val="0"/>
              <w:caps w:val="0"/>
              <w:noProof/>
              <w:kern w:val="2"/>
              <w:szCs w:val="24"/>
              <w:lang w:eastAsia="es-CO"/>
              <w14:ligatures w14:val="standardContextual"/>
            </w:rPr>
          </w:pPr>
          <w:hyperlink w:anchor="_Toc175326798" w:history="1">
            <w:r w:rsidRPr="00BD1319">
              <w:rPr>
                <w:rStyle w:val="Hipervnculo"/>
                <w:noProof/>
              </w:rPr>
              <w:t>6.8.6</w:t>
            </w:r>
            <w:r w:rsidRPr="00BD1319">
              <w:rPr>
                <w:rFonts w:asciiTheme="minorHAnsi" w:eastAsiaTheme="minorEastAsia" w:hAnsiTheme="minorHAnsi" w:cstheme="minorBidi"/>
                <w:iCs w:val="0"/>
                <w:caps w:val="0"/>
                <w:noProof/>
                <w:kern w:val="2"/>
                <w:szCs w:val="24"/>
                <w:lang w:eastAsia="es-CO"/>
                <w14:ligatures w14:val="standardContextual"/>
              </w:rPr>
              <w:tab/>
            </w:r>
            <w:r w:rsidRPr="00BD1319">
              <w:rPr>
                <w:rStyle w:val="Hipervnculo"/>
                <w:noProof/>
              </w:rPr>
              <w:t>Delimitación de los lugares en los que se propone capturar los especímenes para los cuales se solicita el permiso.</w:t>
            </w:r>
            <w:r w:rsidRPr="00BD1319">
              <w:rPr>
                <w:noProof/>
                <w:webHidden/>
              </w:rPr>
              <w:tab/>
            </w:r>
            <w:r w:rsidRPr="00BD1319">
              <w:rPr>
                <w:noProof/>
                <w:webHidden/>
              </w:rPr>
              <w:fldChar w:fldCharType="begin"/>
            </w:r>
            <w:r w:rsidRPr="00BD1319">
              <w:rPr>
                <w:noProof/>
                <w:webHidden/>
              </w:rPr>
              <w:instrText xml:space="preserve"> PAGEREF _Toc175326798 \h </w:instrText>
            </w:r>
            <w:r w:rsidRPr="00BD1319">
              <w:rPr>
                <w:noProof/>
                <w:webHidden/>
              </w:rPr>
            </w:r>
            <w:r w:rsidRPr="00BD1319">
              <w:rPr>
                <w:noProof/>
                <w:webHidden/>
              </w:rPr>
              <w:fldChar w:fldCharType="separate"/>
            </w:r>
            <w:r w:rsidRPr="00BD1319">
              <w:rPr>
                <w:noProof/>
                <w:webHidden/>
              </w:rPr>
              <w:t>374</w:t>
            </w:r>
            <w:r w:rsidRPr="00BD1319">
              <w:rPr>
                <w:noProof/>
                <w:webHidden/>
              </w:rPr>
              <w:fldChar w:fldCharType="end"/>
            </w:r>
          </w:hyperlink>
        </w:p>
        <w:p w14:paraId="0762FAC0" w14:textId="68E14112" w:rsidR="00296654" w:rsidRPr="00BD1319" w:rsidRDefault="00296654">
          <w:pPr>
            <w:pStyle w:val="TDC1"/>
            <w:rPr>
              <w:rFonts w:asciiTheme="minorHAnsi" w:eastAsiaTheme="minorEastAsia" w:hAnsiTheme="minorHAnsi" w:cstheme="minorBidi"/>
              <w:b w:val="0"/>
              <w:bCs w:val="0"/>
              <w:caps w:val="0"/>
              <w:kern w:val="2"/>
              <w:lang w:eastAsia="es-CO"/>
              <w14:ligatures w14:val="standardContextual"/>
            </w:rPr>
          </w:pPr>
          <w:hyperlink w:anchor="_Toc175326799" w:history="1">
            <w:r w:rsidRPr="00BD1319">
              <w:rPr>
                <w:rStyle w:val="Hipervnculo"/>
              </w:rPr>
              <w:t>7.</w:t>
            </w:r>
            <w:r w:rsidRPr="00BD1319">
              <w:rPr>
                <w:rFonts w:asciiTheme="minorHAnsi" w:eastAsiaTheme="minorEastAsia" w:hAnsiTheme="minorHAnsi" w:cstheme="minorBidi"/>
                <w:b w:val="0"/>
                <w:bCs w:val="0"/>
                <w:caps w:val="0"/>
                <w:kern w:val="2"/>
                <w:lang w:eastAsia="es-CO"/>
                <w14:ligatures w14:val="standardContextual"/>
              </w:rPr>
              <w:tab/>
            </w:r>
            <w:r w:rsidRPr="00BD1319">
              <w:rPr>
                <w:rStyle w:val="Hipervnculo"/>
              </w:rPr>
              <w:t>EVALUACIÓN AMBIENTAL</w:t>
            </w:r>
            <w:r w:rsidRPr="00BD1319">
              <w:rPr>
                <w:webHidden/>
              </w:rPr>
              <w:tab/>
            </w:r>
            <w:r w:rsidRPr="00BD1319">
              <w:rPr>
                <w:webHidden/>
              </w:rPr>
              <w:fldChar w:fldCharType="begin"/>
            </w:r>
            <w:r w:rsidRPr="00BD1319">
              <w:rPr>
                <w:webHidden/>
              </w:rPr>
              <w:instrText xml:space="preserve"> PAGEREF _Toc175326799 \h </w:instrText>
            </w:r>
            <w:r w:rsidRPr="00BD1319">
              <w:rPr>
                <w:webHidden/>
              </w:rPr>
            </w:r>
            <w:r w:rsidRPr="00BD1319">
              <w:rPr>
                <w:webHidden/>
              </w:rPr>
              <w:fldChar w:fldCharType="separate"/>
            </w:r>
            <w:r w:rsidRPr="00BD1319">
              <w:rPr>
                <w:webHidden/>
              </w:rPr>
              <w:t>375</w:t>
            </w:r>
            <w:r w:rsidRPr="00BD1319">
              <w:rPr>
                <w:webHidden/>
              </w:rPr>
              <w:fldChar w:fldCharType="end"/>
            </w:r>
          </w:hyperlink>
        </w:p>
        <w:p w14:paraId="7B3A5603" w14:textId="71A1CFA1" w:rsidR="00296654" w:rsidRPr="00BD1319" w:rsidRDefault="00296654">
          <w:pPr>
            <w:pStyle w:val="TDC2"/>
            <w:rPr>
              <w:rFonts w:asciiTheme="minorHAnsi" w:eastAsiaTheme="minorEastAsia" w:hAnsiTheme="minorHAnsi" w:cstheme="minorBidi"/>
              <w:b w:val="0"/>
              <w:caps w:val="0"/>
              <w:noProof/>
              <w:kern w:val="2"/>
              <w:szCs w:val="24"/>
              <w:lang w:eastAsia="es-CO"/>
              <w14:ligatures w14:val="standardContextual"/>
            </w:rPr>
          </w:pPr>
          <w:hyperlink w:anchor="_Toc175326800" w:history="1">
            <w:r w:rsidRPr="00BD1319">
              <w:rPr>
                <w:rStyle w:val="Hipervnculo"/>
                <w:rFonts w:cs="Arial"/>
                <w:noProof/>
              </w:rPr>
              <w:t>7.1</w:t>
            </w:r>
            <w:r w:rsidRPr="00BD1319">
              <w:rPr>
                <w:rFonts w:asciiTheme="minorHAnsi" w:eastAsiaTheme="minorEastAsia" w:hAnsiTheme="minorHAnsi" w:cstheme="minorBidi"/>
                <w:b w:val="0"/>
                <w:caps w:val="0"/>
                <w:noProof/>
                <w:kern w:val="2"/>
                <w:szCs w:val="24"/>
                <w:lang w:eastAsia="es-CO"/>
                <w14:ligatures w14:val="standardContextual"/>
              </w:rPr>
              <w:tab/>
            </w:r>
            <w:r w:rsidRPr="00BD1319">
              <w:rPr>
                <w:rStyle w:val="Hipervnculo"/>
                <w:noProof/>
              </w:rPr>
              <w:t>LINEAMIENTOS GENERALES PARA LA EVALUACIÓN AMBIENTAL</w:t>
            </w:r>
            <w:r w:rsidRPr="00BD1319">
              <w:rPr>
                <w:noProof/>
                <w:webHidden/>
              </w:rPr>
              <w:tab/>
            </w:r>
            <w:r w:rsidRPr="00BD1319">
              <w:rPr>
                <w:noProof/>
                <w:webHidden/>
              </w:rPr>
              <w:fldChar w:fldCharType="begin"/>
            </w:r>
            <w:r w:rsidRPr="00BD1319">
              <w:rPr>
                <w:noProof/>
                <w:webHidden/>
              </w:rPr>
              <w:instrText xml:space="preserve"> PAGEREF _Toc175326800 \h </w:instrText>
            </w:r>
            <w:r w:rsidRPr="00BD1319">
              <w:rPr>
                <w:noProof/>
                <w:webHidden/>
              </w:rPr>
            </w:r>
            <w:r w:rsidRPr="00BD1319">
              <w:rPr>
                <w:noProof/>
                <w:webHidden/>
              </w:rPr>
              <w:fldChar w:fldCharType="separate"/>
            </w:r>
            <w:r w:rsidRPr="00BD1319">
              <w:rPr>
                <w:noProof/>
                <w:webHidden/>
              </w:rPr>
              <w:t>376</w:t>
            </w:r>
            <w:r w:rsidRPr="00BD1319">
              <w:rPr>
                <w:noProof/>
                <w:webHidden/>
              </w:rPr>
              <w:fldChar w:fldCharType="end"/>
            </w:r>
          </w:hyperlink>
        </w:p>
        <w:p w14:paraId="0802AF1F" w14:textId="624F958E" w:rsidR="00296654" w:rsidRPr="00BD1319" w:rsidRDefault="00296654">
          <w:pPr>
            <w:pStyle w:val="TDC3"/>
            <w:rPr>
              <w:rFonts w:asciiTheme="minorHAnsi" w:eastAsiaTheme="minorEastAsia" w:hAnsiTheme="minorHAnsi" w:cstheme="minorBidi"/>
              <w:iCs w:val="0"/>
              <w:caps w:val="0"/>
              <w:noProof/>
              <w:kern w:val="2"/>
              <w:szCs w:val="24"/>
              <w:lang w:eastAsia="es-CO"/>
              <w14:ligatures w14:val="standardContextual"/>
            </w:rPr>
          </w:pPr>
          <w:hyperlink w:anchor="_Toc175326801" w:history="1">
            <w:r w:rsidRPr="00BD1319">
              <w:rPr>
                <w:rStyle w:val="Hipervnculo"/>
                <w:noProof/>
              </w:rPr>
              <w:t>7.1.1</w:t>
            </w:r>
            <w:r w:rsidRPr="00BD1319">
              <w:rPr>
                <w:rFonts w:asciiTheme="minorHAnsi" w:eastAsiaTheme="minorEastAsia" w:hAnsiTheme="minorHAnsi" w:cstheme="minorBidi"/>
                <w:iCs w:val="0"/>
                <w:caps w:val="0"/>
                <w:noProof/>
                <w:kern w:val="2"/>
                <w:szCs w:val="24"/>
                <w:lang w:eastAsia="es-CO"/>
                <w14:ligatures w14:val="standardContextual"/>
              </w:rPr>
              <w:tab/>
            </w:r>
            <w:r w:rsidRPr="00BD1319">
              <w:rPr>
                <w:rStyle w:val="Hipervnculo"/>
                <w:noProof/>
              </w:rPr>
              <w:t>Determinación de impactos ambientales</w:t>
            </w:r>
            <w:r w:rsidRPr="00BD1319">
              <w:rPr>
                <w:noProof/>
                <w:webHidden/>
              </w:rPr>
              <w:tab/>
            </w:r>
            <w:r w:rsidRPr="00BD1319">
              <w:rPr>
                <w:noProof/>
                <w:webHidden/>
              </w:rPr>
              <w:fldChar w:fldCharType="begin"/>
            </w:r>
            <w:r w:rsidRPr="00BD1319">
              <w:rPr>
                <w:noProof/>
                <w:webHidden/>
              </w:rPr>
              <w:instrText xml:space="preserve"> PAGEREF _Toc175326801 \h </w:instrText>
            </w:r>
            <w:r w:rsidRPr="00BD1319">
              <w:rPr>
                <w:noProof/>
                <w:webHidden/>
              </w:rPr>
            </w:r>
            <w:r w:rsidRPr="00BD1319">
              <w:rPr>
                <w:noProof/>
                <w:webHidden/>
              </w:rPr>
              <w:fldChar w:fldCharType="separate"/>
            </w:r>
            <w:r w:rsidRPr="00BD1319">
              <w:rPr>
                <w:noProof/>
                <w:webHidden/>
              </w:rPr>
              <w:t>376</w:t>
            </w:r>
            <w:r w:rsidRPr="00BD1319">
              <w:rPr>
                <w:noProof/>
                <w:webHidden/>
              </w:rPr>
              <w:fldChar w:fldCharType="end"/>
            </w:r>
          </w:hyperlink>
        </w:p>
        <w:p w14:paraId="6A04FFD1" w14:textId="1AB5BDA9" w:rsidR="00296654" w:rsidRPr="00BD1319" w:rsidRDefault="00296654">
          <w:pPr>
            <w:pStyle w:val="TDC3"/>
            <w:rPr>
              <w:rFonts w:asciiTheme="minorHAnsi" w:eastAsiaTheme="minorEastAsia" w:hAnsiTheme="minorHAnsi" w:cstheme="minorBidi"/>
              <w:iCs w:val="0"/>
              <w:caps w:val="0"/>
              <w:noProof/>
              <w:kern w:val="2"/>
              <w:szCs w:val="24"/>
              <w:lang w:eastAsia="es-CO"/>
              <w14:ligatures w14:val="standardContextual"/>
            </w:rPr>
          </w:pPr>
          <w:hyperlink w:anchor="_Toc175326802" w:history="1">
            <w:r w:rsidRPr="00BD1319">
              <w:rPr>
                <w:rStyle w:val="Hipervnculo"/>
                <w:noProof/>
              </w:rPr>
              <w:t>7.1.2</w:t>
            </w:r>
            <w:r w:rsidRPr="00BD1319">
              <w:rPr>
                <w:rFonts w:asciiTheme="minorHAnsi" w:eastAsiaTheme="minorEastAsia" w:hAnsiTheme="minorHAnsi" w:cstheme="minorBidi"/>
                <w:iCs w:val="0"/>
                <w:caps w:val="0"/>
                <w:noProof/>
                <w:kern w:val="2"/>
                <w:szCs w:val="24"/>
                <w:lang w:eastAsia="es-CO"/>
                <w14:ligatures w14:val="standardContextual"/>
              </w:rPr>
              <w:tab/>
            </w:r>
            <w:r w:rsidRPr="00BD1319">
              <w:rPr>
                <w:rStyle w:val="Hipervnculo"/>
                <w:noProof/>
              </w:rPr>
              <w:t>Valoración de impactos ambientales</w:t>
            </w:r>
            <w:r w:rsidRPr="00BD1319">
              <w:rPr>
                <w:noProof/>
                <w:webHidden/>
              </w:rPr>
              <w:tab/>
            </w:r>
            <w:r w:rsidRPr="00BD1319">
              <w:rPr>
                <w:noProof/>
                <w:webHidden/>
              </w:rPr>
              <w:fldChar w:fldCharType="begin"/>
            </w:r>
            <w:r w:rsidRPr="00BD1319">
              <w:rPr>
                <w:noProof/>
                <w:webHidden/>
              </w:rPr>
              <w:instrText xml:space="preserve"> PAGEREF _Toc175326802 \h </w:instrText>
            </w:r>
            <w:r w:rsidRPr="00BD1319">
              <w:rPr>
                <w:noProof/>
                <w:webHidden/>
              </w:rPr>
            </w:r>
            <w:r w:rsidRPr="00BD1319">
              <w:rPr>
                <w:noProof/>
                <w:webHidden/>
              </w:rPr>
              <w:fldChar w:fldCharType="separate"/>
            </w:r>
            <w:r w:rsidRPr="00BD1319">
              <w:rPr>
                <w:noProof/>
                <w:webHidden/>
              </w:rPr>
              <w:t>378</w:t>
            </w:r>
            <w:r w:rsidRPr="00BD1319">
              <w:rPr>
                <w:noProof/>
                <w:webHidden/>
              </w:rPr>
              <w:fldChar w:fldCharType="end"/>
            </w:r>
          </w:hyperlink>
        </w:p>
        <w:p w14:paraId="5CD6E0AC" w14:textId="0ED3A1DD" w:rsidR="00296654" w:rsidRPr="00BD1319" w:rsidRDefault="00296654">
          <w:pPr>
            <w:pStyle w:val="TDC2"/>
            <w:rPr>
              <w:rFonts w:asciiTheme="minorHAnsi" w:eastAsiaTheme="minorEastAsia" w:hAnsiTheme="minorHAnsi" w:cstheme="minorBidi"/>
              <w:b w:val="0"/>
              <w:caps w:val="0"/>
              <w:noProof/>
              <w:kern w:val="2"/>
              <w:szCs w:val="24"/>
              <w:lang w:eastAsia="es-CO"/>
              <w14:ligatures w14:val="standardContextual"/>
            </w:rPr>
          </w:pPr>
          <w:hyperlink w:anchor="_Toc175326803" w:history="1">
            <w:r w:rsidRPr="00BD1319">
              <w:rPr>
                <w:rStyle w:val="Hipervnculo"/>
                <w:rFonts w:cs="Arial"/>
                <w:noProof/>
              </w:rPr>
              <w:t>7.2</w:t>
            </w:r>
            <w:r w:rsidRPr="00BD1319">
              <w:rPr>
                <w:rFonts w:asciiTheme="minorHAnsi" w:eastAsiaTheme="minorEastAsia" w:hAnsiTheme="minorHAnsi" w:cstheme="minorBidi"/>
                <w:b w:val="0"/>
                <w:caps w:val="0"/>
                <w:noProof/>
                <w:kern w:val="2"/>
                <w:szCs w:val="24"/>
                <w:lang w:eastAsia="es-CO"/>
                <w14:ligatures w14:val="standardContextual"/>
              </w:rPr>
              <w:tab/>
            </w:r>
            <w:r w:rsidRPr="00BD1319">
              <w:rPr>
                <w:rStyle w:val="Hipervnculo"/>
                <w:noProof/>
              </w:rPr>
              <w:t>DETERMINACIÓN Y VALORACIÓN DE IMPACTOS PARA EL ESCENARIO SIN PROYECTO</w:t>
            </w:r>
            <w:r w:rsidRPr="00BD1319">
              <w:rPr>
                <w:noProof/>
                <w:webHidden/>
              </w:rPr>
              <w:tab/>
            </w:r>
            <w:r w:rsidRPr="00BD1319">
              <w:rPr>
                <w:noProof/>
                <w:webHidden/>
              </w:rPr>
              <w:fldChar w:fldCharType="begin"/>
            </w:r>
            <w:r w:rsidRPr="00BD1319">
              <w:rPr>
                <w:noProof/>
                <w:webHidden/>
              </w:rPr>
              <w:instrText xml:space="preserve"> PAGEREF _Toc175326803 \h </w:instrText>
            </w:r>
            <w:r w:rsidRPr="00BD1319">
              <w:rPr>
                <w:noProof/>
                <w:webHidden/>
              </w:rPr>
            </w:r>
            <w:r w:rsidRPr="00BD1319">
              <w:rPr>
                <w:noProof/>
                <w:webHidden/>
              </w:rPr>
              <w:fldChar w:fldCharType="separate"/>
            </w:r>
            <w:r w:rsidRPr="00BD1319">
              <w:rPr>
                <w:noProof/>
                <w:webHidden/>
              </w:rPr>
              <w:t>380</w:t>
            </w:r>
            <w:r w:rsidRPr="00BD1319">
              <w:rPr>
                <w:noProof/>
                <w:webHidden/>
              </w:rPr>
              <w:fldChar w:fldCharType="end"/>
            </w:r>
          </w:hyperlink>
        </w:p>
        <w:p w14:paraId="3A7607F7" w14:textId="29054163" w:rsidR="00296654" w:rsidRPr="00BD1319" w:rsidRDefault="00296654">
          <w:pPr>
            <w:pStyle w:val="TDC2"/>
            <w:rPr>
              <w:rFonts w:asciiTheme="minorHAnsi" w:eastAsiaTheme="minorEastAsia" w:hAnsiTheme="minorHAnsi" w:cstheme="minorBidi"/>
              <w:b w:val="0"/>
              <w:caps w:val="0"/>
              <w:noProof/>
              <w:kern w:val="2"/>
              <w:szCs w:val="24"/>
              <w:lang w:eastAsia="es-CO"/>
              <w14:ligatures w14:val="standardContextual"/>
            </w:rPr>
          </w:pPr>
          <w:hyperlink w:anchor="_Toc175326804" w:history="1">
            <w:r w:rsidRPr="00BD1319">
              <w:rPr>
                <w:rStyle w:val="Hipervnculo"/>
                <w:rFonts w:cs="Arial"/>
                <w:noProof/>
              </w:rPr>
              <w:t>7.3</w:t>
            </w:r>
            <w:r w:rsidRPr="00BD1319">
              <w:rPr>
                <w:rFonts w:asciiTheme="minorHAnsi" w:eastAsiaTheme="minorEastAsia" w:hAnsiTheme="minorHAnsi" w:cstheme="minorBidi"/>
                <w:b w:val="0"/>
                <w:caps w:val="0"/>
                <w:noProof/>
                <w:kern w:val="2"/>
                <w:szCs w:val="24"/>
                <w:lang w:eastAsia="es-CO"/>
                <w14:ligatures w14:val="standardContextual"/>
              </w:rPr>
              <w:tab/>
            </w:r>
            <w:r w:rsidRPr="00BD1319">
              <w:rPr>
                <w:rStyle w:val="Hipervnculo"/>
                <w:noProof/>
              </w:rPr>
              <w:t>DETERMINACIÓN Y VALORACIÓN DE IMPACTOS PARA EL ESCENARIO CON PROYECTO</w:t>
            </w:r>
            <w:r w:rsidRPr="00BD1319">
              <w:rPr>
                <w:noProof/>
                <w:webHidden/>
              </w:rPr>
              <w:tab/>
            </w:r>
            <w:r w:rsidRPr="00BD1319">
              <w:rPr>
                <w:noProof/>
                <w:webHidden/>
              </w:rPr>
              <w:fldChar w:fldCharType="begin"/>
            </w:r>
            <w:r w:rsidRPr="00BD1319">
              <w:rPr>
                <w:noProof/>
                <w:webHidden/>
              </w:rPr>
              <w:instrText xml:space="preserve"> PAGEREF _Toc175326804 \h </w:instrText>
            </w:r>
            <w:r w:rsidRPr="00BD1319">
              <w:rPr>
                <w:noProof/>
                <w:webHidden/>
              </w:rPr>
            </w:r>
            <w:r w:rsidRPr="00BD1319">
              <w:rPr>
                <w:noProof/>
                <w:webHidden/>
              </w:rPr>
              <w:fldChar w:fldCharType="separate"/>
            </w:r>
            <w:r w:rsidRPr="00BD1319">
              <w:rPr>
                <w:noProof/>
                <w:webHidden/>
              </w:rPr>
              <w:t>381</w:t>
            </w:r>
            <w:r w:rsidRPr="00BD1319">
              <w:rPr>
                <w:noProof/>
                <w:webHidden/>
              </w:rPr>
              <w:fldChar w:fldCharType="end"/>
            </w:r>
          </w:hyperlink>
        </w:p>
        <w:p w14:paraId="5D1C74A2" w14:textId="140D5398" w:rsidR="00296654" w:rsidRPr="00BD1319" w:rsidRDefault="00296654">
          <w:pPr>
            <w:pStyle w:val="TDC3"/>
            <w:rPr>
              <w:rFonts w:asciiTheme="minorHAnsi" w:eastAsiaTheme="minorEastAsia" w:hAnsiTheme="minorHAnsi" w:cstheme="minorBidi"/>
              <w:iCs w:val="0"/>
              <w:caps w:val="0"/>
              <w:noProof/>
              <w:kern w:val="2"/>
              <w:szCs w:val="24"/>
              <w:lang w:eastAsia="es-CO"/>
              <w14:ligatures w14:val="standardContextual"/>
            </w:rPr>
          </w:pPr>
          <w:hyperlink w:anchor="_Toc175326805" w:history="1">
            <w:r w:rsidRPr="00BD1319">
              <w:rPr>
                <w:rStyle w:val="Hipervnculo"/>
                <w:noProof/>
              </w:rPr>
              <w:t>7.3.1</w:t>
            </w:r>
            <w:r w:rsidRPr="00BD1319">
              <w:rPr>
                <w:rFonts w:asciiTheme="minorHAnsi" w:eastAsiaTheme="minorEastAsia" w:hAnsiTheme="minorHAnsi" w:cstheme="minorBidi"/>
                <w:iCs w:val="0"/>
                <w:caps w:val="0"/>
                <w:noProof/>
                <w:kern w:val="2"/>
                <w:szCs w:val="24"/>
                <w:lang w:eastAsia="es-CO"/>
                <w14:ligatures w14:val="standardContextual"/>
              </w:rPr>
              <w:tab/>
            </w:r>
            <w:r w:rsidRPr="00BD1319">
              <w:rPr>
                <w:rStyle w:val="Hipervnculo"/>
                <w:noProof/>
              </w:rPr>
              <w:t>Determinación en el escenario con proyecto</w:t>
            </w:r>
            <w:r w:rsidRPr="00BD1319">
              <w:rPr>
                <w:noProof/>
                <w:webHidden/>
              </w:rPr>
              <w:tab/>
            </w:r>
            <w:r w:rsidRPr="00BD1319">
              <w:rPr>
                <w:noProof/>
                <w:webHidden/>
              </w:rPr>
              <w:fldChar w:fldCharType="begin"/>
            </w:r>
            <w:r w:rsidRPr="00BD1319">
              <w:rPr>
                <w:noProof/>
                <w:webHidden/>
              </w:rPr>
              <w:instrText xml:space="preserve"> PAGEREF _Toc175326805 \h </w:instrText>
            </w:r>
            <w:r w:rsidRPr="00BD1319">
              <w:rPr>
                <w:noProof/>
                <w:webHidden/>
              </w:rPr>
            </w:r>
            <w:r w:rsidRPr="00BD1319">
              <w:rPr>
                <w:noProof/>
                <w:webHidden/>
              </w:rPr>
              <w:fldChar w:fldCharType="separate"/>
            </w:r>
            <w:r w:rsidRPr="00BD1319">
              <w:rPr>
                <w:noProof/>
                <w:webHidden/>
              </w:rPr>
              <w:t>381</w:t>
            </w:r>
            <w:r w:rsidRPr="00BD1319">
              <w:rPr>
                <w:noProof/>
                <w:webHidden/>
              </w:rPr>
              <w:fldChar w:fldCharType="end"/>
            </w:r>
          </w:hyperlink>
        </w:p>
        <w:p w14:paraId="27B345E4" w14:textId="30951583" w:rsidR="00296654" w:rsidRPr="00BD1319" w:rsidRDefault="00296654">
          <w:pPr>
            <w:pStyle w:val="TDC3"/>
            <w:rPr>
              <w:rFonts w:asciiTheme="minorHAnsi" w:eastAsiaTheme="minorEastAsia" w:hAnsiTheme="minorHAnsi" w:cstheme="minorBidi"/>
              <w:iCs w:val="0"/>
              <w:caps w:val="0"/>
              <w:noProof/>
              <w:kern w:val="2"/>
              <w:szCs w:val="24"/>
              <w:lang w:eastAsia="es-CO"/>
              <w14:ligatures w14:val="standardContextual"/>
            </w:rPr>
          </w:pPr>
          <w:hyperlink w:anchor="_Toc175326806" w:history="1">
            <w:r w:rsidRPr="00BD1319">
              <w:rPr>
                <w:rStyle w:val="Hipervnculo"/>
                <w:noProof/>
              </w:rPr>
              <w:t>7.3.2</w:t>
            </w:r>
            <w:r w:rsidRPr="00BD1319">
              <w:rPr>
                <w:rFonts w:asciiTheme="minorHAnsi" w:eastAsiaTheme="minorEastAsia" w:hAnsiTheme="minorHAnsi" w:cstheme="minorBidi"/>
                <w:iCs w:val="0"/>
                <w:caps w:val="0"/>
                <w:noProof/>
                <w:kern w:val="2"/>
                <w:szCs w:val="24"/>
                <w:lang w:eastAsia="es-CO"/>
                <w14:ligatures w14:val="standardContextual"/>
              </w:rPr>
              <w:tab/>
            </w:r>
            <w:r w:rsidRPr="00BD1319">
              <w:rPr>
                <w:rStyle w:val="Hipervnculo"/>
                <w:noProof/>
              </w:rPr>
              <w:t>Valoración en el escenario con proyecto</w:t>
            </w:r>
            <w:r w:rsidRPr="00BD1319">
              <w:rPr>
                <w:noProof/>
                <w:webHidden/>
              </w:rPr>
              <w:tab/>
            </w:r>
            <w:r w:rsidRPr="00BD1319">
              <w:rPr>
                <w:noProof/>
                <w:webHidden/>
              </w:rPr>
              <w:fldChar w:fldCharType="begin"/>
            </w:r>
            <w:r w:rsidRPr="00BD1319">
              <w:rPr>
                <w:noProof/>
                <w:webHidden/>
              </w:rPr>
              <w:instrText xml:space="preserve"> PAGEREF _Toc175326806 \h </w:instrText>
            </w:r>
            <w:r w:rsidRPr="00BD1319">
              <w:rPr>
                <w:noProof/>
                <w:webHidden/>
              </w:rPr>
            </w:r>
            <w:r w:rsidRPr="00BD1319">
              <w:rPr>
                <w:noProof/>
                <w:webHidden/>
              </w:rPr>
              <w:fldChar w:fldCharType="separate"/>
            </w:r>
            <w:r w:rsidRPr="00BD1319">
              <w:rPr>
                <w:noProof/>
                <w:webHidden/>
              </w:rPr>
              <w:t>382</w:t>
            </w:r>
            <w:r w:rsidRPr="00BD1319">
              <w:rPr>
                <w:noProof/>
                <w:webHidden/>
              </w:rPr>
              <w:fldChar w:fldCharType="end"/>
            </w:r>
          </w:hyperlink>
        </w:p>
        <w:p w14:paraId="238D09E8" w14:textId="6067018D" w:rsidR="00296654" w:rsidRPr="00BD1319" w:rsidRDefault="00296654">
          <w:pPr>
            <w:pStyle w:val="TDC3"/>
            <w:rPr>
              <w:rFonts w:asciiTheme="minorHAnsi" w:eastAsiaTheme="minorEastAsia" w:hAnsiTheme="minorHAnsi" w:cstheme="minorBidi"/>
              <w:iCs w:val="0"/>
              <w:caps w:val="0"/>
              <w:noProof/>
              <w:kern w:val="2"/>
              <w:szCs w:val="24"/>
              <w:lang w:eastAsia="es-CO"/>
              <w14:ligatures w14:val="standardContextual"/>
            </w:rPr>
          </w:pPr>
          <w:hyperlink w:anchor="_Toc175326807" w:history="1">
            <w:r w:rsidRPr="00BD1319">
              <w:rPr>
                <w:rStyle w:val="Hipervnculo"/>
                <w:noProof/>
              </w:rPr>
              <w:t>7.3.3</w:t>
            </w:r>
            <w:r w:rsidRPr="00BD1319">
              <w:rPr>
                <w:rFonts w:asciiTheme="minorHAnsi" w:eastAsiaTheme="minorEastAsia" w:hAnsiTheme="minorHAnsi" w:cstheme="minorBidi"/>
                <w:iCs w:val="0"/>
                <w:caps w:val="0"/>
                <w:noProof/>
                <w:kern w:val="2"/>
                <w:szCs w:val="24"/>
                <w:lang w:eastAsia="es-CO"/>
                <w14:ligatures w14:val="standardContextual"/>
              </w:rPr>
              <w:tab/>
            </w:r>
            <w:r w:rsidRPr="00BD1319">
              <w:rPr>
                <w:rStyle w:val="Hipervnculo"/>
                <w:noProof/>
              </w:rPr>
              <w:t>Determinación de impactos ambientales significativos</w:t>
            </w:r>
            <w:r w:rsidRPr="00BD1319">
              <w:rPr>
                <w:noProof/>
                <w:webHidden/>
              </w:rPr>
              <w:tab/>
            </w:r>
            <w:r w:rsidRPr="00BD1319">
              <w:rPr>
                <w:noProof/>
                <w:webHidden/>
              </w:rPr>
              <w:fldChar w:fldCharType="begin"/>
            </w:r>
            <w:r w:rsidRPr="00BD1319">
              <w:rPr>
                <w:noProof/>
                <w:webHidden/>
              </w:rPr>
              <w:instrText xml:space="preserve"> PAGEREF _Toc175326807 \h </w:instrText>
            </w:r>
            <w:r w:rsidRPr="00BD1319">
              <w:rPr>
                <w:noProof/>
                <w:webHidden/>
              </w:rPr>
            </w:r>
            <w:r w:rsidRPr="00BD1319">
              <w:rPr>
                <w:noProof/>
                <w:webHidden/>
              </w:rPr>
              <w:fldChar w:fldCharType="separate"/>
            </w:r>
            <w:r w:rsidRPr="00BD1319">
              <w:rPr>
                <w:noProof/>
                <w:webHidden/>
              </w:rPr>
              <w:t>386</w:t>
            </w:r>
            <w:r w:rsidRPr="00BD1319">
              <w:rPr>
                <w:noProof/>
                <w:webHidden/>
              </w:rPr>
              <w:fldChar w:fldCharType="end"/>
            </w:r>
          </w:hyperlink>
        </w:p>
        <w:p w14:paraId="74C1C718" w14:textId="7DDEEA0B" w:rsidR="00296654" w:rsidRPr="00BD1319" w:rsidRDefault="00296654">
          <w:pPr>
            <w:pStyle w:val="TDC3"/>
            <w:rPr>
              <w:rFonts w:asciiTheme="minorHAnsi" w:eastAsiaTheme="minorEastAsia" w:hAnsiTheme="minorHAnsi" w:cstheme="minorBidi"/>
              <w:iCs w:val="0"/>
              <w:caps w:val="0"/>
              <w:noProof/>
              <w:kern w:val="2"/>
              <w:szCs w:val="24"/>
              <w:lang w:eastAsia="es-CO"/>
              <w14:ligatures w14:val="standardContextual"/>
            </w:rPr>
          </w:pPr>
          <w:hyperlink w:anchor="_Toc175326808" w:history="1">
            <w:r w:rsidRPr="00BD1319">
              <w:rPr>
                <w:rStyle w:val="Hipervnculo"/>
                <w:noProof/>
              </w:rPr>
              <w:t>7.3.4</w:t>
            </w:r>
            <w:r w:rsidRPr="00BD1319">
              <w:rPr>
                <w:rFonts w:asciiTheme="minorHAnsi" w:eastAsiaTheme="minorEastAsia" w:hAnsiTheme="minorHAnsi" w:cstheme="minorBidi"/>
                <w:iCs w:val="0"/>
                <w:caps w:val="0"/>
                <w:noProof/>
                <w:kern w:val="2"/>
                <w:szCs w:val="24"/>
                <w:lang w:eastAsia="es-CO"/>
                <w14:ligatures w14:val="standardContextual"/>
              </w:rPr>
              <w:tab/>
            </w:r>
            <w:r w:rsidRPr="00BD1319">
              <w:rPr>
                <w:rStyle w:val="Hipervnculo"/>
                <w:noProof/>
              </w:rPr>
              <w:t>Evaluación de los impactos ambientales residuales acumulativos y sinérgicos</w:t>
            </w:r>
            <w:r w:rsidRPr="00BD1319">
              <w:rPr>
                <w:noProof/>
                <w:webHidden/>
              </w:rPr>
              <w:tab/>
            </w:r>
            <w:r w:rsidRPr="00BD1319">
              <w:rPr>
                <w:noProof/>
                <w:webHidden/>
              </w:rPr>
              <w:fldChar w:fldCharType="begin"/>
            </w:r>
            <w:r w:rsidRPr="00BD1319">
              <w:rPr>
                <w:noProof/>
                <w:webHidden/>
              </w:rPr>
              <w:instrText xml:space="preserve"> PAGEREF _Toc175326808 \h </w:instrText>
            </w:r>
            <w:r w:rsidRPr="00BD1319">
              <w:rPr>
                <w:noProof/>
                <w:webHidden/>
              </w:rPr>
            </w:r>
            <w:r w:rsidRPr="00BD1319">
              <w:rPr>
                <w:noProof/>
                <w:webHidden/>
              </w:rPr>
              <w:fldChar w:fldCharType="separate"/>
            </w:r>
            <w:r w:rsidRPr="00BD1319">
              <w:rPr>
                <w:noProof/>
                <w:webHidden/>
              </w:rPr>
              <w:t>388</w:t>
            </w:r>
            <w:r w:rsidRPr="00BD1319">
              <w:rPr>
                <w:noProof/>
                <w:webHidden/>
              </w:rPr>
              <w:fldChar w:fldCharType="end"/>
            </w:r>
          </w:hyperlink>
        </w:p>
        <w:p w14:paraId="48FFDE4D" w14:textId="34246A16" w:rsidR="00296654" w:rsidRPr="00BD1319" w:rsidRDefault="00296654">
          <w:pPr>
            <w:pStyle w:val="TDC2"/>
            <w:rPr>
              <w:rFonts w:asciiTheme="minorHAnsi" w:eastAsiaTheme="minorEastAsia" w:hAnsiTheme="minorHAnsi" w:cstheme="minorBidi"/>
              <w:b w:val="0"/>
              <w:caps w:val="0"/>
              <w:noProof/>
              <w:kern w:val="2"/>
              <w:szCs w:val="24"/>
              <w:lang w:eastAsia="es-CO"/>
              <w14:ligatures w14:val="standardContextual"/>
            </w:rPr>
          </w:pPr>
          <w:hyperlink w:anchor="_Toc175326809" w:history="1">
            <w:r w:rsidRPr="00BD1319">
              <w:rPr>
                <w:rStyle w:val="Hipervnculo"/>
                <w:rFonts w:cs="Arial"/>
                <w:noProof/>
              </w:rPr>
              <w:t>7.4</w:t>
            </w:r>
            <w:r w:rsidRPr="00BD1319">
              <w:rPr>
                <w:rFonts w:asciiTheme="minorHAnsi" w:eastAsiaTheme="minorEastAsia" w:hAnsiTheme="minorHAnsi" w:cstheme="minorBidi"/>
                <w:b w:val="0"/>
                <w:caps w:val="0"/>
                <w:noProof/>
                <w:kern w:val="2"/>
                <w:szCs w:val="24"/>
                <w:lang w:eastAsia="es-CO"/>
                <w14:ligatures w14:val="standardContextual"/>
              </w:rPr>
              <w:tab/>
            </w:r>
            <w:r w:rsidRPr="00BD1319">
              <w:rPr>
                <w:rStyle w:val="Hipervnculo"/>
                <w:noProof/>
              </w:rPr>
              <w:t>ESCENARIOS PROSPECTIVOS</w:t>
            </w:r>
            <w:r w:rsidRPr="00BD1319">
              <w:rPr>
                <w:noProof/>
                <w:webHidden/>
              </w:rPr>
              <w:tab/>
            </w:r>
            <w:r w:rsidRPr="00BD1319">
              <w:rPr>
                <w:noProof/>
                <w:webHidden/>
              </w:rPr>
              <w:fldChar w:fldCharType="begin"/>
            </w:r>
            <w:r w:rsidRPr="00BD1319">
              <w:rPr>
                <w:noProof/>
                <w:webHidden/>
              </w:rPr>
              <w:instrText xml:space="preserve"> PAGEREF _Toc175326809 \h </w:instrText>
            </w:r>
            <w:r w:rsidRPr="00BD1319">
              <w:rPr>
                <w:noProof/>
                <w:webHidden/>
              </w:rPr>
            </w:r>
            <w:r w:rsidRPr="00BD1319">
              <w:rPr>
                <w:noProof/>
                <w:webHidden/>
              </w:rPr>
              <w:fldChar w:fldCharType="separate"/>
            </w:r>
            <w:r w:rsidRPr="00BD1319">
              <w:rPr>
                <w:noProof/>
                <w:webHidden/>
              </w:rPr>
              <w:t>391</w:t>
            </w:r>
            <w:r w:rsidRPr="00BD1319">
              <w:rPr>
                <w:noProof/>
                <w:webHidden/>
              </w:rPr>
              <w:fldChar w:fldCharType="end"/>
            </w:r>
          </w:hyperlink>
        </w:p>
        <w:p w14:paraId="1B00101C" w14:textId="200FF966" w:rsidR="00296654" w:rsidRPr="00BD1319" w:rsidRDefault="00296654">
          <w:pPr>
            <w:pStyle w:val="TDC3"/>
            <w:rPr>
              <w:rFonts w:asciiTheme="minorHAnsi" w:eastAsiaTheme="minorEastAsia" w:hAnsiTheme="minorHAnsi" w:cstheme="minorBidi"/>
              <w:iCs w:val="0"/>
              <w:caps w:val="0"/>
              <w:noProof/>
              <w:kern w:val="2"/>
              <w:szCs w:val="24"/>
              <w:lang w:eastAsia="es-CO"/>
              <w14:ligatures w14:val="standardContextual"/>
            </w:rPr>
          </w:pPr>
          <w:hyperlink w:anchor="_Toc175326810" w:history="1">
            <w:r w:rsidRPr="00BD1319">
              <w:rPr>
                <w:rStyle w:val="Hipervnculo"/>
                <w:noProof/>
              </w:rPr>
              <w:t>7.4.1</w:t>
            </w:r>
            <w:r w:rsidRPr="00BD1319">
              <w:rPr>
                <w:rFonts w:asciiTheme="minorHAnsi" w:eastAsiaTheme="minorEastAsia" w:hAnsiTheme="minorHAnsi" w:cstheme="minorBidi"/>
                <w:iCs w:val="0"/>
                <w:caps w:val="0"/>
                <w:noProof/>
                <w:kern w:val="2"/>
                <w:szCs w:val="24"/>
                <w:lang w:eastAsia="es-CO"/>
                <w14:ligatures w14:val="standardContextual"/>
              </w:rPr>
              <w:tab/>
            </w:r>
            <w:r w:rsidRPr="00BD1319">
              <w:rPr>
                <w:rStyle w:val="Hipervnculo"/>
                <w:noProof/>
              </w:rPr>
              <w:t>Ruido</w:t>
            </w:r>
            <w:r w:rsidRPr="00BD1319">
              <w:rPr>
                <w:noProof/>
                <w:webHidden/>
              </w:rPr>
              <w:tab/>
            </w:r>
            <w:r w:rsidRPr="00BD1319">
              <w:rPr>
                <w:noProof/>
                <w:webHidden/>
              </w:rPr>
              <w:fldChar w:fldCharType="begin"/>
            </w:r>
            <w:r w:rsidRPr="00BD1319">
              <w:rPr>
                <w:noProof/>
                <w:webHidden/>
              </w:rPr>
              <w:instrText xml:space="preserve"> PAGEREF _Toc175326810 \h </w:instrText>
            </w:r>
            <w:r w:rsidRPr="00BD1319">
              <w:rPr>
                <w:noProof/>
                <w:webHidden/>
              </w:rPr>
            </w:r>
            <w:r w:rsidRPr="00BD1319">
              <w:rPr>
                <w:noProof/>
                <w:webHidden/>
              </w:rPr>
              <w:fldChar w:fldCharType="separate"/>
            </w:r>
            <w:r w:rsidRPr="00BD1319">
              <w:rPr>
                <w:noProof/>
                <w:webHidden/>
              </w:rPr>
              <w:t>391</w:t>
            </w:r>
            <w:r w:rsidRPr="00BD1319">
              <w:rPr>
                <w:noProof/>
                <w:webHidden/>
              </w:rPr>
              <w:fldChar w:fldCharType="end"/>
            </w:r>
          </w:hyperlink>
        </w:p>
        <w:p w14:paraId="6C76B75E" w14:textId="6C94A573" w:rsidR="00296654" w:rsidRPr="00BD1319" w:rsidRDefault="00296654">
          <w:pPr>
            <w:pStyle w:val="TDC3"/>
            <w:rPr>
              <w:rFonts w:asciiTheme="minorHAnsi" w:eastAsiaTheme="minorEastAsia" w:hAnsiTheme="minorHAnsi" w:cstheme="minorBidi"/>
              <w:iCs w:val="0"/>
              <w:caps w:val="0"/>
              <w:noProof/>
              <w:kern w:val="2"/>
              <w:szCs w:val="24"/>
              <w:lang w:eastAsia="es-CO"/>
              <w14:ligatures w14:val="standardContextual"/>
            </w:rPr>
          </w:pPr>
          <w:hyperlink w:anchor="_Toc175326811" w:history="1">
            <w:r w:rsidRPr="00BD1319">
              <w:rPr>
                <w:rStyle w:val="Hipervnculo"/>
                <w:noProof/>
              </w:rPr>
              <w:t>7.4.2</w:t>
            </w:r>
            <w:r w:rsidRPr="00BD1319">
              <w:rPr>
                <w:rFonts w:asciiTheme="minorHAnsi" w:eastAsiaTheme="minorEastAsia" w:hAnsiTheme="minorHAnsi" w:cstheme="minorBidi"/>
                <w:iCs w:val="0"/>
                <w:caps w:val="0"/>
                <w:noProof/>
                <w:kern w:val="2"/>
                <w:szCs w:val="24"/>
                <w:lang w:eastAsia="es-CO"/>
                <w14:ligatures w14:val="standardContextual"/>
              </w:rPr>
              <w:tab/>
            </w:r>
            <w:r w:rsidRPr="00BD1319">
              <w:rPr>
                <w:rStyle w:val="Hipervnculo"/>
                <w:noProof/>
              </w:rPr>
              <w:t>Paisaje</w:t>
            </w:r>
            <w:r w:rsidRPr="00BD1319">
              <w:rPr>
                <w:noProof/>
                <w:webHidden/>
              </w:rPr>
              <w:tab/>
            </w:r>
            <w:r w:rsidRPr="00BD1319">
              <w:rPr>
                <w:noProof/>
                <w:webHidden/>
              </w:rPr>
              <w:fldChar w:fldCharType="begin"/>
            </w:r>
            <w:r w:rsidRPr="00BD1319">
              <w:rPr>
                <w:noProof/>
                <w:webHidden/>
              </w:rPr>
              <w:instrText xml:space="preserve"> PAGEREF _Toc175326811 \h </w:instrText>
            </w:r>
            <w:r w:rsidRPr="00BD1319">
              <w:rPr>
                <w:noProof/>
                <w:webHidden/>
              </w:rPr>
            </w:r>
            <w:r w:rsidRPr="00BD1319">
              <w:rPr>
                <w:noProof/>
                <w:webHidden/>
              </w:rPr>
              <w:fldChar w:fldCharType="separate"/>
            </w:r>
            <w:r w:rsidRPr="00BD1319">
              <w:rPr>
                <w:noProof/>
                <w:webHidden/>
              </w:rPr>
              <w:t>396</w:t>
            </w:r>
            <w:r w:rsidRPr="00BD1319">
              <w:rPr>
                <w:noProof/>
                <w:webHidden/>
              </w:rPr>
              <w:fldChar w:fldCharType="end"/>
            </w:r>
          </w:hyperlink>
        </w:p>
        <w:p w14:paraId="21659001" w14:textId="456FAFC1" w:rsidR="00296654" w:rsidRPr="00BD1319" w:rsidRDefault="00296654">
          <w:pPr>
            <w:pStyle w:val="TDC3"/>
            <w:rPr>
              <w:rFonts w:asciiTheme="minorHAnsi" w:eastAsiaTheme="minorEastAsia" w:hAnsiTheme="minorHAnsi" w:cstheme="minorBidi"/>
              <w:iCs w:val="0"/>
              <w:caps w:val="0"/>
              <w:noProof/>
              <w:kern w:val="2"/>
              <w:szCs w:val="24"/>
              <w:lang w:eastAsia="es-CO"/>
              <w14:ligatures w14:val="standardContextual"/>
            </w:rPr>
          </w:pPr>
          <w:hyperlink w:anchor="_Toc175326812" w:history="1">
            <w:r w:rsidRPr="00BD1319">
              <w:rPr>
                <w:rStyle w:val="Hipervnculo"/>
                <w:noProof/>
              </w:rPr>
              <w:t>7.4.3</w:t>
            </w:r>
            <w:r w:rsidRPr="00BD1319">
              <w:rPr>
                <w:rFonts w:asciiTheme="minorHAnsi" w:eastAsiaTheme="minorEastAsia" w:hAnsiTheme="minorHAnsi" w:cstheme="minorBidi"/>
                <w:iCs w:val="0"/>
                <w:caps w:val="0"/>
                <w:noProof/>
                <w:kern w:val="2"/>
                <w:szCs w:val="24"/>
                <w:lang w:eastAsia="es-CO"/>
                <w14:ligatures w14:val="standardContextual"/>
              </w:rPr>
              <w:tab/>
            </w:r>
            <w:r w:rsidRPr="00BD1319">
              <w:rPr>
                <w:rStyle w:val="Hipervnculo"/>
                <w:noProof/>
              </w:rPr>
              <w:t>Oceanografía</w:t>
            </w:r>
            <w:r w:rsidRPr="00BD1319">
              <w:rPr>
                <w:noProof/>
                <w:webHidden/>
              </w:rPr>
              <w:tab/>
            </w:r>
            <w:r w:rsidRPr="00BD1319">
              <w:rPr>
                <w:noProof/>
                <w:webHidden/>
              </w:rPr>
              <w:fldChar w:fldCharType="begin"/>
            </w:r>
            <w:r w:rsidRPr="00BD1319">
              <w:rPr>
                <w:noProof/>
                <w:webHidden/>
              </w:rPr>
              <w:instrText xml:space="preserve"> PAGEREF _Toc175326812 \h </w:instrText>
            </w:r>
            <w:r w:rsidRPr="00BD1319">
              <w:rPr>
                <w:noProof/>
                <w:webHidden/>
              </w:rPr>
            </w:r>
            <w:r w:rsidRPr="00BD1319">
              <w:rPr>
                <w:noProof/>
                <w:webHidden/>
              </w:rPr>
              <w:fldChar w:fldCharType="separate"/>
            </w:r>
            <w:r w:rsidRPr="00BD1319">
              <w:rPr>
                <w:noProof/>
                <w:webHidden/>
              </w:rPr>
              <w:t>396</w:t>
            </w:r>
            <w:r w:rsidRPr="00BD1319">
              <w:rPr>
                <w:noProof/>
                <w:webHidden/>
              </w:rPr>
              <w:fldChar w:fldCharType="end"/>
            </w:r>
          </w:hyperlink>
        </w:p>
        <w:p w14:paraId="50523DC5" w14:textId="0442A21B" w:rsidR="00296654" w:rsidRPr="00BD1319" w:rsidRDefault="00296654">
          <w:pPr>
            <w:pStyle w:val="TDC1"/>
            <w:rPr>
              <w:rFonts w:asciiTheme="minorHAnsi" w:eastAsiaTheme="minorEastAsia" w:hAnsiTheme="minorHAnsi" w:cstheme="minorBidi"/>
              <w:b w:val="0"/>
              <w:bCs w:val="0"/>
              <w:caps w:val="0"/>
              <w:kern w:val="2"/>
              <w:lang w:eastAsia="es-CO"/>
              <w14:ligatures w14:val="standardContextual"/>
            </w:rPr>
          </w:pPr>
          <w:hyperlink w:anchor="_Toc175326813" w:history="1">
            <w:r w:rsidRPr="00BD1319">
              <w:rPr>
                <w:rStyle w:val="Hipervnculo"/>
              </w:rPr>
              <w:t>8.</w:t>
            </w:r>
            <w:r w:rsidRPr="00BD1319">
              <w:rPr>
                <w:rFonts w:asciiTheme="minorHAnsi" w:eastAsiaTheme="minorEastAsia" w:hAnsiTheme="minorHAnsi" w:cstheme="minorBidi"/>
                <w:b w:val="0"/>
                <w:bCs w:val="0"/>
                <w:caps w:val="0"/>
                <w:kern w:val="2"/>
                <w:lang w:eastAsia="es-CO"/>
                <w14:ligatures w14:val="standardContextual"/>
              </w:rPr>
              <w:tab/>
            </w:r>
            <w:r w:rsidRPr="00BD1319">
              <w:rPr>
                <w:rStyle w:val="Hipervnculo"/>
              </w:rPr>
              <w:t>EVALUACIÓN ECONÓMICA AMBIENTAL</w:t>
            </w:r>
            <w:r w:rsidRPr="00BD1319">
              <w:rPr>
                <w:webHidden/>
              </w:rPr>
              <w:tab/>
            </w:r>
            <w:r w:rsidRPr="00BD1319">
              <w:rPr>
                <w:webHidden/>
              </w:rPr>
              <w:fldChar w:fldCharType="begin"/>
            </w:r>
            <w:r w:rsidRPr="00BD1319">
              <w:rPr>
                <w:webHidden/>
              </w:rPr>
              <w:instrText xml:space="preserve"> PAGEREF _Toc175326813 \h </w:instrText>
            </w:r>
            <w:r w:rsidRPr="00BD1319">
              <w:rPr>
                <w:webHidden/>
              </w:rPr>
            </w:r>
            <w:r w:rsidRPr="00BD1319">
              <w:rPr>
                <w:webHidden/>
              </w:rPr>
              <w:fldChar w:fldCharType="separate"/>
            </w:r>
            <w:r w:rsidRPr="00BD1319">
              <w:rPr>
                <w:webHidden/>
              </w:rPr>
              <w:t>397</w:t>
            </w:r>
            <w:r w:rsidRPr="00BD1319">
              <w:rPr>
                <w:webHidden/>
              </w:rPr>
              <w:fldChar w:fldCharType="end"/>
            </w:r>
          </w:hyperlink>
        </w:p>
        <w:p w14:paraId="7E188C60" w14:textId="223FBF6C" w:rsidR="00296654" w:rsidRPr="00BD1319" w:rsidRDefault="00296654">
          <w:pPr>
            <w:pStyle w:val="TDC3"/>
            <w:rPr>
              <w:rFonts w:asciiTheme="minorHAnsi" w:eastAsiaTheme="minorEastAsia" w:hAnsiTheme="minorHAnsi" w:cstheme="minorBidi"/>
              <w:iCs w:val="0"/>
              <w:caps w:val="0"/>
              <w:noProof/>
              <w:kern w:val="2"/>
              <w:szCs w:val="24"/>
              <w:lang w:eastAsia="es-CO"/>
              <w14:ligatures w14:val="standardContextual"/>
            </w:rPr>
          </w:pPr>
          <w:hyperlink w:anchor="_Toc175326814" w:history="1">
            <w:r w:rsidRPr="00BD1319">
              <w:rPr>
                <w:rStyle w:val="Hipervnculo"/>
                <w:noProof/>
              </w:rPr>
              <w:t>8.1.1</w:t>
            </w:r>
            <w:r w:rsidRPr="00BD1319">
              <w:rPr>
                <w:rFonts w:asciiTheme="minorHAnsi" w:eastAsiaTheme="minorEastAsia" w:hAnsiTheme="minorHAnsi" w:cstheme="minorBidi"/>
                <w:iCs w:val="0"/>
                <w:caps w:val="0"/>
                <w:noProof/>
                <w:kern w:val="2"/>
                <w:szCs w:val="24"/>
                <w:lang w:eastAsia="es-CO"/>
                <w14:ligatures w14:val="standardContextual"/>
              </w:rPr>
              <w:tab/>
            </w:r>
            <w:r w:rsidRPr="00BD1319">
              <w:rPr>
                <w:rStyle w:val="Hipervnculo"/>
                <w:noProof/>
              </w:rPr>
              <w:t>Etapas de la evaluación económica ambiental en el proceso de elaboración del EIA</w:t>
            </w:r>
            <w:r w:rsidRPr="00BD1319">
              <w:rPr>
                <w:noProof/>
                <w:webHidden/>
              </w:rPr>
              <w:tab/>
            </w:r>
            <w:r w:rsidRPr="00BD1319">
              <w:rPr>
                <w:noProof/>
                <w:webHidden/>
              </w:rPr>
              <w:fldChar w:fldCharType="begin"/>
            </w:r>
            <w:r w:rsidRPr="00BD1319">
              <w:rPr>
                <w:noProof/>
                <w:webHidden/>
              </w:rPr>
              <w:instrText xml:space="preserve"> PAGEREF _Toc175326814 \h </w:instrText>
            </w:r>
            <w:r w:rsidRPr="00BD1319">
              <w:rPr>
                <w:noProof/>
                <w:webHidden/>
              </w:rPr>
            </w:r>
            <w:r w:rsidRPr="00BD1319">
              <w:rPr>
                <w:noProof/>
                <w:webHidden/>
              </w:rPr>
              <w:fldChar w:fldCharType="separate"/>
            </w:r>
            <w:r w:rsidRPr="00BD1319">
              <w:rPr>
                <w:noProof/>
                <w:webHidden/>
              </w:rPr>
              <w:t>397</w:t>
            </w:r>
            <w:r w:rsidRPr="00BD1319">
              <w:rPr>
                <w:noProof/>
                <w:webHidden/>
              </w:rPr>
              <w:fldChar w:fldCharType="end"/>
            </w:r>
          </w:hyperlink>
        </w:p>
        <w:p w14:paraId="0ECE289A" w14:textId="44C0D9E9" w:rsidR="00296654" w:rsidRPr="00BD1319" w:rsidRDefault="00296654">
          <w:pPr>
            <w:pStyle w:val="TDC3"/>
            <w:rPr>
              <w:rFonts w:asciiTheme="minorHAnsi" w:eastAsiaTheme="minorEastAsia" w:hAnsiTheme="minorHAnsi" w:cstheme="minorBidi"/>
              <w:iCs w:val="0"/>
              <w:caps w:val="0"/>
              <w:noProof/>
              <w:kern w:val="2"/>
              <w:szCs w:val="24"/>
              <w:lang w:eastAsia="es-CO"/>
              <w14:ligatures w14:val="standardContextual"/>
            </w:rPr>
          </w:pPr>
          <w:hyperlink w:anchor="_Toc175326815" w:history="1">
            <w:r w:rsidRPr="00BD1319">
              <w:rPr>
                <w:rStyle w:val="Hipervnculo"/>
                <w:noProof/>
              </w:rPr>
              <w:t>8.1.2</w:t>
            </w:r>
            <w:r w:rsidRPr="00BD1319">
              <w:rPr>
                <w:rFonts w:asciiTheme="minorHAnsi" w:eastAsiaTheme="minorEastAsia" w:hAnsiTheme="minorHAnsi" w:cstheme="minorBidi"/>
                <w:iCs w:val="0"/>
                <w:caps w:val="0"/>
                <w:noProof/>
                <w:kern w:val="2"/>
                <w:szCs w:val="24"/>
                <w:lang w:eastAsia="es-CO"/>
                <w14:ligatures w14:val="standardContextual"/>
              </w:rPr>
              <w:tab/>
            </w:r>
            <w:r w:rsidRPr="00BD1319">
              <w:rPr>
                <w:rStyle w:val="Hipervnculo"/>
                <w:noProof/>
              </w:rPr>
              <w:t>Etapas de la evaluación económica ambiental en el proceso de modificación de licencia ambiental</w:t>
            </w:r>
            <w:r w:rsidRPr="00BD1319">
              <w:rPr>
                <w:noProof/>
                <w:webHidden/>
              </w:rPr>
              <w:tab/>
            </w:r>
            <w:r w:rsidRPr="00BD1319">
              <w:rPr>
                <w:noProof/>
                <w:webHidden/>
              </w:rPr>
              <w:fldChar w:fldCharType="begin"/>
            </w:r>
            <w:r w:rsidRPr="00BD1319">
              <w:rPr>
                <w:noProof/>
                <w:webHidden/>
              </w:rPr>
              <w:instrText xml:space="preserve"> PAGEREF _Toc175326815 \h </w:instrText>
            </w:r>
            <w:r w:rsidRPr="00BD1319">
              <w:rPr>
                <w:noProof/>
                <w:webHidden/>
              </w:rPr>
            </w:r>
            <w:r w:rsidRPr="00BD1319">
              <w:rPr>
                <w:noProof/>
                <w:webHidden/>
              </w:rPr>
              <w:fldChar w:fldCharType="separate"/>
            </w:r>
            <w:r w:rsidRPr="00BD1319">
              <w:rPr>
                <w:noProof/>
                <w:webHidden/>
              </w:rPr>
              <w:t>403</w:t>
            </w:r>
            <w:r w:rsidRPr="00BD1319">
              <w:rPr>
                <w:noProof/>
                <w:webHidden/>
              </w:rPr>
              <w:fldChar w:fldCharType="end"/>
            </w:r>
          </w:hyperlink>
        </w:p>
        <w:p w14:paraId="15F85AD0" w14:textId="419B223B" w:rsidR="00296654" w:rsidRPr="00BD1319" w:rsidRDefault="00296654">
          <w:pPr>
            <w:pStyle w:val="TDC1"/>
            <w:rPr>
              <w:rFonts w:asciiTheme="minorHAnsi" w:eastAsiaTheme="minorEastAsia" w:hAnsiTheme="minorHAnsi" w:cstheme="minorBidi"/>
              <w:b w:val="0"/>
              <w:bCs w:val="0"/>
              <w:caps w:val="0"/>
              <w:kern w:val="2"/>
              <w:lang w:eastAsia="es-CO"/>
              <w14:ligatures w14:val="standardContextual"/>
            </w:rPr>
          </w:pPr>
          <w:hyperlink w:anchor="_Toc175326816" w:history="1">
            <w:r w:rsidRPr="00BD1319">
              <w:rPr>
                <w:rStyle w:val="Hipervnculo"/>
              </w:rPr>
              <w:t>9.</w:t>
            </w:r>
            <w:r w:rsidRPr="00BD1319">
              <w:rPr>
                <w:rFonts w:asciiTheme="minorHAnsi" w:eastAsiaTheme="minorEastAsia" w:hAnsiTheme="minorHAnsi" w:cstheme="minorBidi"/>
                <w:b w:val="0"/>
                <w:bCs w:val="0"/>
                <w:caps w:val="0"/>
                <w:kern w:val="2"/>
                <w:lang w:eastAsia="es-CO"/>
                <w14:ligatures w14:val="standardContextual"/>
              </w:rPr>
              <w:tab/>
            </w:r>
            <w:r w:rsidRPr="00BD1319">
              <w:rPr>
                <w:rStyle w:val="Hipervnculo"/>
              </w:rPr>
              <w:t>ZONIFICACIÓN DE MANEJO AMBIENTAL</w:t>
            </w:r>
            <w:r w:rsidRPr="00BD1319">
              <w:rPr>
                <w:webHidden/>
              </w:rPr>
              <w:tab/>
            </w:r>
            <w:r w:rsidRPr="00BD1319">
              <w:rPr>
                <w:webHidden/>
              </w:rPr>
              <w:fldChar w:fldCharType="begin"/>
            </w:r>
            <w:r w:rsidRPr="00BD1319">
              <w:rPr>
                <w:webHidden/>
              </w:rPr>
              <w:instrText xml:space="preserve"> PAGEREF _Toc175326816 \h </w:instrText>
            </w:r>
            <w:r w:rsidRPr="00BD1319">
              <w:rPr>
                <w:webHidden/>
              </w:rPr>
            </w:r>
            <w:r w:rsidRPr="00BD1319">
              <w:rPr>
                <w:webHidden/>
              </w:rPr>
              <w:fldChar w:fldCharType="separate"/>
            </w:r>
            <w:r w:rsidRPr="00BD1319">
              <w:rPr>
                <w:webHidden/>
              </w:rPr>
              <w:t>403</w:t>
            </w:r>
            <w:r w:rsidRPr="00BD1319">
              <w:rPr>
                <w:webHidden/>
              </w:rPr>
              <w:fldChar w:fldCharType="end"/>
            </w:r>
          </w:hyperlink>
        </w:p>
        <w:p w14:paraId="73C0A03F" w14:textId="2FBC62DE" w:rsidR="00296654" w:rsidRPr="00BD1319" w:rsidRDefault="00296654">
          <w:pPr>
            <w:pStyle w:val="TDC1"/>
            <w:rPr>
              <w:rFonts w:asciiTheme="minorHAnsi" w:eastAsiaTheme="minorEastAsia" w:hAnsiTheme="minorHAnsi" w:cstheme="minorBidi"/>
              <w:b w:val="0"/>
              <w:bCs w:val="0"/>
              <w:caps w:val="0"/>
              <w:kern w:val="2"/>
              <w:lang w:eastAsia="es-CO"/>
              <w14:ligatures w14:val="standardContextual"/>
            </w:rPr>
          </w:pPr>
          <w:hyperlink w:anchor="_Toc175326817" w:history="1">
            <w:r w:rsidRPr="00BD1319">
              <w:rPr>
                <w:rStyle w:val="Hipervnculo"/>
              </w:rPr>
              <w:t>10.</w:t>
            </w:r>
            <w:r w:rsidRPr="00BD1319">
              <w:rPr>
                <w:rFonts w:asciiTheme="minorHAnsi" w:eastAsiaTheme="minorEastAsia" w:hAnsiTheme="minorHAnsi" w:cstheme="minorBidi"/>
                <w:b w:val="0"/>
                <w:bCs w:val="0"/>
                <w:caps w:val="0"/>
                <w:kern w:val="2"/>
                <w:lang w:eastAsia="es-CO"/>
                <w14:ligatures w14:val="standardContextual"/>
              </w:rPr>
              <w:tab/>
            </w:r>
            <w:r w:rsidRPr="00BD1319">
              <w:rPr>
                <w:rStyle w:val="Hipervnculo"/>
              </w:rPr>
              <w:t>PLANES Y PROGRAMAS</w:t>
            </w:r>
            <w:r w:rsidRPr="00BD1319">
              <w:rPr>
                <w:webHidden/>
              </w:rPr>
              <w:tab/>
            </w:r>
            <w:r w:rsidRPr="00BD1319">
              <w:rPr>
                <w:webHidden/>
              </w:rPr>
              <w:fldChar w:fldCharType="begin"/>
            </w:r>
            <w:r w:rsidRPr="00BD1319">
              <w:rPr>
                <w:webHidden/>
              </w:rPr>
              <w:instrText xml:space="preserve"> PAGEREF _Toc175326817 \h </w:instrText>
            </w:r>
            <w:r w:rsidRPr="00BD1319">
              <w:rPr>
                <w:webHidden/>
              </w:rPr>
            </w:r>
            <w:r w:rsidRPr="00BD1319">
              <w:rPr>
                <w:webHidden/>
              </w:rPr>
              <w:fldChar w:fldCharType="separate"/>
            </w:r>
            <w:r w:rsidRPr="00BD1319">
              <w:rPr>
                <w:webHidden/>
              </w:rPr>
              <w:t>408</w:t>
            </w:r>
            <w:r w:rsidRPr="00BD1319">
              <w:rPr>
                <w:webHidden/>
              </w:rPr>
              <w:fldChar w:fldCharType="end"/>
            </w:r>
          </w:hyperlink>
        </w:p>
        <w:p w14:paraId="3FD0840D" w14:textId="3A0EC88D" w:rsidR="00296654" w:rsidRPr="00BD1319" w:rsidRDefault="00296654">
          <w:pPr>
            <w:pStyle w:val="TDC2"/>
            <w:rPr>
              <w:rFonts w:asciiTheme="minorHAnsi" w:eastAsiaTheme="minorEastAsia" w:hAnsiTheme="minorHAnsi" w:cstheme="minorBidi"/>
              <w:b w:val="0"/>
              <w:caps w:val="0"/>
              <w:noProof/>
              <w:kern w:val="2"/>
              <w:szCs w:val="24"/>
              <w:lang w:eastAsia="es-CO"/>
              <w14:ligatures w14:val="standardContextual"/>
            </w:rPr>
          </w:pPr>
          <w:hyperlink w:anchor="_Toc175326818" w:history="1">
            <w:r w:rsidRPr="00BD1319">
              <w:rPr>
                <w:rStyle w:val="Hipervnculo"/>
                <w:rFonts w:cs="Arial"/>
                <w:noProof/>
              </w:rPr>
              <w:t>10.1</w:t>
            </w:r>
            <w:r w:rsidRPr="00BD1319">
              <w:rPr>
                <w:rFonts w:asciiTheme="minorHAnsi" w:eastAsiaTheme="minorEastAsia" w:hAnsiTheme="minorHAnsi" w:cstheme="minorBidi"/>
                <w:b w:val="0"/>
                <w:caps w:val="0"/>
                <w:noProof/>
                <w:kern w:val="2"/>
                <w:szCs w:val="24"/>
                <w:lang w:eastAsia="es-CO"/>
                <w14:ligatures w14:val="standardContextual"/>
              </w:rPr>
              <w:tab/>
            </w:r>
            <w:r w:rsidRPr="00BD1319">
              <w:rPr>
                <w:rStyle w:val="Hipervnculo"/>
                <w:noProof/>
              </w:rPr>
              <w:t>PLAN DE MANEJO AMBIENTAL</w:t>
            </w:r>
            <w:r w:rsidRPr="00BD1319">
              <w:rPr>
                <w:noProof/>
                <w:webHidden/>
              </w:rPr>
              <w:tab/>
            </w:r>
            <w:r w:rsidRPr="00BD1319">
              <w:rPr>
                <w:noProof/>
                <w:webHidden/>
              </w:rPr>
              <w:fldChar w:fldCharType="begin"/>
            </w:r>
            <w:r w:rsidRPr="00BD1319">
              <w:rPr>
                <w:noProof/>
                <w:webHidden/>
              </w:rPr>
              <w:instrText xml:space="preserve"> PAGEREF _Toc175326818 \h </w:instrText>
            </w:r>
            <w:r w:rsidRPr="00BD1319">
              <w:rPr>
                <w:noProof/>
                <w:webHidden/>
              </w:rPr>
            </w:r>
            <w:r w:rsidRPr="00BD1319">
              <w:rPr>
                <w:noProof/>
                <w:webHidden/>
              </w:rPr>
              <w:fldChar w:fldCharType="separate"/>
            </w:r>
            <w:r w:rsidRPr="00BD1319">
              <w:rPr>
                <w:noProof/>
                <w:webHidden/>
              </w:rPr>
              <w:t>410</w:t>
            </w:r>
            <w:r w:rsidRPr="00BD1319">
              <w:rPr>
                <w:noProof/>
                <w:webHidden/>
              </w:rPr>
              <w:fldChar w:fldCharType="end"/>
            </w:r>
          </w:hyperlink>
        </w:p>
        <w:p w14:paraId="3D66C79B" w14:textId="7B09E21E" w:rsidR="00296654" w:rsidRPr="00BD1319" w:rsidRDefault="00296654">
          <w:pPr>
            <w:pStyle w:val="TDC3"/>
            <w:tabs>
              <w:tab w:val="left" w:pos="1200"/>
            </w:tabs>
            <w:rPr>
              <w:rFonts w:asciiTheme="minorHAnsi" w:eastAsiaTheme="minorEastAsia" w:hAnsiTheme="minorHAnsi" w:cstheme="minorBidi"/>
              <w:iCs w:val="0"/>
              <w:caps w:val="0"/>
              <w:noProof/>
              <w:kern w:val="2"/>
              <w:szCs w:val="24"/>
              <w:lang w:eastAsia="es-CO"/>
              <w14:ligatures w14:val="standardContextual"/>
            </w:rPr>
          </w:pPr>
          <w:hyperlink w:anchor="_Toc175326819" w:history="1">
            <w:r w:rsidRPr="00BD1319">
              <w:rPr>
                <w:rStyle w:val="Hipervnculo"/>
                <w:noProof/>
              </w:rPr>
              <w:t>10.1.1</w:t>
            </w:r>
            <w:r w:rsidRPr="00BD1319">
              <w:rPr>
                <w:rFonts w:asciiTheme="minorHAnsi" w:eastAsiaTheme="minorEastAsia" w:hAnsiTheme="minorHAnsi" w:cstheme="minorBidi"/>
                <w:iCs w:val="0"/>
                <w:caps w:val="0"/>
                <w:noProof/>
                <w:kern w:val="2"/>
                <w:szCs w:val="24"/>
                <w:lang w:eastAsia="es-CO"/>
                <w14:ligatures w14:val="standardContextual"/>
              </w:rPr>
              <w:tab/>
            </w:r>
            <w:r w:rsidRPr="00BD1319">
              <w:rPr>
                <w:rStyle w:val="Hipervnculo"/>
                <w:noProof/>
              </w:rPr>
              <w:t>Programa de reasentamiento involuntario de población</w:t>
            </w:r>
            <w:r w:rsidRPr="00BD1319">
              <w:rPr>
                <w:noProof/>
                <w:webHidden/>
              </w:rPr>
              <w:tab/>
            </w:r>
            <w:r w:rsidRPr="00BD1319">
              <w:rPr>
                <w:noProof/>
                <w:webHidden/>
              </w:rPr>
              <w:fldChar w:fldCharType="begin"/>
            </w:r>
            <w:r w:rsidRPr="00BD1319">
              <w:rPr>
                <w:noProof/>
                <w:webHidden/>
              </w:rPr>
              <w:instrText xml:space="preserve"> PAGEREF _Toc175326819 \h </w:instrText>
            </w:r>
            <w:r w:rsidRPr="00BD1319">
              <w:rPr>
                <w:noProof/>
                <w:webHidden/>
              </w:rPr>
            </w:r>
            <w:r w:rsidRPr="00BD1319">
              <w:rPr>
                <w:noProof/>
                <w:webHidden/>
              </w:rPr>
              <w:fldChar w:fldCharType="separate"/>
            </w:r>
            <w:r w:rsidRPr="00BD1319">
              <w:rPr>
                <w:noProof/>
                <w:webHidden/>
              </w:rPr>
              <w:t>417</w:t>
            </w:r>
            <w:r w:rsidRPr="00BD1319">
              <w:rPr>
                <w:noProof/>
                <w:webHidden/>
              </w:rPr>
              <w:fldChar w:fldCharType="end"/>
            </w:r>
          </w:hyperlink>
        </w:p>
        <w:p w14:paraId="2B0459D4" w14:textId="063D13B0" w:rsidR="00296654" w:rsidRPr="00BD1319" w:rsidRDefault="00296654">
          <w:pPr>
            <w:pStyle w:val="TDC2"/>
            <w:rPr>
              <w:rFonts w:asciiTheme="minorHAnsi" w:eastAsiaTheme="minorEastAsia" w:hAnsiTheme="minorHAnsi" w:cstheme="minorBidi"/>
              <w:b w:val="0"/>
              <w:caps w:val="0"/>
              <w:noProof/>
              <w:kern w:val="2"/>
              <w:szCs w:val="24"/>
              <w:lang w:eastAsia="es-CO"/>
              <w14:ligatures w14:val="standardContextual"/>
            </w:rPr>
          </w:pPr>
          <w:hyperlink w:anchor="_Toc175326820" w:history="1">
            <w:r w:rsidRPr="00BD1319">
              <w:rPr>
                <w:rStyle w:val="Hipervnculo"/>
                <w:rFonts w:cs="Arial"/>
                <w:noProof/>
              </w:rPr>
              <w:t>10.2</w:t>
            </w:r>
            <w:r w:rsidRPr="00BD1319">
              <w:rPr>
                <w:rFonts w:asciiTheme="minorHAnsi" w:eastAsiaTheme="minorEastAsia" w:hAnsiTheme="minorHAnsi" w:cstheme="minorBidi"/>
                <w:b w:val="0"/>
                <w:caps w:val="0"/>
                <w:noProof/>
                <w:kern w:val="2"/>
                <w:szCs w:val="24"/>
                <w:lang w:eastAsia="es-CO"/>
                <w14:ligatures w14:val="standardContextual"/>
              </w:rPr>
              <w:tab/>
            </w:r>
            <w:r w:rsidRPr="00BD1319">
              <w:rPr>
                <w:rStyle w:val="Hipervnculo"/>
                <w:noProof/>
              </w:rPr>
              <w:t>PLAN DE SEGUIMIENTO Y MONITOREO</w:t>
            </w:r>
            <w:r w:rsidRPr="00BD1319">
              <w:rPr>
                <w:noProof/>
                <w:webHidden/>
              </w:rPr>
              <w:tab/>
            </w:r>
            <w:r w:rsidRPr="00BD1319">
              <w:rPr>
                <w:noProof/>
                <w:webHidden/>
              </w:rPr>
              <w:fldChar w:fldCharType="begin"/>
            </w:r>
            <w:r w:rsidRPr="00BD1319">
              <w:rPr>
                <w:noProof/>
                <w:webHidden/>
              </w:rPr>
              <w:instrText xml:space="preserve"> PAGEREF _Toc175326820 \h </w:instrText>
            </w:r>
            <w:r w:rsidRPr="00BD1319">
              <w:rPr>
                <w:noProof/>
                <w:webHidden/>
              </w:rPr>
            </w:r>
            <w:r w:rsidRPr="00BD1319">
              <w:rPr>
                <w:noProof/>
                <w:webHidden/>
              </w:rPr>
              <w:fldChar w:fldCharType="separate"/>
            </w:r>
            <w:r w:rsidRPr="00BD1319">
              <w:rPr>
                <w:noProof/>
                <w:webHidden/>
              </w:rPr>
              <w:t>418</w:t>
            </w:r>
            <w:r w:rsidRPr="00BD1319">
              <w:rPr>
                <w:noProof/>
                <w:webHidden/>
              </w:rPr>
              <w:fldChar w:fldCharType="end"/>
            </w:r>
          </w:hyperlink>
        </w:p>
        <w:p w14:paraId="60F6EFA8" w14:textId="27E82400" w:rsidR="00296654" w:rsidRPr="00BD1319" w:rsidRDefault="00296654">
          <w:pPr>
            <w:pStyle w:val="TDC3"/>
            <w:tabs>
              <w:tab w:val="left" w:pos="1200"/>
            </w:tabs>
            <w:rPr>
              <w:rFonts w:asciiTheme="minorHAnsi" w:eastAsiaTheme="minorEastAsia" w:hAnsiTheme="minorHAnsi" w:cstheme="minorBidi"/>
              <w:iCs w:val="0"/>
              <w:caps w:val="0"/>
              <w:noProof/>
              <w:kern w:val="2"/>
              <w:szCs w:val="24"/>
              <w:lang w:eastAsia="es-CO"/>
              <w14:ligatures w14:val="standardContextual"/>
            </w:rPr>
          </w:pPr>
          <w:hyperlink w:anchor="_Toc175326821" w:history="1">
            <w:r w:rsidRPr="00BD1319">
              <w:rPr>
                <w:rStyle w:val="Hipervnculo"/>
                <w:noProof/>
              </w:rPr>
              <w:t>10.2.1</w:t>
            </w:r>
            <w:r w:rsidRPr="00BD1319">
              <w:rPr>
                <w:rFonts w:asciiTheme="minorHAnsi" w:eastAsiaTheme="minorEastAsia" w:hAnsiTheme="minorHAnsi" w:cstheme="minorBidi"/>
                <w:iCs w:val="0"/>
                <w:caps w:val="0"/>
                <w:noProof/>
                <w:kern w:val="2"/>
                <w:szCs w:val="24"/>
                <w:lang w:eastAsia="es-CO"/>
                <w14:ligatures w14:val="standardContextual"/>
              </w:rPr>
              <w:tab/>
            </w:r>
            <w:r w:rsidRPr="00BD1319">
              <w:rPr>
                <w:rStyle w:val="Hipervnculo"/>
                <w:noProof/>
              </w:rPr>
              <w:t>Seguimiento y monitoreo al estado de los medios y a la eficacia de las medidas y acciones</w:t>
            </w:r>
            <w:r w:rsidRPr="00BD1319">
              <w:rPr>
                <w:noProof/>
                <w:webHidden/>
              </w:rPr>
              <w:tab/>
            </w:r>
            <w:r w:rsidRPr="00BD1319">
              <w:rPr>
                <w:noProof/>
                <w:webHidden/>
              </w:rPr>
              <w:fldChar w:fldCharType="begin"/>
            </w:r>
            <w:r w:rsidRPr="00BD1319">
              <w:rPr>
                <w:noProof/>
                <w:webHidden/>
              </w:rPr>
              <w:instrText xml:space="preserve"> PAGEREF _Toc175326821 \h </w:instrText>
            </w:r>
            <w:r w:rsidRPr="00BD1319">
              <w:rPr>
                <w:noProof/>
                <w:webHidden/>
              </w:rPr>
            </w:r>
            <w:r w:rsidRPr="00BD1319">
              <w:rPr>
                <w:noProof/>
                <w:webHidden/>
              </w:rPr>
              <w:fldChar w:fldCharType="separate"/>
            </w:r>
            <w:r w:rsidRPr="00BD1319">
              <w:rPr>
                <w:noProof/>
                <w:webHidden/>
              </w:rPr>
              <w:t>421</w:t>
            </w:r>
            <w:r w:rsidRPr="00BD1319">
              <w:rPr>
                <w:noProof/>
                <w:webHidden/>
              </w:rPr>
              <w:fldChar w:fldCharType="end"/>
            </w:r>
          </w:hyperlink>
        </w:p>
        <w:p w14:paraId="7C54F178" w14:textId="5ED07A0E" w:rsidR="00296654" w:rsidRPr="00BD1319" w:rsidRDefault="00296654">
          <w:pPr>
            <w:pStyle w:val="TDC3"/>
            <w:tabs>
              <w:tab w:val="left" w:pos="1200"/>
            </w:tabs>
            <w:rPr>
              <w:rFonts w:asciiTheme="minorHAnsi" w:eastAsiaTheme="minorEastAsia" w:hAnsiTheme="minorHAnsi" w:cstheme="minorBidi"/>
              <w:iCs w:val="0"/>
              <w:caps w:val="0"/>
              <w:noProof/>
              <w:kern w:val="2"/>
              <w:szCs w:val="24"/>
              <w:lang w:eastAsia="es-CO"/>
              <w14:ligatures w14:val="standardContextual"/>
            </w:rPr>
          </w:pPr>
          <w:hyperlink w:anchor="_Toc175326822" w:history="1">
            <w:r w:rsidRPr="00BD1319">
              <w:rPr>
                <w:rStyle w:val="Hipervnculo"/>
                <w:noProof/>
              </w:rPr>
              <w:t>10.2.2</w:t>
            </w:r>
            <w:r w:rsidRPr="00BD1319">
              <w:rPr>
                <w:rFonts w:asciiTheme="minorHAnsi" w:eastAsiaTheme="minorEastAsia" w:hAnsiTheme="minorHAnsi" w:cstheme="minorBidi"/>
                <w:iCs w:val="0"/>
                <w:caps w:val="0"/>
                <w:noProof/>
                <w:kern w:val="2"/>
                <w:szCs w:val="24"/>
                <w:lang w:eastAsia="es-CO"/>
                <w14:ligatures w14:val="standardContextual"/>
              </w:rPr>
              <w:tab/>
            </w:r>
            <w:r w:rsidRPr="00BD1319">
              <w:rPr>
                <w:rStyle w:val="Hipervnculo"/>
                <w:noProof/>
              </w:rPr>
              <w:t>Seguimiento y monitoreo a la eficiencia de las medidas y acciones</w:t>
            </w:r>
            <w:r w:rsidRPr="00BD1319">
              <w:rPr>
                <w:noProof/>
                <w:webHidden/>
              </w:rPr>
              <w:tab/>
            </w:r>
            <w:r w:rsidRPr="00BD1319">
              <w:rPr>
                <w:noProof/>
                <w:webHidden/>
              </w:rPr>
              <w:fldChar w:fldCharType="begin"/>
            </w:r>
            <w:r w:rsidRPr="00BD1319">
              <w:rPr>
                <w:noProof/>
                <w:webHidden/>
              </w:rPr>
              <w:instrText xml:space="preserve"> PAGEREF _Toc175326822 \h </w:instrText>
            </w:r>
            <w:r w:rsidRPr="00BD1319">
              <w:rPr>
                <w:noProof/>
                <w:webHidden/>
              </w:rPr>
            </w:r>
            <w:r w:rsidRPr="00BD1319">
              <w:rPr>
                <w:noProof/>
                <w:webHidden/>
              </w:rPr>
              <w:fldChar w:fldCharType="separate"/>
            </w:r>
            <w:r w:rsidRPr="00BD1319">
              <w:rPr>
                <w:noProof/>
                <w:webHidden/>
              </w:rPr>
              <w:t>422</w:t>
            </w:r>
            <w:r w:rsidRPr="00BD1319">
              <w:rPr>
                <w:noProof/>
                <w:webHidden/>
              </w:rPr>
              <w:fldChar w:fldCharType="end"/>
            </w:r>
          </w:hyperlink>
        </w:p>
        <w:p w14:paraId="61C088F2" w14:textId="664E94DD" w:rsidR="00296654" w:rsidRPr="00BD1319" w:rsidRDefault="00296654">
          <w:pPr>
            <w:pStyle w:val="TDC2"/>
            <w:rPr>
              <w:rFonts w:asciiTheme="minorHAnsi" w:eastAsiaTheme="minorEastAsia" w:hAnsiTheme="minorHAnsi" w:cstheme="minorBidi"/>
              <w:b w:val="0"/>
              <w:caps w:val="0"/>
              <w:noProof/>
              <w:kern w:val="2"/>
              <w:szCs w:val="24"/>
              <w:lang w:eastAsia="es-CO"/>
              <w14:ligatures w14:val="standardContextual"/>
            </w:rPr>
          </w:pPr>
          <w:hyperlink w:anchor="_Toc175326823" w:history="1">
            <w:r w:rsidRPr="00BD1319">
              <w:rPr>
                <w:rStyle w:val="Hipervnculo"/>
                <w:rFonts w:cs="Arial"/>
                <w:noProof/>
              </w:rPr>
              <w:t>10.3</w:t>
            </w:r>
            <w:r w:rsidRPr="00BD1319">
              <w:rPr>
                <w:rFonts w:asciiTheme="minorHAnsi" w:eastAsiaTheme="minorEastAsia" w:hAnsiTheme="minorHAnsi" w:cstheme="minorBidi"/>
                <w:b w:val="0"/>
                <w:caps w:val="0"/>
                <w:noProof/>
                <w:kern w:val="2"/>
                <w:szCs w:val="24"/>
                <w:lang w:eastAsia="es-CO"/>
                <w14:ligatures w14:val="standardContextual"/>
              </w:rPr>
              <w:tab/>
            </w:r>
            <w:r w:rsidRPr="00BD1319">
              <w:rPr>
                <w:rStyle w:val="Hipervnculo"/>
                <w:noProof/>
              </w:rPr>
              <w:t>DIMENSIÓN AMBIENTAL DEL PLAN DE GESTIÓN DEL RIESGO</w:t>
            </w:r>
            <w:r w:rsidRPr="00BD1319">
              <w:rPr>
                <w:noProof/>
                <w:webHidden/>
              </w:rPr>
              <w:tab/>
            </w:r>
            <w:r w:rsidRPr="00BD1319">
              <w:rPr>
                <w:noProof/>
                <w:webHidden/>
              </w:rPr>
              <w:fldChar w:fldCharType="begin"/>
            </w:r>
            <w:r w:rsidRPr="00BD1319">
              <w:rPr>
                <w:noProof/>
                <w:webHidden/>
              </w:rPr>
              <w:instrText xml:space="preserve"> PAGEREF _Toc175326823 \h </w:instrText>
            </w:r>
            <w:r w:rsidRPr="00BD1319">
              <w:rPr>
                <w:noProof/>
                <w:webHidden/>
              </w:rPr>
            </w:r>
            <w:r w:rsidRPr="00BD1319">
              <w:rPr>
                <w:noProof/>
                <w:webHidden/>
              </w:rPr>
              <w:fldChar w:fldCharType="separate"/>
            </w:r>
            <w:r w:rsidRPr="00BD1319">
              <w:rPr>
                <w:noProof/>
                <w:webHidden/>
              </w:rPr>
              <w:t>423</w:t>
            </w:r>
            <w:r w:rsidRPr="00BD1319">
              <w:rPr>
                <w:noProof/>
                <w:webHidden/>
              </w:rPr>
              <w:fldChar w:fldCharType="end"/>
            </w:r>
          </w:hyperlink>
        </w:p>
        <w:p w14:paraId="32528B99" w14:textId="202E2902" w:rsidR="00296654" w:rsidRPr="00BD1319" w:rsidRDefault="00296654">
          <w:pPr>
            <w:pStyle w:val="TDC3"/>
            <w:tabs>
              <w:tab w:val="left" w:pos="1200"/>
            </w:tabs>
            <w:rPr>
              <w:rFonts w:asciiTheme="minorHAnsi" w:eastAsiaTheme="minorEastAsia" w:hAnsiTheme="minorHAnsi" w:cstheme="minorBidi"/>
              <w:iCs w:val="0"/>
              <w:caps w:val="0"/>
              <w:noProof/>
              <w:kern w:val="2"/>
              <w:szCs w:val="24"/>
              <w:lang w:eastAsia="es-CO"/>
              <w14:ligatures w14:val="standardContextual"/>
            </w:rPr>
          </w:pPr>
          <w:hyperlink w:anchor="_Toc175326824" w:history="1">
            <w:r w:rsidRPr="00BD1319">
              <w:rPr>
                <w:rStyle w:val="Hipervnculo"/>
                <w:noProof/>
              </w:rPr>
              <w:t>10.3.1</w:t>
            </w:r>
            <w:r w:rsidRPr="00BD1319">
              <w:rPr>
                <w:rFonts w:asciiTheme="minorHAnsi" w:eastAsiaTheme="minorEastAsia" w:hAnsiTheme="minorHAnsi" w:cstheme="minorBidi"/>
                <w:iCs w:val="0"/>
                <w:caps w:val="0"/>
                <w:noProof/>
                <w:kern w:val="2"/>
                <w:szCs w:val="24"/>
                <w:lang w:eastAsia="es-CO"/>
                <w14:ligatures w14:val="standardContextual"/>
              </w:rPr>
              <w:tab/>
            </w:r>
            <w:r w:rsidRPr="00BD1319">
              <w:rPr>
                <w:rStyle w:val="Hipervnculo"/>
                <w:noProof/>
              </w:rPr>
              <w:t>Conocimiento del riesgo</w:t>
            </w:r>
            <w:r w:rsidRPr="00BD1319">
              <w:rPr>
                <w:noProof/>
                <w:webHidden/>
              </w:rPr>
              <w:tab/>
            </w:r>
            <w:r w:rsidRPr="00BD1319">
              <w:rPr>
                <w:noProof/>
                <w:webHidden/>
              </w:rPr>
              <w:fldChar w:fldCharType="begin"/>
            </w:r>
            <w:r w:rsidRPr="00BD1319">
              <w:rPr>
                <w:noProof/>
                <w:webHidden/>
              </w:rPr>
              <w:instrText xml:space="preserve"> PAGEREF _Toc175326824 \h </w:instrText>
            </w:r>
            <w:r w:rsidRPr="00BD1319">
              <w:rPr>
                <w:noProof/>
                <w:webHidden/>
              </w:rPr>
            </w:r>
            <w:r w:rsidRPr="00BD1319">
              <w:rPr>
                <w:noProof/>
                <w:webHidden/>
              </w:rPr>
              <w:fldChar w:fldCharType="separate"/>
            </w:r>
            <w:r w:rsidRPr="00BD1319">
              <w:rPr>
                <w:noProof/>
                <w:webHidden/>
              </w:rPr>
              <w:t>423</w:t>
            </w:r>
            <w:r w:rsidRPr="00BD1319">
              <w:rPr>
                <w:noProof/>
                <w:webHidden/>
              </w:rPr>
              <w:fldChar w:fldCharType="end"/>
            </w:r>
          </w:hyperlink>
        </w:p>
        <w:p w14:paraId="23C244B3" w14:textId="78641417" w:rsidR="00296654" w:rsidRPr="00BD1319" w:rsidRDefault="00296654">
          <w:pPr>
            <w:pStyle w:val="TDC3"/>
            <w:tabs>
              <w:tab w:val="left" w:pos="1200"/>
            </w:tabs>
            <w:rPr>
              <w:rFonts w:asciiTheme="minorHAnsi" w:eastAsiaTheme="minorEastAsia" w:hAnsiTheme="minorHAnsi" w:cstheme="minorBidi"/>
              <w:iCs w:val="0"/>
              <w:caps w:val="0"/>
              <w:noProof/>
              <w:kern w:val="2"/>
              <w:szCs w:val="24"/>
              <w:lang w:eastAsia="es-CO"/>
              <w14:ligatures w14:val="standardContextual"/>
            </w:rPr>
          </w:pPr>
          <w:hyperlink w:anchor="_Toc175326825" w:history="1">
            <w:r w:rsidRPr="00BD1319">
              <w:rPr>
                <w:rStyle w:val="Hipervnculo"/>
                <w:noProof/>
              </w:rPr>
              <w:t>10.3.2</w:t>
            </w:r>
            <w:r w:rsidRPr="00BD1319">
              <w:rPr>
                <w:rFonts w:asciiTheme="minorHAnsi" w:eastAsiaTheme="minorEastAsia" w:hAnsiTheme="minorHAnsi" w:cstheme="minorBidi"/>
                <w:iCs w:val="0"/>
                <w:caps w:val="0"/>
                <w:noProof/>
                <w:kern w:val="2"/>
                <w:szCs w:val="24"/>
                <w:lang w:eastAsia="es-CO"/>
                <w14:ligatures w14:val="standardContextual"/>
              </w:rPr>
              <w:tab/>
            </w:r>
            <w:r w:rsidRPr="00BD1319">
              <w:rPr>
                <w:rStyle w:val="Hipervnculo"/>
                <w:noProof/>
              </w:rPr>
              <w:t>Reducción del riesgo</w:t>
            </w:r>
            <w:r w:rsidRPr="00BD1319">
              <w:rPr>
                <w:noProof/>
                <w:webHidden/>
              </w:rPr>
              <w:tab/>
            </w:r>
            <w:r w:rsidRPr="00BD1319">
              <w:rPr>
                <w:noProof/>
                <w:webHidden/>
              </w:rPr>
              <w:fldChar w:fldCharType="begin"/>
            </w:r>
            <w:r w:rsidRPr="00BD1319">
              <w:rPr>
                <w:noProof/>
                <w:webHidden/>
              </w:rPr>
              <w:instrText xml:space="preserve"> PAGEREF _Toc175326825 \h </w:instrText>
            </w:r>
            <w:r w:rsidRPr="00BD1319">
              <w:rPr>
                <w:noProof/>
                <w:webHidden/>
              </w:rPr>
            </w:r>
            <w:r w:rsidRPr="00BD1319">
              <w:rPr>
                <w:noProof/>
                <w:webHidden/>
              </w:rPr>
              <w:fldChar w:fldCharType="separate"/>
            </w:r>
            <w:r w:rsidRPr="00BD1319">
              <w:rPr>
                <w:noProof/>
                <w:webHidden/>
              </w:rPr>
              <w:t>426</w:t>
            </w:r>
            <w:r w:rsidRPr="00BD1319">
              <w:rPr>
                <w:noProof/>
                <w:webHidden/>
              </w:rPr>
              <w:fldChar w:fldCharType="end"/>
            </w:r>
          </w:hyperlink>
        </w:p>
        <w:p w14:paraId="6ED251E1" w14:textId="7A561BEA" w:rsidR="00296654" w:rsidRPr="00BD1319" w:rsidRDefault="00296654">
          <w:pPr>
            <w:pStyle w:val="TDC3"/>
            <w:tabs>
              <w:tab w:val="left" w:pos="1200"/>
            </w:tabs>
            <w:rPr>
              <w:rFonts w:asciiTheme="minorHAnsi" w:eastAsiaTheme="minorEastAsia" w:hAnsiTheme="minorHAnsi" w:cstheme="minorBidi"/>
              <w:iCs w:val="0"/>
              <w:caps w:val="0"/>
              <w:noProof/>
              <w:kern w:val="2"/>
              <w:szCs w:val="24"/>
              <w:lang w:eastAsia="es-CO"/>
              <w14:ligatures w14:val="standardContextual"/>
            </w:rPr>
          </w:pPr>
          <w:hyperlink w:anchor="_Toc175326826" w:history="1">
            <w:r w:rsidRPr="00BD1319">
              <w:rPr>
                <w:rStyle w:val="Hipervnculo"/>
                <w:noProof/>
              </w:rPr>
              <w:t>10.3.3</w:t>
            </w:r>
            <w:r w:rsidRPr="00BD1319">
              <w:rPr>
                <w:rFonts w:asciiTheme="minorHAnsi" w:eastAsiaTheme="minorEastAsia" w:hAnsiTheme="minorHAnsi" w:cstheme="minorBidi"/>
                <w:iCs w:val="0"/>
                <w:caps w:val="0"/>
                <w:noProof/>
                <w:kern w:val="2"/>
                <w:szCs w:val="24"/>
                <w:lang w:eastAsia="es-CO"/>
                <w14:ligatures w14:val="standardContextual"/>
              </w:rPr>
              <w:tab/>
            </w:r>
            <w:r w:rsidRPr="00BD1319">
              <w:rPr>
                <w:rStyle w:val="Hipervnculo"/>
                <w:noProof/>
              </w:rPr>
              <w:t>Manejo de la contingencia</w:t>
            </w:r>
            <w:r w:rsidRPr="00BD1319">
              <w:rPr>
                <w:noProof/>
                <w:webHidden/>
              </w:rPr>
              <w:tab/>
            </w:r>
            <w:r w:rsidRPr="00BD1319">
              <w:rPr>
                <w:noProof/>
                <w:webHidden/>
              </w:rPr>
              <w:fldChar w:fldCharType="begin"/>
            </w:r>
            <w:r w:rsidRPr="00BD1319">
              <w:rPr>
                <w:noProof/>
                <w:webHidden/>
              </w:rPr>
              <w:instrText xml:space="preserve"> PAGEREF _Toc175326826 \h </w:instrText>
            </w:r>
            <w:r w:rsidRPr="00BD1319">
              <w:rPr>
                <w:noProof/>
                <w:webHidden/>
              </w:rPr>
            </w:r>
            <w:r w:rsidRPr="00BD1319">
              <w:rPr>
                <w:noProof/>
                <w:webHidden/>
              </w:rPr>
              <w:fldChar w:fldCharType="separate"/>
            </w:r>
            <w:r w:rsidRPr="00BD1319">
              <w:rPr>
                <w:noProof/>
                <w:webHidden/>
              </w:rPr>
              <w:t>428</w:t>
            </w:r>
            <w:r w:rsidRPr="00BD1319">
              <w:rPr>
                <w:noProof/>
                <w:webHidden/>
              </w:rPr>
              <w:fldChar w:fldCharType="end"/>
            </w:r>
          </w:hyperlink>
        </w:p>
        <w:p w14:paraId="159C1030" w14:textId="7CBDADA2" w:rsidR="00296654" w:rsidRPr="00BD1319" w:rsidRDefault="00296654">
          <w:pPr>
            <w:pStyle w:val="TDC2"/>
            <w:rPr>
              <w:rFonts w:asciiTheme="minorHAnsi" w:eastAsiaTheme="minorEastAsia" w:hAnsiTheme="minorHAnsi" w:cstheme="minorBidi"/>
              <w:b w:val="0"/>
              <w:caps w:val="0"/>
              <w:noProof/>
              <w:kern w:val="2"/>
              <w:szCs w:val="24"/>
              <w:lang w:eastAsia="es-CO"/>
              <w14:ligatures w14:val="standardContextual"/>
            </w:rPr>
          </w:pPr>
          <w:hyperlink w:anchor="_Toc175326827" w:history="1">
            <w:r w:rsidRPr="00BD1319">
              <w:rPr>
                <w:rStyle w:val="Hipervnculo"/>
                <w:rFonts w:cs="Arial"/>
                <w:noProof/>
              </w:rPr>
              <w:t>10.4</w:t>
            </w:r>
            <w:r w:rsidRPr="00BD1319">
              <w:rPr>
                <w:rFonts w:asciiTheme="minorHAnsi" w:eastAsiaTheme="minorEastAsia" w:hAnsiTheme="minorHAnsi" w:cstheme="minorBidi"/>
                <w:b w:val="0"/>
                <w:caps w:val="0"/>
                <w:noProof/>
                <w:kern w:val="2"/>
                <w:szCs w:val="24"/>
                <w:lang w:eastAsia="es-CO"/>
                <w14:ligatures w14:val="standardContextual"/>
              </w:rPr>
              <w:tab/>
            </w:r>
            <w:r w:rsidRPr="00BD1319">
              <w:rPr>
                <w:rStyle w:val="Hipervnculo"/>
                <w:noProof/>
              </w:rPr>
              <w:t>PLAN DE DESMANTELAMIENTO Y CIERRE AMBIENTAL</w:t>
            </w:r>
            <w:r w:rsidRPr="00BD1319">
              <w:rPr>
                <w:noProof/>
                <w:webHidden/>
              </w:rPr>
              <w:tab/>
            </w:r>
            <w:r w:rsidRPr="00BD1319">
              <w:rPr>
                <w:noProof/>
                <w:webHidden/>
              </w:rPr>
              <w:fldChar w:fldCharType="begin"/>
            </w:r>
            <w:r w:rsidRPr="00BD1319">
              <w:rPr>
                <w:noProof/>
                <w:webHidden/>
              </w:rPr>
              <w:instrText xml:space="preserve"> PAGEREF _Toc175326827 \h </w:instrText>
            </w:r>
            <w:r w:rsidRPr="00BD1319">
              <w:rPr>
                <w:noProof/>
                <w:webHidden/>
              </w:rPr>
            </w:r>
            <w:r w:rsidRPr="00BD1319">
              <w:rPr>
                <w:noProof/>
                <w:webHidden/>
              </w:rPr>
              <w:fldChar w:fldCharType="separate"/>
            </w:r>
            <w:r w:rsidRPr="00BD1319">
              <w:rPr>
                <w:noProof/>
                <w:webHidden/>
              </w:rPr>
              <w:t>430</w:t>
            </w:r>
            <w:r w:rsidRPr="00BD1319">
              <w:rPr>
                <w:noProof/>
                <w:webHidden/>
              </w:rPr>
              <w:fldChar w:fldCharType="end"/>
            </w:r>
          </w:hyperlink>
        </w:p>
        <w:p w14:paraId="1F25C733" w14:textId="5AB55B31" w:rsidR="00296654" w:rsidRPr="00BD1319" w:rsidRDefault="00296654">
          <w:pPr>
            <w:pStyle w:val="TDC2"/>
            <w:rPr>
              <w:rFonts w:asciiTheme="minorHAnsi" w:eastAsiaTheme="minorEastAsia" w:hAnsiTheme="minorHAnsi" w:cstheme="minorBidi"/>
              <w:b w:val="0"/>
              <w:caps w:val="0"/>
              <w:noProof/>
              <w:kern w:val="2"/>
              <w:szCs w:val="24"/>
              <w:lang w:eastAsia="es-CO"/>
              <w14:ligatures w14:val="standardContextual"/>
            </w:rPr>
          </w:pPr>
          <w:hyperlink w:anchor="_Toc175326828" w:history="1">
            <w:r w:rsidRPr="00BD1319">
              <w:rPr>
                <w:rStyle w:val="Hipervnculo"/>
                <w:rFonts w:cs="Arial"/>
                <w:noProof/>
              </w:rPr>
              <w:t>10.5</w:t>
            </w:r>
            <w:r w:rsidRPr="00BD1319">
              <w:rPr>
                <w:rFonts w:asciiTheme="minorHAnsi" w:eastAsiaTheme="minorEastAsia" w:hAnsiTheme="minorHAnsi" w:cstheme="minorBidi"/>
                <w:b w:val="0"/>
                <w:caps w:val="0"/>
                <w:noProof/>
                <w:kern w:val="2"/>
                <w:szCs w:val="24"/>
                <w:lang w:eastAsia="es-CO"/>
                <w14:ligatures w14:val="standardContextual"/>
              </w:rPr>
              <w:tab/>
            </w:r>
            <w:r w:rsidRPr="00BD1319">
              <w:rPr>
                <w:rStyle w:val="Hipervnculo"/>
                <w:noProof/>
              </w:rPr>
              <w:t>PLAN DE INVERSIÓN DE NO MENOS DEL 1%</w:t>
            </w:r>
            <w:r w:rsidRPr="00BD1319">
              <w:rPr>
                <w:noProof/>
                <w:webHidden/>
              </w:rPr>
              <w:tab/>
            </w:r>
            <w:r w:rsidRPr="00BD1319">
              <w:rPr>
                <w:noProof/>
                <w:webHidden/>
              </w:rPr>
              <w:fldChar w:fldCharType="begin"/>
            </w:r>
            <w:r w:rsidRPr="00BD1319">
              <w:rPr>
                <w:noProof/>
                <w:webHidden/>
              </w:rPr>
              <w:instrText xml:space="preserve"> PAGEREF _Toc175326828 \h </w:instrText>
            </w:r>
            <w:r w:rsidRPr="00BD1319">
              <w:rPr>
                <w:noProof/>
                <w:webHidden/>
              </w:rPr>
            </w:r>
            <w:r w:rsidRPr="00BD1319">
              <w:rPr>
                <w:noProof/>
                <w:webHidden/>
              </w:rPr>
              <w:fldChar w:fldCharType="separate"/>
            </w:r>
            <w:r w:rsidRPr="00BD1319">
              <w:rPr>
                <w:noProof/>
                <w:webHidden/>
              </w:rPr>
              <w:t>433</w:t>
            </w:r>
            <w:r w:rsidRPr="00BD1319">
              <w:rPr>
                <w:noProof/>
                <w:webHidden/>
              </w:rPr>
              <w:fldChar w:fldCharType="end"/>
            </w:r>
          </w:hyperlink>
        </w:p>
        <w:p w14:paraId="0757A721" w14:textId="610BC81D" w:rsidR="00296654" w:rsidRPr="00BD1319" w:rsidRDefault="00296654">
          <w:pPr>
            <w:pStyle w:val="TDC2"/>
            <w:rPr>
              <w:rFonts w:asciiTheme="minorHAnsi" w:eastAsiaTheme="minorEastAsia" w:hAnsiTheme="minorHAnsi" w:cstheme="minorBidi"/>
              <w:b w:val="0"/>
              <w:caps w:val="0"/>
              <w:noProof/>
              <w:kern w:val="2"/>
              <w:szCs w:val="24"/>
              <w:lang w:eastAsia="es-CO"/>
              <w14:ligatures w14:val="standardContextual"/>
            </w:rPr>
          </w:pPr>
          <w:hyperlink w:anchor="_Toc175326829" w:history="1">
            <w:r w:rsidRPr="00BD1319">
              <w:rPr>
                <w:rStyle w:val="Hipervnculo"/>
                <w:rFonts w:cs="Arial"/>
                <w:noProof/>
              </w:rPr>
              <w:t>10.6</w:t>
            </w:r>
            <w:r w:rsidRPr="00BD1319">
              <w:rPr>
                <w:rFonts w:asciiTheme="minorHAnsi" w:eastAsiaTheme="minorEastAsia" w:hAnsiTheme="minorHAnsi" w:cstheme="minorBidi"/>
                <w:b w:val="0"/>
                <w:caps w:val="0"/>
                <w:noProof/>
                <w:kern w:val="2"/>
                <w:szCs w:val="24"/>
                <w:lang w:eastAsia="es-CO"/>
                <w14:ligatures w14:val="standardContextual"/>
              </w:rPr>
              <w:tab/>
            </w:r>
            <w:r w:rsidRPr="00BD1319">
              <w:rPr>
                <w:rStyle w:val="Hipervnculo"/>
                <w:noProof/>
              </w:rPr>
              <w:t>PLAN DE COMPENSACIONES DEL MEDIO BIÓTICO EN EL MARCO DEL LICENCIAMIENTO AMBIENTAL</w:t>
            </w:r>
            <w:r w:rsidRPr="00BD1319">
              <w:rPr>
                <w:noProof/>
                <w:webHidden/>
              </w:rPr>
              <w:tab/>
            </w:r>
            <w:r w:rsidRPr="00BD1319">
              <w:rPr>
                <w:noProof/>
                <w:webHidden/>
              </w:rPr>
              <w:fldChar w:fldCharType="begin"/>
            </w:r>
            <w:r w:rsidRPr="00BD1319">
              <w:rPr>
                <w:noProof/>
                <w:webHidden/>
              </w:rPr>
              <w:instrText xml:space="preserve"> PAGEREF _Toc175326829 \h </w:instrText>
            </w:r>
            <w:r w:rsidRPr="00BD1319">
              <w:rPr>
                <w:noProof/>
                <w:webHidden/>
              </w:rPr>
            </w:r>
            <w:r w:rsidRPr="00BD1319">
              <w:rPr>
                <w:noProof/>
                <w:webHidden/>
              </w:rPr>
              <w:fldChar w:fldCharType="separate"/>
            </w:r>
            <w:r w:rsidRPr="00BD1319">
              <w:rPr>
                <w:noProof/>
                <w:webHidden/>
              </w:rPr>
              <w:t>433</w:t>
            </w:r>
            <w:r w:rsidRPr="00BD1319">
              <w:rPr>
                <w:noProof/>
                <w:webHidden/>
              </w:rPr>
              <w:fldChar w:fldCharType="end"/>
            </w:r>
          </w:hyperlink>
        </w:p>
        <w:p w14:paraId="48B347EC" w14:textId="3187C650" w:rsidR="00296654" w:rsidRPr="00BD1319" w:rsidRDefault="00296654">
          <w:pPr>
            <w:pStyle w:val="TDC2"/>
            <w:rPr>
              <w:rFonts w:asciiTheme="minorHAnsi" w:eastAsiaTheme="minorEastAsia" w:hAnsiTheme="minorHAnsi" w:cstheme="minorBidi"/>
              <w:b w:val="0"/>
              <w:caps w:val="0"/>
              <w:noProof/>
              <w:kern w:val="2"/>
              <w:szCs w:val="24"/>
              <w:lang w:eastAsia="es-CO"/>
              <w14:ligatures w14:val="standardContextual"/>
            </w:rPr>
          </w:pPr>
          <w:hyperlink w:anchor="_Toc175326830" w:history="1">
            <w:r w:rsidRPr="00BD1319">
              <w:rPr>
                <w:rStyle w:val="Hipervnculo"/>
                <w:rFonts w:cs="Arial"/>
                <w:noProof/>
              </w:rPr>
              <w:t>10.7</w:t>
            </w:r>
            <w:r w:rsidRPr="00BD1319">
              <w:rPr>
                <w:rFonts w:asciiTheme="minorHAnsi" w:eastAsiaTheme="minorEastAsia" w:hAnsiTheme="minorHAnsi" w:cstheme="minorBidi"/>
                <w:b w:val="0"/>
                <w:caps w:val="0"/>
                <w:noProof/>
                <w:kern w:val="2"/>
                <w:szCs w:val="24"/>
                <w:lang w:eastAsia="es-CO"/>
                <w14:ligatures w14:val="standardContextual"/>
              </w:rPr>
              <w:tab/>
            </w:r>
            <w:r w:rsidRPr="00BD1319">
              <w:rPr>
                <w:rStyle w:val="Hipervnculo"/>
                <w:noProof/>
              </w:rPr>
              <w:t>PLAN DE GESTIÓN DE CAMBIO CLIMÁTICO</w:t>
            </w:r>
            <w:r w:rsidRPr="00BD1319">
              <w:rPr>
                <w:noProof/>
                <w:webHidden/>
              </w:rPr>
              <w:tab/>
            </w:r>
            <w:r w:rsidRPr="00BD1319">
              <w:rPr>
                <w:noProof/>
                <w:webHidden/>
              </w:rPr>
              <w:fldChar w:fldCharType="begin"/>
            </w:r>
            <w:r w:rsidRPr="00BD1319">
              <w:rPr>
                <w:noProof/>
                <w:webHidden/>
              </w:rPr>
              <w:instrText xml:space="preserve"> PAGEREF _Toc175326830 \h </w:instrText>
            </w:r>
            <w:r w:rsidRPr="00BD1319">
              <w:rPr>
                <w:noProof/>
                <w:webHidden/>
              </w:rPr>
            </w:r>
            <w:r w:rsidRPr="00BD1319">
              <w:rPr>
                <w:noProof/>
                <w:webHidden/>
              </w:rPr>
              <w:fldChar w:fldCharType="separate"/>
            </w:r>
            <w:r w:rsidRPr="00BD1319">
              <w:rPr>
                <w:noProof/>
                <w:webHidden/>
              </w:rPr>
              <w:t>433</w:t>
            </w:r>
            <w:r w:rsidRPr="00BD1319">
              <w:rPr>
                <w:noProof/>
                <w:webHidden/>
              </w:rPr>
              <w:fldChar w:fldCharType="end"/>
            </w:r>
          </w:hyperlink>
        </w:p>
        <w:p w14:paraId="20DB05A6" w14:textId="4D8E0883" w:rsidR="00296654" w:rsidRPr="00BD1319" w:rsidRDefault="00296654">
          <w:pPr>
            <w:pStyle w:val="TDC3"/>
            <w:tabs>
              <w:tab w:val="left" w:pos="1200"/>
            </w:tabs>
            <w:rPr>
              <w:rFonts w:asciiTheme="minorHAnsi" w:eastAsiaTheme="minorEastAsia" w:hAnsiTheme="minorHAnsi" w:cstheme="minorBidi"/>
              <w:iCs w:val="0"/>
              <w:caps w:val="0"/>
              <w:noProof/>
              <w:kern w:val="2"/>
              <w:szCs w:val="24"/>
              <w:lang w:eastAsia="es-CO"/>
              <w14:ligatures w14:val="standardContextual"/>
            </w:rPr>
          </w:pPr>
          <w:hyperlink w:anchor="_Toc175326831" w:history="1">
            <w:r w:rsidRPr="00BD1319">
              <w:rPr>
                <w:rStyle w:val="Hipervnculo"/>
                <w:noProof/>
              </w:rPr>
              <w:t>10.7.1</w:t>
            </w:r>
            <w:r w:rsidRPr="00BD1319">
              <w:rPr>
                <w:rFonts w:asciiTheme="minorHAnsi" w:eastAsiaTheme="minorEastAsia" w:hAnsiTheme="minorHAnsi" w:cstheme="minorBidi"/>
                <w:iCs w:val="0"/>
                <w:caps w:val="0"/>
                <w:noProof/>
                <w:kern w:val="2"/>
                <w:szCs w:val="24"/>
                <w:lang w:eastAsia="es-CO"/>
                <w14:ligatures w14:val="standardContextual"/>
              </w:rPr>
              <w:tab/>
            </w:r>
            <w:r w:rsidRPr="00BD1319">
              <w:rPr>
                <w:rStyle w:val="Hipervnculo"/>
                <w:noProof/>
              </w:rPr>
              <w:t>Mitigación de gases de efecto invernadero</w:t>
            </w:r>
            <w:r w:rsidRPr="00BD1319">
              <w:rPr>
                <w:noProof/>
                <w:webHidden/>
              </w:rPr>
              <w:tab/>
            </w:r>
            <w:r w:rsidRPr="00BD1319">
              <w:rPr>
                <w:noProof/>
                <w:webHidden/>
              </w:rPr>
              <w:fldChar w:fldCharType="begin"/>
            </w:r>
            <w:r w:rsidRPr="00BD1319">
              <w:rPr>
                <w:noProof/>
                <w:webHidden/>
              </w:rPr>
              <w:instrText xml:space="preserve"> PAGEREF _Toc175326831 \h </w:instrText>
            </w:r>
            <w:r w:rsidRPr="00BD1319">
              <w:rPr>
                <w:noProof/>
                <w:webHidden/>
              </w:rPr>
            </w:r>
            <w:r w:rsidRPr="00BD1319">
              <w:rPr>
                <w:noProof/>
                <w:webHidden/>
              </w:rPr>
              <w:fldChar w:fldCharType="separate"/>
            </w:r>
            <w:r w:rsidRPr="00BD1319">
              <w:rPr>
                <w:noProof/>
                <w:webHidden/>
              </w:rPr>
              <w:t>435</w:t>
            </w:r>
            <w:r w:rsidRPr="00BD1319">
              <w:rPr>
                <w:noProof/>
                <w:webHidden/>
              </w:rPr>
              <w:fldChar w:fldCharType="end"/>
            </w:r>
          </w:hyperlink>
        </w:p>
        <w:p w14:paraId="0D746DC6" w14:textId="5CDA3F4D" w:rsidR="00296654" w:rsidRPr="00BD1319" w:rsidRDefault="00296654">
          <w:pPr>
            <w:pStyle w:val="TDC3"/>
            <w:tabs>
              <w:tab w:val="left" w:pos="1200"/>
            </w:tabs>
            <w:rPr>
              <w:rFonts w:asciiTheme="minorHAnsi" w:eastAsiaTheme="minorEastAsia" w:hAnsiTheme="minorHAnsi" w:cstheme="minorBidi"/>
              <w:iCs w:val="0"/>
              <w:caps w:val="0"/>
              <w:noProof/>
              <w:kern w:val="2"/>
              <w:szCs w:val="24"/>
              <w:lang w:eastAsia="es-CO"/>
              <w14:ligatures w14:val="standardContextual"/>
            </w:rPr>
          </w:pPr>
          <w:hyperlink w:anchor="_Toc175326832" w:history="1">
            <w:r w:rsidRPr="00BD1319">
              <w:rPr>
                <w:rStyle w:val="Hipervnculo"/>
                <w:noProof/>
              </w:rPr>
              <w:t>10.7.2</w:t>
            </w:r>
            <w:r w:rsidRPr="00BD1319">
              <w:rPr>
                <w:rFonts w:asciiTheme="minorHAnsi" w:eastAsiaTheme="minorEastAsia" w:hAnsiTheme="minorHAnsi" w:cstheme="minorBidi"/>
                <w:iCs w:val="0"/>
                <w:caps w:val="0"/>
                <w:noProof/>
                <w:kern w:val="2"/>
                <w:szCs w:val="24"/>
                <w:lang w:eastAsia="es-CO"/>
                <w14:ligatures w14:val="standardContextual"/>
              </w:rPr>
              <w:tab/>
            </w:r>
            <w:r w:rsidRPr="00BD1319">
              <w:rPr>
                <w:rStyle w:val="Hipervnculo"/>
                <w:noProof/>
              </w:rPr>
              <w:t>Adaptación al cambio climático</w:t>
            </w:r>
            <w:r w:rsidRPr="00BD1319">
              <w:rPr>
                <w:noProof/>
                <w:webHidden/>
              </w:rPr>
              <w:tab/>
            </w:r>
            <w:r w:rsidRPr="00BD1319">
              <w:rPr>
                <w:noProof/>
                <w:webHidden/>
              </w:rPr>
              <w:fldChar w:fldCharType="begin"/>
            </w:r>
            <w:r w:rsidRPr="00BD1319">
              <w:rPr>
                <w:noProof/>
                <w:webHidden/>
              </w:rPr>
              <w:instrText xml:space="preserve"> PAGEREF _Toc175326832 \h </w:instrText>
            </w:r>
            <w:r w:rsidRPr="00BD1319">
              <w:rPr>
                <w:noProof/>
                <w:webHidden/>
              </w:rPr>
            </w:r>
            <w:r w:rsidRPr="00BD1319">
              <w:rPr>
                <w:noProof/>
                <w:webHidden/>
              </w:rPr>
              <w:fldChar w:fldCharType="separate"/>
            </w:r>
            <w:r w:rsidRPr="00BD1319">
              <w:rPr>
                <w:noProof/>
                <w:webHidden/>
              </w:rPr>
              <w:t>437</w:t>
            </w:r>
            <w:r w:rsidRPr="00BD1319">
              <w:rPr>
                <w:noProof/>
                <w:webHidden/>
              </w:rPr>
              <w:fldChar w:fldCharType="end"/>
            </w:r>
          </w:hyperlink>
        </w:p>
        <w:p w14:paraId="46A40ECF" w14:textId="602E5FA1" w:rsidR="00296654" w:rsidRPr="00BD1319" w:rsidRDefault="00296654">
          <w:pPr>
            <w:pStyle w:val="TDC1"/>
            <w:rPr>
              <w:rFonts w:asciiTheme="minorHAnsi" w:eastAsiaTheme="minorEastAsia" w:hAnsiTheme="minorHAnsi" w:cstheme="minorBidi"/>
              <w:b w:val="0"/>
              <w:bCs w:val="0"/>
              <w:caps w:val="0"/>
              <w:kern w:val="2"/>
              <w:lang w:eastAsia="es-CO"/>
              <w14:ligatures w14:val="standardContextual"/>
            </w:rPr>
          </w:pPr>
          <w:hyperlink w:anchor="_Toc175326833" w:history="1">
            <w:r w:rsidRPr="00BD1319">
              <w:rPr>
                <w:rStyle w:val="Hipervnculo"/>
                <w:lang w:val="es-MX"/>
              </w:rPr>
              <w:t>BIBLIOGRAFÍA</w:t>
            </w:r>
            <w:r w:rsidRPr="00BD1319">
              <w:rPr>
                <w:webHidden/>
              </w:rPr>
              <w:tab/>
            </w:r>
            <w:r w:rsidRPr="00BD1319">
              <w:rPr>
                <w:webHidden/>
              </w:rPr>
              <w:fldChar w:fldCharType="begin"/>
            </w:r>
            <w:r w:rsidRPr="00BD1319">
              <w:rPr>
                <w:webHidden/>
              </w:rPr>
              <w:instrText xml:space="preserve"> PAGEREF _Toc175326833 \h </w:instrText>
            </w:r>
            <w:r w:rsidRPr="00BD1319">
              <w:rPr>
                <w:webHidden/>
              </w:rPr>
            </w:r>
            <w:r w:rsidRPr="00BD1319">
              <w:rPr>
                <w:webHidden/>
              </w:rPr>
              <w:fldChar w:fldCharType="separate"/>
            </w:r>
            <w:r w:rsidRPr="00BD1319">
              <w:rPr>
                <w:webHidden/>
              </w:rPr>
              <w:t>445</w:t>
            </w:r>
            <w:r w:rsidRPr="00BD1319">
              <w:rPr>
                <w:webHidden/>
              </w:rPr>
              <w:fldChar w:fldCharType="end"/>
            </w:r>
          </w:hyperlink>
        </w:p>
        <w:p w14:paraId="1ED8F8C9" w14:textId="7A6D811C" w:rsidR="00296654" w:rsidRPr="00BD1319" w:rsidRDefault="00296654">
          <w:pPr>
            <w:pStyle w:val="TDC1"/>
            <w:rPr>
              <w:rFonts w:asciiTheme="minorHAnsi" w:eastAsiaTheme="minorEastAsia" w:hAnsiTheme="minorHAnsi" w:cstheme="minorBidi"/>
              <w:b w:val="0"/>
              <w:bCs w:val="0"/>
              <w:caps w:val="0"/>
              <w:kern w:val="2"/>
              <w:lang w:eastAsia="es-CO"/>
              <w14:ligatures w14:val="standardContextual"/>
            </w:rPr>
          </w:pPr>
          <w:hyperlink w:anchor="_Toc175326834" w:history="1">
            <w:r w:rsidRPr="00BD1319">
              <w:rPr>
                <w:rStyle w:val="Hipervnculo"/>
              </w:rPr>
              <w:t>REFERENCIAS DE MÉTODOS DE EVALUACIÓN MULTICRITERIO</w:t>
            </w:r>
            <w:r w:rsidRPr="00BD1319">
              <w:rPr>
                <w:webHidden/>
              </w:rPr>
              <w:tab/>
            </w:r>
            <w:r w:rsidRPr="00BD1319">
              <w:rPr>
                <w:webHidden/>
              </w:rPr>
              <w:fldChar w:fldCharType="begin"/>
            </w:r>
            <w:r w:rsidRPr="00BD1319">
              <w:rPr>
                <w:webHidden/>
              </w:rPr>
              <w:instrText xml:space="preserve"> PAGEREF _Toc175326834 \h </w:instrText>
            </w:r>
            <w:r w:rsidRPr="00BD1319">
              <w:rPr>
                <w:webHidden/>
              </w:rPr>
            </w:r>
            <w:r w:rsidRPr="00BD1319">
              <w:rPr>
                <w:webHidden/>
              </w:rPr>
              <w:fldChar w:fldCharType="separate"/>
            </w:r>
            <w:r w:rsidRPr="00BD1319">
              <w:rPr>
                <w:webHidden/>
              </w:rPr>
              <w:t>463</w:t>
            </w:r>
            <w:r w:rsidRPr="00BD1319">
              <w:rPr>
                <w:webHidden/>
              </w:rPr>
              <w:fldChar w:fldCharType="end"/>
            </w:r>
          </w:hyperlink>
        </w:p>
        <w:p w14:paraId="04CD0BD8" w14:textId="43680858" w:rsidR="00296654" w:rsidRPr="00BD1319" w:rsidRDefault="00296654">
          <w:pPr>
            <w:pStyle w:val="TDC1"/>
            <w:rPr>
              <w:rFonts w:asciiTheme="minorHAnsi" w:eastAsiaTheme="minorEastAsia" w:hAnsiTheme="minorHAnsi" w:cstheme="minorBidi"/>
              <w:b w:val="0"/>
              <w:bCs w:val="0"/>
              <w:caps w:val="0"/>
              <w:kern w:val="2"/>
              <w:lang w:eastAsia="es-CO"/>
              <w14:ligatures w14:val="standardContextual"/>
            </w:rPr>
          </w:pPr>
          <w:hyperlink w:anchor="_Toc175326835" w:history="1">
            <w:r w:rsidRPr="00BD1319">
              <w:rPr>
                <w:rStyle w:val="Hipervnculo"/>
              </w:rPr>
              <w:t>BIBLIOGRAFÍA GLOSARIO</w:t>
            </w:r>
            <w:r w:rsidRPr="00BD1319">
              <w:rPr>
                <w:webHidden/>
              </w:rPr>
              <w:tab/>
            </w:r>
            <w:r w:rsidRPr="00BD1319">
              <w:rPr>
                <w:webHidden/>
              </w:rPr>
              <w:fldChar w:fldCharType="begin"/>
            </w:r>
            <w:r w:rsidRPr="00BD1319">
              <w:rPr>
                <w:webHidden/>
              </w:rPr>
              <w:instrText xml:space="preserve"> PAGEREF _Toc175326835 \h </w:instrText>
            </w:r>
            <w:r w:rsidRPr="00BD1319">
              <w:rPr>
                <w:webHidden/>
              </w:rPr>
            </w:r>
            <w:r w:rsidRPr="00BD1319">
              <w:rPr>
                <w:webHidden/>
              </w:rPr>
              <w:fldChar w:fldCharType="separate"/>
            </w:r>
            <w:r w:rsidRPr="00BD1319">
              <w:rPr>
                <w:webHidden/>
              </w:rPr>
              <w:t>465</w:t>
            </w:r>
            <w:r w:rsidRPr="00BD1319">
              <w:rPr>
                <w:webHidden/>
              </w:rPr>
              <w:fldChar w:fldCharType="end"/>
            </w:r>
          </w:hyperlink>
        </w:p>
        <w:p w14:paraId="3212CD68" w14:textId="494C0242" w:rsidR="0068720A" w:rsidRPr="00BD1319" w:rsidRDefault="0068720A" w:rsidP="0068720A">
          <w:pPr>
            <w:rPr>
              <w:b/>
              <w:bCs/>
            </w:rPr>
          </w:pPr>
          <w:r w:rsidRPr="00BD1319">
            <w:rPr>
              <w:rFonts w:cs="Arial"/>
              <w:b/>
              <w:bCs/>
              <w:caps/>
            </w:rPr>
            <w:fldChar w:fldCharType="end"/>
          </w:r>
        </w:p>
      </w:sdtContent>
    </w:sdt>
    <w:bookmarkStart w:id="1" w:name="_Toc274067173" w:displacedByCustomXml="prev"/>
    <w:p w14:paraId="5BB52499" w14:textId="6FAF45B9" w:rsidR="008035F2" w:rsidRPr="00BD1319" w:rsidRDefault="008035F2" w:rsidP="007B3017">
      <w:pPr>
        <w:pStyle w:val="TDC1"/>
      </w:pPr>
      <w:r w:rsidRPr="00BD1319">
        <w:br w:type="page"/>
      </w:r>
      <w:bookmarkStart w:id="2" w:name="_Toc380569325"/>
      <w:bookmarkStart w:id="3" w:name="_Toc387312706"/>
      <w:bookmarkStart w:id="4" w:name="_Toc391040016"/>
    </w:p>
    <w:bookmarkEnd w:id="1"/>
    <w:bookmarkEnd w:id="2"/>
    <w:bookmarkEnd w:id="3"/>
    <w:bookmarkEnd w:id="4"/>
    <w:p w14:paraId="43FAD2B9" w14:textId="0E1E80C5" w:rsidR="00150824" w:rsidRPr="00BD1319" w:rsidRDefault="00150824" w:rsidP="00C86DA5"/>
    <w:p w14:paraId="2A216F4A" w14:textId="468DCCC8" w:rsidR="00150824" w:rsidRPr="00BD1319" w:rsidRDefault="00150824" w:rsidP="00150824">
      <w:pPr>
        <w:pStyle w:val="Captulosinnumero"/>
        <w:rPr>
          <w:lang w:val="es-CO"/>
        </w:rPr>
      </w:pPr>
      <w:bookmarkStart w:id="5" w:name="_Toc175326661"/>
      <w:r w:rsidRPr="00BD1319">
        <w:rPr>
          <w:lang w:val="es-CO"/>
        </w:rPr>
        <w:t>INTRODUCCIÓN</w:t>
      </w:r>
      <w:bookmarkEnd w:id="5"/>
    </w:p>
    <w:p w14:paraId="0F2EFF30" w14:textId="53538121" w:rsidR="00150824" w:rsidRPr="00BD1319" w:rsidRDefault="00150824" w:rsidP="00C86DA5"/>
    <w:p w14:paraId="753E8D56" w14:textId="77777777" w:rsidR="00317B09" w:rsidRPr="00BD1319" w:rsidRDefault="00317B09" w:rsidP="00317B09">
      <w:pPr>
        <w:numPr>
          <w:ilvl w:val="12"/>
          <w:numId w:val="0"/>
        </w:numPr>
        <w:tabs>
          <w:tab w:val="left" w:pos="-2268"/>
        </w:tabs>
        <w:suppressAutoHyphens/>
        <w:rPr>
          <w:rFonts w:cs="Arial"/>
        </w:rPr>
      </w:pPr>
      <w:r w:rsidRPr="00BD1319">
        <w:rPr>
          <w:rFonts w:cs="Arial"/>
        </w:rPr>
        <w:t>Según preceptos constitucionales es deber del Estado planificar el manejo y aprovechamiento de los recursos naturales, para garantizar su desarrollo sostenible, conservación, restauración o sustitución, así como para prevenir y controlar los aspectos que generan deterioro ambiental, imponer las sanciones legales y exigir la reparación de los daños causados. Es igualmente su deber, proteger la diversidad e integridad ambiental y conservar las áreas de especial importancia ecológica.</w:t>
      </w:r>
    </w:p>
    <w:p w14:paraId="7BC10630" w14:textId="77777777" w:rsidR="00317B09" w:rsidRPr="00BD1319" w:rsidRDefault="00317B09" w:rsidP="00317B09">
      <w:pPr>
        <w:numPr>
          <w:ilvl w:val="12"/>
          <w:numId w:val="0"/>
        </w:numPr>
        <w:tabs>
          <w:tab w:val="left" w:pos="-2268"/>
        </w:tabs>
        <w:suppressAutoHyphens/>
        <w:rPr>
          <w:rFonts w:cs="Arial"/>
        </w:rPr>
      </w:pPr>
    </w:p>
    <w:p w14:paraId="3717597F" w14:textId="3D8FF85E" w:rsidR="00317B09" w:rsidRPr="00BD1319" w:rsidRDefault="00317B09" w:rsidP="00317B09">
      <w:pPr>
        <w:numPr>
          <w:ilvl w:val="12"/>
          <w:numId w:val="0"/>
        </w:numPr>
        <w:tabs>
          <w:tab w:val="left" w:pos="-2268"/>
        </w:tabs>
        <w:suppressAutoHyphens/>
        <w:rPr>
          <w:rFonts w:cs="Arial"/>
        </w:rPr>
      </w:pPr>
      <w:r w:rsidRPr="00BD1319">
        <w:rPr>
          <w:rFonts w:cs="Arial"/>
        </w:rPr>
        <w:t xml:space="preserve">Asimismo, la Constitución Política resalta que el ejercicio de los derechos y libertades reconocidos en ella a los ciudadanos implica responsabilidades, entre las cuales está la de proteger los recursos culturales y naturales del país y velar por la conservación de un ambiente sano, el cual constituye un derecho de todas las personas. Esta responsabilidad cobra especial relevancia y exige el compromiso de quienes adelantan proyectos, obras o actividades que puedan </w:t>
      </w:r>
      <w:r w:rsidR="00C34711" w:rsidRPr="00BD1319">
        <w:rPr>
          <w:rFonts w:cs="Arial"/>
        </w:rPr>
        <w:t xml:space="preserve">generar </w:t>
      </w:r>
      <w:r w:rsidRPr="00BD1319">
        <w:rPr>
          <w:rFonts w:cs="Arial"/>
        </w:rPr>
        <w:t>deterioro grave al</w:t>
      </w:r>
      <w:r w:rsidR="00C34711" w:rsidRPr="00BD1319">
        <w:rPr>
          <w:rFonts w:cs="Arial"/>
        </w:rPr>
        <w:t xml:space="preserve"> ambiente, a l</w:t>
      </w:r>
      <w:r w:rsidRPr="00BD1319">
        <w:rPr>
          <w:rFonts w:cs="Arial"/>
        </w:rPr>
        <w:t>os recursos naturales renovables o al paisaje.</w:t>
      </w:r>
    </w:p>
    <w:p w14:paraId="15D132EF" w14:textId="77777777" w:rsidR="00317B09" w:rsidRPr="00BD1319" w:rsidRDefault="00317B09" w:rsidP="00317B09">
      <w:pPr>
        <w:numPr>
          <w:ilvl w:val="12"/>
          <w:numId w:val="0"/>
        </w:numPr>
        <w:tabs>
          <w:tab w:val="left" w:pos="-2268"/>
        </w:tabs>
        <w:suppressAutoHyphens/>
        <w:rPr>
          <w:rFonts w:cs="Arial"/>
        </w:rPr>
      </w:pPr>
    </w:p>
    <w:p w14:paraId="159BAD7B" w14:textId="240696F8" w:rsidR="00317B09" w:rsidRPr="00BD1319" w:rsidRDefault="00317B09" w:rsidP="00317B09">
      <w:pPr>
        <w:numPr>
          <w:ilvl w:val="12"/>
          <w:numId w:val="0"/>
        </w:numPr>
        <w:tabs>
          <w:tab w:val="left" w:pos="-2268"/>
        </w:tabs>
        <w:suppressAutoHyphens/>
        <w:rPr>
          <w:rFonts w:cs="Arial"/>
        </w:rPr>
      </w:pPr>
      <w:r w:rsidRPr="00BD1319">
        <w:rPr>
          <w:rFonts w:cs="Arial"/>
        </w:rPr>
        <w:t>En atención a la Declaración de Río de Janeiro sobre Medio Ambiente y Desarrollo establecida en 1992, Colombia orienta su proceso de desarrollo económico y social de acuerdo con los principios del desarrollo sostenible promulgados en la misma. En la ley ambiental colombiana se establecen éstos y otros principios como fundamento para la formulación de las políticas ambientales, siendo los siguientes</w:t>
      </w:r>
      <w:r w:rsidR="0001330A" w:rsidRPr="00BD1319">
        <w:rPr>
          <w:rFonts w:cs="Arial"/>
        </w:rPr>
        <w:t>,</w:t>
      </w:r>
      <w:r w:rsidRPr="00BD1319">
        <w:rPr>
          <w:rFonts w:cs="Arial"/>
        </w:rPr>
        <w:t xml:space="preserve"> de especial relevancia en el marco del licenciamiento ambiental:</w:t>
      </w:r>
    </w:p>
    <w:p w14:paraId="105AF312" w14:textId="77777777" w:rsidR="00317B09" w:rsidRPr="00BD1319" w:rsidRDefault="00317B09" w:rsidP="00317B09">
      <w:pPr>
        <w:numPr>
          <w:ilvl w:val="12"/>
          <w:numId w:val="0"/>
        </w:numPr>
        <w:tabs>
          <w:tab w:val="left" w:pos="-2268"/>
        </w:tabs>
        <w:suppressAutoHyphens/>
        <w:rPr>
          <w:rFonts w:cs="Arial"/>
        </w:rPr>
      </w:pPr>
    </w:p>
    <w:p w14:paraId="0C2BB389" w14:textId="77777777" w:rsidR="00317B09" w:rsidRPr="00BD1319" w:rsidRDefault="00317B09" w:rsidP="00317B09">
      <w:pPr>
        <w:numPr>
          <w:ilvl w:val="0"/>
          <w:numId w:val="235"/>
        </w:numPr>
        <w:suppressAutoHyphens/>
        <w:ind w:left="567" w:hanging="567"/>
        <w:rPr>
          <w:rFonts w:cs="Arial"/>
        </w:rPr>
      </w:pPr>
      <w:r w:rsidRPr="00BD1319">
        <w:rPr>
          <w:rFonts w:cs="Arial"/>
        </w:rPr>
        <w:t>La biodiversidad, por ser patrimonio nacional y de interés de la humanidad, debe ser protegida prioritariamente y aprovechada en forma sostenible.</w:t>
      </w:r>
    </w:p>
    <w:p w14:paraId="039358E1" w14:textId="77777777" w:rsidR="00317B09" w:rsidRPr="00BD1319" w:rsidRDefault="00317B09" w:rsidP="00317B09">
      <w:pPr>
        <w:suppressAutoHyphens/>
        <w:rPr>
          <w:rFonts w:cs="Arial"/>
        </w:rPr>
      </w:pPr>
    </w:p>
    <w:p w14:paraId="46C55581" w14:textId="3E754B50" w:rsidR="00317B09" w:rsidRPr="00BD1319" w:rsidRDefault="00317B09" w:rsidP="00317B09">
      <w:pPr>
        <w:numPr>
          <w:ilvl w:val="0"/>
          <w:numId w:val="235"/>
        </w:numPr>
        <w:suppressAutoHyphens/>
        <w:ind w:left="567" w:hanging="567"/>
        <w:rPr>
          <w:rFonts w:cs="Arial"/>
        </w:rPr>
      </w:pPr>
      <w:r w:rsidRPr="00BD1319">
        <w:rPr>
          <w:rFonts w:cs="Arial"/>
        </w:rPr>
        <w:t>Cuando exista peligro de daño grave e irreversible, la falta de certeza científica absoluta no deberá utilizarse como razón para postergar la adopción de medidas eficaces para impedir la degradación del ambiente (principio de precaución).</w:t>
      </w:r>
    </w:p>
    <w:p w14:paraId="1B6DFE52" w14:textId="77777777" w:rsidR="00317B09" w:rsidRPr="00BD1319" w:rsidRDefault="00317B09" w:rsidP="00317B09">
      <w:pPr>
        <w:suppressAutoHyphens/>
        <w:rPr>
          <w:rFonts w:cs="Arial"/>
        </w:rPr>
      </w:pPr>
    </w:p>
    <w:p w14:paraId="0016C5CC" w14:textId="3B279D88" w:rsidR="00646D8F" w:rsidRPr="00BD1319" w:rsidRDefault="00317B09" w:rsidP="002C5EDB">
      <w:pPr>
        <w:numPr>
          <w:ilvl w:val="0"/>
          <w:numId w:val="235"/>
        </w:numPr>
        <w:suppressAutoHyphens/>
        <w:ind w:left="567" w:hanging="567"/>
        <w:rPr>
          <w:rFonts w:cs="Arial"/>
        </w:rPr>
      </w:pPr>
      <w:r w:rsidRPr="00BD1319">
        <w:rPr>
          <w:rFonts w:cs="Arial"/>
        </w:rPr>
        <w:t>Con el propósito de prevenir, corregir y restaurar el deterioro ambiental, y conservar los recursos naturales renovables, se debe fomentar la incorporación de los costos ambientales y el uso de instrumentos económicos.</w:t>
      </w:r>
    </w:p>
    <w:p w14:paraId="6C52CE91" w14:textId="77777777" w:rsidR="00317B09" w:rsidRPr="00BD1319" w:rsidRDefault="00317B09" w:rsidP="00317B09">
      <w:pPr>
        <w:suppressAutoHyphens/>
        <w:rPr>
          <w:rFonts w:cs="Arial"/>
        </w:rPr>
      </w:pPr>
    </w:p>
    <w:p w14:paraId="3FCB7B13" w14:textId="0B47AA83" w:rsidR="00317B09" w:rsidRPr="00BD1319" w:rsidRDefault="00317B09" w:rsidP="00317B09">
      <w:pPr>
        <w:numPr>
          <w:ilvl w:val="0"/>
          <w:numId w:val="235"/>
        </w:numPr>
        <w:suppressAutoHyphens/>
        <w:ind w:left="567" w:hanging="567"/>
        <w:rPr>
          <w:rFonts w:cs="Arial"/>
        </w:rPr>
      </w:pPr>
      <w:r w:rsidRPr="00BD1319">
        <w:rPr>
          <w:rFonts w:cs="Arial"/>
        </w:rPr>
        <w:t>El paisaje por ser patrimonio común deberá ser protegido y</w:t>
      </w:r>
      <w:r w:rsidR="00013BC7" w:rsidRPr="00BD1319">
        <w:rPr>
          <w:rFonts w:cs="Arial"/>
        </w:rPr>
        <w:t>,</w:t>
      </w:r>
    </w:p>
    <w:p w14:paraId="7C3D5F0A" w14:textId="77777777" w:rsidR="00317B09" w:rsidRPr="00BD1319" w:rsidRDefault="00317B09" w:rsidP="00317B09">
      <w:pPr>
        <w:suppressAutoHyphens/>
        <w:rPr>
          <w:rFonts w:cs="Arial"/>
        </w:rPr>
      </w:pPr>
    </w:p>
    <w:p w14:paraId="59740C5A" w14:textId="34D72124" w:rsidR="00317B09" w:rsidRPr="00BD1319" w:rsidRDefault="00317B09" w:rsidP="00317B09">
      <w:pPr>
        <w:numPr>
          <w:ilvl w:val="0"/>
          <w:numId w:val="235"/>
        </w:numPr>
        <w:suppressAutoHyphens/>
        <w:ind w:left="567" w:hanging="567"/>
        <w:rPr>
          <w:rFonts w:cs="Arial"/>
        </w:rPr>
      </w:pPr>
      <w:r w:rsidRPr="00BD1319">
        <w:rPr>
          <w:rFonts w:cs="Arial"/>
        </w:rPr>
        <w:t>Como instrumento básico para la toma de decisiones respecto a la construcción de obras y actividades que afecten significativamente el ambiente natural o artificial, se emplearán los estudios de impacto ambiental.</w:t>
      </w:r>
    </w:p>
    <w:p w14:paraId="540AACFD" w14:textId="77777777" w:rsidR="00317B09" w:rsidRPr="00BD1319" w:rsidRDefault="00317B09" w:rsidP="00317B09">
      <w:pPr>
        <w:numPr>
          <w:ilvl w:val="12"/>
          <w:numId w:val="0"/>
        </w:numPr>
        <w:tabs>
          <w:tab w:val="left" w:pos="-2268"/>
        </w:tabs>
        <w:suppressAutoHyphens/>
        <w:rPr>
          <w:rFonts w:cs="Arial"/>
        </w:rPr>
      </w:pPr>
    </w:p>
    <w:p w14:paraId="389B4D03" w14:textId="157B55D9" w:rsidR="00317B09" w:rsidRPr="00BD1319" w:rsidRDefault="00317B09" w:rsidP="00317B09">
      <w:pPr>
        <w:numPr>
          <w:ilvl w:val="12"/>
          <w:numId w:val="0"/>
        </w:numPr>
        <w:tabs>
          <w:tab w:val="left" w:pos="-2268"/>
        </w:tabs>
        <w:suppressAutoHyphens/>
        <w:rPr>
          <w:rFonts w:cs="Arial"/>
        </w:rPr>
      </w:pPr>
      <w:r w:rsidRPr="00BD1319">
        <w:rPr>
          <w:rFonts w:cs="Arial"/>
        </w:rPr>
        <w:t xml:space="preserve">Al Ministerio de Ambiente y Desarrollo Sostenible, como ente rector de la gestión del ambiente y de los recursos naturales renovables, se le ha encargado la labor de impulsar una relación de respeto y armonía del hombre con los ecosistemas y definir las políticas y regulaciones a las que se deben someter la recuperación, conservación, protección, ordenamiento, manejo, uso y aprovechamiento de los recursos naturales renovables y </w:t>
      </w:r>
      <w:r w:rsidR="00C34711" w:rsidRPr="00BD1319">
        <w:rPr>
          <w:rFonts w:cs="Arial"/>
        </w:rPr>
        <w:t>d</w:t>
      </w:r>
      <w:r w:rsidRPr="00BD1319">
        <w:rPr>
          <w:rFonts w:cs="Arial"/>
        </w:rPr>
        <w:t>el ambiente de la Nación, a fin de asegurar su desarrollo sostenible.</w:t>
      </w:r>
    </w:p>
    <w:p w14:paraId="38E64388" w14:textId="77777777" w:rsidR="00317B09" w:rsidRPr="00BD1319" w:rsidRDefault="00317B09" w:rsidP="00317B09">
      <w:pPr>
        <w:numPr>
          <w:ilvl w:val="12"/>
          <w:numId w:val="0"/>
        </w:numPr>
        <w:tabs>
          <w:tab w:val="left" w:pos="-2268"/>
        </w:tabs>
        <w:suppressAutoHyphens/>
        <w:rPr>
          <w:rFonts w:cs="Arial"/>
        </w:rPr>
      </w:pPr>
    </w:p>
    <w:p w14:paraId="74B99145" w14:textId="57652932" w:rsidR="00317B09" w:rsidRPr="00BD1319" w:rsidRDefault="00317B09" w:rsidP="00317B09">
      <w:pPr>
        <w:numPr>
          <w:ilvl w:val="12"/>
          <w:numId w:val="0"/>
        </w:numPr>
        <w:tabs>
          <w:tab w:val="left" w:pos="-2268"/>
        </w:tabs>
        <w:suppressAutoHyphens/>
        <w:rPr>
          <w:rFonts w:cs="Arial"/>
        </w:rPr>
      </w:pPr>
      <w:r w:rsidRPr="00BD1319">
        <w:rPr>
          <w:rFonts w:cs="Arial"/>
        </w:rPr>
        <w:t>En este sentido, el artículo 49 de la Ley 99 de 1993</w:t>
      </w:r>
      <w:r w:rsidR="0017199D" w:rsidRPr="00BD1319">
        <w:rPr>
          <w:rFonts w:cs="Arial"/>
        </w:rPr>
        <w:t>,</w:t>
      </w:r>
      <w:r w:rsidRPr="00BD1319">
        <w:rPr>
          <w:rFonts w:cs="Arial"/>
        </w:rPr>
        <w:t xml:space="preserve"> establece que l</w:t>
      </w:r>
      <w:r w:rsidR="0017199D" w:rsidRPr="00BD1319">
        <w:rPr>
          <w:rFonts w:cs="Arial"/>
        </w:rPr>
        <w:t xml:space="preserve">os </w:t>
      </w:r>
      <w:r w:rsidRPr="00BD1319">
        <w:rPr>
          <w:rFonts w:cs="Arial"/>
        </w:rPr>
        <w:t>proyectos, obras o actividades que pueda</w:t>
      </w:r>
      <w:r w:rsidR="0017199D" w:rsidRPr="00BD1319">
        <w:rPr>
          <w:rFonts w:cs="Arial"/>
        </w:rPr>
        <w:t>n</w:t>
      </w:r>
      <w:r w:rsidRPr="00BD1319">
        <w:rPr>
          <w:rFonts w:cs="Arial"/>
        </w:rPr>
        <w:t xml:space="preserve"> </w:t>
      </w:r>
      <w:r w:rsidR="0017199D" w:rsidRPr="00BD1319">
        <w:rPr>
          <w:rFonts w:cs="Arial"/>
        </w:rPr>
        <w:t xml:space="preserve">generar </w:t>
      </w:r>
      <w:r w:rsidRPr="00BD1319">
        <w:rPr>
          <w:rFonts w:cs="Arial"/>
        </w:rPr>
        <w:t>deterioro grave al</w:t>
      </w:r>
      <w:r w:rsidR="0017199D" w:rsidRPr="00BD1319">
        <w:rPr>
          <w:rFonts w:cs="Arial"/>
        </w:rPr>
        <w:t xml:space="preserve"> ambiente, a l</w:t>
      </w:r>
      <w:r w:rsidRPr="00BD1319">
        <w:rPr>
          <w:rFonts w:cs="Arial"/>
        </w:rPr>
        <w:t>os recursos naturales renovables o al paisaje, requiere</w:t>
      </w:r>
      <w:r w:rsidR="0017199D" w:rsidRPr="00BD1319">
        <w:rPr>
          <w:rFonts w:cs="Arial"/>
        </w:rPr>
        <w:t>n</w:t>
      </w:r>
      <w:r w:rsidRPr="00BD1319">
        <w:rPr>
          <w:rFonts w:cs="Arial"/>
        </w:rPr>
        <w:t xml:space="preserve"> licencia ambiental</w:t>
      </w:r>
      <w:r w:rsidR="0017199D" w:rsidRPr="00BD1319">
        <w:rPr>
          <w:rFonts w:cs="Arial"/>
        </w:rPr>
        <w:t xml:space="preserve"> para su ejecución</w:t>
      </w:r>
      <w:r w:rsidRPr="00BD1319">
        <w:rPr>
          <w:rFonts w:cs="Arial"/>
        </w:rPr>
        <w:t>.</w:t>
      </w:r>
    </w:p>
    <w:p w14:paraId="0E06EE3E" w14:textId="77777777" w:rsidR="00317B09" w:rsidRPr="00BD1319" w:rsidRDefault="00317B09" w:rsidP="00317B09">
      <w:pPr>
        <w:numPr>
          <w:ilvl w:val="12"/>
          <w:numId w:val="0"/>
        </w:numPr>
        <w:tabs>
          <w:tab w:val="left" w:pos="-2268"/>
        </w:tabs>
        <w:suppressAutoHyphens/>
        <w:rPr>
          <w:rFonts w:cs="Arial"/>
        </w:rPr>
      </w:pPr>
    </w:p>
    <w:p w14:paraId="688489E7" w14:textId="008C1D77" w:rsidR="0001330A" w:rsidRPr="00BD1319" w:rsidRDefault="00317B09" w:rsidP="00317B09">
      <w:pPr>
        <w:numPr>
          <w:ilvl w:val="12"/>
          <w:numId w:val="0"/>
        </w:numPr>
        <w:tabs>
          <w:tab w:val="left" w:pos="-2268"/>
        </w:tabs>
        <w:suppressAutoHyphens/>
        <w:rPr>
          <w:rFonts w:cs="Arial"/>
        </w:rPr>
      </w:pPr>
      <w:r w:rsidRPr="00BD1319">
        <w:rPr>
          <w:rFonts w:cs="Arial"/>
        </w:rPr>
        <w:t xml:space="preserve">El licenciamiento ambiental no se reduce únicamente al otorgamiento de </w:t>
      </w:r>
      <w:r w:rsidR="008A522A" w:rsidRPr="00BD1319">
        <w:rPr>
          <w:rFonts w:cs="Arial"/>
        </w:rPr>
        <w:t>una autorización</w:t>
      </w:r>
      <w:r w:rsidRPr="00BD1319">
        <w:rPr>
          <w:rFonts w:cs="Arial"/>
        </w:rPr>
        <w:t xml:space="preserve">, es un proceso integral que está dirigido a prevenir daños irreversibles, asegurar que los propósitos que se buscan con la ejecución de un proyecto, obra o actividad se alcancen empleando alternativas de bajo impacto ambiental, optimizar la toma de decisiones y garantizar, de acuerdo con la Constitución Política, la participación de </w:t>
      </w:r>
      <w:r w:rsidR="006B365E" w:rsidRPr="00BD1319">
        <w:rPr>
          <w:rFonts w:cs="Arial"/>
        </w:rPr>
        <w:t xml:space="preserve">los grupos de interés </w:t>
      </w:r>
      <w:r w:rsidRPr="00BD1319">
        <w:rPr>
          <w:rFonts w:cs="Arial"/>
        </w:rPr>
        <w:t>que puedan ser afectad</w:t>
      </w:r>
      <w:r w:rsidR="006B365E" w:rsidRPr="00BD1319">
        <w:rPr>
          <w:rFonts w:cs="Arial"/>
        </w:rPr>
        <w:t>o</w:t>
      </w:r>
      <w:r w:rsidRPr="00BD1319">
        <w:rPr>
          <w:rFonts w:cs="Arial"/>
        </w:rPr>
        <w:t>s por la toma de decisiones que tengan implicaciones ambientales</w:t>
      </w:r>
      <w:r w:rsidR="0001330A" w:rsidRPr="00BD1319">
        <w:rPr>
          <w:rFonts w:cs="Arial"/>
        </w:rPr>
        <w:t xml:space="preserve"> que afecten su derecho a gozar de un ambiente sano</w:t>
      </w:r>
      <w:r w:rsidRPr="00BD1319">
        <w:rPr>
          <w:rFonts w:cs="Arial"/>
        </w:rPr>
        <w:t>.</w:t>
      </w:r>
    </w:p>
    <w:p w14:paraId="2AB64894" w14:textId="77777777" w:rsidR="0001330A" w:rsidRPr="00BD1319" w:rsidRDefault="0001330A" w:rsidP="00317B09">
      <w:pPr>
        <w:numPr>
          <w:ilvl w:val="12"/>
          <w:numId w:val="0"/>
        </w:numPr>
        <w:tabs>
          <w:tab w:val="left" w:pos="-2268"/>
        </w:tabs>
        <w:suppressAutoHyphens/>
        <w:rPr>
          <w:rFonts w:cs="Arial"/>
        </w:rPr>
      </w:pPr>
    </w:p>
    <w:p w14:paraId="3AEE82D6" w14:textId="1A531575" w:rsidR="00317B09" w:rsidRPr="00BD1319" w:rsidRDefault="00317B09" w:rsidP="00317B09">
      <w:pPr>
        <w:numPr>
          <w:ilvl w:val="12"/>
          <w:numId w:val="0"/>
        </w:numPr>
        <w:tabs>
          <w:tab w:val="left" w:pos="-2268"/>
        </w:tabs>
        <w:suppressAutoHyphens/>
        <w:rPr>
          <w:rFonts w:cs="Arial"/>
        </w:rPr>
      </w:pPr>
      <w:r w:rsidRPr="00BD1319">
        <w:rPr>
          <w:rFonts w:cs="Arial"/>
        </w:rPr>
        <w:t xml:space="preserve">Asimismo, el proceso de licenciamiento ambiental determina que los proyectos, obras o actividades que por su naturaleza </w:t>
      </w:r>
      <w:r w:rsidR="00083D6C" w:rsidRPr="00BD1319">
        <w:rPr>
          <w:rFonts w:cs="Arial"/>
        </w:rPr>
        <w:t xml:space="preserve">puedan </w:t>
      </w:r>
      <w:r w:rsidRPr="00BD1319">
        <w:rPr>
          <w:rFonts w:cs="Arial"/>
        </w:rPr>
        <w:t>generan impactos significativos, s</w:t>
      </w:r>
      <w:r w:rsidR="007E6C00" w:rsidRPr="00BD1319">
        <w:rPr>
          <w:rFonts w:cs="Arial"/>
        </w:rPr>
        <w:t>o</w:t>
      </w:r>
      <w:r w:rsidRPr="00BD1319">
        <w:rPr>
          <w:rFonts w:cs="Arial"/>
        </w:rPr>
        <w:t>n objeto de evaluación</w:t>
      </w:r>
      <w:r w:rsidR="0001330A" w:rsidRPr="00BD1319">
        <w:rPr>
          <w:rFonts w:cs="Arial"/>
        </w:rPr>
        <w:t xml:space="preserve"> por parte de las autoridades ambientales</w:t>
      </w:r>
      <w:r w:rsidR="007E6C00" w:rsidRPr="00BD1319">
        <w:rPr>
          <w:rFonts w:cs="Arial"/>
        </w:rPr>
        <w:t xml:space="preserve"> competentes</w:t>
      </w:r>
      <w:r w:rsidRPr="00BD1319">
        <w:rPr>
          <w:rFonts w:cs="Arial"/>
        </w:rPr>
        <w:t>, y establece que aquellos proyectos que se califiquen como ambientalmente viables, se planifiquen, ejecuten, operen y desmantelen (en caso de requerirse) aplicando medidas que, en estricto orden, estén dirigidas a prevenir, mitigar, corregir y solo en última instancia, compensar, los impactos ambientales que puedan ocasionar.</w:t>
      </w:r>
    </w:p>
    <w:p w14:paraId="6B1E1C10" w14:textId="77777777" w:rsidR="00317B09" w:rsidRPr="00BD1319" w:rsidRDefault="00317B09" w:rsidP="00317B09">
      <w:pPr>
        <w:numPr>
          <w:ilvl w:val="12"/>
          <w:numId w:val="0"/>
        </w:numPr>
        <w:tabs>
          <w:tab w:val="left" w:pos="-2268"/>
        </w:tabs>
        <w:suppressAutoHyphens/>
        <w:rPr>
          <w:rFonts w:cs="Arial"/>
        </w:rPr>
      </w:pPr>
    </w:p>
    <w:p w14:paraId="7D278739" w14:textId="4E12FC14" w:rsidR="00317B09" w:rsidRPr="00BD1319" w:rsidRDefault="00317B09" w:rsidP="00317B09">
      <w:pPr>
        <w:numPr>
          <w:ilvl w:val="12"/>
          <w:numId w:val="0"/>
        </w:numPr>
        <w:tabs>
          <w:tab w:val="left" w:pos="-2268"/>
        </w:tabs>
        <w:suppressAutoHyphens/>
        <w:rPr>
          <w:rFonts w:cs="Arial"/>
        </w:rPr>
      </w:pPr>
      <w:r w:rsidRPr="00BD1319">
        <w:rPr>
          <w:rFonts w:cs="Arial"/>
        </w:rPr>
        <w:t>Es fundamental señalar que el proceso de licenciamiento ambiental no concluye con la expedición de la licencia</w:t>
      </w:r>
      <w:r w:rsidR="006B365E" w:rsidRPr="00BD1319">
        <w:rPr>
          <w:rFonts w:cs="Arial"/>
        </w:rPr>
        <w:t>.</w:t>
      </w:r>
      <w:r w:rsidRPr="00BD1319">
        <w:rPr>
          <w:rFonts w:cs="Arial"/>
        </w:rPr>
        <w:t xml:space="preserve"> </w:t>
      </w:r>
      <w:r w:rsidR="006B365E" w:rsidRPr="00BD1319">
        <w:rPr>
          <w:rFonts w:cs="Arial"/>
        </w:rPr>
        <w:t>D</w:t>
      </w:r>
      <w:r w:rsidRPr="00BD1319">
        <w:rPr>
          <w:rFonts w:cs="Arial"/>
        </w:rPr>
        <w:t>urante la ejecución y operación de un proyecto</w:t>
      </w:r>
      <w:r w:rsidR="002D0006" w:rsidRPr="00BD1319">
        <w:rPr>
          <w:rFonts w:cs="Arial"/>
        </w:rPr>
        <w:t>, obra o actividad</w:t>
      </w:r>
      <w:r w:rsidRPr="00BD1319">
        <w:rPr>
          <w:rFonts w:cs="Arial"/>
        </w:rPr>
        <w:t xml:space="preserve"> se hace seguimiento tanto a los planes ambientales aprobados en la licencia como a las dinámicas ambientales que se desencadenan con motivo del desarrollo del proyecto, con el propósito de </w:t>
      </w:r>
      <w:r w:rsidR="0046760E" w:rsidRPr="00BD1319">
        <w:rPr>
          <w:rFonts w:cs="Arial"/>
        </w:rPr>
        <w:t xml:space="preserve">establecer </w:t>
      </w:r>
      <w:r w:rsidRPr="00BD1319">
        <w:rPr>
          <w:rFonts w:cs="Arial"/>
        </w:rPr>
        <w:t xml:space="preserve">de forma temprana las </w:t>
      </w:r>
      <w:r w:rsidRPr="00BD1319">
        <w:rPr>
          <w:rFonts w:cs="Arial"/>
        </w:rPr>
        <w:lastRenderedPageBreak/>
        <w:t xml:space="preserve">acciones que se deben realizar para gestionar </w:t>
      </w:r>
      <w:r w:rsidR="0058796C" w:rsidRPr="00BD1319">
        <w:rPr>
          <w:rFonts w:cs="Arial"/>
        </w:rPr>
        <w:t xml:space="preserve">todos </w:t>
      </w:r>
      <w:r w:rsidRPr="00BD1319">
        <w:rPr>
          <w:rFonts w:cs="Arial"/>
        </w:rPr>
        <w:t>los impactos ambientales</w:t>
      </w:r>
      <w:r w:rsidR="0058796C" w:rsidRPr="00BD1319">
        <w:rPr>
          <w:rFonts w:cs="Arial"/>
        </w:rPr>
        <w:t xml:space="preserve"> generados por la ejecución del proyecto, obra o actividad, incluyendo aquellos</w:t>
      </w:r>
      <w:r w:rsidRPr="00BD1319">
        <w:rPr>
          <w:rFonts w:cs="Arial"/>
        </w:rPr>
        <w:t xml:space="preserve"> que no hayan sido previstos.</w:t>
      </w:r>
    </w:p>
    <w:p w14:paraId="707B87D2" w14:textId="77777777" w:rsidR="00317B09" w:rsidRPr="00BD1319" w:rsidRDefault="00317B09" w:rsidP="00317B09">
      <w:pPr>
        <w:numPr>
          <w:ilvl w:val="12"/>
          <w:numId w:val="0"/>
        </w:numPr>
        <w:tabs>
          <w:tab w:val="left" w:pos="-2268"/>
        </w:tabs>
        <w:suppressAutoHyphens/>
        <w:rPr>
          <w:rFonts w:cs="Arial"/>
        </w:rPr>
      </w:pPr>
    </w:p>
    <w:p w14:paraId="4E1675B4" w14:textId="1CF445E4" w:rsidR="00317B09" w:rsidRPr="00BD1319" w:rsidRDefault="00317B09" w:rsidP="00317B09">
      <w:pPr>
        <w:numPr>
          <w:ilvl w:val="12"/>
          <w:numId w:val="0"/>
        </w:numPr>
        <w:tabs>
          <w:tab w:val="left" w:pos="-2268"/>
        </w:tabs>
        <w:suppressAutoHyphens/>
        <w:rPr>
          <w:rFonts w:cs="Arial"/>
        </w:rPr>
      </w:pPr>
      <w:r w:rsidRPr="00BD1319">
        <w:rPr>
          <w:rFonts w:cs="Arial"/>
        </w:rPr>
        <w:t xml:space="preserve">Resulta igualmente importante resaltar dos aspectos respecto del licenciamiento ambiental y de la metodología que orienta la elaboración de los estudios en los que se apoya: primero, que responden a un proceso que busca evitar </w:t>
      </w:r>
      <w:r w:rsidR="0058796C" w:rsidRPr="00BD1319">
        <w:rPr>
          <w:rFonts w:cs="Arial"/>
        </w:rPr>
        <w:t xml:space="preserve">el desarrollo de proyectos, obras o actividades que generen impactos ambientales </w:t>
      </w:r>
      <w:r w:rsidR="004B110C" w:rsidRPr="00BD1319">
        <w:rPr>
          <w:rFonts w:cs="Arial"/>
        </w:rPr>
        <w:t xml:space="preserve">significativos </w:t>
      </w:r>
      <w:r w:rsidR="0058796C" w:rsidRPr="00BD1319">
        <w:rPr>
          <w:rFonts w:cs="Arial"/>
        </w:rPr>
        <w:t>sin la supervisión y planificación del Estado</w:t>
      </w:r>
      <w:r w:rsidRPr="00BD1319">
        <w:rPr>
          <w:rFonts w:cs="Arial"/>
        </w:rPr>
        <w:t xml:space="preserve"> y segundo, que persiguiendo este fin no retrasan o constituyen óbice del desarrollo económico, y que por el contrario, abordados de manera completa, oportuna e integrada a la planeación de los proyectos, representan ahorros de tiempo y recursos económicos en la medida que optimizan el uso de información, contribuyen a hacer más eficientes los procesos, evitan multas y sanciones, y previenen impactos </w:t>
      </w:r>
      <w:r w:rsidR="0058796C" w:rsidRPr="00BD1319">
        <w:rPr>
          <w:rFonts w:cs="Arial"/>
        </w:rPr>
        <w:t xml:space="preserve">ambientales </w:t>
      </w:r>
      <w:r w:rsidRPr="00BD1319">
        <w:rPr>
          <w:rFonts w:cs="Arial"/>
        </w:rPr>
        <w:t>significativos que pueden conllevar costos para la sociedad en su conjunto.</w:t>
      </w:r>
    </w:p>
    <w:p w14:paraId="3E634D5C" w14:textId="77777777" w:rsidR="00AE36BE" w:rsidRPr="00BD1319" w:rsidRDefault="00AE36BE" w:rsidP="00317B09">
      <w:pPr>
        <w:numPr>
          <w:ilvl w:val="12"/>
          <w:numId w:val="0"/>
        </w:numPr>
        <w:tabs>
          <w:tab w:val="left" w:pos="-2268"/>
        </w:tabs>
        <w:suppressAutoHyphens/>
        <w:rPr>
          <w:rFonts w:cs="Arial"/>
        </w:rPr>
      </w:pPr>
    </w:p>
    <w:p w14:paraId="193B546F" w14:textId="0A478A2C" w:rsidR="00AE36BE" w:rsidRPr="00BD1319" w:rsidRDefault="00AE36BE" w:rsidP="00317B09">
      <w:pPr>
        <w:numPr>
          <w:ilvl w:val="12"/>
          <w:numId w:val="0"/>
        </w:numPr>
        <w:tabs>
          <w:tab w:val="left" w:pos="-2268"/>
        </w:tabs>
        <w:suppressAutoHyphens/>
        <w:rPr>
          <w:rFonts w:cs="Arial"/>
        </w:rPr>
      </w:pPr>
      <w:r w:rsidRPr="00BD1319">
        <w:rPr>
          <w:rFonts w:cs="Arial"/>
        </w:rPr>
        <w:t>Con el fin de materializar todos estos propósitos</w:t>
      </w:r>
      <w:r w:rsidR="00F47D1C" w:rsidRPr="00BD1319">
        <w:rPr>
          <w:rFonts w:cs="Arial"/>
        </w:rPr>
        <w:t>,</w:t>
      </w:r>
      <w:r w:rsidRPr="00BD1319">
        <w:rPr>
          <w:rFonts w:cs="Arial"/>
        </w:rPr>
        <w:t xml:space="preserve"> </w:t>
      </w:r>
      <w:r w:rsidR="00F47D1C" w:rsidRPr="00BD1319">
        <w:rPr>
          <w:rFonts w:cs="Arial"/>
        </w:rPr>
        <w:t xml:space="preserve">el licenciamiento ambiental </w:t>
      </w:r>
      <w:r w:rsidRPr="00BD1319">
        <w:rPr>
          <w:rFonts w:cs="Arial"/>
        </w:rPr>
        <w:t xml:space="preserve">se ha consolidado </w:t>
      </w:r>
      <w:r w:rsidR="00F47D1C" w:rsidRPr="00BD1319">
        <w:rPr>
          <w:rFonts w:cs="Arial"/>
        </w:rPr>
        <w:t xml:space="preserve">como un </w:t>
      </w:r>
      <w:r w:rsidRPr="00BD1319">
        <w:rPr>
          <w:rFonts w:cs="Arial"/>
        </w:rPr>
        <w:t xml:space="preserve">proceso </w:t>
      </w:r>
      <w:r w:rsidR="00F47D1C" w:rsidRPr="00BD1319">
        <w:rPr>
          <w:rFonts w:cs="Arial"/>
        </w:rPr>
        <w:t xml:space="preserve">de toma de decisión de varias etapas que se soporta en </w:t>
      </w:r>
      <w:r w:rsidRPr="00BD1319">
        <w:rPr>
          <w:rFonts w:cs="Arial"/>
        </w:rPr>
        <w:t xml:space="preserve">un conjunto ordenado y articulado de </w:t>
      </w:r>
      <w:r w:rsidR="00F47D1C" w:rsidRPr="00BD1319">
        <w:rPr>
          <w:rFonts w:cs="Arial"/>
        </w:rPr>
        <w:t xml:space="preserve">regulaciones, </w:t>
      </w:r>
      <w:r w:rsidRPr="00BD1319">
        <w:rPr>
          <w:rFonts w:cs="Arial"/>
        </w:rPr>
        <w:t xml:space="preserve">procedimientos y herramientas técnicas y tecnológicas expedidas o aprobadas por Minambiente. Dentro de </w:t>
      </w:r>
      <w:r w:rsidR="008F13BE" w:rsidRPr="00BD1319">
        <w:rPr>
          <w:rFonts w:cs="Arial"/>
        </w:rPr>
        <w:t>proceso</w:t>
      </w:r>
      <w:r w:rsidRPr="00BD1319">
        <w:rPr>
          <w:rFonts w:cs="Arial"/>
        </w:rPr>
        <w:t xml:space="preserve">, la Metodología General para la Elaboración y Presentación de Estudios Ambientales, en adelante MGEPEA, </w:t>
      </w:r>
      <w:r w:rsidR="008F13BE" w:rsidRPr="00BD1319">
        <w:rPr>
          <w:rFonts w:cs="Arial"/>
        </w:rPr>
        <w:t xml:space="preserve">constituye </w:t>
      </w:r>
      <w:r w:rsidRPr="00BD1319">
        <w:rPr>
          <w:rFonts w:cs="Arial"/>
        </w:rPr>
        <w:t xml:space="preserve">la herramienta </w:t>
      </w:r>
      <w:r w:rsidR="00F47D1C" w:rsidRPr="00BD1319">
        <w:rPr>
          <w:rFonts w:cs="Arial"/>
        </w:rPr>
        <w:t xml:space="preserve">que soporta </w:t>
      </w:r>
      <w:r w:rsidRPr="00BD1319">
        <w:rPr>
          <w:rFonts w:cs="Arial"/>
        </w:rPr>
        <w:t>la etapa de formulación de los estudios ambientales</w:t>
      </w:r>
      <w:r w:rsidR="008F13BE" w:rsidRPr="00BD1319">
        <w:rPr>
          <w:rFonts w:cs="Arial"/>
        </w:rPr>
        <w:t>.</w:t>
      </w:r>
    </w:p>
    <w:p w14:paraId="171EA9C1" w14:textId="77777777" w:rsidR="00AE36BE" w:rsidRPr="00BD1319" w:rsidRDefault="00AE36BE" w:rsidP="00317B09">
      <w:pPr>
        <w:numPr>
          <w:ilvl w:val="12"/>
          <w:numId w:val="0"/>
        </w:numPr>
        <w:tabs>
          <w:tab w:val="left" w:pos="-2268"/>
        </w:tabs>
        <w:suppressAutoHyphens/>
        <w:rPr>
          <w:rFonts w:cs="Arial"/>
        </w:rPr>
      </w:pPr>
    </w:p>
    <w:p w14:paraId="12FE94CC" w14:textId="7AA262B2" w:rsidR="00317B09" w:rsidRPr="00BD1319" w:rsidRDefault="00F47D1C" w:rsidP="00317B09">
      <w:pPr>
        <w:numPr>
          <w:ilvl w:val="12"/>
          <w:numId w:val="0"/>
        </w:numPr>
        <w:tabs>
          <w:tab w:val="left" w:pos="-2268"/>
        </w:tabs>
        <w:suppressAutoHyphens/>
        <w:rPr>
          <w:rFonts w:cs="Arial"/>
        </w:rPr>
      </w:pPr>
      <w:r w:rsidRPr="00BD1319">
        <w:rPr>
          <w:rFonts w:cs="Arial"/>
        </w:rPr>
        <w:t xml:space="preserve">En este sentido la </w:t>
      </w:r>
      <w:r w:rsidR="00346935" w:rsidRPr="00BD1319">
        <w:rPr>
          <w:rFonts w:cs="Arial"/>
        </w:rPr>
        <w:t>MGEPEA</w:t>
      </w:r>
      <w:r w:rsidR="00317B09" w:rsidRPr="00BD1319">
        <w:rPr>
          <w:rFonts w:cs="Arial"/>
        </w:rPr>
        <w:t xml:space="preserve"> </w:t>
      </w:r>
      <w:r w:rsidR="009C04B0" w:rsidRPr="00BD1319">
        <w:rPr>
          <w:rFonts w:cs="Arial"/>
        </w:rPr>
        <w:t xml:space="preserve">establece el </w:t>
      </w:r>
      <w:r w:rsidR="00317B09" w:rsidRPr="00BD1319">
        <w:rPr>
          <w:rFonts w:cs="Arial"/>
        </w:rPr>
        <w:t xml:space="preserve">conjunto de </w:t>
      </w:r>
      <w:r w:rsidR="00947626" w:rsidRPr="00BD1319">
        <w:rPr>
          <w:rFonts w:cs="Arial"/>
        </w:rPr>
        <w:t xml:space="preserve">orientaciones metodológicas </w:t>
      </w:r>
      <w:r w:rsidR="00317B09" w:rsidRPr="00BD1319">
        <w:rPr>
          <w:rFonts w:cs="Arial"/>
        </w:rPr>
        <w:t xml:space="preserve">ordenadas y jerarquizadas que facilitan a quien está interesado en desarrollar un proyecto, obra o actividad sujeto de licenciamiento ambiental, el proceso </w:t>
      </w:r>
      <w:r w:rsidR="00947626" w:rsidRPr="00BD1319">
        <w:rPr>
          <w:rFonts w:cs="Arial"/>
        </w:rPr>
        <w:t xml:space="preserve">de </w:t>
      </w:r>
      <w:r w:rsidR="00317B09" w:rsidRPr="00BD1319">
        <w:rPr>
          <w:rFonts w:cs="Arial"/>
        </w:rPr>
        <w:t xml:space="preserve">elaboración y presentación de los estudios ambientales que exige la normativa colombiana; estas </w:t>
      </w:r>
      <w:r w:rsidR="00947626" w:rsidRPr="00BD1319">
        <w:rPr>
          <w:rFonts w:cs="Arial"/>
        </w:rPr>
        <w:t>orientaciones</w:t>
      </w:r>
      <w:r w:rsidR="00317B09" w:rsidRPr="00BD1319">
        <w:rPr>
          <w:rFonts w:cs="Arial"/>
        </w:rPr>
        <w:t xml:space="preserve">, </w:t>
      </w:r>
      <w:r w:rsidR="00947626" w:rsidRPr="00BD1319">
        <w:rPr>
          <w:rFonts w:cs="Arial"/>
        </w:rPr>
        <w:t xml:space="preserve">aplicadas </w:t>
      </w:r>
      <w:r w:rsidR="00467CE5" w:rsidRPr="00BD1319">
        <w:rPr>
          <w:rFonts w:cs="Arial"/>
        </w:rPr>
        <w:t>de acuerdo con</w:t>
      </w:r>
      <w:r w:rsidR="00947626" w:rsidRPr="00BD1319">
        <w:rPr>
          <w:rFonts w:cs="Arial"/>
        </w:rPr>
        <w:t xml:space="preserve"> las particularidades de cada proyecto obra o actividad,</w:t>
      </w:r>
      <w:r w:rsidR="00317B09" w:rsidRPr="00BD1319">
        <w:rPr>
          <w:rFonts w:cs="Arial"/>
        </w:rPr>
        <w:t xml:space="preserve"> se complementan con las indicadas en los términos de referencia</w:t>
      </w:r>
      <w:r w:rsidR="00317B09" w:rsidRPr="00BD1319">
        <w:rPr>
          <w:rFonts w:cs="Arial"/>
          <w:vertAlign w:val="superscript"/>
        </w:rPr>
        <w:footnoteReference w:id="2"/>
      </w:r>
      <w:r w:rsidR="00317B09" w:rsidRPr="00BD1319">
        <w:rPr>
          <w:rFonts w:cs="Arial"/>
        </w:rPr>
        <w:t xml:space="preserve"> </w:t>
      </w:r>
      <w:r w:rsidR="00947626" w:rsidRPr="00BD1319">
        <w:rPr>
          <w:rFonts w:cs="Arial"/>
        </w:rPr>
        <w:t xml:space="preserve">para </w:t>
      </w:r>
      <w:r w:rsidR="00317B09" w:rsidRPr="00BD1319">
        <w:rPr>
          <w:rFonts w:cs="Arial"/>
        </w:rPr>
        <w:t>asegura</w:t>
      </w:r>
      <w:r w:rsidR="00947626" w:rsidRPr="00BD1319">
        <w:rPr>
          <w:rFonts w:cs="Arial"/>
        </w:rPr>
        <w:t>r</w:t>
      </w:r>
      <w:r w:rsidR="00317B09" w:rsidRPr="00BD1319">
        <w:rPr>
          <w:rFonts w:cs="Arial"/>
        </w:rPr>
        <w:t xml:space="preserve"> que los estudios ambientales contengan la información suficiente y necesaria que las autoridades ambientales </w:t>
      </w:r>
      <w:r w:rsidR="00947626" w:rsidRPr="00BD1319">
        <w:rPr>
          <w:rFonts w:cs="Arial"/>
        </w:rPr>
        <w:t xml:space="preserve">requieren para tomar </w:t>
      </w:r>
      <w:r w:rsidR="00317B09" w:rsidRPr="00BD1319">
        <w:rPr>
          <w:rFonts w:cs="Arial"/>
        </w:rPr>
        <w:lastRenderedPageBreak/>
        <w:t>decisiones frente al desarrollo de los proyectos</w:t>
      </w:r>
      <w:r w:rsidR="00947626" w:rsidRPr="00BD1319">
        <w:rPr>
          <w:rFonts w:cs="Arial"/>
        </w:rPr>
        <w:t>, basadas en evidencia y</w:t>
      </w:r>
      <w:r w:rsidR="00317B09" w:rsidRPr="00BD1319">
        <w:rPr>
          <w:rFonts w:cs="Arial"/>
        </w:rPr>
        <w:t xml:space="preserve"> con total transparencia, eficiencia y objetividad.</w:t>
      </w:r>
    </w:p>
    <w:p w14:paraId="4B9F01A4" w14:textId="77777777" w:rsidR="00317B09" w:rsidRPr="00BD1319" w:rsidRDefault="00317B09" w:rsidP="00317B09">
      <w:pPr>
        <w:numPr>
          <w:ilvl w:val="12"/>
          <w:numId w:val="0"/>
        </w:numPr>
        <w:tabs>
          <w:tab w:val="left" w:pos="-2268"/>
        </w:tabs>
        <w:suppressAutoHyphens/>
        <w:rPr>
          <w:rFonts w:cs="Arial"/>
        </w:rPr>
      </w:pPr>
    </w:p>
    <w:p w14:paraId="4A6D4C61" w14:textId="27B05089" w:rsidR="00C34711" w:rsidRPr="00BD1319" w:rsidRDefault="00C34711" w:rsidP="00317B09">
      <w:pPr>
        <w:numPr>
          <w:ilvl w:val="12"/>
          <w:numId w:val="0"/>
        </w:numPr>
        <w:tabs>
          <w:tab w:val="left" w:pos="-2268"/>
        </w:tabs>
        <w:suppressAutoHyphens/>
        <w:rPr>
          <w:rFonts w:cs="Arial"/>
        </w:rPr>
      </w:pPr>
      <w:r w:rsidRPr="00BD1319">
        <w:rPr>
          <w:rFonts w:cs="Arial"/>
        </w:rPr>
        <w:t xml:space="preserve">De acuerdo con el artículo 2.2.2.3.3.2. del Decreto 1076 de 2015, los estudios ambientales deben ser presentados de conformidad con la MGEPEA, la cual </w:t>
      </w:r>
      <w:r w:rsidR="00AB705B" w:rsidRPr="00BD1319">
        <w:rPr>
          <w:rFonts w:cs="Arial"/>
        </w:rPr>
        <w:t xml:space="preserve">constituye una herramienta </w:t>
      </w:r>
      <w:r w:rsidRPr="00BD1319">
        <w:rPr>
          <w:rFonts w:cs="Arial"/>
        </w:rPr>
        <w:t>de obligatorio cumplimiento, tanto para aquellos estudios ambientales que soportan solicitudes de licencia de competencia de la Autoridad Nacional de Licencias Ambientales (ANLA), como para aquellos que soportan solicitudes de competencia de las demás autoridades ambientales. Cada autoridad ambiental debe tener pleno conocimiento del contenido de la MGEPEA en la medida que ésta establece una parte importante de las directrices que se imparten a los usuarios (complementarias de las definidas en los términos de referencia), para la elaboración de los estudios ambientales que ellas deben evaluar.</w:t>
      </w:r>
    </w:p>
    <w:p w14:paraId="5C8432B3" w14:textId="77777777" w:rsidR="00C34711" w:rsidRPr="00BD1319" w:rsidRDefault="00C34711" w:rsidP="00317B09">
      <w:pPr>
        <w:numPr>
          <w:ilvl w:val="12"/>
          <w:numId w:val="0"/>
        </w:numPr>
        <w:tabs>
          <w:tab w:val="left" w:pos="-2268"/>
        </w:tabs>
        <w:suppressAutoHyphens/>
        <w:rPr>
          <w:rFonts w:cs="Arial"/>
        </w:rPr>
      </w:pPr>
    </w:p>
    <w:p w14:paraId="2E0EDEE0" w14:textId="62909241" w:rsidR="00317B09" w:rsidRPr="00BD1319" w:rsidRDefault="00317B09" w:rsidP="00317B09">
      <w:pPr>
        <w:numPr>
          <w:ilvl w:val="12"/>
          <w:numId w:val="0"/>
        </w:numPr>
        <w:tabs>
          <w:tab w:val="left" w:pos="-2268"/>
        </w:tabs>
        <w:suppressAutoHyphens/>
        <w:rPr>
          <w:rFonts w:cs="Arial"/>
        </w:rPr>
      </w:pPr>
      <w:r w:rsidRPr="00BD1319">
        <w:rPr>
          <w:rFonts w:cs="Arial"/>
        </w:rPr>
        <w:t>La forma en que se presentan los estudios ambientales no corresponde necesariamente al orden en el que se genera la información ni a la secuencia con la que se toman las decisiones, corresponde a un orden establecido para facilitar y agilizar las labores de evaluación; así, por ejemplo, puede que las características definitivas de</w:t>
      </w:r>
      <w:r w:rsidR="002D0006" w:rsidRPr="00BD1319">
        <w:rPr>
          <w:rFonts w:cs="Arial"/>
        </w:rPr>
        <w:t xml:space="preserve"> un</w:t>
      </w:r>
      <w:r w:rsidRPr="00BD1319">
        <w:rPr>
          <w:rFonts w:cs="Arial"/>
        </w:rPr>
        <w:t xml:space="preserve"> proyecto sólo se establezcan al concluir la evaluación de los impactos ambientales que generan las múltiples alternativas mediante las cuales es factible ejecutar</w:t>
      </w:r>
      <w:r w:rsidR="002D0006" w:rsidRPr="00BD1319">
        <w:rPr>
          <w:rFonts w:cs="Arial"/>
        </w:rPr>
        <w:t>lo</w:t>
      </w:r>
      <w:r w:rsidRPr="00BD1319">
        <w:rPr>
          <w:rFonts w:cs="Arial"/>
        </w:rPr>
        <w:t>, aunque los estudios ambientales soliciten describir el proyecto al comienzo de los documentos.</w:t>
      </w:r>
    </w:p>
    <w:p w14:paraId="0B88F93E" w14:textId="77777777" w:rsidR="00317B09" w:rsidRPr="00BD1319" w:rsidRDefault="00317B09" w:rsidP="00317B09">
      <w:pPr>
        <w:numPr>
          <w:ilvl w:val="12"/>
          <w:numId w:val="0"/>
        </w:numPr>
        <w:tabs>
          <w:tab w:val="left" w:pos="-2268"/>
        </w:tabs>
        <w:suppressAutoHyphens/>
        <w:rPr>
          <w:rFonts w:cs="Arial"/>
        </w:rPr>
      </w:pPr>
    </w:p>
    <w:p w14:paraId="20CE660A" w14:textId="320E6073" w:rsidR="00317B09" w:rsidRPr="00BD1319" w:rsidRDefault="00317B09" w:rsidP="4A0B09C6">
      <w:pPr>
        <w:suppressAutoHyphens/>
        <w:rPr>
          <w:rFonts w:cs="Arial"/>
        </w:rPr>
      </w:pPr>
      <w:r w:rsidRPr="00BD1319">
        <w:rPr>
          <w:rFonts w:cs="Arial"/>
        </w:rPr>
        <w:t xml:space="preserve">La información juega un papel fundamental en el proceso de licenciamiento ambiental </w:t>
      </w:r>
      <w:r w:rsidR="00C34711" w:rsidRPr="00BD1319">
        <w:rPr>
          <w:rFonts w:cs="Arial"/>
        </w:rPr>
        <w:t xml:space="preserve">en la medida que </w:t>
      </w:r>
      <w:r w:rsidRPr="00BD1319">
        <w:rPr>
          <w:rFonts w:cs="Arial"/>
        </w:rPr>
        <w:t xml:space="preserve">soporta la toma de decisiones, por lo tanto, constituye uno de los elementos centrales que se abordan en los estudios ambientales a los que se refiere </w:t>
      </w:r>
      <w:r w:rsidR="00C34711" w:rsidRPr="00BD1319">
        <w:rPr>
          <w:rFonts w:cs="Arial"/>
        </w:rPr>
        <w:t>la MGEPEA</w:t>
      </w:r>
      <w:r w:rsidRPr="00BD1319">
        <w:rPr>
          <w:rFonts w:cs="Arial"/>
        </w:rPr>
        <w:t xml:space="preserve">. Durante la elaboración de los estudios ambientales se debe generar, obtener, procesar, tabular, analizar y presentar la mejor información disponible, de tal forma que se tenga la mayor certeza posible respecto </w:t>
      </w:r>
      <w:r w:rsidR="00EA4DDB" w:rsidRPr="00BD1319">
        <w:rPr>
          <w:rFonts w:cs="Arial"/>
        </w:rPr>
        <w:t>de</w:t>
      </w:r>
      <w:r w:rsidRPr="00BD1319">
        <w:rPr>
          <w:rFonts w:cs="Arial"/>
        </w:rPr>
        <w:t xml:space="preserve"> </w:t>
      </w:r>
      <w:r w:rsidR="00CB5942" w:rsidRPr="00BD1319">
        <w:rPr>
          <w:rFonts w:cs="Arial"/>
        </w:rPr>
        <w:t xml:space="preserve">las diferencias entre las implicaciones ambientales de las alternativas, de </w:t>
      </w:r>
      <w:r w:rsidRPr="00BD1319">
        <w:rPr>
          <w:rFonts w:cs="Arial"/>
        </w:rPr>
        <w:t>los impactos ambientales que la ejecución del proyecto</w:t>
      </w:r>
      <w:r w:rsidR="00F32AC0" w:rsidRPr="00BD1319">
        <w:rPr>
          <w:rFonts w:cs="Arial"/>
        </w:rPr>
        <w:t>, obra o actividad</w:t>
      </w:r>
      <w:r w:rsidRPr="00BD1319">
        <w:rPr>
          <w:rFonts w:cs="Arial"/>
        </w:rPr>
        <w:t xml:space="preserve"> puede generar, así como de </w:t>
      </w:r>
      <w:r w:rsidR="00CB5942" w:rsidRPr="00BD1319">
        <w:rPr>
          <w:rFonts w:cs="Arial"/>
        </w:rPr>
        <w:t xml:space="preserve">rigurosidad de </w:t>
      </w:r>
      <w:r w:rsidR="4A0B09C6" w:rsidRPr="00BD1319">
        <w:rPr>
          <w:rFonts w:cs="Arial"/>
        </w:rPr>
        <w:t>las</w:t>
      </w:r>
      <w:r w:rsidRPr="00BD1319">
        <w:rPr>
          <w:rFonts w:cs="Arial"/>
        </w:rPr>
        <w:t xml:space="preserve"> medidas de manejo que se </w:t>
      </w:r>
      <w:r w:rsidR="00CB5942" w:rsidRPr="00BD1319">
        <w:rPr>
          <w:rFonts w:cs="Arial"/>
        </w:rPr>
        <w:t xml:space="preserve">plantean </w:t>
      </w:r>
      <w:r w:rsidRPr="00BD1319">
        <w:rPr>
          <w:rFonts w:cs="Arial"/>
        </w:rPr>
        <w:t xml:space="preserve">para su gestión, de tal forma que la autoridad ambiental competente minimice la posibilidad de otorgar licencia a un proyecto cuyos impactos </w:t>
      </w:r>
      <w:r w:rsidR="0009071D" w:rsidRPr="00BD1319">
        <w:rPr>
          <w:rFonts w:cs="Arial"/>
        </w:rPr>
        <w:t>generen</w:t>
      </w:r>
      <w:r w:rsidRPr="00BD1319">
        <w:rPr>
          <w:rFonts w:cs="Arial"/>
        </w:rPr>
        <w:t xml:space="preserve"> </w:t>
      </w:r>
      <w:r w:rsidR="0009071D" w:rsidRPr="00BD1319">
        <w:rPr>
          <w:rFonts w:cs="Arial"/>
        </w:rPr>
        <w:t xml:space="preserve">dinámicas ambientales </w:t>
      </w:r>
      <w:r w:rsidRPr="00BD1319">
        <w:rPr>
          <w:rFonts w:cs="Arial"/>
        </w:rPr>
        <w:t>insostenible</w:t>
      </w:r>
      <w:r w:rsidR="0009071D" w:rsidRPr="00BD1319">
        <w:rPr>
          <w:rFonts w:cs="Arial"/>
        </w:rPr>
        <w:t>s</w:t>
      </w:r>
      <w:r w:rsidRPr="00BD1319">
        <w:rPr>
          <w:rFonts w:cs="Arial"/>
        </w:rPr>
        <w:t xml:space="preserve"> o de negarla, a un proyecto </w:t>
      </w:r>
      <w:r w:rsidR="0009071D" w:rsidRPr="00BD1319">
        <w:rPr>
          <w:rFonts w:cs="Arial"/>
        </w:rPr>
        <w:t xml:space="preserve">viable desde el punto de vista ambiental </w:t>
      </w:r>
      <w:r w:rsidRPr="00BD1319">
        <w:rPr>
          <w:rFonts w:cs="Arial"/>
        </w:rPr>
        <w:t>cuyos impactos puedan ser evitados, mitigados, corregidos y compensados de manera adecuada.</w:t>
      </w:r>
    </w:p>
    <w:p w14:paraId="292D4F0C" w14:textId="77777777" w:rsidR="00317B09" w:rsidRPr="00BD1319" w:rsidRDefault="00317B09" w:rsidP="00317B09">
      <w:pPr>
        <w:numPr>
          <w:ilvl w:val="12"/>
          <w:numId w:val="0"/>
        </w:numPr>
        <w:tabs>
          <w:tab w:val="left" w:pos="-2268"/>
        </w:tabs>
        <w:suppressAutoHyphens/>
        <w:rPr>
          <w:rFonts w:cs="Arial"/>
        </w:rPr>
      </w:pPr>
    </w:p>
    <w:p w14:paraId="4A3E48CA" w14:textId="764D6700" w:rsidR="00317B09" w:rsidRPr="00BD1319" w:rsidRDefault="00317B09" w:rsidP="00317B09">
      <w:pPr>
        <w:numPr>
          <w:ilvl w:val="12"/>
          <w:numId w:val="0"/>
        </w:numPr>
        <w:tabs>
          <w:tab w:val="left" w:pos="-2268"/>
        </w:tabs>
        <w:suppressAutoHyphens/>
        <w:rPr>
          <w:rFonts w:cs="Arial"/>
        </w:rPr>
      </w:pPr>
      <w:r w:rsidRPr="00BD1319">
        <w:rPr>
          <w:rFonts w:cs="Arial"/>
        </w:rPr>
        <w:lastRenderedPageBreak/>
        <w:t>El flujo oportuno de información en todas las etapas del proyecto y entre las diferentes instancias de toma de decisión permite, por una parte, alerta</w:t>
      </w:r>
      <w:r w:rsidR="0046760E" w:rsidRPr="00BD1319">
        <w:rPr>
          <w:rFonts w:cs="Arial"/>
        </w:rPr>
        <w:t>r</w:t>
      </w:r>
      <w:r w:rsidRPr="00BD1319">
        <w:rPr>
          <w:rFonts w:cs="Arial"/>
        </w:rPr>
        <w:t>, tomar decisiones oportunas</w:t>
      </w:r>
      <w:r w:rsidR="0046760E" w:rsidRPr="00BD1319">
        <w:rPr>
          <w:rFonts w:cs="Arial"/>
        </w:rPr>
        <w:t xml:space="preserve"> </w:t>
      </w:r>
      <w:r w:rsidRPr="00BD1319">
        <w:rPr>
          <w:rFonts w:cs="Arial"/>
        </w:rPr>
        <w:t xml:space="preserve">y mantener la gestión de los impactos ambientales dentro del marco previsto en la licencia ambiental, previniendo la </w:t>
      </w:r>
      <w:r w:rsidR="00A106ED" w:rsidRPr="00BD1319">
        <w:rPr>
          <w:rFonts w:cs="Arial"/>
        </w:rPr>
        <w:t xml:space="preserve">manifestación </w:t>
      </w:r>
      <w:r w:rsidRPr="00BD1319">
        <w:rPr>
          <w:rFonts w:cs="Arial"/>
        </w:rPr>
        <w:t xml:space="preserve">de impactos significativos adicionales a los inherentes a los proyectos, y por otra, evitar multas, suspensiones o la revocatoria de la licencia, propiciando que la ejecución del proyecto se realice de </w:t>
      </w:r>
      <w:r w:rsidR="00C34711" w:rsidRPr="00BD1319">
        <w:rPr>
          <w:rFonts w:cs="Arial"/>
        </w:rPr>
        <w:t xml:space="preserve">forma </w:t>
      </w:r>
      <w:r w:rsidRPr="00BD1319">
        <w:rPr>
          <w:rFonts w:cs="Arial"/>
        </w:rPr>
        <w:t>normal.</w:t>
      </w:r>
    </w:p>
    <w:p w14:paraId="527B4785" w14:textId="77777777" w:rsidR="00317B09" w:rsidRPr="00BD1319" w:rsidRDefault="00317B09" w:rsidP="00317B09">
      <w:pPr>
        <w:numPr>
          <w:ilvl w:val="12"/>
          <w:numId w:val="0"/>
        </w:numPr>
        <w:tabs>
          <w:tab w:val="left" w:pos="-2268"/>
        </w:tabs>
        <w:suppressAutoHyphens/>
        <w:rPr>
          <w:rFonts w:cs="Arial"/>
        </w:rPr>
      </w:pPr>
    </w:p>
    <w:p w14:paraId="5E73A6DC" w14:textId="22F68822" w:rsidR="00317B09" w:rsidRPr="00BD1319" w:rsidRDefault="00317B09" w:rsidP="00317B09">
      <w:pPr>
        <w:numPr>
          <w:ilvl w:val="12"/>
          <w:numId w:val="0"/>
        </w:numPr>
        <w:tabs>
          <w:tab w:val="left" w:pos="-2268"/>
        </w:tabs>
        <w:suppressAutoHyphens/>
        <w:rPr>
          <w:rFonts w:cs="Arial"/>
        </w:rPr>
      </w:pPr>
      <w:r w:rsidRPr="00BD1319">
        <w:rPr>
          <w:rFonts w:cs="Arial"/>
        </w:rPr>
        <w:t xml:space="preserve">La disponibilidad y uso de información pertinente, de calidad y oportuna, son esenciales en todas las etapas de la planificación, ejecución, evaluación </w:t>
      </w:r>
      <w:r w:rsidR="0058796C" w:rsidRPr="00BD1319">
        <w:rPr>
          <w:rFonts w:cs="Arial"/>
        </w:rPr>
        <w:t xml:space="preserve">y seguimiento </w:t>
      </w:r>
      <w:r w:rsidRPr="00BD1319">
        <w:rPr>
          <w:rFonts w:cs="Arial"/>
        </w:rPr>
        <w:t xml:space="preserve">de proyectos, inclusive desde las instancias más tempranas de concepción y estructuración, viabilizando en tal momento la incorporación de consideraciones ambientales y de desarrollo sostenible para </w:t>
      </w:r>
      <w:r w:rsidR="00E644A1" w:rsidRPr="00BD1319">
        <w:rPr>
          <w:rFonts w:cs="Arial"/>
        </w:rPr>
        <w:t>establecer</w:t>
      </w:r>
      <w:r w:rsidRPr="00BD1319">
        <w:rPr>
          <w:rFonts w:cs="Arial"/>
        </w:rPr>
        <w:t xml:space="preserve"> y </w:t>
      </w:r>
      <w:r w:rsidR="00E644A1" w:rsidRPr="00BD1319">
        <w:rPr>
          <w:rFonts w:cs="Arial"/>
        </w:rPr>
        <w:t xml:space="preserve">evaluar </w:t>
      </w:r>
      <w:r w:rsidRPr="00BD1319">
        <w:rPr>
          <w:rFonts w:cs="Arial"/>
        </w:rPr>
        <w:t>alternativas de ubicación, trazado, ingeniería, tecnología</w:t>
      </w:r>
      <w:r w:rsidR="00AB705B" w:rsidRPr="00BD1319">
        <w:rPr>
          <w:rFonts w:cs="Arial"/>
        </w:rPr>
        <w:t xml:space="preserve"> y</w:t>
      </w:r>
      <w:r w:rsidRPr="00BD1319">
        <w:rPr>
          <w:rFonts w:cs="Arial"/>
        </w:rPr>
        <w:t xml:space="preserve"> diseño que orienten la decisión de seleccionar aquella alternativa o conjunto de alternativas que ofrezcan el mejor balance ambiental neto. Prescindir en instancias tempranas de proyectos o alternativas que no son ambientalmente responsables, contribuye a minimizar la pérdida de tiempo y de recursos económicos que se invierten en la estructuración de este tipo de proyectos. Por lo tanto, el proceso de licenciamiento ambiental, fundamentado en la mejor información disponible, constituye una herramienta para asegurar buenas inversiones y la productividad de </w:t>
      </w:r>
      <w:r w:rsidR="008740E1" w:rsidRPr="00BD1319">
        <w:rPr>
          <w:rFonts w:cs="Arial"/>
        </w:rPr>
        <w:t>éstas</w:t>
      </w:r>
      <w:r w:rsidRPr="00BD1319">
        <w:rPr>
          <w:rFonts w:cs="Arial"/>
        </w:rPr>
        <w:t>.</w:t>
      </w:r>
    </w:p>
    <w:p w14:paraId="15D53531" w14:textId="77777777" w:rsidR="00317B09" w:rsidRPr="00BD1319" w:rsidRDefault="00317B09" w:rsidP="00317B09">
      <w:pPr>
        <w:numPr>
          <w:ilvl w:val="12"/>
          <w:numId w:val="0"/>
        </w:numPr>
        <w:tabs>
          <w:tab w:val="left" w:pos="-2268"/>
        </w:tabs>
        <w:suppressAutoHyphens/>
        <w:rPr>
          <w:rFonts w:cs="Arial"/>
        </w:rPr>
      </w:pPr>
    </w:p>
    <w:p w14:paraId="2F666887" w14:textId="66D14A14" w:rsidR="00317B09" w:rsidRPr="00BD1319" w:rsidRDefault="00317B09" w:rsidP="00317B09">
      <w:pPr>
        <w:numPr>
          <w:ilvl w:val="12"/>
          <w:numId w:val="0"/>
        </w:numPr>
        <w:tabs>
          <w:tab w:val="left" w:pos="-2268"/>
        </w:tabs>
        <w:suppressAutoHyphens/>
        <w:rPr>
          <w:rFonts w:cs="Arial"/>
        </w:rPr>
      </w:pPr>
      <w:r w:rsidRPr="00BD1319">
        <w:rPr>
          <w:rFonts w:cs="Arial"/>
        </w:rPr>
        <w:t xml:space="preserve">De acuerdo </w:t>
      </w:r>
      <w:r w:rsidR="0058796C" w:rsidRPr="00BD1319">
        <w:rPr>
          <w:rFonts w:cs="Arial"/>
        </w:rPr>
        <w:t>con</w:t>
      </w:r>
      <w:r w:rsidRPr="00BD1319">
        <w:rPr>
          <w:rFonts w:cs="Arial"/>
        </w:rPr>
        <w:t xml:space="preserve"> lo previsto en la </w:t>
      </w:r>
      <w:r w:rsidR="00AB705B" w:rsidRPr="00BD1319">
        <w:rPr>
          <w:rFonts w:cs="Arial"/>
        </w:rPr>
        <w:t>l</w:t>
      </w:r>
      <w:r w:rsidRPr="00BD1319">
        <w:rPr>
          <w:rFonts w:cs="Arial"/>
        </w:rPr>
        <w:t>ey</w:t>
      </w:r>
      <w:r w:rsidR="001E5B48" w:rsidRPr="00BD1319">
        <w:rPr>
          <w:rFonts w:cs="Arial"/>
        </w:rPr>
        <w:t xml:space="preserve"> y sus reglamentos</w:t>
      </w:r>
      <w:r w:rsidRPr="00BD1319">
        <w:rPr>
          <w:rFonts w:cs="Arial"/>
        </w:rPr>
        <w:t xml:space="preserve">, las competencias para evaluar los estudios ambientales y </w:t>
      </w:r>
      <w:r w:rsidR="0058796C" w:rsidRPr="00BD1319">
        <w:rPr>
          <w:rFonts w:cs="Arial"/>
        </w:rPr>
        <w:t xml:space="preserve">para </w:t>
      </w:r>
      <w:r w:rsidR="008A522A" w:rsidRPr="00BD1319">
        <w:rPr>
          <w:rFonts w:cs="Arial"/>
        </w:rPr>
        <w:t>otorgar</w:t>
      </w:r>
      <w:r w:rsidR="0058796C" w:rsidRPr="00BD1319">
        <w:rPr>
          <w:rFonts w:cs="Arial"/>
        </w:rPr>
        <w:t>,</w:t>
      </w:r>
      <w:r w:rsidRPr="00BD1319">
        <w:rPr>
          <w:rFonts w:cs="Arial"/>
        </w:rPr>
        <w:t xml:space="preserve"> negar</w:t>
      </w:r>
      <w:r w:rsidR="00645126" w:rsidRPr="00BD1319">
        <w:rPr>
          <w:rFonts w:cs="Arial"/>
        </w:rPr>
        <w:t xml:space="preserve"> y </w:t>
      </w:r>
      <w:r w:rsidR="0058796C" w:rsidRPr="00BD1319">
        <w:rPr>
          <w:rFonts w:cs="Arial"/>
        </w:rPr>
        <w:t xml:space="preserve">realizar todas las actuaciones administrativas en el proceso de </w:t>
      </w:r>
      <w:r w:rsidRPr="00BD1319">
        <w:rPr>
          <w:rFonts w:cs="Arial"/>
        </w:rPr>
        <w:t>licencia</w:t>
      </w:r>
      <w:r w:rsidR="0058796C" w:rsidRPr="00BD1319">
        <w:rPr>
          <w:rFonts w:cs="Arial"/>
        </w:rPr>
        <w:t>miento</w:t>
      </w:r>
      <w:r w:rsidRPr="00BD1319">
        <w:rPr>
          <w:rFonts w:cs="Arial"/>
        </w:rPr>
        <w:t xml:space="preserve"> ambiental, están </w:t>
      </w:r>
      <w:r w:rsidR="00645126" w:rsidRPr="00BD1319">
        <w:rPr>
          <w:rFonts w:cs="Arial"/>
        </w:rPr>
        <w:t xml:space="preserve">definidas de conformidad con las características de cada proyecto, obra o actividad y asignadas a </w:t>
      </w:r>
      <w:r w:rsidR="0017199D" w:rsidRPr="00BD1319">
        <w:rPr>
          <w:rFonts w:cs="Arial"/>
        </w:rPr>
        <w:t>la A</w:t>
      </w:r>
      <w:r w:rsidR="00C34711" w:rsidRPr="00BD1319">
        <w:rPr>
          <w:rFonts w:cs="Arial"/>
        </w:rPr>
        <w:t>NLA</w:t>
      </w:r>
      <w:r w:rsidR="0017199D" w:rsidRPr="00BD1319">
        <w:rPr>
          <w:rFonts w:cs="Arial"/>
        </w:rPr>
        <w:t xml:space="preserve">, </w:t>
      </w:r>
      <w:r w:rsidRPr="00BD1319">
        <w:rPr>
          <w:rFonts w:cs="Arial"/>
        </w:rPr>
        <w:t xml:space="preserve">las </w:t>
      </w:r>
      <w:r w:rsidR="00C002D8" w:rsidRPr="00BD1319">
        <w:rPr>
          <w:rFonts w:cs="Arial"/>
        </w:rPr>
        <w:t>c</w:t>
      </w:r>
      <w:r w:rsidRPr="00BD1319">
        <w:rPr>
          <w:rFonts w:cs="Arial"/>
        </w:rPr>
        <w:t xml:space="preserve">orporaciones </w:t>
      </w:r>
      <w:r w:rsidR="00C002D8" w:rsidRPr="00BD1319">
        <w:rPr>
          <w:rFonts w:cs="Arial"/>
        </w:rPr>
        <w:t>a</w:t>
      </w:r>
      <w:r w:rsidRPr="00BD1319">
        <w:rPr>
          <w:rFonts w:cs="Arial"/>
        </w:rPr>
        <w:t xml:space="preserve">utónomas </w:t>
      </w:r>
      <w:r w:rsidR="00C002D8" w:rsidRPr="00BD1319">
        <w:rPr>
          <w:rFonts w:cs="Arial"/>
        </w:rPr>
        <w:t>r</w:t>
      </w:r>
      <w:r w:rsidRPr="00BD1319">
        <w:rPr>
          <w:rFonts w:cs="Arial"/>
        </w:rPr>
        <w:t xml:space="preserve">egionales y las de </w:t>
      </w:r>
      <w:r w:rsidR="00C002D8" w:rsidRPr="00BD1319">
        <w:rPr>
          <w:rFonts w:cs="Arial"/>
        </w:rPr>
        <w:t>d</w:t>
      </w:r>
      <w:r w:rsidRPr="00BD1319">
        <w:rPr>
          <w:rFonts w:cs="Arial"/>
        </w:rPr>
        <w:t xml:space="preserve">esarrollo </w:t>
      </w:r>
      <w:r w:rsidR="00C002D8" w:rsidRPr="00BD1319">
        <w:rPr>
          <w:rFonts w:cs="Arial"/>
        </w:rPr>
        <w:t>s</w:t>
      </w:r>
      <w:r w:rsidRPr="00BD1319">
        <w:rPr>
          <w:rFonts w:cs="Arial"/>
        </w:rPr>
        <w:t>ostenible, los municipios, distritos y áreas metropolitanas cuya población sea superior a un millón de habitantes</w:t>
      </w:r>
      <w:r w:rsidR="00083D6C" w:rsidRPr="00BD1319">
        <w:rPr>
          <w:rFonts w:cs="Arial"/>
        </w:rPr>
        <w:t xml:space="preserve"> dentro de su perímetro urbano y las autoridades ambientales creadas mediante</w:t>
      </w:r>
      <w:r w:rsidR="008A522A" w:rsidRPr="00BD1319">
        <w:rPr>
          <w:rFonts w:cs="Arial"/>
        </w:rPr>
        <w:t xml:space="preserve"> la Ley 768 de 2002</w:t>
      </w:r>
      <w:r w:rsidR="00645126" w:rsidRPr="00BD1319">
        <w:rPr>
          <w:rFonts w:cs="Arial"/>
        </w:rPr>
        <w:t>, según corresponda</w:t>
      </w:r>
      <w:r w:rsidRPr="00BD1319">
        <w:rPr>
          <w:rFonts w:cs="Arial"/>
        </w:rPr>
        <w:t>.</w:t>
      </w:r>
    </w:p>
    <w:p w14:paraId="06C4C0B6" w14:textId="77777777" w:rsidR="00317B09" w:rsidRPr="00BD1319" w:rsidRDefault="00317B09" w:rsidP="00317B09">
      <w:pPr>
        <w:numPr>
          <w:ilvl w:val="12"/>
          <w:numId w:val="0"/>
        </w:numPr>
        <w:tabs>
          <w:tab w:val="left" w:pos="-2268"/>
        </w:tabs>
        <w:suppressAutoHyphens/>
        <w:rPr>
          <w:rFonts w:cs="Arial"/>
        </w:rPr>
      </w:pPr>
    </w:p>
    <w:p w14:paraId="4521CC66" w14:textId="78AC1661" w:rsidR="00317B09" w:rsidRPr="00BD1319" w:rsidRDefault="00317B09" w:rsidP="00317B09">
      <w:pPr>
        <w:numPr>
          <w:ilvl w:val="12"/>
          <w:numId w:val="0"/>
        </w:numPr>
        <w:tabs>
          <w:tab w:val="left" w:pos="-2268"/>
        </w:tabs>
        <w:suppressAutoHyphens/>
        <w:rPr>
          <w:rFonts w:cs="Arial"/>
        </w:rPr>
      </w:pPr>
      <w:r w:rsidRPr="00BD1319">
        <w:rPr>
          <w:rFonts w:cs="Arial"/>
        </w:rPr>
        <w:t xml:space="preserve">Otro aspecto de suma relevancia asociado al proceso de licenciamiento ambiental y resaltado en la </w:t>
      </w:r>
      <w:r w:rsidR="00C002D8" w:rsidRPr="00BD1319">
        <w:rPr>
          <w:rFonts w:cs="Arial"/>
        </w:rPr>
        <w:t>MGEPEA</w:t>
      </w:r>
      <w:r w:rsidRPr="00BD1319">
        <w:rPr>
          <w:rFonts w:cs="Arial"/>
        </w:rPr>
        <w:t xml:space="preserve"> como lineamiento para la elaboración de los estudios ambientales, es la necesidad de emprender, durante las diferentes etapas de dicha elaboración, acciones que garanticen la participación de las comunidades que se puedan ver afectadas por la ejecución de un proyecto, obra o actividad</w:t>
      </w:r>
      <w:r w:rsidR="001F6EC0" w:rsidRPr="00BD1319">
        <w:rPr>
          <w:rFonts w:cs="Arial"/>
        </w:rPr>
        <w:t xml:space="preserve">. </w:t>
      </w:r>
      <w:r w:rsidR="005C7EFB" w:rsidRPr="00BD1319">
        <w:rPr>
          <w:rFonts w:cs="Arial"/>
        </w:rPr>
        <w:t>Esta</w:t>
      </w:r>
      <w:r w:rsidRPr="00BD1319">
        <w:rPr>
          <w:rFonts w:cs="Arial"/>
        </w:rPr>
        <w:t xml:space="preserve"> </w:t>
      </w:r>
      <w:r w:rsidR="007243DF" w:rsidRPr="00BD1319">
        <w:rPr>
          <w:rFonts w:cs="Arial"/>
        </w:rPr>
        <w:t xml:space="preserve">orientación </w:t>
      </w:r>
      <w:r w:rsidR="005C7EFB" w:rsidRPr="00BD1319">
        <w:rPr>
          <w:rFonts w:cs="Arial"/>
        </w:rPr>
        <w:t xml:space="preserve">busca el desarrollo de los mandatos de la Constitución </w:t>
      </w:r>
      <w:r w:rsidR="00C21ACA" w:rsidRPr="00BD1319">
        <w:rPr>
          <w:rFonts w:cs="Arial"/>
        </w:rPr>
        <w:t>P</w:t>
      </w:r>
      <w:r w:rsidR="005C7EFB" w:rsidRPr="00BD1319">
        <w:rPr>
          <w:rFonts w:cs="Arial"/>
        </w:rPr>
        <w:t xml:space="preserve">olítica, así como cumplir con el principio 10 de la Declaración de Río y lo establecido en otros tratados </w:t>
      </w:r>
      <w:r w:rsidR="005C7EFB" w:rsidRPr="00BD1319">
        <w:rPr>
          <w:rFonts w:cs="Arial"/>
        </w:rPr>
        <w:lastRenderedPageBreak/>
        <w:t>internacionales</w:t>
      </w:r>
      <w:r w:rsidR="005C7EFB" w:rsidRPr="00BD1319">
        <w:rPr>
          <w:rStyle w:val="Refdenotaalpie"/>
          <w:rFonts w:cs="Arial"/>
          <w:lang w:val="es-CO"/>
        </w:rPr>
        <w:footnoteReference w:id="3"/>
      </w:r>
      <w:r w:rsidR="005C7EFB" w:rsidRPr="00BD1319">
        <w:rPr>
          <w:rFonts w:cs="Arial"/>
        </w:rPr>
        <w:t xml:space="preserve"> e </w:t>
      </w:r>
      <w:r w:rsidRPr="00BD1319">
        <w:rPr>
          <w:rFonts w:cs="Arial"/>
        </w:rPr>
        <w:t xml:space="preserve">implica </w:t>
      </w:r>
      <w:r w:rsidR="007243DF" w:rsidRPr="00BD1319">
        <w:rPr>
          <w:rFonts w:cs="Arial"/>
        </w:rPr>
        <w:t>adoptar un enfoque diferencial que capte las particularidades de los grupos de interés</w:t>
      </w:r>
      <w:r w:rsidR="00567C3F" w:rsidRPr="00BD1319">
        <w:rPr>
          <w:rFonts w:cs="Arial"/>
        </w:rPr>
        <w:t xml:space="preserve"> </w:t>
      </w:r>
      <w:r w:rsidR="007243DF" w:rsidRPr="00BD1319">
        <w:rPr>
          <w:rFonts w:cs="Arial"/>
        </w:rPr>
        <w:t xml:space="preserve">y de acuerdo con ello, </w:t>
      </w:r>
      <w:r w:rsidRPr="00BD1319">
        <w:rPr>
          <w:rFonts w:cs="Arial"/>
        </w:rPr>
        <w:t>pon</w:t>
      </w:r>
      <w:r w:rsidR="007243DF" w:rsidRPr="00BD1319">
        <w:rPr>
          <w:rFonts w:cs="Arial"/>
        </w:rPr>
        <w:t xml:space="preserve">ga </w:t>
      </w:r>
      <w:r w:rsidRPr="00BD1319">
        <w:rPr>
          <w:rFonts w:cs="Arial"/>
        </w:rPr>
        <w:t>a su disposición información pertinente, clara</w:t>
      </w:r>
      <w:r w:rsidR="001F6EC0" w:rsidRPr="00BD1319">
        <w:rPr>
          <w:rFonts w:cs="Arial"/>
        </w:rPr>
        <w:t>,</w:t>
      </w:r>
      <w:r w:rsidRPr="00BD1319">
        <w:rPr>
          <w:rFonts w:cs="Arial"/>
        </w:rPr>
        <w:t xml:space="preserve"> oportuna </w:t>
      </w:r>
      <w:r w:rsidR="001F6EC0" w:rsidRPr="00BD1319">
        <w:rPr>
          <w:rFonts w:cs="Arial"/>
        </w:rPr>
        <w:t xml:space="preserve">y comprensible </w:t>
      </w:r>
      <w:r w:rsidRPr="00BD1319">
        <w:rPr>
          <w:rFonts w:cs="Arial"/>
        </w:rPr>
        <w:t xml:space="preserve">sobre </w:t>
      </w:r>
      <w:r w:rsidR="005C7EFB" w:rsidRPr="00BD1319">
        <w:rPr>
          <w:rFonts w:cs="Arial"/>
        </w:rPr>
        <w:t xml:space="preserve">las </w:t>
      </w:r>
      <w:r w:rsidRPr="00BD1319">
        <w:rPr>
          <w:rFonts w:cs="Arial"/>
        </w:rPr>
        <w:t>características</w:t>
      </w:r>
      <w:r w:rsidR="005C7EFB" w:rsidRPr="00BD1319">
        <w:rPr>
          <w:rFonts w:cs="Arial"/>
        </w:rPr>
        <w:t>,</w:t>
      </w:r>
      <w:r w:rsidRPr="00BD1319">
        <w:rPr>
          <w:rFonts w:cs="Arial"/>
        </w:rPr>
        <w:t xml:space="preserve"> los beneficios </w:t>
      </w:r>
      <w:r w:rsidR="005C7EFB" w:rsidRPr="00BD1319">
        <w:rPr>
          <w:rFonts w:cs="Arial"/>
        </w:rPr>
        <w:t>y los</w:t>
      </w:r>
      <w:r w:rsidRPr="00BD1319">
        <w:rPr>
          <w:rFonts w:cs="Arial"/>
        </w:rPr>
        <w:t xml:space="preserve"> impactos que pueda generar </w:t>
      </w:r>
      <w:r w:rsidR="005C7EFB" w:rsidRPr="00BD1319">
        <w:rPr>
          <w:rFonts w:cs="Arial"/>
        </w:rPr>
        <w:t>e</w:t>
      </w:r>
      <w:r w:rsidRPr="00BD1319">
        <w:rPr>
          <w:rFonts w:cs="Arial"/>
        </w:rPr>
        <w:t xml:space="preserve">l proyecto, obra o actividad, </w:t>
      </w:r>
      <w:r w:rsidR="005C7EFB" w:rsidRPr="00BD1319">
        <w:rPr>
          <w:rFonts w:cs="Arial"/>
        </w:rPr>
        <w:t xml:space="preserve">para </w:t>
      </w:r>
      <w:r w:rsidRPr="00BD1319">
        <w:rPr>
          <w:rFonts w:cs="Arial"/>
        </w:rPr>
        <w:t xml:space="preserve">que </w:t>
      </w:r>
      <w:r w:rsidR="005C7EFB" w:rsidRPr="00BD1319">
        <w:rPr>
          <w:rFonts w:cs="Arial"/>
        </w:rPr>
        <w:t xml:space="preserve">en efecto, </w:t>
      </w:r>
      <w:r w:rsidR="00AC61EA" w:rsidRPr="00BD1319">
        <w:rPr>
          <w:rFonts w:cs="Arial"/>
        </w:rPr>
        <w:t xml:space="preserve">se </w:t>
      </w:r>
      <w:r w:rsidRPr="00BD1319">
        <w:rPr>
          <w:rFonts w:cs="Arial"/>
        </w:rPr>
        <w:t>les permita contribuir a la toma de decisiones.</w:t>
      </w:r>
    </w:p>
    <w:p w14:paraId="3CAB4D6E" w14:textId="77777777" w:rsidR="00317B09" w:rsidRPr="00BD1319" w:rsidRDefault="00317B09" w:rsidP="00317B09">
      <w:pPr>
        <w:numPr>
          <w:ilvl w:val="12"/>
          <w:numId w:val="0"/>
        </w:numPr>
        <w:tabs>
          <w:tab w:val="left" w:pos="-2268"/>
        </w:tabs>
        <w:suppressAutoHyphens/>
        <w:rPr>
          <w:rFonts w:cs="Arial"/>
        </w:rPr>
      </w:pPr>
    </w:p>
    <w:p w14:paraId="531199C8" w14:textId="583E6317" w:rsidR="00D24125" w:rsidRPr="00BD1319" w:rsidRDefault="000E7DC2" w:rsidP="00F27355">
      <w:pPr>
        <w:numPr>
          <w:ilvl w:val="12"/>
          <w:numId w:val="0"/>
        </w:numPr>
        <w:tabs>
          <w:tab w:val="left" w:pos="-2268"/>
        </w:tabs>
        <w:suppressAutoHyphens/>
        <w:rPr>
          <w:rFonts w:cs="Arial"/>
          <w:lang w:val="es-ES"/>
        </w:rPr>
      </w:pPr>
      <w:r w:rsidRPr="00BD1319">
        <w:rPr>
          <w:rFonts w:cs="Arial"/>
          <w:lang w:val="es-ES"/>
        </w:rPr>
        <w:t xml:space="preserve">En este mismo sentido, la </w:t>
      </w:r>
      <w:r w:rsidR="009E17F8" w:rsidRPr="00BD1319">
        <w:rPr>
          <w:rFonts w:cs="Arial"/>
          <w:lang w:val="es-ES"/>
        </w:rPr>
        <w:t xml:space="preserve">MGEPEA busca que durante la </w:t>
      </w:r>
      <w:r w:rsidRPr="00BD1319">
        <w:rPr>
          <w:rFonts w:cs="Arial"/>
          <w:lang w:val="es-ES"/>
        </w:rPr>
        <w:t xml:space="preserve">elaboración de los estudios ambientales </w:t>
      </w:r>
      <w:r w:rsidR="009E17F8" w:rsidRPr="00BD1319">
        <w:rPr>
          <w:rFonts w:cs="Arial"/>
          <w:lang w:val="es-ES"/>
        </w:rPr>
        <w:t xml:space="preserve">se </w:t>
      </w:r>
      <w:r w:rsidRPr="00BD1319">
        <w:rPr>
          <w:rFonts w:cs="Arial"/>
          <w:lang w:val="es-ES"/>
        </w:rPr>
        <w:t>recono</w:t>
      </w:r>
      <w:r w:rsidR="009E17F8" w:rsidRPr="00BD1319">
        <w:rPr>
          <w:rFonts w:cs="Arial"/>
          <w:lang w:val="es-ES"/>
        </w:rPr>
        <w:t>zca</w:t>
      </w:r>
      <w:r w:rsidRPr="00BD1319">
        <w:rPr>
          <w:rFonts w:cs="Arial"/>
          <w:lang w:val="es-ES"/>
        </w:rPr>
        <w:t xml:space="preserve"> que los impactos ambientales de los proyectos, obras o actividades pueden gener</w:t>
      </w:r>
      <w:r w:rsidR="000E5596" w:rsidRPr="00BD1319">
        <w:rPr>
          <w:rFonts w:cs="Arial"/>
          <w:lang w:val="es-ES"/>
        </w:rPr>
        <w:t>a</w:t>
      </w:r>
      <w:r w:rsidR="00C966F1" w:rsidRPr="00BD1319">
        <w:rPr>
          <w:rFonts w:cs="Arial"/>
          <w:lang w:val="es-ES"/>
        </w:rPr>
        <w:t>r</w:t>
      </w:r>
      <w:r w:rsidRPr="00BD1319">
        <w:rPr>
          <w:rFonts w:cs="Arial"/>
          <w:lang w:val="es-ES"/>
        </w:rPr>
        <w:t xml:space="preserve"> o exacerb</w:t>
      </w:r>
      <w:r w:rsidR="000E5596" w:rsidRPr="00BD1319">
        <w:rPr>
          <w:rFonts w:cs="Arial"/>
          <w:lang w:val="es-ES"/>
        </w:rPr>
        <w:t>a</w:t>
      </w:r>
      <w:r w:rsidR="00C966F1" w:rsidRPr="00BD1319">
        <w:rPr>
          <w:rFonts w:cs="Arial"/>
          <w:lang w:val="es-ES"/>
        </w:rPr>
        <w:t>r</w:t>
      </w:r>
      <w:r w:rsidRPr="00BD1319">
        <w:rPr>
          <w:rFonts w:cs="Arial"/>
          <w:lang w:val="es-ES"/>
        </w:rPr>
        <w:t xml:space="preserve"> conflictos socioambientales, intensifi</w:t>
      </w:r>
      <w:r w:rsidR="000E5596" w:rsidRPr="00BD1319">
        <w:rPr>
          <w:rFonts w:cs="Arial"/>
          <w:lang w:val="es-ES"/>
        </w:rPr>
        <w:t>ca</w:t>
      </w:r>
      <w:r w:rsidR="00C966F1" w:rsidRPr="00BD1319">
        <w:rPr>
          <w:rFonts w:cs="Arial"/>
          <w:lang w:val="es-ES"/>
        </w:rPr>
        <w:t>r</w:t>
      </w:r>
      <w:r w:rsidR="000E5596" w:rsidRPr="00BD1319">
        <w:rPr>
          <w:rFonts w:cs="Arial"/>
          <w:lang w:val="es-ES"/>
        </w:rPr>
        <w:t xml:space="preserve"> </w:t>
      </w:r>
      <w:r w:rsidRPr="00BD1319">
        <w:rPr>
          <w:rFonts w:cs="Arial"/>
          <w:lang w:val="es-ES"/>
        </w:rPr>
        <w:t>situaciones de injusticia ambiental o propici</w:t>
      </w:r>
      <w:r w:rsidR="000E5596" w:rsidRPr="00BD1319">
        <w:rPr>
          <w:rFonts w:cs="Arial"/>
          <w:lang w:val="es-ES"/>
        </w:rPr>
        <w:t>a</w:t>
      </w:r>
      <w:r w:rsidR="00C966F1" w:rsidRPr="00BD1319">
        <w:rPr>
          <w:rFonts w:cs="Arial"/>
          <w:lang w:val="es-ES"/>
        </w:rPr>
        <w:t>r</w:t>
      </w:r>
      <w:r w:rsidRPr="00BD1319">
        <w:rPr>
          <w:rFonts w:cs="Arial"/>
          <w:lang w:val="es-ES"/>
        </w:rPr>
        <w:t xml:space="preserve"> escenarios de vulneración de derechos humanos</w:t>
      </w:r>
      <w:r w:rsidR="00F10928" w:rsidRPr="00BD1319">
        <w:rPr>
          <w:rFonts w:cs="Arial"/>
          <w:lang w:val="es-ES"/>
        </w:rPr>
        <w:t>;</w:t>
      </w:r>
      <w:r w:rsidRPr="00BD1319">
        <w:rPr>
          <w:rFonts w:cs="Arial"/>
          <w:lang w:val="es-ES"/>
        </w:rPr>
        <w:t xml:space="preserve"> </w:t>
      </w:r>
      <w:r w:rsidR="00F27355" w:rsidRPr="00BD1319">
        <w:rPr>
          <w:rFonts w:cs="Arial"/>
          <w:lang w:val="es-ES"/>
        </w:rPr>
        <w:t xml:space="preserve">por este motivo, </w:t>
      </w:r>
      <w:r w:rsidR="00D142A4" w:rsidRPr="00BD1319">
        <w:rPr>
          <w:rFonts w:cs="Arial"/>
          <w:lang w:val="es-ES"/>
        </w:rPr>
        <w:t xml:space="preserve">es necesario que los estudios ambientales </w:t>
      </w:r>
      <w:r w:rsidR="006462DB" w:rsidRPr="00BD1319">
        <w:rPr>
          <w:rFonts w:cs="Arial"/>
          <w:lang w:val="es-ES"/>
        </w:rPr>
        <w:t xml:space="preserve">se formulen aplicando </w:t>
      </w:r>
      <w:bookmarkStart w:id="6" w:name="_Hlk160782203"/>
      <w:r w:rsidR="006462DB" w:rsidRPr="00BD1319">
        <w:rPr>
          <w:rFonts w:cs="Arial"/>
          <w:lang w:val="es-ES"/>
        </w:rPr>
        <w:t xml:space="preserve">el principio de debida diligencia en materia de derechos humanos a fin de </w:t>
      </w:r>
      <w:r w:rsidR="007965AE" w:rsidRPr="00BD1319">
        <w:rPr>
          <w:rFonts w:cs="Arial"/>
          <w:lang w:val="es-ES"/>
        </w:rPr>
        <w:t xml:space="preserve">que a lo largo del proceso de licenciamiento ambiental se </w:t>
      </w:r>
      <w:r w:rsidR="006462DB" w:rsidRPr="00BD1319">
        <w:rPr>
          <w:rFonts w:cs="Arial"/>
          <w:lang w:val="es-ES"/>
        </w:rPr>
        <w:t>determin</w:t>
      </w:r>
      <w:r w:rsidR="007965AE" w:rsidRPr="00BD1319">
        <w:rPr>
          <w:rFonts w:cs="Arial"/>
          <w:lang w:val="es-ES"/>
        </w:rPr>
        <w:t>e</w:t>
      </w:r>
      <w:r w:rsidR="006462DB" w:rsidRPr="00BD1319">
        <w:rPr>
          <w:rFonts w:cs="Arial"/>
          <w:lang w:val="es-ES"/>
        </w:rPr>
        <w:t>, preven</w:t>
      </w:r>
      <w:r w:rsidR="007965AE" w:rsidRPr="00BD1319">
        <w:rPr>
          <w:rFonts w:cs="Arial"/>
          <w:lang w:val="es-ES"/>
        </w:rPr>
        <w:t>ga</w:t>
      </w:r>
      <w:r w:rsidR="006462DB" w:rsidRPr="00BD1319">
        <w:rPr>
          <w:rFonts w:cs="Arial"/>
          <w:lang w:val="es-ES"/>
        </w:rPr>
        <w:t>, mitig</w:t>
      </w:r>
      <w:r w:rsidR="007965AE" w:rsidRPr="00BD1319">
        <w:rPr>
          <w:rFonts w:cs="Arial"/>
          <w:lang w:val="es-ES"/>
        </w:rPr>
        <w:t>ue</w:t>
      </w:r>
      <w:r w:rsidR="006462DB" w:rsidRPr="00BD1319">
        <w:rPr>
          <w:rFonts w:cs="Arial"/>
          <w:lang w:val="es-ES"/>
        </w:rPr>
        <w:t xml:space="preserve"> y </w:t>
      </w:r>
      <w:r w:rsidR="00011E70" w:rsidRPr="00BD1319">
        <w:rPr>
          <w:rFonts w:cs="Arial"/>
          <w:lang w:val="es-ES"/>
        </w:rPr>
        <w:t xml:space="preserve">explique </w:t>
      </w:r>
      <w:r w:rsidR="006462DB" w:rsidRPr="00BD1319">
        <w:rPr>
          <w:rFonts w:cs="Arial"/>
          <w:lang w:val="es-ES"/>
        </w:rPr>
        <w:t xml:space="preserve">la manera en que </w:t>
      </w:r>
      <w:r w:rsidR="00B47110" w:rsidRPr="00BD1319">
        <w:rPr>
          <w:rFonts w:cs="Arial"/>
          <w:lang w:val="es-ES"/>
        </w:rPr>
        <w:t xml:space="preserve">se </w:t>
      </w:r>
      <w:r w:rsidR="006462DB" w:rsidRPr="00BD1319">
        <w:rPr>
          <w:rFonts w:cs="Arial"/>
          <w:lang w:val="es-ES"/>
        </w:rPr>
        <w:t xml:space="preserve">abordan los impactos </w:t>
      </w:r>
      <w:r w:rsidR="00936C40" w:rsidRPr="00BD1319">
        <w:rPr>
          <w:rFonts w:cs="Arial"/>
          <w:lang w:val="es-ES"/>
        </w:rPr>
        <w:t>a</w:t>
      </w:r>
      <w:r w:rsidR="007965AE" w:rsidRPr="00BD1319">
        <w:rPr>
          <w:rFonts w:cs="Arial"/>
          <w:lang w:val="es-ES"/>
        </w:rPr>
        <w:t xml:space="preserve"> </w:t>
      </w:r>
      <w:r w:rsidR="006462DB" w:rsidRPr="00BD1319">
        <w:rPr>
          <w:rFonts w:cs="Arial"/>
          <w:lang w:val="es-ES"/>
        </w:rPr>
        <w:t>los derechos humanos</w:t>
      </w:r>
      <w:bookmarkEnd w:id="6"/>
      <w:r w:rsidR="006462DB" w:rsidRPr="00BD1319">
        <w:rPr>
          <w:rStyle w:val="Refdenotaalpie"/>
          <w:rFonts w:cs="Arial"/>
        </w:rPr>
        <w:footnoteReference w:id="4"/>
      </w:r>
      <w:r w:rsidR="006462DB" w:rsidRPr="00BD1319">
        <w:rPr>
          <w:rFonts w:cs="Arial"/>
          <w:lang w:val="es-ES"/>
        </w:rPr>
        <w:t xml:space="preserve"> y, de forma consecuente con ello, </w:t>
      </w:r>
      <w:r w:rsidR="00B47110" w:rsidRPr="00BD1319">
        <w:rPr>
          <w:rFonts w:cs="Arial"/>
          <w:lang w:val="es-ES"/>
        </w:rPr>
        <w:t xml:space="preserve">se caractericen </w:t>
      </w:r>
      <w:r w:rsidR="00C966F1" w:rsidRPr="00BD1319">
        <w:rPr>
          <w:rFonts w:cs="Arial"/>
          <w:lang w:val="es-ES"/>
        </w:rPr>
        <w:t>la</w:t>
      </w:r>
      <w:r w:rsidR="007243DF" w:rsidRPr="00BD1319">
        <w:rPr>
          <w:rFonts w:cs="Arial"/>
          <w:lang w:val="es-ES"/>
        </w:rPr>
        <w:t>s</w:t>
      </w:r>
      <w:r w:rsidR="00C966F1" w:rsidRPr="00BD1319">
        <w:rPr>
          <w:rFonts w:cs="Arial"/>
          <w:lang w:val="es-ES"/>
        </w:rPr>
        <w:t xml:space="preserve"> </w:t>
      </w:r>
      <w:r w:rsidR="007243DF" w:rsidRPr="00BD1319">
        <w:rPr>
          <w:rFonts w:cs="Arial"/>
          <w:lang w:val="es-ES"/>
        </w:rPr>
        <w:t xml:space="preserve">realidades y el contexto del conflicto armado interno, </w:t>
      </w:r>
      <w:r w:rsidR="00150795" w:rsidRPr="00BD1319">
        <w:rPr>
          <w:rFonts w:cs="Arial"/>
          <w:lang w:val="es-ES"/>
        </w:rPr>
        <w:t>los diferentes tipos de</w:t>
      </w:r>
      <w:r w:rsidR="007243DF" w:rsidRPr="00BD1319">
        <w:rPr>
          <w:rFonts w:cs="Arial"/>
          <w:lang w:val="es-ES"/>
        </w:rPr>
        <w:t xml:space="preserve"> violencia, la inequidad económica y el conflicto social</w:t>
      </w:r>
      <w:r w:rsidR="00D24125" w:rsidRPr="00BD1319">
        <w:rPr>
          <w:rFonts w:cs="Arial"/>
          <w:lang w:val="es-ES"/>
        </w:rPr>
        <w:t>.</w:t>
      </w:r>
    </w:p>
    <w:p w14:paraId="67E5021B" w14:textId="77777777" w:rsidR="00FF20D4" w:rsidRPr="00BD1319" w:rsidRDefault="00FF20D4" w:rsidP="000E7DC2">
      <w:pPr>
        <w:numPr>
          <w:ilvl w:val="12"/>
          <w:numId w:val="0"/>
        </w:numPr>
        <w:tabs>
          <w:tab w:val="left" w:pos="-2268"/>
        </w:tabs>
        <w:suppressAutoHyphens/>
        <w:rPr>
          <w:rFonts w:cs="Arial"/>
          <w:lang w:val="es-ES"/>
        </w:rPr>
      </w:pPr>
    </w:p>
    <w:p w14:paraId="0ADA16DC" w14:textId="5008B660" w:rsidR="000E7DC2" w:rsidRPr="00BD1319" w:rsidRDefault="00966303" w:rsidP="000E7DC2">
      <w:pPr>
        <w:numPr>
          <w:ilvl w:val="12"/>
          <w:numId w:val="0"/>
        </w:numPr>
        <w:tabs>
          <w:tab w:val="left" w:pos="-2268"/>
        </w:tabs>
        <w:suppressAutoHyphens/>
        <w:rPr>
          <w:rFonts w:cs="Arial"/>
          <w:lang w:val="es-ES"/>
        </w:rPr>
      </w:pPr>
      <w:r w:rsidRPr="00BD1319">
        <w:rPr>
          <w:rFonts w:cs="Arial"/>
          <w:lang w:val="es-ES"/>
        </w:rPr>
        <w:t xml:space="preserve">La </w:t>
      </w:r>
      <w:r w:rsidR="00F10928" w:rsidRPr="00BD1319">
        <w:rPr>
          <w:rFonts w:cs="Arial"/>
          <w:lang w:val="es-ES"/>
        </w:rPr>
        <w:t xml:space="preserve">gestión </w:t>
      </w:r>
      <w:r w:rsidRPr="00BD1319">
        <w:rPr>
          <w:rFonts w:cs="Arial"/>
          <w:lang w:val="es-ES"/>
        </w:rPr>
        <w:t xml:space="preserve">eficaz de este conjunto de información </w:t>
      </w:r>
      <w:r w:rsidR="000E7DC2" w:rsidRPr="00BD1319">
        <w:rPr>
          <w:rFonts w:cs="Arial"/>
          <w:lang w:val="es-ES"/>
        </w:rPr>
        <w:t>permit</w:t>
      </w:r>
      <w:r w:rsidRPr="00BD1319">
        <w:rPr>
          <w:rFonts w:cs="Arial"/>
          <w:lang w:val="es-ES"/>
        </w:rPr>
        <w:t xml:space="preserve">e por un lado, que </w:t>
      </w:r>
      <w:r w:rsidR="000E7DC2" w:rsidRPr="00BD1319">
        <w:rPr>
          <w:rFonts w:cs="Arial"/>
          <w:lang w:val="es-ES"/>
        </w:rPr>
        <w:t>las entidades responsables emprend</w:t>
      </w:r>
      <w:r w:rsidRPr="00BD1319">
        <w:rPr>
          <w:rFonts w:cs="Arial"/>
          <w:lang w:val="es-ES"/>
        </w:rPr>
        <w:t>an</w:t>
      </w:r>
      <w:r w:rsidR="000E7DC2" w:rsidRPr="00BD1319">
        <w:rPr>
          <w:rFonts w:cs="Arial"/>
          <w:lang w:val="es-ES"/>
        </w:rPr>
        <w:t xml:space="preserve"> acciones integrales para prevenir y manejar las posibles situaciones de vulneración de derechos humanos, </w:t>
      </w:r>
      <w:r w:rsidRPr="00BD1319">
        <w:rPr>
          <w:rFonts w:cs="Arial"/>
          <w:lang w:val="es-ES"/>
        </w:rPr>
        <w:t xml:space="preserve">y por el otro, que </w:t>
      </w:r>
      <w:r w:rsidR="005D07B0" w:rsidRPr="00BD1319">
        <w:rPr>
          <w:rFonts w:cs="Arial"/>
          <w:lang w:val="es-ES"/>
        </w:rPr>
        <w:t xml:space="preserve">en </w:t>
      </w:r>
      <w:r w:rsidRPr="00BD1319">
        <w:rPr>
          <w:rFonts w:cs="Arial"/>
          <w:lang w:val="es-ES"/>
        </w:rPr>
        <w:t>los estudios</w:t>
      </w:r>
      <w:r w:rsidR="0035455F" w:rsidRPr="00BD1319">
        <w:rPr>
          <w:rFonts w:cs="Arial"/>
          <w:lang w:val="es-ES"/>
        </w:rPr>
        <w:t xml:space="preserve"> ambientales</w:t>
      </w:r>
      <w:r w:rsidRPr="00BD1319">
        <w:rPr>
          <w:rFonts w:cs="Arial"/>
          <w:lang w:val="es-ES"/>
        </w:rPr>
        <w:t xml:space="preserve"> </w:t>
      </w:r>
      <w:r w:rsidR="005D07B0" w:rsidRPr="00BD1319">
        <w:rPr>
          <w:rFonts w:cs="Arial"/>
          <w:lang w:val="es-ES"/>
        </w:rPr>
        <w:t xml:space="preserve">se </w:t>
      </w:r>
      <w:r w:rsidR="00F10928" w:rsidRPr="00BD1319">
        <w:rPr>
          <w:rFonts w:cs="Arial"/>
          <w:lang w:val="es-ES"/>
        </w:rPr>
        <w:t>incorporen</w:t>
      </w:r>
      <w:r w:rsidRPr="00BD1319">
        <w:rPr>
          <w:rFonts w:cs="Arial"/>
          <w:lang w:val="es-ES"/>
        </w:rPr>
        <w:t xml:space="preserve"> </w:t>
      </w:r>
      <w:r w:rsidR="000E7DC2" w:rsidRPr="00BD1319">
        <w:rPr>
          <w:rFonts w:cs="Arial"/>
          <w:lang w:val="es-ES"/>
        </w:rPr>
        <w:t xml:space="preserve">medidas de manejo </w:t>
      </w:r>
      <w:r w:rsidRPr="00BD1319">
        <w:rPr>
          <w:rFonts w:cs="Arial"/>
          <w:lang w:val="es-ES"/>
        </w:rPr>
        <w:t xml:space="preserve">capaces de </w:t>
      </w:r>
      <w:r w:rsidR="000E7DC2" w:rsidRPr="00BD1319">
        <w:rPr>
          <w:rFonts w:cs="Arial"/>
          <w:lang w:val="es-ES"/>
        </w:rPr>
        <w:t xml:space="preserve">prevenir, mitigar, corregir o compensar </w:t>
      </w:r>
      <w:r w:rsidR="005D07B0" w:rsidRPr="00BD1319">
        <w:rPr>
          <w:rFonts w:cs="Arial"/>
          <w:lang w:val="es-ES"/>
        </w:rPr>
        <w:t xml:space="preserve">los </w:t>
      </w:r>
      <w:r w:rsidR="000E7DC2" w:rsidRPr="00BD1319">
        <w:rPr>
          <w:rFonts w:cs="Arial"/>
          <w:lang w:val="es-ES"/>
        </w:rPr>
        <w:t xml:space="preserve">impactos </w:t>
      </w:r>
      <w:r w:rsidR="005D07B0" w:rsidRPr="00BD1319">
        <w:rPr>
          <w:rFonts w:cs="Arial"/>
          <w:lang w:val="es-ES"/>
        </w:rPr>
        <w:t xml:space="preserve">que </w:t>
      </w:r>
      <w:r w:rsidR="00F10928" w:rsidRPr="00BD1319">
        <w:rPr>
          <w:rFonts w:cs="Arial"/>
          <w:lang w:val="es-ES"/>
        </w:rPr>
        <w:t xml:space="preserve">subyacen </w:t>
      </w:r>
      <w:r w:rsidR="005D07B0" w:rsidRPr="00BD1319">
        <w:rPr>
          <w:rFonts w:cs="Arial"/>
          <w:lang w:val="es-ES"/>
        </w:rPr>
        <w:t xml:space="preserve">estas dinámicas </w:t>
      </w:r>
      <w:r w:rsidRPr="00BD1319">
        <w:rPr>
          <w:rFonts w:cs="Arial"/>
          <w:lang w:val="es-ES"/>
        </w:rPr>
        <w:t xml:space="preserve">y </w:t>
      </w:r>
      <w:r w:rsidR="00F10928" w:rsidRPr="00BD1319">
        <w:rPr>
          <w:rFonts w:cs="Arial"/>
          <w:lang w:val="es-ES"/>
        </w:rPr>
        <w:t xml:space="preserve">que </w:t>
      </w:r>
      <w:r w:rsidRPr="00BD1319">
        <w:rPr>
          <w:rFonts w:cs="Arial"/>
          <w:lang w:val="es-ES"/>
        </w:rPr>
        <w:t>contribuyan</w:t>
      </w:r>
      <w:r w:rsidR="000E7DC2" w:rsidRPr="00BD1319">
        <w:rPr>
          <w:rFonts w:cs="Arial"/>
          <w:lang w:val="es-ES"/>
        </w:rPr>
        <w:t xml:space="preserve">, en el marco de las responsabilidades del solicitante de la licencia ambiental, </w:t>
      </w:r>
      <w:r w:rsidRPr="00BD1319">
        <w:rPr>
          <w:rFonts w:cs="Arial"/>
          <w:lang w:val="es-ES"/>
        </w:rPr>
        <w:t xml:space="preserve">a </w:t>
      </w:r>
      <w:r w:rsidR="000E7DC2" w:rsidRPr="00BD1319">
        <w:rPr>
          <w:rFonts w:cs="Arial"/>
          <w:lang w:val="es-ES"/>
        </w:rPr>
        <w:t>la protección de los derechos humanos.</w:t>
      </w:r>
    </w:p>
    <w:p w14:paraId="6BABACC4" w14:textId="77777777" w:rsidR="000E7DC2" w:rsidRPr="00BD1319" w:rsidRDefault="000E7DC2" w:rsidP="000E7DC2">
      <w:pPr>
        <w:numPr>
          <w:ilvl w:val="12"/>
          <w:numId w:val="0"/>
        </w:numPr>
        <w:tabs>
          <w:tab w:val="left" w:pos="-2268"/>
        </w:tabs>
        <w:suppressAutoHyphens/>
        <w:rPr>
          <w:lang w:val="es-ES"/>
        </w:rPr>
      </w:pPr>
    </w:p>
    <w:p w14:paraId="40E81049" w14:textId="6C6C3CF9" w:rsidR="007243DF" w:rsidRPr="00BD1319" w:rsidRDefault="005D07B0" w:rsidP="007243DF">
      <w:pPr>
        <w:numPr>
          <w:ilvl w:val="12"/>
          <w:numId w:val="0"/>
        </w:numPr>
        <w:tabs>
          <w:tab w:val="left" w:pos="-2268"/>
        </w:tabs>
        <w:suppressAutoHyphens/>
        <w:rPr>
          <w:rFonts w:cs="Arial"/>
          <w:lang w:val="es-ES"/>
        </w:rPr>
      </w:pPr>
      <w:r w:rsidRPr="00BD1319">
        <w:rPr>
          <w:rFonts w:cs="Arial"/>
          <w:lang w:val="es-ES"/>
        </w:rPr>
        <w:t>E</w:t>
      </w:r>
      <w:r w:rsidR="00C81DCB" w:rsidRPr="00BD1319">
        <w:rPr>
          <w:rFonts w:cs="Arial"/>
          <w:lang w:val="es-ES"/>
        </w:rPr>
        <w:t>s decir</w:t>
      </w:r>
      <w:r w:rsidRPr="00BD1319">
        <w:rPr>
          <w:rFonts w:cs="Arial"/>
          <w:lang w:val="es-ES"/>
        </w:rPr>
        <w:t xml:space="preserve">, </w:t>
      </w:r>
      <w:r w:rsidR="00D7226F" w:rsidRPr="00BD1319">
        <w:rPr>
          <w:rFonts w:cs="Arial"/>
          <w:lang w:val="es-ES"/>
        </w:rPr>
        <w:t xml:space="preserve">la MGEPEA procura que </w:t>
      </w:r>
      <w:r w:rsidRPr="00BD1319">
        <w:rPr>
          <w:rFonts w:cs="Arial"/>
          <w:lang w:val="es-ES"/>
        </w:rPr>
        <w:t xml:space="preserve">la elaboración de los estudios ambientales </w:t>
      </w:r>
      <w:r w:rsidR="00D7226F" w:rsidRPr="00BD1319">
        <w:rPr>
          <w:rFonts w:cs="Arial"/>
          <w:lang w:val="es-ES"/>
        </w:rPr>
        <w:t xml:space="preserve">se </w:t>
      </w:r>
      <w:r w:rsidRPr="00BD1319">
        <w:rPr>
          <w:rFonts w:cs="Arial"/>
          <w:lang w:val="es-ES"/>
        </w:rPr>
        <w:t>irradi</w:t>
      </w:r>
      <w:r w:rsidR="00D7226F" w:rsidRPr="00BD1319">
        <w:rPr>
          <w:rFonts w:cs="Arial"/>
          <w:lang w:val="es-ES"/>
        </w:rPr>
        <w:t xml:space="preserve">e </w:t>
      </w:r>
      <w:r w:rsidRPr="00BD1319">
        <w:rPr>
          <w:rFonts w:cs="Arial"/>
          <w:lang w:val="es-ES"/>
        </w:rPr>
        <w:t xml:space="preserve">con los valores y principios de los derechos humanos para </w:t>
      </w:r>
      <w:r w:rsidR="00AA2869" w:rsidRPr="00BD1319">
        <w:rPr>
          <w:rFonts w:cs="Arial"/>
          <w:lang w:val="es-ES"/>
        </w:rPr>
        <w:t xml:space="preserve">lograr un conocimiento holístico de los grupos de interés, incorporar sus aportes </w:t>
      </w:r>
      <w:r w:rsidRPr="00BD1319">
        <w:rPr>
          <w:rFonts w:cs="Arial"/>
          <w:lang w:val="es-ES"/>
        </w:rPr>
        <w:t>a la toma de decisión</w:t>
      </w:r>
      <w:r w:rsidR="007243DF" w:rsidRPr="00BD1319">
        <w:rPr>
          <w:rFonts w:cs="Arial"/>
          <w:lang w:val="es-ES"/>
        </w:rPr>
        <w:t>, plantea</w:t>
      </w:r>
      <w:r w:rsidRPr="00BD1319">
        <w:rPr>
          <w:rFonts w:cs="Arial"/>
          <w:lang w:val="es-ES"/>
        </w:rPr>
        <w:t xml:space="preserve">r </w:t>
      </w:r>
      <w:r w:rsidR="007243DF" w:rsidRPr="00BD1319">
        <w:rPr>
          <w:rFonts w:cs="Arial"/>
          <w:lang w:val="es-ES"/>
        </w:rPr>
        <w:t xml:space="preserve">medidas de manejo que </w:t>
      </w:r>
      <w:r w:rsidR="00C81DCB" w:rsidRPr="00BD1319">
        <w:rPr>
          <w:rFonts w:cs="Arial"/>
          <w:lang w:val="es-ES"/>
        </w:rPr>
        <w:t xml:space="preserve">además de controlar los factores de vulneración de derechos humanos, </w:t>
      </w:r>
      <w:r w:rsidR="007243DF" w:rsidRPr="00BD1319">
        <w:rPr>
          <w:rFonts w:cs="Arial"/>
          <w:lang w:val="es-ES"/>
        </w:rPr>
        <w:t>favorezcan el desarrollo sostenible</w:t>
      </w:r>
      <w:r w:rsidR="00AA2869" w:rsidRPr="00BD1319">
        <w:rPr>
          <w:rFonts w:cs="Arial"/>
          <w:lang w:val="es-ES"/>
        </w:rPr>
        <w:t xml:space="preserve"> y </w:t>
      </w:r>
      <w:r w:rsidRPr="00BD1319">
        <w:rPr>
          <w:rFonts w:cs="Arial"/>
          <w:lang w:val="es-ES"/>
        </w:rPr>
        <w:t xml:space="preserve">la </w:t>
      </w:r>
      <w:proofErr w:type="spellStart"/>
      <w:r w:rsidRPr="00BD1319">
        <w:rPr>
          <w:rFonts w:cs="Arial"/>
          <w:lang w:val="es-ES"/>
        </w:rPr>
        <w:t>provención</w:t>
      </w:r>
      <w:proofErr w:type="spellEnd"/>
      <w:r w:rsidRPr="00BD1319">
        <w:rPr>
          <w:rFonts w:cs="Arial"/>
          <w:lang w:val="es-ES"/>
        </w:rPr>
        <w:t xml:space="preserve"> de conflictos, </w:t>
      </w:r>
      <w:r w:rsidR="00AA2869" w:rsidRPr="00BD1319">
        <w:rPr>
          <w:rFonts w:cs="Arial"/>
          <w:lang w:val="es-ES"/>
        </w:rPr>
        <w:t>y facilitar la labor de las entidades encargadas de velar por su protección</w:t>
      </w:r>
      <w:r w:rsidR="007243DF" w:rsidRPr="00BD1319">
        <w:rPr>
          <w:rFonts w:cs="Arial"/>
          <w:lang w:val="es-ES"/>
        </w:rPr>
        <w:t>.</w:t>
      </w:r>
    </w:p>
    <w:p w14:paraId="64356FA5" w14:textId="77777777" w:rsidR="000E7DC2" w:rsidRPr="00BD1319" w:rsidRDefault="000E7DC2" w:rsidP="00317B09">
      <w:pPr>
        <w:numPr>
          <w:ilvl w:val="12"/>
          <w:numId w:val="0"/>
        </w:numPr>
        <w:tabs>
          <w:tab w:val="left" w:pos="-2268"/>
        </w:tabs>
        <w:suppressAutoHyphens/>
        <w:rPr>
          <w:rFonts w:cs="Arial"/>
        </w:rPr>
      </w:pPr>
    </w:p>
    <w:p w14:paraId="12C64FC7" w14:textId="7C9EC37D" w:rsidR="00317B09" w:rsidRPr="00BD1319" w:rsidRDefault="00317B09" w:rsidP="00317B09">
      <w:pPr>
        <w:numPr>
          <w:ilvl w:val="12"/>
          <w:numId w:val="0"/>
        </w:numPr>
        <w:tabs>
          <w:tab w:val="left" w:pos="-2268"/>
        </w:tabs>
        <w:suppressAutoHyphens/>
        <w:rPr>
          <w:rFonts w:cs="Arial"/>
        </w:rPr>
      </w:pPr>
      <w:r w:rsidRPr="00BD1319">
        <w:rPr>
          <w:rFonts w:cs="Arial"/>
        </w:rPr>
        <w:t xml:space="preserve">Los estudios ambientales a los cuales va dirigida </w:t>
      </w:r>
      <w:r w:rsidR="000D1650" w:rsidRPr="00BD1319">
        <w:rPr>
          <w:rFonts w:cs="Arial"/>
        </w:rPr>
        <w:t xml:space="preserve">la MGEPEA </w:t>
      </w:r>
      <w:r w:rsidRPr="00BD1319">
        <w:rPr>
          <w:rFonts w:cs="Arial"/>
        </w:rPr>
        <w:t>son el Diagnóstico Ambiental de Alternativas (DAA)</w:t>
      </w:r>
      <w:r w:rsidR="00523D26" w:rsidRPr="00BD1319">
        <w:rPr>
          <w:rFonts w:cs="Arial"/>
        </w:rPr>
        <w:t xml:space="preserve"> y</w:t>
      </w:r>
      <w:r w:rsidRPr="00BD1319">
        <w:rPr>
          <w:rFonts w:cs="Arial"/>
        </w:rPr>
        <w:t xml:space="preserve"> el Estudio de Impacto Ambiental (EIA). Aunque estos estudios ambientales tienen diferentes propósitos y alcances, </w:t>
      </w:r>
      <w:r w:rsidR="00567ADE" w:rsidRPr="00BD1319">
        <w:rPr>
          <w:rFonts w:cs="Arial"/>
        </w:rPr>
        <w:t xml:space="preserve">en términos generales </w:t>
      </w:r>
      <w:r w:rsidRPr="00BD1319">
        <w:rPr>
          <w:rFonts w:cs="Arial"/>
        </w:rPr>
        <w:t>buscan conjugar el conocimiento de las características ambientales de la zona en la cual se pretende desarrollar un proyecto, obra o actividad sujet</w:t>
      </w:r>
      <w:r w:rsidR="000D1650" w:rsidRPr="00BD1319">
        <w:rPr>
          <w:rFonts w:cs="Arial"/>
        </w:rPr>
        <w:t>o</w:t>
      </w:r>
      <w:r w:rsidRPr="00BD1319">
        <w:rPr>
          <w:rFonts w:cs="Arial"/>
        </w:rPr>
        <w:t xml:space="preserve"> a licenciamiento ambiental, con el de las características propias de dicho proyecto, obra o actividad o sus alternativas de ejecución, con el fin de prever los impactos ambientales que puedan ocasionar, y obrar en consecuencia a fin de </w:t>
      </w:r>
      <w:r w:rsidR="000D1650" w:rsidRPr="00BD1319">
        <w:rPr>
          <w:rFonts w:cs="Arial"/>
        </w:rPr>
        <w:t xml:space="preserve">prevenirlos, </w:t>
      </w:r>
      <w:r w:rsidRPr="00BD1319">
        <w:rPr>
          <w:rFonts w:cs="Arial"/>
        </w:rPr>
        <w:t>mitigarlos, corregirlos y compensarlos.</w:t>
      </w:r>
    </w:p>
    <w:p w14:paraId="5CEF3E76" w14:textId="77777777" w:rsidR="00317B09" w:rsidRPr="00BD1319" w:rsidRDefault="00317B09" w:rsidP="00317B09">
      <w:pPr>
        <w:numPr>
          <w:ilvl w:val="12"/>
          <w:numId w:val="0"/>
        </w:numPr>
        <w:tabs>
          <w:tab w:val="left" w:pos="-2268"/>
        </w:tabs>
        <w:suppressAutoHyphens/>
        <w:rPr>
          <w:rFonts w:cs="Arial"/>
        </w:rPr>
      </w:pPr>
    </w:p>
    <w:p w14:paraId="613C2568" w14:textId="5A229F58" w:rsidR="00317B09" w:rsidRPr="00BD1319" w:rsidRDefault="00317B09" w:rsidP="00317B09">
      <w:pPr>
        <w:numPr>
          <w:ilvl w:val="12"/>
          <w:numId w:val="0"/>
        </w:numPr>
        <w:tabs>
          <w:tab w:val="left" w:pos="-2268"/>
        </w:tabs>
        <w:suppressAutoHyphens/>
        <w:rPr>
          <w:rFonts w:cs="Arial"/>
        </w:rPr>
      </w:pPr>
      <w:r w:rsidRPr="00BD1319">
        <w:rPr>
          <w:rFonts w:cs="Arial"/>
        </w:rPr>
        <w:t xml:space="preserve">El DAA es un estudio ambiental que busca aportar la información necesaria y suficiente para evaluar, comparar y seleccionar la alternativa o conjunto de alternativas de ejecución de un proyecto, obra o actividad que permitan la optimización y racionalización en el uso de los recursos y eviten o minimicen los impactos </w:t>
      </w:r>
      <w:r w:rsidR="00645126" w:rsidRPr="00BD1319">
        <w:rPr>
          <w:rFonts w:cs="Arial"/>
        </w:rPr>
        <w:t xml:space="preserve">ambientales </w:t>
      </w:r>
      <w:r w:rsidRPr="00BD1319">
        <w:rPr>
          <w:rFonts w:cs="Arial"/>
        </w:rPr>
        <w:t>significativos que puedan generarse.</w:t>
      </w:r>
    </w:p>
    <w:p w14:paraId="5B74003D" w14:textId="77777777" w:rsidR="00317B09" w:rsidRPr="00BD1319" w:rsidRDefault="00317B09" w:rsidP="00317B09">
      <w:pPr>
        <w:numPr>
          <w:ilvl w:val="12"/>
          <w:numId w:val="0"/>
        </w:numPr>
        <w:tabs>
          <w:tab w:val="left" w:pos="-2268"/>
        </w:tabs>
        <w:suppressAutoHyphens/>
        <w:rPr>
          <w:rFonts w:cs="Arial"/>
        </w:rPr>
      </w:pPr>
    </w:p>
    <w:p w14:paraId="0C3A0EDD" w14:textId="31447A9E" w:rsidR="00317B09" w:rsidRPr="00BD1319" w:rsidRDefault="00317B09" w:rsidP="00317B09">
      <w:pPr>
        <w:numPr>
          <w:ilvl w:val="12"/>
          <w:numId w:val="0"/>
        </w:numPr>
        <w:tabs>
          <w:tab w:val="left" w:pos="-2268"/>
        </w:tabs>
        <w:suppressAutoHyphens/>
        <w:rPr>
          <w:rFonts w:cs="Arial"/>
        </w:rPr>
      </w:pPr>
      <w:r w:rsidRPr="00BD1319">
        <w:rPr>
          <w:rFonts w:cs="Arial"/>
        </w:rPr>
        <w:t xml:space="preserve">Además de un análisis ambiental comparativo de las diferentes opciones, este estudio ambiental debe contemplar los </w:t>
      </w:r>
      <w:r w:rsidR="00645126" w:rsidRPr="00BD1319">
        <w:rPr>
          <w:rFonts w:cs="Arial"/>
        </w:rPr>
        <w:t>impactos ambientales potenciales</w:t>
      </w:r>
      <w:r w:rsidRPr="00BD1319">
        <w:rPr>
          <w:rFonts w:cs="Arial"/>
        </w:rPr>
        <w:t xml:space="preserve"> y riesgos que se puedan suscitar, así como las </w:t>
      </w:r>
      <w:r w:rsidRPr="00BD1319">
        <w:rPr>
          <w:rFonts w:cs="Arial"/>
          <w:i/>
        </w:rPr>
        <w:t>posibles</w:t>
      </w:r>
      <w:r w:rsidRPr="00BD1319">
        <w:rPr>
          <w:rFonts w:cs="Arial"/>
        </w:rPr>
        <w:t xml:space="preserve"> soluciones y medidas de control y de mitigación que se deban implementar bajo cada alternativa. Con el propósito de que la autoridad ambiental seleccione la mejor alternativa o alternativas dentro de un conjunto de opciones responsables desde el punto de vista ambiental, las alternativas planteadas no deben restringirse a opciones de trazado o de emplazamiento, tienen que contemplar adicionalmente consideraciones tecnológicas (constructivas, de ingeniería, de maquinaria, de materiales e insumos, entre otras)</w:t>
      </w:r>
      <w:r w:rsidR="00567ADE" w:rsidRPr="00BD1319">
        <w:rPr>
          <w:rFonts w:cs="Arial"/>
        </w:rPr>
        <w:t xml:space="preserve"> y de diseño</w:t>
      </w:r>
      <w:r w:rsidRPr="00BD1319">
        <w:rPr>
          <w:rFonts w:cs="Arial"/>
        </w:rPr>
        <w:t>, pues un proyecto</w:t>
      </w:r>
      <w:r w:rsidR="00F32AC0" w:rsidRPr="00BD1319">
        <w:rPr>
          <w:rFonts w:cs="Arial"/>
        </w:rPr>
        <w:t>, obra o actividad</w:t>
      </w:r>
      <w:r w:rsidRPr="00BD1319">
        <w:rPr>
          <w:rFonts w:cs="Arial"/>
        </w:rPr>
        <w:t xml:space="preserve"> que resulte ambientalmente inviable aplicando una determinada tecnología, puede resultar viable haciendo uso de otras.</w:t>
      </w:r>
    </w:p>
    <w:p w14:paraId="2A58DA93" w14:textId="77777777" w:rsidR="00317B09" w:rsidRPr="00BD1319" w:rsidRDefault="00317B09" w:rsidP="00317B09">
      <w:pPr>
        <w:numPr>
          <w:ilvl w:val="12"/>
          <w:numId w:val="0"/>
        </w:numPr>
        <w:tabs>
          <w:tab w:val="left" w:pos="-2268"/>
        </w:tabs>
        <w:suppressAutoHyphens/>
        <w:rPr>
          <w:rFonts w:cs="Arial"/>
        </w:rPr>
      </w:pPr>
    </w:p>
    <w:p w14:paraId="2DC60C46" w14:textId="2B20DEC9" w:rsidR="00317B09" w:rsidRPr="00BD1319" w:rsidRDefault="00317B09" w:rsidP="4A0B09C6">
      <w:pPr>
        <w:suppressAutoHyphens/>
        <w:rPr>
          <w:rFonts w:cs="Arial"/>
        </w:rPr>
      </w:pPr>
      <w:r w:rsidRPr="00BD1319">
        <w:rPr>
          <w:rFonts w:cs="Arial"/>
        </w:rPr>
        <w:t xml:space="preserve">El EIA </w:t>
      </w:r>
      <w:r w:rsidR="00617C12" w:rsidRPr="00BD1319">
        <w:rPr>
          <w:rFonts w:cs="Arial"/>
        </w:rPr>
        <w:t>es e</w:t>
      </w:r>
      <w:r w:rsidRPr="00BD1319">
        <w:rPr>
          <w:rFonts w:cs="Arial"/>
        </w:rPr>
        <w:t xml:space="preserve">l estudio ambiental que constituye el instrumento básico mediante el cual las autoridades ambientales deciden si desde el punto de vista ambiental es viable un proyecto, obra o actividad sujeto a licenciamiento ambiental. </w:t>
      </w:r>
      <w:r w:rsidR="00645126" w:rsidRPr="00BD1319">
        <w:rPr>
          <w:rFonts w:cs="Arial"/>
        </w:rPr>
        <w:t>Entre s</w:t>
      </w:r>
      <w:r w:rsidRPr="00BD1319">
        <w:rPr>
          <w:rFonts w:cs="Arial"/>
        </w:rPr>
        <w:t xml:space="preserve">us objetivos fundamentales </w:t>
      </w:r>
      <w:r w:rsidR="4A0B09C6" w:rsidRPr="00BD1319">
        <w:rPr>
          <w:rFonts w:cs="Arial"/>
        </w:rPr>
        <w:t>están</w:t>
      </w:r>
      <w:r w:rsidR="00645126" w:rsidRPr="00BD1319">
        <w:rPr>
          <w:rFonts w:cs="Arial"/>
        </w:rPr>
        <w:t xml:space="preserve"> el</w:t>
      </w:r>
      <w:r w:rsidRPr="00BD1319">
        <w:rPr>
          <w:rFonts w:cs="Arial"/>
        </w:rPr>
        <w:t xml:space="preserve"> describir el área de influencia, </w:t>
      </w:r>
      <w:r w:rsidR="002A7B84" w:rsidRPr="00BD1319">
        <w:rPr>
          <w:rFonts w:cs="Arial"/>
        </w:rPr>
        <w:t xml:space="preserve">determinar </w:t>
      </w:r>
      <w:r w:rsidRPr="00BD1319">
        <w:rPr>
          <w:rFonts w:cs="Arial"/>
        </w:rPr>
        <w:t xml:space="preserve">y valorar los impactos ambientales que puede generar el proyecto, obra o actividad, </w:t>
      </w:r>
      <w:r w:rsidR="000D1650" w:rsidRPr="00BD1319">
        <w:rPr>
          <w:rFonts w:cs="Arial"/>
        </w:rPr>
        <w:t xml:space="preserve">y </w:t>
      </w:r>
      <w:r w:rsidRPr="00BD1319">
        <w:rPr>
          <w:rFonts w:cs="Arial"/>
        </w:rPr>
        <w:t>formular las medidas de manejo de acuerdo con la naturaleza de dichos impactos, especificando cómo prevenirlos, mitigarlos, corregirlos y compensarlos.</w:t>
      </w:r>
    </w:p>
    <w:p w14:paraId="21D1AF3A" w14:textId="77777777" w:rsidR="00317B09" w:rsidRPr="00BD1319" w:rsidRDefault="00317B09" w:rsidP="00317B09">
      <w:pPr>
        <w:numPr>
          <w:ilvl w:val="12"/>
          <w:numId w:val="0"/>
        </w:numPr>
        <w:tabs>
          <w:tab w:val="left" w:pos="-2268"/>
        </w:tabs>
        <w:suppressAutoHyphens/>
        <w:rPr>
          <w:rFonts w:cs="Arial"/>
        </w:rPr>
      </w:pPr>
    </w:p>
    <w:p w14:paraId="0B74E8F5" w14:textId="7C53358D" w:rsidR="00317B09" w:rsidRPr="00BD1319" w:rsidRDefault="00317B09" w:rsidP="00317B09">
      <w:pPr>
        <w:numPr>
          <w:ilvl w:val="12"/>
          <w:numId w:val="0"/>
        </w:numPr>
        <w:tabs>
          <w:tab w:val="left" w:pos="-2268"/>
        </w:tabs>
        <w:suppressAutoHyphens/>
        <w:rPr>
          <w:rFonts w:cs="Arial"/>
        </w:rPr>
      </w:pPr>
      <w:r w:rsidRPr="00BD1319">
        <w:rPr>
          <w:rFonts w:cs="Arial"/>
        </w:rPr>
        <w:lastRenderedPageBreak/>
        <w:t xml:space="preserve">La </w:t>
      </w:r>
      <w:r w:rsidR="00EF4209" w:rsidRPr="00BD1319">
        <w:rPr>
          <w:rFonts w:cs="Arial"/>
        </w:rPr>
        <w:t>M</w:t>
      </w:r>
      <w:r w:rsidR="00C962D9" w:rsidRPr="00BD1319">
        <w:rPr>
          <w:rFonts w:cs="Arial"/>
        </w:rPr>
        <w:t>GE</w:t>
      </w:r>
      <w:r w:rsidR="00EF4209" w:rsidRPr="00BD1319">
        <w:rPr>
          <w:rFonts w:cs="Arial"/>
        </w:rPr>
        <w:t>P</w:t>
      </w:r>
      <w:r w:rsidR="00C962D9" w:rsidRPr="00BD1319">
        <w:rPr>
          <w:rFonts w:cs="Arial"/>
        </w:rPr>
        <w:t>E</w:t>
      </w:r>
      <w:r w:rsidR="00EF4209" w:rsidRPr="00BD1319">
        <w:rPr>
          <w:rFonts w:cs="Arial"/>
        </w:rPr>
        <w:t>A</w:t>
      </w:r>
      <w:r w:rsidRPr="00BD1319">
        <w:rPr>
          <w:rFonts w:cs="Arial"/>
        </w:rPr>
        <w:t xml:space="preserve">, como parte del </w:t>
      </w:r>
      <w:r w:rsidR="008B010C" w:rsidRPr="00BD1319">
        <w:rPr>
          <w:rFonts w:cs="Arial"/>
        </w:rPr>
        <w:t>proceso de</w:t>
      </w:r>
      <w:r w:rsidRPr="00BD1319">
        <w:rPr>
          <w:rFonts w:cs="Arial"/>
        </w:rPr>
        <w:t xml:space="preserve"> licenciamiento ambiental, contribuye a facilitar y optimizar el proceso de elaboración </w:t>
      </w:r>
      <w:r w:rsidR="000D1650" w:rsidRPr="00BD1319">
        <w:rPr>
          <w:rFonts w:cs="Arial"/>
        </w:rPr>
        <w:t xml:space="preserve">y presentación </w:t>
      </w:r>
      <w:r w:rsidRPr="00BD1319">
        <w:rPr>
          <w:rFonts w:cs="Arial"/>
        </w:rPr>
        <w:t xml:space="preserve">de estudios ambientales, su posterior evaluación, y finalmente, la toma de decisiones asociada; con estos propósitos se constituye en un armónico complemento de los términos de referencia, estos últimos dirigidos a señalar los requerimientos de información, en tanto la </w:t>
      </w:r>
      <w:r w:rsidR="000D1650" w:rsidRPr="00BD1319">
        <w:rPr>
          <w:rFonts w:cs="Arial"/>
        </w:rPr>
        <w:t xml:space="preserve">MGEPEA </w:t>
      </w:r>
      <w:r w:rsidRPr="00BD1319">
        <w:rPr>
          <w:rFonts w:cs="Arial"/>
        </w:rPr>
        <w:t xml:space="preserve">establece </w:t>
      </w:r>
      <w:r w:rsidR="000D1650" w:rsidRPr="00BD1319">
        <w:rPr>
          <w:rFonts w:cs="Arial"/>
        </w:rPr>
        <w:t xml:space="preserve">orientaciones generales </w:t>
      </w:r>
      <w:r w:rsidRPr="00BD1319">
        <w:rPr>
          <w:rFonts w:cs="Arial"/>
        </w:rPr>
        <w:t>para el levantamiento, procesamiento</w:t>
      </w:r>
      <w:r w:rsidR="00567ADE" w:rsidRPr="00BD1319">
        <w:rPr>
          <w:rFonts w:cs="Arial"/>
        </w:rPr>
        <w:t>,</w:t>
      </w:r>
      <w:r w:rsidRPr="00BD1319">
        <w:rPr>
          <w:rFonts w:cs="Arial"/>
        </w:rPr>
        <w:t xml:space="preserve"> análisis </w:t>
      </w:r>
      <w:r w:rsidR="00567ADE" w:rsidRPr="00BD1319">
        <w:rPr>
          <w:rFonts w:cs="Arial"/>
        </w:rPr>
        <w:t xml:space="preserve">y generación </w:t>
      </w:r>
      <w:r w:rsidRPr="00BD1319">
        <w:rPr>
          <w:rFonts w:cs="Arial"/>
        </w:rPr>
        <w:t>de la información de cada tipo de estudio ambiental, siendo cuidadosa de señalar los principales conceptos involucrados en el proceso de elaboración y presentación de estudios ambientales.</w:t>
      </w:r>
      <w:r w:rsidR="000D1650" w:rsidRPr="00BD1319">
        <w:rPr>
          <w:rFonts w:cs="Arial"/>
        </w:rPr>
        <w:t xml:space="preserve"> Los lineamientos metodológicos considerados en la MGEPEA deben ser aplicados de acuerdo con las particularidades de</w:t>
      </w:r>
      <w:r w:rsidR="004A7D6E" w:rsidRPr="00BD1319">
        <w:rPr>
          <w:rFonts w:cs="Arial"/>
        </w:rPr>
        <w:t xml:space="preserve"> cada</w:t>
      </w:r>
      <w:r w:rsidR="000D1650" w:rsidRPr="00BD1319">
        <w:rPr>
          <w:rFonts w:cs="Arial"/>
        </w:rPr>
        <w:t xml:space="preserve"> proyecto, obra o actividad.</w:t>
      </w:r>
    </w:p>
    <w:p w14:paraId="1F19B900" w14:textId="3FA4B96E" w:rsidR="00317B09" w:rsidRPr="00BD1319" w:rsidRDefault="00317B09" w:rsidP="00317B09">
      <w:pPr>
        <w:numPr>
          <w:ilvl w:val="12"/>
          <w:numId w:val="0"/>
        </w:numPr>
        <w:tabs>
          <w:tab w:val="left" w:pos="-2268"/>
        </w:tabs>
        <w:suppressAutoHyphens/>
        <w:rPr>
          <w:rFonts w:cs="Arial"/>
        </w:rPr>
      </w:pPr>
    </w:p>
    <w:p w14:paraId="284DB3B2" w14:textId="353C5CED" w:rsidR="00317B09" w:rsidRPr="00BD1319" w:rsidRDefault="00317B09" w:rsidP="00317B09">
      <w:pPr>
        <w:numPr>
          <w:ilvl w:val="12"/>
          <w:numId w:val="0"/>
        </w:numPr>
        <w:tabs>
          <w:tab w:val="left" w:pos="-2268"/>
        </w:tabs>
        <w:suppressAutoHyphens/>
        <w:rPr>
          <w:rFonts w:cs="Arial"/>
        </w:rPr>
      </w:pPr>
      <w:r w:rsidRPr="00BD1319">
        <w:rPr>
          <w:rFonts w:cs="Arial"/>
        </w:rPr>
        <w:t xml:space="preserve">La </w:t>
      </w:r>
      <w:r w:rsidR="000D1650" w:rsidRPr="00BD1319">
        <w:rPr>
          <w:rFonts w:cs="Arial"/>
        </w:rPr>
        <w:t xml:space="preserve">MGEPEA </w:t>
      </w:r>
      <w:r w:rsidRPr="00BD1319">
        <w:rPr>
          <w:rFonts w:cs="Arial"/>
        </w:rPr>
        <w:t>se encuentra organizada en tres capítulos: el primero (I) de ellos es general, aplica a todos los estudios ambientales y señala los lineamientos generales para su elaboración, relaciona las fuentes de información a emplear y establece las especificaciones documentales y de presentación de información geográfica y cartográfica que se han de seguir para la presentación de los estudios ambientales</w:t>
      </w:r>
      <w:r w:rsidR="003C6C77" w:rsidRPr="00BD1319">
        <w:rPr>
          <w:rFonts w:cs="Arial"/>
        </w:rPr>
        <w:t xml:space="preserve"> </w:t>
      </w:r>
      <w:r w:rsidR="007C4AF9" w:rsidRPr="00BD1319">
        <w:rPr>
          <w:rFonts w:cs="Arial"/>
        </w:rPr>
        <w:t>a fin de</w:t>
      </w:r>
      <w:r w:rsidR="003C6C77" w:rsidRPr="00BD1319">
        <w:rPr>
          <w:rFonts w:cs="Arial"/>
        </w:rPr>
        <w:t xml:space="preserve"> asegurar su compatibilidad con el Modelo de Almacenamiento Geográfico (MAG)</w:t>
      </w:r>
      <w:r w:rsidRPr="00BD1319">
        <w:rPr>
          <w:rFonts w:cs="Arial"/>
        </w:rPr>
        <w:t>; el segundo (II) determina las especificaciones técnicas que se deben tener en consideración para elaborar el Diagnóstico Ambiental de Alternativas y; el tercero (III) dispone las especificaciones técnicas necesarias para elaborar el Estudio de Impacto Ambiental.</w:t>
      </w:r>
    </w:p>
    <w:p w14:paraId="47F38ACE" w14:textId="77777777" w:rsidR="00317B09" w:rsidRPr="00BD1319" w:rsidRDefault="00317B09" w:rsidP="00317B09">
      <w:pPr>
        <w:numPr>
          <w:ilvl w:val="12"/>
          <w:numId w:val="0"/>
        </w:numPr>
        <w:tabs>
          <w:tab w:val="left" w:pos="-2268"/>
        </w:tabs>
        <w:suppressAutoHyphens/>
        <w:rPr>
          <w:rFonts w:cs="Arial"/>
        </w:rPr>
      </w:pPr>
    </w:p>
    <w:p w14:paraId="604E0613" w14:textId="34804850" w:rsidR="008035F2" w:rsidRPr="00BD1319" w:rsidRDefault="00317B09">
      <w:pPr>
        <w:numPr>
          <w:ilvl w:val="12"/>
          <w:numId w:val="0"/>
        </w:numPr>
        <w:tabs>
          <w:tab w:val="left" w:pos="-2268"/>
        </w:tabs>
        <w:suppressAutoHyphens/>
        <w:rPr>
          <w:rFonts w:cs="Arial"/>
        </w:rPr>
      </w:pPr>
      <w:r w:rsidRPr="00BD1319">
        <w:rPr>
          <w:rFonts w:cs="Arial"/>
        </w:rPr>
        <w:t xml:space="preserve">Se recomienda abordar la lectura de este documento siguiendo en orden sus capítulos; sin embargo y según las necesidades puntuales del estudio ambiental que se desee elaborar, es posible abordar los capítulos de manera independiente cuidando de atender las consideraciones </w:t>
      </w:r>
      <w:r w:rsidR="000D1650" w:rsidRPr="00BD1319">
        <w:rPr>
          <w:rFonts w:cs="Arial"/>
        </w:rPr>
        <w:t xml:space="preserve">generales </w:t>
      </w:r>
      <w:r w:rsidRPr="00BD1319">
        <w:rPr>
          <w:rFonts w:cs="Arial"/>
        </w:rPr>
        <w:t>planteadas en el primer capítulo.</w:t>
      </w:r>
    </w:p>
    <w:p w14:paraId="2C4C005D" w14:textId="76B55415" w:rsidR="00FA60FE" w:rsidRPr="00BD1319" w:rsidRDefault="00FA60FE">
      <w:pPr>
        <w:numPr>
          <w:ilvl w:val="12"/>
          <w:numId w:val="0"/>
        </w:numPr>
        <w:tabs>
          <w:tab w:val="left" w:pos="-2268"/>
        </w:tabs>
        <w:suppressAutoHyphens/>
      </w:pPr>
      <w:r w:rsidRPr="00BD1319">
        <w:br w:type="page"/>
      </w:r>
    </w:p>
    <w:p w14:paraId="7AB6B41E" w14:textId="143092F0" w:rsidR="008035F2" w:rsidRPr="00BD1319" w:rsidRDefault="008035F2" w:rsidP="008035F2">
      <w:pPr>
        <w:pStyle w:val="Captulosinnumero"/>
        <w:rPr>
          <w:lang w:val="es-CO"/>
        </w:rPr>
      </w:pPr>
      <w:bookmarkStart w:id="7" w:name="_Toc437935971"/>
      <w:bookmarkStart w:id="8" w:name="_Toc175326662"/>
      <w:r w:rsidRPr="00BD1319">
        <w:rPr>
          <w:lang w:val="es-CO"/>
        </w:rPr>
        <w:lastRenderedPageBreak/>
        <w:t>LISTA DE ACRÓNIMOS Y SIGLAS</w:t>
      </w:r>
      <w:bookmarkEnd w:id="7"/>
      <w:bookmarkEnd w:id="8"/>
    </w:p>
    <w:p w14:paraId="52A92D48" w14:textId="77777777" w:rsidR="0056031B" w:rsidRPr="00BD1319" w:rsidRDefault="0056031B">
      <w:pPr>
        <w:numPr>
          <w:ilvl w:val="12"/>
          <w:numId w:val="0"/>
        </w:numPr>
        <w:tabs>
          <w:tab w:val="left" w:pos="-2268"/>
        </w:tabs>
        <w:suppressAutoHyphens/>
      </w:pPr>
    </w:p>
    <w:p w14:paraId="789ADD99" w14:textId="62532488" w:rsidR="007538D8" w:rsidRPr="00BD1319" w:rsidRDefault="007538D8">
      <w:pPr>
        <w:numPr>
          <w:ilvl w:val="12"/>
          <w:numId w:val="0"/>
        </w:numPr>
        <w:tabs>
          <w:tab w:val="left" w:pos="-2268"/>
        </w:tabs>
        <w:suppressAutoHyphens/>
        <w:rPr>
          <w:b/>
        </w:rPr>
      </w:pPr>
      <w:r w:rsidRPr="00BD1319">
        <w:rPr>
          <w:b/>
        </w:rPr>
        <w:t>AAE</w:t>
      </w:r>
      <w:r w:rsidRPr="00BD1319">
        <w:t>: Área Ambiental Estratégica</w:t>
      </w:r>
    </w:p>
    <w:p w14:paraId="346902BD" w14:textId="77777777" w:rsidR="007538D8" w:rsidRPr="00BD1319" w:rsidRDefault="007538D8">
      <w:pPr>
        <w:numPr>
          <w:ilvl w:val="12"/>
          <w:numId w:val="0"/>
        </w:numPr>
        <w:tabs>
          <w:tab w:val="left" w:pos="-2268"/>
        </w:tabs>
        <w:suppressAutoHyphens/>
        <w:rPr>
          <w:b/>
        </w:rPr>
      </w:pPr>
    </w:p>
    <w:p w14:paraId="64BD2B21" w14:textId="68342B2B" w:rsidR="0056031B" w:rsidRPr="00BD1319" w:rsidRDefault="0056031B">
      <w:pPr>
        <w:numPr>
          <w:ilvl w:val="12"/>
          <w:numId w:val="0"/>
        </w:numPr>
        <w:tabs>
          <w:tab w:val="left" w:pos="-2268"/>
        </w:tabs>
        <w:suppressAutoHyphens/>
      </w:pPr>
      <w:r w:rsidRPr="00BD1319">
        <w:rPr>
          <w:b/>
        </w:rPr>
        <w:t>ACB</w:t>
      </w:r>
      <w:r w:rsidRPr="00BD1319">
        <w:t>: Análisis Costo Beneficio</w:t>
      </w:r>
    </w:p>
    <w:p w14:paraId="793ABEB8" w14:textId="77777777" w:rsidR="0056031B" w:rsidRPr="00BD1319" w:rsidRDefault="0056031B">
      <w:pPr>
        <w:numPr>
          <w:ilvl w:val="12"/>
          <w:numId w:val="0"/>
        </w:numPr>
        <w:tabs>
          <w:tab w:val="left" w:pos="-2268"/>
        </w:tabs>
        <w:suppressAutoHyphens/>
      </w:pPr>
    </w:p>
    <w:p w14:paraId="482C8B6C" w14:textId="77777777" w:rsidR="0056031B" w:rsidRPr="00BD1319" w:rsidRDefault="0056031B">
      <w:pPr>
        <w:numPr>
          <w:ilvl w:val="12"/>
          <w:numId w:val="0"/>
        </w:numPr>
        <w:tabs>
          <w:tab w:val="left" w:pos="-2268"/>
        </w:tabs>
        <w:suppressAutoHyphens/>
      </w:pPr>
      <w:r w:rsidRPr="00BD1319">
        <w:rPr>
          <w:b/>
        </w:rPr>
        <w:t>ADR</w:t>
      </w:r>
      <w:r w:rsidRPr="00BD1319">
        <w:t>: Agencia de Desarrollo Rural</w:t>
      </w:r>
    </w:p>
    <w:p w14:paraId="6C404997" w14:textId="77777777" w:rsidR="0056031B" w:rsidRPr="00BD1319" w:rsidRDefault="0056031B">
      <w:pPr>
        <w:numPr>
          <w:ilvl w:val="12"/>
          <w:numId w:val="0"/>
        </w:numPr>
        <w:tabs>
          <w:tab w:val="left" w:pos="-2268"/>
        </w:tabs>
        <w:suppressAutoHyphens/>
      </w:pPr>
    </w:p>
    <w:p w14:paraId="0564DFC5" w14:textId="2AAD5684" w:rsidR="0056031B" w:rsidRPr="00BD1319" w:rsidRDefault="0056031B" w:rsidP="00121B89">
      <w:pPr>
        <w:numPr>
          <w:ilvl w:val="12"/>
          <w:numId w:val="0"/>
        </w:numPr>
        <w:tabs>
          <w:tab w:val="left" w:pos="-2268"/>
        </w:tabs>
        <w:suppressAutoHyphens/>
        <w:rPr>
          <w:rFonts w:cs="Arial"/>
        </w:rPr>
      </w:pPr>
      <w:proofErr w:type="spellStart"/>
      <w:r w:rsidRPr="00BD1319">
        <w:rPr>
          <w:rFonts w:cs="Arial"/>
          <w:b/>
        </w:rPr>
        <w:t>Agrosavia</w:t>
      </w:r>
      <w:proofErr w:type="spellEnd"/>
      <w:r w:rsidRPr="00BD1319">
        <w:rPr>
          <w:rFonts w:cs="Arial"/>
        </w:rPr>
        <w:t>: Corporación colombiana de investigación agropecuaria</w:t>
      </w:r>
    </w:p>
    <w:p w14:paraId="0EABD18C" w14:textId="77777777" w:rsidR="0056031B" w:rsidRPr="00BD1319" w:rsidRDefault="0056031B" w:rsidP="00121B89">
      <w:pPr>
        <w:numPr>
          <w:ilvl w:val="12"/>
          <w:numId w:val="0"/>
        </w:numPr>
        <w:tabs>
          <w:tab w:val="left" w:pos="-2268"/>
        </w:tabs>
        <w:suppressAutoHyphens/>
        <w:rPr>
          <w:rFonts w:cs="Arial"/>
        </w:rPr>
      </w:pPr>
    </w:p>
    <w:p w14:paraId="09E939F3" w14:textId="77777777" w:rsidR="0056031B" w:rsidRPr="00BD1319" w:rsidRDefault="0056031B">
      <w:pPr>
        <w:numPr>
          <w:ilvl w:val="12"/>
          <w:numId w:val="0"/>
        </w:numPr>
        <w:tabs>
          <w:tab w:val="left" w:pos="-2268"/>
        </w:tabs>
        <w:suppressAutoHyphens/>
      </w:pPr>
      <w:r w:rsidRPr="00BD1319">
        <w:rPr>
          <w:b/>
        </w:rPr>
        <w:t>AICA</w:t>
      </w:r>
      <w:r w:rsidRPr="00BD1319">
        <w:t>: Área Importante para la Conservación de las Aves</w:t>
      </w:r>
    </w:p>
    <w:p w14:paraId="084C5943" w14:textId="77777777" w:rsidR="0056031B" w:rsidRPr="00BD1319" w:rsidRDefault="0056031B">
      <w:pPr>
        <w:numPr>
          <w:ilvl w:val="12"/>
          <w:numId w:val="0"/>
        </w:numPr>
        <w:tabs>
          <w:tab w:val="left" w:pos="-2268"/>
        </w:tabs>
        <w:suppressAutoHyphens/>
      </w:pPr>
    </w:p>
    <w:p w14:paraId="5360C74A" w14:textId="77777777" w:rsidR="0056031B" w:rsidRPr="00BD1319" w:rsidRDefault="0056031B">
      <w:pPr>
        <w:numPr>
          <w:ilvl w:val="12"/>
          <w:numId w:val="0"/>
        </w:numPr>
        <w:tabs>
          <w:tab w:val="left" w:pos="-2268"/>
        </w:tabs>
        <w:suppressAutoHyphens/>
      </w:pPr>
      <w:r w:rsidRPr="00BD1319">
        <w:rPr>
          <w:b/>
        </w:rPr>
        <w:t>ANH</w:t>
      </w:r>
      <w:r w:rsidRPr="00BD1319">
        <w:t>: Agencia Nacional de Hidrocarburos</w:t>
      </w:r>
    </w:p>
    <w:p w14:paraId="0F02234F" w14:textId="77777777" w:rsidR="0056031B" w:rsidRPr="00BD1319" w:rsidRDefault="0056031B">
      <w:pPr>
        <w:numPr>
          <w:ilvl w:val="12"/>
          <w:numId w:val="0"/>
        </w:numPr>
        <w:tabs>
          <w:tab w:val="left" w:pos="-2268"/>
        </w:tabs>
        <w:suppressAutoHyphens/>
      </w:pPr>
    </w:p>
    <w:p w14:paraId="42CA3B92" w14:textId="77777777" w:rsidR="0056031B" w:rsidRPr="00BD1319" w:rsidRDefault="0056031B">
      <w:pPr>
        <w:numPr>
          <w:ilvl w:val="12"/>
          <w:numId w:val="0"/>
        </w:numPr>
        <w:tabs>
          <w:tab w:val="left" w:pos="-2268"/>
        </w:tabs>
        <w:suppressAutoHyphens/>
      </w:pPr>
      <w:r w:rsidRPr="00BD1319">
        <w:rPr>
          <w:b/>
        </w:rPr>
        <w:t>ANLA</w:t>
      </w:r>
      <w:r w:rsidRPr="00BD1319">
        <w:t>: Autoridad Nacional de Licencias Ambientales</w:t>
      </w:r>
    </w:p>
    <w:p w14:paraId="48C63DC1" w14:textId="77777777" w:rsidR="0056031B" w:rsidRPr="00BD1319" w:rsidRDefault="0056031B">
      <w:pPr>
        <w:numPr>
          <w:ilvl w:val="12"/>
          <w:numId w:val="0"/>
        </w:numPr>
        <w:tabs>
          <w:tab w:val="left" w:pos="-2268"/>
        </w:tabs>
        <w:suppressAutoHyphens/>
      </w:pPr>
    </w:p>
    <w:p w14:paraId="635C3A23" w14:textId="77777777" w:rsidR="0056031B" w:rsidRPr="00BD1319" w:rsidRDefault="0056031B">
      <w:pPr>
        <w:numPr>
          <w:ilvl w:val="12"/>
          <w:numId w:val="0"/>
        </w:numPr>
        <w:tabs>
          <w:tab w:val="left" w:pos="-2268"/>
        </w:tabs>
        <w:suppressAutoHyphens/>
      </w:pPr>
      <w:r w:rsidRPr="00BD1319">
        <w:rPr>
          <w:b/>
        </w:rPr>
        <w:t>ANM</w:t>
      </w:r>
      <w:r w:rsidRPr="00BD1319">
        <w:t>: Agencia Nacional de Minería</w:t>
      </w:r>
    </w:p>
    <w:p w14:paraId="4A89189C" w14:textId="77777777" w:rsidR="0056031B" w:rsidRPr="00BD1319" w:rsidRDefault="0056031B">
      <w:pPr>
        <w:numPr>
          <w:ilvl w:val="12"/>
          <w:numId w:val="0"/>
        </w:numPr>
        <w:tabs>
          <w:tab w:val="left" w:pos="-2268"/>
        </w:tabs>
        <w:suppressAutoHyphens/>
      </w:pPr>
    </w:p>
    <w:p w14:paraId="642F3258" w14:textId="77777777" w:rsidR="0056031B" w:rsidRPr="00BD1319" w:rsidRDefault="0056031B" w:rsidP="00121B89">
      <w:pPr>
        <w:numPr>
          <w:ilvl w:val="12"/>
          <w:numId w:val="0"/>
        </w:numPr>
        <w:tabs>
          <w:tab w:val="left" w:pos="-2268"/>
        </w:tabs>
        <w:suppressAutoHyphens/>
        <w:rPr>
          <w:rFonts w:cs="Arial"/>
        </w:rPr>
      </w:pPr>
      <w:r w:rsidRPr="00BD1319">
        <w:rPr>
          <w:rFonts w:cs="Arial"/>
          <w:b/>
        </w:rPr>
        <w:t>ANSPE</w:t>
      </w:r>
      <w:r w:rsidRPr="00BD1319">
        <w:rPr>
          <w:rFonts w:cs="Arial"/>
        </w:rPr>
        <w:t>: Agencia Nacional para la Superación de la Pobreza Extrema</w:t>
      </w:r>
    </w:p>
    <w:p w14:paraId="79594FBC" w14:textId="77777777" w:rsidR="0056031B" w:rsidRPr="00BD1319" w:rsidRDefault="0056031B" w:rsidP="00121B89">
      <w:pPr>
        <w:numPr>
          <w:ilvl w:val="12"/>
          <w:numId w:val="0"/>
        </w:numPr>
        <w:tabs>
          <w:tab w:val="left" w:pos="-2268"/>
        </w:tabs>
        <w:suppressAutoHyphens/>
        <w:rPr>
          <w:rFonts w:cs="Arial"/>
        </w:rPr>
      </w:pPr>
    </w:p>
    <w:p w14:paraId="01AB4DD0" w14:textId="77777777" w:rsidR="0056031B" w:rsidRPr="00BD1319" w:rsidRDefault="0056031B">
      <w:pPr>
        <w:numPr>
          <w:ilvl w:val="12"/>
          <w:numId w:val="0"/>
        </w:numPr>
        <w:tabs>
          <w:tab w:val="left" w:pos="-2268"/>
        </w:tabs>
        <w:suppressAutoHyphens/>
      </w:pPr>
      <w:r w:rsidRPr="00BD1319">
        <w:rPr>
          <w:b/>
        </w:rPr>
        <w:t>ANT</w:t>
      </w:r>
      <w:r w:rsidRPr="00BD1319">
        <w:t>: Agencia Nacional de Tierras</w:t>
      </w:r>
    </w:p>
    <w:p w14:paraId="7087DEAE" w14:textId="77777777" w:rsidR="0056031B" w:rsidRPr="00BD1319" w:rsidRDefault="0056031B">
      <w:pPr>
        <w:numPr>
          <w:ilvl w:val="12"/>
          <w:numId w:val="0"/>
        </w:numPr>
        <w:tabs>
          <w:tab w:val="left" w:pos="-2268"/>
        </w:tabs>
        <w:suppressAutoHyphens/>
      </w:pPr>
    </w:p>
    <w:p w14:paraId="23D4D0FF" w14:textId="429B71F5" w:rsidR="0056031B" w:rsidRPr="00BD1319" w:rsidRDefault="0056031B">
      <w:pPr>
        <w:numPr>
          <w:ilvl w:val="12"/>
          <w:numId w:val="0"/>
        </w:numPr>
        <w:tabs>
          <w:tab w:val="left" w:pos="-2268"/>
        </w:tabs>
        <w:suppressAutoHyphens/>
      </w:pPr>
      <w:proofErr w:type="spellStart"/>
      <w:r w:rsidRPr="00BD1319">
        <w:rPr>
          <w:b/>
        </w:rPr>
        <w:t>Aunap</w:t>
      </w:r>
      <w:proofErr w:type="spellEnd"/>
      <w:r w:rsidRPr="00BD1319">
        <w:t xml:space="preserve">: Autoridad </w:t>
      </w:r>
      <w:r w:rsidR="001E204A" w:rsidRPr="00BD1319">
        <w:t>n</w:t>
      </w:r>
      <w:r w:rsidRPr="00BD1319">
        <w:t xml:space="preserve">acional de </w:t>
      </w:r>
      <w:r w:rsidR="001E204A" w:rsidRPr="00BD1319">
        <w:t>a</w:t>
      </w:r>
      <w:r w:rsidRPr="00BD1319">
        <w:t xml:space="preserve">cuicultura y </w:t>
      </w:r>
      <w:r w:rsidR="001E204A" w:rsidRPr="00BD1319">
        <w:t>p</w:t>
      </w:r>
      <w:r w:rsidRPr="00BD1319">
        <w:t>esca</w:t>
      </w:r>
    </w:p>
    <w:p w14:paraId="02BDBD8A" w14:textId="77777777" w:rsidR="0056031B" w:rsidRPr="00BD1319" w:rsidRDefault="0056031B">
      <w:pPr>
        <w:numPr>
          <w:ilvl w:val="12"/>
          <w:numId w:val="0"/>
        </w:numPr>
        <w:tabs>
          <w:tab w:val="left" w:pos="-2268"/>
        </w:tabs>
        <w:suppressAutoHyphens/>
      </w:pPr>
    </w:p>
    <w:p w14:paraId="36629577" w14:textId="10858188" w:rsidR="0056031B" w:rsidRPr="00BD1319" w:rsidRDefault="0056031B">
      <w:pPr>
        <w:numPr>
          <w:ilvl w:val="12"/>
          <w:numId w:val="0"/>
        </w:numPr>
        <w:tabs>
          <w:tab w:val="left" w:pos="-2268"/>
        </w:tabs>
        <w:suppressAutoHyphens/>
      </w:pPr>
      <w:r w:rsidRPr="00BD1319">
        <w:rPr>
          <w:b/>
        </w:rPr>
        <w:t>CCCP</w:t>
      </w:r>
      <w:r w:rsidRPr="00BD1319">
        <w:t>: Centro de Investigaciones Oceanográficas e Hidrográficas del Pacífico</w:t>
      </w:r>
    </w:p>
    <w:p w14:paraId="703C5E8E" w14:textId="77777777" w:rsidR="0056031B" w:rsidRPr="00BD1319" w:rsidRDefault="0056031B">
      <w:pPr>
        <w:numPr>
          <w:ilvl w:val="12"/>
          <w:numId w:val="0"/>
        </w:numPr>
        <w:tabs>
          <w:tab w:val="left" w:pos="-2268"/>
        </w:tabs>
        <w:suppressAutoHyphens/>
      </w:pPr>
    </w:p>
    <w:p w14:paraId="7F0CC401" w14:textId="77777777" w:rsidR="0056031B" w:rsidRPr="00BD1319" w:rsidRDefault="0056031B">
      <w:pPr>
        <w:numPr>
          <w:ilvl w:val="12"/>
          <w:numId w:val="0"/>
        </w:numPr>
        <w:tabs>
          <w:tab w:val="left" w:pos="-2268"/>
        </w:tabs>
        <w:suppressAutoHyphens/>
      </w:pPr>
      <w:r w:rsidRPr="00BD1319">
        <w:rPr>
          <w:b/>
        </w:rPr>
        <w:t>CCO</w:t>
      </w:r>
      <w:r w:rsidRPr="00BD1319">
        <w:t>: Comisión Colombiana del Océano</w:t>
      </w:r>
    </w:p>
    <w:p w14:paraId="02806E9D" w14:textId="77777777" w:rsidR="0056031B" w:rsidRPr="00BD1319" w:rsidRDefault="0056031B">
      <w:pPr>
        <w:numPr>
          <w:ilvl w:val="12"/>
          <w:numId w:val="0"/>
        </w:numPr>
        <w:tabs>
          <w:tab w:val="left" w:pos="-2268"/>
        </w:tabs>
        <w:suppressAutoHyphens/>
      </w:pPr>
    </w:p>
    <w:p w14:paraId="27C84909" w14:textId="6EC47E86" w:rsidR="0056031B" w:rsidRPr="00BD1319" w:rsidRDefault="0056031B">
      <w:pPr>
        <w:numPr>
          <w:ilvl w:val="12"/>
          <w:numId w:val="0"/>
        </w:numPr>
        <w:tabs>
          <w:tab w:val="left" w:pos="-2268"/>
        </w:tabs>
        <w:suppressAutoHyphens/>
      </w:pPr>
      <w:r w:rsidRPr="00BD1319">
        <w:rPr>
          <w:b/>
        </w:rPr>
        <w:t>CFRS</w:t>
      </w:r>
      <w:r w:rsidRPr="00BD1319">
        <w:t xml:space="preserve">: </w:t>
      </w:r>
      <w:proofErr w:type="spellStart"/>
      <w:r w:rsidRPr="00BD1319">
        <w:rPr>
          <w:iCs/>
        </w:rPr>
        <w:t>Climate</w:t>
      </w:r>
      <w:proofErr w:type="spellEnd"/>
      <w:r w:rsidRPr="00BD1319">
        <w:rPr>
          <w:iCs/>
        </w:rPr>
        <w:t xml:space="preserve"> </w:t>
      </w:r>
      <w:proofErr w:type="spellStart"/>
      <w:r w:rsidRPr="00BD1319">
        <w:rPr>
          <w:iCs/>
        </w:rPr>
        <w:t>Forecast</w:t>
      </w:r>
      <w:proofErr w:type="spellEnd"/>
      <w:r w:rsidRPr="00BD1319">
        <w:rPr>
          <w:iCs/>
        </w:rPr>
        <w:t xml:space="preserve"> </w:t>
      </w:r>
      <w:proofErr w:type="spellStart"/>
      <w:r w:rsidRPr="00BD1319">
        <w:rPr>
          <w:iCs/>
        </w:rPr>
        <w:t>System</w:t>
      </w:r>
      <w:proofErr w:type="spellEnd"/>
      <w:r w:rsidRPr="00BD1319">
        <w:rPr>
          <w:iCs/>
        </w:rPr>
        <w:t xml:space="preserve"> </w:t>
      </w:r>
      <w:proofErr w:type="spellStart"/>
      <w:r w:rsidRPr="00BD1319">
        <w:rPr>
          <w:iCs/>
        </w:rPr>
        <w:t>Reanalysis</w:t>
      </w:r>
      <w:proofErr w:type="spellEnd"/>
      <w:r w:rsidRPr="00BD1319">
        <w:t xml:space="preserve"> (Sistema de Reanálisis de Pronóstico del Clima)</w:t>
      </w:r>
    </w:p>
    <w:p w14:paraId="2F83C663" w14:textId="77777777" w:rsidR="0056031B" w:rsidRPr="00BD1319" w:rsidRDefault="0056031B">
      <w:pPr>
        <w:numPr>
          <w:ilvl w:val="12"/>
          <w:numId w:val="0"/>
        </w:numPr>
        <w:tabs>
          <w:tab w:val="left" w:pos="-2268"/>
        </w:tabs>
        <w:suppressAutoHyphens/>
      </w:pPr>
    </w:p>
    <w:p w14:paraId="49A69CAF" w14:textId="77777777" w:rsidR="0056031B" w:rsidRPr="00BD1319" w:rsidRDefault="0056031B">
      <w:pPr>
        <w:numPr>
          <w:ilvl w:val="12"/>
          <w:numId w:val="0"/>
        </w:numPr>
        <w:tabs>
          <w:tab w:val="left" w:pos="-2268"/>
        </w:tabs>
        <w:suppressAutoHyphens/>
      </w:pPr>
      <w:r w:rsidRPr="00BD1319">
        <w:rPr>
          <w:b/>
        </w:rPr>
        <w:t>CIOH</w:t>
      </w:r>
      <w:r w:rsidRPr="00BD1319">
        <w:t>: Centro de Investigaciones Oceanográficas e Hidrográficas del Caribe</w:t>
      </w:r>
    </w:p>
    <w:p w14:paraId="2A0EF7B6" w14:textId="77777777" w:rsidR="0056031B" w:rsidRPr="00BD1319" w:rsidRDefault="0056031B">
      <w:pPr>
        <w:numPr>
          <w:ilvl w:val="12"/>
          <w:numId w:val="0"/>
        </w:numPr>
        <w:tabs>
          <w:tab w:val="left" w:pos="-2268"/>
        </w:tabs>
        <w:suppressAutoHyphens/>
      </w:pPr>
    </w:p>
    <w:p w14:paraId="17D5CB2E" w14:textId="31020BE1" w:rsidR="0056031B" w:rsidRPr="00BD1319" w:rsidRDefault="0056031B">
      <w:pPr>
        <w:numPr>
          <w:ilvl w:val="12"/>
          <w:numId w:val="0"/>
        </w:numPr>
        <w:tabs>
          <w:tab w:val="left" w:pos="-2268"/>
        </w:tabs>
        <w:suppressAutoHyphens/>
      </w:pPr>
      <w:r w:rsidRPr="00BD1319">
        <w:rPr>
          <w:b/>
        </w:rPr>
        <w:t>Cites</w:t>
      </w:r>
      <w:r w:rsidRPr="00BD1319">
        <w:t xml:space="preserve">: Convención sobre el </w:t>
      </w:r>
      <w:r w:rsidR="001E204A" w:rsidRPr="00BD1319">
        <w:t>c</w:t>
      </w:r>
      <w:r w:rsidRPr="00BD1319">
        <w:t xml:space="preserve">omercio </w:t>
      </w:r>
      <w:r w:rsidR="001E204A" w:rsidRPr="00BD1319">
        <w:t>i</w:t>
      </w:r>
      <w:r w:rsidRPr="00BD1319">
        <w:t xml:space="preserve">nternacional de </w:t>
      </w:r>
      <w:r w:rsidR="001E204A" w:rsidRPr="00BD1319">
        <w:t>e</w:t>
      </w:r>
      <w:r w:rsidRPr="00BD1319">
        <w:t xml:space="preserve">species </w:t>
      </w:r>
      <w:r w:rsidR="001E204A" w:rsidRPr="00BD1319">
        <w:t>a</w:t>
      </w:r>
      <w:r w:rsidRPr="00BD1319">
        <w:t xml:space="preserve">menazadas de </w:t>
      </w:r>
      <w:r w:rsidR="001E204A" w:rsidRPr="00BD1319">
        <w:t>f</w:t>
      </w:r>
      <w:r w:rsidRPr="00BD1319">
        <w:t xml:space="preserve">auna y </w:t>
      </w:r>
      <w:r w:rsidR="001E204A" w:rsidRPr="00BD1319">
        <w:t>f</w:t>
      </w:r>
      <w:r w:rsidRPr="00BD1319">
        <w:t xml:space="preserve">lora </w:t>
      </w:r>
      <w:r w:rsidR="001E204A" w:rsidRPr="00BD1319">
        <w:t>s</w:t>
      </w:r>
      <w:r w:rsidRPr="00BD1319">
        <w:t>ilvestres</w:t>
      </w:r>
    </w:p>
    <w:p w14:paraId="20FF842B" w14:textId="77777777" w:rsidR="0056031B" w:rsidRPr="00BD1319" w:rsidRDefault="0056031B">
      <w:pPr>
        <w:numPr>
          <w:ilvl w:val="12"/>
          <w:numId w:val="0"/>
        </w:numPr>
        <w:tabs>
          <w:tab w:val="left" w:pos="-2268"/>
        </w:tabs>
        <w:suppressAutoHyphens/>
      </w:pPr>
    </w:p>
    <w:p w14:paraId="7FE062DF" w14:textId="77777777" w:rsidR="0056031B" w:rsidRPr="00BD1319" w:rsidRDefault="0056031B" w:rsidP="00121B89">
      <w:pPr>
        <w:numPr>
          <w:ilvl w:val="12"/>
          <w:numId w:val="0"/>
        </w:numPr>
        <w:tabs>
          <w:tab w:val="left" w:pos="-2268"/>
        </w:tabs>
        <w:suppressAutoHyphens/>
        <w:rPr>
          <w:rFonts w:cs="Arial"/>
        </w:rPr>
      </w:pPr>
      <w:r w:rsidRPr="00BD1319">
        <w:rPr>
          <w:rFonts w:cs="Arial"/>
          <w:b/>
        </w:rPr>
        <w:t>Cormagdalena</w:t>
      </w:r>
      <w:r w:rsidRPr="00BD1319">
        <w:rPr>
          <w:rFonts w:cs="Arial"/>
        </w:rPr>
        <w:t>: Corporación Autónoma Regional del Río Grande de la Magdalena</w:t>
      </w:r>
    </w:p>
    <w:p w14:paraId="05F3AC5F" w14:textId="77777777" w:rsidR="0056031B" w:rsidRPr="00BD1319" w:rsidRDefault="0056031B" w:rsidP="00121B89">
      <w:pPr>
        <w:numPr>
          <w:ilvl w:val="12"/>
          <w:numId w:val="0"/>
        </w:numPr>
        <w:tabs>
          <w:tab w:val="left" w:pos="-2268"/>
        </w:tabs>
        <w:suppressAutoHyphens/>
        <w:rPr>
          <w:rFonts w:cs="Arial"/>
        </w:rPr>
      </w:pPr>
    </w:p>
    <w:p w14:paraId="5E3E09EF" w14:textId="77777777" w:rsidR="0056031B" w:rsidRPr="00BD1319" w:rsidRDefault="0056031B">
      <w:pPr>
        <w:numPr>
          <w:ilvl w:val="12"/>
          <w:numId w:val="0"/>
        </w:numPr>
        <w:tabs>
          <w:tab w:val="left" w:pos="-2268"/>
        </w:tabs>
        <w:suppressAutoHyphens/>
      </w:pPr>
      <w:r w:rsidRPr="00BD1319">
        <w:rPr>
          <w:b/>
        </w:rPr>
        <w:t>DAA</w:t>
      </w:r>
      <w:r w:rsidRPr="00BD1319">
        <w:t>: Diagnóstico Ambiental de Alternativas</w:t>
      </w:r>
    </w:p>
    <w:p w14:paraId="22516FF0" w14:textId="77777777" w:rsidR="0056031B" w:rsidRPr="00BD1319" w:rsidRDefault="0056031B">
      <w:pPr>
        <w:numPr>
          <w:ilvl w:val="12"/>
          <w:numId w:val="0"/>
        </w:numPr>
        <w:tabs>
          <w:tab w:val="left" w:pos="-2268"/>
        </w:tabs>
        <w:suppressAutoHyphens/>
      </w:pPr>
    </w:p>
    <w:p w14:paraId="0D0FF882" w14:textId="77777777" w:rsidR="0056031B" w:rsidRPr="00BD1319" w:rsidRDefault="0056031B">
      <w:pPr>
        <w:numPr>
          <w:ilvl w:val="12"/>
          <w:numId w:val="0"/>
        </w:numPr>
        <w:tabs>
          <w:tab w:val="left" w:pos="-2268"/>
        </w:tabs>
        <w:suppressAutoHyphens/>
      </w:pPr>
      <w:r w:rsidRPr="00BD1319">
        <w:rPr>
          <w:b/>
        </w:rPr>
        <w:t>DANE</w:t>
      </w:r>
      <w:r w:rsidRPr="00BD1319">
        <w:t>: Departamento Administrativo Nacional de Estadística</w:t>
      </w:r>
    </w:p>
    <w:p w14:paraId="74458A03" w14:textId="77777777" w:rsidR="0056031B" w:rsidRPr="00BD1319" w:rsidRDefault="0056031B">
      <w:pPr>
        <w:numPr>
          <w:ilvl w:val="12"/>
          <w:numId w:val="0"/>
        </w:numPr>
        <w:tabs>
          <w:tab w:val="left" w:pos="-2268"/>
        </w:tabs>
        <w:suppressAutoHyphens/>
      </w:pPr>
    </w:p>
    <w:p w14:paraId="38BD4F2C" w14:textId="77777777" w:rsidR="0056031B" w:rsidRPr="00BD1319" w:rsidRDefault="0056031B">
      <w:pPr>
        <w:numPr>
          <w:ilvl w:val="12"/>
          <w:numId w:val="0"/>
        </w:numPr>
        <w:tabs>
          <w:tab w:val="left" w:pos="-2268"/>
        </w:tabs>
        <w:suppressAutoHyphens/>
      </w:pPr>
      <w:r w:rsidRPr="00BD1319">
        <w:rPr>
          <w:b/>
        </w:rPr>
        <w:t>DAP</w:t>
      </w:r>
      <w:r w:rsidRPr="00BD1319">
        <w:t>: Diámetro a la Altura del Pecho</w:t>
      </w:r>
    </w:p>
    <w:p w14:paraId="4B0334CF" w14:textId="77777777" w:rsidR="0056031B" w:rsidRPr="00BD1319" w:rsidRDefault="0056031B">
      <w:pPr>
        <w:numPr>
          <w:ilvl w:val="12"/>
          <w:numId w:val="0"/>
        </w:numPr>
        <w:tabs>
          <w:tab w:val="left" w:pos="-2268"/>
        </w:tabs>
        <w:suppressAutoHyphens/>
      </w:pPr>
    </w:p>
    <w:p w14:paraId="51930A73" w14:textId="1727C59D" w:rsidR="0056031B" w:rsidRPr="00BD1319" w:rsidRDefault="0056031B">
      <w:pPr>
        <w:numPr>
          <w:ilvl w:val="12"/>
          <w:numId w:val="0"/>
        </w:numPr>
        <w:tabs>
          <w:tab w:val="left" w:pos="-2268"/>
        </w:tabs>
        <w:suppressAutoHyphens/>
      </w:pPr>
      <w:r w:rsidRPr="00BD1319">
        <w:rPr>
          <w:b/>
        </w:rPr>
        <w:t>Dimar</w:t>
      </w:r>
      <w:r w:rsidRPr="00BD1319">
        <w:t xml:space="preserve">: Dirección </w:t>
      </w:r>
      <w:r w:rsidR="001E204A" w:rsidRPr="00BD1319">
        <w:t>g</w:t>
      </w:r>
      <w:r w:rsidRPr="00BD1319">
        <w:t xml:space="preserve">eneral </w:t>
      </w:r>
      <w:r w:rsidR="001E204A" w:rsidRPr="00BD1319">
        <w:t>m</w:t>
      </w:r>
      <w:r w:rsidRPr="00BD1319">
        <w:t>arítima</w:t>
      </w:r>
    </w:p>
    <w:p w14:paraId="390D99F7" w14:textId="77777777" w:rsidR="0056031B" w:rsidRPr="00BD1319" w:rsidRDefault="0056031B">
      <w:pPr>
        <w:numPr>
          <w:ilvl w:val="12"/>
          <w:numId w:val="0"/>
        </w:numPr>
        <w:tabs>
          <w:tab w:val="left" w:pos="-2268"/>
        </w:tabs>
        <w:suppressAutoHyphens/>
      </w:pPr>
    </w:p>
    <w:p w14:paraId="1104B1DA" w14:textId="77777777" w:rsidR="0056031B" w:rsidRPr="00BD1319" w:rsidRDefault="0056031B">
      <w:pPr>
        <w:numPr>
          <w:ilvl w:val="12"/>
          <w:numId w:val="0"/>
        </w:numPr>
        <w:tabs>
          <w:tab w:val="left" w:pos="-2268"/>
        </w:tabs>
        <w:suppressAutoHyphens/>
      </w:pPr>
      <w:r w:rsidRPr="00BD1319">
        <w:rPr>
          <w:b/>
        </w:rPr>
        <w:t>DNP</w:t>
      </w:r>
      <w:r w:rsidRPr="00BD1319">
        <w:t>: Departamento Nacional de Planeación</w:t>
      </w:r>
    </w:p>
    <w:p w14:paraId="77636051" w14:textId="77777777" w:rsidR="0056031B" w:rsidRPr="00BD1319" w:rsidRDefault="0056031B">
      <w:pPr>
        <w:numPr>
          <w:ilvl w:val="12"/>
          <w:numId w:val="0"/>
        </w:numPr>
        <w:tabs>
          <w:tab w:val="left" w:pos="-2268"/>
        </w:tabs>
        <w:suppressAutoHyphens/>
      </w:pPr>
    </w:p>
    <w:p w14:paraId="7C27A406" w14:textId="77777777" w:rsidR="0056031B" w:rsidRPr="00BD1319" w:rsidRDefault="0056031B">
      <w:pPr>
        <w:numPr>
          <w:ilvl w:val="12"/>
          <w:numId w:val="0"/>
        </w:numPr>
        <w:tabs>
          <w:tab w:val="left" w:pos="-2268"/>
        </w:tabs>
        <w:suppressAutoHyphens/>
      </w:pPr>
      <w:r w:rsidRPr="00BD1319">
        <w:rPr>
          <w:b/>
        </w:rPr>
        <w:t>EEA</w:t>
      </w:r>
      <w:r w:rsidRPr="00BD1319">
        <w:t>: Evaluación Económica Ambiental</w:t>
      </w:r>
    </w:p>
    <w:p w14:paraId="3E5E7855" w14:textId="77777777" w:rsidR="0056031B" w:rsidRPr="00BD1319" w:rsidRDefault="0056031B">
      <w:pPr>
        <w:numPr>
          <w:ilvl w:val="12"/>
          <w:numId w:val="0"/>
        </w:numPr>
        <w:tabs>
          <w:tab w:val="left" w:pos="-2268"/>
        </w:tabs>
        <w:suppressAutoHyphens/>
      </w:pPr>
    </w:p>
    <w:p w14:paraId="17CC845A" w14:textId="77777777" w:rsidR="0056031B" w:rsidRPr="00BD1319" w:rsidRDefault="0056031B">
      <w:pPr>
        <w:numPr>
          <w:ilvl w:val="12"/>
          <w:numId w:val="0"/>
        </w:numPr>
        <w:tabs>
          <w:tab w:val="left" w:pos="-2268"/>
        </w:tabs>
        <w:suppressAutoHyphens/>
      </w:pPr>
      <w:r w:rsidRPr="00BD1319">
        <w:rPr>
          <w:b/>
        </w:rPr>
        <w:t>EIA</w:t>
      </w:r>
      <w:r w:rsidRPr="00BD1319">
        <w:t>: Estudio de Impacto Ambiental</w:t>
      </w:r>
    </w:p>
    <w:p w14:paraId="257420C5" w14:textId="77777777" w:rsidR="0056031B" w:rsidRPr="00BD1319" w:rsidRDefault="0056031B">
      <w:pPr>
        <w:numPr>
          <w:ilvl w:val="12"/>
          <w:numId w:val="0"/>
        </w:numPr>
        <w:tabs>
          <w:tab w:val="left" w:pos="-2268"/>
        </w:tabs>
        <w:suppressAutoHyphens/>
      </w:pPr>
    </w:p>
    <w:p w14:paraId="1BFE2213" w14:textId="77777777" w:rsidR="0056031B" w:rsidRPr="00BD1319" w:rsidRDefault="0056031B">
      <w:pPr>
        <w:numPr>
          <w:ilvl w:val="12"/>
          <w:numId w:val="0"/>
        </w:numPr>
        <w:tabs>
          <w:tab w:val="left" w:pos="-2268"/>
        </w:tabs>
        <w:suppressAutoHyphens/>
      </w:pPr>
      <w:r w:rsidRPr="00BD1319">
        <w:rPr>
          <w:b/>
        </w:rPr>
        <w:t>EMC</w:t>
      </w:r>
      <w:r w:rsidRPr="00BD1319">
        <w:t>: Evaluación Multicriterio</w:t>
      </w:r>
    </w:p>
    <w:p w14:paraId="11CC8E2D" w14:textId="77777777" w:rsidR="0056031B" w:rsidRPr="00BD1319" w:rsidRDefault="0056031B">
      <w:pPr>
        <w:numPr>
          <w:ilvl w:val="12"/>
          <w:numId w:val="0"/>
        </w:numPr>
        <w:tabs>
          <w:tab w:val="left" w:pos="-2268"/>
        </w:tabs>
        <w:suppressAutoHyphens/>
      </w:pPr>
    </w:p>
    <w:p w14:paraId="7F6E0146" w14:textId="77777777" w:rsidR="0056031B" w:rsidRPr="00BD1319" w:rsidRDefault="0056031B">
      <w:pPr>
        <w:numPr>
          <w:ilvl w:val="12"/>
          <w:numId w:val="0"/>
        </w:numPr>
        <w:tabs>
          <w:tab w:val="left" w:pos="-2268"/>
        </w:tabs>
        <w:suppressAutoHyphens/>
      </w:pPr>
      <w:r w:rsidRPr="00BD1319">
        <w:rPr>
          <w:b/>
        </w:rPr>
        <w:t>EOT</w:t>
      </w:r>
      <w:r w:rsidRPr="00BD1319">
        <w:t>: Esquema de Ordenamiento Territorial</w:t>
      </w:r>
    </w:p>
    <w:p w14:paraId="66DF85BE" w14:textId="77777777" w:rsidR="0056031B" w:rsidRPr="00BD1319" w:rsidRDefault="0056031B">
      <w:pPr>
        <w:numPr>
          <w:ilvl w:val="12"/>
          <w:numId w:val="0"/>
        </w:numPr>
        <w:tabs>
          <w:tab w:val="left" w:pos="-2268"/>
        </w:tabs>
        <w:suppressAutoHyphens/>
      </w:pPr>
    </w:p>
    <w:p w14:paraId="3A33DA7C" w14:textId="77777777" w:rsidR="0056031B" w:rsidRPr="00BD1319" w:rsidRDefault="0056031B">
      <w:pPr>
        <w:numPr>
          <w:ilvl w:val="12"/>
          <w:numId w:val="0"/>
        </w:numPr>
        <w:tabs>
          <w:tab w:val="left" w:pos="-2268"/>
        </w:tabs>
        <w:suppressAutoHyphens/>
      </w:pPr>
      <w:r w:rsidRPr="00BD1319">
        <w:rPr>
          <w:b/>
        </w:rPr>
        <w:t>ERA</w:t>
      </w:r>
      <w:r w:rsidRPr="00BD1319">
        <w:t>: Evaluación Regional del Agua</w:t>
      </w:r>
    </w:p>
    <w:p w14:paraId="6FF3565A" w14:textId="77777777" w:rsidR="0056031B" w:rsidRPr="00BD1319" w:rsidRDefault="0056031B">
      <w:pPr>
        <w:numPr>
          <w:ilvl w:val="12"/>
          <w:numId w:val="0"/>
        </w:numPr>
        <w:tabs>
          <w:tab w:val="left" w:pos="-2268"/>
        </w:tabs>
        <w:suppressAutoHyphens/>
      </w:pPr>
    </w:p>
    <w:p w14:paraId="72518ADB" w14:textId="6C44726F" w:rsidR="0056031B" w:rsidRPr="00BD1319" w:rsidRDefault="0056031B">
      <w:pPr>
        <w:numPr>
          <w:ilvl w:val="12"/>
          <w:numId w:val="0"/>
        </w:numPr>
        <w:tabs>
          <w:tab w:val="left" w:pos="-2268"/>
        </w:tabs>
        <w:suppressAutoHyphens/>
      </w:pPr>
      <w:proofErr w:type="spellStart"/>
      <w:r w:rsidRPr="00BD1319">
        <w:rPr>
          <w:b/>
        </w:rPr>
        <w:t>Funias</w:t>
      </w:r>
      <w:proofErr w:type="spellEnd"/>
      <w:r w:rsidRPr="00BD1319">
        <w:t xml:space="preserve">: Formulario </w:t>
      </w:r>
      <w:r w:rsidR="0068186F" w:rsidRPr="00BD1319">
        <w:t>ú</w:t>
      </w:r>
      <w:r w:rsidRPr="00BD1319">
        <w:t xml:space="preserve">nico </w:t>
      </w:r>
      <w:r w:rsidR="0068186F" w:rsidRPr="00BD1319">
        <w:t>n</w:t>
      </w:r>
      <w:r w:rsidRPr="00BD1319">
        <w:t xml:space="preserve">acional para </w:t>
      </w:r>
      <w:r w:rsidR="0068186F" w:rsidRPr="00BD1319">
        <w:t>i</w:t>
      </w:r>
      <w:r w:rsidRPr="00BD1319">
        <w:t xml:space="preserve">nventario de puntos de </w:t>
      </w:r>
      <w:r w:rsidR="0068186F" w:rsidRPr="00BD1319">
        <w:t>a</w:t>
      </w:r>
      <w:r w:rsidRPr="00BD1319">
        <w:t xml:space="preserve">gua </w:t>
      </w:r>
      <w:r w:rsidR="0068186F" w:rsidRPr="00BD1319">
        <w:t>s</w:t>
      </w:r>
      <w:r w:rsidRPr="00BD1319">
        <w:t>ubterránea</w:t>
      </w:r>
    </w:p>
    <w:p w14:paraId="714B0BCE" w14:textId="77777777" w:rsidR="0056031B" w:rsidRPr="00BD1319" w:rsidRDefault="0056031B">
      <w:pPr>
        <w:numPr>
          <w:ilvl w:val="12"/>
          <w:numId w:val="0"/>
        </w:numPr>
        <w:tabs>
          <w:tab w:val="left" w:pos="-2268"/>
        </w:tabs>
        <w:suppressAutoHyphens/>
      </w:pPr>
    </w:p>
    <w:p w14:paraId="3D48DC29" w14:textId="77777777" w:rsidR="0056031B" w:rsidRPr="00BD1319" w:rsidRDefault="0056031B">
      <w:pPr>
        <w:numPr>
          <w:ilvl w:val="12"/>
          <w:numId w:val="0"/>
        </w:numPr>
        <w:tabs>
          <w:tab w:val="left" w:pos="-2268"/>
        </w:tabs>
        <w:suppressAutoHyphens/>
      </w:pPr>
      <w:r w:rsidRPr="00BD1319">
        <w:rPr>
          <w:b/>
        </w:rPr>
        <w:t>GEI</w:t>
      </w:r>
      <w:r w:rsidRPr="00BD1319">
        <w:t>: Gas de Efecto Invernadero</w:t>
      </w:r>
    </w:p>
    <w:p w14:paraId="3CF17C65" w14:textId="77777777" w:rsidR="0056031B" w:rsidRPr="00BD1319" w:rsidRDefault="0056031B">
      <w:pPr>
        <w:numPr>
          <w:ilvl w:val="12"/>
          <w:numId w:val="0"/>
        </w:numPr>
        <w:tabs>
          <w:tab w:val="left" w:pos="-2268"/>
        </w:tabs>
        <w:suppressAutoHyphens/>
      </w:pPr>
    </w:p>
    <w:p w14:paraId="2F32DA40" w14:textId="77777777" w:rsidR="0056031B" w:rsidRPr="00BD1319" w:rsidRDefault="0056031B">
      <w:pPr>
        <w:numPr>
          <w:ilvl w:val="12"/>
          <w:numId w:val="0"/>
        </w:numPr>
        <w:tabs>
          <w:tab w:val="left" w:pos="-2268"/>
        </w:tabs>
        <w:suppressAutoHyphens/>
      </w:pPr>
      <w:r w:rsidRPr="00BD1319">
        <w:rPr>
          <w:b/>
        </w:rPr>
        <w:t>ICANH</w:t>
      </w:r>
      <w:r w:rsidRPr="00BD1319">
        <w:t>: Instituto Colombiano de Antropología e Historia</w:t>
      </w:r>
    </w:p>
    <w:p w14:paraId="601E09E3" w14:textId="77777777" w:rsidR="0056031B" w:rsidRPr="00BD1319" w:rsidRDefault="0056031B">
      <w:pPr>
        <w:numPr>
          <w:ilvl w:val="12"/>
          <w:numId w:val="0"/>
        </w:numPr>
        <w:tabs>
          <w:tab w:val="left" w:pos="-2268"/>
        </w:tabs>
        <w:suppressAutoHyphens/>
      </w:pPr>
    </w:p>
    <w:p w14:paraId="4CEB9C6C" w14:textId="77777777" w:rsidR="0056031B" w:rsidRPr="00BD1319" w:rsidRDefault="0056031B">
      <w:pPr>
        <w:numPr>
          <w:ilvl w:val="12"/>
          <w:numId w:val="0"/>
        </w:numPr>
        <w:tabs>
          <w:tab w:val="left" w:pos="-2268"/>
        </w:tabs>
        <w:suppressAutoHyphens/>
      </w:pPr>
      <w:r w:rsidRPr="00BD1319">
        <w:rPr>
          <w:b/>
        </w:rPr>
        <w:t>ICN</w:t>
      </w:r>
      <w:r w:rsidRPr="00BD1319">
        <w:t>: Instituto de Ciencias Naturales de la Universidad Nacional de Colombia</w:t>
      </w:r>
    </w:p>
    <w:p w14:paraId="21337E15" w14:textId="77777777" w:rsidR="0056031B" w:rsidRPr="00BD1319" w:rsidRDefault="0056031B">
      <w:pPr>
        <w:numPr>
          <w:ilvl w:val="12"/>
          <w:numId w:val="0"/>
        </w:numPr>
        <w:tabs>
          <w:tab w:val="left" w:pos="-2268"/>
        </w:tabs>
        <w:suppressAutoHyphens/>
      </w:pPr>
    </w:p>
    <w:p w14:paraId="05DCA68B" w14:textId="57778001" w:rsidR="0056031B" w:rsidRPr="00BD1319" w:rsidRDefault="0056031B">
      <w:pPr>
        <w:numPr>
          <w:ilvl w:val="12"/>
          <w:numId w:val="0"/>
        </w:numPr>
        <w:tabs>
          <w:tab w:val="left" w:pos="-2268"/>
        </w:tabs>
        <w:suppressAutoHyphens/>
      </w:pPr>
      <w:proofErr w:type="spellStart"/>
      <w:r w:rsidRPr="00BD1319">
        <w:rPr>
          <w:b/>
        </w:rPr>
        <w:t>Ideam</w:t>
      </w:r>
      <w:proofErr w:type="spellEnd"/>
      <w:r w:rsidRPr="00BD1319">
        <w:t xml:space="preserve">: Instituto de </w:t>
      </w:r>
      <w:r w:rsidR="0068186F" w:rsidRPr="00BD1319">
        <w:t>h</w:t>
      </w:r>
      <w:r w:rsidRPr="00BD1319">
        <w:t xml:space="preserve">idrología, </w:t>
      </w:r>
      <w:r w:rsidR="0068186F" w:rsidRPr="00BD1319">
        <w:t>m</w:t>
      </w:r>
      <w:r w:rsidRPr="00BD1319">
        <w:t xml:space="preserve">eteorología y </w:t>
      </w:r>
      <w:r w:rsidR="0068186F" w:rsidRPr="00BD1319">
        <w:t>e</w:t>
      </w:r>
      <w:r w:rsidRPr="00BD1319">
        <w:t xml:space="preserve">studios </w:t>
      </w:r>
      <w:r w:rsidR="0068186F" w:rsidRPr="00BD1319">
        <w:t>a</w:t>
      </w:r>
      <w:r w:rsidRPr="00BD1319">
        <w:t>mbientales</w:t>
      </w:r>
    </w:p>
    <w:p w14:paraId="3DCD0FA7" w14:textId="77777777" w:rsidR="0056031B" w:rsidRPr="00BD1319" w:rsidRDefault="0056031B">
      <w:pPr>
        <w:numPr>
          <w:ilvl w:val="12"/>
          <w:numId w:val="0"/>
        </w:numPr>
        <w:tabs>
          <w:tab w:val="left" w:pos="-2268"/>
        </w:tabs>
        <w:suppressAutoHyphens/>
      </w:pPr>
    </w:p>
    <w:p w14:paraId="7CEDC4A9" w14:textId="77777777" w:rsidR="0056031B" w:rsidRPr="00BD1319" w:rsidRDefault="0056031B">
      <w:pPr>
        <w:numPr>
          <w:ilvl w:val="12"/>
          <w:numId w:val="0"/>
        </w:numPr>
        <w:tabs>
          <w:tab w:val="left" w:pos="-2268"/>
        </w:tabs>
        <w:suppressAutoHyphens/>
      </w:pPr>
      <w:r w:rsidRPr="00BD1319">
        <w:rPr>
          <w:b/>
        </w:rPr>
        <w:t>IGAC</w:t>
      </w:r>
      <w:r w:rsidRPr="00BD1319">
        <w:t>: Instituto Geográfico Agustín Codazzi</w:t>
      </w:r>
    </w:p>
    <w:p w14:paraId="65263BD1" w14:textId="77777777" w:rsidR="0056031B" w:rsidRPr="00BD1319" w:rsidRDefault="0056031B">
      <w:pPr>
        <w:numPr>
          <w:ilvl w:val="12"/>
          <w:numId w:val="0"/>
        </w:numPr>
        <w:tabs>
          <w:tab w:val="left" w:pos="-2268"/>
        </w:tabs>
        <w:suppressAutoHyphens/>
      </w:pPr>
    </w:p>
    <w:p w14:paraId="489E8101" w14:textId="77777777" w:rsidR="0056031B" w:rsidRPr="00BD1319" w:rsidRDefault="0056031B">
      <w:pPr>
        <w:numPr>
          <w:ilvl w:val="12"/>
          <w:numId w:val="0"/>
        </w:numPr>
        <w:tabs>
          <w:tab w:val="left" w:pos="-2268"/>
        </w:tabs>
        <w:suppressAutoHyphens/>
      </w:pPr>
      <w:r w:rsidRPr="00BD1319">
        <w:rPr>
          <w:b/>
        </w:rPr>
        <w:t>IIAP</w:t>
      </w:r>
      <w:r w:rsidRPr="00BD1319">
        <w:t xml:space="preserve">: Instituto de Investigaciones Ambientales del Pacífico John </w:t>
      </w:r>
      <w:proofErr w:type="spellStart"/>
      <w:r w:rsidRPr="00BD1319">
        <w:t>Von</w:t>
      </w:r>
      <w:proofErr w:type="spellEnd"/>
      <w:r w:rsidRPr="00BD1319">
        <w:t xml:space="preserve"> Neumann</w:t>
      </w:r>
    </w:p>
    <w:p w14:paraId="7E76D896" w14:textId="77777777" w:rsidR="0056031B" w:rsidRPr="00BD1319" w:rsidRDefault="0056031B">
      <w:pPr>
        <w:numPr>
          <w:ilvl w:val="12"/>
          <w:numId w:val="0"/>
        </w:numPr>
        <w:tabs>
          <w:tab w:val="left" w:pos="-2268"/>
        </w:tabs>
        <w:suppressAutoHyphens/>
      </w:pPr>
    </w:p>
    <w:p w14:paraId="4D5E93C1" w14:textId="20CFAFBB" w:rsidR="0056031B" w:rsidRPr="00BD1319" w:rsidRDefault="0056031B">
      <w:pPr>
        <w:numPr>
          <w:ilvl w:val="12"/>
          <w:numId w:val="0"/>
        </w:numPr>
        <w:tabs>
          <w:tab w:val="left" w:pos="-2268"/>
        </w:tabs>
        <w:suppressAutoHyphens/>
      </w:pPr>
      <w:r w:rsidRPr="00BD1319">
        <w:rPr>
          <w:b/>
        </w:rPr>
        <w:t>Instituto Humboldt</w:t>
      </w:r>
      <w:r w:rsidRPr="00BD1319">
        <w:t xml:space="preserve">: Instituto de </w:t>
      </w:r>
      <w:r w:rsidR="0068186F" w:rsidRPr="00BD1319">
        <w:t>i</w:t>
      </w:r>
      <w:r w:rsidRPr="00BD1319">
        <w:t xml:space="preserve">nvestigación de </w:t>
      </w:r>
      <w:r w:rsidR="0068186F" w:rsidRPr="00BD1319">
        <w:t>r</w:t>
      </w:r>
      <w:r w:rsidRPr="00BD1319">
        <w:t xml:space="preserve">ecursos </w:t>
      </w:r>
      <w:r w:rsidR="0068186F" w:rsidRPr="00BD1319">
        <w:t>b</w:t>
      </w:r>
      <w:r w:rsidRPr="00BD1319">
        <w:t xml:space="preserve">iológicos Alexander </w:t>
      </w:r>
      <w:proofErr w:type="spellStart"/>
      <w:r w:rsidRPr="00BD1319">
        <w:t>von</w:t>
      </w:r>
      <w:proofErr w:type="spellEnd"/>
      <w:r w:rsidRPr="00BD1319">
        <w:t xml:space="preserve"> Humboldt</w:t>
      </w:r>
    </w:p>
    <w:p w14:paraId="03C7D5B7" w14:textId="67FF7E4C" w:rsidR="0056031B" w:rsidRPr="00BD1319" w:rsidRDefault="0056031B">
      <w:pPr>
        <w:numPr>
          <w:ilvl w:val="12"/>
          <w:numId w:val="0"/>
        </w:numPr>
        <w:tabs>
          <w:tab w:val="left" w:pos="-2268"/>
        </w:tabs>
        <w:suppressAutoHyphens/>
      </w:pPr>
    </w:p>
    <w:p w14:paraId="245E727F" w14:textId="79FAD15C" w:rsidR="0056031B" w:rsidRPr="00BD1319" w:rsidRDefault="0056031B" w:rsidP="006E2E3F">
      <w:pPr>
        <w:numPr>
          <w:ilvl w:val="12"/>
          <w:numId w:val="0"/>
        </w:numPr>
        <w:tabs>
          <w:tab w:val="left" w:pos="-2268"/>
        </w:tabs>
        <w:suppressAutoHyphens/>
      </w:pPr>
      <w:r w:rsidRPr="00BD1319">
        <w:rPr>
          <w:b/>
        </w:rPr>
        <w:t>Instituto Sinchi</w:t>
      </w:r>
      <w:r w:rsidRPr="00BD1319">
        <w:t xml:space="preserve">: Instituto </w:t>
      </w:r>
      <w:r w:rsidR="0068186F" w:rsidRPr="00BD1319">
        <w:t>a</w:t>
      </w:r>
      <w:r w:rsidRPr="00BD1319">
        <w:t xml:space="preserve">mazónico de </w:t>
      </w:r>
      <w:r w:rsidR="0068186F" w:rsidRPr="00BD1319">
        <w:t>i</w:t>
      </w:r>
      <w:r w:rsidRPr="00BD1319">
        <w:t xml:space="preserve">nvestigaciones </w:t>
      </w:r>
      <w:r w:rsidR="0068186F" w:rsidRPr="00BD1319">
        <w:t>c</w:t>
      </w:r>
      <w:r w:rsidRPr="00BD1319">
        <w:t>ientíficas Sinchi</w:t>
      </w:r>
    </w:p>
    <w:p w14:paraId="2745DCE3" w14:textId="77777777" w:rsidR="0056031B" w:rsidRPr="00BD1319" w:rsidRDefault="0056031B" w:rsidP="006E2E3F">
      <w:pPr>
        <w:numPr>
          <w:ilvl w:val="12"/>
          <w:numId w:val="0"/>
        </w:numPr>
        <w:tabs>
          <w:tab w:val="left" w:pos="-2268"/>
        </w:tabs>
        <w:suppressAutoHyphens/>
      </w:pPr>
    </w:p>
    <w:p w14:paraId="565B41A2" w14:textId="4034989D" w:rsidR="0056031B" w:rsidRPr="00BD1319" w:rsidRDefault="0056031B">
      <w:pPr>
        <w:numPr>
          <w:ilvl w:val="12"/>
          <w:numId w:val="0"/>
        </w:numPr>
        <w:tabs>
          <w:tab w:val="left" w:pos="-2268"/>
        </w:tabs>
        <w:suppressAutoHyphens/>
      </w:pPr>
      <w:proofErr w:type="spellStart"/>
      <w:r w:rsidRPr="00BD1319">
        <w:rPr>
          <w:b/>
        </w:rPr>
        <w:lastRenderedPageBreak/>
        <w:t>Invemar</w:t>
      </w:r>
      <w:proofErr w:type="spellEnd"/>
      <w:r w:rsidRPr="00BD1319">
        <w:t xml:space="preserve">: Instituto de </w:t>
      </w:r>
      <w:r w:rsidR="0068186F" w:rsidRPr="00BD1319">
        <w:t>i</w:t>
      </w:r>
      <w:r w:rsidRPr="00BD1319">
        <w:t xml:space="preserve">nvestigaciones </w:t>
      </w:r>
      <w:r w:rsidR="0068186F" w:rsidRPr="00BD1319">
        <w:t>m</w:t>
      </w:r>
      <w:r w:rsidRPr="00BD1319">
        <w:t xml:space="preserve">arinas y </w:t>
      </w:r>
      <w:r w:rsidR="0068186F" w:rsidRPr="00BD1319">
        <w:t>c</w:t>
      </w:r>
      <w:r w:rsidRPr="00BD1319">
        <w:t xml:space="preserve">osteras “José Benito Vives de </w:t>
      </w:r>
      <w:proofErr w:type="spellStart"/>
      <w:r w:rsidRPr="00BD1319">
        <w:t>Andréis</w:t>
      </w:r>
      <w:proofErr w:type="spellEnd"/>
      <w:r w:rsidRPr="00BD1319">
        <w:t>”</w:t>
      </w:r>
    </w:p>
    <w:p w14:paraId="14878AAE" w14:textId="77777777" w:rsidR="0056031B" w:rsidRPr="00BD1319" w:rsidRDefault="0056031B">
      <w:pPr>
        <w:numPr>
          <w:ilvl w:val="12"/>
          <w:numId w:val="0"/>
        </w:numPr>
        <w:tabs>
          <w:tab w:val="left" w:pos="-2268"/>
        </w:tabs>
        <w:suppressAutoHyphens/>
      </w:pPr>
    </w:p>
    <w:p w14:paraId="05F1D958" w14:textId="77777777" w:rsidR="0056031B" w:rsidRPr="00BD1319" w:rsidRDefault="0056031B">
      <w:pPr>
        <w:numPr>
          <w:ilvl w:val="12"/>
          <w:numId w:val="0"/>
        </w:numPr>
        <w:tabs>
          <w:tab w:val="left" w:pos="-2268"/>
        </w:tabs>
        <w:suppressAutoHyphens/>
      </w:pPr>
      <w:r w:rsidRPr="00BD1319">
        <w:rPr>
          <w:b/>
        </w:rPr>
        <w:t>IRH</w:t>
      </w:r>
      <w:r w:rsidRPr="00BD1319">
        <w:t>: Índice de Retención y Regulación Hídrica</w:t>
      </w:r>
    </w:p>
    <w:p w14:paraId="65B8ED0F" w14:textId="77777777" w:rsidR="0056031B" w:rsidRPr="00BD1319" w:rsidRDefault="0056031B">
      <w:pPr>
        <w:numPr>
          <w:ilvl w:val="12"/>
          <w:numId w:val="0"/>
        </w:numPr>
        <w:tabs>
          <w:tab w:val="left" w:pos="-2268"/>
        </w:tabs>
        <w:suppressAutoHyphens/>
      </w:pPr>
    </w:p>
    <w:p w14:paraId="2A2BB141" w14:textId="02CC9F30" w:rsidR="0056031B" w:rsidRPr="00BD1319" w:rsidRDefault="0056031B" w:rsidP="00FA60FE">
      <w:pPr>
        <w:numPr>
          <w:ilvl w:val="12"/>
          <w:numId w:val="0"/>
        </w:numPr>
        <w:tabs>
          <w:tab w:val="left" w:pos="-2268"/>
        </w:tabs>
        <w:suppressAutoHyphens/>
        <w:rPr>
          <w:rFonts w:cs="Arial"/>
          <w:bCs/>
        </w:rPr>
      </w:pPr>
      <w:r w:rsidRPr="00BD1319">
        <w:rPr>
          <w:rFonts w:cs="Arial"/>
          <w:b/>
        </w:rPr>
        <w:t>MAG</w:t>
      </w:r>
      <w:r w:rsidRPr="00BD1319">
        <w:rPr>
          <w:rFonts w:cs="Arial"/>
        </w:rPr>
        <w:t xml:space="preserve">: </w:t>
      </w:r>
      <w:r w:rsidRPr="00BD1319">
        <w:rPr>
          <w:rFonts w:cs="Arial"/>
          <w:bCs/>
        </w:rPr>
        <w:t>Modelo de Almacenamiento Geográfico</w:t>
      </w:r>
    </w:p>
    <w:p w14:paraId="701CE42A" w14:textId="77777777" w:rsidR="0056031B" w:rsidRPr="00BD1319" w:rsidRDefault="0056031B" w:rsidP="00FA60FE">
      <w:pPr>
        <w:numPr>
          <w:ilvl w:val="12"/>
          <w:numId w:val="0"/>
        </w:numPr>
        <w:tabs>
          <w:tab w:val="left" w:pos="-2268"/>
        </w:tabs>
        <w:suppressAutoHyphens/>
        <w:rPr>
          <w:rFonts w:cs="Arial"/>
          <w:bCs/>
        </w:rPr>
      </w:pPr>
    </w:p>
    <w:p w14:paraId="693BCB80" w14:textId="77777777" w:rsidR="0056031B" w:rsidRPr="00BD1319" w:rsidRDefault="0056031B">
      <w:pPr>
        <w:numPr>
          <w:ilvl w:val="12"/>
          <w:numId w:val="0"/>
        </w:numPr>
        <w:tabs>
          <w:tab w:val="left" w:pos="-2268"/>
        </w:tabs>
        <w:suppressAutoHyphens/>
      </w:pPr>
      <w:r w:rsidRPr="00BD1319">
        <w:rPr>
          <w:b/>
        </w:rPr>
        <w:t>MAVDT</w:t>
      </w:r>
      <w:r w:rsidRPr="00BD1319">
        <w:t>: Ministerio de Ambiente, Vivienda y Desarrollo Territorial</w:t>
      </w:r>
    </w:p>
    <w:p w14:paraId="089CF7A3" w14:textId="77777777" w:rsidR="0056031B" w:rsidRPr="00BD1319" w:rsidRDefault="0056031B">
      <w:pPr>
        <w:numPr>
          <w:ilvl w:val="12"/>
          <w:numId w:val="0"/>
        </w:numPr>
        <w:tabs>
          <w:tab w:val="left" w:pos="-2268"/>
        </w:tabs>
        <w:suppressAutoHyphens/>
      </w:pPr>
    </w:p>
    <w:p w14:paraId="35FAD2E1" w14:textId="5CB837CC" w:rsidR="0056031B" w:rsidRPr="00BD1319" w:rsidRDefault="0056031B">
      <w:pPr>
        <w:numPr>
          <w:ilvl w:val="12"/>
          <w:numId w:val="0"/>
        </w:numPr>
        <w:tabs>
          <w:tab w:val="left" w:pos="-2268"/>
        </w:tabs>
        <w:suppressAutoHyphens/>
      </w:pPr>
      <w:r w:rsidRPr="00BD1319">
        <w:rPr>
          <w:b/>
        </w:rPr>
        <w:t>MEC</w:t>
      </w:r>
      <w:r w:rsidRPr="00BD1319">
        <w:t xml:space="preserve">: Mapa de </w:t>
      </w:r>
      <w:r w:rsidR="0068186F" w:rsidRPr="00BD1319">
        <w:t>e</w:t>
      </w:r>
      <w:r w:rsidRPr="00BD1319">
        <w:t xml:space="preserve">cosistemas </w:t>
      </w:r>
      <w:r w:rsidR="0068186F" w:rsidRPr="00BD1319">
        <w:t>c</w:t>
      </w:r>
      <w:r w:rsidRPr="00BD1319">
        <w:t xml:space="preserve">ontinentales, </w:t>
      </w:r>
      <w:r w:rsidR="0068186F" w:rsidRPr="00BD1319">
        <w:t>c</w:t>
      </w:r>
      <w:r w:rsidRPr="00BD1319">
        <w:t xml:space="preserve">osteros y </w:t>
      </w:r>
      <w:r w:rsidR="0068186F" w:rsidRPr="00BD1319">
        <w:t>m</w:t>
      </w:r>
      <w:r w:rsidRPr="00BD1319">
        <w:t>arinos de Colombia</w:t>
      </w:r>
    </w:p>
    <w:p w14:paraId="61DCF88D" w14:textId="77777777" w:rsidR="0056031B" w:rsidRPr="00BD1319" w:rsidRDefault="0056031B">
      <w:pPr>
        <w:numPr>
          <w:ilvl w:val="12"/>
          <w:numId w:val="0"/>
        </w:numPr>
        <w:tabs>
          <w:tab w:val="left" w:pos="-2268"/>
        </w:tabs>
        <w:suppressAutoHyphens/>
      </w:pPr>
    </w:p>
    <w:p w14:paraId="2B7932C4" w14:textId="53760EF0" w:rsidR="0043025C" w:rsidRPr="00BD1319" w:rsidRDefault="0043025C">
      <w:pPr>
        <w:numPr>
          <w:ilvl w:val="12"/>
          <w:numId w:val="0"/>
        </w:numPr>
        <w:tabs>
          <w:tab w:val="left" w:pos="-2268"/>
        </w:tabs>
        <w:suppressAutoHyphens/>
      </w:pPr>
      <w:r w:rsidRPr="00BD1319">
        <w:rPr>
          <w:b/>
          <w:bCs/>
        </w:rPr>
        <w:t>MGEPEA</w:t>
      </w:r>
      <w:r w:rsidRPr="00BD1319">
        <w:t>: Metodología General para la Elaboración y Presentación de Estudios Ambientales</w:t>
      </w:r>
    </w:p>
    <w:p w14:paraId="27CDD018" w14:textId="77777777" w:rsidR="0043025C" w:rsidRPr="00BD1319" w:rsidRDefault="0043025C">
      <w:pPr>
        <w:numPr>
          <w:ilvl w:val="12"/>
          <w:numId w:val="0"/>
        </w:numPr>
        <w:tabs>
          <w:tab w:val="left" w:pos="-2268"/>
        </w:tabs>
        <w:suppressAutoHyphens/>
      </w:pPr>
    </w:p>
    <w:p w14:paraId="7278D25C" w14:textId="77777777" w:rsidR="0056031B" w:rsidRPr="00BD1319" w:rsidRDefault="0056031B">
      <w:pPr>
        <w:numPr>
          <w:ilvl w:val="12"/>
          <w:numId w:val="0"/>
        </w:numPr>
        <w:tabs>
          <w:tab w:val="left" w:pos="-2268"/>
        </w:tabs>
        <w:suppressAutoHyphens/>
      </w:pPr>
      <w:r w:rsidRPr="00BD1319">
        <w:rPr>
          <w:b/>
        </w:rPr>
        <w:t>Minambiente</w:t>
      </w:r>
      <w:r w:rsidRPr="00BD1319">
        <w:t>: Ministerio de Ambiente y Desarrollo Sostenible</w:t>
      </w:r>
    </w:p>
    <w:p w14:paraId="0475DBE8" w14:textId="77777777" w:rsidR="0056031B" w:rsidRPr="00BD1319" w:rsidRDefault="0056031B">
      <w:pPr>
        <w:numPr>
          <w:ilvl w:val="12"/>
          <w:numId w:val="0"/>
        </w:numPr>
        <w:tabs>
          <w:tab w:val="left" w:pos="-2268"/>
        </w:tabs>
        <w:suppressAutoHyphens/>
      </w:pPr>
    </w:p>
    <w:p w14:paraId="202AFE59" w14:textId="224183B9" w:rsidR="0056031B" w:rsidRPr="00BD1319" w:rsidRDefault="0056031B">
      <w:pPr>
        <w:numPr>
          <w:ilvl w:val="12"/>
          <w:numId w:val="0"/>
        </w:numPr>
        <w:tabs>
          <w:tab w:val="left" w:pos="-2268"/>
        </w:tabs>
        <w:suppressAutoHyphens/>
      </w:pPr>
      <w:r w:rsidRPr="00BD1319">
        <w:rPr>
          <w:b/>
        </w:rPr>
        <w:t>NASA</w:t>
      </w:r>
      <w:r w:rsidRPr="00BD1319">
        <w:t>: Administración Nacional de Aeronáutica y el Espacio (por su sigla en inglés)</w:t>
      </w:r>
    </w:p>
    <w:p w14:paraId="62F4C58F" w14:textId="77777777" w:rsidR="0056031B" w:rsidRPr="00BD1319" w:rsidRDefault="0056031B">
      <w:pPr>
        <w:numPr>
          <w:ilvl w:val="12"/>
          <w:numId w:val="0"/>
        </w:numPr>
        <w:tabs>
          <w:tab w:val="left" w:pos="-2268"/>
        </w:tabs>
        <w:suppressAutoHyphens/>
      </w:pPr>
    </w:p>
    <w:p w14:paraId="2C6C579A" w14:textId="4667184A" w:rsidR="0056031B" w:rsidRPr="00BD1319" w:rsidRDefault="0056031B">
      <w:pPr>
        <w:numPr>
          <w:ilvl w:val="12"/>
          <w:numId w:val="0"/>
        </w:numPr>
        <w:tabs>
          <w:tab w:val="left" w:pos="-2268"/>
        </w:tabs>
        <w:suppressAutoHyphens/>
      </w:pPr>
      <w:r w:rsidRPr="00BD1319">
        <w:rPr>
          <w:b/>
        </w:rPr>
        <w:t>NOAA</w:t>
      </w:r>
      <w:r w:rsidRPr="00BD1319">
        <w:t>: Oficina Nacional de Administración Oceánica y Atmosférica (por su sigla en inglés)</w:t>
      </w:r>
    </w:p>
    <w:p w14:paraId="5565E380" w14:textId="77777777" w:rsidR="0056031B" w:rsidRPr="00BD1319" w:rsidRDefault="0056031B">
      <w:pPr>
        <w:numPr>
          <w:ilvl w:val="12"/>
          <w:numId w:val="0"/>
        </w:numPr>
        <w:tabs>
          <w:tab w:val="left" w:pos="-2268"/>
        </w:tabs>
        <w:suppressAutoHyphens/>
      </w:pPr>
    </w:p>
    <w:p w14:paraId="53697C6C" w14:textId="77777777" w:rsidR="0056031B" w:rsidRPr="00BD1319" w:rsidRDefault="0056031B">
      <w:pPr>
        <w:numPr>
          <w:ilvl w:val="12"/>
          <w:numId w:val="0"/>
        </w:numPr>
        <w:tabs>
          <w:tab w:val="left" w:pos="-2268"/>
        </w:tabs>
        <w:suppressAutoHyphens/>
        <w:rPr>
          <w:rFonts w:cs="Arial"/>
        </w:rPr>
      </w:pPr>
      <w:r w:rsidRPr="00BD1319">
        <w:rPr>
          <w:b/>
        </w:rPr>
        <w:t>OCDE</w:t>
      </w:r>
      <w:r w:rsidRPr="00BD1319">
        <w:t xml:space="preserve">: Organización para la Cooperación y el Desarrollo </w:t>
      </w:r>
      <w:r w:rsidRPr="00BD1319">
        <w:rPr>
          <w:rFonts w:cs="Arial"/>
        </w:rPr>
        <w:t>Económicos</w:t>
      </w:r>
    </w:p>
    <w:p w14:paraId="1A915ACB" w14:textId="77777777" w:rsidR="0056031B" w:rsidRPr="00BD1319" w:rsidRDefault="0056031B">
      <w:pPr>
        <w:numPr>
          <w:ilvl w:val="12"/>
          <w:numId w:val="0"/>
        </w:numPr>
        <w:tabs>
          <w:tab w:val="left" w:pos="-2268"/>
        </w:tabs>
        <w:suppressAutoHyphens/>
      </w:pPr>
    </w:p>
    <w:p w14:paraId="10D70E09" w14:textId="77777777" w:rsidR="0056031B" w:rsidRPr="00BD1319" w:rsidRDefault="0056031B">
      <w:pPr>
        <w:numPr>
          <w:ilvl w:val="12"/>
          <w:numId w:val="0"/>
        </w:numPr>
        <w:tabs>
          <w:tab w:val="left" w:pos="-2268"/>
        </w:tabs>
        <w:suppressAutoHyphens/>
        <w:rPr>
          <w:rFonts w:cs="Arial"/>
        </w:rPr>
      </w:pPr>
      <w:r w:rsidRPr="00BD1319">
        <w:rPr>
          <w:b/>
        </w:rPr>
        <w:t>ONG</w:t>
      </w:r>
      <w:r w:rsidRPr="00BD1319">
        <w:t xml:space="preserve">: Organización </w:t>
      </w:r>
      <w:r w:rsidRPr="00BD1319">
        <w:rPr>
          <w:rFonts w:cs="Arial"/>
        </w:rPr>
        <w:t>No Gubernamental</w:t>
      </w:r>
    </w:p>
    <w:p w14:paraId="505DC80C" w14:textId="77777777" w:rsidR="0056031B" w:rsidRPr="00BD1319" w:rsidRDefault="0056031B">
      <w:pPr>
        <w:numPr>
          <w:ilvl w:val="12"/>
          <w:numId w:val="0"/>
        </w:numPr>
        <w:tabs>
          <w:tab w:val="left" w:pos="-2268"/>
        </w:tabs>
        <w:suppressAutoHyphens/>
      </w:pPr>
    </w:p>
    <w:p w14:paraId="254217BC" w14:textId="77777777" w:rsidR="0056031B" w:rsidRPr="00BD1319" w:rsidRDefault="0056031B">
      <w:pPr>
        <w:numPr>
          <w:ilvl w:val="12"/>
          <w:numId w:val="0"/>
        </w:numPr>
        <w:tabs>
          <w:tab w:val="left" w:pos="-2268"/>
        </w:tabs>
        <w:suppressAutoHyphens/>
      </w:pPr>
      <w:r w:rsidRPr="00BD1319">
        <w:rPr>
          <w:b/>
        </w:rPr>
        <w:t>PBOT</w:t>
      </w:r>
      <w:r w:rsidRPr="00BD1319">
        <w:t>: Plan Básico de Ordenamiento Territorial</w:t>
      </w:r>
    </w:p>
    <w:p w14:paraId="3229A56B" w14:textId="77777777" w:rsidR="0056031B" w:rsidRPr="00BD1319" w:rsidRDefault="0056031B">
      <w:pPr>
        <w:numPr>
          <w:ilvl w:val="12"/>
          <w:numId w:val="0"/>
        </w:numPr>
        <w:tabs>
          <w:tab w:val="left" w:pos="-2268"/>
        </w:tabs>
        <w:suppressAutoHyphens/>
      </w:pPr>
    </w:p>
    <w:p w14:paraId="73953E11" w14:textId="77777777" w:rsidR="0056031B" w:rsidRPr="00BD1319" w:rsidRDefault="0056031B">
      <w:pPr>
        <w:numPr>
          <w:ilvl w:val="12"/>
          <w:numId w:val="0"/>
        </w:numPr>
        <w:tabs>
          <w:tab w:val="left" w:pos="-2268"/>
        </w:tabs>
        <w:suppressAutoHyphens/>
        <w:rPr>
          <w:rFonts w:cs="Arial"/>
          <w:spacing w:val="-3"/>
        </w:rPr>
      </w:pPr>
      <w:r w:rsidRPr="00BD1319">
        <w:rPr>
          <w:rFonts w:cs="Arial"/>
          <w:b/>
          <w:spacing w:val="-3"/>
        </w:rPr>
        <w:t>PDET</w:t>
      </w:r>
      <w:r w:rsidRPr="00BD1319">
        <w:rPr>
          <w:rFonts w:cs="Arial"/>
          <w:spacing w:val="-3"/>
        </w:rPr>
        <w:t>: Programas de Desarrollo con Enfoque Territorial</w:t>
      </w:r>
    </w:p>
    <w:p w14:paraId="330F1ADC" w14:textId="77777777" w:rsidR="0056031B" w:rsidRPr="00BD1319" w:rsidRDefault="0056031B">
      <w:pPr>
        <w:numPr>
          <w:ilvl w:val="12"/>
          <w:numId w:val="0"/>
        </w:numPr>
        <w:tabs>
          <w:tab w:val="left" w:pos="-2268"/>
        </w:tabs>
        <w:suppressAutoHyphens/>
        <w:rPr>
          <w:b/>
        </w:rPr>
      </w:pPr>
    </w:p>
    <w:p w14:paraId="3F7B09E9" w14:textId="77777777" w:rsidR="0056031B" w:rsidRPr="00BD1319" w:rsidRDefault="0056031B">
      <w:pPr>
        <w:numPr>
          <w:ilvl w:val="12"/>
          <w:numId w:val="0"/>
        </w:numPr>
        <w:tabs>
          <w:tab w:val="left" w:pos="-2268"/>
        </w:tabs>
        <w:suppressAutoHyphens/>
      </w:pPr>
      <w:r w:rsidRPr="00BD1319">
        <w:rPr>
          <w:b/>
        </w:rPr>
        <w:t>PMA</w:t>
      </w:r>
      <w:r w:rsidRPr="00BD1319">
        <w:t>: Plan de Manejo Ambiental</w:t>
      </w:r>
    </w:p>
    <w:p w14:paraId="76199583" w14:textId="77777777" w:rsidR="0056031B" w:rsidRPr="00BD1319" w:rsidRDefault="0056031B">
      <w:pPr>
        <w:numPr>
          <w:ilvl w:val="12"/>
          <w:numId w:val="0"/>
        </w:numPr>
        <w:tabs>
          <w:tab w:val="left" w:pos="-2268"/>
        </w:tabs>
        <w:suppressAutoHyphens/>
      </w:pPr>
    </w:p>
    <w:p w14:paraId="6E381385" w14:textId="77777777" w:rsidR="0056031B" w:rsidRPr="00BD1319" w:rsidRDefault="0056031B">
      <w:pPr>
        <w:numPr>
          <w:ilvl w:val="12"/>
          <w:numId w:val="0"/>
        </w:numPr>
        <w:tabs>
          <w:tab w:val="left" w:pos="-2268"/>
        </w:tabs>
        <w:suppressAutoHyphens/>
      </w:pPr>
      <w:r w:rsidRPr="00BD1319">
        <w:rPr>
          <w:b/>
        </w:rPr>
        <w:t>PNN</w:t>
      </w:r>
      <w:r w:rsidRPr="00BD1319">
        <w:t>: Parques Nacionales Naturales</w:t>
      </w:r>
    </w:p>
    <w:p w14:paraId="496FCB4C" w14:textId="77777777" w:rsidR="0056031B" w:rsidRPr="00BD1319" w:rsidRDefault="0056031B">
      <w:pPr>
        <w:numPr>
          <w:ilvl w:val="12"/>
          <w:numId w:val="0"/>
        </w:numPr>
        <w:tabs>
          <w:tab w:val="left" w:pos="-2268"/>
        </w:tabs>
        <w:suppressAutoHyphens/>
      </w:pPr>
    </w:p>
    <w:p w14:paraId="7851DA63" w14:textId="6111140B" w:rsidR="0056031B" w:rsidRPr="00BD1319" w:rsidRDefault="0056031B">
      <w:pPr>
        <w:numPr>
          <w:ilvl w:val="12"/>
          <w:numId w:val="0"/>
        </w:numPr>
        <w:tabs>
          <w:tab w:val="left" w:pos="-2268"/>
        </w:tabs>
        <w:suppressAutoHyphens/>
      </w:pPr>
      <w:proofErr w:type="spellStart"/>
      <w:r w:rsidRPr="00BD1319">
        <w:rPr>
          <w:b/>
        </w:rPr>
        <w:t>Pomca</w:t>
      </w:r>
      <w:proofErr w:type="spellEnd"/>
      <w:r w:rsidRPr="00BD1319">
        <w:t xml:space="preserve">: Plan de </w:t>
      </w:r>
      <w:r w:rsidR="0068186F" w:rsidRPr="00BD1319">
        <w:t>o</w:t>
      </w:r>
      <w:r w:rsidRPr="00BD1319">
        <w:t xml:space="preserve">rdenación y </w:t>
      </w:r>
      <w:r w:rsidR="0068186F" w:rsidRPr="00BD1319">
        <w:t>m</w:t>
      </w:r>
      <w:r w:rsidRPr="00BD1319">
        <w:t xml:space="preserve">anejo de </w:t>
      </w:r>
      <w:r w:rsidR="0068186F" w:rsidRPr="00BD1319">
        <w:t>c</w:t>
      </w:r>
      <w:r w:rsidRPr="00BD1319">
        <w:t xml:space="preserve">uencas </w:t>
      </w:r>
      <w:r w:rsidR="0068186F" w:rsidRPr="00BD1319">
        <w:t>h</w:t>
      </w:r>
      <w:r w:rsidRPr="00BD1319">
        <w:t>idrográficas</w:t>
      </w:r>
    </w:p>
    <w:p w14:paraId="1B23C686" w14:textId="77777777" w:rsidR="0056031B" w:rsidRPr="00BD1319" w:rsidRDefault="0056031B">
      <w:pPr>
        <w:numPr>
          <w:ilvl w:val="12"/>
          <w:numId w:val="0"/>
        </w:numPr>
        <w:tabs>
          <w:tab w:val="left" w:pos="-2268"/>
        </w:tabs>
        <w:suppressAutoHyphens/>
      </w:pPr>
    </w:p>
    <w:p w14:paraId="7733F894" w14:textId="6A73874D" w:rsidR="0056031B" w:rsidRPr="00BD1319" w:rsidRDefault="0056031B">
      <w:pPr>
        <w:numPr>
          <w:ilvl w:val="12"/>
          <w:numId w:val="0"/>
        </w:numPr>
        <w:tabs>
          <w:tab w:val="left" w:pos="-2268"/>
        </w:tabs>
        <w:suppressAutoHyphens/>
      </w:pPr>
      <w:proofErr w:type="spellStart"/>
      <w:r w:rsidRPr="00BD1319">
        <w:rPr>
          <w:b/>
        </w:rPr>
        <w:t>Pomiuac</w:t>
      </w:r>
      <w:proofErr w:type="spellEnd"/>
      <w:r w:rsidRPr="00BD1319">
        <w:t xml:space="preserve">: Plan de </w:t>
      </w:r>
      <w:r w:rsidR="0068186F" w:rsidRPr="00BD1319">
        <w:t>o</w:t>
      </w:r>
      <w:r w:rsidRPr="00BD1319">
        <w:t xml:space="preserve">rdenación y </w:t>
      </w:r>
      <w:r w:rsidR="0068186F" w:rsidRPr="00BD1319">
        <w:t>m</w:t>
      </w:r>
      <w:r w:rsidRPr="00BD1319">
        <w:t xml:space="preserve">anejo </w:t>
      </w:r>
      <w:r w:rsidR="0068186F" w:rsidRPr="00BD1319">
        <w:t>i</w:t>
      </w:r>
      <w:r w:rsidRPr="00BD1319">
        <w:t xml:space="preserve">ntegrado de la </w:t>
      </w:r>
      <w:r w:rsidR="0068186F" w:rsidRPr="00BD1319">
        <w:t>u</w:t>
      </w:r>
      <w:r w:rsidRPr="00BD1319">
        <w:t xml:space="preserve">nidad </w:t>
      </w:r>
      <w:r w:rsidR="0068186F" w:rsidRPr="00BD1319">
        <w:t>a</w:t>
      </w:r>
      <w:r w:rsidRPr="00BD1319">
        <w:t xml:space="preserve">mbiental </w:t>
      </w:r>
      <w:r w:rsidR="0068186F" w:rsidRPr="00BD1319">
        <w:t>c</w:t>
      </w:r>
      <w:r w:rsidRPr="00BD1319">
        <w:t>ostera</w:t>
      </w:r>
    </w:p>
    <w:p w14:paraId="48701BAB" w14:textId="77777777" w:rsidR="0056031B" w:rsidRPr="00BD1319" w:rsidRDefault="0056031B">
      <w:pPr>
        <w:numPr>
          <w:ilvl w:val="12"/>
          <w:numId w:val="0"/>
        </w:numPr>
        <w:tabs>
          <w:tab w:val="left" w:pos="-2268"/>
        </w:tabs>
        <w:suppressAutoHyphens/>
      </w:pPr>
    </w:p>
    <w:p w14:paraId="1FD44645" w14:textId="77777777" w:rsidR="0056031B" w:rsidRPr="00BD1319" w:rsidRDefault="0056031B">
      <w:pPr>
        <w:numPr>
          <w:ilvl w:val="12"/>
          <w:numId w:val="0"/>
        </w:numPr>
        <w:tabs>
          <w:tab w:val="left" w:pos="-2268"/>
        </w:tabs>
        <w:suppressAutoHyphens/>
      </w:pPr>
      <w:r w:rsidRPr="00BD1319">
        <w:rPr>
          <w:b/>
        </w:rPr>
        <w:t>PORH</w:t>
      </w:r>
      <w:r w:rsidRPr="00BD1319">
        <w:t>: Plan de Ordenamiento del Recurso Hídrico</w:t>
      </w:r>
    </w:p>
    <w:p w14:paraId="371F8594" w14:textId="77777777" w:rsidR="0056031B" w:rsidRPr="00BD1319" w:rsidRDefault="0056031B">
      <w:pPr>
        <w:numPr>
          <w:ilvl w:val="12"/>
          <w:numId w:val="0"/>
        </w:numPr>
        <w:tabs>
          <w:tab w:val="left" w:pos="-2268"/>
        </w:tabs>
        <w:suppressAutoHyphens/>
      </w:pPr>
    </w:p>
    <w:p w14:paraId="2D988C53" w14:textId="77777777" w:rsidR="0056031B" w:rsidRPr="00BD1319" w:rsidRDefault="0056031B">
      <w:pPr>
        <w:numPr>
          <w:ilvl w:val="12"/>
          <w:numId w:val="0"/>
        </w:numPr>
        <w:tabs>
          <w:tab w:val="left" w:pos="-2268"/>
        </w:tabs>
        <w:suppressAutoHyphens/>
      </w:pPr>
      <w:r w:rsidRPr="00BD1319">
        <w:rPr>
          <w:b/>
        </w:rPr>
        <w:lastRenderedPageBreak/>
        <w:t>POT</w:t>
      </w:r>
      <w:r w:rsidRPr="00BD1319">
        <w:t>: Plan de Ordenamiento Territorial</w:t>
      </w:r>
    </w:p>
    <w:p w14:paraId="624703A9" w14:textId="77777777" w:rsidR="0056031B" w:rsidRPr="00BD1319" w:rsidRDefault="0056031B">
      <w:pPr>
        <w:numPr>
          <w:ilvl w:val="12"/>
          <w:numId w:val="0"/>
        </w:numPr>
        <w:tabs>
          <w:tab w:val="left" w:pos="-2268"/>
        </w:tabs>
        <w:suppressAutoHyphens/>
      </w:pPr>
    </w:p>
    <w:p w14:paraId="504C1C06" w14:textId="77777777" w:rsidR="0056031B" w:rsidRPr="00BD1319" w:rsidRDefault="0056031B" w:rsidP="00FA60FE">
      <w:pPr>
        <w:numPr>
          <w:ilvl w:val="12"/>
          <w:numId w:val="0"/>
        </w:numPr>
        <w:tabs>
          <w:tab w:val="left" w:pos="-2268"/>
        </w:tabs>
        <w:suppressAutoHyphens/>
        <w:rPr>
          <w:rFonts w:cs="Arial"/>
        </w:rPr>
      </w:pPr>
      <w:r w:rsidRPr="00BD1319">
        <w:rPr>
          <w:rFonts w:cs="Arial"/>
          <w:b/>
        </w:rPr>
        <w:t>PTAR</w:t>
      </w:r>
      <w:r w:rsidRPr="00BD1319">
        <w:rPr>
          <w:rFonts w:cs="Arial"/>
        </w:rPr>
        <w:t>: Planta de Tratamiento de Aguas Residuales</w:t>
      </w:r>
    </w:p>
    <w:p w14:paraId="72D3D9FF" w14:textId="77777777" w:rsidR="0056031B" w:rsidRPr="00BD1319" w:rsidRDefault="0056031B" w:rsidP="00FA60FE">
      <w:pPr>
        <w:numPr>
          <w:ilvl w:val="12"/>
          <w:numId w:val="0"/>
        </w:numPr>
        <w:tabs>
          <w:tab w:val="left" w:pos="-2268"/>
        </w:tabs>
        <w:suppressAutoHyphens/>
        <w:rPr>
          <w:rFonts w:cs="Arial"/>
        </w:rPr>
      </w:pPr>
    </w:p>
    <w:p w14:paraId="12DC0426" w14:textId="4F9D223F" w:rsidR="0056031B" w:rsidRPr="00BD1319" w:rsidRDefault="0056031B" w:rsidP="00FA60FE">
      <w:pPr>
        <w:numPr>
          <w:ilvl w:val="12"/>
          <w:numId w:val="0"/>
        </w:numPr>
        <w:tabs>
          <w:tab w:val="left" w:pos="-2268"/>
        </w:tabs>
        <w:suppressAutoHyphens/>
        <w:rPr>
          <w:rFonts w:cs="Arial"/>
        </w:rPr>
      </w:pPr>
      <w:r w:rsidRPr="00BD1319">
        <w:rPr>
          <w:rFonts w:cs="Arial"/>
          <w:b/>
        </w:rPr>
        <w:t>RBC</w:t>
      </w:r>
      <w:r w:rsidRPr="00BD1319">
        <w:rPr>
          <w:rFonts w:cs="Arial"/>
        </w:rPr>
        <w:t>: Relación Beneficio Costo</w:t>
      </w:r>
    </w:p>
    <w:p w14:paraId="34BC854A" w14:textId="6E8D7FBF" w:rsidR="0056031B" w:rsidRPr="00BD1319" w:rsidRDefault="0056031B" w:rsidP="00FA60FE">
      <w:pPr>
        <w:numPr>
          <w:ilvl w:val="12"/>
          <w:numId w:val="0"/>
        </w:numPr>
        <w:tabs>
          <w:tab w:val="left" w:pos="-2268"/>
        </w:tabs>
        <w:suppressAutoHyphens/>
        <w:rPr>
          <w:rFonts w:cs="Arial"/>
        </w:rPr>
      </w:pPr>
    </w:p>
    <w:p w14:paraId="456AB866" w14:textId="2D8A3CF8" w:rsidR="009B0769" w:rsidRPr="00BD1319" w:rsidRDefault="009B0769" w:rsidP="00FA60FE">
      <w:pPr>
        <w:numPr>
          <w:ilvl w:val="12"/>
          <w:numId w:val="0"/>
        </w:numPr>
        <w:tabs>
          <w:tab w:val="left" w:pos="-2268"/>
        </w:tabs>
        <w:suppressAutoHyphens/>
        <w:rPr>
          <w:rFonts w:cs="Arial"/>
        </w:rPr>
      </w:pPr>
      <w:r w:rsidRPr="00BD1319">
        <w:rPr>
          <w:rFonts w:eastAsia="Arial" w:cs="Arial"/>
          <w:b/>
          <w:color w:val="000000" w:themeColor="text1"/>
        </w:rPr>
        <w:t>RCD</w:t>
      </w:r>
      <w:r w:rsidRPr="00BD1319">
        <w:rPr>
          <w:rFonts w:eastAsia="Arial" w:cs="Arial"/>
          <w:bCs/>
          <w:color w:val="000000" w:themeColor="text1"/>
        </w:rPr>
        <w:t>: Residuo de Construcción y Demolición</w:t>
      </w:r>
    </w:p>
    <w:p w14:paraId="34946F2D" w14:textId="77777777" w:rsidR="009B0769" w:rsidRPr="00BD1319" w:rsidRDefault="009B0769" w:rsidP="00FA60FE">
      <w:pPr>
        <w:numPr>
          <w:ilvl w:val="12"/>
          <w:numId w:val="0"/>
        </w:numPr>
        <w:tabs>
          <w:tab w:val="left" w:pos="-2268"/>
        </w:tabs>
        <w:suppressAutoHyphens/>
        <w:rPr>
          <w:rFonts w:cs="Arial"/>
        </w:rPr>
      </w:pPr>
    </w:p>
    <w:p w14:paraId="1D97E3D9" w14:textId="77777777" w:rsidR="0056031B" w:rsidRPr="00BD1319" w:rsidRDefault="0056031B">
      <w:pPr>
        <w:numPr>
          <w:ilvl w:val="12"/>
          <w:numId w:val="0"/>
        </w:numPr>
        <w:tabs>
          <w:tab w:val="left" w:pos="-2268"/>
        </w:tabs>
        <w:suppressAutoHyphens/>
      </w:pPr>
      <w:r w:rsidRPr="00BD1319">
        <w:rPr>
          <w:b/>
        </w:rPr>
        <w:t>REAA</w:t>
      </w:r>
      <w:r w:rsidRPr="00BD1319">
        <w:t xml:space="preserve">: Registro </w:t>
      </w:r>
      <w:r w:rsidRPr="00BD1319">
        <w:rPr>
          <w:rFonts w:cs="Arial"/>
        </w:rPr>
        <w:t>Único</w:t>
      </w:r>
      <w:r w:rsidRPr="00BD1319">
        <w:t xml:space="preserve"> de Ecosistemas y Áreas Ambientales</w:t>
      </w:r>
    </w:p>
    <w:p w14:paraId="64C11F61" w14:textId="77777777" w:rsidR="0056031B" w:rsidRPr="00BD1319" w:rsidRDefault="0056031B">
      <w:pPr>
        <w:numPr>
          <w:ilvl w:val="12"/>
          <w:numId w:val="0"/>
        </w:numPr>
        <w:tabs>
          <w:tab w:val="left" w:pos="-2268"/>
        </w:tabs>
        <w:suppressAutoHyphens/>
      </w:pPr>
    </w:p>
    <w:p w14:paraId="6EF8A0FC" w14:textId="2F40AE15" w:rsidR="0056031B" w:rsidRPr="00BD1319" w:rsidRDefault="0056031B">
      <w:pPr>
        <w:numPr>
          <w:ilvl w:val="12"/>
          <w:numId w:val="0"/>
        </w:numPr>
        <w:tabs>
          <w:tab w:val="left" w:pos="-2268"/>
        </w:tabs>
        <w:suppressAutoHyphens/>
      </w:pPr>
      <w:proofErr w:type="spellStart"/>
      <w:r w:rsidRPr="00BD1319">
        <w:rPr>
          <w:b/>
        </w:rPr>
        <w:t>Runap</w:t>
      </w:r>
      <w:proofErr w:type="spellEnd"/>
      <w:r w:rsidRPr="00BD1319">
        <w:t xml:space="preserve">: Registro </w:t>
      </w:r>
      <w:r w:rsidR="0068186F" w:rsidRPr="00BD1319">
        <w:t>ú</w:t>
      </w:r>
      <w:r w:rsidRPr="00BD1319">
        <w:t xml:space="preserve">nico </w:t>
      </w:r>
      <w:r w:rsidR="0068186F" w:rsidRPr="00BD1319">
        <w:t>n</w:t>
      </w:r>
      <w:r w:rsidRPr="00BD1319">
        <w:t xml:space="preserve">acional de </w:t>
      </w:r>
      <w:r w:rsidR="0068186F" w:rsidRPr="00BD1319">
        <w:t>á</w:t>
      </w:r>
      <w:r w:rsidRPr="00BD1319">
        <w:t xml:space="preserve">reas </w:t>
      </w:r>
      <w:r w:rsidR="0068186F" w:rsidRPr="00BD1319">
        <w:t>p</w:t>
      </w:r>
      <w:r w:rsidRPr="00BD1319">
        <w:t>rotegidas</w:t>
      </w:r>
    </w:p>
    <w:p w14:paraId="325A4A7C" w14:textId="77777777" w:rsidR="0056031B" w:rsidRPr="00BD1319" w:rsidRDefault="0056031B">
      <w:pPr>
        <w:numPr>
          <w:ilvl w:val="12"/>
          <w:numId w:val="0"/>
        </w:numPr>
        <w:tabs>
          <w:tab w:val="left" w:pos="-2268"/>
        </w:tabs>
        <w:suppressAutoHyphens/>
      </w:pPr>
    </w:p>
    <w:p w14:paraId="5344E698" w14:textId="77777777" w:rsidR="0056031B" w:rsidRPr="00BD1319" w:rsidRDefault="0056031B" w:rsidP="006E2E3F">
      <w:pPr>
        <w:numPr>
          <w:ilvl w:val="12"/>
          <w:numId w:val="0"/>
        </w:numPr>
        <w:tabs>
          <w:tab w:val="left" w:pos="-2268"/>
        </w:tabs>
        <w:suppressAutoHyphens/>
        <w:rPr>
          <w:rFonts w:cs="Arial"/>
        </w:rPr>
      </w:pPr>
      <w:r w:rsidRPr="00BD1319">
        <w:rPr>
          <w:b/>
        </w:rPr>
        <w:t>SE</w:t>
      </w:r>
      <w:r w:rsidRPr="00BD1319">
        <w:t xml:space="preserve">: Servicios </w:t>
      </w:r>
      <w:r w:rsidRPr="00BD1319">
        <w:rPr>
          <w:rFonts w:cs="Arial"/>
        </w:rPr>
        <w:t>Ecosistémicos</w:t>
      </w:r>
    </w:p>
    <w:p w14:paraId="5FD23FFC" w14:textId="77777777" w:rsidR="0056031B" w:rsidRPr="00BD1319" w:rsidRDefault="0056031B" w:rsidP="006E2E3F">
      <w:pPr>
        <w:numPr>
          <w:ilvl w:val="12"/>
          <w:numId w:val="0"/>
        </w:numPr>
        <w:tabs>
          <w:tab w:val="left" w:pos="-2268"/>
        </w:tabs>
        <w:suppressAutoHyphens/>
      </w:pPr>
    </w:p>
    <w:p w14:paraId="154F4996" w14:textId="77777777" w:rsidR="0056031B" w:rsidRPr="00BD1319" w:rsidRDefault="0056031B">
      <w:pPr>
        <w:numPr>
          <w:ilvl w:val="12"/>
          <w:numId w:val="0"/>
        </w:numPr>
        <w:tabs>
          <w:tab w:val="left" w:pos="-2268"/>
        </w:tabs>
        <w:suppressAutoHyphens/>
      </w:pPr>
      <w:r w:rsidRPr="00BD1319">
        <w:rPr>
          <w:b/>
        </w:rPr>
        <w:t>SGC</w:t>
      </w:r>
      <w:r w:rsidRPr="00BD1319">
        <w:t>: Servicio Geológico Colombiano</w:t>
      </w:r>
    </w:p>
    <w:p w14:paraId="484F0846" w14:textId="77777777" w:rsidR="0056031B" w:rsidRPr="00BD1319" w:rsidRDefault="0056031B">
      <w:pPr>
        <w:numPr>
          <w:ilvl w:val="12"/>
          <w:numId w:val="0"/>
        </w:numPr>
        <w:tabs>
          <w:tab w:val="left" w:pos="-2268"/>
        </w:tabs>
        <w:suppressAutoHyphens/>
      </w:pPr>
    </w:p>
    <w:p w14:paraId="1DC6B658" w14:textId="77777777" w:rsidR="0056031B" w:rsidRPr="00BD1319" w:rsidRDefault="0056031B">
      <w:pPr>
        <w:numPr>
          <w:ilvl w:val="12"/>
          <w:numId w:val="0"/>
        </w:numPr>
        <w:tabs>
          <w:tab w:val="left" w:pos="-2268"/>
        </w:tabs>
        <w:suppressAutoHyphens/>
      </w:pPr>
      <w:r w:rsidRPr="00BD1319">
        <w:rPr>
          <w:b/>
        </w:rPr>
        <w:t>SIAC</w:t>
      </w:r>
      <w:r w:rsidRPr="00BD1319">
        <w:t>: Sistema de Información Ambiental de Colombia</w:t>
      </w:r>
    </w:p>
    <w:p w14:paraId="44E5EB98" w14:textId="77777777" w:rsidR="0056031B" w:rsidRPr="00BD1319" w:rsidRDefault="0056031B">
      <w:pPr>
        <w:numPr>
          <w:ilvl w:val="12"/>
          <w:numId w:val="0"/>
        </w:numPr>
        <w:tabs>
          <w:tab w:val="left" w:pos="-2268"/>
        </w:tabs>
        <w:suppressAutoHyphens/>
      </w:pPr>
    </w:p>
    <w:p w14:paraId="6B4DFFF2" w14:textId="5F632AD2" w:rsidR="0056031B" w:rsidRPr="00BD1319" w:rsidRDefault="0056031B">
      <w:pPr>
        <w:numPr>
          <w:ilvl w:val="12"/>
          <w:numId w:val="0"/>
        </w:numPr>
        <w:tabs>
          <w:tab w:val="left" w:pos="-2268"/>
        </w:tabs>
        <w:suppressAutoHyphens/>
      </w:pPr>
      <w:proofErr w:type="spellStart"/>
      <w:r w:rsidRPr="00BD1319">
        <w:rPr>
          <w:b/>
        </w:rPr>
        <w:t>SiB</w:t>
      </w:r>
      <w:proofErr w:type="spellEnd"/>
      <w:r w:rsidRPr="00BD1319">
        <w:rPr>
          <w:b/>
        </w:rPr>
        <w:t xml:space="preserve"> Colombia</w:t>
      </w:r>
      <w:r w:rsidRPr="00BD1319">
        <w:t xml:space="preserve">: Sistema de información sobre </w:t>
      </w:r>
      <w:r w:rsidR="0068186F" w:rsidRPr="00BD1319">
        <w:t>b</w:t>
      </w:r>
      <w:r w:rsidRPr="00BD1319">
        <w:t>iodiversidad de Colombia</w:t>
      </w:r>
    </w:p>
    <w:p w14:paraId="0CC0629D" w14:textId="77777777" w:rsidR="0056031B" w:rsidRPr="00BD1319" w:rsidRDefault="0056031B">
      <w:pPr>
        <w:numPr>
          <w:ilvl w:val="12"/>
          <w:numId w:val="0"/>
        </w:numPr>
        <w:tabs>
          <w:tab w:val="left" w:pos="-2268"/>
        </w:tabs>
        <w:suppressAutoHyphens/>
      </w:pPr>
    </w:p>
    <w:p w14:paraId="2A60C6AD" w14:textId="77777777" w:rsidR="0056031B" w:rsidRPr="00BD1319" w:rsidRDefault="0056031B">
      <w:pPr>
        <w:numPr>
          <w:ilvl w:val="12"/>
          <w:numId w:val="0"/>
        </w:numPr>
        <w:tabs>
          <w:tab w:val="left" w:pos="-2268"/>
        </w:tabs>
        <w:suppressAutoHyphens/>
      </w:pPr>
      <w:proofErr w:type="spellStart"/>
      <w:r w:rsidRPr="00BD1319">
        <w:rPr>
          <w:b/>
        </w:rPr>
        <w:t>SiBM</w:t>
      </w:r>
      <w:proofErr w:type="spellEnd"/>
      <w:r w:rsidRPr="00BD1319">
        <w:t>: Sistema de Información sobre Biodiversidad Marina</w:t>
      </w:r>
    </w:p>
    <w:p w14:paraId="00F723A4" w14:textId="77777777" w:rsidR="0056031B" w:rsidRPr="00BD1319" w:rsidRDefault="0056031B">
      <w:pPr>
        <w:numPr>
          <w:ilvl w:val="12"/>
          <w:numId w:val="0"/>
        </w:numPr>
        <w:tabs>
          <w:tab w:val="left" w:pos="-2268"/>
        </w:tabs>
        <w:suppressAutoHyphens/>
      </w:pPr>
    </w:p>
    <w:p w14:paraId="5DB29391" w14:textId="36D155B6" w:rsidR="0056031B" w:rsidRPr="00BD1319" w:rsidRDefault="0056031B" w:rsidP="00121B89">
      <w:pPr>
        <w:numPr>
          <w:ilvl w:val="12"/>
          <w:numId w:val="0"/>
        </w:numPr>
        <w:tabs>
          <w:tab w:val="left" w:pos="-2268"/>
        </w:tabs>
        <w:suppressAutoHyphens/>
        <w:rPr>
          <w:rFonts w:cs="Arial"/>
        </w:rPr>
      </w:pPr>
      <w:proofErr w:type="spellStart"/>
      <w:r w:rsidRPr="00BD1319">
        <w:rPr>
          <w:rFonts w:cs="Arial"/>
          <w:b/>
        </w:rPr>
        <w:t>Sigot</w:t>
      </w:r>
      <w:proofErr w:type="spellEnd"/>
      <w:r w:rsidRPr="00BD1319">
        <w:rPr>
          <w:rFonts w:cs="Arial"/>
        </w:rPr>
        <w:t xml:space="preserve">: Sistema de </w:t>
      </w:r>
      <w:r w:rsidR="0068186F" w:rsidRPr="00BD1319">
        <w:rPr>
          <w:rFonts w:cs="Arial"/>
        </w:rPr>
        <w:t>i</w:t>
      </w:r>
      <w:r w:rsidRPr="00BD1319">
        <w:rPr>
          <w:rFonts w:cs="Arial"/>
        </w:rPr>
        <w:t xml:space="preserve">nformación </w:t>
      </w:r>
      <w:r w:rsidR="0068186F" w:rsidRPr="00BD1319">
        <w:rPr>
          <w:rFonts w:cs="Arial"/>
        </w:rPr>
        <w:t>g</w:t>
      </w:r>
      <w:r w:rsidRPr="00BD1319">
        <w:rPr>
          <w:rFonts w:cs="Arial"/>
        </w:rPr>
        <w:t xml:space="preserve">eográfica para la </w:t>
      </w:r>
      <w:r w:rsidR="0068186F" w:rsidRPr="00BD1319">
        <w:rPr>
          <w:rFonts w:cs="Arial"/>
        </w:rPr>
        <w:t>p</w:t>
      </w:r>
      <w:r w:rsidRPr="00BD1319">
        <w:rPr>
          <w:rFonts w:cs="Arial"/>
        </w:rPr>
        <w:t xml:space="preserve">laneación y </w:t>
      </w:r>
      <w:r w:rsidR="0068186F" w:rsidRPr="00BD1319">
        <w:rPr>
          <w:rFonts w:cs="Arial"/>
        </w:rPr>
        <w:t>o</w:t>
      </w:r>
      <w:r w:rsidRPr="00BD1319">
        <w:rPr>
          <w:rFonts w:cs="Arial"/>
        </w:rPr>
        <w:t xml:space="preserve">rdenamiento </w:t>
      </w:r>
      <w:r w:rsidR="0068186F" w:rsidRPr="00BD1319">
        <w:rPr>
          <w:rFonts w:cs="Arial"/>
        </w:rPr>
        <w:t>t</w:t>
      </w:r>
      <w:r w:rsidRPr="00BD1319">
        <w:rPr>
          <w:rFonts w:cs="Arial"/>
        </w:rPr>
        <w:t>erritorial</w:t>
      </w:r>
    </w:p>
    <w:p w14:paraId="6E526D04" w14:textId="77777777" w:rsidR="0056031B" w:rsidRPr="00BD1319" w:rsidRDefault="0056031B" w:rsidP="00121B89">
      <w:pPr>
        <w:numPr>
          <w:ilvl w:val="12"/>
          <w:numId w:val="0"/>
        </w:numPr>
        <w:tabs>
          <w:tab w:val="left" w:pos="-2268"/>
        </w:tabs>
        <w:suppressAutoHyphens/>
        <w:rPr>
          <w:rFonts w:cs="Arial"/>
        </w:rPr>
      </w:pPr>
    </w:p>
    <w:p w14:paraId="26D40EC6" w14:textId="6AD11B9C" w:rsidR="0056031B" w:rsidRPr="005A685F" w:rsidRDefault="0056031B">
      <w:pPr>
        <w:numPr>
          <w:ilvl w:val="12"/>
          <w:numId w:val="0"/>
        </w:numPr>
        <w:tabs>
          <w:tab w:val="left" w:pos="-2268"/>
        </w:tabs>
        <w:suppressAutoHyphens/>
        <w:rPr>
          <w:lang w:val="pt-PT"/>
        </w:rPr>
      </w:pPr>
      <w:r w:rsidRPr="005A685F">
        <w:rPr>
          <w:b/>
          <w:lang w:val="pt-PT"/>
        </w:rPr>
        <w:t>Sinap</w:t>
      </w:r>
      <w:r w:rsidRPr="005A685F">
        <w:rPr>
          <w:lang w:val="pt-PT"/>
        </w:rPr>
        <w:t xml:space="preserve">: Sistema </w:t>
      </w:r>
      <w:r w:rsidR="0068186F" w:rsidRPr="005A685F">
        <w:rPr>
          <w:lang w:val="pt-PT"/>
        </w:rPr>
        <w:t>n</w:t>
      </w:r>
      <w:r w:rsidRPr="005A685F">
        <w:rPr>
          <w:lang w:val="pt-PT"/>
        </w:rPr>
        <w:t xml:space="preserve">acional de </w:t>
      </w:r>
      <w:r w:rsidR="0068186F" w:rsidRPr="005A685F">
        <w:rPr>
          <w:lang w:val="pt-PT"/>
        </w:rPr>
        <w:t>á</w:t>
      </w:r>
      <w:r w:rsidRPr="005A685F">
        <w:rPr>
          <w:lang w:val="pt-PT"/>
        </w:rPr>
        <w:t xml:space="preserve">reas </w:t>
      </w:r>
      <w:r w:rsidR="0068186F" w:rsidRPr="005A685F">
        <w:rPr>
          <w:lang w:val="pt-PT"/>
        </w:rPr>
        <w:t>p</w:t>
      </w:r>
      <w:r w:rsidRPr="005A685F">
        <w:rPr>
          <w:lang w:val="pt-PT"/>
        </w:rPr>
        <w:t>rotegidas</w:t>
      </w:r>
    </w:p>
    <w:p w14:paraId="3CF5F0C4" w14:textId="77777777" w:rsidR="0056031B" w:rsidRPr="005A685F" w:rsidRDefault="0056031B">
      <w:pPr>
        <w:numPr>
          <w:ilvl w:val="12"/>
          <w:numId w:val="0"/>
        </w:numPr>
        <w:tabs>
          <w:tab w:val="left" w:pos="-2268"/>
        </w:tabs>
        <w:suppressAutoHyphens/>
        <w:rPr>
          <w:lang w:val="pt-PT"/>
        </w:rPr>
      </w:pPr>
    </w:p>
    <w:p w14:paraId="30478764" w14:textId="77777777" w:rsidR="0056031B" w:rsidRPr="00BD1319" w:rsidRDefault="0056031B">
      <w:pPr>
        <w:numPr>
          <w:ilvl w:val="12"/>
          <w:numId w:val="0"/>
        </w:numPr>
        <w:tabs>
          <w:tab w:val="left" w:pos="-2268"/>
        </w:tabs>
        <w:suppressAutoHyphens/>
      </w:pPr>
      <w:r w:rsidRPr="00BD1319">
        <w:rPr>
          <w:b/>
        </w:rPr>
        <w:t>SIRH</w:t>
      </w:r>
      <w:r w:rsidRPr="00BD1319">
        <w:t>: Sistema de Información del Recurso Hídrico</w:t>
      </w:r>
    </w:p>
    <w:p w14:paraId="53AB98C8" w14:textId="77777777" w:rsidR="0056031B" w:rsidRPr="00BD1319" w:rsidRDefault="0056031B">
      <w:pPr>
        <w:numPr>
          <w:ilvl w:val="12"/>
          <w:numId w:val="0"/>
        </w:numPr>
        <w:tabs>
          <w:tab w:val="left" w:pos="-2268"/>
        </w:tabs>
        <w:suppressAutoHyphens/>
      </w:pPr>
    </w:p>
    <w:p w14:paraId="4321C96A" w14:textId="36E0536A" w:rsidR="0056031B" w:rsidRPr="00BD1319" w:rsidRDefault="0056031B">
      <w:pPr>
        <w:numPr>
          <w:ilvl w:val="12"/>
          <w:numId w:val="0"/>
        </w:numPr>
        <w:tabs>
          <w:tab w:val="left" w:pos="-2268"/>
        </w:tabs>
        <w:suppressAutoHyphens/>
      </w:pPr>
      <w:proofErr w:type="spellStart"/>
      <w:r w:rsidRPr="00BD1319">
        <w:rPr>
          <w:b/>
        </w:rPr>
        <w:t>Sisaire</w:t>
      </w:r>
      <w:proofErr w:type="spellEnd"/>
      <w:r w:rsidRPr="00BD1319">
        <w:t xml:space="preserve">: Sistema de </w:t>
      </w:r>
      <w:r w:rsidR="0068186F" w:rsidRPr="00BD1319">
        <w:t>i</w:t>
      </w:r>
      <w:r w:rsidRPr="00BD1319">
        <w:t xml:space="preserve">nformación sobre </w:t>
      </w:r>
      <w:r w:rsidR="0068186F" w:rsidRPr="00BD1319">
        <w:t>c</w:t>
      </w:r>
      <w:r w:rsidRPr="00BD1319">
        <w:t xml:space="preserve">alidad del </w:t>
      </w:r>
      <w:r w:rsidR="0068186F" w:rsidRPr="00BD1319">
        <w:t>a</w:t>
      </w:r>
      <w:r w:rsidRPr="00BD1319">
        <w:t>ire</w:t>
      </w:r>
    </w:p>
    <w:p w14:paraId="3B149DF0" w14:textId="77777777" w:rsidR="0056031B" w:rsidRPr="00BD1319" w:rsidRDefault="0056031B">
      <w:pPr>
        <w:numPr>
          <w:ilvl w:val="12"/>
          <w:numId w:val="0"/>
        </w:numPr>
        <w:tabs>
          <w:tab w:val="left" w:pos="-2268"/>
        </w:tabs>
        <w:suppressAutoHyphens/>
      </w:pPr>
    </w:p>
    <w:p w14:paraId="0238C94B" w14:textId="60A78A3C" w:rsidR="0056031B" w:rsidRPr="00BD1319" w:rsidRDefault="0056031B" w:rsidP="00121B89">
      <w:pPr>
        <w:numPr>
          <w:ilvl w:val="12"/>
          <w:numId w:val="0"/>
        </w:numPr>
        <w:tabs>
          <w:tab w:val="left" w:pos="-2268"/>
        </w:tabs>
        <w:suppressAutoHyphens/>
        <w:rPr>
          <w:rFonts w:cs="Arial"/>
        </w:rPr>
      </w:pPr>
      <w:r w:rsidRPr="00BD1319">
        <w:rPr>
          <w:rFonts w:cs="Arial"/>
          <w:b/>
        </w:rPr>
        <w:t>Sisbén</w:t>
      </w:r>
      <w:r w:rsidRPr="00BD1319">
        <w:rPr>
          <w:rFonts w:cs="Arial"/>
        </w:rPr>
        <w:t>: Sistema de identificación de potenciales beneficiarios de programas sociales</w:t>
      </w:r>
    </w:p>
    <w:p w14:paraId="230EC54D" w14:textId="77777777" w:rsidR="0056031B" w:rsidRPr="00BD1319" w:rsidRDefault="0056031B" w:rsidP="00121B89">
      <w:pPr>
        <w:numPr>
          <w:ilvl w:val="12"/>
          <w:numId w:val="0"/>
        </w:numPr>
        <w:tabs>
          <w:tab w:val="left" w:pos="-2268"/>
        </w:tabs>
        <w:suppressAutoHyphens/>
        <w:rPr>
          <w:rFonts w:cs="Arial"/>
        </w:rPr>
      </w:pPr>
    </w:p>
    <w:p w14:paraId="578EF74B" w14:textId="77777777" w:rsidR="0056031B" w:rsidRPr="00BD1319" w:rsidRDefault="0056031B" w:rsidP="00DF3A0D">
      <w:pPr>
        <w:numPr>
          <w:ilvl w:val="12"/>
          <w:numId w:val="0"/>
        </w:numPr>
        <w:tabs>
          <w:tab w:val="left" w:pos="-2268"/>
        </w:tabs>
        <w:suppressAutoHyphens/>
        <w:rPr>
          <w:rFonts w:cs="Arial"/>
        </w:rPr>
      </w:pPr>
      <w:r w:rsidRPr="00BD1319">
        <w:rPr>
          <w:rFonts w:cs="Arial"/>
          <w:b/>
        </w:rPr>
        <w:t>SNGRD</w:t>
      </w:r>
      <w:r w:rsidRPr="00BD1319">
        <w:rPr>
          <w:rFonts w:cs="Arial"/>
        </w:rPr>
        <w:t>: Sistema Nacional de Gestión del Riesgo de Desastres</w:t>
      </w:r>
    </w:p>
    <w:p w14:paraId="5928EF91" w14:textId="77777777" w:rsidR="0056031B" w:rsidRPr="00BD1319" w:rsidRDefault="0056031B" w:rsidP="00DF3A0D">
      <w:pPr>
        <w:numPr>
          <w:ilvl w:val="12"/>
          <w:numId w:val="0"/>
        </w:numPr>
        <w:tabs>
          <w:tab w:val="left" w:pos="-2268"/>
        </w:tabs>
        <w:suppressAutoHyphens/>
        <w:rPr>
          <w:rFonts w:cs="Arial"/>
        </w:rPr>
      </w:pPr>
    </w:p>
    <w:p w14:paraId="22B1E92B" w14:textId="77777777" w:rsidR="0056031B" w:rsidRPr="00BD1319" w:rsidRDefault="0056031B">
      <w:pPr>
        <w:numPr>
          <w:ilvl w:val="12"/>
          <w:numId w:val="0"/>
        </w:numPr>
        <w:tabs>
          <w:tab w:val="left" w:pos="-2268"/>
        </w:tabs>
        <w:suppressAutoHyphens/>
      </w:pPr>
      <w:r w:rsidRPr="00BD1319">
        <w:rPr>
          <w:b/>
        </w:rPr>
        <w:t>UAEGRTD</w:t>
      </w:r>
      <w:r w:rsidRPr="00BD1319">
        <w:t>: Unidad Administrativa Especial de Gestión de Restitución de Tierras Despojadas</w:t>
      </w:r>
    </w:p>
    <w:p w14:paraId="71E43763" w14:textId="77777777" w:rsidR="0056031B" w:rsidRPr="00BD1319" w:rsidRDefault="0056031B">
      <w:pPr>
        <w:numPr>
          <w:ilvl w:val="12"/>
          <w:numId w:val="0"/>
        </w:numPr>
        <w:tabs>
          <w:tab w:val="left" w:pos="-2268"/>
        </w:tabs>
        <w:suppressAutoHyphens/>
      </w:pPr>
    </w:p>
    <w:p w14:paraId="1E4AD6D6" w14:textId="77777777" w:rsidR="0056031B" w:rsidRPr="00BD1319" w:rsidRDefault="0056031B">
      <w:pPr>
        <w:numPr>
          <w:ilvl w:val="12"/>
          <w:numId w:val="0"/>
        </w:numPr>
        <w:tabs>
          <w:tab w:val="left" w:pos="-2268"/>
        </w:tabs>
        <w:suppressAutoHyphens/>
      </w:pPr>
      <w:r w:rsidRPr="00BD1319">
        <w:rPr>
          <w:b/>
        </w:rPr>
        <w:lastRenderedPageBreak/>
        <w:t>UAF</w:t>
      </w:r>
      <w:r w:rsidRPr="00BD1319">
        <w:t>: Unidad Agrícola Familiar</w:t>
      </w:r>
    </w:p>
    <w:p w14:paraId="4C46160C" w14:textId="77777777" w:rsidR="0056031B" w:rsidRPr="00BD1319" w:rsidRDefault="0056031B">
      <w:pPr>
        <w:numPr>
          <w:ilvl w:val="12"/>
          <w:numId w:val="0"/>
        </w:numPr>
        <w:tabs>
          <w:tab w:val="left" w:pos="-2268"/>
        </w:tabs>
        <w:suppressAutoHyphens/>
      </w:pPr>
    </w:p>
    <w:p w14:paraId="38209CC5" w14:textId="77777777" w:rsidR="0056031B" w:rsidRPr="00BD1319" w:rsidRDefault="0056031B">
      <w:pPr>
        <w:numPr>
          <w:ilvl w:val="12"/>
          <w:numId w:val="0"/>
        </w:numPr>
        <w:tabs>
          <w:tab w:val="left" w:pos="-2268"/>
        </w:tabs>
        <w:suppressAutoHyphens/>
      </w:pPr>
      <w:r w:rsidRPr="00BD1319">
        <w:rPr>
          <w:b/>
        </w:rPr>
        <w:t>UICN</w:t>
      </w:r>
      <w:r w:rsidRPr="00BD1319">
        <w:t>: Unión Internacional para la Conservación de la Naturaleza</w:t>
      </w:r>
    </w:p>
    <w:p w14:paraId="1A47495D" w14:textId="77777777" w:rsidR="0056031B" w:rsidRPr="00BD1319" w:rsidRDefault="0056031B">
      <w:pPr>
        <w:numPr>
          <w:ilvl w:val="12"/>
          <w:numId w:val="0"/>
        </w:numPr>
        <w:tabs>
          <w:tab w:val="left" w:pos="-2268"/>
        </w:tabs>
        <w:suppressAutoHyphens/>
      </w:pPr>
    </w:p>
    <w:p w14:paraId="562B00EA" w14:textId="76384A24" w:rsidR="0056031B" w:rsidRPr="00BD1319" w:rsidRDefault="0056031B">
      <w:pPr>
        <w:numPr>
          <w:ilvl w:val="12"/>
          <w:numId w:val="0"/>
        </w:numPr>
        <w:tabs>
          <w:tab w:val="left" w:pos="-2268"/>
        </w:tabs>
        <w:suppressAutoHyphens/>
      </w:pPr>
      <w:r w:rsidRPr="00BD1319">
        <w:rPr>
          <w:b/>
        </w:rPr>
        <w:t>Vital</w:t>
      </w:r>
      <w:r w:rsidRPr="00BD1319">
        <w:t xml:space="preserve">: Ventanilla </w:t>
      </w:r>
      <w:r w:rsidR="00A85175" w:rsidRPr="00BD1319">
        <w:t>i</w:t>
      </w:r>
      <w:r w:rsidRPr="00BD1319">
        <w:t xml:space="preserve">ntegral de </w:t>
      </w:r>
      <w:r w:rsidR="00A85175" w:rsidRPr="00BD1319">
        <w:t>t</w:t>
      </w:r>
      <w:r w:rsidRPr="00BD1319">
        <w:t xml:space="preserve">rámites </w:t>
      </w:r>
      <w:r w:rsidR="00A85175" w:rsidRPr="00BD1319">
        <w:t>a</w:t>
      </w:r>
      <w:r w:rsidRPr="00BD1319">
        <w:t xml:space="preserve">mbientales en </w:t>
      </w:r>
      <w:r w:rsidR="00A85175" w:rsidRPr="00BD1319">
        <w:t>l</w:t>
      </w:r>
      <w:r w:rsidRPr="00BD1319">
        <w:t>ínea</w:t>
      </w:r>
    </w:p>
    <w:p w14:paraId="37E59D07" w14:textId="77777777" w:rsidR="0056031B" w:rsidRPr="00BD1319" w:rsidRDefault="0056031B">
      <w:pPr>
        <w:numPr>
          <w:ilvl w:val="12"/>
          <w:numId w:val="0"/>
        </w:numPr>
        <w:tabs>
          <w:tab w:val="left" w:pos="-2268"/>
        </w:tabs>
        <w:suppressAutoHyphens/>
      </w:pPr>
    </w:p>
    <w:p w14:paraId="6E85B0F9" w14:textId="76C224EB" w:rsidR="0013734D" w:rsidRPr="00BD1319" w:rsidRDefault="0013734D">
      <w:pPr>
        <w:numPr>
          <w:ilvl w:val="12"/>
          <w:numId w:val="0"/>
        </w:numPr>
        <w:tabs>
          <w:tab w:val="left" w:pos="-2268"/>
        </w:tabs>
        <w:suppressAutoHyphens/>
      </w:pPr>
      <w:r w:rsidRPr="00BD1319">
        <w:rPr>
          <w:b/>
          <w:bCs/>
        </w:rPr>
        <w:t>VEC</w:t>
      </w:r>
      <w:r w:rsidRPr="00BD1319">
        <w:t>: Componente valorado del ecosistema</w:t>
      </w:r>
    </w:p>
    <w:p w14:paraId="12ED9558" w14:textId="77777777" w:rsidR="0013734D" w:rsidRPr="00BD1319" w:rsidRDefault="0013734D">
      <w:pPr>
        <w:numPr>
          <w:ilvl w:val="12"/>
          <w:numId w:val="0"/>
        </w:numPr>
        <w:tabs>
          <w:tab w:val="left" w:pos="-2268"/>
        </w:tabs>
        <w:suppressAutoHyphens/>
      </w:pPr>
    </w:p>
    <w:p w14:paraId="4ACEF88F" w14:textId="77777777" w:rsidR="0056031B" w:rsidRPr="00BD1319" w:rsidRDefault="0056031B" w:rsidP="00FA60FE">
      <w:pPr>
        <w:numPr>
          <w:ilvl w:val="12"/>
          <w:numId w:val="0"/>
        </w:numPr>
        <w:tabs>
          <w:tab w:val="left" w:pos="-2268"/>
        </w:tabs>
        <w:suppressAutoHyphens/>
        <w:rPr>
          <w:rFonts w:cs="Arial"/>
        </w:rPr>
      </w:pPr>
      <w:r w:rsidRPr="00BD1319">
        <w:rPr>
          <w:rFonts w:cs="Arial"/>
          <w:b/>
          <w:bCs/>
        </w:rPr>
        <w:t>VPN</w:t>
      </w:r>
      <w:r w:rsidRPr="00BD1319">
        <w:rPr>
          <w:rFonts w:cs="Arial"/>
          <w:bCs/>
        </w:rPr>
        <w:t xml:space="preserve">: </w:t>
      </w:r>
      <w:r w:rsidRPr="00BD1319">
        <w:rPr>
          <w:rFonts w:cs="Arial"/>
        </w:rPr>
        <w:t>Valor Presente Neto</w:t>
      </w:r>
    </w:p>
    <w:p w14:paraId="5D813B60" w14:textId="77777777" w:rsidR="0056031B" w:rsidRPr="00BD1319" w:rsidRDefault="0056031B" w:rsidP="00FA60FE">
      <w:pPr>
        <w:numPr>
          <w:ilvl w:val="12"/>
          <w:numId w:val="0"/>
        </w:numPr>
        <w:tabs>
          <w:tab w:val="left" w:pos="-2268"/>
        </w:tabs>
        <w:suppressAutoHyphens/>
        <w:rPr>
          <w:rFonts w:cs="Arial"/>
        </w:rPr>
      </w:pPr>
    </w:p>
    <w:p w14:paraId="012260D7" w14:textId="79A4376B" w:rsidR="0056031B" w:rsidRPr="00BD1319" w:rsidRDefault="0056031B">
      <w:pPr>
        <w:numPr>
          <w:ilvl w:val="12"/>
          <w:numId w:val="0"/>
        </w:numPr>
        <w:tabs>
          <w:tab w:val="left" w:pos="-2268"/>
        </w:tabs>
        <w:suppressAutoHyphens/>
      </w:pPr>
      <w:proofErr w:type="spellStart"/>
      <w:r w:rsidRPr="00BD1319">
        <w:rPr>
          <w:b/>
        </w:rPr>
        <w:t>Zidres</w:t>
      </w:r>
      <w:proofErr w:type="spellEnd"/>
      <w:r w:rsidRPr="00BD1319">
        <w:t xml:space="preserve">: Zona de </w:t>
      </w:r>
      <w:r w:rsidR="00A85175" w:rsidRPr="00BD1319">
        <w:t>i</w:t>
      </w:r>
      <w:r w:rsidRPr="00BD1319">
        <w:t xml:space="preserve">nterés de </w:t>
      </w:r>
      <w:r w:rsidR="00A85175" w:rsidRPr="00BD1319">
        <w:t>d</w:t>
      </w:r>
      <w:r w:rsidRPr="00BD1319">
        <w:t xml:space="preserve">esarrollo </w:t>
      </w:r>
      <w:r w:rsidR="00A85175" w:rsidRPr="00BD1319">
        <w:t>r</w:t>
      </w:r>
      <w:r w:rsidRPr="00BD1319">
        <w:t xml:space="preserve">ural, </w:t>
      </w:r>
      <w:r w:rsidR="00A85175" w:rsidRPr="00BD1319">
        <w:t>e</w:t>
      </w:r>
      <w:r w:rsidRPr="00BD1319">
        <w:t xml:space="preserve">conómico y </w:t>
      </w:r>
      <w:r w:rsidR="00A85175" w:rsidRPr="00BD1319">
        <w:t>s</w:t>
      </w:r>
      <w:r w:rsidRPr="00BD1319">
        <w:t>ocial</w:t>
      </w:r>
    </w:p>
    <w:p w14:paraId="6E51CE55" w14:textId="77777777" w:rsidR="0056031B" w:rsidRPr="00BD1319" w:rsidRDefault="0056031B">
      <w:pPr>
        <w:numPr>
          <w:ilvl w:val="12"/>
          <w:numId w:val="0"/>
        </w:numPr>
        <w:tabs>
          <w:tab w:val="left" w:pos="-2268"/>
        </w:tabs>
        <w:suppressAutoHyphens/>
      </w:pPr>
    </w:p>
    <w:p w14:paraId="0FA344F5" w14:textId="16B5955B" w:rsidR="008035F2" w:rsidRPr="00BD1319" w:rsidRDefault="0056031B" w:rsidP="00C86DA5">
      <w:pPr>
        <w:numPr>
          <w:ilvl w:val="12"/>
          <w:numId w:val="0"/>
        </w:numPr>
        <w:tabs>
          <w:tab w:val="left" w:pos="-2268"/>
        </w:tabs>
        <w:suppressAutoHyphens/>
      </w:pPr>
      <w:bookmarkStart w:id="9" w:name="_Hlk158358141"/>
      <w:r w:rsidRPr="00BD1319">
        <w:rPr>
          <w:b/>
        </w:rPr>
        <w:t>Zodme</w:t>
      </w:r>
      <w:r w:rsidRPr="00BD1319">
        <w:t xml:space="preserve">: </w:t>
      </w:r>
      <w:r w:rsidR="00911E20" w:rsidRPr="00BD1319">
        <w:t>Sitio de disposición final de los residuos de construcción y demolición susceptibles de aprovechamiento generados por un proyecto, obra o actividad con licencia ambiental o instrumento equivalente</w:t>
      </w:r>
      <w:bookmarkEnd w:id="9"/>
      <w:r w:rsidR="008035F2" w:rsidRPr="00BD1319">
        <w:br w:type="page"/>
      </w:r>
    </w:p>
    <w:p w14:paraId="0D1816D6" w14:textId="637875D4" w:rsidR="00B06F49" w:rsidRPr="00BD1319" w:rsidRDefault="00B06F49" w:rsidP="00121B89">
      <w:pPr>
        <w:pStyle w:val="Captulosinnumero"/>
        <w:rPr>
          <w:lang w:val="es-CO"/>
        </w:rPr>
      </w:pPr>
      <w:bookmarkStart w:id="10" w:name="_Toc437935972"/>
      <w:bookmarkStart w:id="11" w:name="_Toc175326663"/>
      <w:bookmarkStart w:id="12" w:name="_Toc286250692"/>
      <w:bookmarkStart w:id="13" w:name="_Toc286250832"/>
      <w:bookmarkStart w:id="14" w:name="_Toc324339066"/>
      <w:bookmarkStart w:id="15" w:name="_Toc342071341"/>
      <w:bookmarkStart w:id="16" w:name="_Toc378923251"/>
      <w:bookmarkStart w:id="17" w:name="_Toc387312707"/>
      <w:bookmarkStart w:id="18" w:name="_Toc391040018"/>
      <w:r w:rsidRPr="00BD1319">
        <w:rPr>
          <w:lang w:val="es-CO"/>
        </w:rPr>
        <w:lastRenderedPageBreak/>
        <w:t>GLOSARIO</w:t>
      </w:r>
      <w:bookmarkEnd w:id="10"/>
      <w:bookmarkEnd w:id="11"/>
    </w:p>
    <w:p w14:paraId="7030C6BD" w14:textId="6AA7222F" w:rsidR="00B06F49" w:rsidRPr="00BD1319" w:rsidRDefault="00B06F49">
      <w:pPr>
        <w:numPr>
          <w:ilvl w:val="12"/>
          <w:numId w:val="0"/>
        </w:numPr>
        <w:tabs>
          <w:tab w:val="left" w:pos="-2268"/>
        </w:tabs>
        <w:suppressAutoHyphens/>
      </w:pPr>
    </w:p>
    <w:p w14:paraId="4E1D151C" w14:textId="271D9FEE" w:rsidR="00E15A48" w:rsidRPr="00BD1319" w:rsidRDefault="00FB5FD2">
      <w:pPr>
        <w:numPr>
          <w:ilvl w:val="12"/>
          <w:numId w:val="0"/>
        </w:numPr>
        <w:tabs>
          <w:tab w:val="left" w:pos="-2268"/>
        </w:tabs>
        <w:suppressAutoHyphens/>
      </w:pPr>
      <w:r w:rsidRPr="00BD1319">
        <w:t>Para</w:t>
      </w:r>
      <w:r w:rsidR="00E15A48" w:rsidRPr="00BD1319">
        <w:t xml:space="preserve"> la elaboración </w:t>
      </w:r>
      <w:r w:rsidR="00E15A48" w:rsidRPr="00BD1319">
        <w:rPr>
          <w:rFonts w:cs="Arial"/>
        </w:rPr>
        <w:t xml:space="preserve">y presentación </w:t>
      </w:r>
      <w:r w:rsidR="00E15A48" w:rsidRPr="00BD1319">
        <w:t>de los estudios ambientales</w:t>
      </w:r>
      <w:r w:rsidR="00B06F49" w:rsidRPr="00BD1319">
        <w:t xml:space="preserve"> se </w:t>
      </w:r>
      <w:r w:rsidR="00B66A4A" w:rsidRPr="00BD1319">
        <w:t xml:space="preserve">debe </w:t>
      </w:r>
      <w:r w:rsidR="00B06F49" w:rsidRPr="00BD1319">
        <w:t>ten</w:t>
      </w:r>
      <w:r w:rsidR="00B66A4A" w:rsidRPr="00BD1319">
        <w:t xml:space="preserve">er </w:t>
      </w:r>
      <w:r w:rsidR="00B06F49" w:rsidRPr="00BD1319">
        <w:t>en cuenta el siguiente glosario general</w:t>
      </w:r>
      <w:r w:rsidR="00E15A48" w:rsidRPr="00BD1319">
        <w:rPr>
          <w:vertAlign w:val="superscript"/>
        </w:rPr>
        <w:footnoteReference w:id="5"/>
      </w:r>
      <w:r w:rsidR="00E15A48" w:rsidRPr="00BD1319">
        <w:t>:</w:t>
      </w:r>
    </w:p>
    <w:p w14:paraId="1DC44542" w14:textId="77777777" w:rsidR="000E6BC1" w:rsidRPr="00BD1319" w:rsidRDefault="000E6BC1" w:rsidP="000E6BC1">
      <w:pPr>
        <w:numPr>
          <w:ilvl w:val="12"/>
          <w:numId w:val="0"/>
        </w:numPr>
        <w:tabs>
          <w:tab w:val="left" w:pos="-2268"/>
        </w:tabs>
        <w:suppressAutoHyphens/>
      </w:pPr>
    </w:p>
    <w:p w14:paraId="1CA5D02C" w14:textId="73F4BBE5" w:rsidR="00E15A48" w:rsidRPr="00BD1319" w:rsidRDefault="00E15A48" w:rsidP="00456AB1">
      <w:pPr>
        <w:numPr>
          <w:ilvl w:val="0"/>
          <w:numId w:val="19"/>
        </w:numPr>
        <w:suppressAutoHyphens/>
        <w:ind w:left="567" w:hanging="567"/>
        <w:rPr>
          <w:rFonts w:cs="Arial"/>
        </w:rPr>
      </w:pPr>
      <w:r w:rsidRPr="00BD1319">
        <w:rPr>
          <w:rFonts w:cs="Arial"/>
          <w:b/>
        </w:rPr>
        <w:t>Acuífero</w:t>
      </w:r>
      <w:r w:rsidR="00FB5FD2" w:rsidRPr="00BD1319">
        <w:rPr>
          <w:rFonts w:cs="Arial"/>
        </w:rPr>
        <w:t>:</w:t>
      </w:r>
      <w:r w:rsidR="00645B6A" w:rsidRPr="00BD1319">
        <w:rPr>
          <w:rFonts w:cs="Arial"/>
        </w:rPr>
        <w:t xml:space="preserve"> </w:t>
      </w:r>
      <w:r w:rsidR="006A6CC6" w:rsidRPr="00BD1319">
        <w:rPr>
          <w:rFonts w:cs="Arial"/>
        </w:rPr>
        <w:t>unidad de roca o sedimento, capaz de almacenar y transmitir agua, entendida como el sistema que involucra las zonas de recarga, tránsito y de descarga, así como sus interacciones con otras unidades similares, las aguas superficiales y marinas</w:t>
      </w:r>
      <w:r w:rsidR="00761FEE" w:rsidRPr="00BD1319">
        <w:rPr>
          <w:rFonts w:cs="Arial"/>
        </w:rPr>
        <w:t>.</w:t>
      </w:r>
      <w:r w:rsidR="00CF2BB6" w:rsidRPr="00BD1319">
        <w:rPr>
          <w:rFonts w:cs="Arial"/>
        </w:rPr>
        <w:t xml:space="preserve"> </w:t>
      </w:r>
      <w:r w:rsidR="00CF2BB6" w:rsidRPr="00BD1319">
        <w:rPr>
          <w:rFonts w:cs="Arial"/>
          <w:vertAlign w:val="superscript"/>
        </w:rPr>
        <w:t>[</w:t>
      </w:r>
      <w:bookmarkStart w:id="19" w:name="_Ref44839840"/>
      <w:r w:rsidR="00796770" w:rsidRPr="00BD1319">
        <w:rPr>
          <w:rStyle w:val="Refdenotaalfinal"/>
          <w:rFonts w:cs="Arial"/>
        </w:rPr>
        <w:endnoteReference w:id="2"/>
      </w:r>
      <w:bookmarkEnd w:id="19"/>
      <w:r w:rsidR="00CF2BB6" w:rsidRPr="00BD1319">
        <w:rPr>
          <w:rFonts w:cs="Arial"/>
          <w:vertAlign w:val="superscript"/>
        </w:rPr>
        <w:t>]</w:t>
      </w:r>
    </w:p>
    <w:p w14:paraId="202FE787" w14:textId="1D6EC27A" w:rsidR="00E15A48" w:rsidRPr="00BD1319" w:rsidRDefault="00E15A48" w:rsidP="00E51862">
      <w:pPr>
        <w:suppressAutoHyphens/>
        <w:rPr>
          <w:rFonts w:cs="Arial"/>
        </w:rPr>
      </w:pPr>
    </w:p>
    <w:p w14:paraId="68D1DAB7" w14:textId="562A1A6D" w:rsidR="00E15A48" w:rsidRPr="00BD1319" w:rsidRDefault="00E15A48" w:rsidP="009420F5">
      <w:pPr>
        <w:numPr>
          <w:ilvl w:val="0"/>
          <w:numId w:val="19"/>
        </w:numPr>
        <w:spacing w:line="259" w:lineRule="auto"/>
        <w:ind w:left="567" w:hanging="567"/>
        <w:rPr>
          <w:rFonts w:cs="Arial"/>
          <w:b/>
        </w:rPr>
      </w:pPr>
      <w:r w:rsidRPr="00BD1319">
        <w:rPr>
          <w:rFonts w:cs="Arial"/>
          <w:b/>
        </w:rPr>
        <w:t>Adaptación al cambio climático</w:t>
      </w:r>
      <w:r w:rsidRPr="00BD1319">
        <w:rPr>
          <w:rFonts w:cs="Arial"/>
        </w:rPr>
        <w:t xml:space="preserve">: </w:t>
      </w:r>
      <w:r w:rsidR="00F45EA1" w:rsidRPr="00BD1319">
        <w:rPr>
          <w:rFonts w:cs="Arial"/>
        </w:rPr>
        <w:t xml:space="preserve">proceso de ajuste a los efectos presentes y esperados del cambio climático. En ámbitos sociales de decisión corresponde al proceso de ajuste que busca atenuar los efectos perjudiciales y/o aprovechar las oportunidades beneficiosas presentes o esperadas del clima y sus efectos. En los </w:t>
      </w:r>
      <w:proofErr w:type="spellStart"/>
      <w:r w:rsidR="00F45EA1" w:rsidRPr="00BD1319">
        <w:rPr>
          <w:rFonts w:cs="Arial"/>
        </w:rPr>
        <w:t>socioecosistemas</w:t>
      </w:r>
      <w:proofErr w:type="spellEnd"/>
      <w:r w:rsidR="00F45EA1" w:rsidRPr="00BD1319">
        <w:rPr>
          <w:rFonts w:cs="Arial"/>
        </w:rPr>
        <w:t>, el proceso de ajuste de la biodiversidad al clima actual y sus efectos puede ser intervenido por la sociedad con el propósito de facilitar el ajuste al clima esperado</w:t>
      </w:r>
      <w:r w:rsidR="00761FEE" w:rsidRPr="00BD1319">
        <w:rPr>
          <w:rFonts w:cs="Arial"/>
        </w:rPr>
        <w:t>.</w:t>
      </w:r>
      <w:r w:rsidR="00CF2BB6" w:rsidRPr="00BD1319">
        <w:rPr>
          <w:rFonts w:cs="Arial"/>
        </w:rPr>
        <w:t xml:space="preserve"> </w:t>
      </w:r>
      <w:r w:rsidR="00CF2BB6" w:rsidRPr="00BD1319">
        <w:rPr>
          <w:rFonts w:cs="Arial"/>
          <w:vertAlign w:val="superscript"/>
        </w:rPr>
        <w:t>[</w:t>
      </w:r>
      <w:bookmarkStart w:id="20" w:name="_Ref44840425"/>
      <w:r w:rsidR="00212358" w:rsidRPr="00BD1319">
        <w:rPr>
          <w:rStyle w:val="Refdenotaalfinal"/>
          <w:rFonts w:cs="Arial"/>
        </w:rPr>
        <w:endnoteReference w:id="3"/>
      </w:r>
      <w:bookmarkEnd w:id="20"/>
      <w:r w:rsidR="00CF2BB6" w:rsidRPr="00BD1319">
        <w:rPr>
          <w:rFonts w:cs="Arial"/>
          <w:vertAlign w:val="superscript"/>
        </w:rPr>
        <w:t>]</w:t>
      </w:r>
    </w:p>
    <w:p w14:paraId="57A227D1" w14:textId="77777777" w:rsidR="00D46DE1" w:rsidRPr="00BD1319" w:rsidRDefault="00D46DE1" w:rsidP="000D6E21">
      <w:pPr>
        <w:spacing w:line="259" w:lineRule="auto"/>
        <w:rPr>
          <w:rFonts w:cs="Arial"/>
          <w:b/>
        </w:rPr>
      </w:pPr>
    </w:p>
    <w:p w14:paraId="293DE72E" w14:textId="7915D2F8" w:rsidR="00D46DE1" w:rsidRPr="00BD1319" w:rsidRDefault="00D46DE1" w:rsidP="00D46DE1">
      <w:pPr>
        <w:numPr>
          <w:ilvl w:val="0"/>
          <w:numId w:val="19"/>
        </w:numPr>
        <w:spacing w:line="259" w:lineRule="auto"/>
        <w:ind w:left="567" w:hanging="567"/>
        <w:rPr>
          <w:rFonts w:cs="Arial"/>
          <w:bCs/>
        </w:rPr>
      </w:pPr>
      <w:r w:rsidRPr="00BD1319">
        <w:rPr>
          <w:rFonts w:cs="Arial"/>
          <w:b/>
        </w:rPr>
        <w:t>Adaptación basada en comunidades</w:t>
      </w:r>
      <w:r w:rsidRPr="00BD1319">
        <w:rPr>
          <w:rFonts w:cs="Arial"/>
          <w:bCs/>
        </w:rPr>
        <w:t>: abordaje que busca aumentar la capacidad de adaptación de las comunidades más vulnerables a los impactos del Cambio Climático. Las comunidades más vulnerables son aquellas que son afectadas más fuertemente por los impactos del clima dada su ubicación espacial y su condición propia de incapacidad de adelantar acciones preventivas y adaptarse y recuperarse en corto tiempo a los embates de la variabilidad climática y de los eventos extremos sobre sus medios de subsistencia y las condiciones de su entorno para preservar sus vidas. Es un proceso que se sustenta en las prioridades, necesidades, conocimientos y capacidades locales que busca empoderar a las comunidades para enfrentarse con los impactos del Cambio Climático a corto y largo plazo.</w:t>
      </w:r>
      <w:r w:rsidR="00897F46" w:rsidRPr="00BD1319">
        <w:rPr>
          <w:rFonts w:cs="Arial"/>
          <w:bCs/>
        </w:rPr>
        <w:t xml:space="preserve"> </w:t>
      </w:r>
      <w:r w:rsidR="00897F46" w:rsidRPr="00BD1319">
        <w:rPr>
          <w:rFonts w:cs="Arial"/>
          <w:vertAlign w:val="superscript"/>
        </w:rPr>
        <w:t>[</w:t>
      </w:r>
      <w:r w:rsidR="00897F46" w:rsidRPr="00BD1319">
        <w:rPr>
          <w:rStyle w:val="Refdenotaalfinal"/>
          <w:rFonts w:cs="Arial"/>
        </w:rPr>
        <w:endnoteReference w:id="4"/>
      </w:r>
      <w:r w:rsidR="00897F46" w:rsidRPr="00BD1319">
        <w:rPr>
          <w:rFonts w:cs="Arial"/>
          <w:vertAlign w:val="superscript"/>
        </w:rPr>
        <w:t>]</w:t>
      </w:r>
    </w:p>
    <w:p w14:paraId="1C2AAD09" w14:textId="77777777" w:rsidR="00D46DE1" w:rsidRPr="00BD1319" w:rsidRDefault="00D46DE1" w:rsidP="000D6E21">
      <w:pPr>
        <w:spacing w:line="259" w:lineRule="auto"/>
        <w:rPr>
          <w:rFonts w:cs="Arial"/>
          <w:bCs/>
        </w:rPr>
      </w:pPr>
    </w:p>
    <w:p w14:paraId="46DA89C8" w14:textId="49240BAA" w:rsidR="00D46DE1" w:rsidRPr="00BD1319" w:rsidRDefault="00D46DE1" w:rsidP="00D46DE1">
      <w:pPr>
        <w:numPr>
          <w:ilvl w:val="0"/>
          <w:numId w:val="19"/>
        </w:numPr>
        <w:spacing w:line="259" w:lineRule="auto"/>
        <w:ind w:left="567" w:hanging="567"/>
        <w:rPr>
          <w:rFonts w:cs="Arial"/>
          <w:bCs/>
        </w:rPr>
      </w:pPr>
      <w:r w:rsidRPr="00BD1319">
        <w:rPr>
          <w:rFonts w:cs="Arial"/>
          <w:b/>
        </w:rPr>
        <w:t>Adaptación basada en ecosistemas</w:t>
      </w:r>
      <w:r w:rsidRPr="00BD1319">
        <w:rPr>
          <w:rFonts w:cs="Arial"/>
          <w:bCs/>
        </w:rPr>
        <w:t xml:space="preserve">: utilización de la biodiversidad y los servicios de los ecosistemas como parte de una estrategia más amplia de adaptación, para ayudar a las personas con los efectos adversos del cambio climático. Integra el manejo sostenible, la conservación y la restauración de </w:t>
      </w:r>
      <w:r w:rsidRPr="00BD1319">
        <w:rPr>
          <w:rFonts w:cs="Arial"/>
          <w:bCs/>
        </w:rPr>
        <w:lastRenderedPageBreak/>
        <w:t>ecosistemas para proveer servicios que permiten a las personas adaptarse a los impactos del cambio climático. Su propósito es mantener y aumentar la capacidad de adaptación y reducir la vulnerabilidad de los ecosistemas y las personas.</w:t>
      </w:r>
      <w:r w:rsidR="002F4B3B" w:rsidRPr="00BD1319">
        <w:rPr>
          <w:rFonts w:cs="Arial"/>
          <w:bCs/>
        </w:rPr>
        <w:t xml:space="preserve"> </w:t>
      </w:r>
      <w:r w:rsidR="002F4B3B" w:rsidRPr="00BD1319">
        <w:rPr>
          <w:rFonts w:cs="Arial"/>
          <w:vertAlign w:val="superscript"/>
        </w:rPr>
        <w:t>[</w:t>
      </w:r>
      <w:r w:rsidR="002F4B3B" w:rsidRPr="00BD1319">
        <w:rPr>
          <w:rStyle w:val="Refdenotaalfinal"/>
          <w:rFonts w:cs="Arial"/>
        </w:rPr>
        <w:endnoteReference w:id="5"/>
      </w:r>
      <w:r w:rsidR="002F4B3B" w:rsidRPr="00BD1319">
        <w:rPr>
          <w:rFonts w:cs="Arial"/>
          <w:vertAlign w:val="superscript"/>
        </w:rPr>
        <w:t>]</w:t>
      </w:r>
    </w:p>
    <w:p w14:paraId="6730061B" w14:textId="77777777" w:rsidR="00D46DE1" w:rsidRPr="00BD1319" w:rsidRDefault="00D46DE1" w:rsidP="000D6E21">
      <w:pPr>
        <w:rPr>
          <w:rFonts w:cs="Arial"/>
          <w:bCs/>
        </w:rPr>
      </w:pPr>
    </w:p>
    <w:p w14:paraId="2EF25781" w14:textId="23233D07" w:rsidR="00D46DE1" w:rsidRPr="00BD1319" w:rsidRDefault="00D46DE1" w:rsidP="000D6E21">
      <w:pPr>
        <w:numPr>
          <w:ilvl w:val="0"/>
          <w:numId w:val="19"/>
        </w:numPr>
        <w:spacing w:line="259" w:lineRule="auto"/>
        <w:ind w:left="567" w:hanging="567"/>
        <w:rPr>
          <w:rFonts w:cs="Arial"/>
          <w:bCs/>
        </w:rPr>
      </w:pPr>
      <w:r w:rsidRPr="00BD1319">
        <w:rPr>
          <w:rFonts w:cs="Arial"/>
          <w:b/>
        </w:rPr>
        <w:t>Adaptación a través de obras de infraestructura</w:t>
      </w:r>
      <w:r w:rsidRPr="00BD1319">
        <w:rPr>
          <w:rFonts w:cs="Arial"/>
          <w:bCs/>
        </w:rPr>
        <w:t>: abordaje que busca aumentar la capacidad de adaptación de las obras de infraestructura que juegan un papel determinante en el desarrollo económico. Consiste en modificar el proceso de diseño de las estructuras teniendo en cuenta periodos de retorno más amplios y los escenarios de riesgo que se deriven de éstos.</w:t>
      </w:r>
      <w:r w:rsidR="000839AB" w:rsidRPr="00BD1319">
        <w:rPr>
          <w:rFonts w:cs="Arial"/>
          <w:bCs/>
        </w:rPr>
        <w:t xml:space="preserve"> </w:t>
      </w:r>
      <w:r w:rsidR="000839AB" w:rsidRPr="00BD1319">
        <w:rPr>
          <w:rFonts w:cs="Arial"/>
          <w:vertAlign w:val="superscript"/>
        </w:rPr>
        <w:t>[</w:t>
      </w:r>
      <w:r w:rsidR="000839AB" w:rsidRPr="00BD1319">
        <w:rPr>
          <w:rStyle w:val="Refdenotaalfinal"/>
          <w:rFonts w:cs="Arial"/>
        </w:rPr>
        <w:endnoteReference w:id="6"/>
      </w:r>
      <w:r w:rsidR="000839AB" w:rsidRPr="00BD1319">
        <w:rPr>
          <w:rFonts w:cs="Arial"/>
          <w:vertAlign w:val="superscript"/>
        </w:rPr>
        <w:t>]</w:t>
      </w:r>
    </w:p>
    <w:p w14:paraId="436CE4D8" w14:textId="77777777" w:rsidR="00F45EA1" w:rsidRPr="00BD1319" w:rsidRDefault="00F45EA1" w:rsidP="00E51862">
      <w:pPr>
        <w:suppressAutoHyphens/>
        <w:rPr>
          <w:rFonts w:cs="Arial"/>
        </w:rPr>
      </w:pPr>
    </w:p>
    <w:p w14:paraId="17B0071A" w14:textId="0223342C" w:rsidR="00E15A48" w:rsidRPr="00BD1319" w:rsidRDefault="00E15A48" w:rsidP="00E51862">
      <w:pPr>
        <w:numPr>
          <w:ilvl w:val="0"/>
          <w:numId w:val="19"/>
        </w:numPr>
        <w:suppressAutoHyphens/>
        <w:ind w:left="567" w:hanging="567"/>
        <w:rPr>
          <w:rFonts w:cs="Arial"/>
        </w:rPr>
      </w:pPr>
      <w:r w:rsidRPr="00BD1319">
        <w:rPr>
          <w:rFonts w:cs="Arial"/>
          <w:b/>
        </w:rPr>
        <w:t>Agua subterránea</w:t>
      </w:r>
      <w:r w:rsidRPr="00BD1319">
        <w:rPr>
          <w:rFonts w:cs="Arial"/>
        </w:rPr>
        <w:t xml:space="preserve">: </w:t>
      </w:r>
      <w:bookmarkStart w:id="21" w:name="_Hlk26867909"/>
      <w:r w:rsidR="0077032C" w:rsidRPr="00BD1319">
        <w:rPr>
          <w:rFonts w:cs="Arial"/>
        </w:rPr>
        <w:t>agua subálvea y la oculta debajo de la superficie del suelo o del fondo marino que brota en forma natural, como las fuentes y manantiales captados en el sitio de afloramiento o la que requiere para su alumbramiento obras como pozos, galerías filtrantes u otras similares</w:t>
      </w:r>
      <w:bookmarkEnd w:id="21"/>
      <w:r w:rsidR="007966EF" w:rsidRPr="00BD1319">
        <w:rPr>
          <w:rFonts w:cs="Arial"/>
        </w:rPr>
        <w:t>.</w:t>
      </w:r>
      <w:r w:rsidR="00CF2BB6" w:rsidRPr="00BD1319">
        <w:rPr>
          <w:rFonts w:cs="Arial"/>
        </w:rPr>
        <w:t xml:space="preserve"> </w:t>
      </w:r>
      <w:r w:rsidR="00CF2BB6" w:rsidRPr="00BD1319">
        <w:rPr>
          <w:rFonts w:cs="Arial"/>
          <w:vertAlign w:val="superscript"/>
        </w:rPr>
        <w:t>[</w:t>
      </w:r>
      <w:r w:rsidR="0077032C" w:rsidRPr="00BD1319">
        <w:rPr>
          <w:vertAlign w:val="superscript"/>
        </w:rPr>
        <w:fldChar w:fldCharType="begin"/>
      </w:r>
      <w:r w:rsidR="0077032C" w:rsidRPr="00BD1319">
        <w:rPr>
          <w:vertAlign w:val="superscript"/>
        </w:rPr>
        <w:instrText xml:space="preserve"> NOTEREF _Ref44839840 \h </w:instrText>
      </w:r>
      <w:r w:rsidR="006A4128" w:rsidRPr="00BD1319">
        <w:rPr>
          <w:vertAlign w:val="superscript"/>
        </w:rPr>
        <w:instrText xml:space="preserve"> \* MERGEFORMAT </w:instrText>
      </w:r>
      <w:r w:rsidR="0077032C" w:rsidRPr="00BD1319">
        <w:rPr>
          <w:vertAlign w:val="superscript"/>
        </w:rPr>
      </w:r>
      <w:r w:rsidR="0077032C" w:rsidRPr="00BD1319">
        <w:rPr>
          <w:vertAlign w:val="superscript"/>
        </w:rPr>
        <w:fldChar w:fldCharType="separate"/>
      </w:r>
      <w:r w:rsidR="00296654" w:rsidRPr="00BD1319">
        <w:rPr>
          <w:vertAlign w:val="superscript"/>
        </w:rPr>
        <w:t>1</w:t>
      </w:r>
      <w:r w:rsidR="0077032C" w:rsidRPr="00BD1319">
        <w:rPr>
          <w:vertAlign w:val="superscript"/>
        </w:rPr>
        <w:fldChar w:fldCharType="end"/>
      </w:r>
      <w:r w:rsidR="00CF2BB6" w:rsidRPr="00BD1319">
        <w:rPr>
          <w:rFonts w:cs="Arial"/>
          <w:vertAlign w:val="superscript"/>
        </w:rPr>
        <w:t>]</w:t>
      </w:r>
    </w:p>
    <w:p w14:paraId="365B63FD" w14:textId="77777777" w:rsidR="004E1BE9" w:rsidRPr="00BD1319" w:rsidRDefault="004E1BE9" w:rsidP="00E51862">
      <w:pPr>
        <w:suppressAutoHyphens/>
        <w:rPr>
          <w:rFonts w:cs="Arial"/>
        </w:rPr>
      </w:pPr>
    </w:p>
    <w:p w14:paraId="5B8E6558" w14:textId="428D3319" w:rsidR="00AA4F93" w:rsidRPr="00BD1319" w:rsidRDefault="00AA4F93" w:rsidP="00C86DA5">
      <w:pPr>
        <w:numPr>
          <w:ilvl w:val="0"/>
          <w:numId w:val="19"/>
        </w:numPr>
        <w:suppressAutoHyphens/>
        <w:ind w:left="567" w:hanging="567"/>
      </w:pPr>
      <w:r w:rsidRPr="00BD1319">
        <w:rPr>
          <w:b/>
        </w:rPr>
        <w:t>Alcance del proyecto, obra o actividad</w:t>
      </w:r>
      <w:r w:rsidRPr="00BD1319">
        <w:t xml:space="preserve">: incluye la planeación, emplazamiento, instalación, construcción, montaje, operación, mantenimiento, desmantelamiento, </w:t>
      </w:r>
      <w:r w:rsidRPr="00BD1319">
        <w:rPr>
          <w:rFonts w:cs="Arial"/>
        </w:rPr>
        <w:t>abandono</w:t>
      </w:r>
      <w:r w:rsidRPr="00BD1319">
        <w:t xml:space="preserve"> y/o terminación de todas las acciones, </w:t>
      </w:r>
      <w:r w:rsidR="00E51862" w:rsidRPr="00BD1319">
        <w:t xml:space="preserve">usos del espacio, </w:t>
      </w:r>
      <w:r w:rsidRPr="00BD1319">
        <w:t>actividad</w:t>
      </w:r>
      <w:r w:rsidR="00E51862" w:rsidRPr="00BD1319">
        <w:t>es e infraestructura relacionados y asociados</w:t>
      </w:r>
      <w:r w:rsidRPr="00BD1319">
        <w:t xml:space="preserve"> con </w:t>
      </w:r>
      <w:r w:rsidR="00E51862" w:rsidRPr="00BD1319">
        <w:t xml:space="preserve">su </w:t>
      </w:r>
      <w:r w:rsidRPr="00BD1319">
        <w:t>desarrollo</w:t>
      </w:r>
      <w:r w:rsidR="007966EF" w:rsidRPr="00BD1319">
        <w:t>.</w:t>
      </w:r>
      <w:bookmarkStart w:id="22" w:name="_Ref496866338"/>
      <w:r w:rsidR="00CF2BB6" w:rsidRPr="00BD1319">
        <w:t xml:space="preserve"> </w:t>
      </w:r>
      <w:r w:rsidR="00CF2BB6" w:rsidRPr="00BD1319">
        <w:rPr>
          <w:vertAlign w:val="superscript"/>
        </w:rPr>
        <w:t>[</w:t>
      </w:r>
      <w:r w:rsidR="00085B6C" w:rsidRPr="00BD1319">
        <w:rPr>
          <w:vertAlign w:val="superscript"/>
        </w:rPr>
        <w:fldChar w:fldCharType="begin"/>
      </w:r>
      <w:r w:rsidR="00085B6C" w:rsidRPr="00BD1319">
        <w:rPr>
          <w:vertAlign w:val="superscript"/>
        </w:rPr>
        <w:instrText xml:space="preserve"> NOTEREF _Ref44839840 \h </w:instrText>
      </w:r>
      <w:r w:rsidR="006A4128" w:rsidRPr="00BD1319">
        <w:rPr>
          <w:vertAlign w:val="superscript"/>
        </w:rPr>
        <w:instrText xml:space="preserve"> \* MERGEFORMAT </w:instrText>
      </w:r>
      <w:r w:rsidR="00085B6C" w:rsidRPr="00BD1319">
        <w:rPr>
          <w:vertAlign w:val="superscript"/>
        </w:rPr>
      </w:r>
      <w:r w:rsidR="00085B6C" w:rsidRPr="00BD1319">
        <w:rPr>
          <w:vertAlign w:val="superscript"/>
        </w:rPr>
        <w:fldChar w:fldCharType="separate"/>
      </w:r>
      <w:r w:rsidR="00296654" w:rsidRPr="00BD1319">
        <w:rPr>
          <w:vertAlign w:val="superscript"/>
        </w:rPr>
        <w:t>1</w:t>
      </w:r>
      <w:r w:rsidR="00085B6C" w:rsidRPr="00BD1319">
        <w:rPr>
          <w:vertAlign w:val="superscript"/>
        </w:rPr>
        <w:fldChar w:fldCharType="end"/>
      </w:r>
      <w:bookmarkEnd w:id="22"/>
      <w:r w:rsidR="00CF2BB6" w:rsidRPr="00BD1319">
        <w:rPr>
          <w:vertAlign w:val="superscript"/>
        </w:rPr>
        <w:t>]</w:t>
      </w:r>
    </w:p>
    <w:p w14:paraId="00D2CF58" w14:textId="77777777" w:rsidR="00AA4F93" w:rsidRPr="00BD1319" w:rsidRDefault="00AA4F93">
      <w:pPr>
        <w:suppressAutoHyphens/>
      </w:pPr>
    </w:p>
    <w:p w14:paraId="39EDD1C0" w14:textId="6FA67E1F" w:rsidR="00E8461D" w:rsidRPr="00BD1319" w:rsidRDefault="00E8461D" w:rsidP="00E8461D">
      <w:pPr>
        <w:numPr>
          <w:ilvl w:val="0"/>
          <w:numId w:val="19"/>
        </w:numPr>
        <w:suppressAutoHyphens/>
        <w:ind w:left="567" w:hanging="567"/>
        <w:rPr>
          <w:rFonts w:cs="Arial"/>
        </w:rPr>
      </w:pPr>
      <w:r w:rsidRPr="00BD1319">
        <w:rPr>
          <w:rFonts w:cs="Arial"/>
          <w:b/>
        </w:rPr>
        <w:t>Ambiente</w:t>
      </w:r>
      <w:r w:rsidRPr="00BD1319">
        <w:rPr>
          <w:rFonts w:cs="Arial"/>
        </w:rPr>
        <w:t xml:space="preserve">: </w:t>
      </w:r>
      <w:bookmarkStart w:id="23" w:name="_Hlk156921628"/>
      <w:r w:rsidRPr="00BD1319">
        <w:rPr>
          <w:rFonts w:cs="Arial"/>
        </w:rPr>
        <w:t>comprende los elementos naturales, tanto físicos como biológicos, los elementos artificiales, sociales y culturales, y las interacciones de éstos entre sí</w:t>
      </w:r>
      <w:bookmarkEnd w:id="23"/>
      <w:r w:rsidRPr="00BD1319">
        <w:rPr>
          <w:rFonts w:cs="Arial"/>
        </w:rPr>
        <w:t>.</w:t>
      </w:r>
    </w:p>
    <w:p w14:paraId="7394755C" w14:textId="77777777" w:rsidR="009D30D2" w:rsidRPr="00BD1319" w:rsidRDefault="009D30D2" w:rsidP="00121B89">
      <w:pPr>
        <w:rPr>
          <w:rFonts w:cs="Arial"/>
        </w:rPr>
      </w:pPr>
    </w:p>
    <w:p w14:paraId="1A7D5C40" w14:textId="0E9ECA06" w:rsidR="00E51862" w:rsidRPr="00BD1319" w:rsidRDefault="00AA4F93" w:rsidP="00C86DA5">
      <w:pPr>
        <w:numPr>
          <w:ilvl w:val="0"/>
          <w:numId w:val="19"/>
        </w:numPr>
        <w:suppressAutoHyphens/>
        <w:ind w:left="567" w:hanging="567"/>
        <w:rPr>
          <w:b/>
        </w:rPr>
      </w:pPr>
      <w:r w:rsidRPr="00BD1319">
        <w:rPr>
          <w:b/>
        </w:rPr>
        <w:t>Amenaza</w:t>
      </w:r>
      <w:r w:rsidRPr="00BD1319">
        <w:t xml:space="preserve">: </w:t>
      </w:r>
      <w:r w:rsidR="00AC3EDB" w:rsidRPr="00BD1319">
        <w:t>peligro</w:t>
      </w:r>
      <w:r w:rsidRPr="00BD1319">
        <w:t xml:space="preserve"> </w:t>
      </w:r>
      <w:r w:rsidR="00A2257E" w:rsidRPr="00BD1319">
        <w:t>latente de que un evento físico de origen natural, o causado, o inducido por la acción humana de manera accidental, se presente con una severidad suficiente para causar pérdida de vidas, lesiones u otros impactos en la salud, así como también daños y pérdidas en los bienes, la infraestructura, los medios de sustento, la prestación de servicios y los recursos ambientales</w:t>
      </w:r>
      <w:bookmarkStart w:id="24" w:name="_Ref496867826"/>
      <w:r w:rsidR="006A5D01" w:rsidRPr="00BD1319">
        <w:t>.</w:t>
      </w:r>
      <w:r w:rsidR="00CF2BB6" w:rsidRPr="00BD1319">
        <w:t xml:space="preserve"> </w:t>
      </w:r>
      <w:r w:rsidR="00CF2BB6" w:rsidRPr="00BD1319">
        <w:rPr>
          <w:vertAlign w:val="superscript"/>
        </w:rPr>
        <w:t>[</w:t>
      </w:r>
      <w:bookmarkStart w:id="25" w:name="_Ref44841712"/>
      <w:r w:rsidRPr="00BD1319">
        <w:rPr>
          <w:vertAlign w:val="superscript"/>
        </w:rPr>
        <w:endnoteReference w:id="7"/>
      </w:r>
      <w:bookmarkEnd w:id="24"/>
      <w:bookmarkEnd w:id="25"/>
      <w:r w:rsidR="00CF2BB6" w:rsidRPr="00BD1319">
        <w:rPr>
          <w:vertAlign w:val="superscript"/>
        </w:rPr>
        <w:t>]</w:t>
      </w:r>
    </w:p>
    <w:p w14:paraId="3F46275B" w14:textId="77777777" w:rsidR="00E51862" w:rsidRPr="00BD1319" w:rsidRDefault="00E51862" w:rsidP="00E51862"/>
    <w:p w14:paraId="70FE8546" w14:textId="5D40A7C5" w:rsidR="00040ED9" w:rsidRPr="00BD1319" w:rsidRDefault="00040ED9" w:rsidP="00E51862">
      <w:pPr>
        <w:numPr>
          <w:ilvl w:val="0"/>
          <w:numId w:val="19"/>
        </w:numPr>
        <w:suppressAutoHyphens/>
        <w:ind w:left="567" w:hanging="567"/>
        <w:rPr>
          <w:b/>
        </w:rPr>
      </w:pPr>
      <w:r w:rsidRPr="00BD1319">
        <w:rPr>
          <w:rFonts w:cs="Arial"/>
          <w:b/>
        </w:rPr>
        <w:t>Análisis de consecuencias</w:t>
      </w:r>
      <w:r w:rsidRPr="00BD1319">
        <w:rPr>
          <w:rFonts w:cs="Arial"/>
        </w:rPr>
        <w:t xml:space="preserve">: estimación de las consecuencias de eventos usando modelos matemáticos, retorno de experiencias o resultados experimentales. Implica el cálculo de la energía transferida o masa liberada por el evento. </w:t>
      </w:r>
      <w:r w:rsidRPr="00BD1319">
        <w:rPr>
          <w:rFonts w:cs="Arial"/>
          <w:vertAlign w:val="superscript"/>
        </w:rPr>
        <w:t>[</w:t>
      </w:r>
      <w:r w:rsidRPr="00BD1319">
        <w:rPr>
          <w:rStyle w:val="Refdenotaalfinal"/>
          <w:rFonts w:cs="Arial"/>
        </w:rPr>
        <w:endnoteReference w:id="8"/>
      </w:r>
      <w:r w:rsidRPr="00BD1319">
        <w:rPr>
          <w:rFonts w:cs="Arial"/>
          <w:vertAlign w:val="superscript"/>
        </w:rPr>
        <w:t>]</w:t>
      </w:r>
    </w:p>
    <w:p w14:paraId="3977A808" w14:textId="77777777" w:rsidR="008B0543" w:rsidRPr="00BD1319" w:rsidRDefault="008B0543" w:rsidP="000D6E21">
      <w:pPr>
        <w:suppressAutoHyphens/>
        <w:rPr>
          <w:b/>
        </w:rPr>
      </w:pPr>
    </w:p>
    <w:p w14:paraId="038C6653" w14:textId="159F239B" w:rsidR="008B0543" w:rsidRPr="00BD1319" w:rsidRDefault="008B0543" w:rsidP="00E51862">
      <w:pPr>
        <w:numPr>
          <w:ilvl w:val="0"/>
          <w:numId w:val="19"/>
        </w:numPr>
        <w:suppressAutoHyphens/>
        <w:ind w:left="567" w:hanging="567"/>
        <w:rPr>
          <w:b/>
        </w:rPr>
      </w:pPr>
      <w:r w:rsidRPr="00BD1319">
        <w:rPr>
          <w:b/>
        </w:rPr>
        <w:lastRenderedPageBreak/>
        <w:t>Análisis y evaluación del riesgo</w:t>
      </w:r>
      <w:r w:rsidRPr="00BD1319">
        <w:rPr>
          <w:bCs/>
        </w:rPr>
        <w:t xml:space="preserve">: </w:t>
      </w:r>
      <w:r w:rsidR="00E54E71" w:rsidRPr="00BD1319">
        <w:rPr>
          <w:bCs/>
        </w:rPr>
        <w:t xml:space="preserve">implica la consideración de las causas y fuentes del riesgo, sus consecuencias y la probabilidad de que dichas consecuencias puedan ocurrir. Es el modelo mediante el cual se relaciona la amenaza y la vulnerabilidad de los elementos expuestos, con el fin de determinar los posibles efectos sociales, económicos y ambientales y sus probabilidades. Se estima el valor de los daños y las pérdidas potenciales, y se compara con criterios de seguridad establecidos, con el propósito de definir tipos de intervención y alcance de la reducción del riesgo y preparación para la respuesta y recuperación. </w:t>
      </w:r>
      <w:r w:rsidR="00E54E71" w:rsidRPr="00BD1319">
        <w:rPr>
          <w:bCs/>
          <w:vertAlign w:val="superscript"/>
        </w:rPr>
        <w:t>[</w:t>
      </w:r>
      <w:r w:rsidR="00441009" w:rsidRPr="00BD1319">
        <w:rPr>
          <w:bCs/>
          <w:vertAlign w:val="superscript"/>
        </w:rPr>
        <w:fldChar w:fldCharType="begin"/>
      </w:r>
      <w:r w:rsidR="00441009" w:rsidRPr="00BD1319">
        <w:rPr>
          <w:bCs/>
          <w:vertAlign w:val="superscript"/>
        </w:rPr>
        <w:instrText xml:space="preserve"> NOTEREF _Ref44841712 \h </w:instrText>
      </w:r>
      <w:r w:rsidR="00BD1319">
        <w:rPr>
          <w:bCs/>
          <w:vertAlign w:val="superscript"/>
        </w:rPr>
        <w:instrText xml:space="preserve"> \* MERGEFORMAT </w:instrText>
      </w:r>
      <w:r w:rsidR="00441009" w:rsidRPr="00BD1319">
        <w:rPr>
          <w:bCs/>
          <w:vertAlign w:val="superscript"/>
        </w:rPr>
      </w:r>
      <w:r w:rsidR="00441009" w:rsidRPr="00BD1319">
        <w:rPr>
          <w:bCs/>
          <w:vertAlign w:val="superscript"/>
        </w:rPr>
        <w:fldChar w:fldCharType="separate"/>
      </w:r>
      <w:r w:rsidR="00296654" w:rsidRPr="00BD1319">
        <w:rPr>
          <w:bCs/>
          <w:vertAlign w:val="superscript"/>
        </w:rPr>
        <w:t>6</w:t>
      </w:r>
      <w:r w:rsidR="00441009" w:rsidRPr="00BD1319">
        <w:rPr>
          <w:bCs/>
          <w:vertAlign w:val="superscript"/>
        </w:rPr>
        <w:fldChar w:fldCharType="end"/>
      </w:r>
      <w:r w:rsidR="00E54E71" w:rsidRPr="00BD1319">
        <w:rPr>
          <w:bCs/>
          <w:vertAlign w:val="superscript"/>
        </w:rPr>
        <w:t>]</w:t>
      </w:r>
    </w:p>
    <w:p w14:paraId="1B7C98C1" w14:textId="77777777" w:rsidR="003A1DDA" w:rsidRPr="00BD1319" w:rsidRDefault="003A1DDA"/>
    <w:p w14:paraId="4DE796C9" w14:textId="77777777" w:rsidR="00844386" w:rsidRPr="00BD1319" w:rsidRDefault="00844386" w:rsidP="00844386">
      <w:pPr>
        <w:numPr>
          <w:ilvl w:val="0"/>
          <w:numId w:val="19"/>
        </w:numPr>
        <w:suppressAutoHyphens/>
        <w:ind w:left="567" w:hanging="567"/>
      </w:pPr>
      <w:r w:rsidRPr="00BD1319">
        <w:rPr>
          <w:rFonts w:cs="Arial"/>
          <w:b/>
        </w:rPr>
        <w:t>Área</w:t>
      </w:r>
      <w:r w:rsidRPr="00BD1319">
        <w:rPr>
          <w:b/>
        </w:rPr>
        <w:t xml:space="preserve"> de alta consecuencia</w:t>
      </w:r>
      <w:r w:rsidRPr="00BD1319">
        <w:t>: zona en la que una pérdida de contención de sustancias orgánicas e inorgánicas puede ocasionar consecuencias adversas al ambiente, personas e infraestructura de transporte (fluvial, férrea y carretera).</w:t>
      </w:r>
      <w:r w:rsidRPr="00BD1319">
        <w:rPr>
          <w:rFonts w:cs="Arial"/>
          <w:vertAlign w:val="superscript"/>
        </w:rPr>
        <w:t xml:space="preserve"> [</w:t>
      </w:r>
      <w:bookmarkStart w:id="26" w:name="_Ref78190640"/>
      <w:r w:rsidRPr="00BD1319">
        <w:rPr>
          <w:rFonts w:cs="Arial"/>
          <w:vertAlign w:val="superscript"/>
        </w:rPr>
        <w:endnoteReference w:id="9"/>
      </w:r>
      <w:bookmarkEnd w:id="26"/>
      <w:r w:rsidRPr="00BD1319">
        <w:rPr>
          <w:rFonts w:cs="Arial"/>
          <w:vertAlign w:val="superscript"/>
        </w:rPr>
        <w:t>]</w:t>
      </w:r>
    </w:p>
    <w:p w14:paraId="0D613A89" w14:textId="77777777" w:rsidR="00646D8F" w:rsidRPr="00BD1319" w:rsidRDefault="00646D8F" w:rsidP="008A4FE9">
      <w:pPr>
        <w:pStyle w:val="Prrafodelista"/>
      </w:pPr>
    </w:p>
    <w:p w14:paraId="16678DF4" w14:textId="2D7DA008" w:rsidR="008D1DE7" w:rsidRPr="00BD1319" w:rsidRDefault="00AA4F93" w:rsidP="00E51862">
      <w:pPr>
        <w:numPr>
          <w:ilvl w:val="0"/>
          <w:numId w:val="19"/>
        </w:numPr>
        <w:suppressAutoHyphens/>
        <w:ind w:left="567" w:hanging="567"/>
      </w:pPr>
      <w:r w:rsidRPr="00BD1319">
        <w:rPr>
          <w:b/>
        </w:rPr>
        <w:t>Área de estudio</w:t>
      </w:r>
      <w:r w:rsidRPr="00BD1319">
        <w:t xml:space="preserve">: </w:t>
      </w:r>
      <w:bookmarkStart w:id="27" w:name="_Hlk89694632"/>
      <w:r w:rsidR="00E51862" w:rsidRPr="00BD1319">
        <w:t>superficie continua o discontinua, en la que se manif</w:t>
      </w:r>
      <w:r w:rsidR="004758E3" w:rsidRPr="00BD1319">
        <w:t>i</w:t>
      </w:r>
      <w:r w:rsidR="00E51862" w:rsidRPr="00BD1319">
        <w:t>estan los impactos ambientales significativos que potencialmente generaría</w:t>
      </w:r>
      <w:r w:rsidR="0071123E" w:rsidRPr="00BD1319">
        <w:t>n</w:t>
      </w:r>
      <w:r w:rsidR="00E51862" w:rsidRPr="00BD1319">
        <w:t xml:space="preserve"> la</w:t>
      </w:r>
      <w:r w:rsidR="0071123E" w:rsidRPr="00BD1319">
        <w:t>s</w:t>
      </w:r>
      <w:r w:rsidR="00E51862" w:rsidRPr="00BD1319">
        <w:t xml:space="preserve"> alternativa</w:t>
      </w:r>
      <w:r w:rsidR="0071123E" w:rsidRPr="00BD1319">
        <w:t>s</w:t>
      </w:r>
      <w:r w:rsidR="00E51862" w:rsidRPr="00BD1319">
        <w:t xml:space="preserve"> técnica y ambientalmente racional</w:t>
      </w:r>
      <w:r w:rsidR="0071123E" w:rsidRPr="00BD1319">
        <w:t>es</w:t>
      </w:r>
      <w:r w:rsidR="00E51862" w:rsidRPr="00BD1319">
        <w:t xml:space="preserve"> que se contemple</w:t>
      </w:r>
      <w:r w:rsidR="0071123E" w:rsidRPr="00BD1319">
        <w:t>n</w:t>
      </w:r>
      <w:r w:rsidR="00E51862" w:rsidRPr="00BD1319">
        <w:t xml:space="preserve"> para la ejecución de un proyecto, obra o actividad en el marco de un Diagnóstico Ambiental de Alternativas</w:t>
      </w:r>
      <w:bookmarkEnd w:id="27"/>
      <w:r w:rsidR="00E51862" w:rsidRPr="00BD1319">
        <w:t>.</w:t>
      </w:r>
    </w:p>
    <w:p w14:paraId="1F226A73" w14:textId="77777777" w:rsidR="003A1DDA" w:rsidRPr="00BD1319" w:rsidRDefault="003A1DDA" w:rsidP="00C86DA5">
      <w:pPr>
        <w:suppressAutoHyphens/>
      </w:pPr>
    </w:p>
    <w:p w14:paraId="560BA590" w14:textId="2093F67A" w:rsidR="00AA4F93" w:rsidRPr="00BD1319" w:rsidRDefault="00AA4F93" w:rsidP="00C86DA5">
      <w:pPr>
        <w:numPr>
          <w:ilvl w:val="0"/>
          <w:numId w:val="19"/>
        </w:numPr>
        <w:suppressAutoHyphens/>
        <w:ind w:left="567" w:hanging="567"/>
        <w:rPr>
          <w:rFonts w:eastAsia="Arial Unicode MS"/>
          <w:shd w:val="clear" w:color="auto" w:fill="FFFFFF"/>
        </w:rPr>
      </w:pPr>
      <w:r w:rsidRPr="00BD1319">
        <w:rPr>
          <w:b/>
        </w:rPr>
        <w:t>Área de influencia</w:t>
      </w:r>
      <w:r w:rsidRPr="00BD1319">
        <w:t xml:space="preserve">: </w:t>
      </w:r>
      <w:r w:rsidR="0088212E" w:rsidRPr="00BD1319">
        <w:rPr>
          <w:rFonts w:eastAsia="Arial Unicode MS" w:cs="Arial"/>
          <w:shd w:val="clear" w:color="auto" w:fill="FFFFFF"/>
          <w:lang w:eastAsia="en-US"/>
        </w:rPr>
        <w:t>á</w:t>
      </w:r>
      <w:r w:rsidRPr="00BD1319">
        <w:rPr>
          <w:rFonts w:eastAsia="Arial Unicode MS" w:cs="Arial"/>
          <w:shd w:val="clear" w:color="auto" w:fill="FFFFFF"/>
          <w:lang w:eastAsia="en-US"/>
        </w:rPr>
        <w:t>rea</w:t>
      </w:r>
      <w:r w:rsidRPr="00BD1319">
        <w:rPr>
          <w:rFonts w:eastAsia="Arial Unicode MS"/>
          <w:shd w:val="clear" w:color="auto" w:fill="FFFFFF"/>
        </w:rPr>
        <w:t xml:space="preserve"> en la cual se manifiestan de manera objetiva y en lo posible cuantificable, los impactos ambientales significativos ocasionados por la ejecución de un proyecto, obra o actividad, sobre los medios abiótico, biótico y socioeconómico, en cada uno de los componentes de dichos medios. </w:t>
      </w:r>
      <w:r w:rsidRPr="00BD1319">
        <w:rPr>
          <w:rFonts w:eastAsia="Arial Unicode MS" w:cs="Arial"/>
          <w:shd w:val="clear" w:color="auto" w:fill="FFFFFF"/>
          <w:lang w:eastAsia="en-US"/>
        </w:rPr>
        <w:t>Debido a que las áreas de los impactos pueden variar dependiendo del componente que se analice, el área de influencia podrá corresponder a varios polígonos distintos que se entrecrucen entre sí</w:t>
      </w:r>
      <w:r w:rsidR="006A5D01" w:rsidRPr="00BD1319">
        <w:rPr>
          <w:rFonts w:eastAsia="Arial Unicode MS" w:cs="Arial"/>
          <w:shd w:val="clear" w:color="auto" w:fill="FFFFFF"/>
          <w:lang w:eastAsia="en-US"/>
        </w:rPr>
        <w:t>.</w:t>
      </w:r>
      <w:r w:rsidRPr="00BD1319">
        <w:rPr>
          <w:rFonts w:eastAsia="Arial Unicode MS" w:cs="Arial"/>
          <w:shd w:val="clear" w:color="auto" w:fill="FFFFFF"/>
          <w:lang w:eastAsia="en-US"/>
        </w:rPr>
        <w:t xml:space="preserve"> </w:t>
      </w:r>
      <w:r w:rsidR="00CF2BB6" w:rsidRPr="00BD1319">
        <w:rPr>
          <w:rFonts w:eastAsia="Arial Unicode MS" w:cs="Arial"/>
          <w:shd w:val="clear" w:color="auto" w:fill="FFFFFF"/>
          <w:vertAlign w:val="superscript"/>
          <w:lang w:eastAsia="en-US"/>
        </w:rPr>
        <w:t>[</w:t>
      </w:r>
      <w:r w:rsidR="00085B6C" w:rsidRPr="00BD1319">
        <w:rPr>
          <w:rFonts w:eastAsia="Arial Unicode MS" w:cs="Arial"/>
          <w:shd w:val="clear" w:color="auto" w:fill="FFFFFF"/>
          <w:vertAlign w:val="superscript"/>
          <w:lang w:eastAsia="en-US"/>
        </w:rPr>
        <w:fldChar w:fldCharType="begin"/>
      </w:r>
      <w:r w:rsidR="00085B6C" w:rsidRPr="00BD1319">
        <w:rPr>
          <w:rFonts w:eastAsia="Arial Unicode MS" w:cs="Arial"/>
          <w:shd w:val="clear" w:color="auto" w:fill="FFFFFF"/>
          <w:vertAlign w:val="superscript"/>
          <w:lang w:eastAsia="en-US"/>
        </w:rPr>
        <w:instrText xml:space="preserve"> NOTEREF _Ref44839840 \h </w:instrText>
      </w:r>
      <w:r w:rsidR="006A4128" w:rsidRPr="00BD1319">
        <w:rPr>
          <w:rFonts w:eastAsia="Arial Unicode MS" w:cs="Arial"/>
          <w:shd w:val="clear" w:color="auto" w:fill="FFFFFF"/>
          <w:vertAlign w:val="superscript"/>
          <w:lang w:eastAsia="en-US"/>
        </w:rPr>
        <w:instrText xml:space="preserve"> \* MERGEFORMAT </w:instrText>
      </w:r>
      <w:r w:rsidR="00085B6C" w:rsidRPr="00BD1319">
        <w:rPr>
          <w:rFonts w:eastAsia="Arial Unicode MS" w:cs="Arial"/>
          <w:shd w:val="clear" w:color="auto" w:fill="FFFFFF"/>
          <w:vertAlign w:val="superscript"/>
          <w:lang w:eastAsia="en-US"/>
        </w:rPr>
      </w:r>
      <w:r w:rsidR="00085B6C" w:rsidRPr="00BD1319">
        <w:rPr>
          <w:rFonts w:eastAsia="Arial Unicode MS" w:cs="Arial"/>
          <w:shd w:val="clear" w:color="auto" w:fill="FFFFFF"/>
          <w:vertAlign w:val="superscript"/>
          <w:lang w:eastAsia="en-US"/>
        </w:rPr>
        <w:fldChar w:fldCharType="separate"/>
      </w:r>
      <w:r w:rsidR="00296654" w:rsidRPr="00BD1319">
        <w:rPr>
          <w:rFonts w:eastAsia="Arial Unicode MS" w:cs="Arial"/>
          <w:shd w:val="clear" w:color="auto" w:fill="FFFFFF"/>
          <w:vertAlign w:val="superscript"/>
          <w:lang w:eastAsia="en-US"/>
        </w:rPr>
        <w:t>1</w:t>
      </w:r>
      <w:r w:rsidR="00085B6C" w:rsidRPr="00BD1319">
        <w:rPr>
          <w:rFonts w:eastAsia="Arial Unicode MS" w:cs="Arial"/>
          <w:shd w:val="clear" w:color="auto" w:fill="FFFFFF"/>
          <w:vertAlign w:val="superscript"/>
          <w:lang w:eastAsia="en-US"/>
        </w:rPr>
        <w:fldChar w:fldCharType="end"/>
      </w:r>
      <w:r w:rsidR="00CF2BB6" w:rsidRPr="00BD1319">
        <w:rPr>
          <w:rFonts w:eastAsia="Arial Unicode MS" w:cs="Arial"/>
          <w:shd w:val="clear" w:color="auto" w:fill="FFFFFF"/>
          <w:vertAlign w:val="superscript"/>
          <w:lang w:eastAsia="en-US"/>
        </w:rPr>
        <w:t>]</w:t>
      </w:r>
    </w:p>
    <w:p w14:paraId="17DB799B" w14:textId="77777777" w:rsidR="00AA4F93" w:rsidRPr="00BD1319" w:rsidRDefault="00AA4F93" w:rsidP="00C86DA5">
      <w:pPr>
        <w:suppressAutoHyphens/>
      </w:pPr>
    </w:p>
    <w:p w14:paraId="7D2C26EF" w14:textId="3C945E19" w:rsidR="00AA4F93" w:rsidRPr="00BD1319" w:rsidRDefault="00AA4F93" w:rsidP="00456AB1">
      <w:pPr>
        <w:numPr>
          <w:ilvl w:val="0"/>
          <w:numId w:val="19"/>
        </w:numPr>
        <w:suppressAutoHyphens/>
        <w:ind w:left="567" w:hanging="567"/>
        <w:rPr>
          <w:rFonts w:cs="Arial"/>
          <w:bCs/>
        </w:rPr>
      </w:pPr>
      <w:r w:rsidRPr="00BD1319">
        <w:rPr>
          <w:rFonts w:cs="Arial"/>
          <w:b/>
          <w:bCs/>
        </w:rPr>
        <w:t>Área ecológicamente equivalente</w:t>
      </w:r>
      <w:r w:rsidRPr="00BD1319">
        <w:rPr>
          <w:rFonts w:cs="Arial"/>
          <w:bCs/>
        </w:rPr>
        <w:t xml:space="preserve">: área que mantiene atributos ecológicos similares o mejores </w:t>
      </w:r>
      <w:r w:rsidR="007966EF" w:rsidRPr="00BD1319">
        <w:rPr>
          <w:rFonts w:cs="Arial"/>
          <w:bCs/>
        </w:rPr>
        <w:t>que el</w:t>
      </w:r>
      <w:r w:rsidRPr="00BD1319">
        <w:rPr>
          <w:rFonts w:cs="Arial"/>
          <w:bCs/>
        </w:rPr>
        <w:t xml:space="preserve"> área impactada </w:t>
      </w:r>
      <w:r w:rsidR="007966EF" w:rsidRPr="00BD1319">
        <w:rPr>
          <w:rFonts w:cs="Arial"/>
          <w:bCs/>
        </w:rPr>
        <w:t xml:space="preserve">por un proyecto, obra o actividad, que están </w:t>
      </w:r>
      <w:r w:rsidRPr="00BD1319">
        <w:rPr>
          <w:rFonts w:cs="Arial"/>
          <w:bCs/>
        </w:rPr>
        <w:t>relacionados con</w:t>
      </w:r>
      <w:r w:rsidR="00F858F5" w:rsidRPr="00BD1319">
        <w:rPr>
          <w:rFonts w:cs="Arial"/>
          <w:bCs/>
        </w:rPr>
        <w:t xml:space="preserve"> los procesos ecológicos de las especies, poblaciones y comunidades, el </w:t>
      </w:r>
      <w:r w:rsidRPr="00BD1319">
        <w:rPr>
          <w:rFonts w:cs="Arial"/>
          <w:bCs/>
        </w:rPr>
        <w:t xml:space="preserve">tipo de </w:t>
      </w:r>
      <w:r w:rsidR="00544142" w:rsidRPr="00BD1319">
        <w:rPr>
          <w:rFonts w:cs="Arial"/>
          <w:bCs/>
        </w:rPr>
        <w:t>cobertura</w:t>
      </w:r>
      <w:r w:rsidR="00646D62" w:rsidRPr="00BD1319">
        <w:rPr>
          <w:rFonts w:cs="Arial"/>
          <w:bCs/>
        </w:rPr>
        <w:t>,</w:t>
      </w:r>
      <w:r w:rsidR="00544142" w:rsidRPr="00BD1319">
        <w:rPr>
          <w:rFonts w:cs="Arial"/>
          <w:bCs/>
        </w:rPr>
        <w:t xml:space="preserve"> clima</w:t>
      </w:r>
      <w:r w:rsidR="009B0590" w:rsidRPr="00BD1319">
        <w:rPr>
          <w:rFonts w:cs="Arial"/>
          <w:bCs/>
        </w:rPr>
        <w:t>, suelo,</w:t>
      </w:r>
      <w:r w:rsidRPr="00BD1319">
        <w:rPr>
          <w:rFonts w:cs="Arial"/>
          <w:bCs/>
        </w:rPr>
        <w:t xml:space="preserve"> tamaño, estructura de la vegetación y del paisaje</w:t>
      </w:r>
      <w:r w:rsidR="006A5D01" w:rsidRPr="00BD1319">
        <w:rPr>
          <w:rFonts w:cs="Arial"/>
          <w:bCs/>
        </w:rPr>
        <w:t>.</w:t>
      </w:r>
      <w:r w:rsidR="00CF2BB6" w:rsidRPr="00BD1319">
        <w:rPr>
          <w:rFonts w:cs="Arial"/>
          <w:bCs/>
        </w:rPr>
        <w:t xml:space="preserve"> </w:t>
      </w:r>
      <w:r w:rsidR="00CF2BB6" w:rsidRPr="00BD1319">
        <w:rPr>
          <w:rFonts w:cs="Arial"/>
          <w:bCs/>
          <w:vertAlign w:val="superscript"/>
        </w:rPr>
        <w:t>[</w:t>
      </w:r>
      <w:bookmarkStart w:id="28" w:name="_Ref44841432"/>
      <w:r w:rsidR="00810791" w:rsidRPr="00BD1319">
        <w:rPr>
          <w:rStyle w:val="Refdenotaalfinal"/>
          <w:rFonts w:cs="Arial"/>
          <w:bCs/>
        </w:rPr>
        <w:endnoteReference w:id="10"/>
      </w:r>
      <w:bookmarkEnd w:id="28"/>
      <w:r w:rsidR="00CF2BB6" w:rsidRPr="00BD1319">
        <w:rPr>
          <w:rFonts w:cs="Arial"/>
          <w:bCs/>
          <w:vertAlign w:val="superscript"/>
        </w:rPr>
        <w:t>]</w:t>
      </w:r>
    </w:p>
    <w:p w14:paraId="79044029" w14:textId="77777777" w:rsidR="00CA7B29" w:rsidRPr="00BD1319" w:rsidRDefault="00CA7B29" w:rsidP="00CA7B29"/>
    <w:p w14:paraId="331E659F" w14:textId="77777777" w:rsidR="00CA7B29" w:rsidRPr="00BD1319" w:rsidRDefault="00CA7B29" w:rsidP="00CA7B29">
      <w:pPr>
        <w:numPr>
          <w:ilvl w:val="0"/>
          <w:numId w:val="19"/>
        </w:numPr>
        <w:suppressAutoHyphens/>
        <w:ind w:left="567" w:hanging="567"/>
        <w:rPr>
          <w:rFonts w:cs="Arial"/>
        </w:rPr>
      </w:pPr>
      <w:r w:rsidRPr="00BD1319">
        <w:rPr>
          <w:rFonts w:cs="Arial"/>
          <w:b/>
        </w:rPr>
        <w:t>Área por intervenir</w:t>
      </w:r>
      <w:r w:rsidRPr="00BD1319">
        <w:rPr>
          <w:rFonts w:cs="Arial"/>
        </w:rPr>
        <w:t xml:space="preserve">: área propuesta para la construcción de la infraestructura y las obras o para la ejecución de las actividades necesarias para el desarrollo de un proyecto, obra o actividad que es autorizada en la licencia ambiental o </w:t>
      </w:r>
      <w:r w:rsidRPr="00BD1319">
        <w:rPr>
          <w:rFonts w:cs="Arial"/>
        </w:rPr>
        <w:lastRenderedPageBreak/>
        <w:t>instrumento de manejo y control equivalente; incluye las áreas requeridas para el uso, aprovechamiento y afectación de los recursos naturales renovables.</w:t>
      </w:r>
    </w:p>
    <w:p w14:paraId="53706B18" w14:textId="77777777" w:rsidR="00CA7B29" w:rsidRPr="00BD1319" w:rsidRDefault="00CA7B29" w:rsidP="000D6E21">
      <w:pPr>
        <w:suppressAutoHyphens/>
        <w:rPr>
          <w:rFonts w:cs="Arial"/>
        </w:rPr>
      </w:pPr>
    </w:p>
    <w:p w14:paraId="0E1DB8DD" w14:textId="2491C35E" w:rsidR="00AA4F93" w:rsidRPr="00BD1319" w:rsidRDefault="00AA4F93" w:rsidP="00C86DA5">
      <w:pPr>
        <w:numPr>
          <w:ilvl w:val="0"/>
          <w:numId w:val="19"/>
        </w:numPr>
        <w:suppressAutoHyphens/>
        <w:ind w:left="567" w:hanging="567"/>
      </w:pPr>
      <w:r w:rsidRPr="00BD1319">
        <w:rPr>
          <w:b/>
        </w:rPr>
        <w:t>Aspecto ambiental</w:t>
      </w:r>
      <w:r w:rsidRPr="00BD1319">
        <w:t xml:space="preserve">: </w:t>
      </w:r>
      <w:r w:rsidR="00840EE5" w:rsidRPr="00BD1319">
        <w:t xml:space="preserve">resultado </w:t>
      </w:r>
      <w:r w:rsidRPr="00BD1319">
        <w:t>de las actividades, productos o servicios de un proyecto, obra o actividad que interactúa o puede interactuar con el ambiente, pudiendo causar uno o varios impactos ambientales</w:t>
      </w:r>
      <w:r w:rsidR="004758E3" w:rsidRPr="00BD1319">
        <w:t>.</w:t>
      </w:r>
      <w:r w:rsidRPr="00BD1319">
        <w:rPr>
          <w:rFonts w:cs="Arial"/>
        </w:rPr>
        <w:t xml:space="preserve"> </w:t>
      </w:r>
      <w:r w:rsidR="004758E3" w:rsidRPr="00BD1319">
        <w:rPr>
          <w:rFonts w:cs="Arial"/>
        </w:rPr>
        <w:t>E</w:t>
      </w:r>
      <w:r w:rsidRPr="00BD1319">
        <w:rPr>
          <w:rFonts w:cs="Arial"/>
        </w:rPr>
        <w:t>jemplos de aspecto ambiental son</w:t>
      </w:r>
      <w:r w:rsidR="004758E3" w:rsidRPr="00BD1319">
        <w:rPr>
          <w:rFonts w:cs="Arial"/>
        </w:rPr>
        <w:t>:</w:t>
      </w:r>
      <w:r w:rsidRPr="00BD1319">
        <w:rPr>
          <w:rFonts w:cs="Arial"/>
        </w:rPr>
        <w:t xml:space="preserve"> captación de agua, vertimiento</w:t>
      </w:r>
      <w:r w:rsidR="000F356C" w:rsidRPr="00BD1319">
        <w:rPr>
          <w:rFonts w:cs="Arial"/>
        </w:rPr>
        <w:t xml:space="preserve"> y</w:t>
      </w:r>
      <w:r w:rsidRPr="00BD1319">
        <w:rPr>
          <w:rFonts w:cs="Arial"/>
        </w:rPr>
        <w:t xml:space="preserve"> emisi</w:t>
      </w:r>
      <w:r w:rsidR="000F356C" w:rsidRPr="00BD1319">
        <w:rPr>
          <w:rFonts w:cs="Arial"/>
        </w:rPr>
        <w:t>ón de gases</w:t>
      </w:r>
      <w:r w:rsidR="00761FEE" w:rsidRPr="00BD1319">
        <w:rPr>
          <w:rFonts w:cs="Arial"/>
        </w:rPr>
        <w:t>.</w:t>
      </w:r>
      <w:r w:rsidR="00CF2BB6" w:rsidRPr="00BD1319">
        <w:rPr>
          <w:rFonts w:cs="Arial"/>
        </w:rPr>
        <w:t xml:space="preserve"> </w:t>
      </w:r>
      <w:r w:rsidR="00CF2BB6" w:rsidRPr="00BD1319">
        <w:rPr>
          <w:rFonts w:cs="Arial"/>
          <w:vertAlign w:val="superscript"/>
        </w:rPr>
        <w:t>[</w:t>
      </w:r>
      <w:r w:rsidR="00F236C1" w:rsidRPr="00BD1319">
        <w:rPr>
          <w:rFonts w:cs="Arial"/>
          <w:vertAlign w:val="superscript"/>
        </w:rPr>
        <w:endnoteReference w:id="11"/>
      </w:r>
      <w:r w:rsidR="00CF2BB6" w:rsidRPr="00BD1319">
        <w:rPr>
          <w:rFonts w:cs="Arial"/>
          <w:vertAlign w:val="superscript"/>
        </w:rPr>
        <w:t>]</w:t>
      </w:r>
    </w:p>
    <w:p w14:paraId="2549A0C5" w14:textId="0D70A803" w:rsidR="00AA4F93" w:rsidRPr="00BD1319" w:rsidRDefault="00AA4F93"/>
    <w:p w14:paraId="35EA3802" w14:textId="734E579E" w:rsidR="00C32332" w:rsidRPr="00BD1319" w:rsidRDefault="00C32332" w:rsidP="009420F5">
      <w:pPr>
        <w:pStyle w:val="Prrafodelista"/>
        <w:numPr>
          <w:ilvl w:val="0"/>
          <w:numId w:val="438"/>
        </w:numPr>
        <w:ind w:left="567" w:hanging="567"/>
        <w:rPr>
          <w:lang w:val="es-CO"/>
        </w:rPr>
      </w:pPr>
      <w:proofErr w:type="spellStart"/>
      <w:r w:rsidRPr="00BD1319">
        <w:rPr>
          <w:b/>
          <w:bCs/>
          <w:lang w:val="es-CO"/>
        </w:rPr>
        <w:t>Ahuyentamiento</w:t>
      </w:r>
      <w:proofErr w:type="spellEnd"/>
      <w:r w:rsidRPr="00BD1319">
        <w:rPr>
          <w:b/>
          <w:bCs/>
          <w:lang w:val="es-CO"/>
        </w:rPr>
        <w:t xml:space="preserve"> de fauna</w:t>
      </w:r>
      <w:r w:rsidRPr="00BD1319">
        <w:rPr>
          <w:lang w:val="es-CO"/>
        </w:rPr>
        <w:t xml:space="preserve">: </w:t>
      </w:r>
      <w:r w:rsidR="007E69BA" w:rsidRPr="00BD1319">
        <w:rPr>
          <w:lang w:val="es-CO"/>
        </w:rPr>
        <w:t>medida</w:t>
      </w:r>
      <w:r w:rsidRPr="00BD1319">
        <w:rPr>
          <w:lang w:val="es-CO"/>
        </w:rPr>
        <w:t xml:space="preserve"> de manejo que</w:t>
      </w:r>
      <w:r w:rsidR="009019A7" w:rsidRPr="00BD1319">
        <w:rPr>
          <w:lang w:val="es-CO"/>
        </w:rPr>
        <w:t>,</w:t>
      </w:r>
      <w:r w:rsidRPr="00BD1319">
        <w:rPr>
          <w:lang w:val="es-CO"/>
        </w:rPr>
        <w:t xml:space="preserve"> mediante una alteración temporal de</w:t>
      </w:r>
      <w:r w:rsidR="004C42DF" w:rsidRPr="00BD1319">
        <w:rPr>
          <w:lang w:val="es-CO"/>
        </w:rPr>
        <w:t xml:space="preserve"> </w:t>
      </w:r>
      <w:r w:rsidRPr="00BD1319">
        <w:rPr>
          <w:lang w:val="es-CO"/>
        </w:rPr>
        <w:t>l</w:t>
      </w:r>
      <w:r w:rsidR="004C42DF" w:rsidRPr="00BD1319">
        <w:rPr>
          <w:lang w:val="es-CO"/>
        </w:rPr>
        <w:t>as condiciones ecológicas</w:t>
      </w:r>
      <w:r w:rsidR="008A2403" w:rsidRPr="00BD1319">
        <w:rPr>
          <w:lang w:val="es-CO"/>
        </w:rPr>
        <w:t>,</w:t>
      </w:r>
      <w:r w:rsidRPr="00BD1319">
        <w:rPr>
          <w:lang w:val="es-CO"/>
        </w:rPr>
        <w:t xml:space="preserve"> causa </w:t>
      </w:r>
      <w:r w:rsidR="004C42DF" w:rsidRPr="00BD1319">
        <w:rPr>
          <w:lang w:val="es-CO"/>
        </w:rPr>
        <w:t xml:space="preserve">estrés ambiental en las </w:t>
      </w:r>
      <w:r w:rsidR="008A2403" w:rsidRPr="00BD1319">
        <w:rPr>
          <w:lang w:val="es-CO"/>
        </w:rPr>
        <w:t>poblaciones</w:t>
      </w:r>
      <w:r w:rsidR="004C42DF" w:rsidRPr="00BD1319">
        <w:rPr>
          <w:lang w:val="es-CO"/>
        </w:rPr>
        <w:t xml:space="preserve"> de </w:t>
      </w:r>
      <w:r w:rsidR="001F1958" w:rsidRPr="00BD1319">
        <w:rPr>
          <w:lang w:val="es-CO"/>
        </w:rPr>
        <w:t>fauna silvestre</w:t>
      </w:r>
      <w:r w:rsidR="008A2403" w:rsidRPr="00BD1319">
        <w:rPr>
          <w:lang w:val="es-CO"/>
        </w:rPr>
        <w:t>,</w:t>
      </w:r>
      <w:r w:rsidR="004C42DF" w:rsidRPr="00BD1319">
        <w:rPr>
          <w:lang w:val="es-CO"/>
        </w:rPr>
        <w:t xml:space="preserve"> </w:t>
      </w:r>
      <w:r w:rsidR="008A2403" w:rsidRPr="00BD1319">
        <w:rPr>
          <w:lang w:val="es-CO"/>
        </w:rPr>
        <w:t xml:space="preserve">a fin de </w:t>
      </w:r>
      <w:r w:rsidR="004C42DF" w:rsidRPr="00BD1319">
        <w:rPr>
          <w:lang w:val="es-CO"/>
        </w:rPr>
        <w:t>impulsa</w:t>
      </w:r>
      <w:r w:rsidR="008A2403" w:rsidRPr="00BD1319">
        <w:rPr>
          <w:lang w:val="es-CO"/>
        </w:rPr>
        <w:t>r</w:t>
      </w:r>
      <w:r w:rsidR="004C42DF" w:rsidRPr="00BD1319">
        <w:rPr>
          <w:lang w:val="es-CO"/>
        </w:rPr>
        <w:t xml:space="preserve"> su </w:t>
      </w:r>
      <w:r w:rsidRPr="00BD1319">
        <w:rPr>
          <w:lang w:val="es-CO"/>
        </w:rPr>
        <w:t xml:space="preserve">desplazamiento </w:t>
      </w:r>
      <w:r w:rsidR="004C42DF" w:rsidRPr="00BD1319">
        <w:rPr>
          <w:lang w:val="es-CO"/>
        </w:rPr>
        <w:t>hacia otros lugares</w:t>
      </w:r>
      <w:r w:rsidR="008A2403" w:rsidRPr="00BD1319">
        <w:rPr>
          <w:lang w:val="es-CO"/>
        </w:rPr>
        <w:t xml:space="preserve"> para </w:t>
      </w:r>
      <w:r w:rsidRPr="00BD1319">
        <w:rPr>
          <w:lang w:val="es-CO"/>
        </w:rPr>
        <w:t xml:space="preserve">prevenir o mitigar el impacto que sobre </w:t>
      </w:r>
      <w:r w:rsidR="004C42DF" w:rsidRPr="00BD1319">
        <w:rPr>
          <w:lang w:val="es-CO"/>
        </w:rPr>
        <w:t xml:space="preserve">ellas </w:t>
      </w:r>
      <w:r w:rsidRPr="00BD1319">
        <w:rPr>
          <w:lang w:val="es-CO"/>
        </w:rPr>
        <w:t>pueda generar la construcción u operación de proyectos, obras o actividades.</w:t>
      </w:r>
    </w:p>
    <w:p w14:paraId="68EB47F1" w14:textId="77777777" w:rsidR="00C32332" w:rsidRPr="00BD1319" w:rsidRDefault="00C32332"/>
    <w:p w14:paraId="21314C14" w14:textId="22D7CF60" w:rsidR="00AA4F93" w:rsidRPr="00BD1319" w:rsidRDefault="00AA4F93" w:rsidP="009420F5">
      <w:pPr>
        <w:numPr>
          <w:ilvl w:val="0"/>
          <w:numId w:val="19"/>
        </w:numPr>
        <w:suppressAutoHyphens/>
        <w:ind w:left="567" w:hanging="567"/>
        <w:rPr>
          <w:rFonts w:eastAsia="Calibri" w:cs="Arial"/>
          <w:lang w:eastAsia="en-US"/>
        </w:rPr>
      </w:pPr>
      <w:r w:rsidRPr="00BD1319">
        <w:rPr>
          <w:rFonts w:eastAsia="Calibri" w:cs="Arial"/>
          <w:b/>
          <w:lang w:eastAsia="en-US"/>
        </w:rPr>
        <w:t>Barrio</w:t>
      </w:r>
      <w:r w:rsidRPr="00BD1319">
        <w:rPr>
          <w:rFonts w:eastAsia="Calibri" w:cs="Arial"/>
          <w:lang w:eastAsia="en-US"/>
        </w:rPr>
        <w:t>:</w:t>
      </w:r>
      <w:r w:rsidR="0088212E" w:rsidRPr="00BD1319">
        <w:rPr>
          <w:rFonts w:eastAsia="Calibri" w:cs="Arial"/>
          <w:lang w:eastAsia="en-US"/>
        </w:rPr>
        <w:t xml:space="preserve"> </w:t>
      </w:r>
      <w:r w:rsidR="00AF76AA" w:rsidRPr="00BD1319">
        <w:rPr>
          <w:rFonts w:eastAsia="Calibri" w:cs="Arial"/>
          <w:lang w:eastAsia="en-US"/>
        </w:rPr>
        <w:t>área de suelo urbano que se caracteriza por tener un denominador común, o varios elementos referenciales interrelacionados, que puede ser: arquitectónico, toponímico, social, simbólico o cultural. Su origen puede ser debido a una decisión administrativa, a una iniciativa urbanística, o simplemente a un sentido común de pertenencia de sus habitantes basado en la proximidad, o también por actividades económicas u ocupacionales</w:t>
      </w:r>
      <w:r w:rsidR="00761FEE" w:rsidRPr="00BD1319">
        <w:rPr>
          <w:rFonts w:eastAsia="Calibri" w:cs="Arial"/>
          <w:lang w:eastAsia="en-US"/>
        </w:rPr>
        <w:t>.</w:t>
      </w:r>
      <w:r w:rsidR="008F3CBD" w:rsidRPr="00BD1319">
        <w:rPr>
          <w:rFonts w:eastAsia="Calibri" w:cs="Arial"/>
          <w:lang w:eastAsia="en-US"/>
        </w:rPr>
        <w:t xml:space="preserve"> </w:t>
      </w:r>
      <w:r w:rsidR="008F3CBD" w:rsidRPr="00BD1319">
        <w:rPr>
          <w:rFonts w:eastAsia="Calibri" w:cs="Arial"/>
          <w:vertAlign w:val="superscript"/>
          <w:lang w:eastAsia="en-US"/>
        </w:rPr>
        <w:t>[</w:t>
      </w:r>
      <w:r w:rsidR="00DD14BF" w:rsidRPr="00BD1319">
        <w:rPr>
          <w:rStyle w:val="Refdenotaalfinal"/>
          <w:rFonts w:eastAsia="Calibri" w:cs="Arial"/>
          <w:lang w:eastAsia="en-US"/>
        </w:rPr>
        <w:endnoteReference w:id="12"/>
      </w:r>
      <w:r w:rsidR="008F3CBD" w:rsidRPr="00BD1319">
        <w:rPr>
          <w:rFonts w:eastAsia="Calibri" w:cs="Arial"/>
          <w:vertAlign w:val="superscript"/>
          <w:lang w:eastAsia="en-US"/>
        </w:rPr>
        <w:t>]</w:t>
      </w:r>
    </w:p>
    <w:p w14:paraId="7B40679D" w14:textId="77777777" w:rsidR="00AA4F93" w:rsidRPr="00BD1319" w:rsidRDefault="00AA4F93" w:rsidP="00664A2A">
      <w:pPr>
        <w:rPr>
          <w:rFonts w:eastAsia="Calibri" w:cs="Arial"/>
          <w:lang w:eastAsia="en-US"/>
        </w:rPr>
      </w:pPr>
    </w:p>
    <w:p w14:paraId="70D3F5C2" w14:textId="78E1D58B" w:rsidR="00AA4F93" w:rsidRPr="00BD1319" w:rsidRDefault="00AA4F93" w:rsidP="00456AB1">
      <w:pPr>
        <w:numPr>
          <w:ilvl w:val="0"/>
          <w:numId w:val="19"/>
        </w:numPr>
        <w:suppressAutoHyphens/>
        <w:ind w:left="567" w:hanging="567"/>
        <w:rPr>
          <w:rFonts w:cs="Arial"/>
        </w:rPr>
      </w:pPr>
      <w:r w:rsidRPr="00BD1319">
        <w:rPr>
          <w:b/>
        </w:rPr>
        <w:t>Biodiversidad</w:t>
      </w:r>
      <w:r w:rsidRPr="00BD1319">
        <w:rPr>
          <w:rFonts w:cs="Arial"/>
        </w:rPr>
        <w:t xml:space="preserve">: </w:t>
      </w:r>
      <w:r w:rsidR="003675A8" w:rsidRPr="00BD1319">
        <w:rPr>
          <w:rFonts w:cs="Arial"/>
        </w:rPr>
        <w:t>variabilidad de organismos vivos de cualquier fuente, incluidos, entre otras cosas, los ecosistemas terrestres y marinos y otros ecosistemas acuáticos y los complejos ecológicos de los que forman parte; comprende la diversidad dentro de cada especie, entre las especies y de los ecosistemas</w:t>
      </w:r>
      <w:r w:rsidR="006A5D01" w:rsidRPr="00BD1319">
        <w:rPr>
          <w:rFonts w:cs="Arial"/>
        </w:rPr>
        <w:t>.</w:t>
      </w:r>
      <w:r w:rsidR="00CF2BB6" w:rsidRPr="00BD1319">
        <w:rPr>
          <w:rFonts w:cs="Arial"/>
        </w:rPr>
        <w:t xml:space="preserve"> </w:t>
      </w:r>
      <w:r w:rsidR="00CF2BB6" w:rsidRPr="00BD1319">
        <w:rPr>
          <w:rFonts w:cs="Arial"/>
          <w:vertAlign w:val="superscript"/>
        </w:rPr>
        <w:t>[</w:t>
      </w:r>
      <w:bookmarkStart w:id="29" w:name="_Ref44842441"/>
      <w:r w:rsidRPr="00BD1319">
        <w:rPr>
          <w:rStyle w:val="Refdenotaalfinal"/>
          <w:rFonts w:cs="Arial"/>
        </w:rPr>
        <w:endnoteReference w:id="13"/>
      </w:r>
      <w:bookmarkEnd w:id="29"/>
      <w:r w:rsidR="00CF2BB6" w:rsidRPr="00BD1319">
        <w:rPr>
          <w:rFonts w:cs="Arial"/>
          <w:vertAlign w:val="superscript"/>
        </w:rPr>
        <w:t>]</w:t>
      </w:r>
    </w:p>
    <w:p w14:paraId="0E87F9E8" w14:textId="77777777" w:rsidR="00AA4F93" w:rsidRPr="00BD1319" w:rsidRDefault="00AA4F93" w:rsidP="00E810B6">
      <w:pPr>
        <w:rPr>
          <w:rFonts w:cs="Arial"/>
        </w:rPr>
      </w:pPr>
    </w:p>
    <w:p w14:paraId="78AC9B95" w14:textId="68FBDD85" w:rsidR="00B5188A" w:rsidRPr="00BD1319" w:rsidRDefault="00B5188A" w:rsidP="008A4FE9">
      <w:pPr>
        <w:numPr>
          <w:ilvl w:val="0"/>
          <w:numId w:val="19"/>
        </w:numPr>
        <w:suppressAutoHyphens/>
        <w:ind w:left="567" w:hanging="567"/>
        <w:rPr>
          <w:bCs/>
        </w:rPr>
      </w:pPr>
      <w:r w:rsidRPr="00BD1319">
        <w:rPr>
          <w:b/>
        </w:rPr>
        <w:t>Cambio ambiental acumulativo</w:t>
      </w:r>
      <w:r w:rsidRPr="00BD1319">
        <w:rPr>
          <w:bCs/>
        </w:rPr>
        <w:t xml:space="preserve">: modificación progresiva y generalizada del conjunto de condiciones ambientales características de un área que resulta de </w:t>
      </w:r>
      <w:r w:rsidR="00151FC8" w:rsidRPr="00BD1319">
        <w:rPr>
          <w:bCs/>
        </w:rPr>
        <w:t xml:space="preserve">la ejecución de </w:t>
      </w:r>
      <w:r w:rsidRPr="00BD1319">
        <w:rPr>
          <w:bCs/>
        </w:rPr>
        <w:t xml:space="preserve">actividades humanas o de </w:t>
      </w:r>
      <w:r w:rsidR="00151FC8" w:rsidRPr="00BD1319">
        <w:rPr>
          <w:bCs/>
        </w:rPr>
        <w:t xml:space="preserve">la ocurrencia de </w:t>
      </w:r>
      <w:r w:rsidRPr="00BD1319">
        <w:rPr>
          <w:bCs/>
        </w:rPr>
        <w:t>procesos naturales.</w:t>
      </w:r>
    </w:p>
    <w:p w14:paraId="0716F451" w14:textId="77777777" w:rsidR="00B5188A" w:rsidRPr="00BD1319" w:rsidRDefault="00B5188A" w:rsidP="00E810B6">
      <w:pPr>
        <w:rPr>
          <w:rFonts w:cs="Arial"/>
          <w:bCs/>
        </w:rPr>
      </w:pPr>
    </w:p>
    <w:p w14:paraId="4E5A3223" w14:textId="6C10BAE8" w:rsidR="00AA4F93" w:rsidRPr="00BD1319" w:rsidRDefault="00AA4F93" w:rsidP="00C86DA5">
      <w:pPr>
        <w:numPr>
          <w:ilvl w:val="0"/>
          <w:numId w:val="19"/>
        </w:numPr>
        <w:spacing w:line="259" w:lineRule="auto"/>
        <w:ind w:left="567" w:hanging="567"/>
        <w:rPr>
          <w:rFonts w:cs="Arial"/>
        </w:rPr>
      </w:pPr>
      <w:r w:rsidRPr="00BD1319">
        <w:rPr>
          <w:rFonts w:cs="Arial"/>
          <w:b/>
        </w:rPr>
        <w:t>Cambio climático</w:t>
      </w:r>
      <w:r w:rsidRPr="00BD1319">
        <w:rPr>
          <w:rFonts w:cs="Arial"/>
        </w:rPr>
        <w:t xml:space="preserve">: </w:t>
      </w:r>
      <w:r w:rsidR="0088212E" w:rsidRPr="00BD1319">
        <w:rPr>
          <w:rFonts w:cs="Arial"/>
        </w:rPr>
        <w:t>v</w:t>
      </w:r>
      <w:r w:rsidRPr="00BD1319">
        <w:rPr>
          <w:rFonts w:cs="Arial"/>
        </w:rPr>
        <w:t xml:space="preserve">ariación </w:t>
      </w:r>
      <w:r w:rsidR="00D920A5" w:rsidRPr="00BD1319">
        <w:rPr>
          <w:rFonts w:cs="Arial"/>
        </w:rPr>
        <w:t xml:space="preserve">del estado del clima, identificable, por ejemplo, mediante pruebas estadísticas, en las variaciones del valor medio o en la variabilidad de sus propiedades, que persiste durante largos períodos de tiempo, generalmente decenios o períodos más largos. El cambio climático puede deberse a procesos internos naturales o a forzamientos externos tales como modulaciones de los ciclos solares, erupciones volcánicas o cambios antropogénicos persistentes de la composición de la atmósfera por el </w:t>
      </w:r>
      <w:r w:rsidR="00D920A5" w:rsidRPr="00BD1319">
        <w:rPr>
          <w:rFonts w:cs="Arial"/>
        </w:rPr>
        <w:lastRenderedPageBreak/>
        <w:t xml:space="preserve">incremento de las concentraciones de gases de efecto invernadero o del uso del suelo. El cambio climático podría modificar las características de los fenómenos meteorológicos e </w:t>
      </w:r>
      <w:proofErr w:type="spellStart"/>
      <w:r w:rsidR="00D920A5" w:rsidRPr="00BD1319">
        <w:rPr>
          <w:rFonts w:cs="Arial"/>
        </w:rPr>
        <w:t>hidroclimáticos</w:t>
      </w:r>
      <w:proofErr w:type="spellEnd"/>
      <w:r w:rsidR="00D920A5" w:rsidRPr="00BD1319">
        <w:rPr>
          <w:rFonts w:cs="Arial"/>
        </w:rPr>
        <w:t xml:space="preserve"> extremos en su frecuencia promedio e intensidad, lo cual se expresará paulatinamente en el comportamiento espacial y ciclo anual de estos</w:t>
      </w:r>
      <w:r w:rsidR="006A5D01" w:rsidRPr="00BD1319">
        <w:rPr>
          <w:rFonts w:cs="Arial"/>
        </w:rPr>
        <w:t>.</w:t>
      </w:r>
      <w:r w:rsidRPr="00BD1319">
        <w:rPr>
          <w:rFonts w:cs="Arial"/>
          <w:vertAlign w:val="superscript"/>
        </w:rPr>
        <w:t xml:space="preserve"> </w:t>
      </w:r>
      <w:r w:rsidR="00CF2BB6" w:rsidRPr="00BD1319">
        <w:rPr>
          <w:rFonts w:cs="Arial"/>
          <w:vertAlign w:val="superscript"/>
        </w:rPr>
        <w:t>[</w:t>
      </w:r>
      <w:r w:rsidR="005D5DD1" w:rsidRPr="00BD1319">
        <w:rPr>
          <w:rFonts w:cs="Arial"/>
          <w:vertAlign w:val="superscript"/>
        </w:rPr>
        <w:fldChar w:fldCharType="begin"/>
      </w:r>
      <w:r w:rsidR="005D5DD1" w:rsidRPr="00BD1319">
        <w:rPr>
          <w:rFonts w:cs="Arial"/>
          <w:vertAlign w:val="superscript"/>
        </w:rPr>
        <w:instrText xml:space="preserve"> NOTEREF _Ref44840425 \h </w:instrText>
      </w:r>
      <w:r w:rsidR="006A4128" w:rsidRPr="00BD1319">
        <w:rPr>
          <w:rFonts w:cs="Arial"/>
          <w:vertAlign w:val="superscript"/>
        </w:rPr>
        <w:instrText xml:space="preserve"> \* MERGEFORMAT </w:instrText>
      </w:r>
      <w:r w:rsidR="005D5DD1" w:rsidRPr="00BD1319">
        <w:rPr>
          <w:rFonts w:cs="Arial"/>
          <w:vertAlign w:val="superscript"/>
        </w:rPr>
      </w:r>
      <w:r w:rsidR="005D5DD1" w:rsidRPr="00BD1319">
        <w:rPr>
          <w:rFonts w:cs="Arial"/>
          <w:vertAlign w:val="superscript"/>
        </w:rPr>
        <w:fldChar w:fldCharType="separate"/>
      </w:r>
      <w:r w:rsidR="00296654" w:rsidRPr="00BD1319">
        <w:rPr>
          <w:rFonts w:cs="Arial"/>
          <w:vertAlign w:val="superscript"/>
        </w:rPr>
        <w:t>2</w:t>
      </w:r>
      <w:r w:rsidR="005D5DD1" w:rsidRPr="00BD1319">
        <w:rPr>
          <w:rFonts w:cs="Arial"/>
          <w:vertAlign w:val="superscript"/>
        </w:rPr>
        <w:fldChar w:fldCharType="end"/>
      </w:r>
      <w:r w:rsidR="00CF2BB6" w:rsidRPr="00BD1319">
        <w:rPr>
          <w:rFonts w:cs="Arial"/>
          <w:vertAlign w:val="superscript"/>
        </w:rPr>
        <w:t>]</w:t>
      </w:r>
    </w:p>
    <w:p w14:paraId="58C5F437" w14:textId="77777777" w:rsidR="004A67EC" w:rsidRPr="00BD1319" w:rsidRDefault="004A67EC" w:rsidP="009420F5">
      <w:pPr>
        <w:spacing w:line="259" w:lineRule="auto"/>
        <w:rPr>
          <w:rFonts w:cs="Arial"/>
        </w:rPr>
      </w:pPr>
    </w:p>
    <w:p w14:paraId="58810A90" w14:textId="348DAB30" w:rsidR="004A67EC" w:rsidRPr="00BD1319" w:rsidRDefault="004A67EC" w:rsidP="004A67EC">
      <w:pPr>
        <w:numPr>
          <w:ilvl w:val="0"/>
          <w:numId w:val="19"/>
        </w:numPr>
        <w:spacing w:line="259" w:lineRule="auto"/>
        <w:ind w:left="567" w:hanging="567"/>
        <w:rPr>
          <w:rFonts w:cs="Arial"/>
        </w:rPr>
      </w:pPr>
      <w:r w:rsidRPr="00BD1319">
        <w:rPr>
          <w:rFonts w:cs="Arial"/>
          <w:b/>
        </w:rPr>
        <w:t>Caserío:</w:t>
      </w:r>
      <w:r w:rsidRPr="00BD1319">
        <w:rPr>
          <w:rFonts w:cs="Arial"/>
        </w:rPr>
        <w:t xml:space="preserve"> </w:t>
      </w:r>
      <w:r w:rsidRPr="00BD1319">
        <w:t>centro poblado ubicado generalmente al lado de una vía principal y que no tiene autoridad civil</w:t>
      </w:r>
      <w:r w:rsidRPr="00BD1319">
        <w:rPr>
          <w:rFonts w:cs="Arial"/>
        </w:rPr>
        <w:t xml:space="preserve">. </w:t>
      </w:r>
      <w:r w:rsidR="00FC302F" w:rsidRPr="00BD1319">
        <w:rPr>
          <w:rFonts w:cs="Arial"/>
          <w:color w:val="000000"/>
          <w:vertAlign w:val="superscript"/>
        </w:rPr>
        <w:t>[</w:t>
      </w:r>
      <w:bookmarkStart w:id="30" w:name="_Ref78191010"/>
      <w:r w:rsidR="009019A7" w:rsidRPr="00BD1319">
        <w:rPr>
          <w:rStyle w:val="Refdenotaalfinal"/>
          <w:rFonts w:eastAsia="Calibri" w:cs="Arial"/>
          <w:lang w:eastAsia="en-US"/>
        </w:rPr>
        <w:endnoteReference w:id="14"/>
      </w:r>
      <w:bookmarkEnd w:id="30"/>
      <w:r w:rsidR="00FC302F" w:rsidRPr="00BD1319">
        <w:rPr>
          <w:rFonts w:cs="Arial"/>
          <w:color w:val="000000"/>
          <w:vertAlign w:val="superscript"/>
        </w:rPr>
        <w:t>]</w:t>
      </w:r>
    </w:p>
    <w:p w14:paraId="675CC942" w14:textId="77777777" w:rsidR="00AA4F93" w:rsidRPr="00BD1319" w:rsidRDefault="00AA4F93" w:rsidP="00C86DA5">
      <w:pPr>
        <w:rPr>
          <w:color w:val="000000"/>
        </w:rPr>
      </w:pPr>
    </w:p>
    <w:p w14:paraId="6DA1E44E" w14:textId="0645BB6D" w:rsidR="00AA4F93" w:rsidRPr="00BD1319" w:rsidRDefault="00AA4F93" w:rsidP="00C86DA5">
      <w:pPr>
        <w:numPr>
          <w:ilvl w:val="0"/>
          <w:numId w:val="19"/>
        </w:numPr>
        <w:suppressAutoHyphens/>
        <w:ind w:left="567" w:hanging="567"/>
        <w:rPr>
          <w:color w:val="000000"/>
        </w:rPr>
      </w:pPr>
      <w:r w:rsidRPr="00BD1319">
        <w:rPr>
          <w:b/>
          <w:color w:val="000000"/>
        </w:rPr>
        <w:t xml:space="preserve">Caudal </w:t>
      </w:r>
      <w:r w:rsidRPr="00BD1319">
        <w:rPr>
          <w:rFonts w:cs="Arial"/>
          <w:b/>
          <w:color w:val="000000"/>
        </w:rPr>
        <w:t>ambiental</w:t>
      </w:r>
      <w:r w:rsidRPr="00BD1319">
        <w:rPr>
          <w:rFonts w:cs="Arial"/>
          <w:color w:val="000000"/>
        </w:rPr>
        <w:t xml:space="preserve">: </w:t>
      </w:r>
      <w:r w:rsidR="00F45EA1" w:rsidRPr="00BD1319">
        <w:rPr>
          <w:rFonts w:cs="Arial"/>
          <w:color w:val="000000"/>
        </w:rPr>
        <w:t>volumen de agua por unidad de tiempo, en términos de régimen y calidad, requerido para mantener el funcionamiento y resiliencia de los ecosistemas acuáticos y su provisión de servicios ecosistémicos</w:t>
      </w:r>
      <w:r w:rsidR="006A5D01" w:rsidRPr="00BD1319">
        <w:rPr>
          <w:rFonts w:cs="Arial"/>
          <w:color w:val="000000"/>
        </w:rPr>
        <w:t>.</w:t>
      </w:r>
      <w:r w:rsidR="00CF2BB6" w:rsidRPr="00BD1319">
        <w:rPr>
          <w:rFonts w:cs="Arial"/>
          <w:color w:val="000000"/>
        </w:rPr>
        <w:t xml:space="preserve"> </w:t>
      </w:r>
      <w:r w:rsidR="00CF2BB6" w:rsidRPr="00BD1319">
        <w:rPr>
          <w:rFonts w:cs="Arial"/>
          <w:color w:val="000000"/>
          <w:vertAlign w:val="superscript"/>
        </w:rPr>
        <w:t>[</w:t>
      </w:r>
      <w:r w:rsidR="005D5DD1" w:rsidRPr="00BD1319">
        <w:rPr>
          <w:rFonts w:cs="Arial"/>
          <w:color w:val="000000"/>
          <w:vertAlign w:val="superscript"/>
        </w:rPr>
        <w:fldChar w:fldCharType="begin"/>
      </w:r>
      <w:r w:rsidR="005D5DD1" w:rsidRPr="00BD1319">
        <w:rPr>
          <w:rFonts w:cs="Arial"/>
          <w:color w:val="000000"/>
          <w:vertAlign w:val="superscript"/>
        </w:rPr>
        <w:instrText xml:space="preserve"> NOTEREF _Ref44839840 \h </w:instrText>
      </w:r>
      <w:r w:rsidR="006A4128" w:rsidRPr="00BD1319">
        <w:rPr>
          <w:rFonts w:cs="Arial"/>
          <w:color w:val="000000"/>
          <w:vertAlign w:val="superscript"/>
        </w:rPr>
        <w:instrText xml:space="preserve"> \* MERGEFORMAT </w:instrText>
      </w:r>
      <w:r w:rsidR="005D5DD1" w:rsidRPr="00BD1319">
        <w:rPr>
          <w:rFonts w:cs="Arial"/>
          <w:color w:val="000000"/>
          <w:vertAlign w:val="superscript"/>
        </w:rPr>
      </w:r>
      <w:r w:rsidR="005D5DD1" w:rsidRPr="00BD1319">
        <w:rPr>
          <w:rFonts w:cs="Arial"/>
          <w:color w:val="000000"/>
          <w:vertAlign w:val="superscript"/>
        </w:rPr>
        <w:fldChar w:fldCharType="separate"/>
      </w:r>
      <w:r w:rsidR="00296654" w:rsidRPr="00BD1319">
        <w:rPr>
          <w:rFonts w:cs="Arial"/>
          <w:color w:val="000000"/>
          <w:vertAlign w:val="superscript"/>
        </w:rPr>
        <w:t>1</w:t>
      </w:r>
      <w:r w:rsidR="005D5DD1" w:rsidRPr="00BD1319">
        <w:rPr>
          <w:rFonts w:cs="Arial"/>
          <w:color w:val="000000"/>
          <w:vertAlign w:val="superscript"/>
        </w:rPr>
        <w:fldChar w:fldCharType="end"/>
      </w:r>
      <w:r w:rsidR="00CF2BB6" w:rsidRPr="00BD1319">
        <w:rPr>
          <w:rFonts w:cs="Arial"/>
          <w:color w:val="000000"/>
          <w:vertAlign w:val="superscript"/>
        </w:rPr>
        <w:t>]</w:t>
      </w:r>
    </w:p>
    <w:p w14:paraId="76C083C9" w14:textId="77777777" w:rsidR="00AA4F93" w:rsidRPr="00BD1319" w:rsidRDefault="00AA4F93">
      <w:pPr>
        <w:rPr>
          <w:color w:val="000000"/>
        </w:rPr>
      </w:pPr>
    </w:p>
    <w:p w14:paraId="7E5E59C3" w14:textId="3DFFE023" w:rsidR="00AA4F93" w:rsidRPr="00BD1319" w:rsidRDefault="00AA4F93" w:rsidP="00C86DA5">
      <w:pPr>
        <w:numPr>
          <w:ilvl w:val="0"/>
          <w:numId w:val="19"/>
        </w:numPr>
        <w:ind w:left="567" w:hanging="567"/>
        <w:rPr>
          <w:color w:val="000000"/>
        </w:rPr>
      </w:pPr>
      <w:r w:rsidRPr="00BD1319">
        <w:rPr>
          <w:b/>
          <w:color w:val="000000"/>
        </w:rPr>
        <w:t>Celda litoral</w:t>
      </w:r>
      <w:r w:rsidRPr="00BD1319">
        <w:rPr>
          <w:color w:val="000000"/>
        </w:rPr>
        <w:t xml:space="preserve">: </w:t>
      </w:r>
      <w:r w:rsidR="0088212E" w:rsidRPr="00BD1319">
        <w:rPr>
          <w:rFonts w:cs="Arial"/>
          <w:color w:val="000000"/>
        </w:rPr>
        <w:t>s</w:t>
      </w:r>
      <w:r w:rsidRPr="00BD1319">
        <w:rPr>
          <w:rFonts w:cs="Arial"/>
          <w:color w:val="000000"/>
        </w:rPr>
        <w:t>ección</w:t>
      </w:r>
      <w:r w:rsidRPr="00BD1319">
        <w:rPr>
          <w:color w:val="000000"/>
        </w:rPr>
        <w:t xml:space="preserve"> de </w:t>
      </w:r>
      <w:r w:rsidRPr="00BD1319">
        <w:rPr>
          <w:rFonts w:cs="Arial"/>
          <w:color w:val="000000"/>
        </w:rPr>
        <w:t>la costa que es independiente en términos</w:t>
      </w:r>
      <w:r w:rsidRPr="00BD1319">
        <w:rPr>
          <w:color w:val="000000"/>
        </w:rPr>
        <w:t xml:space="preserve"> de transporte </w:t>
      </w:r>
      <w:r w:rsidRPr="00BD1319">
        <w:rPr>
          <w:rFonts w:cs="Arial"/>
          <w:color w:val="000000"/>
        </w:rPr>
        <w:t>sedimentario</w:t>
      </w:r>
      <w:r w:rsidRPr="00BD1319">
        <w:rPr>
          <w:color w:val="000000"/>
        </w:rPr>
        <w:t xml:space="preserve"> de las </w:t>
      </w:r>
      <w:r w:rsidRPr="00BD1319">
        <w:rPr>
          <w:rFonts w:cs="Arial"/>
          <w:color w:val="000000"/>
        </w:rPr>
        <w:t xml:space="preserve">zonas adyacentes y </w:t>
      </w:r>
      <w:r w:rsidRPr="00BD1319">
        <w:rPr>
          <w:color w:val="000000"/>
        </w:rPr>
        <w:t xml:space="preserve">se </w:t>
      </w:r>
      <w:r w:rsidRPr="00BD1319">
        <w:rPr>
          <w:rFonts w:cs="Arial"/>
          <w:color w:val="000000"/>
        </w:rPr>
        <w:t>caracteriza</w:t>
      </w:r>
      <w:r w:rsidRPr="00BD1319">
        <w:rPr>
          <w:color w:val="000000"/>
        </w:rPr>
        <w:t xml:space="preserve"> por </w:t>
      </w:r>
      <w:r w:rsidRPr="00BD1319">
        <w:rPr>
          <w:rFonts w:cs="Arial"/>
          <w:color w:val="000000"/>
        </w:rPr>
        <w:t>tener sus propias fuentes y sumideros de sedimento, así como por estar delimitada por rasgos geomorfológicos específicos, como puntas</w:t>
      </w:r>
      <w:r w:rsidRPr="00BD1319">
        <w:rPr>
          <w:color w:val="000000"/>
        </w:rPr>
        <w:t xml:space="preserve"> y </w:t>
      </w:r>
      <w:r w:rsidRPr="00BD1319">
        <w:rPr>
          <w:rFonts w:cs="Arial"/>
          <w:color w:val="000000"/>
        </w:rPr>
        <w:t>costas rocosas, bajas arenosas y mixtas</w:t>
      </w:r>
      <w:r w:rsidR="006A5D01" w:rsidRPr="00BD1319">
        <w:rPr>
          <w:rFonts w:cs="Arial"/>
          <w:color w:val="000000"/>
        </w:rPr>
        <w:t>.</w:t>
      </w:r>
      <w:r w:rsidR="008F3CBD" w:rsidRPr="00BD1319">
        <w:rPr>
          <w:rFonts w:cs="Arial"/>
          <w:color w:val="000000"/>
        </w:rPr>
        <w:t xml:space="preserve"> </w:t>
      </w:r>
      <w:r w:rsidR="008F3CBD" w:rsidRPr="00BD1319">
        <w:rPr>
          <w:rFonts w:cs="Arial"/>
          <w:color w:val="000000"/>
          <w:vertAlign w:val="superscript"/>
        </w:rPr>
        <w:t>[</w:t>
      </w:r>
      <w:r w:rsidRPr="00BD1319">
        <w:rPr>
          <w:rStyle w:val="Refdenotaalfinal"/>
          <w:rFonts w:cs="Arial"/>
          <w:color w:val="000000"/>
        </w:rPr>
        <w:endnoteReference w:id="15"/>
      </w:r>
      <w:r w:rsidR="008F3CBD" w:rsidRPr="00BD1319">
        <w:rPr>
          <w:rFonts w:cs="Arial"/>
          <w:color w:val="000000"/>
          <w:vertAlign w:val="superscript"/>
        </w:rPr>
        <w:t>]</w:t>
      </w:r>
    </w:p>
    <w:p w14:paraId="5F20DEDC" w14:textId="77777777" w:rsidR="00FC302F" w:rsidRPr="00BD1319" w:rsidRDefault="00FC302F" w:rsidP="009420F5">
      <w:pPr>
        <w:rPr>
          <w:color w:val="000000"/>
        </w:rPr>
      </w:pPr>
    </w:p>
    <w:p w14:paraId="1366A87E" w14:textId="7ECB448B" w:rsidR="00FC302F" w:rsidRPr="00BD1319" w:rsidRDefault="00FC302F" w:rsidP="009420F5">
      <w:pPr>
        <w:numPr>
          <w:ilvl w:val="0"/>
          <w:numId w:val="19"/>
        </w:numPr>
        <w:ind w:left="567" w:hanging="567"/>
        <w:rPr>
          <w:color w:val="000000"/>
        </w:rPr>
      </w:pPr>
      <w:r w:rsidRPr="00BD1319">
        <w:rPr>
          <w:rFonts w:cs="Arial"/>
          <w:b/>
          <w:color w:val="000000"/>
        </w:rPr>
        <w:t>Clima</w:t>
      </w:r>
      <w:r w:rsidRPr="00BD1319">
        <w:rPr>
          <w:rFonts w:cs="Arial"/>
          <w:color w:val="000000"/>
        </w:rPr>
        <w:t xml:space="preserve">: </w:t>
      </w:r>
      <w:r w:rsidR="007F24CB" w:rsidRPr="00BD1319">
        <w:rPr>
          <w:rFonts w:cs="Arial"/>
          <w:color w:val="000000"/>
        </w:rPr>
        <w:t xml:space="preserve">conjunto fluctuante de las condiciones atmosféricas, caracterizado por los estados y evoluciones del tiempo, en un periodo y región dados, y controlado por factores forzantes y determinantes, y por la interacción entre los diferentes componentes del sistema climático (atmósfera, hidrosfera, litosfera, </w:t>
      </w:r>
      <w:proofErr w:type="spellStart"/>
      <w:r w:rsidR="007F24CB" w:rsidRPr="00BD1319">
        <w:rPr>
          <w:rFonts w:cs="Arial"/>
          <w:color w:val="000000"/>
        </w:rPr>
        <w:t>criósfera</w:t>
      </w:r>
      <w:proofErr w:type="spellEnd"/>
      <w:r w:rsidR="007F24CB" w:rsidRPr="00BD1319">
        <w:rPr>
          <w:rFonts w:cs="Arial"/>
          <w:color w:val="000000"/>
        </w:rPr>
        <w:t xml:space="preserve">, biosfera y </w:t>
      </w:r>
      <w:r w:rsidR="00434EA7" w:rsidRPr="00BD1319">
        <w:rPr>
          <w:rFonts w:cs="Arial"/>
          <w:color w:val="000000"/>
        </w:rPr>
        <w:t>antroposfera</w:t>
      </w:r>
      <w:r w:rsidR="007F24CB" w:rsidRPr="00BD1319">
        <w:rPr>
          <w:rFonts w:cs="Arial"/>
          <w:color w:val="000000"/>
        </w:rPr>
        <w:t xml:space="preserve">). </w:t>
      </w:r>
      <w:r w:rsidR="00ED30A5" w:rsidRPr="00BD1319">
        <w:rPr>
          <w:rFonts w:cs="Arial"/>
          <w:color w:val="000000"/>
          <w:vertAlign w:val="superscript"/>
        </w:rPr>
        <w:t>[</w:t>
      </w:r>
      <w:r w:rsidR="00ED30A5" w:rsidRPr="00BD1319">
        <w:rPr>
          <w:rStyle w:val="Refdenotaalfinal"/>
          <w:rFonts w:cs="Arial"/>
          <w:color w:val="000000"/>
        </w:rPr>
        <w:endnoteReference w:id="16"/>
      </w:r>
      <w:r w:rsidR="00ED30A5" w:rsidRPr="00BD1319">
        <w:rPr>
          <w:rFonts w:cs="Arial"/>
          <w:color w:val="000000"/>
          <w:vertAlign w:val="superscript"/>
        </w:rPr>
        <w:t>]</w:t>
      </w:r>
    </w:p>
    <w:p w14:paraId="04A68B46" w14:textId="77777777" w:rsidR="00AA4F93" w:rsidRPr="00BD1319" w:rsidRDefault="00AA4F93" w:rsidP="00E810B6">
      <w:pPr>
        <w:rPr>
          <w:rFonts w:cs="Arial"/>
        </w:rPr>
      </w:pPr>
    </w:p>
    <w:p w14:paraId="7F90FB4F" w14:textId="22BAD3D2" w:rsidR="00AA4F93" w:rsidRPr="00BD1319" w:rsidRDefault="00AA4F93" w:rsidP="00C86DA5">
      <w:pPr>
        <w:numPr>
          <w:ilvl w:val="0"/>
          <w:numId w:val="19"/>
        </w:numPr>
        <w:suppressAutoHyphens/>
        <w:ind w:left="567" w:hanging="567"/>
      </w:pPr>
      <w:r w:rsidRPr="00BD1319">
        <w:rPr>
          <w:b/>
        </w:rPr>
        <w:t>Componente</w:t>
      </w:r>
      <w:r w:rsidR="002237E5" w:rsidRPr="00BD1319">
        <w:rPr>
          <w:b/>
        </w:rPr>
        <w:t xml:space="preserve"> ambiental</w:t>
      </w:r>
      <w:r w:rsidRPr="00BD1319">
        <w:t xml:space="preserve">: </w:t>
      </w:r>
      <w:r w:rsidR="00063780" w:rsidRPr="00BD1319">
        <w:t>u</w:t>
      </w:r>
      <w:r w:rsidR="00916D7E" w:rsidRPr="00BD1319">
        <w:t>nidad</w:t>
      </w:r>
      <w:r w:rsidRPr="00BD1319">
        <w:t xml:space="preserve"> </w:t>
      </w:r>
      <w:r w:rsidR="00E810B6" w:rsidRPr="00BD1319">
        <w:t>conceptual</w:t>
      </w:r>
      <w:r w:rsidRPr="00BD1319">
        <w:t xml:space="preserve"> que agrupa factores ambientales y que a su vez constituye uno de los elementos que conforman un medio (abiótico, biótico o socioeconómico)</w:t>
      </w:r>
      <w:r w:rsidR="004758E3" w:rsidRPr="00BD1319">
        <w:t>.</w:t>
      </w:r>
      <w:r w:rsidRPr="00BD1319">
        <w:t xml:space="preserve"> </w:t>
      </w:r>
      <w:r w:rsidR="004758E3" w:rsidRPr="00BD1319">
        <w:t>E</w:t>
      </w:r>
      <w:r w:rsidRPr="00BD1319">
        <w:t>jemplo</w:t>
      </w:r>
      <w:r w:rsidR="004758E3" w:rsidRPr="00BD1319">
        <w:t>s</w:t>
      </w:r>
      <w:r w:rsidRPr="00BD1319">
        <w:t xml:space="preserve"> </w:t>
      </w:r>
      <w:r w:rsidR="0080177D" w:rsidRPr="00BD1319">
        <w:t xml:space="preserve">de </w:t>
      </w:r>
      <w:r w:rsidRPr="00BD1319">
        <w:t>componente</w:t>
      </w:r>
      <w:r w:rsidR="0080177D" w:rsidRPr="00BD1319">
        <w:t xml:space="preserve"> ambiental son:</w:t>
      </w:r>
      <w:r w:rsidRPr="00BD1319">
        <w:t xml:space="preserve"> </w:t>
      </w:r>
      <w:r w:rsidR="0080177D" w:rsidRPr="00BD1319">
        <w:t>g</w:t>
      </w:r>
      <w:r w:rsidRPr="00BD1319">
        <w:t xml:space="preserve">eológico, </w:t>
      </w:r>
      <w:r w:rsidR="0080177D" w:rsidRPr="00BD1319">
        <w:t>h</w:t>
      </w:r>
      <w:r w:rsidRPr="00BD1319">
        <w:t xml:space="preserve">idrológico, </w:t>
      </w:r>
      <w:r w:rsidR="0080177D" w:rsidRPr="00BD1319">
        <w:t>h</w:t>
      </w:r>
      <w:r w:rsidRPr="00BD1319">
        <w:t xml:space="preserve">idrogeológico, </w:t>
      </w:r>
      <w:r w:rsidR="0080177D" w:rsidRPr="00BD1319">
        <w:t>o</w:t>
      </w:r>
      <w:r w:rsidRPr="00BD1319">
        <w:t xml:space="preserve">ceanográfico, </w:t>
      </w:r>
      <w:r w:rsidR="0080177D" w:rsidRPr="00BD1319">
        <w:t>g</w:t>
      </w:r>
      <w:r w:rsidRPr="00BD1319">
        <w:t>eotécnico</w:t>
      </w:r>
      <w:r w:rsidR="0080177D" w:rsidRPr="00BD1319">
        <w:t>,</w:t>
      </w:r>
      <w:r w:rsidRPr="00BD1319">
        <w:t xml:space="preserve"> </w:t>
      </w:r>
      <w:r w:rsidR="0080177D" w:rsidRPr="00BD1319">
        <w:t>a</w:t>
      </w:r>
      <w:r w:rsidRPr="00BD1319">
        <w:t xml:space="preserve">tmosférico, </w:t>
      </w:r>
      <w:r w:rsidR="0080177D" w:rsidRPr="00BD1319">
        <w:t>ecosistemas</w:t>
      </w:r>
      <w:r w:rsidR="00370A26" w:rsidRPr="00BD1319">
        <w:t xml:space="preserve"> terrestres</w:t>
      </w:r>
      <w:r w:rsidR="0080177D" w:rsidRPr="00BD1319">
        <w:t>, espacial y económico</w:t>
      </w:r>
      <w:r w:rsidRPr="00BD1319">
        <w:t>.</w:t>
      </w:r>
    </w:p>
    <w:p w14:paraId="7805F51D" w14:textId="77777777" w:rsidR="00AA4F93" w:rsidRPr="00BD1319" w:rsidRDefault="00AA4F93" w:rsidP="00C86DA5"/>
    <w:p w14:paraId="0685D1A8" w14:textId="7DC07E36" w:rsidR="0013734D" w:rsidRPr="00BD1319" w:rsidRDefault="0013734D" w:rsidP="008A4FE9">
      <w:pPr>
        <w:numPr>
          <w:ilvl w:val="0"/>
          <w:numId w:val="19"/>
        </w:numPr>
        <w:suppressAutoHyphens/>
        <w:ind w:left="567" w:hanging="567"/>
        <w:rPr>
          <w:b/>
        </w:rPr>
      </w:pPr>
      <w:r w:rsidRPr="00BD1319">
        <w:rPr>
          <w:b/>
        </w:rPr>
        <w:t>Componente valorado del ecosistema</w:t>
      </w:r>
      <w:r w:rsidRPr="00BD1319">
        <w:rPr>
          <w:bCs/>
        </w:rPr>
        <w:t xml:space="preserve">: </w:t>
      </w:r>
      <w:r w:rsidR="003E7559" w:rsidRPr="00BD1319">
        <w:rPr>
          <w:bCs/>
        </w:rPr>
        <w:t xml:space="preserve">atributo o </w:t>
      </w:r>
      <w:r w:rsidR="00CD6C5C" w:rsidRPr="00BD1319">
        <w:rPr>
          <w:bCs/>
        </w:rPr>
        <w:t xml:space="preserve">elemento </w:t>
      </w:r>
      <w:r w:rsidR="003E7559" w:rsidRPr="00BD1319">
        <w:rPr>
          <w:bCs/>
        </w:rPr>
        <w:t>del ambiente sobre el cual hay preocupación del público o de l</w:t>
      </w:r>
      <w:r w:rsidR="00CD6C5C" w:rsidRPr="00BD1319">
        <w:rPr>
          <w:bCs/>
        </w:rPr>
        <w:t>a</w:t>
      </w:r>
      <w:r w:rsidR="003E7559" w:rsidRPr="00BD1319">
        <w:rPr>
          <w:bCs/>
        </w:rPr>
        <w:t xml:space="preserve">s </w:t>
      </w:r>
      <w:r w:rsidR="00CD6C5C" w:rsidRPr="00BD1319">
        <w:rPr>
          <w:bCs/>
        </w:rPr>
        <w:t>autoridades ambientales</w:t>
      </w:r>
      <w:r w:rsidR="003E7559" w:rsidRPr="00BD1319">
        <w:rPr>
          <w:bCs/>
        </w:rPr>
        <w:t xml:space="preserve">. Los atributos pueden estar asociados </w:t>
      </w:r>
      <w:r w:rsidR="00CD6C5C" w:rsidRPr="00BD1319">
        <w:rPr>
          <w:bCs/>
        </w:rPr>
        <w:t>a los factores de los medios abiótico, biótico y socioeconómico, así como a los servicios ecosistémicos y al paisaje</w:t>
      </w:r>
      <w:r w:rsidR="003E7559" w:rsidRPr="00BD1319">
        <w:rPr>
          <w:bCs/>
        </w:rPr>
        <w:t>.</w:t>
      </w:r>
      <w:r w:rsidR="00294968" w:rsidRPr="00BD1319">
        <w:rPr>
          <w:bCs/>
        </w:rPr>
        <w:t xml:space="preserve"> </w:t>
      </w:r>
      <w:r w:rsidR="00294968" w:rsidRPr="00BD1319">
        <w:rPr>
          <w:rFonts w:cs="Arial"/>
          <w:bCs/>
          <w:vertAlign w:val="superscript"/>
        </w:rPr>
        <w:t>[</w:t>
      </w:r>
      <w:r w:rsidR="00294968" w:rsidRPr="00BD1319">
        <w:rPr>
          <w:rStyle w:val="Refdenotaalfinal"/>
          <w:rFonts w:cs="Arial"/>
          <w:bCs/>
        </w:rPr>
        <w:endnoteReference w:id="17"/>
      </w:r>
      <w:r w:rsidR="00294968" w:rsidRPr="00BD1319">
        <w:rPr>
          <w:rFonts w:cs="Arial"/>
          <w:bCs/>
          <w:vertAlign w:val="superscript"/>
        </w:rPr>
        <w:t>]</w:t>
      </w:r>
    </w:p>
    <w:p w14:paraId="2E009C65" w14:textId="77777777" w:rsidR="0013734D" w:rsidRPr="00BD1319" w:rsidRDefault="0013734D" w:rsidP="00C86DA5"/>
    <w:p w14:paraId="68D354D3" w14:textId="1676ED39" w:rsidR="00DB1152" w:rsidRPr="00BD1319" w:rsidRDefault="00DB1152" w:rsidP="00DB1152">
      <w:pPr>
        <w:numPr>
          <w:ilvl w:val="0"/>
          <w:numId w:val="19"/>
        </w:numPr>
        <w:suppressAutoHyphens/>
        <w:ind w:left="567" w:hanging="567"/>
      </w:pPr>
      <w:r w:rsidRPr="00BD1319">
        <w:rPr>
          <w:b/>
        </w:rPr>
        <w:lastRenderedPageBreak/>
        <w:t>Conectividad ecológica</w:t>
      </w:r>
      <w:r w:rsidRPr="00BD1319">
        <w:rPr>
          <w:bCs/>
        </w:rPr>
        <w:t>:</w:t>
      </w:r>
      <w:r w:rsidRPr="00BD1319">
        <w:t xml:space="preserve"> </w:t>
      </w:r>
      <w:bookmarkStart w:id="31" w:name="_Hlk89696543"/>
      <w:r w:rsidRPr="00BD1319">
        <w:t>a</w:t>
      </w:r>
      <w:r w:rsidRPr="00BD1319">
        <w:rPr>
          <w:bCs/>
        </w:rPr>
        <w:t xml:space="preserve">tributo del paisaje que se refiere a la configuración espacial de </w:t>
      </w:r>
      <w:r w:rsidR="00D74062" w:rsidRPr="00BD1319">
        <w:rPr>
          <w:bCs/>
        </w:rPr>
        <w:t>su</w:t>
      </w:r>
      <w:r w:rsidRPr="00BD1319">
        <w:rPr>
          <w:bCs/>
        </w:rPr>
        <w:t>s elementos (parches, hábitats, matriz, corredores, entre otros)</w:t>
      </w:r>
      <w:r w:rsidR="00D74062" w:rsidRPr="00BD1319">
        <w:rPr>
          <w:bCs/>
        </w:rPr>
        <w:t>, así como</w:t>
      </w:r>
      <w:r w:rsidRPr="00BD1319">
        <w:rPr>
          <w:bCs/>
        </w:rPr>
        <w:t xml:space="preserve"> </w:t>
      </w:r>
      <w:r w:rsidR="000C3696" w:rsidRPr="00BD1319">
        <w:rPr>
          <w:bCs/>
        </w:rPr>
        <w:t xml:space="preserve">a </w:t>
      </w:r>
      <w:r w:rsidRPr="00BD1319">
        <w:rPr>
          <w:bCs/>
        </w:rPr>
        <w:t>su</w:t>
      </w:r>
      <w:r w:rsidR="000C3696" w:rsidRPr="00BD1319">
        <w:rPr>
          <w:bCs/>
        </w:rPr>
        <w:t>s</w:t>
      </w:r>
      <w:r w:rsidRPr="00BD1319">
        <w:rPr>
          <w:bCs/>
        </w:rPr>
        <w:t xml:space="preserve"> interacci</w:t>
      </w:r>
      <w:r w:rsidR="000C3696" w:rsidRPr="00BD1319">
        <w:rPr>
          <w:bCs/>
        </w:rPr>
        <w:t xml:space="preserve">ones, las cuales permiten </w:t>
      </w:r>
      <w:r w:rsidRPr="00BD1319">
        <w:rPr>
          <w:bCs/>
        </w:rPr>
        <w:t xml:space="preserve">el </w:t>
      </w:r>
      <w:r w:rsidR="000C3696" w:rsidRPr="00BD1319">
        <w:rPr>
          <w:bCs/>
        </w:rPr>
        <w:t xml:space="preserve">desarrollo </w:t>
      </w:r>
      <w:r w:rsidRPr="00BD1319">
        <w:rPr>
          <w:bCs/>
        </w:rPr>
        <w:t>de procesos naturales</w:t>
      </w:r>
      <w:r w:rsidR="000C3696" w:rsidRPr="00BD1319">
        <w:rPr>
          <w:bCs/>
        </w:rPr>
        <w:t xml:space="preserve"> y se </w:t>
      </w:r>
      <w:r w:rsidRPr="00BD1319">
        <w:rPr>
          <w:bCs/>
        </w:rPr>
        <w:t>representa</w:t>
      </w:r>
      <w:r w:rsidR="000C3696" w:rsidRPr="00BD1319">
        <w:rPr>
          <w:bCs/>
        </w:rPr>
        <w:t>n</w:t>
      </w:r>
      <w:r w:rsidRPr="00BD1319">
        <w:rPr>
          <w:bCs/>
        </w:rPr>
        <w:t xml:space="preserve"> en la dispersión, movilidad, riqueza y diversidad de las especies existentes un territorio. </w:t>
      </w:r>
      <w:r w:rsidR="4A0B09C6" w:rsidRPr="00BD1319">
        <w:t xml:space="preserve">Su </w:t>
      </w:r>
      <w:r w:rsidR="00E644A1" w:rsidRPr="00BD1319">
        <w:t xml:space="preserve">determinación </w:t>
      </w:r>
      <w:r w:rsidR="4A0B09C6" w:rsidRPr="00BD1319">
        <w:t>incluye entre otras,</w:t>
      </w:r>
      <w:r w:rsidRPr="00BD1319">
        <w:rPr>
          <w:bCs/>
        </w:rPr>
        <w:t xml:space="preserve"> la evaluación del tipo de matriz, de los procesos históricos de modificación del paisaje</w:t>
      </w:r>
      <w:r w:rsidR="4A0B09C6" w:rsidRPr="00BD1319">
        <w:t>,</w:t>
      </w:r>
      <w:r w:rsidRPr="00BD1319">
        <w:rPr>
          <w:bCs/>
        </w:rPr>
        <w:t xml:space="preserve"> de las condiciones ambientales de la región</w:t>
      </w:r>
      <w:r w:rsidR="4A0B09C6" w:rsidRPr="00BD1319">
        <w:t xml:space="preserve"> y de </w:t>
      </w:r>
      <w:r w:rsidRPr="00BD1319">
        <w:rPr>
          <w:bCs/>
        </w:rPr>
        <w:t>la dinámica de ocupación su uso</w:t>
      </w:r>
      <w:bookmarkEnd w:id="31"/>
      <w:r w:rsidRPr="00BD1319">
        <w:rPr>
          <w:rFonts w:eastAsiaTheme="minorEastAsia"/>
          <w:sz w:val="22"/>
          <w:szCs w:val="22"/>
        </w:rPr>
        <w:t>.</w:t>
      </w:r>
    </w:p>
    <w:p w14:paraId="1EFCF1C2" w14:textId="77777777" w:rsidR="00DB1152" w:rsidRPr="00BD1319" w:rsidRDefault="00DB1152" w:rsidP="009420F5"/>
    <w:p w14:paraId="17995DA3" w14:textId="217AEB30" w:rsidR="00AA4F93" w:rsidRPr="00BD1319" w:rsidRDefault="00AA4F93" w:rsidP="009420F5">
      <w:pPr>
        <w:numPr>
          <w:ilvl w:val="0"/>
          <w:numId w:val="19"/>
        </w:numPr>
        <w:suppressAutoHyphens/>
        <w:ind w:left="567" w:hanging="567"/>
      </w:pPr>
      <w:r w:rsidRPr="00BD1319">
        <w:rPr>
          <w:b/>
        </w:rPr>
        <w:t xml:space="preserve">Conflicto </w:t>
      </w:r>
      <w:r w:rsidR="003E7D13" w:rsidRPr="00BD1319">
        <w:rPr>
          <w:b/>
        </w:rPr>
        <w:t>socio</w:t>
      </w:r>
      <w:r w:rsidRPr="00BD1319">
        <w:rPr>
          <w:b/>
        </w:rPr>
        <w:t>ambiental</w:t>
      </w:r>
      <w:r w:rsidRPr="00BD1319">
        <w:t xml:space="preserve">: </w:t>
      </w:r>
      <w:r w:rsidR="003E7D13" w:rsidRPr="00BD1319">
        <w:t>tensiones, desacuerdos o confrontaciones respecto del acceso, uso, manejo y protección de la biodiversidad y sus servicios ecosistémicos; la distribución de sus beneficios; la implementación normativa; y el acceso o desconocimiento de información ambiental</w:t>
      </w:r>
      <w:r w:rsidRPr="00BD1319">
        <w:t>.</w:t>
      </w:r>
      <w:r w:rsidR="00295FEA" w:rsidRPr="00BD1319">
        <w:t xml:space="preserve"> </w:t>
      </w:r>
      <w:r w:rsidR="00295FEA" w:rsidRPr="00BD1319">
        <w:rPr>
          <w:rFonts w:cs="Arial"/>
          <w:bCs/>
          <w:vertAlign w:val="superscript"/>
        </w:rPr>
        <w:t>[</w:t>
      </w:r>
      <w:r w:rsidR="00295FEA" w:rsidRPr="00BD1319">
        <w:rPr>
          <w:rStyle w:val="Refdenotaalfinal"/>
          <w:rFonts w:cs="Arial"/>
          <w:bCs/>
        </w:rPr>
        <w:endnoteReference w:id="18"/>
      </w:r>
      <w:r w:rsidR="00295FEA" w:rsidRPr="00BD1319">
        <w:rPr>
          <w:rFonts w:cs="Arial"/>
          <w:bCs/>
          <w:vertAlign w:val="superscript"/>
        </w:rPr>
        <w:t>]</w:t>
      </w:r>
    </w:p>
    <w:p w14:paraId="71A9F2AE" w14:textId="77777777" w:rsidR="00AA4F93" w:rsidRPr="00BD1319" w:rsidRDefault="00AA4F93" w:rsidP="00C86DA5">
      <w:pPr>
        <w:suppressAutoHyphens/>
      </w:pPr>
    </w:p>
    <w:p w14:paraId="1FCFED75" w14:textId="33364641" w:rsidR="00AA4F93" w:rsidRPr="00BD1319" w:rsidRDefault="00AA4F93" w:rsidP="00C86DA5">
      <w:pPr>
        <w:numPr>
          <w:ilvl w:val="0"/>
          <w:numId w:val="19"/>
        </w:numPr>
        <w:suppressAutoHyphens/>
        <w:ind w:left="567" w:hanging="567"/>
      </w:pPr>
      <w:r w:rsidRPr="00BD1319">
        <w:rPr>
          <w:b/>
        </w:rPr>
        <w:t>Conocimiento del riesgo</w:t>
      </w:r>
      <w:r w:rsidRPr="00BD1319">
        <w:t xml:space="preserve">: </w:t>
      </w:r>
      <w:r w:rsidR="004B3840" w:rsidRPr="00BD1319">
        <w:t>proceso</w:t>
      </w:r>
      <w:r w:rsidRPr="00BD1319">
        <w:t xml:space="preserve"> de la gestión del riesgo compuesto por la identificación de escenarios de riesgo, el análisis y evaluación del riesgo, el monitoreo y seguimiento del riesgo y sus componentes y la comunicación para promover una mayor conciencia </w:t>
      </w:r>
      <w:proofErr w:type="gramStart"/>
      <w:r w:rsidR="006E6527" w:rsidRPr="00BD1319">
        <w:rPr>
          <w:rFonts w:cs="Arial"/>
        </w:rPr>
        <w:t>del mismo</w:t>
      </w:r>
      <w:proofErr w:type="gramEnd"/>
      <w:r w:rsidRPr="00BD1319">
        <w:t xml:space="preserve"> que alimenta los procesos de reducción del riesgo y de manejo de </w:t>
      </w:r>
      <w:bookmarkStart w:id="32" w:name="_Ref496867866"/>
      <w:r w:rsidRPr="00BD1319">
        <w:t>desastre</w:t>
      </w:r>
      <w:r w:rsidR="006A5D01" w:rsidRPr="00BD1319">
        <w:t>.</w:t>
      </w:r>
      <w:r w:rsidRPr="00BD1319">
        <w:rPr>
          <w:vertAlign w:val="superscript"/>
        </w:rPr>
        <w:t xml:space="preserve"> </w:t>
      </w:r>
      <w:r w:rsidR="00CF2BB6" w:rsidRPr="00BD1319">
        <w:rPr>
          <w:vertAlign w:val="superscript"/>
        </w:rPr>
        <w:t>[</w:t>
      </w:r>
      <w:r w:rsidR="00821FC6" w:rsidRPr="00BD1319">
        <w:rPr>
          <w:vertAlign w:val="superscript"/>
        </w:rPr>
        <w:fldChar w:fldCharType="begin"/>
      </w:r>
      <w:r w:rsidR="00821FC6" w:rsidRPr="00BD1319">
        <w:rPr>
          <w:vertAlign w:val="superscript"/>
        </w:rPr>
        <w:instrText xml:space="preserve"> NOTEREF _Ref44841712 \h </w:instrText>
      </w:r>
      <w:r w:rsidR="006A4128" w:rsidRPr="00BD1319">
        <w:rPr>
          <w:vertAlign w:val="superscript"/>
        </w:rPr>
        <w:instrText xml:space="preserve"> \* MERGEFORMAT </w:instrText>
      </w:r>
      <w:r w:rsidR="00821FC6" w:rsidRPr="00BD1319">
        <w:rPr>
          <w:vertAlign w:val="superscript"/>
        </w:rPr>
      </w:r>
      <w:r w:rsidR="00821FC6" w:rsidRPr="00BD1319">
        <w:rPr>
          <w:vertAlign w:val="superscript"/>
        </w:rPr>
        <w:fldChar w:fldCharType="separate"/>
      </w:r>
      <w:r w:rsidR="00296654" w:rsidRPr="00BD1319">
        <w:rPr>
          <w:vertAlign w:val="superscript"/>
        </w:rPr>
        <w:t>6</w:t>
      </w:r>
      <w:r w:rsidR="00821FC6" w:rsidRPr="00BD1319">
        <w:rPr>
          <w:vertAlign w:val="superscript"/>
        </w:rPr>
        <w:fldChar w:fldCharType="end"/>
      </w:r>
      <w:bookmarkEnd w:id="32"/>
      <w:r w:rsidR="00CF2BB6" w:rsidRPr="00BD1319">
        <w:rPr>
          <w:vertAlign w:val="superscript"/>
        </w:rPr>
        <w:t>]</w:t>
      </w:r>
    </w:p>
    <w:p w14:paraId="1B261E62" w14:textId="77777777" w:rsidR="006E6527" w:rsidRPr="00BD1319" w:rsidRDefault="006E6527" w:rsidP="006E6527">
      <w:pPr>
        <w:suppressAutoHyphens/>
        <w:rPr>
          <w:rFonts w:cs="Arial"/>
          <w:bCs/>
        </w:rPr>
      </w:pPr>
    </w:p>
    <w:p w14:paraId="1D1D470C" w14:textId="6061988C" w:rsidR="00AA4F93" w:rsidRPr="00BD1319" w:rsidRDefault="00AA4F93" w:rsidP="00456AB1">
      <w:pPr>
        <w:numPr>
          <w:ilvl w:val="0"/>
          <w:numId w:val="19"/>
        </w:numPr>
        <w:suppressAutoHyphens/>
        <w:ind w:left="567" w:hanging="567"/>
        <w:rPr>
          <w:rFonts w:cs="Arial"/>
          <w:bCs/>
        </w:rPr>
      </w:pPr>
      <w:r w:rsidRPr="00BD1319">
        <w:rPr>
          <w:rFonts w:cs="Arial"/>
          <w:b/>
          <w:bCs/>
        </w:rPr>
        <w:t>Contingencia ambiental</w:t>
      </w:r>
      <w:r w:rsidR="00E810B6" w:rsidRPr="00BD1319">
        <w:rPr>
          <w:rFonts w:cs="Arial"/>
          <w:bCs/>
        </w:rPr>
        <w:t>:</w:t>
      </w:r>
      <w:r w:rsidR="0088212E" w:rsidRPr="00BD1319">
        <w:rPr>
          <w:rFonts w:cs="Arial"/>
          <w:bCs/>
        </w:rPr>
        <w:t xml:space="preserve"> s</w:t>
      </w:r>
      <w:r w:rsidRPr="00BD1319">
        <w:rPr>
          <w:rFonts w:cs="Arial"/>
          <w:bCs/>
        </w:rPr>
        <w:t>ituación de riesgo derivad</w:t>
      </w:r>
      <w:r w:rsidR="00E810B6" w:rsidRPr="00BD1319">
        <w:rPr>
          <w:rFonts w:cs="Arial"/>
          <w:bCs/>
        </w:rPr>
        <w:t>a</w:t>
      </w:r>
      <w:r w:rsidRPr="00BD1319">
        <w:rPr>
          <w:rFonts w:cs="Arial"/>
          <w:bCs/>
        </w:rPr>
        <w:t xml:space="preserve"> de actividades humanas o fenómenos naturales, que puede poner en peligro la integridad de uno o varios ecosistemas</w:t>
      </w:r>
      <w:r w:rsidR="00DB1152" w:rsidRPr="00BD1319">
        <w:rPr>
          <w:rFonts w:cs="Arial"/>
          <w:bCs/>
        </w:rPr>
        <w:t xml:space="preserve"> o compartimientos</w:t>
      </w:r>
      <w:r w:rsidR="005B62A0" w:rsidRPr="00BD1319">
        <w:rPr>
          <w:rFonts w:cs="Arial"/>
          <w:bCs/>
        </w:rPr>
        <w:t xml:space="preserve"> ambientales</w:t>
      </w:r>
      <w:r w:rsidRPr="00BD1319">
        <w:rPr>
          <w:rFonts w:cs="Arial"/>
          <w:bCs/>
        </w:rPr>
        <w:t>. Puede haber diferentes niveles, desde un aviso preliminar, hasta el que requiere de acciones de emergencias</w:t>
      </w:r>
      <w:r w:rsidR="006A5D01" w:rsidRPr="00BD1319">
        <w:rPr>
          <w:rFonts w:cs="Arial"/>
          <w:bCs/>
        </w:rPr>
        <w:t>.</w:t>
      </w:r>
    </w:p>
    <w:p w14:paraId="073B6BCF" w14:textId="77777777" w:rsidR="00AA4F93" w:rsidRPr="00BD1319" w:rsidRDefault="00AA4F93" w:rsidP="00E810B6">
      <w:pPr>
        <w:suppressAutoHyphens/>
        <w:rPr>
          <w:rFonts w:eastAsia="Calibri" w:cs="Arial"/>
          <w:lang w:eastAsia="en-US"/>
        </w:rPr>
      </w:pPr>
    </w:p>
    <w:p w14:paraId="0DA38C84" w14:textId="4AF18860" w:rsidR="00AA4F93" w:rsidRPr="00BD1319" w:rsidRDefault="00AA4F93" w:rsidP="00456AB1">
      <w:pPr>
        <w:numPr>
          <w:ilvl w:val="0"/>
          <w:numId w:val="19"/>
        </w:numPr>
        <w:suppressAutoHyphens/>
        <w:ind w:left="567" w:hanging="567"/>
        <w:rPr>
          <w:rFonts w:eastAsia="Calibri" w:cs="Arial"/>
          <w:lang w:eastAsia="en-US"/>
        </w:rPr>
      </w:pPr>
      <w:r w:rsidRPr="00BD1319">
        <w:rPr>
          <w:rFonts w:eastAsia="Calibri" w:cs="Arial"/>
          <w:b/>
          <w:lang w:eastAsia="en-US"/>
        </w:rPr>
        <w:t>Corregimiento</w:t>
      </w:r>
      <w:r w:rsidR="006768F9" w:rsidRPr="00BD1319">
        <w:rPr>
          <w:rFonts w:eastAsia="Calibri" w:cs="Arial"/>
          <w:b/>
          <w:lang w:eastAsia="en-US"/>
        </w:rPr>
        <w:t xml:space="preserve"> municipal</w:t>
      </w:r>
      <w:r w:rsidRPr="00BD1319">
        <w:rPr>
          <w:rFonts w:eastAsia="Calibri" w:cs="Arial"/>
          <w:b/>
          <w:lang w:eastAsia="en-US"/>
        </w:rPr>
        <w:t>:</w:t>
      </w:r>
      <w:r w:rsidR="0088212E" w:rsidRPr="00BD1319">
        <w:rPr>
          <w:rFonts w:eastAsia="Calibri" w:cs="Arial"/>
          <w:lang w:eastAsia="en-US"/>
        </w:rPr>
        <w:t xml:space="preserve"> t</w:t>
      </w:r>
      <w:r w:rsidRPr="00BD1319">
        <w:rPr>
          <w:rFonts w:eastAsia="Calibri" w:cs="Arial"/>
          <w:lang w:eastAsia="en-US"/>
        </w:rPr>
        <w:t>ipo de centro poblado, ubicado en el área rural o urbana de un municipio, el cual incluye un núcleo de población y está considerado en los Planes de Ordenamiento Territorial (POT)</w:t>
      </w:r>
      <w:r w:rsidR="00761FEE" w:rsidRPr="00BD1319">
        <w:rPr>
          <w:rFonts w:eastAsia="Calibri" w:cs="Arial"/>
          <w:lang w:eastAsia="en-US"/>
        </w:rPr>
        <w:t>.</w:t>
      </w:r>
      <w:r w:rsidR="00CF2BB6" w:rsidRPr="00BD1319">
        <w:rPr>
          <w:rFonts w:eastAsia="Calibri" w:cs="Arial"/>
          <w:lang w:eastAsia="en-US"/>
        </w:rPr>
        <w:t xml:space="preserve"> </w:t>
      </w:r>
      <w:r w:rsidR="00CF2BB6" w:rsidRPr="00BD1319">
        <w:rPr>
          <w:rFonts w:eastAsia="Calibri" w:cs="Arial"/>
          <w:vertAlign w:val="superscript"/>
          <w:lang w:eastAsia="en-US"/>
        </w:rPr>
        <w:t>[</w:t>
      </w:r>
      <w:r w:rsidR="003E7D13" w:rsidRPr="00BD1319">
        <w:rPr>
          <w:rFonts w:eastAsia="Calibri" w:cs="Arial"/>
          <w:vertAlign w:val="superscript"/>
          <w:lang w:eastAsia="en-US"/>
        </w:rPr>
        <w:fldChar w:fldCharType="begin"/>
      </w:r>
      <w:r w:rsidR="003E7D13" w:rsidRPr="00BD1319">
        <w:rPr>
          <w:rFonts w:eastAsia="Calibri" w:cs="Arial"/>
          <w:vertAlign w:val="superscript"/>
          <w:lang w:eastAsia="en-US"/>
        </w:rPr>
        <w:instrText xml:space="preserve"> NOTEREF _Ref78191010 \h </w:instrText>
      </w:r>
      <w:r w:rsidR="006A4128" w:rsidRPr="00BD1319">
        <w:rPr>
          <w:rFonts w:eastAsia="Calibri" w:cs="Arial"/>
          <w:vertAlign w:val="superscript"/>
          <w:lang w:eastAsia="en-US"/>
        </w:rPr>
        <w:instrText xml:space="preserve"> \* MERGEFORMAT </w:instrText>
      </w:r>
      <w:r w:rsidR="003E7D13" w:rsidRPr="00BD1319">
        <w:rPr>
          <w:rFonts w:eastAsia="Calibri" w:cs="Arial"/>
          <w:vertAlign w:val="superscript"/>
          <w:lang w:eastAsia="en-US"/>
        </w:rPr>
      </w:r>
      <w:r w:rsidR="003E7D13" w:rsidRPr="00BD1319">
        <w:rPr>
          <w:rFonts w:eastAsia="Calibri" w:cs="Arial"/>
          <w:vertAlign w:val="superscript"/>
          <w:lang w:eastAsia="en-US"/>
        </w:rPr>
        <w:fldChar w:fldCharType="separate"/>
      </w:r>
      <w:r w:rsidR="00296654" w:rsidRPr="00BD1319">
        <w:rPr>
          <w:rFonts w:eastAsia="Calibri" w:cs="Arial"/>
          <w:vertAlign w:val="superscript"/>
          <w:lang w:eastAsia="en-US"/>
        </w:rPr>
        <w:t>13</w:t>
      </w:r>
      <w:r w:rsidR="003E7D13" w:rsidRPr="00BD1319">
        <w:rPr>
          <w:rFonts w:eastAsia="Calibri" w:cs="Arial"/>
          <w:vertAlign w:val="superscript"/>
          <w:lang w:eastAsia="en-US"/>
        </w:rPr>
        <w:fldChar w:fldCharType="end"/>
      </w:r>
      <w:r w:rsidR="00CF2BB6" w:rsidRPr="00BD1319">
        <w:rPr>
          <w:rFonts w:eastAsia="Calibri" w:cs="Arial"/>
          <w:vertAlign w:val="superscript"/>
          <w:lang w:eastAsia="en-US"/>
        </w:rPr>
        <w:t>]</w:t>
      </w:r>
    </w:p>
    <w:p w14:paraId="56524CCA" w14:textId="77777777" w:rsidR="00AA4F93" w:rsidRPr="00BD1319" w:rsidRDefault="00AA4F93" w:rsidP="00C86DA5">
      <w:pPr>
        <w:suppressAutoHyphens/>
        <w:rPr>
          <w:rFonts w:eastAsia="Calibri"/>
        </w:rPr>
      </w:pPr>
    </w:p>
    <w:p w14:paraId="2E58BB00" w14:textId="230BCF1B" w:rsidR="00AA4F93" w:rsidRPr="00BD1319" w:rsidRDefault="00AA4F93" w:rsidP="00C86DA5">
      <w:pPr>
        <w:numPr>
          <w:ilvl w:val="0"/>
          <w:numId w:val="19"/>
        </w:numPr>
        <w:suppressAutoHyphens/>
        <w:ind w:left="567" w:hanging="567"/>
      </w:pPr>
      <w:r w:rsidRPr="00BD1319">
        <w:rPr>
          <w:b/>
        </w:rPr>
        <w:t>Cuenca hidrográfica</w:t>
      </w:r>
      <w:r w:rsidRPr="00BD1319">
        <w:t xml:space="preserve">: </w:t>
      </w:r>
      <w:r w:rsidR="00B06F49" w:rsidRPr="00BD1319">
        <w:t>área</w:t>
      </w:r>
      <w:r w:rsidRPr="00BD1319">
        <w:t xml:space="preserve"> de aguas superficiales o subterráneas que vierten a una red hidrográfica natural con uno o varios cauces naturales, de caudal continuo o intermitente, que confluyen en un curso mayor que, a su vez, puede desembocar en un río principal, en un depósito natural de aguas, en un pantano o directamente en el mar</w:t>
      </w:r>
      <w:r w:rsidR="006A5D01" w:rsidRPr="00BD1319">
        <w:t>.</w:t>
      </w:r>
      <w:r w:rsidR="00B06F49" w:rsidRPr="00BD1319">
        <w:t xml:space="preserve"> </w:t>
      </w:r>
      <w:bookmarkStart w:id="33" w:name="_Ref496867136"/>
      <w:r w:rsidR="00CF2BB6" w:rsidRPr="00BD1319">
        <w:rPr>
          <w:vertAlign w:val="superscript"/>
        </w:rPr>
        <w:t>[</w:t>
      </w:r>
      <w:r w:rsidR="00821FC6" w:rsidRPr="00BD1319">
        <w:rPr>
          <w:vertAlign w:val="superscript"/>
        </w:rPr>
        <w:fldChar w:fldCharType="begin"/>
      </w:r>
      <w:r w:rsidR="00821FC6" w:rsidRPr="00BD1319">
        <w:rPr>
          <w:vertAlign w:val="superscript"/>
        </w:rPr>
        <w:instrText xml:space="preserve"> NOTEREF _Ref44839840 \h </w:instrText>
      </w:r>
      <w:r w:rsidR="006A4128" w:rsidRPr="00BD1319">
        <w:rPr>
          <w:vertAlign w:val="superscript"/>
        </w:rPr>
        <w:instrText xml:space="preserve"> \* MERGEFORMAT </w:instrText>
      </w:r>
      <w:r w:rsidR="00821FC6" w:rsidRPr="00BD1319">
        <w:rPr>
          <w:vertAlign w:val="superscript"/>
        </w:rPr>
      </w:r>
      <w:r w:rsidR="00821FC6" w:rsidRPr="00BD1319">
        <w:rPr>
          <w:vertAlign w:val="superscript"/>
        </w:rPr>
        <w:fldChar w:fldCharType="separate"/>
      </w:r>
      <w:r w:rsidR="00296654" w:rsidRPr="00BD1319">
        <w:rPr>
          <w:vertAlign w:val="superscript"/>
        </w:rPr>
        <w:t>1</w:t>
      </w:r>
      <w:r w:rsidR="00821FC6" w:rsidRPr="00BD1319">
        <w:rPr>
          <w:vertAlign w:val="superscript"/>
        </w:rPr>
        <w:fldChar w:fldCharType="end"/>
      </w:r>
      <w:bookmarkEnd w:id="33"/>
      <w:r w:rsidR="00CF2BB6" w:rsidRPr="00BD1319">
        <w:rPr>
          <w:vertAlign w:val="superscript"/>
        </w:rPr>
        <w:t>]</w:t>
      </w:r>
    </w:p>
    <w:p w14:paraId="3DA256FF" w14:textId="77777777" w:rsidR="00AA4F93" w:rsidRPr="00BD1319" w:rsidRDefault="00AA4F93" w:rsidP="00E810B6">
      <w:pPr>
        <w:rPr>
          <w:rFonts w:cs="Arial"/>
        </w:rPr>
      </w:pPr>
    </w:p>
    <w:p w14:paraId="674D0DED" w14:textId="1EAA5220" w:rsidR="00AA4F93" w:rsidRPr="00BD1319" w:rsidRDefault="0088212E" w:rsidP="00456AB1">
      <w:pPr>
        <w:numPr>
          <w:ilvl w:val="0"/>
          <w:numId w:val="19"/>
        </w:numPr>
        <w:suppressAutoHyphens/>
        <w:ind w:left="567" w:hanging="567"/>
        <w:rPr>
          <w:rFonts w:eastAsia="Calibri" w:cs="Arial"/>
          <w:lang w:eastAsia="en-US"/>
        </w:rPr>
      </w:pPr>
      <w:r w:rsidRPr="00BD1319">
        <w:rPr>
          <w:rFonts w:eastAsia="Calibri" w:cs="Arial"/>
          <w:b/>
          <w:lang w:eastAsia="en-US"/>
        </w:rPr>
        <w:lastRenderedPageBreak/>
        <w:t>Cuerpo de agua</w:t>
      </w:r>
      <w:r w:rsidRPr="00BD1319">
        <w:rPr>
          <w:rFonts w:eastAsia="Calibri" w:cs="Arial"/>
          <w:lang w:eastAsia="en-US"/>
        </w:rPr>
        <w:t>: s</w:t>
      </w:r>
      <w:r w:rsidR="00AA4F93" w:rsidRPr="00BD1319">
        <w:rPr>
          <w:rFonts w:eastAsia="Calibri" w:cs="Arial"/>
          <w:lang w:eastAsia="en-US"/>
        </w:rPr>
        <w:t>istema de origen natural o artificial localizado, sobre la superficie terrestre, conformado por elementos físicos-bióticos y masas o volúmenes de agua, contenidas o en movimiento</w:t>
      </w:r>
      <w:r w:rsidR="006A5D01" w:rsidRPr="00BD1319">
        <w:rPr>
          <w:rFonts w:eastAsia="Calibri" w:cs="Arial"/>
          <w:lang w:eastAsia="en-US"/>
        </w:rPr>
        <w:t>.</w:t>
      </w:r>
      <w:r w:rsidR="00CF2BB6" w:rsidRPr="00BD1319">
        <w:rPr>
          <w:rFonts w:eastAsia="Calibri" w:cs="Arial"/>
          <w:lang w:eastAsia="en-US"/>
        </w:rPr>
        <w:t xml:space="preserve"> </w:t>
      </w:r>
      <w:r w:rsidR="00CF2BB6" w:rsidRPr="00BD1319">
        <w:rPr>
          <w:rFonts w:eastAsia="Calibri" w:cs="Arial"/>
          <w:vertAlign w:val="superscript"/>
          <w:lang w:eastAsia="en-US"/>
        </w:rPr>
        <w:t>[</w:t>
      </w:r>
      <w:r w:rsidR="00821FC6" w:rsidRPr="00BD1319">
        <w:rPr>
          <w:rFonts w:eastAsia="Calibri" w:cs="Arial"/>
          <w:vertAlign w:val="superscript"/>
          <w:lang w:eastAsia="en-US"/>
        </w:rPr>
        <w:fldChar w:fldCharType="begin"/>
      </w:r>
      <w:r w:rsidR="00821FC6" w:rsidRPr="00BD1319">
        <w:rPr>
          <w:rFonts w:eastAsia="Calibri" w:cs="Arial"/>
          <w:vertAlign w:val="superscript"/>
          <w:lang w:eastAsia="en-US"/>
        </w:rPr>
        <w:instrText xml:space="preserve"> NOTEREF _Ref44839840 \h </w:instrText>
      </w:r>
      <w:r w:rsidR="006A4128" w:rsidRPr="00BD1319">
        <w:rPr>
          <w:rFonts w:eastAsia="Calibri" w:cs="Arial"/>
          <w:vertAlign w:val="superscript"/>
          <w:lang w:eastAsia="en-US"/>
        </w:rPr>
        <w:instrText xml:space="preserve"> \* MERGEFORMAT </w:instrText>
      </w:r>
      <w:r w:rsidR="00821FC6" w:rsidRPr="00BD1319">
        <w:rPr>
          <w:rFonts w:eastAsia="Calibri" w:cs="Arial"/>
          <w:vertAlign w:val="superscript"/>
          <w:lang w:eastAsia="en-US"/>
        </w:rPr>
      </w:r>
      <w:r w:rsidR="00821FC6" w:rsidRPr="00BD1319">
        <w:rPr>
          <w:rFonts w:eastAsia="Calibri" w:cs="Arial"/>
          <w:vertAlign w:val="superscript"/>
          <w:lang w:eastAsia="en-US"/>
        </w:rPr>
        <w:fldChar w:fldCharType="separate"/>
      </w:r>
      <w:r w:rsidR="00296654" w:rsidRPr="00BD1319">
        <w:rPr>
          <w:rFonts w:eastAsia="Calibri" w:cs="Arial"/>
          <w:vertAlign w:val="superscript"/>
          <w:lang w:eastAsia="en-US"/>
        </w:rPr>
        <w:t>1</w:t>
      </w:r>
      <w:r w:rsidR="00821FC6" w:rsidRPr="00BD1319">
        <w:rPr>
          <w:rFonts w:eastAsia="Calibri" w:cs="Arial"/>
          <w:vertAlign w:val="superscript"/>
          <w:lang w:eastAsia="en-US"/>
        </w:rPr>
        <w:fldChar w:fldCharType="end"/>
      </w:r>
      <w:r w:rsidR="00CF2BB6" w:rsidRPr="00BD1319">
        <w:rPr>
          <w:rFonts w:eastAsia="Calibri" w:cs="Arial"/>
          <w:vertAlign w:val="superscript"/>
          <w:lang w:eastAsia="en-US"/>
        </w:rPr>
        <w:t>]</w:t>
      </w:r>
    </w:p>
    <w:p w14:paraId="577957B4" w14:textId="77777777" w:rsidR="00AA4F93" w:rsidRPr="00BD1319" w:rsidRDefault="00AA4F93" w:rsidP="00C86DA5">
      <w:pPr>
        <w:suppressAutoHyphens/>
      </w:pPr>
    </w:p>
    <w:p w14:paraId="4A2E0211" w14:textId="04FAF4CA" w:rsidR="00683BC3" w:rsidRPr="00BD1319" w:rsidRDefault="00683BC3" w:rsidP="000D6E21">
      <w:pPr>
        <w:numPr>
          <w:ilvl w:val="0"/>
          <w:numId w:val="19"/>
        </w:numPr>
        <w:suppressAutoHyphens/>
        <w:ind w:left="567" w:hanging="567"/>
      </w:pPr>
      <w:r w:rsidRPr="00BD1319">
        <w:rPr>
          <w:b/>
          <w:bCs/>
        </w:rPr>
        <w:t>Debida diligencia en materia de derechos humanos</w:t>
      </w:r>
      <w:r w:rsidRPr="00BD1319">
        <w:t xml:space="preserve">: </w:t>
      </w:r>
      <w:r w:rsidR="002A57E3" w:rsidRPr="00BD1319">
        <w:t xml:space="preserve">proceso sistémico que permite identificar, prevenir, y mitigar los posibles impactos que la actividad empresarial pueda producir en el goce y ejercicio de los derechos humanos, y se comienza antes de la operación de cualquier proyecto, continuando hasta el cierre </w:t>
      </w:r>
      <w:proofErr w:type="gramStart"/>
      <w:r w:rsidR="002A57E3" w:rsidRPr="00BD1319">
        <w:t>del mismo</w:t>
      </w:r>
      <w:proofErr w:type="gramEnd"/>
      <w:r w:rsidR="000B288C" w:rsidRPr="00BD1319">
        <w:t>.</w:t>
      </w:r>
      <w:r w:rsidR="002A57E3" w:rsidRPr="00BD1319">
        <w:t xml:space="preserve"> </w:t>
      </w:r>
      <w:r w:rsidR="002A57E3" w:rsidRPr="00BD1319">
        <w:rPr>
          <w:vertAlign w:val="superscript"/>
        </w:rPr>
        <w:t>[</w:t>
      </w:r>
      <w:r w:rsidR="002A57E3" w:rsidRPr="00BD1319">
        <w:rPr>
          <w:vertAlign w:val="superscript"/>
        </w:rPr>
        <w:endnoteReference w:id="19"/>
      </w:r>
      <w:r w:rsidR="002A57E3" w:rsidRPr="00BD1319">
        <w:rPr>
          <w:vertAlign w:val="superscript"/>
        </w:rPr>
        <w:t>]</w:t>
      </w:r>
    </w:p>
    <w:p w14:paraId="6D6A6563" w14:textId="77777777" w:rsidR="00683BC3" w:rsidRPr="00BD1319" w:rsidRDefault="00683BC3" w:rsidP="000D6E21">
      <w:pPr>
        <w:suppressAutoHyphens/>
      </w:pPr>
    </w:p>
    <w:p w14:paraId="652685FB" w14:textId="1A55ECCE" w:rsidR="00AA4F93" w:rsidRPr="00BD1319" w:rsidRDefault="00AA4F93" w:rsidP="00C86DA5">
      <w:pPr>
        <w:numPr>
          <w:ilvl w:val="0"/>
          <w:numId w:val="19"/>
        </w:numPr>
        <w:suppressAutoHyphens/>
        <w:ind w:left="567" w:hanging="567"/>
      </w:pPr>
      <w:r w:rsidRPr="00BD1319">
        <w:rPr>
          <w:b/>
        </w:rPr>
        <w:t>Desarrollo sostenible</w:t>
      </w:r>
      <w:r w:rsidRPr="00BD1319">
        <w:t xml:space="preserve">: </w:t>
      </w:r>
      <w:r w:rsidR="000207D9" w:rsidRPr="00BD1319">
        <w:t xml:space="preserve">tipo de desarrollo que </w:t>
      </w:r>
      <w:r w:rsidR="00882189" w:rsidRPr="00BD1319">
        <w:rPr>
          <w:rFonts w:cs="Arial"/>
          <w:color w:val="181717"/>
          <w:shd w:val="clear" w:color="auto" w:fill="FFFFFF"/>
        </w:rPr>
        <w:t>condu</w:t>
      </w:r>
      <w:r w:rsidR="00DF76CD" w:rsidRPr="00BD1319">
        <w:rPr>
          <w:rFonts w:cs="Arial"/>
          <w:color w:val="181717"/>
          <w:shd w:val="clear" w:color="auto" w:fill="FFFFFF"/>
        </w:rPr>
        <w:t>z</w:t>
      </w:r>
      <w:r w:rsidR="00882189" w:rsidRPr="00BD1319">
        <w:rPr>
          <w:rFonts w:cs="Arial"/>
          <w:color w:val="181717"/>
          <w:shd w:val="clear" w:color="auto" w:fill="FFFFFF"/>
        </w:rPr>
        <w:t>c</w:t>
      </w:r>
      <w:r w:rsidR="00DF76CD" w:rsidRPr="00BD1319">
        <w:rPr>
          <w:rFonts w:cs="Arial"/>
          <w:color w:val="181717"/>
          <w:shd w:val="clear" w:color="auto" w:fill="FFFFFF"/>
        </w:rPr>
        <w:t>a</w:t>
      </w:r>
      <w:r w:rsidR="00882189" w:rsidRPr="00BD1319">
        <w:rPr>
          <w:rFonts w:cs="Arial"/>
          <w:color w:val="181717"/>
          <w:shd w:val="clear" w:color="auto" w:fill="FFFFFF"/>
        </w:rPr>
        <w:t xml:space="preserve"> al</w:t>
      </w:r>
      <w:r w:rsidR="00882189" w:rsidRPr="00BD1319">
        <w:rPr>
          <w:color w:val="181717"/>
          <w:shd w:val="clear" w:color="auto" w:fill="FFFFFF"/>
        </w:rPr>
        <w:t xml:space="preserve"> crecimiento económico, </w:t>
      </w:r>
      <w:r w:rsidR="00882189" w:rsidRPr="00BD1319">
        <w:rPr>
          <w:rFonts w:cs="Arial"/>
          <w:color w:val="181717"/>
          <w:shd w:val="clear" w:color="auto" w:fill="FFFFFF"/>
        </w:rPr>
        <w:t xml:space="preserve">a la elevación de </w:t>
      </w:r>
      <w:r w:rsidR="00882189" w:rsidRPr="00BD1319">
        <w:rPr>
          <w:color w:val="181717"/>
          <w:shd w:val="clear" w:color="auto" w:fill="FFFFFF"/>
        </w:rPr>
        <w:t xml:space="preserve">la </w:t>
      </w:r>
      <w:r w:rsidR="00882189" w:rsidRPr="00BD1319">
        <w:rPr>
          <w:rFonts w:cs="Arial"/>
          <w:color w:val="181717"/>
          <w:shd w:val="clear" w:color="auto" w:fill="FFFFFF"/>
        </w:rPr>
        <w:t>calidad de la vida y al bienestar</w:t>
      </w:r>
      <w:r w:rsidR="00882189" w:rsidRPr="00BD1319">
        <w:rPr>
          <w:color w:val="181717"/>
          <w:shd w:val="clear" w:color="auto" w:fill="FFFFFF"/>
        </w:rPr>
        <w:t xml:space="preserve"> social, </w:t>
      </w:r>
      <w:r w:rsidR="00882189" w:rsidRPr="00BD1319">
        <w:rPr>
          <w:rFonts w:cs="Arial"/>
          <w:color w:val="181717"/>
          <w:shd w:val="clear" w:color="auto" w:fill="FFFFFF"/>
        </w:rPr>
        <w:t>sin agotar</w:t>
      </w:r>
      <w:r w:rsidR="00882189" w:rsidRPr="00BD1319">
        <w:rPr>
          <w:color w:val="181717"/>
          <w:shd w:val="clear" w:color="auto" w:fill="FFFFFF"/>
        </w:rPr>
        <w:t xml:space="preserve"> la base de recursos naturales</w:t>
      </w:r>
      <w:r w:rsidR="00882189" w:rsidRPr="00BD1319">
        <w:rPr>
          <w:rFonts w:cs="Arial"/>
          <w:color w:val="181717"/>
          <w:shd w:val="clear" w:color="auto" w:fill="FFFFFF"/>
        </w:rPr>
        <w:t xml:space="preserve"> renovables en que se sustenta, ni </w:t>
      </w:r>
      <w:r w:rsidR="00882189" w:rsidRPr="00BD1319">
        <w:rPr>
          <w:color w:val="181717"/>
          <w:shd w:val="clear" w:color="auto" w:fill="FFFFFF"/>
        </w:rPr>
        <w:t xml:space="preserve">deteriorar el medio ambiente </w:t>
      </w:r>
      <w:r w:rsidR="00882189" w:rsidRPr="00BD1319">
        <w:rPr>
          <w:rFonts w:cs="Arial"/>
          <w:color w:val="181717"/>
          <w:shd w:val="clear" w:color="auto" w:fill="FFFFFF"/>
        </w:rPr>
        <w:t>o</w:t>
      </w:r>
      <w:r w:rsidR="00882189" w:rsidRPr="00BD1319">
        <w:rPr>
          <w:color w:val="181717"/>
          <w:shd w:val="clear" w:color="auto" w:fill="FFFFFF"/>
        </w:rPr>
        <w:t xml:space="preserve"> el derecho de las generaciones futuras a utilizarlo para </w:t>
      </w:r>
      <w:r w:rsidR="00882189" w:rsidRPr="00BD1319">
        <w:rPr>
          <w:rFonts w:cs="Arial"/>
          <w:color w:val="181717"/>
          <w:shd w:val="clear" w:color="auto" w:fill="FFFFFF"/>
        </w:rPr>
        <w:t xml:space="preserve">la satisfacción de </w:t>
      </w:r>
      <w:r w:rsidR="00882189" w:rsidRPr="00BD1319">
        <w:rPr>
          <w:color w:val="181717"/>
          <w:shd w:val="clear" w:color="auto" w:fill="FFFFFF"/>
        </w:rPr>
        <w:t>sus propias necesidades</w:t>
      </w:r>
      <w:bookmarkStart w:id="34" w:name="_Ref501183221"/>
      <w:r w:rsidR="00E8461D" w:rsidRPr="00BD1319">
        <w:t xml:space="preserve">. </w:t>
      </w:r>
      <w:r w:rsidR="00CF2BB6" w:rsidRPr="00BD1319">
        <w:rPr>
          <w:vertAlign w:val="superscript"/>
        </w:rPr>
        <w:t>[</w:t>
      </w:r>
      <w:r w:rsidRPr="00BD1319">
        <w:rPr>
          <w:vertAlign w:val="superscript"/>
        </w:rPr>
        <w:endnoteReference w:id="20"/>
      </w:r>
      <w:bookmarkEnd w:id="34"/>
      <w:r w:rsidR="00CF2BB6" w:rsidRPr="00BD1319">
        <w:rPr>
          <w:vertAlign w:val="superscript"/>
        </w:rPr>
        <w:t>]</w:t>
      </w:r>
    </w:p>
    <w:p w14:paraId="5A4CB611" w14:textId="77777777" w:rsidR="007542CC" w:rsidRPr="00BD1319" w:rsidRDefault="007542CC" w:rsidP="000D6E21">
      <w:pPr>
        <w:pStyle w:val="Prrafodelista"/>
      </w:pPr>
    </w:p>
    <w:p w14:paraId="0CCE1D74" w14:textId="0DE2AA12" w:rsidR="007542CC" w:rsidRPr="00BD1319" w:rsidRDefault="007542CC" w:rsidP="00C86DA5">
      <w:pPr>
        <w:numPr>
          <w:ilvl w:val="0"/>
          <w:numId w:val="19"/>
        </w:numPr>
        <w:suppressAutoHyphens/>
        <w:ind w:left="567" w:hanging="567"/>
      </w:pPr>
      <w:r w:rsidRPr="00BD1319">
        <w:rPr>
          <w:b/>
          <w:bCs/>
        </w:rPr>
        <w:t>Desastre</w:t>
      </w:r>
      <w:r w:rsidRPr="00BD1319">
        <w:t>: resultado que se desencadena de la manifestación de uno o varios eventos naturales o antropogénicos no intencionales que al encontrar condiciones propicias de vulnerabilidad en las personas, los bienes, la infraestructura, los medios de subsistencia, la prestación de servicios o los recursos ambientales, causa daños o pérdidas humanas, materiales, económicas o ambientales, generando una alteración intensa, grave y extendida en las condiciones normales de funcionamiento de la sociedad, que exige del Estado y del sistema nacional ejecutar acciones de respuesta a la emergencia, rehabilitación y reconstrucción</w:t>
      </w:r>
      <w:r w:rsidR="00C552A4" w:rsidRPr="00BD1319">
        <w:t xml:space="preserve">. </w:t>
      </w:r>
      <w:r w:rsidR="00C552A4" w:rsidRPr="00BD1319">
        <w:rPr>
          <w:vertAlign w:val="superscript"/>
        </w:rPr>
        <w:t>[</w:t>
      </w:r>
      <w:r w:rsidR="00C552A4" w:rsidRPr="00BD1319">
        <w:rPr>
          <w:vertAlign w:val="superscript"/>
        </w:rPr>
        <w:fldChar w:fldCharType="begin"/>
      </w:r>
      <w:r w:rsidR="00C552A4" w:rsidRPr="00BD1319">
        <w:rPr>
          <w:vertAlign w:val="superscript"/>
        </w:rPr>
        <w:instrText xml:space="preserve"> NOTEREF _Ref44841712 \h  \* MERGEFORMAT </w:instrText>
      </w:r>
      <w:r w:rsidR="00C552A4" w:rsidRPr="00BD1319">
        <w:rPr>
          <w:vertAlign w:val="superscript"/>
        </w:rPr>
      </w:r>
      <w:r w:rsidR="00C552A4" w:rsidRPr="00BD1319">
        <w:rPr>
          <w:vertAlign w:val="superscript"/>
        </w:rPr>
        <w:fldChar w:fldCharType="separate"/>
      </w:r>
      <w:r w:rsidR="00296654" w:rsidRPr="00BD1319">
        <w:rPr>
          <w:vertAlign w:val="superscript"/>
        </w:rPr>
        <w:t>6</w:t>
      </w:r>
      <w:r w:rsidR="00C552A4" w:rsidRPr="00BD1319">
        <w:rPr>
          <w:vertAlign w:val="superscript"/>
        </w:rPr>
        <w:fldChar w:fldCharType="end"/>
      </w:r>
      <w:r w:rsidR="00C552A4" w:rsidRPr="00BD1319">
        <w:rPr>
          <w:vertAlign w:val="superscript"/>
        </w:rPr>
        <w:t>]</w:t>
      </w:r>
    </w:p>
    <w:p w14:paraId="7600D00A" w14:textId="77777777" w:rsidR="00360E83" w:rsidRPr="00BD1319" w:rsidRDefault="00360E83" w:rsidP="000D6E21">
      <w:pPr>
        <w:suppressAutoHyphens/>
      </w:pPr>
    </w:p>
    <w:p w14:paraId="64A90D19" w14:textId="1D7E5065" w:rsidR="003A1DDA" w:rsidRPr="00BD1319" w:rsidRDefault="003A1DDA" w:rsidP="008A4FE9">
      <w:pPr>
        <w:pStyle w:val="Prrafodelista"/>
        <w:numPr>
          <w:ilvl w:val="0"/>
          <w:numId w:val="438"/>
        </w:numPr>
        <w:ind w:left="567" w:hanging="567"/>
      </w:pPr>
      <w:r w:rsidRPr="00BD1319">
        <w:rPr>
          <w:b/>
          <w:bCs/>
          <w:lang w:val="es-CO"/>
        </w:rPr>
        <w:t>Dimensión ambiental en el Plan de gestión del riesgo</w:t>
      </w:r>
      <w:r w:rsidRPr="00BD1319">
        <w:rPr>
          <w:lang w:val="es-CO"/>
        </w:rPr>
        <w:t xml:space="preserve">: </w:t>
      </w:r>
      <w:r w:rsidR="006F7FAB" w:rsidRPr="00BD1319">
        <w:rPr>
          <w:lang w:val="es-CO"/>
        </w:rPr>
        <w:t>conjunto de procesos y actividades de gestión del riesgo presentados por el solicitante, orientados a conocer, monitorear y reducir los escenarios de riesgo ambiental de origen exógeno y endógeno, sobre los medios abiótico, biótico y socioeconómico. Incluye los procesos de conocimiento del riesgo, reducción del riesgo y el manejo de los desastres mediante la preparación para la respuesta y de recuperación ambiental ante la ocurrencia de eventos de contingencia que se causen por el desarrollo de un proyecto, obra o actividad</w:t>
      </w:r>
      <w:r w:rsidRPr="00BD1319">
        <w:rPr>
          <w:lang w:val="es-CO"/>
        </w:rPr>
        <w:t>.</w:t>
      </w:r>
    </w:p>
    <w:p w14:paraId="11EED61D" w14:textId="7F162D6B" w:rsidR="00AA4F93" w:rsidRPr="00BD1319" w:rsidRDefault="00AA4F93" w:rsidP="00064779">
      <w:pPr>
        <w:suppressAutoHyphens/>
        <w:rPr>
          <w:rFonts w:cs="Arial"/>
        </w:rPr>
      </w:pPr>
    </w:p>
    <w:p w14:paraId="76C4FE4D" w14:textId="4FA73794" w:rsidR="00AA4F93" w:rsidRPr="00BD1319" w:rsidRDefault="00AA4F93" w:rsidP="00456AB1">
      <w:pPr>
        <w:numPr>
          <w:ilvl w:val="0"/>
          <w:numId w:val="19"/>
        </w:numPr>
        <w:suppressAutoHyphens/>
        <w:ind w:left="567" w:hanging="567"/>
        <w:rPr>
          <w:rFonts w:cs="Arial"/>
        </w:rPr>
      </w:pPr>
      <w:r w:rsidRPr="00BD1319">
        <w:rPr>
          <w:rFonts w:cs="Arial"/>
          <w:b/>
        </w:rPr>
        <w:t>Ecosistema</w:t>
      </w:r>
      <w:r w:rsidRPr="00BD1319">
        <w:rPr>
          <w:rFonts w:cs="Arial"/>
        </w:rPr>
        <w:t>:</w:t>
      </w:r>
      <w:r w:rsidR="007719F0" w:rsidRPr="00BD1319">
        <w:rPr>
          <w:rFonts w:cs="Arial"/>
        </w:rPr>
        <w:t xml:space="preserve"> </w:t>
      </w:r>
      <w:r w:rsidR="004340B0" w:rsidRPr="00BD1319">
        <w:rPr>
          <w:rFonts w:cs="Arial"/>
        </w:rPr>
        <w:t>c</w:t>
      </w:r>
      <w:r w:rsidR="00CC639B" w:rsidRPr="00BD1319">
        <w:rPr>
          <w:rFonts w:cs="Arial"/>
        </w:rPr>
        <w:t xml:space="preserve">omplejo dinámico de comunidades </w:t>
      </w:r>
      <w:r w:rsidR="00D920A5" w:rsidRPr="00BD1319">
        <w:rPr>
          <w:rFonts w:cs="Arial"/>
        </w:rPr>
        <w:t>vegetales</w:t>
      </w:r>
      <w:r w:rsidR="00CC639B" w:rsidRPr="00BD1319">
        <w:rPr>
          <w:rFonts w:cs="Arial"/>
        </w:rPr>
        <w:t xml:space="preserve">, animales y microorganismos y </w:t>
      </w:r>
      <w:r w:rsidR="00D920A5" w:rsidRPr="00BD1319">
        <w:rPr>
          <w:rFonts w:cs="Arial"/>
        </w:rPr>
        <w:t xml:space="preserve">su medio no viviente </w:t>
      </w:r>
      <w:r w:rsidR="00CC639B" w:rsidRPr="00BD1319">
        <w:rPr>
          <w:rFonts w:cs="Arial"/>
        </w:rPr>
        <w:t xml:space="preserve">que interactúan </w:t>
      </w:r>
      <w:r w:rsidR="00D920A5" w:rsidRPr="00BD1319">
        <w:rPr>
          <w:rFonts w:cs="Arial"/>
        </w:rPr>
        <w:t xml:space="preserve">como </w:t>
      </w:r>
      <w:r w:rsidR="00CC639B" w:rsidRPr="00BD1319">
        <w:rPr>
          <w:rFonts w:cs="Arial"/>
        </w:rPr>
        <w:t>una unidad funcional</w:t>
      </w:r>
      <w:r w:rsidR="00B7214D" w:rsidRPr="00BD1319">
        <w:rPr>
          <w:rFonts w:cs="Arial"/>
        </w:rPr>
        <w:t>.</w:t>
      </w:r>
      <w:r w:rsidR="00CF2BB6" w:rsidRPr="00BD1319">
        <w:rPr>
          <w:rFonts w:cs="Arial"/>
        </w:rPr>
        <w:t xml:space="preserve"> </w:t>
      </w:r>
      <w:r w:rsidR="00CF2BB6" w:rsidRPr="00BD1319">
        <w:rPr>
          <w:rFonts w:cs="Arial"/>
          <w:vertAlign w:val="superscript"/>
        </w:rPr>
        <w:t>[</w:t>
      </w:r>
      <w:r w:rsidR="003A081B" w:rsidRPr="00BD1319">
        <w:rPr>
          <w:rFonts w:cs="Arial"/>
          <w:vertAlign w:val="superscript"/>
        </w:rPr>
        <w:fldChar w:fldCharType="begin"/>
      </w:r>
      <w:r w:rsidR="003A081B" w:rsidRPr="00BD1319">
        <w:rPr>
          <w:rFonts w:cs="Arial"/>
          <w:vertAlign w:val="superscript"/>
        </w:rPr>
        <w:instrText xml:space="preserve"> NOTEREF _Ref44842441 \h </w:instrText>
      </w:r>
      <w:r w:rsidR="006A4128" w:rsidRPr="00BD1319">
        <w:rPr>
          <w:rFonts w:cs="Arial"/>
          <w:vertAlign w:val="superscript"/>
        </w:rPr>
        <w:instrText xml:space="preserve"> \* MERGEFORMAT </w:instrText>
      </w:r>
      <w:r w:rsidR="003A081B" w:rsidRPr="00BD1319">
        <w:rPr>
          <w:rFonts w:cs="Arial"/>
          <w:vertAlign w:val="superscript"/>
        </w:rPr>
      </w:r>
      <w:r w:rsidR="003A081B" w:rsidRPr="00BD1319">
        <w:rPr>
          <w:rFonts w:cs="Arial"/>
          <w:vertAlign w:val="superscript"/>
        </w:rPr>
        <w:fldChar w:fldCharType="separate"/>
      </w:r>
      <w:r w:rsidR="00296654" w:rsidRPr="00BD1319">
        <w:rPr>
          <w:rFonts w:cs="Arial"/>
          <w:vertAlign w:val="superscript"/>
        </w:rPr>
        <w:t>12</w:t>
      </w:r>
      <w:r w:rsidR="003A081B" w:rsidRPr="00BD1319">
        <w:rPr>
          <w:rFonts w:cs="Arial"/>
          <w:vertAlign w:val="superscript"/>
        </w:rPr>
        <w:fldChar w:fldCharType="end"/>
      </w:r>
      <w:r w:rsidR="00CF2BB6" w:rsidRPr="00BD1319">
        <w:rPr>
          <w:rFonts w:cs="Arial"/>
          <w:vertAlign w:val="superscript"/>
        </w:rPr>
        <w:t>]</w:t>
      </w:r>
    </w:p>
    <w:p w14:paraId="17478C4A" w14:textId="77777777" w:rsidR="00DB1152" w:rsidRPr="00BD1319" w:rsidRDefault="00DB1152" w:rsidP="009420F5">
      <w:pPr>
        <w:suppressAutoHyphens/>
        <w:rPr>
          <w:rFonts w:cs="Arial"/>
        </w:rPr>
      </w:pPr>
    </w:p>
    <w:p w14:paraId="3A084448" w14:textId="3C2FF173" w:rsidR="00DB1152" w:rsidRPr="00BD1319" w:rsidRDefault="00DB1152" w:rsidP="00DB1152">
      <w:pPr>
        <w:numPr>
          <w:ilvl w:val="0"/>
          <w:numId w:val="19"/>
        </w:numPr>
        <w:suppressAutoHyphens/>
        <w:ind w:left="567" w:hanging="567"/>
        <w:rPr>
          <w:rFonts w:cs="Arial"/>
        </w:rPr>
      </w:pPr>
      <w:r w:rsidRPr="00BD1319">
        <w:rPr>
          <w:rFonts w:cs="Arial"/>
          <w:b/>
          <w:bCs/>
        </w:rPr>
        <w:t>Ecosistemas acuáticos continentales</w:t>
      </w:r>
      <w:r w:rsidRPr="00BD1319">
        <w:rPr>
          <w:rFonts w:cs="Arial"/>
        </w:rPr>
        <w:t>:</w:t>
      </w:r>
      <w:r w:rsidRPr="00BD1319">
        <w:t xml:space="preserve"> </w:t>
      </w:r>
      <w:r w:rsidRPr="00BD1319">
        <w:rPr>
          <w:rFonts w:cs="Arial"/>
        </w:rPr>
        <w:t xml:space="preserve">variedad de masas de agua naturales (arroyos, ríos, llanuras inundadas, lagos, pantanos, entre otras) y formadas por el hombre (embalses, arrozales, canales de irrigación, </w:t>
      </w:r>
      <w:r w:rsidR="008A6F2A" w:rsidRPr="00BD1319">
        <w:rPr>
          <w:rFonts w:cs="Arial"/>
        </w:rPr>
        <w:t>entre otras</w:t>
      </w:r>
      <w:r w:rsidRPr="00BD1319">
        <w:rPr>
          <w:rFonts w:cs="Arial"/>
        </w:rPr>
        <w:t>)</w:t>
      </w:r>
      <w:r w:rsidR="008A6F2A" w:rsidRPr="00BD1319">
        <w:rPr>
          <w:rFonts w:cs="Arial"/>
        </w:rPr>
        <w:t xml:space="preserve">. </w:t>
      </w:r>
      <w:r w:rsidR="008A6F2A" w:rsidRPr="00BD1319">
        <w:rPr>
          <w:rFonts w:cs="Arial"/>
          <w:vertAlign w:val="superscript"/>
        </w:rPr>
        <w:t>[</w:t>
      </w:r>
      <w:r w:rsidRPr="00BD1319">
        <w:rPr>
          <w:rStyle w:val="Refdenotaalfinal"/>
          <w:rFonts w:cs="Arial"/>
        </w:rPr>
        <w:endnoteReference w:id="21"/>
      </w:r>
      <w:r w:rsidR="008A6F2A" w:rsidRPr="00BD1319">
        <w:rPr>
          <w:rFonts w:cs="Arial"/>
          <w:vertAlign w:val="superscript"/>
        </w:rPr>
        <w:t>]</w:t>
      </w:r>
    </w:p>
    <w:p w14:paraId="6A304843" w14:textId="77777777" w:rsidR="00DB1152" w:rsidRPr="00BD1319" w:rsidRDefault="00DB1152" w:rsidP="009420F5">
      <w:pPr>
        <w:rPr>
          <w:rFonts w:cs="Arial"/>
        </w:rPr>
      </w:pPr>
    </w:p>
    <w:p w14:paraId="59511578" w14:textId="392F97BD" w:rsidR="00DB1152" w:rsidRPr="00BD1319" w:rsidRDefault="00DB1152" w:rsidP="00DB1152">
      <w:pPr>
        <w:numPr>
          <w:ilvl w:val="0"/>
          <w:numId w:val="19"/>
        </w:numPr>
        <w:suppressAutoHyphens/>
        <w:ind w:left="567" w:hanging="567"/>
        <w:rPr>
          <w:rFonts w:cs="Arial"/>
        </w:rPr>
      </w:pPr>
      <w:r w:rsidRPr="00BD1319">
        <w:rPr>
          <w:rFonts w:cs="Arial"/>
          <w:b/>
          <w:bCs/>
        </w:rPr>
        <w:t>Ecosistemas marino-costeros</w:t>
      </w:r>
      <w:r w:rsidRPr="00BD1319">
        <w:rPr>
          <w:rFonts w:cs="Arial"/>
        </w:rPr>
        <w:t>: todos aquellos cuerpos de agua que se encuentran en la zona litoral, manteniendo una comunicación permanente o temporal con el mar y que pueden o no estar conectados a sistemas dulceacuícolas.</w:t>
      </w:r>
      <w:r w:rsidR="008A6F2A" w:rsidRPr="00BD1319">
        <w:rPr>
          <w:rFonts w:cs="Arial"/>
        </w:rPr>
        <w:t xml:space="preserve"> </w:t>
      </w:r>
      <w:r w:rsidR="008A6F2A" w:rsidRPr="00BD1319">
        <w:rPr>
          <w:rFonts w:cs="Arial"/>
          <w:vertAlign w:val="superscript"/>
        </w:rPr>
        <w:t>[</w:t>
      </w:r>
      <w:r w:rsidRPr="00BD1319">
        <w:rPr>
          <w:rStyle w:val="Refdenotaalfinal"/>
          <w:rFonts w:cs="Arial"/>
        </w:rPr>
        <w:endnoteReference w:id="22"/>
      </w:r>
      <w:r w:rsidR="008A6F2A" w:rsidRPr="00BD1319">
        <w:rPr>
          <w:rFonts w:cs="Arial"/>
          <w:vertAlign w:val="superscript"/>
        </w:rPr>
        <w:t>]</w:t>
      </w:r>
    </w:p>
    <w:p w14:paraId="2AAC9907" w14:textId="77777777" w:rsidR="005610FB" w:rsidRPr="00BD1319" w:rsidRDefault="005610FB">
      <w:pPr>
        <w:suppressAutoHyphens/>
        <w:rPr>
          <w:rFonts w:cs="Arial"/>
        </w:rPr>
      </w:pPr>
    </w:p>
    <w:p w14:paraId="4B597A07" w14:textId="077504AB" w:rsidR="008F1CCC" w:rsidRPr="00BD1319" w:rsidRDefault="008F1CCC" w:rsidP="000D6E21">
      <w:pPr>
        <w:numPr>
          <w:ilvl w:val="0"/>
          <w:numId w:val="19"/>
        </w:numPr>
        <w:suppressAutoHyphens/>
        <w:ind w:left="567" w:hanging="567"/>
        <w:rPr>
          <w:rFonts w:cs="Arial"/>
        </w:rPr>
      </w:pPr>
      <w:r w:rsidRPr="00BD1319">
        <w:rPr>
          <w:rFonts w:cs="Arial"/>
          <w:b/>
          <w:bCs/>
        </w:rPr>
        <w:t>Escenario climático</w:t>
      </w:r>
      <w:r w:rsidRPr="00BD1319">
        <w:rPr>
          <w:rFonts w:cs="Arial"/>
        </w:rPr>
        <w:t xml:space="preserve">: representación plausible y a menudo simplificada del clima futuro, basada en un conjunto internamente coherente de relaciones climatológicas, que se construye para ser utilizada de forma explícita en la investigación de las consecuencias potenciales del </w:t>
      </w:r>
      <w:r w:rsidR="00F90B01" w:rsidRPr="00BD1319">
        <w:rPr>
          <w:rFonts w:cs="Arial"/>
        </w:rPr>
        <w:t xml:space="preserve">cambio climático </w:t>
      </w:r>
      <w:r w:rsidRPr="00BD1319">
        <w:rPr>
          <w:rFonts w:cs="Arial"/>
        </w:rPr>
        <w:t>antropogénico, y que sirve a menudo de insumo para las simulaciones de los impactos. Las proyecciones climáticas sirven a menudo como materia prima para la construcción de escenarios climáticos, pero los escenarios climáticos requieren información adicional, por ejemplo, acerca del clima observado en un momento determinado. Un “escenario de cambio climático” es la diferencia entre un escenario climático y el clima actual.</w:t>
      </w:r>
      <w:r w:rsidR="00472950" w:rsidRPr="00BD1319">
        <w:rPr>
          <w:rFonts w:cs="Arial"/>
        </w:rPr>
        <w:t xml:space="preserve"> </w:t>
      </w:r>
      <w:r w:rsidR="00472950" w:rsidRPr="00BD1319">
        <w:rPr>
          <w:rFonts w:cs="Arial"/>
          <w:vertAlign w:val="superscript"/>
        </w:rPr>
        <w:t>[</w:t>
      </w:r>
      <w:r w:rsidR="00472950" w:rsidRPr="00BD1319">
        <w:rPr>
          <w:rStyle w:val="Refdenotaalfinal"/>
          <w:rFonts w:cs="Arial"/>
        </w:rPr>
        <w:endnoteReference w:id="23"/>
      </w:r>
      <w:r w:rsidR="00472950" w:rsidRPr="00BD1319">
        <w:rPr>
          <w:rFonts w:cs="Arial"/>
          <w:vertAlign w:val="superscript"/>
        </w:rPr>
        <w:t>]</w:t>
      </w:r>
    </w:p>
    <w:p w14:paraId="798FCAFC" w14:textId="77777777" w:rsidR="008F1CCC" w:rsidRPr="00BD1319" w:rsidRDefault="008F1CCC" w:rsidP="000D6E21">
      <w:pPr>
        <w:suppressAutoHyphens/>
        <w:rPr>
          <w:rFonts w:cs="Arial"/>
        </w:rPr>
      </w:pPr>
    </w:p>
    <w:p w14:paraId="2C76D7B7" w14:textId="20429C13" w:rsidR="005610FB" w:rsidRPr="00BD1319" w:rsidRDefault="005610FB" w:rsidP="00DB1152">
      <w:pPr>
        <w:numPr>
          <w:ilvl w:val="0"/>
          <w:numId w:val="19"/>
        </w:numPr>
        <w:suppressAutoHyphens/>
        <w:ind w:left="567" w:hanging="567"/>
        <w:rPr>
          <w:rFonts w:cs="Arial"/>
        </w:rPr>
      </w:pPr>
      <w:r w:rsidRPr="00BD1319">
        <w:rPr>
          <w:rFonts w:cs="Arial"/>
          <w:b/>
          <w:bCs/>
        </w:rPr>
        <w:t>Escenario de riesgo de desastres</w:t>
      </w:r>
      <w:r w:rsidRPr="00BD1319">
        <w:rPr>
          <w:rFonts w:cs="Arial"/>
        </w:rPr>
        <w:t xml:space="preserve">: fragmento o campo delimitado de las condiciones de riesgo en un territorio. Facilita la comprensión y priorización de los riesgos, así como la formulación y ejecución de acciones de intervención. </w:t>
      </w:r>
      <w:r w:rsidR="00BE2DDC" w:rsidRPr="00BD1319">
        <w:rPr>
          <w:rFonts w:cs="Arial"/>
        </w:rPr>
        <w:t>S</w:t>
      </w:r>
      <w:r w:rsidRPr="00BD1319">
        <w:rPr>
          <w:rFonts w:cs="Arial"/>
        </w:rPr>
        <w:t xml:space="preserve">e caracteriza por identificar factores de riesgo, sus causas, la relación entre estas causas y los actores involucrados, y el tipo y nivel de daños posibles. </w:t>
      </w:r>
      <w:r w:rsidR="00F03BE1" w:rsidRPr="00BD1319">
        <w:rPr>
          <w:rFonts w:cs="Arial"/>
        </w:rPr>
        <w:t>P</w:t>
      </w:r>
      <w:r w:rsidRPr="00BD1319">
        <w:rPr>
          <w:rFonts w:cs="Arial"/>
        </w:rPr>
        <w:t>ermite una visión clara y estructurada para la gestión del riesgo y constituye un elemento importante en la formulación de los planes territoriales de gestión del riesgo.</w:t>
      </w:r>
    </w:p>
    <w:p w14:paraId="5EB4F181" w14:textId="77777777" w:rsidR="00CC639B" w:rsidRPr="00BD1319" w:rsidRDefault="00CC639B" w:rsidP="0088212E">
      <w:pPr>
        <w:suppressAutoHyphens/>
        <w:rPr>
          <w:rFonts w:cs="Arial"/>
        </w:rPr>
      </w:pPr>
    </w:p>
    <w:p w14:paraId="0EF7C79A" w14:textId="7BC178E4" w:rsidR="00AA4F93" w:rsidRPr="00BD1319" w:rsidRDefault="00AA4F93" w:rsidP="00456AB1">
      <w:pPr>
        <w:numPr>
          <w:ilvl w:val="0"/>
          <w:numId w:val="19"/>
        </w:numPr>
        <w:suppressAutoHyphens/>
        <w:ind w:left="567" w:hanging="567"/>
        <w:rPr>
          <w:rFonts w:cs="Arial"/>
        </w:rPr>
      </w:pPr>
      <w:r w:rsidRPr="00BD1319">
        <w:rPr>
          <w:rFonts w:cs="Arial"/>
          <w:b/>
        </w:rPr>
        <w:t>Espacio privado</w:t>
      </w:r>
      <w:r w:rsidRPr="00BD1319">
        <w:rPr>
          <w:rFonts w:cs="Arial"/>
        </w:rPr>
        <w:t>:</w:t>
      </w:r>
      <w:r w:rsidR="0088212E" w:rsidRPr="00BD1319">
        <w:rPr>
          <w:rFonts w:cs="Arial"/>
        </w:rPr>
        <w:t xml:space="preserve"> </w:t>
      </w:r>
      <w:r w:rsidR="00D53616" w:rsidRPr="00BD1319">
        <w:rPr>
          <w:rFonts w:cs="Arial"/>
        </w:rPr>
        <w:t xml:space="preserve">espacio </w:t>
      </w:r>
      <w:r w:rsidRPr="00BD1319">
        <w:rPr>
          <w:rFonts w:cs="Arial"/>
        </w:rPr>
        <w:t xml:space="preserve">sobre el cual ejerce dominio, mediante su propiedad, un grupo o persona determinada, </w:t>
      </w:r>
      <w:r w:rsidR="00D53616" w:rsidRPr="00BD1319">
        <w:rPr>
          <w:rFonts w:cs="Arial"/>
        </w:rPr>
        <w:t xml:space="preserve">así </w:t>
      </w:r>
      <w:r w:rsidRPr="00BD1319">
        <w:rPr>
          <w:rFonts w:cs="Arial"/>
        </w:rPr>
        <w:t xml:space="preserve">como </w:t>
      </w:r>
      <w:r w:rsidR="00D53616" w:rsidRPr="00BD1319">
        <w:rPr>
          <w:rFonts w:cs="Arial"/>
        </w:rPr>
        <w:t xml:space="preserve">la </w:t>
      </w:r>
      <w:r w:rsidRPr="00BD1319">
        <w:rPr>
          <w:rFonts w:cs="Arial"/>
        </w:rPr>
        <w:t xml:space="preserve">espacialidad que tiene características diferentes y que está compuesta en primer lugar del espacio individual, que proporciona la intimidad y cuyo acceso es prohibido (negativo), limitado, como la vivienda como su más estrecha acepción: el techo. Bajo esta nominación se incluyen además todas aquellas espacialidades que tienen un acceso limitado por la propiedad de este como son los lugares de trabajo, oficinas, fábricas y en general todos aquellos </w:t>
      </w:r>
      <w:r w:rsidRPr="00BD1319">
        <w:rPr>
          <w:rFonts w:cs="Arial"/>
        </w:rPr>
        <w:lastRenderedPageBreak/>
        <w:t>espacios sobre los cuales existe un estricto control por parte del interés particular</w:t>
      </w:r>
      <w:r w:rsidR="00761FEE" w:rsidRPr="00BD1319">
        <w:rPr>
          <w:rFonts w:cs="Arial"/>
        </w:rPr>
        <w:t>.</w:t>
      </w:r>
      <w:r w:rsidR="00CF2BB6" w:rsidRPr="00BD1319">
        <w:rPr>
          <w:rFonts w:cs="Arial"/>
        </w:rPr>
        <w:t xml:space="preserve"> </w:t>
      </w:r>
      <w:r w:rsidR="00CF2BB6" w:rsidRPr="00BD1319">
        <w:rPr>
          <w:rFonts w:cs="Arial"/>
          <w:vertAlign w:val="superscript"/>
        </w:rPr>
        <w:t>[</w:t>
      </w:r>
      <w:r w:rsidR="003C49CC" w:rsidRPr="00BD1319">
        <w:rPr>
          <w:rStyle w:val="Refdenotaalfinal"/>
          <w:rFonts w:cs="Arial"/>
        </w:rPr>
        <w:endnoteReference w:id="24"/>
      </w:r>
      <w:r w:rsidR="00CF2BB6" w:rsidRPr="00BD1319">
        <w:rPr>
          <w:rFonts w:cs="Arial"/>
          <w:vertAlign w:val="superscript"/>
        </w:rPr>
        <w:t>]</w:t>
      </w:r>
    </w:p>
    <w:p w14:paraId="29C1A26A" w14:textId="77777777" w:rsidR="00DF76CD" w:rsidRPr="00BD1319" w:rsidRDefault="00DF76CD" w:rsidP="00D53616">
      <w:pPr>
        <w:rPr>
          <w:rFonts w:cs="Arial"/>
        </w:rPr>
      </w:pPr>
    </w:p>
    <w:p w14:paraId="52B11F02" w14:textId="29390086" w:rsidR="00AA4F93" w:rsidRPr="00BD1319" w:rsidRDefault="00AA4F93" w:rsidP="000D1F96">
      <w:pPr>
        <w:numPr>
          <w:ilvl w:val="0"/>
          <w:numId w:val="19"/>
        </w:numPr>
        <w:tabs>
          <w:tab w:val="left" w:pos="1418"/>
        </w:tabs>
        <w:suppressAutoHyphens/>
        <w:ind w:left="567" w:hanging="567"/>
        <w:rPr>
          <w:rFonts w:cs="Arial"/>
        </w:rPr>
      </w:pPr>
      <w:r w:rsidRPr="00BD1319">
        <w:rPr>
          <w:rFonts w:cs="Arial"/>
          <w:b/>
        </w:rPr>
        <w:t>Espacio público</w:t>
      </w:r>
      <w:r w:rsidRPr="00BD1319">
        <w:rPr>
          <w:rFonts w:cs="Arial"/>
        </w:rPr>
        <w:t>:</w:t>
      </w:r>
      <w:r w:rsidR="0088212E" w:rsidRPr="00BD1319">
        <w:rPr>
          <w:rFonts w:cs="Arial"/>
        </w:rPr>
        <w:t xml:space="preserve"> </w:t>
      </w:r>
      <w:r w:rsidR="000D1F96" w:rsidRPr="00BD1319">
        <w:rPr>
          <w:rFonts w:cs="Arial"/>
        </w:rPr>
        <w:t>conjunto de inmuebles públicos y los elementos arquitectónicos y naturales de los inmuebles privados destinados por naturaleza, usos o afectación a la satisfacción de necesidades urbanas colectivas que transcienden los límites de los intereses individuales de los habitantes</w:t>
      </w:r>
      <w:r w:rsidR="00761FEE" w:rsidRPr="00BD1319">
        <w:rPr>
          <w:rFonts w:cs="Arial"/>
        </w:rPr>
        <w:t>.</w:t>
      </w:r>
      <w:r w:rsidR="00CF2BB6" w:rsidRPr="00BD1319">
        <w:rPr>
          <w:rFonts w:cs="Arial"/>
        </w:rPr>
        <w:t xml:space="preserve"> </w:t>
      </w:r>
      <w:r w:rsidR="00CF2BB6" w:rsidRPr="00BD1319">
        <w:rPr>
          <w:rFonts w:cs="Arial"/>
          <w:vertAlign w:val="superscript"/>
        </w:rPr>
        <w:t>[</w:t>
      </w:r>
      <w:r w:rsidR="00CB0A39" w:rsidRPr="00BD1319">
        <w:rPr>
          <w:rStyle w:val="Refdenotaalfinal"/>
          <w:rFonts w:cs="Arial"/>
        </w:rPr>
        <w:endnoteReference w:id="25"/>
      </w:r>
      <w:r w:rsidR="00CF2BB6" w:rsidRPr="00BD1319">
        <w:rPr>
          <w:rFonts w:cs="Arial"/>
          <w:vertAlign w:val="superscript"/>
        </w:rPr>
        <w:t>]</w:t>
      </w:r>
    </w:p>
    <w:p w14:paraId="00ED93B1" w14:textId="00F3997C" w:rsidR="00AA4F93" w:rsidRPr="00BD1319" w:rsidRDefault="00AA4F93" w:rsidP="00121B89">
      <w:pPr>
        <w:numPr>
          <w:ilvl w:val="12"/>
          <w:numId w:val="0"/>
        </w:numPr>
        <w:tabs>
          <w:tab w:val="left" w:pos="-2268"/>
        </w:tabs>
        <w:suppressAutoHyphens/>
        <w:rPr>
          <w:rFonts w:cs="Arial"/>
        </w:rPr>
      </w:pPr>
    </w:p>
    <w:p w14:paraId="3AE56230" w14:textId="060792B2" w:rsidR="00AA4F93" w:rsidRPr="00BD1319" w:rsidRDefault="00AA4F93" w:rsidP="00C86DA5">
      <w:pPr>
        <w:numPr>
          <w:ilvl w:val="0"/>
          <w:numId w:val="19"/>
        </w:numPr>
        <w:suppressAutoHyphens/>
        <w:ind w:left="567" w:hanging="567"/>
      </w:pPr>
      <w:r w:rsidRPr="00BD1319">
        <w:rPr>
          <w:b/>
        </w:rPr>
        <w:t>Estructura del ecosistema</w:t>
      </w:r>
      <w:r w:rsidRPr="00BD1319">
        <w:t xml:space="preserve">: </w:t>
      </w:r>
      <w:r w:rsidR="0088212E" w:rsidRPr="00BD1319">
        <w:rPr>
          <w:rFonts w:cs="Arial"/>
        </w:rPr>
        <w:t>i</w:t>
      </w:r>
      <w:r w:rsidRPr="00BD1319">
        <w:rPr>
          <w:rFonts w:cs="Arial"/>
        </w:rPr>
        <w:t>ntegración</w:t>
      </w:r>
      <w:r w:rsidRPr="00BD1319">
        <w:t xml:space="preserve"> del hábitat y la biocenosis. El hábitat se define como un área con condiciones físicas uniformes que permiten que se desarrollen las comunidades biológicas. La biocenosis es la coexistencia de las comunidades biológicas en una misma áre</w:t>
      </w:r>
      <w:r w:rsidR="00B7214D" w:rsidRPr="00BD1319">
        <w:t>a.</w:t>
      </w:r>
      <w:r w:rsidRPr="00BD1319">
        <w:rPr>
          <w:vertAlign w:val="superscript"/>
        </w:rPr>
        <w:t xml:space="preserve"> </w:t>
      </w:r>
      <w:r w:rsidRPr="00BD1319">
        <w:rPr>
          <w:rFonts w:cs="Arial"/>
        </w:rPr>
        <w:t>Por</w:t>
      </w:r>
      <w:r w:rsidRPr="00BD1319">
        <w:rPr>
          <w:rFonts w:cs="Arial"/>
          <w:vertAlign w:val="superscript"/>
        </w:rPr>
        <w:t xml:space="preserve"> </w:t>
      </w:r>
      <w:r w:rsidRPr="00BD1319">
        <w:rPr>
          <w:rFonts w:cs="Arial"/>
        </w:rPr>
        <w:t xml:space="preserve">tanto, la estructura del ecosistema se compone por la estructura física (tamaño y distribución de las unidades y sus características físicas) y </w:t>
      </w:r>
      <w:r w:rsidR="00D53616" w:rsidRPr="00BD1319">
        <w:rPr>
          <w:rFonts w:cs="Arial"/>
        </w:rPr>
        <w:t xml:space="preserve">la </w:t>
      </w:r>
      <w:r w:rsidRPr="00BD1319">
        <w:rPr>
          <w:rFonts w:cs="Arial"/>
        </w:rPr>
        <w:t>estructura trófica (niveles de alimentación en las comunidades)</w:t>
      </w:r>
      <w:r w:rsidR="00B7214D" w:rsidRPr="00BD1319">
        <w:rPr>
          <w:rFonts w:cs="Arial"/>
        </w:rPr>
        <w:t>.</w:t>
      </w:r>
      <w:r w:rsidR="001877BD" w:rsidRPr="00BD1319">
        <w:rPr>
          <w:rFonts w:cs="Arial"/>
          <w:vertAlign w:val="superscript"/>
        </w:rPr>
        <w:t xml:space="preserve"> </w:t>
      </w:r>
      <w:r w:rsidR="00CF2BB6" w:rsidRPr="00BD1319">
        <w:rPr>
          <w:rFonts w:cs="Arial"/>
          <w:vertAlign w:val="superscript"/>
        </w:rPr>
        <w:t>[</w:t>
      </w:r>
      <w:r w:rsidR="001877BD" w:rsidRPr="00BD1319">
        <w:rPr>
          <w:rFonts w:cs="Arial"/>
          <w:vertAlign w:val="superscript"/>
        </w:rPr>
        <w:endnoteReference w:id="26"/>
      </w:r>
      <w:r w:rsidR="00CF2BB6" w:rsidRPr="00BD1319">
        <w:rPr>
          <w:rFonts w:cs="Arial"/>
          <w:vertAlign w:val="superscript"/>
        </w:rPr>
        <w:t>]</w:t>
      </w:r>
    </w:p>
    <w:p w14:paraId="3B5B5D36" w14:textId="77777777" w:rsidR="00AA4F93" w:rsidRPr="00BD1319" w:rsidRDefault="00AA4F93" w:rsidP="00C86DA5">
      <w:pPr>
        <w:suppressAutoHyphens/>
      </w:pPr>
    </w:p>
    <w:p w14:paraId="3B13C579" w14:textId="316ADEDE" w:rsidR="00AA4F93" w:rsidRPr="00BD1319" w:rsidRDefault="00AA4F93" w:rsidP="00456AB1">
      <w:pPr>
        <w:numPr>
          <w:ilvl w:val="0"/>
          <w:numId w:val="19"/>
        </w:numPr>
        <w:suppressAutoHyphens/>
        <w:ind w:left="567" w:hanging="567"/>
        <w:rPr>
          <w:rFonts w:cs="Arial"/>
        </w:rPr>
      </w:pPr>
      <w:r w:rsidRPr="00BD1319">
        <w:rPr>
          <w:rFonts w:cs="Arial"/>
          <w:b/>
          <w:bCs/>
        </w:rPr>
        <w:t>Exposición (elementos expuestos)</w:t>
      </w:r>
      <w:r w:rsidRPr="00BD1319">
        <w:rPr>
          <w:rFonts w:cs="Arial"/>
          <w:bCs/>
        </w:rPr>
        <w:t>:</w:t>
      </w:r>
      <w:r w:rsidR="0088212E" w:rsidRPr="00BD1319">
        <w:rPr>
          <w:rFonts w:cs="Arial"/>
        </w:rPr>
        <w:t xml:space="preserve"> </w:t>
      </w:r>
      <w:r w:rsidRPr="00BD1319">
        <w:rPr>
          <w:rFonts w:cs="Arial"/>
        </w:rPr>
        <w:t>presencia de personas, medios de subsistencia, servicios</w:t>
      </w:r>
      <w:r w:rsidR="001D6479" w:rsidRPr="00BD1319">
        <w:rPr>
          <w:rFonts w:cs="Arial"/>
        </w:rPr>
        <w:t xml:space="preserve"> </w:t>
      </w:r>
      <w:r w:rsidR="005871B3" w:rsidRPr="00BD1319">
        <w:rPr>
          <w:rFonts w:cs="Arial"/>
        </w:rPr>
        <w:t xml:space="preserve">ambientales </w:t>
      </w:r>
      <w:r w:rsidRPr="00BD1319">
        <w:rPr>
          <w:rFonts w:cs="Arial"/>
        </w:rPr>
        <w:t>y recursos económicos y sociales, bienes culturales e infraestructura que por su localización pueden ser afectados por la manifestación de una amenaza</w:t>
      </w:r>
      <w:r w:rsidR="006A5D01" w:rsidRPr="00BD1319">
        <w:rPr>
          <w:rFonts w:cs="Arial"/>
        </w:rPr>
        <w:t>.</w:t>
      </w:r>
      <w:r w:rsidR="00CF2BB6" w:rsidRPr="00BD1319">
        <w:rPr>
          <w:rFonts w:cs="Arial"/>
        </w:rPr>
        <w:t xml:space="preserve"> </w:t>
      </w:r>
      <w:r w:rsidR="00CF2BB6" w:rsidRPr="00BD1319">
        <w:rPr>
          <w:rFonts w:cs="Arial"/>
          <w:vertAlign w:val="superscript"/>
        </w:rPr>
        <w:t>[</w:t>
      </w:r>
      <w:r w:rsidR="002F33BC" w:rsidRPr="00BD1319">
        <w:rPr>
          <w:rFonts w:cs="Arial"/>
          <w:vertAlign w:val="superscript"/>
        </w:rPr>
        <w:fldChar w:fldCharType="begin"/>
      </w:r>
      <w:r w:rsidR="002F33BC" w:rsidRPr="00BD1319">
        <w:rPr>
          <w:rFonts w:cs="Arial"/>
          <w:vertAlign w:val="superscript"/>
        </w:rPr>
        <w:instrText xml:space="preserve"> NOTEREF _Ref44841712 \h </w:instrText>
      </w:r>
      <w:r w:rsidR="006A4128" w:rsidRPr="00BD1319">
        <w:rPr>
          <w:rFonts w:cs="Arial"/>
          <w:vertAlign w:val="superscript"/>
        </w:rPr>
        <w:instrText xml:space="preserve"> \* MERGEFORMAT </w:instrText>
      </w:r>
      <w:r w:rsidR="002F33BC" w:rsidRPr="00BD1319">
        <w:rPr>
          <w:rFonts w:cs="Arial"/>
          <w:vertAlign w:val="superscript"/>
        </w:rPr>
      </w:r>
      <w:r w:rsidR="002F33BC" w:rsidRPr="00BD1319">
        <w:rPr>
          <w:rFonts w:cs="Arial"/>
          <w:vertAlign w:val="superscript"/>
        </w:rPr>
        <w:fldChar w:fldCharType="separate"/>
      </w:r>
      <w:r w:rsidR="00296654" w:rsidRPr="00BD1319">
        <w:rPr>
          <w:rFonts w:cs="Arial"/>
          <w:vertAlign w:val="superscript"/>
        </w:rPr>
        <w:t>6</w:t>
      </w:r>
      <w:r w:rsidR="002F33BC" w:rsidRPr="00BD1319">
        <w:rPr>
          <w:rFonts w:cs="Arial"/>
          <w:vertAlign w:val="superscript"/>
        </w:rPr>
        <w:fldChar w:fldCharType="end"/>
      </w:r>
      <w:r w:rsidR="00CF2BB6" w:rsidRPr="00BD1319">
        <w:rPr>
          <w:rFonts w:cs="Arial"/>
          <w:vertAlign w:val="superscript"/>
        </w:rPr>
        <w:t>]</w:t>
      </w:r>
    </w:p>
    <w:p w14:paraId="6F5ECE50" w14:textId="77777777" w:rsidR="005871B3" w:rsidRPr="00BD1319" w:rsidRDefault="005871B3" w:rsidP="00D53616">
      <w:pPr>
        <w:rPr>
          <w:rFonts w:cs="Arial"/>
        </w:rPr>
      </w:pPr>
    </w:p>
    <w:p w14:paraId="1AF051F6" w14:textId="72B8D6F0" w:rsidR="00AA4F93" w:rsidRPr="00BD1319" w:rsidRDefault="00AA4F93" w:rsidP="00C86DA5">
      <w:pPr>
        <w:numPr>
          <w:ilvl w:val="0"/>
          <w:numId w:val="19"/>
        </w:numPr>
        <w:suppressAutoHyphens/>
        <w:ind w:left="567" w:hanging="567"/>
      </w:pPr>
      <w:r w:rsidRPr="00BD1319">
        <w:rPr>
          <w:b/>
        </w:rPr>
        <w:t>Factor ambiental</w:t>
      </w:r>
      <w:r w:rsidRPr="00BD1319">
        <w:t xml:space="preserve">: </w:t>
      </w:r>
      <w:r w:rsidR="00FF5C82" w:rsidRPr="00BD1319">
        <w:t>atributo</w:t>
      </w:r>
      <w:r w:rsidRPr="00BD1319">
        <w:t xml:space="preserve"> de un componente ambiental que puede ser descrito mediante parámetros</w:t>
      </w:r>
      <w:r w:rsidRPr="00BD1319">
        <w:rPr>
          <w:rFonts w:cs="Arial"/>
        </w:rPr>
        <w:t xml:space="preserve"> ambientales</w:t>
      </w:r>
      <w:r w:rsidRPr="00BD1319">
        <w:t>.</w:t>
      </w:r>
    </w:p>
    <w:p w14:paraId="10850FD4" w14:textId="77777777" w:rsidR="00AA4F93" w:rsidRPr="00BD1319" w:rsidRDefault="00AA4F93" w:rsidP="00D53616">
      <w:pPr>
        <w:suppressAutoHyphens/>
        <w:rPr>
          <w:rFonts w:cs="Arial"/>
        </w:rPr>
      </w:pPr>
    </w:p>
    <w:p w14:paraId="5BBCFA1A" w14:textId="39C93783" w:rsidR="00AA4F93" w:rsidRPr="00BD1319" w:rsidRDefault="00AA4F93" w:rsidP="00456AB1">
      <w:pPr>
        <w:numPr>
          <w:ilvl w:val="0"/>
          <w:numId w:val="19"/>
        </w:numPr>
        <w:suppressAutoHyphens/>
        <w:ind w:left="567" w:hanging="567"/>
        <w:rPr>
          <w:rFonts w:cs="Arial"/>
        </w:rPr>
      </w:pPr>
      <w:r w:rsidRPr="00BD1319">
        <w:rPr>
          <w:rFonts w:cs="Arial"/>
          <w:b/>
        </w:rPr>
        <w:t>Fragmentación de hábitat</w:t>
      </w:r>
      <w:r w:rsidRPr="00BD1319">
        <w:rPr>
          <w:rFonts w:cs="Arial"/>
        </w:rPr>
        <w:t xml:space="preserve">: </w:t>
      </w:r>
      <w:r w:rsidR="0088212E" w:rsidRPr="00BD1319">
        <w:rPr>
          <w:rFonts w:cs="Arial"/>
        </w:rPr>
        <w:t>d</w:t>
      </w:r>
      <w:r w:rsidRPr="00BD1319">
        <w:rPr>
          <w:rFonts w:cs="Arial"/>
        </w:rPr>
        <w:t>isminución progresiva de las condiciones necesarias para el desarrollo de procesos ecológicos y que se asocia con la disminución de la continuidad espacial de ecosistemas naturales presentes en un área. Incluye las fases de perforación, fragmentación y reducción de hábitats y ecosistemas</w:t>
      </w:r>
      <w:r w:rsidR="00B7214D" w:rsidRPr="00BD1319">
        <w:rPr>
          <w:rFonts w:cs="Arial"/>
        </w:rPr>
        <w:t>.</w:t>
      </w:r>
      <w:r w:rsidR="00CF2BB6" w:rsidRPr="00BD1319">
        <w:rPr>
          <w:rFonts w:cs="Arial"/>
        </w:rPr>
        <w:t xml:space="preserve"> </w:t>
      </w:r>
      <w:r w:rsidR="00CF2BB6" w:rsidRPr="00BD1319">
        <w:rPr>
          <w:rFonts w:cs="Arial"/>
          <w:vertAlign w:val="superscript"/>
        </w:rPr>
        <w:t>[</w:t>
      </w:r>
      <w:r w:rsidR="00D6085F" w:rsidRPr="00BD1319">
        <w:rPr>
          <w:rStyle w:val="Refdenotaalfinal"/>
          <w:rFonts w:cs="Arial"/>
        </w:rPr>
        <w:endnoteReference w:id="27"/>
      </w:r>
      <w:r w:rsidR="00CF2BB6" w:rsidRPr="00BD1319">
        <w:rPr>
          <w:rFonts w:cs="Arial"/>
          <w:vertAlign w:val="superscript"/>
        </w:rPr>
        <w:t>]</w:t>
      </w:r>
    </w:p>
    <w:p w14:paraId="1C53DD73" w14:textId="6E26AD03" w:rsidR="00AA4F93" w:rsidRPr="00BD1319" w:rsidRDefault="00AA4F93" w:rsidP="00C86DA5">
      <w:pPr>
        <w:numPr>
          <w:ilvl w:val="12"/>
          <w:numId w:val="0"/>
        </w:numPr>
        <w:tabs>
          <w:tab w:val="left" w:pos="-2268"/>
        </w:tabs>
        <w:suppressAutoHyphens/>
      </w:pPr>
    </w:p>
    <w:p w14:paraId="39F152BD" w14:textId="645CE27C" w:rsidR="00AA4F93" w:rsidRPr="00BD1319" w:rsidRDefault="00AA4F93" w:rsidP="009420F5">
      <w:pPr>
        <w:numPr>
          <w:ilvl w:val="0"/>
          <w:numId w:val="19"/>
        </w:numPr>
        <w:suppressAutoHyphens/>
        <w:ind w:left="567" w:hanging="567"/>
      </w:pPr>
      <w:r w:rsidRPr="00BD1319">
        <w:rPr>
          <w:b/>
        </w:rPr>
        <w:t>Funci</w:t>
      </w:r>
      <w:r w:rsidR="00FD2209" w:rsidRPr="00BD1319">
        <w:rPr>
          <w:b/>
        </w:rPr>
        <w:t xml:space="preserve">ón </w:t>
      </w:r>
      <w:r w:rsidRPr="00BD1319">
        <w:rPr>
          <w:b/>
        </w:rPr>
        <w:t>del ecosistema</w:t>
      </w:r>
      <w:r w:rsidRPr="00BD1319">
        <w:t xml:space="preserve">: </w:t>
      </w:r>
      <w:r w:rsidR="00FD2209" w:rsidRPr="00BD1319">
        <w:t xml:space="preserve">conjunto de </w:t>
      </w:r>
      <w:r w:rsidR="00FD2209" w:rsidRPr="00BD1319">
        <w:rPr>
          <w:rFonts w:cs="Arial"/>
          <w:szCs w:val="20"/>
        </w:rPr>
        <w:t>interacciones entre estructuras biofísicas y procesos ecosistémicos que sustentan la capacidad de un ecosistema para proporcionar servicios ecosistémicos</w:t>
      </w:r>
      <w:r w:rsidR="006A5D01" w:rsidRPr="00BD1319">
        <w:t>.</w:t>
      </w:r>
      <w:r w:rsidRPr="00BD1319">
        <w:rPr>
          <w:vertAlign w:val="superscript"/>
        </w:rPr>
        <w:t xml:space="preserve"> </w:t>
      </w:r>
      <w:r w:rsidR="00CF2BB6" w:rsidRPr="00BD1319">
        <w:rPr>
          <w:vertAlign w:val="superscript"/>
        </w:rPr>
        <w:t>[</w:t>
      </w:r>
      <w:r w:rsidRPr="00BD1319">
        <w:rPr>
          <w:vertAlign w:val="superscript"/>
        </w:rPr>
        <w:endnoteReference w:id="28"/>
      </w:r>
      <w:r w:rsidR="00CF2BB6" w:rsidRPr="00BD1319">
        <w:rPr>
          <w:vertAlign w:val="superscript"/>
        </w:rPr>
        <w:t>]</w:t>
      </w:r>
    </w:p>
    <w:p w14:paraId="0A4051F1" w14:textId="77777777" w:rsidR="00761FEE" w:rsidRPr="00BD1319" w:rsidRDefault="00761FEE" w:rsidP="00C86DA5"/>
    <w:p w14:paraId="435C2696" w14:textId="28989BC8" w:rsidR="00AA4F93" w:rsidRPr="00BD1319" w:rsidRDefault="00AA4F93" w:rsidP="007B06DD">
      <w:pPr>
        <w:numPr>
          <w:ilvl w:val="0"/>
          <w:numId w:val="19"/>
        </w:numPr>
        <w:spacing w:line="259" w:lineRule="auto"/>
        <w:ind w:left="567" w:hanging="567"/>
        <w:rPr>
          <w:rFonts w:cs="Arial"/>
        </w:rPr>
      </w:pPr>
      <w:r w:rsidRPr="00BD1319">
        <w:rPr>
          <w:rFonts w:cs="Arial"/>
          <w:b/>
        </w:rPr>
        <w:t>Gas de efecto invernadero</w:t>
      </w:r>
      <w:r w:rsidRPr="00BD1319">
        <w:rPr>
          <w:rFonts w:cs="Arial"/>
        </w:rPr>
        <w:t xml:space="preserve">: </w:t>
      </w:r>
      <w:r w:rsidR="007B06DD" w:rsidRPr="00BD1319">
        <w:rPr>
          <w:rFonts w:cs="Arial"/>
        </w:rPr>
        <w:t xml:space="preserve">componente gaseoso de la atmósfera, de origen natural o antropogénico, que absorbe y emite la energía solar reflejada por la superficie de la tierra, la atmósfera y las nubes. Los principales gases de efecto </w:t>
      </w:r>
      <w:r w:rsidR="007B06DD" w:rsidRPr="00BD1319">
        <w:rPr>
          <w:rFonts w:cs="Arial"/>
        </w:rPr>
        <w:lastRenderedPageBreak/>
        <w:t>invernadero son el dióxido de carbono (CO</w:t>
      </w:r>
      <w:r w:rsidR="007B06DD" w:rsidRPr="00BD1319">
        <w:rPr>
          <w:rFonts w:cs="Arial"/>
          <w:vertAlign w:val="subscript"/>
        </w:rPr>
        <w:t>2</w:t>
      </w:r>
      <w:r w:rsidR="007B06DD" w:rsidRPr="00BD1319">
        <w:rPr>
          <w:rFonts w:cs="Arial"/>
        </w:rPr>
        <w:t>), el óxido nitroso (N</w:t>
      </w:r>
      <w:r w:rsidR="007B06DD" w:rsidRPr="00BD1319">
        <w:rPr>
          <w:rFonts w:cs="Arial"/>
          <w:vertAlign w:val="subscript"/>
        </w:rPr>
        <w:t>2</w:t>
      </w:r>
      <w:r w:rsidR="007B06DD" w:rsidRPr="00BD1319">
        <w:rPr>
          <w:rFonts w:cs="Arial"/>
        </w:rPr>
        <w:t>O), el metano (CH</w:t>
      </w:r>
      <w:r w:rsidR="007B06DD" w:rsidRPr="00BD1319">
        <w:rPr>
          <w:rFonts w:cs="Arial"/>
          <w:vertAlign w:val="subscript"/>
        </w:rPr>
        <w:t>4</w:t>
      </w:r>
      <w:r w:rsidR="007B06DD" w:rsidRPr="00BD1319">
        <w:rPr>
          <w:rFonts w:cs="Arial"/>
        </w:rPr>
        <w:t>)</w:t>
      </w:r>
      <w:r w:rsidR="00BA4EBC" w:rsidRPr="00BD1319">
        <w:rPr>
          <w:rFonts w:cs="Arial"/>
        </w:rPr>
        <w:t>,</w:t>
      </w:r>
      <w:r w:rsidR="007B06DD" w:rsidRPr="00BD1319">
        <w:rPr>
          <w:rFonts w:cs="Arial"/>
        </w:rPr>
        <w:t xml:space="preserve"> los hidrofluorocarbonos (HFC), los perfluorocarbonos (PFC) y el </w:t>
      </w:r>
      <w:r w:rsidR="00525917" w:rsidRPr="00BD1319">
        <w:rPr>
          <w:rFonts w:cs="Arial"/>
        </w:rPr>
        <w:t>h</w:t>
      </w:r>
      <w:r w:rsidR="007B06DD" w:rsidRPr="00BD1319">
        <w:rPr>
          <w:rFonts w:cs="Arial"/>
        </w:rPr>
        <w:t xml:space="preserve">exafluoruro de </w:t>
      </w:r>
      <w:r w:rsidR="00525917" w:rsidRPr="00BD1319">
        <w:rPr>
          <w:rFonts w:cs="Arial"/>
        </w:rPr>
        <w:t>a</w:t>
      </w:r>
      <w:r w:rsidR="007B06DD" w:rsidRPr="00BD1319">
        <w:rPr>
          <w:rFonts w:cs="Arial"/>
        </w:rPr>
        <w:t>zufre (SF</w:t>
      </w:r>
      <w:r w:rsidR="007B06DD" w:rsidRPr="00BD1319">
        <w:rPr>
          <w:rFonts w:cs="Arial"/>
          <w:vertAlign w:val="subscript"/>
        </w:rPr>
        <w:t>6</w:t>
      </w:r>
      <w:r w:rsidR="007B06DD" w:rsidRPr="00BD1319">
        <w:rPr>
          <w:rFonts w:cs="Arial"/>
        </w:rPr>
        <w:t>)</w:t>
      </w:r>
      <w:r w:rsidR="006A5D01" w:rsidRPr="00BD1319">
        <w:rPr>
          <w:rFonts w:cs="Arial"/>
        </w:rPr>
        <w:t>.</w:t>
      </w:r>
      <w:r w:rsidRPr="00BD1319">
        <w:rPr>
          <w:rFonts w:cs="Arial"/>
        </w:rPr>
        <w:t xml:space="preserve"> </w:t>
      </w:r>
      <w:r w:rsidR="00CF2BB6" w:rsidRPr="00BD1319">
        <w:rPr>
          <w:rFonts w:cs="Arial"/>
          <w:vertAlign w:val="superscript"/>
        </w:rPr>
        <w:t>[</w:t>
      </w:r>
      <w:r w:rsidR="002F33BC" w:rsidRPr="00BD1319">
        <w:rPr>
          <w:rFonts w:cs="Arial"/>
          <w:vertAlign w:val="superscript"/>
        </w:rPr>
        <w:fldChar w:fldCharType="begin"/>
      </w:r>
      <w:r w:rsidR="002F33BC" w:rsidRPr="00BD1319">
        <w:rPr>
          <w:rFonts w:cs="Arial"/>
          <w:vertAlign w:val="superscript"/>
        </w:rPr>
        <w:instrText xml:space="preserve"> NOTEREF _Ref44840425 \h </w:instrText>
      </w:r>
      <w:r w:rsidR="006A4128" w:rsidRPr="00BD1319">
        <w:rPr>
          <w:rFonts w:cs="Arial"/>
          <w:vertAlign w:val="superscript"/>
        </w:rPr>
        <w:instrText xml:space="preserve"> \* MERGEFORMAT </w:instrText>
      </w:r>
      <w:r w:rsidR="002F33BC" w:rsidRPr="00BD1319">
        <w:rPr>
          <w:rFonts w:cs="Arial"/>
          <w:vertAlign w:val="superscript"/>
        </w:rPr>
      </w:r>
      <w:r w:rsidR="002F33BC" w:rsidRPr="00BD1319">
        <w:rPr>
          <w:rFonts w:cs="Arial"/>
          <w:vertAlign w:val="superscript"/>
        </w:rPr>
        <w:fldChar w:fldCharType="separate"/>
      </w:r>
      <w:r w:rsidR="00296654" w:rsidRPr="00BD1319">
        <w:rPr>
          <w:rFonts w:cs="Arial"/>
          <w:vertAlign w:val="superscript"/>
        </w:rPr>
        <w:t>2</w:t>
      </w:r>
      <w:r w:rsidR="002F33BC" w:rsidRPr="00BD1319">
        <w:rPr>
          <w:rFonts w:cs="Arial"/>
          <w:vertAlign w:val="superscript"/>
        </w:rPr>
        <w:fldChar w:fldCharType="end"/>
      </w:r>
      <w:r w:rsidR="00CF2BB6" w:rsidRPr="00BD1319">
        <w:rPr>
          <w:rFonts w:cs="Arial"/>
          <w:vertAlign w:val="superscript"/>
        </w:rPr>
        <w:t>]</w:t>
      </w:r>
    </w:p>
    <w:p w14:paraId="4C2E462E" w14:textId="77777777" w:rsidR="005553FD" w:rsidRPr="00BD1319" w:rsidRDefault="005553FD" w:rsidP="005553FD">
      <w:pPr>
        <w:spacing w:line="259" w:lineRule="auto"/>
        <w:rPr>
          <w:rFonts w:cs="Arial"/>
          <w:b/>
        </w:rPr>
      </w:pPr>
    </w:p>
    <w:p w14:paraId="79E43ABD" w14:textId="01B9723B" w:rsidR="005553FD" w:rsidRPr="00BD1319" w:rsidRDefault="005553FD" w:rsidP="005553FD">
      <w:pPr>
        <w:numPr>
          <w:ilvl w:val="0"/>
          <w:numId w:val="19"/>
        </w:numPr>
        <w:spacing w:line="259" w:lineRule="auto"/>
        <w:ind w:left="567" w:hanging="567"/>
        <w:rPr>
          <w:rFonts w:cs="Arial"/>
          <w:bCs/>
        </w:rPr>
      </w:pPr>
      <w:r w:rsidRPr="00BD1319">
        <w:rPr>
          <w:rFonts w:cs="Arial"/>
          <w:b/>
        </w:rPr>
        <w:t>Gestión del cambio climático</w:t>
      </w:r>
      <w:r w:rsidRPr="00BD1319">
        <w:rPr>
          <w:rFonts w:cs="Arial"/>
          <w:bCs/>
        </w:rPr>
        <w:t>: proceso coordinado de diseño, implementación y evaluación de acciones de mitigación de GEI y adaptación al cambio climático orientado a reducir la vulnerabilidad de la población, infraestructura y ecosistemas a los efectos del cambio climático. También incluye las acciones orientadas a permitir y aprovechar las oportunidades que el cambio climático genera.</w:t>
      </w:r>
      <w:r w:rsidR="003B5E17" w:rsidRPr="00BD1319">
        <w:rPr>
          <w:rFonts w:cs="Arial"/>
          <w:bCs/>
        </w:rPr>
        <w:t xml:space="preserve"> </w:t>
      </w:r>
      <w:r w:rsidR="003B5E17" w:rsidRPr="00BD1319">
        <w:rPr>
          <w:rFonts w:cs="Arial"/>
          <w:vertAlign w:val="superscript"/>
        </w:rPr>
        <w:t>[</w:t>
      </w:r>
      <w:r w:rsidR="003B5E17" w:rsidRPr="00BD1319">
        <w:rPr>
          <w:rFonts w:cs="Arial"/>
          <w:vertAlign w:val="superscript"/>
        </w:rPr>
        <w:fldChar w:fldCharType="begin"/>
      </w:r>
      <w:r w:rsidR="003B5E17" w:rsidRPr="00BD1319">
        <w:rPr>
          <w:rFonts w:cs="Arial"/>
          <w:vertAlign w:val="superscript"/>
        </w:rPr>
        <w:instrText xml:space="preserve"> NOTEREF _Ref44840425 \h  \* MERGEFORMAT </w:instrText>
      </w:r>
      <w:r w:rsidR="003B5E17" w:rsidRPr="00BD1319">
        <w:rPr>
          <w:rFonts w:cs="Arial"/>
          <w:vertAlign w:val="superscript"/>
        </w:rPr>
      </w:r>
      <w:r w:rsidR="003B5E17" w:rsidRPr="00BD1319">
        <w:rPr>
          <w:rFonts w:cs="Arial"/>
          <w:vertAlign w:val="superscript"/>
        </w:rPr>
        <w:fldChar w:fldCharType="separate"/>
      </w:r>
      <w:r w:rsidR="00296654" w:rsidRPr="00BD1319">
        <w:rPr>
          <w:rFonts w:cs="Arial"/>
          <w:vertAlign w:val="superscript"/>
        </w:rPr>
        <w:t>2</w:t>
      </w:r>
      <w:r w:rsidR="003B5E17" w:rsidRPr="00BD1319">
        <w:rPr>
          <w:rFonts w:cs="Arial"/>
          <w:vertAlign w:val="superscript"/>
        </w:rPr>
        <w:fldChar w:fldCharType="end"/>
      </w:r>
      <w:r w:rsidR="003B5E17" w:rsidRPr="00BD1319">
        <w:rPr>
          <w:rFonts w:cs="Arial"/>
          <w:vertAlign w:val="superscript"/>
        </w:rPr>
        <w:t>]</w:t>
      </w:r>
    </w:p>
    <w:p w14:paraId="382760B1" w14:textId="77777777" w:rsidR="00B0171E" w:rsidRPr="00BD1319" w:rsidRDefault="00B0171E" w:rsidP="000D6E21"/>
    <w:p w14:paraId="177C0CFF" w14:textId="74E4BB97" w:rsidR="00B0171E" w:rsidRPr="00BD1319" w:rsidRDefault="00B0171E" w:rsidP="000D6E21">
      <w:pPr>
        <w:numPr>
          <w:ilvl w:val="0"/>
          <w:numId w:val="19"/>
        </w:numPr>
        <w:suppressAutoHyphens/>
        <w:ind w:left="567" w:hanging="567"/>
        <w:rPr>
          <w:bCs/>
        </w:rPr>
      </w:pPr>
      <w:r w:rsidRPr="00BD1319">
        <w:rPr>
          <w:b/>
        </w:rPr>
        <w:t>Gestión del riesgo</w:t>
      </w:r>
      <w:r w:rsidRPr="00BD1319">
        <w:rPr>
          <w:bCs/>
        </w:rPr>
        <w:t xml:space="preserve">: proceso social de planeación, ejecución, seguimiento y evaluación de políticas y acciones permanentes para el conocimiento del riesgo y promoción de una mayor conciencia </w:t>
      </w:r>
      <w:proofErr w:type="gramStart"/>
      <w:r w:rsidRPr="00BD1319">
        <w:rPr>
          <w:bCs/>
        </w:rPr>
        <w:t>del mismo</w:t>
      </w:r>
      <w:proofErr w:type="gramEnd"/>
      <w:r w:rsidRPr="00BD1319">
        <w:rPr>
          <w:bCs/>
        </w:rPr>
        <w:t>, impedir o evitar que se genere, reducirlo o controlarlo cuando ya existe y para prepararse y manejar las situaciones de desastre, así como para la posterior recuperación, entiéndase: rehabilitación y reconstrucción. Estas acciones tienen el propósito explícito de contribuir a la seguridad, el bienestar y calidad de vida de las personas y al desarrollo sostenible.</w:t>
      </w:r>
      <w:r w:rsidR="00A80777" w:rsidRPr="00BD1319">
        <w:rPr>
          <w:rFonts w:cs="Arial"/>
          <w:vertAlign w:val="superscript"/>
        </w:rPr>
        <w:t xml:space="preserve"> [</w:t>
      </w:r>
      <w:r w:rsidR="00A80777" w:rsidRPr="00BD1319">
        <w:rPr>
          <w:rFonts w:cs="Arial"/>
          <w:vertAlign w:val="superscript"/>
        </w:rPr>
        <w:fldChar w:fldCharType="begin"/>
      </w:r>
      <w:r w:rsidR="00A80777" w:rsidRPr="00BD1319">
        <w:rPr>
          <w:rFonts w:cs="Arial"/>
          <w:vertAlign w:val="superscript"/>
        </w:rPr>
        <w:instrText xml:space="preserve"> NOTEREF _Ref44841712 \h  \* MERGEFORMAT </w:instrText>
      </w:r>
      <w:r w:rsidR="00A80777" w:rsidRPr="00BD1319">
        <w:rPr>
          <w:rFonts w:cs="Arial"/>
          <w:vertAlign w:val="superscript"/>
        </w:rPr>
      </w:r>
      <w:r w:rsidR="00A80777" w:rsidRPr="00BD1319">
        <w:rPr>
          <w:rFonts w:cs="Arial"/>
          <w:vertAlign w:val="superscript"/>
        </w:rPr>
        <w:fldChar w:fldCharType="separate"/>
      </w:r>
      <w:r w:rsidR="00296654" w:rsidRPr="00BD1319">
        <w:rPr>
          <w:rFonts w:cs="Arial"/>
          <w:vertAlign w:val="superscript"/>
        </w:rPr>
        <w:t>6</w:t>
      </w:r>
      <w:r w:rsidR="00A80777" w:rsidRPr="00BD1319">
        <w:rPr>
          <w:rFonts w:cs="Arial"/>
          <w:vertAlign w:val="superscript"/>
        </w:rPr>
        <w:fldChar w:fldCharType="end"/>
      </w:r>
      <w:r w:rsidR="00A80777" w:rsidRPr="00BD1319">
        <w:rPr>
          <w:rFonts w:cs="Arial"/>
          <w:vertAlign w:val="superscript"/>
        </w:rPr>
        <w:t>]</w:t>
      </w:r>
    </w:p>
    <w:p w14:paraId="4CCC1242" w14:textId="77777777" w:rsidR="00761FEE" w:rsidRPr="00BD1319" w:rsidRDefault="00761FEE" w:rsidP="00D53616">
      <w:pPr>
        <w:spacing w:line="259" w:lineRule="auto"/>
        <w:rPr>
          <w:rFonts w:cs="Arial"/>
        </w:rPr>
      </w:pPr>
    </w:p>
    <w:p w14:paraId="41413284" w14:textId="1C438FD0" w:rsidR="00AA4F93" w:rsidRPr="00BD1319" w:rsidRDefault="00AA4F93" w:rsidP="00456AB1">
      <w:pPr>
        <w:numPr>
          <w:ilvl w:val="0"/>
          <w:numId w:val="19"/>
        </w:numPr>
        <w:suppressAutoHyphens/>
        <w:ind w:left="567" w:hanging="567"/>
        <w:rPr>
          <w:rFonts w:cs="Arial"/>
        </w:rPr>
      </w:pPr>
      <w:r w:rsidRPr="00BD1319">
        <w:rPr>
          <w:rFonts w:cs="Arial"/>
          <w:b/>
        </w:rPr>
        <w:t>Humedal</w:t>
      </w:r>
      <w:r w:rsidRPr="00BD1319">
        <w:rPr>
          <w:rFonts w:cs="Arial"/>
        </w:rPr>
        <w:t xml:space="preserve">: </w:t>
      </w:r>
      <w:r w:rsidR="0088212E" w:rsidRPr="00BD1319">
        <w:rPr>
          <w:rFonts w:cs="Arial"/>
        </w:rPr>
        <w:t>e</w:t>
      </w:r>
      <w:r w:rsidRPr="00BD1319">
        <w:rPr>
          <w:rFonts w:cs="Arial"/>
        </w:rPr>
        <w:t>xtensi</w:t>
      </w:r>
      <w:r w:rsidR="00D53616" w:rsidRPr="00BD1319">
        <w:rPr>
          <w:rFonts w:cs="Arial"/>
        </w:rPr>
        <w:t xml:space="preserve">ón </w:t>
      </w:r>
      <w:r w:rsidRPr="00BD1319">
        <w:rPr>
          <w:rFonts w:cs="Arial"/>
        </w:rPr>
        <w:t>de marismas, pantanos y turberas, o superficies cubiertas de aguas, sean éstas de régimen natural o artificial, permanentes o temporales, estancadas o corrientes, dulces, salobres o saladas, incluidas las extensiones de agua marina cuya profundidad en marea baja no exceda de seis metros</w:t>
      </w:r>
      <w:r w:rsidR="006A5D01" w:rsidRPr="00BD1319">
        <w:rPr>
          <w:rFonts w:cs="Arial"/>
        </w:rPr>
        <w:t>.</w:t>
      </w:r>
      <w:r w:rsidRPr="00BD1319">
        <w:rPr>
          <w:rFonts w:cs="Arial"/>
        </w:rPr>
        <w:t xml:space="preserve"> </w:t>
      </w:r>
      <w:r w:rsidR="00CF2BB6" w:rsidRPr="00BD1319">
        <w:rPr>
          <w:rFonts w:cs="Arial"/>
          <w:vertAlign w:val="superscript"/>
        </w:rPr>
        <w:t>[</w:t>
      </w:r>
      <w:r w:rsidRPr="00BD1319">
        <w:rPr>
          <w:rStyle w:val="Refdenotaalfinal"/>
          <w:rFonts w:cs="Arial"/>
        </w:rPr>
        <w:endnoteReference w:id="29"/>
      </w:r>
      <w:r w:rsidR="00CF2BB6" w:rsidRPr="00BD1319">
        <w:rPr>
          <w:rFonts w:cs="Arial"/>
          <w:vertAlign w:val="superscript"/>
        </w:rPr>
        <w:t>]</w:t>
      </w:r>
    </w:p>
    <w:p w14:paraId="7D3BCC9D" w14:textId="77777777" w:rsidR="00AA4F93" w:rsidRPr="00BD1319" w:rsidRDefault="00AA4F93" w:rsidP="00D53616">
      <w:pPr>
        <w:rPr>
          <w:rFonts w:cs="Arial"/>
        </w:rPr>
      </w:pPr>
    </w:p>
    <w:p w14:paraId="7A259AFE" w14:textId="6AD74944" w:rsidR="00AA4F93" w:rsidRPr="00BD1319" w:rsidRDefault="00AA4F93" w:rsidP="00C86DA5">
      <w:pPr>
        <w:numPr>
          <w:ilvl w:val="0"/>
          <w:numId w:val="19"/>
        </w:numPr>
        <w:suppressAutoHyphens/>
        <w:ind w:left="567" w:hanging="567"/>
        <w:rPr>
          <w:rFonts w:cs="Arial"/>
        </w:rPr>
      </w:pPr>
      <w:r w:rsidRPr="00BD1319">
        <w:rPr>
          <w:rFonts w:cs="Arial"/>
          <w:b/>
        </w:rPr>
        <w:t>Impacto ambiental</w:t>
      </w:r>
      <w:r w:rsidRPr="00BD1319">
        <w:rPr>
          <w:rFonts w:cs="Arial"/>
        </w:rPr>
        <w:t xml:space="preserve">: </w:t>
      </w:r>
      <w:r w:rsidR="0088212E" w:rsidRPr="00BD1319">
        <w:rPr>
          <w:rFonts w:cs="Arial"/>
        </w:rPr>
        <w:t>c</w:t>
      </w:r>
      <w:r w:rsidRPr="00BD1319">
        <w:rPr>
          <w:rFonts w:cs="Arial"/>
        </w:rPr>
        <w:t xml:space="preserve">ualquier </w:t>
      </w:r>
      <w:r w:rsidR="002A76FD" w:rsidRPr="00BD1319">
        <w:rPr>
          <w:rFonts w:cs="Arial"/>
        </w:rPr>
        <w:t xml:space="preserve">alteración </w:t>
      </w:r>
      <w:r w:rsidR="0006563A" w:rsidRPr="00BD1319">
        <w:rPr>
          <w:rFonts w:cs="Arial"/>
        </w:rPr>
        <w:t xml:space="preserve">del </w:t>
      </w:r>
      <w:r w:rsidR="002A76FD" w:rsidRPr="00BD1319">
        <w:rPr>
          <w:rFonts w:cs="Arial"/>
        </w:rPr>
        <w:t>ambient</w:t>
      </w:r>
      <w:r w:rsidR="0006563A" w:rsidRPr="00BD1319">
        <w:rPr>
          <w:rFonts w:cs="Arial"/>
        </w:rPr>
        <w:t>e</w:t>
      </w:r>
      <w:r w:rsidR="002A76FD" w:rsidRPr="00BD1319">
        <w:rPr>
          <w:rFonts w:cs="Arial"/>
        </w:rPr>
        <w:t xml:space="preserve"> </w:t>
      </w:r>
      <w:r w:rsidR="0006563A" w:rsidRPr="00BD1319">
        <w:rPr>
          <w:rFonts w:cs="Arial"/>
        </w:rPr>
        <w:t xml:space="preserve">(medios </w:t>
      </w:r>
      <w:r w:rsidR="002A76FD" w:rsidRPr="00BD1319">
        <w:rPr>
          <w:rFonts w:cs="Arial"/>
        </w:rPr>
        <w:t>abiótico</w:t>
      </w:r>
      <w:r w:rsidR="0006563A" w:rsidRPr="00BD1319">
        <w:rPr>
          <w:rFonts w:cs="Arial"/>
        </w:rPr>
        <w:t>, biótico</w:t>
      </w:r>
      <w:r w:rsidR="002A76FD" w:rsidRPr="00BD1319">
        <w:rPr>
          <w:rFonts w:cs="Arial"/>
        </w:rPr>
        <w:t xml:space="preserve"> y socioeconómico</w:t>
      </w:r>
      <w:r w:rsidR="0006563A" w:rsidRPr="00BD1319">
        <w:rPr>
          <w:rFonts w:cs="Arial"/>
        </w:rPr>
        <w:t>)</w:t>
      </w:r>
      <w:r w:rsidR="002A76FD" w:rsidRPr="00BD1319">
        <w:rPr>
          <w:rFonts w:cs="Arial"/>
        </w:rPr>
        <w:t>, advers</w:t>
      </w:r>
      <w:r w:rsidR="0006563A" w:rsidRPr="00BD1319">
        <w:rPr>
          <w:rFonts w:cs="Arial"/>
        </w:rPr>
        <w:t>a</w:t>
      </w:r>
      <w:r w:rsidR="002A76FD" w:rsidRPr="00BD1319">
        <w:rPr>
          <w:rFonts w:cs="Arial"/>
        </w:rPr>
        <w:t xml:space="preserve"> o beneficios</w:t>
      </w:r>
      <w:r w:rsidR="0006563A" w:rsidRPr="00BD1319">
        <w:rPr>
          <w:rFonts w:cs="Arial"/>
        </w:rPr>
        <w:t>a</w:t>
      </w:r>
      <w:r w:rsidR="002A76FD" w:rsidRPr="00BD1319">
        <w:rPr>
          <w:rFonts w:cs="Arial"/>
        </w:rPr>
        <w:t>, total o parcial, atribuid</w:t>
      </w:r>
      <w:r w:rsidR="0006563A" w:rsidRPr="00BD1319">
        <w:rPr>
          <w:rFonts w:cs="Arial"/>
        </w:rPr>
        <w:t>a</w:t>
      </w:r>
      <w:r w:rsidR="002A76FD" w:rsidRPr="00BD1319">
        <w:rPr>
          <w:rFonts w:cs="Arial"/>
        </w:rPr>
        <w:t xml:space="preserve"> a</w:t>
      </w:r>
      <w:r w:rsidR="0006563A" w:rsidRPr="00BD1319">
        <w:rPr>
          <w:rFonts w:cs="Arial"/>
        </w:rPr>
        <w:t xml:space="preserve"> </w:t>
      </w:r>
      <w:r w:rsidR="002A76FD" w:rsidRPr="00BD1319">
        <w:rPr>
          <w:rFonts w:cs="Arial"/>
        </w:rPr>
        <w:t>l</w:t>
      </w:r>
      <w:r w:rsidR="0006563A" w:rsidRPr="00BD1319">
        <w:rPr>
          <w:rFonts w:cs="Arial"/>
        </w:rPr>
        <w:t>a</w:t>
      </w:r>
      <w:r w:rsidR="002A76FD" w:rsidRPr="00BD1319">
        <w:rPr>
          <w:rFonts w:cs="Arial"/>
        </w:rPr>
        <w:t xml:space="preserve"> </w:t>
      </w:r>
      <w:r w:rsidR="0006563A" w:rsidRPr="00BD1319">
        <w:rPr>
          <w:rFonts w:cs="Arial"/>
        </w:rPr>
        <w:t xml:space="preserve">ejecución de </w:t>
      </w:r>
      <w:r w:rsidR="002A76FD" w:rsidRPr="00BD1319">
        <w:rPr>
          <w:rFonts w:cs="Arial"/>
        </w:rPr>
        <w:t>un proyecto, obra o actividad</w:t>
      </w:r>
      <w:r w:rsidR="0006563A" w:rsidRPr="00BD1319">
        <w:rPr>
          <w:rFonts w:cs="Arial"/>
        </w:rPr>
        <w:t xml:space="preserve"> y descrita mediante cambios en un parámetro ambiental cuantitativo o cualitativo</w:t>
      </w:r>
      <w:r w:rsidR="006A5D01" w:rsidRPr="00BD1319">
        <w:rPr>
          <w:rFonts w:cs="Arial"/>
        </w:rPr>
        <w:t>.</w:t>
      </w:r>
      <w:r w:rsidRPr="00BD1319">
        <w:rPr>
          <w:rFonts w:cs="Arial"/>
        </w:rPr>
        <w:t xml:space="preserve"> </w:t>
      </w:r>
      <w:r w:rsidR="00CF2BB6" w:rsidRPr="00BD1319">
        <w:rPr>
          <w:rFonts w:cs="Arial"/>
          <w:vertAlign w:val="superscript"/>
        </w:rPr>
        <w:t>[</w:t>
      </w:r>
      <w:r w:rsidR="00370937" w:rsidRPr="00BD1319">
        <w:rPr>
          <w:rFonts w:cs="Arial"/>
          <w:vertAlign w:val="superscript"/>
        </w:rPr>
        <w:fldChar w:fldCharType="begin"/>
      </w:r>
      <w:r w:rsidR="00370937" w:rsidRPr="00BD1319">
        <w:rPr>
          <w:rFonts w:cs="Arial"/>
          <w:vertAlign w:val="superscript"/>
        </w:rPr>
        <w:instrText xml:space="preserve"> NOTEREF _Ref44839840 \h </w:instrText>
      </w:r>
      <w:r w:rsidR="006A4128" w:rsidRPr="00BD1319">
        <w:rPr>
          <w:rFonts w:cs="Arial"/>
          <w:vertAlign w:val="superscript"/>
        </w:rPr>
        <w:instrText xml:space="preserve"> \* MERGEFORMAT </w:instrText>
      </w:r>
      <w:r w:rsidR="00370937" w:rsidRPr="00BD1319">
        <w:rPr>
          <w:rFonts w:cs="Arial"/>
          <w:vertAlign w:val="superscript"/>
        </w:rPr>
      </w:r>
      <w:r w:rsidR="00370937" w:rsidRPr="00BD1319">
        <w:rPr>
          <w:rFonts w:cs="Arial"/>
          <w:vertAlign w:val="superscript"/>
        </w:rPr>
        <w:fldChar w:fldCharType="separate"/>
      </w:r>
      <w:r w:rsidR="00296654" w:rsidRPr="00BD1319">
        <w:rPr>
          <w:rFonts w:cs="Arial"/>
          <w:vertAlign w:val="superscript"/>
        </w:rPr>
        <w:t>1</w:t>
      </w:r>
      <w:r w:rsidR="00370937" w:rsidRPr="00BD1319">
        <w:rPr>
          <w:rFonts w:cs="Arial"/>
          <w:vertAlign w:val="superscript"/>
        </w:rPr>
        <w:fldChar w:fldCharType="end"/>
      </w:r>
      <w:r w:rsidR="00CF2BB6" w:rsidRPr="00BD1319">
        <w:rPr>
          <w:rFonts w:cs="Arial"/>
          <w:vertAlign w:val="superscript"/>
        </w:rPr>
        <w:t>]</w:t>
      </w:r>
    </w:p>
    <w:p w14:paraId="7B76C29B" w14:textId="77777777" w:rsidR="00356022" w:rsidRPr="00BD1319" w:rsidRDefault="00356022" w:rsidP="00D53616">
      <w:pPr>
        <w:rPr>
          <w:rFonts w:cs="Arial"/>
        </w:rPr>
      </w:pPr>
    </w:p>
    <w:p w14:paraId="202A20BE" w14:textId="29072E50" w:rsidR="00AA4F93" w:rsidRPr="00BD1319" w:rsidRDefault="00AA4F93" w:rsidP="00C86DA5">
      <w:pPr>
        <w:numPr>
          <w:ilvl w:val="0"/>
          <w:numId w:val="21"/>
        </w:numPr>
        <w:suppressAutoHyphens/>
        <w:ind w:left="567" w:hanging="567"/>
      </w:pPr>
      <w:r w:rsidRPr="00BD1319">
        <w:rPr>
          <w:rFonts w:cs="Arial"/>
          <w:b/>
          <w:bCs/>
        </w:rPr>
        <w:t>Impacto ambiental</w:t>
      </w:r>
      <w:r w:rsidRPr="00BD1319">
        <w:rPr>
          <w:b/>
        </w:rPr>
        <w:t xml:space="preserve"> acumulativo</w:t>
      </w:r>
      <w:r w:rsidRPr="00BD1319">
        <w:t xml:space="preserve">: </w:t>
      </w:r>
      <w:r w:rsidR="0088212E" w:rsidRPr="00BD1319">
        <w:t>i</w:t>
      </w:r>
      <w:r w:rsidRPr="00BD1319">
        <w:t xml:space="preserve">mpacto ambiental </w:t>
      </w:r>
      <w:r w:rsidR="00DD2A74" w:rsidRPr="00BD1319">
        <w:rPr>
          <w:rFonts w:cs="Arial"/>
          <w:spacing w:val="-3"/>
        </w:rPr>
        <w:t>cuya significancia se incrementa</w:t>
      </w:r>
      <w:r w:rsidR="00525917" w:rsidRPr="00BD1319">
        <w:rPr>
          <w:rFonts w:cs="Arial"/>
          <w:spacing w:val="-3"/>
        </w:rPr>
        <w:t>,</w:t>
      </w:r>
      <w:r w:rsidR="00DD2A74" w:rsidRPr="00BD1319">
        <w:rPr>
          <w:rFonts w:cs="Arial"/>
          <w:spacing w:val="-3"/>
        </w:rPr>
        <w:t xml:space="preserve"> no necesariamente de forma lineal</w:t>
      </w:r>
      <w:r w:rsidR="00525917" w:rsidRPr="00BD1319">
        <w:rPr>
          <w:rFonts w:cs="Arial"/>
          <w:spacing w:val="-3"/>
        </w:rPr>
        <w:t>,</w:t>
      </w:r>
      <w:r w:rsidR="00DD2A74" w:rsidRPr="00BD1319">
        <w:rPr>
          <w:rFonts w:cs="Arial"/>
          <w:spacing w:val="-3"/>
        </w:rPr>
        <w:t xml:space="preserve"> </w:t>
      </w:r>
      <w:r w:rsidR="0055673D" w:rsidRPr="00BD1319">
        <w:rPr>
          <w:rFonts w:cs="Arial"/>
          <w:spacing w:val="-3"/>
        </w:rPr>
        <w:t>con</w:t>
      </w:r>
      <w:r w:rsidR="00511CE1" w:rsidRPr="00BD1319">
        <w:rPr>
          <w:rFonts w:cs="Arial"/>
          <w:spacing w:val="-3"/>
        </w:rPr>
        <w:t xml:space="preserve"> </w:t>
      </w:r>
      <w:r w:rsidR="00DD2A74" w:rsidRPr="00BD1319">
        <w:rPr>
          <w:rFonts w:cs="Arial"/>
          <w:spacing w:val="-3"/>
        </w:rPr>
        <w:t>el tiempo</w:t>
      </w:r>
      <w:r w:rsidR="006A5D01" w:rsidRPr="00BD1319">
        <w:rPr>
          <w:rFonts w:cs="Arial"/>
        </w:rPr>
        <w:t>.</w:t>
      </w:r>
    </w:p>
    <w:p w14:paraId="69B2BD77" w14:textId="77777777" w:rsidR="006B55BF" w:rsidRPr="00BD1319" w:rsidRDefault="006B55BF" w:rsidP="00C86DA5">
      <w:pPr>
        <w:suppressAutoHyphens/>
      </w:pPr>
    </w:p>
    <w:p w14:paraId="0FEACCAA" w14:textId="7D8E4AA4" w:rsidR="00D7652E" w:rsidRPr="00BD1319" w:rsidRDefault="00D7652E" w:rsidP="009420F5">
      <w:pPr>
        <w:numPr>
          <w:ilvl w:val="0"/>
          <w:numId w:val="19"/>
        </w:numPr>
        <w:suppressAutoHyphens/>
        <w:ind w:left="567" w:hanging="567"/>
        <w:rPr>
          <w:rFonts w:cs="Arial"/>
        </w:rPr>
      </w:pPr>
      <w:r w:rsidRPr="00BD1319">
        <w:rPr>
          <w:rFonts w:cs="Arial"/>
          <w:b/>
        </w:rPr>
        <w:t>Impacto ambiental directo</w:t>
      </w:r>
      <w:r w:rsidRPr="00BD1319">
        <w:rPr>
          <w:rFonts w:cs="Arial"/>
        </w:rPr>
        <w:t xml:space="preserve">: </w:t>
      </w:r>
      <w:r w:rsidR="008F749C" w:rsidRPr="00BD1319">
        <w:rPr>
          <w:rFonts w:cs="Arial"/>
        </w:rPr>
        <w:t>impacto ambiental que ocurre como consecuencia directa de una actividad humana, de manera simultánea y usualmente en el mismo lugar en el que ésta se ejecuta. También puede ser denominado “impacto ambiental primario”.</w:t>
      </w:r>
    </w:p>
    <w:p w14:paraId="54C8786F" w14:textId="77777777" w:rsidR="00D7652E" w:rsidRPr="00BD1319" w:rsidRDefault="00D7652E" w:rsidP="009420F5">
      <w:pPr>
        <w:suppressAutoHyphens/>
        <w:rPr>
          <w:rFonts w:cs="Arial"/>
        </w:rPr>
      </w:pPr>
    </w:p>
    <w:p w14:paraId="7C208FFA" w14:textId="051BEDD6" w:rsidR="00D7652E" w:rsidRPr="00BD1319" w:rsidRDefault="00D7652E" w:rsidP="009420F5">
      <w:pPr>
        <w:pStyle w:val="Prrafodelista"/>
        <w:numPr>
          <w:ilvl w:val="0"/>
          <w:numId w:val="21"/>
        </w:numPr>
        <w:suppressAutoHyphens/>
        <w:ind w:left="567" w:hanging="567"/>
        <w:rPr>
          <w:lang w:val="es-CO"/>
        </w:rPr>
      </w:pPr>
      <w:r w:rsidRPr="00BD1319">
        <w:rPr>
          <w:b/>
          <w:lang w:val="es-CO"/>
        </w:rPr>
        <w:t>Impacto ambiental indirecto</w:t>
      </w:r>
      <w:r w:rsidRPr="00BD1319">
        <w:rPr>
          <w:lang w:val="es-CO"/>
        </w:rPr>
        <w:t xml:space="preserve">: impacto </w:t>
      </w:r>
      <w:r w:rsidR="007C2C26" w:rsidRPr="00BD1319">
        <w:rPr>
          <w:lang w:val="es-CO"/>
        </w:rPr>
        <w:t xml:space="preserve">ambiental que ocurre como consecuencia de un impacto ambiental directo o </w:t>
      </w:r>
      <w:r w:rsidR="00525917" w:rsidRPr="00BD1319">
        <w:rPr>
          <w:lang w:val="es-CO"/>
        </w:rPr>
        <w:t xml:space="preserve">de un impacto ambiental </w:t>
      </w:r>
      <w:r w:rsidR="007C2C26" w:rsidRPr="00BD1319">
        <w:rPr>
          <w:lang w:val="es-CO"/>
        </w:rPr>
        <w:t>indirecto</w:t>
      </w:r>
      <w:r w:rsidR="00525917" w:rsidRPr="00BD1319">
        <w:rPr>
          <w:lang w:val="es-CO"/>
        </w:rPr>
        <w:t>,</w:t>
      </w:r>
      <w:r w:rsidR="007C2C26" w:rsidRPr="00BD1319">
        <w:rPr>
          <w:lang w:val="es-CO"/>
        </w:rPr>
        <w:t xml:space="preserve"> </w:t>
      </w:r>
      <w:r w:rsidR="00525917" w:rsidRPr="00BD1319">
        <w:rPr>
          <w:lang w:val="es-CO"/>
        </w:rPr>
        <w:t xml:space="preserve">que es </w:t>
      </w:r>
      <w:r w:rsidR="007C2C26" w:rsidRPr="00BD1319">
        <w:rPr>
          <w:lang w:val="es-CO"/>
        </w:rPr>
        <w:t>generado por la ejecución de una actividad humana</w:t>
      </w:r>
      <w:r w:rsidR="00525917" w:rsidRPr="00BD1319">
        <w:rPr>
          <w:lang w:val="es-CO"/>
        </w:rPr>
        <w:t xml:space="preserve"> y que </w:t>
      </w:r>
      <w:r w:rsidR="007C2C26" w:rsidRPr="00BD1319">
        <w:rPr>
          <w:lang w:val="es-CO"/>
        </w:rPr>
        <w:t xml:space="preserve">se manifiesta de manera posterior en el tiempo o alejado en el espacio de la actividad que inició la cadena causal que lo originó. También puede ser denominado como “impacto secundario”, “impacto terciario”, o impacto de cualquier otro orden, de acuerdo </w:t>
      </w:r>
      <w:r w:rsidR="00645126" w:rsidRPr="00BD1319">
        <w:rPr>
          <w:lang w:val="es-CO"/>
        </w:rPr>
        <w:t xml:space="preserve">con el </w:t>
      </w:r>
      <w:r w:rsidR="007C2C26" w:rsidRPr="00BD1319">
        <w:rPr>
          <w:lang w:val="es-CO"/>
        </w:rPr>
        <w:t>lugar de la cadena causal de impactos en el que se encuentre</w:t>
      </w:r>
      <w:r w:rsidRPr="00BD1319">
        <w:rPr>
          <w:lang w:val="es-CO"/>
        </w:rPr>
        <w:t>.</w:t>
      </w:r>
    </w:p>
    <w:p w14:paraId="25D1BEC7" w14:textId="77777777" w:rsidR="00D7652E" w:rsidRPr="00BD1319" w:rsidRDefault="00D7652E" w:rsidP="00C86DA5">
      <w:pPr>
        <w:suppressAutoHyphens/>
      </w:pPr>
    </w:p>
    <w:p w14:paraId="0B36E741" w14:textId="1B7FD142" w:rsidR="00AA4F93" w:rsidRPr="00BD1319" w:rsidRDefault="006B55BF" w:rsidP="009420F5">
      <w:pPr>
        <w:pStyle w:val="Prrafodelista"/>
        <w:numPr>
          <w:ilvl w:val="0"/>
          <w:numId w:val="21"/>
        </w:numPr>
        <w:suppressAutoHyphens/>
        <w:ind w:left="567" w:hanging="567"/>
        <w:rPr>
          <w:lang w:val="es-CO"/>
        </w:rPr>
      </w:pPr>
      <w:r w:rsidRPr="00BD1319">
        <w:rPr>
          <w:b/>
          <w:lang w:val="es-CO"/>
        </w:rPr>
        <w:t>Impacto ambiental potencial</w:t>
      </w:r>
      <w:r w:rsidRPr="00BD1319">
        <w:rPr>
          <w:lang w:val="es-CO"/>
        </w:rPr>
        <w:t xml:space="preserve">: impacto ambiental que estima la capacidad que tiene un proyecto, obra o actividad, de generar impactos ambientales sobre los medios </w:t>
      </w:r>
      <w:r w:rsidR="00645126" w:rsidRPr="00BD1319">
        <w:rPr>
          <w:lang w:val="es-CO"/>
        </w:rPr>
        <w:t>abiótico</w:t>
      </w:r>
      <w:r w:rsidRPr="00BD1319">
        <w:rPr>
          <w:lang w:val="es-CO"/>
        </w:rPr>
        <w:t>, biótico y socioeconómico, debido a sus características intrínsecas, siendo posible evaluarlo con base en actividades previas o que se encuentran en operación.</w:t>
      </w:r>
    </w:p>
    <w:p w14:paraId="57155D8D" w14:textId="77777777" w:rsidR="006B55BF" w:rsidRPr="00BD1319" w:rsidRDefault="006B55BF" w:rsidP="00C86DA5">
      <w:pPr>
        <w:suppressAutoHyphens/>
      </w:pPr>
    </w:p>
    <w:p w14:paraId="54524E00" w14:textId="30419481" w:rsidR="00AA4F93" w:rsidRPr="00BD1319" w:rsidRDefault="00AA4F93" w:rsidP="00C86DA5">
      <w:pPr>
        <w:numPr>
          <w:ilvl w:val="0"/>
          <w:numId w:val="19"/>
        </w:numPr>
        <w:suppressAutoHyphens/>
        <w:ind w:left="567" w:hanging="567"/>
      </w:pPr>
      <w:r w:rsidRPr="00BD1319">
        <w:rPr>
          <w:b/>
        </w:rPr>
        <w:t>Impacto ambiental residual</w:t>
      </w:r>
      <w:r w:rsidRPr="00BD1319">
        <w:t xml:space="preserve">: </w:t>
      </w:r>
      <w:r w:rsidR="0088212E" w:rsidRPr="00BD1319">
        <w:t>i</w:t>
      </w:r>
      <w:r w:rsidRPr="00BD1319">
        <w:t xml:space="preserve">mpacto </w:t>
      </w:r>
      <w:r w:rsidRPr="00BD1319">
        <w:rPr>
          <w:rFonts w:cs="Arial"/>
        </w:rPr>
        <w:t xml:space="preserve">ambiental </w:t>
      </w:r>
      <w:r w:rsidRPr="00BD1319">
        <w:t xml:space="preserve">cuyos efectos persisten en el ambiente por </w:t>
      </w:r>
      <w:r w:rsidRPr="00BD1319">
        <w:rPr>
          <w:rFonts w:cs="Arial"/>
        </w:rPr>
        <w:t>cuanto no pudo ser prevenido, mitigado ni corregido.</w:t>
      </w:r>
    </w:p>
    <w:p w14:paraId="74874856" w14:textId="77777777" w:rsidR="00AA4F93" w:rsidRPr="00BD1319" w:rsidRDefault="00AA4F93" w:rsidP="00D53616">
      <w:pPr>
        <w:rPr>
          <w:rFonts w:cs="Arial"/>
        </w:rPr>
      </w:pPr>
    </w:p>
    <w:p w14:paraId="04EF127E" w14:textId="3926D40C" w:rsidR="00AA4F93" w:rsidRPr="00BD1319" w:rsidRDefault="00AA4F93" w:rsidP="00456AB1">
      <w:pPr>
        <w:numPr>
          <w:ilvl w:val="0"/>
          <w:numId w:val="19"/>
        </w:numPr>
        <w:suppressAutoHyphens/>
        <w:ind w:left="567" w:hanging="567"/>
        <w:rPr>
          <w:rFonts w:cs="Arial"/>
        </w:rPr>
      </w:pPr>
      <w:r w:rsidRPr="00BD1319">
        <w:rPr>
          <w:rFonts w:cs="Arial"/>
          <w:b/>
        </w:rPr>
        <w:t>Impacto ambiental significativo</w:t>
      </w:r>
      <w:r w:rsidR="007F4556" w:rsidRPr="00BD1319">
        <w:rPr>
          <w:rFonts w:cs="Arial"/>
          <w:b/>
        </w:rPr>
        <w:t xml:space="preserve"> negativo</w:t>
      </w:r>
      <w:r w:rsidRPr="00BD1319">
        <w:rPr>
          <w:rFonts w:cs="Arial"/>
        </w:rPr>
        <w:t>:</w:t>
      </w:r>
      <w:r w:rsidR="001F2399" w:rsidRPr="00BD1319">
        <w:rPr>
          <w:rFonts w:cs="Arial"/>
        </w:rPr>
        <w:t xml:space="preserve"> </w:t>
      </w:r>
      <w:r w:rsidR="001F3DAB" w:rsidRPr="00BD1319">
        <w:rPr>
          <w:rFonts w:cs="Arial"/>
        </w:rPr>
        <w:t xml:space="preserve">impacto que dada la sensibilidad ambiental del área en la que se manifiesta, genera una alteración de las condiciones ambientales que </w:t>
      </w:r>
      <w:r w:rsidR="004E125C" w:rsidRPr="00BD1319">
        <w:rPr>
          <w:rFonts w:cs="Arial"/>
        </w:rPr>
        <w:t xml:space="preserve">afecta su </w:t>
      </w:r>
      <w:r w:rsidR="001F3DAB" w:rsidRPr="00BD1319">
        <w:rPr>
          <w:rFonts w:cs="Arial"/>
        </w:rPr>
        <w:t>integridad y pone en riesgo su sostenibilidad ambiental.</w:t>
      </w:r>
    </w:p>
    <w:p w14:paraId="66874AE3" w14:textId="77777777" w:rsidR="004E125C" w:rsidRPr="00BD1319" w:rsidRDefault="004E125C" w:rsidP="00C86DA5">
      <w:pPr>
        <w:numPr>
          <w:ilvl w:val="12"/>
          <w:numId w:val="0"/>
        </w:numPr>
        <w:tabs>
          <w:tab w:val="left" w:pos="-2268"/>
        </w:tabs>
        <w:suppressAutoHyphens/>
      </w:pPr>
    </w:p>
    <w:p w14:paraId="3AA7CDEF" w14:textId="197096FF" w:rsidR="00AA4F93" w:rsidRPr="00BD1319" w:rsidRDefault="00AA4F93" w:rsidP="00C86DA5">
      <w:pPr>
        <w:numPr>
          <w:ilvl w:val="0"/>
          <w:numId w:val="21"/>
        </w:numPr>
        <w:suppressAutoHyphens/>
        <w:ind w:left="567" w:hanging="567"/>
      </w:pPr>
      <w:r w:rsidRPr="00BD1319">
        <w:rPr>
          <w:b/>
        </w:rPr>
        <w:t>Impacto</w:t>
      </w:r>
      <w:r w:rsidRPr="00BD1319">
        <w:rPr>
          <w:rFonts w:cs="Arial"/>
          <w:b/>
        </w:rPr>
        <w:t xml:space="preserve"> ambiental</w:t>
      </w:r>
      <w:r w:rsidRPr="00BD1319">
        <w:rPr>
          <w:b/>
        </w:rPr>
        <w:t xml:space="preserve"> sinérgico</w:t>
      </w:r>
      <w:r w:rsidRPr="00BD1319">
        <w:t xml:space="preserve">: </w:t>
      </w:r>
      <w:r w:rsidR="006F7FAB" w:rsidRPr="00BD1319">
        <w:rPr>
          <w:rFonts w:cs="Arial"/>
          <w:bCs/>
        </w:rPr>
        <w:t>impacto que tiene la capacidad de interactuar con otros y a partir de ello, de generar impactos ambientales adicionales o de modificar su significancia o la de cualquiera de los impactos con los que interactúa</w:t>
      </w:r>
      <w:r w:rsidR="000A44CD" w:rsidRPr="00BD1319">
        <w:t>.</w:t>
      </w:r>
      <w:r w:rsidR="00CF2BB6" w:rsidRPr="00BD1319">
        <w:t xml:space="preserve"> </w:t>
      </w:r>
      <w:r w:rsidR="00CF2BB6" w:rsidRPr="00BD1319">
        <w:rPr>
          <w:vertAlign w:val="superscript"/>
        </w:rPr>
        <w:t>[</w:t>
      </w:r>
      <w:r w:rsidRPr="00BD1319">
        <w:rPr>
          <w:vertAlign w:val="superscript"/>
        </w:rPr>
        <w:endnoteReference w:id="30"/>
      </w:r>
      <w:r w:rsidR="00CF2BB6" w:rsidRPr="00BD1319">
        <w:rPr>
          <w:vertAlign w:val="superscript"/>
        </w:rPr>
        <w:t>]</w:t>
      </w:r>
    </w:p>
    <w:p w14:paraId="52941BA5" w14:textId="77777777" w:rsidR="00AA4F93" w:rsidRPr="00BD1319" w:rsidRDefault="00AA4F93" w:rsidP="009420F5">
      <w:pPr>
        <w:suppressAutoHyphens/>
      </w:pPr>
    </w:p>
    <w:p w14:paraId="1A9037D1" w14:textId="2D420745" w:rsidR="00AA4F93" w:rsidRPr="00BD1319" w:rsidRDefault="00AA4F93" w:rsidP="00C86DA5">
      <w:pPr>
        <w:numPr>
          <w:ilvl w:val="0"/>
          <w:numId w:val="19"/>
        </w:numPr>
        <w:suppressAutoHyphens/>
        <w:ind w:left="567" w:hanging="567"/>
      </w:pPr>
      <w:r w:rsidRPr="00BD1319">
        <w:rPr>
          <w:b/>
        </w:rPr>
        <w:t>Medida de compensación</w:t>
      </w:r>
      <w:r w:rsidRPr="00BD1319">
        <w:t xml:space="preserve">: </w:t>
      </w:r>
      <w:r w:rsidR="00620972" w:rsidRPr="00BD1319">
        <w:t>acci</w:t>
      </w:r>
      <w:r w:rsidR="0080177D" w:rsidRPr="00BD1319">
        <w:t>ón</w:t>
      </w:r>
      <w:r w:rsidRPr="00BD1319">
        <w:t xml:space="preserve"> dirigida a </w:t>
      </w:r>
      <w:r w:rsidR="00BA4EBC" w:rsidRPr="00BD1319">
        <w:t>resarcir y retribuir a las comunidades, las regiones, localidades y al entorno natural por los impactos o efectos negativos generados por un proyecto, obra o actividad, que no puedan ser evitados, corregidos o mitigados</w:t>
      </w:r>
      <w:r w:rsidRPr="00BD1319">
        <w:t>.</w:t>
      </w:r>
      <w:r w:rsidR="00263454" w:rsidRPr="00BD1319">
        <w:t xml:space="preserve"> </w:t>
      </w:r>
      <w:r w:rsidR="00263454" w:rsidRPr="00BD1319">
        <w:rPr>
          <w:vertAlign w:val="superscript"/>
        </w:rPr>
        <w:t>[</w:t>
      </w:r>
      <w:r w:rsidR="00263454" w:rsidRPr="00BD1319">
        <w:rPr>
          <w:vertAlign w:val="superscript"/>
        </w:rPr>
        <w:fldChar w:fldCharType="begin"/>
      </w:r>
      <w:r w:rsidR="00263454" w:rsidRPr="00BD1319">
        <w:rPr>
          <w:vertAlign w:val="superscript"/>
        </w:rPr>
        <w:instrText xml:space="preserve"> NOTEREF _Ref44839840 \h </w:instrText>
      </w:r>
      <w:r w:rsidR="006A4128" w:rsidRPr="00BD1319">
        <w:rPr>
          <w:vertAlign w:val="superscript"/>
        </w:rPr>
        <w:instrText xml:space="preserve"> \* MERGEFORMAT </w:instrText>
      </w:r>
      <w:r w:rsidR="00263454" w:rsidRPr="00BD1319">
        <w:rPr>
          <w:vertAlign w:val="superscript"/>
        </w:rPr>
      </w:r>
      <w:r w:rsidR="00263454" w:rsidRPr="00BD1319">
        <w:rPr>
          <w:vertAlign w:val="superscript"/>
        </w:rPr>
        <w:fldChar w:fldCharType="separate"/>
      </w:r>
      <w:r w:rsidR="00296654" w:rsidRPr="00BD1319">
        <w:rPr>
          <w:vertAlign w:val="superscript"/>
        </w:rPr>
        <w:t>1</w:t>
      </w:r>
      <w:r w:rsidR="00263454" w:rsidRPr="00BD1319">
        <w:rPr>
          <w:vertAlign w:val="superscript"/>
        </w:rPr>
        <w:fldChar w:fldCharType="end"/>
      </w:r>
      <w:r w:rsidR="00263454" w:rsidRPr="00BD1319">
        <w:rPr>
          <w:vertAlign w:val="superscript"/>
        </w:rPr>
        <w:t>]</w:t>
      </w:r>
    </w:p>
    <w:p w14:paraId="29BA15E8" w14:textId="7D12DD3A" w:rsidR="00AA4F93" w:rsidRPr="00BD1319" w:rsidRDefault="00AA4F93" w:rsidP="00BA4EBC"/>
    <w:p w14:paraId="62E73BF9" w14:textId="6379B391" w:rsidR="00AA4F93" w:rsidRPr="00BD1319" w:rsidRDefault="00AA4F93" w:rsidP="00C86DA5">
      <w:pPr>
        <w:numPr>
          <w:ilvl w:val="0"/>
          <w:numId w:val="19"/>
        </w:numPr>
        <w:suppressAutoHyphens/>
        <w:ind w:left="567" w:hanging="567"/>
      </w:pPr>
      <w:r w:rsidRPr="00BD1319">
        <w:rPr>
          <w:b/>
        </w:rPr>
        <w:t>Medida de corrección</w:t>
      </w:r>
      <w:r w:rsidRPr="00BD1319">
        <w:t xml:space="preserve">: </w:t>
      </w:r>
      <w:r w:rsidR="00620972" w:rsidRPr="00BD1319">
        <w:t>acci</w:t>
      </w:r>
      <w:r w:rsidR="0080177D" w:rsidRPr="00BD1319">
        <w:t>ó</w:t>
      </w:r>
      <w:r w:rsidR="00620972" w:rsidRPr="00BD1319">
        <w:t>n</w:t>
      </w:r>
      <w:r w:rsidRPr="00BD1319">
        <w:t xml:space="preserve"> dirigida a recuperar, restaurar o reparar las condiciones del ambiente afectad</w:t>
      </w:r>
      <w:r w:rsidR="00D9438B" w:rsidRPr="00BD1319">
        <w:t>o</w:t>
      </w:r>
      <w:r w:rsidRPr="00BD1319">
        <w:t xml:space="preserve"> por </w:t>
      </w:r>
      <w:r w:rsidR="00D9438B" w:rsidRPr="00BD1319">
        <w:t>el</w:t>
      </w:r>
      <w:r w:rsidRPr="00BD1319">
        <w:t xml:space="preserve"> proyecto, obra o actividad.</w:t>
      </w:r>
      <w:r w:rsidR="00A0487C" w:rsidRPr="00BD1319">
        <w:t xml:space="preserve"> </w:t>
      </w:r>
      <w:r w:rsidR="00A0487C" w:rsidRPr="00BD1319">
        <w:rPr>
          <w:vertAlign w:val="superscript"/>
        </w:rPr>
        <w:t>[</w:t>
      </w:r>
      <w:r w:rsidR="00A0487C" w:rsidRPr="00BD1319">
        <w:rPr>
          <w:vertAlign w:val="superscript"/>
        </w:rPr>
        <w:fldChar w:fldCharType="begin"/>
      </w:r>
      <w:r w:rsidR="00A0487C" w:rsidRPr="00BD1319">
        <w:rPr>
          <w:vertAlign w:val="superscript"/>
        </w:rPr>
        <w:instrText xml:space="preserve"> NOTEREF _Ref44839840 \h  \* MERGEFORMAT </w:instrText>
      </w:r>
      <w:r w:rsidR="00A0487C" w:rsidRPr="00BD1319">
        <w:rPr>
          <w:vertAlign w:val="superscript"/>
        </w:rPr>
      </w:r>
      <w:r w:rsidR="00A0487C" w:rsidRPr="00BD1319">
        <w:rPr>
          <w:vertAlign w:val="superscript"/>
        </w:rPr>
        <w:fldChar w:fldCharType="separate"/>
      </w:r>
      <w:r w:rsidR="00296654" w:rsidRPr="00BD1319">
        <w:rPr>
          <w:vertAlign w:val="superscript"/>
        </w:rPr>
        <w:t>1</w:t>
      </w:r>
      <w:r w:rsidR="00A0487C" w:rsidRPr="00BD1319">
        <w:rPr>
          <w:vertAlign w:val="superscript"/>
        </w:rPr>
        <w:fldChar w:fldCharType="end"/>
      </w:r>
      <w:r w:rsidR="00A0487C" w:rsidRPr="00BD1319">
        <w:rPr>
          <w:vertAlign w:val="superscript"/>
        </w:rPr>
        <w:t>]</w:t>
      </w:r>
    </w:p>
    <w:p w14:paraId="5BF49F5D" w14:textId="013FFD17" w:rsidR="00AA4F93" w:rsidRPr="00BD1319" w:rsidRDefault="00AA4F93" w:rsidP="00D9438B"/>
    <w:p w14:paraId="52929FCE" w14:textId="1A17C039" w:rsidR="00AA4F93" w:rsidRPr="00BD1319" w:rsidRDefault="00AA4F93" w:rsidP="00C807D5">
      <w:pPr>
        <w:numPr>
          <w:ilvl w:val="0"/>
          <w:numId w:val="19"/>
        </w:numPr>
        <w:suppressAutoHyphens/>
        <w:ind w:left="567" w:hanging="567"/>
      </w:pPr>
      <w:r w:rsidRPr="00BD1319">
        <w:rPr>
          <w:b/>
        </w:rPr>
        <w:lastRenderedPageBreak/>
        <w:t>Medida de mitigación</w:t>
      </w:r>
      <w:r w:rsidRPr="00BD1319">
        <w:t xml:space="preserve">: </w:t>
      </w:r>
      <w:r w:rsidR="00620972" w:rsidRPr="00BD1319">
        <w:t>acci</w:t>
      </w:r>
      <w:r w:rsidR="0080177D" w:rsidRPr="00BD1319">
        <w:t>ó</w:t>
      </w:r>
      <w:r w:rsidR="00620972" w:rsidRPr="00BD1319">
        <w:t>n</w:t>
      </w:r>
      <w:r w:rsidRPr="00BD1319">
        <w:t xml:space="preserve"> dirigida </w:t>
      </w:r>
      <w:r w:rsidR="00C807D5" w:rsidRPr="00BD1319">
        <w:t>a minimizar los impactos y efectos negativos de un proyecto, obra o actividad sobre el ambiente</w:t>
      </w:r>
      <w:r w:rsidRPr="00BD1319">
        <w:t>.</w:t>
      </w:r>
      <w:r w:rsidR="00263454" w:rsidRPr="00BD1319">
        <w:t xml:space="preserve"> </w:t>
      </w:r>
      <w:r w:rsidR="00263454" w:rsidRPr="00BD1319">
        <w:rPr>
          <w:vertAlign w:val="superscript"/>
        </w:rPr>
        <w:t>[</w:t>
      </w:r>
      <w:r w:rsidR="00263454" w:rsidRPr="00BD1319">
        <w:rPr>
          <w:vertAlign w:val="superscript"/>
        </w:rPr>
        <w:fldChar w:fldCharType="begin"/>
      </w:r>
      <w:r w:rsidR="00263454" w:rsidRPr="00BD1319">
        <w:rPr>
          <w:vertAlign w:val="superscript"/>
        </w:rPr>
        <w:instrText xml:space="preserve"> NOTEREF _Ref44839840 \h </w:instrText>
      </w:r>
      <w:r w:rsidR="006A4128" w:rsidRPr="00BD1319">
        <w:rPr>
          <w:vertAlign w:val="superscript"/>
        </w:rPr>
        <w:instrText xml:space="preserve"> \* MERGEFORMAT </w:instrText>
      </w:r>
      <w:r w:rsidR="00263454" w:rsidRPr="00BD1319">
        <w:rPr>
          <w:vertAlign w:val="superscript"/>
        </w:rPr>
      </w:r>
      <w:r w:rsidR="00263454" w:rsidRPr="00BD1319">
        <w:rPr>
          <w:vertAlign w:val="superscript"/>
        </w:rPr>
        <w:fldChar w:fldCharType="separate"/>
      </w:r>
      <w:r w:rsidR="00296654" w:rsidRPr="00BD1319">
        <w:rPr>
          <w:vertAlign w:val="superscript"/>
        </w:rPr>
        <w:t>1</w:t>
      </w:r>
      <w:r w:rsidR="00263454" w:rsidRPr="00BD1319">
        <w:rPr>
          <w:vertAlign w:val="superscript"/>
        </w:rPr>
        <w:fldChar w:fldCharType="end"/>
      </w:r>
      <w:r w:rsidR="00263454" w:rsidRPr="00BD1319">
        <w:rPr>
          <w:vertAlign w:val="superscript"/>
        </w:rPr>
        <w:t>]</w:t>
      </w:r>
    </w:p>
    <w:p w14:paraId="23DA7ADC" w14:textId="77777777" w:rsidR="001A4259" w:rsidRPr="00BD1319" w:rsidRDefault="001A4259" w:rsidP="000D6E21"/>
    <w:p w14:paraId="3B5D7BF8" w14:textId="1DE8A753" w:rsidR="001A4259" w:rsidRPr="00BD1319" w:rsidRDefault="001A4259" w:rsidP="000D6E21">
      <w:pPr>
        <w:numPr>
          <w:ilvl w:val="0"/>
          <w:numId w:val="19"/>
        </w:numPr>
        <w:suppressAutoHyphens/>
        <w:ind w:left="567" w:hanging="567"/>
        <w:rPr>
          <w:bCs/>
        </w:rPr>
      </w:pPr>
      <w:r w:rsidRPr="00BD1319">
        <w:rPr>
          <w:b/>
        </w:rPr>
        <w:t>Medida de mitigación de gases de efecto invernadero</w:t>
      </w:r>
      <w:r w:rsidRPr="00BD1319">
        <w:rPr>
          <w:bCs/>
        </w:rPr>
        <w:t xml:space="preserve">: tecnología, proceso o práctica que contribuye a la mitigación de gases de efecto invernadero, por ejemplo, </w:t>
      </w:r>
      <w:r w:rsidR="00BB719A" w:rsidRPr="00BD1319">
        <w:rPr>
          <w:bCs/>
        </w:rPr>
        <w:t xml:space="preserve">la </w:t>
      </w:r>
      <w:r w:rsidRPr="00BD1319">
        <w:rPr>
          <w:bCs/>
        </w:rPr>
        <w:t xml:space="preserve">tecnología de energía renovable, </w:t>
      </w:r>
      <w:r w:rsidR="00BB719A" w:rsidRPr="00BD1319">
        <w:rPr>
          <w:bCs/>
        </w:rPr>
        <w:t xml:space="preserve">el </w:t>
      </w:r>
      <w:r w:rsidRPr="00BD1319">
        <w:rPr>
          <w:bCs/>
        </w:rPr>
        <w:t xml:space="preserve">proceso de minimización de desechos y </w:t>
      </w:r>
      <w:r w:rsidR="00BB719A" w:rsidRPr="00BD1319">
        <w:rPr>
          <w:bCs/>
        </w:rPr>
        <w:t xml:space="preserve">la </w:t>
      </w:r>
      <w:r w:rsidRPr="00BD1319">
        <w:rPr>
          <w:bCs/>
        </w:rPr>
        <w:t xml:space="preserve">práctica </w:t>
      </w:r>
      <w:r w:rsidR="00BB719A" w:rsidRPr="00BD1319">
        <w:rPr>
          <w:bCs/>
        </w:rPr>
        <w:t xml:space="preserve">de </w:t>
      </w:r>
      <w:r w:rsidRPr="00BD1319">
        <w:rPr>
          <w:bCs/>
        </w:rPr>
        <w:t>prom</w:t>
      </w:r>
      <w:r w:rsidR="00BB719A" w:rsidRPr="00BD1319">
        <w:rPr>
          <w:bCs/>
        </w:rPr>
        <w:t>oción d</w:t>
      </w:r>
      <w:r w:rsidRPr="00BD1319">
        <w:rPr>
          <w:bCs/>
        </w:rPr>
        <w:t xml:space="preserve">el uso del transporte público. </w:t>
      </w:r>
      <w:r w:rsidRPr="00BD1319">
        <w:rPr>
          <w:vertAlign w:val="superscript"/>
        </w:rPr>
        <w:t>[</w:t>
      </w:r>
      <w:r w:rsidRPr="00BD1319">
        <w:rPr>
          <w:vertAlign w:val="superscript"/>
        </w:rPr>
        <w:endnoteReference w:id="31"/>
      </w:r>
      <w:r w:rsidRPr="00BD1319">
        <w:rPr>
          <w:vertAlign w:val="superscript"/>
        </w:rPr>
        <w:t>]</w:t>
      </w:r>
    </w:p>
    <w:p w14:paraId="7C28E182" w14:textId="77777777" w:rsidR="00C807D5" w:rsidRPr="00BD1319" w:rsidRDefault="00C807D5" w:rsidP="00C807D5">
      <w:pPr>
        <w:suppressAutoHyphens/>
      </w:pPr>
    </w:p>
    <w:p w14:paraId="2E80FA83" w14:textId="5E6DC25B" w:rsidR="00AA4F93" w:rsidRPr="00BD1319" w:rsidRDefault="00AA4F93" w:rsidP="00F67F83">
      <w:pPr>
        <w:numPr>
          <w:ilvl w:val="0"/>
          <w:numId w:val="19"/>
        </w:numPr>
        <w:suppressAutoHyphens/>
        <w:ind w:left="567" w:hanging="567"/>
      </w:pPr>
      <w:r w:rsidRPr="00BD1319">
        <w:rPr>
          <w:b/>
        </w:rPr>
        <w:t>Medida de prevención</w:t>
      </w:r>
      <w:r w:rsidRPr="00BD1319">
        <w:t xml:space="preserve">: </w:t>
      </w:r>
      <w:r w:rsidR="00620972" w:rsidRPr="00BD1319">
        <w:t>acci</w:t>
      </w:r>
      <w:r w:rsidR="0080177D" w:rsidRPr="00BD1319">
        <w:t>ó</w:t>
      </w:r>
      <w:r w:rsidR="00620972" w:rsidRPr="00BD1319">
        <w:t>n</w:t>
      </w:r>
      <w:r w:rsidRPr="00BD1319">
        <w:t xml:space="preserve"> encaminad</w:t>
      </w:r>
      <w:r w:rsidR="004A33E2" w:rsidRPr="00BD1319">
        <w:t>a</w:t>
      </w:r>
      <w:r w:rsidRPr="00BD1319">
        <w:t xml:space="preserve"> </w:t>
      </w:r>
      <w:r w:rsidR="00F67F83" w:rsidRPr="00BD1319">
        <w:t>a evitar los impactos y efectos negativos que pueda generar un proyecto, obra o actividad sobre el ambiente</w:t>
      </w:r>
      <w:r w:rsidRPr="00BD1319">
        <w:t>.</w:t>
      </w:r>
      <w:r w:rsidR="00263454" w:rsidRPr="00BD1319">
        <w:t xml:space="preserve"> </w:t>
      </w:r>
      <w:r w:rsidR="00263454" w:rsidRPr="00BD1319">
        <w:rPr>
          <w:vertAlign w:val="superscript"/>
        </w:rPr>
        <w:t>[</w:t>
      </w:r>
      <w:r w:rsidR="00263454" w:rsidRPr="00BD1319">
        <w:rPr>
          <w:vertAlign w:val="superscript"/>
        </w:rPr>
        <w:fldChar w:fldCharType="begin"/>
      </w:r>
      <w:r w:rsidR="00263454" w:rsidRPr="00BD1319">
        <w:rPr>
          <w:vertAlign w:val="superscript"/>
        </w:rPr>
        <w:instrText xml:space="preserve"> NOTEREF _Ref44839840 \h </w:instrText>
      </w:r>
      <w:r w:rsidR="006A4128" w:rsidRPr="00BD1319">
        <w:rPr>
          <w:vertAlign w:val="superscript"/>
        </w:rPr>
        <w:instrText xml:space="preserve"> \* MERGEFORMAT </w:instrText>
      </w:r>
      <w:r w:rsidR="00263454" w:rsidRPr="00BD1319">
        <w:rPr>
          <w:vertAlign w:val="superscript"/>
        </w:rPr>
      </w:r>
      <w:r w:rsidR="00263454" w:rsidRPr="00BD1319">
        <w:rPr>
          <w:vertAlign w:val="superscript"/>
        </w:rPr>
        <w:fldChar w:fldCharType="separate"/>
      </w:r>
      <w:r w:rsidR="00296654" w:rsidRPr="00BD1319">
        <w:rPr>
          <w:vertAlign w:val="superscript"/>
        </w:rPr>
        <w:t>1</w:t>
      </w:r>
      <w:r w:rsidR="00263454" w:rsidRPr="00BD1319">
        <w:rPr>
          <w:vertAlign w:val="superscript"/>
        </w:rPr>
        <w:fldChar w:fldCharType="end"/>
      </w:r>
      <w:r w:rsidR="00263454" w:rsidRPr="00BD1319">
        <w:rPr>
          <w:vertAlign w:val="superscript"/>
        </w:rPr>
        <w:t>]</w:t>
      </w:r>
    </w:p>
    <w:p w14:paraId="25172EA3" w14:textId="2003DC51" w:rsidR="00AA4F93" w:rsidRPr="00BD1319" w:rsidRDefault="00AA4F93" w:rsidP="009420F5"/>
    <w:p w14:paraId="4AC6CDDD" w14:textId="03C4A915" w:rsidR="00AA4F93" w:rsidRPr="00BD1319" w:rsidRDefault="00AA4F93" w:rsidP="00C86DA5">
      <w:pPr>
        <w:numPr>
          <w:ilvl w:val="0"/>
          <w:numId w:val="19"/>
        </w:numPr>
        <w:suppressAutoHyphens/>
        <w:ind w:left="567" w:hanging="567"/>
      </w:pPr>
      <w:r w:rsidRPr="00BD1319">
        <w:rPr>
          <w:b/>
        </w:rPr>
        <w:t>Medio</w:t>
      </w:r>
      <w:r w:rsidRPr="00BD1319">
        <w:t xml:space="preserve">: </w:t>
      </w:r>
      <w:r w:rsidR="00396B0B" w:rsidRPr="00BD1319">
        <w:t>d</w:t>
      </w:r>
      <w:r w:rsidR="00B06F49" w:rsidRPr="00BD1319">
        <w:t>ivisión</w:t>
      </w:r>
      <w:r w:rsidRPr="00BD1319">
        <w:t xml:space="preserve"> general que se realiza del ambiente para </w:t>
      </w:r>
      <w:r w:rsidR="00396B0B" w:rsidRPr="00BD1319">
        <w:rPr>
          <w:rFonts w:cs="Arial"/>
        </w:rPr>
        <w:t>facilitar</w:t>
      </w:r>
      <w:r w:rsidRPr="00BD1319">
        <w:t xml:space="preserve"> </w:t>
      </w:r>
      <w:r w:rsidR="008740E1" w:rsidRPr="00BD1319">
        <w:t>su</w:t>
      </w:r>
      <w:r w:rsidRPr="00BD1319">
        <w:t xml:space="preserve"> análisis y entendimiento. En el contexto de los estudios ambientales corresponde al abiótico, biótico </w:t>
      </w:r>
      <w:r w:rsidR="006C3432" w:rsidRPr="00BD1319">
        <w:t>o</w:t>
      </w:r>
      <w:r w:rsidRPr="00BD1319">
        <w:t xml:space="preserve"> socioeconómico.</w:t>
      </w:r>
    </w:p>
    <w:p w14:paraId="1D92379B" w14:textId="77777777" w:rsidR="00D9389C" w:rsidRPr="00BD1319" w:rsidRDefault="00D9389C" w:rsidP="00D9389C"/>
    <w:p w14:paraId="6EB46D31" w14:textId="5071DB20" w:rsidR="00D9389C" w:rsidRPr="00BD1319" w:rsidRDefault="00D9389C" w:rsidP="000D6E21">
      <w:pPr>
        <w:numPr>
          <w:ilvl w:val="0"/>
          <w:numId w:val="19"/>
        </w:numPr>
        <w:suppressAutoHyphens/>
        <w:ind w:left="567" w:hanging="567"/>
        <w:rPr>
          <w:bCs/>
        </w:rPr>
      </w:pPr>
      <w:r w:rsidRPr="00BD1319">
        <w:rPr>
          <w:b/>
        </w:rPr>
        <w:t>Medio de implementación</w:t>
      </w:r>
      <w:r w:rsidRPr="00BD1319">
        <w:rPr>
          <w:bCs/>
        </w:rPr>
        <w:t xml:space="preserve">: </w:t>
      </w:r>
      <w:r w:rsidR="001A1DAB" w:rsidRPr="00BD1319">
        <w:rPr>
          <w:bCs/>
        </w:rPr>
        <w:t>e</w:t>
      </w:r>
      <w:r w:rsidRPr="00BD1319">
        <w:rPr>
          <w:bCs/>
        </w:rPr>
        <w:t>n términos de la Convención Marco de las Naciones Unidas sobre el Cambio Climático, CMNUCC, los medios de implementación son las herramientas que permitirán la puesta en funcionamiento de acciones de mitigación y adaptación al cambio climático, tales como el financiamiento, la transferencia de tecnología y la construcción de capacidades, entre otros.</w:t>
      </w:r>
      <w:r w:rsidR="000B0F18" w:rsidRPr="00BD1319">
        <w:rPr>
          <w:bCs/>
        </w:rPr>
        <w:t xml:space="preserve"> </w:t>
      </w:r>
      <w:r w:rsidR="000B0F18" w:rsidRPr="00BD1319">
        <w:rPr>
          <w:rFonts w:cs="Arial"/>
          <w:vertAlign w:val="superscript"/>
        </w:rPr>
        <w:t>[</w:t>
      </w:r>
      <w:r w:rsidR="000B0F18" w:rsidRPr="00BD1319">
        <w:rPr>
          <w:rFonts w:cs="Arial"/>
          <w:vertAlign w:val="superscript"/>
        </w:rPr>
        <w:fldChar w:fldCharType="begin"/>
      </w:r>
      <w:r w:rsidR="000B0F18" w:rsidRPr="00BD1319">
        <w:rPr>
          <w:rFonts w:cs="Arial"/>
          <w:vertAlign w:val="superscript"/>
        </w:rPr>
        <w:instrText xml:space="preserve"> NOTEREF _Ref44840425 \h  \* MERGEFORMAT </w:instrText>
      </w:r>
      <w:r w:rsidR="000B0F18" w:rsidRPr="00BD1319">
        <w:rPr>
          <w:rFonts w:cs="Arial"/>
          <w:vertAlign w:val="superscript"/>
        </w:rPr>
      </w:r>
      <w:r w:rsidR="000B0F18" w:rsidRPr="00BD1319">
        <w:rPr>
          <w:rFonts w:cs="Arial"/>
          <w:vertAlign w:val="superscript"/>
        </w:rPr>
        <w:fldChar w:fldCharType="separate"/>
      </w:r>
      <w:r w:rsidR="00296654" w:rsidRPr="00BD1319">
        <w:rPr>
          <w:rFonts w:cs="Arial"/>
          <w:vertAlign w:val="superscript"/>
        </w:rPr>
        <w:t>2</w:t>
      </w:r>
      <w:r w:rsidR="000B0F18" w:rsidRPr="00BD1319">
        <w:rPr>
          <w:rFonts w:cs="Arial"/>
          <w:vertAlign w:val="superscript"/>
        </w:rPr>
        <w:fldChar w:fldCharType="end"/>
      </w:r>
      <w:r w:rsidR="000B0F18" w:rsidRPr="00BD1319">
        <w:rPr>
          <w:rFonts w:cs="Arial"/>
          <w:vertAlign w:val="superscript"/>
        </w:rPr>
        <w:t>]</w:t>
      </w:r>
    </w:p>
    <w:p w14:paraId="47D47D7D" w14:textId="77777777" w:rsidR="00AA4F93" w:rsidRPr="00BD1319" w:rsidRDefault="00AA4F93" w:rsidP="009420F5"/>
    <w:p w14:paraId="3DDEF4F5" w14:textId="548342DB" w:rsidR="00AA4F93" w:rsidRPr="00BD1319" w:rsidRDefault="00AA4F93" w:rsidP="00456AB1">
      <w:pPr>
        <w:numPr>
          <w:ilvl w:val="0"/>
          <w:numId w:val="19"/>
        </w:numPr>
        <w:suppressAutoHyphens/>
        <w:ind w:left="567" w:hanging="567"/>
        <w:rPr>
          <w:rFonts w:cs="Arial"/>
        </w:rPr>
      </w:pPr>
      <w:r w:rsidRPr="00BD1319">
        <w:rPr>
          <w:rFonts w:cs="Arial"/>
          <w:b/>
        </w:rPr>
        <w:t>Metadato</w:t>
      </w:r>
      <w:r w:rsidRPr="00BD1319">
        <w:rPr>
          <w:rFonts w:cs="Arial"/>
        </w:rPr>
        <w:t xml:space="preserve">: </w:t>
      </w:r>
      <w:r w:rsidR="0080177D" w:rsidRPr="00BD1319">
        <w:rPr>
          <w:rFonts w:cs="Arial"/>
        </w:rPr>
        <w:t>datos acerca del contenido, calidad, condición u otras características de los datos</w:t>
      </w:r>
      <w:r w:rsidR="006A5D01" w:rsidRPr="00BD1319">
        <w:rPr>
          <w:rFonts w:cs="Arial"/>
        </w:rPr>
        <w:t>.</w:t>
      </w:r>
      <w:r w:rsidR="00CF2BB6" w:rsidRPr="00BD1319">
        <w:rPr>
          <w:rFonts w:cs="Arial"/>
        </w:rPr>
        <w:t xml:space="preserve"> </w:t>
      </w:r>
      <w:r w:rsidR="00CF2BB6" w:rsidRPr="00BD1319">
        <w:rPr>
          <w:rFonts w:cs="Arial"/>
          <w:vertAlign w:val="superscript"/>
        </w:rPr>
        <w:t>[</w:t>
      </w:r>
      <w:r w:rsidRPr="00BD1319">
        <w:rPr>
          <w:rStyle w:val="Refdenotaalfinal"/>
          <w:rFonts w:cs="Arial"/>
        </w:rPr>
        <w:endnoteReference w:id="32"/>
      </w:r>
      <w:r w:rsidR="00CF2BB6" w:rsidRPr="00BD1319">
        <w:rPr>
          <w:rFonts w:cs="Arial"/>
          <w:vertAlign w:val="superscript"/>
        </w:rPr>
        <w:t>]</w:t>
      </w:r>
    </w:p>
    <w:p w14:paraId="2D683EF6" w14:textId="77777777" w:rsidR="00AA4F93" w:rsidRPr="00BD1319" w:rsidRDefault="00AA4F93" w:rsidP="009420F5">
      <w:pPr>
        <w:suppressAutoHyphens/>
        <w:rPr>
          <w:rFonts w:cs="Arial"/>
        </w:rPr>
      </w:pPr>
    </w:p>
    <w:p w14:paraId="134422AF" w14:textId="2E27933D" w:rsidR="00AA4F93" w:rsidRPr="00BD1319" w:rsidRDefault="00AA4F93" w:rsidP="00C86DA5">
      <w:pPr>
        <w:pStyle w:val="Prrafodelista"/>
        <w:numPr>
          <w:ilvl w:val="0"/>
          <w:numId w:val="19"/>
        </w:numPr>
        <w:suppressAutoHyphens/>
        <w:spacing w:line="259" w:lineRule="auto"/>
        <w:ind w:left="567" w:hanging="567"/>
        <w:rPr>
          <w:rFonts w:cs="Arial"/>
          <w:lang w:val="es-CO"/>
        </w:rPr>
      </w:pPr>
      <w:r w:rsidRPr="00BD1319">
        <w:rPr>
          <w:rFonts w:cs="Arial"/>
          <w:b/>
          <w:lang w:val="es-CO"/>
        </w:rPr>
        <w:t>Mitigación de gases de efecto invernadero</w:t>
      </w:r>
      <w:r w:rsidRPr="00BD1319">
        <w:rPr>
          <w:rFonts w:cs="Arial"/>
          <w:lang w:val="es-CO"/>
        </w:rPr>
        <w:t xml:space="preserve">: </w:t>
      </w:r>
      <w:r w:rsidR="002A76FD" w:rsidRPr="00BD1319">
        <w:rPr>
          <w:rFonts w:cs="Arial"/>
          <w:lang w:val="es-CO"/>
        </w:rPr>
        <w:t xml:space="preserve">gestión que busca reducir los niveles de emisiones de gases de efecto invernadero en la atmósfera a través de la limitación o disminución de las fuentes de emisiones de gases de efecto invernadero y el aumento o mejora de los sumideros y reservas de gases de efecto invernadero. </w:t>
      </w:r>
      <w:r w:rsidR="00CF2BB6" w:rsidRPr="00BD1319">
        <w:rPr>
          <w:rFonts w:cs="Arial"/>
          <w:vertAlign w:val="superscript"/>
          <w:lang w:val="es-CO"/>
        </w:rPr>
        <w:t>[</w:t>
      </w:r>
      <w:r w:rsidR="00FB1D69" w:rsidRPr="00BD1319">
        <w:rPr>
          <w:rFonts w:cs="Arial"/>
          <w:vertAlign w:val="superscript"/>
          <w:lang w:val="es-CO"/>
        </w:rPr>
        <w:fldChar w:fldCharType="begin"/>
      </w:r>
      <w:r w:rsidR="00FB1D69" w:rsidRPr="00BD1319">
        <w:rPr>
          <w:rFonts w:cs="Arial"/>
          <w:vertAlign w:val="superscript"/>
          <w:lang w:val="es-CO"/>
        </w:rPr>
        <w:instrText xml:space="preserve"> NOTEREF _Ref44840425 \h </w:instrText>
      </w:r>
      <w:r w:rsidR="006A4128" w:rsidRPr="00BD1319">
        <w:rPr>
          <w:rFonts w:cs="Arial"/>
          <w:vertAlign w:val="superscript"/>
          <w:lang w:val="es-CO"/>
        </w:rPr>
        <w:instrText xml:space="preserve"> \* MERGEFORMAT </w:instrText>
      </w:r>
      <w:r w:rsidR="00FB1D69" w:rsidRPr="00BD1319">
        <w:rPr>
          <w:rFonts w:cs="Arial"/>
          <w:vertAlign w:val="superscript"/>
          <w:lang w:val="es-CO"/>
        </w:rPr>
      </w:r>
      <w:r w:rsidR="00FB1D69" w:rsidRPr="00BD1319">
        <w:rPr>
          <w:rFonts w:cs="Arial"/>
          <w:vertAlign w:val="superscript"/>
          <w:lang w:val="es-CO"/>
        </w:rPr>
        <w:fldChar w:fldCharType="separate"/>
      </w:r>
      <w:r w:rsidR="00296654" w:rsidRPr="00BD1319">
        <w:rPr>
          <w:rFonts w:cs="Arial"/>
          <w:vertAlign w:val="superscript"/>
          <w:lang w:val="es-CO"/>
        </w:rPr>
        <w:t>2</w:t>
      </w:r>
      <w:r w:rsidR="00FB1D69" w:rsidRPr="00BD1319">
        <w:rPr>
          <w:rFonts w:cs="Arial"/>
          <w:vertAlign w:val="superscript"/>
          <w:lang w:val="es-CO"/>
        </w:rPr>
        <w:fldChar w:fldCharType="end"/>
      </w:r>
      <w:r w:rsidR="00CF2BB6" w:rsidRPr="00BD1319">
        <w:rPr>
          <w:rFonts w:cs="Arial"/>
          <w:vertAlign w:val="superscript"/>
          <w:lang w:val="es-CO"/>
        </w:rPr>
        <w:t>]</w:t>
      </w:r>
    </w:p>
    <w:p w14:paraId="37F359B5" w14:textId="77777777" w:rsidR="00AA4F93" w:rsidRPr="00BD1319" w:rsidRDefault="00AA4F93" w:rsidP="009420F5">
      <w:pPr>
        <w:rPr>
          <w:rFonts w:cs="Arial"/>
        </w:rPr>
      </w:pPr>
    </w:p>
    <w:p w14:paraId="0DC54F32" w14:textId="537D8F08" w:rsidR="00AA4F93" w:rsidRPr="00BD1319" w:rsidRDefault="00AA4F93" w:rsidP="00C86DA5">
      <w:pPr>
        <w:numPr>
          <w:ilvl w:val="0"/>
          <w:numId w:val="19"/>
        </w:numPr>
        <w:suppressAutoHyphens/>
        <w:ind w:left="567" w:hanging="567"/>
      </w:pPr>
      <w:r w:rsidRPr="00BD1319">
        <w:rPr>
          <w:b/>
        </w:rPr>
        <w:t>Mitigación del riesgo</w:t>
      </w:r>
      <w:r w:rsidRPr="00BD1319">
        <w:t xml:space="preserve">: </w:t>
      </w:r>
      <w:r w:rsidR="00FC0554" w:rsidRPr="00BD1319">
        <w:t>conjunto</w:t>
      </w:r>
      <w:r w:rsidRPr="00BD1319">
        <w:t xml:space="preserve"> de medidas de</w:t>
      </w:r>
      <w:r w:rsidR="00040EA8" w:rsidRPr="00BD1319">
        <w:t xml:space="preserve"> </w:t>
      </w:r>
      <w:r w:rsidRPr="00BD1319">
        <w:t>intervención pr</w:t>
      </w:r>
      <w:r w:rsidR="003705E9" w:rsidRPr="00BD1319">
        <w:t>o</w:t>
      </w:r>
      <w:r w:rsidRPr="00BD1319">
        <w:t>s</w:t>
      </w:r>
      <w:r w:rsidR="003705E9" w:rsidRPr="00BD1319">
        <w:t>pectivas</w:t>
      </w:r>
      <w:r w:rsidRPr="00BD1319">
        <w:t xml:space="preserve"> o correctiva</w:t>
      </w:r>
      <w:r w:rsidR="003705E9" w:rsidRPr="00BD1319">
        <w:t>s</w:t>
      </w:r>
      <w:r w:rsidRPr="00BD1319">
        <w:t xml:space="preserve"> dirigidas a reducir o disminuir los daños y pérdidas que se puedan presentar a través de reglamentos de seguridad y proyectos de inversión pública o privada cuyo objetivo es reducir las condiciones de amenaza, cuando sea posible, y la vulnerabilidad existente</w:t>
      </w:r>
      <w:r w:rsidR="00761FEE" w:rsidRPr="00BD1319">
        <w:t>.</w:t>
      </w:r>
      <w:r w:rsidR="007C2A47" w:rsidRPr="00BD1319">
        <w:t xml:space="preserve"> </w:t>
      </w:r>
      <w:r w:rsidR="00CF2BB6" w:rsidRPr="00BD1319">
        <w:rPr>
          <w:vertAlign w:val="superscript"/>
        </w:rPr>
        <w:t>[</w:t>
      </w:r>
      <w:r w:rsidR="00FB1D69" w:rsidRPr="00BD1319">
        <w:rPr>
          <w:vertAlign w:val="superscript"/>
        </w:rPr>
        <w:fldChar w:fldCharType="begin"/>
      </w:r>
      <w:r w:rsidR="00FB1D69" w:rsidRPr="00BD1319">
        <w:rPr>
          <w:vertAlign w:val="superscript"/>
        </w:rPr>
        <w:instrText xml:space="preserve"> NOTEREF _Ref44841712 \h </w:instrText>
      </w:r>
      <w:r w:rsidR="006A4128" w:rsidRPr="00BD1319">
        <w:rPr>
          <w:vertAlign w:val="superscript"/>
        </w:rPr>
        <w:instrText xml:space="preserve"> \* MERGEFORMAT </w:instrText>
      </w:r>
      <w:r w:rsidR="00FB1D69" w:rsidRPr="00BD1319">
        <w:rPr>
          <w:vertAlign w:val="superscript"/>
        </w:rPr>
      </w:r>
      <w:r w:rsidR="00FB1D69" w:rsidRPr="00BD1319">
        <w:rPr>
          <w:vertAlign w:val="superscript"/>
        </w:rPr>
        <w:fldChar w:fldCharType="separate"/>
      </w:r>
      <w:r w:rsidR="00296654" w:rsidRPr="00BD1319">
        <w:rPr>
          <w:vertAlign w:val="superscript"/>
        </w:rPr>
        <w:t>6</w:t>
      </w:r>
      <w:r w:rsidR="00FB1D69" w:rsidRPr="00BD1319">
        <w:rPr>
          <w:vertAlign w:val="superscript"/>
        </w:rPr>
        <w:fldChar w:fldCharType="end"/>
      </w:r>
      <w:r w:rsidR="00CF2BB6" w:rsidRPr="00BD1319">
        <w:rPr>
          <w:vertAlign w:val="superscript"/>
        </w:rPr>
        <w:t>]</w:t>
      </w:r>
    </w:p>
    <w:p w14:paraId="657BEDDB" w14:textId="77777777" w:rsidR="00AA4F93" w:rsidRPr="00BD1319" w:rsidRDefault="00AA4F93" w:rsidP="009420F5">
      <w:pPr>
        <w:suppressAutoHyphens/>
        <w:rPr>
          <w:rFonts w:cs="Arial"/>
        </w:rPr>
      </w:pPr>
    </w:p>
    <w:p w14:paraId="5E60C957" w14:textId="09C56590" w:rsidR="00AA4F93" w:rsidRPr="00BD1319" w:rsidRDefault="00AA4F93" w:rsidP="00456AB1">
      <w:pPr>
        <w:numPr>
          <w:ilvl w:val="0"/>
          <w:numId w:val="19"/>
        </w:numPr>
        <w:suppressAutoHyphens/>
        <w:ind w:left="567" w:hanging="567"/>
        <w:rPr>
          <w:rFonts w:cs="Arial"/>
        </w:rPr>
      </w:pPr>
      <w:r w:rsidRPr="00BD1319">
        <w:rPr>
          <w:rFonts w:cs="Arial"/>
          <w:b/>
        </w:rPr>
        <w:lastRenderedPageBreak/>
        <w:t>Modelo de almacenamiento geográfico</w:t>
      </w:r>
      <w:r w:rsidRPr="00BD1319">
        <w:rPr>
          <w:rFonts w:cs="Arial"/>
        </w:rPr>
        <w:t xml:space="preserve">: descripción conceptual de las entidades geográficas del mundo real con sus características; </w:t>
      </w:r>
      <w:r w:rsidR="00554813" w:rsidRPr="00BD1319">
        <w:rPr>
          <w:rFonts w:cs="Arial"/>
        </w:rPr>
        <w:t>s</w:t>
      </w:r>
      <w:r w:rsidR="00E515F8" w:rsidRPr="00BD1319">
        <w:rPr>
          <w:rFonts w:cs="Arial"/>
        </w:rPr>
        <w:t xml:space="preserve">eñala </w:t>
      </w:r>
      <w:r w:rsidRPr="00BD1319">
        <w:rPr>
          <w:rFonts w:cs="Arial"/>
        </w:rPr>
        <w:t xml:space="preserve">la forma en que deben </w:t>
      </w:r>
      <w:r w:rsidR="00920A8F" w:rsidRPr="00BD1319">
        <w:rPr>
          <w:rFonts w:cs="Arial"/>
        </w:rPr>
        <w:t>presentarse</w:t>
      </w:r>
      <w:r w:rsidRPr="00BD1319">
        <w:rPr>
          <w:rFonts w:cs="Arial"/>
        </w:rPr>
        <w:t xml:space="preserve">, </w:t>
      </w:r>
      <w:r w:rsidR="4A0B09C6" w:rsidRPr="00BD1319">
        <w:rPr>
          <w:rFonts w:cs="Arial"/>
        </w:rPr>
        <w:t xml:space="preserve">así como </w:t>
      </w:r>
      <w:r w:rsidRPr="00BD1319">
        <w:rPr>
          <w:rFonts w:cs="Arial"/>
        </w:rPr>
        <w:t xml:space="preserve">el modo y posibles relaciones entre </w:t>
      </w:r>
      <w:r w:rsidR="00CF476B" w:rsidRPr="00BD1319">
        <w:rPr>
          <w:rFonts w:cs="Arial"/>
        </w:rPr>
        <w:t>ellas,</w:t>
      </w:r>
      <w:r w:rsidRPr="00BD1319">
        <w:rPr>
          <w:rFonts w:cs="Arial"/>
        </w:rPr>
        <w:t xml:space="preserve"> optimi</w:t>
      </w:r>
      <w:r w:rsidR="00CF476B" w:rsidRPr="00BD1319">
        <w:rPr>
          <w:rFonts w:cs="Arial"/>
        </w:rPr>
        <w:t>zando</w:t>
      </w:r>
      <w:r w:rsidRPr="00BD1319">
        <w:rPr>
          <w:rFonts w:cs="Arial"/>
        </w:rPr>
        <w:t xml:space="preserve"> su almacenamiento y utilización. </w:t>
      </w:r>
      <w:r w:rsidR="001F2399" w:rsidRPr="00BD1319">
        <w:rPr>
          <w:rFonts w:cs="Arial"/>
        </w:rPr>
        <w:t>C</w:t>
      </w:r>
      <w:r w:rsidRPr="00BD1319">
        <w:rPr>
          <w:rFonts w:cs="Arial"/>
        </w:rPr>
        <w:t>ontempla la información geográfica (objetos geográficos) y alfanumérica (atributos) en varios tipos de datos.</w:t>
      </w:r>
    </w:p>
    <w:p w14:paraId="42190631" w14:textId="77777777" w:rsidR="00AA4F93" w:rsidRPr="00BD1319" w:rsidRDefault="00AA4F93" w:rsidP="009420F5">
      <w:pPr>
        <w:rPr>
          <w:rFonts w:cs="Arial"/>
        </w:rPr>
      </w:pPr>
    </w:p>
    <w:p w14:paraId="550F5BBE" w14:textId="37499C36" w:rsidR="00AA4F93" w:rsidRPr="00BD1319" w:rsidRDefault="00AA4F93" w:rsidP="009420F5">
      <w:pPr>
        <w:numPr>
          <w:ilvl w:val="0"/>
          <w:numId w:val="19"/>
        </w:numPr>
        <w:suppressAutoHyphens/>
        <w:ind w:left="567" w:hanging="567"/>
        <w:rPr>
          <w:rFonts w:cs="Arial"/>
          <w:color w:val="000000"/>
        </w:rPr>
      </w:pPr>
      <w:r w:rsidRPr="00BD1319">
        <w:rPr>
          <w:rFonts w:cs="Arial"/>
          <w:b/>
        </w:rPr>
        <w:t>Municipio</w:t>
      </w:r>
      <w:r w:rsidRPr="00BD1319">
        <w:rPr>
          <w:rFonts w:cs="Arial"/>
        </w:rPr>
        <w:t>:</w:t>
      </w:r>
      <w:r w:rsidRPr="00BD1319">
        <w:rPr>
          <w:rFonts w:cs="Arial"/>
          <w:color w:val="000000"/>
        </w:rPr>
        <w:t xml:space="preserve"> </w:t>
      </w:r>
      <w:r w:rsidR="005160E6" w:rsidRPr="00BD1319">
        <w:rPr>
          <w:rFonts w:cs="Arial"/>
          <w:color w:val="000000"/>
        </w:rPr>
        <w:t>entidad fundamental de la división político-administrativa del Estado que le corresponde prestar los servicios públicos que determine la Ley, construir las obras que demande el progreso local, ordenar el desarrollo de su territorio, promover la participación comunitaria, el mejoramiento social y cultural de sus habitantes y cumplir las demás funciones que le asignen la Constitución y las Leyes</w:t>
      </w:r>
      <w:r w:rsidR="00761FEE" w:rsidRPr="00BD1319">
        <w:rPr>
          <w:rFonts w:cs="Arial"/>
          <w:color w:val="000000"/>
        </w:rPr>
        <w:t xml:space="preserve">. </w:t>
      </w:r>
      <w:r w:rsidR="00CF2BB6" w:rsidRPr="00BD1319">
        <w:rPr>
          <w:rFonts w:cs="Arial"/>
          <w:color w:val="000000"/>
          <w:vertAlign w:val="superscript"/>
        </w:rPr>
        <w:t>[</w:t>
      </w:r>
      <w:bookmarkStart w:id="35" w:name="_Ref44846120"/>
      <w:r w:rsidR="00AA2699" w:rsidRPr="00BD1319">
        <w:rPr>
          <w:rStyle w:val="Refdenotaalfinal"/>
          <w:rFonts w:cs="Arial"/>
          <w:color w:val="000000"/>
        </w:rPr>
        <w:endnoteReference w:id="33"/>
      </w:r>
      <w:bookmarkEnd w:id="35"/>
      <w:r w:rsidR="00CF2BB6" w:rsidRPr="00BD1319">
        <w:rPr>
          <w:rFonts w:cs="Arial"/>
          <w:color w:val="000000"/>
          <w:vertAlign w:val="superscript"/>
        </w:rPr>
        <w:t>]</w:t>
      </w:r>
    </w:p>
    <w:p w14:paraId="493F6EFA" w14:textId="77777777" w:rsidR="00AA4F93" w:rsidRPr="00BD1319" w:rsidRDefault="00AA4F93" w:rsidP="009420F5">
      <w:pPr>
        <w:rPr>
          <w:color w:val="000000"/>
        </w:rPr>
      </w:pPr>
    </w:p>
    <w:p w14:paraId="21913654" w14:textId="24384B6E" w:rsidR="00AA4F93" w:rsidRPr="00BD1319" w:rsidRDefault="00AA4F93" w:rsidP="00C86DA5">
      <w:pPr>
        <w:numPr>
          <w:ilvl w:val="0"/>
          <w:numId w:val="19"/>
        </w:numPr>
        <w:suppressAutoHyphens/>
        <w:ind w:left="567" w:hanging="567"/>
      </w:pPr>
      <w:r w:rsidRPr="00BD1319">
        <w:rPr>
          <w:b/>
        </w:rPr>
        <w:t>Nivel de riesgo</w:t>
      </w:r>
      <w:r w:rsidRPr="00BD1319">
        <w:t xml:space="preserve">: </w:t>
      </w:r>
      <w:r w:rsidR="00F132A6" w:rsidRPr="00BD1319">
        <w:t>magnitud</w:t>
      </w:r>
      <w:r w:rsidRPr="00BD1319">
        <w:t xml:space="preserve"> de un riesgo o de una combinación de riesgos, expresada en términos de la combinación de las consecuencias y su probabilidad</w:t>
      </w:r>
      <w:r w:rsidR="006A5D01" w:rsidRPr="00BD1319">
        <w:t>.</w:t>
      </w:r>
      <w:r w:rsidR="00CF2BB6" w:rsidRPr="00BD1319">
        <w:t xml:space="preserve"> </w:t>
      </w:r>
      <w:r w:rsidR="00CF2BB6" w:rsidRPr="00BD1319">
        <w:rPr>
          <w:vertAlign w:val="superscript"/>
        </w:rPr>
        <w:t>[</w:t>
      </w:r>
      <w:r w:rsidRPr="00BD1319">
        <w:rPr>
          <w:color w:val="000000" w:themeColor="text1"/>
          <w:vertAlign w:val="superscript"/>
        </w:rPr>
        <w:endnoteReference w:id="34"/>
      </w:r>
      <w:r w:rsidR="00CF2BB6" w:rsidRPr="00BD1319">
        <w:rPr>
          <w:vertAlign w:val="superscript"/>
        </w:rPr>
        <w:t>]</w:t>
      </w:r>
    </w:p>
    <w:p w14:paraId="1C709598" w14:textId="57306780" w:rsidR="00AA4F93" w:rsidRPr="00BD1319" w:rsidRDefault="00AA4F93" w:rsidP="009420F5">
      <w:pPr>
        <w:tabs>
          <w:tab w:val="left" w:pos="-3828"/>
        </w:tabs>
        <w:suppressAutoHyphens/>
        <w:rPr>
          <w:spacing w:val="-2"/>
        </w:rPr>
      </w:pPr>
    </w:p>
    <w:p w14:paraId="26279B19" w14:textId="6F5DAF02" w:rsidR="00AA4F93" w:rsidRPr="00BD1319" w:rsidRDefault="00AA4F93" w:rsidP="00456AB1">
      <w:pPr>
        <w:numPr>
          <w:ilvl w:val="0"/>
          <w:numId w:val="19"/>
        </w:numPr>
        <w:suppressAutoHyphens/>
        <w:ind w:left="567" w:hanging="567"/>
        <w:rPr>
          <w:rFonts w:cs="Arial"/>
        </w:rPr>
      </w:pPr>
      <w:r w:rsidRPr="00BD1319">
        <w:rPr>
          <w:rFonts w:cs="Arial"/>
          <w:b/>
        </w:rPr>
        <w:t>Paisaje</w:t>
      </w:r>
      <w:r w:rsidRPr="00BD1319">
        <w:rPr>
          <w:rFonts w:cs="Arial"/>
        </w:rPr>
        <w:t xml:space="preserve">: </w:t>
      </w:r>
      <w:r w:rsidR="0088212E" w:rsidRPr="00BD1319">
        <w:rPr>
          <w:rFonts w:cs="Arial"/>
        </w:rPr>
        <w:t>á</w:t>
      </w:r>
      <w:r w:rsidRPr="00BD1319">
        <w:rPr>
          <w:rFonts w:cs="Arial"/>
        </w:rPr>
        <w:t xml:space="preserve">rea de tierra </w:t>
      </w:r>
      <w:r w:rsidR="00B92028" w:rsidRPr="00BD1319">
        <w:rPr>
          <w:rFonts w:cs="Arial"/>
        </w:rPr>
        <w:t xml:space="preserve">que visualmente refleja la interacción de distintos factores (abióticos, bióticos, antrópicos), expresados a través de un conjunto de unidades homogéneas que interactúan entre sí, que son reconocibles y diferenciables de acuerdo con la escala de análisis </w:t>
      </w:r>
      <w:r w:rsidR="008B4E79" w:rsidRPr="00BD1319">
        <w:rPr>
          <w:rFonts w:cs="Arial"/>
        </w:rPr>
        <w:t>espaciotemporal</w:t>
      </w:r>
      <w:r w:rsidR="00B92028" w:rsidRPr="00BD1319">
        <w:rPr>
          <w:rFonts w:cs="Arial"/>
        </w:rPr>
        <w:t>.</w:t>
      </w:r>
      <w:r w:rsidR="00CF2BB6" w:rsidRPr="00BD1319">
        <w:rPr>
          <w:rFonts w:cs="Arial"/>
        </w:rPr>
        <w:t xml:space="preserve"> </w:t>
      </w:r>
      <w:r w:rsidR="00CF2BB6" w:rsidRPr="00BD1319">
        <w:rPr>
          <w:rFonts w:cs="Arial"/>
          <w:vertAlign w:val="superscript"/>
        </w:rPr>
        <w:t>[</w:t>
      </w:r>
      <w:r w:rsidR="00B92028" w:rsidRPr="00BD1319">
        <w:rPr>
          <w:rStyle w:val="Refdenotaalfinal"/>
          <w:rFonts w:cs="Arial"/>
        </w:rPr>
        <w:endnoteReference w:id="35"/>
      </w:r>
      <w:r w:rsidR="00CF2BB6" w:rsidRPr="00BD1319">
        <w:rPr>
          <w:rFonts w:cs="Arial"/>
          <w:vertAlign w:val="superscript"/>
        </w:rPr>
        <w:t>]</w:t>
      </w:r>
    </w:p>
    <w:p w14:paraId="5875CE5F" w14:textId="77777777" w:rsidR="00AA4F93" w:rsidRPr="00BD1319" w:rsidRDefault="00AA4F93" w:rsidP="009420F5">
      <w:pPr>
        <w:suppressAutoHyphens/>
        <w:rPr>
          <w:rFonts w:cs="Arial"/>
        </w:rPr>
      </w:pPr>
    </w:p>
    <w:p w14:paraId="3A7AE682" w14:textId="70C9E8B4" w:rsidR="00AA4F93" w:rsidRPr="00BD1319" w:rsidRDefault="00AA4F93" w:rsidP="00C86DA5">
      <w:pPr>
        <w:numPr>
          <w:ilvl w:val="0"/>
          <w:numId w:val="19"/>
        </w:numPr>
        <w:suppressAutoHyphens/>
        <w:ind w:left="567" w:hanging="567"/>
      </w:pPr>
      <w:r w:rsidRPr="00BD1319">
        <w:rPr>
          <w:b/>
        </w:rPr>
        <w:t>Parámetro ambiental</w:t>
      </w:r>
      <w:r w:rsidRPr="00BD1319">
        <w:t xml:space="preserve">: </w:t>
      </w:r>
      <w:r w:rsidR="00F1741D" w:rsidRPr="00BD1319">
        <w:t>valor</w:t>
      </w:r>
      <w:r w:rsidRPr="00BD1319">
        <w:t xml:space="preserve"> que </w:t>
      </w:r>
      <w:r w:rsidR="000866E4" w:rsidRPr="00BD1319">
        <w:t xml:space="preserve">permite describir alguna característica o propiedad </w:t>
      </w:r>
      <w:r w:rsidRPr="00BD1319">
        <w:t xml:space="preserve">de un </w:t>
      </w:r>
      <w:r w:rsidR="000866E4" w:rsidRPr="00BD1319">
        <w:t xml:space="preserve">recurso natural, </w:t>
      </w:r>
      <w:r w:rsidRPr="00BD1319">
        <w:t>proceso o fenómeno que ocurre en el ambiente</w:t>
      </w:r>
      <w:r w:rsidR="00554813" w:rsidRPr="00BD1319">
        <w:t>,</w:t>
      </w:r>
      <w:r w:rsidRPr="00BD1319">
        <w:rPr>
          <w:rFonts w:cs="Arial"/>
        </w:rPr>
        <w:t xml:space="preserve"> </w:t>
      </w:r>
      <w:r w:rsidR="000866E4" w:rsidRPr="00BD1319">
        <w:t>en un momento y lugar determinado,</w:t>
      </w:r>
      <w:r w:rsidR="000866E4" w:rsidRPr="00BD1319">
        <w:rPr>
          <w:rFonts w:cs="Arial"/>
        </w:rPr>
        <w:t xml:space="preserve"> </w:t>
      </w:r>
      <w:r w:rsidRPr="00BD1319">
        <w:rPr>
          <w:rFonts w:cs="Arial"/>
        </w:rPr>
        <w:t>por ejemplo</w:t>
      </w:r>
      <w:r w:rsidR="00554813" w:rsidRPr="00BD1319">
        <w:rPr>
          <w:rFonts w:cs="Arial"/>
        </w:rPr>
        <w:t>,</w:t>
      </w:r>
      <w:r w:rsidRPr="00BD1319">
        <w:rPr>
          <w:rFonts w:cs="Arial"/>
        </w:rPr>
        <w:t xml:space="preserve"> </w:t>
      </w:r>
      <w:r w:rsidR="00FD4E96" w:rsidRPr="00BD1319">
        <w:rPr>
          <w:rFonts w:cs="Arial"/>
        </w:rPr>
        <w:t>p</w:t>
      </w:r>
      <w:r w:rsidRPr="00BD1319">
        <w:rPr>
          <w:rFonts w:cs="Arial"/>
        </w:rPr>
        <w:t xml:space="preserve">H, </w:t>
      </w:r>
      <w:r w:rsidR="00FD4E96" w:rsidRPr="00BD1319">
        <w:rPr>
          <w:rFonts w:cs="Arial"/>
        </w:rPr>
        <w:t>c</w:t>
      </w:r>
      <w:r w:rsidRPr="00BD1319">
        <w:rPr>
          <w:rFonts w:cs="Arial"/>
        </w:rPr>
        <w:t>onductividad</w:t>
      </w:r>
      <w:r w:rsidR="00FD4E96" w:rsidRPr="00BD1319">
        <w:rPr>
          <w:rFonts w:cs="Arial"/>
        </w:rPr>
        <w:t xml:space="preserve"> eléctrica</w:t>
      </w:r>
      <w:r w:rsidRPr="00BD1319">
        <w:rPr>
          <w:rFonts w:cs="Arial"/>
        </w:rPr>
        <w:t xml:space="preserve">, </w:t>
      </w:r>
      <w:r w:rsidR="00FD4E96" w:rsidRPr="00BD1319">
        <w:rPr>
          <w:rFonts w:cs="Arial"/>
        </w:rPr>
        <w:t>t</w:t>
      </w:r>
      <w:r w:rsidR="00554813" w:rsidRPr="00BD1319">
        <w:rPr>
          <w:rFonts w:cs="Arial"/>
        </w:rPr>
        <w:t>emperatura</w:t>
      </w:r>
      <w:r w:rsidR="00CF476B" w:rsidRPr="00BD1319">
        <w:rPr>
          <w:rFonts w:cs="Arial"/>
        </w:rPr>
        <w:t>, densidad poblacional</w:t>
      </w:r>
      <w:r w:rsidR="004A617C" w:rsidRPr="00BD1319">
        <w:rPr>
          <w:rFonts w:cs="Arial"/>
        </w:rPr>
        <w:t>, grado de escolaridad, nivel socioeconómico</w:t>
      </w:r>
      <w:r w:rsidR="00554813" w:rsidRPr="00BD1319">
        <w:rPr>
          <w:rFonts w:cs="Arial"/>
        </w:rPr>
        <w:t xml:space="preserve">. </w:t>
      </w:r>
      <w:r w:rsidR="00CF2BB6" w:rsidRPr="00BD1319">
        <w:rPr>
          <w:rFonts w:cs="Arial"/>
          <w:vertAlign w:val="superscript"/>
        </w:rPr>
        <w:t>[</w:t>
      </w:r>
      <w:r w:rsidR="00554813" w:rsidRPr="00BD1319">
        <w:rPr>
          <w:rFonts w:cs="Arial"/>
          <w:vertAlign w:val="superscript"/>
        </w:rPr>
        <w:endnoteReference w:id="36"/>
      </w:r>
      <w:r w:rsidR="00CF2BB6" w:rsidRPr="00BD1319">
        <w:rPr>
          <w:rFonts w:cs="Arial"/>
          <w:vertAlign w:val="superscript"/>
        </w:rPr>
        <w:t>]</w:t>
      </w:r>
    </w:p>
    <w:p w14:paraId="3F1D8A64" w14:textId="77777777" w:rsidR="00DF7982" w:rsidRPr="00BD1319" w:rsidRDefault="00DF7982" w:rsidP="000D6E21">
      <w:pPr>
        <w:suppressAutoHyphens/>
      </w:pPr>
    </w:p>
    <w:p w14:paraId="0326A0DF" w14:textId="753FBF0C" w:rsidR="00AA4F93" w:rsidRPr="00BD1319" w:rsidRDefault="00AA4F93" w:rsidP="00C86DA5">
      <w:pPr>
        <w:numPr>
          <w:ilvl w:val="0"/>
          <w:numId w:val="19"/>
        </w:numPr>
        <w:suppressAutoHyphens/>
        <w:ind w:left="567" w:hanging="567"/>
      </w:pPr>
      <w:r w:rsidRPr="00BD1319">
        <w:rPr>
          <w:b/>
        </w:rPr>
        <w:t>Prevención de riesgo</w:t>
      </w:r>
      <w:r w:rsidRPr="00BD1319">
        <w:t xml:space="preserve">: </w:t>
      </w:r>
      <w:r w:rsidR="00E65FEC" w:rsidRPr="00BD1319">
        <w:t>medidas y acciones de intervención restrictiva o prospectiva dispuestas con anticipación con el fin de evitar que se genere riesgo. Puede enfocarse a evitar o neutralizar la amenaza o la exposición y la vulnerabilidad ante la misma en forma definitiva para impedir que se genere nuevo riesgo. Los instrumentos esenciales de la prevención son aquellos previstos en la planificación, la inversión pública y el ordenamiento ambiental territorial, que tienen como objetivo reglamentar el uso y la ocupación del suelo de forma segura y sostenible</w:t>
      </w:r>
      <w:r w:rsidR="00761FEE" w:rsidRPr="00BD1319">
        <w:t>.</w:t>
      </w:r>
      <w:r w:rsidR="00CF2BB6" w:rsidRPr="00BD1319">
        <w:t xml:space="preserve"> </w:t>
      </w:r>
      <w:r w:rsidR="00CF2BB6" w:rsidRPr="00BD1319">
        <w:rPr>
          <w:vertAlign w:val="superscript"/>
        </w:rPr>
        <w:t>[</w:t>
      </w:r>
      <w:r w:rsidR="005160E6" w:rsidRPr="00BD1319">
        <w:rPr>
          <w:vertAlign w:val="superscript"/>
        </w:rPr>
        <w:fldChar w:fldCharType="begin"/>
      </w:r>
      <w:r w:rsidR="005160E6" w:rsidRPr="00BD1319">
        <w:rPr>
          <w:vertAlign w:val="superscript"/>
        </w:rPr>
        <w:instrText xml:space="preserve"> NOTEREF _Ref44841712 \h </w:instrText>
      </w:r>
      <w:r w:rsidR="006A4128" w:rsidRPr="00BD1319">
        <w:rPr>
          <w:vertAlign w:val="superscript"/>
        </w:rPr>
        <w:instrText xml:space="preserve"> \* MERGEFORMAT </w:instrText>
      </w:r>
      <w:r w:rsidR="005160E6" w:rsidRPr="00BD1319">
        <w:rPr>
          <w:vertAlign w:val="superscript"/>
        </w:rPr>
      </w:r>
      <w:r w:rsidR="005160E6" w:rsidRPr="00BD1319">
        <w:rPr>
          <w:vertAlign w:val="superscript"/>
        </w:rPr>
        <w:fldChar w:fldCharType="separate"/>
      </w:r>
      <w:r w:rsidR="00296654" w:rsidRPr="00BD1319">
        <w:rPr>
          <w:vertAlign w:val="superscript"/>
        </w:rPr>
        <w:t>6</w:t>
      </w:r>
      <w:r w:rsidR="005160E6" w:rsidRPr="00BD1319">
        <w:rPr>
          <w:vertAlign w:val="superscript"/>
        </w:rPr>
        <w:fldChar w:fldCharType="end"/>
      </w:r>
      <w:r w:rsidR="00CF2BB6" w:rsidRPr="00BD1319">
        <w:rPr>
          <w:vertAlign w:val="superscript"/>
        </w:rPr>
        <w:t>]</w:t>
      </w:r>
    </w:p>
    <w:p w14:paraId="170775C1" w14:textId="77777777" w:rsidR="003D474D" w:rsidRPr="00BD1319" w:rsidRDefault="003D474D" w:rsidP="000D6E21">
      <w:pPr>
        <w:suppressAutoHyphens/>
      </w:pPr>
    </w:p>
    <w:p w14:paraId="1DE62476" w14:textId="77777777" w:rsidR="00FC1EF0" w:rsidRPr="00BD1319" w:rsidRDefault="00FC1EF0" w:rsidP="00FC1EF0">
      <w:pPr>
        <w:pStyle w:val="Prrafodelista"/>
        <w:numPr>
          <w:ilvl w:val="0"/>
          <w:numId w:val="19"/>
        </w:numPr>
        <w:spacing w:after="160" w:line="259" w:lineRule="auto"/>
        <w:ind w:left="567" w:hanging="567"/>
        <w:contextualSpacing/>
      </w:pPr>
      <w:proofErr w:type="spellStart"/>
      <w:r w:rsidRPr="00BD1319">
        <w:rPr>
          <w:b/>
          <w:bCs/>
        </w:rPr>
        <w:lastRenderedPageBreak/>
        <w:t>Provención</w:t>
      </w:r>
      <w:proofErr w:type="spellEnd"/>
      <w:r w:rsidRPr="00BD1319">
        <w:rPr>
          <w:b/>
          <w:bCs/>
        </w:rPr>
        <w:t xml:space="preserve"> de conflictos</w:t>
      </w:r>
      <w:r w:rsidRPr="00BD1319">
        <w:t xml:space="preserve">: conjunto de conocimientos y habilidades puestos en práctica para comprender e intervenir en la resolución pacífica y no violenta de los enfrentamientos entre dos o más personas. Lo que implica el desarrollo de las habilidades y actitudes necesarias para gestionar las diferencias en sus primeros estadios. Toda situación conflictiva genera violencia, entendida en sentido amplio. No solo como “el hecho físico de la agresión, sino como todo aquello que impida el desarrollo físico, moral y psíquico de un hombre hacia su autorrealización. </w:t>
      </w:r>
      <w:r w:rsidRPr="00BD1319">
        <w:rPr>
          <w:vertAlign w:val="superscript"/>
        </w:rPr>
        <w:t>[</w:t>
      </w:r>
      <w:r w:rsidRPr="00BD1319">
        <w:rPr>
          <w:vertAlign w:val="superscript"/>
        </w:rPr>
        <w:endnoteReference w:id="37"/>
      </w:r>
      <w:r w:rsidRPr="00BD1319">
        <w:rPr>
          <w:vertAlign w:val="superscript"/>
        </w:rPr>
        <w:t>]</w:t>
      </w:r>
    </w:p>
    <w:p w14:paraId="37FBCEF5" w14:textId="77777777" w:rsidR="004A7A4A" w:rsidRPr="00BD1319" w:rsidRDefault="004A7A4A" w:rsidP="009420F5">
      <w:pPr>
        <w:suppressAutoHyphens/>
      </w:pPr>
    </w:p>
    <w:p w14:paraId="68A25DF8" w14:textId="5BEA72B8" w:rsidR="004A7A4A" w:rsidRPr="00BD1319" w:rsidRDefault="004A7A4A" w:rsidP="004A7A4A">
      <w:pPr>
        <w:numPr>
          <w:ilvl w:val="0"/>
          <w:numId w:val="19"/>
        </w:numPr>
        <w:suppressAutoHyphens/>
        <w:ind w:left="567" w:hanging="567"/>
      </w:pPr>
      <w:r w:rsidRPr="00BD1319">
        <w:rPr>
          <w:b/>
        </w:rPr>
        <w:t xml:space="preserve">Rango de hogar (home </w:t>
      </w:r>
      <w:proofErr w:type="spellStart"/>
      <w:r w:rsidRPr="00BD1319">
        <w:rPr>
          <w:b/>
        </w:rPr>
        <w:t>range</w:t>
      </w:r>
      <w:proofErr w:type="spellEnd"/>
      <w:r w:rsidRPr="00BD1319">
        <w:rPr>
          <w:b/>
        </w:rPr>
        <w:t>):</w:t>
      </w:r>
      <w:r w:rsidRPr="00BD1319">
        <w:t xml:space="preserve"> área de actividad de un animal, en la cual diariamente realiza actividades como alimentación, apareamiento y cría</w:t>
      </w:r>
      <w:r w:rsidR="009E61B6" w:rsidRPr="00BD1319">
        <w:t>,</w:t>
      </w:r>
      <w:r w:rsidRPr="00BD1319">
        <w:t xml:space="preserve"> principalmente.</w:t>
      </w:r>
    </w:p>
    <w:p w14:paraId="6E3F68E1" w14:textId="77777777" w:rsidR="00CD33DB" w:rsidRPr="00BD1319" w:rsidRDefault="00CD33DB" w:rsidP="009420F5"/>
    <w:p w14:paraId="2ED5EF01" w14:textId="743477AF" w:rsidR="0000007B" w:rsidRPr="00BD1319" w:rsidRDefault="0000007B" w:rsidP="009420F5">
      <w:pPr>
        <w:pStyle w:val="Prrafodelista"/>
        <w:numPr>
          <w:ilvl w:val="0"/>
          <w:numId w:val="21"/>
        </w:numPr>
        <w:ind w:left="567" w:hanging="567"/>
        <w:rPr>
          <w:lang w:val="es-CO"/>
        </w:rPr>
      </w:pPr>
      <w:r w:rsidRPr="00BD1319">
        <w:rPr>
          <w:b/>
          <w:lang w:val="es-CO"/>
        </w:rPr>
        <w:t>Reasentamiento involuntario de población</w:t>
      </w:r>
      <w:r w:rsidRPr="00BD1319">
        <w:rPr>
          <w:lang w:val="es-CO"/>
        </w:rPr>
        <w:t xml:space="preserve">: </w:t>
      </w:r>
      <w:bookmarkStart w:id="36" w:name="_Hlk145077560"/>
      <w:r w:rsidRPr="00BD1319">
        <w:rPr>
          <w:lang w:val="es-CO"/>
        </w:rPr>
        <w:t>diseño e implementación planificada de un proceso de intervención y acompañamiento con perspectiva integral de inclusión, perspectiva de género y enfoque de derechos humanos dirigido a la población sujeta a reasentamiento involuntario</w:t>
      </w:r>
      <w:r w:rsidR="00F154E9" w:rsidRPr="00BD1319">
        <w:rPr>
          <w:lang w:val="es-CO"/>
        </w:rPr>
        <w:t xml:space="preserve">, con el </w:t>
      </w:r>
      <w:r w:rsidRPr="00BD1319">
        <w:rPr>
          <w:lang w:val="es-CO"/>
        </w:rPr>
        <w:t xml:space="preserve">propósito </w:t>
      </w:r>
      <w:r w:rsidR="00F154E9" w:rsidRPr="00BD1319">
        <w:rPr>
          <w:lang w:val="es-CO"/>
        </w:rPr>
        <w:t xml:space="preserve">de </w:t>
      </w:r>
      <w:r w:rsidRPr="00BD1319">
        <w:rPr>
          <w:lang w:val="es-CO"/>
        </w:rPr>
        <w:t xml:space="preserve">restablecer y mejorar </w:t>
      </w:r>
      <w:r w:rsidR="00F154E9" w:rsidRPr="00BD1319">
        <w:rPr>
          <w:lang w:val="es-CO"/>
        </w:rPr>
        <w:t>el nivel</w:t>
      </w:r>
      <w:r w:rsidRPr="00BD1319">
        <w:rPr>
          <w:lang w:val="es-CO"/>
        </w:rPr>
        <w:t xml:space="preserve"> de vida que dicha población tenía antes del </w:t>
      </w:r>
      <w:r w:rsidR="00F154E9" w:rsidRPr="00BD1319">
        <w:rPr>
          <w:lang w:val="es-CO"/>
        </w:rPr>
        <w:t>reasenta</w:t>
      </w:r>
      <w:r w:rsidRPr="00BD1319">
        <w:rPr>
          <w:lang w:val="es-CO"/>
        </w:rPr>
        <w:t>miento</w:t>
      </w:r>
      <w:bookmarkEnd w:id="36"/>
      <w:r w:rsidRPr="00BD1319">
        <w:rPr>
          <w:lang w:val="es-CO"/>
        </w:rPr>
        <w:t>.</w:t>
      </w:r>
      <w:r w:rsidRPr="00BD1319">
        <w:rPr>
          <w:rFonts w:cs="Arial"/>
          <w:color w:val="000000"/>
          <w:vertAlign w:val="superscript"/>
          <w:lang w:val="es-CO"/>
        </w:rPr>
        <w:t xml:space="preserve"> [</w:t>
      </w:r>
      <w:r w:rsidRPr="00BD1319">
        <w:rPr>
          <w:rFonts w:cs="Arial"/>
          <w:vertAlign w:val="superscript"/>
          <w:lang w:val="es-CO"/>
        </w:rPr>
        <w:endnoteReference w:id="38"/>
      </w:r>
      <w:r w:rsidRPr="00BD1319">
        <w:rPr>
          <w:rFonts w:cs="Arial"/>
          <w:color w:val="000000"/>
          <w:vertAlign w:val="superscript"/>
          <w:lang w:val="es-CO"/>
        </w:rPr>
        <w:t>]</w:t>
      </w:r>
    </w:p>
    <w:p w14:paraId="603ECA22" w14:textId="77777777" w:rsidR="0000007B" w:rsidRPr="00BD1319" w:rsidRDefault="0000007B" w:rsidP="009420F5"/>
    <w:p w14:paraId="2DD6F4F8" w14:textId="4289D118" w:rsidR="00AA4F93" w:rsidRPr="00BD1319" w:rsidRDefault="00AA4F93" w:rsidP="009420F5">
      <w:pPr>
        <w:numPr>
          <w:ilvl w:val="0"/>
          <w:numId w:val="19"/>
        </w:numPr>
        <w:suppressAutoHyphens/>
        <w:ind w:left="567" w:hanging="567"/>
      </w:pPr>
      <w:r w:rsidRPr="00BD1319">
        <w:rPr>
          <w:b/>
        </w:rPr>
        <w:t>Recolección de especímenes</w:t>
      </w:r>
      <w:r w:rsidRPr="00BD1319">
        <w:t xml:space="preserve">: </w:t>
      </w:r>
      <w:r w:rsidR="0057792E" w:rsidRPr="00BD1319">
        <w:t>p</w:t>
      </w:r>
      <w:r w:rsidR="00B06F49" w:rsidRPr="00BD1319">
        <w:t>roceso</w:t>
      </w:r>
      <w:r w:rsidRPr="00BD1319">
        <w:t xml:space="preserve"> </w:t>
      </w:r>
      <w:r w:rsidR="003841B6" w:rsidRPr="00BD1319">
        <w:t>de captura y/o remoción o extracción temporal o definitiva del medio natural de especímenes de la diversidad biológica, para la realización de inventarios y caracterizaciones que permitan el levantamiento de línea base de los estudios ambientales</w:t>
      </w:r>
      <w:r w:rsidRPr="00BD1319">
        <w:rPr>
          <w:rFonts w:cs="Arial"/>
        </w:rPr>
        <w:t>.</w:t>
      </w:r>
      <w:r w:rsidR="007E69BA" w:rsidRPr="00BD1319">
        <w:rPr>
          <w:rFonts w:cs="Arial"/>
        </w:rPr>
        <w:t xml:space="preserve"> </w:t>
      </w:r>
      <w:r w:rsidR="007E69BA" w:rsidRPr="00BD1319">
        <w:rPr>
          <w:vertAlign w:val="superscript"/>
        </w:rPr>
        <w:t>[</w:t>
      </w:r>
      <w:r w:rsidR="007E69BA" w:rsidRPr="00BD1319">
        <w:rPr>
          <w:vertAlign w:val="superscript"/>
        </w:rPr>
        <w:fldChar w:fldCharType="begin"/>
      </w:r>
      <w:r w:rsidR="007E69BA" w:rsidRPr="00BD1319">
        <w:rPr>
          <w:vertAlign w:val="superscript"/>
        </w:rPr>
        <w:instrText xml:space="preserve"> NOTEREF _Ref44839840 \h </w:instrText>
      </w:r>
      <w:r w:rsidR="006A4128" w:rsidRPr="00BD1319">
        <w:rPr>
          <w:vertAlign w:val="superscript"/>
        </w:rPr>
        <w:instrText xml:space="preserve"> \* MERGEFORMAT </w:instrText>
      </w:r>
      <w:r w:rsidR="007E69BA" w:rsidRPr="00BD1319">
        <w:rPr>
          <w:vertAlign w:val="superscript"/>
        </w:rPr>
      </w:r>
      <w:r w:rsidR="007E69BA" w:rsidRPr="00BD1319">
        <w:rPr>
          <w:vertAlign w:val="superscript"/>
        </w:rPr>
        <w:fldChar w:fldCharType="separate"/>
      </w:r>
      <w:r w:rsidR="00296654" w:rsidRPr="00BD1319">
        <w:rPr>
          <w:vertAlign w:val="superscript"/>
        </w:rPr>
        <w:t>1</w:t>
      </w:r>
      <w:r w:rsidR="007E69BA" w:rsidRPr="00BD1319">
        <w:rPr>
          <w:vertAlign w:val="superscript"/>
        </w:rPr>
        <w:fldChar w:fldCharType="end"/>
      </w:r>
      <w:r w:rsidR="007E69BA" w:rsidRPr="00BD1319">
        <w:rPr>
          <w:vertAlign w:val="superscript"/>
        </w:rPr>
        <w:t>]</w:t>
      </w:r>
    </w:p>
    <w:p w14:paraId="756C973C" w14:textId="43B9751D" w:rsidR="00AA4F93" w:rsidRPr="00BD1319" w:rsidRDefault="00AA4F93" w:rsidP="00C86DA5">
      <w:pPr>
        <w:numPr>
          <w:ilvl w:val="12"/>
          <w:numId w:val="0"/>
        </w:numPr>
        <w:tabs>
          <w:tab w:val="left" w:pos="-2268"/>
        </w:tabs>
        <w:suppressAutoHyphens/>
      </w:pPr>
    </w:p>
    <w:p w14:paraId="755D61AB" w14:textId="1A671DE2" w:rsidR="00AA4F93" w:rsidRPr="00BD1319" w:rsidRDefault="00AA4F93" w:rsidP="00C86DA5">
      <w:pPr>
        <w:pStyle w:val="Prrafodelista"/>
        <w:numPr>
          <w:ilvl w:val="0"/>
          <w:numId w:val="23"/>
        </w:numPr>
        <w:suppressAutoHyphens/>
        <w:ind w:left="567" w:hanging="567"/>
        <w:rPr>
          <w:rFonts w:cs="Arial"/>
          <w:lang w:val="es-CO"/>
        </w:rPr>
      </w:pPr>
      <w:r w:rsidRPr="00BD1319">
        <w:rPr>
          <w:rFonts w:cs="Arial"/>
          <w:b/>
          <w:color w:val="000000"/>
          <w:lang w:val="es-CO"/>
        </w:rPr>
        <w:t>Recurso pesquero</w:t>
      </w:r>
      <w:r w:rsidRPr="00BD1319">
        <w:rPr>
          <w:rFonts w:cs="Arial"/>
          <w:color w:val="000000"/>
          <w:lang w:val="es-CO"/>
        </w:rPr>
        <w:t xml:space="preserve">: </w:t>
      </w:r>
      <w:r w:rsidR="0057792E" w:rsidRPr="00BD1319">
        <w:rPr>
          <w:rFonts w:cs="Arial"/>
          <w:color w:val="000000"/>
          <w:lang w:val="es-CO"/>
        </w:rPr>
        <w:t>porción</w:t>
      </w:r>
      <w:r w:rsidRPr="00BD1319">
        <w:rPr>
          <w:rFonts w:cs="Arial"/>
          <w:color w:val="000000"/>
          <w:lang w:val="es-CO"/>
        </w:rPr>
        <w:t xml:space="preserve"> de los recursos hidrobiológicos susceptible de ser extraída o efectivamente extraída</w:t>
      </w:r>
      <w:r w:rsidR="00EE37B1" w:rsidRPr="00BD1319">
        <w:rPr>
          <w:rFonts w:cs="Arial"/>
          <w:color w:val="000000"/>
          <w:lang w:val="es-CO"/>
        </w:rPr>
        <w:t>,</w:t>
      </w:r>
      <w:r w:rsidRPr="00BD1319">
        <w:rPr>
          <w:rFonts w:cs="Arial"/>
          <w:color w:val="000000"/>
          <w:lang w:val="es-CO"/>
        </w:rPr>
        <w:t xml:space="preserve"> sin que se afecte su capacidad de renovación con fines de consumo, procesamiento, estudio u obtención de cualquier otro beneficio</w:t>
      </w:r>
      <w:r w:rsidR="0063313D" w:rsidRPr="00BD1319">
        <w:rPr>
          <w:rFonts w:cs="Arial"/>
          <w:color w:val="000000"/>
          <w:lang w:val="es-CO"/>
        </w:rPr>
        <w:t>.</w:t>
      </w:r>
      <w:r w:rsidR="0063313D" w:rsidRPr="00BD1319">
        <w:rPr>
          <w:rFonts w:cs="Arial"/>
          <w:color w:val="000000"/>
          <w:vertAlign w:val="superscript"/>
          <w:lang w:val="es-CO"/>
        </w:rPr>
        <w:t xml:space="preserve"> </w:t>
      </w:r>
      <w:r w:rsidR="00CF2BB6" w:rsidRPr="00BD1319">
        <w:rPr>
          <w:rFonts w:cs="Arial"/>
          <w:color w:val="000000"/>
          <w:vertAlign w:val="superscript"/>
          <w:lang w:val="es-CO"/>
        </w:rPr>
        <w:t>[</w:t>
      </w:r>
      <w:r w:rsidRPr="00BD1319">
        <w:rPr>
          <w:rFonts w:cs="Arial"/>
          <w:vertAlign w:val="superscript"/>
          <w:lang w:val="es-CO"/>
        </w:rPr>
        <w:endnoteReference w:id="39"/>
      </w:r>
      <w:r w:rsidR="00CF2BB6" w:rsidRPr="00BD1319">
        <w:rPr>
          <w:rFonts w:cs="Arial"/>
          <w:color w:val="000000"/>
          <w:vertAlign w:val="superscript"/>
          <w:lang w:val="es-CO"/>
        </w:rPr>
        <w:t>]</w:t>
      </w:r>
    </w:p>
    <w:p w14:paraId="67D196BB" w14:textId="77777777" w:rsidR="006A40BE" w:rsidRPr="00BD1319" w:rsidRDefault="006A40BE" w:rsidP="00EE37B1">
      <w:pPr>
        <w:suppressAutoHyphens/>
      </w:pPr>
    </w:p>
    <w:p w14:paraId="25ECF7A6" w14:textId="500AC5C8" w:rsidR="00AA4F93" w:rsidRPr="00BD1319" w:rsidRDefault="00AA4F93" w:rsidP="00C86DA5">
      <w:pPr>
        <w:pStyle w:val="Prrafodelista"/>
        <w:numPr>
          <w:ilvl w:val="0"/>
          <w:numId w:val="23"/>
        </w:numPr>
        <w:suppressAutoHyphens/>
        <w:ind w:left="567" w:hanging="567"/>
        <w:rPr>
          <w:rFonts w:cs="Arial"/>
          <w:color w:val="000000"/>
          <w:lang w:val="es-CO"/>
        </w:rPr>
      </w:pPr>
      <w:r w:rsidRPr="00BD1319">
        <w:rPr>
          <w:rFonts w:cs="Arial"/>
          <w:b/>
          <w:bCs/>
          <w:color w:val="000000"/>
          <w:lang w:val="es-CO"/>
        </w:rPr>
        <w:t>Reducción del riesgo</w:t>
      </w:r>
      <w:r w:rsidRPr="00BD1319">
        <w:rPr>
          <w:rFonts w:cs="Arial"/>
          <w:color w:val="000000"/>
          <w:lang w:val="es-CO"/>
        </w:rPr>
        <w:t xml:space="preserve">: </w:t>
      </w:r>
      <w:r w:rsidR="00E65FEC" w:rsidRPr="00BD1319">
        <w:rPr>
          <w:rFonts w:cs="Arial"/>
          <w:color w:val="000000"/>
          <w:lang w:val="es-CO"/>
        </w:rPr>
        <w:t>proceso de la gestión del riesgo</w:t>
      </w:r>
      <w:r w:rsidR="00EE37B1" w:rsidRPr="00BD1319">
        <w:rPr>
          <w:rFonts w:cs="Arial"/>
          <w:color w:val="000000"/>
          <w:lang w:val="es-CO"/>
        </w:rPr>
        <w:t>,</w:t>
      </w:r>
      <w:r w:rsidR="00E65FEC" w:rsidRPr="00BD1319">
        <w:rPr>
          <w:rFonts w:cs="Arial"/>
          <w:color w:val="000000"/>
          <w:lang w:val="es-CO"/>
        </w:rPr>
        <w:t xml:space="preserve"> está compuesto por la intervención dirigida a modificar o disminuir las condiciones de riesgo existentes, entiéndase: mitigación del riesgo y a evitar nuevo riesgo en el territorio, entiéndase: prevención del riesgo. Son medidas de mitigación y prevención que se adoptan con antelación para reducir la amenaza, la exposición y disminuir la vulnerabilidad de las personas, los medios de subsistencia, los bienes, la infraestructura y los recursos ambientales, para </w:t>
      </w:r>
      <w:r w:rsidR="00E65FEC" w:rsidRPr="00BD1319">
        <w:rPr>
          <w:rFonts w:cs="Arial"/>
          <w:color w:val="000000"/>
          <w:lang w:val="es-CO"/>
        </w:rPr>
        <w:lastRenderedPageBreak/>
        <w:t>evitar o minimizar los daños y pérdidas en caso de producirse los eventos físicos peligrosos. La reducción del riesgo la componen la intervención correctiva del riesgo existente, la intervención prospectiva de nuevo riesgo y la protección financiera</w:t>
      </w:r>
      <w:r w:rsidR="00761FEE" w:rsidRPr="00BD1319">
        <w:rPr>
          <w:rFonts w:cs="Arial"/>
          <w:color w:val="000000"/>
          <w:lang w:val="es-CO"/>
        </w:rPr>
        <w:t>.</w:t>
      </w:r>
      <w:r w:rsidR="00761FEE" w:rsidRPr="00BD1319">
        <w:rPr>
          <w:color w:val="000000"/>
          <w:lang w:val="es-CO"/>
        </w:rPr>
        <w:t xml:space="preserve"> </w:t>
      </w:r>
      <w:r w:rsidR="00CF2BB6" w:rsidRPr="00BD1319">
        <w:rPr>
          <w:color w:val="000000"/>
          <w:vertAlign w:val="superscript"/>
          <w:lang w:val="es-CO"/>
        </w:rPr>
        <w:t>[</w:t>
      </w:r>
      <w:r w:rsidR="00E4661B" w:rsidRPr="00BD1319">
        <w:rPr>
          <w:color w:val="000000"/>
          <w:vertAlign w:val="superscript"/>
          <w:lang w:val="es-CO"/>
        </w:rPr>
        <w:fldChar w:fldCharType="begin"/>
      </w:r>
      <w:r w:rsidR="00E4661B" w:rsidRPr="00BD1319">
        <w:rPr>
          <w:color w:val="000000"/>
          <w:vertAlign w:val="superscript"/>
          <w:lang w:val="es-CO"/>
        </w:rPr>
        <w:instrText xml:space="preserve"> NOTEREF _Ref44841712 \h </w:instrText>
      </w:r>
      <w:r w:rsidR="006A4128" w:rsidRPr="00BD1319">
        <w:rPr>
          <w:color w:val="000000"/>
          <w:vertAlign w:val="superscript"/>
          <w:lang w:val="es-CO"/>
        </w:rPr>
        <w:instrText xml:space="preserve"> \* MERGEFORMAT </w:instrText>
      </w:r>
      <w:r w:rsidR="00E4661B" w:rsidRPr="00BD1319">
        <w:rPr>
          <w:color w:val="000000"/>
          <w:vertAlign w:val="superscript"/>
          <w:lang w:val="es-CO"/>
        </w:rPr>
      </w:r>
      <w:r w:rsidR="00E4661B" w:rsidRPr="00BD1319">
        <w:rPr>
          <w:color w:val="000000"/>
          <w:vertAlign w:val="superscript"/>
          <w:lang w:val="es-CO"/>
        </w:rPr>
        <w:fldChar w:fldCharType="separate"/>
      </w:r>
      <w:r w:rsidR="00296654" w:rsidRPr="00BD1319">
        <w:rPr>
          <w:color w:val="000000"/>
          <w:vertAlign w:val="superscript"/>
          <w:lang w:val="es-CO"/>
        </w:rPr>
        <w:t>6</w:t>
      </w:r>
      <w:r w:rsidR="00E4661B" w:rsidRPr="00BD1319">
        <w:rPr>
          <w:color w:val="000000"/>
          <w:vertAlign w:val="superscript"/>
          <w:lang w:val="es-CO"/>
        </w:rPr>
        <w:fldChar w:fldCharType="end"/>
      </w:r>
      <w:r w:rsidR="00CF2BB6" w:rsidRPr="00BD1319">
        <w:rPr>
          <w:color w:val="000000"/>
          <w:vertAlign w:val="superscript"/>
          <w:lang w:val="es-CO"/>
        </w:rPr>
        <w:t>]</w:t>
      </w:r>
    </w:p>
    <w:p w14:paraId="0EE55BBF" w14:textId="77777777" w:rsidR="00AA4F93" w:rsidRPr="00BD1319" w:rsidRDefault="00AA4F93" w:rsidP="009420F5">
      <w:pPr>
        <w:rPr>
          <w:rFonts w:cs="Arial"/>
          <w:color w:val="000000"/>
        </w:rPr>
      </w:pPr>
    </w:p>
    <w:p w14:paraId="62570482" w14:textId="5B94D600" w:rsidR="00EA047C" w:rsidRPr="00BD1319" w:rsidRDefault="00EA047C" w:rsidP="009420F5">
      <w:pPr>
        <w:pStyle w:val="Prrafodelista"/>
        <w:numPr>
          <w:ilvl w:val="0"/>
          <w:numId w:val="21"/>
        </w:numPr>
        <w:ind w:left="567" w:hanging="567"/>
        <w:rPr>
          <w:rFonts w:cs="Arial"/>
          <w:color w:val="000000"/>
          <w:lang w:val="es-CO"/>
        </w:rPr>
      </w:pPr>
      <w:bookmarkStart w:id="37" w:name="_Hlk89695185"/>
      <w:r w:rsidRPr="00BD1319">
        <w:rPr>
          <w:rFonts w:cs="Arial"/>
          <w:b/>
          <w:color w:val="000000"/>
          <w:lang w:val="es-CO"/>
        </w:rPr>
        <w:t>Rescate y reubicación de organismos biológicos</w:t>
      </w:r>
      <w:bookmarkEnd w:id="37"/>
      <w:r w:rsidRPr="00BD1319">
        <w:rPr>
          <w:rFonts w:cs="Arial"/>
          <w:color w:val="000000"/>
          <w:lang w:val="es-CO"/>
        </w:rPr>
        <w:t xml:space="preserve">: actividad que contempla el salvamento de fauna silvestre, </w:t>
      </w:r>
      <w:r w:rsidR="00A33107" w:rsidRPr="00BD1319">
        <w:rPr>
          <w:rFonts w:cs="Arial"/>
          <w:color w:val="000000"/>
          <w:lang w:val="es-CO"/>
        </w:rPr>
        <w:t xml:space="preserve">así como la </w:t>
      </w:r>
      <w:r w:rsidRPr="00BD1319">
        <w:rPr>
          <w:rFonts w:cs="Arial"/>
          <w:color w:val="000000"/>
          <w:lang w:val="es-CO"/>
        </w:rPr>
        <w:t xml:space="preserve">colecta y </w:t>
      </w:r>
      <w:r w:rsidR="007E69BA" w:rsidRPr="00BD1319">
        <w:rPr>
          <w:rFonts w:cs="Arial"/>
          <w:color w:val="000000"/>
          <w:lang w:val="es-CO"/>
        </w:rPr>
        <w:t xml:space="preserve">la </w:t>
      </w:r>
      <w:r w:rsidRPr="00BD1319">
        <w:rPr>
          <w:rFonts w:cs="Arial"/>
          <w:color w:val="000000"/>
          <w:lang w:val="es-CO"/>
        </w:rPr>
        <w:t xml:space="preserve">reubicación de especímenes durante la ejecución </w:t>
      </w:r>
      <w:r w:rsidR="00762106" w:rsidRPr="00BD1319">
        <w:rPr>
          <w:rFonts w:cs="Arial"/>
          <w:color w:val="000000"/>
          <w:lang w:val="es-CO"/>
        </w:rPr>
        <w:t xml:space="preserve">de las medidas de manejo </w:t>
      </w:r>
      <w:r w:rsidRPr="00BD1319">
        <w:rPr>
          <w:rFonts w:cs="Arial"/>
          <w:color w:val="000000"/>
          <w:lang w:val="es-CO"/>
        </w:rPr>
        <w:t>de un proyecto, obra o actividad.</w:t>
      </w:r>
    </w:p>
    <w:p w14:paraId="3F54DB59" w14:textId="77777777" w:rsidR="00EA047C" w:rsidRPr="00BD1319" w:rsidRDefault="00EA047C" w:rsidP="009420F5">
      <w:pPr>
        <w:rPr>
          <w:rFonts w:cs="Arial"/>
          <w:color w:val="000000"/>
        </w:rPr>
      </w:pPr>
    </w:p>
    <w:p w14:paraId="0FFD69F5" w14:textId="1A4E83E4" w:rsidR="00AA4F93" w:rsidRPr="00BD1319" w:rsidRDefault="00AA4F93" w:rsidP="00456AB1">
      <w:pPr>
        <w:numPr>
          <w:ilvl w:val="0"/>
          <w:numId w:val="19"/>
        </w:numPr>
        <w:suppressAutoHyphens/>
        <w:ind w:left="567" w:hanging="567"/>
        <w:rPr>
          <w:rFonts w:eastAsia="Calibri" w:cs="Arial"/>
          <w:lang w:eastAsia="en-US"/>
        </w:rPr>
      </w:pPr>
      <w:r w:rsidRPr="00BD1319">
        <w:rPr>
          <w:rFonts w:eastAsia="Calibri" w:cs="Arial"/>
          <w:b/>
          <w:lang w:eastAsia="en-US"/>
        </w:rPr>
        <w:t>Resguardo indígena</w:t>
      </w:r>
      <w:r w:rsidRPr="00BD1319">
        <w:rPr>
          <w:rFonts w:eastAsia="Calibri" w:cs="Arial"/>
          <w:lang w:eastAsia="en-US"/>
        </w:rPr>
        <w:t>:</w:t>
      </w:r>
      <w:r w:rsidR="00707C4E" w:rsidRPr="00BD1319">
        <w:rPr>
          <w:rFonts w:eastAsia="Calibri" w:cs="Arial"/>
          <w:lang w:eastAsia="en-US"/>
        </w:rPr>
        <w:t xml:space="preserve"> </w:t>
      </w:r>
      <w:r w:rsidR="00535659" w:rsidRPr="00BD1319">
        <w:rPr>
          <w:rFonts w:eastAsia="Calibri" w:cs="Arial"/>
          <w:lang w:eastAsia="en-US"/>
        </w:rPr>
        <w:t xml:space="preserve">institución legal y sociopolítica de carácter especial, conformada por una o más comunidades indígenas, que con un título de propiedad colectiva que goza de las garantías de la propiedad privada, poseen su territorio y se rigen para el manejo de éste y su vida interna por una organización autónoma amparada por el fuero indígena y su sistema normativo propio. Conforme a los artículos 63 y 329 de la Constitución </w:t>
      </w:r>
      <w:r w:rsidR="00C21ACA" w:rsidRPr="00BD1319">
        <w:rPr>
          <w:rFonts w:eastAsia="Calibri" w:cs="Arial"/>
          <w:lang w:eastAsia="en-US"/>
        </w:rPr>
        <w:t>P</w:t>
      </w:r>
      <w:r w:rsidR="00535659" w:rsidRPr="00BD1319">
        <w:rPr>
          <w:rFonts w:eastAsia="Calibri" w:cs="Arial"/>
          <w:lang w:eastAsia="en-US"/>
        </w:rPr>
        <w:t>olítica, tiene el carácter de inalienable, imprescriptible e inembargable</w:t>
      </w:r>
      <w:r w:rsidR="00761FEE" w:rsidRPr="00BD1319">
        <w:rPr>
          <w:rFonts w:eastAsia="Calibri" w:cs="Arial"/>
          <w:lang w:eastAsia="en-US"/>
        </w:rPr>
        <w:t xml:space="preserve">. </w:t>
      </w:r>
      <w:r w:rsidR="00CF2BB6" w:rsidRPr="00BD1319">
        <w:rPr>
          <w:rFonts w:eastAsia="Calibri" w:cs="Arial"/>
          <w:vertAlign w:val="superscript"/>
          <w:lang w:eastAsia="en-US"/>
        </w:rPr>
        <w:t>[</w:t>
      </w:r>
      <w:bookmarkStart w:id="38" w:name="_Ref78180193"/>
      <w:r w:rsidR="00535659" w:rsidRPr="00BD1319">
        <w:rPr>
          <w:rFonts w:cs="Arial"/>
          <w:vertAlign w:val="superscript"/>
        </w:rPr>
        <w:endnoteReference w:id="40"/>
      </w:r>
      <w:bookmarkEnd w:id="38"/>
      <w:r w:rsidR="00CF2BB6" w:rsidRPr="00BD1319">
        <w:rPr>
          <w:rFonts w:eastAsia="Calibri" w:cs="Arial"/>
          <w:vertAlign w:val="superscript"/>
          <w:lang w:eastAsia="en-US"/>
        </w:rPr>
        <w:t>]</w:t>
      </w:r>
    </w:p>
    <w:p w14:paraId="006682E6" w14:textId="57D50C73" w:rsidR="00707C4E" w:rsidRPr="00BD1319" w:rsidRDefault="00707C4E" w:rsidP="00A24137">
      <w:pPr>
        <w:suppressAutoHyphens/>
        <w:rPr>
          <w:rFonts w:eastAsia="Calibri"/>
        </w:rPr>
      </w:pPr>
    </w:p>
    <w:p w14:paraId="234B8566" w14:textId="3363D37C" w:rsidR="00A24137" w:rsidRPr="00BD1319" w:rsidRDefault="00A24137" w:rsidP="009420F5">
      <w:pPr>
        <w:pStyle w:val="Prrafodelista"/>
        <w:numPr>
          <w:ilvl w:val="0"/>
          <w:numId w:val="21"/>
        </w:numPr>
        <w:suppressAutoHyphens/>
        <w:ind w:left="567" w:hanging="567"/>
        <w:rPr>
          <w:rFonts w:eastAsia="Calibri"/>
          <w:lang w:val="es-CO"/>
        </w:rPr>
      </w:pPr>
      <w:r w:rsidRPr="00BD1319">
        <w:rPr>
          <w:rFonts w:eastAsia="Calibri"/>
          <w:b/>
          <w:bCs/>
          <w:lang w:val="es-CO"/>
        </w:rPr>
        <w:t>Residuos de construcción y demolición</w:t>
      </w:r>
      <w:r w:rsidRPr="00BD1319">
        <w:rPr>
          <w:rFonts w:eastAsia="Calibri"/>
          <w:lang w:val="es-CO"/>
        </w:rPr>
        <w:t>: residuos sólidos provenientes de las actividades de excavación, construcción, demolición, reparaciones o mejoras locativas de obras civiles o de otras actividades conexas</w:t>
      </w:r>
      <w:r w:rsidR="0036726A" w:rsidRPr="00BD1319">
        <w:rPr>
          <w:rFonts w:eastAsia="Calibri"/>
          <w:lang w:val="es-CO"/>
        </w:rPr>
        <w:t xml:space="preserve">. </w:t>
      </w:r>
      <w:r w:rsidR="0036726A" w:rsidRPr="00BD1319">
        <w:rPr>
          <w:rFonts w:cs="Arial"/>
          <w:vertAlign w:val="superscript"/>
          <w:lang w:val="es-CO"/>
        </w:rPr>
        <w:t>[</w:t>
      </w:r>
      <w:bookmarkStart w:id="39" w:name="_Ref78180196"/>
      <w:r w:rsidR="0036726A" w:rsidRPr="00BD1319">
        <w:rPr>
          <w:rStyle w:val="Refdenotaalfinal"/>
          <w:rFonts w:cs="Arial"/>
          <w:lang w:val="es-CO"/>
        </w:rPr>
        <w:endnoteReference w:id="41"/>
      </w:r>
      <w:bookmarkEnd w:id="39"/>
      <w:r w:rsidR="0036726A" w:rsidRPr="00BD1319">
        <w:rPr>
          <w:rFonts w:cs="Arial"/>
          <w:vertAlign w:val="superscript"/>
          <w:lang w:val="es-CO"/>
        </w:rPr>
        <w:t>]</w:t>
      </w:r>
      <w:r w:rsidR="0036726A" w:rsidRPr="00BD1319">
        <w:rPr>
          <w:rFonts w:eastAsia="Calibri"/>
          <w:lang w:val="es-CO"/>
        </w:rPr>
        <w:t>.</w:t>
      </w:r>
      <w:r w:rsidRPr="00BD1319">
        <w:rPr>
          <w:rFonts w:eastAsia="Calibri"/>
          <w:lang w:val="es-CO"/>
        </w:rPr>
        <w:t xml:space="preserve"> </w:t>
      </w:r>
      <w:r w:rsidR="0036726A" w:rsidRPr="00BD1319">
        <w:rPr>
          <w:rFonts w:eastAsia="Calibri"/>
          <w:lang w:val="es-CO"/>
        </w:rPr>
        <w:t xml:space="preserve">Estos residuos </w:t>
      </w:r>
      <w:r w:rsidRPr="00BD1319">
        <w:rPr>
          <w:rFonts w:eastAsia="Calibri"/>
          <w:lang w:val="es-CO"/>
        </w:rPr>
        <w:t>pueden ser o no susceptibles de aprovechamiento.</w:t>
      </w:r>
    </w:p>
    <w:p w14:paraId="5F0FABBA" w14:textId="77777777" w:rsidR="00A24137" w:rsidRPr="00BD1319" w:rsidRDefault="00A24137" w:rsidP="009420F5">
      <w:pPr>
        <w:suppressAutoHyphens/>
        <w:rPr>
          <w:rFonts w:eastAsia="Calibri"/>
        </w:rPr>
      </w:pPr>
    </w:p>
    <w:p w14:paraId="39EBE6A9" w14:textId="1BF0AE9D" w:rsidR="00F2012D" w:rsidRPr="00BD1319" w:rsidRDefault="00F2012D" w:rsidP="008708E1">
      <w:pPr>
        <w:pStyle w:val="Prrafodelista"/>
        <w:numPr>
          <w:ilvl w:val="0"/>
          <w:numId w:val="21"/>
        </w:numPr>
        <w:suppressAutoHyphens/>
        <w:ind w:left="567" w:hanging="567"/>
        <w:rPr>
          <w:rFonts w:eastAsia="Calibri"/>
          <w:lang w:val="es-CO"/>
        </w:rPr>
      </w:pPr>
      <w:r w:rsidRPr="00BD1319">
        <w:rPr>
          <w:rFonts w:eastAsia="Calibri"/>
          <w:b/>
          <w:bCs/>
          <w:lang w:val="es-CO"/>
        </w:rPr>
        <w:t>Resiliencia o capacidad de adaptación</w:t>
      </w:r>
      <w:r w:rsidRPr="00BD1319">
        <w:rPr>
          <w:rFonts w:eastAsia="Calibri"/>
          <w:lang w:val="es-CO"/>
        </w:rPr>
        <w:t xml:space="preserve">: </w:t>
      </w:r>
      <w:r w:rsidR="002E273B" w:rsidRPr="00BD1319">
        <w:rPr>
          <w:rFonts w:eastAsia="Calibri"/>
          <w:lang w:val="es-CO"/>
        </w:rPr>
        <w:t>c</w:t>
      </w:r>
      <w:r w:rsidRPr="00BD1319">
        <w:rPr>
          <w:rFonts w:eastAsia="Calibri"/>
          <w:lang w:val="es-CO"/>
        </w:rPr>
        <w:t>apacidad de los sistemas sociales, económicos y ambientales de afrontar un suceso, tendencia o perturbación peligrosa, respondiendo o reorganizándose de modo que mantengan su función esencial, su identidad y su estructura, y conservando al mismo tiempo la capacidad de adaptación, aprendizaje y transformación.</w:t>
      </w:r>
      <w:r w:rsidR="005A3224" w:rsidRPr="00BD1319">
        <w:rPr>
          <w:rFonts w:eastAsia="Calibri"/>
          <w:lang w:val="es-CO"/>
        </w:rPr>
        <w:t xml:space="preserve"> </w:t>
      </w:r>
      <w:r w:rsidR="005A3224" w:rsidRPr="00BD1319">
        <w:rPr>
          <w:rFonts w:cs="Arial"/>
          <w:vertAlign w:val="superscript"/>
        </w:rPr>
        <w:t>[</w:t>
      </w:r>
      <w:r w:rsidR="005A3224" w:rsidRPr="00BD1319">
        <w:rPr>
          <w:rFonts w:cs="Arial"/>
          <w:vertAlign w:val="superscript"/>
        </w:rPr>
        <w:fldChar w:fldCharType="begin"/>
      </w:r>
      <w:r w:rsidR="005A3224" w:rsidRPr="00BD1319">
        <w:rPr>
          <w:rFonts w:cs="Arial"/>
          <w:vertAlign w:val="superscript"/>
        </w:rPr>
        <w:instrText xml:space="preserve"> NOTEREF _Ref44840425 \h  \* MERGEFORMAT </w:instrText>
      </w:r>
      <w:r w:rsidR="005A3224" w:rsidRPr="00BD1319">
        <w:rPr>
          <w:rFonts w:cs="Arial"/>
          <w:vertAlign w:val="superscript"/>
        </w:rPr>
      </w:r>
      <w:r w:rsidR="005A3224" w:rsidRPr="00BD1319">
        <w:rPr>
          <w:rFonts w:cs="Arial"/>
          <w:vertAlign w:val="superscript"/>
        </w:rPr>
        <w:fldChar w:fldCharType="separate"/>
      </w:r>
      <w:r w:rsidR="00296654" w:rsidRPr="00BD1319">
        <w:rPr>
          <w:rFonts w:cs="Arial"/>
          <w:vertAlign w:val="superscript"/>
        </w:rPr>
        <w:t>2</w:t>
      </w:r>
      <w:r w:rsidR="005A3224" w:rsidRPr="00BD1319">
        <w:rPr>
          <w:rFonts w:cs="Arial"/>
          <w:vertAlign w:val="superscript"/>
        </w:rPr>
        <w:fldChar w:fldCharType="end"/>
      </w:r>
      <w:r w:rsidR="005A3224" w:rsidRPr="00BD1319">
        <w:rPr>
          <w:rFonts w:cs="Arial"/>
          <w:vertAlign w:val="superscript"/>
        </w:rPr>
        <w:t>]</w:t>
      </w:r>
    </w:p>
    <w:p w14:paraId="031F7BB8" w14:textId="77777777" w:rsidR="00E24DD6" w:rsidRPr="00BD1319" w:rsidRDefault="00E24DD6" w:rsidP="000D6E21">
      <w:pPr>
        <w:rPr>
          <w:rFonts w:eastAsia="Calibri"/>
        </w:rPr>
      </w:pPr>
    </w:p>
    <w:p w14:paraId="7D961E90" w14:textId="4B42B887" w:rsidR="00E24DD6" w:rsidRPr="00BD1319" w:rsidRDefault="004F728F" w:rsidP="000D6E21">
      <w:pPr>
        <w:pStyle w:val="Prrafodelista"/>
        <w:numPr>
          <w:ilvl w:val="0"/>
          <w:numId w:val="21"/>
        </w:numPr>
        <w:suppressAutoHyphens/>
        <w:ind w:left="567" w:hanging="567"/>
        <w:rPr>
          <w:rFonts w:eastAsia="Calibri"/>
        </w:rPr>
      </w:pPr>
      <w:r w:rsidRPr="00BD1319">
        <w:rPr>
          <w:rFonts w:eastAsia="Calibri"/>
          <w:b/>
          <w:bCs/>
          <w:lang w:val="es-CO"/>
        </w:rPr>
        <w:t>Riesgo asociado al cambio climático</w:t>
      </w:r>
      <w:r w:rsidRPr="00BD1319">
        <w:rPr>
          <w:rFonts w:eastAsia="Calibri"/>
          <w:lang w:val="es-CO"/>
        </w:rPr>
        <w:t xml:space="preserve">: </w:t>
      </w:r>
      <w:r w:rsidR="002E273B" w:rsidRPr="00BD1319">
        <w:rPr>
          <w:rFonts w:eastAsia="Calibri"/>
          <w:lang w:val="es-CO"/>
        </w:rPr>
        <w:t>p</w:t>
      </w:r>
      <w:r w:rsidRPr="00BD1319">
        <w:rPr>
          <w:rFonts w:eastAsia="Calibri"/>
          <w:lang w:val="es-CO"/>
        </w:rPr>
        <w:t>otencial de consecuencias en que algo de valor está en peligro con un desenlace incierto, reconociendo la diversidad de valores. Los riesgos resultan de la interacción de la vulnerabilidad, la exposición y la amenaza. En la presente Ley, el término riesgo se utiliza principalmente en referencia a los riesgos asociados a los impactos del cambio climático.</w:t>
      </w:r>
      <w:r w:rsidR="005D3C6E" w:rsidRPr="00BD1319">
        <w:rPr>
          <w:rFonts w:eastAsia="Calibri"/>
          <w:lang w:val="es-CO"/>
        </w:rPr>
        <w:t xml:space="preserve"> </w:t>
      </w:r>
      <w:r w:rsidR="005D3C6E" w:rsidRPr="00BD1319">
        <w:rPr>
          <w:rFonts w:cs="Arial"/>
          <w:vertAlign w:val="superscript"/>
        </w:rPr>
        <w:t>[</w:t>
      </w:r>
      <w:r w:rsidR="005D3C6E" w:rsidRPr="00BD1319">
        <w:rPr>
          <w:rFonts w:cs="Arial"/>
          <w:vertAlign w:val="superscript"/>
        </w:rPr>
        <w:fldChar w:fldCharType="begin"/>
      </w:r>
      <w:r w:rsidR="005D3C6E" w:rsidRPr="00BD1319">
        <w:rPr>
          <w:rFonts w:cs="Arial"/>
          <w:vertAlign w:val="superscript"/>
        </w:rPr>
        <w:instrText xml:space="preserve"> NOTEREF _Ref44840425 \h  \* MERGEFORMAT </w:instrText>
      </w:r>
      <w:r w:rsidR="005D3C6E" w:rsidRPr="00BD1319">
        <w:rPr>
          <w:rFonts w:cs="Arial"/>
          <w:vertAlign w:val="superscript"/>
        </w:rPr>
      </w:r>
      <w:r w:rsidR="005D3C6E" w:rsidRPr="00BD1319">
        <w:rPr>
          <w:rFonts w:cs="Arial"/>
          <w:vertAlign w:val="superscript"/>
        </w:rPr>
        <w:fldChar w:fldCharType="separate"/>
      </w:r>
      <w:r w:rsidR="00296654" w:rsidRPr="00BD1319">
        <w:rPr>
          <w:rFonts w:cs="Arial"/>
          <w:vertAlign w:val="superscript"/>
        </w:rPr>
        <w:t>2</w:t>
      </w:r>
      <w:r w:rsidR="005D3C6E" w:rsidRPr="00BD1319">
        <w:rPr>
          <w:rFonts w:cs="Arial"/>
          <w:vertAlign w:val="superscript"/>
        </w:rPr>
        <w:fldChar w:fldCharType="end"/>
      </w:r>
      <w:r w:rsidR="005D3C6E" w:rsidRPr="00BD1319">
        <w:rPr>
          <w:rFonts w:cs="Arial"/>
          <w:vertAlign w:val="superscript"/>
        </w:rPr>
        <w:t>]</w:t>
      </w:r>
    </w:p>
    <w:p w14:paraId="175072E1" w14:textId="77777777" w:rsidR="00F2012D" w:rsidRPr="00BD1319" w:rsidRDefault="00F2012D" w:rsidP="002E273B">
      <w:pPr>
        <w:suppressAutoHyphens/>
        <w:rPr>
          <w:rFonts w:eastAsia="Calibri"/>
          <w:b/>
          <w:bCs/>
        </w:rPr>
      </w:pPr>
    </w:p>
    <w:p w14:paraId="4F9E3896" w14:textId="00D2A6DD" w:rsidR="00AA4F93" w:rsidRPr="00BD1319" w:rsidRDefault="00AA4F93" w:rsidP="00C86DA5">
      <w:pPr>
        <w:pStyle w:val="Prrafodelista"/>
        <w:numPr>
          <w:ilvl w:val="0"/>
          <w:numId w:val="23"/>
        </w:numPr>
        <w:suppressAutoHyphens/>
        <w:ind w:left="567" w:hanging="567"/>
        <w:rPr>
          <w:rFonts w:cs="Arial"/>
          <w:color w:val="000000"/>
          <w:lang w:val="es-CO"/>
        </w:rPr>
      </w:pPr>
      <w:r w:rsidRPr="00BD1319">
        <w:rPr>
          <w:rFonts w:cs="Arial"/>
          <w:b/>
          <w:bCs/>
          <w:color w:val="000000"/>
          <w:lang w:val="es-CO"/>
        </w:rPr>
        <w:t>Riesgo</w:t>
      </w:r>
      <w:r w:rsidR="008735A8" w:rsidRPr="00BD1319">
        <w:rPr>
          <w:rFonts w:cs="Arial"/>
          <w:b/>
          <w:bCs/>
          <w:color w:val="000000"/>
          <w:lang w:val="es-CO"/>
        </w:rPr>
        <w:t xml:space="preserve"> de desastre</w:t>
      </w:r>
      <w:r w:rsidR="008735A8" w:rsidRPr="00BD1319">
        <w:rPr>
          <w:rFonts w:cs="Arial"/>
          <w:color w:val="000000"/>
          <w:lang w:val="es-CO"/>
        </w:rPr>
        <w:t xml:space="preserve">: daño o pérdida potencial que puede presentarse debido a los eventos físicos peligrosos de origen natural, socio-natural, tecnológico, </w:t>
      </w:r>
      <w:r w:rsidR="008735A8" w:rsidRPr="00BD1319">
        <w:rPr>
          <w:rFonts w:cs="Arial"/>
          <w:color w:val="000000"/>
          <w:lang w:val="es-CO"/>
        </w:rPr>
        <w:lastRenderedPageBreak/>
        <w:t>biosanit</w:t>
      </w:r>
      <w:r w:rsidR="00C21ACA" w:rsidRPr="00BD1319">
        <w:rPr>
          <w:rFonts w:cs="Arial"/>
          <w:color w:val="000000"/>
          <w:lang w:val="es-CO"/>
        </w:rPr>
        <w:t>a</w:t>
      </w:r>
      <w:r w:rsidR="008735A8" w:rsidRPr="00BD1319">
        <w:rPr>
          <w:rFonts w:cs="Arial"/>
          <w:color w:val="000000"/>
          <w:lang w:val="es-CO"/>
        </w:rPr>
        <w:t>rio o humano no intencional, en un período de tiempo específico y que es determinado por la vulnerabilidad de los elementos expuestos; por consiguiente, el riesgo de desastre se deriva de la combinación de la amenaza y la vulnerabilidad</w:t>
      </w:r>
      <w:r w:rsidR="006A5D01" w:rsidRPr="00BD1319">
        <w:rPr>
          <w:rFonts w:cs="Arial"/>
          <w:color w:val="000000"/>
          <w:lang w:val="es-CO"/>
        </w:rPr>
        <w:t>.</w:t>
      </w:r>
      <w:r w:rsidR="00B0171E" w:rsidRPr="00BD1319">
        <w:rPr>
          <w:color w:val="000000"/>
          <w:vertAlign w:val="superscript"/>
          <w:lang w:val="es-CO"/>
        </w:rPr>
        <w:t xml:space="preserve"> [</w:t>
      </w:r>
      <w:r w:rsidR="00B0171E" w:rsidRPr="00BD1319">
        <w:rPr>
          <w:color w:val="000000"/>
          <w:vertAlign w:val="superscript"/>
          <w:lang w:val="es-CO"/>
        </w:rPr>
        <w:fldChar w:fldCharType="begin"/>
      </w:r>
      <w:r w:rsidR="00B0171E" w:rsidRPr="00BD1319">
        <w:rPr>
          <w:color w:val="000000"/>
          <w:vertAlign w:val="superscript"/>
          <w:lang w:val="es-CO"/>
        </w:rPr>
        <w:instrText xml:space="preserve"> NOTEREF _Ref44841712 \h  \* MERGEFORMAT </w:instrText>
      </w:r>
      <w:r w:rsidR="00B0171E" w:rsidRPr="00BD1319">
        <w:rPr>
          <w:color w:val="000000"/>
          <w:vertAlign w:val="superscript"/>
          <w:lang w:val="es-CO"/>
        </w:rPr>
      </w:r>
      <w:r w:rsidR="00B0171E" w:rsidRPr="00BD1319">
        <w:rPr>
          <w:color w:val="000000"/>
          <w:vertAlign w:val="superscript"/>
          <w:lang w:val="es-CO"/>
        </w:rPr>
        <w:fldChar w:fldCharType="separate"/>
      </w:r>
      <w:r w:rsidR="00296654" w:rsidRPr="00BD1319">
        <w:rPr>
          <w:color w:val="000000"/>
          <w:vertAlign w:val="superscript"/>
          <w:lang w:val="es-CO"/>
        </w:rPr>
        <w:t>6</w:t>
      </w:r>
      <w:r w:rsidR="00B0171E" w:rsidRPr="00BD1319">
        <w:rPr>
          <w:color w:val="000000"/>
          <w:vertAlign w:val="superscript"/>
          <w:lang w:val="es-CO"/>
        </w:rPr>
        <w:fldChar w:fldCharType="end"/>
      </w:r>
      <w:r w:rsidR="00B0171E" w:rsidRPr="00BD1319">
        <w:rPr>
          <w:color w:val="000000"/>
          <w:vertAlign w:val="superscript"/>
          <w:lang w:val="es-CO"/>
        </w:rPr>
        <w:t>]</w:t>
      </w:r>
    </w:p>
    <w:p w14:paraId="49778993" w14:textId="77777777" w:rsidR="006E0815" w:rsidRPr="00BD1319" w:rsidRDefault="006E0815" w:rsidP="000D6E21">
      <w:pPr>
        <w:suppressAutoHyphens/>
        <w:rPr>
          <w:rFonts w:eastAsia="Calibri"/>
        </w:rPr>
      </w:pPr>
    </w:p>
    <w:p w14:paraId="55B6449B" w14:textId="1B5EFEA0" w:rsidR="00AA4F93" w:rsidRPr="00BD1319" w:rsidRDefault="00AA4F93" w:rsidP="00456AB1">
      <w:pPr>
        <w:pStyle w:val="Prrafodelista"/>
        <w:numPr>
          <w:ilvl w:val="0"/>
          <w:numId w:val="23"/>
        </w:numPr>
        <w:suppressAutoHyphens/>
        <w:ind w:left="567" w:hanging="567"/>
        <w:rPr>
          <w:rFonts w:eastAsia="Calibri" w:cs="Arial"/>
          <w:lang w:val="es-CO" w:eastAsia="en-US"/>
        </w:rPr>
      </w:pPr>
      <w:r w:rsidRPr="00BD1319">
        <w:rPr>
          <w:rFonts w:eastAsia="Calibri" w:cs="Arial"/>
          <w:b/>
          <w:lang w:val="es-CO" w:eastAsia="en-US"/>
        </w:rPr>
        <w:t>Sector de vereda</w:t>
      </w:r>
      <w:r w:rsidRPr="00BD1319">
        <w:rPr>
          <w:rFonts w:eastAsia="Calibri" w:cs="Arial"/>
          <w:lang w:val="es-CO" w:eastAsia="en-US"/>
        </w:rPr>
        <w:t>:</w:t>
      </w:r>
      <w:r w:rsidR="00707C4E" w:rsidRPr="00BD1319">
        <w:rPr>
          <w:rFonts w:eastAsia="Calibri" w:cs="Arial"/>
          <w:lang w:val="es-CO" w:eastAsia="en-US"/>
        </w:rPr>
        <w:t xml:space="preserve"> </w:t>
      </w:r>
      <w:r w:rsidR="00BC1C5E" w:rsidRPr="00BD1319">
        <w:rPr>
          <w:rFonts w:eastAsia="Calibri" w:cs="Arial"/>
          <w:lang w:val="es-CO" w:eastAsia="en-US"/>
        </w:rPr>
        <w:t xml:space="preserve">espacio </w:t>
      </w:r>
      <w:r w:rsidR="008B7580" w:rsidRPr="00BD1319">
        <w:rPr>
          <w:rFonts w:eastAsia="Calibri" w:cs="Arial"/>
          <w:lang w:val="es-CO" w:eastAsia="en-US"/>
        </w:rPr>
        <w:t xml:space="preserve">al interior de una vereda </w:t>
      </w:r>
      <w:r w:rsidRPr="00BD1319">
        <w:rPr>
          <w:rFonts w:eastAsia="Calibri" w:cs="Arial"/>
          <w:lang w:val="es-CO" w:eastAsia="en-US"/>
        </w:rPr>
        <w:t>conforma</w:t>
      </w:r>
      <w:r w:rsidR="00BC1C5E" w:rsidRPr="00BD1319">
        <w:rPr>
          <w:rFonts w:eastAsia="Calibri" w:cs="Arial"/>
          <w:lang w:val="es-CO" w:eastAsia="en-US"/>
        </w:rPr>
        <w:t>do</w:t>
      </w:r>
      <w:r w:rsidRPr="00BD1319">
        <w:rPr>
          <w:rFonts w:eastAsia="Calibri" w:cs="Arial"/>
          <w:lang w:val="es-CO" w:eastAsia="en-US"/>
        </w:rPr>
        <w:t xml:space="preserve"> principalmente por la agrupación de predios delimitados por accidentes geográficos o vías principales que permiten el desarrollo de relaciones vecinales </w:t>
      </w:r>
      <w:r w:rsidRPr="00BD1319">
        <w:rPr>
          <w:rFonts w:cs="Arial"/>
          <w:lang w:val="es-CO"/>
        </w:rPr>
        <w:t>y</w:t>
      </w:r>
      <w:r w:rsidRPr="00BD1319">
        <w:rPr>
          <w:rFonts w:eastAsia="Calibri" w:cs="Arial"/>
          <w:lang w:val="es-CO" w:eastAsia="en-US"/>
        </w:rPr>
        <w:t xml:space="preserve"> formas de organización comunitaria </w:t>
      </w:r>
      <w:r w:rsidR="00E747BE" w:rsidRPr="00BD1319">
        <w:rPr>
          <w:rFonts w:eastAsia="Calibri" w:cs="Arial"/>
          <w:lang w:val="es-CO"/>
        </w:rPr>
        <w:t xml:space="preserve">diferentes a los de otras zonas de </w:t>
      </w:r>
      <w:r w:rsidR="00004A29" w:rsidRPr="00BD1319">
        <w:rPr>
          <w:rFonts w:eastAsia="Calibri" w:cs="Arial"/>
          <w:lang w:val="es-CO"/>
        </w:rPr>
        <w:t xml:space="preserve">la </w:t>
      </w:r>
      <w:r w:rsidRPr="00BD1319">
        <w:rPr>
          <w:rFonts w:eastAsia="Calibri" w:cs="Arial"/>
          <w:lang w:val="es-CO" w:eastAsia="en-US"/>
        </w:rPr>
        <w:t>vereda</w:t>
      </w:r>
      <w:r w:rsidR="00004A29" w:rsidRPr="00BD1319">
        <w:rPr>
          <w:rFonts w:eastAsia="Calibri" w:cs="Arial"/>
          <w:lang w:val="es-CO" w:eastAsia="en-US"/>
        </w:rPr>
        <w:t xml:space="preserve"> en la que se encuentra</w:t>
      </w:r>
      <w:r w:rsidRPr="00BD1319">
        <w:rPr>
          <w:rFonts w:eastAsia="Calibri" w:cs="Arial"/>
          <w:lang w:val="es-CO" w:eastAsia="en-US"/>
        </w:rPr>
        <w:t>.</w:t>
      </w:r>
    </w:p>
    <w:p w14:paraId="4C72D8EE" w14:textId="77777777" w:rsidR="00AA4F93" w:rsidRPr="00BD1319" w:rsidRDefault="00AA4F93" w:rsidP="009420F5">
      <w:pPr>
        <w:suppressAutoHyphens/>
      </w:pPr>
    </w:p>
    <w:p w14:paraId="6CF90E81" w14:textId="28F20DB9" w:rsidR="00AA4F93" w:rsidRPr="00BD1319" w:rsidRDefault="00AA4F93" w:rsidP="00C86DA5">
      <w:pPr>
        <w:pStyle w:val="Prrafodelista"/>
        <w:numPr>
          <w:ilvl w:val="0"/>
          <w:numId w:val="23"/>
        </w:numPr>
        <w:suppressAutoHyphens/>
        <w:ind w:left="567" w:hanging="567"/>
        <w:rPr>
          <w:lang w:val="es-CO"/>
        </w:rPr>
      </w:pPr>
      <w:r w:rsidRPr="00BD1319">
        <w:rPr>
          <w:rFonts w:eastAsia="Calibri"/>
          <w:b/>
          <w:lang w:val="es-CO"/>
        </w:rPr>
        <w:t>Sensibilidad</w:t>
      </w:r>
      <w:r w:rsidRPr="00BD1319">
        <w:rPr>
          <w:b/>
          <w:lang w:val="es-CO"/>
        </w:rPr>
        <w:t xml:space="preserve"> ambiental</w:t>
      </w:r>
      <w:r w:rsidRPr="00BD1319">
        <w:rPr>
          <w:lang w:val="es-CO"/>
        </w:rPr>
        <w:t xml:space="preserve">: </w:t>
      </w:r>
      <w:r w:rsidR="00EE14C5" w:rsidRPr="00BD1319">
        <w:rPr>
          <w:lang w:val="es-CO"/>
        </w:rPr>
        <w:t>susceptibilidad</w:t>
      </w:r>
      <w:r w:rsidRPr="00BD1319">
        <w:rPr>
          <w:lang w:val="es-CO"/>
        </w:rPr>
        <w:t xml:space="preserve"> inherente de los </w:t>
      </w:r>
      <w:r w:rsidR="00E747BE" w:rsidRPr="00BD1319">
        <w:rPr>
          <w:lang w:val="es-CO"/>
        </w:rPr>
        <w:t xml:space="preserve">factores </w:t>
      </w:r>
      <w:r w:rsidRPr="00BD1319">
        <w:rPr>
          <w:lang w:val="es-CO"/>
        </w:rPr>
        <w:t xml:space="preserve">ambientales y sus </w:t>
      </w:r>
      <w:r w:rsidR="0095525F" w:rsidRPr="00BD1319">
        <w:rPr>
          <w:lang w:val="es-CO"/>
        </w:rPr>
        <w:t>procesos</w:t>
      </w:r>
      <w:r w:rsidRPr="00BD1319">
        <w:rPr>
          <w:lang w:val="es-CO"/>
        </w:rPr>
        <w:t xml:space="preserve"> físicos, bióticos y socioeconómicos a la transformación o cambio </w:t>
      </w:r>
      <w:r w:rsidR="003F7D68" w:rsidRPr="00BD1319">
        <w:rPr>
          <w:lang w:val="es-CO"/>
        </w:rPr>
        <w:t>generado por</w:t>
      </w:r>
      <w:r w:rsidR="00E747BE" w:rsidRPr="00BD1319">
        <w:rPr>
          <w:lang w:val="es-CO"/>
        </w:rPr>
        <w:t xml:space="preserve"> </w:t>
      </w:r>
      <w:r w:rsidRPr="00BD1319">
        <w:rPr>
          <w:lang w:val="es-CO"/>
        </w:rPr>
        <w:t>actividades antrópicas o</w:t>
      </w:r>
      <w:r w:rsidR="003F7D68" w:rsidRPr="00BD1319">
        <w:rPr>
          <w:lang w:val="es-CO"/>
        </w:rPr>
        <w:t xml:space="preserve"> </w:t>
      </w:r>
      <w:r w:rsidRPr="00BD1319">
        <w:rPr>
          <w:lang w:val="es-CO"/>
        </w:rPr>
        <w:t>procesos de desestabilización natural</w:t>
      </w:r>
      <w:r w:rsidR="006A5D01" w:rsidRPr="00BD1319">
        <w:rPr>
          <w:lang w:val="es-CO"/>
        </w:rPr>
        <w:t>.</w:t>
      </w:r>
      <w:r w:rsidRPr="00BD1319">
        <w:rPr>
          <w:vertAlign w:val="superscript"/>
          <w:lang w:val="es-CO"/>
        </w:rPr>
        <w:t xml:space="preserve"> </w:t>
      </w:r>
      <w:r w:rsidR="00CF2BB6" w:rsidRPr="00BD1319">
        <w:rPr>
          <w:vertAlign w:val="superscript"/>
          <w:lang w:val="es-CO"/>
        </w:rPr>
        <w:t>[</w:t>
      </w:r>
      <w:r w:rsidRPr="00BD1319">
        <w:rPr>
          <w:vertAlign w:val="superscript"/>
          <w:lang w:val="es-CO"/>
        </w:rPr>
        <w:endnoteReference w:id="42"/>
      </w:r>
      <w:r w:rsidR="00CF2BB6" w:rsidRPr="00BD1319">
        <w:rPr>
          <w:vertAlign w:val="superscript"/>
          <w:lang w:val="es-CO"/>
        </w:rPr>
        <w:t>]</w:t>
      </w:r>
    </w:p>
    <w:p w14:paraId="10711F75" w14:textId="02211DC8" w:rsidR="00AA4F93" w:rsidRPr="00BD1319" w:rsidRDefault="00AA4F93" w:rsidP="00C86DA5">
      <w:pPr>
        <w:numPr>
          <w:ilvl w:val="12"/>
          <w:numId w:val="0"/>
        </w:numPr>
        <w:tabs>
          <w:tab w:val="left" w:pos="-2268"/>
        </w:tabs>
        <w:suppressAutoHyphens/>
      </w:pPr>
    </w:p>
    <w:p w14:paraId="32BBF6AF" w14:textId="1C27D2FF" w:rsidR="00AA4F93" w:rsidRPr="00BD1319" w:rsidRDefault="00AA4F93" w:rsidP="00C86DA5">
      <w:pPr>
        <w:pStyle w:val="Prrafodelista"/>
        <w:numPr>
          <w:ilvl w:val="0"/>
          <w:numId w:val="23"/>
        </w:numPr>
        <w:suppressAutoHyphens/>
        <w:ind w:left="567" w:hanging="567"/>
        <w:rPr>
          <w:lang w:val="es-CO"/>
        </w:rPr>
      </w:pPr>
      <w:r w:rsidRPr="00BD1319">
        <w:rPr>
          <w:b/>
          <w:lang w:val="es-CO"/>
        </w:rPr>
        <w:t xml:space="preserve">Servicio </w:t>
      </w:r>
      <w:r w:rsidRPr="00BD1319">
        <w:rPr>
          <w:rFonts w:eastAsia="Calibri"/>
          <w:b/>
          <w:lang w:val="es-CO"/>
        </w:rPr>
        <w:t>ecosistémico</w:t>
      </w:r>
      <w:r w:rsidRPr="00BD1319">
        <w:rPr>
          <w:lang w:val="es-CO"/>
        </w:rPr>
        <w:t xml:space="preserve">: </w:t>
      </w:r>
      <w:r w:rsidR="0057792E" w:rsidRPr="00BD1319">
        <w:rPr>
          <w:lang w:val="es-CO"/>
        </w:rPr>
        <w:t>b</w:t>
      </w:r>
      <w:r w:rsidR="00D930EC" w:rsidRPr="00BD1319">
        <w:rPr>
          <w:lang w:val="es-CO"/>
        </w:rPr>
        <w:t>eneficio</w:t>
      </w:r>
      <w:r w:rsidRPr="00BD1319">
        <w:rPr>
          <w:lang w:val="es-CO"/>
        </w:rPr>
        <w:t xml:space="preserve"> directo </w:t>
      </w:r>
      <w:r w:rsidR="0080177D" w:rsidRPr="00BD1319">
        <w:rPr>
          <w:lang w:val="es-CO"/>
        </w:rPr>
        <w:t>o</w:t>
      </w:r>
      <w:r w:rsidRPr="00BD1319">
        <w:rPr>
          <w:lang w:val="es-CO"/>
        </w:rPr>
        <w:t xml:space="preserve"> indirecto que la humanidad recibe de la biodiversidad y que </w:t>
      </w:r>
      <w:r w:rsidR="0080177D" w:rsidRPr="00BD1319">
        <w:rPr>
          <w:lang w:val="es-CO"/>
        </w:rPr>
        <w:t>e</w:t>
      </w:r>
      <w:r w:rsidRPr="00BD1319">
        <w:rPr>
          <w:lang w:val="es-CO"/>
        </w:rPr>
        <w:t xml:space="preserve">s el resultado de la interacción entre los diferentes componentes, estructuras y funciones que constituyen la biodiversidad. </w:t>
      </w:r>
      <w:r w:rsidR="008F3CBD" w:rsidRPr="00BD1319">
        <w:rPr>
          <w:vertAlign w:val="superscript"/>
          <w:lang w:val="es-CO"/>
        </w:rPr>
        <w:t>[</w:t>
      </w:r>
      <w:bookmarkStart w:id="40" w:name="_Ref78180135"/>
      <w:r w:rsidR="008F3CBD" w:rsidRPr="00BD1319">
        <w:rPr>
          <w:vertAlign w:val="superscript"/>
          <w:lang w:val="es-CO"/>
        </w:rPr>
        <w:endnoteReference w:id="43"/>
      </w:r>
      <w:bookmarkEnd w:id="40"/>
      <w:r w:rsidR="008F3CBD" w:rsidRPr="00BD1319">
        <w:rPr>
          <w:vertAlign w:val="superscript"/>
          <w:lang w:val="es-CO"/>
        </w:rPr>
        <w:t>]</w:t>
      </w:r>
      <w:r w:rsidR="008F3CBD" w:rsidRPr="00BD1319">
        <w:rPr>
          <w:lang w:val="es-CO"/>
        </w:rPr>
        <w:t>.</w:t>
      </w:r>
      <w:r w:rsidR="008F3CBD" w:rsidRPr="00BD1319">
        <w:rPr>
          <w:vertAlign w:val="superscript"/>
          <w:lang w:val="es-CO"/>
        </w:rPr>
        <w:t xml:space="preserve"> </w:t>
      </w:r>
      <w:r w:rsidR="0080177D" w:rsidRPr="00BD1319">
        <w:rPr>
          <w:lang w:val="es-CO"/>
        </w:rPr>
        <w:t>L</w:t>
      </w:r>
      <w:r w:rsidRPr="00BD1319">
        <w:rPr>
          <w:lang w:val="es-CO"/>
        </w:rPr>
        <w:t xml:space="preserve">os servicios ecosistémicos </w:t>
      </w:r>
      <w:r w:rsidR="0080177D" w:rsidRPr="00BD1319">
        <w:rPr>
          <w:lang w:val="es-CO"/>
        </w:rPr>
        <w:t xml:space="preserve">pueden ser </w:t>
      </w:r>
      <w:r w:rsidRPr="00BD1319">
        <w:rPr>
          <w:lang w:val="es-CO"/>
        </w:rPr>
        <w:t>de:</w:t>
      </w:r>
    </w:p>
    <w:p w14:paraId="6FF363EC" w14:textId="77777777" w:rsidR="00AA4F93" w:rsidRPr="00BD1319" w:rsidRDefault="00AA4F93" w:rsidP="009420F5"/>
    <w:p w14:paraId="674D5875" w14:textId="79667445" w:rsidR="00AA4F93" w:rsidRPr="00BD1319" w:rsidRDefault="00AA4F93" w:rsidP="00C86DA5">
      <w:pPr>
        <w:numPr>
          <w:ilvl w:val="0"/>
          <w:numId w:val="24"/>
        </w:numPr>
        <w:suppressAutoHyphens/>
        <w:ind w:left="1134" w:hanging="567"/>
      </w:pPr>
      <w:r w:rsidRPr="00BD1319">
        <w:rPr>
          <w:b/>
        </w:rPr>
        <w:t>Aprovisionamiento</w:t>
      </w:r>
      <w:r w:rsidRPr="00BD1319">
        <w:t xml:space="preserve">: </w:t>
      </w:r>
      <w:r w:rsidR="001D6B92" w:rsidRPr="00BD1319">
        <w:t>b</w:t>
      </w:r>
      <w:r w:rsidR="00D930EC" w:rsidRPr="00BD1319">
        <w:t>ienes</w:t>
      </w:r>
      <w:r w:rsidRPr="00BD1319">
        <w:t xml:space="preserve"> y productos que se obtienen de los ecosistemas, como alimentos, fibras, madera, agua y recursos genéticos.</w:t>
      </w:r>
    </w:p>
    <w:p w14:paraId="1D4766EF" w14:textId="77777777" w:rsidR="00AA4F93" w:rsidRPr="00BD1319" w:rsidRDefault="00AA4F93" w:rsidP="009420F5">
      <w:pPr>
        <w:suppressAutoHyphens/>
      </w:pPr>
    </w:p>
    <w:p w14:paraId="57449DEA" w14:textId="772484B6" w:rsidR="00AA4F93" w:rsidRPr="00BD1319" w:rsidRDefault="00AA4F93" w:rsidP="00C86DA5">
      <w:pPr>
        <w:numPr>
          <w:ilvl w:val="0"/>
          <w:numId w:val="24"/>
        </w:numPr>
        <w:suppressAutoHyphens/>
        <w:ind w:left="1134" w:hanging="567"/>
      </w:pPr>
      <w:r w:rsidRPr="00BD1319">
        <w:rPr>
          <w:b/>
        </w:rPr>
        <w:t>Regulación</w:t>
      </w:r>
      <w:r w:rsidRPr="00BD1319">
        <w:t xml:space="preserve">: </w:t>
      </w:r>
      <w:r w:rsidR="001D6B92" w:rsidRPr="00BD1319">
        <w:t>b</w:t>
      </w:r>
      <w:r w:rsidR="00D930EC" w:rsidRPr="00BD1319">
        <w:t>eneficios</w:t>
      </w:r>
      <w:r w:rsidRPr="00BD1319">
        <w:t xml:space="preserve"> resultantes de la regulación de los procesos ecosistémicos, incluyendo el mantenimiento de la calidad del aire, la regulación del clima, el control de la erosión, el control de enfermedades humanas y la purificación del agua.</w:t>
      </w:r>
    </w:p>
    <w:p w14:paraId="7E6AF198" w14:textId="77777777" w:rsidR="00AA4F93" w:rsidRPr="00BD1319" w:rsidRDefault="00AA4F93" w:rsidP="009420F5">
      <w:pPr>
        <w:suppressAutoHyphens/>
      </w:pPr>
    </w:p>
    <w:p w14:paraId="67C36162" w14:textId="235B725C" w:rsidR="00AA4F93" w:rsidRPr="00BD1319" w:rsidRDefault="00AA4F93" w:rsidP="00C86DA5">
      <w:pPr>
        <w:numPr>
          <w:ilvl w:val="0"/>
          <w:numId w:val="24"/>
        </w:numPr>
        <w:suppressAutoHyphens/>
        <w:ind w:left="1134" w:hanging="567"/>
      </w:pPr>
      <w:r w:rsidRPr="00BD1319">
        <w:rPr>
          <w:b/>
        </w:rPr>
        <w:t>Soporte</w:t>
      </w:r>
      <w:r w:rsidRPr="00BD1319">
        <w:t xml:space="preserve">: </w:t>
      </w:r>
      <w:r w:rsidR="001D6B92" w:rsidRPr="00BD1319">
        <w:t>s</w:t>
      </w:r>
      <w:r w:rsidR="00D930EC" w:rsidRPr="00BD1319">
        <w:t>ervicios</w:t>
      </w:r>
      <w:r w:rsidRPr="00BD1319">
        <w:t xml:space="preserve"> y procesos ecológicos necesarios para el aprovisionamiento y existencia de los demás servicios ecosistémicos, entre estos se incluyen, la producción primaria, la formación del suelo y el ciclado de nutrientes, entre otros.</w:t>
      </w:r>
    </w:p>
    <w:p w14:paraId="4D7BCE88" w14:textId="77777777" w:rsidR="00AA4F93" w:rsidRPr="00BD1319" w:rsidRDefault="00AA4F93" w:rsidP="009420F5">
      <w:pPr>
        <w:suppressAutoHyphens/>
      </w:pPr>
    </w:p>
    <w:p w14:paraId="21AF20C2" w14:textId="3ED62F18" w:rsidR="00AA4F93" w:rsidRPr="00BD1319" w:rsidRDefault="00AA4F93" w:rsidP="00C86DA5">
      <w:pPr>
        <w:numPr>
          <w:ilvl w:val="0"/>
          <w:numId w:val="24"/>
        </w:numPr>
        <w:suppressAutoHyphens/>
        <w:ind w:left="1134" w:hanging="567"/>
      </w:pPr>
      <w:r w:rsidRPr="00BD1319">
        <w:rPr>
          <w:b/>
        </w:rPr>
        <w:t>Culturales</w:t>
      </w:r>
      <w:r w:rsidRPr="00BD1319">
        <w:t xml:space="preserve">: </w:t>
      </w:r>
      <w:r w:rsidR="001D6B92" w:rsidRPr="00BD1319">
        <w:t>b</w:t>
      </w:r>
      <w:r w:rsidR="00D930EC" w:rsidRPr="00BD1319">
        <w:t>eneficios</w:t>
      </w:r>
      <w:r w:rsidRPr="00BD1319">
        <w:t xml:space="preserve"> no materiales obtenidos de los ecosistemas, a través del enriquecimiento espiritual, el desarrollo cognitivo, la reflexión, la recreación y las experiencias estéticas.</w:t>
      </w:r>
    </w:p>
    <w:p w14:paraId="4A9B2059" w14:textId="726B43A1" w:rsidR="00AA4F93" w:rsidRPr="00BD1319" w:rsidRDefault="00AA4F93" w:rsidP="00C86DA5">
      <w:pPr>
        <w:rPr>
          <w:rFonts w:cs="Arial"/>
        </w:rPr>
      </w:pPr>
    </w:p>
    <w:p w14:paraId="180E67F5" w14:textId="15259DAB" w:rsidR="00A24137" w:rsidRPr="00BD1319" w:rsidRDefault="00A24137" w:rsidP="009420F5">
      <w:pPr>
        <w:pStyle w:val="Prrafodelista"/>
        <w:numPr>
          <w:ilvl w:val="0"/>
          <w:numId w:val="21"/>
        </w:numPr>
        <w:ind w:left="567" w:hanging="567"/>
        <w:rPr>
          <w:rFonts w:cs="Arial"/>
          <w:lang w:val="es-CO"/>
        </w:rPr>
      </w:pPr>
      <w:r w:rsidRPr="00BD1319">
        <w:rPr>
          <w:rStyle w:val="baj"/>
          <w:rFonts w:cs="Arial"/>
          <w:b/>
          <w:bCs/>
          <w:lang w:val="es-CO"/>
        </w:rPr>
        <w:lastRenderedPageBreak/>
        <w:t xml:space="preserve">Sitio de disposición final de </w:t>
      </w:r>
      <w:bookmarkStart w:id="41" w:name="_Hlk78179501"/>
      <w:r w:rsidRPr="00BD1319">
        <w:rPr>
          <w:rStyle w:val="baj"/>
          <w:rFonts w:cs="Arial"/>
          <w:b/>
          <w:bCs/>
          <w:lang w:val="es-CO"/>
        </w:rPr>
        <w:t>residuos de construcción y demolición</w:t>
      </w:r>
      <w:bookmarkEnd w:id="41"/>
      <w:r w:rsidRPr="00BD1319">
        <w:rPr>
          <w:rStyle w:val="baj"/>
          <w:rFonts w:cs="Arial"/>
          <w:lang w:val="es-CO"/>
        </w:rPr>
        <w:t>:</w:t>
      </w:r>
      <w:r w:rsidR="008B7580" w:rsidRPr="00BD1319">
        <w:rPr>
          <w:rStyle w:val="baj"/>
          <w:rFonts w:cs="Arial"/>
          <w:lang w:val="es-CO"/>
        </w:rPr>
        <w:t xml:space="preserve"> </w:t>
      </w:r>
      <w:r w:rsidRPr="00BD1319">
        <w:rPr>
          <w:rFonts w:cs="Arial"/>
          <w:lang w:val="es-CO"/>
        </w:rPr>
        <w:t xml:space="preserve">lugar técnicamente seleccionado, diseñado y operado para la disposición final controlada de RCD, minimizando y controlando los impactos ambientales y utilizando principios de ingeniería, para la confinación y aislamiento de dichos residuos. </w:t>
      </w:r>
      <w:r w:rsidRPr="00BD1319">
        <w:rPr>
          <w:rFonts w:cs="Arial"/>
          <w:vertAlign w:val="superscript"/>
          <w:lang w:val="es-CO"/>
        </w:rPr>
        <w:t>[</w:t>
      </w:r>
      <w:r w:rsidR="005051F4" w:rsidRPr="00BD1319">
        <w:rPr>
          <w:rFonts w:cs="Arial"/>
          <w:vertAlign w:val="superscript"/>
          <w:lang w:val="es-CO"/>
        </w:rPr>
        <w:fldChar w:fldCharType="begin"/>
      </w:r>
      <w:r w:rsidR="005051F4" w:rsidRPr="00BD1319">
        <w:rPr>
          <w:rFonts w:cs="Arial"/>
          <w:vertAlign w:val="superscript"/>
          <w:lang w:val="es-CO"/>
        </w:rPr>
        <w:instrText xml:space="preserve"> NOTEREF _Ref78180196 \h </w:instrText>
      </w:r>
      <w:r w:rsidR="00BD1319">
        <w:rPr>
          <w:rFonts w:cs="Arial"/>
          <w:vertAlign w:val="superscript"/>
          <w:lang w:val="es-CO"/>
        </w:rPr>
        <w:instrText xml:space="preserve"> \* MERGEFORMAT </w:instrText>
      </w:r>
      <w:r w:rsidR="005051F4" w:rsidRPr="00BD1319">
        <w:rPr>
          <w:rFonts w:cs="Arial"/>
          <w:vertAlign w:val="superscript"/>
          <w:lang w:val="es-CO"/>
        </w:rPr>
      </w:r>
      <w:r w:rsidR="005051F4" w:rsidRPr="00BD1319">
        <w:rPr>
          <w:rFonts w:cs="Arial"/>
          <w:vertAlign w:val="superscript"/>
          <w:lang w:val="es-CO"/>
        </w:rPr>
        <w:fldChar w:fldCharType="separate"/>
      </w:r>
      <w:r w:rsidR="00296654" w:rsidRPr="00BD1319">
        <w:rPr>
          <w:rFonts w:cs="Arial"/>
          <w:vertAlign w:val="superscript"/>
          <w:lang w:val="es-CO"/>
        </w:rPr>
        <w:t>40</w:t>
      </w:r>
      <w:r w:rsidR="005051F4" w:rsidRPr="00BD1319">
        <w:rPr>
          <w:rFonts w:cs="Arial"/>
          <w:vertAlign w:val="superscript"/>
          <w:lang w:val="es-CO"/>
        </w:rPr>
        <w:fldChar w:fldCharType="end"/>
      </w:r>
      <w:r w:rsidRPr="00BD1319">
        <w:rPr>
          <w:rFonts w:cs="Arial"/>
          <w:vertAlign w:val="superscript"/>
          <w:lang w:val="es-CO"/>
        </w:rPr>
        <w:t>]</w:t>
      </w:r>
    </w:p>
    <w:p w14:paraId="0A042EA0" w14:textId="77777777" w:rsidR="00A24137" w:rsidRPr="00BD1319" w:rsidRDefault="00A24137" w:rsidP="00C86DA5">
      <w:pPr>
        <w:rPr>
          <w:rFonts w:cs="Arial"/>
        </w:rPr>
      </w:pPr>
    </w:p>
    <w:p w14:paraId="3C34CE73" w14:textId="39D976DF" w:rsidR="00AA4F93" w:rsidRPr="00BD1319" w:rsidRDefault="00AA4F93" w:rsidP="00456AB1">
      <w:pPr>
        <w:pStyle w:val="Prrafodelista"/>
        <w:numPr>
          <w:ilvl w:val="0"/>
          <w:numId w:val="23"/>
        </w:numPr>
        <w:suppressAutoHyphens/>
        <w:ind w:left="567" w:hanging="567"/>
        <w:rPr>
          <w:rFonts w:cs="Arial"/>
          <w:lang w:val="es-CO"/>
        </w:rPr>
      </w:pPr>
      <w:proofErr w:type="spellStart"/>
      <w:r w:rsidRPr="00BD1319">
        <w:rPr>
          <w:rFonts w:eastAsia="Calibri" w:cs="Arial"/>
          <w:b/>
          <w:lang w:val="es-CO"/>
        </w:rPr>
        <w:t>Socioecosistema</w:t>
      </w:r>
      <w:proofErr w:type="spellEnd"/>
      <w:r w:rsidRPr="00BD1319">
        <w:rPr>
          <w:rFonts w:cs="Arial"/>
          <w:lang w:val="es-CO"/>
        </w:rPr>
        <w:t>: integración de los sistemas ecológicos y sociales, en dónde existe y se reconoce una relación entre la sociedad y la naturaleza en permanente movimiento y evolución, en la que intervienen múltiples redes de actores y relaciones</w:t>
      </w:r>
      <w:r w:rsidR="006A5D01" w:rsidRPr="00BD1319">
        <w:rPr>
          <w:rFonts w:cs="Arial"/>
          <w:lang w:val="es-CO"/>
        </w:rPr>
        <w:t>.</w:t>
      </w:r>
      <w:r w:rsidR="00CF2BB6" w:rsidRPr="00BD1319">
        <w:rPr>
          <w:rFonts w:cs="Arial"/>
          <w:lang w:val="es-CO"/>
        </w:rPr>
        <w:t xml:space="preserve"> </w:t>
      </w:r>
      <w:r w:rsidR="00CF2BB6" w:rsidRPr="00BD1319">
        <w:rPr>
          <w:rFonts w:cs="Arial"/>
          <w:vertAlign w:val="superscript"/>
          <w:lang w:val="es-CO"/>
        </w:rPr>
        <w:t>[</w:t>
      </w:r>
      <w:r w:rsidRPr="00BD1319">
        <w:rPr>
          <w:rStyle w:val="Refdenotaalfinal"/>
          <w:rFonts w:cs="Arial"/>
          <w:lang w:val="es-CO"/>
        </w:rPr>
        <w:endnoteReference w:id="44"/>
      </w:r>
      <w:r w:rsidR="00CF2BB6" w:rsidRPr="00BD1319">
        <w:rPr>
          <w:rFonts w:cs="Arial"/>
          <w:vertAlign w:val="superscript"/>
          <w:lang w:val="es-CO"/>
        </w:rPr>
        <w:t>]</w:t>
      </w:r>
    </w:p>
    <w:p w14:paraId="50E0DCA1" w14:textId="77777777" w:rsidR="00AA4F93" w:rsidRPr="00BD1319" w:rsidRDefault="00AA4F93" w:rsidP="009420F5">
      <w:pPr>
        <w:suppressAutoHyphens/>
        <w:rPr>
          <w:rFonts w:cs="Arial"/>
        </w:rPr>
      </w:pPr>
    </w:p>
    <w:p w14:paraId="5D7CF7EF" w14:textId="74D5E933" w:rsidR="00AA4F93" w:rsidRPr="00BD1319" w:rsidRDefault="00AA4F93" w:rsidP="00C86DA5">
      <w:pPr>
        <w:numPr>
          <w:ilvl w:val="0"/>
          <w:numId w:val="19"/>
        </w:numPr>
        <w:suppressAutoHyphens/>
        <w:ind w:left="567" w:hanging="567"/>
      </w:pPr>
      <w:r w:rsidRPr="00BD1319">
        <w:rPr>
          <w:b/>
        </w:rPr>
        <w:t>Suelo</w:t>
      </w:r>
      <w:r w:rsidRPr="00BD1319">
        <w:t xml:space="preserve">: </w:t>
      </w:r>
      <w:r w:rsidR="00204808" w:rsidRPr="00BD1319">
        <w:t>componente fundamental del ambiente, natural y finito, constituido por minerales, aire, agua, materia orgánica, macro, meso y microorganismos que desempeñan procesos permanentes de tipos biótico y abiótico, cumpliendo funciones vitales para la sociedad y el planeta</w:t>
      </w:r>
      <w:r w:rsidR="006A5D01" w:rsidRPr="00BD1319">
        <w:rPr>
          <w:rFonts w:cs="Arial"/>
        </w:rPr>
        <w:t>.</w:t>
      </w:r>
      <w:r w:rsidRPr="00BD1319">
        <w:rPr>
          <w:rFonts w:cs="Arial"/>
        </w:rPr>
        <w:t xml:space="preserve"> </w:t>
      </w:r>
      <w:r w:rsidR="00CF2BB6" w:rsidRPr="00BD1319">
        <w:rPr>
          <w:rFonts w:cs="Arial"/>
          <w:vertAlign w:val="superscript"/>
        </w:rPr>
        <w:t>[</w:t>
      </w:r>
      <w:bookmarkStart w:id="42" w:name="_Ref78180130"/>
      <w:r w:rsidRPr="00BD1319">
        <w:rPr>
          <w:vertAlign w:val="superscript"/>
        </w:rPr>
        <w:endnoteReference w:id="45"/>
      </w:r>
      <w:bookmarkEnd w:id="42"/>
      <w:r w:rsidR="00CF2BB6" w:rsidRPr="00BD1319">
        <w:rPr>
          <w:rFonts w:cs="Arial"/>
          <w:vertAlign w:val="superscript"/>
        </w:rPr>
        <w:t>]</w:t>
      </w:r>
    </w:p>
    <w:p w14:paraId="1E4077CC" w14:textId="77777777" w:rsidR="00AA4F93" w:rsidRPr="00BD1319" w:rsidRDefault="00AA4F93" w:rsidP="009420F5">
      <w:pPr>
        <w:suppressAutoHyphens/>
      </w:pPr>
    </w:p>
    <w:p w14:paraId="7948EDA2" w14:textId="428F8C6C" w:rsidR="00F0129E" w:rsidRPr="00BD1319" w:rsidRDefault="00F0129E" w:rsidP="000D6E21">
      <w:pPr>
        <w:numPr>
          <w:ilvl w:val="0"/>
          <w:numId w:val="19"/>
        </w:numPr>
        <w:suppressAutoHyphens/>
        <w:ind w:left="567" w:hanging="567"/>
        <w:rPr>
          <w:bCs/>
        </w:rPr>
      </w:pPr>
      <w:r w:rsidRPr="00BD1319">
        <w:rPr>
          <w:b/>
        </w:rPr>
        <w:t>Tasa de muestreo acústico</w:t>
      </w:r>
      <w:r w:rsidRPr="00BD1319">
        <w:rPr>
          <w:bCs/>
        </w:rPr>
        <w:t xml:space="preserve">: </w:t>
      </w:r>
      <w:r w:rsidR="00457411" w:rsidRPr="00BD1319">
        <w:rPr>
          <w:bCs/>
        </w:rPr>
        <w:t>determina la cantidad de bits que debe muestrear un dispositivo por unidad de tiempo. Esta debe ser el doble de la frecuencia máxima que se desea muestrear (Teorema de Nyquist-Shannon), pues solo así se puede lograr una muestra representativa de una señal acústica con muchas oscilaciones por unidad de tiempo (alta frecuencia)</w:t>
      </w:r>
      <w:r w:rsidRPr="00BD1319">
        <w:rPr>
          <w:bCs/>
        </w:rPr>
        <w:t>.</w:t>
      </w:r>
      <w:r w:rsidR="004816BC" w:rsidRPr="00BD1319">
        <w:rPr>
          <w:bCs/>
        </w:rPr>
        <w:t xml:space="preserve"> </w:t>
      </w:r>
      <w:r w:rsidR="004816BC" w:rsidRPr="00BD1319">
        <w:rPr>
          <w:vertAlign w:val="superscript"/>
        </w:rPr>
        <w:t>[</w:t>
      </w:r>
      <w:r w:rsidR="004816BC" w:rsidRPr="00BD1319">
        <w:rPr>
          <w:vertAlign w:val="superscript"/>
        </w:rPr>
        <w:endnoteReference w:id="46"/>
      </w:r>
      <w:r w:rsidR="004816BC" w:rsidRPr="00BD1319">
        <w:rPr>
          <w:vertAlign w:val="superscript"/>
        </w:rPr>
        <w:t>]</w:t>
      </w:r>
    </w:p>
    <w:p w14:paraId="00F7A51E" w14:textId="77777777" w:rsidR="00F0129E" w:rsidRPr="00BD1319" w:rsidRDefault="00F0129E" w:rsidP="009420F5">
      <w:pPr>
        <w:suppressAutoHyphens/>
      </w:pPr>
    </w:p>
    <w:p w14:paraId="2AB56FCA" w14:textId="133C8A3C" w:rsidR="00602085" w:rsidRPr="00BD1319" w:rsidRDefault="00602085" w:rsidP="00C86DA5">
      <w:pPr>
        <w:numPr>
          <w:ilvl w:val="0"/>
          <w:numId w:val="19"/>
        </w:numPr>
        <w:suppressAutoHyphens/>
        <w:ind w:left="567" w:hanging="567"/>
      </w:pPr>
      <w:r w:rsidRPr="00BD1319">
        <w:rPr>
          <w:b/>
        </w:rPr>
        <w:t>Tecnología ambientalmente racional</w:t>
      </w:r>
      <w:r w:rsidRPr="00BD1319">
        <w:t xml:space="preserve">: aquella que </w:t>
      </w:r>
      <w:r w:rsidR="0080177D" w:rsidRPr="00BD1319">
        <w:t>e</w:t>
      </w:r>
      <w:r w:rsidRPr="00BD1319">
        <w:t>s menos contaminante, utiliza los recursos en forma más sostenible, recicla una mayor porción de sus desechos y productos y trata los desechos residuales en forma más aceptable que otr</w:t>
      </w:r>
      <w:r w:rsidR="0080177D" w:rsidRPr="00BD1319">
        <w:t>o tipo de</w:t>
      </w:r>
      <w:r w:rsidRPr="00BD1319">
        <w:t xml:space="preserve"> tecnología. </w:t>
      </w:r>
      <w:r w:rsidRPr="00BD1319">
        <w:rPr>
          <w:vertAlign w:val="superscript"/>
        </w:rPr>
        <w:t>[</w:t>
      </w:r>
      <w:r w:rsidRPr="00BD1319">
        <w:rPr>
          <w:vertAlign w:val="superscript"/>
        </w:rPr>
        <w:endnoteReference w:id="47"/>
      </w:r>
      <w:r w:rsidRPr="00BD1319">
        <w:rPr>
          <w:vertAlign w:val="superscript"/>
        </w:rPr>
        <w:t>]</w:t>
      </w:r>
    </w:p>
    <w:p w14:paraId="4BF3E6CF" w14:textId="77777777" w:rsidR="00602085" w:rsidRPr="00BD1319" w:rsidRDefault="00602085" w:rsidP="009420F5"/>
    <w:p w14:paraId="2A409D22" w14:textId="41D964DD" w:rsidR="00AA4F93" w:rsidRPr="00BD1319" w:rsidRDefault="00AA4F93" w:rsidP="009420F5">
      <w:pPr>
        <w:numPr>
          <w:ilvl w:val="0"/>
          <w:numId w:val="19"/>
        </w:numPr>
        <w:suppressAutoHyphens/>
        <w:ind w:left="567" w:hanging="567"/>
        <w:rPr>
          <w:rFonts w:eastAsia="Calibri" w:cs="Arial"/>
          <w:lang w:eastAsia="en-US"/>
        </w:rPr>
      </w:pPr>
      <w:r w:rsidRPr="00BD1319">
        <w:rPr>
          <w:rFonts w:eastAsia="Calibri" w:cs="Arial"/>
          <w:b/>
          <w:lang w:eastAsia="en-US"/>
        </w:rPr>
        <w:t>Territorio colectivo</w:t>
      </w:r>
      <w:r w:rsidR="00DF117B" w:rsidRPr="00BD1319">
        <w:rPr>
          <w:rFonts w:eastAsia="Calibri" w:cs="Arial"/>
          <w:b/>
          <w:lang w:eastAsia="en-US"/>
        </w:rPr>
        <w:t xml:space="preserve"> de comunidades negras</w:t>
      </w:r>
      <w:r w:rsidRPr="00BD1319">
        <w:rPr>
          <w:rFonts w:eastAsia="Calibri" w:cs="Arial"/>
          <w:lang w:eastAsia="en-US"/>
        </w:rPr>
        <w:t xml:space="preserve">: </w:t>
      </w:r>
      <w:r w:rsidR="000F54E5" w:rsidRPr="00BD1319">
        <w:rPr>
          <w:rFonts w:eastAsia="Calibri" w:cs="Arial"/>
          <w:lang w:eastAsia="en-US"/>
        </w:rPr>
        <w:t>terreno de ocupación histórica de comunidades negras sobre el cual se ha reconocido el derecho a la propiedad y ha sido adjudicado de manera colectiva mediante resolución del Instituto Colombiano de Reforma Agraria (INCORA) o por el Instituto Colombiano de Desarrollo Rural (INCODER), en el que habitan o realizan actividades sociales, económicas y culturales las comunidades negras del país</w:t>
      </w:r>
      <w:r w:rsidR="00761FEE" w:rsidRPr="00BD1319">
        <w:rPr>
          <w:rFonts w:eastAsia="Calibri" w:cs="Arial"/>
          <w:i/>
          <w:lang w:eastAsia="en-US"/>
        </w:rPr>
        <w:t>.</w:t>
      </w:r>
      <w:r w:rsidR="00761FEE" w:rsidRPr="00BD1319">
        <w:rPr>
          <w:rFonts w:eastAsia="Calibri" w:cs="Arial"/>
          <w:lang w:eastAsia="en-US"/>
        </w:rPr>
        <w:t xml:space="preserve"> </w:t>
      </w:r>
      <w:r w:rsidR="00CF2BB6" w:rsidRPr="00BD1319">
        <w:rPr>
          <w:rFonts w:eastAsia="Calibri" w:cs="Arial"/>
          <w:vertAlign w:val="superscript"/>
          <w:lang w:eastAsia="en-US"/>
        </w:rPr>
        <w:t>[</w:t>
      </w:r>
      <w:r w:rsidR="008B7580" w:rsidRPr="00BD1319">
        <w:rPr>
          <w:rFonts w:eastAsia="Calibri" w:cs="Arial"/>
          <w:vertAlign w:val="superscript"/>
          <w:lang w:eastAsia="en-US"/>
        </w:rPr>
        <w:fldChar w:fldCharType="begin"/>
      </w:r>
      <w:r w:rsidR="008B7580" w:rsidRPr="00BD1319">
        <w:rPr>
          <w:rFonts w:eastAsia="Calibri" w:cs="Arial"/>
          <w:vertAlign w:val="superscript"/>
          <w:lang w:eastAsia="en-US"/>
        </w:rPr>
        <w:instrText xml:space="preserve"> NOTEREF _Ref78191010 \h </w:instrText>
      </w:r>
      <w:r w:rsidR="006A4128" w:rsidRPr="00BD1319">
        <w:rPr>
          <w:rFonts w:eastAsia="Calibri" w:cs="Arial"/>
          <w:vertAlign w:val="superscript"/>
          <w:lang w:eastAsia="en-US"/>
        </w:rPr>
        <w:instrText xml:space="preserve"> \* MERGEFORMAT </w:instrText>
      </w:r>
      <w:r w:rsidR="008B7580" w:rsidRPr="00BD1319">
        <w:rPr>
          <w:rFonts w:eastAsia="Calibri" w:cs="Arial"/>
          <w:vertAlign w:val="superscript"/>
          <w:lang w:eastAsia="en-US"/>
        </w:rPr>
      </w:r>
      <w:r w:rsidR="008B7580" w:rsidRPr="00BD1319">
        <w:rPr>
          <w:rFonts w:eastAsia="Calibri" w:cs="Arial"/>
          <w:vertAlign w:val="superscript"/>
          <w:lang w:eastAsia="en-US"/>
        </w:rPr>
        <w:fldChar w:fldCharType="separate"/>
      </w:r>
      <w:r w:rsidR="00296654" w:rsidRPr="00BD1319">
        <w:rPr>
          <w:rFonts w:eastAsia="Calibri" w:cs="Arial"/>
          <w:vertAlign w:val="superscript"/>
          <w:lang w:eastAsia="en-US"/>
        </w:rPr>
        <w:t>13</w:t>
      </w:r>
      <w:r w:rsidR="008B7580" w:rsidRPr="00BD1319">
        <w:rPr>
          <w:rFonts w:eastAsia="Calibri" w:cs="Arial"/>
          <w:vertAlign w:val="superscript"/>
          <w:lang w:eastAsia="en-US"/>
        </w:rPr>
        <w:fldChar w:fldCharType="end"/>
      </w:r>
      <w:r w:rsidR="00CF2BB6" w:rsidRPr="00BD1319">
        <w:rPr>
          <w:rFonts w:eastAsia="Calibri" w:cs="Arial"/>
          <w:vertAlign w:val="superscript"/>
          <w:lang w:eastAsia="en-US"/>
        </w:rPr>
        <w:t>]</w:t>
      </w:r>
    </w:p>
    <w:p w14:paraId="0BD8FAE5" w14:textId="77777777" w:rsidR="00AA4F93" w:rsidRPr="00BD1319" w:rsidRDefault="00AA4F93" w:rsidP="009420F5">
      <w:pPr>
        <w:suppressAutoHyphens/>
        <w:rPr>
          <w:rFonts w:cs="Arial"/>
        </w:rPr>
      </w:pPr>
    </w:p>
    <w:p w14:paraId="5DDA2ABF" w14:textId="699FD0FD" w:rsidR="00AA4F93" w:rsidRPr="00BD1319" w:rsidRDefault="00A27AE3" w:rsidP="00C86DA5">
      <w:pPr>
        <w:numPr>
          <w:ilvl w:val="0"/>
          <w:numId w:val="19"/>
        </w:numPr>
        <w:suppressAutoHyphens/>
        <w:ind w:left="567" w:hanging="567"/>
      </w:pPr>
      <w:bookmarkStart w:id="43" w:name="_Hlk96501411"/>
      <w:r w:rsidRPr="00BD1319">
        <w:rPr>
          <w:b/>
        </w:rPr>
        <w:t>Tramo o sector homogéneo para captación u ocupación de cauce</w:t>
      </w:r>
      <w:r w:rsidRPr="00BD1319">
        <w:rPr>
          <w:bCs/>
        </w:rPr>
        <w:t xml:space="preserve">: segmento (para sistemas lóticos) o área (para sistemas lénticos) de un cuerpo de agua cuyas características fisicoquímicas, hidrobiológicas, hidráulicas, </w:t>
      </w:r>
      <w:r w:rsidRPr="00BD1319">
        <w:rPr>
          <w:bCs/>
        </w:rPr>
        <w:lastRenderedPageBreak/>
        <w:t>hidrológicas y de estabilidad de márgenes, de cobertura vegetal y de uso del recurso son similares</w:t>
      </w:r>
      <w:r w:rsidR="00761FEE" w:rsidRPr="00BD1319">
        <w:rPr>
          <w:bCs/>
        </w:rPr>
        <w:t>.</w:t>
      </w:r>
      <w:r w:rsidRPr="00BD1319">
        <w:rPr>
          <w:bCs/>
        </w:rPr>
        <w:t xml:space="preserve"> </w:t>
      </w:r>
      <w:r w:rsidRPr="00BD1319">
        <w:rPr>
          <w:color w:val="000000"/>
          <w:vertAlign w:val="superscript"/>
        </w:rPr>
        <w:t>[</w:t>
      </w:r>
      <w:r w:rsidRPr="00BD1319">
        <w:rPr>
          <w:rStyle w:val="Refdenotaalfinal"/>
          <w:rFonts w:cs="Arial"/>
          <w:color w:val="000000"/>
        </w:rPr>
        <w:endnoteReference w:id="48"/>
      </w:r>
      <w:r w:rsidRPr="00BD1319">
        <w:rPr>
          <w:color w:val="000000"/>
          <w:vertAlign w:val="superscript"/>
        </w:rPr>
        <w:t>]</w:t>
      </w:r>
    </w:p>
    <w:bookmarkEnd w:id="43"/>
    <w:p w14:paraId="4B803AE7" w14:textId="30ED6915" w:rsidR="00AA4F93" w:rsidRPr="00BD1319" w:rsidRDefault="00AA4F93" w:rsidP="00C86DA5">
      <w:pPr>
        <w:numPr>
          <w:ilvl w:val="12"/>
          <w:numId w:val="0"/>
        </w:numPr>
        <w:tabs>
          <w:tab w:val="left" w:pos="-2268"/>
        </w:tabs>
        <w:suppressAutoHyphens/>
      </w:pPr>
    </w:p>
    <w:p w14:paraId="5245B043" w14:textId="5B7EEDBC" w:rsidR="00AA4F93" w:rsidRPr="00BD1319" w:rsidRDefault="00AA4F93" w:rsidP="00C86DA5">
      <w:pPr>
        <w:numPr>
          <w:ilvl w:val="0"/>
          <w:numId w:val="19"/>
        </w:numPr>
        <w:suppressAutoHyphens/>
        <w:ind w:left="567" w:hanging="567"/>
      </w:pPr>
      <w:r w:rsidRPr="00BD1319">
        <w:rPr>
          <w:b/>
          <w:color w:val="000000"/>
        </w:rPr>
        <w:t>Unidad ambiental costera</w:t>
      </w:r>
      <w:r w:rsidRPr="00BD1319">
        <w:rPr>
          <w:color w:val="000000"/>
        </w:rPr>
        <w:t>:</w:t>
      </w:r>
      <w:r w:rsidR="0066232C" w:rsidRPr="00BD1319">
        <w:rPr>
          <w:color w:val="000000"/>
          <w:sz w:val="20"/>
        </w:rPr>
        <w:t xml:space="preserve"> </w:t>
      </w:r>
      <w:r w:rsidR="0066232C" w:rsidRPr="00BD1319">
        <w:rPr>
          <w:color w:val="000000"/>
        </w:rPr>
        <w:t>área de la zona costera definida geográficamente para su ordenación y manejo, que contiene ecosistemas con características propias y distintivas, con condiciones similares y de conectividad en cuanto a sus aspectos estructurales y funcionales.</w:t>
      </w:r>
      <w:r w:rsidR="008F3CBD" w:rsidRPr="00BD1319">
        <w:rPr>
          <w:color w:val="000000"/>
        </w:rPr>
        <w:t xml:space="preserve"> </w:t>
      </w:r>
      <w:r w:rsidR="008F3CBD" w:rsidRPr="00BD1319">
        <w:rPr>
          <w:color w:val="000000"/>
          <w:vertAlign w:val="superscript"/>
        </w:rPr>
        <w:t>[</w:t>
      </w:r>
      <w:r w:rsidRPr="00BD1319">
        <w:rPr>
          <w:rStyle w:val="Refdenotaalfinal"/>
          <w:rFonts w:cs="Arial"/>
          <w:color w:val="000000"/>
        </w:rPr>
        <w:endnoteReference w:id="49"/>
      </w:r>
      <w:r w:rsidR="008F3CBD" w:rsidRPr="00BD1319">
        <w:rPr>
          <w:color w:val="000000"/>
          <w:vertAlign w:val="superscript"/>
        </w:rPr>
        <w:t>]</w:t>
      </w:r>
    </w:p>
    <w:p w14:paraId="5687E9AF" w14:textId="77777777" w:rsidR="00AA4F93" w:rsidRPr="00BD1319" w:rsidRDefault="00AA4F93" w:rsidP="009420F5">
      <w:pPr>
        <w:suppressAutoHyphens/>
        <w:rPr>
          <w:color w:val="000000"/>
        </w:rPr>
      </w:pPr>
    </w:p>
    <w:p w14:paraId="1C43689A" w14:textId="4AB58DD5" w:rsidR="00170926" w:rsidRPr="00BD1319" w:rsidRDefault="00170926" w:rsidP="009420F5">
      <w:pPr>
        <w:pStyle w:val="Prrafodelista"/>
        <w:numPr>
          <w:ilvl w:val="0"/>
          <w:numId w:val="21"/>
        </w:numPr>
        <w:suppressAutoHyphens/>
        <w:ind w:left="567" w:hanging="567"/>
        <w:rPr>
          <w:color w:val="000000"/>
          <w:lang w:val="es-CO"/>
        </w:rPr>
      </w:pPr>
      <w:r w:rsidRPr="00BD1319">
        <w:rPr>
          <w:rFonts w:cs="Arial"/>
          <w:b/>
          <w:lang w:val="es-CO"/>
        </w:rPr>
        <w:t>Unidad de análisis</w:t>
      </w:r>
      <w:r w:rsidRPr="00BD1319">
        <w:rPr>
          <w:rFonts w:cs="Arial"/>
          <w:lang w:val="es-CO"/>
        </w:rPr>
        <w:t xml:space="preserve">: </w:t>
      </w:r>
      <w:r w:rsidRPr="00BD1319">
        <w:rPr>
          <w:rFonts w:cs="Arial"/>
          <w:color w:val="000000"/>
          <w:lang w:val="es-CO"/>
        </w:rPr>
        <w:t xml:space="preserve">área geográfica </w:t>
      </w:r>
      <w:r w:rsidRPr="00BD1319">
        <w:rPr>
          <w:color w:val="000000"/>
          <w:lang w:val="es-CO"/>
        </w:rPr>
        <w:t>que a una determinada escala es temáticamente homogénea; presenta dimensiones concretas y es cartografiable.</w:t>
      </w:r>
    </w:p>
    <w:p w14:paraId="7EDA92A6" w14:textId="77777777" w:rsidR="00170926" w:rsidRPr="00BD1319" w:rsidRDefault="00170926" w:rsidP="009420F5">
      <w:pPr>
        <w:suppressAutoHyphens/>
        <w:rPr>
          <w:color w:val="000000"/>
        </w:rPr>
      </w:pPr>
    </w:p>
    <w:p w14:paraId="371CB544" w14:textId="77F8B014" w:rsidR="00AA4F93" w:rsidRPr="00BD1319" w:rsidRDefault="00AA4F93" w:rsidP="00456AB1">
      <w:pPr>
        <w:numPr>
          <w:ilvl w:val="0"/>
          <w:numId w:val="19"/>
        </w:numPr>
        <w:suppressAutoHyphens/>
        <w:ind w:left="567" w:hanging="567"/>
        <w:rPr>
          <w:rFonts w:cs="Arial"/>
          <w:color w:val="000000"/>
        </w:rPr>
      </w:pPr>
      <w:r w:rsidRPr="00BD1319">
        <w:rPr>
          <w:rFonts w:cs="Arial"/>
          <w:b/>
        </w:rPr>
        <w:t>Unidad de análisis territorial</w:t>
      </w:r>
      <w:r w:rsidRPr="00BD1319">
        <w:rPr>
          <w:rFonts w:cs="Arial"/>
        </w:rPr>
        <w:t xml:space="preserve">: </w:t>
      </w:r>
      <w:r w:rsidR="000F6A88" w:rsidRPr="00BD1319">
        <w:rPr>
          <w:rFonts w:cs="Arial"/>
          <w:color w:val="000000"/>
        </w:rPr>
        <w:t>unidad de análisis propia</w:t>
      </w:r>
      <w:r w:rsidRPr="00BD1319">
        <w:rPr>
          <w:rFonts w:cs="Arial"/>
          <w:color w:val="000000"/>
        </w:rPr>
        <w:t xml:space="preserve"> del medio socioeconómico que puede coincidir con </w:t>
      </w:r>
      <w:r w:rsidR="005A3320" w:rsidRPr="00BD1319">
        <w:rPr>
          <w:rFonts w:cs="Arial"/>
          <w:color w:val="000000"/>
        </w:rPr>
        <w:t xml:space="preserve">los límites </w:t>
      </w:r>
      <w:r w:rsidRPr="00BD1319">
        <w:rPr>
          <w:rFonts w:cs="Arial"/>
          <w:color w:val="000000"/>
        </w:rPr>
        <w:t xml:space="preserve">de </w:t>
      </w:r>
      <w:r w:rsidR="005A3320" w:rsidRPr="00BD1319">
        <w:rPr>
          <w:rFonts w:cs="Arial"/>
          <w:color w:val="000000"/>
        </w:rPr>
        <w:t>figuras legales de división territorial como</w:t>
      </w:r>
      <w:r w:rsidRPr="00BD1319">
        <w:rPr>
          <w:rFonts w:cs="Arial"/>
          <w:color w:val="000000"/>
        </w:rPr>
        <w:t xml:space="preserve"> municipios, resguardos indígenas, territorios colectivos, corregimientos</w:t>
      </w:r>
      <w:r w:rsidR="00315E6E" w:rsidRPr="00BD1319">
        <w:rPr>
          <w:rFonts w:cs="Arial"/>
          <w:color w:val="000000"/>
        </w:rPr>
        <w:t xml:space="preserve"> municipales</w:t>
      </w:r>
      <w:r w:rsidRPr="00BD1319">
        <w:rPr>
          <w:rFonts w:cs="Arial"/>
          <w:color w:val="000000"/>
        </w:rPr>
        <w:t>, barrios, veredas o sector de vereda</w:t>
      </w:r>
      <w:r w:rsidR="004625FF" w:rsidRPr="00BD1319">
        <w:rPr>
          <w:rFonts w:cs="Arial"/>
          <w:color w:val="000000"/>
        </w:rPr>
        <w:t>, comunidades o rancherías</w:t>
      </w:r>
      <w:r w:rsidR="00761FEE" w:rsidRPr="00BD1319">
        <w:rPr>
          <w:rFonts w:cs="Arial"/>
          <w:color w:val="000000"/>
        </w:rPr>
        <w:t>.</w:t>
      </w:r>
    </w:p>
    <w:p w14:paraId="1EE51E2D" w14:textId="38CFC60F" w:rsidR="00AA4F93" w:rsidRPr="00BD1319" w:rsidRDefault="00AA4F93" w:rsidP="00F35011">
      <w:pPr>
        <w:numPr>
          <w:ilvl w:val="12"/>
          <w:numId w:val="0"/>
        </w:numPr>
        <w:tabs>
          <w:tab w:val="left" w:pos="-2268"/>
        </w:tabs>
        <w:suppressAutoHyphens/>
        <w:rPr>
          <w:rFonts w:cs="Arial"/>
        </w:rPr>
      </w:pPr>
    </w:p>
    <w:p w14:paraId="6CE5C657" w14:textId="6CDBC44A" w:rsidR="00AA4F93" w:rsidRPr="00BD1319" w:rsidRDefault="00AA4F93" w:rsidP="00C86DA5">
      <w:pPr>
        <w:numPr>
          <w:ilvl w:val="0"/>
          <w:numId w:val="19"/>
        </w:numPr>
        <w:suppressAutoHyphens/>
        <w:ind w:left="567" w:hanging="567"/>
      </w:pPr>
      <w:r w:rsidRPr="00BD1319">
        <w:rPr>
          <w:b/>
        </w:rPr>
        <w:t>Unidad social</w:t>
      </w:r>
      <w:r w:rsidRPr="00BD1319">
        <w:t xml:space="preserve">: </w:t>
      </w:r>
      <w:r w:rsidR="0057792E" w:rsidRPr="00BD1319">
        <w:t>conjunto</w:t>
      </w:r>
      <w:r w:rsidRPr="00BD1319">
        <w:t xml:space="preserve"> de </w:t>
      </w:r>
      <w:r w:rsidRPr="00BD1319">
        <w:rPr>
          <w:rFonts w:cs="Arial"/>
        </w:rPr>
        <w:t>personas</w:t>
      </w:r>
      <w:r w:rsidRPr="00BD1319">
        <w:t xml:space="preserve"> que guardan una relación de dependencia legal, física o económica con relación a un inmueble</w:t>
      </w:r>
      <w:r w:rsidR="008F3CBD" w:rsidRPr="00BD1319">
        <w:t xml:space="preserve"> </w:t>
      </w:r>
      <w:r w:rsidR="008F3CBD" w:rsidRPr="00BD1319">
        <w:rPr>
          <w:vertAlign w:val="superscript"/>
        </w:rPr>
        <w:t>[</w:t>
      </w:r>
      <w:bookmarkStart w:id="44" w:name="_Ref78180121"/>
      <w:r w:rsidRPr="00BD1319">
        <w:rPr>
          <w:vertAlign w:val="superscript"/>
        </w:rPr>
        <w:endnoteReference w:id="50"/>
      </w:r>
      <w:bookmarkEnd w:id="44"/>
      <w:r w:rsidR="008F3CBD" w:rsidRPr="00BD1319">
        <w:rPr>
          <w:vertAlign w:val="superscript"/>
        </w:rPr>
        <w:t>]</w:t>
      </w:r>
      <w:r w:rsidRPr="00BD1319" w:rsidDel="00832AB5">
        <w:rPr>
          <w:rFonts w:cs="Arial"/>
        </w:rPr>
        <w:t>.</w:t>
      </w:r>
      <w:r w:rsidRPr="00BD1319">
        <w:t xml:space="preserve"> Las </w:t>
      </w:r>
      <w:r w:rsidR="00DE1333" w:rsidRPr="00BD1319">
        <w:rPr>
          <w:rFonts w:cs="Arial"/>
        </w:rPr>
        <w:t>u</w:t>
      </w:r>
      <w:r w:rsidR="004F0F0E" w:rsidRPr="00BD1319">
        <w:rPr>
          <w:rFonts w:cs="Arial"/>
        </w:rPr>
        <w:t>nidades</w:t>
      </w:r>
      <w:r w:rsidRPr="00BD1319">
        <w:t xml:space="preserve"> sociales pueden ser:</w:t>
      </w:r>
    </w:p>
    <w:p w14:paraId="45F6FC3B" w14:textId="77777777" w:rsidR="00AA4F93" w:rsidRPr="00BD1319" w:rsidRDefault="00AA4F93" w:rsidP="00C86DA5">
      <w:pPr>
        <w:tabs>
          <w:tab w:val="left" w:pos="-3828"/>
        </w:tabs>
        <w:suppressAutoHyphens/>
        <w:overflowPunct/>
        <w:autoSpaceDE/>
        <w:autoSpaceDN/>
        <w:adjustRightInd/>
        <w:ind w:firstLine="2"/>
        <w:textAlignment w:val="auto"/>
        <w:rPr>
          <w:spacing w:val="-2"/>
        </w:rPr>
      </w:pPr>
    </w:p>
    <w:p w14:paraId="2F372A64" w14:textId="7CE2F12B" w:rsidR="00AA4F93" w:rsidRPr="00BD1319" w:rsidRDefault="00AA4F93" w:rsidP="00C86DA5">
      <w:pPr>
        <w:pStyle w:val="Prrafodelista"/>
        <w:numPr>
          <w:ilvl w:val="0"/>
          <w:numId w:val="38"/>
        </w:numPr>
        <w:tabs>
          <w:tab w:val="left" w:pos="-3828"/>
        </w:tabs>
        <w:suppressAutoHyphens/>
        <w:ind w:left="1134" w:hanging="567"/>
        <w:rPr>
          <w:rFonts w:cs="Arial"/>
          <w:spacing w:val="-2"/>
          <w:szCs w:val="20"/>
          <w:lang w:val="es-CO"/>
        </w:rPr>
      </w:pPr>
      <w:r w:rsidRPr="00BD1319">
        <w:rPr>
          <w:rFonts w:cs="Arial"/>
          <w:b/>
          <w:spacing w:val="-2"/>
          <w:szCs w:val="20"/>
          <w:lang w:val="es-CO"/>
        </w:rPr>
        <w:t>Unidad social residente</w:t>
      </w:r>
      <w:r w:rsidRPr="00BD1319">
        <w:rPr>
          <w:rFonts w:cs="Arial"/>
          <w:spacing w:val="-2"/>
          <w:szCs w:val="20"/>
          <w:lang w:val="es-CO"/>
        </w:rPr>
        <w:t xml:space="preserve">: </w:t>
      </w:r>
      <w:r w:rsidR="004F0F0E" w:rsidRPr="00BD1319">
        <w:rPr>
          <w:rFonts w:cs="Arial"/>
          <w:spacing w:val="-2"/>
          <w:szCs w:val="20"/>
          <w:lang w:val="es-CO"/>
        </w:rPr>
        <w:t>persona</w:t>
      </w:r>
      <w:r w:rsidRPr="00BD1319">
        <w:rPr>
          <w:rFonts w:cs="Arial"/>
          <w:spacing w:val="-2"/>
          <w:szCs w:val="20"/>
          <w:lang w:val="es-CO"/>
        </w:rPr>
        <w:t xml:space="preserve"> sola, o aquellas unidas o no por lazos de parentesco, que habitan una vivienda, entendiendo por “habitar una vivienda” la residencia permanente para la satisfacción de necesidades básicas como alojamiento y consumo de al menos una de las comidas.</w:t>
      </w:r>
    </w:p>
    <w:p w14:paraId="726218B0" w14:textId="77777777" w:rsidR="00AA4F93" w:rsidRPr="00BD1319" w:rsidRDefault="00AA4F93" w:rsidP="00C86DA5">
      <w:pPr>
        <w:tabs>
          <w:tab w:val="left" w:pos="-3828"/>
        </w:tabs>
        <w:suppressAutoHyphens/>
        <w:overflowPunct/>
        <w:autoSpaceDE/>
        <w:autoSpaceDN/>
        <w:adjustRightInd/>
        <w:ind w:firstLine="2"/>
        <w:textAlignment w:val="auto"/>
        <w:rPr>
          <w:spacing w:val="-2"/>
        </w:rPr>
      </w:pPr>
    </w:p>
    <w:p w14:paraId="385A1A63" w14:textId="6332B6AD" w:rsidR="00AA4F93" w:rsidRPr="00BD1319" w:rsidRDefault="00AA4F93" w:rsidP="00C86DA5">
      <w:pPr>
        <w:pStyle w:val="Prrafodelista"/>
        <w:numPr>
          <w:ilvl w:val="0"/>
          <w:numId w:val="38"/>
        </w:numPr>
        <w:tabs>
          <w:tab w:val="left" w:pos="-3828"/>
        </w:tabs>
        <w:suppressAutoHyphens/>
        <w:ind w:left="1134" w:hanging="567"/>
        <w:rPr>
          <w:rFonts w:cs="Arial"/>
          <w:spacing w:val="-2"/>
          <w:szCs w:val="20"/>
          <w:lang w:val="es-CO"/>
        </w:rPr>
      </w:pPr>
      <w:r w:rsidRPr="00BD1319">
        <w:rPr>
          <w:rFonts w:cs="Arial"/>
          <w:b/>
          <w:spacing w:val="-2"/>
          <w:szCs w:val="20"/>
          <w:lang w:val="es-CO"/>
        </w:rPr>
        <w:t>Unidad social productiva</w:t>
      </w:r>
      <w:r w:rsidRPr="00BD1319">
        <w:rPr>
          <w:rFonts w:cs="Arial"/>
          <w:spacing w:val="-2"/>
          <w:szCs w:val="20"/>
          <w:lang w:val="es-CO"/>
        </w:rPr>
        <w:t xml:space="preserve">: </w:t>
      </w:r>
      <w:r w:rsidR="004F0F0E" w:rsidRPr="00BD1319">
        <w:rPr>
          <w:rFonts w:cs="Arial"/>
          <w:spacing w:val="-2"/>
          <w:szCs w:val="20"/>
          <w:lang w:val="es-CO"/>
        </w:rPr>
        <w:t>persona</w:t>
      </w:r>
      <w:r w:rsidRPr="00BD1319">
        <w:rPr>
          <w:rFonts w:cs="Arial"/>
          <w:spacing w:val="-2"/>
          <w:szCs w:val="20"/>
          <w:lang w:val="es-CO"/>
        </w:rPr>
        <w:t xml:space="preserve"> natural o jurídica que desarrolla de manera permanente actividades productivas, entendidas como aquellas relacionadas con la producción y/o comercialización de bienes y servicios generadores de ingresos, dentro de un inmueble específico, contando con una infraestructura mínima para su funcionamiento, como equipos o estanterías.</w:t>
      </w:r>
    </w:p>
    <w:p w14:paraId="73B32AF1" w14:textId="77777777" w:rsidR="00AA4F93" w:rsidRPr="00BD1319" w:rsidRDefault="00AA4F93" w:rsidP="00C86DA5">
      <w:pPr>
        <w:tabs>
          <w:tab w:val="left" w:pos="-3828"/>
        </w:tabs>
        <w:suppressAutoHyphens/>
        <w:overflowPunct/>
        <w:autoSpaceDE/>
        <w:autoSpaceDN/>
        <w:adjustRightInd/>
        <w:ind w:firstLine="2"/>
        <w:textAlignment w:val="auto"/>
        <w:rPr>
          <w:spacing w:val="-2"/>
        </w:rPr>
      </w:pPr>
    </w:p>
    <w:p w14:paraId="3B835DBB" w14:textId="3FA64260" w:rsidR="00AA4F93" w:rsidRPr="00BD1319" w:rsidRDefault="00AA4F93" w:rsidP="00C86DA5">
      <w:pPr>
        <w:numPr>
          <w:ilvl w:val="0"/>
          <w:numId w:val="25"/>
        </w:numPr>
        <w:tabs>
          <w:tab w:val="left" w:pos="-3828"/>
        </w:tabs>
        <w:suppressAutoHyphens/>
        <w:overflowPunct/>
        <w:autoSpaceDE/>
        <w:autoSpaceDN/>
        <w:adjustRightInd/>
        <w:ind w:left="1068"/>
        <w:textAlignment w:val="auto"/>
        <w:rPr>
          <w:b/>
          <w:spacing w:val="-2"/>
        </w:rPr>
      </w:pPr>
      <w:r w:rsidRPr="00BD1319">
        <w:rPr>
          <w:b/>
          <w:spacing w:val="-2"/>
        </w:rPr>
        <w:t xml:space="preserve">Unidad </w:t>
      </w:r>
      <w:r w:rsidRPr="00BD1319">
        <w:rPr>
          <w:rFonts w:cs="Arial"/>
          <w:b/>
          <w:spacing w:val="-2"/>
          <w:szCs w:val="20"/>
        </w:rPr>
        <w:t>social mixta</w:t>
      </w:r>
      <w:r w:rsidRPr="00BD1319">
        <w:rPr>
          <w:rFonts w:cs="Arial"/>
          <w:spacing w:val="-2"/>
          <w:szCs w:val="20"/>
        </w:rPr>
        <w:t>:</w:t>
      </w:r>
      <w:r w:rsidRPr="00BD1319">
        <w:rPr>
          <w:spacing w:val="-2"/>
        </w:rPr>
        <w:t xml:space="preserve"> persona que no solo tiene dentro de su inmueble condiciones de habitabilidad o residencia, sino que además dentro de la misma cuenta con una o más actividades productivas.</w:t>
      </w:r>
    </w:p>
    <w:p w14:paraId="39AFA447" w14:textId="77777777" w:rsidR="00AA4F93" w:rsidRPr="00BD1319" w:rsidRDefault="00AA4F93" w:rsidP="00C86DA5">
      <w:pPr>
        <w:tabs>
          <w:tab w:val="left" w:pos="-3828"/>
        </w:tabs>
        <w:suppressAutoHyphens/>
        <w:overflowPunct/>
        <w:autoSpaceDE/>
        <w:autoSpaceDN/>
        <w:adjustRightInd/>
        <w:ind w:firstLine="2"/>
        <w:textAlignment w:val="auto"/>
        <w:rPr>
          <w:spacing w:val="-2"/>
        </w:rPr>
      </w:pPr>
    </w:p>
    <w:p w14:paraId="223E0D5D" w14:textId="2AFD6115" w:rsidR="00AA4F93" w:rsidRPr="00BD1319" w:rsidRDefault="00AA4F93" w:rsidP="00C86DA5">
      <w:pPr>
        <w:pStyle w:val="Prrafodelista"/>
        <w:numPr>
          <w:ilvl w:val="0"/>
          <w:numId w:val="25"/>
        </w:numPr>
        <w:tabs>
          <w:tab w:val="left" w:pos="-3828"/>
        </w:tabs>
        <w:suppressAutoHyphens/>
        <w:ind w:left="1068"/>
        <w:rPr>
          <w:rFonts w:cs="Arial"/>
          <w:spacing w:val="-2"/>
          <w:szCs w:val="20"/>
          <w:lang w:val="es-CO"/>
        </w:rPr>
      </w:pPr>
      <w:r w:rsidRPr="00BD1319">
        <w:rPr>
          <w:rFonts w:cs="Arial"/>
          <w:b/>
          <w:spacing w:val="-2"/>
          <w:szCs w:val="20"/>
          <w:lang w:val="es-CO"/>
        </w:rPr>
        <w:lastRenderedPageBreak/>
        <w:t>Otras unidades sociales</w:t>
      </w:r>
      <w:r w:rsidRPr="00BD1319">
        <w:rPr>
          <w:rFonts w:cs="Arial"/>
          <w:spacing w:val="-2"/>
          <w:szCs w:val="20"/>
          <w:lang w:val="es-CO"/>
        </w:rPr>
        <w:t xml:space="preserve">: </w:t>
      </w:r>
      <w:r w:rsidR="004F0F0E" w:rsidRPr="00BD1319">
        <w:rPr>
          <w:rFonts w:cs="Arial"/>
          <w:spacing w:val="-2"/>
          <w:szCs w:val="20"/>
          <w:lang w:val="es-CO"/>
        </w:rPr>
        <w:t>propietarios</w:t>
      </w:r>
      <w:r w:rsidRPr="00BD1319">
        <w:rPr>
          <w:rFonts w:cs="Arial"/>
          <w:spacing w:val="-2"/>
          <w:szCs w:val="20"/>
          <w:lang w:val="es-CO"/>
        </w:rPr>
        <w:t xml:space="preserve"> y </w:t>
      </w:r>
      <w:proofErr w:type="spellStart"/>
      <w:r w:rsidRPr="00BD1319">
        <w:rPr>
          <w:rFonts w:cs="Arial"/>
          <w:spacing w:val="-2"/>
          <w:szCs w:val="20"/>
          <w:lang w:val="es-CO"/>
        </w:rPr>
        <w:t>mejoratarios</w:t>
      </w:r>
      <w:proofErr w:type="spellEnd"/>
      <w:r w:rsidRPr="00BD1319">
        <w:rPr>
          <w:rFonts w:cs="Arial"/>
          <w:spacing w:val="-2"/>
          <w:szCs w:val="20"/>
          <w:lang w:val="es-CO"/>
        </w:rPr>
        <w:t xml:space="preserve"> que, siendo o no residentes, obtienen ingresos provenientes del arrendamiento de una parte o la totalidad del inmueble para habitación o desarrollo de actividades productivas.</w:t>
      </w:r>
    </w:p>
    <w:p w14:paraId="15EE051E" w14:textId="1963CA1E" w:rsidR="00AA4F93" w:rsidRPr="00BD1319" w:rsidRDefault="00AA4F93" w:rsidP="00C86DA5">
      <w:pPr>
        <w:numPr>
          <w:ilvl w:val="12"/>
          <w:numId w:val="0"/>
        </w:numPr>
        <w:tabs>
          <w:tab w:val="left" w:pos="-2268"/>
        </w:tabs>
        <w:suppressAutoHyphens/>
      </w:pPr>
    </w:p>
    <w:p w14:paraId="731210EC" w14:textId="1A075118" w:rsidR="00AA4F93" w:rsidRPr="00BD1319" w:rsidRDefault="00AA4F93" w:rsidP="00C86DA5">
      <w:pPr>
        <w:numPr>
          <w:ilvl w:val="0"/>
          <w:numId w:val="19"/>
        </w:numPr>
        <w:suppressAutoHyphens/>
        <w:ind w:left="567" w:hanging="567"/>
        <w:rPr>
          <w:rFonts w:cs="Arial"/>
        </w:rPr>
      </w:pPr>
      <w:r w:rsidRPr="00BD1319">
        <w:rPr>
          <w:rFonts w:cs="Arial"/>
          <w:b/>
        </w:rPr>
        <w:t>Variabilidad climática</w:t>
      </w:r>
      <w:r w:rsidRPr="00BD1319">
        <w:rPr>
          <w:rFonts w:cs="Arial"/>
        </w:rPr>
        <w:t xml:space="preserve">: </w:t>
      </w:r>
      <w:r w:rsidR="000105F5" w:rsidRPr="00BD1319">
        <w:rPr>
          <w:rFonts w:cs="Arial"/>
        </w:rPr>
        <w:t>variaci</w:t>
      </w:r>
      <w:r w:rsidR="008660C4" w:rsidRPr="00BD1319">
        <w:rPr>
          <w:rFonts w:cs="Arial"/>
        </w:rPr>
        <w:t>ó</w:t>
      </w:r>
      <w:r w:rsidR="000105F5" w:rsidRPr="00BD1319">
        <w:rPr>
          <w:rFonts w:cs="Arial"/>
        </w:rPr>
        <w:t>n en el</w:t>
      </w:r>
      <w:r w:rsidR="000105F5" w:rsidRPr="00BD1319">
        <w:t xml:space="preserve"> estado medio y </w:t>
      </w:r>
      <w:r w:rsidR="008660C4" w:rsidRPr="00BD1319">
        <w:t xml:space="preserve">en </w:t>
      </w:r>
      <w:r w:rsidR="000105F5" w:rsidRPr="00BD1319">
        <w:t>otros datos estadísticos del clima en todas las escalas temporales y espaciales (como las desviaciones típicas, la ocurrencia de fenómenos extremos como El Niño y La Niña, etc.), más allá de fenómenos meteorológicos determinados. La variabilidad se puede deber a procesos internos naturales dentro del sistema climático (variabilidad interna), o a variaciones en los forzamientos externos antropogénicos (variabilidad externa)</w:t>
      </w:r>
      <w:r w:rsidR="00142688" w:rsidRPr="00BD1319">
        <w:rPr>
          <w:rFonts w:eastAsia="Calibri" w:cs="Arial"/>
          <w:lang w:eastAsia="en-US"/>
        </w:rPr>
        <w:t>.</w:t>
      </w:r>
      <w:r w:rsidR="002830FF" w:rsidRPr="00BD1319">
        <w:rPr>
          <w:rFonts w:eastAsia="Calibri" w:cs="Arial"/>
          <w:lang w:eastAsia="en-US"/>
        </w:rPr>
        <w:t xml:space="preserve"> </w:t>
      </w:r>
      <w:r w:rsidR="008F3CBD" w:rsidRPr="00BD1319">
        <w:rPr>
          <w:rFonts w:eastAsia="Calibri" w:cs="Arial"/>
          <w:vertAlign w:val="superscript"/>
          <w:lang w:eastAsia="en-US"/>
        </w:rPr>
        <w:t>[</w:t>
      </w:r>
      <w:r w:rsidR="00696CF8" w:rsidRPr="00BD1319">
        <w:rPr>
          <w:rFonts w:eastAsia="Calibri" w:cs="Arial"/>
          <w:vertAlign w:val="superscript"/>
          <w:lang w:eastAsia="en-US"/>
        </w:rPr>
        <w:fldChar w:fldCharType="begin"/>
      </w:r>
      <w:r w:rsidR="00696CF8" w:rsidRPr="00BD1319">
        <w:rPr>
          <w:rFonts w:eastAsia="Calibri" w:cs="Arial"/>
          <w:vertAlign w:val="superscript"/>
          <w:lang w:eastAsia="en-US"/>
        </w:rPr>
        <w:instrText xml:space="preserve"> NOTEREF _Ref44840425 \h </w:instrText>
      </w:r>
      <w:r w:rsidR="006A4128" w:rsidRPr="00BD1319">
        <w:rPr>
          <w:rFonts w:eastAsia="Calibri" w:cs="Arial"/>
          <w:vertAlign w:val="superscript"/>
          <w:lang w:eastAsia="en-US"/>
        </w:rPr>
        <w:instrText xml:space="preserve"> \* MERGEFORMAT </w:instrText>
      </w:r>
      <w:r w:rsidR="00696CF8" w:rsidRPr="00BD1319">
        <w:rPr>
          <w:rFonts w:eastAsia="Calibri" w:cs="Arial"/>
          <w:vertAlign w:val="superscript"/>
          <w:lang w:eastAsia="en-US"/>
        </w:rPr>
      </w:r>
      <w:r w:rsidR="00696CF8" w:rsidRPr="00BD1319">
        <w:rPr>
          <w:rFonts w:eastAsia="Calibri" w:cs="Arial"/>
          <w:vertAlign w:val="superscript"/>
          <w:lang w:eastAsia="en-US"/>
        </w:rPr>
        <w:fldChar w:fldCharType="separate"/>
      </w:r>
      <w:r w:rsidR="00296654" w:rsidRPr="00BD1319">
        <w:rPr>
          <w:rFonts w:eastAsia="Calibri" w:cs="Arial"/>
          <w:vertAlign w:val="superscript"/>
          <w:lang w:eastAsia="en-US"/>
        </w:rPr>
        <w:t>2</w:t>
      </w:r>
      <w:r w:rsidR="00696CF8" w:rsidRPr="00BD1319">
        <w:rPr>
          <w:rFonts w:eastAsia="Calibri" w:cs="Arial"/>
          <w:vertAlign w:val="superscript"/>
          <w:lang w:eastAsia="en-US"/>
        </w:rPr>
        <w:fldChar w:fldCharType="end"/>
      </w:r>
      <w:r w:rsidR="008F3CBD" w:rsidRPr="00BD1319">
        <w:rPr>
          <w:rFonts w:eastAsia="Calibri" w:cs="Arial"/>
          <w:vertAlign w:val="superscript"/>
          <w:lang w:eastAsia="en-US"/>
        </w:rPr>
        <w:t>]</w:t>
      </w:r>
    </w:p>
    <w:p w14:paraId="1720131D" w14:textId="77777777" w:rsidR="00AA4F93" w:rsidRPr="00BD1319" w:rsidRDefault="00AA4F93" w:rsidP="009420F5">
      <w:pPr>
        <w:suppressAutoHyphens/>
        <w:rPr>
          <w:rFonts w:eastAsia="Calibri" w:cs="Arial"/>
          <w:lang w:eastAsia="en-US"/>
        </w:rPr>
      </w:pPr>
    </w:p>
    <w:p w14:paraId="448A103C" w14:textId="252912EB" w:rsidR="00AA4F93" w:rsidRPr="00BD1319" w:rsidRDefault="00AA4F93" w:rsidP="009420F5">
      <w:pPr>
        <w:numPr>
          <w:ilvl w:val="0"/>
          <w:numId w:val="19"/>
        </w:numPr>
        <w:suppressAutoHyphens/>
        <w:ind w:left="567" w:hanging="567"/>
        <w:rPr>
          <w:rFonts w:eastAsia="Calibri" w:cs="Arial"/>
          <w:lang w:eastAsia="en-US"/>
        </w:rPr>
      </w:pPr>
      <w:r w:rsidRPr="00BD1319">
        <w:rPr>
          <w:rFonts w:eastAsia="Calibri" w:cs="Arial"/>
          <w:b/>
          <w:lang w:eastAsia="en-US"/>
        </w:rPr>
        <w:t>Vereda</w:t>
      </w:r>
      <w:r w:rsidRPr="00BD1319">
        <w:rPr>
          <w:rFonts w:eastAsia="Calibri" w:cs="Arial"/>
          <w:lang w:eastAsia="en-US"/>
        </w:rPr>
        <w:t>:</w:t>
      </w:r>
      <w:r w:rsidR="00707C4E" w:rsidRPr="00BD1319">
        <w:rPr>
          <w:rFonts w:eastAsia="Calibri" w:cs="Arial"/>
          <w:lang w:eastAsia="en-US"/>
        </w:rPr>
        <w:t xml:space="preserve"> d</w:t>
      </w:r>
      <w:r w:rsidRPr="00BD1319">
        <w:rPr>
          <w:rFonts w:eastAsia="Calibri" w:cs="Arial"/>
          <w:lang w:eastAsia="en-US"/>
        </w:rPr>
        <w:t xml:space="preserve">ivisión </w:t>
      </w:r>
      <w:r w:rsidR="006768F9" w:rsidRPr="00BD1319">
        <w:rPr>
          <w:rFonts w:eastAsia="Calibri" w:cs="Arial"/>
          <w:lang w:eastAsia="en-US"/>
        </w:rPr>
        <w:t>territorial de carácter administrativo en el área rural de los municipios, establecida mediante acuerdo municipal. Se concibe como una agrupación comunitaria de base territorial y principal espacio de sociabilidad, caracterizada por la proximidad de residencia de sus miembros, el sentido de pertenencia e identidad común y el predominio de las relaciones vecinales. Se conforma principalmente por la agrupación de predios delimitados por accidentes geográficos y vías principales</w:t>
      </w:r>
      <w:r w:rsidR="00DE1333" w:rsidRPr="00BD1319">
        <w:rPr>
          <w:rFonts w:eastAsia="Calibri" w:cs="Arial"/>
          <w:lang w:eastAsia="en-US"/>
        </w:rPr>
        <w:t>.</w:t>
      </w:r>
      <w:r w:rsidR="008F3CBD" w:rsidRPr="00BD1319">
        <w:rPr>
          <w:rFonts w:eastAsia="Calibri" w:cs="Arial"/>
          <w:lang w:eastAsia="en-US"/>
        </w:rPr>
        <w:t xml:space="preserve"> </w:t>
      </w:r>
      <w:r w:rsidR="008F3CBD" w:rsidRPr="00BD1319">
        <w:rPr>
          <w:rFonts w:eastAsia="Calibri" w:cs="Arial"/>
          <w:vertAlign w:val="superscript"/>
          <w:lang w:eastAsia="en-US"/>
        </w:rPr>
        <w:t>[</w:t>
      </w:r>
      <w:r w:rsidR="00BD264C" w:rsidRPr="00BD1319">
        <w:rPr>
          <w:rFonts w:eastAsia="Calibri" w:cs="Arial"/>
          <w:vertAlign w:val="superscript"/>
          <w:lang w:eastAsia="en-US"/>
        </w:rPr>
        <w:fldChar w:fldCharType="begin"/>
      </w:r>
      <w:r w:rsidR="00BD264C" w:rsidRPr="00BD1319">
        <w:rPr>
          <w:rFonts w:eastAsia="Calibri" w:cs="Arial"/>
          <w:vertAlign w:val="superscript"/>
          <w:lang w:eastAsia="en-US"/>
        </w:rPr>
        <w:instrText xml:space="preserve"> NOTEREF _Ref78191010 \h </w:instrText>
      </w:r>
      <w:r w:rsidR="006A4128" w:rsidRPr="00BD1319">
        <w:rPr>
          <w:rFonts w:eastAsia="Calibri" w:cs="Arial"/>
          <w:vertAlign w:val="superscript"/>
          <w:lang w:eastAsia="en-US"/>
        </w:rPr>
        <w:instrText xml:space="preserve"> \* MERGEFORMAT </w:instrText>
      </w:r>
      <w:r w:rsidR="00BD264C" w:rsidRPr="00BD1319">
        <w:rPr>
          <w:rFonts w:eastAsia="Calibri" w:cs="Arial"/>
          <w:vertAlign w:val="superscript"/>
          <w:lang w:eastAsia="en-US"/>
        </w:rPr>
      </w:r>
      <w:r w:rsidR="00BD264C" w:rsidRPr="00BD1319">
        <w:rPr>
          <w:rFonts w:eastAsia="Calibri" w:cs="Arial"/>
          <w:vertAlign w:val="superscript"/>
          <w:lang w:eastAsia="en-US"/>
        </w:rPr>
        <w:fldChar w:fldCharType="separate"/>
      </w:r>
      <w:r w:rsidR="00296654" w:rsidRPr="00BD1319">
        <w:rPr>
          <w:rFonts w:eastAsia="Calibri" w:cs="Arial"/>
          <w:vertAlign w:val="superscript"/>
          <w:lang w:eastAsia="en-US"/>
        </w:rPr>
        <w:t>13</w:t>
      </w:r>
      <w:r w:rsidR="00BD264C" w:rsidRPr="00BD1319">
        <w:rPr>
          <w:rFonts w:eastAsia="Calibri" w:cs="Arial"/>
          <w:vertAlign w:val="superscript"/>
          <w:lang w:eastAsia="en-US"/>
        </w:rPr>
        <w:fldChar w:fldCharType="end"/>
      </w:r>
      <w:r w:rsidR="008F3CBD" w:rsidRPr="00BD1319">
        <w:rPr>
          <w:rFonts w:eastAsia="Calibri" w:cs="Arial"/>
          <w:vertAlign w:val="superscript"/>
          <w:lang w:eastAsia="en-US"/>
        </w:rPr>
        <w:t>]</w:t>
      </w:r>
    </w:p>
    <w:p w14:paraId="7F9D9952" w14:textId="77777777" w:rsidR="00AA4F93" w:rsidRPr="00BD1319" w:rsidRDefault="00AA4F93" w:rsidP="009420F5">
      <w:pPr>
        <w:suppressAutoHyphens/>
        <w:rPr>
          <w:rFonts w:eastAsia="Calibri" w:cs="Arial"/>
          <w:lang w:eastAsia="en-US"/>
        </w:rPr>
      </w:pPr>
    </w:p>
    <w:p w14:paraId="5C0FE296" w14:textId="08DCD7D9" w:rsidR="00AA4F93" w:rsidRPr="00BD1319" w:rsidRDefault="00AA4F93" w:rsidP="00456AB1">
      <w:pPr>
        <w:numPr>
          <w:ilvl w:val="0"/>
          <w:numId w:val="19"/>
        </w:numPr>
        <w:suppressAutoHyphens/>
        <w:ind w:left="567" w:hanging="567"/>
        <w:rPr>
          <w:rFonts w:eastAsia="Calibri" w:cs="Arial"/>
          <w:lang w:eastAsia="en-US"/>
        </w:rPr>
      </w:pPr>
      <w:r w:rsidRPr="00BD1319">
        <w:rPr>
          <w:rFonts w:eastAsia="Calibri" w:cs="Arial"/>
          <w:b/>
          <w:lang w:eastAsia="en-US"/>
        </w:rPr>
        <w:t>Vertimiento</w:t>
      </w:r>
      <w:r w:rsidRPr="00BD1319">
        <w:rPr>
          <w:rFonts w:eastAsia="Calibri" w:cs="Arial"/>
          <w:lang w:eastAsia="en-US"/>
        </w:rPr>
        <w:t xml:space="preserve">: </w:t>
      </w:r>
      <w:r w:rsidR="00DE1333" w:rsidRPr="00BD1319">
        <w:rPr>
          <w:rFonts w:eastAsia="Calibri" w:cs="Arial"/>
          <w:lang w:eastAsia="en-US"/>
        </w:rPr>
        <w:t>d</w:t>
      </w:r>
      <w:r w:rsidRPr="00BD1319">
        <w:rPr>
          <w:rFonts w:eastAsia="Calibri" w:cs="Arial"/>
          <w:lang w:eastAsia="en-US"/>
        </w:rPr>
        <w:t>escarga final a un cuerpo de agua, a un alcantarillado o al suelo, de elementos, sustancias o compuestos contenidos en un medio líquido</w:t>
      </w:r>
      <w:r w:rsidR="00DE1333" w:rsidRPr="00BD1319">
        <w:rPr>
          <w:rFonts w:eastAsia="Calibri" w:cs="Arial"/>
          <w:lang w:eastAsia="en-US"/>
        </w:rPr>
        <w:t>.</w:t>
      </w:r>
      <w:r w:rsidR="008F3CBD" w:rsidRPr="00BD1319">
        <w:rPr>
          <w:rFonts w:eastAsia="Calibri" w:cs="Arial"/>
          <w:lang w:eastAsia="en-US"/>
        </w:rPr>
        <w:t xml:space="preserve"> </w:t>
      </w:r>
      <w:r w:rsidR="008F3CBD" w:rsidRPr="00BD1319">
        <w:rPr>
          <w:rFonts w:eastAsia="Calibri" w:cs="Arial"/>
          <w:vertAlign w:val="superscript"/>
          <w:lang w:eastAsia="en-US"/>
        </w:rPr>
        <w:t>[</w:t>
      </w:r>
      <w:r w:rsidR="00F22587" w:rsidRPr="00BD1319">
        <w:rPr>
          <w:rFonts w:eastAsia="Calibri" w:cs="Arial"/>
          <w:vertAlign w:val="superscript"/>
          <w:lang w:eastAsia="en-US"/>
        </w:rPr>
        <w:fldChar w:fldCharType="begin"/>
      </w:r>
      <w:r w:rsidR="00F22587" w:rsidRPr="00BD1319">
        <w:rPr>
          <w:rFonts w:eastAsia="Calibri" w:cs="Arial"/>
          <w:vertAlign w:val="superscript"/>
          <w:lang w:eastAsia="en-US"/>
        </w:rPr>
        <w:instrText xml:space="preserve"> NOTEREF _Ref44839840 \h </w:instrText>
      </w:r>
      <w:r w:rsidR="006A4128" w:rsidRPr="00BD1319">
        <w:rPr>
          <w:rFonts w:eastAsia="Calibri" w:cs="Arial"/>
          <w:vertAlign w:val="superscript"/>
          <w:lang w:eastAsia="en-US"/>
        </w:rPr>
        <w:instrText xml:space="preserve"> \* MERGEFORMAT </w:instrText>
      </w:r>
      <w:r w:rsidR="00F22587" w:rsidRPr="00BD1319">
        <w:rPr>
          <w:rFonts w:eastAsia="Calibri" w:cs="Arial"/>
          <w:vertAlign w:val="superscript"/>
          <w:lang w:eastAsia="en-US"/>
        </w:rPr>
      </w:r>
      <w:r w:rsidR="00F22587" w:rsidRPr="00BD1319">
        <w:rPr>
          <w:rFonts w:eastAsia="Calibri" w:cs="Arial"/>
          <w:vertAlign w:val="superscript"/>
          <w:lang w:eastAsia="en-US"/>
        </w:rPr>
        <w:fldChar w:fldCharType="separate"/>
      </w:r>
      <w:r w:rsidR="00296654" w:rsidRPr="00BD1319">
        <w:rPr>
          <w:rFonts w:eastAsia="Calibri" w:cs="Arial"/>
          <w:vertAlign w:val="superscript"/>
          <w:lang w:eastAsia="en-US"/>
        </w:rPr>
        <w:t>1</w:t>
      </w:r>
      <w:r w:rsidR="00F22587" w:rsidRPr="00BD1319">
        <w:rPr>
          <w:rFonts w:eastAsia="Calibri" w:cs="Arial"/>
          <w:vertAlign w:val="superscript"/>
          <w:lang w:eastAsia="en-US"/>
        </w:rPr>
        <w:fldChar w:fldCharType="end"/>
      </w:r>
      <w:r w:rsidR="008F3CBD" w:rsidRPr="00BD1319">
        <w:rPr>
          <w:rFonts w:eastAsia="Calibri" w:cs="Arial"/>
          <w:vertAlign w:val="superscript"/>
          <w:lang w:eastAsia="en-US"/>
        </w:rPr>
        <w:t>]</w:t>
      </w:r>
    </w:p>
    <w:p w14:paraId="43DA4487" w14:textId="2934F4F9" w:rsidR="004471D7" w:rsidRPr="00BD1319" w:rsidRDefault="004471D7" w:rsidP="00F35011">
      <w:pPr>
        <w:numPr>
          <w:ilvl w:val="12"/>
          <w:numId w:val="0"/>
        </w:numPr>
        <w:tabs>
          <w:tab w:val="left" w:pos="-2268"/>
        </w:tabs>
        <w:suppressAutoHyphens/>
        <w:rPr>
          <w:rFonts w:cs="Arial"/>
        </w:rPr>
      </w:pPr>
    </w:p>
    <w:p w14:paraId="522026BA" w14:textId="2A1E64EE" w:rsidR="004471D7" w:rsidRPr="00BD1319" w:rsidRDefault="004471D7" w:rsidP="00C86DA5">
      <w:pPr>
        <w:numPr>
          <w:ilvl w:val="0"/>
          <w:numId w:val="19"/>
        </w:numPr>
        <w:suppressAutoHyphens/>
        <w:ind w:left="567" w:hanging="567"/>
      </w:pPr>
      <w:r w:rsidRPr="00BD1319">
        <w:rPr>
          <w:b/>
        </w:rPr>
        <w:t>Vulnerabilidad</w:t>
      </w:r>
      <w:r w:rsidRPr="00BD1319">
        <w:t>:</w:t>
      </w:r>
      <w:r w:rsidR="008E0CBE" w:rsidRPr="00BD1319">
        <w:t xml:space="preserve"> </w:t>
      </w:r>
      <w:r w:rsidR="002830FF" w:rsidRPr="00BD1319">
        <w:t>s</w:t>
      </w:r>
      <w:r w:rsidR="000105F5" w:rsidRPr="00BD1319">
        <w:t>usceptibilidad o fragilidad física, económica, social, ambiental o institucional que tiene una comunidad de ser afectada o de sufrir efectos adversos en caso de que un evento físico peligroso se presente. Corresponde a la predisposición a sufrir pérdidas o daños de los seres humanos y sus medios de subsistencia, así como de sus sistemas físicos, sociales, económicos y de apoyo que pueden ser afectados por eventos físicos peligrosos</w:t>
      </w:r>
      <w:r w:rsidR="00D32D46" w:rsidRPr="00BD1319">
        <w:rPr>
          <w:rFonts w:cs="Arial"/>
        </w:rPr>
        <w:t>.</w:t>
      </w:r>
      <w:r w:rsidR="00074278" w:rsidRPr="00BD1319">
        <w:rPr>
          <w:rFonts w:cs="Arial"/>
        </w:rPr>
        <w:t xml:space="preserve"> </w:t>
      </w:r>
      <w:r w:rsidR="00074278" w:rsidRPr="00BD1319">
        <w:rPr>
          <w:vertAlign w:val="superscript"/>
        </w:rPr>
        <w:t>[</w:t>
      </w:r>
      <w:r w:rsidR="00074278" w:rsidRPr="00BD1319">
        <w:rPr>
          <w:vertAlign w:val="superscript"/>
        </w:rPr>
        <w:endnoteReference w:id="51"/>
      </w:r>
      <w:r w:rsidR="00074278" w:rsidRPr="00BD1319">
        <w:rPr>
          <w:vertAlign w:val="superscript"/>
        </w:rPr>
        <w:t>]</w:t>
      </w:r>
    </w:p>
    <w:p w14:paraId="367A93D9" w14:textId="77777777" w:rsidR="004471D7" w:rsidRPr="00BD1319" w:rsidRDefault="004471D7" w:rsidP="009420F5"/>
    <w:p w14:paraId="304EE6D5" w14:textId="1B1B022F" w:rsidR="00BC7999" w:rsidRPr="00BD1319" w:rsidRDefault="00BC7999" w:rsidP="009420F5">
      <w:pPr>
        <w:pStyle w:val="Prrafodelista"/>
        <w:numPr>
          <w:ilvl w:val="0"/>
          <w:numId w:val="21"/>
        </w:numPr>
        <w:ind w:left="567" w:hanging="567"/>
        <w:rPr>
          <w:lang w:val="es-CO"/>
        </w:rPr>
      </w:pPr>
      <w:r w:rsidRPr="00BD1319">
        <w:rPr>
          <w:rFonts w:cs="Arial"/>
          <w:b/>
          <w:bCs/>
          <w:color w:val="222222"/>
          <w:shd w:val="clear" w:color="auto" w:fill="FFFFFF"/>
          <w:lang w:val="es-CO"/>
        </w:rPr>
        <w:t>Zona amortiguadora del Sistema de Parques Nacionales Naturales</w:t>
      </w:r>
      <w:r w:rsidRPr="00BD1319">
        <w:rPr>
          <w:rFonts w:cs="Arial"/>
          <w:bCs/>
          <w:color w:val="222222"/>
          <w:shd w:val="clear" w:color="auto" w:fill="FFFFFF"/>
          <w:lang w:val="es-CO"/>
        </w:rPr>
        <w:t xml:space="preserve">: espacio en el cual se atenúan las perturbaciones causadas por la actividad humana en las zonas circunvecinas a las distintas áreas del Sistema de Parques Nacionales Naturales, con el fin de impedir que lleguen a causar disturbios o alteraciones en la ecología o en la vida silvestre de estas áreas. </w:t>
      </w:r>
      <w:r w:rsidRPr="00BD1319">
        <w:rPr>
          <w:rFonts w:cs="Arial"/>
          <w:bCs/>
          <w:color w:val="222222"/>
          <w:shd w:val="clear" w:color="auto" w:fill="FFFFFF"/>
          <w:vertAlign w:val="superscript"/>
          <w:lang w:val="es-CO"/>
        </w:rPr>
        <w:t>[</w:t>
      </w:r>
      <w:r w:rsidRPr="00BD1319">
        <w:rPr>
          <w:rFonts w:cs="Arial"/>
          <w:bCs/>
          <w:color w:val="222222"/>
          <w:shd w:val="clear" w:color="auto" w:fill="FFFFFF"/>
          <w:vertAlign w:val="superscript"/>
          <w:lang w:val="es-CO"/>
        </w:rPr>
        <w:fldChar w:fldCharType="begin"/>
      </w:r>
      <w:r w:rsidRPr="00BD1319">
        <w:rPr>
          <w:rFonts w:cs="Arial"/>
          <w:bCs/>
          <w:color w:val="222222"/>
          <w:shd w:val="clear" w:color="auto" w:fill="FFFFFF"/>
          <w:vertAlign w:val="superscript"/>
          <w:lang w:val="es-CO"/>
        </w:rPr>
        <w:instrText xml:space="preserve"> NOTEREF _Ref44839840 \h </w:instrText>
      </w:r>
      <w:r w:rsidR="006A4128" w:rsidRPr="00BD1319">
        <w:rPr>
          <w:rFonts w:cs="Arial"/>
          <w:bCs/>
          <w:color w:val="222222"/>
          <w:shd w:val="clear" w:color="auto" w:fill="FFFFFF"/>
          <w:vertAlign w:val="superscript"/>
          <w:lang w:val="es-CO"/>
        </w:rPr>
        <w:instrText xml:space="preserve"> \* MERGEFORMAT </w:instrText>
      </w:r>
      <w:r w:rsidRPr="00BD1319">
        <w:rPr>
          <w:rFonts w:cs="Arial"/>
          <w:bCs/>
          <w:color w:val="222222"/>
          <w:shd w:val="clear" w:color="auto" w:fill="FFFFFF"/>
          <w:vertAlign w:val="superscript"/>
          <w:lang w:val="es-CO"/>
        </w:rPr>
      </w:r>
      <w:r w:rsidRPr="00BD1319">
        <w:rPr>
          <w:rFonts w:cs="Arial"/>
          <w:bCs/>
          <w:color w:val="222222"/>
          <w:shd w:val="clear" w:color="auto" w:fill="FFFFFF"/>
          <w:vertAlign w:val="superscript"/>
          <w:lang w:val="es-CO"/>
        </w:rPr>
        <w:fldChar w:fldCharType="separate"/>
      </w:r>
      <w:r w:rsidR="00296654" w:rsidRPr="00BD1319">
        <w:rPr>
          <w:rFonts w:cs="Arial"/>
          <w:bCs/>
          <w:color w:val="222222"/>
          <w:shd w:val="clear" w:color="auto" w:fill="FFFFFF"/>
          <w:vertAlign w:val="superscript"/>
          <w:lang w:val="es-CO"/>
        </w:rPr>
        <w:t>1</w:t>
      </w:r>
      <w:r w:rsidRPr="00BD1319">
        <w:rPr>
          <w:rFonts w:cs="Arial"/>
          <w:bCs/>
          <w:color w:val="222222"/>
          <w:shd w:val="clear" w:color="auto" w:fill="FFFFFF"/>
          <w:vertAlign w:val="superscript"/>
          <w:lang w:val="es-CO"/>
        </w:rPr>
        <w:fldChar w:fldCharType="end"/>
      </w:r>
      <w:r w:rsidRPr="00BD1319">
        <w:rPr>
          <w:rFonts w:cs="Arial"/>
          <w:bCs/>
          <w:color w:val="222222"/>
          <w:shd w:val="clear" w:color="auto" w:fill="FFFFFF"/>
          <w:vertAlign w:val="superscript"/>
          <w:lang w:val="es-CO"/>
        </w:rPr>
        <w:t>]</w:t>
      </w:r>
    </w:p>
    <w:p w14:paraId="5DFA36AB" w14:textId="77777777" w:rsidR="00BC7999" w:rsidRPr="00BD1319" w:rsidRDefault="00BC7999" w:rsidP="009420F5"/>
    <w:p w14:paraId="639E7078" w14:textId="4B03E189" w:rsidR="00A65A51" w:rsidRPr="00BD1319" w:rsidRDefault="00A65A51" w:rsidP="009420F5">
      <w:pPr>
        <w:pStyle w:val="Prrafodelista"/>
        <w:numPr>
          <w:ilvl w:val="0"/>
          <w:numId w:val="21"/>
        </w:numPr>
        <w:ind w:left="567" w:hanging="567"/>
        <w:rPr>
          <w:lang w:val="es-CO"/>
        </w:rPr>
      </w:pPr>
      <w:r w:rsidRPr="00BD1319">
        <w:rPr>
          <w:b/>
          <w:lang w:val="es-CO"/>
        </w:rPr>
        <w:lastRenderedPageBreak/>
        <w:t>Zona con función amortiguadora</w:t>
      </w:r>
      <w:r w:rsidRPr="00BD1319">
        <w:rPr>
          <w:lang w:val="es-CO"/>
        </w:rPr>
        <w:t>: superficie de territorio circunvecina y colindante a un área protegida</w:t>
      </w:r>
      <w:r w:rsidR="00D93DF1" w:rsidRPr="00BD1319">
        <w:rPr>
          <w:lang w:val="es-CO"/>
        </w:rPr>
        <w:t>,</w:t>
      </w:r>
      <w:r w:rsidRPr="00BD1319">
        <w:rPr>
          <w:lang w:val="es-CO"/>
        </w:rPr>
        <w:t xml:space="preserve"> </w:t>
      </w:r>
      <w:r w:rsidR="00D93DF1" w:rsidRPr="00BD1319">
        <w:rPr>
          <w:lang w:val="es-CO"/>
        </w:rPr>
        <w:t xml:space="preserve">que se establece mediante instrumentos de ordenamiento territorial a fin de que sobre el área protegida se </w:t>
      </w:r>
      <w:r w:rsidR="00BA2E18" w:rsidRPr="00BD1319">
        <w:rPr>
          <w:lang w:val="es-CO"/>
        </w:rPr>
        <w:t>preven</w:t>
      </w:r>
      <w:r w:rsidR="00D93DF1" w:rsidRPr="00BD1319">
        <w:rPr>
          <w:lang w:val="es-CO"/>
        </w:rPr>
        <w:t xml:space="preserve">gan </w:t>
      </w:r>
      <w:r w:rsidR="00BA2E18" w:rsidRPr="00BD1319">
        <w:rPr>
          <w:lang w:val="es-CO"/>
        </w:rPr>
        <w:t>y mitig</w:t>
      </w:r>
      <w:r w:rsidR="00D93DF1" w:rsidRPr="00BD1319">
        <w:rPr>
          <w:lang w:val="es-CO"/>
        </w:rPr>
        <w:t xml:space="preserve">uen </w:t>
      </w:r>
      <w:r w:rsidRPr="00BD1319">
        <w:rPr>
          <w:lang w:val="es-CO"/>
        </w:rPr>
        <w:t>los impactos negativo</w:t>
      </w:r>
      <w:r w:rsidR="00BA2E18" w:rsidRPr="00BD1319">
        <w:rPr>
          <w:lang w:val="es-CO"/>
        </w:rPr>
        <w:t xml:space="preserve">s </w:t>
      </w:r>
      <w:r w:rsidR="001454B8" w:rsidRPr="00BD1319">
        <w:rPr>
          <w:lang w:val="es-CO"/>
        </w:rPr>
        <w:t xml:space="preserve">de </w:t>
      </w:r>
      <w:r w:rsidR="00BA2E18" w:rsidRPr="00BD1319">
        <w:rPr>
          <w:lang w:val="es-CO"/>
        </w:rPr>
        <w:t xml:space="preserve">las acciones humanas, </w:t>
      </w:r>
      <w:r w:rsidR="00D93DF1" w:rsidRPr="00BD1319">
        <w:rPr>
          <w:lang w:val="es-CO"/>
        </w:rPr>
        <w:t xml:space="preserve">se </w:t>
      </w:r>
      <w:r w:rsidRPr="00BD1319">
        <w:rPr>
          <w:lang w:val="es-CO"/>
        </w:rPr>
        <w:t>contribu</w:t>
      </w:r>
      <w:r w:rsidR="00BA2E18" w:rsidRPr="00BD1319">
        <w:rPr>
          <w:lang w:val="es-CO"/>
        </w:rPr>
        <w:t>y</w:t>
      </w:r>
      <w:r w:rsidR="00D93DF1" w:rsidRPr="00BD1319">
        <w:rPr>
          <w:lang w:val="es-CO"/>
        </w:rPr>
        <w:t>a</w:t>
      </w:r>
      <w:r w:rsidR="00BA2E18" w:rsidRPr="00BD1319">
        <w:rPr>
          <w:lang w:val="es-CO"/>
        </w:rPr>
        <w:t xml:space="preserve"> a</w:t>
      </w:r>
      <w:r w:rsidRPr="00BD1319">
        <w:rPr>
          <w:lang w:val="es-CO"/>
        </w:rPr>
        <w:t xml:space="preserve"> </w:t>
      </w:r>
      <w:r w:rsidR="00BA2E18" w:rsidRPr="00BD1319">
        <w:rPr>
          <w:lang w:val="es-CO"/>
        </w:rPr>
        <w:t xml:space="preserve">la restauración de </w:t>
      </w:r>
      <w:r w:rsidR="00D93DF1" w:rsidRPr="00BD1319">
        <w:rPr>
          <w:lang w:val="es-CO"/>
        </w:rPr>
        <w:t xml:space="preserve">sus </w:t>
      </w:r>
      <w:r w:rsidR="00BA2E18" w:rsidRPr="00BD1319">
        <w:rPr>
          <w:lang w:val="es-CO"/>
        </w:rPr>
        <w:t>disturbios</w:t>
      </w:r>
      <w:r w:rsidRPr="00BD1319">
        <w:rPr>
          <w:lang w:val="es-CO"/>
        </w:rPr>
        <w:t xml:space="preserve">, </w:t>
      </w:r>
      <w:r w:rsidR="00D93DF1" w:rsidRPr="00BD1319">
        <w:rPr>
          <w:lang w:val="es-CO"/>
        </w:rPr>
        <w:t>se armonice</w:t>
      </w:r>
      <w:r w:rsidRPr="00BD1319">
        <w:rPr>
          <w:lang w:val="es-CO"/>
        </w:rPr>
        <w:t xml:space="preserve"> la ocupación y transformación del territorio con </w:t>
      </w:r>
      <w:r w:rsidR="00D93DF1" w:rsidRPr="00BD1319">
        <w:rPr>
          <w:lang w:val="es-CO"/>
        </w:rPr>
        <w:t>su</w:t>
      </w:r>
      <w:r w:rsidRPr="00BD1319">
        <w:rPr>
          <w:lang w:val="es-CO"/>
        </w:rPr>
        <w:t xml:space="preserve"> objetivos de conservación</w:t>
      </w:r>
      <w:r w:rsidR="00BA2E18" w:rsidRPr="00BD1319">
        <w:rPr>
          <w:lang w:val="es-CO"/>
        </w:rPr>
        <w:t xml:space="preserve">, y </w:t>
      </w:r>
      <w:r w:rsidR="00D93DF1" w:rsidRPr="00BD1319">
        <w:rPr>
          <w:lang w:val="es-CO"/>
        </w:rPr>
        <w:t>se aporte</w:t>
      </w:r>
      <w:r w:rsidRPr="00BD1319">
        <w:rPr>
          <w:lang w:val="es-CO"/>
        </w:rPr>
        <w:t xml:space="preserve"> a la conservación de los elementos biofísicos, los elementos y valores culturales, los servicios </w:t>
      </w:r>
      <w:r w:rsidR="00BA2E18" w:rsidRPr="00BD1319">
        <w:rPr>
          <w:lang w:val="es-CO"/>
        </w:rPr>
        <w:t xml:space="preserve">ecosistémicos </w:t>
      </w:r>
      <w:r w:rsidRPr="00BD1319">
        <w:rPr>
          <w:lang w:val="es-CO"/>
        </w:rPr>
        <w:t>y los procesos ecológicos relaci</w:t>
      </w:r>
      <w:r w:rsidR="00BA2E18" w:rsidRPr="00BD1319">
        <w:rPr>
          <w:lang w:val="es-CO"/>
        </w:rPr>
        <w:t xml:space="preserve">onados con </w:t>
      </w:r>
      <w:r w:rsidR="001454B8" w:rsidRPr="00BD1319">
        <w:rPr>
          <w:lang w:val="es-CO"/>
        </w:rPr>
        <w:t xml:space="preserve">el </w:t>
      </w:r>
      <w:r w:rsidR="00BA2E18" w:rsidRPr="00BD1319">
        <w:rPr>
          <w:lang w:val="es-CO"/>
        </w:rPr>
        <w:t>área</w:t>
      </w:r>
      <w:r w:rsidR="001454B8" w:rsidRPr="00BD1319">
        <w:rPr>
          <w:lang w:val="es-CO"/>
        </w:rPr>
        <w:t xml:space="preserve"> protegida</w:t>
      </w:r>
      <w:r w:rsidRPr="00BD1319">
        <w:rPr>
          <w:lang w:val="es-CO"/>
        </w:rPr>
        <w:t>.</w:t>
      </w:r>
    </w:p>
    <w:p w14:paraId="338EEB56" w14:textId="77777777" w:rsidR="00A65A51" w:rsidRPr="00BD1319" w:rsidRDefault="00A65A51" w:rsidP="009420F5"/>
    <w:p w14:paraId="1786C35A" w14:textId="165E88D4" w:rsidR="004471D7" w:rsidRPr="00BD1319" w:rsidRDefault="004471D7" w:rsidP="00C86DA5">
      <w:pPr>
        <w:numPr>
          <w:ilvl w:val="0"/>
          <w:numId w:val="19"/>
        </w:numPr>
        <w:suppressAutoHyphens/>
        <w:ind w:left="567" w:hanging="567"/>
      </w:pPr>
      <w:r w:rsidRPr="00BD1319">
        <w:rPr>
          <w:b/>
        </w:rPr>
        <w:t>Zona costera</w:t>
      </w:r>
      <w:r w:rsidRPr="00BD1319">
        <w:t xml:space="preserve">: </w:t>
      </w:r>
      <w:r w:rsidR="000F69CD" w:rsidRPr="00BD1319">
        <w:rPr>
          <w:color w:val="000000" w:themeColor="text1"/>
        </w:rPr>
        <w:t>espacio del territorio nacional formad</w:t>
      </w:r>
      <w:r w:rsidR="00BC7999" w:rsidRPr="00BD1319">
        <w:rPr>
          <w:color w:val="000000" w:themeColor="text1"/>
        </w:rPr>
        <w:t>o</w:t>
      </w:r>
      <w:r w:rsidR="000F69CD" w:rsidRPr="00BD1319">
        <w:rPr>
          <w:color w:val="000000" w:themeColor="text1"/>
        </w:rPr>
        <w:t xml:space="preserve"> por una franja de anchura variable de tierra firme y espacio marino en donde se presentan procesos de interacción entre el mar y la tierra</w:t>
      </w:r>
      <w:r w:rsidR="006A5D01" w:rsidRPr="00BD1319">
        <w:rPr>
          <w:rFonts w:cs="Arial"/>
        </w:rPr>
        <w:t>.</w:t>
      </w:r>
      <w:r w:rsidR="008F3CBD" w:rsidRPr="00BD1319">
        <w:rPr>
          <w:rFonts w:cs="Arial"/>
        </w:rPr>
        <w:t xml:space="preserve"> </w:t>
      </w:r>
      <w:r w:rsidR="008F3CBD" w:rsidRPr="00BD1319">
        <w:rPr>
          <w:rFonts w:cs="Arial"/>
          <w:vertAlign w:val="superscript"/>
        </w:rPr>
        <w:t>[</w:t>
      </w:r>
      <w:r w:rsidR="00F22587" w:rsidRPr="00BD1319">
        <w:rPr>
          <w:rFonts w:cs="Arial"/>
          <w:vertAlign w:val="superscript"/>
        </w:rPr>
        <w:fldChar w:fldCharType="begin"/>
      </w:r>
      <w:r w:rsidR="00F22587" w:rsidRPr="00BD1319">
        <w:rPr>
          <w:rFonts w:cs="Arial"/>
          <w:vertAlign w:val="superscript"/>
        </w:rPr>
        <w:instrText xml:space="preserve"> NOTEREF _Ref44839840 \h </w:instrText>
      </w:r>
      <w:r w:rsidR="006A4128" w:rsidRPr="00BD1319">
        <w:rPr>
          <w:rFonts w:cs="Arial"/>
          <w:vertAlign w:val="superscript"/>
        </w:rPr>
        <w:instrText xml:space="preserve"> \* MERGEFORMAT </w:instrText>
      </w:r>
      <w:r w:rsidR="00F22587" w:rsidRPr="00BD1319">
        <w:rPr>
          <w:rFonts w:cs="Arial"/>
          <w:vertAlign w:val="superscript"/>
        </w:rPr>
      </w:r>
      <w:r w:rsidR="00F22587" w:rsidRPr="00BD1319">
        <w:rPr>
          <w:rFonts w:cs="Arial"/>
          <w:vertAlign w:val="superscript"/>
        </w:rPr>
        <w:fldChar w:fldCharType="separate"/>
      </w:r>
      <w:r w:rsidR="00296654" w:rsidRPr="00BD1319">
        <w:rPr>
          <w:rFonts w:cs="Arial"/>
          <w:vertAlign w:val="superscript"/>
        </w:rPr>
        <w:t>1</w:t>
      </w:r>
      <w:r w:rsidR="00F22587" w:rsidRPr="00BD1319">
        <w:rPr>
          <w:rFonts w:cs="Arial"/>
          <w:vertAlign w:val="superscript"/>
        </w:rPr>
        <w:fldChar w:fldCharType="end"/>
      </w:r>
      <w:r w:rsidR="008F3CBD" w:rsidRPr="00BD1319">
        <w:rPr>
          <w:rFonts w:cs="Arial"/>
          <w:vertAlign w:val="superscript"/>
        </w:rPr>
        <w:t>]</w:t>
      </w:r>
    </w:p>
    <w:p w14:paraId="2CC3C1AD" w14:textId="77777777" w:rsidR="004471D7" w:rsidRPr="00BD1319" w:rsidRDefault="004471D7" w:rsidP="009420F5">
      <w:pPr>
        <w:suppressAutoHyphens/>
        <w:rPr>
          <w:bCs/>
        </w:rPr>
      </w:pPr>
    </w:p>
    <w:p w14:paraId="60D12B23" w14:textId="5756FD9E" w:rsidR="004471D7" w:rsidRPr="00BD1319" w:rsidRDefault="004471D7" w:rsidP="00456AB1">
      <w:pPr>
        <w:numPr>
          <w:ilvl w:val="0"/>
          <w:numId w:val="19"/>
        </w:numPr>
        <w:suppressAutoHyphens/>
        <w:ind w:left="567" w:hanging="567"/>
        <w:rPr>
          <w:rFonts w:cs="Arial"/>
        </w:rPr>
      </w:pPr>
      <w:r w:rsidRPr="00BD1319">
        <w:rPr>
          <w:b/>
        </w:rPr>
        <w:t>Zonificación ambiental</w:t>
      </w:r>
      <w:r w:rsidRPr="00BD1319">
        <w:t xml:space="preserve">: </w:t>
      </w:r>
      <w:r w:rsidR="00142688" w:rsidRPr="00BD1319">
        <w:t>p</w:t>
      </w:r>
      <w:r w:rsidRPr="00BD1319">
        <w:t xml:space="preserve">roceso de sectorización de un área </w:t>
      </w:r>
      <w:r w:rsidR="00706775" w:rsidRPr="00BD1319">
        <w:rPr>
          <w:rFonts w:cs="Arial"/>
          <w:spacing w:val="-3"/>
        </w:rPr>
        <w:t xml:space="preserve">compleja </w:t>
      </w:r>
      <w:r w:rsidR="00B7214D" w:rsidRPr="00BD1319">
        <w:t xml:space="preserve">en </w:t>
      </w:r>
      <w:r w:rsidRPr="00BD1319">
        <w:t xml:space="preserve">áreas relativamente homogéneas de acuerdo </w:t>
      </w:r>
      <w:r w:rsidRPr="00BD1319">
        <w:rPr>
          <w:rFonts w:cs="Arial"/>
        </w:rPr>
        <w:t>con</w:t>
      </w:r>
      <w:r w:rsidRPr="00BD1319">
        <w:t xml:space="preserve"> las características y la sensibilidad ambiental de los componentes de los medios abiótico, biótico y socioeconómico.</w:t>
      </w:r>
    </w:p>
    <w:p w14:paraId="76ECB324" w14:textId="77777777" w:rsidR="004F176A" w:rsidRPr="00BD1319" w:rsidRDefault="004F176A" w:rsidP="009420F5">
      <w:pPr>
        <w:rPr>
          <w:rFonts w:cs="Arial"/>
        </w:rPr>
      </w:pPr>
    </w:p>
    <w:p w14:paraId="6FA6CC1F" w14:textId="2352CCCB" w:rsidR="004471D7" w:rsidRPr="00BD1319" w:rsidRDefault="004471D7" w:rsidP="00C86DA5">
      <w:pPr>
        <w:numPr>
          <w:ilvl w:val="0"/>
          <w:numId w:val="19"/>
        </w:numPr>
        <w:suppressAutoHyphens/>
        <w:ind w:left="567" w:hanging="567"/>
        <w:rPr>
          <w:rFonts w:cs="Arial"/>
        </w:rPr>
      </w:pPr>
      <w:r w:rsidRPr="00BD1319">
        <w:rPr>
          <w:rFonts w:cs="Arial"/>
          <w:b/>
        </w:rPr>
        <w:t>Zonificación de manejo ambiental del proyecto, obra o actividad</w:t>
      </w:r>
      <w:r w:rsidRPr="00BD1319">
        <w:rPr>
          <w:rFonts w:cs="Arial"/>
        </w:rPr>
        <w:t xml:space="preserve">: </w:t>
      </w:r>
      <w:r w:rsidR="008C1F67" w:rsidRPr="00BD1319">
        <w:rPr>
          <w:rFonts w:cs="Arial"/>
        </w:rPr>
        <w:t>p</w:t>
      </w:r>
      <w:r w:rsidRPr="00BD1319">
        <w:rPr>
          <w:rFonts w:cs="Arial"/>
        </w:rPr>
        <w:t xml:space="preserve">roceso </w:t>
      </w:r>
      <w:r w:rsidR="00B02C11" w:rsidRPr="00BD1319">
        <w:rPr>
          <w:rFonts w:cs="Arial"/>
        </w:rPr>
        <w:t>mediante el que se establecen</w:t>
      </w:r>
      <w:r w:rsidRPr="00BD1319">
        <w:rPr>
          <w:rFonts w:cs="Arial"/>
        </w:rPr>
        <w:t xml:space="preserve"> áreas homogéneas de manejo de acuerdo con el grado de intervención con el cual puede ser ejecutado el </w:t>
      </w:r>
      <w:r w:rsidR="00B02C11" w:rsidRPr="00BD1319">
        <w:rPr>
          <w:rFonts w:cs="Arial"/>
        </w:rPr>
        <w:t xml:space="preserve">proyecto, obra o actividad </w:t>
      </w:r>
      <w:r w:rsidRPr="00BD1319">
        <w:rPr>
          <w:rFonts w:cs="Arial"/>
        </w:rPr>
        <w:t>y se obtiene, a partir de la integración de la información proveniente de la zonificación ambiental y de la evaluación ambiental.</w:t>
      </w:r>
    </w:p>
    <w:p w14:paraId="021A914B" w14:textId="77777777" w:rsidR="00663CF3" w:rsidRPr="00BD1319" w:rsidRDefault="00663CF3" w:rsidP="00C86DA5">
      <w:pPr>
        <w:numPr>
          <w:ilvl w:val="12"/>
          <w:numId w:val="0"/>
        </w:numPr>
        <w:tabs>
          <w:tab w:val="left" w:pos="-2268"/>
        </w:tabs>
        <w:suppressAutoHyphens/>
      </w:pPr>
    </w:p>
    <w:p w14:paraId="1B7509EA" w14:textId="1BAC7C8A" w:rsidR="00663CF3" w:rsidRPr="00BD1319" w:rsidRDefault="00663CF3" w:rsidP="00663CF3">
      <w:pPr>
        <w:pStyle w:val="Prrafodelista"/>
        <w:numPr>
          <w:ilvl w:val="0"/>
          <w:numId w:val="478"/>
        </w:numPr>
        <w:tabs>
          <w:tab w:val="left" w:pos="-2268"/>
        </w:tabs>
        <w:suppressAutoHyphens/>
        <w:ind w:left="567" w:hanging="567"/>
        <w:rPr>
          <w:rFonts w:cs="Arial"/>
          <w:lang w:val="es-CO"/>
        </w:rPr>
      </w:pPr>
      <w:r w:rsidRPr="00BD1319">
        <w:rPr>
          <w:rFonts w:cs="Arial"/>
          <w:b/>
          <w:lang w:val="es-CO"/>
        </w:rPr>
        <w:t>Zona de reserva campesina</w:t>
      </w:r>
      <w:r w:rsidRPr="00BD1319">
        <w:rPr>
          <w:rFonts w:cs="Arial"/>
          <w:bCs/>
          <w:lang w:val="es-CO"/>
        </w:rPr>
        <w:t xml:space="preserve">: </w:t>
      </w:r>
      <w:r w:rsidRPr="00BD1319">
        <w:rPr>
          <w:rFonts w:cs="Arial"/>
          <w:lang w:val="es-CO"/>
        </w:rPr>
        <w:t xml:space="preserve">área geográfica seleccionada por </w:t>
      </w:r>
      <w:r w:rsidR="00907988" w:rsidRPr="00BD1319">
        <w:rPr>
          <w:rFonts w:cs="Arial"/>
          <w:lang w:val="es-CO"/>
        </w:rPr>
        <w:t>el</w:t>
      </w:r>
      <w:r w:rsidRPr="00BD1319">
        <w:rPr>
          <w:rFonts w:cs="Arial"/>
          <w:lang w:val="es-CO"/>
        </w:rPr>
        <w:t xml:space="preserve"> </w:t>
      </w:r>
      <w:r w:rsidR="00907988" w:rsidRPr="00BD1319">
        <w:rPr>
          <w:rFonts w:cs="Arial"/>
          <w:lang w:val="es-CO"/>
        </w:rPr>
        <w:t>Consejo Directivo de la Agencia Nacional de Tierras (ANT)</w:t>
      </w:r>
      <w:r w:rsidRPr="00BD1319">
        <w:rPr>
          <w:rFonts w:cs="Arial"/>
          <w:lang w:val="es-CO"/>
        </w:rPr>
        <w:t xml:space="preserve">, teniendo en cuenta las características agroecológicas y socioeconómicas regionales. </w:t>
      </w:r>
      <w:r w:rsidRPr="00BD1319">
        <w:rPr>
          <w:vertAlign w:val="superscript"/>
          <w:lang w:val="es-CO"/>
        </w:rPr>
        <w:t>[</w:t>
      </w:r>
      <w:r w:rsidRPr="00BD1319">
        <w:rPr>
          <w:vertAlign w:val="superscript"/>
          <w:lang w:val="es-CO"/>
        </w:rPr>
        <w:endnoteReference w:id="52"/>
      </w:r>
      <w:r w:rsidRPr="00BD1319">
        <w:rPr>
          <w:vertAlign w:val="superscript"/>
          <w:lang w:val="es-CO"/>
        </w:rPr>
        <w:t>]</w:t>
      </w:r>
    </w:p>
    <w:p w14:paraId="44A1179A" w14:textId="77777777" w:rsidR="00663CF3" w:rsidRPr="00BD1319" w:rsidRDefault="00663CF3">
      <w:pPr>
        <w:overflowPunct/>
        <w:autoSpaceDE/>
        <w:autoSpaceDN/>
        <w:adjustRightInd/>
        <w:jc w:val="left"/>
        <w:textAlignment w:val="auto"/>
        <w:rPr>
          <w:rFonts w:cs="Arial"/>
        </w:rPr>
      </w:pPr>
      <w:r w:rsidRPr="00BD1319">
        <w:rPr>
          <w:rFonts w:cs="Arial"/>
        </w:rPr>
        <w:br w:type="page"/>
      </w:r>
    </w:p>
    <w:p w14:paraId="7370C4D7" w14:textId="77777777" w:rsidR="006F4FD7" w:rsidRPr="00BD1319" w:rsidRDefault="006F4FD7">
      <w:pPr>
        <w:overflowPunct/>
        <w:autoSpaceDE/>
        <w:autoSpaceDN/>
        <w:adjustRightInd/>
        <w:jc w:val="left"/>
        <w:textAlignment w:val="auto"/>
        <w:rPr>
          <w:rFonts w:cs="Arial"/>
        </w:rPr>
      </w:pPr>
    </w:p>
    <w:p w14:paraId="14B824CC" w14:textId="78EADEFF" w:rsidR="00B06F49" w:rsidRPr="00BD1319" w:rsidRDefault="00F04B5F" w:rsidP="001831AE">
      <w:pPr>
        <w:pStyle w:val="Captulonmero"/>
        <w:rPr>
          <w:lang w:val="es-CO"/>
        </w:rPr>
      </w:pPr>
      <w:bookmarkStart w:id="45" w:name="_Toc437935973"/>
      <w:bookmarkStart w:id="46" w:name="_Toc175326664"/>
      <w:bookmarkEnd w:id="12"/>
      <w:bookmarkEnd w:id="13"/>
      <w:bookmarkEnd w:id="14"/>
      <w:bookmarkEnd w:id="15"/>
      <w:bookmarkEnd w:id="16"/>
      <w:bookmarkEnd w:id="17"/>
      <w:bookmarkEnd w:id="18"/>
      <w:r w:rsidRPr="00BD1319">
        <w:rPr>
          <w:lang w:val="es-CO"/>
        </w:rPr>
        <w:t>CONSIDERACIONES GENERALES PARA LA ELABORACIÓN Y PRESENTACIÓN DE LOS ESTUDIOS AMBIENTALES</w:t>
      </w:r>
      <w:bookmarkEnd w:id="45"/>
      <w:bookmarkEnd w:id="46"/>
    </w:p>
    <w:p w14:paraId="78D76DF5" w14:textId="77777777" w:rsidR="00B06F49" w:rsidRPr="00BD1319" w:rsidRDefault="00B06F49">
      <w:pPr>
        <w:numPr>
          <w:ilvl w:val="12"/>
          <w:numId w:val="0"/>
        </w:numPr>
        <w:tabs>
          <w:tab w:val="left" w:pos="-2268"/>
        </w:tabs>
        <w:suppressAutoHyphens/>
        <w:rPr>
          <w:spacing w:val="-3"/>
        </w:rPr>
      </w:pPr>
    </w:p>
    <w:p w14:paraId="5FA64F77" w14:textId="6922871B" w:rsidR="003E5023" w:rsidRPr="00BD1319" w:rsidRDefault="00F04B5F" w:rsidP="00456AB1">
      <w:pPr>
        <w:pStyle w:val="Ttulo1"/>
        <w:numPr>
          <w:ilvl w:val="0"/>
          <w:numId w:val="7"/>
        </w:numPr>
        <w:rPr>
          <w:lang w:val="es-CO"/>
        </w:rPr>
      </w:pPr>
      <w:bookmarkStart w:id="47" w:name="_Toc488329727"/>
      <w:bookmarkStart w:id="48" w:name="_Toc488386581"/>
      <w:bookmarkStart w:id="49" w:name="_Toc488402040"/>
      <w:bookmarkStart w:id="50" w:name="_Toc488402863"/>
      <w:bookmarkStart w:id="51" w:name="_Toc488403692"/>
      <w:bookmarkStart w:id="52" w:name="_Toc488404523"/>
      <w:bookmarkStart w:id="53" w:name="_Toc488405346"/>
      <w:bookmarkStart w:id="54" w:name="_Toc488406175"/>
      <w:bookmarkStart w:id="55" w:name="_Toc491409406"/>
      <w:bookmarkStart w:id="56" w:name="_Toc496017944"/>
      <w:bookmarkStart w:id="57" w:name="_Toc515787142"/>
      <w:bookmarkStart w:id="58" w:name="_Toc515788842"/>
      <w:bookmarkStart w:id="59" w:name="_Toc515789691"/>
      <w:bookmarkStart w:id="60" w:name="_Toc515790540"/>
      <w:bookmarkStart w:id="61" w:name="_Toc515791395"/>
      <w:bookmarkStart w:id="62" w:name="_Toc515792245"/>
      <w:bookmarkStart w:id="63" w:name="_Toc515793088"/>
      <w:bookmarkStart w:id="64" w:name="_Toc515793993"/>
      <w:bookmarkStart w:id="65" w:name="_Toc515795809"/>
      <w:bookmarkStart w:id="66" w:name="_Toc488329728"/>
      <w:bookmarkStart w:id="67" w:name="_Toc488386582"/>
      <w:bookmarkStart w:id="68" w:name="_Toc488402041"/>
      <w:bookmarkStart w:id="69" w:name="_Toc488402864"/>
      <w:bookmarkStart w:id="70" w:name="_Toc488403693"/>
      <w:bookmarkStart w:id="71" w:name="_Toc488404524"/>
      <w:bookmarkStart w:id="72" w:name="_Toc488405347"/>
      <w:bookmarkStart w:id="73" w:name="_Toc488406176"/>
      <w:bookmarkStart w:id="74" w:name="_Toc491409407"/>
      <w:bookmarkStart w:id="75" w:name="_Toc496017945"/>
      <w:bookmarkStart w:id="76" w:name="_Toc515787143"/>
      <w:bookmarkStart w:id="77" w:name="_Toc515788843"/>
      <w:bookmarkStart w:id="78" w:name="_Toc515789692"/>
      <w:bookmarkStart w:id="79" w:name="_Toc515790541"/>
      <w:bookmarkStart w:id="80" w:name="_Toc515791396"/>
      <w:bookmarkStart w:id="81" w:name="_Toc515792246"/>
      <w:bookmarkStart w:id="82" w:name="_Toc515793089"/>
      <w:bookmarkStart w:id="83" w:name="_Toc515793994"/>
      <w:bookmarkStart w:id="84" w:name="_Toc515795810"/>
      <w:bookmarkStart w:id="85" w:name="_Toc488329729"/>
      <w:bookmarkStart w:id="86" w:name="_Toc488386583"/>
      <w:bookmarkStart w:id="87" w:name="_Toc488402042"/>
      <w:bookmarkStart w:id="88" w:name="_Toc488402865"/>
      <w:bookmarkStart w:id="89" w:name="_Toc488403694"/>
      <w:bookmarkStart w:id="90" w:name="_Toc488404525"/>
      <w:bookmarkStart w:id="91" w:name="_Toc488405348"/>
      <w:bookmarkStart w:id="92" w:name="_Toc488406177"/>
      <w:bookmarkStart w:id="93" w:name="_Toc491409408"/>
      <w:bookmarkStart w:id="94" w:name="_Toc496017946"/>
      <w:bookmarkStart w:id="95" w:name="_Toc515787144"/>
      <w:bookmarkStart w:id="96" w:name="_Toc515788844"/>
      <w:bookmarkStart w:id="97" w:name="_Toc515789693"/>
      <w:bookmarkStart w:id="98" w:name="_Toc515790542"/>
      <w:bookmarkStart w:id="99" w:name="_Toc515791397"/>
      <w:bookmarkStart w:id="100" w:name="_Toc515792247"/>
      <w:bookmarkStart w:id="101" w:name="_Toc515793090"/>
      <w:bookmarkStart w:id="102" w:name="_Toc515793995"/>
      <w:bookmarkStart w:id="103" w:name="_Toc515795811"/>
      <w:bookmarkStart w:id="104" w:name="_Toc488329730"/>
      <w:bookmarkStart w:id="105" w:name="_Toc488386584"/>
      <w:bookmarkStart w:id="106" w:name="_Toc488402043"/>
      <w:bookmarkStart w:id="107" w:name="_Toc488402866"/>
      <w:bookmarkStart w:id="108" w:name="_Toc488403695"/>
      <w:bookmarkStart w:id="109" w:name="_Toc488404526"/>
      <w:bookmarkStart w:id="110" w:name="_Toc488405349"/>
      <w:bookmarkStart w:id="111" w:name="_Toc488406178"/>
      <w:bookmarkStart w:id="112" w:name="_Toc491409409"/>
      <w:bookmarkStart w:id="113" w:name="_Toc496017947"/>
      <w:bookmarkStart w:id="114" w:name="_Toc515787145"/>
      <w:bookmarkStart w:id="115" w:name="_Toc515788845"/>
      <w:bookmarkStart w:id="116" w:name="_Toc515789694"/>
      <w:bookmarkStart w:id="117" w:name="_Toc515790543"/>
      <w:bookmarkStart w:id="118" w:name="_Toc515791398"/>
      <w:bookmarkStart w:id="119" w:name="_Toc515792248"/>
      <w:bookmarkStart w:id="120" w:name="_Toc515793091"/>
      <w:bookmarkStart w:id="121" w:name="_Toc515793996"/>
      <w:bookmarkStart w:id="122" w:name="_Toc515795812"/>
      <w:bookmarkStart w:id="123" w:name="_Toc488329747"/>
      <w:bookmarkStart w:id="124" w:name="_Toc488386601"/>
      <w:bookmarkStart w:id="125" w:name="_Toc488402060"/>
      <w:bookmarkStart w:id="126" w:name="_Toc488402883"/>
      <w:bookmarkStart w:id="127" w:name="_Toc488403712"/>
      <w:bookmarkStart w:id="128" w:name="_Toc488404543"/>
      <w:bookmarkStart w:id="129" w:name="_Toc488405366"/>
      <w:bookmarkStart w:id="130" w:name="_Toc488406195"/>
      <w:bookmarkStart w:id="131" w:name="_Toc491409426"/>
      <w:bookmarkStart w:id="132" w:name="_Toc496017964"/>
      <w:bookmarkStart w:id="133" w:name="_Toc515787162"/>
      <w:bookmarkStart w:id="134" w:name="_Toc515788862"/>
      <w:bookmarkStart w:id="135" w:name="_Toc515789711"/>
      <w:bookmarkStart w:id="136" w:name="_Toc515790560"/>
      <w:bookmarkStart w:id="137" w:name="_Toc515791415"/>
      <w:bookmarkStart w:id="138" w:name="_Toc515792265"/>
      <w:bookmarkStart w:id="139" w:name="_Toc515793108"/>
      <w:bookmarkStart w:id="140" w:name="_Toc515794013"/>
      <w:bookmarkStart w:id="141" w:name="_Toc515795829"/>
      <w:bookmarkStart w:id="142" w:name="_Toc488329748"/>
      <w:bookmarkStart w:id="143" w:name="_Toc488386602"/>
      <w:bookmarkStart w:id="144" w:name="_Toc488402061"/>
      <w:bookmarkStart w:id="145" w:name="_Toc488402884"/>
      <w:bookmarkStart w:id="146" w:name="_Toc488403713"/>
      <w:bookmarkStart w:id="147" w:name="_Toc488404544"/>
      <w:bookmarkStart w:id="148" w:name="_Toc488405367"/>
      <w:bookmarkStart w:id="149" w:name="_Toc488406196"/>
      <w:bookmarkStart w:id="150" w:name="_Toc491409427"/>
      <w:bookmarkStart w:id="151" w:name="_Toc496017965"/>
      <w:bookmarkStart w:id="152" w:name="_Toc515787163"/>
      <w:bookmarkStart w:id="153" w:name="_Toc515788863"/>
      <w:bookmarkStart w:id="154" w:name="_Toc515789712"/>
      <w:bookmarkStart w:id="155" w:name="_Toc515790561"/>
      <w:bookmarkStart w:id="156" w:name="_Toc515791416"/>
      <w:bookmarkStart w:id="157" w:name="_Toc515792266"/>
      <w:bookmarkStart w:id="158" w:name="_Toc515793109"/>
      <w:bookmarkStart w:id="159" w:name="_Toc515794014"/>
      <w:bookmarkStart w:id="160" w:name="_Toc515795830"/>
      <w:bookmarkStart w:id="161" w:name="_Toc488329749"/>
      <w:bookmarkStart w:id="162" w:name="_Toc488386603"/>
      <w:bookmarkStart w:id="163" w:name="_Toc488402062"/>
      <w:bookmarkStart w:id="164" w:name="_Toc488402885"/>
      <w:bookmarkStart w:id="165" w:name="_Toc488403714"/>
      <w:bookmarkStart w:id="166" w:name="_Toc488404545"/>
      <w:bookmarkStart w:id="167" w:name="_Toc488405368"/>
      <w:bookmarkStart w:id="168" w:name="_Toc488406197"/>
      <w:bookmarkStart w:id="169" w:name="_Toc491409428"/>
      <w:bookmarkStart w:id="170" w:name="_Toc496017966"/>
      <w:bookmarkStart w:id="171" w:name="_Toc515787164"/>
      <w:bookmarkStart w:id="172" w:name="_Toc515788864"/>
      <w:bookmarkStart w:id="173" w:name="_Toc515789713"/>
      <w:bookmarkStart w:id="174" w:name="_Toc515790562"/>
      <w:bookmarkStart w:id="175" w:name="_Toc515791417"/>
      <w:bookmarkStart w:id="176" w:name="_Toc515792267"/>
      <w:bookmarkStart w:id="177" w:name="_Toc515793110"/>
      <w:bookmarkStart w:id="178" w:name="_Toc515794015"/>
      <w:bookmarkStart w:id="179" w:name="_Toc515795831"/>
      <w:bookmarkStart w:id="180" w:name="_Toc488329750"/>
      <w:bookmarkStart w:id="181" w:name="_Toc488386604"/>
      <w:bookmarkStart w:id="182" w:name="_Toc488402063"/>
      <w:bookmarkStart w:id="183" w:name="_Toc488402886"/>
      <w:bookmarkStart w:id="184" w:name="_Toc488403715"/>
      <w:bookmarkStart w:id="185" w:name="_Toc488404546"/>
      <w:bookmarkStart w:id="186" w:name="_Toc488405369"/>
      <w:bookmarkStart w:id="187" w:name="_Toc488406198"/>
      <w:bookmarkStart w:id="188" w:name="_Toc491409429"/>
      <w:bookmarkStart w:id="189" w:name="_Toc496017967"/>
      <w:bookmarkStart w:id="190" w:name="_Toc515787165"/>
      <w:bookmarkStart w:id="191" w:name="_Toc515788865"/>
      <w:bookmarkStart w:id="192" w:name="_Toc515789714"/>
      <w:bookmarkStart w:id="193" w:name="_Toc515790563"/>
      <w:bookmarkStart w:id="194" w:name="_Toc515791418"/>
      <w:bookmarkStart w:id="195" w:name="_Toc515792268"/>
      <w:bookmarkStart w:id="196" w:name="_Toc515793111"/>
      <w:bookmarkStart w:id="197" w:name="_Toc515794016"/>
      <w:bookmarkStart w:id="198" w:name="_Toc515795832"/>
      <w:bookmarkStart w:id="199" w:name="_Toc488329799"/>
      <w:bookmarkStart w:id="200" w:name="_Toc488386653"/>
      <w:bookmarkStart w:id="201" w:name="_Toc488402112"/>
      <w:bookmarkStart w:id="202" w:name="_Toc488402935"/>
      <w:bookmarkStart w:id="203" w:name="_Toc488403764"/>
      <w:bookmarkStart w:id="204" w:name="_Toc488404595"/>
      <w:bookmarkStart w:id="205" w:name="_Toc488405418"/>
      <w:bookmarkStart w:id="206" w:name="_Toc488406247"/>
      <w:bookmarkStart w:id="207" w:name="_Toc491409478"/>
      <w:bookmarkStart w:id="208" w:name="_Toc496018016"/>
      <w:bookmarkStart w:id="209" w:name="_Toc515787214"/>
      <w:bookmarkStart w:id="210" w:name="_Toc515788914"/>
      <w:bookmarkStart w:id="211" w:name="_Toc515789763"/>
      <w:bookmarkStart w:id="212" w:name="_Toc515790612"/>
      <w:bookmarkStart w:id="213" w:name="_Toc515791467"/>
      <w:bookmarkStart w:id="214" w:name="_Toc515792317"/>
      <w:bookmarkStart w:id="215" w:name="_Toc515793160"/>
      <w:bookmarkStart w:id="216" w:name="_Toc515794065"/>
      <w:bookmarkStart w:id="217" w:name="_Toc515795881"/>
      <w:bookmarkStart w:id="218" w:name="_Toc488329800"/>
      <w:bookmarkStart w:id="219" w:name="_Toc488386654"/>
      <w:bookmarkStart w:id="220" w:name="_Toc488402113"/>
      <w:bookmarkStart w:id="221" w:name="_Toc488402936"/>
      <w:bookmarkStart w:id="222" w:name="_Toc488403765"/>
      <w:bookmarkStart w:id="223" w:name="_Toc488404596"/>
      <w:bookmarkStart w:id="224" w:name="_Toc488405419"/>
      <w:bookmarkStart w:id="225" w:name="_Toc488406248"/>
      <w:bookmarkStart w:id="226" w:name="_Toc491409479"/>
      <w:bookmarkStart w:id="227" w:name="_Toc496018017"/>
      <w:bookmarkStart w:id="228" w:name="_Toc515787215"/>
      <w:bookmarkStart w:id="229" w:name="_Toc515788915"/>
      <w:bookmarkStart w:id="230" w:name="_Toc515789764"/>
      <w:bookmarkStart w:id="231" w:name="_Toc515790613"/>
      <w:bookmarkStart w:id="232" w:name="_Toc515791468"/>
      <w:bookmarkStart w:id="233" w:name="_Toc515792318"/>
      <w:bookmarkStart w:id="234" w:name="_Toc515793161"/>
      <w:bookmarkStart w:id="235" w:name="_Toc515794066"/>
      <w:bookmarkStart w:id="236" w:name="_Toc515795882"/>
      <w:bookmarkStart w:id="237" w:name="_Toc488329821"/>
      <w:bookmarkStart w:id="238" w:name="_Toc488386675"/>
      <w:bookmarkStart w:id="239" w:name="_Toc488402134"/>
      <w:bookmarkStart w:id="240" w:name="_Toc488402957"/>
      <w:bookmarkStart w:id="241" w:name="_Toc488403786"/>
      <w:bookmarkStart w:id="242" w:name="_Toc488404617"/>
      <w:bookmarkStart w:id="243" w:name="_Toc488405440"/>
      <w:bookmarkStart w:id="244" w:name="_Toc488406269"/>
      <w:bookmarkStart w:id="245" w:name="_Toc491409500"/>
      <w:bookmarkStart w:id="246" w:name="_Toc496018038"/>
      <w:bookmarkStart w:id="247" w:name="_Toc515787236"/>
      <w:bookmarkStart w:id="248" w:name="_Toc515788936"/>
      <w:bookmarkStart w:id="249" w:name="_Toc515789785"/>
      <w:bookmarkStart w:id="250" w:name="_Toc515790634"/>
      <w:bookmarkStart w:id="251" w:name="_Toc515791489"/>
      <w:bookmarkStart w:id="252" w:name="_Toc515792339"/>
      <w:bookmarkStart w:id="253" w:name="_Toc515793182"/>
      <w:bookmarkStart w:id="254" w:name="_Toc515794087"/>
      <w:bookmarkStart w:id="255" w:name="_Toc515795903"/>
      <w:bookmarkStart w:id="256" w:name="_Toc488329822"/>
      <w:bookmarkStart w:id="257" w:name="_Toc488386676"/>
      <w:bookmarkStart w:id="258" w:name="_Toc488402135"/>
      <w:bookmarkStart w:id="259" w:name="_Toc488402958"/>
      <w:bookmarkStart w:id="260" w:name="_Toc488403787"/>
      <w:bookmarkStart w:id="261" w:name="_Toc488404618"/>
      <w:bookmarkStart w:id="262" w:name="_Toc488405441"/>
      <w:bookmarkStart w:id="263" w:name="_Toc488406270"/>
      <w:bookmarkStart w:id="264" w:name="_Toc491409501"/>
      <w:bookmarkStart w:id="265" w:name="_Toc496018039"/>
      <w:bookmarkStart w:id="266" w:name="_Toc515787237"/>
      <w:bookmarkStart w:id="267" w:name="_Toc515788937"/>
      <w:bookmarkStart w:id="268" w:name="_Toc515789786"/>
      <w:bookmarkStart w:id="269" w:name="_Toc515790635"/>
      <w:bookmarkStart w:id="270" w:name="_Toc515791490"/>
      <w:bookmarkStart w:id="271" w:name="_Toc515792340"/>
      <w:bookmarkStart w:id="272" w:name="_Toc515793183"/>
      <w:bookmarkStart w:id="273" w:name="_Toc515794088"/>
      <w:bookmarkStart w:id="274" w:name="_Toc515795904"/>
      <w:bookmarkStart w:id="275" w:name="_Toc488329823"/>
      <w:bookmarkStart w:id="276" w:name="_Toc488386677"/>
      <w:bookmarkStart w:id="277" w:name="_Toc488402136"/>
      <w:bookmarkStart w:id="278" w:name="_Toc488402959"/>
      <w:bookmarkStart w:id="279" w:name="_Toc488403788"/>
      <w:bookmarkStart w:id="280" w:name="_Toc488404619"/>
      <w:bookmarkStart w:id="281" w:name="_Toc488405442"/>
      <w:bookmarkStart w:id="282" w:name="_Toc488406271"/>
      <w:bookmarkStart w:id="283" w:name="_Toc491409502"/>
      <w:bookmarkStart w:id="284" w:name="_Toc496018040"/>
      <w:bookmarkStart w:id="285" w:name="_Toc515787238"/>
      <w:bookmarkStart w:id="286" w:name="_Toc515788938"/>
      <w:bookmarkStart w:id="287" w:name="_Toc515789787"/>
      <w:bookmarkStart w:id="288" w:name="_Toc515790636"/>
      <w:bookmarkStart w:id="289" w:name="_Toc515791491"/>
      <w:bookmarkStart w:id="290" w:name="_Toc515792341"/>
      <w:bookmarkStart w:id="291" w:name="_Toc515793184"/>
      <w:bookmarkStart w:id="292" w:name="_Toc515794089"/>
      <w:bookmarkStart w:id="293" w:name="_Toc515795905"/>
      <w:bookmarkStart w:id="294" w:name="_Toc488329860"/>
      <w:bookmarkStart w:id="295" w:name="_Toc488386714"/>
      <w:bookmarkStart w:id="296" w:name="_Toc488402173"/>
      <w:bookmarkStart w:id="297" w:name="_Toc488402996"/>
      <w:bookmarkStart w:id="298" w:name="_Toc488403825"/>
      <w:bookmarkStart w:id="299" w:name="_Toc488404656"/>
      <w:bookmarkStart w:id="300" w:name="_Toc488405479"/>
      <w:bookmarkStart w:id="301" w:name="_Toc488406308"/>
      <w:bookmarkStart w:id="302" w:name="_Toc491409539"/>
      <w:bookmarkStart w:id="303" w:name="_Toc496018077"/>
      <w:bookmarkStart w:id="304" w:name="_Toc515787275"/>
      <w:bookmarkStart w:id="305" w:name="_Toc515788975"/>
      <w:bookmarkStart w:id="306" w:name="_Toc515789824"/>
      <w:bookmarkStart w:id="307" w:name="_Toc515790673"/>
      <w:bookmarkStart w:id="308" w:name="_Toc515791528"/>
      <w:bookmarkStart w:id="309" w:name="_Toc515792378"/>
      <w:bookmarkStart w:id="310" w:name="_Toc515793221"/>
      <w:bookmarkStart w:id="311" w:name="_Toc515794126"/>
      <w:bookmarkStart w:id="312" w:name="_Toc515795942"/>
      <w:bookmarkStart w:id="313" w:name="_Toc488329861"/>
      <w:bookmarkStart w:id="314" w:name="_Toc488386715"/>
      <w:bookmarkStart w:id="315" w:name="_Toc488402174"/>
      <w:bookmarkStart w:id="316" w:name="_Toc488402997"/>
      <w:bookmarkStart w:id="317" w:name="_Toc488403826"/>
      <w:bookmarkStart w:id="318" w:name="_Toc488404657"/>
      <w:bookmarkStart w:id="319" w:name="_Toc488405480"/>
      <w:bookmarkStart w:id="320" w:name="_Toc488406309"/>
      <w:bookmarkStart w:id="321" w:name="_Toc491409540"/>
      <w:bookmarkStart w:id="322" w:name="_Toc496018078"/>
      <w:bookmarkStart w:id="323" w:name="_Toc515787276"/>
      <w:bookmarkStart w:id="324" w:name="_Toc515788976"/>
      <w:bookmarkStart w:id="325" w:name="_Toc515789825"/>
      <w:bookmarkStart w:id="326" w:name="_Toc515790674"/>
      <w:bookmarkStart w:id="327" w:name="_Toc515791529"/>
      <w:bookmarkStart w:id="328" w:name="_Toc515792379"/>
      <w:bookmarkStart w:id="329" w:name="_Toc515793222"/>
      <w:bookmarkStart w:id="330" w:name="_Toc515794127"/>
      <w:bookmarkStart w:id="331" w:name="_Toc515795943"/>
      <w:bookmarkStart w:id="332" w:name="_Toc488329862"/>
      <w:bookmarkStart w:id="333" w:name="_Toc488386716"/>
      <w:bookmarkStart w:id="334" w:name="_Toc488402175"/>
      <w:bookmarkStart w:id="335" w:name="_Toc488402998"/>
      <w:bookmarkStart w:id="336" w:name="_Toc488403827"/>
      <w:bookmarkStart w:id="337" w:name="_Toc488404658"/>
      <w:bookmarkStart w:id="338" w:name="_Toc488405481"/>
      <w:bookmarkStart w:id="339" w:name="_Toc488406310"/>
      <w:bookmarkStart w:id="340" w:name="_Toc491409541"/>
      <w:bookmarkStart w:id="341" w:name="_Toc496018079"/>
      <w:bookmarkStart w:id="342" w:name="_Toc515787277"/>
      <w:bookmarkStart w:id="343" w:name="_Toc515788977"/>
      <w:bookmarkStart w:id="344" w:name="_Toc515789826"/>
      <w:bookmarkStart w:id="345" w:name="_Toc515790675"/>
      <w:bookmarkStart w:id="346" w:name="_Toc515791530"/>
      <w:bookmarkStart w:id="347" w:name="_Toc515792380"/>
      <w:bookmarkStart w:id="348" w:name="_Toc515793223"/>
      <w:bookmarkStart w:id="349" w:name="_Toc515794128"/>
      <w:bookmarkStart w:id="350" w:name="_Toc515795944"/>
      <w:bookmarkStart w:id="351" w:name="_Toc488329863"/>
      <w:bookmarkStart w:id="352" w:name="_Toc488386717"/>
      <w:bookmarkStart w:id="353" w:name="_Toc488402176"/>
      <w:bookmarkStart w:id="354" w:name="_Toc488402999"/>
      <w:bookmarkStart w:id="355" w:name="_Toc488403828"/>
      <w:bookmarkStart w:id="356" w:name="_Toc488404659"/>
      <w:bookmarkStart w:id="357" w:name="_Toc488405482"/>
      <w:bookmarkStart w:id="358" w:name="_Toc488406311"/>
      <w:bookmarkStart w:id="359" w:name="_Toc491409542"/>
      <w:bookmarkStart w:id="360" w:name="_Toc496018080"/>
      <w:bookmarkStart w:id="361" w:name="_Toc515787278"/>
      <w:bookmarkStart w:id="362" w:name="_Toc515788978"/>
      <w:bookmarkStart w:id="363" w:name="_Toc515789827"/>
      <w:bookmarkStart w:id="364" w:name="_Toc515790676"/>
      <w:bookmarkStart w:id="365" w:name="_Toc515791531"/>
      <w:bookmarkStart w:id="366" w:name="_Toc515792381"/>
      <w:bookmarkStart w:id="367" w:name="_Toc515793224"/>
      <w:bookmarkStart w:id="368" w:name="_Toc515794129"/>
      <w:bookmarkStart w:id="369" w:name="_Toc515795945"/>
      <w:bookmarkStart w:id="370" w:name="_Toc488329864"/>
      <w:bookmarkStart w:id="371" w:name="_Toc488386718"/>
      <w:bookmarkStart w:id="372" w:name="_Toc488402177"/>
      <w:bookmarkStart w:id="373" w:name="_Toc488403000"/>
      <w:bookmarkStart w:id="374" w:name="_Toc488403829"/>
      <w:bookmarkStart w:id="375" w:name="_Toc488404660"/>
      <w:bookmarkStart w:id="376" w:name="_Toc488405483"/>
      <w:bookmarkStart w:id="377" w:name="_Toc488406312"/>
      <w:bookmarkStart w:id="378" w:name="_Toc491409543"/>
      <w:bookmarkStart w:id="379" w:name="_Toc496018081"/>
      <w:bookmarkStart w:id="380" w:name="_Toc515787279"/>
      <w:bookmarkStart w:id="381" w:name="_Toc515788979"/>
      <w:bookmarkStart w:id="382" w:name="_Toc515789828"/>
      <w:bookmarkStart w:id="383" w:name="_Toc515790677"/>
      <w:bookmarkStart w:id="384" w:name="_Toc515791532"/>
      <w:bookmarkStart w:id="385" w:name="_Toc515792382"/>
      <w:bookmarkStart w:id="386" w:name="_Toc515793225"/>
      <w:bookmarkStart w:id="387" w:name="_Toc515794130"/>
      <w:bookmarkStart w:id="388" w:name="_Toc515795946"/>
      <w:bookmarkStart w:id="389" w:name="_Toc488329865"/>
      <w:bookmarkStart w:id="390" w:name="_Toc488386719"/>
      <w:bookmarkStart w:id="391" w:name="_Toc488402178"/>
      <w:bookmarkStart w:id="392" w:name="_Toc488403001"/>
      <w:bookmarkStart w:id="393" w:name="_Toc488403830"/>
      <w:bookmarkStart w:id="394" w:name="_Toc488404661"/>
      <w:bookmarkStart w:id="395" w:name="_Toc488405484"/>
      <w:bookmarkStart w:id="396" w:name="_Toc488406313"/>
      <w:bookmarkStart w:id="397" w:name="_Toc491409544"/>
      <w:bookmarkStart w:id="398" w:name="_Toc496018082"/>
      <w:bookmarkStart w:id="399" w:name="_Toc515787280"/>
      <w:bookmarkStart w:id="400" w:name="_Toc515788980"/>
      <w:bookmarkStart w:id="401" w:name="_Toc515789829"/>
      <w:bookmarkStart w:id="402" w:name="_Toc515790678"/>
      <w:bookmarkStart w:id="403" w:name="_Toc515791533"/>
      <w:bookmarkStart w:id="404" w:name="_Toc515792383"/>
      <w:bookmarkStart w:id="405" w:name="_Toc515793226"/>
      <w:bookmarkStart w:id="406" w:name="_Toc515794131"/>
      <w:bookmarkStart w:id="407" w:name="_Toc515795947"/>
      <w:bookmarkStart w:id="408" w:name="_Toc488329866"/>
      <w:bookmarkStart w:id="409" w:name="_Toc488386720"/>
      <w:bookmarkStart w:id="410" w:name="_Toc488402179"/>
      <w:bookmarkStart w:id="411" w:name="_Toc488403002"/>
      <w:bookmarkStart w:id="412" w:name="_Toc488403831"/>
      <w:bookmarkStart w:id="413" w:name="_Toc488404662"/>
      <w:bookmarkStart w:id="414" w:name="_Toc488405485"/>
      <w:bookmarkStart w:id="415" w:name="_Toc488406314"/>
      <w:bookmarkStart w:id="416" w:name="_Toc491409545"/>
      <w:bookmarkStart w:id="417" w:name="_Toc496018083"/>
      <w:bookmarkStart w:id="418" w:name="_Toc515787281"/>
      <w:bookmarkStart w:id="419" w:name="_Toc515788981"/>
      <w:bookmarkStart w:id="420" w:name="_Toc515789830"/>
      <w:bookmarkStart w:id="421" w:name="_Toc515790679"/>
      <w:bookmarkStart w:id="422" w:name="_Toc515791534"/>
      <w:bookmarkStart w:id="423" w:name="_Toc515792384"/>
      <w:bookmarkStart w:id="424" w:name="_Toc515793227"/>
      <w:bookmarkStart w:id="425" w:name="_Toc515794132"/>
      <w:bookmarkStart w:id="426" w:name="_Toc515795948"/>
      <w:bookmarkStart w:id="427" w:name="_Toc488329867"/>
      <w:bookmarkStart w:id="428" w:name="_Toc488386721"/>
      <w:bookmarkStart w:id="429" w:name="_Toc488402180"/>
      <w:bookmarkStart w:id="430" w:name="_Toc488403003"/>
      <w:bookmarkStart w:id="431" w:name="_Toc488403832"/>
      <w:bookmarkStart w:id="432" w:name="_Toc488404663"/>
      <w:bookmarkStart w:id="433" w:name="_Toc488405486"/>
      <w:bookmarkStart w:id="434" w:name="_Toc488406315"/>
      <w:bookmarkStart w:id="435" w:name="_Toc491409546"/>
      <w:bookmarkStart w:id="436" w:name="_Toc496018084"/>
      <w:bookmarkStart w:id="437" w:name="_Toc515787282"/>
      <w:bookmarkStart w:id="438" w:name="_Toc515788982"/>
      <w:bookmarkStart w:id="439" w:name="_Toc515789831"/>
      <w:bookmarkStart w:id="440" w:name="_Toc515790680"/>
      <w:bookmarkStart w:id="441" w:name="_Toc515791535"/>
      <w:bookmarkStart w:id="442" w:name="_Toc515792385"/>
      <w:bookmarkStart w:id="443" w:name="_Toc515793228"/>
      <w:bookmarkStart w:id="444" w:name="_Toc515794133"/>
      <w:bookmarkStart w:id="445" w:name="_Toc515795949"/>
      <w:bookmarkStart w:id="446" w:name="_Toc488329868"/>
      <w:bookmarkStart w:id="447" w:name="_Toc488386722"/>
      <w:bookmarkStart w:id="448" w:name="_Toc488402181"/>
      <w:bookmarkStart w:id="449" w:name="_Toc488403004"/>
      <w:bookmarkStart w:id="450" w:name="_Toc488403833"/>
      <w:bookmarkStart w:id="451" w:name="_Toc488404664"/>
      <w:bookmarkStart w:id="452" w:name="_Toc488405487"/>
      <w:bookmarkStart w:id="453" w:name="_Toc488406316"/>
      <w:bookmarkStart w:id="454" w:name="_Toc491409547"/>
      <w:bookmarkStart w:id="455" w:name="_Toc496018085"/>
      <w:bookmarkStart w:id="456" w:name="_Toc515787283"/>
      <w:bookmarkStart w:id="457" w:name="_Toc515788983"/>
      <w:bookmarkStart w:id="458" w:name="_Toc515789832"/>
      <w:bookmarkStart w:id="459" w:name="_Toc515790681"/>
      <w:bookmarkStart w:id="460" w:name="_Toc515791536"/>
      <w:bookmarkStart w:id="461" w:name="_Toc515792386"/>
      <w:bookmarkStart w:id="462" w:name="_Toc515793229"/>
      <w:bookmarkStart w:id="463" w:name="_Toc515794134"/>
      <w:bookmarkStart w:id="464" w:name="_Toc515795950"/>
      <w:bookmarkStart w:id="465" w:name="_Toc488329869"/>
      <w:bookmarkStart w:id="466" w:name="_Toc488386723"/>
      <w:bookmarkStart w:id="467" w:name="_Toc488402182"/>
      <w:bookmarkStart w:id="468" w:name="_Toc488403005"/>
      <w:bookmarkStart w:id="469" w:name="_Toc488403834"/>
      <w:bookmarkStart w:id="470" w:name="_Toc488404665"/>
      <w:bookmarkStart w:id="471" w:name="_Toc488405488"/>
      <w:bookmarkStart w:id="472" w:name="_Toc488406317"/>
      <w:bookmarkStart w:id="473" w:name="_Toc491409548"/>
      <w:bookmarkStart w:id="474" w:name="_Toc496018086"/>
      <w:bookmarkStart w:id="475" w:name="_Toc515787284"/>
      <w:bookmarkStart w:id="476" w:name="_Toc515788984"/>
      <w:bookmarkStart w:id="477" w:name="_Toc515789833"/>
      <w:bookmarkStart w:id="478" w:name="_Toc515790682"/>
      <w:bookmarkStart w:id="479" w:name="_Toc515791537"/>
      <w:bookmarkStart w:id="480" w:name="_Toc515792387"/>
      <w:bookmarkStart w:id="481" w:name="_Toc515793230"/>
      <w:bookmarkStart w:id="482" w:name="_Toc515794135"/>
      <w:bookmarkStart w:id="483" w:name="_Toc515795951"/>
      <w:bookmarkStart w:id="484" w:name="_Toc488329870"/>
      <w:bookmarkStart w:id="485" w:name="_Toc488386724"/>
      <w:bookmarkStart w:id="486" w:name="_Toc488402183"/>
      <w:bookmarkStart w:id="487" w:name="_Toc488403006"/>
      <w:bookmarkStart w:id="488" w:name="_Toc488403835"/>
      <w:bookmarkStart w:id="489" w:name="_Toc488404666"/>
      <w:bookmarkStart w:id="490" w:name="_Toc488405489"/>
      <w:bookmarkStart w:id="491" w:name="_Toc488406318"/>
      <w:bookmarkStart w:id="492" w:name="_Toc491409549"/>
      <w:bookmarkStart w:id="493" w:name="_Toc496018087"/>
      <w:bookmarkStart w:id="494" w:name="_Toc515787285"/>
      <w:bookmarkStart w:id="495" w:name="_Toc515788985"/>
      <w:bookmarkStart w:id="496" w:name="_Toc515789834"/>
      <w:bookmarkStart w:id="497" w:name="_Toc515790683"/>
      <w:bookmarkStart w:id="498" w:name="_Toc515791538"/>
      <w:bookmarkStart w:id="499" w:name="_Toc515792388"/>
      <w:bookmarkStart w:id="500" w:name="_Toc515793231"/>
      <w:bookmarkStart w:id="501" w:name="_Toc515794136"/>
      <w:bookmarkStart w:id="502" w:name="_Toc515795952"/>
      <w:bookmarkStart w:id="503" w:name="_Toc488329871"/>
      <w:bookmarkStart w:id="504" w:name="_Toc488386725"/>
      <w:bookmarkStart w:id="505" w:name="_Toc488402184"/>
      <w:bookmarkStart w:id="506" w:name="_Toc488403007"/>
      <w:bookmarkStart w:id="507" w:name="_Toc488403836"/>
      <w:bookmarkStart w:id="508" w:name="_Toc488404667"/>
      <w:bookmarkStart w:id="509" w:name="_Toc488405490"/>
      <w:bookmarkStart w:id="510" w:name="_Toc488406319"/>
      <w:bookmarkStart w:id="511" w:name="_Toc491409550"/>
      <w:bookmarkStart w:id="512" w:name="_Toc496018088"/>
      <w:bookmarkStart w:id="513" w:name="_Toc515787286"/>
      <w:bookmarkStart w:id="514" w:name="_Toc515788986"/>
      <w:bookmarkStart w:id="515" w:name="_Toc515789835"/>
      <w:bookmarkStart w:id="516" w:name="_Toc515790684"/>
      <w:bookmarkStart w:id="517" w:name="_Toc515791539"/>
      <w:bookmarkStart w:id="518" w:name="_Toc515792389"/>
      <w:bookmarkStart w:id="519" w:name="_Toc515793232"/>
      <w:bookmarkStart w:id="520" w:name="_Toc515794137"/>
      <w:bookmarkStart w:id="521" w:name="_Toc515795953"/>
      <w:bookmarkStart w:id="522" w:name="_Toc488329872"/>
      <w:bookmarkStart w:id="523" w:name="_Toc488386726"/>
      <w:bookmarkStart w:id="524" w:name="_Toc488402185"/>
      <w:bookmarkStart w:id="525" w:name="_Toc488403008"/>
      <w:bookmarkStart w:id="526" w:name="_Toc488403837"/>
      <w:bookmarkStart w:id="527" w:name="_Toc488404668"/>
      <w:bookmarkStart w:id="528" w:name="_Toc488405491"/>
      <w:bookmarkStart w:id="529" w:name="_Toc488406320"/>
      <w:bookmarkStart w:id="530" w:name="_Toc491409551"/>
      <w:bookmarkStart w:id="531" w:name="_Toc496018089"/>
      <w:bookmarkStart w:id="532" w:name="_Toc515787287"/>
      <w:bookmarkStart w:id="533" w:name="_Toc515788987"/>
      <w:bookmarkStart w:id="534" w:name="_Toc515789836"/>
      <w:bookmarkStart w:id="535" w:name="_Toc515790685"/>
      <w:bookmarkStart w:id="536" w:name="_Toc515791540"/>
      <w:bookmarkStart w:id="537" w:name="_Toc515792390"/>
      <w:bookmarkStart w:id="538" w:name="_Toc515793233"/>
      <w:bookmarkStart w:id="539" w:name="_Toc515794138"/>
      <w:bookmarkStart w:id="540" w:name="_Toc515795954"/>
      <w:bookmarkStart w:id="541" w:name="_Toc488329873"/>
      <w:bookmarkStart w:id="542" w:name="_Toc488386727"/>
      <w:bookmarkStart w:id="543" w:name="_Toc488402186"/>
      <w:bookmarkStart w:id="544" w:name="_Toc488403009"/>
      <w:bookmarkStart w:id="545" w:name="_Toc488403838"/>
      <w:bookmarkStart w:id="546" w:name="_Toc488404669"/>
      <w:bookmarkStart w:id="547" w:name="_Toc488405492"/>
      <w:bookmarkStart w:id="548" w:name="_Toc488406321"/>
      <w:bookmarkStart w:id="549" w:name="_Toc491409552"/>
      <w:bookmarkStart w:id="550" w:name="_Toc496018090"/>
      <w:bookmarkStart w:id="551" w:name="_Toc515787288"/>
      <w:bookmarkStart w:id="552" w:name="_Toc515788988"/>
      <w:bookmarkStart w:id="553" w:name="_Toc515789837"/>
      <w:bookmarkStart w:id="554" w:name="_Toc515790686"/>
      <w:bookmarkStart w:id="555" w:name="_Toc515791541"/>
      <w:bookmarkStart w:id="556" w:name="_Toc515792391"/>
      <w:bookmarkStart w:id="557" w:name="_Toc515793234"/>
      <w:bookmarkStart w:id="558" w:name="_Toc515794139"/>
      <w:bookmarkStart w:id="559" w:name="_Toc515795955"/>
      <w:bookmarkStart w:id="560" w:name="_Toc488329874"/>
      <w:bookmarkStart w:id="561" w:name="_Toc488386728"/>
      <w:bookmarkStart w:id="562" w:name="_Toc488402187"/>
      <w:bookmarkStart w:id="563" w:name="_Toc488403010"/>
      <w:bookmarkStart w:id="564" w:name="_Toc488403839"/>
      <w:bookmarkStart w:id="565" w:name="_Toc488404670"/>
      <w:bookmarkStart w:id="566" w:name="_Toc488405493"/>
      <w:bookmarkStart w:id="567" w:name="_Toc488406322"/>
      <w:bookmarkStart w:id="568" w:name="_Toc491409553"/>
      <w:bookmarkStart w:id="569" w:name="_Toc496018091"/>
      <w:bookmarkStart w:id="570" w:name="_Toc515787289"/>
      <w:bookmarkStart w:id="571" w:name="_Toc515788989"/>
      <w:bookmarkStart w:id="572" w:name="_Toc515789838"/>
      <w:bookmarkStart w:id="573" w:name="_Toc515790687"/>
      <w:bookmarkStart w:id="574" w:name="_Toc515791542"/>
      <w:bookmarkStart w:id="575" w:name="_Toc515792392"/>
      <w:bookmarkStart w:id="576" w:name="_Toc515793235"/>
      <w:bookmarkStart w:id="577" w:name="_Toc515794140"/>
      <w:bookmarkStart w:id="578" w:name="_Toc515795956"/>
      <w:bookmarkStart w:id="579" w:name="_Toc488329875"/>
      <w:bookmarkStart w:id="580" w:name="_Toc488386729"/>
      <w:bookmarkStart w:id="581" w:name="_Toc488402188"/>
      <w:bookmarkStart w:id="582" w:name="_Toc488403011"/>
      <w:bookmarkStart w:id="583" w:name="_Toc488403840"/>
      <w:bookmarkStart w:id="584" w:name="_Toc488404671"/>
      <w:bookmarkStart w:id="585" w:name="_Toc488405494"/>
      <w:bookmarkStart w:id="586" w:name="_Toc488406323"/>
      <w:bookmarkStart w:id="587" w:name="_Toc491409554"/>
      <w:bookmarkStart w:id="588" w:name="_Toc496018092"/>
      <w:bookmarkStart w:id="589" w:name="_Toc515787290"/>
      <w:bookmarkStart w:id="590" w:name="_Toc515788990"/>
      <w:bookmarkStart w:id="591" w:name="_Toc515789839"/>
      <w:bookmarkStart w:id="592" w:name="_Toc515790688"/>
      <w:bookmarkStart w:id="593" w:name="_Toc515791543"/>
      <w:bookmarkStart w:id="594" w:name="_Toc515792393"/>
      <w:bookmarkStart w:id="595" w:name="_Toc515793236"/>
      <w:bookmarkStart w:id="596" w:name="_Toc515794141"/>
      <w:bookmarkStart w:id="597" w:name="_Toc515795957"/>
      <w:bookmarkStart w:id="598" w:name="_Toc488329876"/>
      <w:bookmarkStart w:id="599" w:name="_Toc488386730"/>
      <w:bookmarkStart w:id="600" w:name="_Toc488402189"/>
      <w:bookmarkStart w:id="601" w:name="_Toc488403012"/>
      <w:bookmarkStart w:id="602" w:name="_Toc488403841"/>
      <w:bookmarkStart w:id="603" w:name="_Toc488404672"/>
      <w:bookmarkStart w:id="604" w:name="_Toc488405495"/>
      <w:bookmarkStart w:id="605" w:name="_Toc488406324"/>
      <w:bookmarkStart w:id="606" w:name="_Toc491409555"/>
      <w:bookmarkStart w:id="607" w:name="_Toc496018093"/>
      <w:bookmarkStart w:id="608" w:name="_Toc515787291"/>
      <w:bookmarkStart w:id="609" w:name="_Toc515788991"/>
      <w:bookmarkStart w:id="610" w:name="_Toc515789840"/>
      <w:bookmarkStart w:id="611" w:name="_Toc515790689"/>
      <w:bookmarkStart w:id="612" w:name="_Toc515791544"/>
      <w:bookmarkStart w:id="613" w:name="_Toc515792394"/>
      <w:bookmarkStart w:id="614" w:name="_Toc515793237"/>
      <w:bookmarkStart w:id="615" w:name="_Toc515794142"/>
      <w:bookmarkStart w:id="616" w:name="_Toc515795958"/>
      <w:bookmarkStart w:id="617" w:name="_Toc488329877"/>
      <w:bookmarkStart w:id="618" w:name="_Toc488386731"/>
      <w:bookmarkStart w:id="619" w:name="_Toc488402190"/>
      <w:bookmarkStart w:id="620" w:name="_Toc488403013"/>
      <w:bookmarkStart w:id="621" w:name="_Toc488403842"/>
      <w:bookmarkStart w:id="622" w:name="_Toc488404673"/>
      <w:bookmarkStart w:id="623" w:name="_Toc488405496"/>
      <w:bookmarkStart w:id="624" w:name="_Toc488406325"/>
      <w:bookmarkStart w:id="625" w:name="_Toc491409556"/>
      <w:bookmarkStart w:id="626" w:name="_Toc496018094"/>
      <w:bookmarkStart w:id="627" w:name="_Toc515787292"/>
      <w:bookmarkStart w:id="628" w:name="_Toc515788992"/>
      <w:bookmarkStart w:id="629" w:name="_Toc515789841"/>
      <w:bookmarkStart w:id="630" w:name="_Toc515790690"/>
      <w:bookmarkStart w:id="631" w:name="_Toc515791545"/>
      <w:bookmarkStart w:id="632" w:name="_Toc515792395"/>
      <w:bookmarkStart w:id="633" w:name="_Toc515793238"/>
      <w:bookmarkStart w:id="634" w:name="_Toc515794143"/>
      <w:bookmarkStart w:id="635" w:name="_Toc515795959"/>
      <w:bookmarkStart w:id="636" w:name="_Toc488329878"/>
      <w:bookmarkStart w:id="637" w:name="_Toc488386732"/>
      <w:bookmarkStart w:id="638" w:name="_Toc488402191"/>
      <w:bookmarkStart w:id="639" w:name="_Toc488403014"/>
      <w:bookmarkStart w:id="640" w:name="_Toc488403843"/>
      <w:bookmarkStart w:id="641" w:name="_Toc488404674"/>
      <w:bookmarkStart w:id="642" w:name="_Toc488405497"/>
      <w:bookmarkStart w:id="643" w:name="_Toc488406326"/>
      <w:bookmarkStart w:id="644" w:name="_Toc491409557"/>
      <w:bookmarkStart w:id="645" w:name="_Toc496018095"/>
      <w:bookmarkStart w:id="646" w:name="_Toc515787293"/>
      <w:bookmarkStart w:id="647" w:name="_Toc515788993"/>
      <w:bookmarkStart w:id="648" w:name="_Toc515789842"/>
      <w:bookmarkStart w:id="649" w:name="_Toc515790691"/>
      <w:bookmarkStart w:id="650" w:name="_Toc515791546"/>
      <w:bookmarkStart w:id="651" w:name="_Toc515792396"/>
      <w:bookmarkStart w:id="652" w:name="_Toc515793239"/>
      <w:bookmarkStart w:id="653" w:name="_Toc515794144"/>
      <w:bookmarkStart w:id="654" w:name="_Toc515795960"/>
      <w:bookmarkStart w:id="655" w:name="_Toc488329879"/>
      <w:bookmarkStart w:id="656" w:name="_Toc488386733"/>
      <w:bookmarkStart w:id="657" w:name="_Toc488402192"/>
      <w:bookmarkStart w:id="658" w:name="_Toc488403015"/>
      <w:bookmarkStart w:id="659" w:name="_Toc488403844"/>
      <w:bookmarkStart w:id="660" w:name="_Toc488404675"/>
      <w:bookmarkStart w:id="661" w:name="_Toc488405498"/>
      <w:bookmarkStart w:id="662" w:name="_Toc488406327"/>
      <w:bookmarkStart w:id="663" w:name="_Toc491409558"/>
      <w:bookmarkStart w:id="664" w:name="_Toc496018096"/>
      <w:bookmarkStart w:id="665" w:name="_Toc515787294"/>
      <w:bookmarkStart w:id="666" w:name="_Toc515788994"/>
      <w:bookmarkStart w:id="667" w:name="_Toc515789843"/>
      <w:bookmarkStart w:id="668" w:name="_Toc515790692"/>
      <w:bookmarkStart w:id="669" w:name="_Toc515791547"/>
      <w:bookmarkStart w:id="670" w:name="_Toc515792397"/>
      <w:bookmarkStart w:id="671" w:name="_Toc515793240"/>
      <w:bookmarkStart w:id="672" w:name="_Toc515794145"/>
      <w:bookmarkStart w:id="673" w:name="_Toc515795961"/>
      <w:bookmarkStart w:id="674" w:name="_Toc488329880"/>
      <w:bookmarkStart w:id="675" w:name="_Toc488386734"/>
      <w:bookmarkStart w:id="676" w:name="_Toc488402193"/>
      <w:bookmarkStart w:id="677" w:name="_Toc488403016"/>
      <w:bookmarkStart w:id="678" w:name="_Toc488403845"/>
      <w:bookmarkStart w:id="679" w:name="_Toc488404676"/>
      <w:bookmarkStart w:id="680" w:name="_Toc488405499"/>
      <w:bookmarkStart w:id="681" w:name="_Toc488406328"/>
      <w:bookmarkStart w:id="682" w:name="_Toc491409559"/>
      <w:bookmarkStart w:id="683" w:name="_Toc496018097"/>
      <w:bookmarkStart w:id="684" w:name="_Toc515787295"/>
      <w:bookmarkStart w:id="685" w:name="_Toc515788995"/>
      <w:bookmarkStart w:id="686" w:name="_Toc515789844"/>
      <w:bookmarkStart w:id="687" w:name="_Toc515790693"/>
      <w:bookmarkStart w:id="688" w:name="_Toc515791548"/>
      <w:bookmarkStart w:id="689" w:name="_Toc515792398"/>
      <w:bookmarkStart w:id="690" w:name="_Toc515793241"/>
      <w:bookmarkStart w:id="691" w:name="_Toc515794146"/>
      <w:bookmarkStart w:id="692" w:name="_Toc515795962"/>
      <w:bookmarkStart w:id="693" w:name="_Toc488329881"/>
      <w:bookmarkStart w:id="694" w:name="_Toc488386735"/>
      <w:bookmarkStart w:id="695" w:name="_Toc488402194"/>
      <w:bookmarkStart w:id="696" w:name="_Toc488403017"/>
      <w:bookmarkStart w:id="697" w:name="_Toc488403846"/>
      <w:bookmarkStart w:id="698" w:name="_Toc488404677"/>
      <w:bookmarkStart w:id="699" w:name="_Toc488405500"/>
      <w:bookmarkStart w:id="700" w:name="_Toc488406329"/>
      <w:bookmarkStart w:id="701" w:name="_Toc491409560"/>
      <w:bookmarkStart w:id="702" w:name="_Toc496018098"/>
      <w:bookmarkStart w:id="703" w:name="_Toc515787296"/>
      <w:bookmarkStart w:id="704" w:name="_Toc515788996"/>
      <w:bookmarkStart w:id="705" w:name="_Toc515789845"/>
      <w:bookmarkStart w:id="706" w:name="_Toc515790694"/>
      <w:bookmarkStart w:id="707" w:name="_Toc515791549"/>
      <w:bookmarkStart w:id="708" w:name="_Toc515792399"/>
      <w:bookmarkStart w:id="709" w:name="_Toc515793242"/>
      <w:bookmarkStart w:id="710" w:name="_Toc515794147"/>
      <w:bookmarkStart w:id="711" w:name="_Toc515795963"/>
      <w:bookmarkStart w:id="712" w:name="_Toc488329882"/>
      <w:bookmarkStart w:id="713" w:name="_Toc488386736"/>
      <w:bookmarkStart w:id="714" w:name="_Toc488402195"/>
      <w:bookmarkStart w:id="715" w:name="_Toc488403018"/>
      <w:bookmarkStart w:id="716" w:name="_Toc488403847"/>
      <w:bookmarkStart w:id="717" w:name="_Toc488404678"/>
      <w:bookmarkStart w:id="718" w:name="_Toc488405501"/>
      <w:bookmarkStart w:id="719" w:name="_Toc488406330"/>
      <w:bookmarkStart w:id="720" w:name="_Toc491409561"/>
      <w:bookmarkStart w:id="721" w:name="_Toc496018099"/>
      <w:bookmarkStart w:id="722" w:name="_Toc515787297"/>
      <w:bookmarkStart w:id="723" w:name="_Toc515788997"/>
      <w:bookmarkStart w:id="724" w:name="_Toc515789846"/>
      <w:bookmarkStart w:id="725" w:name="_Toc515790695"/>
      <w:bookmarkStart w:id="726" w:name="_Toc515791550"/>
      <w:bookmarkStart w:id="727" w:name="_Toc515792400"/>
      <w:bookmarkStart w:id="728" w:name="_Toc515793243"/>
      <w:bookmarkStart w:id="729" w:name="_Toc515794148"/>
      <w:bookmarkStart w:id="730" w:name="_Toc515795964"/>
      <w:bookmarkStart w:id="731" w:name="_Toc488329883"/>
      <w:bookmarkStart w:id="732" w:name="_Toc488386737"/>
      <w:bookmarkStart w:id="733" w:name="_Toc488402196"/>
      <w:bookmarkStart w:id="734" w:name="_Toc488403019"/>
      <w:bookmarkStart w:id="735" w:name="_Toc488403848"/>
      <w:bookmarkStart w:id="736" w:name="_Toc488404679"/>
      <w:bookmarkStart w:id="737" w:name="_Toc488405502"/>
      <w:bookmarkStart w:id="738" w:name="_Toc488406331"/>
      <w:bookmarkStart w:id="739" w:name="_Toc491409562"/>
      <w:bookmarkStart w:id="740" w:name="_Toc496018100"/>
      <w:bookmarkStart w:id="741" w:name="_Toc515787298"/>
      <w:bookmarkStart w:id="742" w:name="_Toc515788998"/>
      <w:bookmarkStart w:id="743" w:name="_Toc515789847"/>
      <w:bookmarkStart w:id="744" w:name="_Toc515790696"/>
      <w:bookmarkStart w:id="745" w:name="_Toc515791551"/>
      <w:bookmarkStart w:id="746" w:name="_Toc515792401"/>
      <w:bookmarkStart w:id="747" w:name="_Toc515793244"/>
      <w:bookmarkStart w:id="748" w:name="_Toc515794149"/>
      <w:bookmarkStart w:id="749" w:name="_Toc515795965"/>
      <w:bookmarkStart w:id="750" w:name="_Toc488329884"/>
      <w:bookmarkStart w:id="751" w:name="_Toc488386738"/>
      <w:bookmarkStart w:id="752" w:name="_Toc488402197"/>
      <w:bookmarkStart w:id="753" w:name="_Toc488403020"/>
      <w:bookmarkStart w:id="754" w:name="_Toc488403849"/>
      <w:bookmarkStart w:id="755" w:name="_Toc488404680"/>
      <w:bookmarkStart w:id="756" w:name="_Toc488405503"/>
      <w:bookmarkStart w:id="757" w:name="_Toc488406332"/>
      <w:bookmarkStart w:id="758" w:name="_Toc491409563"/>
      <w:bookmarkStart w:id="759" w:name="_Toc496018101"/>
      <w:bookmarkStart w:id="760" w:name="_Toc515787299"/>
      <w:bookmarkStart w:id="761" w:name="_Toc515788999"/>
      <w:bookmarkStart w:id="762" w:name="_Toc515789848"/>
      <w:bookmarkStart w:id="763" w:name="_Toc515790697"/>
      <w:bookmarkStart w:id="764" w:name="_Toc515791552"/>
      <w:bookmarkStart w:id="765" w:name="_Toc515792402"/>
      <w:bookmarkStart w:id="766" w:name="_Toc515793245"/>
      <w:bookmarkStart w:id="767" w:name="_Toc515794150"/>
      <w:bookmarkStart w:id="768" w:name="_Toc515795966"/>
      <w:bookmarkStart w:id="769" w:name="_Toc488329885"/>
      <w:bookmarkStart w:id="770" w:name="_Toc488386739"/>
      <w:bookmarkStart w:id="771" w:name="_Toc488402198"/>
      <w:bookmarkStart w:id="772" w:name="_Toc488403021"/>
      <w:bookmarkStart w:id="773" w:name="_Toc488403850"/>
      <w:bookmarkStart w:id="774" w:name="_Toc488404681"/>
      <w:bookmarkStart w:id="775" w:name="_Toc488405504"/>
      <w:bookmarkStart w:id="776" w:name="_Toc488406333"/>
      <w:bookmarkStart w:id="777" w:name="_Toc491409564"/>
      <w:bookmarkStart w:id="778" w:name="_Toc496018102"/>
      <w:bookmarkStart w:id="779" w:name="_Toc515787300"/>
      <w:bookmarkStart w:id="780" w:name="_Toc515789000"/>
      <w:bookmarkStart w:id="781" w:name="_Toc515789849"/>
      <w:bookmarkStart w:id="782" w:name="_Toc515790698"/>
      <w:bookmarkStart w:id="783" w:name="_Toc515791553"/>
      <w:bookmarkStart w:id="784" w:name="_Toc515792403"/>
      <w:bookmarkStart w:id="785" w:name="_Toc515793246"/>
      <w:bookmarkStart w:id="786" w:name="_Toc515794151"/>
      <w:bookmarkStart w:id="787" w:name="_Toc515795967"/>
      <w:bookmarkStart w:id="788" w:name="_Toc488329886"/>
      <w:bookmarkStart w:id="789" w:name="_Toc488386740"/>
      <w:bookmarkStart w:id="790" w:name="_Toc488402199"/>
      <w:bookmarkStart w:id="791" w:name="_Toc488403022"/>
      <w:bookmarkStart w:id="792" w:name="_Toc488403851"/>
      <w:bookmarkStart w:id="793" w:name="_Toc488404682"/>
      <w:bookmarkStart w:id="794" w:name="_Toc488405505"/>
      <w:bookmarkStart w:id="795" w:name="_Toc488406334"/>
      <w:bookmarkStart w:id="796" w:name="_Toc491409565"/>
      <w:bookmarkStart w:id="797" w:name="_Toc496018103"/>
      <w:bookmarkStart w:id="798" w:name="_Toc515787301"/>
      <w:bookmarkStart w:id="799" w:name="_Toc515789001"/>
      <w:bookmarkStart w:id="800" w:name="_Toc515789850"/>
      <w:bookmarkStart w:id="801" w:name="_Toc515790699"/>
      <w:bookmarkStart w:id="802" w:name="_Toc515791554"/>
      <w:bookmarkStart w:id="803" w:name="_Toc515792404"/>
      <w:bookmarkStart w:id="804" w:name="_Toc515793247"/>
      <w:bookmarkStart w:id="805" w:name="_Toc515794152"/>
      <w:bookmarkStart w:id="806" w:name="_Toc515795968"/>
      <w:bookmarkStart w:id="807" w:name="_Toc488329887"/>
      <w:bookmarkStart w:id="808" w:name="_Toc488386741"/>
      <w:bookmarkStart w:id="809" w:name="_Toc488402200"/>
      <w:bookmarkStart w:id="810" w:name="_Toc488403023"/>
      <w:bookmarkStart w:id="811" w:name="_Toc488403852"/>
      <w:bookmarkStart w:id="812" w:name="_Toc488404683"/>
      <w:bookmarkStart w:id="813" w:name="_Toc488405506"/>
      <w:bookmarkStart w:id="814" w:name="_Toc488406335"/>
      <w:bookmarkStart w:id="815" w:name="_Toc491409566"/>
      <w:bookmarkStart w:id="816" w:name="_Toc496018104"/>
      <w:bookmarkStart w:id="817" w:name="_Toc515787302"/>
      <w:bookmarkStart w:id="818" w:name="_Toc515789002"/>
      <w:bookmarkStart w:id="819" w:name="_Toc515789851"/>
      <w:bookmarkStart w:id="820" w:name="_Toc515790700"/>
      <w:bookmarkStart w:id="821" w:name="_Toc515791555"/>
      <w:bookmarkStart w:id="822" w:name="_Toc515792405"/>
      <w:bookmarkStart w:id="823" w:name="_Toc515793248"/>
      <w:bookmarkStart w:id="824" w:name="_Toc515794153"/>
      <w:bookmarkStart w:id="825" w:name="_Toc515795969"/>
      <w:bookmarkStart w:id="826" w:name="_Toc488329888"/>
      <w:bookmarkStart w:id="827" w:name="_Toc488386742"/>
      <w:bookmarkStart w:id="828" w:name="_Toc488402201"/>
      <w:bookmarkStart w:id="829" w:name="_Toc488403024"/>
      <w:bookmarkStart w:id="830" w:name="_Toc488403853"/>
      <w:bookmarkStart w:id="831" w:name="_Toc488404684"/>
      <w:bookmarkStart w:id="832" w:name="_Toc488405507"/>
      <w:bookmarkStart w:id="833" w:name="_Toc488406336"/>
      <w:bookmarkStart w:id="834" w:name="_Toc491409567"/>
      <w:bookmarkStart w:id="835" w:name="_Toc496018105"/>
      <w:bookmarkStart w:id="836" w:name="_Toc515787303"/>
      <w:bookmarkStart w:id="837" w:name="_Toc515789003"/>
      <w:bookmarkStart w:id="838" w:name="_Toc515789852"/>
      <w:bookmarkStart w:id="839" w:name="_Toc515790701"/>
      <w:bookmarkStart w:id="840" w:name="_Toc515791556"/>
      <w:bookmarkStart w:id="841" w:name="_Toc515792406"/>
      <w:bookmarkStart w:id="842" w:name="_Toc515793249"/>
      <w:bookmarkStart w:id="843" w:name="_Toc515794154"/>
      <w:bookmarkStart w:id="844" w:name="_Toc515795970"/>
      <w:bookmarkStart w:id="845" w:name="_Toc488329889"/>
      <w:bookmarkStart w:id="846" w:name="_Toc488386743"/>
      <w:bookmarkStart w:id="847" w:name="_Toc488402202"/>
      <w:bookmarkStart w:id="848" w:name="_Toc488403025"/>
      <w:bookmarkStart w:id="849" w:name="_Toc488403854"/>
      <w:bookmarkStart w:id="850" w:name="_Toc488404685"/>
      <w:bookmarkStart w:id="851" w:name="_Toc488405508"/>
      <w:bookmarkStart w:id="852" w:name="_Toc488406337"/>
      <w:bookmarkStart w:id="853" w:name="_Toc491409568"/>
      <w:bookmarkStart w:id="854" w:name="_Toc496018106"/>
      <w:bookmarkStart w:id="855" w:name="_Toc515787304"/>
      <w:bookmarkStart w:id="856" w:name="_Toc515789004"/>
      <w:bookmarkStart w:id="857" w:name="_Toc515789853"/>
      <w:bookmarkStart w:id="858" w:name="_Toc515790702"/>
      <w:bookmarkStart w:id="859" w:name="_Toc515791557"/>
      <w:bookmarkStart w:id="860" w:name="_Toc515792407"/>
      <w:bookmarkStart w:id="861" w:name="_Toc515793250"/>
      <w:bookmarkStart w:id="862" w:name="_Toc515794155"/>
      <w:bookmarkStart w:id="863" w:name="_Toc515795971"/>
      <w:bookmarkStart w:id="864" w:name="_Toc488329890"/>
      <w:bookmarkStart w:id="865" w:name="_Toc488386744"/>
      <w:bookmarkStart w:id="866" w:name="_Toc488402203"/>
      <w:bookmarkStart w:id="867" w:name="_Toc488403026"/>
      <w:bookmarkStart w:id="868" w:name="_Toc488403855"/>
      <w:bookmarkStart w:id="869" w:name="_Toc488404686"/>
      <w:bookmarkStart w:id="870" w:name="_Toc488405509"/>
      <w:bookmarkStart w:id="871" w:name="_Toc488406338"/>
      <w:bookmarkStart w:id="872" w:name="_Toc491409569"/>
      <w:bookmarkStart w:id="873" w:name="_Toc496018107"/>
      <w:bookmarkStart w:id="874" w:name="_Toc515787305"/>
      <w:bookmarkStart w:id="875" w:name="_Toc515789005"/>
      <w:bookmarkStart w:id="876" w:name="_Toc515789854"/>
      <w:bookmarkStart w:id="877" w:name="_Toc515790703"/>
      <w:bookmarkStart w:id="878" w:name="_Toc515791558"/>
      <w:bookmarkStart w:id="879" w:name="_Toc515792408"/>
      <w:bookmarkStart w:id="880" w:name="_Toc515793251"/>
      <w:bookmarkStart w:id="881" w:name="_Toc515794156"/>
      <w:bookmarkStart w:id="882" w:name="_Toc515795972"/>
      <w:bookmarkStart w:id="883" w:name="_Toc488329891"/>
      <w:bookmarkStart w:id="884" w:name="_Toc488386745"/>
      <w:bookmarkStart w:id="885" w:name="_Toc488402204"/>
      <w:bookmarkStart w:id="886" w:name="_Toc488403027"/>
      <w:bookmarkStart w:id="887" w:name="_Toc488403856"/>
      <w:bookmarkStart w:id="888" w:name="_Toc488404687"/>
      <w:bookmarkStart w:id="889" w:name="_Toc488405510"/>
      <w:bookmarkStart w:id="890" w:name="_Toc488406339"/>
      <w:bookmarkStart w:id="891" w:name="_Toc491409570"/>
      <w:bookmarkStart w:id="892" w:name="_Toc496018108"/>
      <w:bookmarkStart w:id="893" w:name="_Toc515787306"/>
      <w:bookmarkStart w:id="894" w:name="_Toc515789006"/>
      <w:bookmarkStart w:id="895" w:name="_Toc515789855"/>
      <w:bookmarkStart w:id="896" w:name="_Toc515790704"/>
      <w:bookmarkStart w:id="897" w:name="_Toc515791559"/>
      <w:bookmarkStart w:id="898" w:name="_Toc515792409"/>
      <w:bookmarkStart w:id="899" w:name="_Toc515793252"/>
      <w:bookmarkStart w:id="900" w:name="_Toc515794157"/>
      <w:bookmarkStart w:id="901" w:name="_Toc515795973"/>
      <w:bookmarkStart w:id="902" w:name="_Toc488329892"/>
      <w:bookmarkStart w:id="903" w:name="_Toc488386746"/>
      <w:bookmarkStart w:id="904" w:name="_Toc488402205"/>
      <w:bookmarkStart w:id="905" w:name="_Toc488403028"/>
      <w:bookmarkStart w:id="906" w:name="_Toc488403857"/>
      <w:bookmarkStart w:id="907" w:name="_Toc488404688"/>
      <w:bookmarkStart w:id="908" w:name="_Toc488405511"/>
      <w:bookmarkStart w:id="909" w:name="_Toc488406340"/>
      <w:bookmarkStart w:id="910" w:name="_Toc491409571"/>
      <w:bookmarkStart w:id="911" w:name="_Toc496018109"/>
      <w:bookmarkStart w:id="912" w:name="_Toc515787307"/>
      <w:bookmarkStart w:id="913" w:name="_Toc515789007"/>
      <w:bookmarkStart w:id="914" w:name="_Toc515789856"/>
      <w:bookmarkStart w:id="915" w:name="_Toc515790705"/>
      <w:bookmarkStart w:id="916" w:name="_Toc515791560"/>
      <w:bookmarkStart w:id="917" w:name="_Toc515792410"/>
      <w:bookmarkStart w:id="918" w:name="_Toc515793253"/>
      <w:bookmarkStart w:id="919" w:name="_Toc515794158"/>
      <w:bookmarkStart w:id="920" w:name="_Toc515795974"/>
      <w:bookmarkStart w:id="921" w:name="_Toc488329893"/>
      <w:bookmarkStart w:id="922" w:name="_Toc488386747"/>
      <w:bookmarkStart w:id="923" w:name="_Toc488402206"/>
      <w:bookmarkStart w:id="924" w:name="_Toc488403029"/>
      <w:bookmarkStart w:id="925" w:name="_Toc488403858"/>
      <w:bookmarkStart w:id="926" w:name="_Toc488404689"/>
      <w:bookmarkStart w:id="927" w:name="_Toc488405512"/>
      <w:bookmarkStart w:id="928" w:name="_Toc488406341"/>
      <w:bookmarkStart w:id="929" w:name="_Toc491409572"/>
      <w:bookmarkStart w:id="930" w:name="_Toc496018110"/>
      <w:bookmarkStart w:id="931" w:name="_Toc515787308"/>
      <w:bookmarkStart w:id="932" w:name="_Toc515789008"/>
      <w:bookmarkStart w:id="933" w:name="_Toc515789857"/>
      <w:bookmarkStart w:id="934" w:name="_Toc515790706"/>
      <w:bookmarkStart w:id="935" w:name="_Toc515791561"/>
      <w:bookmarkStart w:id="936" w:name="_Toc515792411"/>
      <w:bookmarkStart w:id="937" w:name="_Toc515793254"/>
      <w:bookmarkStart w:id="938" w:name="_Toc515794159"/>
      <w:bookmarkStart w:id="939" w:name="_Toc515795975"/>
      <w:bookmarkStart w:id="940" w:name="_Toc488329894"/>
      <w:bookmarkStart w:id="941" w:name="_Toc488386748"/>
      <w:bookmarkStart w:id="942" w:name="_Toc488402207"/>
      <w:bookmarkStart w:id="943" w:name="_Toc488403030"/>
      <w:bookmarkStart w:id="944" w:name="_Toc488403859"/>
      <w:bookmarkStart w:id="945" w:name="_Toc488404690"/>
      <w:bookmarkStart w:id="946" w:name="_Toc488405513"/>
      <w:bookmarkStart w:id="947" w:name="_Toc488406342"/>
      <w:bookmarkStart w:id="948" w:name="_Toc491409573"/>
      <w:bookmarkStart w:id="949" w:name="_Toc496018111"/>
      <w:bookmarkStart w:id="950" w:name="_Toc515787309"/>
      <w:bookmarkStart w:id="951" w:name="_Toc515789009"/>
      <w:bookmarkStart w:id="952" w:name="_Toc515789858"/>
      <w:bookmarkStart w:id="953" w:name="_Toc515790707"/>
      <w:bookmarkStart w:id="954" w:name="_Toc515791562"/>
      <w:bookmarkStart w:id="955" w:name="_Toc515792412"/>
      <w:bookmarkStart w:id="956" w:name="_Toc515793255"/>
      <w:bookmarkStart w:id="957" w:name="_Toc515794160"/>
      <w:bookmarkStart w:id="958" w:name="_Toc515795976"/>
      <w:bookmarkStart w:id="959" w:name="_Toc488329895"/>
      <w:bookmarkStart w:id="960" w:name="_Toc488386749"/>
      <w:bookmarkStart w:id="961" w:name="_Toc488402208"/>
      <w:bookmarkStart w:id="962" w:name="_Toc488403031"/>
      <w:bookmarkStart w:id="963" w:name="_Toc488403860"/>
      <w:bookmarkStart w:id="964" w:name="_Toc488404691"/>
      <w:bookmarkStart w:id="965" w:name="_Toc488405514"/>
      <w:bookmarkStart w:id="966" w:name="_Toc488406343"/>
      <w:bookmarkStart w:id="967" w:name="_Toc491409574"/>
      <w:bookmarkStart w:id="968" w:name="_Toc496018112"/>
      <w:bookmarkStart w:id="969" w:name="_Toc515787310"/>
      <w:bookmarkStart w:id="970" w:name="_Toc515789010"/>
      <w:bookmarkStart w:id="971" w:name="_Toc515789859"/>
      <w:bookmarkStart w:id="972" w:name="_Toc515790708"/>
      <w:bookmarkStart w:id="973" w:name="_Toc515791563"/>
      <w:bookmarkStart w:id="974" w:name="_Toc515792413"/>
      <w:bookmarkStart w:id="975" w:name="_Toc515793256"/>
      <w:bookmarkStart w:id="976" w:name="_Toc515794161"/>
      <w:bookmarkStart w:id="977" w:name="_Toc515795977"/>
      <w:bookmarkStart w:id="978" w:name="_Toc488329896"/>
      <w:bookmarkStart w:id="979" w:name="_Toc488386750"/>
      <w:bookmarkStart w:id="980" w:name="_Toc488402209"/>
      <w:bookmarkStart w:id="981" w:name="_Toc488403032"/>
      <w:bookmarkStart w:id="982" w:name="_Toc488403861"/>
      <w:bookmarkStart w:id="983" w:name="_Toc488404692"/>
      <w:bookmarkStart w:id="984" w:name="_Toc488405515"/>
      <w:bookmarkStart w:id="985" w:name="_Toc488406344"/>
      <w:bookmarkStart w:id="986" w:name="_Toc491409575"/>
      <w:bookmarkStart w:id="987" w:name="_Toc496018113"/>
      <w:bookmarkStart w:id="988" w:name="_Toc515787311"/>
      <w:bookmarkStart w:id="989" w:name="_Toc515789011"/>
      <w:bookmarkStart w:id="990" w:name="_Toc515789860"/>
      <w:bookmarkStart w:id="991" w:name="_Toc515790709"/>
      <w:bookmarkStart w:id="992" w:name="_Toc515791564"/>
      <w:bookmarkStart w:id="993" w:name="_Toc515792414"/>
      <w:bookmarkStart w:id="994" w:name="_Toc515793257"/>
      <w:bookmarkStart w:id="995" w:name="_Toc515794162"/>
      <w:bookmarkStart w:id="996" w:name="_Toc515795978"/>
      <w:bookmarkStart w:id="997" w:name="_Toc488329897"/>
      <w:bookmarkStart w:id="998" w:name="_Toc488386751"/>
      <w:bookmarkStart w:id="999" w:name="_Toc488402210"/>
      <w:bookmarkStart w:id="1000" w:name="_Toc488403033"/>
      <w:bookmarkStart w:id="1001" w:name="_Toc488403862"/>
      <w:bookmarkStart w:id="1002" w:name="_Toc488404693"/>
      <w:bookmarkStart w:id="1003" w:name="_Toc488405516"/>
      <w:bookmarkStart w:id="1004" w:name="_Toc488406345"/>
      <w:bookmarkStart w:id="1005" w:name="_Toc491409576"/>
      <w:bookmarkStart w:id="1006" w:name="_Toc496018114"/>
      <w:bookmarkStart w:id="1007" w:name="_Toc515787312"/>
      <w:bookmarkStart w:id="1008" w:name="_Toc515789012"/>
      <w:bookmarkStart w:id="1009" w:name="_Toc515789861"/>
      <w:bookmarkStart w:id="1010" w:name="_Toc515790710"/>
      <w:bookmarkStart w:id="1011" w:name="_Toc515791565"/>
      <w:bookmarkStart w:id="1012" w:name="_Toc515792415"/>
      <w:bookmarkStart w:id="1013" w:name="_Toc515793258"/>
      <w:bookmarkStart w:id="1014" w:name="_Toc515794163"/>
      <w:bookmarkStart w:id="1015" w:name="_Toc515795979"/>
      <w:bookmarkStart w:id="1016" w:name="_Toc488329898"/>
      <w:bookmarkStart w:id="1017" w:name="_Toc488386752"/>
      <w:bookmarkStart w:id="1018" w:name="_Toc488402211"/>
      <w:bookmarkStart w:id="1019" w:name="_Toc488403034"/>
      <w:bookmarkStart w:id="1020" w:name="_Toc488403863"/>
      <w:bookmarkStart w:id="1021" w:name="_Toc488404694"/>
      <w:bookmarkStart w:id="1022" w:name="_Toc488405517"/>
      <w:bookmarkStart w:id="1023" w:name="_Toc488406346"/>
      <w:bookmarkStart w:id="1024" w:name="_Toc491409577"/>
      <w:bookmarkStart w:id="1025" w:name="_Toc496018115"/>
      <w:bookmarkStart w:id="1026" w:name="_Toc515787313"/>
      <w:bookmarkStart w:id="1027" w:name="_Toc515789013"/>
      <w:bookmarkStart w:id="1028" w:name="_Toc515789862"/>
      <w:bookmarkStart w:id="1029" w:name="_Toc515790711"/>
      <w:bookmarkStart w:id="1030" w:name="_Toc515791566"/>
      <w:bookmarkStart w:id="1031" w:name="_Toc515792416"/>
      <w:bookmarkStart w:id="1032" w:name="_Toc515793259"/>
      <w:bookmarkStart w:id="1033" w:name="_Toc515794164"/>
      <w:bookmarkStart w:id="1034" w:name="_Toc515795980"/>
      <w:bookmarkStart w:id="1035" w:name="_Toc488329899"/>
      <w:bookmarkStart w:id="1036" w:name="_Toc488386753"/>
      <w:bookmarkStart w:id="1037" w:name="_Toc488402212"/>
      <w:bookmarkStart w:id="1038" w:name="_Toc488403035"/>
      <w:bookmarkStart w:id="1039" w:name="_Toc488403864"/>
      <w:bookmarkStart w:id="1040" w:name="_Toc488404695"/>
      <w:bookmarkStart w:id="1041" w:name="_Toc488405518"/>
      <w:bookmarkStart w:id="1042" w:name="_Toc488406347"/>
      <w:bookmarkStart w:id="1043" w:name="_Toc491409578"/>
      <w:bookmarkStart w:id="1044" w:name="_Toc496018116"/>
      <w:bookmarkStart w:id="1045" w:name="_Toc515787314"/>
      <w:bookmarkStart w:id="1046" w:name="_Toc515789014"/>
      <w:bookmarkStart w:id="1047" w:name="_Toc515789863"/>
      <w:bookmarkStart w:id="1048" w:name="_Toc515790712"/>
      <w:bookmarkStart w:id="1049" w:name="_Toc515791567"/>
      <w:bookmarkStart w:id="1050" w:name="_Toc515792417"/>
      <w:bookmarkStart w:id="1051" w:name="_Toc515793260"/>
      <w:bookmarkStart w:id="1052" w:name="_Toc515794165"/>
      <w:bookmarkStart w:id="1053" w:name="_Toc515795981"/>
      <w:bookmarkStart w:id="1054" w:name="_Toc488329900"/>
      <w:bookmarkStart w:id="1055" w:name="_Toc488386754"/>
      <w:bookmarkStart w:id="1056" w:name="_Toc488402213"/>
      <w:bookmarkStart w:id="1057" w:name="_Toc488403036"/>
      <w:bookmarkStart w:id="1058" w:name="_Toc488403865"/>
      <w:bookmarkStart w:id="1059" w:name="_Toc488404696"/>
      <w:bookmarkStart w:id="1060" w:name="_Toc488405519"/>
      <w:bookmarkStart w:id="1061" w:name="_Toc488406348"/>
      <w:bookmarkStart w:id="1062" w:name="_Toc491409579"/>
      <w:bookmarkStart w:id="1063" w:name="_Toc496018117"/>
      <w:bookmarkStart w:id="1064" w:name="_Toc515787315"/>
      <w:bookmarkStart w:id="1065" w:name="_Toc515789015"/>
      <w:bookmarkStart w:id="1066" w:name="_Toc515789864"/>
      <w:bookmarkStart w:id="1067" w:name="_Toc515790713"/>
      <w:bookmarkStart w:id="1068" w:name="_Toc515791568"/>
      <w:bookmarkStart w:id="1069" w:name="_Toc515792418"/>
      <w:bookmarkStart w:id="1070" w:name="_Toc515793261"/>
      <w:bookmarkStart w:id="1071" w:name="_Toc515794166"/>
      <w:bookmarkStart w:id="1072" w:name="_Toc515795982"/>
      <w:bookmarkStart w:id="1073" w:name="_Toc488329901"/>
      <w:bookmarkStart w:id="1074" w:name="_Toc488386755"/>
      <w:bookmarkStart w:id="1075" w:name="_Toc488402214"/>
      <w:bookmarkStart w:id="1076" w:name="_Toc488403037"/>
      <w:bookmarkStart w:id="1077" w:name="_Toc488403866"/>
      <w:bookmarkStart w:id="1078" w:name="_Toc488404697"/>
      <w:bookmarkStart w:id="1079" w:name="_Toc488405520"/>
      <w:bookmarkStart w:id="1080" w:name="_Toc488406349"/>
      <w:bookmarkStart w:id="1081" w:name="_Toc491409580"/>
      <w:bookmarkStart w:id="1082" w:name="_Toc496018118"/>
      <w:bookmarkStart w:id="1083" w:name="_Toc515787316"/>
      <w:bookmarkStart w:id="1084" w:name="_Toc515789016"/>
      <w:bookmarkStart w:id="1085" w:name="_Toc515789865"/>
      <w:bookmarkStart w:id="1086" w:name="_Toc515790714"/>
      <w:bookmarkStart w:id="1087" w:name="_Toc515791569"/>
      <w:bookmarkStart w:id="1088" w:name="_Toc515792419"/>
      <w:bookmarkStart w:id="1089" w:name="_Toc515793262"/>
      <w:bookmarkStart w:id="1090" w:name="_Toc515794167"/>
      <w:bookmarkStart w:id="1091" w:name="_Toc515795983"/>
      <w:bookmarkStart w:id="1092" w:name="_Toc488329902"/>
      <w:bookmarkStart w:id="1093" w:name="_Toc488386756"/>
      <w:bookmarkStart w:id="1094" w:name="_Toc488402215"/>
      <w:bookmarkStart w:id="1095" w:name="_Toc488403038"/>
      <w:bookmarkStart w:id="1096" w:name="_Toc488403867"/>
      <w:bookmarkStart w:id="1097" w:name="_Toc488404698"/>
      <w:bookmarkStart w:id="1098" w:name="_Toc488405521"/>
      <w:bookmarkStart w:id="1099" w:name="_Toc488406350"/>
      <w:bookmarkStart w:id="1100" w:name="_Toc491409581"/>
      <w:bookmarkStart w:id="1101" w:name="_Toc496018119"/>
      <w:bookmarkStart w:id="1102" w:name="_Toc515787317"/>
      <w:bookmarkStart w:id="1103" w:name="_Toc515789017"/>
      <w:bookmarkStart w:id="1104" w:name="_Toc515789866"/>
      <w:bookmarkStart w:id="1105" w:name="_Toc515790715"/>
      <w:bookmarkStart w:id="1106" w:name="_Toc515791570"/>
      <w:bookmarkStart w:id="1107" w:name="_Toc515792420"/>
      <w:bookmarkStart w:id="1108" w:name="_Toc515793263"/>
      <w:bookmarkStart w:id="1109" w:name="_Toc515794168"/>
      <w:bookmarkStart w:id="1110" w:name="_Toc515795984"/>
      <w:bookmarkStart w:id="1111" w:name="_Toc488329903"/>
      <w:bookmarkStart w:id="1112" w:name="_Toc488386757"/>
      <w:bookmarkStart w:id="1113" w:name="_Toc488402216"/>
      <w:bookmarkStart w:id="1114" w:name="_Toc488403039"/>
      <w:bookmarkStart w:id="1115" w:name="_Toc488403868"/>
      <w:bookmarkStart w:id="1116" w:name="_Toc488404699"/>
      <w:bookmarkStart w:id="1117" w:name="_Toc488405522"/>
      <w:bookmarkStart w:id="1118" w:name="_Toc488406351"/>
      <w:bookmarkStart w:id="1119" w:name="_Toc491409582"/>
      <w:bookmarkStart w:id="1120" w:name="_Toc496018120"/>
      <w:bookmarkStart w:id="1121" w:name="_Toc515787318"/>
      <w:bookmarkStart w:id="1122" w:name="_Toc515789018"/>
      <w:bookmarkStart w:id="1123" w:name="_Toc515789867"/>
      <w:bookmarkStart w:id="1124" w:name="_Toc515790716"/>
      <w:bookmarkStart w:id="1125" w:name="_Toc515791571"/>
      <w:bookmarkStart w:id="1126" w:name="_Toc515792421"/>
      <w:bookmarkStart w:id="1127" w:name="_Toc515793264"/>
      <w:bookmarkStart w:id="1128" w:name="_Toc515794169"/>
      <w:bookmarkStart w:id="1129" w:name="_Toc515795985"/>
      <w:bookmarkStart w:id="1130" w:name="_Toc488329904"/>
      <w:bookmarkStart w:id="1131" w:name="_Toc488386758"/>
      <w:bookmarkStart w:id="1132" w:name="_Toc488402217"/>
      <w:bookmarkStart w:id="1133" w:name="_Toc488403040"/>
      <w:bookmarkStart w:id="1134" w:name="_Toc488403869"/>
      <w:bookmarkStart w:id="1135" w:name="_Toc488404700"/>
      <w:bookmarkStart w:id="1136" w:name="_Toc488405523"/>
      <w:bookmarkStart w:id="1137" w:name="_Toc488406352"/>
      <w:bookmarkStart w:id="1138" w:name="_Toc491409583"/>
      <w:bookmarkStart w:id="1139" w:name="_Toc496018121"/>
      <w:bookmarkStart w:id="1140" w:name="_Toc515787319"/>
      <w:bookmarkStart w:id="1141" w:name="_Toc515789019"/>
      <w:bookmarkStart w:id="1142" w:name="_Toc515789868"/>
      <w:bookmarkStart w:id="1143" w:name="_Toc515790717"/>
      <w:bookmarkStart w:id="1144" w:name="_Toc515791572"/>
      <w:bookmarkStart w:id="1145" w:name="_Toc515792422"/>
      <w:bookmarkStart w:id="1146" w:name="_Toc515793265"/>
      <w:bookmarkStart w:id="1147" w:name="_Toc515794170"/>
      <w:bookmarkStart w:id="1148" w:name="_Toc515795986"/>
      <w:bookmarkStart w:id="1149" w:name="_Toc488329905"/>
      <w:bookmarkStart w:id="1150" w:name="_Toc488386759"/>
      <w:bookmarkStart w:id="1151" w:name="_Toc488402218"/>
      <w:bookmarkStart w:id="1152" w:name="_Toc488403041"/>
      <w:bookmarkStart w:id="1153" w:name="_Toc488403870"/>
      <w:bookmarkStart w:id="1154" w:name="_Toc488404701"/>
      <w:bookmarkStart w:id="1155" w:name="_Toc488405524"/>
      <w:bookmarkStart w:id="1156" w:name="_Toc488406353"/>
      <w:bookmarkStart w:id="1157" w:name="_Toc491409584"/>
      <w:bookmarkStart w:id="1158" w:name="_Toc496018122"/>
      <w:bookmarkStart w:id="1159" w:name="_Toc515787320"/>
      <w:bookmarkStart w:id="1160" w:name="_Toc515789020"/>
      <w:bookmarkStart w:id="1161" w:name="_Toc515789869"/>
      <w:bookmarkStart w:id="1162" w:name="_Toc515790718"/>
      <w:bookmarkStart w:id="1163" w:name="_Toc515791573"/>
      <w:bookmarkStart w:id="1164" w:name="_Toc515792423"/>
      <w:bookmarkStart w:id="1165" w:name="_Toc515793266"/>
      <w:bookmarkStart w:id="1166" w:name="_Toc515794171"/>
      <w:bookmarkStart w:id="1167" w:name="_Toc515795987"/>
      <w:bookmarkStart w:id="1168" w:name="_Toc488329906"/>
      <w:bookmarkStart w:id="1169" w:name="_Toc488386760"/>
      <w:bookmarkStart w:id="1170" w:name="_Toc488402219"/>
      <w:bookmarkStart w:id="1171" w:name="_Toc488403042"/>
      <w:bookmarkStart w:id="1172" w:name="_Toc488403871"/>
      <w:bookmarkStart w:id="1173" w:name="_Toc488404702"/>
      <w:bookmarkStart w:id="1174" w:name="_Toc488405525"/>
      <w:bookmarkStart w:id="1175" w:name="_Toc488406354"/>
      <w:bookmarkStart w:id="1176" w:name="_Toc491409585"/>
      <w:bookmarkStart w:id="1177" w:name="_Toc496018123"/>
      <w:bookmarkStart w:id="1178" w:name="_Toc515787321"/>
      <w:bookmarkStart w:id="1179" w:name="_Toc515789021"/>
      <w:bookmarkStart w:id="1180" w:name="_Toc515789870"/>
      <w:bookmarkStart w:id="1181" w:name="_Toc515790719"/>
      <w:bookmarkStart w:id="1182" w:name="_Toc515791574"/>
      <w:bookmarkStart w:id="1183" w:name="_Toc515792424"/>
      <w:bookmarkStart w:id="1184" w:name="_Toc515793267"/>
      <w:bookmarkStart w:id="1185" w:name="_Toc515794172"/>
      <w:bookmarkStart w:id="1186" w:name="_Toc515795988"/>
      <w:bookmarkStart w:id="1187" w:name="_Toc488329907"/>
      <w:bookmarkStart w:id="1188" w:name="_Toc488386761"/>
      <w:bookmarkStart w:id="1189" w:name="_Toc488402220"/>
      <w:bookmarkStart w:id="1190" w:name="_Toc488403043"/>
      <w:bookmarkStart w:id="1191" w:name="_Toc488403872"/>
      <w:bookmarkStart w:id="1192" w:name="_Toc488404703"/>
      <w:bookmarkStart w:id="1193" w:name="_Toc488405526"/>
      <w:bookmarkStart w:id="1194" w:name="_Toc488406355"/>
      <w:bookmarkStart w:id="1195" w:name="_Toc491409586"/>
      <w:bookmarkStart w:id="1196" w:name="_Toc496018124"/>
      <w:bookmarkStart w:id="1197" w:name="_Toc515787322"/>
      <w:bookmarkStart w:id="1198" w:name="_Toc515789022"/>
      <w:bookmarkStart w:id="1199" w:name="_Toc515789871"/>
      <w:bookmarkStart w:id="1200" w:name="_Toc515790720"/>
      <w:bookmarkStart w:id="1201" w:name="_Toc515791575"/>
      <w:bookmarkStart w:id="1202" w:name="_Toc515792425"/>
      <w:bookmarkStart w:id="1203" w:name="_Toc515793268"/>
      <w:bookmarkStart w:id="1204" w:name="_Toc515794173"/>
      <w:bookmarkStart w:id="1205" w:name="_Toc515795989"/>
      <w:bookmarkStart w:id="1206" w:name="_Toc488329908"/>
      <w:bookmarkStart w:id="1207" w:name="_Toc488386762"/>
      <w:bookmarkStart w:id="1208" w:name="_Toc488402221"/>
      <w:bookmarkStart w:id="1209" w:name="_Toc488403044"/>
      <w:bookmarkStart w:id="1210" w:name="_Toc488403873"/>
      <w:bookmarkStart w:id="1211" w:name="_Toc488404704"/>
      <w:bookmarkStart w:id="1212" w:name="_Toc488405527"/>
      <w:bookmarkStart w:id="1213" w:name="_Toc488406356"/>
      <w:bookmarkStart w:id="1214" w:name="_Toc491409587"/>
      <w:bookmarkStart w:id="1215" w:name="_Toc496018125"/>
      <w:bookmarkStart w:id="1216" w:name="_Toc515787323"/>
      <w:bookmarkStart w:id="1217" w:name="_Toc515789023"/>
      <w:bookmarkStart w:id="1218" w:name="_Toc515789872"/>
      <w:bookmarkStart w:id="1219" w:name="_Toc515790721"/>
      <w:bookmarkStart w:id="1220" w:name="_Toc515791576"/>
      <w:bookmarkStart w:id="1221" w:name="_Toc515792426"/>
      <w:bookmarkStart w:id="1222" w:name="_Toc515793269"/>
      <w:bookmarkStart w:id="1223" w:name="_Toc515794174"/>
      <w:bookmarkStart w:id="1224" w:name="_Toc515795990"/>
      <w:bookmarkStart w:id="1225" w:name="_Toc488329909"/>
      <w:bookmarkStart w:id="1226" w:name="_Toc488386763"/>
      <w:bookmarkStart w:id="1227" w:name="_Toc488402222"/>
      <w:bookmarkStart w:id="1228" w:name="_Toc488403045"/>
      <w:bookmarkStart w:id="1229" w:name="_Toc488403874"/>
      <w:bookmarkStart w:id="1230" w:name="_Toc488404705"/>
      <w:bookmarkStart w:id="1231" w:name="_Toc488405528"/>
      <w:bookmarkStart w:id="1232" w:name="_Toc488406357"/>
      <w:bookmarkStart w:id="1233" w:name="_Toc491409588"/>
      <w:bookmarkStart w:id="1234" w:name="_Toc496018126"/>
      <w:bookmarkStart w:id="1235" w:name="_Toc515787324"/>
      <w:bookmarkStart w:id="1236" w:name="_Toc515789024"/>
      <w:bookmarkStart w:id="1237" w:name="_Toc515789873"/>
      <w:bookmarkStart w:id="1238" w:name="_Toc515790722"/>
      <w:bookmarkStart w:id="1239" w:name="_Toc515791577"/>
      <w:bookmarkStart w:id="1240" w:name="_Toc515792427"/>
      <w:bookmarkStart w:id="1241" w:name="_Toc515793270"/>
      <w:bookmarkStart w:id="1242" w:name="_Toc515794175"/>
      <w:bookmarkStart w:id="1243" w:name="_Toc515795991"/>
      <w:bookmarkStart w:id="1244" w:name="_Toc488329910"/>
      <w:bookmarkStart w:id="1245" w:name="_Toc488386764"/>
      <w:bookmarkStart w:id="1246" w:name="_Toc488402223"/>
      <w:bookmarkStart w:id="1247" w:name="_Toc488403046"/>
      <w:bookmarkStart w:id="1248" w:name="_Toc488403875"/>
      <w:bookmarkStart w:id="1249" w:name="_Toc488404706"/>
      <w:bookmarkStart w:id="1250" w:name="_Toc488405529"/>
      <w:bookmarkStart w:id="1251" w:name="_Toc488406358"/>
      <w:bookmarkStart w:id="1252" w:name="_Toc491409589"/>
      <w:bookmarkStart w:id="1253" w:name="_Toc496018127"/>
      <w:bookmarkStart w:id="1254" w:name="_Toc515787325"/>
      <w:bookmarkStart w:id="1255" w:name="_Toc515789025"/>
      <w:bookmarkStart w:id="1256" w:name="_Toc515789874"/>
      <w:bookmarkStart w:id="1257" w:name="_Toc515790723"/>
      <w:bookmarkStart w:id="1258" w:name="_Toc515791578"/>
      <w:bookmarkStart w:id="1259" w:name="_Toc515792428"/>
      <w:bookmarkStart w:id="1260" w:name="_Toc515793271"/>
      <w:bookmarkStart w:id="1261" w:name="_Toc515794176"/>
      <w:bookmarkStart w:id="1262" w:name="_Toc515795992"/>
      <w:bookmarkStart w:id="1263" w:name="_Toc488329911"/>
      <w:bookmarkStart w:id="1264" w:name="_Toc488386765"/>
      <w:bookmarkStart w:id="1265" w:name="_Toc488402224"/>
      <w:bookmarkStart w:id="1266" w:name="_Toc488403047"/>
      <w:bookmarkStart w:id="1267" w:name="_Toc488403876"/>
      <w:bookmarkStart w:id="1268" w:name="_Toc488404707"/>
      <w:bookmarkStart w:id="1269" w:name="_Toc488405530"/>
      <w:bookmarkStart w:id="1270" w:name="_Toc488406359"/>
      <w:bookmarkStart w:id="1271" w:name="_Toc491409590"/>
      <w:bookmarkStart w:id="1272" w:name="_Toc496018128"/>
      <w:bookmarkStart w:id="1273" w:name="_Toc515787326"/>
      <w:bookmarkStart w:id="1274" w:name="_Toc515789026"/>
      <w:bookmarkStart w:id="1275" w:name="_Toc515789875"/>
      <w:bookmarkStart w:id="1276" w:name="_Toc515790724"/>
      <w:bookmarkStart w:id="1277" w:name="_Toc515791579"/>
      <w:bookmarkStart w:id="1278" w:name="_Toc515792429"/>
      <w:bookmarkStart w:id="1279" w:name="_Toc515793272"/>
      <w:bookmarkStart w:id="1280" w:name="_Toc515794177"/>
      <w:bookmarkStart w:id="1281" w:name="_Toc515795993"/>
      <w:bookmarkStart w:id="1282" w:name="_Toc488329912"/>
      <w:bookmarkStart w:id="1283" w:name="_Toc488386766"/>
      <w:bookmarkStart w:id="1284" w:name="_Toc488402225"/>
      <w:bookmarkStart w:id="1285" w:name="_Toc488403048"/>
      <w:bookmarkStart w:id="1286" w:name="_Toc488403877"/>
      <w:bookmarkStart w:id="1287" w:name="_Toc488404708"/>
      <w:bookmarkStart w:id="1288" w:name="_Toc488405531"/>
      <w:bookmarkStart w:id="1289" w:name="_Toc488406360"/>
      <w:bookmarkStart w:id="1290" w:name="_Toc491409591"/>
      <w:bookmarkStart w:id="1291" w:name="_Toc496018129"/>
      <w:bookmarkStart w:id="1292" w:name="_Toc515787327"/>
      <w:bookmarkStart w:id="1293" w:name="_Toc515789027"/>
      <w:bookmarkStart w:id="1294" w:name="_Toc515789876"/>
      <w:bookmarkStart w:id="1295" w:name="_Toc515790725"/>
      <w:bookmarkStart w:id="1296" w:name="_Toc515791580"/>
      <w:bookmarkStart w:id="1297" w:name="_Toc515792430"/>
      <w:bookmarkStart w:id="1298" w:name="_Toc515793273"/>
      <w:bookmarkStart w:id="1299" w:name="_Toc515794178"/>
      <w:bookmarkStart w:id="1300" w:name="_Toc515795994"/>
      <w:bookmarkStart w:id="1301" w:name="_Toc488329913"/>
      <w:bookmarkStart w:id="1302" w:name="_Toc488386767"/>
      <w:bookmarkStart w:id="1303" w:name="_Toc488402226"/>
      <w:bookmarkStart w:id="1304" w:name="_Toc488403049"/>
      <w:bookmarkStart w:id="1305" w:name="_Toc488403878"/>
      <w:bookmarkStart w:id="1306" w:name="_Toc488404709"/>
      <w:bookmarkStart w:id="1307" w:name="_Toc488405532"/>
      <w:bookmarkStart w:id="1308" w:name="_Toc488406361"/>
      <w:bookmarkStart w:id="1309" w:name="_Toc491409592"/>
      <w:bookmarkStart w:id="1310" w:name="_Toc496018130"/>
      <w:bookmarkStart w:id="1311" w:name="_Toc515787328"/>
      <w:bookmarkStart w:id="1312" w:name="_Toc515789028"/>
      <w:bookmarkStart w:id="1313" w:name="_Toc515789877"/>
      <w:bookmarkStart w:id="1314" w:name="_Toc515790726"/>
      <w:bookmarkStart w:id="1315" w:name="_Toc515791581"/>
      <w:bookmarkStart w:id="1316" w:name="_Toc515792431"/>
      <w:bookmarkStart w:id="1317" w:name="_Toc515793274"/>
      <w:bookmarkStart w:id="1318" w:name="_Toc515794179"/>
      <w:bookmarkStart w:id="1319" w:name="_Toc515795995"/>
      <w:bookmarkStart w:id="1320" w:name="_Toc488329914"/>
      <w:bookmarkStart w:id="1321" w:name="_Toc488386768"/>
      <w:bookmarkStart w:id="1322" w:name="_Toc488402227"/>
      <w:bookmarkStart w:id="1323" w:name="_Toc488403050"/>
      <w:bookmarkStart w:id="1324" w:name="_Toc488403879"/>
      <w:bookmarkStart w:id="1325" w:name="_Toc488404710"/>
      <w:bookmarkStart w:id="1326" w:name="_Toc488405533"/>
      <w:bookmarkStart w:id="1327" w:name="_Toc488406362"/>
      <w:bookmarkStart w:id="1328" w:name="_Toc491409593"/>
      <w:bookmarkStart w:id="1329" w:name="_Toc496018131"/>
      <w:bookmarkStart w:id="1330" w:name="_Toc515787329"/>
      <w:bookmarkStart w:id="1331" w:name="_Toc515789029"/>
      <w:bookmarkStart w:id="1332" w:name="_Toc515789878"/>
      <w:bookmarkStart w:id="1333" w:name="_Toc515790727"/>
      <w:bookmarkStart w:id="1334" w:name="_Toc515791582"/>
      <w:bookmarkStart w:id="1335" w:name="_Toc515792432"/>
      <w:bookmarkStart w:id="1336" w:name="_Toc515793275"/>
      <w:bookmarkStart w:id="1337" w:name="_Toc515794180"/>
      <w:bookmarkStart w:id="1338" w:name="_Toc515795996"/>
      <w:bookmarkStart w:id="1339" w:name="_Toc488329915"/>
      <w:bookmarkStart w:id="1340" w:name="_Toc488386769"/>
      <w:bookmarkStart w:id="1341" w:name="_Toc488402228"/>
      <w:bookmarkStart w:id="1342" w:name="_Toc488403051"/>
      <w:bookmarkStart w:id="1343" w:name="_Toc488403880"/>
      <w:bookmarkStart w:id="1344" w:name="_Toc488404711"/>
      <w:bookmarkStart w:id="1345" w:name="_Toc488405534"/>
      <w:bookmarkStart w:id="1346" w:name="_Toc488406363"/>
      <w:bookmarkStart w:id="1347" w:name="_Toc491409594"/>
      <w:bookmarkStart w:id="1348" w:name="_Toc496018132"/>
      <w:bookmarkStart w:id="1349" w:name="_Toc515787330"/>
      <w:bookmarkStart w:id="1350" w:name="_Toc515789030"/>
      <w:bookmarkStart w:id="1351" w:name="_Toc515789879"/>
      <w:bookmarkStart w:id="1352" w:name="_Toc515790728"/>
      <w:bookmarkStart w:id="1353" w:name="_Toc515791583"/>
      <w:bookmarkStart w:id="1354" w:name="_Toc515792433"/>
      <w:bookmarkStart w:id="1355" w:name="_Toc515793276"/>
      <w:bookmarkStart w:id="1356" w:name="_Toc515794181"/>
      <w:bookmarkStart w:id="1357" w:name="_Toc515795997"/>
      <w:bookmarkStart w:id="1358" w:name="_Toc488329916"/>
      <w:bookmarkStart w:id="1359" w:name="_Toc488386770"/>
      <w:bookmarkStart w:id="1360" w:name="_Toc488402229"/>
      <w:bookmarkStart w:id="1361" w:name="_Toc488403052"/>
      <w:bookmarkStart w:id="1362" w:name="_Toc488403881"/>
      <w:bookmarkStart w:id="1363" w:name="_Toc488404712"/>
      <w:bookmarkStart w:id="1364" w:name="_Toc488405535"/>
      <w:bookmarkStart w:id="1365" w:name="_Toc488406364"/>
      <w:bookmarkStart w:id="1366" w:name="_Toc491409595"/>
      <w:bookmarkStart w:id="1367" w:name="_Toc496018133"/>
      <w:bookmarkStart w:id="1368" w:name="_Toc515787331"/>
      <w:bookmarkStart w:id="1369" w:name="_Toc515789031"/>
      <w:bookmarkStart w:id="1370" w:name="_Toc515789880"/>
      <w:bookmarkStart w:id="1371" w:name="_Toc515790729"/>
      <w:bookmarkStart w:id="1372" w:name="_Toc515791584"/>
      <w:bookmarkStart w:id="1373" w:name="_Toc515792434"/>
      <w:bookmarkStart w:id="1374" w:name="_Toc515793277"/>
      <w:bookmarkStart w:id="1375" w:name="_Toc515794182"/>
      <w:bookmarkStart w:id="1376" w:name="_Toc515795998"/>
      <w:bookmarkStart w:id="1377" w:name="_Toc488329917"/>
      <w:bookmarkStart w:id="1378" w:name="_Toc488386771"/>
      <w:bookmarkStart w:id="1379" w:name="_Toc488402230"/>
      <w:bookmarkStart w:id="1380" w:name="_Toc488403053"/>
      <w:bookmarkStart w:id="1381" w:name="_Toc488403882"/>
      <w:bookmarkStart w:id="1382" w:name="_Toc488404713"/>
      <w:bookmarkStart w:id="1383" w:name="_Toc488405536"/>
      <w:bookmarkStart w:id="1384" w:name="_Toc488406365"/>
      <w:bookmarkStart w:id="1385" w:name="_Toc491409596"/>
      <w:bookmarkStart w:id="1386" w:name="_Toc496018134"/>
      <w:bookmarkStart w:id="1387" w:name="_Toc515787332"/>
      <w:bookmarkStart w:id="1388" w:name="_Toc515789032"/>
      <w:bookmarkStart w:id="1389" w:name="_Toc515789881"/>
      <w:bookmarkStart w:id="1390" w:name="_Toc515790730"/>
      <w:bookmarkStart w:id="1391" w:name="_Toc515791585"/>
      <w:bookmarkStart w:id="1392" w:name="_Toc515792435"/>
      <w:bookmarkStart w:id="1393" w:name="_Toc515793278"/>
      <w:bookmarkStart w:id="1394" w:name="_Toc515794183"/>
      <w:bookmarkStart w:id="1395" w:name="_Toc515795999"/>
      <w:bookmarkStart w:id="1396" w:name="_Toc488329918"/>
      <w:bookmarkStart w:id="1397" w:name="_Toc488386772"/>
      <w:bookmarkStart w:id="1398" w:name="_Toc488402231"/>
      <w:bookmarkStart w:id="1399" w:name="_Toc488403054"/>
      <w:bookmarkStart w:id="1400" w:name="_Toc488403883"/>
      <w:bookmarkStart w:id="1401" w:name="_Toc488404714"/>
      <w:bookmarkStart w:id="1402" w:name="_Toc488405537"/>
      <w:bookmarkStart w:id="1403" w:name="_Toc488406366"/>
      <w:bookmarkStart w:id="1404" w:name="_Toc491409597"/>
      <w:bookmarkStart w:id="1405" w:name="_Toc496018135"/>
      <w:bookmarkStart w:id="1406" w:name="_Toc515787333"/>
      <w:bookmarkStart w:id="1407" w:name="_Toc515789033"/>
      <w:bookmarkStart w:id="1408" w:name="_Toc515789882"/>
      <w:bookmarkStart w:id="1409" w:name="_Toc515790731"/>
      <w:bookmarkStart w:id="1410" w:name="_Toc515791586"/>
      <w:bookmarkStart w:id="1411" w:name="_Toc515792436"/>
      <w:bookmarkStart w:id="1412" w:name="_Toc515793279"/>
      <w:bookmarkStart w:id="1413" w:name="_Toc515794184"/>
      <w:bookmarkStart w:id="1414" w:name="_Toc515796000"/>
      <w:bookmarkStart w:id="1415" w:name="_Toc488329919"/>
      <w:bookmarkStart w:id="1416" w:name="_Toc488386773"/>
      <w:bookmarkStart w:id="1417" w:name="_Toc488402232"/>
      <w:bookmarkStart w:id="1418" w:name="_Toc488403055"/>
      <w:bookmarkStart w:id="1419" w:name="_Toc488403884"/>
      <w:bookmarkStart w:id="1420" w:name="_Toc488404715"/>
      <w:bookmarkStart w:id="1421" w:name="_Toc488405538"/>
      <w:bookmarkStart w:id="1422" w:name="_Toc488406367"/>
      <w:bookmarkStart w:id="1423" w:name="_Toc491409598"/>
      <w:bookmarkStart w:id="1424" w:name="_Toc496018136"/>
      <w:bookmarkStart w:id="1425" w:name="_Toc515787334"/>
      <w:bookmarkStart w:id="1426" w:name="_Toc515789034"/>
      <w:bookmarkStart w:id="1427" w:name="_Toc515789883"/>
      <w:bookmarkStart w:id="1428" w:name="_Toc515790732"/>
      <w:bookmarkStart w:id="1429" w:name="_Toc515791587"/>
      <w:bookmarkStart w:id="1430" w:name="_Toc515792437"/>
      <w:bookmarkStart w:id="1431" w:name="_Toc515793280"/>
      <w:bookmarkStart w:id="1432" w:name="_Toc515794185"/>
      <w:bookmarkStart w:id="1433" w:name="_Toc515796001"/>
      <w:bookmarkStart w:id="1434" w:name="_Toc488329920"/>
      <w:bookmarkStart w:id="1435" w:name="_Toc488386774"/>
      <w:bookmarkStart w:id="1436" w:name="_Toc488402233"/>
      <w:bookmarkStart w:id="1437" w:name="_Toc488403056"/>
      <w:bookmarkStart w:id="1438" w:name="_Toc488403885"/>
      <w:bookmarkStart w:id="1439" w:name="_Toc488404716"/>
      <w:bookmarkStart w:id="1440" w:name="_Toc488405539"/>
      <w:bookmarkStart w:id="1441" w:name="_Toc488406368"/>
      <w:bookmarkStart w:id="1442" w:name="_Toc491409599"/>
      <w:bookmarkStart w:id="1443" w:name="_Toc496018137"/>
      <w:bookmarkStart w:id="1444" w:name="_Toc515787335"/>
      <w:bookmarkStart w:id="1445" w:name="_Toc515789035"/>
      <w:bookmarkStart w:id="1446" w:name="_Toc515789884"/>
      <w:bookmarkStart w:id="1447" w:name="_Toc515790733"/>
      <w:bookmarkStart w:id="1448" w:name="_Toc515791588"/>
      <w:bookmarkStart w:id="1449" w:name="_Toc515792438"/>
      <w:bookmarkStart w:id="1450" w:name="_Toc515793281"/>
      <w:bookmarkStart w:id="1451" w:name="_Toc515794186"/>
      <w:bookmarkStart w:id="1452" w:name="_Toc515796002"/>
      <w:bookmarkStart w:id="1453" w:name="_Toc488329921"/>
      <w:bookmarkStart w:id="1454" w:name="_Toc488386775"/>
      <w:bookmarkStart w:id="1455" w:name="_Toc488402234"/>
      <w:bookmarkStart w:id="1456" w:name="_Toc488403057"/>
      <w:bookmarkStart w:id="1457" w:name="_Toc488403886"/>
      <w:bookmarkStart w:id="1458" w:name="_Toc488404717"/>
      <w:bookmarkStart w:id="1459" w:name="_Toc488405540"/>
      <w:bookmarkStart w:id="1460" w:name="_Toc488406369"/>
      <w:bookmarkStart w:id="1461" w:name="_Toc491409600"/>
      <w:bookmarkStart w:id="1462" w:name="_Toc496018138"/>
      <w:bookmarkStart w:id="1463" w:name="_Toc515787336"/>
      <w:bookmarkStart w:id="1464" w:name="_Toc515789036"/>
      <w:bookmarkStart w:id="1465" w:name="_Toc515789885"/>
      <w:bookmarkStart w:id="1466" w:name="_Toc515790734"/>
      <w:bookmarkStart w:id="1467" w:name="_Toc515791589"/>
      <w:bookmarkStart w:id="1468" w:name="_Toc515792439"/>
      <w:bookmarkStart w:id="1469" w:name="_Toc515793282"/>
      <w:bookmarkStart w:id="1470" w:name="_Toc515794187"/>
      <w:bookmarkStart w:id="1471" w:name="_Toc515796003"/>
      <w:bookmarkStart w:id="1472" w:name="_Toc488329922"/>
      <w:bookmarkStart w:id="1473" w:name="_Toc488386776"/>
      <w:bookmarkStart w:id="1474" w:name="_Toc488402235"/>
      <w:bookmarkStart w:id="1475" w:name="_Toc488403058"/>
      <w:bookmarkStart w:id="1476" w:name="_Toc488403887"/>
      <w:bookmarkStart w:id="1477" w:name="_Toc488404718"/>
      <w:bookmarkStart w:id="1478" w:name="_Toc488405541"/>
      <w:bookmarkStart w:id="1479" w:name="_Toc488406370"/>
      <w:bookmarkStart w:id="1480" w:name="_Toc491409601"/>
      <w:bookmarkStart w:id="1481" w:name="_Toc496018139"/>
      <w:bookmarkStart w:id="1482" w:name="_Toc515787337"/>
      <w:bookmarkStart w:id="1483" w:name="_Toc515789037"/>
      <w:bookmarkStart w:id="1484" w:name="_Toc515789886"/>
      <w:bookmarkStart w:id="1485" w:name="_Toc515790735"/>
      <w:bookmarkStart w:id="1486" w:name="_Toc515791590"/>
      <w:bookmarkStart w:id="1487" w:name="_Toc515792440"/>
      <w:bookmarkStart w:id="1488" w:name="_Toc515793283"/>
      <w:bookmarkStart w:id="1489" w:name="_Toc515794188"/>
      <w:bookmarkStart w:id="1490" w:name="_Toc515796004"/>
      <w:bookmarkStart w:id="1491" w:name="_Toc488329923"/>
      <w:bookmarkStart w:id="1492" w:name="_Toc488386777"/>
      <w:bookmarkStart w:id="1493" w:name="_Toc488402236"/>
      <w:bookmarkStart w:id="1494" w:name="_Toc488403059"/>
      <w:bookmarkStart w:id="1495" w:name="_Toc488403888"/>
      <w:bookmarkStart w:id="1496" w:name="_Toc488404719"/>
      <w:bookmarkStart w:id="1497" w:name="_Toc488405542"/>
      <w:bookmarkStart w:id="1498" w:name="_Toc488406371"/>
      <w:bookmarkStart w:id="1499" w:name="_Toc491409602"/>
      <w:bookmarkStart w:id="1500" w:name="_Toc496018140"/>
      <w:bookmarkStart w:id="1501" w:name="_Toc515787338"/>
      <w:bookmarkStart w:id="1502" w:name="_Toc515789038"/>
      <w:bookmarkStart w:id="1503" w:name="_Toc515789887"/>
      <w:bookmarkStart w:id="1504" w:name="_Toc515790736"/>
      <w:bookmarkStart w:id="1505" w:name="_Toc515791591"/>
      <w:bookmarkStart w:id="1506" w:name="_Toc515792441"/>
      <w:bookmarkStart w:id="1507" w:name="_Toc515793284"/>
      <w:bookmarkStart w:id="1508" w:name="_Toc515794189"/>
      <w:bookmarkStart w:id="1509" w:name="_Toc515796005"/>
      <w:bookmarkStart w:id="1510" w:name="_Toc488329924"/>
      <w:bookmarkStart w:id="1511" w:name="_Toc488386778"/>
      <w:bookmarkStart w:id="1512" w:name="_Toc488402237"/>
      <w:bookmarkStart w:id="1513" w:name="_Toc488403060"/>
      <w:bookmarkStart w:id="1514" w:name="_Toc488403889"/>
      <w:bookmarkStart w:id="1515" w:name="_Toc488404720"/>
      <w:bookmarkStart w:id="1516" w:name="_Toc488405543"/>
      <w:bookmarkStart w:id="1517" w:name="_Toc488406372"/>
      <w:bookmarkStart w:id="1518" w:name="_Toc491409603"/>
      <w:bookmarkStart w:id="1519" w:name="_Toc496018141"/>
      <w:bookmarkStart w:id="1520" w:name="_Toc515787339"/>
      <w:bookmarkStart w:id="1521" w:name="_Toc515789039"/>
      <w:bookmarkStart w:id="1522" w:name="_Toc515789888"/>
      <w:bookmarkStart w:id="1523" w:name="_Toc515790737"/>
      <w:bookmarkStart w:id="1524" w:name="_Toc515791592"/>
      <w:bookmarkStart w:id="1525" w:name="_Toc515792442"/>
      <w:bookmarkStart w:id="1526" w:name="_Toc515793285"/>
      <w:bookmarkStart w:id="1527" w:name="_Toc515794190"/>
      <w:bookmarkStart w:id="1528" w:name="_Toc515796006"/>
      <w:bookmarkStart w:id="1529" w:name="_Toc488329925"/>
      <w:bookmarkStart w:id="1530" w:name="_Toc488386779"/>
      <w:bookmarkStart w:id="1531" w:name="_Toc488402238"/>
      <w:bookmarkStart w:id="1532" w:name="_Toc488403061"/>
      <w:bookmarkStart w:id="1533" w:name="_Toc488403890"/>
      <w:bookmarkStart w:id="1534" w:name="_Toc488404721"/>
      <w:bookmarkStart w:id="1535" w:name="_Toc488405544"/>
      <w:bookmarkStart w:id="1536" w:name="_Toc488406373"/>
      <w:bookmarkStart w:id="1537" w:name="_Toc491409604"/>
      <w:bookmarkStart w:id="1538" w:name="_Toc496018142"/>
      <w:bookmarkStart w:id="1539" w:name="_Toc515787340"/>
      <w:bookmarkStart w:id="1540" w:name="_Toc515789040"/>
      <w:bookmarkStart w:id="1541" w:name="_Toc515789889"/>
      <w:bookmarkStart w:id="1542" w:name="_Toc515790738"/>
      <w:bookmarkStart w:id="1543" w:name="_Toc515791593"/>
      <w:bookmarkStart w:id="1544" w:name="_Toc515792443"/>
      <w:bookmarkStart w:id="1545" w:name="_Toc515793286"/>
      <w:bookmarkStart w:id="1546" w:name="_Toc515794191"/>
      <w:bookmarkStart w:id="1547" w:name="_Toc515796007"/>
      <w:bookmarkStart w:id="1548" w:name="_Toc488329926"/>
      <w:bookmarkStart w:id="1549" w:name="_Toc488386780"/>
      <w:bookmarkStart w:id="1550" w:name="_Toc488402239"/>
      <w:bookmarkStart w:id="1551" w:name="_Toc488403062"/>
      <w:bookmarkStart w:id="1552" w:name="_Toc488403891"/>
      <w:bookmarkStart w:id="1553" w:name="_Toc488404722"/>
      <w:bookmarkStart w:id="1554" w:name="_Toc488405545"/>
      <w:bookmarkStart w:id="1555" w:name="_Toc488406374"/>
      <w:bookmarkStart w:id="1556" w:name="_Toc491409605"/>
      <w:bookmarkStart w:id="1557" w:name="_Toc496018143"/>
      <w:bookmarkStart w:id="1558" w:name="_Toc515787341"/>
      <w:bookmarkStart w:id="1559" w:name="_Toc515789041"/>
      <w:bookmarkStart w:id="1560" w:name="_Toc515789890"/>
      <w:bookmarkStart w:id="1561" w:name="_Toc515790739"/>
      <w:bookmarkStart w:id="1562" w:name="_Toc515791594"/>
      <w:bookmarkStart w:id="1563" w:name="_Toc515792444"/>
      <w:bookmarkStart w:id="1564" w:name="_Toc515793287"/>
      <w:bookmarkStart w:id="1565" w:name="_Toc515794192"/>
      <w:bookmarkStart w:id="1566" w:name="_Toc515796008"/>
      <w:bookmarkStart w:id="1567" w:name="_Toc488329927"/>
      <w:bookmarkStart w:id="1568" w:name="_Toc488386781"/>
      <w:bookmarkStart w:id="1569" w:name="_Toc488402240"/>
      <w:bookmarkStart w:id="1570" w:name="_Toc488403063"/>
      <w:bookmarkStart w:id="1571" w:name="_Toc488403892"/>
      <w:bookmarkStart w:id="1572" w:name="_Toc488404723"/>
      <w:bookmarkStart w:id="1573" w:name="_Toc488405546"/>
      <w:bookmarkStart w:id="1574" w:name="_Toc488406375"/>
      <w:bookmarkStart w:id="1575" w:name="_Toc491409606"/>
      <w:bookmarkStart w:id="1576" w:name="_Toc496018144"/>
      <w:bookmarkStart w:id="1577" w:name="_Toc515787342"/>
      <w:bookmarkStart w:id="1578" w:name="_Toc515789042"/>
      <w:bookmarkStart w:id="1579" w:name="_Toc515789891"/>
      <w:bookmarkStart w:id="1580" w:name="_Toc515790740"/>
      <w:bookmarkStart w:id="1581" w:name="_Toc515791595"/>
      <w:bookmarkStart w:id="1582" w:name="_Toc515792445"/>
      <w:bookmarkStart w:id="1583" w:name="_Toc515793288"/>
      <w:bookmarkStart w:id="1584" w:name="_Toc515794193"/>
      <w:bookmarkStart w:id="1585" w:name="_Toc515796009"/>
      <w:bookmarkStart w:id="1586" w:name="_Toc488329928"/>
      <w:bookmarkStart w:id="1587" w:name="_Toc488386782"/>
      <w:bookmarkStart w:id="1588" w:name="_Toc488402241"/>
      <w:bookmarkStart w:id="1589" w:name="_Toc488403064"/>
      <w:bookmarkStart w:id="1590" w:name="_Toc488403893"/>
      <w:bookmarkStart w:id="1591" w:name="_Toc488404724"/>
      <w:bookmarkStart w:id="1592" w:name="_Toc488405547"/>
      <w:bookmarkStart w:id="1593" w:name="_Toc488406376"/>
      <w:bookmarkStart w:id="1594" w:name="_Toc491409607"/>
      <w:bookmarkStart w:id="1595" w:name="_Toc496018145"/>
      <w:bookmarkStart w:id="1596" w:name="_Toc515787343"/>
      <w:bookmarkStart w:id="1597" w:name="_Toc515789043"/>
      <w:bookmarkStart w:id="1598" w:name="_Toc515789892"/>
      <w:bookmarkStart w:id="1599" w:name="_Toc515790741"/>
      <w:bookmarkStart w:id="1600" w:name="_Toc515791596"/>
      <w:bookmarkStart w:id="1601" w:name="_Toc515792446"/>
      <w:bookmarkStart w:id="1602" w:name="_Toc515793289"/>
      <w:bookmarkStart w:id="1603" w:name="_Toc515794194"/>
      <w:bookmarkStart w:id="1604" w:name="_Toc515796010"/>
      <w:bookmarkStart w:id="1605" w:name="_Toc488329929"/>
      <w:bookmarkStart w:id="1606" w:name="_Toc488386783"/>
      <w:bookmarkStart w:id="1607" w:name="_Toc488402242"/>
      <w:bookmarkStart w:id="1608" w:name="_Toc488403065"/>
      <w:bookmarkStart w:id="1609" w:name="_Toc488403894"/>
      <w:bookmarkStart w:id="1610" w:name="_Toc488404725"/>
      <w:bookmarkStart w:id="1611" w:name="_Toc488405548"/>
      <w:bookmarkStart w:id="1612" w:name="_Toc488406377"/>
      <w:bookmarkStart w:id="1613" w:name="_Toc491409608"/>
      <w:bookmarkStart w:id="1614" w:name="_Toc496018146"/>
      <w:bookmarkStart w:id="1615" w:name="_Toc515787344"/>
      <w:bookmarkStart w:id="1616" w:name="_Toc515789044"/>
      <w:bookmarkStart w:id="1617" w:name="_Toc515789893"/>
      <w:bookmarkStart w:id="1618" w:name="_Toc515790742"/>
      <w:bookmarkStart w:id="1619" w:name="_Toc515791597"/>
      <w:bookmarkStart w:id="1620" w:name="_Toc515792447"/>
      <w:bookmarkStart w:id="1621" w:name="_Toc515793290"/>
      <w:bookmarkStart w:id="1622" w:name="_Toc515794195"/>
      <w:bookmarkStart w:id="1623" w:name="_Toc515796011"/>
      <w:bookmarkStart w:id="1624" w:name="_Toc488329930"/>
      <w:bookmarkStart w:id="1625" w:name="_Toc488386784"/>
      <w:bookmarkStart w:id="1626" w:name="_Toc488402243"/>
      <w:bookmarkStart w:id="1627" w:name="_Toc488403066"/>
      <w:bookmarkStart w:id="1628" w:name="_Toc488403895"/>
      <w:bookmarkStart w:id="1629" w:name="_Toc488404726"/>
      <w:bookmarkStart w:id="1630" w:name="_Toc488405549"/>
      <w:bookmarkStart w:id="1631" w:name="_Toc488406378"/>
      <w:bookmarkStart w:id="1632" w:name="_Toc491409609"/>
      <w:bookmarkStart w:id="1633" w:name="_Toc496018147"/>
      <w:bookmarkStart w:id="1634" w:name="_Toc515787345"/>
      <w:bookmarkStart w:id="1635" w:name="_Toc515789045"/>
      <w:bookmarkStart w:id="1636" w:name="_Toc515789894"/>
      <w:bookmarkStart w:id="1637" w:name="_Toc515790743"/>
      <w:bookmarkStart w:id="1638" w:name="_Toc515791598"/>
      <w:bookmarkStart w:id="1639" w:name="_Toc515792448"/>
      <w:bookmarkStart w:id="1640" w:name="_Toc515793291"/>
      <w:bookmarkStart w:id="1641" w:name="_Toc515794196"/>
      <w:bookmarkStart w:id="1642" w:name="_Toc515796012"/>
      <w:bookmarkStart w:id="1643" w:name="_Toc488329931"/>
      <w:bookmarkStart w:id="1644" w:name="_Toc488386785"/>
      <w:bookmarkStart w:id="1645" w:name="_Toc488402244"/>
      <w:bookmarkStart w:id="1646" w:name="_Toc488403067"/>
      <w:bookmarkStart w:id="1647" w:name="_Toc488403896"/>
      <w:bookmarkStart w:id="1648" w:name="_Toc488404727"/>
      <w:bookmarkStart w:id="1649" w:name="_Toc488405550"/>
      <w:bookmarkStart w:id="1650" w:name="_Toc488406379"/>
      <w:bookmarkStart w:id="1651" w:name="_Toc491409610"/>
      <w:bookmarkStart w:id="1652" w:name="_Toc496018148"/>
      <w:bookmarkStart w:id="1653" w:name="_Toc515787346"/>
      <w:bookmarkStart w:id="1654" w:name="_Toc515789046"/>
      <w:bookmarkStart w:id="1655" w:name="_Toc515789895"/>
      <w:bookmarkStart w:id="1656" w:name="_Toc515790744"/>
      <w:bookmarkStart w:id="1657" w:name="_Toc515791599"/>
      <w:bookmarkStart w:id="1658" w:name="_Toc515792449"/>
      <w:bookmarkStart w:id="1659" w:name="_Toc515793292"/>
      <w:bookmarkStart w:id="1660" w:name="_Toc515794197"/>
      <w:bookmarkStart w:id="1661" w:name="_Toc515796013"/>
      <w:bookmarkStart w:id="1662" w:name="_Toc488329932"/>
      <w:bookmarkStart w:id="1663" w:name="_Toc488386786"/>
      <w:bookmarkStart w:id="1664" w:name="_Toc488402245"/>
      <w:bookmarkStart w:id="1665" w:name="_Toc488403068"/>
      <w:bookmarkStart w:id="1666" w:name="_Toc488403897"/>
      <w:bookmarkStart w:id="1667" w:name="_Toc488404728"/>
      <w:bookmarkStart w:id="1668" w:name="_Toc488405551"/>
      <w:bookmarkStart w:id="1669" w:name="_Toc488406380"/>
      <w:bookmarkStart w:id="1670" w:name="_Toc491409611"/>
      <w:bookmarkStart w:id="1671" w:name="_Toc496018149"/>
      <w:bookmarkStart w:id="1672" w:name="_Toc515787347"/>
      <w:bookmarkStart w:id="1673" w:name="_Toc515789047"/>
      <w:bookmarkStart w:id="1674" w:name="_Toc515789896"/>
      <w:bookmarkStart w:id="1675" w:name="_Toc515790745"/>
      <w:bookmarkStart w:id="1676" w:name="_Toc515791600"/>
      <w:bookmarkStart w:id="1677" w:name="_Toc515792450"/>
      <w:bookmarkStart w:id="1678" w:name="_Toc515793293"/>
      <w:bookmarkStart w:id="1679" w:name="_Toc515794198"/>
      <w:bookmarkStart w:id="1680" w:name="_Toc515796014"/>
      <w:bookmarkStart w:id="1681" w:name="_Toc488329933"/>
      <w:bookmarkStart w:id="1682" w:name="_Toc488386787"/>
      <w:bookmarkStart w:id="1683" w:name="_Toc488402246"/>
      <w:bookmarkStart w:id="1684" w:name="_Toc488403069"/>
      <w:bookmarkStart w:id="1685" w:name="_Toc488403898"/>
      <w:bookmarkStart w:id="1686" w:name="_Toc488404729"/>
      <w:bookmarkStart w:id="1687" w:name="_Toc488405552"/>
      <w:bookmarkStart w:id="1688" w:name="_Toc488406381"/>
      <w:bookmarkStart w:id="1689" w:name="_Toc491409612"/>
      <w:bookmarkStart w:id="1690" w:name="_Toc496018150"/>
      <w:bookmarkStart w:id="1691" w:name="_Toc515787348"/>
      <w:bookmarkStart w:id="1692" w:name="_Toc515789048"/>
      <w:bookmarkStart w:id="1693" w:name="_Toc515789897"/>
      <w:bookmarkStart w:id="1694" w:name="_Toc515790746"/>
      <w:bookmarkStart w:id="1695" w:name="_Toc515791601"/>
      <w:bookmarkStart w:id="1696" w:name="_Toc515792451"/>
      <w:bookmarkStart w:id="1697" w:name="_Toc515793294"/>
      <w:bookmarkStart w:id="1698" w:name="_Toc515794199"/>
      <w:bookmarkStart w:id="1699" w:name="_Toc515796015"/>
      <w:bookmarkStart w:id="1700" w:name="_Toc488329934"/>
      <w:bookmarkStart w:id="1701" w:name="_Toc488386788"/>
      <w:bookmarkStart w:id="1702" w:name="_Toc488402247"/>
      <w:bookmarkStart w:id="1703" w:name="_Toc488403070"/>
      <w:bookmarkStart w:id="1704" w:name="_Toc488403899"/>
      <w:bookmarkStart w:id="1705" w:name="_Toc488404730"/>
      <w:bookmarkStart w:id="1706" w:name="_Toc488405553"/>
      <w:bookmarkStart w:id="1707" w:name="_Toc488406382"/>
      <w:bookmarkStart w:id="1708" w:name="_Toc491409613"/>
      <w:bookmarkStart w:id="1709" w:name="_Toc496018151"/>
      <w:bookmarkStart w:id="1710" w:name="_Toc515787349"/>
      <w:bookmarkStart w:id="1711" w:name="_Toc515789049"/>
      <w:bookmarkStart w:id="1712" w:name="_Toc515789898"/>
      <w:bookmarkStart w:id="1713" w:name="_Toc515790747"/>
      <w:bookmarkStart w:id="1714" w:name="_Toc515791602"/>
      <w:bookmarkStart w:id="1715" w:name="_Toc515792452"/>
      <w:bookmarkStart w:id="1716" w:name="_Toc515793295"/>
      <w:bookmarkStart w:id="1717" w:name="_Toc515794200"/>
      <w:bookmarkStart w:id="1718" w:name="_Toc515796016"/>
      <w:bookmarkStart w:id="1719" w:name="_Toc488329935"/>
      <w:bookmarkStart w:id="1720" w:name="_Toc488386789"/>
      <w:bookmarkStart w:id="1721" w:name="_Toc488402248"/>
      <w:bookmarkStart w:id="1722" w:name="_Toc488403071"/>
      <w:bookmarkStart w:id="1723" w:name="_Toc488403900"/>
      <w:bookmarkStart w:id="1724" w:name="_Toc488404731"/>
      <w:bookmarkStart w:id="1725" w:name="_Toc488405554"/>
      <w:bookmarkStart w:id="1726" w:name="_Toc488406383"/>
      <w:bookmarkStart w:id="1727" w:name="_Toc491409614"/>
      <w:bookmarkStart w:id="1728" w:name="_Toc496018152"/>
      <w:bookmarkStart w:id="1729" w:name="_Toc515787350"/>
      <w:bookmarkStart w:id="1730" w:name="_Toc515789050"/>
      <w:bookmarkStart w:id="1731" w:name="_Toc515789899"/>
      <w:bookmarkStart w:id="1732" w:name="_Toc515790748"/>
      <w:bookmarkStart w:id="1733" w:name="_Toc515791603"/>
      <w:bookmarkStart w:id="1734" w:name="_Toc515792453"/>
      <w:bookmarkStart w:id="1735" w:name="_Toc515793296"/>
      <w:bookmarkStart w:id="1736" w:name="_Toc515794201"/>
      <w:bookmarkStart w:id="1737" w:name="_Toc515796017"/>
      <w:bookmarkStart w:id="1738" w:name="_Toc488329936"/>
      <w:bookmarkStart w:id="1739" w:name="_Toc488386790"/>
      <w:bookmarkStart w:id="1740" w:name="_Toc488402249"/>
      <w:bookmarkStart w:id="1741" w:name="_Toc488403072"/>
      <w:bookmarkStart w:id="1742" w:name="_Toc488403901"/>
      <w:bookmarkStart w:id="1743" w:name="_Toc488404732"/>
      <w:bookmarkStart w:id="1744" w:name="_Toc488405555"/>
      <w:bookmarkStart w:id="1745" w:name="_Toc488406384"/>
      <w:bookmarkStart w:id="1746" w:name="_Toc491409615"/>
      <w:bookmarkStart w:id="1747" w:name="_Toc496018153"/>
      <w:bookmarkStart w:id="1748" w:name="_Toc515787351"/>
      <w:bookmarkStart w:id="1749" w:name="_Toc515789051"/>
      <w:bookmarkStart w:id="1750" w:name="_Toc515789900"/>
      <w:bookmarkStart w:id="1751" w:name="_Toc515790749"/>
      <w:bookmarkStart w:id="1752" w:name="_Toc515791604"/>
      <w:bookmarkStart w:id="1753" w:name="_Toc515792454"/>
      <w:bookmarkStart w:id="1754" w:name="_Toc515793297"/>
      <w:bookmarkStart w:id="1755" w:name="_Toc515794202"/>
      <w:bookmarkStart w:id="1756" w:name="_Toc515796018"/>
      <w:bookmarkStart w:id="1757" w:name="_Toc488329937"/>
      <w:bookmarkStart w:id="1758" w:name="_Toc488386791"/>
      <w:bookmarkStart w:id="1759" w:name="_Toc488402250"/>
      <w:bookmarkStart w:id="1760" w:name="_Toc488403073"/>
      <w:bookmarkStart w:id="1761" w:name="_Toc488403902"/>
      <w:bookmarkStart w:id="1762" w:name="_Toc488404733"/>
      <w:bookmarkStart w:id="1763" w:name="_Toc488405556"/>
      <w:bookmarkStart w:id="1764" w:name="_Toc488406385"/>
      <w:bookmarkStart w:id="1765" w:name="_Toc491409616"/>
      <w:bookmarkStart w:id="1766" w:name="_Toc496018154"/>
      <w:bookmarkStart w:id="1767" w:name="_Toc515787352"/>
      <w:bookmarkStart w:id="1768" w:name="_Toc515789052"/>
      <w:bookmarkStart w:id="1769" w:name="_Toc515789901"/>
      <w:bookmarkStart w:id="1770" w:name="_Toc515790750"/>
      <w:bookmarkStart w:id="1771" w:name="_Toc515791605"/>
      <w:bookmarkStart w:id="1772" w:name="_Toc515792455"/>
      <w:bookmarkStart w:id="1773" w:name="_Toc515793298"/>
      <w:bookmarkStart w:id="1774" w:name="_Toc515794203"/>
      <w:bookmarkStart w:id="1775" w:name="_Toc515796019"/>
      <w:bookmarkStart w:id="1776" w:name="_Toc488329938"/>
      <w:bookmarkStart w:id="1777" w:name="_Toc488386792"/>
      <w:bookmarkStart w:id="1778" w:name="_Toc488402251"/>
      <w:bookmarkStart w:id="1779" w:name="_Toc488403074"/>
      <w:bookmarkStart w:id="1780" w:name="_Toc488403903"/>
      <w:bookmarkStart w:id="1781" w:name="_Toc488404734"/>
      <w:bookmarkStart w:id="1782" w:name="_Toc488405557"/>
      <w:bookmarkStart w:id="1783" w:name="_Toc488406386"/>
      <w:bookmarkStart w:id="1784" w:name="_Toc491409617"/>
      <w:bookmarkStart w:id="1785" w:name="_Toc496018155"/>
      <w:bookmarkStart w:id="1786" w:name="_Toc515787353"/>
      <w:bookmarkStart w:id="1787" w:name="_Toc515789053"/>
      <w:bookmarkStart w:id="1788" w:name="_Toc515789902"/>
      <w:bookmarkStart w:id="1789" w:name="_Toc515790751"/>
      <w:bookmarkStart w:id="1790" w:name="_Toc515791606"/>
      <w:bookmarkStart w:id="1791" w:name="_Toc515792456"/>
      <w:bookmarkStart w:id="1792" w:name="_Toc515793299"/>
      <w:bookmarkStart w:id="1793" w:name="_Toc515794204"/>
      <w:bookmarkStart w:id="1794" w:name="_Toc515796020"/>
      <w:bookmarkStart w:id="1795" w:name="_Toc488329939"/>
      <w:bookmarkStart w:id="1796" w:name="_Toc488386793"/>
      <w:bookmarkStart w:id="1797" w:name="_Toc488402252"/>
      <w:bookmarkStart w:id="1798" w:name="_Toc488403075"/>
      <w:bookmarkStart w:id="1799" w:name="_Toc488403904"/>
      <w:bookmarkStart w:id="1800" w:name="_Toc488404735"/>
      <w:bookmarkStart w:id="1801" w:name="_Toc488405558"/>
      <w:bookmarkStart w:id="1802" w:name="_Toc488406387"/>
      <w:bookmarkStart w:id="1803" w:name="_Toc491409618"/>
      <w:bookmarkStart w:id="1804" w:name="_Toc496018156"/>
      <w:bookmarkStart w:id="1805" w:name="_Toc515787354"/>
      <w:bookmarkStart w:id="1806" w:name="_Toc515789054"/>
      <w:bookmarkStart w:id="1807" w:name="_Toc515789903"/>
      <w:bookmarkStart w:id="1808" w:name="_Toc515790752"/>
      <w:bookmarkStart w:id="1809" w:name="_Toc515791607"/>
      <w:bookmarkStart w:id="1810" w:name="_Toc515792457"/>
      <w:bookmarkStart w:id="1811" w:name="_Toc515793300"/>
      <w:bookmarkStart w:id="1812" w:name="_Toc515794205"/>
      <w:bookmarkStart w:id="1813" w:name="_Toc515796021"/>
      <w:bookmarkStart w:id="1814" w:name="_Toc488329940"/>
      <w:bookmarkStart w:id="1815" w:name="_Toc488386794"/>
      <w:bookmarkStart w:id="1816" w:name="_Toc488402253"/>
      <w:bookmarkStart w:id="1817" w:name="_Toc488403076"/>
      <w:bookmarkStart w:id="1818" w:name="_Toc488403905"/>
      <w:bookmarkStart w:id="1819" w:name="_Toc488404736"/>
      <w:bookmarkStart w:id="1820" w:name="_Toc488405559"/>
      <w:bookmarkStart w:id="1821" w:name="_Toc488406388"/>
      <w:bookmarkStart w:id="1822" w:name="_Toc491409619"/>
      <w:bookmarkStart w:id="1823" w:name="_Toc496018157"/>
      <w:bookmarkStart w:id="1824" w:name="_Toc515787355"/>
      <w:bookmarkStart w:id="1825" w:name="_Toc515789055"/>
      <w:bookmarkStart w:id="1826" w:name="_Toc515789904"/>
      <w:bookmarkStart w:id="1827" w:name="_Toc515790753"/>
      <w:bookmarkStart w:id="1828" w:name="_Toc515791608"/>
      <w:bookmarkStart w:id="1829" w:name="_Toc515792458"/>
      <w:bookmarkStart w:id="1830" w:name="_Toc515793301"/>
      <w:bookmarkStart w:id="1831" w:name="_Toc515794206"/>
      <w:bookmarkStart w:id="1832" w:name="_Toc515796022"/>
      <w:bookmarkStart w:id="1833" w:name="_Toc488329941"/>
      <w:bookmarkStart w:id="1834" w:name="_Toc488386795"/>
      <w:bookmarkStart w:id="1835" w:name="_Toc488402254"/>
      <w:bookmarkStart w:id="1836" w:name="_Toc488403077"/>
      <w:bookmarkStart w:id="1837" w:name="_Toc488403906"/>
      <w:bookmarkStart w:id="1838" w:name="_Toc488404737"/>
      <w:bookmarkStart w:id="1839" w:name="_Toc488405560"/>
      <w:bookmarkStart w:id="1840" w:name="_Toc488406389"/>
      <w:bookmarkStart w:id="1841" w:name="_Toc491409620"/>
      <w:bookmarkStart w:id="1842" w:name="_Toc496018158"/>
      <w:bookmarkStart w:id="1843" w:name="_Toc515787356"/>
      <w:bookmarkStart w:id="1844" w:name="_Toc515789056"/>
      <w:bookmarkStart w:id="1845" w:name="_Toc515789905"/>
      <w:bookmarkStart w:id="1846" w:name="_Toc515790754"/>
      <w:bookmarkStart w:id="1847" w:name="_Toc515791609"/>
      <w:bookmarkStart w:id="1848" w:name="_Toc515792459"/>
      <w:bookmarkStart w:id="1849" w:name="_Toc515793302"/>
      <w:bookmarkStart w:id="1850" w:name="_Toc515794207"/>
      <w:bookmarkStart w:id="1851" w:name="_Toc515796023"/>
      <w:bookmarkStart w:id="1852" w:name="_Toc488329942"/>
      <w:bookmarkStart w:id="1853" w:name="_Toc488386796"/>
      <w:bookmarkStart w:id="1854" w:name="_Toc488402255"/>
      <w:bookmarkStart w:id="1855" w:name="_Toc488403078"/>
      <w:bookmarkStart w:id="1856" w:name="_Toc488403907"/>
      <w:bookmarkStart w:id="1857" w:name="_Toc488404738"/>
      <w:bookmarkStart w:id="1858" w:name="_Toc488405561"/>
      <w:bookmarkStart w:id="1859" w:name="_Toc488406390"/>
      <w:bookmarkStart w:id="1860" w:name="_Toc491409621"/>
      <w:bookmarkStart w:id="1861" w:name="_Toc496018159"/>
      <w:bookmarkStart w:id="1862" w:name="_Toc515787357"/>
      <w:bookmarkStart w:id="1863" w:name="_Toc515789057"/>
      <w:bookmarkStart w:id="1864" w:name="_Toc515789906"/>
      <w:bookmarkStart w:id="1865" w:name="_Toc515790755"/>
      <w:bookmarkStart w:id="1866" w:name="_Toc515791610"/>
      <w:bookmarkStart w:id="1867" w:name="_Toc515792460"/>
      <w:bookmarkStart w:id="1868" w:name="_Toc515793303"/>
      <w:bookmarkStart w:id="1869" w:name="_Toc515794208"/>
      <w:bookmarkStart w:id="1870" w:name="_Toc515796024"/>
      <w:bookmarkStart w:id="1871" w:name="_Toc488329943"/>
      <w:bookmarkStart w:id="1872" w:name="_Toc488386797"/>
      <w:bookmarkStart w:id="1873" w:name="_Toc488402256"/>
      <w:bookmarkStart w:id="1874" w:name="_Toc488403079"/>
      <w:bookmarkStart w:id="1875" w:name="_Toc488403908"/>
      <w:bookmarkStart w:id="1876" w:name="_Toc488404739"/>
      <w:bookmarkStart w:id="1877" w:name="_Toc488405562"/>
      <w:bookmarkStart w:id="1878" w:name="_Toc488406391"/>
      <w:bookmarkStart w:id="1879" w:name="_Toc491409622"/>
      <w:bookmarkStart w:id="1880" w:name="_Toc496018160"/>
      <w:bookmarkStart w:id="1881" w:name="_Toc515787358"/>
      <w:bookmarkStart w:id="1882" w:name="_Toc515789058"/>
      <w:bookmarkStart w:id="1883" w:name="_Toc515789907"/>
      <w:bookmarkStart w:id="1884" w:name="_Toc515790756"/>
      <w:bookmarkStart w:id="1885" w:name="_Toc515791611"/>
      <w:bookmarkStart w:id="1886" w:name="_Toc515792461"/>
      <w:bookmarkStart w:id="1887" w:name="_Toc515793304"/>
      <w:bookmarkStart w:id="1888" w:name="_Toc515794209"/>
      <w:bookmarkStart w:id="1889" w:name="_Toc515796025"/>
      <w:bookmarkStart w:id="1890" w:name="_Toc488329944"/>
      <w:bookmarkStart w:id="1891" w:name="_Toc488386798"/>
      <w:bookmarkStart w:id="1892" w:name="_Toc488402257"/>
      <w:bookmarkStart w:id="1893" w:name="_Toc488403080"/>
      <w:bookmarkStart w:id="1894" w:name="_Toc488403909"/>
      <w:bookmarkStart w:id="1895" w:name="_Toc488404740"/>
      <w:bookmarkStart w:id="1896" w:name="_Toc488405563"/>
      <w:bookmarkStart w:id="1897" w:name="_Toc488406392"/>
      <w:bookmarkStart w:id="1898" w:name="_Toc491409623"/>
      <w:bookmarkStart w:id="1899" w:name="_Toc496018161"/>
      <w:bookmarkStart w:id="1900" w:name="_Toc515787359"/>
      <w:bookmarkStart w:id="1901" w:name="_Toc515789059"/>
      <w:bookmarkStart w:id="1902" w:name="_Toc515789908"/>
      <w:bookmarkStart w:id="1903" w:name="_Toc515790757"/>
      <w:bookmarkStart w:id="1904" w:name="_Toc515791612"/>
      <w:bookmarkStart w:id="1905" w:name="_Toc515792462"/>
      <w:bookmarkStart w:id="1906" w:name="_Toc515793305"/>
      <w:bookmarkStart w:id="1907" w:name="_Toc515794210"/>
      <w:bookmarkStart w:id="1908" w:name="_Toc515796026"/>
      <w:bookmarkStart w:id="1909" w:name="_Toc437935974"/>
      <w:bookmarkStart w:id="1910" w:name="_Ref487878064"/>
      <w:bookmarkStart w:id="1911" w:name="_Toc175326665"/>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r w:rsidRPr="00BD1319">
        <w:rPr>
          <w:lang w:val="es-CO"/>
        </w:rPr>
        <w:t>LINEAMIENTOS PARA LA ELABORACIÓN DE LOS ESTUDIOS AMBIENTALES</w:t>
      </w:r>
      <w:bookmarkEnd w:id="1909"/>
      <w:bookmarkEnd w:id="1910"/>
      <w:bookmarkEnd w:id="1911"/>
    </w:p>
    <w:p w14:paraId="0A436AFD" w14:textId="7C1D956B" w:rsidR="003E5023" w:rsidRPr="00BD1319" w:rsidRDefault="003E5023">
      <w:pPr>
        <w:numPr>
          <w:ilvl w:val="12"/>
          <w:numId w:val="0"/>
        </w:numPr>
        <w:tabs>
          <w:tab w:val="left" w:pos="-2268"/>
        </w:tabs>
        <w:suppressAutoHyphens/>
        <w:rPr>
          <w:spacing w:val="-3"/>
        </w:rPr>
      </w:pPr>
    </w:p>
    <w:p w14:paraId="72CBB091" w14:textId="3C19B2BB" w:rsidR="00346935" w:rsidRPr="00BD1319" w:rsidRDefault="00D277E7" w:rsidP="00D277E7">
      <w:pPr>
        <w:numPr>
          <w:ilvl w:val="12"/>
          <w:numId w:val="0"/>
        </w:numPr>
        <w:tabs>
          <w:tab w:val="left" w:pos="-2268"/>
        </w:tabs>
        <w:suppressAutoHyphens/>
        <w:rPr>
          <w:spacing w:val="-3"/>
        </w:rPr>
      </w:pPr>
      <w:bookmarkStart w:id="1912" w:name="_Toc488329963"/>
      <w:bookmarkStart w:id="1913" w:name="_Toc488386817"/>
      <w:bookmarkStart w:id="1914" w:name="_Toc488402276"/>
      <w:bookmarkStart w:id="1915" w:name="_Toc488403099"/>
      <w:bookmarkStart w:id="1916" w:name="_Toc488403928"/>
      <w:bookmarkStart w:id="1917" w:name="_Toc488404759"/>
      <w:bookmarkStart w:id="1918" w:name="_Toc488405582"/>
      <w:bookmarkStart w:id="1919" w:name="_Toc488406411"/>
      <w:bookmarkStart w:id="1920" w:name="_Toc491409642"/>
      <w:bookmarkStart w:id="1921" w:name="_Toc496018180"/>
      <w:bookmarkStart w:id="1922" w:name="_Toc515787378"/>
      <w:bookmarkStart w:id="1923" w:name="_Toc515789078"/>
      <w:bookmarkStart w:id="1924" w:name="_Toc515789927"/>
      <w:bookmarkStart w:id="1925" w:name="_Toc515790776"/>
      <w:bookmarkStart w:id="1926" w:name="_Toc515791631"/>
      <w:bookmarkStart w:id="1927" w:name="_Toc515792481"/>
      <w:bookmarkStart w:id="1928" w:name="_Toc515793329"/>
      <w:bookmarkStart w:id="1929" w:name="_Toc515794234"/>
      <w:bookmarkStart w:id="1930" w:name="_Toc515796045"/>
      <w:bookmarkStart w:id="1931" w:name="_Toc437935975"/>
      <w:bookmarkStart w:id="1932" w:name="_Ref26471312"/>
      <w:bookmarkStart w:id="1933" w:name="_Ref26471314"/>
      <w:bookmarkStart w:id="1934" w:name="_Ref26471315"/>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r w:rsidRPr="00BD1319">
        <w:rPr>
          <w:spacing w:val="-3"/>
        </w:rPr>
        <w:t xml:space="preserve">Los estudios ambientales como instrumentos para la toma de decisiones respecto de proyectos que tienen la </w:t>
      </w:r>
      <w:r w:rsidR="00AF5157" w:rsidRPr="00BD1319">
        <w:rPr>
          <w:spacing w:val="-3"/>
        </w:rPr>
        <w:t xml:space="preserve">potencialidad </w:t>
      </w:r>
      <w:r w:rsidRPr="00BD1319">
        <w:rPr>
          <w:spacing w:val="-3"/>
        </w:rPr>
        <w:t xml:space="preserve">de generar impactos ambientales significativos y </w:t>
      </w:r>
      <w:r w:rsidR="00B8394B" w:rsidRPr="00BD1319">
        <w:rPr>
          <w:spacing w:val="-3"/>
        </w:rPr>
        <w:t>producir deterioro grave al ambiente, a los recursos naturales renovables o al paisaje</w:t>
      </w:r>
      <w:r w:rsidRPr="00BD1319">
        <w:rPr>
          <w:spacing w:val="-3"/>
        </w:rPr>
        <w:t xml:space="preserve">, deben cumplir con una serie de características que les confieran la capacidad de brindar, de la mejor forma posible, la información que le permite a las autoridades ambientales adoptar dichas decisiones. Estas características básicas están referidas tanto a la calidad de la información que presentan como al uso que hacen de los conceptos y el lenguaje, que deben ser claros, precisos y homogéneos, </w:t>
      </w:r>
      <w:r w:rsidR="00346935" w:rsidRPr="00BD1319">
        <w:rPr>
          <w:spacing w:val="-3"/>
        </w:rPr>
        <w:t>a fin de otorgar</w:t>
      </w:r>
      <w:r w:rsidRPr="00BD1319">
        <w:rPr>
          <w:spacing w:val="-3"/>
        </w:rPr>
        <w:t>les la facultad de describir las condiciones ambientales del territorio y situaciones únicas y particulares de cada proyecto</w:t>
      </w:r>
      <w:r w:rsidR="00F67456" w:rsidRPr="00BD1319">
        <w:rPr>
          <w:spacing w:val="-3"/>
        </w:rPr>
        <w:t>, obra o actividad</w:t>
      </w:r>
      <w:r w:rsidRPr="00BD1319">
        <w:rPr>
          <w:rFonts w:cs="Arial"/>
          <w:spacing w:val="-3"/>
        </w:rPr>
        <w:t>.</w:t>
      </w:r>
    </w:p>
    <w:p w14:paraId="721A01EA" w14:textId="77777777" w:rsidR="00346935" w:rsidRPr="00BD1319" w:rsidRDefault="00346935" w:rsidP="00D277E7">
      <w:pPr>
        <w:numPr>
          <w:ilvl w:val="12"/>
          <w:numId w:val="0"/>
        </w:numPr>
        <w:tabs>
          <w:tab w:val="left" w:pos="-2268"/>
        </w:tabs>
        <w:suppressAutoHyphens/>
        <w:rPr>
          <w:spacing w:val="-3"/>
        </w:rPr>
      </w:pPr>
    </w:p>
    <w:p w14:paraId="499340F2" w14:textId="7D9512A5" w:rsidR="00D277E7" w:rsidRPr="00BD1319" w:rsidRDefault="00D277E7" w:rsidP="00D277E7">
      <w:pPr>
        <w:numPr>
          <w:ilvl w:val="12"/>
          <w:numId w:val="0"/>
        </w:numPr>
        <w:tabs>
          <w:tab w:val="left" w:pos="-2268"/>
        </w:tabs>
        <w:suppressAutoHyphens/>
        <w:rPr>
          <w:spacing w:val="-3"/>
        </w:rPr>
      </w:pPr>
      <w:r w:rsidRPr="00BD1319">
        <w:rPr>
          <w:spacing w:val="-3"/>
        </w:rPr>
        <w:t xml:space="preserve">Los estudios ambientales deben atender los lineamientos </w:t>
      </w:r>
      <w:r w:rsidR="00B8394B" w:rsidRPr="00BD1319">
        <w:rPr>
          <w:spacing w:val="-3"/>
        </w:rPr>
        <w:t xml:space="preserve">metodológicos </w:t>
      </w:r>
      <w:r w:rsidRPr="00BD1319">
        <w:rPr>
          <w:spacing w:val="-3"/>
        </w:rPr>
        <w:t xml:space="preserve">generales presentados en la </w:t>
      </w:r>
      <w:r w:rsidR="00B8394B" w:rsidRPr="00BD1319">
        <w:rPr>
          <w:spacing w:val="-3"/>
        </w:rPr>
        <w:t xml:space="preserve">MGEPEA </w:t>
      </w:r>
      <w:r w:rsidRPr="00BD1319">
        <w:rPr>
          <w:spacing w:val="-3"/>
        </w:rPr>
        <w:t xml:space="preserve">y </w:t>
      </w:r>
      <w:r w:rsidR="00B8394B" w:rsidRPr="00BD1319">
        <w:rPr>
          <w:spacing w:val="-3"/>
        </w:rPr>
        <w:t xml:space="preserve">los requerimientos de información plasmados </w:t>
      </w:r>
      <w:r w:rsidRPr="00BD1319">
        <w:rPr>
          <w:spacing w:val="-3"/>
        </w:rPr>
        <w:t>en los términos de referencia, con una concepción integral del ambiente, y previendo y gestionando de manera adecuada y responsable los impactos ambientales</w:t>
      </w:r>
      <w:r w:rsidRPr="00BD1319">
        <w:rPr>
          <w:rFonts w:cs="Arial"/>
          <w:spacing w:val="-3"/>
        </w:rPr>
        <w:t xml:space="preserve"> que se puedan ocasionar como consecuencia de la ejecución de un proyecto, obra o actividad.</w:t>
      </w:r>
    </w:p>
    <w:p w14:paraId="312F5F54" w14:textId="77777777" w:rsidR="00D277E7" w:rsidRPr="00BD1319" w:rsidRDefault="00D277E7" w:rsidP="00D277E7">
      <w:pPr>
        <w:numPr>
          <w:ilvl w:val="12"/>
          <w:numId w:val="0"/>
        </w:numPr>
        <w:tabs>
          <w:tab w:val="left" w:pos="-2268"/>
        </w:tabs>
        <w:suppressAutoHyphens/>
        <w:rPr>
          <w:spacing w:val="-3"/>
        </w:rPr>
      </w:pPr>
    </w:p>
    <w:p w14:paraId="0168E413" w14:textId="77777777" w:rsidR="00D277E7" w:rsidRPr="00BD1319" w:rsidRDefault="00D277E7" w:rsidP="006052B3">
      <w:pPr>
        <w:numPr>
          <w:ilvl w:val="0"/>
          <w:numId w:val="41"/>
        </w:numPr>
        <w:tabs>
          <w:tab w:val="left" w:pos="-2268"/>
        </w:tabs>
        <w:suppressAutoHyphens/>
        <w:ind w:left="567" w:hanging="567"/>
        <w:rPr>
          <w:b/>
          <w:i/>
          <w:spacing w:val="-3"/>
          <w:u w:val="single"/>
        </w:rPr>
      </w:pPr>
      <w:r w:rsidRPr="00BD1319">
        <w:rPr>
          <w:b/>
          <w:i/>
          <w:spacing w:val="-3"/>
          <w:u w:val="single"/>
        </w:rPr>
        <w:t>Sobre la información</w:t>
      </w:r>
    </w:p>
    <w:p w14:paraId="3002561D" w14:textId="77777777" w:rsidR="00D277E7" w:rsidRPr="00BD1319" w:rsidRDefault="00D277E7" w:rsidP="00D277E7">
      <w:pPr>
        <w:numPr>
          <w:ilvl w:val="12"/>
          <w:numId w:val="0"/>
        </w:numPr>
        <w:tabs>
          <w:tab w:val="left" w:pos="-2268"/>
        </w:tabs>
        <w:suppressAutoHyphens/>
        <w:rPr>
          <w:spacing w:val="-3"/>
        </w:rPr>
      </w:pPr>
    </w:p>
    <w:p w14:paraId="64AE6CA1" w14:textId="346FBA00" w:rsidR="00D277E7" w:rsidRPr="00BD1319" w:rsidRDefault="00D277E7" w:rsidP="4A0B09C6">
      <w:pPr>
        <w:suppressAutoHyphens/>
        <w:rPr>
          <w:spacing w:val="-3"/>
        </w:rPr>
      </w:pPr>
      <w:r w:rsidRPr="00BD1319">
        <w:rPr>
          <w:spacing w:val="-3"/>
        </w:rPr>
        <w:t xml:space="preserve">La información constituye uno de los elementos </w:t>
      </w:r>
      <w:r w:rsidR="00645126" w:rsidRPr="00BD1319">
        <w:t xml:space="preserve">clave </w:t>
      </w:r>
      <w:r w:rsidRPr="00BD1319">
        <w:rPr>
          <w:spacing w:val="-3"/>
        </w:rPr>
        <w:t xml:space="preserve">del proceso de licenciamiento ambiental, pues está presente en todas sus etapas y posibilita la toma de decisiones </w:t>
      </w:r>
      <w:r w:rsidRPr="00BD1319">
        <w:rPr>
          <w:rFonts w:cs="Arial"/>
          <w:spacing w:val="-3"/>
        </w:rPr>
        <w:t xml:space="preserve">informadas </w:t>
      </w:r>
      <w:r w:rsidRPr="00BD1319">
        <w:rPr>
          <w:spacing w:val="-3"/>
        </w:rPr>
        <w:t>en diferentes ámbitos. Gracias a ella, es posible conocer las características del ambiente, así como las de las alternativas y los proyectos que se formulen</w:t>
      </w:r>
      <w:r w:rsidR="001D7FB0" w:rsidRPr="00BD1319">
        <w:rPr>
          <w:spacing w:val="-3"/>
        </w:rPr>
        <w:t>;</w:t>
      </w:r>
      <w:r w:rsidRPr="00BD1319">
        <w:rPr>
          <w:spacing w:val="-3"/>
        </w:rPr>
        <w:t xml:space="preserve"> también permite predecir la forma </w:t>
      </w:r>
      <w:r w:rsidR="001D7FB0" w:rsidRPr="00BD1319">
        <w:rPr>
          <w:spacing w:val="-3"/>
        </w:rPr>
        <w:t xml:space="preserve">en que </w:t>
      </w:r>
      <w:r w:rsidRPr="00BD1319">
        <w:rPr>
          <w:spacing w:val="-3"/>
        </w:rPr>
        <w:t xml:space="preserve">las alternativas y los proyectos afectarán al ambiente y formular las </w:t>
      </w:r>
      <w:r w:rsidR="001D7FB0" w:rsidRPr="00BD1319">
        <w:rPr>
          <w:spacing w:val="-3"/>
        </w:rPr>
        <w:t xml:space="preserve">medidas </w:t>
      </w:r>
      <w:r w:rsidRPr="00BD1319">
        <w:rPr>
          <w:spacing w:val="-3"/>
        </w:rPr>
        <w:t xml:space="preserve">más eficaces para el </w:t>
      </w:r>
      <w:r w:rsidR="009D3C22" w:rsidRPr="00BD1319">
        <w:rPr>
          <w:rFonts w:cs="Arial"/>
          <w:spacing w:val="-3"/>
        </w:rPr>
        <w:t xml:space="preserve">manejo </w:t>
      </w:r>
      <w:r w:rsidRPr="00BD1319">
        <w:rPr>
          <w:rFonts w:cs="Arial"/>
          <w:spacing w:val="-3"/>
        </w:rPr>
        <w:t>(prevención, mitigación, corrección y compensación)</w:t>
      </w:r>
      <w:r w:rsidRPr="00BD1319">
        <w:rPr>
          <w:spacing w:val="-3"/>
        </w:rPr>
        <w:t xml:space="preserve"> de impactos ambientales; adicionalmente, hace posible que las autoridades ambientales evalúen los estudios ambientales y que, en caso de </w:t>
      </w:r>
      <w:r w:rsidRPr="00BD1319">
        <w:rPr>
          <w:rFonts w:cs="Arial"/>
          <w:spacing w:val="-3"/>
        </w:rPr>
        <w:t>autorizar el desarrollo de un proyecto, obra o actividad</w:t>
      </w:r>
      <w:r w:rsidRPr="00BD1319">
        <w:rPr>
          <w:spacing w:val="-3"/>
        </w:rPr>
        <w:t>, realicen el respectivo control y seguimiento ambiental.</w:t>
      </w:r>
    </w:p>
    <w:p w14:paraId="128A3685" w14:textId="77777777" w:rsidR="00D277E7" w:rsidRPr="00BD1319" w:rsidRDefault="00D277E7" w:rsidP="00D277E7">
      <w:pPr>
        <w:numPr>
          <w:ilvl w:val="12"/>
          <w:numId w:val="0"/>
        </w:numPr>
        <w:tabs>
          <w:tab w:val="left" w:pos="-2268"/>
        </w:tabs>
        <w:suppressAutoHyphens/>
        <w:rPr>
          <w:spacing w:val="-3"/>
        </w:rPr>
      </w:pPr>
    </w:p>
    <w:p w14:paraId="5B5A35E6" w14:textId="443E729B" w:rsidR="00D277E7" w:rsidRPr="00BD1319" w:rsidRDefault="00D277E7" w:rsidP="4A0B09C6">
      <w:pPr>
        <w:suppressAutoHyphens/>
      </w:pPr>
      <w:r w:rsidRPr="00BD1319">
        <w:rPr>
          <w:spacing w:val="-3"/>
        </w:rPr>
        <w:lastRenderedPageBreak/>
        <w:t xml:space="preserve">En la medida en que la información que se incorpora en los estudios ambientales presente la mejor calidad posible se tiende a optimizar los resultados de las decisiones que con base en ella se adopten, no solo para los </w:t>
      </w:r>
      <w:r w:rsidR="001D7FB0" w:rsidRPr="00BD1319">
        <w:rPr>
          <w:spacing w:val="-3"/>
        </w:rPr>
        <w:t xml:space="preserve">grupos de </w:t>
      </w:r>
      <w:r w:rsidR="007C2478" w:rsidRPr="00BD1319">
        <w:rPr>
          <w:spacing w:val="-3"/>
        </w:rPr>
        <w:t>valor</w:t>
      </w:r>
      <w:r w:rsidR="001D7FB0" w:rsidRPr="00BD1319">
        <w:rPr>
          <w:spacing w:val="-3"/>
        </w:rPr>
        <w:t xml:space="preserve"> </w:t>
      </w:r>
      <w:r w:rsidRPr="00BD1319">
        <w:rPr>
          <w:spacing w:val="-3"/>
        </w:rPr>
        <w:t>directamente relacionados con el proceso de licenciamiento específico que se está adelantando, sino para el conjunto de la sociedad.</w:t>
      </w:r>
    </w:p>
    <w:p w14:paraId="2ED2B17E" w14:textId="77777777" w:rsidR="00D277E7" w:rsidRPr="00BD1319" w:rsidRDefault="00D277E7" w:rsidP="00D277E7">
      <w:pPr>
        <w:numPr>
          <w:ilvl w:val="12"/>
          <w:numId w:val="0"/>
        </w:numPr>
        <w:tabs>
          <w:tab w:val="left" w:pos="-2268"/>
        </w:tabs>
        <w:suppressAutoHyphens/>
        <w:rPr>
          <w:spacing w:val="-3"/>
        </w:rPr>
      </w:pPr>
    </w:p>
    <w:p w14:paraId="63EFE8B1" w14:textId="77777777" w:rsidR="00D277E7" w:rsidRPr="00BD1319" w:rsidRDefault="00D277E7" w:rsidP="00D277E7">
      <w:pPr>
        <w:numPr>
          <w:ilvl w:val="12"/>
          <w:numId w:val="0"/>
        </w:numPr>
        <w:tabs>
          <w:tab w:val="left" w:pos="-2268"/>
        </w:tabs>
        <w:suppressAutoHyphens/>
        <w:rPr>
          <w:spacing w:val="-3"/>
        </w:rPr>
      </w:pPr>
      <w:r w:rsidRPr="00BD1319">
        <w:rPr>
          <w:spacing w:val="-3"/>
        </w:rPr>
        <w:t>La calidad de la información es función de múltiples atributos, siendo los más relevantes en el ámbito de los estudios ambientales los siguientes:</w:t>
      </w:r>
    </w:p>
    <w:p w14:paraId="05BEB7CE" w14:textId="77777777" w:rsidR="00D277E7" w:rsidRPr="00BD1319" w:rsidRDefault="00D277E7" w:rsidP="00D277E7">
      <w:pPr>
        <w:numPr>
          <w:ilvl w:val="12"/>
          <w:numId w:val="0"/>
        </w:numPr>
        <w:tabs>
          <w:tab w:val="left" w:pos="-2268"/>
        </w:tabs>
        <w:suppressAutoHyphens/>
        <w:rPr>
          <w:spacing w:val="-3"/>
        </w:rPr>
      </w:pPr>
    </w:p>
    <w:p w14:paraId="009E03BA" w14:textId="2ABF83FE" w:rsidR="00D277E7" w:rsidRPr="00BD1319" w:rsidRDefault="00D277E7" w:rsidP="00D277E7">
      <w:pPr>
        <w:numPr>
          <w:ilvl w:val="0"/>
          <w:numId w:val="39"/>
        </w:numPr>
        <w:tabs>
          <w:tab w:val="left" w:pos="-2268"/>
        </w:tabs>
        <w:suppressAutoHyphens/>
        <w:ind w:left="567" w:hanging="567"/>
        <w:rPr>
          <w:spacing w:val="-3"/>
        </w:rPr>
      </w:pPr>
      <w:r w:rsidRPr="00BD1319">
        <w:rPr>
          <w:b/>
          <w:spacing w:val="-3"/>
        </w:rPr>
        <w:t>Pertinencia y relevancia</w:t>
      </w:r>
      <w:r w:rsidRPr="00BD1319">
        <w:rPr>
          <w:spacing w:val="-3"/>
        </w:rPr>
        <w:t xml:space="preserve">: grado con el que la información es útil para describir y conocer las condiciones ambientales y las características de los proyectos o sus alternativas, </w:t>
      </w:r>
      <w:r w:rsidR="002A7B84" w:rsidRPr="00BD1319">
        <w:rPr>
          <w:spacing w:val="-3"/>
        </w:rPr>
        <w:t xml:space="preserve">determinar </w:t>
      </w:r>
      <w:r w:rsidRPr="00BD1319">
        <w:rPr>
          <w:spacing w:val="-3"/>
        </w:rPr>
        <w:t xml:space="preserve">y valorar los impactos ambientales y el uso de </w:t>
      </w:r>
      <w:r w:rsidR="00645126" w:rsidRPr="00BD1319">
        <w:rPr>
          <w:spacing w:val="-3"/>
        </w:rPr>
        <w:t>recursos naturales renovables</w:t>
      </w:r>
      <w:r w:rsidRPr="00BD1319">
        <w:rPr>
          <w:spacing w:val="-3"/>
        </w:rPr>
        <w:t>, establecer zonas homogéneas y definir planes y programas de manejo ambiental.</w:t>
      </w:r>
    </w:p>
    <w:p w14:paraId="4901984A" w14:textId="77777777" w:rsidR="00D277E7" w:rsidRPr="00BD1319" w:rsidRDefault="00D277E7" w:rsidP="00D277E7">
      <w:pPr>
        <w:tabs>
          <w:tab w:val="left" w:pos="-2268"/>
        </w:tabs>
        <w:suppressAutoHyphens/>
        <w:rPr>
          <w:spacing w:val="-3"/>
        </w:rPr>
      </w:pPr>
    </w:p>
    <w:p w14:paraId="5D3C1EAE" w14:textId="77777777" w:rsidR="00D277E7" w:rsidRPr="00BD1319" w:rsidRDefault="00D277E7" w:rsidP="00D277E7">
      <w:pPr>
        <w:numPr>
          <w:ilvl w:val="0"/>
          <w:numId w:val="39"/>
        </w:numPr>
        <w:tabs>
          <w:tab w:val="left" w:pos="-2268"/>
        </w:tabs>
        <w:suppressAutoHyphens/>
        <w:ind w:left="567" w:hanging="567"/>
        <w:rPr>
          <w:spacing w:val="-3"/>
        </w:rPr>
      </w:pPr>
      <w:r w:rsidRPr="00BD1319">
        <w:rPr>
          <w:b/>
          <w:spacing w:val="-3"/>
        </w:rPr>
        <w:t>Precisión</w:t>
      </w:r>
      <w:r w:rsidRPr="00BD1319">
        <w:rPr>
          <w:spacing w:val="-3"/>
        </w:rPr>
        <w:t>: grado con el que la información estima o describe de forma correcta las cantidades, características o fenómenos objeto de medición.</w:t>
      </w:r>
    </w:p>
    <w:p w14:paraId="6671EFAC" w14:textId="77777777" w:rsidR="00D277E7" w:rsidRPr="00BD1319" w:rsidRDefault="00D277E7" w:rsidP="00D277E7">
      <w:pPr>
        <w:tabs>
          <w:tab w:val="left" w:pos="-2268"/>
        </w:tabs>
        <w:suppressAutoHyphens/>
        <w:rPr>
          <w:spacing w:val="-3"/>
        </w:rPr>
      </w:pPr>
    </w:p>
    <w:p w14:paraId="3C0479FE" w14:textId="77777777" w:rsidR="00D277E7" w:rsidRPr="00BD1319" w:rsidRDefault="00D277E7" w:rsidP="00D277E7">
      <w:pPr>
        <w:numPr>
          <w:ilvl w:val="0"/>
          <w:numId w:val="39"/>
        </w:numPr>
        <w:tabs>
          <w:tab w:val="left" w:pos="-2268"/>
        </w:tabs>
        <w:suppressAutoHyphens/>
        <w:ind w:left="567" w:hanging="567"/>
        <w:rPr>
          <w:spacing w:val="-3"/>
        </w:rPr>
      </w:pPr>
      <w:r w:rsidRPr="00BD1319">
        <w:rPr>
          <w:b/>
          <w:spacing w:val="-3"/>
        </w:rPr>
        <w:t>Oportunidad:</w:t>
      </w:r>
      <w:r w:rsidRPr="00BD1319">
        <w:rPr>
          <w:spacing w:val="-3"/>
        </w:rPr>
        <w:t xml:space="preserve"> referida al periodo de tiempo que transcurre entre la ocurrencia del fenómeno y el momento en el que está disponible la información que lo evidencia.</w:t>
      </w:r>
    </w:p>
    <w:p w14:paraId="12C8DD51" w14:textId="77777777" w:rsidR="00D277E7" w:rsidRPr="00BD1319" w:rsidRDefault="00D277E7" w:rsidP="00D277E7">
      <w:pPr>
        <w:tabs>
          <w:tab w:val="left" w:pos="-2268"/>
        </w:tabs>
        <w:suppressAutoHyphens/>
        <w:rPr>
          <w:spacing w:val="-3"/>
        </w:rPr>
      </w:pPr>
    </w:p>
    <w:p w14:paraId="3EDF3050" w14:textId="10377F64" w:rsidR="00D277E7" w:rsidRPr="00BD1319" w:rsidRDefault="00D277E7" w:rsidP="00D277E7">
      <w:pPr>
        <w:numPr>
          <w:ilvl w:val="0"/>
          <w:numId w:val="39"/>
        </w:numPr>
        <w:tabs>
          <w:tab w:val="left" w:pos="-2268"/>
        </w:tabs>
        <w:suppressAutoHyphens/>
        <w:ind w:left="567" w:hanging="567"/>
        <w:rPr>
          <w:spacing w:val="-3"/>
        </w:rPr>
      </w:pPr>
      <w:r w:rsidRPr="00BD1319">
        <w:rPr>
          <w:b/>
          <w:spacing w:val="-3"/>
        </w:rPr>
        <w:t>Interpretabilidad</w:t>
      </w:r>
      <w:r w:rsidRPr="00BD1319">
        <w:rPr>
          <w:spacing w:val="-3"/>
        </w:rPr>
        <w:t>: corresponde a la facilidad con la que se puede entender, utilizar y analizar la información. Los cuadros, tablas, gráficos, figuras, ilustraciones, esquemas y mapas, entre otros medios, así como sus respectivas características (</w:t>
      </w:r>
      <w:r w:rsidR="00041844" w:rsidRPr="00BD1319">
        <w:rPr>
          <w:spacing w:val="-3"/>
        </w:rPr>
        <w:t>p. ej.</w:t>
      </w:r>
      <w:r w:rsidRPr="00BD1319">
        <w:rPr>
          <w:spacing w:val="-3"/>
        </w:rPr>
        <w:t xml:space="preserve"> </w:t>
      </w:r>
      <w:r w:rsidR="00732038" w:rsidRPr="00BD1319">
        <w:rPr>
          <w:spacing w:val="-3"/>
        </w:rPr>
        <w:t>t</w:t>
      </w:r>
      <w:r w:rsidRPr="00BD1319">
        <w:rPr>
          <w:spacing w:val="-3"/>
        </w:rPr>
        <w:t>amaño, distribución de elementos, colores, escala), constituyen recursos para representar la información de tal forma que permita su adecuada lectura y fácil comprensión.</w:t>
      </w:r>
    </w:p>
    <w:p w14:paraId="134D3645" w14:textId="77777777" w:rsidR="00D277E7" w:rsidRPr="00BD1319" w:rsidRDefault="00D277E7" w:rsidP="00D277E7">
      <w:pPr>
        <w:tabs>
          <w:tab w:val="left" w:pos="-2268"/>
        </w:tabs>
        <w:suppressAutoHyphens/>
        <w:rPr>
          <w:spacing w:val="-3"/>
        </w:rPr>
      </w:pPr>
    </w:p>
    <w:p w14:paraId="1427BA4E" w14:textId="77777777" w:rsidR="00D277E7" w:rsidRPr="00BD1319" w:rsidRDefault="00D277E7" w:rsidP="00D277E7">
      <w:pPr>
        <w:numPr>
          <w:ilvl w:val="0"/>
          <w:numId w:val="39"/>
        </w:numPr>
        <w:tabs>
          <w:tab w:val="left" w:pos="-2268"/>
        </w:tabs>
        <w:suppressAutoHyphens/>
        <w:ind w:left="567" w:hanging="567"/>
        <w:rPr>
          <w:spacing w:val="-3"/>
        </w:rPr>
      </w:pPr>
      <w:r w:rsidRPr="00BD1319">
        <w:rPr>
          <w:b/>
          <w:spacing w:val="-3"/>
        </w:rPr>
        <w:t>Coherencia</w:t>
      </w:r>
      <w:r w:rsidRPr="00BD1319">
        <w:rPr>
          <w:spacing w:val="-3"/>
        </w:rPr>
        <w:t xml:space="preserve">: referida a la </w:t>
      </w:r>
      <w:r w:rsidRPr="00BD1319">
        <w:rPr>
          <w:rFonts w:cs="Arial"/>
          <w:spacing w:val="-3"/>
        </w:rPr>
        <w:t>inexistencia de contradicciones</w:t>
      </w:r>
      <w:r w:rsidRPr="00BD1319">
        <w:rPr>
          <w:spacing w:val="-3"/>
        </w:rPr>
        <w:t xml:space="preserve"> entre conceptos, métodos y la información que se genera con los mismos.</w:t>
      </w:r>
    </w:p>
    <w:p w14:paraId="5322EF84" w14:textId="77777777" w:rsidR="00D277E7" w:rsidRPr="00BD1319" w:rsidRDefault="00D277E7" w:rsidP="00D277E7">
      <w:pPr>
        <w:tabs>
          <w:tab w:val="left" w:pos="-2268"/>
        </w:tabs>
        <w:suppressAutoHyphens/>
        <w:rPr>
          <w:spacing w:val="-3"/>
        </w:rPr>
      </w:pPr>
    </w:p>
    <w:p w14:paraId="7E4B8918" w14:textId="77777777" w:rsidR="00D277E7" w:rsidRPr="00BD1319" w:rsidRDefault="00D277E7" w:rsidP="00D277E7">
      <w:pPr>
        <w:numPr>
          <w:ilvl w:val="0"/>
          <w:numId w:val="39"/>
        </w:numPr>
        <w:tabs>
          <w:tab w:val="left" w:pos="-2268"/>
        </w:tabs>
        <w:suppressAutoHyphens/>
        <w:ind w:left="567" w:hanging="567"/>
        <w:rPr>
          <w:spacing w:val="-3"/>
        </w:rPr>
      </w:pPr>
      <w:r w:rsidRPr="00BD1319">
        <w:rPr>
          <w:b/>
          <w:spacing w:val="-3"/>
        </w:rPr>
        <w:t>Comparabilidad</w:t>
      </w:r>
      <w:r w:rsidRPr="00BD1319">
        <w:rPr>
          <w:spacing w:val="-3"/>
        </w:rPr>
        <w:t xml:space="preserve">: señala, de acuerdo </w:t>
      </w:r>
      <w:r w:rsidRPr="00BD1319">
        <w:rPr>
          <w:rFonts w:cs="Arial"/>
          <w:spacing w:val="-3"/>
        </w:rPr>
        <w:t>con</w:t>
      </w:r>
      <w:r w:rsidRPr="00BD1319">
        <w:rPr>
          <w:spacing w:val="-3"/>
        </w:rPr>
        <w:t xml:space="preserve"> los conceptos aplicados y el uso de clasificaciones, nomenclaturas y métodos estandarizados, qué tan proclive a la comparación resulta la información que se utiliza o se genera, en términos espaciales y temporales.</w:t>
      </w:r>
    </w:p>
    <w:p w14:paraId="32D75E5F" w14:textId="77777777" w:rsidR="00D277E7" w:rsidRPr="00BD1319" w:rsidRDefault="00D277E7" w:rsidP="00D277E7">
      <w:pPr>
        <w:tabs>
          <w:tab w:val="left" w:pos="-2268"/>
        </w:tabs>
        <w:suppressAutoHyphens/>
        <w:rPr>
          <w:spacing w:val="-3"/>
        </w:rPr>
      </w:pPr>
    </w:p>
    <w:p w14:paraId="0B4C37B5" w14:textId="0FCA23C4" w:rsidR="00D277E7" w:rsidRPr="00BD1319" w:rsidRDefault="00D277E7" w:rsidP="4A0B09C6">
      <w:pPr>
        <w:numPr>
          <w:ilvl w:val="0"/>
          <w:numId w:val="39"/>
        </w:numPr>
        <w:suppressAutoHyphens/>
        <w:ind w:left="567" w:hanging="567"/>
      </w:pPr>
      <w:r w:rsidRPr="00BD1319">
        <w:rPr>
          <w:b/>
          <w:spacing w:val="-3"/>
        </w:rPr>
        <w:t>Transparencia y confiabilidad</w:t>
      </w:r>
      <w:r w:rsidRPr="00BD1319">
        <w:rPr>
          <w:spacing w:val="-3"/>
        </w:rPr>
        <w:t xml:space="preserve">: refleja el grado con el que es posible conocer la forma en que fue generada la información y, por tanto, si es confiable. Los </w:t>
      </w:r>
      <w:r w:rsidRPr="00BD1319">
        <w:rPr>
          <w:spacing w:val="-3"/>
        </w:rPr>
        <w:lastRenderedPageBreak/>
        <w:t>metadatos y otros tipos de documentación constituyen un referente para valorar este atributo.</w:t>
      </w:r>
    </w:p>
    <w:p w14:paraId="0601E264" w14:textId="77777777" w:rsidR="00D277E7" w:rsidRPr="00BD1319" w:rsidRDefault="00D277E7" w:rsidP="00D277E7">
      <w:pPr>
        <w:numPr>
          <w:ilvl w:val="12"/>
          <w:numId w:val="0"/>
        </w:numPr>
        <w:tabs>
          <w:tab w:val="left" w:pos="-2268"/>
        </w:tabs>
        <w:suppressAutoHyphens/>
        <w:rPr>
          <w:spacing w:val="-3"/>
        </w:rPr>
      </w:pPr>
    </w:p>
    <w:p w14:paraId="1156BC52" w14:textId="4E9D5BC3" w:rsidR="00D277E7" w:rsidRPr="00BD1319" w:rsidRDefault="00D277E7" w:rsidP="00D277E7">
      <w:pPr>
        <w:numPr>
          <w:ilvl w:val="12"/>
          <w:numId w:val="0"/>
        </w:numPr>
        <w:tabs>
          <w:tab w:val="left" w:pos="-2268"/>
        </w:tabs>
        <w:suppressAutoHyphens/>
        <w:rPr>
          <w:spacing w:val="-3"/>
        </w:rPr>
      </w:pPr>
      <w:r w:rsidRPr="00BD1319">
        <w:rPr>
          <w:spacing w:val="-3"/>
        </w:rPr>
        <w:t xml:space="preserve">Quienes elaboren los estudios ambientales deben procurar utilizar información de la mejor calidad posible, es decir, información cuyos atributos permitan su uso para la toma de decisiones que en el futuro puedan modificar </w:t>
      </w:r>
      <w:r w:rsidRPr="00BD1319">
        <w:rPr>
          <w:rFonts w:cs="Arial"/>
          <w:spacing w:val="-3"/>
        </w:rPr>
        <w:t xml:space="preserve">drásticamente </w:t>
      </w:r>
      <w:r w:rsidRPr="00BD1319">
        <w:rPr>
          <w:spacing w:val="-3"/>
        </w:rPr>
        <w:t xml:space="preserve">las relaciones ambientales de un territorio. En caso de que la información no genere certidumbre sobre los impactos </w:t>
      </w:r>
      <w:r w:rsidRPr="00BD1319">
        <w:rPr>
          <w:rFonts w:cs="Arial"/>
          <w:spacing w:val="-3"/>
        </w:rPr>
        <w:t xml:space="preserve">ambientales </w:t>
      </w:r>
      <w:r w:rsidR="00FE3142" w:rsidRPr="00BD1319">
        <w:rPr>
          <w:spacing w:val="-3"/>
        </w:rPr>
        <w:t>de un proyecto, obra o actividad</w:t>
      </w:r>
      <w:r w:rsidR="00FE3142" w:rsidRPr="00BD1319">
        <w:rPr>
          <w:rFonts w:cs="Arial"/>
          <w:spacing w:val="-3"/>
        </w:rPr>
        <w:t xml:space="preserve"> que representen peligro grave </w:t>
      </w:r>
      <w:r w:rsidR="00FE3142" w:rsidRPr="00BD1319">
        <w:rPr>
          <w:spacing w:val="-3"/>
        </w:rPr>
        <w:t>e</w:t>
      </w:r>
      <w:r w:rsidRPr="00BD1319">
        <w:rPr>
          <w:spacing w:val="-3"/>
        </w:rPr>
        <w:t xml:space="preserve"> irreversible, es responsabilidad de quienes están interesados en solicitar una licencia ambiental, el aplicar el principio de precaución y evaluar otras alternativas para su ejecución (no solo de ubicación y trazado, sino también ingenieriles, tecnológicas y de diseño) e incluso, la posibilidad de no emprender el proyecto.</w:t>
      </w:r>
    </w:p>
    <w:p w14:paraId="47834CC9" w14:textId="77777777" w:rsidR="00D277E7" w:rsidRPr="00BD1319" w:rsidRDefault="00D277E7" w:rsidP="00D277E7">
      <w:pPr>
        <w:numPr>
          <w:ilvl w:val="12"/>
          <w:numId w:val="0"/>
        </w:numPr>
        <w:tabs>
          <w:tab w:val="left" w:pos="-2268"/>
        </w:tabs>
        <w:suppressAutoHyphens/>
        <w:rPr>
          <w:spacing w:val="-3"/>
        </w:rPr>
      </w:pPr>
    </w:p>
    <w:p w14:paraId="1325A14D" w14:textId="6AF3B625" w:rsidR="00D277E7" w:rsidRPr="00BD1319" w:rsidRDefault="00D277E7" w:rsidP="00D277E7">
      <w:pPr>
        <w:numPr>
          <w:ilvl w:val="12"/>
          <w:numId w:val="0"/>
        </w:numPr>
        <w:tabs>
          <w:tab w:val="left" w:pos="-2268"/>
        </w:tabs>
        <w:suppressAutoHyphens/>
        <w:rPr>
          <w:spacing w:val="-3"/>
        </w:rPr>
      </w:pPr>
      <w:r w:rsidRPr="00BD1319">
        <w:rPr>
          <w:spacing w:val="-3"/>
        </w:rPr>
        <w:t xml:space="preserve">En general, cuando </w:t>
      </w:r>
      <w:r w:rsidR="00AC00B6" w:rsidRPr="00BD1319">
        <w:rPr>
          <w:spacing w:val="-3"/>
        </w:rPr>
        <w:t xml:space="preserve">un </w:t>
      </w:r>
      <w:r w:rsidRPr="00BD1319">
        <w:rPr>
          <w:spacing w:val="-3"/>
        </w:rPr>
        <w:t>requerimiento de información para soportar una decisión de licenciamiento ambiental respecto a un proyecto</w:t>
      </w:r>
      <w:r w:rsidR="00F32AC0" w:rsidRPr="00BD1319">
        <w:rPr>
          <w:spacing w:val="-3"/>
        </w:rPr>
        <w:t>, obra o actividad</w:t>
      </w:r>
      <w:r w:rsidRPr="00BD1319">
        <w:rPr>
          <w:spacing w:val="-3"/>
        </w:rPr>
        <w:t xml:space="preserve"> particular está cubierto con información secundaria que tenga las características mencionadas anteriormente y que provenga de fuentes idóneas</w:t>
      </w:r>
      <w:r w:rsidRPr="00BD1319">
        <w:rPr>
          <w:spacing w:val="-3"/>
          <w:vertAlign w:val="superscript"/>
        </w:rPr>
        <w:footnoteReference w:id="6"/>
      </w:r>
      <w:r w:rsidRPr="00BD1319">
        <w:rPr>
          <w:spacing w:val="-3"/>
        </w:rPr>
        <w:t>, no es necesario generar información primaria; de lo contrario, ésta debe ser obtenida y puesta a disposición de la autoridad ambiental competente por parte del interesado en adelantar el proyecto</w:t>
      </w:r>
      <w:r w:rsidR="00F32AC0" w:rsidRPr="00BD1319">
        <w:rPr>
          <w:spacing w:val="-3"/>
        </w:rPr>
        <w:t>, obra o actividad</w:t>
      </w:r>
      <w:r w:rsidRPr="00BD1319">
        <w:rPr>
          <w:spacing w:val="-3"/>
        </w:rPr>
        <w:t xml:space="preserve"> de acuerdo </w:t>
      </w:r>
      <w:r w:rsidR="00AB6972" w:rsidRPr="00BD1319">
        <w:rPr>
          <w:spacing w:val="-3"/>
        </w:rPr>
        <w:t>con</w:t>
      </w:r>
      <w:r w:rsidRPr="00BD1319">
        <w:rPr>
          <w:spacing w:val="-3"/>
        </w:rPr>
        <w:t xml:space="preserve"> lo establecido en la presente metodología y en los términos de referencia.</w:t>
      </w:r>
    </w:p>
    <w:p w14:paraId="25A9B821" w14:textId="77777777" w:rsidR="00D277E7" w:rsidRPr="00BD1319" w:rsidRDefault="00D277E7" w:rsidP="00D277E7">
      <w:pPr>
        <w:numPr>
          <w:ilvl w:val="12"/>
          <w:numId w:val="0"/>
        </w:numPr>
        <w:tabs>
          <w:tab w:val="left" w:pos="-2268"/>
        </w:tabs>
        <w:suppressAutoHyphens/>
        <w:rPr>
          <w:spacing w:val="-3"/>
        </w:rPr>
      </w:pPr>
    </w:p>
    <w:p w14:paraId="7B098374" w14:textId="3C1EEA2F" w:rsidR="00D277E7" w:rsidRPr="00BD1319" w:rsidRDefault="00D277E7" w:rsidP="00D277E7">
      <w:pPr>
        <w:numPr>
          <w:ilvl w:val="12"/>
          <w:numId w:val="0"/>
        </w:numPr>
        <w:tabs>
          <w:tab w:val="left" w:pos="-2268"/>
        </w:tabs>
        <w:suppressAutoHyphens/>
        <w:rPr>
          <w:spacing w:val="-3"/>
        </w:rPr>
      </w:pPr>
      <w:r w:rsidRPr="00BD1319">
        <w:rPr>
          <w:spacing w:val="-3"/>
        </w:rPr>
        <w:t xml:space="preserve">Es importante que los estudios ambientales incorporen </w:t>
      </w:r>
      <w:r w:rsidR="00AB6972" w:rsidRPr="00BD1319">
        <w:rPr>
          <w:spacing w:val="-3"/>
        </w:rPr>
        <w:t xml:space="preserve">parámetros, </w:t>
      </w:r>
      <w:r w:rsidRPr="00BD1319">
        <w:rPr>
          <w:spacing w:val="-3"/>
        </w:rPr>
        <w:t>indicadores</w:t>
      </w:r>
      <w:r w:rsidR="00AB6972" w:rsidRPr="00BD1319">
        <w:rPr>
          <w:spacing w:val="-3"/>
        </w:rPr>
        <w:t xml:space="preserve"> e índices</w:t>
      </w:r>
      <w:r w:rsidRPr="00BD1319">
        <w:rPr>
          <w:spacing w:val="-3"/>
        </w:rPr>
        <w:t xml:space="preserve">, pues constituyen un insumo fundamental para </w:t>
      </w:r>
      <w:r w:rsidR="002A7B84" w:rsidRPr="00BD1319">
        <w:rPr>
          <w:spacing w:val="-3"/>
        </w:rPr>
        <w:t xml:space="preserve">determinar </w:t>
      </w:r>
      <w:r w:rsidRPr="00BD1319">
        <w:rPr>
          <w:spacing w:val="-3"/>
        </w:rPr>
        <w:t xml:space="preserve">y valorar impactos (en tanto un impacto se evidencia por el cambio en un </w:t>
      </w:r>
      <w:r w:rsidR="00BD0F1B" w:rsidRPr="00BD1319">
        <w:rPr>
          <w:spacing w:val="-3"/>
        </w:rPr>
        <w:t xml:space="preserve">parámetro </w:t>
      </w:r>
      <w:r w:rsidRPr="00BD1319">
        <w:rPr>
          <w:spacing w:val="-3"/>
        </w:rPr>
        <w:t>ambiental</w:t>
      </w:r>
      <w:r w:rsidR="009B24EA" w:rsidRPr="00BD1319">
        <w:rPr>
          <w:spacing w:val="-3"/>
        </w:rPr>
        <w:t xml:space="preserve"> que</w:t>
      </w:r>
      <w:r w:rsidR="008F431D" w:rsidRPr="00BD1319">
        <w:rPr>
          <w:spacing w:val="-3"/>
        </w:rPr>
        <w:t>,</w:t>
      </w:r>
      <w:r w:rsidR="009B24EA" w:rsidRPr="00BD1319">
        <w:rPr>
          <w:spacing w:val="-3"/>
        </w:rPr>
        <w:t xml:space="preserve"> en algunas oportunidades, se estima mediante indicadores o índices</w:t>
      </w:r>
      <w:r w:rsidRPr="00BD1319">
        <w:rPr>
          <w:spacing w:val="-3"/>
        </w:rPr>
        <w:t xml:space="preserve">), para formular medidas de manejo dirigidas a </w:t>
      </w:r>
      <w:r w:rsidR="005458DD" w:rsidRPr="00BD1319">
        <w:rPr>
          <w:spacing w:val="-3"/>
        </w:rPr>
        <w:t xml:space="preserve">gestionarlos </w:t>
      </w:r>
      <w:r w:rsidRPr="00BD1319">
        <w:rPr>
          <w:spacing w:val="-3"/>
        </w:rPr>
        <w:t xml:space="preserve">y para hacer seguimiento y monitoreo ambiental. Los indicadores </w:t>
      </w:r>
      <w:r w:rsidR="00AB6972" w:rsidRPr="00BD1319">
        <w:rPr>
          <w:spacing w:val="-3"/>
        </w:rPr>
        <w:t>e índices</w:t>
      </w:r>
      <w:r w:rsidR="009B24EA" w:rsidRPr="00BD1319">
        <w:rPr>
          <w:rStyle w:val="Refdenotaalpie"/>
          <w:rFonts w:cs="Arial"/>
          <w:spacing w:val="-3"/>
          <w:lang w:val="es-CO"/>
        </w:rPr>
        <w:footnoteReference w:id="7"/>
      </w:r>
      <w:r w:rsidR="00AB6972" w:rsidRPr="00BD1319">
        <w:rPr>
          <w:spacing w:val="-3"/>
        </w:rPr>
        <w:t xml:space="preserve"> </w:t>
      </w:r>
      <w:r w:rsidRPr="00BD1319">
        <w:rPr>
          <w:spacing w:val="-3"/>
        </w:rPr>
        <w:t xml:space="preserve">constituyen un tipo de información sintética que </w:t>
      </w:r>
      <w:r w:rsidRPr="00BD1319">
        <w:rPr>
          <w:spacing w:val="-3"/>
        </w:rPr>
        <w:lastRenderedPageBreak/>
        <w:t xml:space="preserve">brinda señales clave sobre la evolución de fenómenos y situaciones, y permiten estructurar de manera integral el conocimiento sobre el ambiente para la toma de decisiones, tanto de las autoridades ambientales que evalúan los estudios y hacen control y seguimiento </w:t>
      </w:r>
      <w:r w:rsidRPr="00BD1319">
        <w:rPr>
          <w:rFonts w:cs="Arial"/>
          <w:spacing w:val="-3"/>
        </w:rPr>
        <w:t>ambiental al desarrollo de los</w:t>
      </w:r>
      <w:r w:rsidRPr="00BD1319">
        <w:rPr>
          <w:spacing w:val="-3"/>
        </w:rPr>
        <w:t xml:space="preserve"> proyectos (en caso de haberles concedido licencia ambiental), como de quienes los ejecutan, </w:t>
      </w:r>
      <w:r w:rsidR="006C1776" w:rsidRPr="00BD1319">
        <w:rPr>
          <w:spacing w:val="-3"/>
        </w:rPr>
        <w:t xml:space="preserve">pues </w:t>
      </w:r>
      <w:r w:rsidRPr="00BD1319">
        <w:rPr>
          <w:spacing w:val="-3"/>
        </w:rPr>
        <w:t>deb</w:t>
      </w:r>
      <w:r w:rsidR="00BD0F1B" w:rsidRPr="00BD1319">
        <w:rPr>
          <w:spacing w:val="-3"/>
        </w:rPr>
        <w:t>e</w:t>
      </w:r>
      <w:r w:rsidRPr="00BD1319">
        <w:rPr>
          <w:spacing w:val="-3"/>
        </w:rPr>
        <w:t>n asegurar</w:t>
      </w:r>
      <w:r w:rsidR="00BD0F1B" w:rsidRPr="00BD1319">
        <w:rPr>
          <w:spacing w:val="-3"/>
        </w:rPr>
        <w:t>se</w:t>
      </w:r>
      <w:r w:rsidRPr="00BD1319">
        <w:rPr>
          <w:spacing w:val="-3"/>
        </w:rPr>
        <w:t xml:space="preserve"> de practicar un buen manejo ambiental</w:t>
      </w:r>
      <w:r w:rsidRPr="00BD1319">
        <w:rPr>
          <w:rFonts w:cs="Arial"/>
          <w:spacing w:val="-3"/>
        </w:rPr>
        <w:t xml:space="preserve"> y dar cumplimiento a la normativa ambiental vigente</w:t>
      </w:r>
      <w:r w:rsidRPr="00BD1319">
        <w:rPr>
          <w:spacing w:val="-3"/>
        </w:rPr>
        <w:t>.</w:t>
      </w:r>
    </w:p>
    <w:p w14:paraId="3705058F" w14:textId="77777777" w:rsidR="00D277E7" w:rsidRPr="00BD1319" w:rsidRDefault="00D277E7" w:rsidP="00D277E7">
      <w:pPr>
        <w:numPr>
          <w:ilvl w:val="12"/>
          <w:numId w:val="0"/>
        </w:numPr>
        <w:tabs>
          <w:tab w:val="left" w:pos="-2268"/>
        </w:tabs>
        <w:suppressAutoHyphens/>
        <w:rPr>
          <w:spacing w:val="-3"/>
        </w:rPr>
      </w:pPr>
    </w:p>
    <w:p w14:paraId="56B3018F" w14:textId="7757F7E7" w:rsidR="00D277E7" w:rsidRPr="00BD1319" w:rsidRDefault="00A579C7" w:rsidP="439A4240">
      <w:pPr>
        <w:suppressAutoHyphens/>
        <w:rPr>
          <w:spacing w:val="-3"/>
        </w:rPr>
      </w:pPr>
      <w:r w:rsidRPr="00BD1319">
        <w:rPr>
          <w:spacing w:val="-3"/>
        </w:rPr>
        <w:t>S</w:t>
      </w:r>
      <w:r w:rsidR="00D277E7" w:rsidRPr="00BD1319">
        <w:rPr>
          <w:spacing w:val="-3"/>
        </w:rPr>
        <w:t xml:space="preserve">e debe hacer uso de nuevos recursos tecnológicos </w:t>
      </w:r>
      <w:r w:rsidR="00907F14" w:rsidRPr="00BD1319">
        <w:rPr>
          <w:spacing w:val="-3"/>
        </w:rPr>
        <w:t xml:space="preserve">y de gestión de información </w:t>
      </w:r>
      <w:r w:rsidR="00D277E7" w:rsidRPr="00BD1319">
        <w:rPr>
          <w:spacing w:val="-3"/>
        </w:rPr>
        <w:t>para incrementar la calidad de la información</w:t>
      </w:r>
      <w:r w:rsidR="00B56C78" w:rsidRPr="00BD1319">
        <w:rPr>
          <w:spacing w:val="-3"/>
        </w:rPr>
        <w:t xml:space="preserve"> </w:t>
      </w:r>
      <w:r w:rsidR="00907F14" w:rsidRPr="00BD1319">
        <w:rPr>
          <w:spacing w:val="-3"/>
        </w:rPr>
        <w:t>de los estudios ambientales</w:t>
      </w:r>
      <w:r w:rsidR="00B56C78" w:rsidRPr="00BD1319">
        <w:rPr>
          <w:spacing w:val="-3"/>
        </w:rPr>
        <w:t xml:space="preserve">, o bien, para mejorar los procesos de </w:t>
      </w:r>
      <w:r w:rsidR="00907F14" w:rsidRPr="00BD1319">
        <w:rPr>
          <w:spacing w:val="-3"/>
        </w:rPr>
        <w:t xml:space="preserve">captura </w:t>
      </w:r>
      <w:r w:rsidR="00B56C78" w:rsidRPr="00BD1319">
        <w:rPr>
          <w:spacing w:val="-3"/>
        </w:rPr>
        <w:t>de información sin disminuir su calidad</w:t>
      </w:r>
      <w:r w:rsidR="0041279A" w:rsidRPr="00BD1319">
        <w:rPr>
          <w:spacing w:val="-3"/>
        </w:rPr>
        <w:t>, verificando que ello esté en consonancia con la</w:t>
      </w:r>
      <w:r w:rsidR="00660029" w:rsidRPr="00BD1319">
        <w:rPr>
          <w:spacing w:val="-3"/>
        </w:rPr>
        <w:t>s normas técnicas y la</w:t>
      </w:r>
      <w:r w:rsidR="0041279A" w:rsidRPr="00BD1319">
        <w:rPr>
          <w:spacing w:val="-3"/>
        </w:rPr>
        <w:t xml:space="preserve"> normativa vigente </w:t>
      </w:r>
      <w:r w:rsidR="00660029" w:rsidRPr="00BD1319">
        <w:rPr>
          <w:spacing w:val="-3"/>
        </w:rPr>
        <w:t>que le aplique</w:t>
      </w:r>
      <w:r w:rsidR="00D277E7" w:rsidRPr="00BD1319">
        <w:rPr>
          <w:spacing w:val="-3"/>
        </w:rPr>
        <w:t xml:space="preserve">. Por ejemplo, la implementación de sistemas de monitoreo en línea puede repercutir no sólo en el mejoramiento de la oportunidad, comparabilidad, transparencia y confiabilidad de la información, sino también, en la implementación de acciones tempranas que permitan </w:t>
      </w:r>
      <w:r w:rsidR="00605D4E" w:rsidRPr="00BD1319">
        <w:rPr>
          <w:rFonts w:cs="Arial"/>
          <w:spacing w:val="-3"/>
        </w:rPr>
        <w:t>prevenir</w:t>
      </w:r>
      <w:r w:rsidR="004E1C05" w:rsidRPr="00BD1319">
        <w:rPr>
          <w:rFonts w:cs="Arial"/>
          <w:spacing w:val="-3"/>
        </w:rPr>
        <w:t xml:space="preserve">, </w:t>
      </w:r>
      <w:r w:rsidR="00D277E7" w:rsidRPr="00BD1319">
        <w:rPr>
          <w:rFonts w:cs="Arial"/>
          <w:spacing w:val="-3"/>
        </w:rPr>
        <w:t>mitigar</w:t>
      </w:r>
      <w:r w:rsidR="004E1C05" w:rsidRPr="00BD1319">
        <w:rPr>
          <w:rFonts w:cs="Arial"/>
          <w:spacing w:val="-3"/>
        </w:rPr>
        <w:t>,</w:t>
      </w:r>
      <w:r w:rsidR="00D277E7" w:rsidRPr="00BD1319">
        <w:rPr>
          <w:rFonts w:cs="Arial"/>
          <w:spacing w:val="-3"/>
        </w:rPr>
        <w:t xml:space="preserve"> </w:t>
      </w:r>
      <w:r w:rsidR="00D277E7" w:rsidRPr="00BD1319">
        <w:rPr>
          <w:spacing w:val="-3"/>
        </w:rPr>
        <w:t xml:space="preserve">corregir </w:t>
      </w:r>
      <w:r w:rsidR="004E1C05" w:rsidRPr="00BD1319">
        <w:rPr>
          <w:spacing w:val="-3"/>
        </w:rPr>
        <w:t xml:space="preserve">y compensar </w:t>
      </w:r>
      <w:r w:rsidR="00D277E7" w:rsidRPr="00BD1319">
        <w:rPr>
          <w:spacing w:val="-3"/>
        </w:rPr>
        <w:t>impactos</w:t>
      </w:r>
      <w:r w:rsidR="00D277E7" w:rsidRPr="00BD1319">
        <w:rPr>
          <w:rFonts w:cs="Arial"/>
          <w:spacing w:val="-3"/>
        </w:rPr>
        <w:t xml:space="preserve"> ambientales</w:t>
      </w:r>
      <w:r w:rsidR="00D277E7" w:rsidRPr="00BD1319">
        <w:rPr>
          <w:spacing w:val="-3"/>
        </w:rPr>
        <w:t xml:space="preserve"> de forma eficiente y económica, en la ejecución en tiempo real de las actividades de control y seguimiento ambiental, y en otras decisiones que propendan por la sostenibilidad del territorio.</w:t>
      </w:r>
    </w:p>
    <w:p w14:paraId="2C4FB726" w14:textId="77777777" w:rsidR="00D277E7" w:rsidRPr="00BD1319" w:rsidRDefault="00D277E7" w:rsidP="00D277E7">
      <w:pPr>
        <w:numPr>
          <w:ilvl w:val="12"/>
          <w:numId w:val="0"/>
        </w:numPr>
        <w:tabs>
          <w:tab w:val="left" w:pos="-2268"/>
        </w:tabs>
        <w:suppressAutoHyphens/>
        <w:rPr>
          <w:spacing w:val="-3"/>
        </w:rPr>
      </w:pPr>
    </w:p>
    <w:p w14:paraId="0931EB60" w14:textId="77777777" w:rsidR="00D277E7" w:rsidRPr="00BD1319" w:rsidRDefault="00D277E7" w:rsidP="006052B3">
      <w:pPr>
        <w:numPr>
          <w:ilvl w:val="0"/>
          <w:numId w:val="41"/>
        </w:numPr>
        <w:tabs>
          <w:tab w:val="left" w:pos="-2268"/>
        </w:tabs>
        <w:suppressAutoHyphens/>
        <w:ind w:left="567" w:hanging="567"/>
        <w:rPr>
          <w:b/>
          <w:i/>
          <w:spacing w:val="-3"/>
          <w:u w:val="single"/>
        </w:rPr>
      </w:pPr>
      <w:r w:rsidRPr="00BD1319">
        <w:rPr>
          <w:b/>
          <w:i/>
          <w:spacing w:val="-3"/>
          <w:u w:val="single"/>
        </w:rPr>
        <w:t>Sobre los conceptos y el lenguaje</w:t>
      </w:r>
    </w:p>
    <w:p w14:paraId="5B1F68B0" w14:textId="77777777" w:rsidR="00D277E7" w:rsidRPr="00BD1319" w:rsidRDefault="00D277E7" w:rsidP="00D277E7">
      <w:pPr>
        <w:numPr>
          <w:ilvl w:val="12"/>
          <w:numId w:val="0"/>
        </w:numPr>
        <w:tabs>
          <w:tab w:val="left" w:pos="-2268"/>
        </w:tabs>
        <w:suppressAutoHyphens/>
        <w:rPr>
          <w:spacing w:val="-3"/>
        </w:rPr>
      </w:pPr>
    </w:p>
    <w:p w14:paraId="5F000539" w14:textId="6DA98478" w:rsidR="00D277E7" w:rsidRPr="00BD1319" w:rsidRDefault="00D277E7" w:rsidP="00D277E7">
      <w:pPr>
        <w:numPr>
          <w:ilvl w:val="12"/>
          <w:numId w:val="0"/>
        </w:numPr>
        <w:tabs>
          <w:tab w:val="left" w:pos="-2268"/>
        </w:tabs>
        <w:suppressAutoHyphens/>
        <w:rPr>
          <w:spacing w:val="-3"/>
        </w:rPr>
      </w:pPr>
      <w:r w:rsidRPr="00BD1319">
        <w:rPr>
          <w:spacing w:val="-3"/>
        </w:rPr>
        <w:t>El desarrollo de estudios ambientales implica el uso de un lenguaje específico a esta temática y de una serie de conceptos que deben ser claros, precisos y homogéneos con el fin de brindar una mejor comprensión y facilitar los procesos de evaluación y de seguimiento y control</w:t>
      </w:r>
      <w:r w:rsidR="007C2478" w:rsidRPr="00BD1319">
        <w:rPr>
          <w:spacing w:val="-3"/>
        </w:rPr>
        <w:t>, y de dar transparencia al proceso de toma de decisión</w:t>
      </w:r>
      <w:r w:rsidRPr="00BD1319">
        <w:rPr>
          <w:spacing w:val="-3"/>
        </w:rPr>
        <w:t>.</w:t>
      </w:r>
    </w:p>
    <w:p w14:paraId="1ED53B05" w14:textId="77777777" w:rsidR="00D277E7" w:rsidRPr="00BD1319" w:rsidRDefault="00D277E7" w:rsidP="00D277E7">
      <w:pPr>
        <w:numPr>
          <w:ilvl w:val="12"/>
          <w:numId w:val="0"/>
        </w:numPr>
        <w:tabs>
          <w:tab w:val="left" w:pos="-2268"/>
        </w:tabs>
        <w:suppressAutoHyphens/>
        <w:rPr>
          <w:spacing w:val="-3"/>
        </w:rPr>
      </w:pPr>
    </w:p>
    <w:p w14:paraId="7545E416" w14:textId="37A3D4DF" w:rsidR="00D277E7" w:rsidRPr="00BD1319" w:rsidRDefault="00D277E7" w:rsidP="00D277E7">
      <w:pPr>
        <w:numPr>
          <w:ilvl w:val="12"/>
          <w:numId w:val="0"/>
        </w:numPr>
        <w:tabs>
          <w:tab w:val="left" w:pos="-2268"/>
        </w:tabs>
        <w:suppressAutoHyphens/>
        <w:rPr>
          <w:spacing w:val="-3"/>
        </w:rPr>
      </w:pPr>
      <w:r w:rsidRPr="00BD1319">
        <w:rPr>
          <w:spacing w:val="-3"/>
        </w:rPr>
        <w:t>Un grupo de conceptos clave para el licenciamiento ambiental tiene que ver con la concepción del ambiente. En este contexto, el ambiente es definido como</w:t>
      </w:r>
      <w:r w:rsidR="00F76227" w:rsidRPr="00BD1319">
        <w:rPr>
          <w:spacing w:val="-3"/>
        </w:rPr>
        <w:t xml:space="preserve"> el conjunto de </w:t>
      </w:r>
      <w:r w:rsidR="00F76227" w:rsidRPr="00BD1319">
        <w:rPr>
          <w:rFonts w:cs="Arial"/>
          <w:i/>
        </w:rPr>
        <w:t>elementos naturales, tanto físicos como biológicos, los elementos artificiales, sociales y culturales, y las interacciones de éstos entre sí</w:t>
      </w:r>
      <w:r w:rsidRPr="00BD1319">
        <w:rPr>
          <w:spacing w:val="-3"/>
        </w:rPr>
        <w:t xml:space="preserve">, definición que al hacer referencia a dichas interacciones, evidencia la gran complejidad que incorpora el concepto; no obstante, con el propósito de facilitar la elaboración, presentación, análisis y evaluación de los estudios ambientales, resulta necesario efectuar una cierta abstracción </w:t>
      </w:r>
      <w:r w:rsidR="005642C0" w:rsidRPr="00BD1319">
        <w:rPr>
          <w:spacing w:val="-3"/>
        </w:rPr>
        <w:t xml:space="preserve">del ambiente a través de </w:t>
      </w:r>
      <w:r w:rsidRPr="00BD1319">
        <w:rPr>
          <w:spacing w:val="-3"/>
        </w:rPr>
        <w:t>las siguientes categorías jerárquicas:</w:t>
      </w:r>
    </w:p>
    <w:p w14:paraId="154C25D1" w14:textId="77777777" w:rsidR="00D277E7" w:rsidRPr="00BD1319" w:rsidRDefault="00D277E7" w:rsidP="00D277E7">
      <w:pPr>
        <w:numPr>
          <w:ilvl w:val="12"/>
          <w:numId w:val="0"/>
        </w:numPr>
        <w:tabs>
          <w:tab w:val="left" w:pos="-2268"/>
        </w:tabs>
        <w:suppressAutoHyphens/>
        <w:rPr>
          <w:spacing w:val="-3"/>
        </w:rPr>
      </w:pPr>
    </w:p>
    <w:p w14:paraId="25538623" w14:textId="02D08A41" w:rsidR="00D277E7" w:rsidRPr="00BD1319" w:rsidRDefault="00D277E7" w:rsidP="00D277E7">
      <w:pPr>
        <w:numPr>
          <w:ilvl w:val="0"/>
          <w:numId w:val="40"/>
        </w:numPr>
        <w:tabs>
          <w:tab w:val="left" w:pos="-2268"/>
        </w:tabs>
        <w:suppressAutoHyphens/>
        <w:ind w:left="567" w:hanging="567"/>
        <w:rPr>
          <w:spacing w:val="-3"/>
        </w:rPr>
      </w:pPr>
      <w:r w:rsidRPr="00BD1319">
        <w:rPr>
          <w:i/>
          <w:spacing w:val="-3"/>
        </w:rPr>
        <w:t>Medio</w:t>
      </w:r>
      <w:r w:rsidRPr="00BD1319">
        <w:rPr>
          <w:spacing w:val="-3"/>
        </w:rPr>
        <w:t>. Es la categoría de mayor jerarquía; el ambiente está constituido por los medios abiótico, biótico y socioeconómico.</w:t>
      </w:r>
    </w:p>
    <w:p w14:paraId="104DC3EF" w14:textId="77777777" w:rsidR="00D277E7" w:rsidRPr="00BD1319" w:rsidRDefault="00D277E7" w:rsidP="00D277E7">
      <w:pPr>
        <w:tabs>
          <w:tab w:val="left" w:pos="-2268"/>
        </w:tabs>
        <w:suppressAutoHyphens/>
        <w:rPr>
          <w:spacing w:val="-3"/>
        </w:rPr>
      </w:pPr>
    </w:p>
    <w:p w14:paraId="12626BCA" w14:textId="66798399" w:rsidR="00D277E7" w:rsidRPr="00BD1319" w:rsidRDefault="00D277E7" w:rsidP="00D277E7">
      <w:pPr>
        <w:numPr>
          <w:ilvl w:val="1"/>
          <w:numId w:val="40"/>
        </w:numPr>
        <w:tabs>
          <w:tab w:val="left" w:pos="-2268"/>
        </w:tabs>
        <w:suppressAutoHyphens/>
        <w:ind w:left="1134" w:hanging="567"/>
        <w:rPr>
          <w:spacing w:val="-3"/>
        </w:rPr>
      </w:pPr>
      <w:r w:rsidRPr="00BD1319">
        <w:rPr>
          <w:i/>
          <w:spacing w:val="-3"/>
        </w:rPr>
        <w:lastRenderedPageBreak/>
        <w:t>Componente</w:t>
      </w:r>
      <w:r w:rsidRPr="00BD1319">
        <w:rPr>
          <w:spacing w:val="-3"/>
        </w:rPr>
        <w:t>. Cada uno de los medios está conformado por un conjunto de componentes. Ejemplos de componentes son: para el medio abiótico el geológico y el hidrológico; para el biótico los ecosistemas terrestres y los ecosistemas acuáticos y; para el socioeconómico, el demográfico y el económico.</w:t>
      </w:r>
    </w:p>
    <w:p w14:paraId="64CDCE31" w14:textId="77777777" w:rsidR="00D277E7" w:rsidRPr="00BD1319" w:rsidRDefault="00D277E7" w:rsidP="00D277E7">
      <w:pPr>
        <w:tabs>
          <w:tab w:val="left" w:pos="-2268"/>
        </w:tabs>
        <w:suppressAutoHyphens/>
        <w:rPr>
          <w:spacing w:val="-3"/>
        </w:rPr>
      </w:pPr>
    </w:p>
    <w:p w14:paraId="466C1547" w14:textId="5297EBDC" w:rsidR="00D277E7" w:rsidRPr="00BD1319" w:rsidRDefault="00D277E7" w:rsidP="00D277E7">
      <w:pPr>
        <w:numPr>
          <w:ilvl w:val="2"/>
          <w:numId w:val="40"/>
        </w:numPr>
        <w:tabs>
          <w:tab w:val="left" w:pos="-2268"/>
        </w:tabs>
        <w:suppressAutoHyphens/>
        <w:ind w:left="1701" w:hanging="567"/>
        <w:rPr>
          <w:spacing w:val="-3"/>
        </w:rPr>
      </w:pPr>
      <w:r w:rsidRPr="00BD1319">
        <w:rPr>
          <w:i/>
          <w:spacing w:val="-3"/>
        </w:rPr>
        <w:t>Factor</w:t>
      </w:r>
      <w:r w:rsidRPr="00BD1319">
        <w:rPr>
          <w:spacing w:val="-3"/>
        </w:rPr>
        <w:t xml:space="preserve">. Los componentes tienen una serie de atributos que se denominan factores. Por ejemplo, un factor del componente </w:t>
      </w:r>
      <w:r w:rsidR="00645126" w:rsidRPr="00BD1319">
        <w:rPr>
          <w:spacing w:val="-3"/>
        </w:rPr>
        <w:t>atmosférico</w:t>
      </w:r>
      <w:r w:rsidR="00645126" w:rsidRPr="00BD1319" w:rsidDel="00645126">
        <w:rPr>
          <w:spacing w:val="-3"/>
        </w:rPr>
        <w:t xml:space="preserve"> </w:t>
      </w:r>
      <w:r w:rsidRPr="00BD1319">
        <w:rPr>
          <w:spacing w:val="-3"/>
        </w:rPr>
        <w:t xml:space="preserve">es la calidad del </w:t>
      </w:r>
      <w:r w:rsidR="00645126" w:rsidRPr="00BD1319">
        <w:rPr>
          <w:spacing w:val="-3"/>
        </w:rPr>
        <w:t>aire</w:t>
      </w:r>
      <w:r w:rsidRPr="00BD1319">
        <w:rPr>
          <w:spacing w:val="-3"/>
        </w:rPr>
        <w:t xml:space="preserve">, otro el </w:t>
      </w:r>
      <w:r w:rsidR="00645126" w:rsidRPr="00BD1319">
        <w:rPr>
          <w:spacing w:val="-3"/>
        </w:rPr>
        <w:t>ruido</w:t>
      </w:r>
      <w:r w:rsidRPr="00BD1319">
        <w:rPr>
          <w:spacing w:val="-3"/>
        </w:rPr>
        <w:t xml:space="preserve"> y otro más </w:t>
      </w:r>
      <w:r w:rsidR="00BA024B" w:rsidRPr="00BD1319">
        <w:rPr>
          <w:spacing w:val="-3"/>
        </w:rPr>
        <w:t>la meteorología</w:t>
      </w:r>
      <w:r w:rsidRPr="00BD1319">
        <w:rPr>
          <w:spacing w:val="-3"/>
        </w:rPr>
        <w:t>.</w:t>
      </w:r>
    </w:p>
    <w:p w14:paraId="3B7918B7" w14:textId="77777777" w:rsidR="00D277E7" w:rsidRPr="00BD1319" w:rsidRDefault="00D277E7" w:rsidP="00D277E7">
      <w:pPr>
        <w:tabs>
          <w:tab w:val="left" w:pos="-2268"/>
        </w:tabs>
        <w:suppressAutoHyphens/>
        <w:rPr>
          <w:spacing w:val="-3"/>
        </w:rPr>
      </w:pPr>
    </w:p>
    <w:p w14:paraId="2FB5E8BE" w14:textId="6D28D26C" w:rsidR="00D277E7" w:rsidRPr="00BD1319" w:rsidRDefault="00D277E7" w:rsidP="00D277E7">
      <w:pPr>
        <w:numPr>
          <w:ilvl w:val="3"/>
          <w:numId w:val="40"/>
        </w:numPr>
        <w:tabs>
          <w:tab w:val="left" w:pos="-2268"/>
        </w:tabs>
        <w:suppressAutoHyphens/>
        <w:ind w:left="2268" w:hanging="567"/>
        <w:rPr>
          <w:spacing w:val="-3"/>
        </w:rPr>
      </w:pPr>
      <w:r w:rsidRPr="00BD1319">
        <w:rPr>
          <w:i/>
          <w:spacing w:val="-3"/>
        </w:rPr>
        <w:t>Parámetro</w:t>
      </w:r>
      <w:r w:rsidRPr="00BD1319">
        <w:rPr>
          <w:spacing w:val="-3"/>
        </w:rPr>
        <w:t xml:space="preserve">. Por último, </w:t>
      </w:r>
      <w:r w:rsidRPr="00BD1319">
        <w:rPr>
          <w:rFonts w:cs="Arial"/>
          <w:spacing w:val="-3"/>
        </w:rPr>
        <w:t xml:space="preserve">los </w:t>
      </w:r>
      <w:r w:rsidRPr="00BD1319">
        <w:rPr>
          <w:spacing w:val="-3"/>
        </w:rPr>
        <w:t>factores son medidos haciendo uso de uno o varios parámetros</w:t>
      </w:r>
      <w:r w:rsidRPr="00BD1319">
        <w:rPr>
          <w:i/>
          <w:spacing w:val="-3"/>
        </w:rPr>
        <w:t xml:space="preserve"> </w:t>
      </w:r>
      <w:r w:rsidRPr="00BD1319">
        <w:rPr>
          <w:spacing w:val="-3"/>
        </w:rPr>
        <w:t>cuantitativos o cualitativos.</w:t>
      </w:r>
      <w:r w:rsidRPr="00BD1319">
        <w:rPr>
          <w:rFonts w:cs="Arial"/>
          <w:spacing w:val="-3"/>
        </w:rPr>
        <w:t xml:space="preserve"> Por ejemplo, </w:t>
      </w:r>
      <w:r w:rsidRPr="00BD1319">
        <w:t>concentración de material particulado de 10 micras (PM</w:t>
      </w:r>
      <w:r w:rsidRPr="00BD1319">
        <w:rPr>
          <w:vertAlign w:val="subscript"/>
        </w:rPr>
        <w:t>10</w:t>
      </w:r>
      <w:r w:rsidRPr="00BD1319">
        <w:t>)</w:t>
      </w:r>
      <w:r w:rsidRPr="00BD1319">
        <w:rPr>
          <w:rFonts w:cs="Arial"/>
          <w:spacing w:val="-3"/>
        </w:rPr>
        <w:t xml:space="preserve">, pH, </w:t>
      </w:r>
      <w:r w:rsidRPr="00BD1319">
        <w:t>oxígeno disuelto, superficie cubierta por bosques</w:t>
      </w:r>
      <w:r w:rsidR="00BA024B" w:rsidRPr="00BD1319">
        <w:t>,</w:t>
      </w:r>
      <w:r w:rsidR="00F76227" w:rsidRPr="00BD1319">
        <w:t xml:space="preserve"> </w:t>
      </w:r>
      <w:r w:rsidR="00F00FAD" w:rsidRPr="00BD1319">
        <w:t xml:space="preserve">ingresos familiares, condiciones de vulnerabilidad social, </w:t>
      </w:r>
      <w:r w:rsidR="00BA024B" w:rsidRPr="00BD1319">
        <w:t>género y edad</w:t>
      </w:r>
      <w:r w:rsidRPr="00BD1319">
        <w:t>.</w:t>
      </w:r>
    </w:p>
    <w:p w14:paraId="70AE86B4" w14:textId="77777777" w:rsidR="00D277E7" w:rsidRPr="00BD1319" w:rsidRDefault="00D277E7" w:rsidP="00D277E7">
      <w:pPr>
        <w:numPr>
          <w:ilvl w:val="12"/>
          <w:numId w:val="0"/>
        </w:numPr>
        <w:tabs>
          <w:tab w:val="left" w:pos="-2268"/>
        </w:tabs>
        <w:suppressAutoHyphens/>
        <w:rPr>
          <w:spacing w:val="-3"/>
        </w:rPr>
      </w:pPr>
    </w:p>
    <w:p w14:paraId="7272A4BE" w14:textId="090AD229" w:rsidR="00D277E7" w:rsidRPr="00BD1319" w:rsidRDefault="00D277E7" w:rsidP="00D277E7">
      <w:pPr>
        <w:numPr>
          <w:ilvl w:val="12"/>
          <w:numId w:val="0"/>
        </w:numPr>
        <w:tabs>
          <w:tab w:val="left" w:pos="-2268"/>
        </w:tabs>
        <w:suppressAutoHyphens/>
        <w:rPr>
          <w:spacing w:val="-3"/>
        </w:rPr>
      </w:pPr>
      <w:r w:rsidRPr="00BD1319">
        <w:rPr>
          <w:spacing w:val="-3"/>
        </w:rPr>
        <w:t xml:space="preserve">Adicionalmente y con el ánimo de mantener un lenguaje homogéneo y de </w:t>
      </w:r>
      <w:r w:rsidR="002A7B84" w:rsidRPr="00BD1319">
        <w:rPr>
          <w:spacing w:val="-3"/>
        </w:rPr>
        <w:t>determinar</w:t>
      </w:r>
      <w:r w:rsidR="002A7B84" w:rsidRPr="00BD1319" w:rsidDel="002A7B84">
        <w:rPr>
          <w:spacing w:val="-3"/>
        </w:rPr>
        <w:t xml:space="preserve"> </w:t>
      </w:r>
      <w:r w:rsidRPr="00BD1319">
        <w:rPr>
          <w:spacing w:val="-3"/>
        </w:rPr>
        <w:t xml:space="preserve">de manera precisa las alteraciones que ocasionarían las acciones previstas durante la ejecución </w:t>
      </w:r>
      <w:r w:rsidR="00BA024B" w:rsidRPr="00BD1319">
        <w:rPr>
          <w:spacing w:val="-3"/>
        </w:rPr>
        <w:t xml:space="preserve">de </w:t>
      </w:r>
      <w:r w:rsidRPr="00BD1319">
        <w:rPr>
          <w:spacing w:val="-3"/>
        </w:rPr>
        <w:t>un proyecto, obra o actividad, conviene que todas ellas sean organizadas y desagregadas de la siguiente manera:</w:t>
      </w:r>
    </w:p>
    <w:p w14:paraId="332708E2" w14:textId="77777777" w:rsidR="00D277E7" w:rsidRPr="00BD1319" w:rsidRDefault="00D277E7" w:rsidP="00D277E7">
      <w:pPr>
        <w:numPr>
          <w:ilvl w:val="12"/>
          <w:numId w:val="0"/>
        </w:numPr>
        <w:tabs>
          <w:tab w:val="left" w:pos="-2268"/>
        </w:tabs>
        <w:suppressAutoHyphens/>
        <w:rPr>
          <w:spacing w:val="-3"/>
        </w:rPr>
      </w:pPr>
    </w:p>
    <w:p w14:paraId="7B8C8351" w14:textId="19E756D2" w:rsidR="00D277E7" w:rsidRPr="00BD1319" w:rsidRDefault="00D277E7" w:rsidP="00D277E7">
      <w:pPr>
        <w:numPr>
          <w:ilvl w:val="0"/>
          <w:numId w:val="40"/>
        </w:numPr>
        <w:tabs>
          <w:tab w:val="left" w:pos="-2268"/>
        </w:tabs>
        <w:suppressAutoHyphens/>
        <w:ind w:left="567" w:hanging="567"/>
        <w:rPr>
          <w:spacing w:val="-3"/>
        </w:rPr>
      </w:pPr>
      <w:r w:rsidRPr="00BD1319">
        <w:rPr>
          <w:i/>
          <w:spacing w:val="-3"/>
        </w:rPr>
        <w:t>Actividad</w:t>
      </w:r>
      <w:r w:rsidRPr="00BD1319">
        <w:rPr>
          <w:spacing w:val="-3"/>
        </w:rPr>
        <w:t xml:space="preserve">. Para la ejecución de un proyecto, obra o actividad se precisa ejecutar un conjunto de </w:t>
      </w:r>
      <w:r w:rsidR="00BA024B" w:rsidRPr="00BD1319">
        <w:rPr>
          <w:spacing w:val="-3"/>
        </w:rPr>
        <w:t xml:space="preserve">acciones </w:t>
      </w:r>
      <w:r w:rsidRPr="00BD1319">
        <w:rPr>
          <w:spacing w:val="-3"/>
        </w:rPr>
        <w:t>que se denominan actividades. Un ejemplo de actividad es la operación de una planta generadora de energía accionada con diésel</w:t>
      </w:r>
      <w:r w:rsidR="00BA024B" w:rsidRPr="00BD1319">
        <w:rPr>
          <w:spacing w:val="-3"/>
        </w:rPr>
        <w:t xml:space="preserve"> en el marco de un proyecto, obra o actividad</w:t>
      </w:r>
      <w:r w:rsidRPr="00BD1319">
        <w:rPr>
          <w:spacing w:val="-3"/>
        </w:rPr>
        <w:t>.</w:t>
      </w:r>
    </w:p>
    <w:p w14:paraId="5896A3A0" w14:textId="77777777" w:rsidR="00D277E7" w:rsidRPr="00BD1319" w:rsidRDefault="00D277E7" w:rsidP="00D277E7">
      <w:pPr>
        <w:tabs>
          <w:tab w:val="left" w:pos="-2268"/>
        </w:tabs>
        <w:suppressAutoHyphens/>
        <w:rPr>
          <w:spacing w:val="-3"/>
        </w:rPr>
      </w:pPr>
    </w:p>
    <w:p w14:paraId="26100BDD" w14:textId="577E2A6C" w:rsidR="00D277E7" w:rsidRPr="00BD1319" w:rsidRDefault="00D277E7" w:rsidP="00D277E7">
      <w:pPr>
        <w:numPr>
          <w:ilvl w:val="1"/>
          <w:numId w:val="40"/>
        </w:numPr>
        <w:tabs>
          <w:tab w:val="left" w:pos="-2268"/>
        </w:tabs>
        <w:suppressAutoHyphens/>
        <w:ind w:left="1134" w:hanging="567"/>
        <w:rPr>
          <w:i/>
          <w:spacing w:val="-3"/>
        </w:rPr>
      </w:pPr>
      <w:r w:rsidRPr="00BD1319">
        <w:rPr>
          <w:i/>
          <w:spacing w:val="-3"/>
        </w:rPr>
        <w:t>Aspecto.</w:t>
      </w:r>
      <w:r w:rsidRPr="00BD1319">
        <w:rPr>
          <w:spacing w:val="-3"/>
        </w:rPr>
        <w:t xml:space="preserve"> Las actividades </w:t>
      </w:r>
      <w:r w:rsidR="00BD4398" w:rsidRPr="00BD1319">
        <w:rPr>
          <w:spacing w:val="-3"/>
        </w:rPr>
        <w:t xml:space="preserve">generan </w:t>
      </w:r>
      <w:r w:rsidRPr="00BD1319">
        <w:rPr>
          <w:spacing w:val="-3"/>
        </w:rPr>
        <w:t>presiones ambientales que se denominan aspectos. Un ejemplo de aspecto relacionado con el caso anterior es la emisión de gases contaminantes.</w:t>
      </w:r>
    </w:p>
    <w:p w14:paraId="50A3F5DA" w14:textId="77777777" w:rsidR="00D277E7" w:rsidRPr="00BD1319" w:rsidRDefault="00D277E7" w:rsidP="00D277E7">
      <w:pPr>
        <w:tabs>
          <w:tab w:val="left" w:pos="-2268"/>
        </w:tabs>
        <w:suppressAutoHyphens/>
        <w:rPr>
          <w:i/>
          <w:spacing w:val="-3"/>
        </w:rPr>
      </w:pPr>
    </w:p>
    <w:p w14:paraId="3D1B7A7F" w14:textId="1E2E4708" w:rsidR="00D277E7" w:rsidRPr="00BD1319" w:rsidRDefault="00D277E7" w:rsidP="00D277E7">
      <w:pPr>
        <w:numPr>
          <w:ilvl w:val="2"/>
          <w:numId w:val="40"/>
        </w:numPr>
        <w:tabs>
          <w:tab w:val="left" w:pos="-2268"/>
        </w:tabs>
        <w:suppressAutoHyphens/>
        <w:ind w:left="1701" w:hanging="567"/>
        <w:rPr>
          <w:spacing w:val="-3"/>
        </w:rPr>
      </w:pPr>
      <w:r w:rsidRPr="00BD1319">
        <w:rPr>
          <w:i/>
          <w:spacing w:val="-3"/>
        </w:rPr>
        <w:t>Efecto.</w:t>
      </w:r>
      <w:r w:rsidRPr="00BD1319">
        <w:rPr>
          <w:spacing w:val="-3"/>
        </w:rPr>
        <w:t xml:space="preserve"> Los aspectos generan una serie de </w:t>
      </w:r>
      <w:r w:rsidR="005642C0" w:rsidRPr="00BD1319">
        <w:rPr>
          <w:spacing w:val="-3"/>
        </w:rPr>
        <w:t xml:space="preserve">cambios </w:t>
      </w:r>
      <w:r w:rsidRPr="00BD1319">
        <w:rPr>
          <w:spacing w:val="-3"/>
        </w:rPr>
        <w:t>sobre los factores ambientales. Un ejemplo de efecto es la contaminación atmosférica.</w:t>
      </w:r>
    </w:p>
    <w:p w14:paraId="62372CDB" w14:textId="77777777" w:rsidR="00D277E7" w:rsidRPr="00BD1319" w:rsidRDefault="00D277E7" w:rsidP="00D277E7">
      <w:pPr>
        <w:tabs>
          <w:tab w:val="left" w:pos="-2268"/>
        </w:tabs>
        <w:suppressAutoHyphens/>
        <w:rPr>
          <w:spacing w:val="-3"/>
        </w:rPr>
      </w:pPr>
    </w:p>
    <w:p w14:paraId="79C0BBC6" w14:textId="7067B08E" w:rsidR="00D277E7" w:rsidRPr="00BD1319" w:rsidRDefault="00D277E7" w:rsidP="4A0B09C6">
      <w:pPr>
        <w:numPr>
          <w:ilvl w:val="3"/>
          <w:numId w:val="40"/>
        </w:numPr>
        <w:suppressAutoHyphens/>
        <w:ind w:left="2268" w:hanging="567"/>
        <w:rPr>
          <w:i/>
          <w:spacing w:val="-3"/>
        </w:rPr>
      </w:pPr>
      <w:r w:rsidRPr="00BD1319">
        <w:rPr>
          <w:i/>
          <w:spacing w:val="-3"/>
        </w:rPr>
        <w:t>Impacto ambiental</w:t>
      </w:r>
      <w:r w:rsidRPr="00BD1319">
        <w:rPr>
          <w:spacing w:val="-3"/>
        </w:rPr>
        <w:t>. Los efectos pueden ser descritos mediante uno o varios</w:t>
      </w:r>
      <w:r w:rsidRPr="00BD1319">
        <w:rPr>
          <w:i/>
          <w:spacing w:val="-3"/>
        </w:rPr>
        <w:t xml:space="preserve"> </w:t>
      </w:r>
      <w:r w:rsidRPr="00BD1319">
        <w:rPr>
          <w:spacing w:val="-3"/>
        </w:rPr>
        <w:t>impactos ambientales</w:t>
      </w:r>
      <w:r w:rsidRPr="00BD1319">
        <w:rPr>
          <w:i/>
          <w:spacing w:val="-3"/>
        </w:rPr>
        <w:t>.</w:t>
      </w:r>
      <w:r w:rsidRPr="00BD1319">
        <w:rPr>
          <w:spacing w:val="-3"/>
        </w:rPr>
        <w:t xml:space="preserve"> </w:t>
      </w:r>
      <w:r w:rsidR="00127B40" w:rsidRPr="00BD1319">
        <w:rPr>
          <w:spacing w:val="-3"/>
        </w:rPr>
        <w:t>E</w:t>
      </w:r>
      <w:r w:rsidRPr="00BD1319">
        <w:rPr>
          <w:spacing w:val="-3"/>
        </w:rPr>
        <w:t xml:space="preserve">l impacto ambiental debe reflejar cambios específicos, de manera que pueda ser monitoreado haciendo mediciones periódicas a un parámetro </w:t>
      </w:r>
      <w:r w:rsidRPr="00BD1319">
        <w:rPr>
          <w:spacing w:val="-3"/>
        </w:rPr>
        <w:lastRenderedPageBreak/>
        <w:t>ambiental. Un ejemplo de impacto relacionado con el efecto anterior es el aumento en la concentración de material particulado.</w:t>
      </w:r>
    </w:p>
    <w:p w14:paraId="71F0A28C" w14:textId="77777777" w:rsidR="00D277E7" w:rsidRPr="00BD1319" w:rsidRDefault="00D277E7" w:rsidP="00D277E7">
      <w:pPr>
        <w:numPr>
          <w:ilvl w:val="12"/>
          <w:numId w:val="0"/>
        </w:numPr>
        <w:tabs>
          <w:tab w:val="left" w:pos="-2268"/>
        </w:tabs>
        <w:suppressAutoHyphens/>
        <w:rPr>
          <w:spacing w:val="-3"/>
        </w:rPr>
      </w:pPr>
    </w:p>
    <w:p w14:paraId="3798CC39" w14:textId="7F2D3480" w:rsidR="00D277E7" w:rsidRPr="00BD1319" w:rsidRDefault="00D277E7" w:rsidP="00D277E7">
      <w:pPr>
        <w:numPr>
          <w:ilvl w:val="12"/>
          <w:numId w:val="0"/>
        </w:numPr>
        <w:tabs>
          <w:tab w:val="left" w:pos="-2268"/>
        </w:tabs>
        <w:suppressAutoHyphens/>
        <w:rPr>
          <w:spacing w:val="-3"/>
        </w:rPr>
      </w:pPr>
      <w:r w:rsidRPr="00BD1319">
        <w:rPr>
          <w:spacing w:val="-3"/>
        </w:rPr>
        <w:t>La calidad de los estudios ambientales y de las decisiones que se toman con ellos (por ejemplo, la definición de una alternativa</w:t>
      </w:r>
      <w:r w:rsidR="00B8394B" w:rsidRPr="00BD1319">
        <w:rPr>
          <w:spacing w:val="-3"/>
        </w:rPr>
        <w:t>,</w:t>
      </w:r>
      <w:r w:rsidRPr="00BD1319">
        <w:rPr>
          <w:spacing w:val="-3"/>
        </w:rPr>
        <w:t xml:space="preserve"> de las medidas de manejo o de las acciones de seguimiento y control), depende directamente de la </w:t>
      </w:r>
      <w:r w:rsidR="00E644A1" w:rsidRPr="00BD1319">
        <w:rPr>
          <w:spacing w:val="-3"/>
        </w:rPr>
        <w:t xml:space="preserve">determinación </w:t>
      </w:r>
      <w:r w:rsidRPr="00BD1319">
        <w:rPr>
          <w:spacing w:val="-3"/>
        </w:rPr>
        <w:t xml:space="preserve">de los impactos ambientales, por lo que resulta </w:t>
      </w:r>
      <w:r w:rsidRPr="00BD1319">
        <w:rPr>
          <w:rFonts w:cs="Arial"/>
          <w:spacing w:val="-3"/>
        </w:rPr>
        <w:t>de vital importancia</w:t>
      </w:r>
      <w:r w:rsidRPr="00BD1319">
        <w:rPr>
          <w:spacing w:val="-3"/>
        </w:rPr>
        <w:t xml:space="preserve"> hacerlo adecuadamente</w:t>
      </w:r>
      <w:r w:rsidRPr="00BD1319">
        <w:rPr>
          <w:rFonts w:cs="Arial"/>
          <w:spacing w:val="-3"/>
        </w:rPr>
        <w:t xml:space="preserve"> a partir de las características propias del proyecto, obra o actividad y de la</w:t>
      </w:r>
      <w:r w:rsidR="00C375D8" w:rsidRPr="00BD1319">
        <w:rPr>
          <w:rFonts w:cs="Arial"/>
          <w:spacing w:val="-3"/>
        </w:rPr>
        <w:t>s</w:t>
      </w:r>
      <w:r w:rsidRPr="00BD1319">
        <w:rPr>
          <w:rFonts w:cs="Arial"/>
          <w:spacing w:val="-3"/>
        </w:rPr>
        <w:t xml:space="preserve"> condiciones ambientales del territorio en el cual se plantea su ejecución</w:t>
      </w:r>
      <w:r w:rsidRPr="00BD1319">
        <w:rPr>
          <w:spacing w:val="-3"/>
        </w:rPr>
        <w:t xml:space="preserve">. Un impacto ambiental debe referirse exclusivamente a los cambios que sufre un parámetro ambiental (cualitativo o cuantitativo), con el fin de establecer medidas de manejo </w:t>
      </w:r>
      <w:r w:rsidR="003D3EC7" w:rsidRPr="00BD1319">
        <w:rPr>
          <w:spacing w:val="-3"/>
        </w:rPr>
        <w:t>eficaces</w:t>
      </w:r>
      <w:r w:rsidR="00BA024B" w:rsidRPr="00BD1319">
        <w:rPr>
          <w:spacing w:val="-3"/>
        </w:rPr>
        <w:t>.</w:t>
      </w:r>
      <w:r w:rsidRPr="00BD1319">
        <w:rPr>
          <w:spacing w:val="-3"/>
        </w:rPr>
        <w:t xml:space="preserve"> </w:t>
      </w:r>
      <w:r w:rsidR="00BA024B" w:rsidRPr="00BD1319">
        <w:rPr>
          <w:spacing w:val="-3"/>
        </w:rPr>
        <w:t>L</w:t>
      </w:r>
      <w:r w:rsidRPr="00BD1319">
        <w:rPr>
          <w:spacing w:val="-3"/>
        </w:rPr>
        <w:t xml:space="preserve">a gestión ambiental puede perder eficiencia cuando </w:t>
      </w:r>
      <w:r w:rsidR="00F76227" w:rsidRPr="00BD1319">
        <w:rPr>
          <w:spacing w:val="-3"/>
        </w:rPr>
        <w:t xml:space="preserve">se emplea </w:t>
      </w:r>
      <w:r w:rsidRPr="00BD1319">
        <w:rPr>
          <w:spacing w:val="-3"/>
        </w:rPr>
        <w:t xml:space="preserve">a los </w:t>
      </w:r>
      <w:r w:rsidRPr="00BD1319">
        <w:rPr>
          <w:rFonts w:cs="Arial"/>
          <w:spacing w:val="-3"/>
        </w:rPr>
        <w:t>efectos</w:t>
      </w:r>
      <w:r w:rsidRPr="00BD1319">
        <w:rPr>
          <w:spacing w:val="-3"/>
        </w:rPr>
        <w:t xml:space="preserve"> ambientales de cierta actividad como unidad de </w:t>
      </w:r>
      <w:r w:rsidR="003D3EC7" w:rsidRPr="00BD1319">
        <w:rPr>
          <w:spacing w:val="-3"/>
        </w:rPr>
        <w:t xml:space="preserve">referencia </w:t>
      </w:r>
      <w:r w:rsidRPr="00BD1319">
        <w:rPr>
          <w:spacing w:val="-3"/>
        </w:rPr>
        <w:t>para la formulación de medidas de manejo.</w:t>
      </w:r>
    </w:p>
    <w:p w14:paraId="7BDF67D1" w14:textId="77777777" w:rsidR="00D277E7" w:rsidRPr="00BD1319" w:rsidRDefault="00D277E7" w:rsidP="00D277E7">
      <w:pPr>
        <w:numPr>
          <w:ilvl w:val="12"/>
          <w:numId w:val="0"/>
        </w:numPr>
        <w:tabs>
          <w:tab w:val="left" w:pos="-2268"/>
        </w:tabs>
        <w:suppressAutoHyphens/>
        <w:rPr>
          <w:spacing w:val="-3"/>
        </w:rPr>
      </w:pPr>
    </w:p>
    <w:p w14:paraId="449EB735" w14:textId="04CE5F6B" w:rsidR="00D277E7" w:rsidRPr="00BD1319" w:rsidRDefault="00D277E7" w:rsidP="006052B3">
      <w:pPr>
        <w:numPr>
          <w:ilvl w:val="0"/>
          <w:numId w:val="41"/>
        </w:numPr>
        <w:tabs>
          <w:tab w:val="left" w:pos="-2268"/>
        </w:tabs>
        <w:suppressAutoHyphens/>
        <w:ind w:left="567" w:hanging="567"/>
        <w:rPr>
          <w:b/>
          <w:i/>
          <w:spacing w:val="-3"/>
          <w:u w:val="single"/>
        </w:rPr>
      </w:pPr>
      <w:r w:rsidRPr="00BD1319">
        <w:rPr>
          <w:b/>
          <w:i/>
          <w:spacing w:val="-3"/>
          <w:u w:val="single"/>
        </w:rPr>
        <w:t xml:space="preserve">Sobre la </w:t>
      </w:r>
      <w:r w:rsidR="00907F14" w:rsidRPr="00BD1319">
        <w:rPr>
          <w:b/>
          <w:i/>
          <w:spacing w:val="-3"/>
          <w:u w:val="single"/>
        </w:rPr>
        <w:t>j</w:t>
      </w:r>
      <w:r w:rsidRPr="00BD1319">
        <w:rPr>
          <w:b/>
          <w:i/>
          <w:spacing w:val="-3"/>
          <w:u w:val="single"/>
        </w:rPr>
        <w:t>erarquía de las medidas de manejo</w:t>
      </w:r>
      <w:r w:rsidRPr="00BD1319">
        <w:rPr>
          <w:vertAlign w:val="superscript"/>
        </w:rPr>
        <w:footnoteReference w:id="8"/>
      </w:r>
    </w:p>
    <w:p w14:paraId="17E756E1" w14:textId="77777777" w:rsidR="00D277E7" w:rsidRPr="00BD1319" w:rsidRDefault="00D277E7" w:rsidP="00D277E7">
      <w:pPr>
        <w:numPr>
          <w:ilvl w:val="12"/>
          <w:numId w:val="0"/>
        </w:numPr>
        <w:tabs>
          <w:tab w:val="left" w:pos="-2268"/>
        </w:tabs>
        <w:suppressAutoHyphens/>
        <w:rPr>
          <w:spacing w:val="-3"/>
        </w:rPr>
      </w:pPr>
    </w:p>
    <w:p w14:paraId="4369856A" w14:textId="6D2294F6" w:rsidR="00A02F5A" w:rsidRPr="00BD1319" w:rsidRDefault="00D277E7" w:rsidP="00D277E7">
      <w:pPr>
        <w:numPr>
          <w:ilvl w:val="12"/>
          <w:numId w:val="0"/>
        </w:numPr>
        <w:tabs>
          <w:tab w:val="left" w:pos="-2268"/>
        </w:tabs>
        <w:suppressAutoHyphens/>
        <w:rPr>
          <w:spacing w:val="-3"/>
        </w:rPr>
      </w:pPr>
      <w:r w:rsidRPr="00BD1319">
        <w:rPr>
          <w:spacing w:val="-3"/>
        </w:rPr>
        <w:t xml:space="preserve">Es </w:t>
      </w:r>
      <w:r w:rsidR="00A02F5A" w:rsidRPr="00BD1319">
        <w:rPr>
          <w:spacing w:val="-3"/>
        </w:rPr>
        <w:t xml:space="preserve">importante </w:t>
      </w:r>
      <w:r w:rsidRPr="00BD1319">
        <w:rPr>
          <w:spacing w:val="-3"/>
        </w:rPr>
        <w:t xml:space="preserve">que </w:t>
      </w:r>
      <w:r w:rsidR="00A02F5A" w:rsidRPr="00BD1319">
        <w:rPr>
          <w:spacing w:val="-3"/>
        </w:rPr>
        <w:t xml:space="preserve">la formulación de los estudios ambientales permita que </w:t>
      </w:r>
      <w:r w:rsidRPr="00BD1319">
        <w:rPr>
          <w:spacing w:val="-3"/>
        </w:rPr>
        <w:t xml:space="preserve">la construcción, operación, </w:t>
      </w:r>
      <w:r w:rsidRPr="00BD1319">
        <w:rPr>
          <w:rFonts w:cs="Arial"/>
          <w:spacing w:val="-3"/>
        </w:rPr>
        <w:t>manejo</w:t>
      </w:r>
      <w:r w:rsidRPr="00BD1319">
        <w:rPr>
          <w:spacing w:val="-3"/>
        </w:rPr>
        <w:t xml:space="preserve"> y desmantelamiento de los proyectos, obras o actividades se ciña a la jerarquía de las medidas de manejo, es decir, a la implementación jerárquica de una serie de medidas que tiene como objeto primordial disminuir</w:t>
      </w:r>
      <w:r w:rsidR="00B8394B" w:rsidRPr="00BD1319">
        <w:rPr>
          <w:spacing w:val="-3"/>
        </w:rPr>
        <w:t>,</w:t>
      </w:r>
      <w:r w:rsidRPr="00BD1319">
        <w:rPr>
          <w:spacing w:val="-3"/>
        </w:rPr>
        <w:t xml:space="preserve"> en la mayor magnitud posible</w:t>
      </w:r>
      <w:r w:rsidR="00B8394B" w:rsidRPr="00BD1319">
        <w:rPr>
          <w:spacing w:val="-3"/>
        </w:rPr>
        <w:t>,</w:t>
      </w:r>
      <w:r w:rsidRPr="00BD1319">
        <w:rPr>
          <w:spacing w:val="-3"/>
        </w:rPr>
        <w:t xml:space="preserve"> los impactos ambientales.</w:t>
      </w:r>
    </w:p>
    <w:p w14:paraId="4868C1E9" w14:textId="77777777" w:rsidR="00A02F5A" w:rsidRPr="00BD1319" w:rsidRDefault="00A02F5A" w:rsidP="00D277E7">
      <w:pPr>
        <w:numPr>
          <w:ilvl w:val="12"/>
          <w:numId w:val="0"/>
        </w:numPr>
        <w:tabs>
          <w:tab w:val="left" w:pos="-2268"/>
        </w:tabs>
        <w:suppressAutoHyphens/>
        <w:rPr>
          <w:spacing w:val="-3"/>
        </w:rPr>
      </w:pPr>
    </w:p>
    <w:p w14:paraId="20FCBB6C" w14:textId="5F1E70FA" w:rsidR="00D277E7" w:rsidRPr="00BD1319" w:rsidRDefault="00D277E7" w:rsidP="00D277E7">
      <w:pPr>
        <w:numPr>
          <w:ilvl w:val="12"/>
          <w:numId w:val="0"/>
        </w:numPr>
        <w:tabs>
          <w:tab w:val="left" w:pos="-2268"/>
        </w:tabs>
        <w:suppressAutoHyphens/>
        <w:rPr>
          <w:spacing w:val="-3"/>
        </w:rPr>
      </w:pPr>
      <w:r w:rsidRPr="00BD1319">
        <w:rPr>
          <w:spacing w:val="-3"/>
        </w:rPr>
        <w:t>La jerarquía indica que las medidas que se apliquen, en primera instancia, deben prevenir los impactos; si ello no resulta factible, deben centrar su propósito en mitigarlos; si no es practicable prevenir ni mitigar, las medidas deben enfocarse en corregir los impactos y; si no es posible desarrollar ninguna de las medidas mencionadas con anterioridad, entonces y solo entonces, se debe contemplar medidas encaminadas a compensar los impactos ambientales, en este caso, los residuales</w:t>
      </w:r>
      <w:r w:rsidRPr="00BD1319">
        <w:rPr>
          <w:rStyle w:val="Refdenotaalpie"/>
          <w:rFonts w:cs="Arial"/>
          <w:spacing w:val="-3"/>
          <w:lang w:val="es-CO"/>
        </w:rPr>
        <w:footnoteReference w:id="9"/>
      </w:r>
      <w:r w:rsidR="00A55B7B" w:rsidRPr="00BD1319">
        <w:rPr>
          <w:spacing w:val="-3"/>
        </w:rPr>
        <w:t>,</w:t>
      </w:r>
      <w:r w:rsidRPr="00BD1319">
        <w:rPr>
          <w:spacing w:val="-3"/>
        </w:rPr>
        <w:t xml:space="preserve"> es decir, los que aún permanezcan luego de aplicar las medidas de manejo previas. Estas medidas de manejo son complementarias entre sí y no sustitutas. </w:t>
      </w:r>
      <w:r w:rsidRPr="00BD1319">
        <w:rPr>
          <w:rFonts w:cs="Arial"/>
          <w:spacing w:val="-3"/>
        </w:rPr>
        <w:t>La</w:t>
      </w:r>
      <w:r w:rsidR="00611009" w:rsidRPr="00BD1319">
        <w:rPr>
          <w:spacing w:val="-3"/>
        </w:rPr>
        <w:t xml:space="preserve"> </w:t>
      </w:r>
      <w:r w:rsidR="00611009" w:rsidRPr="00BD1319">
        <w:rPr>
          <w:spacing w:val="-3"/>
        </w:rPr>
        <w:fldChar w:fldCharType="begin"/>
      </w:r>
      <w:r w:rsidR="00611009" w:rsidRPr="00BD1319">
        <w:rPr>
          <w:spacing w:val="-3"/>
        </w:rPr>
        <w:instrText xml:space="preserve"> REF _Ref81910178 \h </w:instrText>
      </w:r>
      <w:r w:rsidR="00BD1319">
        <w:rPr>
          <w:spacing w:val="-3"/>
        </w:rPr>
        <w:instrText xml:space="preserve"> \* MERGEFORMAT </w:instrText>
      </w:r>
      <w:r w:rsidR="00611009" w:rsidRPr="00BD1319">
        <w:rPr>
          <w:spacing w:val="-3"/>
        </w:rPr>
      </w:r>
      <w:r w:rsidR="00611009" w:rsidRPr="00BD1319">
        <w:rPr>
          <w:spacing w:val="-3"/>
        </w:rPr>
        <w:fldChar w:fldCharType="separate"/>
      </w:r>
      <w:r w:rsidR="00296654" w:rsidRPr="00BD1319">
        <w:t xml:space="preserve">Figura </w:t>
      </w:r>
      <w:r w:rsidR="00296654" w:rsidRPr="00BD1319">
        <w:rPr>
          <w:noProof/>
        </w:rPr>
        <w:t>1</w:t>
      </w:r>
      <w:r w:rsidR="00611009" w:rsidRPr="00BD1319">
        <w:rPr>
          <w:spacing w:val="-3"/>
        </w:rPr>
        <w:fldChar w:fldCharType="end"/>
      </w:r>
      <w:r w:rsidR="00611009" w:rsidRPr="00BD1319">
        <w:rPr>
          <w:spacing w:val="-3"/>
        </w:rPr>
        <w:t xml:space="preserve"> </w:t>
      </w:r>
      <w:r w:rsidRPr="00BD1319">
        <w:rPr>
          <w:spacing w:val="-3"/>
        </w:rPr>
        <w:t>esquematiza el funcionamiento de esta jerarquía.</w:t>
      </w:r>
    </w:p>
    <w:p w14:paraId="1AAEF53B" w14:textId="77777777" w:rsidR="00D277E7" w:rsidRPr="00BD1319" w:rsidRDefault="00D277E7" w:rsidP="00D277E7">
      <w:pPr>
        <w:numPr>
          <w:ilvl w:val="12"/>
          <w:numId w:val="0"/>
        </w:numPr>
        <w:tabs>
          <w:tab w:val="left" w:pos="-2268"/>
        </w:tabs>
        <w:suppressAutoHyphens/>
        <w:rPr>
          <w:spacing w:val="-3"/>
        </w:rPr>
      </w:pPr>
    </w:p>
    <w:p w14:paraId="4502877D" w14:textId="735BF7A6" w:rsidR="00D277E7" w:rsidRPr="00BD1319" w:rsidRDefault="00D277E7" w:rsidP="00D277E7">
      <w:pPr>
        <w:numPr>
          <w:ilvl w:val="12"/>
          <w:numId w:val="0"/>
        </w:numPr>
        <w:tabs>
          <w:tab w:val="left" w:pos="-2268"/>
        </w:tabs>
        <w:suppressAutoHyphens/>
        <w:rPr>
          <w:spacing w:val="-3"/>
        </w:rPr>
      </w:pPr>
      <w:r w:rsidRPr="00BD1319">
        <w:rPr>
          <w:spacing w:val="-3"/>
        </w:rPr>
        <w:lastRenderedPageBreak/>
        <w:t>La jerarquía no s</w:t>
      </w:r>
      <w:r w:rsidR="00007F0C" w:rsidRPr="00BD1319">
        <w:rPr>
          <w:spacing w:val="-3"/>
        </w:rPr>
        <w:t>ó</w:t>
      </w:r>
      <w:r w:rsidRPr="00BD1319">
        <w:rPr>
          <w:spacing w:val="-3"/>
        </w:rPr>
        <w:t xml:space="preserve">lo implica un orden de prioridad de las medidas de manejo, </w:t>
      </w:r>
      <w:r w:rsidR="0093703D" w:rsidRPr="00BD1319">
        <w:rPr>
          <w:spacing w:val="-3"/>
        </w:rPr>
        <w:t xml:space="preserve">plantea </w:t>
      </w:r>
      <w:r w:rsidRPr="00BD1319">
        <w:rPr>
          <w:spacing w:val="-3"/>
        </w:rPr>
        <w:t xml:space="preserve">también, una correspondencia </w:t>
      </w:r>
      <w:r w:rsidR="00007F0C" w:rsidRPr="00BD1319">
        <w:rPr>
          <w:i/>
          <w:spacing w:val="-3"/>
        </w:rPr>
        <w:t>ideal</w:t>
      </w:r>
      <w:r w:rsidR="00007F0C" w:rsidRPr="00BD1319">
        <w:rPr>
          <w:spacing w:val="-3"/>
        </w:rPr>
        <w:t xml:space="preserve"> </w:t>
      </w:r>
      <w:r w:rsidRPr="00BD1319">
        <w:rPr>
          <w:spacing w:val="-3"/>
        </w:rPr>
        <w:t>entre el grado con el cual los impactos pueden modificar las condiciones ambientales y la forma en que éstos deben ser manejados. En este sentido</w:t>
      </w:r>
      <w:r w:rsidR="00007F0C" w:rsidRPr="00BD1319">
        <w:rPr>
          <w:spacing w:val="-3"/>
        </w:rPr>
        <w:t xml:space="preserve"> y en la medida en que lo permita el proyecto, obra o actividad </w:t>
      </w:r>
      <w:r w:rsidR="0004707D" w:rsidRPr="00BD1319">
        <w:rPr>
          <w:spacing w:val="-3"/>
        </w:rPr>
        <w:t xml:space="preserve">que se </w:t>
      </w:r>
      <w:r w:rsidR="00007F0C" w:rsidRPr="00BD1319">
        <w:rPr>
          <w:spacing w:val="-3"/>
        </w:rPr>
        <w:t>plante</w:t>
      </w:r>
      <w:r w:rsidR="0004707D" w:rsidRPr="00BD1319">
        <w:rPr>
          <w:spacing w:val="-3"/>
        </w:rPr>
        <w:t>e ejecutar</w:t>
      </w:r>
      <w:r w:rsidRPr="00BD1319">
        <w:rPr>
          <w:spacing w:val="-3"/>
        </w:rPr>
        <w:t>,</w:t>
      </w:r>
      <w:r w:rsidRPr="00BD1319">
        <w:rPr>
          <w:rFonts w:cs="Arial"/>
          <w:spacing w:val="-3"/>
        </w:rPr>
        <w:t xml:space="preserve"> </w:t>
      </w:r>
      <w:r w:rsidR="00007F0C" w:rsidRPr="00BD1319">
        <w:rPr>
          <w:rFonts w:cs="Arial"/>
          <w:spacing w:val="-3"/>
        </w:rPr>
        <w:t xml:space="preserve">se debe buscar </w:t>
      </w:r>
      <w:r w:rsidRPr="00BD1319">
        <w:rPr>
          <w:spacing w:val="-3"/>
        </w:rPr>
        <w:t>que las medidas de manejo preventivas se diri</w:t>
      </w:r>
      <w:r w:rsidR="00007F0C" w:rsidRPr="00BD1319">
        <w:rPr>
          <w:spacing w:val="-3"/>
        </w:rPr>
        <w:t>jan</w:t>
      </w:r>
      <w:r w:rsidRPr="00BD1319">
        <w:rPr>
          <w:spacing w:val="-3"/>
        </w:rPr>
        <w:t xml:space="preserve"> hacia los impactos </w:t>
      </w:r>
      <w:r w:rsidR="0007637F" w:rsidRPr="00BD1319">
        <w:rPr>
          <w:spacing w:val="-3"/>
        </w:rPr>
        <w:t xml:space="preserve">con mayor potencial de alteración </w:t>
      </w:r>
      <w:r w:rsidR="008B4E79" w:rsidRPr="00BD1319">
        <w:rPr>
          <w:spacing w:val="-3"/>
        </w:rPr>
        <w:t>negativa,</w:t>
      </w:r>
      <w:r w:rsidR="0007637F" w:rsidRPr="00BD1319">
        <w:rPr>
          <w:spacing w:val="-3"/>
        </w:rPr>
        <w:t xml:space="preserve"> </w:t>
      </w:r>
      <w:r w:rsidR="00A02F5A" w:rsidRPr="00BD1319">
        <w:rPr>
          <w:spacing w:val="-3"/>
        </w:rPr>
        <w:t>así como a los</w:t>
      </w:r>
      <w:r w:rsidRPr="00BD1319">
        <w:rPr>
          <w:spacing w:val="-3"/>
        </w:rPr>
        <w:t xml:space="preserve"> irreversibles, que las </w:t>
      </w:r>
      <w:r w:rsidR="0004707D" w:rsidRPr="00BD1319">
        <w:rPr>
          <w:spacing w:val="-3"/>
        </w:rPr>
        <w:t xml:space="preserve">medidas </w:t>
      </w:r>
      <w:r w:rsidRPr="00BD1319">
        <w:rPr>
          <w:spacing w:val="-3"/>
        </w:rPr>
        <w:t xml:space="preserve">de compensación </w:t>
      </w:r>
      <w:r w:rsidR="00007F0C" w:rsidRPr="00BD1319">
        <w:rPr>
          <w:spacing w:val="-3"/>
        </w:rPr>
        <w:t xml:space="preserve">se </w:t>
      </w:r>
      <w:r w:rsidRPr="00BD1319">
        <w:rPr>
          <w:spacing w:val="-3"/>
        </w:rPr>
        <w:t>orient</w:t>
      </w:r>
      <w:r w:rsidR="00007F0C" w:rsidRPr="00BD1319">
        <w:rPr>
          <w:spacing w:val="-3"/>
        </w:rPr>
        <w:t xml:space="preserve">en </w:t>
      </w:r>
      <w:r w:rsidRPr="00BD1319">
        <w:rPr>
          <w:spacing w:val="-3"/>
        </w:rPr>
        <w:t xml:space="preserve">hacia </w:t>
      </w:r>
      <w:r w:rsidR="00007F0C" w:rsidRPr="00BD1319">
        <w:rPr>
          <w:spacing w:val="-3"/>
        </w:rPr>
        <w:t xml:space="preserve">los </w:t>
      </w:r>
      <w:r w:rsidRPr="00BD1319">
        <w:rPr>
          <w:spacing w:val="-3"/>
        </w:rPr>
        <w:t>impactos menos perjudiciales</w:t>
      </w:r>
      <w:r w:rsidR="0004707D" w:rsidRPr="00BD1319">
        <w:rPr>
          <w:spacing w:val="-3"/>
        </w:rPr>
        <w:t>,</w:t>
      </w:r>
      <w:r w:rsidRPr="00BD1319">
        <w:rPr>
          <w:spacing w:val="-3"/>
        </w:rPr>
        <w:t xml:space="preserve"> y</w:t>
      </w:r>
      <w:r w:rsidR="0004707D" w:rsidRPr="00BD1319">
        <w:rPr>
          <w:spacing w:val="-3"/>
        </w:rPr>
        <w:t xml:space="preserve"> que</w:t>
      </w:r>
      <w:r w:rsidRPr="00BD1319">
        <w:rPr>
          <w:spacing w:val="-3"/>
        </w:rPr>
        <w:t xml:space="preserve"> las medidas de mitigación y corrección, se </w:t>
      </w:r>
      <w:r w:rsidR="00007F0C" w:rsidRPr="00BD1319">
        <w:rPr>
          <w:spacing w:val="-3"/>
        </w:rPr>
        <w:t>enfoquen en el</w:t>
      </w:r>
      <w:r w:rsidRPr="00BD1319">
        <w:rPr>
          <w:spacing w:val="-3"/>
        </w:rPr>
        <w:t xml:space="preserve"> manej</w:t>
      </w:r>
      <w:r w:rsidR="00007F0C" w:rsidRPr="00BD1319">
        <w:rPr>
          <w:spacing w:val="-3"/>
        </w:rPr>
        <w:t>o de</w:t>
      </w:r>
      <w:r w:rsidRPr="00BD1319">
        <w:rPr>
          <w:spacing w:val="-3"/>
        </w:rPr>
        <w:t xml:space="preserve"> impactos con una condición intermedia</w:t>
      </w:r>
      <w:r w:rsidRPr="00BD1319">
        <w:rPr>
          <w:rFonts w:cs="Arial"/>
          <w:spacing w:val="-3"/>
        </w:rPr>
        <w:t>.</w:t>
      </w:r>
    </w:p>
    <w:p w14:paraId="0D14A2F3" w14:textId="77777777" w:rsidR="00D277E7" w:rsidRPr="00BD1319" w:rsidRDefault="00D277E7" w:rsidP="00D277E7">
      <w:pPr>
        <w:numPr>
          <w:ilvl w:val="12"/>
          <w:numId w:val="0"/>
        </w:numPr>
        <w:tabs>
          <w:tab w:val="left" w:pos="-2268"/>
        </w:tabs>
        <w:suppressAutoHyphens/>
        <w:rPr>
          <w:rFonts w:cs="Arial"/>
          <w:spacing w:val="-3"/>
        </w:rPr>
      </w:pPr>
    </w:p>
    <w:p w14:paraId="363C0993" w14:textId="6DA8EA72" w:rsidR="00611009" w:rsidRPr="00BD1319" w:rsidRDefault="00E45CEA" w:rsidP="00E45CEA">
      <w:pPr>
        <w:pStyle w:val="Descripcin"/>
        <w:jc w:val="center"/>
        <w:rPr>
          <w:b w:val="0"/>
          <w:bCs w:val="0"/>
        </w:rPr>
      </w:pPr>
      <w:bookmarkStart w:id="1935" w:name="_Ref81910178"/>
      <w:r w:rsidRPr="00BD1319">
        <w:t xml:space="preserve">Figura </w:t>
      </w:r>
      <w:fldSimple w:instr=" SEQ Figura \* ARABIC ">
        <w:r w:rsidR="00296654" w:rsidRPr="00BD1319">
          <w:rPr>
            <w:noProof/>
          </w:rPr>
          <w:t>1</w:t>
        </w:r>
      </w:fldSimple>
      <w:bookmarkEnd w:id="1935"/>
      <w:r w:rsidR="00611009" w:rsidRPr="00BD1319">
        <w:t>.</w:t>
      </w:r>
      <w:r w:rsidR="00611009" w:rsidRPr="00BD1319">
        <w:rPr>
          <w:b w:val="0"/>
        </w:rPr>
        <w:t xml:space="preserve"> </w:t>
      </w:r>
      <w:r w:rsidR="00611009" w:rsidRPr="00BD1319">
        <w:rPr>
          <w:b w:val="0"/>
          <w:bCs w:val="0"/>
        </w:rPr>
        <w:t>Jerarquía de las medidas de manejo</w:t>
      </w:r>
    </w:p>
    <w:p w14:paraId="2F02DF24" w14:textId="1C5E1014" w:rsidR="00A344EC" w:rsidRPr="00BD1319" w:rsidRDefault="00EC0EAC" w:rsidP="00A344EC">
      <w:pPr>
        <w:keepNext/>
        <w:numPr>
          <w:ilvl w:val="12"/>
          <w:numId w:val="0"/>
        </w:numPr>
        <w:tabs>
          <w:tab w:val="left" w:pos="-2268"/>
        </w:tabs>
        <w:suppressAutoHyphens/>
        <w:jc w:val="center"/>
        <w:rPr>
          <w:rFonts w:cs="Arial"/>
        </w:rPr>
      </w:pPr>
      <w:r w:rsidRPr="00BD1319">
        <w:rPr>
          <w:rFonts w:cs="Arial"/>
          <w:noProof/>
          <w:spacing w:val="-3"/>
          <w:lang w:eastAsia="es-CO"/>
        </w:rPr>
        <mc:AlternateContent>
          <mc:Choice Requires="wpg">
            <w:drawing>
              <wp:anchor distT="0" distB="0" distL="114300" distR="114300" simplePos="0" relativeHeight="251658752" behindDoc="0" locked="0" layoutInCell="1" allowOverlap="1" wp14:anchorId="2D8CA44E" wp14:editId="455F4317">
                <wp:simplePos x="0" y="0"/>
                <wp:positionH relativeFrom="column">
                  <wp:posOffset>3329940</wp:posOffset>
                </wp:positionH>
                <wp:positionV relativeFrom="paragraph">
                  <wp:posOffset>150495</wp:posOffset>
                </wp:positionV>
                <wp:extent cx="1981835" cy="499745"/>
                <wp:effectExtent l="0" t="0" r="0" b="52705"/>
                <wp:wrapNone/>
                <wp:docPr id="4" name="23 Grupo"/>
                <wp:cNvGraphicFramePr/>
                <a:graphic xmlns:a="http://schemas.openxmlformats.org/drawingml/2006/main">
                  <a:graphicData uri="http://schemas.microsoft.com/office/word/2010/wordprocessingGroup">
                    <wpg:wgp>
                      <wpg:cNvGrpSpPr/>
                      <wpg:grpSpPr>
                        <a:xfrm>
                          <a:off x="0" y="0"/>
                          <a:ext cx="1981835" cy="499745"/>
                          <a:chOff x="2560733" y="285750"/>
                          <a:chExt cx="1648653" cy="500063"/>
                        </a:xfrm>
                      </wpg:grpSpPr>
                      <wps:wsp>
                        <wps:cNvPr id="19" name="24 CuadroTexto"/>
                        <wps:cNvSpPr txBox="1"/>
                        <wps:spPr>
                          <a:xfrm>
                            <a:off x="2560733" y="285750"/>
                            <a:ext cx="1648653" cy="308540"/>
                          </a:xfrm>
                          <a:prstGeom prst="rect">
                            <a:avLst/>
                          </a:prstGeom>
                          <a:solidFill>
                            <a:schemeClr val="lt1"/>
                          </a:solidFill>
                          <a:ln w="9525" cmpd="sng">
                            <a:noFill/>
                          </a:ln>
                        </wps:spPr>
                        <wps:style>
                          <a:lnRef idx="0">
                            <a:scrgbClr r="0" g="0" b="0"/>
                          </a:lnRef>
                          <a:fillRef idx="0">
                            <a:scrgbClr r="0" g="0" b="0"/>
                          </a:fillRef>
                          <a:effectRef idx="0">
                            <a:scrgbClr r="0" g="0" b="0"/>
                          </a:effectRef>
                          <a:fontRef idx="minor">
                            <a:schemeClr val="dk1"/>
                          </a:fontRef>
                        </wps:style>
                        <wps:txbx>
                          <w:txbxContent>
                            <w:p w14:paraId="549A1F39" w14:textId="77777777" w:rsidR="00D55F13" w:rsidRPr="00394D50" w:rsidRDefault="00D55F13" w:rsidP="00EC0EAC">
                              <w:pPr>
                                <w:pStyle w:val="NormalWeb"/>
                                <w:spacing w:before="0" w:after="0"/>
                                <w:jc w:val="center"/>
                                <w:rPr>
                                  <w:rFonts w:asciiTheme="minorHAnsi" w:hAnsiTheme="minorHAnsi" w:cstheme="minorHAnsi"/>
                                  <w:sz w:val="18"/>
                                  <w:szCs w:val="18"/>
                                </w:rPr>
                              </w:pPr>
                              <w:r w:rsidRPr="00394D50">
                                <w:rPr>
                                  <w:rFonts w:asciiTheme="minorHAnsi" w:hAnsiTheme="minorHAnsi" w:cstheme="minorHAnsi"/>
                                  <w:color w:val="000000" w:themeColor="dark1"/>
                                  <w:sz w:val="18"/>
                                  <w:szCs w:val="18"/>
                                </w:rPr>
                                <w:t>En otro lugar o categoría ambiental</w:t>
                              </w:r>
                            </w:p>
                          </w:txbxContent>
                        </wps:txbx>
                        <wps:bodyPr wrap="square" lIns="0" tIns="0" rIns="0" bIns="0" rtlCol="0" anchor="ctr" anchorCtr="1"/>
                      </wps:wsp>
                      <wps:wsp>
                        <wps:cNvPr id="21" name="25 Conector recto de flecha"/>
                        <wps:cNvCnPr/>
                        <wps:spPr>
                          <a:xfrm flipH="1">
                            <a:off x="3173011" y="594290"/>
                            <a:ext cx="180810" cy="191523"/>
                          </a:xfrm>
                          <a:prstGeom prst="straightConnector1">
                            <a:avLst/>
                          </a:prstGeom>
                          <a:ln>
                            <a:solidFill>
                              <a:srgbClr val="0070C0"/>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anchor>
            </w:drawing>
          </mc:Choice>
          <mc:Fallback>
            <w:pict>
              <v:group w14:anchorId="2D8CA44E" id="23 Grupo" o:spid="_x0000_s1026" style="position:absolute;left:0;text-align:left;margin-left:262.2pt;margin-top:11.85pt;width:156.05pt;height:39.35pt;z-index:251658752;mso-width-relative:margin" coordorigin="25607,2857" coordsize="16486,5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">
                <v:shapetype id="_x0000_t202" coordsize="21600,21600" o:spt="202" path="m,l,21600r21600,l21600,xe">
                  <v:stroke joinstyle="miter"/>
                  <v:path gradientshapeok="t" o:connecttype="rect"/>
                </v:shapetype>
                <v:shape id="24 CuadroTexto" o:spid="_x0000_s1027" type="#_x0000_t202" style="position:absolute;left:25607;top:2857;width:16486;height:3085;visibility:visible;mso-wrap-style:square;v-text-anchor:middle-center"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" fillcolor="white [3201]" stroked="f">
                  <v:textbox inset="0,0,0,0">
                    <w:txbxContent>
                      <w:p w14:paraId="549A1F39" w14:textId="77777777" w:rsidR="00D55F13" w:rsidRPr="00394D50" w:rsidRDefault="00D55F13" w:rsidP="00EC0EAC">
                        <w:pPr>
                          <w:pStyle w:val="NormalWeb"/>
                          <w:spacing w:before="0" w:after="0"/>
                          <w:jc w:val="center"/>
                          <w:rPr>
                            <w:rFonts w:asciiTheme="minorHAnsi" w:hAnsiTheme="minorHAnsi" w:cstheme="minorHAnsi"/>
                            <w:sz w:val="18"/>
                            <w:szCs w:val="18"/>
                          </w:rPr>
                        </w:pPr>
                        <w:r w:rsidRPr="00394D50">
                          <w:rPr>
                            <w:rFonts w:asciiTheme="minorHAnsi" w:hAnsiTheme="minorHAnsi" w:cstheme="minorHAnsi"/>
                            <w:color w:val="000000" w:themeColor="dark1"/>
                            <w:sz w:val="18"/>
                            <w:szCs w:val="18"/>
                          </w:rPr>
                          <w:t>En otro lugar o categoría ambiental</w:t>
                        </w:r>
                      </w:p>
                    </w:txbxContent>
                  </v:textbox>
                </v:shape>
                <v:shapetype id="_x0000_t32" coordsize="21600,21600" o:spt="32" o:oned="t" path="m,l21600,21600e" filled="f">
                  <v:path arrowok="t" fillok="f" o:connecttype="none"/>
                  <o:lock v:ext="edit" shapetype="t"/>
                </v:shapetype>
                <v:shape id="25 Conector recto de flecha" o:spid="_x0000_s1028" type="#_x0000_t32" style="position:absolute;left:31730;top:5942;width:1808;height:191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" strokecolor="#0070c0">
                  <v:stroke endarrow="block"/>
                </v:shape>
              </v:group>
            </w:pict>
          </mc:Fallback>
        </mc:AlternateContent>
      </w:r>
      <w:r w:rsidR="00A344EC" w:rsidRPr="00BD1319">
        <w:rPr>
          <w:noProof/>
          <w:color w:val="000000"/>
          <w:lang w:eastAsia="es-CO"/>
        </w:rPr>
        <mc:AlternateContent>
          <mc:Choice Requires="wpg">
            <w:drawing>
              <wp:inline distT="0" distB="0" distL="0" distR="0" wp14:anchorId="1F65E127" wp14:editId="5F570093">
                <wp:extent cx="4914900" cy="2913321"/>
                <wp:effectExtent l="0" t="0" r="19050" b="20955"/>
                <wp:docPr id="1909706198" name="Group 358"/>
                <wp:cNvGraphicFramePr/>
                <a:graphic xmlns:a="http://schemas.openxmlformats.org/drawingml/2006/main">
                  <a:graphicData uri="http://schemas.microsoft.com/office/word/2010/wordprocessingGroup">
                    <wpg:wgp>
                      <wpg:cNvGrpSpPr/>
                      <wpg:grpSpPr>
                        <a:xfrm>
                          <a:off x="0" y="0"/>
                          <a:ext cx="4914900" cy="2913321"/>
                          <a:chOff x="491253" y="0"/>
                          <a:chExt cx="5173178" cy="2831313"/>
                        </a:xfrm>
                      </wpg:grpSpPr>
                      <wps:wsp>
                        <wps:cNvPr id="1909706200" name="Shape 9"/>
                        <wps:cNvSpPr/>
                        <wps:spPr>
                          <a:xfrm>
                            <a:off x="491253" y="0"/>
                            <a:ext cx="5173178" cy="2831313"/>
                          </a:xfrm>
                          <a:custGeom>
                            <a:avLst/>
                            <a:gdLst/>
                            <a:ahLst/>
                            <a:cxnLst/>
                            <a:rect l="0" t="0" r="0" b="0"/>
                            <a:pathLst>
                              <a:path w="6287351" h="2831313">
                                <a:moveTo>
                                  <a:pt x="72034" y="0"/>
                                </a:moveTo>
                                <a:cubicBezTo>
                                  <a:pt x="72034" y="0"/>
                                  <a:pt x="0" y="0"/>
                                  <a:pt x="0" y="71984"/>
                                </a:cubicBezTo>
                                <a:lnTo>
                                  <a:pt x="0" y="2759329"/>
                                </a:lnTo>
                                <a:cubicBezTo>
                                  <a:pt x="0" y="2759329"/>
                                  <a:pt x="0" y="2831313"/>
                                  <a:pt x="72034" y="2831313"/>
                                </a:cubicBezTo>
                                <a:lnTo>
                                  <a:pt x="6215317" y="2831313"/>
                                </a:lnTo>
                                <a:cubicBezTo>
                                  <a:pt x="6215317" y="2831313"/>
                                  <a:pt x="6287351" y="2831313"/>
                                  <a:pt x="6287351" y="2759329"/>
                                </a:cubicBezTo>
                                <a:lnTo>
                                  <a:pt x="6287351" y="71984"/>
                                </a:lnTo>
                                <a:cubicBezTo>
                                  <a:pt x="6287351" y="71984"/>
                                  <a:pt x="6287351" y="0"/>
                                  <a:pt x="6215317" y="0"/>
                                </a:cubicBezTo>
                                <a:close/>
                              </a:path>
                            </a:pathLst>
                          </a:custGeom>
                          <a:ln w="12700" cap="flat">
                            <a:miter lim="100000"/>
                          </a:ln>
                        </wps:spPr>
                        <wps:style>
                          <a:lnRef idx="1">
                            <a:srgbClr val="2B2B2A"/>
                          </a:lnRef>
                          <a:fillRef idx="0">
                            <a:srgbClr val="000000">
                              <a:alpha val="0"/>
                            </a:srgbClr>
                          </a:fillRef>
                          <a:effectRef idx="0">
                            <a:scrgbClr r="0" g="0" b="0"/>
                          </a:effectRef>
                          <a:fontRef idx="none"/>
                        </wps:style>
                        <wps:bodyPr/>
                      </wps:wsp>
                      <wps:wsp>
                        <wps:cNvPr id="714449732" name="Rectangle 51"/>
                        <wps:cNvSpPr/>
                        <wps:spPr>
                          <a:xfrm>
                            <a:off x="4464478" y="2231069"/>
                            <a:ext cx="825494" cy="176960"/>
                          </a:xfrm>
                          <a:prstGeom prst="rect">
                            <a:avLst/>
                          </a:prstGeom>
                          <a:ln>
                            <a:noFill/>
                          </a:ln>
                        </wps:spPr>
                        <wps:txbx>
                          <w:txbxContent>
                            <w:p w14:paraId="2ABB5600" w14:textId="77777777" w:rsidR="00D55F13" w:rsidRPr="00394D50" w:rsidRDefault="00D55F13" w:rsidP="00A344EC">
                              <w:pPr>
                                <w:spacing w:after="160"/>
                                <w:rPr>
                                  <w:rFonts w:asciiTheme="minorHAnsi" w:hAnsiTheme="minorHAnsi" w:cstheme="minorHAnsi"/>
                                </w:rPr>
                              </w:pPr>
                              <w:r w:rsidRPr="00394D50">
                                <w:rPr>
                                  <w:rFonts w:asciiTheme="minorHAnsi" w:hAnsiTheme="minorHAnsi" w:cstheme="minorHAnsi"/>
                                  <w:w w:val="109"/>
                                  <w:sz w:val="18"/>
                                </w:rPr>
                                <w:t>I.</w:t>
                              </w:r>
                              <w:r w:rsidRPr="00394D50">
                                <w:rPr>
                                  <w:rFonts w:asciiTheme="minorHAnsi" w:hAnsiTheme="minorHAnsi" w:cstheme="minorHAnsi"/>
                                  <w:spacing w:val="-10"/>
                                  <w:w w:val="109"/>
                                  <w:sz w:val="18"/>
                                </w:rPr>
                                <w:t xml:space="preserve"> </w:t>
                              </w:r>
                              <w:r w:rsidRPr="00394D50">
                                <w:rPr>
                                  <w:rFonts w:asciiTheme="minorHAnsi" w:hAnsiTheme="minorHAnsi" w:cstheme="minorHAnsi"/>
                                  <w:w w:val="109"/>
                                  <w:sz w:val="18"/>
                                </w:rPr>
                                <w:t>Corregido</w:t>
                              </w:r>
                            </w:p>
                          </w:txbxContent>
                        </wps:txbx>
                        <wps:bodyPr horzOverflow="overflow" vert="horz" lIns="0" tIns="0" rIns="0" bIns="0" rtlCol="0">
                          <a:noAutofit/>
                        </wps:bodyPr>
                      </wps:wsp>
                      <wps:wsp>
                        <wps:cNvPr id="714449730" name="Rectangle 49"/>
                        <wps:cNvSpPr/>
                        <wps:spPr>
                          <a:xfrm>
                            <a:off x="4464478" y="1798012"/>
                            <a:ext cx="657680" cy="176960"/>
                          </a:xfrm>
                          <a:prstGeom prst="rect">
                            <a:avLst/>
                          </a:prstGeom>
                          <a:ln>
                            <a:noFill/>
                          </a:ln>
                        </wps:spPr>
                        <wps:txbx>
                          <w:txbxContent>
                            <w:p w14:paraId="2277DBDA" w14:textId="6A21AFC1" w:rsidR="00D55F13" w:rsidRPr="00394D50" w:rsidRDefault="00D55F13" w:rsidP="00A344EC">
                              <w:pPr>
                                <w:spacing w:after="160"/>
                                <w:rPr>
                                  <w:rFonts w:asciiTheme="minorHAnsi" w:hAnsiTheme="minorHAnsi" w:cstheme="minorHAnsi"/>
                                </w:rPr>
                              </w:pPr>
                              <w:r w:rsidRPr="00394D50">
                                <w:rPr>
                                  <w:rFonts w:asciiTheme="minorHAnsi" w:hAnsiTheme="minorHAnsi" w:cstheme="minorHAnsi"/>
                                  <w:w w:val="111"/>
                                  <w:sz w:val="18"/>
                                </w:rPr>
                                <w:t>I.</w:t>
                              </w:r>
                              <w:r w:rsidRPr="00394D50">
                                <w:rPr>
                                  <w:rFonts w:asciiTheme="minorHAnsi" w:hAnsiTheme="minorHAnsi" w:cstheme="minorHAnsi"/>
                                  <w:spacing w:val="-13"/>
                                  <w:w w:val="111"/>
                                  <w:sz w:val="18"/>
                                </w:rPr>
                                <w:t xml:space="preserve"> </w:t>
                              </w:r>
                              <w:r w:rsidRPr="00394D50">
                                <w:rPr>
                                  <w:rFonts w:asciiTheme="minorHAnsi" w:hAnsiTheme="minorHAnsi" w:cstheme="minorHAnsi"/>
                                  <w:w w:val="111"/>
                                  <w:sz w:val="18"/>
                                </w:rPr>
                                <w:t>Prevenido</w:t>
                              </w:r>
                            </w:p>
                          </w:txbxContent>
                        </wps:txbx>
                        <wps:bodyPr horzOverflow="overflow" vert="horz" lIns="0" tIns="0" rIns="0" bIns="0" rtlCol="0">
                          <a:noAutofit/>
                        </wps:bodyPr>
                      </wps:wsp>
                      <wps:wsp>
                        <wps:cNvPr id="1909706201" name="Shape 11"/>
                        <wps:cNvSpPr/>
                        <wps:spPr>
                          <a:xfrm>
                            <a:off x="2068970" y="933844"/>
                            <a:ext cx="211226" cy="1451077"/>
                          </a:xfrm>
                          <a:custGeom>
                            <a:avLst/>
                            <a:gdLst/>
                            <a:ahLst/>
                            <a:cxnLst/>
                            <a:rect l="0" t="0" r="0" b="0"/>
                            <a:pathLst>
                              <a:path w="211226" h="1451077">
                                <a:moveTo>
                                  <a:pt x="0" y="0"/>
                                </a:moveTo>
                                <a:lnTo>
                                  <a:pt x="211226" y="0"/>
                                </a:lnTo>
                                <a:lnTo>
                                  <a:pt x="211226" y="1345463"/>
                                </a:lnTo>
                                <a:cubicBezTo>
                                  <a:pt x="211226" y="1403756"/>
                                  <a:pt x="163957" y="1451077"/>
                                  <a:pt x="105613" y="1451077"/>
                                </a:cubicBezTo>
                                <a:cubicBezTo>
                                  <a:pt x="47269" y="1451077"/>
                                  <a:pt x="0" y="1403756"/>
                                  <a:pt x="0" y="1345463"/>
                                </a:cubicBez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909706202" name="Shape 12"/>
                        <wps:cNvSpPr/>
                        <wps:spPr>
                          <a:xfrm>
                            <a:off x="2068970" y="933844"/>
                            <a:ext cx="211226" cy="1451077"/>
                          </a:xfrm>
                          <a:custGeom>
                            <a:avLst/>
                            <a:gdLst/>
                            <a:ahLst/>
                            <a:cxnLst/>
                            <a:rect l="0" t="0" r="0" b="0"/>
                            <a:pathLst>
                              <a:path w="211226" h="1451077">
                                <a:moveTo>
                                  <a:pt x="105613" y="1451077"/>
                                </a:moveTo>
                                <a:cubicBezTo>
                                  <a:pt x="47269" y="1451077"/>
                                  <a:pt x="0" y="1403756"/>
                                  <a:pt x="0" y="1345463"/>
                                </a:cubicBezTo>
                                <a:lnTo>
                                  <a:pt x="0" y="0"/>
                                </a:lnTo>
                                <a:lnTo>
                                  <a:pt x="211226" y="0"/>
                                </a:lnTo>
                                <a:lnTo>
                                  <a:pt x="211226" y="1345463"/>
                                </a:lnTo>
                                <a:cubicBezTo>
                                  <a:pt x="211226" y="1403756"/>
                                  <a:pt x="163957" y="1451077"/>
                                  <a:pt x="105613" y="1451077"/>
                                </a:cubicBezTo>
                                <a:close/>
                              </a:path>
                            </a:pathLst>
                          </a:custGeom>
                          <a:ln w="12700" cap="flat">
                            <a:miter lim="127000"/>
                          </a:ln>
                        </wps:spPr>
                        <wps:style>
                          <a:lnRef idx="1">
                            <a:srgbClr val="85A62A"/>
                          </a:lnRef>
                          <a:fillRef idx="0">
                            <a:srgbClr val="000000">
                              <a:alpha val="0"/>
                            </a:srgbClr>
                          </a:fillRef>
                          <a:effectRef idx="0">
                            <a:scrgbClr r="0" g="0" b="0"/>
                          </a:effectRef>
                          <a:fontRef idx="none"/>
                        </wps:style>
                        <wps:bodyPr/>
                      </wps:wsp>
                      <wps:wsp>
                        <wps:cNvPr id="1909706203" name="Shape 14"/>
                        <wps:cNvSpPr/>
                        <wps:spPr>
                          <a:xfrm>
                            <a:off x="2068970" y="953795"/>
                            <a:ext cx="211226" cy="725488"/>
                          </a:xfrm>
                          <a:custGeom>
                            <a:avLst/>
                            <a:gdLst/>
                            <a:ahLst/>
                            <a:cxnLst/>
                            <a:rect l="0" t="0" r="0" b="0"/>
                            <a:pathLst>
                              <a:path w="211226" h="725488">
                                <a:moveTo>
                                  <a:pt x="0" y="0"/>
                                </a:moveTo>
                                <a:lnTo>
                                  <a:pt x="211226" y="0"/>
                                </a:lnTo>
                                <a:lnTo>
                                  <a:pt x="211226" y="619862"/>
                                </a:lnTo>
                                <a:cubicBezTo>
                                  <a:pt x="211226" y="678206"/>
                                  <a:pt x="163957" y="725488"/>
                                  <a:pt x="105613" y="725488"/>
                                </a:cubicBezTo>
                                <a:cubicBezTo>
                                  <a:pt x="47269" y="725488"/>
                                  <a:pt x="0" y="678206"/>
                                  <a:pt x="0" y="619862"/>
                                </a:cubicBezTo>
                                <a:lnTo>
                                  <a:pt x="0" y="0"/>
                                </a:lnTo>
                                <a:close/>
                              </a:path>
                            </a:pathLst>
                          </a:custGeom>
                          <a:ln w="0" cap="flat">
                            <a:miter lim="127000"/>
                          </a:ln>
                        </wps:spPr>
                        <wps:style>
                          <a:lnRef idx="0">
                            <a:srgbClr val="000000">
                              <a:alpha val="0"/>
                            </a:srgbClr>
                          </a:lnRef>
                          <a:fillRef idx="1">
                            <a:srgbClr val="85A62A"/>
                          </a:fillRef>
                          <a:effectRef idx="0">
                            <a:scrgbClr r="0" g="0" b="0"/>
                          </a:effectRef>
                          <a:fontRef idx="none"/>
                        </wps:style>
                        <wps:bodyPr/>
                      </wps:wsp>
                      <wps:wsp>
                        <wps:cNvPr id="1909706204" name="Shape 15"/>
                        <wps:cNvSpPr/>
                        <wps:spPr>
                          <a:xfrm>
                            <a:off x="2068970" y="933844"/>
                            <a:ext cx="211226" cy="491731"/>
                          </a:xfrm>
                          <a:custGeom>
                            <a:avLst/>
                            <a:gdLst/>
                            <a:ahLst/>
                            <a:cxnLst/>
                            <a:rect l="0" t="0" r="0" b="0"/>
                            <a:pathLst>
                              <a:path w="211226" h="491731">
                                <a:moveTo>
                                  <a:pt x="0" y="0"/>
                                </a:moveTo>
                                <a:lnTo>
                                  <a:pt x="211226" y="0"/>
                                </a:lnTo>
                                <a:lnTo>
                                  <a:pt x="211226" y="386118"/>
                                </a:lnTo>
                                <a:cubicBezTo>
                                  <a:pt x="211226" y="444411"/>
                                  <a:pt x="163957" y="491731"/>
                                  <a:pt x="105613" y="491731"/>
                                </a:cubicBezTo>
                                <a:cubicBezTo>
                                  <a:pt x="47269" y="491731"/>
                                  <a:pt x="0" y="444411"/>
                                  <a:pt x="0" y="386118"/>
                                </a:cubicBezTo>
                                <a:lnTo>
                                  <a:pt x="0" y="0"/>
                                </a:lnTo>
                                <a:close/>
                              </a:path>
                            </a:pathLst>
                          </a:custGeom>
                          <a:ln w="0" cap="flat">
                            <a:miter lim="127000"/>
                          </a:ln>
                        </wps:spPr>
                        <wps:style>
                          <a:lnRef idx="0">
                            <a:srgbClr val="000000">
                              <a:alpha val="0"/>
                            </a:srgbClr>
                          </a:lnRef>
                          <a:fillRef idx="1">
                            <a:srgbClr val="DBB175"/>
                          </a:fillRef>
                          <a:effectRef idx="0">
                            <a:scrgbClr r="0" g="0" b="0"/>
                          </a:effectRef>
                          <a:fontRef idx="none"/>
                        </wps:style>
                        <wps:bodyPr/>
                      </wps:wsp>
                      <wps:wsp>
                        <wps:cNvPr id="1909706205" name="Shape 16"/>
                        <wps:cNvSpPr/>
                        <wps:spPr>
                          <a:xfrm>
                            <a:off x="2068970" y="933844"/>
                            <a:ext cx="211226" cy="491731"/>
                          </a:xfrm>
                          <a:custGeom>
                            <a:avLst/>
                            <a:gdLst/>
                            <a:ahLst/>
                            <a:cxnLst/>
                            <a:rect l="0" t="0" r="0" b="0"/>
                            <a:pathLst>
                              <a:path w="211226" h="491731">
                                <a:moveTo>
                                  <a:pt x="105613" y="491731"/>
                                </a:moveTo>
                                <a:cubicBezTo>
                                  <a:pt x="47269" y="491731"/>
                                  <a:pt x="0" y="444411"/>
                                  <a:pt x="0" y="386118"/>
                                </a:cubicBezTo>
                                <a:lnTo>
                                  <a:pt x="0" y="0"/>
                                </a:lnTo>
                                <a:lnTo>
                                  <a:pt x="211226" y="0"/>
                                </a:lnTo>
                                <a:lnTo>
                                  <a:pt x="211226" y="386118"/>
                                </a:lnTo>
                                <a:cubicBezTo>
                                  <a:pt x="211226" y="444411"/>
                                  <a:pt x="163957" y="491731"/>
                                  <a:pt x="105613" y="491731"/>
                                </a:cubicBezTo>
                                <a:close/>
                              </a:path>
                            </a:pathLst>
                          </a:custGeom>
                          <a:ln w="12700" cap="flat">
                            <a:miter lim="127000"/>
                          </a:ln>
                        </wps:spPr>
                        <wps:style>
                          <a:lnRef idx="1">
                            <a:srgbClr val="CB923F"/>
                          </a:lnRef>
                          <a:fillRef idx="0">
                            <a:srgbClr val="000000">
                              <a:alpha val="0"/>
                            </a:srgbClr>
                          </a:fillRef>
                          <a:effectRef idx="0">
                            <a:scrgbClr r="0" g="0" b="0"/>
                          </a:effectRef>
                          <a:fontRef idx="none"/>
                        </wps:style>
                        <wps:bodyPr/>
                      </wps:wsp>
                      <wps:wsp>
                        <wps:cNvPr id="1909706206" name="Shape 18"/>
                        <wps:cNvSpPr/>
                        <wps:spPr>
                          <a:xfrm>
                            <a:off x="2068970" y="933895"/>
                            <a:ext cx="211226" cy="170713"/>
                          </a:xfrm>
                          <a:custGeom>
                            <a:avLst/>
                            <a:gdLst/>
                            <a:ahLst/>
                            <a:cxnLst/>
                            <a:rect l="0" t="0" r="0" b="0"/>
                            <a:pathLst>
                              <a:path w="211226" h="170713">
                                <a:moveTo>
                                  <a:pt x="0" y="0"/>
                                </a:moveTo>
                                <a:lnTo>
                                  <a:pt x="211226" y="0"/>
                                </a:lnTo>
                                <a:lnTo>
                                  <a:pt x="211226" y="65088"/>
                                </a:lnTo>
                                <a:cubicBezTo>
                                  <a:pt x="211226" y="123431"/>
                                  <a:pt x="163957" y="170713"/>
                                  <a:pt x="105613" y="170713"/>
                                </a:cubicBezTo>
                                <a:cubicBezTo>
                                  <a:pt x="47269" y="170713"/>
                                  <a:pt x="0" y="123431"/>
                                  <a:pt x="0" y="65088"/>
                                </a:cubicBezTo>
                                <a:lnTo>
                                  <a:pt x="0" y="0"/>
                                </a:lnTo>
                                <a:close/>
                              </a:path>
                            </a:pathLst>
                          </a:custGeom>
                          <a:ln w="0" cap="flat">
                            <a:miter lim="127000"/>
                          </a:ln>
                        </wps:spPr>
                        <wps:style>
                          <a:lnRef idx="0">
                            <a:srgbClr val="000000">
                              <a:alpha val="0"/>
                            </a:srgbClr>
                          </a:lnRef>
                          <a:fillRef idx="1">
                            <a:srgbClr val="AABD66"/>
                          </a:fillRef>
                          <a:effectRef idx="0">
                            <a:scrgbClr r="0" g="0" b="0"/>
                          </a:effectRef>
                          <a:fontRef idx="none"/>
                        </wps:style>
                        <wps:bodyPr/>
                      </wps:wsp>
                      <wps:wsp>
                        <wps:cNvPr id="1909706207" name="Shape 19"/>
                        <wps:cNvSpPr/>
                        <wps:spPr>
                          <a:xfrm>
                            <a:off x="2068970" y="933895"/>
                            <a:ext cx="211226" cy="170713"/>
                          </a:xfrm>
                          <a:custGeom>
                            <a:avLst/>
                            <a:gdLst/>
                            <a:ahLst/>
                            <a:cxnLst/>
                            <a:rect l="0" t="0" r="0" b="0"/>
                            <a:pathLst>
                              <a:path w="211226" h="170713">
                                <a:moveTo>
                                  <a:pt x="105613" y="170713"/>
                                </a:moveTo>
                                <a:cubicBezTo>
                                  <a:pt x="47269" y="170713"/>
                                  <a:pt x="0" y="123431"/>
                                  <a:pt x="0" y="65088"/>
                                </a:cubicBezTo>
                                <a:lnTo>
                                  <a:pt x="0" y="0"/>
                                </a:lnTo>
                                <a:lnTo>
                                  <a:pt x="211226" y="0"/>
                                </a:lnTo>
                                <a:lnTo>
                                  <a:pt x="211226" y="65088"/>
                                </a:lnTo>
                                <a:cubicBezTo>
                                  <a:pt x="211226" y="123431"/>
                                  <a:pt x="163957" y="170713"/>
                                  <a:pt x="105613" y="170713"/>
                                </a:cubicBezTo>
                                <a:close/>
                              </a:path>
                            </a:pathLst>
                          </a:custGeom>
                          <a:ln w="12700" cap="flat">
                            <a:miter lim="127000"/>
                          </a:ln>
                        </wps:spPr>
                        <wps:style>
                          <a:lnRef idx="1">
                            <a:srgbClr val="85A62A"/>
                          </a:lnRef>
                          <a:fillRef idx="0">
                            <a:srgbClr val="000000">
                              <a:alpha val="0"/>
                            </a:srgbClr>
                          </a:fillRef>
                          <a:effectRef idx="0">
                            <a:scrgbClr r="0" g="0" b="0"/>
                          </a:effectRef>
                          <a:fontRef idx="none"/>
                        </wps:style>
                        <wps:bodyPr/>
                      </wps:wsp>
                      <wps:wsp>
                        <wps:cNvPr id="38" name="Shape 21"/>
                        <wps:cNvSpPr/>
                        <wps:spPr>
                          <a:xfrm>
                            <a:off x="3698431" y="933895"/>
                            <a:ext cx="211188" cy="170713"/>
                          </a:xfrm>
                          <a:custGeom>
                            <a:avLst/>
                            <a:gdLst/>
                            <a:ahLst/>
                            <a:cxnLst/>
                            <a:rect l="0" t="0" r="0" b="0"/>
                            <a:pathLst>
                              <a:path w="211188" h="170713">
                                <a:moveTo>
                                  <a:pt x="0" y="0"/>
                                </a:moveTo>
                                <a:lnTo>
                                  <a:pt x="211188" y="0"/>
                                </a:lnTo>
                                <a:lnTo>
                                  <a:pt x="211188" y="65088"/>
                                </a:lnTo>
                                <a:cubicBezTo>
                                  <a:pt x="211188" y="123431"/>
                                  <a:pt x="163957" y="170713"/>
                                  <a:pt x="105575" y="170713"/>
                                </a:cubicBezTo>
                                <a:cubicBezTo>
                                  <a:pt x="47231" y="170713"/>
                                  <a:pt x="0" y="123431"/>
                                  <a:pt x="0" y="65088"/>
                                </a:cubicBezTo>
                                <a:lnTo>
                                  <a:pt x="0" y="0"/>
                                </a:lnTo>
                                <a:close/>
                              </a:path>
                            </a:pathLst>
                          </a:custGeom>
                          <a:ln w="0" cap="flat">
                            <a:miter lim="127000"/>
                          </a:ln>
                        </wps:spPr>
                        <wps:style>
                          <a:lnRef idx="0">
                            <a:srgbClr val="000000">
                              <a:alpha val="0"/>
                            </a:srgbClr>
                          </a:lnRef>
                          <a:fillRef idx="1">
                            <a:srgbClr val="CB923F"/>
                          </a:fillRef>
                          <a:effectRef idx="0">
                            <a:scrgbClr r="0" g="0" b="0"/>
                          </a:effectRef>
                          <a:fontRef idx="none"/>
                        </wps:style>
                        <wps:bodyPr/>
                      </wps:wsp>
                      <wps:wsp>
                        <wps:cNvPr id="39" name="Shape 22"/>
                        <wps:cNvSpPr/>
                        <wps:spPr>
                          <a:xfrm>
                            <a:off x="4049027" y="657974"/>
                            <a:ext cx="211239" cy="271564"/>
                          </a:xfrm>
                          <a:custGeom>
                            <a:avLst/>
                            <a:gdLst/>
                            <a:ahLst/>
                            <a:cxnLst/>
                            <a:rect l="0" t="0" r="0" b="0"/>
                            <a:pathLst>
                              <a:path w="211239" h="271564">
                                <a:moveTo>
                                  <a:pt x="105613" y="0"/>
                                </a:moveTo>
                                <a:cubicBezTo>
                                  <a:pt x="163957" y="0"/>
                                  <a:pt x="211239" y="47269"/>
                                  <a:pt x="211239" y="105613"/>
                                </a:cubicBezTo>
                                <a:lnTo>
                                  <a:pt x="211239" y="271564"/>
                                </a:lnTo>
                                <a:lnTo>
                                  <a:pt x="0" y="271564"/>
                                </a:lnTo>
                                <a:lnTo>
                                  <a:pt x="0" y="105613"/>
                                </a:lnTo>
                                <a:cubicBezTo>
                                  <a:pt x="0" y="47269"/>
                                  <a:pt x="47270" y="0"/>
                                  <a:pt x="105613" y="0"/>
                                </a:cubicBezTo>
                                <a:close/>
                              </a:path>
                            </a:pathLst>
                          </a:custGeom>
                          <a:ln w="0" cap="flat">
                            <a:miter lim="127000"/>
                          </a:ln>
                        </wps:spPr>
                        <wps:style>
                          <a:lnRef idx="0">
                            <a:srgbClr val="000000">
                              <a:alpha val="0"/>
                            </a:srgbClr>
                          </a:lnRef>
                          <a:fillRef idx="1">
                            <a:srgbClr val="F5CF80"/>
                          </a:fillRef>
                          <a:effectRef idx="0">
                            <a:scrgbClr r="0" g="0" b="0"/>
                          </a:effectRef>
                          <a:fontRef idx="none"/>
                        </wps:style>
                        <wps:bodyPr/>
                      </wps:wsp>
                      <wps:wsp>
                        <wps:cNvPr id="42" name="Shape 23"/>
                        <wps:cNvSpPr/>
                        <wps:spPr>
                          <a:xfrm>
                            <a:off x="1682902" y="933844"/>
                            <a:ext cx="211239" cy="1451077"/>
                          </a:xfrm>
                          <a:custGeom>
                            <a:avLst/>
                            <a:gdLst/>
                            <a:ahLst/>
                            <a:cxnLst/>
                            <a:rect l="0" t="0" r="0" b="0"/>
                            <a:pathLst>
                              <a:path w="211239" h="1451077">
                                <a:moveTo>
                                  <a:pt x="0" y="0"/>
                                </a:moveTo>
                                <a:lnTo>
                                  <a:pt x="211239" y="0"/>
                                </a:lnTo>
                                <a:lnTo>
                                  <a:pt x="211239" y="1345463"/>
                                </a:lnTo>
                                <a:cubicBezTo>
                                  <a:pt x="211239" y="1403756"/>
                                  <a:pt x="163957" y="1451077"/>
                                  <a:pt x="105626" y="1451077"/>
                                </a:cubicBezTo>
                                <a:cubicBezTo>
                                  <a:pt x="47282" y="1451077"/>
                                  <a:pt x="0" y="1403756"/>
                                  <a:pt x="0" y="1345463"/>
                                </a:cubicBez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44" name="Shape 24"/>
                        <wps:cNvSpPr/>
                        <wps:spPr>
                          <a:xfrm>
                            <a:off x="1682902" y="933844"/>
                            <a:ext cx="211239" cy="1451077"/>
                          </a:xfrm>
                          <a:custGeom>
                            <a:avLst/>
                            <a:gdLst/>
                            <a:ahLst/>
                            <a:cxnLst/>
                            <a:rect l="0" t="0" r="0" b="0"/>
                            <a:pathLst>
                              <a:path w="211239" h="1451077">
                                <a:moveTo>
                                  <a:pt x="105626" y="1451077"/>
                                </a:moveTo>
                                <a:cubicBezTo>
                                  <a:pt x="47282" y="1451077"/>
                                  <a:pt x="0" y="1403756"/>
                                  <a:pt x="0" y="1345463"/>
                                </a:cubicBezTo>
                                <a:lnTo>
                                  <a:pt x="0" y="0"/>
                                </a:lnTo>
                                <a:lnTo>
                                  <a:pt x="211239" y="0"/>
                                </a:lnTo>
                                <a:lnTo>
                                  <a:pt x="211239" y="1345463"/>
                                </a:lnTo>
                                <a:cubicBezTo>
                                  <a:pt x="211239" y="1403756"/>
                                  <a:pt x="163957" y="1451077"/>
                                  <a:pt x="105626" y="1451077"/>
                                </a:cubicBezTo>
                                <a:close/>
                              </a:path>
                            </a:pathLst>
                          </a:custGeom>
                          <a:ln w="12700" cap="flat">
                            <a:miter lim="127000"/>
                          </a:ln>
                        </wps:spPr>
                        <wps:style>
                          <a:lnRef idx="1">
                            <a:srgbClr val="85A62A"/>
                          </a:lnRef>
                          <a:fillRef idx="0">
                            <a:srgbClr val="000000">
                              <a:alpha val="0"/>
                            </a:srgbClr>
                          </a:fillRef>
                          <a:effectRef idx="0">
                            <a:scrgbClr r="0" g="0" b="0"/>
                          </a:effectRef>
                          <a:fontRef idx="none"/>
                        </wps:style>
                        <wps:bodyPr/>
                      </wps:wsp>
                      <wps:wsp>
                        <wps:cNvPr id="45" name="Shape 26"/>
                        <wps:cNvSpPr/>
                        <wps:spPr>
                          <a:xfrm>
                            <a:off x="1682902" y="953795"/>
                            <a:ext cx="211239" cy="725488"/>
                          </a:xfrm>
                          <a:custGeom>
                            <a:avLst/>
                            <a:gdLst/>
                            <a:ahLst/>
                            <a:cxnLst/>
                            <a:rect l="0" t="0" r="0" b="0"/>
                            <a:pathLst>
                              <a:path w="211239" h="725488">
                                <a:moveTo>
                                  <a:pt x="0" y="0"/>
                                </a:moveTo>
                                <a:lnTo>
                                  <a:pt x="211239" y="0"/>
                                </a:lnTo>
                                <a:lnTo>
                                  <a:pt x="211239" y="619862"/>
                                </a:lnTo>
                                <a:cubicBezTo>
                                  <a:pt x="211239" y="678206"/>
                                  <a:pt x="163957" y="725488"/>
                                  <a:pt x="105626" y="725488"/>
                                </a:cubicBezTo>
                                <a:cubicBezTo>
                                  <a:pt x="47282" y="725488"/>
                                  <a:pt x="0" y="678206"/>
                                  <a:pt x="0" y="619862"/>
                                </a:cubicBezTo>
                                <a:lnTo>
                                  <a:pt x="0" y="0"/>
                                </a:lnTo>
                                <a:close/>
                              </a:path>
                            </a:pathLst>
                          </a:custGeom>
                          <a:ln w="0" cap="flat">
                            <a:miter lim="127000"/>
                          </a:ln>
                        </wps:spPr>
                        <wps:style>
                          <a:lnRef idx="0">
                            <a:srgbClr val="000000">
                              <a:alpha val="0"/>
                            </a:srgbClr>
                          </a:lnRef>
                          <a:fillRef idx="1">
                            <a:srgbClr val="85A62A"/>
                          </a:fillRef>
                          <a:effectRef idx="0">
                            <a:scrgbClr r="0" g="0" b="0"/>
                          </a:effectRef>
                          <a:fontRef idx="none"/>
                        </wps:style>
                        <wps:bodyPr/>
                      </wps:wsp>
                      <wps:wsp>
                        <wps:cNvPr id="46" name="Shape 27"/>
                        <wps:cNvSpPr/>
                        <wps:spPr>
                          <a:xfrm>
                            <a:off x="814438" y="272707"/>
                            <a:ext cx="0" cy="2301774"/>
                          </a:xfrm>
                          <a:custGeom>
                            <a:avLst/>
                            <a:gdLst/>
                            <a:ahLst/>
                            <a:cxnLst/>
                            <a:rect l="0" t="0" r="0" b="0"/>
                            <a:pathLst>
                              <a:path h="2301774">
                                <a:moveTo>
                                  <a:pt x="0" y="0"/>
                                </a:moveTo>
                                <a:lnTo>
                                  <a:pt x="0" y="2301774"/>
                                </a:lnTo>
                              </a:path>
                            </a:pathLst>
                          </a:custGeom>
                          <a:ln w="9525" cap="rnd">
                            <a:miter lim="127000"/>
                          </a:ln>
                        </wps:spPr>
                        <wps:style>
                          <a:lnRef idx="1">
                            <a:srgbClr val="737372"/>
                          </a:lnRef>
                          <a:fillRef idx="0">
                            <a:srgbClr val="000000">
                              <a:alpha val="0"/>
                            </a:srgbClr>
                          </a:fillRef>
                          <a:effectRef idx="0">
                            <a:scrgbClr r="0" g="0" b="0"/>
                          </a:effectRef>
                          <a:fontRef idx="none"/>
                        </wps:style>
                        <wps:bodyPr/>
                      </wps:wsp>
                      <wps:wsp>
                        <wps:cNvPr id="47" name="Shape 28"/>
                        <wps:cNvSpPr/>
                        <wps:spPr>
                          <a:xfrm>
                            <a:off x="798322" y="261836"/>
                            <a:ext cx="32296" cy="29870"/>
                          </a:xfrm>
                          <a:custGeom>
                            <a:avLst/>
                            <a:gdLst/>
                            <a:ahLst/>
                            <a:cxnLst/>
                            <a:rect l="0" t="0" r="0" b="0"/>
                            <a:pathLst>
                              <a:path w="32296" h="29870">
                                <a:moveTo>
                                  <a:pt x="16116" y="0"/>
                                </a:moveTo>
                                <a:lnTo>
                                  <a:pt x="32296" y="16129"/>
                                </a:lnTo>
                                <a:lnTo>
                                  <a:pt x="32296" y="29870"/>
                                </a:lnTo>
                                <a:lnTo>
                                  <a:pt x="16116" y="13691"/>
                                </a:lnTo>
                                <a:lnTo>
                                  <a:pt x="0" y="29870"/>
                                </a:lnTo>
                                <a:lnTo>
                                  <a:pt x="0" y="16129"/>
                                </a:lnTo>
                                <a:lnTo>
                                  <a:pt x="16116" y="0"/>
                                </a:lnTo>
                                <a:close/>
                              </a:path>
                            </a:pathLst>
                          </a:custGeom>
                          <a:ln w="0" cap="rnd">
                            <a:miter lim="127000"/>
                          </a:ln>
                        </wps:spPr>
                        <wps:style>
                          <a:lnRef idx="0">
                            <a:srgbClr val="000000">
                              <a:alpha val="0"/>
                            </a:srgbClr>
                          </a:lnRef>
                          <a:fillRef idx="1">
                            <a:srgbClr val="737372"/>
                          </a:fillRef>
                          <a:effectRef idx="0">
                            <a:scrgbClr r="0" g="0" b="0"/>
                          </a:effectRef>
                          <a:fontRef idx="none"/>
                        </wps:style>
                        <wps:bodyPr/>
                      </wps:wsp>
                      <wps:wsp>
                        <wps:cNvPr id="48" name="Shape 29"/>
                        <wps:cNvSpPr/>
                        <wps:spPr>
                          <a:xfrm>
                            <a:off x="798322" y="2555481"/>
                            <a:ext cx="32296" cy="29858"/>
                          </a:xfrm>
                          <a:custGeom>
                            <a:avLst/>
                            <a:gdLst/>
                            <a:ahLst/>
                            <a:cxnLst/>
                            <a:rect l="0" t="0" r="0" b="0"/>
                            <a:pathLst>
                              <a:path w="32296" h="29858">
                                <a:moveTo>
                                  <a:pt x="0" y="0"/>
                                </a:moveTo>
                                <a:lnTo>
                                  <a:pt x="16116" y="16167"/>
                                </a:lnTo>
                                <a:lnTo>
                                  <a:pt x="32296" y="0"/>
                                </a:lnTo>
                                <a:lnTo>
                                  <a:pt x="32296" y="13741"/>
                                </a:lnTo>
                                <a:lnTo>
                                  <a:pt x="16116" y="29858"/>
                                </a:lnTo>
                                <a:lnTo>
                                  <a:pt x="0" y="13741"/>
                                </a:lnTo>
                                <a:lnTo>
                                  <a:pt x="0" y="0"/>
                                </a:lnTo>
                                <a:close/>
                              </a:path>
                            </a:pathLst>
                          </a:custGeom>
                          <a:ln w="0" cap="rnd">
                            <a:miter lim="127000"/>
                          </a:ln>
                        </wps:spPr>
                        <wps:style>
                          <a:lnRef idx="0">
                            <a:srgbClr val="000000">
                              <a:alpha val="0"/>
                            </a:srgbClr>
                          </a:lnRef>
                          <a:fillRef idx="1">
                            <a:srgbClr val="737372"/>
                          </a:fillRef>
                          <a:effectRef idx="0">
                            <a:scrgbClr r="0" g="0" b="0"/>
                          </a:effectRef>
                          <a:fontRef idx="none"/>
                        </wps:style>
                        <wps:bodyPr/>
                      </wps:wsp>
                      <wps:wsp>
                        <wps:cNvPr id="49" name="Rectangle 30"/>
                        <wps:cNvSpPr/>
                        <wps:spPr>
                          <a:xfrm rot="-5399999">
                            <a:off x="362674" y="1373723"/>
                            <a:ext cx="588792" cy="176960"/>
                          </a:xfrm>
                          <a:prstGeom prst="rect">
                            <a:avLst/>
                          </a:prstGeom>
                          <a:ln>
                            <a:noFill/>
                          </a:ln>
                        </wps:spPr>
                        <wps:txbx>
                          <w:txbxContent>
                            <w:p w14:paraId="4C2429B4" w14:textId="77777777" w:rsidR="00D55F13" w:rsidRPr="00394D50" w:rsidRDefault="00D55F13" w:rsidP="00A344EC">
                              <w:pPr>
                                <w:spacing w:after="160"/>
                                <w:rPr>
                                  <w:rFonts w:asciiTheme="minorHAnsi" w:hAnsiTheme="minorHAnsi" w:cstheme="minorHAnsi"/>
                                </w:rPr>
                              </w:pPr>
                              <w:r w:rsidRPr="00394D50">
                                <w:rPr>
                                  <w:rFonts w:asciiTheme="minorHAnsi" w:hAnsiTheme="minorHAnsi" w:cstheme="minorHAnsi"/>
                                  <w:sz w:val="18"/>
                                </w:rPr>
                                <w:t>Impacto</w:t>
                              </w:r>
                            </w:p>
                          </w:txbxContent>
                        </wps:txbx>
                        <wps:bodyPr horzOverflow="overflow" vert="horz" lIns="0" tIns="0" rIns="0" bIns="0" rtlCol="0">
                          <a:noAutofit/>
                        </wps:bodyPr>
                      </wps:wsp>
                      <wps:wsp>
                        <wps:cNvPr id="50" name="Shape 31"/>
                        <wps:cNvSpPr/>
                        <wps:spPr>
                          <a:xfrm>
                            <a:off x="917029" y="933844"/>
                            <a:ext cx="211290" cy="1451077"/>
                          </a:xfrm>
                          <a:custGeom>
                            <a:avLst/>
                            <a:gdLst/>
                            <a:ahLst/>
                            <a:cxnLst/>
                            <a:rect l="0" t="0" r="0" b="0"/>
                            <a:pathLst>
                              <a:path w="211290" h="1451077">
                                <a:moveTo>
                                  <a:pt x="0" y="0"/>
                                </a:moveTo>
                                <a:lnTo>
                                  <a:pt x="211290" y="0"/>
                                </a:lnTo>
                                <a:lnTo>
                                  <a:pt x="211290" y="1345463"/>
                                </a:lnTo>
                                <a:cubicBezTo>
                                  <a:pt x="211290" y="1403756"/>
                                  <a:pt x="163970" y="1451077"/>
                                  <a:pt x="105677" y="1451077"/>
                                </a:cubicBezTo>
                                <a:cubicBezTo>
                                  <a:pt x="47333" y="1451077"/>
                                  <a:pt x="0" y="1403756"/>
                                  <a:pt x="0" y="1345463"/>
                                </a:cubicBezTo>
                                <a:lnTo>
                                  <a:pt x="0" y="0"/>
                                </a:lnTo>
                                <a:close/>
                              </a:path>
                            </a:pathLst>
                          </a:custGeom>
                          <a:ln w="0" cap="flat">
                            <a:miter lim="127000"/>
                          </a:ln>
                        </wps:spPr>
                        <wps:style>
                          <a:lnRef idx="0">
                            <a:srgbClr val="000000">
                              <a:alpha val="0"/>
                            </a:srgbClr>
                          </a:lnRef>
                          <a:fillRef idx="1">
                            <a:srgbClr val="AABD66"/>
                          </a:fillRef>
                          <a:effectRef idx="0">
                            <a:scrgbClr r="0" g="0" b="0"/>
                          </a:effectRef>
                          <a:fontRef idx="none"/>
                        </wps:style>
                        <wps:bodyPr/>
                      </wps:wsp>
                      <wps:wsp>
                        <wps:cNvPr id="51" name="Shape 32"/>
                        <wps:cNvSpPr/>
                        <wps:spPr>
                          <a:xfrm>
                            <a:off x="917029" y="933844"/>
                            <a:ext cx="211290" cy="1451077"/>
                          </a:xfrm>
                          <a:custGeom>
                            <a:avLst/>
                            <a:gdLst/>
                            <a:ahLst/>
                            <a:cxnLst/>
                            <a:rect l="0" t="0" r="0" b="0"/>
                            <a:pathLst>
                              <a:path w="211290" h="1451077">
                                <a:moveTo>
                                  <a:pt x="105677" y="1451077"/>
                                </a:moveTo>
                                <a:cubicBezTo>
                                  <a:pt x="47333" y="1451077"/>
                                  <a:pt x="0" y="1403756"/>
                                  <a:pt x="0" y="1345463"/>
                                </a:cubicBezTo>
                                <a:lnTo>
                                  <a:pt x="0" y="0"/>
                                </a:lnTo>
                                <a:lnTo>
                                  <a:pt x="211290" y="0"/>
                                </a:lnTo>
                                <a:lnTo>
                                  <a:pt x="211290" y="1345463"/>
                                </a:lnTo>
                                <a:cubicBezTo>
                                  <a:pt x="211290" y="1403756"/>
                                  <a:pt x="163970" y="1451077"/>
                                  <a:pt x="105677" y="1451077"/>
                                </a:cubicBezTo>
                                <a:close/>
                              </a:path>
                            </a:pathLst>
                          </a:custGeom>
                          <a:ln w="12700" cap="flat">
                            <a:miter lim="127000"/>
                          </a:ln>
                        </wps:spPr>
                        <wps:style>
                          <a:lnRef idx="1">
                            <a:srgbClr val="85A62A"/>
                          </a:lnRef>
                          <a:fillRef idx="0">
                            <a:srgbClr val="000000">
                              <a:alpha val="0"/>
                            </a:srgbClr>
                          </a:fillRef>
                          <a:effectRef idx="0">
                            <a:scrgbClr r="0" g="0" b="0"/>
                          </a:effectRef>
                          <a:fontRef idx="none"/>
                        </wps:style>
                        <wps:bodyPr/>
                      </wps:wsp>
                      <wps:wsp>
                        <wps:cNvPr id="52" name="Shape 34"/>
                        <wps:cNvSpPr/>
                        <wps:spPr>
                          <a:xfrm>
                            <a:off x="1295311" y="933844"/>
                            <a:ext cx="211226" cy="1451077"/>
                          </a:xfrm>
                          <a:custGeom>
                            <a:avLst/>
                            <a:gdLst/>
                            <a:ahLst/>
                            <a:cxnLst/>
                            <a:rect l="0" t="0" r="0" b="0"/>
                            <a:pathLst>
                              <a:path w="211226" h="1451077">
                                <a:moveTo>
                                  <a:pt x="0" y="0"/>
                                </a:moveTo>
                                <a:lnTo>
                                  <a:pt x="211226" y="0"/>
                                </a:lnTo>
                                <a:lnTo>
                                  <a:pt x="211226" y="1345463"/>
                                </a:lnTo>
                                <a:cubicBezTo>
                                  <a:pt x="211226" y="1403756"/>
                                  <a:pt x="163957" y="1451077"/>
                                  <a:pt x="105613" y="1451077"/>
                                </a:cubicBezTo>
                                <a:cubicBezTo>
                                  <a:pt x="47269" y="1451077"/>
                                  <a:pt x="0" y="1403756"/>
                                  <a:pt x="0" y="1345463"/>
                                </a:cubicBez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53" name="Shape 35"/>
                        <wps:cNvSpPr/>
                        <wps:spPr>
                          <a:xfrm>
                            <a:off x="1295311" y="933844"/>
                            <a:ext cx="211226" cy="1451077"/>
                          </a:xfrm>
                          <a:custGeom>
                            <a:avLst/>
                            <a:gdLst/>
                            <a:ahLst/>
                            <a:cxnLst/>
                            <a:rect l="0" t="0" r="0" b="0"/>
                            <a:pathLst>
                              <a:path w="211226" h="1451077">
                                <a:moveTo>
                                  <a:pt x="105613" y="1451077"/>
                                </a:moveTo>
                                <a:cubicBezTo>
                                  <a:pt x="47269" y="1451077"/>
                                  <a:pt x="0" y="1403756"/>
                                  <a:pt x="0" y="1345463"/>
                                </a:cubicBezTo>
                                <a:lnTo>
                                  <a:pt x="0" y="0"/>
                                </a:lnTo>
                                <a:lnTo>
                                  <a:pt x="211226" y="0"/>
                                </a:lnTo>
                                <a:lnTo>
                                  <a:pt x="211226" y="1345463"/>
                                </a:lnTo>
                                <a:cubicBezTo>
                                  <a:pt x="211226" y="1403756"/>
                                  <a:pt x="163957" y="1451077"/>
                                  <a:pt x="105613" y="1451077"/>
                                </a:cubicBezTo>
                                <a:close/>
                              </a:path>
                            </a:pathLst>
                          </a:custGeom>
                          <a:ln w="12700" cap="flat">
                            <a:miter lim="127000"/>
                          </a:ln>
                        </wps:spPr>
                        <wps:style>
                          <a:lnRef idx="1">
                            <a:srgbClr val="85A62A"/>
                          </a:lnRef>
                          <a:fillRef idx="0">
                            <a:srgbClr val="000000">
                              <a:alpha val="0"/>
                            </a:srgbClr>
                          </a:fillRef>
                          <a:effectRef idx="0">
                            <a:scrgbClr r="0" g="0" b="0"/>
                          </a:effectRef>
                          <a:fontRef idx="none"/>
                        </wps:style>
                        <wps:bodyPr/>
                      </wps:wsp>
                      <wps:wsp>
                        <wps:cNvPr id="54" name="Shape 37"/>
                        <wps:cNvSpPr/>
                        <wps:spPr>
                          <a:xfrm>
                            <a:off x="1295311" y="933844"/>
                            <a:ext cx="211226" cy="725538"/>
                          </a:xfrm>
                          <a:custGeom>
                            <a:avLst/>
                            <a:gdLst/>
                            <a:ahLst/>
                            <a:cxnLst/>
                            <a:rect l="0" t="0" r="0" b="0"/>
                            <a:pathLst>
                              <a:path w="211226" h="725538">
                                <a:moveTo>
                                  <a:pt x="0" y="0"/>
                                </a:moveTo>
                                <a:lnTo>
                                  <a:pt x="211226" y="0"/>
                                </a:lnTo>
                                <a:lnTo>
                                  <a:pt x="211226" y="619925"/>
                                </a:lnTo>
                                <a:cubicBezTo>
                                  <a:pt x="211226" y="678269"/>
                                  <a:pt x="163957" y="725538"/>
                                  <a:pt x="105613" y="725538"/>
                                </a:cubicBezTo>
                                <a:cubicBezTo>
                                  <a:pt x="47269" y="725538"/>
                                  <a:pt x="0" y="678269"/>
                                  <a:pt x="0" y="619925"/>
                                </a:cubicBezTo>
                                <a:lnTo>
                                  <a:pt x="0" y="0"/>
                                </a:lnTo>
                                <a:close/>
                              </a:path>
                            </a:pathLst>
                          </a:custGeom>
                          <a:ln w="0" cap="flat">
                            <a:miter lim="127000"/>
                          </a:ln>
                        </wps:spPr>
                        <wps:style>
                          <a:lnRef idx="0">
                            <a:srgbClr val="000000">
                              <a:alpha val="0"/>
                            </a:srgbClr>
                          </a:lnRef>
                          <a:fillRef idx="1">
                            <a:srgbClr val="AABD66"/>
                          </a:fillRef>
                          <a:effectRef idx="0">
                            <a:scrgbClr r="0" g="0" b="0"/>
                          </a:effectRef>
                          <a:fontRef idx="none"/>
                        </wps:style>
                        <wps:bodyPr/>
                      </wps:wsp>
                      <wps:wsp>
                        <wps:cNvPr id="55" name="Shape 38"/>
                        <wps:cNvSpPr/>
                        <wps:spPr>
                          <a:xfrm>
                            <a:off x="1295311" y="933844"/>
                            <a:ext cx="211226" cy="725538"/>
                          </a:xfrm>
                          <a:custGeom>
                            <a:avLst/>
                            <a:gdLst/>
                            <a:ahLst/>
                            <a:cxnLst/>
                            <a:rect l="0" t="0" r="0" b="0"/>
                            <a:pathLst>
                              <a:path w="211226" h="725538">
                                <a:moveTo>
                                  <a:pt x="105613" y="725538"/>
                                </a:moveTo>
                                <a:cubicBezTo>
                                  <a:pt x="47269" y="725538"/>
                                  <a:pt x="0" y="678269"/>
                                  <a:pt x="0" y="619925"/>
                                </a:cubicBezTo>
                                <a:lnTo>
                                  <a:pt x="0" y="0"/>
                                </a:lnTo>
                                <a:lnTo>
                                  <a:pt x="211226" y="0"/>
                                </a:lnTo>
                                <a:lnTo>
                                  <a:pt x="211226" y="619925"/>
                                </a:lnTo>
                                <a:cubicBezTo>
                                  <a:pt x="211226" y="678269"/>
                                  <a:pt x="163957" y="725538"/>
                                  <a:pt x="105613" y="725538"/>
                                </a:cubicBezTo>
                                <a:close/>
                              </a:path>
                            </a:pathLst>
                          </a:custGeom>
                          <a:ln w="12700" cap="flat">
                            <a:miter lim="127000"/>
                          </a:ln>
                        </wps:spPr>
                        <wps:style>
                          <a:lnRef idx="1">
                            <a:srgbClr val="85A62A"/>
                          </a:lnRef>
                          <a:fillRef idx="0">
                            <a:srgbClr val="000000">
                              <a:alpha val="0"/>
                            </a:srgbClr>
                          </a:fillRef>
                          <a:effectRef idx="0">
                            <a:scrgbClr r="0" g="0" b="0"/>
                          </a:effectRef>
                          <a:fontRef idx="none"/>
                        </wps:style>
                        <wps:bodyPr/>
                      </wps:wsp>
                      <wps:wsp>
                        <wps:cNvPr id="56" name="Shape 40"/>
                        <wps:cNvSpPr/>
                        <wps:spPr>
                          <a:xfrm>
                            <a:off x="1682902" y="933844"/>
                            <a:ext cx="211239" cy="465988"/>
                          </a:xfrm>
                          <a:custGeom>
                            <a:avLst/>
                            <a:gdLst/>
                            <a:ahLst/>
                            <a:cxnLst/>
                            <a:rect l="0" t="0" r="0" b="0"/>
                            <a:pathLst>
                              <a:path w="211239" h="465988">
                                <a:moveTo>
                                  <a:pt x="0" y="0"/>
                                </a:moveTo>
                                <a:lnTo>
                                  <a:pt x="211239" y="0"/>
                                </a:lnTo>
                                <a:lnTo>
                                  <a:pt x="211239" y="360363"/>
                                </a:lnTo>
                                <a:cubicBezTo>
                                  <a:pt x="211239" y="418656"/>
                                  <a:pt x="163957" y="465988"/>
                                  <a:pt x="105626" y="465988"/>
                                </a:cubicBezTo>
                                <a:cubicBezTo>
                                  <a:pt x="47282" y="465988"/>
                                  <a:pt x="0" y="418656"/>
                                  <a:pt x="0" y="360363"/>
                                </a:cubicBezTo>
                                <a:lnTo>
                                  <a:pt x="0" y="0"/>
                                </a:lnTo>
                                <a:close/>
                              </a:path>
                            </a:pathLst>
                          </a:custGeom>
                          <a:ln w="0" cap="flat">
                            <a:miter lim="127000"/>
                          </a:ln>
                        </wps:spPr>
                        <wps:style>
                          <a:lnRef idx="0">
                            <a:srgbClr val="000000">
                              <a:alpha val="0"/>
                            </a:srgbClr>
                          </a:lnRef>
                          <a:fillRef idx="1">
                            <a:srgbClr val="AABD66"/>
                          </a:fillRef>
                          <a:effectRef idx="0">
                            <a:scrgbClr r="0" g="0" b="0"/>
                          </a:effectRef>
                          <a:fontRef idx="none"/>
                        </wps:style>
                        <wps:bodyPr/>
                      </wps:wsp>
                      <wps:wsp>
                        <wps:cNvPr id="57" name="Shape 41"/>
                        <wps:cNvSpPr/>
                        <wps:spPr>
                          <a:xfrm>
                            <a:off x="1682902" y="933844"/>
                            <a:ext cx="211239" cy="465988"/>
                          </a:xfrm>
                          <a:custGeom>
                            <a:avLst/>
                            <a:gdLst/>
                            <a:ahLst/>
                            <a:cxnLst/>
                            <a:rect l="0" t="0" r="0" b="0"/>
                            <a:pathLst>
                              <a:path w="211239" h="465988">
                                <a:moveTo>
                                  <a:pt x="105626" y="465988"/>
                                </a:moveTo>
                                <a:cubicBezTo>
                                  <a:pt x="47282" y="465988"/>
                                  <a:pt x="0" y="418656"/>
                                  <a:pt x="0" y="360363"/>
                                </a:cubicBezTo>
                                <a:lnTo>
                                  <a:pt x="0" y="0"/>
                                </a:lnTo>
                                <a:lnTo>
                                  <a:pt x="211239" y="0"/>
                                </a:lnTo>
                                <a:lnTo>
                                  <a:pt x="211239" y="360363"/>
                                </a:lnTo>
                                <a:cubicBezTo>
                                  <a:pt x="211239" y="418656"/>
                                  <a:pt x="163957" y="465988"/>
                                  <a:pt x="105626" y="465988"/>
                                </a:cubicBezTo>
                                <a:close/>
                              </a:path>
                            </a:pathLst>
                          </a:custGeom>
                          <a:ln w="12700" cap="flat">
                            <a:miter lim="127000"/>
                          </a:ln>
                        </wps:spPr>
                        <wps:style>
                          <a:lnRef idx="1">
                            <a:srgbClr val="85A62A"/>
                          </a:lnRef>
                          <a:fillRef idx="0">
                            <a:srgbClr val="000000">
                              <a:alpha val="0"/>
                            </a:srgbClr>
                          </a:fillRef>
                          <a:effectRef idx="0">
                            <a:scrgbClr r="0" g="0" b="0"/>
                          </a:effectRef>
                          <a:fontRef idx="none"/>
                        </wps:style>
                        <wps:bodyPr/>
                      </wps:wsp>
                      <wps:wsp>
                        <wps:cNvPr id="58" name="Rectangle 43"/>
                        <wps:cNvSpPr/>
                        <wps:spPr>
                          <a:xfrm>
                            <a:off x="2517129" y="953150"/>
                            <a:ext cx="1340055" cy="176960"/>
                          </a:xfrm>
                          <a:prstGeom prst="rect">
                            <a:avLst/>
                          </a:prstGeom>
                          <a:ln>
                            <a:noFill/>
                          </a:ln>
                        </wps:spPr>
                        <wps:txbx>
                          <w:txbxContent>
                            <w:p w14:paraId="2260CA97" w14:textId="77777777" w:rsidR="00D55F13" w:rsidRPr="00394D50" w:rsidRDefault="00D55F13" w:rsidP="00A344EC">
                              <w:pPr>
                                <w:spacing w:after="160"/>
                                <w:rPr>
                                  <w:rFonts w:asciiTheme="minorHAnsi" w:hAnsiTheme="minorHAnsi" w:cstheme="minorHAnsi"/>
                                </w:rPr>
                              </w:pPr>
                              <w:r w:rsidRPr="00394D50">
                                <w:rPr>
                                  <w:rFonts w:asciiTheme="minorHAnsi" w:hAnsiTheme="minorHAnsi" w:cstheme="minorHAnsi"/>
                                  <w:w w:val="109"/>
                                  <w:sz w:val="18"/>
                                </w:rPr>
                                <w:t>I.</w:t>
                              </w:r>
                              <w:r w:rsidRPr="00394D50">
                                <w:rPr>
                                  <w:rFonts w:asciiTheme="minorHAnsi" w:hAnsiTheme="minorHAnsi" w:cstheme="minorHAnsi"/>
                                  <w:spacing w:val="-13"/>
                                  <w:w w:val="109"/>
                                  <w:sz w:val="18"/>
                                </w:rPr>
                                <w:t xml:space="preserve"> </w:t>
                              </w:r>
                              <w:r w:rsidRPr="00394D50">
                                <w:rPr>
                                  <w:rFonts w:asciiTheme="minorHAnsi" w:hAnsiTheme="minorHAnsi" w:cstheme="minorHAnsi"/>
                                  <w:w w:val="109"/>
                                  <w:sz w:val="18"/>
                                </w:rPr>
                                <w:t>Residual</w:t>
                              </w:r>
                              <w:r w:rsidRPr="00394D50">
                                <w:rPr>
                                  <w:rFonts w:asciiTheme="minorHAnsi" w:hAnsiTheme="minorHAnsi" w:cstheme="minorHAnsi"/>
                                  <w:spacing w:val="20"/>
                                  <w:w w:val="109"/>
                                  <w:sz w:val="18"/>
                                </w:rPr>
                                <w:t xml:space="preserve"> </w:t>
                              </w:r>
                              <w:r w:rsidRPr="00394D50">
                                <w:rPr>
                                  <w:rFonts w:asciiTheme="minorHAnsi" w:hAnsiTheme="minorHAnsi" w:cstheme="minorHAnsi"/>
                                  <w:w w:val="109"/>
                                  <w:sz w:val="18"/>
                                </w:rPr>
                                <w:t>(objeto</w:t>
                              </w:r>
                              <w:r w:rsidRPr="00394D50">
                                <w:rPr>
                                  <w:rFonts w:asciiTheme="minorHAnsi" w:hAnsiTheme="minorHAnsi" w:cstheme="minorHAnsi"/>
                                  <w:spacing w:val="21"/>
                                  <w:w w:val="109"/>
                                  <w:sz w:val="18"/>
                                </w:rPr>
                                <w:t xml:space="preserve"> </w:t>
                              </w:r>
                            </w:p>
                          </w:txbxContent>
                        </wps:txbx>
                        <wps:bodyPr horzOverflow="overflow" vert="horz" lIns="0" tIns="0" rIns="0" bIns="0" rtlCol="0">
                          <a:noAutofit/>
                        </wps:bodyPr>
                      </wps:wsp>
                      <wps:wsp>
                        <wps:cNvPr id="59" name="Rectangle 44"/>
                        <wps:cNvSpPr/>
                        <wps:spPr>
                          <a:xfrm>
                            <a:off x="2517129" y="1090310"/>
                            <a:ext cx="1318826" cy="176960"/>
                          </a:xfrm>
                          <a:prstGeom prst="rect">
                            <a:avLst/>
                          </a:prstGeom>
                          <a:ln>
                            <a:noFill/>
                          </a:ln>
                        </wps:spPr>
                        <wps:txbx>
                          <w:txbxContent>
                            <w:p w14:paraId="7648C16B" w14:textId="77777777" w:rsidR="00D55F13" w:rsidRPr="00394D50" w:rsidRDefault="00D55F13" w:rsidP="00A344EC">
                              <w:pPr>
                                <w:spacing w:after="160"/>
                                <w:rPr>
                                  <w:rFonts w:asciiTheme="minorHAnsi" w:hAnsiTheme="minorHAnsi" w:cstheme="minorHAnsi"/>
                                </w:rPr>
                              </w:pPr>
                              <w:r w:rsidRPr="00394D50">
                                <w:rPr>
                                  <w:rFonts w:asciiTheme="minorHAnsi" w:hAnsiTheme="minorHAnsi" w:cstheme="minorHAnsi"/>
                                  <w:w w:val="110"/>
                                  <w:sz w:val="18"/>
                                </w:rPr>
                                <w:t>de</w:t>
                              </w:r>
                              <w:r w:rsidRPr="00394D50">
                                <w:rPr>
                                  <w:rFonts w:asciiTheme="minorHAnsi" w:hAnsiTheme="minorHAnsi" w:cstheme="minorHAnsi"/>
                                  <w:spacing w:val="-5"/>
                                  <w:w w:val="110"/>
                                  <w:sz w:val="18"/>
                                </w:rPr>
                                <w:t xml:space="preserve"> </w:t>
                              </w:r>
                              <w:r w:rsidRPr="00394D50">
                                <w:rPr>
                                  <w:rFonts w:asciiTheme="minorHAnsi" w:hAnsiTheme="minorHAnsi" w:cstheme="minorHAnsi"/>
                                  <w:w w:val="110"/>
                                  <w:sz w:val="18"/>
                                </w:rPr>
                                <w:t>compensación)</w:t>
                              </w:r>
                            </w:p>
                          </w:txbxContent>
                        </wps:txbx>
                        <wps:bodyPr horzOverflow="overflow" vert="horz" lIns="0" tIns="0" rIns="0" bIns="0" rtlCol="0">
                          <a:noAutofit/>
                        </wps:bodyPr>
                      </wps:wsp>
                      <wps:wsp>
                        <wps:cNvPr id="60" name="Rectangle 45"/>
                        <wps:cNvSpPr/>
                        <wps:spPr>
                          <a:xfrm>
                            <a:off x="934719" y="218201"/>
                            <a:ext cx="211284" cy="176959"/>
                          </a:xfrm>
                          <a:prstGeom prst="rect">
                            <a:avLst/>
                          </a:prstGeom>
                          <a:ln>
                            <a:noFill/>
                          </a:ln>
                        </wps:spPr>
                        <wps:txbx>
                          <w:txbxContent>
                            <w:p w14:paraId="60311969" w14:textId="77777777" w:rsidR="00D55F13" w:rsidRPr="00394D50" w:rsidRDefault="00D55F13" w:rsidP="00A344EC">
                              <w:pPr>
                                <w:spacing w:after="160"/>
                                <w:rPr>
                                  <w:rFonts w:asciiTheme="minorHAnsi" w:hAnsiTheme="minorHAnsi" w:cstheme="minorHAnsi"/>
                                </w:rPr>
                              </w:pPr>
                              <w:r w:rsidRPr="00394D50">
                                <w:rPr>
                                  <w:rFonts w:asciiTheme="minorHAnsi" w:hAnsiTheme="minorHAnsi" w:cstheme="minorHAnsi"/>
                                  <w:w w:val="116"/>
                                  <w:sz w:val="18"/>
                                </w:rPr>
                                <w:t>(+)</w:t>
                              </w:r>
                            </w:p>
                          </w:txbxContent>
                        </wps:txbx>
                        <wps:bodyPr horzOverflow="overflow" vert="horz" lIns="0" tIns="0" rIns="0" bIns="0" rtlCol="0">
                          <a:noAutofit/>
                        </wps:bodyPr>
                      </wps:wsp>
                      <wps:wsp>
                        <wps:cNvPr id="61" name="Rectangle 46"/>
                        <wps:cNvSpPr/>
                        <wps:spPr>
                          <a:xfrm>
                            <a:off x="934719" y="2456309"/>
                            <a:ext cx="211284" cy="176960"/>
                          </a:xfrm>
                          <a:prstGeom prst="rect">
                            <a:avLst/>
                          </a:prstGeom>
                          <a:ln>
                            <a:noFill/>
                          </a:ln>
                        </wps:spPr>
                        <wps:txbx>
                          <w:txbxContent>
                            <w:p w14:paraId="56A8AE6E" w14:textId="77777777" w:rsidR="00D55F13" w:rsidRPr="00394D50" w:rsidRDefault="00D55F13" w:rsidP="00A344EC">
                              <w:pPr>
                                <w:spacing w:after="160"/>
                                <w:rPr>
                                  <w:rFonts w:asciiTheme="minorHAnsi" w:hAnsiTheme="minorHAnsi" w:cstheme="minorHAnsi"/>
                                </w:rPr>
                              </w:pPr>
                              <w:r w:rsidRPr="00394D50">
                                <w:rPr>
                                  <w:rFonts w:asciiTheme="minorHAnsi" w:hAnsiTheme="minorHAnsi" w:cstheme="minorHAnsi"/>
                                  <w:w w:val="113"/>
                                  <w:sz w:val="18"/>
                                </w:rPr>
                                <w:t>(-</w:t>
                              </w:r>
                              <w:r w:rsidRPr="00394D50">
                                <w:rPr>
                                  <w:rFonts w:asciiTheme="minorHAnsi" w:hAnsiTheme="minorHAnsi" w:cstheme="minorHAnsi"/>
                                  <w:spacing w:val="6"/>
                                  <w:w w:val="113"/>
                                  <w:sz w:val="18"/>
                                </w:rPr>
                                <w:t xml:space="preserve"> </w:t>
                              </w:r>
                              <w:r w:rsidRPr="00394D50">
                                <w:rPr>
                                  <w:rFonts w:asciiTheme="minorHAnsi" w:hAnsiTheme="minorHAnsi" w:cstheme="minorHAnsi"/>
                                  <w:w w:val="113"/>
                                  <w:sz w:val="18"/>
                                </w:rPr>
                                <w:t>)</w:t>
                              </w:r>
                            </w:p>
                          </w:txbxContent>
                        </wps:txbx>
                        <wps:bodyPr horzOverflow="overflow" vert="horz" lIns="0" tIns="0" rIns="0" bIns="0" rtlCol="0">
                          <a:noAutofit/>
                        </wps:bodyPr>
                      </wps:wsp>
                      <wps:wsp>
                        <wps:cNvPr id="62" name="Rectangle 47"/>
                        <wps:cNvSpPr/>
                        <wps:spPr>
                          <a:xfrm>
                            <a:off x="4464478" y="1404529"/>
                            <a:ext cx="1145015" cy="176960"/>
                          </a:xfrm>
                          <a:prstGeom prst="rect">
                            <a:avLst/>
                          </a:prstGeom>
                          <a:ln>
                            <a:noFill/>
                          </a:ln>
                        </wps:spPr>
                        <wps:txbx>
                          <w:txbxContent>
                            <w:p w14:paraId="20389146" w14:textId="77777777" w:rsidR="00D55F13" w:rsidRPr="00394D50" w:rsidRDefault="00D55F13" w:rsidP="00A344EC">
                              <w:pPr>
                                <w:spacing w:after="160"/>
                                <w:rPr>
                                  <w:rFonts w:asciiTheme="minorHAnsi" w:hAnsiTheme="minorHAnsi" w:cstheme="minorHAnsi"/>
                                </w:rPr>
                              </w:pPr>
                              <w:r w:rsidRPr="00394D50">
                                <w:rPr>
                                  <w:rFonts w:asciiTheme="minorHAnsi" w:hAnsiTheme="minorHAnsi" w:cstheme="minorHAnsi"/>
                                  <w:w w:val="109"/>
                                  <w:sz w:val="18"/>
                                </w:rPr>
                                <w:t>I.</w:t>
                              </w:r>
                              <w:r w:rsidRPr="00394D50">
                                <w:rPr>
                                  <w:rFonts w:asciiTheme="minorHAnsi" w:hAnsiTheme="minorHAnsi" w:cstheme="minorHAnsi"/>
                                  <w:spacing w:val="-13"/>
                                  <w:w w:val="109"/>
                                  <w:sz w:val="18"/>
                                </w:rPr>
                                <w:t xml:space="preserve"> </w:t>
                              </w:r>
                              <w:r w:rsidRPr="00394D50">
                                <w:rPr>
                                  <w:rFonts w:asciiTheme="minorHAnsi" w:hAnsiTheme="minorHAnsi" w:cstheme="minorHAnsi"/>
                                  <w:w w:val="109"/>
                                  <w:sz w:val="18"/>
                                </w:rPr>
                                <w:t>Positivo</w:t>
                              </w:r>
                              <w:r w:rsidRPr="00394D50">
                                <w:rPr>
                                  <w:rFonts w:asciiTheme="minorHAnsi" w:hAnsiTheme="minorHAnsi" w:cstheme="minorHAnsi"/>
                                  <w:spacing w:val="12"/>
                                  <w:w w:val="109"/>
                                  <w:sz w:val="18"/>
                                </w:rPr>
                                <w:t xml:space="preserve"> </w:t>
                              </w:r>
                              <w:r w:rsidRPr="00394D50">
                                <w:rPr>
                                  <w:rFonts w:asciiTheme="minorHAnsi" w:hAnsiTheme="minorHAnsi" w:cstheme="minorHAnsi"/>
                                  <w:w w:val="109"/>
                                  <w:sz w:val="18"/>
                                </w:rPr>
                                <w:t>adicional</w:t>
                              </w:r>
                            </w:p>
                          </w:txbxContent>
                        </wps:txbx>
                        <wps:bodyPr horzOverflow="overflow" vert="horz" lIns="0" tIns="0" rIns="0" bIns="0" rtlCol="0">
                          <a:noAutofit/>
                        </wps:bodyPr>
                      </wps:wsp>
                      <wps:wsp>
                        <wps:cNvPr id="63" name="Rectangle 48"/>
                        <wps:cNvSpPr/>
                        <wps:spPr>
                          <a:xfrm>
                            <a:off x="4464478" y="1608310"/>
                            <a:ext cx="1060318" cy="176960"/>
                          </a:xfrm>
                          <a:prstGeom prst="rect">
                            <a:avLst/>
                          </a:prstGeom>
                          <a:ln>
                            <a:noFill/>
                          </a:ln>
                        </wps:spPr>
                        <wps:txbx>
                          <w:txbxContent>
                            <w:p w14:paraId="3529DFB4" w14:textId="77777777" w:rsidR="00D55F13" w:rsidRPr="00394D50" w:rsidRDefault="00D55F13" w:rsidP="00A344EC">
                              <w:pPr>
                                <w:spacing w:after="160"/>
                                <w:rPr>
                                  <w:rFonts w:asciiTheme="minorHAnsi" w:hAnsiTheme="minorHAnsi" w:cstheme="minorHAnsi"/>
                                </w:rPr>
                              </w:pPr>
                              <w:r w:rsidRPr="00394D50">
                                <w:rPr>
                                  <w:rFonts w:asciiTheme="minorHAnsi" w:hAnsiTheme="minorHAnsi" w:cstheme="minorHAnsi"/>
                                  <w:w w:val="110"/>
                                  <w:sz w:val="18"/>
                                </w:rPr>
                                <w:t>I.</w:t>
                              </w:r>
                              <w:r w:rsidRPr="00394D50">
                                <w:rPr>
                                  <w:rFonts w:asciiTheme="minorHAnsi" w:hAnsiTheme="minorHAnsi" w:cstheme="minorHAnsi"/>
                                  <w:spacing w:val="-10"/>
                                  <w:w w:val="110"/>
                                  <w:sz w:val="18"/>
                                </w:rPr>
                                <w:t xml:space="preserve"> </w:t>
                              </w:r>
                              <w:r w:rsidRPr="00394D50">
                                <w:rPr>
                                  <w:rFonts w:asciiTheme="minorHAnsi" w:hAnsiTheme="minorHAnsi" w:cstheme="minorHAnsi"/>
                                  <w:w w:val="110"/>
                                  <w:sz w:val="18"/>
                                </w:rPr>
                                <w:t>Compensado</w:t>
                              </w:r>
                            </w:p>
                          </w:txbxContent>
                        </wps:txbx>
                        <wps:bodyPr horzOverflow="overflow" vert="horz" lIns="0" tIns="0" rIns="0" bIns="0" rtlCol="0">
                          <a:noAutofit/>
                        </wps:bodyPr>
                      </wps:wsp>
                      <wps:wsp>
                        <wps:cNvPr id="714449731" name="Rectangle 50"/>
                        <wps:cNvSpPr/>
                        <wps:spPr>
                          <a:xfrm>
                            <a:off x="4464478" y="2014761"/>
                            <a:ext cx="726423" cy="176960"/>
                          </a:xfrm>
                          <a:prstGeom prst="rect">
                            <a:avLst/>
                          </a:prstGeom>
                          <a:ln>
                            <a:noFill/>
                          </a:ln>
                        </wps:spPr>
                        <wps:txbx>
                          <w:txbxContent>
                            <w:p w14:paraId="6B39FD67" w14:textId="77777777" w:rsidR="00D55F13" w:rsidRPr="00394D50" w:rsidRDefault="00D55F13" w:rsidP="00A344EC">
                              <w:pPr>
                                <w:spacing w:after="160"/>
                                <w:rPr>
                                  <w:rFonts w:asciiTheme="minorHAnsi" w:hAnsiTheme="minorHAnsi" w:cstheme="minorHAnsi"/>
                                </w:rPr>
                              </w:pPr>
                              <w:r w:rsidRPr="00394D50">
                                <w:rPr>
                                  <w:rFonts w:asciiTheme="minorHAnsi" w:hAnsiTheme="minorHAnsi" w:cstheme="minorHAnsi"/>
                                  <w:w w:val="106"/>
                                  <w:sz w:val="18"/>
                                </w:rPr>
                                <w:t>I.</w:t>
                              </w:r>
                              <w:r w:rsidRPr="00394D50">
                                <w:rPr>
                                  <w:rFonts w:asciiTheme="minorHAnsi" w:hAnsiTheme="minorHAnsi" w:cstheme="minorHAnsi"/>
                                  <w:spacing w:val="-13"/>
                                  <w:w w:val="106"/>
                                  <w:sz w:val="18"/>
                                </w:rPr>
                                <w:t xml:space="preserve"> </w:t>
                              </w:r>
                              <w:r w:rsidRPr="00394D50">
                                <w:rPr>
                                  <w:rFonts w:asciiTheme="minorHAnsi" w:hAnsiTheme="minorHAnsi" w:cstheme="minorHAnsi"/>
                                  <w:w w:val="106"/>
                                  <w:sz w:val="18"/>
                                </w:rPr>
                                <w:t>Mitigado</w:t>
                              </w:r>
                            </w:p>
                          </w:txbxContent>
                        </wps:txbx>
                        <wps:bodyPr horzOverflow="overflow" vert="horz" lIns="0" tIns="0" rIns="0" bIns="0" rtlCol="0">
                          <a:noAutofit/>
                        </wps:bodyPr>
                      </wps:wsp>
                      <wps:wsp>
                        <wps:cNvPr id="714449733" name="Rectangle 52"/>
                        <wps:cNvSpPr/>
                        <wps:spPr>
                          <a:xfrm>
                            <a:off x="4464478" y="2436685"/>
                            <a:ext cx="778269" cy="176960"/>
                          </a:xfrm>
                          <a:prstGeom prst="rect">
                            <a:avLst/>
                          </a:prstGeom>
                          <a:ln>
                            <a:noFill/>
                          </a:ln>
                        </wps:spPr>
                        <wps:txbx>
                          <w:txbxContent>
                            <w:p w14:paraId="6FDF01F5" w14:textId="77777777" w:rsidR="00D55F13" w:rsidRPr="00394D50" w:rsidRDefault="00D55F13" w:rsidP="00A344EC">
                              <w:pPr>
                                <w:spacing w:after="160"/>
                                <w:rPr>
                                  <w:rFonts w:asciiTheme="minorHAnsi" w:hAnsiTheme="minorHAnsi" w:cstheme="minorHAnsi"/>
                                </w:rPr>
                              </w:pPr>
                              <w:r w:rsidRPr="00394D50">
                                <w:rPr>
                                  <w:rFonts w:asciiTheme="minorHAnsi" w:hAnsiTheme="minorHAnsi" w:cstheme="minorHAnsi"/>
                                  <w:w w:val="109"/>
                                  <w:sz w:val="18"/>
                                </w:rPr>
                                <w:t>I.</w:t>
                              </w:r>
                              <w:r w:rsidRPr="00394D50">
                                <w:rPr>
                                  <w:rFonts w:asciiTheme="minorHAnsi" w:hAnsiTheme="minorHAnsi" w:cstheme="minorHAnsi"/>
                                  <w:spacing w:val="-13"/>
                                  <w:w w:val="109"/>
                                  <w:sz w:val="18"/>
                                </w:rPr>
                                <w:t xml:space="preserve"> </w:t>
                              </w:r>
                              <w:r w:rsidRPr="00394D50">
                                <w:rPr>
                                  <w:rFonts w:asciiTheme="minorHAnsi" w:hAnsiTheme="minorHAnsi" w:cstheme="minorHAnsi"/>
                                  <w:w w:val="109"/>
                                  <w:sz w:val="18"/>
                                </w:rPr>
                                <w:t>Potencial</w:t>
                              </w:r>
                            </w:p>
                          </w:txbxContent>
                        </wps:txbx>
                        <wps:bodyPr horzOverflow="overflow" vert="horz" lIns="0" tIns="0" rIns="0" bIns="0" rtlCol="0">
                          <a:noAutofit/>
                        </wps:bodyPr>
                      </wps:wsp>
                      <wps:wsp>
                        <wps:cNvPr id="714449734" name="Shape 53"/>
                        <wps:cNvSpPr/>
                        <wps:spPr>
                          <a:xfrm>
                            <a:off x="2316620" y="958901"/>
                            <a:ext cx="82042" cy="120701"/>
                          </a:xfrm>
                          <a:custGeom>
                            <a:avLst/>
                            <a:gdLst/>
                            <a:ahLst/>
                            <a:cxnLst/>
                            <a:rect l="0" t="0" r="0" b="0"/>
                            <a:pathLst>
                              <a:path w="82042" h="120701">
                                <a:moveTo>
                                  <a:pt x="0" y="0"/>
                                </a:moveTo>
                                <a:lnTo>
                                  <a:pt x="82042" y="0"/>
                                </a:lnTo>
                                <a:lnTo>
                                  <a:pt x="82042" y="120701"/>
                                </a:lnTo>
                                <a:lnTo>
                                  <a:pt x="0" y="120701"/>
                                </a:lnTo>
                              </a:path>
                            </a:pathLst>
                          </a:custGeom>
                          <a:ln w="9525" cap="rnd">
                            <a:miter lim="127000"/>
                          </a:ln>
                        </wps:spPr>
                        <wps:style>
                          <a:lnRef idx="1">
                            <a:srgbClr val="737372"/>
                          </a:lnRef>
                          <a:fillRef idx="0">
                            <a:srgbClr val="000000">
                              <a:alpha val="0"/>
                            </a:srgbClr>
                          </a:fillRef>
                          <a:effectRef idx="0">
                            <a:scrgbClr r="0" g="0" b="0"/>
                          </a:effectRef>
                          <a:fontRef idx="none"/>
                        </wps:style>
                        <wps:bodyPr/>
                      </wps:wsp>
                      <wps:wsp>
                        <wps:cNvPr id="714449735" name="Shape 54"/>
                        <wps:cNvSpPr/>
                        <wps:spPr>
                          <a:xfrm>
                            <a:off x="2398662" y="1019226"/>
                            <a:ext cx="57506" cy="0"/>
                          </a:xfrm>
                          <a:custGeom>
                            <a:avLst/>
                            <a:gdLst/>
                            <a:ahLst/>
                            <a:cxnLst/>
                            <a:rect l="0" t="0" r="0" b="0"/>
                            <a:pathLst>
                              <a:path w="57506">
                                <a:moveTo>
                                  <a:pt x="0" y="0"/>
                                </a:moveTo>
                                <a:lnTo>
                                  <a:pt x="57506" y="0"/>
                                </a:lnTo>
                              </a:path>
                            </a:pathLst>
                          </a:custGeom>
                          <a:ln w="9525" cap="rnd">
                            <a:miter lim="127000"/>
                          </a:ln>
                        </wps:spPr>
                        <wps:style>
                          <a:lnRef idx="1">
                            <a:srgbClr val="737372"/>
                          </a:lnRef>
                          <a:fillRef idx="0">
                            <a:srgbClr val="000000">
                              <a:alpha val="0"/>
                            </a:srgbClr>
                          </a:fillRef>
                          <a:effectRef idx="0">
                            <a:scrgbClr r="0" g="0" b="0"/>
                          </a:effectRef>
                          <a:fontRef idx="none"/>
                        </wps:style>
                        <wps:bodyPr/>
                      </wps:wsp>
                      <wps:wsp>
                        <wps:cNvPr id="714449736" name="Shape 55"/>
                        <wps:cNvSpPr/>
                        <wps:spPr>
                          <a:xfrm>
                            <a:off x="4281892" y="1438344"/>
                            <a:ext cx="101549" cy="101549"/>
                          </a:xfrm>
                          <a:custGeom>
                            <a:avLst/>
                            <a:gdLst/>
                            <a:ahLst/>
                            <a:cxnLst/>
                            <a:rect l="0" t="0" r="0" b="0"/>
                            <a:pathLst>
                              <a:path w="101549" h="101549">
                                <a:moveTo>
                                  <a:pt x="50800" y="0"/>
                                </a:moveTo>
                                <a:cubicBezTo>
                                  <a:pt x="78829" y="0"/>
                                  <a:pt x="101549" y="22720"/>
                                  <a:pt x="101549" y="50749"/>
                                </a:cubicBezTo>
                                <a:cubicBezTo>
                                  <a:pt x="101549" y="78829"/>
                                  <a:pt x="78829" y="101549"/>
                                  <a:pt x="50800" y="101549"/>
                                </a:cubicBezTo>
                                <a:cubicBezTo>
                                  <a:pt x="22771" y="101549"/>
                                  <a:pt x="0" y="78829"/>
                                  <a:pt x="0" y="50749"/>
                                </a:cubicBezTo>
                                <a:cubicBezTo>
                                  <a:pt x="0" y="22720"/>
                                  <a:pt x="22771" y="0"/>
                                  <a:pt x="50800" y="0"/>
                                </a:cubicBezTo>
                                <a:close/>
                              </a:path>
                            </a:pathLst>
                          </a:custGeom>
                          <a:ln w="0" cap="rnd">
                            <a:miter lim="127000"/>
                          </a:ln>
                        </wps:spPr>
                        <wps:style>
                          <a:lnRef idx="0">
                            <a:srgbClr val="000000">
                              <a:alpha val="0"/>
                            </a:srgbClr>
                          </a:lnRef>
                          <a:fillRef idx="1">
                            <a:srgbClr val="F5CF80"/>
                          </a:fillRef>
                          <a:effectRef idx="0">
                            <a:scrgbClr r="0" g="0" b="0"/>
                          </a:effectRef>
                          <a:fontRef idx="none"/>
                        </wps:style>
                        <wps:bodyPr/>
                      </wps:wsp>
                      <wps:wsp>
                        <wps:cNvPr id="714449737" name="Shape 56"/>
                        <wps:cNvSpPr/>
                        <wps:spPr>
                          <a:xfrm>
                            <a:off x="4281892" y="1622887"/>
                            <a:ext cx="101549" cy="101562"/>
                          </a:xfrm>
                          <a:custGeom>
                            <a:avLst/>
                            <a:gdLst/>
                            <a:ahLst/>
                            <a:cxnLst/>
                            <a:rect l="0" t="0" r="0" b="0"/>
                            <a:pathLst>
                              <a:path w="101549" h="101562">
                                <a:moveTo>
                                  <a:pt x="50800" y="0"/>
                                </a:moveTo>
                                <a:cubicBezTo>
                                  <a:pt x="78829" y="0"/>
                                  <a:pt x="101549" y="22720"/>
                                  <a:pt x="101549" y="50800"/>
                                </a:cubicBezTo>
                                <a:cubicBezTo>
                                  <a:pt x="101549" y="78829"/>
                                  <a:pt x="78829" y="101562"/>
                                  <a:pt x="50800" y="101562"/>
                                </a:cubicBezTo>
                                <a:cubicBezTo>
                                  <a:pt x="22771" y="101562"/>
                                  <a:pt x="0" y="78829"/>
                                  <a:pt x="0" y="50800"/>
                                </a:cubicBezTo>
                                <a:cubicBezTo>
                                  <a:pt x="0" y="22720"/>
                                  <a:pt x="22771" y="0"/>
                                  <a:pt x="50800" y="0"/>
                                </a:cubicBezTo>
                                <a:close/>
                              </a:path>
                            </a:pathLst>
                          </a:custGeom>
                          <a:ln w="0" cap="rnd">
                            <a:miter lim="127000"/>
                          </a:ln>
                        </wps:spPr>
                        <wps:style>
                          <a:lnRef idx="0">
                            <a:srgbClr val="000000">
                              <a:alpha val="0"/>
                            </a:srgbClr>
                          </a:lnRef>
                          <a:fillRef idx="1">
                            <a:srgbClr val="CB923F"/>
                          </a:fillRef>
                          <a:effectRef idx="0">
                            <a:scrgbClr r="0" g="0" b="0"/>
                          </a:effectRef>
                          <a:fontRef idx="none"/>
                        </wps:style>
                        <wps:bodyPr/>
                      </wps:wsp>
                      <wps:wsp>
                        <wps:cNvPr id="714449738" name="Shape 57"/>
                        <wps:cNvSpPr/>
                        <wps:spPr>
                          <a:xfrm>
                            <a:off x="4280599" y="1830855"/>
                            <a:ext cx="101549" cy="101562"/>
                          </a:xfrm>
                          <a:custGeom>
                            <a:avLst/>
                            <a:gdLst/>
                            <a:ahLst/>
                            <a:cxnLst/>
                            <a:rect l="0" t="0" r="0" b="0"/>
                            <a:pathLst>
                              <a:path w="101549" h="101562">
                                <a:moveTo>
                                  <a:pt x="50800" y="0"/>
                                </a:moveTo>
                                <a:cubicBezTo>
                                  <a:pt x="78829" y="0"/>
                                  <a:pt x="101549" y="22733"/>
                                  <a:pt x="101549" y="50762"/>
                                </a:cubicBezTo>
                                <a:cubicBezTo>
                                  <a:pt x="101549" y="78829"/>
                                  <a:pt x="78829" y="101562"/>
                                  <a:pt x="50800" y="101562"/>
                                </a:cubicBezTo>
                                <a:cubicBezTo>
                                  <a:pt x="22771" y="101562"/>
                                  <a:pt x="0" y="78829"/>
                                  <a:pt x="0" y="50762"/>
                                </a:cubicBezTo>
                                <a:cubicBezTo>
                                  <a:pt x="0" y="22733"/>
                                  <a:pt x="22771" y="0"/>
                                  <a:pt x="50800" y="0"/>
                                </a:cubicBezTo>
                                <a:close/>
                              </a:path>
                            </a:pathLst>
                          </a:custGeom>
                          <a:ln w="0" cap="rnd">
                            <a:miter lim="127000"/>
                          </a:ln>
                        </wps:spPr>
                        <wps:style>
                          <a:lnRef idx="0">
                            <a:srgbClr val="000000">
                              <a:alpha val="0"/>
                            </a:srgbClr>
                          </a:lnRef>
                          <a:fillRef idx="1">
                            <a:srgbClr val="FFFFFF"/>
                          </a:fillRef>
                          <a:effectRef idx="0">
                            <a:scrgbClr r="0" g="0" b="0"/>
                          </a:effectRef>
                          <a:fontRef idx="none"/>
                        </wps:style>
                        <wps:bodyPr/>
                      </wps:wsp>
                      <wps:wsp>
                        <wps:cNvPr id="714449739" name="Shape 58"/>
                        <wps:cNvSpPr/>
                        <wps:spPr>
                          <a:xfrm>
                            <a:off x="4281892" y="1830850"/>
                            <a:ext cx="101549" cy="101562"/>
                          </a:xfrm>
                          <a:custGeom>
                            <a:avLst/>
                            <a:gdLst/>
                            <a:ahLst/>
                            <a:cxnLst/>
                            <a:rect l="0" t="0" r="0" b="0"/>
                            <a:pathLst>
                              <a:path w="101549" h="101562">
                                <a:moveTo>
                                  <a:pt x="101549" y="50762"/>
                                </a:moveTo>
                                <a:cubicBezTo>
                                  <a:pt x="101549" y="78829"/>
                                  <a:pt x="78829" y="101562"/>
                                  <a:pt x="50800" y="101562"/>
                                </a:cubicBezTo>
                                <a:cubicBezTo>
                                  <a:pt x="22771" y="101562"/>
                                  <a:pt x="0" y="78829"/>
                                  <a:pt x="0" y="50762"/>
                                </a:cubicBezTo>
                                <a:cubicBezTo>
                                  <a:pt x="0" y="22733"/>
                                  <a:pt x="22771" y="0"/>
                                  <a:pt x="50800" y="0"/>
                                </a:cubicBezTo>
                                <a:cubicBezTo>
                                  <a:pt x="78829" y="0"/>
                                  <a:pt x="101549" y="22733"/>
                                  <a:pt x="101549" y="50762"/>
                                </a:cubicBezTo>
                                <a:close/>
                              </a:path>
                            </a:pathLst>
                          </a:custGeom>
                          <a:ln w="12700" cap="flat">
                            <a:miter lim="127000"/>
                          </a:ln>
                        </wps:spPr>
                        <wps:style>
                          <a:lnRef idx="1">
                            <a:srgbClr val="85A62A"/>
                          </a:lnRef>
                          <a:fillRef idx="0">
                            <a:srgbClr val="000000">
                              <a:alpha val="0"/>
                            </a:srgbClr>
                          </a:fillRef>
                          <a:effectRef idx="0">
                            <a:scrgbClr r="0" g="0" b="0"/>
                          </a:effectRef>
                          <a:fontRef idx="none"/>
                        </wps:style>
                        <wps:bodyPr/>
                      </wps:wsp>
                      <wps:wsp>
                        <wps:cNvPr id="714449740" name="Shape 60"/>
                        <wps:cNvSpPr/>
                        <wps:spPr>
                          <a:xfrm>
                            <a:off x="4281892" y="2031624"/>
                            <a:ext cx="101549" cy="101498"/>
                          </a:xfrm>
                          <a:custGeom>
                            <a:avLst/>
                            <a:gdLst/>
                            <a:ahLst/>
                            <a:cxnLst/>
                            <a:rect l="0" t="0" r="0" b="0"/>
                            <a:pathLst>
                              <a:path w="101549" h="101498">
                                <a:moveTo>
                                  <a:pt x="50800" y="0"/>
                                </a:moveTo>
                                <a:cubicBezTo>
                                  <a:pt x="78829" y="0"/>
                                  <a:pt x="101549" y="22720"/>
                                  <a:pt x="101549" y="50749"/>
                                </a:cubicBezTo>
                                <a:cubicBezTo>
                                  <a:pt x="101549" y="78778"/>
                                  <a:pt x="78829" y="101498"/>
                                  <a:pt x="50800" y="101498"/>
                                </a:cubicBezTo>
                                <a:cubicBezTo>
                                  <a:pt x="22771" y="101498"/>
                                  <a:pt x="0" y="78778"/>
                                  <a:pt x="0" y="50749"/>
                                </a:cubicBezTo>
                                <a:cubicBezTo>
                                  <a:pt x="0" y="22720"/>
                                  <a:pt x="22771" y="0"/>
                                  <a:pt x="50800" y="0"/>
                                </a:cubicBezTo>
                                <a:close/>
                              </a:path>
                            </a:pathLst>
                          </a:custGeom>
                          <a:ln w="0" cap="flat">
                            <a:miter lim="127000"/>
                          </a:ln>
                        </wps:spPr>
                        <wps:style>
                          <a:lnRef idx="0">
                            <a:srgbClr val="000000">
                              <a:alpha val="0"/>
                            </a:srgbClr>
                          </a:lnRef>
                          <a:fillRef idx="1">
                            <a:srgbClr val="85A62A"/>
                          </a:fillRef>
                          <a:effectRef idx="0">
                            <a:scrgbClr r="0" g="0" b="0"/>
                          </a:effectRef>
                          <a:fontRef idx="none"/>
                        </wps:style>
                        <wps:bodyPr/>
                      </wps:wsp>
                      <wps:wsp>
                        <wps:cNvPr id="714449741" name="Shape 61"/>
                        <wps:cNvSpPr/>
                        <wps:spPr>
                          <a:xfrm>
                            <a:off x="4281892" y="2241276"/>
                            <a:ext cx="101549" cy="101549"/>
                          </a:xfrm>
                          <a:custGeom>
                            <a:avLst/>
                            <a:gdLst/>
                            <a:ahLst/>
                            <a:cxnLst/>
                            <a:rect l="0" t="0" r="0" b="0"/>
                            <a:pathLst>
                              <a:path w="101549" h="101549">
                                <a:moveTo>
                                  <a:pt x="50800" y="0"/>
                                </a:moveTo>
                                <a:cubicBezTo>
                                  <a:pt x="78829" y="0"/>
                                  <a:pt x="101549" y="22771"/>
                                  <a:pt x="101549" y="50800"/>
                                </a:cubicBezTo>
                                <a:cubicBezTo>
                                  <a:pt x="101549" y="78829"/>
                                  <a:pt x="78829" y="101549"/>
                                  <a:pt x="50800" y="101549"/>
                                </a:cubicBezTo>
                                <a:cubicBezTo>
                                  <a:pt x="22771" y="101549"/>
                                  <a:pt x="0" y="78829"/>
                                  <a:pt x="0" y="50800"/>
                                </a:cubicBezTo>
                                <a:cubicBezTo>
                                  <a:pt x="0" y="22771"/>
                                  <a:pt x="22771" y="0"/>
                                  <a:pt x="50800" y="0"/>
                                </a:cubicBezTo>
                                <a:close/>
                              </a:path>
                            </a:pathLst>
                          </a:custGeom>
                          <a:ln w="0" cap="flat">
                            <a:miter lim="127000"/>
                          </a:ln>
                        </wps:spPr>
                        <wps:style>
                          <a:lnRef idx="0">
                            <a:srgbClr val="000000">
                              <a:alpha val="0"/>
                            </a:srgbClr>
                          </a:lnRef>
                          <a:fillRef idx="1">
                            <a:srgbClr val="DBB175"/>
                          </a:fillRef>
                          <a:effectRef idx="0">
                            <a:scrgbClr r="0" g="0" b="0"/>
                          </a:effectRef>
                          <a:fontRef idx="none"/>
                        </wps:style>
                        <wps:bodyPr/>
                      </wps:wsp>
                      <wps:wsp>
                        <wps:cNvPr id="714449742" name="Shape 62"/>
                        <wps:cNvSpPr/>
                        <wps:spPr>
                          <a:xfrm>
                            <a:off x="4281892" y="2235898"/>
                            <a:ext cx="101549" cy="101549"/>
                          </a:xfrm>
                          <a:custGeom>
                            <a:avLst/>
                            <a:gdLst/>
                            <a:ahLst/>
                            <a:cxnLst/>
                            <a:rect l="0" t="0" r="0" b="0"/>
                            <a:pathLst>
                              <a:path w="101549" h="101549">
                                <a:moveTo>
                                  <a:pt x="101549" y="50800"/>
                                </a:moveTo>
                                <a:cubicBezTo>
                                  <a:pt x="101549" y="78829"/>
                                  <a:pt x="78829" y="101549"/>
                                  <a:pt x="50800" y="101549"/>
                                </a:cubicBezTo>
                                <a:cubicBezTo>
                                  <a:pt x="22771" y="101549"/>
                                  <a:pt x="0" y="78829"/>
                                  <a:pt x="0" y="50800"/>
                                </a:cubicBezTo>
                                <a:cubicBezTo>
                                  <a:pt x="0" y="22771"/>
                                  <a:pt x="22771" y="0"/>
                                  <a:pt x="50800" y="0"/>
                                </a:cubicBezTo>
                                <a:cubicBezTo>
                                  <a:pt x="78829" y="0"/>
                                  <a:pt x="101549" y="22771"/>
                                  <a:pt x="101549" y="50800"/>
                                </a:cubicBezTo>
                                <a:close/>
                              </a:path>
                            </a:pathLst>
                          </a:custGeom>
                          <a:ln w="12700" cap="flat">
                            <a:miter lim="127000"/>
                          </a:ln>
                        </wps:spPr>
                        <wps:style>
                          <a:lnRef idx="1">
                            <a:srgbClr val="CB923F"/>
                          </a:lnRef>
                          <a:fillRef idx="0">
                            <a:srgbClr val="000000">
                              <a:alpha val="0"/>
                            </a:srgbClr>
                          </a:fillRef>
                          <a:effectRef idx="0">
                            <a:scrgbClr r="0" g="0" b="0"/>
                          </a:effectRef>
                          <a:fontRef idx="none"/>
                        </wps:style>
                        <wps:bodyPr/>
                      </wps:wsp>
                      <wps:wsp>
                        <wps:cNvPr id="714449743" name="Shape 64"/>
                        <wps:cNvSpPr/>
                        <wps:spPr>
                          <a:xfrm>
                            <a:off x="4281892" y="2436691"/>
                            <a:ext cx="101549" cy="101549"/>
                          </a:xfrm>
                          <a:custGeom>
                            <a:avLst/>
                            <a:gdLst/>
                            <a:ahLst/>
                            <a:cxnLst/>
                            <a:rect l="0" t="0" r="0" b="0"/>
                            <a:pathLst>
                              <a:path w="101549" h="101549">
                                <a:moveTo>
                                  <a:pt x="50800" y="0"/>
                                </a:moveTo>
                                <a:cubicBezTo>
                                  <a:pt x="78829" y="0"/>
                                  <a:pt x="101549" y="22720"/>
                                  <a:pt x="101549" y="50749"/>
                                </a:cubicBezTo>
                                <a:cubicBezTo>
                                  <a:pt x="101549" y="78778"/>
                                  <a:pt x="78829" y="101549"/>
                                  <a:pt x="50800" y="101549"/>
                                </a:cubicBezTo>
                                <a:cubicBezTo>
                                  <a:pt x="22771" y="101549"/>
                                  <a:pt x="0" y="78778"/>
                                  <a:pt x="0" y="50749"/>
                                </a:cubicBezTo>
                                <a:cubicBezTo>
                                  <a:pt x="0" y="22720"/>
                                  <a:pt x="22771" y="0"/>
                                  <a:pt x="50800" y="0"/>
                                </a:cubicBezTo>
                                <a:close/>
                              </a:path>
                            </a:pathLst>
                          </a:custGeom>
                          <a:ln w="0" cap="flat">
                            <a:miter lim="127000"/>
                          </a:ln>
                        </wps:spPr>
                        <wps:style>
                          <a:lnRef idx="0">
                            <a:srgbClr val="000000">
                              <a:alpha val="0"/>
                            </a:srgbClr>
                          </a:lnRef>
                          <a:fillRef idx="1">
                            <a:srgbClr val="AABD66"/>
                          </a:fillRef>
                          <a:effectRef idx="0">
                            <a:scrgbClr r="0" g="0" b="0"/>
                          </a:effectRef>
                          <a:fontRef idx="none"/>
                        </wps:style>
                        <wps:bodyPr/>
                      </wps:wsp>
                      <wps:wsp>
                        <wps:cNvPr id="714449744" name="Shape 65"/>
                        <wps:cNvSpPr/>
                        <wps:spPr>
                          <a:xfrm>
                            <a:off x="4280599" y="2436696"/>
                            <a:ext cx="101549" cy="101549"/>
                          </a:xfrm>
                          <a:custGeom>
                            <a:avLst/>
                            <a:gdLst/>
                            <a:ahLst/>
                            <a:cxnLst/>
                            <a:rect l="0" t="0" r="0" b="0"/>
                            <a:pathLst>
                              <a:path w="101549" h="101549">
                                <a:moveTo>
                                  <a:pt x="101549" y="50749"/>
                                </a:moveTo>
                                <a:cubicBezTo>
                                  <a:pt x="101549" y="78778"/>
                                  <a:pt x="78829" y="101549"/>
                                  <a:pt x="50800" y="101549"/>
                                </a:cubicBezTo>
                                <a:cubicBezTo>
                                  <a:pt x="22771" y="101549"/>
                                  <a:pt x="0" y="78778"/>
                                  <a:pt x="0" y="50749"/>
                                </a:cubicBezTo>
                                <a:cubicBezTo>
                                  <a:pt x="0" y="22720"/>
                                  <a:pt x="22771" y="0"/>
                                  <a:pt x="50800" y="0"/>
                                </a:cubicBezTo>
                                <a:cubicBezTo>
                                  <a:pt x="78829" y="0"/>
                                  <a:pt x="101549" y="22720"/>
                                  <a:pt x="101549" y="50749"/>
                                </a:cubicBezTo>
                                <a:close/>
                              </a:path>
                            </a:pathLst>
                          </a:custGeom>
                          <a:ln w="12700" cap="flat">
                            <a:miter lim="127000"/>
                          </a:ln>
                        </wps:spPr>
                        <wps:style>
                          <a:lnRef idx="1">
                            <a:srgbClr val="85A62A"/>
                          </a:lnRef>
                          <a:fillRef idx="0">
                            <a:srgbClr val="000000">
                              <a:alpha val="0"/>
                            </a:srgbClr>
                          </a:fillRef>
                          <a:effectRef idx="0">
                            <a:scrgbClr r="0" g="0" b="0"/>
                          </a:effectRef>
                          <a:fontRef idx="none"/>
                        </wps:style>
                        <wps:bodyPr/>
                      </wps:wsp>
                      <wps:wsp>
                        <wps:cNvPr id="714449745" name="Shape 67"/>
                        <wps:cNvSpPr/>
                        <wps:spPr>
                          <a:xfrm>
                            <a:off x="810476" y="931710"/>
                            <a:ext cx="3571672" cy="0"/>
                          </a:xfrm>
                          <a:custGeom>
                            <a:avLst/>
                            <a:gdLst/>
                            <a:ahLst/>
                            <a:cxnLst/>
                            <a:rect l="0" t="0" r="0" b="0"/>
                            <a:pathLst>
                              <a:path w="3571672">
                                <a:moveTo>
                                  <a:pt x="3571672" y="0"/>
                                </a:moveTo>
                                <a:lnTo>
                                  <a:pt x="0" y="0"/>
                                </a:lnTo>
                              </a:path>
                            </a:pathLst>
                          </a:custGeom>
                          <a:ln w="9525" cap="rnd">
                            <a:miter lim="127000"/>
                          </a:ln>
                        </wps:spPr>
                        <wps:style>
                          <a:lnRef idx="1">
                            <a:srgbClr val="737372"/>
                          </a:lnRef>
                          <a:fillRef idx="0">
                            <a:srgbClr val="000000">
                              <a:alpha val="0"/>
                            </a:srgbClr>
                          </a:fillRef>
                          <a:effectRef idx="0">
                            <a:scrgbClr r="0" g="0" b="0"/>
                          </a:effectRef>
                          <a:fontRef idx="none"/>
                        </wps:style>
                        <wps:bodyPr/>
                      </wps:wsp>
                      <wps:wsp>
                        <wps:cNvPr id="714449746" name="Rectangle 68"/>
                        <wps:cNvSpPr/>
                        <wps:spPr>
                          <a:xfrm>
                            <a:off x="938682" y="2214041"/>
                            <a:ext cx="216675" cy="137635"/>
                          </a:xfrm>
                          <a:prstGeom prst="rect">
                            <a:avLst/>
                          </a:prstGeom>
                          <a:ln>
                            <a:noFill/>
                          </a:ln>
                        </wps:spPr>
                        <wps:txbx>
                          <w:txbxContent>
                            <w:p w14:paraId="595B0A8A" w14:textId="77777777" w:rsidR="00D55F13" w:rsidRPr="00394D50" w:rsidRDefault="00D55F13" w:rsidP="00A344EC">
                              <w:pPr>
                                <w:spacing w:after="160"/>
                                <w:rPr>
                                  <w:rFonts w:asciiTheme="minorHAnsi" w:hAnsiTheme="minorHAnsi" w:cstheme="minorHAnsi"/>
                                </w:rPr>
                              </w:pPr>
                              <w:r w:rsidRPr="00394D50">
                                <w:rPr>
                                  <w:rFonts w:asciiTheme="minorHAnsi" w:hAnsiTheme="minorHAnsi" w:cstheme="minorHAnsi"/>
                                  <w:w w:val="111"/>
                                  <w:sz w:val="14"/>
                                </w:rPr>
                                <w:t>-</w:t>
                              </w:r>
                              <w:r w:rsidRPr="00394D50">
                                <w:rPr>
                                  <w:rFonts w:asciiTheme="minorHAnsi" w:hAnsiTheme="minorHAnsi" w:cstheme="minorHAnsi"/>
                                  <w:spacing w:val="5"/>
                                  <w:w w:val="111"/>
                                  <w:sz w:val="14"/>
                                </w:rPr>
                                <w:t xml:space="preserve"> </w:t>
                              </w:r>
                              <w:r w:rsidRPr="00394D50">
                                <w:rPr>
                                  <w:rFonts w:asciiTheme="minorHAnsi" w:hAnsiTheme="minorHAnsi" w:cstheme="minorHAnsi"/>
                                  <w:w w:val="111"/>
                                  <w:sz w:val="14"/>
                                </w:rPr>
                                <w:t>10</w:t>
                              </w:r>
                            </w:p>
                          </w:txbxContent>
                        </wps:txbx>
                        <wps:bodyPr horzOverflow="overflow" vert="horz" lIns="0" tIns="0" rIns="0" bIns="0" rtlCol="0">
                          <a:noAutofit/>
                        </wps:bodyPr>
                      </wps:wsp>
                      <wps:wsp>
                        <wps:cNvPr id="714449747" name="Rectangle 69"/>
                        <wps:cNvSpPr/>
                        <wps:spPr>
                          <a:xfrm>
                            <a:off x="1341533" y="1491995"/>
                            <a:ext cx="142541" cy="137635"/>
                          </a:xfrm>
                          <a:prstGeom prst="rect">
                            <a:avLst/>
                          </a:prstGeom>
                          <a:ln>
                            <a:noFill/>
                          </a:ln>
                        </wps:spPr>
                        <wps:txbx>
                          <w:txbxContent>
                            <w:p w14:paraId="14B0379D" w14:textId="77777777" w:rsidR="00D55F13" w:rsidRPr="00394D50" w:rsidRDefault="00D55F13" w:rsidP="00A344EC">
                              <w:pPr>
                                <w:spacing w:after="160"/>
                                <w:rPr>
                                  <w:rFonts w:asciiTheme="minorHAnsi" w:hAnsiTheme="minorHAnsi" w:cstheme="minorHAnsi"/>
                                </w:rPr>
                              </w:pPr>
                              <w:r w:rsidRPr="00394D50">
                                <w:rPr>
                                  <w:rFonts w:asciiTheme="minorHAnsi" w:hAnsiTheme="minorHAnsi" w:cstheme="minorHAnsi"/>
                                  <w:spacing w:val="36"/>
                                  <w:w w:val="110"/>
                                  <w:sz w:val="14"/>
                                </w:rPr>
                                <w:t>-5</w:t>
                              </w:r>
                            </w:p>
                          </w:txbxContent>
                        </wps:txbx>
                        <wps:bodyPr horzOverflow="overflow" vert="horz" lIns="0" tIns="0" rIns="0" bIns="0" rtlCol="0">
                          <a:noAutofit/>
                        </wps:bodyPr>
                      </wps:wsp>
                      <wps:wsp>
                        <wps:cNvPr id="714449749" name="Rectangle 70"/>
                        <wps:cNvSpPr/>
                        <wps:spPr>
                          <a:xfrm>
                            <a:off x="1736867" y="1225829"/>
                            <a:ext cx="142541" cy="137635"/>
                          </a:xfrm>
                          <a:prstGeom prst="rect">
                            <a:avLst/>
                          </a:prstGeom>
                          <a:ln>
                            <a:noFill/>
                          </a:ln>
                        </wps:spPr>
                        <wps:txbx>
                          <w:txbxContent>
                            <w:p w14:paraId="47522F97" w14:textId="77777777" w:rsidR="00D55F13" w:rsidRPr="00394D50" w:rsidRDefault="00D55F13" w:rsidP="00A344EC">
                              <w:pPr>
                                <w:spacing w:after="160"/>
                                <w:rPr>
                                  <w:rFonts w:asciiTheme="minorHAnsi" w:hAnsiTheme="minorHAnsi" w:cstheme="minorHAnsi"/>
                                </w:rPr>
                              </w:pPr>
                              <w:r w:rsidRPr="00394D50">
                                <w:rPr>
                                  <w:rFonts w:asciiTheme="minorHAnsi" w:hAnsiTheme="minorHAnsi" w:cstheme="minorHAnsi"/>
                                  <w:spacing w:val="36"/>
                                  <w:w w:val="110"/>
                                  <w:sz w:val="14"/>
                                </w:rPr>
                                <w:t>-3</w:t>
                              </w:r>
                            </w:p>
                          </w:txbxContent>
                        </wps:txbx>
                        <wps:bodyPr horzOverflow="overflow" vert="horz" lIns="0" tIns="0" rIns="0" bIns="0" rtlCol="0">
                          <a:noAutofit/>
                        </wps:bodyPr>
                      </wps:wsp>
                      <wps:wsp>
                        <wps:cNvPr id="714449750" name="Rectangle 71"/>
                        <wps:cNvSpPr/>
                        <wps:spPr>
                          <a:xfrm>
                            <a:off x="2120123" y="951572"/>
                            <a:ext cx="142541" cy="137635"/>
                          </a:xfrm>
                          <a:prstGeom prst="rect">
                            <a:avLst/>
                          </a:prstGeom>
                          <a:ln>
                            <a:noFill/>
                          </a:ln>
                        </wps:spPr>
                        <wps:txbx>
                          <w:txbxContent>
                            <w:p w14:paraId="36F89E7B" w14:textId="77777777" w:rsidR="00D55F13" w:rsidRPr="00394D50" w:rsidRDefault="00D55F13" w:rsidP="00A344EC">
                              <w:pPr>
                                <w:spacing w:after="160"/>
                                <w:rPr>
                                  <w:rFonts w:asciiTheme="minorHAnsi" w:hAnsiTheme="minorHAnsi" w:cstheme="minorHAnsi"/>
                                </w:rPr>
                              </w:pPr>
                              <w:r w:rsidRPr="00394D50">
                                <w:rPr>
                                  <w:rFonts w:asciiTheme="minorHAnsi" w:hAnsiTheme="minorHAnsi" w:cstheme="minorHAnsi"/>
                                  <w:spacing w:val="36"/>
                                  <w:w w:val="110"/>
                                  <w:sz w:val="14"/>
                                </w:rPr>
                                <w:t>-1</w:t>
                              </w:r>
                            </w:p>
                          </w:txbxContent>
                        </wps:txbx>
                        <wps:bodyPr horzOverflow="overflow" vert="horz" lIns="0" tIns="0" rIns="0" bIns="0" rtlCol="0">
                          <a:noAutofit/>
                        </wps:bodyPr>
                      </wps:wsp>
                    </wpg:wgp>
                  </a:graphicData>
                </a:graphic>
              </wp:inline>
            </w:drawing>
          </mc:Choice>
          <mc:Fallback>
            <w:pict>
              <v:group w14:anchorId="1F65E127" id="Group 358" o:spid="_x0000_s1029" style="width:387pt;height:229.4pt;mso-position-horizontal-relative:char;mso-position-vertical-relative:line" coordorigin="4912" coordsize="51731,283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">
                <v:shape id="Shape 9" o:spid="_x0000_s1030" style="position:absolute;left:4912;width:51732;height:28313;visibility:visible;mso-wrap-style:square;v-text-anchor:top" coordsize="6287351,2831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" path="m72034,c72034,,,,,71984l,2759329v,,,71984,72034,71984l6215317,2831313v,,72034,,72034,-71984l6287351,71984v,,,-71984,-72034,-71984l72034,xe" filled="f" strokecolor="#2a2a29" strokeweight="1pt">
                  <v:stroke miterlimit="1" joinstyle="miter"/>
                  <v:path arrowok="t" textboxrect="0,0,6287351,2831313"/>
                </v:shape>
                <v:rect id="Rectangle 51" o:spid="_x0000_s1031" style="position:absolute;left:44644;top:22310;width:8255;height:1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" filled="f" stroked="f">
                  <v:textbox inset="0,0,0,0">
                    <w:txbxContent>
                      <w:p w14:paraId="2ABB5600" w14:textId="77777777" w:rsidR="00D55F13" w:rsidRPr="00394D50" w:rsidRDefault="00D55F13" w:rsidP="00A344EC">
                        <w:pPr>
                          <w:spacing w:after="160"/>
                          <w:rPr>
                            <w:rFonts w:asciiTheme="minorHAnsi" w:hAnsiTheme="minorHAnsi" w:cstheme="minorHAnsi"/>
                          </w:rPr>
                        </w:pPr>
                        <w:r w:rsidRPr="00394D50">
                          <w:rPr>
                            <w:rFonts w:asciiTheme="minorHAnsi" w:hAnsiTheme="minorHAnsi" w:cstheme="minorHAnsi"/>
                            <w:w w:val="109"/>
                            <w:sz w:val="18"/>
                          </w:rPr>
                          <w:t>I.</w:t>
                        </w:r>
                        <w:r w:rsidRPr="00394D50">
                          <w:rPr>
                            <w:rFonts w:asciiTheme="minorHAnsi" w:hAnsiTheme="minorHAnsi" w:cstheme="minorHAnsi"/>
                            <w:spacing w:val="-10"/>
                            <w:w w:val="109"/>
                            <w:sz w:val="18"/>
                          </w:rPr>
                          <w:t xml:space="preserve"> </w:t>
                        </w:r>
                        <w:r w:rsidRPr="00394D50">
                          <w:rPr>
                            <w:rFonts w:asciiTheme="minorHAnsi" w:hAnsiTheme="minorHAnsi" w:cstheme="minorHAnsi"/>
                            <w:w w:val="109"/>
                            <w:sz w:val="18"/>
                          </w:rPr>
                          <w:t>Corregido</w:t>
                        </w:r>
                      </w:p>
                    </w:txbxContent>
                  </v:textbox>
                </v:rect>
                <v:rect id="Rectangle 49" o:spid="_x0000_s1032" style="position:absolute;left:44644;top:17980;width:6577;height:17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" filled="f" stroked="f">
                  <v:textbox inset="0,0,0,0">
                    <w:txbxContent>
                      <w:p w14:paraId="2277DBDA" w14:textId="6A21AFC1" w:rsidR="00D55F13" w:rsidRPr="00394D50" w:rsidRDefault="00D55F13" w:rsidP="00A344EC">
                        <w:pPr>
                          <w:spacing w:after="160"/>
                          <w:rPr>
                            <w:rFonts w:asciiTheme="minorHAnsi" w:hAnsiTheme="minorHAnsi" w:cstheme="minorHAnsi"/>
                          </w:rPr>
                        </w:pPr>
                        <w:r w:rsidRPr="00394D50">
                          <w:rPr>
                            <w:rFonts w:asciiTheme="minorHAnsi" w:hAnsiTheme="minorHAnsi" w:cstheme="minorHAnsi"/>
                            <w:w w:val="111"/>
                            <w:sz w:val="18"/>
                          </w:rPr>
                          <w:t>I.</w:t>
                        </w:r>
                        <w:r w:rsidRPr="00394D50">
                          <w:rPr>
                            <w:rFonts w:asciiTheme="minorHAnsi" w:hAnsiTheme="minorHAnsi" w:cstheme="minorHAnsi"/>
                            <w:spacing w:val="-13"/>
                            <w:w w:val="111"/>
                            <w:sz w:val="18"/>
                          </w:rPr>
                          <w:t xml:space="preserve"> </w:t>
                        </w:r>
                        <w:r w:rsidRPr="00394D50">
                          <w:rPr>
                            <w:rFonts w:asciiTheme="minorHAnsi" w:hAnsiTheme="minorHAnsi" w:cstheme="minorHAnsi"/>
                            <w:w w:val="111"/>
                            <w:sz w:val="18"/>
                          </w:rPr>
                          <w:t>Prevenido</w:t>
                        </w:r>
                      </w:p>
                    </w:txbxContent>
                  </v:textbox>
                </v:rect>
                <v:shape id="Shape 11" o:spid="_x0000_s1033" style="position:absolute;left:20689;top:9338;width:2112;height:14511;visibility:visible;mso-wrap-style:square;v-text-anchor:top" coordsize="211226,14510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" path="m,l211226,r,1345463c211226,1403756,163957,1451077,105613,1451077,47269,1451077,,1403756,,1345463l,xe" stroked="f" strokeweight="0">
                  <v:stroke miterlimit="83231f" joinstyle="miter"/>
                  <v:path arrowok="t" textboxrect="0,0,211226,1451077"/>
                </v:shape>
                <v:shape id="Shape 12" o:spid="_x0000_s1034" style="position:absolute;left:20689;top:9338;width:2112;height:14511;visibility:visible;mso-wrap-style:square;v-text-anchor:top" coordsize="211226,14510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" path="m105613,1451077c47269,1451077,,1403756,,1345463l,,211226,r,1345463c211226,1403756,163957,1451077,105613,1451077xe" filled="f" strokecolor="#83a526" strokeweight="1pt">
                  <v:stroke miterlimit="83231f" joinstyle="miter"/>
                  <v:path arrowok="t" textboxrect="0,0,211226,1451077"/>
                </v:shape>
                <v:shape id="Shape 14" o:spid="_x0000_s1035" style="position:absolute;left:20689;top:9537;width:2112;height:7255;visibility:visible;mso-wrap-style:square;v-text-anchor:top" coordsize="211226,7254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" path="m,l211226,r,619862c211226,678206,163957,725488,105613,725488,47269,725488,,678206,,619862l,xe" fillcolor="#85a62a" stroked="f" strokeweight="0">
                  <v:stroke miterlimit="83231f" joinstyle="miter"/>
                  <v:path arrowok="t" textboxrect="0,0,211226,725488"/>
                </v:shape>
                <v:shape id="Shape 15" o:spid="_x0000_s1036" style="position:absolute;left:20689;top:9338;width:2112;height:4917;visibility:visible;mso-wrap-style:square;v-text-anchor:top" coordsize="211226,4917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" path="m,l211226,r,386118c211226,444411,163957,491731,105613,491731,47269,491731,,444411,,386118l,xe" fillcolor="#dbb175" stroked="f" strokeweight="0">
                  <v:stroke miterlimit="83231f" joinstyle="miter"/>
                  <v:path arrowok="t" textboxrect="0,0,211226,491731"/>
                </v:shape>
                <v:shape id="Shape 16" o:spid="_x0000_s1037" style="position:absolute;left:20689;top:9338;width:2112;height:4917;visibility:visible;mso-wrap-style:square;v-text-anchor:top" coordsize="211226,4917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" path="m105613,491731c47269,491731,,444411,,386118l,,211226,r,386118c211226,444411,163957,491731,105613,491731xe" filled="f" strokecolor="#ca8f3a" strokeweight="1pt">
                  <v:stroke miterlimit="83231f" joinstyle="miter"/>
                  <v:path arrowok="t" textboxrect="0,0,211226,491731"/>
                </v:shape>
                <v:shape id="Shape 18" o:spid="_x0000_s1038" style="position:absolute;left:20689;top:9338;width:2112;height:1708;visibility:visible;mso-wrap-style:square;v-text-anchor:top" coordsize="211226,1707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" path="m,l211226,r,65088c211226,123431,163957,170713,105613,170713,47269,170713,,123431,,65088l,xe" fillcolor="#aabd66" stroked="f" strokeweight="0">
                  <v:stroke miterlimit="83231f" joinstyle="miter"/>
                  <v:path arrowok="t" textboxrect="0,0,211226,170713"/>
                </v:shape>
                <v:shape id="Shape 19" o:spid="_x0000_s1039" style="position:absolute;left:20689;top:9338;width:2112;height:1708;visibility:visible;mso-wrap-style:square;v-text-anchor:top" coordsize="211226,1707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" path="m105613,170713c47269,170713,,123431,,65088l,,211226,r,65088c211226,123431,163957,170713,105613,170713xe" filled="f" strokecolor="#83a526" strokeweight="1pt">
                  <v:stroke miterlimit="83231f" joinstyle="miter"/>
                  <v:path arrowok="t" textboxrect="0,0,211226,170713"/>
                </v:shape>
                <v:shape id="Shape 21" o:spid="_x0000_s1040" style="position:absolute;left:36984;top:9338;width:2112;height:1708;visibility:visible;mso-wrap-style:square;v-text-anchor:top" coordsize="211188,1707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" path="m,l211188,r,65088c211188,123431,163957,170713,105575,170713,47231,170713,,123431,,65088l,xe" fillcolor="#cb923f" stroked="f" strokeweight="0">
                  <v:stroke miterlimit="83231f" joinstyle="miter"/>
                  <v:path arrowok="t" textboxrect="0,0,211188,170713"/>
                </v:shape>
                <v:shape id="Shape 22" o:spid="_x0000_s1041" style="position:absolute;left:40490;top:6579;width:2112;height:2716;visibility:visible;mso-wrap-style:square;v-text-anchor:top" coordsize="211239,2715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" path="m105613,v58344,,105626,47269,105626,105613l211239,271564,,271564,,105613c,47269,47270,,105613,xe" fillcolor="#f5cf80" stroked="f" strokeweight="0">
                  <v:stroke miterlimit="83231f" joinstyle="miter"/>
                  <v:path arrowok="t" textboxrect="0,0,211239,271564"/>
                </v:shape>
                <v:shape id="Shape 23" o:spid="_x0000_s1042" style="position:absolute;left:16829;top:9338;width:2112;height:14511;visibility:visible;mso-wrap-style:square;v-text-anchor:top" coordsize="211239,14510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" path="m,l211239,r,1345463c211239,1403756,163957,1451077,105626,1451077,47282,1451077,,1403756,,1345463l,xe" stroked="f" strokeweight="0">
                  <v:stroke miterlimit="83231f" joinstyle="miter"/>
                  <v:path arrowok="t" textboxrect="0,0,211239,1451077"/>
                </v:shape>
                <v:shape id="Shape 24" o:spid="_x0000_s1043" style="position:absolute;left:16829;top:9338;width:2112;height:14511;visibility:visible;mso-wrap-style:square;v-text-anchor:top" coordsize="211239,14510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" path="m105626,1451077c47282,1451077,,1403756,,1345463l,,211239,r,1345463c211239,1403756,163957,1451077,105626,1451077xe" filled="f" strokecolor="#83a526" strokeweight="1pt">
                  <v:stroke miterlimit="83231f" joinstyle="miter"/>
                  <v:path arrowok="t" textboxrect="0,0,211239,1451077"/>
                </v:shape>
                <v:shape id="Shape 26" o:spid="_x0000_s1044" style="position:absolute;left:16829;top:9537;width:2112;height:7255;visibility:visible;mso-wrap-style:square;v-text-anchor:top" coordsize="211239,7254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" path="m,l211239,r,619862c211239,678206,163957,725488,105626,725488,47282,725488,,678206,,619862l,xe" fillcolor="#85a62a" stroked="f" strokeweight="0">
                  <v:stroke miterlimit="83231f" joinstyle="miter"/>
                  <v:path arrowok="t" textboxrect="0,0,211239,725488"/>
                </v:shape>
                <v:shape id="Shape 27" o:spid="_x0000_s1045" style="position:absolute;left:8144;top:2727;width:0;height:23017;visibility:visible;mso-wrap-style:square;v-text-anchor:top" coordsize="0,23017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" path="m,l,2301774e" filled="f" strokecolor="#70706f">
                  <v:stroke miterlimit="83231f" joinstyle="miter" endcap="round"/>
                  <v:path arrowok="t" textboxrect="0,0,0,2301774"/>
                </v:shape>
                <v:shape id="Shape 28" o:spid="_x0000_s1046" style="position:absolute;left:7983;top:2618;width:323;height:299;visibility:visible;mso-wrap-style:square;v-text-anchor:top" coordsize="32296,298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" path="m16116,l32296,16129r,13741l16116,13691,,29870,,16129,16116,xe" fillcolor="#737372" stroked="f" strokeweight="0">
                  <v:stroke miterlimit="83231f" joinstyle="miter" endcap="round"/>
                  <v:path arrowok="t" textboxrect="0,0,32296,29870"/>
                </v:shape>
                <v:shape id="Shape 29" o:spid="_x0000_s1047" style="position:absolute;left:7983;top:25554;width:323;height:299;visibility:visible;mso-wrap-style:square;v-text-anchor:top" coordsize="32296,298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" path="m,l16116,16167,32296,r,13741l16116,29858,,13741,,xe" fillcolor="#737372" stroked="f" strokeweight="0">
                  <v:stroke miterlimit="83231f" joinstyle="miter" endcap="round"/>
                  <v:path arrowok="t" textboxrect="0,0,32296,29858"/>
                </v:shape>
                <v:rect id="Rectangle 30" o:spid="_x0000_s1048" style="position:absolute;left:3626;top:13737;width:5887;height:1770;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" filled="f" stroked="f">
                  <v:textbox inset="0,0,0,0">
                    <w:txbxContent>
                      <w:p w14:paraId="4C2429B4" w14:textId="77777777" w:rsidR="00D55F13" w:rsidRPr="00394D50" w:rsidRDefault="00D55F13" w:rsidP="00A344EC">
                        <w:pPr>
                          <w:spacing w:after="160"/>
                          <w:rPr>
                            <w:rFonts w:asciiTheme="minorHAnsi" w:hAnsiTheme="minorHAnsi" w:cstheme="minorHAnsi"/>
                          </w:rPr>
                        </w:pPr>
                        <w:r w:rsidRPr="00394D50">
                          <w:rPr>
                            <w:rFonts w:asciiTheme="minorHAnsi" w:hAnsiTheme="minorHAnsi" w:cstheme="minorHAnsi"/>
                            <w:sz w:val="18"/>
                          </w:rPr>
                          <w:t>Impacto</w:t>
                        </w:r>
                      </w:p>
                    </w:txbxContent>
                  </v:textbox>
                </v:rect>
                <v:shape id="Shape 31" o:spid="_x0000_s1049" style="position:absolute;left:9170;top:9338;width:2113;height:14511;visibility:visible;mso-wrap-style:square;v-text-anchor:top" coordsize="211290,14510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" path="m,l211290,r,1345463c211290,1403756,163970,1451077,105677,1451077,47333,1451077,,1403756,,1345463l,xe" fillcolor="#aabd66" stroked="f" strokeweight="0">
                  <v:stroke miterlimit="83231f" joinstyle="miter"/>
                  <v:path arrowok="t" textboxrect="0,0,211290,1451077"/>
                </v:shape>
                <v:shape id="Shape 32" o:spid="_x0000_s1050" style="position:absolute;left:9170;top:9338;width:2113;height:14511;visibility:visible;mso-wrap-style:square;v-text-anchor:top" coordsize="211290,14510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" path="m105677,1451077c47333,1451077,,1403756,,1345463l,,211290,r,1345463c211290,1403756,163970,1451077,105677,1451077xe" filled="f" strokecolor="#83a526" strokeweight="1pt">
                  <v:stroke miterlimit="83231f" joinstyle="miter"/>
                  <v:path arrowok="t" textboxrect="0,0,211290,1451077"/>
                </v:shape>
                <v:shape id="Shape 34" o:spid="_x0000_s1051" style="position:absolute;left:12953;top:9338;width:2112;height:14511;visibility:visible;mso-wrap-style:square;v-text-anchor:top" coordsize="211226,14510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" path="m,l211226,r,1345463c211226,1403756,163957,1451077,105613,1451077,47269,1451077,,1403756,,1345463l,xe" stroked="f" strokeweight="0">
                  <v:stroke miterlimit="83231f" joinstyle="miter"/>
                  <v:path arrowok="t" textboxrect="0,0,211226,1451077"/>
                </v:shape>
                <v:shape id="Shape 35" o:spid="_x0000_s1052" style="position:absolute;left:12953;top:9338;width:2112;height:14511;visibility:visible;mso-wrap-style:square;v-text-anchor:top" coordsize="211226,14510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" path="m105613,1451077c47269,1451077,,1403756,,1345463l,,211226,r,1345463c211226,1403756,163957,1451077,105613,1451077xe" filled="f" strokecolor="#83a526" strokeweight="1pt">
                  <v:stroke miterlimit="83231f" joinstyle="miter"/>
                  <v:path arrowok="t" textboxrect="0,0,211226,1451077"/>
                </v:shape>
                <v:shape id="Shape 37" o:spid="_x0000_s1053" style="position:absolute;left:12953;top:9338;width:2112;height:7255;visibility:visible;mso-wrap-style:square;v-text-anchor:top" coordsize="211226,7255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" path="m,l211226,r,619925c211226,678269,163957,725538,105613,725538,47269,725538,,678269,,619925l,xe" fillcolor="#aabd66" stroked="f" strokeweight="0">
                  <v:stroke miterlimit="83231f" joinstyle="miter"/>
                  <v:path arrowok="t" textboxrect="0,0,211226,725538"/>
                </v:shape>
                <v:shape id="Shape 38" o:spid="_x0000_s1054" style="position:absolute;left:12953;top:9338;width:2112;height:7255;visibility:visible;mso-wrap-style:square;v-text-anchor:top" coordsize="211226,7255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" path="m105613,725538c47269,725538,,678269,,619925l,,211226,r,619925c211226,678269,163957,725538,105613,725538xe" filled="f" strokecolor="#83a526" strokeweight="1pt">
                  <v:stroke miterlimit="83231f" joinstyle="miter"/>
                  <v:path arrowok="t" textboxrect="0,0,211226,725538"/>
                </v:shape>
                <v:shape id="Shape 40" o:spid="_x0000_s1055" style="position:absolute;left:16829;top:9338;width:2112;height:4660;visibility:visible;mso-wrap-style:square;v-text-anchor:top" coordsize="211239,4659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" path="m,l211239,r,360363c211239,418656,163957,465988,105626,465988,47282,465988,,418656,,360363l,xe" fillcolor="#aabd66" stroked="f" strokeweight="0">
                  <v:stroke miterlimit="83231f" joinstyle="miter"/>
                  <v:path arrowok="t" textboxrect="0,0,211239,465988"/>
                </v:shape>
                <v:shape id="Shape 41" o:spid="_x0000_s1056" style="position:absolute;left:16829;top:9338;width:2112;height:4660;visibility:visible;mso-wrap-style:square;v-text-anchor:top" coordsize="211239,4659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" path="m105626,465988c47282,465988,,418656,,360363l,,211239,r,360363c211239,418656,163957,465988,105626,465988xe" filled="f" strokecolor="#83a526" strokeweight="1pt">
                  <v:stroke miterlimit="83231f" joinstyle="miter"/>
                  <v:path arrowok="t" textboxrect="0,0,211239,465988"/>
                </v:shape>
                <v:rect id="Rectangle 43" o:spid="_x0000_s1057" style="position:absolute;left:25171;top:9531;width:13400;height:1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" filled="f" stroked="f">
                  <v:textbox inset="0,0,0,0">
                    <w:txbxContent>
                      <w:p w14:paraId="2260CA97" w14:textId="77777777" w:rsidR="00D55F13" w:rsidRPr="00394D50" w:rsidRDefault="00D55F13" w:rsidP="00A344EC">
                        <w:pPr>
                          <w:spacing w:after="160"/>
                          <w:rPr>
                            <w:rFonts w:asciiTheme="minorHAnsi" w:hAnsiTheme="minorHAnsi" w:cstheme="minorHAnsi"/>
                          </w:rPr>
                        </w:pPr>
                        <w:r w:rsidRPr="00394D50">
                          <w:rPr>
                            <w:rFonts w:asciiTheme="minorHAnsi" w:hAnsiTheme="minorHAnsi" w:cstheme="minorHAnsi"/>
                            <w:w w:val="109"/>
                            <w:sz w:val="18"/>
                          </w:rPr>
                          <w:t>I.</w:t>
                        </w:r>
                        <w:r w:rsidRPr="00394D50">
                          <w:rPr>
                            <w:rFonts w:asciiTheme="minorHAnsi" w:hAnsiTheme="minorHAnsi" w:cstheme="minorHAnsi"/>
                            <w:spacing w:val="-13"/>
                            <w:w w:val="109"/>
                            <w:sz w:val="18"/>
                          </w:rPr>
                          <w:t xml:space="preserve"> </w:t>
                        </w:r>
                        <w:r w:rsidRPr="00394D50">
                          <w:rPr>
                            <w:rFonts w:asciiTheme="minorHAnsi" w:hAnsiTheme="minorHAnsi" w:cstheme="minorHAnsi"/>
                            <w:w w:val="109"/>
                            <w:sz w:val="18"/>
                          </w:rPr>
                          <w:t>Residual</w:t>
                        </w:r>
                        <w:r w:rsidRPr="00394D50">
                          <w:rPr>
                            <w:rFonts w:asciiTheme="minorHAnsi" w:hAnsiTheme="minorHAnsi" w:cstheme="minorHAnsi"/>
                            <w:spacing w:val="20"/>
                            <w:w w:val="109"/>
                            <w:sz w:val="18"/>
                          </w:rPr>
                          <w:t xml:space="preserve"> </w:t>
                        </w:r>
                        <w:r w:rsidRPr="00394D50">
                          <w:rPr>
                            <w:rFonts w:asciiTheme="minorHAnsi" w:hAnsiTheme="minorHAnsi" w:cstheme="minorHAnsi"/>
                            <w:w w:val="109"/>
                            <w:sz w:val="18"/>
                          </w:rPr>
                          <w:t>(objeto</w:t>
                        </w:r>
                        <w:r w:rsidRPr="00394D50">
                          <w:rPr>
                            <w:rFonts w:asciiTheme="minorHAnsi" w:hAnsiTheme="minorHAnsi" w:cstheme="minorHAnsi"/>
                            <w:spacing w:val="21"/>
                            <w:w w:val="109"/>
                            <w:sz w:val="18"/>
                          </w:rPr>
                          <w:t xml:space="preserve"> </w:t>
                        </w:r>
                      </w:p>
                    </w:txbxContent>
                  </v:textbox>
                </v:rect>
                <v:rect id="Rectangle 44" o:spid="_x0000_s1058" style="position:absolute;left:25171;top:10903;width:13188;height:17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" filled="f" stroked="f">
                  <v:textbox inset="0,0,0,0">
                    <w:txbxContent>
                      <w:p w14:paraId="7648C16B" w14:textId="77777777" w:rsidR="00D55F13" w:rsidRPr="00394D50" w:rsidRDefault="00D55F13" w:rsidP="00A344EC">
                        <w:pPr>
                          <w:spacing w:after="160"/>
                          <w:rPr>
                            <w:rFonts w:asciiTheme="minorHAnsi" w:hAnsiTheme="minorHAnsi" w:cstheme="minorHAnsi"/>
                          </w:rPr>
                        </w:pPr>
                        <w:r w:rsidRPr="00394D50">
                          <w:rPr>
                            <w:rFonts w:asciiTheme="minorHAnsi" w:hAnsiTheme="minorHAnsi" w:cstheme="minorHAnsi"/>
                            <w:w w:val="110"/>
                            <w:sz w:val="18"/>
                          </w:rPr>
                          <w:t>de</w:t>
                        </w:r>
                        <w:r w:rsidRPr="00394D50">
                          <w:rPr>
                            <w:rFonts w:asciiTheme="minorHAnsi" w:hAnsiTheme="minorHAnsi" w:cstheme="minorHAnsi"/>
                            <w:spacing w:val="-5"/>
                            <w:w w:val="110"/>
                            <w:sz w:val="18"/>
                          </w:rPr>
                          <w:t xml:space="preserve"> </w:t>
                        </w:r>
                        <w:r w:rsidRPr="00394D50">
                          <w:rPr>
                            <w:rFonts w:asciiTheme="minorHAnsi" w:hAnsiTheme="minorHAnsi" w:cstheme="minorHAnsi"/>
                            <w:w w:val="110"/>
                            <w:sz w:val="18"/>
                          </w:rPr>
                          <w:t>compensación)</w:t>
                        </w:r>
                      </w:p>
                    </w:txbxContent>
                  </v:textbox>
                </v:rect>
                <v:rect id="Rectangle 45" o:spid="_x0000_s1059" style="position:absolute;left:9347;top:2182;width:2113;height:17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" filled="f" stroked="f">
                  <v:textbox inset="0,0,0,0">
                    <w:txbxContent>
                      <w:p w14:paraId="60311969" w14:textId="77777777" w:rsidR="00D55F13" w:rsidRPr="00394D50" w:rsidRDefault="00D55F13" w:rsidP="00A344EC">
                        <w:pPr>
                          <w:spacing w:after="160"/>
                          <w:rPr>
                            <w:rFonts w:asciiTheme="minorHAnsi" w:hAnsiTheme="minorHAnsi" w:cstheme="minorHAnsi"/>
                          </w:rPr>
                        </w:pPr>
                        <w:r w:rsidRPr="00394D50">
                          <w:rPr>
                            <w:rFonts w:asciiTheme="minorHAnsi" w:hAnsiTheme="minorHAnsi" w:cstheme="minorHAnsi"/>
                            <w:w w:val="116"/>
                            <w:sz w:val="18"/>
                          </w:rPr>
                          <w:t>(+)</w:t>
                        </w:r>
                      </w:p>
                    </w:txbxContent>
                  </v:textbox>
                </v:rect>
                <v:rect id="Rectangle 46" o:spid="_x0000_s1060" style="position:absolute;left:9347;top:24563;width:2113;height:17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" filled="f" stroked="f">
                  <v:textbox inset="0,0,0,0">
                    <w:txbxContent>
                      <w:p w14:paraId="56A8AE6E" w14:textId="77777777" w:rsidR="00D55F13" w:rsidRPr="00394D50" w:rsidRDefault="00D55F13" w:rsidP="00A344EC">
                        <w:pPr>
                          <w:spacing w:after="160"/>
                          <w:rPr>
                            <w:rFonts w:asciiTheme="minorHAnsi" w:hAnsiTheme="minorHAnsi" w:cstheme="minorHAnsi"/>
                          </w:rPr>
                        </w:pPr>
                        <w:r w:rsidRPr="00394D50">
                          <w:rPr>
                            <w:rFonts w:asciiTheme="minorHAnsi" w:hAnsiTheme="minorHAnsi" w:cstheme="minorHAnsi"/>
                            <w:w w:val="113"/>
                            <w:sz w:val="18"/>
                          </w:rPr>
                          <w:t>(-</w:t>
                        </w:r>
                        <w:r w:rsidRPr="00394D50">
                          <w:rPr>
                            <w:rFonts w:asciiTheme="minorHAnsi" w:hAnsiTheme="minorHAnsi" w:cstheme="minorHAnsi"/>
                            <w:spacing w:val="6"/>
                            <w:w w:val="113"/>
                            <w:sz w:val="18"/>
                          </w:rPr>
                          <w:t xml:space="preserve"> </w:t>
                        </w:r>
                        <w:r w:rsidRPr="00394D50">
                          <w:rPr>
                            <w:rFonts w:asciiTheme="minorHAnsi" w:hAnsiTheme="minorHAnsi" w:cstheme="minorHAnsi"/>
                            <w:w w:val="113"/>
                            <w:sz w:val="18"/>
                          </w:rPr>
                          <w:t>)</w:t>
                        </w:r>
                      </w:p>
                    </w:txbxContent>
                  </v:textbox>
                </v:rect>
                <v:rect id="Rectangle 47" o:spid="_x0000_s1061" style="position:absolute;left:44644;top:14045;width:11450;height:17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" filled="f" stroked="f">
                  <v:textbox inset="0,0,0,0">
                    <w:txbxContent>
                      <w:p w14:paraId="20389146" w14:textId="77777777" w:rsidR="00D55F13" w:rsidRPr="00394D50" w:rsidRDefault="00D55F13" w:rsidP="00A344EC">
                        <w:pPr>
                          <w:spacing w:after="160"/>
                          <w:rPr>
                            <w:rFonts w:asciiTheme="minorHAnsi" w:hAnsiTheme="minorHAnsi" w:cstheme="minorHAnsi"/>
                          </w:rPr>
                        </w:pPr>
                        <w:r w:rsidRPr="00394D50">
                          <w:rPr>
                            <w:rFonts w:asciiTheme="minorHAnsi" w:hAnsiTheme="minorHAnsi" w:cstheme="minorHAnsi"/>
                            <w:w w:val="109"/>
                            <w:sz w:val="18"/>
                          </w:rPr>
                          <w:t>I.</w:t>
                        </w:r>
                        <w:r w:rsidRPr="00394D50">
                          <w:rPr>
                            <w:rFonts w:asciiTheme="minorHAnsi" w:hAnsiTheme="minorHAnsi" w:cstheme="minorHAnsi"/>
                            <w:spacing w:val="-13"/>
                            <w:w w:val="109"/>
                            <w:sz w:val="18"/>
                          </w:rPr>
                          <w:t xml:space="preserve"> </w:t>
                        </w:r>
                        <w:r w:rsidRPr="00394D50">
                          <w:rPr>
                            <w:rFonts w:asciiTheme="minorHAnsi" w:hAnsiTheme="minorHAnsi" w:cstheme="minorHAnsi"/>
                            <w:w w:val="109"/>
                            <w:sz w:val="18"/>
                          </w:rPr>
                          <w:t>Positivo</w:t>
                        </w:r>
                        <w:r w:rsidRPr="00394D50">
                          <w:rPr>
                            <w:rFonts w:asciiTheme="minorHAnsi" w:hAnsiTheme="minorHAnsi" w:cstheme="minorHAnsi"/>
                            <w:spacing w:val="12"/>
                            <w:w w:val="109"/>
                            <w:sz w:val="18"/>
                          </w:rPr>
                          <w:t xml:space="preserve"> </w:t>
                        </w:r>
                        <w:r w:rsidRPr="00394D50">
                          <w:rPr>
                            <w:rFonts w:asciiTheme="minorHAnsi" w:hAnsiTheme="minorHAnsi" w:cstheme="minorHAnsi"/>
                            <w:w w:val="109"/>
                            <w:sz w:val="18"/>
                          </w:rPr>
                          <w:t>adicional</w:t>
                        </w:r>
                      </w:p>
                    </w:txbxContent>
                  </v:textbox>
                </v:rect>
                <v:rect id="Rectangle 48" o:spid="_x0000_s1062" style="position:absolute;left:44644;top:16083;width:10603;height:17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" filled="f" stroked="f">
                  <v:textbox inset="0,0,0,0">
                    <w:txbxContent>
                      <w:p w14:paraId="3529DFB4" w14:textId="77777777" w:rsidR="00D55F13" w:rsidRPr="00394D50" w:rsidRDefault="00D55F13" w:rsidP="00A344EC">
                        <w:pPr>
                          <w:spacing w:after="160"/>
                          <w:rPr>
                            <w:rFonts w:asciiTheme="minorHAnsi" w:hAnsiTheme="minorHAnsi" w:cstheme="minorHAnsi"/>
                          </w:rPr>
                        </w:pPr>
                        <w:r w:rsidRPr="00394D50">
                          <w:rPr>
                            <w:rFonts w:asciiTheme="minorHAnsi" w:hAnsiTheme="minorHAnsi" w:cstheme="minorHAnsi"/>
                            <w:w w:val="110"/>
                            <w:sz w:val="18"/>
                          </w:rPr>
                          <w:t>I.</w:t>
                        </w:r>
                        <w:r w:rsidRPr="00394D50">
                          <w:rPr>
                            <w:rFonts w:asciiTheme="minorHAnsi" w:hAnsiTheme="minorHAnsi" w:cstheme="minorHAnsi"/>
                            <w:spacing w:val="-10"/>
                            <w:w w:val="110"/>
                            <w:sz w:val="18"/>
                          </w:rPr>
                          <w:t xml:space="preserve"> </w:t>
                        </w:r>
                        <w:r w:rsidRPr="00394D50">
                          <w:rPr>
                            <w:rFonts w:asciiTheme="minorHAnsi" w:hAnsiTheme="minorHAnsi" w:cstheme="minorHAnsi"/>
                            <w:w w:val="110"/>
                            <w:sz w:val="18"/>
                          </w:rPr>
                          <w:t>Compensado</w:t>
                        </w:r>
                      </w:p>
                    </w:txbxContent>
                  </v:textbox>
                </v:rect>
                <v:rect id="Rectangle 50" o:spid="_x0000_s1063" style="position:absolute;left:44644;top:20147;width:7265;height:1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" filled="f" stroked="f">
                  <v:textbox inset="0,0,0,0">
                    <w:txbxContent>
                      <w:p w14:paraId="6B39FD67" w14:textId="77777777" w:rsidR="00D55F13" w:rsidRPr="00394D50" w:rsidRDefault="00D55F13" w:rsidP="00A344EC">
                        <w:pPr>
                          <w:spacing w:after="160"/>
                          <w:rPr>
                            <w:rFonts w:asciiTheme="minorHAnsi" w:hAnsiTheme="minorHAnsi" w:cstheme="minorHAnsi"/>
                          </w:rPr>
                        </w:pPr>
                        <w:r w:rsidRPr="00394D50">
                          <w:rPr>
                            <w:rFonts w:asciiTheme="minorHAnsi" w:hAnsiTheme="minorHAnsi" w:cstheme="minorHAnsi"/>
                            <w:w w:val="106"/>
                            <w:sz w:val="18"/>
                          </w:rPr>
                          <w:t>I.</w:t>
                        </w:r>
                        <w:r w:rsidRPr="00394D50">
                          <w:rPr>
                            <w:rFonts w:asciiTheme="minorHAnsi" w:hAnsiTheme="minorHAnsi" w:cstheme="minorHAnsi"/>
                            <w:spacing w:val="-13"/>
                            <w:w w:val="106"/>
                            <w:sz w:val="18"/>
                          </w:rPr>
                          <w:t xml:space="preserve"> </w:t>
                        </w:r>
                        <w:r w:rsidRPr="00394D50">
                          <w:rPr>
                            <w:rFonts w:asciiTheme="minorHAnsi" w:hAnsiTheme="minorHAnsi" w:cstheme="minorHAnsi"/>
                            <w:w w:val="106"/>
                            <w:sz w:val="18"/>
                          </w:rPr>
                          <w:t>Mitigado</w:t>
                        </w:r>
                      </w:p>
                    </w:txbxContent>
                  </v:textbox>
                </v:rect>
                <v:rect id="Rectangle 52" o:spid="_x0000_s1064" style="position:absolute;left:44644;top:24366;width:7783;height:1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" filled="f" stroked="f">
                  <v:textbox inset="0,0,0,0">
                    <w:txbxContent>
                      <w:p w14:paraId="6FDF01F5" w14:textId="77777777" w:rsidR="00D55F13" w:rsidRPr="00394D50" w:rsidRDefault="00D55F13" w:rsidP="00A344EC">
                        <w:pPr>
                          <w:spacing w:after="160"/>
                          <w:rPr>
                            <w:rFonts w:asciiTheme="minorHAnsi" w:hAnsiTheme="minorHAnsi" w:cstheme="minorHAnsi"/>
                          </w:rPr>
                        </w:pPr>
                        <w:r w:rsidRPr="00394D50">
                          <w:rPr>
                            <w:rFonts w:asciiTheme="minorHAnsi" w:hAnsiTheme="minorHAnsi" w:cstheme="minorHAnsi"/>
                            <w:w w:val="109"/>
                            <w:sz w:val="18"/>
                          </w:rPr>
                          <w:t>I.</w:t>
                        </w:r>
                        <w:r w:rsidRPr="00394D50">
                          <w:rPr>
                            <w:rFonts w:asciiTheme="minorHAnsi" w:hAnsiTheme="minorHAnsi" w:cstheme="minorHAnsi"/>
                            <w:spacing w:val="-13"/>
                            <w:w w:val="109"/>
                            <w:sz w:val="18"/>
                          </w:rPr>
                          <w:t xml:space="preserve"> </w:t>
                        </w:r>
                        <w:r w:rsidRPr="00394D50">
                          <w:rPr>
                            <w:rFonts w:asciiTheme="minorHAnsi" w:hAnsiTheme="minorHAnsi" w:cstheme="minorHAnsi"/>
                            <w:w w:val="109"/>
                            <w:sz w:val="18"/>
                          </w:rPr>
                          <w:t>Potencial</w:t>
                        </w:r>
                      </w:p>
                    </w:txbxContent>
                  </v:textbox>
                </v:rect>
                <v:shape id="Shape 53" o:spid="_x0000_s1065" style="position:absolute;left:23166;top:9589;width:820;height:1207;visibility:visible;mso-wrap-style:square;v-text-anchor:top" coordsize="82042,1207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" path="m,l82042,r,120701l,120701e" filled="f" strokecolor="#70706f">
                  <v:stroke miterlimit="83231f" joinstyle="miter" endcap="round"/>
                  <v:path arrowok="t" textboxrect="0,0,82042,120701"/>
                </v:shape>
                <v:shape id="Shape 54" o:spid="_x0000_s1066" style="position:absolute;left:23986;top:10192;width:575;height:0;visibility:visible;mso-wrap-style:square;v-text-anchor:top" coordsize="575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" path="m,l57506,e" filled="f" strokecolor="#70706f">
                  <v:stroke miterlimit="83231f" joinstyle="miter" endcap="round"/>
                  <v:path arrowok="t" textboxrect="0,0,57506,0"/>
                </v:shape>
                <v:shape id="Shape 55" o:spid="_x0000_s1067" style="position:absolute;left:42818;top:14383;width:1016;height:1015;visibility:visible;mso-wrap-style:square;v-text-anchor:top" coordsize="101549,1015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" path="m50800,v28029,,50749,22720,50749,50749c101549,78829,78829,101549,50800,101549,22771,101549,,78829,,50749,,22720,22771,,50800,xe" fillcolor="#f5cf80" stroked="f" strokeweight="0">
                  <v:stroke miterlimit="83231f" joinstyle="miter" endcap="round"/>
                  <v:path arrowok="t" textboxrect="0,0,101549,101549"/>
                </v:shape>
                <v:shape id="Shape 56" o:spid="_x0000_s1068" style="position:absolute;left:42818;top:16228;width:1016;height:1016;visibility:visible;mso-wrap-style:square;v-text-anchor:top" coordsize="101549,1015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" path="m50800,v28029,,50749,22720,50749,50800c101549,78829,78829,101562,50800,101562,22771,101562,,78829,,50800,,22720,22771,,50800,xe" fillcolor="#cb923f" stroked="f" strokeweight="0">
                  <v:stroke miterlimit="83231f" joinstyle="miter" endcap="round"/>
                  <v:path arrowok="t" textboxrect="0,0,101549,101562"/>
                </v:shape>
                <v:shape id="Shape 57" o:spid="_x0000_s1069" style="position:absolute;left:42805;top:18308;width:1016;height:1016;visibility:visible;mso-wrap-style:square;v-text-anchor:top" coordsize="101549,1015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" path="m50800,v28029,,50749,22733,50749,50762c101549,78829,78829,101562,50800,101562,22771,101562,,78829,,50762,,22733,22771,,50800,xe" stroked="f" strokeweight="0">
                  <v:stroke miterlimit="83231f" joinstyle="miter" endcap="round"/>
                  <v:path arrowok="t" textboxrect="0,0,101549,101562"/>
                </v:shape>
                <v:shape id="Shape 58" o:spid="_x0000_s1070" style="position:absolute;left:42818;top:18308;width:1016;height:1016;visibility:visible;mso-wrap-style:square;v-text-anchor:top" coordsize="101549,1015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" path="m101549,50762v,28067,-22720,50800,-50749,50800c22771,101562,,78829,,50762,,22733,22771,,50800,v28029,,50749,22733,50749,50762xe" filled="f" strokecolor="#83a526" strokeweight="1pt">
                  <v:stroke miterlimit="83231f" joinstyle="miter"/>
                  <v:path arrowok="t" textboxrect="0,0,101549,101562"/>
                </v:shape>
                <v:shape id="Shape 60" o:spid="_x0000_s1071" style="position:absolute;left:42818;top:20316;width:1016;height:1015;visibility:visible;mso-wrap-style:square;v-text-anchor:top" coordsize="101549,1014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" path="m50800,v28029,,50749,22720,50749,50749c101549,78778,78829,101498,50800,101498,22771,101498,,78778,,50749,,22720,22771,,50800,xe" fillcolor="#85a62a" stroked="f" strokeweight="0">
                  <v:stroke miterlimit="83231f" joinstyle="miter"/>
                  <v:path arrowok="t" textboxrect="0,0,101549,101498"/>
                </v:shape>
                <v:shape id="Shape 61" o:spid="_x0000_s1072" style="position:absolute;left:42818;top:22412;width:1016;height:1016;visibility:visible;mso-wrap-style:square;v-text-anchor:top" coordsize="101549,1015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" path="m50800,v28029,,50749,22771,50749,50800c101549,78829,78829,101549,50800,101549,22771,101549,,78829,,50800,,22771,22771,,50800,xe" fillcolor="#dbb175" stroked="f" strokeweight="0">
                  <v:stroke miterlimit="83231f" joinstyle="miter"/>
                  <v:path arrowok="t" textboxrect="0,0,101549,101549"/>
                </v:shape>
                <v:shape id="Shape 62" o:spid="_x0000_s1073" style="position:absolute;left:42818;top:22358;width:1016;height:1016;visibility:visible;mso-wrap-style:square;v-text-anchor:top" coordsize="101549,1015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" path="m101549,50800v,28029,-22720,50749,-50749,50749c22771,101549,,78829,,50800,,22771,22771,,50800,v28029,,50749,22771,50749,50800xe" filled="f" strokecolor="#ca8f3a" strokeweight="1pt">
                  <v:stroke miterlimit="83231f" joinstyle="miter"/>
                  <v:path arrowok="t" textboxrect="0,0,101549,101549"/>
                </v:shape>
                <v:shape id="Shape 64" o:spid="_x0000_s1074" style="position:absolute;left:42818;top:24366;width:1016;height:1016;visibility:visible;mso-wrap-style:square;v-text-anchor:top" coordsize="101549,1015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" path="m50800,v28029,,50749,22720,50749,50749c101549,78778,78829,101549,50800,101549,22771,101549,,78778,,50749,,22720,22771,,50800,xe" fillcolor="#aabd66" stroked="f" strokeweight="0">
                  <v:stroke miterlimit="83231f" joinstyle="miter"/>
                  <v:path arrowok="t" textboxrect="0,0,101549,101549"/>
                </v:shape>
                <v:shape id="Shape 65" o:spid="_x0000_s1075" style="position:absolute;left:42805;top:24366;width:1016;height:1016;visibility:visible;mso-wrap-style:square;v-text-anchor:top" coordsize="101549,1015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" path="m101549,50749v,28029,-22720,50800,-50749,50800c22771,101549,,78778,,50749,,22720,22771,,50800,v28029,,50749,22720,50749,50749xe" filled="f" strokecolor="#83a526" strokeweight="1pt">
                  <v:stroke miterlimit="83231f" joinstyle="miter"/>
                  <v:path arrowok="t" textboxrect="0,0,101549,101549"/>
                </v:shape>
                <v:shape id="Shape 67" o:spid="_x0000_s1076" style="position:absolute;left:8104;top:9317;width:35717;height:0;visibility:visible;mso-wrap-style:square;v-text-anchor:top" coordsize="35716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" path="m3571672,l,e" filled="f" strokecolor="#70706f">
                  <v:stroke miterlimit="83231f" joinstyle="miter" endcap="round"/>
                  <v:path arrowok="t" textboxrect="0,0,3571672,0"/>
                </v:shape>
                <v:rect id="Rectangle 68" o:spid="_x0000_s1077" style="position:absolute;left:9386;top:22140;width:2167;height:13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" filled="f" stroked="f">
                  <v:textbox inset="0,0,0,0">
                    <w:txbxContent>
                      <w:p w14:paraId="595B0A8A" w14:textId="77777777" w:rsidR="00D55F13" w:rsidRPr="00394D50" w:rsidRDefault="00D55F13" w:rsidP="00A344EC">
                        <w:pPr>
                          <w:spacing w:after="160"/>
                          <w:rPr>
                            <w:rFonts w:asciiTheme="minorHAnsi" w:hAnsiTheme="minorHAnsi" w:cstheme="minorHAnsi"/>
                          </w:rPr>
                        </w:pPr>
                        <w:r w:rsidRPr="00394D50">
                          <w:rPr>
                            <w:rFonts w:asciiTheme="minorHAnsi" w:hAnsiTheme="minorHAnsi" w:cstheme="minorHAnsi"/>
                            <w:w w:val="111"/>
                            <w:sz w:val="14"/>
                          </w:rPr>
                          <w:t>-</w:t>
                        </w:r>
                        <w:r w:rsidRPr="00394D50">
                          <w:rPr>
                            <w:rFonts w:asciiTheme="minorHAnsi" w:hAnsiTheme="minorHAnsi" w:cstheme="minorHAnsi"/>
                            <w:spacing w:val="5"/>
                            <w:w w:val="111"/>
                            <w:sz w:val="14"/>
                          </w:rPr>
                          <w:t xml:space="preserve"> </w:t>
                        </w:r>
                        <w:r w:rsidRPr="00394D50">
                          <w:rPr>
                            <w:rFonts w:asciiTheme="minorHAnsi" w:hAnsiTheme="minorHAnsi" w:cstheme="minorHAnsi"/>
                            <w:w w:val="111"/>
                            <w:sz w:val="14"/>
                          </w:rPr>
                          <w:t>10</w:t>
                        </w:r>
                      </w:p>
                    </w:txbxContent>
                  </v:textbox>
                </v:rect>
                <v:rect id="Rectangle 69" o:spid="_x0000_s1078" style="position:absolute;left:13415;top:14919;width:1425;height:13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" filled="f" stroked="f">
                  <v:textbox inset="0,0,0,0">
                    <w:txbxContent>
                      <w:p w14:paraId="14B0379D" w14:textId="77777777" w:rsidR="00D55F13" w:rsidRPr="00394D50" w:rsidRDefault="00D55F13" w:rsidP="00A344EC">
                        <w:pPr>
                          <w:spacing w:after="160"/>
                          <w:rPr>
                            <w:rFonts w:asciiTheme="minorHAnsi" w:hAnsiTheme="minorHAnsi" w:cstheme="minorHAnsi"/>
                          </w:rPr>
                        </w:pPr>
                        <w:r w:rsidRPr="00394D50">
                          <w:rPr>
                            <w:rFonts w:asciiTheme="minorHAnsi" w:hAnsiTheme="minorHAnsi" w:cstheme="minorHAnsi"/>
                            <w:spacing w:val="36"/>
                            <w:w w:val="110"/>
                            <w:sz w:val="14"/>
                          </w:rPr>
                          <w:t>-5</w:t>
                        </w:r>
                      </w:p>
                    </w:txbxContent>
                  </v:textbox>
                </v:rect>
                <v:rect id="Rectangle 70" o:spid="_x0000_s1079" style="position:absolute;left:17368;top:12258;width:1426;height:13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" filled="f" stroked="f">
                  <v:textbox inset="0,0,0,0">
                    <w:txbxContent>
                      <w:p w14:paraId="47522F97" w14:textId="77777777" w:rsidR="00D55F13" w:rsidRPr="00394D50" w:rsidRDefault="00D55F13" w:rsidP="00A344EC">
                        <w:pPr>
                          <w:spacing w:after="160"/>
                          <w:rPr>
                            <w:rFonts w:asciiTheme="minorHAnsi" w:hAnsiTheme="minorHAnsi" w:cstheme="minorHAnsi"/>
                          </w:rPr>
                        </w:pPr>
                        <w:r w:rsidRPr="00394D50">
                          <w:rPr>
                            <w:rFonts w:asciiTheme="minorHAnsi" w:hAnsiTheme="minorHAnsi" w:cstheme="minorHAnsi"/>
                            <w:spacing w:val="36"/>
                            <w:w w:val="110"/>
                            <w:sz w:val="14"/>
                          </w:rPr>
                          <w:t>-3</w:t>
                        </w:r>
                      </w:p>
                    </w:txbxContent>
                  </v:textbox>
                </v:rect>
                <v:rect id="Rectangle 71" o:spid="_x0000_s1080" style="position:absolute;left:21201;top:9515;width:1425;height:13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" filled="f" stroked="f">
                  <v:textbox inset="0,0,0,0">
                    <w:txbxContent>
                      <w:p w14:paraId="36F89E7B" w14:textId="77777777" w:rsidR="00D55F13" w:rsidRPr="00394D50" w:rsidRDefault="00D55F13" w:rsidP="00A344EC">
                        <w:pPr>
                          <w:spacing w:after="160"/>
                          <w:rPr>
                            <w:rFonts w:asciiTheme="minorHAnsi" w:hAnsiTheme="minorHAnsi" w:cstheme="minorHAnsi"/>
                          </w:rPr>
                        </w:pPr>
                        <w:r w:rsidRPr="00394D50">
                          <w:rPr>
                            <w:rFonts w:asciiTheme="minorHAnsi" w:hAnsiTheme="minorHAnsi" w:cstheme="minorHAnsi"/>
                            <w:spacing w:val="36"/>
                            <w:w w:val="110"/>
                            <w:sz w:val="14"/>
                          </w:rPr>
                          <w:t>-1</w:t>
                        </w:r>
                      </w:p>
                    </w:txbxContent>
                  </v:textbox>
                </v:rect>
                <w10:anchorlock/>
              </v:group>
            </w:pict>
          </mc:Fallback>
        </mc:AlternateContent>
      </w:r>
    </w:p>
    <w:p w14:paraId="1C373D93" w14:textId="77777777" w:rsidR="00A344EC" w:rsidRPr="00BD1319" w:rsidRDefault="00A344EC" w:rsidP="00A344EC">
      <w:pPr>
        <w:numPr>
          <w:ilvl w:val="12"/>
          <w:numId w:val="0"/>
        </w:numPr>
        <w:tabs>
          <w:tab w:val="left" w:pos="-2268"/>
        </w:tabs>
        <w:suppressAutoHyphens/>
        <w:jc w:val="center"/>
        <w:rPr>
          <w:spacing w:val="-3"/>
          <w:sz w:val="22"/>
        </w:rPr>
      </w:pPr>
      <w:r w:rsidRPr="00BD1319">
        <w:rPr>
          <w:b/>
          <w:spacing w:val="-3"/>
          <w:sz w:val="20"/>
        </w:rPr>
        <w:t>Fuente:</w:t>
      </w:r>
      <w:r w:rsidRPr="00BD1319">
        <w:rPr>
          <w:spacing w:val="-3"/>
          <w:sz w:val="20"/>
        </w:rPr>
        <w:t xml:space="preserve"> Modificado de OCDE (2016).</w:t>
      </w:r>
    </w:p>
    <w:p w14:paraId="0E41ED8C" w14:textId="6DCB23BD" w:rsidR="00A344EC" w:rsidRPr="00BD1319" w:rsidRDefault="00A344EC" w:rsidP="005A0F59">
      <w:pPr>
        <w:numPr>
          <w:ilvl w:val="12"/>
          <w:numId w:val="0"/>
        </w:numPr>
        <w:tabs>
          <w:tab w:val="left" w:pos="-2268"/>
        </w:tabs>
        <w:suppressAutoHyphens/>
        <w:ind w:left="851" w:right="902"/>
        <w:rPr>
          <w:spacing w:val="-3"/>
          <w:sz w:val="20"/>
        </w:rPr>
      </w:pPr>
      <w:r w:rsidRPr="00BD1319">
        <w:rPr>
          <w:spacing w:val="-3"/>
          <w:sz w:val="20"/>
        </w:rPr>
        <w:t>Se debe procurar, en la medida que lo permita el proyecto, obra o actividad, que los impactos prevenidos correspondan a aquellos impactos que ocasionan un mayor deterioro ambiental (que tienen un mayor valor negativo), y que los impactos residuales que son objeto de compensación, correspondan a aquellos que generan un menor deterioro ambiental (</w:t>
      </w:r>
      <w:r w:rsidR="009F3E4E" w:rsidRPr="00BD1319">
        <w:rPr>
          <w:spacing w:val="-3"/>
          <w:sz w:val="20"/>
        </w:rPr>
        <w:t xml:space="preserve">que </w:t>
      </w:r>
      <w:r w:rsidRPr="00BD1319">
        <w:rPr>
          <w:spacing w:val="-3"/>
          <w:sz w:val="20"/>
        </w:rPr>
        <w:t>tienen un menor valor negativo).</w:t>
      </w:r>
    </w:p>
    <w:p w14:paraId="254998F3" w14:textId="77777777" w:rsidR="00A344EC" w:rsidRPr="00BD1319" w:rsidRDefault="00A344EC" w:rsidP="00D277E7">
      <w:pPr>
        <w:numPr>
          <w:ilvl w:val="12"/>
          <w:numId w:val="0"/>
        </w:numPr>
        <w:tabs>
          <w:tab w:val="left" w:pos="-2268"/>
        </w:tabs>
        <w:suppressAutoHyphens/>
        <w:rPr>
          <w:rFonts w:cs="Arial"/>
          <w:spacing w:val="-3"/>
        </w:rPr>
      </w:pPr>
    </w:p>
    <w:p w14:paraId="0C987A41" w14:textId="446D2E8E" w:rsidR="006960D4" w:rsidRPr="00BD1319" w:rsidRDefault="006960D4" w:rsidP="00D277E7">
      <w:pPr>
        <w:numPr>
          <w:ilvl w:val="12"/>
          <w:numId w:val="0"/>
        </w:numPr>
        <w:tabs>
          <w:tab w:val="left" w:pos="-2268"/>
        </w:tabs>
        <w:suppressAutoHyphens/>
        <w:rPr>
          <w:spacing w:val="-3"/>
        </w:rPr>
      </w:pPr>
      <w:r w:rsidRPr="00BD1319">
        <w:rPr>
          <w:spacing w:val="-3"/>
        </w:rPr>
        <w:t>E</w:t>
      </w:r>
      <w:r w:rsidR="00D277E7" w:rsidRPr="00BD1319">
        <w:rPr>
          <w:spacing w:val="-3"/>
        </w:rPr>
        <w:t xml:space="preserve">s importante que </w:t>
      </w:r>
      <w:r w:rsidRPr="00BD1319">
        <w:rPr>
          <w:spacing w:val="-3"/>
        </w:rPr>
        <w:t xml:space="preserve">desde la instancia de DAA, en el marco del proceso de </w:t>
      </w:r>
      <w:r w:rsidR="009E4AF4" w:rsidRPr="00BD1319">
        <w:rPr>
          <w:spacing w:val="-3"/>
        </w:rPr>
        <w:t xml:space="preserve">establecimiento </w:t>
      </w:r>
      <w:r w:rsidRPr="00BD1319">
        <w:rPr>
          <w:spacing w:val="-3"/>
        </w:rPr>
        <w:t xml:space="preserve">de posibles soluciones y medidas de control y mitigación de cada una de las alternativas, se </w:t>
      </w:r>
      <w:r w:rsidR="00D277E7" w:rsidRPr="00BD1319">
        <w:rPr>
          <w:spacing w:val="-3"/>
        </w:rPr>
        <w:t xml:space="preserve">procure el cumplimiento de esta jerarquía, </w:t>
      </w:r>
      <w:r w:rsidRPr="00BD1319">
        <w:rPr>
          <w:spacing w:val="-3"/>
        </w:rPr>
        <w:t>de tal forma</w:t>
      </w:r>
      <w:r w:rsidR="00D277E7" w:rsidRPr="00BD1319">
        <w:rPr>
          <w:spacing w:val="-3"/>
        </w:rPr>
        <w:t xml:space="preserve"> que </w:t>
      </w:r>
      <w:r w:rsidRPr="00BD1319">
        <w:rPr>
          <w:spacing w:val="-3"/>
        </w:rPr>
        <w:t xml:space="preserve">en la estructuración de </w:t>
      </w:r>
      <w:r w:rsidR="00D277E7" w:rsidRPr="00BD1319">
        <w:rPr>
          <w:spacing w:val="-3"/>
        </w:rPr>
        <w:t>las diferentes posibilidades de implementar un proyecto</w:t>
      </w:r>
      <w:r w:rsidR="008A674A" w:rsidRPr="00BD1319">
        <w:rPr>
          <w:spacing w:val="-3"/>
        </w:rPr>
        <w:t>, obra o actividad</w:t>
      </w:r>
      <w:r w:rsidR="00D277E7" w:rsidRPr="00BD1319">
        <w:rPr>
          <w:spacing w:val="-3"/>
        </w:rPr>
        <w:t xml:space="preserve"> (de ubicación, trazado, tecnología, diseño, entre otras), </w:t>
      </w:r>
      <w:r w:rsidRPr="00BD1319">
        <w:rPr>
          <w:spacing w:val="-3"/>
        </w:rPr>
        <w:t xml:space="preserve">se </w:t>
      </w:r>
      <w:r w:rsidR="00D277E7" w:rsidRPr="00BD1319">
        <w:rPr>
          <w:spacing w:val="-3"/>
        </w:rPr>
        <w:t xml:space="preserve">prevea </w:t>
      </w:r>
      <w:r w:rsidRPr="00BD1319">
        <w:rPr>
          <w:spacing w:val="-3"/>
        </w:rPr>
        <w:t xml:space="preserve">la </w:t>
      </w:r>
      <w:r w:rsidRPr="00BD1319">
        <w:rPr>
          <w:spacing w:val="-3"/>
        </w:rPr>
        <w:lastRenderedPageBreak/>
        <w:t xml:space="preserve">aplicación de aquellas soluciones y medidas de control y mitigación, que eviten, </w:t>
      </w:r>
      <w:r w:rsidR="00D277E7" w:rsidRPr="00BD1319">
        <w:rPr>
          <w:spacing w:val="-3"/>
        </w:rPr>
        <w:t>preven</w:t>
      </w:r>
      <w:r w:rsidRPr="00BD1319">
        <w:rPr>
          <w:spacing w:val="-3"/>
        </w:rPr>
        <w:t>gan</w:t>
      </w:r>
      <w:r w:rsidR="00D277E7" w:rsidRPr="00BD1319">
        <w:rPr>
          <w:spacing w:val="-3"/>
        </w:rPr>
        <w:t>, mitig</w:t>
      </w:r>
      <w:r w:rsidRPr="00BD1319">
        <w:rPr>
          <w:spacing w:val="-3"/>
        </w:rPr>
        <w:t>uen</w:t>
      </w:r>
      <w:r w:rsidR="00D277E7" w:rsidRPr="00BD1319">
        <w:rPr>
          <w:spacing w:val="-3"/>
        </w:rPr>
        <w:t>, corr</w:t>
      </w:r>
      <w:r w:rsidRPr="00BD1319">
        <w:rPr>
          <w:spacing w:val="-3"/>
        </w:rPr>
        <w:t>ijan</w:t>
      </w:r>
      <w:r w:rsidR="00D277E7" w:rsidRPr="00BD1319">
        <w:rPr>
          <w:spacing w:val="-3"/>
        </w:rPr>
        <w:t xml:space="preserve"> y compens</w:t>
      </w:r>
      <w:r w:rsidRPr="00BD1319">
        <w:rPr>
          <w:spacing w:val="-3"/>
        </w:rPr>
        <w:t>en</w:t>
      </w:r>
      <w:r w:rsidR="00D277E7" w:rsidRPr="00BD1319">
        <w:rPr>
          <w:spacing w:val="-3"/>
        </w:rPr>
        <w:t xml:space="preserve"> (en ese orden) los impactos ambientales </w:t>
      </w:r>
      <w:r w:rsidRPr="00BD1319">
        <w:rPr>
          <w:spacing w:val="-3"/>
        </w:rPr>
        <w:t xml:space="preserve">potenciales </w:t>
      </w:r>
      <w:r w:rsidR="00D277E7" w:rsidRPr="00BD1319">
        <w:rPr>
          <w:spacing w:val="-3"/>
        </w:rPr>
        <w:t xml:space="preserve">que </w:t>
      </w:r>
      <w:r w:rsidRPr="00BD1319">
        <w:rPr>
          <w:spacing w:val="-3"/>
        </w:rPr>
        <w:t xml:space="preserve">cada una de dichas alternativas </w:t>
      </w:r>
      <w:r w:rsidR="00D277E7" w:rsidRPr="00BD1319">
        <w:rPr>
          <w:spacing w:val="-3"/>
        </w:rPr>
        <w:t>pueda generar.</w:t>
      </w:r>
    </w:p>
    <w:p w14:paraId="40D8B146" w14:textId="77777777" w:rsidR="006960D4" w:rsidRPr="00BD1319" w:rsidRDefault="006960D4" w:rsidP="00D277E7">
      <w:pPr>
        <w:numPr>
          <w:ilvl w:val="12"/>
          <w:numId w:val="0"/>
        </w:numPr>
        <w:tabs>
          <w:tab w:val="left" w:pos="-2268"/>
        </w:tabs>
        <w:suppressAutoHyphens/>
        <w:rPr>
          <w:spacing w:val="-3"/>
        </w:rPr>
      </w:pPr>
    </w:p>
    <w:p w14:paraId="6BBC0444" w14:textId="684DA7A1" w:rsidR="00D277E7" w:rsidRPr="00BD1319" w:rsidRDefault="006960D4" w:rsidP="00D277E7">
      <w:pPr>
        <w:numPr>
          <w:ilvl w:val="12"/>
          <w:numId w:val="0"/>
        </w:numPr>
        <w:tabs>
          <w:tab w:val="left" w:pos="-2268"/>
        </w:tabs>
        <w:suppressAutoHyphens/>
        <w:rPr>
          <w:spacing w:val="-3"/>
        </w:rPr>
      </w:pPr>
      <w:r w:rsidRPr="00BD1319">
        <w:rPr>
          <w:spacing w:val="-3"/>
        </w:rPr>
        <w:t>Por otra parte, es importante resaltar que</w:t>
      </w:r>
      <w:r w:rsidR="00B872A4" w:rsidRPr="00BD1319">
        <w:rPr>
          <w:spacing w:val="-3"/>
        </w:rPr>
        <w:t>,</w:t>
      </w:r>
      <w:r w:rsidRPr="00BD1319">
        <w:rPr>
          <w:spacing w:val="-3"/>
        </w:rPr>
        <w:t xml:space="preserve"> en ninguna circunstancia la aplicación de la</w:t>
      </w:r>
      <w:r w:rsidR="00D277E7" w:rsidRPr="00BD1319">
        <w:rPr>
          <w:spacing w:val="-3"/>
        </w:rPr>
        <w:t xml:space="preserve"> jerarquía de las medidas de manejo</w:t>
      </w:r>
      <w:r w:rsidRPr="00BD1319">
        <w:rPr>
          <w:spacing w:val="-3"/>
        </w:rPr>
        <w:t xml:space="preserve"> puede emplearse para soportar la limitación </w:t>
      </w:r>
      <w:r w:rsidR="00B872A4" w:rsidRPr="00BD1319">
        <w:t>o vulneración</w:t>
      </w:r>
      <w:r w:rsidR="00B872A4" w:rsidRPr="00BD1319">
        <w:rPr>
          <w:spacing w:val="-3"/>
        </w:rPr>
        <w:t xml:space="preserve"> </w:t>
      </w:r>
      <w:r w:rsidRPr="00BD1319">
        <w:rPr>
          <w:spacing w:val="-3"/>
        </w:rPr>
        <w:t>de los derechos fundamentales de una población</w:t>
      </w:r>
      <w:r w:rsidR="00B872A4" w:rsidRPr="00BD1319">
        <w:rPr>
          <w:spacing w:val="-3"/>
        </w:rPr>
        <w:t xml:space="preserve"> </w:t>
      </w:r>
      <w:r w:rsidR="00B872A4" w:rsidRPr="00BD1319">
        <w:t>o de alguna de las personas u organizaciones que la componen</w:t>
      </w:r>
      <w:r w:rsidRPr="00BD1319">
        <w:rPr>
          <w:spacing w:val="-3"/>
        </w:rPr>
        <w:t xml:space="preserve">, independientemente de que el </w:t>
      </w:r>
      <w:r w:rsidR="00D277E7" w:rsidRPr="00BD1319">
        <w:rPr>
          <w:spacing w:val="-3"/>
        </w:rPr>
        <w:t>proyecto previsto genere beneficios en otros ámbitos.</w:t>
      </w:r>
    </w:p>
    <w:p w14:paraId="3EEA3B42" w14:textId="77777777" w:rsidR="00D277E7" w:rsidRPr="00BD1319" w:rsidRDefault="00D277E7" w:rsidP="00D277E7">
      <w:pPr>
        <w:numPr>
          <w:ilvl w:val="12"/>
          <w:numId w:val="0"/>
        </w:numPr>
        <w:tabs>
          <w:tab w:val="left" w:pos="-2268"/>
        </w:tabs>
        <w:suppressAutoHyphens/>
        <w:rPr>
          <w:spacing w:val="-3"/>
        </w:rPr>
      </w:pPr>
    </w:p>
    <w:p w14:paraId="3AF0204E" w14:textId="77777777" w:rsidR="00D277E7" w:rsidRPr="00BD1319" w:rsidRDefault="00D277E7" w:rsidP="006052B3">
      <w:pPr>
        <w:numPr>
          <w:ilvl w:val="0"/>
          <w:numId w:val="41"/>
        </w:numPr>
        <w:tabs>
          <w:tab w:val="left" w:pos="-2268"/>
        </w:tabs>
        <w:suppressAutoHyphens/>
        <w:ind w:left="567" w:hanging="567"/>
        <w:rPr>
          <w:b/>
          <w:i/>
          <w:spacing w:val="-3"/>
          <w:u w:val="single"/>
        </w:rPr>
      </w:pPr>
      <w:r w:rsidRPr="00BD1319">
        <w:rPr>
          <w:b/>
          <w:i/>
          <w:spacing w:val="-3"/>
          <w:u w:val="single"/>
        </w:rPr>
        <w:t>Sobre la aplicación de la Metodología</w:t>
      </w:r>
    </w:p>
    <w:p w14:paraId="29141532" w14:textId="77777777" w:rsidR="00D277E7" w:rsidRPr="00BD1319" w:rsidRDefault="00D277E7" w:rsidP="00D277E7">
      <w:pPr>
        <w:numPr>
          <w:ilvl w:val="12"/>
          <w:numId w:val="0"/>
        </w:numPr>
        <w:tabs>
          <w:tab w:val="left" w:pos="-2268"/>
        </w:tabs>
        <w:suppressAutoHyphens/>
        <w:rPr>
          <w:spacing w:val="-3"/>
        </w:rPr>
      </w:pPr>
    </w:p>
    <w:p w14:paraId="027DF63C" w14:textId="5F9B886F" w:rsidR="00D277E7" w:rsidRPr="00BD1319" w:rsidRDefault="00D277E7" w:rsidP="00D277E7">
      <w:pPr>
        <w:numPr>
          <w:ilvl w:val="12"/>
          <w:numId w:val="0"/>
        </w:numPr>
        <w:tabs>
          <w:tab w:val="left" w:pos="-2268"/>
        </w:tabs>
        <w:suppressAutoHyphens/>
        <w:rPr>
          <w:spacing w:val="-3"/>
        </w:rPr>
      </w:pPr>
      <w:r w:rsidRPr="00BD1319">
        <w:rPr>
          <w:spacing w:val="-3"/>
        </w:rPr>
        <w:t xml:space="preserve">La </w:t>
      </w:r>
      <w:r w:rsidR="00346935" w:rsidRPr="00BD1319">
        <w:rPr>
          <w:spacing w:val="-3"/>
        </w:rPr>
        <w:t>MGEPEA</w:t>
      </w:r>
      <w:r w:rsidRPr="00BD1319">
        <w:rPr>
          <w:spacing w:val="-3"/>
        </w:rPr>
        <w:t xml:space="preserve"> es de carácter general, su aplicación cubre todo el universo de proyectos, obras o actividades cuyo desarrollo está sujeto al proceso de licenciamiento ambiental; cada proyecto, obra o actividad, en razón de sus particularidades </w:t>
      </w:r>
      <w:r w:rsidRPr="00BD1319">
        <w:rPr>
          <w:i/>
          <w:spacing w:val="-3"/>
        </w:rPr>
        <w:t>debe atender los lineamientos metodológicos que le apliquen</w:t>
      </w:r>
      <w:r w:rsidRPr="00BD1319">
        <w:rPr>
          <w:spacing w:val="-3"/>
        </w:rPr>
        <w:t xml:space="preserve"> de acuerdo </w:t>
      </w:r>
      <w:r w:rsidRPr="00BD1319">
        <w:rPr>
          <w:rFonts w:cs="Arial"/>
          <w:spacing w:val="-3"/>
        </w:rPr>
        <w:t>con</w:t>
      </w:r>
      <w:r w:rsidRPr="00BD1319">
        <w:rPr>
          <w:spacing w:val="-3"/>
        </w:rPr>
        <w:t xml:space="preserve"> su tipo, extensión, localización y demás características, así como aquellos que estén referidos a los </w:t>
      </w:r>
      <w:r w:rsidR="005A0F59" w:rsidRPr="00BD1319">
        <w:rPr>
          <w:spacing w:val="-3"/>
        </w:rPr>
        <w:t xml:space="preserve">parámetros, </w:t>
      </w:r>
      <w:r w:rsidR="00FF350A" w:rsidRPr="00BD1319">
        <w:rPr>
          <w:spacing w:val="-3"/>
        </w:rPr>
        <w:t xml:space="preserve">factores o </w:t>
      </w:r>
      <w:r w:rsidRPr="00BD1319">
        <w:rPr>
          <w:spacing w:val="-3"/>
        </w:rPr>
        <w:t xml:space="preserve">componentes </w:t>
      </w:r>
      <w:r w:rsidR="000D18EE" w:rsidRPr="00BD1319">
        <w:rPr>
          <w:spacing w:val="-3"/>
        </w:rPr>
        <w:t xml:space="preserve">ambientales </w:t>
      </w:r>
      <w:r w:rsidRPr="00BD1319">
        <w:rPr>
          <w:spacing w:val="-3"/>
        </w:rPr>
        <w:t xml:space="preserve">que pueda </w:t>
      </w:r>
      <w:r w:rsidR="002A03AD" w:rsidRPr="00BD1319">
        <w:rPr>
          <w:spacing w:val="-3"/>
        </w:rPr>
        <w:t>impactar</w:t>
      </w:r>
      <w:r w:rsidRPr="00BD1319">
        <w:rPr>
          <w:spacing w:val="-3"/>
        </w:rPr>
        <w:t xml:space="preserve">, desestimando aquellos </w:t>
      </w:r>
      <w:r w:rsidR="0025658E" w:rsidRPr="00BD1319">
        <w:rPr>
          <w:spacing w:val="-3"/>
        </w:rPr>
        <w:t xml:space="preserve">lineamientos </w:t>
      </w:r>
      <w:r w:rsidRPr="00BD1319">
        <w:rPr>
          <w:spacing w:val="-3"/>
        </w:rPr>
        <w:t xml:space="preserve">que le resulten ajenos. Por ejemplo, una obra que se planee al interior del continente no tiene porqué </w:t>
      </w:r>
      <w:r w:rsidR="00FF350A" w:rsidRPr="00BD1319">
        <w:rPr>
          <w:spacing w:val="-3"/>
        </w:rPr>
        <w:t>aplicar</w:t>
      </w:r>
      <w:r w:rsidR="0025658E" w:rsidRPr="00BD1319">
        <w:rPr>
          <w:spacing w:val="-3"/>
        </w:rPr>
        <w:t xml:space="preserve"> </w:t>
      </w:r>
      <w:r w:rsidRPr="00BD1319">
        <w:rPr>
          <w:spacing w:val="-3"/>
        </w:rPr>
        <w:t xml:space="preserve">los </w:t>
      </w:r>
      <w:r w:rsidR="0025658E" w:rsidRPr="00BD1319">
        <w:rPr>
          <w:spacing w:val="-3"/>
        </w:rPr>
        <w:t xml:space="preserve">lineamientos metodológicos </w:t>
      </w:r>
      <w:r w:rsidRPr="00BD1319">
        <w:rPr>
          <w:spacing w:val="-3"/>
        </w:rPr>
        <w:t>que sobre oceanografía establece este documento</w:t>
      </w:r>
      <w:r w:rsidRPr="00BD1319">
        <w:rPr>
          <w:rFonts w:cs="Arial"/>
          <w:spacing w:val="-3"/>
        </w:rPr>
        <w:t>.</w:t>
      </w:r>
      <w:r w:rsidRPr="00BD1319">
        <w:rPr>
          <w:spacing w:val="-3"/>
        </w:rPr>
        <w:t xml:space="preserve"> En todo caso, los términos de referencia </w:t>
      </w:r>
      <w:r w:rsidR="00033FD4" w:rsidRPr="00BD1319">
        <w:rPr>
          <w:spacing w:val="-3"/>
        </w:rPr>
        <w:t xml:space="preserve">especifican los requerimientos de </w:t>
      </w:r>
      <w:r w:rsidRPr="00BD1319">
        <w:rPr>
          <w:spacing w:val="-3"/>
        </w:rPr>
        <w:t xml:space="preserve">información </w:t>
      </w:r>
      <w:r w:rsidR="00033FD4" w:rsidRPr="00BD1319">
        <w:rPr>
          <w:spacing w:val="-3"/>
        </w:rPr>
        <w:t xml:space="preserve">de acuerdo </w:t>
      </w:r>
      <w:r w:rsidR="00647C56" w:rsidRPr="00BD1319">
        <w:rPr>
          <w:spacing w:val="-3"/>
        </w:rPr>
        <w:t>con</w:t>
      </w:r>
      <w:r w:rsidR="00033FD4" w:rsidRPr="00BD1319">
        <w:rPr>
          <w:spacing w:val="-3"/>
        </w:rPr>
        <w:t xml:space="preserve"> las particularidades de cada sector o </w:t>
      </w:r>
      <w:r w:rsidRPr="00BD1319">
        <w:rPr>
          <w:spacing w:val="-3"/>
        </w:rPr>
        <w:t>tipo de proyecto, obra o actividad.</w:t>
      </w:r>
    </w:p>
    <w:p w14:paraId="3DDC72F0" w14:textId="77777777" w:rsidR="005A0F59" w:rsidRPr="00BD1319" w:rsidRDefault="005A0F59" w:rsidP="00D277E7">
      <w:pPr>
        <w:numPr>
          <w:ilvl w:val="12"/>
          <w:numId w:val="0"/>
        </w:numPr>
        <w:tabs>
          <w:tab w:val="left" w:pos="-2268"/>
        </w:tabs>
        <w:suppressAutoHyphens/>
        <w:rPr>
          <w:spacing w:val="-3"/>
        </w:rPr>
      </w:pPr>
    </w:p>
    <w:p w14:paraId="28247DB5" w14:textId="0624B704" w:rsidR="00D277E7" w:rsidRPr="00BD1319" w:rsidRDefault="00D277E7" w:rsidP="00D277E7">
      <w:pPr>
        <w:numPr>
          <w:ilvl w:val="12"/>
          <w:numId w:val="0"/>
        </w:numPr>
        <w:tabs>
          <w:tab w:val="left" w:pos="-2268"/>
        </w:tabs>
        <w:suppressAutoHyphens/>
        <w:rPr>
          <w:spacing w:val="-3"/>
        </w:rPr>
      </w:pPr>
      <w:r w:rsidRPr="00BD1319">
        <w:rPr>
          <w:spacing w:val="-3"/>
        </w:rPr>
        <w:t xml:space="preserve">De esta forma, la elaboración de los estudios ambientales debe </w:t>
      </w:r>
      <w:r w:rsidR="00B8394B" w:rsidRPr="00BD1319">
        <w:rPr>
          <w:spacing w:val="-3"/>
        </w:rPr>
        <w:t>emprenderse</w:t>
      </w:r>
      <w:r w:rsidRPr="00BD1319">
        <w:rPr>
          <w:spacing w:val="-3"/>
        </w:rPr>
        <w:t xml:space="preserve"> armónicamente, a partir de las </w:t>
      </w:r>
      <w:r w:rsidR="00B8394B" w:rsidRPr="00BD1319">
        <w:rPr>
          <w:spacing w:val="-3"/>
        </w:rPr>
        <w:t xml:space="preserve">orientaciones </w:t>
      </w:r>
      <w:r w:rsidRPr="00BD1319">
        <w:rPr>
          <w:spacing w:val="-3"/>
        </w:rPr>
        <w:t xml:space="preserve">metodológicas establecidas en este documento y de los requerimientos de información que para un determinado tipo de proyecto, obra o actividad se han precisado en los términos de referencia. La singularidad de cada proyecto suscita la necesidad de realizar una particular lectura y aplicación de los lineamientos metodológicos y la adición de todas las consideraciones que se </w:t>
      </w:r>
      <w:r w:rsidR="00B8394B" w:rsidRPr="00BD1319">
        <w:rPr>
          <w:spacing w:val="-3"/>
        </w:rPr>
        <w:t xml:space="preserve">califiquen como </w:t>
      </w:r>
      <w:r w:rsidRPr="00BD1319">
        <w:rPr>
          <w:spacing w:val="-3"/>
        </w:rPr>
        <w:t>claves para ilustrar de forma íntegra el panorama ambiental que envuelve su posible desarrollo.</w:t>
      </w:r>
    </w:p>
    <w:p w14:paraId="7C0779A8" w14:textId="77777777" w:rsidR="004834BF" w:rsidRPr="00BD1319" w:rsidRDefault="004834BF" w:rsidP="00D277E7">
      <w:pPr>
        <w:numPr>
          <w:ilvl w:val="12"/>
          <w:numId w:val="0"/>
        </w:numPr>
        <w:tabs>
          <w:tab w:val="left" w:pos="-2268"/>
        </w:tabs>
        <w:suppressAutoHyphens/>
        <w:rPr>
          <w:spacing w:val="-3"/>
        </w:rPr>
      </w:pPr>
    </w:p>
    <w:p w14:paraId="1F2F5729" w14:textId="229EA4BC" w:rsidR="00D277E7" w:rsidRPr="00BD1319" w:rsidRDefault="00D277E7" w:rsidP="00D277E7">
      <w:pPr>
        <w:numPr>
          <w:ilvl w:val="12"/>
          <w:numId w:val="0"/>
        </w:numPr>
        <w:tabs>
          <w:tab w:val="left" w:pos="-2268"/>
        </w:tabs>
        <w:suppressAutoHyphens/>
        <w:rPr>
          <w:spacing w:val="-3"/>
        </w:rPr>
      </w:pPr>
      <w:r w:rsidRPr="00BD1319">
        <w:rPr>
          <w:spacing w:val="-3"/>
        </w:rPr>
        <w:t xml:space="preserve">Otro </w:t>
      </w:r>
      <w:r w:rsidR="00450907" w:rsidRPr="00BD1319">
        <w:rPr>
          <w:spacing w:val="-3"/>
        </w:rPr>
        <w:t xml:space="preserve">asunto </w:t>
      </w:r>
      <w:r w:rsidRPr="00BD1319">
        <w:rPr>
          <w:spacing w:val="-3"/>
        </w:rPr>
        <w:t xml:space="preserve">que resulta importante </w:t>
      </w:r>
      <w:r w:rsidR="00B8394B" w:rsidRPr="00BD1319">
        <w:rPr>
          <w:spacing w:val="-3"/>
        </w:rPr>
        <w:t xml:space="preserve">señalar </w:t>
      </w:r>
      <w:r w:rsidRPr="00BD1319">
        <w:rPr>
          <w:spacing w:val="-3"/>
        </w:rPr>
        <w:t xml:space="preserve">es que la </w:t>
      </w:r>
      <w:r w:rsidR="00346935" w:rsidRPr="00BD1319">
        <w:rPr>
          <w:spacing w:val="-3"/>
        </w:rPr>
        <w:t>MGEPEA</w:t>
      </w:r>
      <w:r w:rsidRPr="00BD1319">
        <w:rPr>
          <w:spacing w:val="-3"/>
        </w:rPr>
        <w:t xml:space="preserve"> </w:t>
      </w:r>
      <w:r w:rsidR="00450907" w:rsidRPr="00BD1319">
        <w:rPr>
          <w:spacing w:val="-3"/>
        </w:rPr>
        <w:t xml:space="preserve">es una herramienta complementaria que </w:t>
      </w:r>
      <w:r w:rsidRPr="00BD1319">
        <w:rPr>
          <w:spacing w:val="-3"/>
        </w:rPr>
        <w:t xml:space="preserve">no </w:t>
      </w:r>
      <w:r w:rsidR="005A0F59" w:rsidRPr="00BD1319">
        <w:rPr>
          <w:spacing w:val="-3"/>
        </w:rPr>
        <w:t xml:space="preserve">sustituye </w:t>
      </w:r>
      <w:r w:rsidRPr="00BD1319">
        <w:rPr>
          <w:spacing w:val="-3"/>
        </w:rPr>
        <w:t xml:space="preserve">los métodos y mecanismos específicos existentes, disponibles o recomendados para generar la información que se </w:t>
      </w:r>
      <w:r w:rsidR="00450907" w:rsidRPr="00BD1319">
        <w:rPr>
          <w:spacing w:val="-3"/>
        </w:rPr>
        <w:t xml:space="preserve">debe </w:t>
      </w:r>
      <w:r w:rsidRPr="00BD1319">
        <w:rPr>
          <w:spacing w:val="-3"/>
        </w:rPr>
        <w:t xml:space="preserve">presentar a las autoridades ambientales </w:t>
      </w:r>
      <w:r w:rsidR="00450907" w:rsidRPr="00BD1319">
        <w:rPr>
          <w:spacing w:val="-3"/>
        </w:rPr>
        <w:t xml:space="preserve">mediante </w:t>
      </w:r>
      <w:r w:rsidRPr="00BD1319">
        <w:rPr>
          <w:spacing w:val="-3"/>
        </w:rPr>
        <w:t>un estudio ambiental</w:t>
      </w:r>
      <w:r w:rsidR="00450907" w:rsidRPr="00BD1319">
        <w:rPr>
          <w:spacing w:val="-3"/>
        </w:rPr>
        <w:t>.</w:t>
      </w:r>
      <w:r w:rsidRPr="00BD1319">
        <w:rPr>
          <w:spacing w:val="-3"/>
        </w:rPr>
        <w:t xml:space="preserve"> </w:t>
      </w:r>
      <w:r w:rsidR="00450907" w:rsidRPr="00BD1319">
        <w:rPr>
          <w:spacing w:val="-3"/>
        </w:rPr>
        <w:t>L</w:t>
      </w:r>
      <w:r w:rsidR="0043211F" w:rsidRPr="00BD1319">
        <w:rPr>
          <w:spacing w:val="-3"/>
        </w:rPr>
        <w:t xml:space="preserve">a descripción de </w:t>
      </w:r>
      <w:r w:rsidRPr="00BD1319">
        <w:rPr>
          <w:spacing w:val="-3"/>
        </w:rPr>
        <w:t xml:space="preserve">tales métodos y mecanismos </w:t>
      </w:r>
      <w:r w:rsidR="0043211F" w:rsidRPr="00BD1319">
        <w:rPr>
          <w:spacing w:val="-3"/>
        </w:rPr>
        <w:t>se encuentra</w:t>
      </w:r>
      <w:r w:rsidR="00A5538D" w:rsidRPr="00BD1319">
        <w:rPr>
          <w:spacing w:val="-3"/>
        </w:rPr>
        <w:t>, entre otras fuentes,</w:t>
      </w:r>
      <w:r w:rsidR="0043211F" w:rsidRPr="00BD1319">
        <w:rPr>
          <w:spacing w:val="-3"/>
        </w:rPr>
        <w:t xml:space="preserve"> en </w:t>
      </w:r>
      <w:r w:rsidRPr="00BD1319">
        <w:rPr>
          <w:spacing w:val="-3"/>
        </w:rPr>
        <w:t>procedimientos</w:t>
      </w:r>
      <w:r w:rsidR="00A5538D" w:rsidRPr="00BD1319">
        <w:rPr>
          <w:spacing w:val="-3"/>
        </w:rPr>
        <w:t xml:space="preserve"> </w:t>
      </w:r>
      <w:r w:rsidR="00A5538D" w:rsidRPr="00BD1319">
        <w:rPr>
          <w:spacing w:val="-3"/>
        </w:rPr>
        <w:lastRenderedPageBreak/>
        <w:t>disciplinares</w:t>
      </w:r>
      <w:r w:rsidRPr="00BD1319">
        <w:rPr>
          <w:spacing w:val="-3"/>
        </w:rPr>
        <w:t>, normativa</w:t>
      </w:r>
      <w:r w:rsidR="0043211F" w:rsidRPr="00BD1319">
        <w:rPr>
          <w:spacing w:val="-3"/>
        </w:rPr>
        <w:t>s</w:t>
      </w:r>
      <w:r w:rsidRPr="00BD1319">
        <w:rPr>
          <w:spacing w:val="-3"/>
        </w:rPr>
        <w:t>, estándares, guías</w:t>
      </w:r>
      <w:r w:rsidR="00A5538D" w:rsidRPr="00BD1319">
        <w:rPr>
          <w:spacing w:val="-3"/>
        </w:rPr>
        <w:t xml:space="preserve"> y</w:t>
      </w:r>
      <w:r w:rsidRPr="00BD1319">
        <w:rPr>
          <w:spacing w:val="-3"/>
        </w:rPr>
        <w:t xml:space="preserve"> protocolos, </w:t>
      </w:r>
      <w:r w:rsidR="0008519C" w:rsidRPr="00BD1319">
        <w:rPr>
          <w:spacing w:val="-3"/>
        </w:rPr>
        <w:t>de manera que su</w:t>
      </w:r>
      <w:r w:rsidRPr="00BD1319">
        <w:rPr>
          <w:spacing w:val="-3"/>
        </w:rPr>
        <w:t xml:space="preserve"> selección y aplicación es responsabilidad del equipo que elabora el estudio.</w:t>
      </w:r>
    </w:p>
    <w:p w14:paraId="762F87D3" w14:textId="77777777" w:rsidR="00D277E7" w:rsidRPr="00BD1319" w:rsidRDefault="00D277E7" w:rsidP="00D277E7">
      <w:pPr>
        <w:numPr>
          <w:ilvl w:val="12"/>
          <w:numId w:val="0"/>
        </w:numPr>
        <w:tabs>
          <w:tab w:val="left" w:pos="-2268"/>
        </w:tabs>
        <w:suppressAutoHyphens/>
        <w:rPr>
          <w:spacing w:val="-3"/>
        </w:rPr>
      </w:pPr>
    </w:p>
    <w:p w14:paraId="31DF2AC3" w14:textId="555F6477" w:rsidR="00700E97" w:rsidRPr="00BD1319" w:rsidRDefault="00D277E7" w:rsidP="00D277E7">
      <w:pPr>
        <w:numPr>
          <w:ilvl w:val="12"/>
          <w:numId w:val="0"/>
        </w:numPr>
        <w:tabs>
          <w:tab w:val="left" w:pos="-2268"/>
        </w:tabs>
        <w:suppressAutoHyphens/>
        <w:rPr>
          <w:spacing w:val="-3"/>
        </w:rPr>
      </w:pPr>
      <w:r w:rsidRPr="00BD1319">
        <w:rPr>
          <w:spacing w:val="-3"/>
        </w:rPr>
        <w:t xml:space="preserve">Por otra parte, este documento no establece las escalas </w:t>
      </w:r>
      <w:r w:rsidR="0038229D" w:rsidRPr="00BD1319">
        <w:rPr>
          <w:spacing w:val="-3"/>
        </w:rPr>
        <w:t xml:space="preserve">con las cuales </w:t>
      </w:r>
      <w:r w:rsidRPr="00BD1319">
        <w:rPr>
          <w:spacing w:val="-3"/>
        </w:rPr>
        <w:t xml:space="preserve">debe ser </w:t>
      </w:r>
      <w:r w:rsidR="00323321" w:rsidRPr="00BD1319">
        <w:rPr>
          <w:spacing w:val="-3"/>
        </w:rPr>
        <w:t xml:space="preserve">elaborada y </w:t>
      </w:r>
      <w:r w:rsidRPr="00BD1319">
        <w:rPr>
          <w:spacing w:val="-3"/>
        </w:rPr>
        <w:t>presentada la información geográfica del estudio ambiental</w:t>
      </w:r>
      <w:r w:rsidR="0038229D" w:rsidRPr="00BD1319">
        <w:rPr>
          <w:spacing w:val="-3"/>
        </w:rPr>
        <w:t>;</w:t>
      </w:r>
      <w:r w:rsidRPr="00BD1319">
        <w:rPr>
          <w:spacing w:val="-3"/>
        </w:rPr>
        <w:t xml:space="preserve"> no obstante, como regla general, </w:t>
      </w:r>
      <w:r w:rsidR="00700E97" w:rsidRPr="00BD1319">
        <w:rPr>
          <w:spacing w:val="-3"/>
        </w:rPr>
        <w:t>se debe</w:t>
      </w:r>
      <w:r w:rsidR="00E24F1A" w:rsidRPr="00BD1319">
        <w:rPr>
          <w:spacing w:val="-3"/>
        </w:rPr>
        <w:t>n</w:t>
      </w:r>
      <w:r w:rsidR="00700E97" w:rsidRPr="00BD1319">
        <w:rPr>
          <w:spacing w:val="-3"/>
        </w:rPr>
        <w:t xml:space="preserve"> </w:t>
      </w:r>
      <w:r w:rsidR="0038229D" w:rsidRPr="00BD1319">
        <w:rPr>
          <w:spacing w:val="-3"/>
        </w:rPr>
        <w:t xml:space="preserve">emplear </w:t>
      </w:r>
      <w:r w:rsidRPr="00BD1319">
        <w:rPr>
          <w:spacing w:val="-3"/>
        </w:rPr>
        <w:t xml:space="preserve">escalas que </w:t>
      </w:r>
      <w:r w:rsidR="00323321" w:rsidRPr="00BD1319">
        <w:rPr>
          <w:spacing w:val="-3"/>
        </w:rPr>
        <w:t xml:space="preserve">permitan </w:t>
      </w:r>
      <w:r w:rsidR="0038229D" w:rsidRPr="00BD1319">
        <w:rPr>
          <w:spacing w:val="-3"/>
        </w:rPr>
        <w:t xml:space="preserve">el procesamiento </w:t>
      </w:r>
      <w:r w:rsidR="00270241" w:rsidRPr="00BD1319">
        <w:rPr>
          <w:spacing w:val="-3"/>
        </w:rPr>
        <w:t xml:space="preserve">y análisis </w:t>
      </w:r>
      <w:r w:rsidR="0038229D" w:rsidRPr="00BD1319">
        <w:rPr>
          <w:spacing w:val="-3"/>
        </w:rPr>
        <w:t xml:space="preserve">de información </w:t>
      </w:r>
      <w:r w:rsidR="00270241" w:rsidRPr="00BD1319">
        <w:rPr>
          <w:spacing w:val="-3"/>
        </w:rPr>
        <w:t xml:space="preserve">de acuerdo con </w:t>
      </w:r>
      <w:r w:rsidRPr="00BD1319">
        <w:rPr>
          <w:spacing w:val="-3"/>
        </w:rPr>
        <w:t xml:space="preserve">las particularidades del proyecto, obra o actividad que se pretende ejecutar, </w:t>
      </w:r>
      <w:r w:rsidR="00323321" w:rsidRPr="00BD1319">
        <w:rPr>
          <w:spacing w:val="-3"/>
        </w:rPr>
        <w:t xml:space="preserve">de </w:t>
      </w:r>
      <w:r w:rsidRPr="00BD1319">
        <w:rPr>
          <w:spacing w:val="-3"/>
        </w:rPr>
        <w:t xml:space="preserve">los impactos ambientales que dicha ejecución genera, </w:t>
      </w:r>
      <w:r w:rsidR="00323321" w:rsidRPr="00BD1319">
        <w:rPr>
          <w:spacing w:val="-3"/>
        </w:rPr>
        <w:t xml:space="preserve">de </w:t>
      </w:r>
      <w:r w:rsidRPr="00BD1319">
        <w:rPr>
          <w:spacing w:val="-3"/>
        </w:rPr>
        <w:t xml:space="preserve">la efectividad de las medidas de manejo que se planea implementar y </w:t>
      </w:r>
      <w:r w:rsidR="00323321" w:rsidRPr="00BD1319">
        <w:rPr>
          <w:spacing w:val="-3"/>
        </w:rPr>
        <w:t xml:space="preserve">de </w:t>
      </w:r>
      <w:r w:rsidRPr="00BD1319">
        <w:rPr>
          <w:spacing w:val="-3"/>
        </w:rPr>
        <w:t>la viabilidad ambiental de desarrollar una alternativa o un proyecto</w:t>
      </w:r>
      <w:r w:rsidR="00323321" w:rsidRPr="00BD1319">
        <w:rPr>
          <w:spacing w:val="-3"/>
        </w:rPr>
        <w:t>.</w:t>
      </w:r>
    </w:p>
    <w:p w14:paraId="7694FD0E" w14:textId="77777777" w:rsidR="00700E97" w:rsidRPr="00BD1319" w:rsidRDefault="00700E97" w:rsidP="00D277E7">
      <w:pPr>
        <w:numPr>
          <w:ilvl w:val="12"/>
          <w:numId w:val="0"/>
        </w:numPr>
        <w:tabs>
          <w:tab w:val="left" w:pos="-2268"/>
        </w:tabs>
        <w:suppressAutoHyphens/>
        <w:rPr>
          <w:spacing w:val="-3"/>
        </w:rPr>
      </w:pPr>
    </w:p>
    <w:p w14:paraId="187A91E1" w14:textId="340DE11C" w:rsidR="00D277E7" w:rsidRPr="00BD1319" w:rsidRDefault="00700E97" w:rsidP="00D277E7">
      <w:pPr>
        <w:numPr>
          <w:ilvl w:val="12"/>
          <w:numId w:val="0"/>
        </w:numPr>
        <w:tabs>
          <w:tab w:val="left" w:pos="-2268"/>
        </w:tabs>
        <w:suppressAutoHyphens/>
        <w:rPr>
          <w:spacing w:val="-3"/>
        </w:rPr>
      </w:pPr>
      <w:r w:rsidRPr="00BD1319">
        <w:rPr>
          <w:spacing w:val="-3"/>
        </w:rPr>
        <w:t xml:space="preserve">La </w:t>
      </w:r>
      <w:r w:rsidR="00D277E7" w:rsidRPr="00BD1319">
        <w:rPr>
          <w:spacing w:val="-3"/>
        </w:rPr>
        <w:t xml:space="preserve">escala varía dependiendo de la dimensión del proyecto, de la extensión del área en donde se manifiestan sus impactos ambientales significativos y del fenómeno o característica a la cual se refiera el </w:t>
      </w:r>
      <w:r w:rsidR="00D277E7" w:rsidRPr="00BD1319">
        <w:rPr>
          <w:rFonts w:cs="Arial"/>
          <w:spacing w:val="-3"/>
        </w:rPr>
        <w:t>componente particular que en algún momento es objeto de análisis</w:t>
      </w:r>
      <w:r w:rsidR="00D277E7" w:rsidRPr="00BD1319">
        <w:rPr>
          <w:spacing w:val="-3"/>
        </w:rPr>
        <w:t xml:space="preserve">. La selección de la escala </w:t>
      </w:r>
      <w:r w:rsidR="008E5219" w:rsidRPr="00BD1319">
        <w:rPr>
          <w:spacing w:val="-3"/>
        </w:rPr>
        <w:t xml:space="preserve">de </w:t>
      </w:r>
      <w:r w:rsidR="00D277E7" w:rsidRPr="00BD1319">
        <w:rPr>
          <w:spacing w:val="-3"/>
        </w:rPr>
        <w:t xml:space="preserve">la información </w:t>
      </w:r>
      <w:r w:rsidR="008E5219" w:rsidRPr="00BD1319">
        <w:rPr>
          <w:spacing w:val="-3"/>
        </w:rPr>
        <w:t xml:space="preserve">geográfica </w:t>
      </w:r>
      <w:r w:rsidR="00D277E7" w:rsidRPr="00BD1319">
        <w:rPr>
          <w:spacing w:val="-3"/>
        </w:rPr>
        <w:t xml:space="preserve">es igualmente responsabilidad del equipo profesional que elabora el estudio, </w:t>
      </w:r>
      <w:r w:rsidR="00270241" w:rsidRPr="00BD1319">
        <w:rPr>
          <w:spacing w:val="-3"/>
        </w:rPr>
        <w:t xml:space="preserve">y </w:t>
      </w:r>
      <w:r w:rsidR="00D277E7" w:rsidRPr="00BD1319">
        <w:rPr>
          <w:spacing w:val="-3"/>
        </w:rPr>
        <w:t xml:space="preserve">no debe ser más general que la mínima establecida en los términos de referencia. </w:t>
      </w:r>
      <w:r w:rsidR="00270241" w:rsidRPr="00BD1319">
        <w:rPr>
          <w:spacing w:val="-3"/>
        </w:rPr>
        <w:t xml:space="preserve">Es una buena práctica </w:t>
      </w:r>
      <w:r w:rsidR="008C33E8" w:rsidRPr="00BD1319">
        <w:rPr>
          <w:spacing w:val="-3"/>
        </w:rPr>
        <w:t xml:space="preserve">procurar </w:t>
      </w:r>
      <w:r w:rsidR="00D277E7" w:rsidRPr="00BD1319">
        <w:rPr>
          <w:spacing w:val="-3"/>
        </w:rPr>
        <w:t xml:space="preserve">por </w:t>
      </w:r>
      <w:r w:rsidR="008C33E8" w:rsidRPr="00BD1319">
        <w:rPr>
          <w:spacing w:val="-3"/>
        </w:rPr>
        <w:t xml:space="preserve">el </w:t>
      </w:r>
      <w:r w:rsidR="00D277E7" w:rsidRPr="00BD1319">
        <w:rPr>
          <w:spacing w:val="-3"/>
        </w:rPr>
        <w:t>mejora</w:t>
      </w:r>
      <w:r w:rsidR="008C33E8" w:rsidRPr="00BD1319">
        <w:rPr>
          <w:spacing w:val="-3"/>
        </w:rPr>
        <w:t>miento</w:t>
      </w:r>
      <w:r w:rsidR="00D277E7" w:rsidRPr="00BD1319">
        <w:rPr>
          <w:spacing w:val="-3"/>
        </w:rPr>
        <w:t xml:space="preserve"> </w:t>
      </w:r>
      <w:r w:rsidR="008C33E8" w:rsidRPr="00BD1319">
        <w:rPr>
          <w:spacing w:val="-3"/>
        </w:rPr>
        <w:t>d</w:t>
      </w:r>
      <w:r w:rsidR="00D277E7" w:rsidRPr="00BD1319">
        <w:rPr>
          <w:spacing w:val="-3"/>
        </w:rPr>
        <w:t>el detalle cuando la información esté disponible o la evaluación de las alternativas o el proyecto lo ameriten.</w:t>
      </w:r>
    </w:p>
    <w:p w14:paraId="313B31B1" w14:textId="77777777" w:rsidR="00D277E7" w:rsidRPr="00BD1319" w:rsidRDefault="00D277E7" w:rsidP="00D277E7">
      <w:pPr>
        <w:numPr>
          <w:ilvl w:val="12"/>
          <w:numId w:val="0"/>
        </w:numPr>
        <w:tabs>
          <w:tab w:val="left" w:pos="-2268"/>
        </w:tabs>
        <w:suppressAutoHyphens/>
        <w:rPr>
          <w:spacing w:val="-3"/>
        </w:rPr>
      </w:pPr>
    </w:p>
    <w:p w14:paraId="6AB3EA8B" w14:textId="2672023E" w:rsidR="008E5219" w:rsidRPr="00BD1319" w:rsidRDefault="00D277E7" w:rsidP="00D277E7">
      <w:pPr>
        <w:numPr>
          <w:ilvl w:val="12"/>
          <w:numId w:val="0"/>
        </w:numPr>
        <w:tabs>
          <w:tab w:val="left" w:pos="-2268"/>
        </w:tabs>
        <w:suppressAutoHyphens/>
        <w:rPr>
          <w:spacing w:val="-3"/>
        </w:rPr>
      </w:pPr>
      <w:r w:rsidRPr="00BD1319">
        <w:rPr>
          <w:spacing w:val="-3"/>
        </w:rPr>
        <w:t>Un lineamiento metodológico de carácter general que es fundamental tener en consideración al momento de emprender la elaboración de estudios ambientales, e inclusive de forma previa, en las instancias más tempranas de la concepción de un proyecto, obra o actividad sujet</w:t>
      </w:r>
      <w:r w:rsidR="00270241" w:rsidRPr="00BD1319">
        <w:rPr>
          <w:spacing w:val="-3"/>
        </w:rPr>
        <w:t>o</w:t>
      </w:r>
      <w:r w:rsidRPr="00BD1319">
        <w:rPr>
          <w:spacing w:val="-3"/>
        </w:rPr>
        <w:t xml:space="preserve"> a licenciamiento ambiental, es la identificación de las determinantes </w:t>
      </w:r>
      <w:r w:rsidR="00633F90" w:rsidRPr="00BD1319">
        <w:rPr>
          <w:spacing w:val="-3"/>
        </w:rPr>
        <w:t>ambientales</w:t>
      </w:r>
      <w:r w:rsidR="00633F90" w:rsidRPr="00BD1319">
        <w:rPr>
          <w:rStyle w:val="Refdenotaalpie"/>
          <w:spacing w:val="-3"/>
          <w:lang w:val="es-CO"/>
        </w:rPr>
        <w:footnoteReference w:id="10"/>
      </w:r>
      <w:r w:rsidR="00943C3A" w:rsidRPr="00BD1319">
        <w:rPr>
          <w:spacing w:val="-3"/>
        </w:rPr>
        <w:t xml:space="preserve"> </w:t>
      </w:r>
      <w:r w:rsidR="00BB45DA" w:rsidRPr="00BD1319">
        <w:rPr>
          <w:spacing w:val="-3"/>
        </w:rPr>
        <w:t>y otras figuras incorporadas en</w:t>
      </w:r>
      <w:r w:rsidR="00943C3A" w:rsidRPr="00BD1319">
        <w:rPr>
          <w:spacing w:val="-3"/>
        </w:rPr>
        <w:t xml:space="preserve"> los </w:t>
      </w:r>
      <w:r w:rsidR="00EE4DE9" w:rsidRPr="00BD1319">
        <w:rPr>
          <w:spacing w:val="-3"/>
        </w:rPr>
        <w:t xml:space="preserve">instrumentos </w:t>
      </w:r>
      <w:r w:rsidR="00943C3A" w:rsidRPr="00BD1319">
        <w:rPr>
          <w:spacing w:val="-3"/>
        </w:rPr>
        <w:t>de ordenamiento territorial</w:t>
      </w:r>
      <w:r w:rsidRPr="00BD1319">
        <w:rPr>
          <w:spacing w:val="-3"/>
        </w:rPr>
        <w:t xml:space="preserve">, dado que </w:t>
      </w:r>
      <w:r w:rsidR="00270241" w:rsidRPr="00BD1319">
        <w:rPr>
          <w:spacing w:val="-3"/>
        </w:rPr>
        <w:t xml:space="preserve">estos instrumentos </w:t>
      </w:r>
      <w:r w:rsidRPr="00BD1319">
        <w:rPr>
          <w:spacing w:val="-3"/>
        </w:rPr>
        <w:t>al mismo tiempo que señalan los usos óptimos y factibles del suelo, concertados en el ámbito de la planificación territorial, fi</w:t>
      </w:r>
      <w:r w:rsidR="008E5219" w:rsidRPr="00BD1319">
        <w:rPr>
          <w:spacing w:val="-3"/>
        </w:rPr>
        <w:t>j</w:t>
      </w:r>
      <w:r w:rsidRPr="00BD1319">
        <w:rPr>
          <w:spacing w:val="-3"/>
        </w:rPr>
        <w:t>an restricciones para el desarrollo de ciertas actividades. El proceso de licenciamiento ambiental debe no solo acata</w:t>
      </w:r>
      <w:r w:rsidR="007A5E7F" w:rsidRPr="00BD1319">
        <w:rPr>
          <w:spacing w:val="-3"/>
        </w:rPr>
        <w:t xml:space="preserve">r </w:t>
      </w:r>
      <w:r w:rsidRPr="00BD1319">
        <w:rPr>
          <w:spacing w:val="-3"/>
        </w:rPr>
        <w:t xml:space="preserve">lo establecido en los instrumentos de ordenamiento </w:t>
      </w:r>
      <w:r w:rsidR="008E5219" w:rsidRPr="00BD1319">
        <w:rPr>
          <w:spacing w:val="-3"/>
        </w:rPr>
        <w:t xml:space="preserve">ambiental y </w:t>
      </w:r>
      <w:r w:rsidRPr="00BD1319">
        <w:rPr>
          <w:spacing w:val="-3"/>
        </w:rPr>
        <w:t>territorial</w:t>
      </w:r>
      <w:r w:rsidR="004F333C" w:rsidRPr="00BD1319">
        <w:rPr>
          <w:rStyle w:val="Refdenotaalpie"/>
          <w:rFonts w:cs="Arial"/>
          <w:spacing w:val="-3"/>
          <w:lang w:val="es-CO"/>
        </w:rPr>
        <w:footnoteReference w:id="11"/>
      </w:r>
      <w:r w:rsidR="00445254" w:rsidRPr="00BD1319">
        <w:rPr>
          <w:spacing w:val="-3"/>
        </w:rPr>
        <w:t xml:space="preserve"> </w:t>
      </w:r>
      <w:r w:rsidRPr="00BD1319">
        <w:rPr>
          <w:spacing w:val="-3"/>
        </w:rPr>
        <w:t xml:space="preserve">sino </w:t>
      </w:r>
      <w:r w:rsidR="00445254" w:rsidRPr="00BD1319">
        <w:rPr>
          <w:spacing w:val="-3"/>
        </w:rPr>
        <w:t>también</w:t>
      </w:r>
      <w:r w:rsidR="007A5E7F" w:rsidRPr="00BD1319">
        <w:rPr>
          <w:spacing w:val="-3"/>
        </w:rPr>
        <w:t>,</w:t>
      </w:r>
      <w:r w:rsidR="00445254" w:rsidRPr="00BD1319">
        <w:rPr>
          <w:spacing w:val="-3"/>
        </w:rPr>
        <w:t xml:space="preserve"> </w:t>
      </w:r>
      <w:r w:rsidRPr="00BD1319">
        <w:rPr>
          <w:spacing w:val="-3"/>
        </w:rPr>
        <w:t>fortalec</w:t>
      </w:r>
      <w:r w:rsidR="007A5E7F" w:rsidRPr="00BD1319">
        <w:rPr>
          <w:spacing w:val="-3"/>
        </w:rPr>
        <w:t xml:space="preserve">er </w:t>
      </w:r>
      <w:r w:rsidRPr="00BD1319">
        <w:rPr>
          <w:spacing w:val="-3"/>
        </w:rPr>
        <w:t>dichos instrumentos y contribu</w:t>
      </w:r>
      <w:r w:rsidR="00EE4DE9" w:rsidRPr="00BD1319">
        <w:rPr>
          <w:spacing w:val="-3"/>
        </w:rPr>
        <w:t xml:space="preserve">ir </w:t>
      </w:r>
      <w:r w:rsidRPr="00BD1319">
        <w:rPr>
          <w:spacing w:val="-3"/>
        </w:rPr>
        <w:t>positiva</w:t>
      </w:r>
      <w:r w:rsidR="00EE4DE9" w:rsidRPr="00BD1319">
        <w:rPr>
          <w:spacing w:val="-3"/>
        </w:rPr>
        <w:t>mente</w:t>
      </w:r>
      <w:r w:rsidRPr="00BD1319">
        <w:rPr>
          <w:spacing w:val="-3"/>
        </w:rPr>
        <w:t xml:space="preserve"> al cumplimiento de los objetivos que se han propuesto alcanzar.</w:t>
      </w:r>
    </w:p>
    <w:p w14:paraId="28599777" w14:textId="77777777" w:rsidR="008E5219" w:rsidRPr="00BD1319" w:rsidRDefault="008E5219" w:rsidP="00D277E7">
      <w:pPr>
        <w:numPr>
          <w:ilvl w:val="12"/>
          <w:numId w:val="0"/>
        </w:numPr>
        <w:tabs>
          <w:tab w:val="left" w:pos="-2268"/>
        </w:tabs>
        <w:suppressAutoHyphens/>
        <w:rPr>
          <w:spacing w:val="-3"/>
        </w:rPr>
      </w:pPr>
    </w:p>
    <w:p w14:paraId="46EE1BAE" w14:textId="4122FC5A" w:rsidR="00D277E7" w:rsidRPr="00BD1319" w:rsidRDefault="00D277E7" w:rsidP="00D277E7">
      <w:pPr>
        <w:numPr>
          <w:ilvl w:val="12"/>
          <w:numId w:val="0"/>
        </w:numPr>
        <w:tabs>
          <w:tab w:val="left" w:pos="-2268"/>
        </w:tabs>
        <w:suppressAutoHyphens/>
        <w:rPr>
          <w:spacing w:val="-3"/>
        </w:rPr>
      </w:pPr>
      <w:r w:rsidRPr="00BD1319">
        <w:rPr>
          <w:spacing w:val="-3"/>
        </w:rPr>
        <w:lastRenderedPageBreak/>
        <w:t>Los Esquemas de Ordenamiento Territorial (EOT), los Planes Básicos de Ordenamiento Territorial (PBOT)</w:t>
      </w:r>
      <w:r w:rsidR="00EE4DE9" w:rsidRPr="00BD1319">
        <w:rPr>
          <w:spacing w:val="-3"/>
        </w:rPr>
        <w:t>,</w:t>
      </w:r>
      <w:r w:rsidRPr="00BD1319">
        <w:rPr>
          <w:spacing w:val="-3"/>
        </w:rPr>
        <w:t xml:space="preserve"> los Planes de Ordenamiento Territorial (POT)</w:t>
      </w:r>
      <w:r w:rsidR="00EE4DE9" w:rsidRPr="00BD1319">
        <w:rPr>
          <w:spacing w:val="-3"/>
        </w:rPr>
        <w:t xml:space="preserve"> y los planes de vida y los planes de etnodesarrollo</w:t>
      </w:r>
      <w:r w:rsidR="00EE4DE9" w:rsidRPr="00BD1319">
        <w:rPr>
          <w:rStyle w:val="Refdenotaalpie"/>
          <w:spacing w:val="-3"/>
        </w:rPr>
        <w:footnoteReference w:id="12"/>
      </w:r>
      <w:r w:rsidR="00EE4DE9" w:rsidRPr="00BD1319">
        <w:rPr>
          <w:spacing w:val="-3"/>
        </w:rPr>
        <w:t>,</w:t>
      </w:r>
      <w:r w:rsidRPr="00BD1319">
        <w:rPr>
          <w:spacing w:val="-3"/>
        </w:rPr>
        <w:t xml:space="preserve"> así como herramientas de ordenamiento y gestión ambiental como los Planes de </w:t>
      </w:r>
      <w:r w:rsidR="006510F1" w:rsidRPr="00BD1319">
        <w:rPr>
          <w:spacing w:val="-3"/>
        </w:rPr>
        <w:t>o</w:t>
      </w:r>
      <w:r w:rsidRPr="00BD1319">
        <w:rPr>
          <w:spacing w:val="-3"/>
        </w:rPr>
        <w:t xml:space="preserve">rdenación y </w:t>
      </w:r>
      <w:r w:rsidR="006510F1" w:rsidRPr="00BD1319">
        <w:rPr>
          <w:spacing w:val="-3"/>
        </w:rPr>
        <w:t>m</w:t>
      </w:r>
      <w:r w:rsidRPr="00BD1319">
        <w:rPr>
          <w:spacing w:val="-3"/>
        </w:rPr>
        <w:t xml:space="preserve">anejo de </w:t>
      </w:r>
      <w:r w:rsidR="006510F1" w:rsidRPr="00BD1319">
        <w:rPr>
          <w:spacing w:val="-3"/>
        </w:rPr>
        <w:t>c</w:t>
      </w:r>
      <w:r w:rsidRPr="00BD1319">
        <w:rPr>
          <w:spacing w:val="-3"/>
        </w:rPr>
        <w:t>uencas (</w:t>
      </w:r>
      <w:proofErr w:type="spellStart"/>
      <w:r w:rsidR="003C70CD" w:rsidRPr="00BD1319">
        <w:rPr>
          <w:spacing w:val="-3"/>
        </w:rPr>
        <w:t>Pomca</w:t>
      </w:r>
      <w:proofErr w:type="spellEnd"/>
      <w:r w:rsidRPr="00BD1319">
        <w:rPr>
          <w:spacing w:val="-3"/>
        </w:rPr>
        <w:t xml:space="preserve">), los Planes de </w:t>
      </w:r>
      <w:r w:rsidR="006510F1" w:rsidRPr="00BD1319">
        <w:rPr>
          <w:spacing w:val="-3"/>
        </w:rPr>
        <w:t>o</w:t>
      </w:r>
      <w:r w:rsidRPr="00BD1319">
        <w:rPr>
          <w:spacing w:val="-3"/>
        </w:rPr>
        <w:t xml:space="preserve">rdenación y </w:t>
      </w:r>
      <w:r w:rsidR="006510F1" w:rsidRPr="00BD1319">
        <w:rPr>
          <w:spacing w:val="-3"/>
        </w:rPr>
        <w:t>m</w:t>
      </w:r>
      <w:r w:rsidRPr="00BD1319">
        <w:rPr>
          <w:spacing w:val="-3"/>
        </w:rPr>
        <w:t xml:space="preserve">anejo </w:t>
      </w:r>
      <w:r w:rsidR="006510F1" w:rsidRPr="00BD1319">
        <w:rPr>
          <w:spacing w:val="-3"/>
        </w:rPr>
        <w:t>i</w:t>
      </w:r>
      <w:r w:rsidRPr="00BD1319">
        <w:rPr>
          <w:spacing w:val="-3"/>
        </w:rPr>
        <w:t xml:space="preserve">ntegrado de las </w:t>
      </w:r>
      <w:r w:rsidR="006510F1" w:rsidRPr="00BD1319">
        <w:rPr>
          <w:spacing w:val="-3"/>
        </w:rPr>
        <w:t>u</w:t>
      </w:r>
      <w:r w:rsidRPr="00BD1319">
        <w:rPr>
          <w:spacing w:val="-3"/>
        </w:rPr>
        <w:t xml:space="preserve">nidades </w:t>
      </w:r>
      <w:r w:rsidR="006510F1" w:rsidRPr="00BD1319">
        <w:rPr>
          <w:spacing w:val="-3"/>
        </w:rPr>
        <w:t>a</w:t>
      </w:r>
      <w:r w:rsidRPr="00BD1319">
        <w:rPr>
          <w:spacing w:val="-3"/>
        </w:rPr>
        <w:t xml:space="preserve">mbientales </w:t>
      </w:r>
      <w:r w:rsidR="006510F1" w:rsidRPr="00BD1319">
        <w:rPr>
          <w:spacing w:val="-3"/>
        </w:rPr>
        <w:t>c</w:t>
      </w:r>
      <w:r w:rsidRPr="00BD1319">
        <w:rPr>
          <w:spacing w:val="-3"/>
        </w:rPr>
        <w:t>osteras (</w:t>
      </w:r>
      <w:proofErr w:type="spellStart"/>
      <w:r w:rsidR="000A43B6" w:rsidRPr="00BD1319">
        <w:rPr>
          <w:spacing w:val="-3"/>
        </w:rPr>
        <w:t>Pomiuac</w:t>
      </w:r>
      <w:proofErr w:type="spellEnd"/>
      <w:r w:rsidRPr="00BD1319">
        <w:rPr>
          <w:spacing w:val="-3"/>
        </w:rPr>
        <w:t xml:space="preserve">), los Planes de </w:t>
      </w:r>
      <w:r w:rsidR="006510F1" w:rsidRPr="00BD1319">
        <w:rPr>
          <w:spacing w:val="-3"/>
        </w:rPr>
        <w:t>m</w:t>
      </w:r>
      <w:r w:rsidRPr="00BD1319">
        <w:rPr>
          <w:spacing w:val="-3"/>
        </w:rPr>
        <w:t xml:space="preserve">anejo de </w:t>
      </w:r>
      <w:r w:rsidR="006510F1" w:rsidRPr="00BD1319">
        <w:rPr>
          <w:spacing w:val="-3"/>
        </w:rPr>
        <w:t>á</w:t>
      </w:r>
      <w:r w:rsidRPr="00BD1319">
        <w:rPr>
          <w:spacing w:val="-3"/>
        </w:rPr>
        <w:t xml:space="preserve">reas </w:t>
      </w:r>
      <w:r w:rsidR="006510F1" w:rsidRPr="00BD1319">
        <w:rPr>
          <w:spacing w:val="-3"/>
        </w:rPr>
        <w:t>p</w:t>
      </w:r>
      <w:r w:rsidRPr="00BD1319">
        <w:rPr>
          <w:spacing w:val="-3"/>
        </w:rPr>
        <w:t xml:space="preserve">rotegidas del Sistema </w:t>
      </w:r>
      <w:r w:rsidR="006510F1" w:rsidRPr="00BD1319">
        <w:rPr>
          <w:spacing w:val="-3"/>
        </w:rPr>
        <w:t>n</w:t>
      </w:r>
      <w:r w:rsidRPr="00BD1319">
        <w:rPr>
          <w:spacing w:val="-3"/>
        </w:rPr>
        <w:t xml:space="preserve">acional de </w:t>
      </w:r>
      <w:r w:rsidR="006510F1" w:rsidRPr="00BD1319">
        <w:rPr>
          <w:spacing w:val="-3"/>
        </w:rPr>
        <w:t>á</w:t>
      </w:r>
      <w:r w:rsidRPr="00BD1319">
        <w:rPr>
          <w:spacing w:val="-3"/>
        </w:rPr>
        <w:t xml:space="preserve">reas </w:t>
      </w:r>
      <w:r w:rsidR="006510F1" w:rsidRPr="00BD1319">
        <w:rPr>
          <w:spacing w:val="-3"/>
        </w:rPr>
        <w:t>p</w:t>
      </w:r>
      <w:r w:rsidRPr="00BD1319">
        <w:rPr>
          <w:spacing w:val="-3"/>
        </w:rPr>
        <w:t>rotegidas (</w:t>
      </w:r>
      <w:proofErr w:type="spellStart"/>
      <w:r w:rsidR="006510F1" w:rsidRPr="00BD1319">
        <w:rPr>
          <w:spacing w:val="-3"/>
        </w:rPr>
        <w:t>Sinap</w:t>
      </w:r>
      <w:proofErr w:type="spellEnd"/>
      <w:r w:rsidRPr="00BD1319">
        <w:rPr>
          <w:spacing w:val="-3"/>
        </w:rPr>
        <w:t>), los planes de manejo de ecosistemas estratégicos, entre otr</w:t>
      </w:r>
      <w:r w:rsidR="006510F1" w:rsidRPr="00BD1319">
        <w:rPr>
          <w:spacing w:val="-3"/>
        </w:rPr>
        <w:t>a</w:t>
      </w:r>
      <w:r w:rsidRPr="00BD1319">
        <w:rPr>
          <w:spacing w:val="-3"/>
        </w:rPr>
        <w:t xml:space="preserve">s, son de consulta y referencia obligatoria, en la medida que establecen la planeación y gestión </w:t>
      </w:r>
      <w:r w:rsidR="008066DC" w:rsidRPr="00BD1319">
        <w:rPr>
          <w:spacing w:val="-3"/>
        </w:rPr>
        <w:t xml:space="preserve">ambiental y </w:t>
      </w:r>
      <w:r w:rsidRPr="00BD1319">
        <w:rPr>
          <w:spacing w:val="-3"/>
        </w:rPr>
        <w:t xml:space="preserve">territorial de largo plazo, las pautas para administrar y orientar el desarrollo de municipios y regiones, </w:t>
      </w:r>
      <w:r w:rsidR="00C5105E" w:rsidRPr="00BD1319">
        <w:rPr>
          <w:spacing w:val="-3"/>
        </w:rPr>
        <w:t xml:space="preserve">los lineamientos </w:t>
      </w:r>
      <w:r w:rsidR="008066DC" w:rsidRPr="00BD1319">
        <w:rPr>
          <w:spacing w:val="-3"/>
        </w:rPr>
        <w:t>de</w:t>
      </w:r>
      <w:r w:rsidRPr="00BD1319">
        <w:rPr>
          <w:spacing w:val="-3"/>
        </w:rPr>
        <w:t xml:space="preserve"> utilización, ocupación y transformación del suelo, y el cumplimiento de objetivos de conservación.</w:t>
      </w:r>
    </w:p>
    <w:p w14:paraId="37A8CDE2" w14:textId="77777777" w:rsidR="00D277E7" w:rsidRPr="00BD1319" w:rsidRDefault="00D277E7" w:rsidP="00D277E7">
      <w:pPr>
        <w:numPr>
          <w:ilvl w:val="12"/>
          <w:numId w:val="0"/>
        </w:numPr>
        <w:tabs>
          <w:tab w:val="left" w:pos="-2268"/>
        </w:tabs>
        <w:suppressAutoHyphens/>
        <w:rPr>
          <w:spacing w:val="-3"/>
        </w:rPr>
      </w:pPr>
    </w:p>
    <w:p w14:paraId="61EF319D" w14:textId="099672EF" w:rsidR="00D277E7" w:rsidRPr="00BD1319" w:rsidRDefault="00D277E7" w:rsidP="00D277E7">
      <w:pPr>
        <w:numPr>
          <w:ilvl w:val="12"/>
          <w:numId w:val="0"/>
        </w:numPr>
        <w:tabs>
          <w:tab w:val="left" w:pos="-2268"/>
        </w:tabs>
        <w:suppressAutoHyphens/>
        <w:rPr>
          <w:spacing w:val="-3"/>
        </w:rPr>
      </w:pPr>
      <w:r w:rsidRPr="00BD1319">
        <w:rPr>
          <w:spacing w:val="-3"/>
        </w:rPr>
        <w:t xml:space="preserve">Estos mecanismos de planeación territorial incorporan las determinantes ambientales al modelo de ocupación territorial para asegurar que las actividades socioeconómicas no deterioren los valores ambientales y la funcionalidad del territorio; tenerlos en cuenta desde etapas tempranas de planeación, brinda elementos para armonizar los proyectos, obras o actividades con </w:t>
      </w:r>
      <w:r w:rsidRPr="00BD1319">
        <w:rPr>
          <w:rFonts w:cs="Arial"/>
          <w:spacing w:val="-3"/>
        </w:rPr>
        <w:t>el</w:t>
      </w:r>
      <w:r w:rsidRPr="00BD1319">
        <w:rPr>
          <w:spacing w:val="-3"/>
        </w:rPr>
        <w:t xml:space="preserve"> territorio y también, asegura que los estudios ambientales tengan un sólido contexto territorial y permitan a las autoridades ambientales tomar las decisiones que garanticen la reducción de los impactos </w:t>
      </w:r>
      <w:r w:rsidRPr="00BD1319">
        <w:rPr>
          <w:rFonts w:cs="Arial"/>
          <w:spacing w:val="-3"/>
        </w:rPr>
        <w:t xml:space="preserve">ambientales </w:t>
      </w:r>
      <w:r w:rsidRPr="00BD1319">
        <w:rPr>
          <w:spacing w:val="-3"/>
        </w:rPr>
        <w:t xml:space="preserve">negativos y el aumento de los positivos en cada una de </w:t>
      </w:r>
      <w:r w:rsidR="00270241" w:rsidRPr="00BD1319">
        <w:rPr>
          <w:spacing w:val="-3"/>
        </w:rPr>
        <w:t xml:space="preserve">sus </w:t>
      </w:r>
      <w:r w:rsidRPr="00BD1319">
        <w:rPr>
          <w:spacing w:val="-3"/>
        </w:rPr>
        <w:t xml:space="preserve">fases </w:t>
      </w:r>
      <w:r w:rsidR="00270241" w:rsidRPr="00BD1319">
        <w:rPr>
          <w:spacing w:val="-3"/>
        </w:rPr>
        <w:t>de ejecución</w:t>
      </w:r>
      <w:r w:rsidR="00E74278" w:rsidRPr="00BD1319">
        <w:rPr>
          <w:spacing w:val="-3"/>
        </w:rPr>
        <w:t xml:space="preserve">, por </w:t>
      </w:r>
      <w:r w:rsidR="001B5220" w:rsidRPr="00BD1319">
        <w:rPr>
          <w:spacing w:val="-3"/>
        </w:rPr>
        <w:t>el</w:t>
      </w:r>
      <w:r w:rsidR="00E74278" w:rsidRPr="00BD1319">
        <w:rPr>
          <w:spacing w:val="-3"/>
        </w:rPr>
        <w:t>lo</w:t>
      </w:r>
      <w:r w:rsidR="001B5220" w:rsidRPr="00BD1319">
        <w:rPr>
          <w:spacing w:val="-3"/>
        </w:rPr>
        <w:t>,</w:t>
      </w:r>
      <w:r w:rsidR="00E74278" w:rsidRPr="00BD1319">
        <w:rPr>
          <w:spacing w:val="-3"/>
        </w:rPr>
        <w:t xml:space="preserve"> resulta fundamental el acercamiento oportuno y contacto permanente con las autoridades </w:t>
      </w:r>
      <w:r w:rsidR="00F85219" w:rsidRPr="00BD1319">
        <w:rPr>
          <w:spacing w:val="-3"/>
        </w:rPr>
        <w:t xml:space="preserve">ambientales y territoriales </w:t>
      </w:r>
      <w:r w:rsidR="00E74278" w:rsidRPr="00BD1319">
        <w:rPr>
          <w:spacing w:val="-3"/>
        </w:rPr>
        <w:t>con jurisdicción en el área de referencia</w:t>
      </w:r>
      <w:r w:rsidRPr="00BD1319">
        <w:rPr>
          <w:spacing w:val="-3"/>
        </w:rPr>
        <w:t>.</w:t>
      </w:r>
    </w:p>
    <w:p w14:paraId="304F3E0F" w14:textId="77777777" w:rsidR="00D277E7" w:rsidRPr="00BD1319" w:rsidRDefault="00D277E7" w:rsidP="00D277E7">
      <w:pPr>
        <w:numPr>
          <w:ilvl w:val="12"/>
          <w:numId w:val="0"/>
        </w:numPr>
        <w:tabs>
          <w:tab w:val="left" w:pos="-2268"/>
        </w:tabs>
        <w:suppressAutoHyphens/>
        <w:rPr>
          <w:spacing w:val="-3"/>
        </w:rPr>
      </w:pPr>
    </w:p>
    <w:p w14:paraId="52E1226E" w14:textId="3BCA371A" w:rsidR="00A405AB" w:rsidRPr="00BD1319" w:rsidRDefault="00A405AB" w:rsidP="00D277E7">
      <w:pPr>
        <w:numPr>
          <w:ilvl w:val="12"/>
          <w:numId w:val="0"/>
        </w:numPr>
        <w:tabs>
          <w:tab w:val="left" w:pos="-2268"/>
        </w:tabs>
        <w:suppressAutoHyphens/>
        <w:rPr>
          <w:spacing w:val="-3"/>
        </w:rPr>
      </w:pPr>
      <w:r w:rsidRPr="00BD1319">
        <w:rPr>
          <w:spacing w:val="-3"/>
        </w:rPr>
        <w:t xml:space="preserve">Asimismo, es importante que cuando un lineamiento metodológico de este documento o un requerimiento específico de los términos de referencia no aplique al estudio ambiental objeto de elaboración, se </w:t>
      </w:r>
      <w:r w:rsidR="00617BFC" w:rsidRPr="00BD1319">
        <w:rPr>
          <w:spacing w:val="-3"/>
        </w:rPr>
        <w:t xml:space="preserve">justifique </w:t>
      </w:r>
      <w:r w:rsidRPr="00BD1319">
        <w:rPr>
          <w:spacing w:val="-3"/>
        </w:rPr>
        <w:t xml:space="preserve">de manera concisa </w:t>
      </w:r>
      <w:r w:rsidR="00617BFC" w:rsidRPr="00BD1319">
        <w:rPr>
          <w:spacing w:val="-3"/>
        </w:rPr>
        <w:t xml:space="preserve">la decisión de no incorporarlo señalando los </w:t>
      </w:r>
      <w:r w:rsidR="002D79F6" w:rsidRPr="00BD1319">
        <w:rPr>
          <w:spacing w:val="-3"/>
        </w:rPr>
        <w:t>argumentos científicos</w:t>
      </w:r>
      <w:r w:rsidR="005A0F59" w:rsidRPr="00BD1319">
        <w:rPr>
          <w:spacing w:val="-3"/>
        </w:rPr>
        <w:t>,</w:t>
      </w:r>
      <w:r w:rsidR="002D79F6" w:rsidRPr="00BD1319">
        <w:rPr>
          <w:spacing w:val="-3"/>
        </w:rPr>
        <w:t xml:space="preserve"> técnicos </w:t>
      </w:r>
      <w:r w:rsidR="005A0F59" w:rsidRPr="00BD1319">
        <w:rPr>
          <w:spacing w:val="-3"/>
        </w:rPr>
        <w:t xml:space="preserve">o jurídicos </w:t>
      </w:r>
      <w:r w:rsidR="002D79F6" w:rsidRPr="00BD1319">
        <w:rPr>
          <w:spacing w:val="-3"/>
        </w:rPr>
        <w:t xml:space="preserve">que </w:t>
      </w:r>
      <w:r w:rsidR="00617BFC" w:rsidRPr="00BD1319">
        <w:rPr>
          <w:spacing w:val="-3"/>
        </w:rPr>
        <w:t>sustenta</w:t>
      </w:r>
      <w:r w:rsidR="002D79F6" w:rsidRPr="00BD1319">
        <w:rPr>
          <w:spacing w:val="-3"/>
        </w:rPr>
        <w:t>n</w:t>
      </w:r>
      <w:r w:rsidR="00617BFC" w:rsidRPr="00BD1319">
        <w:rPr>
          <w:spacing w:val="-3"/>
        </w:rPr>
        <w:t xml:space="preserve"> tal determinación</w:t>
      </w:r>
      <w:r w:rsidR="002D79F6" w:rsidRPr="00BD1319">
        <w:rPr>
          <w:spacing w:val="-3"/>
        </w:rPr>
        <w:t>.</w:t>
      </w:r>
    </w:p>
    <w:p w14:paraId="21F2BD37" w14:textId="77777777" w:rsidR="00A405AB" w:rsidRPr="00BD1319" w:rsidRDefault="00A405AB" w:rsidP="00D277E7">
      <w:pPr>
        <w:numPr>
          <w:ilvl w:val="12"/>
          <w:numId w:val="0"/>
        </w:numPr>
        <w:tabs>
          <w:tab w:val="left" w:pos="-2268"/>
        </w:tabs>
        <w:suppressAutoHyphens/>
        <w:rPr>
          <w:spacing w:val="-3"/>
        </w:rPr>
      </w:pPr>
    </w:p>
    <w:p w14:paraId="6B0CA01C" w14:textId="36E8B221" w:rsidR="00D277E7" w:rsidRPr="00BD1319" w:rsidRDefault="00D277E7" w:rsidP="00D277E7">
      <w:pPr>
        <w:numPr>
          <w:ilvl w:val="12"/>
          <w:numId w:val="0"/>
        </w:numPr>
        <w:tabs>
          <w:tab w:val="left" w:pos="-2268"/>
        </w:tabs>
        <w:suppressAutoHyphens/>
        <w:rPr>
          <w:spacing w:val="-3"/>
        </w:rPr>
      </w:pPr>
      <w:r w:rsidRPr="00BD1319">
        <w:rPr>
          <w:spacing w:val="-3"/>
        </w:rPr>
        <w:t xml:space="preserve">En la medida en que la información contenida en los estudios ambientales sea clara, </w:t>
      </w:r>
      <w:r w:rsidRPr="00BD1319">
        <w:rPr>
          <w:rFonts w:cs="Arial"/>
          <w:spacing w:val="-3"/>
        </w:rPr>
        <w:t xml:space="preserve">precisa, </w:t>
      </w:r>
      <w:r w:rsidRPr="00BD1319">
        <w:rPr>
          <w:spacing w:val="-3"/>
        </w:rPr>
        <w:t>transparente y señale de manera oportuna los beneficios y perjuicios que puede conllevar la ejecución de un proyecto, obra o actividad</w:t>
      </w:r>
      <w:r w:rsidR="00D142A4" w:rsidRPr="00BD1319">
        <w:rPr>
          <w:spacing w:val="-3"/>
        </w:rPr>
        <w:t xml:space="preserve">, se enmarque en la </w:t>
      </w:r>
      <w:r w:rsidR="00D142A4" w:rsidRPr="00BD1319">
        <w:rPr>
          <w:spacing w:val="-3"/>
        </w:rPr>
        <w:lastRenderedPageBreak/>
        <w:t>práctica de la debida diligencia en derechos humanos</w:t>
      </w:r>
      <w:r w:rsidRPr="00BD1319">
        <w:rPr>
          <w:spacing w:val="-3"/>
        </w:rPr>
        <w:t xml:space="preserve"> y tenga las características que se han calificado </w:t>
      </w:r>
      <w:r w:rsidR="008066DC" w:rsidRPr="00BD1319">
        <w:rPr>
          <w:spacing w:val="-3"/>
        </w:rPr>
        <w:t xml:space="preserve">como </w:t>
      </w:r>
      <w:r w:rsidRPr="00BD1319">
        <w:rPr>
          <w:spacing w:val="-3"/>
        </w:rPr>
        <w:t xml:space="preserve">esenciales, el proceso de licenciamiento ambiental se convierte en un instrumento que contribuye a optimizar las inversiones en un </w:t>
      </w:r>
      <w:r w:rsidR="00D142A4" w:rsidRPr="00BD1319">
        <w:rPr>
          <w:spacing w:val="-3"/>
        </w:rPr>
        <w:t xml:space="preserve">contexto </w:t>
      </w:r>
      <w:r w:rsidRPr="00BD1319">
        <w:rPr>
          <w:spacing w:val="-3"/>
        </w:rPr>
        <w:t>de participación</w:t>
      </w:r>
      <w:r w:rsidR="00B872A4" w:rsidRPr="00BD1319">
        <w:rPr>
          <w:spacing w:val="-3"/>
        </w:rPr>
        <w:t xml:space="preserve"> ciudadana</w:t>
      </w:r>
      <w:r w:rsidR="00112A7A" w:rsidRPr="00BD1319">
        <w:rPr>
          <w:spacing w:val="-3"/>
        </w:rPr>
        <w:t xml:space="preserve"> y</w:t>
      </w:r>
      <w:r w:rsidRPr="00BD1319">
        <w:rPr>
          <w:spacing w:val="-3"/>
        </w:rPr>
        <w:t xml:space="preserve"> propicia el cumplimiento de los mandatos de la Constitución </w:t>
      </w:r>
      <w:r w:rsidR="00C21ACA" w:rsidRPr="00BD1319">
        <w:rPr>
          <w:spacing w:val="-3"/>
        </w:rPr>
        <w:t>P</w:t>
      </w:r>
      <w:r w:rsidRPr="00BD1319">
        <w:rPr>
          <w:spacing w:val="-3"/>
        </w:rPr>
        <w:t xml:space="preserve">olítica </w:t>
      </w:r>
      <w:r w:rsidR="00B872A4" w:rsidRPr="00BD1319">
        <w:rPr>
          <w:spacing w:val="-3"/>
        </w:rPr>
        <w:t xml:space="preserve">y de los tratados internacionales incorporados en el ordenamiento jurídico colombiano </w:t>
      </w:r>
      <w:r w:rsidRPr="00BD1319">
        <w:rPr>
          <w:spacing w:val="-3"/>
        </w:rPr>
        <w:t xml:space="preserve">respecto de la participación </w:t>
      </w:r>
      <w:r w:rsidR="00D142A4" w:rsidRPr="00BD1319">
        <w:rPr>
          <w:spacing w:val="-3"/>
        </w:rPr>
        <w:t>pública</w:t>
      </w:r>
      <w:r w:rsidRPr="00BD1319">
        <w:rPr>
          <w:spacing w:val="-3"/>
        </w:rPr>
        <w:t xml:space="preserve"> en las decisiones que pued</w:t>
      </w:r>
      <w:r w:rsidR="00D142A4" w:rsidRPr="00BD1319">
        <w:rPr>
          <w:spacing w:val="-3"/>
        </w:rPr>
        <w:t>e</w:t>
      </w:r>
      <w:r w:rsidRPr="00BD1319">
        <w:rPr>
          <w:spacing w:val="-3"/>
        </w:rPr>
        <w:t xml:space="preserve">n afectar </w:t>
      </w:r>
      <w:r w:rsidR="000A28C5" w:rsidRPr="00BD1319">
        <w:rPr>
          <w:spacing w:val="-3"/>
        </w:rPr>
        <w:t xml:space="preserve">el </w:t>
      </w:r>
      <w:r w:rsidRPr="00BD1319">
        <w:rPr>
          <w:spacing w:val="-3"/>
        </w:rPr>
        <w:t>derecho a gozar de un ambiente sano.</w:t>
      </w:r>
    </w:p>
    <w:p w14:paraId="5E674A21" w14:textId="77777777" w:rsidR="00D277E7" w:rsidRPr="00BD1319" w:rsidRDefault="00D277E7" w:rsidP="00D277E7">
      <w:pPr>
        <w:numPr>
          <w:ilvl w:val="12"/>
          <w:numId w:val="0"/>
        </w:numPr>
        <w:tabs>
          <w:tab w:val="left" w:pos="-2268"/>
        </w:tabs>
        <w:suppressAutoHyphens/>
        <w:rPr>
          <w:spacing w:val="-3"/>
        </w:rPr>
      </w:pPr>
    </w:p>
    <w:p w14:paraId="3B93CCD9" w14:textId="77777777" w:rsidR="00D277E7" w:rsidRPr="00BD1319" w:rsidRDefault="00D277E7" w:rsidP="006052B3">
      <w:pPr>
        <w:numPr>
          <w:ilvl w:val="0"/>
          <w:numId w:val="41"/>
        </w:numPr>
        <w:tabs>
          <w:tab w:val="left" w:pos="-2268"/>
        </w:tabs>
        <w:suppressAutoHyphens/>
        <w:ind w:left="567" w:hanging="567"/>
        <w:rPr>
          <w:b/>
          <w:i/>
          <w:spacing w:val="-3"/>
          <w:u w:val="single"/>
        </w:rPr>
      </w:pPr>
      <w:r w:rsidRPr="00BD1319">
        <w:rPr>
          <w:b/>
          <w:i/>
          <w:spacing w:val="-3"/>
          <w:u w:val="single"/>
        </w:rPr>
        <w:t>Sobre la integralidad de los estudios ambientales</w:t>
      </w:r>
    </w:p>
    <w:p w14:paraId="30267A26" w14:textId="77777777" w:rsidR="00D277E7" w:rsidRPr="00BD1319" w:rsidRDefault="00D277E7" w:rsidP="00D277E7">
      <w:pPr>
        <w:numPr>
          <w:ilvl w:val="12"/>
          <w:numId w:val="0"/>
        </w:numPr>
        <w:tabs>
          <w:tab w:val="left" w:pos="-2268"/>
        </w:tabs>
        <w:suppressAutoHyphens/>
        <w:rPr>
          <w:spacing w:val="-3"/>
        </w:rPr>
      </w:pPr>
    </w:p>
    <w:p w14:paraId="2140D328" w14:textId="57B0B723" w:rsidR="00FB2191" w:rsidRPr="00BD1319" w:rsidRDefault="00D277E7" w:rsidP="00D277E7">
      <w:pPr>
        <w:numPr>
          <w:ilvl w:val="12"/>
          <w:numId w:val="0"/>
        </w:numPr>
        <w:tabs>
          <w:tab w:val="left" w:pos="-2268"/>
        </w:tabs>
        <w:suppressAutoHyphens/>
        <w:rPr>
          <w:spacing w:val="-3"/>
        </w:rPr>
      </w:pPr>
      <w:r w:rsidRPr="00BD1319">
        <w:rPr>
          <w:spacing w:val="-3"/>
        </w:rPr>
        <w:t xml:space="preserve">En consonancia con la realidad sistémica propia de cualquier territorio, la elaboración de los estudios debe garantizar el análisis de las múltiples y complejas relaciones que se presentan en el área de </w:t>
      </w:r>
      <w:r w:rsidR="008066DC" w:rsidRPr="00BD1319">
        <w:rPr>
          <w:spacing w:val="-3"/>
        </w:rPr>
        <w:t xml:space="preserve">referencia (área de estudio para el DAA y área de </w:t>
      </w:r>
      <w:r w:rsidRPr="00BD1319">
        <w:rPr>
          <w:spacing w:val="-3"/>
        </w:rPr>
        <w:t xml:space="preserve">influencia </w:t>
      </w:r>
      <w:r w:rsidR="008066DC" w:rsidRPr="00BD1319">
        <w:rPr>
          <w:spacing w:val="-3"/>
        </w:rPr>
        <w:t>para el EIA)</w:t>
      </w:r>
      <w:r w:rsidRPr="00BD1319">
        <w:rPr>
          <w:spacing w:val="-3"/>
        </w:rPr>
        <w:t xml:space="preserve">, y constatar que </w:t>
      </w:r>
      <w:r w:rsidR="00FB2191" w:rsidRPr="00BD1319">
        <w:rPr>
          <w:spacing w:val="-3"/>
        </w:rPr>
        <w:t>la</w:t>
      </w:r>
      <w:r w:rsidRPr="00BD1319">
        <w:rPr>
          <w:spacing w:val="-3"/>
        </w:rPr>
        <w:t xml:space="preserve"> </w:t>
      </w:r>
      <w:r w:rsidR="00FB2191" w:rsidRPr="00BD1319">
        <w:rPr>
          <w:spacing w:val="-3"/>
        </w:rPr>
        <w:t xml:space="preserve">formulación de alternativas, así como la </w:t>
      </w:r>
      <w:r w:rsidRPr="00BD1319">
        <w:rPr>
          <w:spacing w:val="-3"/>
        </w:rPr>
        <w:t>planeación, ejecución, desarrollo y desmantelamiento</w:t>
      </w:r>
      <w:r w:rsidR="00FB2191" w:rsidRPr="00BD1319">
        <w:rPr>
          <w:spacing w:val="-3"/>
        </w:rPr>
        <w:t xml:space="preserve"> de un proyecto, obra o actividad</w:t>
      </w:r>
      <w:r w:rsidRPr="00BD1319">
        <w:rPr>
          <w:spacing w:val="-3"/>
        </w:rPr>
        <w:t>, est</w:t>
      </w:r>
      <w:r w:rsidR="00FD27FF" w:rsidRPr="00BD1319">
        <w:rPr>
          <w:spacing w:val="-3"/>
        </w:rPr>
        <w:t>é</w:t>
      </w:r>
      <w:r w:rsidRPr="00BD1319">
        <w:rPr>
          <w:spacing w:val="-3"/>
        </w:rPr>
        <w:t>n adecuadamente concebidas y estructuradas para insertarse en el territorio sin conllevar deterioro ambiental.</w:t>
      </w:r>
    </w:p>
    <w:p w14:paraId="1D29C54E" w14:textId="77777777" w:rsidR="00FB2191" w:rsidRPr="00BD1319" w:rsidRDefault="00FB2191" w:rsidP="00D277E7">
      <w:pPr>
        <w:numPr>
          <w:ilvl w:val="12"/>
          <w:numId w:val="0"/>
        </w:numPr>
        <w:tabs>
          <w:tab w:val="left" w:pos="-2268"/>
        </w:tabs>
        <w:suppressAutoHyphens/>
        <w:rPr>
          <w:spacing w:val="-3"/>
        </w:rPr>
      </w:pPr>
    </w:p>
    <w:p w14:paraId="4F28CB10" w14:textId="2CB55EF0" w:rsidR="00D277E7" w:rsidRPr="00BD1319" w:rsidRDefault="00D277E7" w:rsidP="00D277E7">
      <w:pPr>
        <w:numPr>
          <w:ilvl w:val="12"/>
          <w:numId w:val="0"/>
        </w:numPr>
        <w:tabs>
          <w:tab w:val="left" w:pos="-2268"/>
        </w:tabs>
        <w:suppressAutoHyphens/>
        <w:rPr>
          <w:spacing w:val="-3"/>
        </w:rPr>
      </w:pPr>
      <w:r w:rsidRPr="00BD1319">
        <w:rPr>
          <w:spacing w:val="-3"/>
        </w:rPr>
        <w:t xml:space="preserve">La información </w:t>
      </w:r>
      <w:r w:rsidR="002D006D" w:rsidRPr="00BD1319">
        <w:rPr>
          <w:spacing w:val="-3"/>
        </w:rPr>
        <w:t xml:space="preserve">de </w:t>
      </w:r>
      <w:r w:rsidRPr="00BD1319">
        <w:rPr>
          <w:spacing w:val="-3"/>
        </w:rPr>
        <w:t xml:space="preserve">los capítulos de descripción del proyecto y caracterización </w:t>
      </w:r>
      <w:r w:rsidR="002D006D" w:rsidRPr="00BD1319">
        <w:rPr>
          <w:spacing w:val="-3"/>
        </w:rPr>
        <w:t xml:space="preserve">ambiental (que </w:t>
      </w:r>
      <w:r w:rsidRPr="00BD1319">
        <w:rPr>
          <w:spacing w:val="-3"/>
        </w:rPr>
        <w:t>se presenta clasificada por componentes</w:t>
      </w:r>
      <w:r w:rsidR="00FB2191" w:rsidRPr="00BD1319">
        <w:rPr>
          <w:spacing w:val="-3"/>
        </w:rPr>
        <w:t xml:space="preserve"> </w:t>
      </w:r>
      <w:r w:rsidRPr="00BD1319">
        <w:rPr>
          <w:spacing w:val="-3"/>
        </w:rPr>
        <w:t>y medios</w:t>
      </w:r>
      <w:r w:rsidR="002D006D" w:rsidRPr="00BD1319">
        <w:rPr>
          <w:spacing w:val="-3"/>
        </w:rPr>
        <w:t>)</w:t>
      </w:r>
      <w:r w:rsidRPr="00BD1319">
        <w:rPr>
          <w:spacing w:val="-3"/>
        </w:rPr>
        <w:t>, debe integra</w:t>
      </w:r>
      <w:r w:rsidR="00FB2191" w:rsidRPr="00BD1319">
        <w:rPr>
          <w:spacing w:val="-3"/>
        </w:rPr>
        <w:t>rse</w:t>
      </w:r>
      <w:r w:rsidRPr="00BD1319">
        <w:rPr>
          <w:spacing w:val="-3"/>
        </w:rPr>
        <w:t>, a fin de clarificar las implicaciones ambientales del proyecto</w:t>
      </w:r>
      <w:r w:rsidR="00FB2191" w:rsidRPr="00BD1319">
        <w:rPr>
          <w:spacing w:val="-3"/>
        </w:rPr>
        <w:t>, obra o actividad</w:t>
      </w:r>
      <w:r w:rsidRPr="00BD1319">
        <w:rPr>
          <w:spacing w:val="-3"/>
        </w:rPr>
        <w:t>. La ocupación del territorio, la transformación social, económica</w:t>
      </w:r>
      <w:r w:rsidR="00C93545" w:rsidRPr="00BD1319">
        <w:rPr>
          <w:spacing w:val="-3"/>
        </w:rPr>
        <w:t>, cultural</w:t>
      </w:r>
      <w:r w:rsidRPr="00BD1319">
        <w:rPr>
          <w:spacing w:val="-3"/>
        </w:rPr>
        <w:t xml:space="preserve"> y ambiental que genera </w:t>
      </w:r>
      <w:r w:rsidR="00FB2191" w:rsidRPr="00BD1319">
        <w:rPr>
          <w:spacing w:val="-3"/>
        </w:rPr>
        <w:t>una propuesta de desarrollo</w:t>
      </w:r>
      <w:r w:rsidRPr="00BD1319">
        <w:rPr>
          <w:spacing w:val="-3"/>
        </w:rPr>
        <w:t>, el uso de recursos naturales, la producción, emisión y vertimiento de contaminantes y las modificaciones directas o indirectas que se causan a los ecosistemas y a las sociedades que conviven en ellos, constituyen transformaciones que deben ser tratadas de forma integral a fin de determinar la</w:t>
      </w:r>
      <w:r w:rsidR="002D006D" w:rsidRPr="00BD1319">
        <w:rPr>
          <w:spacing w:val="-3"/>
        </w:rPr>
        <w:t>s</w:t>
      </w:r>
      <w:r w:rsidRPr="00BD1319">
        <w:rPr>
          <w:spacing w:val="-3"/>
        </w:rPr>
        <w:t xml:space="preserve"> </w:t>
      </w:r>
      <w:r w:rsidR="002D006D" w:rsidRPr="00BD1319">
        <w:rPr>
          <w:spacing w:val="-3"/>
        </w:rPr>
        <w:t xml:space="preserve">mejores alternativas y la </w:t>
      </w:r>
      <w:r w:rsidRPr="00BD1319">
        <w:rPr>
          <w:spacing w:val="-3"/>
        </w:rPr>
        <w:t>pertinencia de ejecutar el proyecto, obra o actividad.</w:t>
      </w:r>
    </w:p>
    <w:p w14:paraId="6B02F4AF" w14:textId="77777777" w:rsidR="00D277E7" w:rsidRPr="00BD1319" w:rsidRDefault="00D277E7" w:rsidP="00D277E7">
      <w:pPr>
        <w:numPr>
          <w:ilvl w:val="12"/>
          <w:numId w:val="0"/>
        </w:numPr>
        <w:tabs>
          <w:tab w:val="left" w:pos="-2268"/>
        </w:tabs>
        <w:suppressAutoHyphens/>
        <w:rPr>
          <w:spacing w:val="-3"/>
        </w:rPr>
      </w:pPr>
    </w:p>
    <w:p w14:paraId="6B71CF8A" w14:textId="61B2D8D1" w:rsidR="00D277E7" w:rsidRPr="00BD1319" w:rsidRDefault="00D277E7" w:rsidP="00D277E7">
      <w:pPr>
        <w:numPr>
          <w:ilvl w:val="12"/>
          <w:numId w:val="0"/>
        </w:numPr>
        <w:tabs>
          <w:tab w:val="left" w:pos="-2268"/>
        </w:tabs>
        <w:suppressAutoHyphens/>
        <w:rPr>
          <w:spacing w:val="-3"/>
        </w:rPr>
      </w:pPr>
      <w:r w:rsidRPr="00BD1319">
        <w:rPr>
          <w:spacing w:val="-3"/>
        </w:rPr>
        <w:t>Esta necesaria integralidad de los estudios ambientales conlleva</w:t>
      </w:r>
      <w:r w:rsidR="00C93545" w:rsidRPr="00BD1319">
        <w:rPr>
          <w:spacing w:val="-3"/>
        </w:rPr>
        <w:t>,</w:t>
      </w:r>
      <w:r w:rsidRPr="00BD1319">
        <w:rPr>
          <w:spacing w:val="-3"/>
        </w:rPr>
        <w:t xml:space="preserve"> entre otras cuestiones, a </w:t>
      </w:r>
      <w:r w:rsidR="002A7B84" w:rsidRPr="00BD1319">
        <w:rPr>
          <w:spacing w:val="-3"/>
        </w:rPr>
        <w:t>determinar</w:t>
      </w:r>
      <w:r w:rsidRPr="00BD1319">
        <w:rPr>
          <w:spacing w:val="-3"/>
        </w:rPr>
        <w:t xml:space="preserve"> y </w:t>
      </w:r>
      <w:r w:rsidR="002D006D" w:rsidRPr="00BD1319">
        <w:rPr>
          <w:spacing w:val="-3"/>
        </w:rPr>
        <w:t xml:space="preserve">evaluar </w:t>
      </w:r>
      <w:r w:rsidR="002A7B84" w:rsidRPr="00BD1319">
        <w:rPr>
          <w:spacing w:val="-3"/>
        </w:rPr>
        <w:t xml:space="preserve">los </w:t>
      </w:r>
      <w:r w:rsidRPr="00BD1319">
        <w:rPr>
          <w:spacing w:val="-3"/>
        </w:rPr>
        <w:t xml:space="preserve">impactos sinérgicos </w:t>
      </w:r>
      <w:r w:rsidR="00706EC4" w:rsidRPr="00BD1319">
        <w:rPr>
          <w:spacing w:val="-3"/>
        </w:rPr>
        <w:t xml:space="preserve">que </w:t>
      </w:r>
      <w:r w:rsidR="002D006D" w:rsidRPr="00BD1319">
        <w:rPr>
          <w:spacing w:val="-3"/>
        </w:rPr>
        <w:t xml:space="preserve">dadas </w:t>
      </w:r>
      <w:r w:rsidR="00706EC4" w:rsidRPr="00BD1319">
        <w:rPr>
          <w:spacing w:val="-3"/>
        </w:rPr>
        <w:t xml:space="preserve">las </w:t>
      </w:r>
      <w:r w:rsidR="00EB4707" w:rsidRPr="00BD1319">
        <w:rPr>
          <w:spacing w:val="-3"/>
        </w:rPr>
        <w:t>condiciones ambientales (abióticas, bióticas y socioeconómicas)</w:t>
      </w:r>
      <w:r w:rsidR="002D006D" w:rsidRPr="00BD1319">
        <w:rPr>
          <w:spacing w:val="-3"/>
        </w:rPr>
        <w:t xml:space="preserve"> </w:t>
      </w:r>
      <w:r w:rsidR="005C5121" w:rsidRPr="00BD1319">
        <w:rPr>
          <w:spacing w:val="-3"/>
        </w:rPr>
        <w:t>y</w:t>
      </w:r>
      <w:r w:rsidRPr="00BD1319">
        <w:rPr>
          <w:spacing w:val="-3"/>
        </w:rPr>
        <w:t xml:space="preserve"> </w:t>
      </w:r>
      <w:r w:rsidR="005C5121" w:rsidRPr="00BD1319">
        <w:rPr>
          <w:spacing w:val="-3"/>
        </w:rPr>
        <w:t xml:space="preserve">las </w:t>
      </w:r>
      <w:r w:rsidR="00EB4707" w:rsidRPr="00BD1319">
        <w:rPr>
          <w:spacing w:val="-3"/>
        </w:rPr>
        <w:t>actividades y proyectos</w:t>
      </w:r>
      <w:r w:rsidR="00706EC4" w:rsidRPr="00BD1319">
        <w:rPr>
          <w:spacing w:val="-3"/>
        </w:rPr>
        <w:t xml:space="preserve"> presentes en el área de referencia,</w:t>
      </w:r>
      <w:r w:rsidR="00EB4707" w:rsidRPr="00BD1319">
        <w:rPr>
          <w:spacing w:val="-3"/>
        </w:rPr>
        <w:t xml:space="preserve"> </w:t>
      </w:r>
      <w:r w:rsidRPr="00BD1319">
        <w:rPr>
          <w:spacing w:val="-3"/>
        </w:rPr>
        <w:t>pued</w:t>
      </w:r>
      <w:r w:rsidR="005C5121" w:rsidRPr="00BD1319">
        <w:rPr>
          <w:spacing w:val="-3"/>
        </w:rPr>
        <w:t>a</w:t>
      </w:r>
      <w:r w:rsidRPr="00BD1319">
        <w:rPr>
          <w:spacing w:val="-3"/>
        </w:rPr>
        <w:t xml:space="preserve">n sobrevenir como consecuencia de la ejecución del proyecto, obra o actividad objeto de </w:t>
      </w:r>
      <w:r w:rsidR="005C5121" w:rsidRPr="00BD1319">
        <w:rPr>
          <w:spacing w:val="-3"/>
        </w:rPr>
        <w:t>formulación</w:t>
      </w:r>
      <w:r w:rsidR="00C93545" w:rsidRPr="00BD1319">
        <w:rPr>
          <w:spacing w:val="-3"/>
        </w:rPr>
        <w:t xml:space="preserve">. La </w:t>
      </w:r>
      <w:r w:rsidR="002A7B84" w:rsidRPr="00BD1319">
        <w:rPr>
          <w:spacing w:val="-3"/>
        </w:rPr>
        <w:t xml:space="preserve">determinación </w:t>
      </w:r>
      <w:r w:rsidR="00706EC4" w:rsidRPr="00BD1319">
        <w:rPr>
          <w:spacing w:val="-3"/>
        </w:rPr>
        <w:t xml:space="preserve">y evaluación debe extenderse a </w:t>
      </w:r>
      <w:r w:rsidR="005C5121" w:rsidRPr="00BD1319">
        <w:rPr>
          <w:spacing w:val="-3"/>
        </w:rPr>
        <w:t>los</w:t>
      </w:r>
      <w:r w:rsidRPr="00BD1319">
        <w:rPr>
          <w:spacing w:val="-3"/>
        </w:rPr>
        <w:t xml:space="preserve"> impactos acumulativos que se suma</w:t>
      </w:r>
      <w:r w:rsidR="00EB4707" w:rsidRPr="00BD1319">
        <w:rPr>
          <w:spacing w:val="-3"/>
        </w:rPr>
        <w:t>ría</w:t>
      </w:r>
      <w:r w:rsidRPr="00BD1319">
        <w:rPr>
          <w:spacing w:val="-3"/>
        </w:rPr>
        <w:t xml:space="preserve">n en el tiempo y el espacio </w:t>
      </w:r>
      <w:r w:rsidR="005C5121" w:rsidRPr="00BD1319">
        <w:rPr>
          <w:spacing w:val="-3"/>
        </w:rPr>
        <w:t>a los ya existentes en el área de referencia</w:t>
      </w:r>
      <w:r w:rsidRPr="00BD1319">
        <w:rPr>
          <w:spacing w:val="-3"/>
        </w:rPr>
        <w:t xml:space="preserve">. </w:t>
      </w:r>
      <w:r w:rsidR="00706EC4" w:rsidRPr="00BD1319">
        <w:rPr>
          <w:spacing w:val="-3"/>
        </w:rPr>
        <w:t>Asimismo, es i</w:t>
      </w:r>
      <w:r w:rsidRPr="00BD1319">
        <w:rPr>
          <w:spacing w:val="-3"/>
        </w:rPr>
        <w:t xml:space="preserve">mportante </w:t>
      </w:r>
      <w:r w:rsidR="005C5121" w:rsidRPr="00BD1319">
        <w:rPr>
          <w:spacing w:val="-3"/>
        </w:rPr>
        <w:t>estudi</w:t>
      </w:r>
      <w:r w:rsidR="00706EC4" w:rsidRPr="00BD1319">
        <w:rPr>
          <w:spacing w:val="-3"/>
        </w:rPr>
        <w:t>ar</w:t>
      </w:r>
      <w:r w:rsidR="005C5121" w:rsidRPr="00BD1319">
        <w:rPr>
          <w:spacing w:val="-3"/>
        </w:rPr>
        <w:t xml:space="preserve"> </w:t>
      </w:r>
      <w:r w:rsidR="00706EC4" w:rsidRPr="00BD1319">
        <w:rPr>
          <w:spacing w:val="-3"/>
        </w:rPr>
        <w:t xml:space="preserve">las </w:t>
      </w:r>
      <w:r w:rsidRPr="00BD1319">
        <w:rPr>
          <w:spacing w:val="-3"/>
        </w:rPr>
        <w:t xml:space="preserve">actividades y relaciones que causan múltiples impactos o que potencian otros, </w:t>
      </w:r>
      <w:r w:rsidR="00706EC4" w:rsidRPr="00BD1319">
        <w:rPr>
          <w:spacing w:val="-3"/>
        </w:rPr>
        <w:t>con el propósito</w:t>
      </w:r>
      <w:r w:rsidR="00800E3D" w:rsidRPr="00BD1319">
        <w:rPr>
          <w:spacing w:val="-3"/>
        </w:rPr>
        <w:t xml:space="preserve"> de</w:t>
      </w:r>
      <w:r w:rsidRPr="00BD1319">
        <w:rPr>
          <w:spacing w:val="-3"/>
        </w:rPr>
        <w:t xml:space="preserve"> </w:t>
      </w:r>
      <w:r w:rsidR="005C5121" w:rsidRPr="00BD1319">
        <w:rPr>
          <w:spacing w:val="-3"/>
        </w:rPr>
        <w:t>plante</w:t>
      </w:r>
      <w:r w:rsidR="00800E3D" w:rsidRPr="00BD1319">
        <w:rPr>
          <w:spacing w:val="-3"/>
        </w:rPr>
        <w:t>ar</w:t>
      </w:r>
      <w:r w:rsidR="005C5121" w:rsidRPr="00BD1319">
        <w:rPr>
          <w:spacing w:val="-3"/>
        </w:rPr>
        <w:t xml:space="preserve"> alternativas y formul</w:t>
      </w:r>
      <w:r w:rsidR="00800E3D" w:rsidRPr="00BD1319">
        <w:rPr>
          <w:spacing w:val="-3"/>
        </w:rPr>
        <w:t>ar</w:t>
      </w:r>
      <w:r w:rsidR="005C5121" w:rsidRPr="00BD1319">
        <w:rPr>
          <w:spacing w:val="-3"/>
        </w:rPr>
        <w:t xml:space="preserve"> </w:t>
      </w:r>
      <w:r w:rsidRPr="00BD1319">
        <w:rPr>
          <w:spacing w:val="-3"/>
        </w:rPr>
        <w:t xml:space="preserve">medidas de manejo que permitan </w:t>
      </w:r>
      <w:r w:rsidR="005458DD" w:rsidRPr="00BD1319">
        <w:rPr>
          <w:spacing w:val="-3"/>
        </w:rPr>
        <w:t>gestionar</w:t>
      </w:r>
      <w:r w:rsidRPr="00BD1319">
        <w:rPr>
          <w:spacing w:val="-3"/>
        </w:rPr>
        <w:t xml:space="preserve"> varios impactos a la vez.</w:t>
      </w:r>
    </w:p>
    <w:p w14:paraId="0833C59E" w14:textId="77777777" w:rsidR="00D277E7" w:rsidRPr="00BD1319" w:rsidRDefault="00D277E7" w:rsidP="00D277E7">
      <w:pPr>
        <w:numPr>
          <w:ilvl w:val="12"/>
          <w:numId w:val="0"/>
        </w:numPr>
        <w:tabs>
          <w:tab w:val="left" w:pos="-2268"/>
        </w:tabs>
        <w:suppressAutoHyphens/>
        <w:rPr>
          <w:spacing w:val="-3"/>
        </w:rPr>
      </w:pPr>
    </w:p>
    <w:p w14:paraId="4530E1D7" w14:textId="7D3412B8" w:rsidR="00D277E7" w:rsidRPr="00BD1319" w:rsidRDefault="00D277E7" w:rsidP="00D277E7">
      <w:pPr>
        <w:numPr>
          <w:ilvl w:val="12"/>
          <w:numId w:val="0"/>
        </w:numPr>
        <w:tabs>
          <w:tab w:val="left" w:pos="-2268"/>
        </w:tabs>
        <w:suppressAutoHyphens/>
        <w:rPr>
          <w:spacing w:val="-3"/>
        </w:rPr>
      </w:pPr>
      <w:r w:rsidRPr="00BD1319">
        <w:rPr>
          <w:spacing w:val="-3"/>
        </w:rPr>
        <w:lastRenderedPageBreak/>
        <w:t>La elaboración y presentación de los estudios ambientales debe asegurar un hilo conductor entre los diferentes capítulos, no solo para los propósitos de la evaluación competencia de la autoridad ambiental, sino para</w:t>
      </w:r>
      <w:r w:rsidR="00EB4707" w:rsidRPr="00BD1319">
        <w:rPr>
          <w:spacing w:val="-3"/>
        </w:rPr>
        <w:t xml:space="preserve"> brindar elementos</w:t>
      </w:r>
      <w:r w:rsidRPr="00BD1319">
        <w:rPr>
          <w:spacing w:val="-3"/>
        </w:rPr>
        <w:t xml:space="preserve"> </w:t>
      </w:r>
      <w:r w:rsidR="00EB4707" w:rsidRPr="00BD1319">
        <w:rPr>
          <w:spacing w:val="-3"/>
        </w:rPr>
        <w:t>a</w:t>
      </w:r>
      <w:r w:rsidRPr="00BD1319">
        <w:rPr>
          <w:spacing w:val="-3"/>
        </w:rPr>
        <w:t>l equipo estructura</w:t>
      </w:r>
      <w:r w:rsidR="00C93545" w:rsidRPr="00BD1319">
        <w:rPr>
          <w:spacing w:val="-3"/>
        </w:rPr>
        <w:t>dor</w:t>
      </w:r>
      <w:r w:rsidR="00EB4707" w:rsidRPr="00BD1319">
        <w:rPr>
          <w:spacing w:val="-3"/>
        </w:rPr>
        <w:t xml:space="preserve"> </w:t>
      </w:r>
      <w:r w:rsidRPr="00BD1319">
        <w:rPr>
          <w:spacing w:val="-3"/>
        </w:rPr>
        <w:t xml:space="preserve">que </w:t>
      </w:r>
      <w:r w:rsidR="00EB4707" w:rsidRPr="00BD1319">
        <w:rPr>
          <w:spacing w:val="-3"/>
        </w:rPr>
        <w:t xml:space="preserve">posibiliten que </w:t>
      </w:r>
      <w:r w:rsidRPr="00BD1319">
        <w:rPr>
          <w:spacing w:val="-3"/>
        </w:rPr>
        <w:t xml:space="preserve">las decisiones que éste toma en relación con la ubicación, el trazado, las tecnologías aplicadas, los recursos ingenieriles a emplear, los recursos económicos que se requiere disponer para su ejecución y los planes de manejo </w:t>
      </w:r>
      <w:r w:rsidRPr="00BD1319">
        <w:rPr>
          <w:rFonts w:cs="Arial"/>
          <w:spacing w:val="-3"/>
        </w:rPr>
        <w:t xml:space="preserve">ambiental </w:t>
      </w:r>
      <w:r w:rsidR="00892816" w:rsidRPr="00BD1319">
        <w:rPr>
          <w:rFonts w:cs="Arial"/>
          <w:spacing w:val="-3"/>
        </w:rPr>
        <w:t>a</w:t>
      </w:r>
      <w:r w:rsidRPr="00BD1319">
        <w:rPr>
          <w:rFonts w:cs="Arial"/>
          <w:spacing w:val="-3"/>
        </w:rPr>
        <w:t xml:space="preserve"> implementar, </w:t>
      </w:r>
      <w:r w:rsidRPr="00BD1319">
        <w:rPr>
          <w:spacing w:val="-3"/>
        </w:rPr>
        <w:t xml:space="preserve">permiten de manera eficaz, </w:t>
      </w:r>
      <w:r w:rsidRPr="00BD1319">
        <w:rPr>
          <w:rFonts w:cs="Arial"/>
          <w:spacing w:val="-3"/>
        </w:rPr>
        <w:t>prevenir, mitigar, corregir y compensar</w:t>
      </w:r>
      <w:r w:rsidRPr="00BD1319">
        <w:rPr>
          <w:spacing w:val="-3"/>
        </w:rPr>
        <w:t xml:space="preserve"> los impactos ambientales que produce</w:t>
      </w:r>
      <w:r w:rsidR="00892816" w:rsidRPr="00BD1319">
        <w:rPr>
          <w:spacing w:val="-3"/>
        </w:rPr>
        <w:t>n las alternativas o</w:t>
      </w:r>
      <w:r w:rsidRPr="00BD1319">
        <w:rPr>
          <w:spacing w:val="-3"/>
        </w:rPr>
        <w:t xml:space="preserve"> un determinado proyecto</w:t>
      </w:r>
      <w:r w:rsidR="00F32AC0" w:rsidRPr="00BD1319">
        <w:rPr>
          <w:spacing w:val="-3"/>
        </w:rPr>
        <w:t>, obra o actividad</w:t>
      </w:r>
      <w:r w:rsidRPr="00BD1319">
        <w:rPr>
          <w:spacing w:val="-3"/>
        </w:rPr>
        <w:t xml:space="preserve"> en un territorio específico.</w:t>
      </w:r>
    </w:p>
    <w:p w14:paraId="7F54CBB8" w14:textId="77777777" w:rsidR="00D277E7" w:rsidRPr="00BD1319" w:rsidRDefault="00D277E7" w:rsidP="00D277E7">
      <w:pPr>
        <w:numPr>
          <w:ilvl w:val="12"/>
          <w:numId w:val="0"/>
        </w:numPr>
        <w:tabs>
          <w:tab w:val="left" w:pos="-2268"/>
        </w:tabs>
        <w:suppressAutoHyphens/>
        <w:rPr>
          <w:spacing w:val="-3"/>
        </w:rPr>
      </w:pPr>
    </w:p>
    <w:p w14:paraId="62373484" w14:textId="541C1B39" w:rsidR="00A101A4" w:rsidRPr="00BD1319" w:rsidRDefault="00D277E7">
      <w:pPr>
        <w:numPr>
          <w:ilvl w:val="12"/>
          <w:numId w:val="0"/>
        </w:numPr>
        <w:tabs>
          <w:tab w:val="left" w:pos="-2268"/>
        </w:tabs>
        <w:suppressAutoHyphens/>
        <w:rPr>
          <w:spacing w:val="-3"/>
        </w:rPr>
      </w:pPr>
      <w:r w:rsidRPr="00BD1319">
        <w:rPr>
          <w:spacing w:val="-3"/>
        </w:rPr>
        <w:t>En aras de la transparencia</w:t>
      </w:r>
      <w:r w:rsidRPr="00BD1319">
        <w:rPr>
          <w:rFonts w:cs="Arial"/>
          <w:spacing w:val="-3"/>
        </w:rPr>
        <w:t xml:space="preserve"> y rigor técnico</w:t>
      </w:r>
      <w:r w:rsidRPr="00BD1319">
        <w:rPr>
          <w:spacing w:val="-3"/>
        </w:rPr>
        <w:t xml:space="preserve"> de los estudios, éstos deben presentar de forma completa y detallada las metodologías que se utilizaron para su elaboración, incluyendo los procedimientos de recolección, procesamiento y análisis de la información, grado de incertidumbre, memorias de cálculo, fechas o períodos a los que corresponde el levantamiento de </w:t>
      </w:r>
      <w:r w:rsidR="005A0F59" w:rsidRPr="00BD1319">
        <w:rPr>
          <w:rFonts w:cs="Arial"/>
          <w:spacing w:val="-3"/>
        </w:rPr>
        <w:t>ésta</w:t>
      </w:r>
      <w:r w:rsidR="000D17D8" w:rsidRPr="00BD1319">
        <w:rPr>
          <w:rFonts w:cs="Arial"/>
          <w:spacing w:val="-3"/>
        </w:rPr>
        <w:t xml:space="preserve">, </w:t>
      </w:r>
      <w:r w:rsidR="000D17D8" w:rsidRPr="00BD1319">
        <w:rPr>
          <w:spacing w:val="-3"/>
        </w:rPr>
        <w:t xml:space="preserve">así como los mecanismos de convocatoria a los procesos de participación, las acciones adelantadas para garantizar la participación de </w:t>
      </w:r>
      <w:r w:rsidR="00D264DF" w:rsidRPr="00BD1319">
        <w:rPr>
          <w:rFonts w:cs="Arial"/>
        </w:rPr>
        <w:t>personas o grupos con mayores dificultades para acceder a la información</w:t>
      </w:r>
      <w:r w:rsidR="00D264DF" w:rsidRPr="00BD1319">
        <w:rPr>
          <w:rStyle w:val="Refdenotaalpie"/>
          <w:rFonts w:cs="Arial"/>
        </w:rPr>
        <w:footnoteReference w:id="13"/>
      </w:r>
      <w:r w:rsidR="000D17D8" w:rsidRPr="00BD1319">
        <w:rPr>
          <w:spacing w:val="-3"/>
        </w:rPr>
        <w:t>, la trazabilidad técnica de los instrumentos de consulta y recolección de los aportes ciudadanos, entre otras</w:t>
      </w:r>
      <w:r w:rsidRPr="00BD1319">
        <w:rPr>
          <w:spacing w:val="-3"/>
        </w:rPr>
        <w:t xml:space="preserve">. </w:t>
      </w:r>
      <w:r w:rsidR="00FD27FF" w:rsidRPr="00BD1319">
        <w:rPr>
          <w:spacing w:val="-3"/>
        </w:rPr>
        <w:t>Igualmente</w:t>
      </w:r>
      <w:r w:rsidRPr="00BD1319">
        <w:rPr>
          <w:spacing w:val="-3"/>
        </w:rPr>
        <w:t>, deben señalar qué profesionales hicieron parte del equipo que participó en la elaboración del estudio, especificando sus disciplinas y tiempo de experiencia en temas relacionados.</w:t>
      </w:r>
    </w:p>
    <w:p w14:paraId="7AE69B5E" w14:textId="38C49FCC" w:rsidR="00A101A4" w:rsidRPr="00BD1319" w:rsidRDefault="00A101A4" w:rsidP="00275628">
      <w:pPr>
        <w:overflowPunct/>
        <w:autoSpaceDE/>
        <w:autoSpaceDN/>
        <w:adjustRightInd/>
        <w:jc w:val="left"/>
        <w:textAlignment w:val="auto"/>
      </w:pPr>
      <w:bookmarkStart w:id="1936" w:name="_Ref495933424"/>
    </w:p>
    <w:p w14:paraId="6A333850" w14:textId="77777777" w:rsidR="00A344EC" w:rsidRPr="00BD1319" w:rsidRDefault="00A344EC" w:rsidP="00275628">
      <w:pPr>
        <w:overflowPunct/>
        <w:autoSpaceDE/>
        <w:autoSpaceDN/>
        <w:adjustRightInd/>
        <w:jc w:val="left"/>
        <w:textAlignment w:val="auto"/>
      </w:pPr>
    </w:p>
    <w:p w14:paraId="7BE3692B" w14:textId="2AB06321" w:rsidR="00A101A4" w:rsidRPr="00BD1319" w:rsidRDefault="00A101A4" w:rsidP="00456AB1">
      <w:pPr>
        <w:pStyle w:val="Ttulo1"/>
        <w:numPr>
          <w:ilvl w:val="0"/>
          <w:numId w:val="7"/>
        </w:numPr>
        <w:rPr>
          <w:lang w:val="es-CO"/>
        </w:rPr>
      </w:pPr>
      <w:bookmarkStart w:id="1937" w:name="_Toc42353706"/>
      <w:bookmarkStart w:id="1938" w:name="_Ref45085611"/>
      <w:bookmarkStart w:id="1939" w:name="_Ref144211971"/>
      <w:bookmarkStart w:id="1940" w:name="_Toc175326666"/>
      <w:r w:rsidRPr="00BD1319">
        <w:rPr>
          <w:lang w:val="es-CO"/>
        </w:rPr>
        <w:t>FUENTES DE INFORMACIÓN</w:t>
      </w:r>
      <w:bookmarkEnd w:id="1936"/>
      <w:bookmarkEnd w:id="1937"/>
      <w:bookmarkEnd w:id="1938"/>
      <w:bookmarkEnd w:id="1939"/>
      <w:bookmarkEnd w:id="1940"/>
    </w:p>
    <w:p w14:paraId="5E4698EB" w14:textId="77777777" w:rsidR="00A101A4" w:rsidRPr="00BD1319" w:rsidRDefault="00A101A4">
      <w:pPr>
        <w:numPr>
          <w:ilvl w:val="12"/>
          <w:numId w:val="0"/>
        </w:numPr>
        <w:tabs>
          <w:tab w:val="left" w:pos="-2268"/>
        </w:tabs>
        <w:suppressAutoHyphens/>
        <w:rPr>
          <w:spacing w:val="-3"/>
        </w:rPr>
      </w:pPr>
    </w:p>
    <w:p w14:paraId="55656AC7" w14:textId="0E746B63" w:rsidR="00A101A4" w:rsidRPr="00BD1319" w:rsidRDefault="00F04B5F">
      <w:pPr>
        <w:numPr>
          <w:ilvl w:val="12"/>
          <w:numId w:val="0"/>
        </w:numPr>
        <w:tabs>
          <w:tab w:val="left" w:pos="-2268"/>
        </w:tabs>
        <w:suppressAutoHyphens/>
        <w:rPr>
          <w:spacing w:val="-3"/>
        </w:rPr>
      </w:pPr>
      <w:r w:rsidRPr="00BD1319">
        <w:rPr>
          <w:rFonts w:cs="Arial"/>
          <w:spacing w:val="-3"/>
        </w:rPr>
        <w:t xml:space="preserve">Las </w:t>
      </w:r>
      <w:r w:rsidR="002548DD" w:rsidRPr="00BD1319">
        <w:rPr>
          <w:rFonts w:cs="Arial"/>
          <w:spacing w:val="-3"/>
        </w:rPr>
        <w:t>T</w:t>
      </w:r>
      <w:r w:rsidRPr="00BD1319">
        <w:rPr>
          <w:rFonts w:cs="Arial"/>
          <w:spacing w:val="-3"/>
        </w:rPr>
        <w:t xml:space="preserve">ablas 1 a </w:t>
      </w:r>
      <w:r w:rsidR="00647B27" w:rsidRPr="00BD1319">
        <w:rPr>
          <w:rFonts w:cs="Arial"/>
          <w:spacing w:val="-3"/>
        </w:rPr>
        <w:t>4</w:t>
      </w:r>
      <w:r w:rsidR="00A26D08" w:rsidRPr="00BD1319">
        <w:rPr>
          <w:spacing w:val="-3"/>
        </w:rPr>
        <w:t xml:space="preserve"> </w:t>
      </w:r>
      <w:r w:rsidR="00A101A4" w:rsidRPr="00BD1319">
        <w:rPr>
          <w:spacing w:val="-3"/>
        </w:rPr>
        <w:t xml:space="preserve">muestran las fuentes de información </w:t>
      </w:r>
      <w:r w:rsidR="00A944EF" w:rsidRPr="00BD1319">
        <w:rPr>
          <w:spacing w:val="-3"/>
        </w:rPr>
        <w:t xml:space="preserve">secundaria </w:t>
      </w:r>
      <w:r w:rsidR="00A101A4" w:rsidRPr="00BD1319">
        <w:rPr>
          <w:spacing w:val="-3"/>
        </w:rPr>
        <w:t xml:space="preserve">que </w:t>
      </w:r>
      <w:r w:rsidR="00FD27FF" w:rsidRPr="00BD1319">
        <w:rPr>
          <w:spacing w:val="-3"/>
        </w:rPr>
        <w:t xml:space="preserve">es posible emplear </w:t>
      </w:r>
      <w:r w:rsidR="00A101A4" w:rsidRPr="00BD1319">
        <w:rPr>
          <w:spacing w:val="-3"/>
        </w:rPr>
        <w:t>para el cumplimiento de las especificaciones técnicas de caracterización de los medios abiótico, biótico y socioeconómico</w:t>
      </w:r>
      <w:r w:rsidR="00A101A4" w:rsidRPr="00BD1319" w:rsidDel="0073605B">
        <w:rPr>
          <w:spacing w:val="-3"/>
        </w:rPr>
        <w:t xml:space="preserve"> </w:t>
      </w:r>
      <w:r w:rsidR="00FD27FF" w:rsidRPr="00BD1319">
        <w:rPr>
          <w:spacing w:val="-3"/>
        </w:rPr>
        <w:t xml:space="preserve">a desarrollar como parte de </w:t>
      </w:r>
      <w:r w:rsidR="00A101A4" w:rsidRPr="00BD1319">
        <w:rPr>
          <w:spacing w:val="-3"/>
        </w:rPr>
        <w:t>la elaboración de los estudios ambientales.</w:t>
      </w:r>
      <w:r w:rsidR="00FE6AED" w:rsidRPr="00BD1319">
        <w:rPr>
          <w:spacing w:val="-3"/>
        </w:rPr>
        <w:t xml:space="preserve"> </w:t>
      </w:r>
      <w:r w:rsidR="001C5111" w:rsidRPr="00BD1319">
        <w:rPr>
          <w:spacing w:val="-3"/>
        </w:rPr>
        <w:t>Es i</w:t>
      </w:r>
      <w:r w:rsidR="00892816" w:rsidRPr="00BD1319">
        <w:rPr>
          <w:spacing w:val="-3"/>
        </w:rPr>
        <w:t>mportante tener en cuenta que e</w:t>
      </w:r>
      <w:r w:rsidR="00FE6AED" w:rsidRPr="00BD1319">
        <w:rPr>
          <w:spacing w:val="-3"/>
        </w:rPr>
        <w:t xml:space="preserve">s posible </w:t>
      </w:r>
      <w:r w:rsidR="001C5111" w:rsidRPr="00BD1319">
        <w:rPr>
          <w:spacing w:val="-3"/>
        </w:rPr>
        <w:t xml:space="preserve">emplear </w:t>
      </w:r>
      <w:r w:rsidR="00FE6AED" w:rsidRPr="00BD1319">
        <w:rPr>
          <w:spacing w:val="-3"/>
        </w:rPr>
        <w:t xml:space="preserve">información </w:t>
      </w:r>
      <w:r w:rsidR="009B73B1" w:rsidRPr="00BD1319">
        <w:rPr>
          <w:spacing w:val="-3"/>
        </w:rPr>
        <w:t xml:space="preserve">de </w:t>
      </w:r>
      <w:r w:rsidR="008B4E79" w:rsidRPr="00BD1319">
        <w:rPr>
          <w:spacing w:val="-3"/>
        </w:rPr>
        <w:t>estas</w:t>
      </w:r>
      <w:r w:rsidR="009B73B1" w:rsidRPr="00BD1319">
        <w:rPr>
          <w:spacing w:val="-3"/>
        </w:rPr>
        <w:t xml:space="preserve"> u otras fuentes, sean de entidades del Estado o no</w:t>
      </w:r>
      <w:r w:rsidR="00FE6AED" w:rsidRPr="00BD1319">
        <w:rPr>
          <w:spacing w:val="-3"/>
        </w:rPr>
        <w:t xml:space="preserve">, </w:t>
      </w:r>
      <w:r w:rsidR="002D0006" w:rsidRPr="00BD1319">
        <w:rPr>
          <w:spacing w:val="-3"/>
        </w:rPr>
        <w:t xml:space="preserve">siempre y cuando </w:t>
      </w:r>
      <w:r w:rsidR="002D4D59" w:rsidRPr="00BD1319">
        <w:rPr>
          <w:spacing w:val="-3"/>
        </w:rPr>
        <w:t xml:space="preserve">provean información que </w:t>
      </w:r>
      <w:r w:rsidR="002D0006" w:rsidRPr="00BD1319">
        <w:rPr>
          <w:spacing w:val="-3"/>
        </w:rPr>
        <w:t xml:space="preserve">cumpla con las características de calidad requeridas y su escala espacial </w:t>
      </w:r>
      <w:r w:rsidR="007D59A7" w:rsidRPr="00BD1319">
        <w:rPr>
          <w:spacing w:val="-3"/>
        </w:rPr>
        <w:t xml:space="preserve">y temporal </w:t>
      </w:r>
      <w:r w:rsidR="002D0006" w:rsidRPr="00BD1319">
        <w:rPr>
          <w:spacing w:val="-3"/>
        </w:rPr>
        <w:t>tenga por lo menos el mismo grado de detalle solicitado en los términos de referencia</w:t>
      </w:r>
      <w:r w:rsidR="00DD0D07" w:rsidRPr="00BD1319">
        <w:rPr>
          <w:rStyle w:val="Refdenotaalpie"/>
          <w:spacing w:val="-3"/>
          <w:lang w:val="es-CO"/>
        </w:rPr>
        <w:footnoteReference w:id="14"/>
      </w:r>
      <w:r w:rsidR="00FE6AED" w:rsidRPr="00BD1319">
        <w:rPr>
          <w:spacing w:val="-3"/>
        </w:rPr>
        <w:t>.</w:t>
      </w:r>
    </w:p>
    <w:p w14:paraId="2EBE345A" w14:textId="77777777" w:rsidR="00A101A4" w:rsidRPr="00BD1319" w:rsidRDefault="00A101A4">
      <w:pPr>
        <w:numPr>
          <w:ilvl w:val="12"/>
          <w:numId w:val="0"/>
        </w:numPr>
        <w:tabs>
          <w:tab w:val="left" w:pos="-2268"/>
        </w:tabs>
        <w:suppressAutoHyphens/>
        <w:rPr>
          <w:spacing w:val="-3"/>
        </w:rPr>
      </w:pPr>
    </w:p>
    <w:p w14:paraId="51EB354A" w14:textId="793D7C65" w:rsidR="00A101A4" w:rsidRPr="00BD1319" w:rsidRDefault="00A101A4" w:rsidP="00C86DA5">
      <w:pPr>
        <w:pStyle w:val="Descripcin"/>
        <w:jc w:val="center"/>
        <w:rPr>
          <w:b w:val="0"/>
          <w:spacing w:val="-3"/>
        </w:rPr>
      </w:pPr>
      <w:bookmarkStart w:id="1941" w:name="_Ref42345471"/>
      <w:r w:rsidRPr="00BD1319">
        <w:t xml:space="preserve">Tabla </w:t>
      </w:r>
      <w:fldSimple w:instr=" SEQ Tabla \* ARABIC ">
        <w:r w:rsidR="00296654" w:rsidRPr="00BD1319">
          <w:rPr>
            <w:noProof/>
          </w:rPr>
          <w:t>1</w:t>
        </w:r>
      </w:fldSimple>
      <w:bookmarkEnd w:id="1941"/>
      <w:r w:rsidRPr="00BD1319">
        <w:t>.</w:t>
      </w:r>
      <w:r w:rsidRPr="00BD1319">
        <w:rPr>
          <w:b w:val="0"/>
        </w:rPr>
        <w:t xml:space="preserve"> </w:t>
      </w:r>
      <w:r w:rsidRPr="00BD1319">
        <w:rPr>
          <w:b w:val="0"/>
          <w:spacing w:val="-3"/>
        </w:rPr>
        <w:t>Listado de fuentes de información cartográfica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4"/>
        <w:gridCol w:w="2239"/>
        <w:gridCol w:w="5217"/>
      </w:tblGrid>
      <w:tr w:rsidR="00A101A4" w:rsidRPr="00BD1319" w14:paraId="439153B7" w14:textId="77777777" w:rsidTr="009420F5">
        <w:trPr>
          <w:trHeight w:val="285"/>
          <w:jc w:val="center"/>
        </w:trPr>
        <w:tc>
          <w:tcPr>
            <w:tcW w:w="778" w:type="pct"/>
            <w:shd w:val="clear" w:color="auto" w:fill="auto"/>
            <w:tcMar>
              <w:top w:w="28" w:type="dxa"/>
              <w:left w:w="113" w:type="dxa"/>
              <w:bottom w:w="28" w:type="dxa"/>
              <w:right w:w="113" w:type="dxa"/>
            </w:tcMar>
            <w:vAlign w:val="center"/>
          </w:tcPr>
          <w:p w14:paraId="4768347E" w14:textId="6EC52F65" w:rsidR="00A101A4" w:rsidRPr="00BD1319" w:rsidRDefault="00F04B5F" w:rsidP="00BA45DD">
            <w:pPr>
              <w:numPr>
                <w:ilvl w:val="12"/>
                <w:numId w:val="0"/>
              </w:numPr>
              <w:tabs>
                <w:tab w:val="left" w:pos="-2268"/>
              </w:tabs>
              <w:suppressAutoHyphens/>
              <w:jc w:val="center"/>
              <w:rPr>
                <w:b/>
                <w:spacing w:val="-3"/>
                <w:sz w:val="22"/>
              </w:rPr>
            </w:pPr>
            <w:r w:rsidRPr="00BD1319">
              <w:rPr>
                <w:rFonts w:cs="Arial"/>
                <w:b/>
                <w:spacing w:val="-3"/>
                <w:sz w:val="22"/>
              </w:rPr>
              <w:t>Tipo</w:t>
            </w:r>
          </w:p>
        </w:tc>
        <w:tc>
          <w:tcPr>
            <w:tcW w:w="1268" w:type="pct"/>
            <w:shd w:val="clear" w:color="auto" w:fill="auto"/>
            <w:tcMar>
              <w:top w:w="28" w:type="dxa"/>
              <w:left w:w="113" w:type="dxa"/>
              <w:bottom w:w="28" w:type="dxa"/>
              <w:right w:w="113" w:type="dxa"/>
            </w:tcMar>
            <w:vAlign w:val="center"/>
          </w:tcPr>
          <w:p w14:paraId="03B2B319" w14:textId="1DB81FCB" w:rsidR="00A101A4" w:rsidRPr="00BD1319" w:rsidRDefault="00F04B5F" w:rsidP="00BA45DD">
            <w:pPr>
              <w:numPr>
                <w:ilvl w:val="12"/>
                <w:numId w:val="0"/>
              </w:numPr>
              <w:tabs>
                <w:tab w:val="left" w:pos="-2268"/>
              </w:tabs>
              <w:suppressAutoHyphens/>
              <w:jc w:val="center"/>
              <w:rPr>
                <w:b/>
                <w:spacing w:val="-3"/>
                <w:sz w:val="22"/>
              </w:rPr>
            </w:pPr>
            <w:r w:rsidRPr="00BD1319">
              <w:rPr>
                <w:rFonts w:cs="Arial"/>
                <w:b/>
                <w:spacing w:val="-3"/>
                <w:sz w:val="22"/>
              </w:rPr>
              <w:t xml:space="preserve">Fuente </w:t>
            </w:r>
            <w:r w:rsidR="00EC4852" w:rsidRPr="00BD1319">
              <w:rPr>
                <w:rFonts w:cs="Arial"/>
                <w:b/>
                <w:spacing w:val="-3"/>
                <w:sz w:val="22"/>
              </w:rPr>
              <w:t>p</w:t>
            </w:r>
            <w:r w:rsidRPr="00BD1319">
              <w:rPr>
                <w:rFonts w:cs="Arial"/>
                <w:b/>
                <w:spacing w:val="-3"/>
                <w:sz w:val="22"/>
              </w:rPr>
              <w:t>rincipal</w:t>
            </w:r>
          </w:p>
        </w:tc>
        <w:tc>
          <w:tcPr>
            <w:tcW w:w="2954" w:type="pct"/>
            <w:shd w:val="clear" w:color="auto" w:fill="auto"/>
            <w:tcMar>
              <w:top w:w="28" w:type="dxa"/>
              <w:left w:w="113" w:type="dxa"/>
              <w:bottom w:w="28" w:type="dxa"/>
              <w:right w:w="113" w:type="dxa"/>
            </w:tcMar>
            <w:vAlign w:val="center"/>
          </w:tcPr>
          <w:p w14:paraId="798D7A14" w14:textId="3BA86A04" w:rsidR="00A101A4" w:rsidRPr="00BD1319" w:rsidRDefault="00F04B5F" w:rsidP="00BA45DD">
            <w:pPr>
              <w:numPr>
                <w:ilvl w:val="12"/>
                <w:numId w:val="0"/>
              </w:numPr>
              <w:tabs>
                <w:tab w:val="left" w:pos="-2268"/>
              </w:tabs>
              <w:suppressAutoHyphens/>
              <w:jc w:val="center"/>
              <w:rPr>
                <w:b/>
                <w:spacing w:val="-3"/>
                <w:sz w:val="22"/>
              </w:rPr>
            </w:pPr>
            <w:r w:rsidRPr="00BD1319">
              <w:rPr>
                <w:rFonts w:cs="Arial"/>
                <w:b/>
                <w:spacing w:val="-3"/>
                <w:sz w:val="22"/>
              </w:rPr>
              <w:t>Observaciones</w:t>
            </w:r>
          </w:p>
        </w:tc>
      </w:tr>
      <w:tr w:rsidR="00A101A4" w:rsidRPr="00BD1319" w14:paraId="7F624480" w14:textId="77777777" w:rsidTr="009420F5">
        <w:trPr>
          <w:jc w:val="center"/>
        </w:trPr>
        <w:tc>
          <w:tcPr>
            <w:tcW w:w="778" w:type="pct"/>
            <w:tcMar>
              <w:top w:w="28" w:type="dxa"/>
              <w:left w:w="113" w:type="dxa"/>
              <w:bottom w:w="28" w:type="dxa"/>
              <w:right w:w="113" w:type="dxa"/>
            </w:tcMar>
            <w:vAlign w:val="center"/>
          </w:tcPr>
          <w:p w14:paraId="39457676" w14:textId="77777777" w:rsidR="00A101A4" w:rsidRPr="00BD1319" w:rsidRDefault="00A101A4">
            <w:pPr>
              <w:numPr>
                <w:ilvl w:val="12"/>
                <w:numId w:val="0"/>
              </w:numPr>
              <w:tabs>
                <w:tab w:val="left" w:pos="-2268"/>
              </w:tabs>
              <w:suppressAutoHyphens/>
              <w:rPr>
                <w:b/>
                <w:spacing w:val="-3"/>
                <w:sz w:val="20"/>
                <w:szCs w:val="22"/>
              </w:rPr>
            </w:pPr>
            <w:r w:rsidRPr="00BD1319">
              <w:rPr>
                <w:b/>
                <w:spacing w:val="-3"/>
                <w:sz w:val="20"/>
                <w:szCs w:val="22"/>
              </w:rPr>
              <w:t>Cartografía básica</w:t>
            </w:r>
          </w:p>
        </w:tc>
        <w:tc>
          <w:tcPr>
            <w:tcW w:w="1268" w:type="pct"/>
            <w:tcMar>
              <w:top w:w="28" w:type="dxa"/>
              <w:left w:w="113" w:type="dxa"/>
              <w:bottom w:w="28" w:type="dxa"/>
              <w:right w:w="113" w:type="dxa"/>
            </w:tcMar>
            <w:vAlign w:val="center"/>
          </w:tcPr>
          <w:p w14:paraId="38DE64AF" w14:textId="09CFBE83" w:rsidR="00A101A4" w:rsidRPr="00BD1319" w:rsidRDefault="00A101A4">
            <w:pPr>
              <w:numPr>
                <w:ilvl w:val="12"/>
                <w:numId w:val="0"/>
              </w:numPr>
              <w:tabs>
                <w:tab w:val="left" w:pos="-2268"/>
              </w:tabs>
              <w:suppressAutoHyphens/>
              <w:rPr>
                <w:spacing w:val="-3"/>
                <w:sz w:val="20"/>
                <w:szCs w:val="22"/>
              </w:rPr>
            </w:pPr>
            <w:r w:rsidRPr="00BD1319">
              <w:rPr>
                <w:spacing w:val="-3"/>
                <w:sz w:val="20"/>
                <w:szCs w:val="22"/>
              </w:rPr>
              <w:t xml:space="preserve">IGAC, </w:t>
            </w:r>
            <w:r w:rsidR="000F6349" w:rsidRPr="00BD1319">
              <w:rPr>
                <w:spacing w:val="-3"/>
                <w:sz w:val="20"/>
                <w:szCs w:val="22"/>
              </w:rPr>
              <w:t>Dimar</w:t>
            </w:r>
            <w:r w:rsidRPr="00BD1319">
              <w:rPr>
                <w:spacing w:val="-3"/>
                <w:sz w:val="20"/>
                <w:szCs w:val="22"/>
              </w:rPr>
              <w:t>.</w:t>
            </w:r>
          </w:p>
        </w:tc>
        <w:tc>
          <w:tcPr>
            <w:tcW w:w="2954" w:type="pct"/>
            <w:tcMar>
              <w:top w:w="28" w:type="dxa"/>
              <w:left w:w="113" w:type="dxa"/>
              <w:bottom w:w="28" w:type="dxa"/>
              <w:right w:w="113" w:type="dxa"/>
            </w:tcMar>
          </w:tcPr>
          <w:p w14:paraId="46C962EB" w14:textId="2DCDF35C" w:rsidR="00A101A4" w:rsidRPr="00BD1319" w:rsidRDefault="00A101A4">
            <w:pPr>
              <w:numPr>
                <w:ilvl w:val="12"/>
                <w:numId w:val="0"/>
              </w:numPr>
              <w:tabs>
                <w:tab w:val="left" w:pos="-2268"/>
              </w:tabs>
              <w:suppressAutoHyphens/>
              <w:rPr>
                <w:spacing w:val="-3"/>
                <w:sz w:val="20"/>
                <w:szCs w:val="22"/>
              </w:rPr>
            </w:pPr>
            <w:r w:rsidRPr="00BD1319">
              <w:rPr>
                <w:spacing w:val="-3"/>
                <w:sz w:val="20"/>
                <w:szCs w:val="22"/>
              </w:rPr>
              <w:t>Se puede actualiza</w:t>
            </w:r>
            <w:r w:rsidR="00FD27FF" w:rsidRPr="00BD1319">
              <w:rPr>
                <w:spacing w:val="-3"/>
                <w:sz w:val="20"/>
                <w:szCs w:val="22"/>
              </w:rPr>
              <w:t xml:space="preserve">r </w:t>
            </w:r>
            <w:r w:rsidRPr="00BD1319">
              <w:rPr>
                <w:spacing w:val="-3"/>
                <w:sz w:val="20"/>
                <w:szCs w:val="22"/>
              </w:rPr>
              <w:t>o ajust</w:t>
            </w:r>
            <w:r w:rsidR="00FD27FF" w:rsidRPr="00BD1319">
              <w:rPr>
                <w:spacing w:val="-3"/>
                <w:sz w:val="20"/>
                <w:szCs w:val="22"/>
              </w:rPr>
              <w:t>ar</w:t>
            </w:r>
            <w:r w:rsidRPr="00BD1319">
              <w:rPr>
                <w:spacing w:val="-3"/>
                <w:sz w:val="20"/>
                <w:szCs w:val="22"/>
              </w:rPr>
              <w:t xml:space="preserve"> </w:t>
            </w:r>
            <w:r w:rsidR="00FD27FF" w:rsidRPr="00BD1319">
              <w:rPr>
                <w:spacing w:val="-3"/>
                <w:sz w:val="20"/>
                <w:szCs w:val="22"/>
              </w:rPr>
              <w:t xml:space="preserve">la </w:t>
            </w:r>
            <w:r w:rsidRPr="00BD1319">
              <w:rPr>
                <w:spacing w:val="-3"/>
                <w:sz w:val="20"/>
                <w:szCs w:val="22"/>
              </w:rPr>
              <w:t xml:space="preserve">cartografía a partir de información primaria y secundaria, siguiendo los estándares de generación de cartografía del IGAC; asimismo, dicha actualización puede tomar como insumo las imágenes de sensores remotos (imágenes de satélite, ortofotografías, imágenes radar y </w:t>
            </w:r>
            <w:proofErr w:type="spellStart"/>
            <w:r w:rsidRPr="00BD1319">
              <w:rPr>
                <w:spacing w:val="-3"/>
                <w:sz w:val="20"/>
                <w:szCs w:val="22"/>
              </w:rPr>
              <w:t>lidar</w:t>
            </w:r>
            <w:proofErr w:type="spellEnd"/>
            <w:r w:rsidRPr="00BD1319">
              <w:rPr>
                <w:spacing w:val="-3"/>
                <w:sz w:val="20"/>
                <w:szCs w:val="22"/>
              </w:rPr>
              <w:t xml:space="preserve">, entre otras) </w:t>
            </w:r>
            <w:r w:rsidR="009B73B1" w:rsidRPr="00BD1319">
              <w:rPr>
                <w:spacing w:val="-3"/>
                <w:sz w:val="20"/>
                <w:szCs w:val="22"/>
              </w:rPr>
              <w:t>disponibles</w:t>
            </w:r>
            <w:r w:rsidRPr="00BD1319">
              <w:rPr>
                <w:spacing w:val="-3"/>
                <w:sz w:val="20"/>
                <w:szCs w:val="22"/>
              </w:rPr>
              <w:t xml:space="preserve"> </w:t>
            </w:r>
            <w:r w:rsidR="009B73B1" w:rsidRPr="00BD1319">
              <w:rPr>
                <w:spacing w:val="-3"/>
                <w:sz w:val="20"/>
                <w:szCs w:val="22"/>
              </w:rPr>
              <w:t>en</w:t>
            </w:r>
            <w:r w:rsidRPr="00BD1319">
              <w:rPr>
                <w:spacing w:val="-3"/>
                <w:sz w:val="20"/>
                <w:szCs w:val="22"/>
              </w:rPr>
              <w:t xml:space="preserve"> di</w:t>
            </w:r>
            <w:r w:rsidR="009B73B1" w:rsidRPr="00BD1319">
              <w:rPr>
                <w:spacing w:val="-3"/>
                <w:sz w:val="20"/>
                <w:szCs w:val="22"/>
              </w:rPr>
              <w:t>ferentes</w:t>
            </w:r>
            <w:r w:rsidRPr="00BD1319">
              <w:rPr>
                <w:spacing w:val="-3"/>
                <w:sz w:val="20"/>
                <w:szCs w:val="22"/>
              </w:rPr>
              <w:t xml:space="preserve"> fuentes.</w:t>
            </w:r>
          </w:p>
          <w:p w14:paraId="36E4A6F1" w14:textId="77777777" w:rsidR="00A101A4" w:rsidRPr="00BD1319" w:rsidRDefault="00A101A4">
            <w:pPr>
              <w:numPr>
                <w:ilvl w:val="12"/>
                <w:numId w:val="0"/>
              </w:numPr>
              <w:tabs>
                <w:tab w:val="left" w:pos="-2268"/>
              </w:tabs>
              <w:suppressAutoHyphens/>
              <w:rPr>
                <w:spacing w:val="-3"/>
                <w:sz w:val="20"/>
                <w:szCs w:val="22"/>
              </w:rPr>
            </w:pPr>
          </w:p>
          <w:p w14:paraId="7CE52FA8" w14:textId="5AF902D1" w:rsidR="00A101A4" w:rsidRPr="00BD1319" w:rsidRDefault="00A101A4">
            <w:pPr>
              <w:numPr>
                <w:ilvl w:val="12"/>
                <w:numId w:val="0"/>
              </w:numPr>
              <w:tabs>
                <w:tab w:val="left" w:pos="-2268"/>
              </w:tabs>
              <w:suppressAutoHyphens/>
              <w:rPr>
                <w:spacing w:val="-3"/>
                <w:sz w:val="20"/>
                <w:szCs w:val="22"/>
              </w:rPr>
            </w:pPr>
            <w:r w:rsidRPr="00BD1319">
              <w:rPr>
                <w:spacing w:val="-3"/>
                <w:sz w:val="20"/>
                <w:szCs w:val="22"/>
              </w:rPr>
              <w:t xml:space="preserve">Para la elaboración de cartografía básica se debe tener en cuenta las especificaciones del IGAC, ente rector en </w:t>
            </w:r>
            <w:r w:rsidR="009B73B1" w:rsidRPr="00BD1319">
              <w:rPr>
                <w:spacing w:val="-3"/>
                <w:sz w:val="20"/>
                <w:szCs w:val="22"/>
              </w:rPr>
              <w:t xml:space="preserve">la </w:t>
            </w:r>
            <w:r w:rsidRPr="00BD1319">
              <w:rPr>
                <w:spacing w:val="-3"/>
                <w:sz w:val="20"/>
                <w:szCs w:val="22"/>
              </w:rPr>
              <w:t>producción de información geográfica y cartográfica en el país.</w:t>
            </w:r>
          </w:p>
        </w:tc>
      </w:tr>
      <w:tr w:rsidR="00A101A4" w:rsidRPr="00BD1319" w14:paraId="1153FE7C" w14:textId="77777777" w:rsidTr="009420F5">
        <w:trPr>
          <w:jc w:val="center"/>
        </w:trPr>
        <w:tc>
          <w:tcPr>
            <w:tcW w:w="778" w:type="pct"/>
            <w:tcMar>
              <w:top w:w="28" w:type="dxa"/>
              <w:left w:w="113" w:type="dxa"/>
              <w:bottom w:w="28" w:type="dxa"/>
              <w:right w:w="113" w:type="dxa"/>
            </w:tcMar>
            <w:vAlign w:val="center"/>
          </w:tcPr>
          <w:p w14:paraId="77EAE818" w14:textId="77777777" w:rsidR="00A101A4" w:rsidRPr="00BD1319" w:rsidRDefault="00A101A4">
            <w:pPr>
              <w:numPr>
                <w:ilvl w:val="12"/>
                <w:numId w:val="0"/>
              </w:numPr>
              <w:tabs>
                <w:tab w:val="left" w:pos="-2268"/>
              </w:tabs>
              <w:suppressAutoHyphens/>
              <w:rPr>
                <w:b/>
                <w:spacing w:val="-3"/>
                <w:sz w:val="20"/>
                <w:szCs w:val="22"/>
              </w:rPr>
            </w:pPr>
            <w:r w:rsidRPr="00BD1319">
              <w:rPr>
                <w:b/>
                <w:spacing w:val="-3"/>
                <w:sz w:val="20"/>
                <w:szCs w:val="22"/>
              </w:rPr>
              <w:t>Cartografía temática</w:t>
            </w:r>
          </w:p>
        </w:tc>
        <w:tc>
          <w:tcPr>
            <w:tcW w:w="1268" w:type="pct"/>
            <w:tcMar>
              <w:top w:w="28" w:type="dxa"/>
              <w:left w:w="113" w:type="dxa"/>
              <w:bottom w:w="28" w:type="dxa"/>
              <w:right w:w="113" w:type="dxa"/>
            </w:tcMar>
            <w:vAlign w:val="center"/>
          </w:tcPr>
          <w:p w14:paraId="09D6DBD4" w14:textId="1A9D0C85" w:rsidR="00A101A4" w:rsidRPr="00BD1319" w:rsidRDefault="00A101A4">
            <w:pPr>
              <w:numPr>
                <w:ilvl w:val="12"/>
                <w:numId w:val="0"/>
              </w:numPr>
              <w:tabs>
                <w:tab w:val="left" w:pos="-2268"/>
              </w:tabs>
              <w:suppressAutoHyphens/>
              <w:rPr>
                <w:spacing w:val="-3"/>
                <w:sz w:val="20"/>
                <w:szCs w:val="22"/>
              </w:rPr>
            </w:pPr>
            <w:r w:rsidRPr="00BD1319">
              <w:rPr>
                <w:spacing w:val="-3"/>
                <w:sz w:val="20"/>
                <w:szCs w:val="22"/>
              </w:rPr>
              <w:t xml:space="preserve">IGAC, </w:t>
            </w:r>
            <w:r w:rsidR="000F6349" w:rsidRPr="00BD1319">
              <w:rPr>
                <w:spacing w:val="-3"/>
                <w:sz w:val="20"/>
                <w:szCs w:val="22"/>
              </w:rPr>
              <w:t>Dimar</w:t>
            </w:r>
            <w:r w:rsidRPr="00BD1319">
              <w:rPr>
                <w:spacing w:val="-3"/>
                <w:sz w:val="20"/>
                <w:szCs w:val="22"/>
              </w:rPr>
              <w:t xml:space="preserve">, SGC, </w:t>
            </w:r>
            <w:r w:rsidR="00BB2DE4" w:rsidRPr="00BD1319">
              <w:rPr>
                <w:spacing w:val="-3"/>
                <w:sz w:val="20"/>
                <w:szCs w:val="22"/>
              </w:rPr>
              <w:t>a</w:t>
            </w:r>
            <w:r w:rsidRPr="00BD1319">
              <w:rPr>
                <w:rFonts w:cs="Arial"/>
                <w:spacing w:val="-3"/>
                <w:sz w:val="20"/>
                <w:szCs w:val="22"/>
              </w:rPr>
              <w:t xml:space="preserve">utoridades </w:t>
            </w:r>
            <w:r w:rsidR="00BB2DE4" w:rsidRPr="00BD1319">
              <w:rPr>
                <w:rFonts w:cs="Arial"/>
                <w:spacing w:val="-3"/>
                <w:sz w:val="20"/>
                <w:szCs w:val="22"/>
              </w:rPr>
              <w:t>a</w:t>
            </w:r>
            <w:r w:rsidRPr="00BD1319">
              <w:rPr>
                <w:rFonts w:cs="Arial"/>
                <w:spacing w:val="-3"/>
                <w:sz w:val="20"/>
                <w:szCs w:val="22"/>
              </w:rPr>
              <w:t>mbientales</w:t>
            </w:r>
            <w:r w:rsidRPr="00BD1319">
              <w:rPr>
                <w:spacing w:val="-3"/>
                <w:sz w:val="20"/>
                <w:szCs w:val="22"/>
              </w:rPr>
              <w:t xml:space="preserve">, </w:t>
            </w:r>
            <w:proofErr w:type="spellStart"/>
            <w:r w:rsidR="00A92356" w:rsidRPr="00BD1319">
              <w:rPr>
                <w:spacing w:val="-3"/>
                <w:sz w:val="20"/>
                <w:szCs w:val="22"/>
              </w:rPr>
              <w:t>Ideam</w:t>
            </w:r>
            <w:proofErr w:type="spellEnd"/>
            <w:r w:rsidRPr="00BD1319">
              <w:rPr>
                <w:spacing w:val="-3"/>
                <w:sz w:val="20"/>
                <w:szCs w:val="22"/>
              </w:rPr>
              <w:t>, DANE.</w:t>
            </w:r>
          </w:p>
        </w:tc>
        <w:tc>
          <w:tcPr>
            <w:tcW w:w="2954" w:type="pct"/>
            <w:tcMar>
              <w:top w:w="28" w:type="dxa"/>
              <w:left w:w="113" w:type="dxa"/>
              <w:bottom w:w="28" w:type="dxa"/>
              <w:right w:w="113" w:type="dxa"/>
            </w:tcMar>
          </w:tcPr>
          <w:p w14:paraId="12BC1847" w14:textId="76328A08" w:rsidR="00A101A4" w:rsidRPr="00BD1319" w:rsidRDefault="00A101A4">
            <w:pPr>
              <w:numPr>
                <w:ilvl w:val="12"/>
                <w:numId w:val="0"/>
              </w:numPr>
              <w:tabs>
                <w:tab w:val="left" w:pos="-2268"/>
              </w:tabs>
              <w:suppressAutoHyphens/>
              <w:rPr>
                <w:spacing w:val="-3"/>
                <w:sz w:val="20"/>
                <w:szCs w:val="22"/>
              </w:rPr>
            </w:pPr>
            <w:r w:rsidRPr="00BD1319">
              <w:rPr>
                <w:spacing w:val="-3"/>
                <w:sz w:val="20"/>
                <w:szCs w:val="22"/>
              </w:rPr>
              <w:t>Se puede ajust</w:t>
            </w:r>
            <w:r w:rsidR="000465FD" w:rsidRPr="00BD1319">
              <w:rPr>
                <w:spacing w:val="-3"/>
                <w:sz w:val="20"/>
                <w:szCs w:val="22"/>
              </w:rPr>
              <w:t>ar</w:t>
            </w:r>
            <w:r w:rsidRPr="00BD1319">
              <w:rPr>
                <w:spacing w:val="-3"/>
                <w:sz w:val="20"/>
                <w:szCs w:val="22"/>
              </w:rPr>
              <w:t xml:space="preserve"> </w:t>
            </w:r>
            <w:r w:rsidR="000465FD" w:rsidRPr="00BD1319">
              <w:rPr>
                <w:spacing w:val="-3"/>
                <w:sz w:val="20"/>
                <w:szCs w:val="22"/>
              </w:rPr>
              <w:t xml:space="preserve">la </w:t>
            </w:r>
            <w:r w:rsidRPr="00BD1319">
              <w:rPr>
                <w:spacing w:val="-3"/>
                <w:sz w:val="20"/>
                <w:szCs w:val="22"/>
              </w:rPr>
              <w:t xml:space="preserve">cartografía a partir de información primaria </w:t>
            </w:r>
            <w:r w:rsidR="009B73B1" w:rsidRPr="00BD1319">
              <w:rPr>
                <w:spacing w:val="-3"/>
                <w:sz w:val="20"/>
                <w:szCs w:val="22"/>
              </w:rPr>
              <w:t>o</w:t>
            </w:r>
            <w:r w:rsidRPr="00BD1319">
              <w:rPr>
                <w:spacing w:val="-3"/>
                <w:sz w:val="20"/>
                <w:szCs w:val="22"/>
              </w:rPr>
              <w:t xml:space="preserve"> secundaria, siguiendo los estándares en generación de cartografía del IGAC; asimismo, dicha actualización puede tomar como insumo las imágenes de sensores remotos (imágenes de satélite, ortofotografías, imágenes radar y </w:t>
            </w:r>
            <w:proofErr w:type="spellStart"/>
            <w:r w:rsidRPr="00BD1319">
              <w:rPr>
                <w:spacing w:val="-3"/>
                <w:sz w:val="20"/>
                <w:szCs w:val="22"/>
              </w:rPr>
              <w:t>lidar</w:t>
            </w:r>
            <w:proofErr w:type="spellEnd"/>
            <w:r w:rsidRPr="00BD1319">
              <w:rPr>
                <w:spacing w:val="-3"/>
                <w:sz w:val="20"/>
                <w:szCs w:val="22"/>
              </w:rPr>
              <w:t xml:space="preserve">, entre otras) </w:t>
            </w:r>
            <w:r w:rsidR="009B73B1" w:rsidRPr="00BD1319">
              <w:rPr>
                <w:spacing w:val="-3"/>
                <w:sz w:val="20"/>
                <w:szCs w:val="22"/>
              </w:rPr>
              <w:t>disponibles en diferentes</w:t>
            </w:r>
            <w:r w:rsidRPr="00BD1319">
              <w:rPr>
                <w:spacing w:val="-3"/>
                <w:sz w:val="20"/>
                <w:szCs w:val="22"/>
              </w:rPr>
              <w:t xml:space="preserve"> fuentes.</w:t>
            </w:r>
          </w:p>
          <w:p w14:paraId="54FC217A" w14:textId="77777777" w:rsidR="00A101A4" w:rsidRPr="00BD1319" w:rsidRDefault="00A101A4">
            <w:pPr>
              <w:numPr>
                <w:ilvl w:val="12"/>
                <w:numId w:val="0"/>
              </w:numPr>
              <w:tabs>
                <w:tab w:val="left" w:pos="-2268"/>
              </w:tabs>
              <w:suppressAutoHyphens/>
              <w:rPr>
                <w:spacing w:val="-3"/>
                <w:sz w:val="20"/>
                <w:szCs w:val="22"/>
              </w:rPr>
            </w:pPr>
          </w:p>
          <w:p w14:paraId="679D1C4F" w14:textId="3D43BBEE" w:rsidR="00A101A4" w:rsidRPr="00BD1319" w:rsidRDefault="00A101A4">
            <w:pPr>
              <w:numPr>
                <w:ilvl w:val="12"/>
                <w:numId w:val="0"/>
              </w:numPr>
              <w:tabs>
                <w:tab w:val="left" w:pos="-2268"/>
              </w:tabs>
              <w:suppressAutoHyphens/>
              <w:rPr>
                <w:spacing w:val="-3"/>
                <w:sz w:val="20"/>
                <w:szCs w:val="22"/>
              </w:rPr>
            </w:pPr>
            <w:r w:rsidRPr="00BD1319">
              <w:rPr>
                <w:spacing w:val="-3"/>
                <w:sz w:val="20"/>
                <w:szCs w:val="22"/>
              </w:rPr>
              <w:t>Para la construcción o elaboración de cartografía temática se debe</w:t>
            </w:r>
            <w:r w:rsidR="001C5111" w:rsidRPr="00BD1319">
              <w:rPr>
                <w:spacing w:val="-3"/>
                <w:sz w:val="20"/>
                <w:szCs w:val="22"/>
              </w:rPr>
              <w:t>n</w:t>
            </w:r>
            <w:r w:rsidRPr="00BD1319">
              <w:rPr>
                <w:spacing w:val="-3"/>
                <w:sz w:val="20"/>
                <w:szCs w:val="22"/>
              </w:rPr>
              <w:t xml:space="preserve"> tener en cuenta las especificaciones del IGAC, </w:t>
            </w:r>
            <w:r w:rsidR="009B73B1" w:rsidRPr="00BD1319">
              <w:rPr>
                <w:spacing w:val="-3"/>
                <w:sz w:val="20"/>
                <w:szCs w:val="22"/>
              </w:rPr>
              <w:t xml:space="preserve">así como </w:t>
            </w:r>
            <w:r w:rsidRPr="00BD1319">
              <w:rPr>
                <w:spacing w:val="-3"/>
                <w:sz w:val="20"/>
                <w:szCs w:val="22"/>
              </w:rPr>
              <w:t xml:space="preserve">los estándares emitidos por las entidades oficiales, </w:t>
            </w:r>
            <w:r w:rsidR="009B73B1" w:rsidRPr="00BD1319">
              <w:rPr>
                <w:spacing w:val="-3"/>
                <w:sz w:val="20"/>
                <w:szCs w:val="22"/>
              </w:rPr>
              <w:t xml:space="preserve">y </w:t>
            </w:r>
            <w:r w:rsidRPr="00BD1319">
              <w:rPr>
                <w:spacing w:val="-3"/>
                <w:sz w:val="20"/>
                <w:szCs w:val="22"/>
              </w:rPr>
              <w:t>lo solicitado en los términos de referencia.</w:t>
            </w:r>
          </w:p>
        </w:tc>
      </w:tr>
    </w:tbl>
    <w:p w14:paraId="579DB7B1" w14:textId="0F7D89E7" w:rsidR="00137C1A" w:rsidRPr="00BD1319" w:rsidRDefault="00137C1A">
      <w:pPr>
        <w:numPr>
          <w:ilvl w:val="12"/>
          <w:numId w:val="0"/>
        </w:numPr>
        <w:tabs>
          <w:tab w:val="left" w:pos="-2268"/>
        </w:tabs>
        <w:suppressAutoHyphens/>
        <w:rPr>
          <w:spacing w:val="-3"/>
        </w:rPr>
      </w:pPr>
    </w:p>
    <w:p w14:paraId="743E332A" w14:textId="77777777" w:rsidR="00662B17" w:rsidRPr="00BD1319" w:rsidRDefault="00662B17">
      <w:pPr>
        <w:numPr>
          <w:ilvl w:val="12"/>
          <w:numId w:val="0"/>
        </w:numPr>
        <w:tabs>
          <w:tab w:val="left" w:pos="-2268"/>
        </w:tabs>
        <w:suppressAutoHyphens/>
        <w:rPr>
          <w:spacing w:val="-3"/>
        </w:rPr>
      </w:pPr>
    </w:p>
    <w:p w14:paraId="589CD8E4" w14:textId="3C2233E9" w:rsidR="00A101A4" w:rsidRPr="00BD1319" w:rsidRDefault="00A101A4" w:rsidP="00C86DA5">
      <w:pPr>
        <w:pStyle w:val="Descripcin"/>
        <w:jc w:val="center"/>
        <w:rPr>
          <w:b w:val="0"/>
        </w:rPr>
      </w:pPr>
      <w:r w:rsidRPr="00BD1319">
        <w:t xml:space="preserve">Tabla </w:t>
      </w:r>
      <w:fldSimple w:instr=" SEQ Tabla \* ARABIC ">
        <w:r w:rsidR="00296654" w:rsidRPr="00BD1319">
          <w:rPr>
            <w:noProof/>
          </w:rPr>
          <w:t>2</w:t>
        </w:r>
      </w:fldSimple>
      <w:r w:rsidRPr="00BD1319">
        <w:t>.</w:t>
      </w:r>
      <w:r w:rsidRPr="00BD1319">
        <w:rPr>
          <w:b w:val="0"/>
        </w:rPr>
        <w:t xml:space="preserve"> Fuentes de información del medio abiótico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8"/>
        <w:gridCol w:w="3066"/>
        <w:gridCol w:w="3536"/>
      </w:tblGrid>
      <w:tr w:rsidR="00A101A4" w:rsidRPr="00BD1319" w14:paraId="2435762C" w14:textId="77777777" w:rsidTr="00C86DA5">
        <w:trPr>
          <w:trHeight w:val="287"/>
          <w:tblHeader/>
          <w:jc w:val="center"/>
        </w:trPr>
        <w:tc>
          <w:tcPr>
            <w:tcW w:w="1262" w:type="pct"/>
            <w:shd w:val="clear" w:color="auto" w:fill="auto"/>
            <w:vAlign w:val="center"/>
          </w:tcPr>
          <w:p w14:paraId="143989A2" w14:textId="70EE1E8C" w:rsidR="00A101A4" w:rsidRPr="00BD1319" w:rsidRDefault="00F04B5F" w:rsidP="00BA45DD">
            <w:pPr>
              <w:numPr>
                <w:ilvl w:val="12"/>
                <w:numId w:val="0"/>
              </w:numPr>
              <w:tabs>
                <w:tab w:val="left" w:pos="-2268"/>
              </w:tabs>
              <w:suppressAutoHyphens/>
              <w:jc w:val="center"/>
              <w:rPr>
                <w:rFonts w:cs="Arial"/>
                <w:b/>
                <w:spacing w:val="-3"/>
                <w:sz w:val="22"/>
              </w:rPr>
            </w:pPr>
            <w:r w:rsidRPr="00BD1319">
              <w:rPr>
                <w:rFonts w:cs="Arial"/>
                <w:b/>
                <w:spacing w:val="-3"/>
                <w:sz w:val="22"/>
              </w:rPr>
              <w:t>Componente</w:t>
            </w:r>
          </w:p>
        </w:tc>
        <w:tc>
          <w:tcPr>
            <w:tcW w:w="1736" w:type="pct"/>
            <w:shd w:val="clear" w:color="auto" w:fill="auto"/>
            <w:vAlign w:val="center"/>
          </w:tcPr>
          <w:p w14:paraId="7E61C76B" w14:textId="7A16C975" w:rsidR="00A101A4" w:rsidRPr="00BD1319" w:rsidRDefault="00F04B5F" w:rsidP="00BA45DD">
            <w:pPr>
              <w:numPr>
                <w:ilvl w:val="12"/>
                <w:numId w:val="0"/>
              </w:numPr>
              <w:tabs>
                <w:tab w:val="left" w:pos="-2268"/>
              </w:tabs>
              <w:suppressAutoHyphens/>
              <w:jc w:val="center"/>
              <w:rPr>
                <w:rFonts w:cs="Arial"/>
                <w:b/>
                <w:spacing w:val="-3"/>
                <w:sz w:val="22"/>
              </w:rPr>
            </w:pPr>
            <w:r w:rsidRPr="00BD1319">
              <w:rPr>
                <w:rFonts w:cs="Arial"/>
                <w:b/>
                <w:spacing w:val="-3"/>
                <w:sz w:val="22"/>
              </w:rPr>
              <w:t>Fuente principal</w:t>
            </w:r>
          </w:p>
        </w:tc>
        <w:tc>
          <w:tcPr>
            <w:tcW w:w="2002" w:type="pct"/>
            <w:shd w:val="clear" w:color="auto" w:fill="auto"/>
            <w:vAlign w:val="center"/>
          </w:tcPr>
          <w:p w14:paraId="082C3D39" w14:textId="573B7D39" w:rsidR="00A101A4" w:rsidRPr="00BD1319" w:rsidRDefault="00F04B5F" w:rsidP="00BA45DD">
            <w:pPr>
              <w:numPr>
                <w:ilvl w:val="12"/>
                <w:numId w:val="0"/>
              </w:numPr>
              <w:tabs>
                <w:tab w:val="left" w:pos="-2268"/>
              </w:tabs>
              <w:suppressAutoHyphens/>
              <w:jc w:val="center"/>
              <w:rPr>
                <w:rFonts w:cs="Arial"/>
                <w:b/>
                <w:spacing w:val="-3"/>
                <w:sz w:val="22"/>
              </w:rPr>
            </w:pPr>
            <w:r w:rsidRPr="00BD1319">
              <w:rPr>
                <w:rFonts w:cs="Arial"/>
                <w:b/>
                <w:spacing w:val="-3"/>
                <w:sz w:val="22"/>
              </w:rPr>
              <w:t>Otras fuentes</w:t>
            </w:r>
          </w:p>
        </w:tc>
      </w:tr>
      <w:tr w:rsidR="00A101A4" w:rsidRPr="00BD1319" w14:paraId="3F79B6DE" w14:textId="77777777" w:rsidTr="00C86DA5">
        <w:trPr>
          <w:jc w:val="center"/>
        </w:trPr>
        <w:tc>
          <w:tcPr>
            <w:tcW w:w="1262" w:type="pct"/>
            <w:vAlign w:val="center"/>
          </w:tcPr>
          <w:p w14:paraId="32032DE2" w14:textId="77777777" w:rsidR="00A101A4" w:rsidRPr="00BD1319" w:rsidRDefault="00A101A4">
            <w:pPr>
              <w:numPr>
                <w:ilvl w:val="12"/>
                <w:numId w:val="0"/>
              </w:numPr>
              <w:tabs>
                <w:tab w:val="left" w:pos="-2268"/>
              </w:tabs>
              <w:suppressAutoHyphens/>
              <w:rPr>
                <w:b/>
                <w:spacing w:val="-3"/>
                <w:sz w:val="20"/>
                <w:szCs w:val="22"/>
              </w:rPr>
            </w:pPr>
            <w:r w:rsidRPr="00BD1319">
              <w:rPr>
                <w:b/>
                <w:spacing w:val="-3"/>
                <w:sz w:val="20"/>
                <w:szCs w:val="22"/>
              </w:rPr>
              <w:t>Geológico</w:t>
            </w:r>
          </w:p>
        </w:tc>
        <w:tc>
          <w:tcPr>
            <w:tcW w:w="1736" w:type="pct"/>
            <w:vAlign w:val="center"/>
          </w:tcPr>
          <w:p w14:paraId="3F03FDE9" w14:textId="4FF3491F" w:rsidR="00A101A4" w:rsidRPr="00BD1319" w:rsidRDefault="00A101A4" w:rsidP="000465FD">
            <w:pPr>
              <w:numPr>
                <w:ilvl w:val="12"/>
                <w:numId w:val="0"/>
              </w:numPr>
              <w:tabs>
                <w:tab w:val="left" w:pos="-2268"/>
              </w:tabs>
              <w:suppressAutoHyphens/>
              <w:rPr>
                <w:spacing w:val="-3"/>
                <w:sz w:val="20"/>
                <w:szCs w:val="22"/>
              </w:rPr>
            </w:pPr>
            <w:r w:rsidRPr="00BD1319">
              <w:rPr>
                <w:spacing w:val="-3"/>
                <w:sz w:val="20"/>
                <w:szCs w:val="22"/>
              </w:rPr>
              <w:t>SGC</w:t>
            </w:r>
            <w:r w:rsidR="00A944EF" w:rsidRPr="00BD1319">
              <w:rPr>
                <w:spacing w:val="-3"/>
                <w:sz w:val="20"/>
                <w:szCs w:val="22"/>
              </w:rPr>
              <w:t xml:space="preserve"> </w:t>
            </w:r>
            <w:r w:rsidR="000465FD" w:rsidRPr="00BD1319">
              <w:rPr>
                <w:spacing w:val="-3"/>
                <w:sz w:val="20"/>
                <w:szCs w:val="22"/>
              </w:rPr>
              <w:t>e</w:t>
            </w:r>
            <w:r w:rsidRPr="00BD1319">
              <w:rPr>
                <w:spacing w:val="-3"/>
                <w:sz w:val="20"/>
                <w:szCs w:val="22"/>
              </w:rPr>
              <w:t xml:space="preserve"> </w:t>
            </w:r>
            <w:proofErr w:type="spellStart"/>
            <w:r w:rsidR="00A92356" w:rsidRPr="00BD1319">
              <w:rPr>
                <w:spacing w:val="-3"/>
                <w:sz w:val="20"/>
                <w:szCs w:val="22"/>
              </w:rPr>
              <w:t>Invemar</w:t>
            </w:r>
            <w:proofErr w:type="spellEnd"/>
            <w:r w:rsidRPr="00BD1319">
              <w:rPr>
                <w:spacing w:val="-3"/>
                <w:sz w:val="20"/>
                <w:szCs w:val="22"/>
              </w:rPr>
              <w:t>.</w:t>
            </w:r>
          </w:p>
        </w:tc>
        <w:tc>
          <w:tcPr>
            <w:tcW w:w="2002" w:type="pct"/>
          </w:tcPr>
          <w:p w14:paraId="1730A013" w14:textId="434912C9" w:rsidR="00A101A4" w:rsidRPr="00BD1319" w:rsidRDefault="00A101A4">
            <w:pPr>
              <w:numPr>
                <w:ilvl w:val="12"/>
                <w:numId w:val="0"/>
              </w:numPr>
              <w:tabs>
                <w:tab w:val="left" w:pos="-2268"/>
              </w:tabs>
              <w:suppressAutoHyphens/>
              <w:rPr>
                <w:spacing w:val="-3"/>
                <w:sz w:val="20"/>
                <w:szCs w:val="22"/>
              </w:rPr>
            </w:pPr>
            <w:r w:rsidRPr="00BD1319">
              <w:rPr>
                <w:spacing w:val="-3"/>
                <w:sz w:val="20"/>
                <w:szCs w:val="22"/>
              </w:rPr>
              <w:t xml:space="preserve">IGAC, </w:t>
            </w:r>
            <w:proofErr w:type="spellStart"/>
            <w:r w:rsidR="00A92356" w:rsidRPr="00BD1319">
              <w:rPr>
                <w:spacing w:val="-3"/>
                <w:sz w:val="20"/>
                <w:szCs w:val="22"/>
              </w:rPr>
              <w:t>Ideam</w:t>
            </w:r>
            <w:proofErr w:type="spellEnd"/>
            <w:r w:rsidRPr="00BD1319">
              <w:rPr>
                <w:spacing w:val="-3"/>
                <w:sz w:val="20"/>
                <w:szCs w:val="22"/>
              </w:rPr>
              <w:t>, ANH, autoridades ambientales</w:t>
            </w:r>
            <w:r w:rsidR="00B14207" w:rsidRPr="00BD1319">
              <w:rPr>
                <w:spacing w:val="-3"/>
                <w:sz w:val="20"/>
                <w:szCs w:val="22"/>
              </w:rPr>
              <w:t>,</w:t>
            </w:r>
            <w:r w:rsidRPr="00BD1319">
              <w:rPr>
                <w:spacing w:val="-3"/>
                <w:sz w:val="20"/>
                <w:szCs w:val="22"/>
              </w:rPr>
              <w:t xml:space="preserve"> </w:t>
            </w:r>
            <w:r w:rsidRPr="00BD1319">
              <w:rPr>
                <w:rFonts w:cs="Arial"/>
                <w:spacing w:val="-3"/>
                <w:sz w:val="20"/>
                <w:szCs w:val="22"/>
              </w:rPr>
              <w:t>entidades territoriales</w:t>
            </w:r>
            <w:r w:rsidR="00B14207" w:rsidRPr="00BD1319">
              <w:rPr>
                <w:rFonts w:cs="Arial"/>
                <w:spacing w:val="-3"/>
                <w:sz w:val="20"/>
                <w:szCs w:val="22"/>
              </w:rPr>
              <w:t xml:space="preserve"> y estudios ambientales</w:t>
            </w:r>
            <w:r w:rsidRPr="00BD1319">
              <w:rPr>
                <w:rFonts w:cs="Arial"/>
                <w:spacing w:val="-3"/>
                <w:sz w:val="20"/>
                <w:szCs w:val="22"/>
              </w:rPr>
              <w:t>.</w:t>
            </w:r>
          </w:p>
        </w:tc>
      </w:tr>
      <w:tr w:rsidR="00A101A4" w:rsidRPr="00BD1319" w14:paraId="5B9AD88C" w14:textId="77777777" w:rsidTr="00C86DA5">
        <w:trPr>
          <w:trHeight w:val="400"/>
          <w:jc w:val="center"/>
        </w:trPr>
        <w:tc>
          <w:tcPr>
            <w:tcW w:w="1262" w:type="pct"/>
            <w:vAlign w:val="center"/>
          </w:tcPr>
          <w:p w14:paraId="3B6944CE" w14:textId="49A679D9" w:rsidR="00A101A4" w:rsidRPr="00BD1319" w:rsidRDefault="00A101A4" w:rsidP="009420F5">
            <w:pPr>
              <w:numPr>
                <w:ilvl w:val="12"/>
                <w:numId w:val="0"/>
              </w:numPr>
              <w:tabs>
                <w:tab w:val="left" w:pos="-2268"/>
              </w:tabs>
              <w:suppressAutoHyphens/>
              <w:ind w:left="284"/>
              <w:rPr>
                <w:bCs/>
                <w:spacing w:val="-3"/>
                <w:sz w:val="20"/>
                <w:szCs w:val="22"/>
              </w:rPr>
            </w:pPr>
            <w:r w:rsidRPr="00BD1319">
              <w:rPr>
                <w:bCs/>
                <w:spacing w:val="-3"/>
                <w:sz w:val="20"/>
                <w:szCs w:val="22"/>
              </w:rPr>
              <w:t>Geomorfol</w:t>
            </w:r>
            <w:r w:rsidR="00B9774B" w:rsidRPr="00BD1319">
              <w:rPr>
                <w:bCs/>
                <w:spacing w:val="-3"/>
                <w:sz w:val="20"/>
                <w:szCs w:val="22"/>
              </w:rPr>
              <w:t>ogía</w:t>
            </w:r>
          </w:p>
        </w:tc>
        <w:tc>
          <w:tcPr>
            <w:tcW w:w="1736" w:type="pct"/>
            <w:vAlign w:val="center"/>
          </w:tcPr>
          <w:p w14:paraId="50816ABA" w14:textId="5E160D25" w:rsidR="00A101A4" w:rsidRPr="00BD1319" w:rsidRDefault="00A101A4">
            <w:pPr>
              <w:numPr>
                <w:ilvl w:val="12"/>
                <w:numId w:val="0"/>
              </w:numPr>
              <w:tabs>
                <w:tab w:val="left" w:pos="-2268"/>
              </w:tabs>
              <w:suppressAutoHyphens/>
              <w:rPr>
                <w:spacing w:val="-3"/>
                <w:sz w:val="20"/>
                <w:szCs w:val="22"/>
              </w:rPr>
            </w:pPr>
            <w:r w:rsidRPr="00BD1319">
              <w:rPr>
                <w:spacing w:val="-3"/>
                <w:sz w:val="20"/>
                <w:szCs w:val="22"/>
              </w:rPr>
              <w:t>IGAC y SGC</w:t>
            </w:r>
            <w:r w:rsidR="00A944EF" w:rsidRPr="00BD1319">
              <w:rPr>
                <w:spacing w:val="-3"/>
                <w:sz w:val="20"/>
                <w:szCs w:val="22"/>
              </w:rPr>
              <w:t>.</w:t>
            </w:r>
          </w:p>
        </w:tc>
        <w:tc>
          <w:tcPr>
            <w:tcW w:w="2002" w:type="pct"/>
          </w:tcPr>
          <w:p w14:paraId="0FE83DE3" w14:textId="129D58EB" w:rsidR="00A101A4" w:rsidRPr="00BD1319" w:rsidRDefault="00BD3BAD">
            <w:pPr>
              <w:numPr>
                <w:ilvl w:val="12"/>
                <w:numId w:val="0"/>
              </w:numPr>
              <w:tabs>
                <w:tab w:val="left" w:pos="-2268"/>
              </w:tabs>
              <w:suppressAutoHyphens/>
              <w:rPr>
                <w:spacing w:val="-3"/>
                <w:sz w:val="20"/>
                <w:szCs w:val="22"/>
              </w:rPr>
            </w:pPr>
            <w:r w:rsidRPr="00BD1319">
              <w:rPr>
                <w:rFonts w:cs="Arial"/>
                <w:spacing w:val="-3"/>
                <w:sz w:val="20"/>
                <w:szCs w:val="22"/>
              </w:rPr>
              <w:t>A</w:t>
            </w:r>
            <w:r w:rsidR="00A101A4" w:rsidRPr="00BD1319">
              <w:rPr>
                <w:rFonts w:cs="Arial"/>
                <w:spacing w:val="-3"/>
                <w:sz w:val="20"/>
                <w:szCs w:val="22"/>
              </w:rPr>
              <w:t>utoridades ambientales</w:t>
            </w:r>
            <w:r w:rsidR="00B14207" w:rsidRPr="00BD1319">
              <w:rPr>
                <w:rFonts w:cs="Arial"/>
                <w:spacing w:val="-3"/>
                <w:sz w:val="20"/>
                <w:szCs w:val="22"/>
              </w:rPr>
              <w:t>,</w:t>
            </w:r>
            <w:r w:rsidR="00A101A4" w:rsidRPr="00BD1319">
              <w:rPr>
                <w:rFonts w:cs="Arial"/>
                <w:spacing w:val="-3"/>
                <w:sz w:val="20"/>
                <w:szCs w:val="22"/>
              </w:rPr>
              <w:t xml:space="preserve"> entidades territoriales</w:t>
            </w:r>
            <w:r w:rsidR="00A944EF" w:rsidRPr="00BD1319">
              <w:rPr>
                <w:rFonts w:cs="Arial"/>
                <w:spacing w:val="-3"/>
                <w:sz w:val="20"/>
                <w:szCs w:val="22"/>
              </w:rPr>
              <w:t xml:space="preserve"> y</w:t>
            </w:r>
            <w:r w:rsidR="00B14207" w:rsidRPr="00BD1319">
              <w:rPr>
                <w:rFonts w:cs="Arial"/>
                <w:spacing w:val="-3"/>
                <w:sz w:val="20"/>
                <w:szCs w:val="22"/>
              </w:rPr>
              <w:t xml:space="preserve"> estudios ambientales</w:t>
            </w:r>
            <w:r w:rsidR="00A101A4" w:rsidRPr="00BD1319">
              <w:rPr>
                <w:rFonts w:cs="Arial"/>
                <w:spacing w:val="-3"/>
                <w:sz w:val="20"/>
                <w:szCs w:val="22"/>
              </w:rPr>
              <w:t>.</w:t>
            </w:r>
          </w:p>
        </w:tc>
      </w:tr>
      <w:tr w:rsidR="00A101A4" w:rsidRPr="00BD1319" w14:paraId="0288B121" w14:textId="77777777" w:rsidTr="00C86DA5">
        <w:trPr>
          <w:jc w:val="center"/>
        </w:trPr>
        <w:tc>
          <w:tcPr>
            <w:tcW w:w="1262" w:type="pct"/>
            <w:vAlign w:val="center"/>
          </w:tcPr>
          <w:p w14:paraId="5E725DB5" w14:textId="0AB62F45" w:rsidR="00A101A4" w:rsidRPr="00BD1319" w:rsidRDefault="00A101A4" w:rsidP="009420F5">
            <w:pPr>
              <w:numPr>
                <w:ilvl w:val="12"/>
                <w:numId w:val="0"/>
              </w:numPr>
              <w:tabs>
                <w:tab w:val="left" w:pos="-2268"/>
              </w:tabs>
              <w:suppressAutoHyphens/>
              <w:ind w:left="284"/>
              <w:rPr>
                <w:bCs/>
                <w:spacing w:val="-3"/>
                <w:sz w:val="20"/>
                <w:szCs w:val="22"/>
              </w:rPr>
            </w:pPr>
            <w:r w:rsidRPr="00BD1319">
              <w:rPr>
                <w:bCs/>
                <w:spacing w:val="-3"/>
                <w:sz w:val="20"/>
                <w:szCs w:val="22"/>
              </w:rPr>
              <w:t>Geot</w:t>
            </w:r>
            <w:r w:rsidR="00B9774B" w:rsidRPr="00BD1319">
              <w:rPr>
                <w:bCs/>
                <w:spacing w:val="-3"/>
                <w:sz w:val="20"/>
                <w:szCs w:val="22"/>
              </w:rPr>
              <w:t>e</w:t>
            </w:r>
            <w:r w:rsidRPr="00BD1319">
              <w:rPr>
                <w:bCs/>
                <w:spacing w:val="-3"/>
                <w:sz w:val="20"/>
                <w:szCs w:val="22"/>
              </w:rPr>
              <w:t>cni</w:t>
            </w:r>
            <w:r w:rsidR="00B9774B" w:rsidRPr="00BD1319">
              <w:rPr>
                <w:bCs/>
                <w:spacing w:val="-3"/>
                <w:sz w:val="20"/>
                <w:szCs w:val="22"/>
              </w:rPr>
              <w:t>a</w:t>
            </w:r>
          </w:p>
        </w:tc>
        <w:tc>
          <w:tcPr>
            <w:tcW w:w="1736" w:type="pct"/>
          </w:tcPr>
          <w:p w14:paraId="6481C357" w14:textId="55F36735" w:rsidR="00A101A4" w:rsidRPr="00BD1319" w:rsidRDefault="00A101A4">
            <w:pPr>
              <w:numPr>
                <w:ilvl w:val="12"/>
                <w:numId w:val="0"/>
              </w:numPr>
              <w:tabs>
                <w:tab w:val="left" w:pos="-2268"/>
              </w:tabs>
              <w:suppressAutoHyphens/>
              <w:rPr>
                <w:spacing w:val="-3"/>
                <w:sz w:val="20"/>
                <w:szCs w:val="22"/>
              </w:rPr>
            </w:pPr>
            <w:r w:rsidRPr="00BD1319">
              <w:rPr>
                <w:spacing w:val="-3"/>
                <w:sz w:val="20"/>
                <w:szCs w:val="22"/>
              </w:rPr>
              <w:t>SGC</w:t>
            </w:r>
            <w:r w:rsidR="00A944EF" w:rsidRPr="00BD1319">
              <w:rPr>
                <w:spacing w:val="-3"/>
                <w:sz w:val="20"/>
                <w:szCs w:val="22"/>
              </w:rPr>
              <w:t>,</w:t>
            </w:r>
            <w:r w:rsidRPr="00BD1319">
              <w:rPr>
                <w:spacing w:val="-3"/>
                <w:sz w:val="20"/>
                <w:szCs w:val="22"/>
              </w:rPr>
              <w:t xml:space="preserve"> autoridades ambientales</w:t>
            </w:r>
            <w:r w:rsidR="00A944EF" w:rsidRPr="00BD1319">
              <w:rPr>
                <w:spacing w:val="-3"/>
                <w:sz w:val="20"/>
                <w:szCs w:val="22"/>
              </w:rPr>
              <w:t>, entidades territoriales y</w:t>
            </w:r>
            <w:r w:rsidRPr="00BD1319">
              <w:rPr>
                <w:spacing w:val="-3"/>
                <w:sz w:val="20"/>
                <w:szCs w:val="22"/>
              </w:rPr>
              <w:t xml:space="preserve"> </w:t>
            </w:r>
            <w:r w:rsidR="00DF3A0D" w:rsidRPr="00BD1319">
              <w:rPr>
                <w:spacing w:val="-3"/>
                <w:sz w:val="20"/>
                <w:szCs w:val="22"/>
              </w:rPr>
              <w:t>SNGRD</w:t>
            </w:r>
            <w:r w:rsidRPr="00BD1319">
              <w:rPr>
                <w:spacing w:val="-3"/>
                <w:sz w:val="20"/>
                <w:szCs w:val="22"/>
              </w:rPr>
              <w:t>.</w:t>
            </w:r>
          </w:p>
        </w:tc>
        <w:tc>
          <w:tcPr>
            <w:tcW w:w="2002" w:type="pct"/>
          </w:tcPr>
          <w:p w14:paraId="612FD198" w14:textId="75CB3950" w:rsidR="00A101A4" w:rsidRPr="00BD1319" w:rsidRDefault="00BD3BAD">
            <w:pPr>
              <w:numPr>
                <w:ilvl w:val="12"/>
                <w:numId w:val="0"/>
              </w:numPr>
              <w:tabs>
                <w:tab w:val="left" w:pos="-2268"/>
              </w:tabs>
              <w:suppressAutoHyphens/>
              <w:rPr>
                <w:spacing w:val="-3"/>
                <w:sz w:val="20"/>
                <w:szCs w:val="22"/>
              </w:rPr>
            </w:pPr>
            <w:r w:rsidRPr="00BD1319">
              <w:rPr>
                <w:rFonts w:cs="Arial"/>
                <w:spacing w:val="-3"/>
                <w:sz w:val="20"/>
                <w:szCs w:val="22"/>
              </w:rPr>
              <w:t>Autoridades ambientales</w:t>
            </w:r>
            <w:r w:rsidR="00B14207" w:rsidRPr="00BD1319">
              <w:rPr>
                <w:rFonts w:cs="Arial"/>
                <w:spacing w:val="-3"/>
                <w:sz w:val="20"/>
                <w:szCs w:val="22"/>
              </w:rPr>
              <w:t>,</w:t>
            </w:r>
            <w:r w:rsidRPr="00BD1319">
              <w:rPr>
                <w:rFonts w:cs="Arial"/>
                <w:spacing w:val="-3"/>
                <w:sz w:val="20"/>
                <w:szCs w:val="22"/>
              </w:rPr>
              <w:t xml:space="preserve"> entidades territoriales</w:t>
            </w:r>
            <w:r w:rsidR="00B14207" w:rsidRPr="00BD1319">
              <w:rPr>
                <w:rFonts w:cs="Arial"/>
                <w:spacing w:val="-3"/>
                <w:sz w:val="20"/>
                <w:szCs w:val="22"/>
              </w:rPr>
              <w:t xml:space="preserve"> y estudios ambientales</w:t>
            </w:r>
            <w:r w:rsidRPr="00BD1319">
              <w:rPr>
                <w:rFonts w:cs="Arial"/>
                <w:spacing w:val="-3"/>
                <w:sz w:val="20"/>
                <w:szCs w:val="22"/>
              </w:rPr>
              <w:t>.</w:t>
            </w:r>
          </w:p>
        </w:tc>
      </w:tr>
      <w:tr w:rsidR="00A101A4" w:rsidRPr="00BD1319" w14:paraId="75D482EE" w14:textId="77777777" w:rsidTr="00C86DA5">
        <w:trPr>
          <w:jc w:val="center"/>
        </w:trPr>
        <w:tc>
          <w:tcPr>
            <w:tcW w:w="1262" w:type="pct"/>
            <w:vAlign w:val="center"/>
          </w:tcPr>
          <w:p w14:paraId="50FFEA99" w14:textId="5D0F56E8" w:rsidR="00A101A4" w:rsidRPr="00BD1319" w:rsidRDefault="00A101A4">
            <w:pPr>
              <w:numPr>
                <w:ilvl w:val="12"/>
                <w:numId w:val="0"/>
              </w:numPr>
              <w:tabs>
                <w:tab w:val="left" w:pos="-2268"/>
              </w:tabs>
              <w:suppressAutoHyphens/>
              <w:rPr>
                <w:b/>
                <w:spacing w:val="-3"/>
                <w:sz w:val="20"/>
                <w:szCs w:val="22"/>
              </w:rPr>
            </w:pPr>
            <w:r w:rsidRPr="00BD1319">
              <w:rPr>
                <w:b/>
                <w:spacing w:val="-3"/>
                <w:sz w:val="20"/>
                <w:szCs w:val="22"/>
              </w:rPr>
              <w:t>Edafológico</w:t>
            </w:r>
          </w:p>
        </w:tc>
        <w:tc>
          <w:tcPr>
            <w:tcW w:w="1736" w:type="pct"/>
            <w:vAlign w:val="center"/>
          </w:tcPr>
          <w:p w14:paraId="04D7BE7D" w14:textId="656291C4" w:rsidR="00A101A4" w:rsidRPr="00BD1319" w:rsidRDefault="00A101A4">
            <w:pPr>
              <w:numPr>
                <w:ilvl w:val="12"/>
                <w:numId w:val="0"/>
              </w:numPr>
              <w:tabs>
                <w:tab w:val="left" w:pos="-2268"/>
              </w:tabs>
              <w:suppressAutoHyphens/>
              <w:rPr>
                <w:spacing w:val="-3"/>
                <w:sz w:val="20"/>
                <w:szCs w:val="22"/>
              </w:rPr>
            </w:pPr>
            <w:r w:rsidRPr="00BD1319">
              <w:rPr>
                <w:spacing w:val="-3"/>
                <w:sz w:val="20"/>
                <w:szCs w:val="22"/>
              </w:rPr>
              <w:t xml:space="preserve">IGAC, </w:t>
            </w:r>
            <w:proofErr w:type="spellStart"/>
            <w:r w:rsidR="00BC3B27" w:rsidRPr="00BD1319">
              <w:rPr>
                <w:spacing w:val="-3"/>
                <w:sz w:val="20"/>
                <w:szCs w:val="22"/>
              </w:rPr>
              <w:t>Agrosavia</w:t>
            </w:r>
            <w:proofErr w:type="spellEnd"/>
            <w:r w:rsidR="00A944EF" w:rsidRPr="00BD1319">
              <w:rPr>
                <w:spacing w:val="-3"/>
                <w:sz w:val="20"/>
                <w:szCs w:val="22"/>
              </w:rPr>
              <w:t xml:space="preserve"> e</w:t>
            </w:r>
            <w:r w:rsidRPr="00BD1319">
              <w:rPr>
                <w:spacing w:val="-3"/>
                <w:sz w:val="20"/>
                <w:szCs w:val="22"/>
              </w:rPr>
              <w:t xml:space="preserve"> </w:t>
            </w:r>
            <w:proofErr w:type="spellStart"/>
            <w:r w:rsidR="00A92356" w:rsidRPr="00BD1319">
              <w:rPr>
                <w:spacing w:val="-3"/>
                <w:sz w:val="20"/>
                <w:szCs w:val="22"/>
              </w:rPr>
              <w:t>Ideam</w:t>
            </w:r>
            <w:proofErr w:type="spellEnd"/>
            <w:r w:rsidRPr="00BD1319">
              <w:rPr>
                <w:spacing w:val="-3"/>
                <w:sz w:val="20"/>
                <w:szCs w:val="22"/>
              </w:rPr>
              <w:t>.</w:t>
            </w:r>
          </w:p>
        </w:tc>
        <w:tc>
          <w:tcPr>
            <w:tcW w:w="2002" w:type="pct"/>
          </w:tcPr>
          <w:p w14:paraId="63B36FCA" w14:textId="117F09DC" w:rsidR="00A101A4" w:rsidRPr="00BD1319" w:rsidRDefault="00A101A4" w:rsidP="0016F5AC">
            <w:pPr>
              <w:suppressAutoHyphens/>
              <w:rPr>
                <w:spacing w:val="-3"/>
                <w:sz w:val="20"/>
                <w:szCs w:val="22"/>
              </w:rPr>
            </w:pPr>
            <w:r w:rsidRPr="00BD1319">
              <w:rPr>
                <w:spacing w:val="-3"/>
                <w:sz w:val="20"/>
                <w:szCs w:val="22"/>
              </w:rPr>
              <w:t>Autoridades ambientales, entidades territoriales, Sinchi, IIAP, centros de investigación</w:t>
            </w:r>
            <w:r w:rsidR="00B14207" w:rsidRPr="00BD1319">
              <w:rPr>
                <w:spacing w:val="-3"/>
                <w:sz w:val="20"/>
                <w:szCs w:val="22"/>
              </w:rPr>
              <w:t xml:space="preserve"> y </w:t>
            </w:r>
            <w:r w:rsidR="00B14207" w:rsidRPr="00BD1319">
              <w:rPr>
                <w:rFonts w:cs="Arial"/>
                <w:spacing w:val="-3"/>
                <w:sz w:val="20"/>
                <w:szCs w:val="22"/>
              </w:rPr>
              <w:t>estudios ambientales.</w:t>
            </w:r>
          </w:p>
        </w:tc>
      </w:tr>
      <w:tr w:rsidR="00A101A4" w:rsidRPr="00BD1319" w14:paraId="3CBF6348" w14:textId="77777777" w:rsidTr="009420F5">
        <w:trPr>
          <w:jc w:val="center"/>
        </w:trPr>
        <w:tc>
          <w:tcPr>
            <w:tcW w:w="1262" w:type="pct"/>
            <w:vAlign w:val="center"/>
          </w:tcPr>
          <w:p w14:paraId="74AFC989" w14:textId="77777777" w:rsidR="00A101A4" w:rsidRPr="00BD1319" w:rsidRDefault="00A101A4">
            <w:pPr>
              <w:numPr>
                <w:ilvl w:val="12"/>
                <w:numId w:val="0"/>
              </w:numPr>
              <w:tabs>
                <w:tab w:val="left" w:pos="-2268"/>
              </w:tabs>
              <w:suppressAutoHyphens/>
              <w:rPr>
                <w:b/>
                <w:spacing w:val="-3"/>
                <w:sz w:val="20"/>
                <w:szCs w:val="22"/>
              </w:rPr>
            </w:pPr>
            <w:r w:rsidRPr="00BD1319">
              <w:rPr>
                <w:b/>
                <w:spacing w:val="-3"/>
                <w:sz w:val="20"/>
                <w:szCs w:val="22"/>
              </w:rPr>
              <w:lastRenderedPageBreak/>
              <w:t>Oceanográfico</w:t>
            </w:r>
          </w:p>
        </w:tc>
        <w:tc>
          <w:tcPr>
            <w:tcW w:w="1736" w:type="pct"/>
            <w:vAlign w:val="center"/>
          </w:tcPr>
          <w:p w14:paraId="16D38E53" w14:textId="51AA07D9" w:rsidR="00A101A4" w:rsidRPr="00BD1319" w:rsidRDefault="000F6349">
            <w:pPr>
              <w:numPr>
                <w:ilvl w:val="12"/>
                <w:numId w:val="0"/>
              </w:numPr>
              <w:tabs>
                <w:tab w:val="left" w:pos="-2268"/>
              </w:tabs>
              <w:suppressAutoHyphens/>
              <w:rPr>
                <w:spacing w:val="-3"/>
                <w:sz w:val="20"/>
                <w:szCs w:val="22"/>
              </w:rPr>
            </w:pPr>
            <w:r w:rsidRPr="00BD1319">
              <w:rPr>
                <w:spacing w:val="-3"/>
                <w:sz w:val="20"/>
                <w:szCs w:val="22"/>
              </w:rPr>
              <w:t>Dimar</w:t>
            </w:r>
            <w:r w:rsidR="00A101A4" w:rsidRPr="00BD1319">
              <w:rPr>
                <w:spacing w:val="-3"/>
                <w:sz w:val="20"/>
                <w:szCs w:val="22"/>
              </w:rPr>
              <w:t>, CIOH</w:t>
            </w:r>
            <w:r w:rsidR="00A944EF" w:rsidRPr="00BD1319">
              <w:rPr>
                <w:spacing w:val="-3"/>
                <w:sz w:val="20"/>
                <w:szCs w:val="22"/>
              </w:rPr>
              <w:t xml:space="preserve"> y</w:t>
            </w:r>
            <w:r w:rsidR="00A101A4" w:rsidRPr="00BD1319">
              <w:rPr>
                <w:spacing w:val="-3"/>
                <w:sz w:val="20"/>
                <w:szCs w:val="22"/>
              </w:rPr>
              <w:t xml:space="preserve"> CCCP.</w:t>
            </w:r>
          </w:p>
        </w:tc>
        <w:tc>
          <w:tcPr>
            <w:tcW w:w="2002" w:type="pct"/>
          </w:tcPr>
          <w:p w14:paraId="4D07BBE0" w14:textId="1B138767" w:rsidR="00A101A4" w:rsidRPr="00BD1319" w:rsidRDefault="00A101A4">
            <w:pPr>
              <w:numPr>
                <w:ilvl w:val="12"/>
                <w:numId w:val="0"/>
              </w:numPr>
              <w:tabs>
                <w:tab w:val="left" w:pos="-2268"/>
              </w:tabs>
              <w:suppressAutoHyphens/>
              <w:rPr>
                <w:spacing w:val="-3"/>
                <w:sz w:val="20"/>
                <w:szCs w:val="22"/>
              </w:rPr>
            </w:pPr>
            <w:r w:rsidRPr="00BD1319">
              <w:rPr>
                <w:spacing w:val="-3"/>
                <w:sz w:val="20"/>
                <w:szCs w:val="22"/>
              </w:rPr>
              <w:t xml:space="preserve">Fuentes de </w:t>
            </w:r>
            <w:r w:rsidR="00A944EF" w:rsidRPr="00BD1319">
              <w:rPr>
                <w:spacing w:val="-3"/>
                <w:sz w:val="20"/>
                <w:szCs w:val="22"/>
              </w:rPr>
              <w:t>i</w:t>
            </w:r>
            <w:r w:rsidRPr="00BD1319">
              <w:rPr>
                <w:spacing w:val="-3"/>
                <w:sz w:val="20"/>
                <w:szCs w:val="22"/>
              </w:rPr>
              <w:t>nternet</w:t>
            </w:r>
            <w:r w:rsidR="00A944EF" w:rsidRPr="00BD1319">
              <w:rPr>
                <w:spacing w:val="-3"/>
                <w:sz w:val="20"/>
                <w:szCs w:val="22"/>
              </w:rPr>
              <w:t xml:space="preserve">, </w:t>
            </w:r>
            <w:r w:rsidR="00A944EF" w:rsidRPr="00BD1319">
              <w:rPr>
                <w:rFonts w:cs="Arial"/>
                <w:spacing w:val="-3"/>
                <w:sz w:val="20"/>
                <w:szCs w:val="22"/>
              </w:rPr>
              <w:t>estudios ambientales y</w:t>
            </w:r>
            <w:r w:rsidRPr="00BD1319">
              <w:rPr>
                <w:spacing w:val="-3"/>
                <w:sz w:val="20"/>
                <w:szCs w:val="22"/>
              </w:rPr>
              <w:t xml:space="preserve"> CCO </w:t>
            </w:r>
            <w:r w:rsidR="00A944EF" w:rsidRPr="00BD1319">
              <w:rPr>
                <w:spacing w:val="-3"/>
                <w:sz w:val="20"/>
                <w:szCs w:val="22"/>
              </w:rPr>
              <w:t>(</w:t>
            </w:r>
            <w:r w:rsidRPr="00BD1319">
              <w:rPr>
                <w:spacing w:val="-3"/>
                <w:sz w:val="20"/>
                <w:szCs w:val="22"/>
              </w:rPr>
              <w:t>en cuanto a políticas y desarrollo sostenible del océano</w:t>
            </w:r>
            <w:r w:rsidR="00A944EF" w:rsidRPr="00BD1319">
              <w:rPr>
                <w:spacing w:val="-3"/>
                <w:sz w:val="20"/>
                <w:szCs w:val="22"/>
              </w:rPr>
              <w:t>).</w:t>
            </w:r>
          </w:p>
        </w:tc>
      </w:tr>
      <w:tr w:rsidR="00A101A4" w:rsidRPr="00BD1319" w14:paraId="623EE23F" w14:textId="77777777" w:rsidTr="009420F5">
        <w:trPr>
          <w:jc w:val="center"/>
        </w:trPr>
        <w:tc>
          <w:tcPr>
            <w:tcW w:w="1262" w:type="pct"/>
            <w:vAlign w:val="center"/>
          </w:tcPr>
          <w:p w14:paraId="15509202" w14:textId="77777777" w:rsidR="00A101A4" w:rsidRPr="00BD1319" w:rsidRDefault="00A101A4">
            <w:pPr>
              <w:numPr>
                <w:ilvl w:val="12"/>
                <w:numId w:val="0"/>
              </w:numPr>
              <w:tabs>
                <w:tab w:val="left" w:pos="-2268"/>
              </w:tabs>
              <w:suppressAutoHyphens/>
              <w:rPr>
                <w:b/>
                <w:spacing w:val="-3"/>
                <w:sz w:val="20"/>
                <w:szCs w:val="22"/>
              </w:rPr>
            </w:pPr>
            <w:r w:rsidRPr="00BD1319">
              <w:rPr>
                <w:b/>
                <w:spacing w:val="-3"/>
                <w:sz w:val="20"/>
                <w:szCs w:val="22"/>
              </w:rPr>
              <w:t>Hidrológico</w:t>
            </w:r>
          </w:p>
        </w:tc>
        <w:tc>
          <w:tcPr>
            <w:tcW w:w="1736" w:type="pct"/>
          </w:tcPr>
          <w:p w14:paraId="4EFE09D4" w14:textId="02FC0240" w:rsidR="00A101A4" w:rsidRPr="00BD1319" w:rsidRDefault="00A92356">
            <w:pPr>
              <w:numPr>
                <w:ilvl w:val="12"/>
                <w:numId w:val="0"/>
              </w:numPr>
              <w:tabs>
                <w:tab w:val="left" w:pos="-2268"/>
              </w:tabs>
              <w:suppressAutoHyphens/>
              <w:rPr>
                <w:spacing w:val="-3"/>
                <w:sz w:val="20"/>
                <w:szCs w:val="22"/>
              </w:rPr>
            </w:pPr>
            <w:proofErr w:type="spellStart"/>
            <w:r w:rsidRPr="00BD1319">
              <w:rPr>
                <w:spacing w:val="-3"/>
                <w:sz w:val="20"/>
                <w:szCs w:val="22"/>
              </w:rPr>
              <w:t>Ideam</w:t>
            </w:r>
            <w:proofErr w:type="spellEnd"/>
            <w:r w:rsidR="00A101A4" w:rsidRPr="00BD1319">
              <w:rPr>
                <w:spacing w:val="-3"/>
                <w:sz w:val="20"/>
                <w:szCs w:val="22"/>
              </w:rPr>
              <w:t>, autoridades ambientales</w:t>
            </w:r>
            <w:r w:rsidR="00A944EF" w:rsidRPr="00BD1319">
              <w:rPr>
                <w:spacing w:val="-3"/>
                <w:sz w:val="20"/>
                <w:szCs w:val="22"/>
              </w:rPr>
              <w:t>, entidades territoriales</w:t>
            </w:r>
            <w:r w:rsidR="00A101A4" w:rsidRPr="00BD1319">
              <w:rPr>
                <w:spacing w:val="-3"/>
                <w:sz w:val="20"/>
                <w:szCs w:val="22"/>
              </w:rPr>
              <w:t>, ADR, ANT</w:t>
            </w:r>
            <w:r w:rsidR="00A944EF" w:rsidRPr="00BD1319">
              <w:rPr>
                <w:spacing w:val="-3"/>
                <w:sz w:val="20"/>
                <w:szCs w:val="22"/>
              </w:rPr>
              <w:t xml:space="preserve"> y</w:t>
            </w:r>
            <w:r w:rsidR="00A101A4" w:rsidRPr="00BD1319">
              <w:rPr>
                <w:spacing w:val="-3"/>
                <w:sz w:val="20"/>
                <w:szCs w:val="22"/>
              </w:rPr>
              <w:t xml:space="preserve"> SIRH.</w:t>
            </w:r>
          </w:p>
        </w:tc>
        <w:tc>
          <w:tcPr>
            <w:tcW w:w="2002" w:type="pct"/>
          </w:tcPr>
          <w:p w14:paraId="02CBDF37" w14:textId="68ED2D3D" w:rsidR="00A101A4" w:rsidRPr="00BD1319" w:rsidRDefault="00A101A4" w:rsidP="001E4ED9">
            <w:pPr>
              <w:numPr>
                <w:ilvl w:val="12"/>
                <w:numId w:val="0"/>
              </w:numPr>
              <w:tabs>
                <w:tab w:val="left" w:pos="-2268"/>
              </w:tabs>
              <w:suppressAutoHyphens/>
              <w:rPr>
                <w:spacing w:val="-3"/>
                <w:sz w:val="20"/>
                <w:szCs w:val="22"/>
              </w:rPr>
            </w:pPr>
            <w:r w:rsidRPr="00BD1319">
              <w:rPr>
                <w:spacing w:val="-3"/>
                <w:sz w:val="20"/>
                <w:szCs w:val="22"/>
              </w:rPr>
              <w:t>Aut</w:t>
            </w:r>
            <w:r w:rsidR="00A944EF" w:rsidRPr="00BD1319">
              <w:rPr>
                <w:spacing w:val="-3"/>
                <w:sz w:val="20"/>
                <w:szCs w:val="22"/>
              </w:rPr>
              <w:t>oridades ambientales</w:t>
            </w:r>
            <w:r w:rsidR="00B14207" w:rsidRPr="00BD1319">
              <w:rPr>
                <w:spacing w:val="-3"/>
                <w:sz w:val="20"/>
                <w:szCs w:val="22"/>
              </w:rPr>
              <w:t>,</w:t>
            </w:r>
            <w:r w:rsidRPr="00BD1319">
              <w:rPr>
                <w:spacing w:val="-3"/>
                <w:sz w:val="20"/>
                <w:szCs w:val="22"/>
              </w:rPr>
              <w:t xml:space="preserve"> </w:t>
            </w:r>
            <w:r w:rsidR="00A944EF" w:rsidRPr="00BD1319">
              <w:rPr>
                <w:spacing w:val="-3"/>
                <w:sz w:val="20"/>
                <w:szCs w:val="22"/>
              </w:rPr>
              <w:t>institutos</w:t>
            </w:r>
            <w:r w:rsidRPr="00BD1319">
              <w:rPr>
                <w:spacing w:val="-3"/>
                <w:sz w:val="20"/>
                <w:szCs w:val="22"/>
              </w:rPr>
              <w:t xml:space="preserve"> de investigación (</w:t>
            </w:r>
            <w:r w:rsidR="00A944EF" w:rsidRPr="00BD1319">
              <w:rPr>
                <w:spacing w:val="-3"/>
                <w:sz w:val="20"/>
                <w:szCs w:val="22"/>
              </w:rPr>
              <w:t xml:space="preserve">de </w:t>
            </w:r>
            <w:r w:rsidRPr="00BD1319">
              <w:rPr>
                <w:spacing w:val="-3"/>
                <w:sz w:val="20"/>
                <w:szCs w:val="22"/>
              </w:rPr>
              <w:t>universidades</w:t>
            </w:r>
            <w:r w:rsidR="00A944EF" w:rsidRPr="00BD1319">
              <w:rPr>
                <w:spacing w:val="-3"/>
                <w:sz w:val="20"/>
                <w:szCs w:val="22"/>
              </w:rPr>
              <w:t xml:space="preserve"> u otras entidades</w:t>
            </w:r>
            <w:r w:rsidRPr="00BD1319">
              <w:rPr>
                <w:spacing w:val="-3"/>
                <w:sz w:val="20"/>
                <w:szCs w:val="22"/>
              </w:rPr>
              <w:t>)</w:t>
            </w:r>
            <w:r w:rsidR="00AB4955" w:rsidRPr="00BD1319">
              <w:rPr>
                <w:spacing w:val="-3"/>
                <w:sz w:val="20"/>
                <w:szCs w:val="22"/>
              </w:rPr>
              <w:t>,</w:t>
            </w:r>
            <w:r w:rsidR="00B14207" w:rsidRPr="00BD1319">
              <w:rPr>
                <w:spacing w:val="-3"/>
                <w:sz w:val="20"/>
                <w:szCs w:val="22"/>
              </w:rPr>
              <w:t xml:space="preserve"> </w:t>
            </w:r>
            <w:r w:rsidR="005E3B6D" w:rsidRPr="00BD1319">
              <w:rPr>
                <w:spacing w:val="-3"/>
                <w:sz w:val="20"/>
                <w:szCs w:val="22"/>
              </w:rPr>
              <w:t xml:space="preserve">UNGRD, </w:t>
            </w:r>
            <w:r w:rsidR="00B14207" w:rsidRPr="00BD1319">
              <w:rPr>
                <w:rFonts w:cs="Arial"/>
                <w:spacing w:val="-3"/>
                <w:sz w:val="20"/>
                <w:szCs w:val="22"/>
              </w:rPr>
              <w:t>estudios ambientales</w:t>
            </w:r>
            <w:r w:rsidR="00AB4955" w:rsidRPr="00BD1319">
              <w:rPr>
                <w:rFonts w:cs="Arial"/>
                <w:spacing w:val="-3"/>
                <w:sz w:val="20"/>
                <w:szCs w:val="22"/>
              </w:rPr>
              <w:t xml:space="preserve"> y PORH</w:t>
            </w:r>
            <w:r w:rsidRPr="00BD1319">
              <w:rPr>
                <w:spacing w:val="-3"/>
                <w:sz w:val="20"/>
                <w:szCs w:val="22"/>
              </w:rPr>
              <w:t xml:space="preserve">. </w:t>
            </w:r>
          </w:p>
        </w:tc>
      </w:tr>
      <w:tr w:rsidR="00A101A4" w:rsidRPr="00BD1319" w14:paraId="5EF982FC" w14:textId="77777777" w:rsidTr="009420F5">
        <w:trPr>
          <w:jc w:val="center"/>
        </w:trPr>
        <w:tc>
          <w:tcPr>
            <w:tcW w:w="1262" w:type="pct"/>
            <w:vAlign w:val="center"/>
          </w:tcPr>
          <w:p w14:paraId="217A7D9B" w14:textId="77777777" w:rsidR="00A101A4" w:rsidRPr="00BD1319" w:rsidRDefault="00A101A4" w:rsidP="00C86DA5">
            <w:pPr>
              <w:numPr>
                <w:ilvl w:val="12"/>
                <w:numId w:val="0"/>
              </w:numPr>
              <w:tabs>
                <w:tab w:val="left" w:pos="-2268"/>
              </w:tabs>
              <w:suppressAutoHyphens/>
              <w:ind w:left="248"/>
              <w:rPr>
                <w:bCs/>
                <w:spacing w:val="-3"/>
                <w:sz w:val="20"/>
                <w:szCs w:val="22"/>
              </w:rPr>
            </w:pPr>
            <w:r w:rsidRPr="00BD1319">
              <w:rPr>
                <w:bCs/>
                <w:spacing w:val="-3"/>
                <w:sz w:val="20"/>
                <w:szCs w:val="22"/>
              </w:rPr>
              <w:t>Calidad del agua</w:t>
            </w:r>
          </w:p>
        </w:tc>
        <w:tc>
          <w:tcPr>
            <w:tcW w:w="1736" w:type="pct"/>
          </w:tcPr>
          <w:p w14:paraId="7331714E" w14:textId="26AEAD10" w:rsidR="00A101A4" w:rsidRPr="00BD1319" w:rsidRDefault="00A92356">
            <w:pPr>
              <w:numPr>
                <w:ilvl w:val="12"/>
                <w:numId w:val="0"/>
              </w:numPr>
              <w:tabs>
                <w:tab w:val="left" w:pos="-2268"/>
              </w:tabs>
              <w:suppressAutoHyphens/>
              <w:rPr>
                <w:spacing w:val="-3"/>
                <w:sz w:val="20"/>
                <w:szCs w:val="22"/>
              </w:rPr>
            </w:pPr>
            <w:proofErr w:type="spellStart"/>
            <w:r w:rsidRPr="00BD1319">
              <w:rPr>
                <w:spacing w:val="-3"/>
                <w:sz w:val="20"/>
                <w:szCs w:val="22"/>
              </w:rPr>
              <w:t>Ideam</w:t>
            </w:r>
            <w:proofErr w:type="spellEnd"/>
            <w:r w:rsidR="00A101A4" w:rsidRPr="00BD1319">
              <w:rPr>
                <w:spacing w:val="-3"/>
                <w:sz w:val="20"/>
                <w:szCs w:val="22"/>
              </w:rPr>
              <w:t xml:space="preserve">, </w:t>
            </w:r>
            <w:proofErr w:type="spellStart"/>
            <w:r w:rsidRPr="00BD1319">
              <w:rPr>
                <w:spacing w:val="-3"/>
                <w:sz w:val="20"/>
                <w:szCs w:val="22"/>
              </w:rPr>
              <w:t>Invemar</w:t>
            </w:r>
            <w:proofErr w:type="spellEnd"/>
            <w:r w:rsidR="00A101A4" w:rsidRPr="00BD1319">
              <w:rPr>
                <w:spacing w:val="-3"/>
                <w:sz w:val="20"/>
                <w:szCs w:val="22"/>
              </w:rPr>
              <w:t xml:space="preserve">, SIRH, autoridades ambientales </w:t>
            </w:r>
            <w:r w:rsidR="0066689A" w:rsidRPr="00BD1319">
              <w:rPr>
                <w:spacing w:val="-3"/>
                <w:sz w:val="20"/>
                <w:szCs w:val="22"/>
              </w:rPr>
              <w:t xml:space="preserve">(en especial </w:t>
            </w:r>
            <w:r w:rsidR="0066689A" w:rsidRPr="00BD1319">
              <w:rPr>
                <w:rFonts w:cs="Arial"/>
                <w:spacing w:val="-3"/>
                <w:sz w:val="20"/>
                <w:szCs w:val="22"/>
              </w:rPr>
              <w:t xml:space="preserve">Cormagdalena) </w:t>
            </w:r>
            <w:r w:rsidR="00A944EF" w:rsidRPr="00BD1319">
              <w:rPr>
                <w:spacing w:val="-3"/>
                <w:sz w:val="20"/>
                <w:szCs w:val="22"/>
              </w:rPr>
              <w:t>y entidades territoriales</w:t>
            </w:r>
            <w:r w:rsidR="00A101A4" w:rsidRPr="00BD1319">
              <w:rPr>
                <w:spacing w:val="-3"/>
                <w:sz w:val="20"/>
                <w:szCs w:val="22"/>
              </w:rPr>
              <w:t>.</w:t>
            </w:r>
          </w:p>
        </w:tc>
        <w:tc>
          <w:tcPr>
            <w:tcW w:w="2002" w:type="pct"/>
          </w:tcPr>
          <w:p w14:paraId="4AD4C0E9" w14:textId="717C5CA9" w:rsidR="00A101A4" w:rsidRPr="00BD1319" w:rsidRDefault="0066689A">
            <w:pPr>
              <w:numPr>
                <w:ilvl w:val="12"/>
                <w:numId w:val="0"/>
              </w:numPr>
              <w:tabs>
                <w:tab w:val="left" w:pos="-2268"/>
              </w:tabs>
              <w:suppressAutoHyphens/>
              <w:rPr>
                <w:spacing w:val="-3"/>
                <w:sz w:val="20"/>
                <w:szCs w:val="22"/>
              </w:rPr>
            </w:pPr>
            <w:r w:rsidRPr="00BD1319">
              <w:rPr>
                <w:spacing w:val="-3"/>
                <w:sz w:val="20"/>
                <w:szCs w:val="22"/>
              </w:rPr>
              <w:t>I</w:t>
            </w:r>
            <w:r w:rsidR="00A944EF" w:rsidRPr="00BD1319">
              <w:rPr>
                <w:spacing w:val="-3"/>
                <w:sz w:val="20"/>
                <w:szCs w:val="22"/>
              </w:rPr>
              <w:t xml:space="preserve">nstitutos </w:t>
            </w:r>
            <w:r w:rsidR="00A101A4" w:rsidRPr="00BD1319">
              <w:rPr>
                <w:spacing w:val="-3"/>
                <w:sz w:val="20"/>
                <w:szCs w:val="22"/>
              </w:rPr>
              <w:t>de investigación</w:t>
            </w:r>
            <w:r w:rsidR="00B14207" w:rsidRPr="00BD1319">
              <w:rPr>
                <w:spacing w:val="-3"/>
                <w:sz w:val="20"/>
                <w:szCs w:val="22"/>
              </w:rPr>
              <w:t>,</w:t>
            </w:r>
            <w:r w:rsidR="00A101A4" w:rsidRPr="00BD1319">
              <w:rPr>
                <w:spacing w:val="-3"/>
                <w:sz w:val="20"/>
                <w:szCs w:val="22"/>
              </w:rPr>
              <w:t xml:space="preserve"> fuentes de Internet documentadas</w:t>
            </w:r>
            <w:r w:rsidR="00AB4955" w:rsidRPr="00BD1319">
              <w:rPr>
                <w:spacing w:val="-3"/>
                <w:sz w:val="20"/>
                <w:szCs w:val="22"/>
              </w:rPr>
              <w:t>,</w:t>
            </w:r>
            <w:r w:rsidR="00B14207" w:rsidRPr="00BD1319">
              <w:rPr>
                <w:spacing w:val="-3"/>
                <w:sz w:val="20"/>
                <w:szCs w:val="22"/>
              </w:rPr>
              <w:t xml:space="preserve"> </w:t>
            </w:r>
            <w:r w:rsidR="00B14207" w:rsidRPr="00BD1319">
              <w:rPr>
                <w:rFonts w:cs="Arial"/>
                <w:spacing w:val="-3"/>
                <w:sz w:val="20"/>
                <w:szCs w:val="22"/>
              </w:rPr>
              <w:t>estudios ambientales</w:t>
            </w:r>
            <w:r w:rsidR="00AB4955" w:rsidRPr="00BD1319">
              <w:rPr>
                <w:rFonts w:cs="Arial"/>
                <w:spacing w:val="-3"/>
                <w:sz w:val="20"/>
                <w:szCs w:val="22"/>
              </w:rPr>
              <w:t xml:space="preserve"> y PORH</w:t>
            </w:r>
            <w:r w:rsidR="00A101A4" w:rsidRPr="00BD1319">
              <w:rPr>
                <w:spacing w:val="-3"/>
                <w:sz w:val="20"/>
                <w:szCs w:val="22"/>
              </w:rPr>
              <w:t>.</w:t>
            </w:r>
          </w:p>
        </w:tc>
      </w:tr>
      <w:tr w:rsidR="00A101A4" w:rsidRPr="00BD1319" w14:paraId="7746888D" w14:textId="77777777" w:rsidTr="009420F5">
        <w:trPr>
          <w:jc w:val="center"/>
        </w:trPr>
        <w:tc>
          <w:tcPr>
            <w:tcW w:w="1262" w:type="pct"/>
            <w:vAlign w:val="center"/>
          </w:tcPr>
          <w:p w14:paraId="2522DD4F" w14:textId="77777777" w:rsidR="00A101A4" w:rsidRPr="00BD1319" w:rsidRDefault="00A101A4" w:rsidP="00C86DA5">
            <w:pPr>
              <w:numPr>
                <w:ilvl w:val="12"/>
                <w:numId w:val="0"/>
              </w:numPr>
              <w:tabs>
                <w:tab w:val="left" w:pos="-2268"/>
              </w:tabs>
              <w:suppressAutoHyphens/>
              <w:ind w:left="248"/>
              <w:rPr>
                <w:bCs/>
                <w:spacing w:val="-3"/>
                <w:sz w:val="20"/>
                <w:szCs w:val="22"/>
              </w:rPr>
            </w:pPr>
            <w:r w:rsidRPr="00BD1319">
              <w:rPr>
                <w:bCs/>
                <w:spacing w:val="-3"/>
                <w:sz w:val="20"/>
                <w:szCs w:val="22"/>
              </w:rPr>
              <w:t>Uso del agua</w:t>
            </w:r>
          </w:p>
        </w:tc>
        <w:tc>
          <w:tcPr>
            <w:tcW w:w="1736" w:type="pct"/>
          </w:tcPr>
          <w:p w14:paraId="4590D86C" w14:textId="2C3C9224" w:rsidR="00A101A4" w:rsidRPr="00BD1319" w:rsidRDefault="0066689A">
            <w:pPr>
              <w:numPr>
                <w:ilvl w:val="12"/>
                <w:numId w:val="0"/>
              </w:numPr>
              <w:tabs>
                <w:tab w:val="left" w:pos="-2268"/>
              </w:tabs>
              <w:suppressAutoHyphens/>
              <w:rPr>
                <w:spacing w:val="-3"/>
                <w:sz w:val="20"/>
                <w:szCs w:val="22"/>
              </w:rPr>
            </w:pPr>
            <w:r w:rsidRPr="00BD1319">
              <w:rPr>
                <w:spacing w:val="-3"/>
                <w:sz w:val="20"/>
                <w:szCs w:val="22"/>
              </w:rPr>
              <w:t>A</w:t>
            </w:r>
            <w:r w:rsidR="00A101A4" w:rsidRPr="00BD1319">
              <w:rPr>
                <w:spacing w:val="-3"/>
                <w:sz w:val="20"/>
                <w:szCs w:val="22"/>
              </w:rPr>
              <w:t>utoridades ambientales</w:t>
            </w:r>
            <w:r w:rsidRPr="00BD1319">
              <w:rPr>
                <w:spacing w:val="-3"/>
                <w:sz w:val="20"/>
                <w:szCs w:val="22"/>
              </w:rPr>
              <w:t xml:space="preserve"> y entidades territoriales</w:t>
            </w:r>
            <w:r w:rsidR="00A101A4" w:rsidRPr="00BD1319">
              <w:rPr>
                <w:spacing w:val="-3"/>
                <w:sz w:val="20"/>
                <w:szCs w:val="22"/>
              </w:rPr>
              <w:t>.</w:t>
            </w:r>
          </w:p>
        </w:tc>
        <w:tc>
          <w:tcPr>
            <w:tcW w:w="2002" w:type="pct"/>
          </w:tcPr>
          <w:p w14:paraId="60CB6DF7" w14:textId="1808B173" w:rsidR="00A101A4" w:rsidRPr="00BD1319" w:rsidRDefault="00A92356">
            <w:pPr>
              <w:numPr>
                <w:ilvl w:val="12"/>
                <w:numId w:val="0"/>
              </w:numPr>
              <w:tabs>
                <w:tab w:val="left" w:pos="-2268"/>
              </w:tabs>
              <w:suppressAutoHyphens/>
              <w:rPr>
                <w:spacing w:val="-3"/>
                <w:sz w:val="20"/>
                <w:szCs w:val="22"/>
              </w:rPr>
            </w:pPr>
            <w:proofErr w:type="spellStart"/>
            <w:r w:rsidRPr="00BD1319">
              <w:rPr>
                <w:spacing w:val="-3"/>
                <w:sz w:val="20"/>
                <w:szCs w:val="22"/>
              </w:rPr>
              <w:t>Ideam</w:t>
            </w:r>
            <w:proofErr w:type="spellEnd"/>
            <w:r w:rsidR="00A101A4" w:rsidRPr="00BD1319">
              <w:rPr>
                <w:spacing w:val="-3"/>
                <w:sz w:val="20"/>
                <w:szCs w:val="22"/>
              </w:rPr>
              <w:t xml:space="preserve">, </w:t>
            </w:r>
            <w:proofErr w:type="spellStart"/>
            <w:r w:rsidRPr="00BD1319">
              <w:rPr>
                <w:spacing w:val="-3"/>
                <w:sz w:val="20"/>
                <w:szCs w:val="22"/>
              </w:rPr>
              <w:t>Invemar</w:t>
            </w:r>
            <w:proofErr w:type="spellEnd"/>
            <w:r w:rsidR="00A101A4" w:rsidRPr="00BD1319">
              <w:rPr>
                <w:spacing w:val="-3"/>
                <w:sz w:val="20"/>
                <w:szCs w:val="22"/>
              </w:rPr>
              <w:t>, SIAC</w:t>
            </w:r>
            <w:r w:rsidR="00AB4955" w:rsidRPr="00BD1319">
              <w:rPr>
                <w:spacing w:val="-3"/>
                <w:sz w:val="20"/>
                <w:szCs w:val="22"/>
              </w:rPr>
              <w:t>,</w:t>
            </w:r>
            <w:r w:rsidR="00B14207" w:rsidRPr="00BD1319">
              <w:rPr>
                <w:spacing w:val="-3"/>
                <w:sz w:val="20"/>
                <w:szCs w:val="22"/>
              </w:rPr>
              <w:t xml:space="preserve"> </w:t>
            </w:r>
            <w:r w:rsidR="00B14207" w:rsidRPr="00BD1319">
              <w:rPr>
                <w:rFonts w:cs="Arial"/>
                <w:spacing w:val="-3"/>
                <w:sz w:val="20"/>
                <w:szCs w:val="22"/>
              </w:rPr>
              <w:t>estudios ambientales</w:t>
            </w:r>
            <w:r w:rsidR="00AB4955" w:rsidRPr="00BD1319">
              <w:rPr>
                <w:rFonts w:cs="Arial"/>
                <w:spacing w:val="-3"/>
                <w:sz w:val="20"/>
                <w:szCs w:val="22"/>
              </w:rPr>
              <w:t xml:space="preserve"> y PORH</w:t>
            </w:r>
            <w:r w:rsidR="00A101A4" w:rsidRPr="00BD1319">
              <w:rPr>
                <w:spacing w:val="-3"/>
                <w:sz w:val="20"/>
                <w:szCs w:val="22"/>
              </w:rPr>
              <w:t>.</w:t>
            </w:r>
          </w:p>
        </w:tc>
      </w:tr>
      <w:tr w:rsidR="00A101A4" w:rsidRPr="00BD1319" w14:paraId="3926963C" w14:textId="77777777" w:rsidTr="00C86DA5">
        <w:trPr>
          <w:jc w:val="center"/>
        </w:trPr>
        <w:tc>
          <w:tcPr>
            <w:tcW w:w="1262" w:type="pct"/>
            <w:vAlign w:val="center"/>
          </w:tcPr>
          <w:p w14:paraId="67F171AC" w14:textId="77777777" w:rsidR="00A101A4" w:rsidRPr="00BD1319" w:rsidRDefault="00A101A4">
            <w:pPr>
              <w:numPr>
                <w:ilvl w:val="12"/>
                <w:numId w:val="0"/>
              </w:numPr>
              <w:tabs>
                <w:tab w:val="left" w:pos="-2268"/>
              </w:tabs>
              <w:suppressAutoHyphens/>
              <w:rPr>
                <w:b/>
                <w:spacing w:val="-3"/>
                <w:sz w:val="20"/>
                <w:szCs w:val="22"/>
              </w:rPr>
            </w:pPr>
            <w:r w:rsidRPr="00BD1319">
              <w:rPr>
                <w:b/>
                <w:spacing w:val="-3"/>
                <w:sz w:val="20"/>
                <w:szCs w:val="22"/>
              </w:rPr>
              <w:t>Hidrogeológico</w:t>
            </w:r>
          </w:p>
        </w:tc>
        <w:tc>
          <w:tcPr>
            <w:tcW w:w="1736" w:type="pct"/>
          </w:tcPr>
          <w:p w14:paraId="34A2B56B" w14:textId="2D5F55C1" w:rsidR="00A101A4" w:rsidRPr="00BD1319" w:rsidRDefault="00A101A4">
            <w:pPr>
              <w:numPr>
                <w:ilvl w:val="12"/>
                <w:numId w:val="0"/>
              </w:numPr>
              <w:tabs>
                <w:tab w:val="left" w:pos="-2268"/>
              </w:tabs>
              <w:suppressAutoHyphens/>
              <w:rPr>
                <w:spacing w:val="-3"/>
                <w:sz w:val="20"/>
                <w:szCs w:val="22"/>
              </w:rPr>
            </w:pPr>
            <w:r w:rsidRPr="00BD1319">
              <w:rPr>
                <w:spacing w:val="-3"/>
                <w:sz w:val="20"/>
                <w:szCs w:val="22"/>
              </w:rPr>
              <w:t>Minambiente, SGC, SIRH, autoridades ambientales</w:t>
            </w:r>
            <w:r w:rsidR="0066689A" w:rsidRPr="00BD1319">
              <w:rPr>
                <w:spacing w:val="-3"/>
                <w:sz w:val="20"/>
                <w:szCs w:val="22"/>
              </w:rPr>
              <w:t xml:space="preserve"> y entidades territoriales</w:t>
            </w:r>
            <w:r w:rsidRPr="00BD1319">
              <w:rPr>
                <w:spacing w:val="-3"/>
                <w:sz w:val="20"/>
                <w:szCs w:val="22"/>
              </w:rPr>
              <w:t>.</w:t>
            </w:r>
          </w:p>
        </w:tc>
        <w:tc>
          <w:tcPr>
            <w:tcW w:w="2002" w:type="pct"/>
          </w:tcPr>
          <w:p w14:paraId="61168CDB" w14:textId="756CF785" w:rsidR="00A101A4" w:rsidRPr="00BD1319" w:rsidRDefault="0066689A">
            <w:pPr>
              <w:numPr>
                <w:ilvl w:val="12"/>
                <w:numId w:val="0"/>
              </w:numPr>
              <w:tabs>
                <w:tab w:val="left" w:pos="-2268"/>
              </w:tabs>
              <w:suppressAutoHyphens/>
              <w:rPr>
                <w:spacing w:val="-3"/>
                <w:sz w:val="20"/>
                <w:szCs w:val="22"/>
              </w:rPr>
            </w:pPr>
            <w:r w:rsidRPr="00BD1319">
              <w:rPr>
                <w:rFonts w:cs="Arial"/>
                <w:spacing w:val="-3"/>
                <w:sz w:val="20"/>
                <w:szCs w:val="22"/>
              </w:rPr>
              <w:t>E</w:t>
            </w:r>
            <w:r w:rsidR="00B14207" w:rsidRPr="00BD1319">
              <w:rPr>
                <w:rFonts w:cs="Arial"/>
                <w:spacing w:val="-3"/>
                <w:sz w:val="20"/>
                <w:szCs w:val="22"/>
              </w:rPr>
              <w:t>studios ambientales</w:t>
            </w:r>
            <w:r w:rsidR="00B14207" w:rsidRPr="00BD1319">
              <w:rPr>
                <w:spacing w:val="-3"/>
                <w:sz w:val="20"/>
                <w:szCs w:val="22"/>
              </w:rPr>
              <w:t xml:space="preserve"> e investigaciones y e</w:t>
            </w:r>
            <w:r w:rsidR="00A101A4" w:rsidRPr="00BD1319">
              <w:rPr>
                <w:spacing w:val="-3"/>
                <w:sz w:val="20"/>
                <w:szCs w:val="22"/>
              </w:rPr>
              <w:t>studios</w:t>
            </w:r>
            <w:r w:rsidR="00A944EF" w:rsidRPr="00BD1319">
              <w:rPr>
                <w:spacing w:val="-3"/>
                <w:sz w:val="20"/>
                <w:szCs w:val="22"/>
              </w:rPr>
              <w:t xml:space="preserve"> hidrogeológicos</w:t>
            </w:r>
            <w:r w:rsidR="00A101A4" w:rsidRPr="00BD1319">
              <w:rPr>
                <w:spacing w:val="-3"/>
                <w:sz w:val="20"/>
                <w:szCs w:val="22"/>
              </w:rPr>
              <w:t>.</w:t>
            </w:r>
          </w:p>
        </w:tc>
      </w:tr>
      <w:tr w:rsidR="00A101A4" w:rsidRPr="00BD1319" w14:paraId="1969762F" w14:textId="77777777" w:rsidTr="00C86DA5">
        <w:trPr>
          <w:jc w:val="center"/>
        </w:trPr>
        <w:tc>
          <w:tcPr>
            <w:tcW w:w="1262" w:type="pct"/>
            <w:vAlign w:val="center"/>
          </w:tcPr>
          <w:p w14:paraId="185E4C1F" w14:textId="77777777" w:rsidR="00A101A4" w:rsidRPr="00BD1319" w:rsidRDefault="00A101A4">
            <w:pPr>
              <w:numPr>
                <w:ilvl w:val="12"/>
                <w:numId w:val="0"/>
              </w:numPr>
              <w:tabs>
                <w:tab w:val="left" w:pos="-2268"/>
              </w:tabs>
              <w:suppressAutoHyphens/>
              <w:rPr>
                <w:b/>
                <w:spacing w:val="-3"/>
                <w:sz w:val="20"/>
                <w:szCs w:val="22"/>
              </w:rPr>
            </w:pPr>
            <w:r w:rsidRPr="00BD1319">
              <w:rPr>
                <w:b/>
                <w:spacing w:val="-3"/>
                <w:sz w:val="20"/>
                <w:szCs w:val="22"/>
              </w:rPr>
              <w:t>Atmosférico</w:t>
            </w:r>
          </w:p>
        </w:tc>
        <w:tc>
          <w:tcPr>
            <w:tcW w:w="1736" w:type="pct"/>
          </w:tcPr>
          <w:p w14:paraId="749B104F" w14:textId="41BEFAF4" w:rsidR="00323321" w:rsidRPr="00BD1319" w:rsidRDefault="00A92356" w:rsidP="001E4ED9">
            <w:pPr>
              <w:numPr>
                <w:ilvl w:val="12"/>
                <w:numId w:val="0"/>
              </w:numPr>
              <w:tabs>
                <w:tab w:val="left" w:pos="-2268"/>
              </w:tabs>
              <w:suppressAutoHyphens/>
              <w:rPr>
                <w:spacing w:val="-3"/>
                <w:sz w:val="20"/>
                <w:szCs w:val="22"/>
              </w:rPr>
            </w:pPr>
            <w:proofErr w:type="spellStart"/>
            <w:r w:rsidRPr="00BD1319">
              <w:rPr>
                <w:spacing w:val="-3"/>
                <w:sz w:val="20"/>
                <w:szCs w:val="22"/>
              </w:rPr>
              <w:t>Ideam</w:t>
            </w:r>
            <w:proofErr w:type="spellEnd"/>
            <w:r w:rsidR="00A101A4" w:rsidRPr="00BD1319">
              <w:rPr>
                <w:spacing w:val="-3"/>
                <w:sz w:val="20"/>
                <w:szCs w:val="22"/>
              </w:rPr>
              <w:t xml:space="preserve">, </w:t>
            </w:r>
            <w:proofErr w:type="spellStart"/>
            <w:r w:rsidR="00A101A4" w:rsidRPr="00BD1319">
              <w:rPr>
                <w:spacing w:val="-3"/>
                <w:sz w:val="20"/>
                <w:szCs w:val="22"/>
              </w:rPr>
              <w:t>Sisaire</w:t>
            </w:r>
            <w:proofErr w:type="spellEnd"/>
            <w:r w:rsidR="00A101A4" w:rsidRPr="00BD1319">
              <w:rPr>
                <w:spacing w:val="-3"/>
                <w:sz w:val="20"/>
                <w:szCs w:val="22"/>
              </w:rPr>
              <w:t>, autoridades ambientales</w:t>
            </w:r>
            <w:r w:rsidR="00323321" w:rsidRPr="00BD1319">
              <w:rPr>
                <w:spacing w:val="-3"/>
                <w:sz w:val="20"/>
                <w:szCs w:val="22"/>
              </w:rPr>
              <w:t>,</w:t>
            </w:r>
            <w:r w:rsidR="00A101A4" w:rsidRPr="00BD1319">
              <w:rPr>
                <w:spacing w:val="-3"/>
                <w:sz w:val="20"/>
                <w:szCs w:val="22"/>
              </w:rPr>
              <w:t xml:space="preserve"> </w:t>
            </w:r>
            <w:r w:rsidR="000F6349" w:rsidRPr="00BD1319">
              <w:rPr>
                <w:spacing w:val="-3"/>
                <w:sz w:val="20"/>
                <w:szCs w:val="22"/>
              </w:rPr>
              <w:t>Dimar</w:t>
            </w:r>
            <w:r w:rsidR="00323321" w:rsidRPr="00BD1319">
              <w:rPr>
                <w:spacing w:val="-3"/>
                <w:sz w:val="20"/>
                <w:szCs w:val="22"/>
              </w:rPr>
              <w:t xml:space="preserve"> y Aerocivil.</w:t>
            </w:r>
          </w:p>
        </w:tc>
        <w:tc>
          <w:tcPr>
            <w:tcW w:w="2002" w:type="pct"/>
          </w:tcPr>
          <w:p w14:paraId="7BCD98BD" w14:textId="573385D6" w:rsidR="00A101A4" w:rsidRPr="00BD1319" w:rsidRDefault="00A101A4">
            <w:pPr>
              <w:numPr>
                <w:ilvl w:val="12"/>
                <w:numId w:val="0"/>
              </w:numPr>
              <w:tabs>
                <w:tab w:val="left" w:pos="-2268"/>
              </w:tabs>
              <w:suppressAutoHyphens/>
              <w:rPr>
                <w:spacing w:val="-3"/>
                <w:sz w:val="20"/>
                <w:szCs w:val="22"/>
              </w:rPr>
            </w:pPr>
            <w:r w:rsidRPr="00BD1319">
              <w:rPr>
                <w:spacing w:val="-3"/>
                <w:sz w:val="20"/>
                <w:szCs w:val="22"/>
              </w:rPr>
              <w:t>Universidades</w:t>
            </w:r>
            <w:r w:rsidR="00B14207" w:rsidRPr="00BD1319">
              <w:rPr>
                <w:spacing w:val="-3"/>
                <w:sz w:val="20"/>
                <w:szCs w:val="22"/>
              </w:rPr>
              <w:t>,</w:t>
            </w:r>
            <w:r w:rsidRPr="00BD1319">
              <w:rPr>
                <w:spacing w:val="-3"/>
                <w:sz w:val="20"/>
                <w:szCs w:val="22"/>
              </w:rPr>
              <w:t xml:space="preserve"> </w:t>
            </w:r>
            <w:r w:rsidR="00B14207" w:rsidRPr="00BD1319">
              <w:rPr>
                <w:rFonts w:cs="Arial"/>
                <w:spacing w:val="-3"/>
                <w:sz w:val="20"/>
                <w:szCs w:val="22"/>
              </w:rPr>
              <w:t>estudios ambientales</w:t>
            </w:r>
            <w:r w:rsidRPr="00BD1319">
              <w:rPr>
                <w:spacing w:val="-3"/>
                <w:sz w:val="20"/>
                <w:szCs w:val="22"/>
              </w:rPr>
              <w:t>, estaciones climáticas privadas y entidades territoriales.</w:t>
            </w:r>
          </w:p>
        </w:tc>
      </w:tr>
      <w:tr w:rsidR="00A101A4" w:rsidRPr="00BD1319" w14:paraId="3667763A" w14:textId="77777777" w:rsidTr="00C86DA5">
        <w:trPr>
          <w:jc w:val="center"/>
        </w:trPr>
        <w:tc>
          <w:tcPr>
            <w:tcW w:w="1262" w:type="pct"/>
            <w:vAlign w:val="center"/>
          </w:tcPr>
          <w:p w14:paraId="7DE7B5B9" w14:textId="77777777" w:rsidR="00A101A4" w:rsidRPr="00BD1319" w:rsidRDefault="00A101A4">
            <w:pPr>
              <w:numPr>
                <w:ilvl w:val="12"/>
                <w:numId w:val="0"/>
              </w:numPr>
              <w:tabs>
                <w:tab w:val="left" w:pos="-2268"/>
              </w:tabs>
              <w:suppressAutoHyphens/>
              <w:rPr>
                <w:b/>
                <w:spacing w:val="-3"/>
                <w:sz w:val="20"/>
                <w:szCs w:val="22"/>
              </w:rPr>
            </w:pPr>
            <w:r w:rsidRPr="00BD1319">
              <w:rPr>
                <w:b/>
                <w:spacing w:val="-3"/>
                <w:sz w:val="20"/>
                <w:szCs w:val="22"/>
              </w:rPr>
              <w:t>Paisaje</w:t>
            </w:r>
          </w:p>
        </w:tc>
        <w:tc>
          <w:tcPr>
            <w:tcW w:w="1736" w:type="pct"/>
          </w:tcPr>
          <w:p w14:paraId="3D337371" w14:textId="44F7A377" w:rsidR="00A101A4" w:rsidRPr="00BD1319" w:rsidRDefault="00A101A4" w:rsidP="00EA024C">
            <w:pPr>
              <w:numPr>
                <w:ilvl w:val="12"/>
                <w:numId w:val="0"/>
              </w:numPr>
              <w:tabs>
                <w:tab w:val="left" w:pos="-2268"/>
              </w:tabs>
              <w:suppressAutoHyphens/>
              <w:rPr>
                <w:spacing w:val="-3"/>
                <w:sz w:val="20"/>
                <w:szCs w:val="22"/>
              </w:rPr>
            </w:pPr>
            <w:r w:rsidRPr="00BD1319">
              <w:rPr>
                <w:spacing w:val="-3"/>
                <w:sz w:val="20"/>
                <w:szCs w:val="22"/>
              </w:rPr>
              <w:t xml:space="preserve">IGAC, </w:t>
            </w:r>
            <w:r w:rsidR="00323321" w:rsidRPr="00BD1319">
              <w:rPr>
                <w:spacing w:val="-3"/>
                <w:sz w:val="20"/>
                <w:szCs w:val="22"/>
              </w:rPr>
              <w:t>Institutos de Investigación</w:t>
            </w:r>
            <w:r w:rsidRPr="00BD1319">
              <w:rPr>
                <w:spacing w:val="-3"/>
                <w:sz w:val="20"/>
                <w:szCs w:val="22"/>
              </w:rPr>
              <w:t>, ANH</w:t>
            </w:r>
            <w:r w:rsidR="0066689A" w:rsidRPr="00BD1319">
              <w:rPr>
                <w:spacing w:val="-3"/>
                <w:sz w:val="20"/>
                <w:szCs w:val="22"/>
              </w:rPr>
              <w:t>,</w:t>
            </w:r>
            <w:r w:rsidRPr="00BD1319">
              <w:rPr>
                <w:spacing w:val="-3"/>
                <w:sz w:val="20"/>
                <w:szCs w:val="22"/>
              </w:rPr>
              <w:t xml:space="preserve"> autoridades ambientales</w:t>
            </w:r>
            <w:r w:rsidR="0066689A" w:rsidRPr="00BD1319">
              <w:rPr>
                <w:spacing w:val="-3"/>
                <w:sz w:val="20"/>
                <w:szCs w:val="22"/>
              </w:rPr>
              <w:t xml:space="preserve"> y entidades territoriales</w:t>
            </w:r>
            <w:r w:rsidRPr="00BD1319">
              <w:rPr>
                <w:spacing w:val="-3"/>
                <w:sz w:val="20"/>
                <w:szCs w:val="22"/>
              </w:rPr>
              <w:t>.</w:t>
            </w:r>
          </w:p>
        </w:tc>
        <w:tc>
          <w:tcPr>
            <w:tcW w:w="2002" w:type="pct"/>
          </w:tcPr>
          <w:p w14:paraId="79E08BFE" w14:textId="75CD64FF" w:rsidR="00A101A4" w:rsidRPr="00BD1319" w:rsidRDefault="0066689A">
            <w:pPr>
              <w:numPr>
                <w:ilvl w:val="12"/>
                <w:numId w:val="0"/>
              </w:numPr>
              <w:tabs>
                <w:tab w:val="left" w:pos="-2268"/>
              </w:tabs>
              <w:suppressAutoHyphens/>
              <w:rPr>
                <w:spacing w:val="-3"/>
                <w:sz w:val="20"/>
                <w:szCs w:val="22"/>
              </w:rPr>
            </w:pPr>
            <w:r w:rsidRPr="00BD1319">
              <w:rPr>
                <w:spacing w:val="-3"/>
                <w:sz w:val="20"/>
                <w:szCs w:val="22"/>
              </w:rPr>
              <w:t>Institutos de investigación</w:t>
            </w:r>
            <w:r w:rsidR="00A101A4" w:rsidRPr="00BD1319">
              <w:rPr>
                <w:spacing w:val="-3"/>
                <w:sz w:val="20"/>
                <w:szCs w:val="22"/>
              </w:rPr>
              <w:t xml:space="preserve">, universidades y </w:t>
            </w:r>
            <w:r w:rsidR="00B14207" w:rsidRPr="00BD1319">
              <w:rPr>
                <w:rFonts w:cs="Arial"/>
                <w:spacing w:val="-3"/>
                <w:sz w:val="20"/>
                <w:szCs w:val="22"/>
              </w:rPr>
              <w:t>estudios ambientales</w:t>
            </w:r>
            <w:r w:rsidR="00A101A4" w:rsidRPr="00BD1319">
              <w:rPr>
                <w:spacing w:val="-3"/>
                <w:sz w:val="20"/>
                <w:szCs w:val="22"/>
              </w:rPr>
              <w:t>.</w:t>
            </w:r>
          </w:p>
        </w:tc>
      </w:tr>
    </w:tbl>
    <w:p w14:paraId="6CE8AA29" w14:textId="113DD4B6" w:rsidR="00A344EC" w:rsidRPr="00BD1319" w:rsidRDefault="00A344EC" w:rsidP="00F04B5F">
      <w:pPr>
        <w:numPr>
          <w:ilvl w:val="12"/>
          <w:numId w:val="0"/>
        </w:numPr>
        <w:tabs>
          <w:tab w:val="left" w:pos="-2268"/>
        </w:tabs>
        <w:suppressAutoHyphens/>
        <w:rPr>
          <w:rFonts w:cs="Arial"/>
          <w:spacing w:val="-3"/>
        </w:rPr>
      </w:pPr>
    </w:p>
    <w:p w14:paraId="359FBF2C" w14:textId="77777777" w:rsidR="00662B17" w:rsidRPr="00BD1319" w:rsidRDefault="00662B17" w:rsidP="00F04B5F">
      <w:pPr>
        <w:numPr>
          <w:ilvl w:val="12"/>
          <w:numId w:val="0"/>
        </w:numPr>
        <w:tabs>
          <w:tab w:val="left" w:pos="-2268"/>
        </w:tabs>
        <w:suppressAutoHyphens/>
        <w:rPr>
          <w:rFonts w:cs="Arial"/>
          <w:spacing w:val="-3"/>
        </w:rPr>
      </w:pPr>
    </w:p>
    <w:p w14:paraId="4CEF986E" w14:textId="3BA9EEE2" w:rsidR="00A101A4" w:rsidRPr="00BD1319" w:rsidRDefault="00A101A4" w:rsidP="00C86DA5">
      <w:pPr>
        <w:pStyle w:val="Descripcin"/>
        <w:jc w:val="center"/>
        <w:rPr>
          <w:b w:val="0"/>
        </w:rPr>
      </w:pPr>
      <w:r w:rsidRPr="00BD1319">
        <w:t xml:space="preserve">Tabla </w:t>
      </w:r>
      <w:fldSimple w:instr=" SEQ Tabla \* ARABIC ">
        <w:r w:rsidR="00296654" w:rsidRPr="00BD1319">
          <w:rPr>
            <w:noProof/>
          </w:rPr>
          <w:t>3</w:t>
        </w:r>
      </w:fldSimple>
      <w:r w:rsidRPr="00BD1319">
        <w:rPr>
          <w:b w:val="0"/>
        </w:rPr>
        <w:t>. Fuentes de información del medio biótico</w:t>
      </w:r>
    </w:p>
    <w:tbl>
      <w:tblPr>
        <w:tblW w:w="52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4"/>
        <w:gridCol w:w="1140"/>
        <w:gridCol w:w="4468"/>
        <w:gridCol w:w="2204"/>
      </w:tblGrid>
      <w:tr w:rsidR="0003027D" w:rsidRPr="00BD1319" w14:paraId="333C75A3" w14:textId="77777777" w:rsidTr="009420F5">
        <w:trPr>
          <w:trHeight w:val="371"/>
          <w:jc w:val="center"/>
        </w:trPr>
        <w:tc>
          <w:tcPr>
            <w:tcW w:w="1434" w:type="pct"/>
            <w:gridSpan w:val="2"/>
            <w:shd w:val="clear" w:color="auto" w:fill="auto"/>
            <w:tcMar>
              <w:left w:w="0" w:type="dxa"/>
              <w:right w:w="0" w:type="dxa"/>
            </w:tcMar>
            <w:vAlign w:val="center"/>
          </w:tcPr>
          <w:p w14:paraId="4E8901C6" w14:textId="3FBB801C" w:rsidR="0003027D" w:rsidRPr="00BD1319" w:rsidRDefault="0003027D" w:rsidP="009420F5">
            <w:pPr>
              <w:numPr>
                <w:ilvl w:val="12"/>
                <w:numId w:val="0"/>
              </w:numPr>
              <w:tabs>
                <w:tab w:val="left" w:pos="-2268"/>
              </w:tabs>
              <w:suppressAutoHyphens/>
              <w:ind w:left="-57" w:right="-57"/>
              <w:jc w:val="center"/>
              <w:rPr>
                <w:rFonts w:cs="Arial"/>
                <w:b/>
                <w:bCs/>
                <w:spacing w:val="-3"/>
                <w:sz w:val="22"/>
              </w:rPr>
            </w:pPr>
            <w:r w:rsidRPr="00BD1319">
              <w:rPr>
                <w:rFonts w:cs="Arial"/>
                <w:b/>
                <w:bCs/>
                <w:spacing w:val="-3"/>
                <w:sz w:val="22"/>
              </w:rPr>
              <w:t>Componente</w:t>
            </w:r>
          </w:p>
        </w:tc>
        <w:tc>
          <w:tcPr>
            <w:tcW w:w="2388" w:type="pct"/>
            <w:shd w:val="clear" w:color="auto" w:fill="auto"/>
            <w:vAlign w:val="center"/>
          </w:tcPr>
          <w:p w14:paraId="0628FC39" w14:textId="0CCA78CD" w:rsidR="0003027D" w:rsidRPr="00BD1319" w:rsidRDefault="0003027D" w:rsidP="00BA45DD">
            <w:pPr>
              <w:numPr>
                <w:ilvl w:val="12"/>
                <w:numId w:val="0"/>
              </w:numPr>
              <w:tabs>
                <w:tab w:val="left" w:pos="-2268"/>
              </w:tabs>
              <w:suppressAutoHyphens/>
              <w:jc w:val="center"/>
              <w:rPr>
                <w:b/>
                <w:spacing w:val="-3"/>
                <w:sz w:val="22"/>
              </w:rPr>
            </w:pPr>
            <w:r w:rsidRPr="00BD1319">
              <w:rPr>
                <w:rFonts w:cs="Arial"/>
                <w:b/>
                <w:bCs/>
                <w:spacing w:val="-3"/>
                <w:sz w:val="22"/>
              </w:rPr>
              <w:t>Fuente principal</w:t>
            </w:r>
          </w:p>
        </w:tc>
        <w:tc>
          <w:tcPr>
            <w:tcW w:w="1178" w:type="pct"/>
            <w:shd w:val="clear" w:color="auto" w:fill="auto"/>
            <w:vAlign w:val="center"/>
          </w:tcPr>
          <w:p w14:paraId="6D60BCEB" w14:textId="6613AA30" w:rsidR="0003027D" w:rsidRPr="00BD1319" w:rsidRDefault="0003027D" w:rsidP="00BA45DD">
            <w:pPr>
              <w:numPr>
                <w:ilvl w:val="12"/>
                <w:numId w:val="0"/>
              </w:numPr>
              <w:tabs>
                <w:tab w:val="left" w:pos="-2268"/>
              </w:tabs>
              <w:suppressAutoHyphens/>
              <w:jc w:val="center"/>
              <w:rPr>
                <w:b/>
                <w:spacing w:val="-3"/>
                <w:sz w:val="22"/>
              </w:rPr>
            </w:pPr>
            <w:r w:rsidRPr="00BD1319">
              <w:rPr>
                <w:rFonts w:cs="Arial"/>
                <w:b/>
                <w:bCs/>
                <w:spacing w:val="-3"/>
                <w:sz w:val="22"/>
              </w:rPr>
              <w:t>Otras fuentes</w:t>
            </w:r>
          </w:p>
        </w:tc>
      </w:tr>
      <w:tr w:rsidR="0003027D" w:rsidRPr="00BD1319" w14:paraId="03FBB448" w14:textId="77777777" w:rsidTr="009420F5">
        <w:trPr>
          <w:jc w:val="center"/>
        </w:trPr>
        <w:tc>
          <w:tcPr>
            <w:tcW w:w="825" w:type="pct"/>
            <w:vMerge w:val="restart"/>
            <w:vAlign w:val="center"/>
          </w:tcPr>
          <w:p w14:paraId="3179C834" w14:textId="52D21810" w:rsidR="0003027D" w:rsidRPr="00BD1319" w:rsidRDefault="0003027D" w:rsidP="00896B13">
            <w:pPr>
              <w:numPr>
                <w:ilvl w:val="12"/>
                <w:numId w:val="0"/>
              </w:numPr>
              <w:tabs>
                <w:tab w:val="left" w:pos="-2268"/>
              </w:tabs>
              <w:suppressAutoHyphens/>
              <w:rPr>
                <w:b/>
                <w:spacing w:val="-3"/>
                <w:sz w:val="20"/>
                <w:szCs w:val="20"/>
              </w:rPr>
            </w:pPr>
            <w:r w:rsidRPr="00BD1319">
              <w:rPr>
                <w:b/>
                <w:spacing w:val="-3"/>
                <w:sz w:val="20"/>
                <w:szCs w:val="20"/>
              </w:rPr>
              <w:t>Ecosistemas terrestres</w:t>
            </w:r>
          </w:p>
        </w:tc>
        <w:tc>
          <w:tcPr>
            <w:tcW w:w="609" w:type="pct"/>
            <w:vAlign w:val="center"/>
          </w:tcPr>
          <w:p w14:paraId="5AA60ED6" w14:textId="1CB0EE45" w:rsidR="0003027D" w:rsidRPr="00BD1319" w:rsidRDefault="0003027D" w:rsidP="009420F5">
            <w:pPr>
              <w:numPr>
                <w:ilvl w:val="12"/>
                <w:numId w:val="0"/>
              </w:numPr>
              <w:tabs>
                <w:tab w:val="left" w:pos="-2268"/>
              </w:tabs>
              <w:suppressAutoHyphens/>
              <w:ind w:left="-57" w:right="-57"/>
              <w:jc w:val="center"/>
              <w:rPr>
                <w:rFonts w:cs="Arial"/>
                <w:b/>
                <w:bCs/>
                <w:spacing w:val="-3"/>
                <w:sz w:val="20"/>
                <w:szCs w:val="20"/>
              </w:rPr>
            </w:pPr>
            <w:r w:rsidRPr="00BD1319">
              <w:rPr>
                <w:b/>
                <w:spacing w:val="-3"/>
                <w:sz w:val="20"/>
                <w:szCs w:val="20"/>
              </w:rPr>
              <w:t>Flora</w:t>
            </w:r>
          </w:p>
        </w:tc>
        <w:tc>
          <w:tcPr>
            <w:tcW w:w="2388" w:type="pct"/>
          </w:tcPr>
          <w:p w14:paraId="28025280" w14:textId="159EDCBD" w:rsidR="0003027D" w:rsidRPr="00BD1319" w:rsidRDefault="0003027D" w:rsidP="0016F5AC">
            <w:pPr>
              <w:suppressAutoHyphens/>
              <w:rPr>
                <w:spacing w:val="-3"/>
                <w:sz w:val="20"/>
                <w:szCs w:val="20"/>
              </w:rPr>
            </w:pPr>
            <w:r w:rsidRPr="00BD1319">
              <w:rPr>
                <w:spacing w:val="-3"/>
                <w:sz w:val="20"/>
                <w:szCs w:val="20"/>
              </w:rPr>
              <w:t xml:space="preserve">IGAC, </w:t>
            </w:r>
            <w:r w:rsidR="00297885" w:rsidRPr="00BD1319">
              <w:rPr>
                <w:spacing w:val="-3"/>
                <w:sz w:val="20"/>
                <w:szCs w:val="20"/>
              </w:rPr>
              <w:t xml:space="preserve">institutos </w:t>
            </w:r>
            <w:r w:rsidRPr="00BD1319">
              <w:rPr>
                <w:spacing w:val="-3"/>
                <w:sz w:val="20"/>
                <w:szCs w:val="20"/>
              </w:rPr>
              <w:t xml:space="preserve">de investigación (ICN, universidades, entre otros), </w:t>
            </w:r>
            <w:proofErr w:type="spellStart"/>
            <w:r w:rsidR="00A92356" w:rsidRPr="00BD1319">
              <w:rPr>
                <w:sz w:val="20"/>
                <w:szCs w:val="20"/>
              </w:rPr>
              <w:t>Ideam</w:t>
            </w:r>
            <w:proofErr w:type="spellEnd"/>
            <w:r w:rsidRPr="00BD1319">
              <w:rPr>
                <w:spacing w:val="-3"/>
                <w:sz w:val="20"/>
                <w:szCs w:val="20"/>
              </w:rPr>
              <w:t xml:space="preserve">, PNN, RESNATUR, </w:t>
            </w:r>
            <w:r w:rsidR="00831CC8" w:rsidRPr="00BD1319">
              <w:rPr>
                <w:spacing w:val="-3"/>
                <w:sz w:val="20"/>
                <w:szCs w:val="20"/>
              </w:rPr>
              <w:t>Instituto Humboldt</w:t>
            </w:r>
            <w:r w:rsidRPr="00BD1319">
              <w:rPr>
                <w:spacing w:val="-3"/>
                <w:sz w:val="20"/>
                <w:szCs w:val="20"/>
              </w:rPr>
              <w:t xml:space="preserve">, IIAP, Sinchi, </w:t>
            </w:r>
            <w:proofErr w:type="spellStart"/>
            <w:r w:rsidRPr="00BD1319">
              <w:rPr>
                <w:spacing w:val="-3"/>
                <w:sz w:val="20"/>
                <w:szCs w:val="20"/>
              </w:rPr>
              <w:t>SiB</w:t>
            </w:r>
            <w:proofErr w:type="spellEnd"/>
            <w:r w:rsidR="003C6411" w:rsidRPr="00BD1319">
              <w:rPr>
                <w:spacing w:val="-3"/>
                <w:sz w:val="20"/>
                <w:szCs w:val="20"/>
              </w:rPr>
              <w:t xml:space="preserve"> Colombia</w:t>
            </w:r>
            <w:r w:rsidRPr="00BD1319">
              <w:rPr>
                <w:spacing w:val="-3"/>
                <w:sz w:val="20"/>
                <w:szCs w:val="20"/>
              </w:rPr>
              <w:t xml:space="preserve">, </w:t>
            </w:r>
            <w:proofErr w:type="spellStart"/>
            <w:r w:rsidRPr="00BD1319">
              <w:rPr>
                <w:spacing w:val="-3"/>
                <w:sz w:val="20"/>
                <w:szCs w:val="20"/>
              </w:rPr>
              <w:t>SiBM</w:t>
            </w:r>
            <w:proofErr w:type="spellEnd"/>
            <w:r w:rsidRPr="00BD1319">
              <w:rPr>
                <w:spacing w:val="-3"/>
                <w:sz w:val="20"/>
                <w:szCs w:val="20"/>
              </w:rPr>
              <w:t xml:space="preserve">, SIAC, </w:t>
            </w:r>
            <w:r w:rsidR="00D175F6" w:rsidRPr="00BD1319">
              <w:rPr>
                <w:spacing w:val="-3"/>
                <w:sz w:val="20"/>
                <w:szCs w:val="20"/>
              </w:rPr>
              <w:t>herbarios que se encuentren en el registro nacional de colecciones</w:t>
            </w:r>
            <w:r w:rsidRPr="00BD1319">
              <w:rPr>
                <w:spacing w:val="-3"/>
                <w:sz w:val="20"/>
                <w:szCs w:val="20"/>
              </w:rPr>
              <w:t xml:space="preserve">, jardines botánicos, autoridades ambientales, </w:t>
            </w:r>
            <w:r w:rsidR="00297885" w:rsidRPr="00BD1319">
              <w:rPr>
                <w:spacing w:val="-3"/>
                <w:sz w:val="20"/>
                <w:szCs w:val="20"/>
              </w:rPr>
              <w:t>l</w:t>
            </w:r>
            <w:r w:rsidRPr="00BD1319">
              <w:rPr>
                <w:spacing w:val="-3"/>
                <w:sz w:val="20"/>
                <w:szCs w:val="20"/>
              </w:rPr>
              <w:t>ibros rojos, guías generales de flora, publicaciones científicas (</w:t>
            </w:r>
            <w:r w:rsidR="00041844" w:rsidRPr="00BD1319">
              <w:rPr>
                <w:spacing w:val="-3"/>
                <w:sz w:val="20"/>
                <w:szCs w:val="20"/>
              </w:rPr>
              <w:t>p. ej.</w:t>
            </w:r>
            <w:r w:rsidRPr="00BD1319">
              <w:rPr>
                <w:spacing w:val="-3"/>
                <w:sz w:val="20"/>
                <w:szCs w:val="20"/>
              </w:rPr>
              <w:t xml:space="preserve"> artículos científicos, libros, capítulos de libros)</w:t>
            </w:r>
            <w:r w:rsidR="005D1D75" w:rsidRPr="00BD1319">
              <w:rPr>
                <w:spacing w:val="-3"/>
                <w:sz w:val="20"/>
                <w:szCs w:val="20"/>
              </w:rPr>
              <w:t xml:space="preserve"> y</w:t>
            </w:r>
            <w:r w:rsidRPr="00BD1319">
              <w:rPr>
                <w:spacing w:val="-3"/>
                <w:sz w:val="20"/>
                <w:szCs w:val="20"/>
              </w:rPr>
              <w:t xml:space="preserve"> </w:t>
            </w:r>
            <w:r w:rsidR="00297885" w:rsidRPr="00BD1319">
              <w:rPr>
                <w:spacing w:val="-3"/>
                <w:sz w:val="20"/>
                <w:szCs w:val="20"/>
              </w:rPr>
              <w:t>p</w:t>
            </w:r>
            <w:r w:rsidRPr="00BD1319">
              <w:rPr>
                <w:spacing w:val="-3"/>
                <w:sz w:val="20"/>
                <w:szCs w:val="20"/>
              </w:rPr>
              <w:t>lanes de manejo de áreas protegidas.</w:t>
            </w:r>
          </w:p>
        </w:tc>
        <w:tc>
          <w:tcPr>
            <w:tcW w:w="1178" w:type="pct"/>
          </w:tcPr>
          <w:p w14:paraId="7C23C9A5" w14:textId="58C1F903" w:rsidR="0003027D" w:rsidRPr="00BD1319" w:rsidRDefault="0003027D" w:rsidP="0032671C">
            <w:pPr>
              <w:numPr>
                <w:ilvl w:val="12"/>
                <w:numId w:val="0"/>
              </w:numPr>
              <w:tabs>
                <w:tab w:val="left" w:pos="-2268"/>
              </w:tabs>
              <w:suppressAutoHyphens/>
              <w:rPr>
                <w:spacing w:val="-3"/>
                <w:sz w:val="20"/>
                <w:szCs w:val="20"/>
              </w:rPr>
            </w:pPr>
            <w:r w:rsidRPr="00BD1319">
              <w:rPr>
                <w:spacing w:val="-3"/>
                <w:sz w:val="20"/>
                <w:szCs w:val="20"/>
              </w:rPr>
              <w:t xml:space="preserve">Estudios </w:t>
            </w:r>
            <w:r w:rsidR="0019434D" w:rsidRPr="00BD1319">
              <w:rPr>
                <w:spacing w:val="-3"/>
                <w:sz w:val="20"/>
                <w:szCs w:val="20"/>
              </w:rPr>
              <w:t>ambientales</w:t>
            </w:r>
            <w:r w:rsidR="00B14207" w:rsidRPr="00BD1319">
              <w:rPr>
                <w:spacing w:val="-3"/>
                <w:sz w:val="20"/>
                <w:szCs w:val="20"/>
              </w:rPr>
              <w:t>, estudios flor</w:t>
            </w:r>
            <w:r w:rsidR="00040B09" w:rsidRPr="00BD1319">
              <w:rPr>
                <w:spacing w:val="-3"/>
                <w:sz w:val="20"/>
                <w:szCs w:val="20"/>
              </w:rPr>
              <w:t>ísticos</w:t>
            </w:r>
            <w:r w:rsidRPr="00BD1319">
              <w:rPr>
                <w:rFonts w:cs="Arial"/>
                <w:spacing w:val="-3"/>
                <w:sz w:val="20"/>
                <w:szCs w:val="20"/>
              </w:rPr>
              <w:t>, POT, PBOT, EOT</w:t>
            </w:r>
            <w:r w:rsidRPr="00BD1319">
              <w:rPr>
                <w:spacing w:val="-3"/>
                <w:sz w:val="20"/>
                <w:szCs w:val="20"/>
              </w:rPr>
              <w:t xml:space="preserve">, </w:t>
            </w:r>
            <w:proofErr w:type="spellStart"/>
            <w:r w:rsidR="003C70CD" w:rsidRPr="00BD1319">
              <w:rPr>
                <w:spacing w:val="-3"/>
                <w:sz w:val="20"/>
                <w:szCs w:val="20"/>
              </w:rPr>
              <w:t>Pomca</w:t>
            </w:r>
            <w:proofErr w:type="spellEnd"/>
            <w:r w:rsidRPr="00BD1319">
              <w:rPr>
                <w:spacing w:val="-3"/>
                <w:sz w:val="20"/>
                <w:szCs w:val="20"/>
              </w:rPr>
              <w:t>, ONG</w:t>
            </w:r>
            <w:r w:rsidR="005D1D75" w:rsidRPr="00BD1319">
              <w:rPr>
                <w:spacing w:val="-3"/>
                <w:sz w:val="20"/>
                <w:szCs w:val="20"/>
              </w:rPr>
              <w:t xml:space="preserve"> y</w:t>
            </w:r>
            <w:r w:rsidRPr="00BD1319">
              <w:rPr>
                <w:spacing w:val="-3"/>
                <w:sz w:val="20"/>
                <w:szCs w:val="20"/>
              </w:rPr>
              <w:t xml:space="preserve"> asociaciones especializadas.</w:t>
            </w:r>
          </w:p>
        </w:tc>
      </w:tr>
      <w:tr w:rsidR="0003027D" w:rsidRPr="00BD1319" w14:paraId="5F61E2CE" w14:textId="77777777" w:rsidTr="009420F5">
        <w:trPr>
          <w:jc w:val="center"/>
        </w:trPr>
        <w:tc>
          <w:tcPr>
            <w:tcW w:w="825" w:type="pct"/>
            <w:vMerge/>
            <w:vAlign w:val="center"/>
          </w:tcPr>
          <w:p w14:paraId="6A3FF303" w14:textId="6E142C6E" w:rsidR="0003027D" w:rsidRPr="00BD1319" w:rsidRDefault="0003027D">
            <w:pPr>
              <w:numPr>
                <w:ilvl w:val="12"/>
                <w:numId w:val="0"/>
              </w:numPr>
              <w:tabs>
                <w:tab w:val="left" w:pos="-2268"/>
              </w:tabs>
              <w:suppressAutoHyphens/>
              <w:rPr>
                <w:b/>
                <w:spacing w:val="-3"/>
                <w:sz w:val="20"/>
                <w:szCs w:val="20"/>
              </w:rPr>
            </w:pPr>
          </w:p>
        </w:tc>
        <w:tc>
          <w:tcPr>
            <w:tcW w:w="609" w:type="pct"/>
            <w:vAlign w:val="center"/>
          </w:tcPr>
          <w:p w14:paraId="5E6EE762" w14:textId="4AB19346" w:rsidR="0003027D" w:rsidRPr="00BD1319" w:rsidRDefault="0003027D" w:rsidP="009420F5">
            <w:pPr>
              <w:numPr>
                <w:ilvl w:val="12"/>
                <w:numId w:val="0"/>
              </w:numPr>
              <w:tabs>
                <w:tab w:val="left" w:pos="-2268"/>
              </w:tabs>
              <w:suppressAutoHyphens/>
              <w:ind w:left="-57" w:right="-57"/>
              <w:jc w:val="center"/>
              <w:rPr>
                <w:rFonts w:cs="Arial"/>
                <w:b/>
                <w:bCs/>
                <w:spacing w:val="-3"/>
                <w:sz w:val="20"/>
                <w:szCs w:val="20"/>
              </w:rPr>
            </w:pPr>
            <w:r w:rsidRPr="00BD1319">
              <w:rPr>
                <w:b/>
                <w:spacing w:val="-3"/>
                <w:sz w:val="20"/>
                <w:szCs w:val="20"/>
              </w:rPr>
              <w:t>Fauna</w:t>
            </w:r>
          </w:p>
        </w:tc>
        <w:tc>
          <w:tcPr>
            <w:tcW w:w="2388" w:type="pct"/>
          </w:tcPr>
          <w:p w14:paraId="325AB785" w14:textId="0A86F1FD" w:rsidR="0003027D" w:rsidRPr="00BD1319" w:rsidRDefault="00831CC8" w:rsidP="0016F5AC">
            <w:pPr>
              <w:suppressAutoHyphens/>
              <w:rPr>
                <w:spacing w:val="-3"/>
                <w:sz w:val="20"/>
                <w:szCs w:val="20"/>
              </w:rPr>
            </w:pPr>
            <w:r w:rsidRPr="00BD1319">
              <w:rPr>
                <w:spacing w:val="-3"/>
                <w:sz w:val="20"/>
                <w:szCs w:val="20"/>
              </w:rPr>
              <w:t>Instituto Humboldt</w:t>
            </w:r>
            <w:r w:rsidR="0003027D" w:rsidRPr="00BD1319">
              <w:rPr>
                <w:spacing w:val="-3"/>
                <w:sz w:val="20"/>
                <w:szCs w:val="20"/>
              </w:rPr>
              <w:t xml:space="preserve">, IIAP, Sinchi, </w:t>
            </w:r>
            <w:proofErr w:type="spellStart"/>
            <w:r w:rsidR="00A92356" w:rsidRPr="00BD1319">
              <w:rPr>
                <w:sz w:val="20"/>
                <w:szCs w:val="20"/>
              </w:rPr>
              <w:t>Ideam</w:t>
            </w:r>
            <w:proofErr w:type="spellEnd"/>
            <w:r w:rsidR="0003027D" w:rsidRPr="00BD1319">
              <w:rPr>
                <w:spacing w:val="-3"/>
                <w:sz w:val="20"/>
                <w:szCs w:val="20"/>
              </w:rPr>
              <w:t xml:space="preserve">, ADR, ANT, </w:t>
            </w:r>
            <w:r w:rsidR="005D1D75" w:rsidRPr="00BD1319">
              <w:rPr>
                <w:spacing w:val="-3"/>
                <w:sz w:val="20"/>
                <w:szCs w:val="20"/>
              </w:rPr>
              <w:t xml:space="preserve">institutos </w:t>
            </w:r>
            <w:r w:rsidR="0003027D" w:rsidRPr="00BD1319">
              <w:rPr>
                <w:spacing w:val="-3"/>
                <w:sz w:val="20"/>
                <w:szCs w:val="20"/>
              </w:rPr>
              <w:t xml:space="preserve">de investigación, </w:t>
            </w:r>
            <w:proofErr w:type="spellStart"/>
            <w:r w:rsidR="0003027D" w:rsidRPr="00BD1319">
              <w:rPr>
                <w:spacing w:val="-3"/>
                <w:sz w:val="20"/>
                <w:szCs w:val="20"/>
              </w:rPr>
              <w:t>SiB</w:t>
            </w:r>
            <w:proofErr w:type="spellEnd"/>
            <w:r w:rsidR="003C6411" w:rsidRPr="00BD1319">
              <w:rPr>
                <w:spacing w:val="-3"/>
                <w:sz w:val="20"/>
                <w:szCs w:val="20"/>
              </w:rPr>
              <w:t xml:space="preserve"> Colombia</w:t>
            </w:r>
            <w:r w:rsidR="0003027D" w:rsidRPr="00BD1319">
              <w:rPr>
                <w:spacing w:val="-3"/>
                <w:sz w:val="20"/>
                <w:szCs w:val="20"/>
              </w:rPr>
              <w:t xml:space="preserve">, </w:t>
            </w:r>
            <w:proofErr w:type="spellStart"/>
            <w:r w:rsidR="0003027D" w:rsidRPr="00BD1319">
              <w:rPr>
                <w:spacing w:val="-3"/>
                <w:sz w:val="20"/>
                <w:szCs w:val="20"/>
              </w:rPr>
              <w:t>SiBM</w:t>
            </w:r>
            <w:proofErr w:type="spellEnd"/>
            <w:r w:rsidR="0003027D" w:rsidRPr="00BD1319">
              <w:rPr>
                <w:spacing w:val="-3"/>
                <w:sz w:val="20"/>
                <w:szCs w:val="20"/>
              </w:rPr>
              <w:t xml:space="preserve">, SIAC, </w:t>
            </w:r>
            <w:r w:rsidR="003100FB" w:rsidRPr="00BD1319">
              <w:rPr>
                <w:spacing w:val="-3"/>
                <w:sz w:val="20"/>
                <w:szCs w:val="20"/>
              </w:rPr>
              <w:t>AICA</w:t>
            </w:r>
            <w:r w:rsidR="0003027D" w:rsidRPr="00BD1319">
              <w:rPr>
                <w:spacing w:val="-3"/>
                <w:sz w:val="20"/>
                <w:szCs w:val="20"/>
              </w:rPr>
              <w:t xml:space="preserve">, </w:t>
            </w:r>
            <w:r w:rsidR="00323321" w:rsidRPr="00BD1319">
              <w:rPr>
                <w:spacing w:val="-3"/>
                <w:sz w:val="20"/>
                <w:szCs w:val="20"/>
              </w:rPr>
              <w:t xml:space="preserve">colecciones científicas del Instituto de Ciencias Naturales (ICN) de la Universidad Nacional de Colombia, </w:t>
            </w:r>
            <w:r w:rsidR="00D175F6" w:rsidRPr="00BD1319">
              <w:rPr>
                <w:spacing w:val="-3"/>
                <w:sz w:val="20"/>
                <w:szCs w:val="20"/>
              </w:rPr>
              <w:t xml:space="preserve">colecciones biológicas, </w:t>
            </w:r>
            <w:r w:rsidR="0003027D" w:rsidRPr="00BD1319">
              <w:rPr>
                <w:spacing w:val="-3"/>
                <w:sz w:val="20"/>
                <w:szCs w:val="20"/>
              </w:rPr>
              <w:t xml:space="preserve">centros de documentación de autoridades ambientales, </w:t>
            </w:r>
            <w:r w:rsidR="005D1D75" w:rsidRPr="00BD1319">
              <w:rPr>
                <w:spacing w:val="-3"/>
                <w:sz w:val="20"/>
                <w:szCs w:val="20"/>
              </w:rPr>
              <w:t>l</w:t>
            </w:r>
            <w:r w:rsidR="0003027D" w:rsidRPr="00BD1319">
              <w:rPr>
                <w:spacing w:val="-3"/>
                <w:sz w:val="20"/>
                <w:szCs w:val="20"/>
              </w:rPr>
              <w:t xml:space="preserve">ibros </w:t>
            </w:r>
            <w:r w:rsidR="005D1D75" w:rsidRPr="00BD1319">
              <w:rPr>
                <w:spacing w:val="-3"/>
                <w:sz w:val="20"/>
                <w:szCs w:val="20"/>
              </w:rPr>
              <w:t>r</w:t>
            </w:r>
            <w:r w:rsidR="0003027D" w:rsidRPr="00BD1319">
              <w:rPr>
                <w:spacing w:val="-3"/>
                <w:sz w:val="20"/>
                <w:szCs w:val="20"/>
              </w:rPr>
              <w:t xml:space="preserve">ojos, guías </w:t>
            </w:r>
            <w:r w:rsidR="0003027D" w:rsidRPr="00BD1319">
              <w:rPr>
                <w:spacing w:val="-3"/>
                <w:sz w:val="20"/>
                <w:szCs w:val="20"/>
              </w:rPr>
              <w:lastRenderedPageBreak/>
              <w:t>generales de fauna, publicaciones científicas (</w:t>
            </w:r>
            <w:r w:rsidR="00041844" w:rsidRPr="00BD1319">
              <w:rPr>
                <w:spacing w:val="-3"/>
                <w:sz w:val="20"/>
                <w:szCs w:val="20"/>
              </w:rPr>
              <w:t>p. ej.</w:t>
            </w:r>
            <w:r w:rsidR="0003027D" w:rsidRPr="00BD1319">
              <w:rPr>
                <w:spacing w:val="-3"/>
                <w:sz w:val="20"/>
                <w:szCs w:val="20"/>
              </w:rPr>
              <w:t xml:space="preserve"> artículos científicos, libros, capítulos de libros)</w:t>
            </w:r>
            <w:r w:rsidR="005D1D75" w:rsidRPr="00BD1319">
              <w:rPr>
                <w:spacing w:val="-3"/>
                <w:sz w:val="20"/>
                <w:szCs w:val="20"/>
              </w:rPr>
              <w:t xml:space="preserve"> y</w:t>
            </w:r>
            <w:r w:rsidR="0003027D" w:rsidRPr="00BD1319">
              <w:rPr>
                <w:spacing w:val="-3"/>
                <w:sz w:val="20"/>
                <w:szCs w:val="20"/>
              </w:rPr>
              <w:t xml:space="preserve"> </w:t>
            </w:r>
            <w:r w:rsidR="005D1D75" w:rsidRPr="00BD1319">
              <w:rPr>
                <w:spacing w:val="-3"/>
                <w:sz w:val="20"/>
                <w:szCs w:val="20"/>
              </w:rPr>
              <w:t>p</w:t>
            </w:r>
            <w:r w:rsidR="0003027D" w:rsidRPr="00BD1319">
              <w:rPr>
                <w:spacing w:val="-3"/>
                <w:sz w:val="20"/>
                <w:szCs w:val="20"/>
              </w:rPr>
              <w:t>lanes de manejo de áreas protegidas</w:t>
            </w:r>
            <w:r w:rsidR="0003027D" w:rsidRPr="00BD1319">
              <w:rPr>
                <w:rFonts w:cs="Arial"/>
                <w:spacing w:val="-3"/>
                <w:sz w:val="20"/>
                <w:szCs w:val="20"/>
              </w:rPr>
              <w:t>.</w:t>
            </w:r>
          </w:p>
        </w:tc>
        <w:tc>
          <w:tcPr>
            <w:tcW w:w="1178" w:type="pct"/>
          </w:tcPr>
          <w:p w14:paraId="5D3F45B4" w14:textId="58B13AF6" w:rsidR="0003027D" w:rsidRPr="00BD1319" w:rsidRDefault="0003027D">
            <w:pPr>
              <w:numPr>
                <w:ilvl w:val="12"/>
                <w:numId w:val="0"/>
              </w:numPr>
              <w:tabs>
                <w:tab w:val="left" w:pos="-2268"/>
              </w:tabs>
              <w:suppressAutoHyphens/>
              <w:rPr>
                <w:spacing w:val="-3"/>
                <w:sz w:val="20"/>
                <w:szCs w:val="20"/>
              </w:rPr>
            </w:pPr>
            <w:r w:rsidRPr="00BD1319">
              <w:rPr>
                <w:spacing w:val="-3"/>
                <w:sz w:val="20"/>
                <w:szCs w:val="20"/>
              </w:rPr>
              <w:lastRenderedPageBreak/>
              <w:t xml:space="preserve">Estudios </w:t>
            </w:r>
            <w:r w:rsidR="00B14207" w:rsidRPr="00BD1319">
              <w:rPr>
                <w:spacing w:val="-3"/>
                <w:sz w:val="20"/>
                <w:szCs w:val="20"/>
              </w:rPr>
              <w:t>ambientales, estudios faunísticos</w:t>
            </w:r>
            <w:r w:rsidR="00BE032F" w:rsidRPr="00BD1319">
              <w:rPr>
                <w:spacing w:val="-3"/>
                <w:sz w:val="20"/>
                <w:szCs w:val="20"/>
              </w:rPr>
              <w:t xml:space="preserve">, </w:t>
            </w:r>
            <w:proofErr w:type="spellStart"/>
            <w:r w:rsidR="003C70CD" w:rsidRPr="00BD1319">
              <w:rPr>
                <w:spacing w:val="-3"/>
                <w:sz w:val="20"/>
                <w:szCs w:val="20"/>
              </w:rPr>
              <w:t>Pomca</w:t>
            </w:r>
            <w:proofErr w:type="spellEnd"/>
            <w:r w:rsidR="005D1D75" w:rsidRPr="00BD1319">
              <w:rPr>
                <w:spacing w:val="-3"/>
                <w:sz w:val="20"/>
                <w:szCs w:val="20"/>
              </w:rPr>
              <w:t xml:space="preserve"> y </w:t>
            </w:r>
            <w:r w:rsidRPr="00BD1319">
              <w:rPr>
                <w:spacing w:val="-3"/>
                <w:sz w:val="20"/>
                <w:szCs w:val="20"/>
              </w:rPr>
              <w:t>asociaciones especializadas.</w:t>
            </w:r>
          </w:p>
        </w:tc>
      </w:tr>
      <w:tr w:rsidR="0003027D" w:rsidRPr="00BD1319" w14:paraId="110363DC" w14:textId="77777777" w:rsidTr="009420F5">
        <w:trPr>
          <w:jc w:val="center"/>
        </w:trPr>
        <w:tc>
          <w:tcPr>
            <w:tcW w:w="825" w:type="pct"/>
            <w:vMerge w:val="restart"/>
            <w:tcMar>
              <w:left w:w="57" w:type="dxa"/>
              <w:right w:w="57" w:type="dxa"/>
            </w:tcMar>
            <w:vAlign w:val="center"/>
          </w:tcPr>
          <w:p w14:paraId="4946DF90" w14:textId="7DA5D1F8" w:rsidR="0003027D" w:rsidRPr="00BD1319" w:rsidRDefault="0003027D" w:rsidP="00640F0B">
            <w:pPr>
              <w:numPr>
                <w:ilvl w:val="12"/>
                <w:numId w:val="0"/>
              </w:numPr>
              <w:tabs>
                <w:tab w:val="left" w:pos="-2268"/>
              </w:tabs>
              <w:suppressAutoHyphens/>
              <w:rPr>
                <w:b/>
                <w:spacing w:val="-3"/>
                <w:sz w:val="20"/>
                <w:szCs w:val="20"/>
              </w:rPr>
            </w:pPr>
            <w:r w:rsidRPr="00BD1319">
              <w:rPr>
                <w:b/>
                <w:spacing w:val="-3"/>
                <w:sz w:val="20"/>
                <w:szCs w:val="20"/>
              </w:rPr>
              <w:t>Ecosistemas acuáticos</w:t>
            </w:r>
          </w:p>
        </w:tc>
        <w:tc>
          <w:tcPr>
            <w:tcW w:w="609" w:type="pct"/>
            <w:vAlign w:val="center"/>
          </w:tcPr>
          <w:p w14:paraId="6A4F167F" w14:textId="4EEF0086" w:rsidR="0003027D" w:rsidRPr="00BD1319" w:rsidRDefault="00CE7F01" w:rsidP="009420F5">
            <w:pPr>
              <w:numPr>
                <w:ilvl w:val="12"/>
                <w:numId w:val="0"/>
              </w:numPr>
              <w:tabs>
                <w:tab w:val="left" w:pos="-2268"/>
              </w:tabs>
              <w:suppressAutoHyphens/>
              <w:ind w:left="-57" w:right="-57"/>
              <w:jc w:val="center"/>
              <w:rPr>
                <w:rFonts w:cs="Arial"/>
                <w:b/>
                <w:bCs/>
                <w:spacing w:val="-3"/>
                <w:sz w:val="20"/>
                <w:szCs w:val="20"/>
              </w:rPr>
            </w:pPr>
            <w:r w:rsidRPr="00BD1319">
              <w:rPr>
                <w:b/>
                <w:spacing w:val="-3"/>
                <w:sz w:val="20"/>
                <w:szCs w:val="20"/>
              </w:rPr>
              <w:t>De agua dulce</w:t>
            </w:r>
          </w:p>
        </w:tc>
        <w:tc>
          <w:tcPr>
            <w:tcW w:w="2388" w:type="pct"/>
          </w:tcPr>
          <w:p w14:paraId="3EFB7247" w14:textId="75FE3AA4" w:rsidR="0003027D" w:rsidRPr="00BD1319" w:rsidRDefault="00A92356" w:rsidP="0016F5AC">
            <w:pPr>
              <w:suppressAutoHyphens/>
              <w:rPr>
                <w:spacing w:val="-3"/>
                <w:sz w:val="20"/>
                <w:szCs w:val="20"/>
              </w:rPr>
            </w:pPr>
            <w:proofErr w:type="spellStart"/>
            <w:r w:rsidRPr="00BD1319">
              <w:rPr>
                <w:sz w:val="20"/>
                <w:szCs w:val="20"/>
              </w:rPr>
              <w:t>Ideam</w:t>
            </w:r>
            <w:proofErr w:type="spellEnd"/>
            <w:r w:rsidR="0003027D" w:rsidRPr="00BD1319">
              <w:rPr>
                <w:spacing w:val="-3"/>
                <w:sz w:val="20"/>
                <w:szCs w:val="20"/>
              </w:rPr>
              <w:t xml:space="preserve">, </w:t>
            </w:r>
            <w:r w:rsidR="00831CC8" w:rsidRPr="00BD1319">
              <w:rPr>
                <w:spacing w:val="-3"/>
                <w:sz w:val="20"/>
                <w:szCs w:val="20"/>
              </w:rPr>
              <w:t>Instituto Humboldt</w:t>
            </w:r>
            <w:r w:rsidR="0003027D" w:rsidRPr="00BD1319">
              <w:rPr>
                <w:spacing w:val="-3"/>
                <w:sz w:val="20"/>
                <w:szCs w:val="20"/>
              </w:rPr>
              <w:t xml:space="preserve">, Sinchi, </w:t>
            </w:r>
            <w:r w:rsidR="00CE7F01" w:rsidRPr="00BD1319">
              <w:rPr>
                <w:spacing w:val="-3"/>
                <w:sz w:val="20"/>
                <w:szCs w:val="20"/>
              </w:rPr>
              <w:t xml:space="preserve">IIAP, </w:t>
            </w:r>
            <w:r w:rsidR="0003027D" w:rsidRPr="00BD1319">
              <w:rPr>
                <w:spacing w:val="-3"/>
                <w:sz w:val="20"/>
                <w:szCs w:val="20"/>
              </w:rPr>
              <w:t xml:space="preserve">Minambiente, </w:t>
            </w:r>
            <w:proofErr w:type="spellStart"/>
            <w:r w:rsidR="0003027D" w:rsidRPr="00BD1319">
              <w:rPr>
                <w:spacing w:val="-3"/>
                <w:sz w:val="20"/>
                <w:szCs w:val="20"/>
              </w:rPr>
              <w:t>SiB</w:t>
            </w:r>
            <w:proofErr w:type="spellEnd"/>
            <w:r w:rsidR="003C6411" w:rsidRPr="00BD1319">
              <w:rPr>
                <w:spacing w:val="-3"/>
                <w:sz w:val="20"/>
                <w:szCs w:val="20"/>
              </w:rPr>
              <w:t xml:space="preserve"> Colombia</w:t>
            </w:r>
            <w:r w:rsidR="0003027D" w:rsidRPr="00BD1319">
              <w:rPr>
                <w:spacing w:val="-3"/>
                <w:sz w:val="20"/>
                <w:szCs w:val="20"/>
              </w:rPr>
              <w:t xml:space="preserve">, </w:t>
            </w:r>
            <w:proofErr w:type="spellStart"/>
            <w:r w:rsidR="00BF790D" w:rsidRPr="00BD1319">
              <w:rPr>
                <w:rFonts w:cs="Arial"/>
                <w:sz w:val="20"/>
                <w:szCs w:val="20"/>
              </w:rPr>
              <w:t>Aunap</w:t>
            </w:r>
            <w:proofErr w:type="spellEnd"/>
            <w:r w:rsidR="0003027D" w:rsidRPr="00BD1319">
              <w:rPr>
                <w:spacing w:val="-3"/>
                <w:sz w:val="20"/>
                <w:szCs w:val="20"/>
              </w:rPr>
              <w:t xml:space="preserve">, autoridades ambientales, </w:t>
            </w:r>
            <w:r w:rsidR="005D1D75" w:rsidRPr="00BD1319">
              <w:rPr>
                <w:spacing w:val="-3"/>
                <w:sz w:val="20"/>
                <w:szCs w:val="20"/>
              </w:rPr>
              <w:t>l</w:t>
            </w:r>
            <w:r w:rsidR="0003027D" w:rsidRPr="00BD1319">
              <w:rPr>
                <w:spacing w:val="-3"/>
                <w:sz w:val="20"/>
                <w:szCs w:val="20"/>
              </w:rPr>
              <w:t xml:space="preserve">ibros </w:t>
            </w:r>
            <w:r w:rsidR="005D1D75" w:rsidRPr="00BD1319">
              <w:rPr>
                <w:spacing w:val="-3"/>
                <w:sz w:val="20"/>
                <w:szCs w:val="20"/>
              </w:rPr>
              <w:t>r</w:t>
            </w:r>
            <w:r w:rsidR="0003027D" w:rsidRPr="00BD1319">
              <w:rPr>
                <w:spacing w:val="-3"/>
                <w:sz w:val="20"/>
                <w:szCs w:val="20"/>
              </w:rPr>
              <w:t>ojos, guías generales de peces, publicaciones científicas (</w:t>
            </w:r>
            <w:r w:rsidR="00041844" w:rsidRPr="00BD1319">
              <w:rPr>
                <w:spacing w:val="-3"/>
                <w:sz w:val="20"/>
                <w:szCs w:val="20"/>
              </w:rPr>
              <w:t>p. ej.</w:t>
            </w:r>
            <w:r w:rsidR="0003027D" w:rsidRPr="00BD1319">
              <w:rPr>
                <w:spacing w:val="-3"/>
                <w:sz w:val="20"/>
                <w:szCs w:val="20"/>
              </w:rPr>
              <w:t xml:space="preserve"> artículos científicos, libros, capítulos de libros)</w:t>
            </w:r>
            <w:r w:rsidR="00130DBC" w:rsidRPr="00BD1319">
              <w:rPr>
                <w:spacing w:val="-3"/>
                <w:sz w:val="20"/>
                <w:szCs w:val="20"/>
              </w:rPr>
              <w:t xml:space="preserve"> y</w:t>
            </w:r>
            <w:r w:rsidR="0003027D" w:rsidRPr="00BD1319">
              <w:rPr>
                <w:spacing w:val="-3"/>
                <w:sz w:val="20"/>
                <w:szCs w:val="20"/>
              </w:rPr>
              <w:t xml:space="preserve"> </w:t>
            </w:r>
            <w:r w:rsidR="00130DBC" w:rsidRPr="00BD1319">
              <w:rPr>
                <w:spacing w:val="-3"/>
                <w:sz w:val="20"/>
                <w:szCs w:val="20"/>
              </w:rPr>
              <w:t>p</w:t>
            </w:r>
            <w:r w:rsidR="0003027D" w:rsidRPr="00BD1319">
              <w:rPr>
                <w:spacing w:val="-3"/>
                <w:sz w:val="20"/>
                <w:szCs w:val="20"/>
              </w:rPr>
              <w:t xml:space="preserve">lanes de </w:t>
            </w:r>
            <w:r w:rsidR="00130DBC" w:rsidRPr="00BD1319">
              <w:rPr>
                <w:spacing w:val="-3"/>
                <w:sz w:val="20"/>
                <w:szCs w:val="20"/>
              </w:rPr>
              <w:t>m</w:t>
            </w:r>
            <w:r w:rsidR="0003027D" w:rsidRPr="00BD1319">
              <w:rPr>
                <w:spacing w:val="-3"/>
                <w:sz w:val="20"/>
                <w:szCs w:val="20"/>
              </w:rPr>
              <w:t xml:space="preserve">anejo de </w:t>
            </w:r>
            <w:r w:rsidR="00130DBC" w:rsidRPr="00BD1319">
              <w:rPr>
                <w:spacing w:val="-3"/>
                <w:sz w:val="20"/>
                <w:szCs w:val="20"/>
              </w:rPr>
              <w:t>á</w:t>
            </w:r>
            <w:r w:rsidR="0003027D" w:rsidRPr="00BD1319">
              <w:rPr>
                <w:spacing w:val="-3"/>
                <w:sz w:val="20"/>
                <w:szCs w:val="20"/>
              </w:rPr>
              <w:t xml:space="preserve">reas </w:t>
            </w:r>
            <w:r w:rsidR="00130DBC" w:rsidRPr="00BD1319">
              <w:rPr>
                <w:spacing w:val="-3"/>
                <w:sz w:val="20"/>
                <w:szCs w:val="20"/>
              </w:rPr>
              <w:t>p</w:t>
            </w:r>
            <w:r w:rsidR="0003027D" w:rsidRPr="00BD1319">
              <w:rPr>
                <w:spacing w:val="-3"/>
                <w:sz w:val="20"/>
                <w:szCs w:val="20"/>
              </w:rPr>
              <w:t>rotegidas.</w:t>
            </w:r>
          </w:p>
        </w:tc>
        <w:tc>
          <w:tcPr>
            <w:tcW w:w="1178" w:type="pct"/>
          </w:tcPr>
          <w:p w14:paraId="4F5BD4E6" w14:textId="641C8180" w:rsidR="0003027D" w:rsidRPr="00BD1319" w:rsidRDefault="0003027D">
            <w:pPr>
              <w:numPr>
                <w:ilvl w:val="12"/>
                <w:numId w:val="0"/>
              </w:numPr>
              <w:tabs>
                <w:tab w:val="left" w:pos="-2268"/>
              </w:tabs>
              <w:suppressAutoHyphens/>
              <w:rPr>
                <w:spacing w:val="-3"/>
                <w:sz w:val="20"/>
                <w:szCs w:val="20"/>
              </w:rPr>
            </w:pPr>
            <w:r w:rsidRPr="00BD1319">
              <w:rPr>
                <w:spacing w:val="-3"/>
                <w:sz w:val="20"/>
                <w:szCs w:val="20"/>
              </w:rPr>
              <w:t xml:space="preserve">Estudios </w:t>
            </w:r>
            <w:r w:rsidR="00B14207" w:rsidRPr="00BD1319">
              <w:rPr>
                <w:spacing w:val="-3"/>
                <w:sz w:val="20"/>
                <w:szCs w:val="20"/>
              </w:rPr>
              <w:t xml:space="preserve">ambientales, investigaciones y estudios elaborados por </w:t>
            </w:r>
            <w:r w:rsidR="00130DBC" w:rsidRPr="00BD1319">
              <w:rPr>
                <w:spacing w:val="-3"/>
                <w:sz w:val="20"/>
                <w:szCs w:val="20"/>
              </w:rPr>
              <w:t>u</w:t>
            </w:r>
            <w:r w:rsidRPr="00BD1319">
              <w:rPr>
                <w:spacing w:val="-3"/>
                <w:sz w:val="20"/>
                <w:szCs w:val="20"/>
              </w:rPr>
              <w:t>niversidades</w:t>
            </w:r>
            <w:r w:rsidR="00130DBC" w:rsidRPr="00BD1319">
              <w:rPr>
                <w:spacing w:val="-3"/>
                <w:sz w:val="20"/>
                <w:szCs w:val="20"/>
              </w:rPr>
              <w:t xml:space="preserve"> o institutos de investigación</w:t>
            </w:r>
            <w:r w:rsidR="005473CD" w:rsidRPr="00BD1319">
              <w:rPr>
                <w:spacing w:val="-3"/>
                <w:sz w:val="20"/>
                <w:szCs w:val="20"/>
              </w:rPr>
              <w:t xml:space="preserve">, </w:t>
            </w:r>
            <w:proofErr w:type="spellStart"/>
            <w:r w:rsidR="003C70CD" w:rsidRPr="00BD1319">
              <w:rPr>
                <w:spacing w:val="-3"/>
                <w:sz w:val="20"/>
                <w:szCs w:val="20"/>
              </w:rPr>
              <w:t>Pomca</w:t>
            </w:r>
            <w:proofErr w:type="spellEnd"/>
            <w:r w:rsidR="00130DBC" w:rsidRPr="00BD1319">
              <w:rPr>
                <w:spacing w:val="-3"/>
                <w:sz w:val="20"/>
                <w:szCs w:val="20"/>
              </w:rPr>
              <w:t xml:space="preserve"> y</w:t>
            </w:r>
            <w:r w:rsidRPr="00BD1319">
              <w:rPr>
                <w:spacing w:val="-3"/>
                <w:sz w:val="20"/>
                <w:szCs w:val="20"/>
              </w:rPr>
              <w:t xml:space="preserve"> PORH.</w:t>
            </w:r>
          </w:p>
        </w:tc>
      </w:tr>
      <w:tr w:rsidR="0003027D" w:rsidRPr="00BD1319" w14:paraId="31CB0772" w14:textId="77777777" w:rsidTr="009420F5">
        <w:trPr>
          <w:jc w:val="center"/>
        </w:trPr>
        <w:tc>
          <w:tcPr>
            <w:tcW w:w="825" w:type="pct"/>
            <w:vMerge/>
            <w:tcMar>
              <w:left w:w="57" w:type="dxa"/>
              <w:right w:w="57" w:type="dxa"/>
            </w:tcMar>
            <w:vAlign w:val="center"/>
          </w:tcPr>
          <w:p w14:paraId="4A1A9C67" w14:textId="1BE55A45" w:rsidR="0003027D" w:rsidRPr="00BD1319" w:rsidRDefault="0003027D">
            <w:pPr>
              <w:numPr>
                <w:ilvl w:val="12"/>
                <w:numId w:val="0"/>
              </w:numPr>
              <w:tabs>
                <w:tab w:val="left" w:pos="-2268"/>
              </w:tabs>
              <w:suppressAutoHyphens/>
              <w:rPr>
                <w:spacing w:val="-3"/>
                <w:sz w:val="20"/>
                <w:szCs w:val="20"/>
              </w:rPr>
            </w:pPr>
          </w:p>
        </w:tc>
        <w:tc>
          <w:tcPr>
            <w:tcW w:w="609" w:type="pct"/>
            <w:vAlign w:val="center"/>
          </w:tcPr>
          <w:p w14:paraId="7780401C" w14:textId="764B6D35" w:rsidR="0003027D" w:rsidRPr="00BD1319" w:rsidRDefault="0003027D" w:rsidP="009420F5">
            <w:pPr>
              <w:numPr>
                <w:ilvl w:val="12"/>
                <w:numId w:val="0"/>
              </w:numPr>
              <w:tabs>
                <w:tab w:val="left" w:pos="-2268"/>
              </w:tabs>
              <w:suppressAutoHyphens/>
              <w:ind w:left="-57" w:right="-57"/>
              <w:jc w:val="center"/>
              <w:rPr>
                <w:rFonts w:cs="Arial"/>
                <w:b/>
                <w:bCs/>
                <w:spacing w:val="-3"/>
                <w:sz w:val="20"/>
                <w:szCs w:val="20"/>
              </w:rPr>
            </w:pPr>
            <w:r w:rsidRPr="00BD1319">
              <w:rPr>
                <w:b/>
                <w:spacing w:val="-3"/>
                <w:sz w:val="20"/>
                <w:szCs w:val="20"/>
              </w:rPr>
              <w:t>Marinos</w:t>
            </w:r>
          </w:p>
        </w:tc>
        <w:tc>
          <w:tcPr>
            <w:tcW w:w="2388" w:type="pct"/>
          </w:tcPr>
          <w:p w14:paraId="79EEFF12" w14:textId="1BB06A99" w:rsidR="0003027D" w:rsidRPr="00BD1319" w:rsidRDefault="00A92356">
            <w:pPr>
              <w:numPr>
                <w:ilvl w:val="12"/>
                <w:numId w:val="0"/>
              </w:numPr>
              <w:tabs>
                <w:tab w:val="left" w:pos="-2268"/>
              </w:tabs>
              <w:suppressAutoHyphens/>
              <w:rPr>
                <w:spacing w:val="-3"/>
                <w:sz w:val="20"/>
                <w:szCs w:val="20"/>
              </w:rPr>
            </w:pPr>
            <w:proofErr w:type="spellStart"/>
            <w:r w:rsidRPr="00BD1319">
              <w:rPr>
                <w:spacing w:val="-3"/>
                <w:sz w:val="20"/>
                <w:szCs w:val="20"/>
              </w:rPr>
              <w:t>Invemar</w:t>
            </w:r>
            <w:proofErr w:type="spellEnd"/>
            <w:r w:rsidR="0003027D" w:rsidRPr="00BD1319">
              <w:rPr>
                <w:spacing w:val="-3"/>
                <w:sz w:val="20"/>
                <w:szCs w:val="20"/>
              </w:rPr>
              <w:t xml:space="preserve">, </w:t>
            </w:r>
            <w:proofErr w:type="spellStart"/>
            <w:r w:rsidR="0003027D" w:rsidRPr="00BD1319">
              <w:rPr>
                <w:spacing w:val="-3"/>
                <w:sz w:val="20"/>
                <w:szCs w:val="20"/>
              </w:rPr>
              <w:t>SiB</w:t>
            </w:r>
            <w:proofErr w:type="spellEnd"/>
            <w:r w:rsidR="003C6411" w:rsidRPr="00BD1319">
              <w:rPr>
                <w:spacing w:val="-3"/>
                <w:sz w:val="20"/>
                <w:szCs w:val="20"/>
              </w:rPr>
              <w:t xml:space="preserve"> Colombia</w:t>
            </w:r>
            <w:r w:rsidR="0003027D" w:rsidRPr="00BD1319">
              <w:rPr>
                <w:spacing w:val="-3"/>
                <w:sz w:val="20"/>
                <w:szCs w:val="20"/>
              </w:rPr>
              <w:t xml:space="preserve">, </w:t>
            </w:r>
            <w:r w:rsidR="00D175F6" w:rsidRPr="00BD1319">
              <w:rPr>
                <w:spacing w:val="-3"/>
                <w:sz w:val="20"/>
                <w:szCs w:val="20"/>
              </w:rPr>
              <w:t xml:space="preserve">Sistema de Información Ambiental Marina (SIAM), </w:t>
            </w:r>
            <w:proofErr w:type="spellStart"/>
            <w:r w:rsidR="00BF790D" w:rsidRPr="00BD1319">
              <w:rPr>
                <w:rFonts w:cs="Arial"/>
                <w:sz w:val="20"/>
                <w:szCs w:val="20"/>
              </w:rPr>
              <w:t>Aunap</w:t>
            </w:r>
            <w:proofErr w:type="spellEnd"/>
            <w:r w:rsidR="00130DBC" w:rsidRPr="00BD1319">
              <w:rPr>
                <w:spacing w:val="-3"/>
                <w:sz w:val="20"/>
                <w:szCs w:val="20"/>
              </w:rPr>
              <w:t>,</w:t>
            </w:r>
            <w:r w:rsidR="0003027D" w:rsidRPr="00BD1319">
              <w:rPr>
                <w:spacing w:val="-3"/>
                <w:sz w:val="20"/>
                <w:szCs w:val="20"/>
              </w:rPr>
              <w:t xml:space="preserve"> autoridades ambientales, centros de investigación (ICN, CCCP, CIOH, entre otros), </w:t>
            </w:r>
            <w:r w:rsidR="00130DBC" w:rsidRPr="00BD1319">
              <w:rPr>
                <w:spacing w:val="-3"/>
                <w:sz w:val="20"/>
                <w:szCs w:val="20"/>
              </w:rPr>
              <w:t>l</w:t>
            </w:r>
            <w:r w:rsidR="0003027D" w:rsidRPr="00BD1319">
              <w:rPr>
                <w:spacing w:val="-3"/>
                <w:sz w:val="20"/>
                <w:szCs w:val="20"/>
              </w:rPr>
              <w:t xml:space="preserve">ibros </w:t>
            </w:r>
            <w:r w:rsidR="00130DBC" w:rsidRPr="00BD1319">
              <w:rPr>
                <w:spacing w:val="-3"/>
                <w:sz w:val="20"/>
                <w:szCs w:val="20"/>
              </w:rPr>
              <w:t>r</w:t>
            </w:r>
            <w:r w:rsidR="0003027D" w:rsidRPr="00BD1319">
              <w:rPr>
                <w:spacing w:val="-3"/>
                <w:sz w:val="20"/>
                <w:szCs w:val="20"/>
              </w:rPr>
              <w:t>ojos</w:t>
            </w:r>
            <w:r w:rsidR="00130DBC" w:rsidRPr="00BD1319">
              <w:rPr>
                <w:spacing w:val="-3"/>
                <w:sz w:val="20"/>
                <w:szCs w:val="20"/>
              </w:rPr>
              <w:t xml:space="preserve"> y</w:t>
            </w:r>
            <w:r w:rsidR="0003027D" w:rsidRPr="00BD1319">
              <w:rPr>
                <w:spacing w:val="-3"/>
                <w:sz w:val="20"/>
                <w:szCs w:val="20"/>
              </w:rPr>
              <w:t xml:space="preserve"> </w:t>
            </w:r>
            <w:r w:rsidR="00130DBC" w:rsidRPr="00BD1319">
              <w:rPr>
                <w:spacing w:val="-3"/>
                <w:sz w:val="20"/>
                <w:szCs w:val="20"/>
              </w:rPr>
              <w:t>p</w:t>
            </w:r>
            <w:r w:rsidR="0003027D" w:rsidRPr="00BD1319">
              <w:rPr>
                <w:spacing w:val="-3"/>
                <w:sz w:val="20"/>
                <w:szCs w:val="20"/>
              </w:rPr>
              <w:t xml:space="preserve">lanes de </w:t>
            </w:r>
            <w:r w:rsidR="00130DBC" w:rsidRPr="00BD1319">
              <w:rPr>
                <w:spacing w:val="-3"/>
                <w:sz w:val="20"/>
                <w:szCs w:val="20"/>
              </w:rPr>
              <w:t>m</w:t>
            </w:r>
            <w:r w:rsidR="0003027D" w:rsidRPr="00BD1319">
              <w:rPr>
                <w:spacing w:val="-3"/>
                <w:sz w:val="20"/>
                <w:szCs w:val="20"/>
              </w:rPr>
              <w:t xml:space="preserve">anejo de </w:t>
            </w:r>
            <w:r w:rsidR="00130DBC" w:rsidRPr="00BD1319">
              <w:rPr>
                <w:spacing w:val="-3"/>
                <w:sz w:val="20"/>
                <w:szCs w:val="20"/>
              </w:rPr>
              <w:t>á</w:t>
            </w:r>
            <w:r w:rsidR="0003027D" w:rsidRPr="00BD1319">
              <w:rPr>
                <w:spacing w:val="-3"/>
                <w:sz w:val="20"/>
                <w:szCs w:val="20"/>
              </w:rPr>
              <w:t xml:space="preserve">reas </w:t>
            </w:r>
            <w:r w:rsidR="00130DBC" w:rsidRPr="00BD1319">
              <w:rPr>
                <w:spacing w:val="-3"/>
                <w:sz w:val="20"/>
                <w:szCs w:val="20"/>
              </w:rPr>
              <w:t>p</w:t>
            </w:r>
            <w:r w:rsidR="0003027D" w:rsidRPr="00BD1319">
              <w:rPr>
                <w:spacing w:val="-3"/>
                <w:sz w:val="20"/>
                <w:szCs w:val="20"/>
              </w:rPr>
              <w:t>rotegidas.</w:t>
            </w:r>
          </w:p>
        </w:tc>
        <w:tc>
          <w:tcPr>
            <w:tcW w:w="1178" w:type="pct"/>
          </w:tcPr>
          <w:p w14:paraId="60BC45B4" w14:textId="44732405" w:rsidR="0003027D" w:rsidRPr="00BD1319" w:rsidRDefault="0003027D">
            <w:pPr>
              <w:numPr>
                <w:ilvl w:val="12"/>
                <w:numId w:val="0"/>
              </w:numPr>
              <w:tabs>
                <w:tab w:val="left" w:pos="-2268"/>
              </w:tabs>
              <w:suppressAutoHyphens/>
              <w:rPr>
                <w:spacing w:val="-3"/>
                <w:sz w:val="20"/>
                <w:szCs w:val="20"/>
              </w:rPr>
            </w:pPr>
            <w:r w:rsidRPr="00BD1319">
              <w:rPr>
                <w:spacing w:val="-3"/>
                <w:sz w:val="20"/>
                <w:szCs w:val="20"/>
              </w:rPr>
              <w:t xml:space="preserve">Estudios </w:t>
            </w:r>
            <w:r w:rsidR="00B14207" w:rsidRPr="00BD1319">
              <w:rPr>
                <w:spacing w:val="-3"/>
                <w:sz w:val="20"/>
                <w:szCs w:val="20"/>
              </w:rPr>
              <w:t>ambientales</w:t>
            </w:r>
            <w:r w:rsidRPr="00BD1319">
              <w:rPr>
                <w:rFonts w:cs="Arial"/>
                <w:spacing w:val="-3"/>
                <w:sz w:val="20"/>
                <w:szCs w:val="20"/>
              </w:rPr>
              <w:t>,</w:t>
            </w:r>
            <w:r w:rsidRPr="00BD1319">
              <w:rPr>
                <w:spacing w:val="-3"/>
                <w:sz w:val="20"/>
                <w:szCs w:val="20"/>
              </w:rPr>
              <w:t xml:space="preserve"> </w:t>
            </w:r>
            <w:r w:rsidR="00B14207" w:rsidRPr="00BD1319">
              <w:rPr>
                <w:spacing w:val="-3"/>
                <w:sz w:val="20"/>
                <w:szCs w:val="20"/>
              </w:rPr>
              <w:t>investigaciones y estudios elaborados por universidades o institutos</w:t>
            </w:r>
            <w:r w:rsidR="00130DBC" w:rsidRPr="00BD1319">
              <w:rPr>
                <w:spacing w:val="-3"/>
                <w:sz w:val="20"/>
                <w:szCs w:val="20"/>
              </w:rPr>
              <w:t xml:space="preserve">, </w:t>
            </w:r>
            <w:r w:rsidRPr="00BD1319">
              <w:rPr>
                <w:spacing w:val="-3"/>
                <w:sz w:val="20"/>
                <w:szCs w:val="20"/>
              </w:rPr>
              <w:t>asociaciones especializadas</w:t>
            </w:r>
            <w:r w:rsidR="00AB4955" w:rsidRPr="00BD1319">
              <w:rPr>
                <w:spacing w:val="-3"/>
                <w:sz w:val="20"/>
                <w:szCs w:val="20"/>
              </w:rPr>
              <w:t xml:space="preserve"> y </w:t>
            </w:r>
            <w:proofErr w:type="spellStart"/>
            <w:r w:rsidR="000A43B6" w:rsidRPr="00BD1319">
              <w:rPr>
                <w:spacing w:val="-3"/>
                <w:sz w:val="20"/>
                <w:szCs w:val="20"/>
              </w:rPr>
              <w:t>Pomiuac</w:t>
            </w:r>
            <w:proofErr w:type="spellEnd"/>
            <w:r w:rsidRPr="00BD1319">
              <w:rPr>
                <w:spacing w:val="-3"/>
                <w:sz w:val="20"/>
                <w:szCs w:val="20"/>
              </w:rPr>
              <w:t>.</w:t>
            </w:r>
          </w:p>
        </w:tc>
      </w:tr>
    </w:tbl>
    <w:p w14:paraId="54E98052" w14:textId="6824070B" w:rsidR="0003027D" w:rsidRPr="00BD1319" w:rsidRDefault="0003027D">
      <w:pPr>
        <w:numPr>
          <w:ilvl w:val="12"/>
          <w:numId w:val="0"/>
        </w:numPr>
        <w:tabs>
          <w:tab w:val="left" w:pos="-2268"/>
        </w:tabs>
        <w:suppressAutoHyphens/>
        <w:rPr>
          <w:spacing w:val="-3"/>
        </w:rPr>
      </w:pPr>
    </w:p>
    <w:p w14:paraId="75F58CB6" w14:textId="77777777" w:rsidR="00A101A4" w:rsidRPr="00BD1319" w:rsidRDefault="00A101A4">
      <w:pPr>
        <w:numPr>
          <w:ilvl w:val="12"/>
          <w:numId w:val="0"/>
        </w:numPr>
        <w:tabs>
          <w:tab w:val="left" w:pos="-2268"/>
        </w:tabs>
        <w:suppressAutoHyphens/>
        <w:rPr>
          <w:spacing w:val="-3"/>
        </w:rPr>
      </w:pPr>
    </w:p>
    <w:p w14:paraId="40F7C74B" w14:textId="0AAE5394" w:rsidR="00A101A4" w:rsidRPr="00BD1319" w:rsidRDefault="00A101A4" w:rsidP="00C86DA5">
      <w:pPr>
        <w:pStyle w:val="Descripcin"/>
        <w:jc w:val="center"/>
        <w:rPr>
          <w:b w:val="0"/>
        </w:rPr>
      </w:pPr>
      <w:bookmarkStart w:id="1942" w:name="_Ref42345587"/>
      <w:bookmarkStart w:id="1943" w:name="_Ref42353700"/>
      <w:r w:rsidRPr="00BD1319">
        <w:t xml:space="preserve">Tabla </w:t>
      </w:r>
      <w:fldSimple w:instr=" SEQ Tabla \* ARABIC ">
        <w:r w:rsidR="00296654" w:rsidRPr="00BD1319">
          <w:rPr>
            <w:noProof/>
          </w:rPr>
          <w:t>4</w:t>
        </w:r>
      </w:fldSimple>
      <w:bookmarkEnd w:id="1942"/>
      <w:bookmarkEnd w:id="1943"/>
      <w:r w:rsidRPr="00BD1319">
        <w:t>.</w:t>
      </w:r>
      <w:r w:rsidRPr="00BD1319">
        <w:rPr>
          <w:b w:val="0"/>
        </w:rPr>
        <w:t xml:space="preserve"> Fuentes de información del medio socioeconómico</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4678"/>
        <w:gridCol w:w="2454"/>
      </w:tblGrid>
      <w:tr w:rsidR="00A07753" w:rsidRPr="00BD1319" w14:paraId="2749DA75" w14:textId="77777777" w:rsidTr="000D6E21">
        <w:trPr>
          <w:trHeight w:val="386"/>
          <w:tblHeader/>
          <w:jc w:val="center"/>
        </w:trPr>
        <w:tc>
          <w:tcPr>
            <w:tcW w:w="2263" w:type="dxa"/>
            <w:shd w:val="clear" w:color="auto" w:fill="auto"/>
            <w:vAlign w:val="center"/>
          </w:tcPr>
          <w:p w14:paraId="7CA569A6" w14:textId="225FD755" w:rsidR="00A101A4" w:rsidRPr="00BD1319" w:rsidRDefault="00F04B5F" w:rsidP="00BA45DD">
            <w:pPr>
              <w:numPr>
                <w:ilvl w:val="12"/>
                <w:numId w:val="0"/>
              </w:numPr>
              <w:tabs>
                <w:tab w:val="left" w:pos="-2268"/>
              </w:tabs>
              <w:suppressAutoHyphens/>
              <w:jc w:val="center"/>
              <w:rPr>
                <w:b/>
                <w:spacing w:val="-3"/>
                <w:sz w:val="22"/>
                <w:szCs w:val="22"/>
              </w:rPr>
            </w:pPr>
            <w:r w:rsidRPr="00BD1319">
              <w:rPr>
                <w:rFonts w:cs="Arial"/>
                <w:b/>
                <w:bCs/>
                <w:spacing w:val="-3"/>
                <w:sz w:val="22"/>
                <w:szCs w:val="22"/>
              </w:rPr>
              <w:t>Componente</w:t>
            </w:r>
          </w:p>
        </w:tc>
        <w:tc>
          <w:tcPr>
            <w:tcW w:w="4678" w:type="dxa"/>
            <w:shd w:val="clear" w:color="auto" w:fill="auto"/>
            <w:vAlign w:val="center"/>
          </w:tcPr>
          <w:p w14:paraId="70D30A99" w14:textId="51D4A6ED" w:rsidR="00A101A4" w:rsidRPr="00BD1319" w:rsidRDefault="00F04B5F" w:rsidP="00BA45DD">
            <w:pPr>
              <w:numPr>
                <w:ilvl w:val="12"/>
                <w:numId w:val="0"/>
              </w:numPr>
              <w:tabs>
                <w:tab w:val="left" w:pos="-2268"/>
              </w:tabs>
              <w:suppressAutoHyphens/>
              <w:jc w:val="center"/>
              <w:rPr>
                <w:b/>
                <w:spacing w:val="-3"/>
                <w:sz w:val="22"/>
                <w:szCs w:val="22"/>
              </w:rPr>
            </w:pPr>
            <w:r w:rsidRPr="00BD1319">
              <w:rPr>
                <w:rFonts w:cs="Arial"/>
                <w:b/>
                <w:bCs/>
                <w:spacing w:val="-3"/>
                <w:sz w:val="22"/>
                <w:szCs w:val="22"/>
              </w:rPr>
              <w:t>Fuente principal</w:t>
            </w:r>
          </w:p>
        </w:tc>
        <w:tc>
          <w:tcPr>
            <w:tcW w:w="2454" w:type="dxa"/>
            <w:shd w:val="clear" w:color="auto" w:fill="auto"/>
            <w:vAlign w:val="center"/>
          </w:tcPr>
          <w:p w14:paraId="6B4A952D" w14:textId="6614C423" w:rsidR="00A101A4" w:rsidRPr="00BD1319" w:rsidRDefault="00F04B5F" w:rsidP="00BA45DD">
            <w:pPr>
              <w:numPr>
                <w:ilvl w:val="12"/>
                <w:numId w:val="0"/>
              </w:numPr>
              <w:tabs>
                <w:tab w:val="left" w:pos="-2268"/>
              </w:tabs>
              <w:suppressAutoHyphens/>
              <w:jc w:val="center"/>
              <w:rPr>
                <w:b/>
                <w:spacing w:val="-3"/>
                <w:sz w:val="22"/>
                <w:szCs w:val="22"/>
              </w:rPr>
            </w:pPr>
            <w:r w:rsidRPr="00BD1319">
              <w:rPr>
                <w:rFonts w:cs="Arial"/>
                <w:b/>
                <w:bCs/>
                <w:spacing w:val="-3"/>
                <w:sz w:val="22"/>
                <w:szCs w:val="22"/>
              </w:rPr>
              <w:t>Otras fuentes</w:t>
            </w:r>
          </w:p>
        </w:tc>
      </w:tr>
      <w:tr w:rsidR="00A07753" w:rsidRPr="00BD1319" w14:paraId="1D48A700" w14:textId="77777777" w:rsidTr="000D6E21">
        <w:trPr>
          <w:trHeight w:val="514"/>
          <w:jc w:val="center"/>
        </w:trPr>
        <w:tc>
          <w:tcPr>
            <w:tcW w:w="2263" w:type="dxa"/>
            <w:vAlign w:val="center"/>
          </w:tcPr>
          <w:p w14:paraId="574E7EC3" w14:textId="77777777" w:rsidR="00A101A4" w:rsidRPr="00BD1319" w:rsidRDefault="00A101A4">
            <w:pPr>
              <w:numPr>
                <w:ilvl w:val="12"/>
                <w:numId w:val="0"/>
              </w:numPr>
              <w:tabs>
                <w:tab w:val="left" w:pos="-2268"/>
              </w:tabs>
              <w:suppressAutoHyphens/>
              <w:rPr>
                <w:b/>
                <w:spacing w:val="-3"/>
                <w:sz w:val="20"/>
                <w:szCs w:val="20"/>
              </w:rPr>
            </w:pPr>
            <w:r w:rsidRPr="00BD1319">
              <w:rPr>
                <w:b/>
                <w:spacing w:val="-3"/>
                <w:sz w:val="20"/>
                <w:szCs w:val="20"/>
              </w:rPr>
              <w:t>Demográfico</w:t>
            </w:r>
          </w:p>
        </w:tc>
        <w:tc>
          <w:tcPr>
            <w:tcW w:w="4678" w:type="dxa"/>
            <w:vMerge w:val="restart"/>
          </w:tcPr>
          <w:p w14:paraId="37FB36C5" w14:textId="71E57F1E" w:rsidR="00FB72EE" w:rsidRPr="00BD1319" w:rsidRDefault="00A101A4" w:rsidP="00FB72EE">
            <w:pPr>
              <w:numPr>
                <w:ilvl w:val="12"/>
                <w:numId w:val="0"/>
              </w:numPr>
              <w:tabs>
                <w:tab w:val="left" w:pos="-2268"/>
              </w:tabs>
              <w:suppressAutoHyphens/>
              <w:rPr>
                <w:spacing w:val="-3"/>
                <w:sz w:val="20"/>
                <w:szCs w:val="20"/>
              </w:rPr>
            </w:pPr>
            <w:r w:rsidRPr="00BD1319">
              <w:rPr>
                <w:spacing w:val="-3"/>
                <w:sz w:val="20"/>
                <w:szCs w:val="20"/>
              </w:rPr>
              <w:t xml:space="preserve">DANE, </w:t>
            </w:r>
            <w:r w:rsidR="00FE43B0" w:rsidRPr="00BD1319">
              <w:rPr>
                <w:spacing w:val="-3"/>
                <w:sz w:val="20"/>
                <w:szCs w:val="20"/>
              </w:rPr>
              <w:t>Sisbén</w:t>
            </w:r>
            <w:r w:rsidRPr="00BD1319">
              <w:rPr>
                <w:spacing w:val="-3"/>
                <w:sz w:val="20"/>
                <w:szCs w:val="20"/>
              </w:rPr>
              <w:t>, Ministerio de Agricultura</w:t>
            </w:r>
            <w:r w:rsidR="001C5111" w:rsidRPr="00BD1319">
              <w:rPr>
                <w:spacing w:val="-3"/>
                <w:sz w:val="20"/>
                <w:szCs w:val="20"/>
              </w:rPr>
              <w:t xml:space="preserve"> y Desarrollo Rural</w:t>
            </w:r>
            <w:r w:rsidRPr="00BD1319">
              <w:rPr>
                <w:spacing w:val="-3"/>
                <w:sz w:val="20"/>
                <w:szCs w:val="20"/>
              </w:rPr>
              <w:t xml:space="preserve">, Ministerio del Interior, </w:t>
            </w:r>
            <w:r w:rsidR="00437305" w:rsidRPr="00BD1319">
              <w:rPr>
                <w:spacing w:val="-3"/>
                <w:sz w:val="20"/>
                <w:szCs w:val="20"/>
              </w:rPr>
              <w:t xml:space="preserve"> </w:t>
            </w:r>
            <w:r w:rsidR="00FB72EE" w:rsidRPr="00BD1319">
              <w:rPr>
                <w:spacing w:val="-3"/>
                <w:sz w:val="20"/>
                <w:szCs w:val="20"/>
              </w:rPr>
              <w:t xml:space="preserve">Ministerio de Industria, Comercio y Turismo, Ministerio de Ambiente y Desarrollo Sostenible, Ministerio de Hacienda y Crédito Público, Ministerio de Salud y Protección Social, Ministerio de Vivienda, Ciudad y Territorio, Ministerio de Tecnologías de la Información y las Comunicaciones, Ministerio de Transporte, </w:t>
            </w:r>
            <w:r w:rsidR="00437305" w:rsidRPr="00BD1319">
              <w:rPr>
                <w:spacing w:val="-3"/>
                <w:sz w:val="20"/>
                <w:szCs w:val="20"/>
              </w:rPr>
              <w:t xml:space="preserve">agendas de competitividad del DNP, Agencia Nacional para la Superación de la Pobreza Extrema (ANSPE), Departamento Administrativo para la Prosperidad Social (DPS), </w:t>
            </w:r>
            <w:r w:rsidR="00FB72EE" w:rsidRPr="00BD1319">
              <w:rPr>
                <w:spacing w:val="-3"/>
                <w:sz w:val="20"/>
                <w:szCs w:val="20"/>
              </w:rPr>
              <w:t xml:space="preserve">Agencia Nacional de Tierras, </w:t>
            </w:r>
            <w:r w:rsidR="00437305" w:rsidRPr="00BD1319">
              <w:rPr>
                <w:spacing w:val="-3"/>
                <w:sz w:val="20"/>
                <w:szCs w:val="20"/>
              </w:rPr>
              <w:t>Unidad Administrativa Especial de Gestión de Restitución de Tierras Despojadas</w:t>
            </w:r>
            <w:r w:rsidR="00FB72EE" w:rsidRPr="00BD1319">
              <w:rPr>
                <w:spacing w:val="-3"/>
                <w:sz w:val="20"/>
                <w:szCs w:val="20"/>
              </w:rPr>
              <w:t xml:space="preserve">, Unidad para la Atención y Reparación Integral a las Víctimas, Unidad de Planificación Rural Agropecuaria, </w:t>
            </w:r>
            <w:r w:rsidR="00437305" w:rsidRPr="00BD1319">
              <w:rPr>
                <w:spacing w:val="-3"/>
                <w:sz w:val="20"/>
                <w:szCs w:val="20"/>
              </w:rPr>
              <w:t xml:space="preserve">Comisión de Regulación de Agua Potable y Saneamiento Básico </w:t>
            </w:r>
            <w:r w:rsidR="009D7EEB" w:rsidRPr="00BD1319">
              <w:rPr>
                <w:spacing w:val="-3"/>
                <w:sz w:val="20"/>
                <w:szCs w:val="20"/>
              </w:rPr>
              <w:t>(</w:t>
            </w:r>
            <w:r w:rsidR="00FB72EE" w:rsidRPr="00BD1319">
              <w:rPr>
                <w:spacing w:val="-3"/>
                <w:sz w:val="20"/>
                <w:szCs w:val="20"/>
              </w:rPr>
              <w:t>CRA</w:t>
            </w:r>
            <w:r w:rsidR="009D7EEB" w:rsidRPr="00BD1319">
              <w:rPr>
                <w:spacing w:val="-3"/>
                <w:sz w:val="20"/>
                <w:szCs w:val="20"/>
              </w:rPr>
              <w:t>)</w:t>
            </w:r>
            <w:r w:rsidR="00FB72EE" w:rsidRPr="00BD1319">
              <w:rPr>
                <w:spacing w:val="-3"/>
                <w:sz w:val="20"/>
                <w:szCs w:val="20"/>
              </w:rPr>
              <w:t xml:space="preserve">, </w:t>
            </w:r>
            <w:r w:rsidR="00437305" w:rsidRPr="00BD1319">
              <w:rPr>
                <w:spacing w:val="-3"/>
                <w:sz w:val="20"/>
                <w:szCs w:val="20"/>
              </w:rPr>
              <w:t xml:space="preserve">Comisión de Regulación de Comunicaciones </w:t>
            </w:r>
            <w:r w:rsidR="009D7EEB" w:rsidRPr="00BD1319">
              <w:rPr>
                <w:spacing w:val="-3"/>
                <w:sz w:val="20"/>
                <w:szCs w:val="20"/>
              </w:rPr>
              <w:t>(</w:t>
            </w:r>
            <w:r w:rsidR="00FB72EE" w:rsidRPr="00BD1319">
              <w:rPr>
                <w:spacing w:val="-3"/>
                <w:sz w:val="20"/>
                <w:szCs w:val="20"/>
              </w:rPr>
              <w:t>CRC</w:t>
            </w:r>
            <w:r w:rsidR="009D7EEB" w:rsidRPr="00BD1319">
              <w:rPr>
                <w:spacing w:val="-3"/>
                <w:sz w:val="20"/>
                <w:szCs w:val="20"/>
              </w:rPr>
              <w:t>)</w:t>
            </w:r>
            <w:r w:rsidR="00FB72EE" w:rsidRPr="00BD1319">
              <w:rPr>
                <w:spacing w:val="-3"/>
                <w:sz w:val="20"/>
                <w:szCs w:val="20"/>
              </w:rPr>
              <w:t xml:space="preserve">, </w:t>
            </w:r>
            <w:r w:rsidR="00437305" w:rsidRPr="00BD1319">
              <w:rPr>
                <w:spacing w:val="-3"/>
                <w:sz w:val="20"/>
                <w:szCs w:val="20"/>
              </w:rPr>
              <w:t xml:space="preserve">Sociedad de Activos Especiales </w:t>
            </w:r>
            <w:r w:rsidR="009D7EEB" w:rsidRPr="00BD1319">
              <w:rPr>
                <w:spacing w:val="-3"/>
                <w:sz w:val="20"/>
                <w:szCs w:val="20"/>
              </w:rPr>
              <w:t>(</w:t>
            </w:r>
            <w:r w:rsidR="00FB72EE" w:rsidRPr="00BD1319">
              <w:rPr>
                <w:spacing w:val="-3"/>
                <w:sz w:val="20"/>
                <w:szCs w:val="20"/>
              </w:rPr>
              <w:t>SAE</w:t>
            </w:r>
            <w:r w:rsidR="009D7EEB" w:rsidRPr="00BD1319">
              <w:rPr>
                <w:spacing w:val="-3"/>
                <w:sz w:val="20"/>
                <w:szCs w:val="20"/>
              </w:rPr>
              <w:t>)</w:t>
            </w:r>
            <w:r w:rsidR="00FB72EE" w:rsidRPr="00BD1319">
              <w:rPr>
                <w:spacing w:val="-3"/>
                <w:sz w:val="20"/>
                <w:szCs w:val="20"/>
              </w:rPr>
              <w:t xml:space="preserve">, </w:t>
            </w:r>
            <w:r w:rsidR="00437305" w:rsidRPr="00BD1319">
              <w:rPr>
                <w:spacing w:val="-3"/>
                <w:sz w:val="20"/>
                <w:szCs w:val="20"/>
              </w:rPr>
              <w:t>Radio Televisión Nacional de Colombia</w:t>
            </w:r>
            <w:r w:rsidR="00FB72EE" w:rsidRPr="00BD1319">
              <w:rPr>
                <w:spacing w:val="-3"/>
                <w:sz w:val="20"/>
                <w:szCs w:val="20"/>
              </w:rPr>
              <w:t>,</w:t>
            </w:r>
            <w:r w:rsidR="003F46E8" w:rsidRPr="00BD1319">
              <w:rPr>
                <w:spacing w:val="-3"/>
                <w:sz w:val="20"/>
                <w:szCs w:val="20"/>
              </w:rPr>
              <w:t xml:space="preserve"> Unidad Administrativa Especial de Organizaciones de Economía Solidaria (UAEOS),</w:t>
            </w:r>
            <w:r w:rsidR="00FB72EE" w:rsidRPr="00BD1319">
              <w:rPr>
                <w:spacing w:val="-3"/>
                <w:sz w:val="20"/>
                <w:szCs w:val="20"/>
              </w:rPr>
              <w:t xml:space="preserve"> </w:t>
            </w:r>
            <w:r w:rsidR="00437305" w:rsidRPr="00BD1319">
              <w:rPr>
                <w:spacing w:val="-3"/>
                <w:sz w:val="20"/>
                <w:szCs w:val="20"/>
              </w:rPr>
              <w:t xml:space="preserve">SIGOT, IGAC, </w:t>
            </w:r>
            <w:r w:rsidR="00FB72EE" w:rsidRPr="00BD1319">
              <w:rPr>
                <w:spacing w:val="-3"/>
                <w:sz w:val="20"/>
                <w:szCs w:val="20"/>
              </w:rPr>
              <w:t>SIAC y entidades territoriales.</w:t>
            </w:r>
          </w:p>
          <w:p w14:paraId="71FBC41F" w14:textId="034FE781" w:rsidR="00FB72EE" w:rsidRPr="00BD1319" w:rsidRDefault="00FB72EE" w:rsidP="00FB72EE">
            <w:pPr>
              <w:numPr>
                <w:ilvl w:val="12"/>
                <w:numId w:val="0"/>
              </w:numPr>
              <w:tabs>
                <w:tab w:val="left" w:pos="-2268"/>
              </w:tabs>
              <w:suppressAutoHyphens/>
              <w:rPr>
                <w:spacing w:val="-3"/>
                <w:sz w:val="20"/>
                <w:szCs w:val="20"/>
              </w:rPr>
            </w:pPr>
          </w:p>
          <w:p w14:paraId="7961EAE2" w14:textId="2B1BB97E" w:rsidR="00FB72EE" w:rsidRPr="00BD1319" w:rsidRDefault="00FB72EE" w:rsidP="00FB72EE">
            <w:pPr>
              <w:numPr>
                <w:ilvl w:val="12"/>
                <w:numId w:val="0"/>
              </w:numPr>
              <w:tabs>
                <w:tab w:val="left" w:pos="-2268"/>
              </w:tabs>
              <w:suppressAutoHyphens/>
              <w:rPr>
                <w:spacing w:val="-3"/>
                <w:sz w:val="20"/>
                <w:szCs w:val="20"/>
              </w:rPr>
            </w:pPr>
            <w:r w:rsidRPr="00BD1319">
              <w:rPr>
                <w:spacing w:val="-3"/>
                <w:sz w:val="20"/>
                <w:szCs w:val="20"/>
              </w:rPr>
              <w:lastRenderedPageBreak/>
              <w:t xml:space="preserve">Organizaciones internacionales como </w:t>
            </w:r>
            <w:r w:rsidR="00FA7C29" w:rsidRPr="00BD1319">
              <w:rPr>
                <w:spacing w:val="-3"/>
                <w:sz w:val="20"/>
                <w:szCs w:val="20"/>
              </w:rPr>
              <w:t>Organización Internacional del Trabajo (</w:t>
            </w:r>
            <w:r w:rsidRPr="00BD1319">
              <w:rPr>
                <w:spacing w:val="-3"/>
                <w:sz w:val="20"/>
                <w:szCs w:val="20"/>
              </w:rPr>
              <w:t>OIT</w:t>
            </w:r>
            <w:r w:rsidR="00FA7C29" w:rsidRPr="00BD1319">
              <w:rPr>
                <w:spacing w:val="-3"/>
                <w:sz w:val="20"/>
                <w:szCs w:val="20"/>
              </w:rPr>
              <w:t>)</w:t>
            </w:r>
            <w:r w:rsidRPr="00BD1319">
              <w:rPr>
                <w:spacing w:val="-3"/>
                <w:sz w:val="20"/>
                <w:szCs w:val="20"/>
              </w:rPr>
              <w:t xml:space="preserve">, </w:t>
            </w:r>
            <w:r w:rsidR="00FA7C29" w:rsidRPr="00BD1319">
              <w:rPr>
                <w:spacing w:val="-3"/>
                <w:sz w:val="20"/>
                <w:szCs w:val="20"/>
              </w:rPr>
              <w:t>Organización para la Cooperación y el Desarrollo Económicos (</w:t>
            </w:r>
            <w:r w:rsidRPr="00BD1319">
              <w:rPr>
                <w:spacing w:val="-3"/>
                <w:sz w:val="20"/>
                <w:szCs w:val="20"/>
              </w:rPr>
              <w:t>OCDE</w:t>
            </w:r>
            <w:r w:rsidR="00FA7C29" w:rsidRPr="00BD1319">
              <w:rPr>
                <w:spacing w:val="-3"/>
                <w:sz w:val="20"/>
                <w:szCs w:val="20"/>
              </w:rPr>
              <w:t>)</w:t>
            </w:r>
            <w:r w:rsidRPr="00BD1319">
              <w:rPr>
                <w:spacing w:val="-3"/>
                <w:sz w:val="20"/>
                <w:szCs w:val="20"/>
              </w:rPr>
              <w:t xml:space="preserve">, </w:t>
            </w:r>
            <w:r w:rsidR="00FA7C29" w:rsidRPr="00BD1319">
              <w:rPr>
                <w:spacing w:val="-3"/>
                <w:sz w:val="20"/>
                <w:szCs w:val="20"/>
              </w:rPr>
              <w:t>Comisión Económica para América Latina y el Caribe (</w:t>
            </w:r>
            <w:r w:rsidRPr="00BD1319">
              <w:rPr>
                <w:spacing w:val="-3"/>
                <w:sz w:val="20"/>
                <w:szCs w:val="20"/>
              </w:rPr>
              <w:t>CEPAL</w:t>
            </w:r>
            <w:r w:rsidR="00FA7C29" w:rsidRPr="00BD1319">
              <w:rPr>
                <w:spacing w:val="-3"/>
                <w:sz w:val="20"/>
                <w:szCs w:val="20"/>
              </w:rPr>
              <w:t>)</w:t>
            </w:r>
            <w:r w:rsidRPr="00BD1319">
              <w:rPr>
                <w:spacing w:val="-3"/>
                <w:sz w:val="20"/>
                <w:szCs w:val="20"/>
              </w:rPr>
              <w:t xml:space="preserve">, </w:t>
            </w:r>
            <w:r w:rsidR="00FA7C29" w:rsidRPr="00BD1319">
              <w:rPr>
                <w:spacing w:val="-3"/>
                <w:sz w:val="20"/>
                <w:szCs w:val="20"/>
              </w:rPr>
              <w:t>Organización de las Naciones Unidas (</w:t>
            </w:r>
            <w:r w:rsidRPr="00BD1319">
              <w:rPr>
                <w:spacing w:val="-3"/>
                <w:sz w:val="20"/>
                <w:szCs w:val="20"/>
              </w:rPr>
              <w:t>ONU</w:t>
            </w:r>
            <w:r w:rsidR="00FA7C29" w:rsidRPr="00BD1319">
              <w:rPr>
                <w:spacing w:val="-3"/>
                <w:sz w:val="20"/>
                <w:szCs w:val="20"/>
              </w:rPr>
              <w:t>).</w:t>
            </w:r>
          </w:p>
        </w:tc>
        <w:tc>
          <w:tcPr>
            <w:tcW w:w="2454" w:type="dxa"/>
            <w:vMerge w:val="restart"/>
          </w:tcPr>
          <w:p w14:paraId="3C7CDD75" w14:textId="6F3D2295" w:rsidR="00A101A4" w:rsidRPr="00BD1319" w:rsidRDefault="00A101A4">
            <w:pPr>
              <w:numPr>
                <w:ilvl w:val="12"/>
                <w:numId w:val="0"/>
              </w:numPr>
              <w:tabs>
                <w:tab w:val="left" w:pos="-2268"/>
              </w:tabs>
              <w:suppressAutoHyphens/>
              <w:rPr>
                <w:spacing w:val="-3"/>
                <w:sz w:val="20"/>
                <w:szCs w:val="20"/>
              </w:rPr>
            </w:pPr>
            <w:r w:rsidRPr="00BD1319">
              <w:rPr>
                <w:spacing w:val="-3"/>
                <w:sz w:val="20"/>
                <w:szCs w:val="20"/>
              </w:rPr>
              <w:lastRenderedPageBreak/>
              <w:t xml:space="preserve">Estudios </w:t>
            </w:r>
            <w:r w:rsidR="004C6443" w:rsidRPr="00BD1319">
              <w:rPr>
                <w:spacing w:val="-3"/>
                <w:sz w:val="20"/>
                <w:szCs w:val="20"/>
              </w:rPr>
              <w:t>demográficos, espaciales o económicos</w:t>
            </w:r>
            <w:r w:rsidRPr="00BD1319">
              <w:rPr>
                <w:rFonts w:cs="Arial"/>
                <w:spacing w:val="-3"/>
                <w:sz w:val="20"/>
                <w:szCs w:val="20"/>
              </w:rPr>
              <w:t>, asociaciones especializadas</w:t>
            </w:r>
            <w:r w:rsidR="004C6443" w:rsidRPr="00BD1319">
              <w:rPr>
                <w:rFonts w:cs="Arial"/>
                <w:spacing w:val="-3"/>
                <w:sz w:val="20"/>
                <w:szCs w:val="20"/>
              </w:rPr>
              <w:t xml:space="preserve"> y estudios ambientales</w:t>
            </w:r>
            <w:r w:rsidRPr="00BD1319">
              <w:rPr>
                <w:rFonts w:cs="Arial"/>
                <w:spacing w:val="-3"/>
                <w:sz w:val="20"/>
                <w:szCs w:val="20"/>
              </w:rPr>
              <w:t>.</w:t>
            </w:r>
          </w:p>
        </w:tc>
      </w:tr>
      <w:tr w:rsidR="00A07753" w:rsidRPr="00BD1319" w14:paraId="1C27CE24" w14:textId="77777777" w:rsidTr="000D6E21">
        <w:trPr>
          <w:trHeight w:val="515"/>
          <w:jc w:val="center"/>
        </w:trPr>
        <w:tc>
          <w:tcPr>
            <w:tcW w:w="2263" w:type="dxa"/>
            <w:vAlign w:val="center"/>
          </w:tcPr>
          <w:p w14:paraId="073B6825" w14:textId="77777777" w:rsidR="00A101A4" w:rsidRPr="00BD1319" w:rsidRDefault="00A101A4">
            <w:pPr>
              <w:numPr>
                <w:ilvl w:val="12"/>
                <w:numId w:val="0"/>
              </w:numPr>
              <w:tabs>
                <w:tab w:val="left" w:pos="-2268"/>
              </w:tabs>
              <w:suppressAutoHyphens/>
              <w:rPr>
                <w:b/>
                <w:spacing w:val="-3"/>
                <w:sz w:val="20"/>
                <w:szCs w:val="20"/>
              </w:rPr>
            </w:pPr>
            <w:r w:rsidRPr="00BD1319">
              <w:rPr>
                <w:b/>
                <w:spacing w:val="-3"/>
                <w:sz w:val="20"/>
                <w:szCs w:val="20"/>
              </w:rPr>
              <w:t>Espacial</w:t>
            </w:r>
          </w:p>
        </w:tc>
        <w:tc>
          <w:tcPr>
            <w:tcW w:w="4678" w:type="dxa"/>
            <w:vMerge/>
          </w:tcPr>
          <w:p w14:paraId="0D170F50" w14:textId="77777777" w:rsidR="00A101A4" w:rsidRPr="00BD1319" w:rsidRDefault="00A101A4">
            <w:pPr>
              <w:numPr>
                <w:ilvl w:val="12"/>
                <w:numId w:val="0"/>
              </w:numPr>
              <w:tabs>
                <w:tab w:val="left" w:pos="-2268"/>
              </w:tabs>
              <w:suppressAutoHyphens/>
              <w:rPr>
                <w:spacing w:val="-3"/>
                <w:sz w:val="20"/>
                <w:szCs w:val="20"/>
              </w:rPr>
            </w:pPr>
          </w:p>
        </w:tc>
        <w:tc>
          <w:tcPr>
            <w:tcW w:w="2454" w:type="dxa"/>
            <w:vMerge/>
          </w:tcPr>
          <w:p w14:paraId="48B3288F" w14:textId="77777777" w:rsidR="00A101A4" w:rsidRPr="00BD1319" w:rsidRDefault="00A101A4">
            <w:pPr>
              <w:numPr>
                <w:ilvl w:val="12"/>
                <w:numId w:val="0"/>
              </w:numPr>
              <w:tabs>
                <w:tab w:val="left" w:pos="-2268"/>
              </w:tabs>
              <w:suppressAutoHyphens/>
              <w:rPr>
                <w:spacing w:val="-3"/>
                <w:sz w:val="20"/>
                <w:szCs w:val="20"/>
              </w:rPr>
            </w:pPr>
          </w:p>
        </w:tc>
      </w:tr>
      <w:tr w:rsidR="00A07753" w:rsidRPr="00BD1319" w14:paraId="5DDCB67E" w14:textId="77777777" w:rsidTr="000D6E21">
        <w:trPr>
          <w:trHeight w:val="515"/>
          <w:jc w:val="center"/>
        </w:trPr>
        <w:tc>
          <w:tcPr>
            <w:tcW w:w="2263" w:type="dxa"/>
            <w:vAlign w:val="center"/>
          </w:tcPr>
          <w:p w14:paraId="3E1C0CE6" w14:textId="77777777" w:rsidR="00A101A4" w:rsidRPr="00BD1319" w:rsidRDefault="00A101A4">
            <w:pPr>
              <w:numPr>
                <w:ilvl w:val="12"/>
                <w:numId w:val="0"/>
              </w:numPr>
              <w:tabs>
                <w:tab w:val="left" w:pos="-2268"/>
              </w:tabs>
              <w:suppressAutoHyphens/>
              <w:rPr>
                <w:b/>
                <w:spacing w:val="-3"/>
                <w:sz w:val="20"/>
                <w:szCs w:val="20"/>
              </w:rPr>
            </w:pPr>
            <w:r w:rsidRPr="00BD1319">
              <w:rPr>
                <w:b/>
                <w:spacing w:val="-3"/>
                <w:sz w:val="20"/>
                <w:szCs w:val="20"/>
              </w:rPr>
              <w:t>Económico</w:t>
            </w:r>
          </w:p>
        </w:tc>
        <w:tc>
          <w:tcPr>
            <w:tcW w:w="4678" w:type="dxa"/>
            <w:vMerge/>
          </w:tcPr>
          <w:p w14:paraId="5527BAE1" w14:textId="77777777" w:rsidR="00A101A4" w:rsidRPr="00BD1319" w:rsidRDefault="00A101A4">
            <w:pPr>
              <w:numPr>
                <w:ilvl w:val="12"/>
                <w:numId w:val="0"/>
              </w:numPr>
              <w:tabs>
                <w:tab w:val="left" w:pos="-2268"/>
              </w:tabs>
              <w:suppressAutoHyphens/>
              <w:rPr>
                <w:spacing w:val="-3"/>
                <w:sz w:val="20"/>
                <w:szCs w:val="20"/>
              </w:rPr>
            </w:pPr>
          </w:p>
        </w:tc>
        <w:tc>
          <w:tcPr>
            <w:tcW w:w="2454" w:type="dxa"/>
            <w:vMerge/>
          </w:tcPr>
          <w:p w14:paraId="70393615" w14:textId="77777777" w:rsidR="00A101A4" w:rsidRPr="00BD1319" w:rsidRDefault="00A101A4">
            <w:pPr>
              <w:numPr>
                <w:ilvl w:val="12"/>
                <w:numId w:val="0"/>
              </w:numPr>
              <w:tabs>
                <w:tab w:val="left" w:pos="-2268"/>
              </w:tabs>
              <w:suppressAutoHyphens/>
              <w:rPr>
                <w:spacing w:val="-3"/>
                <w:sz w:val="20"/>
                <w:szCs w:val="20"/>
              </w:rPr>
            </w:pPr>
          </w:p>
        </w:tc>
      </w:tr>
      <w:tr w:rsidR="00A07753" w:rsidRPr="00BD1319" w14:paraId="58F1731D" w14:textId="77777777" w:rsidTr="000D6E21">
        <w:trPr>
          <w:jc w:val="center"/>
        </w:trPr>
        <w:tc>
          <w:tcPr>
            <w:tcW w:w="2263" w:type="dxa"/>
            <w:vAlign w:val="center"/>
          </w:tcPr>
          <w:p w14:paraId="7751EB25" w14:textId="77777777" w:rsidR="00A101A4" w:rsidRPr="00BD1319" w:rsidRDefault="00A101A4">
            <w:pPr>
              <w:numPr>
                <w:ilvl w:val="12"/>
                <w:numId w:val="0"/>
              </w:numPr>
              <w:tabs>
                <w:tab w:val="left" w:pos="-2268"/>
              </w:tabs>
              <w:suppressAutoHyphens/>
              <w:rPr>
                <w:b/>
                <w:spacing w:val="-3"/>
                <w:sz w:val="20"/>
                <w:szCs w:val="20"/>
              </w:rPr>
            </w:pPr>
            <w:r w:rsidRPr="00BD1319">
              <w:rPr>
                <w:b/>
                <w:spacing w:val="-3"/>
                <w:sz w:val="20"/>
                <w:szCs w:val="20"/>
              </w:rPr>
              <w:t>Cultural</w:t>
            </w:r>
          </w:p>
        </w:tc>
        <w:tc>
          <w:tcPr>
            <w:tcW w:w="4678" w:type="dxa"/>
          </w:tcPr>
          <w:p w14:paraId="1CB6CF72" w14:textId="2359B24D" w:rsidR="00961242" w:rsidRPr="00BD1319" w:rsidRDefault="00A101A4" w:rsidP="00961242">
            <w:pPr>
              <w:numPr>
                <w:ilvl w:val="12"/>
                <w:numId w:val="0"/>
              </w:numPr>
              <w:tabs>
                <w:tab w:val="left" w:pos="-2268"/>
              </w:tabs>
              <w:suppressAutoHyphens/>
              <w:rPr>
                <w:spacing w:val="-3"/>
                <w:sz w:val="20"/>
                <w:szCs w:val="20"/>
              </w:rPr>
            </w:pPr>
            <w:r w:rsidRPr="00BD1319">
              <w:rPr>
                <w:spacing w:val="-3"/>
                <w:sz w:val="20"/>
                <w:szCs w:val="20"/>
              </w:rPr>
              <w:t xml:space="preserve">ICANH, ADR, ANT, </w:t>
            </w:r>
            <w:r w:rsidR="00961242" w:rsidRPr="00BD1319">
              <w:rPr>
                <w:spacing w:val="-3"/>
                <w:sz w:val="20"/>
                <w:szCs w:val="20"/>
              </w:rPr>
              <w:t xml:space="preserve">DANE, DNP, PNN, </w:t>
            </w:r>
            <w:r w:rsidRPr="00BD1319">
              <w:rPr>
                <w:spacing w:val="-3"/>
                <w:sz w:val="20"/>
                <w:szCs w:val="20"/>
              </w:rPr>
              <w:t>Ministerio de Cultura</w:t>
            </w:r>
            <w:r w:rsidRPr="00BD1319">
              <w:rPr>
                <w:rFonts w:cs="Arial"/>
                <w:spacing w:val="-3"/>
                <w:sz w:val="20"/>
                <w:szCs w:val="20"/>
              </w:rPr>
              <w:t>,</w:t>
            </w:r>
            <w:r w:rsidRPr="00BD1319">
              <w:rPr>
                <w:spacing w:val="-3"/>
                <w:sz w:val="20"/>
                <w:szCs w:val="20"/>
              </w:rPr>
              <w:t xml:space="preserve"> Ministerio del Interior</w:t>
            </w:r>
            <w:r w:rsidR="00961242" w:rsidRPr="00BD1319">
              <w:rPr>
                <w:spacing w:val="-3"/>
                <w:sz w:val="20"/>
                <w:szCs w:val="20"/>
              </w:rPr>
              <w:t xml:space="preserve">, Ministerio de Ciencia, Tecnología e Innovación, </w:t>
            </w:r>
            <w:r w:rsidRPr="00BD1319">
              <w:rPr>
                <w:rFonts w:cs="Arial"/>
                <w:spacing w:val="-3"/>
                <w:sz w:val="20"/>
                <w:szCs w:val="20"/>
              </w:rPr>
              <w:t>Autoridad Nacional de Consulta Previa</w:t>
            </w:r>
            <w:r w:rsidR="00961242" w:rsidRPr="00BD1319">
              <w:rPr>
                <w:rFonts w:cs="Arial"/>
                <w:spacing w:val="-3"/>
                <w:sz w:val="20"/>
                <w:szCs w:val="20"/>
              </w:rPr>
              <w:t xml:space="preserve">, </w:t>
            </w:r>
            <w:r w:rsidR="00961242" w:rsidRPr="00BD1319">
              <w:rPr>
                <w:spacing w:val="-3"/>
                <w:sz w:val="20"/>
                <w:szCs w:val="20"/>
              </w:rPr>
              <w:t>Consejería Presidencial para la Equidad de la Mujer, Consejería Presidencial para los Derechos Humanos y Derecho Internacional Humanitario y Centro Nacional de Memoria Histórica (CNMH).</w:t>
            </w:r>
          </w:p>
        </w:tc>
        <w:tc>
          <w:tcPr>
            <w:tcW w:w="2454" w:type="dxa"/>
          </w:tcPr>
          <w:p w14:paraId="2C411C8F" w14:textId="59F639C3" w:rsidR="00A101A4" w:rsidRPr="00BD1319" w:rsidRDefault="00A101A4">
            <w:pPr>
              <w:numPr>
                <w:ilvl w:val="12"/>
                <w:numId w:val="0"/>
              </w:numPr>
              <w:tabs>
                <w:tab w:val="left" w:pos="-2268"/>
              </w:tabs>
              <w:suppressAutoHyphens/>
              <w:rPr>
                <w:spacing w:val="-3"/>
                <w:sz w:val="20"/>
                <w:szCs w:val="20"/>
              </w:rPr>
            </w:pPr>
            <w:r w:rsidRPr="00BD1319">
              <w:rPr>
                <w:spacing w:val="-3"/>
                <w:sz w:val="20"/>
                <w:szCs w:val="20"/>
              </w:rPr>
              <w:t xml:space="preserve">Estudios </w:t>
            </w:r>
            <w:r w:rsidR="004C6443" w:rsidRPr="00BD1319">
              <w:rPr>
                <w:spacing w:val="-3"/>
                <w:sz w:val="20"/>
                <w:szCs w:val="20"/>
              </w:rPr>
              <w:t>culturales</w:t>
            </w:r>
            <w:r w:rsidRPr="00BD1319">
              <w:rPr>
                <w:spacing w:val="-3"/>
                <w:sz w:val="20"/>
                <w:szCs w:val="20"/>
              </w:rPr>
              <w:t xml:space="preserve">, </w:t>
            </w:r>
            <w:r w:rsidR="004C6443" w:rsidRPr="00BD1319">
              <w:rPr>
                <w:spacing w:val="-3"/>
                <w:sz w:val="20"/>
                <w:szCs w:val="20"/>
              </w:rPr>
              <w:t>institutos de</w:t>
            </w:r>
            <w:r w:rsidRPr="00BD1319">
              <w:rPr>
                <w:spacing w:val="-3"/>
                <w:sz w:val="20"/>
                <w:szCs w:val="20"/>
              </w:rPr>
              <w:t xml:space="preserve"> investigación (</w:t>
            </w:r>
            <w:r w:rsidR="004C6443" w:rsidRPr="00BD1319">
              <w:rPr>
                <w:spacing w:val="-3"/>
                <w:sz w:val="20"/>
                <w:szCs w:val="20"/>
              </w:rPr>
              <w:t xml:space="preserve">de </w:t>
            </w:r>
            <w:r w:rsidRPr="00BD1319">
              <w:rPr>
                <w:spacing w:val="-3"/>
                <w:sz w:val="20"/>
                <w:szCs w:val="20"/>
              </w:rPr>
              <w:t>universidades</w:t>
            </w:r>
            <w:r w:rsidR="004C6443" w:rsidRPr="00BD1319">
              <w:rPr>
                <w:spacing w:val="-3"/>
                <w:sz w:val="20"/>
                <w:szCs w:val="20"/>
              </w:rPr>
              <w:t xml:space="preserve"> u otras organizaciones</w:t>
            </w:r>
            <w:r w:rsidRPr="00BD1319">
              <w:rPr>
                <w:spacing w:val="-3"/>
                <w:sz w:val="20"/>
                <w:szCs w:val="20"/>
              </w:rPr>
              <w:t>), ONG</w:t>
            </w:r>
            <w:r w:rsidR="004C6443" w:rsidRPr="00BD1319">
              <w:rPr>
                <w:spacing w:val="-3"/>
                <w:sz w:val="20"/>
                <w:szCs w:val="20"/>
              </w:rPr>
              <w:t>,</w:t>
            </w:r>
            <w:r w:rsidRPr="00BD1319">
              <w:rPr>
                <w:spacing w:val="-3"/>
                <w:sz w:val="20"/>
                <w:szCs w:val="20"/>
              </w:rPr>
              <w:t xml:space="preserve"> </w:t>
            </w:r>
            <w:r w:rsidR="004C6443" w:rsidRPr="00BD1319">
              <w:rPr>
                <w:spacing w:val="-3"/>
                <w:sz w:val="20"/>
                <w:szCs w:val="20"/>
              </w:rPr>
              <w:t>a</w:t>
            </w:r>
            <w:r w:rsidRPr="00BD1319">
              <w:rPr>
                <w:spacing w:val="-3"/>
                <w:sz w:val="20"/>
                <w:szCs w:val="20"/>
              </w:rPr>
              <w:t xml:space="preserve">sociaciones </w:t>
            </w:r>
            <w:r w:rsidR="004C6443" w:rsidRPr="00BD1319">
              <w:rPr>
                <w:spacing w:val="-3"/>
                <w:sz w:val="20"/>
                <w:szCs w:val="20"/>
              </w:rPr>
              <w:t>i</w:t>
            </w:r>
            <w:r w:rsidRPr="00BD1319">
              <w:rPr>
                <w:spacing w:val="-3"/>
                <w:sz w:val="20"/>
                <w:szCs w:val="20"/>
              </w:rPr>
              <w:t xml:space="preserve">ndígenas y </w:t>
            </w:r>
            <w:r w:rsidR="004C6443" w:rsidRPr="00BD1319">
              <w:rPr>
                <w:spacing w:val="-3"/>
                <w:sz w:val="20"/>
                <w:szCs w:val="20"/>
              </w:rPr>
              <w:t>a</w:t>
            </w:r>
            <w:r w:rsidRPr="00BD1319">
              <w:rPr>
                <w:spacing w:val="-3"/>
                <w:sz w:val="20"/>
                <w:szCs w:val="20"/>
              </w:rPr>
              <w:t>frocolombianas</w:t>
            </w:r>
            <w:r w:rsidR="004C6443" w:rsidRPr="00BD1319">
              <w:rPr>
                <w:spacing w:val="-3"/>
                <w:sz w:val="20"/>
                <w:szCs w:val="20"/>
              </w:rPr>
              <w:t xml:space="preserve"> y estudios ambientales</w:t>
            </w:r>
            <w:r w:rsidRPr="00BD1319">
              <w:rPr>
                <w:spacing w:val="-3"/>
                <w:sz w:val="20"/>
                <w:szCs w:val="20"/>
              </w:rPr>
              <w:t>.</w:t>
            </w:r>
          </w:p>
        </w:tc>
      </w:tr>
      <w:tr w:rsidR="00A07753" w:rsidRPr="00BD1319" w14:paraId="4B8F2D32" w14:textId="77777777" w:rsidTr="000D6E21">
        <w:trPr>
          <w:trHeight w:val="955"/>
          <w:jc w:val="center"/>
        </w:trPr>
        <w:tc>
          <w:tcPr>
            <w:tcW w:w="2263" w:type="dxa"/>
            <w:vAlign w:val="center"/>
          </w:tcPr>
          <w:p w14:paraId="6DE2E179" w14:textId="7616F125" w:rsidR="003F46E8" w:rsidRPr="00BD1319" w:rsidRDefault="003F46E8" w:rsidP="00896B13">
            <w:pPr>
              <w:numPr>
                <w:ilvl w:val="12"/>
                <w:numId w:val="0"/>
              </w:numPr>
              <w:tabs>
                <w:tab w:val="left" w:pos="-2268"/>
              </w:tabs>
              <w:suppressAutoHyphens/>
              <w:rPr>
                <w:b/>
                <w:spacing w:val="-3"/>
                <w:sz w:val="20"/>
                <w:szCs w:val="20"/>
              </w:rPr>
            </w:pPr>
            <w:r w:rsidRPr="00BD1319">
              <w:rPr>
                <w:b/>
                <w:spacing w:val="-3"/>
                <w:sz w:val="20"/>
                <w:szCs w:val="20"/>
              </w:rPr>
              <w:t>Arqueológico</w:t>
            </w:r>
          </w:p>
        </w:tc>
        <w:tc>
          <w:tcPr>
            <w:tcW w:w="4678" w:type="dxa"/>
            <w:vAlign w:val="center"/>
          </w:tcPr>
          <w:p w14:paraId="33F0CD41" w14:textId="75890E64" w:rsidR="003F46E8" w:rsidRPr="00BD1319" w:rsidRDefault="00E653CA" w:rsidP="00030AE9">
            <w:pPr>
              <w:numPr>
                <w:ilvl w:val="12"/>
                <w:numId w:val="0"/>
              </w:numPr>
              <w:tabs>
                <w:tab w:val="left" w:pos="-2268"/>
              </w:tabs>
              <w:suppressAutoHyphens/>
              <w:rPr>
                <w:spacing w:val="-3"/>
                <w:sz w:val="20"/>
                <w:szCs w:val="20"/>
              </w:rPr>
            </w:pPr>
            <w:r w:rsidRPr="00BD1319">
              <w:rPr>
                <w:spacing w:val="-3"/>
                <w:sz w:val="20"/>
                <w:szCs w:val="20"/>
              </w:rPr>
              <w:t xml:space="preserve">Instituto Colombiano de Arqueología e Historia (ICANH), </w:t>
            </w:r>
            <w:r w:rsidR="003F46E8" w:rsidRPr="00BD1319">
              <w:rPr>
                <w:spacing w:val="-3"/>
                <w:sz w:val="20"/>
                <w:szCs w:val="20"/>
              </w:rPr>
              <w:t xml:space="preserve">Unidad de Búsqueda de Personas dadas por Desaparecidas (UBPD), </w:t>
            </w:r>
            <w:proofErr w:type="gramStart"/>
            <w:r w:rsidR="00D171CE" w:rsidRPr="00BD1319">
              <w:rPr>
                <w:spacing w:val="-3"/>
                <w:sz w:val="20"/>
                <w:szCs w:val="20"/>
              </w:rPr>
              <w:t>Fiscalía General</w:t>
            </w:r>
            <w:proofErr w:type="gramEnd"/>
            <w:r w:rsidR="00D171CE" w:rsidRPr="00BD1319">
              <w:rPr>
                <w:spacing w:val="-3"/>
                <w:sz w:val="20"/>
                <w:szCs w:val="20"/>
              </w:rPr>
              <w:t xml:space="preserve"> de la Nación (FGN)</w:t>
            </w:r>
            <w:r w:rsidR="003F46E8" w:rsidRPr="00BD1319">
              <w:rPr>
                <w:spacing w:val="-3"/>
                <w:sz w:val="20"/>
                <w:szCs w:val="20"/>
              </w:rPr>
              <w:t>.</w:t>
            </w:r>
          </w:p>
        </w:tc>
        <w:tc>
          <w:tcPr>
            <w:tcW w:w="2454" w:type="dxa"/>
            <w:vAlign w:val="center"/>
          </w:tcPr>
          <w:p w14:paraId="37FEF87A" w14:textId="77777777" w:rsidR="003F46E8" w:rsidRPr="00BD1319" w:rsidRDefault="003F46E8" w:rsidP="00030AE9">
            <w:pPr>
              <w:suppressAutoHyphens/>
              <w:rPr>
                <w:spacing w:val="-3"/>
                <w:sz w:val="20"/>
                <w:szCs w:val="20"/>
              </w:rPr>
            </w:pPr>
          </w:p>
        </w:tc>
      </w:tr>
      <w:tr w:rsidR="00A07753" w:rsidRPr="00BD1319" w14:paraId="686EDC73" w14:textId="77777777" w:rsidTr="000D6E21">
        <w:trPr>
          <w:trHeight w:val="1518"/>
          <w:jc w:val="center"/>
        </w:trPr>
        <w:tc>
          <w:tcPr>
            <w:tcW w:w="2263" w:type="dxa"/>
            <w:vAlign w:val="center"/>
          </w:tcPr>
          <w:p w14:paraId="77A02500" w14:textId="44C4A0BD" w:rsidR="007B51E7" w:rsidRPr="00BD1319" w:rsidRDefault="007B51E7" w:rsidP="00896B13">
            <w:pPr>
              <w:numPr>
                <w:ilvl w:val="12"/>
                <w:numId w:val="0"/>
              </w:numPr>
              <w:tabs>
                <w:tab w:val="left" w:pos="-2268"/>
              </w:tabs>
              <w:suppressAutoHyphens/>
              <w:rPr>
                <w:b/>
                <w:spacing w:val="-3"/>
                <w:sz w:val="20"/>
                <w:szCs w:val="20"/>
              </w:rPr>
            </w:pPr>
            <w:r w:rsidRPr="00BD1319">
              <w:rPr>
                <w:b/>
                <w:spacing w:val="-3"/>
                <w:sz w:val="20"/>
                <w:szCs w:val="20"/>
              </w:rPr>
              <w:t>Político organizativo</w:t>
            </w:r>
          </w:p>
        </w:tc>
        <w:tc>
          <w:tcPr>
            <w:tcW w:w="4678" w:type="dxa"/>
          </w:tcPr>
          <w:p w14:paraId="55B87566" w14:textId="58A20D7C" w:rsidR="007B51E7" w:rsidRPr="00BD1319" w:rsidRDefault="00AC2AB8">
            <w:pPr>
              <w:numPr>
                <w:ilvl w:val="12"/>
                <w:numId w:val="0"/>
              </w:numPr>
              <w:tabs>
                <w:tab w:val="left" w:pos="-2268"/>
              </w:tabs>
              <w:suppressAutoHyphens/>
              <w:rPr>
                <w:spacing w:val="-3"/>
                <w:sz w:val="20"/>
                <w:szCs w:val="20"/>
              </w:rPr>
            </w:pPr>
            <w:r w:rsidRPr="00BD1319">
              <w:rPr>
                <w:spacing w:val="-3"/>
                <w:sz w:val="20"/>
                <w:szCs w:val="20"/>
              </w:rPr>
              <w:t>Departamento Administrativo de la Presidencia de la República (</w:t>
            </w:r>
            <w:r w:rsidR="002B4E7C" w:rsidRPr="00BD1319">
              <w:rPr>
                <w:spacing w:val="-3"/>
                <w:sz w:val="20"/>
                <w:szCs w:val="20"/>
              </w:rPr>
              <w:t>DAPRE</w:t>
            </w:r>
            <w:r w:rsidRPr="00BD1319">
              <w:rPr>
                <w:spacing w:val="-3"/>
                <w:sz w:val="20"/>
                <w:szCs w:val="20"/>
              </w:rPr>
              <w:t>)</w:t>
            </w:r>
            <w:r w:rsidR="002B4E7C" w:rsidRPr="00BD1319">
              <w:rPr>
                <w:spacing w:val="-3"/>
                <w:sz w:val="20"/>
                <w:szCs w:val="20"/>
              </w:rPr>
              <w:t>, Consejería Presidencial para los Derechos Humanos y Derecho Internacional Humanitario, Ministerio de</w:t>
            </w:r>
            <w:r w:rsidRPr="00BD1319">
              <w:rPr>
                <w:spacing w:val="-3"/>
                <w:sz w:val="20"/>
                <w:szCs w:val="20"/>
              </w:rPr>
              <w:t>l</w:t>
            </w:r>
            <w:r w:rsidR="002B4E7C" w:rsidRPr="00BD1319">
              <w:rPr>
                <w:spacing w:val="-3"/>
                <w:sz w:val="20"/>
                <w:szCs w:val="20"/>
              </w:rPr>
              <w:t xml:space="preserve"> Trabajo, Ministerio del Interior, </w:t>
            </w:r>
            <w:r w:rsidR="007B51E7" w:rsidRPr="00BD1319">
              <w:rPr>
                <w:spacing w:val="-3"/>
                <w:sz w:val="20"/>
                <w:szCs w:val="20"/>
              </w:rPr>
              <w:t xml:space="preserve">Entidades territoriales, DANE, </w:t>
            </w:r>
            <w:r w:rsidR="004C6443" w:rsidRPr="00BD1319">
              <w:rPr>
                <w:spacing w:val="-3"/>
                <w:sz w:val="20"/>
                <w:szCs w:val="20"/>
              </w:rPr>
              <w:t>a</w:t>
            </w:r>
            <w:r w:rsidR="007B51E7" w:rsidRPr="00BD1319">
              <w:rPr>
                <w:spacing w:val="-3"/>
                <w:sz w:val="20"/>
                <w:szCs w:val="20"/>
              </w:rPr>
              <w:t>gendas de competitividad del DNP, IGAC, UAEGRTD, SIAC</w:t>
            </w:r>
            <w:r w:rsidR="004C6443" w:rsidRPr="00BD1319">
              <w:rPr>
                <w:spacing w:val="-3"/>
                <w:sz w:val="20"/>
                <w:szCs w:val="20"/>
              </w:rPr>
              <w:t xml:space="preserve"> y</w:t>
            </w:r>
            <w:r w:rsidR="007B51E7" w:rsidRPr="00BD1319">
              <w:rPr>
                <w:spacing w:val="-3"/>
                <w:sz w:val="20"/>
                <w:szCs w:val="20"/>
              </w:rPr>
              <w:t xml:space="preserve"> </w:t>
            </w:r>
            <w:r w:rsidR="004C6443" w:rsidRPr="00BD1319">
              <w:rPr>
                <w:spacing w:val="-3"/>
                <w:sz w:val="20"/>
                <w:szCs w:val="20"/>
              </w:rPr>
              <w:t>o</w:t>
            </w:r>
            <w:r w:rsidR="007B51E7" w:rsidRPr="00BD1319">
              <w:rPr>
                <w:spacing w:val="-3"/>
                <w:sz w:val="20"/>
                <w:szCs w:val="20"/>
              </w:rPr>
              <w:t>bservatorios de paz regionales.</w:t>
            </w:r>
          </w:p>
        </w:tc>
        <w:tc>
          <w:tcPr>
            <w:tcW w:w="2454" w:type="dxa"/>
          </w:tcPr>
          <w:p w14:paraId="207CA266" w14:textId="28807B86" w:rsidR="007B51E7" w:rsidRPr="00BD1319" w:rsidRDefault="007B51E7" w:rsidP="0016F5AC">
            <w:pPr>
              <w:suppressAutoHyphens/>
              <w:rPr>
                <w:spacing w:val="-3"/>
                <w:sz w:val="20"/>
                <w:szCs w:val="20"/>
              </w:rPr>
            </w:pPr>
            <w:r w:rsidRPr="00BD1319">
              <w:rPr>
                <w:spacing w:val="-3"/>
                <w:sz w:val="20"/>
                <w:szCs w:val="20"/>
              </w:rPr>
              <w:t xml:space="preserve">Estudios </w:t>
            </w:r>
            <w:r w:rsidR="004C6443" w:rsidRPr="00BD1319">
              <w:rPr>
                <w:spacing w:val="-3"/>
                <w:sz w:val="20"/>
                <w:szCs w:val="20"/>
              </w:rPr>
              <w:t>político-organizativos</w:t>
            </w:r>
            <w:r w:rsidRPr="00BD1319">
              <w:rPr>
                <w:spacing w:val="-3"/>
                <w:sz w:val="20"/>
                <w:szCs w:val="20"/>
              </w:rPr>
              <w:t xml:space="preserve">, </w:t>
            </w:r>
            <w:r w:rsidR="004C6443" w:rsidRPr="00BD1319">
              <w:rPr>
                <w:spacing w:val="-3"/>
                <w:sz w:val="20"/>
                <w:szCs w:val="20"/>
              </w:rPr>
              <w:t>institutos de investigación (de universidades u otras organizaciones), estudios ambientales</w:t>
            </w:r>
            <w:r w:rsidR="00203EE2" w:rsidRPr="00BD1319">
              <w:rPr>
                <w:sz w:val="20"/>
                <w:szCs w:val="20"/>
              </w:rPr>
              <w:t>,</w:t>
            </w:r>
            <w:r w:rsidRPr="00BD1319">
              <w:rPr>
                <w:spacing w:val="-3"/>
                <w:sz w:val="20"/>
                <w:szCs w:val="20"/>
              </w:rPr>
              <w:t xml:space="preserve"> </w:t>
            </w:r>
            <w:r w:rsidR="004C6443" w:rsidRPr="00BD1319">
              <w:rPr>
                <w:spacing w:val="-3"/>
                <w:sz w:val="20"/>
                <w:szCs w:val="20"/>
              </w:rPr>
              <w:t>POT</w:t>
            </w:r>
            <w:r w:rsidR="00203EE2" w:rsidRPr="00BD1319">
              <w:rPr>
                <w:sz w:val="20"/>
                <w:szCs w:val="20"/>
              </w:rPr>
              <w:t>,</w:t>
            </w:r>
            <w:r w:rsidR="00203EE2" w:rsidRPr="00BD1319">
              <w:rPr>
                <w:rFonts w:cs="Arial"/>
                <w:sz w:val="20"/>
                <w:szCs w:val="20"/>
              </w:rPr>
              <w:t xml:space="preserve"> PBOT y EOT</w:t>
            </w:r>
            <w:r w:rsidRPr="00BD1319">
              <w:rPr>
                <w:rFonts w:cs="Arial"/>
                <w:spacing w:val="-3"/>
                <w:sz w:val="20"/>
                <w:szCs w:val="20"/>
              </w:rPr>
              <w:t>.</w:t>
            </w:r>
          </w:p>
        </w:tc>
      </w:tr>
      <w:tr w:rsidR="00A07753" w:rsidRPr="00BD1319" w14:paraId="78E04C48" w14:textId="77777777" w:rsidTr="000D6E21">
        <w:trPr>
          <w:jc w:val="center"/>
        </w:trPr>
        <w:tc>
          <w:tcPr>
            <w:tcW w:w="2263" w:type="dxa"/>
            <w:vAlign w:val="center"/>
          </w:tcPr>
          <w:p w14:paraId="63393C3B" w14:textId="77777777" w:rsidR="00A07753" w:rsidRPr="00BD1319" w:rsidRDefault="00A07753" w:rsidP="00B573D8">
            <w:pPr>
              <w:numPr>
                <w:ilvl w:val="12"/>
                <w:numId w:val="0"/>
              </w:numPr>
              <w:tabs>
                <w:tab w:val="left" w:pos="-2268"/>
              </w:tabs>
              <w:suppressAutoHyphens/>
              <w:jc w:val="left"/>
              <w:rPr>
                <w:b/>
                <w:spacing w:val="-3"/>
                <w:sz w:val="20"/>
                <w:szCs w:val="20"/>
              </w:rPr>
            </w:pPr>
            <w:r w:rsidRPr="00BD1319">
              <w:rPr>
                <w:b/>
                <w:sz w:val="20"/>
                <w:szCs w:val="20"/>
              </w:rPr>
              <w:t>Tendencias del desarrollo</w:t>
            </w:r>
          </w:p>
        </w:tc>
        <w:tc>
          <w:tcPr>
            <w:tcW w:w="4678" w:type="dxa"/>
          </w:tcPr>
          <w:p w14:paraId="25C894F4" w14:textId="77777777" w:rsidR="00A07753" w:rsidRPr="00BD1319" w:rsidRDefault="00A07753" w:rsidP="00B573D8">
            <w:pPr>
              <w:numPr>
                <w:ilvl w:val="12"/>
                <w:numId w:val="0"/>
              </w:numPr>
              <w:tabs>
                <w:tab w:val="left" w:pos="-2268"/>
              </w:tabs>
              <w:suppressAutoHyphens/>
              <w:rPr>
                <w:spacing w:val="-3"/>
                <w:sz w:val="20"/>
                <w:szCs w:val="20"/>
              </w:rPr>
            </w:pPr>
            <w:r w:rsidRPr="00BD1319">
              <w:rPr>
                <w:sz w:val="20"/>
                <w:szCs w:val="20"/>
              </w:rPr>
              <w:t xml:space="preserve">Planes de las entidades territoriales (Plan de desarrollo departamental, </w:t>
            </w:r>
            <w:r w:rsidRPr="00BD1319">
              <w:rPr>
                <w:rFonts w:cs="Arial"/>
                <w:spacing w:val="-3"/>
                <w:sz w:val="20"/>
                <w:szCs w:val="20"/>
              </w:rPr>
              <w:t>POT, PBOT, EOT)</w:t>
            </w:r>
            <w:r w:rsidRPr="00BD1319">
              <w:rPr>
                <w:spacing w:val="-3"/>
                <w:sz w:val="20"/>
                <w:szCs w:val="20"/>
              </w:rPr>
              <w:t>,</w:t>
            </w:r>
            <w:r w:rsidRPr="00BD1319">
              <w:rPr>
                <w:sz w:val="20"/>
                <w:szCs w:val="20"/>
              </w:rPr>
              <w:t xml:space="preserve"> Programas de Desarrollo con Enfoque Territorial (PDET), </w:t>
            </w:r>
            <w:proofErr w:type="spellStart"/>
            <w:r w:rsidRPr="00BD1319">
              <w:rPr>
                <w:sz w:val="20"/>
                <w:szCs w:val="20"/>
              </w:rPr>
              <w:t>Pomca</w:t>
            </w:r>
            <w:proofErr w:type="spellEnd"/>
            <w:r w:rsidRPr="00BD1319">
              <w:rPr>
                <w:sz w:val="20"/>
                <w:szCs w:val="20"/>
              </w:rPr>
              <w:t xml:space="preserve">, PORH, DNP, DANE, Ministerio de Cultura, Consejería Presidencial para los Derechos Humanos y Derecho Internacional Humanitario, Sociedad de Activos Especiales (SAE), Agencia de Desarrollo Rural (ADR), Agencia de Renovación del Territorio (ART), Unidad Administrativa Especial de Organizaciones </w:t>
            </w:r>
            <w:r w:rsidRPr="00BD1319">
              <w:rPr>
                <w:spacing w:val="-3"/>
                <w:sz w:val="20"/>
                <w:szCs w:val="20"/>
              </w:rPr>
              <w:t xml:space="preserve">de Economía </w:t>
            </w:r>
            <w:r w:rsidRPr="00BD1319">
              <w:rPr>
                <w:sz w:val="20"/>
                <w:szCs w:val="20"/>
              </w:rPr>
              <w:t xml:space="preserve">Solidaria (UAEOS), Instituto de Planificación y Promoción de Soluciones Energéticas (IPSE), </w:t>
            </w:r>
            <w:r w:rsidRPr="00BD1319">
              <w:rPr>
                <w:spacing w:val="-3"/>
                <w:sz w:val="20"/>
                <w:szCs w:val="20"/>
              </w:rPr>
              <w:t>Departamento Administrativo de la Presidencia de la República (DAPRE)</w:t>
            </w:r>
            <w:r w:rsidRPr="00BD1319">
              <w:rPr>
                <w:sz w:val="20"/>
                <w:szCs w:val="20"/>
              </w:rPr>
              <w:t>, Servicio Nacional de Aprendizaje (SENA), Unidad de Planeación Minero Energética (UPME) y Comisión de Regulación de Energía y Gas (CREG).</w:t>
            </w:r>
          </w:p>
        </w:tc>
        <w:tc>
          <w:tcPr>
            <w:tcW w:w="2454" w:type="dxa"/>
          </w:tcPr>
          <w:p w14:paraId="1B070F3D" w14:textId="77777777" w:rsidR="00A07753" w:rsidRPr="00BD1319" w:rsidRDefault="00A07753" w:rsidP="00B573D8">
            <w:pPr>
              <w:numPr>
                <w:ilvl w:val="12"/>
                <w:numId w:val="0"/>
              </w:numPr>
              <w:tabs>
                <w:tab w:val="left" w:pos="-2268"/>
              </w:tabs>
              <w:suppressAutoHyphens/>
              <w:rPr>
                <w:spacing w:val="-3"/>
                <w:sz w:val="20"/>
                <w:szCs w:val="20"/>
              </w:rPr>
            </w:pPr>
            <w:r w:rsidRPr="00BD1319">
              <w:rPr>
                <w:sz w:val="20"/>
                <w:szCs w:val="20"/>
              </w:rPr>
              <w:t xml:space="preserve">Estudios regionales, </w:t>
            </w:r>
            <w:r w:rsidRPr="00BD1319">
              <w:rPr>
                <w:spacing w:val="-3"/>
                <w:sz w:val="20"/>
                <w:szCs w:val="20"/>
              </w:rPr>
              <w:t>institutos de investigación (de universidades u otras organizaciones)</w:t>
            </w:r>
            <w:r w:rsidRPr="00BD1319">
              <w:rPr>
                <w:sz w:val="20"/>
                <w:szCs w:val="20"/>
              </w:rPr>
              <w:t>.</w:t>
            </w:r>
          </w:p>
        </w:tc>
      </w:tr>
      <w:tr w:rsidR="00A07753" w:rsidRPr="00BD1319" w14:paraId="3240B4F4" w14:textId="77777777" w:rsidTr="000D6E21">
        <w:trPr>
          <w:jc w:val="center"/>
        </w:trPr>
        <w:tc>
          <w:tcPr>
            <w:tcW w:w="2263" w:type="dxa"/>
            <w:vAlign w:val="center"/>
          </w:tcPr>
          <w:p w14:paraId="5B804137" w14:textId="25FA1827" w:rsidR="007E65E5" w:rsidRPr="00BD1319" w:rsidRDefault="00A07753" w:rsidP="009420F5">
            <w:pPr>
              <w:numPr>
                <w:ilvl w:val="12"/>
                <w:numId w:val="0"/>
              </w:numPr>
              <w:tabs>
                <w:tab w:val="left" w:pos="-2268"/>
              </w:tabs>
              <w:suppressAutoHyphens/>
              <w:jc w:val="left"/>
              <w:rPr>
                <w:b/>
                <w:spacing w:val="-3"/>
                <w:sz w:val="20"/>
                <w:szCs w:val="20"/>
              </w:rPr>
            </w:pPr>
            <w:r w:rsidRPr="00BD1319">
              <w:rPr>
                <w:b/>
                <w:sz w:val="20"/>
                <w:szCs w:val="20"/>
              </w:rPr>
              <w:t>Conflictividad socioambiental</w:t>
            </w:r>
          </w:p>
        </w:tc>
        <w:tc>
          <w:tcPr>
            <w:tcW w:w="4678" w:type="dxa"/>
          </w:tcPr>
          <w:p w14:paraId="6252C1B5" w14:textId="66B2BF6D" w:rsidR="007E65E5" w:rsidRPr="00BD1319" w:rsidRDefault="00A07753" w:rsidP="00A07753">
            <w:pPr>
              <w:numPr>
                <w:ilvl w:val="12"/>
                <w:numId w:val="0"/>
              </w:numPr>
              <w:tabs>
                <w:tab w:val="left" w:pos="-2268"/>
              </w:tabs>
              <w:suppressAutoHyphens/>
              <w:rPr>
                <w:spacing w:val="-3"/>
                <w:sz w:val="20"/>
                <w:szCs w:val="20"/>
                <w:lang w:val="es-MX"/>
              </w:rPr>
            </w:pPr>
            <w:r w:rsidRPr="00BD1319">
              <w:rPr>
                <w:sz w:val="20"/>
                <w:szCs w:val="20"/>
              </w:rPr>
              <w:t xml:space="preserve">DAPRE, DNP, DANE, Ministerio del Interior, Ministerio de Ambiente y Desarrollo Sostenible, </w:t>
            </w:r>
            <w:r w:rsidRPr="00BD1319">
              <w:rPr>
                <w:sz w:val="20"/>
                <w:szCs w:val="20"/>
              </w:rPr>
              <w:lastRenderedPageBreak/>
              <w:t xml:space="preserve">Ministerio de Educación Nacional, Ministerio de Transporte, Ministerio de Cultura, Ministerio de Relaciones Exteriores, Ministerio de Justicia y del Derecho, Ministerio de Defensa Nacional, Ministerio de Agricultura y Desarrollo Rural, Ministerio de Salud y Protección Social, Ministerio de Industria, Comercio y Turismo, Ministerio de Vivienda, Ciudad y Territorio, Ministerio de Tecnologías de la Información y las Comunicaciones, Ministerio de Minas y Energía, Ministerio del Trabajo, Ministerio de Ciencia, Tecnología e Innovación, Ministerio del Deporte, Ministerio de Igualdad y Equidad, </w:t>
            </w:r>
            <w:r w:rsidR="001064E6" w:rsidRPr="00BD1319">
              <w:rPr>
                <w:sz w:val="20"/>
                <w:szCs w:val="20"/>
              </w:rPr>
              <w:t xml:space="preserve">AUNAP, </w:t>
            </w:r>
            <w:r w:rsidRPr="00BD1319">
              <w:rPr>
                <w:sz w:val="20"/>
                <w:szCs w:val="20"/>
              </w:rPr>
              <w:t xml:space="preserve">PNN, </w:t>
            </w:r>
            <w:r w:rsidRPr="00BD1319">
              <w:rPr>
                <w:spacing w:val="-3"/>
                <w:sz w:val="20"/>
                <w:szCs w:val="20"/>
              </w:rPr>
              <w:t xml:space="preserve">CNMH, </w:t>
            </w:r>
            <w:r w:rsidR="00035CB4" w:rsidRPr="00BD1319">
              <w:rPr>
                <w:spacing w:val="-3"/>
                <w:sz w:val="20"/>
                <w:szCs w:val="20"/>
              </w:rPr>
              <w:t>Instituto Colombiano Agropecuario (ICA</w:t>
            </w:r>
            <w:r w:rsidR="00035CB4" w:rsidRPr="00BD1319">
              <w:rPr>
                <w:sz w:val="20"/>
                <w:szCs w:val="20"/>
              </w:rPr>
              <w:t>)</w:t>
            </w:r>
            <w:r w:rsidRPr="00BD1319">
              <w:rPr>
                <w:sz w:val="20"/>
                <w:szCs w:val="20"/>
              </w:rPr>
              <w:t xml:space="preserve">, INVIMA, IDEAM, ICANH, IGAC, UNP, </w:t>
            </w:r>
            <w:r w:rsidR="00307C64" w:rsidRPr="00BD1319">
              <w:rPr>
                <w:sz w:val="20"/>
                <w:szCs w:val="20"/>
              </w:rPr>
              <w:t>Agencia Nacional de Defensa Jurídica del Estado (</w:t>
            </w:r>
            <w:r w:rsidRPr="00BD1319">
              <w:rPr>
                <w:sz w:val="20"/>
                <w:szCs w:val="20"/>
              </w:rPr>
              <w:t>ANDJE</w:t>
            </w:r>
            <w:r w:rsidR="00307C64" w:rsidRPr="00BD1319">
              <w:rPr>
                <w:sz w:val="20"/>
                <w:szCs w:val="20"/>
              </w:rPr>
              <w:t>)</w:t>
            </w:r>
            <w:r w:rsidRPr="00BD1319">
              <w:rPr>
                <w:sz w:val="20"/>
                <w:szCs w:val="20"/>
              </w:rPr>
              <w:t xml:space="preserve">, </w:t>
            </w:r>
            <w:r w:rsidR="00307C64" w:rsidRPr="00BD1319">
              <w:rPr>
                <w:sz w:val="20"/>
                <w:szCs w:val="20"/>
              </w:rPr>
              <w:t>Unidad de Restitución de Tierras (URT)</w:t>
            </w:r>
            <w:r w:rsidRPr="00BD1319">
              <w:rPr>
                <w:sz w:val="20"/>
                <w:szCs w:val="20"/>
              </w:rPr>
              <w:t xml:space="preserve">, </w:t>
            </w:r>
            <w:r w:rsidR="00307C64" w:rsidRPr="00BD1319">
              <w:rPr>
                <w:sz w:val="20"/>
                <w:szCs w:val="20"/>
              </w:rPr>
              <w:t xml:space="preserve">Unidad Administrativa Especial para la Atención y Reparación Integral a las Víctimas (UAEARIV), </w:t>
            </w:r>
            <w:r w:rsidRPr="00BD1319">
              <w:rPr>
                <w:sz w:val="20"/>
                <w:szCs w:val="20"/>
              </w:rPr>
              <w:t xml:space="preserve">UAEOS, </w:t>
            </w:r>
            <w:r w:rsidR="00307C64" w:rsidRPr="00BD1319">
              <w:rPr>
                <w:sz w:val="20"/>
                <w:szCs w:val="20"/>
              </w:rPr>
              <w:t>Agencia para la Reincorporación y Normalización (ARN)</w:t>
            </w:r>
            <w:r w:rsidRPr="00BD1319">
              <w:rPr>
                <w:sz w:val="20"/>
                <w:szCs w:val="20"/>
              </w:rPr>
              <w:t xml:space="preserve">, </w:t>
            </w:r>
            <w:r w:rsidR="00307C64" w:rsidRPr="00BD1319">
              <w:rPr>
                <w:sz w:val="20"/>
                <w:szCs w:val="20"/>
              </w:rPr>
              <w:t>Unidad Nacional para la Gestión del Riesgo de Desastres (</w:t>
            </w:r>
            <w:r w:rsidRPr="00BD1319">
              <w:rPr>
                <w:sz w:val="20"/>
                <w:szCs w:val="20"/>
              </w:rPr>
              <w:t>UNGRD</w:t>
            </w:r>
            <w:r w:rsidR="00307C64" w:rsidRPr="00BD1319">
              <w:rPr>
                <w:sz w:val="20"/>
                <w:szCs w:val="20"/>
              </w:rPr>
              <w:t>)</w:t>
            </w:r>
            <w:r w:rsidRPr="00BD1319">
              <w:rPr>
                <w:sz w:val="20"/>
                <w:szCs w:val="20"/>
              </w:rPr>
              <w:t>, ART, ADR, ANH</w:t>
            </w:r>
            <w:r w:rsidR="00307C64" w:rsidRPr="00BD1319">
              <w:rPr>
                <w:sz w:val="20"/>
                <w:szCs w:val="20"/>
              </w:rPr>
              <w:t>,</w:t>
            </w:r>
            <w:r w:rsidRPr="00BD1319">
              <w:rPr>
                <w:sz w:val="20"/>
                <w:szCs w:val="20"/>
              </w:rPr>
              <w:t xml:space="preserve"> </w:t>
            </w:r>
            <w:r w:rsidRPr="00BD1319">
              <w:rPr>
                <w:sz w:val="20"/>
                <w:szCs w:val="20"/>
                <w:lang w:val="es-MX"/>
              </w:rPr>
              <w:t xml:space="preserve">ANM, </w:t>
            </w:r>
            <w:r w:rsidR="00307C64" w:rsidRPr="00BD1319">
              <w:rPr>
                <w:sz w:val="20"/>
                <w:szCs w:val="20"/>
                <w:lang w:val="es-MX"/>
              </w:rPr>
              <w:t>Agencia Nacional de Infraestructura (</w:t>
            </w:r>
            <w:r w:rsidRPr="00BD1319">
              <w:rPr>
                <w:sz w:val="20"/>
                <w:szCs w:val="20"/>
                <w:lang w:val="es-MX"/>
              </w:rPr>
              <w:t>ANI</w:t>
            </w:r>
            <w:r w:rsidR="00307C64" w:rsidRPr="00BD1319">
              <w:rPr>
                <w:sz w:val="20"/>
                <w:szCs w:val="20"/>
                <w:lang w:val="es-MX"/>
              </w:rPr>
              <w:t>)</w:t>
            </w:r>
            <w:r w:rsidRPr="00BD1319">
              <w:rPr>
                <w:sz w:val="20"/>
                <w:szCs w:val="20"/>
                <w:lang w:val="es-MX"/>
              </w:rPr>
              <w:t xml:space="preserve">, </w:t>
            </w:r>
            <w:r w:rsidR="00307C64" w:rsidRPr="00BD1319">
              <w:rPr>
                <w:sz w:val="20"/>
                <w:szCs w:val="20"/>
                <w:lang w:val="es-MX"/>
              </w:rPr>
              <w:t>Instituto Nacional de Salud (</w:t>
            </w:r>
            <w:r w:rsidRPr="00BD1319">
              <w:rPr>
                <w:sz w:val="20"/>
                <w:szCs w:val="20"/>
                <w:lang w:val="es-MX"/>
              </w:rPr>
              <w:t>INS</w:t>
            </w:r>
            <w:r w:rsidR="00307C64" w:rsidRPr="00BD1319">
              <w:rPr>
                <w:sz w:val="20"/>
                <w:szCs w:val="20"/>
                <w:lang w:val="es-MX"/>
              </w:rPr>
              <w:t>)</w:t>
            </w:r>
            <w:r w:rsidRPr="00BD1319">
              <w:rPr>
                <w:sz w:val="20"/>
                <w:szCs w:val="20"/>
                <w:lang w:val="es-MX"/>
              </w:rPr>
              <w:t xml:space="preserve">, SGC, SAE, </w:t>
            </w:r>
            <w:r w:rsidR="00307C64" w:rsidRPr="00BD1319">
              <w:rPr>
                <w:sz w:val="20"/>
                <w:szCs w:val="20"/>
                <w:lang w:val="es-MX"/>
              </w:rPr>
              <w:t>Sinchi</w:t>
            </w:r>
            <w:r w:rsidRPr="00BD1319">
              <w:rPr>
                <w:sz w:val="20"/>
                <w:szCs w:val="20"/>
                <w:lang w:val="es-MX"/>
              </w:rPr>
              <w:t xml:space="preserve">, IIAP, </w:t>
            </w:r>
            <w:proofErr w:type="spellStart"/>
            <w:r w:rsidR="00307C64" w:rsidRPr="00BD1319">
              <w:rPr>
                <w:sz w:val="20"/>
                <w:szCs w:val="20"/>
                <w:lang w:val="es-MX"/>
              </w:rPr>
              <w:t>Invemar</w:t>
            </w:r>
            <w:proofErr w:type="spellEnd"/>
            <w:r w:rsidRPr="00BD1319">
              <w:rPr>
                <w:sz w:val="20"/>
                <w:szCs w:val="20"/>
                <w:lang w:val="es-MX"/>
              </w:rPr>
              <w:t xml:space="preserve">, </w:t>
            </w:r>
            <w:r w:rsidR="00307C64" w:rsidRPr="00BD1319">
              <w:rPr>
                <w:spacing w:val="-3"/>
                <w:sz w:val="20"/>
                <w:szCs w:val="20"/>
              </w:rPr>
              <w:t>Instituto Humboldt.</w:t>
            </w:r>
          </w:p>
        </w:tc>
        <w:tc>
          <w:tcPr>
            <w:tcW w:w="2454" w:type="dxa"/>
          </w:tcPr>
          <w:p w14:paraId="1BDE17B8" w14:textId="2B9DB0F3" w:rsidR="007E65E5" w:rsidRPr="00BD1319" w:rsidRDefault="00A07753">
            <w:pPr>
              <w:numPr>
                <w:ilvl w:val="12"/>
                <w:numId w:val="0"/>
              </w:numPr>
              <w:tabs>
                <w:tab w:val="left" w:pos="-2268"/>
              </w:tabs>
              <w:suppressAutoHyphens/>
              <w:rPr>
                <w:spacing w:val="-3"/>
                <w:sz w:val="20"/>
                <w:szCs w:val="20"/>
              </w:rPr>
            </w:pPr>
            <w:r w:rsidRPr="00BD1319">
              <w:rPr>
                <w:sz w:val="20"/>
                <w:szCs w:val="20"/>
              </w:rPr>
              <w:lastRenderedPageBreak/>
              <w:t xml:space="preserve">Estudios político-organizativos, institutos </w:t>
            </w:r>
            <w:r w:rsidRPr="00BD1319">
              <w:rPr>
                <w:sz w:val="20"/>
                <w:szCs w:val="20"/>
              </w:rPr>
              <w:lastRenderedPageBreak/>
              <w:t>de investigación de universidades u otras organizaciones, relatorías e informes del Sistema Universal de Derechos Humanos y del Sistema Interamericano de Derechos Humanos</w:t>
            </w:r>
          </w:p>
        </w:tc>
      </w:tr>
    </w:tbl>
    <w:p w14:paraId="6AFD7F9C" w14:textId="72DD151E" w:rsidR="004F6765" w:rsidRPr="00BD1319" w:rsidRDefault="004F6765">
      <w:pPr>
        <w:numPr>
          <w:ilvl w:val="12"/>
          <w:numId w:val="0"/>
        </w:numPr>
        <w:tabs>
          <w:tab w:val="left" w:pos="-2268"/>
        </w:tabs>
        <w:suppressAutoHyphens/>
        <w:rPr>
          <w:spacing w:val="-3"/>
        </w:rPr>
      </w:pPr>
    </w:p>
    <w:p w14:paraId="26800C65" w14:textId="3832E915" w:rsidR="004F6765" w:rsidRPr="00BD1319" w:rsidRDefault="004F6765">
      <w:pPr>
        <w:overflowPunct/>
        <w:autoSpaceDE/>
        <w:autoSpaceDN/>
        <w:adjustRightInd/>
        <w:jc w:val="left"/>
        <w:textAlignment w:val="auto"/>
        <w:rPr>
          <w:spacing w:val="-3"/>
        </w:rPr>
      </w:pPr>
    </w:p>
    <w:p w14:paraId="1A157438" w14:textId="4C707F2F" w:rsidR="00A101A4" w:rsidRPr="00BD1319" w:rsidRDefault="00A101A4">
      <w:pPr>
        <w:numPr>
          <w:ilvl w:val="12"/>
          <w:numId w:val="0"/>
        </w:numPr>
        <w:tabs>
          <w:tab w:val="left" w:pos="-2268"/>
        </w:tabs>
        <w:suppressAutoHyphens/>
        <w:rPr>
          <w:spacing w:val="-3"/>
        </w:rPr>
      </w:pPr>
      <w:r w:rsidRPr="00BD1319">
        <w:rPr>
          <w:spacing w:val="-3"/>
        </w:rPr>
        <w:t>Adicionalmente</w:t>
      </w:r>
      <w:r w:rsidR="00403665" w:rsidRPr="00BD1319">
        <w:rPr>
          <w:spacing w:val="-3"/>
        </w:rPr>
        <w:t xml:space="preserve">, en la </w:t>
      </w:r>
      <w:r w:rsidR="00403665" w:rsidRPr="00BD1319">
        <w:rPr>
          <w:spacing w:val="-3"/>
        </w:rPr>
        <w:fldChar w:fldCharType="begin"/>
      </w:r>
      <w:r w:rsidR="00403665" w:rsidRPr="00BD1319">
        <w:rPr>
          <w:spacing w:val="-3"/>
        </w:rPr>
        <w:instrText xml:space="preserve"> REF _Ref79439748 \h </w:instrText>
      </w:r>
      <w:r w:rsidR="006A4128" w:rsidRPr="00BD1319">
        <w:rPr>
          <w:spacing w:val="-3"/>
        </w:rPr>
        <w:instrText xml:space="preserve"> \* MERGEFORMAT </w:instrText>
      </w:r>
      <w:r w:rsidR="00403665" w:rsidRPr="00BD1319">
        <w:rPr>
          <w:spacing w:val="-3"/>
        </w:rPr>
      </w:r>
      <w:r w:rsidR="00403665" w:rsidRPr="00BD1319">
        <w:rPr>
          <w:spacing w:val="-3"/>
        </w:rPr>
        <w:fldChar w:fldCharType="separate"/>
      </w:r>
      <w:r w:rsidR="00296654" w:rsidRPr="00BD1319">
        <w:t>Tabla 5</w:t>
      </w:r>
      <w:r w:rsidR="00403665" w:rsidRPr="00BD1319">
        <w:rPr>
          <w:spacing w:val="-3"/>
        </w:rPr>
        <w:fldChar w:fldCharType="end"/>
      </w:r>
      <w:r w:rsidR="00403665" w:rsidRPr="00BD1319">
        <w:rPr>
          <w:spacing w:val="-3"/>
        </w:rPr>
        <w:t>,</w:t>
      </w:r>
      <w:r w:rsidRPr="00BD1319">
        <w:rPr>
          <w:spacing w:val="-3"/>
        </w:rPr>
        <w:t xml:space="preserve"> se listan algunas fuentes de Internet que pueden ser útiles durante la elaboración de los estudios:</w:t>
      </w:r>
    </w:p>
    <w:p w14:paraId="4418353A" w14:textId="77777777" w:rsidR="00A101A4" w:rsidRPr="00BD1319" w:rsidRDefault="00A101A4">
      <w:pPr>
        <w:numPr>
          <w:ilvl w:val="12"/>
          <w:numId w:val="0"/>
        </w:numPr>
        <w:tabs>
          <w:tab w:val="left" w:pos="-2268"/>
        </w:tabs>
        <w:suppressAutoHyphens/>
        <w:rPr>
          <w:spacing w:val="-3"/>
        </w:rPr>
      </w:pPr>
    </w:p>
    <w:p w14:paraId="48B98F6C" w14:textId="13505805" w:rsidR="00403665" w:rsidRPr="00BD1319" w:rsidRDefault="00403665" w:rsidP="00403665">
      <w:pPr>
        <w:pStyle w:val="Descripcin"/>
        <w:jc w:val="center"/>
        <w:rPr>
          <w:b w:val="0"/>
        </w:rPr>
      </w:pPr>
      <w:bookmarkStart w:id="1944" w:name="_Ref79439748"/>
      <w:r w:rsidRPr="00BD1319">
        <w:t xml:space="preserve">Tabla </w:t>
      </w:r>
      <w:fldSimple w:instr=" SEQ Tabla \* ARABIC ">
        <w:r w:rsidR="00296654" w:rsidRPr="00BD1319">
          <w:rPr>
            <w:noProof/>
          </w:rPr>
          <w:t>5</w:t>
        </w:r>
      </w:fldSimple>
      <w:bookmarkEnd w:id="1944"/>
      <w:r w:rsidRPr="00BD1319">
        <w:t>.</w:t>
      </w:r>
      <w:r w:rsidRPr="00BD1319">
        <w:rPr>
          <w:b w:val="0"/>
        </w:rPr>
        <w:t xml:space="preserve"> Entidades, sistemas y herramientas de utilidad para elaborar estudios ambientales</w:t>
      </w:r>
    </w:p>
    <w:tbl>
      <w:tblPr>
        <w:tblStyle w:val="Tablaconcuadrcula"/>
        <w:tblW w:w="9623" w:type="dxa"/>
        <w:tblLayout w:type="fixed"/>
        <w:tblLook w:val="04A0" w:firstRow="1" w:lastRow="0" w:firstColumn="1" w:lastColumn="0" w:noHBand="0" w:noVBand="1"/>
      </w:tblPr>
      <w:tblGrid>
        <w:gridCol w:w="4361"/>
        <w:gridCol w:w="5262"/>
      </w:tblGrid>
      <w:tr w:rsidR="00C17EC2" w:rsidRPr="00BD1319" w14:paraId="5C62A11E" w14:textId="77777777" w:rsidTr="00C17EC2">
        <w:trPr>
          <w:trHeight w:hRule="exact" w:val="567"/>
          <w:tblHeader/>
        </w:trPr>
        <w:tc>
          <w:tcPr>
            <w:tcW w:w="4361" w:type="dxa"/>
            <w:vAlign w:val="center"/>
            <w:hideMark/>
          </w:tcPr>
          <w:p w14:paraId="30C6ED5B" w14:textId="77777777" w:rsidR="00C17EC2" w:rsidRPr="00BD1319" w:rsidRDefault="00C17EC2" w:rsidP="005E527C">
            <w:pPr>
              <w:numPr>
                <w:ilvl w:val="12"/>
                <w:numId w:val="0"/>
              </w:numPr>
              <w:tabs>
                <w:tab w:val="left" w:pos="-2268"/>
              </w:tabs>
              <w:suppressAutoHyphens/>
              <w:jc w:val="center"/>
              <w:rPr>
                <w:rFonts w:cs="Arial"/>
                <w:b/>
                <w:bCs/>
                <w:spacing w:val="-3"/>
                <w:sz w:val="22"/>
                <w:szCs w:val="22"/>
              </w:rPr>
            </w:pPr>
            <w:r w:rsidRPr="00BD1319">
              <w:rPr>
                <w:rFonts w:cs="Arial"/>
                <w:b/>
                <w:bCs/>
                <w:spacing w:val="-3"/>
                <w:sz w:val="22"/>
                <w:szCs w:val="22"/>
              </w:rPr>
              <w:t>Entidad</w:t>
            </w:r>
          </w:p>
        </w:tc>
        <w:tc>
          <w:tcPr>
            <w:tcW w:w="5262" w:type="dxa"/>
            <w:vAlign w:val="center"/>
            <w:hideMark/>
          </w:tcPr>
          <w:p w14:paraId="5A8C88A2" w14:textId="77777777" w:rsidR="00C17EC2" w:rsidRPr="00BD1319" w:rsidRDefault="00C17EC2" w:rsidP="005E527C">
            <w:pPr>
              <w:numPr>
                <w:ilvl w:val="12"/>
                <w:numId w:val="0"/>
              </w:numPr>
              <w:tabs>
                <w:tab w:val="left" w:pos="-2268"/>
              </w:tabs>
              <w:suppressAutoHyphens/>
              <w:jc w:val="center"/>
              <w:rPr>
                <w:rFonts w:cs="Arial"/>
                <w:b/>
                <w:bCs/>
                <w:spacing w:val="-3"/>
                <w:sz w:val="20"/>
                <w:szCs w:val="20"/>
              </w:rPr>
            </w:pPr>
            <w:r w:rsidRPr="00BD1319">
              <w:rPr>
                <w:rFonts w:cs="Arial"/>
                <w:b/>
                <w:bCs/>
                <w:spacing w:val="-3"/>
                <w:sz w:val="22"/>
                <w:szCs w:val="22"/>
              </w:rPr>
              <w:t>Vínculo</w:t>
            </w:r>
          </w:p>
        </w:tc>
      </w:tr>
      <w:tr w:rsidR="00C17EC2" w:rsidRPr="00BD1319" w14:paraId="47F55129" w14:textId="77777777" w:rsidTr="00C17EC2">
        <w:trPr>
          <w:trHeight w:hRule="exact" w:val="567"/>
        </w:trPr>
        <w:tc>
          <w:tcPr>
            <w:tcW w:w="4361" w:type="dxa"/>
            <w:vAlign w:val="center"/>
            <w:hideMark/>
          </w:tcPr>
          <w:p w14:paraId="4ECBD5D0" w14:textId="77777777" w:rsidR="00C17EC2" w:rsidRPr="00BD1319" w:rsidRDefault="00C17EC2" w:rsidP="005E527C">
            <w:pPr>
              <w:numPr>
                <w:ilvl w:val="12"/>
                <w:numId w:val="0"/>
              </w:numPr>
              <w:tabs>
                <w:tab w:val="left" w:pos="-2268"/>
              </w:tabs>
              <w:suppressAutoHyphens/>
              <w:rPr>
                <w:rFonts w:cs="Arial"/>
                <w:spacing w:val="-3"/>
                <w:sz w:val="20"/>
                <w:szCs w:val="20"/>
              </w:rPr>
            </w:pPr>
            <w:r w:rsidRPr="00BD1319">
              <w:rPr>
                <w:rFonts w:cs="Arial"/>
                <w:spacing w:val="-3"/>
                <w:sz w:val="20"/>
                <w:szCs w:val="20"/>
              </w:rPr>
              <w:t>Agencia de Protección Ambiental de Estados Unidos de Norteamérica</w:t>
            </w:r>
          </w:p>
        </w:tc>
        <w:tc>
          <w:tcPr>
            <w:tcW w:w="5262" w:type="dxa"/>
            <w:vAlign w:val="center"/>
            <w:hideMark/>
          </w:tcPr>
          <w:p w14:paraId="7CD66533" w14:textId="77777777" w:rsidR="00C17EC2" w:rsidRPr="00BD1319" w:rsidRDefault="00C17EC2" w:rsidP="005E527C">
            <w:pPr>
              <w:numPr>
                <w:ilvl w:val="12"/>
                <w:numId w:val="0"/>
              </w:numPr>
              <w:tabs>
                <w:tab w:val="left" w:pos="-2268"/>
              </w:tabs>
              <w:suppressAutoHyphens/>
              <w:rPr>
                <w:rFonts w:cs="Arial"/>
                <w:spacing w:val="-3"/>
                <w:sz w:val="20"/>
                <w:szCs w:val="20"/>
                <w:u w:val="single"/>
              </w:rPr>
            </w:pPr>
            <w:r w:rsidRPr="00BD1319">
              <w:rPr>
                <w:rFonts w:cs="Arial"/>
                <w:sz w:val="20"/>
                <w:szCs w:val="20"/>
              </w:rPr>
              <w:t>https://espanol.epa.gov/</w:t>
            </w:r>
          </w:p>
        </w:tc>
      </w:tr>
      <w:tr w:rsidR="00C17EC2" w:rsidRPr="00BD1319" w14:paraId="6970B7AA" w14:textId="77777777" w:rsidTr="00C17EC2">
        <w:trPr>
          <w:trHeight w:hRule="exact" w:val="567"/>
        </w:trPr>
        <w:tc>
          <w:tcPr>
            <w:tcW w:w="4361" w:type="dxa"/>
            <w:vAlign w:val="center"/>
            <w:hideMark/>
          </w:tcPr>
          <w:p w14:paraId="293760A5" w14:textId="77777777" w:rsidR="00C17EC2" w:rsidRPr="00BD1319" w:rsidRDefault="00C17EC2" w:rsidP="005E527C">
            <w:pPr>
              <w:numPr>
                <w:ilvl w:val="12"/>
                <w:numId w:val="0"/>
              </w:numPr>
              <w:tabs>
                <w:tab w:val="left" w:pos="-2268"/>
              </w:tabs>
              <w:suppressAutoHyphens/>
              <w:rPr>
                <w:rFonts w:cs="Arial"/>
                <w:spacing w:val="-3"/>
                <w:sz w:val="20"/>
                <w:szCs w:val="20"/>
              </w:rPr>
            </w:pPr>
            <w:r w:rsidRPr="00BD1319">
              <w:rPr>
                <w:rFonts w:cs="Arial"/>
                <w:spacing w:val="-3"/>
                <w:sz w:val="20"/>
                <w:szCs w:val="20"/>
              </w:rPr>
              <w:t>Agencia Nacional de Hidrocarburos</w:t>
            </w:r>
          </w:p>
        </w:tc>
        <w:tc>
          <w:tcPr>
            <w:tcW w:w="5262" w:type="dxa"/>
            <w:vAlign w:val="center"/>
            <w:hideMark/>
          </w:tcPr>
          <w:p w14:paraId="4C83701C" w14:textId="77777777" w:rsidR="00C17EC2" w:rsidRPr="00BD1319" w:rsidRDefault="00C17EC2" w:rsidP="005E527C">
            <w:pPr>
              <w:numPr>
                <w:ilvl w:val="12"/>
                <w:numId w:val="0"/>
              </w:numPr>
              <w:tabs>
                <w:tab w:val="left" w:pos="-2268"/>
              </w:tabs>
              <w:suppressAutoHyphens/>
              <w:rPr>
                <w:rFonts w:cs="Arial"/>
                <w:spacing w:val="-3"/>
                <w:sz w:val="20"/>
                <w:szCs w:val="20"/>
                <w:u w:val="single"/>
              </w:rPr>
            </w:pPr>
            <w:r w:rsidRPr="00BD1319">
              <w:rPr>
                <w:rFonts w:cs="Arial"/>
                <w:sz w:val="20"/>
                <w:szCs w:val="20"/>
              </w:rPr>
              <w:t>https://www.anh.gov.co/</w:t>
            </w:r>
          </w:p>
        </w:tc>
      </w:tr>
      <w:tr w:rsidR="00C17EC2" w:rsidRPr="00BD1319" w14:paraId="537213E6" w14:textId="77777777" w:rsidTr="00C17EC2">
        <w:trPr>
          <w:trHeight w:hRule="exact" w:val="567"/>
        </w:trPr>
        <w:tc>
          <w:tcPr>
            <w:tcW w:w="4361" w:type="dxa"/>
            <w:vAlign w:val="center"/>
            <w:hideMark/>
          </w:tcPr>
          <w:p w14:paraId="2442D844" w14:textId="77777777" w:rsidR="00C17EC2" w:rsidRPr="00BD1319" w:rsidRDefault="00C17EC2" w:rsidP="005E527C">
            <w:pPr>
              <w:numPr>
                <w:ilvl w:val="12"/>
                <w:numId w:val="0"/>
              </w:numPr>
              <w:tabs>
                <w:tab w:val="left" w:pos="-2268"/>
              </w:tabs>
              <w:suppressAutoHyphens/>
              <w:rPr>
                <w:rFonts w:cs="Arial"/>
                <w:spacing w:val="-3"/>
                <w:sz w:val="20"/>
                <w:szCs w:val="20"/>
              </w:rPr>
            </w:pPr>
            <w:r w:rsidRPr="00BD1319">
              <w:rPr>
                <w:rFonts w:cs="Arial"/>
                <w:spacing w:val="-3"/>
                <w:sz w:val="20"/>
                <w:szCs w:val="20"/>
              </w:rPr>
              <w:t>Agencia Nacional de Minería</w:t>
            </w:r>
          </w:p>
        </w:tc>
        <w:tc>
          <w:tcPr>
            <w:tcW w:w="5262" w:type="dxa"/>
            <w:vAlign w:val="center"/>
            <w:hideMark/>
          </w:tcPr>
          <w:p w14:paraId="336F6492" w14:textId="77777777" w:rsidR="00C17EC2" w:rsidRPr="00BD1319" w:rsidRDefault="00C17EC2" w:rsidP="005E527C">
            <w:pPr>
              <w:numPr>
                <w:ilvl w:val="12"/>
                <w:numId w:val="0"/>
              </w:numPr>
              <w:tabs>
                <w:tab w:val="left" w:pos="-2268"/>
              </w:tabs>
              <w:suppressAutoHyphens/>
              <w:rPr>
                <w:rFonts w:cs="Arial"/>
                <w:spacing w:val="-3"/>
                <w:sz w:val="20"/>
                <w:szCs w:val="20"/>
                <w:u w:val="single"/>
              </w:rPr>
            </w:pPr>
            <w:r w:rsidRPr="00BD1319">
              <w:rPr>
                <w:rFonts w:cs="Arial"/>
                <w:sz w:val="20"/>
                <w:szCs w:val="20"/>
              </w:rPr>
              <w:t>http://www.anm.gov.co/</w:t>
            </w:r>
          </w:p>
        </w:tc>
      </w:tr>
      <w:tr w:rsidR="00C17EC2" w:rsidRPr="00BD1319" w14:paraId="3F734B95" w14:textId="77777777" w:rsidTr="00C17EC2">
        <w:trPr>
          <w:trHeight w:hRule="exact" w:val="567"/>
        </w:trPr>
        <w:tc>
          <w:tcPr>
            <w:tcW w:w="4361" w:type="dxa"/>
            <w:vAlign w:val="center"/>
            <w:hideMark/>
          </w:tcPr>
          <w:p w14:paraId="5A7236BE" w14:textId="77777777" w:rsidR="00C17EC2" w:rsidRPr="00BD1319" w:rsidRDefault="00C17EC2" w:rsidP="005E527C">
            <w:pPr>
              <w:numPr>
                <w:ilvl w:val="12"/>
                <w:numId w:val="0"/>
              </w:numPr>
              <w:tabs>
                <w:tab w:val="left" w:pos="-2268"/>
              </w:tabs>
              <w:suppressAutoHyphens/>
              <w:rPr>
                <w:rFonts w:cs="Arial"/>
                <w:spacing w:val="-3"/>
                <w:sz w:val="20"/>
                <w:szCs w:val="20"/>
                <w:lang w:val="en-US"/>
              </w:rPr>
            </w:pPr>
            <w:r w:rsidRPr="00BD1319">
              <w:rPr>
                <w:rFonts w:cs="Arial"/>
                <w:spacing w:val="-3"/>
                <w:sz w:val="20"/>
                <w:szCs w:val="20"/>
                <w:lang w:val="en-US"/>
              </w:rPr>
              <w:lastRenderedPageBreak/>
              <w:t>American museum of natural history</w:t>
            </w:r>
          </w:p>
        </w:tc>
        <w:tc>
          <w:tcPr>
            <w:tcW w:w="5262" w:type="dxa"/>
            <w:vAlign w:val="center"/>
            <w:hideMark/>
          </w:tcPr>
          <w:p w14:paraId="6AAB0F35" w14:textId="77777777" w:rsidR="00C17EC2" w:rsidRPr="00BD1319" w:rsidRDefault="00C17EC2" w:rsidP="005E527C">
            <w:pPr>
              <w:numPr>
                <w:ilvl w:val="12"/>
                <w:numId w:val="0"/>
              </w:numPr>
              <w:tabs>
                <w:tab w:val="left" w:pos="-2268"/>
              </w:tabs>
              <w:suppressAutoHyphens/>
              <w:rPr>
                <w:rFonts w:cs="Arial"/>
                <w:spacing w:val="-3"/>
                <w:sz w:val="20"/>
                <w:szCs w:val="20"/>
                <w:u w:val="single"/>
              </w:rPr>
            </w:pPr>
            <w:r w:rsidRPr="00BD1319">
              <w:rPr>
                <w:rFonts w:cs="Arial"/>
                <w:sz w:val="20"/>
                <w:szCs w:val="20"/>
              </w:rPr>
              <w:t>https://amphibiansoftheworld.amnh.org/</w:t>
            </w:r>
          </w:p>
        </w:tc>
      </w:tr>
      <w:tr w:rsidR="00C17EC2" w:rsidRPr="00BD1319" w14:paraId="3B609691" w14:textId="77777777" w:rsidTr="00C17EC2">
        <w:trPr>
          <w:trHeight w:hRule="exact" w:val="567"/>
        </w:trPr>
        <w:tc>
          <w:tcPr>
            <w:tcW w:w="4361" w:type="dxa"/>
            <w:vAlign w:val="center"/>
            <w:hideMark/>
          </w:tcPr>
          <w:p w14:paraId="4527591D" w14:textId="77777777" w:rsidR="00C17EC2" w:rsidRPr="00BD1319" w:rsidRDefault="00C17EC2" w:rsidP="005E527C">
            <w:pPr>
              <w:numPr>
                <w:ilvl w:val="12"/>
                <w:numId w:val="0"/>
              </w:numPr>
              <w:tabs>
                <w:tab w:val="left" w:pos="-2268"/>
              </w:tabs>
              <w:suppressAutoHyphens/>
              <w:rPr>
                <w:rFonts w:cs="Arial"/>
                <w:spacing w:val="-3"/>
                <w:sz w:val="20"/>
                <w:szCs w:val="20"/>
              </w:rPr>
            </w:pPr>
            <w:r w:rsidRPr="00BD1319">
              <w:rPr>
                <w:rFonts w:cs="Arial"/>
                <w:spacing w:val="-3"/>
                <w:sz w:val="20"/>
                <w:szCs w:val="20"/>
              </w:rPr>
              <w:t xml:space="preserve">American </w:t>
            </w:r>
            <w:proofErr w:type="spellStart"/>
            <w:r w:rsidRPr="00BD1319">
              <w:rPr>
                <w:rFonts w:cs="Arial"/>
                <w:spacing w:val="-3"/>
                <w:sz w:val="20"/>
                <w:szCs w:val="20"/>
              </w:rPr>
              <w:t>society</w:t>
            </w:r>
            <w:proofErr w:type="spellEnd"/>
            <w:r w:rsidRPr="00BD1319">
              <w:rPr>
                <w:rFonts w:cs="Arial"/>
                <w:spacing w:val="-3"/>
                <w:sz w:val="20"/>
                <w:szCs w:val="20"/>
              </w:rPr>
              <w:t xml:space="preserve"> </w:t>
            </w:r>
            <w:proofErr w:type="spellStart"/>
            <w:r w:rsidRPr="00BD1319">
              <w:rPr>
                <w:rFonts w:cs="Arial"/>
                <w:spacing w:val="-3"/>
                <w:sz w:val="20"/>
                <w:szCs w:val="20"/>
              </w:rPr>
              <w:t>for</w:t>
            </w:r>
            <w:proofErr w:type="spellEnd"/>
            <w:r w:rsidRPr="00BD1319">
              <w:rPr>
                <w:rFonts w:cs="Arial"/>
                <w:spacing w:val="-3"/>
                <w:sz w:val="20"/>
                <w:szCs w:val="20"/>
              </w:rPr>
              <w:t xml:space="preserve"> </w:t>
            </w:r>
            <w:proofErr w:type="spellStart"/>
            <w:r w:rsidRPr="00BD1319">
              <w:rPr>
                <w:rFonts w:cs="Arial"/>
                <w:spacing w:val="-3"/>
                <w:sz w:val="20"/>
                <w:szCs w:val="20"/>
              </w:rPr>
              <w:t>microbiology</w:t>
            </w:r>
            <w:proofErr w:type="spellEnd"/>
          </w:p>
        </w:tc>
        <w:tc>
          <w:tcPr>
            <w:tcW w:w="5262" w:type="dxa"/>
            <w:vAlign w:val="center"/>
            <w:hideMark/>
          </w:tcPr>
          <w:p w14:paraId="11927A0A" w14:textId="77777777" w:rsidR="00C17EC2" w:rsidRPr="00BD1319" w:rsidRDefault="00C17EC2" w:rsidP="005E527C">
            <w:pPr>
              <w:numPr>
                <w:ilvl w:val="12"/>
                <w:numId w:val="0"/>
              </w:numPr>
              <w:tabs>
                <w:tab w:val="left" w:pos="-2268"/>
              </w:tabs>
              <w:suppressAutoHyphens/>
              <w:rPr>
                <w:rFonts w:cs="Arial"/>
                <w:spacing w:val="-3"/>
                <w:sz w:val="20"/>
                <w:szCs w:val="20"/>
                <w:u w:val="single"/>
              </w:rPr>
            </w:pPr>
            <w:r w:rsidRPr="00BD1319">
              <w:rPr>
                <w:rFonts w:cs="Arial"/>
                <w:sz w:val="20"/>
                <w:szCs w:val="20"/>
              </w:rPr>
              <w:t>https://asm.org/</w:t>
            </w:r>
          </w:p>
        </w:tc>
      </w:tr>
      <w:tr w:rsidR="00C17EC2" w:rsidRPr="00BD1319" w14:paraId="6D96B464" w14:textId="77777777" w:rsidTr="00C17EC2">
        <w:trPr>
          <w:trHeight w:hRule="exact" w:val="567"/>
        </w:trPr>
        <w:tc>
          <w:tcPr>
            <w:tcW w:w="4361" w:type="dxa"/>
          </w:tcPr>
          <w:p w14:paraId="037D16B7" w14:textId="77777777" w:rsidR="00C17EC2" w:rsidRPr="00BD1319" w:rsidRDefault="00C17EC2" w:rsidP="005E527C">
            <w:pPr>
              <w:numPr>
                <w:ilvl w:val="12"/>
                <w:numId w:val="0"/>
              </w:numPr>
              <w:tabs>
                <w:tab w:val="left" w:pos="-2268"/>
              </w:tabs>
              <w:suppressAutoHyphens/>
              <w:rPr>
                <w:rFonts w:cs="Arial"/>
                <w:spacing w:val="-3"/>
                <w:sz w:val="20"/>
                <w:szCs w:val="20"/>
              </w:rPr>
            </w:pPr>
            <w:r w:rsidRPr="00BD1319">
              <w:rPr>
                <w:rFonts w:cs="Arial"/>
                <w:spacing w:val="-3"/>
                <w:sz w:val="20"/>
                <w:szCs w:val="20"/>
              </w:rPr>
              <w:t>ANLA. Análisis geográfico de información en el licenciamiento ambiental de ANLA (SIGWEB)</w:t>
            </w:r>
          </w:p>
        </w:tc>
        <w:tc>
          <w:tcPr>
            <w:tcW w:w="5262" w:type="dxa"/>
            <w:vAlign w:val="center"/>
          </w:tcPr>
          <w:p w14:paraId="70DD1C61" w14:textId="366FC3AA" w:rsidR="00C17EC2" w:rsidRPr="00BD1319" w:rsidRDefault="00C17EC2" w:rsidP="005E527C">
            <w:pPr>
              <w:numPr>
                <w:ilvl w:val="12"/>
                <w:numId w:val="0"/>
              </w:numPr>
              <w:tabs>
                <w:tab w:val="left" w:pos="-2268"/>
              </w:tabs>
              <w:suppressAutoHyphens/>
              <w:rPr>
                <w:rFonts w:cs="Arial"/>
                <w:spacing w:val="-3"/>
                <w:sz w:val="20"/>
                <w:szCs w:val="20"/>
              </w:rPr>
            </w:pPr>
            <w:hyperlink r:id="rId16" w:history="1">
              <w:r w:rsidRPr="00BD1319">
                <w:rPr>
                  <w:rFonts w:cs="Arial"/>
                  <w:spacing w:val="-3"/>
                  <w:sz w:val="20"/>
                  <w:szCs w:val="20"/>
                </w:rPr>
                <w:t>https://sig.anla.gov.co/seleccion.aspx</w:t>
              </w:r>
            </w:hyperlink>
          </w:p>
        </w:tc>
      </w:tr>
      <w:tr w:rsidR="00C17EC2" w:rsidRPr="00BD1319" w14:paraId="501EF5BB" w14:textId="77777777" w:rsidTr="00C17EC2">
        <w:trPr>
          <w:trHeight w:hRule="exact" w:val="567"/>
        </w:trPr>
        <w:tc>
          <w:tcPr>
            <w:tcW w:w="4361" w:type="dxa"/>
            <w:vAlign w:val="center"/>
          </w:tcPr>
          <w:p w14:paraId="4993439C" w14:textId="77777777" w:rsidR="00C17EC2" w:rsidRPr="00BD1319" w:rsidRDefault="00C17EC2" w:rsidP="005E527C">
            <w:pPr>
              <w:numPr>
                <w:ilvl w:val="12"/>
                <w:numId w:val="0"/>
              </w:numPr>
              <w:tabs>
                <w:tab w:val="left" w:pos="-2268"/>
              </w:tabs>
              <w:suppressAutoHyphens/>
              <w:rPr>
                <w:rFonts w:cs="Arial"/>
                <w:spacing w:val="-3"/>
                <w:sz w:val="20"/>
                <w:szCs w:val="20"/>
              </w:rPr>
            </w:pPr>
            <w:r w:rsidRPr="00BD1319">
              <w:rPr>
                <w:rFonts w:cs="Arial"/>
                <w:spacing w:val="-3"/>
                <w:sz w:val="20"/>
                <w:szCs w:val="20"/>
              </w:rPr>
              <w:t>ANLA. Apuestas por la biodiversidad</w:t>
            </w:r>
          </w:p>
        </w:tc>
        <w:tc>
          <w:tcPr>
            <w:tcW w:w="5262" w:type="dxa"/>
            <w:vAlign w:val="center"/>
          </w:tcPr>
          <w:p w14:paraId="31958513" w14:textId="6788F0B3" w:rsidR="00C17EC2" w:rsidRPr="00BD1319" w:rsidRDefault="00C17EC2" w:rsidP="005E527C">
            <w:pPr>
              <w:numPr>
                <w:ilvl w:val="12"/>
                <w:numId w:val="0"/>
              </w:numPr>
              <w:tabs>
                <w:tab w:val="left" w:pos="-2268"/>
              </w:tabs>
              <w:suppressAutoHyphens/>
              <w:rPr>
                <w:rFonts w:cs="Arial"/>
                <w:spacing w:val="-3"/>
                <w:sz w:val="20"/>
                <w:szCs w:val="20"/>
              </w:rPr>
            </w:pPr>
            <w:hyperlink r:id="rId17" w:history="1">
              <w:r w:rsidRPr="00BD1319">
                <w:rPr>
                  <w:rFonts w:cs="Arial"/>
                  <w:spacing w:val="-3"/>
                  <w:sz w:val="20"/>
                  <w:szCs w:val="20"/>
                </w:rPr>
                <w:t>https://www.anla.gov.co/01_anla/proyectos/apuestas-por-la-biodiversidad/cual-es-la-apuesta</w:t>
              </w:r>
            </w:hyperlink>
          </w:p>
        </w:tc>
      </w:tr>
      <w:tr w:rsidR="00C17EC2" w:rsidRPr="00BD1319" w14:paraId="237268EB" w14:textId="77777777" w:rsidTr="00C17EC2">
        <w:trPr>
          <w:trHeight w:hRule="exact" w:val="567"/>
        </w:trPr>
        <w:tc>
          <w:tcPr>
            <w:tcW w:w="4361" w:type="dxa"/>
            <w:vAlign w:val="center"/>
          </w:tcPr>
          <w:p w14:paraId="536A7CD0" w14:textId="77777777" w:rsidR="00C17EC2" w:rsidRPr="00BD1319" w:rsidRDefault="00C17EC2" w:rsidP="005E527C">
            <w:pPr>
              <w:numPr>
                <w:ilvl w:val="12"/>
                <w:numId w:val="0"/>
              </w:numPr>
              <w:tabs>
                <w:tab w:val="left" w:pos="-2268"/>
              </w:tabs>
              <w:suppressAutoHyphens/>
              <w:rPr>
                <w:rFonts w:cs="Arial"/>
                <w:spacing w:val="-3"/>
                <w:sz w:val="20"/>
                <w:szCs w:val="20"/>
              </w:rPr>
            </w:pPr>
            <w:r w:rsidRPr="00BD1319">
              <w:rPr>
                <w:rFonts w:cs="Arial"/>
                <w:spacing w:val="-3"/>
                <w:sz w:val="20"/>
                <w:szCs w:val="20"/>
              </w:rPr>
              <w:t>ANLA. Centro de Monitoreo</w:t>
            </w:r>
          </w:p>
        </w:tc>
        <w:tc>
          <w:tcPr>
            <w:tcW w:w="5262" w:type="dxa"/>
            <w:vAlign w:val="center"/>
          </w:tcPr>
          <w:p w14:paraId="37431466" w14:textId="51387248" w:rsidR="00C17EC2" w:rsidRPr="00BD1319" w:rsidRDefault="00C17EC2" w:rsidP="005E527C">
            <w:pPr>
              <w:numPr>
                <w:ilvl w:val="12"/>
                <w:numId w:val="0"/>
              </w:numPr>
              <w:tabs>
                <w:tab w:val="left" w:pos="-2268"/>
              </w:tabs>
              <w:suppressAutoHyphens/>
              <w:rPr>
                <w:rFonts w:cs="Arial"/>
                <w:spacing w:val="-3"/>
                <w:sz w:val="20"/>
                <w:szCs w:val="20"/>
              </w:rPr>
            </w:pPr>
            <w:hyperlink r:id="rId18" w:history="1">
              <w:r w:rsidRPr="00BD1319">
                <w:rPr>
                  <w:rFonts w:cs="Arial"/>
                  <w:spacing w:val="-3"/>
                  <w:sz w:val="20"/>
                  <w:szCs w:val="20"/>
                </w:rPr>
                <w:t>https://www.anla.gov.co/proyectos-anla/centro-de-monitoreo/</w:t>
              </w:r>
            </w:hyperlink>
          </w:p>
        </w:tc>
      </w:tr>
      <w:tr w:rsidR="00C17EC2" w:rsidRPr="00BD1319" w14:paraId="4B979B8C" w14:textId="77777777" w:rsidTr="00C17EC2">
        <w:trPr>
          <w:trHeight w:hRule="exact" w:val="567"/>
        </w:trPr>
        <w:tc>
          <w:tcPr>
            <w:tcW w:w="4361" w:type="dxa"/>
            <w:vAlign w:val="center"/>
          </w:tcPr>
          <w:p w14:paraId="772FCD5E" w14:textId="77777777" w:rsidR="00C17EC2" w:rsidRPr="00BD1319" w:rsidRDefault="00C17EC2" w:rsidP="005E527C">
            <w:pPr>
              <w:numPr>
                <w:ilvl w:val="12"/>
                <w:numId w:val="0"/>
              </w:numPr>
              <w:tabs>
                <w:tab w:val="left" w:pos="-2268"/>
              </w:tabs>
              <w:suppressAutoHyphens/>
              <w:rPr>
                <w:rFonts w:cs="Arial"/>
                <w:spacing w:val="-3"/>
                <w:sz w:val="20"/>
                <w:szCs w:val="20"/>
              </w:rPr>
            </w:pPr>
            <w:r w:rsidRPr="00BD1319">
              <w:rPr>
                <w:rFonts w:cs="Arial"/>
                <w:spacing w:val="-3"/>
                <w:sz w:val="20"/>
                <w:szCs w:val="20"/>
              </w:rPr>
              <w:t>ANLA. Eureka</w:t>
            </w:r>
          </w:p>
        </w:tc>
        <w:tc>
          <w:tcPr>
            <w:tcW w:w="5262" w:type="dxa"/>
            <w:vAlign w:val="center"/>
          </w:tcPr>
          <w:p w14:paraId="7FE692B8" w14:textId="784DD513" w:rsidR="00C17EC2" w:rsidRPr="00BD1319" w:rsidRDefault="00C17EC2" w:rsidP="005E527C">
            <w:pPr>
              <w:numPr>
                <w:ilvl w:val="12"/>
                <w:numId w:val="0"/>
              </w:numPr>
              <w:tabs>
                <w:tab w:val="left" w:pos="-2268"/>
              </w:tabs>
              <w:suppressAutoHyphens/>
              <w:rPr>
                <w:rFonts w:cs="Arial"/>
                <w:spacing w:val="-3"/>
                <w:sz w:val="20"/>
                <w:szCs w:val="20"/>
              </w:rPr>
            </w:pPr>
            <w:hyperlink r:id="rId19" w:history="1">
              <w:r w:rsidRPr="00BD1319">
                <w:rPr>
                  <w:rFonts w:cs="Arial"/>
                  <w:spacing w:val="-3"/>
                  <w:sz w:val="20"/>
                  <w:szCs w:val="20"/>
                </w:rPr>
                <w:t>https://www.anla.gov.co/eureka/</w:t>
              </w:r>
            </w:hyperlink>
          </w:p>
        </w:tc>
      </w:tr>
      <w:tr w:rsidR="00C17EC2" w:rsidRPr="00BD1319" w14:paraId="7008D2AB" w14:textId="77777777" w:rsidTr="00C17EC2">
        <w:trPr>
          <w:trHeight w:hRule="exact" w:val="567"/>
        </w:trPr>
        <w:tc>
          <w:tcPr>
            <w:tcW w:w="4361" w:type="dxa"/>
            <w:vAlign w:val="center"/>
          </w:tcPr>
          <w:p w14:paraId="123729B2" w14:textId="77777777" w:rsidR="00C17EC2" w:rsidRPr="00BD1319" w:rsidRDefault="00C17EC2" w:rsidP="005E527C">
            <w:pPr>
              <w:numPr>
                <w:ilvl w:val="12"/>
                <w:numId w:val="0"/>
              </w:numPr>
              <w:tabs>
                <w:tab w:val="left" w:pos="-2268"/>
              </w:tabs>
              <w:suppressAutoHyphens/>
              <w:rPr>
                <w:rFonts w:cs="Arial"/>
                <w:spacing w:val="-3"/>
                <w:sz w:val="20"/>
                <w:szCs w:val="20"/>
              </w:rPr>
            </w:pPr>
            <w:r w:rsidRPr="00BD1319">
              <w:rPr>
                <w:rFonts w:cs="Arial"/>
                <w:spacing w:val="-3"/>
                <w:sz w:val="20"/>
                <w:szCs w:val="20"/>
              </w:rPr>
              <w:t>ANLA. Subdirección de Instrumentos, Permisos y Trámites Ambientales</w:t>
            </w:r>
          </w:p>
        </w:tc>
        <w:tc>
          <w:tcPr>
            <w:tcW w:w="5262" w:type="dxa"/>
            <w:vAlign w:val="center"/>
          </w:tcPr>
          <w:p w14:paraId="6947515A" w14:textId="21D5DF01" w:rsidR="00C17EC2" w:rsidRPr="00BD1319" w:rsidRDefault="00C17EC2" w:rsidP="005E527C">
            <w:pPr>
              <w:numPr>
                <w:ilvl w:val="12"/>
                <w:numId w:val="0"/>
              </w:numPr>
              <w:tabs>
                <w:tab w:val="left" w:pos="-2268"/>
              </w:tabs>
              <w:suppressAutoHyphens/>
              <w:rPr>
                <w:rFonts w:cs="Arial"/>
                <w:spacing w:val="-3"/>
                <w:sz w:val="20"/>
                <w:szCs w:val="20"/>
              </w:rPr>
            </w:pPr>
            <w:hyperlink r:id="rId20" w:history="1">
              <w:r w:rsidRPr="00BD1319">
                <w:rPr>
                  <w:rFonts w:cs="Arial"/>
                  <w:spacing w:val="-3"/>
                  <w:sz w:val="20"/>
                  <w:szCs w:val="20"/>
                </w:rPr>
                <w:t>https://www.anla.gov.co/01_anla/proyectos/nuevo-licenciamiento-ambiental/en-que-consiste</w:t>
              </w:r>
            </w:hyperlink>
          </w:p>
        </w:tc>
      </w:tr>
      <w:tr w:rsidR="00C17EC2" w:rsidRPr="00BD1319" w14:paraId="0F3E5E3D" w14:textId="77777777" w:rsidTr="00C17EC2">
        <w:trPr>
          <w:trHeight w:hRule="exact" w:val="567"/>
        </w:trPr>
        <w:tc>
          <w:tcPr>
            <w:tcW w:w="4361" w:type="dxa"/>
            <w:vAlign w:val="center"/>
            <w:hideMark/>
          </w:tcPr>
          <w:p w14:paraId="1D86D652" w14:textId="77777777" w:rsidR="00C17EC2" w:rsidRPr="00BD1319" w:rsidRDefault="00C17EC2" w:rsidP="005E527C">
            <w:pPr>
              <w:numPr>
                <w:ilvl w:val="12"/>
                <w:numId w:val="0"/>
              </w:numPr>
              <w:tabs>
                <w:tab w:val="left" w:pos="-2268"/>
              </w:tabs>
              <w:suppressAutoHyphens/>
              <w:rPr>
                <w:rFonts w:cs="Arial"/>
                <w:spacing w:val="-3"/>
                <w:sz w:val="20"/>
                <w:szCs w:val="20"/>
              </w:rPr>
            </w:pPr>
            <w:r w:rsidRPr="00BD1319">
              <w:rPr>
                <w:rFonts w:cs="Arial"/>
                <w:spacing w:val="-3"/>
                <w:sz w:val="20"/>
                <w:szCs w:val="20"/>
              </w:rPr>
              <w:t>Asociación colombiana de ictiólogos (ACICTIOS)</w:t>
            </w:r>
          </w:p>
        </w:tc>
        <w:tc>
          <w:tcPr>
            <w:tcW w:w="5262" w:type="dxa"/>
            <w:vAlign w:val="center"/>
            <w:hideMark/>
          </w:tcPr>
          <w:p w14:paraId="58D8C65A" w14:textId="3106F9F9" w:rsidR="00C17EC2" w:rsidRPr="00BD1319" w:rsidRDefault="00C17EC2" w:rsidP="005E527C">
            <w:pPr>
              <w:numPr>
                <w:ilvl w:val="12"/>
                <w:numId w:val="0"/>
              </w:numPr>
              <w:tabs>
                <w:tab w:val="left" w:pos="-2268"/>
              </w:tabs>
              <w:suppressAutoHyphens/>
              <w:rPr>
                <w:rFonts w:cs="Arial"/>
                <w:spacing w:val="-3"/>
                <w:sz w:val="20"/>
                <w:szCs w:val="20"/>
              </w:rPr>
            </w:pPr>
            <w:hyperlink r:id="rId21" w:history="1">
              <w:r w:rsidRPr="00BD1319">
                <w:rPr>
                  <w:rFonts w:cs="Arial"/>
                  <w:sz w:val="20"/>
                  <w:szCs w:val="20"/>
                </w:rPr>
                <w:t>https://acictios.org/listado-de-peces-de-agua-dulce-de-colombia/</w:t>
              </w:r>
            </w:hyperlink>
          </w:p>
        </w:tc>
      </w:tr>
      <w:tr w:rsidR="00C17EC2" w:rsidRPr="00BD1319" w14:paraId="1C1A0FD4" w14:textId="77777777" w:rsidTr="00C17EC2">
        <w:trPr>
          <w:trHeight w:hRule="exact" w:val="567"/>
        </w:trPr>
        <w:tc>
          <w:tcPr>
            <w:tcW w:w="4361" w:type="dxa"/>
            <w:vAlign w:val="center"/>
            <w:hideMark/>
          </w:tcPr>
          <w:p w14:paraId="66B20115" w14:textId="77777777" w:rsidR="00C17EC2" w:rsidRPr="00BD1319" w:rsidRDefault="00C17EC2" w:rsidP="005E527C">
            <w:pPr>
              <w:numPr>
                <w:ilvl w:val="12"/>
                <w:numId w:val="0"/>
              </w:numPr>
              <w:tabs>
                <w:tab w:val="left" w:pos="-2268"/>
              </w:tabs>
              <w:suppressAutoHyphens/>
              <w:rPr>
                <w:rFonts w:cs="Arial"/>
                <w:spacing w:val="-3"/>
                <w:sz w:val="20"/>
                <w:szCs w:val="20"/>
              </w:rPr>
            </w:pPr>
            <w:r w:rsidRPr="00BD1319">
              <w:rPr>
                <w:rFonts w:cs="Arial"/>
                <w:spacing w:val="-3"/>
                <w:sz w:val="20"/>
                <w:szCs w:val="20"/>
              </w:rPr>
              <w:t>Asociación red colombiana de reservas naturales de la sociedad civil (RESNATUR)</w:t>
            </w:r>
          </w:p>
        </w:tc>
        <w:tc>
          <w:tcPr>
            <w:tcW w:w="5262" w:type="dxa"/>
            <w:vAlign w:val="center"/>
            <w:hideMark/>
          </w:tcPr>
          <w:p w14:paraId="55E061F0" w14:textId="77777777" w:rsidR="00C17EC2" w:rsidRPr="00BD1319" w:rsidRDefault="00C17EC2" w:rsidP="005E527C">
            <w:pPr>
              <w:numPr>
                <w:ilvl w:val="12"/>
                <w:numId w:val="0"/>
              </w:numPr>
              <w:tabs>
                <w:tab w:val="left" w:pos="-2268"/>
              </w:tabs>
              <w:suppressAutoHyphens/>
              <w:rPr>
                <w:rFonts w:cs="Arial"/>
                <w:spacing w:val="-3"/>
                <w:sz w:val="20"/>
                <w:szCs w:val="20"/>
                <w:u w:val="single"/>
              </w:rPr>
            </w:pPr>
            <w:r w:rsidRPr="00BD1319">
              <w:rPr>
                <w:rFonts w:cs="Arial"/>
                <w:sz w:val="20"/>
                <w:szCs w:val="20"/>
              </w:rPr>
              <w:t>https://www.resnatur.org.co/</w:t>
            </w:r>
          </w:p>
        </w:tc>
      </w:tr>
      <w:tr w:rsidR="00C17EC2" w:rsidRPr="00BD1319" w14:paraId="70917E9A" w14:textId="77777777" w:rsidTr="00C17EC2">
        <w:trPr>
          <w:trHeight w:hRule="exact" w:val="802"/>
        </w:trPr>
        <w:tc>
          <w:tcPr>
            <w:tcW w:w="4361" w:type="dxa"/>
            <w:vAlign w:val="center"/>
          </w:tcPr>
          <w:p w14:paraId="2EDDF11D" w14:textId="77777777" w:rsidR="00C17EC2" w:rsidRPr="00BD1319" w:rsidRDefault="00C17EC2" w:rsidP="005E527C">
            <w:pPr>
              <w:numPr>
                <w:ilvl w:val="12"/>
                <w:numId w:val="0"/>
              </w:numPr>
              <w:tabs>
                <w:tab w:val="left" w:pos="-2268"/>
              </w:tabs>
              <w:suppressAutoHyphens/>
              <w:rPr>
                <w:rFonts w:cs="Arial"/>
                <w:spacing w:val="-3"/>
                <w:sz w:val="20"/>
                <w:szCs w:val="20"/>
                <w:lang w:val="es-MX"/>
              </w:rPr>
            </w:pPr>
            <w:r w:rsidRPr="00BD1319">
              <w:rPr>
                <w:rFonts w:cs="Arial"/>
                <w:spacing w:val="-3"/>
                <w:sz w:val="20"/>
                <w:szCs w:val="20"/>
                <w:lang w:val="es-MX"/>
              </w:rPr>
              <w:t>Base de datos de Estadísticas Laborales de la Organización Internacional del Trabajo (ILOSTAT)</w:t>
            </w:r>
          </w:p>
        </w:tc>
        <w:tc>
          <w:tcPr>
            <w:tcW w:w="5262" w:type="dxa"/>
            <w:vAlign w:val="center"/>
          </w:tcPr>
          <w:p w14:paraId="1377A8C0" w14:textId="77777777" w:rsidR="00C17EC2" w:rsidRPr="00BD1319" w:rsidRDefault="00C17EC2" w:rsidP="005E527C">
            <w:pPr>
              <w:numPr>
                <w:ilvl w:val="12"/>
                <w:numId w:val="0"/>
              </w:numPr>
              <w:tabs>
                <w:tab w:val="left" w:pos="-2268"/>
              </w:tabs>
              <w:suppressAutoHyphens/>
              <w:rPr>
                <w:lang w:val="es-MX"/>
              </w:rPr>
            </w:pPr>
            <w:r w:rsidRPr="00BD1319">
              <w:rPr>
                <w:rFonts w:cs="Arial"/>
                <w:spacing w:val="-3"/>
                <w:sz w:val="20"/>
                <w:szCs w:val="20"/>
                <w:lang w:val="es-MX"/>
              </w:rPr>
              <w:t>https://ilostat.ilo.org/es/</w:t>
            </w:r>
          </w:p>
        </w:tc>
      </w:tr>
      <w:tr w:rsidR="00C17EC2" w:rsidRPr="00017D31" w14:paraId="7D5BFA81" w14:textId="77777777" w:rsidTr="00C17EC2">
        <w:trPr>
          <w:trHeight w:hRule="exact" w:val="567"/>
        </w:trPr>
        <w:tc>
          <w:tcPr>
            <w:tcW w:w="4361" w:type="dxa"/>
            <w:vAlign w:val="center"/>
            <w:hideMark/>
          </w:tcPr>
          <w:p w14:paraId="18B2C445" w14:textId="77777777" w:rsidR="00C17EC2" w:rsidRPr="00BD1319" w:rsidRDefault="00C17EC2" w:rsidP="005E527C">
            <w:pPr>
              <w:numPr>
                <w:ilvl w:val="12"/>
                <w:numId w:val="0"/>
              </w:numPr>
              <w:tabs>
                <w:tab w:val="left" w:pos="-2268"/>
              </w:tabs>
              <w:suppressAutoHyphens/>
              <w:rPr>
                <w:rFonts w:cs="Arial"/>
                <w:spacing w:val="-3"/>
                <w:sz w:val="20"/>
                <w:szCs w:val="20"/>
                <w:lang w:val="en-US"/>
              </w:rPr>
            </w:pPr>
            <w:r w:rsidRPr="00BD1319">
              <w:rPr>
                <w:rFonts w:cs="Arial"/>
                <w:spacing w:val="-3"/>
                <w:sz w:val="20"/>
                <w:szCs w:val="20"/>
                <w:lang w:val="en-US"/>
              </w:rPr>
              <w:t xml:space="preserve">Bucknell </w:t>
            </w:r>
            <w:proofErr w:type="spellStart"/>
            <w:r w:rsidRPr="00BD1319">
              <w:rPr>
                <w:rFonts w:cs="Arial"/>
                <w:spacing w:val="-3"/>
                <w:sz w:val="20"/>
                <w:szCs w:val="20"/>
                <w:lang w:val="en-US"/>
              </w:rPr>
              <w:t>Univesity</w:t>
            </w:r>
            <w:proofErr w:type="spellEnd"/>
            <w:r w:rsidRPr="00BD1319">
              <w:rPr>
                <w:rFonts w:cs="Arial"/>
                <w:spacing w:val="-3"/>
                <w:sz w:val="20"/>
                <w:szCs w:val="20"/>
                <w:lang w:val="en-US"/>
              </w:rPr>
              <w:t xml:space="preserve"> - Mammal Species of the World</w:t>
            </w:r>
          </w:p>
        </w:tc>
        <w:tc>
          <w:tcPr>
            <w:tcW w:w="5262" w:type="dxa"/>
            <w:vAlign w:val="center"/>
            <w:hideMark/>
          </w:tcPr>
          <w:p w14:paraId="1D205B51" w14:textId="77777777" w:rsidR="00C17EC2" w:rsidRPr="00BD1319" w:rsidRDefault="00C17EC2" w:rsidP="005E527C">
            <w:pPr>
              <w:numPr>
                <w:ilvl w:val="12"/>
                <w:numId w:val="0"/>
              </w:numPr>
              <w:tabs>
                <w:tab w:val="left" w:pos="-2268"/>
              </w:tabs>
              <w:suppressAutoHyphens/>
              <w:rPr>
                <w:rFonts w:cs="Arial"/>
                <w:spacing w:val="-3"/>
                <w:sz w:val="20"/>
                <w:szCs w:val="20"/>
                <w:u w:val="single"/>
                <w:lang w:val="en-US"/>
              </w:rPr>
            </w:pPr>
            <w:r w:rsidRPr="00BD1319">
              <w:rPr>
                <w:rFonts w:cs="Arial"/>
                <w:sz w:val="20"/>
                <w:szCs w:val="20"/>
                <w:lang w:val="en-US"/>
              </w:rPr>
              <w:t>http://www.departments.bucknell.edu/biology/resources/msw3/browse.asp</w:t>
            </w:r>
          </w:p>
        </w:tc>
      </w:tr>
      <w:tr w:rsidR="00C17EC2" w:rsidRPr="00017D31" w14:paraId="70F738BE" w14:textId="77777777" w:rsidTr="00C17EC2">
        <w:trPr>
          <w:trHeight w:hRule="exact" w:val="567"/>
        </w:trPr>
        <w:tc>
          <w:tcPr>
            <w:tcW w:w="4361" w:type="dxa"/>
            <w:vAlign w:val="center"/>
            <w:hideMark/>
          </w:tcPr>
          <w:p w14:paraId="4CA61D06" w14:textId="77777777" w:rsidR="00C17EC2" w:rsidRPr="00BD1319" w:rsidRDefault="00C17EC2" w:rsidP="005E527C">
            <w:pPr>
              <w:numPr>
                <w:ilvl w:val="12"/>
                <w:numId w:val="0"/>
              </w:numPr>
              <w:tabs>
                <w:tab w:val="left" w:pos="-2268"/>
              </w:tabs>
              <w:suppressAutoHyphens/>
              <w:rPr>
                <w:rFonts w:cs="Arial"/>
                <w:spacing w:val="-3"/>
                <w:sz w:val="20"/>
                <w:szCs w:val="20"/>
                <w:lang w:val="en-US"/>
              </w:rPr>
            </w:pPr>
            <w:r w:rsidRPr="00BD1319">
              <w:rPr>
                <w:rFonts w:cs="Arial"/>
                <w:spacing w:val="-3"/>
                <w:sz w:val="20"/>
                <w:szCs w:val="20"/>
                <w:lang w:val="en-US"/>
              </w:rPr>
              <w:t>California Academy of Sciences - Eschmeyer's Catalog of Fishes</w:t>
            </w:r>
          </w:p>
        </w:tc>
        <w:tc>
          <w:tcPr>
            <w:tcW w:w="5262" w:type="dxa"/>
            <w:vAlign w:val="center"/>
            <w:hideMark/>
          </w:tcPr>
          <w:p w14:paraId="1BB45A41" w14:textId="77777777" w:rsidR="00C17EC2" w:rsidRPr="00BD1319" w:rsidRDefault="00C17EC2" w:rsidP="005E527C">
            <w:pPr>
              <w:numPr>
                <w:ilvl w:val="12"/>
                <w:numId w:val="0"/>
              </w:numPr>
              <w:tabs>
                <w:tab w:val="left" w:pos="-2268"/>
              </w:tabs>
              <w:suppressAutoHyphens/>
              <w:rPr>
                <w:rFonts w:cs="Arial"/>
                <w:spacing w:val="-3"/>
                <w:sz w:val="20"/>
                <w:szCs w:val="20"/>
                <w:u w:val="single"/>
                <w:lang w:val="en-US"/>
              </w:rPr>
            </w:pPr>
            <w:r w:rsidRPr="00BD1319">
              <w:rPr>
                <w:rFonts w:cs="Arial"/>
                <w:sz w:val="20"/>
                <w:szCs w:val="20"/>
                <w:lang w:val="en-US"/>
              </w:rPr>
              <w:t>https://researcharchive.calacademy.org/research/ichthyology/catalog/fishcatmain.asp</w:t>
            </w:r>
          </w:p>
        </w:tc>
      </w:tr>
      <w:tr w:rsidR="00C17EC2" w:rsidRPr="00BD1319" w14:paraId="57894D85" w14:textId="77777777" w:rsidTr="00C17EC2">
        <w:trPr>
          <w:trHeight w:hRule="exact" w:val="567"/>
        </w:trPr>
        <w:tc>
          <w:tcPr>
            <w:tcW w:w="4361" w:type="dxa"/>
            <w:vAlign w:val="center"/>
            <w:hideMark/>
          </w:tcPr>
          <w:p w14:paraId="5748B5A7" w14:textId="77777777" w:rsidR="00C17EC2" w:rsidRPr="00BD1319" w:rsidRDefault="00C17EC2" w:rsidP="005E527C">
            <w:pPr>
              <w:numPr>
                <w:ilvl w:val="12"/>
                <w:numId w:val="0"/>
              </w:numPr>
              <w:tabs>
                <w:tab w:val="left" w:pos="-2268"/>
              </w:tabs>
              <w:suppressAutoHyphens/>
              <w:rPr>
                <w:rFonts w:cs="Arial"/>
                <w:spacing w:val="-3"/>
                <w:sz w:val="20"/>
                <w:szCs w:val="20"/>
              </w:rPr>
            </w:pPr>
            <w:r w:rsidRPr="00BD1319">
              <w:rPr>
                <w:rFonts w:cs="Arial"/>
                <w:spacing w:val="-3"/>
                <w:sz w:val="20"/>
                <w:szCs w:val="20"/>
              </w:rPr>
              <w:t>Centro de Investigación Oceánica IFM-GEOMAR Helmholtz</w:t>
            </w:r>
          </w:p>
        </w:tc>
        <w:tc>
          <w:tcPr>
            <w:tcW w:w="5262" w:type="dxa"/>
            <w:vAlign w:val="center"/>
            <w:hideMark/>
          </w:tcPr>
          <w:p w14:paraId="1B6D9F69" w14:textId="77777777" w:rsidR="00C17EC2" w:rsidRPr="00BD1319" w:rsidRDefault="00C17EC2" w:rsidP="005E527C">
            <w:pPr>
              <w:numPr>
                <w:ilvl w:val="12"/>
                <w:numId w:val="0"/>
              </w:numPr>
              <w:tabs>
                <w:tab w:val="left" w:pos="-2268"/>
              </w:tabs>
              <w:suppressAutoHyphens/>
              <w:rPr>
                <w:rFonts w:cs="Arial"/>
                <w:spacing w:val="-3"/>
                <w:sz w:val="20"/>
                <w:szCs w:val="20"/>
                <w:u w:val="single"/>
              </w:rPr>
            </w:pPr>
            <w:r w:rsidRPr="00BD1319">
              <w:rPr>
                <w:rFonts w:cs="Arial"/>
                <w:sz w:val="20"/>
                <w:szCs w:val="20"/>
              </w:rPr>
              <w:t>http://www.ifm-geomar.de/ifm-geomar/</w:t>
            </w:r>
          </w:p>
        </w:tc>
      </w:tr>
      <w:tr w:rsidR="00C17EC2" w:rsidRPr="00BD1319" w14:paraId="0878E981" w14:textId="77777777" w:rsidTr="00C17EC2">
        <w:trPr>
          <w:trHeight w:hRule="exact" w:val="567"/>
        </w:trPr>
        <w:tc>
          <w:tcPr>
            <w:tcW w:w="4361" w:type="dxa"/>
            <w:vAlign w:val="center"/>
          </w:tcPr>
          <w:p w14:paraId="496FC101" w14:textId="77777777" w:rsidR="00C17EC2" w:rsidRPr="00BD1319" w:rsidRDefault="00C17EC2" w:rsidP="005E527C">
            <w:pPr>
              <w:numPr>
                <w:ilvl w:val="12"/>
                <w:numId w:val="0"/>
              </w:numPr>
              <w:tabs>
                <w:tab w:val="left" w:pos="-2268"/>
              </w:tabs>
              <w:suppressAutoHyphens/>
              <w:rPr>
                <w:rFonts w:cs="Arial"/>
                <w:spacing w:val="-3"/>
                <w:sz w:val="20"/>
                <w:szCs w:val="20"/>
              </w:rPr>
            </w:pPr>
            <w:r w:rsidRPr="00BD1319">
              <w:rPr>
                <w:rFonts w:cs="Arial"/>
                <w:spacing w:val="-3"/>
                <w:sz w:val="20"/>
                <w:szCs w:val="20"/>
              </w:rPr>
              <w:t>Centro de Investigación y Educación Popular (CINEP)</w:t>
            </w:r>
          </w:p>
        </w:tc>
        <w:tc>
          <w:tcPr>
            <w:tcW w:w="5262" w:type="dxa"/>
            <w:vAlign w:val="center"/>
          </w:tcPr>
          <w:p w14:paraId="5F4C2D76" w14:textId="77777777" w:rsidR="00C17EC2" w:rsidRPr="00BD1319" w:rsidDel="00A33D9C" w:rsidRDefault="00C17EC2" w:rsidP="005E527C">
            <w:pPr>
              <w:numPr>
                <w:ilvl w:val="12"/>
                <w:numId w:val="0"/>
              </w:numPr>
              <w:tabs>
                <w:tab w:val="left" w:pos="-2268"/>
              </w:tabs>
              <w:suppressAutoHyphens/>
              <w:rPr>
                <w:rFonts w:cs="Arial"/>
                <w:sz w:val="20"/>
                <w:szCs w:val="20"/>
              </w:rPr>
            </w:pPr>
            <w:r w:rsidRPr="00BD1319">
              <w:rPr>
                <w:rFonts w:cs="Arial"/>
                <w:sz w:val="20"/>
                <w:szCs w:val="20"/>
              </w:rPr>
              <w:t>https://cinep.org.co/</w:t>
            </w:r>
          </w:p>
        </w:tc>
      </w:tr>
      <w:tr w:rsidR="00C17EC2" w:rsidRPr="00BD1319" w14:paraId="4C0EA139" w14:textId="77777777" w:rsidTr="00C17EC2">
        <w:trPr>
          <w:trHeight w:hRule="exact" w:val="567"/>
        </w:trPr>
        <w:tc>
          <w:tcPr>
            <w:tcW w:w="4361" w:type="dxa"/>
            <w:vAlign w:val="center"/>
            <w:hideMark/>
          </w:tcPr>
          <w:p w14:paraId="21A2A0FA" w14:textId="77777777" w:rsidR="00C17EC2" w:rsidRPr="00BD1319" w:rsidRDefault="00C17EC2" w:rsidP="005E527C">
            <w:pPr>
              <w:numPr>
                <w:ilvl w:val="12"/>
                <w:numId w:val="0"/>
              </w:numPr>
              <w:tabs>
                <w:tab w:val="left" w:pos="-2268"/>
              </w:tabs>
              <w:suppressAutoHyphens/>
              <w:rPr>
                <w:rFonts w:cs="Arial"/>
                <w:spacing w:val="-3"/>
                <w:sz w:val="20"/>
                <w:szCs w:val="20"/>
              </w:rPr>
            </w:pPr>
            <w:r w:rsidRPr="00BD1319">
              <w:rPr>
                <w:rFonts w:cs="Arial"/>
                <w:spacing w:val="-3"/>
                <w:sz w:val="20"/>
                <w:szCs w:val="20"/>
              </w:rPr>
              <w:t>Centro de investigaciones oceanográficas e hidrográficas del Caribe (CIOH)</w:t>
            </w:r>
          </w:p>
        </w:tc>
        <w:tc>
          <w:tcPr>
            <w:tcW w:w="5262" w:type="dxa"/>
            <w:vAlign w:val="center"/>
            <w:hideMark/>
          </w:tcPr>
          <w:p w14:paraId="7706699D" w14:textId="77777777" w:rsidR="00C17EC2" w:rsidRPr="00BD1319" w:rsidRDefault="00C17EC2" w:rsidP="005E527C">
            <w:pPr>
              <w:numPr>
                <w:ilvl w:val="12"/>
                <w:numId w:val="0"/>
              </w:numPr>
              <w:tabs>
                <w:tab w:val="left" w:pos="-2268"/>
              </w:tabs>
              <w:suppressAutoHyphens/>
              <w:rPr>
                <w:rFonts w:cs="Arial"/>
                <w:spacing w:val="-3"/>
                <w:sz w:val="20"/>
                <w:szCs w:val="20"/>
                <w:u w:val="single"/>
              </w:rPr>
            </w:pPr>
            <w:r w:rsidRPr="00BD1319">
              <w:rPr>
                <w:rFonts w:cs="Arial"/>
                <w:sz w:val="20"/>
                <w:szCs w:val="20"/>
              </w:rPr>
              <w:t>https://www.cioh.org.co/</w:t>
            </w:r>
          </w:p>
        </w:tc>
      </w:tr>
      <w:tr w:rsidR="00C17EC2" w:rsidRPr="00BD1319" w14:paraId="367B32FC" w14:textId="77777777" w:rsidTr="00C17EC2">
        <w:trPr>
          <w:trHeight w:hRule="exact" w:val="567"/>
        </w:trPr>
        <w:tc>
          <w:tcPr>
            <w:tcW w:w="4361" w:type="dxa"/>
            <w:vAlign w:val="center"/>
            <w:hideMark/>
          </w:tcPr>
          <w:p w14:paraId="684BE4D7" w14:textId="77777777" w:rsidR="00C17EC2" w:rsidRPr="00BD1319" w:rsidRDefault="00C17EC2" w:rsidP="005E527C">
            <w:pPr>
              <w:numPr>
                <w:ilvl w:val="12"/>
                <w:numId w:val="0"/>
              </w:numPr>
              <w:tabs>
                <w:tab w:val="left" w:pos="-2268"/>
              </w:tabs>
              <w:suppressAutoHyphens/>
              <w:rPr>
                <w:rFonts w:cs="Arial"/>
                <w:spacing w:val="-3"/>
                <w:sz w:val="20"/>
                <w:szCs w:val="20"/>
              </w:rPr>
            </w:pPr>
            <w:r w:rsidRPr="00BD1319">
              <w:rPr>
                <w:rFonts w:cs="Arial"/>
                <w:spacing w:val="-3"/>
                <w:sz w:val="20"/>
                <w:szCs w:val="20"/>
              </w:rPr>
              <w:t>Centro de investigaciones oceanográficas e hidrográficas del Pacífico (CCCP)</w:t>
            </w:r>
          </w:p>
        </w:tc>
        <w:tc>
          <w:tcPr>
            <w:tcW w:w="5262" w:type="dxa"/>
            <w:vAlign w:val="center"/>
            <w:hideMark/>
          </w:tcPr>
          <w:p w14:paraId="429703D7" w14:textId="77777777" w:rsidR="00C17EC2" w:rsidRPr="00BD1319" w:rsidRDefault="00C17EC2" w:rsidP="005E527C">
            <w:pPr>
              <w:numPr>
                <w:ilvl w:val="12"/>
                <w:numId w:val="0"/>
              </w:numPr>
              <w:tabs>
                <w:tab w:val="left" w:pos="-2268"/>
              </w:tabs>
              <w:suppressAutoHyphens/>
              <w:rPr>
                <w:rFonts w:cs="Arial"/>
                <w:spacing w:val="-3"/>
                <w:sz w:val="20"/>
                <w:szCs w:val="20"/>
                <w:u w:val="single"/>
              </w:rPr>
            </w:pPr>
            <w:r w:rsidRPr="00BD1319">
              <w:rPr>
                <w:rFonts w:cs="Arial"/>
                <w:sz w:val="20"/>
                <w:szCs w:val="20"/>
              </w:rPr>
              <w:t>https://www.cccp.org.co/</w:t>
            </w:r>
          </w:p>
        </w:tc>
      </w:tr>
      <w:tr w:rsidR="00C17EC2" w:rsidRPr="00BD1319" w14:paraId="6FFA137F" w14:textId="77777777" w:rsidTr="00C17EC2">
        <w:trPr>
          <w:trHeight w:hRule="exact" w:val="567"/>
        </w:trPr>
        <w:tc>
          <w:tcPr>
            <w:tcW w:w="4361" w:type="dxa"/>
            <w:vAlign w:val="center"/>
          </w:tcPr>
          <w:p w14:paraId="2F5FCC42" w14:textId="77777777" w:rsidR="00C17EC2" w:rsidRPr="00BD1319" w:rsidRDefault="00C17EC2" w:rsidP="005E527C">
            <w:pPr>
              <w:numPr>
                <w:ilvl w:val="12"/>
                <w:numId w:val="0"/>
              </w:numPr>
              <w:tabs>
                <w:tab w:val="left" w:pos="-2268"/>
              </w:tabs>
              <w:suppressAutoHyphens/>
              <w:rPr>
                <w:rFonts w:cs="Arial"/>
                <w:spacing w:val="-3"/>
                <w:sz w:val="20"/>
                <w:szCs w:val="20"/>
              </w:rPr>
            </w:pPr>
            <w:r w:rsidRPr="00BD1319">
              <w:rPr>
                <w:rFonts w:cs="Arial"/>
                <w:spacing w:val="-3"/>
                <w:sz w:val="20"/>
                <w:szCs w:val="20"/>
              </w:rPr>
              <w:t>Centro Interdisciplinario de Estudios sobre el Desarrollo (CIDER)</w:t>
            </w:r>
          </w:p>
        </w:tc>
        <w:tc>
          <w:tcPr>
            <w:tcW w:w="5262" w:type="dxa"/>
            <w:vAlign w:val="center"/>
          </w:tcPr>
          <w:p w14:paraId="092BCA3C" w14:textId="77777777" w:rsidR="00C17EC2" w:rsidRPr="00BD1319" w:rsidDel="00A33D9C" w:rsidRDefault="00C17EC2" w:rsidP="005E527C">
            <w:pPr>
              <w:numPr>
                <w:ilvl w:val="12"/>
                <w:numId w:val="0"/>
              </w:numPr>
              <w:tabs>
                <w:tab w:val="left" w:pos="-2268"/>
              </w:tabs>
              <w:suppressAutoHyphens/>
              <w:rPr>
                <w:rFonts w:cs="Arial"/>
                <w:sz w:val="20"/>
                <w:szCs w:val="20"/>
              </w:rPr>
            </w:pPr>
            <w:r w:rsidRPr="00BD1319">
              <w:rPr>
                <w:rFonts w:cs="Arial"/>
                <w:sz w:val="20"/>
                <w:szCs w:val="20"/>
              </w:rPr>
              <w:t>https://cider.uniandes.edu.co/</w:t>
            </w:r>
          </w:p>
        </w:tc>
      </w:tr>
      <w:tr w:rsidR="00C17EC2" w:rsidRPr="00BD1319" w14:paraId="19B81C73" w14:textId="77777777" w:rsidTr="00C17EC2">
        <w:trPr>
          <w:trHeight w:hRule="exact" w:val="567"/>
        </w:trPr>
        <w:tc>
          <w:tcPr>
            <w:tcW w:w="4361" w:type="dxa"/>
            <w:vAlign w:val="center"/>
          </w:tcPr>
          <w:p w14:paraId="67CAD5B6" w14:textId="77777777" w:rsidR="00C17EC2" w:rsidRPr="00BD1319" w:rsidRDefault="00C17EC2" w:rsidP="005E527C">
            <w:pPr>
              <w:numPr>
                <w:ilvl w:val="12"/>
                <w:numId w:val="0"/>
              </w:numPr>
              <w:tabs>
                <w:tab w:val="left" w:pos="-2268"/>
              </w:tabs>
              <w:suppressAutoHyphens/>
              <w:jc w:val="left"/>
              <w:rPr>
                <w:rFonts w:cs="Arial"/>
                <w:spacing w:val="-3"/>
                <w:sz w:val="20"/>
                <w:szCs w:val="20"/>
              </w:rPr>
            </w:pPr>
            <w:r w:rsidRPr="00BD1319">
              <w:rPr>
                <w:rFonts w:cs="Arial"/>
                <w:spacing w:val="-3"/>
                <w:sz w:val="20"/>
                <w:szCs w:val="20"/>
              </w:rPr>
              <w:lastRenderedPageBreak/>
              <w:t>CITES. Apéndices I, II y III</w:t>
            </w:r>
          </w:p>
        </w:tc>
        <w:tc>
          <w:tcPr>
            <w:tcW w:w="5262" w:type="dxa"/>
            <w:vAlign w:val="center"/>
          </w:tcPr>
          <w:p w14:paraId="6B759A94" w14:textId="593DDF65" w:rsidR="00C17EC2" w:rsidRPr="00BD1319" w:rsidDel="00A33D9C" w:rsidRDefault="00C17EC2" w:rsidP="005E527C">
            <w:pPr>
              <w:numPr>
                <w:ilvl w:val="12"/>
                <w:numId w:val="0"/>
              </w:numPr>
              <w:tabs>
                <w:tab w:val="left" w:pos="-2268"/>
              </w:tabs>
              <w:suppressAutoHyphens/>
              <w:jc w:val="left"/>
              <w:rPr>
                <w:rFonts w:cs="Arial"/>
                <w:spacing w:val="-3"/>
                <w:sz w:val="20"/>
                <w:szCs w:val="20"/>
              </w:rPr>
            </w:pPr>
            <w:hyperlink r:id="rId22" w:history="1">
              <w:r w:rsidRPr="00BD1319">
                <w:rPr>
                  <w:rFonts w:cs="Arial"/>
                  <w:spacing w:val="-3"/>
                  <w:sz w:val="20"/>
                  <w:szCs w:val="20"/>
                </w:rPr>
                <w:t>https://cites.org/esp/app/appendices.php</w:t>
              </w:r>
            </w:hyperlink>
          </w:p>
        </w:tc>
      </w:tr>
      <w:tr w:rsidR="00C17EC2" w:rsidRPr="00BD1319" w14:paraId="0E24E1EB" w14:textId="77777777" w:rsidTr="00C17EC2">
        <w:trPr>
          <w:trHeight w:hRule="exact" w:val="567"/>
        </w:trPr>
        <w:tc>
          <w:tcPr>
            <w:tcW w:w="4361" w:type="dxa"/>
            <w:vAlign w:val="center"/>
          </w:tcPr>
          <w:p w14:paraId="472824D8" w14:textId="77777777" w:rsidR="00C17EC2" w:rsidRPr="00BD1319" w:rsidRDefault="00C17EC2" w:rsidP="005E527C">
            <w:pPr>
              <w:rPr>
                <w:rFonts w:cs="Arial"/>
                <w:spacing w:val="-3"/>
                <w:sz w:val="20"/>
                <w:szCs w:val="20"/>
              </w:rPr>
            </w:pPr>
            <w:r w:rsidRPr="00BD1319">
              <w:rPr>
                <w:rFonts w:cs="Arial"/>
                <w:spacing w:val="-3"/>
                <w:sz w:val="20"/>
                <w:szCs w:val="20"/>
              </w:rPr>
              <w:t>Clínica Jurídica de Medio Ambiente y Salud Pública de la Universidad de los Andes</w:t>
            </w:r>
          </w:p>
        </w:tc>
        <w:tc>
          <w:tcPr>
            <w:tcW w:w="5262" w:type="dxa"/>
            <w:vAlign w:val="center"/>
          </w:tcPr>
          <w:p w14:paraId="6A1A4DBB" w14:textId="77777777" w:rsidR="00C17EC2" w:rsidRPr="00BD1319" w:rsidRDefault="00C17EC2" w:rsidP="005E527C">
            <w:pPr>
              <w:rPr>
                <w:rFonts w:cs="Arial"/>
                <w:spacing w:val="-3"/>
                <w:sz w:val="20"/>
                <w:szCs w:val="20"/>
              </w:rPr>
            </w:pPr>
            <w:r w:rsidRPr="00BD1319">
              <w:rPr>
                <w:rFonts w:cs="Arial"/>
                <w:spacing w:val="-3"/>
                <w:sz w:val="20"/>
                <w:szCs w:val="20"/>
              </w:rPr>
              <w:t>https://clinicamasp.uniandes.edu.co/</w:t>
            </w:r>
          </w:p>
        </w:tc>
      </w:tr>
      <w:tr w:rsidR="00C17EC2" w:rsidRPr="00BD1319" w14:paraId="6BD06034" w14:textId="77777777" w:rsidTr="00C17EC2">
        <w:trPr>
          <w:trHeight w:hRule="exact" w:val="567"/>
        </w:trPr>
        <w:tc>
          <w:tcPr>
            <w:tcW w:w="4361" w:type="dxa"/>
            <w:vAlign w:val="center"/>
          </w:tcPr>
          <w:p w14:paraId="37FBA5D3" w14:textId="77777777" w:rsidR="00C17EC2" w:rsidRPr="00BD1319" w:rsidRDefault="00C17EC2" w:rsidP="005E527C">
            <w:pPr>
              <w:numPr>
                <w:ilvl w:val="12"/>
                <w:numId w:val="0"/>
              </w:numPr>
              <w:tabs>
                <w:tab w:val="left" w:pos="-2268"/>
              </w:tabs>
              <w:suppressAutoHyphens/>
              <w:jc w:val="left"/>
              <w:rPr>
                <w:rFonts w:cs="Arial"/>
                <w:spacing w:val="-3"/>
                <w:sz w:val="20"/>
                <w:szCs w:val="20"/>
              </w:rPr>
            </w:pPr>
            <w:proofErr w:type="spellStart"/>
            <w:r w:rsidRPr="00BD1319">
              <w:rPr>
                <w:rFonts w:cs="Arial"/>
                <w:spacing w:val="-3"/>
                <w:sz w:val="20"/>
                <w:szCs w:val="20"/>
              </w:rPr>
              <w:t>ColFungi</w:t>
            </w:r>
            <w:proofErr w:type="spellEnd"/>
          </w:p>
        </w:tc>
        <w:tc>
          <w:tcPr>
            <w:tcW w:w="5262" w:type="dxa"/>
            <w:vAlign w:val="center"/>
          </w:tcPr>
          <w:p w14:paraId="4C1564FF" w14:textId="3B555CCE" w:rsidR="00C17EC2" w:rsidRPr="00BD1319" w:rsidRDefault="00C17EC2" w:rsidP="005E527C">
            <w:pPr>
              <w:numPr>
                <w:ilvl w:val="12"/>
                <w:numId w:val="0"/>
              </w:numPr>
              <w:tabs>
                <w:tab w:val="left" w:pos="-2268"/>
              </w:tabs>
              <w:suppressAutoHyphens/>
              <w:jc w:val="left"/>
              <w:rPr>
                <w:rFonts w:cs="Arial"/>
                <w:spacing w:val="-3"/>
                <w:sz w:val="20"/>
                <w:szCs w:val="20"/>
              </w:rPr>
            </w:pPr>
            <w:hyperlink r:id="rId23" w:history="1">
              <w:r w:rsidRPr="00BD1319">
                <w:rPr>
                  <w:rFonts w:cs="Arial"/>
                  <w:spacing w:val="-3"/>
                  <w:sz w:val="20"/>
                  <w:szCs w:val="20"/>
                </w:rPr>
                <w:t>https://colfungi.org/</w:t>
              </w:r>
            </w:hyperlink>
          </w:p>
        </w:tc>
      </w:tr>
      <w:tr w:rsidR="00C17EC2" w:rsidRPr="00BD1319" w14:paraId="0C51864D" w14:textId="77777777" w:rsidTr="00C17EC2">
        <w:trPr>
          <w:trHeight w:hRule="exact" w:val="567"/>
        </w:trPr>
        <w:tc>
          <w:tcPr>
            <w:tcW w:w="4361" w:type="dxa"/>
            <w:vAlign w:val="center"/>
            <w:hideMark/>
          </w:tcPr>
          <w:p w14:paraId="3407955D" w14:textId="77777777" w:rsidR="00C17EC2" w:rsidRPr="00BD1319" w:rsidRDefault="00C17EC2" w:rsidP="005E527C">
            <w:pPr>
              <w:numPr>
                <w:ilvl w:val="12"/>
                <w:numId w:val="0"/>
              </w:numPr>
              <w:tabs>
                <w:tab w:val="left" w:pos="-2268"/>
              </w:tabs>
              <w:suppressAutoHyphens/>
              <w:rPr>
                <w:rFonts w:cs="Arial"/>
                <w:spacing w:val="-3"/>
                <w:sz w:val="20"/>
                <w:szCs w:val="20"/>
              </w:rPr>
            </w:pPr>
            <w:r w:rsidRPr="00BD1319">
              <w:rPr>
                <w:rFonts w:cs="Arial"/>
                <w:spacing w:val="-3"/>
                <w:sz w:val="20"/>
                <w:szCs w:val="20"/>
              </w:rPr>
              <w:t>Comisión Colombiana del Océano</w:t>
            </w:r>
          </w:p>
        </w:tc>
        <w:tc>
          <w:tcPr>
            <w:tcW w:w="5262" w:type="dxa"/>
            <w:vAlign w:val="center"/>
            <w:hideMark/>
          </w:tcPr>
          <w:p w14:paraId="21F9EEF9" w14:textId="77777777" w:rsidR="00C17EC2" w:rsidRPr="00BD1319" w:rsidRDefault="00C17EC2" w:rsidP="005E527C">
            <w:pPr>
              <w:numPr>
                <w:ilvl w:val="12"/>
                <w:numId w:val="0"/>
              </w:numPr>
              <w:tabs>
                <w:tab w:val="left" w:pos="-2268"/>
              </w:tabs>
              <w:suppressAutoHyphens/>
              <w:rPr>
                <w:rFonts w:cs="Arial"/>
                <w:spacing w:val="-3"/>
                <w:sz w:val="20"/>
                <w:szCs w:val="20"/>
                <w:u w:val="single"/>
              </w:rPr>
            </w:pPr>
            <w:r w:rsidRPr="00BD1319">
              <w:rPr>
                <w:rFonts w:cs="Arial"/>
                <w:sz w:val="20"/>
                <w:szCs w:val="20"/>
              </w:rPr>
              <w:t>http://www.cco.gov.co/</w:t>
            </w:r>
          </w:p>
        </w:tc>
      </w:tr>
      <w:tr w:rsidR="00C17EC2" w:rsidRPr="00BD1319" w14:paraId="0F3406BA" w14:textId="77777777" w:rsidTr="00C17EC2">
        <w:trPr>
          <w:trHeight w:hRule="exact" w:val="567"/>
        </w:trPr>
        <w:tc>
          <w:tcPr>
            <w:tcW w:w="4361" w:type="dxa"/>
            <w:vAlign w:val="center"/>
          </w:tcPr>
          <w:p w14:paraId="2E99E229" w14:textId="77777777" w:rsidR="00C17EC2" w:rsidRPr="00BD1319" w:rsidRDefault="00C17EC2" w:rsidP="005E527C">
            <w:pPr>
              <w:rPr>
                <w:rFonts w:cs="Arial"/>
                <w:spacing w:val="-3"/>
                <w:sz w:val="20"/>
                <w:szCs w:val="20"/>
              </w:rPr>
            </w:pPr>
            <w:r w:rsidRPr="00BD1319">
              <w:rPr>
                <w:rFonts w:cs="Arial"/>
                <w:spacing w:val="-3"/>
                <w:sz w:val="20"/>
                <w:szCs w:val="20"/>
              </w:rPr>
              <w:t>Comisión de la Verdad</w:t>
            </w:r>
          </w:p>
        </w:tc>
        <w:tc>
          <w:tcPr>
            <w:tcW w:w="5262" w:type="dxa"/>
            <w:vAlign w:val="center"/>
          </w:tcPr>
          <w:p w14:paraId="6085FC7C" w14:textId="77777777" w:rsidR="00C17EC2" w:rsidRPr="00BD1319" w:rsidDel="00A33D9C" w:rsidRDefault="00C17EC2" w:rsidP="005E527C">
            <w:pPr>
              <w:numPr>
                <w:ilvl w:val="12"/>
                <w:numId w:val="0"/>
              </w:numPr>
              <w:tabs>
                <w:tab w:val="left" w:pos="-2268"/>
              </w:tabs>
              <w:suppressAutoHyphens/>
              <w:rPr>
                <w:rFonts w:cs="Arial"/>
                <w:sz w:val="20"/>
                <w:szCs w:val="20"/>
              </w:rPr>
            </w:pPr>
            <w:r w:rsidRPr="00BD1319">
              <w:rPr>
                <w:rFonts w:cs="Arial"/>
                <w:spacing w:val="-3"/>
                <w:sz w:val="20"/>
                <w:szCs w:val="20"/>
              </w:rPr>
              <w:t>https://comisiondelaverdad.co/</w:t>
            </w:r>
          </w:p>
        </w:tc>
      </w:tr>
      <w:tr w:rsidR="00C17EC2" w:rsidRPr="00BD1319" w14:paraId="3464FA12" w14:textId="77777777" w:rsidTr="00C17EC2">
        <w:trPr>
          <w:trHeight w:hRule="exact" w:val="567"/>
        </w:trPr>
        <w:tc>
          <w:tcPr>
            <w:tcW w:w="4361" w:type="dxa"/>
            <w:vAlign w:val="center"/>
          </w:tcPr>
          <w:p w14:paraId="59F2D3B4" w14:textId="77777777" w:rsidR="00C17EC2" w:rsidRPr="00BD1319" w:rsidRDefault="00C17EC2" w:rsidP="005E527C">
            <w:pPr>
              <w:rPr>
                <w:rFonts w:cs="Arial"/>
                <w:spacing w:val="-3"/>
                <w:sz w:val="20"/>
                <w:szCs w:val="20"/>
              </w:rPr>
            </w:pPr>
            <w:r w:rsidRPr="00BD1319">
              <w:rPr>
                <w:rFonts w:cs="Arial"/>
                <w:spacing w:val="-3"/>
                <w:sz w:val="20"/>
                <w:szCs w:val="20"/>
              </w:rPr>
              <w:t>Comisión Interamericana de Derechos Humanos</w:t>
            </w:r>
          </w:p>
        </w:tc>
        <w:tc>
          <w:tcPr>
            <w:tcW w:w="5262" w:type="dxa"/>
            <w:vAlign w:val="center"/>
          </w:tcPr>
          <w:p w14:paraId="53B07AD4" w14:textId="77777777" w:rsidR="00C17EC2" w:rsidRPr="00BD1319" w:rsidRDefault="00C17EC2" w:rsidP="005E527C">
            <w:pPr>
              <w:numPr>
                <w:ilvl w:val="12"/>
                <w:numId w:val="0"/>
              </w:numPr>
              <w:tabs>
                <w:tab w:val="left" w:pos="-2268"/>
              </w:tabs>
              <w:suppressAutoHyphens/>
              <w:rPr>
                <w:rFonts w:cs="Arial"/>
                <w:spacing w:val="-3"/>
                <w:sz w:val="20"/>
                <w:szCs w:val="20"/>
              </w:rPr>
            </w:pPr>
            <w:r w:rsidRPr="00BD1319">
              <w:rPr>
                <w:rFonts w:cs="Arial"/>
                <w:spacing w:val="-3"/>
                <w:sz w:val="20"/>
                <w:szCs w:val="20"/>
              </w:rPr>
              <w:t>https://www.oas.org/es/cidh/</w:t>
            </w:r>
          </w:p>
        </w:tc>
      </w:tr>
      <w:tr w:rsidR="00C17EC2" w:rsidRPr="00BD1319" w14:paraId="167C90D2" w14:textId="77777777" w:rsidTr="00C17EC2">
        <w:trPr>
          <w:trHeight w:hRule="exact" w:val="567"/>
        </w:trPr>
        <w:tc>
          <w:tcPr>
            <w:tcW w:w="4361" w:type="dxa"/>
            <w:vAlign w:val="center"/>
          </w:tcPr>
          <w:p w14:paraId="20DA6353" w14:textId="77777777" w:rsidR="00C17EC2" w:rsidRPr="00BD1319" w:rsidRDefault="00C17EC2" w:rsidP="005E527C">
            <w:pPr>
              <w:rPr>
                <w:rFonts w:cs="Arial"/>
                <w:spacing w:val="-3"/>
                <w:sz w:val="20"/>
                <w:szCs w:val="20"/>
              </w:rPr>
            </w:pPr>
            <w:r w:rsidRPr="00BD1319">
              <w:rPr>
                <w:rFonts w:cs="Arial"/>
                <w:spacing w:val="-3"/>
                <w:sz w:val="20"/>
                <w:szCs w:val="20"/>
              </w:rPr>
              <w:t xml:space="preserve">Comisión </w:t>
            </w:r>
            <w:proofErr w:type="spellStart"/>
            <w:r w:rsidRPr="00BD1319">
              <w:rPr>
                <w:rFonts w:cs="Arial"/>
                <w:spacing w:val="-3"/>
                <w:sz w:val="20"/>
                <w:szCs w:val="20"/>
              </w:rPr>
              <w:t>Intereclesial</w:t>
            </w:r>
            <w:proofErr w:type="spellEnd"/>
            <w:r w:rsidRPr="00BD1319">
              <w:rPr>
                <w:rFonts w:cs="Arial"/>
                <w:spacing w:val="-3"/>
                <w:sz w:val="20"/>
                <w:szCs w:val="20"/>
              </w:rPr>
              <w:t xml:space="preserve"> de Justicia y Paz CIJP</w:t>
            </w:r>
          </w:p>
        </w:tc>
        <w:tc>
          <w:tcPr>
            <w:tcW w:w="5262" w:type="dxa"/>
            <w:vAlign w:val="center"/>
          </w:tcPr>
          <w:p w14:paraId="7521385F" w14:textId="77777777" w:rsidR="00C17EC2" w:rsidRPr="00BD1319" w:rsidRDefault="00C17EC2" w:rsidP="005E527C">
            <w:pPr>
              <w:numPr>
                <w:ilvl w:val="12"/>
                <w:numId w:val="0"/>
              </w:numPr>
              <w:tabs>
                <w:tab w:val="left" w:pos="-2268"/>
              </w:tabs>
              <w:suppressAutoHyphens/>
              <w:rPr>
                <w:rFonts w:cs="Arial"/>
                <w:spacing w:val="-3"/>
                <w:sz w:val="20"/>
                <w:szCs w:val="20"/>
              </w:rPr>
            </w:pPr>
            <w:r w:rsidRPr="00BD1319">
              <w:rPr>
                <w:rFonts w:cs="Arial"/>
                <w:spacing w:val="-3"/>
                <w:sz w:val="20"/>
                <w:szCs w:val="20"/>
              </w:rPr>
              <w:t>https://www.justiciaypazcolombia.com/</w:t>
            </w:r>
          </w:p>
        </w:tc>
      </w:tr>
      <w:tr w:rsidR="00C17EC2" w:rsidRPr="00BD1319" w14:paraId="04663A86" w14:textId="77777777" w:rsidTr="00C17EC2">
        <w:trPr>
          <w:trHeight w:hRule="exact" w:val="567"/>
        </w:trPr>
        <w:tc>
          <w:tcPr>
            <w:tcW w:w="4361" w:type="dxa"/>
            <w:vAlign w:val="center"/>
          </w:tcPr>
          <w:p w14:paraId="43CC88F4" w14:textId="77777777" w:rsidR="00C17EC2" w:rsidRPr="00BD1319" w:rsidRDefault="00C17EC2" w:rsidP="005E527C">
            <w:pPr>
              <w:rPr>
                <w:rFonts w:cs="Arial"/>
                <w:spacing w:val="-3"/>
                <w:sz w:val="20"/>
                <w:szCs w:val="20"/>
              </w:rPr>
            </w:pPr>
            <w:r w:rsidRPr="00BD1319">
              <w:rPr>
                <w:rFonts w:cs="Arial"/>
                <w:spacing w:val="-3"/>
                <w:sz w:val="20"/>
                <w:szCs w:val="20"/>
              </w:rPr>
              <w:t>Consejo de Derechos Humanos de la Organización de las Naciones Unidas</w:t>
            </w:r>
          </w:p>
        </w:tc>
        <w:tc>
          <w:tcPr>
            <w:tcW w:w="5262" w:type="dxa"/>
            <w:vAlign w:val="center"/>
          </w:tcPr>
          <w:p w14:paraId="18AEC91E" w14:textId="77777777" w:rsidR="00C17EC2" w:rsidRPr="00BD1319" w:rsidRDefault="00C17EC2" w:rsidP="005E527C">
            <w:pPr>
              <w:rPr>
                <w:rFonts w:cs="Arial"/>
                <w:spacing w:val="-3"/>
                <w:sz w:val="20"/>
                <w:szCs w:val="20"/>
              </w:rPr>
            </w:pPr>
            <w:r w:rsidRPr="00BD1319">
              <w:rPr>
                <w:rFonts w:cs="Arial"/>
                <w:spacing w:val="-3"/>
                <w:sz w:val="20"/>
                <w:szCs w:val="20"/>
              </w:rPr>
              <w:t>https://www.ohchr.org/es/hrbodies/hrc/home</w:t>
            </w:r>
          </w:p>
        </w:tc>
      </w:tr>
      <w:tr w:rsidR="00C17EC2" w:rsidRPr="00017D31" w14:paraId="761478FD" w14:textId="77777777" w:rsidTr="00C17EC2">
        <w:trPr>
          <w:trHeight w:hRule="exact" w:val="567"/>
        </w:trPr>
        <w:tc>
          <w:tcPr>
            <w:tcW w:w="4361" w:type="dxa"/>
            <w:vAlign w:val="center"/>
          </w:tcPr>
          <w:p w14:paraId="60DFEA1D" w14:textId="77777777" w:rsidR="00C17EC2" w:rsidRPr="00BD1319" w:rsidRDefault="00C17EC2" w:rsidP="005E527C">
            <w:pPr>
              <w:numPr>
                <w:ilvl w:val="12"/>
                <w:numId w:val="0"/>
              </w:numPr>
              <w:tabs>
                <w:tab w:val="left" w:pos="-2268"/>
              </w:tabs>
              <w:suppressAutoHyphens/>
              <w:rPr>
                <w:rFonts w:cs="Arial"/>
                <w:spacing w:val="-3"/>
                <w:sz w:val="20"/>
                <w:szCs w:val="20"/>
                <w:lang w:val="en-US"/>
              </w:rPr>
            </w:pPr>
            <w:r w:rsidRPr="00BD1319">
              <w:rPr>
                <w:rFonts w:cs="Arial"/>
                <w:spacing w:val="-3"/>
                <w:sz w:val="20"/>
                <w:szCs w:val="20"/>
                <w:lang w:val="en-US"/>
              </w:rPr>
              <w:t>Consortium of North American Lichen Herbaria (CNALH)</w:t>
            </w:r>
          </w:p>
        </w:tc>
        <w:tc>
          <w:tcPr>
            <w:tcW w:w="5262" w:type="dxa"/>
            <w:vAlign w:val="center"/>
          </w:tcPr>
          <w:p w14:paraId="092546A9" w14:textId="33D72EB7" w:rsidR="00C17EC2" w:rsidRPr="00BD1319" w:rsidDel="00A33D9C" w:rsidRDefault="00C17EC2" w:rsidP="005E527C">
            <w:pPr>
              <w:numPr>
                <w:ilvl w:val="12"/>
                <w:numId w:val="0"/>
              </w:numPr>
              <w:tabs>
                <w:tab w:val="left" w:pos="-2268"/>
                <w:tab w:val="center" w:pos="4419"/>
                <w:tab w:val="right" w:pos="8838"/>
              </w:tabs>
              <w:suppressAutoHyphens/>
              <w:rPr>
                <w:rFonts w:cs="Arial"/>
                <w:spacing w:val="-3"/>
                <w:sz w:val="20"/>
                <w:szCs w:val="20"/>
                <w:lang w:val="en-US"/>
              </w:rPr>
            </w:pPr>
            <w:hyperlink r:id="rId24" w:history="1">
              <w:r w:rsidRPr="00BD1319">
                <w:rPr>
                  <w:rFonts w:cs="Arial"/>
                  <w:spacing w:val="-3"/>
                  <w:sz w:val="20"/>
                  <w:szCs w:val="20"/>
                  <w:lang w:val="en-US"/>
                </w:rPr>
                <w:t>https://lichenportal.org/portal/index.php</w:t>
              </w:r>
            </w:hyperlink>
          </w:p>
        </w:tc>
      </w:tr>
      <w:tr w:rsidR="00C17EC2" w:rsidRPr="00BD1319" w14:paraId="1D16D6FB" w14:textId="77777777" w:rsidTr="00C17EC2">
        <w:trPr>
          <w:trHeight w:hRule="exact" w:val="567"/>
        </w:trPr>
        <w:tc>
          <w:tcPr>
            <w:tcW w:w="4361" w:type="dxa"/>
            <w:vAlign w:val="center"/>
          </w:tcPr>
          <w:p w14:paraId="0A727993" w14:textId="77777777" w:rsidR="00C17EC2" w:rsidRPr="00BD1319" w:rsidRDefault="00C17EC2" w:rsidP="005E527C">
            <w:pPr>
              <w:rPr>
                <w:rFonts w:cs="Arial"/>
                <w:spacing w:val="-3"/>
                <w:sz w:val="20"/>
                <w:szCs w:val="20"/>
              </w:rPr>
            </w:pPr>
            <w:r w:rsidRPr="00BD1319">
              <w:rPr>
                <w:rFonts w:cs="Arial"/>
                <w:spacing w:val="-3"/>
                <w:sz w:val="20"/>
                <w:szCs w:val="20"/>
              </w:rPr>
              <w:t>Corte Interamericana de Derechos Humanos</w:t>
            </w:r>
          </w:p>
        </w:tc>
        <w:tc>
          <w:tcPr>
            <w:tcW w:w="5262" w:type="dxa"/>
            <w:vAlign w:val="center"/>
          </w:tcPr>
          <w:p w14:paraId="64AEB306" w14:textId="77777777" w:rsidR="00C17EC2" w:rsidRPr="00BD1319" w:rsidRDefault="00C17EC2" w:rsidP="005E527C">
            <w:pPr>
              <w:numPr>
                <w:ilvl w:val="12"/>
                <w:numId w:val="0"/>
              </w:numPr>
              <w:tabs>
                <w:tab w:val="left" w:pos="-2268"/>
                <w:tab w:val="center" w:pos="4419"/>
                <w:tab w:val="right" w:pos="8838"/>
              </w:tabs>
              <w:suppressAutoHyphens/>
              <w:rPr>
                <w:rFonts w:cs="Arial"/>
                <w:spacing w:val="-3"/>
                <w:sz w:val="20"/>
                <w:szCs w:val="20"/>
              </w:rPr>
            </w:pPr>
            <w:r w:rsidRPr="00BD1319">
              <w:rPr>
                <w:rFonts w:cs="Arial"/>
                <w:spacing w:val="-3"/>
                <w:sz w:val="20"/>
                <w:szCs w:val="20"/>
              </w:rPr>
              <w:t>https://www.corteidh.or.cr/</w:t>
            </w:r>
          </w:p>
        </w:tc>
      </w:tr>
      <w:tr w:rsidR="00C17EC2" w:rsidRPr="00BD1319" w14:paraId="36B8C1E3" w14:textId="77777777" w:rsidTr="00C17EC2">
        <w:trPr>
          <w:trHeight w:hRule="exact" w:val="567"/>
        </w:trPr>
        <w:tc>
          <w:tcPr>
            <w:tcW w:w="4361" w:type="dxa"/>
            <w:vAlign w:val="center"/>
            <w:hideMark/>
          </w:tcPr>
          <w:p w14:paraId="104220F2" w14:textId="77777777" w:rsidR="00C17EC2" w:rsidRPr="00BD1319" w:rsidRDefault="00C17EC2" w:rsidP="005E527C">
            <w:pPr>
              <w:numPr>
                <w:ilvl w:val="12"/>
                <w:numId w:val="0"/>
              </w:numPr>
              <w:tabs>
                <w:tab w:val="left" w:pos="-2268"/>
              </w:tabs>
              <w:suppressAutoHyphens/>
              <w:rPr>
                <w:rFonts w:cs="Arial"/>
                <w:spacing w:val="-3"/>
                <w:sz w:val="20"/>
                <w:szCs w:val="20"/>
              </w:rPr>
            </w:pPr>
            <w:r w:rsidRPr="00BD1319">
              <w:rPr>
                <w:rFonts w:cs="Arial"/>
                <w:spacing w:val="-3"/>
                <w:sz w:val="20"/>
                <w:szCs w:val="20"/>
              </w:rPr>
              <w:t>Departamento Administrativo Nacional de Estadística (DANE)</w:t>
            </w:r>
          </w:p>
        </w:tc>
        <w:tc>
          <w:tcPr>
            <w:tcW w:w="5262" w:type="dxa"/>
            <w:vAlign w:val="center"/>
            <w:hideMark/>
          </w:tcPr>
          <w:p w14:paraId="53F69B83" w14:textId="77777777" w:rsidR="00C17EC2" w:rsidRPr="00BD1319" w:rsidRDefault="00C17EC2" w:rsidP="005E527C">
            <w:pPr>
              <w:numPr>
                <w:ilvl w:val="12"/>
                <w:numId w:val="0"/>
              </w:numPr>
              <w:tabs>
                <w:tab w:val="left" w:pos="-2268"/>
              </w:tabs>
              <w:suppressAutoHyphens/>
              <w:rPr>
                <w:rFonts w:cs="Arial"/>
                <w:spacing w:val="-3"/>
                <w:sz w:val="20"/>
                <w:szCs w:val="20"/>
                <w:u w:val="single"/>
              </w:rPr>
            </w:pPr>
            <w:r w:rsidRPr="00BD1319">
              <w:rPr>
                <w:rFonts w:cs="Arial"/>
                <w:sz w:val="20"/>
                <w:szCs w:val="20"/>
              </w:rPr>
              <w:t>https://www.dane.gov.co/</w:t>
            </w:r>
          </w:p>
        </w:tc>
      </w:tr>
      <w:tr w:rsidR="00C17EC2" w:rsidRPr="00BD1319" w14:paraId="4E9D68A2" w14:textId="77777777" w:rsidTr="00C17EC2">
        <w:trPr>
          <w:trHeight w:hRule="exact" w:val="567"/>
        </w:trPr>
        <w:tc>
          <w:tcPr>
            <w:tcW w:w="4361" w:type="dxa"/>
            <w:vAlign w:val="center"/>
            <w:hideMark/>
          </w:tcPr>
          <w:p w14:paraId="68F2FE60" w14:textId="77777777" w:rsidR="00C17EC2" w:rsidRPr="00BD1319" w:rsidRDefault="00C17EC2" w:rsidP="005E527C">
            <w:pPr>
              <w:numPr>
                <w:ilvl w:val="12"/>
                <w:numId w:val="0"/>
              </w:numPr>
              <w:tabs>
                <w:tab w:val="left" w:pos="-2268"/>
              </w:tabs>
              <w:suppressAutoHyphens/>
              <w:rPr>
                <w:rFonts w:cs="Arial"/>
                <w:spacing w:val="-3"/>
                <w:sz w:val="20"/>
                <w:szCs w:val="20"/>
              </w:rPr>
            </w:pPr>
            <w:r w:rsidRPr="00BD1319">
              <w:rPr>
                <w:rFonts w:cs="Arial"/>
                <w:spacing w:val="-3"/>
                <w:sz w:val="20"/>
                <w:szCs w:val="20"/>
              </w:rPr>
              <w:t>Departamento Nacional de Planeación (DNP)</w:t>
            </w:r>
          </w:p>
        </w:tc>
        <w:tc>
          <w:tcPr>
            <w:tcW w:w="5262" w:type="dxa"/>
            <w:vAlign w:val="center"/>
            <w:hideMark/>
          </w:tcPr>
          <w:p w14:paraId="4D158BB4" w14:textId="77777777" w:rsidR="00C17EC2" w:rsidRPr="00BD1319" w:rsidRDefault="00C17EC2" w:rsidP="005E527C">
            <w:pPr>
              <w:numPr>
                <w:ilvl w:val="12"/>
                <w:numId w:val="0"/>
              </w:numPr>
              <w:tabs>
                <w:tab w:val="left" w:pos="-2268"/>
              </w:tabs>
              <w:suppressAutoHyphens/>
              <w:rPr>
                <w:rFonts w:cs="Arial"/>
                <w:spacing w:val="-3"/>
                <w:sz w:val="20"/>
                <w:szCs w:val="20"/>
                <w:u w:val="single"/>
              </w:rPr>
            </w:pPr>
            <w:r w:rsidRPr="00BD1319">
              <w:rPr>
                <w:rFonts w:cs="Arial"/>
                <w:sz w:val="20"/>
                <w:szCs w:val="20"/>
              </w:rPr>
              <w:t>https://www.dnp.gov.co/</w:t>
            </w:r>
          </w:p>
        </w:tc>
      </w:tr>
      <w:tr w:rsidR="00C17EC2" w:rsidRPr="00BD1319" w14:paraId="2C409B62" w14:textId="77777777" w:rsidTr="00C17EC2">
        <w:trPr>
          <w:trHeight w:hRule="exact" w:val="567"/>
        </w:trPr>
        <w:tc>
          <w:tcPr>
            <w:tcW w:w="4361" w:type="dxa"/>
            <w:vAlign w:val="center"/>
            <w:hideMark/>
          </w:tcPr>
          <w:p w14:paraId="07C3EC71" w14:textId="77777777" w:rsidR="00C17EC2" w:rsidRPr="00BD1319" w:rsidRDefault="00C17EC2" w:rsidP="005E527C">
            <w:pPr>
              <w:numPr>
                <w:ilvl w:val="12"/>
                <w:numId w:val="0"/>
              </w:numPr>
              <w:tabs>
                <w:tab w:val="left" w:pos="-2268"/>
              </w:tabs>
              <w:suppressAutoHyphens/>
              <w:rPr>
                <w:rFonts w:cs="Arial"/>
                <w:spacing w:val="-3"/>
                <w:sz w:val="20"/>
                <w:szCs w:val="20"/>
              </w:rPr>
            </w:pPr>
            <w:r w:rsidRPr="00BD1319">
              <w:rPr>
                <w:rFonts w:cs="Arial"/>
                <w:spacing w:val="-3"/>
                <w:sz w:val="20"/>
                <w:szCs w:val="20"/>
              </w:rPr>
              <w:t>Dirección General Marítima</w:t>
            </w:r>
          </w:p>
        </w:tc>
        <w:tc>
          <w:tcPr>
            <w:tcW w:w="5262" w:type="dxa"/>
            <w:vAlign w:val="center"/>
            <w:hideMark/>
          </w:tcPr>
          <w:p w14:paraId="02525983" w14:textId="77777777" w:rsidR="00C17EC2" w:rsidRPr="00BD1319" w:rsidRDefault="00C17EC2" w:rsidP="005E527C">
            <w:pPr>
              <w:numPr>
                <w:ilvl w:val="12"/>
                <w:numId w:val="0"/>
              </w:numPr>
              <w:tabs>
                <w:tab w:val="left" w:pos="-2268"/>
              </w:tabs>
              <w:suppressAutoHyphens/>
              <w:rPr>
                <w:rFonts w:cs="Arial"/>
                <w:spacing w:val="-3"/>
                <w:sz w:val="20"/>
                <w:szCs w:val="20"/>
                <w:u w:val="single"/>
              </w:rPr>
            </w:pPr>
            <w:r w:rsidRPr="00BD1319">
              <w:rPr>
                <w:rFonts w:cs="Arial"/>
                <w:sz w:val="20"/>
                <w:szCs w:val="20"/>
              </w:rPr>
              <w:t>https://www.dimar.mil.co/</w:t>
            </w:r>
          </w:p>
        </w:tc>
      </w:tr>
      <w:tr w:rsidR="00C17EC2" w:rsidRPr="00BD1319" w14:paraId="2D55E67D" w14:textId="77777777" w:rsidTr="00C17EC2">
        <w:trPr>
          <w:trHeight w:hRule="exact" w:val="567"/>
        </w:trPr>
        <w:tc>
          <w:tcPr>
            <w:tcW w:w="4361" w:type="dxa"/>
            <w:vAlign w:val="center"/>
          </w:tcPr>
          <w:p w14:paraId="4595B933" w14:textId="77777777" w:rsidR="00C17EC2" w:rsidRPr="00BD1319" w:rsidRDefault="00C17EC2" w:rsidP="005E527C">
            <w:pPr>
              <w:rPr>
                <w:rFonts w:cs="Arial"/>
                <w:spacing w:val="-3"/>
                <w:sz w:val="20"/>
                <w:szCs w:val="20"/>
              </w:rPr>
            </w:pPr>
            <w:r w:rsidRPr="00BD1319">
              <w:rPr>
                <w:rFonts w:cs="Arial"/>
                <w:spacing w:val="-3"/>
                <w:sz w:val="20"/>
                <w:szCs w:val="20"/>
              </w:rPr>
              <w:t>Facultad Latinoamericana de Ciencias Sociales (FLACSO)</w:t>
            </w:r>
          </w:p>
        </w:tc>
        <w:tc>
          <w:tcPr>
            <w:tcW w:w="5262" w:type="dxa"/>
            <w:vAlign w:val="center"/>
          </w:tcPr>
          <w:p w14:paraId="1BEEA5A8" w14:textId="77777777" w:rsidR="00C17EC2" w:rsidRPr="00BD1319" w:rsidDel="00A33D9C" w:rsidRDefault="00C17EC2" w:rsidP="005E527C">
            <w:pPr>
              <w:numPr>
                <w:ilvl w:val="12"/>
                <w:numId w:val="0"/>
              </w:numPr>
              <w:tabs>
                <w:tab w:val="left" w:pos="-2268"/>
              </w:tabs>
              <w:suppressAutoHyphens/>
              <w:rPr>
                <w:rFonts w:cs="Arial"/>
                <w:sz w:val="20"/>
                <w:szCs w:val="20"/>
              </w:rPr>
            </w:pPr>
            <w:r w:rsidRPr="00BD1319">
              <w:rPr>
                <w:rFonts w:cs="Arial"/>
                <w:spacing w:val="-3"/>
                <w:sz w:val="20"/>
                <w:szCs w:val="20"/>
              </w:rPr>
              <w:t>http://www.flacso.org/</w:t>
            </w:r>
          </w:p>
        </w:tc>
      </w:tr>
      <w:tr w:rsidR="00C17EC2" w:rsidRPr="00BD1319" w14:paraId="26259BEA" w14:textId="77777777" w:rsidTr="00C17EC2">
        <w:trPr>
          <w:trHeight w:hRule="exact" w:val="567"/>
        </w:trPr>
        <w:tc>
          <w:tcPr>
            <w:tcW w:w="4361" w:type="dxa"/>
            <w:vAlign w:val="center"/>
            <w:hideMark/>
          </w:tcPr>
          <w:p w14:paraId="537815B0" w14:textId="77777777" w:rsidR="00C17EC2" w:rsidRPr="00BD1319" w:rsidRDefault="00C17EC2" w:rsidP="005E527C">
            <w:pPr>
              <w:numPr>
                <w:ilvl w:val="12"/>
                <w:numId w:val="0"/>
              </w:numPr>
              <w:tabs>
                <w:tab w:val="left" w:pos="-2268"/>
              </w:tabs>
              <w:suppressAutoHyphens/>
              <w:rPr>
                <w:rFonts w:cs="Arial"/>
                <w:spacing w:val="-3"/>
                <w:sz w:val="20"/>
                <w:szCs w:val="20"/>
              </w:rPr>
            </w:pPr>
            <w:r w:rsidRPr="00BD1319">
              <w:rPr>
                <w:rFonts w:cs="Arial"/>
                <w:spacing w:val="-3"/>
                <w:sz w:val="20"/>
                <w:szCs w:val="20"/>
              </w:rPr>
              <w:t>Fish Base</w:t>
            </w:r>
          </w:p>
        </w:tc>
        <w:tc>
          <w:tcPr>
            <w:tcW w:w="5262" w:type="dxa"/>
            <w:vAlign w:val="center"/>
            <w:hideMark/>
          </w:tcPr>
          <w:p w14:paraId="40E4D755" w14:textId="77777777" w:rsidR="00C17EC2" w:rsidRPr="00BD1319" w:rsidRDefault="00C17EC2" w:rsidP="005E527C">
            <w:pPr>
              <w:numPr>
                <w:ilvl w:val="12"/>
                <w:numId w:val="0"/>
              </w:numPr>
              <w:tabs>
                <w:tab w:val="left" w:pos="-2268"/>
              </w:tabs>
              <w:suppressAutoHyphens/>
              <w:rPr>
                <w:rFonts w:cs="Arial"/>
                <w:spacing w:val="-3"/>
                <w:sz w:val="20"/>
                <w:szCs w:val="20"/>
                <w:u w:val="single"/>
              </w:rPr>
            </w:pPr>
            <w:r w:rsidRPr="00BD1319">
              <w:rPr>
                <w:rFonts w:cs="Arial"/>
                <w:sz w:val="20"/>
                <w:szCs w:val="20"/>
              </w:rPr>
              <w:t>https://www.fishbase.de/home.htm</w:t>
            </w:r>
          </w:p>
        </w:tc>
      </w:tr>
      <w:tr w:rsidR="00C17EC2" w:rsidRPr="00BD1319" w14:paraId="62AA4930" w14:textId="77777777" w:rsidTr="00C17EC2">
        <w:trPr>
          <w:trHeight w:hRule="exact" w:val="567"/>
        </w:trPr>
        <w:tc>
          <w:tcPr>
            <w:tcW w:w="4361" w:type="dxa"/>
            <w:vAlign w:val="center"/>
            <w:hideMark/>
          </w:tcPr>
          <w:p w14:paraId="0BDB3727" w14:textId="77777777" w:rsidR="00C17EC2" w:rsidRPr="00BD1319" w:rsidRDefault="00C17EC2" w:rsidP="005E527C">
            <w:pPr>
              <w:numPr>
                <w:ilvl w:val="12"/>
                <w:numId w:val="0"/>
              </w:numPr>
              <w:tabs>
                <w:tab w:val="left" w:pos="-2268"/>
              </w:tabs>
              <w:suppressAutoHyphens/>
              <w:rPr>
                <w:rFonts w:cs="Arial"/>
                <w:spacing w:val="-3"/>
                <w:sz w:val="20"/>
                <w:szCs w:val="20"/>
              </w:rPr>
            </w:pPr>
            <w:r w:rsidRPr="00BD1319">
              <w:rPr>
                <w:rFonts w:cs="Arial"/>
                <w:spacing w:val="-3"/>
                <w:sz w:val="20"/>
                <w:szCs w:val="20"/>
              </w:rPr>
              <w:t xml:space="preserve">Global </w:t>
            </w:r>
            <w:proofErr w:type="spellStart"/>
            <w:r w:rsidRPr="00BD1319">
              <w:rPr>
                <w:rFonts w:cs="Arial"/>
                <w:spacing w:val="-3"/>
                <w:sz w:val="20"/>
                <w:szCs w:val="20"/>
              </w:rPr>
              <w:t>Biodiversity</w:t>
            </w:r>
            <w:proofErr w:type="spellEnd"/>
            <w:r w:rsidRPr="00BD1319">
              <w:rPr>
                <w:rFonts w:cs="Arial"/>
                <w:spacing w:val="-3"/>
                <w:sz w:val="20"/>
                <w:szCs w:val="20"/>
              </w:rPr>
              <w:t xml:space="preserve"> </w:t>
            </w:r>
            <w:proofErr w:type="spellStart"/>
            <w:r w:rsidRPr="00BD1319">
              <w:rPr>
                <w:rFonts w:cs="Arial"/>
                <w:spacing w:val="-3"/>
                <w:sz w:val="20"/>
                <w:szCs w:val="20"/>
              </w:rPr>
              <w:t>Information</w:t>
            </w:r>
            <w:proofErr w:type="spellEnd"/>
            <w:r w:rsidRPr="00BD1319">
              <w:rPr>
                <w:rFonts w:cs="Arial"/>
                <w:spacing w:val="-3"/>
                <w:sz w:val="20"/>
                <w:szCs w:val="20"/>
              </w:rPr>
              <w:t xml:space="preserve"> </w:t>
            </w:r>
            <w:proofErr w:type="spellStart"/>
            <w:r w:rsidRPr="00BD1319">
              <w:rPr>
                <w:rFonts w:cs="Arial"/>
                <w:spacing w:val="-3"/>
                <w:sz w:val="20"/>
                <w:szCs w:val="20"/>
              </w:rPr>
              <w:t>Facility</w:t>
            </w:r>
            <w:proofErr w:type="spellEnd"/>
          </w:p>
        </w:tc>
        <w:tc>
          <w:tcPr>
            <w:tcW w:w="5262" w:type="dxa"/>
            <w:vAlign w:val="center"/>
            <w:hideMark/>
          </w:tcPr>
          <w:p w14:paraId="73DF9028" w14:textId="77777777" w:rsidR="00C17EC2" w:rsidRPr="00BD1319" w:rsidRDefault="00C17EC2" w:rsidP="005E527C">
            <w:pPr>
              <w:numPr>
                <w:ilvl w:val="12"/>
                <w:numId w:val="0"/>
              </w:numPr>
              <w:tabs>
                <w:tab w:val="left" w:pos="-2268"/>
              </w:tabs>
              <w:suppressAutoHyphens/>
              <w:rPr>
                <w:rFonts w:cs="Arial"/>
                <w:spacing w:val="-3"/>
                <w:sz w:val="20"/>
                <w:szCs w:val="20"/>
                <w:u w:val="single"/>
              </w:rPr>
            </w:pPr>
            <w:r w:rsidRPr="00BD1319">
              <w:rPr>
                <w:rFonts w:cs="Arial"/>
                <w:sz w:val="20"/>
                <w:szCs w:val="20"/>
              </w:rPr>
              <w:t>https://www.gbif.org/</w:t>
            </w:r>
          </w:p>
        </w:tc>
      </w:tr>
      <w:tr w:rsidR="00C17EC2" w:rsidRPr="00BD1319" w14:paraId="002EE02A" w14:textId="77777777" w:rsidTr="00C17EC2">
        <w:trPr>
          <w:trHeight w:hRule="exact" w:val="567"/>
        </w:trPr>
        <w:tc>
          <w:tcPr>
            <w:tcW w:w="4361" w:type="dxa"/>
            <w:vAlign w:val="center"/>
            <w:hideMark/>
          </w:tcPr>
          <w:p w14:paraId="39C69D9D" w14:textId="77777777" w:rsidR="00C17EC2" w:rsidRPr="00BD1319" w:rsidRDefault="00C17EC2" w:rsidP="005E527C">
            <w:pPr>
              <w:numPr>
                <w:ilvl w:val="12"/>
                <w:numId w:val="0"/>
              </w:numPr>
              <w:tabs>
                <w:tab w:val="left" w:pos="-2268"/>
              </w:tabs>
              <w:suppressAutoHyphens/>
              <w:rPr>
                <w:rFonts w:cs="Arial"/>
                <w:spacing w:val="-3"/>
                <w:sz w:val="20"/>
                <w:szCs w:val="20"/>
              </w:rPr>
            </w:pPr>
            <w:proofErr w:type="spellStart"/>
            <w:r w:rsidRPr="00BD1319">
              <w:rPr>
                <w:rFonts w:cs="Arial"/>
                <w:spacing w:val="-3"/>
                <w:sz w:val="20"/>
                <w:szCs w:val="20"/>
              </w:rPr>
              <w:t>iNaturalist</w:t>
            </w:r>
            <w:proofErr w:type="spellEnd"/>
          </w:p>
        </w:tc>
        <w:tc>
          <w:tcPr>
            <w:tcW w:w="5262" w:type="dxa"/>
            <w:vAlign w:val="center"/>
            <w:hideMark/>
          </w:tcPr>
          <w:p w14:paraId="13996E73" w14:textId="77777777" w:rsidR="00C17EC2" w:rsidRPr="00BD1319" w:rsidRDefault="00C17EC2" w:rsidP="005E527C">
            <w:pPr>
              <w:numPr>
                <w:ilvl w:val="12"/>
                <w:numId w:val="0"/>
              </w:numPr>
              <w:tabs>
                <w:tab w:val="left" w:pos="-2268"/>
              </w:tabs>
              <w:suppressAutoHyphens/>
              <w:rPr>
                <w:rFonts w:cs="Arial"/>
                <w:spacing w:val="-3"/>
                <w:sz w:val="20"/>
                <w:szCs w:val="20"/>
                <w:u w:val="single"/>
              </w:rPr>
            </w:pPr>
            <w:r w:rsidRPr="00BD1319">
              <w:rPr>
                <w:rFonts w:cs="Arial"/>
                <w:sz w:val="20"/>
                <w:szCs w:val="20"/>
              </w:rPr>
              <w:t>https://colombia.inaturalist.org/</w:t>
            </w:r>
          </w:p>
        </w:tc>
      </w:tr>
      <w:tr w:rsidR="00C17EC2" w:rsidRPr="00BD1319" w14:paraId="1A803E78" w14:textId="77777777" w:rsidTr="00C17EC2">
        <w:trPr>
          <w:trHeight w:hRule="exact" w:val="567"/>
        </w:trPr>
        <w:tc>
          <w:tcPr>
            <w:tcW w:w="4361" w:type="dxa"/>
            <w:vAlign w:val="center"/>
            <w:hideMark/>
          </w:tcPr>
          <w:p w14:paraId="215A4915" w14:textId="77777777" w:rsidR="00C17EC2" w:rsidRPr="00BD1319" w:rsidRDefault="00C17EC2" w:rsidP="005E527C">
            <w:pPr>
              <w:numPr>
                <w:ilvl w:val="12"/>
                <w:numId w:val="0"/>
              </w:numPr>
              <w:tabs>
                <w:tab w:val="left" w:pos="-2268"/>
              </w:tabs>
              <w:suppressAutoHyphens/>
              <w:rPr>
                <w:rFonts w:cs="Arial"/>
                <w:spacing w:val="-3"/>
                <w:sz w:val="20"/>
                <w:szCs w:val="20"/>
              </w:rPr>
            </w:pPr>
            <w:r w:rsidRPr="00BD1319">
              <w:rPr>
                <w:rFonts w:cs="Arial"/>
                <w:spacing w:val="-3"/>
                <w:sz w:val="20"/>
                <w:szCs w:val="20"/>
              </w:rPr>
              <w:t>Instituto amazónico de investigaciones científicas Sinchi</w:t>
            </w:r>
          </w:p>
        </w:tc>
        <w:tc>
          <w:tcPr>
            <w:tcW w:w="5262" w:type="dxa"/>
            <w:vAlign w:val="center"/>
            <w:hideMark/>
          </w:tcPr>
          <w:p w14:paraId="1FB26959" w14:textId="77777777" w:rsidR="00C17EC2" w:rsidRPr="00BD1319" w:rsidRDefault="00C17EC2" w:rsidP="005E527C">
            <w:pPr>
              <w:numPr>
                <w:ilvl w:val="12"/>
                <w:numId w:val="0"/>
              </w:numPr>
              <w:tabs>
                <w:tab w:val="left" w:pos="-2268"/>
              </w:tabs>
              <w:suppressAutoHyphens/>
              <w:rPr>
                <w:rFonts w:cs="Arial"/>
                <w:spacing w:val="-3"/>
                <w:sz w:val="20"/>
                <w:szCs w:val="20"/>
                <w:u w:val="single"/>
              </w:rPr>
            </w:pPr>
            <w:r w:rsidRPr="00BD1319">
              <w:rPr>
                <w:rFonts w:cs="Arial"/>
                <w:sz w:val="20"/>
                <w:szCs w:val="20"/>
              </w:rPr>
              <w:t>https://www.sinchi.org.co/</w:t>
            </w:r>
          </w:p>
        </w:tc>
      </w:tr>
      <w:tr w:rsidR="00C17EC2" w:rsidRPr="00BD1319" w14:paraId="792A5805" w14:textId="77777777" w:rsidTr="00C17EC2">
        <w:trPr>
          <w:trHeight w:hRule="exact" w:val="567"/>
        </w:trPr>
        <w:tc>
          <w:tcPr>
            <w:tcW w:w="4361" w:type="dxa"/>
            <w:vAlign w:val="center"/>
            <w:hideMark/>
          </w:tcPr>
          <w:p w14:paraId="44E951D8" w14:textId="77777777" w:rsidR="00C17EC2" w:rsidRPr="00BD1319" w:rsidRDefault="00C17EC2" w:rsidP="005E527C">
            <w:pPr>
              <w:numPr>
                <w:ilvl w:val="12"/>
                <w:numId w:val="0"/>
              </w:numPr>
              <w:tabs>
                <w:tab w:val="left" w:pos="-2268"/>
              </w:tabs>
              <w:suppressAutoHyphens/>
              <w:rPr>
                <w:rFonts w:cs="Arial"/>
                <w:spacing w:val="-3"/>
                <w:sz w:val="20"/>
                <w:szCs w:val="20"/>
              </w:rPr>
            </w:pPr>
            <w:r w:rsidRPr="00BD1319">
              <w:rPr>
                <w:rFonts w:cs="Arial"/>
                <w:spacing w:val="-3"/>
                <w:sz w:val="20"/>
                <w:szCs w:val="20"/>
              </w:rPr>
              <w:lastRenderedPageBreak/>
              <w:t>Instituto de Ciencias Naturales (ICN) de la Universidad Nacional de Colombia</w:t>
            </w:r>
          </w:p>
        </w:tc>
        <w:tc>
          <w:tcPr>
            <w:tcW w:w="5262" w:type="dxa"/>
            <w:vAlign w:val="center"/>
            <w:hideMark/>
          </w:tcPr>
          <w:p w14:paraId="45F5938D" w14:textId="77777777" w:rsidR="00C17EC2" w:rsidRPr="00BD1319" w:rsidRDefault="00C17EC2" w:rsidP="005E527C">
            <w:pPr>
              <w:numPr>
                <w:ilvl w:val="12"/>
                <w:numId w:val="0"/>
              </w:numPr>
              <w:tabs>
                <w:tab w:val="left" w:pos="-2268"/>
              </w:tabs>
              <w:suppressAutoHyphens/>
              <w:rPr>
                <w:rFonts w:cs="Arial"/>
                <w:spacing w:val="-3"/>
                <w:sz w:val="20"/>
                <w:szCs w:val="20"/>
                <w:u w:val="single"/>
              </w:rPr>
            </w:pPr>
            <w:r w:rsidRPr="00BD1319">
              <w:rPr>
                <w:rFonts w:cs="Arial"/>
                <w:sz w:val="20"/>
                <w:szCs w:val="20"/>
              </w:rPr>
              <w:t>http://www.biovirtual.unal.edu.co/es/</w:t>
            </w:r>
          </w:p>
        </w:tc>
      </w:tr>
      <w:tr w:rsidR="00C17EC2" w:rsidRPr="00BD1319" w14:paraId="29DBAABE" w14:textId="77777777" w:rsidTr="00C17EC2">
        <w:trPr>
          <w:trHeight w:hRule="exact" w:val="567"/>
        </w:trPr>
        <w:tc>
          <w:tcPr>
            <w:tcW w:w="4361" w:type="dxa"/>
            <w:vAlign w:val="center"/>
            <w:hideMark/>
          </w:tcPr>
          <w:p w14:paraId="687FA2D0" w14:textId="77777777" w:rsidR="00C17EC2" w:rsidRPr="00BD1319" w:rsidRDefault="00C17EC2" w:rsidP="005E527C">
            <w:pPr>
              <w:numPr>
                <w:ilvl w:val="12"/>
                <w:numId w:val="0"/>
              </w:numPr>
              <w:tabs>
                <w:tab w:val="left" w:pos="-2268"/>
              </w:tabs>
              <w:suppressAutoHyphens/>
              <w:rPr>
                <w:rFonts w:cs="Arial"/>
                <w:spacing w:val="-3"/>
                <w:sz w:val="20"/>
                <w:szCs w:val="20"/>
              </w:rPr>
            </w:pPr>
            <w:r w:rsidRPr="00BD1319">
              <w:rPr>
                <w:rFonts w:cs="Arial"/>
                <w:spacing w:val="-3"/>
                <w:sz w:val="20"/>
                <w:szCs w:val="20"/>
              </w:rPr>
              <w:t>Instituto de Hidrología, Meteorología y Estudios Ambientales (</w:t>
            </w:r>
            <w:proofErr w:type="spellStart"/>
            <w:r w:rsidRPr="00BD1319">
              <w:rPr>
                <w:rFonts w:cs="Arial"/>
                <w:spacing w:val="-3"/>
                <w:sz w:val="20"/>
                <w:szCs w:val="20"/>
              </w:rPr>
              <w:t>Ideam</w:t>
            </w:r>
            <w:proofErr w:type="spellEnd"/>
            <w:r w:rsidRPr="00BD1319">
              <w:rPr>
                <w:rFonts w:cs="Arial"/>
                <w:spacing w:val="-3"/>
                <w:sz w:val="20"/>
                <w:szCs w:val="20"/>
              </w:rPr>
              <w:t>)</w:t>
            </w:r>
          </w:p>
        </w:tc>
        <w:tc>
          <w:tcPr>
            <w:tcW w:w="5262" w:type="dxa"/>
            <w:vAlign w:val="center"/>
            <w:hideMark/>
          </w:tcPr>
          <w:p w14:paraId="0395EE17" w14:textId="77777777" w:rsidR="00C17EC2" w:rsidRPr="00BD1319" w:rsidRDefault="00C17EC2" w:rsidP="005E527C">
            <w:pPr>
              <w:numPr>
                <w:ilvl w:val="12"/>
                <w:numId w:val="0"/>
              </w:numPr>
              <w:tabs>
                <w:tab w:val="left" w:pos="-2268"/>
              </w:tabs>
              <w:suppressAutoHyphens/>
              <w:rPr>
                <w:rFonts w:cs="Arial"/>
                <w:spacing w:val="-3"/>
                <w:sz w:val="20"/>
                <w:szCs w:val="20"/>
                <w:u w:val="single"/>
              </w:rPr>
            </w:pPr>
            <w:r w:rsidRPr="00BD1319">
              <w:rPr>
                <w:rFonts w:cs="Arial"/>
                <w:sz w:val="20"/>
                <w:szCs w:val="20"/>
              </w:rPr>
              <w:t>http://www.ideam.gov.co/</w:t>
            </w:r>
          </w:p>
        </w:tc>
      </w:tr>
      <w:tr w:rsidR="00C17EC2" w:rsidRPr="00BD1319" w14:paraId="2B628773" w14:textId="77777777" w:rsidTr="000D6E21">
        <w:trPr>
          <w:trHeight w:hRule="exact" w:val="1228"/>
        </w:trPr>
        <w:tc>
          <w:tcPr>
            <w:tcW w:w="4361" w:type="dxa"/>
            <w:vAlign w:val="center"/>
            <w:hideMark/>
          </w:tcPr>
          <w:p w14:paraId="6B321250" w14:textId="77777777" w:rsidR="00C17EC2" w:rsidRPr="00BD1319" w:rsidRDefault="00C17EC2" w:rsidP="005E527C">
            <w:pPr>
              <w:numPr>
                <w:ilvl w:val="12"/>
                <w:numId w:val="0"/>
              </w:numPr>
              <w:tabs>
                <w:tab w:val="left" w:pos="-2268"/>
              </w:tabs>
              <w:suppressAutoHyphens/>
              <w:rPr>
                <w:rFonts w:cs="Arial"/>
                <w:spacing w:val="-3"/>
                <w:sz w:val="20"/>
                <w:szCs w:val="20"/>
              </w:rPr>
            </w:pPr>
            <w:r w:rsidRPr="00BD1319">
              <w:rPr>
                <w:rFonts w:cs="Arial"/>
                <w:spacing w:val="-3"/>
                <w:sz w:val="20"/>
                <w:szCs w:val="20"/>
              </w:rPr>
              <w:t xml:space="preserve">Instituto de investigación de recursos biológicos Alexander </w:t>
            </w:r>
            <w:proofErr w:type="spellStart"/>
            <w:r w:rsidRPr="00BD1319">
              <w:rPr>
                <w:rFonts w:cs="Arial"/>
                <w:spacing w:val="-3"/>
                <w:sz w:val="20"/>
                <w:szCs w:val="20"/>
              </w:rPr>
              <w:t>von</w:t>
            </w:r>
            <w:proofErr w:type="spellEnd"/>
            <w:r w:rsidRPr="00BD1319">
              <w:rPr>
                <w:rFonts w:cs="Arial"/>
                <w:spacing w:val="-3"/>
                <w:sz w:val="20"/>
                <w:szCs w:val="20"/>
              </w:rPr>
              <w:t xml:space="preserve"> Humboldt</w:t>
            </w:r>
          </w:p>
        </w:tc>
        <w:tc>
          <w:tcPr>
            <w:tcW w:w="5262" w:type="dxa"/>
            <w:vAlign w:val="center"/>
            <w:hideMark/>
          </w:tcPr>
          <w:p w14:paraId="2C78A519" w14:textId="33BDA8CC" w:rsidR="00C17EC2" w:rsidRPr="00BD1319" w:rsidRDefault="00C17EC2" w:rsidP="00B55390">
            <w:pPr>
              <w:numPr>
                <w:ilvl w:val="12"/>
                <w:numId w:val="0"/>
              </w:numPr>
              <w:tabs>
                <w:tab w:val="left" w:pos="-2268"/>
              </w:tabs>
              <w:suppressAutoHyphens/>
              <w:rPr>
                <w:rFonts w:cs="Arial"/>
                <w:spacing w:val="-3"/>
                <w:sz w:val="20"/>
                <w:szCs w:val="20"/>
                <w:u w:val="single"/>
              </w:rPr>
            </w:pPr>
            <w:r w:rsidRPr="00BD1319">
              <w:rPr>
                <w:rFonts w:cs="Arial"/>
                <w:sz w:val="20"/>
                <w:szCs w:val="20"/>
              </w:rPr>
              <w:t>http://www.humboldt.org.co/es/</w:t>
            </w:r>
            <w:r w:rsidRPr="00BD1319">
              <w:rPr>
                <w:rFonts w:cs="Arial"/>
                <w:spacing w:val="-3"/>
                <w:sz w:val="20"/>
                <w:szCs w:val="20"/>
              </w:rPr>
              <w:t xml:space="preserve">; </w:t>
            </w:r>
            <w:r w:rsidRPr="00BD1319">
              <w:rPr>
                <w:rFonts w:cs="Arial"/>
                <w:sz w:val="20"/>
                <w:szCs w:val="20"/>
              </w:rPr>
              <w:t>http://biomodelos.humboldt.org.co/</w:t>
            </w:r>
            <w:r w:rsidRPr="00BD1319">
              <w:rPr>
                <w:rFonts w:cs="Arial"/>
                <w:spacing w:val="-3"/>
                <w:sz w:val="20"/>
                <w:szCs w:val="20"/>
              </w:rPr>
              <w:t>; http://www.humboldt.org.co/es/bibliotecaypublicaciones/publicaciones?searchword=rojos&amp;amp;st=all&amp;amp;category_id=2</w:t>
            </w:r>
          </w:p>
        </w:tc>
      </w:tr>
      <w:tr w:rsidR="00C17EC2" w:rsidRPr="00BD1319" w14:paraId="7B87F684" w14:textId="77777777" w:rsidTr="00C17EC2">
        <w:trPr>
          <w:trHeight w:hRule="exact" w:val="567"/>
        </w:trPr>
        <w:tc>
          <w:tcPr>
            <w:tcW w:w="4361" w:type="dxa"/>
            <w:vAlign w:val="center"/>
            <w:hideMark/>
          </w:tcPr>
          <w:p w14:paraId="7DF318AC" w14:textId="77777777" w:rsidR="00C17EC2" w:rsidRPr="00BD1319" w:rsidRDefault="00C17EC2" w:rsidP="005E527C">
            <w:pPr>
              <w:numPr>
                <w:ilvl w:val="12"/>
                <w:numId w:val="0"/>
              </w:numPr>
              <w:tabs>
                <w:tab w:val="left" w:pos="-2268"/>
              </w:tabs>
              <w:suppressAutoHyphens/>
              <w:rPr>
                <w:rFonts w:cs="Arial"/>
                <w:spacing w:val="-3"/>
                <w:sz w:val="20"/>
                <w:szCs w:val="20"/>
              </w:rPr>
            </w:pPr>
            <w:r w:rsidRPr="00BD1319">
              <w:rPr>
                <w:rFonts w:cs="Arial"/>
                <w:spacing w:val="-3"/>
                <w:sz w:val="20"/>
                <w:szCs w:val="20"/>
              </w:rPr>
              <w:t>Instituto de investigaciones ambientales del Pacífico</w:t>
            </w:r>
          </w:p>
        </w:tc>
        <w:tc>
          <w:tcPr>
            <w:tcW w:w="5262" w:type="dxa"/>
            <w:vAlign w:val="center"/>
            <w:hideMark/>
          </w:tcPr>
          <w:p w14:paraId="72066CC7" w14:textId="77777777" w:rsidR="00C17EC2" w:rsidRPr="00BD1319" w:rsidRDefault="00C17EC2" w:rsidP="005E527C">
            <w:pPr>
              <w:numPr>
                <w:ilvl w:val="12"/>
                <w:numId w:val="0"/>
              </w:numPr>
              <w:tabs>
                <w:tab w:val="left" w:pos="-2268"/>
              </w:tabs>
              <w:suppressAutoHyphens/>
              <w:rPr>
                <w:rFonts w:cs="Arial"/>
                <w:spacing w:val="-3"/>
                <w:sz w:val="20"/>
                <w:szCs w:val="20"/>
                <w:u w:val="single"/>
              </w:rPr>
            </w:pPr>
            <w:r w:rsidRPr="00BD1319">
              <w:rPr>
                <w:rFonts w:cs="Arial"/>
                <w:sz w:val="20"/>
                <w:szCs w:val="20"/>
              </w:rPr>
              <w:t>https://iiap.org.co/</w:t>
            </w:r>
          </w:p>
        </w:tc>
      </w:tr>
      <w:tr w:rsidR="00C17EC2" w:rsidRPr="00BD1319" w14:paraId="40BAC4F5" w14:textId="77777777" w:rsidTr="00C17EC2">
        <w:trPr>
          <w:trHeight w:hRule="exact" w:val="567"/>
        </w:trPr>
        <w:tc>
          <w:tcPr>
            <w:tcW w:w="4361" w:type="dxa"/>
            <w:vAlign w:val="center"/>
            <w:hideMark/>
          </w:tcPr>
          <w:p w14:paraId="2A091945" w14:textId="77777777" w:rsidR="00C17EC2" w:rsidRPr="00BD1319" w:rsidRDefault="00C17EC2" w:rsidP="005E527C">
            <w:pPr>
              <w:numPr>
                <w:ilvl w:val="12"/>
                <w:numId w:val="0"/>
              </w:numPr>
              <w:tabs>
                <w:tab w:val="left" w:pos="-2268"/>
              </w:tabs>
              <w:suppressAutoHyphens/>
              <w:rPr>
                <w:rFonts w:cs="Arial"/>
                <w:spacing w:val="-3"/>
                <w:sz w:val="20"/>
                <w:szCs w:val="20"/>
              </w:rPr>
            </w:pPr>
            <w:r w:rsidRPr="00BD1319">
              <w:rPr>
                <w:rFonts w:cs="Arial"/>
                <w:spacing w:val="-3"/>
                <w:sz w:val="20"/>
                <w:szCs w:val="20"/>
              </w:rPr>
              <w:t xml:space="preserve">Instituto de investigaciones marinas y costeras José Benito Vives de </w:t>
            </w:r>
            <w:proofErr w:type="spellStart"/>
            <w:r w:rsidRPr="00BD1319">
              <w:rPr>
                <w:rFonts w:cs="Arial"/>
                <w:spacing w:val="-3"/>
                <w:sz w:val="20"/>
                <w:szCs w:val="20"/>
              </w:rPr>
              <w:t>Andréis</w:t>
            </w:r>
            <w:proofErr w:type="spellEnd"/>
            <w:r w:rsidRPr="00BD1319">
              <w:rPr>
                <w:rFonts w:cs="Arial"/>
                <w:spacing w:val="-3"/>
                <w:sz w:val="20"/>
                <w:szCs w:val="20"/>
              </w:rPr>
              <w:t xml:space="preserve"> (</w:t>
            </w:r>
            <w:proofErr w:type="spellStart"/>
            <w:r w:rsidRPr="00BD1319">
              <w:rPr>
                <w:rFonts w:cs="Arial"/>
                <w:spacing w:val="-3"/>
                <w:sz w:val="20"/>
                <w:szCs w:val="20"/>
              </w:rPr>
              <w:t>Invemar</w:t>
            </w:r>
            <w:proofErr w:type="spellEnd"/>
            <w:r w:rsidRPr="00BD1319">
              <w:rPr>
                <w:rFonts w:cs="Arial"/>
                <w:spacing w:val="-3"/>
                <w:sz w:val="20"/>
                <w:szCs w:val="20"/>
              </w:rPr>
              <w:t>)</w:t>
            </w:r>
          </w:p>
        </w:tc>
        <w:tc>
          <w:tcPr>
            <w:tcW w:w="5262" w:type="dxa"/>
            <w:vAlign w:val="center"/>
            <w:hideMark/>
          </w:tcPr>
          <w:p w14:paraId="3A1B3486" w14:textId="77777777" w:rsidR="00C17EC2" w:rsidRPr="00BD1319" w:rsidRDefault="00C17EC2" w:rsidP="005E527C">
            <w:pPr>
              <w:numPr>
                <w:ilvl w:val="12"/>
                <w:numId w:val="0"/>
              </w:numPr>
              <w:tabs>
                <w:tab w:val="left" w:pos="-2268"/>
              </w:tabs>
              <w:suppressAutoHyphens/>
              <w:rPr>
                <w:rFonts w:cs="Arial"/>
                <w:spacing w:val="-3"/>
                <w:sz w:val="20"/>
                <w:szCs w:val="20"/>
                <w:u w:val="single"/>
              </w:rPr>
            </w:pPr>
            <w:r w:rsidRPr="00BD1319">
              <w:rPr>
                <w:rFonts w:cs="Arial"/>
                <w:sz w:val="20"/>
                <w:szCs w:val="20"/>
              </w:rPr>
              <w:t>http://www.invemar.org.co/</w:t>
            </w:r>
          </w:p>
        </w:tc>
      </w:tr>
      <w:tr w:rsidR="00C17EC2" w:rsidRPr="00BD1319" w14:paraId="78F58B7E" w14:textId="77777777" w:rsidTr="00C17EC2">
        <w:trPr>
          <w:trHeight w:hRule="exact" w:val="567"/>
        </w:trPr>
        <w:tc>
          <w:tcPr>
            <w:tcW w:w="4361" w:type="dxa"/>
            <w:vAlign w:val="center"/>
            <w:hideMark/>
          </w:tcPr>
          <w:p w14:paraId="5822C165" w14:textId="77777777" w:rsidR="00C17EC2" w:rsidRPr="00BD1319" w:rsidRDefault="00C17EC2" w:rsidP="005E527C">
            <w:pPr>
              <w:numPr>
                <w:ilvl w:val="12"/>
                <w:numId w:val="0"/>
              </w:numPr>
              <w:tabs>
                <w:tab w:val="left" w:pos="-2268"/>
              </w:tabs>
              <w:suppressAutoHyphens/>
              <w:rPr>
                <w:rFonts w:cs="Arial"/>
                <w:spacing w:val="-3"/>
                <w:sz w:val="20"/>
                <w:szCs w:val="20"/>
              </w:rPr>
            </w:pPr>
            <w:r w:rsidRPr="00BD1319">
              <w:rPr>
                <w:rFonts w:cs="Arial"/>
                <w:spacing w:val="-3"/>
                <w:sz w:val="20"/>
                <w:szCs w:val="20"/>
              </w:rPr>
              <w:t>Instituto Geográfico Agustín Codazzi (IGAC)</w:t>
            </w:r>
          </w:p>
        </w:tc>
        <w:tc>
          <w:tcPr>
            <w:tcW w:w="5262" w:type="dxa"/>
            <w:vAlign w:val="center"/>
            <w:hideMark/>
          </w:tcPr>
          <w:p w14:paraId="48622A17" w14:textId="77777777" w:rsidR="00C17EC2" w:rsidRPr="00BD1319" w:rsidRDefault="00C17EC2" w:rsidP="005E527C">
            <w:pPr>
              <w:numPr>
                <w:ilvl w:val="12"/>
                <w:numId w:val="0"/>
              </w:numPr>
              <w:tabs>
                <w:tab w:val="left" w:pos="-2268"/>
              </w:tabs>
              <w:suppressAutoHyphens/>
              <w:rPr>
                <w:rFonts w:cs="Arial"/>
                <w:spacing w:val="-3"/>
                <w:sz w:val="20"/>
                <w:szCs w:val="20"/>
                <w:u w:val="single"/>
              </w:rPr>
            </w:pPr>
            <w:r w:rsidRPr="00BD1319">
              <w:rPr>
                <w:rFonts w:cs="Arial"/>
                <w:sz w:val="20"/>
                <w:szCs w:val="20"/>
              </w:rPr>
              <w:t>https://www.igac.gov.co/</w:t>
            </w:r>
          </w:p>
        </w:tc>
      </w:tr>
      <w:tr w:rsidR="00C17EC2" w:rsidRPr="00BD1319" w14:paraId="1E908B19" w14:textId="77777777" w:rsidTr="00C17EC2">
        <w:trPr>
          <w:trHeight w:hRule="exact" w:val="567"/>
        </w:trPr>
        <w:tc>
          <w:tcPr>
            <w:tcW w:w="4361" w:type="dxa"/>
            <w:vAlign w:val="center"/>
          </w:tcPr>
          <w:p w14:paraId="7EF56A7D" w14:textId="77777777" w:rsidR="00C17EC2" w:rsidRPr="00BD1319" w:rsidRDefault="00C17EC2" w:rsidP="005E527C">
            <w:pPr>
              <w:rPr>
                <w:rFonts w:cs="Arial"/>
                <w:spacing w:val="-3"/>
                <w:sz w:val="20"/>
                <w:szCs w:val="20"/>
              </w:rPr>
            </w:pPr>
            <w:r w:rsidRPr="00BD1319">
              <w:rPr>
                <w:rFonts w:cs="Arial"/>
                <w:spacing w:val="-3"/>
                <w:sz w:val="20"/>
                <w:szCs w:val="20"/>
              </w:rPr>
              <w:t>Instituto Nacional de Vías (INVIAS)</w:t>
            </w:r>
          </w:p>
        </w:tc>
        <w:tc>
          <w:tcPr>
            <w:tcW w:w="5262" w:type="dxa"/>
            <w:vAlign w:val="center"/>
          </w:tcPr>
          <w:p w14:paraId="28033838" w14:textId="77777777" w:rsidR="00C17EC2" w:rsidRPr="00BD1319" w:rsidDel="00A33D9C" w:rsidRDefault="00C17EC2" w:rsidP="005E527C">
            <w:pPr>
              <w:numPr>
                <w:ilvl w:val="12"/>
                <w:numId w:val="0"/>
              </w:numPr>
              <w:tabs>
                <w:tab w:val="left" w:pos="-2268"/>
              </w:tabs>
              <w:suppressAutoHyphens/>
              <w:rPr>
                <w:rFonts w:cs="Arial"/>
                <w:sz w:val="20"/>
                <w:szCs w:val="20"/>
              </w:rPr>
            </w:pPr>
            <w:r w:rsidRPr="00BD1319">
              <w:rPr>
                <w:rFonts w:cs="Arial"/>
                <w:spacing w:val="-3"/>
                <w:sz w:val="20"/>
                <w:szCs w:val="20"/>
              </w:rPr>
              <w:t>https://www.invias.gov.co/</w:t>
            </w:r>
          </w:p>
        </w:tc>
      </w:tr>
      <w:tr w:rsidR="00C17EC2" w:rsidRPr="00BD1319" w14:paraId="78F38481" w14:textId="77777777" w:rsidTr="00C17EC2">
        <w:trPr>
          <w:trHeight w:hRule="exact" w:val="567"/>
        </w:trPr>
        <w:tc>
          <w:tcPr>
            <w:tcW w:w="4361" w:type="dxa"/>
            <w:vAlign w:val="center"/>
            <w:hideMark/>
          </w:tcPr>
          <w:p w14:paraId="2A34EDE3" w14:textId="77777777" w:rsidR="00C17EC2" w:rsidRPr="00BD1319" w:rsidRDefault="00C17EC2" w:rsidP="005E527C">
            <w:pPr>
              <w:numPr>
                <w:ilvl w:val="12"/>
                <w:numId w:val="0"/>
              </w:numPr>
              <w:tabs>
                <w:tab w:val="left" w:pos="-2268"/>
              </w:tabs>
              <w:suppressAutoHyphens/>
              <w:rPr>
                <w:rFonts w:cs="Arial"/>
                <w:spacing w:val="-3"/>
                <w:sz w:val="20"/>
                <w:szCs w:val="20"/>
              </w:rPr>
            </w:pPr>
            <w:proofErr w:type="spellStart"/>
            <w:r w:rsidRPr="00BD1319">
              <w:rPr>
                <w:rFonts w:cs="Arial"/>
                <w:spacing w:val="-3"/>
                <w:sz w:val="20"/>
                <w:szCs w:val="20"/>
              </w:rPr>
              <w:t>Intergovernmental</w:t>
            </w:r>
            <w:proofErr w:type="spellEnd"/>
            <w:r w:rsidRPr="00BD1319">
              <w:rPr>
                <w:rFonts w:cs="Arial"/>
                <w:spacing w:val="-3"/>
                <w:sz w:val="20"/>
                <w:szCs w:val="20"/>
              </w:rPr>
              <w:t xml:space="preserve"> </w:t>
            </w:r>
            <w:proofErr w:type="spellStart"/>
            <w:r w:rsidRPr="00BD1319">
              <w:rPr>
                <w:rFonts w:cs="Arial"/>
                <w:spacing w:val="-3"/>
                <w:sz w:val="20"/>
                <w:szCs w:val="20"/>
              </w:rPr>
              <w:t>Oceanographic</w:t>
            </w:r>
            <w:proofErr w:type="spellEnd"/>
            <w:r w:rsidRPr="00BD1319">
              <w:rPr>
                <w:rFonts w:cs="Arial"/>
                <w:spacing w:val="-3"/>
                <w:sz w:val="20"/>
                <w:szCs w:val="20"/>
              </w:rPr>
              <w:t xml:space="preserve"> </w:t>
            </w:r>
            <w:proofErr w:type="spellStart"/>
            <w:r w:rsidRPr="00BD1319">
              <w:rPr>
                <w:rFonts w:cs="Arial"/>
                <w:spacing w:val="-3"/>
                <w:sz w:val="20"/>
                <w:szCs w:val="20"/>
              </w:rPr>
              <w:t>Commission</w:t>
            </w:r>
            <w:proofErr w:type="spellEnd"/>
          </w:p>
        </w:tc>
        <w:tc>
          <w:tcPr>
            <w:tcW w:w="5262" w:type="dxa"/>
            <w:vAlign w:val="center"/>
            <w:hideMark/>
          </w:tcPr>
          <w:p w14:paraId="4B96F2F5" w14:textId="77777777" w:rsidR="00C17EC2" w:rsidRPr="00BD1319" w:rsidRDefault="00C17EC2" w:rsidP="005E527C">
            <w:pPr>
              <w:numPr>
                <w:ilvl w:val="12"/>
                <w:numId w:val="0"/>
              </w:numPr>
              <w:tabs>
                <w:tab w:val="left" w:pos="-2268"/>
              </w:tabs>
              <w:suppressAutoHyphens/>
              <w:rPr>
                <w:rFonts w:cs="Arial"/>
                <w:spacing w:val="-3"/>
                <w:sz w:val="20"/>
                <w:szCs w:val="20"/>
                <w:u w:val="single"/>
              </w:rPr>
            </w:pPr>
            <w:r w:rsidRPr="00BD1319">
              <w:rPr>
                <w:rFonts w:cs="Arial"/>
                <w:sz w:val="20"/>
                <w:szCs w:val="20"/>
              </w:rPr>
              <w:t>https://ioc.unesco.org/</w:t>
            </w:r>
          </w:p>
        </w:tc>
      </w:tr>
      <w:tr w:rsidR="00C17EC2" w:rsidRPr="00BD1319" w14:paraId="2A46E649" w14:textId="77777777" w:rsidTr="00C17EC2">
        <w:trPr>
          <w:trHeight w:hRule="exact" w:val="567"/>
        </w:trPr>
        <w:tc>
          <w:tcPr>
            <w:tcW w:w="4361" w:type="dxa"/>
            <w:vAlign w:val="center"/>
          </w:tcPr>
          <w:p w14:paraId="21DB71AF" w14:textId="77777777" w:rsidR="00C17EC2" w:rsidRPr="00BD1319" w:rsidRDefault="00C17EC2" w:rsidP="005E527C">
            <w:pPr>
              <w:rPr>
                <w:rFonts w:cs="Arial"/>
                <w:spacing w:val="-3"/>
                <w:sz w:val="20"/>
                <w:szCs w:val="20"/>
              </w:rPr>
            </w:pPr>
            <w:r w:rsidRPr="00BD1319">
              <w:rPr>
                <w:rFonts w:cs="Arial"/>
                <w:spacing w:val="-3"/>
                <w:sz w:val="20"/>
                <w:szCs w:val="20"/>
              </w:rPr>
              <w:t>Jurisdicción Especial para la Paz</w:t>
            </w:r>
          </w:p>
        </w:tc>
        <w:tc>
          <w:tcPr>
            <w:tcW w:w="5262" w:type="dxa"/>
            <w:vAlign w:val="center"/>
          </w:tcPr>
          <w:p w14:paraId="7AA515EC" w14:textId="77777777" w:rsidR="00C17EC2" w:rsidRPr="00BD1319" w:rsidDel="00A33D9C" w:rsidRDefault="00C17EC2" w:rsidP="005E527C">
            <w:pPr>
              <w:rPr>
                <w:rFonts w:cs="Arial"/>
                <w:spacing w:val="-3"/>
                <w:sz w:val="20"/>
                <w:szCs w:val="20"/>
              </w:rPr>
            </w:pPr>
            <w:r w:rsidRPr="00BD1319">
              <w:rPr>
                <w:rFonts w:cs="Arial"/>
                <w:spacing w:val="-3"/>
                <w:sz w:val="20"/>
                <w:szCs w:val="20"/>
              </w:rPr>
              <w:t>https://www.jep.gov.co/JEP/Paginas/Jurisdiccion-Especial-para-la-Paz.aspx</w:t>
            </w:r>
          </w:p>
        </w:tc>
      </w:tr>
      <w:tr w:rsidR="00C17EC2" w:rsidRPr="00BD1319" w14:paraId="20057783" w14:textId="77777777" w:rsidTr="00C17EC2">
        <w:trPr>
          <w:trHeight w:hRule="exact" w:val="567"/>
        </w:trPr>
        <w:tc>
          <w:tcPr>
            <w:tcW w:w="4361" w:type="dxa"/>
            <w:vAlign w:val="center"/>
            <w:hideMark/>
          </w:tcPr>
          <w:p w14:paraId="7CFD598E" w14:textId="77777777" w:rsidR="00C17EC2" w:rsidRPr="00BD1319" w:rsidRDefault="00C17EC2" w:rsidP="005E527C">
            <w:pPr>
              <w:numPr>
                <w:ilvl w:val="12"/>
                <w:numId w:val="0"/>
              </w:numPr>
              <w:tabs>
                <w:tab w:val="left" w:pos="-2268"/>
              </w:tabs>
              <w:suppressAutoHyphens/>
              <w:rPr>
                <w:rFonts w:cs="Arial"/>
                <w:spacing w:val="-3"/>
                <w:sz w:val="20"/>
                <w:szCs w:val="20"/>
              </w:rPr>
            </w:pPr>
            <w:r w:rsidRPr="00BD1319">
              <w:rPr>
                <w:rFonts w:cs="Arial"/>
                <w:spacing w:val="-3"/>
                <w:sz w:val="20"/>
                <w:szCs w:val="20"/>
              </w:rPr>
              <w:t>Laboratorio de ornitología de Cornell</w:t>
            </w:r>
          </w:p>
        </w:tc>
        <w:tc>
          <w:tcPr>
            <w:tcW w:w="5262" w:type="dxa"/>
            <w:vAlign w:val="center"/>
            <w:hideMark/>
          </w:tcPr>
          <w:p w14:paraId="1E619107" w14:textId="77777777" w:rsidR="00C17EC2" w:rsidRPr="00BD1319" w:rsidRDefault="00C17EC2" w:rsidP="005E527C">
            <w:pPr>
              <w:numPr>
                <w:ilvl w:val="12"/>
                <w:numId w:val="0"/>
              </w:numPr>
              <w:tabs>
                <w:tab w:val="left" w:pos="-2268"/>
              </w:tabs>
              <w:suppressAutoHyphens/>
              <w:rPr>
                <w:rFonts w:cs="Arial"/>
                <w:spacing w:val="-3"/>
                <w:sz w:val="20"/>
                <w:szCs w:val="20"/>
                <w:u w:val="single"/>
              </w:rPr>
            </w:pPr>
            <w:r w:rsidRPr="00BD1319">
              <w:rPr>
                <w:rFonts w:cs="Arial"/>
                <w:sz w:val="20"/>
                <w:szCs w:val="20"/>
              </w:rPr>
              <w:t>https://ebird.org/home</w:t>
            </w:r>
          </w:p>
        </w:tc>
      </w:tr>
      <w:tr w:rsidR="00C17EC2" w:rsidRPr="00BD1319" w14:paraId="184F2116" w14:textId="77777777" w:rsidTr="00C17EC2">
        <w:trPr>
          <w:trHeight w:hRule="exact" w:val="567"/>
        </w:trPr>
        <w:tc>
          <w:tcPr>
            <w:tcW w:w="4361" w:type="dxa"/>
            <w:vAlign w:val="center"/>
            <w:hideMark/>
          </w:tcPr>
          <w:p w14:paraId="0CC69863" w14:textId="77777777" w:rsidR="00C17EC2" w:rsidRPr="00BD1319" w:rsidRDefault="00C17EC2" w:rsidP="005E527C">
            <w:pPr>
              <w:numPr>
                <w:ilvl w:val="12"/>
                <w:numId w:val="0"/>
              </w:numPr>
              <w:tabs>
                <w:tab w:val="left" w:pos="-2268"/>
              </w:tabs>
              <w:suppressAutoHyphens/>
              <w:rPr>
                <w:rFonts w:cs="Arial"/>
                <w:spacing w:val="-3"/>
                <w:sz w:val="20"/>
                <w:szCs w:val="20"/>
              </w:rPr>
            </w:pPr>
            <w:r w:rsidRPr="00BD1319">
              <w:rPr>
                <w:rFonts w:cs="Arial"/>
                <w:spacing w:val="-3"/>
                <w:sz w:val="20"/>
                <w:szCs w:val="20"/>
              </w:rPr>
              <w:t>Lista y mapas de distribución de los anfibios de Colombia</w:t>
            </w:r>
          </w:p>
        </w:tc>
        <w:tc>
          <w:tcPr>
            <w:tcW w:w="5262" w:type="dxa"/>
            <w:vAlign w:val="center"/>
            <w:hideMark/>
          </w:tcPr>
          <w:p w14:paraId="39D0BF7E" w14:textId="77777777" w:rsidR="00C17EC2" w:rsidRPr="00BD1319" w:rsidRDefault="00C17EC2" w:rsidP="005E527C">
            <w:pPr>
              <w:numPr>
                <w:ilvl w:val="12"/>
                <w:numId w:val="0"/>
              </w:numPr>
              <w:tabs>
                <w:tab w:val="left" w:pos="-2268"/>
              </w:tabs>
              <w:suppressAutoHyphens/>
              <w:rPr>
                <w:rFonts w:cs="Arial"/>
                <w:spacing w:val="-3"/>
                <w:sz w:val="20"/>
                <w:szCs w:val="20"/>
                <w:u w:val="single"/>
              </w:rPr>
            </w:pPr>
            <w:r w:rsidRPr="00BD1319">
              <w:rPr>
                <w:rFonts w:cs="Arial"/>
                <w:sz w:val="20"/>
                <w:szCs w:val="20"/>
              </w:rPr>
              <w:t>https://www.batrachia.com/</w:t>
            </w:r>
          </w:p>
        </w:tc>
      </w:tr>
      <w:tr w:rsidR="00C17EC2" w:rsidRPr="00017D31" w14:paraId="23E0D35C" w14:textId="77777777" w:rsidTr="00C17EC2">
        <w:trPr>
          <w:trHeight w:hRule="exact" w:val="567"/>
        </w:trPr>
        <w:tc>
          <w:tcPr>
            <w:tcW w:w="4361" w:type="dxa"/>
            <w:vAlign w:val="center"/>
            <w:hideMark/>
          </w:tcPr>
          <w:p w14:paraId="2EB51A71" w14:textId="77777777" w:rsidR="00C17EC2" w:rsidRPr="00BD1319" w:rsidRDefault="00C17EC2" w:rsidP="005E527C">
            <w:pPr>
              <w:numPr>
                <w:ilvl w:val="12"/>
                <w:numId w:val="0"/>
              </w:numPr>
              <w:tabs>
                <w:tab w:val="left" w:pos="-2268"/>
              </w:tabs>
              <w:suppressAutoHyphens/>
              <w:rPr>
                <w:rFonts w:cs="Arial"/>
                <w:spacing w:val="-3"/>
                <w:sz w:val="20"/>
                <w:szCs w:val="20"/>
                <w:lang w:val="en-US"/>
              </w:rPr>
            </w:pPr>
            <w:r w:rsidRPr="00BD1319">
              <w:rPr>
                <w:rFonts w:cs="Arial"/>
                <w:spacing w:val="-3"/>
                <w:sz w:val="20"/>
                <w:szCs w:val="20"/>
                <w:lang w:val="en-US"/>
              </w:rPr>
              <w:t>Louisiana museum of natural history</w:t>
            </w:r>
          </w:p>
        </w:tc>
        <w:tc>
          <w:tcPr>
            <w:tcW w:w="5262" w:type="dxa"/>
            <w:vAlign w:val="center"/>
            <w:hideMark/>
          </w:tcPr>
          <w:p w14:paraId="74C42588" w14:textId="77777777" w:rsidR="00C17EC2" w:rsidRPr="00BD1319" w:rsidRDefault="00C17EC2" w:rsidP="005E527C">
            <w:pPr>
              <w:numPr>
                <w:ilvl w:val="12"/>
                <w:numId w:val="0"/>
              </w:numPr>
              <w:tabs>
                <w:tab w:val="left" w:pos="-2268"/>
              </w:tabs>
              <w:suppressAutoHyphens/>
              <w:rPr>
                <w:rFonts w:cs="Arial"/>
                <w:spacing w:val="-3"/>
                <w:sz w:val="20"/>
                <w:szCs w:val="20"/>
                <w:u w:val="single"/>
                <w:lang w:val="en-US"/>
              </w:rPr>
            </w:pPr>
            <w:r w:rsidRPr="00BD1319">
              <w:rPr>
                <w:rFonts w:cs="Arial"/>
                <w:sz w:val="20"/>
                <w:szCs w:val="20"/>
                <w:lang w:val="en-US"/>
              </w:rPr>
              <w:t>https://www.lsu.edu/mns/index.php</w:t>
            </w:r>
          </w:p>
        </w:tc>
      </w:tr>
      <w:tr w:rsidR="00C17EC2" w:rsidRPr="00BD1319" w14:paraId="23F0C492" w14:textId="77777777" w:rsidTr="00C17EC2">
        <w:trPr>
          <w:trHeight w:hRule="exact" w:val="567"/>
        </w:trPr>
        <w:tc>
          <w:tcPr>
            <w:tcW w:w="4361" w:type="dxa"/>
            <w:vAlign w:val="center"/>
            <w:hideMark/>
          </w:tcPr>
          <w:p w14:paraId="03193B21" w14:textId="77777777" w:rsidR="00C17EC2" w:rsidRPr="00BD1319" w:rsidRDefault="00C17EC2" w:rsidP="005E527C">
            <w:pPr>
              <w:numPr>
                <w:ilvl w:val="12"/>
                <w:numId w:val="0"/>
              </w:numPr>
              <w:tabs>
                <w:tab w:val="left" w:pos="-2268"/>
              </w:tabs>
              <w:suppressAutoHyphens/>
              <w:rPr>
                <w:rFonts w:cs="Arial"/>
                <w:spacing w:val="-3"/>
                <w:sz w:val="20"/>
                <w:szCs w:val="20"/>
              </w:rPr>
            </w:pPr>
            <w:r w:rsidRPr="00BD1319">
              <w:rPr>
                <w:rFonts w:cs="Arial"/>
                <w:spacing w:val="-3"/>
                <w:sz w:val="20"/>
                <w:szCs w:val="20"/>
              </w:rPr>
              <w:t>Ministerio de Cultura</w:t>
            </w:r>
          </w:p>
        </w:tc>
        <w:tc>
          <w:tcPr>
            <w:tcW w:w="5262" w:type="dxa"/>
            <w:vAlign w:val="center"/>
            <w:hideMark/>
          </w:tcPr>
          <w:p w14:paraId="79FE1822" w14:textId="77777777" w:rsidR="00C17EC2" w:rsidRPr="00BD1319" w:rsidRDefault="00C17EC2" w:rsidP="005E527C">
            <w:pPr>
              <w:numPr>
                <w:ilvl w:val="12"/>
                <w:numId w:val="0"/>
              </w:numPr>
              <w:tabs>
                <w:tab w:val="left" w:pos="-2268"/>
              </w:tabs>
              <w:suppressAutoHyphens/>
              <w:rPr>
                <w:rFonts w:cs="Arial"/>
                <w:spacing w:val="-3"/>
                <w:sz w:val="20"/>
                <w:szCs w:val="20"/>
                <w:u w:val="single"/>
              </w:rPr>
            </w:pPr>
            <w:r w:rsidRPr="00BD1319">
              <w:rPr>
                <w:rFonts w:cs="Arial"/>
                <w:sz w:val="20"/>
                <w:szCs w:val="20"/>
              </w:rPr>
              <w:t>https://mincultura.gov.co/</w:t>
            </w:r>
          </w:p>
        </w:tc>
      </w:tr>
      <w:tr w:rsidR="00C17EC2" w:rsidRPr="00BD1319" w14:paraId="68991A5D" w14:textId="77777777" w:rsidTr="00C17EC2">
        <w:trPr>
          <w:trHeight w:hRule="exact" w:val="567"/>
        </w:trPr>
        <w:tc>
          <w:tcPr>
            <w:tcW w:w="4361" w:type="dxa"/>
            <w:vAlign w:val="center"/>
            <w:hideMark/>
          </w:tcPr>
          <w:p w14:paraId="66B1D4F3" w14:textId="77777777" w:rsidR="00C17EC2" w:rsidRPr="00BD1319" w:rsidRDefault="00C17EC2" w:rsidP="005E527C">
            <w:pPr>
              <w:numPr>
                <w:ilvl w:val="12"/>
                <w:numId w:val="0"/>
              </w:numPr>
              <w:tabs>
                <w:tab w:val="left" w:pos="-2268"/>
              </w:tabs>
              <w:suppressAutoHyphens/>
              <w:rPr>
                <w:rFonts w:cs="Arial"/>
                <w:spacing w:val="-3"/>
                <w:sz w:val="20"/>
                <w:szCs w:val="20"/>
              </w:rPr>
            </w:pPr>
            <w:r w:rsidRPr="00BD1319">
              <w:rPr>
                <w:rFonts w:cs="Arial"/>
                <w:spacing w:val="-3"/>
                <w:sz w:val="20"/>
                <w:szCs w:val="20"/>
              </w:rPr>
              <w:t>Ministerio de Justicia y del Derecho</w:t>
            </w:r>
          </w:p>
        </w:tc>
        <w:tc>
          <w:tcPr>
            <w:tcW w:w="5262" w:type="dxa"/>
            <w:vAlign w:val="center"/>
            <w:hideMark/>
          </w:tcPr>
          <w:p w14:paraId="4F436C28" w14:textId="77777777" w:rsidR="00C17EC2" w:rsidRPr="00BD1319" w:rsidRDefault="00C17EC2" w:rsidP="005E527C">
            <w:pPr>
              <w:numPr>
                <w:ilvl w:val="12"/>
                <w:numId w:val="0"/>
              </w:numPr>
              <w:tabs>
                <w:tab w:val="left" w:pos="-2268"/>
              </w:tabs>
              <w:suppressAutoHyphens/>
              <w:rPr>
                <w:rFonts w:cs="Arial"/>
                <w:spacing w:val="-3"/>
                <w:sz w:val="20"/>
                <w:szCs w:val="20"/>
                <w:u w:val="single"/>
              </w:rPr>
            </w:pPr>
            <w:r w:rsidRPr="00BD1319">
              <w:rPr>
                <w:rFonts w:cs="Arial"/>
                <w:sz w:val="20"/>
                <w:szCs w:val="20"/>
              </w:rPr>
              <w:t>https://www.minjusticia.gov.co/</w:t>
            </w:r>
          </w:p>
        </w:tc>
      </w:tr>
      <w:tr w:rsidR="00C17EC2" w:rsidRPr="00BD1319" w14:paraId="3F3AE9AD" w14:textId="77777777" w:rsidTr="00C17EC2">
        <w:trPr>
          <w:trHeight w:hRule="exact" w:val="567"/>
        </w:trPr>
        <w:tc>
          <w:tcPr>
            <w:tcW w:w="4361" w:type="dxa"/>
            <w:vAlign w:val="center"/>
            <w:hideMark/>
          </w:tcPr>
          <w:p w14:paraId="549547D6" w14:textId="77777777" w:rsidR="00C17EC2" w:rsidRPr="00BD1319" w:rsidRDefault="00C17EC2" w:rsidP="005E527C">
            <w:pPr>
              <w:numPr>
                <w:ilvl w:val="12"/>
                <w:numId w:val="0"/>
              </w:numPr>
              <w:tabs>
                <w:tab w:val="left" w:pos="-2268"/>
              </w:tabs>
              <w:suppressAutoHyphens/>
              <w:rPr>
                <w:rFonts w:cs="Arial"/>
                <w:spacing w:val="-3"/>
                <w:sz w:val="20"/>
                <w:szCs w:val="20"/>
              </w:rPr>
            </w:pPr>
            <w:r w:rsidRPr="00BD1319">
              <w:rPr>
                <w:rFonts w:cs="Arial"/>
                <w:spacing w:val="-3"/>
                <w:sz w:val="20"/>
                <w:szCs w:val="20"/>
              </w:rPr>
              <w:t>Ministerio de Minas y Energía</w:t>
            </w:r>
          </w:p>
        </w:tc>
        <w:tc>
          <w:tcPr>
            <w:tcW w:w="5262" w:type="dxa"/>
            <w:vAlign w:val="center"/>
            <w:hideMark/>
          </w:tcPr>
          <w:p w14:paraId="7DF1C5B7" w14:textId="77777777" w:rsidR="00C17EC2" w:rsidRPr="00BD1319" w:rsidRDefault="00C17EC2" w:rsidP="005E527C">
            <w:pPr>
              <w:numPr>
                <w:ilvl w:val="12"/>
                <w:numId w:val="0"/>
              </w:numPr>
              <w:tabs>
                <w:tab w:val="left" w:pos="-2268"/>
              </w:tabs>
              <w:suppressAutoHyphens/>
              <w:rPr>
                <w:rFonts w:cs="Arial"/>
                <w:spacing w:val="-3"/>
                <w:sz w:val="20"/>
                <w:szCs w:val="20"/>
                <w:u w:val="single"/>
              </w:rPr>
            </w:pPr>
            <w:r w:rsidRPr="00BD1319">
              <w:rPr>
                <w:rFonts w:cs="Arial"/>
                <w:sz w:val="20"/>
                <w:szCs w:val="20"/>
              </w:rPr>
              <w:t>https://www.minenergia.gov.co/</w:t>
            </w:r>
          </w:p>
        </w:tc>
      </w:tr>
      <w:tr w:rsidR="00C17EC2" w:rsidRPr="00BD1319" w14:paraId="032A41E2" w14:textId="77777777" w:rsidTr="00C17EC2">
        <w:trPr>
          <w:trHeight w:hRule="exact" w:val="567"/>
        </w:trPr>
        <w:tc>
          <w:tcPr>
            <w:tcW w:w="4361" w:type="dxa"/>
            <w:vAlign w:val="center"/>
            <w:hideMark/>
          </w:tcPr>
          <w:p w14:paraId="522376C6" w14:textId="77777777" w:rsidR="00C17EC2" w:rsidRPr="00BD1319" w:rsidRDefault="00C17EC2" w:rsidP="005E527C">
            <w:pPr>
              <w:numPr>
                <w:ilvl w:val="12"/>
                <w:numId w:val="0"/>
              </w:numPr>
              <w:tabs>
                <w:tab w:val="left" w:pos="-2268"/>
              </w:tabs>
              <w:suppressAutoHyphens/>
              <w:rPr>
                <w:rFonts w:cs="Arial"/>
                <w:spacing w:val="-3"/>
                <w:sz w:val="20"/>
                <w:szCs w:val="20"/>
              </w:rPr>
            </w:pPr>
            <w:r w:rsidRPr="00BD1319">
              <w:rPr>
                <w:rFonts w:cs="Arial"/>
                <w:spacing w:val="-3"/>
                <w:sz w:val="20"/>
                <w:szCs w:val="20"/>
              </w:rPr>
              <w:t>Ministerio de Transporte</w:t>
            </w:r>
          </w:p>
        </w:tc>
        <w:tc>
          <w:tcPr>
            <w:tcW w:w="5262" w:type="dxa"/>
            <w:vAlign w:val="center"/>
            <w:hideMark/>
          </w:tcPr>
          <w:p w14:paraId="35907D78" w14:textId="77777777" w:rsidR="00C17EC2" w:rsidRPr="00BD1319" w:rsidRDefault="00C17EC2" w:rsidP="005E527C">
            <w:pPr>
              <w:numPr>
                <w:ilvl w:val="12"/>
                <w:numId w:val="0"/>
              </w:numPr>
              <w:tabs>
                <w:tab w:val="left" w:pos="-2268"/>
              </w:tabs>
              <w:suppressAutoHyphens/>
              <w:rPr>
                <w:rFonts w:cs="Arial"/>
                <w:spacing w:val="-3"/>
                <w:sz w:val="20"/>
                <w:szCs w:val="20"/>
                <w:u w:val="single"/>
              </w:rPr>
            </w:pPr>
            <w:r w:rsidRPr="00BD1319">
              <w:rPr>
                <w:rFonts w:cs="Arial"/>
                <w:sz w:val="20"/>
                <w:szCs w:val="20"/>
              </w:rPr>
              <w:t>https://www.mintransporte.gov.co/</w:t>
            </w:r>
          </w:p>
        </w:tc>
      </w:tr>
      <w:tr w:rsidR="00C17EC2" w:rsidRPr="00BD1319" w14:paraId="27FAAC17" w14:textId="77777777" w:rsidTr="00C17EC2">
        <w:trPr>
          <w:trHeight w:hRule="exact" w:val="567"/>
        </w:trPr>
        <w:tc>
          <w:tcPr>
            <w:tcW w:w="4361" w:type="dxa"/>
            <w:vAlign w:val="center"/>
          </w:tcPr>
          <w:p w14:paraId="072E340D" w14:textId="77777777" w:rsidR="00C17EC2" w:rsidRPr="00BD1319" w:rsidRDefault="00C17EC2" w:rsidP="005E527C">
            <w:pPr>
              <w:numPr>
                <w:ilvl w:val="12"/>
                <w:numId w:val="0"/>
              </w:numPr>
              <w:tabs>
                <w:tab w:val="left" w:pos="-2268"/>
              </w:tabs>
              <w:suppressAutoHyphens/>
              <w:rPr>
                <w:rFonts w:cs="Arial"/>
                <w:spacing w:val="-3"/>
                <w:sz w:val="20"/>
                <w:szCs w:val="20"/>
              </w:rPr>
            </w:pPr>
            <w:r w:rsidRPr="00BD1319">
              <w:rPr>
                <w:rFonts w:cs="Arial"/>
                <w:spacing w:val="-3"/>
                <w:sz w:val="20"/>
                <w:szCs w:val="20"/>
              </w:rPr>
              <w:lastRenderedPageBreak/>
              <w:t xml:space="preserve">Missouri </w:t>
            </w:r>
            <w:proofErr w:type="spellStart"/>
            <w:r w:rsidRPr="00BD1319">
              <w:rPr>
                <w:rFonts w:cs="Arial"/>
                <w:spacing w:val="-3"/>
                <w:sz w:val="20"/>
                <w:szCs w:val="20"/>
              </w:rPr>
              <w:t>Botanical</w:t>
            </w:r>
            <w:proofErr w:type="spellEnd"/>
            <w:r w:rsidRPr="00BD1319">
              <w:rPr>
                <w:rFonts w:cs="Arial"/>
                <w:spacing w:val="-3"/>
                <w:sz w:val="20"/>
                <w:szCs w:val="20"/>
              </w:rPr>
              <w:t xml:space="preserve"> Garden. Tropicos.org</w:t>
            </w:r>
          </w:p>
        </w:tc>
        <w:tc>
          <w:tcPr>
            <w:tcW w:w="5262" w:type="dxa"/>
            <w:vAlign w:val="center"/>
          </w:tcPr>
          <w:p w14:paraId="128F8C01" w14:textId="77777777" w:rsidR="00C17EC2" w:rsidRPr="00BD1319" w:rsidDel="00A33D9C" w:rsidRDefault="00C17EC2" w:rsidP="005E527C">
            <w:pPr>
              <w:numPr>
                <w:ilvl w:val="12"/>
                <w:numId w:val="0"/>
              </w:numPr>
              <w:tabs>
                <w:tab w:val="left" w:pos="-2268"/>
              </w:tabs>
              <w:suppressAutoHyphens/>
              <w:rPr>
                <w:rFonts w:cs="Arial"/>
                <w:sz w:val="20"/>
                <w:szCs w:val="20"/>
              </w:rPr>
            </w:pPr>
            <w:r w:rsidRPr="00BD1319">
              <w:rPr>
                <w:rFonts w:cs="Arial"/>
                <w:spacing w:val="-3"/>
                <w:sz w:val="20"/>
                <w:szCs w:val="20"/>
              </w:rPr>
              <w:t>https://www.tropicos.org/home</w:t>
            </w:r>
            <w:r w:rsidRPr="00BD1319">
              <w:rPr>
                <w:rFonts w:cs="Arial"/>
                <w:sz w:val="20"/>
                <w:szCs w:val="20"/>
              </w:rPr>
              <w:tab/>
            </w:r>
          </w:p>
        </w:tc>
      </w:tr>
      <w:tr w:rsidR="00C17EC2" w:rsidRPr="00BD1319" w14:paraId="00F6499E" w14:textId="77777777" w:rsidTr="00C17EC2">
        <w:trPr>
          <w:trHeight w:hRule="exact" w:val="567"/>
        </w:trPr>
        <w:tc>
          <w:tcPr>
            <w:tcW w:w="4361" w:type="dxa"/>
            <w:vAlign w:val="center"/>
            <w:hideMark/>
          </w:tcPr>
          <w:p w14:paraId="56A8BF9D" w14:textId="77777777" w:rsidR="00C17EC2" w:rsidRPr="00BD1319" w:rsidRDefault="00C17EC2" w:rsidP="005E527C">
            <w:pPr>
              <w:numPr>
                <w:ilvl w:val="12"/>
                <w:numId w:val="0"/>
              </w:numPr>
              <w:tabs>
                <w:tab w:val="left" w:pos="-2268"/>
              </w:tabs>
              <w:suppressAutoHyphens/>
              <w:rPr>
                <w:rFonts w:cs="Arial"/>
                <w:spacing w:val="-3"/>
                <w:sz w:val="20"/>
                <w:szCs w:val="20"/>
                <w:lang w:val="en-US"/>
              </w:rPr>
            </w:pPr>
            <w:r w:rsidRPr="00BD1319">
              <w:rPr>
                <w:rFonts w:cs="Arial"/>
                <w:spacing w:val="-3"/>
                <w:sz w:val="20"/>
                <w:szCs w:val="20"/>
                <w:lang w:val="en-US"/>
              </w:rPr>
              <w:t>National centers for coastal ocean science</w:t>
            </w:r>
          </w:p>
        </w:tc>
        <w:tc>
          <w:tcPr>
            <w:tcW w:w="5262" w:type="dxa"/>
            <w:vAlign w:val="center"/>
            <w:hideMark/>
          </w:tcPr>
          <w:p w14:paraId="22CBD6A5" w14:textId="77777777" w:rsidR="00C17EC2" w:rsidRPr="00BD1319" w:rsidRDefault="00C17EC2" w:rsidP="005E527C">
            <w:pPr>
              <w:numPr>
                <w:ilvl w:val="12"/>
                <w:numId w:val="0"/>
              </w:numPr>
              <w:tabs>
                <w:tab w:val="left" w:pos="-2268"/>
              </w:tabs>
              <w:suppressAutoHyphens/>
              <w:rPr>
                <w:rFonts w:cs="Arial"/>
                <w:spacing w:val="-3"/>
                <w:sz w:val="20"/>
                <w:szCs w:val="20"/>
                <w:u w:val="single"/>
              </w:rPr>
            </w:pPr>
            <w:r w:rsidRPr="00BD1319">
              <w:rPr>
                <w:rFonts w:cs="Arial"/>
                <w:sz w:val="20"/>
                <w:szCs w:val="20"/>
              </w:rPr>
              <w:t>https://coastalscience.noaa.gov/</w:t>
            </w:r>
          </w:p>
        </w:tc>
      </w:tr>
      <w:tr w:rsidR="00C17EC2" w:rsidRPr="00017D31" w14:paraId="2B3AF9E7" w14:textId="77777777" w:rsidTr="00C17EC2">
        <w:trPr>
          <w:trHeight w:hRule="exact" w:val="567"/>
        </w:trPr>
        <w:tc>
          <w:tcPr>
            <w:tcW w:w="4361" w:type="dxa"/>
            <w:vAlign w:val="center"/>
            <w:hideMark/>
          </w:tcPr>
          <w:p w14:paraId="0372E56E" w14:textId="77777777" w:rsidR="00C17EC2" w:rsidRPr="00BD1319" w:rsidRDefault="00C17EC2" w:rsidP="005E527C">
            <w:pPr>
              <w:numPr>
                <w:ilvl w:val="12"/>
                <w:numId w:val="0"/>
              </w:numPr>
              <w:tabs>
                <w:tab w:val="left" w:pos="-2268"/>
              </w:tabs>
              <w:suppressAutoHyphens/>
              <w:rPr>
                <w:rFonts w:cs="Arial"/>
                <w:spacing w:val="-3"/>
                <w:sz w:val="20"/>
                <w:szCs w:val="20"/>
                <w:lang w:val="en-US"/>
              </w:rPr>
            </w:pPr>
            <w:r w:rsidRPr="00BD1319">
              <w:rPr>
                <w:rFonts w:cs="Arial"/>
                <w:spacing w:val="-3"/>
                <w:sz w:val="20"/>
                <w:szCs w:val="20"/>
                <w:lang w:val="en-US"/>
              </w:rPr>
              <w:t>National Oceanic and Atmospheric Administration (NOAA)</w:t>
            </w:r>
          </w:p>
        </w:tc>
        <w:tc>
          <w:tcPr>
            <w:tcW w:w="5262" w:type="dxa"/>
            <w:vAlign w:val="center"/>
            <w:hideMark/>
          </w:tcPr>
          <w:p w14:paraId="69D854D2" w14:textId="77777777" w:rsidR="00C17EC2" w:rsidRPr="00BD1319" w:rsidRDefault="00C17EC2" w:rsidP="005E527C">
            <w:pPr>
              <w:numPr>
                <w:ilvl w:val="12"/>
                <w:numId w:val="0"/>
              </w:numPr>
              <w:tabs>
                <w:tab w:val="left" w:pos="-2268"/>
              </w:tabs>
              <w:suppressAutoHyphens/>
              <w:rPr>
                <w:rFonts w:cs="Arial"/>
                <w:spacing w:val="-3"/>
                <w:sz w:val="20"/>
                <w:szCs w:val="20"/>
                <w:u w:val="single"/>
                <w:lang w:val="en-US"/>
              </w:rPr>
            </w:pPr>
            <w:r w:rsidRPr="00BD1319">
              <w:rPr>
                <w:rFonts w:cs="Arial"/>
                <w:sz w:val="20"/>
                <w:szCs w:val="20"/>
                <w:lang w:val="en-US"/>
              </w:rPr>
              <w:t>https://oceanservice.noaa.gov/</w:t>
            </w:r>
            <w:r w:rsidRPr="00BD1319">
              <w:rPr>
                <w:rFonts w:cs="Arial"/>
                <w:spacing w:val="-3"/>
                <w:sz w:val="20"/>
                <w:szCs w:val="20"/>
                <w:lang w:val="en-US"/>
              </w:rPr>
              <w:t xml:space="preserve">; </w:t>
            </w:r>
            <w:r w:rsidRPr="00BD1319">
              <w:rPr>
                <w:rFonts w:cs="Arial"/>
                <w:sz w:val="20"/>
                <w:szCs w:val="20"/>
                <w:lang w:val="en-US"/>
              </w:rPr>
              <w:t>https://coast.noaa.gov/nerrs/</w:t>
            </w:r>
          </w:p>
        </w:tc>
      </w:tr>
      <w:tr w:rsidR="00C17EC2" w:rsidRPr="00BD1319" w14:paraId="4FE90725" w14:textId="77777777" w:rsidTr="00C17EC2">
        <w:trPr>
          <w:trHeight w:hRule="exact" w:val="567"/>
        </w:trPr>
        <w:tc>
          <w:tcPr>
            <w:tcW w:w="4361" w:type="dxa"/>
            <w:vAlign w:val="center"/>
          </w:tcPr>
          <w:p w14:paraId="1091E5F1" w14:textId="77777777" w:rsidR="00C17EC2" w:rsidRPr="00BD1319" w:rsidRDefault="00C17EC2" w:rsidP="005E527C">
            <w:pPr>
              <w:numPr>
                <w:ilvl w:val="12"/>
                <w:numId w:val="0"/>
              </w:numPr>
              <w:tabs>
                <w:tab w:val="left" w:pos="-2268"/>
              </w:tabs>
              <w:suppressAutoHyphens/>
              <w:rPr>
                <w:rFonts w:cs="Arial"/>
                <w:spacing w:val="-3"/>
                <w:sz w:val="20"/>
                <w:szCs w:val="20"/>
              </w:rPr>
            </w:pPr>
            <w:r w:rsidRPr="00BD1319">
              <w:rPr>
                <w:rFonts w:cs="Arial"/>
                <w:spacing w:val="-3"/>
                <w:sz w:val="20"/>
                <w:szCs w:val="20"/>
              </w:rPr>
              <w:t>Observatorio colombiano de las mujeres</w:t>
            </w:r>
          </w:p>
        </w:tc>
        <w:tc>
          <w:tcPr>
            <w:tcW w:w="5262" w:type="dxa"/>
            <w:vAlign w:val="center"/>
          </w:tcPr>
          <w:p w14:paraId="482F0BEB" w14:textId="77777777" w:rsidR="00C17EC2" w:rsidRPr="00BD1319" w:rsidDel="00A33D9C" w:rsidRDefault="00C17EC2" w:rsidP="005E527C">
            <w:pPr>
              <w:numPr>
                <w:ilvl w:val="12"/>
                <w:numId w:val="0"/>
              </w:numPr>
              <w:tabs>
                <w:tab w:val="left" w:pos="-2268"/>
              </w:tabs>
              <w:suppressAutoHyphens/>
              <w:rPr>
                <w:rFonts w:cs="Arial"/>
                <w:sz w:val="20"/>
                <w:szCs w:val="20"/>
              </w:rPr>
            </w:pPr>
            <w:r w:rsidRPr="00BD1319">
              <w:rPr>
                <w:rFonts w:cs="Arial"/>
                <w:spacing w:val="-3"/>
                <w:sz w:val="20"/>
                <w:szCs w:val="20"/>
                <w:lang w:val="en-US"/>
              </w:rPr>
              <w:t>https://observatoriomujeres.gov.co/</w:t>
            </w:r>
          </w:p>
        </w:tc>
      </w:tr>
      <w:tr w:rsidR="00C17EC2" w:rsidRPr="00BD1319" w14:paraId="4FD4D41F" w14:textId="77777777" w:rsidTr="00C17EC2">
        <w:trPr>
          <w:trHeight w:hRule="exact" w:val="567"/>
        </w:trPr>
        <w:tc>
          <w:tcPr>
            <w:tcW w:w="4361" w:type="dxa"/>
            <w:vAlign w:val="center"/>
          </w:tcPr>
          <w:p w14:paraId="39C3E8F0" w14:textId="77777777" w:rsidR="00C17EC2" w:rsidRPr="00BD1319" w:rsidRDefault="00C17EC2" w:rsidP="005E527C">
            <w:pPr>
              <w:numPr>
                <w:ilvl w:val="12"/>
                <w:numId w:val="0"/>
              </w:numPr>
              <w:tabs>
                <w:tab w:val="left" w:pos="-2268"/>
              </w:tabs>
              <w:suppressAutoHyphens/>
              <w:rPr>
                <w:rFonts w:cs="Arial"/>
                <w:spacing w:val="-3"/>
                <w:sz w:val="20"/>
                <w:szCs w:val="20"/>
              </w:rPr>
            </w:pPr>
            <w:r w:rsidRPr="00BD1319">
              <w:rPr>
                <w:rFonts w:cs="Arial"/>
                <w:spacing w:val="-3"/>
                <w:sz w:val="20"/>
                <w:szCs w:val="20"/>
              </w:rPr>
              <w:t>Observatorio de Conflictos Ambientales de la Universidad Nacional de Colombia</w:t>
            </w:r>
          </w:p>
        </w:tc>
        <w:tc>
          <w:tcPr>
            <w:tcW w:w="5262" w:type="dxa"/>
            <w:vAlign w:val="center"/>
          </w:tcPr>
          <w:p w14:paraId="2BCC1881" w14:textId="529DCEC6" w:rsidR="00C17EC2" w:rsidRPr="00BD1319" w:rsidDel="00A33D9C" w:rsidRDefault="00C17EC2" w:rsidP="005E527C">
            <w:pPr>
              <w:numPr>
                <w:ilvl w:val="12"/>
                <w:numId w:val="0"/>
              </w:numPr>
              <w:tabs>
                <w:tab w:val="left" w:pos="-2268"/>
              </w:tabs>
              <w:suppressAutoHyphens/>
              <w:rPr>
                <w:rFonts w:cs="Arial"/>
                <w:spacing w:val="-3"/>
                <w:sz w:val="20"/>
                <w:szCs w:val="20"/>
              </w:rPr>
            </w:pPr>
            <w:hyperlink r:id="rId25">
              <w:r w:rsidRPr="00BD1319">
                <w:rPr>
                  <w:rFonts w:cs="Arial"/>
                  <w:spacing w:val="-3"/>
                  <w:sz w:val="20"/>
                  <w:szCs w:val="20"/>
                </w:rPr>
                <w:t>http://oca.unal.edu.co/</w:t>
              </w:r>
            </w:hyperlink>
          </w:p>
        </w:tc>
      </w:tr>
      <w:tr w:rsidR="00C17EC2" w:rsidRPr="00BD1319" w14:paraId="1E00AAD5" w14:textId="77777777" w:rsidTr="00C17EC2">
        <w:trPr>
          <w:trHeight w:hRule="exact" w:val="567"/>
        </w:trPr>
        <w:tc>
          <w:tcPr>
            <w:tcW w:w="4361" w:type="dxa"/>
            <w:vAlign w:val="center"/>
          </w:tcPr>
          <w:p w14:paraId="32DA7923" w14:textId="77777777" w:rsidR="00C17EC2" w:rsidRPr="00BD1319" w:rsidRDefault="00C17EC2" w:rsidP="005E527C">
            <w:pPr>
              <w:numPr>
                <w:ilvl w:val="12"/>
                <w:numId w:val="0"/>
              </w:numPr>
              <w:tabs>
                <w:tab w:val="left" w:pos="-2268"/>
              </w:tabs>
              <w:suppressAutoHyphens/>
              <w:rPr>
                <w:rFonts w:cs="Arial"/>
                <w:spacing w:val="-3"/>
                <w:sz w:val="20"/>
                <w:szCs w:val="20"/>
              </w:rPr>
            </w:pPr>
            <w:r w:rsidRPr="00BD1319">
              <w:rPr>
                <w:rFonts w:cs="Arial"/>
                <w:spacing w:val="-3"/>
                <w:sz w:val="20"/>
                <w:szCs w:val="20"/>
              </w:rPr>
              <w:t>Observatorio Javeriano de Juventud</w:t>
            </w:r>
          </w:p>
        </w:tc>
        <w:tc>
          <w:tcPr>
            <w:tcW w:w="5262" w:type="dxa"/>
            <w:vAlign w:val="center"/>
          </w:tcPr>
          <w:p w14:paraId="0265FF52" w14:textId="77777777" w:rsidR="00C17EC2" w:rsidRPr="00BD1319" w:rsidRDefault="00C17EC2" w:rsidP="005E527C">
            <w:pPr>
              <w:numPr>
                <w:ilvl w:val="12"/>
                <w:numId w:val="0"/>
              </w:numPr>
              <w:tabs>
                <w:tab w:val="left" w:pos="-2268"/>
              </w:tabs>
              <w:suppressAutoHyphens/>
              <w:rPr>
                <w:rFonts w:cs="Arial"/>
                <w:spacing w:val="-3"/>
                <w:sz w:val="20"/>
                <w:szCs w:val="20"/>
              </w:rPr>
            </w:pPr>
            <w:r w:rsidRPr="00BD1319">
              <w:rPr>
                <w:rFonts w:cs="Arial"/>
                <w:spacing w:val="-3"/>
                <w:sz w:val="20"/>
                <w:szCs w:val="20"/>
              </w:rPr>
              <w:t>https://observatoriojuventud.javeriana.edu.co/</w:t>
            </w:r>
          </w:p>
        </w:tc>
      </w:tr>
      <w:tr w:rsidR="00C17EC2" w:rsidRPr="00BD1319" w14:paraId="05EC21D2" w14:textId="77777777" w:rsidTr="00C17EC2">
        <w:trPr>
          <w:trHeight w:hRule="exact" w:val="567"/>
        </w:trPr>
        <w:tc>
          <w:tcPr>
            <w:tcW w:w="4361" w:type="dxa"/>
            <w:vAlign w:val="center"/>
            <w:hideMark/>
          </w:tcPr>
          <w:p w14:paraId="1AA67025" w14:textId="77777777" w:rsidR="00C17EC2" w:rsidRPr="00BD1319" w:rsidRDefault="00C17EC2" w:rsidP="005E527C">
            <w:pPr>
              <w:numPr>
                <w:ilvl w:val="12"/>
                <w:numId w:val="0"/>
              </w:numPr>
              <w:tabs>
                <w:tab w:val="left" w:pos="-2268"/>
              </w:tabs>
              <w:suppressAutoHyphens/>
              <w:rPr>
                <w:rFonts w:cs="Arial"/>
                <w:spacing w:val="-3"/>
                <w:sz w:val="20"/>
                <w:szCs w:val="20"/>
              </w:rPr>
            </w:pPr>
            <w:proofErr w:type="spellStart"/>
            <w:r w:rsidRPr="00BD1319">
              <w:rPr>
                <w:rFonts w:cs="Arial"/>
                <w:spacing w:val="-3"/>
                <w:sz w:val="20"/>
                <w:szCs w:val="20"/>
              </w:rPr>
              <w:t>Ocean</w:t>
            </w:r>
            <w:proofErr w:type="spellEnd"/>
            <w:r w:rsidRPr="00BD1319">
              <w:rPr>
                <w:rFonts w:cs="Arial"/>
                <w:spacing w:val="-3"/>
                <w:sz w:val="20"/>
                <w:szCs w:val="20"/>
              </w:rPr>
              <w:t xml:space="preserve"> </w:t>
            </w:r>
            <w:proofErr w:type="spellStart"/>
            <w:r w:rsidRPr="00BD1319">
              <w:rPr>
                <w:rFonts w:cs="Arial"/>
                <w:spacing w:val="-3"/>
                <w:sz w:val="20"/>
                <w:szCs w:val="20"/>
              </w:rPr>
              <w:t>biodiversity</w:t>
            </w:r>
            <w:proofErr w:type="spellEnd"/>
            <w:r w:rsidRPr="00BD1319">
              <w:rPr>
                <w:rFonts w:cs="Arial"/>
                <w:spacing w:val="-3"/>
                <w:sz w:val="20"/>
                <w:szCs w:val="20"/>
              </w:rPr>
              <w:t xml:space="preserve"> </w:t>
            </w:r>
            <w:proofErr w:type="spellStart"/>
            <w:r w:rsidRPr="00BD1319">
              <w:rPr>
                <w:rFonts w:cs="Arial"/>
                <w:spacing w:val="-3"/>
                <w:sz w:val="20"/>
                <w:szCs w:val="20"/>
              </w:rPr>
              <w:t>information</w:t>
            </w:r>
            <w:proofErr w:type="spellEnd"/>
            <w:r w:rsidRPr="00BD1319">
              <w:rPr>
                <w:rFonts w:cs="Arial"/>
                <w:spacing w:val="-3"/>
                <w:sz w:val="20"/>
                <w:szCs w:val="20"/>
              </w:rPr>
              <w:t xml:space="preserve"> </w:t>
            </w:r>
            <w:proofErr w:type="spellStart"/>
            <w:r w:rsidRPr="00BD1319">
              <w:rPr>
                <w:rFonts w:cs="Arial"/>
                <w:spacing w:val="-3"/>
                <w:sz w:val="20"/>
                <w:szCs w:val="20"/>
              </w:rPr>
              <w:t>system</w:t>
            </w:r>
            <w:proofErr w:type="spellEnd"/>
          </w:p>
        </w:tc>
        <w:tc>
          <w:tcPr>
            <w:tcW w:w="5262" w:type="dxa"/>
            <w:vAlign w:val="center"/>
            <w:hideMark/>
          </w:tcPr>
          <w:p w14:paraId="7E28FFD9" w14:textId="77777777" w:rsidR="00C17EC2" w:rsidRPr="00BD1319" w:rsidRDefault="00C17EC2" w:rsidP="005E527C">
            <w:pPr>
              <w:numPr>
                <w:ilvl w:val="12"/>
                <w:numId w:val="0"/>
              </w:numPr>
              <w:tabs>
                <w:tab w:val="left" w:pos="-2268"/>
              </w:tabs>
              <w:suppressAutoHyphens/>
              <w:rPr>
                <w:rFonts w:cs="Arial"/>
                <w:spacing w:val="-3"/>
                <w:sz w:val="20"/>
                <w:szCs w:val="20"/>
                <w:u w:val="single"/>
              </w:rPr>
            </w:pPr>
            <w:r w:rsidRPr="00BD1319">
              <w:rPr>
                <w:rFonts w:cs="Arial"/>
                <w:sz w:val="20"/>
                <w:szCs w:val="20"/>
              </w:rPr>
              <w:t>https://obis.org/</w:t>
            </w:r>
          </w:p>
        </w:tc>
      </w:tr>
      <w:tr w:rsidR="00C17EC2" w:rsidRPr="00BD1319" w14:paraId="4CBE0AF2" w14:textId="77777777" w:rsidTr="00C17EC2">
        <w:trPr>
          <w:trHeight w:hRule="exact" w:val="567"/>
        </w:trPr>
        <w:tc>
          <w:tcPr>
            <w:tcW w:w="4361" w:type="dxa"/>
            <w:vAlign w:val="center"/>
            <w:hideMark/>
          </w:tcPr>
          <w:p w14:paraId="4EDA1DAD" w14:textId="77777777" w:rsidR="00C17EC2" w:rsidRPr="00BD1319" w:rsidRDefault="00C17EC2" w:rsidP="005E527C">
            <w:pPr>
              <w:numPr>
                <w:ilvl w:val="12"/>
                <w:numId w:val="0"/>
              </w:numPr>
              <w:tabs>
                <w:tab w:val="left" w:pos="-2268"/>
              </w:tabs>
              <w:suppressAutoHyphens/>
              <w:rPr>
                <w:rFonts w:cs="Arial"/>
                <w:spacing w:val="-3"/>
                <w:sz w:val="20"/>
                <w:szCs w:val="20"/>
              </w:rPr>
            </w:pPr>
            <w:r w:rsidRPr="00BD1319">
              <w:rPr>
                <w:rFonts w:cs="Arial"/>
                <w:spacing w:val="-3"/>
                <w:sz w:val="20"/>
                <w:szCs w:val="20"/>
              </w:rPr>
              <w:t>Organización de las Naciones Unidas para la Alimentación y la Agricultura (FAO)</w:t>
            </w:r>
          </w:p>
        </w:tc>
        <w:tc>
          <w:tcPr>
            <w:tcW w:w="5262" w:type="dxa"/>
            <w:vAlign w:val="center"/>
            <w:hideMark/>
          </w:tcPr>
          <w:p w14:paraId="20B14C04" w14:textId="77777777" w:rsidR="00C17EC2" w:rsidRPr="00BD1319" w:rsidRDefault="00C17EC2" w:rsidP="005E527C">
            <w:pPr>
              <w:numPr>
                <w:ilvl w:val="12"/>
                <w:numId w:val="0"/>
              </w:numPr>
              <w:tabs>
                <w:tab w:val="left" w:pos="-2268"/>
              </w:tabs>
              <w:suppressAutoHyphens/>
              <w:rPr>
                <w:rFonts w:cs="Arial"/>
                <w:spacing w:val="-3"/>
                <w:sz w:val="20"/>
                <w:szCs w:val="20"/>
                <w:u w:val="single"/>
              </w:rPr>
            </w:pPr>
            <w:r w:rsidRPr="00BD1319">
              <w:rPr>
                <w:rFonts w:cs="Arial"/>
                <w:sz w:val="20"/>
                <w:szCs w:val="20"/>
              </w:rPr>
              <w:t>http://www.fao.org/home/en/</w:t>
            </w:r>
          </w:p>
        </w:tc>
      </w:tr>
      <w:tr w:rsidR="00C17EC2" w:rsidRPr="00BD1319" w14:paraId="315CF44E" w14:textId="77777777" w:rsidTr="00C17EC2">
        <w:trPr>
          <w:trHeight w:hRule="exact" w:val="567"/>
        </w:trPr>
        <w:tc>
          <w:tcPr>
            <w:tcW w:w="4361" w:type="dxa"/>
            <w:vAlign w:val="center"/>
            <w:hideMark/>
          </w:tcPr>
          <w:p w14:paraId="31B6C96C" w14:textId="77777777" w:rsidR="00C17EC2" w:rsidRPr="00BD1319" w:rsidRDefault="00C17EC2" w:rsidP="005E527C">
            <w:pPr>
              <w:numPr>
                <w:ilvl w:val="12"/>
                <w:numId w:val="0"/>
              </w:numPr>
              <w:tabs>
                <w:tab w:val="left" w:pos="-2268"/>
              </w:tabs>
              <w:suppressAutoHyphens/>
              <w:rPr>
                <w:rFonts w:cs="Arial"/>
                <w:spacing w:val="-3"/>
                <w:sz w:val="20"/>
                <w:szCs w:val="20"/>
              </w:rPr>
            </w:pPr>
            <w:r w:rsidRPr="00BD1319">
              <w:rPr>
                <w:rFonts w:cs="Arial"/>
                <w:spacing w:val="-3"/>
                <w:sz w:val="20"/>
                <w:szCs w:val="20"/>
              </w:rPr>
              <w:t>Organización de las Naciones Unidas para la Educación, la Ciencia y la Cultura (UNESCO)</w:t>
            </w:r>
          </w:p>
        </w:tc>
        <w:tc>
          <w:tcPr>
            <w:tcW w:w="5262" w:type="dxa"/>
            <w:vAlign w:val="center"/>
            <w:hideMark/>
          </w:tcPr>
          <w:p w14:paraId="4C59F01A" w14:textId="77777777" w:rsidR="00C17EC2" w:rsidRPr="00BD1319" w:rsidRDefault="00C17EC2" w:rsidP="005E527C">
            <w:pPr>
              <w:numPr>
                <w:ilvl w:val="12"/>
                <w:numId w:val="0"/>
              </w:numPr>
              <w:tabs>
                <w:tab w:val="left" w:pos="-2268"/>
              </w:tabs>
              <w:suppressAutoHyphens/>
              <w:rPr>
                <w:rFonts w:cs="Arial"/>
                <w:spacing w:val="-3"/>
                <w:sz w:val="20"/>
                <w:szCs w:val="20"/>
                <w:u w:val="single"/>
              </w:rPr>
            </w:pPr>
            <w:r w:rsidRPr="00BD1319">
              <w:rPr>
                <w:rFonts w:cs="Arial"/>
                <w:sz w:val="20"/>
                <w:szCs w:val="20"/>
              </w:rPr>
              <w:t>https://es.unesco.org/</w:t>
            </w:r>
          </w:p>
        </w:tc>
      </w:tr>
      <w:tr w:rsidR="00C17EC2" w:rsidRPr="00BD1319" w14:paraId="6A12ED9C" w14:textId="77777777" w:rsidTr="00C17EC2">
        <w:trPr>
          <w:trHeight w:hRule="exact" w:val="567"/>
        </w:trPr>
        <w:tc>
          <w:tcPr>
            <w:tcW w:w="4361" w:type="dxa"/>
            <w:vAlign w:val="center"/>
          </w:tcPr>
          <w:p w14:paraId="56152C87" w14:textId="77777777" w:rsidR="00C17EC2" w:rsidRPr="00BD1319" w:rsidRDefault="00C17EC2" w:rsidP="005E527C">
            <w:pPr>
              <w:numPr>
                <w:ilvl w:val="12"/>
                <w:numId w:val="0"/>
              </w:numPr>
              <w:tabs>
                <w:tab w:val="left" w:pos="-2268"/>
              </w:tabs>
              <w:suppressAutoHyphens/>
              <w:rPr>
                <w:rFonts w:cs="Arial"/>
                <w:spacing w:val="-3"/>
                <w:sz w:val="20"/>
                <w:szCs w:val="20"/>
              </w:rPr>
            </w:pPr>
            <w:r w:rsidRPr="00BD1319">
              <w:rPr>
                <w:rFonts w:cs="Arial"/>
                <w:spacing w:val="-3"/>
                <w:sz w:val="20"/>
                <w:szCs w:val="20"/>
              </w:rPr>
              <w:t>Organización Internacional del Trabajo (OIT)</w:t>
            </w:r>
          </w:p>
        </w:tc>
        <w:tc>
          <w:tcPr>
            <w:tcW w:w="5262" w:type="dxa"/>
            <w:vAlign w:val="center"/>
          </w:tcPr>
          <w:p w14:paraId="055A08DE" w14:textId="77777777" w:rsidR="00C17EC2" w:rsidRPr="00BD1319" w:rsidRDefault="00C17EC2" w:rsidP="005E527C">
            <w:pPr>
              <w:numPr>
                <w:ilvl w:val="12"/>
                <w:numId w:val="0"/>
              </w:numPr>
              <w:tabs>
                <w:tab w:val="left" w:pos="-2268"/>
              </w:tabs>
              <w:suppressAutoHyphens/>
              <w:rPr>
                <w:rStyle w:val="Hipervnculo"/>
                <w:rFonts w:cs="Arial"/>
                <w:spacing w:val="-3"/>
                <w:sz w:val="20"/>
                <w:szCs w:val="20"/>
              </w:rPr>
            </w:pPr>
            <w:r w:rsidRPr="00BD1319">
              <w:rPr>
                <w:rFonts w:cs="Arial"/>
                <w:sz w:val="20"/>
                <w:szCs w:val="20"/>
              </w:rPr>
              <w:t>https://www.ilo.org/global/lang--es/index.htm</w:t>
            </w:r>
          </w:p>
        </w:tc>
      </w:tr>
      <w:tr w:rsidR="00C17EC2" w:rsidRPr="00BD1319" w14:paraId="33AD00CD" w14:textId="77777777" w:rsidTr="00C17EC2">
        <w:trPr>
          <w:trHeight w:hRule="exact" w:val="567"/>
        </w:trPr>
        <w:tc>
          <w:tcPr>
            <w:tcW w:w="4361" w:type="dxa"/>
            <w:vAlign w:val="center"/>
            <w:hideMark/>
          </w:tcPr>
          <w:p w14:paraId="73326604" w14:textId="77777777" w:rsidR="00C17EC2" w:rsidRPr="00BD1319" w:rsidRDefault="00C17EC2" w:rsidP="005E527C">
            <w:pPr>
              <w:numPr>
                <w:ilvl w:val="12"/>
                <w:numId w:val="0"/>
              </w:numPr>
              <w:tabs>
                <w:tab w:val="left" w:pos="-2268"/>
              </w:tabs>
              <w:suppressAutoHyphens/>
              <w:rPr>
                <w:rFonts w:cs="Arial"/>
                <w:spacing w:val="-3"/>
                <w:sz w:val="20"/>
                <w:szCs w:val="20"/>
              </w:rPr>
            </w:pPr>
            <w:r w:rsidRPr="00BD1319">
              <w:rPr>
                <w:rFonts w:cs="Arial"/>
                <w:spacing w:val="-3"/>
                <w:sz w:val="20"/>
                <w:szCs w:val="20"/>
              </w:rPr>
              <w:t>Parques Nacionales Naturales de Colombia (PNN)</w:t>
            </w:r>
          </w:p>
        </w:tc>
        <w:tc>
          <w:tcPr>
            <w:tcW w:w="5262" w:type="dxa"/>
            <w:vAlign w:val="center"/>
            <w:hideMark/>
          </w:tcPr>
          <w:p w14:paraId="6F809A51" w14:textId="77777777" w:rsidR="00C17EC2" w:rsidRPr="00BD1319" w:rsidRDefault="00C17EC2" w:rsidP="005E527C">
            <w:pPr>
              <w:numPr>
                <w:ilvl w:val="12"/>
                <w:numId w:val="0"/>
              </w:numPr>
              <w:tabs>
                <w:tab w:val="left" w:pos="-2268"/>
              </w:tabs>
              <w:suppressAutoHyphens/>
              <w:rPr>
                <w:rFonts w:cs="Arial"/>
                <w:spacing w:val="-3"/>
                <w:sz w:val="20"/>
                <w:szCs w:val="20"/>
                <w:u w:val="single"/>
              </w:rPr>
            </w:pPr>
            <w:r w:rsidRPr="00BD1319">
              <w:rPr>
                <w:rFonts w:cs="Arial"/>
                <w:sz w:val="20"/>
                <w:szCs w:val="20"/>
              </w:rPr>
              <w:t>https://www.parquesnacionales.gov.co/portal/es/</w:t>
            </w:r>
          </w:p>
        </w:tc>
      </w:tr>
      <w:tr w:rsidR="00C17EC2" w:rsidRPr="00017D31" w14:paraId="4A8EC144" w14:textId="77777777" w:rsidTr="00C17EC2">
        <w:trPr>
          <w:trHeight w:hRule="exact" w:val="798"/>
        </w:trPr>
        <w:tc>
          <w:tcPr>
            <w:tcW w:w="4361" w:type="dxa"/>
            <w:vAlign w:val="center"/>
            <w:hideMark/>
          </w:tcPr>
          <w:p w14:paraId="0F047731" w14:textId="77777777" w:rsidR="00C17EC2" w:rsidRPr="00BD1319" w:rsidRDefault="00C17EC2" w:rsidP="005E527C">
            <w:pPr>
              <w:numPr>
                <w:ilvl w:val="12"/>
                <w:numId w:val="0"/>
              </w:numPr>
              <w:tabs>
                <w:tab w:val="left" w:pos="-2268"/>
              </w:tabs>
              <w:suppressAutoHyphens/>
              <w:rPr>
                <w:rFonts w:cs="Arial"/>
                <w:spacing w:val="-3"/>
                <w:sz w:val="20"/>
                <w:szCs w:val="20"/>
                <w:lang w:val="en-US"/>
              </w:rPr>
            </w:pPr>
            <w:r w:rsidRPr="00BD1319">
              <w:rPr>
                <w:rFonts w:cs="Arial"/>
                <w:spacing w:val="-3"/>
                <w:sz w:val="20"/>
                <w:szCs w:val="20"/>
                <w:lang w:val="en-US"/>
              </w:rPr>
              <w:t xml:space="preserve">Rapid bioassessment protocols for use in streams and </w:t>
            </w:r>
            <w:proofErr w:type="spellStart"/>
            <w:r w:rsidRPr="00BD1319">
              <w:rPr>
                <w:rFonts w:cs="Arial"/>
                <w:spacing w:val="-3"/>
                <w:sz w:val="20"/>
                <w:szCs w:val="20"/>
                <w:lang w:val="en-US"/>
              </w:rPr>
              <w:t>wadeable</w:t>
            </w:r>
            <w:proofErr w:type="spellEnd"/>
            <w:r w:rsidRPr="00BD1319">
              <w:rPr>
                <w:rFonts w:cs="Arial"/>
                <w:spacing w:val="-3"/>
                <w:sz w:val="20"/>
                <w:szCs w:val="20"/>
                <w:lang w:val="en-US"/>
              </w:rPr>
              <w:t xml:space="preserve"> rivers: periphyton, benthic macroinvertebrates, and fish</w:t>
            </w:r>
          </w:p>
        </w:tc>
        <w:tc>
          <w:tcPr>
            <w:tcW w:w="5262" w:type="dxa"/>
            <w:vAlign w:val="center"/>
            <w:hideMark/>
          </w:tcPr>
          <w:p w14:paraId="395D478D" w14:textId="77777777" w:rsidR="00C17EC2" w:rsidRPr="00BD1319" w:rsidRDefault="00C17EC2" w:rsidP="005E527C">
            <w:pPr>
              <w:numPr>
                <w:ilvl w:val="12"/>
                <w:numId w:val="0"/>
              </w:numPr>
              <w:tabs>
                <w:tab w:val="left" w:pos="-2268"/>
              </w:tabs>
              <w:suppressAutoHyphens/>
              <w:rPr>
                <w:rFonts w:cs="Arial"/>
                <w:spacing w:val="-3"/>
                <w:sz w:val="20"/>
                <w:szCs w:val="20"/>
                <w:u w:val="single"/>
                <w:lang w:val="en-US"/>
              </w:rPr>
            </w:pPr>
            <w:r w:rsidRPr="00BD1319">
              <w:rPr>
                <w:rFonts w:cs="Arial"/>
                <w:sz w:val="20"/>
                <w:szCs w:val="20"/>
                <w:lang w:val="en-US"/>
              </w:rPr>
              <w:t>https://www.epa.gov/wqc/rapid-bioassessment-protocols-use-streams-and-wadeable-rivers-periphyton-benthic</w:t>
            </w:r>
          </w:p>
        </w:tc>
      </w:tr>
      <w:tr w:rsidR="00C17EC2" w:rsidRPr="00BD1319" w14:paraId="01CF8CF1" w14:textId="77777777" w:rsidTr="00C17EC2">
        <w:trPr>
          <w:trHeight w:hRule="exact" w:val="567"/>
        </w:trPr>
        <w:tc>
          <w:tcPr>
            <w:tcW w:w="4361" w:type="dxa"/>
            <w:vAlign w:val="center"/>
            <w:hideMark/>
          </w:tcPr>
          <w:p w14:paraId="61992DC2" w14:textId="77777777" w:rsidR="00C17EC2" w:rsidRPr="00BD1319" w:rsidRDefault="00C17EC2" w:rsidP="005E527C">
            <w:pPr>
              <w:numPr>
                <w:ilvl w:val="12"/>
                <w:numId w:val="0"/>
              </w:numPr>
              <w:tabs>
                <w:tab w:val="left" w:pos="-2268"/>
              </w:tabs>
              <w:suppressAutoHyphens/>
              <w:rPr>
                <w:rFonts w:cs="Arial"/>
                <w:spacing w:val="-3"/>
                <w:sz w:val="20"/>
                <w:szCs w:val="20"/>
              </w:rPr>
            </w:pPr>
            <w:r w:rsidRPr="00BD1319">
              <w:rPr>
                <w:rFonts w:cs="Arial"/>
                <w:spacing w:val="-3"/>
                <w:sz w:val="20"/>
                <w:szCs w:val="20"/>
              </w:rPr>
              <w:t>Red de datos e información oceanográfica</w:t>
            </w:r>
          </w:p>
        </w:tc>
        <w:tc>
          <w:tcPr>
            <w:tcW w:w="5262" w:type="dxa"/>
            <w:vAlign w:val="center"/>
            <w:hideMark/>
          </w:tcPr>
          <w:p w14:paraId="4C7D666F" w14:textId="77777777" w:rsidR="00C17EC2" w:rsidRPr="00BD1319" w:rsidRDefault="00C17EC2" w:rsidP="005E527C">
            <w:pPr>
              <w:numPr>
                <w:ilvl w:val="12"/>
                <w:numId w:val="0"/>
              </w:numPr>
              <w:tabs>
                <w:tab w:val="left" w:pos="-2268"/>
              </w:tabs>
              <w:suppressAutoHyphens/>
              <w:rPr>
                <w:rFonts w:cs="Arial"/>
                <w:spacing w:val="-3"/>
                <w:sz w:val="20"/>
                <w:szCs w:val="20"/>
                <w:u w:val="single"/>
              </w:rPr>
            </w:pPr>
            <w:r w:rsidRPr="00BD1319">
              <w:rPr>
                <w:rFonts w:cs="Arial"/>
                <w:sz w:val="20"/>
                <w:szCs w:val="20"/>
              </w:rPr>
              <w:t>http://odincarsa.iode.org/</w:t>
            </w:r>
          </w:p>
        </w:tc>
      </w:tr>
      <w:tr w:rsidR="00C17EC2" w:rsidRPr="00BD1319" w14:paraId="55D16CED" w14:textId="77777777" w:rsidTr="00C17EC2">
        <w:trPr>
          <w:trHeight w:hRule="exact" w:val="567"/>
        </w:trPr>
        <w:tc>
          <w:tcPr>
            <w:tcW w:w="4361" w:type="dxa"/>
            <w:vAlign w:val="center"/>
            <w:hideMark/>
          </w:tcPr>
          <w:p w14:paraId="125E9A26" w14:textId="77777777" w:rsidR="00C17EC2" w:rsidRPr="00BD1319" w:rsidRDefault="00C17EC2" w:rsidP="005E527C">
            <w:pPr>
              <w:numPr>
                <w:ilvl w:val="12"/>
                <w:numId w:val="0"/>
              </w:numPr>
              <w:tabs>
                <w:tab w:val="left" w:pos="-2268"/>
              </w:tabs>
              <w:suppressAutoHyphens/>
              <w:rPr>
                <w:rFonts w:cs="Arial"/>
                <w:spacing w:val="-3"/>
                <w:sz w:val="20"/>
                <w:szCs w:val="20"/>
              </w:rPr>
            </w:pPr>
            <w:r w:rsidRPr="00BD1319">
              <w:rPr>
                <w:rFonts w:cs="Arial"/>
                <w:spacing w:val="-3"/>
                <w:sz w:val="20"/>
                <w:szCs w:val="20"/>
              </w:rPr>
              <w:t>Servicio Geológico Colombiano (SGC)</w:t>
            </w:r>
          </w:p>
        </w:tc>
        <w:tc>
          <w:tcPr>
            <w:tcW w:w="5262" w:type="dxa"/>
            <w:vAlign w:val="center"/>
            <w:hideMark/>
          </w:tcPr>
          <w:p w14:paraId="524C57CE" w14:textId="77777777" w:rsidR="00C17EC2" w:rsidRPr="00BD1319" w:rsidRDefault="00C17EC2" w:rsidP="005E527C">
            <w:pPr>
              <w:numPr>
                <w:ilvl w:val="12"/>
                <w:numId w:val="0"/>
              </w:numPr>
              <w:tabs>
                <w:tab w:val="left" w:pos="-2268"/>
              </w:tabs>
              <w:suppressAutoHyphens/>
              <w:rPr>
                <w:rFonts w:cs="Arial"/>
                <w:spacing w:val="-3"/>
                <w:sz w:val="20"/>
                <w:szCs w:val="20"/>
                <w:u w:val="single"/>
              </w:rPr>
            </w:pPr>
            <w:r w:rsidRPr="00BD1319">
              <w:rPr>
                <w:rFonts w:cs="Arial"/>
                <w:sz w:val="20"/>
                <w:szCs w:val="20"/>
              </w:rPr>
              <w:t>https://www.sgc.gov.co/</w:t>
            </w:r>
          </w:p>
        </w:tc>
      </w:tr>
      <w:tr w:rsidR="00C17EC2" w:rsidRPr="00BD1319" w14:paraId="77AF9A4F" w14:textId="77777777" w:rsidTr="00C17EC2">
        <w:trPr>
          <w:trHeight w:hRule="exact" w:val="567"/>
        </w:trPr>
        <w:tc>
          <w:tcPr>
            <w:tcW w:w="4361" w:type="dxa"/>
            <w:vAlign w:val="center"/>
            <w:hideMark/>
          </w:tcPr>
          <w:p w14:paraId="5E4C99EF" w14:textId="77777777" w:rsidR="00C17EC2" w:rsidRPr="00BD1319" w:rsidRDefault="00C17EC2" w:rsidP="005E527C">
            <w:pPr>
              <w:numPr>
                <w:ilvl w:val="12"/>
                <w:numId w:val="0"/>
              </w:numPr>
              <w:tabs>
                <w:tab w:val="left" w:pos="-2268"/>
              </w:tabs>
              <w:suppressAutoHyphens/>
              <w:rPr>
                <w:rFonts w:cs="Arial"/>
                <w:spacing w:val="-3"/>
                <w:sz w:val="20"/>
                <w:szCs w:val="20"/>
              </w:rPr>
            </w:pPr>
            <w:r w:rsidRPr="00BD1319">
              <w:rPr>
                <w:rFonts w:cs="Arial"/>
                <w:spacing w:val="-3"/>
                <w:sz w:val="20"/>
                <w:szCs w:val="20"/>
              </w:rPr>
              <w:t>Sistema de información ambiental marina</w:t>
            </w:r>
          </w:p>
        </w:tc>
        <w:tc>
          <w:tcPr>
            <w:tcW w:w="5262" w:type="dxa"/>
            <w:vAlign w:val="center"/>
            <w:hideMark/>
          </w:tcPr>
          <w:p w14:paraId="3BBA5DDC" w14:textId="77777777" w:rsidR="00C17EC2" w:rsidRPr="00BD1319" w:rsidRDefault="00C17EC2" w:rsidP="005E527C">
            <w:pPr>
              <w:numPr>
                <w:ilvl w:val="12"/>
                <w:numId w:val="0"/>
              </w:numPr>
              <w:tabs>
                <w:tab w:val="left" w:pos="-2268"/>
              </w:tabs>
              <w:suppressAutoHyphens/>
              <w:rPr>
                <w:rFonts w:cs="Arial"/>
                <w:spacing w:val="-3"/>
                <w:sz w:val="20"/>
                <w:szCs w:val="20"/>
                <w:u w:val="single"/>
              </w:rPr>
            </w:pPr>
            <w:r w:rsidRPr="00BD1319">
              <w:rPr>
                <w:rFonts w:cs="Arial"/>
                <w:sz w:val="20"/>
                <w:szCs w:val="20"/>
              </w:rPr>
              <w:t>https://siam.invemar.org.co/</w:t>
            </w:r>
          </w:p>
        </w:tc>
      </w:tr>
      <w:tr w:rsidR="00C17EC2" w:rsidRPr="00BD1319" w14:paraId="7C72B830" w14:textId="77777777" w:rsidTr="00C17EC2">
        <w:trPr>
          <w:trHeight w:hRule="exact" w:val="567"/>
        </w:trPr>
        <w:tc>
          <w:tcPr>
            <w:tcW w:w="4361" w:type="dxa"/>
            <w:vAlign w:val="center"/>
            <w:hideMark/>
          </w:tcPr>
          <w:p w14:paraId="26BFBD4A" w14:textId="77777777" w:rsidR="00C17EC2" w:rsidRPr="00BD1319" w:rsidRDefault="00C17EC2" w:rsidP="005E527C">
            <w:pPr>
              <w:numPr>
                <w:ilvl w:val="12"/>
                <w:numId w:val="0"/>
              </w:numPr>
              <w:tabs>
                <w:tab w:val="left" w:pos="-2268"/>
              </w:tabs>
              <w:suppressAutoHyphens/>
              <w:rPr>
                <w:rFonts w:cs="Arial"/>
                <w:spacing w:val="-3"/>
                <w:sz w:val="20"/>
                <w:szCs w:val="20"/>
              </w:rPr>
            </w:pPr>
            <w:r w:rsidRPr="00BD1319">
              <w:rPr>
                <w:rFonts w:cs="Arial"/>
                <w:spacing w:val="-3"/>
                <w:sz w:val="20"/>
                <w:szCs w:val="20"/>
              </w:rPr>
              <w:t>Sistema de Información Ambiental para Colombia (SIAC)</w:t>
            </w:r>
          </w:p>
        </w:tc>
        <w:tc>
          <w:tcPr>
            <w:tcW w:w="5262" w:type="dxa"/>
            <w:vAlign w:val="center"/>
            <w:hideMark/>
          </w:tcPr>
          <w:p w14:paraId="24CD8BA3" w14:textId="77777777" w:rsidR="00C17EC2" w:rsidRPr="00BD1319" w:rsidRDefault="00C17EC2" w:rsidP="005E527C">
            <w:pPr>
              <w:numPr>
                <w:ilvl w:val="12"/>
                <w:numId w:val="0"/>
              </w:numPr>
              <w:tabs>
                <w:tab w:val="left" w:pos="-2268"/>
              </w:tabs>
              <w:suppressAutoHyphens/>
              <w:rPr>
                <w:rFonts w:cs="Arial"/>
                <w:spacing w:val="-3"/>
                <w:sz w:val="20"/>
                <w:szCs w:val="20"/>
                <w:u w:val="single"/>
              </w:rPr>
            </w:pPr>
            <w:r w:rsidRPr="00BD1319">
              <w:rPr>
                <w:rFonts w:cs="Arial"/>
                <w:sz w:val="20"/>
                <w:szCs w:val="20"/>
              </w:rPr>
              <w:t>http://www.siac.gov.co/</w:t>
            </w:r>
          </w:p>
        </w:tc>
      </w:tr>
      <w:tr w:rsidR="00C17EC2" w:rsidRPr="00BD1319" w14:paraId="728CF43B" w14:textId="77777777" w:rsidTr="00C17EC2">
        <w:trPr>
          <w:trHeight w:hRule="exact" w:val="567"/>
        </w:trPr>
        <w:tc>
          <w:tcPr>
            <w:tcW w:w="4361" w:type="dxa"/>
            <w:vAlign w:val="center"/>
            <w:hideMark/>
          </w:tcPr>
          <w:p w14:paraId="581110AF" w14:textId="77777777" w:rsidR="00C17EC2" w:rsidRPr="00BD1319" w:rsidRDefault="00C17EC2" w:rsidP="005E527C">
            <w:pPr>
              <w:numPr>
                <w:ilvl w:val="12"/>
                <w:numId w:val="0"/>
              </w:numPr>
              <w:tabs>
                <w:tab w:val="left" w:pos="-2268"/>
              </w:tabs>
              <w:suppressAutoHyphens/>
              <w:rPr>
                <w:rFonts w:cs="Arial"/>
                <w:spacing w:val="-3"/>
                <w:sz w:val="20"/>
                <w:szCs w:val="20"/>
              </w:rPr>
            </w:pPr>
            <w:r w:rsidRPr="00BD1319">
              <w:rPr>
                <w:rFonts w:cs="Arial"/>
                <w:spacing w:val="-3"/>
                <w:sz w:val="20"/>
                <w:szCs w:val="20"/>
              </w:rPr>
              <w:t>Sistema de información de alertas tempranas</w:t>
            </w:r>
          </w:p>
        </w:tc>
        <w:tc>
          <w:tcPr>
            <w:tcW w:w="5262" w:type="dxa"/>
            <w:vAlign w:val="center"/>
            <w:hideMark/>
          </w:tcPr>
          <w:p w14:paraId="21B9DE2C" w14:textId="77777777" w:rsidR="00C17EC2" w:rsidRPr="00BD1319" w:rsidRDefault="00C17EC2" w:rsidP="005E527C">
            <w:pPr>
              <w:numPr>
                <w:ilvl w:val="12"/>
                <w:numId w:val="0"/>
              </w:numPr>
              <w:tabs>
                <w:tab w:val="left" w:pos="-2268"/>
              </w:tabs>
              <w:suppressAutoHyphens/>
              <w:rPr>
                <w:rFonts w:cs="Arial"/>
                <w:spacing w:val="-3"/>
                <w:sz w:val="20"/>
                <w:szCs w:val="20"/>
                <w:u w:val="single"/>
              </w:rPr>
            </w:pPr>
            <w:r w:rsidRPr="00BD1319">
              <w:rPr>
                <w:rFonts w:cs="Arial"/>
                <w:sz w:val="20"/>
                <w:szCs w:val="20"/>
              </w:rPr>
              <w:t>http://www.tremarctoscolombia.org/</w:t>
            </w:r>
          </w:p>
        </w:tc>
      </w:tr>
      <w:tr w:rsidR="00C17EC2" w:rsidRPr="00BD1319" w14:paraId="35DE9A47" w14:textId="77777777" w:rsidTr="00C17EC2">
        <w:trPr>
          <w:trHeight w:hRule="exact" w:val="567"/>
        </w:trPr>
        <w:tc>
          <w:tcPr>
            <w:tcW w:w="4361" w:type="dxa"/>
            <w:vAlign w:val="center"/>
            <w:hideMark/>
          </w:tcPr>
          <w:p w14:paraId="248268C2" w14:textId="77777777" w:rsidR="00C17EC2" w:rsidRPr="00BD1319" w:rsidRDefault="00C17EC2" w:rsidP="005E527C">
            <w:pPr>
              <w:numPr>
                <w:ilvl w:val="12"/>
                <w:numId w:val="0"/>
              </w:numPr>
              <w:tabs>
                <w:tab w:val="left" w:pos="-2268"/>
              </w:tabs>
              <w:suppressAutoHyphens/>
              <w:rPr>
                <w:rFonts w:cs="Arial"/>
                <w:spacing w:val="-3"/>
                <w:sz w:val="20"/>
                <w:szCs w:val="20"/>
              </w:rPr>
            </w:pPr>
            <w:r w:rsidRPr="00BD1319">
              <w:rPr>
                <w:rFonts w:cs="Arial"/>
                <w:spacing w:val="-3"/>
                <w:sz w:val="20"/>
                <w:szCs w:val="20"/>
              </w:rPr>
              <w:lastRenderedPageBreak/>
              <w:t>Sistema de Información Geográfica para el Ordenamiento Territorial Nacional (SIGOT)</w:t>
            </w:r>
          </w:p>
        </w:tc>
        <w:tc>
          <w:tcPr>
            <w:tcW w:w="5262" w:type="dxa"/>
            <w:vAlign w:val="center"/>
            <w:hideMark/>
          </w:tcPr>
          <w:p w14:paraId="39F98E8D" w14:textId="77777777" w:rsidR="00C17EC2" w:rsidRPr="00BD1319" w:rsidRDefault="00C17EC2" w:rsidP="005E527C">
            <w:pPr>
              <w:numPr>
                <w:ilvl w:val="12"/>
                <w:numId w:val="0"/>
              </w:numPr>
              <w:tabs>
                <w:tab w:val="left" w:pos="-2268"/>
              </w:tabs>
              <w:suppressAutoHyphens/>
              <w:rPr>
                <w:rFonts w:cs="Arial"/>
                <w:spacing w:val="-3"/>
                <w:sz w:val="20"/>
                <w:szCs w:val="20"/>
                <w:u w:val="single"/>
              </w:rPr>
            </w:pPr>
            <w:r w:rsidRPr="00BD1319">
              <w:rPr>
                <w:rFonts w:cs="Arial"/>
                <w:sz w:val="20"/>
                <w:szCs w:val="20"/>
              </w:rPr>
              <w:t>https://sigot.igac.gov.co/</w:t>
            </w:r>
          </w:p>
        </w:tc>
      </w:tr>
      <w:tr w:rsidR="00C17EC2" w:rsidRPr="00BD1319" w14:paraId="2AB519DB" w14:textId="77777777" w:rsidTr="00C17EC2">
        <w:trPr>
          <w:trHeight w:hRule="exact" w:val="567"/>
        </w:trPr>
        <w:tc>
          <w:tcPr>
            <w:tcW w:w="4361" w:type="dxa"/>
            <w:vAlign w:val="center"/>
            <w:hideMark/>
          </w:tcPr>
          <w:p w14:paraId="37D17494" w14:textId="77777777" w:rsidR="00C17EC2" w:rsidRPr="00BD1319" w:rsidRDefault="00C17EC2" w:rsidP="005E527C">
            <w:pPr>
              <w:numPr>
                <w:ilvl w:val="12"/>
                <w:numId w:val="0"/>
              </w:numPr>
              <w:tabs>
                <w:tab w:val="left" w:pos="-2268"/>
              </w:tabs>
              <w:suppressAutoHyphens/>
              <w:rPr>
                <w:rFonts w:cs="Arial"/>
                <w:spacing w:val="-3"/>
                <w:sz w:val="20"/>
                <w:szCs w:val="20"/>
              </w:rPr>
            </w:pPr>
            <w:r w:rsidRPr="00BD1319">
              <w:rPr>
                <w:rFonts w:cs="Arial"/>
                <w:spacing w:val="-3"/>
                <w:sz w:val="20"/>
                <w:szCs w:val="20"/>
              </w:rPr>
              <w:t>Sistema de información sobre Biodiversidad de Colombia (</w:t>
            </w:r>
            <w:proofErr w:type="spellStart"/>
            <w:r w:rsidRPr="00BD1319">
              <w:rPr>
                <w:rFonts w:cs="Arial"/>
                <w:spacing w:val="-3"/>
                <w:sz w:val="20"/>
                <w:szCs w:val="20"/>
              </w:rPr>
              <w:t>SiB</w:t>
            </w:r>
            <w:proofErr w:type="spellEnd"/>
            <w:r w:rsidRPr="00BD1319">
              <w:rPr>
                <w:rFonts w:cs="Arial"/>
                <w:spacing w:val="-3"/>
                <w:sz w:val="20"/>
                <w:szCs w:val="20"/>
              </w:rPr>
              <w:t xml:space="preserve"> Colombia)</w:t>
            </w:r>
          </w:p>
        </w:tc>
        <w:tc>
          <w:tcPr>
            <w:tcW w:w="5262" w:type="dxa"/>
            <w:vAlign w:val="center"/>
            <w:hideMark/>
          </w:tcPr>
          <w:p w14:paraId="797222FC" w14:textId="77777777" w:rsidR="00C17EC2" w:rsidRPr="00BD1319" w:rsidRDefault="00C17EC2" w:rsidP="005E527C">
            <w:pPr>
              <w:numPr>
                <w:ilvl w:val="12"/>
                <w:numId w:val="0"/>
              </w:numPr>
              <w:tabs>
                <w:tab w:val="left" w:pos="-2268"/>
              </w:tabs>
              <w:suppressAutoHyphens/>
              <w:rPr>
                <w:rFonts w:cs="Arial"/>
                <w:spacing w:val="-3"/>
                <w:sz w:val="20"/>
                <w:szCs w:val="20"/>
                <w:u w:val="single"/>
              </w:rPr>
            </w:pPr>
            <w:r w:rsidRPr="00BD1319">
              <w:rPr>
                <w:rFonts w:cs="Arial"/>
                <w:sz w:val="20"/>
                <w:szCs w:val="20"/>
              </w:rPr>
              <w:t>https://sibcolombia.net/</w:t>
            </w:r>
          </w:p>
        </w:tc>
      </w:tr>
      <w:tr w:rsidR="00C17EC2" w:rsidRPr="00BD1319" w14:paraId="72FAEFB2" w14:textId="77777777" w:rsidTr="00C17EC2">
        <w:trPr>
          <w:trHeight w:hRule="exact" w:val="567"/>
        </w:trPr>
        <w:tc>
          <w:tcPr>
            <w:tcW w:w="4361" w:type="dxa"/>
            <w:vAlign w:val="center"/>
            <w:hideMark/>
          </w:tcPr>
          <w:p w14:paraId="00ADA73A" w14:textId="77777777" w:rsidR="00C17EC2" w:rsidRPr="00BD1319" w:rsidRDefault="00C17EC2" w:rsidP="005E527C">
            <w:pPr>
              <w:numPr>
                <w:ilvl w:val="12"/>
                <w:numId w:val="0"/>
              </w:numPr>
              <w:tabs>
                <w:tab w:val="left" w:pos="-2268"/>
              </w:tabs>
              <w:suppressAutoHyphens/>
              <w:rPr>
                <w:rFonts w:cs="Arial"/>
                <w:spacing w:val="-3"/>
                <w:sz w:val="20"/>
                <w:szCs w:val="20"/>
              </w:rPr>
            </w:pPr>
            <w:r w:rsidRPr="00BD1319">
              <w:rPr>
                <w:rFonts w:cs="Arial"/>
                <w:spacing w:val="-3"/>
                <w:sz w:val="20"/>
                <w:szCs w:val="20"/>
              </w:rPr>
              <w:t>Sistema Nacional de Información para la Gestión del Riesgo de Desastres</w:t>
            </w:r>
          </w:p>
        </w:tc>
        <w:tc>
          <w:tcPr>
            <w:tcW w:w="5262" w:type="dxa"/>
            <w:vAlign w:val="center"/>
            <w:hideMark/>
          </w:tcPr>
          <w:p w14:paraId="20F5062F" w14:textId="77777777" w:rsidR="00C17EC2" w:rsidRPr="00BD1319" w:rsidRDefault="00C17EC2" w:rsidP="005E527C">
            <w:pPr>
              <w:numPr>
                <w:ilvl w:val="12"/>
                <w:numId w:val="0"/>
              </w:numPr>
              <w:tabs>
                <w:tab w:val="left" w:pos="-2268"/>
              </w:tabs>
              <w:suppressAutoHyphens/>
              <w:rPr>
                <w:rFonts w:cs="Arial"/>
                <w:spacing w:val="-3"/>
                <w:sz w:val="20"/>
                <w:szCs w:val="20"/>
                <w:u w:val="single"/>
              </w:rPr>
            </w:pPr>
            <w:r w:rsidRPr="00BD1319">
              <w:rPr>
                <w:rFonts w:cs="Arial"/>
                <w:sz w:val="20"/>
                <w:szCs w:val="20"/>
              </w:rPr>
              <w:t>http://www.gestiondelriesgo.gov.co/index.aspx</w:t>
            </w:r>
          </w:p>
        </w:tc>
      </w:tr>
      <w:tr w:rsidR="00C17EC2" w:rsidRPr="00BD1319" w14:paraId="5BD81905" w14:textId="77777777" w:rsidTr="00C17EC2">
        <w:trPr>
          <w:trHeight w:hRule="exact" w:val="567"/>
        </w:trPr>
        <w:tc>
          <w:tcPr>
            <w:tcW w:w="4361" w:type="dxa"/>
            <w:vAlign w:val="center"/>
            <w:hideMark/>
          </w:tcPr>
          <w:p w14:paraId="1FCA74F7" w14:textId="77777777" w:rsidR="00C17EC2" w:rsidRPr="00BD1319" w:rsidRDefault="00C17EC2" w:rsidP="005E527C">
            <w:pPr>
              <w:numPr>
                <w:ilvl w:val="12"/>
                <w:numId w:val="0"/>
              </w:numPr>
              <w:tabs>
                <w:tab w:val="left" w:pos="-2268"/>
              </w:tabs>
              <w:suppressAutoHyphens/>
              <w:rPr>
                <w:rFonts w:cs="Arial"/>
                <w:spacing w:val="-3"/>
                <w:sz w:val="20"/>
                <w:szCs w:val="20"/>
              </w:rPr>
            </w:pPr>
            <w:r w:rsidRPr="00BD1319">
              <w:rPr>
                <w:rFonts w:cs="Arial"/>
                <w:spacing w:val="-3"/>
                <w:sz w:val="20"/>
                <w:szCs w:val="20"/>
              </w:rPr>
              <w:t>Sistema para el análisis geográfico de información en el licenciamiento ambiental</w:t>
            </w:r>
          </w:p>
        </w:tc>
        <w:tc>
          <w:tcPr>
            <w:tcW w:w="5262" w:type="dxa"/>
            <w:vAlign w:val="center"/>
            <w:hideMark/>
          </w:tcPr>
          <w:p w14:paraId="34F5FC2D" w14:textId="77777777" w:rsidR="00C17EC2" w:rsidRPr="00BD1319" w:rsidRDefault="00C17EC2" w:rsidP="005E527C">
            <w:pPr>
              <w:numPr>
                <w:ilvl w:val="12"/>
                <w:numId w:val="0"/>
              </w:numPr>
              <w:tabs>
                <w:tab w:val="left" w:pos="-2268"/>
              </w:tabs>
              <w:suppressAutoHyphens/>
              <w:rPr>
                <w:rFonts w:cs="Arial"/>
                <w:spacing w:val="-3"/>
                <w:sz w:val="20"/>
                <w:szCs w:val="20"/>
                <w:u w:val="single"/>
              </w:rPr>
            </w:pPr>
            <w:r w:rsidRPr="00BD1319">
              <w:rPr>
                <w:rFonts w:cs="Arial"/>
                <w:sz w:val="20"/>
                <w:szCs w:val="20"/>
              </w:rPr>
              <w:t>http://sig.anla.gov.co/index.aspx</w:t>
            </w:r>
          </w:p>
        </w:tc>
      </w:tr>
      <w:tr w:rsidR="00C17EC2" w:rsidRPr="00BD1319" w14:paraId="25D0C254" w14:textId="77777777" w:rsidTr="00C17EC2">
        <w:trPr>
          <w:trHeight w:hRule="exact" w:val="567"/>
        </w:trPr>
        <w:tc>
          <w:tcPr>
            <w:tcW w:w="4361" w:type="dxa"/>
            <w:vAlign w:val="center"/>
            <w:hideMark/>
          </w:tcPr>
          <w:p w14:paraId="0C44CA62" w14:textId="77777777" w:rsidR="00C17EC2" w:rsidRPr="00BD1319" w:rsidRDefault="00C17EC2" w:rsidP="005E527C">
            <w:pPr>
              <w:numPr>
                <w:ilvl w:val="12"/>
                <w:numId w:val="0"/>
              </w:numPr>
              <w:tabs>
                <w:tab w:val="left" w:pos="-2268"/>
              </w:tabs>
              <w:suppressAutoHyphens/>
              <w:rPr>
                <w:rFonts w:cs="Arial"/>
                <w:spacing w:val="-3"/>
                <w:sz w:val="20"/>
                <w:szCs w:val="20"/>
                <w:lang w:val="en-US"/>
              </w:rPr>
            </w:pPr>
            <w:r w:rsidRPr="00BD1319">
              <w:rPr>
                <w:rFonts w:cs="Arial"/>
                <w:spacing w:val="-3"/>
                <w:sz w:val="20"/>
                <w:szCs w:val="20"/>
                <w:lang w:val="en-US"/>
              </w:rPr>
              <w:t>Society of Environmental Toxicology and Chemistry (SETAC)</w:t>
            </w:r>
          </w:p>
        </w:tc>
        <w:tc>
          <w:tcPr>
            <w:tcW w:w="5262" w:type="dxa"/>
            <w:vAlign w:val="center"/>
            <w:hideMark/>
          </w:tcPr>
          <w:p w14:paraId="4614C4DA" w14:textId="77777777" w:rsidR="00C17EC2" w:rsidRPr="00BD1319" w:rsidRDefault="00C17EC2" w:rsidP="005E527C">
            <w:pPr>
              <w:numPr>
                <w:ilvl w:val="12"/>
                <w:numId w:val="0"/>
              </w:numPr>
              <w:tabs>
                <w:tab w:val="left" w:pos="-2268"/>
              </w:tabs>
              <w:suppressAutoHyphens/>
              <w:rPr>
                <w:rFonts w:cs="Arial"/>
                <w:spacing w:val="-3"/>
                <w:sz w:val="20"/>
                <w:szCs w:val="20"/>
                <w:u w:val="single"/>
              </w:rPr>
            </w:pPr>
            <w:r w:rsidRPr="00BD1319">
              <w:rPr>
                <w:rFonts w:cs="Arial"/>
                <w:sz w:val="20"/>
                <w:szCs w:val="20"/>
              </w:rPr>
              <w:t>https://www.setac.org/</w:t>
            </w:r>
          </w:p>
        </w:tc>
      </w:tr>
      <w:tr w:rsidR="00C17EC2" w:rsidRPr="00BD1319" w14:paraId="2B31B9EC" w14:textId="77777777" w:rsidTr="00C17EC2">
        <w:trPr>
          <w:trHeight w:hRule="exact" w:val="567"/>
        </w:trPr>
        <w:tc>
          <w:tcPr>
            <w:tcW w:w="4361" w:type="dxa"/>
            <w:vAlign w:val="center"/>
            <w:hideMark/>
          </w:tcPr>
          <w:p w14:paraId="54BBCFE7" w14:textId="77777777" w:rsidR="00C17EC2" w:rsidRPr="00BD1319" w:rsidRDefault="00C17EC2" w:rsidP="005E527C">
            <w:pPr>
              <w:numPr>
                <w:ilvl w:val="12"/>
                <w:numId w:val="0"/>
              </w:numPr>
              <w:tabs>
                <w:tab w:val="left" w:pos="-2268"/>
              </w:tabs>
              <w:suppressAutoHyphens/>
              <w:rPr>
                <w:rFonts w:cs="Arial"/>
                <w:spacing w:val="-3"/>
                <w:sz w:val="20"/>
                <w:szCs w:val="20"/>
              </w:rPr>
            </w:pPr>
            <w:r w:rsidRPr="00BD1319">
              <w:rPr>
                <w:rFonts w:cs="Arial"/>
                <w:spacing w:val="-3"/>
                <w:sz w:val="20"/>
                <w:szCs w:val="20"/>
              </w:rPr>
              <w:t>Subsistema de Información Sobre Calidad del Aire (SISAIRE)</w:t>
            </w:r>
          </w:p>
        </w:tc>
        <w:tc>
          <w:tcPr>
            <w:tcW w:w="5262" w:type="dxa"/>
            <w:vAlign w:val="center"/>
            <w:hideMark/>
          </w:tcPr>
          <w:p w14:paraId="4423C462" w14:textId="77777777" w:rsidR="00C17EC2" w:rsidRPr="00BD1319" w:rsidRDefault="00C17EC2" w:rsidP="005E527C">
            <w:pPr>
              <w:numPr>
                <w:ilvl w:val="12"/>
                <w:numId w:val="0"/>
              </w:numPr>
              <w:tabs>
                <w:tab w:val="left" w:pos="-2268"/>
              </w:tabs>
              <w:suppressAutoHyphens/>
              <w:rPr>
                <w:rFonts w:cs="Arial"/>
                <w:spacing w:val="-3"/>
                <w:sz w:val="20"/>
                <w:szCs w:val="20"/>
                <w:u w:val="single"/>
              </w:rPr>
            </w:pPr>
            <w:r w:rsidRPr="00BD1319">
              <w:rPr>
                <w:rFonts w:cs="Arial"/>
                <w:sz w:val="20"/>
                <w:szCs w:val="20"/>
              </w:rPr>
              <w:t>http://sisaire.ideam.gov.co/ideam-sisaire-web/</w:t>
            </w:r>
          </w:p>
        </w:tc>
      </w:tr>
      <w:tr w:rsidR="00C17EC2" w:rsidRPr="00BD1319" w14:paraId="5F467D47" w14:textId="77777777" w:rsidTr="00C17EC2">
        <w:trPr>
          <w:trHeight w:hRule="exact" w:val="567"/>
        </w:trPr>
        <w:tc>
          <w:tcPr>
            <w:tcW w:w="4361" w:type="dxa"/>
            <w:vAlign w:val="center"/>
            <w:hideMark/>
          </w:tcPr>
          <w:p w14:paraId="2DB64FCD" w14:textId="77777777" w:rsidR="00C17EC2" w:rsidRPr="00BD1319" w:rsidRDefault="00C17EC2" w:rsidP="005E527C">
            <w:pPr>
              <w:numPr>
                <w:ilvl w:val="12"/>
                <w:numId w:val="0"/>
              </w:numPr>
              <w:tabs>
                <w:tab w:val="left" w:pos="-2268"/>
              </w:tabs>
              <w:suppressAutoHyphens/>
              <w:rPr>
                <w:rFonts w:cs="Arial"/>
                <w:spacing w:val="-3"/>
                <w:sz w:val="20"/>
                <w:szCs w:val="20"/>
              </w:rPr>
            </w:pPr>
            <w:r w:rsidRPr="00BD1319">
              <w:rPr>
                <w:rFonts w:cs="Arial"/>
                <w:spacing w:val="-3"/>
                <w:sz w:val="20"/>
                <w:szCs w:val="20"/>
              </w:rPr>
              <w:t>Superintendencia de transporte</w:t>
            </w:r>
          </w:p>
        </w:tc>
        <w:tc>
          <w:tcPr>
            <w:tcW w:w="5262" w:type="dxa"/>
            <w:vAlign w:val="center"/>
            <w:hideMark/>
          </w:tcPr>
          <w:p w14:paraId="462046BC" w14:textId="77777777" w:rsidR="00C17EC2" w:rsidRPr="00BD1319" w:rsidRDefault="00C17EC2" w:rsidP="005E527C">
            <w:pPr>
              <w:numPr>
                <w:ilvl w:val="12"/>
                <w:numId w:val="0"/>
              </w:numPr>
              <w:tabs>
                <w:tab w:val="left" w:pos="-2268"/>
              </w:tabs>
              <w:suppressAutoHyphens/>
              <w:rPr>
                <w:rFonts w:cs="Arial"/>
                <w:spacing w:val="-3"/>
                <w:sz w:val="20"/>
                <w:szCs w:val="20"/>
                <w:u w:val="single"/>
              </w:rPr>
            </w:pPr>
            <w:r w:rsidRPr="00BD1319">
              <w:rPr>
                <w:rFonts w:cs="Arial"/>
                <w:sz w:val="20"/>
                <w:szCs w:val="20"/>
              </w:rPr>
              <w:t>https://www.supertransporte.gov.co/</w:t>
            </w:r>
          </w:p>
        </w:tc>
      </w:tr>
      <w:tr w:rsidR="00C17EC2" w:rsidRPr="00BD1319" w14:paraId="2C801106" w14:textId="77777777" w:rsidTr="00C17EC2">
        <w:trPr>
          <w:trHeight w:hRule="exact" w:val="567"/>
        </w:trPr>
        <w:tc>
          <w:tcPr>
            <w:tcW w:w="4361" w:type="dxa"/>
            <w:vAlign w:val="center"/>
            <w:hideMark/>
          </w:tcPr>
          <w:p w14:paraId="2E40E49C" w14:textId="77777777" w:rsidR="00C17EC2" w:rsidRPr="00BD1319" w:rsidRDefault="00C17EC2" w:rsidP="005E527C">
            <w:pPr>
              <w:numPr>
                <w:ilvl w:val="12"/>
                <w:numId w:val="0"/>
              </w:numPr>
              <w:tabs>
                <w:tab w:val="left" w:pos="-2268"/>
              </w:tabs>
              <w:suppressAutoHyphens/>
              <w:rPr>
                <w:rFonts w:cs="Arial"/>
                <w:spacing w:val="-3"/>
                <w:sz w:val="20"/>
                <w:szCs w:val="20"/>
              </w:rPr>
            </w:pPr>
            <w:proofErr w:type="spellStart"/>
            <w:r w:rsidRPr="00BD1319">
              <w:rPr>
                <w:rFonts w:cs="Arial"/>
                <w:spacing w:val="-3"/>
                <w:sz w:val="20"/>
                <w:szCs w:val="20"/>
              </w:rPr>
              <w:t>The</w:t>
            </w:r>
            <w:proofErr w:type="spellEnd"/>
            <w:r w:rsidRPr="00BD1319">
              <w:rPr>
                <w:rFonts w:cs="Arial"/>
                <w:spacing w:val="-3"/>
                <w:sz w:val="20"/>
                <w:szCs w:val="20"/>
              </w:rPr>
              <w:t xml:space="preserve"> </w:t>
            </w:r>
            <w:proofErr w:type="spellStart"/>
            <w:r w:rsidRPr="00BD1319">
              <w:rPr>
                <w:rFonts w:cs="Arial"/>
                <w:spacing w:val="-3"/>
                <w:sz w:val="20"/>
                <w:szCs w:val="20"/>
              </w:rPr>
              <w:t>extension</w:t>
            </w:r>
            <w:proofErr w:type="spellEnd"/>
            <w:r w:rsidRPr="00BD1319">
              <w:rPr>
                <w:rFonts w:cs="Arial"/>
                <w:spacing w:val="-3"/>
                <w:sz w:val="20"/>
                <w:szCs w:val="20"/>
              </w:rPr>
              <w:t xml:space="preserve"> </w:t>
            </w:r>
            <w:proofErr w:type="spellStart"/>
            <w:r w:rsidRPr="00BD1319">
              <w:rPr>
                <w:rFonts w:cs="Arial"/>
                <w:spacing w:val="-3"/>
                <w:sz w:val="20"/>
                <w:szCs w:val="20"/>
              </w:rPr>
              <w:t>toxicology</w:t>
            </w:r>
            <w:proofErr w:type="spellEnd"/>
            <w:r w:rsidRPr="00BD1319">
              <w:rPr>
                <w:rFonts w:cs="Arial"/>
                <w:spacing w:val="-3"/>
                <w:sz w:val="20"/>
                <w:szCs w:val="20"/>
              </w:rPr>
              <w:t xml:space="preserve"> </w:t>
            </w:r>
            <w:proofErr w:type="spellStart"/>
            <w:r w:rsidRPr="00BD1319">
              <w:rPr>
                <w:rFonts w:cs="Arial"/>
                <w:spacing w:val="-3"/>
                <w:sz w:val="20"/>
                <w:szCs w:val="20"/>
              </w:rPr>
              <w:t>network</w:t>
            </w:r>
            <w:proofErr w:type="spellEnd"/>
          </w:p>
        </w:tc>
        <w:tc>
          <w:tcPr>
            <w:tcW w:w="5262" w:type="dxa"/>
            <w:vAlign w:val="center"/>
            <w:hideMark/>
          </w:tcPr>
          <w:p w14:paraId="0A8F0A05" w14:textId="77777777" w:rsidR="00C17EC2" w:rsidRPr="00BD1319" w:rsidRDefault="00C17EC2" w:rsidP="005E527C">
            <w:pPr>
              <w:numPr>
                <w:ilvl w:val="12"/>
                <w:numId w:val="0"/>
              </w:numPr>
              <w:tabs>
                <w:tab w:val="left" w:pos="-2268"/>
              </w:tabs>
              <w:suppressAutoHyphens/>
              <w:rPr>
                <w:rFonts w:cs="Arial"/>
                <w:spacing w:val="-3"/>
                <w:sz w:val="20"/>
                <w:szCs w:val="20"/>
                <w:u w:val="single"/>
              </w:rPr>
            </w:pPr>
            <w:r w:rsidRPr="00BD1319">
              <w:rPr>
                <w:rFonts w:cs="Arial"/>
                <w:sz w:val="20"/>
                <w:szCs w:val="20"/>
              </w:rPr>
              <w:t>http://extoxnet.orst.edu/</w:t>
            </w:r>
          </w:p>
        </w:tc>
      </w:tr>
      <w:tr w:rsidR="00C17EC2" w:rsidRPr="00BD1319" w14:paraId="1A236283" w14:textId="77777777" w:rsidTr="00C17EC2">
        <w:trPr>
          <w:trHeight w:hRule="exact" w:val="567"/>
        </w:trPr>
        <w:tc>
          <w:tcPr>
            <w:tcW w:w="4361" w:type="dxa"/>
            <w:vAlign w:val="center"/>
            <w:hideMark/>
          </w:tcPr>
          <w:p w14:paraId="4819D74A" w14:textId="77777777" w:rsidR="00C17EC2" w:rsidRPr="00BD1319" w:rsidRDefault="00C17EC2" w:rsidP="005E527C">
            <w:pPr>
              <w:numPr>
                <w:ilvl w:val="12"/>
                <w:numId w:val="0"/>
              </w:numPr>
              <w:tabs>
                <w:tab w:val="left" w:pos="-2268"/>
              </w:tabs>
              <w:suppressAutoHyphens/>
              <w:rPr>
                <w:rFonts w:cs="Arial"/>
                <w:spacing w:val="-3"/>
                <w:sz w:val="20"/>
                <w:szCs w:val="20"/>
                <w:lang w:val="en-US"/>
              </w:rPr>
            </w:pPr>
            <w:r w:rsidRPr="00BD1319">
              <w:rPr>
                <w:rFonts w:cs="Arial"/>
                <w:spacing w:val="-3"/>
                <w:sz w:val="20"/>
                <w:szCs w:val="20"/>
                <w:lang w:val="en-US"/>
              </w:rPr>
              <w:t>The international union for conservation of nature’s red list of threatened species</w:t>
            </w:r>
          </w:p>
        </w:tc>
        <w:tc>
          <w:tcPr>
            <w:tcW w:w="5262" w:type="dxa"/>
            <w:vAlign w:val="center"/>
            <w:hideMark/>
          </w:tcPr>
          <w:p w14:paraId="22650FFF" w14:textId="77777777" w:rsidR="00C17EC2" w:rsidRPr="00BD1319" w:rsidRDefault="00C17EC2" w:rsidP="005E527C">
            <w:pPr>
              <w:numPr>
                <w:ilvl w:val="12"/>
                <w:numId w:val="0"/>
              </w:numPr>
              <w:tabs>
                <w:tab w:val="left" w:pos="-2268"/>
              </w:tabs>
              <w:suppressAutoHyphens/>
              <w:rPr>
                <w:rFonts w:cs="Arial"/>
                <w:spacing w:val="-3"/>
                <w:sz w:val="20"/>
                <w:szCs w:val="20"/>
                <w:u w:val="single"/>
              </w:rPr>
            </w:pPr>
            <w:r w:rsidRPr="00BD1319">
              <w:rPr>
                <w:rFonts w:cs="Arial"/>
                <w:sz w:val="20"/>
                <w:szCs w:val="20"/>
              </w:rPr>
              <w:t>https://www.iucnredlist.org/</w:t>
            </w:r>
          </w:p>
        </w:tc>
      </w:tr>
      <w:tr w:rsidR="00C17EC2" w:rsidRPr="00BD1319" w14:paraId="01FA43C5" w14:textId="77777777" w:rsidTr="00C17EC2">
        <w:trPr>
          <w:trHeight w:hRule="exact" w:val="567"/>
        </w:trPr>
        <w:tc>
          <w:tcPr>
            <w:tcW w:w="4361" w:type="dxa"/>
            <w:vAlign w:val="center"/>
          </w:tcPr>
          <w:p w14:paraId="5A86E9E5" w14:textId="77777777" w:rsidR="00C17EC2" w:rsidRPr="00BD1319" w:rsidRDefault="00C17EC2" w:rsidP="005E527C">
            <w:pPr>
              <w:numPr>
                <w:ilvl w:val="12"/>
                <w:numId w:val="0"/>
              </w:numPr>
              <w:tabs>
                <w:tab w:val="left" w:pos="-2268"/>
              </w:tabs>
              <w:suppressAutoHyphens/>
              <w:rPr>
                <w:rFonts w:cs="Arial"/>
                <w:spacing w:val="-3"/>
                <w:sz w:val="20"/>
                <w:szCs w:val="20"/>
                <w:lang w:val="en-US"/>
              </w:rPr>
            </w:pPr>
            <w:r w:rsidRPr="00BD1319">
              <w:rPr>
                <w:rFonts w:cs="Arial"/>
                <w:spacing w:val="-3"/>
                <w:sz w:val="20"/>
                <w:szCs w:val="20"/>
                <w:lang w:val="en-US"/>
              </w:rPr>
              <w:t xml:space="preserve">The IUCN Red List of </w:t>
            </w:r>
            <w:proofErr w:type="spellStart"/>
            <w:r w:rsidRPr="00BD1319">
              <w:rPr>
                <w:rFonts w:cs="Arial"/>
                <w:spacing w:val="-3"/>
                <w:sz w:val="20"/>
                <w:szCs w:val="20"/>
                <w:lang w:val="en-US"/>
              </w:rPr>
              <w:t>threaetened</w:t>
            </w:r>
            <w:proofErr w:type="spellEnd"/>
            <w:r w:rsidRPr="00BD1319">
              <w:rPr>
                <w:rFonts w:cs="Arial"/>
                <w:spacing w:val="-3"/>
                <w:sz w:val="20"/>
                <w:szCs w:val="20"/>
                <w:lang w:val="en-US"/>
              </w:rPr>
              <w:t xml:space="preserve"> species</w:t>
            </w:r>
          </w:p>
        </w:tc>
        <w:tc>
          <w:tcPr>
            <w:tcW w:w="5262" w:type="dxa"/>
            <w:vAlign w:val="center"/>
          </w:tcPr>
          <w:p w14:paraId="04C7D9C6" w14:textId="5E0BFB8F" w:rsidR="00C17EC2" w:rsidRPr="00BD1319" w:rsidDel="00A33D9C" w:rsidRDefault="00C17EC2" w:rsidP="005E527C">
            <w:pPr>
              <w:numPr>
                <w:ilvl w:val="12"/>
                <w:numId w:val="0"/>
              </w:numPr>
              <w:tabs>
                <w:tab w:val="left" w:pos="-2268"/>
                <w:tab w:val="center" w:pos="4419"/>
                <w:tab w:val="right" w:pos="8838"/>
              </w:tabs>
              <w:suppressAutoHyphens/>
              <w:rPr>
                <w:rFonts w:cs="Arial"/>
                <w:spacing w:val="-3"/>
                <w:sz w:val="20"/>
                <w:szCs w:val="20"/>
                <w:lang w:val="en-US"/>
              </w:rPr>
            </w:pPr>
            <w:hyperlink r:id="rId26" w:history="1">
              <w:r w:rsidRPr="00BD1319">
                <w:rPr>
                  <w:rFonts w:cs="Arial"/>
                  <w:spacing w:val="-3"/>
                  <w:sz w:val="20"/>
                  <w:szCs w:val="20"/>
                  <w:lang w:val="en-US"/>
                </w:rPr>
                <w:t>https://www.iucnredlist.org/</w:t>
              </w:r>
            </w:hyperlink>
          </w:p>
        </w:tc>
      </w:tr>
      <w:tr w:rsidR="00C17EC2" w:rsidRPr="00BD1319" w14:paraId="0ED5D248" w14:textId="77777777" w:rsidTr="00C17EC2">
        <w:trPr>
          <w:trHeight w:hRule="exact" w:val="567"/>
        </w:trPr>
        <w:tc>
          <w:tcPr>
            <w:tcW w:w="4361" w:type="dxa"/>
            <w:vAlign w:val="center"/>
          </w:tcPr>
          <w:p w14:paraId="790690F0" w14:textId="77777777" w:rsidR="00C17EC2" w:rsidRPr="00BD1319" w:rsidRDefault="00C17EC2" w:rsidP="005E527C">
            <w:pPr>
              <w:numPr>
                <w:ilvl w:val="12"/>
                <w:numId w:val="0"/>
              </w:numPr>
              <w:tabs>
                <w:tab w:val="left" w:pos="-2268"/>
              </w:tabs>
              <w:suppressAutoHyphens/>
              <w:rPr>
                <w:rFonts w:cs="Arial"/>
                <w:spacing w:val="-3"/>
                <w:sz w:val="20"/>
                <w:szCs w:val="20"/>
                <w:lang w:val="en-US"/>
              </w:rPr>
            </w:pPr>
            <w:r w:rsidRPr="00BD1319">
              <w:rPr>
                <w:rFonts w:cs="Arial"/>
                <w:spacing w:val="-3"/>
                <w:sz w:val="20"/>
                <w:szCs w:val="20"/>
                <w:lang w:val="en-US"/>
              </w:rPr>
              <w:t>The Plant List. A working list of all plant species</w:t>
            </w:r>
          </w:p>
        </w:tc>
        <w:tc>
          <w:tcPr>
            <w:tcW w:w="5262" w:type="dxa"/>
            <w:vAlign w:val="center"/>
          </w:tcPr>
          <w:p w14:paraId="0BF3461F" w14:textId="04F9515D" w:rsidR="00C17EC2" w:rsidRPr="00BD1319" w:rsidDel="00A33D9C" w:rsidRDefault="00C17EC2" w:rsidP="005E527C">
            <w:pPr>
              <w:numPr>
                <w:ilvl w:val="12"/>
                <w:numId w:val="0"/>
              </w:numPr>
              <w:tabs>
                <w:tab w:val="left" w:pos="-2268"/>
              </w:tabs>
              <w:suppressAutoHyphens/>
              <w:rPr>
                <w:rFonts w:cs="Arial"/>
                <w:spacing w:val="-3"/>
                <w:sz w:val="20"/>
                <w:szCs w:val="20"/>
                <w:lang w:val="en-US"/>
              </w:rPr>
            </w:pPr>
            <w:hyperlink r:id="rId27" w:history="1">
              <w:r w:rsidRPr="00BD1319">
                <w:rPr>
                  <w:rFonts w:cs="Arial"/>
                  <w:spacing w:val="-3"/>
                  <w:sz w:val="20"/>
                  <w:szCs w:val="20"/>
                  <w:lang w:val="en-US"/>
                </w:rPr>
                <w:t>http://www.theplantlist.org/</w:t>
              </w:r>
            </w:hyperlink>
          </w:p>
        </w:tc>
      </w:tr>
      <w:tr w:rsidR="00C17EC2" w:rsidRPr="00BD1319" w14:paraId="494D0484" w14:textId="77777777" w:rsidTr="00C17EC2">
        <w:trPr>
          <w:trHeight w:hRule="exact" w:val="567"/>
        </w:trPr>
        <w:tc>
          <w:tcPr>
            <w:tcW w:w="4361" w:type="dxa"/>
            <w:vAlign w:val="center"/>
            <w:hideMark/>
          </w:tcPr>
          <w:p w14:paraId="3BF0BE6B" w14:textId="77777777" w:rsidR="00C17EC2" w:rsidRPr="00BD1319" w:rsidRDefault="00C17EC2" w:rsidP="005E527C">
            <w:pPr>
              <w:numPr>
                <w:ilvl w:val="12"/>
                <w:numId w:val="0"/>
              </w:numPr>
              <w:tabs>
                <w:tab w:val="left" w:pos="-2268"/>
              </w:tabs>
              <w:suppressAutoHyphens/>
              <w:rPr>
                <w:rFonts w:cs="Arial"/>
                <w:spacing w:val="-3"/>
                <w:sz w:val="20"/>
                <w:szCs w:val="20"/>
              </w:rPr>
            </w:pPr>
            <w:proofErr w:type="spellStart"/>
            <w:r w:rsidRPr="00BD1319">
              <w:rPr>
                <w:rFonts w:cs="Arial"/>
                <w:spacing w:val="-3"/>
                <w:sz w:val="20"/>
                <w:szCs w:val="20"/>
              </w:rPr>
              <w:t>The</w:t>
            </w:r>
            <w:proofErr w:type="spellEnd"/>
            <w:r w:rsidRPr="00BD1319">
              <w:rPr>
                <w:rFonts w:cs="Arial"/>
                <w:spacing w:val="-3"/>
                <w:sz w:val="20"/>
                <w:szCs w:val="20"/>
              </w:rPr>
              <w:t xml:space="preserve"> </w:t>
            </w:r>
            <w:proofErr w:type="spellStart"/>
            <w:r w:rsidRPr="00BD1319">
              <w:rPr>
                <w:rFonts w:cs="Arial"/>
                <w:spacing w:val="-3"/>
                <w:sz w:val="20"/>
                <w:szCs w:val="20"/>
              </w:rPr>
              <w:t>reptile</w:t>
            </w:r>
            <w:proofErr w:type="spellEnd"/>
            <w:r w:rsidRPr="00BD1319">
              <w:rPr>
                <w:rFonts w:cs="Arial"/>
                <w:spacing w:val="-3"/>
                <w:sz w:val="20"/>
                <w:szCs w:val="20"/>
              </w:rPr>
              <w:t xml:space="preserve"> </w:t>
            </w:r>
            <w:proofErr w:type="spellStart"/>
            <w:r w:rsidRPr="00BD1319">
              <w:rPr>
                <w:rFonts w:cs="Arial"/>
                <w:spacing w:val="-3"/>
                <w:sz w:val="20"/>
                <w:szCs w:val="20"/>
              </w:rPr>
              <w:t>database</w:t>
            </w:r>
            <w:proofErr w:type="spellEnd"/>
          </w:p>
        </w:tc>
        <w:tc>
          <w:tcPr>
            <w:tcW w:w="5262" w:type="dxa"/>
            <w:vAlign w:val="center"/>
            <w:hideMark/>
          </w:tcPr>
          <w:p w14:paraId="1DC5D36F" w14:textId="77777777" w:rsidR="00C17EC2" w:rsidRPr="00BD1319" w:rsidRDefault="00C17EC2" w:rsidP="005E527C">
            <w:pPr>
              <w:numPr>
                <w:ilvl w:val="12"/>
                <w:numId w:val="0"/>
              </w:numPr>
              <w:tabs>
                <w:tab w:val="left" w:pos="-2268"/>
              </w:tabs>
              <w:suppressAutoHyphens/>
              <w:rPr>
                <w:rFonts w:cs="Arial"/>
                <w:spacing w:val="-3"/>
                <w:sz w:val="20"/>
                <w:szCs w:val="20"/>
                <w:u w:val="single"/>
              </w:rPr>
            </w:pPr>
            <w:r w:rsidRPr="00BD1319">
              <w:rPr>
                <w:rFonts w:cs="Arial"/>
                <w:sz w:val="20"/>
                <w:szCs w:val="20"/>
              </w:rPr>
              <w:t>http://www.reptile-database.org/</w:t>
            </w:r>
          </w:p>
        </w:tc>
      </w:tr>
      <w:tr w:rsidR="00C17EC2" w:rsidRPr="00BD1319" w14:paraId="36D9987D" w14:textId="77777777" w:rsidTr="00C17EC2">
        <w:trPr>
          <w:trHeight w:hRule="exact" w:val="567"/>
        </w:trPr>
        <w:tc>
          <w:tcPr>
            <w:tcW w:w="4361" w:type="dxa"/>
            <w:vAlign w:val="center"/>
            <w:hideMark/>
          </w:tcPr>
          <w:p w14:paraId="2AB328D3" w14:textId="77777777" w:rsidR="00C17EC2" w:rsidRPr="00BD1319" w:rsidRDefault="00C17EC2" w:rsidP="005E527C">
            <w:pPr>
              <w:numPr>
                <w:ilvl w:val="12"/>
                <w:numId w:val="0"/>
              </w:numPr>
              <w:tabs>
                <w:tab w:val="left" w:pos="-2268"/>
              </w:tabs>
              <w:suppressAutoHyphens/>
              <w:rPr>
                <w:rFonts w:cs="Arial"/>
                <w:spacing w:val="-3"/>
                <w:sz w:val="20"/>
                <w:szCs w:val="20"/>
              </w:rPr>
            </w:pPr>
            <w:proofErr w:type="spellStart"/>
            <w:r w:rsidRPr="00BD1319">
              <w:rPr>
                <w:rFonts w:cs="Arial"/>
                <w:spacing w:val="-3"/>
                <w:sz w:val="20"/>
                <w:szCs w:val="20"/>
              </w:rPr>
              <w:t>The</w:t>
            </w:r>
            <w:proofErr w:type="spellEnd"/>
            <w:r w:rsidRPr="00BD1319">
              <w:rPr>
                <w:rFonts w:cs="Arial"/>
                <w:spacing w:val="-3"/>
                <w:sz w:val="20"/>
                <w:szCs w:val="20"/>
              </w:rPr>
              <w:t xml:space="preserve"> </w:t>
            </w:r>
            <w:proofErr w:type="spellStart"/>
            <w:r w:rsidRPr="00BD1319">
              <w:rPr>
                <w:rFonts w:cs="Arial"/>
                <w:spacing w:val="-3"/>
                <w:sz w:val="20"/>
                <w:szCs w:val="20"/>
              </w:rPr>
              <w:t>Smithsonian</w:t>
            </w:r>
            <w:proofErr w:type="spellEnd"/>
            <w:r w:rsidRPr="00BD1319">
              <w:rPr>
                <w:rFonts w:cs="Arial"/>
                <w:spacing w:val="-3"/>
                <w:sz w:val="20"/>
                <w:szCs w:val="20"/>
              </w:rPr>
              <w:t xml:space="preserve"> </w:t>
            </w:r>
            <w:proofErr w:type="spellStart"/>
            <w:r w:rsidRPr="00BD1319">
              <w:rPr>
                <w:rFonts w:cs="Arial"/>
                <w:spacing w:val="-3"/>
                <w:sz w:val="20"/>
                <w:szCs w:val="20"/>
              </w:rPr>
              <w:t>institution</w:t>
            </w:r>
            <w:proofErr w:type="spellEnd"/>
          </w:p>
        </w:tc>
        <w:tc>
          <w:tcPr>
            <w:tcW w:w="5262" w:type="dxa"/>
            <w:vAlign w:val="center"/>
            <w:hideMark/>
          </w:tcPr>
          <w:p w14:paraId="3631FD92" w14:textId="77777777" w:rsidR="00C17EC2" w:rsidRPr="00BD1319" w:rsidRDefault="00C17EC2" w:rsidP="005E527C">
            <w:pPr>
              <w:numPr>
                <w:ilvl w:val="12"/>
                <w:numId w:val="0"/>
              </w:numPr>
              <w:tabs>
                <w:tab w:val="left" w:pos="-2268"/>
              </w:tabs>
              <w:suppressAutoHyphens/>
              <w:rPr>
                <w:rFonts w:cs="Arial"/>
                <w:spacing w:val="-3"/>
                <w:sz w:val="20"/>
                <w:szCs w:val="20"/>
                <w:u w:val="single"/>
              </w:rPr>
            </w:pPr>
            <w:r w:rsidRPr="00BD1319">
              <w:rPr>
                <w:rFonts w:cs="Arial"/>
                <w:sz w:val="20"/>
                <w:szCs w:val="20"/>
              </w:rPr>
              <w:t>https://www.si.edu/</w:t>
            </w:r>
          </w:p>
        </w:tc>
      </w:tr>
      <w:tr w:rsidR="00C17EC2" w:rsidRPr="00BD1319" w14:paraId="1998982D" w14:textId="77777777" w:rsidTr="00C17EC2">
        <w:trPr>
          <w:trHeight w:hRule="exact" w:val="567"/>
        </w:trPr>
        <w:tc>
          <w:tcPr>
            <w:tcW w:w="4361" w:type="dxa"/>
            <w:vAlign w:val="center"/>
          </w:tcPr>
          <w:p w14:paraId="54BBD411" w14:textId="77777777" w:rsidR="00C17EC2" w:rsidRPr="00BD1319" w:rsidRDefault="00C17EC2" w:rsidP="005E527C">
            <w:pPr>
              <w:rPr>
                <w:rFonts w:cs="Arial"/>
                <w:spacing w:val="-3"/>
                <w:sz w:val="20"/>
                <w:szCs w:val="20"/>
              </w:rPr>
            </w:pPr>
            <w:r w:rsidRPr="00BD1319">
              <w:rPr>
                <w:rFonts w:cs="Arial"/>
                <w:spacing w:val="-3"/>
                <w:sz w:val="20"/>
                <w:szCs w:val="20"/>
              </w:rPr>
              <w:t>Unidad de Planeación de Infraestructura de Transporte (UPIT)</w:t>
            </w:r>
          </w:p>
        </w:tc>
        <w:tc>
          <w:tcPr>
            <w:tcW w:w="5262" w:type="dxa"/>
            <w:vAlign w:val="center"/>
          </w:tcPr>
          <w:p w14:paraId="44C37627" w14:textId="77777777" w:rsidR="00C17EC2" w:rsidRPr="00BD1319" w:rsidRDefault="00C17EC2" w:rsidP="005E527C">
            <w:pPr>
              <w:rPr>
                <w:rFonts w:cs="Arial"/>
                <w:spacing w:val="-3"/>
                <w:sz w:val="20"/>
                <w:szCs w:val="20"/>
              </w:rPr>
            </w:pPr>
            <w:r w:rsidRPr="00BD1319">
              <w:rPr>
                <w:rFonts w:cs="Arial"/>
                <w:spacing w:val="-3"/>
                <w:sz w:val="20"/>
                <w:szCs w:val="20"/>
              </w:rPr>
              <w:t>https://mintransporte.gov.co/publicaciones/10786/unidad-de-planeacion-de-infraestructura-de-transporte/</w:t>
            </w:r>
          </w:p>
        </w:tc>
      </w:tr>
      <w:tr w:rsidR="00C17EC2" w:rsidRPr="00BD1319" w14:paraId="37CDC1BE" w14:textId="77777777" w:rsidTr="00C17EC2">
        <w:trPr>
          <w:trHeight w:hRule="exact" w:val="567"/>
        </w:trPr>
        <w:tc>
          <w:tcPr>
            <w:tcW w:w="4361" w:type="dxa"/>
            <w:vAlign w:val="center"/>
            <w:hideMark/>
          </w:tcPr>
          <w:p w14:paraId="0E12C04E" w14:textId="77777777" w:rsidR="00C17EC2" w:rsidRPr="00BD1319" w:rsidRDefault="00C17EC2" w:rsidP="005E527C">
            <w:pPr>
              <w:numPr>
                <w:ilvl w:val="12"/>
                <w:numId w:val="0"/>
              </w:numPr>
              <w:tabs>
                <w:tab w:val="left" w:pos="-2268"/>
              </w:tabs>
              <w:suppressAutoHyphens/>
              <w:rPr>
                <w:rFonts w:cs="Arial"/>
                <w:spacing w:val="-3"/>
                <w:sz w:val="20"/>
                <w:szCs w:val="20"/>
              </w:rPr>
            </w:pPr>
            <w:r w:rsidRPr="00BD1319">
              <w:rPr>
                <w:rFonts w:cs="Arial"/>
                <w:spacing w:val="-3"/>
                <w:sz w:val="20"/>
                <w:szCs w:val="20"/>
              </w:rPr>
              <w:t xml:space="preserve">Unidad de Planeación </w:t>
            </w:r>
            <w:proofErr w:type="gramStart"/>
            <w:r w:rsidRPr="00BD1319">
              <w:rPr>
                <w:rFonts w:cs="Arial"/>
                <w:spacing w:val="-3"/>
                <w:sz w:val="20"/>
                <w:szCs w:val="20"/>
              </w:rPr>
              <w:t>Minero Energética</w:t>
            </w:r>
            <w:proofErr w:type="gramEnd"/>
            <w:r w:rsidRPr="00BD1319">
              <w:rPr>
                <w:rFonts w:cs="Arial"/>
                <w:spacing w:val="-3"/>
                <w:sz w:val="20"/>
                <w:szCs w:val="20"/>
              </w:rPr>
              <w:t xml:space="preserve"> (UPME)</w:t>
            </w:r>
          </w:p>
        </w:tc>
        <w:tc>
          <w:tcPr>
            <w:tcW w:w="5262" w:type="dxa"/>
            <w:vAlign w:val="center"/>
            <w:hideMark/>
          </w:tcPr>
          <w:p w14:paraId="00682E88" w14:textId="77777777" w:rsidR="00C17EC2" w:rsidRPr="00BD1319" w:rsidRDefault="00C17EC2" w:rsidP="005E527C">
            <w:pPr>
              <w:numPr>
                <w:ilvl w:val="12"/>
                <w:numId w:val="0"/>
              </w:numPr>
              <w:tabs>
                <w:tab w:val="left" w:pos="-2268"/>
              </w:tabs>
              <w:suppressAutoHyphens/>
              <w:rPr>
                <w:rFonts w:cs="Arial"/>
                <w:spacing w:val="-3"/>
                <w:sz w:val="20"/>
                <w:szCs w:val="20"/>
                <w:u w:val="single"/>
              </w:rPr>
            </w:pPr>
            <w:r w:rsidRPr="00BD1319">
              <w:rPr>
                <w:rFonts w:cs="Arial"/>
                <w:sz w:val="20"/>
                <w:szCs w:val="20"/>
              </w:rPr>
              <w:t>https://www1.upme.gov.co/</w:t>
            </w:r>
          </w:p>
        </w:tc>
      </w:tr>
      <w:tr w:rsidR="00C17EC2" w:rsidRPr="00BD1319" w14:paraId="73C27085" w14:textId="77777777" w:rsidTr="00C17EC2">
        <w:trPr>
          <w:trHeight w:hRule="exact" w:val="567"/>
        </w:trPr>
        <w:tc>
          <w:tcPr>
            <w:tcW w:w="4361" w:type="dxa"/>
            <w:vAlign w:val="center"/>
          </w:tcPr>
          <w:p w14:paraId="6B8E618D" w14:textId="77777777" w:rsidR="00C17EC2" w:rsidRPr="00BD1319" w:rsidRDefault="00C17EC2" w:rsidP="005E527C">
            <w:pPr>
              <w:rPr>
                <w:rFonts w:cs="Arial"/>
                <w:spacing w:val="-3"/>
                <w:sz w:val="20"/>
                <w:szCs w:val="20"/>
              </w:rPr>
            </w:pPr>
            <w:r w:rsidRPr="00BD1319">
              <w:rPr>
                <w:rFonts w:cs="Arial"/>
                <w:spacing w:val="-3"/>
                <w:sz w:val="20"/>
                <w:szCs w:val="20"/>
              </w:rPr>
              <w:t>Unidad Nacional para la Gestión del Riesgo de Desastres</w:t>
            </w:r>
          </w:p>
        </w:tc>
        <w:tc>
          <w:tcPr>
            <w:tcW w:w="5262" w:type="dxa"/>
            <w:vAlign w:val="center"/>
          </w:tcPr>
          <w:p w14:paraId="50414A0B" w14:textId="77777777" w:rsidR="00C17EC2" w:rsidRPr="00BD1319" w:rsidDel="00A33D9C" w:rsidRDefault="00C17EC2" w:rsidP="005E527C">
            <w:pPr>
              <w:rPr>
                <w:rFonts w:cs="Arial"/>
                <w:spacing w:val="-3"/>
                <w:sz w:val="20"/>
                <w:szCs w:val="20"/>
              </w:rPr>
            </w:pPr>
            <w:r w:rsidRPr="00BD1319">
              <w:rPr>
                <w:rFonts w:cs="Arial"/>
                <w:spacing w:val="-3"/>
                <w:sz w:val="20"/>
                <w:szCs w:val="20"/>
              </w:rPr>
              <w:t>https://portal.gestiondelriesgo.gov.co/</w:t>
            </w:r>
          </w:p>
        </w:tc>
      </w:tr>
      <w:tr w:rsidR="00C17EC2" w:rsidRPr="00BD1319" w14:paraId="273D7C44" w14:textId="77777777" w:rsidTr="00C17EC2">
        <w:trPr>
          <w:trHeight w:hRule="exact" w:val="567"/>
        </w:trPr>
        <w:tc>
          <w:tcPr>
            <w:tcW w:w="4361" w:type="dxa"/>
            <w:vAlign w:val="center"/>
            <w:hideMark/>
          </w:tcPr>
          <w:p w14:paraId="05638712" w14:textId="77777777" w:rsidR="00C17EC2" w:rsidRPr="00BD1319" w:rsidRDefault="00C17EC2" w:rsidP="005E527C">
            <w:pPr>
              <w:numPr>
                <w:ilvl w:val="12"/>
                <w:numId w:val="0"/>
              </w:numPr>
              <w:tabs>
                <w:tab w:val="left" w:pos="-2268"/>
              </w:tabs>
              <w:suppressAutoHyphens/>
              <w:rPr>
                <w:rFonts w:cs="Arial"/>
                <w:spacing w:val="-3"/>
                <w:sz w:val="20"/>
                <w:szCs w:val="20"/>
                <w:lang w:val="en-US"/>
              </w:rPr>
            </w:pPr>
            <w:r w:rsidRPr="00BD1319">
              <w:rPr>
                <w:rFonts w:cs="Arial"/>
                <w:spacing w:val="-3"/>
                <w:sz w:val="20"/>
                <w:szCs w:val="20"/>
                <w:lang w:val="en-US"/>
              </w:rPr>
              <w:t>United States Environmental Protection Agency (EPA)</w:t>
            </w:r>
          </w:p>
        </w:tc>
        <w:tc>
          <w:tcPr>
            <w:tcW w:w="5262" w:type="dxa"/>
            <w:vAlign w:val="center"/>
            <w:hideMark/>
          </w:tcPr>
          <w:p w14:paraId="56416E9E" w14:textId="77777777" w:rsidR="00C17EC2" w:rsidRPr="00BD1319" w:rsidRDefault="00C17EC2" w:rsidP="005E527C">
            <w:pPr>
              <w:numPr>
                <w:ilvl w:val="12"/>
                <w:numId w:val="0"/>
              </w:numPr>
              <w:tabs>
                <w:tab w:val="left" w:pos="-2268"/>
              </w:tabs>
              <w:suppressAutoHyphens/>
              <w:rPr>
                <w:rFonts w:cs="Arial"/>
                <w:spacing w:val="-3"/>
                <w:sz w:val="20"/>
                <w:szCs w:val="20"/>
                <w:u w:val="single"/>
              </w:rPr>
            </w:pPr>
            <w:r w:rsidRPr="00BD1319">
              <w:rPr>
                <w:rFonts w:cs="Arial"/>
                <w:sz w:val="20"/>
                <w:szCs w:val="20"/>
              </w:rPr>
              <w:t>https://www.epa.gov/</w:t>
            </w:r>
          </w:p>
        </w:tc>
      </w:tr>
      <w:tr w:rsidR="00C17EC2" w:rsidRPr="00BD1319" w14:paraId="0E9F4329" w14:textId="77777777" w:rsidTr="00C17EC2">
        <w:trPr>
          <w:trHeight w:hRule="exact" w:val="567"/>
        </w:trPr>
        <w:tc>
          <w:tcPr>
            <w:tcW w:w="4361" w:type="dxa"/>
            <w:vAlign w:val="center"/>
            <w:hideMark/>
          </w:tcPr>
          <w:p w14:paraId="7CD50083" w14:textId="77777777" w:rsidR="00C17EC2" w:rsidRPr="00BD1319" w:rsidRDefault="00C17EC2" w:rsidP="005E527C">
            <w:pPr>
              <w:numPr>
                <w:ilvl w:val="12"/>
                <w:numId w:val="0"/>
              </w:numPr>
              <w:tabs>
                <w:tab w:val="left" w:pos="-2268"/>
              </w:tabs>
              <w:suppressAutoHyphens/>
              <w:rPr>
                <w:rFonts w:cs="Arial"/>
                <w:spacing w:val="-3"/>
                <w:sz w:val="20"/>
                <w:szCs w:val="20"/>
              </w:rPr>
            </w:pPr>
            <w:proofErr w:type="spellStart"/>
            <w:r w:rsidRPr="00BD1319">
              <w:rPr>
                <w:rFonts w:cs="Arial"/>
                <w:spacing w:val="-3"/>
                <w:sz w:val="20"/>
                <w:szCs w:val="20"/>
              </w:rPr>
              <w:t>United</w:t>
            </w:r>
            <w:proofErr w:type="spellEnd"/>
            <w:r w:rsidRPr="00BD1319">
              <w:rPr>
                <w:rFonts w:cs="Arial"/>
                <w:spacing w:val="-3"/>
                <w:sz w:val="20"/>
                <w:szCs w:val="20"/>
              </w:rPr>
              <w:t xml:space="preserve"> </w:t>
            </w:r>
            <w:proofErr w:type="spellStart"/>
            <w:r w:rsidRPr="00BD1319">
              <w:rPr>
                <w:rFonts w:cs="Arial"/>
                <w:spacing w:val="-3"/>
                <w:sz w:val="20"/>
                <w:szCs w:val="20"/>
              </w:rPr>
              <w:t>States</w:t>
            </w:r>
            <w:proofErr w:type="spellEnd"/>
            <w:r w:rsidRPr="00BD1319">
              <w:rPr>
                <w:rFonts w:cs="Arial"/>
                <w:spacing w:val="-3"/>
                <w:sz w:val="20"/>
                <w:szCs w:val="20"/>
              </w:rPr>
              <w:t xml:space="preserve"> Geological </w:t>
            </w:r>
            <w:proofErr w:type="spellStart"/>
            <w:r w:rsidRPr="00BD1319">
              <w:rPr>
                <w:rFonts w:cs="Arial"/>
                <w:spacing w:val="-3"/>
                <w:sz w:val="20"/>
                <w:szCs w:val="20"/>
              </w:rPr>
              <w:t>Survey</w:t>
            </w:r>
            <w:proofErr w:type="spellEnd"/>
          </w:p>
        </w:tc>
        <w:tc>
          <w:tcPr>
            <w:tcW w:w="5262" w:type="dxa"/>
            <w:vAlign w:val="center"/>
            <w:hideMark/>
          </w:tcPr>
          <w:p w14:paraId="12818A31" w14:textId="77777777" w:rsidR="00C17EC2" w:rsidRPr="00BD1319" w:rsidRDefault="00C17EC2" w:rsidP="005E527C">
            <w:pPr>
              <w:numPr>
                <w:ilvl w:val="12"/>
                <w:numId w:val="0"/>
              </w:numPr>
              <w:tabs>
                <w:tab w:val="left" w:pos="-2268"/>
              </w:tabs>
              <w:suppressAutoHyphens/>
              <w:rPr>
                <w:rFonts w:cs="Arial"/>
                <w:spacing w:val="-3"/>
                <w:sz w:val="20"/>
                <w:szCs w:val="20"/>
                <w:u w:val="single"/>
              </w:rPr>
            </w:pPr>
            <w:r w:rsidRPr="00BD1319">
              <w:rPr>
                <w:rFonts w:cs="Arial"/>
                <w:sz w:val="20"/>
                <w:szCs w:val="20"/>
              </w:rPr>
              <w:t>https://pubs.er.usgs.gov/</w:t>
            </w:r>
            <w:r w:rsidRPr="00BD1319">
              <w:rPr>
                <w:rFonts w:cs="Arial"/>
                <w:spacing w:val="-3"/>
                <w:sz w:val="20"/>
                <w:szCs w:val="20"/>
              </w:rPr>
              <w:t xml:space="preserve">; </w:t>
            </w:r>
            <w:r w:rsidRPr="00BD1319">
              <w:rPr>
                <w:rFonts w:cs="Arial"/>
                <w:sz w:val="20"/>
                <w:szCs w:val="20"/>
              </w:rPr>
              <w:t>https://search.usgs.gov/</w:t>
            </w:r>
            <w:r w:rsidRPr="00BD1319">
              <w:rPr>
                <w:rFonts w:cs="Arial"/>
                <w:spacing w:val="-3"/>
                <w:sz w:val="20"/>
                <w:szCs w:val="20"/>
              </w:rPr>
              <w:t xml:space="preserve">; </w:t>
            </w:r>
            <w:r w:rsidRPr="00BD1319">
              <w:rPr>
                <w:rFonts w:cs="Arial"/>
                <w:sz w:val="20"/>
                <w:szCs w:val="20"/>
              </w:rPr>
              <w:t>https://www.usgs.gov/mission-areas/water-resources</w:t>
            </w:r>
          </w:p>
        </w:tc>
      </w:tr>
      <w:tr w:rsidR="00C17EC2" w:rsidRPr="00BD1319" w14:paraId="63391131" w14:textId="77777777" w:rsidTr="00C17EC2">
        <w:trPr>
          <w:trHeight w:hRule="exact" w:val="567"/>
        </w:trPr>
        <w:tc>
          <w:tcPr>
            <w:tcW w:w="4361" w:type="dxa"/>
            <w:vAlign w:val="center"/>
            <w:hideMark/>
          </w:tcPr>
          <w:p w14:paraId="0EE028B4" w14:textId="77777777" w:rsidR="00C17EC2" w:rsidRPr="00BD1319" w:rsidRDefault="00C17EC2" w:rsidP="005E527C">
            <w:pPr>
              <w:numPr>
                <w:ilvl w:val="12"/>
                <w:numId w:val="0"/>
              </w:numPr>
              <w:tabs>
                <w:tab w:val="left" w:pos="-2268"/>
              </w:tabs>
              <w:suppressAutoHyphens/>
              <w:rPr>
                <w:rFonts w:cs="Arial"/>
                <w:spacing w:val="-3"/>
                <w:sz w:val="20"/>
                <w:szCs w:val="20"/>
              </w:rPr>
            </w:pPr>
            <w:r w:rsidRPr="00BD1319">
              <w:rPr>
                <w:rFonts w:cs="Arial"/>
                <w:spacing w:val="-3"/>
                <w:sz w:val="20"/>
                <w:szCs w:val="20"/>
              </w:rPr>
              <w:lastRenderedPageBreak/>
              <w:t>Ventanilla Integral de Trámites Ambientales en Línea (VITAL)</w:t>
            </w:r>
          </w:p>
        </w:tc>
        <w:tc>
          <w:tcPr>
            <w:tcW w:w="5262" w:type="dxa"/>
            <w:vAlign w:val="center"/>
            <w:hideMark/>
          </w:tcPr>
          <w:p w14:paraId="48864CB2" w14:textId="77777777" w:rsidR="00C17EC2" w:rsidRPr="00BD1319" w:rsidRDefault="00C17EC2" w:rsidP="005E527C">
            <w:pPr>
              <w:numPr>
                <w:ilvl w:val="12"/>
                <w:numId w:val="0"/>
              </w:numPr>
              <w:tabs>
                <w:tab w:val="left" w:pos="-2268"/>
              </w:tabs>
              <w:suppressAutoHyphens/>
              <w:rPr>
                <w:rFonts w:cs="Arial"/>
                <w:spacing w:val="-3"/>
                <w:sz w:val="20"/>
                <w:szCs w:val="20"/>
                <w:u w:val="single"/>
              </w:rPr>
            </w:pPr>
            <w:r w:rsidRPr="00BD1319">
              <w:rPr>
                <w:rFonts w:cs="Arial"/>
                <w:sz w:val="20"/>
                <w:szCs w:val="20"/>
              </w:rPr>
              <w:t>http://vital.minambiente.gov.co/SILPA/TestSilpa/security/login.aspx</w:t>
            </w:r>
          </w:p>
        </w:tc>
      </w:tr>
    </w:tbl>
    <w:p w14:paraId="4FAEE984" w14:textId="77777777" w:rsidR="00BB0A67" w:rsidRPr="00BD1319" w:rsidRDefault="00BB0A67">
      <w:pPr>
        <w:overflowPunct/>
        <w:autoSpaceDE/>
        <w:autoSpaceDN/>
        <w:adjustRightInd/>
        <w:jc w:val="left"/>
        <w:textAlignment w:val="auto"/>
        <w:rPr>
          <w:spacing w:val="-3"/>
        </w:rPr>
      </w:pPr>
    </w:p>
    <w:p w14:paraId="66A91529" w14:textId="49334A1C" w:rsidR="00BB0A67" w:rsidRPr="00BD1319" w:rsidRDefault="00BB0A67">
      <w:pPr>
        <w:overflowPunct/>
        <w:autoSpaceDE/>
        <w:autoSpaceDN/>
        <w:adjustRightInd/>
        <w:jc w:val="left"/>
        <w:textAlignment w:val="auto"/>
        <w:rPr>
          <w:spacing w:val="-3"/>
        </w:rPr>
      </w:pPr>
      <w:r w:rsidRPr="00BD1319">
        <w:rPr>
          <w:spacing w:val="-3"/>
        </w:rPr>
        <w:br w:type="page"/>
      </w:r>
    </w:p>
    <w:p w14:paraId="34EF36D8" w14:textId="77777777" w:rsidR="00A101A4" w:rsidRPr="00BD1319" w:rsidRDefault="00A101A4" w:rsidP="00456AB1">
      <w:pPr>
        <w:pStyle w:val="Ttulo1"/>
        <w:numPr>
          <w:ilvl w:val="0"/>
          <w:numId w:val="7"/>
        </w:numPr>
        <w:rPr>
          <w:lang w:val="es-CO"/>
        </w:rPr>
      </w:pPr>
      <w:bookmarkStart w:id="1945" w:name="_Toc42353707"/>
      <w:bookmarkStart w:id="1946" w:name="_Toc175326667"/>
      <w:r w:rsidRPr="00BD1319">
        <w:rPr>
          <w:lang w:val="es-CO"/>
        </w:rPr>
        <w:lastRenderedPageBreak/>
        <w:t>ESPECIFICACIONES DOCUMENTALES DE LOS ESTUDIOS AMBIENTALES</w:t>
      </w:r>
      <w:bookmarkEnd w:id="1945"/>
      <w:bookmarkEnd w:id="1946"/>
    </w:p>
    <w:p w14:paraId="25CD4324" w14:textId="77777777" w:rsidR="00A101A4" w:rsidRPr="00BD1319" w:rsidRDefault="00A101A4">
      <w:pPr>
        <w:tabs>
          <w:tab w:val="left" w:pos="-2268"/>
        </w:tabs>
        <w:suppressAutoHyphens/>
        <w:rPr>
          <w:spacing w:val="-3"/>
        </w:rPr>
      </w:pPr>
    </w:p>
    <w:p w14:paraId="6EE01A8E" w14:textId="6F6013B6" w:rsidR="00CB4557" w:rsidRPr="00BD1319" w:rsidRDefault="00CB4557" w:rsidP="0068149C">
      <w:pPr>
        <w:pStyle w:val="Ttulo2"/>
        <w:numPr>
          <w:ilvl w:val="1"/>
          <w:numId w:val="7"/>
        </w:numPr>
        <w:rPr>
          <w:lang w:val="es-CO"/>
        </w:rPr>
      </w:pPr>
      <w:bookmarkStart w:id="1947" w:name="_Toc175326668"/>
      <w:r w:rsidRPr="00BD1319">
        <w:rPr>
          <w:lang w:val="es-CO"/>
        </w:rPr>
        <w:t>PRESENTACIÓN DEL DOCUMENTO</w:t>
      </w:r>
      <w:bookmarkEnd w:id="1947"/>
    </w:p>
    <w:p w14:paraId="57A2F836" w14:textId="77777777" w:rsidR="00A101A4" w:rsidRPr="00BD1319" w:rsidRDefault="00A101A4">
      <w:pPr>
        <w:numPr>
          <w:ilvl w:val="12"/>
          <w:numId w:val="0"/>
        </w:numPr>
        <w:tabs>
          <w:tab w:val="left" w:pos="-2268"/>
        </w:tabs>
        <w:suppressAutoHyphens/>
        <w:rPr>
          <w:spacing w:val="-3"/>
        </w:rPr>
      </w:pPr>
    </w:p>
    <w:p w14:paraId="7458E9D2" w14:textId="50E5DAE5" w:rsidR="00A101A4" w:rsidRPr="00BD1319" w:rsidRDefault="00A101A4" w:rsidP="009420F5">
      <w:pPr>
        <w:tabs>
          <w:tab w:val="left" w:pos="-2268"/>
        </w:tabs>
        <w:suppressAutoHyphens/>
        <w:rPr>
          <w:spacing w:val="-3"/>
        </w:rPr>
      </w:pPr>
      <w:r w:rsidRPr="00BD1319">
        <w:rPr>
          <w:spacing w:val="-3"/>
        </w:rPr>
        <w:t>La presentación del documento del estudio ambiental o de documentos con información complementaria debe tener en cuenta las normas técnicas colombianas expedidas por el ICONTEC</w:t>
      </w:r>
      <w:r w:rsidR="00DD0D07" w:rsidRPr="00BD1319">
        <w:rPr>
          <w:spacing w:val="-3"/>
        </w:rPr>
        <w:t>, específicamente la</w:t>
      </w:r>
      <w:r w:rsidR="00705CB7" w:rsidRPr="00BD1319">
        <w:rPr>
          <w:spacing w:val="-3"/>
        </w:rPr>
        <w:t xml:space="preserve"> </w:t>
      </w:r>
      <w:r w:rsidR="00DD249F" w:rsidRPr="00BD1319">
        <w:t xml:space="preserve">NTC </w:t>
      </w:r>
      <w:proofErr w:type="gramStart"/>
      <w:r w:rsidR="00DD249F" w:rsidRPr="00BD1319">
        <w:t>3575 ”Documentación</w:t>
      </w:r>
      <w:proofErr w:type="gramEnd"/>
      <w:r w:rsidR="00DD249F" w:rsidRPr="00BD1319">
        <w:t xml:space="preserve">. Presentación de informes científicos y técnicos”, </w:t>
      </w:r>
      <w:r w:rsidR="00DD0D07" w:rsidRPr="00BD1319">
        <w:rPr>
          <w:spacing w:val="-3"/>
        </w:rPr>
        <w:t xml:space="preserve">la </w:t>
      </w:r>
      <w:r w:rsidRPr="00BD1319">
        <w:rPr>
          <w:spacing w:val="-3"/>
        </w:rPr>
        <w:t xml:space="preserve">NTC 1075 </w:t>
      </w:r>
      <w:r w:rsidR="000D63E1" w:rsidRPr="00BD1319">
        <w:rPr>
          <w:spacing w:val="-3"/>
        </w:rPr>
        <w:t>“Documentación. G</w:t>
      </w:r>
      <w:r w:rsidRPr="00BD1319">
        <w:rPr>
          <w:spacing w:val="-3"/>
        </w:rPr>
        <w:t>uía para numeración de divisiones y subdivisiones en documentos escritos</w:t>
      </w:r>
      <w:r w:rsidR="000D63E1" w:rsidRPr="00BD1319">
        <w:rPr>
          <w:spacing w:val="-3"/>
        </w:rPr>
        <w:t>”</w:t>
      </w:r>
      <w:r w:rsidR="00705CB7" w:rsidRPr="00BD1319">
        <w:rPr>
          <w:spacing w:val="-3"/>
        </w:rPr>
        <w:t xml:space="preserve"> y NTC 6166 “Referencias bibliográficas. Contenido, forma y estructura”</w:t>
      </w:r>
      <w:r w:rsidR="00B51EF9" w:rsidRPr="00BD1319">
        <w:rPr>
          <w:spacing w:val="-3"/>
        </w:rPr>
        <w:t xml:space="preserve"> o aquellas que las actualicen</w:t>
      </w:r>
      <w:r w:rsidR="0024221F" w:rsidRPr="00BD1319">
        <w:rPr>
          <w:spacing w:val="-3"/>
        </w:rPr>
        <w:t xml:space="preserve"> o complementen</w:t>
      </w:r>
      <w:r w:rsidR="00DD249F" w:rsidRPr="00BD1319">
        <w:rPr>
          <w:spacing w:val="-3"/>
        </w:rPr>
        <w:t>; alternativamente, es posible emplear el estilo APA</w:t>
      </w:r>
      <w:r w:rsidR="00F76811" w:rsidRPr="00BD1319">
        <w:rPr>
          <w:spacing w:val="-3"/>
        </w:rPr>
        <w:t xml:space="preserve"> para la presentación de los estudios ambientales</w:t>
      </w:r>
      <w:r w:rsidRPr="00BD1319">
        <w:rPr>
          <w:spacing w:val="-3"/>
        </w:rPr>
        <w:t>.</w:t>
      </w:r>
    </w:p>
    <w:p w14:paraId="120F05F8" w14:textId="77777777" w:rsidR="00A101A4" w:rsidRPr="00BD1319" w:rsidRDefault="00A101A4">
      <w:pPr>
        <w:tabs>
          <w:tab w:val="left" w:pos="-2268"/>
        </w:tabs>
        <w:suppressAutoHyphens/>
        <w:rPr>
          <w:spacing w:val="-3"/>
        </w:rPr>
      </w:pPr>
    </w:p>
    <w:p w14:paraId="3E108BD1" w14:textId="2E1B021C" w:rsidR="00A101A4" w:rsidRPr="00BD1319" w:rsidRDefault="00A101A4">
      <w:pPr>
        <w:numPr>
          <w:ilvl w:val="12"/>
          <w:numId w:val="0"/>
        </w:numPr>
        <w:tabs>
          <w:tab w:val="left" w:pos="-2268"/>
        </w:tabs>
        <w:suppressAutoHyphens/>
        <w:rPr>
          <w:spacing w:val="-3"/>
        </w:rPr>
      </w:pPr>
      <w:r w:rsidRPr="00BD1319">
        <w:rPr>
          <w:spacing w:val="-3"/>
        </w:rPr>
        <w:t>Adicional</w:t>
      </w:r>
      <w:r w:rsidR="00DD0D07" w:rsidRPr="00BD1319">
        <w:rPr>
          <w:spacing w:val="-3"/>
        </w:rPr>
        <w:t>mente,</w:t>
      </w:r>
      <w:r w:rsidRPr="00BD1319">
        <w:rPr>
          <w:spacing w:val="-3"/>
        </w:rPr>
        <w:t xml:space="preserve"> se debe tener en cuenta la </w:t>
      </w:r>
      <w:r w:rsidRPr="00BD1319">
        <w:rPr>
          <w:rFonts w:cs="Arial"/>
          <w:spacing w:val="-3"/>
        </w:rPr>
        <w:t xml:space="preserve">normativa </w:t>
      </w:r>
      <w:r w:rsidR="00EF4209" w:rsidRPr="00BD1319">
        <w:rPr>
          <w:rFonts w:cs="Arial"/>
          <w:spacing w:val="-3"/>
        </w:rPr>
        <w:t xml:space="preserve">en </w:t>
      </w:r>
      <w:r w:rsidR="00487867" w:rsidRPr="00BD1319">
        <w:rPr>
          <w:rFonts w:cs="Arial"/>
          <w:color w:val="222222"/>
          <w:shd w:val="clear" w:color="auto" w:fill="FFFFFF"/>
        </w:rPr>
        <w:t>materia de gestión d</w:t>
      </w:r>
      <w:r w:rsidR="00EF4209" w:rsidRPr="00BD1319">
        <w:rPr>
          <w:rFonts w:cs="Arial"/>
          <w:color w:val="222222"/>
          <w:shd w:val="clear" w:color="auto" w:fill="FFFFFF"/>
        </w:rPr>
        <w:t>ocumental</w:t>
      </w:r>
      <w:r w:rsidRPr="00BD1319">
        <w:rPr>
          <w:rFonts w:cs="Arial"/>
          <w:spacing w:val="-3"/>
        </w:rPr>
        <w:t xml:space="preserve"> vigente</w:t>
      </w:r>
      <w:r w:rsidRPr="00BD1319">
        <w:rPr>
          <w:spacing w:val="-3"/>
        </w:rPr>
        <w:t xml:space="preserve">, en particular el </w:t>
      </w:r>
      <w:r w:rsidR="004A04D5" w:rsidRPr="00BD1319">
        <w:rPr>
          <w:spacing w:val="-3"/>
        </w:rPr>
        <w:t>artículo</w:t>
      </w:r>
      <w:r w:rsidR="0003027D" w:rsidRPr="00BD1319">
        <w:rPr>
          <w:spacing w:val="-3"/>
        </w:rPr>
        <w:t xml:space="preserve"> 30 del </w:t>
      </w:r>
      <w:r w:rsidRPr="00BD1319">
        <w:rPr>
          <w:spacing w:val="-3"/>
        </w:rPr>
        <w:t>Decreto 2609 de 2012</w:t>
      </w:r>
      <w:r w:rsidR="0024221F" w:rsidRPr="00BD1319">
        <w:rPr>
          <w:spacing w:val="-3"/>
        </w:rPr>
        <w:t xml:space="preserve"> (compilado en el Decreto 1080 de 2015)</w:t>
      </w:r>
      <w:r w:rsidRPr="00BD1319">
        <w:rPr>
          <w:spacing w:val="-3"/>
        </w:rPr>
        <w:t xml:space="preserve">, </w:t>
      </w:r>
      <w:r w:rsidRPr="00BD1319">
        <w:rPr>
          <w:rFonts w:cs="Arial"/>
          <w:spacing w:val="-3"/>
        </w:rPr>
        <w:t xml:space="preserve">o </w:t>
      </w:r>
      <w:r w:rsidR="00DD0D07" w:rsidRPr="00BD1319">
        <w:rPr>
          <w:rFonts w:cs="Arial"/>
          <w:spacing w:val="-3"/>
        </w:rPr>
        <w:t xml:space="preserve">de </w:t>
      </w:r>
      <w:r w:rsidRPr="00BD1319">
        <w:rPr>
          <w:rFonts w:cs="Arial"/>
          <w:spacing w:val="-3"/>
        </w:rPr>
        <w:t>aquel que lo modifique o sustituya</w:t>
      </w:r>
      <w:r w:rsidRPr="00BD1319">
        <w:rPr>
          <w:spacing w:val="-3"/>
        </w:rPr>
        <w:t>.</w:t>
      </w:r>
    </w:p>
    <w:p w14:paraId="1BD0A85F" w14:textId="77777777" w:rsidR="00A101A4" w:rsidRPr="00BD1319" w:rsidRDefault="00A101A4">
      <w:pPr>
        <w:numPr>
          <w:ilvl w:val="12"/>
          <w:numId w:val="0"/>
        </w:numPr>
        <w:tabs>
          <w:tab w:val="left" w:pos="-2268"/>
        </w:tabs>
        <w:suppressAutoHyphens/>
        <w:rPr>
          <w:spacing w:val="-3"/>
        </w:rPr>
      </w:pPr>
    </w:p>
    <w:p w14:paraId="2ED7F704" w14:textId="49B31383" w:rsidR="00A101A4" w:rsidRPr="00BD1319" w:rsidRDefault="00A101A4">
      <w:pPr>
        <w:numPr>
          <w:ilvl w:val="12"/>
          <w:numId w:val="0"/>
        </w:numPr>
        <w:tabs>
          <w:tab w:val="left" w:pos="-2268"/>
        </w:tabs>
        <w:suppressAutoHyphens/>
        <w:rPr>
          <w:spacing w:val="-3"/>
        </w:rPr>
      </w:pPr>
      <w:r w:rsidRPr="00BD1319">
        <w:rPr>
          <w:spacing w:val="-3"/>
        </w:rPr>
        <w:t xml:space="preserve">La edición del </w:t>
      </w:r>
      <w:r w:rsidR="00DB47B5" w:rsidRPr="00BD1319">
        <w:rPr>
          <w:spacing w:val="-3"/>
        </w:rPr>
        <w:t xml:space="preserve">documento </w:t>
      </w:r>
      <w:r w:rsidRPr="00BD1319">
        <w:rPr>
          <w:spacing w:val="-3"/>
        </w:rPr>
        <w:t>debe mantener una subdivisión de los capítulos por temas, procurando una presentación que permita facilidad y claridad durante la lectura. Los términos técnicos que no tengan un uso común deben explicarse.</w:t>
      </w:r>
    </w:p>
    <w:p w14:paraId="2E2C1844" w14:textId="77777777" w:rsidR="00A101A4" w:rsidRPr="00BD1319" w:rsidRDefault="00A101A4">
      <w:pPr>
        <w:numPr>
          <w:ilvl w:val="12"/>
          <w:numId w:val="0"/>
        </w:numPr>
        <w:tabs>
          <w:tab w:val="left" w:pos="-2268"/>
        </w:tabs>
        <w:suppressAutoHyphens/>
        <w:rPr>
          <w:spacing w:val="-3"/>
        </w:rPr>
      </w:pPr>
    </w:p>
    <w:p w14:paraId="6CABAAF0" w14:textId="0CD72518" w:rsidR="00A101A4" w:rsidRPr="00BD1319" w:rsidRDefault="00A101A4">
      <w:pPr>
        <w:numPr>
          <w:ilvl w:val="12"/>
          <w:numId w:val="0"/>
        </w:numPr>
        <w:tabs>
          <w:tab w:val="left" w:pos="-2268"/>
        </w:tabs>
        <w:suppressAutoHyphens/>
        <w:rPr>
          <w:spacing w:val="-3"/>
        </w:rPr>
      </w:pPr>
      <w:r w:rsidRPr="00BD1319">
        <w:rPr>
          <w:spacing w:val="-3"/>
        </w:rPr>
        <w:t xml:space="preserve">Los procedimientos de recolección de datos técnicos deben estar de acuerdo con lo establecido por las entidades o institutos encargados del manejo de </w:t>
      </w:r>
      <w:r w:rsidR="00456981" w:rsidRPr="00BD1319">
        <w:rPr>
          <w:spacing w:val="-3"/>
        </w:rPr>
        <w:t>éstos</w:t>
      </w:r>
      <w:r w:rsidRPr="00BD1319">
        <w:rPr>
          <w:spacing w:val="-3"/>
        </w:rPr>
        <w:t>.</w:t>
      </w:r>
    </w:p>
    <w:p w14:paraId="10C9A8E9" w14:textId="77777777" w:rsidR="00A101A4" w:rsidRPr="00BD1319" w:rsidRDefault="00A101A4">
      <w:pPr>
        <w:numPr>
          <w:ilvl w:val="12"/>
          <w:numId w:val="0"/>
        </w:numPr>
        <w:tabs>
          <w:tab w:val="left" w:pos="-2268"/>
        </w:tabs>
        <w:suppressAutoHyphens/>
        <w:rPr>
          <w:spacing w:val="-3"/>
        </w:rPr>
      </w:pPr>
    </w:p>
    <w:p w14:paraId="23619F87" w14:textId="77777777" w:rsidR="00A101A4" w:rsidRPr="00BD1319" w:rsidRDefault="00A101A4">
      <w:pPr>
        <w:numPr>
          <w:ilvl w:val="12"/>
          <w:numId w:val="0"/>
        </w:numPr>
        <w:tabs>
          <w:tab w:val="left" w:pos="-2268"/>
        </w:tabs>
        <w:suppressAutoHyphens/>
        <w:rPr>
          <w:spacing w:val="-3"/>
        </w:rPr>
      </w:pPr>
      <w:r w:rsidRPr="00BD1319">
        <w:rPr>
          <w:spacing w:val="-3"/>
        </w:rPr>
        <w:t>En el caso de utilizar datos no oficiales es imprescindible explicar las razones para su empleo y la importancia para ser considerados dentro del estudio.</w:t>
      </w:r>
    </w:p>
    <w:p w14:paraId="7331D050" w14:textId="77777777" w:rsidR="00A101A4" w:rsidRPr="00BD1319" w:rsidRDefault="00A101A4">
      <w:pPr>
        <w:numPr>
          <w:ilvl w:val="12"/>
          <w:numId w:val="0"/>
        </w:numPr>
        <w:tabs>
          <w:tab w:val="left" w:pos="-2268"/>
        </w:tabs>
        <w:suppressAutoHyphens/>
        <w:rPr>
          <w:spacing w:val="-3"/>
        </w:rPr>
      </w:pPr>
    </w:p>
    <w:p w14:paraId="591177D6" w14:textId="313A8802" w:rsidR="00A101A4" w:rsidRPr="00BD1319" w:rsidRDefault="00A101A4">
      <w:pPr>
        <w:numPr>
          <w:ilvl w:val="12"/>
          <w:numId w:val="0"/>
        </w:numPr>
        <w:tabs>
          <w:tab w:val="left" w:pos="-2268"/>
        </w:tabs>
        <w:suppressAutoHyphens/>
        <w:rPr>
          <w:spacing w:val="-3"/>
        </w:rPr>
      </w:pPr>
      <w:r w:rsidRPr="00BD1319">
        <w:rPr>
          <w:spacing w:val="-3"/>
        </w:rPr>
        <w:t xml:space="preserve">Se debe mantener uniformidad en las unidades de medida de acuerdo con la NTC 1000 </w:t>
      </w:r>
      <w:r w:rsidR="008F4EA9" w:rsidRPr="00BD1319">
        <w:rPr>
          <w:spacing w:val="-3"/>
        </w:rPr>
        <w:t>“M</w:t>
      </w:r>
      <w:r w:rsidRPr="00BD1319">
        <w:rPr>
          <w:spacing w:val="-3"/>
        </w:rPr>
        <w:t>etrología.</w:t>
      </w:r>
      <w:r w:rsidR="008F4EA9" w:rsidRPr="00BD1319">
        <w:rPr>
          <w:spacing w:val="-3"/>
        </w:rPr>
        <w:t xml:space="preserve"> Sistema internacional de unidades”</w:t>
      </w:r>
      <w:r w:rsidR="00B51EF9" w:rsidRPr="00BD1319">
        <w:rPr>
          <w:spacing w:val="-3"/>
        </w:rPr>
        <w:t xml:space="preserve"> o aquella que la </w:t>
      </w:r>
      <w:r w:rsidR="0024221F" w:rsidRPr="00BD1319">
        <w:rPr>
          <w:spacing w:val="-3"/>
        </w:rPr>
        <w:t>actualice o complemente</w:t>
      </w:r>
      <w:r w:rsidR="008F4EA9" w:rsidRPr="00BD1319">
        <w:rPr>
          <w:spacing w:val="-3"/>
        </w:rPr>
        <w:t>.</w:t>
      </w:r>
    </w:p>
    <w:p w14:paraId="0E2F2071" w14:textId="77777777" w:rsidR="00A101A4" w:rsidRPr="00BD1319" w:rsidRDefault="00A101A4">
      <w:pPr>
        <w:numPr>
          <w:ilvl w:val="12"/>
          <w:numId w:val="0"/>
        </w:numPr>
        <w:tabs>
          <w:tab w:val="left" w:pos="-2268"/>
        </w:tabs>
        <w:suppressAutoHyphens/>
        <w:rPr>
          <w:spacing w:val="-3"/>
        </w:rPr>
      </w:pPr>
    </w:p>
    <w:p w14:paraId="40FC3E68" w14:textId="0C4E1487" w:rsidR="00A101A4" w:rsidRPr="00BD1319" w:rsidRDefault="00A101A4">
      <w:pPr>
        <w:numPr>
          <w:ilvl w:val="12"/>
          <w:numId w:val="0"/>
        </w:numPr>
        <w:tabs>
          <w:tab w:val="left" w:pos="-2268"/>
        </w:tabs>
        <w:suppressAutoHyphens/>
        <w:rPr>
          <w:spacing w:val="-3"/>
        </w:rPr>
      </w:pPr>
      <w:r w:rsidRPr="00BD1319">
        <w:rPr>
          <w:spacing w:val="-3"/>
        </w:rPr>
        <w:t>Las magnitudes físicas que se registren en los estudios ambientales deben estar expresadas en las unidades previstas en la NTC 1000, empleando los símbolos y prefijos asociados a ellas; lo anterior aplica tanto para las unidades del Sistema Internacional de Unidades (SI) como para otras que son aceptadas por el Comité Internacional de Pesas y Medidas (CIPM).</w:t>
      </w:r>
    </w:p>
    <w:p w14:paraId="44F11EBD" w14:textId="77777777" w:rsidR="00F04B5F" w:rsidRPr="00BD1319" w:rsidRDefault="00F04B5F" w:rsidP="00F04B5F">
      <w:pPr>
        <w:numPr>
          <w:ilvl w:val="12"/>
          <w:numId w:val="0"/>
        </w:numPr>
        <w:tabs>
          <w:tab w:val="left" w:pos="-2268"/>
        </w:tabs>
        <w:suppressAutoHyphens/>
        <w:rPr>
          <w:rFonts w:cs="Arial"/>
          <w:spacing w:val="-3"/>
        </w:rPr>
      </w:pPr>
      <w:bookmarkStart w:id="1948" w:name="_Toc42353709"/>
    </w:p>
    <w:p w14:paraId="22F3C516" w14:textId="77777777" w:rsidR="00A101A4" w:rsidRPr="00BD1319" w:rsidRDefault="00A101A4" w:rsidP="009420F5">
      <w:pPr>
        <w:pStyle w:val="Ttulo2"/>
        <w:rPr>
          <w:lang w:val="es-CO"/>
        </w:rPr>
      </w:pPr>
      <w:bookmarkStart w:id="1949" w:name="_Toc175326669"/>
      <w:r w:rsidRPr="00BD1319">
        <w:rPr>
          <w:lang w:val="es-CO"/>
        </w:rPr>
        <w:t>ESPECIFICACIONES PARA LA PRESENTACIÓN DEL ESTUDIO</w:t>
      </w:r>
      <w:bookmarkEnd w:id="1948"/>
      <w:bookmarkEnd w:id="1949"/>
    </w:p>
    <w:p w14:paraId="7CDCAA9D" w14:textId="77777777" w:rsidR="00A101A4" w:rsidRPr="00BD1319" w:rsidRDefault="00A101A4" w:rsidP="00C86DA5"/>
    <w:p w14:paraId="388A5022" w14:textId="76005A55" w:rsidR="00A101A4" w:rsidRPr="00BD1319" w:rsidRDefault="00A101A4">
      <w:pPr>
        <w:pStyle w:val="Textosinformato"/>
        <w:rPr>
          <w:rFonts w:ascii="Arial" w:hAnsi="Arial"/>
          <w:spacing w:val="-3"/>
          <w:sz w:val="24"/>
        </w:rPr>
      </w:pPr>
      <w:r w:rsidRPr="00BD1319">
        <w:rPr>
          <w:rFonts w:ascii="Arial" w:hAnsi="Arial" w:cs="Arial"/>
          <w:spacing w:val="-3"/>
          <w:sz w:val="24"/>
          <w:szCs w:val="24"/>
        </w:rPr>
        <w:t xml:space="preserve">La información que se presente en el estudio ambiental debe ser legible a fin de que las autoridades ambientales puedan evaluarlo de forma eficiente. </w:t>
      </w:r>
      <w:r w:rsidRPr="00BD1319">
        <w:rPr>
          <w:rFonts w:ascii="Arial" w:hAnsi="Arial"/>
          <w:spacing w:val="-3"/>
          <w:sz w:val="24"/>
        </w:rPr>
        <w:t xml:space="preserve">Teniendo en cuenta las especificaciones técnicas descritas anteriormente, la presentación del estudio ambiental </w:t>
      </w:r>
      <w:r w:rsidR="00203EE2" w:rsidRPr="00BD1319">
        <w:rPr>
          <w:rFonts w:ascii="Arial" w:hAnsi="Arial"/>
          <w:spacing w:val="-3"/>
          <w:sz w:val="24"/>
        </w:rPr>
        <w:t>y</w:t>
      </w:r>
      <w:r w:rsidRPr="00BD1319">
        <w:rPr>
          <w:rFonts w:ascii="Arial" w:hAnsi="Arial"/>
          <w:spacing w:val="-3"/>
          <w:sz w:val="24"/>
        </w:rPr>
        <w:t xml:space="preserve"> sus respectivos anexos</w:t>
      </w:r>
      <w:r w:rsidR="0003027D" w:rsidRPr="00BD1319">
        <w:rPr>
          <w:rFonts w:ascii="Arial" w:hAnsi="Arial"/>
          <w:spacing w:val="-3"/>
          <w:sz w:val="24"/>
        </w:rPr>
        <w:t>,</w:t>
      </w:r>
      <w:r w:rsidRPr="00BD1319">
        <w:rPr>
          <w:rFonts w:ascii="Arial" w:hAnsi="Arial"/>
          <w:spacing w:val="-3"/>
          <w:sz w:val="24"/>
        </w:rPr>
        <w:t xml:space="preserve"> debe seguir las siguientes indicaciones con respecto a los formatos, estructura, nomenclatura, entre otros</w:t>
      </w:r>
      <w:r w:rsidR="008F4EA9" w:rsidRPr="00BD1319">
        <w:rPr>
          <w:rFonts w:ascii="Arial" w:hAnsi="Arial"/>
          <w:spacing w:val="-3"/>
          <w:sz w:val="24"/>
        </w:rPr>
        <w:t>.</w:t>
      </w:r>
    </w:p>
    <w:p w14:paraId="2D30EF03" w14:textId="77777777" w:rsidR="00A101A4" w:rsidRPr="00BD1319" w:rsidRDefault="00A101A4" w:rsidP="00C86DA5">
      <w:pPr>
        <w:pStyle w:val="Textosinformato"/>
        <w:rPr>
          <w:rFonts w:ascii="Arial" w:hAnsi="Arial" w:cs="Arial"/>
          <w:spacing w:val="-3"/>
          <w:sz w:val="24"/>
          <w:szCs w:val="24"/>
        </w:rPr>
      </w:pPr>
    </w:p>
    <w:p w14:paraId="2D42CE70" w14:textId="0696759B" w:rsidR="005D6435" w:rsidRPr="00BD1319" w:rsidRDefault="005D6435" w:rsidP="00C86DA5">
      <w:pPr>
        <w:pStyle w:val="Textosinformato"/>
        <w:rPr>
          <w:rFonts w:ascii="Arial" w:hAnsi="Arial" w:cs="Arial"/>
          <w:spacing w:val="-3"/>
          <w:sz w:val="24"/>
          <w:szCs w:val="24"/>
        </w:rPr>
      </w:pPr>
      <w:r w:rsidRPr="00BD1319">
        <w:rPr>
          <w:rFonts w:ascii="Arial" w:hAnsi="Arial" w:cs="Arial"/>
          <w:spacing w:val="-3"/>
          <w:sz w:val="24"/>
          <w:szCs w:val="24"/>
        </w:rPr>
        <w:t xml:space="preserve">Asimismo, los valores numéricos correspondientes a coordenadas proyectadas, áreas, perímetros y longitudes, deben ser presentados con al menos dos decimales en los numerales de los estudios ambientales </w:t>
      </w:r>
      <w:r w:rsidR="00203EE2" w:rsidRPr="00BD1319">
        <w:rPr>
          <w:rFonts w:ascii="Arial" w:hAnsi="Arial" w:cs="Arial"/>
          <w:spacing w:val="-3"/>
          <w:sz w:val="24"/>
          <w:szCs w:val="24"/>
        </w:rPr>
        <w:t xml:space="preserve">y </w:t>
      </w:r>
      <w:r w:rsidRPr="00BD1319">
        <w:rPr>
          <w:rFonts w:ascii="Arial" w:hAnsi="Arial" w:cs="Arial"/>
          <w:spacing w:val="-3"/>
          <w:sz w:val="24"/>
          <w:szCs w:val="24"/>
        </w:rPr>
        <w:t>anexos en los que se incluyan.</w:t>
      </w:r>
    </w:p>
    <w:p w14:paraId="0FF24106" w14:textId="77777777" w:rsidR="005D6435" w:rsidRPr="00BD1319" w:rsidRDefault="005D6435" w:rsidP="00C86DA5">
      <w:pPr>
        <w:pStyle w:val="Textosinformato"/>
        <w:rPr>
          <w:rFonts w:ascii="Arial" w:hAnsi="Arial" w:cs="Arial"/>
          <w:spacing w:val="-3"/>
          <w:sz w:val="24"/>
          <w:szCs w:val="24"/>
        </w:rPr>
      </w:pPr>
    </w:p>
    <w:p w14:paraId="494E0494" w14:textId="4C424508" w:rsidR="00A101A4" w:rsidRPr="00BD1319" w:rsidRDefault="00A101A4" w:rsidP="00216955">
      <w:pPr>
        <w:pStyle w:val="Ttulo3"/>
      </w:pPr>
      <w:bookmarkStart w:id="1950" w:name="_Toc42353710"/>
      <w:bookmarkStart w:id="1951" w:name="_Toc175326670"/>
      <w:r w:rsidRPr="00BD1319">
        <w:t>Formatos de archivos</w:t>
      </w:r>
      <w:bookmarkEnd w:id="1950"/>
      <w:bookmarkEnd w:id="1951"/>
    </w:p>
    <w:p w14:paraId="51128E56" w14:textId="77777777" w:rsidR="00A101A4" w:rsidRPr="00BD1319" w:rsidRDefault="00A101A4">
      <w:pPr>
        <w:numPr>
          <w:ilvl w:val="12"/>
          <w:numId w:val="0"/>
        </w:numPr>
        <w:tabs>
          <w:tab w:val="left" w:pos="-2268"/>
        </w:tabs>
        <w:suppressAutoHyphens/>
        <w:rPr>
          <w:spacing w:val="-3"/>
        </w:rPr>
      </w:pPr>
    </w:p>
    <w:p w14:paraId="4FEB5AA6" w14:textId="40ABA9A8" w:rsidR="00A101A4" w:rsidRPr="00BD1319" w:rsidRDefault="00A101A4">
      <w:pPr>
        <w:numPr>
          <w:ilvl w:val="12"/>
          <w:numId w:val="0"/>
        </w:numPr>
        <w:tabs>
          <w:tab w:val="left" w:pos="-2268"/>
        </w:tabs>
        <w:suppressAutoHyphens/>
        <w:rPr>
          <w:spacing w:val="-3"/>
        </w:rPr>
      </w:pPr>
      <w:r w:rsidRPr="00BD1319">
        <w:rPr>
          <w:spacing w:val="-3"/>
        </w:rPr>
        <w:t xml:space="preserve">La elaboración del estudio ambiental requiere el levantamiento, análisis y procesamiento de información de diversas fuentes, de las cuales se pueden obtener evidencias o soportes almacenados en archivos </w:t>
      </w:r>
      <w:r w:rsidR="008F4EA9" w:rsidRPr="00BD1319">
        <w:rPr>
          <w:spacing w:val="-3"/>
        </w:rPr>
        <w:t xml:space="preserve">digitales de </w:t>
      </w:r>
      <w:r w:rsidRPr="00BD1319">
        <w:rPr>
          <w:spacing w:val="-3"/>
        </w:rPr>
        <w:t>texto, im</w:t>
      </w:r>
      <w:r w:rsidR="008F4EA9" w:rsidRPr="00BD1319">
        <w:rPr>
          <w:spacing w:val="-3"/>
        </w:rPr>
        <w:t>a</w:t>
      </w:r>
      <w:r w:rsidRPr="00BD1319">
        <w:rPr>
          <w:spacing w:val="-3"/>
        </w:rPr>
        <w:t>gen, audio, video, entre otros. Para la presentación de esta información, ya sea en el documento del estudio o dentro de los anexos, se deben utilizar los siguientes formatos, pues permiten visualizar y utilizar la información a la vez que optimizan el tamaño de los archivos:</w:t>
      </w:r>
    </w:p>
    <w:p w14:paraId="1301713E" w14:textId="77777777" w:rsidR="00A101A4" w:rsidRPr="00BD1319" w:rsidRDefault="00A101A4">
      <w:pPr>
        <w:numPr>
          <w:ilvl w:val="12"/>
          <w:numId w:val="0"/>
        </w:numPr>
        <w:tabs>
          <w:tab w:val="left" w:pos="-2268"/>
        </w:tabs>
        <w:suppressAutoHyphens/>
        <w:rPr>
          <w:spacing w:val="-3"/>
        </w:rPr>
      </w:pPr>
    </w:p>
    <w:p w14:paraId="39621052" w14:textId="1E786831" w:rsidR="00A101A4" w:rsidRPr="00BD1319" w:rsidRDefault="00A101A4" w:rsidP="00C86DA5">
      <w:pPr>
        <w:pStyle w:val="Descripcin"/>
        <w:jc w:val="center"/>
        <w:rPr>
          <w:b w:val="0"/>
          <w:spacing w:val="-3"/>
        </w:rPr>
      </w:pPr>
      <w:r w:rsidRPr="00BD1319">
        <w:t xml:space="preserve">Tabla </w:t>
      </w:r>
      <w:fldSimple w:instr=" SEQ Tabla \* ARABIC ">
        <w:r w:rsidR="00296654" w:rsidRPr="00BD1319">
          <w:rPr>
            <w:noProof/>
          </w:rPr>
          <w:t>6</w:t>
        </w:r>
      </w:fldSimple>
      <w:r w:rsidRPr="00BD1319">
        <w:rPr>
          <w:spacing w:val="-3"/>
        </w:rPr>
        <w:t>.</w:t>
      </w:r>
      <w:r w:rsidRPr="00BD1319">
        <w:rPr>
          <w:b w:val="0"/>
          <w:spacing w:val="-3"/>
        </w:rPr>
        <w:t xml:space="preserve"> Formatos de archivos</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16"/>
        <w:gridCol w:w="4592"/>
      </w:tblGrid>
      <w:tr w:rsidR="00A101A4" w:rsidRPr="00BD1319" w14:paraId="08D9B101" w14:textId="77777777" w:rsidTr="009420F5">
        <w:trPr>
          <w:trHeight w:val="567"/>
          <w:jc w:val="center"/>
        </w:trPr>
        <w:tc>
          <w:tcPr>
            <w:tcW w:w="4516" w:type="dxa"/>
            <w:shd w:val="clear" w:color="auto" w:fill="auto"/>
            <w:vAlign w:val="center"/>
          </w:tcPr>
          <w:p w14:paraId="0218E77E" w14:textId="2D1E609A" w:rsidR="00A101A4" w:rsidRPr="00BD1319" w:rsidRDefault="00F04B5F" w:rsidP="00BA45DD">
            <w:pPr>
              <w:numPr>
                <w:ilvl w:val="12"/>
                <w:numId w:val="0"/>
              </w:numPr>
              <w:tabs>
                <w:tab w:val="left" w:pos="-2268"/>
              </w:tabs>
              <w:suppressAutoHyphens/>
              <w:jc w:val="center"/>
              <w:rPr>
                <w:i/>
                <w:spacing w:val="-3"/>
                <w:sz w:val="22"/>
              </w:rPr>
            </w:pPr>
            <w:r w:rsidRPr="00BD1319">
              <w:rPr>
                <w:rFonts w:cs="Arial"/>
                <w:b/>
                <w:bCs/>
                <w:spacing w:val="-3"/>
                <w:sz w:val="22"/>
              </w:rPr>
              <w:t>Tipo de archivos</w:t>
            </w:r>
          </w:p>
        </w:tc>
        <w:tc>
          <w:tcPr>
            <w:tcW w:w="4592" w:type="dxa"/>
            <w:shd w:val="clear" w:color="auto" w:fill="auto"/>
            <w:vAlign w:val="center"/>
          </w:tcPr>
          <w:p w14:paraId="10758E1D" w14:textId="016CBA28" w:rsidR="00A101A4" w:rsidRPr="00BD1319" w:rsidRDefault="00F04B5F" w:rsidP="00BA45DD">
            <w:pPr>
              <w:numPr>
                <w:ilvl w:val="12"/>
                <w:numId w:val="0"/>
              </w:numPr>
              <w:tabs>
                <w:tab w:val="left" w:pos="-2268"/>
              </w:tabs>
              <w:suppressAutoHyphens/>
              <w:jc w:val="center"/>
              <w:rPr>
                <w:i/>
                <w:spacing w:val="-3"/>
                <w:sz w:val="22"/>
              </w:rPr>
            </w:pPr>
            <w:r w:rsidRPr="00BD1319">
              <w:rPr>
                <w:rFonts w:cs="Arial"/>
                <w:b/>
                <w:bCs/>
                <w:spacing w:val="-3"/>
                <w:sz w:val="22"/>
              </w:rPr>
              <w:t>Formatos recomendados</w:t>
            </w:r>
          </w:p>
        </w:tc>
      </w:tr>
      <w:tr w:rsidR="00A101A4" w:rsidRPr="00017D31" w14:paraId="078862A6" w14:textId="77777777" w:rsidTr="009420F5">
        <w:trPr>
          <w:trHeight w:val="567"/>
          <w:jc w:val="center"/>
        </w:trPr>
        <w:tc>
          <w:tcPr>
            <w:tcW w:w="4516" w:type="dxa"/>
            <w:vAlign w:val="center"/>
          </w:tcPr>
          <w:p w14:paraId="22681BE7" w14:textId="77777777" w:rsidR="00A101A4" w:rsidRPr="00BD1319" w:rsidRDefault="00A101A4">
            <w:pPr>
              <w:numPr>
                <w:ilvl w:val="12"/>
                <w:numId w:val="0"/>
              </w:numPr>
              <w:tabs>
                <w:tab w:val="left" w:pos="-2268"/>
              </w:tabs>
              <w:suppressAutoHyphens/>
              <w:rPr>
                <w:i/>
                <w:spacing w:val="-3"/>
                <w:sz w:val="22"/>
              </w:rPr>
            </w:pPr>
            <w:r w:rsidRPr="00BD1319">
              <w:rPr>
                <w:spacing w:val="-3"/>
                <w:sz w:val="22"/>
              </w:rPr>
              <w:t>Texto</w:t>
            </w:r>
          </w:p>
        </w:tc>
        <w:tc>
          <w:tcPr>
            <w:tcW w:w="4592" w:type="dxa"/>
            <w:vAlign w:val="center"/>
          </w:tcPr>
          <w:p w14:paraId="0F032AAA" w14:textId="2BB51C46" w:rsidR="00A101A4" w:rsidRPr="00BD1319" w:rsidRDefault="00A101A4" w:rsidP="009420F5">
            <w:pPr>
              <w:tabs>
                <w:tab w:val="left" w:pos="-2268"/>
              </w:tabs>
              <w:suppressAutoHyphens/>
              <w:ind w:left="-9"/>
              <w:rPr>
                <w:spacing w:val="-3"/>
                <w:sz w:val="22"/>
                <w:lang w:val="en-US"/>
              </w:rPr>
            </w:pPr>
            <w:r w:rsidRPr="00BD1319">
              <w:rPr>
                <w:spacing w:val="-3"/>
                <w:sz w:val="22"/>
                <w:lang w:val="en-US"/>
              </w:rPr>
              <w:t>pdf, A full text</w:t>
            </w:r>
            <w:r w:rsidRPr="00BD1319">
              <w:rPr>
                <w:rFonts w:cs="Arial"/>
                <w:spacing w:val="-3"/>
                <w:sz w:val="22"/>
                <w:lang w:val="en-US"/>
              </w:rPr>
              <w:t>, doc</w:t>
            </w:r>
            <w:r w:rsidR="00BD2BE8" w:rsidRPr="00BD1319">
              <w:rPr>
                <w:rFonts w:cs="Arial"/>
                <w:spacing w:val="-3"/>
                <w:sz w:val="22"/>
                <w:lang w:val="en-US"/>
              </w:rPr>
              <w:t>x.</w:t>
            </w:r>
          </w:p>
        </w:tc>
      </w:tr>
      <w:tr w:rsidR="00A101A4" w:rsidRPr="00BD1319" w14:paraId="671DA5B5" w14:textId="77777777" w:rsidTr="009420F5">
        <w:trPr>
          <w:trHeight w:val="567"/>
          <w:jc w:val="center"/>
        </w:trPr>
        <w:tc>
          <w:tcPr>
            <w:tcW w:w="4516" w:type="dxa"/>
            <w:vAlign w:val="center"/>
          </w:tcPr>
          <w:p w14:paraId="163D3833" w14:textId="77777777" w:rsidR="00A101A4" w:rsidRPr="00BD1319" w:rsidRDefault="00A101A4">
            <w:pPr>
              <w:numPr>
                <w:ilvl w:val="12"/>
                <w:numId w:val="0"/>
              </w:numPr>
              <w:tabs>
                <w:tab w:val="left" w:pos="-2268"/>
              </w:tabs>
              <w:suppressAutoHyphens/>
              <w:rPr>
                <w:i/>
                <w:spacing w:val="-3"/>
                <w:sz w:val="22"/>
              </w:rPr>
            </w:pPr>
            <w:r w:rsidRPr="00BD1319">
              <w:rPr>
                <w:spacing w:val="-3"/>
                <w:sz w:val="22"/>
              </w:rPr>
              <w:t>Imágenes o fotografías</w:t>
            </w:r>
          </w:p>
        </w:tc>
        <w:tc>
          <w:tcPr>
            <w:tcW w:w="4592" w:type="dxa"/>
            <w:vAlign w:val="center"/>
          </w:tcPr>
          <w:p w14:paraId="45A1B15A" w14:textId="513BA3B1" w:rsidR="00A101A4" w:rsidRPr="00BD1319" w:rsidRDefault="00A101A4" w:rsidP="009420F5">
            <w:pPr>
              <w:numPr>
                <w:ilvl w:val="12"/>
                <w:numId w:val="0"/>
              </w:numPr>
              <w:tabs>
                <w:tab w:val="left" w:pos="-2268"/>
              </w:tabs>
              <w:suppressAutoHyphens/>
              <w:ind w:left="-9"/>
              <w:rPr>
                <w:spacing w:val="-3"/>
                <w:sz w:val="22"/>
              </w:rPr>
            </w:pPr>
            <w:proofErr w:type="spellStart"/>
            <w:r w:rsidRPr="00BD1319">
              <w:rPr>
                <w:spacing w:val="-3"/>
                <w:sz w:val="22"/>
              </w:rPr>
              <w:t>jpg</w:t>
            </w:r>
            <w:proofErr w:type="spellEnd"/>
            <w:r w:rsidRPr="00BD1319">
              <w:rPr>
                <w:spacing w:val="-3"/>
                <w:sz w:val="22"/>
              </w:rPr>
              <w:t xml:space="preserve">, png, </w:t>
            </w:r>
            <w:proofErr w:type="spellStart"/>
            <w:r w:rsidRPr="00BD1319">
              <w:rPr>
                <w:spacing w:val="-3"/>
                <w:sz w:val="22"/>
              </w:rPr>
              <w:t>bmp</w:t>
            </w:r>
            <w:proofErr w:type="spellEnd"/>
            <w:r w:rsidR="00BD2BE8" w:rsidRPr="00BD1319">
              <w:rPr>
                <w:spacing w:val="-3"/>
                <w:sz w:val="22"/>
              </w:rPr>
              <w:t>.</w:t>
            </w:r>
          </w:p>
        </w:tc>
      </w:tr>
      <w:tr w:rsidR="00A101A4" w:rsidRPr="00BD1319" w14:paraId="17148B4F" w14:textId="77777777" w:rsidTr="009420F5">
        <w:trPr>
          <w:trHeight w:val="567"/>
          <w:jc w:val="center"/>
        </w:trPr>
        <w:tc>
          <w:tcPr>
            <w:tcW w:w="4516" w:type="dxa"/>
            <w:vAlign w:val="center"/>
          </w:tcPr>
          <w:p w14:paraId="776AECB0" w14:textId="77777777" w:rsidR="00A101A4" w:rsidRPr="00BD1319" w:rsidRDefault="00A101A4">
            <w:pPr>
              <w:numPr>
                <w:ilvl w:val="12"/>
                <w:numId w:val="0"/>
              </w:numPr>
              <w:tabs>
                <w:tab w:val="left" w:pos="-2268"/>
              </w:tabs>
              <w:suppressAutoHyphens/>
              <w:rPr>
                <w:i/>
                <w:spacing w:val="-3"/>
                <w:sz w:val="22"/>
              </w:rPr>
            </w:pPr>
            <w:r w:rsidRPr="00BD1319">
              <w:rPr>
                <w:spacing w:val="-3"/>
                <w:sz w:val="22"/>
              </w:rPr>
              <w:t>Fílmicos o videos</w:t>
            </w:r>
          </w:p>
        </w:tc>
        <w:tc>
          <w:tcPr>
            <w:tcW w:w="4592" w:type="dxa"/>
            <w:vAlign w:val="center"/>
          </w:tcPr>
          <w:p w14:paraId="5C071745" w14:textId="3BEF9B94" w:rsidR="00A101A4" w:rsidRPr="00BD1319" w:rsidRDefault="00A101A4" w:rsidP="009420F5">
            <w:pPr>
              <w:tabs>
                <w:tab w:val="left" w:pos="-2268"/>
              </w:tabs>
              <w:suppressAutoHyphens/>
              <w:ind w:left="-9"/>
              <w:rPr>
                <w:spacing w:val="-3"/>
                <w:sz w:val="22"/>
              </w:rPr>
            </w:pPr>
            <w:proofErr w:type="spellStart"/>
            <w:r w:rsidRPr="00BD1319">
              <w:rPr>
                <w:spacing w:val="-3"/>
                <w:sz w:val="22"/>
              </w:rPr>
              <w:t>Mpeg</w:t>
            </w:r>
            <w:proofErr w:type="spellEnd"/>
            <w:r w:rsidRPr="00BD1319">
              <w:rPr>
                <w:spacing w:val="-3"/>
                <w:sz w:val="22"/>
              </w:rPr>
              <w:t>, Mp4</w:t>
            </w:r>
            <w:r w:rsidR="00BD2BE8" w:rsidRPr="00BD1319">
              <w:rPr>
                <w:rFonts w:cs="Arial"/>
                <w:spacing w:val="-3"/>
                <w:sz w:val="22"/>
              </w:rPr>
              <w:t>.</w:t>
            </w:r>
          </w:p>
        </w:tc>
      </w:tr>
      <w:tr w:rsidR="00A101A4" w:rsidRPr="00BD1319" w14:paraId="6CB6B582" w14:textId="77777777" w:rsidTr="009420F5">
        <w:trPr>
          <w:trHeight w:val="567"/>
          <w:jc w:val="center"/>
        </w:trPr>
        <w:tc>
          <w:tcPr>
            <w:tcW w:w="4516" w:type="dxa"/>
            <w:vAlign w:val="center"/>
          </w:tcPr>
          <w:p w14:paraId="0A3115FE" w14:textId="77777777" w:rsidR="00A101A4" w:rsidRPr="00BD1319" w:rsidRDefault="00A101A4">
            <w:pPr>
              <w:numPr>
                <w:ilvl w:val="12"/>
                <w:numId w:val="0"/>
              </w:numPr>
              <w:tabs>
                <w:tab w:val="left" w:pos="-2268"/>
              </w:tabs>
              <w:suppressAutoHyphens/>
              <w:rPr>
                <w:i/>
                <w:spacing w:val="-3"/>
                <w:sz w:val="22"/>
              </w:rPr>
            </w:pPr>
            <w:r w:rsidRPr="00BD1319">
              <w:rPr>
                <w:spacing w:val="-3"/>
                <w:sz w:val="22"/>
              </w:rPr>
              <w:t>Audio</w:t>
            </w:r>
          </w:p>
        </w:tc>
        <w:tc>
          <w:tcPr>
            <w:tcW w:w="4592" w:type="dxa"/>
            <w:vAlign w:val="center"/>
          </w:tcPr>
          <w:p w14:paraId="18255EE8" w14:textId="7E69F16B" w:rsidR="00A101A4" w:rsidRPr="00BD1319" w:rsidRDefault="00A101A4" w:rsidP="009420F5">
            <w:pPr>
              <w:numPr>
                <w:ilvl w:val="12"/>
                <w:numId w:val="0"/>
              </w:numPr>
              <w:tabs>
                <w:tab w:val="left" w:pos="-2268"/>
              </w:tabs>
              <w:suppressAutoHyphens/>
              <w:ind w:left="-9"/>
              <w:rPr>
                <w:spacing w:val="-3"/>
                <w:sz w:val="22"/>
              </w:rPr>
            </w:pPr>
            <w:r w:rsidRPr="00BD1319">
              <w:rPr>
                <w:spacing w:val="-3"/>
                <w:sz w:val="22"/>
              </w:rPr>
              <w:t>Mp3</w:t>
            </w:r>
            <w:r w:rsidR="00203EE2" w:rsidRPr="00BD1319">
              <w:rPr>
                <w:spacing w:val="-3"/>
                <w:sz w:val="22"/>
              </w:rPr>
              <w:t xml:space="preserve">, AAC, </w:t>
            </w:r>
            <w:proofErr w:type="spellStart"/>
            <w:r w:rsidR="00203EE2" w:rsidRPr="00BD1319">
              <w:rPr>
                <w:spacing w:val="-3"/>
                <w:sz w:val="22"/>
              </w:rPr>
              <w:t>Flac</w:t>
            </w:r>
            <w:proofErr w:type="spellEnd"/>
            <w:r w:rsidR="00BD2BE8" w:rsidRPr="00BD1319">
              <w:rPr>
                <w:rFonts w:cs="Arial"/>
                <w:spacing w:val="-3"/>
                <w:sz w:val="22"/>
              </w:rPr>
              <w:t>.</w:t>
            </w:r>
          </w:p>
        </w:tc>
      </w:tr>
      <w:tr w:rsidR="00A101A4" w:rsidRPr="00BD1319" w14:paraId="55661089" w14:textId="77777777" w:rsidTr="009420F5">
        <w:trPr>
          <w:trHeight w:val="567"/>
          <w:jc w:val="center"/>
        </w:trPr>
        <w:tc>
          <w:tcPr>
            <w:tcW w:w="4516" w:type="dxa"/>
            <w:vAlign w:val="center"/>
          </w:tcPr>
          <w:p w14:paraId="385E2427" w14:textId="77777777" w:rsidR="00A101A4" w:rsidRPr="00BD1319" w:rsidRDefault="00A101A4">
            <w:pPr>
              <w:numPr>
                <w:ilvl w:val="12"/>
                <w:numId w:val="0"/>
              </w:numPr>
              <w:tabs>
                <w:tab w:val="left" w:pos="-2268"/>
              </w:tabs>
              <w:suppressAutoHyphens/>
              <w:rPr>
                <w:i/>
                <w:spacing w:val="-3"/>
                <w:sz w:val="22"/>
              </w:rPr>
            </w:pPr>
            <w:r w:rsidRPr="00BD1319">
              <w:rPr>
                <w:spacing w:val="-3"/>
                <w:sz w:val="22"/>
              </w:rPr>
              <w:t>Tablas, formatos o matrices</w:t>
            </w:r>
          </w:p>
        </w:tc>
        <w:tc>
          <w:tcPr>
            <w:tcW w:w="4592" w:type="dxa"/>
            <w:vAlign w:val="center"/>
          </w:tcPr>
          <w:p w14:paraId="0E9DC39D" w14:textId="14987A42" w:rsidR="00A101A4" w:rsidRPr="00BD1319" w:rsidRDefault="00E24F1A" w:rsidP="009420F5">
            <w:pPr>
              <w:numPr>
                <w:ilvl w:val="12"/>
                <w:numId w:val="0"/>
              </w:numPr>
              <w:tabs>
                <w:tab w:val="left" w:pos="-2268"/>
              </w:tabs>
              <w:suppressAutoHyphens/>
              <w:ind w:left="-9"/>
              <w:rPr>
                <w:spacing w:val="-3"/>
                <w:sz w:val="22"/>
              </w:rPr>
            </w:pPr>
            <w:r w:rsidRPr="00BD1319">
              <w:rPr>
                <w:rFonts w:cs="Arial"/>
                <w:spacing w:val="-3"/>
                <w:sz w:val="22"/>
              </w:rPr>
              <w:t>x</w:t>
            </w:r>
            <w:r w:rsidR="003018AE" w:rsidRPr="00BD1319">
              <w:rPr>
                <w:rFonts w:cs="Arial"/>
                <w:spacing w:val="-3"/>
                <w:sz w:val="22"/>
              </w:rPr>
              <w:t>lsx</w:t>
            </w:r>
            <w:r w:rsidRPr="00BD1319">
              <w:rPr>
                <w:rFonts w:cs="Arial"/>
                <w:spacing w:val="-3"/>
                <w:sz w:val="22"/>
              </w:rPr>
              <w:t xml:space="preserve">, </w:t>
            </w:r>
            <w:proofErr w:type="spellStart"/>
            <w:r w:rsidRPr="00BD1319">
              <w:rPr>
                <w:rFonts w:cs="Arial"/>
                <w:spacing w:val="-3"/>
                <w:sz w:val="22"/>
              </w:rPr>
              <w:t>csv</w:t>
            </w:r>
            <w:proofErr w:type="spellEnd"/>
            <w:r w:rsidRPr="00BD1319">
              <w:rPr>
                <w:rFonts w:cs="Arial"/>
                <w:spacing w:val="-3"/>
                <w:sz w:val="22"/>
              </w:rPr>
              <w:t xml:space="preserve">, </w:t>
            </w:r>
            <w:proofErr w:type="spellStart"/>
            <w:r w:rsidRPr="00BD1319">
              <w:rPr>
                <w:rFonts w:cs="Arial"/>
                <w:spacing w:val="-3"/>
                <w:sz w:val="22"/>
              </w:rPr>
              <w:t>tsv</w:t>
            </w:r>
            <w:proofErr w:type="spellEnd"/>
            <w:r w:rsidRPr="00BD1319">
              <w:rPr>
                <w:rFonts w:cs="Arial"/>
                <w:spacing w:val="-3"/>
                <w:sz w:val="22"/>
              </w:rPr>
              <w:t xml:space="preserve">, </w:t>
            </w:r>
            <w:proofErr w:type="spellStart"/>
            <w:r w:rsidRPr="00BD1319">
              <w:rPr>
                <w:rFonts w:cs="Arial"/>
                <w:spacing w:val="-3"/>
                <w:sz w:val="22"/>
              </w:rPr>
              <w:t>txt</w:t>
            </w:r>
            <w:proofErr w:type="spellEnd"/>
            <w:r w:rsidRPr="00BD1319">
              <w:rPr>
                <w:rFonts w:cs="Arial"/>
                <w:spacing w:val="-3"/>
                <w:sz w:val="22"/>
              </w:rPr>
              <w:t xml:space="preserve"> delimitado por tabulaciones.</w:t>
            </w:r>
          </w:p>
        </w:tc>
      </w:tr>
      <w:tr w:rsidR="00A101A4" w:rsidRPr="00BD1319" w14:paraId="26F2D886" w14:textId="77777777" w:rsidTr="009420F5">
        <w:trPr>
          <w:trHeight w:val="567"/>
          <w:jc w:val="center"/>
        </w:trPr>
        <w:tc>
          <w:tcPr>
            <w:tcW w:w="4516" w:type="dxa"/>
            <w:vAlign w:val="center"/>
          </w:tcPr>
          <w:p w14:paraId="479541F1" w14:textId="77777777" w:rsidR="00A101A4" w:rsidRPr="00BD1319" w:rsidRDefault="00A101A4">
            <w:pPr>
              <w:numPr>
                <w:ilvl w:val="12"/>
                <w:numId w:val="0"/>
              </w:numPr>
              <w:tabs>
                <w:tab w:val="left" w:pos="-2268"/>
              </w:tabs>
              <w:suppressAutoHyphens/>
              <w:rPr>
                <w:i/>
                <w:spacing w:val="-3"/>
                <w:sz w:val="22"/>
              </w:rPr>
            </w:pPr>
            <w:r w:rsidRPr="00BD1319">
              <w:rPr>
                <w:spacing w:val="-3"/>
                <w:sz w:val="22"/>
              </w:rPr>
              <w:t>Soportes o documentos físicos digitalizados</w:t>
            </w:r>
          </w:p>
        </w:tc>
        <w:tc>
          <w:tcPr>
            <w:tcW w:w="4592" w:type="dxa"/>
            <w:vAlign w:val="center"/>
          </w:tcPr>
          <w:p w14:paraId="440FA327" w14:textId="5B385947" w:rsidR="00A101A4" w:rsidRPr="00BD1319" w:rsidRDefault="00A101A4" w:rsidP="009420F5">
            <w:pPr>
              <w:numPr>
                <w:ilvl w:val="12"/>
                <w:numId w:val="0"/>
              </w:numPr>
              <w:tabs>
                <w:tab w:val="left" w:pos="-2268"/>
              </w:tabs>
              <w:suppressAutoHyphens/>
              <w:ind w:left="-9"/>
              <w:rPr>
                <w:spacing w:val="-3"/>
                <w:sz w:val="22"/>
              </w:rPr>
            </w:pPr>
            <w:proofErr w:type="spellStart"/>
            <w:r w:rsidRPr="00BD1319">
              <w:rPr>
                <w:spacing w:val="-3"/>
                <w:sz w:val="22"/>
              </w:rPr>
              <w:t>pdf</w:t>
            </w:r>
            <w:proofErr w:type="spellEnd"/>
            <w:r w:rsidR="00BD2BE8" w:rsidRPr="00BD1319">
              <w:rPr>
                <w:rFonts w:cs="Arial"/>
                <w:spacing w:val="-3"/>
                <w:sz w:val="22"/>
              </w:rPr>
              <w:t>.</w:t>
            </w:r>
          </w:p>
        </w:tc>
      </w:tr>
    </w:tbl>
    <w:p w14:paraId="4D695FD9" w14:textId="77777777" w:rsidR="00A101A4" w:rsidRPr="00BD1319" w:rsidRDefault="00A101A4">
      <w:pPr>
        <w:numPr>
          <w:ilvl w:val="12"/>
          <w:numId w:val="0"/>
        </w:numPr>
        <w:tabs>
          <w:tab w:val="left" w:pos="-2268"/>
        </w:tabs>
        <w:suppressAutoHyphens/>
        <w:rPr>
          <w:spacing w:val="-3"/>
        </w:rPr>
      </w:pPr>
    </w:p>
    <w:p w14:paraId="5E8EF97F" w14:textId="7B03EFB5" w:rsidR="00A101A4" w:rsidRPr="00BD1319" w:rsidRDefault="00A101A4" w:rsidP="009420F5">
      <w:pPr>
        <w:pStyle w:val="Ttulo4"/>
        <w:tabs>
          <w:tab w:val="clear" w:pos="1844"/>
          <w:tab w:val="num" w:pos="1134"/>
        </w:tabs>
        <w:ind w:left="0"/>
        <w:rPr>
          <w:lang w:val="es-CO"/>
        </w:rPr>
      </w:pPr>
      <w:r w:rsidRPr="00BD1319">
        <w:rPr>
          <w:lang w:val="es-CO"/>
        </w:rPr>
        <w:t>Archivos de texto</w:t>
      </w:r>
    </w:p>
    <w:p w14:paraId="2E066C08" w14:textId="77777777" w:rsidR="00A101A4" w:rsidRPr="00BD1319" w:rsidRDefault="00A101A4">
      <w:pPr>
        <w:numPr>
          <w:ilvl w:val="12"/>
          <w:numId w:val="0"/>
        </w:numPr>
        <w:tabs>
          <w:tab w:val="left" w:pos="-2268"/>
        </w:tabs>
        <w:suppressAutoHyphens/>
        <w:rPr>
          <w:spacing w:val="-3"/>
        </w:rPr>
      </w:pPr>
    </w:p>
    <w:p w14:paraId="476B4227" w14:textId="552A5F0C" w:rsidR="00A101A4" w:rsidRPr="00BD1319" w:rsidRDefault="00A101A4">
      <w:pPr>
        <w:numPr>
          <w:ilvl w:val="12"/>
          <w:numId w:val="0"/>
        </w:numPr>
        <w:tabs>
          <w:tab w:val="left" w:pos="-2268"/>
        </w:tabs>
        <w:suppressAutoHyphens/>
        <w:rPr>
          <w:spacing w:val="-3"/>
        </w:rPr>
      </w:pPr>
      <w:r w:rsidRPr="00BD1319">
        <w:rPr>
          <w:spacing w:val="-3"/>
        </w:rPr>
        <w:t xml:space="preserve">Los documentos del estudio </w:t>
      </w:r>
      <w:r w:rsidR="00203EE2" w:rsidRPr="00BD1319">
        <w:rPr>
          <w:spacing w:val="-3"/>
        </w:rPr>
        <w:t>y</w:t>
      </w:r>
      <w:r w:rsidRPr="00BD1319">
        <w:rPr>
          <w:spacing w:val="-3"/>
        </w:rPr>
        <w:t xml:space="preserve"> sus respectivos anexos deben ser presentados en formato </w:t>
      </w:r>
      <w:proofErr w:type="spellStart"/>
      <w:r w:rsidRPr="00BD1319">
        <w:rPr>
          <w:spacing w:val="-3"/>
        </w:rPr>
        <w:t>pdf</w:t>
      </w:r>
      <w:proofErr w:type="spellEnd"/>
      <w:r w:rsidRPr="00BD1319">
        <w:rPr>
          <w:spacing w:val="-3"/>
        </w:rPr>
        <w:t>/</w:t>
      </w:r>
      <w:proofErr w:type="gramStart"/>
      <w:r w:rsidRPr="00BD1319">
        <w:rPr>
          <w:spacing w:val="-3"/>
        </w:rPr>
        <w:t>A full</w:t>
      </w:r>
      <w:proofErr w:type="gramEnd"/>
      <w:r w:rsidRPr="00BD1319">
        <w:rPr>
          <w:spacing w:val="-3"/>
        </w:rPr>
        <w:t xml:space="preserve"> </w:t>
      </w:r>
      <w:proofErr w:type="spellStart"/>
      <w:r w:rsidRPr="00BD1319">
        <w:rPr>
          <w:spacing w:val="-3"/>
        </w:rPr>
        <w:t>text</w:t>
      </w:r>
      <w:proofErr w:type="spellEnd"/>
      <w:r w:rsidRPr="00BD1319">
        <w:rPr>
          <w:spacing w:val="-3"/>
        </w:rPr>
        <w:t xml:space="preserve"> (no imagen</w:t>
      </w:r>
      <w:r w:rsidRPr="00BD1319">
        <w:rPr>
          <w:rFonts w:cs="Arial"/>
          <w:spacing w:val="-3"/>
        </w:rPr>
        <w:t>) o formato .doc</w:t>
      </w:r>
      <w:r w:rsidR="00BD2BE8" w:rsidRPr="00BD1319">
        <w:rPr>
          <w:rFonts w:cs="Arial"/>
          <w:spacing w:val="-3"/>
        </w:rPr>
        <w:t>x</w:t>
      </w:r>
      <w:r w:rsidRPr="00BD1319">
        <w:rPr>
          <w:rFonts w:cs="Arial"/>
          <w:spacing w:val="-3"/>
        </w:rPr>
        <w:t>,</w:t>
      </w:r>
      <w:r w:rsidRPr="00BD1319">
        <w:rPr>
          <w:spacing w:val="-3"/>
        </w:rPr>
        <w:t xml:space="preserve"> de tal forma que sea posible realizar búsquedas de texto.</w:t>
      </w:r>
    </w:p>
    <w:p w14:paraId="78D5A470" w14:textId="77777777" w:rsidR="00A101A4" w:rsidRPr="00BD1319" w:rsidRDefault="00A101A4">
      <w:pPr>
        <w:numPr>
          <w:ilvl w:val="12"/>
          <w:numId w:val="0"/>
        </w:numPr>
        <w:tabs>
          <w:tab w:val="left" w:pos="-2268"/>
        </w:tabs>
        <w:suppressAutoHyphens/>
        <w:rPr>
          <w:spacing w:val="-3"/>
        </w:rPr>
      </w:pPr>
    </w:p>
    <w:p w14:paraId="37124776" w14:textId="77777777" w:rsidR="00A101A4" w:rsidRPr="00BD1319" w:rsidRDefault="00A101A4" w:rsidP="009420F5">
      <w:pPr>
        <w:pStyle w:val="Ttulo4"/>
        <w:tabs>
          <w:tab w:val="clear" w:pos="1844"/>
          <w:tab w:val="num" w:pos="1134"/>
        </w:tabs>
        <w:ind w:left="0"/>
        <w:rPr>
          <w:lang w:val="es-CO"/>
        </w:rPr>
      </w:pPr>
      <w:r w:rsidRPr="00BD1319">
        <w:rPr>
          <w:lang w:val="es-CO"/>
        </w:rPr>
        <w:t>Archivos de imágenes o fotografías</w:t>
      </w:r>
    </w:p>
    <w:p w14:paraId="534C4D90" w14:textId="77777777" w:rsidR="00A101A4" w:rsidRPr="00BD1319" w:rsidRDefault="00A101A4">
      <w:pPr>
        <w:numPr>
          <w:ilvl w:val="12"/>
          <w:numId w:val="0"/>
        </w:numPr>
        <w:tabs>
          <w:tab w:val="left" w:pos="-2268"/>
        </w:tabs>
        <w:suppressAutoHyphens/>
        <w:rPr>
          <w:spacing w:val="-3"/>
        </w:rPr>
      </w:pPr>
    </w:p>
    <w:p w14:paraId="31486308" w14:textId="1AF3C47E" w:rsidR="00A101A4" w:rsidRPr="00BD1319" w:rsidRDefault="002159C2">
      <w:pPr>
        <w:numPr>
          <w:ilvl w:val="12"/>
          <w:numId w:val="0"/>
        </w:numPr>
        <w:tabs>
          <w:tab w:val="left" w:pos="-2268"/>
        </w:tabs>
        <w:suppressAutoHyphens/>
        <w:rPr>
          <w:spacing w:val="-3"/>
        </w:rPr>
      </w:pPr>
      <w:r w:rsidRPr="00BD1319">
        <w:rPr>
          <w:spacing w:val="-3"/>
        </w:rPr>
        <w:t xml:space="preserve">Los </w:t>
      </w:r>
      <w:r w:rsidR="00A101A4" w:rsidRPr="00BD1319">
        <w:rPr>
          <w:spacing w:val="-3"/>
        </w:rPr>
        <w:t xml:space="preserve">soportes o evidencias gráficas </w:t>
      </w:r>
      <w:r w:rsidR="004834BF" w:rsidRPr="00BD1319">
        <w:rPr>
          <w:spacing w:val="-3"/>
        </w:rPr>
        <w:t xml:space="preserve">que no hayan sido incluidos en el cuerpo del documento, </w:t>
      </w:r>
      <w:r w:rsidR="00A101A4" w:rsidRPr="00BD1319">
        <w:rPr>
          <w:spacing w:val="-3"/>
        </w:rPr>
        <w:t xml:space="preserve">como fotografías o imágenes del medio socioeconómico, soporte de los inventarios de especímenes de la diversidad biológica o los registros del inventario de manantiales, aljibes, puntos de agua y pozos profundos, </w:t>
      </w:r>
      <w:r w:rsidR="00A101A4" w:rsidRPr="00BD1319">
        <w:rPr>
          <w:rFonts w:cs="Arial"/>
          <w:spacing w:val="-3"/>
        </w:rPr>
        <w:t>entre otros</w:t>
      </w:r>
      <w:r w:rsidRPr="00BD1319">
        <w:rPr>
          <w:rFonts w:cs="Arial"/>
          <w:spacing w:val="-3"/>
        </w:rPr>
        <w:t xml:space="preserve">, </w:t>
      </w:r>
      <w:r w:rsidRPr="00BD1319">
        <w:rPr>
          <w:spacing w:val="-3"/>
        </w:rPr>
        <w:t xml:space="preserve">deben ser </w:t>
      </w:r>
      <w:r w:rsidR="00A101A4" w:rsidRPr="00BD1319">
        <w:rPr>
          <w:spacing w:val="-3"/>
        </w:rPr>
        <w:t>agrupa</w:t>
      </w:r>
      <w:r w:rsidRPr="00BD1319">
        <w:rPr>
          <w:spacing w:val="-3"/>
        </w:rPr>
        <w:t>dos</w:t>
      </w:r>
      <w:r w:rsidR="00A101A4" w:rsidRPr="00BD1319">
        <w:rPr>
          <w:spacing w:val="-3"/>
        </w:rPr>
        <w:t xml:space="preserve"> en archivos PDF, debidamente nombrados, </w:t>
      </w:r>
      <w:r w:rsidR="008F4EA9" w:rsidRPr="00BD1319">
        <w:rPr>
          <w:spacing w:val="-3"/>
        </w:rPr>
        <w:t xml:space="preserve">y con </w:t>
      </w:r>
      <w:r w:rsidR="00A101A4" w:rsidRPr="00BD1319">
        <w:rPr>
          <w:spacing w:val="-3"/>
        </w:rPr>
        <w:t>información descriptiva de cada una de las imágenes o fotografías</w:t>
      </w:r>
      <w:r w:rsidR="008F4EA9" w:rsidRPr="00BD1319">
        <w:rPr>
          <w:spacing w:val="-3"/>
        </w:rPr>
        <w:t>, tal</w:t>
      </w:r>
      <w:r w:rsidR="00A101A4" w:rsidRPr="00BD1319">
        <w:rPr>
          <w:spacing w:val="-3"/>
        </w:rPr>
        <w:t xml:space="preserve"> como nombre, numeración o código, fecha de captura, coordenadas </w:t>
      </w:r>
      <w:r w:rsidR="00EC20C8" w:rsidRPr="00BD1319">
        <w:rPr>
          <w:spacing w:val="-3"/>
        </w:rPr>
        <w:t>Magna-Sirgas (origen nacional)</w:t>
      </w:r>
      <w:r w:rsidR="00A101A4" w:rsidRPr="00BD1319">
        <w:rPr>
          <w:spacing w:val="-3"/>
        </w:rPr>
        <w:t>, comentarios o relevancia de la imagen y los demás datos que se consideren pertinentes.</w:t>
      </w:r>
    </w:p>
    <w:p w14:paraId="3F3A7F76" w14:textId="77777777" w:rsidR="00675410" w:rsidRPr="00BD1319" w:rsidRDefault="00675410" w:rsidP="00F04B5F">
      <w:pPr>
        <w:numPr>
          <w:ilvl w:val="12"/>
          <w:numId w:val="0"/>
        </w:numPr>
        <w:tabs>
          <w:tab w:val="left" w:pos="-2268"/>
        </w:tabs>
        <w:suppressAutoHyphens/>
        <w:rPr>
          <w:rFonts w:cs="Arial"/>
          <w:spacing w:val="-3"/>
        </w:rPr>
      </w:pPr>
    </w:p>
    <w:p w14:paraId="03CD9583" w14:textId="77777777" w:rsidR="00A101A4" w:rsidRPr="00BD1319" w:rsidRDefault="00A101A4" w:rsidP="009420F5">
      <w:pPr>
        <w:pStyle w:val="Ttulo4"/>
        <w:tabs>
          <w:tab w:val="clear" w:pos="1844"/>
          <w:tab w:val="num" w:pos="1134"/>
        </w:tabs>
        <w:ind w:left="0"/>
        <w:rPr>
          <w:lang w:val="es-CO"/>
        </w:rPr>
      </w:pPr>
      <w:r w:rsidRPr="00BD1319">
        <w:rPr>
          <w:lang w:val="es-CO"/>
        </w:rPr>
        <w:t>Archivos de audio, fílmicos o videos</w:t>
      </w:r>
    </w:p>
    <w:p w14:paraId="00ED7C37" w14:textId="77777777" w:rsidR="00A101A4" w:rsidRPr="00BD1319" w:rsidRDefault="00A101A4">
      <w:pPr>
        <w:numPr>
          <w:ilvl w:val="12"/>
          <w:numId w:val="0"/>
        </w:numPr>
        <w:tabs>
          <w:tab w:val="left" w:pos="-2268"/>
        </w:tabs>
        <w:suppressAutoHyphens/>
        <w:rPr>
          <w:spacing w:val="-3"/>
        </w:rPr>
      </w:pPr>
    </w:p>
    <w:p w14:paraId="31C2F13E" w14:textId="66034139" w:rsidR="00A101A4" w:rsidRPr="00BD1319" w:rsidRDefault="00A101A4">
      <w:pPr>
        <w:numPr>
          <w:ilvl w:val="12"/>
          <w:numId w:val="0"/>
        </w:numPr>
        <w:tabs>
          <w:tab w:val="left" w:pos="-2268"/>
        </w:tabs>
        <w:suppressAutoHyphens/>
        <w:rPr>
          <w:spacing w:val="-3"/>
        </w:rPr>
      </w:pPr>
      <w:r w:rsidRPr="00BD1319">
        <w:rPr>
          <w:spacing w:val="-3"/>
        </w:rPr>
        <w:t>Los soportes socioeconómicos</w:t>
      </w:r>
      <w:r w:rsidR="00E91D20" w:rsidRPr="00BD1319">
        <w:rPr>
          <w:spacing w:val="-3"/>
        </w:rPr>
        <w:t>, de procesos de participación</w:t>
      </w:r>
      <w:r w:rsidRPr="00BD1319">
        <w:rPr>
          <w:spacing w:val="-3"/>
        </w:rPr>
        <w:t xml:space="preserve"> o de otra índole que el solicitante documente en archivos de audio, fílmicos o video, como el registro de los procesos de participación adelantados con las comunidades, autoridades regionales o locales y con las diferentes organizaciones, entidades e instituciones con presencia en el área de </w:t>
      </w:r>
      <w:r w:rsidR="008F4EA9" w:rsidRPr="00BD1319">
        <w:rPr>
          <w:spacing w:val="-3"/>
        </w:rPr>
        <w:t xml:space="preserve">referencia </w:t>
      </w:r>
      <w:r w:rsidRPr="00BD1319">
        <w:rPr>
          <w:spacing w:val="-3"/>
        </w:rPr>
        <w:t>(</w:t>
      </w:r>
      <w:r w:rsidR="008F4EA9" w:rsidRPr="00BD1319">
        <w:rPr>
          <w:spacing w:val="-3"/>
        </w:rPr>
        <w:t>de estudio para el DAA y de influencia para el EIA</w:t>
      </w:r>
      <w:r w:rsidRPr="00BD1319">
        <w:rPr>
          <w:spacing w:val="-3"/>
        </w:rPr>
        <w:t>)</w:t>
      </w:r>
      <w:r w:rsidR="0087724D" w:rsidRPr="00BD1319">
        <w:rPr>
          <w:spacing w:val="-3"/>
        </w:rPr>
        <w:t>,</w:t>
      </w:r>
      <w:r w:rsidRPr="00BD1319">
        <w:rPr>
          <w:spacing w:val="-3"/>
        </w:rPr>
        <w:t xml:space="preserve"> deben ajustarse a los formatos de archivos indicados u otros que optimicen el tamaño, pero que posibiliten evaluar o referenciar los procesos adelantados</w:t>
      </w:r>
      <w:r w:rsidR="0087724D" w:rsidRPr="00BD1319">
        <w:rPr>
          <w:spacing w:val="-3"/>
        </w:rPr>
        <w:t>,</w:t>
      </w:r>
      <w:r w:rsidRPr="00BD1319">
        <w:rPr>
          <w:spacing w:val="-3"/>
        </w:rPr>
        <w:t xml:space="preserve"> y a la vez, </w:t>
      </w:r>
      <w:r w:rsidR="005D6435" w:rsidRPr="00BD1319">
        <w:rPr>
          <w:spacing w:val="-3"/>
        </w:rPr>
        <w:t xml:space="preserve">que </w:t>
      </w:r>
      <w:r w:rsidRPr="00BD1319">
        <w:rPr>
          <w:spacing w:val="-3"/>
        </w:rPr>
        <w:t xml:space="preserve">permitan </w:t>
      </w:r>
      <w:r w:rsidR="005D6435" w:rsidRPr="00BD1319">
        <w:rPr>
          <w:spacing w:val="-3"/>
        </w:rPr>
        <w:t xml:space="preserve">su </w:t>
      </w:r>
      <w:r w:rsidRPr="00BD1319">
        <w:rPr>
          <w:spacing w:val="-3"/>
        </w:rPr>
        <w:t>cargue y envío a través de internet.</w:t>
      </w:r>
    </w:p>
    <w:p w14:paraId="1EADB842" w14:textId="77777777" w:rsidR="00A101A4" w:rsidRPr="00BD1319" w:rsidRDefault="00A101A4">
      <w:pPr>
        <w:numPr>
          <w:ilvl w:val="12"/>
          <w:numId w:val="0"/>
        </w:numPr>
        <w:tabs>
          <w:tab w:val="left" w:pos="-2268"/>
        </w:tabs>
        <w:suppressAutoHyphens/>
        <w:rPr>
          <w:spacing w:val="-3"/>
        </w:rPr>
      </w:pPr>
    </w:p>
    <w:p w14:paraId="09828E10" w14:textId="77777777" w:rsidR="00A101A4" w:rsidRPr="00BD1319" w:rsidRDefault="00A101A4" w:rsidP="009420F5">
      <w:pPr>
        <w:pStyle w:val="Ttulo4"/>
        <w:tabs>
          <w:tab w:val="clear" w:pos="1844"/>
          <w:tab w:val="num" w:pos="1134"/>
        </w:tabs>
        <w:ind w:left="0"/>
        <w:rPr>
          <w:lang w:val="es-CO"/>
        </w:rPr>
      </w:pPr>
      <w:r w:rsidRPr="00BD1319">
        <w:rPr>
          <w:lang w:val="es-CO"/>
        </w:rPr>
        <w:t>Archivos de tablas, formatos o matrices</w:t>
      </w:r>
    </w:p>
    <w:p w14:paraId="7090C1FB" w14:textId="77777777" w:rsidR="00A101A4" w:rsidRPr="00BD1319" w:rsidRDefault="00A101A4">
      <w:pPr>
        <w:numPr>
          <w:ilvl w:val="12"/>
          <w:numId w:val="0"/>
        </w:numPr>
        <w:tabs>
          <w:tab w:val="left" w:pos="-2268"/>
        </w:tabs>
        <w:suppressAutoHyphens/>
        <w:rPr>
          <w:spacing w:val="-3"/>
        </w:rPr>
      </w:pPr>
    </w:p>
    <w:p w14:paraId="7C6EAB49" w14:textId="7022DF27" w:rsidR="00A101A4" w:rsidRPr="00BD1319" w:rsidRDefault="005D6435">
      <w:pPr>
        <w:numPr>
          <w:ilvl w:val="12"/>
          <w:numId w:val="0"/>
        </w:numPr>
        <w:tabs>
          <w:tab w:val="left" w:pos="-2268"/>
        </w:tabs>
        <w:suppressAutoHyphens/>
        <w:rPr>
          <w:spacing w:val="-3"/>
        </w:rPr>
      </w:pPr>
      <w:r w:rsidRPr="00BD1319">
        <w:rPr>
          <w:spacing w:val="-3"/>
        </w:rPr>
        <w:t>L</w:t>
      </w:r>
      <w:r w:rsidR="00A101A4" w:rsidRPr="00BD1319">
        <w:rPr>
          <w:spacing w:val="-3"/>
        </w:rPr>
        <w:t>os datos obtenidos, capturados o registrados manualmente en tablas, form</w:t>
      </w:r>
      <w:r w:rsidRPr="00BD1319">
        <w:rPr>
          <w:spacing w:val="-3"/>
        </w:rPr>
        <w:t>ularios</w:t>
      </w:r>
      <w:r w:rsidR="00A101A4" w:rsidRPr="00BD1319">
        <w:rPr>
          <w:spacing w:val="-3"/>
        </w:rPr>
        <w:t xml:space="preserve"> o matrices que se usen para el levantamiento de información, como inventarios forestales, inventarios de fauna, censos de población u otro tipo de información, debe</w:t>
      </w:r>
      <w:r w:rsidRPr="00BD1319">
        <w:rPr>
          <w:spacing w:val="-3"/>
        </w:rPr>
        <w:t>n</w:t>
      </w:r>
      <w:r w:rsidR="00A101A4" w:rsidRPr="00BD1319">
        <w:rPr>
          <w:spacing w:val="-3"/>
        </w:rPr>
        <w:t xml:space="preserve"> ser tabulad</w:t>
      </w:r>
      <w:r w:rsidRPr="00BD1319">
        <w:rPr>
          <w:spacing w:val="-3"/>
        </w:rPr>
        <w:t>os</w:t>
      </w:r>
      <w:r w:rsidR="00A101A4" w:rsidRPr="00BD1319">
        <w:rPr>
          <w:spacing w:val="-3"/>
        </w:rPr>
        <w:t xml:space="preserve"> en </w:t>
      </w:r>
      <w:r w:rsidR="0087724D" w:rsidRPr="00BD1319">
        <w:rPr>
          <w:spacing w:val="-3"/>
        </w:rPr>
        <w:t xml:space="preserve">hojas de cálculo </w:t>
      </w:r>
      <w:r w:rsidR="00A101A4" w:rsidRPr="00BD1319">
        <w:rPr>
          <w:spacing w:val="-3"/>
        </w:rPr>
        <w:t>y presentad</w:t>
      </w:r>
      <w:r w:rsidRPr="00BD1319">
        <w:rPr>
          <w:spacing w:val="-3"/>
        </w:rPr>
        <w:t>os</w:t>
      </w:r>
      <w:r w:rsidR="00A101A4" w:rsidRPr="00BD1319">
        <w:rPr>
          <w:spacing w:val="-3"/>
        </w:rPr>
        <w:t xml:space="preserve"> en formato xlsx, con el propósito de facilitar el análisis y evaluación del componente o temática </w:t>
      </w:r>
      <w:r w:rsidRPr="00BD1319">
        <w:rPr>
          <w:spacing w:val="-3"/>
        </w:rPr>
        <w:t xml:space="preserve">para el cual se </w:t>
      </w:r>
      <w:r w:rsidR="00A101A4" w:rsidRPr="00BD1319">
        <w:rPr>
          <w:spacing w:val="-3"/>
        </w:rPr>
        <w:t>presenta</w:t>
      </w:r>
      <w:r w:rsidRPr="00BD1319">
        <w:rPr>
          <w:spacing w:val="-3"/>
        </w:rPr>
        <w:t>n</w:t>
      </w:r>
      <w:r w:rsidR="00A101A4" w:rsidRPr="00BD1319">
        <w:rPr>
          <w:spacing w:val="-3"/>
        </w:rPr>
        <w:t>.</w:t>
      </w:r>
    </w:p>
    <w:p w14:paraId="01EABA69" w14:textId="561AABBB" w:rsidR="004920D9" w:rsidRPr="00BD1319" w:rsidRDefault="004920D9">
      <w:pPr>
        <w:numPr>
          <w:ilvl w:val="12"/>
          <w:numId w:val="0"/>
        </w:numPr>
        <w:tabs>
          <w:tab w:val="left" w:pos="-2268"/>
        </w:tabs>
        <w:suppressAutoHyphens/>
        <w:rPr>
          <w:spacing w:val="-3"/>
        </w:rPr>
      </w:pPr>
    </w:p>
    <w:p w14:paraId="7AD212A5" w14:textId="77777777" w:rsidR="00A101A4" w:rsidRPr="00BD1319" w:rsidRDefault="00A101A4" w:rsidP="009420F5">
      <w:pPr>
        <w:pStyle w:val="Ttulo4"/>
        <w:tabs>
          <w:tab w:val="clear" w:pos="1844"/>
          <w:tab w:val="num" w:pos="1134"/>
        </w:tabs>
        <w:ind w:left="0"/>
        <w:rPr>
          <w:lang w:val="es-CO"/>
        </w:rPr>
      </w:pPr>
      <w:r w:rsidRPr="00BD1319">
        <w:rPr>
          <w:lang w:val="es-CO"/>
        </w:rPr>
        <w:t>Soportes o documentos físicos digitalizados</w:t>
      </w:r>
    </w:p>
    <w:p w14:paraId="68222B7D" w14:textId="77777777" w:rsidR="00A101A4" w:rsidRPr="00BD1319" w:rsidRDefault="00A101A4">
      <w:pPr>
        <w:numPr>
          <w:ilvl w:val="12"/>
          <w:numId w:val="0"/>
        </w:numPr>
        <w:tabs>
          <w:tab w:val="left" w:pos="-2268"/>
        </w:tabs>
        <w:suppressAutoHyphens/>
        <w:rPr>
          <w:spacing w:val="-3"/>
        </w:rPr>
      </w:pPr>
    </w:p>
    <w:p w14:paraId="01EB5BD1" w14:textId="04D7DDC6" w:rsidR="00A101A4" w:rsidRPr="00BD1319" w:rsidRDefault="00A101A4">
      <w:pPr>
        <w:numPr>
          <w:ilvl w:val="12"/>
          <w:numId w:val="0"/>
        </w:numPr>
        <w:tabs>
          <w:tab w:val="left" w:pos="-2268"/>
        </w:tabs>
        <w:suppressAutoHyphens/>
        <w:rPr>
          <w:spacing w:val="-3"/>
        </w:rPr>
      </w:pPr>
      <w:r w:rsidRPr="00BD1319">
        <w:rPr>
          <w:spacing w:val="-3"/>
        </w:rPr>
        <w:t xml:space="preserve">Las certificaciones, constancias, comunicaciones, actas de reuniones, informes, listados de asistencia, contratos, convenios u otros documentos relevantes para el </w:t>
      </w:r>
      <w:r w:rsidRPr="00BD1319">
        <w:rPr>
          <w:spacing w:val="-3"/>
        </w:rPr>
        <w:lastRenderedPageBreak/>
        <w:t>estudio o la solicitud, tanto para el medio socioeconómico como para los demás medios, y que se encuentren en medio físico</w:t>
      </w:r>
      <w:r w:rsidR="0087724D" w:rsidRPr="00BD1319">
        <w:rPr>
          <w:spacing w:val="-3"/>
        </w:rPr>
        <w:t>,</w:t>
      </w:r>
      <w:r w:rsidRPr="00BD1319">
        <w:rPr>
          <w:spacing w:val="-3"/>
        </w:rPr>
        <w:t xml:space="preserve"> deben digitalizarse en formato </w:t>
      </w:r>
      <w:proofErr w:type="spellStart"/>
      <w:r w:rsidR="005D6435" w:rsidRPr="00BD1319">
        <w:rPr>
          <w:spacing w:val="-3"/>
        </w:rPr>
        <w:t>pdf</w:t>
      </w:r>
      <w:proofErr w:type="spellEnd"/>
      <w:r w:rsidRPr="00BD1319">
        <w:rPr>
          <w:spacing w:val="-3"/>
        </w:rPr>
        <w:t>.</w:t>
      </w:r>
    </w:p>
    <w:p w14:paraId="3D2E08A3" w14:textId="77777777" w:rsidR="00A101A4" w:rsidRPr="00BD1319" w:rsidRDefault="00A101A4">
      <w:pPr>
        <w:numPr>
          <w:ilvl w:val="12"/>
          <w:numId w:val="0"/>
        </w:numPr>
        <w:tabs>
          <w:tab w:val="left" w:pos="-2268"/>
        </w:tabs>
        <w:suppressAutoHyphens/>
        <w:rPr>
          <w:spacing w:val="-3"/>
        </w:rPr>
      </w:pPr>
    </w:p>
    <w:p w14:paraId="2A0E3966" w14:textId="77777777" w:rsidR="00A101A4" w:rsidRPr="00BD1319" w:rsidRDefault="00A101A4" w:rsidP="00216955">
      <w:pPr>
        <w:pStyle w:val="Ttulo3"/>
      </w:pPr>
      <w:bookmarkStart w:id="1952" w:name="_Toc42353711"/>
      <w:bookmarkStart w:id="1953" w:name="_Toc175326671"/>
      <w:r w:rsidRPr="00BD1319">
        <w:t>Permisos y restricciones en archivos</w:t>
      </w:r>
      <w:bookmarkEnd w:id="1952"/>
      <w:bookmarkEnd w:id="1953"/>
    </w:p>
    <w:p w14:paraId="7EBCC2E9" w14:textId="77777777" w:rsidR="00A101A4" w:rsidRPr="00BD1319" w:rsidRDefault="00A101A4">
      <w:pPr>
        <w:numPr>
          <w:ilvl w:val="12"/>
          <w:numId w:val="0"/>
        </w:numPr>
        <w:tabs>
          <w:tab w:val="left" w:pos="-2268"/>
        </w:tabs>
        <w:suppressAutoHyphens/>
        <w:rPr>
          <w:spacing w:val="-3"/>
        </w:rPr>
      </w:pPr>
    </w:p>
    <w:p w14:paraId="2A8E6213" w14:textId="272410A7" w:rsidR="00A101A4" w:rsidRPr="00BD1319" w:rsidRDefault="00A101A4">
      <w:pPr>
        <w:numPr>
          <w:ilvl w:val="12"/>
          <w:numId w:val="0"/>
        </w:numPr>
        <w:tabs>
          <w:tab w:val="left" w:pos="-2268"/>
        </w:tabs>
        <w:suppressAutoHyphens/>
        <w:rPr>
          <w:spacing w:val="-3"/>
        </w:rPr>
      </w:pPr>
      <w:r w:rsidRPr="00BD1319">
        <w:rPr>
          <w:spacing w:val="-3"/>
        </w:rPr>
        <w:t xml:space="preserve">Los archivos del estudio </w:t>
      </w:r>
      <w:r w:rsidR="00790A32" w:rsidRPr="00BD1319">
        <w:rPr>
          <w:spacing w:val="-3"/>
        </w:rPr>
        <w:t xml:space="preserve">(documentos </w:t>
      </w:r>
      <w:r w:rsidRPr="00BD1319">
        <w:rPr>
          <w:spacing w:val="-3"/>
        </w:rPr>
        <w:t>y sus anexos</w:t>
      </w:r>
      <w:r w:rsidR="00790A32" w:rsidRPr="00BD1319">
        <w:rPr>
          <w:spacing w:val="-3"/>
        </w:rPr>
        <w:t>)</w:t>
      </w:r>
      <w:r w:rsidRPr="00BD1319">
        <w:rPr>
          <w:spacing w:val="-3"/>
        </w:rPr>
        <w:t xml:space="preserve"> deben contar con las siguientes restricciones y permisos:</w:t>
      </w:r>
    </w:p>
    <w:p w14:paraId="33554F71" w14:textId="77777777" w:rsidR="00A101A4" w:rsidRPr="00BD1319" w:rsidRDefault="00A101A4">
      <w:pPr>
        <w:numPr>
          <w:ilvl w:val="12"/>
          <w:numId w:val="0"/>
        </w:numPr>
        <w:tabs>
          <w:tab w:val="left" w:pos="-2268"/>
        </w:tabs>
        <w:suppressAutoHyphens/>
        <w:rPr>
          <w:spacing w:val="-3"/>
        </w:rPr>
      </w:pPr>
    </w:p>
    <w:p w14:paraId="6AD5620A" w14:textId="77777777" w:rsidR="00A101A4" w:rsidRPr="00BD1319" w:rsidRDefault="00A101A4" w:rsidP="00C86DA5">
      <w:pPr>
        <w:numPr>
          <w:ilvl w:val="0"/>
          <w:numId w:val="28"/>
        </w:numPr>
        <w:tabs>
          <w:tab w:val="left" w:pos="-2268"/>
        </w:tabs>
        <w:suppressAutoHyphens/>
        <w:ind w:left="567" w:hanging="567"/>
        <w:rPr>
          <w:spacing w:val="-3"/>
        </w:rPr>
      </w:pPr>
      <w:r w:rsidRPr="00BD1319">
        <w:rPr>
          <w:spacing w:val="-3"/>
        </w:rPr>
        <w:t>Impresión: No permitido.</w:t>
      </w:r>
    </w:p>
    <w:p w14:paraId="171EF81F" w14:textId="77777777" w:rsidR="00A101A4" w:rsidRPr="00BD1319" w:rsidRDefault="00A101A4">
      <w:pPr>
        <w:tabs>
          <w:tab w:val="left" w:pos="-2268"/>
        </w:tabs>
        <w:suppressAutoHyphens/>
        <w:rPr>
          <w:spacing w:val="-3"/>
        </w:rPr>
      </w:pPr>
    </w:p>
    <w:p w14:paraId="1A2172B0" w14:textId="717F168D" w:rsidR="00A101A4" w:rsidRPr="00BD1319" w:rsidRDefault="00A101A4" w:rsidP="00CC1638">
      <w:pPr>
        <w:numPr>
          <w:ilvl w:val="0"/>
          <w:numId w:val="28"/>
        </w:numPr>
        <w:tabs>
          <w:tab w:val="left" w:pos="-2268"/>
        </w:tabs>
        <w:suppressAutoHyphens/>
        <w:ind w:left="567" w:hanging="567"/>
        <w:rPr>
          <w:spacing w:val="-3"/>
        </w:rPr>
      </w:pPr>
      <w:r w:rsidRPr="00BD1319">
        <w:rPr>
          <w:spacing w:val="-3"/>
        </w:rPr>
        <w:t>Ensamblaje de documentos: No permitido.</w:t>
      </w:r>
    </w:p>
    <w:p w14:paraId="103990F9" w14:textId="77777777" w:rsidR="00A101A4" w:rsidRPr="00BD1319" w:rsidRDefault="00A101A4" w:rsidP="00CC1638">
      <w:pPr>
        <w:tabs>
          <w:tab w:val="left" w:pos="-2268"/>
        </w:tabs>
        <w:suppressAutoHyphens/>
        <w:rPr>
          <w:spacing w:val="-3"/>
        </w:rPr>
      </w:pPr>
    </w:p>
    <w:p w14:paraId="0B7B5B6E" w14:textId="2259662A" w:rsidR="00A101A4" w:rsidRPr="00BD1319" w:rsidRDefault="00A101A4" w:rsidP="00CC1638">
      <w:pPr>
        <w:numPr>
          <w:ilvl w:val="0"/>
          <w:numId w:val="28"/>
        </w:numPr>
        <w:tabs>
          <w:tab w:val="left" w:pos="-2268"/>
        </w:tabs>
        <w:suppressAutoHyphens/>
        <w:ind w:left="567" w:hanging="567"/>
        <w:rPr>
          <w:spacing w:val="-3"/>
        </w:rPr>
      </w:pPr>
      <w:r w:rsidRPr="00BD1319">
        <w:rPr>
          <w:spacing w:val="-3"/>
        </w:rPr>
        <w:t>Copia de contenido: Permitido.</w:t>
      </w:r>
    </w:p>
    <w:p w14:paraId="166F3C91" w14:textId="77777777" w:rsidR="00A101A4" w:rsidRPr="00BD1319" w:rsidRDefault="00A101A4" w:rsidP="00CC1638">
      <w:pPr>
        <w:tabs>
          <w:tab w:val="left" w:pos="-2268"/>
        </w:tabs>
        <w:suppressAutoHyphens/>
        <w:rPr>
          <w:spacing w:val="-3"/>
        </w:rPr>
      </w:pPr>
    </w:p>
    <w:p w14:paraId="44734398" w14:textId="004A692A" w:rsidR="00A101A4" w:rsidRPr="00BD1319" w:rsidRDefault="00A101A4" w:rsidP="00CC1638">
      <w:pPr>
        <w:numPr>
          <w:ilvl w:val="0"/>
          <w:numId w:val="28"/>
        </w:numPr>
        <w:tabs>
          <w:tab w:val="left" w:pos="-2268"/>
        </w:tabs>
        <w:suppressAutoHyphens/>
        <w:ind w:left="567" w:hanging="567"/>
        <w:rPr>
          <w:spacing w:val="-3"/>
        </w:rPr>
      </w:pPr>
      <w:r w:rsidRPr="00BD1319">
        <w:rPr>
          <w:spacing w:val="-3"/>
        </w:rPr>
        <w:t>Extracción de página: No permitido.</w:t>
      </w:r>
    </w:p>
    <w:p w14:paraId="14F4EB8C" w14:textId="77777777" w:rsidR="00A101A4" w:rsidRPr="00BD1319" w:rsidRDefault="00A101A4" w:rsidP="00CC1638">
      <w:pPr>
        <w:tabs>
          <w:tab w:val="left" w:pos="-2268"/>
        </w:tabs>
        <w:suppressAutoHyphens/>
        <w:rPr>
          <w:spacing w:val="-3"/>
        </w:rPr>
      </w:pPr>
    </w:p>
    <w:p w14:paraId="12FD1EB9" w14:textId="0A3E20E5" w:rsidR="00A101A4" w:rsidRPr="00BD1319" w:rsidRDefault="00A101A4" w:rsidP="00CC1638">
      <w:pPr>
        <w:numPr>
          <w:ilvl w:val="0"/>
          <w:numId w:val="28"/>
        </w:numPr>
        <w:tabs>
          <w:tab w:val="left" w:pos="-2268"/>
        </w:tabs>
        <w:suppressAutoHyphens/>
        <w:ind w:left="567" w:hanging="567"/>
        <w:rPr>
          <w:spacing w:val="-3"/>
        </w:rPr>
      </w:pPr>
      <w:r w:rsidRPr="00BD1319">
        <w:rPr>
          <w:spacing w:val="-3"/>
        </w:rPr>
        <w:t>Comentario: No permitido.</w:t>
      </w:r>
    </w:p>
    <w:p w14:paraId="13904FEA" w14:textId="77777777" w:rsidR="00A101A4" w:rsidRPr="00BD1319" w:rsidRDefault="00A101A4" w:rsidP="00CC1638">
      <w:pPr>
        <w:tabs>
          <w:tab w:val="left" w:pos="-2268"/>
        </w:tabs>
        <w:suppressAutoHyphens/>
        <w:rPr>
          <w:spacing w:val="-3"/>
        </w:rPr>
      </w:pPr>
    </w:p>
    <w:p w14:paraId="22567A09" w14:textId="02560F2B" w:rsidR="00A101A4" w:rsidRPr="00BD1319" w:rsidRDefault="00A101A4" w:rsidP="00CC1638">
      <w:pPr>
        <w:numPr>
          <w:ilvl w:val="0"/>
          <w:numId w:val="28"/>
        </w:numPr>
        <w:tabs>
          <w:tab w:val="left" w:pos="-2268"/>
        </w:tabs>
        <w:suppressAutoHyphens/>
        <w:ind w:left="567" w:hanging="567"/>
        <w:rPr>
          <w:spacing w:val="-3"/>
        </w:rPr>
      </w:pPr>
      <w:r w:rsidRPr="00BD1319">
        <w:rPr>
          <w:spacing w:val="-3"/>
        </w:rPr>
        <w:t>Rellenar los campos de formulario: No permitido.</w:t>
      </w:r>
    </w:p>
    <w:p w14:paraId="1470614C" w14:textId="77777777" w:rsidR="00675410" w:rsidRPr="00BD1319" w:rsidRDefault="00675410" w:rsidP="00CC1638">
      <w:pPr>
        <w:tabs>
          <w:tab w:val="left" w:pos="-2268"/>
        </w:tabs>
        <w:suppressAutoHyphens/>
        <w:rPr>
          <w:spacing w:val="-3"/>
        </w:rPr>
      </w:pPr>
    </w:p>
    <w:p w14:paraId="58CCF984" w14:textId="3E3C0C9F" w:rsidR="00A101A4" w:rsidRPr="00BD1319" w:rsidRDefault="00A101A4" w:rsidP="00CC1638">
      <w:pPr>
        <w:numPr>
          <w:ilvl w:val="0"/>
          <w:numId w:val="28"/>
        </w:numPr>
        <w:tabs>
          <w:tab w:val="left" w:pos="-2268"/>
        </w:tabs>
        <w:suppressAutoHyphens/>
        <w:ind w:left="567" w:hanging="567"/>
        <w:rPr>
          <w:spacing w:val="-3"/>
        </w:rPr>
      </w:pPr>
      <w:r w:rsidRPr="00BD1319">
        <w:rPr>
          <w:spacing w:val="-3"/>
        </w:rPr>
        <w:t>Firma: No permitido.</w:t>
      </w:r>
    </w:p>
    <w:p w14:paraId="4A8D17EA" w14:textId="77777777" w:rsidR="00A101A4" w:rsidRPr="00BD1319" w:rsidRDefault="00A101A4" w:rsidP="00CC1638">
      <w:pPr>
        <w:tabs>
          <w:tab w:val="left" w:pos="-2268"/>
        </w:tabs>
        <w:suppressAutoHyphens/>
        <w:rPr>
          <w:spacing w:val="-3"/>
        </w:rPr>
      </w:pPr>
    </w:p>
    <w:p w14:paraId="21DB597B" w14:textId="5E287F84" w:rsidR="00A101A4" w:rsidRPr="00BD1319" w:rsidRDefault="00A101A4" w:rsidP="00CC1638">
      <w:pPr>
        <w:numPr>
          <w:ilvl w:val="0"/>
          <w:numId w:val="28"/>
        </w:numPr>
        <w:tabs>
          <w:tab w:val="left" w:pos="-2268"/>
        </w:tabs>
        <w:suppressAutoHyphens/>
        <w:ind w:left="567" w:hanging="567"/>
        <w:rPr>
          <w:spacing w:val="-3"/>
        </w:rPr>
      </w:pPr>
      <w:r w:rsidRPr="00BD1319">
        <w:rPr>
          <w:spacing w:val="-3"/>
        </w:rPr>
        <w:t>Creación de páginas de plantilla: No permitido.</w:t>
      </w:r>
    </w:p>
    <w:p w14:paraId="7704859E" w14:textId="77777777" w:rsidR="00A101A4" w:rsidRPr="00BD1319" w:rsidRDefault="00A101A4">
      <w:pPr>
        <w:numPr>
          <w:ilvl w:val="12"/>
          <w:numId w:val="0"/>
        </w:numPr>
        <w:tabs>
          <w:tab w:val="left" w:pos="-2268"/>
        </w:tabs>
        <w:suppressAutoHyphens/>
        <w:rPr>
          <w:spacing w:val="-3"/>
        </w:rPr>
      </w:pPr>
    </w:p>
    <w:p w14:paraId="0386F89C" w14:textId="2B470455" w:rsidR="00A101A4" w:rsidRPr="00BD1319" w:rsidRDefault="00A101A4">
      <w:pPr>
        <w:numPr>
          <w:ilvl w:val="12"/>
          <w:numId w:val="0"/>
        </w:numPr>
        <w:tabs>
          <w:tab w:val="left" w:pos="-2268"/>
        </w:tabs>
        <w:suppressAutoHyphens/>
        <w:rPr>
          <w:spacing w:val="-3"/>
        </w:rPr>
      </w:pPr>
      <w:r w:rsidRPr="00BD1319">
        <w:rPr>
          <w:spacing w:val="-3"/>
        </w:rPr>
        <w:t>Cabe anotar que por ningún motivo se debe</w:t>
      </w:r>
      <w:r w:rsidR="0087724D" w:rsidRPr="00BD1319">
        <w:rPr>
          <w:spacing w:val="-3"/>
        </w:rPr>
        <w:t>n</w:t>
      </w:r>
      <w:r w:rsidRPr="00BD1319">
        <w:rPr>
          <w:spacing w:val="-3"/>
        </w:rPr>
        <w:t xml:space="preserve"> </w:t>
      </w:r>
      <w:r w:rsidR="0087724D" w:rsidRPr="00BD1319">
        <w:rPr>
          <w:spacing w:val="-3"/>
        </w:rPr>
        <w:t>establecer contraseñas para abrir</w:t>
      </w:r>
      <w:r w:rsidRPr="00BD1319">
        <w:rPr>
          <w:spacing w:val="-3"/>
        </w:rPr>
        <w:t xml:space="preserve"> los archivos.</w:t>
      </w:r>
    </w:p>
    <w:p w14:paraId="6BFC3609" w14:textId="77777777" w:rsidR="00A101A4" w:rsidRPr="00BD1319" w:rsidRDefault="00A101A4">
      <w:pPr>
        <w:numPr>
          <w:ilvl w:val="12"/>
          <w:numId w:val="0"/>
        </w:numPr>
        <w:tabs>
          <w:tab w:val="left" w:pos="-2268"/>
        </w:tabs>
        <w:suppressAutoHyphens/>
        <w:rPr>
          <w:spacing w:val="-3"/>
        </w:rPr>
      </w:pPr>
    </w:p>
    <w:p w14:paraId="45B1EE68" w14:textId="77777777" w:rsidR="00A101A4" w:rsidRPr="00BD1319" w:rsidRDefault="00A101A4" w:rsidP="00216955">
      <w:pPr>
        <w:pStyle w:val="Ttulo3"/>
      </w:pPr>
      <w:bookmarkStart w:id="1954" w:name="_Toc42353712"/>
      <w:bookmarkStart w:id="1955" w:name="_Toc175326672"/>
      <w:r w:rsidRPr="00BD1319">
        <w:t>Metadatos</w:t>
      </w:r>
      <w:bookmarkEnd w:id="1954"/>
      <w:bookmarkEnd w:id="1955"/>
    </w:p>
    <w:p w14:paraId="5613DE6D" w14:textId="77777777" w:rsidR="00A101A4" w:rsidRPr="00BD1319" w:rsidRDefault="00A101A4">
      <w:pPr>
        <w:numPr>
          <w:ilvl w:val="12"/>
          <w:numId w:val="0"/>
        </w:numPr>
        <w:tabs>
          <w:tab w:val="left" w:pos="-2268"/>
        </w:tabs>
        <w:suppressAutoHyphens/>
        <w:rPr>
          <w:spacing w:val="-3"/>
        </w:rPr>
      </w:pPr>
    </w:p>
    <w:p w14:paraId="5348E2D9" w14:textId="2E6C57BD" w:rsidR="00A101A4" w:rsidRPr="00BD1319" w:rsidRDefault="00DE1DBF" w:rsidP="0091763F">
      <w:pPr>
        <w:numPr>
          <w:ilvl w:val="12"/>
          <w:numId w:val="0"/>
        </w:numPr>
        <w:tabs>
          <w:tab w:val="left" w:pos="-2268"/>
        </w:tabs>
        <w:suppressAutoHyphens/>
        <w:rPr>
          <w:spacing w:val="-3"/>
        </w:rPr>
      </w:pPr>
      <w:r w:rsidRPr="00BD1319">
        <w:rPr>
          <w:spacing w:val="-3"/>
        </w:rPr>
        <w:t xml:space="preserve">Los metadatos </w:t>
      </w:r>
      <w:r w:rsidRPr="00BD1319">
        <w:rPr>
          <w:rFonts w:cs="Arial"/>
          <w:spacing w:val="-3"/>
        </w:rPr>
        <w:t>geográficos y documentales deben ser elaborados</w:t>
      </w:r>
      <w:r w:rsidRPr="00BD1319">
        <w:rPr>
          <w:spacing w:val="-3"/>
        </w:rPr>
        <w:t xml:space="preserve"> </w:t>
      </w:r>
      <w:r w:rsidR="00CE2041" w:rsidRPr="00BD1319">
        <w:rPr>
          <w:spacing w:val="-3"/>
        </w:rPr>
        <w:t xml:space="preserve">de acuerdo con lo establecido por el </w:t>
      </w:r>
      <w:r w:rsidR="00CE2041" w:rsidRPr="00BD1319">
        <w:rPr>
          <w:rFonts w:cs="Arial"/>
          <w:spacing w:val="-3"/>
        </w:rPr>
        <w:t>artículo 30 del Decreto 2609 de 2012</w:t>
      </w:r>
      <w:r w:rsidR="00E91D20" w:rsidRPr="00BD1319">
        <w:rPr>
          <w:rFonts w:cs="Arial"/>
          <w:spacing w:val="-3"/>
        </w:rPr>
        <w:t xml:space="preserve"> (compilado en el Decreto 1080 de 2015)</w:t>
      </w:r>
      <w:r w:rsidR="00CE2041" w:rsidRPr="00BD1319">
        <w:rPr>
          <w:rFonts w:cs="Arial"/>
          <w:spacing w:val="-3"/>
        </w:rPr>
        <w:t xml:space="preserve"> o aquella norma que lo modifique o sustituya; </w:t>
      </w:r>
      <w:r w:rsidR="00960B03" w:rsidRPr="00BD1319">
        <w:rPr>
          <w:rFonts w:cs="Arial"/>
          <w:spacing w:val="-3"/>
        </w:rPr>
        <w:t>asimismo</w:t>
      </w:r>
      <w:r w:rsidR="009322D2" w:rsidRPr="00BD1319">
        <w:rPr>
          <w:rFonts w:cs="Arial"/>
          <w:spacing w:val="-3"/>
        </w:rPr>
        <w:t>, se deben</w:t>
      </w:r>
      <w:r w:rsidR="00CE2041" w:rsidRPr="00BD1319">
        <w:rPr>
          <w:rFonts w:cs="Arial"/>
          <w:spacing w:val="-3"/>
        </w:rPr>
        <w:t xml:space="preserve"> s</w:t>
      </w:r>
      <w:r w:rsidR="009322D2" w:rsidRPr="00BD1319">
        <w:rPr>
          <w:rFonts w:cs="Arial"/>
          <w:spacing w:val="-3"/>
        </w:rPr>
        <w:t>e</w:t>
      </w:r>
      <w:r w:rsidR="00CE2041" w:rsidRPr="00BD1319">
        <w:rPr>
          <w:rFonts w:cs="Arial"/>
          <w:spacing w:val="-3"/>
        </w:rPr>
        <w:t>gui</w:t>
      </w:r>
      <w:r w:rsidR="009322D2" w:rsidRPr="00BD1319">
        <w:rPr>
          <w:rFonts w:cs="Arial"/>
          <w:spacing w:val="-3"/>
        </w:rPr>
        <w:t xml:space="preserve">r </w:t>
      </w:r>
      <w:r w:rsidR="00CE2041" w:rsidRPr="00BD1319">
        <w:rPr>
          <w:rFonts w:cs="Arial"/>
          <w:spacing w:val="-3"/>
        </w:rPr>
        <w:t xml:space="preserve">los lineamientos que incluye la versión más reciente de la </w:t>
      </w:r>
      <w:r w:rsidR="00CE2041" w:rsidRPr="00BD1319">
        <w:rPr>
          <w:rFonts w:cs="Arial"/>
          <w:iCs/>
          <w:spacing w:val="-3"/>
        </w:rPr>
        <w:t>Guía para el diligenciamiento</w:t>
      </w:r>
      <w:r w:rsidR="00CE2041" w:rsidRPr="00BD1319">
        <w:rPr>
          <w:spacing w:val="-3"/>
        </w:rPr>
        <w:t xml:space="preserve"> de </w:t>
      </w:r>
      <w:r w:rsidR="00CE2041" w:rsidRPr="00BD1319">
        <w:rPr>
          <w:rFonts w:cs="Arial"/>
          <w:iCs/>
          <w:spacing w:val="-3"/>
        </w:rPr>
        <w:t xml:space="preserve">metadatos </w:t>
      </w:r>
      <w:r w:rsidR="00467CE5" w:rsidRPr="00BD1319">
        <w:rPr>
          <w:spacing w:val="-3"/>
        </w:rPr>
        <w:t>–</w:t>
      </w:r>
      <w:r w:rsidR="00CE2041" w:rsidRPr="00BD1319">
        <w:rPr>
          <w:spacing w:val="-3"/>
        </w:rPr>
        <w:t>ANLA, así como d</w:t>
      </w:r>
      <w:r w:rsidR="0091763F" w:rsidRPr="00BD1319">
        <w:rPr>
          <w:spacing w:val="-3"/>
        </w:rPr>
        <w:t>iligencia</w:t>
      </w:r>
      <w:r w:rsidR="009322D2" w:rsidRPr="00BD1319">
        <w:rPr>
          <w:spacing w:val="-3"/>
        </w:rPr>
        <w:t>r</w:t>
      </w:r>
      <w:r w:rsidR="00CE2041" w:rsidRPr="00BD1319">
        <w:rPr>
          <w:spacing w:val="-3"/>
        </w:rPr>
        <w:t xml:space="preserve"> </w:t>
      </w:r>
      <w:r w:rsidR="0091763F" w:rsidRPr="00BD1319">
        <w:rPr>
          <w:spacing w:val="-3"/>
        </w:rPr>
        <w:t xml:space="preserve">la </w:t>
      </w:r>
      <w:r w:rsidR="0091763F" w:rsidRPr="00BD1319">
        <w:rPr>
          <w:rFonts w:cs="Arial"/>
          <w:spacing w:val="-3"/>
        </w:rPr>
        <w:t xml:space="preserve">Plantilla institucional de metadatos para la documentación de información espacial y documental asociada a los estudios </w:t>
      </w:r>
      <w:r w:rsidR="0091763F" w:rsidRPr="00BD1319">
        <w:rPr>
          <w:rFonts w:cs="Arial"/>
          <w:spacing w:val="-3"/>
        </w:rPr>
        <w:lastRenderedPageBreak/>
        <w:t xml:space="preserve">ambientales, </w:t>
      </w:r>
      <w:r w:rsidR="00CE2041" w:rsidRPr="00BD1319">
        <w:rPr>
          <w:spacing w:val="-3"/>
        </w:rPr>
        <w:t xml:space="preserve">herramientas </w:t>
      </w:r>
      <w:r w:rsidR="009322D2" w:rsidRPr="00BD1319">
        <w:rPr>
          <w:rFonts w:cs="Arial"/>
          <w:spacing w:val="-3"/>
        </w:rPr>
        <w:t xml:space="preserve">enfocadas en el proceso de licenciamiento ambiental que </w:t>
      </w:r>
      <w:r w:rsidR="00CE2041" w:rsidRPr="00BD1319">
        <w:rPr>
          <w:spacing w:val="-3"/>
        </w:rPr>
        <w:t>desarrollan las directrices establecidas</w:t>
      </w:r>
      <w:r w:rsidR="009322D2" w:rsidRPr="00BD1319">
        <w:rPr>
          <w:spacing w:val="-3"/>
        </w:rPr>
        <w:t xml:space="preserve"> en dicho Decreto</w:t>
      </w:r>
      <w:r w:rsidR="00467CE5" w:rsidRPr="00BD1319">
        <w:rPr>
          <w:rStyle w:val="Refdenotaalpie"/>
          <w:spacing w:val="-3"/>
          <w:lang w:val="es-CO"/>
        </w:rPr>
        <w:footnoteReference w:id="15"/>
      </w:r>
      <w:r w:rsidRPr="00BD1319">
        <w:rPr>
          <w:spacing w:val="-3"/>
        </w:rPr>
        <w:t>.</w:t>
      </w:r>
    </w:p>
    <w:p w14:paraId="2E338436" w14:textId="1BD4DFA4" w:rsidR="00A101A4" w:rsidRPr="00BD1319" w:rsidRDefault="00A101A4" w:rsidP="009420F5">
      <w:pPr>
        <w:numPr>
          <w:ilvl w:val="12"/>
          <w:numId w:val="0"/>
        </w:numPr>
        <w:tabs>
          <w:tab w:val="left" w:pos="-2268"/>
          <w:tab w:val="left" w:pos="3067"/>
        </w:tabs>
        <w:suppressAutoHyphens/>
        <w:rPr>
          <w:spacing w:val="-3"/>
        </w:rPr>
      </w:pPr>
    </w:p>
    <w:p w14:paraId="4F9EBB05" w14:textId="77777777" w:rsidR="00A101A4" w:rsidRPr="00BD1319" w:rsidRDefault="00A101A4" w:rsidP="00216955">
      <w:pPr>
        <w:pStyle w:val="Ttulo3"/>
      </w:pPr>
      <w:bookmarkStart w:id="1956" w:name="_Toc79442965"/>
      <w:bookmarkStart w:id="1957" w:name="_Toc79442981"/>
      <w:bookmarkStart w:id="1958" w:name="_Toc79442982"/>
      <w:bookmarkStart w:id="1959" w:name="_Toc79442983"/>
      <w:bookmarkStart w:id="1960" w:name="_Toc42353713"/>
      <w:bookmarkStart w:id="1961" w:name="_Toc175326673"/>
      <w:bookmarkEnd w:id="1956"/>
      <w:bookmarkEnd w:id="1957"/>
      <w:bookmarkEnd w:id="1958"/>
      <w:bookmarkEnd w:id="1959"/>
      <w:r w:rsidRPr="00BD1319">
        <w:t>Denominación de archivos</w:t>
      </w:r>
      <w:bookmarkEnd w:id="1960"/>
      <w:bookmarkEnd w:id="1961"/>
    </w:p>
    <w:p w14:paraId="17797DCB" w14:textId="77777777" w:rsidR="00A101A4" w:rsidRPr="00BD1319" w:rsidRDefault="00A101A4">
      <w:pPr>
        <w:numPr>
          <w:ilvl w:val="12"/>
          <w:numId w:val="0"/>
        </w:numPr>
        <w:tabs>
          <w:tab w:val="left" w:pos="-2268"/>
        </w:tabs>
        <w:suppressAutoHyphens/>
        <w:rPr>
          <w:spacing w:val="-3"/>
        </w:rPr>
      </w:pPr>
    </w:p>
    <w:p w14:paraId="2ADB9975" w14:textId="77777777" w:rsidR="00A101A4" w:rsidRPr="00BD1319" w:rsidRDefault="00A101A4">
      <w:pPr>
        <w:numPr>
          <w:ilvl w:val="12"/>
          <w:numId w:val="0"/>
        </w:numPr>
        <w:tabs>
          <w:tab w:val="left" w:pos="-2268"/>
        </w:tabs>
        <w:suppressAutoHyphens/>
        <w:rPr>
          <w:spacing w:val="-3"/>
        </w:rPr>
      </w:pPr>
      <w:r w:rsidRPr="00BD1319">
        <w:rPr>
          <w:spacing w:val="-3"/>
        </w:rPr>
        <w:t xml:space="preserve">Para la denominación de archivos es importante tener en cuenta que el nombre consta de dos (2) elementos, uno denominado </w:t>
      </w:r>
      <w:r w:rsidRPr="00BD1319">
        <w:rPr>
          <w:i/>
          <w:spacing w:val="-3"/>
        </w:rPr>
        <w:t>elemento esencial</w:t>
      </w:r>
      <w:r w:rsidRPr="00BD1319">
        <w:rPr>
          <w:spacing w:val="-3"/>
        </w:rPr>
        <w:t xml:space="preserve"> y otro denominado </w:t>
      </w:r>
      <w:r w:rsidRPr="00BD1319">
        <w:rPr>
          <w:i/>
          <w:spacing w:val="-3"/>
        </w:rPr>
        <w:t>elemento opcional</w:t>
      </w:r>
      <w:r w:rsidRPr="00BD1319">
        <w:rPr>
          <w:spacing w:val="-3"/>
        </w:rPr>
        <w:t>.</w:t>
      </w:r>
    </w:p>
    <w:p w14:paraId="459AE6A2" w14:textId="77777777" w:rsidR="00A101A4" w:rsidRPr="00BD1319" w:rsidRDefault="00A101A4">
      <w:pPr>
        <w:numPr>
          <w:ilvl w:val="12"/>
          <w:numId w:val="0"/>
        </w:numPr>
        <w:tabs>
          <w:tab w:val="left" w:pos="-2268"/>
        </w:tabs>
        <w:suppressAutoHyphens/>
        <w:rPr>
          <w:spacing w:val="-3"/>
        </w:rPr>
      </w:pPr>
    </w:p>
    <w:p w14:paraId="628EB97A" w14:textId="73539F74" w:rsidR="00A101A4" w:rsidRPr="00BD1319" w:rsidRDefault="00A101A4">
      <w:pPr>
        <w:numPr>
          <w:ilvl w:val="12"/>
          <w:numId w:val="0"/>
        </w:numPr>
        <w:tabs>
          <w:tab w:val="left" w:pos="-2268"/>
        </w:tabs>
        <w:suppressAutoHyphens/>
        <w:rPr>
          <w:spacing w:val="-3"/>
        </w:rPr>
      </w:pPr>
      <w:r w:rsidRPr="00BD1319">
        <w:rPr>
          <w:spacing w:val="-3"/>
        </w:rPr>
        <w:t xml:space="preserve">El </w:t>
      </w:r>
      <w:r w:rsidRPr="00BD1319">
        <w:rPr>
          <w:i/>
          <w:spacing w:val="-3"/>
        </w:rPr>
        <w:t>elemento esencial</w:t>
      </w:r>
      <w:r w:rsidRPr="00BD1319">
        <w:rPr>
          <w:spacing w:val="-3"/>
        </w:rPr>
        <w:t xml:space="preserve"> corresponde al nombre del documento en sí</w:t>
      </w:r>
      <w:r w:rsidR="00DE1DBF" w:rsidRPr="00BD1319">
        <w:rPr>
          <w:spacing w:val="-3"/>
        </w:rPr>
        <w:t>, por ejemplo</w:t>
      </w:r>
      <w:r w:rsidRPr="00BD1319">
        <w:rPr>
          <w:spacing w:val="-3"/>
        </w:rPr>
        <w:t xml:space="preserve"> “PLAN DE MANEJO AMBIENTAL”, </w:t>
      </w:r>
      <w:r w:rsidR="00DE1DBF" w:rsidRPr="00BD1319">
        <w:rPr>
          <w:spacing w:val="-3"/>
        </w:rPr>
        <w:t xml:space="preserve">el cual </w:t>
      </w:r>
      <w:r w:rsidRPr="00BD1319">
        <w:rPr>
          <w:spacing w:val="-3"/>
        </w:rPr>
        <w:t xml:space="preserve">puede ser abreviado como “PMA”. El </w:t>
      </w:r>
      <w:r w:rsidRPr="00BD1319">
        <w:rPr>
          <w:i/>
          <w:spacing w:val="-3"/>
        </w:rPr>
        <w:t>elemento opcional</w:t>
      </w:r>
      <w:r w:rsidRPr="00BD1319">
        <w:rPr>
          <w:spacing w:val="-3"/>
        </w:rPr>
        <w:t xml:space="preserve"> incluye elementos como asunto, fecha, versión, numeraciones consecutivas</w:t>
      </w:r>
      <w:r w:rsidR="00DE1DBF" w:rsidRPr="00BD1319">
        <w:rPr>
          <w:spacing w:val="-3"/>
        </w:rPr>
        <w:t>,</w:t>
      </w:r>
      <w:r w:rsidRPr="00BD1319">
        <w:rPr>
          <w:spacing w:val="-3"/>
        </w:rPr>
        <w:t xml:space="preserve"> entre otras.</w:t>
      </w:r>
    </w:p>
    <w:p w14:paraId="186E7B5A" w14:textId="77777777" w:rsidR="00A101A4" w:rsidRPr="00BD1319" w:rsidRDefault="00A101A4">
      <w:pPr>
        <w:numPr>
          <w:ilvl w:val="12"/>
          <w:numId w:val="0"/>
        </w:numPr>
        <w:tabs>
          <w:tab w:val="left" w:pos="-2268"/>
        </w:tabs>
        <w:suppressAutoHyphens/>
        <w:rPr>
          <w:spacing w:val="-3"/>
        </w:rPr>
      </w:pPr>
    </w:p>
    <w:p w14:paraId="617EF31A" w14:textId="6169F656" w:rsidR="00A101A4" w:rsidRPr="00BD1319" w:rsidRDefault="00A101A4">
      <w:pPr>
        <w:numPr>
          <w:ilvl w:val="12"/>
          <w:numId w:val="0"/>
        </w:numPr>
        <w:tabs>
          <w:tab w:val="left" w:pos="-2268"/>
        </w:tabs>
        <w:suppressAutoHyphens/>
        <w:rPr>
          <w:spacing w:val="-3"/>
        </w:rPr>
      </w:pPr>
      <w:r w:rsidRPr="00BD1319">
        <w:rPr>
          <w:spacing w:val="-3"/>
        </w:rPr>
        <w:t xml:space="preserve">De acuerdo </w:t>
      </w:r>
      <w:r w:rsidRPr="00BD1319">
        <w:rPr>
          <w:rFonts w:cs="Arial"/>
          <w:spacing w:val="-3"/>
        </w:rPr>
        <w:t>con</w:t>
      </w:r>
      <w:r w:rsidRPr="00BD1319">
        <w:rPr>
          <w:spacing w:val="-3"/>
        </w:rPr>
        <w:t xml:space="preserve"> lo anterior, para denominar los archivos electrónicos es necesario tener en cuenta, tanto si se hará uso solamente del elemento esencial</w:t>
      </w:r>
      <w:r w:rsidR="00DE1DBF" w:rsidRPr="00BD1319">
        <w:rPr>
          <w:spacing w:val="-3"/>
        </w:rPr>
        <w:t>, como si se empleará</w:t>
      </w:r>
      <w:r w:rsidRPr="00BD1319">
        <w:rPr>
          <w:spacing w:val="-3"/>
        </w:rPr>
        <w:t xml:space="preserve"> el esencial más el opcional</w:t>
      </w:r>
      <w:r w:rsidR="00DE1DBF" w:rsidRPr="00BD1319">
        <w:rPr>
          <w:spacing w:val="-3"/>
        </w:rPr>
        <w:t>,</w:t>
      </w:r>
      <w:r w:rsidRPr="00BD1319">
        <w:rPr>
          <w:spacing w:val="-3"/>
        </w:rPr>
        <w:t xml:space="preserve"> y en este caso cu</w:t>
      </w:r>
      <w:r w:rsidR="00DE1DBF" w:rsidRPr="00BD1319">
        <w:rPr>
          <w:spacing w:val="-3"/>
        </w:rPr>
        <w:t>á</w:t>
      </w:r>
      <w:r w:rsidRPr="00BD1319">
        <w:rPr>
          <w:spacing w:val="-3"/>
        </w:rPr>
        <w:t>l elemento opcional</w:t>
      </w:r>
      <w:r w:rsidRPr="00BD1319">
        <w:rPr>
          <w:rFonts w:cs="Arial"/>
          <w:spacing w:val="-3"/>
        </w:rPr>
        <w:t>. A continuación, se muestra un esquema de la</w:t>
      </w:r>
      <w:r w:rsidRPr="00BD1319">
        <w:rPr>
          <w:spacing w:val="-3"/>
        </w:rPr>
        <w:t xml:space="preserve"> estructura para presentar de forma ordenada y normalizada la información:</w:t>
      </w:r>
    </w:p>
    <w:p w14:paraId="5E410A41" w14:textId="77777777" w:rsidR="00A101A4" w:rsidRPr="00BD1319" w:rsidRDefault="00A101A4">
      <w:pPr>
        <w:numPr>
          <w:ilvl w:val="12"/>
          <w:numId w:val="0"/>
        </w:numPr>
        <w:tabs>
          <w:tab w:val="left" w:pos="-2268"/>
        </w:tabs>
        <w:suppressAutoHyphens/>
        <w:rPr>
          <w:spacing w:val="-3"/>
        </w:rPr>
      </w:pPr>
    </w:p>
    <w:p w14:paraId="00334957" w14:textId="77777777" w:rsidR="00A101A4" w:rsidRPr="00BD1319" w:rsidRDefault="00A101A4" w:rsidP="00A101A4">
      <w:pPr>
        <w:numPr>
          <w:ilvl w:val="12"/>
          <w:numId w:val="0"/>
        </w:numPr>
        <w:tabs>
          <w:tab w:val="left" w:pos="-2268"/>
        </w:tabs>
        <w:suppressAutoHyphens/>
        <w:jc w:val="center"/>
        <w:rPr>
          <w:spacing w:val="-3"/>
        </w:rPr>
      </w:pPr>
      <w:r w:rsidRPr="00BD1319">
        <w:rPr>
          <w:noProof/>
          <w:spacing w:val="-3"/>
          <w:lang w:eastAsia="es-CO"/>
        </w:rPr>
        <w:drawing>
          <wp:inline distT="0" distB="0" distL="0" distR="0" wp14:anchorId="3FC3969D" wp14:editId="4D75DC2D">
            <wp:extent cx="5193030" cy="862567"/>
            <wp:effectExtent l="0" t="0" r="7620" b="0"/>
            <wp:docPr id="2517" name="Imagen 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34980" cy="869535"/>
                    </a:xfrm>
                    <a:prstGeom prst="rect">
                      <a:avLst/>
                    </a:prstGeom>
                    <a:noFill/>
                  </pic:spPr>
                </pic:pic>
              </a:graphicData>
            </a:graphic>
          </wp:inline>
        </w:drawing>
      </w:r>
    </w:p>
    <w:p w14:paraId="64491D9E" w14:textId="77777777" w:rsidR="00DF6D4D" w:rsidRPr="00BD1319" w:rsidRDefault="00DF6D4D">
      <w:pPr>
        <w:numPr>
          <w:ilvl w:val="12"/>
          <w:numId w:val="0"/>
        </w:numPr>
        <w:tabs>
          <w:tab w:val="left" w:pos="-2268"/>
        </w:tabs>
        <w:suppressAutoHyphens/>
        <w:rPr>
          <w:spacing w:val="-3"/>
        </w:rPr>
      </w:pPr>
    </w:p>
    <w:p w14:paraId="61DE743D" w14:textId="59E43BEE" w:rsidR="00A101A4" w:rsidRPr="00BD1319" w:rsidRDefault="00A101A4">
      <w:pPr>
        <w:numPr>
          <w:ilvl w:val="12"/>
          <w:numId w:val="0"/>
        </w:numPr>
        <w:tabs>
          <w:tab w:val="left" w:pos="-2268"/>
        </w:tabs>
        <w:suppressAutoHyphens/>
        <w:rPr>
          <w:spacing w:val="-3"/>
        </w:rPr>
      </w:pPr>
      <w:r w:rsidRPr="00BD1319">
        <w:rPr>
          <w:spacing w:val="-3"/>
        </w:rPr>
        <w:t>Adicionalmente, es necesario tener en cuenta que el nombre y la ruta completa de acceso al archivo no debe sobrepasar la cantidad de 260 caracteres. Por ello, se recomienda que la denominación de los archivos (</w:t>
      </w:r>
      <w:r w:rsidRPr="00BD1319">
        <w:rPr>
          <w:i/>
          <w:spacing w:val="-3"/>
        </w:rPr>
        <w:t>elemento esencial</w:t>
      </w:r>
      <w:r w:rsidRPr="00BD1319">
        <w:rPr>
          <w:spacing w:val="-3"/>
        </w:rPr>
        <w:t xml:space="preserve"> y </w:t>
      </w:r>
      <w:r w:rsidRPr="00BD1319">
        <w:rPr>
          <w:i/>
          <w:spacing w:val="-3"/>
        </w:rPr>
        <w:t>opcional</w:t>
      </w:r>
      <w:r w:rsidRPr="00BD1319">
        <w:rPr>
          <w:spacing w:val="-3"/>
        </w:rPr>
        <w:t>) no supere los 30 caracteres.</w:t>
      </w:r>
      <w:r w:rsidR="005661B0" w:rsidRPr="00BD1319">
        <w:rPr>
          <w:spacing w:val="-3"/>
        </w:rPr>
        <w:t xml:space="preserve"> </w:t>
      </w:r>
      <w:r w:rsidRPr="00BD1319">
        <w:rPr>
          <w:spacing w:val="-3"/>
        </w:rPr>
        <w:t xml:space="preserve">Asimismo, para la denominación de los archivos </w:t>
      </w:r>
      <w:r w:rsidR="005661B0" w:rsidRPr="00BD1319">
        <w:rPr>
          <w:spacing w:val="-3"/>
        </w:rPr>
        <w:t xml:space="preserve">es importante considerar </w:t>
      </w:r>
      <w:r w:rsidRPr="00BD1319">
        <w:rPr>
          <w:spacing w:val="-3"/>
        </w:rPr>
        <w:t>l</w:t>
      </w:r>
      <w:r w:rsidR="005661B0" w:rsidRPr="00BD1319">
        <w:rPr>
          <w:spacing w:val="-3"/>
        </w:rPr>
        <w:t>o</w:t>
      </w:r>
      <w:r w:rsidRPr="00BD1319">
        <w:rPr>
          <w:spacing w:val="-3"/>
        </w:rPr>
        <w:t xml:space="preserve"> siguiente:</w:t>
      </w:r>
    </w:p>
    <w:p w14:paraId="2E1E23CD" w14:textId="77777777" w:rsidR="00A101A4" w:rsidRPr="00BD1319" w:rsidRDefault="00A101A4">
      <w:pPr>
        <w:numPr>
          <w:ilvl w:val="12"/>
          <w:numId w:val="0"/>
        </w:numPr>
        <w:tabs>
          <w:tab w:val="left" w:pos="-2268"/>
        </w:tabs>
        <w:suppressAutoHyphens/>
        <w:rPr>
          <w:spacing w:val="-3"/>
        </w:rPr>
      </w:pPr>
    </w:p>
    <w:p w14:paraId="55502891" w14:textId="77777777" w:rsidR="00A101A4" w:rsidRPr="00BD1319" w:rsidRDefault="00A101A4" w:rsidP="00C86DA5">
      <w:pPr>
        <w:numPr>
          <w:ilvl w:val="0"/>
          <w:numId w:val="35"/>
        </w:numPr>
        <w:tabs>
          <w:tab w:val="left" w:pos="-2268"/>
        </w:tabs>
        <w:suppressAutoHyphens/>
        <w:ind w:left="567" w:hanging="567"/>
        <w:rPr>
          <w:spacing w:val="-3"/>
        </w:rPr>
      </w:pPr>
      <w:r w:rsidRPr="00BD1319">
        <w:rPr>
          <w:spacing w:val="-3"/>
        </w:rPr>
        <w:t>El nombre del archivo no puede contener tildes, símbolos, ni caracteres especiales.</w:t>
      </w:r>
    </w:p>
    <w:p w14:paraId="7F312C3F" w14:textId="77777777" w:rsidR="00A101A4" w:rsidRPr="00BD1319" w:rsidRDefault="00A101A4">
      <w:pPr>
        <w:tabs>
          <w:tab w:val="left" w:pos="-2268"/>
        </w:tabs>
        <w:suppressAutoHyphens/>
        <w:rPr>
          <w:spacing w:val="-3"/>
        </w:rPr>
      </w:pPr>
    </w:p>
    <w:p w14:paraId="1C7B6A78" w14:textId="5AF8F3E3" w:rsidR="00A101A4" w:rsidRPr="00BD1319" w:rsidRDefault="00A101A4" w:rsidP="006C6BC3">
      <w:pPr>
        <w:numPr>
          <w:ilvl w:val="0"/>
          <w:numId w:val="35"/>
        </w:numPr>
        <w:tabs>
          <w:tab w:val="left" w:pos="-2268"/>
        </w:tabs>
        <w:suppressAutoHyphens/>
        <w:ind w:left="567" w:hanging="567"/>
        <w:rPr>
          <w:spacing w:val="-3"/>
        </w:rPr>
      </w:pPr>
      <w:r w:rsidRPr="00BD1319">
        <w:rPr>
          <w:spacing w:val="-3"/>
        </w:rPr>
        <w:t>El nombre como elemento esencial debe reflejar el contenido del documento.</w:t>
      </w:r>
    </w:p>
    <w:p w14:paraId="45B0418E" w14:textId="77777777" w:rsidR="00A101A4" w:rsidRPr="00BD1319" w:rsidRDefault="00A101A4">
      <w:pPr>
        <w:tabs>
          <w:tab w:val="left" w:pos="-2268"/>
        </w:tabs>
        <w:suppressAutoHyphens/>
        <w:rPr>
          <w:spacing w:val="-3"/>
        </w:rPr>
      </w:pPr>
    </w:p>
    <w:p w14:paraId="15CFB4C3" w14:textId="60E04048" w:rsidR="00A101A4" w:rsidRPr="00BD1319" w:rsidRDefault="005661B0" w:rsidP="006C6BC3">
      <w:pPr>
        <w:numPr>
          <w:ilvl w:val="0"/>
          <w:numId w:val="35"/>
        </w:numPr>
        <w:tabs>
          <w:tab w:val="left" w:pos="-2268"/>
        </w:tabs>
        <w:suppressAutoHyphens/>
        <w:ind w:left="567" w:hanging="567"/>
        <w:rPr>
          <w:spacing w:val="-3"/>
        </w:rPr>
      </w:pPr>
      <w:r w:rsidRPr="00BD1319">
        <w:rPr>
          <w:spacing w:val="-3"/>
        </w:rPr>
        <w:t xml:space="preserve">Si se </w:t>
      </w:r>
      <w:r w:rsidR="00A101A4" w:rsidRPr="00BD1319">
        <w:rPr>
          <w:spacing w:val="-3"/>
        </w:rPr>
        <w:t>us</w:t>
      </w:r>
      <w:r w:rsidRPr="00BD1319">
        <w:rPr>
          <w:spacing w:val="-3"/>
        </w:rPr>
        <w:t>a</w:t>
      </w:r>
      <w:r w:rsidR="00A101A4" w:rsidRPr="00BD1319">
        <w:rPr>
          <w:spacing w:val="-3"/>
        </w:rPr>
        <w:t xml:space="preserve"> como elemento opcional la fecha, </w:t>
      </w:r>
      <w:r w:rsidRPr="00BD1319">
        <w:rPr>
          <w:spacing w:val="-3"/>
        </w:rPr>
        <w:t xml:space="preserve">ésta </w:t>
      </w:r>
      <w:r w:rsidR="00A101A4" w:rsidRPr="00BD1319">
        <w:rPr>
          <w:spacing w:val="-3"/>
        </w:rPr>
        <w:t>debe expresa</w:t>
      </w:r>
      <w:r w:rsidRPr="00BD1319">
        <w:rPr>
          <w:spacing w:val="-3"/>
        </w:rPr>
        <w:t xml:space="preserve">r el año </w:t>
      </w:r>
      <w:r w:rsidR="00A101A4" w:rsidRPr="00BD1319">
        <w:rPr>
          <w:spacing w:val="-3"/>
        </w:rPr>
        <w:t>en centuria. (</w:t>
      </w:r>
      <w:r w:rsidR="00041844" w:rsidRPr="00BD1319">
        <w:rPr>
          <w:spacing w:val="-3"/>
        </w:rPr>
        <w:t>p. ej.</w:t>
      </w:r>
      <w:r w:rsidR="00A101A4" w:rsidRPr="00BD1319">
        <w:rPr>
          <w:spacing w:val="-3"/>
        </w:rPr>
        <w:t xml:space="preserve"> PLAN DE MANEJO AMBIENTAL 2009).</w:t>
      </w:r>
    </w:p>
    <w:p w14:paraId="5C565DF3" w14:textId="77777777" w:rsidR="00A101A4" w:rsidRPr="00BD1319" w:rsidRDefault="00A101A4">
      <w:pPr>
        <w:tabs>
          <w:tab w:val="left" w:pos="-2268"/>
        </w:tabs>
        <w:suppressAutoHyphens/>
        <w:rPr>
          <w:spacing w:val="-3"/>
        </w:rPr>
      </w:pPr>
    </w:p>
    <w:p w14:paraId="785F2D8F" w14:textId="496A0F89" w:rsidR="00A101A4" w:rsidRPr="00BD1319" w:rsidRDefault="00A101A4" w:rsidP="006C6BC3">
      <w:pPr>
        <w:numPr>
          <w:ilvl w:val="0"/>
          <w:numId w:val="35"/>
        </w:numPr>
        <w:tabs>
          <w:tab w:val="left" w:pos="-2268"/>
        </w:tabs>
        <w:suppressAutoHyphens/>
        <w:ind w:left="567" w:hanging="567"/>
        <w:rPr>
          <w:spacing w:val="-3"/>
        </w:rPr>
      </w:pPr>
      <w:r w:rsidRPr="00BD1319">
        <w:rPr>
          <w:spacing w:val="-3"/>
        </w:rPr>
        <w:t>El nombre debe escribirse en mayúscula sostenida.</w:t>
      </w:r>
    </w:p>
    <w:p w14:paraId="7663B192" w14:textId="77777777" w:rsidR="00A101A4" w:rsidRPr="00BD1319" w:rsidRDefault="00A101A4">
      <w:pPr>
        <w:numPr>
          <w:ilvl w:val="12"/>
          <w:numId w:val="0"/>
        </w:numPr>
        <w:tabs>
          <w:tab w:val="left" w:pos="-2268"/>
        </w:tabs>
        <w:suppressAutoHyphens/>
        <w:rPr>
          <w:spacing w:val="-3"/>
        </w:rPr>
      </w:pPr>
    </w:p>
    <w:p w14:paraId="69A01A29" w14:textId="77777777" w:rsidR="00A101A4" w:rsidRPr="00BD1319" w:rsidRDefault="00A101A4" w:rsidP="00216955">
      <w:pPr>
        <w:pStyle w:val="Ttulo3"/>
      </w:pPr>
      <w:bookmarkStart w:id="1962" w:name="_Toc42353714"/>
      <w:bookmarkStart w:id="1963" w:name="_Toc175326674"/>
      <w:r w:rsidRPr="00BD1319">
        <w:t>Clasificación o agrupación de información</w:t>
      </w:r>
      <w:bookmarkEnd w:id="1962"/>
      <w:bookmarkEnd w:id="1963"/>
    </w:p>
    <w:p w14:paraId="3E1874EE" w14:textId="77777777" w:rsidR="00A101A4" w:rsidRPr="00BD1319" w:rsidRDefault="00A101A4">
      <w:pPr>
        <w:numPr>
          <w:ilvl w:val="12"/>
          <w:numId w:val="0"/>
        </w:numPr>
        <w:tabs>
          <w:tab w:val="left" w:pos="-2268"/>
        </w:tabs>
        <w:suppressAutoHyphens/>
        <w:rPr>
          <w:spacing w:val="-3"/>
        </w:rPr>
      </w:pPr>
    </w:p>
    <w:p w14:paraId="4B4AA6BA" w14:textId="37ED37FC" w:rsidR="00A101A4" w:rsidRPr="00BD1319" w:rsidRDefault="00A101A4">
      <w:pPr>
        <w:numPr>
          <w:ilvl w:val="12"/>
          <w:numId w:val="0"/>
        </w:numPr>
        <w:tabs>
          <w:tab w:val="left" w:pos="-2268"/>
        </w:tabs>
        <w:suppressAutoHyphens/>
        <w:rPr>
          <w:spacing w:val="-3"/>
        </w:rPr>
      </w:pPr>
      <w:r w:rsidRPr="00BD1319">
        <w:rPr>
          <w:spacing w:val="-3"/>
        </w:rPr>
        <w:t xml:space="preserve">Para organizar, cargar, descargar y revisar la información, se deben clasificar los archivos en carpetas agrupadas temáticamente como se muestra </w:t>
      </w:r>
      <w:r w:rsidRPr="00BD1319">
        <w:rPr>
          <w:rFonts w:cs="Arial"/>
          <w:spacing w:val="-3"/>
        </w:rPr>
        <w:t xml:space="preserve">en la </w:t>
      </w:r>
      <w:r w:rsidRPr="00BD1319">
        <w:rPr>
          <w:rFonts w:cs="Arial"/>
          <w:spacing w:val="-3"/>
        </w:rPr>
        <w:fldChar w:fldCharType="begin"/>
      </w:r>
      <w:r w:rsidRPr="00BD1319">
        <w:rPr>
          <w:rFonts w:cs="Arial"/>
          <w:spacing w:val="-3"/>
        </w:rPr>
        <w:instrText xml:space="preserve"> REF _Ref42352192 \h </w:instrText>
      </w:r>
      <w:r w:rsidR="00A826C8" w:rsidRPr="00BD1319">
        <w:rPr>
          <w:rFonts w:cs="Arial"/>
          <w:spacing w:val="-3"/>
        </w:rPr>
        <w:instrText xml:space="preserve"> \* MERGEFORMAT </w:instrText>
      </w:r>
      <w:r w:rsidRPr="00BD1319">
        <w:rPr>
          <w:rFonts w:cs="Arial"/>
          <w:spacing w:val="-3"/>
        </w:rPr>
      </w:r>
      <w:r w:rsidRPr="00BD1319">
        <w:rPr>
          <w:rFonts w:cs="Arial"/>
          <w:spacing w:val="-3"/>
        </w:rPr>
        <w:fldChar w:fldCharType="separate"/>
      </w:r>
      <w:r w:rsidR="00296654" w:rsidRPr="00BD1319">
        <w:rPr>
          <w:rFonts w:cs="Arial"/>
        </w:rPr>
        <w:t>Tabla 7</w:t>
      </w:r>
      <w:r w:rsidRPr="00BD1319">
        <w:rPr>
          <w:rFonts w:cs="Arial"/>
          <w:spacing w:val="-3"/>
        </w:rPr>
        <w:fldChar w:fldCharType="end"/>
      </w:r>
      <w:r w:rsidRPr="00BD1319">
        <w:rPr>
          <w:rFonts w:cs="Arial"/>
          <w:spacing w:val="-3"/>
        </w:rPr>
        <w:t>.</w:t>
      </w:r>
    </w:p>
    <w:p w14:paraId="09EB065D" w14:textId="77777777" w:rsidR="00A101A4" w:rsidRPr="00BD1319" w:rsidRDefault="00A101A4">
      <w:pPr>
        <w:numPr>
          <w:ilvl w:val="12"/>
          <w:numId w:val="0"/>
        </w:numPr>
        <w:tabs>
          <w:tab w:val="left" w:pos="-2268"/>
        </w:tabs>
        <w:suppressAutoHyphens/>
        <w:rPr>
          <w:spacing w:val="-3"/>
        </w:rPr>
      </w:pPr>
    </w:p>
    <w:p w14:paraId="185FDAA1" w14:textId="596558ED" w:rsidR="00A101A4" w:rsidRPr="00BD1319" w:rsidRDefault="00A101A4" w:rsidP="00C86DA5">
      <w:pPr>
        <w:pStyle w:val="Descripcin"/>
        <w:jc w:val="center"/>
        <w:rPr>
          <w:b w:val="0"/>
          <w:spacing w:val="-3"/>
        </w:rPr>
      </w:pPr>
      <w:bookmarkStart w:id="1964" w:name="_Ref42352192"/>
      <w:r w:rsidRPr="00BD1319">
        <w:t xml:space="preserve">Tabla </w:t>
      </w:r>
      <w:fldSimple w:instr=" SEQ Tabla \* ARABIC ">
        <w:r w:rsidR="00296654" w:rsidRPr="00BD1319">
          <w:rPr>
            <w:noProof/>
          </w:rPr>
          <w:t>7</w:t>
        </w:r>
      </w:fldSimple>
      <w:bookmarkEnd w:id="1964"/>
      <w:r w:rsidRPr="00BD1319">
        <w:rPr>
          <w:spacing w:val="-3"/>
        </w:rPr>
        <w:t>.</w:t>
      </w:r>
      <w:r w:rsidRPr="00BD1319">
        <w:rPr>
          <w:b w:val="0"/>
          <w:spacing w:val="-3"/>
        </w:rPr>
        <w:t xml:space="preserve"> Agrupación de la información</w:t>
      </w:r>
    </w:p>
    <w:tbl>
      <w:tblPr>
        <w:tblW w:w="8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2306"/>
        <w:gridCol w:w="3617"/>
        <w:gridCol w:w="2329"/>
      </w:tblGrid>
      <w:tr w:rsidR="00A101A4" w:rsidRPr="00BD1319" w14:paraId="64396F35" w14:textId="77777777" w:rsidTr="00C86DA5">
        <w:trPr>
          <w:trHeight w:val="525"/>
          <w:tblHeader/>
          <w:jc w:val="center"/>
        </w:trPr>
        <w:tc>
          <w:tcPr>
            <w:tcW w:w="562" w:type="dxa"/>
            <w:shd w:val="clear" w:color="auto" w:fill="auto"/>
            <w:vAlign w:val="center"/>
            <w:hideMark/>
          </w:tcPr>
          <w:p w14:paraId="305318D9" w14:textId="3060D9FD" w:rsidR="00A101A4" w:rsidRPr="00BD1319" w:rsidRDefault="009A506A" w:rsidP="00BA45DD">
            <w:pPr>
              <w:numPr>
                <w:ilvl w:val="12"/>
                <w:numId w:val="0"/>
              </w:numPr>
              <w:tabs>
                <w:tab w:val="left" w:pos="-2268"/>
              </w:tabs>
              <w:suppressAutoHyphens/>
              <w:jc w:val="center"/>
              <w:rPr>
                <w:b/>
                <w:i/>
                <w:spacing w:val="-3"/>
                <w:sz w:val="22"/>
              </w:rPr>
            </w:pPr>
            <w:r w:rsidRPr="00BD1319">
              <w:rPr>
                <w:rFonts w:cs="Arial"/>
                <w:b/>
                <w:bCs/>
                <w:spacing w:val="-3"/>
                <w:sz w:val="22"/>
                <w:szCs w:val="22"/>
              </w:rPr>
              <w:t>No</w:t>
            </w:r>
            <w:r w:rsidR="00A101A4" w:rsidRPr="00BD1319">
              <w:rPr>
                <w:b/>
                <w:spacing w:val="-3"/>
                <w:sz w:val="22"/>
              </w:rPr>
              <w:t>.</w:t>
            </w:r>
          </w:p>
        </w:tc>
        <w:tc>
          <w:tcPr>
            <w:tcW w:w="2306" w:type="dxa"/>
            <w:shd w:val="clear" w:color="auto" w:fill="auto"/>
            <w:vAlign w:val="center"/>
          </w:tcPr>
          <w:p w14:paraId="7EED05CF" w14:textId="0E979B00" w:rsidR="00A101A4" w:rsidRPr="00BD1319" w:rsidRDefault="009A506A" w:rsidP="00BA45DD">
            <w:pPr>
              <w:numPr>
                <w:ilvl w:val="12"/>
                <w:numId w:val="0"/>
              </w:numPr>
              <w:tabs>
                <w:tab w:val="left" w:pos="-2268"/>
              </w:tabs>
              <w:suppressAutoHyphens/>
              <w:jc w:val="center"/>
              <w:rPr>
                <w:b/>
                <w:i/>
                <w:spacing w:val="-3"/>
                <w:sz w:val="22"/>
              </w:rPr>
            </w:pPr>
            <w:r w:rsidRPr="00BD1319">
              <w:rPr>
                <w:rFonts w:cs="Arial"/>
                <w:b/>
                <w:bCs/>
                <w:spacing w:val="-3"/>
                <w:sz w:val="22"/>
                <w:szCs w:val="22"/>
              </w:rPr>
              <w:t>Carpetas</w:t>
            </w:r>
          </w:p>
        </w:tc>
        <w:tc>
          <w:tcPr>
            <w:tcW w:w="3617" w:type="dxa"/>
            <w:shd w:val="clear" w:color="auto" w:fill="auto"/>
            <w:vAlign w:val="center"/>
            <w:hideMark/>
          </w:tcPr>
          <w:p w14:paraId="6604D341" w14:textId="69220B8A" w:rsidR="00A101A4" w:rsidRPr="00BD1319" w:rsidRDefault="009A506A" w:rsidP="00BA45DD">
            <w:pPr>
              <w:numPr>
                <w:ilvl w:val="12"/>
                <w:numId w:val="0"/>
              </w:numPr>
              <w:tabs>
                <w:tab w:val="left" w:pos="-2268"/>
              </w:tabs>
              <w:suppressAutoHyphens/>
              <w:jc w:val="center"/>
              <w:rPr>
                <w:b/>
                <w:i/>
                <w:spacing w:val="-3"/>
                <w:sz w:val="22"/>
              </w:rPr>
            </w:pPr>
            <w:r w:rsidRPr="00BD1319">
              <w:rPr>
                <w:rFonts w:cs="Arial"/>
                <w:b/>
                <w:bCs/>
                <w:spacing w:val="-3"/>
                <w:sz w:val="22"/>
                <w:szCs w:val="22"/>
              </w:rPr>
              <w:t>Subcarpetas</w:t>
            </w:r>
          </w:p>
        </w:tc>
        <w:tc>
          <w:tcPr>
            <w:tcW w:w="2329" w:type="dxa"/>
            <w:shd w:val="clear" w:color="auto" w:fill="auto"/>
            <w:vAlign w:val="center"/>
          </w:tcPr>
          <w:p w14:paraId="62294498" w14:textId="5A21A458" w:rsidR="00A101A4" w:rsidRPr="00BD1319" w:rsidRDefault="009A506A" w:rsidP="00BA45DD">
            <w:pPr>
              <w:numPr>
                <w:ilvl w:val="12"/>
                <w:numId w:val="0"/>
              </w:numPr>
              <w:tabs>
                <w:tab w:val="left" w:pos="-2268"/>
              </w:tabs>
              <w:suppressAutoHyphens/>
              <w:jc w:val="center"/>
              <w:rPr>
                <w:b/>
                <w:spacing w:val="-3"/>
                <w:sz w:val="22"/>
              </w:rPr>
            </w:pPr>
            <w:r w:rsidRPr="00BD1319">
              <w:rPr>
                <w:rFonts w:cs="Arial"/>
                <w:b/>
                <w:bCs/>
                <w:spacing w:val="-3"/>
                <w:sz w:val="22"/>
                <w:szCs w:val="22"/>
              </w:rPr>
              <w:t>Tamaño máximo recomendado</w:t>
            </w:r>
          </w:p>
        </w:tc>
      </w:tr>
      <w:tr w:rsidR="00A101A4" w:rsidRPr="00BD1319" w14:paraId="1F0164CD" w14:textId="77777777" w:rsidTr="00C86DA5">
        <w:trPr>
          <w:trHeight w:val="300"/>
          <w:jc w:val="center"/>
        </w:trPr>
        <w:tc>
          <w:tcPr>
            <w:tcW w:w="562" w:type="dxa"/>
            <w:vAlign w:val="center"/>
            <w:hideMark/>
          </w:tcPr>
          <w:p w14:paraId="0A6C24FD" w14:textId="77777777" w:rsidR="00A101A4" w:rsidRPr="00BD1319" w:rsidRDefault="00A101A4" w:rsidP="00C86DA5">
            <w:pPr>
              <w:numPr>
                <w:ilvl w:val="12"/>
                <w:numId w:val="0"/>
              </w:numPr>
              <w:tabs>
                <w:tab w:val="left" w:pos="-2268"/>
              </w:tabs>
              <w:suppressAutoHyphens/>
              <w:jc w:val="center"/>
              <w:rPr>
                <w:b/>
                <w:i/>
                <w:spacing w:val="-3"/>
                <w:sz w:val="22"/>
              </w:rPr>
            </w:pPr>
            <w:r w:rsidRPr="00BD1319">
              <w:rPr>
                <w:b/>
                <w:spacing w:val="-3"/>
                <w:sz w:val="22"/>
              </w:rPr>
              <w:t>1</w:t>
            </w:r>
          </w:p>
        </w:tc>
        <w:tc>
          <w:tcPr>
            <w:tcW w:w="5923" w:type="dxa"/>
            <w:gridSpan w:val="2"/>
            <w:vAlign w:val="center"/>
          </w:tcPr>
          <w:p w14:paraId="71D3C47D" w14:textId="77777777" w:rsidR="00A101A4" w:rsidRPr="00BD1319" w:rsidRDefault="00A101A4" w:rsidP="00BA45DD">
            <w:pPr>
              <w:numPr>
                <w:ilvl w:val="12"/>
                <w:numId w:val="0"/>
              </w:numPr>
              <w:tabs>
                <w:tab w:val="left" w:pos="-2268"/>
              </w:tabs>
              <w:suppressAutoHyphens/>
              <w:rPr>
                <w:spacing w:val="-3"/>
                <w:sz w:val="22"/>
              </w:rPr>
            </w:pPr>
            <w:r w:rsidRPr="00BD1319">
              <w:rPr>
                <w:spacing w:val="-3"/>
                <w:sz w:val="22"/>
              </w:rPr>
              <w:t>Documento estudio ambiental</w:t>
            </w:r>
          </w:p>
        </w:tc>
        <w:tc>
          <w:tcPr>
            <w:tcW w:w="2329" w:type="dxa"/>
            <w:vAlign w:val="center"/>
          </w:tcPr>
          <w:p w14:paraId="6425F3A8" w14:textId="77777777" w:rsidR="00A101A4" w:rsidRPr="00BD1319" w:rsidRDefault="00A101A4" w:rsidP="00BA45DD">
            <w:pPr>
              <w:numPr>
                <w:ilvl w:val="12"/>
                <w:numId w:val="0"/>
              </w:numPr>
              <w:tabs>
                <w:tab w:val="left" w:pos="-2268"/>
              </w:tabs>
              <w:suppressAutoHyphens/>
              <w:ind w:left="773"/>
              <w:rPr>
                <w:spacing w:val="-3"/>
                <w:sz w:val="22"/>
              </w:rPr>
            </w:pPr>
            <w:r w:rsidRPr="00BD1319">
              <w:rPr>
                <w:spacing w:val="-3"/>
                <w:sz w:val="22"/>
              </w:rPr>
              <w:t>1 GB</w:t>
            </w:r>
          </w:p>
        </w:tc>
      </w:tr>
      <w:tr w:rsidR="00A101A4" w:rsidRPr="00BD1319" w14:paraId="1D8EC9D4" w14:textId="77777777" w:rsidTr="00BA45DD">
        <w:trPr>
          <w:trHeight w:val="300"/>
          <w:jc w:val="center"/>
        </w:trPr>
        <w:tc>
          <w:tcPr>
            <w:tcW w:w="562" w:type="dxa"/>
            <w:vMerge w:val="restart"/>
            <w:vAlign w:val="center"/>
          </w:tcPr>
          <w:p w14:paraId="1384CE1D" w14:textId="77777777" w:rsidR="00A101A4" w:rsidRPr="00BD1319" w:rsidRDefault="00A101A4" w:rsidP="00C86DA5">
            <w:pPr>
              <w:numPr>
                <w:ilvl w:val="12"/>
                <w:numId w:val="0"/>
              </w:numPr>
              <w:tabs>
                <w:tab w:val="left" w:pos="-2268"/>
              </w:tabs>
              <w:suppressAutoHyphens/>
              <w:jc w:val="center"/>
              <w:rPr>
                <w:b/>
                <w:i/>
                <w:spacing w:val="-3"/>
                <w:sz w:val="22"/>
              </w:rPr>
            </w:pPr>
            <w:r w:rsidRPr="00BD1319">
              <w:rPr>
                <w:b/>
                <w:spacing w:val="-3"/>
                <w:sz w:val="22"/>
              </w:rPr>
              <w:t>2</w:t>
            </w:r>
          </w:p>
        </w:tc>
        <w:tc>
          <w:tcPr>
            <w:tcW w:w="2306" w:type="dxa"/>
            <w:vMerge w:val="restart"/>
            <w:vAlign w:val="center"/>
          </w:tcPr>
          <w:p w14:paraId="68E3E681" w14:textId="77777777" w:rsidR="00A101A4" w:rsidRPr="00BD1319" w:rsidRDefault="00A101A4" w:rsidP="00BA45DD">
            <w:pPr>
              <w:numPr>
                <w:ilvl w:val="12"/>
                <w:numId w:val="0"/>
              </w:numPr>
              <w:tabs>
                <w:tab w:val="left" w:pos="-2268"/>
              </w:tabs>
              <w:suppressAutoHyphens/>
              <w:rPr>
                <w:spacing w:val="-3"/>
                <w:sz w:val="22"/>
              </w:rPr>
            </w:pPr>
            <w:r w:rsidRPr="00BD1319">
              <w:rPr>
                <w:spacing w:val="-3"/>
                <w:sz w:val="22"/>
              </w:rPr>
              <w:t>Información geográfica</w:t>
            </w:r>
          </w:p>
        </w:tc>
        <w:tc>
          <w:tcPr>
            <w:tcW w:w="3617" w:type="dxa"/>
            <w:vAlign w:val="center"/>
          </w:tcPr>
          <w:p w14:paraId="0A0ED701" w14:textId="57AA9D6F" w:rsidR="00A101A4" w:rsidRPr="00BD1319" w:rsidRDefault="00A101A4" w:rsidP="00BA45DD">
            <w:pPr>
              <w:numPr>
                <w:ilvl w:val="12"/>
                <w:numId w:val="0"/>
              </w:numPr>
              <w:tabs>
                <w:tab w:val="left" w:pos="-2268"/>
              </w:tabs>
              <w:suppressAutoHyphens/>
              <w:rPr>
                <w:spacing w:val="-3"/>
                <w:sz w:val="22"/>
              </w:rPr>
            </w:pPr>
            <w:r w:rsidRPr="00BD1319">
              <w:rPr>
                <w:rFonts w:cs="Arial"/>
                <w:spacing w:val="-3"/>
                <w:sz w:val="22"/>
                <w:szCs w:val="22"/>
              </w:rPr>
              <w:t>MAG</w:t>
            </w:r>
          </w:p>
        </w:tc>
        <w:tc>
          <w:tcPr>
            <w:tcW w:w="2329" w:type="dxa"/>
            <w:vAlign w:val="center"/>
          </w:tcPr>
          <w:p w14:paraId="765B09AB" w14:textId="77777777" w:rsidR="00A101A4" w:rsidRPr="00BD1319" w:rsidRDefault="00A101A4" w:rsidP="00BA45DD">
            <w:pPr>
              <w:numPr>
                <w:ilvl w:val="12"/>
                <w:numId w:val="0"/>
              </w:numPr>
              <w:tabs>
                <w:tab w:val="left" w:pos="-2268"/>
              </w:tabs>
              <w:suppressAutoHyphens/>
              <w:ind w:left="773"/>
              <w:rPr>
                <w:spacing w:val="-3"/>
                <w:sz w:val="22"/>
              </w:rPr>
            </w:pPr>
            <w:r w:rsidRPr="00BD1319">
              <w:rPr>
                <w:spacing w:val="-3"/>
                <w:sz w:val="22"/>
              </w:rPr>
              <w:t>2 GB</w:t>
            </w:r>
          </w:p>
        </w:tc>
      </w:tr>
      <w:tr w:rsidR="00A101A4" w:rsidRPr="00BD1319" w14:paraId="51DF4C2E" w14:textId="77777777" w:rsidTr="00C86DA5">
        <w:trPr>
          <w:trHeight w:val="300"/>
          <w:jc w:val="center"/>
        </w:trPr>
        <w:tc>
          <w:tcPr>
            <w:tcW w:w="562" w:type="dxa"/>
            <w:vMerge/>
            <w:vAlign w:val="center"/>
          </w:tcPr>
          <w:p w14:paraId="09E1824A" w14:textId="77777777" w:rsidR="00A101A4" w:rsidRPr="00BD1319" w:rsidRDefault="00A101A4" w:rsidP="00C86DA5">
            <w:pPr>
              <w:numPr>
                <w:ilvl w:val="12"/>
                <w:numId w:val="0"/>
              </w:numPr>
              <w:tabs>
                <w:tab w:val="left" w:pos="-2268"/>
              </w:tabs>
              <w:suppressAutoHyphens/>
              <w:jc w:val="center"/>
              <w:rPr>
                <w:b/>
                <w:i/>
                <w:spacing w:val="-3"/>
                <w:sz w:val="22"/>
              </w:rPr>
            </w:pPr>
          </w:p>
        </w:tc>
        <w:tc>
          <w:tcPr>
            <w:tcW w:w="2306" w:type="dxa"/>
            <w:vMerge/>
            <w:vAlign w:val="center"/>
          </w:tcPr>
          <w:p w14:paraId="2B50142C" w14:textId="77777777" w:rsidR="00A101A4" w:rsidRPr="00BD1319" w:rsidRDefault="00A101A4" w:rsidP="00BA45DD">
            <w:pPr>
              <w:numPr>
                <w:ilvl w:val="12"/>
                <w:numId w:val="0"/>
              </w:numPr>
              <w:tabs>
                <w:tab w:val="left" w:pos="-2268"/>
              </w:tabs>
              <w:suppressAutoHyphens/>
              <w:rPr>
                <w:spacing w:val="-3"/>
                <w:sz w:val="22"/>
              </w:rPr>
            </w:pPr>
          </w:p>
        </w:tc>
        <w:tc>
          <w:tcPr>
            <w:tcW w:w="3617" w:type="dxa"/>
            <w:vAlign w:val="center"/>
          </w:tcPr>
          <w:p w14:paraId="3A2293CE" w14:textId="3A628970" w:rsidR="00A101A4" w:rsidRPr="00BD1319" w:rsidRDefault="00A101A4" w:rsidP="00BA45DD">
            <w:pPr>
              <w:numPr>
                <w:ilvl w:val="12"/>
                <w:numId w:val="0"/>
              </w:numPr>
              <w:tabs>
                <w:tab w:val="left" w:pos="-2268"/>
              </w:tabs>
              <w:suppressAutoHyphens/>
              <w:rPr>
                <w:spacing w:val="-3"/>
                <w:sz w:val="22"/>
              </w:rPr>
            </w:pPr>
            <w:r w:rsidRPr="00BD1319">
              <w:rPr>
                <w:spacing w:val="-3"/>
                <w:sz w:val="22"/>
              </w:rPr>
              <w:t xml:space="preserve">Insumos (imágenes </w:t>
            </w:r>
            <w:r w:rsidR="00B037B2" w:rsidRPr="00BD1319">
              <w:rPr>
                <w:spacing w:val="-3"/>
                <w:sz w:val="22"/>
              </w:rPr>
              <w:t>u</w:t>
            </w:r>
            <w:r w:rsidRPr="00BD1319">
              <w:rPr>
                <w:spacing w:val="-3"/>
                <w:sz w:val="22"/>
              </w:rPr>
              <w:t xml:space="preserve"> ortofotos)</w:t>
            </w:r>
          </w:p>
        </w:tc>
        <w:tc>
          <w:tcPr>
            <w:tcW w:w="2329" w:type="dxa"/>
            <w:vAlign w:val="center"/>
          </w:tcPr>
          <w:p w14:paraId="5B8D2C09" w14:textId="77777777" w:rsidR="00A101A4" w:rsidRPr="00BD1319" w:rsidRDefault="00A101A4" w:rsidP="00BA45DD">
            <w:pPr>
              <w:numPr>
                <w:ilvl w:val="12"/>
                <w:numId w:val="0"/>
              </w:numPr>
              <w:tabs>
                <w:tab w:val="left" w:pos="-2268"/>
              </w:tabs>
              <w:suppressAutoHyphens/>
              <w:ind w:left="773"/>
              <w:rPr>
                <w:spacing w:val="-3"/>
                <w:sz w:val="22"/>
              </w:rPr>
            </w:pPr>
            <w:r w:rsidRPr="00BD1319">
              <w:rPr>
                <w:spacing w:val="-3"/>
                <w:sz w:val="22"/>
              </w:rPr>
              <w:t>1 GB</w:t>
            </w:r>
          </w:p>
        </w:tc>
      </w:tr>
      <w:tr w:rsidR="00A101A4" w:rsidRPr="00BD1319" w14:paraId="59DEF384" w14:textId="77777777" w:rsidTr="00C86DA5">
        <w:trPr>
          <w:trHeight w:val="300"/>
          <w:jc w:val="center"/>
        </w:trPr>
        <w:tc>
          <w:tcPr>
            <w:tcW w:w="562" w:type="dxa"/>
            <w:vMerge/>
            <w:vAlign w:val="center"/>
          </w:tcPr>
          <w:p w14:paraId="7E7A64A9" w14:textId="77777777" w:rsidR="00A101A4" w:rsidRPr="00BD1319" w:rsidRDefault="00A101A4" w:rsidP="00C86DA5">
            <w:pPr>
              <w:numPr>
                <w:ilvl w:val="12"/>
                <w:numId w:val="0"/>
              </w:numPr>
              <w:tabs>
                <w:tab w:val="left" w:pos="-2268"/>
              </w:tabs>
              <w:suppressAutoHyphens/>
              <w:jc w:val="center"/>
              <w:rPr>
                <w:b/>
                <w:i/>
                <w:spacing w:val="-3"/>
                <w:sz w:val="22"/>
              </w:rPr>
            </w:pPr>
          </w:p>
        </w:tc>
        <w:tc>
          <w:tcPr>
            <w:tcW w:w="2306" w:type="dxa"/>
            <w:vMerge/>
            <w:vAlign w:val="center"/>
          </w:tcPr>
          <w:p w14:paraId="3874B370" w14:textId="77777777" w:rsidR="00A101A4" w:rsidRPr="00BD1319" w:rsidRDefault="00A101A4" w:rsidP="00BA45DD">
            <w:pPr>
              <w:numPr>
                <w:ilvl w:val="12"/>
                <w:numId w:val="0"/>
              </w:numPr>
              <w:tabs>
                <w:tab w:val="left" w:pos="-2268"/>
              </w:tabs>
              <w:suppressAutoHyphens/>
              <w:rPr>
                <w:spacing w:val="-3"/>
                <w:sz w:val="22"/>
              </w:rPr>
            </w:pPr>
          </w:p>
        </w:tc>
        <w:tc>
          <w:tcPr>
            <w:tcW w:w="3617" w:type="dxa"/>
            <w:vAlign w:val="center"/>
          </w:tcPr>
          <w:p w14:paraId="701495E5" w14:textId="453A99E9" w:rsidR="00A101A4" w:rsidRPr="00BD1319" w:rsidRDefault="00A101A4" w:rsidP="00BA45DD">
            <w:pPr>
              <w:numPr>
                <w:ilvl w:val="12"/>
                <w:numId w:val="0"/>
              </w:numPr>
              <w:tabs>
                <w:tab w:val="left" w:pos="-2268"/>
              </w:tabs>
              <w:suppressAutoHyphens/>
              <w:rPr>
                <w:spacing w:val="-3"/>
                <w:sz w:val="22"/>
              </w:rPr>
            </w:pPr>
            <w:r w:rsidRPr="00BD1319">
              <w:rPr>
                <w:spacing w:val="-3"/>
                <w:sz w:val="22"/>
              </w:rPr>
              <w:t xml:space="preserve">Anexo </w:t>
            </w:r>
            <w:r w:rsidR="00D11D60" w:rsidRPr="00BD1319">
              <w:rPr>
                <w:spacing w:val="-3"/>
                <w:sz w:val="22"/>
              </w:rPr>
              <w:t>c</w:t>
            </w:r>
            <w:r w:rsidRPr="00BD1319">
              <w:rPr>
                <w:spacing w:val="-3"/>
                <w:sz w:val="22"/>
              </w:rPr>
              <w:t>artografía temática PDF/A</w:t>
            </w:r>
          </w:p>
        </w:tc>
        <w:tc>
          <w:tcPr>
            <w:tcW w:w="2329" w:type="dxa"/>
            <w:vAlign w:val="center"/>
          </w:tcPr>
          <w:p w14:paraId="60C75399" w14:textId="77777777" w:rsidR="00A101A4" w:rsidRPr="00BD1319" w:rsidRDefault="00A101A4" w:rsidP="00BA45DD">
            <w:pPr>
              <w:numPr>
                <w:ilvl w:val="12"/>
                <w:numId w:val="0"/>
              </w:numPr>
              <w:tabs>
                <w:tab w:val="left" w:pos="-2268"/>
              </w:tabs>
              <w:suppressAutoHyphens/>
              <w:ind w:left="773"/>
              <w:rPr>
                <w:spacing w:val="-3"/>
                <w:sz w:val="22"/>
              </w:rPr>
            </w:pPr>
            <w:r w:rsidRPr="00BD1319">
              <w:rPr>
                <w:spacing w:val="-3"/>
                <w:sz w:val="22"/>
              </w:rPr>
              <w:t>1 GB</w:t>
            </w:r>
          </w:p>
        </w:tc>
      </w:tr>
      <w:tr w:rsidR="00A101A4" w:rsidRPr="00BD1319" w14:paraId="7C67C4A0" w14:textId="77777777" w:rsidTr="00C86DA5">
        <w:trPr>
          <w:trHeight w:val="300"/>
          <w:jc w:val="center"/>
        </w:trPr>
        <w:tc>
          <w:tcPr>
            <w:tcW w:w="562" w:type="dxa"/>
            <w:vMerge w:val="restart"/>
            <w:vAlign w:val="center"/>
            <w:hideMark/>
          </w:tcPr>
          <w:p w14:paraId="5930EE1C" w14:textId="77777777" w:rsidR="00A101A4" w:rsidRPr="00BD1319" w:rsidRDefault="00A101A4" w:rsidP="00C86DA5">
            <w:pPr>
              <w:numPr>
                <w:ilvl w:val="12"/>
                <w:numId w:val="0"/>
              </w:numPr>
              <w:tabs>
                <w:tab w:val="left" w:pos="-2268"/>
              </w:tabs>
              <w:suppressAutoHyphens/>
              <w:jc w:val="center"/>
              <w:rPr>
                <w:b/>
                <w:i/>
                <w:spacing w:val="-3"/>
                <w:sz w:val="22"/>
              </w:rPr>
            </w:pPr>
            <w:r w:rsidRPr="00BD1319">
              <w:rPr>
                <w:b/>
                <w:spacing w:val="-3"/>
                <w:sz w:val="22"/>
              </w:rPr>
              <w:t>3</w:t>
            </w:r>
          </w:p>
        </w:tc>
        <w:tc>
          <w:tcPr>
            <w:tcW w:w="2306" w:type="dxa"/>
            <w:vMerge w:val="restart"/>
            <w:vAlign w:val="center"/>
          </w:tcPr>
          <w:p w14:paraId="452B9C3C" w14:textId="77777777" w:rsidR="00A101A4" w:rsidRPr="00BD1319" w:rsidRDefault="00A101A4" w:rsidP="00BA45DD">
            <w:pPr>
              <w:numPr>
                <w:ilvl w:val="12"/>
                <w:numId w:val="0"/>
              </w:numPr>
              <w:tabs>
                <w:tab w:val="left" w:pos="-2268"/>
              </w:tabs>
              <w:suppressAutoHyphens/>
              <w:rPr>
                <w:spacing w:val="-3"/>
                <w:sz w:val="22"/>
              </w:rPr>
            </w:pPr>
            <w:r w:rsidRPr="00BD1319">
              <w:rPr>
                <w:spacing w:val="-3"/>
                <w:sz w:val="22"/>
              </w:rPr>
              <w:t>Anexos</w:t>
            </w:r>
          </w:p>
        </w:tc>
        <w:tc>
          <w:tcPr>
            <w:tcW w:w="3617" w:type="dxa"/>
            <w:vAlign w:val="center"/>
            <w:hideMark/>
          </w:tcPr>
          <w:p w14:paraId="35159180" w14:textId="742F4ED7" w:rsidR="00A101A4" w:rsidRPr="00BD1319" w:rsidRDefault="00A101A4" w:rsidP="00BA45DD">
            <w:pPr>
              <w:numPr>
                <w:ilvl w:val="12"/>
                <w:numId w:val="0"/>
              </w:numPr>
              <w:tabs>
                <w:tab w:val="left" w:pos="-2268"/>
              </w:tabs>
              <w:suppressAutoHyphens/>
              <w:rPr>
                <w:spacing w:val="-3"/>
                <w:sz w:val="22"/>
              </w:rPr>
            </w:pPr>
            <w:r w:rsidRPr="00BD1319">
              <w:rPr>
                <w:spacing w:val="-3"/>
                <w:sz w:val="22"/>
              </w:rPr>
              <w:t xml:space="preserve">Anexo </w:t>
            </w:r>
            <w:r w:rsidR="00D11D60" w:rsidRPr="00BD1319">
              <w:rPr>
                <w:spacing w:val="-3"/>
                <w:sz w:val="22"/>
              </w:rPr>
              <w:t>a</w:t>
            </w:r>
            <w:r w:rsidRPr="00BD1319">
              <w:rPr>
                <w:spacing w:val="-3"/>
                <w:sz w:val="22"/>
              </w:rPr>
              <w:t>biótico</w:t>
            </w:r>
          </w:p>
        </w:tc>
        <w:tc>
          <w:tcPr>
            <w:tcW w:w="2329" w:type="dxa"/>
            <w:vAlign w:val="center"/>
          </w:tcPr>
          <w:p w14:paraId="177B9DF7" w14:textId="77777777" w:rsidR="00A101A4" w:rsidRPr="00BD1319" w:rsidRDefault="00A101A4" w:rsidP="00BA45DD">
            <w:pPr>
              <w:numPr>
                <w:ilvl w:val="12"/>
                <w:numId w:val="0"/>
              </w:numPr>
              <w:tabs>
                <w:tab w:val="left" w:pos="-2268"/>
              </w:tabs>
              <w:suppressAutoHyphens/>
              <w:ind w:left="773"/>
              <w:rPr>
                <w:spacing w:val="-3"/>
                <w:sz w:val="22"/>
              </w:rPr>
            </w:pPr>
            <w:r w:rsidRPr="00BD1319">
              <w:rPr>
                <w:spacing w:val="-3"/>
                <w:sz w:val="22"/>
              </w:rPr>
              <w:t>1 GB</w:t>
            </w:r>
          </w:p>
        </w:tc>
      </w:tr>
      <w:tr w:rsidR="00A101A4" w:rsidRPr="00BD1319" w14:paraId="06738DD5" w14:textId="77777777" w:rsidTr="00C86DA5">
        <w:trPr>
          <w:trHeight w:val="300"/>
          <w:jc w:val="center"/>
        </w:trPr>
        <w:tc>
          <w:tcPr>
            <w:tcW w:w="0" w:type="auto"/>
            <w:vMerge/>
            <w:vAlign w:val="center"/>
            <w:hideMark/>
          </w:tcPr>
          <w:p w14:paraId="33EF1B4C" w14:textId="77777777" w:rsidR="00A101A4" w:rsidRPr="00BD1319" w:rsidRDefault="00A101A4" w:rsidP="00C86DA5">
            <w:pPr>
              <w:numPr>
                <w:ilvl w:val="12"/>
                <w:numId w:val="0"/>
              </w:numPr>
              <w:tabs>
                <w:tab w:val="left" w:pos="-2268"/>
              </w:tabs>
              <w:suppressAutoHyphens/>
              <w:jc w:val="center"/>
              <w:rPr>
                <w:b/>
                <w:i/>
                <w:spacing w:val="-3"/>
                <w:sz w:val="22"/>
              </w:rPr>
            </w:pPr>
          </w:p>
        </w:tc>
        <w:tc>
          <w:tcPr>
            <w:tcW w:w="2306" w:type="dxa"/>
            <w:vMerge/>
            <w:vAlign w:val="center"/>
          </w:tcPr>
          <w:p w14:paraId="76F6FF1C" w14:textId="77777777" w:rsidR="00A101A4" w:rsidRPr="00BD1319" w:rsidRDefault="00A101A4" w:rsidP="00BA45DD">
            <w:pPr>
              <w:numPr>
                <w:ilvl w:val="12"/>
                <w:numId w:val="0"/>
              </w:numPr>
              <w:tabs>
                <w:tab w:val="left" w:pos="-2268"/>
              </w:tabs>
              <w:suppressAutoHyphens/>
              <w:rPr>
                <w:spacing w:val="-3"/>
                <w:sz w:val="22"/>
              </w:rPr>
            </w:pPr>
          </w:p>
        </w:tc>
        <w:tc>
          <w:tcPr>
            <w:tcW w:w="3617" w:type="dxa"/>
            <w:vAlign w:val="center"/>
            <w:hideMark/>
          </w:tcPr>
          <w:p w14:paraId="7CA5C077" w14:textId="55F08E15" w:rsidR="00A101A4" w:rsidRPr="00BD1319" w:rsidRDefault="00A101A4" w:rsidP="00BA45DD">
            <w:pPr>
              <w:numPr>
                <w:ilvl w:val="12"/>
                <w:numId w:val="0"/>
              </w:numPr>
              <w:tabs>
                <w:tab w:val="left" w:pos="-2268"/>
              </w:tabs>
              <w:suppressAutoHyphens/>
              <w:rPr>
                <w:spacing w:val="-3"/>
                <w:sz w:val="22"/>
              </w:rPr>
            </w:pPr>
            <w:r w:rsidRPr="00BD1319">
              <w:rPr>
                <w:spacing w:val="-3"/>
                <w:sz w:val="22"/>
              </w:rPr>
              <w:t xml:space="preserve">Anexo </w:t>
            </w:r>
            <w:r w:rsidR="00D11D60" w:rsidRPr="00BD1319">
              <w:rPr>
                <w:spacing w:val="-3"/>
                <w:sz w:val="22"/>
              </w:rPr>
              <w:t>b</w:t>
            </w:r>
            <w:r w:rsidRPr="00BD1319">
              <w:rPr>
                <w:spacing w:val="-3"/>
                <w:sz w:val="22"/>
              </w:rPr>
              <w:t>iótico</w:t>
            </w:r>
          </w:p>
        </w:tc>
        <w:tc>
          <w:tcPr>
            <w:tcW w:w="2329" w:type="dxa"/>
            <w:vAlign w:val="center"/>
          </w:tcPr>
          <w:p w14:paraId="7DD599A0" w14:textId="77777777" w:rsidR="00A101A4" w:rsidRPr="00BD1319" w:rsidRDefault="00A101A4" w:rsidP="00BA45DD">
            <w:pPr>
              <w:numPr>
                <w:ilvl w:val="12"/>
                <w:numId w:val="0"/>
              </w:numPr>
              <w:tabs>
                <w:tab w:val="left" w:pos="-2268"/>
              </w:tabs>
              <w:suppressAutoHyphens/>
              <w:ind w:left="773"/>
              <w:rPr>
                <w:spacing w:val="-3"/>
                <w:sz w:val="22"/>
              </w:rPr>
            </w:pPr>
            <w:r w:rsidRPr="00BD1319">
              <w:rPr>
                <w:spacing w:val="-3"/>
                <w:sz w:val="22"/>
              </w:rPr>
              <w:t>1 GB</w:t>
            </w:r>
          </w:p>
        </w:tc>
      </w:tr>
      <w:tr w:rsidR="00A101A4" w:rsidRPr="00BD1319" w14:paraId="5154F302" w14:textId="77777777" w:rsidTr="00C86DA5">
        <w:trPr>
          <w:trHeight w:val="300"/>
          <w:jc w:val="center"/>
        </w:trPr>
        <w:tc>
          <w:tcPr>
            <w:tcW w:w="0" w:type="auto"/>
            <w:vMerge/>
            <w:vAlign w:val="center"/>
          </w:tcPr>
          <w:p w14:paraId="1A14DDDA" w14:textId="77777777" w:rsidR="00A101A4" w:rsidRPr="00BD1319" w:rsidRDefault="00A101A4" w:rsidP="00C86DA5">
            <w:pPr>
              <w:numPr>
                <w:ilvl w:val="12"/>
                <w:numId w:val="0"/>
              </w:numPr>
              <w:tabs>
                <w:tab w:val="left" w:pos="-2268"/>
              </w:tabs>
              <w:suppressAutoHyphens/>
              <w:jc w:val="center"/>
              <w:rPr>
                <w:b/>
                <w:i/>
                <w:spacing w:val="-3"/>
                <w:sz w:val="22"/>
              </w:rPr>
            </w:pPr>
          </w:p>
        </w:tc>
        <w:tc>
          <w:tcPr>
            <w:tcW w:w="2306" w:type="dxa"/>
            <w:vMerge/>
            <w:vAlign w:val="center"/>
          </w:tcPr>
          <w:p w14:paraId="2D8FB3E3" w14:textId="77777777" w:rsidR="00A101A4" w:rsidRPr="00BD1319" w:rsidRDefault="00A101A4" w:rsidP="00BA45DD">
            <w:pPr>
              <w:numPr>
                <w:ilvl w:val="12"/>
                <w:numId w:val="0"/>
              </w:numPr>
              <w:tabs>
                <w:tab w:val="left" w:pos="-2268"/>
              </w:tabs>
              <w:suppressAutoHyphens/>
              <w:rPr>
                <w:spacing w:val="-3"/>
                <w:sz w:val="22"/>
              </w:rPr>
            </w:pPr>
          </w:p>
        </w:tc>
        <w:tc>
          <w:tcPr>
            <w:tcW w:w="3617" w:type="dxa"/>
            <w:vAlign w:val="center"/>
          </w:tcPr>
          <w:p w14:paraId="7CF4CE13" w14:textId="55E25E3A" w:rsidR="00A101A4" w:rsidRPr="00BD1319" w:rsidRDefault="00A101A4" w:rsidP="00896B13">
            <w:pPr>
              <w:numPr>
                <w:ilvl w:val="12"/>
                <w:numId w:val="0"/>
              </w:numPr>
              <w:tabs>
                <w:tab w:val="left" w:pos="-2268"/>
              </w:tabs>
              <w:suppressAutoHyphens/>
              <w:rPr>
                <w:spacing w:val="-3"/>
                <w:sz w:val="22"/>
              </w:rPr>
            </w:pPr>
            <w:r w:rsidRPr="00BD1319">
              <w:rPr>
                <w:spacing w:val="-3"/>
                <w:sz w:val="22"/>
              </w:rPr>
              <w:t xml:space="preserve">Anexo </w:t>
            </w:r>
            <w:r w:rsidR="00D11D60" w:rsidRPr="00BD1319">
              <w:rPr>
                <w:spacing w:val="-3"/>
                <w:sz w:val="22"/>
              </w:rPr>
              <w:t>e</w:t>
            </w:r>
            <w:r w:rsidRPr="00BD1319">
              <w:rPr>
                <w:spacing w:val="-3"/>
                <w:sz w:val="22"/>
              </w:rPr>
              <w:t xml:space="preserve">valuación de </w:t>
            </w:r>
            <w:r w:rsidR="00D11D60" w:rsidRPr="00BD1319">
              <w:rPr>
                <w:spacing w:val="-3"/>
                <w:sz w:val="22"/>
              </w:rPr>
              <w:t>i</w:t>
            </w:r>
            <w:r w:rsidRPr="00BD1319">
              <w:rPr>
                <w:spacing w:val="-3"/>
                <w:sz w:val="22"/>
              </w:rPr>
              <w:t>mpactos</w:t>
            </w:r>
          </w:p>
        </w:tc>
        <w:tc>
          <w:tcPr>
            <w:tcW w:w="2329" w:type="dxa"/>
            <w:vAlign w:val="center"/>
          </w:tcPr>
          <w:p w14:paraId="56929B19" w14:textId="77777777" w:rsidR="00A101A4" w:rsidRPr="00BD1319" w:rsidRDefault="00A101A4" w:rsidP="00BA45DD">
            <w:pPr>
              <w:numPr>
                <w:ilvl w:val="12"/>
                <w:numId w:val="0"/>
              </w:numPr>
              <w:tabs>
                <w:tab w:val="left" w:pos="-2268"/>
              </w:tabs>
              <w:suppressAutoHyphens/>
              <w:ind w:left="773"/>
              <w:rPr>
                <w:spacing w:val="-3"/>
                <w:sz w:val="22"/>
              </w:rPr>
            </w:pPr>
            <w:r w:rsidRPr="00BD1319">
              <w:rPr>
                <w:spacing w:val="-3"/>
                <w:sz w:val="22"/>
              </w:rPr>
              <w:t>1 GB</w:t>
            </w:r>
          </w:p>
        </w:tc>
      </w:tr>
      <w:tr w:rsidR="00A101A4" w:rsidRPr="00BD1319" w14:paraId="6CCEA8A4" w14:textId="77777777" w:rsidTr="00C86DA5">
        <w:trPr>
          <w:trHeight w:val="300"/>
          <w:jc w:val="center"/>
        </w:trPr>
        <w:tc>
          <w:tcPr>
            <w:tcW w:w="0" w:type="auto"/>
            <w:vMerge/>
            <w:vAlign w:val="center"/>
          </w:tcPr>
          <w:p w14:paraId="42FB8744" w14:textId="77777777" w:rsidR="00A101A4" w:rsidRPr="00BD1319" w:rsidRDefault="00A101A4" w:rsidP="00C86DA5">
            <w:pPr>
              <w:numPr>
                <w:ilvl w:val="12"/>
                <w:numId w:val="0"/>
              </w:numPr>
              <w:tabs>
                <w:tab w:val="left" w:pos="-2268"/>
              </w:tabs>
              <w:suppressAutoHyphens/>
              <w:jc w:val="center"/>
              <w:rPr>
                <w:b/>
                <w:i/>
                <w:spacing w:val="-3"/>
                <w:sz w:val="22"/>
              </w:rPr>
            </w:pPr>
          </w:p>
        </w:tc>
        <w:tc>
          <w:tcPr>
            <w:tcW w:w="2306" w:type="dxa"/>
            <w:vMerge/>
            <w:vAlign w:val="center"/>
          </w:tcPr>
          <w:p w14:paraId="468118FD" w14:textId="77777777" w:rsidR="00A101A4" w:rsidRPr="00BD1319" w:rsidRDefault="00A101A4" w:rsidP="00BA45DD">
            <w:pPr>
              <w:numPr>
                <w:ilvl w:val="12"/>
                <w:numId w:val="0"/>
              </w:numPr>
              <w:tabs>
                <w:tab w:val="left" w:pos="-2268"/>
              </w:tabs>
              <w:suppressAutoHyphens/>
              <w:rPr>
                <w:spacing w:val="-3"/>
                <w:sz w:val="22"/>
              </w:rPr>
            </w:pPr>
          </w:p>
        </w:tc>
        <w:tc>
          <w:tcPr>
            <w:tcW w:w="3617" w:type="dxa"/>
            <w:vAlign w:val="center"/>
          </w:tcPr>
          <w:p w14:paraId="61A88138" w14:textId="6845CA88" w:rsidR="00A101A4" w:rsidRPr="00BD1319" w:rsidRDefault="00A101A4" w:rsidP="00896B13">
            <w:pPr>
              <w:numPr>
                <w:ilvl w:val="12"/>
                <w:numId w:val="0"/>
              </w:numPr>
              <w:tabs>
                <w:tab w:val="left" w:pos="-2268"/>
              </w:tabs>
              <w:suppressAutoHyphens/>
              <w:rPr>
                <w:spacing w:val="-3"/>
                <w:sz w:val="22"/>
              </w:rPr>
            </w:pPr>
            <w:r w:rsidRPr="00BD1319">
              <w:rPr>
                <w:spacing w:val="-3"/>
                <w:sz w:val="22"/>
              </w:rPr>
              <w:t xml:space="preserve">Anexo </w:t>
            </w:r>
            <w:r w:rsidR="00D11D60" w:rsidRPr="00BD1319">
              <w:rPr>
                <w:spacing w:val="-3"/>
                <w:sz w:val="22"/>
              </w:rPr>
              <w:t>p</w:t>
            </w:r>
            <w:r w:rsidRPr="00BD1319">
              <w:rPr>
                <w:spacing w:val="-3"/>
                <w:sz w:val="22"/>
              </w:rPr>
              <w:t>lanes y programas</w:t>
            </w:r>
          </w:p>
        </w:tc>
        <w:tc>
          <w:tcPr>
            <w:tcW w:w="2329" w:type="dxa"/>
            <w:vAlign w:val="center"/>
          </w:tcPr>
          <w:p w14:paraId="18721CFC" w14:textId="77777777" w:rsidR="00A101A4" w:rsidRPr="00BD1319" w:rsidRDefault="00A101A4" w:rsidP="00BA45DD">
            <w:pPr>
              <w:numPr>
                <w:ilvl w:val="12"/>
                <w:numId w:val="0"/>
              </w:numPr>
              <w:tabs>
                <w:tab w:val="left" w:pos="-2268"/>
              </w:tabs>
              <w:suppressAutoHyphens/>
              <w:ind w:left="773"/>
              <w:rPr>
                <w:spacing w:val="-3"/>
                <w:sz w:val="22"/>
              </w:rPr>
            </w:pPr>
            <w:r w:rsidRPr="00BD1319">
              <w:rPr>
                <w:spacing w:val="-3"/>
                <w:sz w:val="22"/>
              </w:rPr>
              <w:t>1 GB</w:t>
            </w:r>
          </w:p>
        </w:tc>
      </w:tr>
      <w:tr w:rsidR="00A101A4" w:rsidRPr="00BD1319" w14:paraId="65B733BF" w14:textId="77777777" w:rsidTr="00C86DA5">
        <w:trPr>
          <w:trHeight w:val="300"/>
          <w:jc w:val="center"/>
        </w:trPr>
        <w:tc>
          <w:tcPr>
            <w:tcW w:w="0" w:type="auto"/>
            <w:vMerge w:val="restart"/>
            <w:vAlign w:val="center"/>
            <w:hideMark/>
          </w:tcPr>
          <w:p w14:paraId="4F288527" w14:textId="77777777" w:rsidR="00A101A4" w:rsidRPr="00BD1319" w:rsidRDefault="00A101A4" w:rsidP="00C86DA5">
            <w:pPr>
              <w:numPr>
                <w:ilvl w:val="12"/>
                <w:numId w:val="0"/>
              </w:numPr>
              <w:tabs>
                <w:tab w:val="left" w:pos="-2268"/>
              </w:tabs>
              <w:suppressAutoHyphens/>
              <w:jc w:val="center"/>
              <w:rPr>
                <w:b/>
                <w:i/>
                <w:spacing w:val="-3"/>
                <w:sz w:val="22"/>
              </w:rPr>
            </w:pPr>
            <w:r w:rsidRPr="00BD1319">
              <w:rPr>
                <w:b/>
                <w:spacing w:val="-3"/>
                <w:sz w:val="22"/>
              </w:rPr>
              <w:t>4</w:t>
            </w:r>
          </w:p>
        </w:tc>
        <w:tc>
          <w:tcPr>
            <w:tcW w:w="2306" w:type="dxa"/>
            <w:vMerge w:val="restart"/>
            <w:vAlign w:val="center"/>
          </w:tcPr>
          <w:p w14:paraId="60890075" w14:textId="77777777" w:rsidR="00A101A4" w:rsidRPr="00BD1319" w:rsidRDefault="00A101A4" w:rsidP="00BA45DD">
            <w:pPr>
              <w:numPr>
                <w:ilvl w:val="12"/>
                <w:numId w:val="0"/>
              </w:numPr>
              <w:tabs>
                <w:tab w:val="left" w:pos="-2268"/>
              </w:tabs>
              <w:suppressAutoHyphens/>
              <w:rPr>
                <w:spacing w:val="-3"/>
                <w:sz w:val="22"/>
              </w:rPr>
            </w:pPr>
            <w:r w:rsidRPr="00BD1319">
              <w:rPr>
                <w:spacing w:val="-3"/>
                <w:sz w:val="22"/>
              </w:rPr>
              <w:t>Anexos socioeconómicos</w:t>
            </w:r>
          </w:p>
        </w:tc>
        <w:tc>
          <w:tcPr>
            <w:tcW w:w="3617" w:type="dxa"/>
            <w:vAlign w:val="center"/>
            <w:hideMark/>
          </w:tcPr>
          <w:p w14:paraId="02E379CD" w14:textId="0510EF6D" w:rsidR="00A101A4" w:rsidRPr="005A685F" w:rsidRDefault="00A101A4" w:rsidP="00896B13">
            <w:pPr>
              <w:numPr>
                <w:ilvl w:val="12"/>
                <w:numId w:val="0"/>
              </w:numPr>
              <w:tabs>
                <w:tab w:val="left" w:pos="-2268"/>
              </w:tabs>
              <w:suppressAutoHyphens/>
              <w:rPr>
                <w:spacing w:val="-3"/>
                <w:sz w:val="22"/>
                <w:lang w:val="pt-PT"/>
              </w:rPr>
            </w:pPr>
            <w:r w:rsidRPr="005A685F">
              <w:rPr>
                <w:spacing w:val="-3"/>
                <w:sz w:val="22"/>
                <w:lang w:val="pt-PT"/>
              </w:rPr>
              <w:t xml:space="preserve">Anexo </w:t>
            </w:r>
            <w:r w:rsidR="00D11D60" w:rsidRPr="005A685F">
              <w:rPr>
                <w:spacing w:val="-3"/>
                <w:sz w:val="22"/>
                <w:lang w:val="pt-PT"/>
              </w:rPr>
              <w:t>s</w:t>
            </w:r>
            <w:r w:rsidRPr="005A685F">
              <w:rPr>
                <w:spacing w:val="-3"/>
                <w:sz w:val="22"/>
                <w:lang w:val="pt-PT"/>
              </w:rPr>
              <w:t>ocioeconómico</w:t>
            </w:r>
            <w:r w:rsidR="00D11D60" w:rsidRPr="005A685F">
              <w:rPr>
                <w:spacing w:val="-3"/>
                <w:sz w:val="22"/>
                <w:lang w:val="pt-PT"/>
              </w:rPr>
              <w:t>,</w:t>
            </w:r>
            <w:r w:rsidRPr="005A685F">
              <w:rPr>
                <w:spacing w:val="-3"/>
                <w:sz w:val="22"/>
                <w:lang w:val="pt-PT"/>
              </w:rPr>
              <w:t xml:space="preserve"> </w:t>
            </w:r>
            <w:r w:rsidR="00D11D60" w:rsidRPr="005A685F">
              <w:rPr>
                <w:spacing w:val="-3"/>
                <w:sz w:val="22"/>
                <w:lang w:val="pt-PT"/>
              </w:rPr>
              <w:t>r</w:t>
            </w:r>
            <w:r w:rsidRPr="005A685F">
              <w:rPr>
                <w:spacing w:val="-3"/>
                <w:sz w:val="22"/>
                <w:lang w:val="pt-PT"/>
              </w:rPr>
              <w:t>egistros fotográficos PDF/A</w:t>
            </w:r>
          </w:p>
        </w:tc>
        <w:tc>
          <w:tcPr>
            <w:tcW w:w="2329" w:type="dxa"/>
            <w:vAlign w:val="center"/>
          </w:tcPr>
          <w:p w14:paraId="6BC45329" w14:textId="77777777" w:rsidR="00A101A4" w:rsidRPr="00BD1319" w:rsidRDefault="00A101A4" w:rsidP="00BA45DD">
            <w:pPr>
              <w:numPr>
                <w:ilvl w:val="12"/>
                <w:numId w:val="0"/>
              </w:numPr>
              <w:tabs>
                <w:tab w:val="left" w:pos="-2268"/>
              </w:tabs>
              <w:suppressAutoHyphens/>
              <w:ind w:left="773"/>
              <w:rPr>
                <w:spacing w:val="-3"/>
                <w:sz w:val="22"/>
              </w:rPr>
            </w:pPr>
            <w:r w:rsidRPr="00BD1319">
              <w:rPr>
                <w:spacing w:val="-3"/>
                <w:sz w:val="22"/>
              </w:rPr>
              <w:t>2 GB</w:t>
            </w:r>
          </w:p>
        </w:tc>
      </w:tr>
      <w:tr w:rsidR="00A101A4" w:rsidRPr="00BD1319" w14:paraId="459DF135" w14:textId="77777777" w:rsidTr="00C86DA5">
        <w:trPr>
          <w:trHeight w:val="300"/>
          <w:jc w:val="center"/>
        </w:trPr>
        <w:tc>
          <w:tcPr>
            <w:tcW w:w="0" w:type="auto"/>
            <w:vMerge/>
            <w:vAlign w:val="center"/>
            <w:hideMark/>
          </w:tcPr>
          <w:p w14:paraId="40490DDD" w14:textId="77777777" w:rsidR="00A101A4" w:rsidRPr="00BD1319" w:rsidRDefault="00A101A4" w:rsidP="00C86DA5">
            <w:pPr>
              <w:numPr>
                <w:ilvl w:val="12"/>
                <w:numId w:val="0"/>
              </w:numPr>
              <w:tabs>
                <w:tab w:val="left" w:pos="-2268"/>
              </w:tabs>
              <w:suppressAutoHyphens/>
              <w:jc w:val="center"/>
              <w:rPr>
                <w:b/>
                <w:i/>
                <w:spacing w:val="-3"/>
                <w:sz w:val="22"/>
              </w:rPr>
            </w:pPr>
          </w:p>
        </w:tc>
        <w:tc>
          <w:tcPr>
            <w:tcW w:w="2306" w:type="dxa"/>
            <w:vMerge/>
            <w:vAlign w:val="center"/>
          </w:tcPr>
          <w:p w14:paraId="4DA5AB34" w14:textId="77777777" w:rsidR="00A101A4" w:rsidRPr="00BD1319" w:rsidRDefault="00A101A4" w:rsidP="00BA45DD">
            <w:pPr>
              <w:numPr>
                <w:ilvl w:val="12"/>
                <w:numId w:val="0"/>
              </w:numPr>
              <w:tabs>
                <w:tab w:val="left" w:pos="-2268"/>
              </w:tabs>
              <w:suppressAutoHyphens/>
              <w:rPr>
                <w:spacing w:val="-3"/>
                <w:sz w:val="22"/>
              </w:rPr>
            </w:pPr>
          </w:p>
        </w:tc>
        <w:tc>
          <w:tcPr>
            <w:tcW w:w="3617" w:type="dxa"/>
            <w:vAlign w:val="center"/>
            <w:hideMark/>
          </w:tcPr>
          <w:p w14:paraId="67A5D483" w14:textId="0FE7341F" w:rsidR="00A101A4" w:rsidRPr="00BD1319" w:rsidRDefault="00A101A4" w:rsidP="00896B13">
            <w:pPr>
              <w:numPr>
                <w:ilvl w:val="12"/>
                <w:numId w:val="0"/>
              </w:numPr>
              <w:tabs>
                <w:tab w:val="left" w:pos="-2268"/>
              </w:tabs>
              <w:suppressAutoHyphens/>
              <w:rPr>
                <w:spacing w:val="-3"/>
                <w:sz w:val="22"/>
              </w:rPr>
            </w:pPr>
            <w:r w:rsidRPr="00BD1319">
              <w:rPr>
                <w:spacing w:val="-3"/>
                <w:sz w:val="22"/>
              </w:rPr>
              <w:t xml:space="preserve">Anexo </w:t>
            </w:r>
            <w:r w:rsidR="00D11D60" w:rsidRPr="00BD1319">
              <w:rPr>
                <w:spacing w:val="-3"/>
                <w:sz w:val="22"/>
              </w:rPr>
              <w:t>s</w:t>
            </w:r>
            <w:r w:rsidRPr="00BD1319">
              <w:rPr>
                <w:spacing w:val="-3"/>
                <w:sz w:val="22"/>
              </w:rPr>
              <w:t>ocioeconómico</w:t>
            </w:r>
            <w:r w:rsidR="00D11D60" w:rsidRPr="00BD1319">
              <w:rPr>
                <w:spacing w:val="-3"/>
                <w:sz w:val="22"/>
              </w:rPr>
              <w:t>,</w:t>
            </w:r>
            <w:r w:rsidRPr="00BD1319">
              <w:rPr>
                <w:spacing w:val="-3"/>
                <w:sz w:val="22"/>
              </w:rPr>
              <w:t xml:space="preserve"> </w:t>
            </w:r>
            <w:r w:rsidR="00D11D60" w:rsidRPr="00BD1319">
              <w:rPr>
                <w:spacing w:val="-3"/>
                <w:sz w:val="22"/>
              </w:rPr>
              <w:t>r</w:t>
            </w:r>
            <w:r w:rsidRPr="00BD1319">
              <w:rPr>
                <w:spacing w:val="-3"/>
                <w:sz w:val="22"/>
              </w:rPr>
              <w:t>egistros fílmicos</w:t>
            </w:r>
          </w:p>
        </w:tc>
        <w:tc>
          <w:tcPr>
            <w:tcW w:w="2329" w:type="dxa"/>
            <w:vAlign w:val="center"/>
          </w:tcPr>
          <w:p w14:paraId="5FD691A3" w14:textId="77777777" w:rsidR="00A101A4" w:rsidRPr="00BD1319" w:rsidRDefault="00A101A4" w:rsidP="00BA45DD">
            <w:pPr>
              <w:numPr>
                <w:ilvl w:val="12"/>
                <w:numId w:val="0"/>
              </w:numPr>
              <w:tabs>
                <w:tab w:val="left" w:pos="-2268"/>
              </w:tabs>
              <w:suppressAutoHyphens/>
              <w:ind w:left="773"/>
              <w:rPr>
                <w:spacing w:val="-3"/>
                <w:sz w:val="22"/>
              </w:rPr>
            </w:pPr>
            <w:r w:rsidRPr="00BD1319">
              <w:rPr>
                <w:spacing w:val="-3"/>
                <w:sz w:val="22"/>
              </w:rPr>
              <w:t>2 GB</w:t>
            </w:r>
          </w:p>
        </w:tc>
      </w:tr>
      <w:tr w:rsidR="00A101A4" w:rsidRPr="00BD1319" w14:paraId="00273F9A" w14:textId="77777777" w:rsidTr="00C86DA5">
        <w:trPr>
          <w:trHeight w:val="300"/>
          <w:jc w:val="center"/>
        </w:trPr>
        <w:tc>
          <w:tcPr>
            <w:tcW w:w="0" w:type="auto"/>
            <w:vMerge/>
            <w:vAlign w:val="center"/>
            <w:hideMark/>
          </w:tcPr>
          <w:p w14:paraId="573B53AC" w14:textId="77777777" w:rsidR="00A101A4" w:rsidRPr="00BD1319" w:rsidRDefault="00A101A4" w:rsidP="00C86DA5">
            <w:pPr>
              <w:numPr>
                <w:ilvl w:val="12"/>
                <w:numId w:val="0"/>
              </w:numPr>
              <w:tabs>
                <w:tab w:val="left" w:pos="-2268"/>
              </w:tabs>
              <w:suppressAutoHyphens/>
              <w:jc w:val="center"/>
              <w:rPr>
                <w:b/>
                <w:i/>
                <w:spacing w:val="-3"/>
                <w:sz w:val="22"/>
              </w:rPr>
            </w:pPr>
          </w:p>
        </w:tc>
        <w:tc>
          <w:tcPr>
            <w:tcW w:w="2306" w:type="dxa"/>
            <w:vMerge/>
            <w:vAlign w:val="center"/>
          </w:tcPr>
          <w:p w14:paraId="1A05CA06" w14:textId="77777777" w:rsidR="00A101A4" w:rsidRPr="00BD1319" w:rsidRDefault="00A101A4" w:rsidP="00BA45DD">
            <w:pPr>
              <w:numPr>
                <w:ilvl w:val="12"/>
                <w:numId w:val="0"/>
              </w:numPr>
              <w:tabs>
                <w:tab w:val="left" w:pos="-2268"/>
              </w:tabs>
              <w:suppressAutoHyphens/>
              <w:rPr>
                <w:spacing w:val="-3"/>
                <w:sz w:val="22"/>
              </w:rPr>
            </w:pPr>
          </w:p>
        </w:tc>
        <w:tc>
          <w:tcPr>
            <w:tcW w:w="3617" w:type="dxa"/>
            <w:vAlign w:val="center"/>
            <w:hideMark/>
          </w:tcPr>
          <w:p w14:paraId="6B24082B" w14:textId="7D2733B1" w:rsidR="00A101A4" w:rsidRPr="00BD1319" w:rsidRDefault="00A101A4" w:rsidP="00896B13">
            <w:pPr>
              <w:numPr>
                <w:ilvl w:val="12"/>
                <w:numId w:val="0"/>
              </w:numPr>
              <w:tabs>
                <w:tab w:val="left" w:pos="-2268"/>
              </w:tabs>
              <w:suppressAutoHyphens/>
              <w:rPr>
                <w:spacing w:val="-3"/>
                <w:sz w:val="22"/>
              </w:rPr>
            </w:pPr>
            <w:r w:rsidRPr="00BD1319">
              <w:rPr>
                <w:spacing w:val="-3"/>
                <w:sz w:val="22"/>
              </w:rPr>
              <w:t xml:space="preserve">Anexo </w:t>
            </w:r>
            <w:r w:rsidR="00D11D60" w:rsidRPr="00BD1319">
              <w:rPr>
                <w:spacing w:val="-3"/>
                <w:sz w:val="22"/>
              </w:rPr>
              <w:t>s</w:t>
            </w:r>
            <w:r w:rsidRPr="00BD1319">
              <w:rPr>
                <w:spacing w:val="-3"/>
                <w:sz w:val="22"/>
              </w:rPr>
              <w:t>ocioeconómico</w:t>
            </w:r>
            <w:r w:rsidR="00D11D60" w:rsidRPr="00BD1319">
              <w:rPr>
                <w:spacing w:val="-3"/>
                <w:sz w:val="22"/>
              </w:rPr>
              <w:t>,</w:t>
            </w:r>
            <w:r w:rsidRPr="00BD1319">
              <w:rPr>
                <w:spacing w:val="-3"/>
                <w:sz w:val="22"/>
              </w:rPr>
              <w:t xml:space="preserve"> </w:t>
            </w:r>
            <w:r w:rsidR="00D11D60" w:rsidRPr="00BD1319">
              <w:rPr>
                <w:spacing w:val="-3"/>
                <w:sz w:val="22"/>
              </w:rPr>
              <w:t>a</w:t>
            </w:r>
            <w:r w:rsidRPr="00BD1319">
              <w:rPr>
                <w:spacing w:val="-3"/>
                <w:sz w:val="22"/>
              </w:rPr>
              <w:t>ctas</w:t>
            </w:r>
          </w:p>
        </w:tc>
        <w:tc>
          <w:tcPr>
            <w:tcW w:w="2329" w:type="dxa"/>
            <w:vAlign w:val="center"/>
          </w:tcPr>
          <w:p w14:paraId="605A381B" w14:textId="77777777" w:rsidR="00A101A4" w:rsidRPr="00BD1319" w:rsidRDefault="00A101A4" w:rsidP="00BA45DD">
            <w:pPr>
              <w:numPr>
                <w:ilvl w:val="12"/>
                <w:numId w:val="0"/>
              </w:numPr>
              <w:tabs>
                <w:tab w:val="left" w:pos="-2268"/>
              </w:tabs>
              <w:suppressAutoHyphens/>
              <w:ind w:left="773"/>
              <w:rPr>
                <w:spacing w:val="-3"/>
                <w:sz w:val="22"/>
              </w:rPr>
            </w:pPr>
            <w:r w:rsidRPr="00BD1319">
              <w:rPr>
                <w:spacing w:val="-3"/>
                <w:sz w:val="22"/>
              </w:rPr>
              <w:t>1 GB</w:t>
            </w:r>
          </w:p>
        </w:tc>
      </w:tr>
      <w:tr w:rsidR="00A101A4" w:rsidRPr="00BD1319" w14:paraId="5D42904C" w14:textId="77777777" w:rsidTr="00C86DA5">
        <w:trPr>
          <w:trHeight w:val="300"/>
          <w:jc w:val="center"/>
        </w:trPr>
        <w:tc>
          <w:tcPr>
            <w:tcW w:w="0" w:type="auto"/>
            <w:vMerge/>
            <w:vAlign w:val="center"/>
            <w:hideMark/>
          </w:tcPr>
          <w:p w14:paraId="7CBF979C" w14:textId="77777777" w:rsidR="00A101A4" w:rsidRPr="00BD1319" w:rsidRDefault="00A101A4" w:rsidP="00C86DA5">
            <w:pPr>
              <w:numPr>
                <w:ilvl w:val="12"/>
                <w:numId w:val="0"/>
              </w:numPr>
              <w:tabs>
                <w:tab w:val="left" w:pos="-2268"/>
              </w:tabs>
              <w:suppressAutoHyphens/>
              <w:jc w:val="center"/>
              <w:rPr>
                <w:b/>
                <w:i/>
                <w:spacing w:val="-3"/>
                <w:sz w:val="22"/>
              </w:rPr>
            </w:pPr>
          </w:p>
        </w:tc>
        <w:tc>
          <w:tcPr>
            <w:tcW w:w="2306" w:type="dxa"/>
            <w:vMerge/>
            <w:vAlign w:val="center"/>
          </w:tcPr>
          <w:p w14:paraId="5D28435E" w14:textId="77777777" w:rsidR="00A101A4" w:rsidRPr="00BD1319" w:rsidRDefault="00A101A4" w:rsidP="00BA45DD">
            <w:pPr>
              <w:numPr>
                <w:ilvl w:val="12"/>
                <w:numId w:val="0"/>
              </w:numPr>
              <w:tabs>
                <w:tab w:val="left" w:pos="-2268"/>
              </w:tabs>
              <w:suppressAutoHyphens/>
              <w:rPr>
                <w:spacing w:val="-3"/>
                <w:sz w:val="22"/>
              </w:rPr>
            </w:pPr>
          </w:p>
        </w:tc>
        <w:tc>
          <w:tcPr>
            <w:tcW w:w="3617" w:type="dxa"/>
            <w:vAlign w:val="center"/>
            <w:hideMark/>
          </w:tcPr>
          <w:p w14:paraId="6CAD5393" w14:textId="33902881" w:rsidR="00A101A4" w:rsidRPr="00BD1319" w:rsidRDefault="00A101A4" w:rsidP="00896B13">
            <w:pPr>
              <w:numPr>
                <w:ilvl w:val="12"/>
                <w:numId w:val="0"/>
              </w:numPr>
              <w:tabs>
                <w:tab w:val="left" w:pos="-2268"/>
              </w:tabs>
              <w:suppressAutoHyphens/>
              <w:rPr>
                <w:spacing w:val="-3"/>
                <w:sz w:val="22"/>
              </w:rPr>
            </w:pPr>
            <w:r w:rsidRPr="00BD1319">
              <w:rPr>
                <w:spacing w:val="-3"/>
                <w:sz w:val="22"/>
              </w:rPr>
              <w:t xml:space="preserve">Anexo </w:t>
            </w:r>
            <w:r w:rsidR="00D11D60" w:rsidRPr="00BD1319">
              <w:rPr>
                <w:spacing w:val="-3"/>
                <w:sz w:val="22"/>
              </w:rPr>
              <w:t>s</w:t>
            </w:r>
            <w:r w:rsidRPr="00BD1319">
              <w:rPr>
                <w:spacing w:val="-3"/>
                <w:sz w:val="22"/>
              </w:rPr>
              <w:t>ocioeconómico</w:t>
            </w:r>
            <w:r w:rsidR="00D11D60" w:rsidRPr="00BD1319">
              <w:rPr>
                <w:spacing w:val="-3"/>
                <w:sz w:val="22"/>
              </w:rPr>
              <w:t>,</w:t>
            </w:r>
            <w:r w:rsidRPr="00BD1319">
              <w:rPr>
                <w:spacing w:val="-3"/>
                <w:sz w:val="22"/>
              </w:rPr>
              <w:t xml:space="preserve"> </w:t>
            </w:r>
            <w:r w:rsidR="00D11D60" w:rsidRPr="00BD1319">
              <w:rPr>
                <w:spacing w:val="-3"/>
                <w:sz w:val="22"/>
              </w:rPr>
              <w:t>o</w:t>
            </w:r>
            <w:r w:rsidRPr="00BD1319">
              <w:rPr>
                <w:spacing w:val="-3"/>
                <w:sz w:val="22"/>
              </w:rPr>
              <w:t>tros (</w:t>
            </w:r>
            <w:r w:rsidR="00041844" w:rsidRPr="00BD1319">
              <w:rPr>
                <w:spacing w:val="-3"/>
                <w:sz w:val="22"/>
              </w:rPr>
              <w:t>p. ej.</w:t>
            </w:r>
            <w:r w:rsidRPr="00BD1319">
              <w:rPr>
                <w:spacing w:val="-3"/>
                <w:sz w:val="22"/>
              </w:rPr>
              <w:t xml:space="preserve"> talleres </w:t>
            </w:r>
            <w:r w:rsidR="009E4AF4" w:rsidRPr="00BD1319">
              <w:rPr>
                <w:spacing w:val="-3"/>
                <w:sz w:val="22"/>
              </w:rPr>
              <w:t xml:space="preserve">determinación </w:t>
            </w:r>
            <w:r w:rsidR="00D11D60" w:rsidRPr="00BD1319">
              <w:rPr>
                <w:spacing w:val="-3"/>
                <w:sz w:val="22"/>
              </w:rPr>
              <w:t xml:space="preserve">de </w:t>
            </w:r>
            <w:r w:rsidRPr="00BD1319">
              <w:rPr>
                <w:spacing w:val="-3"/>
                <w:sz w:val="22"/>
              </w:rPr>
              <w:t>impactos, fichas veredales / prediales)</w:t>
            </w:r>
          </w:p>
        </w:tc>
        <w:tc>
          <w:tcPr>
            <w:tcW w:w="2329" w:type="dxa"/>
            <w:vAlign w:val="center"/>
          </w:tcPr>
          <w:p w14:paraId="506C13DB" w14:textId="77777777" w:rsidR="00A101A4" w:rsidRPr="00BD1319" w:rsidRDefault="00A101A4" w:rsidP="00BA45DD">
            <w:pPr>
              <w:numPr>
                <w:ilvl w:val="12"/>
                <w:numId w:val="0"/>
              </w:numPr>
              <w:tabs>
                <w:tab w:val="left" w:pos="-2268"/>
              </w:tabs>
              <w:suppressAutoHyphens/>
              <w:ind w:left="773"/>
              <w:rPr>
                <w:spacing w:val="-3"/>
                <w:sz w:val="22"/>
              </w:rPr>
            </w:pPr>
            <w:r w:rsidRPr="00BD1319">
              <w:rPr>
                <w:spacing w:val="-3"/>
                <w:sz w:val="22"/>
              </w:rPr>
              <w:t>1 GB</w:t>
            </w:r>
          </w:p>
        </w:tc>
      </w:tr>
      <w:tr w:rsidR="00A101A4" w:rsidRPr="00BD1319" w14:paraId="13A5140F" w14:textId="77777777" w:rsidTr="00C86DA5">
        <w:trPr>
          <w:trHeight w:val="300"/>
          <w:jc w:val="center"/>
        </w:trPr>
        <w:tc>
          <w:tcPr>
            <w:tcW w:w="0" w:type="auto"/>
            <w:vMerge/>
            <w:vAlign w:val="center"/>
          </w:tcPr>
          <w:p w14:paraId="5DA6A859" w14:textId="77777777" w:rsidR="00A101A4" w:rsidRPr="00BD1319" w:rsidRDefault="00A101A4" w:rsidP="00C86DA5">
            <w:pPr>
              <w:numPr>
                <w:ilvl w:val="12"/>
                <w:numId w:val="0"/>
              </w:numPr>
              <w:tabs>
                <w:tab w:val="left" w:pos="-2268"/>
              </w:tabs>
              <w:suppressAutoHyphens/>
              <w:jc w:val="center"/>
              <w:rPr>
                <w:b/>
                <w:i/>
                <w:spacing w:val="-3"/>
                <w:sz w:val="22"/>
              </w:rPr>
            </w:pPr>
          </w:p>
        </w:tc>
        <w:tc>
          <w:tcPr>
            <w:tcW w:w="2306" w:type="dxa"/>
            <w:vMerge/>
            <w:vAlign w:val="center"/>
          </w:tcPr>
          <w:p w14:paraId="5D953805" w14:textId="77777777" w:rsidR="00A101A4" w:rsidRPr="00BD1319" w:rsidRDefault="00A101A4" w:rsidP="00BA45DD">
            <w:pPr>
              <w:numPr>
                <w:ilvl w:val="12"/>
                <w:numId w:val="0"/>
              </w:numPr>
              <w:tabs>
                <w:tab w:val="left" w:pos="-2268"/>
              </w:tabs>
              <w:suppressAutoHyphens/>
              <w:rPr>
                <w:spacing w:val="-3"/>
                <w:sz w:val="22"/>
              </w:rPr>
            </w:pPr>
          </w:p>
        </w:tc>
        <w:tc>
          <w:tcPr>
            <w:tcW w:w="3617" w:type="dxa"/>
            <w:vAlign w:val="center"/>
          </w:tcPr>
          <w:p w14:paraId="409301EA" w14:textId="490352E4" w:rsidR="00A101A4" w:rsidRPr="00BD1319" w:rsidRDefault="00A101A4" w:rsidP="00896B13">
            <w:pPr>
              <w:numPr>
                <w:ilvl w:val="12"/>
                <w:numId w:val="0"/>
              </w:numPr>
              <w:tabs>
                <w:tab w:val="left" w:pos="-2268"/>
              </w:tabs>
              <w:suppressAutoHyphens/>
              <w:rPr>
                <w:spacing w:val="-3"/>
                <w:sz w:val="22"/>
              </w:rPr>
            </w:pPr>
            <w:r w:rsidRPr="00BD1319">
              <w:rPr>
                <w:spacing w:val="-3"/>
                <w:sz w:val="22"/>
              </w:rPr>
              <w:t xml:space="preserve">Anexo </w:t>
            </w:r>
            <w:r w:rsidR="00D11D60" w:rsidRPr="00BD1319">
              <w:rPr>
                <w:spacing w:val="-3"/>
                <w:sz w:val="22"/>
              </w:rPr>
              <w:t>ev</w:t>
            </w:r>
            <w:r w:rsidRPr="00BD1319">
              <w:rPr>
                <w:spacing w:val="-3"/>
                <w:sz w:val="22"/>
              </w:rPr>
              <w:t>al</w:t>
            </w:r>
            <w:r w:rsidR="00D11D60" w:rsidRPr="00BD1319">
              <w:rPr>
                <w:spacing w:val="-3"/>
                <w:sz w:val="22"/>
              </w:rPr>
              <w:t>ua</w:t>
            </w:r>
            <w:r w:rsidRPr="00BD1319">
              <w:rPr>
                <w:spacing w:val="-3"/>
                <w:sz w:val="22"/>
              </w:rPr>
              <w:t xml:space="preserve">ción </w:t>
            </w:r>
            <w:r w:rsidR="00D11D60" w:rsidRPr="00BD1319">
              <w:rPr>
                <w:spacing w:val="-3"/>
                <w:sz w:val="22"/>
              </w:rPr>
              <w:t>e</w:t>
            </w:r>
            <w:r w:rsidRPr="00BD1319">
              <w:rPr>
                <w:spacing w:val="-3"/>
                <w:sz w:val="22"/>
              </w:rPr>
              <w:t>conómica</w:t>
            </w:r>
          </w:p>
        </w:tc>
        <w:tc>
          <w:tcPr>
            <w:tcW w:w="2329" w:type="dxa"/>
            <w:vAlign w:val="center"/>
          </w:tcPr>
          <w:p w14:paraId="62BD4FA3" w14:textId="77777777" w:rsidR="00A101A4" w:rsidRPr="00BD1319" w:rsidRDefault="00A101A4" w:rsidP="00BA45DD">
            <w:pPr>
              <w:numPr>
                <w:ilvl w:val="12"/>
                <w:numId w:val="0"/>
              </w:numPr>
              <w:tabs>
                <w:tab w:val="left" w:pos="-2268"/>
              </w:tabs>
              <w:suppressAutoHyphens/>
              <w:ind w:left="773"/>
              <w:rPr>
                <w:spacing w:val="-3"/>
                <w:sz w:val="22"/>
              </w:rPr>
            </w:pPr>
            <w:r w:rsidRPr="00BD1319">
              <w:rPr>
                <w:spacing w:val="-3"/>
                <w:sz w:val="22"/>
              </w:rPr>
              <w:t>1 GB</w:t>
            </w:r>
          </w:p>
        </w:tc>
      </w:tr>
      <w:tr w:rsidR="00A101A4" w:rsidRPr="00BD1319" w14:paraId="1F64032C" w14:textId="77777777" w:rsidTr="00C86DA5">
        <w:trPr>
          <w:trHeight w:val="300"/>
          <w:jc w:val="center"/>
        </w:trPr>
        <w:tc>
          <w:tcPr>
            <w:tcW w:w="0" w:type="auto"/>
            <w:vAlign w:val="center"/>
            <w:hideMark/>
          </w:tcPr>
          <w:p w14:paraId="3EFF2FE2" w14:textId="77777777" w:rsidR="00A101A4" w:rsidRPr="00BD1319" w:rsidRDefault="00A101A4" w:rsidP="00C86DA5">
            <w:pPr>
              <w:numPr>
                <w:ilvl w:val="12"/>
                <w:numId w:val="0"/>
              </w:numPr>
              <w:tabs>
                <w:tab w:val="left" w:pos="-2268"/>
              </w:tabs>
              <w:suppressAutoHyphens/>
              <w:jc w:val="center"/>
              <w:rPr>
                <w:b/>
                <w:i/>
                <w:spacing w:val="-3"/>
                <w:sz w:val="22"/>
              </w:rPr>
            </w:pPr>
            <w:r w:rsidRPr="00BD1319">
              <w:rPr>
                <w:b/>
                <w:spacing w:val="-3"/>
                <w:sz w:val="22"/>
              </w:rPr>
              <w:t>5</w:t>
            </w:r>
          </w:p>
        </w:tc>
        <w:tc>
          <w:tcPr>
            <w:tcW w:w="5923" w:type="dxa"/>
            <w:gridSpan w:val="2"/>
            <w:vAlign w:val="center"/>
          </w:tcPr>
          <w:p w14:paraId="5EDCBFED" w14:textId="77777777" w:rsidR="00A101A4" w:rsidRPr="00BD1319" w:rsidRDefault="00A101A4" w:rsidP="00BA45DD">
            <w:pPr>
              <w:numPr>
                <w:ilvl w:val="12"/>
                <w:numId w:val="0"/>
              </w:numPr>
              <w:tabs>
                <w:tab w:val="left" w:pos="-2268"/>
              </w:tabs>
              <w:suppressAutoHyphens/>
              <w:rPr>
                <w:spacing w:val="-3"/>
                <w:sz w:val="22"/>
              </w:rPr>
            </w:pPr>
            <w:r w:rsidRPr="00BD1319">
              <w:rPr>
                <w:spacing w:val="-3"/>
                <w:sz w:val="22"/>
              </w:rPr>
              <w:t>Anexo cuestiones legales</w:t>
            </w:r>
          </w:p>
        </w:tc>
        <w:tc>
          <w:tcPr>
            <w:tcW w:w="2329" w:type="dxa"/>
            <w:vAlign w:val="center"/>
          </w:tcPr>
          <w:p w14:paraId="55BBC43C" w14:textId="77777777" w:rsidR="00A101A4" w:rsidRPr="00BD1319" w:rsidRDefault="00A101A4" w:rsidP="00BA45DD">
            <w:pPr>
              <w:numPr>
                <w:ilvl w:val="12"/>
                <w:numId w:val="0"/>
              </w:numPr>
              <w:tabs>
                <w:tab w:val="left" w:pos="-2268"/>
              </w:tabs>
              <w:suppressAutoHyphens/>
              <w:ind w:left="773"/>
              <w:rPr>
                <w:spacing w:val="-3"/>
                <w:sz w:val="22"/>
              </w:rPr>
            </w:pPr>
            <w:r w:rsidRPr="00BD1319">
              <w:rPr>
                <w:spacing w:val="-3"/>
                <w:sz w:val="22"/>
              </w:rPr>
              <w:t>0,5 GB</w:t>
            </w:r>
          </w:p>
        </w:tc>
      </w:tr>
    </w:tbl>
    <w:p w14:paraId="5ADA6C80" w14:textId="77777777" w:rsidR="00A101A4" w:rsidRPr="00BD1319" w:rsidRDefault="00A101A4">
      <w:pPr>
        <w:numPr>
          <w:ilvl w:val="12"/>
          <w:numId w:val="0"/>
        </w:numPr>
        <w:tabs>
          <w:tab w:val="left" w:pos="-2268"/>
        </w:tabs>
        <w:suppressAutoHyphens/>
        <w:rPr>
          <w:spacing w:val="-3"/>
        </w:rPr>
      </w:pPr>
    </w:p>
    <w:p w14:paraId="08814937" w14:textId="77777777" w:rsidR="00A101A4" w:rsidRPr="00BD1319" w:rsidRDefault="00A101A4" w:rsidP="00216955">
      <w:pPr>
        <w:pStyle w:val="Ttulo3"/>
      </w:pPr>
      <w:bookmarkStart w:id="1965" w:name="_Toc42353715"/>
      <w:bookmarkStart w:id="1966" w:name="_Toc175326675"/>
      <w:r w:rsidRPr="00BD1319">
        <w:t>Programa de compresión de archivos</w:t>
      </w:r>
      <w:bookmarkEnd w:id="1965"/>
      <w:bookmarkEnd w:id="1966"/>
    </w:p>
    <w:p w14:paraId="62E266DF" w14:textId="77777777" w:rsidR="00A101A4" w:rsidRPr="00BD1319" w:rsidRDefault="00A101A4">
      <w:pPr>
        <w:numPr>
          <w:ilvl w:val="12"/>
          <w:numId w:val="0"/>
        </w:numPr>
        <w:tabs>
          <w:tab w:val="left" w:pos="-2268"/>
        </w:tabs>
        <w:suppressAutoHyphens/>
        <w:rPr>
          <w:spacing w:val="-3"/>
        </w:rPr>
      </w:pPr>
    </w:p>
    <w:p w14:paraId="22915314" w14:textId="581830C1" w:rsidR="00A101A4" w:rsidRPr="00BD1319" w:rsidRDefault="00D11D60">
      <w:pPr>
        <w:numPr>
          <w:ilvl w:val="12"/>
          <w:numId w:val="0"/>
        </w:numPr>
        <w:tabs>
          <w:tab w:val="left" w:pos="-2268"/>
        </w:tabs>
        <w:suppressAutoHyphens/>
        <w:rPr>
          <w:spacing w:val="-3"/>
        </w:rPr>
      </w:pPr>
      <w:r w:rsidRPr="00BD1319">
        <w:rPr>
          <w:spacing w:val="-3"/>
        </w:rPr>
        <w:t>P</w:t>
      </w:r>
      <w:r w:rsidR="00A101A4" w:rsidRPr="00BD1319">
        <w:rPr>
          <w:spacing w:val="-3"/>
        </w:rPr>
        <w:t xml:space="preserve">ara la presentación de los estudios ambientales y sus respectivos requisitos o documentos anexos, </w:t>
      </w:r>
      <w:r w:rsidR="000074AF" w:rsidRPr="00BD1319">
        <w:rPr>
          <w:spacing w:val="-3"/>
        </w:rPr>
        <w:t xml:space="preserve">es posible </w:t>
      </w:r>
      <w:r w:rsidR="00A101A4" w:rsidRPr="00BD1319">
        <w:rPr>
          <w:spacing w:val="-3"/>
        </w:rPr>
        <w:t xml:space="preserve">utilizar programas de compresión de información que </w:t>
      </w:r>
      <w:r w:rsidR="00A101A4" w:rsidRPr="00BD1319">
        <w:rPr>
          <w:spacing w:val="-3"/>
        </w:rPr>
        <w:lastRenderedPageBreak/>
        <w:t>permitan generar archivos .</w:t>
      </w:r>
      <w:r w:rsidR="00A101A4" w:rsidRPr="00BD1319">
        <w:rPr>
          <w:i/>
          <w:spacing w:val="-3"/>
        </w:rPr>
        <w:t>zip</w:t>
      </w:r>
      <w:r w:rsidR="00A101A4" w:rsidRPr="00BD1319">
        <w:rPr>
          <w:spacing w:val="-3"/>
        </w:rPr>
        <w:t xml:space="preserve"> o </w:t>
      </w:r>
      <w:r w:rsidR="00A101A4" w:rsidRPr="00BD1319">
        <w:rPr>
          <w:i/>
          <w:spacing w:val="-3"/>
        </w:rPr>
        <w:t>.rar</w:t>
      </w:r>
      <w:r w:rsidR="00A101A4" w:rsidRPr="00BD1319">
        <w:rPr>
          <w:spacing w:val="-3"/>
        </w:rPr>
        <w:t xml:space="preserve">, tanto para archivos como para carpetas con el fin de optimizar el tamaño total de la solicitud o </w:t>
      </w:r>
      <w:r w:rsidR="000074AF" w:rsidRPr="00BD1319">
        <w:rPr>
          <w:spacing w:val="-3"/>
        </w:rPr>
        <w:t>estudio</w:t>
      </w:r>
      <w:r w:rsidR="00A101A4" w:rsidRPr="00BD1319">
        <w:rPr>
          <w:spacing w:val="-3"/>
        </w:rPr>
        <w:t>.</w:t>
      </w:r>
    </w:p>
    <w:p w14:paraId="3C2CE67B" w14:textId="77777777" w:rsidR="00A101A4" w:rsidRPr="00BD1319" w:rsidRDefault="00A101A4">
      <w:pPr>
        <w:numPr>
          <w:ilvl w:val="12"/>
          <w:numId w:val="0"/>
        </w:numPr>
        <w:tabs>
          <w:tab w:val="left" w:pos="-2268"/>
        </w:tabs>
        <w:suppressAutoHyphens/>
        <w:rPr>
          <w:b/>
          <w:spacing w:val="-3"/>
        </w:rPr>
      </w:pPr>
    </w:p>
    <w:p w14:paraId="2192C9B6" w14:textId="77777777" w:rsidR="00A101A4" w:rsidRPr="00BD1319" w:rsidRDefault="00A101A4" w:rsidP="00216955">
      <w:pPr>
        <w:pStyle w:val="Ttulo3"/>
      </w:pPr>
      <w:bookmarkStart w:id="1967" w:name="_Toc42353716"/>
      <w:bookmarkStart w:id="1968" w:name="_Toc175326676"/>
      <w:r w:rsidRPr="00BD1319">
        <w:t>Medio de cargue de archivos y envío de solicitudes</w:t>
      </w:r>
      <w:bookmarkEnd w:id="1967"/>
      <w:bookmarkEnd w:id="1968"/>
    </w:p>
    <w:p w14:paraId="17511A78" w14:textId="77777777" w:rsidR="00A101A4" w:rsidRPr="00BD1319" w:rsidRDefault="00A101A4">
      <w:pPr>
        <w:numPr>
          <w:ilvl w:val="12"/>
          <w:numId w:val="0"/>
        </w:numPr>
        <w:tabs>
          <w:tab w:val="left" w:pos="-2268"/>
        </w:tabs>
        <w:suppressAutoHyphens/>
        <w:rPr>
          <w:spacing w:val="-3"/>
        </w:rPr>
      </w:pPr>
    </w:p>
    <w:p w14:paraId="78E1D2EC" w14:textId="0442F538" w:rsidR="00640F0B" w:rsidRPr="00BD1319" w:rsidRDefault="00640F0B" w:rsidP="00640F0B">
      <w:pPr>
        <w:numPr>
          <w:ilvl w:val="12"/>
          <w:numId w:val="0"/>
        </w:numPr>
        <w:tabs>
          <w:tab w:val="left" w:pos="-2268"/>
        </w:tabs>
        <w:suppressAutoHyphens/>
        <w:rPr>
          <w:spacing w:val="-3"/>
        </w:rPr>
      </w:pPr>
      <w:r w:rsidRPr="00BD1319">
        <w:rPr>
          <w:spacing w:val="-3"/>
        </w:rPr>
        <w:t>El Estado colombiano ha establecido políticas para favorecer e implementar las tecnologías de la información y las comunicaciones en su funcionamiento; así, impulsó la “Agenda de conectividad” para buscar nuevos instrumentos tecnológicos encaminados a la masificación del uso de la información, con el fin de aumentar la competitividad del sector productivo, modernizar las instituciones públicas y de gobierno, democratizar el acceso a la información e incrementar los niveles de participación de los ciudadanos.</w:t>
      </w:r>
    </w:p>
    <w:p w14:paraId="0A65A132" w14:textId="77777777" w:rsidR="00640F0B" w:rsidRPr="00BD1319" w:rsidRDefault="00640F0B" w:rsidP="00640F0B">
      <w:pPr>
        <w:numPr>
          <w:ilvl w:val="12"/>
          <w:numId w:val="0"/>
        </w:numPr>
        <w:tabs>
          <w:tab w:val="left" w:pos="-2268"/>
        </w:tabs>
        <w:suppressAutoHyphens/>
        <w:rPr>
          <w:spacing w:val="-3"/>
        </w:rPr>
      </w:pPr>
    </w:p>
    <w:p w14:paraId="77E5BF92" w14:textId="381BA4D3" w:rsidR="00640F0B" w:rsidRPr="00BD1319" w:rsidRDefault="00DD1E41" w:rsidP="00640F0B">
      <w:pPr>
        <w:numPr>
          <w:ilvl w:val="12"/>
          <w:numId w:val="0"/>
        </w:numPr>
        <w:tabs>
          <w:tab w:val="left" w:pos="-2268"/>
        </w:tabs>
        <w:suppressAutoHyphens/>
        <w:rPr>
          <w:spacing w:val="-3"/>
        </w:rPr>
      </w:pPr>
      <w:r w:rsidRPr="00BD1319">
        <w:rPr>
          <w:spacing w:val="-3"/>
        </w:rPr>
        <w:t>Igualmente</w:t>
      </w:r>
      <w:r w:rsidR="00640F0B" w:rsidRPr="00BD1319">
        <w:rPr>
          <w:spacing w:val="-3"/>
        </w:rPr>
        <w:t xml:space="preserve">, </w:t>
      </w:r>
      <w:r w:rsidRPr="00BD1319">
        <w:rPr>
          <w:spacing w:val="-3"/>
        </w:rPr>
        <w:t xml:space="preserve">y </w:t>
      </w:r>
      <w:r w:rsidR="00640F0B" w:rsidRPr="00BD1319">
        <w:rPr>
          <w:spacing w:val="-3"/>
        </w:rPr>
        <w:t xml:space="preserve">en desarrollo del Programa de Reforma de la Administración Pública (PRAP), las entidades del Estado adelantan un </w:t>
      </w:r>
      <w:r w:rsidRPr="00BD1319">
        <w:rPr>
          <w:spacing w:val="-3"/>
        </w:rPr>
        <w:t xml:space="preserve">proceso de mejora continua </w:t>
      </w:r>
      <w:r w:rsidR="00640F0B" w:rsidRPr="00BD1319">
        <w:rPr>
          <w:spacing w:val="-3"/>
        </w:rPr>
        <w:t xml:space="preserve">tendiente a modernizar la administración de los asuntos públicos, </w:t>
      </w:r>
      <w:r w:rsidRPr="00BD1319">
        <w:rPr>
          <w:spacing w:val="-3"/>
        </w:rPr>
        <w:t xml:space="preserve">adecuando </w:t>
      </w:r>
      <w:r w:rsidR="00640F0B" w:rsidRPr="00BD1319">
        <w:rPr>
          <w:spacing w:val="-3"/>
        </w:rPr>
        <w:t xml:space="preserve">las </w:t>
      </w:r>
      <w:r w:rsidRPr="00BD1319">
        <w:rPr>
          <w:spacing w:val="-3"/>
        </w:rPr>
        <w:t xml:space="preserve">entidades </w:t>
      </w:r>
      <w:r w:rsidR="00640F0B" w:rsidRPr="00BD1319">
        <w:rPr>
          <w:spacing w:val="-3"/>
        </w:rPr>
        <w:t xml:space="preserve">a los requerimientos de un Estado gerencial, </w:t>
      </w:r>
      <w:r w:rsidRPr="00BD1319">
        <w:rPr>
          <w:spacing w:val="-3"/>
        </w:rPr>
        <w:t xml:space="preserve">y </w:t>
      </w:r>
      <w:r w:rsidR="00640F0B" w:rsidRPr="00BD1319">
        <w:rPr>
          <w:spacing w:val="-3"/>
        </w:rPr>
        <w:t xml:space="preserve">facilitando </w:t>
      </w:r>
      <w:r w:rsidRPr="00BD1319">
        <w:rPr>
          <w:spacing w:val="-3"/>
        </w:rPr>
        <w:t>su</w:t>
      </w:r>
      <w:r w:rsidR="00640F0B" w:rsidRPr="00BD1319">
        <w:rPr>
          <w:spacing w:val="-3"/>
        </w:rPr>
        <w:t xml:space="preserve"> interacción constante, eficiente, eficaz y transparente </w:t>
      </w:r>
      <w:r w:rsidRPr="00BD1319">
        <w:rPr>
          <w:spacing w:val="-3"/>
        </w:rPr>
        <w:t xml:space="preserve">con </w:t>
      </w:r>
      <w:r w:rsidR="00640F0B" w:rsidRPr="00BD1319">
        <w:rPr>
          <w:spacing w:val="-3"/>
        </w:rPr>
        <w:t xml:space="preserve">el ciudadano y las empresas, mediante el uso de tecnologías de </w:t>
      </w:r>
      <w:r w:rsidRPr="00BD1319">
        <w:rPr>
          <w:spacing w:val="-3"/>
        </w:rPr>
        <w:t xml:space="preserve">la </w:t>
      </w:r>
      <w:r w:rsidR="00640F0B" w:rsidRPr="00BD1319">
        <w:rPr>
          <w:spacing w:val="-3"/>
        </w:rPr>
        <w:t xml:space="preserve">información y </w:t>
      </w:r>
      <w:r w:rsidRPr="00BD1319">
        <w:rPr>
          <w:spacing w:val="-3"/>
        </w:rPr>
        <w:t xml:space="preserve">las </w:t>
      </w:r>
      <w:r w:rsidR="00640F0B" w:rsidRPr="00BD1319">
        <w:rPr>
          <w:spacing w:val="-3"/>
        </w:rPr>
        <w:t>comunicaciones.</w:t>
      </w:r>
    </w:p>
    <w:p w14:paraId="524D41CA" w14:textId="77777777" w:rsidR="00640F0B" w:rsidRPr="00BD1319" w:rsidRDefault="00640F0B">
      <w:pPr>
        <w:numPr>
          <w:ilvl w:val="12"/>
          <w:numId w:val="0"/>
        </w:numPr>
        <w:tabs>
          <w:tab w:val="left" w:pos="-2268"/>
        </w:tabs>
        <w:suppressAutoHyphens/>
        <w:rPr>
          <w:spacing w:val="-3"/>
        </w:rPr>
      </w:pPr>
    </w:p>
    <w:p w14:paraId="0F49FC67" w14:textId="29E0874B" w:rsidR="00487867" w:rsidRPr="00BD1319" w:rsidRDefault="00DD1E41" w:rsidP="00487867">
      <w:pPr>
        <w:numPr>
          <w:ilvl w:val="12"/>
          <w:numId w:val="0"/>
        </w:numPr>
        <w:tabs>
          <w:tab w:val="left" w:pos="-2268"/>
        </w:tabs>
        <w:suppressAutoHyphens/>
        <w:rPr>
          <w:spacing w:val="-3"/>
        </w:rPr>
      </w:pPr>
      <w:r w:rsidRPr="00BD1319">
        <w:rPr>
          <w:spacing w:val="-3"/>
        </w:rPr>
        <w:t>En este mismo sentido, l</w:t>
      </w:r>
      <w:r w:rsidR="00487867" w:rsidRPr="00BD1319">
        <w:rPr>
          <w:spacing w:val="-3"/>
        </w:rPr>
        <w:t xml:space="preserve">a Política de </w:t>
      </w:r>
      <w:r w:rsidR="00C357A7" w:rsidRPr="00BD1319">
        <w:rPr>
          <w:spacing w:val="-3"/>
        </w:rPr>
        <w:t>g</w:t>
      </w:r>
      <w:r w:rsidR="00487867" w:rsidRPr="00BD1319">
        <w:rPr>
          <w:spacing w:val="-3"/>
        </w:rPr>
        <w:t xml:space="preserve">obierno </w:t>
      </w:r>
      <w:r w:rsidR="008B7241" w:rsidRPr="00BD1319">
        <w:rPr>
          <w:spacing w:val="-3"/>
        </w:rPr>
        <w:t>d</w:t>
      </w:r>
      <w:r w:rsidR="00487867" w:rsidRPr="00BD1319">
        <w:rPr>
          <w:spacing w:val="-3"/>
        </w:rPr>
        <w:t>igital</w:t>
      </w:r>
      <w:r w:rsidRPr="00BD1319">
        <w:rPr>
          <w:rStyle w:val="Refdenotaalpie"/>
          <w:spacing w:val="-3"/>
          <w:lang w:val="es-CO"/>
        </w:rPr>
        <w:footnoteReference w:id="16"/>
      </w:r>
      <w:r w:rsidR="00030170" w:rsidRPr="00BD1319">
        <w:rPr>
          <w:spacing w:val="-3"/>
        </w:rPr>
        <w:t>, cuyos lineamientos generales son</w:t>
      </w:r>
      <w:r w:rsidR="00487867" w:rsidRPr="00BD1319">
        <w:rPr>
          <w:spacing w:val="-3"/>
        </w:rPr>
        <w:t xml:space="preserve"> establecid</w:t>
      </w:r>
      <w:r w:rsidR="00030170" w:rsidRPr="00BD1319">
        <w:rPr>
          <w:spacing w:val="-3"/>
        </w:rPr>
        <w:t>os</w:t>
      </w:r>
      <w:r w:rsidR="00487867" w:rsidRPr="00BD1319">
        <w:rPr>
          <w:spacing w:val="-3"/>
        </w:rPr>
        <w:t xml:space="preserve"> mediante el Decreto 1008 de 2018, </w:t>
      </w:r>
      <w:r w:rsidRPr="00BD1319">
        <w:rPr>
          <w:spacing w:val="-3"/>
        </w:rPr>
        <w:t xml:space="preserve">que </w:t>
      </w:r>
      <w:r w:rsidR="00487867" w:rsidRPr="00BD1319">
        <w:rPr>
          <w:spacing w:val="-3"/>
        </w:rPr>
        <w:t>busca promover el uso y aprovechamiento de las tecnologías de la información y las comunicaciones para consolidar un Estado y ciudadanos competitivos, proactivos, e innovadores, que generen valor público en un entorno de confianza digital</w:t>
      </w:r>
      <w:r w:rsidR="00030170" w:rsidRPr="00BD1319">
        <w:rPr>
          <w:spacing w:val="-3"/>
        </w:rPr>
        <w:t xml:space="preserve">, </w:t>
      </w:r>
      <w:r w:rsidR="00EC64A8" w:rsidRPr="00BD1319">
        <w:rPr>
          <w:spacing w:val="-3"/>
        </w:rPr>
        <w:t>defin</w:t>
      </w:r>
      <w:r w:rsidR="00030170" w:rsidRPr="00BD1319">
        <w:rPr>
          <w:spacing w:val="-3"/>
        </w:rPr>
        <w:t xml:space="preserve">e directrices </w:t>
      </w:r>
      <w:r w:rsidR="00EC64A8" w:rsidRPr="00BD1319">
        <w:rPr>
          <w:spacing w:val="-3"/>
        </w:rPr>
        <w:t xml:space="preserve">que permiten optimizar la </w:t>
      </w:r>
      <w:r w:rsidR="00030170" w:rsidRPr="00BD1319">
        <w:rPr>
          <w:spacing w:val="-3"/>
        </w:rPr>
        <w:t xml:space="preserve">gestión interna de las entidades </w:t>
      </w:r>
      <w:r w:rsidR="00EC64A8" w:rsidRPr="00BD1319">
        <w:rPr>
          <w:spacing w:val="-3"/>
        </w:rPr>
        <w:t xml:space="preserve">para prestar un servicio de calidad, </w:t>
      </w:r>
      <w:r w:rsidR="007400EB" w:rsidRPr="00BD1319">
        <w:rPr>
          <w:spacing w:val="-3"/>
        </w:rPr>
        <w:t xml:space="preserve">promover la digitalización y automatización masiva de trámites, </w:t>
      </w:r>
      <w:r w:rsidR="00030170" w:rsidRPr="00BD1319">
        <w:rPr>
          <w:spacing w:val="-3"/>
        </w:rPr>
        <w:t xml:space="preserve">y </w:t>
      </w:r>
      <w:r w:rsidR="00EC64A8" w:rsidRPr="00BD1319">
        <w:rPr>
          <w:spacing w:val="-3"/>
        </w:rPr>
        <w:t xml:space="preserve">establecer </w:t>
      </w:r>
      <w:r w:rsidR="00030170" w:rsidRPr="00BD1319">
        <w:rPr>
          <w:spacing w:val="-3"/>
        </w:rPr>
        <w:t xml:space="preserve">un relacionamiento </w:t>
      </w:r>
      <w:r w:rsidR="00EC64A8" w:rsidRPr="00BD1319">
        <w:rPr>
          <w:spacing w:val="-3"/>
        </w:rPr>
        <w:t xml:space="preserve">que favorece la participación de </w:t>
      </w:r>
      <w:r w:rsidR="00030170" w:rsidRPr="00BD1319">
        <w:rPr>
          <w:spacing w:val="-3"/>
        </w:rPr>
        <w:t>los ciudadanos.</w:t>
      </w:r>
    </w:p>
    <w:p w14:paraId="2464BEB5" w14:textId="77777777" w:rsidR="00487867" w:rsidRPr="00BD1319" w:rsidRDefault="00487867" w:rsidP="00487867">
      <w:pPr>
        <w:numPr>
          <w:ilvl w:val="12"/>
          <w:numId w:val="0"/>
        </w:numPr>
        <w:tabs>
          <w:tab w:val="left" w:pos="-2268"/>
        </w:tabs>
        <w:suppressAutoHyphens/>
        <w:rPr>
          <w:spacing w:val="-3"/>
        </w:rPr>
      </w:pPr>
    </w:p>
    <w:p w14:paraId="612094EC" w14:textId="7B72CAF1" w:rsidR="00487867" w:rsidRPr="00BD1319" w:rsidRDefault="001F474E" w:rsidP="009420F5">
      <w:pPr>
        <w:rPr>
          <w:spacing w:val="-3"/>
        </w:rPr>
      </w:pPr>
      <w:r w:rsidRPr="00BD1319">
        <w:rPr>
          <w:spacing w:val="-3"/>
        </w:rPr>
        <w:t xml:space="preserve">De acuerdo </w:t>
      </w:r>
      <w:r w:rsidRPr="00BD1319">
        <w:rPr>
          <w:rFonts w:cs="Arial"/>
          <w:spacing w:val="-3"/>
        </w:rPr>
        <w:t>con el</w:t>
      </w:r>
      <w:r w:rsidRPr="00BD1319">
        <w:rPr>
          <w:spacing w:val="-3"/>
        </w:rPr>
        <w:t xml:space="preserve"> contexto anterior y de conformidad con lo dispuesto</w:t>
      </w:r>
      <w:r w:rsidRPr="00BD1319" w:rsidDel="00DD1E41">
        <w:rPr>
          <w:spacing w:val="-3"/>
        </w:rPr>
        <w:t xml:space="preserve"> </w:t>
      </w:r>
      <w:r w:rsidRPr="00BD1319">
        <w:rPr>
          <w:spacing w:val="-3"/>
        </w:rPr>
        <w:t xml:space="preserve">por </w:t>
      </w:r>
      <w:r w:rsidR="00487867" w:rsidRPr="00BD1319">
        <w:rPr>
          <w:spacing w:val="-3"/>
        </w:rPr>
        <w:t>el</w:t>
      </w:r>
      <w:r w:rsidR="00112A7A" w:rsidRPr="00BD1319">
        <w:rPr>
          <w:spacing w:val="-3"/>
        </w:rPr>
        <w:t>–</w:t>
      </w:r>
      <w:r w:rsidR="00487867" w:rsidRPr="00BD1319">
        <w:rPr>
          <w:spacing w:val="-3"/>
        </w:rPr>
        <w:t>Decreto</w:t>
      </w:r>
      <w:r w:rsidR="00857BE8" w:rsidRPr="00BD1319">
        <w:rPr>
          <w:spacing w:val="-3"/>
        </w:rPr>
        <w:t xml:space="preserve"> - Ley</w:t>
      </w:r>
      <w:r w:rsidR="00487867" w:rsidRPr="00BD1319">
        <w:rPr>
          <w:spacing w:val="-3"/>
        </w:rPr>
        <w:t xml:space="preserve"> 2106 de 2019, </w:t>
      </w:r>
      <w:r w:rsidRPr="00BD1319">
        <w:rPr>
          <w:spacing w:val="-3"/>
        </w:rPr>
        <w:t xml:space="preserve">que </w:t>
      </w:r>
      <w:r w:rsidR="00487867" w:rsidRPr="00BD1319">
        <w:rPr>
          <w:spacing w:val="-3"/>
        </w:rPr>
        <w:t xml:space="preserve">en su artículo </w:t>
      </w:r>
      <w:r w:rsidR="00DD74B3" w:rsidRPr="00BD1319">
        <w:rPr>
          <w:spacing w:val="-3"/>
        </w:rPr>
        <w:t xml:space="preserve">primero </w:t>
      </w:r>
      <w:r w:rsidR="00487867" w:rsidRPr="00BD1319">
        <w:rPr>
          <w:spacing w:val="-3"/>
        </w:rPr>
        <w:t xml:space="preserve">ordenó simplificar, suprimir y reformar trámites, procesos y procedimientos innecesarios existentes en la </w:t>
      </w:r>
      <w:r w:rsidR="00FD5B64" w:rsidRPr="00BD1319">
        <w:rPr>
          <w:spacing w:val="-3"/>
        </w:rPr>
        <w:t>a</w:t>
      </w:r>
      <w:r w:rsidR="00487867" w:rsidRPr="00BD1319">
        <w:rPr>
          <w:spacing w:val="-3"/>
        </w:rPr>
        <w:t xml:space="preserve">dministración </w:t>
      </w:r>
      <w:r w:rsidR="00FD5B64" w:rsidRPr="00BD1319">
        <w:rPr>
          <w:spacing w:val="-3"/>
        </w:rPr>
        <w:t>p</w:t>
      </w:r>
      <w:r w:rsidR="00487867" w:rsidRPr="00BD1319">
        <w:rPr>
          <w:spacing w:val="-3"/>
        </w:rPr>
        <w:t xml:space="preserve">ública, </w:t>
      </w:r>
      <w:r w:rsidRPr="00BD1319">
        <w:rPr>
          <w:spacing w:val="-3"/>
        </w:rPr>
        <w:t xml:space="preserve">así como por </w:t>
      </w:r>
      <w:r w:rsidR="00487867" w:rsidRPr="00BD1319">
        <w:rPr>
          <w:spacing w:val="-3"/>
        </w:rPr>
        <w:t xml:space="preserve">el </w:t>
      </w:r>
      <w:r w:rsidR="004A04D5" w:rsidRPr="00BD1319">
        <w:rPr>
          <w:spacing w:val="-3"/>
        </w:rPr>
        <w:t>artículo</w:t>
      </w:r>
      <w:r w:rsidR="00487867" w:rsidRPr="00BD1319">
        <w:rPr>
          <w:spacing w:val="-3"/>
        </w:rPr>
        <w:t xml:space="preserve"> 2.2.2.3.10.1 del Decreto 1076 de 2015, </w:t>
      </w:r>
      <w:r w:rsidR="007400EB" w:rsidRPr="00BD1319">
        <w:rPr>
          <w:spacing w:val="-3"/>
        </w:rPr>
        <w:t>y el artículo 124 del</w:t>
      </w:r>
      <w:r w:rsidR="00112A7A" w:rsidRPr="00BD1319">
        <w:rPr>
          <w:spacing w:val="-3"/>
        </w:rPr>
        <w:t>–</w:t>
      </w:r>
      <w:r w:rsidR="007400EB" w:rsidRPr="00BD1319">
        <w:rPr>
          <w:spacing w:val="-3"/>
        </w:rPr>
        <w:t>Decreto</w:t>
      </w:r>
      <w:r w:rsidR="00857BE8" w:rsidRPr="00BD1319">
        <w:rPr>
          <w:spacing w:val="-3"/>
        </w:rPr>
        <w:t xml:space="preserve"> - Ley</w:t>
      </w:r>
      <w:r w:rsidR="007400EB" w:rsidRPr="00BD1319">
        <w:rPr>
          <w:spacing w:val="-3"/>
        </w:rPr>
        <w:t xml:space="preserve"> 2106 de 2019, </w:t>
      </w:r>
      <w:r w:rsidR="00487867" w:rsidRPr="00BD1319">
        <w:rPr>
          <w:spacing w:val="-3"/>
        </w:rPr>
        <w:t>la Ventanilla Integral de Trámites Ambientales en Línea (VITAL) s</w:t>
      </w:r>
      <w:r w:rsidR="006B6DAA" w:rsidRPr="00BD1319">
        <w:rPr>
          <w:spacing w:val="-3"/>
        </w:rPr>
        <w:t>e constituye como</w:t>
      </w:r>
      <w:r w:rsidR="00487867" w:rsidRPr="00BD1319">
        <w:rPr>
          <w:spacing w:val="-3"/>
        </w:rPr>
        <w:t xml:space="preserve"> el mecanismo tecnológico dispuesto </w:t>
      </w:r>
      <w:r w:rsidR="007400EB" w:rsidRPr="00BD1319">
        <w:rPr>
          <w:spacing w:val="-3"/>
        </w:rPr>
        <w:t xml:space="preserve">por </w:t>
      </w:r>
      <w:r w:rsidR="007400EB" w:rsidRPr="00BD1319">
        <w:rPr>
          <w:spacing w:val="-3"/>
        </w:rPr>
        <w:lastRenderedPageBreak/>
        <w:t xml:space="preserve">Minambiente y las autoridades ambientales </w:t>
      </w:r>
      <w:r w:rsidR="00487867" w:rsidRPr="00BD1319">
        <w:rPr>
          <w:spacing w:val="-3"/>
        </w:rPr>
        <w:t xml:space="preserve">para la presentación de los estudios ambientales, informes </w:t>
      </w:r>
      <w:r w:rsidR="006B6DAA" w:rsidRPr="00BD1319">
        <w:rPr>
          <w:spacing w:val="-3"/>
        </w:rPr>
        <w:t>y</w:t>
      </w:r>
      <w:r w:rsidR="00487867" w:rsidRPr="00BD1319">
        <w:rPr>
          <w:spacing w:val="-3"/>
        </w:rPr>
        <w:t xml:space="preserve"> anexos.</w:t>
      </w:r>
    </w:p>
    <w:p w14:paraId="39FE1161" w14:textId="782CFA6C" w:rsidR="00487867" w:rsidRPr="00BD1319" w:rsidRDefault="00487867" w:rsidP="00487867">
      <w:pPr>
        <w:numPr>
          <w:ilvl w:val="12"/>
          <w:numId w:val="0"/>
        </w:numPr>
        <w:tabs>
          <w:tab w:val="left" w:pos="-2268"/>
        </w:tabs>
        <w:suppressAutoHyphens/>
        <w:rPr>
          <w:spacing w:val="-3"/>
        </w:rPr>
      </w:pPr>
    </w:p>
    <w:p w14:paraId="62ED8270" w14:textId="0B3258AD" w:rsidR="00487867" w:rsidRPr="00BD1319" w:rsidRDefault="006B6DAA" w:rsidP="00896B13">
      <w:pPr>
        <w:numPr>
          <w:ilvl w:val="12"/>
          <w:numId w:val="0"/>
        </w:numPr>
        <w:tabs>
          <w:tab w:val="left" w:pos="-2268"/>
        </w:tabs>
        <w:suppressAutoHyphens/>
        <w:rPr>
          <w:spacing w:val="-3"/>
        </w:rPr>
      </w:pPr>
      <w:r w:rsidRPr="00BD1319">
        <w:rPr>
          <w:spacing w:val="-3"/>
        </w:rPr>
        <w:t xml:space="preserve">Con el propósito de </w:t>
      </w:r>
      <w:r w:rsidR="00CD1C04" w:rsidRPr="00BD1319">
        <w:rPr>
          <w:spacing w:val="-3"/>
        </w:rPr>
        <w:t xml:space="preserve">garantizar el envío y recepción de </w:t>
      </w:r>
      <w:r w:rsidRPr="00BD1319">
        <w:rPr>
          <w:spacing w:val="-3"/>
        </w:rPr>
        <w:t xml:space="preserve">los archivos de una solicitud o </w:t>
      </w:r>
      <w:r w:rsidR="00CD1C04" w:rsidRPr="00BD1319">
        <w:rPr>
          <w:spacing w:val="-3"/>
        </w:rPr>
        <w:t xml:space="preserve">un </w:t>
      </w:r>
      <w:r w:rsidR="00FD5B64" w:rsidRPr="00BD1319">
        <w:rPr>
          <w:spacing w:val="-3"/>
        </w:rPr>
        <w:t>estudio</w:t>
      </w:r>
      <w:r w:rsidRPr="00BD1319">
        <w:rPr>
          <w:spacing w:val="-3"/>
        </w:rPr>
        <w:t xml:space="preserve"> a la autoridad ambiental competente mediante VITAL</w:t>
      </w:r>
      <w:r w:rsidR="00CD1C04" w:rsidRPr="00BD1319">
        <w:rPr>
          <w:spacing w:val="-3"/>
        </w:rPr>
        <w:t xml:space="preserve"> (solución tecnológica en línea y </w:t>
      </w:r>
      <w:r w:rsidRPr="00BD1319">
        <w:rPr>
          <w:spacing w:val="-3"/>
        </w:rPr>
        <w:t xml:space="preserve">punto de acceso </w:t>
      </w:r>
      <w:r w:rsidR="00CD1C04" w:rsidRPr="00BD1319">
        <w:rPr>
          <w:spacing w:val="-3"/>
        </w:rPr>
        <w:t xml:space="preserve">único </w:t>
      </w:r>
      <w:r w:rsidRPr="00BD1319">
        <w:rPr>
          <w:spacing w:val="-3"/>
        </w:rPr>
        <w:t>a la gestión de trámites regulados en el sector ambiental colombiano</w:t>
      </w:r>
      <w:r w:rsidR="00CD1C04" w:rsidRPr="00BD1319">
        <w:rPr>
          <w:spacing w:val="-3"/>
        </w:rPr>
        <w:t>)</w:t>
      </w:r>
      <w:r w:rsidRPr="00BD1319">
        <w:rPr>
          <w:spacing w:val="-3"/>
        </w:rPr>
        <w:t xml:space="preserve">, se debe </w:t>
      </w:r>
      <w:r w:rsidR="00487867" w:rsidRPr="00BD1319">
        <w:rPr>
          <w:spacing w:val="-3"/>
        </w:rPr>
        <w:t>optimiza</w:t>
      </w:r>
      <w:r w:rsidRPr="00BD1319">
        <w:rPr>
          <w:spacing w:val="-3"/>
        </w:rPr>
        <w:t xml:space="preserve">r </w:t>
      </w:r>
      <w:r w:rsidR="00487867" w:rsidRPr="00BD1319">
        <w:rPr>
          <w:spacing w:val="-3"/>
        </w:rPr>
        <w:t>el tamaño de los archivos</w:t>
      </w:r>
      <w:r w:rsidR="00487867" w:rsidRPr="00BD1319">
        <w:rPr>
          <w:rStyle w:val="Refdenotaalpie"/>
          <w:rFonts w:cs="Arial"/>
          <w:spacing w:val="-3"/>
          <w:lang w:val="es-CO"/>
        </w:rPr>
        <w:footnoteReference w:id="17"/>
      </w:r>
      <w:r w:rsidR="00487867" w:rsidRPr="00BD1319">
        <w:rPr>
          <w:spacing w:val="-3"/>
        </w:rPr>
        <w:t xml:space="preserve"> </w:t>
      </w:r>
      <w:r w:rsidR="00CD1C04" w:rsidRPr="00BD1319">
        <w:rPr>
          <w:spacing w:val="-3"/>
        </w:rPr>
        <w:t xml:space="preserve">y </w:t>
      </w:r>
      <w:r w:rsidR="00487867" w:rsidRPr="00BD1319">
        <w:rPr>
          <w:spacing w:val="-3"/>
        </w:rPr>
        <w:t>tener en cuenta las siguientes consideraciones técnicas al realizar la transferencia</w:t>
      </w:r>
      <w:r w:rsidR="00CD1C04" w:rsidRPr="00BD1319">
        <w:rPr>
          <w:spacing w:val="-3"/>
        </w:rPr>
        <w:t xml:space="preserve"> de información</w:t>
      </w:r>
      <w:r w:rsidR="00487867" w:rsidRPr="00BD1319">
        <w:rPr>
          <w:spacing w:val="-3"/>
        </w:rPr>
        <w:t>:</w:t>
      </w:r>
    </w:p>
    <w:p w14:paraId="4CB1F879" w14:textId="77777777" w:rsidR="00487867" w:rsidRPr="00BD1319" w:rsidRDefault="00487867" w:rsidP="00487867">
      <w:pPr>
        <w:numPr>
          <w:ilvl w:val="12"/>
          <w:numId w:val="0"/>
        </w:numPr>
        <w:tabs>
          <w:tab w:val="left" w:pos="-2268"/>
        </w:tabs>
        <w:suppressAutoHyphens/>
        <w:rPr>
          <w:spacing w:val="-3"/>
        </w:rPr>
      </w:pPr>
    </w:p>
    <w:p w14:paraId="62962879" w14:textId="77777777" w:rsidR="00487867" w:rsidRPr="00BD1319" w:rsidRDefault="00487867" w:rsidP="00487867">
      <w:pPr>
        <w:numPr>
          <w:ilvl w:val="0"/>
          <w:numId w:val="36"/>
        </w:numPr>
        <w:tabs>
          <w:tab w:val="left" w:pos="-2268"/>
        </w:tabs>
        <w:suppressAutoHyphens/>
        <w:ind w:left="567" w:hanging="567"/>
        <w:rPr>
          <w:spacing w:val="-3"/>
        </w:rPr>
      </w:pPr>
      <w:r w:rsidRPr="00BD1319">
        <w:rPr>
          <w:spacing w:val="-3"/>
        </w:rPr>
        <w:t>Contar con un canal de internet banda ancha con mínimo 3 Megas disponibles.</w:t>
      </w:r>
    </w:p>
    <w:p w14:paraId="359BA717" w14:textId="77777777" w:rsidR="00487867" w:rsidRPr="00BD1319" w:rsidRDefault="00487867" w:rsidP="00487867">
      <w:pPr>
        <w:tabs>
          <w:tab w:val="left" w:pos="-2268"/>
        </w:tabs>
        <w:suppressAutoHyphens/>
        <w:rPr>
          <w:spacing w:val="-3"/>
        </w:rPr>
      </w:pPr>
    </w:p>
    <w:p w14:paraId="2F65DDDF" w14:textId="4A2058EB" w:rsidR="00487867" w:rsidRPr="00BD1319" w:rsidRDefault="00487867" w:rsidP="00FE27CB">
      <w:pPr>
        <w:numPr>
          <w:ilvl w:val="0"/>
          <w:numId w:val="36"/>
        </w:numPr>
        <w:tabs>
          <w:tab w:val="left" w:pos="-2268"/>
        </w:tabs>
        <w:suppressAutoHyphens/>
        <w:ind w:left="567" w:hanging="567"/>
        <w:rPr>
          <w:spacing w:val="-3"/>
        </w:rPr>
      </w:pPr>
      <w:r w:rsidRPr="00BD1319">
        <w:rPr>
          <w:spacing w:val="-3"/>
        </w:rPr>
        <w:t xml:space="preserve">Disminuir o restringir el canal de internet con el acceso a sitios web que contengan </w:t>
      </w:r>
      <w:proofErr w:type="spellStart"/>
      <w:r w:rsidRPr="00BD1319">
        <w:rPr>
          <w:spacing w:val="-3"/>
        </w:rPr>
        <w:t>streaming</w:t>
      </w:r>
      <w:proofErr w:type="spellEnd"/>
      <w:r w:rsidRPr="00BD1319">
        <w:rPr>
          <w:spacing w:val="-3"/>
        </w:rPr>
        <w:t xml:space="preserve"> (</w:t>
      </w:r>
      <w:r w:rsidR="00F51869" w:rsidRPr="00BD1319">
        <w:rPr>
          <w:spacing w:val="-3"/>
        </w:rPr>
        <w:t>YouTube</w:t>
      </w:r>
      <w:r w:rsidRPr="00BD1319">
        <w:rPr>
          <w:spacing w:val="-3"/>
        </w:rPr>
        <w:t>, emisoras on-line), redes sociales y multimedia (Facebook, Instagram, otros).</w:t>
      </w:r>
    </w:p>
    <w:p w14:paraId="71FD768C" w14:textId="77777777" w:rsidR="00487867" w:rsidRPr="00BD1319" w:rsidRDefault="00487867" w:rsidP="00487867">
      <w:pPr>
        <w:tabs>
          <w:tab w:val="left" w:pos="-2268"/>
        </w:tabs>
        <w:suppressAutoHyphens/>
        <w:rPr>
          <w:spacing w:val="-3"/>
        </w:rPr>
      </w:pPr>
    </w:p>
    <w:p w14:paraId="23B9BE17" w14:textId="5F48E3E3" w:rsidR="00487867" w:rsidRPr="00BD1319" w:rsidRDefault="00CD1C04" w:rsidP="00FE27CB">
      <w:pPr>
        <w:numPr>
          <w:ilvl w:val="0"/>
          <w:numId w:val="36"/>
        </w:numPr>
        <w:tabs>
          <w:tab w:val="left" w:pos="-2268"/>
        </w:tabs>
        <w:suppressAutoHyphens/>
        <w:ind w:left="567" w:hanging="567"/>
        <w:rPr>
          <w:spacing w:val="-3"/>
        </w:rPr>
      </w:pPr>
      <w:r w:rsidRPr="00BD1319">
        <w:rPr>
          <w:spacing w:val="-3"/>
        </w:rPr>
        <w:t xml:space="preserve">Evitar el </w:t>
      </w:r>
      <w:r w:rsidR="00487867" w:rsidRPr="00BD1319">
        <w:rPr>
          <w:spacing w:val="-3"/>
        </w:rPr>
        <w:t>us</w:t>
      </w:r>
      <w:r w:rsidRPr="00BD1319">
        <w:rPr>
          <w:spacing w:val="-3"/>
        </w:rPr>
        <w:t xml:space="preserve">o de </w:t>
      </w:r>
      <w:r w:rsidR="00487867" w:rsidRPr="00BD1319">
        <w:rPr>
          <w:spacing w:val="-3"/>
        </w:rPr>
        <w:t>redes inalámbricas (</w:t>
      </w:r>
      <w:proofErr w:type="spellStart"/>
      <w:r w:rsidR="00487867" w:rsidRPr="00BD1319">
        <w:rPr>
          <w:spacing w:val="-3"/>
        </w:rPr>
        <w:t>WiFi</w:t>
      </w:r>
      <w:proofErr w:type="spellEnd"/>
      <w:r w:rsidR="00487867" w:rsidRPr="00BD1319">
        <w:rPr>
          <w:spacing w:val="-3"/>
        </w:rPr>
        <w:t>).</w:t>
      </w:r>
    </w:p>
    <w:p w14:paraId="37A9F1E6" w14:textId="77777777" w:rsidR="00A101A4" w:rsidRPr="00BD1319" w:rsidRDefault="00A101A4">
      <w:pPr>
        <w:numPr>
          <w:ilvl w:val="12"/>
          <w:numId w:val="0"/>
        </w:numPr>
        <w:tabs>
          <w:tab w:val="left" w:pos="-2268"/>
        </w:tabs>
        <w:suppressAutoHyphens/>
        <w:rPr>
          <w:spacing w:val="-3"/>
        </w:rPr>
      </w:pPr>
    </w:p>
    <w:p w14:paraId="0DB1D09C" w14:textId="77777777" w:rsidR="00A101A4" w:rsidRPr="00BD1319" w:rsidRDefault="00A101A4" w:rsidP="00216955">
      <w:pPr>
        <w:pStyle w:val="Ttulo3"/>
      </w:pPr>
      <w:bookmarkStart w:id="1969" w:name="_Toc42353717"/>
      <w:bookmarkStart w:id="1970" w:name="_Toc175326677"/>
      <w:r w:rsidRPr="00BD1319">
        <w:t>Horarios de atención y canal de internet</w:t>
      </w:r>
      <w:bookmarkEnd w:id="1969"/>
      <w:bookmarkEnd w:id="1970"/>
    </w:p>
    <w:p w14:paraId="799CB228" w14:textId="77777777" w:rsidR="00A101A4" w:rsidRPr="00BD1319" w:rsidRDefault="00A101A4">
      <w:pPr>
        <w:numPr>
          <w:ilvl w:val="12"/>
          <w:numId w:val="0"/>
        </w:numPr>
        <w:tabs>
          <w:tab w:val="left" w:pos="-2268"/>
        </w:tabs>
        <w:suppressAutoHyphens/>
        <w:rPr>
          <w:spacing w:val="-3"/>
        </w:rPr>
      </w:pPr>
    </w:p>
    <w:p w14:paraId="0B6B9F4C" w14:textId="606F62DB" w:rsidR="00A101A4" w:rsidRPr="00BD1319" w:rsidRDefault="00A101A4">
      <w:pPr>
        <w:numPr>
          <w:ilvl w:val="12"/>
          <w:numId w:val="0"/>
        </w:numPr>
        <w:tabs>
          <w:tab w:val="left" w:pos="-2268"/>
        </w:tabs>
        <w:suppressAutoHyphens/>
        <w:rPr>
          <w:spacing w:val="-3"/>
        </w:rPr>
      </w:pPr>
      <w:r w:rsidRPr="00BD1319">
        <w:rPr>
          <w:spacing w:val="-3"/>
        </w:rPr>
        <w:t>Para las solicitudes o informes cuya transmisión de información supere 1 gigabyte, se recomienda realizar la transferencia en periodos de operación moderada</w:t>
      </w:r>
      <w:r w:rsidR="00F45C31" w:rsidRPr="00BD1319">
        <w:rPr>
          <w:spacing w:val="-3"/>
        </w:rPr>
        <w:t>,</w:t>
      </w:r>
      <w:r w:rsidRPr="00BD1319">
        <w:rPr>
          <w:spacing w:val="-3"/>
        </w:rPr>
        <w:t xml:space="preserve"> como lo </w:t>
      </w:r>
      <w:r w:rsidR="00F45C31" w:rsidRPr="00BD1319">
        <w:rPr>
          <w:spacing w:val="-3"/>
        </w:rPr>
        <w:t xml:space="preserve">son </w:t>
      </w:r>
      <w:r w:rsidRPr="00BD1319">
        <w:rPr>
          <w:spacing w:val="-3"/>
        </w:rPr>
        <w:t>el inicio de la mañana, mediodía o finales de la tarde, ya que el crecimiento exponencial del volumen de transacciones de datos</w:t>
      </w:r>
      <w:r w:rsidR="00F45C31" w:rsidRPr="00BD1319">
        <w:rPr>
          <w:spacing w:val="-3"/>
        </w:rPr>
        <w:t>,</w:t>
      </w:r>
      <w:r w:rsidRPr="00BD1319">
        <w:rPr>
          <w:spacing w:val="-3"/>
        </w:rPr>
        <w:t xml:space="preserve"> la necesidad de proporcionar acceso continuo al sistema </w:t>
      </w:r>
      <w:r w:rsidR="00F45C31" w:rsidRPr="00BD1319">
        <w:rPr>
          <w:spacing w:val="-3"/>
        </w:rPr>
        <w:t xml:space="preserve">y las especificaciones del canal de comunicación establecido desde el punto emisor de la transferencia, </w:t>
      </w:r>
      <w:r w:rsidRPr="00BD1319">
        <w:rPr>
          <w:spacing w:val="-3"/>
        </w:rPr>
        <w:t>puede</w:t>
      </w:r>
      <w:r w:rsidR="00F45C31" w:rsidRPr="00BD1319">
        <w:rPr>
          <w:spacing w:val="-3"/>
        </w:rPr>
        <w:t>n</w:t>
      </w:r>
      <w:r w:rsidRPr="00BD1319">
        <w:rPr>
          <w:spacing w:val="-3"/>
        </w:rPr>
        <w:t xml:space="preserve"> </w:t>
      </w:r>
      <w:r w:rsidR="00BD4398" w:rsidRPr="00BD1319">
        <w:rPr>
          <w:spacing w:val="-3"/>
        </w:rPr>
        <w:t xml:space="preserve">ocasionar </w:t>
      </w:r>
      <w:r w:rsidRPr="00BD1319">
        <w:rPr>
          <w:spacing w:val="-3"/>
        </w:rPr>
        <w:t>que se prolongue el procedimiento de carga de archivos</w:t>
      </w:r>
      <w:r w:rsidR="00F45C31" w:rsidRPr="00BD1319">
        <w:rPr>
          <w:spacing w:val="-3"/>
        </w:rPr>
        <w:t>.</w:t>
      </w:r>
      <w:r w:rsidRPr="00BD1319">
        <w:rPr>
          <w:spacing w:val="-3"/>
        </w:rPr>
        <w:t xml:space="preserve"> </w:t>
      </w:r>
      <w:r w:rsidR="00F45C31" w:rsidRPr="00BD1319">
        <w:rPr>
          <w:spacing w:val="-3"/>
        </w:rPr>
        <w:t>A</w:t>
      </w:r>
      <w:r w:rsidRPr="00BD1319">
        <w:rPr>
          <w:spacing w:val="-3"/>
        </w:rPr>
        <w:t>simismo</w:t>
      </w:r>
      <w:r w:rsidR="004424D0" w:rsidRPr="00BD1319">
        <w:rPr>
          <w:spacing w:val="-3"/>
        </w:rPr>
        <w:t>,</w:t>
      </w:r>
      <w:r w:rsidRPr="00BD1319">
        <w:rPr>
          <w:spacing w:val="-3"/>
        </w:rPr>
        <w:t xml:space="preserve"> se recomienda cerrar </w:t>
      </w:r>
      <w:r w:rsidR="00F45C31" w:rsidRPr="00BD1319">
        <w:rPr>
          <w:spacing w:val="-3"/>
        </w:rPr>
        <w:t xml:space="preserve">otras </w:t>
      </w:r>
      <w:r w:rsidRPr="00BD1319">
        <w:rPr>
          <w:spacing w:val="-3"/>
        </w:rPr>
        <w:t xml:space="preserve">aplicaciones o exploradores en uso, con el fin de disminuir la alteración, saturación o consumo del canal de internet y dedicarlo exclusivamente </w:t>
      </w:r>
      <w:r w:rsidR="00F45C31" w:rsidRPr="00BD1319">
        <w:rPr>
          <w:spacing w:val="-3"/>
        </w:rPr>
        <w:t xml:space="preserve">a la ejecución de </w:t>
      </w:r>
      <w:r w:rsidRPr="00BD1319">
        <w:rPr>
          <w:spacing w:val="-3"/>
        </w:rPr>
        <w:t xml:space="preserve">la solicitud </w:t>
      </w:r>
      <w:r w:rsidR="00F45C31" w:rsidRPr="00BD1319">
        <w:rPr>
          <w:spacing w:val="-3"/>
        </w:rPr>
        <w:t xml:space="preserve">ambiental </w:t>
      </w:r>
      <w:r w:rsidRPr="00BD1319">
        <w:rPr>
          <w:spacing w:val="-3"/>
        </w:rPr>
        <w:t>en línea.</w:t>
      </w:r>
    </w:p>
    <w:p w14:paraId="3ACAD657" w14:textId="77777777" w:rsidR="00A101A4" w:rsidRPr="00BD1319" w:rsidRDefault="00A101A4">
      <w:pPr>
        <w:numPr>
          <w:ilvl w:val="12"/>
          <w:numId w:val="0"/>
        </w:numPr>
        <w:tabs>
          <w:tab w:val="left" w:pos="-2268"/>
        </w:tabs>
        <w:suppressAutoHyphens/>
        <w:rPr>
          <w:spacing w:val="-3"/>
        </w:rPr>
      </w:pPr>
    </w:p>
    <w:p w14:paraId="128D9622" w14:textId="5BFEBF67" w:rsidR="00A101A4" w:rsidRPr="00BD1319" w:rsidRDefault="00566404">
      <w:pPr>
        <w:numPr>
          <w:ilvl w:val="12"/>
          <w:numId w:val="0"/>
        </w:numPr>
        <w:tabs>
          <w:tab w:val="left" w:pos="-2268"/>
        </w:tabs>
        <w:suppressAutoHyphens/>
        <w:rPr>
          <w:spacing w:val="-3"/>
        </w:rPr>
      </w:pPr>
      <w:r w:rsidRPr="00BD1319">
        <w:rPr>
          <w:spacing w:val="-3"/>
        </w:rPr>
        <w:t>En caso</w:t>
      </w:r>
      <w:r w:rsidRPr="00BD1319">
        <w:rPr>
          <w:rFonts w:cs="Arial"/>
          <w:spacing w:val="-3"/>
        </w:rPr>
        <w:t xml:space="preserve"> de</w:t>
      </w:r>
      <w:r w:rsidRPr="00BD1319">
        <w:rPr>
          <w:spacing w:val="-3"/>
        </w:rPr>
        <w:t xml:space="preserve"> </w:t>
      </w:r>
      <w:r w:rsidR="00A101A4" w:rsidRPr="00BD1319">
        <w:rPr>
          <w:spacing w:val="-3"/>
        </w:rPr>
        <w:t>requ</w:t>
      </w:r>
      <w:r w:rsidR="00A01691" w:rsidRPr="00BD1319">
        <w:rPr>
          <w:spacing w:val="-3"/>
        </w:rPr>
        <w:t>erir</w:t>
      </w:r>
      <w:r w:rsidR="00A101A4" w:rsidRPr="00BD1319">
        <w:rPr>
          <w:spacing w:val="-3"/>
        </w:rPr>
        <w:t xml:space="preserve"> soporte o ayuda en el cargue y radicación de información, es posible </w:t>
      </w:r>
      <w:r w:rsidR="00F45C31" w:rsidRPr="00BD1319">
        <w:rPr>
          <w:spacing w:val="-3"/>
        </w:rPr>
        <w:t xml:space="preserve">acudir a </w:t>
      </w:r>
      <w:r w:rsidR="00A101A4" w:rsidRPr="00BD1319">
        <w:rPr>
          <w:spacing w:val="-3"/>
        </w:rPr>
        <w:t xml:space="preserve">la oficina de atención al usuario de la autoridad ambiental </w:t>
      </w:r>
      <w:r w:rsidR="00F45C31" w:rsidRPr="00BD1319">
        <w:rPr>
          <w:spacing w:val="-3"/>
        </w:rPr>
        <w:t xml:space="preserve">competente </w:t>
      </w:r>
      <w:r w:rsidR="00A101A4" w:rsidRPr="00BD1319">
        <w:rPr>
          <w:spacing w:val="-3"/>
        </w:rPr>
        <w:t xml:space="preserve">para recibir apoyo </w:t>
      </w:r>
      <w:r w:rsidR="00F45C31" w:rsidRPr="00BD1319">
        <w:rPr>
          <w:spacing w:val="-3"/>
        </w:rPr>
        <w:t>técnico</w:t>
      </w:r>
      <w:r w:rsidR="00A101A4" w:rsidRPr="00BD1319">
        <w:rPr>
          <w:spacing w:val="-3"/>
        </w:rPr>
        <w:t>.</w:t>
      </w:r>
    </w:p>
    <w:p w14:paraId="64022A03" w14:textId="77777777" w:rsidR="00DF6D4D" w:rsidRPr="00BD1319" w:rsidRDefault="00DF6D4D" w:rsidP="00A101A4">
      <w:pPr>
        <w:overflowPunct/>
        <w:autoSpaceDE/>
        <w:autoSpaceDN/>
        <w:adjustRightInd/>
        <w:textAlignment w:val="auto"/>
        <w:rPr>
          <w:spacing w:val="-3"/>
        </w:rPr>
      </w:pPr>
    </w:p>
    <w:p w14:paraId="5CC5579D" w14:textId="5701C249" w:rsidR="00A101A4" w:rsidRPr="00BD1319" w:rsidRDefault="00A101A4" w:rsidP="00A101A4">
      <w:pPr>
        <w:overflowPunct/>
        <w:autoSpaceDE/>
        <w:autoSpaceDN/>
        <w:adjustRightInd/>
        <w:textAlignment w:val="auto"/>
        <w:rPr>
          <w:spacing w:val="-3"/>
        </w:rPr>
      </w:pPr>
    </w:p>
    <w:p w14:paraId="50052435" w14:textId="77777777" w:rsidR="00A101A4" w:rsidRPr="00BD1319" w:rsidRDefault="00A101A4" w:rsidP="00456AB1">
      <w:pPr>
        <w:pStyle w:val="Ttulo1"/>
        <w:numPr>
          <w:ilvl w:val="0"/>
          <w:numId w:val="7"/>
        </w:numPr>
        <w:rPr>
          <w:lang w:val="es-CO"/>
        </w:rPr>
      </w:pPr>
      <w:bookmarkStart w:id="1971" w:name="_Toc42353718"/>
      <w:bookmarkStart w:id="1972" w:name="_Ref82532631"/>
      <w:bookmarkStart w:id="1973" w:name="_Toc175326678"/>
      <w:r w:rsidRPr="00BD1319">
        <w:rPr>
          <w:lang w:val="es-CO"/>
        </w:rPr>
        <w:t>ESPECIFICACIONES PARA LA PRESENTACIÓN DE LA INFORMACIÓN GEOGRÁFICA Y CARTOGRÁFICA</w:t>
      </w:r>
      <w:bookmarkEnd w:id="1971"/>
      <w:bookmarkEnd w:id="1972"/>
      <w:bookmarkEnd w:id="1973"/>
    </w:p>
    <w:p w14:paraId="704AF20C" w14:textId="77777777" w:rsidR="00A101A4" w:rsidRPr="00BD1319" w:rsidRDefault="00A101A4">
      <w:pPr>
        <w:numPr>
          <w:ilvl w:val="12"/>
          <w:numId w:val="0"/>
        </w:numPr>
        <w:tabs>
          <w:tab w:val="left" w:pos="-2268"/>
        </w:tabs>
        <w:suppressAutoHyphens/>
        <w:rPr>
          <w:spacing w:val="-3"/>
        </w:rPr>
      </w:pPr>
    </w:p>
    <w:p w14:paraId="0634ACAD" w14:textId="425D35F3" w:rsidR="00A101A4" w:rsidRPr="00BD1319" w:rsidRDefault="00A101A4">
      <w:pPr>
        <w:numPr>
          <w:ilvl w:val="12"/>
          <w:numId w:val="0"/>
        </w:numPr>
        <w:tabs>
          <w:tab w:val="left" w:pos="-2268"/>
        </w:tabs>
        <w:suppressAutoHyphens/>
        <w:rPr>
          <w:spacing w:val="-3"/>
        </w:rPr>
      </w:pPr>
      <w:r w:rsidRPr="00BD1319">
        <w:rPr>
          <w:spacing w:val="-3"/>
        </w:rPr>
        <w:t xml:space="preserve">El propósito de este numeral es establecer las normas mínimas que se deben cumplir en el proceso de captura y estructuración de la información geográfica de acuerdo </w:t>
      </w:r>
      <w:r w:rsidRPr="00BD1319">
        <w:rPr>
          <w:rFonts w:cs="Arial"/>
          <w:spacing w:val="-3"/>
        </w:rPr>
        <w:t>con</w:t>
      </w:r>
      <w:r w:rsidRPr="00BD1319">
        <w:rPr>
          <w:spacing w:val="-3"/>
        </w:rPr>
        <w:t xml:space="preserve"> las políticas y estándares oficiales vigentes.</w:t>
      </w:r>
    </w:p>
    <w:p w14:paraId="2DD11522" w14:textId="77777777" w:rsidR="00A101A4" w:rsidRPr="00BD1319" w:rsidRDefault="00A101A4">
      <w:pPr>
        <w:numPr>
          <w:ilvl w:val="12"/>
          <w:numId w:val="0"/>
        </w:numPr>
        <w:tabs>
          <w:tab w:val="left" w:pos="-2268"/>
        </w:tabs>
        <w:suppressAutoHyphens/>
        <w:rPr>
          <w:spacing w:val="-3"/>
        </w:rPr>
      </w:pPr>
    </w:p>
    <w:p w14:paraId="49247A3D" w14:textId="6D7BE5D5" w:rsidR="00A101A4" w:rsidRPr="00BD1319" w:rsidRDefault="00A101A4">
      <w:pPr>
        <w:numPr>
          <w:ilvl w:val="12"/>
          <w:numId w:val="0"/>
        </w:numPr>
        <w:tabs>
          <w:tab w:val="left" w:pos="-2268"/>
        </w:tabs>
        <w:suppressAutoHyphens/>
        <w:rPr>
          <w:spacing w:val="-3"/>
        </w:rPr>
      </w:pPr>
      <w:r w:rsidRPr="00BD1319">
        <w:rPr>
          <w:spacing w:val="-3"/>
        </w:rPr>
        <w:t>Adicionalmente</w:t>
      </w:r>
      <w:r w:rsidR="00E91D20" w:rsidRPr="00BD1319">
        <w:rPr>
          <w:spacing w:val="-3"/>
        </w:rPr>
        <w:t>,</w:t>
      </w:r>
      <w:r w:rsidRPr="00BD1319">
        <w:rPr>
          <w:spacing w:val="-3"/>
        </w:rPr>
        <w:t xml:space="preserve"> y como complemento al presente </w:t>
      </w:r>
      <w:r w:rsidR="00727968" w:rsidRPr="00BD1319">
        <w:rPr>
          <w:spacing w:val="-3"/>
        </w:rPr>
        <w:t>numeral,</w:t>
      </w:r>
      <w:r w:rsidRPr="00BD1319">
        <w:rPr>
          <w:spacing w:val="-3"/>
        </w:rPr>
        <w:t xml:space="preserve"> se debe</w:t>
      </w:r>
      <w:r w:rsidR="00727968" w:rsidRPr="00BD1319">
        <w:rPr>
          <w:spacing w:val="-3"/>
        </w:rPr>
        <w:t xml:space="preserve"> dar cumplimiento </w:t>
      </w:r>
      <w:r w:rsidR="00727968" w:rsidRPr="00BD1319">
        <w:rPr>
          <w:rFonts w:cs="Arial"/>
          <w:spacing w:val="-3"/>
        </w:rPr>
        <w:t xml:space="preserve">a lo establecido </w:t>
      </w:r>
      <w:r w:rsidRPr="00BD1319">
        <w:rPr>
          <w:rFonts w:cs="Arial"/>
          <w:spacing w:val="-3"/>
        </w:rPr>
        <w:t xml:space="preserve">en la Resolución 2182 </w:t>
      </w:r>
      <w:r w:rsidRPr="00BD1319">
        <w:rPr>
          <w:spacing w:val="-3"/>
        </w:rPr>
        <w:t xml:space="preserve">de </w:t>
      </w:r>
      <w:r w:rsidRPr="00BD1319">
        <w:rPr>
          <w:rFonts w:cs="Arial"/>
          <w:spacing w:val="-3"/>
        </w:rPr>
        <w:t>2016, o aquella norma que la modifique o sustituya, frente al</w:t>
      </w:r>
      <w:r w:rsidRPr="00BD1319">
        <w:rPr>
          <w:spacing w:val="-3"/>
        </w:rPr>
        <w:t xml:space="preserve"> diligenciamiento y presentación del Modelo de </w:t>
      </w:r>
      <w:r w:rsidRPr="00BD1319">
        <w:rPr>
          <w:rFonts w:cs="Arial"/>
          <w:spacing w:val="-3"/>
        </w:rPr>
        <w:t>Almacenamiento Geográfico</w:t>
      </w:r>
      <w:r w:rsidR="00727968" w:rsidRPr="00BD1319">
        <w:rPr>
          <w:rFonts w:cs="Arial"/>
          <w:spacing w:val="-3"/>
        </w:rPr>
        <w:t xml:space="preserve"> (MAG)</w:t>
      </w:r>
      <w:r w:rsidRPr="00BD1319">
        <w:rPr>
          <w:spacing w:val="-3"/>
        </w:rPr>
        <w:t xml:space="preserve">, </w:t>
      </w:r>
      <w:r w:rsidR="00727968" w:rsidRPr="00BD1319">
        <w:rPr>
          <w:spacing w:val="-3"/>
        </w:rPr>
        <w:t xml:space="preserve">siguiendo sus </w:t>
      </w:r>
      <w:r w:rsidRPr="00BD1319">
        <w:rPr>
          <w:spacing w:val="-3"/>
        </w:rPr>
        <w:t xml:space="preserve">directrices en relación </w:t>
      </w:r>
      <w:r w:rsidRPr="00BD1319">
        <w:rPr>
          <w:rFonts w:cs="Arial"/>
          <w:spacing w:val="-3"/>
        </w:rPr>
        <w:t>con el</w:t>
      </w:r>
      <w:r w:rsidRPr="00BD1319">
        <w:rPr>
          <w:spacing w:val="-3"/>
        </w:rPr>
        <w:t xml:space="preserve"> uso, desarrollo, diligenciamiento, estructuración y presentación de la información espacial </w:t>
      </w:r>
      <w:r w:rsidRPr="00BD1319">
        <w:rPr>
          <w:rFonts w:cs="Arial"/>
          <w:spacing w:val="-3"/>
        </w:rPr>
        <w:t xml:space="preserve">asociada </w:t>
      </w:r>
      <w:r w:rsidR="002159C2" w:rsidRPr="00BD1319">
        <w:rPr>
          <w:rFonts w:cs="Arial"/>
          <w:spacing w:val="-3"/>
        </w:rPr>
        <w:t>a</w:t>
      </w:r>
      <w:r w:rsidRPr="00BD1319">
        <w:rPr>
          <w:rFonts w:cs="Arial"/>
          <w:spacing w:val="-3"/>
        </w:rPr>
        <w:t>l estudio ambiental</w:t>
      </w:r>
      <w:r w:rsidRPr="00BD1319">
        <w:rPr>
          <w:spacing w:val="-3"/>
        </w:rPr>
        <w:t>.</w:t>
      </w:r>
    </w:p>
    <w:p w14:paraId="17725B8A" w14:textId="77777777" w:rsidR="00A101A4" w:rsidRPr="00BD1319" w:rsidRDefault="00A101A4">
      <w:pPr>
        <w:numPr>
          <w:ilvl w:val="12"/>
          <w:numId w:val="0"/>
        </w:numPr>
        <w:tabs>
          <w:tab w:val="left" w:pos="-2268"/>
        </w:tabs>
        <w:suppressAutoHyphens/>
        <w:rPr>
          <w:spacing w:val="-3"/>
        </w:rPr>
      </w:pPr>
    </w:p>
    <w:p w14:paraId="192E8DC2" w14:textId="77777777" w:rsidR="00A101A4" w:rsidRPr="00BD1319" w:rsidRDefault="00A101A4" w:rsidP="0068149C">
      <w:pPr>
        <w:pStyle w:val="Ttulo2"/>
        <w:rPr>
          <w:lang w:val="es-CO"/>
        </w:rPr>
      </w:pPr>
      <w:bookmarkStart w:id="1974" w:name="_Toc42353719"/>
      <w:bookmarkStart w:id="1975" w:name="_Toc175326679"/>
      <w:r w:rsidRPr="00BD1319">
        <w:rPr>
          <w:lang w:val="es-CO"/>
        </w:rPr>
        <w:t>CAPTURA DE INFORMACIÓN</w:t>
      </w:r>
      <w:bookmarkEnd w:id="1974"/>
      <w:bookmarkEnd w:id="1975"/>
    </w:p>
    <w:p w14:paraId="2A01100A" w14:textId="77777777" w:rsidR="00A101A4" w:rsidRPr="00BD1319" w:rsidRDefault="00A101A4">
      <w:pPr>
        <w:numPr>
          <w:ilvl w:val="12"/>
          <w:numId w:val="0"/>
        </w:numPr>
        <w:tabs>
          <w:tab w:val="left" w:pos="-2268"/>
        </w:tabs>
        <w:suppressAutoHyphens/>
        <w:rPr>
          <w:spacing w:val="-3"/>
        </w:rPr>
      </w:pPr>
    </w:p>
    <w:p w14:paraId="05D10AD4" w14:textId="6D606AB2" w:rsidR="00A101A4" w:rsidRPr="00BD1319" w:rsidRDefault="00A101A4">
      <w:pPr>
        <w:numPr>
          <w:ilvl w:val="12"/>
          <w:numId w:val="0"/>
        </w:numPr>
        <w:tabs>
          <w:tab w:val="left" w:pos="-2268"/>
        </w:tabs>
        <w:suppressAutoHyphens/>
        <w:rPr>
          <w:spacing w:val="-3"/>
        </w:rPr>
      </w:pPr>
      <w:r w:rsidRPr="00BD1319">
        <w:rPr>
          <w:spacing w:val="-3"/>
        </w:rPr>
        <w:t>Para una correcta representación cartográfica de los objetos de interés, es decir, de toda la información que se represente mediante algún tipo de geometría (punto, línea o polígono) en la cartografía básica y temática</w:t>
      </w:r>
      <w:r w:rsidR="00F61C44" w:rsidRPr="00BD1319">
        <w:rPr>
          <w:spacing w:val="-3"/>
        </w:rPr>
        <w:t xml:space="preserve"> asociada a los estudios ambientales</w:t>
      </w:r>
      <w:r w:rsidRPr="00BD1319">
        <w:rPr>
          <w:spacing w:val="-3"/>
        </w:rPr>
        <w:t xml:space="preserve">, se deben seguir los siguientes </w:t>
      </w:r>
      <w:r w:rsidR="007B4EA4" w:rsidRPr="00BD1319">
        <w:rPr>
          <w:spacing w:val="-3"/>
        </w:rPr>
        <w:t>lineamientos</w:t>
      </w:r>
      <w:r w:rsidRPr="00BD1319">
        <w:rPr>
          <w:spacing w:val="-3"/>
        </w:rPr>
        <w:t>:</w:t>
      </w:r>
    </w:p>
    <w:p w14:paraId="3F992D86" w14:textId="77777777" w:rsidR="00A101A4" w:rsidRPr="00BD1319" w:rsidRDefault="00A101A4">
      <w:pPr>
        <w:numPr>
          <w:ilvl w:val="12"/>
          <w:numId w:val="0"/>
        </w:numPr>
        <w:tabs>
          <w:tab w:val="left" w:pos="-2268"/>
        </w:tabs>
        <w:suppressAutoHyphens/>
        <w:rPr>
          <w:spacing w:val="-3"/>
        </w:rPr>
      </w:pPr>
    </w:p>
    <w:p w14:paraId="72744498" w14:textId="71EC2911" w:rsidR="00A101A4" w:rsidRPr="00BD1319" w:rsidRDefault="00A101A4" w:rsidP="439A4240">
      <w:pPr>
        <w:numPr>
          <w:ilvl w:val="0"/>
          <w:numId w:val="29"/>
        </w:numPr>
        <w:suppressAutoHyphens/>
        <w:ind w:left="567" w:hanging="567"/>
        <w:rPr>
          <w:spacing w:val="-3"/>
        </w:rPr>
      </w:pPr>
      <w:r w:rsidRPr="00BD1319">
        <w:rPr>
          <w:spacing w:val="-3"/>
        </w:rPr>
        <w:t xml:space="preserve">Datum: la información debe tener como Datum el Marco Geocéntrico Nacional de Referencia </w:t>
      </w:r>
      <w:r w:rsidR="00EC20C8" w:rsidRPr="00BD1319">
        <w:rPr>
          <w:spacing w:val="-3"/>
        </w:rPr>
        <w:t>Magna</w:t>
      </w:r>
      <w:r w:rsidRPr="00BD1319">
        <w:rPr>
          <w:spacing w:val="-3"/>
        </w:rPr>
        <w:t>-</w:t>
      </w:r>
      <w:r w:rsidR="00EC20C8" w:rsidRPr="00BD1319">
        <w:rPr>
          <w:spacing w:val="-3"/>
        </w:rPr>
        <w:t>Sirgas</w:t>
      </w:r>
      <w:r w:rsidRPr="00BD1319">
        <w:rPr>
          <w:spacing w:val="-3"/>
        </w:rPr>
        <w:t xml:space="preserve">, asociado al elipsoide GRS80 (Global Reference </w:t>
      </w:r>
      <w:proofErr w:type="spellStart"/>
      <w:r w:rsidRPr="00BD1319">
        <w:rPr>
          <w:spacing w:val="-3"/>
        </w:rPr>
        <w:t>System</w:t>
      </w:r>
      <w:proofErr w:type="spellEnd"/>
      <w:r w:rsidRPr="00BD1319">
        <w:rPr>
          <w:spacing w:val="-3"/>
        </w:rPr>
        <w:t xml:space="preserve"> 1980), conforme lo establece la Resolución 68 de 2005 del IGAC</w:t>
      </w:r>
      <w:r w:rsidRPr="00BD1319">
        <w:rPr>
          <w:rFonts w:cs="Arial"/>
          <w:spacing w:val="-3"/>
        </w:rPr>
        <w:t xml:space="preserve"> o aquella norma que la modifique o sustituya.</w:t>
      </w:r>
      <w:r w:rsidRPr="00BD1319">
        <w:rPr>
          <w:spacing w:val="-3"/>
        </w:rPr>
        <w:t xml:space="preserve"> Los datos o información que se encuentren referidos al Datum Bogotá deben ser transformados a </w:t>
      </w:r>
      <w:r w:rsidR="00EC20C8" w:rsidRPr="00BD1319">
        <w:rPr>
          <w:spacing w:val="-3"/>
        </w:rPr>
        <w:t>Magna</w:t>
      </w:r>
      <w:r w:rsidRPr="00BD1319">
        <w:rPr>
          <w:spacing w:val="-3"/>
        </w:rPr>
        <w:t>-</w:t>
      </w:r>
      <w:r w:rsidR="00EC20C8" w:rsidRPr="00BD1319">
        <w:rPr>
          <w:spacing w:val="-3"/>
        </w:rPr>
        <w:t>Sirgas</w:t>
      </w:r>
      <w:r w:rsidRPr="00BD1319">
        <w:rPr>
          <w:spacing w:val="-3"/>
        </w:rPr>
        <w:t xml:space="preserve">; la transformación de coordenadas se debe realizar </w:t>
      </w:r>
      <w:r w:rsidR="00E91D20" w:rsidRPr="00BD1319">
        <w:rPr>
          <w:spacing w:val="-3"/>
        </w:rPr>
        <w:t>s</w:t>
      </w:r>
      <w:r w:rsidRPr="00BD1319">
        <w:rPr>
          <w:spacing w:val="-3"/>
        </w:rPr>
        <w:t>egún los parámetros establecidos por el IGAC que se encuentran disponibles en su por</w:t>
      </w:r>
      <w:r w:rsidR="0012757C" w:rsidRPr="00BD1319">
        <w:t xml:space="preserve">tal Web </w:t>
      </w:r>
      <w:r w:rsidRPr="00BD1319">
        <w:rPr>
          <w:spacing w:val="-3"/>
        </w:rPr>
        <w:t>(www.igac.gov.co – Trámites y servicios – Servicios – Información geodésica).</w:t>
      </w:r>
    </w:p>
    <w:p w14:paraId="71787007" w14:textId="77777777" w:rsidR="00A101A4" w:rsidRPr="00BD1319" w:rsidRDefault="00A101A4">
      <w:pPr>
        <w:tabs>
          <w:tab w:val="left" w:pos="-2268"/>
        </w:tabs>
        <w:suppressAutoHyphens/>
        <w:rPr>
          <w:spacing w:val="-3"/>
        </w:rPr>
      </w:pPr>
    </w:p>
    <w:p w14:paraId="346EC3A4" w14:textId="0E731A90" w:rsidR="00A101A4" w:rsidRPr="00BD1319" w:rsidRDefault="00A101A4" w:rsidP="000D6E21">
      <w:pPr>
        <w:pStyle w:val="Prrafodelista"/>
        <w:ind w:left="567"/>
      </w:pPr>
      <w:r w:rsidRPr="00BD1319">
        <w:rPr>
          <w:spacing w:val="-3"/>
        </w:rPr>
        <w:t xml:space="preserve">Origen: la información debe ser capturada en origen </w:t>
      </w:r>
      <w:r w:rsidRPr="00BD1319">
        <w:rPr>
          <w:rFonts w:cs="Arial"/>
          <w:spacing w:val="-3"/>
        </w:rPr>
        <w:t>nacional</w:t>
      </w:r>
      <w:r w:rsidRPr="00BD1319">
        <w:rPr>
          <w:spacing w:val="-3"/>
        </w:rPr>
        <w:t xml:space="preserve">, según lo establecido en la Resolución </w:t>
      </w:r>
      <w:r w:rsidR="00F31DF0" w:rsidRPr="00BD1319">
        <w:rPr>
          <w:rFonts w:cs="Arial"/>
          <w:spacing w:val="-3"/>
        </w:rPr>
        <w:t>370</w:t>
      </w:r>
      <w:r w:rsidRPr="00BD1319">
        <w:rPr>
          <w:spacing w:val="-3"/>
        </w:rPr>
        <w:t xml:space="preserve"> de </w:t>
      </w:r>
      <w:r w:rsidRPr="00BD1319">
        <w:rPr>
          <w:rFonts w:cs="Arial"/>
          <w:spacing w:val="-3"/>
        </w:rPr>
        <w:t>202</w:t>
      </w:r>
      <w:r w:rsidR="00F31DF0" w:rsidRPr="00BD1319">
        <w:rPr>
          <w:rFonts w:cs="Arial"/>
          <w:spacing w:val="-3"/>
        </w:rPr>
        <w:t>1</w:t>
      </w:r>
      <w:r w:rsidRPr="00BD1319">
        <w:rPr>
          <w:spacing w:val="-3"/>
        </w:rPr>
        <w:t xml:space="preserve"> del IGAC</w:t>
      </w:r>
      <w:r w:rsidRPr="00BD1319">
        <w:rPr>
          <w:rFonts w:cs="Arial"/>
          <w:spacing w:val="-3"/>
        </w:rPr>
        <w:t>,</w:t>
      </w:r>
      <w:r w:rsidR="007E7041" w:rsidRPr="00BD1319">
        <w:rPr>
          <w:rFonts w:cs="Arial"/>
          <w:spacing w:val="-3"/>
        </w:rPr>
        <w:t xml:space="preserve"> o de acuerdo con lo que defina </w:t>
      </w:r>
      <w:r w:rsidRPr="00BD1319">
        <w:rPr>
          <w:rFonts w:cs="Arial"/>
          <w:spacing w:val="-3"/>
        </w:rPr>
        <w:t>aquella norma que la modifique o su</w:t>
      </w:r>
      <w:r w:rsidRPr="00BD1319">
        <w:t>stituya.</w:t>
      </w:r>
    </w:p>
    <w:p w14:paraId="1854313D" w14:textId="77777777" w:rsidR="00A101A4" w:rsidRPr="00BD1319" w:rsidRDefault="00A101A4" w:rsidP="000D6E21">
      <w:pPr>
        <w:tabs>
          <w:tab w:val="left" w:pos="-2268"/>
        </w:tabs>
        <w:suppressAutoHyphens/>
        <w:ind w:left="567"/>
        <w:rPr>
          <w:spacing w:val="-3"/>
        </w:rPr>
      </w:pPr>
    </w:p>
    <w:p w14:paraId="70F1AFA6" w14:textId="69D0B3DF" w:rsidR="00A101A4" w:rsidRPr="00BD1319" w:rsidRDefault="00A101A4" w:rsidP="000D6E21">
      <w:pPr>
        <w:pStyle w:val="Prrafodelista"/>
        <w:ind w:left="567"/>
        <w:rPr>
          <w:spacing w:val="-3"/>
        </w:rPr>
      </w:pPr>
      <w:r w:rsidRPr="00BD1319">
        <w:rPr>
          <w:spacing w:val="-3"/>
        </w:rPr>
        <w:t>Altura: para esta variable se debe especificar si está referida al elipsoide GRS80 (altura elipsoidal)</w:t>
      </w:r>
      <w:r w:rsidR="00F61C44" w:rsidRPr="00BD1319">
        <w:rPr>
          <w:spacing w:val="-3"/>
        </w:rPr>
        <w:t>,</w:t>
      </w:r>
      <w:r w:rsidRPr="00BD1319">
        <w:rPr>
          <w:spacing w:val="-3"/>
        </w:rPr>
        <w:t xml:space="preserve"> o si está medida a partir de la red de nivelación nacional (altura nivelada).</w:t>
      </w:r>
    </w:p>
    <w:p w14:paraId="02EC5FE1" w14:textId="77777777" w:rsidR="00A101A4" w:rsidRPr="00BD1319" w:rsidRDefault="00A101A4" w:rsidP="000D6E21">
      <w:pPr>
        <w:tabs>
          <w:tab w:val="left" w:pos="-2268"/>
        </w:tabs>
        <w:suppressAutoHyphens/>
        <w:ind w:left="567"/>
        <w:rPr>
          <w:spacing w:val="-3"/>
        </w:rPr>
      </w:pPr>
    </w:p>
    <w:p w14:paraId="4126F5DB" w14:textId="2DE10814" w:rsidR="00A101A4" w:rsidRPr="00BD1319" w:rsidRDefault="00A101A4" w:rsidP="000D6E21">
      <w:pPr>
        <w:pStyle w:val="Prrafodelista"/>
        <w:ind w:left="567"/>
        <w:rPr>
          <w:spacing w:val="-3"/>
        </w:rPr>
      </w:pPr>
      <w:r w:rsidRPr="00BD1319">
        <w:rPr>
          <w:spacing w:val="-3"/>
        </w:rPr>
        <w:lastRenderedPageBreak/>
        <w:t>Precisión: para sobreponer, complementar y ajustar la información colectada en campo sobre cartografía en diferentes escalas, se deben cumplir los siguientes criterios de precisión</w:t>
      </w:r>
      <w:r w:rsidR="00467CE5" w:rsidRPr="00BD1319">
        <w:rPr>
          <w:spacing w:val="-3"/>
        </w:rPr>
        <w:t xml:space="preserve"> (ver </w:t>
      </w:r>
      <w:r w:rsidR="00467CE5" w:rsidRPr="00BD1319">
        <w:rPr>
          <w:spacing w:val="-3"/>
        </w:rPr>
        <w:fldChar w:fldCharType="begin"/>
      </w:r>
      <w:r w:rsidR="00467CE5" w:rsidRPr="00BD1319">
        <w:rPr>
          <w:spacing w:val="-3"/>
        </w:rPr>
        <w:instrText xml:space="preserve"> REF _Ref82531231 \h </w:instrText>
      </w:r>
      <w:r w:rsidR="00BD1319">
        <w:rPr>
          <w:spacing w:val="-3"/>
        </w:rPr>
        <w:instrText xml:space="preserve"> \* MERGEFORMAT </w:instrText>
      </w:r>
      <w:r w:rsidR="00467CE5" w:rsidRPr="00BD1319">
        <w:rPr>
          <w:spacing w:val="-3"/>
        </w:rPr>
      </w:r>
      <w:r w:rsidR="00467CE5" w:rsidRPr="00BD1319">
        <w:rPr>
          <w:spacing w:val="-3"/>
        </w:rPr>
        <w:fldChar w:fldCharType="separate"/>
      </w:r>
      <w:r w:rsidR="00296654" w:rsidRPr="00BD1319">
        <w:t xml:space="preserve">Tabla </w:t>
      </w:r>
      <w:r w:rsidR="00296654" w:rsidRPr="00BD1319">
        <w:rPr>
          <w:noProof/>
        </w:rPr>
        <w:t>8</w:t>
      </w:r>
      <w:r w:rsidR="00467CE5" w:rsidRPr="00BD1319">
        <w:rPr>
          <w:spacing w:val="-3"/>
        </w:rPr>
        <w:fldChar w:fldCharType="end"/>
      </w:r>
      <w:r w:rsidR="00467CE5" w:rsidRPr="00BD1319">
        <w:rPr>
          <w:spacing w:val="-3"/>
        </w:rPr>
        <w:t>).</w:t>
      </w:r>
    </w:p>
    <w:p w14:paraId="0EB2B877" w14:textId="77777777" w:rsidR="00A101A4" w:rsidRPr="00BD1319" w:rsidRDefault="00A101A4">
      <w:pPr>
        <w:tabs>
          <w:tab w:val="left" w:pos="-2268"/>
        </w:tabs>
        <w:suppressAutoHyphens/>
        <w:rPr>
          <w:spacing w:val="-3"/>
        </w:rPr>
      </w:pPr>
    </w:p>
    <w:p w14:paraId="795B78E8" w14:textId="7860518D" w:rsidR="00A101A4" w:rsidRPr="00BD1319" w:rsidRDefault="00A101A4" w:rsidP="00C86DA5">
      <w:pPr>
        <w:pStyle w:val="Descripcin"/>
        <w:jc w:val="center"/>
        <w:rPr>
          <w:b w:val="0"/>
          <w:spacing w:val="-3"/>
        </w:rPr>
      </w:pPr>
      <w:bookmarkStart w:id="1976" w:name="_Ref82531231"/>
      <w:r w:rsidRPr="00BD1319">
        <w:t xml:space="preserve">Tabla </w:t>
      </w:r>
      <w:fldSimple w:instr=" SEQ Tabla \* ARABIC ">
        <w:r w:rsidR="00296654" w:rsidRPr="00BD1319">
          <w:rPr>
            <w:noProof/>
          </w:rPr>
          <w:t>8</w:t>
        </w:r>
      </w:fldSimple>
      <w:bookmarkEnd w:id="1976"/>
      <w:r w:rsidRPr="00BD1319">
        <w:rPr>
          <w:spacing w:val="-3"/>
        </w:rPr>
        <w:t>.</w:t>
      </w:r>
      <w:r w:rsidRPr="00BD1319">
        <w:rPr>
          <w:b w:val="0"/>
          <w:spacing w:val="-3"/>
        </w:rPr>
        <w:t xml:space="preserve"> Escala de error permitido</w:t>
      </w:r>
    </w:p>
    <w:tbl>
      <w:tblPr>
        <w:tblW w:w="53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7"/>
        <w:gridCol w:w="2155"/>
      </w:tblGrid>
      <w:tr w:rsidR="00A101A4" w:rsidRPr="00BD1319" w14:paraId="72FE987F" w14:textId="77777777" w:rsidTr="009420F5">
        <w:trPr>
          <w:trHeight w:hRule="exact" w:val="567"/>
          <w:tblHeader/>
          <w:jc w:val="center"/>
        </w:trPr>
        <w:tc>
          <w:tcPr>
            <w:tcW w:w="3157" w:type="dxa"/>
            <w:shd w:val="clear" w:color="auto" w:fill="auto"/>
            <w:noWrap/>
            <w:vAlign w:val="center"/>
          </w:tcPr>
          <w:p w14:paraId="453A47A7" w14:textId="79690F12" w:rsidR="00A101A4" w:rsidRPr="00BD1319" w:rsidRDefault="000A7E94">
            <w:pPr>
              <w:numPr>
                <w:ilvl w:val="12"/>
                <w:numId w:val="0"/>
              </w:numPr>
              <w:tabs>
                <w:tab w:val="left" w:pos="-2268"/>
              </w:tabs>
              <w:suppressAutoHyphens/>
              <w:jc w:val="center"/>
              <w:rPr>
                <w:b/>
                <w:spacing w:val="-3"/>
                <w:sz w:val="22"/>
              </w:rPr>
            </w:pPr>
            <w:r w:rsidRPr="00BD1319">
              <w:rPr>
                <w:rFonts w:cs="Arial"/>
                <w:b/>
                <w:bCs/>
                <w:spacing w:val="-3"/>
                <w:sz w:val="22"/>
              </w:rPr>
              <w:t>Escala</w:t>
            </w:r>
          </w:p>
        </w:tc>
        <w:tc>
          <w:tcPr>
            <w:tcW w:w="2155" w:type="dxa"/>
            <w:shd w:val="clear" w:color="auto" w:fill="auto"/>
            <w:noWrap/>
            <w:vAlign w:val="center"/>
          </w:tcPr>
          <w:p w14:paraId="67DBB6BE" w14:textId="4E742597" w:rsidR="00A101A4" w:rsidRPr="00BD1319" w:rsidRDefault="000A7E94">
            <w:pPr>
              <w:numPr>
                <w:ilvl w:val="12"/>
                <w:numId w:val="0"/>
              </w:numPr>
              <w:tabs>
                <w:tab w:val="left" w:pos="-2268"/>
              </w:tabs>
              <w:suppressAutoHyphens/>
              <w:jc w:val="center"/>
              <w:rPr>
                <w:b/>
                <w:spacing w:val="-3"/>
                <w:sz w:val="22"/>
              </w:rPr>
            </w:pPr>
            <w:r w:rsidRPr="00BD1319">
              <w:rPr>
                <w:rFonts w:cs="Arial"/>
                <w:b/>
                <w:bCs/>
                <w:spacing w:val="-3"/>
                <w:sz w:val="22"/>
              </w:rPr>
              <w:t>Error máximo</w:t>
            </w:r>
          </w:p>
        </w:tc>
      </w:tr>
      <w:tr w:rsidR="00A101A4" w:rsidRPr="00BD1319" w14:paraId="102DB30E" w14:textId="77777777" w:rsidTr="009420F5">
        <w:trPr>
          <w:trHeight w:val="397"/>
          <w:jc w:val="center"/>
        </w:trPr>
        <w:tc>
          <w:tcPr>
            <w:tcW w:w="3157" w:type="dxa"/>
            <w:noWrap/>
            <w:vAlign w:val="center"/>
            <w:hideMark/>
          </w:tcPr>
          <w:p w14:paraId="2C2D3B8C" w14:textId="58D2FC07" w:rsidR="00A101A4" w:rsidRPr="00BD1319" w:rsidRDefault="00A101A4" w:rsidP="009420F5">
            <w:pPr>
              <w:numPr>
                <w:ilvl w:val="12"/>
                <w:numId w:val="0"/>
              </w:numPr>
              <w:tabs>
                <w:tab w:val="left" w:pos="-2268"/>
              </w:tabs>
              <w:suppressAutoHyphens/>
              <w:ind w:right="1110"/>
              <w:jc w:val="right"/>
              <w:rPr>
                <w:spacing w:val="-3"/>
                <w:sz w:val="22"/>
              </w:rPr>
            </w:pPr>
            <w:r w:rsidRPr="00BD1319">
              <w:rPr>
                <w:spacing w:val="-3"/>
                <w:sz w:val="22"/>
              </w:rPr>
              <w:t>1:</w:t>
            </w:r>
            <w:r w:rsidRPr="00BD1319">
              <w:rPr>
                <w:rFonts w:cs="Arial"/>
                <w:bCs/>
                <w:spacing w:val="-3"/>
                <w:sz w:val="22"/>
              </w:rPr>
              <w:t>5</w:t>
            </w:r>
            <w:r w:rsidRPr="00BD1319">
              <w:rPr>
                <w:spacing w:val="-3"/>
                <w:sz w:val="22"/>
              </w:rPr>
              <w:t>.000</w:t>
            </w:r>
          </w:p>
        </w:tc>
        <w:tc>
          <w:tcPr>
            <w:tcW w:w="2155" w:type="dxa"/>
            <w:noWrap/>
            <w:vAlign w:val="center"/>
            <w:hideMark/>
          </w:tcPr>
          <w:p w14:paraId="5E5223A1" w14:textId="45213248" w:rsidR="00A101A4" w:rsidRPr="00BD1319" w:rsidRDefault="00A101A4" w:rsidP="009420F5">
            <w:pPr>
              <w:numPr>
                <w:ilvl w:val="12"/>
                <w:numId w:val="0"/>
              </w:numPr>
              <w:tabs>
                <w:tab w:val="left" w:pos="-2268"/>
              </w:tabs>
              <w:suppressAutoHyphens/>
              <w:ind w:right="588"/>
              <w:jc w:val="center"/>
              <w:rPr>
                <w:spacing w:val="-3"/>
                <w:sz w:val="22"/>
              </w:rPr>
            </w:pPr>
            <w:r w:rsidRPr="00BD1319">
              <w:rPr>
                <w:rFonts w:cs="Arial"/>
                <w:spacing w:val="-3"/>
                <w:sz w:val="22"/>
              </w:rPr>
              <w:t>2</w:t>
            </w:r>
            <w:r w:rsidR="007E7041" w:rsidRPr="00BD1319">
              <w:rPr>
                <w:rFonts w:cs="Arial"/>
                <w:spacing w:val="-3"/>
                <w:sz w:val="22"/>
              </w:rPr>
              <w:t>,</w:t>
            </w:r>
            <w:r w:rsidRPr="00BD1319">
              <w:rPr>
                <w:rFonts w:cs="Arial"/>
                <w:spacing w:val="-3"/>
                <w:sz w:val="22"/>
              </w:rPr>
              <w:t>6</w:t>
            </w:r>
            <w:r w:rsidRPr="00BD1319">
              <w:rPr>
                <w:spacing w:val="-3"/>
                <w:sz w:val="22"/>
              </w:rPr>
              <w:t xml:space="preserve"> m</w:t>
            </w:r>
          </w:p>
        </w:tc>
      </w:tr>
      <w:tr w:rsidR="00A101A4" w:rsidRPr="00BD1319" w14:paraId="3DB286E8" w14:textId="77777777" w:rsidTr="009420F5">
        <w:trPr>
          <w:trHeight w:val="397"/>
          <w:jc w:val="center"/>
        </w:trPr>
        <w:tc>
          <w:tcPr>
            <w:tcW w:w="3157" w:type="dxa"/>
            <w:noWrap/>
            <w:vAlign w:val="center"/>
            <w:hideMark/>
          </w:tcPr>
          <w:p w14:paraId="443AD237" w14:textId="77777777" w:rsidR="00A101A4" w:rsidRPr="00BD1319" w:rsidRDefault="00A101A4" w:rsidP="009420F5">
            <w:pPr>
              <w:numPr>
                <w:ilvl w:val="12"/>
                <w:numId w:val="0"/>
              </w:numPr>
              <w:tabs>
                <w:tab w:val="left" w:pos="-2268"/>
              </w:tabs>
              <w:suppressAutoHyphens/>
              <w:ind w:right="1110"/>
              <w:jc w:val="right"/>
              <w:rPr>
                <w:spacing w:val="-3"/>
                <w:sz w:val="22"/>
              </w:rPr>
            </w:pPr>
            <w:r w:rsidRPr="00BD1319">
              <w:rPr>
                <w:spacing w:val="-3"/>
                <w:sz w:val="22"/>
              </w:rPr>
              <w:t>1:10.000</w:t>
            </w:r>
          </w:p>
        </w:tc>
        <w:tc>
          <w:tcPr>
            <w:tcW w:w="2155" w:type="dxa"/>
            <w:noWrap/>
            <w:vAlign w:val="center"/>
            <w:hideMark/>
          </w:tcPr>
          <w:p w14:paraId="1F9F4F51" w14:textId="0052B240" w:rsidR="00A101A4" w:rsidRPr="00BD1319" w:rsidRDefault="007E7041" w:rsidP="009420F5">
            <w:pPr>
              <w:numPr>
                <w:ilvl w:val="12"/>
                <w:numId w:val="0"/>
              </w:numPr>
              <w:tabs>
                <w:tab w:val="left" w:pos="-2268"/>
              </w:tabs>
              <w:suppressAutoHyphens/>
              <w:ind w:right="588"/>
              <w:jc w:val="center"/>
              <w:rPr>
                <w:spacing w:val="-3"/>
                <w:sz w:val="22"/>
              </w:rPr>
            </w:pPr>
            <w:r w:rsidRPr="00BD1319">
              <w:rPr>
                <w:rFonts w:cs="Arial"/>
                <w:spacing w:val="-3"/>
                <w:sz w:val="22"/>
              </w:rPr>
              <w:t>5,</w:t>
            </w:r>
            <w:r w:rsidR="00A101A4" w:rsidRPr="00BD1319">
              <w:rPr>
                <w:spacing w:val="-3"/>
                <w:sz w:val="22"/>
              </w:rPr>
              <w:t>2 m</w:t>
            </w:r>
          </w:p>
        </w:tc>
      </w:tr>
      <w:tr w:rsidR="00A101A4" w:rsidRPr="00BD1319" w14:paraId="7FDEDCFF" w14:textId="77777777" w:rsidTr="009420F5">
        <w:trPr>
          <w:trHeight w:val="397"/>
          <w:jc w:val="center"/>
        </w:trPr>
        <w:tc>
          <w:tcPr>
            <w:tcW w:w="3157" w:type="dxa"/>
            <w:noWrap/>
            <w:vAlign w:val="center"/>
            <w:hideMark/>
          </w:tcPr>
          <w:p w14:paraId="04EE39C4" w14:textId="77777777" w:rsidR="00A101A4" w:rsidRPr="00BD1319" w:rsidRDefault="00A101A4" w:rsidP="009420F5">
            <w:pPr>
              <w:numPr>
                <w:ilvl w:val="12"/>
                <w:numId w:val="0"/>
              </w:numPr>
              <w:tabs>
                <w:tab w:val="left" w:pos="-2268"/>
              </w:tabs>
              <w:suppressAutoHyphens/>
              <w:ind w:right="1110"/>
              <w:jc w:val="right"/>
              <w:rPr>
                <w:spacing w:val="-3"/>
                <w:sz w:val="22"/>
              </w:rPr>
            </w:pPr>
            <w:r w:rsidRPr="00BD1319">
              <w:rPr>
                <w:spacing w:val="-3"/>
                <w:sz w:val="22"/>
              </w:rPr>
              <w:t>1:25.000</w:t>
            </w:r>
          </w:p>
        </w:tc>
        <w:tc>
          <w:tcPr>
            <w:tcW w:w="2155" w:type="dxa"/>
            <w:noWrap/>
            <w:vAlign w:val="center"/>
            <w:hideMark/>
          </w:tcPr>
          <w:p w14:paraId="422AD29E" w14:textId="7FC9635E" w:rsidR="00A101A4" w:rsidRPr="00BD1319" w:rsidRDefault="00A101A4" w:rsidP="009420F5">
            <w:pPr>
              <w:numPr>
                <w:ilvl w:val="12"/>
                <w:numId w:val="0"/>
              </w:numPr>
              <w:tabs>
                <w:tab w:val="left" w:pos="-2268"/>
              </w:tabs>
              <w:suppressAutoHyphens/>
              <w:ind w:right="588"/>
              <w:jc w:val="center"/>
              <w:rPr>
                <w:spacing w:val="-3"/>
                <w:sz w:val="22"/>
              </w:rPr>
            </w:pPr>
            <w:r w:rsidRPr="00BD1319">
              <w:rPr>
                <w:rFonts w:cs="Arial"/>
                <w:spacing w:val="-3"/>
                <w:sz w:val="22"/>
              </w:rPr>
              <w:t>13</w:t>
            </w:r>
            <w:r w:rsidR="009322D2" w:rsidRPr="00BD1319">
              <w:rPr>
                <w:rFonts w:cs="Arial"/>
                <w:spacing w:val="-3"/>
                <w:sz w:val="22"/>
              </w:rPr>
              <w:t>,0</w:t>
            </w:r>
            <w:r w:rsidRPr="00BD1319">
              <w:rPr>
                <w:spacing w:val="-3"/>
                <w:sz w:val="22"/>
              </w:rPr>
              <w:t xml:space="preserve"> m</w:t>
            </w:r>
          </w:p>
        </w:tc>
      </w:tr>
      <w:tr w:rsidR="00A101A4" w:rsidRPr="00BD1319" w14:paraId="4016097F" w14:textId="77777777" w:rsidTr="009420F5">
        <w:trPr>
          <w:trHeight w:val="397"/>
          <w:jc w:val="center"/>
        </w:trPr>
        <w:tc>
          <w:tcPr>
            <w:tcW w:w="3157" w:type="dxa"/>
            <w:noWrap/>
            <w:vAlign w:val="center"/>
            <w:hideMark/>
          </w:tcPr>
          <w:p w14:paraId="23D12E88" w14:textId="77777777" w:rsidR="00A101A4" w:rsidRPr="00BD1319" w:rsidRDefault="00A101A4" w:rsidP="009420F5">
            <w:pPr>
              <w:numPr>
                <w:ilvl w:val="12"/>
                <w:numId w:val="0"/>
              </w:numPr>
              <w:tabs>
                <w:tab w:val="left" w:pos="-2268"/>
              </w:tabs>
              <w:suppressAutoHyphens/>
              <w:ind w:right="1110"/>
              <w:jc w:val="right"/>
              <w:rPr>
                <w:spacing w:val="-3"/>
                <w:sz w:val="22"/>
              </w:rPr>
            </w:pPr>
            <w:r w:rsidRPr="00BD1319">
              <w:rPr>
                <w:spacing w:val="-3"/>
                <w:sz w:val="22"/>
              </w:rPr>
              <w:t>1:100.000</w:t>
            </w:r>
          </w:p>
        </w:tc>
        <w:tc>
          <w:tcPr>
            <w:tcW w:w="2155" w:type="dxa"/>
            <w:noWrap/>
            <w:vAlign w:val="center"/>
            <w:hideMark/>
          </w:tcPr>
          <w:p w14:paraId="2AF2CFAE" w14:textId="6BF5FF09" w:rsidR="00A101A4" w:rsidRPr="00BD1319" w:rsidRDefault="00A101A4" w:rsidP="009420F5">
            <w:pPr>
              <w:numPr>
                <w:ilvl w:val="12"/>
                <w:numId w:val="0"/>
              </w:numPr>
              <w:tabs>
                <w:tab w:val="left" w:pos="-2268"/>
              </w:tabs>
              <w:suppressAutoHyphens/>
              <w:ind w:right="588"/>
              <w:jc w:val="center"/>
              <w:rPr>
                <w:spacing w:val="-3"/>
                <w:sz w:val="22"/>
              </w:rPr>
            </w:pPr>
            <w:r w:rsidRPr="00BD1319">
              <w:rPr>
                <w:rFonts w:cs="Arial"/>
                <w:spacing w:val="-3"/>
                <w:sz w:val="22"/>
              </w:rPr>
              <w:t>52</w:t>
            </w:r>
            <w:r w:rsidR="009322D2" w:rsidRPr="00BD1319">
              <w:rPr>
                <w:rFonts w:cs="Arial"/>
                <w:spacing w:val="-3"/>
                <w:sz w:val="22"/>
              </w:rPr>
              <w:t>,0</w:t>
            </w:r>
            <w:r w:rsidRPr="00BD1319">
              <w:rPr>
                <w:spacing w:val="-3"/>
                <w:sz w:val="22"/>
              </w:rPr>
              <w:t xml:space="preserve"> m</w:t>
            </w:r>
          </w:p>
        </w:tc>
      </w:tr>
    </w:tbl>
    <w:p w14:paraId="28772B53" w14:textId="5E729A91" w:rsidR="00A101A4" w:rsidRPr="00BD1319" w:rsidRDefault="00A101A4" w:rsidP="00C86DA5">
      <w:pPr>
        <w:numPr>
          <w:ilvl w:val="12"/>
          <w:numId w:val="0"/>
        </w:numPr>
        <w:tabs>
          <w:tab w:val="left" w:pos="-2268"/>
        </w:tabs>
        <w:suppressAutoHyphens/>
        <w:ind w:left="1985" w:right="2036"/>
        <w:rPr>
          <w:spacing w:val="-3"/>
          <w:sz w:val="20"/>
          <w:szCs w:val="20"/>
        </w:rPr>
      </w:pPr>
      <w:r w:rsidRPr="00BD1319">
        <w:rPr>
          <w:spacing w:val="-3"/>
          <w:sz w:val="20"/>
          <w:szCs w:val="20"/>
        </w:rPr>
        <w:t>Se refiere al error reportado después de ajustar las observaciones de campo mediante mínimos cuadrados</w:t>
      </w:r>
      <w:r w:rsidR="009322D2" w:rsidRPr="00BD1319">
        <w:rPr>
          <w:rStyle w:val="Refdenotaalpie"/>
          <w:spacing w:val="-3"/>
          <w:szCs w:val="20"/>
          <w:lang w:val="es-CO"/>
        </w:rPr>
        <w:footnoteReference w:id="18"/>
      </w:r>
      <w:r w:rsidRPr="00BD1319">
        <w:rPr>
          <w:spacing w:val="-3"/>
          <w:sz w:val="20"/>
          <w:szCs w:val="20"/>
        </w:rPr>
        <w:t>.</w:t>
      </w:r>
    </w:p>
    <w:p w14:paraId="7EC5CEFD" w14:textId="77777777" w:rsidR="00A101A4" w:rsidRPr="00BD1319" w:rsidRDefault="00A101A4">
      <w:pPr>
        <w:numPr>
          <w:ilvl w:val="12"/>
          <w:numId w:val="0"/>
        </w:numPr>
        <w:tabs>
          <w:tab w:val="left" w:pos="-2268"/>
        </w:tabs>
        <w:suppressAutoHyphens/>
        <w:rPr>
          <w:spacing w:val="-3"/>
        </w:rPr>
      </w:pPr>
    </w:p>
    <w:p w14:paraId="05A2B6D3" w14:textId="65AC83EC" w:rsidR="00A101A4" w:rsidRPr="00BD1319" w:rsidRDefault="00A101A4" w:rsidP="00C86DA5">
      <w:pPr>
        <w:numPr>
          <w:ilvl w:val="0"/>
          <w:numId w:val="29"/>
        </w:numPr>
        <w:tabs>
          <w:tab w:val="left" w:pos="-2268"/>
        </w:tabs>
        <w:suppressAutoHyphens/>
        <w:ind w:left="567" w:hanging="567"/>
        <w:rPr>
          <w:spacing w:val="-3"/>
        </w:rPr>
      </w:pPr>
      <w:r w:rsidRPr="00BD1319">
        <w:rPr>
          <w:spacing w:val="-3"/>
        </w:rPr>
        <w:t xml:space="preserve">Escala de trabajo: la escala de trabajo y almacenamiento de la </w:t>
      </w:r>
      <w:r w:rsidR="0018003B" w:rsidRPr="00BD1319">
        <w:rPr>
          <w:spacing w:val="-3"/>
        </w:rPr>
        <w:t>información</w:t>
      </w:r>
      <w:r w:rsidRPr="00BD1319">
        <w:rPr>
          <w:spacing w:val="-3"/>
        </w:rPr>
        <w:t xml:space="preserve"> debe ser la que señalen los términos de referencia de cada sector y tipo de proyecto</w:t>
      </w:r>
      <w:r w:rsidR="00E40C98" w:rsidRPr="00BD1319">
        <w:rPr>
          <w:spacing w:val="-3"/>
        </w:rPr>
        <w:t>, obra o actividad</w:t>
      </w:r>
      <w:r w:rsidRPr="00BD1319">
        <w:rPr>
          <w:spacing w:val="-3"/>
        </w:rPr>
        <w:t xml:space="preserve">. Cabe aclarar que los términos de referencia establecen la escala </w:t>
      </w:r>
      <w:r w:rsidR="002A2322" w:rsidRPr="00BD1319">
        <w:rPr>
          <w:spacing w:val="-3"/>
        </w:rPr>
        <w:t xml:space="preserve">de </w:t>
      </w:r>
      <w:r w:rsidRPr="00BD1319">
        <w:rPr>
          <w:spacing w:val="-3"/>
        </w:rPr>
        <w:t>trabajo o captura y no, la escala de presentación, ya que esta última puede ser ajustada para mejorar la presentación de la información.</w:t>
      </w:r>
    </w:p>
    <w:p w14:paraId="4E4C7A51" w14:textId="77777777" w:rsidR="00A101A4" w:rsidRPr="00BD1319" w:rsidRDefault="00A101A4">
      <w:pPr>
        <w:numPr>
          <w:ilvl w:val="12"/>
          <w:numId w:val="0"/>
        </w:numPr>
        <w:tabs>
          <w:tab w:val="left" w:pos="-2268"/>
        </w:tabs>
        <w:suppressAutoHyphens/>
        <w:rPr>
          <w:spacing w:val="-3"/>
        </w:rPr>
      </w:pPr>
    </w:p>
    <w:p w14:paraId="6FE7FF0E" w14:textId="2CFFB844" w:rsidR="00EB7470" w:rsidRPr="00BD1319" w:rsidRDefault="00EB7470" w:rsidP="000D6E21">
      <w:pPr>
        <w:pStyle w:val="Prrafodelista"/>
        <w:ind w:left="567"/>
        <w:rPr>
          <w:spacing w:val="-3"/>
        </w:rPr>
      </w:pPr>
      <w:r w:rsidRPr="00BD1319">
        <w:rPr>
          <w:spacing w:val="-3"/>
        </w:rPr>
        <w:t xml:space="preserve">Área mínima cartografiable: para la captura de información se debe utilizar el área mínima cartografiable que corresponda a cada escala según establece la </w:t>
      </w:r>
      <w:r w:rsidRPr="00BD1319">
        <w:rPr>
          <w:spacing w:val="-3"/>
        </w:rPr>
        <w:fldChar w:fldCharType="begin"/>
      </w:r>
      <w:r w:rsidRPr="00BD1319">
        <w:rPr>
          <w:spacing w:val="-3"/>
        </w:rPr>
        <w:instrText xml:space="preserve"> REF _Ref83041939 \h </w:instrText>
      </w:r>
      <w:r w:rsidR="00BD1319">
        <w:rPr>
          <w:spacing w:val="-3"/>
        </w:rPr>
        <w:instrText xml:space="preserve"> \* MERGEFORMAT </w:instrText>
      </w:r>
      <w:r w:rsidRPr="00BD1319">
        <w:rPr>
          <w:spacing w:val="-3"/>
        </w:rPr>
      </w:r>
      <w:r w:rsidRPr="00BD1319">
        <w:rPr>
          <w:spacing w:val="-3"/>
        </w:rPr>
        <w:fldChar w:fldCharType="separate"/>
      </w:r>
      <w:r w:rsidR="00296654" w:rsidRPr="00BD1319">
        <w:t xml:space="preserve">Tabla </w:t>
      </w:r>
      <w:r w:rsidR="00296654" w:rsidRPr="00BD1319">
        <w:rPr>
          <w:noProof/>
        </w:rPr>
        <w:t>9</w:t>
      </w:r>
      <w:r w:rsidRPr="00BD1319">
        <w:rPr>
          <w:spacing w:val="-3"/>
        </w:rPr>
        <w:fldChar w:fldCharType="end"/>
      </w:r>
      <w:r w:rsidRPr="00BD1319">
        <w:rPr>
          <w:spacing w:val="-3"/>
        </w:rPr>
        <w:t>.</w:t>
      </w:r>
    </w:p>
    <w:p w14:paraId="3230AA3B" w14:textId="77777777" w:rsidR="00EB7470" w:rsidRPr="00BD1319" w:rsidRDefault="00EB7470" w:rsidP="00EB7470">
      <w:pPr>
        <w:pStyle w:val="Prrafodelista"/>
        <w:rPr>
          <w:spacing w:val="-3"/>
          <w:lang w:val="es-CO"/>
        </w:rPr>
      </w:pPr>
    </w:p>
    <w:p w14:paraId="0FFF73BA" w14:textId="4F718BA6" w:rsidR="00EB7470" w:rsidRPr="00BD1319" w:rsidRDefault="00EB7470" w:rsidP="0082127E">
      <w:pPr>
        <w:pStyle w:val="Descripcin"/>
        <w:ind w:left="360"/>
        <w:jc w:val="center"/>
        <w:rPr>
          <w:b w:val="0"/>
          <w:spacing w:val="-3"/>
        </w:rPr>
      </w:pPr>
      <w:bookmarkStart w:id="1977" w:name="_Ref83041939"/>
      <w:r w:rsidRPr="00BD1319">
        <w:t xml:space="preserve">Tabla </w:t>
      </w:r>
      <w:fldSimple w:instr=" SEQ Tabla \* ARABIC ">
        <w:r w:rsidR="00296654" w:rsidRPr="00BD1319">
          <w:rPr>
            <w:noProof/>
          </w:rPr>
          <w:t>9</w:t>
        </w:r>
      </w:fldSimple>
      <w:bookmarkEnd w:id="1977"/>
      <w:r w:rsidRPr="00BD1319">
        <w:rPr>
          <w:spacing w:val="-3"/>
        </w:rPr>
        <w:t>.</w:t>
      </w:r>
      <w:r w:rsidRPr="00BD1319">
        <w:rPr>
          <w:b w:val="0"/>
          <w:spacing w:val="-3"/>
        </w:rPr>
        <w:t xml:space="preserve"> </w:t>
      </w:r>
      <w:r w:rsidR="006F2F7D" w:rsidRPr="00BD1319">
        <w:rPr>
          <w:b w:val="0"/>
          <w:spacing w:val="-3"/>
        </w:rPr>
        <w:t>Área mínima cartografiable</w:t>
      </w:r>
    </w:p>
    <w:tbl>
      <w:tblPr>
        <w:tblW w:w="53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7"/>
        <w:gridCol w:w="2155"/>
      </w:tblGrid>
      <w:tr w:rsidR="00EB7470" w:rsidRPr="00BD1319" w14:paraId="16B50D30" w14:textId="77777777" w:rsidTr="00EB7470">
        <w:trPr>
          <w:trHeight w:hRule="exact" w:val="567"/>
          <w:tblHeader/>
          <w:jc w:val="center"/>
        </w:trPr>
        <w:tc>
          <w:tcPr>
            <w:tcW w:w="3157" w:type="dxa"/>
            <w:shd w:val="clear" w:color="auto" w:fill="auto"/>
            <w:noWrap/>
            <w:vAlign w:val="center"/>
          </w:tcPr>
          <w:p w14:paraId="56075553" w14:textId="77777777" w:rsidR="00EB7470" w:rsidRPr="00BD1319" w:rsidRDefault="00EB7470" w:rsidP="00EB7470">
            <w:pPr>
              <w:numPr>
                <w:ilvl w:val="12"/>
                <w:numId w:val="0"/>
              </w:numPr>
              <w:tabs>
                <w:tab w:val="left" w:pos="-2268"/>
              </w:tabs>
              <w:suppressAutoHyphens/>
              <w:jc w:val="center"/>
              <w:rPr>
                <w:b/>
                <w:spacing w:val="-3"/>
                <w:sz w:val="22"/>
              </w:rPr>
            </w:pPr>
            <w:r w:rsidRPr="00BD1319">
              <w:rPr>
                <w:rFonts w:cs="Arial"/>
                <w:b/>
                <w:bCs/>
                <w:spacing w:val="-3"/>
                <w:sz w:val="22"/>
              </w:rPr>
              <w:t>Escala</w:t>
            </w:r>
          </w:p>
        </w:tc>
        <w:tc>
          <w:tcPr>
            <w:tcW w:w="2155" w:type="dxa"/>
            <w:shd w:val="clear" w:color="auto" w:fill="auto"/>
            <w:noWrap/>
            <w:vAlign w:val="center"/>
          </w:tcPr>
          <w:p w14:paraId="7261382D" w14:textId="77777777" w:rsidR="00EB7470" w:rsidRPr="00BD1319" w:rsidRDefault="00EB7470" w:rsidP="00EB7470">
            <w:pPr>
              <w:numPr>
                <w:ilvl w:val="12"/>
                <w:numId w:val="0"/>
              </w:numPr>
              <w:tabs>
                <w:tab w:val="left" w:pos="-2268"/>
              </w:tabs>
              <w:suppressAutoHyphens/>
              <w:jc w:val="center"/>
              <w:rPr>
                <w:b/>
                <w:spacing w:val="-3"/>
                <w:sz w:val="22"/>
              </w:rPr>
            </w:pPr>
            <w:r w:rsidRPr="00BD1319">
              <w:rPr>
                <w:rFonts w:cs="Arial"/>
                <w:b/>
                <w:bCs/>
                <w:spacing w:val="-3"/>
                <w:sz w:val="22"/>
              </w:rPr>
              <w:t>Área mínima cartografiable</w:t>
            </w:r>
          </w:p>
        </w:tc>
      </w:tr>
      <w:tr w:rsidR="00EB7470" w:rsidRPr="00BD1319" w14:paraId="5748AB02" w14:textId="77777777" w:rsidTr="00EB7470">
        <w:trPr>
          <w:trHeight w:val="397"/>
          <w:jc w:val="center"/>
        </w:trPr>
        <w:tc>
          <w:tcPr>
            <w:tcW w:w="3157" w:type="dxa"/>
            <w:noWrap/>
            <w:vAlign w:val="center"/>
            <w:hideMark/>
          </w:tcPr>
          <w:p w14:paraId="3AC7A110" w14:textId="77777777" w:rsidR="00EB7470" w:rsidRPr="00BD1319" w:rsidRDefault="00EB7470" w:rsidP="00EB7470">
            <w:pPr>
              <w:numPr>
                <w:ilvl w:val="12"/>
                <w:numId w:val="0"/>
              </w:numPr>
              <w:tabs>
                <w:tab w:val="left" w:pos="-2268"/>
              </w:tabs>
              <w:suppressAutoHyphens/>
              <w:ind w:right="1110"/>
              <w:jc w:val="right"/>
              <w:rPr>
                <w:spacing w:val="-3"/>
                <w:sz w:val="22"/>
              </w:rPr>
            </w:pPr>
            <w:r w:rsidRPr="00BD1319">
              <w:rPr>
                <w:spacing w:val="-3"/>
                <w:sz w:val="22"/>
              </w:rPr>
              <w:t>1:</w:t>
            </w:r>
            <w:r w:rsidRPr="00BD1319">
              <w:rPr>
                <w:rFonts w:cs="Arial"/>
                <w:bCs/>
                <w:spacing w:val="-3"/>
                <w:sz w:val="22"/>
              </w:rPr>
              <w:t>5</w:t>
            </w:r>
            <w:r w:rsidRPr="00BD1319">
              <w:rPr>
                <w:spacing w:val="-3"/>
                <w:sz w:val="22"/>
              </w:rPr>
              <w:t>.000</w:t>
            </w:r>
          </w:p>
        </w:tc>
        <w:tc>
          <w:tcPr>
            <w:tcW w:w="2155" w:type="dxa"/>
            <w:noWrap/>
            <w:vAlign w:val="center"/>
            <w:hideMark/>
          </w:tcPr>
          <w:p w14:paraId="177AA640" w14:textId="77777777" w:rsidR="00EB7470" w:rsidRPr="00BD1319" w:rsidRDefault="00EB7470" w:rsidP="0082127E">
            <w:pPr>
              <w:numPr>
                <w:ilvl w:val="12"/>
                <w:numId w:val="0"/>
              </w:numPr>
              <w:tabs>
                <w:tab w:val="left" w:pos="-2268"/>
              </w:tabs>
              <w:suppressAutoHyphens/>
              <w:ind w:right="305"/>
              <w:jc w:val="right"/>
              <w:rPr>
                <w:spacing w:val="-3"/>
                <w:sz w:val="22"/>
              </w:rPr>
            </w:pPr>
            <w:r w:rsidRPr="00BD1319">
              <w:rPr>
                <w:spacing w:val="-3"/>
              </w:rPr>
              <w:t>156,25 m</w:t>
            </w:r>
            <w:r w:rsidRPr="00BD1319">
              <w:rPr>
                <w:spacing w:val="-3"/>
                <w:vertAlign w:val="superscript"/>
              </w:rPr>
              <w:t>2</w:t>
            </w:r>
          </w:p>
        </w:tc>
      </w:tr>
      <w:tr w:rsidR="00EB7470" w:rsidRPr="00BD1319" w14:paraId="7FF3F8B4" w14:textId="77777777" w:rsidTr="00EB7470">
        <w:trPr>
          <w:trHeight w:val="397"/>
          <w:jc w:val="center"/>
        </w:trPr>
        <w:tc>
          <w:tcPr>
            <w:tcW w:w="3157" w:type="dxa"/>
            <w:noWrap/>
            <w:vAlign w:val="center"/>
            <w:hideMark/>
          </w:tcPr>
          <w:p w14:paraId="19D549B0" w14:textId="77777777" w:rsidR="00EB7470" w:rsidRPr="00BD1319" w:rsidRDefault="00EB7470" w:rsidP="00EB7470">
            <w:pPr>
              <w:numPr>
                <w:ilvl w:val="12"/>
                <w:numId w:val="0"/>
              </w:numPr>
              <w:tabs>
                <w:tab w:val="left" w:pos="-2268"/>
              </w:tabs>
              <w:suppressAutoHyphens/>
              <w:ind w:right="1110"/>
              <w:jc w:val="right"/>
              <w:rPr>
                <w:spacing w:val="-3"/>
                <w:sz w:val="22"/>
              </w:rPr>
            </w:pPr>
            <w:r w:rsidRPr="00BD1319">
              <w:rPr>
                <w:spacing w:val="-3"/>
                <w:sz w:val="22"/>
              </w:rPr>
              <w:t>1:10.000</w:t>
            </w:r>
          </w:p>
        </w:tc>
        <w:tc>
          <w:tcPr>
            <w:tcW w:w="2155" w:type="dxa"/>
            <w:noWrap/>
            <w:vAlign w:val="center"/>
            <w:hideMark/>
          </w:tcPr>
          <w:p w14:paraId="2678B63D" w14:textId="3B47668B" w:rsidR="00EB7470" w:rsidRPr="00BD1319" w:rsidRDefault="00EB7470" w:rsidP="0082127E">
            <w:pPr>
              <w:numPr>
                <w:ilvl w:val="12"/>
                <w:numId w:val="0"/>
              </w:numPr>
              <w:tabs>
                <w:tab w:val="left" w:pos="-2268"/>
              </w:tabs>
              <w:suppressAutoHyphens/>
              <w:ind w:right="305"/>
              <w:jc w:val="right"/>
              <w:rPr>
                <w:spacing w:val="-3"/>
                <w:sz w:val="22"/>
              </w:rPr>
            </w:pPr>
            <w:r w:rsidRPr="00BD1319">
              <w:rPr>
                <w:rFonts w:cs="Arial"/>
                <w:spacing w:val="-3"/>
                <w:sz w:val="22"/>
              </w:rPr>
              <w:t>625,00</w:t>
            </w:r>
            <w:r w:rsidRPr="00BD1319">
              <w:rPr>
                <w:spacing w:val="-3"/>
                <w:sz w:val="22"/>
              </w:rPr>
              <w:t xml:space="preserve"> </w:t>
            </w:r>
            <w:r w:rsidRPr="00BD1319">
              <w:rPr>
                <w:spacing w:val="-3"/>
              </w:rPr>
              <w:t>m</w:t>
            </w:r>
            <w:r w:rsidRPr="00BD1319">
              <w:rPr>
                <w:spacing w:val="-3"/>
                <w:vertAlign w:val="superscript"/>
              </w:rPr>
              <w:t>2</w:t>
            </w:r>
          </w:p>
        </w:tc>
      </w:tr>
      <w:tr w:rsidR="00EB7470" w:rsidRPr="00BD1319" w14:paraId="0E6D17F9" w14:textId="77777777" w:rsidTr="00EB7470">
        <w:trPr>
          <w:trHeight w:val="397"/>
          <w:jc w:val="center"/>
        </w:trPr>
        <w:tc>
          <w:tcPr>
            <w:tcW w:w="3157" w:type="dxa"/>
            <w:noWrap/>
            <w:vAlign w:val="center"/>
            <w:hideMark/>
          </w:tcPr>
          <w:p w14:paraId="4D991A95" w14:textId="77777777" w:rsidR="00EB7470" w:rsidRPr="00BD1319" w:rsidRDefault="00EB7470" w:rsidP="00EB7470">
            <w:pPr>
              <w:numPr>
                <w:ilvl w:val="12"/>
                <w:numId w:val="0"/>
              </w:numPr>
              <w:tabs>
                <w:tab w:val="left" w:pos="-2268"/>
              </w:tabs>
              <w:suppressAutoHyphens/>
              <w:ind w:right="1110"/>
              <w:jc w:val="right"/>
              <w:rPr>
                <w:spacing w:val="-3"/>
                <w:sz w:val="22"/>
              </w:rPr>
            </w:pPr>
            <w:r w:rsidRPr="00BD1319">
              <w:rPr>
                <w:spacing w:val="-3"/>
                <w:sz w:val="22"/>
              </w:rPr>
              <w:t>1:25.000</w:t>
            </w:r>
          </w:p>
        </w:tc>
        <w:tc>
          <w:tcPr>
            <w:tcW w:w="2155" w:type="dxa"/>
            <w:noWrap/>
            <w:vAlign w:val="center"/>
            <w:hideMark/>
          </w:tcPr>
          <w:p w14:paraId="059DB673" w14:textId="77777777" w:rsidR="00EB7470" w:rsidRPr="00BD1319" w:rsidRDefault="00EB7470" w:rsidP="0082127E">
            <w:pPr>
              <w:numPr>
                <w:ilvl w:val="12"/>
                <w:numId w:val="0"/>
              </w:numPr>
              <w:tabs>
                <w:tab w:val="left" w:pos="-2268"/>
              </w:tabs>
              <w:suppressAutoHyphens/>
              <w:ind w:right="305"/>
              <w:jc w:val="right"/>
              <w:rPr>
                <w:spacing w:val="-3"/>
                <w:sz w:val="22"/>
              </w:rPr>
            </w:pPr>
            <w:r w:rsidRPr="00BD1319">
              <w:rPr>
                <w:rFonts w:cs="Arial"/>
                <w:spacing w:val="-3"/>
                <w:sz w:val="22"/>
              </w:rPr>
              <w:t>3.906,25</w:t>
            </w:r>
            <w:r w:rsidRPr="00BD1319">
              <w:rPr>
                <w:spacing w:val="-3"/>
                <w:sz w:val="22"/>
              </w:rPr>
              <w:t xml:space="preserve"> </w:t>
            </w:r>
            <w:r w:rsidRPr="00BD1319">
              <w:rPr>
                <w:spacing w:val="-3"/>
              </w:rPr>
              <w:t>m</w:t>
            </w:r>
            <w:r w:rsidRPr="00BD1319">
              <w:rPr>
                <w:spacing w:val="-3"/>
                <w:vertAlign w:val="superscript"/>
              </w:rPr>
              <w:t>2</w:t>
            </w:r>
          </w:p>
        </w:tc>
      </w:tr>
      <w:tr w:rsidR="00EB7470" w:rsidRPr="00BD1319" w14:paraId="20DD12DE" w14:textId="77777777" w:rsidTr="00EB7470">
        <w:trPr>
          <w:trHeight w:val="397"/>
          <w:jc w:val="center"/>
        </w:trPr>
        <w:tc>
          <w:tcPr>
            <w:tcW w:w="3157" w:type="dxa"/>
            <w:noWrap/>
            <w:vAlign w:val="center"/>
            <w:hideMark/>
          </w:tcPr>
          <w:p w14:paraId="0A3D55CC" w14:textId="77777777" w:rsidR="00EB7470" w:rsidRPr="00BD1319" w:rsidRDefault="00EB7470" w:rsidP="00EB7470">
            <w:pPr>
              <w:numPr>
                <w:ilvl w:val="12"/>
                <w:numId w:val="0"/>
              </w:numPr>
              <w:tabs>
                <w:tab w:val="left" w:pos="-2268"/>
              </w:tabs>
              <w:suppressAutoHyphens/>
              <w:ind w:right="1110"/>
              <w:jc w:val="right"/>
              <w:rPr>
                <w:spacing w:val="-3"/>
                <w:sz w:val="22"/>
              </w:rPr>
            </w:pPr>
            <w:r w:rsidRPr="00BD1319">
              <w:rPr>
                <w:spacing w:val="-3"/>
                <w:sz w:val="22"/>
              </w:rPr>
              <w:t>1:100.000</w:t>
            </w:r>
          </w:p>
        </w:tc>
        <w:tc>
          <w:tcPr>
            <w:tcW w:w="2155" w:type="dxa"/>
            <w:noWrap/>
            <w:vAlign w:val="center"/>
            <w:hideMark/>
          </w:tcPr>
          <w:p w14:paraId="6E111845" w14:textId="3D35B884" w:rsidR="00EB7470" w:rsidRPr="00BD1319" w:rsidRDefault="00EB7470" w:rsidP="0082127E">
            <w:pPr>
              <w:numPr>
                <w:ilvl w:val="12"/>
                <w:numId w:val="0"/>
              </w:numPr>
              <w:tabs>
                <w:tab w:val="left" w:pos="-2268"/>
              </w:tabs>
              <w:suppressAutoHyphens/>
              <w:ind w:right="305"/>
              <w:jc w:val="right"/>
              <w:rPr>
                <w:spacing w:val="-3"/>
                <w:sz w:val="22"/>
              </w:rPr>
            </w:pPr>
            <w:r w:rsidRPr="00BD1319">
              <w:rPr>
                <w:rFonts w:cs="Arial"/>
                <w:spacing w:val="-3"/>
                <w:sz w:val="22"/>
              </w:rPr>
              <w:t xml:space="preserve">62.500,00 </w:t>
            </w:r>
            <w:r w:rsidRPr="00BD1319">
              <w:rPr>
                <w:spacing w:val="-3"/>
              </w:rPr>
              <w:t>m</w:t>
            </w:r>
            <w:r w:rsidRPr="00BD1319">
              <w:rPr>
                <w:spacing w:val="-3"/>
                <w:vertAlign w:val="superscript"/>
              </w:rPr>
              <w:t>2</w:t>
            </w:r>
          </w:p>
        </w:tc>
      </w:tr>
    </w:tbl>
    <w:p w14:paraId="5C29959B" w14:textId="2C974730" w:rsidR="00EB7470" w:rsidRPr="00BD1319" w:rsidRDefault="006F4FD7" w:rsidP="00921605">
      <w:pPr>
        <w:pStyle w:val="Prrafodelista"/>
        <w:tabs>
          <w:tab w:val="left" w:pos="-2268"/>
        </w:tabs>
        <w:suppressAutoHyphens/>
        <w:ind w:left="1985" w:right="2036"/>
        <w:jc w:val="center"/>
        <w:rPr>
          <w:spacing w:val="-3"/>
          <w:sz w:val="20"/>
          <w:szCs w:val="20"/>
          <w:lang w:val="es-CO"/>
        </w:rPr>
      </w:pPr>
      <w:r w:rsidRPr="00BD1319">
        <w:rPr>
          <w:b/>
          <w:spacing w:val="-3"/>
          <w:sz w:val="20"/>
          <w:szCs w:val="20"/>
          <w:lang w:val="es-CO"/>
        </w:rPr>
        <w:t>Fuente:</w:t>
      </w:r>
      <w:r w:rsidRPr="00BD1319">
        <w:rPr>
          <w:spacing w:val="-3"/>
          <w:sz w:val="20"/>
          <w:szCs w:val="20"/>
          <w:lang w:val="es-CO"/>
        </w:rPr>
        <w:t xml:space="preserve"> </w:t>
      </w:r>
      <w:r w:rsidR="00E839A8" w:rsidRPr="00BD1319">
        <w:rPr>
          <w:spacing w:val="-3"/>
          <w:sz w:val="20"/>
          <w:szCs w:val="20"/>
          <w:lang w:val="es-CO"/>
        </w:rPr>
        <w:t>V</w:t>
      </w:r>
      <w:r w:rsidR="00EB7470" w:rsidRPr="00BD1319">
        <w:rPr>
          <w:spacing w:val="-3"/>
          <w:sz w:val="20"/>
          <w:szCs w:val="20"/>
          <w:lang w:val="es-CO"/>
        </w:rPr>
        <w:t xml:space="preserve">alores adaptados de </w:t>
      </w:r>
      <w:r w:rsidR="00E839A8" w:rsidRPr="00BD1319">
        <w:rPr>
          <w:spacing w:val="-3"/>
          <w:sz w:val="20"/>
          <w:szCs w:val="20"/>
          <w:lang w:val="es-CO"/>
        </w:rPr>
        <w:t>IGAC (2016)</w:t>
      </w:r>
      <w:r w:rsidR="00EB7470" w:rsidRPr="00BD1319">
        <w:rPr>
          <w:spacing w:val="-3"/>
          <w:sz w:val="20"/>
          <w:szCs w:val="20"/>
          <w:lang w:val="es-CO"/>
        </w:rPr>
        <w:t>.</w:t>
      </w:r>
    </w:p>
    <w:p w14:paraId="2173BB5F" w14:textId="77777777" w:rsidR="00EB7470" w:rsidRPr="00BD1319" w:rsidRDefault="00EB7470">
      <w:pPr>
        <w:numPr>
          <w:ilvl w:val="12"/>
          <w:numId w:val="0"/>
        </w:numPr>
        <w:tabs>
          <w:tab w:val="left" w:pos="-2268"/>
        </w:tabs>
        <w:suppressAutoHyphens/>
        <w:rPr>
          <w:spacing w:val="-3"/>
        </w:rPr>
      </w:pPr>
    </w:p>
    <w:p w14:paraId="66FD6212" w14:textId="264DE774" w:rsidR="00A101A4" w:rsidRPr="00BD1319" w:rsidRDefault="00A101A4" w:rsidP="00216955">
      <w:pPr>
        <w:pStyle w:val="Ttulo3"/>
      </w:pPr>
      <w:bookmarkStart w:id="1978" w:name="_Toc42353720"/>
      <w:bookmarkStart w:id="1979" w:name="_Toc175326680"/>
      <w:r w:rsidRPr="00BD1319">
        <w:t xml:space="preserve">Modelo </w:t>
      </w:r>
      <w:r w:rsidR="00467CE5" w:rsidRPr="00BD1319">
        <w:t>de Almacenamiento Geográfico (MAG)</w:t>
      </w:r>
      <w:bookmarkEnd w:id="1978"/>
      <w:bookmarkEnd w:id="1979"/>
    </w:p>
    <w:p w14:paraId="21A834EB" w14:textId="77777777" w:rsidR="00A101A4" w:rsidRPr="00BD1319" w:rsidRDefault="00A101A4">
      <w:pPr>
        <w:numPr>
          <w:ilvl w:val="12"/>
          <w:numId w:val="0"/>
        </w:numPr>
        <w:tabs>
          <w:tab w:val="left" w:pos="-2268"/>
        </w:tabs>
        <w:suppressAutoHyphens/>
        <w:rPr>
          <w:spacing w:val="-3"/>
        </w:rPr>
      </w:pPr>
    </w:p>
    <w:p w14:paraId="4D02CFD2" w14:textId="2316DA7B" w:rsidR="00A101A4" w:rsidRPr="00BD1319" w:rsidRDefault="00CC4529">
      <w:pPr>
        <w:numPr>
          <w:ilvl w:val="12"/>
          <w:numId w:val="0"/>
        </w:numPr>
        <w:tabs>
          <w:tab w:val="left" w:pos="-2268"/>
        </w:tabs>
        <w:suppressAutoHyphens/>
        <w:rPr>
          <w:spacing w:val="-3"/>
        </w:rPr>
      </w:pPr>
      <w:r w:rsidRPr="00BD1319">
        <w:rPr>
          <w:spacing w:val="-3"/>
        </w:rPr>
        <w:t>Toda l</w:t>
      </w:r>
      <w:r w:rsidR="00A101A4" w:rsidRPr="00BD1319">
        <w:rPr>
          <w:spacing w:val="-3"/>
        </w:rPr>
        <w:t xml:space="preserve">a información geográfica </w:t>
      </w:r>
      <w:r w:rsidRPr="00BD1319">
        <w:rPr>
          <w:spacing w:val="-3"/>
        </w:rPr>
        <w:t xml:space="preserve">de los estudios ambientales, </w:t>
      </w:r>
      <w:r w:rsidR="00AE787E" w:rsidRPr="00BD1319">
        <w:rPr>
          <w:spacing w:val="-3"/>
        </w:rPr>
        <w:t>asociada a</w:t>
      </w:r>
      <w:r w:rsidRPr="00BD1319">
        <w:rPr>
          <w:spacing w:val="-3"/>
        </w:rPr>
        <w:t xml:space="preserve"> numerales como descripción del proyecto, área de estudio, área de influencia, caracterización ambiental, zonificación ambiental, zonificación de manejo ambiental</w:t>
      </w:r>
      <w:r w:rsidR="00D01882" w:rsidRPr="00BD1319">
        <w:rPr>
          <w:spacing w:val="-3"/>
        </w:rPr>
        <w:t xml:space="preserve">, </w:t>
      </w:r>
      <w:r w:rsidR="00AE787E" w:rsidRPr="00BD1319">
        <w:rPr>
          <w:spacing w:val="-3"/>
        </w:rPr>
        <w:t xml:space="preserve">dimensión ambiental del plan de gestión del </w:t>
      </w:r>
      <w:r w:rsidR="00D01882" w:rsidRPr="00BD1319">
        <w:rPr>
          <w:spacing w:val="-3"/>
        </w:rPr>
        <w:t>riesgo</w:t>
      </w:r>
      <w:r w:rsidRPr="00BD1319">
        <w:rPr>
          <w:spacing w:val="-3"/>
        </w:rPr>
        <w:t xml:space="preserve"> y planes y programas, </w:t>
      </w:r>
      <w:r w:rsidR="00A101A4" w:rsidRPr="00BD1319">
        <w:rPr>
          <w:spacing w:val="-3"/>
        </w:rPr>
        <w:t xml:space="preserve">debe ser almacenada y presentada de acuerdo con los modelos adoptados </w:t>
      </w:r>
      <w:r w:rsidR="00761161" w:rsidRPr="00BD1319">
        <w:rPr>
          <w:spacing w:val="-3"/>
        </w:rPr>
        <w:t xml:space="preserve">por Minambiente </w:t>
      </w:r>
      <w:r w:rsidR="00A101A4" w:rsidRPr="00BD1319">
        <w:rPr>
          <w:spacing w:val="-3"/>
        </w:rPr>
        <w:t xml:space="preserve">para la base de datos geográfica; los datos espaciales deben tener la estructura que se define en la </w:t>
      </w:r>
      <w:r w:rsidR="006F56BD" w:rsidRPr="00BD1319">
        <w:rPr>
          <w:spacing w:val="-3"/>
        </w:rPr>
        <w:t>R</w:t>
      </w:r>
      <w:r w:rsidR="00A101A4" w:rsidRPr="00BD1319">
        <w:rPr>
          <w:spacing w:val="-3"/>
        </w:rPr>
        <w:t>esolución 2182 de 2016 o aquella que la modifique</w:t>
      </w:r>
      <w:r w:rsidR="00A101A4" w:rsidRPr="00BD1319">
        <w:rPr>
          <w:rFonts w:cs="Arial"/>
          <w:spacing w:val="-3"/>
        </w:rPr>
        <w:t xml:space="preserve"> o</w:t>
      </w:r>
      <w:r w:rsidR="00A101A4" w:rsidRPr="00BD1319">
        <w:rPr>
          <w:spacing w:val="-3"/>
        </w:rPr>
        <w:t xml:space="preserve"> sustituya.</w:t>
      </w:r>
    </w:p>
    <w:p w14:paraId="7FEB8AD2" w14:textId="77777777" w:rsidR="00A101A4" w:rsidRPr="00BD1319" w:rsidRDefault="00A101A4">
      <w:pPr>
        <w:numPr>
          <w:ilvl w:val="12"/>
          <w:numId w:val="0"/>
        </w:numPr>
        <w:tabs>
          <w:tab w:val="left" w:pos="-2268"/>
        </w:tabs>
        <w:suppressAutoHyphens/>
        <w:rPr>
          <w:spacing w:val="-3"/>
        </w:rPr>
      </w:pPr>
    </w:p>
    <w:p w14:paraId="0A398AD6" w14:textId="77777777" w:rsidR="00A101A4" w:rsidRPr="00BD1319" w:rsidRDefault="00A101A4">
      <w:pPr>
        <w:numPr>
          <w:ilvl w:val="12"/>
          <w:numId w:val="0"/>
        </w:numPr>
        <w:tabs>
          <w:tab w:val="left" w:pos="-2268"/>
        </w:tabs>
        <w:suppressAutoHyphens/>
        <w:rPr>
          <w:spacing w:val="-3"/>
        </w:rPr>
      </w:pPr>
      <w:r w:rsidRPr="00BD1319">
        <w:rPr>
          <w:spacing w:val="-3"/>
        </w:rPr>
        <w:t xml:space="preserve">La información correspondiente a cartografía básica debe ser almacenada según la estructura del modelo de datos geográficos establecido por el IGAC, y debe guardar consistencia con la información temática (vector o </w:t>
      </w:r>
      <w:proofErr w:type="spellStart"/>
      <w:r w:rsidRPr="00BD1319">
        <w:rPr>
          <w:spacing w:val="-3"/>
        </w:rPr>
        <w:t>raster</w:t>
      </w:r>
      <w:proofErr w:type="spellEnd"/>
      <w:r w:rsidRPr="00BD1319">
        <w:rPr>
          <w:spacing w:val="-3"/>
        </w:rPr>
        <w:t>) que se genere para la elaboración de los estudios ambientales.</w:t>
      </w:r>
    </w:p>
    <w:p w14:paraId="5C8FE09F" w14:textId="77777777" w:rsidR="00A101A4" w:rsidRPr="00BD1319" w:rsidRDefault="00A101A4">
      <w:pPr>
        <w:numPr>
          <w:ilvl w:val="12"/>
          <w:numId w:val="0"/>
        </w:numPr>
        <w:tabs>
          <w:tab w:val="left" w:pos="-2268"/>
        </w:tabs>
        <w:suppressAutoHyphens/>
        <w:rPr>
          <w:spacing w:val="-3"/>
        </w:rPr>
      </w:pPr>
    </w:p>
    <w:p w14:paraId="16A92C66" w14:textId="469F00E1" w:rsidR="00A101A4" w:rsidRPr="00BD1319" w:rsidRDefault="00A101A4" w:rsidP="00216955">
      <w:pPr>
        <w:pStyle w:val="Ttulo3"/>
      </w:pPr>
      <w:bookmarkStart w:id="1980" w:name="_Toc42353721"/>
      <w:bookmarkStart w:id="1981" w:name="_Toc175326681"/>
      <w:r w:rsidRPr="00BD1319">
        <w:t>Información tipo Ráster</w:t>
      </w:r>
      <w:bookmarkEnd w:id="1980"/>
      <w:bookmarkEnd w:id="1981"/>
    </w:p>
    <w:p w14:paraId="73190976" w14:textId="77777777" w:rsidR="00A101A4" w:rsidRPr="00BD1319" w:rsidRDefault="00A101A4">
      <w:pPr>
        <w:numPr>
          <w:ilvl w:val="12"/>
          <w:numId w:val="0"/>
        </w:numPr>
        <w:tabs>
          <w:tab w:val="left" w:pos="-2268"/>
        </w:tabs>
        <w:suppressAutoHyphens/>
        <w:rPr>
          <w:spacing w:val="-3"/>
          <w:u w:val="single"/>
        </w:rPr>
      </w:pPr>
    </w:p>
    <w:p w14:paraId="4ECA7981" w14:textId="368BD7E2" w:rsidR="00F61C44" w:rsidRPr="00BD1319" w:rsidRDefault="00A101A4">
      <w:pPr>
        <w:numPr>
          <w:ilvl w:val="12"/>
          <w:numId w:val="0"/>
        </w:numPr>
        <w:tabs>
          <w:tab w:val="left" w:pos="-2268"/>
        </w:tabs>
        <w:suppressAutoHyphens/>
        <w:rPr>
          <w:spacing w:val="-3"/>
        </w:rPr>
      </w:pPr>
      <w:r w:rsidRPr="00BD1319">
        <w:rPr>
          <w:spacing w:val="-3"/>
        </w:rPr>
        <w:t xml:space="preserve">Las imágenes de sensores remotos (imágenes satelitales, de radar, </w:t>
      </w:r>
      <w:proofErr w:type="spellStart"/>
      <w:r w:rsidRPr="00BD1319">
        <w:rPr>
          <w:spacing w:val="-3"/>
        </w:rPr>
        <w:t>lidar</w:t>
      </w:r>
      <w:proofErr w:type="spellEnd"/>
      <w:r w:rsidRPr="00BD1319">
        <w:rPr>
          <w:spacing w:val="-3"/>
        </w:rPr>
        <w:t>, ortofotografías, entre otras) utilizadas como insumo para la elaboración de la cartografía y la caracterización ambiental, deben tener las siguientes características:</w:t>
      </w:r>
    </w:p>
    <w:p w14:paraId="5AB5B0AD" w14:textId="77777777" w:rsidR="00F61C44" w:rsidRPr="00BD1319" w:rsidRDefault="00F61C44">
      <w:pPr>
        <w:numPr>
          <w:ilvl w:val="12"/>
          <w:numId w:val="0"/>
        </w:numPr>
        <w:tabs>
          <w:tab w:val="left" w:pos="-2268"/>
        </w:tabs>
        <w:suppressAutoHyphens/>
        <w:rPr>
          <w:spacing w:val="-3"/>
        </w:rPr>
      </w:pPr>
    </w:p>
    <w:p w14:paraId="6670DEDB" w14:textId="42296545" w:rsidR="00F61C44" w:rsidRPr="00BD1319" w:rsidRDefault="00F61C44" w:rsidP="439A4240">
      <w:pPr>
        <w:pStyle w:val="Prrafodelista"/>
        <w:numPr>
          <w:ilvl w:val="0"/>
          <w:numId w:val="29"/>
        </w:numPr>
        <w:suppressAutoHyphens/>
        <w:ind w:left="567" w:hanging="567"/>
        <w:rPr>
          <w:spacing w:val="-3"/>
          <w:lang w:val="es-CO"/>
        </w:rPr>
      </w:pPr>
      <w:r w:rsidRPr="00BD1319">
        <w:rPr>
          <w:spacing w:val="-3"/>
          <w:lang w:val="es-CO"/>
        </w:rPr>
        <w:t>R</w:t>
      </w:r>
      <w:r w:rsidR="00A101A4" w:rsidRPr="00BD1319">
        <w:rPr>
          <w:spacing w:val="-3"/>
          <w:lang w:val="es-CO"/>
        </w:rPr>
        <w:t xml:space="preserve">esolución espacial </w:t>
      </w:r>
      <w:r w:rsidR="439A4240" w:rsidRPr="00BD1319">
        <w:rPr>
          <w:lang w:val="es-CO"/>
        </w:rPr>
        <w:t>según</w:t>
      </w:r>
      <w:r w:rsidR="00A101A4" w:rsidRPr="00BD1319">
        <w:rPr>
          <w:spacing w:val="-3"/>
          <w:lang w:val="es-CO"/>
        </w:rPr>
        <w:t xml:space="preserve"> la escala solicitada en los respectivos términos de referencia (resolución mínima de </w:t>
      </w:r>
      <w:r w:rsidR="00E91D20" w:rsidRPr="00BD1319">
        <w:rPr>
          <w:spacing w:val="-3"/>
          <w:lang w:val="es-CO"/>
        </w:rPr>
        <w:t>15</w:t>
      </w:r>
      <w:r w:rsidR="00E40C98" w:rsidRPr="00BD1319">
        <w:rPr>
          <w:spacing w:val="-3"/>
          <w:lang w:val="es-CO"/>
        </w:rPr>
        <w:t xml:space="preserve"> </w:t>
      </w:r>
      <w:r w:rsidR="00A101A4" w:rsidRPr="00BD1319">
        <w:rPr>
          <w:spacing w:val="-3"/>
          <w:lang w:val="es-CO"/>
        </w:rPr>
        <w:t>m,</w:t>
      </w:r>
      <w:r w:rsidR="00E91D20" w:rsidRPr="00BD1319">
        <w:rPr>
          <w:spacing w:val="-3"/>
          <w:lang w:val="es-CO"/>
        </w:rPr>
        <w:t xml:space="preserve"> 5</w:t>
      </w:r>
      <w:r w:rsidR="00E40C98" w:rsidRPr="00BD1319">
        <w:rPr>
          <w:spacing w:val="-3"/>
          <w:lang w:val="es-CO"/>
        </w:rPr>
        <w:t xml:space="preserve"> </w:t>
      </w:r>
      <w:r w:rsidR="00A101A4" w:rsidRPr="00BD1319">
        <w:rPr>
          <w:spacing w:val="-3"/>
          <w:lang w:val="es-CO"/>
        </w:rPr>
        <w:t xml:space="preserve">m, </w:t>
      </w:r>
      <w:r w:rsidR="00E91D20" w:rsidRPr="00BD1319">
        <w:rPr>
          <w:spacing w:val="-3"/>
          <w:lang w:val="es-CO"/>
        </w:rPr>
        <w:t>2,</w:t>
      </w:r>
      <w:r w:rsidR="00A101A4" w:rsidRPr="00BD1319">
        <w:rPr>
          <w:spacing w:val="-3"/>
          <w:lang w:val="es-CO"/>
        </w:rPr>
        <w:t>5</w:t>
      </w:r>
      <w:r w:rsidR="00E40C98" w:rsidRPr="00BD1319">
        <w:rPr>
          <w:spacing w:val="-3"/>
          <w:lang w:val="es-CO"/>
        </w:rPr>
        <w:t xml:space="preserve"> </w:t>
      </w:r>
      <w:r w:rsidR="00A101A4" w:rsidRPr="00BD1319">
        <w:rPr>
          <w:spacing w:val="-3"/>
          <w:lang w:val="es-CO"/>
        </w:rPr>
        <w:t xml:space="preserve">m y </w:t>
      </w:r>
      <w:r w:rsidR="00E91D20" w:rsidRPr="00BD1319">
        <w:rPr>
          <w:spacing w:val="-3"/>
          <w:lang w:val="es-CO"/>
        </w:rPr>
        <w:t>0</w:t>
      </w:r>
      <w:r w:rsidR="007E7041" w:rsidRPr="00BD1319">
        <w:rPr>
          <w:rFonts w:cs="Arial"/>
          <w:spacing w:val="-3"/>
          <w:lang w:val="es-CO"/>
        </w:rPr>
        <w:t>,</w:t>
      </w:r>
      <w:r w:rsidR="00E91D20" w:rsidRPr="00BD1319">
        <w:rPr>
          <w:rFonts w:cs="Arial"/>
          <w:spacing w:val="-3"/>
          <w:lang w:val="es-CO"/>
        </w:rPr>
        <w:t>8</w:t>
      </w:r>
      <w:r w:rsidR="00E40C98" w:rsidRPr="00BD1319">
        <w:rPr>
          <w:rFonts w:cs="Arial"/>
          <w:spacing w:val="-3"/>
          <w:lang w:val="es-CO"/>
        </w:rPr>
        <w:t xml:space="preserve"> </w:t>
      </w:r>
      <w:r w:rsidR="00A101A4" w:rsidRPr="00BD1319">
        <w:rPr>
          <w:rFonts w:cs="Arial"/>
          <w:spacing w:val="-3"/>
          <w:lang w:val="es-CO"/>
        </w:rPr>
        <w:t>m</w:t>
      </w:r>
      <w:r w:rsidR="00A101A4" w:rsidRPr="00BD1319">
        <w:rPr>
          <w:spacing w:val="-3"/>
          <w:lang w:val="es-CO"/>
        </w:rPr>
        <w:t xml:space="preserve"> para escalas 1:100.000, 1:25.000, 1:10.000 y 1:5.000</w:t>
      </w:r>
      <w:r w:rsidR="00E40C98" w:rsidRPr="00BD1319">
        <w:rPr>
          <w:spacing w:val="-3"/>
          <w:lang w:val="es-CO"/>
        </w:rPr>
        <w:t>,</w:t>
      </w:r>
      <w:r w:rsidR="00A101A4" w:rsidRPr="00BD1319">
        <w:rPr>
          <w:spacing w:val="-3"/>
          <w:lang w:val="es-CO"/>
        </w:rPr>
        <w:t xml:space="preserve"> respectivamente)</w:t>
      </w:r>
      <w:r w:rsidRPr="00BD1319">
        <w:rPr>
          <w:spacing w:val="-3"/>
          <w:lang w:val="es-CO"/>
        </w:rPr>
        <w:t>.</w:t>
      </w:r>
    </w:p>
    <w:p w14:paraId="289930B5" w14:textId="77777777" w:rsidR="00F61C44" w:rsidRPr="00BD1319" w:rsidRDefault="00F61C44" w:rsidP="009420F5">
      <w:pPr>
        <w:tabs>
          <w:tab w:val="left" w:pos="-2268"/>
        </w:tabs>
        <w:suppressAutoHyphens/>
        <w:rPr>
          <w:spacing w:val="-3"/>
        </w:rPr>
      </w:pPr>
    </w:p>
    <w:p w14:paraId="228CEDDA" w14:textId="407E699E" w:rsidR="00A101A4" w:rsidRPr="00BD1319" w:rsidRDefault="00F61C44" w:rsidP="000D6E21">
      <w:pPr>
        <w:pStyle w:val="Prrafodelista"/>
        <w:numPr>
          <w:ilvl w:val="0"/>
          <w:numId w:val="29"/>
        </w:numPr>
        <w:suppressAutoHyphens/>
        <w:ind w:left="567" w:hanging="567"/>
        <w:rPr>
          <w:spacing w:val="-3"/>
          <w:lang w:val="es-CO"/>
        </w:rPr>
      </w:pPr>
      <w:r w:rsidRPr="00BD1319">
        <w:rPr>
          <w:spacing w:val="-3"/>
        </w:rPr>
        <w:t>O</w:t>
      </w:r>
      <w:r w:rsidR="00A101A4" w:rsidRPr="00BD1319">
        <w:rPr>
          <w:spacing w:val="-3"/>
        </w:rPr>
        <w:t xml:space="preserve">portunidad </w:t>
      </w:r>
      <w:r w:rsidRPr="00BD1319">
        <w:rPr>
          <w:spacing w:val="-3"/>
        </w:rPr>
        <w:t>máxim</w:t>
      </w:r>
      <w:r w:rsidR="002A6838" w:rsidRPr="00BD1319">
        <w:rPr>
          <w:spacing w:val="-3"/>
        </w:rPr>
        <w:t>a</w:t>
      </w:r>
      <w:r w:rsidRPr="00BD1319">
        <w:rPr>
          <w:spacing w:val="-3"/>
        </w:rPr>
        <w:t xml:space="preserve"> de </w:t>
      </w:r>
      <w:r w:rsidR="00A101A4" w:rsidRPr="00BD1319">
        <w:rPr>
          <w:spacing w:val="-3"/>
        </w:rPr>
        <w:t>tres (3) años</w:t>
      </w:r>
      <w:r w:rsidRPr="00BD1319">
        <w:rPr>
          <w:spacing w:val="-3"/>
        </w:rPr>
        <w:t>;</w:t>
      </w:r>
      <w:r w:rsidR="00A101A4" w:rsidRPr="00BD1319">
        <w:rPr>
          <w:spacing w:val="-3"/>
        </w:rPr>
        <w:t xml:space="preserve"> es decir, el periodo de tiempo que transcurre entre la ocurrencia del fenómeno o característica que describe las imágenes y el momento en el que se presenta la información a la autoridad ambiental, no debe superar los tres (3) años</w:t>
      </w:r>
      <w:r w:rsidRPr="00BD1319">
        <w:rPr>
          <w:spacing w:val="-3"/>
        </w:rPr>
        <w:t>.</w:t>
      </w:r>
      <w:r w:rsidR="00A101A4" w:rsidRPr="00BD1319">
        <w:rPr>
          <w:spacing w:val="-3"/>
        </w:rPr>
        <w:t xml:space="preserve"> </w:t>
      </w:r>
      <w:r w:rsidRPr="00BD1319">
        <w:rPr>
          <w:spacing w:val="-3"/>
        </w:rPr>
        <w:t>E</w:t>
      </w:r>
      <w:r w:rsidR="00A101A4" w:rsidRPr="00BD1319">
        <w:rPr>
          <w:spacing w:val="-3"/>
        </w:rPr>
        <w:t xml:space="preserve">n caso de no encontrar insumos para la zona de estudio con esta característica, es posible utilizar información menos oportuna, siempre y cuando se argumente y demuestre apropiadamente las razones por las cuales no se utiliza información más </w:t>
      </w:r>
      <w:r w:rsidR="00E24C49" w:rsidRPr="00BD1319">
        <w:rPr>
          <w:spacing w:val="-3"/>
          <w:lang w:val="es-CO"/>
        </w:rPr>
        <w:t>reciente</w:t>
      </w:r>
      <w:r w:rsidR="00A101A4" w:rsidRPr="00BD1319">
        <w:rPr>
          <w:spacing w:val="-3"/>
          <w:lang w:val="es-CO"/>
        </w:rPr>
        <w:t>.</w:t>
      </w:r>
    </w:p>
    <w:p w14:paraId="138D92F3" w14:textId="77777777" w:rsidR="00A101A4" w:rsidRPr="00BD1319" w:rsidRDefault="00A101A4">
      <w:pPr>
        <w:numPr>
          <w:ilvl w:val="12"/>
          <w:numId w:val="0"/>
        </w:numPr>
        <w:tabs>
          <w:tab w:val="left" w:pos="-2268"/>
        </w:tabs>
        <w:suppressAutoHyphens/>
        <w:rPr>
          <w:spacing w:val="-3"/>
        </w:rPr>
      </w:pPr>
    </w:p>
    <w:p w14:paraId="394B2415" w14:textId="77777777" w:rsidR="00A101A4" w:rsidRPr="00BD1319" w:rsidRDefault="00A101A4">
      <w:pPr>
        <w:numPr>
          <w:ilvl w:val="12"/>
          <w:numId w:val="0"/>
        </w:numPr>
        <w:tabs>
          <w:tab w:val="left" w:pos="-2268"/>
        </w:tabs>
        <w:suppressAutoHyphens/>
        <w:rPr>
          <w:spacing w:val="-3"/>
        </w:rPr>
      </w:pPr>
      <w:r w:rsidRPr="00BD1319">
        <w:rPr>
          <w:spacing w:val="-3"/>
        </w:rPr>
        <w:t>Esta información debe tener el mismo sistema de coordenadas que el que presente la información vector (temática y base).</w:t>
      </w:r>
    </w:p>
    <w:p w14:paraId="12B40F20" w14:textId="77777777" w:rsidR="00A101A4" w:rsidRPr="00BD1319" w:rsidRDefault="00A101A4">
      <w:pPr>
        <w:numPr>
          <w:ilvl w:val="12"/>
          <w:numId w:val="0"/>
        </w:numPr>
        <w:tabs>
          <w:tab w:val="left" w:pos="-2268"/>
        </w:tabs>
        <w:suppressAutoHyphens/>
        <w:rPr>
          <w:spacing w:val="-3"/>
        </w:rPr>
      </w:pPr>
    </w:p>
    <w:p w14:paraId="20B4FBC5" w14:textId="77777777" w:rsidR="00A101A4" w:rsidRPr="00BD1319" w:rsidRDefault="00A101A4" w:rsidP="009420F5">
      <w:pPr>
        <w:pStyle w:val="Ttulo2"/>
        <w:rPr>
          <w:lang w:val="es-CO"/>
        </w:rPr>
      </w:pPr>
      <w:bookmarkStart w:id="1982" w:name="_Toc42353722"/>
      <w:bookmarkStart w:id="1983" w:name="_Toc175326682"/>
      <w:r w:rsidRPr="00BD1319">
        <w:rPr>
          <w:lang w:val="es-CO"/>
        </w:rPr>
        <w:t>ENTREGA DE INFORMACIÓN GEOGRÁFICA Y CARTOGRÁFICA</w:t>
      </w:r>
      <w:bookmarkEnd w:id="1982"/>
      <w:bookmarkEnd w:id="1983"/>
    </w:p>
    <w:p w14:paraId="5A2B706F" w14:textId="77777777" w:rsidR="00A101A4" w:rsidRPr="00BD1319" w:rsidRDefault="00A101A4" w:rsidP="00C86DA5">
      <w:pPr>
        <w:overflowPunct/>
        <w:autoSpaceDE/>
        <w:autoSpaceDN/>
        <w:adjustRightInd/>
        <w:textAlignment w:val="auto"/>
        <w:rPr>
          <w:spacing w:val="-3"/>
        </w:rPr>
      </w:pPr>
    </w:p>
    <w:p w14:paraId="4F85312F" w14:textId="0081FC2C" w:rsidR="00A101A4" w:rsidRPr="00BD1319" w:rsidRDefault="00A101A4">
      <w:pPr>
        <w:overflowPunct/>
        <w:autoSpaceDE/>
        <w:autoSpaceDN/>
        <w:adjustRightInd/>
        <w:textAlignment w:val="auto"/>
        <w:rPr>
          <w:spacing w:val="-3"/>
        </w:rPr>
      </w:pPr>
      <w:r w:rsidRPr="00BD1319">
        <w:rPr>
          <w:spacing w:val="-3"/>
        </w:rPr>
        <w:lastRenderedPageBreak/>
        <w:t>Se debe entregar como parte integral del documento la información geográfica y cartográfica del proyecto</w:t>
      </w:r>
      <w:r w:rsidR="00F32AC0" w:rsidRPr="00BD1319">
        <w:rPr>
          <w:spacing w:val="-3"/>
        </w:rPr>
        <w:t>, obra o actividad</w:t>
      </w:r>
      <w:r w:rsidRPr="00BD1319">
        <w:rPr>
          <w:spacing w:val="-3"/>
        </w:rPr>
        <w:t xml:space="preserve"> de la siguiente manera:</w:t>
      </w:r>
    </w:p>
    <w:p w14:paraId="43BCB044" w14:textId="77777777" w:rsidR="00A101A4" w:rsidRPr="00BD1319" w:rsidRDefault="00A101A4">
      <w:pPr>
        <w:overflowPunct/>
        <w:autoSpaceDE/>
        <w:autoSpaceDN/>
        <w:adjustRightInd/>
        <w:textAlignment w:val="auto"/>
        <w:rPr>
          <w:spacing w:val="-3"/>
        </w:rPr>
      </w:pPr>
    </w:p>
    <w:p w14:paraId="38C2F287" w14:textId="302F721A" w:rsidR="00A101A4" w:rsidRPr="00BD1319" w:rsidRDefault="00A101A4" w:rsidP="00C86DA5">
      <w:pPr>
        <w:numPr>
          <w:ilvl w:val="0"/>
          <w:numId w:val="30"/>
        </w:numPr>
        <w:overflowPunct/>
        <w:autoSpaceDE/>
        <w:autoSpaceDN/>
        <w:adjustRightInd/>
        <w:ind w:left="567" w:hanging="567"/>
        <w:textAlignment w:val="auto"/>
        <w:rPr>
          <w:spacing w:val="-3"/>
        </w:rPr>
      </w:pPr>
      <w:r w:rsidRPr="00BD1319">
        <w:rPr>
          <w:spacing w:val="-3"/>
        </w:rPr>
        <w:t>Una carpeta con los archivos geográficos (</w:t>
      </w:r>
      <w:proofErr w:type="spellStart"/>
      <w:r w:rsidRPr="00BD1319">
        <w:rPr>
          <w:rFonts w:cs="Arial"/>
          <w:spacing w:val="-3"/>
        </w:rPr>
        <w:t>Shapefile</w:t>
      </w:r>
      <w:proofErr w:type="spellEnd"/>
      <w:r w:rsidRPr="00BD1319">
        <w:rPr>
          <w:rFonts w:cs="Arial"/>
          <w:spacing w:val="-3"/>
        </w:rPr>
        <w:t xml:space="preserve">, </w:t>
      </w:r>
      <w:proofErr w:type="spellStart"/>
      <w:r w:rsidRPr="00BD1319">
        <w:rPr>
          <w:rFonts w:cs="Arial"/>
          <w:spacing w:val="-3"/>
        </w:rPr>
        <w:t>GeoPackage</w:t>
      </w:r>
      <w:proofErr w:type="spellEnd"/>
      <w:r w:rsidRPr="00BD1319">
        <w:rPr>
          <w:spacing w:val="-3"/>
        </w:rPr>
        <w:t xml:space="preserve"> o </w:t>
      </w:r>
      <w:proofErr w:type="spellStart"/>
      <w:r w:rsidRPr="00BD1319">
        <w:rPr>
          <w:rFonts w:cs="Arial"/>
          <w:spacing w:val="-3"/>
        </w:rPr>
        <w:t>Geodatabase</w:t>
      </w:r>
      <w:proofErr w:type="spellEnd"/>
      <w:r w:rsidRPr="00BD1319">
        <w:rPr>
          <w:rFonts w:cs="Arial"/>
          <w:spacing w:val="-3"/>
        </w:rPr>
        <w:t xml:space="preserve"> de archivos</w:t>
      </w:r>
      <w:r w:rsidRPr="00BD1319">
        <w:rPr>
          <w:spacing w:val="-3"/>
        </w:rPr>
        <w:t xml:space="preserve">) de la cartografía base según el modelo de datos del IGAC y la cartografía temática según </w:t>
      </w:r>
      <w:r w:rsidRPr="00BD1319">
        <w:rPr>
          <w:rFonts w:cs="Arial"/>
          <w:spacing w:val="-3"/>
        </w:rPr>
        <w:t xml:space="preserve">el </w:t>
      </w:r>
      <w:r w:rsidRPr="00BD1319">
        <w:rPr>
          <w:spacing w:val="-3"/>
        </w:rPr>
        <w:t xml:space="preserve">modelo de </w:t>
      </w:r>
      <w:r w:rsidRPr="00BD1319">
        <w:rPr>
          <w:rFonts w:cs="Arial"/>
          <w:spacing w:val="-3"/>
        </w:rPr>
        <w:t>almacenamiento geográfico establecido en</w:t>
      </w:r>
      <w:r w:rsidRPr="00BD1319">
        <w:rPr>
          <w:spacing w:val="-3"/>
        </w:rPr>
        <w:t xml:space="preserve"> la </w:t>
      </w:r>
      <w:r w:rsidR="00E40C98" w:rsidRPr="00BD1319">
        <w:rPr>
          <w:spacing w:val="-3"/>
        </w:rPr>
        <w:t>R</w:t>
      </w:r>
      <w:r w:rsidRPr="00BD1319">
        <w:rPr>
          <w:spacing w:val="-3"/>
        </w:rPr>
        <w:t>esolución 2182 de 2016 o aquella que la modifique</w:t>
      </w:r>
      <w:r w:rsidRPr="00BD1319">
        <w:rPr>
          <w:rFonts w:cs="Arial"/>
          <w:spacing w:val="-3"/>
        </w:rPr>
        <w:t xml:space="preserve"> o</w:t>
      </w:r>
      <w:r w:rsidRPr="00BD1319">
        <w:rPr>
          <w:spacing w:val="-3"/>
        </w:rPr>
        <w:t xml:space="preserve"> sustituya</w:t>
      </w:r>
      <w:r w:rsidRPr="00BD1319">
        <w:rPr>
          <w:rFonts w:cs="Arial"/>
          <w:spacing w:val="-3"/>
        </w:rPr>
        <w:t xml:space="preserve">. </w:t>
      </w:r>
      <w:r w:rsidR="007E7041" w:rsidRPr="00BD1319">
        <w:rPr>
          <w:rFonts w:cs="Arial"/>
          <w:spacing w:val="-3"/>
        </w:rPr>
        <w:t>Asimismo, se debe entregar</w:t>
      </w:r>
      <w:r w:rsidRPr="00BD1319">
        <w:rPr>
          <w:spacing w:val="-3"/>
        </w:rPr>
        <w:t xml:space="preserve"> un archivo </w:t>
      </w:r>
      <w:r w:rsidRPr="00BD1319">
        <w:rPr>
          <w:i/>
          <w:spacing w:val="-3"/>
        </w:rPr>
        <w:t>léame</w:t>
      </w:r>
      <w:r w:rsidRPr="00BD1319">
        <w:rPr>
          <w:spacing w:val="-3"/>
        </w:rPr>
        <w:t xml:space="preserve">, con la información que se considere relevante </w:t>
      </w:r>
      <w:r w:rsidR="00467CE5" w:rsidRPr="00BD1319">
        <w:rPr>
          <w:spacing w:val="-3"/>
        </w:rPr>
        <w:t xml:space="preserve">referida a </w:t>
      </w:r>
      <w:r w:rsidRPr="00BD1319">
        <w:rPr>
          <w:spacing w:val="-3"/>
        </w:rPr>
        <w:t>justificaciones</w:t>
      </w:r>
      <w:r w:rsidR="00467CE5" w:rsidRPr="00BD1319">
        <w:rPr>
          <w:spacing w:val="-3"/>
        </w:rPr>
        <w:t xml:space="preserve"> o aclaraciones</w:t>
      </w:r>
      <w:r w:rsidRPr="00BD1319">
        <w:rPr>
          <w:spacing w:val="-3"/>
        </w:rPr>
        <w:t xml:space="preserve"> en el diligenciamiento de la </w:t>
      </w:r>
      <w:r w:rsidRPr="00BD1319">
        <w:rPr>
          <w:rFonts w:cs="Arial"/>
          <w:spacing w:val="-3"/>
        </w:rPr>
        <w:t>base de datos geográfica</w:t>
      </w:r>
      <w:r w:rsidRPr="00BD1319">
        <w:rPr>
          <w:spacing w:val="-3"/>
        </w:rPr>
        <w:t>.</w:t>
      </w:r>
    </w:p>
    <w:p w14:paraId="29DEE602" w14:textId="77777777" w:rsidR="00A101A4" w:rsidRPr="00BD1319" w:rsidRDefault="00A101A4">
      <w:pPr>
        <w:overflowPunct/>
        <w:autoSpaceDE/>
        <w:autoSpaceDN/>
        <w:adjustRightInd/>
        <w:textAlignment w:val="auto"/>
        <w:rPr>
          <w:spacing w:val="-3"/>
        </w:rPr>
      </w:pPr>
    </w:p>
    <w:p w14:paraId="672AA0B5" w14:textId="1E8615CA" w:rsidR="00A101A4" w:rsidRPr="00BD1319" w:rsidRDefault="00A101A4" w:rsidP="00E24C49">
      <w:pPr>
        <w:numPr>
          <w:ilvl w:val="0"/>
          <w:numId w:val="30"/>
        </w:numPr>
        <w:overflowPunct/>
        <w:autoSpaceDE/>
        <w:autoSpaceDN/>
        <w:adjustRightInd/>
        <w:ind w:left="567" w:hanging="567"/>
        <w:textAlignment w:val="auto"/>
        <w:rPr>
          <w:spacing w:val="-3"/>
        </w:rPr>
      </w:pPr>
      <w:r w:rsidRPr="00BD1319">
        <w:rPr>
          <w:spacing w:val="-3"/>
        </w:rPr>
        <w:t>Una carpeta con los insumos utilizados en la elaboración de la cartografía (</w:t>
      </w:r>
      <w:r w:rsidR="00041844" w:rsidRPr="00BD1319">
        <w:rPr>
          <w:spacing w:val="-3"/>
        </w:rPr>
        <w:t>p. ej.</w:t>
      </w:r>
      <w:r w:rsidR="00D27114" w:rsidRPr="00BD1319">
        <w:rPr>
          <w:spacing w:val="-3"/>
        </w:rPr>
        <w:t xml:space="preserve"> </w:t>
      </w:r>
      <w:r w:rsidRPr="00BD1319">
        <w:rPr>
          <w:spacing w:val="-3"/>
        </w:rPr>
        <w:t xml:space="preserve">imágenes de sensores remotos, planchas IGAC, </w:t>
      </w:r>
      <w:r w:rsidR="00D27114" w:rsidRPr="00BD1319">
        <w:rPr>
          <w:spacing w:val="-3"/>
        </w:rPr>
        <w:t xml:space="preserve">y </w:t>
      </w:r>
      <w:r w:rsidRPr="00BD1319">
        <w:rPr>
          <w:spacing w:val="-3"/>
        </w:rPr>
        <w:t>planos de POT</w:t>
      </w:r>
      <w:r w:rsidR="00D27114" w:rsidRPr="00BD1319">
        <w:rPr>
          <w:spacing w:val="-3"/>
        </w:rPr>
        <w:t xml:space="preserve"> </w:t>
      </w:r>
      <w:r w:rsidR="00E40C98" w:rsidRPr="00BD1319">
        <w:rPr>
          <w:spacing w:val="-3"/>
        </w:rPr>
        <w:t>o</w:t>
      </w:r>
      <w:r w:rsidRPr="00BD1319">
        <w:rPr>
          <w:spacing w:val="-3"/>
        </w:rPr>
        <w:t xml:space="preserve"> </w:t>
      </w:r>
      <w:proofErr w:type="spellStart"/>
      <w:r w:rsidR="003C70CD" w:rsidRPr="00BD1319">
        <w:rPr>
          <w:spacing w:val="-3"/>
        </w:rPr>
        <w:t>Pomca</w:t>
      </w:r>
      <w:proofErr w:type="spellEnd"/>
      <w:r w:rsidRPr="00BD1319">
        <w:rPr>
          <w:spacing w:val="-3"/>
        </w:rPr>
        <w:t>).</w:t>
      </w:r>
    </w:p>
    <w:p w14:paraId="6964329E" w14:textId="77777777" w:rsidR="00A101A4" w:rsidRPr="00BD1319" w:rsidRDefault="00A101A4">
      <w:pPr>
        <w:overflowPunct/>
        <w:autoSpaceDE/>
        <w:autoSpaceDN/>
        <w:adjustRightInd/>
        <w:textAlignment w:val="auto"/>
        <w:rPr>
          <w:spacing w:val="-3"/>
        </w:rPr>
      </w:pPr>
    </w:p>
    <w:p w14:paraId="43F6C2B2" w14:textId="4325FD41" w:rsidR="00A101A4" w:rsidRPr="00BD1319" w:rsidRDefault="00A101A4" w:rsidP="00E24C49">
      <w:pPr>
        <w:numPr>
          <w:ilvl w:val="0"/>
          <w:numId w:val="30"/>
        </w:numPr>
        <w:overflowPunct/>
        <w:autoSpaceDE/>
        <w:autoSpaceDN/>
        <w:adjustRightInd/>
        <w:ind w:left="567" w:hanging="567"/>
        <w:textAlignment w:val="auto"/>
        <w:rPr>
          <w:spacing w:val="-3"/>
        </w:rPr>
      </w:pPr>
      <w:r w:rsidRPr="00BD1319">
        <w:rPr>
          <w:spacing w:val="-3"/>
        </w:rPr>
        <w:t xml:space="preserve">Una carpeta con los metadatos documentales y geográficos </w:t>
      </w:r>
      <w:r w:rsidR="005317BD" w:rsidRPr="00BD1319">
        <w:rPr>
          <w:spacing w:val="-3"/>
        </w:rPr>
        <w:t xml:space="preserve">creados en </w:t>
      </w:r>
      <w:r w:rsidRPr="00BD1319">
        <w:rPr>
          <w:spacing w:val="-3"/>
        </w:rPr>
        <w:t>la plantilla de metadato dispuesta en la página Web de la ANLA.</w:t>
      </w:r>
    </w:p>
    <w:p w14:paraId="6C9804B2" w14:textId="77777777" w:rsidR="00A101A4" w:rsidRPr="00BD1319" w:rsidRDefault="00A101A4">
      <w:pPr>
        <w:overflowPunct/>
        <w:autoSpaceDE/>
        <w:autoSpaceDN/>
        <w:adjustRightInd/>
        <w:textAlignment w:val="auto"/>
        <w:rPr>
          <w:spacing w:val="-3"/>
        </w:rPr>
      </w:pPr>
    </w:p>
    <w:p w14:paraId="1EF91F4C" w14:textId="54D70BE6" w:rsidR="00A101A4" w:rsidRPr="00BD1319" w:rsidRDefault="00A101A4" w:rsidP="00E24C49">
      <w:pPr>
        <w:numPr>
          <w:ilvl w:val="0"/>
          <w:numId w:val="30"/>
        </w:numPr>
        <w:overflowPunct/>
        <w:autoSpaceDE/>
        <w:autoSpaceDN/>
        <w:adjustRightInd/>
        <w:ind w:left="567" w:hanging="567"/>
        <w:textAlignment w:val="auto"/>
        <w:rPr>
          <w:spacing w:val="-3"/>
        </w:rPr>
      </w:pPr>
      <w:r w:rsidRPr="00BD1319">
        <w:rPr>
          <w:spacing w:val="-3"/>
        </w:rPr>
        <w:t xml:space="preserve">Una carpeta con los mapas </w:t>
      </w:r>
      <w:r w:rsidR="005317BD" w:rsidRPr="00BD1319">
        <w:rPr>
          <w:spacing w:val="-3"/>
        </w:rPr>
        <w:t xml:space="preserve">del estudio ambiental </w:t>
      </w:r>
      <w:r w:rsidRPr="00BD1319">
        <w:rPr>
          <w:spacing w:val="-3"/>
        </w:rPr>
        <w:t xml:space="preserve">en formato </w:t>
      </w:r>
      <w:proofErr w:type="spellStart"/>
      <w:r w:rsidRPr="00BD1319">
        <w:rPr>
          <w:spacing w:val="-3"/>
        </w:rPr>
        <w:t>pdf</w:t>
      </w:r>
      <w:proofErr w:type="spellEnd"/>
      <w:r w:rsidRPr="00BD1319">
        <w:rPr>
          <w:spacing w:val="-3"/>
        </w:rPr>
        <w:t>.</w:t>
      </w:r>
    </w:p>
    <w:p w14:paraId="5632592F" w14:textId="77777777" w:rsidR="00A101A4" w:rsidRPr="00BD1319" w:rsidRDefault="00A101A4">
      <w:pPr>
        <w:overflowPunct/>
        <w:autoSpaceDE/>
        <w:autoSpaceDN/>
        <w:adjustRightInd/>
        <w:textAlignment w:val="auto"/>
        <w:rPr>
          <w:spacing w:val="-3"/>
        </w:rPr>
      </w:pPr>
    </w:p>
    <w:p w14:paraId="64945137" w14:textId="027E8FD1" w:rsidR="00A101A4" w:rsidRPr="00BD1319" w:rsidRDefault="00A101A4" w:rsidP="00E24C49">
      <w:pPr>
        <w:numPr>
          <w:ilvl w:val="0"/>
          <w:numId w:val="30"/>
        </w:numPr>
        <w:overflowPunct/>
        <w:autoSpaceDE/>
        <w:autoSpaceDN/>
        <w:adjustRightInd/>
        <w:ind w:left="567" w:hanging="567"/>
        <w:textAlignment w:val="auto"/>
        <w:rPr>
          <w:spacing w:val="-3"/>
        </w:rPr>
      </w:pPr>
      <w:r w:rsidRPr="00BD1319">
        <w:rPr>
          <w:spacing w:val="-3"/>
        </w:rPr>
        <w:t xml:space="preserve">Una carpeta con las plantillas utilizadas para la elaboración de cada uno de los mapas presentados (archivos </w:t>
      </w:r>
      <w:proofErr w:type="spellStart"/>
      <w:r w:rsidR="00F31DF0" w:rsidRPr="00BD1319">
        <w:rPr>
          <w:spacing w:val="-3"/>
        </w:rPr>
        <w:t>aprx</w:t>
      </w:r>
      <w:proofErr w:type="spellEnd"/>
      <w:r w:rsidR="00F31DF0" w:rsidRPr="00BD1319">
        <w:rPr>
          <w:spacing w:val="-3"/>
        </w:rPr>
        <w:t xml:space="preserve">, </w:t>
      </w:r>
      <w:proofErr w:type="spellStart"/>
      <w:r w:rsidRPr="00BD1319">
        <w:rPr>
          <w:spacing w:val="-3"/>
        </w:rPr>
        <w:t>mxd</w:t>
      </w:r>
      <w:proofErr w:type="spellEnd"/>
      <w:r w:rsidRPr="00BD1319">
        <w:rPr>
          <w:spacing w:val="-3"/>
        </w:rPr>
        <w:t xml:space="preserve">, </w:t>
      </w:r>
      <w:proofErr w:type="spellStart"/>
      <w:r w:rsidRPr="00BD1319">
        <w:rPr>
          <w:spacing w:val="-3"/>
        </w:rPr>
        <w:t>gvsproj</w:t>
      </w:r>
      <w:proofErr w:type="spellEnd"/>
      <w:r w:rsidRPr="00BD1319">
        <w:rPr>
          <w:spacing w:val="-3"/>
        </w:rPr>
        <w:t xml:space="preserve">, </w:t>
      </w:r>
      <w:proofErr w:type="spellStart"/>
      <w:r w:rsidRPr="00BD1319">
        <w:rPr>
          <w:spacing w:val="-3"/>
        </w:rPr>
        <w:t>qgz</w:t>
      </w:r>
      <w:proofErr w:type="spellEnd"/>
      <w:r w:rsidRPr="00BD1319">
        <w:rPr>
          <w:spacing w:val="-3"/>
        </w:rPr>
        <w:t xml:space="preserve"> o </w:t>
      </w:r>
      <w:proofErr w:type="spellStart"/>
      <w:r w:rsidRPr="00BD1319">
        <w:rPr>
          <w:spacing w:val="-3"/>
        </w:rPr>
        <w:t>qsg</w:t>
      </w:r>
      <w:proofErr w:type="spellEnd"/>
      <w:r w:rsidRPr="00BD1319">
        <w:rPr>
          <w:spacing w:val="-3"/>
        </w:rPr>
        <w:t xml:space="preserve">). En caso de no entregar las plantillas, se debe entregar una carpeta con los archivos de simbología de las capas (archivos </w:t>
      </w:r>
      <w:proofErr w:type="spellStart"/>
      <w:r w:rsidRPr="00BD1319">
        <w:rPr>
          <w:spacing w:val="-3"/>
        </w:rPr>
        <w:t>lyr</w:t>
      </w:r>
      <w:proofErr w:type="spellEnd"/>
      <w:r w:rsidRPr="00BD1319">
        <w:rPr>
          <w:spacing w:val="-3"/>
        </w:rPr>
        <w:t xml:space="preserve">, </w:t>
      </w:r>
      <w:proofErr w:type="spellStart"/>
      <w:r w:rsidRPr="00BD1319">
        <w:rPr>
          <w:spacing w:val="-3"/>
        </w:rPr>
        <w:t>qml</w:t>
      </w:r>
      <w:proofErr w:type="spellEnd"/>
      <w:r w:rsidRPr="00BD1319">
        <w:rPr>
          <w:spacing w:val="-3"/>
        </w:rPr>
        <w:t xml:space="preserve">, </w:t>
      </w:r>
      <w:proofErr w:type="spellStart"/>
      <w:r w:rsidRPr="00BD1319">
        <w:rPr>
          <w:spacing w:val="-3"/>
        </w:rPr>
        <w:t>gvsleg</w:t>
      </w:r>
      <w:proofErr w:type="spellEnd"/>
      <w:r w:rsidRPr="00BD1319">
        <w:rPr>
          <w:spacing w:val="-3"/>
        </w:rPr>
        <w:t xml:space="preserve"> o </w:t>
      </w:r>
      <w:proofErr w:type="spellStart"/>
      <w:r w:rsidRPr="00BD1319">
        <w:rPr>
          <w:spacing w:val="-3"/>
        </w:rPr>
        <w:t>sld</w:t>
      </w:r>
      <w:proofErr w:type="spellEnd"/>
      <w:r w:rsidRPr="00BD1319">
        <w:rPr>
          <w:spacing w:val="-3"/>
        </w:rPr>
        <w:t>).</w:t>
      </w:r>
    </w:p>
    <w:p w14:paraId="28FC8F76" w14:textId="77777777" w:rsidR="00A101A4" w:rsidRPr="00BD1319" w:rsidRDefault="00A101A4">
      <w:pPr>
        <w:overflowPunct/>
        <w:autoSpaceDE/>
        <w:autoSpaceDN/>
        <w:adjustRightInd/>
        <w:textAlignment w:val="auto"/>
        <w:rPr>
          <w:spacing w:val="-3"/>
        </w:rPr>
      </w:pPr>
    </w:p>
    <w:p w14:paraId="7C186B98" w14:textId="77777777" w:rsidR="00A101A4" w:rsidRPr="00BD1319" w:rsidRDefault="00A101A4">
      <w:pPr>
        <w:overflowPunct/>
        <w:autoSpaceDE/>
        <w:autoSpaceDN/>
        <w:adjustRightInd/>
        <w:textAlignment w:val="auto"/>
        <w:rPr>
          <w:spacing w:val="-3"/>
        </w:rPr>
      </w:pPr>
      <w:r w:rsidRPr="00BD1319">
        <w:rPr>
          <w:spacing w:val="-3"/>
        </w:rPr>
        <w:t>Para la presentación de la cartografía se debe verificar que ésta contenga como mínimo los elementos que se mencionan a continuación:</w:t>
      </w:r>
    </w:p>
    <w:p w14:paraId="4FE49C3B" w14:textId="77777777" w:rsidR="00A101A4" w:rsidRPr="00BD1319" w:rsidRDefault="00A101A4">
      <w:pPr>
        <w:overflowPunct/>
        <w:autoSpaceDE/>
        <w:autoSpaceDN/>
        <w:adjustRightInd/>
        <w:textAlignment w:val="auto"/>
        <w:rPr>
          <w:spacing w:val="-3"/>
        </w:rPr>
      </w:pPr>
    </w:p>
    <w:p w14:paraId="104A6093" w14:textId="70AD982F" w:rsidR="00A101A4" w:rsidRPr="00BD1319" w:rsidRDefault="00A101A4" w:rsidP="00C86DA5">
      <w:pPr>
        <w:numPr>
          <w:ilvl w:val="0"/>
          <w:numId w:val="5"/>
        </w:numPr>
        <w:overflowPunct/>
        <w:autoSpaceDE/>
        <w:autoSpaceDN/>
        <w:adjustRightInd/>
        <w:ind w:left="567" w:hanging="567"/>
        <w:textAlignment w:val="auto"/>
        <w:rPr>
          <w:spacing w:val="-3"/>
        </w:rPr>
      </w:pPr>
      <w:r w:rsidRPr="00BD1319">
        <w:rPr>
          <w:spacing w:val="-3"/>
        </w:rPr>
        <w:t>Localización político-administrativa del proyecto</w:t>
      </w:r>
      <w:r w:rsidR="00F32AC0" w:rsidRPr="00BD1319">
        <w:rPr>
          <w:spacing w:val="-3"/>
        </w:rPr>
        <w:t>, obra o actividad</w:t>
      </w:r>
      <w:r w:rsidRPr="00BD1319">
        <w:rPr>
          <w:spacing w:val="-3"/>
        </w:rPr>
        <w:t xml:space="preserve"> hasta el nivel municipal.</w:t>
      </w:r>
    </w:p>
    <w:p w14:paraId="1067926A" w14:textId="77777777" w:rsidR="00A101A4" w:rsidRPr="00BD1319" w:rsidRDefault="00A101A4">
      <w:pPr>
        <w:overflowPunct/>
        <w:autoSpaceDE/>
        <w:autoSpaceDN/>
        <w:adjustRightInd/>
        <w:textAlignment w:val="auto"/>
        <w:rPr>
          <w:spacing w:val="-3"/>
        </w:rPr>
      </w:pPr>
    </w:p>
    <w:p w14:paraId="7068AA05" w14:textId="65211E34" w:rsidR="00A101A4" w:rsidRPr="00BD1319" w:rsidRDefault="00A101A4" w:rsidP="000D6E21">
      <w:pPr>
        <w:numPr>
          <w:ilvl w:val="0"/>
          <w:numId w:val="30"/>
        </w:numPr>
        <w:overflowPunct/>
        <w:autoSpaceDE/>
        <w:autoSpaceDN/>
        <w:adjustRightInd/>
        <w:ind w:left="567" w:hanging="567"/>
        <w:textAlignment w:val="auto"/>
        <w:rPr>
          <w:spacing w:val="-3"/>
        </w:rPr>
      </w:pPr>
      <w:r w:rsidRPr="00BD1319">
        <w:rPr>
          <w:spacing w:val="-3"/>
        </w:rPr>
        <w:t xml:space="preserve">Fuente de información de la cartográfica básica </w:t>
      </w:r>
      <w:r w:rsidR="005317BD" w:rsidRPr="00BD1319">
        <w:rPr>
          <w:spacing w:val="-3"/>
        </w:rPr>
        <w:t>(</w:t>
      </w:r>
      <w:r w:rsidR="00041844" w:rsidRPr="00BD1319">
        <w:rPr>
          <w:spacing w:val="-3"/>
        </w:rPr>
        <w:t>p. ej.</w:t>
      </w:r>
      <w:r w:rsidRPr="00BD1319">
        <w:rPr>
          <w:spacing w:val="-3"/>
        </w:rPr>
        <w:t xml:space="preserve"> número de planchas IGAC</w:t>
      </w:r>
      <w:r w:rsidR="005317BD" w:rsidRPr="00BD1319">
        <w:rPr>
          <w:spacing w:val="-3"/>
        </w:rPr>
        <w:t>)</w:t>
      </w:r>
      <w:r w:rsidRPr="00BD1319">
        <w:rPr>
          <w:spacing w:val="-3"/>
        </w:rPr>
        <w:t>.</w:t>
      </w:r>
    </w:p>
    <w:p w14:paraId="7A4F86E3" w14:textId="77777777" w:rsidR="00A101A4" w:rsidRPr="00BD1319" w:rsidRDefault="00A101A4">
      <w:pPr>
        <w:overflowPunct/>
        <w:autoSpaceDE/>
        <w:autoSpaceDN/>
        <w:adjustRightInd/>
        <w:textAlignment w:val="auto"/>
        <w:rPr>
          <w:spacing w:val="-3"/>
        </w:rPr>
      </w:pPr>
    </w:p>
    <w:p w14:paraId="57F6A315" w14:textId="1C45E80F" w:rsidR="00A101A4" w:rsidRPr="00BD1319" w:rsidRDefault="00A101A4" w:rsidP="000D6E21">
      <w:pPr>
        <w:numPr>
          <w:ilvl w:val="0"/>
          <w:numId w:val="30"/>
        </w:numPr>
        <w:overflowPunct/>
        <w:autoSpaceDE/>
        <w:autoSpaceDN/>
        <w:adjustRightInd/>
        <w:ind w:left="567" w:hanging="567"/>
        <w:textAlignment w:val="auto"/>
        <w:rPr>
          <w:spacing w:val="-3"/>
        </w:rPr>
      </w:pPr>
      <w:r w:rsidRPr="00BD1319">
        <w:rPr>
          <w:spacing w:val="-3"/>
        </w:rPr>
        <w:t xml:space="preserve">Fuente de información de la cartográfica temática y datos relacionados </w:t>
      </w:r>
      <w:r w:rsidR="005317BD" w:rsidRPr="00BD1319">
        <w:rPr>
          <w:spacing w:val="-3"/>
        </w:rPr>
        <w:t>(</w:t>
      </w:r>
      <w:r w:rsidR="00041844" w:rsidRPr="00BD1319">
        <w:rPr>
          <w:spacing w:val="-3"/>
        </w:rPr>
        <w:t>p. ej.</w:t>
      </w:r>
      <w:r w:rsidRPr="00BD1319">
        <w:rPr>
          <w:spacing w:val="-3"/>
        </w:rPr>
        <w:t xml:space="preserve"> número de fotografía aérea, escala de la fotografía y fecha de interpretación</w:t>
      </w:r>
      <w:r w:rsidR="005317BD" w:rsidRPr="00BD1319">
        <w:rPr>
          <w:spacing w:val="-3"/>
        </w:rPr>
        <w:t>)</w:t>
      </w:r>
      <w:r w:rsidRPr="00BD1319">
        <w:rPr>
          <w:spacing w:val="-3"/>
        </w:rPr>
        <w:t>.</w:t>
      </w:r>
    </w:p>
    <w:p w14:paraId="2BDB36C5" w14:textId="77777777" w:rsidR="00A101A4" w:rsidRPr="00BD1319" w:rsidRDefault="00A101A4">
      <w:pPr>
        <w:overflowPunct/>
        <w:autoSpaceDE/>
        <w:autoSpaceDN/>
        <w:adjustRightInd/>
        <w:textAlignment w:val="auto"/>
        <w:rPr>
          <w:spacing w:val="-3"/>
        </w:rPr>
      </w:pPr>
    </w:p>
    <w:p w14:paraId="13D0EAC0" w14:textId="4CBA4FC8" w:rsidR="00A101A4" w:rsidRPr="00BD1319" w:rsidRDefault="00A101A4" w:rsidP="000D6E21">
      <w:pPr>
        <w:numPr>
          <w:ilvl w:val="0"/>
          <w:numId w:val="30"/>
        </w:numPr>
        <w:overflowPunct/>
        <w:autoSpaceDE/>
        <w:autoSpaceDN/>
        <w:adjustRightInd/>
        <w:ind w:left="567" w:hanging="567"/>
        <w:textAlignment w:val="auto"/>
        <w:rPr>
          <w:spacing w:val="-3"/>
        </w:rPr>
      </w:pPr>
      <w:r w:rsidRPr="00BD1319">
        <w:rPr>
          <w:spacing w:val="-3"/>
        </w:rPr>
        <w:t>Escala de trabajo y escala de presentación.</w:t>
      </w:r>
    </w:p>
    <w:p w14:paraId="2F50A582" w14:textId="77777777" w:rsidR="00FD15C0" w:rsidRPr="00BD1319" w:rsidRDefault="00FD15C0" w:rsidP="00FD15C0">
      <w:pPr>
        <w:overflowPunct/>
        <w:autoSpaceDE/>
        <w:autoSpaceDN/>
        <w:adjustRightInd/>
        <w:textAlignment w:val="auto"/>
        <w:rPr>
          <w:rFonts w:cs="Arial"/>
          <w:spacing w:val="-3"/>
        </w:rPr>
      </w:pPr>
    </w:p>
    <w:p w14:paraId="061C4CC2" w14:textId="29FD608E" w:rsidR="00A101A4" w:rsidRPr="00BD1319" w:rsidRDefault="00A101A4" w:rsidP="000D6E21">
      <w:pPr>
        <w:numPr>
          <w:ilvl w:val="0"/>
          <w:numId w:val="30"/>
        </w:numPr>
        <w:overflowPunct/>
        <w:autoSpaceDE/>
        <w:autoSpaceDN/>
        <w:adjustRightInd/>
        <w:ind w:left="567" w:hanging="567"/>
        <w:textAlignment w:val="auto"/>
        <w:rPr>
          <w:spacing w:val="-3"/>
        </w:rPr>
      </w:pPr>
      <w:r w:rsidRPr="00BD1319">
        <w:rPr>
          <w:spacing w:val="-3"/>
        </w:rPr>
        <w:lastRenderedPageBreak/>
        <w:t>Fecha de elaboración del proyecto.</w:t>
      </w:r>
    </w:p>
    <w:p w14:paraId="06B96C25" w14:textId="77777777" w:rsidR="00A101A4" w:rsidRPr="00BD1319" w:rsidRDefault="00A101A4">
      <w:pPr>
        <w:overflowPunct/>
        <w:autoSpaceDE/>
        <w:autoSpaceDN/>
        <w:adjustRightInd/>
        <w:textAlignment w:val="auto"/>
        <w:rPr>
          <w:spacing w:val="-3"/>
        </w:rPr>
      </w:pPr>
    </w:p>
    <w:p w14:paraId="12768DBA" w14:textId="77777777" w:rsidR="00A101A4" w:rsidRPr="00BD1319" w:rsidRDefault="00A101A4" w:rsidP="00C86DA5">
      <w:pPr>
        <w:numPr>
          <w:ilvl w:val="0"/>
          <w:numId w:val="5"/>
        </w:numPr>
        <w:overflowPunct/>
        <w:autoSpaceDE/>
        <w:autoSpaceDN/>
        <w:adjustRightInd/>
        <w:ind w:left="567" w:hanging="567"/>
        <w:textAlignment w:val="auto"/>
        <w:rPr>
          <w:spacing w:val="-3"/>
        </w:rPr>
      </w:pPr>
      <w:r w:rsidRPr="00BD1319">
        <w:rPr>
          <w:spacing w:val="-3"/>
        </w:rPr>
        <w:t>Norte.</w:t>
      </w:r>
    </w:p>
    <w:p w14:paraId="6927DA94" w14:textId="77777777" w:rsidR="00A101A4" w:rsidRPr="00BD1319" w:rsidRDefault="00A101A4">
      <w:pPr>
        <w:overflowPunct/>
        <w:autoSpaceDE/>
        <w:autoSpaceDN/>
        <w:adjustRightInd/>
        <w:textAlignment w:val="auto"/>
        <w:rPr>
          <w:spacing w:val="-3"/>
        </w:rPr>
      </w:pPr>
    </w:p>
    <w:p w14:paraId="38F960F1" w14:textId="41A740A6" w:rsidR="00A101A4" w:rsidRPr="00BD1319" w:rsidRDefault="00AC3830" w:rsidP="000D6E21">
      <w:pPr>
        <w:numPr>
          <w:ilvl w:val="0"/>
          <w:numId w:val="30"/>
        </w:numPr>
        <w:overflowPunct/>
        <w:autoSpaceDE/>
        <w:autoSpaceDN/>
        <w:adjustRightInd/>
        <w:ind w:left="567" w:hanging="567"/>
        <w:textAlignment w:val="auto"/>
        <w:rPr>
          <w:spacing w:val="-3"/>
        </w:rPr>
      </w:pPr>
      <w:r w:rsidRPr="00BD1319">
        <w:rPr>
          <w:spacing w:val="-3"/>
        </w:rPr>
        <w:t>Cuadrícula</w:t>
      </w:r>
      <w:r w:rsidR="00A101A4" w:rsidRPr="00BD1319">
        <w:rPr>
          <w:spacing w:val="-3"/>
        </w:rPr>
        <w:t xml:space="preserve"> de coordenadas.</w:t>
      </w:r>
    </w:p>
    <w:p w14:paraId="5208DD15" w14:textId="77777777" w:rsidR="00A101A4" w:rsidRPr="00BD1319" w:rsidRDefault="00A101A4">
      <w:pPr>
        <w:overflowPunct/>
        <w:autoSpaceDE/>
        <w:autoSpaceDN/>
        <w:adjustRightInd/>
        <w:textAlignment w:val="auto"/>
        <w:rPr>
          <w:spacing w:val="-3"/>
        </w:rPr>
      </w:pPr>
    </w:p>
    <w:p w14:paraId="39165F2C" w14:textId="31C98BDB" w:rsidR="00A101A4" w:rsidRPr="00BD1319" w:rsidRDefault="00A101A4" w:rsidP="000D6E21">
      <w:pPr>
        <w:numPr>
          <w:ilvl w:val="0"/>
          <w:numId w:val="30"/>
        </w:numPr>
        <w:overflowPunct/>
        <w:autoSpaceDE/>
        <w:autoSpaceDN/>
        <w:adjustRightInd/>
        <w:ind w:left="567" w:hanging="567"/>
        <w:textAlignment w:val="auto"/>
        <w:rPr>
          <w:spacing w:val="-3"/>
        </w:rPr>
      </w:pPr>
      <w:r w:rsidRPr="00BD1319">
        <w:rPr>
          <w:spacing w:val="-3"/>
        </w:rPr>
        <w:t>Sistema de referencia.</w:t>
      </w:r>
    </w:p>
    <w:p w14:paraId="2A4DEE15" w14:textId="77777777" w:rsidR="00A101A4" w:rsidRPr="00BD1319" w:rsidRDefault="00A101A4">
      <w:pPr>
        <w:overflowPunct/>
        <w:autoSpaceDE/>
        <w:autoSpaceDN/>
        <w:adjustRightInd/>
        <w:textAlignment w:val="auto"/>
        <w:rPr>
          <w:spacing w:val="-3"/>
        </w:rPr>
      </w:pPr>
    </w:p>
    <w:p w14:paraId="0AB35FF8" w14:textId="57C0DA84" w:rsidR="00A101A4" w:rsidRPr="00BD1319" w:rsidRDefault="00A101A4" w:rsidP="000D6E21">
      <w:pPr>
        <w:numPr>
          <w:ilvl w:val="0"/>
          <w:numId w:val="30"/>
        </w:numPr>
        <w:overflowPunct/>
        <w:autoSpaceDE/>
        <w:autoSpaceDN/>
        <w:adjustRightInd/>
        <w:ind w:left="567" w:hanging="567"/>
        <w:textAlignment w:val="auto"/>
        <w:rPr>
          <w:spacing w:val="-3"/>
        </w:rPr>
      </w:pPr>
      <w:r w:rsidRPr="00BD1319">
        <w:rPr>
          <w:spacing w:val="-3"/>
        </w:rPr>
        <w:t>Número del mapa.</w:t>
      </w:r>
    </w:p>
    <w:p w14:paraId="1E755362" w14:textId="77777777" w:rsidR="00A101A4" w:rsidRPr="00BD1319" w:rsidRDefault="00A101A4">
      <w:pPr>
        <w:overflowPunct/>
        <w:autoSpaceDE/>
        <w:autoSpaceDN/>
        <w:adjustRightInd/>
        <w:textAlignment w:val="auto"/>
        <w:rPr>
          <w:spacing w:val="-3"/>
        </w:rPr>
      </w:pPr>
    </w:p>
    <w:p w14:paraId="160CA97A" w14:textId="38ECB509" w:rsidR="00A101A4" w:rsidRPr="00BD1319" w:rsidRDefault="00A101A4" w:rsidP="000D6E21">
      <w:pPr>
        <w:numPr>
          <w:ilvl w:val="0"/>
          <w:numId w:val="30"/>
        </w:numPr>
        <w:overflowPunct/>
        <w:autoSpaceDE/>
        <w:autoSpaceDN/>
        <w:adjustRightInd/>
        <w:ind w:left="567" w:hanging="567"/>
        <w:textAlignment w:val="auto"/>
        <w:rPr>
          <w:spacing w:val="-3"/>
        </w:rPr>
      </w:pPr>
      <w:r w:rsidRPr="00BD1319">
        <w:rPr>
          <w:spacing w:val="-3"/>
        </w:rPr>
        <w:t>Nombre de empresa solicitante.</w:t>
      </w:r>
    </w:p>
    <w:p w14:paraId="7ECE5CBF" w14:textId="77777777" w:rsidR="00A101A4" w:rsidRPr="00BD1319" w:rsidRDefault="00A101A4">
      <w:pPr>
        <w:overflowPunct/>
        <w:autoSpaceDE/>
        <w:autoSpaceDN/>
        <w:adjustRightInd/>
        <w:textAlignment w:val="auto"/>
        <w:rPr>
          <w:spacing w:val="-3"/>
        </w:rPr>
      </w:pPr>
    </w:p>
    <w:p w14:paraId="4DC90AC4" w14:textId="64C92FA4" w:rsidR="00A101A4" w:rsidRPr="00BD1319" w:rsidRDefault="00A101A4" w:rsidP="000D6E21">
      <w:pPr>
        <w:numPr>
          <w:ilvl w:val="0"/>
          <w:numId w:val="30"/>
        </w:numPr>
        <w:overflowPunct/>
        <w:autoSpaceDE/>
        <w:autoSpaceDN/>
        <w:adjustRightInd/>
        <w:ind w:left="567" w:hanging="567"/>
        <w:textAlignment w:val="auto"/>
        <w:rPr>
          <w:spacing w:val="-3"/>
        </w:rPr>
      </w:pPr>
      <w:r w:rsidRPr="00BD1319">
        <w:rPr>
          <w:spacing w:val="-3"/>
        </w:rPr>
        <w:t>Nombre de empresa consultora.</w:t>
      </w:r>
    </w:p>
    <w:p w14:paraId="43EA3548" w14:textId="77777777" w:rsidR="00FD15C0" w:rsidRPr="00BD1319" w:rsidRDefault="00FD15C0" w:rsidP="00FD15C0">
      <w:pPr>
        <w:rPr>
          <w:rFonts w:cs="Arial"/>
          <w:spacing w:val="-3"/>
        </w:rPr>
      </w:pPr>
    </w:p>
    <w:p w14:paraId="34AED2F3" w14:textId="77777777" w:rsidR="00A101A4" w:rsidRPr="00BD1319" w:rsidRDefault="00A101A4" w:rsidP="00C86DA5">
      <w:pPr>
        <w:overflowPunct/>
        <w:autoSpaceDE/>
        <w:autoSpaceDN/>
        <w:adjustRightInd/>
        <w:jc w:val="left"/>
        <w:textAlignment w:val="auto"/>
        <w:rPr>
          <w:b/>
        </w:rPr>
      </w:pPr>
      <w:r w:rsidRPr="00BD1319">
        <w:br w:type="page"/>
      </w:r>
    </w:p>
    <w:p w14:paraId="79C56E99" w14:textId="77777777" w:rsidR="001B4589" w:rsidRPr="00BD1319" w:rsidRDefault="001B4589" w:rsidP="000D6E21">
      <w:pPr>
        <w:numPr>
          <w:ilvl w:val="12"/>
          <w:numId w:val="0"/>
        </w:numPr>
        <w:tabs>
          <w:tab w:val="left" w:pos="-2268"/>
        </w:tabs>
        <w:suppressAutoHyphens/>
        <w:rPr>
          <w:spacing w:val="-3"/>
        </w:rPr>
      </w:pPr>
    </w:p>
    <w:p w14:paraId="7060E405" w14:textId="2166A49A" w:rsidR="000F2600" w:rsidRPr="00BD1319" w:rsidRDefault="000F2600" w:rsidP="001831AE">
      <w:pPr>
        <w:pStyle w:val="Captulonmero"/>
        <w:rPr>
          <w:lang w:val="es-CO"/>
        </w:rPr>
      </w:pPr>
      <w:bookmarkStart w:id="1984" w:name="_Toc175326683"/>
      <w:r w:rsidRPr="00BD1319">
        <w:rPr>
          <w:lang w:val="es-CO"/>
        </w:rPr>
        <w:t>ESPECIFICACIONES TÉCNICAS DEL DIAGNÓSTICO AMBIENTAL DE ALTERNATIVAS</w:t>
      </w:r>
      <w:bookmarkEnd w:id="1931"/>
      <w:bookmarkEnd w:id="1932"/>
      <w:bookmarkEnd w:id="1933"/>
      <w:bookmarkEnd w:id="1934"/>
      <w:bookmarkEnd w:id="1984"/>
    </w:p>
    <w:p w14:paraId="469E3C84" w14:textId="77777777" w:rsidR="001125D2" w:rsidRPr="00BD1319" w:rsidRDefault="001125D2" w:rsidP="001125D2">
      <w:pPr>
        <w:numPr>
          <w:ilvl w:val="12"/>
          <w:numId w:val="0"/>
        </w:numPr>
        <w:tabs>
          <w:tab w:val="left" w:pos="-2268"/>
        </w:tabs>
        <w:suppressAutoHyphens/>
        <w:rPr>
          <w:spacing w:val="-3"/>
        </w:rPr>
      </w:pPr>
    </w:p>
    <w:p w14:paraId="5DBCD347" w14:textId="4EB44094" w:rsidR="001125D2" w:rsidRPr="00BD1319" w:rsidRDefault="001125D2" w:rsidP="001125D2">
      <w:pPr>
        <w:numPr>
          <w:ilvl w:val="12"/>
          <w:numId w:val="0"/>
        </w:numPr>
        <w:tabs>
          <w:tab w:val="left" w:pos="-2268"/>
        </w:tabs>
        <w:suppressAutoHyphens/>
        <w:rPr>
          <w:rFonts w:cs="Arial"/>
          <w:spacing w:val="-3"/>
        </w:rPr>
      </w:pPr>
      <w:r w:rsidRPr="00BD1319">
        <w:rPr>
          <w:rFonts w:cs="Arial"/>
          <w:spacing w:val="-3"/>
        </w:rPr>
        <w:t xml:space="preserve">El Diagnóstico Ambiental de Alternativas (DAA) tiene como propósito brindar a la autoridad ambiental competente, la información necesaria y suficiente que le permita evaluar y comparar </w:t>
      </w:r>
      <w:r w:rsidR="002A2322" w:rsidRPr="00BD1319">
        <w:rPr>
          <w:rFonts w:cs="Arial"/>
          <w:spacing w:val="-3"/>
        </w:rPr>
        <w:t xml:space="preserve">las </w:t>
      </w:r>
      <w:r w:rsidRPr="00BD1319">
        <w:rPr>
          <w:rFonts w:cs="Arial"/>
          <w:spacing w:val="-3"/>
        </w:rPr>
        <w:t xml:space="preserve">diferentes alternativas </w:t>
      </w:r>
      <w:r w:rsidR="002A2322" w:rsidRPr="00BD1319">
        <w:rPr>
          <w:rFonts w:cs="Arial"/>
          <w:spacing w:val="-3"/>
        </w:rPr>
        <w:t xml:space="preserve">bajo las cuales se está considerando </w:t>
      </w:r>
      <w:r w:rsidRPr="00BD1319">
        <w:rPr>
          <w:rFonts w:cs="Arial"/>
          <w:spacing w:val="-3"/>
        </w:rPr>
        <w:t>desarroll</w:t>
      </w:r>
      <w:r w:rsidR="002A2322" w:rsidRPr="00BD1319">
        <w:rPr>
          <w:rFonts w:cs="Arial"/>
          <w:spacing w:val="-3"/>
        </w:rPr>
        <w:t>ar</w:t>
      </w:r>
      <w:r w:rsidRPr="00BD1319">
        <w:rPr>
          <w:rFonts w:cs="Arial"/>
          <w:spacing w:val="-3"/>
        </w:rPr>
        <w:t xml:space="preserve"> un proyecto, obra o actividad</w:t>
      </w:r>
      <w:r w:rsidR="001C4A1B" w:rsidRPr="00BD1319">
        <w:rPr>
          <w:rFonts w:cs="Arial"/>
          <w:spacing w:val="-3"/>
        </w:rPr>
        <w:t xml:space="preserve"> para el cual es exigible este estudio ambiental (de acuerdo </w:t>
      </w:r>
      <w:r w:rsidR="00467CE5" w:rsidRPr="00BD1319">
        <w:rPr>
          <w:rFonts w:cs="Arial"/>
          <w:spacing w:val="-3"/>
        </w:rPr>
        <w:t>con</w:t>
      </w:r>
      <w:r w:rsidR="001C4A1B" w:rsidRPr="00BD1319">
        <w:rPr>
          <w:rFonts w:cs="Arial"/>
          <w:spacing w:val="-3"/>
        </w:rPr>
        <w:t xml:space="preserve"> lo establecido en el artículo 2.2.2.3.4.2. del Decreto 1076 de 2015 o aquel que lo modifique o sustituya)</w:t>
      </w:r>
      <w:r w:rsidR="002A2322" w:rsidRPr="00BD1319">
        <w:rPr>
          <w:rFonts w:cs="Arial"/>
          <w:spacing w:val="-3"/>
        </w:rPr>
        <w:t xml:space="preserve">, y </w:t>
      </w:r>
      <w:r w:rsidRPr="00BD1319">
        <w:rPr>
          <w:rFonts w:cs="Arial"/>
          <w:spacing w:val="-3"/>
        </w:rPr>
        <w:t>decidir cuál o cuáles alternativas permiten optimizar y racionalizar el uso de recursos y evitar o minimizar los riesgos</w:t>
      </w:r>
      <w:r w:rsidR="00CE1552" w:rsidRPr="00BD1319">
        <w:rPr>
          <w:rFonts w:cs="Arial"/>
          <w:spacing w:val="-3"/>
        </w:rPr>
        <w:t xml:space="preserve"> </w:t>
      </w:r>
      <w:r w:rsidRPr="00BD1319">
        <w:rPr>
          <w:rFonts w:cs="Arial"/>
          <w:spacing w:val="-3"/>
        </w:rPr>
        <w:t>e impactos negativos.</w:t>
      </w:r>
    </w:p>
    <w:p w14:paraId="30022C20" w14:textId="77777777" w:rsidR="001125D2" w:rsidRPr="00BD1319" w:rsidRDefault="001125D2" w:rsidP="001125D2">
      <w:pPr>
        <w:numPr>
          <w:ilvl w:val="12"/>
          <w:numId w:val="0"/>
        </w:numPr>
        <w:tabs>
          <w:tab w:val="left" w:pos="-2268"/>
        </w:tabs>
        <w:suppressAutoHyphens/>
        <w:rPr>
          <w:rFonts w:cs="Arial"/>
          <w:spacing w:val="-3"/>
        </w:rPr>
      </w:pPr>
    </w:p>
    <w:p w14:paraId="5E639F97" w14:textId="3B53839C" w:rsidR="001125D2" w:rsidRPr="00BD1319" w:rsidRDefault="001125D2" w:rsidP="3BACB336">
      <w:pPr>
        <w:suppressAutoHyphens/>
        <w:rPr>
          <w:rFonts w:cs="Arial"/>
          <w:spacing w:val="-3"/>
        </w:rPr>
      </w:pPr>
      <w:r w:rsidRPr="00BD1319">
        <w:rPr>
          <w:rFonts w:cs="Arial"/>
          <w:spacing w:val="-3"/>
        </w:rPr>
        <w:t>Todas las alternativas bajo las cuales sea posible desarrollar el proyecto, obra o actividad que se presenten</w:t>
      </w:r>
      <w:r w:rsidR="002A2322" w:rsidRPr="00BD1319">
        <w:rPr>
          <w:rFonts w:cs="Arial"/>
          <w:spacing w:val="-3"/>
        </w:rPr>
        <w:t xml:space="preserve"> para evaluación por parte de la autoridad ambiental</w:t>
      </w:r>
      <w:r w:rsidRPr="00BD1319">
        <w:rPr>
          <w:rFonts w:cs="Arial"/>
          <w:spacing w:val="-3"/>
        </w:rPr>
        <w:t xml:space="preserve">, deben ser formuladas considerando </w:t>
      </w:r>
      <w:r w:rsidR="002A2322" w:rsidRPr="00BD1319">
        <w:rPr>
          <w:rFonts w:cs="Arial"/>
          <w:spacing w:val="-3"/>
        </w:rPr>
        <w:t xml:space="preserve">un conjunto integral de </w:t>
      </w:r>
      <w:r w:rsidRPr="00BD1319">
        <w:rPr>
          <w:rFonts w:cs="Arial"/>
          <w:spacing w:val="-3"/>
        </w:rPr>
        <w:t xml:space="preserve">variables, no solo las que tienen que ver con la ubicación o el trazado (de corredores o líneas), sino también, las relacionadas con la tecnología y </w:t>
      </w:r>
      <w:r w:rsidR="00D962AE" w:rsidRPr="00BD1319">
        <w:rPr>
          <w:rFonts w:cs="Arial"/>
          <w:spacing w:val="-3"/>
        </w:rPr>
        <w:t xml:space="preserve">el </w:t>
      </w:r>
      <w:r w:rsidRPr="00BD1319">
        <w:rPr>
          <w:rFonts w:cs="Arial"/>
        </w:rPr>
        <w:t>diseño</w:t>
      </w:r>
      <w:r w:rsidRPr="00BD1319">
        <w:rPr>
          <w:rStyle w:val="Refdenotaalpie"/>
          <w:rFonts w:cs="Arial"/>
          <w:spacing w:val="-3"/>
          <w:lang w:val="es-CO"/>
        </w:rPr>
        <w:footnoteReference w:id="19"/>
      </w:r>
      <w:r w:rsidRPr="00BD1319">
        <w:rPr>
          <w:rFonts w:cs="Arial"/>
        </w:rPr>
        <w:t xml:space="preserve">; estas opciones deben plantearse buscando el mejor </w:t>
      </w:r>
      <w:r w:rsidRPr="00BD1319">
        <w:rPr>
          <w:rFonts w:cs="Arial"/>
          <w:spacing w:val="-3"/>
        </w:rPr>
        <w:t xml:space="preserve">desempeño ambiental </w:t>
      </w:r>
      <w:r w:rsidR="008C5648" w:rsidRPr="00BD1319">
        <w:rPr>
          <w:rFonts w:cs="Arial"/>
          <w:spacing w:val="-3"/>
        </w:rPr>
        <w:t xml:space="preserve">del </w:t>
      </w:r>
      <w:r w:rsidR="002A2322" w:rsidRPr="00BD1319">
        <w:rPr>
          <w:rFonts w:cs="Arial"/>
          <w:spacing w:val="-3"/>
        </w:rPr>
        <w:t>proyecto, obra o actividad en cada una de sus etapas (</w:t>
      </w:r>
      <w:r w:rsidR="00041844" w:rsidRPr="00BD1319">
        <w:rPr>
          <w:rFonts w:cs="Arial"/>
          <w:spacing w:val="-3"/>
        </w:rPr>
        <w:t>p. ej.</w:t>
      </w:r>
      <w:r w:rsidR="002A2322" w:rsidRPr="00BD1319">
        <w:rPr>
          <w:rFonts w:cs="Arial"/>
          <w:spacing w:val="-3"/>
        </w:rPr>
        <w:t xml:space="preserve"> </w:t>
      </w:r>
      <w:r w:rsidRPr="00BD1319">
        <w:rPr>
          <w:rFonts w:cs="Arial"/>
          <w:spacing w:val="-3"/>
        </w:rPr>
        <w:t xml:space="preserve">construcción, </w:t>
      </w:r>
      <w:r w:rsidRPr="00BD1319">
        <w:rPr>
          <w:rFonts w:cs="Arial"/>
        </w:rPr>
        <w:t>operación, mantenimiento</w:t>
      </w:r>
      <w:r w:rsidR="002A2322" w:rsidRPr="00BD1319">
        <w:rPr>
          <w:rFonts w:cs="Arial"/>
        </w:rPr>
        <w:t>)</w:t>
      </w:r>
      <w:r w:rsidRPr="00BD1319">
        <w:rPr>
          <w:rFonts w:cs="Arial"/>
          <w:spacing w:val="-3"/>
        </w:rPr>
        <w:t>, a fin de optimizar y racionalizar el uso de recursos y evitar o minimizar los riesgos</w:t>
      </w:r>
      <w:r w:rsidR="3BACB336" w:rsidRPr="00BD1319">
        <w:rPr>
          <w:rFonts w:cs="Arial"/>
        </w:rPr>
        <w:t xml:space="preserve"> o posibles</w:t>
      </w:r>
      <w:r w:rsidRPr="00BD1319">
        <w:rPr>
          <w:rFonts w:cs="Arial"/>
          <w:spacing w:val="-3"/>
        </w:rPr>
        <w:t xml:space="preserve"> impactos </w:t>
      </w:r>
      <w:r w:rsidR="3BACB336" w:rsidRPr="00BD1319">
        <w:rPr>
          <w:rFonts w:cs="Arial"/>
        </w:rPr>
        <w:t xml:space="preserve">ambientales </w:t>
      </w:r>
      <w:r w:rsidRPr="00BD1319">
        <w:rPr>
          <w:rFonts w:cs="Arial"/>
          <w:spacing w:val="-3"/>
        </w:rPr>
        <w:t>que puedan generar en el área de estudio</w:t>
      </w:r>
      <w:r w:rsidRPr="00BD1319">
        <w:rPr>
          <w:rStyle w:val="Refdenotaalpie"/>
          <w:rFonts w:cs="Arial"/>
          <w:lang w:val="es-CO"/>
        </w:rPr>
        <w:footnoteReference w:id="20"/>
      </w:r>
      <w:r w:rsidRPr="00BD1319">
        <w:rPr>
          <w:rFonts w:cs="Arial"/>
          <w:spacing w:val="-3"/>
        </w:rPr>
        <w:t>.</w:t>
      </w:r>
    </w:p>
    <w:p w14:paraId="2EEE4723" w14:textId="77777777" w:rsidR="001125D2" w:rsidRPr="00BD1319" w:rsidRDefault="001125D2" w:rsidP="001125D2">
      <w:pPr>
        <w:numPr>
          <w:ilvl w:val="12"/>
          <w:numId w:val="0"/>
        </w:numPr>
        <w:tabs>
          <w:tab w:val="left" w:pos="-2268"/>
        </w:tabs>
        <w:suppressAutoHyphens/>
        <w:rPr>
          <w:rFonts w:cs="Arial"/>
          <w:spacing w:val="-3"/>
        </w:rPr>
      </w:pPr>
    </w:p>
    <w:p w14:paraId="61872567" w14:textId="4DBDAEC3" w:rsidR="007706A2" w:rsidRPr="00BD1319" w:rsidRDefault="007706A2" w:rsidP="007706A2">
      <w:pPr>
        <w:numPr>
          <w:ilvl w:val="12"/>
          <w:numId w:val="0"/>
        </w:numPr>
        <w:tabs>
          <w:tab w:val="left" w:pos="-2268"/>
        </w:tabs>
        <w:suppressAutoHyphens/>
        <w:rPr>
          <w:rFonts w:cs="Arial"/>
          <w:spacing w:val="-3"/>
        </w:rPr>
      </w:pPr>
      <w:r w:rsidRPr="00BD1319">
        <w:rPr>
          <w:rFonts w:cs="Arial"/>
          <w:spacing w:val="-3"/>
        </w:rPr>
        <w:t>T</w:t>
      </w:r>
      <w:r w:rsidR="009D3288" w:rsidRPr="00BD1319">
        <w:rPr>
          <w:rFonts w:cs="Arial"/>
          <w:spacing w:val="-3"/>
        </w:rPr>
        <w:t xml:space="preserve">odas las alternativas </w:t>
      </w:r>
      <w:r w:rsidRPr="00BD1319">
        <w:rPr>
          <w:rFonts w:cs="Arial"/>
          <w:spacing w:val="-3"/>
        </w:rPr>
        <w:t xml:space="preserve">deben </w:t>
      </w:r>
      <w:r w:rsidR="009D3288" w:rsidRPr="00BD1319">
        <w:rPr>
          <w:rFonts w:cs="Arial"/>
          <w:spacing w:val="-3"/>
        </w:rPr>
        <w:t>ser ejecutables y basarse en tecnologías ambientalmente racionales</w:t>
      </w:r>
      <w:r w:rsidR="00371D32" w:rsidRPr="00BD1319">
        <w:rPr>
          <w:rFonts w:cs="Arial"/>
          <w:spacing w:val="-3"/>
        </w:rPr>
        <w:t xml:space="preserve">, teniendo en cuenta que esto </w:t>
      </w:r>
      <w:r w:rsidR="009D3288" w:rsidRPr="00BD1319">
        <w:rPr>
          <w:rFonts w:cs="Arial"/>
          <w:spacing w:val="-3"/>
        </w:rPr>
        <w:t xml:space="preserve">no implica necesariamente que </w:t>
      </w:r>
      <w:r w:rsidR="00371D32" w:rsidRPr="00BD1319">
        <w:rPr>
          <w:rFonts w:cs="Arial"/>
          <w:spacing w:val="-3"/>
        </w:rPr>
        <w:t>l</w:t>
      </w:r>
      <w:r w:rsidR="00E453BB" w:rsidRPr="00BD1319">
        <w:rPr>
          <w:rFonts w:cs="Arial"/>
          <w:spacing w:val="-3"/>
        </w:rPr>
        <w:t>a</w:t>
      </w:r>
      <w:r w:rsidR="00371D32" w:rsidRPr="00BD1319">
        <w:rPr>
          <w:rFonts w:cs="Arial"/>
          <w:spacing w:val="-3"/>
        </w:rPr>
        <w:t xml:space="preserve"> autoridad ambiental competente </w:t>
      </w:r>
      <w:r w:rsidR="009D3288" w:rsidRPr="00BD1319">
        <w:rPr>
          <w:rFonts w:cs="Arial"/>
          <w:spacing w:val="-3"/>
        </w:rPr>
        <w:t xml:space="preserve">le otorgue </w:t>
      </w:r>
      <w:r w:rsidR="00371D32" w:rsidRPr="00BD1319">
        <w:rPr>
          <w:rFonts w:cs="Arial"/>
          <w:spacing w:val="-3"/>
        </w:rPr>
        <w:t xml:space="preserve">la </w:t>
      </w:r>
      <w:r w:rsidR="009D3288" w:rsidRPr="00BD1319">
        <w:rPr>
          <w:rFonts w:cs="Arial"/>
          <w:spacing w:val="-3"/>
        </w:rPr>
        <w:t>licencia ambiental</w:t>
      </w:r>
      <w:r w:rsidR="00371D32" w:rsidRPr="00BD1319">
        <w:rPr>
          <w:rFonts w:cs="Arial"/>
          <w:spacing w:val="-3"/>
        </w:rPr>
        <w:t xml:space="preserve"> a alguna de ellas</w:t>
      </w:r>
      <w:r w:rsidRPr="00BD1319">
        <w:rPr>
          <w:rFonts w:cs="Arial"/>
          <w:spacing w:val="-3"/>
        </w:rPr>
        <w:t>.</w:t>
      </w:r>
      <w:r w:rsidR="009D3288" w:rsidRPr="00BD1319">
        <w:rPr>
          <w:rFonts w:cs="Arial"/>
          <w:spacing w:val="-3"/>
        </w:rPr>
        <w:t xml:space="preserve"> </w:t>
      </w:r>
      <w:r w:rsidRPr="00BD1319">
        <w:rPr>
          <w:rFonts w:cs="Arial"/>
          <w:spacing w:val="-3"/>
        </w:rPr>
        <w:t xml:space="preserve">En el proceso de evaluación y comparación </w:t>
      </w:r>
      <w:r w:rsidR="0006130F" w:rsidRPr="00BD1319">
        <w:rPr>
          <w:rFonts w:cs="Arial"/>
          <w:spacing w:val="-3"/>
        </w:rPr>
        <w:t xml:space="preserve">de alternativas es necesario </w:t>
      </w:r>
      <w:r w:rsidR="00B44BB4" w:rsidRPr="00BD1319">
        <w:rPr>
          <w:spacing w:val="-3"/>
        </w:rPr>
        <w:t>determinar</w:t>
      </w:r>
      <w:r w:rsidR="009A3B1F" w:rsidRPr="00BD1319">
        <w:rPr>
          <w:rFonts w:cs="Arial"/>
        </w:rPr>
        <w:t>, valorar</w:t>
      </w:r>
      <w:r w:rsidR="009D3288" w:rsidRPr="00BD1319">
        <w:rPr>
          <w:rFonts w:cs="Arial"/>
        </w:rPr>
        <w:t xml:space="preserve"> y comparar los </w:t>
      </w:r>
      <w:r w:rsidR="009D3288" w:rsidRPr="00BD1319">
        <w:rPr>
          <w:rFonts w:cs="Arial"/>
          <w:i/>
        </w:rPr>
        <w:t>posibles</w:t>
      </w:r>
      <w:r w:rsidR="009D3288" w:rsidRPr="00BD1319">
        <w:rPr>
          <w:rFonts w:cs="Arial"/>
        </w:rPr>
        <w:t xml:space="preserve"> impactos ambientales que </w:t>
      </w:r>
      <w:r w:rsidR="00E453BB" w:rsidRPr="00BD1319">
        <w:rPr>
          <w:rFonts w:cs="Arial"/>
        </w:rPr>
        <w:t xml:space="preserve">éstas </w:t>
      </w:r>
      <w:r w:rsidR="009D3288" w:rsidRPr="00BD1319">
        <w:rPr>
          <w:rFonts w:cs="Arial"/>
        </w:rPr>
        <w:t>ocasionaría</w:t>
      </w:r>
      <w:r w:rsidR="00E453BB" w:rsidRPr="00BD1319">
        <w:rPr>
          <w:rFonts w:cs="Arial"/>
        </w:rPr>
        <w:t>n</w:t>
      </w:r>
      <w:r w:rsidR="009D3288" w:rsidRPr="00BD1319">
        <w:rPr>
          <w:rFonts w:cs="Arial"/>
        </w:rPr>
        <w:t xml:space="preserve">, </w:t>
      </w:r>
      <w:r w:rsidR="00C2549F" w:rsidRPr="00BD1319">
        <w:rPr>
          <w:rFonts w:cs="Arial"/>
        </w:rPr>
        <w:t xml:space="preserve">así como </w:t>
      </w:r>
      <w:r w:rsidR="009D3288" w:rsidRPr="00BD1319">
        <w:rPr>
          <w:rFonts w:cs="Arial"/>
        </w:rPr>
        <w:t>desarrollar el Análisis Costo Beneficio que establece el artículo 2.2.2.3.4.3 del Decreto 1076 de 2015</w:t>
      </w:r>
      <w:r w:rsidR="001F3686" w:rsidRPr="00BD1319">
        <w:rPr>
          <w:rFonts w:cs="Arial"/>
        </w:rPr>
        <w:t xml:space="preserve"> o aquel que lo modifique o sustituya</w:t>
      </w:r>
      <w:r w:rsidRPr="00BD1319">
        <w:rPr>
          <w:rFonts w:cs="Arial"/>
        </w:rPr>
        <w:t>;</w:t>
      </w:r>
      <w:r w:rsidR="0006130F" w:rsidRPr="00BD1319">
        <w:rPr>
          <w:rFonts w:cs="Arial"/>
        </w:rPr>
        <w:t xml:space="preserve"> </w:t>
      </w:r>
      <w:r w:rsidR="00C2549F" w:rsidRPr="00BD1319">
        <w:rPr>
          <w:rFonts w:cs="Arial"/>
        </w:rPr>
        <w:t xml:space="preserve">la </w:t>
      </w:r>
      <w:r w:rsidRPr="00BD1319">
        <w:rPr>
          <w:rFonts w:cs="Arial"/>
        </w:rPr>
        <w:t>evaluación y comparación debe emp</w:t>
      </w:r>
      <w:r w:rsidR="009F2A4A" w:rsidRPr="00BD1319">
        <w:rPr>
          <w:rFonts w:cs="Arial"/>
        </w:rPr>
        <w:t>l</w:t>
      </w:r>
      <w:r w:rsidRPr="00BD1319">
        <w:rPr>
          <w:rFonts w:cs="Arial"/>
        </w:rPr>
        <w:t xml:space="preserve">ear </w:t>
      </w:r>
      <w:r w:rsidRPr="00BD1319">
        <w:rPr>
          <w:rFonts w:cs="Arial"/>
          <w:spacing w:val="-3"/>
        </w:rPr>
        <w:t xml:space="preserve">los impactos potenciales, especificando </w:t>
      </w:r>
      <w:r w:rsidRPr="00BD1319">
        <w:rPr>
          <w:rFonts w:cs="Arial"/>
          <w:spacing w:val="-3"/>
        </w:rPr>
        <w:lastRenderedPageBreak/>
        <w:t xml:space="preserve">cuáles de ellos no se pueden </w:t>
      </w:r>
      <w:r w:rsidR="00DD36F2" w:rsidRPr="00BD1319">
        <w:rPr>
          <w:rFonts w:cs="Arial"/>
          <w:spacing w:val="-3"/>
        </w:rPr>
        <w:t xml:space="preserve">prevenir, </w:t>
      </w:r>
      <w:r w:rsidRPr="00BD1319">
        <w:rPr>
          <w:rFonts w:cs="Arial"/>
          <w:spacing w:val="-3"/>
        </w:rPr>
        <w:t>mitigar</w:t>
      </w:r>
      <w:r w:rsidR="00DD36F2" w:rsidRPr="00BD1319">
        <w:rPr>
          <w:rFonts w:cs="Arial"/>
          <w:spacing w:val="-3"/>
        </w:rPr>
        <w:t xml:space="preserve"> o corregir</w:t>
      </w:r>
      <w:r w:rsidRPr="00BD1319">
        <w:rPr>
          <w:rFonts w:cs="Arial"/>
          <w:spacing w:val="-3"/>
        </w:rPr>
        <w:t xml:space="preserve">, los riesgos, y las </w:t>
      </w:r>
      <w:r w:rsidRPr="00BD1319">
        <w:rPr>
          <w:rFonts w:cs="Arial"/>
          <w:i/>
          <w:spacing w:val="-3"/>
        </w:rPr>
        <w:t>posibles</w:t>
      </w:r>
      <w:r w:rsidRPr="00BD1319">
        <w:rPr>
          <w:rFonts w:cs="Arial"/>
          <w:spacing w:val="-3"/>
        </w:rPr>
        <w:t xml:space="preserve"> soluciones y medidas de control y mitigación que se contemplen para cada una de las alternativas.</w:t>
      </w:r>
    </w:p>
    <w:p w14:paraId="0EA81700" w14:textId="77777777" w:rsidR="007706A2" w:rsidRPr="00BD1319" w:rsidRDefault="007706A2" w:rsidP="001125D2">
      <w:pPr>
        <w:numPr>
          <w:ilvl w:val="12"/>
          <w:numId w:val="0"/>
        </w:numPr>
        <w:tabs>
          <w:tab w:val="left" w:pos="-2268"/>
        </w:tabs>
        <w:suppressAutoHyphens/>
        <w:rPr>
          <w:rFonts w:cs="Arial"/>
          <w:spacing w:val="-3"/>
        </w:rPr>
      </w:pPr>
    </w:p>
    <w:p w14:paraId="088AB902" w14:textId="205C0BE8" w:rsidR="001125D2" w:rsidRPr="00BD1319" w:rsidRDefault="001125D2" w:rsidP="001125D2">
      <w:pPr>
        <w:numPr>
          <w:ilvl w:val="12"/>
          <w:numId w:val="0"/>
        </w:numPr>
        <w:tabs>
          <w:tab w:val="left" w:pos="-2268"/>
        </w:tabs>
        <w:suppressAutoHyphens/>
        <w:rPr>
          <w:rFonts w:cs="Arial"/>
          <w:spacing w:val="-3"/>
        </w:rPr>
      </w:pPr>
      <w:r w:rsidRPr="00BD1319">
        <w:rPr>
          <w:rFonts w:cs="Arial"/>
          <w:spacing w:val="-3"/>
        </w:rPr>
        <w:t xml:space="preserve">La información contenida en el DAA debe permitir la comparación de todas las alternativas, </w:t>
      </w:r>
      <w:r w:rsidR="00363DAE" w:rsidRPr="00BD1319">
        <w:rPr>
          <w:rFonts w:cs="Arial"/>
          <w:spacing w:val="-3"/>
        </w:rPr>
        <w:t xml:space="preserve">y presentar respuestas fundamentadas a las inquietudes y observaciones de </w:t>
      </w:r>
      <w:r w:rsidR="001F3686" w:rsidRPr="00BD1319">
        <w:rPr>
          <w:rFonts w:cs="Arial"/>
          <w:spacing w:val="-3"/>
        </w:rPr>
        <w:t>los grupos de interés</w:t>
      </w:r>
      <w:r w:rsidR="00363DAE" w:rsidRPr="00BD1319">
        <w:rPr>
          <w:rFonts w:cs="Arial"/>
          <w:spacing w:val="-3"/>
        </w:rPr>
        <w:t xml:space="preserve"> que podría</w:t>
      </w:r>
      <w:r w:rsidR="001F3686" w:rsidRPr="00BD1319">
        <w:rPr>
          <w:rFonts w:cs="Arial"/>
          <w:spacing w:val="-3"/>
        </w:rPr>
        <w:t>n</w:t>
      </w:r>
      <w:r w:rsidR="00363DAE" w:rsidRPr="00BD1319">
        <w:rPr>
          <w:rFonts w:cs="Arial"/>
          <w:spacing w:val="-3"/>
        </w:rPr>
        <w:t xml:space="preserve"> verse </w:t>
      </w:r>
      <w:r w:rsidR="001F3686" w:rsidRPr="00BD1319">
        <w:rPr>
          <w:rFonts w:cs="Arial"/>
          <w:spacing w:val="-3"/>
        </w:rPr>
        <w:t>impactados</w:t>
      </w:r>
      <w:r w:rsidR="00363DAE" w:rsidRPr="00BD1319">
        <w:rPr>
          <w:rFonts w:cs="Arial"/>
          <w:spacing w:val="-3"/>
        </w:rPr>
        <w:t>, por lo tanto</w:t>
      </w:r>
      <w:r w:rsidRPr="00BD1319">
        <w:rPr>
          <w:rFonts w:cs="Arial"/>
          <w:spacing w:val="-3"/>
        </w:rPr>
        <w:t>, este estudio ambiental no debe excluir aspectos relevantes para la decisión frente a las alternativas propuestas</w:t>
      </w:r>
      <w:r w:rsidR="009D3288" w:rsidRPr="00BD1319">
        <w:rPr>
          <w:rFonts w:cs="Arial"/>
          <w:spacing w:val="-3"/>
        </w:rPr>
        <w:t>.</w:t>
      </w:r>
    </w:p>
    <w:p w14:paraId="4CE84217" w14:textId="77777777" w:rsidR="001125D2" w:rsidRPr="00BD1319" w:rsidRDefault="001125D2" w:rsidP="001125D2">
      <w:pPr>
        <w:numPr>
          <w:ilvl w:val="12"/>
          <w:numId w:val="0"/>
        </w:numPr>
        <w:tabs>
          <w:tab w:val="left" w:pos="-2268"/>
        </w:tabs>
        <w:suppressAutoHyphens/>
        <w:rPr>
          <w:rFonts w:cs="Arial"/>
          <w:spacing w:val="-3"/>
        </w:rPr>
      </w:pPr>
    </w:p>
    <w:p w14:paraId="053C4753" w14:textId="22F144E6" w:rsidR="001125D2" w:rsidRPr="00BD1319" w:rsidRDefault="001125D2" w:rsidP="001125D2">
      <w:pPr>
        <w:numPr>
          <w:ilvl w:val="12"/>
          <w:numId w:val="0"/>
        </w:numPr>
        <w:tabs>
          <w:tab w:val="left" w:pos="-2268"/>
        </w:tabs>
        <w:suppressAutoHyphens/>
        <w:rPr>
          <w:rFonts w:cs="Arial"/>
          <w:spacing w:val="-3"/>
        </w:rPr>
      </w:pPr>
      <w:r w:rsidRPr="00BD1319">
        <w:rPr>
          <w:rFonts w:cs="Arial"/>
          <w:spacing w:val="-3"/>
        </w:rPr>
        <w:t xml:space="preserve">Para cumplir con estos objetivos, el DAA debe contener las especificaciones técnicas y los capítulos que se indiquen en los términos de referencia </w:t>
      </w:r>
      <w:r w:rsidR="00037008" w:rsidRPr="00BD1319">
        <w:rPr>
          <w:rFonts w:cs="Arial"/>
          <w:spacing w:val="-3"/>
        </w:rPr>
        <w:t>correspondientes</w:t>
      </w:r>
      <w:r w:rsidRPr="00BD1319">
        <w:rPr>
          <w:rFonts w:cs="Arial"/>
          <w:spacing w:val="-3"/>
        </w:rPr>
        <w:t xml:space="preserve">, así como los lineamientos y elementos metodológicos generales que se establecen </w:t>
      </w:r>
      <w:r w:rsidR="00E66C1B" w:rsidRPr="00BD1319">
        <w:rPr>
          <w:rFonts w:cs="Arial"/>
          <w:spacing w:val="-3"/>
        </w:rPr>
        <w:t>e</w:t>
      </w:r>
      <w:r w:rsidR="00406C1B" w:rsidRPr="00BD1319">
        <w:rPr>
          <w:rFonts w:cs="Arial"/>
          <w:spacing w:val="-3"/>
        </w:rPr>
        <w:t>n</w:t>
      </w:r>
      <w:r w:rsidR="00E66C1B" w:rsidRPr="00BD1319">
        <w:rPr>
          <w:rFonts w:cs="Arial"/>
          <w:spacing w:val="-3"/>
        </w:rPr>
        <w:t xml:space="preserve"> esta metodología</w:t>
      </w:r>
      <w:r w:rsidR="001E4ED9" w:rsidRPr="00BD1319">
        <w:rPr>
          <w:rFonts w:cs="Arial"/>
          <w:spacing w:val="-3"/>
        </w:rPr>
        <w:t>. En todo caso, los requerimientos de información establecidos en los términos de referencia y los lineamientos metodológicos señalados en la metodología deben ser adaptados y considerados de acuerdo con las particularidades del proyecto, obra o actividad para el cual se elabora el estudio.</w:t>
      </w:r>
    </w:p>
    <w:p w14:paraId="7488DBE5" w14:textId="77777777" w:rsidR="001125D2" w:rsidRPr="00BD1319" w:rsidRDefault="001125D2" w:rsidP="001125D2">
      <w:pPr>
        <w:numPr>
          <w:ilvl w:val="12"/>
          <w:numId w:val="0"/>
        </w:numPr>
        <w:tabs>
          <w:tab w:val="left" w:pos="-2268"/>
        </w:tabs>
        <w:suppressAutoHyphens/>
        <w:rPr>
          <w:rFonts w:cs="Arial"/>
          <w:spacing w:val="-3"/>
        </w:rPr>
      </w:pPr>
    </w:p>
    <w:p w14:paraId="4168C87E" w14:textId="4BEB8F41" w:rsidR="001125D2" w:rsidRPr="00BD1319" w:rsidRDefault="00E453BB" w:rsidP="001125D2">
      <w:pPr>
        <w:numPr>
          <w:ilvl w:val="12"/>
          <w:numId w:val="0"/>
        </w:numPr>
        <w:tabs>
          <w:tab w:val="left" w:pos="-2268"/>
        </w:tabs>
        <w:suppressAutoHyphens/>
        <w:rPr>
          <w:rFonts w:cs="Arial"/>
          <w:spacing w:val="-3"/>
        </w:rPr>
      </w:pPr>
      <w:r w:rsidRPr="00BD1319">
        <w:rPr>
          <w:rFonts w:cs="Arial"/>
          <w:spacing w:val="-3"/>
        </w:rPr>
        <w:t xml:space="preserve">Dado que el propósito del DAA es comparar y seleccionar alternativas, y no desarrollar una caracterización ambiental exhaustiva, su </w:t>
      </w:r>
      <w:r w:rsidR="001125D2" w:rsidRPr="00BD1319">
        <w:rPr>
          <w:rFonts w:cs="Arial"/>
          <w:spacing w:val="-3"/>
        </w:rPr>
        <w:t>elaboración debe efectuarse principalmente a partir de la consecución, revisión</w:t>
      </w:r>
      <w:r w:rsidR="002247DF" w:rsidRPr="00BD1319">
        <w:rPr>
          <w:rFonts w:cs="Arial"/>
          <w:spacing w:val="-3"/>
        </w:rPr>
        <w:t>,</w:t>
      </w:r>
      <w:r w:rsidR="001125D2" w:rsidRPr="00BD1319">
        <w:rPr>
          <w:rFonts w:cs="Arial"/>
          <w:spacing w:val="-3"/>
        </w:rPr>
        <w:t xml:space="preserve"> validación </w:t>
      </w:r>
      <w:r w:rsidR="002247DF" w:rsidRPr="00BD1319">
        <w:rPr>
          <w:rFonts w:cs="Arial"/>
          <w:spacing w:val="-3"/>
        </w:rPr>
        <w:t xml:space="preserve">y procesamiento </w:t>
      </w:r>
      <w:r w:rsidR="001125D2" w:rsidRPr="00BD1319">
        <w:rPr>
          <w:rFonts w:cs="Arial"/>
          <w:spacing w:val="-3"/>
        </w:rPr>
        <w:t>de información secundaria; no obstante, se debe recopilar información primaria en los siguientes casos:</w:t>
      </w:r>
    </w:p>
    <w:p w14:paraId="6BE05D9E" w14:textId="77777777" w:rsidR="001125D2" w:rsidRPr="00BD1319" w:rsidRDefault="001125D2" w:rsidP="001125D2">
      <w:pPr>
        <w:numPr>
          <w:ilvl w:val="12"/>
          <w:numId w:val="0"/>
        </w:numPr>
        <w:tabs>
          <w:tab w:val="left" w:pos="-2268"/>
        </w:tabs>
        <w:suppressAutoHyphens/>
        <w:rPr>
          <w:rFonts w:cs="Arial"/>
          <w:spacing w:val="-3"/>
        </w:rPr>
      </w:pPr>
    </w:p>
    <w:p w14:paraId="19745A0E" w14:textId="558F952E" w:rsidR="001125D2" w:rsidRPr="00BD1319" w:rsidRDefault="001125D2" w:rsidP="001125D2">
      <w:pPr>
        <w:numPr>
          <w:ilvl w:val="0"/>
          <w:numId w:val="5"/>
        </w:numPr>
        <w:overflowPunct/>
        <w:autoSpaceDE/>
        <w:autoSpaceDN/>
        <w:adjustRightInd/>
        <w:ind w:left="567" w:hanging="567"/>
        <w:textAlignment w:val="auto"/>
        <w:rPr>
          <w:rFonts w:cs="Arial"/>
          <w:spacing w:val="-3"/>
        </w:rPr>
      </w:pPr>
      <w:r w:rsidRPr="00BD1319">
        <w:rPr>
          <w:rFonts w:cs="Arial"/>
          <w:spacing w:val="-3"/>
        </w:rPr>
        <w:t xml:space="preserve">Si la información secundaria </w:t>
      </w:r>
      <w:r w:rsidR="009F2A4A" w:rsidRPr="00BD1319">
        <w:rPr>
          <w:rFonts w:cs="Arial"/>
          <w:spacing w:val="-3"/>
        </w:rPr>
        <w:t>sobre elementos clave que permitan diferenciar las alternativas en términos de sus implicaciones ambientales</w:t>
      </w:r>
      <w:r w:rsidR="007E3981" w:rsidRPr="00BD1319">
        <w:rPr>
          <w:rFonts w:cs="Arial"/>
          <w:spacing w:val="-3"/>
        </w:rPr>
        <w:t xml:space="preserve"> </w:t>
      </w:r>
      <w:r w:rsidRPr="00BD1319">
        <w:rPr>
          <w:rFonts w:cs="Arial"/>
          <w:spacing w:val="-3"/>
        </w:rPr>
        <w:t>no se encuentra disponible</w:t>
      </w:r>
      <w:r w:rsidR="007E3981" w:rsidRPr="00BD1319">
        <w:rPr>
          <w:rFonts w:cs="Arial"/>
          <w:spacing w:val="-3"/>
        </w:rPr>
        <w:t xml:space="preserve"> o no tiene la calidad necesaria</w:t>
      </w:r>
      <w:r w:rsidR="007E3981" w:rsidRPr="00BD1319">
        <w:rPr>
          <w:rStyle w:val="Refdenotaalpie"/>
          <w:rFonts w:cs="Arial"/>
          <w:spacing w:val="-3"/>
          <w:lang w:val="es-CO"/>
        </w:rPr>
        <w:footnoteReference w:id="21"/>
      </w:r>
      <w:r w:rsidRPr="00BD1319">
        <w:rPr>
          <w:rFonts w:cs="Arial"/>
          <w:spacing w:val="-3"/>
        </w:rPr>
        <w:t>.</w:t>
      </w:r>
    </w:p>
    <w:p w14:paraId="1FAF94E5" w14:textId="77777777" w:rsidR="001125D2" w:rsidRPr="00BD1319" w:rsidRDefault="001125D2" w:rsidP="001125D2">
      <w:pPr>
        <w:overflowPunct/>
        <w:autoSpaceDE/>
        <w:autoSpaceDN/>
        <w:adjustRightInd/>
        <w:textAlignment w:val="auto"/>
        <w:rPr>
          <w:rFonts w:cs="Arial"/>
          <w:spacing w:val="-3"/>
        </w:rPr>
      </w:pPr>
    </w:p>
    <w:p w14:paraId="693C1571" w14:textId="77777777" w:rsidR="00112A7A" w:rsidRPr="00BD1319" w:rsidRDefault="001125D2" w:rsidP="000D6E21">
      <w:pPr>
        <w:pStyle w:val="Prrafodelista"/>
        <w:rPr>
          <w:rFonts w:cs="Arial"/>
          <w:spacing w:val="-3"/>
        </w:rPr>
      </w:pPr>
      <w:r w:rsidRPr="00BD1319">
        <w:rPr>
          <w:rFonts w:cs="Arial"/>
          <w:spacing w:val="-3"/>
        </w:rPr>
        <w:t xml:space="preserve">Si la información secundaria no es pertinente ni adecuada para que la autoridad ambiental tome decisiones a partir </w:t>
      </w:r>
    </w:p>
    <w:p w14:paraId="2DEFC572" w14:textId="77777777" w:rsidR="001125D2" w:rsidRPr="00BD1319" w:rsidRDefault="001125D2" w:rsidP="001125D2">
      <w:pPr>
        <w:numPr>
          <w:ilvl w:val="0"/>
          <w:numId w:val="5"/>
        </w:numPr>
        <w:overflowPunct/>
        <w:autoSpaceDE/>
        <w:autoSpaceDN/>
        <w:adjustRightInd/>
        <w:ind w:left="567" w:hanging="567"/>
        <w:textAlignment w:val="auto"/>
        <w:rPr>
          <w:rFonts w:cs="Arial"/>
          <w:spacing w:val="-3"/>
        </w:rPr>
      </w:pPr>
      <w:r w:rsidRPr="00BD1319">
        <w:rPr>
          <w:rFonts w:cs="Arial"/>
          <w:spacing w:val="-3"/>
        </w:rPr>
        <w:t>de ella.</w:t>
      </w:r>
    </w:p>
    <w:p w14:paraId="62767F5A" w14:textId="77777777" w:rsidR="001125D2" w:rsidRPr="00BD1319" w:rsidRDefault="001125D2" w:rsidP="001125D2">
      <w:pPr>
        <w:overflowPunct/>
        <w:autoSpaceDE/>
        <w:autoSpaceDN/>
        <w:adjustRightInd/>
        <w:textAlignment w:val="auto"/>
        <w:rPr>
          <w:rFonts w:cs="Arial"/>
          <w:spacing w:val="-3"/>
        </w:rPr>
      </w:pPr>
    </w:p>
    <w:p w14:paraId="410F71AF" w14:textId="77777777" w:rsidR="00112A7A" w:rsidRPr="00BD1319" w:rsidRDefault="001125D2" w:rsidP="000D6E21">
      <w:pPr>
        <w:pStyle w:val="Prrafodelista"/>
        <w:rPr>
          <w:rFonts w:cs="Arial"/>
          <w:spacing w:val="-3"/>
        </w:rPr>
      </w:pPr>
      <w:r w:rsidRPr="00BD1319">
        <w:rPr>
          <w:rFonts w:cs="Arial"/>
          <w:spacing w:val="-3"/>
        </w:rPr>
        <w:t>Si por las características intrínsecas del proyecto, obra o actividad, la autoridad considera necesaria la presentación de información más de</w:t>
      </w:r>
    </w:p>
    <w:p w14:paraId="770090D6" w14:textId="77777777" w:rsidR="001125D2" w:rsidRPr="00BD1319" w:rsidRDefault="001125D2" w:rsidP="001125D2">
      <w:pPr>
        <w:numPr>
          <w:ilvl w:val="0"/>
          <w:numId w:val="5"/>
        </w:numPr>
        <w:overflowPunct/>
        <w:autoSpaceDE/>
        <w:autoSpaceDN/>
        <w:adjustRightInd/>
        <w:ind w:left="567" w:hanging="567"/>
        <w:textAlignment w:val="auto"/>
        <w:rPr>
          <w:rFonts w:cs="Arial"/>
          <w:spacing w:val="-3"/>
        </w:rPr>
      </w:pPr>
      <w:r w:rsidRPr="00BD1319">
        <w:rPr>
          <w:rFonts w:cs="Arial"/>
          <w:spacing w:val="-3"/>
        </w:rPr>
        <w:t>tallada.</w:t>
      </w:r>
    </w:p>
    <w:p w14:paraId="6BC14638" w14:textId="77777777" w:rsidR="001125D2" w:rsidRPr="00BD1319" w:rsidRDefault="001125D2" w:rsidP="001125D2">
      <w:pPr>
        <w:overflowPunct/>
        <w:autoSpaceDE/>
        <w:autoSpaceDN/>
        <w:adjustRightInd/>
        <w:textAlignment w:val="auto"/>
        <w:rPr>
          <w:rFonts w:cs="Arial"/>
          <w:spacing w:val="-3"/>
        </w:rPr>
      </w:pPr>
    </w:p>
    <w:p w14:paraId="0889140E" w14:textId="77777777" w:rsidR="00112A7A" w:rsidRPr="00BD1319" w:rsidRDefault="001125D2" w:rsidP="000D6E21">
      <w:pPr>
        <w:pStyle w:val="Prrafodelista"/>
        <w:rPr>
          <w:rFonts w:cs="Arial"/>
          <w:spacing w:val="-3"/>
        </w:rPr>
      </w:pPr>
      <w:r w:rsidRPr="00BD1319">
        <w:rPr>
          <w:rFonts w:cs="Arial"/>
          <w:spacing w:val="-3"/>
        </w:rPr>
        <w:lastRenderedPageBreak/>
        <w:t>Si por las particulares condiciones ambientales del área donde se pretende desarrollar el proyecto, obra o actividad, la autoridad considera necesaria la presentación de información más de</w:t>
      </w:r>
    </w:p>
    <w:p w14:paraId="70AFC282" w14:textId="77777777" w:rsidR="001125D2" w:rsidRPr="00BD1319" w:rsidRDefault="001125D2" w:rsidP="001125D2">
      <w:pPr>
        <w:numPr>
          <w:ilvl w:val="0"/>
          <w:numId w:val="5"/>
        </w:numPr>
        <w:overflowPunct/>
        <w:autoSpaceDE/>
        <w:autoSpaceDN/>
        <w:adjustRightInd/>
        <w:ind w:left="567" w:hanging="567"/>
        <w:textAlignment w:val="auto"/>
        <w:rPr>
          <w:rFonts w:cs="Arial"/>
          <w:spacing w:val="-3"/>
        </w:rPr>
      </w:pPr>
      <w:r w:rsidRPr="00BD1319">
        <w:rPr>
          <w:rFonts w:cs="Arial"/>
          <w:spacing w:val="-3"/>
        </w:rPr>
        <w:t>tallada.</w:t>
      </w:r>
    </w:p>
    <w:p w14:paraId="21C5F249" w14:textId="77777777" w:rsidR="001125D2" w:rsidRPr="00BD1319" w:rsidRDefault="001125D2" w:rsidP="001125D2">
      <w:pPr>
        <w:numPr>
          <w:ilvl w:val="12"/>
          <w:numId w:val="0"/>
        </w:numPr>
        <w:tabs>
          <w:tab w:val="left" w:pos="-2268"/>
        </w:tabs>
        <w:suppressAutoHyphens/>
        <w:rPr>
          <w:rFonts w:cs="Arial"/>
          <w:spacing w:val="-3"/>
        </w:rPr>
      </w:pPr>
    </w:p>
    <w:p w14:paraId="41EC9424" w14:textId="7368AC21" w:rsidR="001125D2" w:rsidRPr="00BD1319" w:rsidRDefault="001125D2" w:rsidP="3BACB336">
      <w:pPr>
        <w:suppressAutoHyphens/>
        <w:rPr>
          <w:rFonts w:cs="Arial"/>
          <w:spacing w:val="-3"/>
        </w:rPr>
      </w:pPr>
      <w:r w:rsidRPr="00BD1319">
        <w:rPr>
          <w:rFonts w:cs="Arial"/>
          <w:spacing w:val="-3"/>
        </w:rPr>
        <w:t xml:space="preserve">En cuanto a las escalas de obtención y de análisis de la información para </w:t>
      </w:r>
      <w:r w:rsidR="00542853" w:rsidRPr="00BD1319">
        <w:rPr>
          <w:rFonts w:cs="Arial"/>
          <w:spacing w:val="-3"/>
        </w:rPr>
        <w:t xml:space="preserve">los componentes ambientales en </w:t>
      </w:r>
      <w:r w:rsidRPr="00BD1319">
        <w:rPr>
          <w:rFonts w:cs="Arial"/>
          <w:spacing w:val="-3"/>
        </w:rPr>
        <w:t xml:space="preserve">el DAA, </w:t>
      </w:r>
      <w:r w:rsidR="00542853" w:rsidRPr="00BD1319">
        <w:rPr>
          <w:rFonts w:cs="Arial"/>
          <w:spacing w:val="-3"/>
        </w:rPr>
        <w:t xml:space="preserve">se debe tener en cuenta que </w:t>
      </w:r>
      <w:r w:rsidRPr="00BD1319">
        <w:rPr>
          <w:rFonts w:cs="Arial"/>
          <w:spacing w:val="-3"/>
        </w:rPr>
        <w:t xml:space="preserve">éstas dependen de la magnitud y características del proyecto (puntual </w:t>
      </w:r>
      <w:r w:rsidR="00E453BB" w:rsidRPr="00BD1319">
        <w:rPr>
          <w:rFonts w:cs="Arial"/>
          <w:spacing w:val="-3"/>
        </w:rPr>
        <w:t>o</w:t>
      </w:r>
      <w:r w:rsidRPr="00BD1319">
        <w:rPr>
          <w:rFonts w:cs="Arial"/>
          <w:spacing w:val="-3"/>
        </w:rPr>
        <w:t xml:space="preserve"> lineal), de la localización de las alternativas y de la extensión del área de estudio, por lo que </w:t>
      </w:r>
      <w:r w:rsidR="00734950" w:rsidRPr="00BD1319">
        <w:rPr>
          <w:rFonts w:cs="Arial"/>
          <w:spacing w:val="-3"/>
        </w:rPr>
        <w:t xml:space="preserve">los requerimientos relacionados con </w:t>
      </w:r>
      <w:r w:rsidR="00E453BB" w:rsidRPr="00BD1319">
        <w:rPr>
          <w:rFonts w:cs="Arial"/>
          <w:spacing w:val="-3"/>
        </w:rPr>
        <w:t xml:space="preserve">éstas </w:t>
      </w:r>
      <w:r w:rsidR="008B4E79" w:rsidRPr="00BD1319">
        <w:rPr>
          <w:rFonts w:cs="Arial"/>
          <w:spacing w:val="-3"/>
        </w:rPr>
        <w:t xml:space="preserve">se establecen </w:t>
      </w:r>
      <w:r w:rsidRPr="00BD1319">
        <w:rPr>
          <w:rFonts w:cs="Arial"/>
          <w:spacing w:val="-3"/>
        </w:rPr>
        <w:t>en los términos de referencia correspondientes.</w:t>
      </w:r>
    </w:p>
    <w:p w14:paraId="2BFBF6B5" w14:textId="77777777" w:rsidR="001125D2" w:rsidRPr="00BD1319" w:rsidRDefault="001125D2" w:rsidP="001125D2">
      <w:pPr>
        <w:numPr>
          <w:ilvl w:val="12"/>
          <w:numId w:val="0"/>
        </w:numPr>
        <w:tabs>
          <w:tab w:val="left" w:pos="-2268"/>
        </w:tabs>
        <w:suppressAutoHyphens/>
        <w:rPr>
          <w:rFonts w:cs="Arial"/>
          <w:spacing w:val="-3"/>
        </w:rPr>
      </w:pPr>
    </w:p>
    <w:p w14:paraId="7C34381F" w14:textId="1BE28635" w:rsidR="001125D2" w:rsidRPr="00BD1319" w:rsidRDefault="001125D2" w:rsidP="001125D2">
      <w:pPr>
        <w:numPr>
          <w:ilvl w:val="12"/>
          <w:numId w:val="0"/>
        </w:numPr>
        <w:tabs>
          <w:tab w:val="left" w:pos="-2268"/>
        </w:tabs>
        <w:suppressAutoHyphens/>
        <w:rPr>
          <w:rFonts w:cs="Arial"/>
        </w:rPr>
      </w:pPr>
      <w:r w:rsidRPr="00BD1319">
        <w:rPr>
          <w:rFonts w:cs="Arial"/>
        </w:rPr>
        <w:t xml:space="preserve">Es importante señalar que la evaluación y comparación de las alternativas debe adelantarse mediante una Evaluación Multicriterio (EMC), método que permite </w:t>
      </w:r>
      <w:r w:rsidR="009829F5" w:rsidRPr="00BD1319">
        <w:rPr>
          <w:rFonts w:cs="Arial"/>
        </w:rPr>
        <w:t xml:space="preserve">conjugar información cuantitativa y cualitativa </w:t>
      </w:r>
      <w:r w:rsidRPr="00BD1319">
        <w:rPr>
          <w:rFonts w:cs="Arial"/>
        </w:rPr>
        <w:t>de línea base</w:t>
      </w:r>
      <w:r w:rsidR="009829F5" w:rsidRPr="00BD1319">
        <w:rPr>
          <w:rFonts w:cs="Arial"/>
        </w:rPr>
        <w:t xml:space="preserve">, así como organizarla y analizarla </w:t>
      </w:r>
      <w:r w:rsidRPr="00BD1319">
        <w:rPr>
          <w:rFonts w:cs="Arial"/>
        </w:rPr>
        <w:t xml:space="preserve">mediante criterios </w:t>
      </w:r>
      <w:r w:rsidR="00834670" w:rsidRPr="00BD1319">
        <w:rPr>
          <w:rFonts w:cs="Arial"/>
        </w:rPr>
        <w:t xml:space="preserve">ambientales, </w:t>
      </w:r>
      <w:r w:rsidR="00CF1FE3" w:rsidRPr="00BD1319">
        <w:rPr>
          <w:rFonts w:cs="Arial"/>
        </w:rPr>
        <w:t xml:space="preserve">ya sea </w:t>
      </w:r>
      <w:r w:rsidR="00834670" w:rsidRPr="00BD1319">
        <w:rPr>
          <w:rFonts w:cs="Arial"/>
        </w:rPr>
        <w:t xml:space="preserve">que consideren </w:t>
      </w:r>
      <w:r w:rsidR="00CF1FE3" w:rsidRPr="00BD1319">
        <w:rPr>
          <w:rFonts w:cs="Arial"/>
        </w:rPr>
        <w:t xml:space="preserve">los medios abiótico, biótico y socioeconómico de forma independiente, </w:t>
      </w:r>
      <w:r w:rsidR="00834670" w:rsidRPr="00BD1319">
        <w:rPr>
          <w:rFonts w:cs="Arial"/>
        </w:rPr>
        <w:t xml:space="preserve">o que lo hagan contemplando </w:t>
      </w:r>
      <w:r w:rsidR="00CF1FE3" w:rsidRPr="00BD1319">
        <w:rPr>
          <w:rFonts w:cs="Arial"/>
        </w:rPr>
        <w:t xml:space="preserve">las relaciones </w:t>
      </w:r>
      <w:r w:rsidR="009829F5" w:rsidRPr="00BD1319">
        <w:rPr>
          <w:rFonts w:cs="Arial"/>
        </w:rPr>
        <w:t xml:space="preserve">e interdependencias </w:t>
      </w:r>
      <w:r w:rsidR="00CF1FE3" w:rsidRPr="00BD1319">
        <w:rPr>
          <w:rFonts w:cs="Arial"/>
        </w:rPr>
        <w:t>que existen entre ellos</w:t>
      </w:r>
      <w:r w:rsidRPr="00BD1319">
        <w:rPr>
          <w:rFonts w:cs="Arial"/>
        </w:rPr>
        <w:t xml:space="preserve">, </w:t>
      </w:r>
      <w:r w:rsidR="00834670" w:rsidRPr="00BD1319">
        <w:rPr>
          <w:rFonts w:cs="Arial"/>
        </w:rPr>
        <w:t xml:space="preserve">a fin de </w:t>
      </w:r>
      <w:r w:rsidR="00B44BB4" w:rsidRPr="00BD1319">
        <w:rPr>
          <w:rFonts w:cs="Arial"/>
        </w:rPr>
        <w:t xml:space="preserve">encontrar </w:t>
      </w:r>
      <w:r w:rsidR="009829F5" w:rsidRPr="00BD1319">
        <w:rPr>
          <w:rFonts w:cs="Arial"/>
        </w:rPr>
        <w:t>diferencias en</w:t>
      </w:r>
      <w:r w:rsidR="00B44BB4" w:rsidRPr="00BD1319">
        <w:rPr>
          <w:rFonts w:cs="Arial"/>
        </w:rPr>
        <w:t>tre</w:t>
      </w:r>
      <w:r w:rsidR="009829F5" w:rsidRPr="00BD1319">
        <w:rPr>
          <w:rFonts w:cs="Arial"/>
        </w:rPr>
        <w:t xml:space="preserve"> las implicaciones ambientales de las alternativas</w:t>
      </w:r>
      <w:r w:rsidR="00D855D0" w:rsidRPr="00BD1319">
        <w:rPr>
          <w:rFonts w:cs="Arial"/>
        </w:rPr>
        <w:t xml:space="preserve">, </w:t>
      </w:r>
      <w:r w:rsidR="009829F5" w:rsidRPr="00BD1319">
        <w:rPr>
          <w:rFonts w:cs="Arial"/>
        </w:rPr>
        <w:t xml:space="preserve">y </w:t>
      </w:r>
      <w:r w:rsidR="00D855D0" w:rsidRPr="00BD1319">
        <w:rPr>
          <w:rFonts w:cs="Arial"/>
        </w:rPr>
        <w:t>en función de ell</w:t>
      </w:r>
      <w:r w:rsidR="00B44BB4" w:rsidRPr="00BD1319">
        <w:rPr>
          <w:rFonts w:cs="Arial"/>
        </w:rPr>
        <w:t>as</w:t>
      </w:r>
      <w:r w:rsidR="00D855D0" w:rsidRPr="00BD1319">
        <w:rPr>
          <w:rFonts w:cs="Arial"/>
        </w:rPr>
        <w:t xml:space="preserve"> </w:t>
      </w:r>
      <w:r w:rsidR="009829F5" w:rsidRPr="00BD1319">
        <w:rPr>
          <w:rFonts w:cs="Arial"/>
        </w:rPr>
        <w:t xml:space="preserve">tomar </w:t>
      </w:r>
      <w:r w:rsidR="00834670" w:rsidRPr="00BD1319">
        <w:rPr>
          <w:rFonts w:cs="Arial"/>
        </w:rPr>
        <w:t xml:space="preserve">decisiones de forma </w:t>
      </w:r>
      <w:r w:rsidR="009829F5" w:rsidRPr="00BD1319">
        <w:rPr>
          <w:rFonts w:cs="Arial"/>
        </w:rPr>
        <w:t>i</w:t>
      </w:r>
      <w:r w:rsidR="00834670" w:rsidRPr="00BD1319">
        <w:rPr>
          <w:rFonts w:cs="Arial"/>
        </w:rPr>
        <w:t>ntegra</w:t>
      </w:r>
      <w:r w:rsidR="009829F5" w:rsidRPr="00BD1319">
        <w:rPr>
          <w:rFonts w:cs="Arial"/>
        </w:rPr>
        <w:t>l</w:t>
      </w:r>
      <w:r w:rsidR="00834670" w:rsidRPr="00BD1319">
        <w:rPr>
          <w:rFonts w:cs="Arial"/>
        </w:rPr>
        <w:t>.</w:t>
      </w:r>
    </w:p>
    <w:p w14:paraId="7A59EA34" w14:textId="77777777" w:rsidR="001125D2" w:rsidRPr="00BD1319" w:rsidRDefault="001125D2" w:rsidP="001125D2">
      <w:pPr>
        <w:numPr>
          <w:ilvl w:val="12"/>
          <w:numId w:val="0"/>
        </w:numPr>
        <w:tabs>
          <w:tab w:val="left" w:pos="-2268"/>
        </w:tabs>
        <w:suppressAutoHyphens/>
        <w:rPr>
          <w:rFonts w:cs="Arial"/>
        </w:rPr>
      </w:pPr>
    </w:p>
    <w:p w14:paraId="667AD123" w14:textId="60DB5847" w:rsidR="001125D2" w:rsidRPr="00BD1319" w:rsidRDefault="001125D2" w:rsidP="001125D2">
      <w:pPr>
        <w:numPr>
          <w:ilvl w:val="12"/>
          <w:numId w:val="0"/>
        </w:numPr>
        <w:tabs>
          <w:tab w:val="left" w:pos="-2268"/>
        </w:tabs>
        <w:suppressAutoHyphens/>
        <w:rPr>
          <w:rFonts w:cs="Arial"/>
        </w:rPr>
      </w:pPr>
      <w:r w:rsidRPr="00BD1319">
        <w:rPr>
          <w:rFonts w:cs="Arial"/>
        </w:rPr>
        <w:t>A continuación</w:t>
      </w:r>
      <w:r w:rsidR="0006130F" w:rsidRPr="00BD1319">
        <w:rPr>
          <w:rFonts w:cs="Arial"/>
        </w:rPr>
        <w:t>,</w:t>
      </w:r>
      <w:r w:rsidRPr="00BD1319">
        <w:rPr>
          <w:rFonts w:cs="Arial"/>
        </w:rPr>
        <w:t xml:space="preserve"> se señalan los </w:t>
      </w:r>
      <w:r w:rsidR="00534FE2" w:rsidRPr="00BD1319">
        <w:rPr>
          <w:rFonts w:cs="Arial"/>
        </w:rPr>
        <w:t xml:space="preserve">lineamientos y directrices para la elaboración de los </w:t>
      </w:r>
      <w:r w:rsidRPr="00BD1319">
        <w:rPr>
          <w:rFonts w:cs="Arial"/>
        </w:rPr>
        <w:t xml:space="preserve">capítulos que </w:t>
      </w:r>
      <w:r w:rsidR="00534FE2" w:rsidRPr="00BD1319">
        <w:rPr>
          <w:rFonts w:cs="Arial"/>
        </w:rPr>
        <w:t>conforman</w:t>
      </w:r>
      <w:r w:rsidRPr="00BD1319">
        <w:rPr>
          <w:rFonts w:cs="Arial"/>
        </w:rPr>
        <w:t xml:space="preserve"> el DAA.</w:t>
      </w:r>
      <w:r w:rsidR="00534FE2" w:rsidRPr="00BD1319">
        <w:rPr>
          <w:spacing w:val="-3"/>
        </w:rPr>
        <w:t xml:space="preserve"> Los requerimientos de información particulares a cada tipo de proyecto, obra o actividad se especifican en los términos de referencia.</w:t>
      </w:r>
    </w:p>
    <w:p w14:paraId="42129958" w14:textId="77777777" w:rsidR="00DF6D4D" w:rsidRPr="00BD1319" w:rsidRDefault="00DF6D4D">
      <w:pPr>
        <w:overflowPunct/>
        <w:autoSpaceDE/>
        <w:autoSpaceDN/>
        <w:adjustRightInd/>
        <w:jc w:val="left"/>
        <w:textAlignment w:val="auto"/>
        <w:rPr>
          <w:spacing w:val="-3"/>
        </w:rPr>
      </w:pPr>
    </w:p>
    <w:p w14:paraId="57738326" w14:textId="7955ECDF" w:rsidR="001125D2" w:rsidRPr="00BD1319" w:rsidRDefault="001125D2">
      <w:pPr>
        <w:overflowPunct/>
        <w:autoSpaceDE/>
        <w:autoSpaceDN/>
        <w:adjustRightInd/>
        <w:jc w:val="left"/>
        <w:textAlignment w:val="auto"/>
        <w:rPr>
          <w:spacing w:val="-3"/>
        </w:rPr>
      </w:pPr>
    </w:p>
    <w:p w14:paraId="49E52D0B" w14:textId="61AD0EFD" w:rsidR="004F566C" w:rsidRPr="00BD1319" w:rsidRDefault="00012605" w:rsidP="00456AB1">
      <w:pPr>
        <w:pStyle w:val="Ttulo1"/>
        <w:numPr>
          <w:ilvl w:val="0"/>
          <w:numId w:val="8"/>
        </w:numPr>
        <w:rPr>
          <w:b w:val="0"/>
          <w:lang w:val="es-CO"/>
        </w:rPr>
      </w:pPr>
      <w:bookmarkStart w:id="1985" w:name="_Toc175326684"/>
      <w:r w:rsidRPr="00BD1319">
        <w:rPr>
          <w:lang w:val="es-CO"/>
        </w:rPr>
        <w:t>DESCRIPCIÓN DEL PROYECTO</w:t>
      </w:r>
      <w:bookmarkEnd w:id="1985"/>
    </w:p>
    <w:p w14:paraId="4DFA4321" w14:textId="77777777" w:rsidR="002F1D11" w:rsidRPr="00BD1319" w:rsidRDefault="002F1D11">
      <w:pPr>
        <w:numPr>
          <w:ilvl w:val="12"/>
          <w:numId w:val="0"/>
        </w:numPr>
        <w:tabs>
          <w:tab w:val="left" w:pos="-2268"/>
        </w:tabs>
        <w:suppressAutoHyphens/>
        <w:rPr>
          <w:spacing w:val="-3"/>
        </w:rPr>
      </w:pPr>
    </w:p>
    <w:p w14:paraId="4E4A6A49" w14:textId="07AC8363" w:rsidR="002F1D11" w:rsidRPr="00BD1319" w:rsidRDefault="002F1D11" w:rsidP="3BACB336">
      <w:pPr>
        <w:suppressAutoHyphens/>
      </w:pPr>
      <w:r w:rsidRPr="00BD1319">
        <w:rPr>
          <w:spacing w:val="-3"/>
        </w:rPr>
        <w:t xml:space="preserve">Se debe </w:t>
      </w:r>
      <w:r w:rsidR="00F1664B" w:rsidRPr="00BD1319">
        <w:rPr>
          <w:spacing w:val="-3"/>
        </w:rPr>
        <w:t xml:space="preserve">describir de forma sintética </w:t>
      </w:r>
      <w:r w:rsidR="005F481A" w:rsidRPr="00BD1319">
        <w:rPr>
          <w:spacing w:val="-3"/>
        </w:rPr>
        <w:t>el proyecto, obra o actividad para el cual se formulan las alternativas</w:t>
      </w:r>
      <w:r w:rsidR="00F1664B" w:rsidRPr="00BD1319">
        <w:rPr>
          <w:spacing w:val="-3"/>
        </w:rPr>
        <w:t>, señalando su objetivo fundamental y alcance; asimismo, se debe</w:t>
      </w:r>
      <w:r w:rsidR="00A8201B" w:rsidRPr="00BD1319">
        <w:rPr>
          <w:spacing w:val="-3"/>
        </w:rPr>
        <w:t xml:space="preserve">n describir de forma </w:t>
      </w:r>
      <w:r w:rsidR="00F1664B" w:rsidRPr="00BD1319">
        <w:rPr>
          <w:spacing w:val="-3"/>
        </w:rPr>
        <w:t xml:space="preserve">general las </w:t>
      </w:r>
      <w:r w:rsidR="005F481A" w:rsidRPr="00BD1319">
        <w:rPr>
          <w:spacing w:val="-3"/>
        </w:rPr>
        <w:t xml:space="preserve">alternativas incorporando información que permita </w:t>
      </w:r>
      <w:r w:rsidR="00F1664B" w:rsidRPr="00BD1319">
        <w:rPr>
          <w:spacing w:val="-3"/>
        </w:rPr>
        <w:t xml:space="preserve">evaluarlas y </w:t>
      </w:r>
      <w:r w:rsidR="00E26DC5" w:rsidRPr="00BD1319">
        <w:rPr>
          <w:rFonts w:cs="Arial"/>
          <w:spacing w:val="-3"/>
        </w:rPr>
        <w:t>compara</w:t>
      </w:r>
      <w:r w:rsidR="005F481A" w:rsidRPr="00BD1319">
        <w:rPr>
          <w:rFonts w:cs="Arial"/>
          <w:spacing w:val="-3"/>
        </w:rPr>
        <w:t xml:space="preserve">rlas, según </w:t>
      </w:r>
      <w:r w:rsidR="00E26DC5" w:rsidRPr="00BD1319">
        <w:rPr>
          <w:rFonts w:cs="Arial"/>
          <w:spacing w:val="-3"/>
        </w:rPr>
        <w:t>lo establec</w:t>
      </w:r>
      <w:r w:rsidR="005F481A" w:rsidRPr="00BD1319">
        <w:rPr>
          <w:rFonts w:cs="Arial"/>
          <w:spacing w:val="-3"/>
        </w:rPr>
        <w:t xml:space="preserve">e </w:t>
      </w:r>
      <w:r w:rsidR="00E26DC5" w:rsidRPr="00BD1319">
        <w:rPr>
          <w:rFonts w:cs="Arial"/>
          <w:spacing w:val="-3"/>
        </w:rPr>
        <w:t>el artículo 2.2.2.3.</w:t>
      </w:r>
      <w:r w:rsidR="00F1664B" w:rsidRPr="00BD1319">
        <w:rPr>
          <w:rFonts w:cs="Arial"/>
          <w:spacing w:val="-3"/>
        </w:rPr>
        <w:t>4</w:t>
      </w:r>
      <w:r w:rsidR="00E26DC5" w:rsidRPr="00BD1319">
        <w:rPr>
          <w:rFonts w:cs="Arial"/>
          <w:spacing w:val="-3"/>
        </w:rPr>
        <w:t>.1. del Decreto 1076 de 2015 o aquel que lo modifique o sustituya</w:t>
      </w:r>
      <w:r w:rsidRPr="00BD1319">
        <w:rPr>
          <w:spacing w:val="-3"/>
        </w:rPr>
        <w:t xml:space="preserve">. </w:t>
      </w:r>
      <w:r w:rsidR="005F481A" w:rsidRPr="00BD1319">
        <w:rPr>
          <w:spacing w:val="-3"/>
        </w:rPr>
        <w:t>La</w:t>
      </w:r>
      <w:r w:rsidRPr="00BD1319">
        <w:rPr>
          <w:spacing w:val="-3"/>
        </w:rPr>
        <w:t xml:space="preserve"> descripción general de cada una de las alternativas propuestas para el desarrollo del proyecto, </w:t>
      </w:r>
      <w:r w:rsidRPr="00BD1319">
        <w:rPr>
          <w:rFonts w:cs="Arial"/>
          <w:spacing w:val="-3"/>
        </w:rPr>
        <w:t xml:space="preserve">obra o actividad </w:t>
      </w:r>
      <w:r w:rsidR="005F481A" w:rsidRPr="00BD1319">
        <w:rPr>
          <w:rFonts w:cs="Arial"/>
          <w:spacing w:val="-3"/>
        </w:rPr>
        <w:t xml:space="preserve">debe </w:t>
      </w:r>
      <w:r w:rsidRPr="00BD1319">
        <w:rPr>
          <w:spacing w:val="-3"/>
        </w:rPr>
        <w:t>indica</w:t>
      </w:r>
      <w:r w:rsidR="005F481A" w:rsidRPr="00BD1319">
        <w:rPr>
          <w:spacing w:val="-3"/>
        </w:rPr>
        <w:t>r</w:t>
      </w:r>
      <w:r w:rsidRPr="00BD1319">
        <w:rPr>
          <w:spacing w:val="-3"/>
        </w:rPr>
        <w:t xml:space="preserve"> las posibles opciones respecto de la localización o trazado</w:t>
      </w:r>
      <w:r w:rsidR="003621DE" w:rsidRPr="00BD1319">
        <w:rPr>
          <w:rStyle w:val="Refdenotaalpie"/>
          <w:rFonts w:cs="Arial"/>
          <w:spacing w:val="-3"/>
          <w:lang w:val="es-CO"/>
        </w:rPr>
        <w:footnoteReference w:id="22"/>
      </w:r>
      <w:r w:rsidRPr="00BD1319">
        <w:rPr>
          <w:spacing w:val="-3"/>
        </w:rPr>
        <w:t xml:space="preserve">, </w:t>
      </w:r>
      <w:r w:rsidRPr="00BD1319">
        <w:rPr>
          <w:spacing w:val="-3"/>
        </w:rPr>
        <w:lastRenderedPageBreak/>
        <w:t>del alcance temporal, de las características t</w:t>
      </w:r>
      <w:r w:rsidR="00A74010" w:rsidRPr="00BD1319">
        <w:rPr>
          <w:spacing w:val="-3"/>
        </w:rPr>
        <w:t>ecnológ</w:t>
      </w:r>
      <w:r w:rsidRPr="00BD1319">
        <w:rPr>
          <w:spacing w:val="-3"/>
        </w:rPr>
        <w:t>icas y de diseño, así como del uso y aprovechamiento de recursos naturales.</w:t>
      </w:r>
    </w:p>
    <w:p w14:paraId="17DC482A" w14:textId="77777777" w:rsidR="002F1D11" w:rsidRPr="00BD1319" w:rsidRDefault="002F1D11">
      <w:pPr>
        <w:numPr>
          <w:ilvl w:val="12"/>
          <w:numId w:val="0"/>
        </w:numPr>
        <w:tabs>
          <w:tab w:val="left" w:pos="-2268"/>
        </w:tabs>
        <w:suppressAutoHyphens/>
        <w:rPr>
          <w:spacing w:val="-3"/>
        </w:rPr>
      </w:pPr>
    </w:p>
    <w:p w14:paraId="0CB8D901" w14:textId="7B977C50" w:rsidR="00FD15C0" w:rsidRPr="00BD1319" w:rsidRDefault="002F1D11">
      <w:pPr>
        <w:numPr>
          <w:ilvl w:val="12"/>
          <w:numId w:val="0"/>
        </w:numPr>
        <w:tabs>
          <w:tab w:val="left" w:pos="-2268"/>
        </w:tabs>
        <w:suppressAutoHyphens/>
        <w:rPr>
          <w:spacing w:val="-3"/>
        </w:rPr>
      </w:pPr>
      <w:r w:rsidRPr="00BD1319">
        <w:rPr>
          <w:spacing w:val="-3"/>
        </w:rPr>
        <w:t>El proceso de formulación de las alternativas debe realizarse de forma integral, conjugando el conocimiento que en esta etapa se tenga del entorno</w:t>
      </w:r>
      <w:r w:rsidR="00E16EF5" w:rsidRPr="00BD1319">
        <w:rPr>
          <w:spacing w:val="-3"/>
        </w:rPr>
        <w:t xml:space="preserve"> </w:t>
      </w:r>
      <w:r w:rsidRPr="00BD1319">
        <w:rPr>
          <w:spacing w:val="-3"/>
        </w:rPr>
        <w:t>y del proyecto con</w:t>
      </w:r>
      <w:r w:rsidR="00587971" w:rsidRPr="00BD1319">
        <w:rPr>
          <w:spacing w:val="-3"/>
        </w:rPr>
        <w:t xml:space="preserve"> las </w:t>
      </w:r>
      <w:r w:rsidRPr="00BD1319">
        <w:rPr>
          <w:spacing w:val="-3"/>
        </w:rPr>
        <w:t xml:space="preserve">posibles ubicaciones y trazados, </w:t>
      </w:r>
      <w:r w:rsidR="00790995" w:rsidRPr="00BD1319">
        <w:rPr>
          <w:spacing w:val="-3"/>
        </w:rPr>
        <w:t xml:space="preserve">así como </w:t>
      </w:r>
      <w:r w:rsidR="00AB1F04" w:rsidRPr="00BD1319">
        <w:rPr>
          <w:spacing w:val="-3"/>
        </w:rPr>
        <w:t xml:space="preserve">con las </w:t>
      </w:r>
      <w:r w:rsidRPr="00BD1319">
        <w:rPr>
          <w:spacing w:val="-3"/>
        </w:rPr>
        <w:t xml:space="preserve">diferentes </w:t>
      </w:r>
      <w:r w:rsidRPr="00BD1319">
        <w:rPr>
          <w:rFonts w:cs="Arial"/>
          <w:spacing w:val="-3"/>
        </w:rPr>
        <w:t>opciones</w:t>
      </w:r>
      <w:r w:rsidRPr="00BD1319">
        <w:rPr>
          <w:spacing w:val="-3"/>
        </w:rPr>
        <w:t xml:space="preserve"> de tecnología y de diseño</w:t>
      </w:r>
      <w:r w:rsidR="00C404A2" w:rsidRPr="00BD1319">
        <w:rPr>
          <w:rStyle w:val="Refdenotaalpie"/>
          <w:spacing w:val="-3"/>
          <w:lang w:val="es-CO"/>
        </w:rPr>
        <w:footnoteReference w:id="23"/>
      </w:r>
      <w:r w:rsidRPr="00BD1319">
        <w:rPr>
          <w:spacing w:val="-3"/>
        </w:rPr>
        <w:t xml:space="preserve">, de </w:t>
      </w:r>
      <w:r w:rsidRPr="00BD1319">
        <w:rPr>
          <w:rFonts w:cs="Arial"/>
          <w:spacing w:val="-3"/>
        </w:rPr>
        <w:t>tal forma que las</w:t>
      </w:r>
      <w:r w:rsidRPr="00BD1319">
        <w:rPr>
          <w:spacing w:val="-3"/>
        </w:rPr>
        <w:t xml:space="preserve"> alternativas </w:t>
      </w:r>
      <w:r w:rsidRPr="00BD1319">
        <w:rPr>
          <w:rFonts w:cs="Arial"/>
          <w:spacing w:val="-3"/>
        </w:rPr>
        <w:t>finalmente consideradas,</w:t>
      </w:r>
      <w:r w:rsidRPr="00BD1319">
        <w:rPr>
          <w:spacing w:val="-3"/>
        </w:rPr>
        <w:t xml:space="preserve"> además de ser</w:t>
      </w:r>
      <w:r w:rsidR="00790995" w:rsidRPr="00BD1319">
        <w:rPr>
          <w:spacing w:val="-3"/>
        </w:rPr>
        <w:t xml:space="preserve"> practicables</w:t>
      </w:r>
      <w:r w:rsidR="006E4531" w:rsidRPr="00BD1319">
        <w:rPr>
          <w:spacing w:val="-3"/>
        </w:rPr>
        <w:t xml:space="preserve"> desde el punto de vista técnico</w:t>
      </w:r>
      <w:r w:rsidRPr="00BD1319">
        <w:rPr>
          <w:rFonts w:cs="Arial"/>
          <w:spacing w:val="-3"/>
        </w:rPr>
        <w:t>, sean</w:t>
      </w:r>
      <w:r w:rsidRPr="00BD1319">
        <w:rPr>
          <w:spacing w:val="-3"/>
        </w:rPr>
        <w:t xml:space="preserve"> ambientalmente racionales </w:t>
      </w:r>
      <w:r w:rsidR="00F527B7" w:rsidRPr="00BD1319">
        <w:rPr>
          <w:spacing w:val="-3"/>
        </w:rPr>
        <w:t>y socialmente aceptables</w:t>
      </w:r>
      <w:r w:rsidR="00112A7A" w:rsidRPr="00BD1319">
        <w:rPr>
          <w:spacing w:val="-3"/>
        </w:rPr>
        <w:t xml:space="preserve"> </w:t>
      </w:r>
      <w:r w:rsidRPr="00BD1319">
        <w:rPr>
          <w:spacing w:val="-3"/>
        </w:rPr>
        <w:t xml:space="preserve">al optimizar el uso de recursos </w:t>
      </w:r>
      <w:r w:rsidRPr="00BD1319">
        <w:rPr>
          <w:rFonts w:cs="Arial"/>
          <w:spacing w:val="-3"/>
        </w:rPr>
        <w:t>naturales</w:t>
      </w:r>
      <w:r w:rsidR="00336542" w:rsidRPr="00BD1319">
        <w:rPr>
          <w:rFonts w:cs="Arial"/>
          <w:spacing w:val="-3"/>
        </w:rPr>
        <w:t>,</w:t>
      </w:r>
      <w:r w:rsidRPr="00BD1319">
        <w:rPr>
          <w:rFonts w:cs="Arial"/>
          <w:spacing w:val="-3"/>
        </w:rPr>
        <w:t xml:space="preserve"> </w:t>
      </w:r>
      <w:r w:rsidRPr="00BD1319">
        <w:rPr>
          <w:spacing w:val="-3"/>
        </w:rPr>
        <w:t xml:space="preserve">evitar </w:t>
      </w:r>
      <w:r w:rsidRPr="00BD1319">
        <w:rPr>
          <w:rFonts w:cs="Arial"/>
          <w:spacing w:val="-3"/>
        </w:rPr>
        <w:t>y</w:t>
      </w:r>
      <w:r w:rsidRPr="00BD1319">
        <w:rPr>
          <w:spacing w:val="-3"/>
        </w:rPr>
        <w:t xml:space="preserve"> minimizar riesgos</w:t>
      </w:r>
      <w:r w:rsidR="00534FE2" w:rsidRPr="00BD1319">
        <w:rPr>
          <w:spacing w:val="-3"/>
        </w:rPr>
        <w:t xml:space="preserve"> o posibles </w:t>
      </w:r>
      <w:r w:rsidRPr="00BD1319">
        <w:rPr>
          <w:spacing w:val="-3"/>
        </w:rPr>
        <w:t xml:space="preserve">impactos </w:t>
      </w:r>
      <w:r w:rsidR="00534FE2" w:rsidRPr="00BD1319">
        <w:rPr>
          <w:spacing w:val="-3"/>
        </w:rPr>
        <w:t>ambientales</w:t>
      </w:r>
      <w:r w:rsidR="006E4531" w:rsidRPr="00BD1319">
        <w:rPr>
          <w:spacing w:val="-3"/>
        </w:rPr>
        <w:t xml:space="preserve"> y </w:t>
      </w:r>
      <w:r w:rsidR="00AB1F04" w:rsidRPr="00BD1319">
        <w:rPr>
          <w:spacing w:val="-3"/>
        </w:rPr>
        <w:t xml:space="preserve">prevenir </w:t>
      </w:r>
      <w:r w:rsidR="00112A7A" w:rsidRPr="00BD1319">
        <w:rPr>
          <w:spacing w:val="-3"/>
        </w:rPr>
        <w:t xml:space="preserve">y mitigar </w:t>
      </w:r>
      <w:r w:rsidR="00BC1274" w:rsidRPr="00BD1319">
        <w:rPr>
          <w:spacing w:val="-3"/>
        </w:rPr>
        <w:t xml:space="preserve">impactos </w:t>
      </w:r>
      <w:r w:rsidR="006E4531" w:rsidRPr="00BD1319">
        <w:rPr>
          <w:spacing w:val="-3"/>
        </w:rPr>
        <w:t>a los derechos humanos</w:t>
      </w:r>
      <w:r w:rsidRPr="00BD1319">
        <w:rPr>
          <w:spacing w:val="-3"/>
        </w:rPr>
        <w:t>.</w:t>
      </w:r>
      <w:r w:rsidR="009271E0" w:rsidRPr="00BD1319">
        <w:rPr>
          <w:spacing w:val="-3"/>
        </w:rPr>
        <w:t xml:space="preserve"> Para la formulación de las alternativas resulta </w:t>
      </w:r>
      <w:r w:rsidR="007F477A" w:rsidRPr="00BD1319">
        <w:rPr>
          <w:spacing w:val="-3"/>
        </w:rPr>
        <w:t xml:space="preserve">fundamental </w:t>
      </w:r>
      <w:r w:rsidR="00CF7546" w:rsidRPr="00BD1319">
        <w:rPr>
          <w:spacing w:val="-3"/>
        </w:rPr>
        <w:t xml:space="preserve">emplear </w:t>
      </w:r>
      <w:r w:rsidR="009271E0" w:rsidRPr="00BD1319">
        <w:rPr>
          <w:spacing w:val="-3"/>
        </w:rPr>
        <w:t>la información que result</w:t>
      </w:r>
      <w:r w:rsidR="007F477A" w:rsidRPr="00BD1319">
        <w:rPr>
          <w:spacing w:val="-3"/>
        </w:rPr>
        <w:t>a</w:t>
      </w:r>
      <w:r w:rsidR="009271E0" w:rsidRPr="00BD1319">
        <w:rPr>
          <w:spacing w:val="-3"/>
        </w:rPr>
        <w:t xml:space="preserve"> de los análisis de seguridad de personas y líderes, así como de los procesos de participación</w:t>
      </w:r>
      <w:r w:rsidR="007F477A" w:rsidRPr="00BD1319">
        <w:rPr>
          <w:spacing w:val="-3"/>
        </w:rPr>
        <w:t xml:space="preserve"> con los grupos de interés</w:t>
      </w:r>
      <w:r w:rsidR="009271E0" w:rsidRPr="00BD1319">
        <w:rPr>
          <w:spacing w:val="-3"/>
        </w:rPr>
        <w:t>.</w:t>
      </w:r>
    </w:p>
    <w:p w14:paraId="399359F6" w14:textId="77777777" w:rsidR="00684657" w:rsidRPr="00BD1319" w:rsidRDefault="00684657">
      <w:pPr>
        <w:numPr>
          <w:ilvl w:val="12"/>
          <w:numId w:val="0"/>
        </w:numPr>
        <w:tabs>
          <w:tab w:val="left" w:pos="-2268"/>
        </w:tabs>
        <w:suppressAutoHyphens/>
        <w:rPr>
          <w:spacing w:val="-3"/>
        </w:rPr>
      </w:pPr>
    </w:p>
    <w:p w14:paraId="21918E73" w14:textId="77777777" w:rsidR="00C404A2" w:rsidRPr="00BD1319" w:rsidRDefault="00C404A2">
      <w:pPr>
        <w:numPr>
          <w:ilvl w:val="12"/>
          <w:numId w:val="0"/>
        </w:numPr>
        <w:tabs>
          <w:tab w:val="left" w:pos="-2268"/>
        </w:tabs>
        <w:suppressAutoHyphens/>
        <w:rPr>
          <w:spacing w:val="-3"/>
        </w:rPr>
      </w:pPr>
    </w:p>
    <w:p w14:paraId="06AEB6CC" w14:textId="68A66359" w:rsidR="000F2600" w:rsidRPr="00BD1319" w:rsidRDefault="000F2600" w:rsidP="00456AB1">
      <w:pPr>
        <w:pStyle w:val="Ttulo1"/>
        <w:numPr>
          <w:ilvl w:val="0"/>
          <w:numId w:val="8"/>
        </w:numPr>
        <w:rPr>
          <w:lang w:val="es-CO"/>
        </w:rPr>
      </w:pPr>
      <w:bookmarkStart w:id="1986" w:name="_Toc437935976"/>
      <w:bookmarkStart w:id="1987" w:name="_Toc175326685"/>
      <w:r w:rsidRPr="00BD1319">
        <w:rPr>
          <w:lang w:val="es-CO"/>
        </w:rPr>
        <w:t>ÁREA DE ESTUDIO</w:t>
      </w:r>
      <w:bookmarkEnd w:id="1986"/>
      <w:bookmarkEnd w:id="1987"/>
    </w:p>
    <w:p w14:paraId="4BE24DDB" w14:textId="77777777" w:rsidR="00EB2C3D" w:rsidRPr="00BD1319" w:rsidRDefault="00EB2C3D">
      <w:pPr>
        <w:numPr>
          <w:ilvl w:val="12"/>
          <w:numId w:val="0"/>
        </w:numPr>
        <w:tabs>
          <w:tab w:val="left" w:pos="-2268"/>
        </w:tabs>
        <w:suppressAutoHyphens/>
        <w:rPr>
          <w:spacing w:val="-3"/>
        </w:rPr>
      </w:pPr>
    </w:p>
    <w:p w14:paraId="06C16212" w14:textId="7D89140D" w:rsidR="00C22947" w:rsidRPr="00BD1319" w:rsidRDefault="00C22947" w:rsidP="00C22947">
      <w:pPr>
        <w:numPr>
          <w:ilvl w:val="12"/>
          <w:numId w:val="0"/>
        </w:numPr>
        <w:tabs>
          <w:tab w:val="left" w:pos="-2268"/>
        </w:tabs>
        <w:suppressAutoHyphens/>
        <w:rPr>
          <w:rFonts w:cs="Arial"/>
          <w:spacing w:val="-3"/>
        </w:rPr>
      </w:pPr>
      <w:r w:rsidRPr="00BD1319">
        <w:rPr>
          <w:rFonts w:cs="Arial"/>
          <w:spacing w:val="-3"/>
        </w:rPr>
        <w:t xml:space="preserve">El área </w:t>
      </w:r>
      <w:r w:rsidR="008B6C34" w:rsidRPr="00BD1319">
        <w:rPr>
          <w:rFonts w:cs="Arial"/>
          <w:spacing w:val="-3"/>
        </w:rPr>
        <w:t xml:space="preserve">de referencia </w:t>
      </w:r>
      <w:r w:rsidRPr="00BD1319">
        <w:rPr>
          <w:rFonts w:cs="Arial"/>
          <w:spacing w:val="-3"/>
        </w:rPr>
        <w:t xml:space="preserve">en la cual se evalúan las alternativas objeto de comparación en un DAA, se denomina área de estudio, y corresponde a la superficie </w:t>
      </w:r>
      <w:r w:rsidR="002D5608" w:rsidRPr="00BD1319">
        <w:t xml:space="preserve">continua o discontinua, </w:t>
      </w:r>
      <w:r w:rsidRPr="00BD1319">
        <w:rPr>
          <w:rFonts w:cs="Arial"/>
          <w:spacing w:val="-3"/>
        </w:rPr>
        <w:t xml:space="preserve">en la que se manifestarían los impactos ambientales </w:t>
      </w:r>
      <w:r w:rsidR="00783FA6" w:rsidRPr="00BD1319">
        <w:rPr>
          <w:rFonts w:cs="Arial"/>
          <w:spacing w:val="-3"/>
        </w:rPr>
        <w:t xml:space="preserve">potenciales </w:t>
      </w:r>
      <w:r w:rsidR="00C24A9F" w:rsidRPr="00BD1319">
        <w:rPr>
          <w:rFonts w:cs="Arial"/>
          <w:spacing w:val="-3"/>
        </w:rPr>
        <w:t xml:space="preserve">significativos </w:t>
      </w:r>
      <w:r w:rsidRPr="00BD1319">
        <w:rPr>
          <w:rFonts w:cs="Arial"/>
          <w:spacing w:val="-3"/>
        </w:rPr>
        <w:t>que generarían las alternativas contempladas para la ejecución de</w:t>
      </w:r>
      <w:r w:rsidR="00261672" w:rsidRPr="00BD1319">
        <w:rPr>
          <w:rFonts w:cs="Arial"/>
          <w:spacing w:val="-3"/>
        </w:rPr>
        <w:t xml:space="preserve"> un</w:t>
      </w:r>
      <w:r w:rsidRPr="00BD1319">
        <w:rPr>
          <w:rFonts w:cs="Arial"/>
          <w:spacing w:val="-3"/>
        </w:rPr>
        <w:t xml:space="preserve"> proyecto, obra o actividad.</w:t>
      </w:r>
    </w:p>
    <w:p w14:paraId="43DC0FE6" w14:textId="77777777" w:rsidR="00C22947" w:rsidRPr="00BD1319" w:rsidRDefault="00C22947" w:rsidP="00C22947">
      <w:pPr>
        <w:numPr>
          <w:ilvl w:val="12"/>
          <w:numId w:val="0"/>
        </w:numPr>
        <w:tabs>
          <w:tab w:val="left" w:pos="-2268"/>
        </w:tabs>
        <w:suppressAutoHyphens/>
        <w:rPr>
          <w:rFonts w:cs="Arial"/>
          <w:spacing w:val="-3"/>
        </w:rPr>
      </w:pPr>
    </w:p>
    <w:p w14:paraId="6C5ACFB5" w14:textId="55BA27D4" w:rsidR="00C22947" w:rsidRPr="00BD1319" w:rsidRDefault="00C22947" w:rsidP="3BACB336">
      <w:pPr>
        <w:suppressAutoHyphens/>
        <w:rPr>
          <w:rFonts w:cs="Arial"/>
          <w:spacing w:val="-3"/>
        </w:rPr>
      </w:pPr>
      <w:r w:rsidRPr="00BD1319">
        <w:rPr>
          <w:rFonts w:cs="Arial"/>
          <w:spacing w:val="-3"/>
        </w:rPr>
        <w:t xml:space="preserve">La delimitación del área de estudio </w:t>
      </w:r>
      <w:r w:rsidR="3BACB336" w:rsidRPr="00BD1319">
        <w:rPr>
          <w:rFonts w:cs="Arial"/>
        </w:rPr>
        <w:t xml:space="preserve">de cada alternativa </w:t>
      </w:r>
      <w:r w:rsidRPr="00BD1319">
        <w:rPr>
          <w:rFonts w:cs="Arial"/>
          <w:spacing w:val="-3"/>
        </w:rPr>
        <w:t xml:space="preserve">debe seguir los lineamientos y procedimientos que define esta metodología para la delimitación del área de influencia en el marco de un EIA (detallados en el numeral </w:t>
      </w:r>
      <w:r w:rsidRPr="00BD1319">
        <w:rPr>
          <w:rFonts w:cs="Arial"/>
          <w:spacing w:val="-3"/>
        </w:rPr>
        <w:fldChar w:fldCharType="begin"/>
      </w:r>
      <w:r w:rsidRPr="00BD1319">
        <w:rPr>
          <w:rFonts w:cs="Arial"/>
          <w:spacing w:val="-3"/>
        </w:rPr>
        <w:instrText xml:space="preserve"> REF _Ref415492844 \r \h </w:instrText>
      </w:r>
      <w:r w:rsidR="006A4128" w:rsidRPr="00BD1319">
        <w:rPr>
          <w:rFonts w:cs="Arial"/>
          <w:spacing w:val="-3"/>
        </w:rPr>
        <w:instrText xml:space="preserve"> \* MERGEFORMAT </w:instrText>
      </w:r>
      <w:r w:rsidRPr="00BD1319">
        <w:rPr>
          <w:rFonts w:cs="Arial"/>
          <w:spacing w:val="-3"/>
        </w:rPr>
      </w:r>
      <w:r w:rsidRPr="00BD1319">
        <w:rPr>
          <w:rFonts w:cs="Arial"/>
          <w:spacing w:val="-3"/>
        </w:rPr>
        <w:fldChar w:fldCharType="separate"/>
      </w:r>
      <w:r w:rsidR="00296654" w:rsidRPr="00BD1319">
        <w:rPr>
          <w:rFonts w:cs="Arial"/>
          <w:spacing w:val="-3"/>
        </w:rPr>
        <w:t>2</w:t>
      </w:r>
      <w:r w:rsidRPr="00BD1319">
        <w:rPr>
          <w:rFonts w:cs="Arial"/>
          <w:spacing w:val="-3"/>
        </w:rPr>
        <w:fldChar w:fldCharType="end"/>
      </w:r>
      <w:r w:rsidRPr="00BD1319">
        <w:rPr>
          <w:rFonts w:cs="Arial"/>
          <w:spacing w:val="-3"/>
        </w:rPr>
        <w:t xml:space="preserve"> del capítulo II</w:t>
      </w:r>
      <w:r w:rsidR="00BC3B27" w:rsidRPr="00BD1319">
        <w:rPr>
          <w:rFonts w:cs="Arial"/>
          <w:spacing w:val="-3"/>
        </w:rPr>
        <w:t>I</w:t>
      </w:r>
      <w:r w:rsidRPr="00BD1319">
        <w:rPr>
          <w:rFonts w:cs="Arial"/>
          <w:spacing w:val="-3"/>
        </w:rPr>
        <w:t>), ten</w:t>
      </w:r>
      <w:r w:rsidR="00AF0B27" w:rsidRPr="00BD1319">
        <w:rPr>
          <w:rFonts w:cs="Arial"/>
          <w:spacing w:val="-3"/>
        </w:rPr>
        <w:t xml:space="preserve">iendo presente que su alcance es </w:t>
      </w:r>
      <w:r w:rsidR="0017554F" w:rsidRPr="00BD1319">
        <w:rPr>
          <w:rFonts w:cs="Arial"/>
          <w:spacing w:val="-3"/>
        </w:rPr>
        <w:t>menor</w:t>
      </w:r>
      <w:r w:rsidR="00AF0B27" w:rsidRPr="00BD1319">
        <w:rPr>
          <w:rFonts w:cs="Arial"/>
          <w:spacing w:val="-3"/>
        </w:rPr>
        <w:t xml:space="preserve"> </w:t>
      </w:r>
      <w:r w:rsidRPr="00BD1319">
        <w:rPr>
          <w:rFonts w:cs="Arial"/>
          <w:spacing w:val="-3"/>
        </w:rPr>
        <w:t xml:space="preserve">dado el propósito </w:t>
      </w:r>
      <w:r w:rsidR="00AF0B27" w:rsidRPr="00BD1319">
        <w:rPr>
          <w:rFonts w:cs="Arial"/>
          <w:spacing w:val="-3"/>
        </w:rPr>
        <w:t xml:space="preserve">intrínseco </w:t>
      </w:r>
      <w:r w:rsidRPr="00BD1319">
        <w:rPr>
          <w:rFonts w:cs="Arial"/>
          <w:spacing w:val="-3"/>
        </w:rPr>
        <w:t>del DAA</w:t>
      </w:r>
      <w:r w:rsidR="00AF0B27" w:rsidRPr="00BD1319">
        <w:rPr>
          <w:rFonts w:cs="Arial"/>
          <w:spacing w:val="-3"/>
        </w:rPr>
        <w:t xml:space="preserve">. </w:t>
      </w:r>
      <w:r w:rsidRPr="00BD1319">
        <w:rPr>
          <w:rFonts w:cs="Arial"/>
          <w:spacing w:val="-3"/>
        </w:rPr>
        <w:t xml:space="preserve">De acuerdo con lo anterior, </w:t>
      </w:r>
      <w:r w:rsidR="00261672" w:rsidRPr="00BD1319">
        <w:rPr>
          <w:rFonts w:cs="Arial"/>
          <w:spacing w:val="-3"/>
        </w:rPr>
        <w:t>e</w:t>
      </w:r>
      <w:r w:rsidRPr="00BD1319">
        <w:rPr>
          <w:rFonts w:cs="Arial"/>
          <w:spacing w:val="-3"/>
        </w:rPr>
        <w:t xml:space="preserve">l proceso para delimitar el área de estudio </w:t>
      </w:r>
      <w:r w:rsidR="00E42B7B" w:rsidRPr="00BD1319">
        <w:rPr>
          <w:rFonts w:cs="Arial"/>
          <w:spacing w:val="-3"/>
        </w:rPr>
        <w:t>debe enfocarse en establecer un área de contexto general en la que sea posible comparar</w:t>
      </w:r>
      <w:r w:rsidR="00FE31CF" w:rsidRPr="00BD1319">
        <w:rPr>
          <w:rFonts w:cs="Arial"/>
          <w:spacing w:val="-3"/>
        </w:rPr>
        <w:t xml:space="preserve"> las implicaciones ambientales que traería la ejecución de cada una de las alternativas objeto de </w:t>
      </w:r>
      <w:r w:rsidR="00FE31CF" w:rsidRPr="00BD1319">
        <w:rPr>
          <w:rFonts w:cs="Arial"/>
          <w:spacing w:val="-3"/>
        </w:rPr>
        <w:lastRenderedPageBreak/>
        <w:t>evaluación</w:t>
      </w:r>
      <w:r w:rsidR="00E42B7B" w:rsidRPr="00BD1319">
        <w:rPr>
          <w:rFonts w:cs="Arial"/>
          <w:spacing w:val="-3"/>
        </w:rPr>
        <w:t xml:space="preserve">, </w:t>
      </w:r>
      <w:r w:rsidR="00FE31CF" w:rsidRPr="00BD1319">
        <w:rPr>
          <w:rFonts w:cs="Arial"/>
          <w:spacing w:val="-3"/>
        </w:rPr>
        <w:t xml:space="preserve">empleando para ello </w:t>
      </w:r>
      <w:r w:rsidR="00E42B7B" w:rsidRPr="00BD1319">
        <w:rPr>
          <w:rFonts w:cs="Arial"/>
          <w:spacing w:val="-3"/>
        </w:rPr>
        <w:t xml:space="preserve">información </w:t>
      </w:r>
      <w:r w:rsidR="00FE31CF" w:rsidRPr="00BD1319">
        <w:rPr>
          <w:rFonts w:cs="Arial"/>
          <w:spacing w:val="-3"/>
        </w:rPr>
        <w:t>principalmente secundaria.</w:t>
      </w:r>
      <w:r w:rsidR="00E42B7B" w:rsidRPr="00BD1319">
        <w:rPr>
          <w:rFonts w:cs="Arial"/>
          <w:spacing w:val="-3"/>
        </w:rPr>
        <w:t xml:space="preserve"> </w:t>
      </w:r>
      <w:r w:rsidR="00FE31CF" w:rsidRPr="00BD1319">
        <w:rPr>
          <w:rFonts w:cs="Arial"/>
          <w:spacing w:val="-3"/>
        </w:rPr>
        <w:t xml:space="preserve">Este proceso </w:t>
      </w:r>
      <w:r w:rsidR="00FE31CF" w:rsidRPr="00BD1319">
        <w:rPr>
          <w:rFonts w:cs="Arial"/>
          <w:i/>
          <w:iCs/>
          <w:spacing w:val="-3"/>
        </w:rPr>
        <w:t>no</w:t>
      </w:r>
      <w:r w:rsidR="00FE31CF" w:rsidRPr="00BD1319">
        <w:rPr>
          <w:rFonts w:cs="Arial"/>
          <w:spacing w:val="-3"/>
        </w:rPr>
        <w:t xml:space="preserve"> tiene</w:t>
      </w:r>
      <w:r w:rsidR="00E42B7B" w:rsidRPr="00BD1319">
        <w:rPr>
          <w:rFonts w:cs="Arial"/>
          <w:spacing w:val="-3"/>
        </w:rPr>
        <w:t xml:space="preserve"> </w:t>
      </w:r>
      <w:r w:rsidRPr="00BD1319">
        <w:rPr>
          <w:rFonts w:cs="Arial"/>
          <w:spacing w:val="-3"/>
        </w:rPr>
        <w:t xml:space="preserve">el mismo grado de </w:t>
      </w:r>
      <w:r w:rsidR="00E42B7B" w:rsidRPr="00BD1319">
        <w:rPr>
          <w:rFonts w:cs="Arial"/>
          <w:spacing w:val="-3"/>
        </w:rPr>
        <w:t>detalle</w:t>
      </w:r>
      <w:r w:rsidRPr="00BD1319">
        <w:rPr>
          <w:rFonts w:cs="Arial"/>
          <w:spacing w:val="-3"/>
        </w:rPr>
        <w:t xml:space="preserve"> y precisión </w:t>
      </w:r>
      <w:r w:rsidR="00FE31CF" w:rsidRPr="00BD1319">
        <w:rPr>
          <w:rFonts w:cs="Arial"/>
          <w:spacing w:val="-3"/>
        </w:rPr>
        <w:t xml:space="preserve">que se ha </w:t>
      </w:r>
      <w:r w:rsidR="00261672" w:rsidRPr="00BD1319">
        <w:rPr>
          <w:rFonts w:cs="Arial"/>
          <w:spacing w:val="-3"/>
        </w:rPr>
        <w:t xml:space="preserve">fijado para </w:t>
      </w:r>
      <w:r w:rsidRPr="00BD1319">
        <w:rPr>
          <w:rFonts w:cs="Arial"/>
          <w:spacing w:val="-3"/>
        </w:rPr>
        <w:t>la delimitación del área de influencia.</w:t>
      </w:r>
    </w:p>
    <w:p w14:paraId="72DF34D5" w14:textId="77777777" w:rsidR="00C22947" w:rsidRPr="00BD1319" w:rsidRDefault="00C22947" w:rsidP="00C22947">
      <w:pPr>
        <w:numPr>
          <w:ilvl w:val="12"/>
          <w:numId w:val="0"/>
        </w:numPr>
        <w:tabs>
          <w:tab w:val="left" w:pos="-2268"/>
        </w:tabs>
        <w:suppressAutoHyphens/>
        <w:rPr>
          <w:rFonts w:cs="Arial"/>
          <w:spacing w:val="-3"/>
        </w:rPr>
      </w:pPr>
    </w:p>
    <w:p w14:paraId="29BB9AB6" w14:textId="7360F85B" w:rsidR="00C22947" w:rsidRPr="00BD1319" w:rsidRDefault="00C22947" w:rsidP="3BACB336">
      <w:pPr>
        <w:suppressAutoHyphens/>
        <w:rPr>
          <w:rFonts w:cs="Arial"/>
          <w:spacing w:val="-3"/>
        </w:rPr>
      </w:pPr>
      <w:r w:rsidRPr="00BD1319">
        <w:rPr>
          <w:rFonts w:cs="Arial"/>
          <w:spacing w:val="-3"/>
        </w:rPr>
        <w:t xml:space="preserve">El área de estudio </w:t>
      </w:r>
      <w:r w:rsidR="3BACB336" w:rsidRPr="00BD1319">
        <w:rPr>
          <w:rFonts w:cs="Arial"/>
        </w:rPr>
        <w:t xml:space="preserve">de las alternativas </w:t>
      </w:r>
      <w:r w:rsidRPr="00BD1319">
        <w:rPr>
          <w:rFonts w:cs="Arial"/>
          <w:spacing w:val="-3"/>
        </w:rPr>
        <w:t xml:space="preserve">debe establecerse con base en </w:t>
      </w:r>
      <w:r w:rsidR="3BACB336" w:rsidRPr="00BD1319">
        <w:rPr>
          <w:rFonts w:cs="Arial"/>
        </w:rPr>
        <w:t xml:space="preserve">sus </w:t>
      </w:r>
      <w:r w:rsidRPr="00BD1319">
        <w:rPr>
          <w:rFonts w:cs="Arial"/>
          <w:spacing w:val="-3"/>
        </w:rPr>
        <w:t xml:space="preserve">características de </w:t>
      </w:r>
      <w:r w:rsidRPr="00BD1319">
        <w:rPr>
          <w:rFonts w:cs="Arial"/>
        </w:rPr>
        <w:t>tecnología</w:t>
      </w:r>
      <w:r w:rsidR="3BACB336" w:rsidRPr="00BD1319">
        <w:rPr>
          <w:rFonts w:cs="Arial"/>
        </w:rPr>
        <w:t xml:space="preserve"> y</w:t>
      </w:r>
      <w:r w:rsidRPr="00BD1319">
        <w:rPr>
          <w:rFonts w:cs="Arial"/>
        </w:rPr>
        <w:t xml:space="preserve"> diseño, en su</w:t>
      </w:r>
      <w:r w:rsidR="3BACB336" w:rsidRPr="00BD1319">
        <w:rPr>
          <w:rFonts w:cs="Arial"/>
        </w:rPr>
        <w:t>s</w:t>
      </w:r>
      <w:r w:rsidRPr="00BD1319">
        <w:rPr>
          <w:rFonts w:cs="Arial"/>
        </w:rPr>
        <w:t xml:space="preserve"> </w:t>
      </w:r>
      <w:r w:rsidRPr="00BD1319">
        <w:rPr>
          <w:rFonts w:cs="Arial"/>
          <w:spacing w:val="-3"/>
        </w:rPr>
        <w:t>localizaci</w:t>
      </w:r>
      <w:r w:rsidR="3BACB336" w:rsidRPr="00BD1319">
        <w:rPr>
          <w:rFonts w:cs="Arial"/>
        </w:rPr>
        <w:t>ones</w:t>
      </w:r>
      <w:r w:rsidRPr="00BD1319">
        <w:rPr>
          <w:rFonts w:cs="Arial"/>
          <w:spacing w:val="-3"/>
        </w:rPr>
        <w:t xml:space="preserve"> geográfica</w:t>
      </w:r>
      <w:r w:rsidR="3BACB336" w:rsidRPr="00BD1319">
        <w:rPr>
          <w:rFonts w:cs="Arial"/>
        </w:rPr>
        <w:t>s</w:t>
      </w:r>
      <w:r w:rsidRPr="00BD1319">
        <w:rPr>
          <w:rFonts w:cs="Arial"/>
          <w:spacing w:val="-3"/>
        </w:rPr>
        <w:t xml:space="preserve"> (ubicaci</w:t>
      </w:r>
      <w:r w:rsidR="3BACB336" w:rsidRPr="00BD1319">
        <w:rPr>
          <w:rFonts w:cs="Arial"/>
        </w:rPr>
        <w:t>ones</w:t>
      </w:r>
      <w:r w:rsidRPr="00BD1319">
        <w:rPr>
          <w:rFonts w:cs="Arial"/>
          <w:spacing w:val="-3"/>
        </w:rPr>
        <w:t xml:space="preserve"> o trazado</w:t>
      </w:r>
      <w:r w:rsidR="3BACB336" w:rsidRPr="00BD1319">
        <w:rPr>
          <w:rFonts w:cs="Arial"/>
        </w:rPr>
        <w:t>s</w:t>
      </w:r>
      <w:r w:rsidRPr="00BD1319">
        <w:rPr>
          <w:rFonts w:cs="Arial"/>
          <w:spacing w:val="-3"/>
        </w:rPr>
        <w:t xml:space="preserve">) y en las condiciones </w:t>
      </w:r>
      <w:r w:rsidR="00FC6652" w:rsidRPr="00BD1319">
        <w:rPr>
          <w:rFonts w:cs="Arial"/>
          <w:spacing w:val="-3"/>
        </w:rPr>
        <w:t xml:space="preserve">de los medios abiótico, biótico y socioeconómico </w:t>
      </w:r>
      <w:r w:rsidRPr="00BD1319">
        <w:rPr>
          <w:rFonts w:cs="Arial"/>
          <w:spacing w:val="-3"/>
        </w:rPr>
        <w:t>del lugar donde se pretende</w:t>
      </w:r>
      <w:r w:rsidR="3BACB336" w:rsidRPr="00BD1319">
        <w:rPr>
          <w:rFonts w:cs="Arial"/>
        </w:rPr>
        <w:t>n</w:t>
      </w:r>
      <w:r w:rsidRPr="00BD1319">
        <w:rPr>
          <w:rFonts w:cs="Arial"/>
          <w:spacing w:val="-3"/>
        </w:rPr>
        <w:t xml:space="preserve"> desarrollar de acuerdo con la cartografía e información temática más reciente que se encuentre disponible</w:t>
      </w:r>
      <w:r w:rsidR="00C91F7D" w:rsidRPr="00BD1319">
        <w:rPr>
          <w:rFonts w:cs="Arial"/>
          <w:spacing w:val="-3"/>
        </w:rPr>
        <w:t>. E</w:t>
      </w:r>
      <w:r w:rsidRPr="00BD1319">
        <w:rPr>
          <w:rFonts w:cs="Arial"/>
          <w:spacing w:val="-3"/>
        </w:rPr>
        <w:t xml:space="preserve">l área de estudio </w:t>
      </w:r>
      <w:r w:rsidR="3BACB336" w:rsidRPr="00BD1319">
        <w:rPr>
          <w:rFonts w:cs="Arial"/>
        </w:rPr>
        <w:t xml:space="preserve">de las alternativas </w:t>
      </w:r>
      <w:r w:rsidR="000F56EE" w:rsidRPr="00BD1319">
        <w:rPr>
          <w:rFonts w:cs="Arial"/>
          <w:spacing w:val="-3"/>
        </w:rPr>
        <w:t>resulta de</w:t>
      </w:r>
      <w:r w:rsidRPr="00BD1319">
        <w:rPr>
          <w:rFonts w:cs="Arial"/>
          <w:spacing w:val="-3"/>
        </w:rPr>
        <w:t xml:space="preserve"> un proceso de evaluación ambiental </w:t>
      </w:r>
      <w:r w:rsidR="0017554F" w:rsidRPr="00BD1319">
        <w:rPr>
          <w:rFonts w:cs="Arial"/>
          <w:i/>
          <w:iCs/>
          <w:spacing w:val="-3"/>
        </w:rPr>
        <w:t xml:space="preserve">básico </w:t>
      </w:r>
      <w:r w:rsidRPr="00BD1319">
        <w:rPr>
          <w:rFonts w:cs="Arial"/>
          <w:spacing w:val="-3"/>
        </w:rPr>
        <w:t xml:space="preserve">que pronostica la forma en </w:t>
      </w:r>
      <w:r w:rsidR="3BACB336" w:rsidRPr="00BD1319">
        <w:rPr>
          <w:rFonts w:cs="Arial"/>
        </w:rPr>
        <w:t xml:space="preserve">la </w:t>
      </w:r>
      <w:r w:rsidRPr="00BD1319">
        <w:rPr>
          <w:rFonts w:cs="Arial"/>
          <w:spacing w:val="-3"/>
        </w:rPr>
        <w:t xml:space="preserve">que las alternativas traen consecuencias en las condiciones ambientales, específicamente, </w:t>
      </w:r>
      <w:r w:rsidR="000F56EE" w:rsidRPr="00BD1319">
        <w:rPr>
          <w:rFonts w:cs="Arial"/>
          <w:spacing w:val="-3"/>
        </w:rPr>
        <w:t>de</w:t>
      </w:r>
      <w:r w:rsidRPr="00BD1319">
        <w:rPr>
          <w:rFonts w:cs="Arial"/>
          <w:spacing w:val="-3"/>
        </w:rPr>
        <w:t xml:space="preserve"> </w:t>
      </w:r>
      <w:r w:rsidR="004D2CF7" w:rsidRPr="00BD1319">
        <w:rPr>
          <w:rFonts w:cs="Arial"/>
          <w:spacing w:val="-3"/>
        </w:rPr>
        <w:t>un</w:t>
      </w:r>
      <w:r w:rsidR="00165BAE" w:rsidRPr="00BD1319">
        <w:rPr>
          <w:rFonts w:cs="Arial"/>
          <w:spacing w:val="-3"/>
        </w:rPr>
        <w:t xml:space="preserve"> proceso</w:t>
      </w:r>
      <w:r w:rsidR="004D2CF7" w:rsidRPr="00BD1319">
        <w:rPr>
          <w:rFonts w:cs="Arial"/>
          <w:spacing w:val="-3"/>
        </w:rPr>
        <w:t xml:space="preserve"> que permite </w:t>
      </w:r>
      <w:r w:rsidR="00B44BB4" w:rsidRPr="00BD1319">
        <w:rPr>
          <w:spacing w:val="-3"/>
        </w:rPr>
        <w:t>determinar</w:t>
      </w:r>
      <w:r w:rsidR="00B44BB4" w:rsidRPr="00BD1319" w:rsidDel="00B44BB4">
        <w:rPr>
          <w:rFonts w:cs="Arial"/>
          <w:spacing w:val="-3"/>
        </w:rPr>
        <w:t xml:space="preserve"> </w:t>
      </w:r>
      <w:r w:rsidR="004D2CF7" w:rsidRPr="00BD1319">
        <w:rPr>
          <w:rFonts w:cs="Arial"/>
          <w:spacing w:val="-3"/>
        </w:rPr>
        <w:t xml:space="preserve">los </w:t>
      </w:r>
      <w:r w:rsidRPr="00BD1319">
        <w:rPr>
          <w:rFonts w:cs="Arial"/>
          <w:spacing w:val="-3"/>
        </w:rPr>
        <w:t xml:space="preserve">impactos ambientales </w:t>
      </w:r>
      <w:r w:rsidR="00C24A9F" w:rsidRPr="00BD1319">
        <w:rPr>
          <w:rFonts w:cs="Arial"/>
          <w:spacing w:val="-3"/>
        </w:rPr>
        <w:t xml:space="preserve">potenciales </w:t>
      </w:r>
      <w:r w:rsidRPr="00BD1319">
        <w:rPr>
          <w:rFonts w:cs="Arial"/>
          <w:spacing w:val="-3"/>
        </w:rPr>
        <w:t>significativos</w:t>
      </w:r>
      <w:r w:rsidR="004D2CF7" w:rsidRPr="00BD1319">
        <w:rPr>
          <w:rFonts w:cs="Arial"/>
          <w:spacing w:val="-3"/>
        </w:rPr>
        <w:t xml:space="preserve"> de cada una de ellas</w:t>
      </w:r>
      <w:r w:rsidRPr="00BD1319">
        <w:rPr>
          <w:rFonts w:cs="Arial"/>
          <w:spacing w:val="-3"/>
        </w:rPr>
        <w:t>.</w:t>
      </w:r>
    </w:p>
    <w:p w14:paraId="1D2B0359" w14:textId="77777777" w:rsidR="00C22947" w:rsidRPr="00BD1319" w:rsidRDefault="00C22947" w:rsidP="00C22947">
      <w:pPr>
        <w:numPr>
          <w:ilvl w:val="12"/>
          <w:numId w:val="0"/>
        </w:numPr>
        <w:tabs>
          <w:tab w:val="left" w:pos="-2268"/>
        </w:tabs>
        <w:suppressAutoHyphens/>
        <w:rPr>
          <w:rFonts w:cs="Arial"/>
          <w:spacing w:val="-3"/>
        </w:rPr>
      </w:pPr>
    </w:p>
    <w:p w14:paraId="162C2EE6" w14:textId="70EA46CE" w:rsidR="00C22947" w:rsidRPr="00BD1319" w:rsidRDefault="00C22947" w:rsidP="00C22947">
      <w:pPr>
        <w:numPr>
          <w:ilvl w:val="12"/>
          <w:numId w:val="0"/>
        </w:numPr>
        <w:tabs>
          <w:tab w:val="left" w:pos="-2268"/>
        </w:tabs>
        <w:suppressAutoHyphens/>
        <w:rPr>
          <w:rFonts w:cs="Arial"/>
          <w:spacing w:val="-3"/>
        </w:rPr>
      </w:pPr>
      <w:r w:rsidRPr="00BD1319">
        <w:rPr>
          <w:rFonts w:cs="Arial"/>
          <w:spacing w:val="-3"/>
        </w:rPr>
        <w:t xml:space="preserve">Las condiciones ambientales que se deben emplear para la delimitación del área de estudio </w:t>
      </w:r>
      <w:r w:rsidR="00040DB3" w:rsidRPr="00BD1319">
        <w:rPr>
          <w:rFonts w:cs="Arial"/>
          <w:spacing w:val="-3"/>
        </w:rPr>
        <w:t xml:space="preserve">de las alternativas </w:t>
      </w:r>
      <w:r w:rsidRPr="00BD1319">
        <w:rPr>
          <w:rFonts w:cs="Arial"/>
          <w:spacing w:val="-3"/>
        </w:rPr>
        <w:t xml:space="preserve">son las que se identifiquen en el proceso de caracterización ambiental al cual se refiere el numeral </w:t>
      </w:r>
      <w:r w:rsidRPr="00BD1319">
        <w:rPr>
          <w:rFonts w:cs="Arial"/>
          <w:spacing w:val="-3"/>
        </w:rPr>
        <w:fldChar w:fldCharType="begin"/>
      </w:r>
      <w:r w:rsidRPr="00BD1319">
        <w:rPr>
          <w:rFonts w:cs="Arial"/>
          <w:spacing w:val="-3"/>
        </w:rPr>
        <w:instrText xml:space="preserve"> REF _Ref495933267 \r \h </w:instrText>
      </w:r>
      <w:r w:rsidR="006A4128" w:rsidRPr="00BD1319">
        <w:rPr>
          <w:rFonts w:cs="Arial"/>
          <w:spacing w:val="-3"/>
        </w:rPr>
        <w:instrText xml:space="preserve"> \* MERGEFORMAT </w:instrText>
      </w:r>
      <w:r w:rsidRPr="00BD1319">
        <w:rPr>
          <w:rFonts w:cs="Arial"/>
          <w:spacing w:val="-3"/>
        </w:rPr>
      </w:r>
      <w:r w:rsidRPr="00BD1319">
        <w:rPr>
          <w:rFonts w:cs="Arial"/>
          <w:spacing w:val="-3"/>
        </w:rPr>
        <w:fldChar w:fldCharType="separate"/>
      </w:r>
      <w:r w:rsidR="00296654" w:rsidRPr="00BD1319">
        <w:rPr>
          <w:rFonts w:cs="Arial"/>
          <w:spacing w:val="-3"/>
        </w:rPr>
        <w:t>4</w:t>
      </w:r>
      <w:r w:rsidRPr="00BD1319">
        <w:rPr>
          <w:rFonts w:cs="Arial"/>
          <w:spacing w:val="-3"/>
        </w:rPr>
        <w:fldChar w:fldCharType="end"/>
      </w:r>
      <w:r w:rsidRPr="00BD1319">
        <w:rPr>
          <w:rFonts w:cs="Arial"/>
          <w:spacing w:val="-3"/>
        </w:rPr>
        <w:t xml:space="preserve"> del presente capítulo. Tanto la caracterización ambiental, como la delimitación del área de estudio deben basarse en las unidades de análisis que mejor describan los componentes de los medios abiótico, biótico y socioeconómico, y que permitan evidenciar los límites de la manifestación de los impactos ambientales </w:t>
      </w:r>
      <w:r w:rsidR="00FA588A" w:rsidRPr="00BD1319">
        <w:rPr>
          <w:rFonts w:cs="Arial"/>
          <w:spacing w:val="-3"/>
        </w:rPr>
        <w:t>potenciales</w:t>
      </w:r>
      <w:r w:rsidR="00C24A9F" w:rsidRPr="00BD1319">
        <w:rPr>
          <w:rFonts w:cs="Arial"/>
          <w:spacing w:val="-3"/>
        </w:rPr>
        <w:t xml:space="preserve"> significativos</w:t>
      </w:r>
      <w:r w:rsidRPr="00BD1319">
        <w:rPr>
          <w:rFonts w:cs="Arial"/>
          <w:spacing w:val="-3"/>
        </w:rPr>
        <w:t>.</w:t>
      </w:r>
    </w:p>
    <w:p w14:paraId="380FDE8F" w14:textId="77777777" w:rsidR="00C22947" w:rsidRPr="00BD1319" w:rsidRDefault="00C22947" w:rsidP="00C22947">
      <w:pPr>
        <w:numPr>
          <w:ilvl w:val="12"/>
          <w:numId w:val="0"/>
        </w:numPr>
        <w:tabs>
          <w:tab w:val="left" w:pos="-2268"/>
        </w:tabs>
        <w:suppressAutoHyphens/>
        <w:rPr>
          <w:rFonts w:cs="Arial"/>
          <w:spacing w:val="-3"/>
        </w:rPr>
      </w:pPr>
    </w:p>
    <w:p w14:paraId="53D9E5D8" w14:textId="521ED5C1" w:rsidR="00C22947" w:rsidRPr="00BD1319" w:rsidRDefault="00C22947" w:rsidP="00C22947">
      <w:pPr>
        <w:numPr>
          <w:ilvl w:val="12"/>
          <w:numId w:val="0"/>
        </w:numPr>
        <w:tabs>
          <w:tab w:val="left" w:pos="-2268"/>
        </w:tabs>
        <w:suppressAutoHyphens/>
        <w:rPr>
          <w:rFonts w:cs="Arial"/>
          <w:spacing w:val="-3"/>
        </w:rPr>
      </w:pPr>
      <w:r w:rsidRPr="00BD1319">
        <w:rPr>
          <w:rFonts w:cs="Arial"/>
          <w:spacing w:val="-3"/>
        </w:rPr>
        <w:t xml:space="preserve">La delimitación del área de estudio </w:t>
      </w:r>
      <w:r w:rsidR="00040DB3" w:rsidRPr="00BD1319">
        <w:rPr>
          <w:rFonts w:cs="Arial"/>
          <w:spacing w:val="-3"/>
        </w:rPr>
        <w:t xml:space="preserve">de las alternativas </w:t>
      </w:r>
      <w:r w:rsidRPr="00BD1319">
        <w:rPr>
          <w:rFonts w:cs="Arial"/>
          <w:spacing w:val="-3"/>
        </w:rPr>
        <w:t>es un proceso iterativo que</w:t>
      </w:r>
      <w:r w:rsidR="008B4E79" w:rsidRPr="00BD1319">
        <w:rPr>
          <w:rFonts w:cs="Arial"/>
          <w:spacing w:val="-3"/>
        </w:rPr>
        <w:t>,</w:t>
      </w:r>
      <w:r w:rsidRPr="00BD1319">
        <w:rPr>
          <w:rFonts w:cs="Arial"/>
          <w:spacing w:val="-3"/>
        </w:rPr>
        <w:t xml:space="preserve"> partiendo de la delimitación de área</w:t>
      </w:r>
      <w:r w:rsidR="00040DB3" w:rsidRPr="00BD1319">
        <w:rPr>
          <w:rFonts w:cs="Arial"/>
          <w:spacing w:val="-3"/>
        </w:rPr>
        <w:t>s</w:t>
      </w:r>
      <w:r w:rsidRPr="00BD1319">
        <w:rPr>
          <w:rFonts w:cs="Arial"/>
          <w:spacing w:val="-3"/>
        </w:rPr>
        <w:t xml:space="preserve"> de estudio preliminar</w:t>
      </w:r>
      <w:r w:rsidR="00040DB3" w:rsidRPr="00BD1319">
        <w:rPr>
          <w:rFonts w:cs="Arial"/>
          <w:spacing w:val="-3"/>
        </w:rPr>
        <w:t>es</w:t>
      </w:r>
      <w:r w:rsidRPr="00BD1319">
        <w:rPr>
          <w:rFonts w:cs="Arial"/>
          <w:spacing w:val="-3"/>
        </w:rPr>
        <w:t xml:space="preserve">, y tomando los resultados de la caracterización ambiental y </w:t>
      </w:r>
      <w:r w:rsidR="009B3475" w:rsidRPr="00BD1319">
        <w:rPr>
          <w:rFonts w:cs="Arial"/>
          <w:spacing w:val="-3"/>
        </w:rPr>
        <w:t xml:space="preserve">de </w:t>
      </w:r>
      <w:r w:rsidRPr="00BD1319">
        <w:rPr>
          <w:rFonts w:cs="Arial"/>
          <w:spacing w:val="-3"/>
        </w:rPr>
        <w:t xml:space="preserve">la evaluación ambiental, debe asegurar que el área </w:t>
      </w:r>
      <w:r w:rsidR="00040DB3" w:rsidRPr="00BD1319">
        <w:rPr>
          <w:rFonts w:cs="Arial"/>
          <w:spacing w:val="-3"/>
        </w:rPr>
        <w:t xml:space="preserve">de estudio de cada alternativa </w:t>
      </w:r>
      <w:r w:rsidRPr="00BD1319">
        <w:rPr>
          <w:rFonts w:cs="Arial"/>
          <w:spacing w:val="-3"/>
        </w:rPr>
        <w:t>corresponda con las zonas en las cuales se manifesta</w:t>
      </w:r>
      <w:r w:rsidR="00E93BDB" w:rsidRPr="00BD1319">
        <w:rPr>
          <w:rFonts w:cs="Arial"/>
          <w:spacing w:val="-3"/>
        </w:rPr>
        <w:t>ría</w:t>
      </w:r>
      <w:r w:rsidRPr="00BD1319">
        <w:rPr>
          <w:rFonts w:cs="Arial"/>
          <w:spacing w:val="-3"/>
        </w:rPr>
        <w:t xml:space="preserve">n </w:t>
      </w:r>
      <w:r w:rsidR="00040DB3" w:rsidRPr="00BD1319">
        <w:rPr>
          <w:rFonts w:cs="Arial"/>
          <w:spacing w:val="-3"/>
        </w:rPr>
        <w:t xml:space="preserve">sus </w:t>
      </w:r>
      <w:r w:rsidRPr="00BD1319">
        <w:rPr>
          <w:rFonts w:cs="Arial"/>
          <w:spacing w:val="-3"/>
        </w:rPr>
        <w:t xml:space="preserve">impactos ambientales </w:t>
      </w:r>
      <w:r w:rsidR="00040DB3" w:rsidRPr="00BD1319">
        <w:rPr>
          <w:rFonts w:cs="Arial"/>
          <w:spacing w:val="-3"/>
        </w:rPr>
        <w:t>potenciales</w:t>
      </w:r>
      <w:r w:rsidR="00C24A9F" w:rsidRPr="00BD1319">
        <w:rPr>
          <w:rFonts w:cs="Arial"/>
          <w:spacing w:val="-3"/>
        </w:rPr>
        <w:t xml:space="preserve"> significativos</w:t>
      </w:r>
      <w:r w:rsidRPr="00BD1319">
        <w:rPr>
          <w:rFonts w:cs="Arial"/>
          <w:spacing w:val="-3"/>
        </w:rPr>
        <w:t>.</w:t>
      </w:r>
    </w:p>
    <w:p w14:paraId="69537DC3" w14:textId="77777777" w:rsidR="00C22947" w:rsidRPr="00BD1319" w:rsidRDefault="00C22947" w:rsidP="00C22947">
      <w:pPr>
        <w:numPr>
          <w:ilvl w:val="12"/>
          <w:numId w:val="0"/>
        </w:numPr>
        <w:tabs>
          <w:tab w:val="left" w:pos="-2268"/>
        </w:tabs>
        <w:suppressAutoHyphens/>
        <w:rPr>
          <w:rFonts w:cs="Arial"/>
          <w:spacing w:val="-3"/>
        </w:rPr>
      </w:pPr>
    </w:p>
    <w:p w14:paraId="58C8019D" w14:textId="4B75795F" w:rsidR="008674D2" w:rsidRPr="00BD1319" w:rsidRDefault="00C22947" w:rsidP="008674D2">
      <w:pPr>
        <w:numPr>
          <w:ilvl w:val="12"/>
          <w:numId w:val="0"/>
        </w:numPr>
        <w:tabs>
          <w:tab w:val="left" w:pos="-2268"/>
        </w:tabs>
        <w:suppressAutoHyphens/>
        <w:rPr>
          <w:rFonts w:cs="Arial"/>
          <w:spacing w:val="-3"/>
        </w:rPr>
      </w:pPr>
      <w:r w:rsidRPr="00BD1319">
        <w:rPr>
          <w:rFonts w:cs="Arial"/>
          <w:spacing w:val="-3"/>
        </w:rPr>
        <w:t>La información recopilada debe ser analizada utilizando un software de procesamiento geoespacial, no solo con el fin de plasmar las características de la zona (</w:t>
      </w:r>
      <w:r w:rsidR="00041844" w:rsidRPr="00BD1319">
        <w:rPr>
          <w:rFonts w:cs="Arial"/>
          <w:spacing w:val="-3"/>
        </w:rPr>
        <w:t>p. ej.</w:t>
      </w:r>
      <w:r w:rsidRPr="00BD1319">
        <w:rPr>
          <w:rFonts w:cs="Arial"/>
          <w:spacing w:val="-3"/>
        </w:rPr>
        <w:t xml:space="preserve"> geología, geomorfología, ecosistemas, coberturas de la tierra, cuencas hidrográficas, vías de acceso, límite</w:t>
      </w:r>
      <w:r w:rsidR="004D2CF7" w:rsidRPr="00BD1319">
        <w:rPr>
          <w:rFonts w:cs="Arial"/>
          <w:spacing w:val="-3"/>
        </w:rPr>
        <w:t>s</w:t>
      </w:r>
      <w:r w:rsidRPr="00BD1319">
        <w:rPr>
          <w:rFonts w:cs="Arial"/>
          <w:spacing w:val="-3"/>
        </w:rPr>
        <w:t xml:space="preserve"> veredal</w:t>
      </w:r>
      <w:r w:rsidR="004D2CF7" w:rsidRPr="00BD1319">
        <w:rPr>
          <w:rFonts w:cs="Arial"/>
          <w:spacing w:val="-3"/>
        </w:rPr>
        <w:t>es</w:t>
      </w:r>
      <w:r w:rsidRPr="00BD1319">
        <w:rPr>
          <w:rFonts w:cs="Arial"/>
          <w:spacing w:val="-3"/>
        </w:rPr>
        <w:t xml:space="preserve"> y municipal</w:t>
      </w:r>
      <w:r w:rsidR="004D2CF7" w:rsidRPr="00BD1319">
        <w:rPr>
          <w:rFonts w:cs="Arial"/>
          <w:spacing w:val="-3"/>
        </w:rPr>
        <w:t>es</w:t>
      </w:r>
      <w:r w:rsidR="00EE58E3" w:rsidRPr="00BD1319">
        <w:rPr>
          <w:rFonts w:cs="Arial"/>
          <w:spacing w:val="-3"/>
        </w:rPr>
        <w:t>, corregimentales, de resguardos indígenas, consejos comunitarios, zonas de reserva campesina y otras figuras de ordenamiento territorial</w:t>
      </w:r>
      <w:r w:rsidRPr="00BD1319">
        <w:rPr>
          <w:rFonts w:cs="Arial"/>
          <w:spacing w:val="-3"/>
        </w:rPr>
        <w:t>) y de ubicar las alternativas del proyecto</w:t>
      </w:r>
      <w:r w:rsidRPr="00BD1319">
        <w:t xml:space="preserve"> </w:t>
      </w:r>
      <w:r w:rsidRPr="00BD1319">
        <w:rPr>
          <w:rFonts w:cs="Arial"/>
          <w:spacing w:val="-3"/>
        </w:rPr>
        <w:t xml:space="preserve">(que contemplan diferentes posibilidades tecnológicas, de diseño, entre otras), sino también, de establecer las relaciones entre estos dos atributos y así </w:t>
      </w:r>
      <w:r w:rsidR="00B44BB4" w:rsidRPr="00BD1319">
        <w:rPr>
          <w:spacing w:val="-3"/>
        </w:rPr>
        <w:t>determinar</w:t>
      </w:r>
      <w:r w:rsidRPr="00BD1319">
        <w:rPr>
          <w:rFonts w:cs="Arial"/>
          <w:spacing w:val="-3"/>
        </w:rPr>
        <w:t xml:space="preserve"> las posibles áreas de </w:t>
      </w:r>
      <w:r w:rsidR="004D2CF7" w:rsidRPr="00BD1319">
        <w:rPr>
          <w:rFonts w:cs="Arial"/>
          <w:spacing w:val="-3"/>
        </w:rPr>
        <w:t xml:space="preserve">manifestación de los impactos </w:t>
      </w:r>
      <w:r w:rsidR="007D2385" w:rsidRPr="00BD1319">
        <w:rPr>
          <w:rFonts w:cs="Arial"/>
          <w:spacing w:val="-3"/>
        </w:rPr>
        <w:t xml:space="preserve">ambientales potenciales </w:t>
      </w:r>
      <w:r w:rsidR="0045755B" w:rsidRPr="00BD1319">
        <w:rPr>
          <w:rFonts w:cs="Arial"/>
          <w:spacing w:val="-3"/>
        </w:rPr>
        <w:t xml:space="preserve">significativos </w:t>
      </w:r>
      <w:r w:rsidRPr="00BD1319">
        <w:rPr>
          <w:rFonts w:cs="Arial"/>
          <w:spacing w:val="-3"/>
        </w:rPr>
        <w:t>derivad</w:t>
      </w:r>
      <w:r w:rsidR="004D2CF7" w:rsidRPr="00BD1319">
        <w:rPr>
          <w:rFonts w:cs="Arial"/>
          <w:spacing w:val="-3"/>
        </w:rPr>
        <w:t>o</w:t>
      </w:r>
      <w:r w:rsidRPr="00BD1319">
        <w:rPr>
          <w:rFonts w:cs="Arial"/>
          <w:spacing w:val="-3"/>
        </w:rPr>
        <w:t>s de cada alternativa.</w:t>
      </w:r>
      <w:r w:rsidR="008674D2" w:rsidRPr="00BD1319">
        <w:rPr>
          <w:rFonts w:cs="Arial"/>
          <w:spacing w:val="-3"/>
        </w:rPr>
        <w:t xml:space="preserve"> Asimismo, se debe señalar </w:t>
      </w:r>
      <w:r w:rsidR="008674D2" w:rsidRPr="00BD1319">
        <w:rPr>
          <w:spacing w:val="-3"/>
        </w:rPr>
        <w:t xml:space="preserve">de forma precisa qué valores, rangos o </w:t>
      </w:r>
      <w:r w:rsidR="008674D2" w:rsidRPr="00BD1319">
        <w:rPr>
          <w:spacing w:val="-3"/>
        </w:rPr>
        <w:lastRenderedPageBreak/>
        <w:t>condiciones de escenarios prospectivos, modelizaciones u otras herramientas fueron definidos para delimitar el área de estudio</w:t>
      </w:r>
      <w:r w:rsidR="007D2385" w:rsidRPr="00BD1319">
        <w:rPr>
          <w:spacing w:val="-3"/>
        </w:rPr>
        <w:t xml:space="preserve"> de cada alternativa</w:t>
      </w:r>
      <w:r w:rsidR="008674D2" w:rsidRPr="00BD1319">
        <w:rPr>
          <w:spacing w:val="-3"/>
        </w:rPr>
        <w:t>.</w:t>
      </w:r>
    </w:p>
    <w:p w14:paraId="0E18642E" w14:textId="77777777" w:rsidR="008674D2" w:rsidRPr="00BD1319" w:rsidRDefault="008674D2" w:rsidP="00EB2C3D">
      <w:pPr>
        <w:numPr>
          <w:ilvl w:val="12"/>
          <w:numId w:val="0"/>
        </w:numPr>
        <w:tabs>
          <w:tab w:val="left" w:pos="-2268"/>
        </w:tabs>
        <w:suppressAutoHyphens/>
        <w:rPr>
          <w:rFonts w:cs="Arial"/>
          <w:spacing w:val="-3"/>
        </w:rPr>
      </w:pPr>
    </w:p>
    <w:p w14:paraId="612F751D" w14:textId="5C7088B8" w:rsidR="00EB2C3D" w:rsidRPr="00BD1319" w:rsidRDefault="3BACB336" w:rsidP="3BACB336">
      <w:pPr>
        <w:suppressAutoHyphens/>
        <w:rPr>
          <w:rFonts w:cs="Arial"/>
          <w:spacing w:val="-3"/>
        </w:rPr>
      </w:pPr>
      <w:r w:rsidRPr="00BD1319">
        <w:rPr>
          <w:rFonts w:cs="Arial"/>
        </w:rPr>
        <w:t xml:space="preserve">Tales </w:t>
      </w:r>
      <w:r w:rsidR="00EB2C3D" w:rsidRPr="00BD1319">
        <w:rPr>
          <w:rFonts w:cs="Arial"/>
          <w:spacing w:val="-3"/>
        </w:rPr>
        <w:t>áreas deben ser presentadas y sustentadas en el DAA</w:t>
      </w:r>
      <w:r w:rsidRPr="00BD1319">
        <w:rPr>
          <w:rFonts w:cs="Arial"/>
        </w:rPr>
        <w:t xml:space="preserve">, </w:t>
      </w:r>
      <w:r w:rsidR="00FA4BAD" w:rsidRPr="00BD1319">
        <w:rPr>
          <w:rFonts w:cs="Arial"/>
          <w:spacing w:val="-3"/>
        </w:rPr>
        <w:t>justifica</w:t>
      </w:r>
      <w:r w:rsidRPr="00BD1319">
        <w:rPr>
          <w:rFonts w:cs="Arial"/>
        </w:rPr>
        <w:t>ndo</w:t>
      </w:r>
      <w:r w:rsidR="00FA4BAD" w:rsidRPr="00BD1319">
        <w:rPr>
          <w:rFonts w:cs="Arial"/>
          <w:spacing w:val="-3"/>
        </w:rPr>
        <w:t xml:space="preserve"> técnica</w:t>
      </w:r>
      <w:r w:rsidR="00E93BDB" w:rsidRPr="00BD1319">
        <w:rPr>
          <w:rFonts w:cs="Arial"/>
          <w:spacing w:val="-3"/>
        </w:rPr>
        <w:t>mente</w:t>
      </w:r>
      <w:r w:rsidR="00FA4BAD" w:rsidRPr="00BD1319">
        <w:rPr>
          <w:rFonts w:cs="Arial"/>
          <w:spacing w:val="-3"/>
        </w:rPr>
        <w:t xml:space="preserve"> </w:t>
      </w:r>
      <w:r w:rsidR="00807BE3" w:rsidRPr="00BD1319">
        <w:rPr>
          <w:rFonts w:cs="Arial"/>
          <w:spacing w:val="-3"/>
        </w:rPr>
        <w:t xml:space="preserve">la selección </w:t>
      </w:r>
      <w:r w:rsidR="00EB2C3D" w:rsidRPr="00BD1319">
        <w:rPr>
          <w:rFonts w:cs="Arial"/>
          <w:spacing w:val="-3"/>
        </w:rPr>
        <w:t xml:space="preserve">de los </w:t>
      </w:r>
      <w:r w:rsidR="00EB2C3D" w:rsidRPr="00BD1319">
        <w:rPr>
          <w:rFonts w:cs="Arial"/>
          <w:i/>
          <w:iCs/>
          <w:spacing w:val="-3"/>
        </w:rPr>
        <w:t xml:space="preserve">criterios </w:t>
      </w:r>
      <w:r w:rsidR="00FA4BAD" w:rsidRPr="00BD1319">
        <w:rPr>
          <w:rFonts w:cs="Arial"/>
          <w:i/>
          <w:iCs/>
          <w:spacing w:val="-3"/>
        </w:rPr>
        <w:t xml:space="preserve">de </w:t>
      </w:r>
      <w:r w:rsidR="001A2CD3" w:rsidRPr="00BD1319">
        <w:rPr>
          <w:rFonts w:cs="Arial"/>
          <w:i/>
          <w:iCs/>
          <w:spacing w:val="-3"/>
        </w:rPr>
        <w:t>conformación</w:t>
      </w:r>
      <w:r w:rsidR="001A2CD3" w:rsidRPr="00BD1319">
        <w:rPr>
          <w:rFonts w:cs="Arial"/>
          <w:spacing w:val="-3"/>
        </w:rPr>
        <w:t xml:space="preserve"> </w:t>
      </w:r>
      <w:r w:rsidR="00807BE3" w:rsidRPr="00BD1319">
        <w:rPr>
          <w:rFonts w:cs="Arial"/>
          <w:spacing w:val="-3"/>
        </w:rPr>
        <w:t>empleados</w:t>
      </w:r>
      <w:r w:rsidR="004D2CF7" w:rsidRPr="00BD1319">
        <w:rPr>
          <w:rFonts w:cs="Arial"/>
          <w:spacing w:val="-3"/>
        </w:rPr>
        <w:t xml:space="preserve"> </w:t>
      </w:r>
      <w:r w:rsidR="00FA4BAD" w:rsidRPr="00BD1319">
        <w:rPr>
          <w:rFonts w:cs="Arial"/>
          <w:spacing w:val="-3"/>
        </w:rPr>
        <w:t xml:space="preserve">(algunos de los cuales se enuncian </w:t>
      </w:r>
      <w:r w:rsidRPr="00BD1319">
        <w:rPr>
          <w:rFonts w:cs="Arial"/>
        </w:rPr>
        <w:t xml:space="preserve">en el </w:t>
      </w:r>
      <w:r w:rsidR="00EB2C3D" w:rsidRPr="00BD1319">
        <w:rPr>
          <w:rFonts w:cs="Arial"/>
          <w:spacing w:val="-3"/>
        </w:rPr>
        <w:t xml:space="preserve">numeral </w:t>
      </w:r>
      <w:r w:rsidR="00EB2C3D" w:rsidRPr="00BD1319">
        <w:rPr>
          <w:rFonts w:cs="Arial"/>
          <w:spacing w:val="-3"/>
        </w:rPr>
        <w:fldChar w:fldCharType="begin"/>
      </w:r>
      <w:r w:rsidR="00EB2C3D" w:rsidRPr="00BD1319">
        <w:rPr>
          <w:rFonts w:cs="Arial"/>
          <w:spacing w:val="-3"/>
        </w:rPr>
        <w:instrText xml:space="preserve"> REF _Ref415492844 \r \h  \* MERGEFORMAT </w:instrText>
      </w:r>
      <w:r w:rsidR="00EB2C3D" w:rsidRPr="00BD1319">
        <w:rPr>
          <w:rFonts w:cs="Arial"/>
          <w:spacing w:val="-3"/>
        </w:rPr>
      </w:r>
      <w:r w:rsidR="00EB2C3D" w:rsidRPr="00BD1319">
        <w:rPr>
          <w:rFonts w:cs="Arial"/>
          <w:spacing w:val="-3"/>
        </w:rPr>
        <w:fldChar w:fldCharType="separate"/>
      </w:r>
      <w:r w:rsidR="00296654" w:rsidRPr="00BD1319">
        <w:rPr>
          <w:rFonts w:cs="Arial"/>
          <w:spacing w:val="-3"/>
        </w:rPr>
        <w:t>2</w:t>
      </w:r>
      <w:r w:rsidR="00EB2C3D" w:rsidRPr="00BD1319">
        <w:rPr>
          <w:rFonts w:cs="Arial"/>
          <w:spacing w:val="-3"/>
        </w:rPr>
        <w:fldChar w:fldCharType="end"/>
      </w:r>
      <w:r w:rsidR="00FA4BAD" w:rsidRPr="00BD1319">
        <w:rPr>
          <w:rFonts w:cs="Arial"/>
          <w:spacing w:val="-3"/>
        </w:rPr>
        <w:t xml:space="preserve"> del capítulo </w:t>
      </w:r>
      <w:r w:rsidR="00FA4BAD" w:rsidRPr="00BD1319">
        <w:rPr>
          <w:rFonts w:cs="Arial"/>
          <w:spacing w:val="-3"/>
        </w:rPr>
        <w:fldChar w:fldCharType="begin"/>
      </w:r>
      <w:r w:rsidR="00FA4BAD" w:rsidRPr="00BD1319">
        <w:rPr>
          <w:rFonts w:cs="Arial"/>
          <w:spacing w:val="-3"/>
        </w:rPr>
        <w:instrText xml:space="preserve"> REF _Ref26471439 \r \h  \* MERGEFORMAT </w:instrText>
      </w:r>
      <w:r w:rsidR="00FA4BAD" w:rsidRPr="00BD1319">
        <w:rPr>
          <w:rFonts w:cs="Arial"/>
          <w:spacing w:val="-3"/>
        </w:rPr>
      </w:r>
      <w:r w:rsidR="00FA4BAD" w:rsidRPr="00BD1319">
        <w:rPr>
          <w:rFonts w:cs="Arial"/>
          <w:spacing w:val="-3"/>
        </w:rPr>
        <w:fldChar w:fldCharType="separate"/>
      </w:r>
      <w:r w:rsidR="00296654" w:rsidRPr="00BD1319">
        <w:rPr>
          <w:rFonts w:cs="Arial"/>
          <w:spacing w:val="-3"/>
        </w:rPr>
        <w:t>0</w:t>
      </w:r>
      <w:r w:rsidR="00FA4BAD" w:rsidRPr="00BD1319">
        <w:rPr>
          <w:rFonts w:cs="Arial"/>
          <w:spacing w:val="-3"/>
        </w:rPr>
        <w:fldChar w:fldCharType="end"/>
      </w:r>
      <w:r w:rsidR="00FA4BAD" w:rsidRPr="00BD1319">
        <w:rPr>
          <w:rFonts w:cs="Arial"/>
          <w:spacing w:val="-3"/>
        </w:rPr>
        <w:t xml:space="preserve"> de esta metodología), </w:t>
      </w:r>
      <w:r w:rsidR="00C22947" w:rsidRPr="00BD1319">
        <w:rPr>
          <w:rFonts w:cs="Arial"/>
          <w:spacing w:val="-3"/>
        </w:rPr>
        <w:t xml:space="preserve">así como </w:t>
      </w:r>
      <w:r w:rsidR="00FA4BAD" w:rsidRPr="00BD1319">
        <w:rPr>
          <w:rFonts w:cs="Arial"/>
          <w:spacing w:val="-3"/>
        </w:rPr>
        <w:t>describi</w:t>
      </w:r>
      <w:r w:rsidRPr="00BD1319">
        <w:rPr>
          <w:rFonts w:cs="Arial"/>
        </w:rPr>
        <w:t>endo</w:t>
      </w:r>
      <w:r w:rsidR="00FA4BAD" w:rsidRPr="00BD1319">
        <w:rPr>
          <w:rFonts w:cs="Arial"/>
          <w:spacing w:val="-3"/>
        </w:rPr>
        <w:t xml:space="preserve"> </w:t>
      </w:r>
      <w:r w:rsidR="00C22947" w:rsidRPr="00BD1319">
        <w:rPr>
          <w:rFonts w:cs="Arial"/>
          <w:spacing w:val="-3"/>
        </w:rPr>
        <w:t>los procedimientos ejecut</w:t>
      </w:r>
      <w:r w:rsidR="00FA4BAD" w:rsidRPr="00BD1319">
        <w:rPr>
          <w:rFonts w:cs="Arial"/>
          <w:spacing w:val="-3"/>
        </w:rPr>
        <w:t xml:space="preserve">ados </w:t>
      </w:r>
      <w:r w:rsidR="00C22947" w:rsidRPr="00BD1319">
        <w:rPr>
          <w:rFonts w:cs="Arial"/>
          <w:spacing w:val="-3"/>
        </w:rPr>
        <w:t xml:space="preserve">para </w:t>
      </w:r>
      <w:r w:rsidR="00FA4BAD" w:rsidRPr="00BD1319">
        <w:rPr>
          <w:rFonts w:cs="Arial"/>
          <w:spacing w:val="-3"/>
        </w:rPr>
        <w:t>delimitar</w:t>
      </w:r>
      <w:r w:rsidRPr="00BD1319">
        <w:rPr>
          <w:rFonts w:cs="Arial"/>
        </w:rPr>
        <w:t>la</w:t>
      </w:r>
      <w:r w:rsidR="00C22947" w:rsidRPr="00BD1319">
        <w:rPr>
          <w:rFonts w:cs="Arial"/>
          <w:spacing w:val="-3"/>
        </w:rPr>
        <w:t xml:space="preserve">, </w:t>
      </w:r>
      <w:r w:rsidRPr="00BD1319">
        <w:rPr>
          <w:rFonts w:cs="Arial"/>
        </w:rPr>
        <w:t xml:space="preserve">e </w:t>
      </w:r>
      <w:r w:rsidR="00C22947" w:rsidRPr="00BD1319">
        <w:rPr>
          <w:rFonts w:cs="Arial"/>
          <w:spacing w:val="-3"/>
        </w:rPr>
        <w:t>indicando el procesamiento de información geográfica</w:t>
      </w:r>
      <w:r w:rsidR="00FA4BAD" w:rsidRPr="00BD1319">
        <w:rPr>
          <w:rFonts w:cs="Arial"/>
          <w:spacing w:val="-3"/>
        </w:rPr>
        <w:t>,</w:t>
      </w:r>
      <w:r w:rsidR="00C22947" w:rsidRPr="00BD1319">
        <w:rPr>
          <w:rFonts w:cs="Arial"/>
          <w:spacing w:val="-3"/>
        </w:rPr>
        <w:t xml:space="preserve"> los cálculos, funciones, u otros </w:t>
      </w:r>
      <w:r w:rsidR="00FA4BAD" w:rsidRPr="00BD1319">
        <w:rPr>
          <w:rFonts w:cs="Arial"/>
          <w:spacing w:val="-3"/>
        </w:rPr>
        <w:t xml:space="preserve">procedimientos </w:t>
      </w:r>
      <w:r w:rsidR="00A736C5" w:rsidRPr="00BD1319">
        <w:rPr>
          <w:rFonts w:cs="Arial"/>
          <w:spacing w:val="-3"/>
        </w:rPr>
        <w:t>empleados</w:t>
      </w:r>
      <w:r w:rsidR="00C22947" w:rsidRPr="00BD1319">
        <w:rPr>
          <w:rFonts w:cs="Arial"/>
          <w:spacing w:val="-3"/>
        </w:rPr>
        <w:t>.</w:t>
      </w:r>
      <w:r w:rsidR="00EB2C3D" w:rsidRPr="00BD1319">
        <w:rPr>
          <w:rFonts w:cs="Arial"/>
          <w:spacing w:val="-3"/>
        </w:rPr>
        <w:t xml:space="preserve"> </w:t>
      </w:r>
      <w:r w:rsidR="00A736C5" w:rsidRPr="00BD1319">
        <w:rPr>
          <w:rFonts w:cs="Arial"/>
          <w:spacing w:val="-3"/>
        </w:rPr>
        <w:t>E</w:t>
      </w:r>
      <w:r w:rsidR="00EB2C3D" w:rsidRPr="00BD1319">
        <w:rPr>
          <w:rFonts w:cs="Arial"/>
          <w:spacing w:val="-3"/>
        </w:rPr>
        <w:t xml:space="preserve">l </w:t>
      </w:r>
      <w:r w:rsidR="00A736C5" w:rsidRPr="00BD1319">
        <w:rPr>
          <w:rFonts w:cs="Arial"/>
          <w:spacing w:val="-3"/>
        </w:rPr>
        <w:t>M</w:t>
      </w:r>
      <w:r w:rsidR="00EB2C3D" w:rsidRPr="00BD1319">
        <w:rPr>
          <w:rFonts w:cs="Arial"/>
          <w:spacing w:val="-3"/>
        </w:rPr>
        <w:t xml:space="preserve">odelo de </w:t>
      </w:r>
      <w:r w:rsidR="00A736C5" w:rsidRPr="00BD1319">
        <w:rPr>
          <w:rFonts w:cs="Arial"/>
          <w:spacing w:val="-3"/>
        </w:rPr>
        <w:t>A</w:t>
      </w:r>
      <w:r w:rsidR="00EB2C3D" w:rsidRPr="00BD1319">
        <w:rPr>
          <w:rFonts w:cs="Arial"/>
          <w:spacing w:val="-3"/>
        </w:rPr>
        <w:t xml:space="preserve">lmacenamiento </w:t>
      </w:r>
      <w:r w:rsidR="00A736C5" w:rsidRPr="00BD1319">
        <w:rPr>
          <w:rFonts w:cs="Arial"/>
          <w:spacing w:val="-3"/>
        </w:rPr>
        <w:t>G</w:t>
      </w:r>
      <w:r w:rsidR="00EB2C3D" w:rsidRPr="00BD1319">
        <w:rPr>
          <w:rFonts w:cs="Arial"/>
          <w:spacing w:val="-3"/>
        </w:rPr>
        <w:t xml:space="preserve">eográfico (MAG) debe estructurarse </w:t>
      </w:r>
      <w:r w:rsidR="004D2CF7" w:rsidRPr="00BD1319">
        <w:rPr>
          <w:rFonts w:cs="Arial"/>
          <w:spacing w:val="-3"/>
        </w:rPr>
        <w:t xml:space="preserve">para </w:t>
      </w:r>
      <w:r w:rsidR="001479FF" w:rsidRPr="00BD1319">
        <w:rPr>
          <w:rFonts w:cs="Arial"/>
          <w:spacing w:val="-3"/>
        </w:rPr>
        <w:t xml:space="preserve">el área de estudio de </w:t>
      </w:r>
      <w:r w:rsidRPr="00BD1319">
        <w:rPr>
          <w:rFonts w:cs="Arial"/>
        </w:rPr>
        <w:t xml:space="preserve">cada </w:t>
      </w:r>
      <w:r w:rsidR="001479FF" w:rsidRPr="00BD1319">
        <w:rPr>
          <w:rFonts w:cs="Arial"/>
          <w:spacing w:val="-3"/>
        </w:rPr>
        <w:t>alternativa evaluada</w:t>
      </w:r>
      <w:r w:rsidR="00EB2C3D" w:rsidRPr="00BD1319">
        <w:rPr>
          <w:rFonts w:cs="Arial"/>
          <w:spacing w:val="-3"/>
        </w:rPr>
        <w:t>.</w:t>
      </w:r>
    </w:p>
    <w:p w14:paraId="2B0B250F" w14:textId="77777777" w:rsidR="00EB2C3D" w:rsidRPr="00BD1319" w:rsidRDefault="00EB2C3D">
      <w:pPr>
        <w:numPr>
          <w:ilvl w:val="12"/>
          <w:numId w:val="0"/>
        </w:numPr>
        <w:tabs>
          <w:tab w:val="left" w:pos="-2268"/>
        </w:tabs>
        <w:suppressAutoHyphens/>
        <w:rPr>
          <w:spacing w:val="-3"/>
        </w:rPr>
      </w:pPr>
    </w:p>
    <w:p w14:paraId="13B9FA8C" w14:textId="77777777" w:rsidR="00DF6D4D" w:rsidRPr="00BD1319" w:rsidRDefault="00DF6D4D">
      <w:pPr>
        <w:numPr>
          <w:ilvl w:val="12"/>
          <w:numId w:val="0"/>
        </w:numPr>
        <w:tabs>
          <w:tab w:val="left" w:pos="-2268"/>
        </w:tabs>
        <w:suppressAutoHyphens/>
        <w:rPr>
          <w:spacing w:val="-3"/>
        </w:rPr>
      </w:pPr>
    </w:p>
    <w:p w14:paraId="4D52CEEA" w14:textId="74BE158A" w:rsidR="00F97C5C" w:rsidRPr="00BD1319" w:rsidRDefault="008A57CF" w:rsidP="00CB4557">
      <w:pPr>
        <w:pStyle w:val="Ttulo1"/>
        <w:numPr>
          <w:ilvl w:val="0"/>
          <w:numId w:val="8"/>
        </w:numPr>
        <w:rPr>
          <w:lang w:val="es-CO"/>
        </w:rPr>
      </w:pPr>
      <w:bookmarkStart w:id="1988" w:name="_Toc42552212"/>
      <w:bookmarkStart w:id="1989" w:name="_Ref146530329"/>
      <w:bookmarkStart w:id="1990" w:name="_Ref146531665"/>
      <w:bookmarkStart w:id="1991" w:name="_Toc175326686"/>
      <w:r w:rsidRPr="00BD1319">
        <w:rPr>
          <w:lang w:val="es-CO"/>
        </w:rPr>
        <w:t xml:space="preserve">LINEAMIENTOS DE </w:t>
      </w:r>
      <w:r w:rsidR="00F97C5C" w:rsidRPr="00BD1319">
        <w:rPr>
          <w:lang w:val="es-CO"/>
        </w:rPr>
        <w:t xml:space="preserve">PARTICIPACIÓN CON </w:t>
      </w:r>
      <w:r w:rsidR="005D18C9" w:rsidRPr="00BD1319">
        <w:rPr>
          <w:lang w:val="es-CO"/>
        </w:rPr>
        <w:t>LOS GRUPOS DE INTERÉS</w:t>
      </w:r>
      <w:bookmarkEnd w:id="1988"/>
      <w:bookmarkEnd w:id="1989"/>
      <w:bookmarkEnd w:id="1990"/>
      <w:bookmarkEnd w:id="1991"/>
    </w:p>
    <w:p w14:paraId="625045D4" w14:textId="77777777" w:rsidR="005F33E4" w:rsidRPr="00BD1319" w:rsidRDefault="005F33E4" w:rsidP="00F97C5C">
      <w:pPr>
        <w:numPr>
          <w:ilvl w:val="12"/>
          <w:numId w:val="0"/>
        </w:numPr>
        <w:tabs>
          <w:tab w:val="left" w:pos="-2268"/>
        </w:tabs>
        <w:suppressAutoHyphens/>
        <w:rPr>
          <w:rFonts w:cs="Arial"/>
          <w:spacing w:val="-3"/>
        </w:rPr>
      </w:pPr>
    </w:p>
    <w:p w14:paraId="54119E74" w14:textId="18E3ECE4" w:rsidR="00642E22" w:rsidRPr="00BD1319" w:rsidRDefault="00642E22" w:rsidP="00642E22">
      <w:pPr>
        <w:numPr>
          <w:ilvl w:val="12"/>
          <w:numId w:val="0"/>
        </w:numPr>
        <w:tabs>
          <w:tab w:val="left" w:pos="-2268"/>
        </w:tabs>
        <w:suppressAutoHyphens/>
      </w:pPr>
      <w:r w:rsidRPr="00BD1319">
        <w:t xml:space="preserve">Los lineamientos de participación que se establecen en este apartado desarrollan las directrices definidas a este respecto en la Constitución </w:t>
      </w:r>
      <w:r w:rsidR="00C21ACA" w:rsidRPr="00BD1319">
        <w:t>P</w:t>
      </w:r>
      <w:r w:rsidRPr="00BD1319">
        <w:t xml:space="preserve">olítica, en los acuerdos internacionales de los que Colombia hace parte y en la normativa vigente. Fundamentalmente, los acuerdos internacionales y normas que se toman en consideración son </w:t>
      </w:r>
      <w:r w:rsidRPr="00BD1319">
        <w:rPr>
          <w:rFonts w:cs="Arial"/>
        </w:rPr>
        <w:t>la Convención Americana sobre Derechos Humanos</w:t>
      </w:r>
      <w:r w:rsidRPr="00BD1319">
        <w:rPr>
          <w:rStyle w:val="Refdenotaalpie"/>
          <w:lang w:val="es-CO"/>
        </w:rPr>
        <w:footnoteReference w:id="24"/>
      </w:r>
      <w:r w:rsidRPr="00BD1319">
        <w:rPr>
          <w:rFonts w:cs="Arial"/>
        </w:rPr>
        <w:t xml:space="preserve">, </w:t>
      </w:r>
      <w:r w:rsidRPr="00BD1319">
        <w:t>la Carta mundial de la naturaleza</w:t>
      </w:r>
      <w:r w:rsidRPr="00BD1319">
        <w:rPr>
          <w:rStyle w:val="Refdenotaalpie"/>
          <w:lang w:val="es-CO"/>
        </w:rPr>
        <w:footnoteReference w:id="25"/>
      </w:r>
      <w:r w:rsidRPr="00BD1319">
        <w:t xml:space="preserve">, el </w:t>
      </w:r>
      <w:r w:rsidRPr="00BD1319">
        <w:rPr>
          <w:rFonts w:cs="Arial"/>
        </w:rPr>
        <w:t xml:space="preserve">principio 10 de la Declaración de Río sobre el medio </w:t>
      </w:r>
      <w:r w:rsidRPr="00BD1319">
        <w:rPr>
          <w:rFonts w:cs="Arial"/>
        </w:rPr>
        <w:lastRenderedPageBreak/>
        <w:t>ambiente y el desarrollo de 1992</w:t>
      </w:r>
      <w:r w:rsidRPr="00BD1319">
        <w:rPr>
          <w:rStyle w:val="Refdenotaalpie"/>
          <w:lang w:val="es-CO"/>
        </w:rPr>
        <w:footnoteReference w:id="26"/>
      </w:r>
      <w:r w:rsidRPr="00BD1319">
        <w:rPr>
          <w:rFonts w:cs="Arial"/>
        </w:rPr>
        <w:t>, el Programa 21</w:t>
      </w:r>
      <w:r w:rsidRPr="00BD1319">
        <w:rPr>
          <w:rStyle w:val="Refdenotaalpie"/>
          <w:lang w:val="es-CO"/>
        </w:rPr>
        <w:footnoteReference w:id="27"/>
      </w:r>
      <w:r w:rsidRPr="00BD1319">
        <w:rPr>
          <w:rFonts w:cs="Arial"/>
        </w:rPr>
        <w:t xml:space="preserve">, </w:t>
      </w:r>
      <w:r w:rsidRPr="00BD1319">
        <w:t xml:space="preserve">la </w:t>
      </w:r>
      <w:r w:rsidRPr="00BD1319">
        <w:rPr>
          <w:rFonts w:cs="Arial"/>
        </w:rPr>
        <w:t>Ley 99 de 1993</w:t>
      </w:r>
      <w:r w:rsidRPr="00BD1319">
        <w:rPr>
          <w:vertAlign w:val="superscript"/>
        </w:rPr>
        <w:footnoteReference w:id="28"/>
      </w:r>
      <w:r w:rsidRPr="00BD1319">
        <w:rPr>
          <w:rFonts w:cs="Arial"/>
        </w:rPr>
        <w:t>, la Ley 1437 de 2011</w:t>
      </w:r>
      <w:r w:rsidRPr="00BD1319">
        <w:rPr>
          <w:rStyle w:val="Refdenotaalpie"/>
          <w:lang w:val="es-CO"/>
        </w:rPr>
        <w:footnoteReference w:id="29"/>
      </w:r>
      <w:r w:rsidRPr="00BD1319">
        <w:rPr>
          <w:rFonts w:cs="Arial"/>
        </w:rPr>
        <w:t>, la Ley Estatutaria 1712 de 2014</w:t>
      </w:r>
      <w:r w:rsidRPr="00BD1319">
        <w:rPr>
          <w:vertAlign w:val="superscript"/>
        </w:rPr>
        <w:footnoteReference w:id="30"/>
      </w:r>
      <w:r w:rsidRPr="00BD1319">
        <w:rPr>
          <w:rFonts w:cs="Arial"/>
        </w:rPr>
        <w:t xml:space="preserve"> y la Ley 1755 de 2015</w:t>
      </w:r>
      <w:r w:rsidRPr="00BD1319">
        <w:rPr>
          <w:vertAlign w:val="superscript"/>
        </w:rPr>
        <w:footnoteReference w:id="31"/>
      </w:r>
      <w:r w:rsidRPr="00BD1319">
        <w:t>.</w:t>
      </w:r>
    </w:p>
    <w:p w14:paraId="42F8BB75" w14:textId="77777777" w:rsidR="00642E22" w:rsidRPr="00BD1319" w:rsidRDefault="00642E22" w:rsidP="00642E22">
      <w:pPr>
        <w:numPr>
          <w:ilvl w:val="12"/>
          <w:numId w:val="0"/>
        </w:numPr>
        <w:tabs>
          <w:tab w:val="left" w:pos="-2268"/>
        </w:tabs>
        <w:suppressAutoHyphens/>
        <w:rPr>
          <w:rFonts w:cs="Arial"/>
        </w:rPr>
      </w:pPr>
    </w:p>
    <w:p w14:paraId="5B3C3FE2" w14:textId="7B03ABAF" w:rsidR="00642E22" w:rsidRPr="00BD1319" w:rsidRDefault="00642E22" w:rsidP="00642E22">
      <w:pPr>
        <w:numPr>
          <w:ilvl w:val="12"/>
          <w:numId w:val="0"/>
        </w:numPr>
        <w:tabs>
          <w:tab w:val="left" w:pos="-2268"/>
        </w:tabs>
        <w:suppressAutoHyphens/>
        <w:rPr>
          <w:spacing w:val="-3"/>
        </w:rPr>
      </w:pPr>
      <w:r w:rsidRPr="00BD1319">
        <w:rPr>
          <w:rFonts w:cs="Arial"/>
        </w:rPr>
        <w:t xml:space="preserve">El proceso de participación pública para la elaboración de estudios ambientales desarrolla múltiples </w:t>
      </w:r>
      <w:r w:rsidRPr="00BD1319">
        <w:t xml:space="preserve">disposiciones de la Constitución </w:t>
      </w:r>
      <w:r w:rsidR="00C21ACA" w:rsidRPr="00BD1319">
        <w:t>P</w:t>
      </w:r>
      <w:r w:rsidRPr="00BD1319">
        <w:t>olítica de Colombia</w:t>
      </w:r>
      <w:r w:rsidRPr="00BD1319">
        <w:rPr>
          <w:rFonts w:cs="Arial"/>
        </w:rPr>
        <w:t>, entre ellas la que dispone que</w:t>
      </w:r>
      <w:r w:rsidRPr="00BD1319">
        <w:t xml:space="preserve"> la participación </w:t>
      </w:r>
      <w:r w:rsidRPr="00BD1319">
        <w:rPr>
          <w:rFonts w:cs="Arial"/>
        </w:rPr>
        <w:t>es</w:t>
      </w:r>
      <w:r w:rsidRPr="00BD1319">
        <w:t xml:space="preserve"> un derecho fundamental y</w:t>
      </w:r>
      <w:r w:rsidRPr="00BD1319">
        <w:rPr>
          <w:rFonts w:cs="Arial"/>
        </w:rPr>
        <w:t xml:space="preserve"> que</w:t>
      </w:r>
      <w:r w:rsidRPr="00BD1319">
        <w:t xml:space="preserve"> establece </w:t>
      </w:r>
      <w:r w:rsidRPr="00BD1319">
        <w:rPr>
          <w:rFonts w:cs="Arial"/>
          <w:spacing w:val="-3"/>
        </w:rPr>
        <w:t>que la Ley garantizará la participación de todos los colombianos en las decisiones que puedan afectar su derecho a gozar de un ambiente sano. Este</w:t>
      </w:r>
      <w:r w:rsidRPr="00BD1319">
        <w:rPr>
          <w:spacing w:val="-3"/>
        </w:rPr>
        <w:t xml:space="preserve"> mandato </w:t>
      </w:r>
      <w:r w:rsidRPr="00BD1319">
        <w:rPr>
          <w:rFonts w:cs="Arial"/>
          <w:spacing w:val="-3"/>
        </w:rPr>
        <w:t>ha sido interpretado por</w:t>
      </w:r>
      <w:r w:rsidRPr="00BD1319">
        <w:rPr>
          <w:spacing w:val="-3"/>
        </w:rPr>
        <w:t xml:space="preserve"> la </w:t>
      </w:r>
      <w:r w:rsidRPr="00BD1319">
        <w:rPr>
          <w:rFonts w:cs="Arial"/>
          <w:spacing w:val="-3"/>
        </w:rPr>
        <w:t>Corte Constitucional</w:t>
      </w:r>
      <w:r w:rsidRPr="00BD1319">
        <w:rPr>
          <w:rStyle w:val="Refdenotaalpie"/>
          <w:rFonts w:cs="Arial"/>
          <w:spacing w:val="-3"/>
        </w:rPr>
        <w:footnoteReference w:id="32"/>
      </w:r>
      <w:r w:rsidRPr="00BD1319">
        <w:rPr>
          <w:rFonts w:cs="Arial"/>
          <w:spacing w:val="-3"/>
        </w:rPr>
        <w:t xml:space="preserve"> y reglamentado en la legislación nacional, haciendo posible que </w:t>
      </w:r>
      <w:r w:rsidRPr="00BD1319">
        <w:rPr>
          <w:rFonts w:cs="Arial"/>
        </w:rPr>
        <w:t>el</w:t>
      </w:r>
      <w:r w:rsidRPr="00BD1319">
        <w:t xml:space="preserve"> derecho de acceso a la participación </w:t>
      </w:r>
      <w:r w:rsidRPr="00BD1319">
        <w:rPr>
          <w:rFonts w:cs="Arial"/>
        </w:rPr>
        <w:t>sea pleno y efectivo en todos los procesos</w:t>
      </w:r>
      <w:r w:rsidRPr="00BD1319">
        <w:t xml:space="preserve"> de toma de decisión en cuestiones ambientales</w:t>
      </w:r>
      <w:r w:rsidRPr="00BD1319">
        <w:rPr>
          <w:rFonts w:cs="Arial"/>
        </w:rPr>
        <w:t>.</w:t>
      </w:r>
      <w:r w:rsidRPr="00BD1319">
        <w:rPr>
          <w:spacing w:val="-3"/>
        </w:rPr>
        <w:t xml:space="preserve"> Adicionalmente, </w:t>
      </w:r>
      <w:r w:rsidRPr="00BD1319">
        <w:rPr>
          <w:rFonts w:cs="Arial"/>
        </w:rPr>
        <w:t>estas disposiciones permiten que el proceso de toma de decisiones del licenciamiento ambiental goce de legitimidad, se incremente la confianza entre las partes y se promueva la transparencia.</w:t>
      </w:r>
    </w:p>
    <w:p w14:paraId="316BACC6" w14:textId="77777777" w:rsidR="00642E22" w:rsidRPr="00BD1319" w:rsidRDefault="00642E22" w:rsidP="00642E22">
      <w:pPr>
        <w:numPr>
          <w:ilvl w:val="12"/>
          <w:numId w:val="0"/>
        </w:numPr>
        <w:tabs>
          <w:tab w:val="left" w:pos="-2268"/>
        </w:tabs>
        <w:suppressAutoHyphens/>
      </w:pPr>
    </w:p>
    <w:p w14:paraId="0AD00272" w14:textId="77777777" w:rsidR="00642E22" w:rsidRPr="00BD1319" w:rsidRDefault="00642E22" w:rsidP="00642E22">
      <w:pPr>
        <w:pStyle w:val="Ttulo2"/>
      </w:pPr>
      <w:bookmarkStart w:id="1992" w:name="_Toc175326687"/>
      <w:r w:rsidRPr="00BD1319">
        <w:rPr>
          <w:lang w:val="es-CO"/>
        </w:rPr>
        <w:t>CARACTERÍSTICAS Y ALCANCES DE LA PARTICIPACIÓN</w:t>
      </w:r>
      <w:bookmarkEnd w:id="1992"/>
    </w:p>
    <w:p w14:paraId="68FA9312" w14:textId="77777777" w:rsidR="00642E22" w:rsidRPr="00BD1319" w:rsidRDefault="00642E22" w:rsidP="00642E22">
      <w:pPr>
        <w:overflowPunct/>
        <w:autoSpaceDE/>
        <w:autoSpaceDN/>
        <w:adjustRightInd/>
        <w:ind w:right="57"/>
        <w:textAlignment w:val="auto"/>
        <w:rPr>
          <w:rFonts w:cs="Arial"/>
        </w:rPr>
      </w:pPr>
    </w:p>
    <w:p w14:paraId="6FE91A90" w14:textId="27F02678" w:rsidR="00642E22" w:rsidRPr="00BD1319" w:rsidRDefault="00642E22" w:rsidP="00642E22">
      <w:pPr>
        <w:overflowPunct/>
        <w:autoSpaceDE/>
        <w:autoSpaceDN/>
        <w:adjustRightInd/>
        <w:ind w:right="57"/>
        <w:textAlignment w:val="auto"/>
        <w:rPr>
          <w:rFonts w:cs="Arial"/>
        </w:rPr>
      </w:pPr>
      <w:r w:rsidRPr="00BD1319">
        <w:rPr>
          <w:rFonts w:cs="Arial"/>
        </w:rPr>
        <w:t xml:space="preserve">El proceso de participación en el ámbito del DAA tiene dos propósitos fundamentales, el primero de ellos es explicar las generalidades del proceso de licenciamiento ambiental e informar al público sobre la intención de desarrollar un proyecto, obra o actividad para el cual se formula un conjunto de alternativas y el segundo, es complementar de forma participativa el </w:t>
      </w:r>
      <w:bookmarkStart w:id="1993" w:name="_Hlk153793130"/>
      <w:r w:rsidRPr="00BD1319">
        <w:rPr>
          <w:rFonts w:cs="Arial"/>
        </w:rPr>
        <w:t xml:space="preserve">DAA para incorporar en él los conocimientos, experiencias, intereses y preocupaciones de los grupos de interés sobre algunos temas específicos abordados en este estudio ambiental, elementos que adicionalmente permiten </w:t>
      </w:r>
      <w:bookmarkEnd w:id="1993"/>
      <w:r w:rsidRPr="00BD1319">
        <w:rPr>
          <w:rFonts w:cs="Arial"/>
        </w:rPr>
        <w:t>prevenir conflictos en etapas posteriores del proceso de licenciamiento ambiental.</w:t>
      </w:r>
    </w:p>
    <w:p w14:paraId="5CACFE45" w14:textId="77777777" w:rsidR="00642E22" w:rsidRPr="00BD1319" w:rsidRDefault="00642E22" w:rsidP="00642E22">
      <w:pPr>
        <w:overflowPunct/>
        <w:autoSpaceDE/>
        <w:autoSpaceDN/>
        <w:adjustRightInd/>
        <w:ind w:right="57"/>
        <w:textAlignment w:val="auto"/>
        <w:rPr>
          <w:rFonts w:cs="Arial"/>
        </w:rPr>
      </w:pPr>
    </w:p>
    <w:p w14:paraId="73A395EC" w14:textId="4D649713" w:rsidR="00642E22" w:rsidRPr="00BD1319" w:rsidRDefault="00642E22" w:rsidP="00642E22">
      <w:pPr>
        <w:overflowPunct/>
        <w:autoSpaceDE/>
        <w:autoSpaceDN/>
        <w:adjustRightInd/>
        <w:ind w:right="57"/>
        <w:textAlignment w:val="auto"/>
        <w:rPr>
          <w:rFonts w:cs="Arial"/>
        </w:rPr>
      </w:pPr>
      <w:r w:rsidRPr="00BD1319">
        <w:rPr>
          <w:rFonts w:cs="Arial"/>
        </w:rPr>
        <w:t>Para cumplir con estos objetivos, el proceso de participación debe ser abierto e inclusivo,</w:t>
      </w:r>
      <w:r w:rsidRPr="00BD1319" w:rsidDel="00C813ED">
        <w:rPr>
          <w:rFonts w:cs="Arial"/>
        </w:rPr>
        <w:t xml:space="preserve"> </w:t>
      </w:r>
      <w:r w:rsidRPr="00BD1319">
        <w:rPr>
          <w:rFonts w:cs="Arial"/>
        </w:rPr>
        <w:t>ejecutarse aplicando los principios de máxima publicidad y transparencia, sin discriminación, de manera clara, oportuna, equitativa e involucrando activamente al público mediante espacios de diálogo y deliberación para garantizar que, especialmente</w:t>
      </w:r>
      <w:r w:rsidR="005D18C9" w:rsidRPr="00BD1319">
        <w:rPr>
          <w:rFonts w:cs="Arial"/>
        </w:rPr>
        <w:t>,</w:t>
      </w:r>
      <w:r w:rsidRPr="00BD1319">
        <w:rPr>
          <w:rFonts w:cs="Arial"/>
        </w:rPr>
        <w:t xml:space="preserve"> las personas o grupos que encuentran mayores dificultades para acceder a la información</w:t>
      </w:r>
      <w:r w:rsidRPr="00BD1319">
        <w:rPr>
          <w:rStyle w:val="Refdenotaalpie"/>
          <w:rFonts w:cs="Arial"/>
        </w:rPr>
        <w:footnoteReference w:id="33"/>
      </w:r>
      <w:r w:rsidRPr="00BD1319">
        <w:rPr>
          <w:rFonts w:cs="Arial"/>
        </w:rPr>
        <w:t xml:space="preserve"> puedan ejercer su derecho a la participación.</w:t>
      </w:r>
    </w:p>
    <w:p w14:paraId="64ED6FC3" w14:textId="77777777" w:rsidR="00642E22" w:rsidRPr="00BD1319" w:rsidRDefault="00642E22" w:rsidP="00642E22">
      <w:pPr>
        <w:numPr>
          <w:ilvl w:val="12"/>
          <w:numId w:val="0"/>
        </w:numPr>
        <w:tabs>
          <w:tab w:val="left" w:pos="-2268"/>
        </w:tabs>
        <w:suppressAutoHyphens/>
        <w:rPr>
          <w:rFonts w:cs="Arial"/>
        </w:rPr>
      </w:pPr>
    </w:p>
    <w:p w14:paraId="03E58215" w14:textId="6CBEAA70" w:rsidR="00642E22" w:rsidRPr="00BD1319" w:rsidRDefault="00642E22" w:rsidP="00642E22">
      <w:pPr>
        <w:numPr>
          <w:ilvl w:val="12"/>
          <w:numId w:val="0"/>
        </w:numPr>
        <w:tabs>
          <w:tab w:val="left" w:pos="-2268"/>
        </w:tabs>
        <w:suppressAutoHyphens/>
        <w:rPr>
          <w:rFonts w:cs="Arial"/>
        </w:rPr>
      </w:pPr>
      <w:r w:rsidRPr="00BD1319">
        <w:rPr>
          <w:rFonts w:cs="Arial"/>
        </w:rPr>
        <w:t>Este proceso debe abordarse con l</w:t>
      </w:r>
      <w:r w:rsidRPr="00BD1319">
        <w:rPr>
          <w:rFonts w:cs="Arial"/>
          <w:spacing w:val="-3"/>
        </w:rPr>
        <w:t>os grupos de interés</w:t>
      </w:r>
      <w:r w:rsidRPr="00BD1319">
        <w:rPr>
          <w:spacing w:val="-3"/>
        </w:rPr>
        <w:t xml:space="preserve"> del área de estudio del medio socioeconómico</w:t>
      </w:r>
      <w:r w:rsidRPr="00BD1319">
        <w:rPr>
          <w:rFonts w:cs="Arial"/>
          <w:spacing w:val="-3"/>
        </w:rPr>
        <w:t xml:space="preserve"> y </w:t>
      </w:r>
      <w:r w:rsidRPr="00BD1319">
        <w:rPr>
          <w:rFonts w:cs="Arial"/>
        </w:rPr>
        <w:t xml:space="preserve">asegurar que se realice mediante un diálogo que contemple aspectos de tipo técnico y un enfoque diferencial que posibilite la participación de personas </w:t>
      </w:r>
      <w:r w:rsidR="002C5B64" w:rsidRPr="00BD1319">
        <w:rPr>
          <w:rFonts w:cs="Arial"/>
        </w:rPr>
        <w:t xml:space="preserve">o grupos </w:t>
      </w:r>
      <w:r w:rsidRPr="00BD1319">
        <w:rPr>
          <w:rFonts w:cs="Arial"/>
        </w:rPr>
        <w:t xml:space="preserve">que tengan mayores dificultades para participar, sujetos de especial protección </w:t>
      </w:r>
      <w:r w:rsidR="002C5B64" w:rsidRPr="00BD1319">
        <w:rPr>
          <w:rFonts w:cs="Arial"/>
        </w:rPr>
        <w:t>constitucional</w:t>
      </w:r>
      <w:r w:rsidR="00D264DF" w:rsidRPr="00BD1319">
        <w:rPr>
          <w:rStyle w:val="Refdenotaalpie"/>
          <w:rFonts w:cs="Arial"/>
          <w:spacing w:val="-3"/>
        </w:rPr>
        <w:footnoteReference w:id="34"/>
      </w:r>
      <w:r w:rsidR="002C5B64" w:rsidRPr="00BD1319">
        <w:rPr>
          <w:rFonts w:cs="Arial"/>
        </w:rPr>
        <w:t xml:space="preserve"> </w:t>
      </w:r>
      <w:r w:rsidRPr="00BD1319">
        <w:rPr>
          <w:rFonts w:cs="Arial"/>
        </w:rPr>
        <w:t>y personas u organizaciones defensoras de derechos humanos en materia ambiental.</w:t>
      </w:r>
    </w:p>
    <w:p w14:paraId="16BC04DF" w14:textId="77777777" w:rsidR="00642E22" w:rsidRPr="00BD1319" w:rsidRDefault="00642E22" w:rsidP="00642E22">
      <w:pPr>
        <w:numPr>
          <w:ilvl w:val="12"/>
          <w:numId w:val="0"/>
        </w:numPr>
        <w:tabs>
          <w:tab w:val="left" w:pos="-2268"/>
        </w:tabs>
        <w:suppressAutoHyphens/>
        <w:rPr>
          <w:rFonts w:cs="Arial"/>
          <w:spacing w:val="-3"/>
        </w:rPr>
      </w:pPr>
    </w:p>
    <w:p w14:paraId="46139D0D" w14:textId="77777777" w:rsidR="00642E22" w:rsidRPr="00BD1319" w:rsidRDefault="00642E22" w:rsidP="00642E22">
      <w:pPr>
        <w:numPr>
          <w:ilvl w:val="12"/>
          <w:numId w:val="0"/>
        </w:numPr>
        <w:tabs>
          <w:tab w:val="left" w:pos="-2268"/>
        </w:tabs>
        <w:suppressAutoHyphens/>
        <w:rPr>
          <w:spacing w:val="-3"/>
        </w:rPr>
      </w:pPr>
      <w:r w:rsidRPr="00BD1319">
        <w:rPr>
          <w:spacing w:val="-3"/>
        </w:rPr>
        <w:t>L</w:t>
      </w:r>
      <w:r w:rsidRPr="00BD1319">
        <w:rPr>
          <w:rFonts w:cs="Arial"/>
          <w:spacing w:val="-3"/>
        </w:rPr>
        <w:t xml:space="preserve">os grupos de interés que </w:t>
      </w:r>
      <w:r w:rsidRPr="00BD1319">
        <w:rPr>
          <w:spacing w:val="-3"/>
        </w:rPr>
        <w:t xml:space="preserve">involucra </w:t>
      </w:r>
      <w:r w:rsidRPr="00BD1319">
        <w:rPr>
          <w:rFonts w:cs="Arial"/>
          <w:spacing w:val="-3"/>
        </w:rPr>
        <w:t xml:space="preserve">el proceso de participación incluyen </w:t>
      </w:r>
      <w:r w:rsidRPr="00BD1319">
        <w:rPr>
          <w:spacing w:val="-3"/>
        </w:rPr>
        <w:t xml:space="preserve">a la comunidad en general, a diferentes organizaciones sociales, a instituciones presentes en el área de estudio del medio socioeconómico, a los actores que podrían verse afectados o ver afectadas sus actividades por el desarrollo del proyecto, obra o actividad en cualquiera de sus alternativas, así como </w:t>
      </w:r>
      <w:r w:rsidRPr="00BD1319">
        <w:rPr>
          <w:rFonts w:cs="Arial"/>
          <w:spacing w:val="-3"/>
        </w:rPr>
        <w:t xml:space="preserve">a </w:t>
      </w:r>
      <w:r w:rsidRPr="00BD1319">
        <w:rPr>
          <w:spacing w:val="-3"/>
        </w:rPr>
        <w:t xml:space="preserve">aquellos actores que de </w:t>
      </w:r>
      <w:r w:rsidRPr="00BD1319">
        <w:rPr>
          <w:spacing w:val="-3"/>
        </w:rPr>
        <w:lastRenderedPageBreak/>
        <w:t xml:space="preserve">acuerdo con la magnitud del proyecto puedan tener un impacto </w:t>
      </w:r>
      <w:r w:rsidRPr="00BD1319">
        <w:rPr>
          <w:rFonts w:cs="Arial"/>
          <w:spacing w:val="-3"/>
        </w:rPr>
        <w:t>en la ejecución de éste</w:t>
      </w:r>
      <w:r w:rsidRPr="00BD1319">
        <w:rPr>
          <w:spacing w:val="-3"/>
        </w:rPr>
        <w:t xml:space="preserve"> (p. </w:t>
      </w:r>
      <w:r w:rsidRPr="00BD1319">
        <w:rPr>
          <w:rFonts w:cs="Arial"/>
          <w:spacing w:val="-3"/>
        </w:rPr>
        <w:t>ej</w:t>
      </w:r>
      <w:r w:rsidRPr="00BD1319">
        <w:rPr>
          <w:spacing w:val="-3"/>
        </w:rPr>
        <w:t>. autoridades municipales, Parques Nacionales Naturales, autoridades regionales o departamentales).</w:t>
      </w:r>
    </w:p>
    <w:p w14:paraId="797CE4D8" w14:textId="77777777" w:rsidR="00642E22" w:rsidRPr="00BD1319" w:rsidRDefault="00642E22" w:rsidP="00642E22">
      <w:pPr>
        <w:numPr>
          <w:ilvl w:val="12"/>
          <w:numId w:val="0"/>
        </w:numPr>
        <w:tabs>
          <w:tab w:val="left" w:pos="-2268"/>
        </w:tabs>
        <w:suppressAutoHyphens/>
        <w:rPr>
          <w:spacing w:val="-3"/>
        </w:rPr>
      </w:pPr>
    </w:p>
    <w:p w14:paraId="47642C9A" w14:textId="1C3A34A6" w:rsidR="00642E22" w:rsidRPr="00BD1319" w:rsidRDefault="00642E22" w:rsidP="00642E22">
      <w:pPr>
        <w:numPr>
          <w:ilvl w:val="12"/>
          <w:numId w:val="0"/>
        </w:numPr>
        <w:tabs>
          <w:tab w:val="left" w:pos="-2268"/>
        </w:tabs>
        <w:suppressAutoHyphens/>
        <w:rPr>
          <w:spacing w:val="-3"/>
        </w:rPr>
      </w:pPr>
      <w:r w:rsidRPr="00BD1319">
        <w:rPr>
          <w:spacing w:val="-3"/>
        </w:rPr>
        <w:t>Toda la información que se comunique de forma oral, escrita o visual ya sea en los espacios de diálogo o al emplear medios de difusión electrónicos o magnéticos, debe ser transparente, comprensiva y culturalmente apropiada, de modo que permita que todos los grupos de interés accedan efectivamente a ésta. Por ello, es necesario implementar enfoques y estrategias diferenciales acordes con las características sociales y culturales de los grupos de interés, bajo los cuales la información:</w:t>
      </w:r>
    </w:p>
    <w:p w14:paraId="690FECC7" w14:textId="77777777" w:rsidR="00642E22" w:rsidRPr="00BD1319" w:rsidRDefault="00642E22" w:rsidP="008D2728">
      <w:pPr>
        <w:tabs>
          <w:tab w:val="left" w:pos="-2268"/>
        </w:tabs>
        <w:suppressAutoHyphens/>
        <w:rPr>
          <w:spacing w:val="-3"/>
        </w:rPr>
      </w:pPr>
    </w:p>
    <w:p w14:paraId="22FB9085" w14:textId="77777777" w:rsidR="00642E22" w:rsidRPr="00BD1319" w:rsidRDefault="00642E22" w:rsidP="00642E22">
      <w:pPr>
        <w:numPr>
          <w:ilvl w:val="0"/>
          <w:numId w:val="360"/>
        </w:numPr>
        <w:tabs>
          <w:tab w:val="left" w:pos="-2268"/>
        </w:tabs>
        <w:suppressAutoHyphens/>
        <w:ind w:left="567" w:hanging="567"/>
        <w:rPr>
          <w:rFonts w:cs="Arial"/>
          <w:spacing w:val="-3"/>
        </w:rPr>
      </w:pPr>
      <w:r w:rsidRPr="00BD1319">
        <w:rPr>
          <w:rFonts w:cs="Arial"/>
          <w:spacing w:val="-3"/>
        </w:rPr>
        <w:t>Provea en un lenguaje y formato que facilite tanto su comprensión y uso (por ejemplo, haciendo uso de la lengua de señas o interpretando conceptos técnicos para que sean compresibles y puedan ser analizados), como su divulgación a través de diversos canales complementarios.</w:t>
      </w:r>
    </w:p>
    <w:p w14:paraId="27E40C52" w14:textId="77777777" w:rsidR="00642E22" w:rsidRPr="00BD1319" w:rsidRDefault="00642E22" w:rsidP="00642E22">
      <w:pPr>
        <w:tabs>
          <w:tab w:val="left" w:pos="-2268"/>
        </w:tabs>
        <w:suppressAutoHyphens/>
        <w:rPr>
          <w:spacing w:val="-3"/>
        </w:rPr>
      </w:pPr>
    </w:p>
    <w:p w14:paraId="72B95CA2" w14:textId="77777777" w:rsidR="00642E22" w:rsidRPr="00BD1319" w:rsidRDefault="00642E22" w:rsidP="00642E22">
      <w:pPr>
        <w:numPr>
          <w:ilvl w:val="0"/>
          <w:numId w:val="360"/>
        </w:numPr>
        <w:tabs>
          <w:tab w:val="left" w:pos="-2268"/>
        </w:tabs>
        <w:suppressAutoHyphens/>
        <w:ind w:left="567" w:hanging="567"/>
        <w:rPr>
          <w:rFonts w:cs="Arial"/>
          <w:spacing w:val="-3"/>
        </w:rPr>
      </w:pPr>
      <w:r w:rsidRPr="00BD1319">
        <w:rPr>
          <w:rFonts w:cs="Arial"/>
          <w:spacing w:val="-3"/>
        </w:rPr>
        <w:t>Difunda en el idioma o lengua propia de los grupos de interés para facilitar su comprensión, así como para garantizar que puedan participar de forma efectiva</w:t>
      </w:r>
    </w:p>
    <w:p w14:paraId="4C23B18E" w14:textId="77777777" w:rsidR="00642E22" w:rsidRPr="00BD1319" w:rsidRDefault="00642E22" w:rsidP="00642E22">
      <w:pPr>
        <w:tabs>
          <w:tab w:val="left" w:pos="-2268"/>
        </w:tabs>
        <w:suppressAutoHyphens/>
        <w:rPr>
          <w:spacing w:val="-3"/>
        </w:rPr>
      </w:pPr>
    </w:p>
    <w:p w14:paraId="105F746C" w14:textId="77777777" w:rsidR="00642E22" w:rsidRPr="00BD1319" w:rsidRDefault="00642E22" w:rsidP="00642E22">
      <w:pPr>
        <w:numPr>
          <w:ilvl w:val="0"/>
          <w:numId w:val="360"/>
        </w:numPr>
        <w:tabs>
          <w:tab w:val="left" w:pos="-2268"/>
        </w:tabs>
        <w:suppressAutoHyphens/>
        <w:ind w:left="567" w:hanging="567"/>
        <w:rPr>
          <w:rFonts w:cs="Arial"/>
          <w:spacing w:val="-3"/>
        </w:rPr>
      </w:pPr>
      <w:r w:rsidRPr="00BD1319">
        <w:rPr>
          <w:rFonts w:cs="Arial"/>
          <w:spacing w:val="-3"/>
        </w:rPr>
        <w:t>Divulgue mediante piezas gráficas cortas que puedan ser publicadas constantemente a través de la página web y las redes sociales disponibles, carteleras dispuestas en lugares públicos de gran afluencia, o puntos itinerantes de información que permitan a los interesados acercarse a consultar y despejar dudas, entre otros medios.</w:t>
      </w:r>
    </w:p>
    <w:p w14:paraId="390212ED" w14:textId="77777777" w:rsidR="00642E22" w:rsidRPr="00BD1319" w:rsidRDefault="00642E22" w:rsidP="00642E22">
      <w:pPr>
        <w:rPr>
          <w:spacing w:val="-3"/>
        </w:rPr>
      </w:pPr>
    </w:p>
    <w:p w14:paraId="1F9CD0B6" w14:textId="77777777" w:rsidR="00642E22" w:rsidRPr="00BD1319" w:rsidRDefault="00642E22" w:rsidP="00642E22">
      <w:r w:rsidRPr="00BD1319">
        <w:t xml:space="preserve">En síntesis, el proceso de participación pública ambiental debe enfocarse en dar acceso a información suficiente y permanente sobre el proyecto, obra o actividad y las alternativas que se plantean para su ejecución, en asegurar un diálogo en doble vía que permita la interacción de las partes, en asegurar que la participación permita complementar de forma participativa la información de algunos apartados del DAA y en </w:t>
      </w:r>
      <w:r w:rsidRPr="00BD1319">
        <w:rPr>
          <w:spacing w:val="-3"/>
          <w:lang w:val="es-ES_tradnl"/>
        </w:rPr>
        <w:t>asegurar total transparencia en el manejo de la información que se suministra, recibe, analiza e incorpora al estudio</w:t>
      </w:r>
      <w:r w:rsidRPr="00BD1319">
        <w:t>.</w:t>
      </w:r>
    </w:p>
    <w:p w14:paraId="5DFF9BF3" w14:textId="77777777" w:rsidR="00642E22" w:rsidRPr="00BD1319" w:rsidRDefault="00642E22" w:rsidP="00642E22">
      <w:pPr>
        <w:numPr>
          <w:ilvl w:val="12"/>
          <w:numId w:val="0"/>
        </w:numPr>
        <w:tabs>
          <w:tab w:val="left" w:pos="-2268"/>
        </w:tabs>
        <w:suppressAutoHyphens/>
        <w:rPr>
          <w:rFonts w:cs="Arial"/>
          <w:spacing w:val="-3"/>
        </w:rPr>
      </w:pPr>
    </w:p>
    <w:p w14:paraId="5AED068D" w14:textId="0AA82F09" w:rsidR="006A7F22" w:rsidRPr="00BD1319" w:rsidRDefault="006A7F22" w:rsidP="00642E22">
      <w:pPr>
        <w:numPr>
          <w:ilvl w:val="12"/>
          <w:numId w:val="0"/>
        </w:numPr>
        <w:tabs>
          <w:tab w:val="left" w:pos="-2268"/>
        </w:tabs>
        <w:suppressAutoHyphens/>
        <w:rPr>
          <w:rFonts w:cs="Arial"/>
          <w:spacing w:val="-3"/>
        </w:rPr>
      </w:pPr>
      <w:r w:rsidRPr="00BD1319">
        <w:rPr>
          <w:rFonts w:cs="Arial"/>
          <w:spacing w:val="-3"/>
        </w:rPr>
        <w:t xml:space="preserve">El proceso de participación constituye un escenario propicio para obtener información que permita implementar el principio de debida diligencia y de esta forma </w:t>
      </w:r>
      <w:r w:rsidR="00201A69" w:rsidRPr="00BD1319">
        <w:rPr>
          <w:rFonts w:cs="Arial"/>
          <w:spacing w:val="-3"/>
        </w:rPr>
        <w:t xml:space="preserve">se </w:t>
      </w:r>
      <w:r w:rsidRPr="00BD1319">
        <w:rPr>
          <w:rFonts w:cs="Arial"/>
          <w:spacing w:val="-3"/>
        </w:rPr>
        <w:t xml:space="preserve">facilite que, a lo largo del proceso del licenciamiento ambiental, </w:t>
      </w:r>
      <w:r w:rsidR="000A4BFC" w:rsidRPr="00BD1319">
        <w:rPr>
          <w:rFonts w:cs="Arial"/>
          <w:lang w:val="es-ES"/>
        </w:rPr>
        <w:t xml:space="preserve">se determine, prevenga, mitigue y explique la manera en que </w:t>
      </w:r>
      <w:r w:rsidR="007A5E7F" w:rsidRPr="00BD1319">
        <w:rPr>
          <w:rFonts w:cs="Arial"/>
          <w:lang w:val="es-ES"/>
        </w:rPr>
        <w:t xml:space="preserve">se </w:t>
      </w:r>
      <w:r w:rsidR="000A4BFC" w:rsidRPr="00BD1319">
        <w:rPr>
          <w:rFonts w:cs="Arial"/>
          <w:lang w:val="es-ES"/>
        </w:rPr>
        <w:t>abordan los impactos a los derechos humanos</w:t>
      </w:r>
      <w:r w:rsidRPr="00BD1319">
        <w:rPr>
          <w:rFonts w:cs="Arial"/>
          <w:spacing w:val="-3"/>
        </w:rPr>
        <w:t>.</w:t>
      </w:r>
    </w:p>
    <w:p w14:paraId="5D61FA49" w14:textId="77777777" w:rsidR="006A7F22" w:rsidRPr="00BD1319" w:rsidRDefault="006A7F22" w:rsidP="00642E22">
      <w:pPr>
        <w:numPr>
          <w:ilvl w:val="12"/>
          <w:numId w:val="0"/>
        </w:numPr>
        <w:tabs>
          <w:tab w:val="left" w:pos="-2268"/>
        </w:tabs>
        <w:suppressAutoHyphens/>
        <w:rPr>
          <w:rFonts w:cs="Arial"/>
          <w:spacing w:val="-3"/>
        </w:rPr>
      </w:pPr>
    </w:p>
    <w:p w14:paraId="320E9E35" w14:textId="77777777" w:rsidR="00642E22" w:rsidRPr="00BD1319" w:rsidRDefault="00642E22" w:rsidP="00642E22">
      <w:pPr>
        <w:numPr>
          <w:ilvl w:val="12"/>
          <w:numId w:val="0"/>
        </w:numPr>
        <w:tabs>
          <w:tab w:val="left" w:pos="-2268"/>
        </w:tabs>
        <w:suppressAutoHyphens/>
        <w:rPr>
          <w:rFonts w:cs="Arial"/>
          <w:spacing w:val="-3"/>
        </w:rPr>
      </w:pPr>
      <w:r w:rsidRPr="00BD1319">
        <w:rPr>
          <w:spacing w:val="-3"/>
        </w:rPr>
        <w:lastRenderedPageBreak/>
        <w:t>De otra parte, e</w:t>
      </w:r>
      <w:r w:rsidRPr="00BD1319">
        <w:rPr>
          <w:rFonts w:cs="Arial"/>
          <w:spacing w:val="-3"/>
        </w:rPr>
        <w:t>n caso de presentarse dificultades durante el proceso de participación, incluso cuando se emplean mecanismos virtuales, se deben especificar y soportar de manera detallada las situaciones que impiden el desarrollo de un adecuado proceso participativo de los grupos de interés, así como las acciones adelantadas para garantizar la efectividad de éste.</w:t>
      </w:r>
    </w:p>
    <w:p w14:paraId="75D8246D" w14:textId="77777777" w:rsidR="00642E22" w:rsidRPr="00BD1319" w:rsidRDefault="00642E22" w:rsidP="00642E22">
      <w:pPr>
        <w:numPr>
          <w:ilvl w:val="12"/>
          <w:numId w:val="0"/>
        </w:numPr>
        <w:tabs>
          <w:tab w:val="left" w:pos="-2268"/>
          <w:tab w:val="left" w:pos="1306"/>
        </w:tabs>
        <w:suppressAutoHyphens/>
        <w:rPr>
          <w:rFonts w:cs="Arial"/>
          <w:spacing w:val="-3"/>
        </w:rPr>
      </w:pPr>
    </w:p>
    <w:p w14:paraId="7FFA6D3E" w14:textId="77777777" w:rsidR="00642E22" w:rsidRPr="00BD1319" w:rsidRDefault="00642E22" w:rsidP="00642E22">
      <w:pPr>
        <w:numPr>
          <w:ilvl w:val="12"/>
          <w:numId w:val="0"/>
        </w:numPr>
        <w:tabs>
          <w:tab w:val="left" w:pos="-2268"/>
        </w:tabs>
        <w:suppressAutoHyphens/>
        <w:rPr>
          <w:rFonts w:cs="Arial"/>
          <w:spacing w:val="-3"/>
        </w:rPr>
      </w:pPr>
      <w:r w:rsidRPr="00BD1319">
        <w:rPr>
          <w:spacing w:val="-3"/>
        </w:rPr>
        <w:t xml:space="preserve">Para asegurar que el proceso de participación </w:t>
      </w:r>
      <w:r w:rsidRPr="00BD1319">
        <w:rPr>
          <w:rFonts w:cs="Arial"/>
          <w:spacing w:val="-3"/>
        </w:rPr>
        <w:t xml:space="preserve">con los grupos de interés del área de estudio </w:t>
      </w:r>
      <w:r w:rsidRPr="00BD1319">
        <w:rPr>
          <w:spacing w:val="-3"/>
        </w:rPr>
        <w:t xml:space="preserve">se ejecute con las características señaladas en este numeral y para </w:t>
      </w:r>
      <w:r w:rsidRPr="00BD1319">
        <w:rPr>
          <w:rFonts w:cs="Arial"/>
          <w:spacing w:val="-3"/>
        </w:rPr>
        <w:t>que cumpla con sus propósitos, es necesario desarrollar el procedimiento que se describe a continuación.</w:t>
      </w:r>
    </w:p>
    <w:p w14:paraId="453DE945" w14:textId="77777777" w:rsidR="00642E22" w:rsidRPr="00BD1319" w:rsidRDefault="00642E22" w:rsidP="00642E22">
      <w:pPr>
        <w:numPr>
          <w:ilvl w:val="12"/>
          <w:numId w:val="0"/>
        </w:numPr>
        <w:tabs>
          <w:tab w:val="left" w:pos="-2268"/>
        </w:tabs>
        <w:suppressAutoHyphens/>
        <w:rPr>
          <w:spacing w:val="-3"/>
        </w:rPr>
      </w:pPr>
    </w:p>
    <w:p w14:paraId="732ADEBF" w14:textId="77777777" w:rsidR="00642E22" w:rsidRPr="00BD1319" w:rsidRDefault="00642E22" w:rsidP="00642E22">
      <w:pPr>
        <w:pStyle w:val="Ttulo2"/>
        <w:rPr>
          <w:bCs/>
          <w:spacing w:val="-3"/>
        </w:rPr>
      </w:pPr>
      <w:bookmarkStart w:id="1994" w:name="_Toc175326688"/>
      <w:r w:rsidRPr="00BD1319">
        <w:rPr>
          <w:bCs/>
          <w:spacing w:val="-3"/>
        </w:rPr>
        <w:t>INSTANCIAS DEL PROCESO DE PARTICIPACIÓN</w:t>
      </w:r>
      <w:bookmarkEnd w:id="1994"/>
    </w:p>
    <w:p w14:paraId="4EB027B1" w14:textId="77777777" w:rsidR="00642E22" w:rsidRPr="00BD1319" w:rsidRDefault="00642E22" w:rsidP="00642E22">
      <w:pPr>
        <w:numPr>
          <w:ilvl w:val="12"/>
          <w:numId w:val="0"/>
        </w:numPr>
        <w:tabs>
          <w:tab w:val="left" w:pos="-2268"/>
        </w:tabs>
        <w:suppressAutoHyphens/>
        <w:rPr>
          <w:spacing w:val="-3"/>
        </w:rPr>
      </w:pPr>
    </w:p>
    <w:p w14:paraId="56EF9721" w14:textId="77777777" w:rsidR="00642E22" w:rsidRPr="00BD1319" w:rsidRDefault="00642E22" w:rsidP="00642E22">
      <w:pPr>
        <w:rPr>
          <w:spacing w:val="-3"/>
          <w:lang w:val="es-ES_tradnl"/>
        </w:rPr>
      </w:pPr>
      <w:r w:rsidRPr="00BD1319">
        <w:rPr>
          <w:spacing w:val="-3"/>
          <w:lang w:val="es-ES_tradnl"/>
        </w:rPr>
        <w:t>El proceso de participación durante la elaboración del DAA debe abordarse mediante tres instancias diferentes, a saber: planeación, ejecución de los espacios de participación y análisis de resultados.</w:t>
      </w:r>
    </w:p>
    <w:p w14:paraId="4085A10F" w14:textId="77777777" w:rsidR="00642E22" w:rsidRPr="00BD1319" w:rsidRDefault="00642E22" w:rsidP="00642E22">
      <w:pPr>
        <w:numPr>
          <w:ilvl w:val="12"/>
          <w:numId w:val="0"/>
        </w:numPr>
        <w:tabs>
          <w:tab w:val="left" w:pos="-2268"/>
        </w:tabs>
        <w:suppressAutoHyphens/>
        <w:rPr>
          <w:spacing w:val="-3"/>
          <w:lang w:val="es-ES_tradnl"/>
        </w:rPr>
      </w:pPr>
    </w:p>
    <w:p w14:paraId="61808EA5" w14:textId="77777777" w:rsidR="00642E22" w:rsidRPr="00BD1319" w:rsidRDefault="00642E22" w:rsidP="00216955">
      <w:pPr>
        <w:pStyle w:val="Ttulo3"/>
      </w:pPr>
      <w:bookmarkStart w:id="1995" w:name="_Ref161829324"/>
      <w:bookmarkStart w:id="1996" w:name="_Toc175326689"/>
      <w:r w:rsidRPr="00BD1319">
        <w:t>Planeación</w:t>
      </w:r>
      <w:bookmarkEnd w:id="1995"/>
      <w:bookmarkEnd w:id="1996"/>
    </w:p>
    <w:p w14:paraId="1BED33C0" w14:textId="77777777" w:rsidR="00642E22" w:rsidRPr="00BD1319" w:rsidRDefault="00642E22" w:rsidP="00642E22">
      <w:pPr>
        <w:numPr>
          <w:ilvl w:val="12"/>
          <w:numId w:val="0"/>
        </w:numPr>
        <w:tabs>
          <w:tab w:val="left" w:pos="-2268"/>
        </w:tabs>
        <w:suppressAutoHyphens/>
        <w:rPr>
          <w:spacing w:val="-3"/>
        </w:rPr>
      </w:pPr>
    </w:p>
    <w:p w14:paraId="75E6FE20" w14:textId="2CC8E82F" w:rsidR="00642E22" w:rsidRPr="00BD1319" w:rsidRDefault="00642E22" w:rsidP="00642E22">
      <w:pPr>
        <w:numPr>
          <w:ilvl w:val="12"/>
          <w:numId w:val="0"/>
        </w:numPr>
        <w:tabs>
          <w:tab w:val="left" w:pos="-2268"/>
        </w:tabs>
        <w:suppressAutoHyphens/>
        <w:rPr>
          <w:spacing w:val="-3"/>
        </w:rPr>
      </w:pPr>
      <w:r w:rsidRPr="00BD1319">
        <w:rPr>
          <w:spacing w:val="-3"/>
        </w:rPr>
        <w:t xml:space="preserve">En esta instancia del proceso de participación pública ambiental se debe analizar la información </w:t>
      </w:r>
      <w:r w:rsidR="00BA719F" w:rsidRPr="00BD1319">
        <w:rPr>
          <w:spacing w:val="-3"/>
        </w:rPr>
        <w:t xml:space="preserve">secundaria </w:t>
      </w:r>
      <w:r w:rsidRPr="00BD1319">
        <w:rPr>
          <w:spacing w:val="-3"/>
        </w:rPr>
        <w:t>recopilada en la caracterización ambiental, fundamentalmente la que señala las principales características sociales, económicas y culturales</w:t>
      </w:r>
      <w:r w:rsidRPr="00BD1319">
        <w:rPr>
          <w:rStyle w:val="Refdenotaalpie"/>
          <w:spacing w:val="-3"/>
        </w:rPr>
        <w:footnoteReference w:id="35"/>
      </w:r>
      <w:r w:rsidRPr="00BD1319">
        <w:rPr>
          <w:spacing w:val="-3"/>
        </w:rPr>
        <w:t xml:space="preserve"> de los grupos de interés identificados con el fin de establecer una estrategia general que permita comunicarse de manera comprensiva con todos ellos. En caso de identificar grupos sociales con diferente lengua o que por alguna razón no pueden ejercer su derecho a participar mediante la estrategia general, se debe crear una estrategia que contemple las particularidades del grupo social con el propósito superar barreras culturales o de cualquier otra índole.</w:t>
      </w:r>
    </w:p>
    <w:p w14:paraId="39B0065D" w14:textId="77777777" w:rsidR="00642E22" w:rsidRPr="00BD1319" w:rsidRDefault="00642E22" w:rsidP="00642E22">
      <w:pPr>
        <w:numPr>
          <w:ilvl w:val="12"/>
          <w:numId w:val="0"/>
        </w:numPr>
        <w:tabs>
          <w:tab w:val="left" w:pos="-2268"/>
        </w:tabs>
        <w:suppressAutoHyphens/>
        <w:rPr>
          <w:spacing w:val="-3"/>
        </w:rPr>
      </w:pPr>
    </w:p>
    <w:p w14:paraId="76C1F38F" w14:textId="3ABFC073" w:rsidR="00B955DE" w:rsidRPr="00BD1319" w:rsidRDefault="00A608F6" w:rsidP="00642E22">
      <w:pPr>
        <w:numPr>
          <w:ilvl w:val="12"/>
          <w:numId w:val="0"/>
        </w:numPr>
        <w:tabs>
          <w:tab w:val="left" w:pos="-2268"/>
        </w:tabs>
        <w:suppressAutoHyphens/>
        <w:rPr>
          <w:spacing w:val="-3"/>
        </w:rPr>
      </w:pPr>
      <w:r w:rsidRPr="00BD1319">
        <w:rPr>
          <w:spacing w:val="-3"/>
        </w:rPr>
        <w:t xml:space="preserve">Un elemento fundamental de la planeación del proceso de participación está referido al establecimiento de estrategias y procedimientos que reduzcan </w:t>
      </w:r>
      <w:r w:rsidR="00B955DE" w:rsidRPr="00BD1319">
        <w:rPr>
          <w:spacing w:val="-3"/>
        </w:rPr>
        <w:t xml:space="preserve">los malentendidos y los </w:t>
      </w:r>
      <w:r w:rsidRPr="00BD1319">
        <w:rPr>
          <w:spacing w:val="-3"/>
        </w:rPr>
        <w:t>impactos</w:t>
      </w:r>
      <w:r w:rsidR="00B955DE" w:rsidRPr="00BD1319">
        <w:rPr>
          <w:spacing w:val="-3"/>
        </w:rPr>
        <w:t>,</w:t>
      </w:r>
      <w:r w:rsidRPr="00BD1319">
        <w:rPr>
          <w:spacing w:val="-3"/>
        </w:rPr>
        <w:t xml:space="preserve"> </w:t>
      </w:r>
      <w:r w:rsidR="00C56747" w:rsidRPr="00BD1319">
        <w:rPr>
          <w:spacing w:val="-3"/>
        </w:rPr>
        <w:t xml:space="preserve">por ejemplo, los de </w:t>
      </w:r>
      <w:r w:rsidR="00B955DE" w:rsidRPr="00BD1319">
        <w:rPr>
          <w:spacing w:val="-3"/>
        </w:rPr>
        <w:t xml:space="preserve">alteración de la planeación </w:t>
      </w:r>
      <w:r w:rsidR="00C56747" w:rsidRPr="00BD1319">
        <w:rPr>
          <w:spacing w:val="-3"/>
        </w:rPr>
        <w:t xml:space="preserve">territorial </w:t>
      </w:r>
      <w:r w:rsidR="00B955DE" w:rsidRPr="00BD1319">
        <w:rPr>
          <w:spacing w:val="-3"/>
        </w:rPr>
        <w:t xml:space="preserve">y </w:t>
      </w:r>
      <w:r w:rsidR="00C56747" w:rsidRPr="00BD1319">
        <w:rPr>
          <w:spacing w:val="-3"/>
        </w:rPr>
        <w:t xml:space="preserve">de </w:t>
      </w:r>
      <w:r w:rsidR="00B955DE" w:rsidRPr="00BD1319">
        <w:rPr>
          <w:spacing w:val="-3"/>
        </w:rPr>
        <w:t xml:space="preserve">los usos del </w:t>
      </w:r>
      <w:r w:rsidR="00C56747" w:rsidRPr="00BD1319">
        <w:rPr>
          <w:spacing w:val="-3"/>
        </w:rPr>
        <w:t xml:space="preserve">suelo </w:t>
      </w:r>
      <w:r w:rsidRPr="00BD1319">
        <w:rPr>
          <w:spacing w:val="-3"/>
        </w:rPr>
        <w:t xml:space="preserve">que </w:t>
      </w:r>
      <w:r w:rsidR="00C56747" w:rsidRPr="00BD1319">
        <w:rPr>
          <w:spacing w:val="-3"/>
        </w:rPr>
        <w:t xml:space="preserve">se </w:t>
      </w:r>
      <w:r w:rsidR="00A40EBA" w:rsidRPr="00BD1319">
        <w:rPr>
          <w:spacing w:val="-3"/>
        </w:rPr>
        <w:t xml:space="preserve">pueden </w:t>
      </w:r>
      <w:r w:rsidRPr="00BD1319">
        <w:rPr>
          <w:spacing w:val="-3"/>
        </w:rPr>
        <w:t>genera</w:t>
      </w:r>
      <w:r w:rsidR="00A40EBA" w:rsidRPr="00BD1319">
        <w:rPr>
          <w:spacing w:val="-3"/>
        </w:rPr>
        <w:t>r</w:t>
      </w:r>
      <w:r w:rsidRPr="00BD1319">
        <w:rPr>
          <w:spacing w:val="-3"/>
        </w:rPr>
        <w:t xml:space="preserve"> </w:t>
      </w:r>
      <w:r w:rsidR="00C56747" w:rsidRPr="00BD1319">
        <w:rPr>
          <w:spacing w:val="-3"/>
        </w:rPr>
        <w:t xml:space="preserve">por </w:t>
      </w:r>
      <w:r w:rsidRPr="00BD1319">
        <w:rPr>
          <w:spacing w:val="-3"/>
        </w:rPr>
        <w:t xml:space="preserve">las interacciones </w:t>
      </w:r>
      <w:r w:rsidR="00B955DE" w:rsidRPr="00BD1319">
        <w:rPr>
          <w:spacing w:val="-3"/>
        </w:rPr>
        <w:t>entre</w:t>
      </w:r>
      <w:r w:rsidRPr="00BD1319">
        <w:rPr>
          <w:spacing w:val="-3"/>
        </w:rPr>
        <w:t xml:space="preserve"> los formuladores del estudio ambiental </w:t>
      </w:r>
      <w:r w:rsidR="00B955DE" w:rsidRPr="00BD1319">
        <w:rPr>
          <w:spacing w:val="-3"/>
        </w:rPr>
        <w:t>y</w:t>
      </w:r>
      <w:r w:rsidRPr="00BD1319">
        <w:rPr>
          <w:spacing w:val="-3"/>
        </w:rPr>
        <w:t xml:space="preserve"> los grupos de interés, especial</w:t>
      </w:r>
      <w:r w:rsidR="00B955DE" w:rsidRPr="00BD1319">
        <w:rPr>
          <w:spacing w:val="-3"/>
        </w:rPr>
        <w:t>mente,</w:t>
      </w:r>
      <w:r w:rsidRPr="00BD1319">
        <w:rPr>
          <w:spacing w:val="-3"/>
        </w:rPr>
        <w:t xml:space="preserve"> </w:t>
      </w:r>
      <w:r w:rsidR="00C56747" w:rsidRPr="00BD1319">
        <w:rPr>
          <w:spacing w:val="-3"/>
        </w:rPr>
        <w:t xml:space="preserve">durante la </w:t>
      </w:r>
      <w:r w:rsidR="00B955DE" w:rsidRPr="00BD1319">
        <w:rPr>
          <w:spacing w:val="-3"/>
        </w:rPr>
        <w:t>primer</w:t>
      </w:r>
      <w:r w:rsidR="00C56747" w:rsidRPr="00BD1319">
        <w:rPr>
          <w:spacing w:val="-3"/>
        </w:rPr>
        <w:t>a</w:t>
      </w:r>
      <w:r w:rsidR="00B955DE" w:rsidRPr="00BD1319">
        <w:rPr>
          <w:spacing w:val="-3"/>
        </w:rPr>
        <w:t xml:space="preserve"> </w:t>
      </w:r>
      <w:r w:rsidR="00C56747" w:rsidRPr="00BD1319">
        <w:rPr>
          <w:spacing w:val="-3"/>
        </w:rPr>
        <w:t xml:space="preserve">interacción </w:t>
      </w:r>
      <w:r w:rsidR="00B955DE" w:rsidRPr="00BD1319">
        <w:rPr>
          <w:spacing w:val="-3"/>
        </w:rPr>
        <w:t>entre estos dos actores</w:t>
      </w:r>
      <w:r w:rsidRPr="00BD1319">
        <w:rPr>
          <w:spacing w:val="-3"/>
        </w:rPr>
        <w:t>.</w:t>
      </w:r>
    </w:p>
    <w:p w14:paraId="4AB7B79B" w14:textId="77777777" w:rsidR="00B955DE" w:rsidRPr="00BD1319" w:rsidRDefault="00B955DE" w:rsidP="00642E22">
      <w:pPr>
        <w:numPr>
          <w:ilvl w:val="12"/>
          <w:numId w:val="0"/>
        </w:numPr>
        <w:tabs>
          <w:tab w:val="left" w:pos="-2268"/>
        </w:tabs>
        <w:suppressAutoHyphens/>
        <w:rPr>
          <w:spacing w:val="-3"/>
        </w:rPr>
      </w:pPr>
    </w:p>
    <w:p w14:paraId="59B0DDAD" w14:textId="05C1D799" w:rsidR="00FF74A7" w:rsidRPr="00BD1319" w:rsidRDefault="00CA3F4E" w:rsidP="00642E22">
      <w:pPr>
        <w:numPr>
          <w:ilvl w:val="12"/>
          <w:numId w:val="0"/>
        </w:numPr>
        <w:tabs>
          <w:tab w:val="left" w:pos="-2268"/>
        </w:tabs>
        <w:suppressAutoHyphens/>
        <w:rPr>
          <w:spacing w:val="-3"/>
        </w:rPr>
      </w:pPr>
      <w:r w:rsidRPr="00BD1319">
        <w:rPr>
          <w:spacing w:val="-3"/>
        </w:rPr>
        <w:t>Así</w:t>
      </w:r>
      <w:r w:rsidR="00A608F6" w:rsidRPr="00BD1319">
        <w:rPr>
          <w:spacing w:val="-3"/>
        </w:rPr>
        <w:t xml:space="preserve">, de forma previa a </w:t>
      </w:r>
      <w:r w:rsidRPr="00BD1319">
        <w:rPr>
          <w:spacing w:val="-3"/>
        </w:rPr>
        <w:t xml:space="preserve">la primera </w:t>
      </w:r>
      <w:r w:rsidR="00A608F6" w:rsidRPr="00BD1319">
        <w:rPr>
          <w:spacing w:val="-3"/>
        </w:rPr>
        <w:t>interacción y a</w:t>
      </w:r>
      <w:r w:rsidR="00710ECF" w:rsidRPr="00BD1319">
        <w:rPr>
          <w:spacing w:val="-3"/>
        </w:rPr>
        <w:t xml:space="preserve"> partir de </w:t>
      </w:r>
      <w:r w:rsidR="00A40EBA" w:rsidRPr="00BD1319">
        <w:rPr>
          <w:spacing w:val="-3"/>
        </w:rPr>
        <w:t xml:space="preserve">los fundamentos culturales y de </w:t>
      </w:r>
      <w:r w:rsidR="00710ECF" w:rsidRPr="00BD1319">
        <w:rPr>
          <w:spacing w:val="-3"/>
        </w:rPr>
        <w:t>los usos, costumbres y estructuras del territorio</w:t>
      </w:r>
      <w:r w:rsidRPr="00BD1319">
        <w:rPr>
          <w:spacing w:val="-3"/>
        </w:rPr>
        <w:t>,</w:t>
      </w:r>
      <w:r w:rsidR="00710ECF" w:rsidRPr="00BD1319">
        <w:rPr>
          <w:spacing w:val="-3"/>
        </w:rPr>
        <w:t xml:space="preserve"> es necesario establecer </w:t>
      </w:r>
      <w:r w:rsidRPr="00BD1319">
        <w:rPr>
          <w:spacing w:val="-3"/>
        </w:rPr>
        <w:t xml:space="preserve">las estrategias y procedimientos </w:t>
      </w:r>
      <w:r w:rsidR="00710ECF" w:rsidRPr="00BD1319">
        <w:rPr>
          <w:spacing w:val="-3"/>
        </w:rPr>
        <w:t xml:space="preserve">para iniciar </w:t>
      </w:r>
      <w:r w:rsidR="00A608F6" w:rsidRPr="00BD1319">
        <w:rPr>
          <w:spacing w:val="-3"/>
        </w:rPr>
        <w:t xml:space="preserve">y mantener </w:t>
      </w:r>
      <w:r w:rsidR="00710ECF" w:rsidRPr="00BD1319">
        <w:rPr>
          <w:spacing w:val="-3"/>
        </w:rPr>
        <w:t>la interlocución y diálogo con cada uno de los grupos de interés</w:t>
      </w:r>
      <w:r w:rsidR="00B955DE" w:rsidRPr="00BD1319">
        <w:rPr>
          <w:spacing w:val="-3"/>
        </w:rPr>
        <w:t>.</w:t>
      </w:r>
      <w:r w:rsidR="003B159C" w:rsidRPr="00BD1319">
        <w:rPr>
          <w:spacing w:val="-3"/>
        </w:rPr>
        <w:t xml:space="preserve"> </w:t>
      </w:r>
      <w:r w:rsidR="00B955DE" w:rsidRPr="00BD1319">
        <w:rPr>
          <w:spacing w:val="-3"/>
        </w:rPr>
        <w:t>E</w:t>
      </w:r>
      <w:r w:rsidR="003B159C" w:rsidRPr="00BD1319">
        <w:rPr>
          <w:spacing w:val="-3"/>
        </w:rPr>
        <w:t xml:space="preserve">n los casos en </w:t>
      </w:r>
      <w:r w:rsidR="00201A69" w:rsidRPr="00BD1319">
        <w:rPr>
          <w:spacing w:val="-3"/>
        </w:rPr>
        <w:t xml:space="preserve">los </w:t>
      </w:r>
      <w:r w:rsidR="003B159C" w:rsidRPr="00BD1319">
        <w:rPr>
          <w:spacing w:val="-3"/>
        </w:rPr>
        <w:t xml:space="preserve">que el proceso de participación deba abordar comunidades étnicas, es </w:t>
      </w:r>
      <w:r w:rsidRPr="00BD1319">
        <w:rPr>
          <w:spacing w:val="-3"/>
        </w:rPr>
        <w:t xml:space="preserve">necesario recurrir a </w:t>
      </w:r>
      <w:r w:rsidR="003B159C" w:rsidRPr="00BD1319">
        <w:rPr>
          <w:spacing w:val="-3"/>
        </w:rPr>
        <w:t>los mecanismos de coordinación establecidos entre éstas y el Ministerio del Interior.</w:t>
      </w:r>
    </w:p>
    <w:p w14:paraId="150B33CA" w14:textId="77777777" w:rsidR="00FF74A7" w:rsidRPr="00BD1319" w:rsidRDefault="00FF74A7" w:rsidP="00642E22">
      <w:pPr>
        <w:numPr>
          <w:ilvl w:val="12"/>
          <w:numId w:val="0"/>
        </w:numPr>
        <w:tabs>
          <w:tab w:val="left" w:pos="-2268"/>
        </w:tabs>
        <w:suppressAutoHyphens/>
        <w:rPr>
          <w:spacing w:val="-3"/>
        </w:rPr>
      </w:pPr>
    </w:p>
    <w:p w14:paraId="30F0F7A0" w14:textId="77777777" w:rsidR="00642E22" w:rsidRPr="00BD1319" w:rsidRDefault="00642E22" w:rsidP="00642E22">
      <w:pPr>
        <w:tabs>
          <w:tab w:val="left" w:pos="-2268"/>
        </w:tabs>
        <w:suppressAutoHyphens/>
        <w:rPr>
          <w:spacing w:val="-3"/>
        </w:rPr>
      </w:pPr>
      <w:r w:rsidRPr="00BD1319">
        <w:rPr>
          <w:rFonts w:cs="Arial"/>
          <w:spacing w:val="-3"/>
        </w:rPr>
        <w:t xml:space="preserve">Se deben establecer mecanismos y medios eficaces para que, de forma permanente, sea posible brindar información a los grupos de interés, recibir sus inquietudes, </w:t>
      </w:r>
      <w:r w:rsidRPr="00BD1319">
        <w:rPr>
          <w:spacing w:val="-3"/>
        </w:rPr>
        <w:t xml:space="preserve">observaciones, aportes, peticiones, quejas, reclamos, sugerencias y </w:t>
      </w:r>
      <w:r w:rsidRPr="00BD1319">
        <w:rPr>
          <w:rFonts w:cs="Arial"/>
          <w:spacing w:val="-3"/>
        </w:rPr>
        <w:t>dar respuesta a éstas.</w:t>
      </w:r>
    </w:p>
    <w:p w14:paraId="275886CC" w14:textId="77777777" w:rsidR="00642E22" w:rsidRPr="00BD1319" w:rsidRDefault="00642E22" w:rsidP="00642E22">
      <w:pPr>
        <w:tabs>
          <w:tab w:val="left" w:pos="-2268"/>
        </w:tabs>
        <w:suppressAutoHyphens/>
        <w:rPr>
          <w:spacing w:val="-3"/>
        </w:rPr>
      </w:pPr>
    </w:p>
    <w:p w14:paraId="0A381981" w14:textId="1C491825" w:rsidR="00642E22" w:rsidRPr="00BD1319" w:rsidRDefault="00DB7D51" w:rsidP="00642E22">
      <w:pPr>
        <w:tabs>
          <w:tab w:val="left" w:pos="-2268"/>
        </w:tabs>
        <w:suppressAutoHyphens/>
        <w:rPr>
          <w:spacing w:val="-3"/>
        </w:rPr>
      </w:pPr>
      <w:r w:rsidRPr="00BD1319">
        <w:rPr>
          <w:spacing w:val="-3"/>
        </w:rPr>
        <w:t xml:space="preserve">Se deben </w:t>
      </w:r>
      <w:r w:rsidR="00642E22" w:rsidRPr="00BD1319">
        <w:rPr>
          <w:spacing w:val="-3"/>
        </w:rPr>
        <w:t>identifi</w:t>
      </w:r>
      <w:r w:rsidRPr="00BD1319">
        <w:rPr>
          <w:spacing w:val="-3"/>
        </w:rPr>
        <w:t xml:space="preserve">car </w:t>
      </w:r>
      <w:r w:rsidR="00642E22" w:rsidRPr="00BD1319">
        <w:rPr>
          <w:spacing w:val="-3"/>
        </w:rPr>
        <w:t>amenazas a la vida de personas que ha</w:t>
      </w:r>
      <w:r w:rsidR="00A46903" w:rsidRPr="00BD1319">
        <w:rPr>
          <w:spacing w:val="-3"/>
        </w:rPr>
        <w:t xml:space="preserve">cen </w:t>
      </w:r>
      <w:r w:rsidR="00642E22" w:rsidRPr="00BD1319">
        <w:rPr>
          <w:spacing w:val="-3"/>
        </w:rPr>
        <w:t xml:space="preserve">parte de los grupos de interés del área de estudio </w:t>
      </w:r>
      <w:r w:rsidRPr="00BD1319">
        <w:rPr>
          <w:spacing w:val="-3"/>
        </w:rPr>
        <w:t xml:space="preserve">que </w:t>
      </w:r>
      <w:r w:rsidR="00642E22" w:rsidRPr="00BD1319">
        <w:rPr>
          <w:spacing w:val="-3"/>
        </w:rPr>
        <w:t>result</w:t>
      </w:r>
      <w:r w:rsidRPr="00BD1319">
        <w:rPr>
          <w:spacing w:val="-3"/>
        </w:rPr>
        <w:t xml:space="preserve">an </w:t>
      </w:r>
      <w:bookmarkStart w:id="1997" w:name="_Hlk152236226"/>
      <w:r w:rsidR="00642E22" w:rsidRPr="00BD1319">
        <w:rPr>
          <w:spacing w:val="-3"/>
        </w:rPr>
        <w:t>de cualquier riesgo o tipo de violencia</w:t>
      </w:r>
      <w:bookmarkEnd w:id="1997"/>
      <w:r w:rsidRPr="00BD1319">
        <w:rPr>
          <w:spacing w:val="-3"/>
        </w:rPr>
        <w:t>;</w:t>
      </w:r>
      <w:r w:rsidR="00642E22" w:rsidRPr="00BD1319">
        <w:rPr>
          <w:spacing w:val="-3"/>
        </w:rPr>
        <w:t xml:space="preserve"> esta situación y las estrategias para el desarrollo de los espacios de participación deben ser comunicados a entidades como el Ministerio Público, la Fuerza Pública y la Unidad de Protección de Víctimas para propiciar una articulación interinstitucional que garantice la protección de los derechos a la vida, la integridad y la participación pública.</w:t>
      </w:r>
    </w:p>
    <w:p w14:paraId="253711BA" w14:textId="77777777" w:rsidR="00642E22" w:rsidRPr="00BD1319" w:rsidRDefault="00642E22" w:rsidP="00642E22">
      <w:pPr>
        <w:tabs>
          <w:tab w:val="left" w:pos="-2268"/>
        </w:tabs>
        <w:suppressAutoHyphens/>
        <w:rPr>
          <w:spacing w:val="-3"/>
        </w:rPr>
      </w:pPr>
    </w:p>
    <w:p w14:paraId="7C255A45" w14:textId="02BB1866" w:rsidR="00EF63AF" w:rsidRPr="00BD1319" w:rsidRDefault="00EF63AF" w:rsidP="00EF63AF">
      <w:pPr>
        <w:numPr>
          <w:ilvl w:val="12"/>
          <w:numId w:val="0"/>
        </w:numPr>
        <w:tabs>
          <w:tab w:val="left" w:pos="-2268"/>
        </w:tabs>
        <w:suppressAutoHyphens/>
        <w:rPr>
          <w:spacing w:val="-3"/>
        </w:rPr>
      </w:pPr>
      <w:r w:rsidRPr="00BD1319">
        <w:rPr>
          <w:spacing w:val="-3"/>
        </w:rPr>
        <w:t xml:space="preserve">En cualquier caso, se debe formular e implementar un protocolo de protección a personas y líderes empleando los lineamientos establecidos </w:t>
      </w:r>
      <w:r w:rsidR="000502AA" w:rsidRPr="00BD1319">
        <w:rPr>
          <w:spacing w:val="-3"/>
        </w:rPr>
        <w:t xml:space="preserve">en las </w:t>
      </w:r>
      <w:r w:rsidRPr="00BD1319">
        <w:rPr>
          <w:spacing w:val="-3"/>
        </w:rPr>
        <w:t>guía</w:t>
      </w:r>
      <w:r w:rsidR="000502AA" w:rsidRPr="00BD1319">
        <w:rPr>
          <w:spacing w:val="-3"/>
        </w:rPr>
        <w:t>s</w:t>
      </w:r>
      <w:r w:rsidRPr="00BD1319">
        <w:rPr>
          <w:spacing w:val="-3"/>
        </w:rPr>
        <w:t xml:space="preserve"> </w:t>
      </w:r>
      <w:r w:rsidR="000502AA" w:rsidRPr="00BD1319">
        <w:rPr>
          <w:spacing w:val="-3"/>
        </w:rPr>
        <w:t>establecidas por las entidades del Ministerio Público</w:t>
      </w:r>
      <w:r w:rsidRPr="00BD1319">
        <w:rPr>
          <w:spacing w:val="-3"/>
        </w:rPr>
        <w:t xml:space="preserve">, garantizando que las actuaciones </w:t>
      </w:r>
      <w:r w:rsidR="00D429E5" w:rsidRPr="00BD1319">
        <w:rPr>
          <w:spacing w:val="-3"/>
        </w:rPr>
        <w:t xml:space="preserve">que se aborden estén </w:t>
      </w:r>
      <w:r w:rsidRPr="00BD1319">
        <w:rPr>
          <w:spacing w:val="-3"/>
        </w:rPr>
        <w:t xml:space="preserve">acordes con las responsabilidades </w:t>
      </w:r>
      <w:r w:rsidR="00ED196F" w:rsidRPr="00BD1319">
        <w:rPr>
          <w:spacing w:val="-3"/>
        </w:rPr>
        <w:t xml:space="preserve">propias </w:t>
      </w:r>
      <w:r w:rsidRPr="00BD1319">
        <w:rPr>
          <w:spacing w:val="-3"/>
        </w:rPr>
        <w:t xml:space="preserve">de un </w:t>
      </w:r>
      <w:r w:rsidR="00D429E5" w:rsidRPr="00BD1319">
        <w:rPr>
          <w:spacing w:val="-3"/>
        </w:rPr>
        <w:t xml:space="preserve">formulador de un estudio ambiental </w:t>
      </w:r>
      <w:r w:rsidRPr="00BD1319">
        <w:rPr>
          <w:spacing w:val="-3"/>
        </w:rPr>
        <w:t>y que la</w:t>
      </w:r>
      <w:r w:rsidR="00877C29" w:rsidRPr="00BD1319">
        <w:rPr>
          <w:spacing w:val="-3"/>
        </w:rPr>
        <w:t xml:space="preserve"> comunicación y</w:t>
      </w:r>
      <w:r w:rsidR="000502AA" w:rsidRPr="00BD1319">
        <w:rPr>
          <w:spacing w:val="-3"/>
        </w:rPr>
        <w:t xml:space="preserve"> alertas asociadas a </w:t>
      </w:r>
      <w:r w:rsidRPr="00BD1319">
        <w:rPr>
          <w:spacing w:val="-3"/>
        </w:rPr>
        <w:t>situaciones o hechos que afecten la seguridad de estas personas sea</w:t>
      </w:r>
      <w:r w:rsidR="000502AA" w:rsidRPr="00BD1319">
        <w:rPr>
          <w:spacing w:val="-3"/>
        </w:rPr>
        <w:t>n</w:t>
      </w:r>
      <w:r w:rsidRPr="00BD1319">
        <w:rPr>
          <w:spacing w:val="-3"/>
        </w:rPr>
        <w:t xml:space="preserve"> expedita</w:t>
      </w:r>
      <w:r w:rsidR="000502AA" w:rsidRPr="00BD1319">
        <w:rPr>
          <w:spacing w:val="-3"/>
        </w:rPr>
        <w:t>s,</w:t>
      </w:r>
      <w:r w:rsidRPr="00BD1319">
        <w:rPr>
          <w:spacing w:val="-3"/>
        </w:rPr>
        <w:t xml:space="preserve"> efectiva</w:t>
      </w:r>
      <w:r w:rsidR="000502AA" w:rsidRPr="00BD1319">
        <w:rPr>
          <w:spacing w:val="-3"/>
        </w:rPr>
        <w:t>s y dirigidas a las entidades competentes para garantizar y restituir derechos</w:t>
      </w:r>
      <w:r w:rsidR="00877C29" w:rsidRPr="00BD1319">
        <w:rPr>
          <w:spacing w:val="-3"/>
        </w:rPr>
        <w:t xml:space="preserve"> humanos</w:t>
      </w:r>
      <w:r w:rsidRPr="00BD1319">
        <w:rPr>
          <w:spacing w:val="-3"/>
        </w:rPr>
        <w:t>.</w:t>
      </w:r>
    </w:p>
    <w:p w14:paraId="3C469DED" w14:textId="77777777" w:rsidR="00EF63AF" w:rsidRPr="00BD1319" w:rsidRDefault="00EF63AF" w:rsidP="00642E22">
      <w:pPr>
        <w:tabs>
          <w:tab w:val="left" w:pos="-2268"/>
        </w:tabs>
        <w:suppressAutoHyphens/>
        <w:rPr>
          <w:spacing w:val="-3"/>
        </w:rPr>
      </w:pPr>
    </w:p>
    <w:p w14:paraId="4CAFD853" w14:textId="1EE31421" w:rsidR="00642E22" w:rsidRPr="00BD1319" w:rsidRDefault="00642E22" w:rsidP="00642E22">
      <w:pPr>
        <w:rPr>
          <w:rFonts w:cs="Arial"/>
          <w:spacing w:val="-3"/>
        </w:rPr>
      </w:pPr>
      <w:r w:rsidRPr="00BD1319">
        <w:rPr>
          <w:rFonts w:cs="Arial"/>
          <w:spacing w:val="-3"/>
        </w:rPr>
        <w:t xml:space="preserve">Para preparar los espacios participativos se deben contemplar estrategias comunicativas, procedimientos metodológicos y logísticos y recursos didácticos que posibiliten desarrollar la cantidad y duración de encuentros, vincular a la mayor cantidad posible de grupos de interés al proceso, procurar que los grupos de interés comprendan los temas a abordar, </w:t>
      </w:r>
      <w:r w:rsidRPr="00BD1319">
        <w:rPr>
          <w:spacing w:val="-3"/>
        </w:rPr>
        <w:t xml:space="preserve">promover la participación y la generación de aportes, así como </w:t>
      </w:r>
      <w:r w:rsidRPr="00BD1319">
        <w:rPr>
          <w:rFonts w:cs="Arial"/>
          <w:spacing w:val="-3"/>
        </w:rPr>
        <w:t>analizar y hacer seguimiento a los aportes que se reciban.</w:t>
      </w:r>
    </w:p>
    <w:p w14:paraId="110AB422" w14:textId="77777777" w:rsidR="00642E22" w:rsidRPr="00BD1319" w:rsidRDefault="00642E22" w:rsidP="00642E22">
      <w:pPr>
        <w:tabs>
          <w:tab w:val="left" w:pos="-2268"/>
        </w:tabs>
        <w:suppressAutoHyphens/>
        <w:rPr>
          <w:spacing w:val="-3"/>
        </w:rPr>
      </w:pPr>
    </w:p>
    <w:p w14:paraId="62AD36DE" w14:textId="77777777" w:rsidR="00642E22" w:rsidRPr="00BD1319" w:rsidRDefault="00642E22" w:rsidP="00642E22">
      <w:pPr>
        <w:tabs>
          <w:tab w:val="left" w:pos="-2268"/>
        </w:tabs>
        <w:suppressAutoHyphens/>
        <w:rPr>
          <w:rFonts w:cs="Arial"/>
          <w:spacing w:val="-3"/>
        </w:rPr>
      </w:pPr>
      <w:r w:rsidRPr="00BD1319">
        <w:rPr>
          <w:spacing w:val="-3"/>
        </w:rPr>
        <w:lastRenderedPageBreak/>
        <w:t xml:space="preserve">La convocatoria a los espacios de participación debe realizarse con </w:t>
      </w:r>
      <w:r w:rsidRPr="00BD1319">
        <w:rPr>
          <w:rFonts w:cs="Arial"/>
          <w:spacing w:val="-3"/>
          <w:lang w:val="es-ES_tradnl"/>
        </w:rPr>
        <w:t>suficiente antelación a éstos</w:t>
      </w:r>
      <w:r w:rsidRPr="00BD1319">
        <w:rPr>
          <w:rStyle w:val="Refdenotaalpie"/>
          <w:rFonts w:cs="Arial"/>
          <w:lang w:val="es-CO"/>
        </w:rPr>
        <w:footnoteReference w:id="36"/>
      </w:r>
      <w:r w:rsidRPr="00BD1319">
        <w:rPr>
          <w:rFonts w:cs="Arial"/>
          <w:spacing w:val="-3"/>
          <w:lang w:val="es-ES_tradnl"/>
        </w:rPr>
        <w:t xml:space="preserve">, ser </w:t>
      </w:r>
      <w:r w:rsidRPr="00BD1319">
        <w:rPr>
          <w:spacing w:val="-3"/>
        </w:rPr>
        <w:t xml:space="preserve">amplia </w:t>
      </w:r>
      <w:r w:rsidRPr="00BD1319">
        <w:rPr>
          <w:rFonts w:cs="Arial"/>
          <w:spacing w:val="-3"/>
          <w:lang w:val="es-ES_tradnl"/>
        </w:rPr>
        <w:t xml:space="preserve">y </w:t>
      </w:r>
      <w:r w:rsidRPr="00BD1319">
        <w:rPr>
          <w:spacing w:val="-3"/>
        </w:rPr>
        <w:t xml:space="preserve">utilizar medios de comunicación suficientes (p. ej. correo postal o certificado, correo electrónico, internet, redes sociales, radio, televisión, volantes, afiches en lugares públicos como parroquias, alcaldías y escuelas y medios de difusión locales) para asegurar la mayor cobertura posible y alcanzar un nivel representativo de participación. Asimismo, la convocatoria </w:t>
      </w:r>
      <w:r w:rsidRPr="00BD1319">
        <w:rPr>
          <w:rFonts w:cs="Arial"/>
          <w:spacing w:val="-3"/>
        </w:rPr>
        <w:t>debe informar dónde y cómo se puede consultar la información del proyecto y sus alternativas, la cual debe estar disponible de forma gratuita.</w:t>
      </w:r>
    </w:p>
    <w:p w14:paraId="2A1EDD88" w14:textId="77777777" w:rsidR="00642E22" w:rsidRPr="00BD1319" w:rsidRDefault="00642E22" w:rsidP="00642E22">
      <w:pPr>
        <w:numPr>
          <w:ilvl w:val="12"/>
          <w:numId w:val="0"/>
        </w:numPr>
        <w:tabs>
          <w:tab w:val="left" w:pos="-2268"/>
        </w:tabs>
        <w:suppressAutoHyphens/>
        <w:rPr>
          <w:spacing w:val="-3"/>
        </w:rPr>
      </w:pPr>
    </w:p>
    <w:p w14:paraId="7D25800C" w14:textId="77777777" w:rsidR="00642E22" w:rsidRPr="00BD1319" w:rsidRDefault="00642E22" w:rsidP="00216955">
      <w:pPr>
        <w:pStyle w:val="Ttulo3"/>
      </w:pPr>
      <w:bookmarkStart w:id="1998" w:name="_Toc175326690"/>
      <w:r w:rsidRPr="00BD1319">
        <w:t>Ejecución de los espacios de participación</w:t>
      </w:r>
      <w:bookmarkEnd w:id="1998"/>
    </w:p>
    <w:p w14:paraId="22AE3DCE" w14:textId="77777777" w:rsidR="00642E22" w:rsidRPr="00BD1319" w:rsidRDefault="00642E22" w:rsidP="00642E22">
      <w:pPr>
        <w:numPr>
          <w:ilvl w:val="12"/>
          <w:numId w:val="0"/>
        </w:numPr>
        <w:tabs>
          <w:tab w:val="left" w:pos="-2268"/>
        </w:tabs>
        <w:suppressAutoHyphens/>
        <w:rPr>
          <w:spacing w:val="-3"/>
        </w:rPr>
      </w:pPr>
    </w:p>
    <w:p w14:paraId="1185BB9D" w14:textId="6272FC1F" w:rsidR="00642E22" w:rsidRPr="00BD1319" w:rsidRDefault="00642E22" w:rsidP="00642E22">
      <w:pPr>
        <w:numPr>
          <w:ilvl w:val="12"/>
          <w:numId w:val="0"/>
        </w:numPr>
        <w:tabs>
          <w:tab w:val="left" w:pos="-2268"/>
        </w:tabs>
        <w:suppressAutoHyphens/>
        <w:rPr>
          <w:spacing w:val="-3"/>
        </w:rPr>
      </w:pPr>
      <w:r w:rsidRPr="00BD1319">
        <w:rPr>
          <w:spacing w:val="-3"/>
        </w:rPr>
        <w:t>Los espacios de participación deben ejecutarse según lo planeado en la instancia anterior, asegurando que la comunicación sea efectiva al permitir el suministro y recepción de información y promover la deliberación, la argumentación, la formulación de aportes y el establecimiento de acuerdos. Adicionalmente, estos espacios deben tener un enfoque que permita desarrollar los encuentros en un ambiente de respeto entre las partes intervinientes y tener la capacidad de adaptarse a las situaciones o condiciones que se presenten o identifiquen durante su ejecución.</w:t>
      </w:r>
    </w:p>
    <w:p w14:paraId="527B3D37" w14:textId="77777777" w:rsidR="00642E22" w:rsidRPr="00BD1319" w:rsidRDefault="00642E22" w:rsidP="00642E22">
      <w:pPr>
        <w:numPr>
          <w:ilvl w:val="12"/>
          <w:numId w:val="0"/>
        </w:numPr>
        <w:tabs>
          <w:tab w:val="left" w:pos="-2268"/>
        </w:tabs>
        <w:suppressAutoHyphens/>
        <w:rPr>
          <w:spacing w:val="-3"/>
        </w:rPr>
      </w:pPr>
    </w:p>
    <w:p w14:paraId="5CE8563F" w14:textId="77777777" w:rsidR="00642E22" w:rsidRPr="00BD1319" w:rsidRDefault="00642E22" w:rsidP="00642E22">
      <w:pPr>
        <w:rPr>
          <w:rFonts w:cs="Arial"/>
        </w:rPr>
      </w:pPr>
      <w:r w:rsidRPr="00BD1319">
        <w:rPr>
          <w:rFonts w:cs="Arial"/>
        </w:rPr>
        <w:t>Al inicio de cada espacio de diálogo se debe brindar información sobre lo siguiente:</w:t>
      </w:r>
    </w:p>
    <w:p w14:paraId="5841A4F9" w14:textId="77777777" w:rsidR="00642E22" w:rsidRPr="00BD1319" w:rsidRDefault="00642E22" w:rsidP="00642E22">
      <w:pPr>
        <w:rPr>
          <w:rFonts w:cs="Arial"/>
        </w:rPr>
      </w:pPr>
    </w:p>
    <w:p w14:paraId="6962C87C" w14:textId="77777777" w:rsidR="00642E22" w:rsidRPr="00BD1319" w:rsidRDefault="00642E22" w:rsidP="00642E22">
      <w:pPr>
        <w:pStyle w:val="Prrafodelista"/>
        <w:numPr>
          <w:ilvl w:val="0"/>
          <w:numId w:val="680"/>
        </w:numPr>
        <w:tabs>
          <w:tab w:val="left" w:pos="-2268"/>
        </w:tabs>
        <w:suppressAutoHyphens/>
        <w:ind w:left="567" w:hanging="567"/>
        <w:rPr>
          <w:spacing w:val="-3"/>
          <w:lang w:val="es-CO"/>
        </w:rPr>
      </w:pPr>
      <w:r w:rsidRPr="00BD1319">
        <w:rPr>
          <w:spacing w:val="-3"/>
          <w:lang w:val="es-CO"/>
        </w:rPr>
        <w:t>El procedimiento previsto para ejecutar el proceso de participación en su conjunto y el espacio de diálogo particular que se está ejecutando, señalando los objetivos y fechas de inicio y de finalización del proceso de participación.</w:t>
      </w:r>
    </w:p>
    <w:p w14:paraId="0DB229B2" w14:textId="77777777" w:rsidR="00642E22" w:rsidRPr="00BD1319" w:rsidRDefault="00642E22" w:rsidP="00642E22">
      <w:pPr>
        <w:tabs>
          <w:tab w:val="left" w:pos="-2268"/>
        </w:tabs>
        <w:suppressAutoHyphens/>
        <w:rPr>
          <w:spacing w:val="-3"/>
        </w:rPr>
      </w:pPr>
    </w:p>
    <w:p w14:paraId="06F653AE" w14:textId="77777777" w:rsidR="00642E22" w:rsidRPr="00BD1319" w:rsidRDefault="00642E22" w:rsidP="00642E22">
      <w:pPr>
        <w:pStyle w:val="Prrafodelista"/>
        <w:numPr>
          <w:ilvl w:val="0"/>
          <w:numId w:val="680"/>
        </w:numPr>
        <w:tabs>
          <w:tab w:val="left" w:pos="-2268"/>
        </w:tabs>
        <w:suppressAutoHyphens/>
        <w:ind w:left="567" w:hanging="567"/>
        <w:rPr>
          <w:spacing w:val="-3"/>
          <w:lang w:val="es-CO"/>
        </w:rPr>
      </w:pPr>
      <w:r w:rsidRPr="00BD1319">
        <w:rPr>
          <w:spacing w:val="-3"/>
          <w:lang w:val="es-CO"/>
        </w:rPr>
        <w:t>Los mecanismos y modalidades previstos para la ejecución del proceso de participación.</w:t>
      </w:r>
    </w:p>
    <w:p w14:paraId="32F4EEA9" w14:textId="77777777" w:rsidR="00642E22" w:rsidRPr="00BD1319" w:rsidRDefault="00642E22" w:rsidP="00642E22">
      <w:pPr>
        <w:tabs>
          <w:tab w:val="left" w:pos="-2268"/>
        </w:tabs>
        <w:suppressAutoHyphens/>
        <w:rPr>
          <w:spacing w:val="-3"/>
        </w:rPr>
      </w:pPr>
    </w:p>
    <w:p w14:paraId="7974A8ED" w14:textId="77777777" w:rsidR="00642E22" w:rsidRPr="00BD1319" w:rsidRDefault="00642E22" w:rsidP="00642E22">
      <w:pPr>
        <w:pStyle w:val="Prrafodelista"/>
        <w:numPr>
          <w:ilvl w:val="0"/>
          <w:numId w:val="680"/>
        </w:numPr>
        <w:tabs>
          <w:tab w:val="left" w:pos="-2268"/>
        </w:tabs>
        <w:suppressAutoHyphens/>
        <w:ind w:left="567" w:hanging="567"/>
        <w:rPr>
          <w:spacing w:val="-3"/>
        </w:rPr>
      </w:pPr>
      <w:r w:rsidRPr="00BD1319">
        <w:rPr>
          <w:spacing w:val="-3"/>
          <w:lang w:val="es-CO"/>
        </w:rPr>
        <w:t>El procedimiento para la recolección, sistematización y análisis de los aportes de los grupos de interés.</w:t>
      </w:r>
    </w:p>
    <w:p w14:paraId="0B817CA5" w14:textId="77777777" w:rsidR="00642E22" w:rsidRPr="00BD1319" w:rsidRDefault="00642E22" w:rsidP="00642E22">
      <w:pPr>
        <w:numPr>
          <w:ilvl w:val="12"/>
          <w:numId w:val="0"/>
        </w:numPr>
        <w:tabs>
          <w:tab w:val="left" w:pos="-2268"/>
        </w:tabs>
        <w:suppressAutoHyphens/>
        <w:rPr>
          <w:spacing w:val="-3"/>
        </w:rPr>
      </w:pPr>
    </w:p>
    <w:p w14:paraId="019772D4" w14:textId="77777777" w:rsidR="00642E22" w:rsidRPr="00BD1319" w:rsidRDefault="00642E22" w:rsidP="00642E22">
      <w:pPr>
        <w:pStyle w:val="Prrafodelista"/>
        <w:tabs>
          <w:tab w:val="left" w:pos="-2268"/>
        </w:tabs>
        <w:suppressAutoHyphens/>
        <w:ind w:left="0"/>
        <w:rPr>
          <w:spacing w:val="-3"/>
          <w:lang w:val="es-CO"/>
        </w:rPr>
      </w:pPr>
      <w:r w:rsidRPr="00BD1319">
        <w:rPr>
          <w:spacing w:val="-3"/>
          <w:lang w:val="es-CO"/>
        </w:rPr>
        <w:t>Luego de señalar estas características generales del proceso, se debe abordar el siguiente contenido:</w:t>
      </w:r>
    </w:p>
    <w:p w14:paraId="2A1CDAED" w14:textId="77777777" w:rsidR="00642E22" w:rsidRPr="00BD1319" w:rsidRDefault="00642E22" w:rsidP="00642E22">
      <w:pPr>
        <w:numPr>
          <w:ilvl w:val="12"/>
          <w:numId w:val="0"/>
        </w:numPr>
        <w:tabs>
          <w:tab w:val="left" w:pos="-2268"/>
        </w:tabs>
        <w:suppressAutoHyphens/>
        <w:rPr>
          <w:spacing w:val="-3"/>
        </w:rPr>
      </w:pPr>
    </w:p>
    <w:p w14:paraId="30077A82" w14:textId="77777777" w:rsidR="00642E22" w:rsidRPr="00BD1319" w:rsidRDefault="00642E22" w:rsidP="00642E22">
      <w:pPr>
        <w:numPr>
          <w:ilvl w:val="0"/>
          <w:numId w:val="82"/>
        </w:numPr>
        <w:overflowPunct/>
        <w:autoSpaceDE/>
        <w:autoSpaceDN/>
        <w:adjustRightInd/>
        <w:ind w:left="567" w:hanging="567"/>
        <w:textAlignment w:val="auto"/>
        <w:rPr>
          <w:rFonts w:cs="Arial"/>
        </w:rPr>
      </w:pPr>
      <w:r w:rsidRPr="00BD1319">
        <w:rPr>
          <w:rFonts w:cs="Arial"/>
        </w:rPr>
        <w:lastRenderedPageBreak/>
        <w:t xml:space="preserve">Breve explicación del proceso de licenciamiento ambiental, aclarando que comprende la elaboración de estudios ambientales (DAA y EIA), la evaluación de </w:t>
      </w:r>
      <w:proofErr w:type="gramStart"/>
      <w:r w:rsidRPr="00BD1319">
        <w:rPr>
          <w:rFonts w:cs="Arial"/>
        </w:rPr>
        <w:t>estudios ambientales y el seguimiento ambiental</w:t>
      </w:r>
      <w:proofErr w:type="gramEnd"/>
      <w:r w:rsidRPr="00BD1319">
        <w:rPr>
          <w:rFonts w:cs="Arial"/>
        </w:rPr>
        <w:t xml:space="preserve"> a los proyectos, obras o actividades que cuentan con licencia ambiental o instrumento equivalente.</w:t>
      </w:r>
    </w:p>
    <w:p w14:paraId="29F3AC5A" w14:textId="77777777" w:rsidR="00642E22" w:rsidRPr="00BD1319" w:rsidRDefault="00642E22" w:rsidP="00642E22">
      <w:pPr>
        <w:overflowPunct/>
        <w:autoSpaceDE/>
        <w:autoSpaceDN/>
        <w:adjustRightInd/>
        <w:ind w:left="567"/>
        <w:textAlignment w:val="auto"/>
        <w:rPr>
          <w:rFonts w:cs="Arial"/>
        </w:rPr>
      </w:pPr>
    </w:p>
    <w:p w14:paraId="0427AFBC" w14:textId="77777777" w:rsidR="00642E22" w:rsidRPr="00BD1319" w:rsidRDefault="00642E22" w:rsidP="00642E22">
      <w:pPr>
        <w:overflowPunct/>
        <w:autoSpaceDE/>
        <w:autoSpaceDN/>
        <w:adjustRightInd/>
        <w:ind w:left="567"/>
        <w:textAlignment w:val="auto"/>
        <w:rPr>
          <w:rFonts w:cs="Arial"/>
        </w:rPr>
      </w:pPr>
      <w:r w:rsidRPr="00BD1319">
        <w:rPr>
          <w:rFonts w:cs="Arial"/>
        </w:rPr>
        <w:t>Debe señalar las diferencias, propósitos e instancias en las cuales se elaboran los DAA y los EIA, mencionando que la elección de alternativas por parte de la autoridad ambiental no implica una decisión sobre su viabilidad ambiental y que tal determinación se aborda exclusivamente al evaluar un EIA.</w:t>
      </w:r>
    </w:p>
    <w:p w14:paraId="018D6F84" w14:textId="77777777" w:rsidR="00642E22" w:rsidRPr="00BD1319" w:rsidRDefault="00642E22" w:rsidP="00642E22">
      <w:pPr>
        <w:overflowPunct/>
        <w:autoSpaceDE/>
        <w:autoSpaceDN/>
        <w:adjustRightInd/>
        <w:textAlignment w:val="auto"/>
        <w:rPr>
          <w:rFonts w:cs="Arial"/>
        </w:rPr>
      </w:pPr>
    </w:p>
    <w:p w14:paraId="29FBDD3B" w14:textId="77777777" w:rsidR="00642E22" w:rsidRPr="00BD1319" w:rsidRDefault="00642E22" w:rsidP="00642E22">
      <w:pPr>
        <w:overflowPunct/>
        <w:autoSpaceDE/>
        <w:autoSpaceDN/>
        <w:adjustRightInd/>
        <w:ind w:left="567"/>
        <w:textAlignment w:val="auto"/>
        <w:rPr>
          <w:rFonts w:cs="Arial"/>
        </w:rPr>
      </w:pPr>
      <w:r w:rsidRPr="00BD1319">
        <w:rPr>
          <w:rFonts w:cs="Arial"/>
        </w:rPr>
        <w:t>Igualmente, debe mencionar la autoridad ambiental responsable del proceso de toma de decisiones y otras autoridades e instituciones involucradas (p. ej. a las que se les pueda requerir información complementaria), así como el procedimiento para solicitar información a tales entidades.</w:t>
      </w:r>
    </w:p>
    <w:p w14:paraId="3E62DA18" w14:textId="77777777" w:rsidR="00642E22" w:rsidRPr="00BD1319" w:rsidRDefault="00642E22" w:rsidP="00642E22">
      <w:pPr>
        <w:overflowPunct/>
        <w:autoSpaceDE/>
        <w:autoSpaceDN/>
        <w:adjustRightInd/>
        <w:ind w:right="57"/>
        <w:textAlignment w:val="auto"/>
        <w:rPr>
          <w:rFonts w:cs="Arial"/>
        </w:rPr>
      </w:pPr>
    </w:p>
    <w:p w14:paraId="71559425" w14:textId="77777777" w:rsidR="00642E22" w:rsidRPr="00BD1319" w:rsidRDefault="00642E22" w:rsidP="00642E22">
      <w:pPr>
        <w:numPr>
          <w:ilvl w:val="0"/>
          <w:numId w:val="82"/>
        </w:numPr>
        <w:overflowPunct/>
        <w:autoSpaceDE/>
        <w:autoSpaceDN/>
        <w:adjustRightInd/>
        <w:ind w:left="567" w:hanging="567"/>
        <w:textAlignment w:val="auto"/>
        <w:rPr>
          <w:rFonts w:cs="Arial"/>
        </w:rPr>
      </w:pPr>
      <w:r w:rsidRPr="00BD1319">
        <w:rPr>
          <w:rFonts w:cs="Arial"/>
        </w:rPr>
        <w:t>Descripción del proyecto, sus alcances y objetivos, así como de las alternativas de diseño, tecnología o localización (o trazado, en caso de aplicar) que se plantean para su ejecución.</w:t>
      </w:r>
    </w:p>
    <w:p w14:paraId="7B214FF1" w14:textId="77777777" w:rsidR="00642E22" w:rsidRPr="00BD1319" w:rsidRDefault="00642E22" w:rsidP="00642E22">
      <w:pPr>
        <w:overflowPunct/>
        <w:autoSpaceDE/>
        <w:autoSpaceDN/>
        <w:adjustRightInd/>
        <w:ind w:right="57"/>
        <w:textAlignment w:val="auto"/>
        <w:rPr>
          <w:rFonts w:cs="Arial"/>
        </w:rPr>
      </w:pPr>
    </w:p>
    <w:p w14:paraId="4804BE2C" w14:textId="77777777" w:rsidR="00642E22" w:rsidRPr="00BD1319" w:rsidRDefault="00642E22" w:rsidP="00642E22">
      <w:pPr>
        <w:numPr>
          <w:ilvl w:val="0"/>
          <w:numId w:val="82"/>
        </w:numPr>
        <w:overflowPunct/>
        <w:autoSpaceDE/>
        <w:autoSpaceDN/>
        <w:adjustRightInd/>
        <w:ind w:left="567" w:hanging="567"/>
        <w:textAlignment w:val="auto"/>
        <w:rPr>
          <w:rFonts w:cs="Arial"/>
        </w:rPr>
      </w:pPr>
      <w:r w:rsidRPr="00BD1319">
        <w:rPr>
          <w:rFonts w:cs="Arial"/>
        </w:rPr>
        <w:t>Descripción de las principales características ambientales de los medios abiótico, biótico y socioeconómico del área de estudio.</w:t>
      </w:r>
    </w:p>
    <w:p w14:paraId="79006DEE" w14:textId="77777777" w:rsidR="00642E22" w:rsidRPr="00BD1319" w:rsidRDefault="00642E22" w:rsidP="00642E22">
      <w:pPr>
        <w:overflowPunct/>
        <w:autoSpaceDE/>
        <w:autoSpaceDN/>
        <w:adjustRightInd/>
        <w:ind w:right="57"/>
        <w:textAlignment w:val="auto"/>
        <w:rPr>
          <w:rFonts w:cs="Arial"/>
        </w:rPr>
      </w:pPr>
    </w:p>
    <w:p w14:paraId="20863C66" w14:textId="77777777" w:rsidR="00642E22" w:rsidRPr="00BD1319" w:rsidRDefault="00642E22" w:rsidP="00642E22">
      <w:pPr>
        <w:numPr>
          <w:ilvl w:val="0"/>
          <w:numId w:val="82"/>
        </w:numPr>
        <w:overflowPunct/>
        <w:autoSpaceDE/>
        <w:autoSpaceDN/>
        <w:adjustRightInd/>
        <w:ind w:left="567" w:hanging="567"/>
        <w:textAlignment w:val="auto"/>
        <w:rPr>
          <w:rFonts w:cs="Arial"/>
        </w:rPr>
      </w:pPr>
      <w:r w:rsidRPr="00BD1319">
        <w:rPr>
          <w:rFonts w:cs="Arial"/>
        </w:rPr>
        <w:t>Descripción de los impactos ambientales potenciales de las alternativas.</w:t>
      </w:r>
    </w:p>
    <w:p w14:paraId="58C7CF1F" w14:textId="77777777" w:rsidR="00642E22" w:rsidRPr="00BD1319" w:rsidRDefault="00642E22" w:rsidP="00642E22">
      <w:pPr>
        <w:overflowPunct/>
        <w:autoSpaceDE/>
        <w:autoSpaceDN/>
        <w:adjustRightInd/>
        <w:ind w:right="57"/>
        <w:textAlignment w:val="auto"/>
        <w:rPr>
          <w:rFonts w:cs="Arial"/>
        </w:rPr>
      </w:pPr>
    </w:p>
    <w:p w14:paraId="0461CFB4" w14:textId="77777777" w:rsidR="00642E22" w:rsidRPr="00BD1319" w:rsidRDefault="00642E22" w:rsidP="00642E22">
      <w:pPr>
        <w:numPr>
          <w:ilvl w:val="0"/>
          <w:numId w:val="82"/>
        </w:numPr>
        <w:overflowPunct/>
        <w:autoSpaceDE/>
        <w:autoSpaceDN/>
        <w:adjustRightInd/>
        <w:ind w:left="567" w:hanging="567"/>
        <w:textAlignment w:val="auto"/>
        <w:rPr>
          <w:rFonts w:cs="Arial"/>
        </w:rPr>
      </w:pPr>
      <w:r w:rsidRPr="00BD1319">
        <w:rPr>
          <w:rFonts w:cs="Arial"/>
        </w:rPr>
        <w:t xml:space="preserve">Mención de las </w:t>
      </w:r>
      <w:r w:rsidRPr="00BD1319">
        <w:rPr>
          <w:rFonts w:cs="Arial"/>
          <w:i/>
          <w:iCs/>
        </w:rPr>
        <w:t>posibles</w:t>
      </w:r>
      <w:r w:rsidRPr="00BD1319">
        <w:rPr>
          <w:rFonts w:cs="Arial"/>
        </w:rPr>
        <w:t xml:space="preserve"> medias de manejo para los impactos ambientales potenciales de las alternativas.</w:t>
      </w:r>
    </w:p>
    <w:p w14:paraId="3769CE09" w14:textId="77777777" w:rsidR="00642E22" w:rsidRPr="00BD1319" w:rsidRDefault="00642E22" w:rsidP="00642E22">
      <w:pPr>
        <w:overflowPunct/>
        <w:autoSpaceDE/>
        <w:autoSpaceDN/>
        <w:adjustRightInd/>
        <w:ind w:right="57"/>
        <w:textAlignment w:val="auto"/>
        <w:rPr>
          <w:rFonts w:cs="Arial"/>
        </w:rPr>
      </w:pPr>
    </w:p>
    <w:p w14:paraId="7111F819" w14:textId="77777777" w:rsidR="00642E22" w:rsidRPr="00BD1319" w:rsidRDefault="00642E22" w:rsidP="00642E22">
      <w:pPr>
        <w:overflowPunct/>
        <w:autoSpaceDE/>
        <w:autoSpaceDN/>
        <w:adjustRightInd/>
        <w:textAlignment w:val="auto"/>
        <w:rPr>
          <w:rFonts w:cs="Arial"/>
        </w:rPr>
      </w:pPr>
      <w:r w:rsidRPr="00BD1319">
        <w:rPr>
          <w:rFonts w:cs="Arial"/>
        </w:rPr>
        <w:t xml:space="preserve">Los espacios de participación deben posibilitar la participación del público con el propósito de complementar a partir de su conocimiento, experiencia </w:t>
      </w:r>
      <w:r w:rsidRPr="00BD1319">
        <w:t>y saberes, los siguientes apartados del DAA:</w:t>
      </w:r>
    </w:p>
    <w:p w14:paraId="5967C633" w14:textId="77777777" w:rsidR="00642E22" w:rsidRPr="00BD1319" w:rsidRDefault="00642E22" w:rsidP="00642E22">
      <w:pPr>
        <w:rPr>
          <w:rFonts w:cs="Arial"/>
        </w:rPr>
      </w:pPr>
    </w:p>
    <w:p w14:paraId="7D2B7AC0" w14:textId="77777777" w:rsidR="00642E22" w:rsidRPr="00BD1319" w:rsidRDefault="00642E22" w:rsidP="00642E22">
      <w:pPr>
        <w:numPr>
          <w:ilvl w:val="0"/>
          <w:numId w:val="82"/>
        </w:numPr>
        <w:overflowPunct/>
        <w:autoSpaceDE/>
        <w:autoSpaceDN/>
        <w:adjustRightInd/>
        <w:ind w:left="567" w:hanging="567"/>
        <w:textAlignment w:val="auto"/>
        <w:rPr>
          <w:rFonts w:cs="Arial"/>
        </w:rPr>
      </w:pPr>
      <w:r w:rsidRPr="00BD1319">
        <w:rPr>
          <w:rFonts w:cs="Arial"/>
        </w:rPr>
        <w:t>Caracterización de los medios abiótico, biótico y socioeconómico del área de estudio, con énfasis en conflictos socioambientales y servicios ecosistémicos.</w:t>
      </w:r>
    </w:p>
    <w:p w14:paraId="08110AFE" w14:textId="77777777" w:rsidR="00642E22" w:rsidRPr="00BD1319" w:rsidRDefault="00642E22" w:rsidP="00642E22">
      <w:pPr>
        <w:overflowPunct/>
        <w:autoSpaceDE/>
        <w:autoSpaceDN/>
        <w:adjustRightInd/>
        <w:textAlignment w:val="auto"/>
        <w:rPr>
          <w:rFonts w:cs="Arial"/>
        </w:rPr>
      </w:pPr>
    </w:p>
    <w:p w14:paraId="10DF73D7" w14:textId="77777777" w:rsidR="00642E22" w:rsidRPr="00BD1319" w:rsidRDefault="00642E22" w:rsidP="00642E22">
      <w:pPr>
        <w:numPr>
          <w:ilvl w:val="0"/>
          <w:numId w:val="82"/>
        </w:numPr>
        <w:overflowPunct/>
        <w:autoSpaceDE/>
        <w:autoSpaceDN/>
        <w:adjustRightInd/>
        <w:ind w:left="567" w:hanging="567"/>
        <w:textAlignment w:val="auto"/>
        <w:rPr>
          <w:rFonts w:cs="Arial"/>
        </w:rPr>
      </w:pPr>
      <w:r w:rsidRPr="00BD1319">
        <w:rPr>
          <w:rFonts w:cs="Arial"/>
        </w:rPr>
        <w:t>Determinación y valoración de impactos ambientales potenciales.</w:t>
      </w:r>
    </w:p>
    <w:p w14:paraId="676BB01B" w14:textId="77777777" w:rsidR="00642E22" w:rsidRPr="00BD1319" w:rsidRDefault="00642E22" w:rsidP="00642E22">
      <w:pPr>
        <w:overflowPunct/>
        <w:autoSpaceDE/>
        <w:autoSpaceDN/>
        <w:adjustRightInd/>
        <w:textAlignment w:val="auto"/>
        <w:rPr>
          <w:rFonts w:cs="Arial"/>
        </w:rPr>
      </w:pPr>
    </w:p>
    <w:p w14:paraId="294FF412" w14:textId="77777777" w:rsidR="00642E22" w:rsidRPr="00BD1319" w:rsidRDefault="00642E22" w:rsidP="00642E22">
      <w:pPr>
        <w:numPr>
          <w:ilvl w:val="0"/>
          <w:numId w:val="82"/>
        </w:numPr>
        <w:overflowPunct/>
        <w:autoSpaceDE/>
        <w:autoSpaceDN/>
        <w:adjustRightInd/>
        <w:ind w:left="567" w:hanging="567"/>
        <w:textAlignment w:val="auto"/>
        <w:rPr>
          <w:rFonts w:cs="Arial"/>
        </w:rPr>
      </w:pPr>
      <w:r w:rsidRPr="00BD1319">
        <w:rPr>
          <w:rFonts w:cs="Arial"/>
        </w:rPr>
        <w:t>Análisis costo beneficio ambiental de las alternativas.</w:t>
      </w:r>
    </w:p>
    <w:p w14:paraId="7B531E78" w14:textId="77777777" w:rsidR="00642E22" w:rsidRPr="00BD1319" w:rsidRDefault="00642E22" w:rsidP="00642E22">
      <w:pPr>
        <w:numPr>
          <w:ilvl w:val="12"/>
          <w:numId w:val="0"/>
        </w:numPr>
        <w:tabs>
          <w:tab w:val="left" w:pos="-2268"/>
        </w:tabs>
        <w:suppressAutoHyphens/>
        <w:rPr>
          <w:spacing w:val="-3"/>
        </w:rPr>
      </w:pPr>
    </w:p>
    <w:p w14:paraId="3EC4C9D2" w14:textId="77777777" w:rsidR="00642E22" w:rsidRPr="00BD1319" w:rsidRDefault="00642E22" w:rsidP="00642E22">
      <w:pPr>
        <w:numPr>
          <w:ilvl w:val="0"/>
          <w:numId w:val="40"/>
        </w:numPr>
        <w:tabs>
          <w:tab w:val="left" w:pos="-2268"/>
        </w:tabs>
        <w:suppressAutoHyphens/>
        <w:ind w:left="567" w:hanging="567"/>
        <w:rPr>
          <w:spacing w:val="-3"/>
        </w:rPr>
      </w:pPr>
      <w:r w:rsidRPr="00BD1319">
        <w:rPr>
          <w:spacing w:val="-3"/>
        </w:rPr>
        <w:lastRenderedPageBreak/>
        <w:t>Análisis de riesgos.</w:t>
      </w:r>
    </w:p>
    <w:p w14:paraId="1E7F4A3E" w14:textId="77777777" w:rsidR="00642E22" w:rsidRPr="00BD1319" w:rsidRDefault="00642E22" w:rsidP="00642E22">
      <w:pPr>
        <w:numPr>
          <w:ilvl w:val="12"/>
          <w:numId w:val="0"/>
        </w:numPr>
        <w:tabs>
          <w:tab w:val="left" w:pos="-2268"/>
        </w:tabs>
        <w:suppressAutoHyphens/>
        <w:rPr>
          <w:spacing w:val="-3"/>
        </w:rPr>
      </w:pPr>
    </w:p>
    <w:p w14:paraId="144FF4E8" w14:textId="77777777" w:rsidR="00642E22" w:rsidRPr="00BD1319" w:rsidRDefault="00642E22" w:rsidP="00642E22">
      <w:pPr>
        <w:pStyle w:val="Prrafodelista"/>
        <w:tabs>
          <w:tab w:val="left" w:pos="-2268"/>
        </w:tabs>
        <w:suppressAutoHyphens/>
        <w:ind w:left="0"/>
        <w:rPr>
          <w:spacing w:val="-3"/>
        </w:rPr>
      </w:pPr>
      <w:r w:rsidRPr="00BD1319">
        <w:rPr>
          <w:spacing w:val="-3"/>
        </w:rPr>
        <w:t>Al finalizar cada jornada se debe dar un balance sintético de los temas abordados, de las inquietudes manifestadas y de los aportes recibidos; asimismo, se debe mencionar la forma en que se incorporarán en el DAA los acuerdos alcanzados durante el espacio y se debe señalar que las demás consideraciones, observaciones y aportes son sujetos de análisis para determinar su pertinencia.</w:t>
      </w:r>
    </w:p>
    <w:p w14:paraId="5A732D97" w14:textId="77777777" w:rsidR="00642E22" w:rsidRPr="00BD1319" w:rsidRDefault="00642E22" w:rsidP="00642E22">
      <w:pPr>
        <w:numPr>
          <w:ilvl w:val="12"/>
          <w:numId w:val="0"/>
        </w:numPr>
        <w:tabs>
          <w:tab w:val="left" w:pos="-2268"/>
        </w:tabs>
        <w:suppressAutoHyphens/>
        <w:rPr>
          <w:spacing w:val="-3"/>
        </w:rPr>
      </w:pPr>
    </w:p>
    <w:p w14:paraId="0FA8D45F" w14:textId="77777777" w:rsidR="00642E22" w:rsidRPr="00BD1319" w:rsidRDefault="00642E22" w:rsidP="00216955">
      <w:pPr>
        <w:pStyle w:val="Ttulo3"/>
      </w:pPr>
      <w:bookmarkStart w:id="1999" w:name="_Toc175326691"/>
      <w:r w:rsidRPr="00BD1319">
        <w:t>Análisis de resultados</w:t>
      </w:r>
      <w:bookmarkEnd w:id="1999"/>
    </w:p>
    <w:p w14:paraId="5AE8042C" w14:textId="77777777" w:rsidR="00642E22" w:rsidRPr="00BD1319" w:rsidRDefault="00642E22" w:rsidP="00642E22">
      <w:pPr>
        <w:rPr>
          <w:lang w:val="es-ES_tradnl"/>
        </w:rPr>
      </w:pPr>
    </w:p>
    <w:p w14:paraId="11F4E6A7" w14:textId="77777777" w:rsidR="00642E22" w:rsidRPr="00BD1319" w:rsidRDefault="00642E22" w:rsidP="00642E22">
      <w:pPr>
        <w:suppressAutoHyphens/>
        <w:overflowPunct/>
        <w:autoSpaceDE/>
        <w:autoSpaceDN/>
        <w:adjustRightInd/>
        <w:textAlignment w:val="auto"/>
        <w:rPr>
          <w:lang w:val="es-ES_tradnl"/>
        </w:rPr>
      </w:pPr>
      <w:r w:rsidRPr="00BD1319">
        <w:rPr>
          <w:lang w:val="es-ES_tradnl"/>
        </w:rPr>
        <w:t>En esta instancia del proceso la información obtenida en los espacios de diálogo se consolida, analiza e incorpora al DAA según su pertinencia dadas las características ambientales del área de estudio y las particularidades del proyecto, obra o actividad y sus alternativas.</w:t>
      </w:r>
      <w:r w:rsidRPr="00BD1319">
        <w:rPr>
          <w:spacing w:val="-3"/>
        </w:rPr>
        <w:t xml:space="preserve"> El análisis debe procurar mantener el contenido textual de las intervenciones y señalar la forma en que tales opiniones son interpretadas por el elaborador del estudio, así como </w:t>
      </w:r>
      <w:r w:rsidRPr="00BD1319">
        <w:rPr>
          <w:lang w:val="es-ES_tradnl"/>
        </w:rPr>
        <w:t xml:space="preserve">indicar cómo se insertan al DAA los </w:t>
      </w:r>
      <w:r w:rsidRPr="00BD1319">
        <w:rPr>
          <w:rFonts w:cs="Arial"/>
          <w:spacing w:val="-3"/>
        </w:rPr>
        <w:t xml:space="preserve">aportes y </w:t>
      </w:r>
      <w:r w:rsidRPr="00BD1319">
        <w:rPr>
          <w:lang w:val="es-ES_tradnl"/>
        </w:rPr>
        <w:t xml:space="preserve">acuerdos, </w:t>
      </w:r>
      <w:r w:rsidRPr="00BD1319">
        <w:rPr>
          <w:rFonts w:cs="Arial"/>
          <w:spacing w:val="-3"/>
        </w:rPr>
        <w:t>cuáles de éstos no se incorporan y las razones que llevaron a prescindir de tales insumos.</w:t>
      </w:r>
    </w:p>
    <w:p w14:paraId="7B413FE6" w14:textId="77777777" w:rsidR="00642E22" w:rsidRPr="00BD1319" w:rsidRDefault="00642E22" w:rsidP="00642E22">
      <w:pPr>
        <w:tabs>
          <w:tab w:val="left" w:pos="-2268"/>
        </w:tabs>
        <w:suppressAutoHyphens/>
        <w:overflowPunct/>
        <w:autoSpaceDE/>
        <w:autoSpaceDN/>
        <w:adjustRightInd/>
        <w:textAlignment w:val="auto"/>
        <w:rPr>
          <w:lang w:val="es-ES_tradnl"/>
        </w:rPr>
      </w:pPr>
    </w:p>
    <w:p w14:paraId="113D5358" w14:textId="77777777" w:rsidR="00642E22" w:rsidRPr="00BD1319" w:rsidRDefault="00642E22" w:rsidP="00642E22">
      <w:pPr>
        <w:overflowPunct/>
        <w:autoSpaceDE/>
        <w:autoSpaceDN/>
        <w:adjustRightInd/>
        <w:ind w:right="57"/>
        <w:textAlignment w:val="auto"/>
        <w:rPr>
          <w:rFonts w:cs="Arial"/>
        </w:rPr>
      </w:pPr>
      <w:r w:rsidRPr="00BD1319">
        <w:rPr>
          <w:rFonts w:cs="Arial"/>
        </w:rPr>
        <w:t>El análisis de resultados no sólo permite refinar los apartados del DAA sobre los que se consultó de forma directa (caracterización ambiental, determinación y valoración de impactos potenciales, análisis costo beneficio y análisis de riesgos), posibilita también complementar otros numerales como la zonificación ambiental y la evaluación y comparación de alternativas.</w:t>
      </w:r>
    </w:p>
    <w:p w14:paraId="78B302F3" w14:textId="77777777" w:rsidR="00642E22" w:rsidRPr="00BD1319" w:rsidRDefault="00642E22" w:rsidP="00642E22">
      <w:pPr>
        <w:overflowPunct/>
        <w:autoSpaceDE/>
        <w:autoSpaceDN/>
        <w:adjustRightInd/>
        <w:ind w:right="57"/>
        <w:textAlignment w:val="auto"/>
        <w:rPr>
          <w:rFonts w:cs="Arial"/>
        </w:rPr>
      </w:pPr>
    </w:p>
    <w:p w14:paraId="06851606" w14:textId="77777777" w:rsidR="00642E22" w:rsidRPr="00BD1319" w:rsidRDefault="00642E22" w:rsidP="00642E22">
      <w:pPr>
        <w:overflowPunct/>
        <w:autoSpaceDE/>
        <w:autoSpaceDN/>
        <w:adjustRightInd/>
        <w:ind w:right="57"/>
        <w:textAlignment w:val="auto"/>
        <w:rPr>
          <w:rFonts w:cs="Arial"/>
        </w:rPr>
      </w:pPr>
      <w:r w:rsidRPr="00BD1319">
        <w:rPr>
          <w:rFonts w:cs="Arial"/>
        </w:rPr>
        <w:t>Es importante que, a partir del análisis de resultados del primer encuentro de participación, se formule y aplique una estrategia de prevención de conflictos socioambientales que se ejecute durante lo que reste del proceso de elaboración del DAA, se mejore permanentemente según los resultados de cada espacio de participación y se emplee como insumo para que durante la elaboración del EIA se procure evitar este tipo de conflictos.</w:t>
      </w:r>
    </w:p>
    <w:p w14:paraId="3AAA8D77" w14:textId="77777777" w:rsidR="00642E22" w:rsidRPr="00BD1319" w:rsidRDefault="00642E22" w:rsidP="00642E22">
      <w:pPr>
        <w:rPr>
          <w:lang w:val="es-ES_tradnl"/>
        </w:rPr>
      </w:pPr>
    </w:p>
    <w:p w14:paraId="3C01EB4B" w14:textId="77777777" w:rsidR="00642E22" w:rsidRPr="00BD1319" w:rsidRDefault="00642E22" w:rsidP="00642E22">
      <w:pPr>
        <w:pStyle w:val="Ttulo2"/>
      </w:pPr>
      <w:bookmarkStart w:id="2000" w:name="_Toc175326692"/>
      <w:r w:rsidRPr="00BD1319">
        <w:t>SOPORTES Y EVIDENCIAS DEL PROCESO DE PARTICIPACIÓN</w:t>
      </w:r>
      <w:bookmarkEnd w:id="2000"/>
    </w:p>
    <w:p w14:paraId="30AC66A7" w14:textId="77777777" w:rsidR="00642E22" w:rsidRPr="00BD1319" w:rsidRDefault="00642E22" w:rsidP="00642E22">
      <w:pPr>
        <w:rPr>
          <w:lang w:val="es-ES_tradnl"/>
        </w:rPr>
      </w:pPr>
    </w:p>
    <w:p w14:paraId="60EAD64E" w14:textId="77777777" w:rsidR="00642E22" w:rsidRPr="00BD1319" w:rsidRDefault="00642E22" w:rsidP="00642E22">
      <w:pPr>
        <w:rPr>
          <w:lang w:val="es-ES_tradnl"/>
        </w:rPr>
      </w:pPr>
      <w:r w:rsidRPr="00BD1319">
        <w:rPr>
          <w:lang w:val="es-ES_tradnl"/>
        </w:rPr>
        <w:t xml:space="preserve">En aras de dar transparencia, trazabilidad y confianza al proceso de participación, </w:t>
      </w:r>
      <w:r w:rsidRPr="00BD1319">
        <w:rPr>
          <w:rFonts w:cs="Arial"/>
          <w:spacing w:val="-3"/>
        </w:rPr>
        <w:t>deben anexarse al EIA como mínimo los siguientes soportes.</w:t>
      </w:r>
    </w:p>
    <w:p w14:paraId="2C2C4CAC" w14:textId="77777777" w:rsidR="00642E22" w:rsidRPr="00BD1319" w:rsidRDefault="00642E22" w:rsidP="00642E22">
      <w:pPr>
        <w:rPr>
          <w:lang w:val="es-ES_tradnl"/>
        </w:rPr>
      </w:pPr>
    </w:p>
    <w:p w14:paraId="3A863043" w14:textId="77777777" w:rsidR="00642E22" w:rsidRPr="00BD1319" w:rsidRDefault="00642E22" w:rsidP="00642E22">
      <w:pPr>
        <w:pStyle w:val="Prrafodelista"/>
        <w:numPr>
          <w:ilvl w:val="0"/>
          <w:numId w:val="680"/>
        </w:numPr>
        <w:tabs>
          <w:tab w:val="left" w:pos="-2268"/>
        </w:tabs>
        <w:suppressAutoHyphens/>
        <w:ind w:left="567" w:hanging="567"/>
        <w:rPr>
          <w:spacing w:val="-3"/>
          <w:lang w:val="es-CO"/>
        </w:rPr>
      </w:pPr>
      <w:r w:rsidRPr="00BD1319">
        <w:rPr>
          <w:spacing w:val="-3"/>
          <w:lang w:val="es-CO"/>
        </w:rPr>
        <w:t>Correspondencia u otros soportes de los mecanismos empleados para realizar las convocatorias.</w:t>
      </w:r>
    </w:p>
    <w:p w14:paraId="48F642A5" w14:textId="77777777" w:rsidR="00642E22" w:rsidRPr="00BD1319" w:rsidRDefault="00642E22" w:rsidP="00642E22">
      <w:pPr>
        <w:tabs>
          <w:tab w:val="left" w:pos="-2268"/>
        </w:tabs>
        <w:suppressAutoHyphens/>
        <w:rPr>
          <w:spacing w:val="-3"/>
        </w:rPr>
      </w:pPr>
    </w:p>
    <w:p w14:paraId="2A6798A6" w14:textId="77777777" w:rsidR="00642E22" w:rsidRPr="00BD1319" w:rsidRDefault="00642E22" w:rsidP="00642E22">
      <w:pPr>
        <w:pStyle w:val="Prrafodelista"/>
        <w:numPr>
          <w:ilvl w:val="0"/>
          <w:numId w:val="680"/>
        </w:numPr>
        <w:tabs>
          <w:tab w:val="left" w:pos="-2268"/>
        </w:tabs>
        <w:suppressAutoHyphens/>
        <w:ind w:left="567" w:hanging="567"/>
      </w:pPr>
      <w:r w:rsidRPr="00BD1319">
        <w:rPr>
          <w:spacing w:val="-3"/>
          <w:lang w:val="es-CO"/>
        </w:rPr>
        <w:t xml:space="preserve">Actas y ayudas de memoria de las reuniones, talleres y demás espacios participativos. Estos documentos </w:t>
      </w:r>
      <w:r w:rsidRPr="00BD1319">
        <w:t>deben señalar por lo menos lo siguiente:</w:t>
      </w:r>
    </w:p>
    <w:p w14:paraId="6357D093" w14:textId="77777777" w:rsidR="00642E22" w:rsidRPr="00BD1319" w:rsidRDefault="00642E22" w:rsidP="00642E22">
      <w:pPr>
        <w:rPr>
          <w:lang w:val="es-ES_tradnl"/>
        </w:rPr>
      </w:pPr>
    </w:p>
    <w:p w14:paraId="3AE9810D" w14:textId="77777777" w:rsidR="00642E22" w:rsidRPr="00BD1319" w:rsidRDefault="00642E22" w:rsidP="00642E22">
      <w:pPr>
        <w:pStyle w:val="Prrafodelista"/>
        <w:numPr>
          <w:ilvl w:val="0"/>
          <w:numId w:val="363"/>
        </w:numPr>
        <w:ind w:left="1134" w:hanging="567"/>
        <w:rPr>
          <w:rFonts w:cs="Arial"/>
          <w:lang w:val="es-CO"/>
        </w:rPr>
      </w:pPr>
      <w:r w:rsidRPr="00BD1319">
        <w:rPr>
          <w:lang w:val="es-CO"/>
        </w:rPr>
        <w:t xml:space="preserve">Fecha </w:t>
      </w:r>
      <w:r w:rsidRPr="00BD1319">
        <w:rPr>
          <w:rFonts w:cs="Arial"/>
          <w:lang w:val="es-CO"/>
        </w:rPr>
        <w:t>y lugar de realización del evento.</w:t>
      </w:r>
    </w:p>
    <w:p w14:paraId="2B08ADE9" w14:textId="77777777" w:rsidR="00642E22" w:rsidRPr="00BD1319" w:rsidRDefault="00642E22" w:rsidP="00642E22"/>
    <w:p w14:paraId="0704837D" w14:textId="77777777" w:rsidR="00642E22" w:rsidRPr="00BD1319" w:rsidRDefault="00642E22" w:rsidP="00642E22">
      <w:pPr>
        <w:pStyle w:val="Prrafodelista"/>
        <w:numPr>
          <w:ilvl w:val="0"/>
          <w:numId w:val="363"/>
        </w:numPr>
        <w:ind w:left="1134" w:hanging="567"/>
        <w:rPr>
          <w:rFonts w:cs="Arial"/>
          <w:lang w:val="es-CO"/>
        </w:rPr>
      </w:pPr>
      <w:r w:rsidRPr="00BD1319">
        <w:rPr>
          <w:lang w:val="es-CO"/>
        </w:rPr>
        <w:t xml:space="preserve">Objetivo </w:t>
      </w:r>
      <w:r w:rsidRPr="00BD1319">
        <w:rPr>
          <w:rFonts w:cs="Arial"/>
          <w:lang w:val="es-CO"/>
        </w:rPr>
        <w:t>del espacio participativo.</w:t>
      </w:r>
    </w:p>
    <w:p w14:paraId="5334FC98" w14:textId="77777777" w:rsidR="00642E22" w:rsidRPr="00BD1319" w:rsidRDefault="00642E22" w:rsidP="00642E22">
      <w:pPr>
        <w:rPr>
          <w:rFonts w:cs="Arial"/>
        </w:rPr>
      </w:pPr>
    </w:p>
    <w:p w14:paraId="32CB372D" w14:textId="77777777" w:rsidR="00642E22" w:rsidRPr="00BD1319" w:rsidRDefault="00642E22" w:rsidP="00642E22">
      <w:pPr>
        <w:pStyle w:val="Prrafodelista"/>
        <w:numPr>
          <w:ilvl w:val="0"/>
          <w:numId w:val="363"/>
        </w:numPr>
        <w:ind w:left="1134" w:hanging="567"/>
        <w:rPr>
          <w:rFonts w:cs="Arial"/>
          <w:lang w:val="es-CO"/>
        </w:rPr>
      </w:pPr>
      <w:r w:rsidRPr="00BD1319">
        <w:rPr>
          <w:rFonts w:cs="Arial"/>
          <w:lang w:val="es-CO"/>
        </w:rPr>
        <w:t>Temas abordados.</w:t>
      </w:r>
    </w:p>
    <w:p w14:paraId="391078AA" w14:textId="77777777" w:rsidR="00642E22" w:rsidRPr="00BD1319" w:rsidRDefault="00642E22" w:rsidP="00642E22">
      <w:pPr>
        <w:rPr>
          <w:rFonts w:cs="Arial"/>
        </w:rPr>
      </w:pPr>
    </w:p>
    <w:p w14:paraId="47F1D7E4" w14:textId="77777777" w:rsidR="00642E22" w:rsidRPr="00BD1319" w:rsidRDefault="00642E22" w:rsidP="00642E22">
      <w:pPr>
        <w:pStyle w:val="Prrafodelista"/>
        <w:numPr>
          <w:ilvl w:val="0"/>
          <w:numId w:val="363"/>
        </w:numPr>
        <w:ind w:left="1134" w:hanging="567"/>
        <w:rPr>
          <w:rFonts w:cs="Arial"/>
          <w:lang w:val="es-CO"/>
        </w:rPr>
      </w:pPr>
      <w:r w:rsidRPr="00BD1319">
        <w:rPr>
          <w:rFonts w:cs="Arial"/>
          <w:lang w:val="es-CO"/>
        </w:rPr>
        <w:t>Inquietudes, comentarios, sugerencias o aportes de los participantes, así como las respuestas o aclaraciones realizadas por el equipo elaborador del estudio.</w:t>
      </w:r>
    </w:p>
    <w:p w14:paraId="23F42045" w14:textId="77777777" w:rsidR="00642E22" w:rsidRPr="00BD1319" w:rsidRDefault="00642E22" w:rsidP="00642E22">
      <w:pPr>
        <w:rPr>
          <w:rFonts w:cs="Arial"/>
        </w:rPr>
      </w:pPr>
    </w:p>
    <w:p w14:paraId="6786B3C2" w14:textId="77777777" w:rsidR="00642E22" w:rsidRPr="00BD1319" w:rsidRDefault="00642E22" w:rsidP="00642E22">
      <w:pPr>
        <w:pStyle w:val="Prrafodelista"/>
        <w:numPr>
          <w:ilvl w:val="0"/>
          <w:numId w:val="363"/>
        </w:numPr>
        <w:ind w:left="1134" w:hanging="567"/>
        <w:rPr>
          <w:rFonts w:cs="Arial"/>
          <w:lang w:val="es-CO"/>
        </w:rPr>
      </w:pPr>
      <w:r w:rsidRPr="00BD1319">
        <w:rPr>
          <w:rFonts w:cs="Arial"/>
          <w:lang w:val="es-CO"/>
        </w:rPr>
        <w:t>Compromisos adquiridos y acuerdos, si hay lugar a ello.</w:t>
      </w:r>
    </w:p>
    <w:p w14:paraId="35AAF843" w14:textId="77777777" w:rsidR="00642E22" w:rsidRPr="00BD1319" w:rsidRDefault="00642E22" w:rsidP="00642E22">
      <w:pPr>
        <w:rPr>
          <w:rFonts w:cs="Arial"/>
        </w:rPr>
      </w:pPr>
    </w:p>
    <w:p w14:paraId="7B02F38F" w14:textId="77777777" w:rsidR="00642E22" w:rsidRPr="00BD1319" w:rsidRDefault="00642E22" w:rsidP="00642E22">
      <w:pPr>
        <w:pStyle w:val="Prrafodelista"/>
        <w:numPr>
          <w:ilvl w:val="0"/>
          <w:numId w:val="363"/>
        </w:numPr>
        <w:ind w:left="1134" w:hanging="567"/>
        <w:rPr>
          <w:rFonts w:cs="Arial"/>
          <w:lang w:val="es-CO"/>
        </w:rPr>
      </w:pPr>
      <w:r w:rsidRPr="00BD1319">
        <w:rPr>
          <w:rFonts w:cs="Arial"/>
          <w:lang w:val="es-CO"/>
        </w:rPr>
        <w:t>Firma de los representantes de los grupos de interés, del delegado de la autoridad municipal, del Ministerio Público (Personería, Procuraduría, Defensoría del Pueblo) y del representante de la empresa responsable del proyecto, obra o actividad.</w:t>
      </w:r>
    </w:p>
    <w:p w14:paraId="3B46B142" w14:textId="77777777" w:rsidR="00642E22" w:rsidRPr="00BD1319" w:rsidRDefault="00642E22" w:rsidP="00642E22">
      <w:pPr>
        <w:rPr>
          <w:rFonts w:cs="Arial"/>
        </w:rPr>
      </w:pPr>
    </w:p>
    <w:p w14:paraId="220AF1A4" w14:textId="77777777" w:rsidR="00642E22" w:rsidRPr="00BD1319" w:rsidRDefault="00642E22" w:rsidP="00642E22">
      <w:pPr>
        <w:pStyle w:val="Prrafodelista"/>
        <w:ind w:left="1134"/>
        <w:rPr>
          <w:rFonts w:cs="Arial"/>
          <w:lang w:val="es-CO"/>
        </w:rPr>
      </w:pPr>
      <w:r w:rsidRPr="00BD1319">
        <w:rPr>
          <w:rFonts w:cs="Arial"/>
          <w:lang w:val="es-CO"/>
        </w:rPr>
        <w:t xml:space="preserve">Esto </w:t>
      </w:r>
      <w:r w:rsidRPr="00BD1319">
        <w:rPr>
          <w:lang w:val="es-CO"/>
        </w:rPr>
        <w:t>no es exigible en los casos en que los representantes de los grupos de interés se abstengan de firmar o cuando no hagan presencia las autoridades señaladas. En ambos casos se dejará constancia en el acta; cuando los representantes de los grupos de interés se abstengan de firmar, es posible emplear como respaldo las firmas del representante de la autoridad municipal o del Ministerio público que asistan a la reunión.</w:t>
      </w:r>
    </w:p>
    <w:p w14:paraId="18E4F10E" w14:textId="77777777" w:rsidR="00642E22" w:rsidRPr="00BD1319" w:rsidRDefault="00642E22" w:rsidP="00642E22">
      <w:pPr>
        <w:tabs>
          <w:tab w:val="left" w:pos="-2268"/>
        </w:tabs>
        <w:suppressAutoHyphens/>
        <w:rPr>
          <w:spacing w:val="-3"/>
        </w:rPr>
      </w:pPr>
    </w:p>
    <w:p w14:paraId="22005CB6" w14:textId="77777777" w:rsidR="00642E22" w:rsidRPr="00BD1319" w:rsidRDefault="00642E22" w:rsidP="00642E22">
      <w:pPr>
        <w:numPr>
          <w:ilvl w:val="12"/>
          <w:numId w:val="0"/>
        </w:numPr>
        <w:tabs>
          <w:tab w:val="left" w:pos="-2268"/>
        </w:tabs>
        <w:suppressAutoHyphens/>
        <w:ind w:left="567"/>
        <w:rPr>
          <w:spacing w:val="-3"/>
        </w:rPr>
      </w:pPr>
      <w:r w:rsidRPr="00BD1319">
        <w:rPr>
          <w:spacing w:val="-3"/>
        </w:rPr>
        <w:t xml:space="preserve">Es necesario que las actas </w:t>
      </w:r>
      <w:r w:rsidRPr="00BD1319">
        <w:rPr>
          <w:rFonts w:cs="Arial"/>
          <w:spacing w:val="-3"/>
        </w:rPr>
        <w:t>y demás soportes</w:t>
      </w:r>
      <w:r w:rsidRPr="00BD1319">
        <w:rPr>
          <w:spacing w:val="-3"/>
        </w:rPr>
        <w:t xml:space="preserve"> sean elaborados </w:t>
      </w:r>
      <w:r w:rsidRPr="00BD1319">
        <w:rPr>
          <w:i/>
          <w:spacing w:val="-3"/>
        </w:rPr>
        <w:t>in situ</w:t>
      </w:r>
      <w:r w:rsidRPr="00BD1319">
        <w:rPr>
          <w:spacing w:val="-3"/>
        </w:rPr>
        <w:t>, con letra y redacción clara y legible, de manera que puedan ser suscritos por sus participantes y entregados a las autoridades presentes y a los representantes de los grupos de interés una vez finalicen los espacios para los cuales se elaboran.</w:t>
      </w:r>
    </w:p>
    <w:p w14:paraId="02F1758F" w14:textId="77777777" w:rsidR="00642E22" w:rsidRPr="00BD1319" w:rsidRDefault="00642E22" w:rsidP="00642E22">
      <w:pPr>
        <w:numPr>
          <w:ilvl w:val="12"/>
          <w:numId w:val="0"/>
        </w:numPr>
        <w:tabs>
          <w:tab w:val="left" w:pos="-2268"/>
        </w:tabs>
        <w:suppressAutoHyphens/>
        <w:rPr>
          <w:spacing w:val="-3"/>
        </w:rPr>
      </w:pPr>
    </w:p>
    <w:p w14:paraId="04378E59" w14:textId="77777777" w:rsidR="00642E22" w:rsidRPr="00BD1319" w:rsidRDefault="00642E22" w:rsidP="00642E22">
      <w:pPr>
        <w:numPr>
          <w:ilvl w:val="12"/>
          <w:numId w:val="0"/>
        </w:numPr>
        <w:tabs>
          <w:tab w:val="left" w:pos="-2268"/>
        </w:tabs>
        <w:suppressAutoHyphens/>
        <w:ind w:left="567"/>
        <w:rPr>
          <w:spacing w:val="-3"/>
        </w:rPr>
      </w:pPr>
      <w:r w:rsidRPr="00BD1319">
        <w:rPr>
          <w:spacing w:val="-3"/>
        </w:rPr>
        <w:t>Solo en caso excepcional, cuando se presente alguna situación que impida la entrega inmediata de estos soportes se tiene un plazo máximo de 2 días posterior a la reunión o actividad para su entrega, previo acuerdo entre las partes.</w:t>
      </w:r>
    </w:p>
    <w:p w14:paraId="625CA3EE" w14:textId="77777777" w:rsidR="00642E22" w:rsidRPr="00BD1319" w:rsidRDefault="00642E22" w:rsidP="00642E22">
      <w:pPr>
        <w:tabs>
          <w:tab w:val="left" w:pos="-2268"/>
        </w:tabs>
        <w:suppressAutoHyphens/>
        <w:rPr>
          <w:spacing w:val="-3"/>
        </w:rPr>
      </w:pPr>
    </w:p>
    <w:p w14:paraId="1709C9C1" w14:textId="77777777" w:rsidR="00642E22" w:rsidRPr="00BD1319" w:rsidRDefault="00642E22" w:rsidP="00642E22">
      <w:pPr>
        <w:pStyle w:val="Prrafodelista"/>
        <w:numPr>
          <w:ilvl w:val="0"/>
          <w:numId w:val="680"/>
        </w:numPr>
        <w:tabs>
          <w:tab w:val="left" w:pos="-2268"/>
        </w:tabs>
        <w:suppressAutoHyphens/>
        <w:ind w:left="567" w:hanging="567"/>
        <w:rPr>
          <w:spacing w:val="-3"/>
        </w:rPr>
      </w:pPr>
      <w:r w:rsidRPr="00BD1319">
        <w:rPr>
          <w:spacing w:val="-3"/>
        </w:rPr>
        <w:t>Listados de asistencia o soportes documentales pertinentes que evidencien a qué grupo de interés pertenece cada participante</w:t>
      </w:r>
      <w:r w:rsidRPr="00BD1319">
        <w:rPr>
          <w:spacing w:val="-3"/>
          <w:lang w:val="es-CO"/>
        </w:rPr>
        <w:t xml:space="preserve"> y descripción de las personas </w:t>
      </w:r>
      <w:r w:rsidRPr="00BD1319">
        <w:rPr>
          <w:spacing w:val="-3"/>
          <w:lang w:val="es-CO"/>
        </w:rPr>
        <w:lastRenderedPageBreak/>
        <w:t>participantes con carácter de enfoque diferencial que señale los sectores sociales a los cuales pertenecen, representantes de organizaciones, instancias de participación, entre otras.</w:t>
      </w:r>
    </w:p>
    <w:p w14:paraId="6D8DB5AC" w14:textId="77777777" w:rsidR="00642E22" w:rsidRPr="00BD1319" w:rsidRDefault="00642E22" w:rsidP="00642E22">
      <w:pPr>
        <w:tabs>
          <w:tab w:val="left" w:pos="-2268"/>
        </w:tabs>
        <w:suppressAutoHyphens/>
        <w:rPr>
          <w:spacing w:val="-3"/>
        </w:rPr>
      </w:pPr>
    </w:p>
    <w:p w14:paraId="707F690A" w14:textId="14B321CF" w:rsidR="00642E22" w:rsidRPr="00BD1319" w:rsidRDefault="00642E22" w:rsidP="00642E22">
      <w:pPr>
        <w:pStyle w:val="Prrafodelista"/>
        <w:numPr>
          <w:ilvl w:val="0"/>
          <w:numId w:val="680"/>
        </w:numPr>
        <w:tabs>
          <w:tab w:val="left" w:pos="-2268"/>
        </w:tabs>
        <w:suppressAutoHyphens/>
        <w:ind w:left="567" w:hanging="567"/>
        <w:rPr>
          <w:spacing w:val="-3"/>
          <w:lang w:val="es-CO"/>
        </w:rPr>
      </w:pPr>
      <w:r w:rsidRPr="00BD1319">
        <w:rPr>
          <w:spacing w:val="-3"/>
          <w:lang w:val="es-CO"/>
        </w:rPr>
        <w:t>Registro fotográfico, de audio o de video, preferiblemente, que evidencie fecha y coordenadas del lugar del evento con el cumplimiento de las leyes de protección y manejo de datos que determinan la utilización y administración de datos personales.</w:t>
      </w:r>
    </w:p>
    <w:p w14:paraId="62ED91A7" w14:textId="77777777" w:rsidR="00642E22" w:rsidRPr="00BD1319" w:rsidRDefault="00642E22" w:rsidP="00642E22">
      <w:pPr>
        <w:rPr>
          <w:lang w:val="es-ES_tradnl"/>
        </w:rPr>
      </w:pPr>
    </w:p>
    <w:p w14:paraId="4EF99899" w14:textId="77777777" w:rsidR="00642E22" w:rsidRPr="00BD1319" w:rsidRDefault="00642E22" w:rsidP="00642E22">
      <w:pPr>
        <w:pStyle w:val="Ttulo2"/>
        <w:rPr>
          <w:bCs/>
          <w:spacing w:val="-3"/>
        </w:rPr>
      </w:pPr>
      <w:bookmarkStart w:id="2001" w:name="_Toc175326693"/>
      <w:r w:rsidRPr="00BD1319">
        <w:rPr>
          <w:spacing w:val="-3"/>
        </w:rPr>
        <w:t>MECANISMOS VIRTUALES PARA LA PARTICIPACIÓN</w:t>
      </w:r>
      <w:bookmarkEnd w:id="2001"/>
    </w:p>
    <w:p w14:paraId="585FF2C2" w14:textId="77777777" w:rsidR="00642E22" w:rsidRPr="00BD1319" w:rsidRDefault="00642E22" w:rsidP="00642E22">
      <w:pPr>
        <w:numPr>
          <w:ilvl w:val="12"/>
          <w:numId w:val="0"/>
        </w:numPr>
        <w:tabs>
          <w:tab w:val="left" w:pos="-2268"/>
        </w:tabs>
        <w:suppressAutoHyphens/>
        <w:rPr>
          <w:spacing w:val="-3"/>
        </w:rPr>
      </w:pPr>
    </w:p>
    <w:p w14:paraId="73F0D9C2" w14:textId="3724BE4B" w:rsidR="00642E22" w:rsidRPr="00BD1319" w:rsidRDefault="00642E22" w:rsidP="00642E22">
      <w:pPr>
        <w:overflowPunct/>
        <w:autoSpaceDE/>
        <w:autoSpaceDN/>
        <w:adjustRightInd/>
      </w:pPr>
      <w:r w:rsidRPr="00BD1319">
        <w:t xml:space="preserve">Es posible ejecutar el proceso de participación </w:t>
      </w:r>
      <w:r w:rsidRPr="00BD1319">
        <w:rPr>
          <w:rFonts w:cs="Arial"/>
          <w:lang w:eastAsia="es-CO"/>
        </w:rPr>
        <w:t>empleando</w:t>
      </w:r>
      <w:r w:rsidRPr="00BD1319">
        <w:t xml:space="preserve"> mecanismos virtuales, siempre y cuando se demuestre que todas las personas o grupos </w:t>
      </w:r>
      <w:r w:rsidRPr="00BD1319">
        <w:rPr>
          <w:rFonts w:cs="Arial"/>
          <w:lang w:eastAsia="es-CO"/>
        </w:rPr>
        <w:t>de interés a los cuales se dirigen tales mecanismos</w:t>
      </w:r>
      <w:r w:rsidRPr="00BD1319">
        <w:t xml:space="preserve"> disponen de los medios logísticos y tecnológicos que garantizan una participación ambiental efectiva. Estos </w:t>
      </w:r>
      <w:r w:rsidRPr="00BD1319">
        <w:rPr>
          <w:rFonts w:cs="Arial"/>
          <w:lang w:eastAsia="es-CO"/>
        </w:rPr>
        <w:t>mecanismos</w:t>
      </w:r>
      <w:r w:rsidRPr="00BD1319">
        <w:t xml:space="preserve"> incluyen las tecnologías de la información y las comunicaciones (TIC), las cuales de acuerdo con la Ley 1978 de 2019 o aquella que la modifique o sustituya, comprenden el conjunto de recursos, herramientas, equipos, programas informáticos, aplicaciones, redes y medios que permiten la compilación, procesamiento, almacenamiento, transmisión de información como voz, datos, texto, video e imágenes.</w:t>
      </w:r>
    </w:p>
    <w:p w14:paraId="79DEED25" w14:textId="77777777" w:rsidR="00642E22" w:rsidRPr="00BD1319" w:rsidRDefault="00642E22" w:rsidP="00642E22">
      <w:pPr>
        <w:numPr>
          <w:ilvl w:val="12"/>
          <w:numId w:val="0"/>
        </w:numPr>
        <w:tabs>
          <w:tab w:val="left" w:pos="-2268"/>
        </w:tabs>
        <w:suppressAutoHyphens/>
        <w:rPr>
          <w:spacing w:val="-3"/>
        </w:rPr>
      </w:pPr>
    </w:p>
    <w:p w14:paraId="783CA670" w14:textId="77777777" w:rsidR="00642E22" w:rsidRPr="00BD1319" w:rsidRDefault="00642E22" w:rsidP="00642E22">
      <w:pPr>
        <w:numPr>
          <w:ilvl w:val="12"/>
          <w:numId w:val="0"/>
        </w:numPr>
        <w:tabs>
          <w:tab w:val="left" w:pos="-2268"/>
        </w:tabs>
        <w:suppressAutoHyphens/>
        <w:rPr>
          <w:spacing w:val="-3"/>
        </w:rPr>
      </w:pPr>
      <w:r w:rsidRPr="00BD1319">
        <w:rPr>
          <w:spacing w:val="-3"/>
        </w:rPr>
        <w:t>Si se plantea incorporar al proceso de participación pública mecanismos virtuales, además de dar cumplimiento a los propósitos de la participación y a los lineamientos que se señalaron previamente para su implementación, es necesario garantizar lo siguiente:</w:t>
      </w:r>
    </w:p>
    <w:p w14:paraId="49CA1C96" w14:textId="77777777" w:rsidR="00642E22" w:rsidRPr="00BD1319" w:rsidRDefault="00642E22" w:rsidP="00642E22">
      <w:pPr>
        <w:numPr>
          <w:ilvl w:val="12"/>
          <w:numId w:val="0"/>
        </w:numPr>
        <w:tabs>
          <w:tab w:val="left" w:pos="-2268"/>
        </w:tabs>
        <w:suppressAutoHyphens/>
        <w:rPr>
          <w:spacing w:val="-3"/>
        </w:rPr>
      </w:pPr>
    </w:p>
    <w:p w14:paraId="69B770BE" w14:textId="77777777" w:rsidR="00642E22" w:rsidRPr="00BD1319" w:rsidRDefault="00642E22" w:rsidP="00642E22">
      <w:pPr>
        <w:pStyle w:val="Prrafodelista"/>
        <w:numPr>
          <w:ilvl w:val="0"/>
          <w:numId w:val="680"/>
        </w:numPr>
        <w:tabs>
          <w:tab w:val="left" w:pos="-2268"/>
        </w:tabs>
        <w:suppressAutoHyphens/>
        <w:ind w:left="567" w:hanging="567"/>
        <w:rPr>
          <w:spacing w:val="-3"/>
          <w:lang w:val="es-CO"/>
        </w:rPr>
      </w:pPr>
      <w:r w:rsidRPr="00BD1319">
        <w:rPr>
          <w:spacing w:val="-3"/>
          <w:lang w:val="es-CO"/>
        </w:rPr>
        <w:t>Disponibilidad tecnológica con acceso gratuito para los grupos de interés del área de estudio a los cuales se dirigen estos mecanismos, a plataformas digitales que tengan la capacidad de establecer comunicación visual y oral simultánea y que posibiliten la participación ambiental efectiva.</w:t>
      </w:r>
    </w:p>
    <w:p w14:paraId="3D6D2973" w14:textId="77777777" w:rsidR="00642E22" w:rsidRPr="00BD1319" w:rsidRDefault="00642E22" w:rsidP="00642E22">
      <w:pPr>
        <w:overflowPunct/>
        <w:autoSpaceDE/>
        <w:autoSpaceDN/>
        <w:adjustRightInd/>
        <w:ind w:left="567" w:hanging="567"/>
      </w:pPr>
    </w:p>
    <w:p w14:paraId="1FDC075B" w14:textId="77777777" w:rsidR="00642E22" w:rsidRPr="00BD1319" w:rsidRDefault="00642E22" w:rsidP="00642E22">
      <w:pPr>
        <w:pStyle w:val="Prrafodelista"/>
        <w:numPr>
          <w:ilvl w:val="0"/>
          <w:numId w:val="680"/>
        </w:numPr>
        <w:tabs>
          <w:tab w:val="left" w:pos="-2268"/>
        </w:tabs>
        <w:suppressAutoHyphens/>
        <w:ind w:left="567" w:hanging="567"/>
        <w:rPr>
          <w:spacing w:val="-3"/>
          <w:lang w:val="es-CO"/>
        </w:rPr>
      </w:pPr>
      <w:r w:rsidRPr="00BD1319">
        <w:rPr>
          <w:spacing w:val="-3"/>
          <w:lang w:val="es-CO"/>
        </w:rPr>
        <w:t>Aplicación de una convocatoria adecuada y oportuna que permita garantizar una participación amplia e inclusiva de conformidad con los medios tecnológicos a ser utilizados.</w:t>
      </w:r>
    </w:p>
    <w:p w14:paraId="5712FB15" w14:textId="77777777" w:rsidR="00642E22" w:rsidRPr="00BD1319" w:rsidRDefault="00642E22" w:rsidP="00642E22">
      <w:pPr>
        <w:overflowPunct/>
        <w:autoSpaceDE/>
        <w:autoSpaceDN/>
        <w:adjustRightInd/>
        <w:ind w:left="567" w:hanging="567"/>
      </w:pPr>
    </w:p>
    <w:p w14:paraId="0E374A58" w14:textId="77777777" w:rsidR="00642E22" w:rsidRPr="00BD1319" w:rsidRDefault="00642E22" w:rsidP="00642E22">
      <w:pPr>
        <w:pStyle w:val="Prrafodelista"/>
        <w:numPr>
          <w:ilvl w:val="0"/>
          <w:numId w:val="680"/>
        </w:numPr>
        <w:tabs>
          <w:tab w:val="left" w:pos="-2268"/>
        </w:tabs>
        <w:suppressAutoHyphens/>
        <w:ind w:left="567" w:hanging="567"/>
        <w:rPr>
          <w:spacing w:val="-3"/>
          <w:lang w:val="es-CO"/>
        </w:rPr>
      </w:pPr>
      <w:r w:rsidRPr="00BD1319">
        <w:rPr>
          <w:spacing w:val="-3"/>
          <w:lang w:val="es-CO"/>
        </w:rPr>
        <w:t xml:space="preserve">Acceso a la información relacionada con el proyecto, obra o actividad y con el EIA, ya sea mediante fuentes digitales o físicas, que permitan una participación informada. Adicionalmente, se deben desarrollar piezas pedagógicas que </w:t>
      </w:r>
      <w:r w:rsidRPr="00BD1319">
        <w:rPr>
          <w:spacing w:val="-3"/>
          <w:lang w:val="es-CO"/>
        </w:rPr>
        <w:lastRenderedPageBreak/>
        <w:t>aborden con rigor técnico y lenguaje sencillo los contenidos del estudio ambiental.</w:t>
      </w:r>
    </w:p>
    <w:p w14:paraId="7A2BD327" w14:textId="77777777" w:rsidR="00642E22" w:rsidRPr="00BD1319" w:rsidRDefault="00642E22" w:rsidP="00642E22">
      <w:pPr>
        <w:overflowPunct/>
        <w:autoSpaceDE/>
        <w:autoSpaceDN/>
        <w:adjustRightInd/>
        <w:ind w:left="567" w:hanging="567"/>
      </w:pPr>
    </w:p>
    <w:p w14:paraId="7E50806A" w14:textId="77777777" w:rsidR="00642E22" w:rsidRPr="00BD1319" w:rsidRDefault="00642E22" w:rsidP="00642E22">
      <w:pPr>
        <w:pStyle w:val="Prrafodelista"/>
        <w:numPr>
          <w:ilvl w:val="0"/>
          <w:numId w:val="680"/>
        </w:numPr>
        <w:tabs>
          <w:tab w:val="left" w:pos="-2268"/>
        </w:tabs>
        <w:suppressAutoHyphens/>
        <w:ind w:left="567" w:hanging="567"/>
        <w:rPr>
          <w:spacing w:val="-3"/>
          <w:lang w:val="es-CO"/>
        </w:rPr>
      </w:pPr>
      <w:r w:rsidRPr="00BD1319">
        <w:rPr>
          <w:spacing w:val="-3"/>
          <w:lang w:val="es-CO"/>
        </w:rPr>
        <w:t>Desarrollo de un diálogo genuino en doble vía con garantía de intervención de los participantes, en donde los grupos de interés del área de estudio puedan exponer sus opiniones y argumentaciones sin intermediario alguno y de manera directa, con posibilidades reales de incidir en las decisiones que se adopten y de obtener retroalimentación.</w:t>
      </w:r>
    </w:p>
    <w:p w14:paraId="715B6F72" w14:textId="77777777" w:rsidR="00642E22" w:rsidRPr="00BD1319" w:rsidRDefault="00642E22" w:rsidP="00642E22">
      <w:pPr>
        <w:tabs>
          <w:tab w:val="left" w:pos="-2268"/>
        </w:tabs>
        <w:suppressAutoHyphens/>
        <w:jc w:val="left"/>
        <w:rPr>
          <w:rFonts w:cs="Arial"/>
          <w:lang w:eastAsia="es-CO"/>
        </w:rPr>
      </w:pPr>
    </w:p>
    <w:p w14:paraId="5BCF5BE1" w14:textId="77777777" w:rsidR="00642E22" w:rsidRPr="00BD1319" w:rsidRDefault="00642E22" w:rsidP="00642E22">
      <w:pPr>
        <w:tabs>
          <w:tab w:val="left" w:pos="5685"/>
        </w:tabs>
        <w:rPr>
          <w:rFonts w:cs="Arial"/>
        </w:rPr>
      </w:pPr>
      <w:r w:rsidRPr="00BD1319">
        <w:rPr>
          <w:rFonts w:cs="Arial"/>
        </w:rPr>
        <w:t>El cumplimiento</w:t>
      </w:r>
      <w:r w:rsidRPr="00BD1319">
        <w:rPr>
          <w:lang w:val="es-ES_tradnl"/>
        </w:rPr>
        <w:t xml:space="preserve"> de </w:t>
      </w:r>
      <w:r w:rsidRPr="00BD1319">
        <w:rPr>
          <w:rFonts w:cs="Arial"/>
        </w:rPr>
        <w:t>estas condiciones y la consideración de complementariedad entre diferentes tecnologías deben permitir que la participación de los grupos de interés del área de estudio del proyecto, obra o actividad a los cuales se dirigen estos mecanismos, se materialice en la posibilidad de intervenir e incidir en la elaboración del EIA y en las decisiones que puedan afectarlos.</w:t>
      </w:r>
    </w:p>
    <w:p w14:paraId="3D049D22" w14:textId="77777777" w:rsidR="00642E22" w:rsidRPr="00BD1319" w:rsidRDefault="00642E22" w:rsidP="00642E22">
      <w:pPr>
        <w:tabs>
          <w:tab w:val="left" w:pos="5685"/>
        </w:tabs>
        <w:rPr>
          <w:rFonts w:cs="Arial"/>
        </w:rPr>
      </w:pPr>
    </w:p>
    <w:p w14:paraId="750CE562" w14:textId="77777777" w:rsidR="00642E22" w:rsidRPr="00BD1319" w:rsidRDefault="00642E22" w:rsidP="00642E22">
      <w:pPr>
        <w:rPr>
          <w:rFonts w:cs="Century Gothic"/>
        </w:rPr>
      </w:pPr>
      <w:r w:rsidRPr="00BD1319">
        <w:t xml:space="preserve">De </w:t>
      </w:r>
      <w:r w:rsidRPr="00BD1319">
        <w:rPr>
          <w:rFonts w:cs="Arial"/>
        </w:rPr>
        <w:t>igual manera, se deben tener en cuenta las habilidades de los grupos de interés para el uso de las TIC, identificando las capacidades que requieren ser fortalecidas a fin de que puedan participar e interactuar de forma eficaz y de que se reduzca la brecha digital</w:t>
      </w:r>
      <w:r w:rsidRPr="00BD1319">
        <w:t xml:space="preserve">; por lo cual y en caso de requerirse, </w:t>
      </w:r>
      <w:r w:rsidRPr="00BD1319">
        <w:rPr>
          <w:spacing w:val="-3"/>
        </w:rPr>
        <w:t>se debe suministrar la formación para el uso de mecanismos virtuales para la participación</w:t>
      </w:r>
      <w:r w:rsidRPr="00BD1319">
        <w:rPr>
          <w:rFonts w:cs="Arial"/>
        </w:rPr>
        <w:t xml:space="preserve">. </w:t>
      </w:r>
      <w:r w:rsidRPr="00BD1319">
        <w:t>Asimismo, se debe acordar con los grupos de interés la implementación del uso de estos mecanismos virtuales</w:t>
      </w:r>
      <w:r w:rsidRPr="00BD1319">
        <w:rPr>
          <w:rFonts w:cs="Arial"/>
        </w:rPr>
        <w:t>.</w:t>
      </w:r>
    </w:p>
    <w:p w14:paraId="0AC8DE1C" w14:textId="77777777" w:rsidR="00642E22" w:rsidRPr="00BD1319" w:rsidRDefault="00642E22" w:rsidP="00642E22">
      <w:pPr>
        <w:rPr>
          <w:rFonts w:ascii="Times New Roman" w:hAnsi="Times New Roman"/>
          <w:lang w:eastAsia="es-CO"/>
        </w:rPr>
      </w:pPr>
    </w:p>
    <w:p w14:paraId="56FD953D" w14:textId="77777777" w:rsidR="00642E22" w:rsidRPr="00BD1319" w:rsidRDefault="00642E22" w:rsidP="00642E22">
      <w:pPr>
        <w:numPr>
          <w:ilvl w:val="12"/>
          <w:numId w:val="0"/>
        </w:numPr>
        <w:tabs>
          <w:tab w:val="left" w:pos="-2268"/>
        </w:tabs>
        <w:suppressAutoHyphens/>
        <w:rPr>
          <w:spacing w:val="-3"/>
        </w:rPr>
      </w:pPr>
      <w:r w:rsidRPr="00BD1319">
        <w:rPr>
          <w:spacing w:val="-3"/>
        </w:rPr>
        <w:t>A fin de documentar el proceso de participación para la elaboración del DAA, en el caso de uso de mecanismos virtuales, se deben generar e incluir las evidencias que den cuenta del proceso de participación, de acuerdo con los lineamientos señalados anteriormente sobre este aspecto.</w:t>
      </w:r>
    </w:p>
    <w:p w14:paraId="67D2D7EF" w14:textId="77777777" w:rsidR="00F97C5C" w:rsidRPr="00BD1319" w:rsidRDefault="00F97C5C">
      <w:pPr>
        <w:numPr>
          <w:ilvl w:val="12"/>
          <w:numId w:val="0"/>
        </w:numPr>
        <w:tabs>
          <w:tab w:val="left" w:pos="-2268"/>
        </w:tabs>
        <w:suppressAutoHyphens/>
        <w:rPr>
          <w:spacing w:val="-3"/>
        </w:rPr>
      </w:pPr>
    </w:p>
    <w:p w14:paraId="60CD826E" w14:textId="77777777" w:rsidR="00DF6D4D" w:rsidRPr="00BD1319" w:rsidRDefault="00DF6D4D">
      <w:pPr>
        <w:numPr>
          <w:ilvl w:val="12"/>
          <w:numId w:val="0"/>
        </w:numPr>
        <w:tabs>
          <w:tab w:val="left" w:pos="-2268"/>
        </w:tabs>
        <w:suppressAutoHyphens/>
        <w:rPr>
          <w:spacing w:val="-3"/>
        </w:rPr>
      </w:pPr>
    </w:p>
    <w:p w14:paraId="6DF048AD" w14:textId="7578F7E9" w:rsidR="00F97C5C" w:rsidRPr="00BD1319" w:rsidRDefault="00F97C5C" w:rsidP="00CB4557">
      <w:pPr>
        <w:pStyle w:val="Ttulo1"/>
        <w:numPr>
          <w:ilvl w:val="0"/>
          <w:numId w:val="8"/>
        </w:numPr>
        <w:rPr>
          <w:lang w:val="es-CO"/>
        </w:rPr>
      </w:pPr>
      <w:bookmarkStart w:id="2002" w:name="_Toc437935977"/>
      <w:bookmarkStart w:id="2003" w:name="_Ref495933267"/>
      <w:bookmarkStart w:id="2004" w:name="_Ref515428658"/>
      <w:bookmarkStart w:id="2005" w:name="_Ref515428674"/>
      <w:bookmarkStart w:id="2006" w:name="_Toc42552213"/>
      <w:bookmarkStart w:id="2007" w:name="_Toc175326694"/>
      <w:r w:rsidRPr="00BD1319">
        <w:rPr>
          <w:lang w:val="es-CO"/>
        </w:rPr>
        <w:t>CARACTERIZACIÓN DEL ÁREA DE ESTUDIO</w:t>
      </w:r>
      <w:bookmarkEnd w:id="2002"/>
      <w:bookmarkEnd w:id="2003"/>
      <w:bookmarkEnd w:id="2004"/>
      <w:bookmarkEnd w:id="2005"/>
      <w:bookmarkEnd w:id="2006"/>
      <w:bookmarkEnd w:id="2007"/>
    </w:p>
    <w:p w14:paraId="362106BD" w14:textId="77777777" w:rsidR="00F97C5C" w:rsidRPr="00BD1319" w:rsidRDefault="00F97C5C">
      <w:pPr>
        <w:numPr>
          <w:ilvl w:val="12"/>
          <w:numId w:val="0"/>
        </w:numPr>
        <w:tabs>
          <w:tab w:val="left" w:pos="-2268"/>
        </w:tabs>
        <w:suppressAutoHyphens/>
        <w:rPr>
          <w:spacing w:val="-3"/>
        </w:rPr>
      </w:pPr>
    </w:p>
    <w:p w14:paraId="31579B41" w14:textId="541AF989" w:rsidR="00F86F9A" w:rsidRPr="00BD1319" w:rsidRDefault="00F038C0">
      <w:pPr>
        <w:numPr>
          <w:ilvl w:val="12"/>
          <w:numId w:val="0"/>
        </w:numPr>
        <w:tabs>
          <w:tab w:val="left" w:pos="-2268"/>
        </w:tabs>
        <w:suppressAutoHyphens/>
        <w:rPr>
          <w:spacing w:val="-3"/>
        </w:rPr>
      </w:pPr>
      <w:r w:rsidRPr="00BD1319">
        <w:rPr>
          <w:spacing w:val="-3"/>
        </w:rPr>
        <w:t>En e</w:t>
      </w:r>
      <w:r w:rsidR="00F97C5C" w:rsidRPr="00BD1319">
        <w:rPr>
          <w:spacing w:val="-3"/>
        </w:rPr>
        <w:t xml:space="preserve">ste numeral del DAA </w:t>
      </w:r>
      <w:r w:rsidRPr="00BD1319">
        <w:rPr>
          <w:spacing w:val="-3"/>
        </w:rPr>
        <w:t xml:space="preserve">se deben </w:t>
      </w:r>
      <w:r w:rsidR="00F97C5C" w:rsidRPr="00BD1319">
        <w:rPr>
          <w:spacing w:val="-3"/>
        </w:rPr>
        <w:t xml:space="preserve">describir las características ambientales del área de estudio, </w:t>
      </w:r>
      <w:r w:rsidRPr="00BD1319">
        <w:rPr>
          <w:spacing w:val="-3"/>
        </w:rPr>
        <w:t xml:space="preserve">señalando </w:t>
      </w:r>
      <w:r w:rsidR="00F97C5C" w:rsidRPr="00BD1319">
        <w:rPr>
          <w:spacing w:val="-3"/>
        </w:rPr>
        <w:t xml:space="preserve">las particularidades de cada uno de los </w:t>
      </w:r>
      <w:r w:rsidR="000D18EE" w:rsidRPr="00BD1319">
        <w:rPr>
          <w:spacing w:val="-3"/>
        </w:rPr>
        <w:t xml:space="preserve">factores </w:t>
      </w:r>
      <w:r w:rsidR="003A01FD" w:rsidRPr="00BD1319">
        <w:rPr>
          <w:spacing w:val="-3"/>
        </w:rPr>
        <w:t>de los</w:t>
      </w:r>
      <w:r w:rsidR="000D18EE" w:rsidRPr="00BD1319">
        <w:rPr>
          <w:spacing w:val="-3"/>
        </w:rPr>
        <w:t xml:space="preserve"> </w:t>
      </w:r>
      <w:r w:rsidR="00F97C5C" w:rsidRPr="00BD1319">
        <w:rPr>
          <w:spacing w:val="-3"/>
        </w:rPr>
        <w:t>componentes de los medios</w:t>
      </w:r>
      <w:r w:rsidR="00F86F9A" w:rsidRPr="00BD1319">
        <w:rPr>
          <w:spacing w:val="-3"/>
        </w:rPr>
        <w:t xml:space="preserve"> </w:t>
      </w:r>
      <w:r w:rsidR="00F86F9A" w:rsidRPr="00BD1319">
        <w:rPr>
          <w:rFonts w:cs="Arial"/>
          <w:spacing w:val="-3"/>
        </w:rPr>
        <w:t>abiótico, biótico y socioeconómico</w:t>
      </w:r>
      <w:r w:rsidRPr="00BD1319">
        <w:rPr>
          <w:rFonts w:cs="Arial"/>
          <w:spacing w:val="-3"/>
        </w:rPr>
        <w:t xml:space="preserve"> que puedan resultar impactados como resultado de la ejecución de las alternativas propuestas</w:t>
      </w:r>
      <w:r w:rsidR="00FF350A" w:rsidRPr="00BD1319">
        <w:rPr>
          <w:rStyle w:val="Refdenotaalpie"/>
          <w:rFonts w:cs="Arial"/>
          <w:spacing w:val="-3"/>
          <w:lang w:val="es-CO"/>
        </w:rPr>
        <w:footnoteReference w:id="37"/>
      </w:r>
      <w:r w:rsidR="00B62DEB" w:rsidRPr="00BD1319">
        <w:rPr>
          <w:rFonts w:cs="Arial"/>
          <w:spacing w:val="-3"/>
        </w:rPr>
        <w:t>,</w:t>
      </w:r>
      <w:r w:rsidR="004451D1" w:rsidRPr="00BD1319">
        <w:rPr>
          <w:rFonts w:cs="Arial"/>
          <w:spacing w:val="-3"/>
        </w:rPr>
        <w:t xml:space="preserve"> </w:t>
      </w:r>
      <w:r w:rsidR="00410826" w:rsidRPr="00BD1319">
        <w:rPr>
          <w:rFonts w:cs="Arial"/>
          <w:spacing w:val="-3"/>
        </w:rPr>
        <w:t xml:space="preserve">de tal </w:t>
      </w:r>
      <w:r w:rsidR="00410826" w:rsidRPr="00BD1319">
        <w:rPr>
          <w:rFonts w:cs="Arial"/>
          <w:spacing w:val="-3"/>
        </w:rPr>
        <w:lastRenderedPageBreak/>
        <w:t xml:space="preserve">forma </w:t>
      </w:r>
      <w:r w:rsidR="004451D1" w:rsidRPr="00BD1319">
        <w:rPr>
          <w:rFonts w:cs="Arial"/>
          <w:spacing w:val="-3"/>
        </w:rPr>
        <w:t xml:space="preserve">que </w:t>
      </w:r>
      <w:r w:rsidR="00E31DEB" w:rsidRPr="00BD1319">
        <w:rPr>
          <w:rFonts w:cs="Arial"/>
          <w:spacing w:val="-3"/>
        </w:rPr>
        <w:t xml:space="preserve">más adelante sea posible determinar cómo se diferencian las </w:t>
      </w:r>
      <w:r w:rsidR="004451D1" w:rsidRPr="00BD1319">
        <w:rPr>
          <w:rFonts w:cs="Arial"/>
          <w:spacing w:val="-3"/>
        </w:rPr>
        <w:t>alternativa</w:t>
      </w:r>
      <w:r w:rsidR="00E31DEB" w:rsidRPr="00BD1319">
        <w:rPr>
          <w:rFonts w:cs="Arial"/>
          <w:spacing w:val="-3"/>
        </w:rPr>
        <w:t>s en términos de impactos potenciales</w:t>
      </w:r>
      <w:r w:rsidR="00F97C5C" w:rsidRPr="00BD1319">
        <w:rPr>
          <w:spacing w:val="-3"/>
        </w:rPr>
        <w:t>.</w:t>
      </w:r>
      <w:r w:rsidRPr="00BD1319">
        <w:rPr>
          <w:spacing w:val="-3"/>
        </w:rPr>
        <w:t xml:space="preserve"> A continuación</w:t>
      </w:r>
      <w:r w:rsidR="007D2385" w:rsidRPr="00BD1319">
        <w:rPr>
          <w:spacing w:val="-3"/>
        </w:rPr>
        <w:t>,</w:t>
      </w:r>
      <w:r w:rsidRPr="00BD1319">
        <w:rPr>
          <w:spacing w:val="-3"/>
        </w:rPr>
        <w:t xml:space="preserve"> se señalan las consideraciones metodológicas que se deben tener en cuenta para realizar tal descripción.</w:t>
      </w:r>
    </w:p>
    <w:p w14:paraId="5C006CCE" w14:textId="77777777" w:rsidR="00F86F9A" w:rsidRPr="00BD1319" w:rsidRDefault="00F86F9A">
      <w:pPr>
        <w:numPr>
          <w:ilvl w:val="12"/>
          <w:numId w:val="0"/>
        </w:numPr>
        <w:tabs>
          <w:tab w:val="left" w:pos="-2268"/>
        </w:tabs>
        <w:suppressAutoHyphens/>
        <w:rPr>
          <w:spacing w:val="-3"/>
        </w:rPr>
      </w:pPr>
    </w:p>
    <w:p w14:paraId="2C0C5E19" w14:textId="694CC9BD" w:rsidR="00F97C5C" w:rsidRPr="00BD1319" w:rsidRDefault="00F86F9A">
      <w:pPr>
        <w:numPr>
          <w:ilvl w:val="12"/>
          <w:numId w:val="0"/>
        </w:numPr>
        <w:tabs>
          <w:tab w:val="left" w:pos="-2268"/>
        </w:tabs>
        <w:suppressAutoHyphens/>
        <w:rPr>
          <w:spacing w:val="-3"/>
        </w:rPr>
      </w:pPr>
      <w:r w:rsidRPr="00BD1319">
        <w:rPr>
          <w:spacing w:val="-3"/>
        </w:rPr>
        <w:t>P</w:t>
      </w:r>
      <w:r w:rsidR="00F97C5C" w:rsidRPr="00BD1319">
        <w:rPr>
          <w:spacing w:val="-3"/>
        </w:rPr>
        <w:t>ara la caracterización del área de estudio</w:t>
      </w:r>
      <w:r w:rsidR="0050306B" w:rsidRPr="00BD1319">
        <w:rPr>
          <w:spacing w:val="-3"/>
        </w:rPr>
        <w:t xml:space="preserve">, adicional a las fuentes de información señaladas en el numeral </w:t>
      </w:r>
      <w:r w:rsidR="0050306B" w:rsidRPr="00BD1319">
        <w:rPr>
          <w:spacing w:val="-3"/>
        </w:rPr>
        <w:fldChar w:fldCharType="begin"/>
      </w:r>
      <w:r w:rsidR="0050306B" w:rsidRPr="00BD1319">
        <w:rPr>
          <w:spacing w:val="-3"/>
        </w:rPr>
        <w:instrText xml:space="preserve"> REF _Ref144211971 \w \h </w:instrText>
      </w:r>
      <w:r w:rsidR="00BD1319">
        <w:rPr>
          <w:spacing w:val="-3"/>
        </w:rPr>
        <w:instrText xml:space="preserve"> \* MERGEFORMAT </w:instrText>
      </w:r>
      <w:r w:rsidR="0050306B" w:rsidRPr="00BD1319">
        <w:rPr>
          <w:spacing w:val="-3"/>
        </w:rPr>
      </w:r>
      <w:r w:rsidR="0050306B" w:rsidRPr="00BD1319">
        <w:rPr>
          <w:spacing w:val="-3"/>
        </w:rPr>
        <w:fldChar w:fldCharType="separate"/>
      </w:r>
      <w:r w:rsidR="00296654" w:rsidRPr="00BD1319">
        <w:rPr>
          <w:spacing w:val="-3"/>
        </w:rPr>
        <w:t>2</w:t>
      </w:r>
      <w:r w:rsidR="0050306B" w:rsidRPr="00BD1319">
        <w:rPr>
          <w:spacing w:val="-3"/>
        </w:rPr>
        <w:fldChar w:fldCharType="end"/>
      </w:r>
      <w:r w:rsidR="0050306B" w:rsidRPr="00BD1319">
        <w:rPr>
          <w:spacing w:val="-3"/>
        </w:rPr>
        <w:t xml:space="preserve"> del capítulo I,</w:t>
      </w:r>
      <w:r w:rsidR="00F97C5C" w:rsidRPr="00BD1319">
        <w:rPr>
          <w:spacing w:val="-3"/>
        </w:rPr>
        <w:t xml:space="preserve"> se debe</w:t>
      </w:r>
      <w:r w:rsidR="0050306B" w:rsidRPr="00BD1319">
        <w:rPr>
          <w:spacing w:val="-3"/>
        </w:rPr>
        <w:t>n</w:t>
      </w:r>
      <w:r w:rsidR="00F97C5C" w:rsidRPr="00BD1319">
        <w:rPr>
          <w:spacing w:val="-3"/>
        </w:rPr>
        <w:t xml:space="preserve"> </w:t>
      </w:r>
      <w:r w:rsidR="00A50836" w:rsidRPr="00BD1319">
        <w:rPr>
          <w:spacing w:val="-3"/>
        </w:rPr>
        <w:t>emplear</w:t>
      </w:r>
      <w:r w:rsidR="00F97C5C" w:rsidRPr="00BD1319">
        <w:rPr>
          <w:spacing w:val="-3"/>
        </w:rPr>
        <w:t xml:space="preserve"> entre otras, las siguientes:</w:t>
      </w:r>
    </w:p>
    <w:p w14:paraId="7182ABF6" w14:textId="77777777" w:rsidR="00F97C5C" w:rsidRPr="00BD1319" w:rsidRDefault="00F97C5C">
      <w:pPr>
        <w:numPr>
          <w:ilvl w:val="12"/>
          <w:numId w:val="0"/>
        </w:numPr>
        <w:tabs>
          <w:tab w:val="left" w:pos="-2268"/>
        </w:tabs>
        <w:suppressAutoHyphens/>
        <w:rPr>
          <w:spacing w:val="-3"/>
        </w:rPr>
      </w:pPr>
    </w:p>
    <w:p w14:paraId="3D0BF620" w14:textId="77777777" w:rsidR="00F97C5C" w:rsidRPr="00BD1319" w:rsidRDefault="00F97C5C" w:rsidP="00C86DA5">
      <w:pPr>
        <w:numPr>
          <w:ilvl w:val="0"/>
          <w:numId w:val="57"/>
        </w:numPr>
        <w:tabs>
          <w:tab w:val="clear" w:pos="360"/>
        </w:tabs>
        <w:suppressAutoHyphens/>
        <w:ind w:left="567" w:hanging="567"/>
        <w:rPr>
          <w:spacing w:val="-3"/>
        </w:rPr>
      </w:pPr>
      <w:r w:rsidRPr="00BD1319">
        <w:rPr>
          <w:spacing w:val="-3"/>
        </w:rPr>
        <w:t>Estudios existentes en la zona.</w:t>
      </w:r>
    </w:p>
    <w:p w14:paraId="0EEE09E9" w14:textId="77777777" w:rsidR="00F97C5C" w:rsidRPr="00BD1319" w:rsidRDefault="00F97C5C">
      <w:pPr>
        <w:suppressAutoHyphens/>
        <w:rPr>
          <w:spacing w:val="-3"/>
        </w:rPr>
      </w:pPr>
    </w:p>
    <w:p w14:paraId="5CFEF2C7" w14:textId="1A236B75" w:rsidR="00F97C5C" w:rsidRPr="00BD1319" w:rsidRDefault="00F97C5C" w:rsidP="00C86DA5">
      <w:pPr>
        <w:numPr>
          <w:ilvl w:val="0"/>
          <w:numId w:val="57"/>
        </w:numPr>
        <w:tabs>
          <w:tab w:val="clear" w:pos="360"/>
        </w:tabs>
        <w:suppressAutoHyphens/>
        <w:ind w:left="567" w:hanging="567"/>
        <w:rPr>
          <w:spacing w:val="-3"/>
        </w:rPr>
      </w:pPr>
      <w:r w:rsidRPr="00BD1319">
        <w:rPr>
          <w:spacing w:val="-3"/>
        </w:rPr>
        <w:t>Imágenes de satélite, imágenes de radar, fotografías aéreas, entre otras.</w:t>
      </w:r>
    </w:p>
    <w:p w14:paraId="3BB4B2E8" w14:textId="77777777" w:rsidR="00F97C5C" w:rsidRPr="00BD1319" w:rsidRDefault="00F97C5C">
      <w:pPr>
        <w:suppressAutoHyphens/>
        <w:rPr>
          <w:spacing w:val="-3"/>
        </w:rPr>
      </w:pPr>
    </w:p>
    <w:p w14:paraId="1E40365D" w14:textId="30C0B3CE" w:rsidR="00F97C5C" w:rsidRPr="00BD1319" w:rsidRDefault="00F97C5C" w:rsidP="00C86DA5">
      <w:pPr>
        <w:numPr>
          <w:ilvl w:val="0"/>
          <w:numId w:val="57"/>
        </w:numPr>
        <w:tabs>
          <w:tab w:val="clear" w:pos="360"/>
        </w:tabs>
        <w:suppressAutoHyphens/>
        <w:ind w:left="567" w:hanging="567"/>
        <w:rPr>
          <w:spacing w:val="-3"/>
        </w:rPr>
      </w:pPr>
      <w:r w:rsidRPr="00BD1319">
        <w:rPr>
          <w:spacing w:val="-3"/>
        </w:rPr>
        <w:t xml:space="preserve">Información geográfica (mapas temáticos, </w:t>
      </w:r>
      <w:r w:rsidRPr="00BD1319">
        <w:rPr>
          <w:rFonts w:cs="Arial"/>
          <w:spacing w:val="-3"/>
        </w:rPr>
        <w:t>capas geográficas abiertas</w:t>
      </w:r>
      <w:r w:rsidRPr="00BD1319">
        <w:rPr>
          <w:spacing w:val="-3"/>
        </w:rPr>
        <w:t xml:space="preserve">, </w:t>
      </w:r>
      <w:proofErr w:type="spellStart"/>
      <w:r w:rsidRPr="00BD1319">
        <w:rPr>
          <w:spacing w:val="-3"/>
        </w:rPr>
        <w:t>geoportales</w:t>
      </w:r>
      <w:proofErr w:type="spellEnd"/>
      <w:r w:rsidRPr="00BD1319">
        <w:rPr>
          <w:spacing w:val="-3"/>
        </w:rPr>
        <w:t>, entre otras).</w:t>
      </w:r>
    </w:p>
    <w:p w14:paraId="20725D96" w14:textId="77777777" w:rsidR="00F97C5C" w:rsidRPr="00BD1319" w:rsidRDefault="00F97C5C">
      <w:pPr>
        <w:suppressAutoHyphens/>
        <w:rPr>
          <w:spacing w:val="-3"/>
        </w:rPr>
      </w:pPr>
    </w:p>
    <w:p w14:paraId="5E7D0820" w14:textId="77777777" w:rsidR="00F97C5C" w:rsidRPr="00BD1319" w:rsidRDefault="00F97C5C" w:rsidP="00C86DA5">
      <w:pPr>
        <w:numPr>
          <w:ilvl w:val="0"/>
          <w:numId w:val="57"/>
        </w:numPr>
        <w:tabs>
          <w:tab w:val="clear" w:pos="360"/>
        </w:tabs>
        <w:suppressAutoHyphens/>
        <w:ind w:left="567" w:hanging="567"/>
        <w:rPr>
          <w:spacing w:val="-3"/>
        </w:rPr>
      </w:pPr>
      <w:r w:rsidRPr="00BD1319">
        <w:rPr>
          <w:spacing w:val="-3"/>
        </w:rPr>
        <w:t>Bibliografía especializada (obras completas o por capítulos).</w:t>
      </w:r>
    </w:p>
    <w:p w14:paraId="7DAD9C26" w14:textId="77777777" w:rsidR="00F97C5C" w:rsidRPr="00BD1319" w:rsidRDefault="00F97C5C">
      <w:pPr>
        <w:suppressAutoHyphens/>
        <w:rPr>
          <w:spacing w:val="-3"/>
        </w:rPr>
      </w:pPr>
    </w:p>
    <w:p w14:paraId="084C468F" w14:textId="77777777" w:rsidR="00F97C5C" w:rsidRPr="00BD1319" w:rsidRDefault="00F97C5C" w:rsidP="00C86DA5">
      <w:pPr>
        <w:numPr>
          <w:ilvl w:val="0"/>
          <w:numId w:val="57"/>
        </w:numPr>
        <w:tabs>
          <w:tab w:val="clear" w:pos="360"/>
        </w:tabs>
        <w:suppressAutoHyphens/>
        <w:ind w:left="567" w:hanging="567"/>
        <w:rPr>
          <w:spacing w:val="-3"/>
        </w:rPr>
      </w:pPr>
      <w:r w:rsidRPr="00BD1319">
        <w:rPr>
          <w:spacing w:val="-3"/>
        </w:rPr>
        <w:t>Artículos científicos.</w:t>
      </w:r>
    </w:p>
    <w:p w14:paraId="713B8D06" w14:textId="77777777" w:rsidR="00F97C5C" w:rsidRPr="00BD1319" w:rsidRDefault="00F97C5C">
      <w:pPr>
        <w:suppressAutoHyphens/>
        <w:rPr>
          <w:spacing w:val="-3"/>
        </w:rPr>
      </w:pPr>
    </w:p>
    <w:p w14:paraId="149E1E69" w14:textId="77777777" w:rsidR="00F97C5C" w:rsidRPr="00BD1319" w:rsidRDefault="00F97C5C" w:rsidP="00C86DA5">
      <w:pPr>
        <w:numPr>
          <w:ilvl w:val="0"/>
          <w:numId w:val="57"/>
        </w:numPr>
        <w:tabs>
          <w:tab w:val="clear" w:pos="360"/>
        </w:tabs>
        <w:suppressAutoHyphens/>
        <w:ind w:left="567" w:hanging="567"/>
        <w:rPr>
          <w:spacing w:val="-3"/>
        </w:rPr>
      </w:pPr>
      <w:r w:rsidRPr="00BD1319">
        <w:rPr>
          <w:spacing w:val="-3"/>
        </w:rPr>
        <w:t>Documentos e informes técnicos.</w:t>
      </w:r>
    </w:p>
    <w:p w14:paraId="1101661C" w14:textId="77777777" w:rsidR="00F97C5C" w:rsidRPr="00BD1319" w:rsidRDefault="00F97C5C">
      <w:pPr>
        <w:suppressAutoHyphens/>
        <w:rPr>
          <w:spacing w:val="-3"/>
        </w:rPr>
      </w:pPr>
    </w:p>
    <w:p w14:paraId="7DB6E9FA" w14:textId="77777777" w:rsidR="00F97C5C" w:rsidRPr="00BD1319" w:rsidRDefault="00F97C5C" w:rsidP="00C86DA5">
      <w:pPr>
        <w:numPr>
          <w:ilvl w:val="0"/>
          <w:numId w:val="57"/>
        </w:numPr>
        <w:tabs>
          <w:tab w:val="clear" w:pos="360"/>
        </w:tabs>
        <w:suppressAutoHyphens/>
        <w:ind w:left="567" w:hanging="567"/>
        <w:rPr>
          <w:spacing w:val="-3"/>
        </w:rPr>
      </w:pPr>
      <w:r w:rsidRPr="00BD1319">
        <w:rPr>
          <w:spacing w:val="-3"/>
        </w:rPr>
        <w:t>Documentos e información oficial.</w:t>
      </w:r>
    </w:p>
    <w:p w14:paraId="6D3B29A8" w14:textId="77777777" w:rsidR="00F97C5C" w:rsidRPr="00BD1319" w:rsidRDefault="00F97C5C">
      <w:pPr>
        <w:suppressAutoHyphens/>
        <w:rPr>
          <w:spacing w:val="-3"/>
        </w:rPr>
      </w:pPr>
    </w:p>
    <w:p w14:paraId="11BA0C64" w14:textId="40F6FA0C" w:rsidR="00F97C5C" w:rsidRPr="00BD1319" w:rsidRDefault="00F97C5C" w:rsidP="00C86DA5">
      <w:pPr>
        <w:numPr>
          <w:ilvl w:val="0"/>
          <w:numId w:val="57"/>
        </w:numPr>
        <w:tabs>
          <w:tab w:val="clear" w:pos="360"/>
        </w:tabs>
        <w:suppressAutoHyphens/>
        <w:ind w:left="567" w:hanging="567"/>
        <w:rPr>
          <w:spacing w:val="-3"/>
        </w:rPr>
      </w:pPr>
      <w:r w:rsidRPr="00BD1319">
        <w:rPr>
          <w:spacing w:val="-3"/>
        </w:rPr>
        <w:t>Estudios etnográficos</w:t>
      </w:r>
      <w:r w:rsidR="00494751" w:rsidRPr="00BD1319">
        <w:rPr>
          <w:spacing w:val="-3"/>
        </w:rPr>
        <w:t xml:space="preserve"> y otros estudios publicados </w:t>
      </w:r>
      <w:r w:rsidR="0050306B" w:rsidRPr="00BD1319">
        <w:rPr>
          <w:spacing w:val="-3"/>
        </w:rPr>
        <w:t>que reflejen</w:t>
      </w:r>
      <w:r w:rsidR="00915A32" w:rsidRPr="00BD1319">
        <w:rPr>
          <w:spacing w:val="-3"/>
        </w:rPr>
        <w:t xml:space="preserve"> </w:t>
      </w:r>
      <w:r w:rsidR="00494751" w:rsidRPr="00BD1319">
        <w:rPr>
          <w:spacing w:val="-3"/>
        </w:rPr>
        <w:t>conocimientos y saberes de comunidades locales y organizaciones sociales diversas</w:t>
      </w:r>
      <w:r w:rsidRPr="00BD1319">
        <w:rPr>
          <w:spacing w:val="-3"/>
        </w:rPr>
        <w:t>.</w:t>
      </w:r>
    </w:p>
    <w:p w14:paraId="297A23A2" w14:textId="77777777" w:rsidR="00F97C5C" w:rsidRPr="00BD1319" w:rsidRDefault="00F97C5C">
      <w:pPr>
        <w:numPr>
          <w:ilvl w:val="12"/>
          <w:numId w:val="0"/>
        </w:numPr>
        <w:tabs>
          <w:tab w:val="left" w:pos="-2268"/>
        </w:tabs>
        <w:suppressAutoHyphens/>
        <w:rPr>
          <w:spacing w:val="-3"/>
        </w:rPr>
      </w:pPr>
    </w:p>
    <w:p w14:paraId="4DB5C662" w14:textId="38D09571" w:rsidR="00F97C5C" w:rsidRPr="00BD1319" w:rsidRDefault="00F97C5C" w:rsidP="3BACB336">
      <w:pPr>
        <w:suppressAutoHyphens/>
      </w:pPr>
      <w:r w:rsidRPr="00BD1319">
        <w:rPr>
          <w:spacing w:val="-3"/>
        </w:rPr>
        <w:t xml:space="preserve">La información secundaria utilizada </w:t>
      </w:r>
      <w:r w:rsidRPr="00BD1319">
        <w:rPr>
          <w:rFonts w:cs="Arial"/>
          <w:spacing w:val="-3"/>
        </w:rPr>
        <w:t>para la elaboración</w:t>
      </w:r>
      <w:r w:rsidRPr="00BD1319">
        <w:rPr>
          <w:spacing w:val="-3"/>
        </w:rPr>
        <w:t xml:space="preserve"> del DAA debe ser validada en campo mediante </w:t>
      </w:r>
      <w:r w:rsidR="00F86F9A" w:rsidRPr="00BD1319">
        <w:rPr>
          <w:spacing w:val="-3"/>
        </w:rPr>
        <w:t xml:space="preserve">diferentes métodos, entre ellos el uso de </w:t>
      </w:r>
      <w:r w:rsidRPr="00BD1319">
        <w:rPr>
          <w:spacing w:val="-3"/>
        </w:rPr>
        <w:t>puntos de control</w:t>
      </w:r>
      <w:r w:rsidR="00F86F9A" w:rsidRPr="00BD1319">
        <w:rPr>
          <w:spacing w:val="-3"/>
        </w:rPr>
        <w:t xml:space="preserve"> y la realización de </w:t>
      </w:r>
      <w:r w:rsidRPr="00BD1319">
        <w:rPr>
          <w:spacing w:val="-3"/>
        </w:rPr>
        <w:t>entrevistas semiestructuradas</w:t>
      </w:r>
      <w:r w:rsidR="00F86F9A" w:rsidRPr="00BD1319">
        <w:rPr>
          <w:spacing w:val="-3"/>
        </w:rPr>
        <w:t>.</w:t>
      </w:r>
      <w:r w:rsidRPr="00BD1319">
        <w:rPr>
          <w:spacing w:val="-3"/>
        </w:rPr>
        <w:t xml:space="preserve"> </w:t>
      </w:r>
      <w:r w:rsidR="00F86F9A" w:rsidRPr="00BD1319">
        <w:rPr>
          <w:spacing w:val="-3"/>
        </w:rPr>
        <w:t xml:space="preserve">Esta acción resulta necesaria </w:t>
      </w:r>
      <w:r w:rsidRPr="00BD1319">
        <w:rPr>
          <w:spacing w:val="-3"/>
        </w:rPr>
        <w:t xml:space="preserve">para aquellos </w:t>
      </w:r>
      <w:r w:rsidR="006A0438" w:rsidRPr="00BD1319">
        <w:rPr>
          <w:rFonts w:cs="Arial"/>
          <w:spacing w:val="-3"/>
        </w:rPr>
        <w:t xml:space="preserve">factores o </w:t>
      </w:r>
      <w:r w:rsidRPr="00BD1319">
        <w:rPr>
          <w:spacing w:val="-3"/>
        </w:rPr>
        <w:t>componentes que</w:t>
      </w:r>
      <w:r w:rsidR="3BACB336" w:rsidRPr="00BD1319">
        <w:t>,</w:t>
      </w:r>
      <w:r w:rsidRPr="00BD1319">
        <w:rPr>
          <w:spacing w:val="-3"/>
        </w:rPr>
        <w:t xml:space="preserve"> </w:t>
      </w:r>
      <w:r w:rsidR="00F86F9A" w:rsidRPr="00BD1319">
        <w:rPr>
          <w:spacing w:val="-3"/>
        </w:rPr>
        <w:t xml:space="preserve">por </w:t>
      </w:r>
      <w:r w:rsidRPr="00BD1319">
        <w:rPr>
          <w:spacing w:val="-3"/>
        </w:rPr>
        <w:t xml:space="preserve">su relevancia o sensibilidad, </w:t>
      </w:r>
      <w:r w:rsidR="00F86F9A" w:rsidRPr="00BD1319">
        <w:rPr>
          <w:spacing w:val="-3"/>
        </w:rPr>
        <w:t>deben ser especialmente identificados y descritos</w:t>
      </w:r>
      <w:r w:rsidRPr="00BD1319">
        <w:rPr>
          <w:spacing w:val="-3"/>
        </w:rPr>
        <w:t xml:space="preserve">. </w:t>
      </w:r>
      <w:r w:rsidR="00A01691" w:rsidRPr="00BD1319">
        <w:rPr>
          <w:spacing w:val="-3"/>
        </w:rPr>
        <w:t>Si</w:t>
      </w:r>
      <w:r w:rsidRPr="00BD1319">
        <w:rPr>
          <w:spacing w:val="-3"/>
        </w:rPr>
        <w:t xml:space="preserve"> la información secundaria no </w:t>
      </w:r>
      <w:r w:rsidR="00A01691" w:rsidRPr="00BD1319">
        <w:rPr>
          <w:spacing w:val="-3"/>
        </w:rPr>
        <w:t xml:space="preserve">es </w:t>
      </w:r>
      <w:r w:rsidRPr="00BD1319">
        <w:rPr>
          <w:spacing w:val="-3"/>
        </w:rPr>
        <w:t>suficiente</w:t>
      </w:r>
      <w:r w:rsidRPr="00BD1319">
        <w:rPr>
          <w:rFonts w:cs="Arial"/>
          <w:spacing w:val="-3"/>
        </w:rPr>
        <w:t>,</w:t>
      </w:r>
      <w:r w:rsidRPr="00BD1319">
        <w:rPr>
          <w:spacing w:val="-3"/>
        </w:rPr>
        <w:t xml:space="preserve"> no t</w:t>
      </w:r>
      <w:r w:rsidR="00A01691" w:rsidRPr="00BD1319">
        <w:rPr>
          <w:spacing w:val="-3"/>
        </w:rPr>
        <w:t>iene</w:t>
      </w:r>
      <w:r w:rsidRPr="00BD1319">
        <w:rPr>
          <w:spacing w:val="-3"/>
        </w:rPr>
        <w:t xml:space="preserve"> la calidad necesaria para caracterizar el área de estudio</w:t>
      </w:r>
      <w:r w:rsidR="006A0438" w:rsidRPr="00BD1319">
        <w:rPr>
          <w:spacing w:val="-3"/>
        </w:rPr>
        <w:t>,</w:t>
      </w:r>
      <w:r w:rsidRPr="00BD1319">
        <w:rPr>
          <w:rFonts w:cs="Arial"/>
          <w:spacing w:val="-3"/>
        </w:rPr>
        <w:t xml:space="preserve"> o </w:t>
      </w:r>
      <w:r w:rsidR="006A0438" w:rsidRPr="00BD1319">
        <w:rPr>
          <w:rFonts w:cs="Arial"/>
          <w:spacing w:val="-3"/>
        </w:rPr>
        <w:t>est</w:t>
      </w:r>
      <w:r w:rsidR="00A01691" w:rsidRPr="00BD1319">
        <w:rPr>
          <w:rFonts w:cs="Arial"/>
          <w:spacing w:val="-3"/>
        </w:rPr>
        <w:t>á</w:t>
      </w:r>
      <w:r w:rsidR="006A0438" w:rsidRPr="00BD1319">
        <w:rPr>
          <w:rFonts w:cs="Arial"/>
          <w:spacing w:val="-3"/>
        </w:rPr>
        <w:t xml:space="preserve"> des</w:t>
      </w:r>
      <w:r w:rsidRPr="00BD1319">
        <w:rPr>
          <w:rFonts w:cs="Arial"/>
          <w:spacing w:val="-3"/>
        </w:rPr>
        <w:t>actualizada</w:t>
      </w:r>
      <w:r w:rsidRPr="00BD1319">
        <w:rPr>
          <w:spacing w:val="-3"/>
        </w:rPr>
        <w:t>, es necesario obtener, procesar y analizar información primaria.</w:t>
      </w:r>
    </w:p>
    <w:p w14:paraId="518870D9" w14:textId="77777777" w:rsidR="00F97C5C" w:rsidRPr="00BD1319" w:rsidRDefault="00F97C5C">
      <w:pPr>
        <w:numPr>
          <w:ilvl w:val="12"/>
          <w:numId w:val="0"/>
        </w:numPr>
        <w:tabs>
          <w:tab w:val="left" w:pos="-2268"/>
        </w:tabs>
        <w:suppressAutoHyphens/>
        <w:rPr>
          <w:spacing w:val="-3"/>
        </w:rPr>
      </w:pPr>
    </w:p>
    <w:p w14:paraId="7A5E071A" w14:textId="41E44AFA" w:rsidR="00F97C5C" w:rsidRPr="00BD1319" w:rsidRDefault="00F97C5C">
      <w:pPr>
        <w:numPr>
          <w:ilvl w:val="12"/>
          <w:numId w:val="0"/>
        </w:numPr>
        <w:tabs>
          <w:tab w:val="left" w:pos="-2268"/>
        </w:tabs>
        <w:suppressAutoHyphens/>
        <w:rPr>
          <w:spacing w:val="-3"/>
        </w:rPr>
      </w:pPr>
      <w:r w:rsidRPr="00BD1319">
        <w:rPr>
          <w:spacing w:val="-3"/>
        </w:rPr>
        <w:t xml:space="preserve">La cartografía temática debe contener información </w:t>
      </w:r>
      <w:r w:rsidR="00FF5FF5" w:rsidRPr="00BD1319">
        <w:rPr>
          <w:spacing w:val="-3"/>
        </w:rPr>
        <w:t xml:space="preserve">reciente </w:t>
      </w:r>
      <w:r w:rsidRPr="00BD1319">
        <w:rPr>
          <w:spacing w:val="-3"/>
        </w:rPr>
        <w:t xml:space="preserve">y ajustada </w:t>
      </w:r>
      <w:r w:rsidRPr="00BD1319">
        <w:rPr>
          <w:rFonts w:cs="Arial"/>
          <w:spacing w:val="-3"/>
        </w:rPr>
        <w:t>a partir de</w:t>
      </w:r>
      <w:r w:rsidRPr="00BD1319">
        <w:rPr>
          <w:spacing w:val="-3"/>
        </w:rPr>
        <w:t xml:space="preserve"> la interpretación </w:t>
      </w:r>
      <w:r w:rsidRPr="00BD1319">
        <w:rPr>
          <w:rFonts w:cs="Arial"/>
          <w:spacing w:val="-3"/>
        </w:rPr>
        <w:t>de imágenes</w:t>
      </w:r>
      <w:r w:rsidRPr="00BD1319">
        <w:rPr>
          <w:spacing w:val="-3"/>
        </w:rPr>
        <w:t xml:space="preserve"> de sensores remotos y </w:t>
      </w:r>
      <w:r w:rsidR="006A0438" w:rsidRPr="00BD1319">
        <w:rPr>
          <w:rFonts w:cs="Arial"/>
          <w:spacing w:val="-3"/>
        </w:rPr>
        <w:t>d</w:t>
      </w:r>
      <w:r w:rsidRPr="00BD1319">
        <w:rPr>
          <w:spacing w:val="-3"/>
        </w:rPr>
        <w:t>e control de campo</w:t>
      </w:r>
      <w:r w:rsidRPr="00BD1319">
        <w:rPr>
          <w:rFonts w:cs="Arial"/>
          <w:spacing w:val="-3"/>
        </w:rPr>
        <w:t xml:space="preserve"> en caso de ser necesario</w:t>
      </w:r>
      <w:r w:rsidR="007D2385" w:rsidRPr="00BD1319">
        <w:rPr>
          <w:rFonts w:cs="Arial"/>
          <w:spacing w:val="-3"/>
        </w:rPr>
        <w:t xml:space="preserve"> (consultar numeral </w:t>
      </w:r>
      <w:r w:rsidR="007D2385" w:rsidRPr="00BD1319">
        <w:rPr>
          <w:rFonts w:cs="Arial"/>
          <w:spacing w:val="-3"/>
        </w:rPr>
        <w:fldChar w:fldCharType="begin"/>
      </w:r>
      <w:r w:rsidR="007D2385" w:rsidRPr="00BD1319">
        <w:rPr>
          <w:rFonts w:cs="Arial"/>
          <w:spacing w:val="-3"/>
        </w:rPr>
        <w:instrText xml:space="preserve"> REF _Ref82532631 \r \h </w:instrText>
      </w:r>
      <w:r w:rsidR="00BD1319">
        <w:rPr>
          <w:rFonts w:cs="Arial"/>
          <w:spacing w:val="-3"/>
        </w:rPr>
        <w:instrText xml:space="preserve"> \* MERGEFORMAT </w:instrText>
      </w:r>
      <w:r w:rsidR="007D2385" w:rsidRPr="00BD1319">
        <w:rPr>
          <w:rFonts w:cs="Arial"/>
          <w:spacing w:val="-3"/>
        </w:rPr>
      </w:r>
      <w:r w:rsidR="007D2385" w:rsidRPr="00BD1319">
        <w:rPr>
          <w:rFonts w:cs="Arial"/>
          <w:spacing w:val="-3"/>
        </w:rPr>
        <w:fldChar w:fldCharType="separate"/>
      </w:r>
      <w:r w:rsidR="00296654" w:rsidRPr="00BD1319">
        <w:rPr>
          <w:rFonts w:cs="Arial"/>
          <w:spacing w:val="-3"/>
        </w:rPr>
        <w:t>4</w:t>
      </w:r>
      <w:r w:rsidR="007D2385" w:rsidRPr="00BD1319">
        <w:rPr>
          <w:rFonts w:cs="Arial"/>
          <w:spacing w:val="-3"/>
        </w:rPr>
        <w:fldChar w:fldCharType="end"/>
      </w:r>
      <w:r w:rsidR="007D2385" w:rsidRPr="00BD1319">
        <w:rPr>
          <w:rFonts w:cs="Arial"/>
          <w:spacing w:val="-3"/>
        </w:rPr>
        <w:t xml:space="preserve"> del capítulo I)</w:t>
      </w:r>
      <w:r w:rsidRPr="00BD1319">
        <w:rPr>
          <w:spacing w:val="-3"/>
        </w:rPr>
        <w:t xml:space="preserve">. </w:t>
      </w:r>
      <w:r w:rsidR="00A50836" w:rsidRPr="00BD1319">
        <w:rPr>
          <w:spacing w:val="-3"/>
        </w:rPr>
        <w:t>Los requerimientos mínimos con respecto a l</w:t>
      </w:r>
      <w:r w:rsidRPr="00BD1319">
        <w:rPr>
          <w:spacing w:val="-3"/>
        </w:rPr>
        <w:t xml:space="preserve">a escala </w:t>
      </w:r>
      <w:r w:rsidR="007D2385" w:rsidRPr="00BD1319">
        <w:rPr>
          <w:spacing w:val="-3"/>
        </w:rPr>
        <w:t xml:space="preserve">de trabajo </w:t>
      </w:r>
      <w:r w:rsidRPr="00BD1319">
        <w:rPr>
          <w:spacing w:val="-3"/>
        </w:rPr>
        <w:t>de la información se especifica</w:t>
      </w:r>
      <w:r w:rsidR="00A50836" w:rsidRPr="00BD1319">
        <w:rPr>
          <w:spacing w:val="-3"/>
        </w:rPr>
        <w:t>n</w:t>
      </w:r>
      <w:r w:rsidRPr="00BD1319">
        <w:rPr>
          <w:spacing w:val="-3"/>
        </w:rPr>
        <w:t xml:space="preserve"> en los términos de referencia</w:t>
      </w:r>
      <w:r w:rsidR="00A50836" w:rsidRPr="00BD1319">
        <w:rPr>
          <w:spacing w:val="-3"/>
        </w:rPr>
        <w:t xml:space="preserve">, no obstante, se debe tener en cuenta que dicha escala puede ser más </w:t>
      </w:r>
      <w:r w:rsidR="00A50836" w:rsidRPr="00BD1319">
        <w:rPr>
          <w:spacing w:val="-3"/>
        </w:rPr>
        <w:lastRenderedPageBreak/>
        <w:t xml:space="preserve">detallada en función </w:t>
      </w:r>
      <w:r w:rsidR="006A0438" w:rsidRPr="00BD1319">
        <w:rPr>
          <w:spacing w:val="-3"/>
        </w:rPr>
        <w:t xml:space="preserve">del tipo de fenómeno caracterizado, </w:t>
      </w:r>
      <w:r w:rsidRPr="00BD1319">
        <w:rPr>
          <w:spacing w:val="-3"/>
        </w:rPr>
        <w:t>del tamaño del proyecto, de la localización de las alternativas, y de la extensión del área de estudio.</w:t>
      </w:r>
    </w:p>
    <w:p w14:paraId="103228AA" w14:textId="77777777" w:rsidR="00CA417A" w:rsidRPr="00BD1319" w:rsidRDefault="00CA417A">
      <w:pPr>
        <w:numPr>
          <w:ilvl w:val="12"/>
          <w:numId w:val="0"/>
        </w:numPr>
        <w:tabs>
          <w:tab w:val="left" w:pos="-2268"/>
        </w:tabs>
        <w:suppressAutoHyphens/>
        <w:rPr>
          <w:spacing w:val="-3"/>
        </w:rPr>
      </w:pPr>
    </w:p>
    <w:p w14:paraId="5C22AC98" w14:textId="7800F133" w:rsidR="000C4F2E" w:rsidRPr="00BD1319" w:rsidRDefault="000C4F2E" w:rsidP="000C4F2E">
      <w:pPr>
        <w:numPr>
          <w:ilvl w:val="12"/>
          <w:numId w:val="0"/>
        </w:numPr>
        <w:tabs>
          <w:tab w:val="left" w:pos="-2268"/>
        </w:tabs>
        <w:suppressAutoHyphens/>
        <w:rPr>
          <w:spacing w:val="-3"/>
        </w:rPr>
      </w:pPr>
      <w:r w:rsidRPr="00BD1319">
        <w:rPr>
          <w:spacing w:val="-3"/>
        </w:rPr>
        <w:t xml:space="preserve">Toda la información geográfica de caracterización ambiental debe ser almacenada y presentada de acuerdo con el Modelo de </w:t>
      </w:r>
      <w:r w:rsidRPr="00BD1319">
        <w:rPr>
          <w:rFonts w:cs="Arial"/>
          <w:spacing w:val="-3"/>
        </w:rPr>
        <w:t xml:space="preserve">Almacenamiento Geográfico (MAG) </w:t>
      </w:r>
      <w:r w:rsidRPr="00BD1319">
        <w:rPr>
          <w:spacing w:val="-3"/>
        </w:rPr>
        <w:t>adoptado por Minambiente; los datos espaciales deben tener la estructura de capas geográficas, tablas asociadas, dominios, definiciones, clasificaciones o categorías, estándares, entre otros lineamientos definidos en la Resolución 2182 de 2016 o aquella que la modifique</w:t>
      </w:r>
      <w:r w:rsidRPr="00BD1319">
        <w:rPr>
          <w:rFonts w:cs="Arial"/>
          <w:spacing w:val="-3"/>
        </w:rPr>
        <w:t xml:space="preserve"> o</w:t>
      </w:r>
      <w:r w:rsidRPr="00BD1319">
        <w:rPr>
          <w:spacing w:val="-3"/>
        </w:rPr>
        <w:t xml:space="preserve"> sustituya.</w:t>
      </w:r>
    </w:p>
    <w:p w14:paraId="14FCF612" w14:textId="77777777" w:rsidR="000C4F2E" w:rsidRPr="00BD1319" w:rsidRDefault="000C4F2E">
      <w:pPr>
        <w:numPr>
          <w:ilvl w:val="12"/>
          <w:numId w:val="0"/>
        </w:numPr>
        <w:tabs>
          <w:tab w:val="left" w:pos="-2268"/>
        </w:tabs>
        <w:suppressAutoHyphens/>
        <w:rPr>
          <w:spacing w:val="-3"/>
        </w:rPr>
      </w:pPr>
    </w:p>
    <w:p w14:paraId="7747E4CB" w14:textId="64EEBD22" w:rsidR="00315DC1" w:rsidRPr="00BD1319" w:rsidRDefault="00315DC1" w:rsidP="00315DC1">
      <w:pPr>
        <w:numPr>
          <w:ilvl w:val="12"/>
          <w:numId w:val="0"/>
        </w:numPr>
        <w:tabs>
          <w:tab w:val="left" w:pos="-2268"/>
        </w:tabs>
        <w:suppressAutoHyphens/>
        <w:rPr>
          <w:spacing w:val="-3"/>
        </w:rPr>
      </w:pPr>
      <w:r w:rsidRPr="00BD1319">
        <w:rPr>
          <w:spacing w:val="-3"/>
        </w:rPr>
        <w:t>Es importante que</w:t>
      </w:r>
      <w:r w:rsidRPr="00BD1319">
        <w:rPr>
          <w:rFonts w:cs="Arial"/>
          <w:spacing w:val="-3"/>
        </w:rPr>
        <w:t>,</w:t>
      </w:r>
      <w:r w:rsidRPr="00BD1319">
        <w:rPr>
          <w:spacing w:val="-3"/>
        </w:rPr>
        <w:t xml:space="preserve"> al adaptar los lineamientos de la metodología y los requerimientos de información de los términos de referencia a las condiciones particulares de evaluación de alternativas, se incorporen parámetros e indicadores que brinden información </w:t>
      </w:r>
      <w:r w:rsidRPr="00BD1319">
        <w:rPr>
          <w:rFonts w:cs="Arial"/>
          <w:spacing w:val="-3"/>
        </w:rPr>
        <w:t>relevante</w:t>
      </w:r>
      <w:r w:rsidRPr="00BD1319">
        <w:rPr>
          <w:spacing w:val="-3"/>
        </w:rPr>
        <w:t xml:space="preserve"> sobre las características ambientales </w:t>
      </w:r>
      <w:r w:rsidR="0050306B" w:rsidRPr="00BD1319">
        <w:rPr>
          <w:spacing w:val="-3"/>
        </w:rPr>
        <w:t xml:space="preserve">para </w:t>
      </w:r>
      <w:r w:rsidRPr="00BD1319">
        <w:rPr>
          <w:spacing w:val="-3"/>
        </w:rPr>
        <w:t>determinar cómo se diferencian las alternativas entre sí. Cuando se identifique que cierto lineamiento metodológico o requerimiento de información no es aplicable a la evaluación de alternativas, se debe justificar técnicamente las razones por las cuales no se desarrolla.</w:t>
      </w:r>
    </w:p>
    <w:p w14:paraId="4AD87E12" w14:textId="77777777" w:rsidR="00315DC1" w:rsidRPr="00BD1319" w:rsidRDefault="00315DC1">
      <w:pPr>
        <w:numPr>
          <w:ilvl w:val="12"/>
          <w:numId w:val="0"/>
        </w:numPr>
        <w:tabs>
          <w:tab w:val="left" w:pos="-2268"/>
        </w:tabs>
        <w:suppressAutoHyphens/>
        <w:rPr>
          <w:spacing w:val="-3"/>
        </w:rPr>
      </w:pPr>
    </w:p>
    <w:p w14:paraId="4018DE1F" w14:textId="5B392A10" w:rsidR="00F97C5C" w:rsidRPr="00BD1319" w:rsidRDefault="00F97C5C" w:rsidP="00F97C5C">
      <w:pPr>
        <w:numPr>
          <w:ilvl w:val="12"/>
          <w:numId w:val="0"/>
        </w:numPr>
        <w:tabs>
          <w:tab w:val="left" w:pos="-2268"/>
        </w:tabs>
        <w:suppressAutoHyphens/>
        <w:rPr>
          <w:rFonts w:cs="Arial"/>
          <w:spacing w:val="-3"/>
        </w:rPr>
      </w:pPr>
      <w:r w:rsidRPr="00BD1319">
        <w:rPr>
          <w:rFonts w:cs="Arial"/>
          <w:spacing w:val="-3"/>
        </w:rPr>
        <w:t xml:space="preserve">En caso de que la autoridad ambiental competente cuente con información de caracterización ambiental </w:t>
      </w:r>
      <w:r w:rsidR="0068149C" w:rsidRPr="00BD1319">
        <w:rPr>
          <w:rFonts w:cs="Arial"/>
          <w:spacing w:val="-3"/>
        </w:rPr>
        <w:t xml:space="preserve">para </w:t>
      </w:r>
      <w:r w:rsidR="006A0438" w:rsidRPr="00BD1319">
        <w:rPr>
          <w:rFonts w:cs="Arial"/>
          <w:spacing w:val="-3"/>
        </w:rPr>
        <w:t xml:space="preserve">el ámbito </w:t>
      </w:r>
      <w:r w:rsidRPr="00BD1319">
        <w:rPr>
          <w:rFonts w:cs="Arial"/>
          <w:spacing w:val="-3"/>
        </w:rPr>
        <w:t xml:space="preserve">regional, </w:t>
      </w:r>
      <w:r w:rsidR="006A0438" w:rsidRPr="00BD1319">
        <w:rPr>
          <w:rFonts w:cs="Arial"/>
          <w:spacing w:val="-3"/>
        </w:rPr>
        <w:t xml:space="preserve">se </w:t>
      </w:r>
      <w:r w:rsidRPr="00BD1319">
        <w:rPr>
          <w:rFonts w:cs="Arial"/>
          <w:spacing w:val="-3"/>
        </w:rPr>
        <w:t>debe garantizar la articulación de dichos insumos en la elaboración del DAA.</w:t>
      </w:r>
    </w:p>
    <w:p w14:paraId="5D6E26FC" w14:textId="77777777" w:rsidR="0050306B" w:rsidRPr="00BD1319" w:rsidRDefault="0050306B" w:rsidP="00F97C5C">
      <w:pPr>
        <w:numPr>
          <w:ilvl w:val="12"/>
          <w:numId w:val="0"/>
        </w:numPr>
        <w:tabs>
          <w:tab w:val="left" w:pos="-2268"/>
        </w:tabs>
        <w:suppressAutoHyphens/>
        <w:rPr>
          <w:rFonts w:cs="Arial"/>
          <w:spacing w:val="-3"/>
        </w:rPr>
      </w:pPr>
    </w:p>
    <w:p w14:paraId="67179A0E" w14:textId="30D3836E" w:rsidR="0050306B" w:rsidRPr="00BD1319" w:rsidRDefault="00811AC1" w:rsidP="00F97C5C">
      <w:pPr>
        <w:numPr>
          <w:ilvl w:val="12"/>
          <w:numId w:val="0"/>
        </w:numPr>
        <w:tabs>
          <w:tab w:val="left" w:pos="-2268"/>
        </w:tabs>
        <w:suppressAutoHyphens/>
        <w:rPr>
          <w:rFonts w:cs="Arial"/>
          <w:spacing w:val="-3"/>
        </w:rPr>
      </w:pPr>
      <w:r w:rsidRPr="00BD1319">
        <w:rPr>
          <w:rFonts w:cs="Arial"/>
          <w:spacing w:val="-3"/>
        </w:rPr>
        <w:t>Se deben incorporar los insumos, saberes, sugerencias, recomendaciones o alertas pertinentes, que resulten de los procesos de información y participación con los grupos de interés del área de estudio. Dichos aportes deben ser incorporados de manera expresa en el documento, de tal forma que se evidencie su incidencia en el resultado de este numeral y, en caso de estimarlos como no pertinentes, o de que no haya aportes por parte de los grupos de interés, se deben indicar y sustentar las razones por las cuales no se incluyen en la caracterización.</w:t>
      </w:r>
    </w:p>
    <w:p w14:paraId="71C33BB3" w14:textId="77777777" w:rsidR="007D2B64" w:rsidRPr="00BD1319" w:rsidRDefault="007D2B64" w:rsidP="00F97C5C">
      <w:pPr>
        <w:numPr>
          <w:ilvl w:val="12"/>
          <w:numId w:val="0"/>
        </w:numPr>
        <w:tabs>
          <w:tab w:val="left" w:pos="-2268"/>
        </w:tabs>
        <w:suppressAutoHyphens/>
        <w:rPr>
          <w:rFonts w:cs="Arial"/>
          <w:spacing w:val="-3"/>
        </w:rPr>
      </w:pPr>
    </w:p>
    <w:p w14:paraId="5C081F8F" w14:textId="40D51266" w:rsidR="007D2B64" w:rsidRPr="00BD1319" w:rsidRDefault="007D2B64" w:rsidP="00F97C5C">
      <w:pPr>
        <w:numPr>
          <w:ilvl w:val="12"/>
          <w:numId w:val="0"/>
        </w:numPr>
        <w:tabs>
          <w:tab w:val="left" w:pos="-2268"/>
        </w:tabs>
        <w:suppressAutoHyphens/>
        <w:rPr>
          <w:rFonts w:cs="Arial"/>
          <w:spacing w:val="-3"/>
        </w:rPr>
      </w:pPr>
      <w:r w:rsidRPr="00BD1319">
        <w:rPr>
          <w:rFonts w:cs="Arial"/>
          <w:spacing w:val="-3"/>
        </w:rPr>
        <w:t>Previo a la obtención de cualquier tipo de información primaria, sea que ésta se</w:t>
      </w:r>
      <w:r w:rsidR="00CC72C8" w:rsidRPr="00BD1319">
        <w:rPr>
          <w:rFonts w:cs="Arial"/>
          <w:spacing w:val="-3"/>
        </w:rPr>
        <w:t>a</w:t>
      </w:r>
      <w:r w:rsidRPr="00BD1319">
        <w:rPr>
          <w:rFonts w:cs="Arial"/>
          <w:spacing w:val="-3"/>
        </w:rPr>
        <w:t xml:space="preserve"> obten</w:t>
      </w:r>
      <w:r w:rsidR="00CC72C8" w:rsidRPr="00BD1319">
        <w:rPr>
          <w:rFonts w:cs="Arial"/>
          <w:spacing w:val="-3"/>
        </w:rPr>
        <w:t xml:space="preserve">ida </w:t>
      </w:r>
      <w:r w:rsidRPr="00BD1319">
        <w:rPr>
          <w:rFonts w:cs="Arial"/>
          <w:spacing w:val="-3"/>
        </w:rPr>
        <w:t xml:space="preserve">por expertos o </w:t>
      </w:r>
      <w:r w:rsidR="00CC72C8" w:rsidRPr="00BD1319">
        <w:rPr>
          <w:rFonts w:cs="Arial"/>
          <w:spacing w:val="-3"/>
        </w:rPr>
        <w:t xml:space="preserve">recopilada </w:t>
      </w:r>
      <w:r w:rsidRPr="00BD1319">
        <w:rPr>
          <w:rFonts w:cs="Arial"/>
          <w:spacing w:val="-3"/>
        </w:rPr>
        <w:t xml:space="preserve">mediante la consulta a los grupos de interés, es necesario implementar la estrategia y procedimientos de </w:t>
      </w:r>
      <w:r w:rsidR="001729A7" w:rsidRPr="00BD1319">
        <w:rPr>
          <w:rFonts w:cs="Arial"/>
          <w:spacing w:val="-3"/>
        </w:rPr>
        <w:t xml:space="preserve">interlocución </w:t>
      </w:r>
      <w:r w:rsidRPr="00BD1319">
        <w:rPr>
          <w:rFonts w:cs="Arial"/>
          <w:spacing w:val="-3"/>
        </w:rPr>
        <w:t xml:space="preserve">a que hace referencia en el numeral </w:t>
      </w:r>
      <w:r w:rsidRPr="00BD1319">
        <w:rPr>
          <w:rFonts w:cs="Arial"/>
          <w:spacing w:val="-3"/>
        </w:rPr>
        <w:fldChar w:fldCharType="begin"/>
      </w:r>
      <w:r w:rsidRPr="00BD1319">
        <w:rPr>
          <w:rFonts w:cs="Arial"/>
          <w:spacing w:val="-3"/>
        </w:rPr>
        <w:instrText xml:space="preserve"> REF _Ref161829324 \r \h </w:instrText>
      </w:r>
      <w:r w:rsidR="001729A7" w:rsidRPr="00BD1319">
        <w:rPr>
          <w:rFonts w:cs="Arial"/>
          <w:spacing w:val="-3"/>
        </w:rPr>
        <w:instrText xml:space="preserve"> \* MERGEFORMAT </w:instrText>
      </w:r>
      <w:r w:rsidRPr="00BD1319">
        <w:rPr>
          <w:rFonts w:cs="Arial"/>
          <w:spacing w:val="-3"/>
        </w:rPr>
      </w:r>
      <w:r w:rsidRPr="00BD1319">
        <w:rPr>
          <w:rFonts w:cs="Arial"/>
          <w:spacing w:val="-3"/>
        </w:rPr>
        <w:fldChar w:fldCharType="separate"/>
      </w:r>
      <w:r w:rsidR="00296654" w:rsidRPr="00BD1319">
        <w:rPr>
          <w:rFonts w:cs="Arial"/>
          <w:spacing w:val="-3"/>
        </w:rPr>
        <w:t>3.2.1</w:t>
      </w:r>
      <w:r w:rsidRPr="00BD1319">
        <w:rPr>
          <w:rFonts w:cs="Arial"/>
          <w:spacing w:val="-3"/>
        </w:rPr>
        <w:fldChar w:fldCharType="end"/>
      </w:r>
      <w:r w:rsidRPr="00BD1319">
        <w:rPr>
          <w:rFonts w:cs="Arial"/>
          <w:spacing w:val="-3"/>
        </w:rPr>
        <w:t xml:space="preserve"> de este capítulo, a fin de evitar </w:t>
      </w:r>
      <w:r w:rsidR="00CC72C8" w:rsidRPr="00BD1319">
        <w:rPr>
          <w:rFonts w:cs="Arial"/>
          <w:spacing w:val="-3"/>
        </w:rPr>
        <w:t xml:space="preserve">los </w:t>
      </w:r>
      <w:r w:rsidRPr="00BD1319">
        <w:rPr>
          <w:rFonts w:cs="Arial"/>
          <w:spacing w:val="-3"/>
        </w:rPr>
        <w:t xml:space="preserve">malentendidos e impactos </w:t>
      </w:r>
      <w:r w:rsidR="00CC72C8" w:rsidRPr="00BD1319">
        <w:rPr>
          <w:rFonts w:cs="Arial"/>
          <w:spacing w:val="-3"/>
        </w:rPr>
        <w:t xml:space="preserve">que pueden surgir </w:t>
      </w:r>
      <w:r w:rsidRPr="00BD1319">
        <w:rPr>
          <w:rFonts w:cs="Arial"/>
          <w:spacing w:val="-3"/>
        </w:rPr>
        <w:t>con la interacción entre formuladores y grupos de interés.</w:t>
      </w:r>
    </w:p>
    <w:p w14:paraId="150E2D59" w14:textId="77777777" w:rsidR="00F97C5C" w:rsidRPr="00BD1319" w:rsidRDefault="00F97C5C">
      <w:pPr>
        <w:numPr>
          <w:ilvl w:val="12"/>
          <w:numId w:val="0"/>
        </w:numPr>
        <w:tabs>
          <w:tab w:val="left" w:pos="-2268"/>
        </w:tabs>
        <w:suppressAutoHyphens/>
        <w:rPr>
          <w:spacing w:val="-3"/>
        </w:rPr>
      </w:pPr>
    </w:p>
    <w:p w14:paraId="5BEE59E4" w14:textId="306B37AE" w:rsidR="00F97C5C" w:rsidRPr="00BD1319" w:rsidRDefault="00F97C5C" w:rsidP="0068149C">
      <w:pPr>
        <w:pStyle w:val="Ttulo2"/>
        <w:rPr>
          <w:lang w:val="es-CO"/>
        </w:rPr>
      </w:pPr>
      <w:bookmarkStart w:id="2008" w:name="_Toc412803149"/>
      <w:bookmarkStart w:id="2009" w:name="_Toc437935978"/>
      <w:bookmarkStart w:id="2010" w:name="_Toc42552214"/>
      <w:bookmarkStart w:id="2011" w:name="_Ref144301945"/>
      <w:bookmarkStart w:id="2012" w:name="_Toc175326695"/>
      <w:r w:rsidRPr="00BD1319">
        <w:rPr>
          <w:lang w:val="es-CO"/>
        </w:rPr>
        <w:t>MEDIO ABIÓTICO</w:t>
      </w:r>
      <w:bookmarkEnd w:id="2008"/>
      <w:bookmarkEnd w:id="2009"/>
      <w:bookmarkEnd w:id="2010"/>
      <w:bookmarkEnd w:id="2011"/>
      <w:bookmarkEnd w:id="2012"/>
    </w:p>
    <w:p w14:paraId="61FB6042" w14:textId="77777777" w:rsidR="00F97C5C" w:rsidRPr="00BD1319" w:rsidRDefault="00F97C5C">
      <w:pPr>
        <w:numPr>
          <w:ilvl w:val="12"/>
          <w:numId w:val="0"/>
        </w:numPr>
        <w:tabs>
          <w:tab w:val="left" w:pos="-2268"/>
        </w:tabs>
        <w:suppressAutoHyphens/>
        <w:rPr>
          <w:spacing w:val="-3"/>
        </w:rPr>
      </w:pPr>
    </w:p>
    <w:p w14:paraId="03A8BB6B" w14:textId="39376538" w:rsidR="00F97C5C" w:rsidRPr="00BD1319" w:rsidRDefault="00F97C5C">
      <w:pPr>
        <w:numPr>
          <w:ilvl w:val="12"/>
          <w:numId w:val="0"/>
        </w:numPr>
        <w:tabs>
          <w:tab w:val="left" w:pos="-2268"/>
        </w:tabs>
        <w:suppressAutoHyphens/>
        <w:rPr>
          <w:spacing w:val="-3"/>
        </w:rPr>
      </w:pPr>
      <w:r w:rsidRPr="00BD1319">
        <w:rPr>
          <w:spacing w:val="-3"/>
        </w:rPr>
        <w:lastRenderedPageBreak/>
        <w:t>A continuación</w:t>
      </w:r>
      <w:r w:rsidRPr="00BD1319">
        <w:rPr>
          <w:rFonts w:cs="Arial"/>
          <w:spacing w:val="-3"/>
        </w:rPr>
        <w:t>,</w:t>
      </w:r>
      <w:r w:rsidRPr="00BD1319">
        <w:rPr>
          <w:spacing w:val="-3"/>
        </w:rPr>
        <w:t xml:space="preserve"> se establece el contenido </w:t>
      </w:r>
      <w:r w:rsidR="00870966" w:rsidRPr="00BD1319">
        <w:rPr>
          <w:rFonts w:cs="Arial"/>
          <w:spacing w:val="-3"/>
        </w:rPr>
        <w:t>de la</w:t>
      </w:r>
      <w:r w:rsidR="00870966" w:rsidRPr="00BD1319">
        <w:rPr>
          <w:spacing w:val="-3"/>
        </w:rPr>
        <w:t xml:space="preserve"> caracterización </w:t>
      </w:r>
      <w:r w:rsidR="00870966" w:rsidRPr="00BD1319">
        <w:rPr>
          <w:rFonts w:cs="Arial"/>
          <w:spacing w:val="-3"/>
        </w:rPr>
        <w:t xml:space="preserve">de los componentes que conforman el área de estudio </w:t>
      </w:r>
      <w:r w:rsidR="00870966" w:rsidRPr="00BD1319">
        <w:rPr>
          <w:spacing w:val="-3"/>
        </w:rPr>
        <w:t>del medio abiótico, así como los</w:t>
      </w:r>
      <w:r w:rsidRPr="00BD1319">
        <w:rPr>
          <w:spacing w:val="-3"/>
        </w:rPr>
        <w:t xml:space="preserve"> lineamientos generales </w:t>
      </w:r>
      <w:r w:rsidR="00870966" w:rsidRPr="00BD1319">
        <w:rPr>
          <w:rFonts w:cs="Arial"/>
          <w:spacing w:val="-3"/>
        </w:rPr>
        <w:t>para desarrollarla</w:t>
      </w:r>
      <w:r w:rsidRPr="00BD1319">
        <w:rPr>
          <w:spacing w:val="-3"/>
        </w:rPr>
        <w:t>:</w:t>
      </w:r>
    </w:p>
    <w:p w14:paraId="7B2A9983" w14:textId="77777777" w:rsidR="00F97C5C" w:rsidRPr="00BD1319" w:rsidRDefault="00F97C5C">
      <w:pPr>
        <w:numPr>
          <w:ilvl w:val="12"/>
          <w:numId w:val="0"/>
        </w:numPr>
        <w:tabs>
          <w:tab w:val="left" w:pos="-2268"/>
        </w:tabs>
        <w:suppressAutoHyphens/>
        <w:rPr>
          <w:spacing w:val="-3"/>
        </w:rPr>
      </w:pPr>
    </w:p>
    <w:p w14:paraId="2C5025C9" w14:textId="114A4550" w:rsidR="00F97C5C" w:rsidRPr="00BD1319" w:rsidRDefault="00F97C5C" w:rsidP="00216955">
      <w:pPr>
        <w:pStyle w:val="Ttulo3"/>
      </w:pPr>
      <w:bookmarkStart w:id="2013" w:name="_Toc412803150"/>
      <w:bookmarkStart w:id="2014" w:name="_Toc437935979"/>
      <w:bookmarkStart w:id="2015" w:name="_Toc42552215"/>
      <w:bookmarkStart w:id="2016" w:name="_Toc175326696"/>
      <w:r w:rsidRPr="00BD1319">
        <w:t>Geológico</w:t>
      </w:r>
      <w:bookmarkEnd w:id="2013"/>
      <w:bookmarkEnd w:id="2014"/>
      <w:bookmarkEnd w:id="2015"/>
      <w:bookmarkEnd w:id="2016"/>
    </w:p>
    <w:p w14:paraId="19C658C7" w14:textId="77777777" w:rsidR="00F97C5C" w:rsidRPr="00BD1319" w:rsidRDefault="00F97C5C">
      <w:pPr>
        <w:numPr>
          <w:ilvl w:val="12"/>
          <w:numId w:val="0"/>
        </w:numPr>
        <w:tabs>
          <w:tab w:val="left" w:pos="-2268"/>
        </w:tabs>
        <w:suppressAutoHyphens/>
        <w:rPr>
          <w:spacing w:val="-3"/>
        </w:rPr>
      </w:pPr>
    </w:p>
    <w:p w14:paraId="69488C14" w14:textId="401FA8ED" w:rsidR="00F97C5C" w:rsidRPr="00BD1319" w:rsidRDefault="000B4B89">
      <w:pPr>
        <w:numPr>
          <w:ilvl w:val="12"/>
          <w:numId w:val="0"/>
        </w:numPr>
        <w:tabs>
          <w:tab w:val="left" w:pos="-2268"/>
        </w:tabs>
        <w:suppressAutoHyphens/>
        <w:rPr>
          <w:spacing w:val="-3"/>
        </w:rPr>
      </w:pPr>
      <w:r w:rsidRPr="00BD1319">
        <w:rPr>
          <w:spacing w:val="-3"/>
        </w:rPr>
        <w:t>La d</w:t>
      </w:r>
      <w:r w:rsidR="00F97C5C" w:rsidRPr="00BD1319">
        <w:rPr>
          <w:spacing w:val="-3"/>
        </w:rPr>
        <w:t>escri</w:t>
      </w:r>
      <w:r w:rsidRPr="00BD1319">
        <w:rPr>
          <w:spacing w:val="-3"/>
        </w:rPr>
        <w:t>pción de</w:t>
      </w:r>
      <w:r w:rsidR="00F97C5C" w:rsidRPr="00BD1319">
        <w:rPr>
          <w:spacing w:val="-3"/>
        </w:rPr>
        <w:t xml:space="preserve"> las unidades litológicas y rasgos estructurales, </w:t>
      </w:r>
      <w:r w:rsidRPr="00BD1319">
        <w:rPr>
          <w:spacing w:val="-3"/>
        </w:rPr>
        <w:t xml:space="preserve">que incluye las </w:t>
      </w:r>
      <w:r w:rsidR="00F97C5C" w:rsidRPr="00BD1319">
        <w:rPr>
          <w:spacing w:val="-3"/>
        </w:rPr>
        <w:t xml:space="preserve">columnas estratigráficas y </w:t>
      </w:r>
      <w:r w:rsidRPr="00BD1319">
        <w:rPr>
          <w:spacing w:val="-3"/>
        </w:rPr>
        <w:t xml:space="preserve">los </w:t>
      </w:r>
      <w:r w:rsidR="00F97C5C" w:rsidRPr="00BD1319">
        <w:rPr>
          <w:spacing w:val="-3"/>
        </w:rPr>
        <w:t xml:space="preserve">perfiles geológicos, </w:t>
      </w:r>
      <w:r w:rsidRPr="00BD1319">
        <w:rPr>
          <w:spacing w:val="-3"/>
        </w:rPr>
        <w:t xml:space="preserve">se debe realizar tomando como </w:t>
      </w:r>
      <w:r w:rsidR="00F97C5C" w:rsidRPr="00BD1319">
        <w:rPr>
          <w:spacing w:val="-3"/>
        </w:rPr>
        <w:t xml:space="preserve">base la información de estudios existentes para </w:t>
      </w:r>
      <w:r w:rsidR="00F97C5C" w:rsidRPr="00BD1319">
        <w:rPr>
          <w:rFonts w:cs="Arial"/>
          <w:spacing w:val="-3"/>
        </w:rPr>
        <w:t>el área</w:t>
      </w:r>
      <w:r w:rsidR="00F97C5C" w:rsidRPr="00BD1319">
        <w:rPr>
          <w:spacing w:val="-3"/>
        </w:rPr>
        <w:t xml:space="preserve"> de estudio</w:t>
      </w:r>
      <w:r w:rsidR="00F97C5C" w:rsidRPr="00BD1319">
        <w:rPr>
          <w:rFonts w:cs="Arial"/>
          <w:spacing w:val="-3"/>
        </w:rPr>
        <w:t xml:space="preserve"> del </w:t>
      </w:r>
      <w:r w:rsidR="0019341C" w:rsidRPr="00BD1319">
        <w:rPr>
          <w:rFonts w:cs="Arial"/>
          <w:spacing w:val="-3"/>
        </w:rPr>
        <w:t>componente</w:t>
      </w:r>
      <w:r w:rsidR="003567CB" w:rsidRPr="00BD1319">
        <w:rPr>
          <w:rFonts w:cs="Arial"/>
          <w:spacing w:val="-3"/>
        </w:rPr>
        <w:t xml:space="preserve"> y en caso de requerirse</w:t>
      </w:r>
      <w:r w:rsidR="00F97C5C" w:rsidRPr="00BD1319">
        <w:rPr>
          <w:spacing w:val="-3"/>
        </w:rPr>
        <w:t xml:space="preserve">, </w:t>
      </w:r>
      <w:r w:rsidR="003567CB" w:rsidRPr="00BD1319">
        <w:rPr>
          <w:spacing w:val="-3"/>
        </w:rPr>
        <w:t xml:space="preserve">empleando información complementaria </w:t>
      </w:r>
      <w:r w:rsidR="00F97C5C" w:rsidRPr="00BD1319">
        <w:rPr>
          <w:spacing w:val="-3"/>
        </w:rPr>
        <w:t xml:space="preserve">de análisis </w:t>
      </w:r>
      <w:r w:rsidR="00F97C5C" w:rsidRPr="00BD1319">
        <w:rPr>
          <w:rFonts w:cs="Arial"/>
          <w:spacing w:val="-3"/>
        </w:rPr>
        <w:t xml:space="preserve">y fotointerpretación </w:t>
      </w:r>
      <w:r w:rsidR="00F97C5C" w:rsidRPr="00BD1319">
        <w:rPr>
          <w:spacing w:val="-3"/>
        </w:rPr>
        <w:t xml:space="preserve">de imágenes de sensores remotos y trabajo de campo. La descripción de las unidades debe </w:t>
      </w:r>
      <w:r w:rsidR="00526619" w:rsidRPr="00BD1319">
        <w:rPr>
          <w:spacing w:val="-3"/>
        </w:rPr>
        <w:t xml:space="preserve">ceñirse a </w:t>
      </w:r>
      <w:r w:rsidR="00F97C5C" w:rsidRPr="00BD1319">
        <w:rPr>
          <w:spacing w:val="-3"/>
        </w:rPr>
        <w:t xml:space="preserve">lo establecido en la carta estratigráfica internacional y </w:t>
      </w:r>
      <w:r w:rsidR="0068149C" w:rsidRPr="00BD1319">
        <w:rPr>
          <w:spacing w:val="-3"/>
        </w:rPr>
        <w:t xml:space="preserve">ser coherente </w:t>
      </w:r>
      <w:r w:rsidR="00F97C5C" w:rsidRPr="00BD1319">
        <w:rPr>
          <w:spacing w:val="-3"/>
        </w:rPr>
        <w:t>con la cartografía geológica colombiana definida por el Servicio Geológico Colombiano</w:t>
      </w:r>
      <w:r w:rsidR="0019341C" w:rsidRPr="00BD1319">
        <w:rPr>
          <w:spacing w:val="-3"/>
        </w:rPr>
        <w:t xml:space="preserve"> (SGC)</w:t>
      </w:r>
      <w:r w:rsidR="00F97C5C" w:rsidRPr="00BD1319">
        <w:rPr>
          <w:spacing w:val="-3"/>
        </w:rPr>
        <w:t>.</w:t>
      </w:r>
    </w:p>
    <w:p w14:paraId="1F32C78A" w14:textId="77777777" w:rsidR="00F97C5C" w:rsidRPr="00BD1319" w:rsidRDefault="00F97C5C">
      <w:pPr>
        <w:numPr>
          <w:ilvl w:val="12"/>
          <w:numId w:val="0"/>
        </w:numPr>
        <w:tabs>
          <w:tab w:val="left" w:pos="-2268"/>
        </w:tabs>
        <w:suppressAutoHyphens/>
        <w:rPr>
          <w:spacing w:val="-3"/>
        </w:rPr>
      </w:pPr>
    </w:p>
    <w:p w14:paraId="7A1DBEAA" w14:textId="19A064D1" w:rsidR="00F97C5C" w:rsidRPr="00BD1319" w:rsidRDefault="00F97C5C">
      <w:pPr>
        <w:numPr>
          <w:ilvl w:val="12"/>
          <w:numId w:val="0"/>
        </w:numPr>
        <w:tabs>
          <w:tab w:val="left" w:pos="-2268"/>
        </w:tabs>
        <w:suppressAutoHyphens/>
        <w:rPr>
          <w:spacing w:val="-3"/>
        </w:rPr>
      </w:pPr>
      <w:r w:rsidRPr="00BD1319">
        <w:rPr>
          <w:spacing w:val="-3"/>
        </w:rPr>
        <w:t xml:space="preserve">Debe hacerse especial énfasis en la </w:t>
      </w:r>
      <w:r w:rsidR="00E709E3" w:rsidRPr="00BD1319">
        <w:rPr>
          <w:spacing w:val="-3"/>
        </w:rPr>
        <w:t xml:space="preserve">determinación </w:t>
      </w:r>
      <w:r w:rsidRPr="00BD1319">
        <w:rPr>
          <w:spacing w:val="-3"/>
        </w:rPr>
        <w:t>de los rasgos estructurales asociados a lineamientos, fallas</w:t>
      </w:r>
      <w:r w:rsidR="002F020E" w:rsidRPr="00BD1319">
        <w:rPr>
          <w:spacing w:val="-3"/>
        </w:rPr>
        <w:t xml:space="preserve"> o</w:t>
      </w:r>
      <w:r w:rsidRPr="00BD1319">
        <w:rPr>
          <w:spacing w:val="-3"/>
        </w:rPr>
        <w:t xml:space="preserve"> fracturas que no estén implícitos en la cartografía oficial y que puedan definirse por medio del uso de </w:t>
      </w:r>
      <w:r w:rsidRPr="00BD1319">
        <w:rPr>
          <w:rFonts w:cs="Arial"/>
          <w:spacing w:val="-3"/>
        </w:rPr>
        <w:t xml:space="preserve">fotointerpretación de imágenes de </w:t>
      </w:r>
      <w:r w:rsidRPr="00BD1319">
        <w:rPr>
          <w:spacing w:val="-3"/>
        </w:rPr>
        <w:t>sensores remotos y control de campo.</w:t>
      </w:r>
    </w:p>
    <w:p w14:paraId="62286F2D" w14:textId="77777777" w:rsidR="00F97C5C" w:rsidRPr="00BD1319" w:rsidRDefault="00F97C5C">
      <w:pPr>
        <w:numPr>
          <w:ilvl w:val="12"/>
          <w:numId w:val="0"/>
        </w:numPr>
        <w:tabs>
          <w:tab w:val="left" w:pos="-2268"/>
        </w:tabs>
        <w:suppressAutoHyphens/>
        <w:rPr>
          <w:spacing w:val="-3"/>
        </w:rPr>
      </w:pPr>
    </w:p>
    <w:p w14:paraId="443DEF15" w14:textId="7EDC145F" w:rsidR="00F97C5C" w:rsidRPr="00BD1319" w:rsidRDefault="00F97C5C">
      <w:pPr>
        <w:numPr>
          <w:ilvl w:val="12"/>
          <w:numId w:val="0"/>
        </w:numPr>
        <w:tabs>
          <w:tab w:val="left" w:pos="-2268"/>
        </w:tabs>
        <w:suppressAutoHyphens/>
        <w:rPr>
          <w:spacing w:val="-3"/>
        </w:rPr>
      </w:pPr>
      <w:r w:rsidRPr="00BD1319">
        <w:rPr>
          <w:spacing w:val="-3"/>
        </w:rPr>
        <w:t>Para proyectos</w:t>
      </w:r>
      <w:r w:rsidR="00526619" w:rsidRPr="00BD1319">
        <w:rPr>
          <w:spacing w:val="-3"/>
        </w:rPr>
        <w:t>, obras o actividades</w:t>
      </w:r>
      <w:r w:rsidRPr="00BD1319">
        <w:rPr>
          <w:spacing w:val="-3"/>
        </w:rPr>
        <w:t xml:space="preserve"> cuya área de estudio </w:t>
      </w:r>
      <w:r w:rsidRPr="00BD1319">
        <w:rPr>
          <w:rFonts w:cs="Arial"/>
          <w:spacing w:val="-3"/>
        </w:rPr>
        <w:t xml:space="preserve">del </w:t>
      </w:r>
      <w:r w:rsidR="0019341C" w:rsidRPr="00BD1319">
        <w:rPr>
          <w:rFonts w:cs="Arial"/>
          <w:spacing w:val="-3"/>
        </w:rPr>
        <w:t xml:space="preserve">componente </w:t>
      </w:r>
      <w:r w:rsidRPr="00BD1319">
        <w:rPr>
          <w:spacing w:val="-3"/>
        </w:rPr>
        <w:t>se encuentre en la subzona terrestre costera o en valles o llanuras aluviales activ</w:t>
      </w:r>
      <w:r w:rsidR="0019341C" w:rsidRPr="00BD1319">
        <w:rPr>
          <w:spacing w:val="-3"/>
        </w:rPr>
        <w:t>o</w:t>
      </w:r>
      <w:r w:rsidRPr="00BD1319">
        <w:rPr>
          <w:spacing w:val="-3"/>
        </w:rPr>
        <w:t>s,</w:t>
      </w:r>
      <w:r w:rsidRPr="00BD1319">
        <w:rPr>
          <w:rFonts w:cs="Arial"/>
          <w:spacing w:val="-3"/>
        </w:rPr>
        <w:t xml:space="preserve"> se debe</w:t>
      </w:r>
      <w:r w:rsidRPr="00BD1319">
        <w:rPr>
          <w:spacing w:val="-3"/>
        </w:rPr>
        <w:t xml:space="preserve"> </w:t>
      </w:r>
      <w:r w:rsidR="00F52E5F" w:rsidRPr="00BD1319">
        <w:rPr>
          <w:spacing w:val="-3"/>
        </w:rPr>
        <w:t xml:space="preserve">considerar </w:t>
      </w:r>
      <w:r w:rsidRPr="00BD1319">
        <w:rPr>
          <w:spacing w:val="-3"/>
        </w:rPr>
        <w:t>la clasificación de las facies sedimentarias y su relación con las alternativas planteadas. Asimismo, en la subzona marino-costera, cuando el proyecto</w:t>
      </w:r>
      <w:r w:rsidR="008A674A" w:rsidRPr="00BD1319">
        <w:rPr>
          <w:spacing w:val="-3"/>
        </w:rPr>
        <w:t>, obra o actividad</w:t>
      </w:r>
      <w:r w:rsidRPr="00BD1319">
        <w:rPr>
          <w:spacing w:val="-3"/>
        </w:rPr>
        <w:t xml:space="preserve"> implique la intervención del lecho marino, se debe </w:t>
      </w:r>
      <w:r w:rsidR="00F52E5F" w:rsidRPr="00BD1319">
        <w:rPr>
          <w:spacing w:val="-3"/>
        </w:rPr>
        <w:t xml:space="preserve">señalar </w:t>
      </w:r>
      <w:r w:rsidRPr="00BD1319">
        <w:rPr>
          <w:spacing w:val="-3"/>
        </w:rPr>
        <w:t xml:space="preserve">la </w:t>
      </w:r>
      <w:r w:rsidR="00F52E5F" w:rsidRPr="00BD1319">
        <w:rPr>
          <w:spacing w:val="-3"/>
        </w:rPr>
        <w:t xml:space="preserve">relación de la </w:t>
      </w:r>
      <w:r w:rsidRPr="00BD1319">
        <w:rPr>
          <w:spacing w:val="-3"/>
        </w:rPr>
        <w:t xml:space="preserve">clasificación de las facies sedimentarias marinas con las alternativas planteadas. </w:t>
      </w:r>
      <w:r w:rsidR="00526619" w:rsidRPr="00BD1319">
        <w:rPr>
          <w:rFonts w:cs="Arial"/>
          <w:spacing w:val="-3"/>
        </w:rPr>
        <w:t>Igualmente</w:t>
      </w:r>
      <w:r w:rsidRPr="00BD1319">
        <w:rPr>
          <w:rFonts w:cs="Arial"/>
          <w:spacing w:val="-3"/>
        </w:rPr>
        <w:t>,</w:t>
      </w:r>
      <w:r w:rsidRPr="00BD1319">
        <w:rPr>
          <w:spacing w:val="-3"/>
        </w:rPr>
        <w:t xml:space="preserve"> se debe </w:t>
      </w:r>
      <w:r w:rsidR="00F52E5F" w:rsidRPr="00BD1319">
        <w:rPr>
          <w:spacing w:val="-3"/>
        </w:rPr>
        <w:t xml:space="preserve">asegurar que los </w:t>
      </w:r>
      <w:r w:rsidRPr="00BD1319">
        <w:rPr>
          <w:spacing w:val="-3"/>
        </w:rPr>
        <w:t xml:space="preserve">mapas </w:t>
      </w:r>
      <w:r w:rsidRPr="00BD1319">
        <w:rPr>
          <w:rFonts w:cs="Arial"/>
          <w:spacing w:val="-3"/>
        </w:rPr>
        <w:t xml:space="preserve">con la información </w:t>
      </w:r>
      <w:r w:rsidR="008B4E79" w:rsidRPr="00BD1319">
        <w:rPr>
          <w:rFonts w:cs="Arial"/>
          <w:spacing w:val="-3"/>
        </w:rPr>
        <w:t>estratigráfica</w:t>
      </w:r>
      <w:r w:rsidRPr="00BD1319">
        <w:rPr>
          <w:spacing w:val="-3"/>
        </w:rPr>
        <w:t xml:space="preserve"> permitan apreciar las características de los suelos marinos</w:t>
      </w:r>
      <w:r w:rsidRPr="00BD1319">
        <w:rPr>
          <w:rFonts w:cs="Arial"/>
          <w:spacing w:val="-3"/>
        </w:rPr>
        <w:t xml:space="preserve"> presentes en el área de estudio del </w:t>
      </w:r>
      <w:r w:rsidR="0019341C" w:rsidRPr="00BD1319">
        <w:rPr>
          <w:rFonts w:cs="Arial"/>
          <w:spacing w:val="-3"/>
        </w:rPr>
        <w:t>componente</w:t>
      </w:r>
      <w:r w:rsidRPr="00BD1319">
        <w:rPr>
          <w:spacing w:val="-3"/>
        </w:rPr>
        <w:t>.</w:t>
      </w:r>
    </w:p>
    <w:p w14:paraId="1709DB63" w14:textId="77777777" w:rsidR="00F97C5C" w:rsidRPr="00BD1319" w:rsidRDefault="00F97C5C">
      <w:pPr>
        <w:numPr>
          <w:ilvl w:val="12"/>
          <w:numId w:val="0"/>
        </w:numPr>
        <w:tabs>
          <w:tab w:val="left" w:pos="-2268"/>
        </w:tabs>
        <w:suppressAutoHyphens/>
        <w:rPr>
          <w:spacing w:val="-3"/>
        </w:rPr>
      </w:pPr>
    </w:p>
    <w:p w14:paraId="703227E0" w14:textId="3C651D87" w:rsidR="00F97C5C" w:rsidRPr="00BD1319" w:rsidRDefault="00F97C5C" w:rsidP="009420F5">
      <w:pPr>
        <w:pStyle w:val="Ttulo4"/>
        <w:tabs>
          <w:tab w:val="clear" w:pos="1844"/>
          <w:tab w:val="num" w:pos="1134"/>
        </w:tabs>
        <w:ind w:left="0"/>
        <w:rPr>
          <w:lang w:val="es-CO"/>
        </w:rPr>
      </w:pPr>
      <w:bookmarkStart w:id="2017" w:name="_Toc412803151"/>
      <w:bookmarkStart w:id="2018" w:name="_Toc437935980"/>
      <w:bookmarkStart w:id="2019" w:name="_Toc42552216"/>
      <w:bookmarkStart w:id="2020" w:name="_Toc412803153"/>
      <w:r w:rsidRPr="00BD1319">
        <w:rPr>
          <w:lang w:val="es-CO"/>
        </w:rPr>
        <w:t>Geomorfol</w:t>
      </w:r>
      <w:r w:rsidR="003F39DD" w:rsidRPr="00BD1319">
        <w:rPr>
          <w:lang w:val="es-CO"/>
        </w:rPr>
        <w:t>ogía</w:t>
      </w:r>
      <w:bookmarkEnd w:id="2017"/>
      <w:bookmarkEnd w:id="2018"/>
      <w:bookmarkEnd w:id="2019"/>
    </w:p>
    <w:p w14:paraId="4F309E15" w14:textId="77777777" w:rsidR="00F97C5C" w:rsidRPr="00BD1319" w:rsidRDefault="00F97C5C">
      <w:pPr>
        <w:numPr>
          <w:ilvl w:val="12"/>
          <w:numId w:val="0"/>
        </w:numPr>
        <w:tabs>
          <w:tab w:val="left" w:pos="-2268"/>
        </w:tabs>
        <w:suppressAutoHyphens/>
        <w:rPr>
          <w:spacing w:val="-3"/>
        </w:rPr>
      </w:pPr>
    </w:p>
    <w:p w14:paraId="172D6013" w14:textId="74EBE977" w:rsidR="00F97C5C" w:rsidRPr="00BD1319" w:rsidRDefault="00B8450B">
      <w:pPr>
        <w:numPr>
          <w:ilvl w:val="12"/>
          <w:numId w:val="0"/>
        </w:numPr>
        <w:tabs>
          <w:tab w:val="left" w:pos="-2268"/>
        </w:tabs>
        <w:suppressAutoHyphens/>
        <w:rPr>
          <w:spacing w:val="-3"/>
        </w:rPr>
      </w:pPr>
      <w:r w:rsidRPr="00BD1319">
        <w:rPr>
          <w:spacing w:val="-3"/>
        </w:rPr>
        <w:t xml:space="preserve">La caracterización </w:t>
      </w:r>
      <w:r w:rsidR="00E02721" w:rsidRPr="00BD1319">
        <w:rPr>
          <w:spacing w:val="-3"/>
        </w:rPr>
        <w:t xml:space="preserve">de </w:t>
      </w:r>
      <w:r w:rsidR="00F97C5C" w:rsidRPr="00BD1319">
        <w:rPr>
          <w:spacing w:val="-3"/>
        </w:rPr>
        <w:t xml:space="preserve">las unidades geomorfológicas continentales </w:t>
      </w:r>
      <w:r w:rsidR="00F97C5C" w:rsidRPr="00BD1319">
        <w:rPr>
          <w:rFonts w:cs="Arial"/>
          <w:spacing w:val="-3"/>
        </w:rPr>
        <w:t xml:space="preserve">presentes en el área de estudio del </w:t>
      </w:r>
      <w:r w:rsidR="0019341C" w:rsidRPr="00BD1319">
        <w:rPr>
          <w:rFonts w:cs="Arial"/>
          <w:spacing w:val="-3"/>
        </w:rPr>
        <w:t>componente</w:t>
      </w:r>
      <w:r w:rsidR="00B16C31" w:rsidRPr="00BD1319">
        <w:rPr>
          <w:rFonts w:cs="Arial"/>
          <w:spacing w:val="-3"/>
        </w:rPr>
        <w:t xml:space="preserve"> geológico</w:t>
      </w:r>
      <w:r w:rsidR="00E02721" w:rsidRPr="00BD1319">
        <w:rPr>
          <w:rFonts w:cs="Arial"/>
          <w:spacing w:val="-3"/>
        </w:rPr>
        <w:t xml:space="preserve"> debe </w:t>
      </w:r>
      <w:r w:rsidR="0011154F" w:rsidRPr="00BD1319">
        <w:rPr>
          <w:spacing w:val="-3"/>
        </w:rPr>
        <w:t>emplea</w:t>
      </w:r>
      <w:r w:rsidR="00E02721" w:rsidRPr="00BD1319">
        <w:rPr>
          <w:spacing w:val="-3"/>
        </w:rPr>
        <w:t xml:space="preserve">r </w:t>
      </w:r>
      <w:r w:rsidR="00F97C5C" w:rsidRPr="00BD1319">
        <w:rPr>
          <w:rFonts w:cs="Arial"/>
          <w:spacing w:val="-3"/>
        </w:rPr>
        <w:t xml:space="preserve">la metodología </w:t>
      </w:r>
      <w:r w:rsidR="00E02721" w:rsidRPr="00BD1319">
        <w:rPr>
          <w:rFonts w:cs="Arial"/>
          <w:spacing w:val="-3"/>
        </w:rPr>
        <w:t>(IGAC, SGC</w:t>
      </w:r>
      <w:r w:rsidR="00E02721" w:rsidRPr="00BD1319">
        <w:rPr>
          <w:spacing w:val="-3"/>
        </w:rPr>
        <w:t xml:space="preserve"> o </w:t>
      </w:r>
      <w:proofErr w:type="spellStart"/>
      <w:r w:rsidR="00E02721" w:rsidRPr="00BD1319">
        <w:rPr>
          <w:rFonts w:cs="Arial"/>
          <w:spacing w:val="-3"/>
        </w:rPr>
        <w:t>Ideam</w:t>
      </w:r>
      <w:proofErr w:type="spellEnd"/>
      <w:r w:rsidR="00E02721" w:rsidRPr="00BD1319">
        <w:rPr>
          <w:rFonts w:cs="Arial"/>
          <w:spacing w:val="-3"/>
        </w:rPr>
        <w:t xml:space="preserve">) </w:t>
      </w:r>
      <w:r w:rsidR="007416B9" w:rsidRPr="00BD1319">
        <w:rPr>
          <w:rFonts w:cs="Arial"/>
          <w:spacing w:val="-3"/>
        </w:rPr>
        <w:t>que mejor se ajuste</w:t>
      </w:r>
      <w:r w:rsidR="0011154F" w:rsidRPr="00BD1319">
        <w:rPr>
          <w:rFonts w:cs="Arial"/>
          <w:spacing w:val="-3"/>
        </w:rPr>
        <w:t xml:space="preserve"> tanto a las condiciones evidenciadas en campo, como </w:t>
      </w:r>
      <w:r w:rsidR="00F97C5C" w:rsidRPr="00BD1319">
        <w:rPr>
          <w:rFonts w:cs="Arial"/>
          <w:spacing w:val="-3"/>
        </w:rPr>
        <w:t>al propósito y particularidades del proyecto</w:t>
      </w:r>
      <w:r w:rsidR="0011154F" w:rsidRPr="00BD1319">
        <w:rPr>
          <w:rFonts w:cs="Arial"/>
          <w:spacing w:val="-3"/>
        </w:rPr>
        <w:t>, obra o actividad</w:t>
      </w:r>
      <w:r w:rsidR="002E0114" w:rsidRPr="00BD1319">
        <w:rPr>
          <w:rFonts w:cs="Arial"/>
          <w:spacing w:val="-3"/>
        </w:rPr>
        <w:t xml:space="preserve">; </w:t>
      </w:r>
      <w:r w:rsidRPr="00BD1319">
        <w:rPr>
          <w:rFonts w:cs="Arial"/>
          <w:spacing w:val="-3"/>
        </w:rPr>
        <w:t xml:space="preserve">dicha selección ha de ser </w:t>
      </w:r>
      <w:r w:rsidR="002E0114" w:rsidRPr="00BD1319">
        <w:rPr>
          <w:rFonts w:cs="Arial"/>
          <w:spacing w:val="-3"/>
        </w:rPr>
        <w:t>justifica</w:t>
      </w:r>
      <w:r w:rsidRPr="00BD1319">
        <w:rPr>
          <w:rFonts w:cs="Arial"/>
          <w:spacing w:val="-3"/>
        </w:rPr>
        <w:t xml:space="preserve">da </w:t>
      </w:r>
      <w:r w:rsidR="002E0114" w:rsidRPr="00BD1319">
        <w:rPr>
          <w:rFonts w:cs="Arial"/>
          <w:spacing w:val="-3"/>
        </w:rPr>
        <w:t>técnica</w:t>
      </w:r>
      <w:r w:rsidRPr="00BD1319">
        <w:rPr>
          <w:rFonts w:cs="Arial"/>
          <w:spacing w:val="-3"/>
        </w:rPr>
        <w:t>mente</w:t>
      </w:r>
      <w:r w:rsidR="00F97C5C" w:rsidRPr="00BD1319">
        <w:rPr>
          <w:rFonts w:cs="Arial"/>
          <w:spacing w:val="-3"/>
        </w:rPr>
        <w:t>.</w:t>
      </w:r>
      <w:r w:rsidR="00F97C5C" w:rsidRPr="00BD1319">
        <w:rPr>
          <w:spacing w:val="-3"/>
        </w:rPr>
        <w:t xml:space="preserve"> La descripción de las unidades geomorfológicas se debe realizar a partir del </w:t>
      </w:r>
      <w:r w:rsidR="0011154F" w:rsidRPr="00BD1319">
        <w:rPr>
          <w:spacing w:val="-3"/>
        </w:rPr>
        <w:t xml:space="preserve">estudio </w:t>
      </w:r>
      <w:r w:rsidR="00F97C5C" w:rsidRPr="00BD1319">
        <w:rPr>
          <w:spacing w:val="-3"/>
        </w:rPr>
        <w:t>de lo siguiente:</w:t>
      </w:r>
    </w:p>
    <w:p w14:paraId="42CB8794" w14:textId="77777777" w:rsidR="00F97C5C" w:rsidRPr="00BD1319" w:rsidRDefault="00F97C5C">
      <w:pPr>
        <w:numPr>
          <w:ilvl w:val="12"/>
          <w:numId w:val="0"/>
        </w:numPr>
        <w:tabs>
          <w:tab w:val="left" w:pos="-2268"/>
        </w:tabs>
        <w:suppressAutoHyphens/>
        <w:rPr>
          <w:spacing w:val="-3"/>
        </w:rPr>
      </w:pPr>
    </w:p>
    <w:p w14:paraId="151D07F8" w14:textId="77777777" w:rsidR="00F97C5C" w:rsidRPr="00BD1319" w:rsidRDefault="00F97C5C" w:rsidP="00C86DA5">
      <w:pPr>
        <w:pStyle w:val="Prrafodelista"/>
        <w:numPr>
          <w:ilvl w:val="0"/>
          <w:numId w:val="61"/>
        </w:numPr>
        <w:tabs>
          <w:tab w:val="left" w:pos="-2268"/>
        </w:tabs>
        <w:suppressAutoHyphens/>
        <w:ind w:left="567" w:hanging="567"/>
        <w:rPr>
          <w:rFonts w:cs="Arial"/>
          <w:spacing w:val="-3"/>
          <w:lang w:val="es-CO"/>
        </w:rPr>
      </w:pPr>
      <w:r w:rsidRPr="00BD1319">
        <w:rPr>
          <w:rFonts w:cs="Arial"/>
          <w:spacing w:val="-3"/>
          <w:lang w:val="es-CO"/>
        </w:rPr>
        <w:lastRenderedPageBreak/>
        <w:t>Morfogénesis (análisis del origen de las diferentes unidades de paisaje).</w:t>
      </w:r>
    </w:p>
    <w:p w14:paraId="15C76859" w14:textId="77777777" w:rsidR="00F97C5C" w:rsidRPr="00BD1319" w:rsidRDefault="00F97C5C">
      <w:pPr>
        <w:tabs>
          <w:tab w:val="left" w:pos="-2268"/>
        </w:tabs>
        <w:suppressAutoHyphens/>
        <w:rPr>
          <w:spacing w:val="-3"/>
        </w:rPr>
      </w:pPr>
    </w:p>
    <w:p w14:paraId="1DFADB1A" w14:textId="77777777" w:rsidR="00F97C5C" w:rsidRPr="00BD1319" w:rsidRDefault="00F97C5C" w:rsidP="00C86DA5">
      <w:pPr>
        <w:pStyle w:val="Prrafodelista"/>
        <w:numPr>
          <w:ilvl w:val="0"/>
          <w:numId w:val="61"/>
        </w:numPr>
        <w:tabs>
          <w:tab w:val="left" w:pos="-2268"/>
        </w:tabs>
        <w:suppressAutoHyphens/>
        <w:ind w:left="567" w:hanging="567"/>
        <w:rPr>
          <w:rFonts w:cs="Arial"/>
          <w:spacing w:val="-3"/>
          <w:lang w:val="es-CO"/>
        </w:rPr>
      </w:pPr>
      <w:r w:rsidRPr="00BD1319">
        <w:rPr>
          <w:rFonts w:cs="Arial"/>
          <w:spacing w:val="-3"/>
          <w:lang w:val="es-CO"/>
        </w:rPr>
        <w:t>Morfografía (análisis de las formas del terreno).</w:t>
      </w:r>
    </w:p>
    <w:p w14:paraId="3BB433D6" w14:textId="77777777" w:rsidR="00F97C5C" w:rsidRPr="00BD1319" w:rsidRDefault="00F97C5C">
      <w:pPr>
        <w:tabs>
          <w:tab w:val="left" w:pos="-2268"/>
        </w:tabs>
        <w:suppressAutoHyphens/>
        <w:rPr>
          <w:spacing w:val="-3"/>
        </w:rPr>
      </w:pPr>
    </w:p>
    <w:p w14:paraId="0B3565D9" w14:textId="66FF1482" w:rsidR="00F97C5C" w:rsidRPr="00BD1319" w:rsidRDefault="00F97C5C" w:rsidP="00C86DA5">
      <w:pPr>
        <w:pStyle w:val="Prrafodelista"/>
        <w:numPr>
          <w:ilvl w:val="0"/>
          <w:numId w:val="61"/>
        </w:numPr>
        <w:tabs>
          <w:tab w:val="left" w:pos="-2268"/>
        </w:tabs>
        <w:suppressAutoHyphens/>
        <w:ind w:left="567" w:hanging="567"/>
        <w:rPr>
          <w:rFonts w:cs="Arial"/>
          <w:spacing w:val="-3"/>
          <w:lang w:val="es-CO"/>
        </w:rPr>
      </w:pPr>
      <w:r w:rsidRPr="00BD1319">
        <w:rPr>
          <w:rFonts w:cs="Arial"/>
          <w:spacing w:val="-3"/>
          <w:lang w:val="es-CO"/>
        </w:rPr>
        <w:t xml:space="preserve">Morfodinámica (análisis de los procesos de tipo denudativo o </w:t>
      </w:r>
      <w:proofErr w:type="spellStart"/>
      <w:r w:rsidRPr="00BD1319">
        <w:rPr>
          <w:rFonts w:cs="Arial"/>
          <w:spacing w:val="-3"/>
          <w:lang w:val="es-CO"/>
        </w:rPr>
        <w:t>agradativo</w:t>
      </w:r>
      <w:proofErr w:type="spellEnd"/>
      <w:r w:rsidRPr="00BD1319">
        <w:rPr>
          <w:rFonts w:cs="Arial"/>
          <w:spacing w:val="-3"/>
          <w:lang w:val="es-CO"/>
        </w:rPr>
        <w:t>).</w:t>
      </w:r>
    </w:p>
    <w:p w14:paraId="1A90E5CA" w14:textId="77777777" w:rsidR="00F97C5C" w:rsidRPr="00BD1319" w:rsidRDefault="00F97C5C">
      <w:pPr>
        <w:tabs>
          <w:tab w:val="left" w:pos="-2268"/>
        </w:tabs>
        <w:suppressAutoHyphens/>
        <w:rPr>
          <w:spacing w:val="-3"/>
        </w:rPr>
      </w:pPr>
    </w:p>
    <w:p w14:paraId="43CC3373" w14:textId="77777777" w:rsidR="00F97C5C" w:rsidRPr="00BD1319" w:rsidRDefault="00F97C5C" w:rsidP="00C86DA5">
      <w:pPr>
        <w:pStyle w:val="Prrafodelista"/>
        <w:numPr>
          <w:ilvl w:val="0"/>
          <w:numId w:val="61"/>
        </w:numPr>
        <w:tabs>
          <w:tab w:val="left" w:pos="-2268"/>
        </w:tabs>
        <w:suppressAutoHyphens/>
        <w:ind w:left="567" w:hanging="567"/>
        <w:rPr>
          <w:rFonts w:cs="Arial"/>
          <w:spacing w:val="-3"/>
          <w:lang w:val="es-CO"/>
        </w:rPr>
      </w:pPr>
      <w:proofErr w:type="spellStart"/>
      <w:r w:rsidRPr="00BD1319">
        <w:rPr>
          <w:rFonts w:cs="Arial"/>
          <w:spacing w:val="-3"/>
          <w:lang w:val="es-CO"/>
        </w:rPr>
        <w:t>Morfoestructuras</w:t>
      </w:r>
      <w:proofErr w:type="spellEnd"/>
      <w:r w:rsidRPr="00BD1319">
        <w:rPr>
          <w:rFonts w:cs="Arial"/>
          <w:spacing w:val="-3"/>
          <w:lang w:val="es-CO"/>
        </w:rPr>
        <w:t xml:space="preserve"> (análisis y mapeo de las formas de tipo estructural que imperan sobre el relieve).</w:t>
      </w:r>
    </w:p>
    <w:p w14:paraId="0BDE9E0B" w14:textId="77777777" w:rsidR="00F97C5C" w:rsidRPr="00BD1319" w:rsidRDefault="00F97C5C">
      <w:pPr>
        <w:numPr>
          <w:ilvl w:val="12"/>
          <w:numId w:val="0"/>
        </w:numPr>
        <w:tabs>
          <w:tab w:val="left" w:pos="-2268"/>
        </w:tabs>
        <w:suppressAutoHyphens/>
        <w:rPr>
          <w:spacing w:val="-3"/>
        </w:rPr>
      </w:pPr>
    </w:p>
    <w:p w14:paraId="38C5AE8A" w14:textId="55DE2F28" w:rsidR="00F97C5C" w:rsidRPr="00BD1319" w:rsidRDefault="00E02721">
      <w:pPr>
        <w:numPr>
          <w:ilvl w:val="12"/>
          <w:numId w:val="0"/>
        </w:numPr>
        <w:tabs>
          <w:tab w:val="left" w:pos="-2268"/>
        </w:tabs>
        <w:suppressAutoHyphens/>
        <w:rPr>
          <w:spacing w:val="-3"/>
        </w:rPr>
      </w:pPr>
      <w:r w:rsidRPr="00BD1319">
        <w:rPr>
          <w:spacing w:val="-3"/>
        </w:rPr>
        <w:t xml:space="preserve">La cartografía geomorfológica debe desarrollarse a partir de las unidades y rasgos estructurales, </w:t>
      </w:r>
      <w:r w:rsidRPr="00BD1319">
        <w:rPr>
          <w:rFonts w:cs="Arial"/>
          <w:spacing w:val="-3"/>
        </w:rPr>
        <w:t>considera</w:t>
      </w:r>
      <w:r w:rsidR="00E84028" w:rsidRPr="00BD1319">
        <w:rPr>
          <w:rFonts w:cs="Arial"/>
          <w:spacing w:val="-3"/>
        </w:rPr>
        <w:t>r</w:t>
      </w:r>
      <w:r w:rsidRPr="00BD1319">
        <w:rPr>
          <w:rFonts w:cs="Arial"/>
          <w:spacing w:val="-3"/>
        </w:rPr>
        <w:t xml:space="preserve"> fundamentalmente </w:t>
      </w:r>
      <w:r w:rsidRPr="00BD1319">
        <w:rPr>
          <w:spacing w:val="-3"/>
        </w:rPr>
        <w:t>la morfogénesis y la morfodinámica del área de estudio</w:t>
      </w:r>
      <w:r w:rsidRPr="00BD1319">
        <w:rPr>
          <w:rFonts w:cs="Arial"/>
          <w:spacing w:val="-3"/>
        </w:rPr>
        <w:t xml:space="preserve"> del componente, así como </w:t>
      </w:r>
      <w:r w:rsidR="00F97C5C" w:rsidRPr="00BD1319">
        <w:rPr>
          <w:spacing w:val="-3"/>
        </w:rPr>
        <w:t>bas</w:t>
      </w:r>
      <w:r w:rsidRPr="00BD1319">
        <w:rPr>
          <w:spacing w:val="-3"/>
        </w:rPr>
        <w:t xml:space="preserve">arse en </w:t>
      </w:r>
      <w:r w:rsidR="0019341C" w:rsidRPr="00BD1319">
        <w:rPr>
          <w:spacing w:val="-3"/>
        </w:rPr>
        <w:t xml:space="preserve">la </w:t>
      </w:r>
      <w:r w:rsidR="00F97C5C" w:rsidRPr="00BD1319">
        <w:rPr>
          <w:spacing w:val="-3"/>
        </w:rPr>
        <w:t>fotointerpretación</w:t>
      </w:r>
      <w:r w:rsidR="00BE0054" w:rsidRPr="00BD1319">
        <w:rPr>
          <w:spacing w:val="-3"/>
        </w:rPr>
        <w:t>,</w:t>
      </w:r>
      <w:r w:rsidR="00F97C5C" w:rsidRPr="00BD1319">
        <w:rPr>
          <w:spacing w:val="-3"/>
        </w:rPr>
        <w:t xml:space="preserve"> </w:t>
      </w:r>
      <w:r w:rsidRPr="00BD1319">
        <w:rPr>
          <w:spacing w:val="-3"/>
        </w:rPr>
        <w:t xml:space="preserve">en </w:t>
      </w:r>
      <w:r w:rsidR="0095583D" w:rsidRPr="00BD1319">
        <w:rPr>
          <w:spacing w:val="-3"/>
        </w:rPr>
        <w:t xml:space="preserve">el </w:t>
      </w:r>
      <w:r w:rsidR="00F97C5C" w:rsidRPr="00BD1319">
        <w:rPr>
          <w:spacing w:val="-3"/>
        </w:rPr>
        <w:t>análisis de imágenes de sensores remotos</w:t>
      </w:r>
      <w:r w:rsidRPr="00BD1319">
        <w:rPr>
          <w:spacing w:val="-3"/>
        </w:rPr>
        <w:t xml:space="preserve"> y en</w:t>
      </w:r>
      <w:r w:rsidR="00F97C5C" w:rsidRPr="00BD1319">
        <w:rPr>
          <w:spacing w:val="-3"/>
        </w:rPr>
        <w:t xml:space="preserve"> el sondeo </w:t>
      </w:r>
      <w:r w:rsidR="00BE0054" w:rsidRPr="00BD1319">
        <w:rPr>
          <w:spacing w:val="-3"/>
        </w:rPr>
        <w:t xml:space="preserve">en </w:t>
      </w:r>
      <w:r w:rsidR="00F97C5C" w:rsidRPr="00BD1319">
        <w:rPr>
          <w:spacing w:val="-3"/>
        </w:rPr>
        <w:t xml:space="preserve">campo </w:t>
      </w:r>
      <w:r w:rsidRPr="00BD1319">
        <w:rPr>
          <w:spacing w:val="-3"/>
        </w:rPr>
        <w:t xml:space="preserve">mediante </w:t>
      </w:r>
      <w:r w:rsidR="00F97C5C" w:rsidRPr="00BD1319">
        <w:rPr>
          <w:spacing w:val="-3"/>
        </w:rPr>
        <w:t>puntos de observación o control</w:t>
      </w:r>
      <w:r w:rsidR="00F97C5C" w:rsidRPr="00BD1319">
        <w:rPr>
          <w:rFonts w:cs="Arial"/>
          <w:spacing w:val="-3"/>
        </w:rPr>
        <w:t xml:space="preserve"> </w:t>
      </w:r>
      <w:r w:rsidRPr="00BD1319">
        <w:rPr>
          <w:rFonts w:cs="Arial"/>
          <w:spacing w:val="-3"/>
        </w:rPr>
        <w:t>(</w:t>
      </w:r>
      <w:r w:rsidR="00F97C5C" w:rsidRPr="00BD1319">
        <w:rPr>
          <w:rFonts w:cs="Arial"/>
          <w:spacing w:val="-3"/>
        </w:rPr>
        <w:t>en caso de requerirse</w:t>
      </w:r>
      <w:r w:rsidRPr="00BD1319">
        <w:rPr>
          <w:rFonts w:cs="Arial"/>
          <w:spacing w:val="-3"/>
        </w:rPr>
        <w:t>)</w:t>
      </w:r>
      <w:r w:rsidR="0095583D" w:rsidRPr="00BD1319">
        <w:rPr>
          <w:spacing w:val="-3"/>
        </w:rPr>
        <w:t>.</w:t>
      </w:r>
    </w:p>
    <w:p w14:paraId="12C5B9B4" w14:textId="77777777" w:rsidR="00F97C5C" w:rsidRPr="00BD1319" w:rsidRDefault="00F97C5C">
      <w:pPr>
        <w:numPr>
          <w:ilvl w:val="12"/>
          <w:numId w:val="0"/>
        </w:numPr>
        <w:tabs>
          <w:tab w:val="left" w:pos="-2268"/>
        </w:tabs>
        <w:suppressAutoHyphens/>
        <w:rPr>
          <w:spacing w:val="-3"/>
        </w:rPr>
      </w:pPr>
    </w:p>
    <w:p w14:paraId="4671F280" w14:textId="47C3EA8C" w:rsidR="00F97C5C" w:rsidRPr="00BD1319" w:rsidRDefault="00E709E3">
      <w:pPr>
        <w:numPr>
          <w:ilvl w:val="12"/>
          <w:numId w:val="0"/>
        </w:numPr>
        <w:tabs>
          <w:tab w:val="left" w:pos="-2268"/>
        </w:tabs>
        <w:suppressAutoHyphens/>
        <w:rPr>
          <w:spacing w:val="-3"/>
        </w:rPr>
      </w:pPr>
      <w:r w:rsidRPr="00BD1319">
        <w:rPr>
          <w:spacing w:val="-3"/>
        </w:rPr>
        <w:t>Definir</w:t>
      </w:r>
      <w:r w:rsidR="00F97C5C" w:rsidRPr="00BD1319">
        <w:rPr>
          <w:spacing w:val="-3"/>
        </w:rPr>
        <w:t xml:space="preserve"> las geoformas asociadas a procesos de fenómenos de inundaciones fluviales lentas, avenidas torrenciales y movimientos en masa localizados en el área de estudio </w:t>
      </w:r>
      <w:r w:rsidR="00603D47" w:rsidRPr="00BD1319">
        <w:rPr>
          <w:rFonts w:cs="Arial"/>
          <w:spacing w:val="-3"/>
        </w:rPr>
        <w:t>d</w:t>
      </w:r>
      <w:r w:rsidR="00F97C5C" w:rsidRPr="00BD1319">
        <w:rPr>
          <w:rFonts w:cs="Arial"/>
          <w:spacing w:val="-3"/>
        </w:rPr>
        <w:t xml:space="preserve">el </w:t>
      </w:r>
      <w:r w:rsidR="00F863C9" w:rsidRPr="00BD1319">
        <w:rPr>
          <w:rFonts w:cs="Arial"/>
          <w:spacing w:val="-3"/>
        </w:rPr>
        <w:t>componente</w:t>
      </w:r>
      <w:r w:rsidR="00F97C5C" w:rsidRPr="00BD1319">
        <w:rPr>
          <w:rFonts w:cs="Arial"/>
          <w:spacing w:val="-3"/>
        </w:rPr>
        <w:t>.</w:t>
      </w:r>
      <w:r w:rsidR="00F97C5C" w:rsidRPr="00BD1319">
        <w:rPr>
          <w:spacing w:val="-3"/>
        </w:rPr>
        <w:t xml:space="preserve"> Igualmente, se deben </w:t>
      </w:r>
      <w:r w:rsidR="00C424A8" w:rsidRPr="00BD1319">
        <w:rPr>
          <w:spacing w:val="-3"/>
        </w:rPr>
        <w:t xml:space="preserve">determinar </w:t>
      </w:r>
      <w:r w:rsidR="00F97C5C" w:rsidRPr="00BD1319">
        <w:rPr>
          <w:spacing w:val="-3"/>
        </w:rPr>
        <w:t>y localizar</w:t>
      </w:r>
      <w:r w:rsidR="00F97C5C" w:rsidRPr="00BD1319">
        <w:rPr>
          <w:rFonts w:cs="Arial"/>
          <w:spacing w:val="-3"/>
        </w:rPr>
        <w:t xml:space="preserve"> las</w:t>
      </w:r>
      <w:r w:rsidR="00F97C5C" w:rsidRPr="00BD1319">
        <w:rPr>
          <w:spacing w:val="-3"/>
        </w:rPr>
        <w:t xml:space="preserve"> zonas propensas a la ocurrencia de </w:t>
      </w:r>
      <w:proofErr w:type="spellStart"/>
      <w:r w:rsidR="00F97C5C" w:rsidRPr="00BD1319">
        <w:rPr>
          <w:spacing w:val="-3"/>
        </w:rPr>
        <w:t>geoamenazas</w:t>
      </w:r>
      <w:proofErr w:type="spellEnd"/>
      <w:r w:rsidR="00F97C5C" w:rsidRPr="00BD1319">
        <w:rPr>
          <w:spacing w:val="-3"/>
        </w:rPr>
        <w:t xml:space="preserve"> naturales producto de la actividad sísmica y volcánica.</w:t>
      </w:r>
    </w:p>
    <w:p w14:paraId="1C70F69D" w14:textId="77777777" w:rsidR="00F97C5C" w:rsidRPr="00BD1319" w:rsidRDefault="00F97C5C">
      <w:pPr>
        <w:numPr>
          <w:ilvl w:val="12"/>
          <w:numId w:val="0"/>
        </w:numPr>
        <w:tabs>
          <w:tab w:val="left" w:pos="-2268"/>
        </w:tabs>
        <w:suppressAutoHyphens/>
        <w:rPr>
          <w:spacing w:val="-3"/>
        </w:rPr>
      </w:pPr>
    </w:p>
    <w:p w14:paraId="1D03A1F4" w14:textId="4209CE9B" w:rsidR="00DB50F6" w:rsidRPr="00BD1319" w:rsidRDefault="0019341C" w:rsidP="00C86DA5">
      <w:pPr>
        <w:numPr>
          <w:ilvl w:val="12"/>
          <w:numId w:val="0"/>
        </w:numPr>
        <w:tabs>
          <w:tab w:val="left" w:pos="-2268"/>
        </w:tabs>
        <w:suppressAutoHyphens/>
        <w:rPr>
          <w:rFonts w:cs="Arial"/>
          <w:spacing w:val="-3"/>
        </w:rPr>
      </w:pPr>
      <w:r w:rsidRPr="00BD1319">
        <w:rPr>
          <w:spacing w:val="-3"/>
        </w:rPr>
        <w:t xml:space="preserve">En caso de que el área </w:t>
      </w:r>
      <w:r w:rsidR="00F97C5C" w:rsidRPr="00BD1319">
        <w:rPr>
          <w:spacing w:val="-3"/>
        </w:rPr>
        <w:t>estudio</w:t>
      </w:r>
      <w:r w:rsidR="00F97C5C" w:rsidRPr="00BD1319">
        <w:rPr>
          <w:rFonts w:cs="Arial"/>
          <w:spacing w:val="-3"/>
        </w:rPr>
        <w:t xml:space="preserve"> </w:t>
      </w:r>
      <w:r w:rsidR="00603D47" w:rsidRPr="00BD1319">
        <w:rPr>
          <w:rFonts w:cs="Arial"/>
          <w:spacing w:val="-3"/>
        </w:rPr>
        <w:t>d</w:t>
      </w:r>
      <w:r w:rsidR="00F97C5C" w:rsidRPr="00BD1319">
        <w:rPr>
          <w:rFonts w:cs="Arial"/>
          <w:spacing w:val="-3"/>
        </w:rPr>
        <w:t xml:space="preserve">el </w:t>
      </w:r>
      <w:r w:rsidR="00F863C9" w:rsidRPr="00BD1319">
        <w:rPr>
          <w:spacing w:val="-3"/>
        </w:rPr>
        <w:t xml:space="preserve">componente </w:t>
      </w:r>
      <w:r w:rsidR="00F97C5C" w:rsidRPr="00BD1319">
        <w:rPr>
          <w:spacing w:val="-3"/>
        </w:rPr>
        <w:t xml:space="preserve">se encuentre en zonas costeras o marítimas, se deben definir </w:t>
      </w:r>
      <w:r w:rsidR="002E0114" w:rsidRPr="00BD1319">
        <w:rPr>
          <w:spacing w:val="-3"/>
        </w:rPr>
        <w:t xml:space="preserve">las </w:t>
      </w:r>
      <w:r w:rsidR="00F97C5C" w:rsidRPr="00BD1319">
        <w:rPr>
          <w:spacing w:val="-3"/>
        </w:rPr>
        <w:t xml:space="preserve">unidades y rasgos geomorfológicos de la línea de costa e incorporar datos batimétricos (isobatas), si ellos existen; asimismo, </w:t>
      </w:r>
      <w:r w:rsidR="0095583D" w:rsidRPr="00BD1319">
        <w:rPr>
          <w:spacing w:val="-3"/>
        </w:rPr>
        <w:t xml:space="preserve">se deben analizar las variaciones </w:t>
      </w:r>
      <w:r w:rsidR="00F97C5C" w:rsidRPr="00BD1319">
        <w:rPr>
          <w:spacing w:val="-3"/>
        </w:rPr>
        <w:t>temporal</w:t>
      </w:r>
      <w:r w:rsidR="0095583D" w:rsidRPr="00BD1319">
        <w:rPr>
          <w:spacing w:val="-3"/>
        </w:rPr>
        <w:t>es</w:t>
      </w:r>
      <w:r w:rsidR="00F97C5C" w:rsidRPr="00BD1319">
        <w:rPr>
          <w:spacing w:val="-3"/>
        </w:rPr>
        <w:t xml:space="preserve"> de la línea de costa del área de estudio con base en la información disponible, </w:t>
      </w:r>
      <w:r w:rsidR="00603D47" w:rsidRPr="00BD1319">
        <w:rPr>
          <w:spacing w:val="-3"/>
        </w:rPr>
        <w:t>a</w:t>
      </w:r>
      <w:r w:rsidR="00F97C5C" w:rsidRPr="00BD1319">
        <w:rPr>
          <w:spacing w:val="-3"/>
        </w:rPr>
        <w:t xml:space="preserve"> fin de </w:t>
      </w:r>
      <w:r w:rsidR="00C424A8" w:rsidRPr="00BD1319">
        <w:rPr>
          <w:spacing w:val="-3"/>
        </w:rPr>
        <w:t xml:space="preserve">establecer </w:t>
      </w:r>
      <w:r w:rsidR="00F97C5C" w:rsidRPr="00BD1319">
        <w:rPr>
          <w:spacing w:val="-3"/>
        </w:rPr>
        <w:t xml:space="preserve">las tasas de erosión y acreción sedimentaria, </w:t>
      </w:r>
      <w:r w:rsidR="00F97C5C" w:rsidRPr="00BD1319">
        <w:rPr>
          <w:rFonts w:cs="Arial"/>
          <w:spacing w:val="-3"/>
        </w:rPr>
        <w:t>describiendo detalladamente el grado</w:t>
      </w:r>
      <w:r w:rsidR="00F97C5C" w:rsidRPr="00BD1319">
        <w:rPr>
          <w:spacing w:val="-3"/>
        </w:rPr>
        <w:t xml:space="preserve"> de </w:t>
      </w:r>
      <w:r w:rsidR="00F97C5C" w:rsidRPr="00BD1319">
        <w:rPr>
          <w:rFonts w:cs="Arial"/>
          <w:spacing w:val="-3"/>
        </w:rPr>
        <w:t xml:space="preserve">alteración de la </w:t>
      </w:r>
      <w:r w:rsidR="00F97C5C" w:rsidRPr="00BD1319">
        <w:rPr>
          <w:spacing w:val="-3"/>
        </w:rPr>
        <w:t>línea de costa</w:t>
      </w:r>
      <w:r w:rsidR="00F97C5C" w:rsidRPr="00BD1319">
        <w:rPr>
          <w:rFonts w:cs="Arial"/>
          <w:spacing w:val="-3"/>
        </w:rPr>
        <w:t xml:space="preserve"> en el rango de tiempo analizado</w:t>
      </w:r>
      <w:r w:rsidR="00F97C5C" w:rsidRPr="00BD1319">
        <w:rPr>
          <w:spacing w:val="-3"/>
        </w:rPr>
        <w:t>.</w:t>
      </w:r>
    </w:p>
    <w:p w14:paraId="4BF6D530" w14:textId="77777777" w:rsidR="00F97C5C" w:rsidRPr="00BD1319" w:rsidRDefault="00F97C5C">
      <w:pPr>
        <w:numPr>
          <w:ilvl w:val="12"/>
          <w:numId w:val="0"/>
        </w:numPr>
        <w:tabs>
          <w:tab w:val="left" w:pos="-2268"/>
        </w:tabs>
        <w:suppressAutoHyphens/>
        <w:rPr>
          <w:spacing w:val="-3"/>
        </w:rPr>
      </w:pPr>
    </w:p>
    <w:p w14:paraId="2F68CADC" w14:textId="37BDCC7B" w:rsidR="00F97C5C" w:rsidRPr="00BD1319" w:rsidRDefault="00E03439" w:rsidP="00216955">
      <w:pPr>
        <w:pStyle w:val="Ttulo3"/>
      </w:pPr>
      <w:bookmarkStart w:id="2021" w:name="_Toc42552217"/>
      <w:bookmarkStart w:id="2022" w:name="_Toc175326697"/>
      <w:bookmarkEnd w:id="2020"/>
      <w:r w:rsidRPr="00BD1319">
        <w:t>Edafológico</w:t>
      </w:r>
      <w:r w:rsidRPr="00BD1319" w:rsidDel="00E03439">
        <w:t xml:space="preserve"> </w:t>
      </w:r>
      <w:bookmarkEnd w:id="2021"/>
      <w:r w:rsidR="009839D1" w:rsidRPr="00BD1319">
        <w:t>y usos de la tierra</w:t>
      </w:r>
      <w:bookmarkEnd w:id="2022"/>
    </w:p>
    <w:p w14:paraId="623B1CC2" w14:textId="77777777" w:rsidR="00F97C5C" w:rsidRPr="00BD1319" w:rsidRDefault="00F97C5C" w:rsidP="00F97C5C">
      <w:pPr>
        <w:rPr>
          <w:rFonts w:cs="Arial"/>
        </w:rPr>
      </w:pPr>
    </w:p>
    <w:p w14:paraId="223B0216" w14:textId="53C464CE" w:rsidR="00672ED7" w:rsidRPr="00BD1319" w:rsidRDefault="009151ED" w:rsidP="00672ED7">
      <w:pPr>
        <w:rPr>
          <w:color w:val="000000"/>
          <w:szCs w:val="23"/>
          <w:lang w:eastAsia="es-CO"/>
        </w:rPr>
      </w:pPr>
      <w:r w:rsidRPr="00BD1319">
        <w:rPr>
          <w:color w:val="000000"/>
          <w:szCs w:val="23"/>
          <w:lang w:eastAsia="es-CO"/>
        </w:rPr>
        <w:t xml:space="preserve">La </w:t>
      </w:r>
      <w:r w:rsidR="00672ED7" w:rsidRPr="00BD1319">
        <w:rPr>
          <w:color w:val="000000"/>
          <w:szCs w:val="23"/>
          <w:lang w:eastAsia="es-CO"/>
        </w:rPr>
        <w:t xml:space="preserve">caracterización de los suelos del área de estudio </w:t>
      </w:r>
      <w:r w:rsidR="00B16C31" w:rsidRPr="00BD1319">
        <w:rPr>
          <w:color w:val="000000"/>
          <w:szCs w:val="23"/>
          <w:lang w:eastAsia="es-CO"/>
        </w:rPr>
        <w:t xml:space="preserve">del componente </w:t>
      </w:r>
      <w:r w:rsidR="00672ED7" w:rsidRPr="00BD1319">
        <w:rPr>
          <w:color w:val="000000"/>
          <w:szCs w:val="23"/>
          <w:lang w:eastAsia="es-CO"/>
        </w:rPr>
        <w:t xml:space="preserve">y </w:t>
      </w:r>
      <w:r w:rsidRPr="00BD1319">
        <w:rPr>
          <w:color w:val="000000"/>
          <w:szCs w:val="23"/>
          <w:lang w:eastAsia="es-CO"/>
        </w:rPr>
        <w:t xml:space="preserve">el </w:t>
      </w:r>
      <w:r w:rsidR="00672ED7" w:rsidRPr="00BD1319">
        <w:rPr>
          <w:color w:val="000000"/>
          <w:szCs w:val="23"/>
          <w:lang w:eastAsia="es-CO"/>
        </w:rPr>
        <w:t>análisis de su estado actual</w:t>
      </w:r>
      <w:r w:rsidR="00EB0E91" w:rsidRPr="00BD1319">
        <w:rPr>
          <w:color w:val="000000"/>
          <w:szCs w:val="23"/>
          <w:lang w:eastAsia="es-CO"/>
        </w:rPr>
        <w:t xml:space="preserve"> y</w:t>
      </w:r>
      <w:r w:rsidR="00672ED7" w:rsidRPr="00BD1319">
        <w:rPr>
          <w:color w:val="000000"/>
          <w:szCs w:val="23"/>
          <w:lang w:eastAsia="es-CO"/>
        </w:rPr>
        <w:t xml:space="preserve"> capacidad de uso</w:t>
      </w:r>
      <w:r w:rsidRPr="00BD1319">
        <w:rPr>
          <w:color w:val="000000"/>
          <w:szCs w:val="23"/>
          <w:lang w:eastAsia="es-CO"/>
        </w:rPr>
        <w:t xml:space="preserve"> debe desarrollarse a partir de </w:t>
      </w:r>
      <w:r w:rsidR="00672ED7" w:rsidRPr="00BD1319">
        <w:rPr>
          <w:color w:val="000000"/>
          <w:szCs w:val="23"/>
          <w:lang w:eastAsia="es-CO"/>
        </w:rPr>
        <w:t xml:space="preserve">información </w:t>
      </w:r>
      <w:r w:rsidRPr="00BD1319">
        <w:rPr>
          <w:color w:val="000000"/>
          <w:szCs w:val="23"/>
          <w:lang w:eastAsia="es-CO"/>
        </w:rPr>
        <w:t>secundaria</w:t>
      </w:r>
      <w:r w:rsidR="0001712F" w:rsidRPr="00BD1319">
        <w:rPr>
          <w:color w:val="000000"/>
          <w:szCs w:val="23"/>
          <w:lang w:eastAsia="es-CO"/>
        </w:rPr>
        <w:t xml:space="preserve">, mucha de la cual, así como sus especificaciones técnicas, </w:t>
      </w:r>
      <w:r w:rsidR="00672ED7" w:rsidRPr="00BD1319">
        <w:rPr>
          <w:color w:val="000000"/>
          <w:szCs w:val="23"/>
          <w:lang w:eastAsia="es-CO"/>
        </w:rPr>
        <w:t>puede</w:t>
      </w:r>
      <w:r w:rsidR="0001712F" w:rsidRPr="00BD1319">
        <w:rPr>
          <w:color w:val="000000"/>
          <w:szCs w:val="23"/>
          <w:lang w:eastAsia="es-CO"/>
        </w:rPr>
        <w:t>n</w:t>
      </w:r>
      <w:r w:rsidR="00672ED7" w:rsidRPr="00BD1319">
        <w:rPr>
          <w:color w:val="000000"/>
          <w:szCs w:val="23"/>
          <w:lang w:eastAsia="es-CO"/>
        </w:rPr>
        <w:t xml:space="preserve"> descarga</w:t>
      </w:r>
      <w:r w:rsidRPr="00BD1319">
        <w:rPr>
          <w:color w:val="000000"/>
          <w:szCs w:val="23"/>
          <w:lang w:eastAsia="es-CO"/>
        </w:rPr>
        <w:t xml:space="preserve">rse </w:t>
      </w:r>
      <w:r w:rsidR="00672ED7" w:rsidRPr="00BD1319">
        <w:rPr>
          <w:color w:val="000000"/>
          <w:szCs w:val="23"/>
          <w:lang w:eastAsia="es-CO"/>
        </w:rPr>
        <w:t>gratuitamente de la</w:t>
      </w:r>
      <w:r w:rsidR="0001712F" w:rsidRPr="00BD1319">
        <w:rPr>
          <w:color w:val="000000"/>
          <w:szCs w:val="23"/>
          <w:lang w:eastAsia="es-CO"/>
        </w:rPr>
        <w:t>s</w:t>
      </w:r>
      <w:r w:rsidR="00672ED7" w:rsidRPr="00BD1319">
        <w:rPr>
          <w:color w:val="000000"/>
          <w:szCs w:val="23"/>
          <w:lang w:eastAsia="es-CO"/>
        </w:rPr>
        <w:t xml:space="preserve"> página</w:t>
      </w:r>
      <w:r w:rsidR="0001712F" w:rsidRPr="00BD1319">
        <w:rPr>
          <w:color w:val="000000"/>
          <w:szCs w:val="23"/>
          <w:lang w:eastAsia="es-CO"/>
        </w:rPr>
        <w:t>s</w:t>
      </w:r>
      <w:r w:rsidR="00672ED7" w:rsidRPr="00BD1319">
        <w:rPr>
          <w:color w:val="000000"/>
          <w:szCs w:val="23"/>
          <w:lang w:eastAsia="es-CO"/>
        </w:rPr>
        <w:t xml:space="preserve"> Web de la Infraestructura Colombiana de Datos Espaciales</w:t>
      </w:r>
      <w:r w:rsidR="00672ED7" w:rsidRPr="00BD1319">
        <w:rPr>
          <w:color w:val="000000"/>
          <w:szCs w:val="23"/>
          <w:vertAlign w:val="superscript"/>
          <w:lang w:eastAsia="es-CO"/>
        </w:rPr>
        <w:footnoteReference w:id="38"/>
      </w:r>
      <w:r w:rsidR="00672ED7" w:rsidRPr="00BD1319">
        <w:rPr>
          <w:color w:val="000000"/>
          <w:szCs w:val="23"/>
          <w:lang w:eastAsia="es-CO"/>
        </w:rPr>
        <w:t xml:space="preserve"> (ICDE)</w:t>
      </w:r>
      <w:r w:rsidR="002E0114" w:rsidRPr="00BD1319">
        <w:rPr>
          <w:color w:val="000000"/>
          <w:szCs w:val="23"/>
          <w:lang w:eastAsia="es-CO"/>
        </w:rPr>
        <w:t xml:space="preserve"> y del IGAC</w:t>
      </w:r>
      <w:r w:rsidR="002E0114" w:rsidRPr="00BD1319">
        <w:rPr>
          <w:color w:val="000000"/>
          <w:szCs w:val="23"/>
          <w:vertAlign w:val="superscript"/>
          <w:lang w:eastAsia="es-CO"/>
        </w:rPr>
        <w:footnoteReference w:id="39"/>
      </w:r>
      <w:r w:rsidR="0041295D" w:rsidRPr="00BD1319">
        <w:rPr>
          <w:color w:val="000000"/>
          <w:szCs w:val="23"/>
          <w:lang w:eastAsia="es-CO"/>
        </w:rPr>
        <w:t>. A continuación</w:t>
      </w:r>
      <w:r w:rsidR="00B16C31" w:rsidRPr="00BD1319">
        <w:rPr>
          <w:color w:val="000000"/>
          <w:szCs w:val="23"/>
          <w:lang w:eastAsia="es-CO"/>
        </w:rPr>
        <w:t>,</w:t>
      </w:r>
      <w:r w:rsidR="0041295D" w:rsidRPr="00BD1319">
        <w:rPr>
          <w:color w:val="000000"/>
          <w:szCs w:val="23"/>
          <w:lang w:eastAsia="es-CO"/>
        </w:rPr>
        <w:t xml:space="preserve"> se establecen los mapas </w:t>
      </w:r>
      <w:r w:rsidR="00EE3F79" w:rsidRPr="00BD1319">
        <w:rPr>
          <w:color w:val="000000"/>
          <w:szCs w:val="23"/>
          <w:lang w:eastAsia="es-CO"/>
        </w:rPr>
        <w:lastRenderedPageBreak/>
        <w:t>de los cuales debe tomarse información</w:t>
      </w:r>
      <w:r w:rsidR="0041295D" w:rsidRPr="00BD1319">
        <w:rPr>
          <w:color w:val="000000"/>
          <w:szCs w:val="23"/>
          <w:lang w:eastAsia="es-CO"/>
        </w:rPr>
        <w:t xml:space="preserve"> </w:t>
      </w:r>
      <w:r w:rsidR="00EE3F79" w:rsidRPr="00BD1319">
        <w:rPr>
          <w:color w:val="000000"/>
          <w:szCs w:val="23"/>
          <w:lang w:eastAsia="es-CO"/>
        </w:rPr>
        <w:t xml:space="preserve">para realizar </w:t>
      </w:r>
      <w:r w:rsidR="0041295D" w:rsidRPr="00BD1319">
        <w:rPr>
          <w:color w:val="000000"/>
          <w:szCs w:val="23"/>
          <w:lang w:eastAsia="es-CO"/>
        </w:rPr>
        <w:t>la caracterización y análisis de los suelos</w:t>
      </w:r>
      <w:r w:rsidR="00672ED7" w:rsidRPr="00BD1319">
        <w:rPr>
          <w:color w:val="000000"/>
          <w:szCs w:val="23"/>
          <w:lang w:eastAsia="es-CO"/>
        </w:rPr>
        <w:t>:</w:t>
      </w:r>
    </w:p>
    <w:p w14:paraId="4CCBCCE0" w14:textId="77777777" w:rsidR="00672ED7" w:rsidRPr="00BD1319" w:rsidRDefault="00672ED7" w:rsidP="00672ED7">
      <w:pPr>
        <w:rPr>
          <w:color w:val="000000"/>
          <w:szCs w:val="23"/>
          <w:lang w:eastAsia="es-CO"/>
        </w:rPr>
      </w:pPr>
    </w:p>
    <w:p w14:paraId="417F80C5" w14:textId="096111D6" w:rsidR="00672ED7" w:rsidRPr="00BD1319" w:rsidRDefault="00672ED7" w:rsidP="00C86DA5">
      <w:pPr>
        <w:pStyle w:val="Prrafodelista"/>
        <w:numPr>
          <w:ilvl w:val="0"/>
          <w:numId w:val="345"/>
        </w:numPr>
        <w:ind w:left="567" w:hanging="567"/>
        <w:rPr>
          <w:color w:val="000000"/>
          <w:szCs w:val="23"/>
          <w:lang w:val="es-CO" w:eastAsia="es-CO"/>
        </w:rPr>
      </w:pPr>
      <w:r w:rsidRPr="00BD1319">
        <w:rPr>
          <w:color w:val="000000"/>
          <w:szCs w:val="23"/>
          <w:lang w:val="es-CO" w:eastAsia="es-CO"/>
        </w:rPr>
        <w:t>Mapa digital de suelos (IGAC): representa la distribución de las características de los suelos, determinadas mediante el levantamiento general a escala 1:100.000. Contiene información sobre las características físicas, químicas, mineralógicas y morfológicas,</w:t>
      </w:r>
      <w:r w:rsidR="0001712F" w:rsidRPr="00BD1319">
        <w:rPr>
          <w:color w:val="000000"/>
          <w:szCs w:val="23"/>
          <w:lang w:val="es-CO" w:eastAsia="es-CO"/>
        </w:rPr>
        <w:t xml:space="preserve"> así como sobre la</w:t>
      </w:r>
      <w:r w:rsidRPr="00BD1319">
        <w:rPr>
          <w:color w:val="000000"/>
          <w:szCs w:val="23"/>
          <w:lang w:val="es-CO" w:eastAsia="es-CO"/>
        </w:rPr>
        <w:t xml:space="preserve"> taxonomía y distribución espacial del suelo.</w:t>
      </w:r>
    </w:p>
    <w:p w14:paraId="537BE5C6" w14:textId="77777777" w:rsidR="00672ED7" w:rsidRPr="00BD1319" w:rsidRDefault="00672ED7" w:rsidP="00672ED7">
      <w:pPr>
        <w:rPr>
          <w:color w:val="000000"/>
          <w:szCs w:val="23"/>
          <w:lang w:eastAsia="es-CO"/>
        </w:rPr>
      </w:pPr>
    </w:p>
    <w:p w14:paraId="532ABF76" w14:textId="305C076E" w:rsidR="00672ED7" w:rsidRPr="00BD1319" w:rsidRDefault="00672ED7" w:rsidP="00C86DA5">
      <w:pPr>
        <w:pStyle w:val="Prrafodelista"/>
        <w:numPr>
          <w:ilvl w:val="0"/>
          <w:numId w:val="345"/>
        </w:numPr>
        <w:ind w:left="567" w:hanging="567"/>
        <w:rPr>
          <w:color w:val="000000"/>
          <w:szCs w:val="23"/>
          <w:lang w:val="es-CO" w:eastAsia="es-CO"/>
        </w:rPr>
      </w:pPr>
      <w:r w:rsidRPr="00BD1319">
        <w:rPr>
          <w:color w:val="000000"/>
          <w:szCs w:val="23"/>
          <w:lang w:val="es-CO" w:eastAsia="es-CO"/>
        </w:rPr>
        <w:t>Mapa digital de capacidad de uso de la tierra (IGAC): representa la clasificación por capacidad de uso de las tierras, determinadas mediante el levantamiento general de suelos a escala 1:100.000. Suministra información importante a través de la determinación de las potencialidades y limitaciones de uso de las tierras a partir del análisis de las características de los suelos. Define las unidades cartográficas de capacidad de uso de las tierras con sus respectivos componentes a nivel de clase, subclase, grupo de manejo, principales limitantes y prácticas de manejo.</w:t>
      </w:r>
    </w:p>
    <w:p w14:paraId="29FFE63D" w14:textId="77777777" w:rsidR="00672ED7" w:rsidRPr="00BD1319" w:rsidRDefault="00672ED7">
      <w:pPr>
        <w:rPr>
          <w:color w:val="000000"/>
          <w:szCs w:val="23"/>
          <w:lang w:eastAsia="es-CO"/>
        </w:rPr>
      </w:pPr>
    </w:p>
    <w:p w14:paraId="593079DE" w14:textId="7248455B" w:rsidR="00672ED7" w:rsidRPr="00BD1319" w:rsidRDefault="00672ED7" w:rsidP="00C86DA5">
      <w:pPr>
        <w:pStyle w:val="Prrafodelista"/>
        <w:numPr>
          <w:ilvl w:val="0"/>
          <w:numId w:val="345"/>
        </w:numPr>
        <w:ind w:left="567" w:hanging="567"/>
        <w:rPr>
          <w:color w:val="000000"/>
          <w:szCs w:val="23"/>
          <w:lang w:val="es-CO" w:eastAsia="es-CO"/>
        </w:rPr>
      </w:pPr>
      <w:r w:rsidRPr="00BD1319">
        <w:rPr>
          <w:color w:val="000000"/>
          <w:szCs w:val="23"/>
          <w:lang w:val="es-CO" w:eastAsia="es-CO"/>
        </w:rPr>
        <w:t>Mapa digital de oferta ambiental (IGAC): representa las áreas de oferta ambiental que resulta de la suma de los bienes, funciones y servicios provistos por los sistemas naturales, transformados y los sistemas antrópicos, determinados a partir del levantamiento general de suelos a escala 1:100.000</w:t>
      </w:r>
      <w:r w:rsidR="001C7FB5" w:rsidRPr="00BD1319">
        <w:rPr>
          <w:color w:val="000000"/>
          <w:szCs w:val="23"/>
          <w:lang w:val="es-CO" w:eastAsia="es-CO"/>
        </w:rPr>
        <w:t>.</w:t>
      </w:r>
      <w:r w:rsidRPr="00BD1319">
        <w:rPr>
          <w:color w:val="000000"/>
          <w:szCs w:val="23"/>
          <w:lang w:val="es-CO" w:eastAsia="es-CO"/>
        </w:rPr>
        <w:t xml:space="preserve"> </w:t>
      </w:r>
      <w:r w:rsidR="001C7FB5" w:rsidRPr="00BD1319">
        <w:rPr>
          <w:color w:val="000000"/>
          <w:szCs w:val="23"/>
          <w:lang w:val="es-CO" w:eastAsia="es-CO"/>
        </w:rPr>
        <w:t>C</w:t>
      </w:r>
      <w:r w:rsidRPr="00BD1319">
        <w:rPr>
          <w:color w:val="000000"/>
          <w:szCs w:val="23"/>
          <w:lang w:val="es-CO" w:eastAsia="es-CO"/>
        </w:rPr>
        <w:t>ontiene la clasificación de las áreas de conservación y protección ambiental, las áreas de producción agrícola, ganadera y explotación de recursos naturales, las áreas de susceptibilidad y amenazas y las áreas consideradas como de patrimonio cultural de la Nación.</w:t>
      </w:r>
    </w:p>
    <w:p w14:paraId="33C00CF8" w14:textId="77777777" w:rsidR="00672ED7" w:rsidRPr="00BD1319" w:rsidRDefault="00672ED7">
      <w:pPr>
        <w:rPr>
          <w:color w:val="000000"/>
          <w:szCs w:val="23"/>
          <w:lang w:eastAsia="es-CO"/>
        </w:rPr>
      </w:pPr>
    </w:p>
    <w:p w14:paraId="69BE5F55" w14:textId="7A883174" w:rsidR="00672ED7" w:rsidRPr="00BD1319" w:rsidRDefault="00672ED7" w:rsidP="00C86DA5">
      <w:pPr>
        <w:pStyle w:val="Prrafodelista"/>
        <w:numPr>
          <w:ilvl w:val="0"/>
          <w:numId w:val="345"/>
        </w:numPr>
        <w:ind w:left="567" w:hanging="567"/>
        <w:rPr>
          <w:color w:val="000000"/>
          <w:szCs w:val="23"/>
          <w:lang w:val="es-CO" w:eastAsia="es-CO"/>
        </w:rPr>
      </w:pPr>
      <w:r w:rsidRPr="00BD1319">
        <w:rPr>
          <w:color w:val="000000"/>
          <w:szCs w:val="23"/>
          <w:lang w:val="es-CO" w:eastAsia="es-CO"/>
        </w:rPr>
        <w:t xml:space="preserve">Mapa de uso </w:t>
      </w:r>
      <w:r w:rsidR="00092086" w:rsidRPr="00BD1319">
        <w:rPr>
          <w:color w:val="000000"/>
          <w:szCs w:val="23"/>
          <w:lang w:val="es-CO" w:eastAsia="es-CO"/>
        </w:rPr>
        <w:t>del suelo</w:t>
      </w:r>
      <w:r w:rsidRPr="00BD1319">
        <w:rPr>
          <w:color w:val="000000"/>
          <w:szCs w:val="23"/>
          <w:lang w:val="es-CO" w:eastAsia="es-CO"/>
        </w:rPr>
        <w:t xml:space="preserve">: </w:t>
      </w:r>
      <w:r w:rsidR="00944B6C" w:rsidRPr="00BD1319">
        <w:rPr>
          <w:color w:val="000000"/>
          <w:szCs w:val="23"/>
          <w:lang w:val="es-CO" w:eastAsia="es-CO"/>
        </w:rPr>
        <w:t xml:space="preserve">establece </w:t>
      </w:r>
      <w:r w:rsidRPr="00BD1319">
        <w:rPr>
          <w:color w:val="000000"/>
          <w:szCs w:val="23"/>
          <w:lang w:val="es-CO" w:eastAsia="es-CO"/>
        </w:rPr>
        <w:t xml:space="preserve">los usos </w:t>
      </w:r>
      <w:r w:rsidR="00092086" w:rsidRPr="00BD1319">
        <w:rPr>
          <w:color w:val="000000"/>
          <w:szCs w:val="23"/>
          <w:lang w:val="es-CO" w:eastAsia="es-CO"/>
        </w:rPr>
        <w:t xml:space="preserve">principales, compatibles, complementarios, restringidos y prohibidos del suelo </w:t>
      </w:r>
      <w:r w:rsidRPr="00BD1319">
        <w:rPr>
          <w:color w:val="000000"/>
          <w:szCs w:val="23"/>
          <w:lang w:val="es-CO" w:eastAsia="es-CO"/>
        </w:rPr>
        <w:t>de acuerdo con lo establecido en los instrumentos de ordenamiento territorial (POT, PBOT</w:t>
      </w:r>
      <w:r w:rsidR="00092086" w:rsidRPr="00BD1319">
        <w:rPr>
          <w:color w:val="000000"/>
          <w:szCs w:val="23"/>
          <w:lang w:val="es-CO" w:eastAsia="es-CO"/>
        </w:rPr>
        <w:t xml:space="preserve"> y</w:t>
      </w:r>
      <w:r w:rsidRPr="00BD1319">
        <w:rPr>
          <w:color w:val="000000"/>
          <w:szCs w:val="23"/>
          <w:lang w:val="es-CO" w:eastAsia="es-CO"/>
        </w:rPr>
        <w:t xml:space="preserve"> EOT).</w:t>
      </w:r>
    </w:p>
    <w:p w14:paraId="475C2688" w14:textId="77777777" w:rsidR="00672ED7" w:rsidRPr="00BD1319" w:rsidRDefault="00672ED7">
      <w:pPr>
        <w:rPr>
          <w:color w:val="000000"/>
          <w:szCs w:val="23"/>
          <w:lang w:eastAsia="es-CO"/>
        </w:rPr>
      </w:pPr>
    </w:p>
    <w:p w14:paraId="353F0367" w14:textId="7C296555" w:rsidR="00672ED7" w:rsidRPr="00BD1319" w:rsidRDefault="00672ED7" w:rsidP="00C86DA5">
      <w:pPr>
        <w:pStyle w:val="Prrafodelista"/>
        <w:numPr>
          <w:ilvl w:val="0"/>
          <w:numId w:val="345"/>
        </w:numPr>
        <w:ind w:left="567" w:hanging="567"/>
        <w:rPr>
          <w:color w:val="000000"/>
          <w:szCs w:val="23"/>
          <w:lang w:val="es-CO" w:eastAsia="es-CO"/>
        </w:rPr>
      </w:pPr>
      <w:r w:rsidRPr="00BD1319">
        <w:rPr>
          <w:color w:val="000000"/>
          <w:szCs w:val="23"/>
          <w:lang w:val="es-CO" w:eastAsia="es-CO"/>
        </w:rPr>
        <w:t xml:space="preserve">Mapa digital de conflictos de uso (IGAC): representa la distribución de los tipos de conflictos de uso del territorio, generados a partir del análisis de </w:t>
      </w:r>
      <w:r w:rsidR="004A7007" w:rsidRPr="00BD1319">
        <w:rPr>
          <w:color w:val="000000"/>
          <w:szCs w:val="23"/>
          <w:lang w:val="es-CO" w:eastAsia="es-CO"/>
        </w:rPr>
        <w:t>oferta y demanda ambientales</w:t>
      </w:r>
      <w:r w:rsidRPr="00BD1319">
        <w:rPr>
          <w:color w:val="000000"/>
          <w:szCs w:val="23"/>
          <w:lang w:val="es-CO" w:eastAsia="es-CO"/>
        </w:rPr>
        <w:t>, expresados como una correspondencia entre el uso actual y el potencial recomendado, o como la discrepancia entre éstos por sub o sobreutilización del medio natural.</w:t>
      </w:r>
    </w:p>
    <w:p w14:paraId="3DFF5895" w14:textId="77777777" w:rsidR="00EB0E91" w:rsidRPr="00BD1319" w:rsidRDefault="00EB0E91" w:rsidP="009420F5">
      <w:pPr>
        <w:pStyle w:val="Prrafodelista"/>
        <w:rPr>
          <w:color w:val="000000"/>
          <w:szCs w:val="23"/>
          <w:lang w:val="es-CO" w:eastAsia="es-CO"/>
        </w:rPr>
      </w:pPr>
    </w:p>
    <w:p w14:paraId="7835AB73" w14:textId="6458C46D" w:rsidR="00EB0E91" w:rsidRPr="00BD1319" w:rsidRDefault="00EB0E91" w:rsidP="00C86DA5">
      <w:pPr>
        <w:pStyle w:val="Prrafodelista"/>
        <w:numPr>
          <w:ilvl w:val="0"/>
          <w:numId w:val="345"/>
        </w:numPr>
        <w:ind w:left="567" w:hanging="567"/>
        <w:rPr>
          <w:color w:val="000000"/>
          <w:szCs w:val="23"/>
          <w:lang w:val="es-CO" w:eastAsia="es-CO"/>
        </w:rPr>
      </w:pPr>
      <w:r w:rsidRPr="00BD1319">
        <w:rPr>
          <w:bCs/>
          <w:color w:val="000000"/>
          <w:szCs w:val="23"/>
          <w:lang w:val="es-CO" w:eastAsia="es-CO"/>
        </w:rPr>
        <w:lastRenderedPageBreak/>
        <w:t xml:space="preserve">Mapa de zonificación de manejo de áreas protegidas y </w:t>
      </w:r>
      <w:r w:rsidR="00CF3C21" w:rsidRPr="00BD1319">
        <w:rPr>
          <w:bCs/>
          <w:color w:val="000000"/>
          <w:szCs w:val="23"/>
          <w:lang w:val="es-CO" w:eastAsia="es-CO"/>
        </w:rPr>
        <w:t xml:space="preserve">mapa de zonificación de manejo de </w:t>
      </w:r>
      <w:r w:rsidRPr="00BD1319">
        <w:rPr>
          <w:bCs/>
          <w:color w:val="000000"/>
          <w:szCs w:val="23"/>
          <w:lang w:val="es-CO" w:eastAsia="es-CO"/>
        </w:rPr>
        <w:t>ecosistemas estratégicos</w:t>
      </w:r>
      <w:r w:rsidR="009654DC" w:rsidRPr="00BD1319">
        <w:rPr>
          <w:bCs/>
          <w:color w:val="000000"/>
          <w:szCs w:val="23"/>
          <w:lang w:val="es-CO" w:eastAsia="es-CO"/>
        </w:rPr>
        <w:t xml:space="preserve">, </w:t>
      </w:r>
      <w:r w:rsidR="009654DC" w:rsidRPr="00BD1319">
        <w:rPr>
          <w:rFonts w:cs="Arial"/>
          <w:spacing w:val="-3"/>
          <w:lang w:val="es-CO"/>
        </w:rPr>
        <w:t>en caso de que existan para las áreas protegidas o los ecosistemas estratégicos identificados en el área de estudio</w:t>
      </w:r>
      <w:r w:rsidR="009654DC" w:rsidRPr="00BD1319">
        <w:rPr>
          <w:rStyle w:val="Refdenotaalpie"/>
          <w:rFonts w:cs="Arial"/>
          <w:spacing w:val="-3"/>
          <w:lang w:val="es-CO"/>
        </w:rPr>
        <w:footnoteReference w:id="40"/>
      </w:r>
      <w:r w:rsidR="00651288" w:rsidRPr="00BD1319">
        <w:rPr>
          <w:color w:val="000000"/>
          <w:szCs w:val="23"/>
          <w:lang w:val="es-CO" w:eastAsia="es-CO"/>
        </w:rPr>
        <w:t>.</w:t>
      </w:r>
    </w:p>
    <w:p w14:paraId="35B30EDE" w14:textId="77777777" w:rsidR="00672ED7" w:rsidRPr="00BD1319" w:rsidRDefault="00672ED7" w:rsidP="00672ED7">
      <w:pPr>
        <w:rPr>
          <w:color w:val="000000"/>
          <w:szCs w:val="23"/>
          <w:lang w:eastAsia="es-CO"/>
        </w:rPr>
      </w:pPr>
    </w:p>
    <w:p w14:paraId="314E3204" w14:textId="12D1DD9E" w:rsidR="00672ED7" w:rsidRPr="00BD1319" w:rsidRDefault="00944B6C" w:rsidP="00672ED7">
      <w:pPr>
        <w:rPr>
          <w:color w:val="000000"/>
          <w:szCs w:val="23"/>
          <w:lang w:eastAsia="es-CO"/>
        </w:rPr>
      </w:pPr>
      <w:r w:rsidRPr="00BD1319">
        <w:rPr>
          <w:color w:val="000000"/>
          <w:szCs w:val="23"/>
          <w:lang w:eastAsia="es-CO"/>
        </w:rPr>
        <w:t>L</w:t>
      </w:r>
      <w:r w:rsidR="00164859" w:rsidRPr="00BD1319">
        <w:rPr>
          <w:color w:val="000000"/>
          <w:szCs w:val="23"/>
          <w:lang w:eastAsia="es-CO"/>
        </w:rPr>
        <w:t xml:space="preserve">a caracterización </w:t>
      </w:r>
      <w:r w:rsidRPr="00BD1319">
        <w:rPr>
          <w:color w:val="000000"/>
          <w:szCs w:val="23"/>
          <w:lang w:eastAsia="es-CO"/>
        </w:rPr>
        <w:t>asociada a</w:t>
      </w:r>
      <w:r w:rsidR="00A80BBD" w:rsidRPr="00BD1319">
        <w:rPr>
          <w:color w:val="000000"/>
          <w:szCs w:val="23"/>
          <w:lang w:eastAsia="es-CO"/>
        </w:rPr>
        <w:t xml:space="preserve">l contenido de carbono orgánico y </w:t>
      </w:r>
      <w:r w:rsidRPr="00BD1319">
        <w:rPr>
          <w:color w:val="000000"/>
          <w:szCs w:val="23"/>
          <w:lang w:eastAsia="es-CO"/>
        </w:rPr>
        <w:t>a</w:t>
      </w:r>
      <w:r w:rsidR="00164859" w:rsidRPr="00BD1319">
        <w:rPr>
          <w:color w:val="000000"/>
          <w:szCs w:val="23"/>
          <w:lang w:eastAsia="es-CO"/>
        </w:rPr>
        <w:t xml:space="preserve">l estado de degradación de los suelos </w:t>
      </w:r>
      <w:r w:rsidRPr="00BD1319">
        <w:rPr>
          <w:color w:val="000000"/>
          <w:szCs w:val="23"/>
          <w:lang w:eastAsia="es-CO"/>
        </w:rPr>
        <w:t xml:space="preserve">debe ejecutarse </w:t>
      </w:r>
      <w:r w:rsidR="00164859" w:rsidRPr="00BD1319">
        <w:rPr>
          <w:color w:val="000000"/>
          <w:szCs w:val="23"/>
          <w:lang w:eastAsia="es-CO"/>
        </w:rPr>
        <w:t xml:space="preserve">a partir de </w:t>
      </w:r>
      <w:r w:rsidR="00672ED7" w:rsidRPr="00BD1319">
        <w:rPr>
          <w:color w:val="000000"/>
          <w:szCs w:val="23"/>
          <w:lang w:eastAsia="es-CO"/>
        </w:rPr>
        <w:t>la siguiente información</w:t>
      </w:r>
      <w:r w:rsidR="00164859" w:rsidRPr="00BD1319">
        <w:rPr>
          <w:color w:val="000000"/>
          <w:szCs w:val="23"/>
          <w:vertAlign w:val="superscript"/>
          <w:lang w:eastAsia="es-CO"/>
        </w:rPr>
        <w:footnoteReference w:id="41"/>
      </w:r>
      <w:r w:rsidR="00672ED7" w:rsidRPr="00BD1319">
        <w:rPr>
          <w:color w:val="000000"/>
          <w:szCs w:val="23"/>
          <w:lang w:eastAsia="es-CO"/>
        </w:rPr>
        <w:t>:</w:t>
      </w:r>
    </w:p>
    <w:p w14:paraId="1FE1955A" w14:textId="77777777" w:rsidR="00672ED7" w:rsidRPr="00BD1319" w:rsidRDefault="00672ED7" w:rsidP="00672ED7">
      <w:pPr>
        <w:rPr>
          <w:color w:val="000000"/>
          <w:szCs w:val="23"/>
          <w:lang w:eastAsia="es-CO"/>
        </w:rPr>
      </w:pPr>
    </w:p>
    <w:p w14:paraId="2C2B65A1" w14:textId="77A04787" w:rsidR="00672ED7" w:rsidRPr="00BD1319" w:rsidRDefault="00672ED7" w:rsidP="00672ED7">
      <w:pPr>
        <w:numPr>
          <w:ilvl w:val="0"/>
          <w:numId w:val="344"/>
        </w:numPr>
        <w:ind w:left="567" w:hanging="567"/>
        <w:rPr>
          <w:color w:val="000000"/>
          <w:szCs w:val="23"/>
          <w:lang w:eastAsia="es-CO"/>
        </w:rPr>
      </w:pPr>
      <w:r w:rsidRPr="00BD1319">
        <w:rPr>
          <w:color w:val="000000"/>
          <w:szCs w:val="23"/>
          <w:lang w:eastAsia="es-CO"/>
        </w:rPr>
        <w:t xml:space="preserve">Mapa nacional </w:t>
      </w:r>
      <w:r w:rsidR="005143F4" w:rsidRPr="00BD1319">
        <w:rPr>
          <w:color w:val="000000"/>
          <w:szCs w:val="23"/>
          <w:lang w:eastAsia="es-CO"/>
        </w:rPr>
        <w:t xml:space="preserve">de stock </w:t>
      </w:r>
      <w:r w:rsidRPr="00BD1319">
        <w:rPr>
          <w:color w:val="000000"/>
          <w:szCs w:val="23"/>
          <w:lang w:eastAsia="es-CO"/>
        </w:rPr>
        <w:t xml:space="preserve">de carbono orgánico </w:t>
      </w:r>
      <w:r w:rsidR="005143F4" w:rsidRPr="00BD1319">
        <w:rPr>
          <w:color w:val="000000"/>
          <w:szCs w:val="23"/>
          <w:lang w:eastAsia="es-CO"/>
        </w:rPr>
        <w:t>de Colombia</w:t>
      </w:r>
      <w:r w:rsidRPr="00BD1319">
        <w:rPr>
          <w:color w:val="000000"/>
          <w:szCs w:val="23"/>
          <w:lang w:eastAsia="es-CO"/>
        </w:rPr>
        <w:t>.</w:t>
      </w:r>
    </w:p>
    <w:p w14:paraId="17E6935A" w14:textId="77777777" w:rsidR="00672ED7" w:rsidRPr="00BD1319" w:rsidRDefault="00672ED7" w:rsidP="00672ED7">
      <w:pPr>
        <w:ind w:left="567" w:hanging="567"/>
        <w:rPr>
          <w:color w:val="000000"/>
          <w:szCs w:val="23"/>
          <w:lang w:eastAsia="es-CO"/>
        </w:rPr>
      </w:pPr>
    </w:p>
    <w:p w14:paraId="03AFB093" w14:textId="11705C6D" w:rsidR="00672ED7" w:rsidRPr="00BD1319" w:rsidRDefault="00672ED7" w:rsidP="00672ED7">
      <w:pPr>
        <w:numPr>
          <w:ilvl w:val="0"/>
          <w:numId w:val="344"/>
        </w:numPr>
        <w:ind w:left="567" w:hanging="567"/>
        <w:rPr>
          <w:rFonts w:cs="Arial"/>
          <w:color w:val="000000"/>
          <w:szCs w:val="23"/>
          <w:lang w:eastAsia="es-CO"/>
        </w:rPr>
      </w:pPr>
      <w:r w:rsidRPr="00BD1319">
        <w:rPr>
          <w:rFonts w:cs="Arial"/>
          <w:color w:val="000000"/>
          <w:szCs w:val="23"/>
          <w:lang w:eastAsia="es-CO"/>
        </w:rPr>
        <w:t>Zonificación de la degradación de suelos por erosión. Línea base 2010 – 2011 (</w:t>
      </w:r>
      <w:proofErr w:type="spellStart"/>
      <w:r w:rsidR="00A92356" w:rsidRPr="00BD1319">
        <w:rPr>
          <w:rFonts w:cs="Arial"/>
          <w:color w:val="000000"/>
          <w:szCs w:val="23"/>
          <w:lang w:eastAsia="es-CO"/>
        </w:rPr>
        <w:t>Ideam</w:t>
      </w:r>
      <w:proofErr w:type="spellEnd"/>
      <w:r w:rsidRPr="00BD1319">
        <w:rPr>
          <w:rFonts w:cs="Arial"/>
          <w:color w:val="000000"/>
          <w:szCs w:val="23"/>
          <w:lang w:eastAsia="es-CO"/>
        </w:rPr>
        <w:t>).</w:t>
      </w:r>
    </w:p>
    <w:p w14:paraId="0615B8D2" w14:textId="77777777" w:rsidR="00672ED7" w:rsidRPr="00BD1319" w:rsidRDefault="00672ED7" w:rsidP="00672ED7">
      <w:pPr>
        <w:ind w:left="567" w:hanging="567"/>
        <w:rPr>
          <w:color w:val="000000"/>
          <w:szCs w:val="23"/>
          <w:lang w:eastAsia="es-CO"/>
        </w:rPr>
      </w:pPr>
    </w:p>
    <w:p w14:paraId="0A5FF35C" w14:textId="1E96735A" w:rsidR="00672ED7" w:rsidRPr="00BD1319" w:rsidRDefault="00672ED7" w:rsidP="00672ED7">
      <w:pPr>
        <w:numPr>
          <w:ilvl w:val="0"/>
          <w:numId w:val="344"/>
        </w:numPr>
        <w:ind w:left="567" w:hanging="567"/>
        <w:rPr>
          <w:color w:val="000000"/>
          <w:szCs w:val="23"/>
          <w:lang w:eastAsia="es-CO"/>
        </w:rPr>
      </w:pPr>
      <w:r w:rsidRPr="00BD1319">
        <w:rPr>
          <w:color w:val="000000"/>
          <w:szCs w:val="23"/>
          <w:lang w:eastAsia="es-CO"/>
        </w:rPr>
        <w:t>Zonificación de la degradación de suelos por salinización, para el área continental e insular de Colombia a escala 1:100.000 y 1:10.000 respectivamente. Año 2016 – 2017 (</w:t>
      </w:r>
      <w:proofErr w:type="spellStart"/>
      <w:r w:rsidR="00A92356" w:rsidRPr="00BD1319">
        <w:rPr>
          <w:color w:val="000000"/>
          <w:szCs w:val="23"/>
          <w:lang w:eastAsia="es-CO"/>
        </w:rPr>
        <w:t>Ideam</w:t>
      </w:r>
      <w:proofErr w:type="spellEnd"/>
      <w:r w:rsidRPr="00BD1319">
        <w:rPr>
          <w:color w:val="000000"/>
          <w:szCs w:val="23"/>
          <w:lang w:eastAsia="es-CO"/>
        </w:rPr>
        <w:t>)</w:t>
      </w:r>
      <w:r w:rsidR="009908B2" w:rsidRPr="00BD1319">
        <w:rPr>
          <w:color w:val="000000"/>
          <w:szCs w:val="23"/>
          <w:lang w:eastAsia="es-CO"/>
        </w:rPr>
        <w:t>.</w:t>
      </w:r>
    </w:p>
    <w:p w14:paraId="1E07C433" w14:textId="77777777" w:rsidR="00672ED7" w:rsidRPr="00BD1319" w:rsidRDefault="00672ED7" w:rsidP="00672ED7">
      <w:pPr>
        <w:rPr>
          <w:color w:val="000000"/>
          <w:szCs w:val="23"/>
          <w:lang w:eastAsia="es-CO"/>
        </w:rPr>
      </w:pPr>
    </w:p>
    <w:p w14:paraId="1443215A" w14:textId="5993128C" w:rsidR="00A80BBD" w:rsidRPr="00BD1319" w:rsidRDefault="00A80BBD" w:rsidP="00A80BBD">
      <w:pPr>
        <w:rPr>
          <w:bCs/>
          <w:color w:val="000000"/>
          <w:szCs w:val="23"/>
          <w:lang w:eastAsia="es-CO"/>
        </w:rPr>
      </w:pPr>
      <w:r w:rsidRPr="00BD1319">
        <w:rPr>
          <w:bCs/>
          <w:color w:val="000000"/>
          <w:szCs w:val="23"/>
          <w:lang w:eastAsia="es-CO"/>
        </w:rPr>
        <w:t xml:space="preserve">Con el objeto de que se analice la información existente y se facilite el proceso de comparación y posterior selección de alternativas, es necesario </w:t>
      </w:r>
      <w:r w:rsidR="00944B6C" w:rsidRPr="00BD1319">
        <w:rPr>
          <w:bCs/>
          <w:color w:val="000000"/>
          <w:szCs w:val="23"/>
          <w:lang w:eastAsia="es-CO"/>
        </w:rPr>
        <w:t xml:space="preserve">elaborar un </w:t>
      </w:r>
      <w:r w:rsidRPr="00BD1319">
        <w:rPr>
          <w:bCs/>
          <w:color w:val="000000"/>
          <w:szCs w:val="23"/>
          <w:lang w:eastAsia="es-CO"/>
        </w:rPr>
        <w:t xml:space="preserve">mapa </w:t>
      </w:r>
      <w:r w:rsidR="00944B6C" w:rsidRPr="00BD1319">
        <w:rPr>
          <w:bCs/>
          <w:color w:val="000000"/>
          <w:szCs w:val="23"/>
          <w:lang w:eastAsia="es-CO"/>
        </w:rPr>
        <w:t xml:space="preserve">de </w:t>
      </w:r>
      <w:r w:rsidRPr="00BD1319">
        <w:rPr>
          <w:bCs/>
          <w:i/>
          <w:iCs/>
          <w:color w:val="000000"/>
          <w:szCs w:val="23"/>
          <w:lang w:eastAsia="es-CO"/>
        </w:rPr>
        <w:t>conflicto ambiental en el uso de las tierras</w:t>
      </w:r>
      <w:r w:rsidR="00643B87" w:rsidRPr="00BD1319">
        <w:rPr>
          <w:bCs/>
          <w:i/>
          <w:iCs/>
          <w:color w:val="000000"/>
          <w:szCs w:val="23"/>
          <w:lang w:eastAsia="es-CO"/>
        </w:rPr>
        <w:t>,</w:t>
      </w:r>
      <w:r w:rsidRPr="00BD1319">
        <w:rPr>
          <w:bCs/>
          <w:color w:val="000000"/>
          <w:szCs w:val="23"/>
          <w:lang w:eastAsia="es-CO"/>
        </w:rPr>
        <w:t xml:space="preserve"> a partir de </w:t>
      </w:r>
      <w:r w:rsidR="00944B6C" w:rsidRPr="00BD1319">
        <w:rPr>
          <w:bCs/>
          <w:color w:val="000000"/>
          <w:szCs w:val="23"/>
          <w:lang w:eastAsia="es-CO"/>
        </w:rPr>
        <w:t xml:space="preserve">la </w:t>
      </w:r>
      <w:r w:rsidRPr="00BD1319">
        <w:rPr>
          <w:bCs/>
          <w:color w:val="000000"/>
          <w:szCs w:val="23"/>
          <w:lang w:eastAsia="es-CO"/>
        </w:rPr>
        <w:t>información</w:t>
      </w:r>
      <w:r w:rsidR="00944B6C" w:rsidRPr="00BD1319">
        <w:rPr>
          <w:bCs/>
          <w:color w:val="000000"/>
          <w:szCs w:val="23"/>
          <w:lang w:eastAsia="es-CO"/>
        </w:rPr>
        <w:t xml:space="preserve"> sobre condiciones de uso, capacidad y conflicto de uso, oferta ambiental, áreas protegidas, áreas de interés por contenido de carbono orgánico y zonas con potencial de degradación por salinización o erosión</w:t>
      </w:r>
      <w:r w:rsidRPr="00BD1319">
        <w:rPr>
          <w:bCs/>
          <w:color w:val="000000"/>
          <w:szCs w:val="23"/>
          <w:lang w:eastAsia="es-CO"/>
        </w:rPr>
        <w:t xml:space="preserve">, </w:t>
      </w:r>
      <w:r w:rsidR="00643B87" w:rsidRPr="00BD1319">
        <w:rPr>
          <w:bCs/>
          <w:color w:val="000000"/>
          <w:szCs w:val="23"/>
          <w:lang w:eastAsia="es-CO"/>
        </w:rPr>
        <w:t xml:space="preserve">que permita </w:t>
      </w:r>
      <w:r w:rsidRPr="00BD1319">
        <w:rPr>
          <w:bCs/>
          <w:color w:val="000000"/>
          <w:szCs w:val="23"/>
          <w:lang w:eastAsia="es-CO"/>
        </w:rPr>
        <w:t>obten</w:t>
      </w:r>
      <w:r w:rsidR="00643B87" w:rsidRPr="00BD1319">
        <w:rPr>
          <w:bCs/>
          <w:color w:val="000000"/>
          <w:szCs w:val="23"/>
          <w:lang w:eastAsia="es-CO"/>
        </w:rPr>
        <w:t xml:space="preserve">er </w:t>
      </w:r>
      <w:r w:rsidRPr="00BD1319">
        <w:rPr>
          <w:bCs/>
          <w:color w:val="000000"/>
          <w:szCs w:val="23"/>
          <w:lang w:eastAsia="es-CO"/>
        </w:rPr>
        <w:t>el porcentaje de área con conflicto ambiental en el uso de las tierras.</w:t>
      </w:r>
    </w:p>
    <w:p w14:paraId="537ABF9D" w14:textId="77777777" w:rsidR="00F97C5C" w:rsidRPr="00BD1319" w:rsidRDefault="00F97C5C">
      <w:pPr>
        <w:numPr>
          <w:ilvl w:val="12"/>
          <w:numId w:val="0"/>
        </w:numPr>
        <w:tabs>
          <w:tab w:val="left" w:pos="-2268"/>
        </w:tabs>
        <w:suppressAutoHyphens/>
        <w:rPr>
          <w:spacing w:val="-3"/>
        </w:rPr>
      </w:pPr>
    </w:p>
    <w:p w14:paraId="2715D842" w14:textId="156CD004" w:rsidR="00F97C5C" w:rsidRPr="00BD1319" w:rsidRDefault="00F97C5C" w:rsidP="00216955">
      <w:pPr>
        <w:pStyle w:val="Ttulo3"/>
      </w:pPr>
      <w:bookmarkStart w:id="2023" w:name="_Toc488244487"/>
      <w:bookmarkStart w:id="2024" w:name="_Toc488247607"/>
      <w:bookmarkStart w:id="2025" w:name="_Toc488248251"/>
      <w:bookmarkStart w:id="2026" w:name="_Toc488248867"/>
      <w:bookmarkStart w:id="2027" w:name="_Toc488249483"/>
      <w:bookmarkStart w:id="2028" w:name="_Toc488329971"/>
      <w:bookmarkStart w:id="2029" w:name="_Toc488386825"/>
      <w:bookmarkStart w:id="2030" w:name="_Toc488402284"/>
      <w:bookmarkStart w:id="2031" w:name="_Toc488403107"/>
      <w:bookmarkStart w:id="2032" w:name="_Toc488403936"/>
      <w:bookmarkStart w:id="2033" w:name="_Toc488404767"/>
      <w:bookmarkStart w:id="2034" w:name="_Toc488405590"/>
      <w:bookmarkStart w:id="2035" w:name="_Toc488406419"/>
      <w:bookmarkStart w:id="2036" w:name="_Toc491409650"/>
      <w:bookmarkStart w:id="2037" w:name="_Toc496018189"/>
      <w:bookmarkStart w:id="2038" w:name="_Toc515787388"/>
      <w:bookmarkStart w:id="2039" w:name="_Toc515789088"/>
      <w:bookmarkStart w:id="2040" w:name="_Toc515789937"/>
      <w:bookmarkStart w:id="2041" w:name="_Toc515790786"/>
      <w:bookmarkStart w:id="2042" w:name="_Toc515791641"/>
      <w:bookmarkStart w:id="2043" w:name="_Toc515792491"/>
      <w:bookmarkStart w:id="2044" w:name="_Toc515793339"/>
      <w:bookmarkStart w:id="2045" w:name="_Toc515794244"/>
      <w:bookmarkStart w:id="2046" w:name="_Toc515796055"/>
      <w:bookmarkStart w:id="2047" w:name="_Toc488244488"/>
      <w:bookmarkStart w:id="2048" w:name="_Toc488247608"/>
      <w:bookmarkStart w:id="2049" w:name="_Toc488248252"/>
      <w:bookmarkStart w:id="2050" w:name="_Toc488248868"/>
      <w:bookmarkStart w:id="2051" w:name="_Toc488249484"/>
      <w:bookmarkStart w:id="2052" w:name="_Toc488329972"/>
      <w:bookmarkStart w:id="2053" w:name="_Toc488386826"/>
      <w:bookmarkStart w:id="2054" w:name="_Toc488402285"/>
      <w:bookmarkStart w:id="2055" w:name="_Toc488403108"/>
      <w:bookmarkStart w:id="2056" w:name="_Toc488403937"/>
      <w:bookmarkStart w:id="2057" w:name="_Toc488404768"/>
      <w:bookmarkStart w:id="2058" w:name="_Toc488405591"/>
      <w:bookmarkStart w:id="2059" w:name="_Toc488406420"/>
      <w:bookmarkStart w:id="2060" w:name="_Toc491409651"/>
      <w:bookmarkStart w:id="2061" w:name="_Toc496018190"/>
      <w:bookmarkStart w:id="2062" w:name="_Toc515787389"/>
      <w:bookmarkStart w:id="2063" w:name="_Toc515789089"/>
      <w:bookmarkStart w:id="2064" w:name="_Toc515789938"/>
      <w:bookmarkStart w:id="2065" w:name="_Toc515790787"/>
      <w:bookmarkStart w:id="2066" w:name="_Toc515791642"/>
      <w:bookmarkStart w:id="2067" w:name="_Toc515792492"/>
      <w:bookmarkStart w:id="2068" w:name="_Toc515793340"/>
      <w:bookmarkStart w:id="2069" w:name="_Toc515794245"/>
      <w:bookmarkStart w:id="2070" w:name="_Toc515796056"/>
      <w:bookmarkStart w:id="2071" w:name="_Toc488244489"/>
      <w:bookmarkStart w:id="2072" w:name="_Toc488247609"/>
      <w:bookmarkStart w:id="2073" w:name="_Toc488248253"/>
      <w:bookmarkStart w:id="2074" w:name="_Toc488248869"/>
      <w:bookmarkStart w:id="2075" w:name="_Toc488249485"/>
      <w:bookmarkStart w:id="2076" w:name="_Toc488329973"/>
      <w:bookmarkStart w:id="2077" w:name="_Toc488386827"/>
      <w:bookmarkStart w:id="2078" w:name="_Toc488402286"/>
      <w:bookmarkStart w:id="2079" w:name="_Toc488403109"/>
      <w:bookmarkStart w:id="2080" w:name="_Toc488403938"/>
      <w:bookmarkStart w:id="2081" w:name="_Toc488404769"/>
      <w:bookmarkStart w:id="2082" w:name="_Toc488405592"/>
      <w:bookmarkStart w:id="2083" w:name="_Toc488406421"/>
      <w:bookmarkStart w:id="2084" w:name="_Toc491409652"/>
      <w:bookmarkStart w:id="2085" w:name="_Toc496018191"/>
      <w:bookmarkStart w:id="2086" w:name="_Toc515787390"/>
      <w:bookmarkStart w:id="2087" w:name="_Toc515789090"/>
      <w:bookmarkStart w:id="2088" w:name="_Toc515789939"/>
      <w:bookmarkStart w:id="2089" w:name="_Toc515790788"/>
      <w:bookmarkStart w:id="2090" w:name="_Toc515791643"/>
      <w:bookmarkStart w:id="2091" w:name="_Toc515792493"/>
      <w:bookmarkStart w:id="2092" w:name="_Toc515793341"/>
      <w:bookmarkStart w:id="2093" w:name="_Toc515794246"/>
      <w:bookmarkStart w:id="2094" w:name="_Toc515796057"/>
      <w:bookmarkStart w:id="2095" w:name="_Toc488244490"/>
      <w:bookmarkStart w:id="2096" w:name="_Toc488247610"/>
      <w:bookmarkStart w:id="2097" w:name="_Toc488248254"/>
      <w:bookmarkStart w:id="2098" w:name="_Toc488248870"/>
      <w:bookmarkStart w:id="2099" w:name="_Toc488249486"/>
      <w:bookmarkStart w:id="2100" w:name="_Toc488329974"/>
      <w:bookmarkStart w:id="2101" w:name="_Toc488386828"/>
      <w:bookmarkStart w:id="2102" w:name="_Toc488402287"/>
      <w:bookmarkStart w:id="2103" w:name="_Toc488403110"/>
      <w:bookmarkStart w:id="2104" w:name="_Toc488403939"/>
      <w:bookmarkStart w:id="2105" w:name="_Toc488404770"/>
      <w:bookmarkStart w:id="2106" w:name="_Toc488405593"/>
      <w:bookmarkStart w:id="2107" w:name="_Toc488406422"/>
      <w:bookmarkStart w:id="2108" w:name="_Toc491409653"/>
      <w:bookmarkStart w:id="2109" w:name="_Toc496018192"/>
      <w:bookmarkStart w:id="2110" w:name="_Toc515787391"/>
      <w:bookmarkStart w:id="2111" w:name="_Toc515789091"/>
      <w:bookmarkStart w:id="2112" w:name="_Toc515789940"/>
      <w:bookmarkStart w:id="2113" w:name="_Toc515790789"/>
      <w:bookmarkStart w:id="2114" w:name="_Toc515791644"/>
      <w:bookmarkStart w:id="2115" w:name="_Toc515792494"/>
      <w:bookmarkStart w:id="2116" w:name="_Toc515793342"/>
      <w:bookmarkStart w:id="2117" w:name="_Toc515794247"/>
      <w:bookmarkStart w:id="2118" w:name="_Toc515796058"/>
      <w:bookmarkStart w:id="2119" w:name="_Toc488244491"/>
      <w:bookmarkStart w:id="2120" w:name="_Toc488247611"/>
      <w:bookmarkStart w:id="2121" w:name="_Toc488248255"/>
      <w:bookmarkStart w:id="2122" w:name="_Toc488248871"/>
      <w:bookmarkStart w:id="2123" w:name="_Toc488249487"/>
      <w:bookmarkStart w:id="2124" w:name="_Toc488329975"/>
      <w:bookmarkStart w:id="2125" w:name="_Toc488386829"/>
      <w:bookmarkStart w:id="2126" w:name="_Toc488402288"/>
      <w:bookmarkStart w:id="2127" w:name="_Toc488403111"/>
      <w:bookmarkStart w:id="2128" w:name="_Toc488403940"/>
      <w:bookmarkStart w:id="2129" w:name="_Toc488404771"/>
      <w:bookmarkStart w:id="2130" w:name="_Toc488405594"/>
      <w:bookmarkStart w:id="2131" w:name="_Toc488406423"/>
      <w:bookmarkStart w:id="2132" w:name="_Toc491409654"/>
      <w:bookmarkStart w:id="2133" w:name="_Toc496018193"/>
      <w:bookmarkStart w:id="2134" w:name="_Toc515787392"/>
      <w:bookmarkStart w:id="2135" w:name="_Toc515789092"/>
      <w:bookmarkStart w:id="2136" w:name="_Toc515789941"/>
      <w:bookmarkStart w:id="2137" w:name="_Toc515790790"/>
      <w:bookmarkStart w:id="2138" w:name="_Toc515791645"/>
      <w:bookmarkStart w:id="2139" w:name="_Toc515792495"/>
      <w:bookmarkStart w:id="2140" w:name="_Toc515793343"/>
      <w:bookmarkStart w:id="2141" w:name="_Toc515794248"/>
      <w:bookmarkStart w:id="2142" w:name="_Toc515796059"/>
      <w:bookmarkStart w:id="2143" w:name="_Toc488244492"/>
      <w:bookmarkStart w:id="2144" w:name="_Toc488247612"/>
      <w:bookmarkStart w:id="2145" w:name="_Toc488248256"/>
      <w:bookmarkStart w:id="2146" w:name="_Toc488248872"/>
      <w:bookmarkStart w:id="2147" w:name="_Toc488249488"/>
      <w:bookmarkStart w:id="2148" w:name="_Toc488329976"/>
      <w:bookmarkStart w:id="2149" w:name="_Toc488386830"/>
      <w:bookmarkStart w:id="2150" w:name="_Toc488402289"/>
      <w:bookmarkStart w:id="2151" w:name="_Toc488403112"/>
      <w:bookmarkStart w:id="2152" w:name="_Toc488403941"/>
      <w:bookmarkStart w:id="2153" w:name="_Toc488404772"/>
      <w:bookmarkStart w:id="2154" w:name="_Toc488405595"/>
      <w:bookmarkStart w:id="2155" w:name="_Toc488406424"/>
      <w:bookmarkStart w:id="2156" w:name="_Toc491409655"/>
      <w:bookmarkStart w:id="2157" w:name="_Toc496018194"/>
      <w:bookmarkStart w:id="2158" w:name="_Toc515787393"/>
      <w:bookmarkStart w:id="2159" w:name="_Toc515789093"/>
      <w:bookmarkStart w:id="2160" w:name="_Toc515789942"/>
      <w:bookmarkStart w:id="2161" w:name="_Toc515790791"/>
      <w:bookmarkStart w:id="2162" w:name="_Toc515791646"/>
      <w:bookmarkStart w:id="2163" w:name="_Toc515792496"/>
      <w:bookmarkStart w:id="2164" w:name="_Toc515793344"/>
      <w:bookmarkStart w:id="2165" w:name="_Toc515794249"/>
      <w:bookmarkStart w:id="2166" w:name="_Toc515796060"/>
      <w:bookmarkStart w:id="2167" w:name="_Toc488244493"/>
      <w:bookmarkStart w:id="2168" w:name="_Toc488247613"/>
      <w:bookmarkStart w:id="2169" w:name="_Toc488248257"/>
      <w:bookmarkStart w:id="2170" w:name="_Toc488248873"/>
      <w:bookmarkStart w:id="2171" w:name="_Toc488249489"/>
      <w:bookmarkStart w:id="2172" w:name="_Toc488329977"/>
      <w:bookmarkStart w:id="2173" w:name="_Toc488386831"/>
      <w:bookmarkStart w:id="2174" w:name="_Toc488402290"/>
      <w:bookmarkStart w:id="2175" w:name="_Toc488403113"/>
      <w:bookmarkStart w:id="2176" w:name="_Toc488403942"/>
      <w:bookmarkStart w:id="2177" w:name="_Toc488404773"/>
      <w:bookmarkStart w:id="2178" w:name="_Toc488405596"/>
      <w:bookmarkStart w:id="2179" w:name="_Toc488406425"/>
      <w:bookmarkStart w:id="2180" w:name="_Toc491409656"/>
      <w:bookmarkStart w:id="2181" w:name="_Toc496018195"/>
      <w:bookmarkStart w:id="2182" w:name="_Toc515787394"/>
      <w:bookmarkStart w:id="2183" w:name="_Toc515789094"/>
      <w:bookmarkStart w:id="2184" w:name="_Toc515789943"/>
      <w:bookmarkStart w:id="2185" w:name="_Toc515790792"/>
      <w:bookmarkStart w:id="2186" w:name="_Toc515791647"/>
      <w:bookmarkStart w:id="2187" w:name="_Toc515792497"/>
      <w:bookmarkStart w:id="2188" w:name="_Toc515793345"/>
      <w:bookmarkStart w:id="2189" w:name="_Toc515794250"/>
      <w:bookmarkStart w:id="2190" w:name="_Toc515796061"/>
      <w:bookmarkStart w:id="2191" w:name="_Toc488244494"/>
      <w:bookmarkStart w:id="2192" w:name="_Toc488247614"/>
      <w:bookmarkStart w:id="2193" w:name="_Toc488248258"/>
      <w:bookmarkStart w:id="2194" w:name="_Toc488248874"/>
      <w:bookmarkStart w:id="2195" w:name="_Toc488249490"/>
      <w:bookmarkStart w:id="2196" w:name="_Toc488329978"/>
      <w:bookmarkStart w:id="2197" w:name="_Toc488386832"/>
      <w:bookmarkStart w:id="2198" w:name="_Toc488402291"/>
      <w:bookmarkStart w:id="2199" w:name="_Toc488403114"/>
      <w:bookmarkStart w:id="2200" w:name="_Toc488403943"/>
      <w:bookmarkStart w:id="2201" w:name="_Toc488404774"/>
      <w:bookmarkStart w:id="2202" w:name="_Toc488405597"/>
      <w:bookmarkStart w:id="2203" w:name="_Toc488406426"/>
      <w:bookmarkStart w:id="2204" w:name="_Toc491409657"/>
      <w:bookmarkStart w:id="2205" w:name="_Toc496018196"/>
      <w:bookmarkStart w:id="2206" w:name="_Toc515787395"/>
      <w:bookmarkStart w:id="2207" w:name="_Toc515789095"/>
      <w:bookmarkStart w:id="2208" w:name="_Toc515789944"/>
      <w:bookmarkStart w:id="2209" w:name="_Toc515790793"/>
      <w:bookmarkStart w:id="2210" w:name="_Toc515791648"/>
      <w:bookmarkStart w:id="2211" w:name="_Toc515792498"/>
      <w:bookmarkStart w:id="2212" w:name="_Toc515793346"/>
      <w:bookmarkStart w:id="2213" w:name="_Toc515794251"/>
      <w:bookmarkStart w:id="2214" w:name="_Toc515796062"/>
      <w:bookmarkStart w:id="2215" w:name="_Toc437935982"/>
      <w:bookmarkStart w:id="2216" w:name="_Ref488053888"/>
      <w:bookmarkStart w:id="2217" w:name="_Ref488053891"/>
      <w:bookmarkStart w:id="2218" w:name="_Ref495933032"/>
      <w:bookmarkStart w:id="2219" w:name="_Toc42552218"/>
      <w:bookmarkStart w:id="2220" w:name="_Toc175326698"/>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r w:rsidRPr="00BD1319">
        <w:t>Hidrológ</w:t>
      </w:r>
      <w:bookmarkEnd w:id="2215"/>
      <w:bookmarkEnd w:id="2216"/>
      <w:bookmarkEnd w:id="2217"/>
      <w:bookmarkEnd w:id="2218"/>
      <w:r w:rsidRPr="00BD1319">
        <w:t>ico</w:t>
      </w:r>
      <w:bookmarkEnd w:id="2219"/>
      <w:bookmarkEnd w:id="2220"/>
    </w:p>
    <w:p w14:paraId="0C1616E0" w14:textId="77777777" w:rsidR="00F97C5C" w:rsidRPr="00BD1319" w:rsidRDefault="00F97C5C">
      <w:pPr>
        <w:numPr>
          <w:ilvl w:val="12"/>
          <w:numId w:val="0"/>
        </w:numPr>
        <w:tabs>
          <w:tab w:val="left" w:pos="-2268"/>
        </w:tabs>
        <w:suppressAutoHyphens/>
        <w:rPr>
          <w:spacing w:val="-3"/>
        </w:rPr>
      </w:pPr>
    </w:p>
    <w:p w14:paraId="46783A02" w14:textId="3B8BD177" w:rsidR="00F97C5C" w:rsidRPr="00BD1319" w:rsidRDefault="00B16C31">
      <w:pPr>
        <w:pStyle w:val="Prrafodelista"/>
        <w:tabs>
          <w:tab w:val="left" w:pos="-2268"/>
        </w:tabs>
        <w:suppressAutoHyphens/>
        <w:ind w:left="0"/>
        <w:rPr>
          <w:rFonts w:cs="Arial"/>
          <w:spacing w:val="-3"/>
          <w:lang w:val="es-CO"/>
        </w:rPr>
      </w:pPr>
      <w:r w:rsidRPr="00BD1319">
        <w:rPr>
          <w:rFonts w:cs="Arial"/>
          <w:spacing w:val="-3"/>
          <w:lang w:val="es-CO"/>
        </w:rPr>
        <w:t xml:space="preserve">Señalar las áreas, las zonas, las subzonas y los niveles hidrográficos </w:t>
      </w:r>
      <w:r w:rsidR="00FB0C11" w:rsidRPr="00BD1319">
        <w:rPr>
          <w:rFonts w:cs="Arial"/>
          <w:spacing w:val="-3"/>
          <w:lang w:val="es-CO"/>
        </w:rPr>
        <w:t>subsiguientes</w:t>
      </w:r>
      <w:r w:rsidRPr="00BD1319">
        <w:rPr>
          <w:rFonts w:cs="Arial"/>
          <w:spacing w:val="-3"/>
          <w:lang w:val="es-CO"/>
        </w:rPr>
        <w:t xml:space="preserve"> en los cuales se localiza </w:t>
      </w:r>
      <w:r w:rsidR="00F97C5C" w:rsidRPr="00BD1319">
        <w:rPr>
          <w:rFonts w:cs="Arial"/>
          <w:spacing w:val="-3"/>
          <w:lang w:val="es-CO"/>
        </w:rPr>
        <w:t xml:space="preserve">el área de estudio del </w:t>
      </w:r>
      <w:r w:rsidRPr="00BD1319">
        <w:rPr>
          <w:rFonts w:cs="Arial"/>
          <w:spacing w:val="-3"/>
          <w:lang w:val="es-CO"/>
        </w:rPr>
        <w:t>componente</w:t>
      </w:r>
      <w:r w:rsidR="00F97C5C" w:rsidRPr="00BD1319">
        <w:rPr>
          <w:rFonts w:cs="Arial"/>
          <w:spacing w:val="-3"/>
          <w:lang w:val="es-CO"/>
        </w:rPr>
        <w:t xml:space="preserve"> </w:t>
      </w:r>
      <w:r w:rsidRPr="00BD1319">
        <w:rPr>
          <w:rFonts w:cs="Arial"/>
          <w:spacing w:val="-3"/>
          <w:lang w:val="es-CO"/>
        </w:rPr>
        <w:t>(</w:t>
      </w:r>
      <w:r w:rsidR="00F97C5C" w:rsidRPr="00BD1319">
        <w:rPr>
          <w:rFonts w:cs="Arial"/>
          <w:spacing w:val="-3"/>
          <w:lang w:val="es-CO"/>
        </w:rPr>
        <w:t>de</w:t>
      </w:r>
      <w:r w:rsidRPr="00BD1319">
        <w:rPr>
          <w:rFonts w:cs="Arial"/>
          <w:spacing w:val="-3"/>
          <w:lang w:val="es-CO"/>
        </w:rPr>
        <w:t xml:space="preserve"> acuerdo con </w:t>
      </w:r>
      <w:r w:rsidR="00F97C5C" w:rsidRPr="00BD1319">
        <w:rPr>
          <w:rFonts w:cs="Arial"/>
          <w:spacing w:val="-3"/>
          <w:lang w:val="es-CO"/>
        </w:rPr>
        <w:t xml:space="preserve">la zonificación hidrográfica nacional del </w:t>
      </w:r>
      <w:proofErr w:type="spellStart"/>
      <w:r w:rsidR="00A92356" w:rsidRPr="00BD1319">
        <w:rPr>
          <w:rFonts w:cs="Arial"/>
          <w:spacing w:val="-3"/>
          <w:lang w:val="es-CO"/>
        </w:rPr>
        <w:t>Ideam</w:t>
      </w:r>
      <w:proofErr w:type="spellEnd"/>
      <w:r w:rsidR="00F97C5C" w:rsidRPr="00BD1319">
        <w:rPr>
          <w:rFonts w:cs="Arial"/>
          <w:spacing w:val="-3"/>
          <w:lang w:val="es-CO"/>
        </w:rPr>
        <w:t xml:space="preserve"> y Minambiente), así como dentro de los niveles subsiguientes definidos por las autoridades ambientales competentes en caso de existir, </w:t>
      </w:r>
      <w:r w:rsidR="0041428E" w:rsidRPr="00BD1319">
        <w:rPr>
          <w:rFonts w:cs="Arial"/>
          <w:spacing w:val="-3"/>
          <w:lang w:val="es-CO"/>
        </w:rPr>
        <w:t xml:space="preserve">distinguiendo </w:t>
      </w:r>
      <w:r w:rsidR="00F97C5C" w:rsidRPr="00BD1319">
        <w:rPr>
          <w:rFonts w:cs="Arial"/>
          <w:spacing w:val="-3"/>
          <w:lang w:val="es-CO"/>
        </w:rPr>
        <w:t>los sistemas lénticos y lóticos, con su respectiva toponimia. En caso de no existir niveles subsiguientes, se deben definir unidades hidrográficas de análisis a la escala establecida en los respectivos términos de referencia, utilizando la cartografía oficial disponible.</w:t>
      </w:r>
    </w:p>
    <w:p w14:paraId="0D564622" w14:textId="77777777" w:rsidR="00F97C5C" w:rsidRPr="00BD1319" w:rsidRDefault="00F97C5C">
      <w:pPr>
        <w:tabs>
          <w:tab w:val="left" w:pos="-2268"/>
        </w:tabs>
        <w:suppressAutoHyphens/>
        <w:rPr>
          <w:spacing w:val="-3"/>
        </w:rPr>
      </w:pPr>
    </w:p>
    <w:p w14:paraId="41CD2CF1" w14:textId="28300D36" w:rsidR="00F97C5C" w:rsidRPr="00BD1319" w:rsidRDefault="0041428E">
      <w:pPr>
        <w:tabs>
          <w:tab w:val="left" w:pos="-2268"/>
        </w:tabs>
        <w:suppressAutoHyphens/>
        <w:rPr>
          <w:spacing w:val="-3"/>
        </w:rPr>
      </w:pPr>
      <w:r w:rsidRPr="00BD1319">
        <w:rPr>
          <w:spacing w:val="-3"/>
        </w:rPr>
        <w:lastRenderedPageBreak/>
        <w:t>Compilar</w:t>
      </w:r>
      <w:r w:rsidR="00F97C5C" w:rsidRPr="00BD1319">
        <w:rPr>
          <w:spacing w:val="-3"/>
        </w:rPr>
        <w:t xml:space="preserve">, para las subzonas hidrográficas en las que se encuentra el área de estudio del </w:t>
      </w:r>
      <w:r w:rsidR="00B16C31" w:rsidRPr="00BD1319">
        <w:rPr>
          <w:spacing w:val="-3"/>
        </w:rPr>
        <w:t>componente</w:t>
      </w:r>
      <w:r w:rsidR="00F97C5C" w:rsidRPr="00BD1319">
        <w:rPr>
          <w:spacing w:val="-3"/>
        </w:rPr>
        <w:t xml:space="preserve">, los datos </w:t>
      </w:r>
      <w:proofErr w:type="spellStart"/>
      <w:r w:rsidR="00F97C5C" w:rsidRPr="00BD1319">
        <w:rPr>
          <w:spacing w:val="-3"/>
        </w:rPr>
        <w:t>hidroclimáticos</w:t>
      </w:r>
      <w:proofErr w:type="spellEnd"/>
      <w:r w:rsidR="00F97C5C" w:rsidRPr="00BD1319">
        <w:rPr>
          <w:spacing w:val="-3"/>
        </w:rPr>
        <w:t xml:space="preserve"> disponibles de la red nacional de referencia del </w:t>
      </w:r>
      <w:proofErr w:type="spellStart"/>
      <w:r w:rsidR="00A92356" w:rsidRPr="00BD1319">
        <w:rPr>
          <w:spacing w:val="-3"/>
        </w:rPr>
        <w:t>Ideam</w:t>
      </w:r>
      <w:proofErr w:type="spellEnd"/>
      <w:r w:rsidR="00F97C5C" w:rsidRPr="00BD1319">
        <w:rPr>
          <w:spacing w:val="-3"/>
        </w:rPr>
        <w:t xml:space="preserve">, así como de otras redes existentes en el ámbito regional. La escala temporal de los datos debe ser al menos mensual y la longitud mínima de la serie debe ser de </w:t>
      </w:r>
      <w:r w:rsidR="00F97C5C" w:rsidRPr="00BD1319">
        <w:rPr>
          <w:rFonts w:cs="Arial"/>
          <w:spacing w:val="-3"/>
        </w:rPr>
        <w:t>quince (15</w:t>
      </w:r>
      <w:r w:rsidR="00F97C5C" w:rsidRPr="00BD1319">
        <w:rPr>
          <w:spacing w:val="-3"/>
        </w:rPr>
        <w:t>) años. Debe indicarse la longitud temporal de datos disponibles, el porcentaje de datos faltantes y realizar el respectivo tratamiento de datos cuando aplique (llenado de datos, homogeneidad, consistencia, detección de datos anómalos).</w:t>
      </w:r>
    </w:p>
    <w:p w14:paraId="7741E1EE" w14:textId="77777777" w:rsidR="00F97C5C" w:rsidRPr="00BD1319" w:rsidRDefault="00F97C5C">
      <w:pPr>
        <w:tabs>
          <w:tab w:val="left" w:pos="-2268"/>
        </w:tabs>
        <w:suppressAutoHyphens/>
        <w:rPr>
          <w:spacing w:val="-3"/>
        </w:rPr>
      </w:pPr>
    </w:p>
    <w:p w14:paraId="08CDE41D" w14:textId="567799D2" w:rsidR="001C3F22" w:rsidRPr="00BD1319" w:rsidRDefault="001C3F22">
      <w:pPr>
        <w:tabs>
          <w:tab w:val="left" w:pos="-2268"/>
        </w:tabs>
        <w:suppressAutoHyphens/>
        <w:rPr>
          <w:rFonts w:cs="Arial"/>
          <w:lang w:eastAsia="es-CO"/>
        </w:rPr>
      </w:pPr>
      <w:r w:rsidRPr="00BD1319">
        <w:rPr>
          <w:rFonts w:cs="Arial"/>
          <w:lang w:eastAsia="es-CO"/>
        </w:rPr>
        <w:t xml:space="preserve">Cuando no exista información disponible de estaciones avaladas por el </w:t>
      </w:r>
      <w:proofErr w:type="spellStart"/>
      <w:r w:rsidR="00A92356" w:rsidRPr="00BD1319">
        <w:rPr>
          <w:rFonts w:cs="Arial"/>
          <w:lang w:eastAsia="es-CO"/>
        </w:rPr>
        <w:t>Ideam</w:t>
      </w:r>
      <w:proofErr w:type="spellEnd"/>
      <w:r w:rsidRPr="00BD1319">
        <w:rPr>
          <w:rFonts w:cs="Arial"/>
          <w:lang w:eastAsia="es-CO"/>
        </w:rPr>
        <w:t xml:space="preserve"> con adecuada representatividad sobre el área de estudio</w:t>
      </w:r>
      <w:r w:rsidR="00B16C31" w:rsidRPr="00BD1319">
        <w:rPr>
          <w:rFonts w:cs="Arial"/>
          <w:lang w:eastAsia="es-CO"/>
        </w:rPr>
        <w:t xml:space="preserve"> del componente</w:t>
      </w:r>
      <w:r w:rsidRPr="00BD1319">
        <w:rPr>
          <w:rFonts w:cs="Arial"/>
          <w:lang w:eastAsia="es-CO"/>
        </w:rPr>
        <w:t xml:space="preserve">, la información para la obtención de los datos </w:t>
      </w:r>
      <w:proofErr w:type="spellStart"/>
      <w:r w:rsidRPr="00BD1319">
        <w:rPr>
          <w:rFonts w:cs="Arial"/>
          <w:lang w:eastAsia="es-CO"/>
        </w:rPr>
        <w:t>hidroclimáticos</w:t>
      </w:r>
      <w:proofErr w:type="spellEnd"/>
      <w:r w:rsidRPr="00BD1319">
        <w:rPr>
          <w:rFonts w:cs="Arial"/>
          <w:lang w:eastAsia="es-CO"/>
        </w:rPr>
        <w:t xml:space="preserve"> puede ser tomada de los modelos globales o de </w:t>
      </w:r>
      <w:proofErr w:type="spellStart"/>
      <w:r w:rsidRPr="00BD1319">
        <w:rPr>
          <w:rFonts w:cs="Arial"/>
          <w:lang w:eastAsia="es-CO"/>
        </w:rPr>
        <w:t>re-análisis</w:t>
      </w:r>
      <w:proofErr w:type="spellEnd"/>
      <w:r w:rsidRPr="00BD1319">
        <w:rPr>
          <w:rFonts w:cs="Arial"/>
          <w:lang w:eastAsia="es-CO"/>
        </w:rPr>
        <w:t xml:space="preserve"> global, obtenidos de fuentes de adecuada idoneidad científica y que puedan ser validadas y procesadas para obtener una adecuada resolución sobre el área de estudio</w:t>
      </w:r>
      <w:r w:rsidR="00B16C31" w:rsidRPr="00BD1319">
        <w:rPr>
          <w:rFonts w:cs="Arial"/>
          <w:lang w:eastAsia="es-CO"/>
        </w:rPr>
        <w:t xml:space="preserve"> del componente</w:t>
      </w:r>
      <w:r w:rsidRPr="00BD1319">
        <w:rPr>
          <w:rFonts w:cs="Arial"/>
          <w:lang w:eastAsia="es-CO"/>
        </w:rPr>
        <w:t>. Ejemplos de modelos de clima o tiempo son CFRS, ERA 40, CAM y WRF.</w:t>
      </w:r>
    </w:p>
    <w:p w14:paraId="57FC068D" w14:textId="77777777" w:rsidR="00A5096E" w:rsidRPr="00BD1319" w:rsidRDefault="00A5096E">
      <w:pPr>
        <w:tabs>
          <w:tab w:val="left" w:pos="-2268"/>
        </w:tabs>
        <w:suppressAutoHyphens/>
        <w:rPr>
          <w:spacing w:val="-3"/>
        </w:rPr>
      </w:pPr>
    </w:p>
    <w:p w14:paraId="35855322" w14:textId="7EBF7BBA" w:rsidR="00F97C5C" w:rsidRPr="00BD1319" w:rsidRDefault="00F97C5C">
      <w:pPr>
        <w:tabs>
          <w:tab w:val="left" w:pos="-2268"/>
        </w:tabs>
        <w:suppressAutoHyphens/>
        <w:rPr>
          <w:spacing w:val="-3"/>
        </w:rPr>
      </w:pPr>
      <w:r w:rsidRPr="00BD1319">
        <w:rPr>
          <w:spacing w:val="-3"/>
        </w:rPr>
        <w:t xml:space="preserve">Presentar las principales características morfométricas (área, perímetro, pendiente media, índice de compacidad, factor de forma, tiempos de concentración, índice de sinuosidad, densidad de drenaje y corrientes, patrones de drenaje regionales y locales) de las unidades de análisis hidrográficas asociadas a los puntos de intervención por captación, vertimiento u ocupación de cauce, </w:t>
      </w:r>
      <w:r w:rsidR="00064ED7" w:rsidRPr="00BD1319">
        <w:rPr>
          <w:spacing w:val="-3"/>
        </w:rPr>
        <w:t xml:space="preserve">con las que en esta instancia cuente el proyecto, obra o actividad, </w:t>
      </w:r>
      <w:r w:rsidRPr="00BD1319">
        <w:rPr>
          <w:spacing w:val="-3"/>
        </w:rPr>
        <w:t>así como a nivel de unidad hidrográfica de análisis (como mínimo niveles subsiguientes de las subzonas en la que se encuentra localizada el área de estudio del proyecto).</w:t>
      </w:r>
    </w:p>
    <w:p w14:paraId="56D319F0" w14:textId="77777777" w:rsidR="00F97C5C" w:rsidRPr="00BD1319" w:rsidRDefault="00F97C5C">
      <w:pPr>
        <w:tabs>
          <w:tab w:val="left" w:pos="-2268"/>
        </w:tabs>
        <w:suppressAutoHyphens/>
        <w:rPr>
          <w:spacing w:val="-3"/>
        </w:rPr>
      </w:pPr>
    </w:p>
    <w:p w14:paraId="7B96FD2D" w14:textId="77777777" w:rsidR="00F97C5C" w:rsidRPr="00BD1319" w:rsidRDefault="00F97C5C">
      <w:pPr>
        <w:tabs>
          <w:tab w:val="left" w:pos="-2268"/>
        </w:tabs>
        <w:suppressAutoHyphens/>
        <w:rPr>
          <w:spacing w:val="-3"/>
        </w:rPr>
      </w:pPr>
      <w:r w:rsidRPr="00BD1319">
        <w:rPr>
          <w:rFonts w:cs="Arial"/>
          <w:spacing w:val="-3"/>
        </w:rPr>
        <w:t>En los casos en que la información hidrológica lo permita, caracterizar el</w:t>
      </w:r>
      <w:r w:rsidRPr="00BD1319">
        <w:rPr>
          <w:spacing w:val="-3"/>
        </w:rPr>
        <w:t xml:space="preserve"> régimen hidrológico, considerando en el análisis los valores normales (anuales, mensuales y diarios), así como los extremos (máximos y mínimos).</w:t>
      </w:r>
    </w:p>
    <w:p w14:paraId="6A7BA440" w14:textId="77777777" w:rsidR="00F97C5C" w:rsidRPr="00BD1319" w:rsidRDefault="00F97C5C">
      <w:pPr>
        <w:tabs>
          <w:tab w:val="left" w:pos="-2268"/>
        </w:tabs>
        <w:suppressAutoHyphens/>
        <w:rPr>
          <w:spacing w:val="-3"/>
        </w:rPr>
      </w:pPr>
    </w:p>
    <w:p w14:paraId="245923A9" w14:textId="7A3B7BFE" w:rsidR="00F97C5C" w:rsidRPr="00BD1319" w:rsidRDefault="00F97C5C">
      <w:pPr>
        <w:tabs>
          <w:tab w:val="left" w:pos="-2268"/>
        </w:tabs>
        <w:suppressAutoHyphens/>
        <w:rPr>
          <w:spacing w:val="-3"/>
        </w:rPr>
      </w:pPr>
      <w:r w:rsidRPr="00BD1319">
        <w:rPr>
          <w:spacing w:val="-3"/>
        </w:rPr>
        <w:t>Para el análisis de eventos extremos (máximos y mínimos) se deben caracterizar (</w:t>
      </w:r>
      <w:r w:rsidR="00041844" w:rsidRPr="00BD1319">
        <w:rPr>
          <w:spacing w:val="-3"/>
        </w:rPr>
        <w:t>p. ej.</w:t>
      </w:r>
      <w:r w:rsidRPr="00BD1319">
        <w:rPr>
          <w:spacing w:val="-3"/>
        </w:rPr>
        <w:t xml:space="preserve"> mediante su magnitud, extensión, daños o impactos asociados si aplica) los eventos históricos de inundaciones y sequías ocurridos en el área de estudio del </w:t>
      </w:r>
      <w:r w:rsidR="00B16C31" w:rsidRPr="00BD1319">
        <w:rPr>
          <w:rFonts w:cs="Arial"/>
          <w:lang w:eastAsia="es-CO"/>
        </w:rPr>
        <w:t>componente</w:t>
      </w:r>
      <w:r w:rsidR="00B16C31" w:rsidRPr="00BD1319" w:rsidDel="00B16C31">
        <w:rPr>
          <w:rFonts w:cs="Arial"/>
          <w:spacing w:val="-3"/>
        </w:rPr>
        <w:t xml:space="preserve"> </w:t>
      </w:r>
      <w:r w:rsidRPr="00BD1319">
        <w:rPr>
          <w:rFonts w:cs="Arial"/>
          <w:spacing w:val="-3"/>
        </w:rPr>
        <w:t xml:space="preserve">desde fuentes de información secundarias. Para esto, se </w:t>
      </w:r>
      <w:r w:rsidR="00103345" w:rsidRPr="00BD1319">
        <w:rPr>
          <w:rFonts w:cs="Arial"/>
          <w:spacing w:val="-3"/>
        </w:rPr>
        <w:t>debe</w:t>
      </w:r>
      <w:r w:rsidRPr="00BD1319">
        <w:rPr>
          <w:rFonts w:cs="Arial"/>
          <w:spacing w:val="-3"/>
        </w:rPr>
        <w:t xml:space="preserve"> tener en cuenta la escala de la información secundaria consultada, frente a la escala requerida en los términos de referencia</w:t>
      </w:r>
      <w:r w:rsidR="00037008" w:rsidRPr="00BD1319">
        <w:rPr>
          <w:rFonts w:cs="Arial"/>
          <w:spacing w:val="-3"/>
        </w:rPr>
        <w:t xml:space="preserve"> </w:t>
      </w:r>
      <w:r w:rsidRPr="00BD1319">
        <w:rPr>
          <w:rFonts w:cs="Arial"/>
          <w:spacing w:val="-3"/>
        </w:rPr>
        <w:t>para el proyecto</w:t>
      </w:r>
      <w:r w:rsidR="00037008" w:rsidRPr="00BD1319">
        <w:rPr>
          <w:rFonts w:cs="Arial"/>
          <w:spacing w:val="-3"/>
        </w:rPr>
        <w:t>, obra o actividad</w:t>
      </w:r>
      <w:r w:rsidRPr="00BD1319">
        <w:rPr>
          <w:rFonts w:cs="Arial"/>
          <w:spacing w:val="-3"/>
        </w:rPr>
        <w:t>.</w:t>
      </w:r>
    </w:p>
    <w:p w14:paraId="0AB9E044" w14:textId="77777777" w:rsidR="00F97C5C" w:rsidRPr="00BD1319" w:rsidRDefault="00F97C5C">
      <w:pPr>
        <w:tabs>
          <w:tab w:val="left" w:pos="-2268"/>
        </w:tabs>
        <w:suppressAutoHyphens/>
        <w:rPr>
          <w:spacing w:val="-3"/>
        </w:rPr>
      </w:pPr>
    </w:p>
    <w:p w14:paraId="17DD4A53" w14:textId="166C4C40" w:rsidR="00F97C5C" w:rsidRPr="00BD1319" w:rsidRDefault="00F97C5C" w:rsidP="00F97C5C">
      <w:pPr>
        <w:tabs>
          <w:tab w:val="left" w:pos="-2268"/>
        </w:tabs>
        <w:suppressAutoHyphens/>
        <w:rPr>
          <w:rFonts w:cs="Arial"/>
          <w:spacing w:val="-3"/>
        </w:rPr>
      </w:pPr>
      <w:r w:rsidRPr="00BD1319">
        <w:rPr>
          <w:spacing w:val="-3"/>
        </w:rPr>
        <w:t xml:space="preserve">En los cauces susceptibles de intervención con ausencia de información (series de datos con periodos temporales inferiores a </w:t>
      </w:r>
      <w:r w:rsidRPr="00BD1319">
        <w:rPr>
          <w:rFonts w:cs="Arial"/>
          <w:spacing w:val="-3"/>
        </w:rPr>
        <w:t xml:space="preserve">15 años o series cuyo análisis de calidad </w:t>
      </w:r>
      <w:r w:rsidRPr="00BD1319">
        <w:rPr>
          <w:rFonts w:cs="Arial"/>
          <w:spacing w:val="-3"/>
        </w:rPr>
        <w:lastRenderedPageBreak/>
        <w:t>indica que deben ser descartadas), se deben generar series sintéticas a escala mensual</w:t>
      </w:r>
      <w:r w:rsidR="00F23344" w:rsidRPr="00BD1319">
        <w:rPr>
          <w:rFonts w:cs="Arial"/>
          <w:spacing w:val="-3"/>
        </w:rPr>
        <w:t xml:space="preserve"> o más detallada (</w:t>
      </w:r>
      <w:r w:rsidR="00041844" w:rsidRPr="00BD1319">
        <w:rPr>
          <w:rFonts w:cs="Arial"/>
          <w:spacing w:val="-3"/>
        </w:rPr>
        <w:t>p. ej.</w:t>
      </w:r>
      <w:r w:rsidR="00F23344" w:rsidRPr="00BD1319">
        <w:rPr>
          <w:rFonts w:cs="Arial"/>
          <w:spacing w:val="-3"/>
        </w:rPr>
        <w:t xml:space="preserve"> diaria) en caso de contar con información disponible</w:t>
      </w:r>
      <w:r w:rsidRPr="00BD1319">
        <w:rPr>
          <w:rFonts w:cs="Arial"/>
          <w:spacing w:val="-3"/>
        </w:rPr>
        <w:t>, a partir de metodologías de transformación de la lluvia en escorrentía utilizando la información temática ambiental disponible (</w:t>
      </w:r>
      <w:r w:rsidR="00041844" w:rsidRPr="00BD1319">
        <w:rPr>
          <w:rFonts w:cs="Arial"/>
          <w:spacing w:val="-3"/>
        </w:rPr>
        <w:t>p. ej.</w:t>
      </w:r>
      <w:r w:rsidRPr="00BD1319">
        <w:rPr>
          <w:spacing w:val="-3"/>
        </w:rPr>
        <w:t xml:space="preserve"> geología, </w:t>
      </w:r>
      <w:r w:rsidR="00E03439" w:rsidRPr="00BD1319">
        <w:rPr>
          <w:spacing w:val="-3"/>
        </w:rPr>
        <w:t>edafología</w:t>
      </w:r>
      <w:r w:rsidRPr="00BD1319">
        <w:rPr>
          <w:spacing w:val="-3"/>
        </w:rPr>
        <w:t xml:space="preserve">, topografía, coberturas y usos de la tierra), métodos de regionalización u otros métodos hidrológicos en cuencas no instrumentadas. </w:t>
      </w:r>
      <w:r w:rsidRPr="00BD1319">
        <w:rPr>
          <w:rFonts w:cs="Arial"/>
          <w:spacing w:val="-3"/>
        </w:rPr>
        <w:t>En cualquier caso, se debe documentar el modelo conceptual, sus parámetros, la información utilizada, la metodología de implementación, y la estrategia de calibración y validación en función de la información utilizada, considerando la representatividad de los procesos hidrológicos predominantes en la cuenca hidrográfica de estudio.</w:t>
      </w:r>
    </w:p>
    <w:p w14:paraId="1F791FC8" w14:textId="77777777" w:rsidR="00F97C5C" w:rsidRPr="00BD1319" w:rsidRDefault="00F97C5C" w:rsidP="00F97C5C">
      <w:pPr>
        <w:tabs>
          <w:tab w:val="left" w:pos="-2268"/>
        </w:tabs>
        <w:suppressAutoHyphens/>
        <w:rPr>
          <w:rFonts w:cs="Arial"/>
          <w:spacing w:val="-3"/>
        </w:rPr>
      </w:pPr>
    </w:p>
    <w:p w14:paraId="51294010" w14:textId="6E8F8D32" w:rsidR="00F96509" w:rsidRPr="00BD1319" w:rsidRDefault="00F96509" w:rsidP="00F97C5C">
      <w:pPr>
        <w:tabs>
          <w:tab w:val="left" w:pos="-2268"/>
        </w:tabs>
        <w:suppressAutoHyphens/>
        <w:rPr>
          <w:rFonts w:cs="Arial"/>
          <w:spacing w:val="-3"/>
        </w:rPr>
      </w:pPr>
      <w:r w:rsidRPr="00BD1319">
        <w:rPr>
          <w:rFonts w:cs="Arial"/>
          <w:spacing w:val="-3"/>
        </w:rPr>
        <w:t>Conforme a lo mencionado, la calibración y validación se debe realizar mediante pruebas de bondad de ajuste, c</w:t>
      </w:r>
      <w:r w:rsidR="00684FF3" w:rsidRPr="00BD1319">
        <w:rPr>
          <w:rFonts w:cs="Arial"/>
          <w:spacing w:val="-3"/>
        </w:rPr>
        <w:t>o</w:t>
      </w:r>
      <w:r w:rsidRPr="00BD1319">
        <w:rPr>
          <w:rFonts w:cs="Arial"/>
          <w:spacing w:val="-3"/>
        </w:rPr>
        <w:t>mo mínimo</w:t>
      </w:r>
      <w:r w:rsidR="00684FF3" w:rsidRPr="00BD1319">
        <w:rPr>
          <w:rFonts w:cs="Arial"/>
          <w:spacing w:val="-3"/>
        </w:rPr>
        <w:t>,</w:t>
      </w:r>
      <w:r w:rsidRPr="00BD1319">
        <w:rPr>
          <w:rFonts w:cs="Arial"/>
          <w:spacing w:val="-3"/>
        </w:rPr>
        <w:t xml:space="preserve"> </w:t>
      </w:r>
      <w:r w:rsidR="00684FF3" w:rsidRPr="00BD1319">
        <w:rPr>
          <w:rFonts w:cs="Arial"/>
          <w:spacing w:val="-3"/>
        </w:rPr>
        <w:t>e</w:t>
      </w:r>
      <w:r w:rsidRPr="00BD1319">
        <w:rPr>
          <w:rFonts w:cs="Arial"/>
          <w:spacing w:val="-3"/>
        </w:rPr>
        <w:t>mpleando pruebas de coeficiente de correlación y de Nash-</w:t>
      </w:r>
      <w:proofErr w:type="spellStart"/>
      <w:r w:rsidRPr="00BD1319">
        <w:rPr>
          <w:rFonts w:cs="Arial"/>
          <w:spacing w:val="-3"/>
        </w:rPr>
        <w:t>Sutcliffe</w:t>
      </w:r>
      <w:proofErr w:type="spellEnd"/>
      <w:r w:rsidRPr="00BD1319">
        <w:rPr>
          <w:rFonts w:cs="Arial"/>
          <w:spacing w:val="-3"/>
        </w:rPr>
        <w:t xml:space="preserve"> para la serie de caudales medios diarios o mensuales en caso de que no haya disponibilidad de información diaria, según las recomendaciones de Molnar (2011). </w:t>
      </w:r>
      <w:r w:rsidR="00684FF3" w:rsidRPr="00BD1319">
        <w:rPr>
          <w:rFonts w:cs="Arial"/>
          <w:spacing w:val="-3"/>
        </w:rPr>
        <w:t xml:space="preserve">Es posible emplear datos cuya </w:t>
      </w:r>
      <w:r w:rsidRPr="00BD1319">
        <w:rPr>
          <w:rFonts w:cs="Arial"/>
          <w:spacing w:val="-3"/>
        </w:rPr>
        <w:t xml:space="preserve">prueba de calibración y validación </w:t>
      </w:r>
      <w:r w:rsidR="00684FF3" w:rsidRPr="00BD1319">
        <w:rPr>
          <w:rFonts w:cs="Arial"/>
          <w:spacing w:val="-3"/>
        </w:rPr>
        <w:t xml:space="preserve">haya resultado como mínimo en la categoría </w:t>
      </w:r>
      <w:r w:rsidRPr="00BD1319">
        <w:rPr>
          <w:rFonts w:cs="Arial"/>
          <w:spacing w:val="-3"/>
        </w:rPr>
        <w:t xml:space="preserve">“buenos” conforme </w:t>
      </w:r>
      <w:r w:rsidR="00684FF3" w:rsidRPr="00BD1319">
        <w:rPr>
          <w:rFonts w:cs="Arial"/>
          <w:spacing w:val="-3"/>
        </w:rPr>
        <w:t xml:space="preserve">a </w:t>
      </w:r>
      <w:r w:rsidRPr="00BD1319">
        <w:rPr>
          <w:rFonts w:cs="Arial"/>
          <w:spacing w:val="-3"/>
        </w:rPr>
        <w:t>los rangos de ajuste que se presentan en la</w:t>
      </w:r>
      <w:r w:rsidR="00684FF3" w:rsidRPr="00BD1319">
        <w:rPr>
          <w:rFonts w:cs="Arial"/>
          <w:spacing w:val="-3"/>
        </w:rPr>
        <w:t>s</w:t>
      </w:r>
      <w:r w:rsidRPr="00BD1319">
        <w:rPr>
          <w:rFonts w:cs="Arial"/>
          <w:spacing w:val="-3"/>
        </w:rPr>
        <w:t xml:space="preserve"> </w:t>
      </w:r>
      <w:r w:rsidR="00684FF3" w:rsidRPr="00BD1319">
        <w:rPr>
          <w:rFonts w:cs="Arial"/>
          <w:spacing w:val="-3"/>
        </w:rPr>
        <w:t>T</w:t>
      </w:r>
      <w:r w:rsidRPr="00BD1319">
        <w:rPr>
          <w:rFonts w:cs="Arial"/>
          <w:spacing w:val="-3"/>
        </w:rPr>
        <w:t>abla</w:t>
      </w:r>
      <w:r w:rsidR="00684FF3" w:rsidRPr="00BD1319">
        <w:rPr>
          <w:rFonts w:cs="Arial"/>
          <w:spacing w:val="-3"/>
        </w:rPr>
        <w:t>s</w:t>
      </w:r>
      <w:r w:rsidRPr="00BD1319">
        <w:rPr>
          <w:rFonts w:cs="Arial"/>
          <w:spacing w:val="-3"/>
        </w:rPr>
        <w:t xml:space="preserve"> </w:t>
      </w:r>
      <w:r w:rsidR="000A2964" w:rsidRPr="00BD1319">
        <w:rPr>
          <w:rFonts w:cs="Arial"/>
          <w:spacing w:val="-3"/>
        </w:rPr>
        <w:fldChar w:fldCharType="begin"/>
      </w:r>
      <w:r w:rsidR="000A2964" w:rsidRPr="00BD1319">
        <w:rPr>
          <w:rFonts w:cs="Arial"/>
          <w:spacing w:val="-3"/>
        </w:rPr>
        <w:instrText xml:space="preserve"> REF _Ref135398564 \h </w:instrText>
      </w:r>
      <w:r w:rsidR="00BD1319">
        <w:rPr>
          <w:rFonts w:cs="Arial"/>
          <w:spacing w:val="-3"/>
        </w:rPr>
        <w:instrText xml:space="preserve"> \* MERGEFORMAT </w:instrText>
      </w:r>
      <w:r w:rsidR="000A2964" w:rsidRPr="00BD1319">
        <w:rPr>
          <w:rFonts w:cs="Arial"/>
          <w:spacing w:val="-3"/>
        </w:rPr>
      </w:r>
      <w:r w:rsidR="000A2964" w:rsidRPr="00BD1319">
        <w:rPr>
          <w:rFonts w:cs="Arial"/>
          <w:spacing w:val="-3"/>
        </w:rPr>
        <w:fldChar w:fldCharType="separate"/>
      </w:r>
      <w:r w:rsidR="00296654" w:rsidRPr="00BD1319">
        <w:t xml:space="preserve">Tabla </w:t>
      </w:r>
      <w:r w:rsidR="00296654" w:rsidRPr="00BD1319">
        <w:rPr>
          <w:noProof/>
        </w:rPr>
        <w:t>10</w:t>
      </w:r>
      <w:r w:rsidR="000A2964" w:rsidRPr="00BD1319">
        <w:rPr>
          <w:rFonts w:cs="Arial"/>
          <w:spacing w:val="-3"/>
        </w:rPr>
        <w:fldChar w:fldCharType="end"/>
      </w:r>
      <w:r w:rsidR="000A2964" w:rsidRPr="00BD1319">
        <w:rPr>
          <w:rFonts w:cs="Arial"/>
          <w:spacing w:val="-3"/>
        </w:rPr>
        <w:t xml:space="preserve"> </w:t>
      </w:r>
      <w:r w:rsidR="00684FF3" w:rsidRPr="00BD1319">
        <w:rPr>
          <w:rFonts w:cs="Arial"/>
          <w:spacing w:val="-3"/>
        </w:rPr>
        <w:t xml:space="preserve">y </w:t>
      </w:r>
      <w:r w:rsidR="000A2964" w:rsidRPr="00BD1319">
        <w:rPr>
          <w:rFonts w:cs="Arial"/>
          <w:spacing w:val="-3"/>
        </w:rPr>
        <w:fldChar w:fldCharType="begin"/>
      </w:r>
      <w:r w:rsidR="000A2964" w:rsidRPr="00BD1319">
        <w:rPr>
          <w:rFonts w:cs="Arial"/>
          <w:spacing w:val="-3"/>
        </w:rPr>
        <w:instrText xml:space="preserve"> REF _Ref135398566 \h </w:instrText>
      </w:r>
      <w:r w:rsidR="00BD1319">
        <w:rPr>
          <w:rFonts w:cs="Arial"/>
          <w:spacing w:val="-3"/>
        </w:rPr>
        <w:instrText xml:space="preserve"> \* MERGEFORMAT </w:instrText>
      </w:r>
      <w:r w:rsidR="000A2964" w:rsidRPr="00BD1319">
        <w:rPr>
          <w:rFonts w:cs="Arial"/>
          <w:spacing w:val="-3"/>
        </w:rPr>
      </w:r>
      <w:r w:rsidR="000A2964" w:rsidRPr="00BD1319">
        <w:rPr>
          <w:rFonts w:cs="Arial"/>
          <w:spacing w:val="-3"/>
        </w:rPr>
        <w:fldChar w:fldCharType="separate"/>
      </w:r>
      <w:r w:rsidR="00296654" w:rsidRPr="00BD1319">
        <w:t xml:space="preserve">Tabla </w:t>
      </w:r>
      <w:r w:rsidR="00296654" w:rsidRPr="00BD1319">
        <w:rPr>
          <w:noProof/>
        </w:rPr>
        <w:t>11</w:t>
      </w:r>
      <w:r w:rsidR="000A2964" w:rsidRPr="00BD1319">
        <w:rPr>
          <w:rFonts w:cs="Arial"/>
          <w:spacing w:val="-3"/>
        </w:rPr>
        <w:fldChar w:fldCharType="end"/>
      </w:r>
      <w:r w:rsidR="00684FF3" w:rsidRPr="00BD1319">
        <w:rPr>
          <w:rFonts w:cs="Arial"/>
          <w:spacing w:val="-3"/>
        </w:rPr>
        <w:t>.</w:t>
      </w:r>
    </w:p>
    <w:p w14:paraId="6ADD0925" w14:textId="77777777" w:rsidR="00F96509" w:rsidRPr="00BD1319" w:rsidRDefault="00F96509" w:rsidP="00F97C5C">
      <w:pPr>
        <w:tabs>
          <w:tab w:val="left" w:pos="-2268"/>
        </w:tabs>
        <w:suppressAutoHyphens/>
        <w:rPr>
          <w:rFonts w:cs="Arial"/>
          <w:spacing w:val="-3"/>
        </w:rPr>
      </w:pPr>
    </w:p>
    <w:p w14:paraId="425C60B9" w14:textId="66159E06" w:rsidR="00DB4694" w:rsidRPr="00BD1319" w:rsidRDefault="00DB4694" w:rsidP="004E5795">
      <w:pPr>
        <w:pStyle w:val="Descripcin"/>
        <w:jc w:val="center"/>
        <w:rPr>
          <w:rFonts w:cs="Arial"/>
          <w:spacing w:val="-3"/>
        </w:rPr>
      </w:pPr>
      <w:bookmarkStart w:id="2221" w:name="_Ref135398564"/>
      <w:bookmarkStart w:id="2222" w:name="_Ref140495150"/>
      <w:r w:rsidRPr="00BD1319">
        <w:t xml:space="preserve">Tabla </w:t>
      </w:r>
      <w:fldSimple w:instr=" SEQ Tabla \* ARABIC ">
        <w:r w:rsidR="00296654" w:rsidRPr="00BD1319">
          <w:rPr>
            <w:noProof/>
          </w:rPr>
          <w:t>10</w:t>
        </w:r>
      </w:fldSimple>
      <w:bookmarkEnd w:id="2221"/>
      <w:r w:rsidRPr="00BD1319">
        <w:rPr>
          <w:rFonts w:cs="Arial"/>
          <w:spacing w:val="-3"/>
        </w:rPr>
        <w:t>.</w:t>
      </w:r>
      <w:r w:rsidRPr="00BD1319">
        <w:rPr>
          <w:rFonts w:cs="Arial"/>
          <w:b w:val="0"/>
          <w:bCs w:val="0"/>
          <w:spacing w:val="-3"/>
        </w:rPr>
        <w:t xml:space="preserve"> Coeficiente de correlación</w:t>
      </w:r>
      <w:bookmarkEnd w:id="2222"/>
    </w:p>
    <w:tbl>
      <w:tblPr>
        <w:tblW w:w="0" w:type="auto"/>
        <w:jc w:val="center"/>
        <w:tblBorders>
          <w:insideH w:val="nil"/>
          <w:insideV w:val="nil"/>
        </w:tblBorders>
        <w:tblLook w:val="0600" w:firstRow="0" w:lastRow="0" w:firstColumn="0" w:lastColumn="0" w:noHBand="1" w:noVBand="1"/>
      </w:tblPr>
      <w:tblGrid>
        <w:gridCol w:w="2860"/>
        <w:gridCol w:w="2668"/>
      </w:tblGrid>
      <w:tr w:rsidR="00DB4694" w:rsidRPr="00BD1319" w14:paraId="227DFC07" w14:textId="77777777" w:rsidTr="000D6E21">
        <w:trPr>
          <w:trHeight w:hRule="exact" w:val="397"/>
          <w:jc w:val="center"/>
        </w:trPr>
        <w:tc>
          <w:tcPr>
            <w:tcW w:w="2860"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103C24EC" w14:textId="30B7805C" w:rsidR="00DB4694" w:rsidRPr="00BD1319" w:rsidRDefault="00152A12" w:rsidP="000D6E21">
            <w:pPr>
              <w:tabs>
                <w:tab w:val="left" w:pos="-2268"/>
              </w:tabs>
              <w:suppressAutoHyphens/>
              <w:jc w:val="center"/>
              <w:rPr>
                <w:rFonts w:cs="Arial"/>
                <w:b/>
                <w:bCs/>
                <w:spacing w:val="-3"/>
                <w:sz w:val="22"/>
                <w:szCs w:val="22"/>
                <w:lang w:val="es-ES"/>
              </w:rPr>
            </w:pPr>
            <w:r w:rsidRPr="00BD1319">
              <w:rPr>
                <w:rFonts w:cs="Arial"/>
                <w:b/>
                <w:bCs/>
                <w:spacing w:val="-3"/>
                <w:sz w:val="22"/>
                <w:szCs w:val="22"/>
                <w:lang w:val="es-ES"/>
              </w:rPr>
              <w:t>Coeficiente de correlación</w:t>
            </w:r>
          </w:p>
        </w:tc>
        <w:tc>
          <w:tcPr>
            <w:tcW w:w="2668"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6E6136BE" w14:textId="0DBF25ED" w:rsidR="00DB4694" w:rsidRPr="00BD1319" w:rsidRDefault="00152A12" w:rsidP="000D6E21">
            <w:pPr>
              <w:tabs>
                <w:tab w:val="left" w:pos="-2268"/>
              </w:tabs>
              <w:suppressAutoHyphens/>
              <w:jc w:val="center"/>
              <w:rPr>
                <w:rFonts w:cs="Arial"/>
                <w:b/>
                <w:bCs/>
                <w:spacing w:val="-3"/>
                <w:sz w:val="22"/>
                <w:szCs w:val="22"/>
                <w:lang w:val="es-ES"/>
              </w:rPr>
            </w:pPr>
            <w:r w:rsidRPr="00BD1319">
              <w:rPr>
                <w:rFonts w:cs="Arial"/>
                <w:b/>
                <w:bCs/>
                <w:spacing w:val="-3"/>
                <w:sz w:val="22"/>
                <w:szCs w:val="22"/>
                <w:lang w:val="es-ES"/>
              </w:rPr>
              <w:t>Categoría</w:t>
            </w:r>
          </w:p>
        </w:tc>
      </w:tr>
      <w:tr w:rsidR="003D0EA6" w:rsidRPr="00BD1319" w14:paraId="5AFC15CB" w14:textId="77777777" w:rsidTr="000D6E21">
        <w:trPr>
          <w:trHeight w:hRule="exact" w:val="397"/>
          <w:jc w:val="center"/>
        </w:trPr>
        <w:tc>
          <w:tcPr>
            <w:tcW w:w="2860"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738C6444" w14:textId="7240B9A9" w:rsidR="003D0EA6" w:rsidRPr="00BD1319" w:rsidRDefault="003D0EA6" w:rsidP="000D6E21">
            <w:pPr>
              <w:tabs>
                <w:tab w:val="left" w:pos="-2268"/>
              </w:tabs>
              <w:suppressAutoHyphens/>
              <w:jc w:val="center"/>
              <w:rPr>
                <w:rFonts w:cs="Arial"/>
                <w:spacing w:val="-3"/>
                <w:sz w:val="22"/>
                <w:szCs w:val="22"/>
                <w:lang w:val="es-ES"/>
              </w:rPr>
            </w:pPr>
            <w:r w:rsidRPr="00BD1319">
              <w:rPr>
                <w:rFonts w:cs="Arial"/>
                <w:spacing w:val="-3"/>
                <w:sz w:val="22"/>
                <w:szCs w:val="22"/>
                <w:lang w:val="es-ES"/>
              </w:rPr>
              <w:t>R &lt; 0,5</w:t>
            </w:r>
          </w:p>
        </w:tc>
        <w:tc>
          <w:tcPr>
            <w:tcW w:w="2668"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6BEF6B81" w14:textId="381F8AEC" w:rsidR="003D0EA6" w:rsidRPr="00BD1319" w:rsidRDefault="003D0EA6" w:rsidP="000D6E21">
            <w:pPr>
              <w:tabs>
                <w:tab w:val="left" w:pos="-2268"/>
              </w:tabs>
              <w:suppressAutoHyphens/>
              <w:jc w:val="center"/>
              <w:rPr>
                <w:rFonts w:cs="Arial"/>
                <w:spacing w:val="-3"/>
                <w:sz w:val="22"/>
                <w:szCs w:val="22"/>
                <w:lang w:val="es-ES"/>
              </w:rPr>
            </w:pPr>
            <w:r w:rsidRPr="00BD1319">
              <w:rPr>
                <w:rFonts w:cs="Arial"/>
                <w:spacing w:val="-3"/>
                <w:sz w:val="22"/>
                <w:szCs w:val="22"/>
                <w:lang w:val="es-ES"/>
              </w:rPr>
              <w:t>Malo</w:t>
            </w:r>
          </w:p>
        </w:tc>
      </w:tr>
      <w:tr w:rsidR="003D0EA6" w:rsidRPr="00BD1319" w14:paraId="34614621" w14:textId="77777777" w:rsidTr="000D6E21">
        <w:trPr>
          <w:trHeight w:hRule="exact" w:val="397"/>
          <w:jc w:val="center"/>
        </w:trPr>
        <w:tc>
          <w:tcPr>
            <w:tcW w:w="2860"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hideMark/>
          </w:tcPr>
          <w:p w14:paraId="563A6CB0" w14:textId="4640A410" w:rsidR="003D0EA6" w:rsidRPr="00BD1319" w:rsidRDefault="003D0EA6" w:rsidP="000D6E21">
            <w:pPr>
              <w:tabs>
                <w:tab w:val="left" w:pos="-2268"/>
              </w:tabs>
              <w:suppressAutoHyphens/>
              <w:jc w:val="center"/>
              <w:rPr>
                <w:rFonts w:cs="Arial"/>
                <w:spacing w:val="-3"/>
                <w:sz w:val="22"/>
                <w:szCs w:val="22"/>
                <w:lang w:val="es-ES"/>
              </w:rPr>
            </w:pPr>
            <w:r w:rsidRPr="00BD1319">
              <w:rPr>
                <w:rFonts w:cs="Arial"/>
                <w:spacing w:val="-3"/>
                <w:sz w:val="22"/>
                <w:szCs w:val="22"/>
                <w:lang w:val="es-ES"/>
              </w:rPr>
              <w:t>0,5</w:t>
            </w:r>
            <w:r w:rsidR="00152A12" w:rsidRPr="00BD1319">
              <w:rPr>
                <w:rFonts w:cs="Arial"/>
                <w:spacing w:val="-3"/>
                <w:sz w:val="22"/>
                <w:szCs w:val="22"/>
                <w:lang w:val="es-ES"/>
              </w:rPr>
              <w:t xml:space="preserve"> ≤ </w:t>
            </w:r>
            <w:r w:rsidRPr="00BD1319">
              <w:rPr>
                <w:rFonts w:cs="Arial"/>
                <w:spacing w:val="-3"/>
                <w:sz w:val="22"/>
                <w:szCs w:val="22"/>
                <w:lang w:val="es-ES"/>
              </w:rPr>
              <w:t>R</w:t>
            </w:r>
            <w:r w:rsidR="00152A12" w:rsidRPr="00BD1319">
              <w:rPr>
                <w:rFonts w:cs="Arial"/>
                <w:spacing w:val="-3"/>
                <w:sz w:val="22"/>
                <w:szCs w:val="22"/>
                <w:lang w:val="es-ES"/>
              </w:rPr>
              <w:t xml:space="preserve"> </w:t>
            </w:r>
            <w:r w:rsidRPr="00BD1319">
              <w:rPr>
                <w:rFonts w:cs="Arial"/>
                <w:spacing w:val="-3"/>
                <w:sz w:val="22"/>
                <w:szCs w:val="22"/>
                <w:lang w:val="es-ES"/>
              </w:rPr>
              <w:t>&lt;</w:t>
            </w:r>
            <w:r w:rsidR="00152A12" w:rsidRPr="00BD1319">
              <w:rPr>
                <w:rFonts w:cs="Arial"/>
                <w:spacing w:val="-3"/>
                <w:sz w:val="22"/>
                <w:szCs w:val="22"/>
                <w:lang w:val="es-ES"/>
              </w:rPr>
              <w:t xml:space="preserve"> </w:t>
            </w:r>
            <w:r w:rsidRPr="00BD1319">
              <w:rPr>
                <w:rFonts w:cs="Arial"/>
                <w:spacing w:val="-3"/>
                <w:sz w:val="22"/>
                <w:szCs w:val="22"/>
                <w:lang w:val="es-ES"/>
              </w:rPr>
              <w:t>0,7</w:t>
            </w:r>
          </w:p>
        </w:tc>
        <w:tc>
          <w:tcPr>
            <w:tcW w:w="2668"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hideMark/>
          </w:tcPr>
          <w:p w14:paraId="1A68751B" w14:textId="77777777" w:rsidR="003D0EA6" w:rsidRPr="00BD1319" w:rsidRDefault="003D0EA6" w:rsidP="000D6E21">
            <w:pPr>
              <w:tabs>
                <w:tab w:val="left" w:pos="-2268"/>
              </w:tabs>
              <w:suppressAutoHyphens/>
              <w:jc w:val="center"/>
              <w:rPr>
                <w:rFonts w:cs="Arial"/>
                <w:spacing w:val="-3"/>
                <w:sz w:val="22"/>
                <w:szCs w:val="22"/>
                <w:lang w:val="es-ES"/>
              </w:rPr>
            </w:pPr>
            <w:r w:rsidRPr="00BD1319">
              <w:rPr>
                <w:rFonts w:cs="Arial"/>
                <w:spacing w:val="-3"/>
                <w:sz w:val="22"/>
                <w:szCs w:val="22"/>
                <w:lang w:val="es-ES"/>
              </w:rPr>
              <w:t>Regular</w:t>
            </w:r>
          </w:p>
        </w:tc>
      </w:tr>
      <w:tr w:rsidR="003D0EA6" w:rsidRPr="00BD1319" w14:paraId="3FB7F4D8" w14:textId="77777777" w:rsidTr="000D6E21">
        <w:trPr>
          <w:trHeight w:hRule="exact" w:val="397"/>
          <w:jc w:val="center"/>
        </w:trPr>
        <w:tc>
          <w:tcPr>
            <w:tcW w:w="2860"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hideMark/>
          </w:tcPr>
          <w:p w14:paraId="12CC381B" w14:textId="5697391A" w:rsidR="003D0EA6" w:rsidRPr="00BD1319" w:rsidRDefault="003D0EA6" w:rsidP="000D6E21">
            <w:pPr>
              <w:tabs>
                <w:tab w:val="left" w:pos="-2268"/>
              </w:tabs>
              <w:suppressAutoHyphens/>
              <w:jc w:val="center"/>
              <w:rPr>
                <w:rFonts w:cs="Arial"/>
                <w:spacing w:val="-3"/>
                <w:sz w:val="22"/>
                <w:szCs w:val="22"/>
                <w:lang w:val="es-ES"/>
              </w:rPr>
            </w:pPr>
            <w:r w:rsidRPr="00BD1319">
              <w:rPr>
                <w:rFonts w:cs="Arial"/>
                <w:spacing w:val="-3"/>
                <w:sz w:val="22"/>
                <w:szCs w:val="22"/>
                <w:lang w:val="es-ES"/>
              </w:rPr>
              <w:t>0,7</w:t>
            </w:r>
            <w:r w:rsidR="00152A12" w:rsidRPr="00BD1319">
              <w:rPr>
                <w:rFonts w:cs="Arial"/>
                <w:spacing w:val="-3"/>
                <w:sz w:val="22"/>
                <w:szCs w:val="22"/>
                <w:lang w:val="es-ES"/>
              </w:rPr>
              <w:t xml:space="preserve"> ≤ </w:t>
            </w:r>
            <w:r w:rsidRPr="00BD1319">
              <w:rPr>
                <w:rFonts w:cs="Arial"/>
                <w:spacing w:val="-3"/>
                <w:sz w:val="22"/>
                <w:szCs w:val="22"/>
                <w:lang w:val="es-ES"/>
              </w:rPr>
              <w:t>R</w:t>
            </w:r>
            <w:r w:rsidR="00152A12" w:rsidRPr="00BD1319">
              <w:rPr>
                <w:rFonts w:cs="Arial"/>
                <w:spacing w:val="-3"/>
                <w:sz w:val="22"/>
                <w:szCs w:val="22"/>
                <w:lang w:val="es-ES"/>
              </w:rPr>
              <w:t xml:space="preserve"> </w:t>
            </w:r>
            <w:r w:rsidRPr="00BD1319">
              <w:rPr>
                <w:rFonts w:cs="Arial"/>
                <w:spacing w:val="-3"/>
                <w:sz w:val="22"/>
                <w:szCs w:val="22"/>
                <w:lang w:val="es-ES"/>
              </w:rPr>
              <w:t>&lt;</w:t>
            </w:r>
            <w:r w:rsidR="00152A12" w:rsidRPr="00BD1319">
              <w:rPr>
                <w:rFonts w:cs="Arial"/>
                <w:spacing w:val="-3"/>
                <w:sz w:val="22"/>
                <w:szCs w:val="22"/>
                <w:lang w:val="es-ES"/>
              </w:rPr>
              <w:t xml:space="preserve"> </w:t>
            </w:r>
            <w:r w:rsidRPr="00BD1319">
              <w:rPr>
                <w:rFonts w:cs="Arial"/>
                <w:spacing w:val="-3"/>
                <w:sz w:val="22"/>
                <w:szCs w:val="22"/>
                <w:lang w:val="es-ES"/>
              </w:rPr>
              <w:t>0,8</w:t>
            </w:r>
          </w:p>
        </w:tc>
        <w:tc>
          <w:tcPr>
            <w:tcW w:w="2668"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hideMark/>
          </w:tcPr>
          <w:p w14:paraId="3F912EAA" w14:textId="77777777" w:rsidR="003D0EA6" w:rsidRPr="00BD1319" w:rsidRDefault="003D0EA6" w:rsidP="000D6E21">
            <w:pPr>
              <w:tabs>
                <w:tab w:val="left" w:pos="-2268"/>
              </w:tabs>
              <w:suppressAutoHyphens/>
              <w:jc w:val="center"/>
              <w:rPr>
                <w:rFonts w:cs="Arial"/>
                <w:spacing w:val="-3"/>
                <w:sz w:val="22"/>
                <w:szCs w:val="22"/>
                <w:lang w:val="es-ES"/>
              </w:rPr>
            </w:pPr>
            <w:r w:rsidRPr="00BD1319">
              <w:rPr>
                <w:rFonts w:cs="Arial"/>
                <w:spacing w:val="-3"/>
                <w:sz w:val="22"/>
                <w:szCs w:val="22"/>
                <w:lang w:val="es-ES"/>
              </w:rPr>
              <w:t>Bueno</w:t>
            </w:r>
          </w:p>
        </w:tc>
      </w:tr>
      <w:tr w:rsidR="003D0EA6" w:rsidRPr="00BD1319" w14:paraId="5FCD2B6C" w14:textId="77777777" w:rsidTr="000D6E21">
        <w:trPr>
          <w:trHeight w:hRule="exact" w:val="397"/>
          <w:jc w:val="center"/>
        </w:trPr>
        <w:tc>
          <w:tcPr>
            <w:tcW w:w="2860"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hideMark/>
          </w:tcPr>
          <w:p w14:paraId="0F38C815" w14:textId="79AC5A69" w:rsidR="003D0EA6" w:rsidRPr="00BD1319" w:rsidRDefault="003D0EA6" w:rsidP="000D6E21">
            <w:pPr>
              <w:tabs>
                <w:tab w:val="left" w:pos="-2268"/>
              </w:tabs>
              <w:suppressAutoHyphens/>
              <w:jc w:val="center"/>
              <w:rPr>
                <w:rFonts w:cs="Arial"/>
                <w:spacing w:val="-3"/>
                <w:sz w:val="22"/>
                <w:szCs w:val="22"/>
                <w:lang w:val="es-ES"/>
              </w:rPr>
            </w:pPr>
            <w:r w:rsidRPr="00BD1319">
              <w:rPr>
                <w:rFonts w:cs="Arial"/>
                <w:spacing w:val="-3"/>
                <w:sz w:val="22"/>
                <w:szCs w:val="22"/>
                <w:lang w:val="es-ES"/>
              </w:rPr>
              <w:t>0,8</w:t>
            </w:r>
            <w:r w:rsidR="00152A12" w:rsidRPr="00BD1319">
              <w:rPr>
                <w:rFonts w:cs="Arial"/>
                <w:spacing w:val="-3"/>
                <w:sz w:val="22"/>
                <w:szCs w:val="22"/>
                <w:lang w:val="es-ES"/>
              </w:rPr>
              <w:t xml:space="preserve"> ≤ </w:t>
            </w:r>
            <w:r w:rsidRPr="00BD1319">
              <w:rPr>
                <w:rFonts w:cs="Arial"/>
                <w:spacing w:val="-3"/>
                <w:sz w:val="22"/>
                <w:szCs w:val="22"/>
                <w:lang w:val="es-ES"/>
              </w:rPr>
              <w:t>R</w:t>
            </w:r>
            <w:r w:rsidR="00152A12" w:rsidRPr="00BD1319">
              <w:rPr>
                <w:rFonts w:cs="Arial"/>
                <w:spacing w:val="-3"/>
                <w:sz w:val="22"/>
                <w:szCs w:val="22"/>
                <w:lang w:val="es-ES"/>
              </w:rPr>
              <w:t xml:space="preserve"> </w:t>
            </w:r>
            <w:r w:rsidRPr="00BD1319">
              <w:rPr>
                <w:rFonts w:cs="Arial"/>
                <w:spacing w:val="-3"/>
                <w:sz w:val="22"/>
                <w:szCs w:val="22"/>
                <w:lang w:val="es-ES"/>
              </w:rPr>
              <w:t>&lt;</w:t>
            </w:r>
            <w:r w:rsidR="00152A12" w:rsidRPr="00BD1319">
              <w:rPr>
                <w:rFonts w:cs="Arial"/>
                <w:spacing w:val="-3"/>
                <w:sz w:val="22"/>
                <w:szCs w:val="22"/>
                <w:lang w:val="es-ES"/>
              </w:rPr>
              <w:t xml:space="preserve"> </w:t>
            </w:r>
            <w:r w:rsidRPr="00BD1319">
              <w:rPr>
                <w:rFonts w:cs="Arial"/>
                <w:spacing w:val="-3"/>
                <w:sz w:val="22"/>
                <w:szCs w:val="22"/>
                <w:lang w:val="es-ES"/>
              </w:rPr>
              <w:t>1,0</w:t>
            </w:r>
          </w:p>
        </w:tc>
        <w:tc>
          <w:tcPr>
            <w:tcW w:w="2668"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hideMark/>
          </w:tcPr>
          <w:p w14:paraId="1060774B" w14:textId="77777777" w:rsidR="003D0EA6" w:rsidRPr="00BD1319" w:rsidRDefault="003D0EA6" w:rsidP="000D6E21">
            <w:pPr>
              <w:tabs>
                <w:tab w:val="left" w:pos="-2268"/>
              </w:tabs>
              <w:suppressAutoHyphens/>
              <w:jc w:val="center"/>
              <w:rPr>
                <w:rFonts w:cs="Arial"/>
                <w:spacing w:val="-3"/>
                <w:sz w:val="22"/>
                <w:szCs w:val="22"/>
                <w:lang w:val="es-ES"/>
              </w:rPr>
            </w:pPr>
            <w:r w:rsidRPr="00BD1319">
              <w:rPr>
                <w:rFonts w:cs="Arial"/>
                <w:spacing w:val="-3"/>
                <w:sz w:val="22"/>
                <w:szCs w:val="22"/>
                <w:lang w:val="es-ES"/>
              </w:rPr>
              <w:t>Excelente</w:t>
            </w:r>
          </w:p>
        </w:tc>
      </w:tr>
      <w:tr w:rsidR="003D0EA6" w:rsidRPr="00BD1319" w14:paraId="27A15D67" w14:textId="77777777" w:rsidTr="000D6E21">
        <w:trPr>
          <w:trHeight w:hRule="exact" w:val="397"/>
          <w:jc w:val="center"/>
        </w:trPr>
        <w:tc>
          <w:tcPr>
            <w:tcW w:w="2860"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hideMark/>
          </w:tcPr>
          <w:p w14:paraId="5D07AA65" w14:textId="77777777" w:rsidR="003D0EA6" w:rsidRPr="00BD1319" w:rsidRDefault="003D0EA6" w:rsidP="000D6E21">
            <w:pPr>
              <w:tabs>
                <w:tab w:val="left" w:pos="-2268"/>
              </w:tabs>
              <w:suppressAutoHyphens/>
              <w:jc w:val="center"/>
              <w:rPr>
                <w:rFonts w:cs="Arial"/>
                <w:spacing w:val="-3"/>
                <w:sz w:val="22"/>
                <w:szCs w:val="22"/>
                <w:lang w:val="es-ES"/>
              </w:rPr>
            </w:pPr>
            <w:r w:rsidRPr="00BD1319">
              <w:rPr>
                <w:rFonts w:cs="Arial"/>
                <w:spacing w:val="-3"/>
                <w:sz w:val="22"/>
                <w:szCs w:val="22"/>
                <w:lang w:val="es-ES"/>
              </w:rPr>
              <w:t>R = 1,0</w:t>
            </w:r>
          </w:p>
        </w:tc>
        <w:tc>
          <w:tcPr>
            <w:tcW w:w="2668"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hideMark/>
          </w:tcPr>
          <w:p w14:paraId="0A20CE92" w14:textId="77777777" w:rsidR="003D0EA6" w:rsidRPr="00BD1319" w:rsidRDefault="003D0EA6" w:rsidP="000D6E21">
            <w:pPr>
              <w:tabs>
                <w:tab w:val="left" w:pos="-2268"/>
              </w:tabs>
              <w:suppressAutoHyphens/>
              <w:jc w:val="center"/>
              <w:rPr>
                <w:rFonts w:cs="Arial"/>
                <w:spacing w:val="-3"/>
                <w:sz w:val="22"/>
                <w:szCs w:val="22"/>
                <w:lang w:val="es-ES"/>
              </w:rPr>
            </w:pPr>
            <w:r w:rsidRPr="00BD1319">
              <w:rPr>
                <w:rFonts w:cs="Arial"/>
                <w:spacing w:val="-3"/>
                <w:sz w:val="22"/>
                <w:szCs w:val="22"/>
                <w:lang w:val="es-ES"/>
              </w:rPr>
              <w:t>Perfecto</w:t>
            </w:r>
          </w:p>
        </w:tc>
      </w:tr>
    </w:tbl>
    <w:p w14:paraId="74891241" w14:textId="28651632" w:rsidR="00DB4694" w:rsidRPr="00BD1319" w:rsidRDefault="00DB4694" w:rsidP="000D6E21">
      <w:pPr>
        <w:tabs>
          <w:tab w:val="left" w:pos="-2268"/>
        </w:tabs>
        <w:suppressAutoHyphens/>
        <w:jc w:val="center"/>
        <w:rPr>
          <w:rFonts w:cs="Arial"/>
          <w:spacing w:val="-3"/>
          <w:sz w:val="20"/>
          <w:szCs w:val="20"/>
          <w:lang w:val="es-ES"/>
        </w:rPr>
      </w:pPr>
      <w:r w:rsidRPr="00BD1319">
        <w:rPr>
          <w:rFonts w:cs="Arial"/>
          <w:b/>
          <w:bCs/>
          <w:spacing w:val="-3"/>
          <w:sz w:val="20"/>
          <w:szCs w:val="20"/>
          <w:lang w:val="es-ES"/>
        </w:rPr>
        <w:t>Fuente:</w:t>
      </w:r>
      <w:r w:rsidRPr="00BD1319">
        <w:rPr>
          <w:rFonts w:cs="Arial"/>
          <w:spacing w:val="-3"/>
          <w:sz w:val="20"/>
          <w:szCs w:val="20"/>
          <w:lang w:val="es-ES"/>
        </w:rPr>
        <w:t xml:space="preserve"> Molnar (2011).</w:t>
      </w:r>
    </w:p>
    <w:p w14:paraId="498E3FA6" w14:textId="77777777" w:rsidR="00DB4694" w:rsidRPr="00BD1319" w:rsidRDefault="00DB4694" w:rsidP="00DB4694">
      <w:pPr>
        <w:tabs>
          <w:tab w:val="left" w:pos="-2268"/>
        </w:tabs>
        <w:suppressAutoHyphens/>
        <w:rPr>
          <w:rFonts w:cs="Arial"/>
          <w:spacing w:val="-3"/>
          <w:lang w:val="es-ES"/>
        </w:rPr>
      </w:pPr>
    </w:p>
    <w:p w14:paraId="712C9CD7" w14:textId="6DD0A428" w:rsidR="00DB4694" w:rsidRPr="00BD1319" w:rsidRDefault="00DB4694" w:rsidP="004E5795">
      <w:pPr>
        <w:pStyle w:val="Descripcin"/>
        <w:jc w:val="center"/>
        <w:rPr>
          <w:rFonts w:cs="Arial"/>
          <w:spacing w:val="-3"/>
        </w:rPr>
      </w:pPr>
      <w:bookmarkStart w:id="2223" w:name="_Ref135398566"/>
      <w:bookmarkStart w:id="2224" w:name="_Ref140495157"/>
      <w:r w:rsidRPr="00BD1319">
        <w:t xml:space="preserve">Tabla </w:t>
      </w:r>
      <w:fldSimple w:instr=" SEQ Tabla \* ARABIC ">
        <w:r w:rsidR="00296654" w:rsidRPr="00BD1319">
          <w:rPr>
            <w:noProof/>
          </w:rPr>
          <w:t>11</w:t>
        </w:r>
      </w:fldSimple>
      <w:bookmarkEnd w:id="2223"/>
      <w:r w:rsidRPr="00BD1319">
        <w:rPr>
          <w:rFonts w:cs="Arial"/>
          <w:spacing w:val="-3"/>
        </w:rPr>
        <w:t>.</w:t>
      </w:r>
      <w:r w:rsidRPr="00BD1319">
        <w:rPr>
          <w:rFonts w:cs="Arial"/>
          <w:b w:val="0"/>
          <w:bCs w:val="0"/>
          <w:spacing w:val="-3"/>
        </w:rPr>
        <w:t xml:space="preserve"> Nash-</w:t>
      </w:r>
      <w:proofErr w:type="spellStart"/>
      <w:r w:rsidRPr="00BD1319">
        <w:rPr>
          <w:rFonts w:cs="Arial"/>
          <w:b w:val="0"/>
          <w:bCs w:val="0"/>
          <w:spacing w:val="-3"/>
        </w:rPr>
        <w:t>Sutcliffe</w:t>
      </w:r>
      <w:bookmarkEnd w:id="2224"/>
      <w:proofErr w:type="spellEnd"/>
    </w:p>
    <w:tbl>
      <w:tblPr>
        <w:tblStyle w:val="Tablaconcuadrcula"/>
        <w:tblW w:w="0" w:type="auto"/>
        <w:tblInd w:w="1838" w:type="dxa"/>
        <w:tblLook w:val="0600" w:firstRow="0" w:lastRow="0" w:firstColumn="0" w:lastColumn="0" w:noHBand="1" w:noVBand="1"/>
      </w:tblPr>
      <w:tblGrid>
        <w:gridCol w:w="2860"/>
        <w:gridCol w:w="2668"/>
      </w:tblGrid>
      <w:tr w:rsidR="00DB4694" w:rsidRPr="00BD1319" w14:paraId="0036310B" w14:textId="77777777" w:rsidTr="000D6E21">
        <w:trPr>
          <w:trHeight w:hRule="exact" w:val="397"/>
        </w:trPr>
        <w:tc>
          <w:tcPr>
            <w:tcW w:w="2860" w:type="dxa"/>
          </w:tcPr>
          <w:p w14:paraId="1B24B441" w14:textId="6319D178" w:rsidR="00DB4694" w:rsidRPr="00BD1319" w:rsidRDefault="00152A12" w:rsidP="000D6E21">
            <w:pPr>
              <w:tabs>
                <w:tab w:val="left" w:pos="-2268"/>
              </w:tabs>
              <w:suppressAutoHyphens/>
              <w:jc w:val="center"/>
              <w:rPr>
                <w:rFonts w:cs="Arial"/>
                <w:b/>
                <w:bCs/>
                <w:spacing w:val="-3"/>
                <w:sz w:val="22"/>
                <w:szCs w:val="22"/>
                <w:lang w:val="es-ES"/>
              </w:rPr>
            </w:pPr>
            <w:r w:rsidRPr="00BD1319">
              <w:rPr>
                <w:rFonts w:cs="Arial"/>
                <w:b/>
                <w:bCs/>
                <w:spacing w:val="-3"/>
                <w:sz w:val="22"/>
                <w:szCs w:val="22"/>
                <w:lang w:val="es-ES"/>
              </w:rPr>
              <w:t>Nash-</w:t>
            </w:r>
            <w:proofErr w:type="spellStart"/>
            <w:r w:rsidRPr="00BD1319">
              <w:rPr>
                <w:rFonts w:cs="Arial"/>
                <w:b/>
                <w:bCs/>
                <w:spacing w:val="-3"/>
                <w:sz w:val="22"/>
                <w:szCs w:val="22"/>
                <w:lang w:val="es-ES"/>
              </w:rPr>
              <w:t>Sutcliffe</w:t>
            </w:r>
            <w:proofErr w:type="spellEnd"/>
          </w:p>
        </w:tc>
        <w:tc>
          <w:tcPr>
            <w:tcW w:w="2668" w:type="dxa"/>
          </w:tcPr>
          <w:p w14:paraId="6A23F335" w14:textId="478EA83B" w:rsidR="00DB4694" w:rsidRPr="00BD1319" w:rsidRDefault="00152A12" w:rsidP="000D6E21">
            <w:pPr>
              <w:tabs>
                <w:tab w:val="left" w:pos="-2268"/>
              </w:tabs>
              <w:suppressAutoHyphens/>
              <w:jc w:val="center"/>
              <w:rPr>
                <w:rFonts w:cs="Arial"/>
                <w:b/>
                <w:bCs/>
                <w:spacing w:val="-3"/>
                <w:sz w:val="22"/>
                <w:szCs w:val="22"/>
                <w:lang w:val="es-ES"/>
              </w:rPr>
            </w:pPr>
            <w:r w:rsidRPr="00BD1319">
              <w:rPr>
                <w:rFonts w:cs="Arial"/>
                <w:b/>
                <w:bCs/>
                <w:spacing w:val="-3"/>
                <w:sz w:val="22"/>
                <w:szCs w:val="22"/>
                <w:lang w:val="es-ES"/>
              </w:rPr>
              <w:t>Categoría</w:t>
            </w:r>
          </w:p>
        </w:tc>
      </w:tr>
      <w:tr w:rsidR="00152A12" w:rsidRPr="00BD1319" w14:paraId="338DABCF" w14:textId="77777777" w:rsidTr="000D6E21">
        <w:trPr>
          <w:trHeight w:hRule="exact" w:val="397"/>
        </w:trPr>
        <w:tc>
          <w:tcPr>
            <w:tcW w:w="2860" w:type="dxa"/>
          </w:tcPr>
          <w:p w14:paraId="519EAD2F" w14:textId="28137438" w:rsidR="00152A12" w:rsidRPr="00BD1319" w:rsidRDefault="00152A12" w:rsidP="000D6E21">
            <w:pPr>
              <w:tabs>
                <w:tab w:val="left" w:pos="-2268"/>
              </w:tabs>
              <w:suppressAutoHyphens/>
              <w:jc w:val="center"/>
              <w:rPr>
                <w:rFonts w:cs="Arial"/>
                <w:spacing w:val="-3"/>
                <w:sz w:val="22"/>
                <w:szCs w:val="22"/>
                <w:lang w:val="es-ES"/>
              </w:rPr>
            </w:pPr>
            <w:r w:rsidRPr="00BD1319">
              <w:rPr>
                <w:rFonts w:cs="Arial"/>
                <w:spacing w:val="-3"/>
                <w:sz w:val="22"/>
                <w:szCs w:val="22"/>
                <w:lang w:val="es-ES"/>
              </w:rPr>
              <w:t>N-S &lt; 0,2</w:t>
            </w:r>
          </w:p>
        </w:tc>
        <w:tc>
          <w:tcPr>
            <w:tcW w:w="2668" w:type="dxa"/>
          </w:tcPr>
          <w:p w14:paraId="4F66BDD6" w14:textId="75B8E06E" w:rsidR="00152A12" w:rsidRPr="00BD1319" w:rsidRDefault="00152A12" w:rsidP="000D6E21">
            <w:pPr>
              <w:tabs>
                <w:tab w:val="left" w:pos="-2268"/>
              </w:tabs>
              <w:suppressAutoHyphens/>
              <w:jc w:val="center"/>
              <w:rPr>
                <w:rFonts w:cs="Arial"/>
                <w:spacing w:val="-3"/>
                <w:sz w:val="22"/>
                <w:szCs w:val="22"/>
                <w:lang w:val="es-ES"/>
              </w:rPr>
            </w:pPr>
            <w:r w:rsidRPr="00BD1319">
              <w:rPr>
                <w:rFonts w:cs="Arial"/>
                <w:spacing w:val="-3"/>
                <w:sz w:val="22"/>
                <w:szCs w:val="22"/>
                <w:lang w:val="es-ES"/>
              </w:rPr>
              <w:t>Insuficiente</w:t>
            </w:r>
          </w:p>
        </w:tc>
      </w:tr>
      <w:tr w:rsidR="00152A12" w:rsidRPr="00BD1319" w14:paraId="7143C832" w14:textId="77777777" w:rsidTr="000D6E21">
        <w:trPr>
          <w:trHeight w:hRule="exact" w:val="397"/>
        </w:trPr>
        <w:tc>
          <w:tcPr>
            <w:tcW w:w="2860" w:type="dxa"/>
            <w:hideMark/>
          </w:tcPr>
          <w:p w14:paraId="3A041EFB" w14:textId="29C200A9" w:rsidR="00152A12" w:rsidRPr="00BD1319" w:rsidRDefault="00152A12" w:rsidP="000D6E21">
            <w:pPr>
              <w:tabs>
                <w:tab w:val="left" w:pos="-2268"/>
              </w:tabs>
              <w:suppressAutoHyphens/>
              <w:jc w:val="center"/>
              <w:rPr>
                <w:rFonts w:cs="Arial"/>
                <w:spacing w:val="-3"/>
                <w:sz w:val="22"/>
                <w:szCs w:val="22"/>
                <w:lang w:val="es-ES"/>
              </w:rPr>
            </w:pPr>
            <w:r w:rsidRPr="00BD1319">
              <w:rPr>
                <w:rFonts w:cs="Arial"/>
                <w:spacing w:val="-3"/>
                <w:sz w:val="22"/>
                <w:szCs w:val="22"/>
                <w:lang w:val="es-ES"/>
              </w:rPr>
              <w:t>0,2 ≤ N-S &lt; 0,4</w:t>
            </w:r>
          </w:p>
        </w:tc>
        <w:tc>
          <w:tcPr>
            <w:tcW w:w="2668" w:type="dxa"/>
            <w:hideMark/>
          </w:tcPr>
          <w:p w14:paraId="4B254E90" w14:textId="77777777" w:rsidR="00152A12" w:rsidRPr="00BD1319" w:rsidRDefault="00152A12" w:rsidP="000D6E21">
            <w:pPr>
              <w:tabs>
                <w:tab w:val="left" w:pos="-2268"/>
              </w:tabs>
              <w:suppressAutoHyphens/>
              <w:jc w:val="center"/>
              <w:rPr>
                <w:rFonts w:cs="Arial"/>
                <w:spacing w:val="-3"/>
                <w:sz w:val="22"/>
                <w:szCs w:val="22"/>
                <w:lang w:val="es-ES"/>
              </w:rPr>
            </w:pPr>
            <w:r w:rsidRPr="00BD1319">
              <w:rPr>
                <w:rFonts w:cs="Arial"/>
                <w:spacing w:val="-3"/>
                <w:sz w:val="22"/>
                <w:szCs w:val="22"/>
                <w:lang w:val="es-ES"/>
              </w:rPr>
              <w:t>Satisfactorio</w:t>
            </w:r>
          </w:p>
        </w:tc>
      </w:tr>
      <w:tr w:rsidR="00152A12" w:rsidRPr="00BD1319" w14:paraId="2FFC7350" w14:textId="77777777" w:rsidTr="000D6E21">
        <w:trPr>
          <w:trHeight w:hRule="exact" w:val="397"/>
        </w:trPr>
        <w:tc>
          <w:tcPr>
            <w:tcW w:w="2860" w:type="dxa"/>
            <w:hideMark/>
          </w:tcPr>
          <w:p w14:paraId="506416DB" w14:textId="6CC8A9A0" w:rsidR="00152A12" w:rsidRPr="00BD1319" w:rsidRDefault="00152A12" w:rsidP="000D6E21">
            <w:pPr>
              <w:tabs>
                <w:tab w:val="left" w:pos="-2268"/>
              </w:tabs>
              <w:suppressAutoHyphens/>
              <w:jc w:val="center"/>
              <w:rPr>
                <w:rFonts w:cs="Arial"/>
                <w:spacing w:val="-3"/>
                <w:sz w:val="22"/>
                <w:szCs w:val="22"/>
                <w:lang w:val="es-ES"/>
              </w:rPr>
            </w:pPr>
            <w:r w:rsidRPr="00BD1319">
              <w:rPr>
                <w:rFonts w:cs="Arial"/>
                <w:spacing w:val="-3"/>
                <w:sz w:val="22"/>
                <w:szCs w:val="22"/>
                <w:lang w:val="es-ES"/>
              </w:rPr>
              <w:t>0,4 ≤ N-S &lt; 0,6</w:t>
            </w:r>
          </w:p>
        </w:tc>
        <w:tc>
          <w:tcPr>
            <w:tcW w:w="2668" w:type="dxa"/>
            <w:hideMark/>
          </w:tcPr>
          <w:p w14:paraId="2ACDB098" w14:textId="77777777" w:rsidR="00152A12" w:rsidRPr="00BD1319" w:rsidRDefault="00152A12" w:rsidP="000D6E21">
            <w:pPr>
              <w:tabs>
                <w:tab w:val="left" w:pos="-2268"/>
              </w:tabs>
              <w:suppressAutoHyphens/>
              <w:jc w:val="center"/>
              <w:rPr>
                <w:rFonts w:cs="Arial"/>
                <w:spacing w:val="-3"/>
                <w:sz w:val="22"/>
                <w:szCs w:val="22"/>
                <w:lang w:val="es-ES"/>
              </w:rPr>
            </w:pPr>
            <w:r w:rsidRPr="00BD1319">
              <w:rPr>
                <w:rFonts w:cs="Arial"/>
                <w:spacing w:val="-3"/>
                <w:sz w:val="22"/>
                <w:szCs w:val="22"/>
                <w:lang w:val="es-ES"/>
              </w:rPr>
              <w:t>Bueno</w:t>
            </w:r>
          </w:p>
        </w:tc>
      </w:tr>
      <w:tr w:rsidR="00152A12" w:rsidRPr="00BD1319" w14:paraId="3D746866" w14:textId="77777777" w:rsidTr="000D6E21">
        <w:trPr>
          <w:trHeight w:hRule="exact" w:val="397"/>
        </w:trPr>
        <w:tc>
          <w:tcPr>
            <w:tcW w:w="2860" w:type="dxa"/>
            <w:hideMark/>
          </w:tcPr>
          <w:p w14:paraId="02E09178" w14:textId="248E6C67" w:rsidR="00152A12" w:rsidRPr="00BD1319" w:rsidRDefault="00152A12" w:rsidP="000D6E21">
            <w:pPr>
              <w:tabs>
                <w:tab w:val="left" w:pos="-2268"/>
              </w:tabs>
              <w:suppressAutoHyphens/>
              <w:jc w:val="center"/>
              <w:rPr>
                <w:rFonts w:cs="Arial"/>
                <w:spacing w:val="-3"/>
                <w:sz w:val="22"/>
                <w:szCs w:val="22"/>
                <w:lang w:val="es-ES"/>
              </w:rPr>
            </w:pPr>
            <w:r w:rsidRPr="00BD1319">
              <w:rPr>
                <w:rFonts w:cs="Arial"/>
                <w:spacing w:val="-3"/>
                <w:sz w:val="22"/>
                <w:szCs w:val="22"/>
                <w:lang w:val="es-ES"/>
              </w:rPr>
              <w:lastRenderedPageBreak/>
              <w:t>0,6 ≤ N-S &lt; 0,8</w:t>
            </w:r>
          </w:p>
        </w:tc>
        <w:tc>
          <w:tcPr>
            <w:tcW w:w="2668" w:type="dxa"/>
            <w:hideMark/>
          </w:tcPr>
          <w:p w14:paraId="7C394E0E" w14:textId="77777777" w:rsidR="00152A12" w:rsidRPr="00BD1319" w:rsidRDefault="00152A12" w:rsidP="000D6E21">
            <w:pPr>
              <w:tabs>
                <w:tab w:val="left" w:pos="-2268"/>
              </w:tabs>
              <w:suppressAutoHyphens/>
              <w:jc w:val="center"/>
              <w:rPr>
                <w:rFonts w:cs="Arial"/>
                <w:spacing w:val="-3"/>
                <w:sz w:val="22"/>
                <w:szCs w:val="22"/>
                <w:lang w:val="es-ES"/>
              </w:rPr>
            </w:pPr>
            <w:r w:rsidRPr="00BD1319">
              <w:rPr>
                <w:rFonts w:cs="Arial"/>
                <w:spacing w:val="-3"/>
                <w:sz w:val="22"/>
                <w:szCs w:val="22"/>
                <w:lang w:val="es-ES"/>
              </w:rPr>
              <w:t>Muy bueno</w:t>
            </w:r>
          </w:p>
        </w:tc>
      </w:tr>
      <w:tr w:rsidR="00152A12" w:rsidRPr="00BD1319" w14:paraId="416761D3" w14:textId="77777777" w:rsidTr="000D6E21">
        <w:trPr>
          <w:trHeight w:hRule="exact" w:val="397"/>
        </w:trPr>
        <w:tc>
          <w:tcPr>
            <w:tcW w:w="2860" w:type="dxa"/>
            <w:hideMark/>
          </w:tcPr>
          <w:p w14:paraId="35D5DE75" w14:textId="5DE709A6" w:rsidR="00152A12" w:rsidRPr="00BD1319" w:rsidRDefault="00152A12" w:rsidP="000D6E21">
            <w:pPr>
              <w:tabs>
                <w:tab w:val="left" w:pos="-2268"/>
              </w:tabs>
              <w:suppressAutoHyphens/>
              <w:jc w:val="center"/>
              <w:rPr>
                <w:rFonts w:cs="Arial"/>
                <w:spacing w:val="-3"/>
                <w:sz w:val="22"/>
                <w:szCs w:val="22"/>
                <w:lang w:val="es-ES"/>
              </w:rPr>
            </w:pPr>
            <w:r w:rsidRPr="00BD1319">
              <w:rPr>
                <w:rFonts w:cs="Arial"/>
                <w:spacing w:val="-3"/>
                <w:sz w:val="22"/>
                <w:szCs w:val="22"/>
                <w:lang w:val="es-ES"/>
              </w:rPr>
              <w:t>N-S ≥ 0,8</w:t>
            </w:r>
          </w:p>
        </w:tc>
        <w:tc>
          <w:tcPr>
            <w:tcW w:w="2668" w:type="dxa"/>
            <w:hideMark/>
          </w:tcPr>
          <w:p w14:paraId="68C3FA54" w14:textId="77777777" w:rsidR="00152A12" w:rsidRPr="00BD1319" w:rsidRDefault="00152A12" w:rsidP="000D6E21">
            <w:pPr>
              <w:tabs>
                <w:tab w:val="left" w:pos="-2268"/>
              </w:tabs>
              <w:suppressAutoHyphens/>
              <w:jc w:val="center"/>
              <w:rPr>
                <w:rFonts w:cs="Arial"/>
                <w:spacing w:val="-3"/>
                <w:sz w:val="22"/>
                <w:szCs w:val="22"/>
                <w:lang w:val="es-ES"/>
              </w:rPr>
            </w:pPr>
            <w:r w:rsidRPr="00BD1319">
              <w:rPr>
                <w:rFonts w:cs="Arial"/>
                <w:spacing w:val="-3"/>
                <w:sz w:val="22"/>
                <w:szCs w:val="22"/>
                <w:lang w:val="es-ES"/>
              </w:rPr>
              <w:t>Excelente</w:t>
            </w:r>
          </w:p>
        </w:tc>
      </w:tr>
    </w:tbl>
    <w:p w14:paraId="2F54DBED" w14:textId="72B80786" w:rsidR="00DB4694" w:rsidRPr="00BD1319" w:rsidRDefault="00DB4694" w:rsidP="00DB4694">
      <w:pPr>
        <w:tabs>
          <w:tab w:val="left" w:pos="-2268"/>
        </w:tabs>
        <w:suppressAutoHyphens/>
        <w:jc w:val="center"/>
        <w:rPr>
          <w:rFonts w:cs="Arial"/>
          <w:spacing w:val="-3"/>
          <w:sz w:val="20"/>
          <w:szCs w:val="20"/>
          <w:lang w:val="es-ES"/>
        </w:rPr>
      </w:pPr>
      <w:r w:rsidRPr="00BD1319">
        <w:rPr>
          <w:rFonts w:cs="Arial"/>
          <w:b/>
          <w:bCs/>
          <w:spacing w:val="-3"/>
          <w:sz w:val="20"/>
          <w:szCs w:val="20"/>
          <w:lang w:val="es-ES"/>
        </w:rPr>
        <w:t>Fuente:</w:t>
      </w:r>
      <w:r w:rsidRPr="00BD1319">
        <w:rPr>
          <w:rFonts w:cs="Arial"/>
          <w:spacing w:val="-3"/>
          <w:sz w:val="20"/>
          <w:szCs w:val="20"/>
          <w:lang w:val="es-ES"/>
        </w:rPr>
        <w:t xml:space="preserve"> Molnar (2011).</w:t>
      </w:r>
    </w:p>
    <w:p w14:paraId="1A5A2544" w14:textId="77777777" w:rsidR="00F96509" w:rsidRPr="00BD1319" w:rsidRDefault="00F96509" w:rsidP="00F97C5C">
      <w:pPr>
        <w:tabs>
          <w:tab w:val="left" w:pos="-2268"/>
        </w:tabs>
        <w:suppressAutoHyphens/>
        <w:rPr>
          <w:rFonts w:cs="Arial"/>
          <w:spacing w:val="-3"/>
        </w:rPr>
      </w:pPr>
    </w:p>
    <w:p w14:paraId="41FC6FA9" w14:textId="745B589B" w:rsidR="0077491E" w:rsidRPr="00BD1319" w:rsidRDefault="0077491E" w:rsidP="00F97C5C">
      <w:pPr>
        <w:tabs>
          <w:tab w:val="left" w:pos="-2268"/>
        </w:tabs>
        <w:suppressAutoHyphens/>
        <w:rPr>
          <w:rFonts w:cs="Arial"/>
          <w:spacing w:val="-3"/>
        </w:rPr>
      </w:pPr>
      <w:r w:rsidRPr="00BD1319">
        <w:rPr>
          <w:rFonts w:cs="Arial"/>
          <w:spacing w:val="-3"/>
        </w:rPr>
        <w:t xml:space="preserve">A partir de la información primaria y secundaria disponible, estimar la oferta hídrica superficial total y disponible a escala mensual para el cuerpo de agua principal con intervención, las unidades hidrográficas de interés en el área de estudio del componente </w:t>
      </w:r>
      <w:r w:rsidR="00F06D27" w:rsidRPr="00BD1319">
        <w:rPr>
          <w:rFonts w:cs="Arial"/>
          <w:spacing w:val="-3"/>
        </w:rPr>
        <w:t xml:space="preserve">según </w:t>
      </w:r>
      <w:r w:rsidRPr="00BD1319">
        <w:rPr>
          <w:rFonts w:cs="Arial"/>
          <w:spacing w:val="-3"/>
        </w:rPr>
        <w:t xml:space="preserve">sitios estratégicos </w:t>
      </w:r>
      <w:r w:rsidR="00F06D27" w:rsidRPr="00BD1319">
        <w:rPr>
          <w:rFonts w:cs="Arial"/>
          <w:spacing w:val="-3"/>
        </w:rPr>
        <w:t xml:space="preserve">por </w:t>
      </w:r>
      <w:r w:rsidRPr="00BD1319">
        <w:rPr>
          <w:rFonts w:cs="Arial"/>
          <w:spacing w:val="-3"/>
        </w:rPr>
        <w:t>intervención o afectación y cuando aplique, en cada uno de los puntos susceptibles de intervención por captación o vertimiento en aguas superficiales, en caso de estar definidos. Lo anterior teniendo en cuenta que la oferta hídrica disponible es la oferta hídrica total menos el caudal ambiental.</w:t>
      </w:r>
    </w:p>
    <w:p w14:paraId="6D5D81B8" w14:textId="77777777" w:rsidR="00F06D27" w:rsidRPr="00BD1319" w:rsidRDefault="00F06D27" w:rsidP="00F97C5C">
      <w:pPr>
        <w:tabs>
          <w:tab w:val="left" w:pos="-2268"/>
        </w:tabs>
        <w:suppressAutoHyphens/>
        <w:rPr>
          <w:rFonts w:cs="Arial"/>
          <w:spacing w:val="-3"/>
        </w:rPr>
      </w:pPr>
    </w:p>
    <w:p w14:paraId="5B62D663" w14:textId="62F81126" w:rsidR="00F06D27" w:rsidRPr="00BD1319" w:rsidRDefault="00F06D27" w:rsidP="00F97C5C">
      <w:pPr>
        <w:tabs>
          <w:tab w:val="left" w:pos="-2268"/>
        </w:tabs>
        <w:suppressAutoHyphens/>
        <w:rPr>
          <w:rFonts w:cs="Arial"/>
          <w:spacing w:val="-3"/>
        </w:rPr>
      </w:pPr>
      <w:r w:rsidRPr="00BD1319">
        <w:rPr>
          <w:rFonts w:cs="Arial"/>
          <w:spacing w:val="-3"/>
        </w:rPr>
        <w:t>Estimar el caudal ambiental</w:t>
      </w:r>
      <w:r w:rsidRPr="00BD1319">
        <w:rPr>
          <w:rFonts w:cs="Arial"/>
          <w:spacing w:val="-3"/>
          <w:vertAlign w:val="superscript"/>
        </w:rPr>
        <w:footnoteReference w:id="42"/>
      </w:r>
      <w:r w:rsidRPr="00BD1319">
        <w:rPr>
          <w:rFonts w:cs="Arial"/>
          <w:spacing w:val="-3"/>
        </w:rPr>
        <w:t xml:space="preserve"> para el cuerpo de agua principal con intervención, en las unidades hidrográficas de interés del área de estudio del componente, en sitios estratégicos que sean de interés por intervención o posible afectación y en cada uno de los puntos susceptibles de intervención por captación o vertimiento en aguas superficiales a escala mensual, en caso de estar definidos. Se debe implementar una metodología o conjunto de métodos técnicamente válidos que describan el régimen.</w:t>
      </w:r>
    </w:p>
    <w:p w14:paraId="68A18AC2" w14:textId="77777777" w:rsidR="00C64B85" w:rsidRPr="00BD1319" w:rsidRDefault="00C64B85" w:rsidP="00F97C5C">
      <w:pPr>
        <w:tabs>
          <w:tab w:val="left" w:pos="-2268"/>
        </w:tabs>
        <w:suppressAutoHyphens/>
        <w:rPr>
          <w:rFonts w:cs="Arial"/>
          <w:spacing w:val="-3"/>
        </w:rPr>
      </w:pPr>
    </w:p>
    <w:p w14:paraId="16067E79" w14:textId="720E00E3" w:rsidR="00C64B85" w:rsidRPr="00BD1319" w:rsidRDefault="00C64B85" w:rsidP="00F97C5C">
      <w:pPr>
        <w:tabs>
          <w:tab w:val="left" w:pos="-2268"/>
        </w:tabs>
        <w:suppressAutoHyphens/>
        <w:rPr>
          <w:rFonts w:cs="Arial"/>
          <w:spacing w:val="-3"/>
        </w:rPr>
      </w:pPr>
      <w:r w:rsidRPr="00BD1319">
        <w:rPr>
          <w:rFonts w:cs="Arial"/>
          <w:spacing w:val="-3"/>
        </w:rPr>
        <w:t>Se debe evaluar integralmente la alteración del régimen dada la intervención propuesta (considerando los atributos del régimen tales como magnitud, duración, frecuencia, momento de ocurrencia, tasa de cambio) y considerando factores como la calidad del agua, hidrobiología, usos y usuarios actuales y potenciales (de acuerdo con los instrumentos de planificación desarrollados por la autoridad ambiental</w:t>
      </w:r>
      <w:r w:rsidRPr="00BD1319">
        <w:rPr>
          <w:rStyle w:val="Refdenotaalpie"/>
          <w:rFonts w:cs="Arial"/>
          <w:spacing w:val="-3"/>
        </w:rPr>
        <w:footnoteReference w:id="43"/>
      </w:r>
      <w:r w:rsidRPr="00BD1319">
        <w:rPr>
          <w:rFonts w:cs="Arial"/>
          <w:spacing w:val="-3"/>
        </w:rPr>
        <w:t xml:space="preserve">) en los puntos de interés </w:t>
      </w:r>
      <w:r w:rsidR="00102FD3" w:rsidRPr="00BD1319">
        <w:rPr>
          <w:rFonts w:cs="Arial"/>
          <w:spacing w:val="-3"/>
        </w:rPr>
        <w:t>d</w:t>
      </w:r>
      <w:r w:rsidRPr="00BD1319">
        <w:rPr>
          <w:rFonts w:cs="Arial"/>
          <w:spacing w:val="-3"/>
        </w:rPr>
        <w:t>el análisis, definiendo y sustentando el tramo o longitud de los cuerpos de agua susceptible de intervención o afectación; la evaluación de la alteración del régimen por parte de la intervención propuesta debe conducir a que, el caudal ambiental (y por ende la oferta hídrica disponible) propenda por la funcionalidad de los servicios ecosistémicos (regulación, soporte, aprovisionamiento o culturales) en los ecosistemas dulceacuícolas y conexos.</w:t>
      </w:r>
    </w:p>
    <w:p w14:paraId="1FE80637" w14:textId="77777777" w:rsidR="00666745" w:rsidRPr="00BD1319" w:rsidRDefault="00666745" w:rsidP="00F97C5C">
      <w:pPr>
        <w:tabs>
          <w:tab w:val="left" w:pos="-2268"/>
        </w:tabs>
        <w:suppressAutoHyphens/>
        <w:rPr>
          <w:rFonts w:cs="Arial"/>
          <w:spacing w:val="-3"/>
        </w:rPr>
      </w:pPr>
    </w:p>
    <w:p w14:paraId="647BD63F" w14:textId="53F22EDF" w:rsidR="00666745" w:rsidRPr="00BD1319" w:rsidRDefault="00666745" w:rsidP="00F97C5C">
      <w:pPr>
        <w:tabs>
          <w:tab w:val="left" w:pos="-2268"/>
        </w:tabs>
        <w:suppressAutoHyphens/>
        <w:rPr>
          <w:rFonts w:cs="Arial"/>
          <w:spacing w:val="-3"/>
        </w:rPr>
      </w:pPr>
      <w:r w:rsidRPr="00BD1319">
        <w:rPr>
          <w:rFonts w:cs="Arial"/>
          <w:spacing w:val="-3"/>
        </w:rPr>
        <w:lastRenderedPageBreak/>
        <w:t xml:space="preserve">Es posible emplear los métodos descritos en la Resolución 2130 de 2019 de Minambiente, </w:t>
      </w:r>
      <w:proofErr w:type="spellStart"/>
      <w:r w:rsidRPr="00BD1319">
        <w:rPr>
          <w:rFonts w:cs="Arial"/>
          <w:spacing w:val="-3"/>
        </w:rPr>
        <w:t>Gopal</w:t>
      </w:r>
      <w:proofErr w:type="spellEnd"/>
      <w:r w:rsidRPr="00BD1319">
        <w:rPr>
          <w:rFonts w:cs="Arial"/>
          <w:spacing w:val="-3"/>
        </w:rPr>
        <w:t xml:space="preserve"> (2016), </w:t>
      </w:r>
      <w:proofErr w:type="spellStart"/>
      <w:r w:rsidRPr="00BD1319">
        <w:rPr>
          <w:rFonts w:cs="Arial"/>
          <w:spacing w:val="-3"/>
        </w:rPr>
        <w:t>Poff</w:t>
      </w:r>
      <w:proofErr w:type="spellEnd"/>
      <w:r w:rsidRPr="00BD1319">
        <w:rPr>
          <w:rFonts w:cs="Arial"/>
          <w:spacing w:val="-3"/>
        </w:rPr>
        <w:t xml:space="preserve"> et al. (2017) y para la evaluación del régimen los indicadores de alteración hidrológica (IHA por sus siglas en inglés en Richter et al., 1996), o establecer y sustentar una metodología particular considerando la información disponible, siempre y cuando su rigor técnico y metodológico permita detallar el régimen hidrológico del tramo o longitud de los cuerpos de agua susceptibles de afectación</w:t>
      </w:r>
      <w:r w:rsidRPr="00BD1319">
        <w:rPr>
          <w:rStyle w:val="Refdenotaalpie"/>
          <w:rFonts w:cs="Arial"/>
          <w:spacing w:val="-3"/>
        </w:rPr>
        <w:footnoteReference w:id="44"/>
      </w:r>
      <w:r w:rsidRPr="00BD1319">
        <w:rPr>
          <w:rFonts w:cs="Arial"/>
          <w:spacing w:val="-3"/>
        </w:rPr>
        <w:t>.</w:t>
      </w:r>
    </w:p>
    <w:p w14:paraId="131F3121" w14:textId="7A342B1B" w:rsidR="00F97C5C" w:rsidRPr="00BD1319" w:rsidRDefault="00F97C5C" w:rsidP="00F97C5C">
      <w:pPr>
        <w:tabs>
          <w:tab w:val="left" w:pos="-2268"/>
        </w:tabs>
        <w:suppressAutoHyphens/>
        <w:rPr>
          <w:rFonts w:cs="Arial"/>
          <w:spacing w:val="-3"/>
        </w:rPr>
      </w:pPr>
    </w:p>
    <w:p w14:paraId="2EAC7683" w14:textId="288D3286" w:rsidR="00F97C5C" w:rsidRPr="00BD1319" w:rsidRDefault="00FD2252" w:rsidP="00F97C5C">
      <w:pPr>
        <w:tabs>
          <w:tab w:val="left" w:pos="-2268"/>
        </w:tabs>
        <w:suppressAutoHyphens/>
        <w:rPr>
          <w:rFonts w:cs="Arial"/>
          <w:spacing w:val="-3"/>
        </w:rPr>
      </w:pPr>
      <w:r w:rsidRPr="00BD1319">
        <w:rPr>
          <w:rFonts w:cs="Arial"/>
          <w:spacing w:val="-3"/>
        </w:rPr>
        <w:t xml:space="preserve">Identificar </w:t>
      </w:r>
      <w:r w:rsidR="00C424A8" w:rsidRPr="00BD1319">
        <w:rPr>
          <w:rFonts w:cs="Arial"/>
          <w:spacing w:val="-3"/>
        </w:rPr>
        <w:t xml:space="preserve">y referir </w:t>
      </w:r>
      <w:r w:rsidR="00F97C5C" w:rsidRPr="00BD1319">
        <w:rPr>
          <w:rFonts w:cs="Arial"/>
          <w:spacing w:val="-3"/>
        </w:rPr>
        <w:t xml:space="preserve">el índice de aridez </w:t>
      </w:r>
      <w:r w:rsidRPr="00BD1319">
        <w:rPr>
          <w:rFonts w:cs="Arial"/>
          <w:spacing w:val="-3"/>
        </w:rPr>
        <w:t xml:space="preserve">señalado en el mapa del índice de aridez </w:t>
      </w:r>
      <w:r w:rsidR="00A653AA" w:rsidRPr="00BD1319">
        <w:rPr>
          <w:rFonts w:cs="Arial"/>
          <w:spacing w:val="-3"/>
        </w:rPr>
        <w:t>d</w:t>
      </w:r>
      <w:r w:rsidR="00F97C5C" w:rsidRPr="00BD1319">
        <w:rPr>
          <w:rFonts w:cs="Arial"/>
          <w:spacing w:val="-3"/>
        </w:rPr>
        <w:t xml:space="preserve">el </w:t>
      </w:r>
      <w:proofErr w:type="spellStart"/>
      <w:r w:rsidR="00A92356" w:rsidRPr="00BD1319">
        <w:rPr>
          <w:rFonts w:cs="Arial"/>
          <w:spacing w:val="-3"/>
        </w:rPr>
        <w:t>Ideam</w:t>
      </w:r>
      <w:proofErr w:type="spellEnd"/>
      <w:r w:rsidR="00F97C5C" w:rsidRPr="00BD1319">
        <w:rPr>
          <w:rFonts w:cs="Arial"/>
          <w:spacing w:val="-3"/>
        </w:rPr>
        <w:t xml:space="preserve">, con el fin de medir el grado de suficiencia o insuficiencia de la precipitación para el sostenimiento de los ecosistemas de una región, </w:t>
      </w:r>
      <w:r w:rsidR="00C424A8" w:rsidRPr="00BD1319">
        <w:rPr>
          <w:rFonts w:cs="Arial"/>
          <w:spacing w:val="-3"/>
        </w:rPr>
        <w:t xml:space="preserve">estableciendo </w:t>
      </w:r>
      <w:r w:rsidR="00F97C5C" w:rsidRPr="00BD1319">
        <w:rPr>
          <w:rFonts w:cs="Arial"/>
          <w:spacing w:val="-3"/>
        </w:rPr>
        <w:t xml:space="preserve">las áreas deficitarias o de excedentes de agua para el área de </w:t>
      </w:r>
      <w:r w:rsidR="009252C9" w:rsidRPr="00BD1319">
        <w:rPr>
          <w:rFonts w:cs="Arial"/>
          <w:spacing w:val="-3"/>
        </w:rPr>
        <w:t xml:space="preserve">estudio </w:t>
      </w:r>
      <w:r w:rsidR="00F97C5C" w:rsidRPr="00BD1319">
        <w:rPr>
          <w:rFonts w:cs="Arial"/>
          <w:spacing w:val="-3"/>
        </w:rPr>
        <w:t xml:space="preserve">del </w:t>
      </w:r>
      <w:r w:rsidR="001C3F22" w:rsidRPr="00BD1319">
        <w:rPr>
          <w:rFonts w:cs="Arial"/>
          <w:spacing w:val="-3"/>
        </w:rPr>
        <w:t>componente</w:t>
      </w:r>
      <w:r w:rsidR="00F97C5C" w:rsidRPr="00BD1319">
        <w:rPr>
          <w:rFonts w:cs="Arial"/>
          <w:spacing w:val="-3"/>
        </w:rPr>
        <w:t>, calculadas a partir del balance hídrico superficial, teniendo en cuenta la escala requerida en los términos de referencia correspondientes.</w:t>
      </w:r>
    </w:p>
    <w:p w14:paraId="294B49EC" w14:textId="77777777" w:rsidR="00F97C5C" w:rsidRPr="00BD1319" w:rsidRDefault="00F97C5C" w:rsidP="00F97C5C">
      <w:pPr>
        <w:tabs>
          <w:tab w:val="left" w:pos="-2268"/>
        </w:tabs>
        <w:suppressAutoHyphens/>
        <w:rPr>
          <w:rFonts w:cs="Arial"/>
          <w:spacing w:val="-3"/>
        </w:rPr>
      </w:pPr>
    </w:p>
    <w:p w14:paraId="0536C405" w14:textId="57291EE4" w:rsidR="00F97C5C" w:rsidRPr="00BD1319" w:rsidRDefault="0041428E" w:rsidP="00F97C5C">
      <w:pPr>
        <w:suppressAutoHyphens/>
        <w:rPr>
          <w:rFonts w:cs="Arial"/>
          <w:spacing w:val="-3"/>
        </w:rPr>
      </w:pPr>
      <w:r w:rsidRPr="00BD1319">
        <w:rPr>
          <w:spacing w:val="-3"/>
        </w:rPr>
        <w:t>Caracterizar</w:t>
      </w:r>
      <w:r w:rsidR="00F97C5C" w:rsidRPr="00BD1319">
        <w:rPr>
          <w:spacing w:val="-3"/>
        </w:rPr>
        <w:t xml:space="preserve"> la calidad del agua de los cuerpos de agua en los que esté prevista la intervención por captación, vertimiento u ocupación de cauce, señalando dentro de qué unidad hidrográfica del área de estudio se encuentra ubicado cada uno de ellos. </w:t>
      </w:r>
      <w:r w:rsidR="00F97C5C" w:rsidRPr="00BD1319">
        <w:rPr>
          <w:rFonts w:cs="Arial"/>
          <w:spacing w:val="-3"/>
        </w:rPr>
        <w:t xml:space="preserve">Es posible utilizar información secundaria siempre y cuando ésta tenga una </w:t>
      </w:r>
      <w:r w:rsidR="001C09E2" w:rsidRPr="00BD1319">
        <w:rPr>
          <w:rFonts w:cs="Arial"/>
          <w:spacing w:val="-3"/>
        </w:rPr>
        <w:t>antigüedad no mayor a dos años</w:t>
      </w:r>
      <w:r w:rsidR="00F97C5C" w:rsidRPr="00BD1319">
        <w:rPr>
          <w:rFonts w:cs="Arial"/>
          <w:spacing w:val="-3"/>
        </w:rPr>
        <w:t xml:space="preserve">; en caso contrario, la caracterización se </w:t>
      </w:r>
      <w:r w:rsidR="001E1DA4" w:rsidRPr="00BD1319">
        <w:rPr>
          <w:rFonts w:cs="Arial"/>
          <w:spacing w:val="-3"/>
        </w:rPr>
        <w:t xml:space="preserve">debe </w:t>
      </w:r>
      <w:r w:rsidR="00F97C5C" w:rsidRPr="00BD1319">
        <w:rPr>
          <w:rFonts w:cs="Arial"/>
          <w:spacing w:val="-3"/>
        </w:rPr>
        <w:t xml:space="preserve">realizar de forma cualitativa y cuantitativa, incluyendo un registro fotográfico o fílmico y mediciones de parámetros in situ (conductividad, temperatura, oxígeno disuelto, entre otros), con el fin de </w:t>
      </w:r>
      <w:r w:rsidR="00C424A8" w:rsidRPr="00BD1319">
        <w:rPr>
          <w:rFonts w:cs="Arial"/>
          <w:spacing w:val="-3"/>
        </w:rPr>
        <w:t xml:space="preserve">determinar </w:t>
      </w:r>
      <w:r w:rsidR="00F97C5C" w:rsidRPr="00BD1319">
        <w:rPr>
          <w:rFonts w:cs="Arial"/>
          <w:spacing w:val="-3"/>
        </w:rPr>
        <w:t>posibles problemas de calidad, manejo de residuos y usos del agua.</w:t>
      </w:r>
    </w:p>
    <w:p w14:paraId="44D9D696" w14:textId="77777777" w:rsidR="00BD446B" w:rsidRPr="00BD1319" w:rsidRDefault="00BD446B" w:rsidP="00F97C5C">
      <w:pPr>
        <w:numPr>
          <w:ilvl w:val="12"/>
          <w:numId w:val="0"/>
        </w:numPr>
        <w:tabs>
          <w:tab w:val="left" w:pos="-2268"/>
        </w:tabs>
        <w:suppressAutoHyphens/>
        <w:rPr>
          <w:rFonts w:cs="Arial"/>
          <w:spacing w:val="-3"/>
        </w:rPr>
      </w:pPr>
    </w:p>
    <w:p w14:paraId="31BC3E9A" w14:textId="7BED2CE0" w:rsidR="00F97C5C" w:rsidRPr="00BD1319" w:rsidRDefault="00F97C5C" w:rsidP="009420F5">
      <w:pPr>
        <w:pStyle w:val="Ttulo4"/>
        <w:tabs>
          <w:tab w:val="clear" w:pos="1844"/>
          <w:tab w:val="num" w:pos="1134"/>
        </w:tabs>
        <w:ind w:left="0"/>
        <w:rPr>
          <w:lang w:val="es-CO"/>
        </w:rPr>
      </w:pPr>
      <w:r w:rsidRPr="00BD1319">
        <w:rPr>
          <w:lang w:val="es-CO"/>
        </w:rPr>
        <w:t>Clima</w:t>
      </w:r>
    </w:p>
    <w:p w14:paraId="1DBA7732" w14:textId="77777777" w:rsidR="00F97C5C" w:rsidRPr="00BD1319" w:rsidRDefault="00F97C5C" w:rsidP="00C86DA5"/>
    <w:p w14:paraId="157B81CF" w14:textId="594E3711" w:rsidR="00F97C5C" w:rsidRPr="00BD1319" w:rsidRDefault="00F97C5C">
      <w:pPr>
        <w:tabs>
          <w:tab w:val="left" w:pos="-2268"/>
        </w:tabs>
        <w:suppressAutoHyphens/>
        <w:rPr>
          <w:spacing w:val="-3"/>
        </w:rPr>
      </w:pPr>
      <w:r w:rsidRPr="00BD1319">
        <w:rPr>
          <w:spacing w:val="-3"/>
        </w:rPr>
        <w:t xml:space="preserve">Presentar </w:t>
      </w:r>
      <w:r w:rsidRPr="00BD1319">
        <w:rPr>
          <w:rFonts w:cs="Arial"/>
          <w:spacing w:val="-3"/>
        </w:rPr>
        <w:t xml:space="preserve">para el área de </w:t>
      </w:r>
      <w:r w:rsidR="00AD32C2" w:rsidRPr="00BD1319">
        <w:rPr>
          <w:rFonts w:cs="Arial"/>
          <w:spacing w:val="-3"/>
        </w:rPr>
        <w:t xml:space="preserve">estudio </w:t>
      </w:r>
      <w:r w:rsidRPr="00BD1319">
        <w:rPr>
          <w:rFonts w:cs="Arial"/>
          <w:spacing w:val="-3"/>
        </w:rPr>
        <w:t>de</w:t>
      </w:r>
      <w:r w:rsidR="00AD32C2" w:rsidRPr="00BD1319">
        <w:rPr>
          <w:rFonts w:cs="Arial"/>
          <w:spacing w:val="-3"/>
        </w:rPr>
        <w:t xml:space="preserve"> este</w:t>
      </w:r>
      <w:r w:rsidRPr="00BD1319">
        <w:rPr>
          <w:rFonts w:cs="Arial"/>
          <w:spacing w:val="-3"/>
        </w:rPr>
        <w:t xml:space="preserve"> </w:t>
      </w:r>
      <w:r w:rsidR="00AD32C2" w:rsidRPr="00BD1319">
        <w:rPr>
          <w:rFonts w:cs="Arial"/>
          <w:spacing w:val="-3"/>
        </w:rPr>
        <w:t>componente</w:t>
      </w:r>
      <w:r w:rsidRPr="00BD1319">
        <w:rPr>
          <w:rFonts w:cs="Arial"/>
          <w:spacing w:val="-3"/>
        </w:rPr>
        <w:t>,</w:t>
      </w:r>
      <w:r w:rsidRPr="00BD1319">
        <w:rPr>
          <w:spacing w:val="-3"/>
        </w:rPr>
        <w:t xml:space="preserve"> el análisis temporal y espacial de las variables climáticas referidas a: precipitación media anual y mensual; temperatura media, máxima y mínima mensual y anual y otras estimadas a partir de estas variables como la evapotranspiración potencial y real anual y mensual. Mediante un balance hídrico de largo plazo, comparar diferentes metodologías para la estimación de la evapotranspiración potencial y real que sean aplicables a las características climáticas regionales en función de la información disponible para su validación, como caudales medios mensuales multianuales.</w:t>
      </w:r>
    </w:p>
    <w:p w14:paraId="4D58FC0C" w14:textId="77777777" w:rsidR="00F97C5C" w:rsidRPr="00BD1319" w:rsidRDefault="00F97C5C" w:rsidP="00C86DA5"/>
    <w:p w14:paraId="69CA3664" w14:textId="0833F6CC" w:rsidR="00F97C5C" w:rsidRPr="00BD1319" w:rsidRDefault="00F97C5C" w:rsidP="009420F5">
      <w:pPr>
        <w:pStyle w:val="Ttulo4"/>
        <w:tabs>
          <w:tab w:val="clear" w:pos="1844"/>
          <w:tab w:val="num" w:pos="1134"/>
        </w:tabs>
        <w:ind w:left="0"/>
        <w:rPr>
          <w:lang w:val="es-CO"/>
        </w:rPr>
      </w:pPr>
      <w:r w:rsidRPr="00BD1319">
        <w:rPr>
          <w:lang w:val="es-CO"/>
        </w:rPr>
        <w:lastRenderedPageBreak/>
        <w:t>Usos del agua</w:t>
      </w:r>
    </w:p>
    <w:p w14:paraId="0D9598F6" w14:textId="77777777" w:rsidR="00F97C5C" w:rsidRPr="00BD1319" w:rsidRDefault="00F97C5C">
      <w:pPr>
        <w:numPr>
          <w:ilvl w:val="12"/>
          <w:numId w:val="0"/>
        </w:numPr>
        <w:tabs>
          <w:tab w:val="left" w:pos="-2268"/>
        </w:tabs>
        <w:suppressAutoHyphens/>
        <w:rPr>
          <w:spacing w:val="-3"/>
        </w:rPr>
      </w:pPr>
    </w:p>
    <w:p w14:paraId="3F19C7CB" w14:textId="79E6F548" w:rsidR="00F97C5C" w:rsidRPr="00BD1319" w:rsidRDefault="00F97C5C" w:rsidP="439A4240">
      <w:pPr>
        <w:suppressAutoHyphens/>
      </w:pPr>
      <w:bookmarkStart w:id="2225" w:name="_Toc412803155"/>
      <w:r w:rsidRPr="00BD1319">
        <w:rPr>
          <w:spacing w:val="-3"/>
        </w:rPr>
        <w:t xml:space="preserve">Presentar el inventario de fuentes superficiales y subterráneas abastecedoras, identificando los usos (de acuerdo con los establecidos en el artículo </w:t>
      </w:r>
      <w:r w:rsidR="00243999" w:rsidRPr="00BD1319">
        <w:rPr>
          <w:spacing w:val="-3"/>
        </w:rPr>
        <w:t>2.2.3.3.2.1.</w:t>
      </w:r>
      <w:r w:rsidRPr="00BD1319">
        <w:rPr>
          <w:spacing w:val="-3"/>
        </w:rPr>
        <w:t xml:space="preserve"> del Decreto 1076 de 2015</w:t>
      </w:r>
      <w:r w:rsidRPr="00BD1319">
        <w:rPr>
          <w:rFonts w:cs="Arial"/>
          <w:spacing w:val="-3"/>
        </w:rPr>
        <w:t xml:space="preserve"> o la norma que la modifique o sustituya</w:t>
      </w:r>
      <w:r w:rsidRPr="00BD1319">
        <w:rPr>
          <w:spacing w:val="-3"/>
        </w:rPr>
        <w:t>) y usuarios actuales (y potenciales, si existe información para ello</w:t>
      </w:r>
      <w:r w:rsidRPr="00BD1319">
        <w:rPr>
          <w:rFonts w:cs="Arial"/>
          <w:spacing w:val="-3"/>
        </w:rPr>
        <w:t>), haciendo uso además</w:t>
      </w:r>
      <w:r w:rsidRPr="00BD1319">
        <w:rPr>
          <w:spacing w:val="-3"/>
        </w:rPr>
        <w:t xml:space="preserve"> de los </w:t>
      </w:r>
      <w:r w:rsidRPr="00BD1319">
        <w:rPr>
          <w:rFonts w:cs="Arial"/>
          <w:spacing w:val="-3"/>
        </w:rPr>
        <w:t>instrumentos de ordenación hídrica presentes para el área</w:t>
      </w:r>
      <w:r w:rsidR="439A4240" w:rsidRPr="00BD1319">
        <w:rPr>
          <w:rFonts w:cs="Arial"/>
        </w:rPr>
        <w:t xml:space="preserve"> de estudio del componente</w:t>
      </w:r>
      <w:r w:rsidR="009C2865" w:rsidRPr="00BD1319">
        <w:rPr>
          <w:rFonts w:cs="Arial"/>
          <w:spacing w:val="-3"/>
        </w:rPr>
        <w:t>, así como de información secundaria disponible que provenga de la autoridad ambiental competente</w:t>
      </w:r>
      <w:r w:rsidRPr="00BD1319">
        <w:rPr>
          <w:rFonts w:cs="Arial"/>
          <w:spacing w:val="-3"/>
        </w:rPr>
        <w:t xml:space="preserve">. Lo anterior para los </w:t>
      </w:r>
      <w:r w:rsidRPr="00BD1319">
        <w:rPr>
          <w:spacing w:val="-3"/>
        </w:rPr>
        <w:t xml:space="preserve">cuerpos de agua </w:t>
      </w:r>
      <w:r w:rsidRPr="00BD1319">
        <w:rPr>
          <w:rFonts w:cs="Arial"/>
          <w:spacing w:val="-3"/>
        </w:rPr>
        <w:t xml:space="preserve">susceptibles </w:t>
      </w:r>
      <w:r w:rsidRPr="00BD1319">
        <w:rPr>
          <w:spacing w:val="-3"/>
        </w:rPr>
        <w:t xml:space="preserve">de intervención por el uso y aprovechamiento del recurso y que estén expuestos a los posibles impactos generados por el desarrollo </w:t>
      </w:r>
      <w:r w:rsidRPr="00BD1319">
        <w:rPr>
          <w:rFonts w:cs="Arial"/>
          <w:spacing w:val="-3"/>
        </w:rPr>
        <w:t xml:space="preserve">de las alternativas propuestas. Este análisis </w:t>
      </w:r>
      <w:r w:rsidR="00103345" w:rsidRPr="00BD1319">
        <w:rPr>
          <w:rFonts w:cs="Arial"/>
          <w:spacing w:val="-3"/>
        </w:rPr>
        <w:t>debe</w:t>
      </w:r>
      <w:r w:rsidRPr="00BD1319">
        <w:rPr>
          <w:rFonts w:cs="Arial"/>
          <w:spacing w:val="-3"/>
        </w:rPr>
        <w:t xml:space="preserve"> considerar el levantamiento de dicha información para ambas márgenes del cauce analizado</w:t>
      </w:r>
      <w:r w:rsidRPr="00BD1319">
        <w:rPr>
          <w:spacing w:val="-3"/>
        </w:rPr>
        <w:t>.</w:t>
      </w:r>
    </w:p>
    <w:p w14:paraId="5B1299F3" w14:textId="77777777" w:rsidR="00F97C5C" w:rsidRPr="00BD1319" w:rsidRDefault="00F97C5C">
      <w:pPr>
        <w:numPr>
          <w:ilvl w:val="12"/>
          <w:numId w:val="0"/>
        </w:numPr>
        <w:tabs>
          <w:tab w:val="left" w:pos="-2268"/>
        </w:tabs>
        <w:suppressAutoHyphens/>
        <w:rPr>
          <w:spacing w:val="-3"/>
        </w:rPr>
      </w:pPr>
    </w:p>
    <w:p w14:paraId="73A8EBFF" w14:textId="25B984B8" w:rsidR="00F97C5C" w:rsidRPr="00BD1319" w:rsidRDefault="00F97C5C">
      <w:pPr>
        <w:numPr>
          <w:ilvl w:val="12"/>
          <w:numId w:val="0"/>
        </w:numPr>
        <w:tabs>
          <w:tab w:val="left" w:pos="-2268"/>
        </w:tabs>
        <w:suppressAutoHyphens/>
        <w:rPr>
          <w:spacing w:val="-3"/>
        </w:rPr>
      </w:pPr>
      <w:r w:rsidRPr="00BD1319">
        <w:rPr>
          <w:spacing w:val="-3"/>
        </w:rPr>
        <w:t xml:space="preserve">Se debe involucrar en el análisis lo señalado en el numeral </w:t>
      </w:r>
      <w:r w:rsidRPr="00BD1319">
        <w:rPr>
          <w:rFonts w:cs="Arial"/>
          <w:spacing w:val="-3"/>
        </w:rPr>
        <w:fldChar w:fldCharType="begin"/>
      </w:r>
      <w:r w:rsidRPr="00BD1319">
        <w:rPr>
          <w:rFonts w:cs="Arial"/>
          <w:spacing w:val="-3"/>
        </w:rPr>
        <w:instrText xml:space="preserve"> REF _Ref495933032 \r \h  \* MERGEFORMAT </w:instrText>
      </w:r>
      <w:r w:rsidRPr="00BD1319">
        <w:rPr>
          <w:rFonts w:cs="Arial"/>
          <w:spacing w:val="-3"/>
        </w:rPr>
      </w:r>
      <w:r w:rsidRPr="00BD1319">
        <w:rPr>
          <w:rFonts w:cs="Arial"/>
          <w:spacing w:val="-3"/>
        </w:rPr>
        <w:fldChar w:fldCharType="separate"/>
      </w:r>
      <w:r w:rsidR="00296654" w:rsidRPr="00BD1319">
        <w:rPr>
          <w:rFonts w:cs="Arial"/>
          <w:spacing w:val="-3"/>
        </w:rPr>
        <w:t>4.1.3</w:t>
      </w:r>
      <w:r w:rsidRPr="00BD1319">
        <w:rPr>
          <w:rFonts w:cs="Arial"/>
          <w:spacing w:val="-3"/>
        </w:rPr>
        <w:fldChar w:fldCharType="end"/>
      </w:r>
      <w:r w:rsidRPr="00BD1319">
        <w:rPr>
          <w:spacing w:val="-3"/>
        </w:rPr>
        <w:t xml:space="preserve"> en relación con la oferta hídrica disponible y la calidad del agua, así como la descripción general de las características de las obras de ocupación de cauce </w:t>
      </w:r>
      <w:r w:rsidR="00341307" w:rsidRPr="00BD1319">
        <w:rPr>
          <w:spacing w:val="-3"/>
        </w:rPr>
        <w:t xml:space="preserve">presentes en los cuerpos de agua susceptibles de intervención en el área de estudio </w:t>
      </w:r>
      <w:r w:rsidRPr="00BD1319">
        <w:rPr>
          <w:spacing w:val="-3"/>
        </w:rPr>
        <w:t xml:space="preserve">(acompañada de un registro fotográfico </w:t>
      </w:r>
      <w:r w:rsidR="00341307" w:rsidRPr="00BD1319">
        <w:rPr>
          <w:spacing w:val="-3"/>
        </w:rPr>
        <w:t xml:space="preserve">o de imágenes satelitales, diseños, información cartográfica, entre otra, </w:t>
      </w:r>
      <w:r w:rsidRPr="00BD1319">
        <w:rPr>
          <w:spacing w:val="-3"/>
        </w:rPr>
        <w:t xml:space="preserve">que permita </w:t>
      </w:r>
      <w:r w:rsidR="00CB7CE1" w:rsidRPr="00BD1319">
        <w:rPr>
          <w:spacing w:val="-3"/>
        </w:rPr>
        <w:t xml:space="preserve">determinar </w:t>
      </w:r>
      <w:r w:rsidRPr="00BD1319">
        <w:rPr>
          <w:spacing w:val="-3"/>
        </w:rPr>
        <w:t xml:space="preserve">las dimensiones, condiciones y detalles de las obras); lo anterior, para </w:t>
      </w:r>
      <w:r w:rsidR="00CB7CE1" w:rsidRPr="00BD1319">
        <w:rPr>
          <w:spacing w:val="-3"/>
        </w:rPr>
        <w:t xml:space="preserve">establecer cuáles son los </w:t>
      </w:r>
      <w:r w:rsidRPr="00BD1319">
        <w:rPr>
          <w:spacing w:val="-3"/>
        </w:rPr>
        <w:t>conflictos actuales y potenciales.</w:t>
      </w:r>
    </w:p>
    <w:p w14:paraId="5405D7DC" w14:textId="77777777" w:rsidR="00341307" w:rsidRPr="00BD1319" w:rsidRDefault="00341307">
      <w:pPr>
        <w:numPr>
          <w:ilvl w:val="12"/>
          <w:numId w:val="0"/>
        </w:numPr>
        <w:tabs>
          <w:tab w:val="left" w:pos="-2268"/>
        </w:tabs>
        <w:suppressAutoHyphens/>
        <w:rPr>
          <w:spacing w:val="-3"/>
        </w:rPr>
      </w:pPr>
    </w:p>
    <w:p w14:paraId="6E646806" w14:textId="2D404C12" w:rsidR="00F97C5C" w:rsidRPr="00BD1319" w:rsidRDefault="00F97C5C" w:rsidP="00216955">
      <w:pPr>
        <w:pStyle w:val="Ttulo3"/>
      </w:pPr>
      <w:bookmarkStart w:id="2226" w:name="_Toc515793349"/>
      <w:bookmarkStart w:id="2227" w:name="_Toc515794254"/>
      <w:bookmarkStart w:id="2228" w:name="_Toc515793350"/>
      <w:bookmarkStart w:id="2229" w:name="_Toc515794255"/>
      <w:bookmarkStart w:id="2230" w:name="_Toc175326699"/>
      <w:bookmarkEnd w:id="2226"/>
      <w:bookmarkEnd w:id="2227"/>
      <w:bookmarkEnd w:id="2228"/>
      <w:bookmarkEnd w:id="2229"/>
      <w:r w:rsidRPr="00BD1319">
        <w:t>Oceanogr</w:t>
      </w:r>
      <w:r w:rsidR="008E0A8B" w:rsidRPr="00BD1319">
        <w:t>áfico</w:t>
      </w:r>
      <w:bookmarkEnd w:id="2230"/>
    </w:p>
    <w:p w14:paraId="1CF79C07" w14:textId="77777777" w:rsidR="00F97C5C" w:rsidRPr="00BD1319" w:rsidRDefault="00F97C5C">
      <w:pPr>
        <w:numPr>
          <w:ilvl w:val="12"/>
          <w:numId w:val="0"/>
        </w:numPr>
        <w:tabs>
          <w:tab w:val="left" w:pos="-2268"/>
        </w:tabs>
        <w:suppressAutoHyphens/>
        <w:rPr>
          <w:spacing w:val="-3"/>
        </w:rPr>
      </w:pPr>
    </w:p>
    <w:p w14:paraId="6229771B" w14:textId="24F2E7DE" w:rsidR="00F97C5C" w:rsidRPr="00BD1319" w:rsidRDefault="00F97C5C">
      <w:pPr>
        <w:numPr>
          <w:ilvl w:val="12"/>
          <w:numId w:val="0"/>
        </w:numPr>
        <w:tabs>
          <w:tab w:val="left" w:pos="-2268"/>
        </w:tabs>
        <w:suppressAutoHyphens/>
        <w:rPr>
          <w:spacing w:val="-3"/>
        </w:rPr>
      </w:pPr>
      <w:r w:rsidRPr="00BD1319">
        <w:rPr>
          <w:rFonts w:cs="Arial"/>
          <w:spacing w:val="-3"/>
        </w:rPr>
        <w:t>Caracterizar para</w:t>
      </w:r>
      <w:r w:rsidRPr="00BD1319">
        <w:rPr>
          <w:spacing w:val="-3"/>
        </w:rPr>
        <w:t xml:space="preserve"> el ámbito oceanográfico </w:t>
      </w:r>
      <w:r w:rsidRPr="00BD1319">
        <w:rPr>
          <w:rFonts w:cs="Arial"/>
          <w:spacing w:val="-3"/>
        </w:rPr>
        <w:t xml:space="preserve">como mínimo </w:t>
      </w:r>
      <w:r w:rsidRPr="00BD1319">
        <w:rPr>
          <w:spacing w:val="-3"/>
        </w:rPr>
        <w:t>las siguientes variables</w:t>
      </w:r>
      <w:r w:rsidRPr="00BD1319">
        <w:rPr>
          <w:rFonts w:cs="Arial"/>
          <w:spacing w:val="-3"/>
        </w:rPr>
        <w:t>, teniendo en cuenta información principalmente secundaria, describiendo y sustentando su fuente de origen</w:t>
      </w:r>
      <w:r w:rsidRPr="00BD1319">
        <w:rPr>
          <w:spacing w:val="-3"/>
        </w:rPr>
        <w:t>: dirección y velocidad de vientos, corrientes, mareas</w:t>
      </w:r>
      <w:r w:rsidRPr="00BD1319">
        <w:rPr>
          <w:rFonts w:cs="Arial"/>
          <w:spacing w:val="-3"/>
        </w:rPr>
        <w:t>,</w:t>
      </w:r>
      <w:r w:rsidRPr="00BD1319">
        <w:rPr>
          <w:spacing w:val="-3"/>
        </w:rPr>
        <w:t xml:space="preserve"> tamaño </w:t>
      </w:r>
      <w:r w:rsidRPr="00BD1319">
        <w:rPr>
          <w:rFonts w:cs="Arial"/>
          <w:spacing w:val="-3"/>
        </w:rPr>
        <w:t xml:space="preserve">y periodicidad </w:t>
      </w:r>
      <w:r w:rsidRPr="00BD1319">
        <w:rPr>
          <w:spacing w:val="-3"/>
        </w:rPr>
        <w:t>de las olas</w:t>
      </w:r>
      <w:r w:rsidRPr="00BD1319">
        <w:rPr>
          <w:rFonts w:cs="Arial"/>
          <w:spacing w:val="-3"/>
        </w:rPr>
        <w:t>,</w:t>
      </w:r>
      <w:r w:rsidRPr="00BD1319">
        <w:rPr>
          <w:spacing w:val="-3"/>
        </w:rPr>
        <w:t xml:space="preserve"> en las áreas en </w:t>
      </w:r>
      <w:r w:rsidR="006B58CA" w:rsidRPr="00BD1319">
        <w:rPr>
          <w:spacing w:val="-3"/>
        </w:rPr>
        <w:t xml:space="preserve">las que </w:t>
      </w:r>
      <w:r w:rsidRPr="00BD1319">
        <w:rPr>
          <w:spacing w:val="-3"/>
        </w:rPr>
        <w:t>se plantea</w:t>
      </w:r>
      <w:r w:rsidR="006B58CA" w:rsidRPr="00BD1319">
        <w:rPr>
          <w:spacing w:val="-3"/>
        </w:rPr>
        <w:t>n</w:t>
      </w:r>
      <w:r w:rsidRPr="00BD1319">
        <w:rPr>
          <w:spacing w:val="-3"/>
        </w:rPr>
        <w:t xml:space="preserve"> las alternativas </w:t>
      </w:r>
      <w:r w:rsidR="006B58CA" w:rsidRPr="00BD1319">
        <w:rPr>
          <w:spacing w:val="-3"/>
        </w:rPr>
        <w:t>d</w:t>
      </w:r>
      <w:r w:rsidRPr="00BD1319">
        <w:rPr>
          <w:spacing w:val="-3"/>
        </w:rPr>
        <w:t>el proyecto</w:t>
      </w:r>
      <w:r w:rsidR="006B58CA" w:rsidRPr="00BD1319">
        <w:rPr>
          <w:spacing w:val="-3"/>
        </w:rPr>
        <w:t>, obra o actividad</w:t>
      </w:r>
      <w:r w:rsidRPr="00BD1319">
        <w:rPr>
          <w:spacing w:val="-3"/>
        </w:rPr>
        <w:t>.</w:t>
      </w:r>
      <w:r w:rsidRPr="00BD1319">
        <w:rPr>
          <w:rFonts w:cs="Arial"/>
          <w:spacing w:val="-3"/>
        </w:rPr>
        <w:t xml:space="preserve"> </w:t>
      </w:r>
    </w:p>
    <w:p w14:paraId="6BCB3A58" w14:textId="77777777" w:rsidR="00F97C5C" w:rsidRPr="00BD1319" w:rsidRDefault="00F97C5C">
      <w:pPr>
        <w:numPr>
          <w:ilvl w:val="12"/>
          <w:numId w:val="0"/>
        </w:numPr>
        <w:tabs>
          <w:tab w:val="left" w:pos="-2268"/>
        </w:tabs>
        <w:suppressAutoHyphens/>
        <w:rPr>
          <w:spacing w:val="-3"/>
        </w:rPr>
      </w:pPr>
    </w:p>
    <w:p w14:paraId="6E8A459E" w14:textId="7C66137E" w:rsidR="00F97C5C" w:rsidRPr="00BD1319" w:rsidRDefault="00F97C5C" w:rsidP="00216955">
      <w:pPr>
        <w:pStyle w:val="Ttulo3"/>
      </w:pPr>
      <w:bookmarkStart w:id="2231" w:name="_Toc437935983"/>
      <w:bookmarkStart w:id="2232" w:name="_Toc42552219"/>
      <w:bookmarkStart w:id="2233" w:name="_Toc175326700"/>
      <w:r w:rsidRPr="00BD1319">
        <w:t>Hidrogeológico</w:t>
      </w:r>
      <w:bookmarkEnd w:id="2225"/>
      <w:bookmarkEnd w:id="2231"/>
      <w:bookmarkEnd w:id="2232"/>
      <w:bookmarkEnd w:id="2233"/>
    </w:p>
    <w:p w14:paraId="499D9DC8" w14:textId="77777777" w:rsidR="00F97C5C" w:rsidRPr="00BD1319" w:rsidRDefault="00F97C5C">
      <w:pPr>
        <w:numPr>
          <w:ilvl w:val="12"/>
          <w:numId w:val="0"/>
        </w:numPr>
        <w:tabs>
          <w:tab w:val="left" w:pos="-2268"/>
        </w:tabs>
        <w:suppressAutoHyphens/>
        <w:rPr>
          <w:spacing w:val="-3"/>
        </w:rPr>
      </w:pPr>
    </w:p>
    <w:p w14:paraId="3EBAE456" w14:textId="0DF16AE5" w:rsidR="00F97C5C" w:rsidRPr="00BD1319" w:rsidRDefault="00E76958">
      <w:pPr>
        <w:numPr>
          <w:ilvl w:val="12"/>
          <w:numId w:val="0"/>
        </w:numPr>
        <w:tabs>
          <w:tab w:val="left" w:pos="-2268"/>
        </w:tabs>
        <w:suppressAutoHyphens/>
        <w:rPr>
          <w:spacing w:val="-3"/>
        </w:rPr>
      </w:pPr>
      <w:r w:rsidRPr="00BD1319">
        <w:rPr>
          <w:spacing w:val="-3"/>
        </w:rPr>
        <w:t xml:space="preserve">Determinar las </w:t>
      </w:r>
      <w:r w:rsidR="00F97C5C" w:rsidRPr="00BD1319">
        <w:rPr>
          <w:spacing w:val="-3"/>
        </w:rPr>
        <w:t xml:space="preserve">unidades hidrogeológicas </w:t>
      </w:r>
      <w:r w:rsidRPr="00BD1319">
        <w:rPr>
          <w:spacing w:val="-3"/>
        </w:rPr>
        <w:t xml:space="preserve">que se encuentran en el área por intervenir </w:t>
      </w:r>
      <w:r w:rsidR="00F97C5C" w:rsidRPr="00BD1319">
        <w:rPr>
          <w:spacing w:val="-3"/>
        </w:rPr>
        <w:t xml:space="preserve">del proyecto que estén siendo </w:t>
      </w:r>
      <w:r w:rsidR="00F97C5C" w:rsidRPr="00BD1319">
        <w:rPr>
          <w:rFonts w:cs="Arial"/>
          <w:spacing w:val="-3"/>
        </w:rPr>
        <w:t>aprovechadas</w:t>
      </w:r>
      <w:r w:rsidR="00F97C5C" w:rsidRPr="00BD1319">
        <w:rPr>
          <w:spacing w:val="-3"/>
        </w:rPr>
        <w:t xml:space="preserve"> (o </w:t>
      </w:r>
      <w:r w:rsidR="00F97C5C" w:rsidRPr="00BD1319">
        <w:rPr>
          <w:rFonts w:cs="Arial"/>
          <w:spacing w:val="-3"/>
        </w:rPr>
        <w:t xml:space="preserve">puedan ser utilizadas para diferentes usos) o </w:t>
      </w:r>
      <w:r w:rsidR="00F97C5C" w:rsidRPr="00BD1319">
        <w:rPr>
          <w:spacing w:val="-3"/>
        </w:rPr>
        <w:t>que el proyecto</w:t>
      </w:r>
      <w:r w:rsidR="008A674A" w:rsidRPr="00BD1319">
        <w:rPr>
          <w:spacing w:val="-3"/>
        </w:rPr>
        <w:t>, obra o actividad</w:t>
      </w:r>
      <w:r w:rsidR="00F97C5C" w:rsidRPr="00BD1319">
        <w:rPr>
          <w:spacing w:val="-3"/>
        </w:rPr>
        <w:t xml:space="preserve"> prevea utilizar</w:t>
      </w:r>
      <w:r w:rsidR="005479A2" w:rsidRPr="00BD1319">
        <w:rPr>
          <w:spacing w:val="-3"/>
        </w:rPr>
        <w:t>las</w:t>
      </w:r>
      <w:r w:rsidRPr="00BD1319">
        <w:rPr>
          <w:spacing w:val="-3"/>
        </w:rPr>
        <w:t xml:space="preserve"> directa o indirectamente;</w:t>
      </w:r>
      <w:r w:rsidR="00F97C5C" w:rsidRPr="00BD1319">
        <w:rPr>
          <w:spacing w:val="-3"/>
        </w:rPr>
        <w:t xml:space="preserve"> </w:t>
      </w:r>
      <w:r w:rsidRPr="00BD1319">
        <w:rPr>
          <w:spacing w:val="-3"/>
        </w:rPr>
        <w:t xml:space="preserve">caracterizar dichas unidades </w:t>
      </w:r>
      <w:r w:rsidR="00F97C5C" w:rsidRPr="00BD1319">
        <w:rPr>
          <w:spacing w:val="-3"/>
        </w:rPr>
        <w:t xml:space="preserve">a partir del análisis de la información existente (geológica, geofísica, hidrológica, </w:t>
      </w:r>
      <w:proofErr w:type="spellStart"/>
      <w:r w:rsidR="00F97C5C" w:rsidRPr="00BD1319">
        <w:rPr>
          <w:spacing w:val="-3"/>
        </w:rPr>
        <w:t>hidrogeoquímica</w:t>
      </w:r>
      <w:proofErr w:type="spellEnd"/>
      <w:r w:rsidR="00F97C5C" w:rsidRPr="00BD1319">
        <w:rPr>
          <w:spacing w:val="-3"/>
        </w:rPr>
        <w:t xml:space="preserve">, hidráulica e hidrogeológica), </w:t>
      </w:r>
      <w:r w:rsidR="00F97C5C" w:rsidRPr="00BD1319">
        <w:rPr>
          <w:rFonts w:cs="Arial"/>
          <w:spacing w:val="-3"/>
        </w:rPr>
        <w:t>incluyendo</w:t>
      </w:r>
      <w:r w:rsidR="00F97C5C" w:rsidRPr="00BD1319">
        <w:rPr>
          <w:spacing w:val="-3"/>
        </w:rPr>
        <w:t xml:space="preserve"> la </w:t>
      </w:r>
      <w:r w:rsidR="00F97C5C" w:rsidRPr="00BD1319">
        <w:rPr>
          <w:rFonts w:cs="Arial"/>
          <w:spacing w:val="-3"/>
        </w:rPr>
        <w:t>información disponible</w:t>
      </w:r>
      <w:r w:rsidR="00F97C5C" w:rsidRPr="00BD1319">
        <w:rPr>
          <w:spacing w:val="-3"/>
        </w:rPr>
        <w:t xml:space="preserve"> en</w:t>
      </w:r>
      <w:r w:rsidR="00F97C5C" w:rsidRPr="00BD1319">
        <w:rPr>
          <w:rFonts w:cs="Arial"/>
          <w:spacing w:val="-3"/>
        </w:rPr>
        <w:t xml:space="preserve"> los</w:t>
      </w:r>
      <w:r w:rsidR="00F97C5C" w:rsidRPr="00BD1319">
        <w:rPr>
          <w:spacing w:val="-3"/>
        </w:rPr>
        <w:t xml:space="preserve"> instrumentos de planificación ambiental como el </w:t>
      </w:r>
      <w:proofErr w:type="spellStart"/>
      <w:r w:rsidR="003C70CD" w:rsidRPr="00BD1319">
        <w:rPr>
          <w:spacing w:val="-3"/>
        </w:rPr>
        <w:t>Pomca</w:t>
      </w:r>
      <w:proofErr w:type="spellEnd"/>
      <w:r w:rsidR="00F97C5C" w:rsidRPr="00BD1319">
        <w:rPr>
          <w:spacing w:val="-3"/>
        </w:rPr>
        <w:t xml:space="preserve"> y el Plan de Manejo Ambiental de Acuíferos (PMAA) o de planificación </w:t>
      </w:r>
      <w:r w:rsidR="00F97C5C" w:rsidRPr="00BD1319">
        <w:rPr>
          <w:spacing w:val="-3"/>
        </w:rPr>
        <w:lastRenderedPageBreak/>
        <w:t>territorial (POT, PBOT o EOT), indicando</w:t>
      </w:r>
      <w:r w:rsidR="00F97C5C" w:rsidRPr="00BD1319">
        <w:rPr>
          <w:rFonts w:cs="Arial"/>
          <w:spacing w:val="-3"/>
        </w:rPr>
        <w:t>, en la medida que la información esté disponible,</w:t>
      </w:r>
      <w:r w:rsidR="00F97C5C" w:rsidRPr="00BD1319">
        <w:rPr>
          <w:spacing w:val="-3"/>
        </w:rPr>
        <w:t xml:space="preserve"> lo siguiente:</w:t>
      </w:r>
    </w:p>
    <w:p w14:paraId="22D6998D" w14:textId="77777777" w:rsidR="00F97C5C" w:rsidRPr="00BD1319" w:rsidRDefault="00F97C5C">
      <w:pPr>
        <w:numPr>
          <w:ilvl w:val="12"/>
          <w:numId w:val="0"/>
        </w:numPr>
        <w:tabs>
          <w:tab w:val="left" w:pos="-2268"/>
        </w:tabs>
        <w:suppressAutoHyphens/>
        <w:rPr>
          <w:spacing w:val="-3"/>
        </w:rPr>
      </w:pPr>
    </w:p>
    <w:p w14:paraId="1DCD75B0" w14:textId="7BF084E1" w:rsidR="00F97C5C" w:rsidRPr="00BD1319" w:rsidRDefault="00F97C5C" w:rsidP="00F8093E">
      <w:pPr>
        <w:pStyle w:val="Prrafodelista"/>
        <w:numPr>
          <w:ilvl w:val="0"/>
          <w:numId w:val="65"/>
        </w:numPr>
        <w:tabs>
          <w:tab w:val="left" w:pos="-2268"/>
        </w:tabs>
        <w:suppressAutoHyphens/>
        <w:ind w:left="567" w:hanging="567"/>
        <w:rPr>
          <w:rFonts w:cs="Arial"/>
          <w:spacing w:val="-3"/>
          <w:lang w:val="es-CO"/>
        </w:rPr>
      </w:pPr>
      <w:r w:rsidRPr="00BD1319">
        <w:rPr>
          <w:rFonts w:cs="Arial"/>
          <w:spacing w:val="-3"/>
          <w:lang w:val="es-CO"/>
        </w:rPr>
        <w:t>Nombre de la</w:t>
      </w:r>
      <w:r w:rsidR="00F8093E" w:rsidRPr="00BD1319">
        <w:rPr>
          <w:rFonts w:cs="Arial"/>
          <w:spacing w:val="-3"/>
          <w:lang w:val="es-CO"/>
        </w:rPr>
        <w:t>s</w:t>
      </w:r>
      <w:r w:rsidRPr="00BD1319">
        <w:rPr>
          <w:rFonts w:cs="Arial"/>
          <w:spacing w:val="-3"/>
          <w:lang w:val="es-CO"/>
        </w:rPr>
        <w:t xml:space="preserve"> unidades hidrogeológicas identificadas</w:t>
      </w:r>
      <w:r w:rsidR="00F8093E" w:rsidRPr="00BD1319">
        <w:rPr>
          <w:rFonts w:cs="Arial"/>
          <w:spacing w:val="-3"/>
          <w:lang w:val="es-CO"/>
        </w:rPr>
        <w:t>.</w:t>
      </w:r>
    </w:p>
    <w:p w14:paraId="713F372B" w14:textId="77777777" w:rsidR="00F8093E" w:rsidRPr="00BD1319" w:rsidRDefault="00F8093E" w:rsidP="00C86DA5">
      <w:pPr>
        <w:tabs>
          <w:tab w:val="left" w:pos="-2268"/>
        </w:tabs>
        <w:suppressAutoHyphens/>
        <w:rPr>
          <w:rFonts w:cs="Arial"/>
          <w:spacing w:val="-3"/>
        </w:rPr>
      </w:pPr>
    </w:p>
    <w:p w14:paraId="504C8853" w14:textId="69242B2A" w:rsidR="00F8093E" w:rsidRPr="00BD1319" w:rsidRDefault="00F97C5C">
      <w:pPr>
        <w:pStyle w:val="Prrafodelista"/>
        <w:numPr>
          <w:ilvl w:val="0"/>
          <w:numId w:val="65"/>
        </w:numPr>
        <w:tabs>
          <w:tab w:val="left" w:pos="-2268"/>
        </w:tabs>
        <w:suppressAutoHyphens/>
        <w:ind w:left="567" w:hanging="567"/>
        <w:rPr>
          <w:rFonts w:cs="Arial"/>
          <w:spacing w:val="-3"/>
          <w:lang w:val="es-CO"/>
        </w:rPr>
      </w:pPr>
      <w:r w:rsidRPr="00BD1319">
        <w:rPr>
          <w:rFonts w:cs="Arial"/>
          <w:spacing w:val="-3"/>
          <w:lang w:val="es-CO"/>
        </w:rPr>
        <w:t>Evaluación geológica – geofísica con la cual se estimen la</w:t>
      </w:r>
      <w:r w:rsidRPr="00BD1319">
        <w:rPr>
          <w:spacing w:val="-3"/>
          <w:lang w:val="es-CO"/>
        </w:rPr>
        <w:t xml:space="preserve"> profundidad </w:t>
      </w:r>
      <w:r w:rsidRPr="00BD1319">
        <w:rPr>
          <w:rFonts w:cs="Arial"/>
          <w:spacing w:val="-3"/>
          <w:lang w:val="es-CO"/>
        </w:rPr>
        <w:t xml:space="preserve">del techo y base </w:t>
      </w:r>
      <w:r w:rsidRPr="00BD1319">
        <w:rPr>
          <w:spacing w:val="-3"/>
          <w:lang w:val="es-CO"/>
        </w:rPr>
        <w:t xml:space="preserve">de las </w:t>
      </w:r>
      <w:r w:rsidRPr="00BD1319">
        <w:rPr>
          <w:rFonts w:cs="Arial"/>
          <w:spacing w:val="-3"/>
          <w:lang w:val="es-CO"/>
        </w:rPr>
        <w:t xml:space="preserve">diferentes </w:t>
      </w:r>
      <w:r w:rsidRPr="00BD1319">
        <w:rPr>
          <w:spacing w:val="-3"/>
          <w:lang w:val="es-CO"/>
        </w:rPr>
        <w:t>unidades</w:t>
      </w:r>
      <w:r w:rsidRPr="00BD1319">
        <w:rPr>
          <w:rFonts w:cs="Arial"/>
          <w:spacing w:val="-3"/>
          <w:lang w:val="es-CO"/>
        </w:rPr>
        <w:t xml:space="preserve"> identificadas, sus espesores promedio, extensión lateral y sus fronteras permeables, impermeables y semi</w:t>
      </w:r>
      <w:r w:rsidR="00FB0C11" w:rsidRPr="00BD1319">
        <w:rPr>
          <w:rFonts w:cs="Arial"/>
          <w:spacing w:val="-3"/>
          <w:lang w:val="es-CO"/>
        </w:rPr>
        <w:t xml:space="preserve"> </w:t>
      </w:r>
      <w:r w:rsidRPr="00BD1319">
        <w:rPr>
          <w:rFonts w:cs="Arial"/>
          <w:spacing w:val="-3"/>
          <w:lang w:val="es-CO"/>
        </w:rPr>
        <w:t>impermeables.</w:t>
      </w:r>
    </w:p>
    <w:p w14:paraId="166C357C" w14:textId="77777777" w:rsidR="00F8093E" w:rsidRPr="00BD1319" w:rsidRDefault="00F8093E" w:rsidP="00C86DA5">
      <w:pPr>
        <w:tabs>
          <w:tab w:val="left" w:pos="-2268"/>
        </w:tabs>
        <w:suppressAutoHyphens/>
        <w:rPr>
          <w:rFonts w:cs="Arial"/>
          <w:spacing w:val="-3"/>
        </w:rPr>
      </w:pPr>
    </w:p>
    <w:p w14:paraId="54896D90" w14:textId="341D1A32" w:rsidR="00F8093E" w:rsidRPr="00BD1319" w:rsidRDefault="00F97C5C">
      <w:pPr>
        <w:pStyle w:val="Prrafodelista"/>
        <w:numPr>
          <w:ilvl w:val="0"/>
          <w:numId w:val="65"/>
        </w:numPr>
        <w:tabs>
          <w:tab w:val="left" w:pos="-2268"/>
        </w:tabs>
        <w:suppressAutoHyphens/>
        <w:ind w:left="567" w:hanging="567"/>
        <w:rPr>
          <w:rFonts w:cs="Arial"/>
          <w:spacing w:val="-3"/>
          <w:lang w:val="es-CO"/>
        </w:rPr>
      </w:pPr>
      <w:r w:rsidRPr="00BD1319">
        <w:rPr>
          <w:rFonts w:cs="Arial"/>
          <w:spacing w:val="-3"/>
          <w:lang w:val="es-CO"/>
        </w:rPr>
        <w:t>Características</w:t>
      </w:r>
      <w:r w:rsidRPr="00BD1319">
        <w:rPr>
          <w:spacing w:val="-3"/>
          <w:lang w:val="es-CO"/>
        </w:rPr>
        <w:t xml:space="preserve"> litológicas, </w:t>
      </w:r>
      <w:r w:rsidRPr="00BD1319">
        <w:rPr>
          <w:rFonts w:cs="Arial"/>
          <w:spacing w:val="-3"/>
          <w:lang w:val="es-CO"/>
        </w:rPr>
        <w:t xml:space="preserve">mineralógicas, </w:t>
      </w:r>
      <w:r w:rsidRPr="00BD1319">
        <w:rPr>
          <w:spacing w:val="-3"/>
          <w:lang w:val="es-CO"/>
        </w:rPr>
        <w:t xml:space="preserve">texturales y estructurales </w:t>
      </w:r>
      <w:r w:rsidRPr="00BD1319">
        <w:rPr>
          <w:rFonts w:cs="Arial"/>
          <w:spacing w:val="-3"/>
          <w:lang w:val="es-CO"/>
        </w:rPr>
        <w:t xml:space="preserve">(discontinuidades, fracturas y fallas) </w:t>
      </w:r>
      <w:r w:rsidRPr="00BD1319">
        <w:rPr>
          <w:spacing w:val="-3"/>
          <w:lang w:val="es-CO"/>
        </w:rPr>
        <w:t xml:space="preserve">que </w:t>
      </w:r>
      <w:r w:rsidRPr="00BD1319">
        <w:rPr>
          <w:rFonts w:cs="Arial"/>
          <w:spacing w:val="-3"/>
          <w:lang w:val="es-CO"/>
        </w:rPr>
        <w:t>condicionan y describen</w:t>
      </w:r>
      <w:r w:rsidRPr="00BD1319">
        <w:rPr>
          <w:spacing w:val="-3"/>
          <w:lang w:val="es-CO"/>
        </w:rPr>
        <w:t xml:space="preserve"> su posible comportamiento hidrogeológico</w:t>
      </w:r>
      <w:r w:rsidRPr="00BD1319">
        <w:rPr>
          <w:rFonts w:cs="Arial"/>
          <w:spacing w:val="-3"/>
          <w:lang w:val="es-CO"/>
        </w:rPr>
        <w:t>.</w:t>
      </w:r>
      <w:r w:rsidRPr="00BD1319" w:rsidDel="00704E6E">
        <w:rPr>
          <w:spacing w:val="-3"/>
          <w:lang w:val="es-CO"/>
        </w:rPr>
        <w:t xml:space="preserve"> </w:t>
      </w:r>
      <w:r w:rsidRPr="00BD1319">
        <w:rPr>
          <w:spacing w:val="-3"/>
          <w:lang w:val="es-CO"/>
        </w:rPr>
        <w:t>(porosidad / permeabilidad primaria o secundaria)</w:t>
      </w:r>
      <w:r w:rsidR="00F8093E" w:rsidRPr="00BD1319">
        <w:rPr>
          <w:spacing w:val="-3"/>
          <w:lang w:val="es-CO"/>
        </w:rPr>
        <w:t>.</w:t>
      </w:r>
    </w:p>
    <w:p w14:paraId="2AB4DFED" w14:textId="5B82B459" w:rsidR="00F97C5C" w:rsidRPr="00BD1319" w:rsidRDefault="00F97C5C" w:rsidP="00C86DA5">
      <w:pPr>
        <w:tabs>
          <w:tab w:val="left" w:pos="-2268"/>
        </w:tabs>
        <w:suppressAutoHyphens/>
        <w:rPr>
          <w:rFonts w:cs="Arial"/>
          <w:spacing w:val="-3"/>
        </w:rPr>
      </w:pPr>
    </w:p>
    <w:p w14:paraId="77FF449C" w14:textId="404D9F69" w:rsidR="00F97C5C" w:rsidRPr="00BD1319" w:rsidRDefault="00F97C5C" w:rsidP="00F8093E">
      <w:pPr>
        <w:pStyle w:val="Prrafodelista"/>
        <w:numPr>
          <w:ilvl w:val="0"/>
          <w:numId w:val="65"/>
        </w:numPr>
        <w:tabs>
          <w:tab w:val="left" w:pos="-2268"/>
        </w:tabs>
        <w:suppressAutoHyphens/>
        <w:ind w:left="567" w:hanging="567"/>
        <w:rPr>
          <w:rFonts w:cs="Arial"/>
          <w:spacing w:val="-3"/>
          <w:lang w:val="es-CO"/>
        </w:rPr>
      </w:pPr>
      <w:r w:rsidRPr="00BD1319">
        <w:rPr>
          <w:rFonts w:cs="Arial"/>
          <w:spacing w:val="-3"/>
          <w:lang w:val="es-CO"/>
        </w:rPr>
        <w:t xml:space="preserve">Sistema y </w:t>
      </w:r>
      <w:r w:rsidRPr="00BD1319">
        <w:rPr>
          <w:spacing w:val="-3"/>
          <w:lang w:val="es-CO"/>
        </w:rPr>
        <w:t>tendencias de flujo</w:t>
      </w:r>
      <w:r w:rsidRPr="00BD1319">
        <w:rPr>
          <w:rFonts w:cs="Arial"/>
          <w:spacing w:val="-3"/>
          <w:lang w:val="es-CO"/>
        </w:rPr>
        <w:t xml:space="preserve"> para las unidades hidrogeológicas</w:t>
      </w:r>
      <w:r w:rsidRPr="00BD1319">
        <w:rPr>
          <w:rFonts w:cs="Arial"/>
          <w:color w:val="000000"/>
          <w:lang w:val="es-CO"/>
        </w:rPr>
        <w:t>, indicando período climático al que corresponde.</w:t>
      </w:r>
    </w:p>
    <w:p w14:paraId="1486758B" w14:textId="77777777" w:rsidR="00F8093E" w:rsidRPr="00BD1319" w:rsidRDefault="00F8093E" w:rsidP="00C86DA5">
      <w:pPr>
        <w:tabs>
          <w:tab w:val="left" w:pos="-2268"/>
        </w:tabs>
        <w:suppressAutoHyphens/>
        <w:rPr>
          <w:rFonts w:cs="Arial"/>
          <w:spacing w:val="-3"/>
        </w:rPr>
      </w:pPr>
    </w:p>
    <w:p w14:paraId="16F819BF" w14:textId="7CE95A41" w:rsidR="00F97C5C" w:rsidRPr="00BD1319" w:rsidRDefault="00F97C5C" w:rsidP="00F8093E">
      <w:pPr>
        <w:pStyle w:val="Prrafodelista"/>
        <w:numPr>
          <w:ilvl w:val="0"/>
          <w:numId w:val="65"/>
        </w:numPr>
        <w:tabs>
          <w:tab w:val="left" w:pos="-2268"/>
        </w:tabs>
        <w:suppressAutoHyphens/>
        <w:ind w:left="567" w:hanging="567"/>
        <w:rPr>
          <w:rFonts w:cs="Arial"/>
          <w:spacing w:val="-3"/>
          <w:lang w:val="es-CO"/>
        </w:rPr>
      </w:pPr>
      <w:r w:rsidRPr="00BD1319">
        <w:rPr>
          <w:rFonts w:cs="Arial"/>
          <w:spacing w:val="-3"/>
          <w:lang w:val="es-CO"/>
        </w:rPr>
        <w:t>Datos sobre la</w:t>
      </w:r>
      <w:r w:rsidRPr="00BD1319">
        <w:rPr>
          <w:spacing w:val="-3"/>
          <w:lang w:val="es-CO"/>
        </w:rPr>
        <w:t xml:space="preserve"> calidad del agua subterránea</w:t>
      </w:r>
      <w:r w:rsidRPr="00BD1319">
        <w:rPr>
          <w:rFonts w:cs="Arial"/>
          <w:spacing w:val="-3"/>
          <w:lang w:val="es-CO"/>
        </w:rPr>
        <w:t>.</w:t>
      </w:r>
    </w:p>
    <w:p w14:paraId="75CF5946" w14:textId="77777777" w:rsidR="00F8093E" w:rsidRPr="00BD1319" w:rsidRDefault="00F8093E" w:rsidP="00C86DA5">
      <w:pPr>
        <w:tabs>
          <w:tab w:val="left" w:pos="-2268"/>
        </w:tabs>
        <w:suppressAutoHyphens/>
        <w:rPr>
          <w:rFonts w:cs="Arial"/>
          <w:spacing w:val="-3"/>
        </w:rPr>
      </w:pPr>
    </w:p>
    <w:p w14:paraId="47007EA4" w14:textId="1F386B06" w:rsidR="00F97C5C" w:rsidRPr="00BD1319" w:rsidRDefault="00F97C5C" w:rsidP="00F8093E">
      <w:pPr>
        <w:pStyle w:val="Prrafodelista"/>
        <w:numPr>
          <w:ilvl w:val="0"/>
          <w:numId w:val="65"/>
        </w:numPr>
        <w:tabs>
          <w:tab w:val="left" w:pos="-2268"/>
        </w:tabs>
        <w:suppressAutoHyphens/>
        <w:ind w:left="567" w:hanging="567"/>
        <w:rPr>
          <w:rFonts w:cs="Arial"/>
          <w:spacing w:val="-3"/>
          <w:lang w:val="es-CO"/>
        </w:rPr>
      </w:pPr>
      <w:r w:rsidRPr="00BD1319">
        <w:rPr>
          <w:rFonts w:cs="Arial"/>
          <w:spacing w:val="-3"/>
          <w:lang w:val="es-CO"/>
        </w:rPr>
        <w:t>Zonas de recarga potencial de acuíferos</w:t>
      </w:r>
      <w:r w:rsidRPr="00BD1319">
        <w:rPr>
          <w:rStyle w:val="Refdenotaalpie"/>
          <w:rFonts w:cs="Arial"/>
          <w:spacing w:val="-3"/>
          <w:lang w:val="es-CO"/>
        </w:rPr>
        <w:footnoteReference w:id="45"/>
      </w:r>
      <w:r w:rsidRPr="00BD1319">
        <w:rPr>
          <w:rFonts w:cs="Arial"/>
          <w:spacing w:val="-3"/>
          <w:lang w:val="es-CO"/>
        </w:rPr>
        <w:t>, con su respectiva toponimia, así como la estimación de esta.</w:t>
      </w:r>
    </w:p>
    <w:p w14:paraId="7F56497E" w14:textId="77777777" w:rsidR="00F8093E" w:rsidRPr="00BD1319" w:rsidRDefault="00F8093E" w:rsidP="00C86DA5">
      <w:pPr>
        <w:tabs>
          <w:tab w:val="left" w:pos="-2268"/>
        </w:tabs>
        <w:suppressAutoHyphens/>
        <w:rPr>
          <w:rFonts w:cs="Arial"/>
          <w:spacing w:val="-3"/>
        </w:rPr>
      </w:pPr>
    </w:p>
    <w:p w14:paraId="1B257A38" w14:textId="3AB57363" w:rsidR="00F8093E" w:rsidRPr="00BD1319" w:rsidRDefault="00F97C5C">
      <w:pPr>
        <w:pStyle w:val="Prrafodelista"/>
        <w:numPr>
          <w:ilvl w:val="0"/>
          <w:numId w:val="65"/>
        </w:numPr>
        <w:tabs>
          <w:tab w:val="left" w:pos="-2268"/>
        </w:tabs>
        <w:suppressAutoHyphens/>
        <w:ind w:left="567" w:hanging="567"/>
        <w:rPr>
          <w:rFonts w:cs="Arial"/>
          <w:spacing w:val="-3"/>
          <w:lang w:val="es-CO"/>
        </w:rPr>
      </w:pPr>
      <w:r w:rsidRPr="00BD1319">
        <w:rPr>
          <w:rFonts w:cs="Arial"/>
          <w:spacing w:val="-3"/>
          <w:lang w:val="es-CO"/>
        </w:rPr>
        <w:t xml:space="preserve">Indicación de parámetros hidráulicos disponibles </w:t>
      </w:r>
      <w:r w:rsidRPr="00BD1319">
        <w:rPr>
          <w:rFonts w:cs="Arial"/>
          <w:color w:val="000000"/>
          <w:lang w:val="es-CO"/>
        </w:rPr>
        <w:t>(conductividad hidráulica, transmisividad, coeficiente de almacenamiento, capacidad específica, entre otros)</w:t>
      </w:r>
      <w:r w:rsidR="00F8093E" w:rsidRPr="00BD1319">
        <w:rPr>
          <w:rFonts w:cs="Arial"/>
          <w:color w:val="000000"/>
          <w:lang w:val="es-CO"/>
        </w:rPr>
        <w:t>.</w:t>
      </w:r>
    </w:p>
    <w:p w14:paraId="5AC47734" w14:textId="77777777" w:rsidR="00F8093E" w:rsidRPr="00BD1319" w:rsidRDefault="00F8093E" w:rsidP="00C86DA5">
      <w:pPr>
        <w:tabs>
          <w:tab w:val="left" w:pos="-2268"/>
        </w:tabs>
        <w:suppressAutoHyphens/>
        <w:rPr>
          <w:rFonts w:cs="Arial"/>
          <w:spacing w:val="-3"/>
        </w:rPr>
      </w:pPr>
    </w:p>
    <w:p w14:paraId="24550128" w14:textId="451E144B" w:rsidR="00F97C5C" w:rsidRPr="00BD1319" w:rsidRDefault="00F97C5C" w:rsidP="00F8093E">
      <w:pPr>
        <w:pStyle w:val="Prrafodelista"/>
        <w:numPr>
          <w:ilvl w:val="0"/>
          <w:numId w:val="65"/>
        </w:numPr>
        <w:tabs>
          <w:tab w:val="left" w:pos="-2268"/>
        </w:tabs>
        <w:suppressAutoHyphens/>
        <w:ind w:left="567" w:hanging="567"/>
        <w:rPr>
          <w:rFonts w:cs="Arial"/>
          <w:spacing w:val="-3"/>
          <w:lang w:val="es-CO"/>
        </w:rPr>
      </w:pPr>
      <w:r w:rsidRPr="00BD1319">
        <w:rPr>
          <w:rFonts w:cs="Arial"/>
          <w:spacing w:val="-3"/>
          <w:lang w:val="es-CO"/>
        </w:rPr>
        <w:t>Mapa de</w:t>
      </w:r>
      <w:r w:rsidRPr="00BD1319">
        <w:rPr>
          <w:spacing w:val="-3"/>
          <w:lang w:val="es-CO"/>
        </w:rPr>
        <w:t xml:space="preserve"> vulnerabilidad de los acuíferos </w:t>
      </w:r>
      <w:r w:rsidRPr="00BD1319">
        <w:rPr>
          <w:rFonts w:cs="Arial"/>
          <w:spacing w:val="-3"/>
          <w:lang w:val="es-CO"/>
        </w:rPr>
        <w:t xml:space="preserve">(superficiales) </w:t>
      </w:r>
      <w:r w:rsidRPr="00BD1319">
        <w:rPr>
          <w:spacing w:val="-3"/>
          <w:lang w:val="es-CO"/>
        </w:rPr>
        <w:t>a la contaminación.</w:t>
      </w:r>
    </w:p>
    <w:p w14:paraId="760CE540" w14:textId="77777777" w:rsidR="00F8093E" w:rsidRPr="00BD1319" w:rsidRDefault="00F8093E" w:rsidP="00C86DA5">
      <w:pPr>
        <w:tabs>
          <w:tab w:val="left" w:pos="-2268"/>
        </w:tabs>
        <w:suppressAutoHyphens/>
        <w:rPr>
          <w:spacing w:val="-3"/>
        </w:rPr>
      </w:pPr>
    </w:p>
    <w:p w14:paraId="6C1A28A1" w14:textId="1A180F99" w:rsidR="00F97C5C" w:rsidRPr="00BD1319" w:rsidRDefault="00F97C5C" w:rsidP="00C86DA5">
      <w:pPr>
        <w:pStyle w:val="Prrafodelista"/>
        <w:numPr>
          <w:ilvl w:val="0"/>
          <w:numId w:val="65"/>
        </w:numPr>
        <w:tabs>
          <w:tab w:val="left" w:pos="-2268"/>
        </w:tabs>
        <w:suppressAutoHyphens/>
        <w:ind w:left="567" w:hanging="567"/>
        <w:rPr>
          <w:spacing w:val="-3"/>
          <w:lang w:val="es-CO"/>
        </w:rPr>
      </w:pPr>
      <w:r w:rsidRPr="00BD1319">
        <w:rPr>
          <w:rFonts w:cs="Arial"/>
          <w:spacing w:val="-3"/>
          <w:lang w:val="es-CO"/>
        </w:rPr>
        <w:t>Tipos</w:t>
      </w:r>
      <w:r w:rsidRPr="00BD1319">
        <w:rPr>
          <w:spacing w:val="-3"/>
          <w:lang w:val="es-CO"/>
        </w:rPr>
        <w:t xml:space="preserve"> de captaciones y principales usos y usuarios del agua subterránea, con base en los inventarios de puntos de agua existentes.</w:t>
      </w:r>
    </w:p>
    <w:p w14:paraId="4295A52B" w14:textId="77777777" w:rsidR="00F97C5C" w:rsidRPr="00BD1319" w:rsidRDefault="00F97C5C" w:rsidP="00C86DA5">
      <w:pPr>
        <w:tabs>
          <w:tab w:val="left" w:pos="-2268"/>
        </w:tabs>
        <w:suppressAutoHyphens/>
        <w:rPr>
          <w:spacing w:val="-3"/>
        </w:rPr>
      </w:pPr>
    </w:p>
    <w:p w14:paraId="01EE460E" w14:textId="7D99E9BF" w:rsidR="00F97C5C" w:rsidRPr="00BD1319" w:rsidRDefault="00F97C5C" w:rsidP="00F97C5C">
      <w:pPr>
        <w:tabs>
          <w:tab w:val="left" w:pos="-2268"/>
        </w:tabs>
        <w:suppressAutoHyphens/>
        <w:rPr>
          <w:rFonts w:cs="Arial"/>
          <w:spacing w:val="-3"/>
        </w:rPr>
      </w:pPr>
      <w:r w:rsidRPr="00BD1319">
        <w:rPr>
          <w:rFonts w:cs="Arial"/>
          <w:spacing w:val="-3"/>
        </w:rPr>
        <w:t xml:space="preserve">Con dicha información secundaria se debe presentar el mapa hidrogeológico, </w:t>
      </w:r>
      <w:r w:rsidR="006F59D4" w:rsidRPr="00BD1319">
        <w:rPr>
          <w:rFonts w:cs="Arial"/>
          <w:spacing w:val="-3"/>
        </w:rPr>
        <w:t>según</w:t>
      </w:r>
      <w:r w:rsidRPr="00BD1319">
        <w:rPr>
          <w:rFonts w:cs="Arial"/>
          <w:spacing w:val="-3"/>
        </w:rPr>
        <w:t xml:space="preserve"> la escala definida en los términos de referencia</w:t>
      </w:r>
      <w:r w:rsidR="00037008" w:rsidRPr="00BD1319">
        <w:rPr>
          <w:rFonts w:cs="Arial"/>
          <w:spacing w:val="-3"/>
        </w:rPr>
        <w:t xml:space="preserve"> que correspondan</w:t>
      </w:r>
      <w:r w:rsidRPr="00BD1319">
        <w:rPr>
          <w:rFonts w:cs="Arial"/>
          <w:spacing w:val="-3"/>
        </w:rPr>
        <w:t>.</w:t>
      </w:r>
    </w:p>
    <w:p w14:paraId="2D023BFD" w14:textId="77777777" w:rsidR="00F97C5C" w:rsidRPr="00BD1319" w:rsidRDefault="00F97C5C">
      <w:pPr>
        <w:numPr>
          <w:ilvl w:val="12"/>
          <w:numId w:val="0"/>
        </w:numPr>
        <w:tabs>
          <w:tab w:val="left" w:pos="-2268"/>
        </w:tabs>
        <w:suppressAutoHyphens/>
        <w:rPr>
          <w:spacing w:val="-3"/>
        </w:rPr>
      </w:pPr>
    </w:p>
    <w:p w14:paraId="49C41587" w14:textId="77777777" w:rsidR="00F97C5C" w:rsidRPr="00BD1319" w:rsidRDefault="00F97C5C" w:rsidP="00216955">
      <w:pPr>
        <w:pStyle w:val="Ttulo3"/>
      </w:pPr>
      <w:bookmarkStart w:id="2234" w:name="_Toc515787399"/>
      <w:bookmarkStart w:id="2235" w:name="_Toc515789099"/>
      <w:bookmarkStart w:id="2236" w:name="_Toc515789948"/>
      <w:bookmarkStart w:id="2237" w:name="_Toc515790797"/>
      <w:bookmarkStart w:id="2238" w:name="_Toc515791652"/>
      <w:bookmarkStart w:id="2239" w:name="_Toc515792502"/>
      <w:bookmarkStart w:id="2240" w:name="_Toc515793354"/>
      <w:bookmarkStart w:id="2241" w:name="_Toc515794259"/>
      <w:bookmarkStart w:id="2242" w:name="_Toc515796066"/>
      <w:bookmarkStart w:id="2243" w:name="_Toc456975714"/>
      <w:bookmarkStart w:id="2244" w:name="_Toc42552220"/>
      <w:bookmarkStart w:id="2245" w:name="_Toc175326701"/>
      <w:bookmarkStart w:id="2246" w:name="_Toc453749904"/>
      <w:bookmarkEnd w:id="2234"/>
      <w:bookmarkEnd w:id="2235"/>
      <w:bookmarkEnd w:id="2236"/>
      <w:bookmarkEnd w:id="2237"/>
      <w:bookmarkEnd w:id="2238"/>
      <w:bookmarkEnd w:id="2239"/>
      <w:bookmarkEnd w:id="2240"/>
      <w:bookmarkEnd w:id="2241"/>
      <w:bookmarkEnd w:id="2242"/>
      <w:r w:rsidRPr="00BD1319">
        <w:t>Atmosférico</w:t>
      </w:r>
      <w:bookmarkEnd w:id="2243"/>
      <w:bookmarkEnd w:id="2244"/>
      <w:bookmarkEnd w:id="2245"/>
    </w:p>
    <w:p w14:paraId="027ACADE" w14:textId="77777777" w:rsidR="00F97C5C" w:rsidRPr="00BD1319" w:rsidRDefault="00F97C5C">
      <w:pPr>
        <w:numPr>
          <w:ilvl w:val="12"/>
          <w:numId w:val="0"/>
        </w:numPr>
        <w:tabs>
          <w:tab w:val="left" w:pos="-2268"/>
        </w:tabs>
        <w:suppressAutoHyphens/>
        <w:rPr>
          <w:spacing w:val="-3"/>
        </w:rPr>
      </w:pPr>
    </w:p>
    <w:p w14:paraId="3BC54C90" w14:textId="40DB2AD9" w:rsidR="00F97C5C" w:rsidRPr="00BD1319" w:rsidRDefault="00F97C5C">
      <w:pPr>
        <w:numPr>
          <w:ilvl w:val="12"/>
          <w:numId w:val="0"/>
        </w:numPr>
        <w:tabs>
          <w:tab w:val="left" w:pos="-2268"/>
        </w:tabs>
        <w:suppressAutoHyphens/>
        <w:rPr>
          <w:spacing w:val="-3"/>
        </w:rPr>
      </w:pPr>
      <w:r w:rsidRPr="00BD1319">
        <w:rPr>
          <w:spacing w:val="-3"/>
        </w:rPr>
        <w:t>La caracterización del componente atmosférico debe incorporar lo</w:t>
      </w:r>
      <w:r w:rsidR="00B177B5" w:rsidRPr="00BD1319">
        <w:rPr>
          <w:spacing w:val="-3"/>
        </w:rPr>
        <w:t>s numerales que se mencionan a continuación.</w:t>
      </w:r>
    </w:p>
    <w:p w14:paraId="1B1706B6" w14:textId="77777777" w:rsidR="00F97C5C" w:rsidRPr="00BD1319" w:rsidRDefault="00F97C5C">
      <w:pPr>
        <w:numPr>
          <w:ilvl w:val="12"/>
          <w:numId w:val="0"/>
        </w:numPr>
        <w:tabs>
          <w:tab w:val="left" w:pos="-2268"/>
        </w:tabs>
        <w:suppressAutoHyphens/>
        <w:rPr>
          <w:spacing w:val="-3"/>
        </w:rPr>
      </w:pPr>
    </w:p>
    <w:p w14:paraId="5D6928CA" w14:textId="52F85026" w:rsidR="00F97C5C" w:rsidRPr="00BD1319" w:rsidRDefault="00F97C5C" w:rsidP="009420F5">
      <w:pPr>
        <w:pStyle w:val="Ttulo4"/>
        <w:tabs>
          <w:tab w:val="clear" w:pos="1844"/>
          <w:tab w:val="num" w:pos="1134"/>
        </w:tabs>
        <w:ind w:left="0"/>
        <w:rPr>
          <w:lang w:val="es-CO"/>
        </w:rPr>
      </w:pPr>
      <w:r w:rsidRPr="00BD1319">
        <w:rPr>
          <w:lang w:val="es-CO"/>
        </w:rPr>
        <w:t>Meteorología</w:t>
      </w:r>
      <w:bookmarkEnd w:id="2246"/>
    </w:p>
    <w:p w14:paraId="264EC1D3" w14:textId="77777777" w:rsidR="00F97C5C" w:rsidRPr="00BD1319" w:rsidRDefault="00F97C5C">
      <w:pPr>
        <w:numPr>
          <w:ilvl w:val="12"/>
          <w:numId w:val="0"/>
        </w:numPr>
        <w:tabs>
          <w:tab w:val="left" w:pos="-2268"/>
        </w:tabs>
        <w:suppressAutoHyphens/>
        <w:rPr>
          <w:spacing w:val="-3"/>
        </w:rPr>
      </w:pPr>
    </w:p>
    <w:p w14:paraId="366E7978" w14:textId="3EE10DC6" w:rsidR="00F97C5C" w:rsidRPr="00BD1319" w:rsidRDefault="00F97C5C">
      <w:pPr>
        <w:numPr>
          <w:ilvl w:val="12"/>
          <w:numId w:val="0"/>
        </w:numPr>
        <w:tabs>
          <w:tab w:val="left" w:pos="-2268"/>
        </w:tabs>
        <w:suppressAutoHyphens/>
        <w:rPr>
          <w:spacing w:val="-3"/>
        </w:rPr>
      </w:pPr>
      <w:r w:rsidRPr="00BD1319">
        <w:rPr>
          <w:spacing w:val="-3"/>
        </w:rPr>
        <w:t xml:space="preserve">Describir y analizar las condiciones meteorológicas mensuales multianuales representativas para el área de estudio </w:t>
      </w:r>
      <w:r w:rsidRPr="00BD1319">
        <w:rPr>
          <w:rFonts w:cs="Arial"/>
          <w:spacing w:val="-3"/>
        </w:rPr>
        <w:t xml:space="preserve">del </w:t>
      </w:r>
      <w:r w:rsidR="009F3DE6" w:rsidRPr="00BD1319">
        <w:rPr>
          <w:rFonts w:cs="Arial"/>
          <w:spacing w:val="-3"/>
        </w:rPr>
        <w:t xml:space="preserve">componente </w:t>
      </w:r>
      <w:r w:rsidRPr="00BD1319">
        <w:rPr>
          <w:spacing w:val="-3"/>
        </w:rPr>
        <w:t xml:space="preserve">durante un período mínimo </w:t>
      </w:r>
      <w:r w:rsidR="003F1BE1" w:rsidRPr="00BD1319">
        <w:rPr>
          <w:spacing w:val="-3"/>
        </w:rPr>
        <w:t xml:space="preserve">entre tres (3) y </w:t>
      </w:r>
      <w:r w:rsidRPr="00BD1319">
        <w:rPr>
          <w:spacing w:val="-3"/>
        </w:rPr>
        <w:t xml:space="preserve">cinco (5) años, con base en información de las estaciones meteorológicas existentes </w:t>
      </w:r>
      <w:r w:rsidRPr="00BD1319">
        <w:rPr>
          <w:rFonts w:cs="Arial"/>
          <w:spacing w:val="-3"/>
        </w:rPr>
        <w:t xml:space="preserve">instaladas por </w:t>
      </w:r>
      <w:r w:rsidRPr="00BD1319">
        <w:rPr>
          <w:spacing w:val="-3"/>
        </w:rPr>
        <w:t xml:space="preserve">entidades </w:t>
      </w:r>
      <w:r w:rsidRPr="00BD1319">
        <w:rPr>
          <w:rFonts w:cs="Arial"/>
          <w:spacing w:val="-3"/>
        </w:rPr>
        <w:t>de índole nacional o regional</w:t>
      </w:r>
      <w:r w:rsidR="003F1BE1" w:rsidRPr="00BD1319">
        <w:rPr>
          <w:rFonts w:cs="Arial"/>
          <w:spacing w:val="-3"/>
        </w:rPr>
        <w:t xml:space="preserve">. </w:t>
      </w:r>
      <w:r w:rsidR="003F1BE1" w:rsidRPr="00BD1319">
        <w:rPr>
          <w:spacing w:val="-3"/>
        </w:rPr>
        <w:t xml:space="preserve">En caso de usar información proveniente de redes meteorológicas privadas, las estaciones deben cumplir con los criterios de calidad establecidos por el </w:t>
      </w:r>
      <w:proofErr w:type="spellStart"/>
      <w:r w:rsidR="00A92356" w:rsidRPr="00BD1319">
        <w:rPr>
          <w:spacing w:val="-3"/>
        </w:rPr>
        <w:t>Ideam</w:t>
      </w:r>
      <w:proofErr w:type="spellEnd"/>
      <w:r w:rsidR="003F1BE1" w:rsidRPr="00BD1319">
        <w:rPr>
          <w:spacing w:val="-3"/>
        </w:rPr>
        <w:t xml:space="preserve">, para lo cual, </w:t>
      </w:r>
      <w:r w:rsidR="009F3DE6" w:rsidRPr="00BD1319">
        <w:rPr>
          <w:spacing w:val="-3"/>
        </w:rPr>
        <w:t xml:space="preserve">éstas </w:t>
      </w:r>
      <w:r w:rsidR="003F1BE1" w:rsidRPr="00BD1319">
        <w:rPr>
          <w:spacing w:val="-3"/>
        </w:rPr>
        <w:t xml:space="preserve">deben estar referenciadas en el catálogo nacional de estaciones del </w:t>
      </w:r>
      <w:proofErr w:type="spellStart"/>
      <w:r w:rsidR="00A92356" w:rsidRPr="00BD1319">
        <w:rPr>
          <w:spacing w:val="-3"/>
        </w:rPr>
        <w:t>Ideam</w:t>
      </w:r>
      <w:proofErr w:type="spellEnd"/>
      <w:r w:rsidR="003F1BE1" w:rsidRPr="00BD1319">
        <w:rPr>
          <w:rStyle w:val="Refdenotaalpie"/>
          <w:spacing w:val="-3"/>
          <w:lang w:val="es-CO"/>
        </w:rPr>
        <w:footnoteReference w:id="46"/>
      </w:r>
      <w:r w:rsidR="003F1BE1" w:rsidRPr="00BD1319">
        <w:rPr>
          <w:spacing w:val="-3"/>
        </w:rPr>
        <w:t xml:space="preserve">. Las estaciones </w:t>
      </w:r>
      <w:r w:rsidR="009F3DE6" w:rsidRPr="00BD1319">
        <w:rPr>
          <w:spacing w:val="-3"/>
        </w:rPr>
        <w:t>empleadas</w:t>
      </w:r>
      <w:r w:rsidR="003F1BE1" w:rsidRPr="00BD1319">
        <w:rPr>
          <w:spacing w:val="-3"/>
        </w:rPr>
        <w:t xml:space="preserve"> </w:t>
      </w:r>
      <w:r w:rsidRPr="00BD1319">
        <w:rPr>
          <w:spacing w:val="-3"/>
        </w:rPr>
        <w:t>deben estar georreferenciadas</w:t>
      </w:r>
      <w:r w:rsidRPr="00BD1319">
        <w:rPr>
          <w:rFonts w:cs="Arial"/>
          <w:spacing w:val="-3"/>
        </w:rPr>
        <w:t xml:space="preserve">, </w:t>
      </w:r>
      <w:r w:rsidR="009F3DE6" w:rsidRPr="00BD1319">
        <w:rPr>
          <w:rFonts w:cs="Arial"/>
          <w:spacing w:val="-3"/>
        </w:rPr>
        <w:t xml:space="preserve">y </w:t>
      </w:r>
      <w:r w:rsidR="00B177B5" w:rsidRPr="00BD1319">
        <w:rPr>
          <w:rFonts w:cs="Arial"/>
          <w:spacing w:val="-3"/>
        </w:rPr>
        <w:t xml:space="preserve">su selección </w:t>
      </w:r>
      <w:r w:rsidR="009F3DE6" w:rsidRPr="00BD1319">
        <w:rPr>
          <w:rFonts w:cs="Arial"/>
          <w:spacing w:val="-3"/>
        </w:rPr>
        <w:t xml:space="preserve">se debe </w:t>
      </w:r>
      <w:r w:rsidRPr="00BD1319">
        <w:rPr>
          <w:rFonts w:cs="Arial"/>
          <w:spacing w:val="-3"/>
        </w:rPr>
        <w:t>justifica</w:t>
      </w:r>
      <w:r w:rsidR="009F3DE6" w:rsidRPr="00BD1319">
        <w:rPr>
          <w:rFonts w:cs="Arial"/>
          <w:spacing w:val="-3"/>
        </w:rPr>
        <w:t xml:space="preserve">r desde el punto de vista </w:t>
      </w:r>
      <w:r w:rsidRPr="00BD1319">
        <w:rPr>
          <w:rFonts w:cs="Arial"/>
          <w:spacing w:val="-3"/>
        </w:rPr>
        <w:t>temporal y espacial</w:t>
      </w:r>
      <w:r w:rsidRPr="00BD1319">
        <w:rPr>
          <w:spacing w:val="-3"/>
        </w:rPr>
        <w:t>.</w:t>
      </w:r>
    </w:p>
    <w:p w14:paraId="4736C4D0" w14:textId="77777777" w:rsidR="00F97C5C" w:rsidRPr="00BD1319" w:rsidRDefault="00F97C5C">
      <w:pPr>
        <w:numPr>
          <w:ilvl w:val="12"/>
          <w:numId w:val="0"/>
        </w:numPr>
        <w:tabs>
          <w:tab w:val="left" w:pos="-2268"/>
        </w:tabs>
        <w:suppressAutoHyphens/>
        <w:rPr>
          <w:spacing w:val="-3"/>
        </w:rPr>
      </w:pPr>
    </w:p>
    <w:p w14:paraId="1B293FB3" w14:textId="77777777" w:rsidR="00F97C5C" w:rsidRPr="00BD1319" w:rsidRDefault="00F97C5C">
      <w:pPr>
        <w:numPr>
          <w:ilvl w:val="12"/>
          <w:numId w:val="0"/>
        </w:numPr>
        <w:tabs>
          <w:tab w:val="left" w:pos="-2268"/>
        </w:tabs>
        <w:suppressAutoHyphens/>
        <w:rPr>
          <w:spacing w:val="-3"/>
        </w:rPr>
      </w:pPr>
      <w:r w:rsidRPr="00BD1319">
        <w:rPr>
          <w:spacing w:val="-3"/>
        </w:rPr>
        <w:t>Los parámetros básicos de análisis son los siguientes:</w:t>
      </w:r>
    </w:p>
    <w:p w14:paraId="187D6B3B" w14:textId="77777777" w:rsidR="00F97C5C" w:rsidRPr="00BD1319" w:rsidRDefault="00F97C5C">
      <w:pPr>
        <w:numPr>
          <w:ilvl w:val="12"/>
          <w:numId w:val="0"/>
        </w:numPr>
        <w:tabs>
          <w:tab w:val="left" w:pos="-2268"/>
        </w:tabs>
        <w:suppressAutoHyphens/>
        <w:rPr>
          <w:spacing w:val="-3"/>
        </w:rPr>
      </w:pPr>
    </w:p>
    <w:p w14:paraId="1E876890" w14:textId="0298CA99" w:rsidR="00F97C5C" w:rsidRPr="00BD1319" w:rsidRDefault="00F97C5C" w:rsidP="00C86DA5">
      <w:pPr>
        <w:numPr>
          <w:ilvl w:val="0"/>
          <w:numId w:val="58"/>
        </w:numPr>
        <w:tabs>
          <w:tab w:val="clear" w:pos="360"/>
        </w:tabs>
        <w:suppressAutoHyphens/>
        <w:ind w:left="567" w:hanging="567"/>
        <w:rPr>
          <w:spacing w:val="-3"/>
        </w:rPr>
      </w:pPr>
      <w:r w:rsidRPr="00BD1319">
        <w:rPr>
          <w:spacing w:val="-3"/>
        </w:rPr>
        <w:t>Temperatura superficial: promedio, mínim</w:t>
      </w:r>
      <w:r w:rsidR="009F3DE6" w:rsidRPr="00BD1319">
        <w:rPr>
          <w:spacing w:val="-3"/>
        </w:rPr>
        <w:t>a</w:t>
      </w:r>
      <w:r w:rsidRPr="00BD1319">
        <w:rPr>
          <w:spacing w:val="-3"/>
        </w:rPr>
        <w:t xml:space="preserve"> y máxim</w:t>
      </w:r>
      <w:r w:rsidR="009F3DE6" w:rsidRPr="00BD1319">
        <w:rPr>
          <w:spacing w:val="-3"/>
        </w:rPr>
        <w:t>a;</w:t>
      </w:r>
      <w:r w:rsidRPr="00BD1319">
        <w:rPr>
          <w:spacing w:val="-3"/>
        </w:rPr>
        <w:t xml:space="preserve"> diaria, mensual y anual.</w:t>
      </w:r>
    </w:p>
    <w:p w14:paraId="4BC323A5" w14:textId="77777777" w:rsidR="00F97C5C" w:rsidRPr="00BD1319" w:rsidRDefault="00F97C5C">
      <w:pPr>
        <w:suppressAutoHyphens/>
        <w:rPr>
          <w:spacing w:val="-3"/>
        </w:rPr>
      </w:pPr>
    </w:p>
    <w:p w14:paraId="183B47C9" w14:textId="77777777" w:rsidR="00F97C5C" w:rsidRPr="00BD1319" w:rsidRDefault="00F97C5C" w:rsidP="00C86DA5">
      <w:pPr>
        <w:numPr>
          <w:ilvl w:val="0"/>
          <w:numId w:val="58"/>
        </w:numPr>
        <w:tabs>
          <w:tab w:val="clear" w:pos="360"/>
        </w:tabs>
        <w:suppressAutoHyphens/>
        <w:ind w:left="567" w:hanging="567"/>
        <w:rPr>
          <w:spacing w:val="-3"/>
        </w:rPr>
      </w:pPr>
      <w:r w:rsidRPr="00BD1319">
        <w:rPr>
          <w:spacing w:val="-3"/>
        </w:rPr>
        <w:t>Presión atmosférica promedio mensual.</w:t>
      </w:r>
    </w:p>
    <w:p w14:paraId="353DB181" w14:textId="77777777" w:rsidR="00F97C5C" w:rsidRPr="00BD1319" w:rsidRDefault="00F97C5C">
      <w:pPr>
        <w:suppressAutoHyphens/>
        <w:rPr>
          <w:spacing w:val="-3"/>
        </w:rPr>
      </w:pPr>
    </w:p>
    <w:p w14:paraId="1ACF6048" w14:textId="1B6BE607" w:rsidR="00F97C5C" w:rsidRPr="00BD1319" w:rsidRDefault="00F97C5C" w:rsidP="00C86DA5">
      <w:pPr>
        <w:numPr>
          <w:ilvl w:val="0"/>
          <w:numId w:val="58"/>
        </w:numPr>
        <w:tabs>
          <w:tab w:val="clear" w:pos="360"/>
        </w:tabs>
        <w:suppressAutoHyphens/>
        <w:ind w:left="567" w:hanging="567"/>
        <w:rPr>
          <w:spacing w:val="-3"/>
        </w:rPr>
      </w:pPr>
      <w:r w:rsidRPr="00BD1319">
        <w:rPr>
          <w:spacing w:val="-3"/>
        </w:rPr>
        <w:t xml:space="preserve">Precipitación: media diaria, mensual y anual, y su distribución </w:t>
      </w:r>
      <w:r w:rsidR="005D0D02" w:rsidRPr="00BD1319">
        <w:rPr>
          <w:spacing w:val="-3"/>
        </w:rPr>
        <w:t>espacial</w:t>
      </w:r>
      <w:r w:rsidRPr="00BD1319">
        <w:rPr>
          <w:spacing w:val="-3"/>
        </w:rPr>
        <w:t>.</w:t>
      </w:r>
    </w:p>
    <w:p w14:paraId="20AD6966" w14:textId="77777777" w:rsidR="00F97C5C" w:rsidRPr="00BD1319" w:rsidRDefault="00F97C5C">
      <w:pPr>
        <w:suppressAutoHyphens/>
        <w:rPr>
          <w:spacing w:val="-3"/>
        </w:rPr>
      </w:pPr>
    </w:p>
    <w:p w14:paraId="37B12D38" w14:textId="6ACF11DC" w:rsidR="00F97C5C" w:rsidRPr="00BD1319" w:rsidRDefault="00F97C5C" w:rsidP="00C86DA5">
      <w:pPr>
        <w:numPr>
          <w:ilvl w:val="0"/>
          <w:numId w:val="58"/>
        </w:numPr>
        <w:tabs>
          <w:tab w:val="clear" w:pos="360"/>
        </w:tabs>
        <w:suppressAutoHyphens/>
        <w:ind w:left="567" w:hanging="567"/>
        <w:rPr>
          <w:spacing w:val="-3"/>
        </w:rPr>
      </w:pPr>
      <w:r w:rsidRPr="00BD1319">
        <w:rPr>
          <w:spacing w:val="-3"/>
        </w:rPr>
        <w:t>Humedad relativa: promedio, mínim</w:t>
      </w:r>
      <w:r w:rsidR="009F3DE6" w:rsidRPr="00BD1319">
        <w:rPr>
          <w:spacing w:val="-3"/>
        </w:rPr>
        <w:t>a</w:t>
      </w:r>
      <w:r w:rsidRPr="00BD1319">
        <w:rPr>
          <w:spacing w:val="-3"/>
        </w:rPr>
        <w:t xml:space="preserve"> y máxim</w:t>
      </w:r>
      <w:r w:rsidR="009F3DE6" w:rsidRPr="00BD1319">
        <w:rPr>
          <w:spacing w:val="-3"/>
        </w:rPr>
        <w:t>a;</w:t>
      </w:r>
      <w:r w:rsidRPr="00BD1319">
        <w:rPr>
          <w:spacing w:val="-3"/>
        </w:rPr>
        <w:t xml:space="preserve"> diaria, mensual y anual.</w:t>
      </w:r>
    </w:p>
    <w:p w14:paraId="23209BE8" w14:textId="77777777" w:rsidR="00F97C5C" w:rsidRPr="00BD1319" w:rsidRDefault="00F97C5C">
      <w:pPr>
        <w:suppressAutoHyphens/>
        <w:rPr>
          <w:spacing w:val="-3"/>
        </w:rPr>
      </w:pPr>
    </w:p>
    <w:p w14:paraId="3509CF99" w14:textId="77777777" w:rsidR="00F97C5C" w:rsidRPr="00BD1319" w:rsidRDefault="00F97C5C" w:rsidP="00C86DA5">
      <w:pPr>
        <w:numPr>
          <w:ilvl w:val="0"/>
          <w:numId w:val="58"/>
        </w:numPr>
        <w:tabs>
          <w:tab w:val="clear" w:pos="360"/>
        </w:tabs>
        <w:suppressAutoHyphens/>
        <w:ind w:left="567" w:hanging="567"/>
        <w:rPr>
          <w:spacing w:val="-3"/>
        </w:rPr>
      </w:pPr>
      <w:r w:rsidRPr="00BD1319">
        <w:rPr>
          <w:spacing w:val="-3"/>
        </w:rPr>
        <w:t>Dirección y velocidad del viento.</w:t>
      </w:r>
    </w:p>
    <w:p w14:paraId="546E02E3" w14:textId="77777777" w:rsidR="00F97C5C" w:rsidRPr="00BD1319" w:rsidRDefault="00F97C5C">
      <w:pPr>
        <w:suppressAutoHyphens/>
        <w:rPr>
          <w:spacing w:val="-3"/>
        </w:rPr>
      </w:pPr>
    </w:p>
    <w:p w14:paraId="1B71A44C" w14:textId="77777777" w:rsidR="00F97C5C" w:rsidRPr="00BD1319" w:rsidRDefault="00F97C5C" w:rsidP="00C86DA5">
      <w:pPr>
        <w:numPr>
          <w:ilvl w:val="1"/>
          <w:numId w:val="40"/>
        </w:numPr>
        <w:tabs>
          <w:tab w:val="left" w:pos="-2268"/>
        </w:tabs>
        <w:suppressAutoHyphens/>
        <w:ind w:left="1134" w:hanging="567"/>
        <w:rPr>
          <w:spacing w:val="-3"/>
        </w:rPr>
      </w:pPr>
      <w:r w:rsidRPr="00BD1319">
        <w:rPr>
          <w:spacing w:val="-3"/>
        </w:rPr>
        <w:t>Rosas de viento diurna y nocturna.</w:t>
      </w:r>
    </w:p>
    <w:p w14:paraId="71B8A550" w14:textId="77777777" w:rsidR="00F97C5C" w:rsidRPr="00BD1319" w:rsidRDefault="00F97C5C">
      <w:pPr>
        <w:tabs>
          <w:tab w:val="left" w:pos="-2268"/>
        </w:tabs>
        <w:suppressAutoHyphens/>
        <w:rPr>
          <w:spacing w:val="-3"/>
        </w:rPr>
      </w:pPr>
    </w:p>
    <w:p w14:paraId="53AAE69F" w14:textId="77777777" w:rsidR="00F97C5C" w:rsidRPr="00BD1319" w:rsidRDefault="00F97C5C" w:rsidP="00C86DA5">
      <w:pPr>
        <w:numPr>
          <w:ilvl w:val="1"/>
          <w:numId w:val="40"/>
        </w:numPr>
        <w:tabs>
          <w:tab w:val="left" w:pos="-2268"/>
        </w:tabs>
        <w:suppressAutoHyphens/>
        <w:ind w:left="1134" w:hanging="567"/>
        <w:rPr>
          <w:spacing w:val="-3"/>
        </w:rPr>
      </w:pPr>
      <w:r w:rsidRPr="00BD1319">
        <w:rPr>
          <w:spacing w:val="-3"/>
        </w:rPr>
        <w:t>Variaciones mensuales de las rosas de vientos.</w:t>
      </w:r>
    </w:p>
    <w:p w14:paraId="5E5E45A4" w14:textId="77777777" w:rsidR="00F97C5C" w:rsidRPr="00BD1319" w:rsidRDefault="00F97C5C">
      <w:pPr>
        <w:tabs>
          <w:tab w:val="left" w:pos="-2268"/>
        </w:tabs>
        <w:suppressAutoHyphens/>
        <w:rPr>
          <w:spacing w:val="-3"/>
        </w:rPr>
      </w:pPr>
    </w:p>
    <w:p w14:paraId="61A28349" w14:textId="77777777" w:rsidR="00F97C5C" w:rsidRPr="00BD1319" w:rsidRDefault="00F97C5C" w:rsidP="00C86DA5">
      <w:pPr>
        <w:numPr>
          <w:ilvl w:val="0"/>
          <w:numId w:val="58"/>
        </w:numPr>
        <w:tabs>
          <w:tab w:val="clear" w:pos="360"/>
        </w:tabs>
        <w:suppressAutoHyphens/>
        <w:ind w:left="567" w:hanging="567"/>
        <w:rPr>
          <w:spacing w:val="-3"/>
        </w:rPr>
      </w:pPr>
      <w:r w:rsidRPr="00BD1319">
        <w:rPr>
          <w:spacing w:val="-3"/>
        </w:rPr>
        <w:t>Radiación solar: media diaria, mensual y anual.</w:t>
      </w:r>
    </w:p>
    <w:p w14:paraId="32937823" w14:textId="77777777" w:rsidR="00F97C5C" w:rsidRPr="00BD1319" w:rsidRDefault="00F97C5C">
      <w:pPr>
        <w:numPr>
          <w:ilvl w:val="12"/>
          <w:numId w:val="0"/>
        </w:numPr>
        <w:tabs>
          <w:tab w:val="left" w:pos="-2268"/>
        </w:tabs>
        <w:suppressAutoHyphens/>
        <w:rPr>
          <w:spacing w:val="-3"/>
        </w:rPr>
      </w:pPr>
    </w:p>
    <w:p w14:paraId="5E74B0C7" w14:textId="0BB71152" w:rsidR="00F97C5C" w:rsidRPr="00BD1319" w:rsidRDefault="00F97C5C">
      <w:pPr>
        <w:numPr>
          <w:ilvl w:val="12"/>
          <w:numId w:val="0"/>
        </w:numPr>
        <w:tabs>
          <w:tab w:val="left" w:pos="-2268"/>
        </w:tabs>
        <w:suppressAutoHyphens/>
        <w:rPr>
          <w:spacing w:val="-3"/>
        </w:rPr>
      </w:pPr>
      <w:r w:rsidRPr="00BD1319">
        <w:rPr>
          <w:spacing w:val="-3"/>
        </w:rPr>
        <w:t xml:space="preserve">Para </w:t>
      </w:r>
      <w:r w:rsidR="0041428E" w:rsidRPr="00BD1319">
        <w:rPr>
          <w:spacing w:val="-3"/>
        </w:rPr>
        <w:t xml:space="preserve">la caracterización </w:t>
      </w:r>
      <w:r w:rsidRPr="00BD1319">
        <w:rPr>
          <w:spacing w:val="-3"/>
        </w:rPr>
        <w:t xml:space="preserve">de vientos se deben incluir aspectos de dirección, velocidad y frecuencias con las que se presentan, elaborando la rosa de los vientos diurna y </w:t>
      </w:r>
      <w:r w:rsidRPr="00BD1319">
        <w:rPr>
          <w:spacing w:val="-3"/>
        </w:rPr>
        <w:lastRenderedPageBreak/>
        <w:t xml:space="preserve">nocturna, así como una tabla de variabilidad en la velocidad de éstos, </w:t>
      </w:r>
      <w:r w:rsidR="009F3DE6" w:rsidRPr="00BD1319">
        <w:rPr>
          <w:spacing w:val="-3"/>
        </w:rPr>
        <w:t>a</w:t>
      </w:r>
      <w:r w:rsidRPr="00BD1319">
        <w:rPr>
          <w:spacing w:val="-3"/>
        </w:rPr>
        <w:t xml:space="preserve"> </w:t>
      </w:r>
      <w:r w:rsidR="009F3DE6" w:rsidRPr="00BD1319">
        <w:rPr>
          <w:spacing w:val="-3"/>
        </w:rPr>
        <w:t xml:space="preserve">fin de </w:t>
      </w:r>
      <w:r w:rsidRPr="00BD1319">
        <w:rPr>
          <w:spacing w:val="-3"/>
        </w:rPr>
        <w:t>indicar el comportamiento de los vientos en una jornada de 24 horas para un periodo específico (mensual o anual).</w:t>
      </w:r>
    </w:p>
    <w:p w14:paraId="3DAEA8DF" w14:textId="77777777" w:rsidR="00F97C5C" w:rsidRPr="00BD1319" w:rsidRDefault="00F97C5C">
      <w:pPr>
        <w:numPr>
          <w:ilvl w:val="12"/>
          <w:numId w:val="0"/>
        </w:numPr>
        <w:tabs>
          <w:tab w:val="left" w:pos="-2268"/>
        </w:tabs>
        <w:suppressAutoHyphens/>
        <w:rPr>
          <w:spacing w:val="-3"/>
        </w:rPr>
      </w:pPr>
    </w:p>
    <w:p w14:paraId="70914009" w14:textId="4571BB7C" w:rsidR="00F97C5C" w:rsidRPr="00BD1319" w:rsidRDefault="00F97C5C">
      <w:pPr>
        <w:numPr>
          <w:ilvl w:val="12"/>
          <w:numId w:val="0"/>
        </w:numPr>
        <w:tabs>
          <w:tab w:val="left" w:pos="-2268"/>
        </w:tabs>
        <w:suppressAutoHyphens/>
        <w:rPr>
          <w:spacing w:val="-3"/>
        </w:rPr>
      </w:pPr>
      <w:r w:rsidRPr="00BD1319">
        <w:rPr>
          <w:spacing w:val="-3"/>
        </w:rPr>
        <w:t xml:space="preserve">Los datos se deben presentar en tablas con sus respectivas unidades de medida. Se debe presentar </w:t>
      </w:r>
      <w:r w:rsidR="00803BC1" w:rsidRPr="00BD1319">
        <w:rPr>
          <w:spacing w:val="-3"/>
        </w:rPr>
        <w:t xml:space="preserve">la </w:t>
      </w:r>
      <w:r w:rsidRPr="00BD1319">
        <w:rPr>
          <w:spacing w:val="-3"/>
        </w:rPr>
        <w:t xml:space="preserve">información meteorológica específica </w:t>
      </w:r>
      <w:r w:rsidR="00803BC1" w:rsidRPr="00BD1319">
        <w:rPr>
          <w:spacing w:val="-3"/>
        </w:rPr>
        <w:t xml:space="preserve">de </w:t>
      </w:r>
      <w:r w:rsidRPr="00BD1319">
        <w:rPr>
          <w:spacing w:val="-3"/>
        </w:rPr>
        <w:t>cada alternativa</w:t>
      </w:r>
      <w:r w:rsidR="009F3DE6" w:rsidRPr="00BD1319">
        <w:rPr>
          <w:spacing w:val="-3"/>
        </w:rPr>
        <w:t xml:space="preserve"> para el área de estudio </w:t>
      </w:r>
      <w:r w:rsidR="009F3DE6" w:rsidRPr="00BD1319">
        <w:rPr>
          <w:rFonts w:cs="Arial"/>
          <w:spacing w:val="-3"/>
        </w:rPr>
        <w:t>del componente</w:t>
      </w:r>
      <w:r w:rsidRPr="00BD1319">
        <w:rPr>
          <w:spacing w:val="-3"/>
        </w:rPr>
        <w:t xml:space="preserve">. En el caso </w:t>
      </w:r>
      <w:r w:rsidR="006F41B5" w:rsidRPr="00BD1319">
        <w:rPr>
          <w:spacing w:val="-3"/>
        </w:rPr>
        <w:t xml:space="preserve">en </w:t>
      </w:r>
      <w:r w:rsidRPr="00BD1319">
        <w:rPr>
          <w:spacing w:val="-3"/>
        </w:rPr>
        <w:t xml:space="preserve">que </w:t>
      </w:r>
      <w:r w:rsidR="006F41B5" w:rsidRPr="00BD1319">
        <w:rPr>
          <w:spacing w:val="-3"/>
        </w:rPr>
        <w:t xml:space="preserve">la información meteorológica cubra espacialmente </w:t>
      </w:r>
      <w:r w:rsidR="00803BC1" w:rsidRPr="00BD1319">
        <w:rPr>
          <w:spacing w:val="-3"/>
        </w:rPr>
        <w:t xml:space="preserve">el área de estudio </w:t>
      </w:r>
      <w:r w:rsidR="006F41B5" w:rsidRPr="00BD1319">
        <w:rPr>
          <w:spacing w:val="-3"/>
        </w:rPr>
        <w:t>de todas las alternativas propuestas</w:t>
      </w:r>
      <w:r w:rsidRPr="00BD1319">
        <w:rPr>
          <w:spacing w:val="-3"/>
        </w:rPr>
        <w:t xml:space="preserve">, </w:t>
      </w:r>
      <w:r w:rsidR="00803BC1" w:rsidRPr="00BD1319">
        <w:rPr>
          <w:spacing w:val="-3"/>
        </w:rPr>
        <w:t>la información debe ser presentada sólo una vez</w:t>
      </w:r>
      <w:r w:rsidRPr="00BD1319">
        <w:rPr>
          <w:spacing w:val="-3"/>
        </w:rPr>
        <w:t>.</w:t>
      </w:r>
    </w:p>
    <w:p w14:paraId="0F528EFC" w14:textId="77777777" w:rsidR="00F97C5C" w:rsidRPr="00BD1319" w:rsidRDefault="00F97C5C">
      <w:pPr>
        <w:numPr>
          <w:ilvl w:val="12"/>
          <w:numId w:val="0"/>
        </w:numPr>
        <w:tabs>
          <w:tab w:val="left" w:pos="-2268"/>
        </w:tabs>
        <w:suppressAutoHyphens/>
        <w:rPr>
          <w:spacing w:val="-3"/>
        </w:rPr>
      </w:pPr>
    </w:p>
    <w:p w14:paraId="5573D32E" w14:textId="37324F80" w:rsidR="00C223E2" w:rsidRPr="00BD1319" w:rsidRDefault="00F97C5C">
      <w:pPr>
        <w:numPr>
          <w:ilvl w:val="12"/>
          <w:numId w:val="0"/>
        </w:numPr>
        <w:tabs>
          <w:tab w:val="left" w:pos="-2268"/>
        </w:tabs>
        <w:suppressAutoHyphens/>
        <w:rPr>
          <w:spacing w:val="-3"/>
        </w:rPr>
      </w:pPr>
      <w:r w:rsidRPr="00BD1319">
        <w:rPr>
          <w:spacing w:val="-3"/>
        </w:rPr>
        <w:t xml:space="preserve">Cuando no exista información disponible de estaciones meteorológicas avaladas por el </w:t>
      </w:r>
      <w:proofErr w:type="spellStart"/>
      <w:r w:rsidR="00A92356" w:rsidRPr="00BD1319">
        <w:rPr>
          <w:spacing w:val="-3"/>
        </w:rPr>
        <w:t>Ideam</w:t>
      </w:r>
      <w:proofErr w:type="spellEnd"/>
      <w:r w:rsidR="00C223E2" w:rsidRPr="00BD1319">
        <w:rPr>
          <w:spacing w:val="-3"/>
        </w:rPr>
        <w:t xml:space="preserve"> </w:t>
      </w:r>
      <w:r w:rsidR="00C223E2" w:rsidRPr="00BD1319">
        <w:rPr>
          <w:rFonts w:cs="Arial"/>
          <w:lang w:eastAsia="es-CO"/>
        </w:rPr>
        <w:t xml:space="preserve">con adecuada representatividad </w:t>
      </w:r>
      <w:r w:rsidR="00803BC1" w:rsidRPr="00BD1319">
        <w:rPr>
          <w:rFonts w:cs="Arial"/>
          <w:lang w:eastAsia="es-CO"/>
        </w:rPr>
        <w:t xml:space="preserve">para </w:t>
      </w:r>
      <w:r w:rsidR="00C223E2" w:rsidRPr="00BD1319">
        <w:rPr>
          <w:rFonts w:cs="Arial"/>
          <w:lang w:eastAsia="es-CO"/>
        </w:rPr>
        <w:t>el área de estudio</w:t>
      </w:r>
      <w:r w:rsidRPr="00BD1319">
        <w:rPr>
          <w:spacing w:val="-3"/>
        </w:rPr>
        <w:t xml:space="preserve">, la información meteorológica puede ser tomada de los datos de </w:t>
      </w:r>
      <w:r w:rsidR="00C223E2" w:rsidRPr="00BD1319">
        <w:rPr>
          <w:rFonts w:cs="Arial"/>
          <w:lang w:eastAsia="es-CO"/>
        </w:rPr>
        <w:t xml:space="preserve">modelos globales o de </w:t>
      </w:r>
      <w:proofErr w:type="spellStart"/>
      <w:r w:rsidRPr="00BD1319">
        <w:rPr>
          <w:spacing w:val="-3"/>
        </w:rPr>
        <w:t>re-análisis</w:t>
      </w:r>
      <w:proofErr w:type="spellEnd"/>
      <w:r w:rsidRPr="00BD1319">
        <w:rPr>
          <w:spacing w:val="-3"/>
        </w:rPr>
        <w:t xml:space="preserve"> global, obtenidos de fuentes de adecuada idoneidad científica y que puedan ser validad</w:t>
      </w:r>
      <w:r w:rsidR="00803BC1" w:rsidRPr="00BD1319">
        <w:rPr>
          <w:spacing w:val="-3"/>
        </w:rPr>
        <w:t>o</w:t>
      </w:r>
      <w:r w:rsidRPr="00BD1319">
        <w:rPr>
          <w:spacing w:val="-3"/>
        </w:rPr>
        <w:t>s</w:t>
      </w:r>
      <w:r w:rsidR="00C223E2" w:rsidRPr="00BD1319">
        <w:rPr>
          <w:spacing w:val="-3"/>
        </w:rPr>
        <w:t xml:space="preserve"> </w:t>
      </w:r>
      <w:r w:rsidR="00803BC1" w:rsidRPr="00BD1319">
        <w:rPr>
          <w:rFonts w:cs="Arial"/>
          <w:lang w:eastAsia="es-CO"/>
        </w:rPr>
        <w:t>y procesado</w:t>
      </w:r>
      <w:r w:rsidR="00C223E2" w:rsidRPr="00BD1319">
        <w:rPr>
          <w:rFonts w:cs="Arial"/>
          <w:lang w:eastAsia="es-CO"/>
        </w:rPr>
        <w:t>s para obtener una adecuada resolución sobre el área de estudio. Ejemplos de</w:t>
      </w:r>
      <w:r w:rsidRPr="00BD1319">
        <w:rPr>
          <w:spacing w:val="-3"/>
        </w:rPr>
        <w:t xml:space="preserve"> modelos de clima o tiempo </w:t>
      </w:r>
      <w:r w:rsidR="00C223E2" w:rsidRPr="00BD1319">
        <w:rPr>
          <w:spacing w:val="-3"/>
        </w:rPr>
        <w:t xml:space="preserve">son </w:t>
      </w:r>
      <w:r w:rsidRPr="00BD1319">
        <w:rPr>
          <w:spacing w:val="-3"/>
        </w:rPr>
        <w:t>CFRS, ERA 40, CAM, WRF, entre otros.</w:t>
      </w:r>
    </w:p>
    <w:p w14:paraId="66734CD1" w14:textId="77777777" w:rsidR="00C223E2" w:rsidRPr="00BD1319" w:rsidRDefault="00C223E2">
      <w:pPr>
        <w:numPr>
          <w:ilvl w:val="12"/>
          <w:numId w:val="0"/>
        </w:numPr>
        <w:tabs>
          <w:tab w:val="left" w:pos="-2268"/>
        </w:tabs>
        <w:suppressAutoHyphens/>
        <w:rPr>
          <w:spacing w:val="-3"/>
        </w:rPr>
      </w:pPr>
    </w:p>
    <w:p w14:paraId="6D441ACF" w14:textId="2020B7F8" w:rsidR="00F97C5C" w:rsidRPr="00BD1319" w:rsidRDefault="00C223E2">
      <w:pPr>
        <w:numPr>
          <w:ilvl w:val="12"/>
          <w:numId w:val="0"/>
        </w:numPr>
        <w:tabs>
          <w:tab w:val="left" w:pos="-2268"/>
        </w:tabs>
        <w:suppressAutoHyphens/>
        <w:rPr>
          <w:spacing w:val="-3"/>
        </w:rPr>
      </w:pPr>
      <w:r w:rsidRPr="00BD1319">
        <w:rPr>
          <w:spacing w:val="-3"/>
        </w:rPr>
        <w:t>S</w:t>
      </w:r>
      <w:r w:rsidR="00F97C5C" w:rsidRPr="00BD1319">
        <w:rPr>
          <w:spacing w:val="-3"/>
        </w:rPr>
        <w:t xml:space="preserve">e debe realizar un análisis estadístico del error </w:t>
      </w:r>
      <w:r w:rsidR="00D85767" w:rsidRPr="00BD1319">
        <w:rPr>
          <w:rFonts w:cs="Arial"/>
          <w:lang w:eastAsia="es-CO"/>
        </w:rPr>
        <w:t xml:space="preserve">y demostrar el procedimiento </w:t>
      </w:r>
      <w:r w:rsidR="00D85767" w:rsidRPr="00BD1319">
        <w:t xml:space="preserve">de </w:t>
      </w:r>
      <w:r w:rsidR="00D85767" w:rsidRPr="00BD1319">
        <w:rPr>
          <w:rFonts w:cs="Arial"/>
          <w:lang w:eastAsia="es-CO"/>
        </w:rPr>
        <w:t xml:space="preserve">validación de </w:t>
      </w:r>
      <w:r w:rsidR="00D85767" w:rsidRPr="00BD1319">
        <w:t xml:space="preserve">resultados </w:t>
      </w:r>
      <w:r w:rsidR="00D85767" w:rsidRPr="00BD1319">
        <w:rPr>
          <w:rFonts w:cs="Arial"/>
          <w:lang w:eastAsia="es-CO"/>
        </w:rPr>
        <w:t>empleado</w:t>
      </w:r>
      <w:r w:rsidR="00F97C5C" w:rsidRPr="00BD1319">
        <w:rPr>
          <w:spacing w:val="-3"/>
        </w:rPr>
        <w:t xml:space="preserve">. </w:t>
      </w:r>
      <w:r w:rsidR="00B177B5" w:rsidRPr="00BD1319">
        <w:rPr>
          <w:spacing w:val="-3"/>
        </w:rPr>
        <w:t xml:space="preserve">En </w:t>
      </w:r>
      <w:r w:rsidR="00F97C5C" w:rsidRPr="00BD1319">
        <w:rPr>
          <w:spacing w:val="-3"/>
        </w:rPr>
        <w:t xml:space="preserve">este caso se requiere que el </w:t>
      </w:r>
      <w:r w:rsidR="00D85767" w:rsidRPr="00BD1319">
        <w:rPr>
          <w:spacing w:val="-3"/>
        </w:rPr>
        <w:t xml:space="preserve">estudio </w:t>
      </w:r>
      <w:r w:rsidR="00F97C5C" w:rsidRPr="00BD1319">
        <w:rPr>
          <w:spacing w:val="-3"/>
        </w:rPr>
        <w:t xml:space="preserve">establezca claramente la fuente de la información, </w:t>
      </w:r>
      <w:r w:rsidR="00D85767" w:rsidRPr="00BD1319">
        <w:rPr>
          <w:spacing w:val="-3"/>
        </w:rPr>
        <w:t xml:space="preserve">anotando </w:t>
      </w:r>
      <w:r w:rsidR="00F97C5C" w:rsidRPr="00BD1319">
        <w:rPr>
          <w:spacing w:val="-3"/>
        </w:rPr>
        <w:t xml:space="preserve">el periodo </w:t>
      </w:r>
      <w:r w:rsidR="00803BC1" w:rsidRPr="00BD1319">
        <w:rPr>
          <w:spacing w:val="-3"/>
        </w:rPr>
        <w:t>d</w:t>
      </w:r>
      <w:r w:rsidR="006F41B5" w:rsidRPr="00BD1319">
        <w:rPr>
          <w:spacing w:val="-3"/>
        </w:rPr>
        <w:t>e</w:t>
      </w:r>
      <w:r w:rsidR="00803BC1" w:rsidRPr="00BD1319">
        <w:rPr>
          <w:spacing w:val="-3"/>
        </w:rPr>
        <w:t xml:space="preserve"> datos </w:t>
      </w:r>
      <w:r w:rsidR="00F97C5C" w:rsidRPr="00BD1319">
        <w:rPr>
          <w:spacing w:val="-3"/>
        </w:rPr>
        <w:t>analiza</w:t>
      </w:r>
      <w:r w:rsidR="00803BC1" w:rsidRPr="00BD1319">
        <w:rPr>
          <w:spacing w:val="-3"/>
        </w:rPr>
        <w:t>do</w:t>
      </w:r>
      <w:r w:rsidR="00F97C5C" w:rsidRPr="00BD1319">
        <w:rPr>
          <w:spacing w:val="-3"/>
        </w:rPr>
        <w:t>, la resolución de la información, el tipo de dato procesado y las variables contenidas</w:t>
      </w:r>
      <w:r w:rsidR="00B177B5" w:rsidRPr="00BD1319">
        <w:rPr>
          <w:spacing w:val="-3"/>
        </w:rPr>
        <w:t>, todo ello</w:t>
      </w:r>
      <w:r w:rsidR="00F97C5C" w:rsidRPr="00BD1319">
        <w:rPr>
          <w:spacing w:val="-3"/>
        </w:rPr>
        <w:t xml:space="preserve"> en un formato de texto </w:t>
      </w:r>
      <w:r w:rsidR="00D85767" w:rsidRPr="00BD1319">
        <w:rPr>
          <w:rFonts w:cs="Arial"/>
          <w:lang w:eastAsia="es-CO"/>
        </w:rPr>
        <w:t xml:space="preserve">editable. Para este análisis, se requiere como mínimo analizar el año más reciente de la serie de datos </w:t>
      </w:r>
      <w:r w:rsidR="00803BC1" w:rsidRPr="00BD1319">
        <w:rPr>
          <w:rFonts w:cs="Arial"/>
          <w:lang w:eastAsia="es-CO"/>
        </w:rPr>
        <w:t>empleada</w:t>
      </w:r>
      <w:r w:rsidR="00D85767" w:rsidRPr="00BD1319">
        <w:t>.</w:t>
      </w:r>
    </w:p>
    <w:p w14:paraId="68C5590E" w14:textId="77777777" w:rsidR="00F97C5C" w:rsidRPr="00BD1319" w:rsidRDefault="00F97C5C">
      <w:pPr>
        <w:numPr>
          <w:ilvl w:val="12"/>
          <w:numId w:val="0"/>
        </w:numPr>
        <w:tabs>
          <w:tab w:val="left" w:pos="-2268"/>
        </w:tabs>
        <w:suppressAutoHyphens/>
        <w:rPr>
          <w:spacing w:val="-3"/>
        </w:rPr>
      </w:pPr>
    </w:p>
    <w:p w14:paraId="75F6509D" w14:textId="6E2D9E13" w:rsidR="00F97C5C" w:rsidRPr="00BD1319" w:rsidRDefault="0041428E" w:rsidP="009420F5">
      <w:pPr>
        <w:pStyle w:val="Ttulo4"/>
        <w:tabs>
          <w:tab w:val="clear" w:pos="1844"/>
          <w:tab w:val="num" w:pos="1134"/>
        </w:tabs>
        <w:ind w:left="0"/>
        <w:rPr>
          <w:lang w:val="es-CO"/>
        </w:rPr>
      </w:pPr>
      <w:bookmarkStart w:id="2247" w:name="_Toc453749905"/>
      <w:bookmarkStart w:id="2248" w:name="_Ref75776034"/>
      <w:r w:rsidRPr="00BD1319">
        <w:rPr>
          <w:lang w:val="es-CO"/>
        </w:rPr>
        <w:t>Determinación</w:t>
      </w:r>
      <w:r w:rsidR="00F97C5C" w:rsidRPr="00BD1319">
        <w:rPr>
          <w:lang w:val="es-CO"/>
        </w:rPr>
        <w:t xml:space="preserve"> de fuentes de emisión</w:t>
      </w:r>
      <w:bookmarkEnd w:id="2247"/>
      <w:bookmarkEnd w:id="2248"/>
    </w:p>
    <w:p w14:paraId="057F91C6" w14:textId="77777777" w:rsidR="00F97C5C" w:rsidRPr="00BD1319" w:rsidRDefault="00F97C5C">
      <w:pPr>
        <w:numPr>
          <w:ilvl w:val="12"/>
          <w:numId w:val="0"/>
        </w:numPr>
        <w:tabs>
          <w:tab w:val="left" w:pos="-2268"/>
        </w:tabs>
        <w:suppressAutoHyphens/>
        <w:rPr>
          <w:spacing w:val="-3"/>
        </w:rPr>
      </w:pPr>
    </w:p>
    <w:p w14:paraId="513897FB" w14:textId="75DB26D9" w:rsidR="00AD32C2" w:rsidRPr="00BD1319" w:rsidRDefault="007326F6" w:rsidP="00AD32C2">
      <w:pPr>
        <w:overflowPunct/>
        <w:autoSpaceDE/>
        <w:autoSpaceDN/>
        <w:adjustRightInd/>
        <w:textAlignment w:val="auto"/>
        <w:rPr>
          <w:spacing w:val="-3"/>
        </w:rPr>
      </w:pPr>
      <w:r w:rsidRPr="00BD1319">
        <w:rPr>
          <w:spacing w:val="-3"/>
        </w:rPr>
        <w:t xml:space="preserve">A fin de </w:t>
      </w:r>
      <w:r w:rsidR="0041428E" w:rsidRPr="00BD1319">
        <w:rPr>
          <w:spacing w:val="-3"/>
        </w:rPr>
        <w:t>determinar</w:t>
      </w:r>
      <w:r w:rsidRPr="00BD1319">
        <w:rPr>
          <w:spacing w:val="-3"/>
        </w:rPr>
        <w:t xml:space="preserve"> las fuentes de emisión </w:t>
      </w:r>
      <w:r w:rsidR="003F24F9" w:rsidRPr="00BD1319">
        <w:rPr>
          <w:rFonts w:cs="Arial"/>
          <w:spacing w:val="-3"/>
          <w:lang w:eastAsia="es-CO"/>
        </w:rPr>
        <w:t>se debe</w:t>
      </w:r>
      <w:r w:rsidRPr="00BD1319">
        <w:rPr>
          <w:rFonts w:cs="Arial"/>
          <w:spacing w:val="-3"/>
          <w:lang w:eastAsia="es-CO"/>
        </w:rPr>
        <w:t xml:space="preserve">n consultar </w:t>
      </w:r>
      <w:r w:rsidRPr="00BD1319">
        <w:rPr>
          <w:spacing w:val="-3"/>
        </w:rPr>
        <w:t xml:space="preserve">inventarios formales de emisiones (que incluyen la caracterización de presencia de fuentes de emisión y cuantificación de emisiones), así como </w:t>
      </w:r>
      <w:r w:rsidR="00AD32C2" w:rsidRPr="00BD1319">
        <w:rPr>
          <w:rFonts w:cs="Arial"/>
          <w:spacing w:val="-3"/>
          <w:lang w:eastAsia="es-CO"/>
        </w:rPr>
        <w:t xml:space="preserve">otras fuentes de </w:t>
      </w:r>
      <w:r w:rsidR="003F24F9" w:rsidRPr="00BD1319">
        <w:rPr>
          <w:rFonts w:cs="Arial"/>
          <w:spacing w:val="-3"/>
          <w:lang w:eastAsia="es-CO"/>
        </w:rPr>
        <w:t xml:space="preserve">información sobre </w:t>
      </w:r>
      <w:r w:rsidR="00AD32C2" w:rsidRPr="00BD1319">
        <w:rPr>
          <w:rFonts w:cs="Arial"/>
          <w:spacing w:val="-3"/>
          <w:lang w:eastAsia="es-CO"/>
        </w:rPr>
        <w:t>emisiones atmosféricas</w:t>
      </w:r>
      <w:r w:rsidR="003F24F9" w:rsidRPr="00BD1319">
        <w:rPr>
          <w:rFonts w:cs="Arial"/>
          <w:spacing w:val="-3"/>
          <w:lang w:eastAsia="es-CO"/>
        </w:rPr>
        <w:t xml:space="preserve"> como </w:t>
      </w:r>
      <w:r w:rsidR="00D12133" w:rsidRPr="00BD1319">
        <w:rPr>
          <w:rFonts w:cs="Arial"/>
          <w:spacing w:val="-3"/>
          <w:lang w:eastAsia="es-CO"/>
        </w:rPr>
        <w:t xml:space="preserve">el Sistema para el Análisis y Gestión de Información del Licenciamiento Ambiental (AGIL) en dónde es posible consultar la ubicación geográfica de los proyectos licenciados, y la Ventanilla Integral de Trámites Ambientales (VITAL), en dónde se puede consultar la información documental de cada uno de </w:t>
      </w:r>
      <w:r w:rsidR="00AD32C2" w:rsidRPr="00BD1319">
        <w:rPr>
          <w:rFonts w:cs="Arial"/>
          <w:spacing w:val="-3"/>
          <w:lang w:eastAsia="es-CO"/>
        </w:rPr>
        <w:t xml:space="preserve">los proyectos </w:t>
      </w:r>
      <w:r w:rsidR="003F24F9" w:rsidRPr="00BD1319">
        <w:rPr>
          <w:rFonts w:cs="Arial"/>
          <w:spacing w:val="-3"/>
          <w:lang w:eastAsia="es-CO"/>
        </w:rPr>
        <w:t xml:space="preserve">licenciados </w:t>
      </w:r>
      <w:r w:rsidR="00AD32C2" w:rsidRPr="00BD1319">
        <w:rPr>
          <w:rFonts w:cs="Arial"/>
          <w:spacing w:val="-3"/>
          <w:lang w:eastAsia="es-CO"/>
        </w:rPr>
        <w:t>que cuentan con permisos de emisiones vigentes</w:t>
      </w:r>
      <w:r w:rsidR="00AC688F" w:rsidRPr="00BD1319">
        <w:rPr>
          <w:rFonts w:cs="Arial"/>
          <w:spacing w:val="-3"/>
          <w:lang w:eastAsia="es-CO"/>
        </w:rPr>
        <w:t xml:space="preserve"> o fuentes de emisión autorizadas</w:t>
      </w:r>
      <w:r w:rsidR="00AD32C2" w:rsidRPr="00BD1319">
        <w:rPr>
          <w:rFonts w:cs="Arial"/>
          <w:spacing w:val="-3"/>
          <w:lang w:eastAsia="es-CO"/>
        </w:rPr>
        <w:t xml:space="preserve">, así como permisos de emisiones otorgados </w:t>
      </w:r>
      <w:r w:rsidR="00AC688F" w:rsidRPr="00BD1319">
        <w:rPr>
          <w:rFonts w:cs="Arial"/>
          <w:spacing w:val="-3"/>
          <w:lang w:eastAsia="es-CO"/>
        </w:rPr>
        <w:t xml:space="preserve">o fuentes emisión autorizadas </w:t>
      </w:r>
      <w:r w:rsidR="00AD32C2" w:rsidRPr="00BD1319">
        <w:rPr>
          <w:rFonts w:cs="Arial"/>
          <w:spacing w:val="-3"/>
          <w:lang w:eastAsia="es-CO"/>
        </w:rPr>
        <w:t xml:space="preserve">por las </w:t>
      </w:r>
      <w:r w:rsidR="008F5EFA" w:rsidRPr="00BD1319">
        <w:rPr>
          <w:rFonts w:cs="Arial"/>
          <w:spacing w:val="-3"/>
          <w:lang w:eastAsia="es-CO"/>
        </w:rPr>
        <w:t>a</w:t>
      </w:r>
      <w:r w:rsidR="00AD32C2" w:rsidRPr="00BD1319">
        <w:rPr>
          <w:rFonts w:cs="Arial"/>
          <w:spacing w:val="-3"/>
          <w:lang w:eastAsia="es-CO"/>
        </w:rPr>
        <w:t xml:space="preserve">utoridades </w:t>
      </w:r>
      <w:r w:rsidR="008F5EFA" w:rsidRPr="00BD1319">
        <w:rPr>
          <w:rFonts w:cs="Arial"/>
          <w:spacing w:val="-3"/>
          <w:lang w:eastAsia="es-CO"/>
        </w:rPr>
        <w:t>a</w:t>
      </w:r>
      <w:r w:rsidR="00AD32C2" w:rsidRPr="00BD1319">
        <w:rPr>
          <w:rFonts w:cs="Arial"/>
          <w:spacing w:val="-3"/>
          <w:lang w:eastAsia="es-CO"/>
        </w:rPr>
        <w:t>mbientales</w:t>
      </w:r>
      <w:r w:rsidR="00AD32C2" w:rsidRPr="00BD1319">
        <w:rPr>
          <w:spacing w:val="-3"/>
        </w:rPr>
        <w:t>.</w:t>
      </w:r>
    </w:p>
    <w:p w14:paraId="032B5DA4" w14:textId="77777777" w:rsidR="00AD32C2" w:rsidRPr="00BD1319" w:rsidRDefault="00AD32C2" w:rsidP="00AD32C2">
      <w:pPr>
        <w:numPr>
          <w:ilvl w:val="12"/>
          <w:numId w:val="0"/>
        </w:numPr>
        <w:tabs>
          <w:tab w:val="left" w:pos="-2268"/>
        </w:tabs>
        <w:suppressAutoHyphens/>
        <w:rPr>
          <w:spacing w:val="-3"/>
        </w:rPr>
      </w:pPr>
    </w:p>
    <w:p w14:paraId="0A07FA6D" w14:textId="02470C46" w:rsidR="00F97C5C" w:rsidRPr="00BD1319" w:rsidRDefault="00D12133" w:rsidP="00AD32C2">
      <w:pPr>
        <w:numPr>
          <w:ilvl w:val="12"/>
          <w:numId w:val="0"/>
        </w:numPr>
        <w:tabs>
          <w:tab w:val="left" w:pos="-2268"/>
        </w:tabs>
        <w:suppressAutoHyphens/>
        <w:rPr>
          <w:spacing w:val="-3"/>
        </w:rPr>
      </w:pPr>
      <w:r w:rsidRPr="00BD1319">
        <w:rPr>
          <w:spacing w:val="-3"/>
        </w:rPr>
        <w:lastRenderedPageBreak/>
        <w:t>Por lo anterior, mediante la consulta de fuentes de información secundaria (entidades del Estado, estudios ambientales de proyectos cercanos, departamentos, municipios, peajes, entre otras), se debe presentar como mínimo la siguiente información</w:t>
      </w:r>
      <w:r w:rsidR="00AD32C2" w:rsidRPr="00BD1319">
        <w:rPr>
          <w:rStyle w:val="Refdenotaalpie"/>
          <w:spacing w:val="-3"/>
          <w:lang w:val="es-CO"/>
        </w:rPr>
        <w:footnoteReference w:id="47"/>
      </w:r>
    </w:p>
    <w:p w14:paraId="5433890B" w14:textId="77777777" w:rsidR="00F97C5C" w:rsidRPr="00BD1319" w:rsidRDefault="00F97C5C">
      <w:pPr>
        <w:numPr>
          <w:ilvl w:val="12"/>
          <w:numId w:val="0"/>
        </w:numPr>
        <w:tabs>
          <w:tab w:val="left" w:pos="-2268"/>
        </w:tabs>
        <w:suppressAutoHyphens/>
        <w:rPr>
          <w:spacing w:val="-3"/>
        </w:rPr>
      </w:pPr>
    </w:p>
    <w:p w14:paraId="581D3EEA" w14:textId="32A8CFCD" w:rsidR="00F97C5C" w:rsidRPr="00BD1319" w:rsidRDefault="0041428E" w:rsidP="00C86DA5">
      <w:pPr>
        <w:numPr>
          <w:ilvl w:val="0"/>
          <w:numId w:val="58"/>
        </w:numPr>
        <w:tabs>
          <w:tab w:val="clear" w:pos="360"/>
        </w:tabs>
        <w:suppressAutoHyphens/>
        <w:ind w:left="567" w:hanging="567"/>
        <w:rPr>
          <w:spacing w:val="-3"/>
        </w:rPr>
      </w:pPr>
      <w:bookmarkStart w:id="2249" w:name="_Hlk73637450"/>
      <w:r w:rsidRPr="00BD1319">
        <w:rPr>
          <w:spacing w:val="-3"/>
        </w:rPr>
        <w:t xml:space="preserve">Determinación </w:t>
      </w:r>
      <w:r w:rsidR="00F97C5C" w:rsidRPr="00BD1319">
        <w:rPr>
          <w:spacing w:val="-3"/>
        </w:rPr>
        <w:t>y georreferencia</w:t>
      </w:r>
      <w:r w:rsidR="00792F7C" w:rsidRPr="00BD1319">
        <w:rPr>
          <w:spacing w:val="-3"/>
        </w:rPr>
        <w:t>ción</w:t>
      </w:r>
      <w:r w:rsidR="00F97C5C" w:rsidRPr="00BD1319">
        <w:rPr>
          <w:spacing w:val="-3"/>
        </w:rPr>
        <w:t xml:space="preserve"> </w:t>
      </w:r>
      <w:r w:rsidR="00D12133" w:rsidRPr="00BD1319">
        <w:rPr>
          <w:spacing w:val="-3"/>
        </w:rPr>
        <w:t xml:space="preserve">de </w:t>
      </w:r>
      <w:r w:rsidR="00F97C5C" w:rsidRPr="00BD1319">
        <w:rPr>
          <w:spacing w:val="-3"/>
        </w:rPr>
        <w:t xml:space="preserve">las fuentes fijas de emisión atmosférica </w:t>
      </w:r>
      <w:r w:rsidR="007326F6" w:rsidRPr="00BD1319">
        <w:rPr>
          <w:spacing w:val="-3"/>
        </w:rPr>
        <w:t xml:space="preserve">dispersas de área y puntuales </w:t>
      </w:r>
      <w:r w:rsidR="00F97C5C" w:rsidRPr="00BD1319">
        <w:rPr>
          <w:spacing w:val="-3"/>
        </w:rPr>
        <w:t>existentes en el área de estudio</w:t>
      </w:r>
      <w:bookmarkEnd w:id="2249"/>
      <w:r w:rsidR="007326F6" w:rsidRPr="00BD1319">
        <w:rPr>
          <w:spacing w:val="-3"/>
        </w:rPr>
        <w:t xml:space="preserve"> del componente, </w:t>
      </w:r>
      <w:r w:rsidR="00F97C5C" w:rsidRPr="00BD1319">
        <w:rPr>
          <w:spacing w:val="-3"/>
        </w:rPr>
        <w:t>señalando el tipo de fuente</w:t>
      </w:r>
      <w:r w:rsidR="00F97C5C" w:rsidRPr="00BD1319">
        <w:rPr>
          <w:rFonts w:cs="Arial"/>
          <w:spacing w:val="-3"/>
        </w:rPr>
        <w:t>, temporalidad</w:t>
      </w:r>
      <w:r w:rsidR="00F97C5C" w:rsidRPr="00BD1319">
        <w:rPr>
          <w:spacing w:val="-3"/>
        </w:rPr>
        <w:t xml:space="preserve"> y la actividad económica asociada.</w:t>
      </w:r>
    </w:p>
    <w:p w14:paraId="750381A1" w14:textId="77777777" w:rsidR="00F97C5C" w:rsidRPr="00BD1319" w:rsidRDefault="00F97C5C">
      <w:pPr>
        <w:suppressAutoHyphens/>
        <w:rPr>
          <w:spacing w:val="-3"/>
        </w:rPr>
      </w:pPr>
    </w:p>
    <w:p w14:paraId="2290E989" w14:textId="3571E3E1" w:rsidR="00F97C5C" w:rsidRPr="00BD1319" w:rsidRDefault="0041428E" w:rsidP="00C86DA5">
      <w:pPr>
        <w:numPr>
          <w:ilvl w:val="0"/>
          <w:numId w:val="58"/>
        </w:numPr>
        <w:tabs>
          <w:tab w:val="clear" w:pos="360"/>
        </w:tabs>
        <w:suppressAutoHyphens/>
        <w:ind w:left="567" w:hanging="567"/>
        <w:rPr>
          <w:spacing w:val="-3"/>
        </w:rPr>
      </w:pPr>
      <w:r w:rsidRPr="00BD1319">
        <w:rPr>
          <w:spacing w:val="-3"/>
        </w:rPr>
        <w:t>Determinación</w:t>
      </w:r>
      <w:r w:rsidR="00F97C5C" w:rsidRPr="00BD1319">
        <w:rPr>
          <w:spacing w:val="-3"/>
        </w:rPr>
        <w:t xml:space="preserve"> y georreferencia</w:t>
      </w:r>
      <w:r w:rsidR="00792F7C" w:rsidRPr="00BD1319">
        <w:rPr>
          <w:spacing w:val="-3"/>
        </w:rPr>
        <w:t>ción de</w:t>
      </w:r>
      <w:r w:rsidR="00F97C5C" w:rsidRPr="00BD1319">
        <w:rPr>
          <w:spacing w:val="-3"/>
        </w:rPr>
        <w:t xml:space="preserve"> los trazados de las fuentes</w:t>
      </w:r>
      <w:r w:rsidR="00F97C5C" w:rsidRPr="00BD1319">
        <w:rPr>
          <w:rFonts w:cs="Arial"/>
          <w:spacing w:val="-3"/>
        </w:rPr>
        <w:t xml:space="preserve"> lineales y</w:t>
      </w:r>
      <w:r w:rsidR="00F97C5C" w:rsidRPr="00BD1319">
        <w:rPr>
          <w:spacing w:val="-3"/>
        </w:rPr>
        <w:t xml:space="preserve"> móviles con sus respectivos aforos</w:t>
      </w:r>
      <w:r w:rsidR="00D12133" w:rsidRPr="00BD1319">
        <w:rPr>
          <w:spacing w:val="-3"/>
        </w:rPr>
        <w:t xml:space="preserve"> (los aforos deben </w:t>
      </w:r>
      <w:r w:rsidR="001A7EFF" w:rsidRPr="00BD1319">
        <w:rPr>
          <w:spacing w:val="-3"/>
        </w:rPr>
        <w:t xml:space="preserve">presentarse sólo cuando puedan ser obtenidos </w:t>
      </w:r>
      <w:r w:rsidR="00D12133" w:rsidRPr="00BD1319">
        <w:rPr>
          <w:spacing w:val="-3"/>
        </w:rPr>
        <w:t>de información secundaria</w:t>
      </w:r>
      <w:r w:rsidR="001A7EFF" w:rsidRPr="00BD1319">
        <w:rPr>
          <w:spacing w:val="-3"/>
        </w:rPr>
        <w:t>)</w:t>
      </w:r>
      <w:r w:rsidR="00F97C5C" w:rsidRPr="00BD1319">
        <w:rPr>
          <w:spacing w:val="-3"/>
        </w:rPr>
        <w:t>.</w:t>
      </w:r>
    </w:p>
    <w:p w14:paraId="2C5C03EA" w14:textId="77777777" w:rsidR="00F97C5C" w:rsidRPr="00BD1319" w:rsidRDefault="00F97C5C">
      <w:pPr>
        <w:suppressAutoHyphens/>
        <w:rPr>
          <w:spacing w:val="-3"/>
        </w:rPr>
      </w:pPr>
    </w:p>
    <w:p w14:paraId="610EE4FF" w14:textId="012526C2" w:rsidR="00F97C5C" w:rsidRPr="00BD1319" w:rsidRDefault="0041428E" w:rsidP="00C86DA5">
      <w:pPr>
        <w:numPr>
          <w:ilvl w:val="0"/>
          <w:numId w:val="58"/>
        </w:numPr>
        <w:tabs>
          <w:tab w:val="clear" w:pos="360"/>
        </w:tabs>
        <w:suppressAutoHyphens/>
        <w:ind w:left="567" w:hanging="567"/>
        <w:rPr>
          <w:spacing w:val="-3"/>
        </w:rPr>
      </w:pPr>
      <w:r w:rsidRPr="00BD1319">
        <w:rPr>
          <w:spacing w:val="-3"/>
        </w:rPr>
        <w:t xml:space="preserve">Determinación </w:t>
      </w:r>
      <w:r w:rsidR="00F97C5C" w:rsidRPr="00BD1319">
        <w:rPr>
          <w:spacing w:val="-3"/>
        </w:rPr>
        <w:t>y georreferencia</w:t>
      </w:r>
      <w:r w:rsidR="00792F7C" w:rsidRPr="00BD1319">
        <w:rPr>
          <w:spacing w:val="-3"/>
        </w:rPr>
        <w:t>ción de</w:t>
      </w:r>
      <w:r w:rsidR="00F97C5C" w:rsidRPr="00BD1319">
        <w:rPr>
          <w:spacing w:val="-3"/>
        </w:rPr>
        <w:t xml:space="preserve"> las fuentes </w:t>
      </w:r>
      <w:r w:rsidR="00BB42D2" w:rsidRPr="00BD1319">
        <w:rPr>
          <w:spacing w:val="-3"/>
        </w:rPr>
        <w:t xml:space="preserve">naturales </w:t>
      </w:r>
      <w:r w:rsidR="00F97C5C" w:rsidRPr="00BD1319">
        <w:rPr>
          <w:spacing w:val="-3"/>
        </w:rPr>
        <w:t>de emisión atmosférica relevantes (volcanes, desiertos, entre otras).</w:t>
      </w:r>
    </w:p>
    <w:p w14:paraId="1374054C" w14:textId="77777777" w:rsidR="00F97C5C" w:rsidRPr="00BD1319" w:rsidRDefault="00F97C5C">
      <w:pPr>
        <w:suppressAutoHyphens/>
        <w:rPr>
          <w:spacing w:val="-3"/>
        </w:rPr>
      </w:pPr>
    </w:p>
    <w:p w14:paraId="64FBF558" w14:textId="55802256" w:rsidR="00F97C5C" w:rsidRPr="00BD1319" w:rsidRDefault="0041428E" w:rsidP="00C86DA5">
      <w:pPr>
        <w:numPr>
          <w:ilvl w:val="0"/>
          <w:numId w:val="59"/>
        </w:numPr>
        <w:tabs>
          <w:tab w:val="left" w:pos="-2268"/>
        </w:tabs>
        <w:suppressAutoHyphens/>
        <w:ind w:left="567" w:hanging="567"/>
        <w:rPr>
          <w:spacing w:val="-3"/>
        </w:rPr>
      </w:pPr>
      <w:r w:rsidRPr="00BD1319">
        <w:rPr>
          <w:spacing w:val="-3"/>
        </w:rPr>
        <w:t xml:space="preserve">Determinación </w:t>
      </w:r>
      <w:r w:rsidR="00F97C5C" w:rsidRPr="00BD1319">
        <w:rPr>
          <w:spacing w:val="-3"/>
        </w:rPr>
        <w:t>y georreferencia</w:t>
      </w:r>
      <w:r w:rsidR="00792F7C" w:rsidRPr="00BD1319">
        <w:rPr>
          <w:spacing w:val="-3"/>
        </w:rPr>
        <w:t>ción de</w:t>
      </w:r>
      <w:r w:rsidR="00F97C5C" w:rsidRPr="00BD1319">
        <w:rPr>
          <w:spacing w:val="-3"/>
        </w:rPr>
        <w:t xml:space="preserve"> los potenciales receptores de interés, ubicados en asentamientos humanos (viviendas, </w:t>
      </w:r>
      <w:r w:rsidR="00F97C5C" w:rsidRPr="00BD1319">
        <w:rPr>
          <w:rFonts w:cs="Arial"/>
          <w:spacing w:val="-3"/>
        </w:rPr>
        <w:t xml:space="preserve">e </w:t>
      </w:r>
      <w:r w:rsidR="00F97C5C" w:rsidRPr="00BD1319">
        <w:rPr>
          <w:spacing w:val="-3"/>
        </w:rPr>
        <w:t xml:space="preserve">infraestructura social, económica, cultural o recreativa), </w:t>
      </w:r>
      <w:r w:rsidR="00F97C5C" w:rsidRPr="00BD1319">
        <w:rPr>
          <w:rFonts w:cs="Arial"/>
          <w:spacing w:val="-3"/>
        </w:rPr>
        <w:t xml:space="preserve">en </w:t>
      </w:r>
      <w:r w:rsidR="00F97C5C" w:rsidRPr="00BD1319">
        <w:rPr>
          <w:spacing w:val="-3"/>
        </w:rPr>
        <w:t xml:space="preserve">zonas agropecuarias y en áreas con elementos naturales susceptibles </w:t>
      </w:r>
      <w:r w:rsidR="00BB42D2" w:rsidRPr="00BD1319">
        <w:rPr>
          <w:spacing w:val="-3"/>
        </w:rPr>
        <w:t>d</w:t>
      </w:r>
      <w:r w:rsidR="00F97C5C" w:rsidRPr="00BD1319">
        <w:rPr>
          <w:spacing w:val="-3"/>
        </w:rPr>
        <w:t xml:space="preserve">el </w:t>
      </w:r>
      <w:r w:rsidR="00F97C5C" w:rsidRPr="00BD1319">
        <w:rPr>
          <w:rFonts w:cs="Arial"/>
          <w:spacing w:val="-3"/>
        </w:rPr>
        <w:t>área</w:t>
      </w:r>
      <w:r w:rsidR="00F97C5C" w:rsidRPr="00BD1319">
        <w:rPr>
          <w:spacing w:val="-3"/>
        </w:rPr>
        <w:t xml:space="preserve"> de </w:t>
      </w:r>
      <w:r w:rsidR="00F97C5C" w:rsidRPr="00BD1319">
        <w:rPr>
          <w:rFonts w:cs="Arial"/>
          <w:spacing w:val="-3"/>
        </w:rPr>
        <w:t>estudio</w:t>
      </w:r>
      <w:r w:rsidR="00F97C5C" w:rsidRPr="00BD1319">
        <w:rPr>
          <w:spacing w:val="-3"/>
        </w:rPr>
        <w:t xml:space="preserve"> del </w:t>
      </w:r>
      <w:r w:rsidR="00BB42D2" w:rsidRPr="00BD1319">
        <w:rPr>
          <w:rFonts w:cs="Arial"/>
          <w:spacing w:val="-3"/>
        </w:rPr>
        <w:t>componente</w:t>
      </w:r>
      <w:r w:rsidR="00F97C5C" w:rsidRPr="00BD1319">
        <w:rPr>
          <w:spacing w:val="-3"/>
        </w:rPr>
        <w:t>.</w:t>
      </w:r>
    </w:p>
    <w:p w14:paraId="31002EC6" w14:textId="77777777" w:rsidR="00F97C5C" w:rsidRPr="00BD1319" w:rsidRDefault="00F97C5C">
      <w:pPr>
        <w:suppressAutoHyphens/>
        <w:rPr>
          <w:spacing w:val="-3"/>
        </w:rPr>
      </w:pPr>
    </w:p>
    <w:p w14:paraId="6F0F3ACB" w14:textId="3D818CAE" w:rsidR="00D16EE9" w:rsidRPr="00BD1319" w:rsidRDefault="00A01691" w:rsidP="00C86DA5">
      <w:pPr>
        <w:suppressAutoHyphens/>
        <w:rPr>
          <w:spacing w:val="-3"/>
        </w:rPr>
      </w:pPr>
      <w:r w:rsidRPr="00BD1319">
        <w:rPr>
          <w:spacing w:val="-3"/>
        </w:rPr>
        <w:t>Si existe un</w:t>
      </w:r>
      <w:r w:rsidR="00F97C5C" w:rsidRPr="00BD1319">
        <w:rPr>
          <w:spacing w:val="-3"/>
        </w:rPr>
        <w:t xml:space="preserve"> inventario </w:t>
      </w:r>
      <w:r w:rsidR="00F97C5C" w:rsidRPr="00BD1319">
        <w:rPr>
          <w:rFonts w:cs="Arial"/>
          <w:spacing w:val="-3"/>
        </w:rPr>
        <w:t>oficial</w:t>
      </w:r>
      <w:r w:rsidR="00F97C5C" w:rsidRPr="00BD1319">
        <w:rPr>
          <w:spacing w:val="-3"/>
        </w:rPr>
        <w:t xml:space="preserve"> de emisiones para </w:t>
      </w:r>
      <w:r w:rsidR="00F97C5C" w:rsidRPr="00BD1319">
        <w:rPr>
          <w:rFonts w:cs="Arial"/>
          <w:spacing w:val="-3"/>
        </w:rPr>
        <w:t xml:space="preserve">el área de estudio del </w:t>
      </w:r>
      <w:r w:rsidR="00BB42D2" w:rsidRPr="00BD1319">
        <w:rPr>
          <w:rFonts w:cs="Arial"/>
          <w:spacing w:val="-3"/>
        </w:rPr>
        <w:t>componente</w:t>
      </w:r>
      <w:r w:rsidR="00F97C5C" w:rsidRPr="00BD1319">
        <w:rPr>
          <w:spacing w:val="-3"/>
        </w:rPr>
        <w:t xml:space="preserve">, </w:t>
      </w:r>
      <w:r w:rsidR="00143271" w:rsidRPr="00BD1319">
        <w:rPr>
          <w:spacing w:val="-3"/>
        </w:rPr>
        <w:t xml:space="preserve">se </w:t>
      </w:r>
      <w:r w:rsidR="00F97C5C" w:rsidRPr="00BD1319">
        <w:rPr>
          <w:spacing w:val="-3"/>
        </w:rPr>
        <w:t xml:space="preserve">debe </w:t>
      </w:r>
      <w:r w:rsidR="00BB42D2" w:rsidRPr="00BD1319">
        <w:rPr>
          <w:spacing w:val="-3"/>
        </w:rPr>
        <w:t xml:space="preserve">suministrar la </w:t>
      </w:r>
      <w:r w:rsidR="00792F7C" w:rsidRPr="00BD1319">
        <w:rPr>
          <w:rFonts w:cs="Arial"/>
          <w:color w:val="000000"/>
          <w:spacing w:val="-3"/>
        </w:rPr>
        <w:t xml:space="preserve">relación y georreferenciación </w:t>
      </w:r>
      <w:r w:rsidR="00F97C5C" w:rsidRPr="00BD1319">
        <w:rPr>
          <w:spacing w:val="-3"/>
        </w:rPr>
        <w:t>de las emisiones por fuente</w:t>
      </w:r>
      <w:r w:rsidR="004E087B" w:rsidRPr="00BD1319">
        <w:rPr>
          <w:spacing w:val="-3"/>
        </w:rPr>
        <w:t xml:space="preserve">, señalando </w:t>
      </w:r>
      <w:r w:rsidR="00F97C5C" w:rsidRPr="00BD1319">
        <w:rPr>
          <w:spacing w:val="-3"/>
        </w:rPr>
        <w:t>los tipos de contaminantes generados.</w:t>
      </w:r>
    </w:p>
    <w:p w14:paraId="364F67EC" w14:textId="77777777" w:rsidR="00F97C5C" w:rsidRPr="00BD1319" w:rsidRDefault="00F97C5C">
      <w:pPr>
        <w:numPr>
          <w:ilvl w:val="12"/>
          <w:numId w:val="0"/>
        </w:numPr>
        <w:tabs>
          <w:tab w:val="left" w:pos="-2268"/>
        </w:tabs>
        <w:suppressAutoHyphens/>
        <w:rPr>
          <w:spacing w:val="-3"/>
        </w:rPr>
      </w:pPr>
    </w:p>
    <w:p w14:paraId="1F528B0C" w14:textId="209A7ED4" w:rsidR="00F97C5C" w:rsidRPr="00BD1319" w:rsidRDefault="00AC688F" w:rsidP="009420F5">
      <w:pPr>
        <w:pStyle w:val="Ttulo4"/>
        <w:tabs>
          <w:tab w:val="clear" w:pos="1844"/>
          <w:tab w:val="num" w:pos="1134"/>
        </w:tabs>
        <w:ind w:left="0"/>
        <w:rPr>
          <w:lang w:val="es-CO"/>
        </w:rPr>
      </w:pPr>
      <w:r w:rsidRPr="00BD1319">
        <w:rPr>
          <w:lang w:val="es-CO"/>
        </w:rPr>
        <w:t>Calidad del aire y m</w:t>
      </w:r>
      <w:r w:rsidR="00F97C5C" w:rsidRPr="00BD1319">
        <w:rPr>
          <w:lang w:val="es-CO"/>
        </w:rPr>
        <w:t>odelización de escenarios (información de inmisión)</w:t>
      </w:r>
    </w:p>
    <w:p w14:paraId="3CAD1BAF" w14:textId="77777777" w:rsidR="00F97C5C" w:rsidRPr="00BD1319" w:rsidRDefault="00F97C5C">
      <w:pPr>
        <w:numPr>
          <w:ilvl w:val="12"/>
          <w:numId w:val="0"/>
        </w:numPr>
        <w:tabs>
          <w:tab w:val="left" w:pos="-2268"/>
        </w:tabs>
        <w:suppressAutoHyphens/>
        <w:rPr>
          <w:spacing w:val="-3"/>
        </w:rPr>
      </w:pPr>
    </w:p>
    <w:p w14:paraId="539A4246" w14:textId="77777777" w:rsidR="000C04A3" w:rsidRPr="00BD1319" w:rsidRDefault="000C04A3" w:rsidP="000C04A3">
      <w:pPr>
        <w:numPr>
          <w:ilvl w:val="12"/>
          <w:numId w:val="0"/>
        </w:numPr>
        <w:tabs>
          <w:tab w:val="left" w:pos="-2268"/>
        </w:tabs>
        <w:suppressAutoHyphens/>
        <w:rPr>
          <w:spacing w:val="-3"/>
        </w:rPr>
      </w:pPr>
      <w:r w:rsidRPr="00BD1319">
        <w:rPr>
          <w:spacing w:val="-3"/>
        </w:rPr>
        <w:t xml:space="preserve">Si existe información secundaria del Subsistema de Información sobre la Calidad de Aire (SISAIRE), de monitoreos de campañas de calidad del aire de conocimiento público de laboratorios acreditados por el </w:t>
      </w:r>
      <w:proofErr w:type="spellStart"/>
      <w:r w:rsidRPr="00BD1319">
        <w:rPr>
          <w:spacing w:val="-3"/>
        </w:rPr>
        <w:t>Ideam</w:t>
      </w:r>
      <w:proofErr w:type="spellEnd"/>
      <w:r w:rsidRPr="00BD1319">
        <w:rPr>
          <w:spacing w:val="-3"/>
        </w:rPr>
        <w:t xml:space="preserve"> o información de inmisión por modelización de entidades de reconocida idoneidad científica nacional o internacional, se debe determinar el estado de la calidad del aire en concentración para gases y material particulado, sobre los receptores identificados para cada alternativa del proyecto. En caso de contar con la anterior información, se debe como mínimo tener en cuenta la información de concentraciones y direcciones de viento, con el fin de correlacionarlas y generar análisis cercano del comportamiento de la dispersión en el </w:t>
      </w:r>
      <w:r w:rsidRPr="00BD1319">
        <w:rPr>
          <w:spacing w:val="-3"/>
        </w:rPr>
        <w:lastRenderedPageBreak/>
        <w:t>área de estudio del componente, se debe allegar la georreferenciación de los puntos de obtención de información de los parámetros evaluados.</w:t>
      </w:r>
    </w:p>
    <w:p w14:paraId="30DAF0F6" w14:textId="77777777" w:rsidR="000C04A3" w:rsidRPr="00BD1319" w:rsidRDefault="000C04A3">
      <w:pPr>
        <w:numPr>
          <w:ilvl w:val="12"/>
          <w:numId w:val="0"/>
        </w:numPr>
        <w:tabs>
          <w:tab w:val="left" w:pos="-2268"/>
        </w:tabs>
        <w:suppressAutoHyphens/>
        <w:rPr>
          <w:spacing w:val="-3"/>
        </w:rPr>
      </w:pPr>
    </w:p>
    <w:p w14:paraId="37F2E7B0" w14:textId="07B085A2" w:rsidR="00EB3F94" w:rsidRPr="00BD1319" w:rsidRDefault="00F97C5C">
      <w:pPr>
        <w:numPr>
          <w:ilvl w:val="12"/>
          <w:numId w:val="0"/>
        </w:numPr>
        <w:tabs>
          <w:tab w:val="left" w:pos="-2268"/>
        </w:tabs>
        <w:suppressAutoHyphens/>
        <w:rPr>
          <w:spacing w:val="-3"/>
        </w:rPr>
      </w:pPr>
      <w:r w:rsidRPr="00BD1319">
        <w:rPr>
          <w:spacing w:val="-3"/>
        </w:rPr>
        <w:t xml:space="preserve">En caso de contar con </w:t>
      </w:r>
      <w:r w:rsidR="00082675" w:rsidRPr="00BD1319">
        <w:rPr>
          <w:spacing w:val="-3"/>
        </w:rPr>
        <w:t xml:space="preserve">una </w:t>
      </w:r>
      <w:r w:rsidRPr="00BD1319">
        <w:rPr>
          <w:spacing w:val="-3"/>
        </w:rPr>
        <w:t xml:space="preserve">cuantificación </w:t>
      </w:r>
      <w:r w:rsidRPr="00BD1319">
        <w:rPr>
          <w:rFonts w:cs="Arial"/>
          <w:spacing w:val="-3"/>
        </w:rPr>
        <w:t>oficial</w:t>
      </w:r>
      <w:r w:rsidRPr="00BD1319">
        <w:rPr>
          <w:spacing w:val="-3"/>
        </w:rPr>
        <w:t xml:space="preserve"> de </w:t>
      </w:r>
      <w:r w:rsidR="00082675" w:rsidRPr="00BD1319">
        <w:rPr>
          <w:spacing w:val="-3"/>
        </w:rPr>
        <w:t xml:space="preserve">las </w:t>
      </w:r>
      <w:r w:rsidRPr="00BD1319">
        <w:rPr>
          <w:spacing w:val="-3"/>
        </w:rPr>
        <w:t xml:space="preserve">emisiones </w:t>
      </w:r>
      <w:r w:rsidRPr="00BD1319">
        <w:rPr>
          <w:rFonts w:cs="Arial"/>
          <w:spacing w:val="-3"/>
        </w:rPr>
        <w:t xml:space="preserve">para el área de estudio del </w:t>
      </w:r>
      <w:r w:rsidR="00082675" w:rsidRPr="00BD1319">
        <w:rPr>
          <w:rFonts w:cs="Arial"/>
          <w:spacing w:val="-3"/>
        </w:rPr>
        <w:t xml:space="preserve">componente </w:t>
      </w:r>
      <w:r w:rsidR="006B2A86" w:rsidRPr="00BD1319">
        <w:rPr>
          <w:rFonts w:cs="Arial"/>
          <w:spacing w:val="-3"/>
        </w:rPr>
        <w:t>y cuando el proyecto</w:t>
      </w:r>
      <w:r w:rsidR="00C00632" w:rsidRPr="00BD1319">
        <w:rPr>
          <w:rFonts w:cs="Arial"/>
          <w:spacing w:val="-3"/>
        </w:rPr>
        <w:t>, obra o actividad pueda</w:t>
      </w:r>
      <w:r w:rsidR="00EB3F94" w:rsidRPr="00BD1319">
        <w:rPr>
          <w:rFonts w:cs="Arial"/>
          <w:spacing w:val="-3"/>
        </w:rPr>
        <w:t xml:space="preserve"> generar</w:t>
      </w:r>
      <w:r w:rsidR="006B2A86" w:rsidRPr="00BD1319">
        <w:rPr>
          <w:rFonts w:cs="Arial"/>
          <w:spacing w:val="-3"/>
        </w:rPr>
        <w:t xml:space="preserve"> un impacto por las fuentes de emisión</w:t>
      </w:r>
      <w:r w:rsidRPr="00BD1319">
        <w:rPr>
          <w:spacing w:val="-3"/>
        </w:rPr>
        <w:t xml:space="preserve">, se debe realizar </w:t>
      </w:r>
      <w:r w:rsidR="00B177B5" w:rsidRPr="00BD1319">
        <w:rPr>
          <w:spacing w:val="-3"/>
        </w:rPr>
        <w:t xml:space="preserve">una </w:t>
      </w:r>
      <w:r w:rsidRPr="00BD1319">
        <w:rPr>
          <w:spacing w:val="-3"/>
        </w:rPr>
        <w:t xml:space="preserve">modelización </w:t>
      </w:r>
      <w:r w:rsidR="006B2A86" w:rsidRPr="00BD1319">
        <w:rPr>
          <w:spacing w:val="-3"/>
        </w:rPr>
        <w:t xml:space="preserve">básica </w:t>
      </w:r>
      <w:r w:rsidRPr="00BD1319">
        <w:rPr>
          <w:spacing w:val="-3"/>
        </w:rPr>
        <w:t xml:space="preserve">de la dispersión de los contaminantes en el área de estudio para cada una de </w:t>
      </w:r>
      <w:r w:rsidR="00EB3F94" w:rsidRPr="00BD1319">
        <w:rPr>
          <w:spacing w:val="-3"/>
        </w:rPr>
        <w:t>sus</w:t>
      </w:r>
      <w:r w:rsidRPr="00BD1319">
        <w:rPr>
          <w:spacing w:val="-3"/>
        </w:rPr>
        <w:t xml:space="preserve"> alternativas </w:t>
      </w:r>
      <w:r w:rsidR="00082675" w:rsidRPr="00BD1319">
        <w:rPr>
          <w:spacing w:val="-3"/>
        </w:rPr>
        <w:t>(por ejemplo mediante modelos de caja o screening)</w:t>
      </w:r>
      <w:r w:rsidRPr="00BD1319">
        <w:rPr>
          <w:spacing w:val="-3"/>
        </w:rPr>
        <w:t xml:space="preserve">, incluyendo los receptores de contaminación </w:t>
      </w:r>
      <w:r w:rsidR="0041428E" w:rsidRPr="00BD1319">
        <w:rPr>
          <w:spacing w:val="-3"/>
        </w:rPr>
        <w:t xml:space="preserve">y las fuentes de emisión identificadas en el numeral </w:t>
      </w:r>
      <w:r w:rsidR="0041428E" w:rsidRPr="00BD1319">
        <w:rPr>
          <w:spacing w:val="-3"/>
        </w:rPr>
        <w:fldChar w:fldCharType="begin"/>
      </w:r>
      <w:r w:rsidR="0041428E" w:rsidRPr="00BD1319">
        <w:rPr>
          <w:spacing w:val="-3"/>
        </w:rPr>
        <w:instrText xml:space="preserve"> REF _Ref75776034 \r \h  \* MERGEFORMAT </w:instrText>
      </w:r>
      <w:r w:rsidR="0041428E" w:rsidRPr="00BD1319">
        <w:rPr>
          <w:spacing w:val="-3"/>
        </w:rPr>
      </w:r>
      <w:r w:rsidR="0041428E" w:rsidRPr="00BD1319">
        <w:rPr>
          <w:spacing w:val="-3"/>
        </w:rPr>
        <w:fldChar w:fldCharType="separate"/>
      </w:r>
      <w:r w:rsidR="00296654" w:rsidRPr="00BD1319">
        <w:rPr>
          <w:spacing w:val="-3"/>
        </w:rPr>
        <w:t>4.1.6.2</w:t>
      </w:r>
      <w:r w:rsidR="0041428E" w:rsidRPr="00BD1319">
        <w:rPr>
          <w:spacing w:val="-3"/>
        </w:rPr>
        <w:fldChar w:fldCharType="end"/>
      </w:r>
      <w:r w:rsidR="0041428E" w:rsidRPr="00BD1319">
        <w:rPr>
          <w:spacing w:val="-3"/>
        </w:rPr>
        <w:t xml:space="preserve"> de este capítulo, así como</w:t>
      </w:r>
      <w:r w:rsidR="006B2A86" w:rsidRPr="00BD1319">
        <w:rPr>
          <w:spacing w:val="-3"/>
        </w:rPr>
        <w:t xml:space="preserve"> la información meteorológica disponible</w:t>
      </w:r>
      <w:r w:rsidRPr="00BD1319">
        <w:rPr>
          <w:spacing w:val="-3"/>
        </w:rPr>
        <w:t>.</w:t>
      </w:r>
      <w:r w:rsidR="00C95163" w:rsidRPr="00BD1319">
        <w:rPr>
          <w:spacing w:val="-3"/>
        </w:rPr>
        <w:t xml:space="preserve"> Este </w:t>
      </w:r>
      <w:r w:rsidR="00EB3F94" w:rsidRPr="00BD1319">
        <w:rPr>
          <w:spacing w:val="-3"/>
        </w:rPr>
        <w:t>modelo d</w:t>
      </w:r>
      <w:r w:rsidR="006B2A86" w:rsidRPr="00BD1319">
        <w:rPr>
          <w:spacing w:val="-3"/>
        </w:rPr>
        <w:t>el</w:t>
      </w:r>
      <w:r w:rsidR="006B2A86" w:rsidRPr="00BD1319" w:rsidDel="006B2A86">
        <w:rPr>
          <w:spacing w:val="-3"/>
        </w:rPr>
        <w:t xml:space="preserve"> </w:t>
      </w:r>
      <w:r w:rsidRPr="00BD1319">
        <w:rPr>
          <w:rFonts w:cs="Arial"/>
          <w:spacing w:val="-3"/>
        </w:rPr>
        <w:t xml:space="preserve">escenario </w:t>
      </w:r>
      <w:r w:rsidR="00B177B5" w:rsidRPr="00BD1319">
        <w:rPr>
          <w:rFonts w:cs="Arial"/>
          <w:spacing w:val="-3"/>
        </w:rPr>
        <w:t>sin proyecto</w:t>
      </w:r>
      <w:r w:rsidR="006B2A86" w:rsidRPr="00BD1319">
        <w:rPr>
          <w:rFonts w:cs="Arial"/>
          <w:spacing w:val="-3"/>
        </w:rPr>
        <w:t xml:space="preserve"> </w:t>
      </w:r>
      <w:r w:rsidR="00C95163" w:rsidRPr="00BD1319">
        <w:rPr>
          <w:spacing w:val="-3"/>
        </w:rPr>
        <w:t xml:space="preserve">debe </w:t>
      </w:r>
      <w:r w:rsidR="00082675" w:rsidRPr="00BD1319">
        <w:rPr>
          <w:spacing w:val="-3"/>
        </w:rPr>
        <w:t>permit</w:t>
      </w:r>
      <w:r w:rsidR="00C95163" w:rsidRPr="00BD1319">
        <w:rPr>
          <w:spacing w:val="-3"/>
        </w:rPr>
        <w:t xml:space="preserve">ir </w:t>
      </w:r>
      <w:r w:rsidR="00082675" w:rsidRPr="00BD1319">
        <w:rPr>
          <w:spacing w:val="-3"/>
        </w:rPr>
        <w:t>representar</w:t>
      </w:r>
      <w:r w:rsidR="006B2A86" w:rsidRPr="00BD1319">
        <w:rPr>
          <w:spacing w:val="-3"/>
        </w:rPr>
        <w:t xml:space="preserve"> de manera preliminar </w:t>
      </w:r>
      <w:r w:rsidRPr="00BD1319">
        <w:rPr>
          <w:spacing w:val="-3"/>
        </w:rPr>
        <w:t>l</w:t>
      </w:r>
      <w:r w:rsidR="00EB3F94" w:rsidRPr="00BD1319">
        <w:rPr>
          <w:spacing w:val="-3"/>
        </w:rPr>
        <w:t xml:space="preserve">as condiciones de línea base de </w:t>
      </w:r>
      <w:r w:rsidR="006B2A86" w:rsidRPr="00BD1319">
        <w:rPr>
          <w:spacing w:val="-3"/>
        </w:rPr>
        <w:t>calidad del aire</w:t>
      </w:r>
      <w:r w:rsidR="00EB3F94" w:rsidRPr="00BD1319">
        <w:rPr>
          <w:spacing w:val="-3"/>
        </w:rPr>
        <w:t>,</w:t>
      </w:r>
      <w:r w:rsidR="00C95163" w:rsidRPr="00BD1319">
        <w:rPr>
          <w:spacing w:val="-3"/>
        </w:rPr>
        <w:t xml:space="preserve"> y ser soportado mediante la presentación de </w:t>
      </w:r>
      <w:r w:rsidR="00F464E8" w:rsidRPr="00BD1319">
        <w:rPr>
          <w:spacing w:val="-3"/>
        </w:rPr>
        <w:t>un</w:t>
      </w:r>
      <w:r w:rsidR="00EB3F94" w:rsidRPr="00BD1319">
        <w:rPr>
          <w:spacing w:val="-3"/>
        </w:rPr>
        <w:t xml:space="preserve"> informe </w:t>
      </w:r>
      <w:r w:rsidR="00A74731" w:rsidRPr="00BD1319">
        <w:rPr>
          <w:spacing w:val="-3"/>
        </w:rPr>
        <w:t>que dé cuenta de la concentración de fondo del área de estudio del componente</w:t>
      </w:r>
      <w:r w:rsidR="00EB3F94" w:rsidRPr="00BD1319">
        <w:rPr>
          <w:spacing w:val="-3"/>
        </w:rPr>
        <w:t>.</w:t>
      </w:r>
    </w:p>
    <w:p w14:paraId="78188A24" w14:textId="3E4EB0D3" w:rsidR="00F97C5C" w:rsidRPr="00BD1319" w:rsidRDefault="00F97C5C">
      <w:pPr>
        <w:numPr>
          <w:ilvl w:val="12"/>
          <w:numId w:val="0"/>
        </w:numPr>
        <w:tabs>
          <w:tab w:val="left" w:pos="-2268"/>
        </w:tabs>
        <w:suppressAutoHyphens/>
        <w:rPr>
          <w:spacing w:val="-3"/>
        </w:rPr>
      </w:pPr>
    </w:p>
    <w:p w14:paraId="4A582E5B" w14:textId="5EE3A3B3" w:rsidR="00F97C5C" w:rsidRPr="00BD1319" w:rsidRDefault="00F97C5C" w:rsidP="009420F5">
      <w:pPr>
        <w:pStyle w:val="Ttulo4"/>
        <w:tabs>
          <w:tab w:val="clear" w:pos="1844"/>
          <w:tab w:val="num" w:pos="1134"/>
        </w:tabs>
        <w:ind w:left="0"/>
        <w:rPr>
          <w:lang w:val="es-CO"/>
        </w:rPr>
      </w:pPr>
      <w:bookmarkStart w:id="2250" w:name="_Toc453749906"/>
      <w:r w:rsidRPr="00BD1319">
        <w:rPr>
          <w:lang w:val="es-CO"/>
        </w:rPr>
        <w:t>Ruido</w:t>
      </w:r>
      <w:bookmarkEnd w:id="2250"/>
    </w:p>
    <w:p w14:paraId="33F7482E" w14:textId="77777777" w:rsidR="00F97C5C" w:rsidRPr="00BD1319" w:rsidRDefault="00F97C5C">
      <w:pPr>
        <w:numPr>
          <w:ilvl w:val="12"/>
          <w:numId w:val="0"/>
        </w:numPr>
        <w:tabs>
          <w:tab w:val="left" w:pos="-2268"/>
        </w:tabs>
        <w:suppressAutoHyphens/>
        <w:rPr>
          <w:spacing w:val="-3"/>
        </w:rPr>
      </w:pPr>
    </w:p>
    <w:p w14:paraId="3098CE80" w14:textId="20F6FD10" w:rsidR="00F97C5C" w:rsidRPr="00BD1319" w:rsidRDefault="00247708">
      <w:pPr>
        <w:numPr>
          <w:ilvl w:val="12"/>
          <w:numId w:val="0"/>
        </w:numPr>
        <w:tabs>
          <w:tab w:val="left" w:pos="-2268"/>
        </w:tabs>
        <w:suppressAutoHyphens/>
        <w:rPr>
          <w:spacing w:val="-3"/>
        </w:rPr>
      </w:pPr>
      <w:r w:rsidRPr="00BD1319">
        <w:rPr>
          <w:spacing w:val="-3"/>
        </w:rPr>
        <w:t xml:space="preserve">La información de caracterización de ruido debe permitir </w:t>
      </w:r>
      <w:r w:rsidR="0041428E" w:rsidRPr="00BD1319">
        <w:rPr>
          <w:spacing w:val="-3"/>
        </w:rPr>
        <w:t xml:space="preserve">determinar </w:t>
      </w:r>
      <w:r w:rsidRPr="00BD1319">
        <w:rPr>
          <w:spacing w:val="-3"/>
        </w:rPr>
        <w:t>e inventariar los aportes de las fuentes existentes y</w:t>
      </w:r>
      <w:r w:rsidRPr="00BD1319">
        <w:rPr>
          <w:rFonts w:cs="Arial"/>
          <w:spacing w:val="-3"/>
        </w:rPr>
        <w:t xml:space="preserve"> elaborar </w:t>
      </w:r>
      <w:r w:rsidRPr="00BD1319">
        <w:rPr>
          <w:spacing w:val="-3"/>
        </w:rPr>
        <w:t>cartografía temática sobre ruido, a partir de la información señalada a continuación</w:t>
      </w:r>
      <w:r w:rsidR="00FB7498" w:rsidRPr="00BD1319">
        <w:rPr>
          <w:spacing w:val="-3"/>
        </w:rPr>
        <w:t>.</w:t>
      </w:r>
    </w:p>
    <w:p w14:paraId="7136CA68" w14:textId="77777777" w:rsidR="00F97C5C" w:rsidRPr="00BD1319" w:rsidRDefault="00F97C5C">
      <w:pPr>
        <w:numPr>
          <w:ilvl w:val="12"/>
          <w:numId w:val="0"/>
        </w:numPr>
        <w:tabs>
          <w:tab w:val="left" w:pos="-2268"/>
        </w:tabs>
        <w:suppressAutoHyphens/>
        <w:rPr>
          <w:spacing w:val="-3"/>
        </w:rPr>
      </w:pPr>
    </w:p>
    <w:p w14:paraId="5DFFE3AD" w14:textId="3E570AE8" w:rsidR="00F97C5C" w:rsidRPr="00BD1319" w:rsidRDefault="00F97C5C" w:rsidP="00C86DA5">
      <w:pPr>
        <w:numPr>
          <w:ilvl w:val="0"/>
          <w:numId w:val="58"/>
        </w:numPr>
        <w:tabs>
          <w:tab w:val="clear" w:pos="360"/>
        </w:tabs>
        <w:suppressAutoHyphens/>
        <w:ind w:left="567" w:hanging="567"/>
        <w:rPr>
          <w:spacing w:val="-3"/>
        </w:rPr>
      </w:pPr>
      <w:r w:rsidRPr="00BD1319">
        <w:rPr>
          <w:spacing w:val="-3"/>
        </w:rPr>
        <w:t>Fuentes de generación de ruido existentes en el área de estudio</w:t>
      </w:r>
      <w:r w:rsidRPr="00BD1319">
        <w:rPr>
          <w:rFonts w:cs="Arial"/>
          <w:spacing w:val="-3"/>
        </w:rPr>
        <w:t xml:space="preserve"> del </w:t>
      </w:r>
      <w:r w:rsidR="00434602" w:rsidRPr="00BD1319">
        <w:rPr>
          <w:rFonts w:cs="Arial"/>
          <w:spacing w:val="-3"/>
        </w:rPr>
        <w:t>componente</w:t>
      </w:r>
      <w:r w:rsidRPr="00BD1319">
        <w:rPr>
          <w:spacing w:val="-3"/>
        </w:rPr>
        <w:t xml:space="preserve">: fijas, de área y </w:t>
      </w:r>
      <w:r w:rsidRPr="00BD1319">
        <w:rPr>
          <w:rFonts w:cs="Arial"/>
          <w:spacing w:val="-3"/>
        </w:rPr>
        <w:t xml:space="preserve">lineales, </w:t>
      </w:r>
      <w:r w:rsidRPr="00BD1319">
        <w:rPr>
          <w:spacing w:val="-3"/>
        </w:rPr>
        <w:t>los trazados de las móviles con sus respectivos aforos</w:t>
      </w:r>
      <w:r w:rsidRPr="00BD1319">
        <w:rPr>
          <w:rFonts w:cs="Arial"/>
          <w:spacing w:val="-3"/>
        </w:rPr>
        <w:t xml:space="preserve"> vehiculares que pudieran existir en el área como información secundaria (peajes, </w:t>
      </w:r>
      <w:r w:rsidR="001C7DCE" w:rsidRPr="00BD1319">
        <w:rPr>
          <w:rFonts w:cs="Arial"/>
          <w:spacing w:val="-3"/>
        </w:rPr>
        <w:t xml:space="preserve">proyectos de </w:t>
      </w:r>
      <w:r w:rsidRPr="00BD1319">
        <w:rPr>
          <w:rFonts w:cs="Arial"/>
          <w:spacing w:val="-3"/>
        </w:rPr>
        <w:t>construcción de vías</w:t>
      </w:r>
      <w:r w:rsidR="001C7DCE" w:rsidRPr="00BD1319">
        <w:rPr>
          <w:rFonts w:cs="Arial"/>
          <w:spacing w:val="-3"/>
        </w:rPr>
        <w:t>, entre otras</w:t>
      </w:r>
      <w:r w:rsidRPr="00BD1319">
        <w:rPr>
          <w:rFonts w:cs="Arial"/>
          <w:spacing w:val="-3"/>
        </w:rPr>
        <w:t xml:space="preserve">), discriminando el periodo (de manera horaria - vehículo/hora, vehículos totales) por periodo de evaluación </w:t>
      </w:r>
      <w:r w:rsidR="00345963" w:rsidRPr="00BD1319">
        <w:rPr>
          <w:rFonts w:cs="Arial"/>
          <w:spacing w:val="-3"/>
        </w:rPr>
        <w:t xml:space="preserve">de acuerdo con </w:t>
      </w:r>
      <w:r w:rsidRPr="00BD1319">
        <w:rPr>
          <w:rFonts w:cs="Arial"/>
          <w:spacing w:val="-3"/>
        </w:rPr>
        <w:t xml:space="preserve">los periodos propuestos por la </w:t>
      </w:r>
      <w:r w:rsidR="007A75CE" w:rsidRPr="00BD1319">
        <w:rPr>
          <w:rFonts w:cs="Arial"/>
          <w:spacing w:val="-3"/>
        </w:rPr>
        <w:t>R</w:t>
      </w:r>
      <w:r w:rsidRPr="00BD1319">
        <w:rPr>
          <w:rFonts w:cs="Arial"/>
          <w:spacing w:val="-3"/>
        </w:rPr>
        <w:t>esolución 627 de 2006 de</w:t>
      </w:r>
      <w:r w:rsidR="007A75CE" w:rsidRPr="00BD1319">
        <w:rPr>
          <w:rFonts w:cs="Arial"/>
          <w:spacing w:val="-3"/>
        </w:rPr>
        <w:t xml:space="preserve"> </w:t>
      </w:r>
      <w:r w:rsidRPr="00BD1319">
        <w:rPr>
          <w:rFonts w:cs="Arial"/>
          <w:spacing w:val="-3"/>
        </w:rPr>
        <w:t>MA</w:t>
      </w:r>
      <w:r w:rsidR="007A75CE" w:rsidRPr="00BD1319">
        <w:rPr>
          <w:rFonts w:cs="Arial"/>
          <w:spacing w:val="-3"/>
        </w:rPr>
        <w:t>V</w:t>
      </w:r>
      <w:r w:rsidRPr="00BD1319">
        <w:rPr>
          <w:rFonts w:cs="Arial"/>
          <w:spacing w:val="-3"/>
        </w:rPr>
        <w:t>D</w:t>
      </w:r>
      <w:r w:rsidR="007A75CE" w:rsidRPr="00BD1319">
        <w:rPr>
          <w:rFonts w:cs="Arial"/>
          <w:spacing w:val="-3"/>
        </w:rPr>
        <w:t>T</w:t>
      </w:r>
      <w:r w:rsidRPr="00BD1319">
        <w:rPr>
          <w:rFonts w:cs="Arial"/>
          <w:spacing w:val="-3"/>
        </w:rPr>
        <w:t xml:space="preserve"> o aquella norma que la modifique o sustituya, el tipo de vehículo (liviano, pesado, moto), velocidad promedio, clasificación de la superficie de rodamiento (vías, rieles)</w:t>
      </w:r>
      <w:r w:rsidR="00434602" w:rsidRPr="00BD1319">
        <w:rPr>
          <w:rFonts w:cs="Arial"/>
          <w:spacing w:val="-3"/>
        </w:rPr>
        <w:t xml:space="preserve"> y</w:t>
      </w:r>
      <w:r w:rsidRPr="00BD1319">
        <w:rPr>
          <w:rFonts w:cs="Arial"/>
          <w:spacing w:val="-3"/>
        </w:rPr>
        <w:t xml:space="preserve"> características de carril (ancho, número, dirección de tránsito, tipo de grava, material balasto, entre otras).</w:t>
      </w:r>
    </w:p>
    <w:p w14:paraId="3CCE5344" w14:textId="77777777" w:rsidR="00F97C5C" w:rsidRPr="00BD1319" w:rsidRDefault="00F97C5C">
      <w:pPr>
        <w:suppressAutoHyphens/>
        <w:rPr>
          <w:spacing w:val="-3"/>
        </w:rPr>
      </w:pPr>
    </w:p>
    <w:p w14:paraId="525D355D" w14:textId="5986484A" w:rsidR="00F97C5C" w:rsidRPr="00BD1319" w:rsidRDefault="00F97C5C" w:rsidP="00C86DA5">
      <w:pPr>
        <w:numPr>
          <w:ilvl w:val="0"/>
          <w:numId w:val="58"/>
        </w:numPr>
        <w:tabs>
          <w:tab w:val="clear" w:pos="360"/>
        </w:tabs>
        <w:suppressAutoHyphens/>
        <w:ind w:left="567" w:hanging="567"/>
        <w:rPr>
          <w:spacing w:val="-3"/>
        </w:rPr>
      </w:pPr>
      <w:r w:rsidRPr="00BD1319">
        <w:rPr>
          <w:spacing w:val="-3"/>
        </w:rPr>
        <w:t>Potenciales receptores de interés en asentamientos humanos (viviendas, infraestructura social, económica, cultural o recreativa), en zonas agropecuarias y en áreas con elementos naturales susceptibles (</w:t>
      </w:r>
      <w:r w:rsidR="00041844" w:rsidRPr="00BD1319">
        <w:rPr>
          <w:spacing w:val="-3"/>
        </w:rPr>
        <w:t>p. ej.</w:t>
      </w:r>
      <w:r w:rsidRPr="00BD1319">
        <w:rPr>
          <w:spacing w:val="-3"/>
        </w:rPr>
        <w:t xml:space="preserve"> AICA</w:t>
      </w:r>
      <w:r w:rsidRPr="00BD1319">
        <w:rPr>
          <w:rFonts w:cs="Arial"/>
          <w:spacing w:val="-3"/>
        </w:rPr>
        <w:t xml:space="preserve">, áreas de importancia para biodiversidad o </w:t>
      </w:r>
      <w:r w:rsidR="001C7DCE" w:rsidRPr="00BD1319">
        <w:rPr>
          <w:rFonts w:cs="Arial"/>
          <w:spacing w:val="-3"/>
        </w:rPr>
        <w:t xml:space="preserve">los </w:t>
      </w:r>
      <w:r w:rsidRPr="00BD1319">
        <w:rPr>
          <w:rFonts w:cs="Arial"/>
          <w:spacing w:val="-3"/>
        </w:rPr>
        <w:t>servicios ecosistémicos</w:t>
      </w:r>
      <w:r w:rsidRPr="00BD1319">
        <w:rPr>
          <w:spacing w:val="-3"/>
        </w:rPr>
        <w:t>), entre otras, en el área de estudio</w:t>
      </w:r>
      <w:r w:rsidRPr="00BD1319">
        <w:rPr>
          <w:rFonts w:cs="Arial"/>
          <w:spacing w:val="-3"/>
        </w:rPr>
        <w:t xml:space="preserve"> del </w:t>
      </w:r>
      <w:r w:rsidR="001C7DCE" w:rsidRPr="00BD1319">
        <w:rPr>
          <w:rFonts w:cs="Arial"/>
          <w:spacing w:val="-3"/>
        </w:rPr>
        <w:t>componente</w:t>
      </w:r>
      <w:r w:rsidRPr="00BD1319">
        <w:rPr>
          <w:spacing w:val="-3"/>
        </w:rPr>
        <w:t>.</w:t>
      </w:r>
    </w:p>
    <w:p w14:paraId="5CD50C92" w14:textId="77777777" w:rsidR="00F97C5C" w:rsidRPr="00BD1319" w:rsidRDefault="00F97C5C" w:rsidP="009420F5">
      <w:pPr>
        <w:rPr>
          <w:spacing w:val="-3"/>
        </w:rPr>
      </w:pPr>
    </w:p>
    <w:p w14:paraId="2E439613" w14:textId="139D4073" w:rsidR="00F97C5C" w:rsidRPr="00BD1319" w:rsidRDefault="00FB7498" w:rsidP="00F97C5C">
      <w:pPr>
        <w:numPr>
          <w:ilvl w:val="0"/>
          <w:numId w:val="58"/>
        </w:numPr>
        <w:tabs>
          <w:tab w:val="clear" w:pos="360"/>
        </w:tabs>
        <w:suppressAutoHyphens/>
        <w:ind w:left="567" w:hanging="567"/>
        <w:rPr>
          <w:rFonts w:cs="Arial"/>
        </w:rPr>
      </w:pPr>
      <w:r w:rsidRPr="00BD1319">
        <w:rPr>
          <w:rFonts w:cs="Arial"/>
          <w:spacing w:val="-3"/>
        </w:rPr>
        <w:lastRenderedPageBreak/>
        <w:t xml:space="preserve">Delimitación de </w:t>
      </w:r>
      <w:r w:rsidR="00F97C5C" w:rsidRPr="00BD1319">
        <w:rPr>
          <w:rFonts w:cs="Arial"/>
          <w:spacing w:val="-3"/>
        </w:rPr>
        <w:t>los usos de suelo, tanto del sitio donde se emplazará el proyecto</w:t>
      </w:r>
      <w:r w:rsidR="00BC6D6A" w:rsidRPr="00BD1319">
        <w:rPr>
          <w:spacing w:val="-3"/>
        </w:rPr>
        <w:t>, obra o actividad</w:t>
      </w:r>
      <w:r w:rsidR="00F97C5C" w:rsidRPr="00BD1319">
        <w:rPr>
          <w:rFonts w:cs="Arial"/>
          <w:spacing w:val="-3"/>
        </w:rPr>
        <w:t xml:space="preserve"> como de los potenciales receptores.</w:t>
      </w:r>
    </w:p>
    <w:p w14:paraId="5DCAE62A" w14:textId="28ED76D5" w:rsidR="00F97C5C" w:rsidRPr="00BD1319" w:rsidRDefault="00F97C5C" w:rsidP="009420F5">
      <w:pPr>
        <w:suppressAutoHyphens/>
        <w:rPr>
          <w:spacing w:val="-3"/>
        </w:rPr>
      </w:pPr>
    </w:p>
    <w:p w14:paraId="4BECB3C5" w14:textId="74B9AE68" w:rsidR="00F97C5C" w:rsidRPr="00BD1319" w:rsidRDefault="00F97C5C" w:rsidP="009420F5">
      <w:pPr>
        <w:pStyle w:val="Ttulo2"/>
        <w:rPr>
          <w:lang w:val="es-CO"/>
        </w:rPr>
      </w:pPr>
      <w:bookmarkStart w:id="2251" w:name="_Toc488244498"/>
      <w:bookmarkStart w:id="2252" w:name="_Toc488247618"/>
      <w:bookmarkStart w:id="2253" w:name="_Toc488248262"/>
      <w:bookmarkStart w:id="2254" w:name="_Toc488248878"/>
      <w:bookmarkStart w:id="2255" w:name="_Toc488249494"/>
      <w:bookmarkStart w:id="2256" w:name="_Toc488329982"/>
      <w:bookmarkStart w:id="2257" w:name="_Toc488386836"/>
      <w:bookmarkStart w:id="2258" w:name="_Toc488402295"/>
      <w:bookmarkStart w:id="2259" w:name="_Toc488403118"/>
      <w:bookmarkStart w:id="2260" w:name="_Toc488403947"/>
      <w:bookmarkStart w:id="2261" w:name="_Toc488404778"/>
      <w:bookmarkStart w:id="2262" w:name="_Toc488405601"/>
      <w:bookmarkStart w:id="2263" w:name="_Toc488406430"/>
      <w:bookmarkStart w:id="2264" w:name="_Toc491409661"/>
      <w:bookmarkStart w:id="2265" w:name="_Toc496018200"/>
      <w:bookmarkStart w:id="2266" w:name="_Toc515787401"/>
      <w:bookmarkStart w:id="2267" w:name="_Toc515789101"/>
      <w:bookmarkStart w:id="2268" w:name="_Toc515789950"/>
      <w:bookmarkStart w:id="2269" w:name="_Toc515790799"/>
      <w:bookmarkStart w:id="2270" w:name="_Toc515791654"/>
      <w:bookmarkStart w:id="2271" w:name="_Toc515792504"/>
      <w:bookmarkStart w:id="2272" w:name="_Toc515793360"/>
      <w:bookmarkStart w:id="2273" w:name="_Toc515794265"/>
      <w:bookmarkStart w:id="2274" w:name="_Toc515796068"/>
      <w:bookmarkStart w:id="2275" w:name="_Toc412803158"/>
      <w:bookmarkStart w:id="2276" w:name="_Toc437935984"/>
      <w:bookmarkStart w:id="2277" w:name="_Toc42552221"/>
      <w:bookmarkStart w:id="2278" w:name="_Toc175326702"/>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r w:rsidRPr="00BD1319">
        <w:rPr>
          <w:lang w:val="es-CO"/>
        </w:rPr>
        <w:t>MEDIO BIÓTICO</w:t>
      </w:r>
      <w:bookmarkEnd w:id="2275"/>
      <w:bookmarkEnd w:id="2276"/>
      <w:bookmarkEnd w:id="2277"/>
      <w:bookmarkEnd w:id="2278"/>
    </w:p>
    <w:p w14:paraId="52B97697" w14:textId="77777777" w:rsidR="00F97C5C" w:rsidRPr="00BD1319" w:rsidRDefault="00F97C5C">
      <w:pPr>
        <w:numPr>
          <w:ilvl w:val="12"/>
          <w:numId w:val="0"/>
        </w:numPr>
        <w:tabs>
          <w:tab w:val="left" w:pos="-2268"/>
        </w:tabs>
        <w:suppressAutoHyphens/>
        <w:rPr>
          <w:spacing w:val="-3"/>
        </w:rPr>
      </w:pPr>
    </w:p>
    <w:p w14:paraId="2733C3BA" w14:textId="244C0C60" w:rsidR="00440C2F" w:rsidRPr="00BD1319" w:rsidRDefault="00440C2F" w:rsidP="3BACB336">
      <w:pPr>
        <w:suppressAutoHyphens/>
        <w:rPr>
          <w:spacing w:val="-3"/>
        </w:rPr>
      </w:pPr>
      <w:r w:rsidRPr="00BD1319">
        <w:rPr>
          <w:spacing w:val="-3"/>
        </w:rPr>
        <w:t>El proceso de obtención, procesamiento y análisis de la información debe ser integral y determinar las características cualitativas y cuantitativas asociadas a la composición y estructura de los ecosistemas presentes en el área de estudio de los componentes del medio biótico.</w:t>
      </w:r>
    </w:p>
    <w:p w14:paraId="250214EA" w14:textId="77777777" w:rsidR="00F97C5C" w:rsidRPr="00BD1319" w:rsidRDefault="00F97C5C">
      <w:pPr>
        <w:numPr>
          <w:ilvl w:val="12"/>
          <w:numId w:val="0"/>
        </w:numPr>
        <w:tabs>
          <w:tab w:val="left" w:pos="-2268"/>
        </w:tabs>
        <w:suppressAutoHyphens/>
        <w:rPr>
          <w:spacing w:val="-3"/>
        </w:rPr>
      </w:pPr>
    </w:p>
    <w:p w14:paraId="5BE9276D" w14:textId="0351684D" w:rsidR="00F97C5C" w:rsidRPr="00BD1319" w:rsidRDefault="00743727" w:rsidP="006B03F7">
      <w:pPr>
        <w:suppressAutoHyphens/>
        <w:rPr>
          <w:spacing w:val="-3"/>
        </w:rPr>
      </w:pPr>
      <w:r w:rsidRPr="00BD1319">
        <w:rPr>
          <w:spacing w:val="-3"/>
        </w:rPr>
        <w:t>E</w:t>
      </w:r>
      <w:r w:rsidR="00F97C5C" w:rsidRPr="00BD1319">
        <w:rPr>
          <w:spacing w:val="-3"/>
        </w:rPr>
        <w:t>n caso de que</w:t>
      </w:r>
      <w:r w:rsidRPr="00BD1319">
        <w:rPr>
          <w:rFonts w:cs="Arial"/>
          <w:spacing w:val="-3"/>
        </w:rPr>
        <w:t xml:space="preserve"> </w:t>
      </w:r>
      <w:r w:rsidR="006B03F7" w:rsidRPr="00BD1319">
        <w:rPr>
          <w:rFonts w:cs="Arial"/>
          <w:spacing w:val="-3"/>
        </w:rPr>
        <w:t>la información disponible d</w:t>
      </w:r>
      <w:r w:rsidR="006B03F7" w:rsidRPr="00BD1319">
        <w:rPr>
          <w:rFonts w:cs="Arial"/>
        </w:rPr>
        <w:t xml:space="preserve">el </w:t>
      </w:r>
      <w:r w:rsidR="006B03F7" w:rsidRPr="00BD1319">
        <w:rPr>
          <w:rFonts w:cs="Arial"/>
          <w:spacing w:val="-3"/>
        </w:rPr>
        <w:t xml:space="preserve">área </w:t>
      </w:r>
      <w:r w:rsidR="006B03F7" w:rsidRPr="00BD1319">
        <w:rPr>
          <w:rFonts w:cs="Arial"/>
        </w:rPr>
        <w:t>de estudio del medio</w:t>
      </w:r>
      <w:r w:rsidR="006B03F7" w:rsidRPr="00BD1319">
        <w:rPr>
          <w:rFonts w:cs="Arial"/>
          <w:spacing w:val="-3"/>
        </w:rPr>
        <w:t xml:space="preserve"> sea </w:t>
      </w:r>
      <w:r w:rsidR="00F97C5C" w:rsidRPr="00BD1319">
        <w:rPr>
          <w:rFonts w:cs="Arial"/>
          <w:spacing w:val="-3"/>
        </w:rPr>
        <w:t>insuficie</w:t>
      </w:r>
      <w:r w:rsidR="006B03F7" w:rsidRPr="00BD1319">
        <w:rPr>
          <w:rFonts w:cs="Arial"/>
          <w:spacing w:val="-3"/>
        </w:rPr>
        <w:t xml:space="preserve">nte </w:t>
      </w:r>
      <w:r w:rsidRPr="00BD1319">
        <w:rPr>
          <w:rFonts w:cs="Arial"/>
          <w:spacing w:val="-3"/>
        </w:rPr>
        <w:t xml:space="preserve">o </w:t>
      </w:r>
      <w:r w:rsidR="006B03F7" w:rsidRPr="00BD1319">
        <w:rPr>
          <w:rFonts w:cs="Arial"/>
          <w:spacing w:val="-3"/>
        </w:rPr>
        <w:t xml:space="preserve">esté </w:t>
      </w:r>
      <w:r w:rsidRPr="00BD1319">
        <w:rPr>
          <w:rFonts w:cs="Arial"/>
          <w:spacing w:val="-3"/>
        </w:rPr>
        <w:t>desactualiza</w:t>
      </w:r>
      <w:r w:rsidR="006B03F7" w:rsidRPr="00BD1319">
        <w:rPr>
          <w:rFonts w:cs="Arial"/>
          <w:spacing w:val="-3"/>
        </w:rPr>
        <w:t xml:space="preserve">da y </w:t>
      </w:r>
      <w:r w:rsidR="006B03F7" w:rsidRPr="00BD1319">
        <w:rPr>
          <w:spacing w:val="-3"/>
        </w:rPr>
        <w:t>sea necesaria la captura y colecta de especímenes de la diversidad biológica</w:t>
      </w:r>
      <w:r w:rsidR="006B03F7" w:rsidRPr="00BD1319">
        <w:rPr>
          <w:rFonts w:cs="Arial"/>
          <w:spacing w:val="-3"/>
        </w:rPr>
        <w:t xml:space="preserve">, es necesario obtener de forma previa </w:t>
      </w:r>
      <w:r w:rsidRPr="00BD1319">
        <w:rPr>
          <w:rFonts w:cs="Arial"/>
          <w:spacing w:val="-3"/>
        </w:rPr>
        <w:t>el</w:t>
      </w:r>
      <w:r w:rsidRPr="00BD1319">
        <w:rPr>
          <w:spacing w:val="-3"/>
        </w:rPr>
        <w:t xml:space="preserve"> permiso de estudio para la recolección de especímenes de especies silvestres con fines de elaboración de estudios ambientales </w:t>
      </w:r>
      <w:r w:rsidR="006B03F7" w:rsidRPr="00BD1319">
        <w:rPr>
          <w:spacing w:val="-3"/>
        </w:rPr>
        <w:t xml:space="preserve">de acuerdo </w:t>
      </w:r>
      <w:r w:rsidRPr="00BD1319">
        <w:rPr>
          <w:spacing w:val="-3"/>
        </w:rPr>
        <w:t xml:space="preserve">con </w:t>
      </w:r>
      <w:r w:rsidR="00F97C5C" w:rsidRPr="00BD1319">
        <w:rPr>
          <w:spacing w:val="-3"/>
        </w:rPr>
        <w:t>lo</w:t>
      </w:r>
      <w:r w:rsidR="006B03F7" w:rsidRPr="00BD1319">
        <w:rPr>
          <w:spacing w:val="-3"/>
        </w:rPr>
        <w:t xml:space="preserve"> </w:t>
      </w:r>
      <w:r w:rsidR="00F97C5C" w:rsidRPr="00BD1319">
        <w:rPr>
          <w:spacing w:val="-3"/>
        </w:rPr>
        <w:t xml:space="preserve">establecido </w:t>
      </w:r>
      <w:r w:rsidRPr="00BD1319">
        <w:rPr>
          <w:spacing w:val="-3"/>
        </w:rPr>
        <w:t xml:space="preserve">en </w:t>
      </w:r>
      <w:r w:rsidR="00F97C5C" w:rsidRPr="00BD1319">
        <w:rPr>
          <w:spacing w:val="-3"/>
        </w:rPr>
        <w:t>la Sección 2, Cap</w:t>
      </w:r>
      <w:r w:rsidR="004A243E" w:rsidRPr="00BD1319">
        <w:rPr>
          <w:spacing w:val="-3"/>
        </w:rPr>
        <w:t>í</w:t>
      </w:r>
      <w:r w:rsidR="00F97C5C" w:rsidRPr="00BD1319">
        <w:rPr>
          <w:spacing w:val="-3"/>
        </w:rPr>
        <w:t>tulo 9, T</w:t>
      </w:r>
      <w:r w:rsidR="002A420C" w:rsidRPr="00BD1319">
        <w:rPr>
          <w:spacing w:val="-3"/>
        </w:rPr>
        <w:t>í</w:t>
      </w:r>
      <w:r w:rsidR="00F97C5C" w:rsidRPr="00BD1319">
        <w:rPr>
          <w:spacing w:val="-3"/>
        </w:rPr>
        <w:t xml:space="preserve">tulo 2, Parte 2, Libro 2 del Decreto 1076 de 2015, o </w:t>
      </w:r>
      <w:r w:rsidR="00F97C5C" w:rsidRPr="00BD1319">
        <w:rPr>
          <w:rFonts w:cs="Arial"/>
          <w:spacing w:val="-3"/>
        </w:rPr>
        <w:t>aquella</w:t>
      </w:r>
      <w:r w:rsidR="00F97C5C" w:rsidRPr="00BD1319">
        <w:rPr>
          <w:spacing w:val="-3"/>
        </w:rPr>
        <w:t xml:space="preserve"> que </w:t>
      </w:r>
      <w:r w:rsidR="00F97C5C" w:rsidRPr="00BD1319">
        <w:rPr>
          <w:rFonts w:cs="Arial"/>
          <w:spacing w:val="-3"/>
        </w:rPr>
        <w:t>la</w:t>
      </w:r>
      <w:r w:rsidR="00F97C5C" w:rsidRPr="00BD1319">
        <w:rPr>
          <w:spacing w:val="-3"/>
        </w:rPr>
        <w:t xml:space="preserve"> modifique</w:t>
      </w:r>
      <w:r w:rsidR="00F97C5C" w:rsidRPr="00BD1319">
        <w:rPr>
          <w:rFonts w:cs="Arial"/>
          <w:spacing w:val="-3"/>
        </w:rPr>
        <w:t xml:space="preserve"> o</w:t>
      </w:r>
      <w:r w:rsidR="00F97C5C" w:rsidRPr="00BD1319">
        <w:rPr>
          <w:spacing w:val="-3"/>
        </w:rPr>
        <w:t xml:space="preserve"> sustituya.</w:t>
      </w:r>
    </w:p>
    <w:p w14:paraId="1A9A794F" w14:textId="77777777" w:rsidR="00F97C5C" w:rsidRPr="00BD1319" w:rsidRDefault="00F97C5C">
      <w:pPr>
        <w:numPr>
          <w:ilvl w:val="12"/>
          <w:numId w:val="0"/>
        </w:numPr>
        <w:tabs>
          <w:tab w:val="left" w:pos="-2268"/>
        </w:tabs>
        <w:suppressAutoHyphens/>
        <w:rPr>
          <w:spacing w:val="-3"/>
        </w:rPr>
      </w:pPr>
    </w:p>
    <w:p w14:paraId="332C9714" w14:textId="35F74AE7" w:rsidR="00F97C5C" w:rsidRPr="00BD1319" w:rsidRDefault="00BF1C80" w:rsidP="2380593C">
      <w:pPr>
        <w:suppressAutoHyphens/>
        <w:rPr>
          <w:spacing w:val="-3"/>
        </w:rPr>
      </w:pPr>
      <w:r w:rsidRPr="00BD1319">
        <w:rPr>
          <w:spacing w:val="-3"/>
        </w:rPr>
        <w:t xml:space="preserve">La </w:t>
      </w:r>
      <w:r w:rsidR="00F97C5C" w:rsidRPr="00BD1319">
        <w:rPr>
          <w:spacing w:val="-3"/>
        </w:rPr>
        <w:t>caracteriza</w:t>
      </w:r>
      <w:r w:rsidRPr="00BD1319">
        <w:rPr>
          <w:spacing w:val="-3"/>
        </w:rPr>
        <w:t xml:space="preserve">ción de </w:t>
      </w:r>
      <w:r w:rsidR="00F97C5C" w:rsidRPr="00BD1319">
        <w:rPr>
          <w:spacing w:val="-3"/>
        </w:rPr>
        <w:t>la flora</w:t>
      </w:r>
      <w:r w:rsidR="005150F8" w:rsidRPr="00BD1319">
        <w:rPr>
          <w:spacing w:val="-3"/>
        </w:rPr>
        <w:t xml:space="preserve"> y </w:t>
      </w:r>
      <w:r w:rsidR="00775281" w:rsidRPr="00BD1319">
        <w:rPr>
          <w:spacing w:val="-3"/>
        </w:rPr>
        <w:t>la</w:t>
      </w:r>
      <w:r w:rsidR="00F97C5C" w:rsidRPr="00BD1319">
        <w:rPr>
          <w:spacing w:val="-3"/>
        </w:rPr>
        <w:t xml:space="preserve"> fauna</w:t>
      </w:r>
      <w:r w:rsidR="005150F8" w:rsidRPr="00BD1319">
        <w:rPr>
          <w:spacing w:val="-3"/>
        </w:rPr>
        <w:t xml:space="preserve"> (</w:t>
      </w:r>
      <w:r w:rsidR="00F97C5C" w:rsidRPr="00BD1319">
        <w:rPr>
          <w:spacing w:val="-3"/>
        </w:rPr>
        <w:t>anfibios, reptiles, aves, mamíferos, peces continentales y marinos e invertebrados marinos</w:t>
      </w:r>
      <w:r w:rsidR="005150F8" w:rsidRPr="00BD1319">
        <w:rPr>
          <w:spacing w:val="-3"/>
        </w:rPr>
        <w:t>)</w:t>
      </w:r>
      <w:r w:rsidRPr="00BD1319">
        <w:rPr>
          <w:spacing w:val="-3"/>
        </w:rPr>
        <w:t xml:space="preserve"> se realiza fundamentalmente mediante información secundaria</w:t>
      </w:r>
      <w:r w:rsidR="00F97C5C" w:rsidRPr="00BD1319">
        <w:rPr>
          <w:spacing w:val="-3"/>
        </w:rPr>
        <w:t xml:space="preserve">, </w:t>
      </w:r>
      <w:r w:rsidR="008C3591" w:rsidRPr="00BD1319">
        <w:rPr>
          <w:spacing w:val="-3"/>
        </w:rPr>
        <w:t xml:space="preserve">consultando </w:t>
      </w:r>
      <w:r w:rsidR="00F97C5C" w:rsidRPr="00BD1319">
        <w:rPr>
          <w:spacing w:val="-3"/>
        </w:rPr>
        <w:t xml:space="preserve">fuentes </w:t>
      </w:r>
      <w:r w:rsidR="004A1CF2" w:rsidRPr="00BD1319">
        <w:t>del ámbito local o regional</w:t>
      </w:r>
      <w:r w:rsidR="004A1CF2" w:rsidRPr="00BD1319">
        <w:rPr>
          <w:spacing w:val="-3"/>
        </w:rPr>
        <w:t xml:space="preserve"> referidas </w:t>
      </w:r>
      <w:r w:rsidR="00F97C5C" w:rsidRPr="00BD1319">
        <w:rPr>
          <w:spacing w:val="-3"/>
        </w:rPr>
        <w:t xml:space="preserve">al área de estudio </w:t>
      </w:r>
      <w:r w:rsidR="00F97C5C" w:rsidRPr="00BD1319">
        <w:rPr>
          <w:rFonts w:cs="Arial"/>
          <w:spacing w:val="-3"/>
        </w:rPr>
        <w:t>del medio biótico</w:t>
      </w:r>
      <w:r w:rsidR="00F97C5C" w:rsidRPr="00BD1319">
        <w:rPr>
          <w:spacing w:val="-3"/>
        </w:rPr>
        <w:t xml:space="preserve"> </w:t>
      </w:r>
      <w:r w:rsidR="008C3591" w:rsidRPr="00BD1319">
        <w:rPr>
          <w:spacing w:val="-3"/>
        </w:rPr>
        <w:t xml:space="preserve">como </w:t>
      </w:r>
      <w:proofErr w:type="spellStart"/>
      <w:r w:rsidR="00F97C5C" w:rsidRPr="00BD1319">
        <w:rPr>
          <w:spacing w:val="-3"/>
        </w:rPr>
        <w:t>SiB</w:t>
      </w:r>
      <w:proofErr w:type="spellEnd"/>
      <w:r w:rsidR="00BF7C89" w:rsidRPr="00BD1319">
        <w:rPr>
          <w:spacing w:val="-3"/>
        </w:rPr>
        <w:t xml:space="preserve"> Colombia</w:t>
      </w:r>
      <w:r w:rsidR="00F97C5C" w:rsidRPr="00BD1319">
        <w:rPr>
          <w:spacing w:val="-3"/>
        </w:rPr>
        <w:t xml:space="preserve">, colecciones en línea de la Universidad Nacional de Colombia, otras colecciones y bases de datos reconocidas, libros, capítulos de libros, artículos científicos y documentos técnicos, </w:t>
      </w:r>
      <w:r w:rsidR="00F97C5C" w:rsidRPr="00BD1319">
        <w:rPr>
          <w:rFonts w:cs="Arial"/>
          <w:spacing w:val="-3"/>
        </w:rPr>
        <w:t>planes</w:t>
      </w:r>
      <w:r w:rsidR="00F97C5C" w:rsidRPr="00BD1319">
        <w:rPr>
          <w:spacing w:val="-3"/>
        </w:rPr>
        <w:t xml:space="preserve"> de manejo de áreas protegidas, Sistema de Información </w:t>
      </w:r>
      <w:r w:rsidR="002C4ACF" w:rsidRPr="00BD1319">
        <w:rPr>
          <w:spacing w:val="-3"/>
        </w:rPr>
        <w:t>de</w:t>
      </w:r>
      <w:r w:rsidR="00F97C5C" w:rsidRPr="00BD1319">
        <w:rPr>
          <w:spacing w:val="-3"/>
        </w:rPr>
        <w:t xml:space="preserve"> Monitoreo de Parques Nacionales Naturales de Colombia </w:t>
      </w:r>
      <w:r w:rsidR="008C3591" w:rsidRPr="00BD1319">
        <w:rPr>
          <w:spacing w:val="-3"/>
        </w:rPr>
        <w:t>(</w:t>
      </w:r>
      <w:r w:rsidR="00F97C5C" w:rsidRPr="00BD1319">
        <w:rPr>
          <w:spacing w:val="-3"/>
        </w:rPr>
        <w:t>SULA).</w:t>
      </w:r>
    </w:p>
    <w:p w14:paraId="50ACA9C4" w14:textId="77777777" w:rsidR="00F97C5C" w:rsidRPr="00BD1319" w:rsidRDefault="00F97C5C">
      <w:pPr>
        <w:numPr>
          <w:ilvl w:val="12"/>
          <w:numId w:val="0"/>
        </w:numPr>
        <w:tabs>
          <w:tab w:val="left" w:pos="-2268"/>
        </w:tabs>
        <w:suppressAutoHyphens/>
        <w:rPr>
          <w:spacing w:val="-3"/>
        </w:rPr>
      </w:pPr>
    </w:p>
    <w:p w14:paraId="0AF99355" w14:textId="2F0B98DC" w:rsidR="00F97C5C" w:rsidRPr="00BD1319" w:rsidRDefault="00D96A7A">
      <w:pPr>
        <w:numPr>
          <w:ilvl w:val="12"/>
          <w:numId w:val="0"/>
        </w:numPr>
        <w:tabs>
          <w:tab w:val="left" w:pos="-2268"/>
        </w:tabs>
        <w:suppressAutoHyphens/>
        <w:rPr>
          <w:spacing w:val="-3"/>
        </w:rPr>
      </w:pPr>
      <w:r w:rsidRPr="00BD1319">
        <w:rPr>
          <w:spacing w:val="-3"/>
        </w:rPr>
        <w:t xml:space="preserve">La identificación de </w:t>
      </w:r>
      <w:r w:rsidR="005479A2" w:rsidRPr="00BD1319">
        <w:rPr>
          <w:spacing w:val="-3"/>
        </w:rPr>
        <w:t xml:space="preserve">las especies </w:t>
      </w:r>
      <w:r w:rsidR="00F97C5C" w:rsidRPr="00BD1319">
        <w:rPr>
          <w:spacing w:val="-3"/>
        </w:rPr>
        <w:t>de flora y fauna</w:t>
      </w:r>
      <w:r w:rsidR="00C53FA2" w:rsidRPr="00BD1319">
        <w:rPr>
          <w:spacing w:val="-3"/>
        </w:rPr>
        <w:t xml:space="preserve"> amenazadas (CR: en peligro crítico; EN: en peligro; VU: vulnerable)</w:t>
      </w:r>
      <w:r w:rsidR="006F4FD7" w:rsidRPr="00BD1319">
        <w:rPr>
          <w:spacing w:val="-3"/>
        </w:rPr>
        <w:t xml:space="preserve"> </w:t>
      </w:r>
      <w:r w:rsidRPr="00BD1319">
        <w:rPr>
          <w:spacing w:val="-3"/>
        </w:rPr>
        <w:t xml:space="preserve">debe realizarse </w:t>
      </w:r>
      <w:r w:rsidR="00F97C5C" w:rsidRPr="00BD1319">
        <w:rPr>
          <w:spacing w:val="-3"/>
        </w:rPr>
        <w:t xml:space="preserve">a partir de la verificación de la </w:t>
      </w:r>
      <w:r w:rsidR="00D143E4" w:rsidRPr="00BD1319">
        <w:rPr>
          <w:spacing w:val="-3"/>
        </w:rPr>
        <w:t>Resolución 0126 de 2024</w:t>
      </w:r>
      <w:r w:rsidR="00F97C5C" w:rsidRPr="00BD1319">
        <w:rPr>
          <w:spacing w:val="-3"/>
        </w:rPr>
        <w:t xml:space="preserve"> o </w:t>
      </w:r>
      <w:r w:rsidR="00F97C5C" w:rsidRPr="00BD1319">
        <w:rPr>
          <w:rFonts w:cs="Arial"/>
          <w:spacing w:val="-3"/>
        </w:rPr>
        <w:t>aquella</w:t>
      </w:r>
      <w:r w:rsidR="00F97C5C" w:rsidRPr="00BD1319">
        <w:rPr>
          <w:spacing w:val="-3"/>
        </w:rPr>
        <w:t xml:space="preserve"> que la modifique</w:t>
      </w:r>
      <w:r w:rsidR="00F97C5C" w:rsidRPr="00BD1319">
        <w:rPr>
          <w:rFonts w:cs="Arial"/>
          <w:spacing w:val="-3"/>
        </w:rPr>
        <w:t xml:space="preserve"> o</w:t>
      </w:r>
      <w:r w:rsidR="00F97C5C" w:rsidRPr="00BD1319">
        <w:rPr>
          <w:spacing w:val="-3"/>
        </w:rPr>
        <w:t xml:space="preserve"> sustituya. Complementariamente</w:t>
      </w:r>
      <w:r w:rsidRPr="00BD1319">
        <w:rPr>
          <w:spacing w:val="-3"/>
        </w:rPr>
        <w:t xml:space="preserve">, </w:t>
      </w:r>
      <w:r w:rsidR="005150F8" w:rsidRPr="00BD1319">
        <w:rPr>
          <w:spacing w:val="-3"/>
        </w:rPr>
        <w:t>est</w:t>
      </w:r>
      <w:r w:rsidRPr="00BD1319">
        <w:rPr>
          <w:spacing w:val="-3"/>
        </w:rPr>
        <w:t xml:space="preserve">a identificación debe realizarse mediante la </w:t>
      </w:r>
      <w:r w:rsidR="00F97C5C" w:rsidRPr="00BD1319">
        <w:rPr>
          <w:spacing w:val="-3"/>
        </w:rPr>
        <w:t>consulta</w:t>
      </w:r>
      <w:r w:rsidRPr="00BD1319">
        <w:rPr>
          <w:spacing w:val="-3"/>
        </w:rPr>
        <w:t xml:space="preserve"> de</w:t>
      </w:r>
      <w:r w:rsidR="00F97C5C" w:rsidRPr="00BD1319">
        <w:rPr>
          <w:spacing w:val="-3"/>
        </w:rPr>
        <w:t xml:space="preserve"> los listados de especies amenazadas de la Unión Internacional para la Conservación de la Naturaleza (UICN) en su versión más actualizada</w:t>
      </w:r>
      <w:r w:rsidRPr="00BD1319">
        <w:rPr>
          <w:rStyle w:val="Refdenotaalpie"/>
          <w:spacing w:val="-3"/>
          <w:lang w:val="es-CO"/>
        </w:rPr>
        <w:footnoteReference w:id="48"/>
      </w:r>
      <w:r w:rsidR="00F97C5C" w:rsidRPr="00BD1319">
        <w:rPr>
          <w:spacing w:val="-3"/>
        </w:rPr>
        <w:t xml:space="preserve">, los libros rojos de Colombia (Calderón et al., 2005; Morales-Betancourt et al., 2015; Rengifo et al., 2002; Rodríguez et al., 2006; Rueda-Almonacid, Amézquita &amp; Lynch, 2004; Mojica et al., 2012; Linares y Uribe, 2002), los apéndices de la Convención sobre el Comercio Internacional de </w:t>
      </w:r>
      <w:r w:rsidR="00F97C5C" w:rsidRPr="00BD1319">
        <w:rPr>
          <w:spacing w:val="-3"/>
        </w:rPr>
        <w:lastRenderedPageBreak/>
        <w:t>Especies de Fauna y Flora Silvestres (CITES), el Convenio para la protección y el desarrollo del medio marino de la región del Gran Caribe, entre otras.</w:t>
      </w:r>
    </w:p>
    <w:p w14:paraId="2395D02A" w14:textId="77777777" w:rsidR="00F97C5C" w:rsidRPr="00BD1319" w:rsidRDefault="00F97C5C">
      <w:pPr>
        <w:numPr>
          <w:ilvl w:val="12"/>
          <w:numId w:val="0"/>
        </w:numPr>
        <w:tabs>
          <w:tab w:val="left" w:pos="-2268"/>
        </w:tabs>
        <w:suppressAutoHyphens/>
        <w:rPr>
          <w:spacing w:val="-3"/>
        </w:rPr>
      </w:pPr>
    </w:p>
    <w:p w14:paraId="455F9C25" w14:textId="4C0C7C13" w:rsidR="00F97C5C" w:rsidRPr="00BD1319" w:rsidRDefault="00F97C5C">
      <w:pPr>
        <w:numPr>
          <w:ilvl w:val="12"/>
          <w:numId w:val="0"/>
        </w:numPr>
        <w:tabs>
          <w:tab w:val="left" w:pos="-2268"/>
        </w:tabs>
        <w:suppressAutoHyphens/>
        <w:rPr>
          <w:spacing w:val="-3"/>
        </w:rPr>
      </w:pPr>
      <w:r w:rsidRPr="00BD1319">
        <w:rPr>
          <w:spacing w:val="-3"/>
        </w:rPr>
        <w:t xml:space="preserve">El grado de detalle de </w:t>
      </w:r>
      <w:r w:rsidR="00AF4FA0" w:rsidRPr="00BD1319">
        <w:rPr>
          <w:spacing w:val="-3"/>
        </w:rPr>
        <w:t xml:space="preserve">la </w:t>
      </w:r>
      <w:r w:rsidR="001A7EFF" w:rsidRPr="00BD1319">
        <w:rPr>
          <w:spacing w:val="-3"/>
        </w:rPr>
        <w:t xml:space="preserve">información </w:t>
      </w:r>
      <w:r w:rsidRPr="00BD1319">
        <w:rPr>
          <w:spacing w:val="-3"/>
        </w:rPr>
        <w:t xml:space="preserve">y su representación </w:t>
      </w:r>
      <w:r w:rsidR="00AF4FA0" w:rsidRPr="00BD1319">
        <w:rPr>
          <w:spacing w:val="-3"/>
        </w:rPr>
        <w:t xml:space="preserve">cartográfica </w:t>
      </w:r>
      <w:r w:rsidRPr="00BD1319">
        <w:rPr>
          <w:spacing w:val="-3"/>
        </w:rPr>
        <w:t xml:space="preserve">debe estar </w:t>
      </w:r>
      <w:r w:rsidR="00EB165D" w:rsidRPr="00BD1319">
        <w:rPr>
          <w:spacing w:val="-3"/>
        </w:rPr>
        <w:t>en consonancia con</w:t>
      </w:r>
      <w:r w:rsidRPr="00BD1319">
        <w:rPr>
          <w:spacing w:val="-3"/>
        </w:rPr>
        <w:t xml:space="preserve"> la caracterización </w:t>
      </w:r>
      <w:r w:rsidR="00AF4FA0" w:rsidRPr="00BD1319">
        <w:rPr>
          <w:spacing w:val="-3"/>
        </w:rPr>
        <w:t>solicitada en los términos de referencia</w:t>
      </w:r>
      <w:r w:rsidRPr="00BD1319">
        <w:rPr>
          <w:spacing w:val="-3"/>
        </w:rPr>
        <w:t>. Su presentación cartográfica debe emplear la escala establecida en los respectivos términos de referencia</w:t>
      </w:r>
      <w:r w:rsidRPr="00BD1319">
        <w:rPr>
          <w:rFonts w:cs="Arial"/>
          <w:spacing w:val="-3"/>
        </w:rPr>
        <w:t xml:space="preserve">, o </w:t>
      </w:r>
      <w:r w:rsidRPr="00BD1319">
        <w:rPr>
          <w:spacing w:val="-3"/>
        </w:rPr>
        <w:t>una más detallada,</w:t>
      </w:r>
      <w:r w:rsidRPr="00BD1319">
        <w:rPr>
          <w:rFonts w:cs="Arial"/>
        </w:rPr>
        <w:t xml:space="preserve"> </w:t>
      </w:r>
      <w:r w:rsidRPr="00BD1319">
        <w:rPr>
          <w:spacing w:val="-3"/>
        </w:rPr>
        <w:t xml:space="preserve">de acuerdo </w:t>
      </w:r>
      <w:r w:rsidRPr="00BD1319">
        <w:rPr>
          <w:rFonts w:cs="Arial"/>
          <w:spacing w:val="-3"/>
        </w:rPr>
        <w:t xml:space="preserve">con las características del </w:t>
      </w:r>
      <w:r w:rsidR="00676DE6" w:rsidRPr="00BD1319">
        <w:rPr>
          <w:rFonts w:cs="Arial"/>
          <w:spacing w:val="-3"/>
        </w:rPr>
        <w:t>proyecto, obra o actividad</w:t>
      </w:r>
      <w:r w:rsidRPr="00BD1319">
        <w:rPr>
          <w:spacing w:val="-3"/>
        </w:rPr>
        <w:t>.</w:t>
      </w:r>
    </w:p>
    <w:p w14:paraId="7FF61CD1" w14:textId="77777777" w:rsidR="00F97C5C" w:rsidRPr="00BD1319" w:rsidRDefault="00F97C5C">
      <w:pPr>
        <w:numPr>
          <w:ilvl w:val="12"/>
          <w:numId w:val="0"/>
        </w:numPr>
        <w:tabs>
          <w:tab w:val="left" w:pos="-2268"/>
        </w:tabs>
        <w:suppressAutoHyphens/>
        <w:rPr>
          <w:spacing w:val="-3"/>
        </w:rPr>
      </w:pPr>
    </w:p>
    <w:p w14:paraId="1FBC74EA" w14:textId="0A75F98D" w:rsidR="00F97C5C" w:rsidRPr="00BD1319" w:rsidRDefault="00F97C5C">
      <w:pPr>
        <w:numPr>
          <w:ilvl w:val="12"/>
          <w:numId w:val="0"/>
        </w:numPr>
        <w:tabs>
          <w:tab w:val="left" w:pos="-2268"/>
        </w:tabs>
        <w:suppressAutoHyphens/>
        <w:rPr>
          <w:spacing w:val="-3"/>
        </w:rPr>
      </w:pPr>
      <w:r w:rsidRPr="00BD1319">
        <w:rPr>
          <w:rFonts w:cs="Arial"/>
          <w:spacing w:val="-3"/>
        </w:rPr>
        <w:t xml:space="preserve">A continuación, se establece el contenido </w:t>
      </w:r>
      <w:r w:rsidR="00465FC7" w:rsidRPr="00BD1319">
        <w:rPr>
          <w:rFonts w:cs="Arial"/>
          <w:spacing w:val="-3"/>
        </w:rPr>
        <w:t>de la</w:t>
      </w:r>
      <w:r w:rsidR="00465FC7" w:rsidRPr="00BD1319">
        <w:rPr>
          <w:spacing w:val="-3"/>
        </w:rPr>
        <w:t xml:space="preserve"> caracterización </w:t>
      </w:r>
      <w:r w:rsidR="00465FC7" w:rsidRPr="00BD1319">
        <w:rPr>
          <w:rFonts w:cs="Arial"/>
          <w:spacing w:val="-3"/>
        </w:rPr>
        <w:t xml:space="preserve">de los componentes del área de estudio </w:t>
      </w:r>
      <w:r w:rsidR="00465FC7" w:rsidRPr="00BD1319">
        <w:rPr>
          <w:spacing w:val="-3"/>
        </w:rPr>
        <w:t xml:space="preserve">del medio biótico, así como </w:t>
      </w:r>
      <w:r w:rsidR="00465FC7" w:rsidRPr="00BD1319">
        <w:rPr>
          <w:rFonts w:cs="Arial"/>
          <w:spacing w:val="-3"/>
        </w:rPr>
        <w:t xml:space="preserve">los </w:t>
      </w:r>
      <w:r w:rsidRPr="00BD1319">
        <w:rPr>
          <w:rFonts w:cs="Arial"/>
          <w:spacing w:val="-3"/>
        </w:rPr>
        <w:t xml:space="preserve">lineamientos generales </w:t>
      </w:r>
      <w:r w:rsidR="00465FC7" w:rsidRPr="00BD1319">
        <w:rPr>
          <w:rFonts w:cs="Arial"/>
          <w:spacing w:val="-3"/>
        </w:rPr>
        <w:t>para desarrollarla</w:t>
      </w:r>
      <w:r w:rsidR="00C53FA2" w:rsidRPr="00BD1319">
        <w:rPr>
          <w:spacing w:val="-3"/>
        </w:rPr>
        <w:t>.</w:t>
      </w:r>
    </w:p>
    <w:p w14:paraId="1BDDF992" w14:textId="77777777" w:rsidR="00F97C5C" w:rsidRPr="00BD1319" w:rsidRDefault="00F97C5C">
      <w:pPr>
        <w:numPr>
          <w:ilvl w:val="12"/>
          <w:numId w:val="0"/>
        </w:numPr>
        <w:tabs>
          <w:tab w:val="left" w:pos="-2268"/>
        </w:tabs>
        <w:suppressAutoHyphens/>
        <w:rPr>
          <w:spacing w:val="-3"/>
        </w:rPr>
      </w:pPr>
    </w:p>
    <w:p w14:paraId="2DBC113C" w14:textId="32C292D7" w:rsidR="00F97C5C" w:rsidRPr="00BD1319" w:rsidRDefault="00F97C5C" w:rsidP="00216955">
      <w:pPr>
        <w:pStyle w:val="Ttulo3"/>
      </w:pPr>
      <w:bookmarkStart w:id="2279" w:name="_Toc412803159"/>
      <w:bookmarkStart w:id="2280" w:name="_Toc437935985"/>
      <w:bookmarkStart w:id="2281" w:name="_Toc42552222"/>
      <w:bookmarkStart w:id="2282" w:name="_Toc175326703"/>
      <w:r w:rsidRPr="00BD1319">
        <w:t>Ecosistemas</w:t>
      </w:r>
      <w:bookmarkEnd w:id="2279"/>
      <w:bookmarkEnd w:id="2280"/>
      <w:bookmarkEnd w:id="2281"/>
      <w:r w:rsidR="000A164F" w:rsidRPr="00BD1319">
        <w:t xml:space="preserve"> terrestres</w:t>
      </w:r>
      <w:bookmarkEnd w:id="2282"/>
    </w:p>
    <w:p w14:paraId="22EDF14E" w14:textId="77777777" w:rsidR="00F97C5C" w:rsidRPr="00BD1319" w:rsidRDefault="00F97C5C">
      <w:pPr>
        <w:numPr>
          <w:ilvl w:val="12"/>
          <w:numId w:val="0"/>
        </w:numPr>
        <w:tabs>
          <w:tab w:val="left" w:pos="-2268"/>
        </w:tabs>
        <w:suppressAutoHyphens/>
        <w:rPr>
          <w:spacing w:val="-3"/>
        </w:rPr>
      </w:pPr>
    </w:p>
    <w:p w14:paraId="6EE6A2AE" w14:textId="22CE8557" w:rsidR="0004503C" w:rsidRPr="00BD1319" w:rsidRDefault="0004503C">
      <w:pPr>
        <w:numPr>
          <w:ilvl w:val="12"/>
          <w:numId w:val="0"/>
        </w:numPr>
        <w:tabs>
          <w:tab w:val="left" w:pos="-2268"/>
        </w:tabs>
        <w:suppressAutoHyphens/>
        <w:rPr>
          <w:spacing w:val="-3"/>
        </w:rPr>
      </w:pPr>
      <w:r w:rsidRPr="00BD1319">
        <w:rPr>
          <w:spacing w:val="-3"/>
        </w:rPr>
        <w:t>Para caracterizar los ecosistemas terrestres es necesario identificar qué ecosistemas del Mapa de Ecosistemas Continentales, Costeros y Marinos de Colombia, Versión 2.1, escala 1:100.000 (2017) (</w:t>
      </w:r>
      <w:proofErr w:type="spellStart"/>
      <w:r w:rsidRPr="00BD1319">
        <w:rPr>
          <w:spacing w:val="-3"/>
        </w:rPr>
        <w:t>Ideam</w:t>
      </w:r>
      <w:proofErr w:type="spellEnd"/>
      <w:r w:rsidRPr="00BD1319">
        <w:rPr>
          <w:spacing w:val="-3"/>
        </w:rPr>
        <w:t xml:space="preserve"> et al., 2017), o de sus versiones posteriores, se localizan en el área de estudio del componente; luego de ello, se deben describir las características principales de dichos ecosistemas a partir de fuentes de información secundaria o de información primaria en caso de que la información no esté disponible o se encuentre desactualizada.</w:t>
      </w:r>
    </w:p>
    <w:p w14:paraId="7DC8D00F" w14:textId="77777777" w:rsidR="00F97C5C" w:rsidRPr="00BD1319" w:rsidRDefault="00F97C5C">
      <w:pPr>
        <w:numPr>
          <w:ilvl w:val="12"/>
          <w:numId w:val="0"/>
        </w:numPr>
        <w:tabs>
          <w:tab w:val="left" w:pos="-2268"/>
        </w:tabs>
        <w:suppressAutoHyphens/>
        <w:rPr>
          <w:spacing w:val="-3"/>
        </w:rPr>
      </w:pPr>
    </w:p>
    <w:p w14:paraId="11DE45CA" w14:textId="4C798DB0" w:rsidR="00F97C5C" w:rsidRPr="00BD1319" w:rsidRDefault="00254001">
      <w:pPr>
        <w:numPr>
          <w:ilvl w:val="12"/>
          <w:numId w:val="0"/>
        </w:numPr>
        <w:tabs>
          <w:tab w:val="left" w:pos="-2268"/>
        </w:tabs>
        <w:suppressAutoHyphens/>
        <w:rPr>
          <w:spacing w:val="-3"/>
        </w:rPr>
      </w:pPr>
      <w:r w:rsidRPr="00BD1319">
        <w:rPr>
          <w:rFonts w:cs="Arial"/>
          <w:spacing w:val="-3"/>
        </w:rPr>
        <w:t>La e</w:t>
      </w:r>
      <w:r w:rsidR="00806EFA" w:rsidRPr="00BD1319">
        <w:rPr>
          <w:rFonts w:cs="Arial"/>
          <w:spacing w:val="-3"/>
        </w:rPr>
        <w:t>labora</w:t>
      </w:r>
      <w:r w:rsidRPr="00BD1319">
        <w:rPr>
          <w:rFonts w:cs="Arial"/>
          <w:spacing w:val="-3"/>
        </w:rPr>
        <w:t>ción d</w:t>
      </w:r>
      <w:r w:rsidR="00806EFA" w:rsidRPr="00BD1319">
        <w:rPr>
          <w:rFonts w:cs="Arial"/>
          <w:spacing w:val="-3"/>
        </w:rPr>
        <w:t xml:space="preserve">el mapa de </w:t>
      </w:r>
      <w:r w:rsidRPr="00BD1319">
        <w:rPr>
          <w:rFonts w:cs="Arial"/>
          <w:spacing w:val="-3"/>
        </w:rPr>
        <w:t xml:space="preserve">las </w:t>
      </w:r>
      <w:r w:rsidR="00806EFA" w:rsidRPr="00BD1319">
        <w:rPr>
          <w:rFonts w:cs="Arial"/>
          <w:spacing w:val="-3"/>
        </w:rPr>
        <w:t xml:space="preserve">coberturas de la tierra </w:t>
      </w:r>
      <w:r w:rsidR="00EA20D4" w:rsidRPr="00BD1319">
        <w:rPr>
          <w:spacing w:val="-3"/>
        </w:rPr>
        <w:t xml:space="preserve">asociadas a cada ecosistema </w:t>
      </w:r>
      <w:r w:rsidRPr="00BD1319">
        <w:rPr>
          <w:spacing w:val="-3"/>
        </w:rPr>
        <w:t xml:space="preserve">debe realizarse de acuerdo con </w:t>
      </w:r>
      <w:r w:rsidR="00EA20D4" w:rsidRPr="00BD1319">
        <w:rPr>
          <w:spacing w:val="-3"/>
        </w:rPr>
        <w:t xml:space="preserve">la metodología Corine </w:t>
      </w:r>
      <w:proofErr w:type="spellStart"/>
      <w:r w:rsidR="00EA20D4" w:rsidRPr="00BD1319">
        <w:rPr>
          <w:spacing w:val="-3"/>
        </w:rPr>
        <w:t>Land</w:t>
      </w:r>
      <w:proofErr w:type="spellEnd"/>
      <w:r w:rsidR="00EA20D4" w:rsidRPr="00BD1319">
        <w:rPr>
          <w:spacing w:val="-3"/>
        </w:rPr>
        <w:t xml:space="preserve"> </w:t>
      </w:r>
      <w:proofErr w:type="spellStart"/>
      <w:r w:rsidR="00EA20D4" w:rsidRPr="00BD1319">
        <w:rPr>
          <w:spacing w:val="-3"/>
        </w:rPr>
        <w:t>Cover</w:t>
      </w:r>
      <w:proofErr w:type="spellEnd"/>
      <w:r w:rsidR="00EA20D4" w:rsidRPr="00BD1319">
        <w:rPr>
          <w:spacing w:val="-3"/>
        </w:rPr>
        <w:t xml:space="preserve"> adaptada para Colombia (</w:t>
      </w:r>
      <w:proofErr w:type="spellStart"/>
      <w:r w:rsidR="00EA20D4" w:rsidRPr="00BD1319">
        <w:rPr>
          <w:spacing w:val="-3"/>
        </w:rPr>
        <w:t>Ideam</w:t>
      </w:r>
      <w:proofErr w:type="spellEnd"/>
      <w:r w:rsidR="00EA20D4" w:rsidRPr="00BD1319">
        <w:rPr>
          <w:spacing w:val="-3"/>
        </w:rPr>
        <w:t>, 2010) o versiones oficiales posteriores,</w:t>
      </w:r>
      <w:r w:rsidR="00EA20D4" w:rsidRPr="00BD1319">
        <w:rPr>
          <w:rFonts w:cs="Arial"/>
          <w:spacing w:val="-3"/>
        </w:rPr>
        <w:t xml:space="preserve"> </w:t>
      </w:r>
      <w:r w:rsidR="00806EFA" w:rsidRPr="00BD1319">
        <w:rPr>
          <w:rFonts w:cs="Arial"/>
          <w:spacing w:val="-3"/>
        </w:rPr>
        <w:t xml:space="preserve">a partir de insumos provenientes de sensores remotos como imágenes de satélite, imágenes de radar y ortofotos </w:t>
      </w:r>
      <w:r w:rsidR="00EA20D4" w:rsidRPr="00BD1319">
        <w:rPr>
          <w:rFonts w:cs="Arial"/>
          <w:spacing w:val="-3"/>
        </w:rPr>
        <w:t xml:space="preserve">que estén </w:t>
      </w:r>
      <w:r w:rsidR="00806EFA" w:rsidRPr="00BD1319">
        <w:rPr>
          <w:rFonts w:cs="Arial"/>
          <w:spacing w:val="-3"/>
        </w:rPr>
        <w:t xml:space="preserve">disponibles para el área de estudio </w:t>
      </w:r>
      <w:r w:rsidR="00EA20D4" w:rsidRPr="00BD1319">
        <w:rPr>
          <w:rFonts w:cs="Arial"/>
          <w:spacing w:val="-3"/>
        </w:rPr>
        <w:t xml:space="preserve">y cuya </w:t>
      </w:r>
      <w:r w:rsidRPr="00BD1319">
        <w:rPr>
          <w:rFonts w:cs="Arial"/>
          <w:spacing w:val="-3"/>
        </w:rPr>
        <w:t xml:space="preserve">antigüedad </w:t>
      </w:r>
      <w:r w:rsidR="00806EFA" w:rsidRPr="00BD1319">
        <w:rPr>
          <w:rFonts w:cs="Arial"/>
          <w:spacing w:val="-3"/>
        </w:rPr>
        <w:t xml:space="preserve">no </w:t>
      </w:r>
      <w:r w:rsidR="00EA20D4" w:rsidRPr="00BD1319">
        <w:rPr>
          <w:rFonts w:cs="Arial"/>
          <w:spacing w:val="-3"/>
        </w:rPr>
        <w:t xml:space="preserve">sea </w:t>
      </w:r>
      <w:r w:rsidR="00806EFA" w:rsidRPr="00BD1319">
        <w:rPr>
          <w:rFonts w:cs="Arial"/>
          <w:spacing w:val="-3"/>
        </w:rPr>
        <w:t>mayor a 3 años</w:t>
      </w:r>
      <w:r w:rsidR="00F97C5C" w:rsidRPr="00BD1319">
        <w:rPr>
          <w:spacing w:val="-3"/>
        </w:rPr>
        <w:t>.</w:t>
      </w:r>
      <w:r w:rsidR="00EB28B0" w:rsidRPr="00BD1319">
        <w:rPr>
          <w:spacing w:val="-3"/>
        </w:rPr>
        <w:t xml:space="preserve"> </w:t>
      </w:r>
      <w:r w:rsidRPr="00BD1319">
        <w:rPr>
          <w:spacing w:val="-3"/>
        </w:rPr>
        <w:t>E</w:t>
      </w:r>
      <w:r w:rsidR="005362FC" w:rsidRPr="00BD1319">
        <w:rPr>
          <w:spacing w:val="-3"/>
        </w:rPr>
        <w:t xml:space="preserve">n </w:t>
      </w:r>
      <w:r w:rsidRPr="00BD1319">
        <w:rPr>
          <w:spacing w:val="-3"/>
        </w:rPr>
        <w:t xml:space="preserve">el </w:t>
      </w:r>
      <w:r w:rsidR="00EB28B0" w:rsidRPr="00BD1319">
        <w:rPr>
          <w:spacing w:val="-3"/>
        </w:rPr>
        <w:t>mapa</w:t>
      </w:r>
      <w:r w:rsidRPr="00BD1319">
        <w:rPr>
          <w:spacing w:val="-3"/>
        </w:rPr>
        <w:t>,</w:t>
      </w:r>
      <w:r w:rsidR="00EB28B0" w:rsidRPr="00BD1319">
        <w:rPr>
          <w:spacing w:val="-3"/>
        </w:rPr>
        <w:t xml:space="preserve"> se debe</w:t>
      </w:r>
      <w:r w:rsidRPr="00BD1319">
        <w:rPr>
          <w:spacing w:val="-3"/>
        </w:rPr>
        <w:t>n</w:t>
      </w:r>
      <w:r w:rsidR="005362FC" w:rsidRPr="00BD1319">
        <w:rPr>
          <w:spacing w:val="-3"/>
        </w:rPr>
        <w:t xml:space="preserve"> </w:t>
      </w:r>
      <w:r w:rsidR="00EB28B0" w:rsidRPr="00BD1319">
        <w:rPr>
          <w:spacing w:val="-3"/>
        </w:rPr>
        <w:t>localiza</w:t>
      </w:r>
      <w:r w:rsidRPr="00BD1319">
        <w:rPr>
          <w:spacing w:val="-3"/>
        </w:rPr>
        <w:t>r</w:t>
      </w:r>
      <w:r w:rsidR="00EB28B0" w:rsidRPr="00BD1319">
        <w:rPr>
          <w:spacing w:val="-3"/>
        </w:rPr>
        <w:t xml:space="preserve"> </w:t>
      </w:r>
      <w:r w:rsidRPr="00BD1319">
        <w:rPr>
          <w:spacing w:val="-3"/>
        </w:rPr>
        <w:t xml:space="preserve">tanto </w:t>
      </w:r>
      <w:r w:rsidR="00EB28B0" w:rsidRPr="00BD1319">
        <w:rPr>
          <w:spacing w:val="-3"/>
        </w:rPr>
        <w:t>los puntos a los cuales hace referencia la información secundaria</w:t>
      </w:r>
      <w:r w:rsidRPr="00BD1319">
        <w:rPr>
          <w:spacing w:val="-3"/>
        </w:rPr>
        <w:t>, como los puntos de muestreo en los cuales se obtuvo la información primaria sobre flora y fauna</w:t>
      </w:r>
      <w:r w:rsidR="00EB28B0" w:rsidRPr="00BD1319">
        <w:rPr>
          <w:spacing w:val="-3"/>
        </w:rPr>
        <w:t>.</w:t>
      </w:r>
    </w:p>
    <w:p w14:paraId="17281819" w14:textId="77777777" w:rsidR="00F97C5C" w:rsidRPr="00BD1319" w:rsidRDefault="00F97C5C">
      <w:pPr>
        <w:numPr>
          <w:ilvl w:val="12"/>
          <w:numId w:val="0"/>
        </w:numPr>
        <w:tabs>
          <w:tab w:val="left" w:pos="-2268"/>
        </w:tabs>
        <w:suppressAutoHyphens/>
        <w:rPr>
          <w:spacing w:val="-3"/>
        </w:rPr>
      </w:pPr>
    </w:p>
    <w:p w14:paraId="78313605" w14:textId="18C595C3" w:rsidR="00F97C5C" w:rsidRPr="00BD1319" w:rsidRDefault="00F97C5C" w:rsidP="00F97C5C">
      <w:pPr>
        <w:numPr>
          <w:ilvl w:val="12"/>
          <w:numId w:val="0"/>
        </w:numPr>
        <w:tabs>
          <w:tab w:val="left" w:pos="-2268"/>
        </w:tabs>
        <w:suppressAutoHyphens/>
        <w:rPr>
          <w:rFonts w:cs="Arial"/>
          <w:spacing w:val="-3"/>
        </w:rPr>
      </w:pPr>
      <w:r w:rsidRPr="00BD1319">
        <w:rPr>
          <w:rFonts w:cs="Arial"/>
          <w:spacing w:val="-3"/>
        </w:rPr>
        <w:t xml:space="preserve">Presentar la información cartográfica </w:t>
      </w:r>
      <w:r w:rsidR="0045086C" w:rsidRPr="00BD1319">
        <w:rPr>
          <w:rFonts w:cs="Arial"/>
          <w:spacing w:val="-3"/>
        </w:rPr>
        <w:t xml:space="preserve">de ecosistemas y coberturas de la tierra </w:t>
      </w:r>
      <w:r w:rsidRPr="00BD1319">
        <w:rPr>
          <w:rFonts w:cs="Arial"/>
          <w:spacing w:val="-3"/>
        </w:rPr>
        <w:t xml:space="preserve">resultante </w:t>
      </w:r>
      <w:r w:rsidR="0045086C" w:rsidRPr="00BD1319">
        <w:rPr>
          <w:rFonts w:cs="Arial"/>
          <w:spacing w:val="-3"/>
        </w:rPr>
        <w:t>con</w:t>
      </w:r>
      <w:r w:rsidRPr="00BD1319">
        <w:rPr>
          <w:rFonts w:cs="Arial"/>
          <w:spacing w:val="-3"/>
        </w:rPr>
        <w:t xml:space="preserve"> la escala que establezcan los términos de referencia o </w:t>
      </w:r>
      <w:r w:rsidR="0045086C" w:rsidRPr="00BD1319">
        <w:rPr>
          <w:rFonts w:cs="Arial"/>
          <w:spacing w:val="-3"/>
        </w:rPr>
        <w:t xml:space="preserve">con una </w:t>
      </w:r>
      <w:r w:rsidRPr="00BD1319">
        <w:rPr>
          <w:rFonts w:cs="Arial"/>
          <w:spacing w:val="-3"/>
        </w:rPr>
        <w:t>más detallada, en caso de ser necesario.</w:t>
      </w:r>
    </w:p>
    <w:p w14:paraId="12F24DD6" w14:textId="77777777" w:rsidR="00F97C5C" w:rsidRPr="00BD1319" w:rsidRDefault="00F97C5C" w:rsidP="00F97C5C">
      <w:pPr>
        <w:numPr>
          <w:ilvl w:val="12"/>
          <w:numId w:val="0"/>
        </w:numPr>
        <w:tabs>
          <w:tab w:val="left" w:pos="-2268"/>
        </w:tabs>
        <w:suppressAutoHyphens/>
        <w:rPr>
          <w:rFonts w:cs="Arial"/>
          <w:spacing w:val="-3"/>
        </w:rPr>
      </w:pPr>
    </w:p>
    <w:p w14:paraId="74A0D37F" w14:textId="77777777" w:rsidR="00F97C5C" w:rsidRPr="00BD1319" w:rsidRDefault="00F97C5C" w:rsidP="009420F5">
      <w:pPr>
        <w:pStyle w:val="Ttulo4"/>
        <w:tabs>
          <w:tab w:val="clear" w:pos="1844"/>
          <w:tab w:val="num" w:pos="1134"/>
        </w:tabs>
        <w:ind w:left="0"/>
        <w:rPr>
          <w:lang w:val="es-CO"/>
        </w:rPr>
      </w:pPr>
      <w:r w:rsidRPr="00BD1319">
        <w:rPr>
          <w:lang w:val="es-CO"/>
        </w:rPr>
        <w:t>Flora</w:t>
      </w:r>
    </w:p>
    <w:p w14:paraId="58DE9749" w14:textId="77777777" w:rsidR="00F97C5C" w:rsidRPr="00BD1319" w:rsidRDefault="00F97C5C">
      <w:pPr>
        <w:numPr>
          <w:ilvl w:val="12"/>
          <w:numId w:val="0"/>
        </w:numPr>
        <w:tabs>
          <w:tab w:val="left" w:pos="-2268"/>
        </w:tabs>
        <w:suppressAutoHyphens/>
        <w:rPr>
          <w:spacing w:val="-3"/>
        </w:rPr>
      </w:pPr>
    </w:p>
    <w:p w14:paraId="6E5EB7F0" w14:textId="09FA127C" w:rsidR="00F97C5C" w:rsidRPr="00BD1319" w:rsidRDefault="00AC2488">
      <w:pPr>
        <w:numPr>
          <w:ilvl w:val="12"/>
          <w:numId w:val="0"/>
        </w:numPr>
        <w:tabs>
          <w:tab w:val="left" w:pos="-2268"/>
        </w:tabs>
        <w:suppressAutoHyphens/>
        <w:rPr>
          <w:spacing w:val="-3"/>
        </w:rPr>
      </w:pPr>
      <w:r w:rsidRPr="00BD1319">
        <w:rPr>
          <w:spacing w:val="-3"/>
        </w:rPr>
        <w:lastRenderedPageBreak/>
        <w:t>La c</w:t>
      </w:r>
      <w:r w:rsidR="00F97C5C" w:rsidRPr="00BD1319">
        <w:rPr>
          <w:spacing w:val="-3"/>
        </w:rPr>
        <w:t>aracteriza</w:t>
      </w:r>
      <w:r w:rsidRPr="00BD1319">
        <w:rPr>
          <w:spacing w:val="-3"/>
        </w:rPr>
        <w:t xml:space="preserve">ción de </w:t>
      </w:r>
      <w:r w:rsidR="001C0921" w:rsidRPr="00BD1319">
        <w:rPr>
          <w:spacing w:val="-3"/>
        </w:rPr>
        <w:t xml:space="preserve">la flora se debe realizar para cada una de </w:t>
      </w:r>
      <w:r w:rsidR="00F97C5C" w:rsidRPr="00BD1319">
        <w:rPr>
          <w:spacing w:val="-3"/>
        </w:rPr>
        <w:t>las unidades de cobertura vegetal</w:t>
      </w:r>
      <w:r w:rsidR="00F97C5C" w:rsidRPr="00BD1319">
        <w:rPr>
          <w:rFonts w:cs="Arial"/>
          <w:spacing w:val="-3"/>
        </w:rPr>
        <w:t xml:space="preserve"> </w:t>
      </w:r>
      <w:r w:rsidR="00F97C5C" w:rsidRPr="00BD1319">
        <w:rPr>
          <w:spacing w:val="-3"/>
        </w:rPr>
        <w:t xml:space="preserve">mediante </w:t>
      </w:r>
      <w:r w:rsidR="00171517" w:rsidRPr="00BD1319">
        <w:rPr>
          <w:spacing w:val="-3"/>
        </w:rPr>
        <w:t xml:space="preserve">las </w:t>
      </w:r>
      <w:r w:rsidR="00F97C5C" w:rsidRPr="00BD1319">
        <w:rPr>
          <w:spacing w:val="-3"/>
        </w:rPr>
        <w:t>siguiente</w:t>
      </w:r>
      <w:r w:rsidR="00171517" w:rsidRPr="00BD1319">
        <w:rPr>
          <w:spacing w:val="-3"/>
        </w:rPr>
        <w:t>s</w:t>
      </w:r>
      <w:r w:rsidR="00F97C5C" w:rsidRPr="00BD1319">
        <w:rPr>
          <w:spacing w:val="-3"/>
        </w:rPr>
        <w:t xml:space="preserve"> </w:t>
      </w:r>
      <w:r w:rsidR="00171517" w:rsidRPr="00BD1319">
        <w:rPr>
          <w:spacing w:val="-3"/>
        </w:rPr>
        <w:t>actividades</w:t>
      </w:r>
      <w:r w:rsidR="00F97C5C" w:rsidRPr="00BD1319">
        <w:rPr>
          <w:spacing w:val="-3"/>
        </w:rPr>
        <w:t>:</w:t>
      </w:r>
    </w:p>
    <w:p w14:paraId="42C36C05" w14:textId="77777777" w:rsidR="00F97C5C" w:rsidRPr="00BD1319" w:rsidRDefault="00F97C5C">
      <w:pPr>
        <w:numPr>
          <w:ilvl w:val="12"/>
          <w:numId w:val="0"/>
        </w:numPr>
        <w:tabs>
          <w:tab w:val="left" w:pos="-2268"/>
        </w:tabs>
        <w:suppressAutoHyphens/>
        <w:rPr>
          <w:spacing w:val="-3"/>
        </w:rPr>
      </w:pPr>
    </w:p>
    <w:p w14:paraId="5E13E324" w14:textId="59A3E09C" w:rsidR="00F97C5C" w:rsidRPr="00BD1319" w:rsidRDefault="009E4AF4" w:rsidP="00C86DA5">
      <w:pPr>
        <w:numPr>
          <w:ilvl w:val="0"/>
          <w:numId w:val="60"/>
        </w:numPr>
        <w:tabs>
          <w:tab w:val="clear" w:pos="360"/>
          <w:tab w:val="left" w:pos="-2268"/>
          <w:tab w:val="num" w:pos="567"/>
        </w:tabs>
        <w:suppressAutoHyphens/>
        <w:ind w:left="567" w:hanging="567"/>
        <w:rPr>
          <w:spacing w:val="-3"/>
        </w:rPr>
      </w:pPr>
      <w:r w:rsidRPr="00BD1319">
        <w:rPr>
          <w:spacing w:val="-3"/>
        </w:rPr>
        <w:t xml:space="preserve">Determinación </w:t>
      </w:r>
      <w:r w:rsidR="00171517" w:rsidRPr="00BD1319">
        <w:rPr>
          <w:spacing w:val="-3"/>
        </w:rPr>
        <w:t>de la c</w:t>
      </w:r>
      <w:r w:rsidR="00F97C5C" w:rsidRPr="00BD1319">
        <w:rPr>
          <w:spacing w:val="-3"/>
        </w:rPr>
        <w:t>omposición florística</w:t>
      </w:r>
      <w:r w:rsidR="006056C6" w:rsidRPr="00BD1319">
        <w:rPr>
          <w:spacing w:val="-3"/>
        </w:rPr>
        <w:t xml:space="preserve"> y de las</w:t>
      </w:r>
      <w:r w:rsidR="00F97C5C" w:rsidRPr="00BD1319">
        <w:rPr>
          <w:rFonts w:cs="Arial"/>
          <w:spacing w:val="-3"/>
        </w:rPr>
        <w:t xml:space="preserve"> estructura</w:t>
      </w:r>
      <w:r w:rsidR="006056C6" w:rsidRPr="00BD1319">
        <w:rPr>
          <w:rFonts w:cs="Arial"/>
          <w:spacing w:val="-3"/>
        </w:rPr>
        <w:t>s</w:t>
      </w:r>
      <w:r w:rsidR="00F97C5C" w:rsidRPr="00BD1319">
        <w:rPr>
          <w:rFonts w:cs="Arial"/>
          <w:spacing w:val="-3"/>
        </w:rPr>
        <w:t xml:space="preserve"> horizontal y vertical</w:t>
      </w:r>
      <w:r w:rsidR="00F97C5C" w:rsidRPr="00BD1319">
        <w:rPr>
          <w:spacing w:val="-3"/>
        </w:rPr>
        <w:t xml:space="preserve"> de las unidades de cobertura </w:t>
      </w:r>
      <w:r w:rsidR="00F97C5C" w:rsidRPr="00BD1319">
        <w:rPr>
          <w:rFonts w:cs="Arial"/>
          <w:spacing w:val="-3"/>
        </w:rPr>
        <w:t xml:space="preserve">vegetal </w:t>
      </w:r>
      <w:r w:rsidR="006056C6" w:rsidRPr="00BD1319">
        <w:rPr>
          <w:spacing w:val="-3"/>
        </w:rPr>
        <w:t>objeto de caracterización</w:t>
      </w:r>
      <w:r w:rsidR="00F97C5C" w:rsidRPr="00BD1319">
        <w:rPr>
          <w:spacing w:val="-3"/>
        </w:rPr>
        <w:t>.</w:t>
      </w:r>
    </w:p>
    <w:p w14:paraId="3D2FFF93" w14:textId="77777777" w:rsidR="008F1A66" w:rsidRPr="00BD1319" w:rsidRDefault="008F1A66" w:rsidP="00C86DA5">
      <w:pPr>
        <w:tabs>
          <w:tab w:val="left" w:pos="-2268"/>
        </w:tabs>
        <w:suppressAutoHyphens/>
        <w:rPr>
          <w:spacing w:val="-3"/>
        </w:rPr>
      </w:pPr>
    </w:p>
    <w:p w14:paraId="3BFDC86D" w14:textId="7EEC9809" w:rsidR="00F97C5C" w:rsidRPr="00BD1319" w:rsidRDefault="00BE2313" w:rsidP="00C86DA5">
      <w:pPr>
        <w:numPr>
          <w:ilvl w:val="0"/>
          <w:numId w:val="60"/>
        </w:numPr>
        <w:tabs>
          <w:tab w:val="clear" w:pos="360"/>
          <w:tab w:val="left" w:pos="-2268"/>
          <w:tab w:val="num" w:pos="567"/>
        </w:tabs>
        <w:suppressAutoHyphens/>
        <w:ind w:left="567" w:hanging="567"/>
        <w:rPr>
          <w:spacing w:val="-3"/>
        </w:rPr>
      </w:pPr>
      <w:r w:rsidRPr="00BD1319">
        <w:rPr>
          <w:spacing w:val="-3"/>
        </w:rPr>
        <w:t>Clasificación</w:t>
      </w:r>
      <w:r w:rsidR="009E4AF4" w:rsidRPr="00BD1319">
        <w:rPr>
          <w:spacing w:val="-3"/>
        </w:rPr>
        <w:t xml:space="preserve"> </w:t>
      </w:r>
      <w:r w:rsidR="00F97C5C" w:rsidRPr="00BD1319">
        <w:rPr>
          <w:spacing w:val="-3"/>
        </w:rPr>
        <w:t xml:space="preserve">de especies </w:t>
      </w:r>
      <w:r w:rsidR="006056C6" w:rsidRPr="00BD1319">
        <w:rPr>
          <w:spacing w:val="-3"/>
        </w:rPr>
        <w:t xml:space="preserve">mediante </w:t>
      </w:r>
      <w:r w:rsidR="004400A5" w:rsidRPr="00BD1319">
        <w:rPr>
          <w:spacing w:val="-3"/>
        </w:rPr>
        <w:t>parámetros que valor</w:t>
      </w:r>
      <w:r w:rsidR="006056C6" w:rsidRPr="00BD1319">
        <w:rPr>
          <w:spacing w:val="-3"/>
        </w:rPr>
        <w:t>e</w:t>
      </w:r>
      <w:r w:rsidR="004400A5" w:rsidRPr="00BD1319">
        <w:rPr>
          <w:spacing w:val="-3"/>
        </w:rPr>
        <w:t xml:space="preserve">n el </w:t>
      </w:r>
      <w:r w:rsidR="00F97C5C" w:rsidRPr="00BD1319">
        <w:rPr>
          <w:spacing w:val="-3"/>
        </w:rPr>
        <w:t xml:space="preserve">interés </w:t>
      </w:r>
      <w:r w:rsidR="004400A5" w:rsidRPr="00BD1319">
        <w:rPr>
          <w:spacing w:val="-3"/>
        </w:rPr>
        <w:t xml:space="preserve">público </w:t>
      </w:r>
      <w:r w:rsidR="00F97C5C" w:rsidRPr="00BD1319">
        <w:rPr>
          <w:rFonts w:cs="Arial"/>
          <w:spacing w:val="-3"/>
        </w:rPr>
        <w:t>dad</w:t>
      </w:r>
      <w:r w:rsidR="004400A5" w:rsidRPr="00BD1319">
        <w:rPr>
          <w:rFonts w:cs="Arial"/>
          <w:spacing w:val="-3"/>
        </w:rPr>
        <w:t>o</w:t>
      </w:r>
      <w:r w:rsidR="00F97C5C" w:rsidRPr="00BD1319">
        <w:rPr>
          <w:spacing w:val="-3"/>
        </w:rPr>
        <w:t xml:space="preserve"> su </w:t>
      </w:r>
      <w:r w:rsidR="004400A5" w:rsidRPr="00BD1319">
        <w:rPr>
          <w:spacing w:val="-3"/>
        </w:rPr>
        <w:t>estado de conservación</w:t>
      </w:r>
      <w:r w:rsidR="00F97C5C" w:rsidRPr="00BD1319">
        <w:rPr>
          <w:rFonts w:cs="Arial"/>
          <w:spacing w:val="-3"/>
        </w:rPr>
        <w:t>, veda nacional o regional</w:t>
      </w:r>
      <w:r w:rsidR="004400A5" w:rsidRPr="00BD1319">
        <w:rPr>
          <w:rFonts w:cs="Arial"/>
          <w:spacing w:val="-3"/>
        </w:rPr>
        <w:t>, vulnerabilidad</w:t>
      </w:r>
      <w:r w:rsidR="00F97C5C" w:rsidRPr="00BD1319">
        <w:rPr>
          <w:rFonts w:cs="Arial"/>
          <w:spacing w:val="-3"/>
        </w:rPr>
        <w:t xml:space="preserve"> y</w:t>
      </w:r>
      <w:r w:rsidR="00F97C5C" w:rsidRPr="00BD1319">
        <w:rPr>
          <w:spacing w:val="-3"/>
        </w:rPr>
        <w:t xml:space="preserve"> </w:t>
      </w:r>
      <w:r w:rsidR="00F97C5C" w:rsidRPr="00BD1319">
        <w:rPr>
          <w:rFonts w:cs="Arial"/>
          <w:spacing w:val="-3"/>
        </w:rPr>
        <w:t>tipo</w:t>
      </w:r>
      <w:r w:rsidR="00F97C5C" w:rsidRPr="00BD1319">
        <w:rPr>
          <w:spacing w:val="-3"/>
        </w:rPr>
        <w:t xml:space="preserve"> de distribución</w:t>
      </w:r>
      <w:r w:rsidR="00F97C5C" w:rsidRPr="00BD1319">
        <w:rPr>
          <w:rFonts w:cs="Arial"/>
          <w:spacing w:val="-3"/>
        </w:rPr>
        <w:t xml:space="preserve"> geográfica (endemismos).</w:t>
      </w:r>
    </w:p>
    <w:p w14:paraId="5B93C346" w14:textId="77777777" w:rsidR="00F97C5C" w:rsidRPr="00BD1319" w:rsidRDefault="00F97C5C">
      <w:pPr>
        <w:numPr>
          <w:ilvl w:val="12"/>
          <w:numId w:val="0"/>
        </w:numPr>
        <w:tabs>
          <w:tab w:val="left" w:pos="-2268"/>
        </w:tabs>
        <w:suppressAutoHyphens/>
        <w:rPr>
          <w:spacing w:val="-3"/>
        </w:rPr>
      </w:pPr>
    </w:p>
    <w:p w14:paraId="4EB72CC5" w14:textId="6C8CA1E4" w:rsidR="00F97C5C" w:rsidRPr="00BD1319" w:rsidRDefault="00F97C5C" w:rsidP="009420F5">
      <w:pPr>
        <w:pStyle w:val="Ttulo4"/>
        <w:tabs>
          <w:tab w:val="clear" w:pos="1844"/>
          <w:tab w:val="num" w:pos="1134"/>
        </w:tabs>
        <w:ind w:left="0"/>
        <w:rPr>
          <w:lang w:val="es-CO"/>
        </w:rPr>
      </w:pPr>
      <w:r w:rsidRPr="00BD1319">
        <w:rPr>
          <w:lang w:val="es-CO"/>
        </w:rPr>
        <w:t>Fauna</w:t>
      </w:r>
    </w:p>
    <w:p w14:paraId="643D6153" w14:textId="77777777" w:rsidR="00F97C5C" w:rsidRPr="00BD1319" w:rsidRDefault="00F97C5C" w:rsidP="00F97C5C">
      <w:pPr>
        <w:numPr>
          <w:ilvl w:val="12"/>
          <w:numId w:val="0"/>
        </w:numPr>
        <w:tabs>
          <w:tab w:val="left" w:pos="-2268"/>
        </w:tabs>
        <w:suppressAutoHyphens/>
        <w:rPr>
          <w:rFonts w:cs="Arial"/>
          <w:spacing w:val="-3"/>
        </w:rPr>
      </w:pPr>
    </w:p>
    <w:p w14:paraId="760E04A6" w14:textId="4DFD70D4" w:rsidR="00F97C5C" w:rsidRPr="00BD1319" w:rsidRDefault="002B5305" w:rsidP="00F97C5C">
      <w:pPr>
        <w:numPr>
          <w:ilvl w:val="12"/>
          <w:numId w:val="0"/>
        </w:numPr>
        <w:tabs>
          <w:tab w:val="left" w:pos="-2268"/>
        </w:tabs>
        <w:suppressAutoHyphens/>
        <w:rPr>
          <w:rFonts w:cs="Arial"/>
          <w:spacing w:val="-3"/>
        </w:rPr>
      </w:pPr>
      <w:r w:rsidRPr="00BD1319">
        <w:rPr>
          <w:rFonts w:cs="Arial"/>
          <w:spacing w:val="-3"/>
        </w:rPr>
        <w:t xml:space="preserve">La </w:t>
      </w:r>
      <w:r w:rsidRPr="00BD1319">
        <w:rPr>
          <w:spacing w:val="-3"/>
        </w:rPr>
        <w:t>c</w:t>
      </w:r>
      <w:r w:rsidR="00B33BC6" w:rsidRPr="00BD1319">
        <w:rPr>
          <w:spacing w:val="-3"/>
        </w:rPr>
        <w:t>aracteriza</w:t>
      </w:r>
      <w:r w:rsidRPr="00BD1319">
        <w:rPr>
          <w:spacing w:val="-3"/>
        </w:rPr>
        <w:t xml:space="preserve">ción de la fauna debe referirse </w:t>
      </w:r>
      <w:r w:rsidR="00F97C5C" w:rsidRPr="00BD1319">
        <w:rPr>
          <w:spacing w:val="-3"/>
        </w:rPr>
        <w:t xml:space="preserve">como mínimo </w:t>
      </w:r>
      <w:r w:rsidRPr="00BD1319">
        <w:rPr>
          <w:spacing w:val="-3"/>
        </w:rPr>
        <w:t xml:space="preserve">a </w:t>
      </w:r>
      <w:r w:rsidR="00F97C5C" w:rsidRPr="00BD1319">
        <w:rPr>
          <w:spacing w:val="-3"/>
        </w:rPr>
        <w:t>anfibios, reptiles, aves</w:t>
      </w:r>
      <w:r w:rsidR="00F97C5C" w:rsidRPr="00BD1319">
        <w:rPr>
          <w:rFonts w:cs="Arial"/>
          <w:spacing w:val="-3"/>
        </w:rPr>
        <w:t xml:space="preserve">, mamíferos y peces, </w:t>
      </w:r>
      <w:r w:rsidRPr="00BD1319">
        <w:rPr>
          <w:rFonts w:cs="Arial"/>
          <w:spacing w:val="-3"/>
        </w:rPr>
        <w:t>y efectuar la determinación</w:t>
      </w:r>
      <w:r w:rsidR="00F97C5C" w:rsidRPr="00BD1319">
        <w:rPr>
          <w:rFonts w:cs="Arial"/>
          <w:spacing w:val="-3"/>
        </w:rPr>
        <w:t xml:space="preserve"> taxonómica hasta el nivel sistemático más preciso</w:t>
      </w:r>
      <w:r w:rsidR="00B33BC6" w:rsidRPr="00BD1319">
        <w:rPr>
          <w:rFonts w:cs="Arial"/>
          <w:spacing w:val="-3"/>
        </w:rPr>
        <w:t xml:space="preserve"> de acuerdo con información disponible</w:t>
      </w:r>
      <w:r w:rsidRPr="00BD1319">
        <w:rPr>
          <w:rFonts w:cs="Arial"/>
          <w:spacing w:val="-3"/>
        </w:rPr>
        <w:t xml:space="preserve"> que esté actualizada</w:t>
      </w:r>
      <w:r w:rsidR="00B33BC6" w:rsidRPr="00BD1319">
        <w:rPr>
          <w:rFonts w:cs="Arial"/>
          <w:spacing w:val="-3"/>
        </w:rPr>
        <w:t>. Tener en cuenta la toponimia de la región</w:t>
      </w:r>
      <w:r w:rsidR="00F97C5C" w:rsidRPr="00BD1319">
        <w:rPr>
          <w:rFonts w:cs="Arial"/>
          <w:spacing w:val="-3"/>
        </w:rPr>
        <w:t>.</w:t>
      </w:r>
    </w:p>
    <w:p w14:paraId="12D53CC2" w14:textId="77777777" w:rsidR="00F97C5C" w:rsidRPr="00BD1319" w:rsidRDefault="00F97C5C">
      <w:pPr>
        <w:numPr>
          <w:ilvl w:val="12"/>
          <w:numId w:val="0"/>
        </w:numPr>
        <w:tabs>
          <w:tab w:val="left" w:pos="-2268"/>
        </w:tabs>
        <w:suppressAutoHyphens/>
        <w:rPr>
          <w:spacing w:val="-3"/>
        </w:rPr>
      </w:pPr>
    </w:p>
    <w:p w14:paraId="6D75FCDF" w14:textId="77777777" w:rsidR="002B5305" w:rsidRPr="00BD1319" w:rsidRDefault="002B5305" w:rsidP="002B5305">
      <w:pPr>
        <w:numPr>
          <w:ilvl w:val="12"/>
          <w:numId w:val="0"/>
        </w:numPr>
        <w:tabs>
          <w:tab w:val="left" w:pos="-2268"/>
        </w:tabs>
        <w:suppressAutoHyphens/>
        <w:rPr>
          <w:rFonts w:cs="Arial"/>
          <w:spacing w:val="-3"/>
        </w:rPr>
      </w:pPr>
      <w:r w:rsidRPr="00BD1319">
        <w:rPr>
          <w:rFonts w:cs="Arial"/>
          <w:spacing w:val="-3"/>
        </w:rPr>
        <w:t>Establecer cuál es la fauna asociada a las diferentes unidades de cobertura de la tierra delimitadas.</w:t>
      </w:r>
    </w:p>
    <w:p w14:paraId="7CB2F919" w14:textId="77777777" w:rsidR="002B5305" w:rsidRPr="00BD1319" w:rsidRDefault="002B5305">
      <w:pPr>
        <w:numPr>
          <w:ilvl w:val="12"/>
          <w:numId w:val="0"/>
        </w:numPr>
        <w:tabs>
          <w:tab w:val="left" w:pos="-2268"/>
        </w:tabs>
        <w:suppressAutoHyphens/>
        <w:rPr>
          <w:spacing w:val="-3"/>
        </w:rPr>
      </w:pPr>
    </w:p>
    <w:p w14:paraId="6490F5A4" w14:textId="5BC0128B" w:rsidR="00F97C5C" w:rsidRPr="00BD1319" w:rsidRDefault="00B45DE0" w:rsidP="008A4FE9">
      <w:pPr>
        <w:numPr>
          <w:ilvl w:val="12"/>
          <w:numId w:val="0"/>
        </w:numPr>
        <w:tabs>
          <w:tab w:val="left" w:pos="-2268"/>
        </w:tabs>
        <w:suppressAutoHyphens/>
        <w:rPr>
          <w:rFonts w:cs="Arial"/>
          <w:spacing w:val="-3"/>
        </w:rPr>
      </w:pPr>
      <w:r w:rsidRPr="00BD1319">
        <w:rPr>
          <w:rFonts w:cs="Arial"/>
          <w:spacing w:val="-3"/>
        </w:rPr>
        <w:t>La localización de á</w:t>
      </w:r>
      <w:r w:rsidR="00F97C5C" w:rsidRPr="00BD1319">
        <w:rPr>
          <w:rFonts w:cs="Arial"/>
          <w:spacing w:val="-3"/>
        </w:rPr>
        <w:t xml:space="preserve">reas de importancia </w:t>
      </w:r>
      <w:r w:rsidR="00863C3C" w:rsidRPr="00BD1319">
        <w:rPr>
          <w:rFonts w:cs="Arial"/>
          <w:spacing w:val="-3"/>
        </w:rPr>
        <w:t>potencialmente</w:t>
      </w:r>
      <w:r w:rsidR="00863C3C" w:rsidRPr="00BD1319" w:rsidDel="00863C3C">
        <w:rPr>
          <w:rFonts w:cs="Arial"/>
          <w:spacing w:val="-3"/>
        </w:rPr>
        <w:t xml:space="preserve"> </w:t>
      </w:r>
      <w:r w:rsidR="00526918" w:rsidRPr="00BD1319">
        <w:rPr>
          <w:rFonts w:cs="Arial"/>
          <w:spacing w:val="-3"/>
        </w:rPr>
        <w:t>funcional</w:t>
      </w:r>
      <w:r w:rsidR="00863C3C" w:rsidRPr="00BD1319">
        <w:rPr>
          <w:rFonts w:cs="Arial"/>
          <w:spacing w:val="-3"/>
        </w:rPr>
        <w:t xml:space="preserve">es </w:t>
      </w:r>
      <w:r w:rsidR="00F97C5C" w:rsidRPr="00BD1319">
        <w:rPr>
          <w:rFonts w:cs="Arial"/>
          <w:spacing w:val="-3"/>
        </w:rPr>
        <w:t>para la fauna</w:t>
      </w:r>
      <w:r w:rsidR="0002038B" w:rsidRPr="00BD1319">
        <w:rPr>
          <w:rFonts w:cs="Arial"/>
          <w:spacing w:val="-3"/>
        </w:rPr>
        <w:t>,</w:t>
      </w:r>
      <w:r w:rsidR="00F97C5C" w:rsidRPr="00BD1319">
        <w:rPr>
          <w:rFonts w:cs="Arial"/>
          <w:spacing w:val="-3"/>
        </w:rPr>
        <w:t xml:space="preserve"> </w:t>
      </w:r>
      <w:r w:rsidR="00B33BC6" w:rsidRPr="00BD1319">
        <w:rPr>
          <w:rFonts w:cs="Arial"/>
          <w:spacing w:val="-3"/>
        </w:rPr>
        <w:t xml:space="preserve">en las que </w:t>
      </w:r>
      <w:r w:rsidR="00F97C5C" w:rsidRPr="00BD1319">
        <w:rPr>
          <w:rFonts w:cs="Arial"/>
          <w:spacing w:val="-3"/>
        </w:rPr>
        <w:t>pued</w:t>
      </w:r>
      <w:r w:rsidR="0002038B" w:rsidRPr="00BD1319">
        <w:rPr>
          <w:rFonts w:cs="Arial"/>
          <w:spacing w:val="-3"/>
        </w:rPr>
        <w:t>e</w:t>
      </w:r>
      <w:r w:rsidR="00F97C5C" w:rsidRPr="00BD1319">
        <w:rPr>
          <w:rFonts w:cs="Arial"/>
          <w:spacing w:val="-3"/>
        </w:rPr>
        <w:t xml:space="preserve"> </w:t>
      </w:r>
      <w:r w:rsidR="00B33BC6" w:rsidRPr="00BD1319">
        <w:rPr>
          <w:rFonts w:cs="Arial"/>
          <w:spacing w:val="-3"/>
        </w:rPr>
        <w:t xml:space="preserve">ocurrir </w:t>
      </w:r>
      <w:r w:rsidR="0002038B" w:rsidRPr="00BD1319">
        <w:rPr>
          <w:rFonts w:cs="Arial"/>
          <w:spacing w:val="-3"/>
        </w:rPr>
        <w:t xml:space="preserve">la </w:t>
      </w:r>
      <w:r w:rsidR="00F97C5C" w:rsidRPr="00BD1319">
        <w:rPr>
          <w:rFonts w:cs="Arial"/>
          <w:spacing w:val="-3"/>
        </w:rPr>
        <w:t>cría, reproducción, alimentación y anidación</w:t>
      </w:r>
      <w:r w:rsidR="002B5305" w:rsidRPr="00BD1319">
        <w:rPr>
          <w:rFonts w:cs="Arial"/>
          <w:spacing w:val="-3"/>
        </w:rPr>
        <w:t xml:space="preserve">, </w:t>
      </w:r>
      <w:r w:rsidR="00B33BC6" w:rsidRPr="00BD1319">
        <w:rPr>
          <w:rFonts w:cs="Arial"/>
          <w:spacing w:val="-3"/>
        </w:rPr>
        <w:t xml:space="preserve">se puede </w:t>
      </w:r>
      <w:r w:rsidR="002B5305" w:rsidRPr="00BD1319">
        <w:rPr>
          <w:rFonts w:cs="Arial"/>
          <w:spacing w:val="-3"/>
        </w:rPr>
        <w:t xml:space="preserve">determinar </w:t>
      </w:r>
      <w:r w:rsidR="00526918" w:rsidRPr="00BD1319">
        <w:rPr>
          <w:rFonts w:cs="Arial"/>
          <w:spacing w:val="-3"/>
        </w:rPr>
        <w:t xml:space="preserve">a partir de datos tomados en campo </w:t>
      </w:r>
      <w:r w:rsidR="00B33BC6" w:rsidRPr="00BD1319">
        <w:rPr>
          <w:rFonts w:cs="Arial"/>
          <w:spacing w:val="-3"/>
        </w:rPr>
        <w:t xml:space="preserve">que </w:t>
      </w:r>
      <w:r w:rsidR="00526918" w:rsidRPr="00BD1319">
        <w:rPr>
          <w:rFonts w:cs="Arial"/>
          <w:spacing w:val="-3"/>
        </w:rPr>
        <w:t>sustent</w:t>
      </w:r>
      <w:r w:rsidR="00B33BC6" w:rsidRPr="00BD1319">
        <w:rPr>
          <w:rFonts w:cs="Arial"/>
          <w:spacing w:val="-3"/>
        </w:rPr>
        <w:t>en</w:t>
      </w:r>
      <w:r w:rsidR="00526918" w:rsidRPr="00BD1319">
        <w:rPr>
          <w:rFonts w:cs="Arial"/>
          <w:spacing w:val="-3"/>
        </w:rPr>
        <w:t xml:space="preserve"> las preferencias de hábitat de las especies, </w:t>
      </w:r>
      <w:r w:rsidR="00863C3C" w:rsidRPr="00BD1319">
        <w:rPr>
          <w:rFonts w:cs="Arial"/>
          <w:spacing w:val="-3"/>
        </w:rPr>
        <w:t xml:space="preserve">y complementariamente a través de </w:t>
      </w:r>
      <w:r w:rsidR="00526918" w:rsidRPr="00BD1319">
        <w:rPr>
          <w:rFonts w:cs="Arial"/>
          <w:spacing w:val="-3"/>
        </w:rPr>
        <w:t xml:space="preserve">los resultados de los ejercicios de fragmentación </w:t>
      </w:r>
      <w:r w:rsidR="008E585C" w:rsidRPr="00BD1319">
        <w:rPr>
          <w:rFonts w:cs="Arial"/>
          <w:spacing w:val="-3"/>
        </w:rPr>
        <w:t>(</w:t>
      </w:r>
      <w:r w:rsidR="00041844" w:rsidRPr="00BD1319">
        <w:rPr>
          <w:rFonts w:cs="Arial"/>
          <w:spacing w:val="-3"/>
        </w:rPr>
        <w:t>p. ej.</w:t>
      </w:r>
      <w:r w:rsidR="008E585C" w:rsidRPr="00BD1319">
        <w:rPr>
          <w:rFonts w:cs="Arial"/>
          <w:spacing w:val="-3"/>
        </w:rPr>
        <w:t xml:space="preserve"> </w:t>
      </w:r>
      <w:r w:rsidR="009E4AF4" w:rsidRPr="00BD1319">
        <w:rPr>
          <w:rFonts w:cs="Arial"/>
          <w:spacing w:val="-3"/>
        </w:rPr>
        <w:t xml:space="preserve">determinación </w:t>
      </w:r>
      <w:r w:rsidR="008E585C" w:rsidRPr="00BD1319">
        <w:rPr>
          <w:rFonts w:cs="Arial"/>
          <w:spacing w:val="-3"/>
        </w:rPr>
        <w:t xml:space="preserve">de </w:t>
      </w:r>
      <w:r w:rsidR="00526918" w:rsidRPr="00BD1319">
        <w:rPr>
          <w:rFonts w:cs="Arial"/>
          <w:spacing w:val="-3"/>
        </w:rPr>
        <w:t>áreas núcleo</w:t>
      </w:r>
      <w:r w:rsidR="008E585C" w:rsidRPr="00BD1319">
        <w:rPr>
          <w:rFonts w:cs="Arial"/>
          <w:spacing w:val="-3"/>
        </w:rPr>
        <w:t>)</w:t>
      </w:r>
      <w:r w:rsidR="00526918" w:rsidRPr="00BD1319">
        <w:rPr>
          <w:rFonts w:cs="Arial"/>
          <w:spacing w:val="-3"/>
        </w:rPr>
        <w:t>.</w:t>
      </w:r>
      <w:r w:rsidR="00790308" w:rsidRPr="00BD1319">
        <w:rPr>
          <w:rFonts w:cs="Arial"/>
          <w:spacing w:val="-3"/>
        </w:rPr>
        <w:t xml:space="preserve"> La información cartográfica asociada a estas áreas debe presentarse a la escala que establezcan los términos de referencia, o a una escala más detallada si el análisis lo requiere.</w:t>
      </w:r>
    </w:p>
    <w:p w14:paraId="282C8B44" w14:textId="77777777" w:rsidR="00F97C5C" w:rsidRPr="00BD1319" w:rsidRDefault="00F97C5C">
      <w:pPr>
        <w:tabs>
          <w:tab w:val="left" w:pos="-2268"/>
        </w:tabs>
        <w:suppressAutoHyphens/>
        <w:rPr>
          <w:spacing w:val="-3"/>
        </w:rPr>
      </w:pPr>
    </w:p>
    <w:p w14:paraId="514499C1" w14:textId="20CB27AD" w:rsidR="00F97C5C" w:rsidRPr="00BD1319" w:rsidRDefault="00F97C5C">
      <w:pPr>
        <w:numPr>
          <w:ilvl w:val="12"/>
          <w:numId w:val="0"/>
        </w:numPr>
        <w:tabs>
          <w:tab w:val="left" w:pos="-2268"/>
        </w:tabs>
        <w:suppressAutoHyphens/>
        <w:rPr>
          <w:spacing w:val="-3"/>
        </w:rPr>
      </w:pPr>
      <w:r w:rsidRPr="00BD1319">
        <w:rPr>
          <w:spacing w:val="-3"/>
        </w:rPr>
        <w:t>Cl</w:t>
      </w:r>
      <w:r w:rsidR="001A7EFF" w:rsidRPr="00BD1319">
        <w:rPr>
          <w:spacing w:val="-3"/>
        </w:rPr>
        <w:t xml:space="preserve">asificar </w:t>
      </w:r>
      <w:r w:rsidRPr="00BD1319">
        <w:rPr>
          <w:spacing w:val="-3"/>
        </w:rPr>
        <w:t xml:space="preserve">cada una de las especies </w:t>
      </w:r>
      <w:r w:rsidR="0049729E" w:rsidRPr="00BD1319">
        <w:rPr>
          <w:spacing w:val="-3"/>
        </w:rPr>
        <w:t xml:space="preserve">determinadas </w:t>
      </w:r>
      <w:r w:rsidRPr="00BD1319">
        <w:rPr>
          <w:spacing w:val="-3"/>
        </w:rPr>
        <w:t>según parámetros que valoran el interés público (endemismos, vedas, rareza</w:t>
      </w:r>
      <w:r w:rsidRPr="00BD1319">
        <w:rPr>
          <w:rStyle w:val="Refdenotaalpie"/>
          <w:rFonts w:cs="Arial"/>
          <w:spacing w:val="-3"/>
          <w:lang w:val="es-CO"/>
        </w:rPr>
        <w:footnoteReference w:id="49"/>
      </w:r>
      <w:r w:rsidRPr="00BD1319">
        <w:rPr>
          <w:spacing w:val="-3"/>
        </w:rPr>
        <w:t>, migración</w:t>
      </w:r>
      <w:r w:rsidR="0076097E" w:rsidRPr="00BD1319">
        <w:rPr>
          <w:spacing w:val="-3"/>
        </w:rPr>
        <w:t>, distribución</w:t>
      </w:r>
      <w:r w:rsidRPr="00BD1319">
        <w:rPr>
          <w:spacing w:val="-3"/>
        </w:rPr>
        <w:t xml:space="preserve"> </w:t>
      </w:r>
      <w:r w:rsidR="0076097E" w:rsidRPr="00BD1319">
        <w:rPr>
          <w:spacing w:val="-3"/>
        </w:rPr>
        <w:t xml:space="preserve">geográfica </w:t>
      </w:r>
      <w:r w:rsidRPr="00BD1319">
        <w:rPr>
          <w:spacing w:val="-3"/>
        </w:rPr>
        <w:t xml:space="preserve">y </w:t>
      </w:r>
      <w:r w:rsidR="00126746" w:rsidRPr="00BD1319">
        <w:rPr>
          <w:spacing w:val="-3"/>
        </w:rPr>
        <w:t>estado de conservación</w:t>
      </w:r>
      <w:r w:rsidRPr="00BD1319">
        <w:rPr>
          <w:spacing w:val="-3"/>
        </w:rPr>
        <w:t>).</w:t>
      </w:r>
    </w:p>
    <w:p w14:paraId="4FCB6631" w14:textId="77777777" w:rsidR="00F97C5C" w:rsidRPr="00BD1319" w:rsidRDefault="00F97C5C">
      <w:pPr>
        <w:numPr>
          <w:ilvl w:val="12"/>
          <w:numId w:val="0"/>
        </w:numPr>
        <w:tabs>
          <w:tab w:val="left" w:pos="-2268"/>
        </w:tabs>
        <w:suppressAutoHyphens/>
        <w:rPr>
          <w:spacing w:val="-3"/>
        </w:rPr>
      </w:pPr>
    </w:p>
    <w:p w14:paraId="1A07A0C9" w14:textId="3CE8076A" w:rsidR="00F97C5C" w:rsidRPr="00BD1319" w:rsidRDefault="00F97C5C" w:rsidP="009420F5">
      <w:pPr>
        <w:pStyle w:val="Ttulo4"/>
        <w:tabs>
          <w:tab w:val="clear" w:pos="1844"/>
          <w:tab w:val="num" w:pos="1134"/>
        </w:tabs>
        <w:ind w:left="0"/>
        <w:rPr>
          <w:lang w:val="es-CO"/>
        </w:rPr>
      </w:pPr>
      <w:r w:rsidRPr="00BD1319">
        <w:rPr>
          <w:lang w:val="es-CO"/>
        </w:rPr>
        <w:t>Análisis de fragmentación y conectividad</w:t>
      </w:r>
      <w:r w:rsidR="001668BA" w:rsidRPr="00BD1319">
        <w:rPr>
          <w:lang w:val="es-CO"/>
        </w:rPr>
        <w:t xml:space="preserve"> ecológica</w:t>
      </w:r>
    </w:p>
    <w:p w14:paraId="31AFED40" w14:textId="77777777" w:rsidR="00F97C5C" w:rsidRPr="00BD1319" w:rsidRDefault="00F97C5C">
      <w:pPr>
        <w:numPr>
          <w:ilvl w:val="12"/>
          <w:numId w:val="0"/>
        </w:numPr>
        <w:tabs>
          <w:tab w:val="left" w:pos="-2268"/>
        </w:tabs>
        <w:suppressAutoHyphens/>
        <w:rPr>
          <w:spacing w:val="-3"/>
        </w:rPr>
      </w:pPr>
    </w:p>
    <w:p w14:paraId="6E8DBF4E" w14:textId="1CCB26FD" w:rsidR="001668BA" w:rsidRPr="00BD1319" w:rsidRDefault="001668BA" w:rsidP="001668BA">
      <w:pPr>
        <w:numPr>
          <w:ilvl w:val="12"/>
          <w:numId w:val="0"/>
        </w:numPr>
        <w:tabs>
          <w:tab w:val="left" w:pos="-2268"/>
        </w:tabs>
        <w:suppressAutoHyphens/>
        <w:rPr>
          <w:spacing w:val="-3"/>
        </w:rPr>
      </w:pPr>
      <w:r w:rsidRPr="00BD1319">
        <w:rPr>
          <w:spacing w:val="-3"/>
        </w:rPr>
        <w:lastRenderedPageBreak/>
        <w:t>Previo al desarrollo del análisis de fragmentación y conectividad es necesario determinar el estado de transformación empleando métricas como el índice de huella espacial humana, los agentes que más contribuyen con el cambio y las tendencias de cambio, todo ello fundamentalmente a partir de la información secundaria contenida en instrumentos de planificación como los POMCA y los Planes de ordenación forestal.</w:t>
      </w:r>
    </w:p>
    <w:p w14:paraId="5FEC4EDE" w14:textId="77777777" w:rsidR="001668BA" w:rsidRPr="00BD1319" w:rsidRDefault="001668BA">
      <w:pPr>
        <w:numPr>
          <w:ilvl w:val="12"/>
          <w:numId w:val="0"/>
        </w:numPr>
        <w:tabs>
          <w:tab w:val="left" w:pos="-2268"/>
        </w:tabs>
        <w:suppressAutoHyphens/>
        <w:rPr>
          <w:spacing w:val="-3"/>
        </w:rPr>
      </w:pPr>
    </w:p>
    <w:p w14:paraId="452D8CDD" w14:textId="54DB2FF0" w:rsidR="00F97C5C" w:rsidRPr="00BD1319" w:rsidRDefault="00E46630">
      <w:pPr>
        <w:numPr>
          <w:ilvl w:val="12"/>
          <w:numId w:val="0"/>
        </w:numPr>
        <w:tabs>
          <w:tab w:val="left" w:pos="-2268"/>
        </w:tabs>
        <w:suppressAutoHyphens/>
        <w:rPr>
          <w:spacing w:val="-3"/>
        </w:rPr>
      </w:pPr>
      <w:r w:rsidRPr="00BD1319">
        <w:rPr>
          <w:spacing w:val="-3"/>
        </w:rPr>
        <w:t>E</w:t>
      </w:r>
      <w:r w:rsidR="00F97C5C" w:rsidRPr="00BD1319">
        <w:rPr>
          <w:spacing w:val="-3"/>
        </w:rPr>
        <w:t xml:space="preserve">l análisis de fragmentación </w:t>
      </w:r>
      <w:r w:rsidRPr="00BD1319">
        <w:rPr>
          <w:spacing w:val="-3"/>
        </w:rPr>
        <w:t xml:space="preserve">se debe desarrollar </w:t>
      </w:r>
      <w:r w:rsidR="00F97C5C" w:rsidRPr="00BD1319">
        <w:rPr>
          <w:spacing w:val="-3"/>
        </w:rPr>
        <w:t>utilizando las unidades de cobertura vegetal de tipo natural y seminatural</w:t>
      </w:r>
      <w:r w:rsidRPr="00BD1319">
        <w:rPr>
          <w:spacing w:val="-3"/>
        </w:rPr>
        <w:t xml:space="preserve">, de forma tal, que sea posible calcular </w:t>
      </w:r>
      <w:r w:rsidR="00F97C5C" w:rsidRPr="00BD1319">
        <w:rPr>
          <w:spacing w:val="-3"/>
        </w:rPr>
        <w:t>métricas de parche (</w:t>
      </w:r>
      <w:r w:rsidR="00041844" w:rsidRPr="00BD1319">
        <w:rPr>
          <w:spacing w:val="-3"/>
        </w:rPr>
        <w:t>p. ej.</w:t>
      </w:r>
      <w:r w:rsidR="00F97C5C" w:rsidRPr="00BD1319">
        <w:rPr>
          <w:spacing w:val="-3"/>
        </w:rPr>
        <w:t xml:space="preserve"> distancia euclidiana al vecino más cercano), métricas de clase (</w:t>
      </w:r>
      <w:r w:rsidR="00041844" w:rsidRPr="00BD1319">
        <w:rPr>
          <w:spacing w:val="-3"/>
        </w:rPr>
        <w:t>p. ej.</w:t>
      </w:r>
      <w:r w:rsidR="00F97C5C" w:rsidRPr="00BD1319">
        <w:rPr>
          <w:spacing w:val="-3"/>
        </w:rPr>
        <w:t xml:space="preserve"> área total, número de parches, distancia de borde, radio de giro, índice de forma, índice de dimensión fractal) y métricas de paisaje (índices de diversidad) que permitan definir el estado actual del área de estudio </w:t>
      </w:r>
      <w:r w:rsidR="00F97C5C" w:rsidRPr="00BD1319">
        <w:rPr>
          <w:rFonts w:cs="Arial"/>
          <w:spacing w:val="-3"/>
        </w:rPr>
        <w:t xml:space="preserve">para el medio biótico </w:t>
      </w:r>
      <w:r w:rsidR="00F97C5C" w:rsidRPr="00BD1319">
        <w:rPr>
          <w:spacing w:val="-3"/>
        </w:rPr>
        <w:t>y la dinámica de la zona en términos de tamaño, número de parches, aislamiento</w:t>
      </w:r>
      <w:r w:rsidR="006F3B28" w:rsidRPr="00BD1319">
        <w:rPr>
          <w:spacing w:val="-3"/>
        </w:rPr>
        <w:t xml:space="preserve"> y</w:t>
      </w:r>
      <w:r w:rsidR="00F97C5C" w:rsidRPr="00BD1319">
        <w:rPr>
          <w:spacing w:val="-3"/>
        </w:rPr>
        <w:t xml:space="preserve"> forma</w:t>
      </w:r>
      <w:r w:rsidR="004B4CB6" w:rsidRPr="00BD1319">
        <w:rPr>
          <w:spacing w:val="-3"/>
        </w:rPr>
        <w:t xml:space="preserve">; para ejecutar este análisis, es necesario </w:t>
      </w:r>
      <w:r w:rsidR="009E4AF4" w:rsidRPr="00BD1319">
        <w:rPr>
          <w:spacing w:val="-3"/>
        </w:rPr>
        <w:t>determina</w:t>
      </w:r>
      <w:r w:rsidR="006F3B28" w:rsidRPr="00BD1319">
        <w:rPr>
          <w:spacing w:val="-3"/>
        </w:rPr>
        <w:t xml:space="preserve">r </w:t>
      </w:r>
      <w:r w:rsidR="0014007D" w:rsidRPr="00BD1319">
        <w:rPr>
          <w:spacing w:val="-3"/>
        </w:rPr>
        <w:t xml:space="preserve">cómo </w:t>
      </w:r>
      <w:r w:rsidR="00F97C5C" w:rsidRPr="00BD1319">
        <w:rPr>
          <w:spacing w:val="-3"/>
        </w:rPr>
        <w:t xml:space="preserve">los agentes </w:t>
      </w:r>
      <w:r w:rsidR="0014007D" w:rsidRPr="00BD1319">
        <w:rPr>
          <w:spacing w:val="-3"/>
        </w:rPr>
        <w:t>que más contribuyen al</w:t>
      </w:r>
      <w:r w:rsidR="004B4CB6" w:rsidRPr="00BD1319">
        <w:rPr>
          <w:spacing w:val="-3"/>
        </w:rPr>
        <w:t xml:space="preserve"> cambio </w:t>
      </w:r>
      <w:r w:rsidR="0014007D" w:rsidRPr="00BD1319">
        <w:rPr>
          <w:spacing w:val="-3"/>
        </w:rPr>
        <w:t xml:space="preserve">propician </w:t>
      </w:r>
      <w:r w:rsidR="00F97C5C" w:rsidRPr="00BD1319">
        <w:rPr>
          <w:spacing w:val="-3"/>
        </w:rPr>
        <w:t>l</w:t>
      </w:r>
      <w:r w:rsidR="004B4CB6" w:rsidRPr="00BD1319">
        <w:rPr>
          <w:spacing w:val="-3"/>
        </w:rPr>
        <w:t>a</w:t>
      </w:r>
      <w:r w:rsidR="00F97C5C" w:rsidRPr="00BD1319">
        <w:rPr>
          <w:spacing w:val="-3"/>
        </w:rPr>
        <w:t xml:space="preserve"> </w:t>
      </w:r>
      <w:r w:rsidR="004B4CB6" w:rsidRPr="00BD1319">
        <w:rPr>
          <w:spacing w:val="-3"/>
        </w:rPr>
        <w:t>fr</w:t>
      </w:r>
      <w:r w:rsidR="00702BB8" w:rsidRPr="00BD1319">
        <w:rPr>
          <w:spacing w:val="-3"/>
        </w:rPr>
        <w:t>a</w:t>
      </w:r>
      <w:r w:rsidR="004B4CB6" w:rsidRPr="00BD1319">
        <w:rPr>
          <w:spacing w:val="-3"/>
        </w:rPr>
        <w:t>gmentación</w:t>
      </w:r>
      <w:r w:rsidR="00F97C5C" w:rsidRPr="00BD1319">
        <w:rPr>
          <w:spacing w:val="-3"/>
        </w:rPr>
        <w:t>.</w:t>
      </w:r>
    </w:p>
    <w:p w14:paraId="7F81C13D" w14:textId="77777777" w:rsidR="00F97C5C" w:rsidRPr="00BD1319" w:rsidRDefault="00F97C5C">
      <w:pPr>
        <w:numPr>
          <w:ilvl w:val="12"/>
          <w:numId w:val="0"/>
        </w:numPr>
        <w:tabs>
          <w:tab w:val="left" w:pos="-2268"/>
        </w:tabs>
        <w:suppressAutoHyphens/>
        <w:rPr>
          <w:spacing w:val="-3"/>
        </w:rPr>
      </w:pPr>
    </w:p>
    <w:p w14:paraId="2FDF41E3" w14:textId="2BCD6DDC" w:rsidR="00F97C5C" w:rsidRPr="00BD1319" w:rsidRDefault="00702BB8">
      <w:pPr>
        <w:numPr>
          <w:ilvl w:val="12"/>
          <w:numId w:val="0"/>
        </w:numPr>
        <w:tabs>
          <w:tab w:val="left" w:pos="-2268"/>
        </w:tabs>
        <w:suppressAutoHyphens/>
        <w:rPr>
          <w:spacing w:val="-3"/>
        </w:rPr>
      </w:pPr>
      <w:r w:rsidRPr="00BD1319">
        <w:rPr>
          <w:spacing w:val="-3"/>
        </w:rPr>
        <w:t xml:space="preserve">El </w:t>
      </w:r>
      <w:r w:rsidR="00F97C5C" w:rsidRPr="00BD1319">
        <w:rPr>
          <w:spacing w:val="-3"/>
        </w:rPr>
        <w:t xml:space="preserve">análisis de conectividad </w:t>
      </w:r>
      <w:r w:rsidR="00790AB1" w:rsidRPr="00BD1319">
        <w:rPr>
          <w:spacing w:val="-3"/>
        </w:rPr>
        <w:t>ecológica</w:t>
      </w:r>
      <w:r w:rsidRPr="00BD1319">
        <w:rPr>
          <w:spacing w:val="-3"/>
        </w:rPr>
        <w:t>, que es</w:t>
      </w:r>
      <w:r w:rsidR="00F97C5C" w:rsidRPr="00BD1319">
        <w:rPr>
          <w:spacing w:val="-3"/>
        </w:rPr>
        <w:t xml:space="preserve"> complementari</w:t>
      </w:r>
      <w:r w:rsidR="00EA1825" w:rsidRPr="00BD1319">
        <w:rPr>
          <w:spacing w:val="-3"/>
        </w:rPr>
        <w:t>o</w:t>
      </w:r>
      <w:r w:rsidR="00F97C5C" w:rsidRPr="00BD1319">
        <w:rPr>
          <w:spacing w:val="-3"/>
        </w:rPr>
        <w:t xml:space="preserve"> al uso de métricas</w:t>
      </w:r>
      <w:r w:rsidRPr="00BD1319">
        <w:rPr>
          <w:spacing w:val="-3"/>
        </w:rPr>
        <w:t xml:space="preserve"> de fragmentación</w:t>
      </w:r>
      <w:r w:rsidR="00F97C5C" w:rsidRPr="00BD1319">
        <w:rPr>
          <w:spacing w:val="-3"/>
        </w:rPr>
        <w:t xml:space="preserve">, </w:t>
      </w:r>
      <w:r w:rsidRPr="00BD1319">
        <w:rPr>
          <w:spacing w:val="-3"/>
        </w:rPr>
        <w:t xml:space="preserve">se debe adelantar </w:t>
      </w:r>
      <w:r w:rsidR="00790AB1" w:rsidRPr="00BD1319">
        <w:rPr>
          <w:spacing w:val="-3"/>
        </w:rPr>
        <w:t xml:space="preserve">con base en información secundaria (p. ej. </w:t>
      </w:r>
      <w:proofErr w:type="spellStart"/>
      <w:r w:rsidR="00790AB1" w:rsidRPr="00BD1319">
        <w:rPr>
          <w:spacing w:val="-3"/>
        </w:rPr>
        <w:t>SiB</w:t>
      </w:r>
      <w:proofErr w:type="spellEnd"/>
      <w:r w:rsidR="00790AB1" w:rsidRPr="00BD1319">
        <w:rPr>
          <w:spacing w:val="-3"/>
        </w:rPr>
        <w:t xml:space="preserve"> Colombia, GBIF) para describir los elementos que más aportan a la conectividad del territorio; también es posible emplear los análisis de conectividad realizados por distintas entidades o institutos que se encuentren disponibles para la región en la que se ubica el área de estudio. Los resultados del análisis de conectividad ecológica se deben contrastar con la determinación de las áreas de importancia potencialmente funcionales para la fauna asociada del área de estudio del medio biótico.</w:t>
      </w:r>
    </w:p>
    <w:p w14:paraId="13734D88" w14:textId="77777777" w:rsidR="00790AB1" w:rsidRPr="00BD1319" w:rsidRDefault="00790AB1">
      <w:pPr>
        <w:numPr>
          <w:ilvl w:val="12"/>
          <w:numId w:val="0"/>
        </w:numPr>
        <w:tabs>
          <w:tab w:val="left" w:pos="-2268"/>
        </w:tabs>
        <w:suppressAutoHyphens/>
        <w:rPr>
          <w:spacing w:val="-3"/>
        </w:rPr>
      </w:pPr>
    </w:p>
    <w:p w14:paraId="348329F1" w14:textId="4F12D532" w:rsidR="003A3B7D" w:rsidRPr="00BD1319" w:rsidRDefault="003A3B7D">
      <w:pPr>
        <w:numPr>
          <w:ilvl w:val="12"/>
          <w:numId w:val="0"/>
        </w:numPr>
        <w:tabs>
          <w:tab w:val="left" w:pos="-2268"/>
        </w:tabs>
        <w:suppressAutoHyphens/>
        <w:rPr>
          <w:rFonts w:cs="Arial"/>
          <w:szCs w:val="20"/>
        </w:rPr>
      </w:pPr>
      <w:r w:rsidRPr="00BD1319">
        <w:rPr>
          <w:rFonts w:cs="Arial"/>
          <w:szCs w:val="20"/>
        </w:rPr>
        <w:t xml:space="preserve">Los análisis de fragmentación y conectividad </w:t>
      </w:r>
      <w:r w:rsidR="00790AB1" w:rsidRPr="00BD1319">
        <w:rPr>
          <w:rFonts w:cs="Arial"/>
          <w:szCs w:val="20"/>
        </w:rPr>
        <w:t>ecológica</w:t>
      </w:r>
      <w:r w:rsidR="00BE2313" w:rsidRPr="00BD1319">
        <w:rPr>
          <w:rFonts w:cs="Arial"/>
          <w:szCs w:val="20"/>
        </w:rPr>
        <w:t xml:space="preserve"> </w:t>
      </w:r>
      <w:r w:rsidRPr="00BD1319">
        <w:rPr>
          <w:rFonts w:cs="Arial"/>
          <w:szCs w:val="20"/>
        </w:rPr>
        <w:t>deben desarrollarse empleando software de procesamiento geoespacial.</w:t>
      </w:r>
    </w:p>
    <w:p w14:paraId="52AA9C4A" w14:textId="77777777" w:rsidR="003A3B7D" w:rsidRPr="00BD1319" w:rsidRDefault="003A3B7D">
      <w:pPr>
        <w:numPr>
          <w:ilvl w:val="12"/>
          <w:numId w:val="0"/>
        </w:numPr>
        <w:tabs>
          <w:tab w:val="left" w:pos="-2268"/>
        </w:tabs>
        <w:suppressAutoHyphens/>
        <w:rPr>
          <w:spacing w:val="-3"/>
        </w:rPr>
      </w:pPr>
    </w:p>
    <w:p w14:paraId="58B62CDE" w14:textId="52AF32B8" w:rsidR="00F97C5C" w:rsidRPr="00BD1319" w:rsidRDefault="00F97C5C" w:rsidP="00216955">
      <w:pPr>
        <w:pStyle w:val="Ttulo3"/>
      </w:pPr>
      <w:bookmarkStart w:id="2283" w:name="_Toc42552223"/>
      <w:bookmarkStart w:id="2284" w:name="_Toc175326704"/>
      <w:r w:rsidRPr="00BD1319">
        <w:t>Ecosistemas acuáticos</w:t>
      </w:r>
      <w:bookmarkEnd w:id="2283"/>
      <w:bookmarkEnd w:id="2284"/>
    </w:p>
    <w:p w14:paraId="5FE42F9E" w14:textId="77777777" w:rsidR="00F97C5C" w:rsidRPr="00BD1319" w:rsidRDefault="00F97C5C">
      <w:pPr>
        <w:numPr>
          <w:ilvl w:val="12"/>
          <w:numId w:val="0"/>
        </w:numPr>
        <w:tabs>
          <w:tab w:val="left" w:pos="-2268"/>
        </w:tabs>
        <w:suppressAutoHyphens/>
        <w:rPr>
          <w:spacing w:val="-3"/>
        </w:rPr>
      </w:pPr>
    </w:p>
    <w:p w14:paraId="6148612E" w14:textId="23881A2E" w:rsidR="00FC5252" w:rsidRPr="00BD1319" w:rsidRDefault="00FC0313" w:rsidP="00D349B6">
      <w:pPr>
        <w:numPr>
          <w:ilvl w:val="12"/>
          <w:numId w:val="0"/>
        </w:numPr>
        <w:tabs>
          <w:tab w:val="left" w:pos="-2268"/>
        </w:tabs>
        <w:suppressAutoHyphens/>
        <w:rPr>
          <w:spacing w:val="-3"/>
        </w:rPr>
      </w:pPr>
      <w:r w:rsidRPr="00BD1319">
        <w:rPr>
          <w:spacing w:val="-3"/>
        </w:rPr>
        <w:t>La caracterización de los ecosistemas acuáticos continentales</w:t>
      </w:r>
      <w:r w:rsidR="00D349B6" w:rsidRPr="00BD1319">
        <w:rPr>
          <w:spacing w:val="-3"/>
        </w:rPr>
        <w:t xml:space="preserve"> lóticos y lénticos</w:t>
      </w:r>
      <w:r w:rsidRPr="00BD1319">
        <w:rPr>
          <w:spacing w:val="-3"/>
        </w:rPr>
        <w:t xml:space="preserve">, </w:t>
      </w:r>
      <w:r w:rsidR="005C520A" w:rsidRPr="00BD1319">
        <w:rPr>
          <w:spacing w:val="-3"/>
        </w:rPr>
        <w:t xml:space="preserve">se enfoca en determinar su localización </w:t>
      </w:r>
      <w:r w:rsidR="00B4341D" w:rsidRPr="00BD1319">
        <w:rPr>
          <w:spacing w:val="-3"/>
        </w:rPr>
        <w:t xml:space="preserve">de acuerdo con </w:t>
      </w:r>
      <w:r w:rsidR="006E7CFA" w:rsidRPr="00BD1319">
        <w:rPr>
          <w:rFonts w:cs="Arial"/>
          <w:spacing w:val="-3"/>
        </w:rPr>
        <w:t xml:space="preserve">el </w:t>
      </w:r>
      <w:r w:rsidR="005C520A" w:rsidRPr="00BD1319">
        <w:rPr>
          <w:rFonts w:cs="Arial"/>
          <w:spacing w:val="-3"/>
        </w:rPr>
        <w:t>Mapa de Ecosistemas Continentales, Costeros y Marinos de Colombia, Versión 2.1, escala 1:100.000 (2017) (</w:t>
      </w:r>
      <w:proofErr w:type="spellStart"/>
      <w:r w:rsidR="005C520A" w:rsidRPr="00BD1319">
        <w:rPr>
          <w:rFonts w:cs="Arial"/>
          <w:spacing w:val="-3"/>
        </w:rPr>
        <w:t>Ideam</w:t>
      </w:r>
      <w:proofErr w:type="spellEnd"/>
      <w:r w:rsidR="005C520A" w:rsidRPr="00BD1319">
        <w:rPr>
          <w:rFonts w:cs="Arial"/>
          <w:spacing w:val="-3"/>
        </w:rPr>
        <w:t xml:space="preserve"> et al., 2017), o en sus versiones posteriores</w:t>
      </w:r>
      <w:r w:rsidR="00083FEB" w:rsidRPr="00BD1319">
        <w:rPr>
          <w:rFonts w:cs="Arial"/>
          <w:spacing w:val="-3"/>
        </w:rPr>
        <w:t xml:space="preserve"> o en </w:t>
      </w:r>
      <w:r w:rsidR="00083FEB" w:rsidRPr="00BD1319">
        <w:rPr>
          <w:spacing w:val="-3"/>
        </w:rPr>
        <w:t>otra información secundaria disponible</w:t>
      </w:r>
      <w:r w:rsidR="005C520A" w:rsidRPr="00BD1319">
        <w:rPr>
          <w:rFonts w:cs="Arial"/>
          <w:spacing w:val="-3"/>
        </w:rPr>
        <w:t>.</w:t>
      </w:r>
    </w:p>
    <w:p w14:paraId="138258E7" w14:textId="77777777" w:rsidR="00FC5252" w:rsidRPr="00BD1319" w:rsidRDefault="00FC5252">
      <w:pPr>
        <w:numPr>
          <w:ilvl w:val="12"/>
          <w:numId w:val="0"/>
        </w:numPr>
        <w:tabs>
          <w:tab w:val="left" w:pos="-2268"/>
        </w:tabs>
        <w:suppressAutoHyphens/>
        <w:rPr>
          <w:spacing w:val="-3"/>
        </w:rPr>
      </w:pPr>
    </w:p>
    <w:p w14:paraId="16CC3833" w14:textId="3B5FAE9E" w:rsidR="00457648" w:rsidRPr="00BD1319" w:rsidRDefault="00457648" w:rsidP="00A235B6">
      <w:pPr>
        <w:numPr>
          <w:ilvl w:val="12"/>
          <w:numId w:val="0"/>
        </w:numPr>
        <w:tabs>
          <w:tab w:val="left" w:pos="-2268"/>
        </w:tabs>
        <w:suppressAutoHyphens/>
        <w:rPr>
          <w:spacing w:val="-3"/>
        </w:rPr>
      </w:pPr>
      <w:r w:rsidRPr="00BD1319">
        <w:rPr>
          <w:spacing w:val="-3"/>
        </w:rPr>
        <w:t xml:space="preserve">Para ecosistemas </w:t>
      </w:r>
      <w:r w:rsidR="008D2728" w:rsidRPr="00BD1319">
        <w:rPr>
          <w:spacing w:val="-3"/>
        </w:rPr>
        <w:t>marino-costeros</w:t>
      </w:r>
      <w:r w:rsidRPr="00BD1319">
        <w:rPr>
          <w:spacing w:val="-3"/>
        </w:rPr>
        <w:t xml:space="preserve"> </w:t>
      </w:r>
      <w:r w:rsidR="0013620C" w:rsidRPr="00BD1319">
        <w:rPr>
          <w:spacing w:val="-3"/>
        </w:rPr>
        <w:t xml:space="preserve">la caracterización consiste en </w:t>
      </w:r>
      <w:r w:rsidRPr="00BD1319">
        <w:rPr>
          <w:spacing w:val="-3"/>
        </w:rPr>
        <w:t>establecer</w:t>
      </w:r>
      <w:r w:rsidR="0013620C" w:rsidRPr="00BD1319">
        <w:rPr>
          <w:spacing w:val="-3"/>
        </w:rPr>
        <w:t>, principalmente a partir de información secundaria,</w:t>
      </w:r>
      <w:r w:rsidRPr="00BD1319">
        <w:rPr>
          <w:spacing w:val="-3"/>
        </w:rPr>
        <w:t xml:space="preserve"> </w:t>
      </w:r>
      <w:r w:rsidR="0013620C" w:rsidRPr="00BD1319">
        <w:rPr>
          <w:spacing w:val="-3"/>
        </w:rPr>
        <w:t xml:space="preserve">la localización de ecosistemas de </w:t>
      </w:r>
      <w:r w:rsidRPr="00BD1319">
        <w:rPr>
          <w:spacing w:val="-3"/>
        </w:rPr>
        <w:t xml:space="preserve">interés tales como arrecifes coralinos de aguas someras y profundas, praderas de </w:t>
      </w:r>
      <w:r w:rsidRPr="00BD1319">
        <w:rPr>
          <w:spacing w:val="-3"/>
        </w:rPr>
        <w:lastRenderedPageBreak/>
        <w:t>pastos marinos, ecosistemas pelágicos, oceánicos y costeros, bosques de manglar, litoral rocoso y arenoso, fondos blandos, duros y vegetados, estuarios, lagunas costeras, zonas pantanosas, ciénagas, deltas, entre otros.</w:t>
      </w:r>
    </w:p>
    <w:p w14:paraId="7DD3848E" w14:textId="77777777" w:rsidR="00457648" w:rsidRPr="00BD1319" w:rsidRDefault="00457648" w:rsidP="00A235B6">
      <w:pPr>
        <w:numPr>
          <w:ilvl w:val="12"/>
          <w:numId w:val="0"/>
        </w:numPr>
        <w:tabs>
          <w:tab w:val="left" w:pos="-2268"/>
        </w:tabs>
        <w:suppressAutoHyphens/>
        <w:rPr>
          <w:spacing w:val="-3"/>
        </w:rPr>
      </w:pPr>
    </w:p>
    <w:p w14:paraId="1A093543" w14:textId="137518C3" w:rsidR="0013620C" w:rsidRPr="00BD1319" w:rsidRDefault="0013620C" w:rsidP="0013620C">
      <w:pPr>
        <w:numPr>
          <w:ilvl w:val="12"/>
          <w:numId w:val="0"/>
        </w:numPr>
        <w:tabs>
          <w:tab w:val="left" w:pos="-2268"/>
        </w:tabs>
        <w:suppressAutoHyphens/>
        <w:rPr>
          <w:rFonts w:cs="Arial"/>
          <w:spacing w:val="-3"/>
        </w:rPr>
      </w:pPr>
      <w:r w:rsidRPr="00BD1319">
        <w:rPr>
          <w:spacing w:val="-3"/>
        </w:rPr>
        <w:t xml:space="preserve">Teniendo en cuenta que para </w:t>
      </w:r>
      <w:r w:rsidR="008F0E3E" w:rsidRPr="00BD1319">
        <w:rPr>
          <w:spacing w:val="-3"/>
        </w:rPr>
        <w:t xml:space="preserve">estos ecosistemas (marinos y continentales) son </w:t>
      </w:r>
      <w:r w:rsidRPr="00BD1319">
        <w:rPr>
          <w:spacing w:val="-3"/>
        </w:rPr>
        <w:t>fundamental</w:t>
      </w:r>
      <w:r w:rsidR="008F0E3E" w:rsidRPr="00BD1319">
        <w:rPr>
          <w:spacing w:val="-3"/>
        </w:rPr>
        <w:t>es</w:t>
      </w:r>
      <w:r w:rsidRPr="00BD1319">
        <w:rPr>
          <w:spacing w:val="-3"/>
        </w:rPr>
        <w:t xml:space="preserve"> procesos ecológicos como la migración de especies y el transporte de semillas, se debe determinar su dinámica general e importancia en el contexto regional</w:t>
      </w:r>
      <w:r w:rsidR="008F0E3E" w:rsidRPr="00BD1319">
        <w:rPr>
          <w:spacing w:val="-3"/>
        </w:rPr>
        <w:t xml:space="preserve"> y nacional (según aplique) </w:t>
      </w:r>
      <w:r w:rsidR="0006536E" w:rsidRPr="00BD1319">
        <w:rPr>
          <w:spacing w:val="-3"/>
        </w:rPr>
        <w:t xml:space="preserve">considerando </w:t>
      </w:r>
      <w:r w:rsidRPr="00BD1319">
        <w:rPr>
          <w:rFonts w:cs="Arial"/>
          <w:spacing w:val="-3"/>
        </w:rPr>
        <w:t xml:space="preserve">aquellos atributos </w:t>
      </w:r>
      <w:r w:rsidRPr="00BD1319">
        <w:rPr>
          <w:spacing w:val="-3"/>
        </w:rPr>
        <w:t xml:space="preserve">que pueden </w:t>
      </w:r>
      <w:r w:rsidR="00B4341D" w:rsidRPr="00BD1319">
        <w:rPr>
          <w:spacing w:val="-3"/>
        </w:rPr>
        <w:t xml:space="preserve">sufrir </w:t>
      </w:r>
      <w:r w:rsidRPr="00BD1319">
        <w:rPr>
          <w:spacing w:val="-3"/>
        </w:rPr>
        <w:t xml:space="preserve">impactos potenciales por el desarrollo de las actividades de las alternativas, </w:t>
      </w:r>
      <w:r w:rsidR="0006536E" w:rsidRPr="00BD1319">
        <w:rPr>
          <w:spacing w:val="-3"/>
        </w:rPr>
        <w:t xml:space="preserve">por ejemplo, </w:t>
      </w:r>
      <w:r w:rsidRPr="00BD1319">
        <w:rPr>
          <w:spacing w:val="-3"/>
        </w:rPr>
        <w:t>los tramos de cauces</w:t>
      </w:r>
      <w:r w:rsidR="0006536E" w:rsidRPr="00BD1319">
        <w:rPr>
          <w:spacing w:val="-3"/>
        </w:rPr>
        <w:t xml:space="preserve"> que podrían ser modificados o eliminados o</w:t>
      </w:r>
      <w:r w:rsidRPr="00BD1319">
        <w:rPr>
          <w:spacing w:val="-3"/>
        </w:rPr>
        <w:t xml:space="preserve"> </w:t>
      </w:r>
      <w:r w:rsidR="0006536E" w:rsidRPr="00BD1319">
        <w:rPr>
          <w:spacing w:val="-3"/>
        </w:rPr>
        <w:t xml:space="preserve">los </w:t>
      </w:r>
      <w:r w:rsidRPr="00BD1319">
        <w:rPr>
          <w:spacing w:val="-3"/>
        </w:rPr>
        <w:t>flujo</w:t>
      </w:r>
      <w:r w:rsidR="0006536E" w:rsidRPr="00BD1319">
        <w:rPr>
          <w:spacing w:val="-3"/>
        </w:rPr>
        <w:t>s</w:t>
      </w:r>
      <w:r w:rsidRPr="00BD1319">
        <w:rPr>
          <w:spacing w:val="-3"/>
        </w:rPr>
        <w:t xml:space="preserve"> de los cuerpos de agua</w:t>
      </w:r>
      <w:r w:rsidR="0006536E" w:rsidRPr="00BD1319">
        <w:rPr>
          <w:spacing w:val="-3"/>
        </w:rPr>
        <w:t>,</w:t>
      </w:r>
      <w:r w:rsidRPr="00BD1319">
        <w:rPr>
          <w:spacing w:val="-3"/>
        </w:rPr>
        <w:t xml:space="preserve"> las comunidades biológicas asociadas</w:t>
      </w:r>
      <w:r w:rsidR="008F0E3E" w:rsidRPr="00BD1319">
        <w:rPr>
          <w:spacing w:val="-3"/>
        </w:rPr>
        <w:t xml:space="preserve"> o </w:t>
      </w:r>
      <w:r w:rsidR="0006536E" w:rsidRPr="00BD1319">
        <w:rPr>
          <w:spacing w:val="-3"/>
        </w:rPr>
        <w:t xml:space="preserve">los procesos de </w:t>
      </w:r>
      <w:r w:rsidR="008F0E3E" w:rsidRPr="00BD1319">
        <w:rPr>
          <w:spacing w:val="-3"/>
        </w:rPr>
        <w:t>migración</w:t>
      </w:r>
      <w:r w:rsidR="008F0E3E" w:rsidRPr="00BD1319">
        <w:rPr>
          <w:rStyle w:val="Refdenotaalpie"/>
          <w:spacing w:val="-3"/>
          <w:lang w:val="es-CO"/>
        </w:rPr>
        <w:footnoteReference w:id="50"/>
      </w:r>
      <w:r w:rsidR="0006536E" w:rsidRPr="00BD1319">
        <w:rPr>
          <w:spacing w:val="-3"/>
        </w:rPr>
        <w:t xml:space="preserve"> que podrían ser restringidos, a</w:t>
      </w:r>
      <w:r w:rsidR="00FA1A73" w:rsidRPr="00BD1319">
        <w:rPr>
          <w:spacing w:val="-3"/>
        </w:rPr>
        <w:t>i</w:t>
      </w:r>
      <w:r w:rsidR="0006536E" w:rsidRPr="00BD1319">
        <w:rPr>
          <w:spacing w:val="-3"/>
        </w:rPr>
        <w:t>slados o fragmentados temporal o permanente</w:t>
      </w:r>
      <w:r w:rsidRPr="00BD1319">
        <w:rPr>
          <w:spacing w:val="-3"/>
        </w:rPr>
        <w:t xml:space="preserve">. Este análisis debe desarrollarse </w:t>
      </w:r>
      <w:r w:rsidRPr="00BD1319">
        <w:rPr>
          <w:rFonts w:cs="Arial"/>
          <w:spacing w:val="-3"/>
        </w:rPr>
        <w:t>a partir de información cartográfica u otro tipo de información secundaria disponible.</w:t>
      </w:r>
    </w:p>
    <w:p w14:paraId="018B6D02" w14:textId="77777777" w:rsidR="0013620C" w:rsidRPr="00BD1319" w:rsidRDefault="0013620C" w:rsidP="00A235B6">
      <w:pPr>
        <w:numPr>
          <w:ilvl w:val="12"/>
          <w:numId w:val="0"/>
        </w:numPr>
        <w:tabs>
          <w:tab w:val="left" w:pos="-2268"/>
        </w:tabs>
        <w:suppressAutoHyphens/>
        <w:rPr>
          <w:spacing w:val="-3"/>
        </w:rPr>
      </w:pPr>
    </w:p>
    <w:p w14:paraId="459AD46C" w14:textId="45159037" w:rsidR="00457648" w:rsidRPr="00BD1319" w:rsidRDefault="008F0E3E" w:rsidP="00A235B6">
      <w:pPr>
        <w:numPr>
          <w:ilvl w:val="12"/>
          <w:numId w:val="0"/>
        </w:numPr>
        <w:tabs>
          <w:tab w:val="left" w:pos="-2268"/>
        </w:tabs>
        <w:suppressAutoHyphens/>
        <w:rPr>
          <w:spacing w:val="-3"/>
        </w:rPr>
      </w:pPr>
      <w:r w:rsidRPr="00BD1319">
        <w:rPr>
          <w:spacing w:val="-3"/>
        </w:rPr>
        <w:t>Asimismo, se debe d</w:t>
      </w:r>
      <w:r w:rsidR="00457648" w:rsidRPr="00BD1319">
        <w:rPr>
          <w:spacing w:val="-3"/>
        </w:rPr>
        <w:t xml:space="preserve">escribir el estado de </w:t>
      </w:r>
      <w:r w:rsidRPr="00BD1319">
        <w:rPr>
          <w:spacing w:val="-3"/>
        </w:rPr>
        <w:t>conservación</w:t>
      </w:r>
      <w:r w:rsidR="00457648" w:rsidRPr="00BD1319">
        <w:rPr>
          <w:spacing w:val="-3"/>
        </w:rPr>
        <w:t xml:space="preserve">, </w:t>
      </w:r>
      <w:r w:rsidRPr="00BD1319">
        <w:rPr>
          <w:spacing w:val="-3"/>
        </w:rPr>
        <w:t>problemática</w:t>
      </w:r>
      <w:r w:rsidR="00457648" w:rsidRPr="00BD1319">
        <w:rPr>
          <w:spacing w:val="-3"/>
        </w:rPr>
        <w:t xml:space="preserve"> ambiental y uso actual de los ecosistemas</w:t>
      </w:r>
      <w:r w:rsidRPr="00BD1319">
        <w:rPr>
          <w:spacing w:val="-3"/>
        </w:rPr>
        <w:t xml:space="preserve"> acuáticos continentales y marino costeros</w:t>
      </w:r>
      <w:r w:rsidR="00457648" w:rsidRPr="00BD1319">
        <w:rPr>
          <w:spacing w:val="-3"/>
        </w:rPr>
        <w:t xml:space="preserve">. </w:t>
      </w:r>
    </w:p>
    <w:p w14:paraId="354F4730" w14:textId="77777777" w:rsidR="00F97C5C" w:rsidRPr="00BD1319" w:rsidRDefault="00F97C5C">
      <w:pPr>
        <w:numPr>
          <w:ilvl w:val="12"/>
          <w:numId w:val="0"/>
        </w:numPr>
        <w:tabs>
          <w:tab w:val="left" w:pos="-2268"/>
        </w:tabs>
        <w:suppressAutoHyphens/>
        <w:rPr>
          <w:spacing w:val="-3"/>
        </w:rPr>
      </w:pPr>
    </w:p>
    <w:p w14:paraId="3D6AC139" w14:textId="60BAB2AC" w:rsidR="00F97C5C" w:rsidRPr="00BD1319" w:rsidRDefault="00F97C5C">
      <w:pPr>
        <w:numPr>
          <w:ilvl w:val="12"/>
          <w:numId w:val="0"/>
        </w:numPr>
        <w:tabs>
          <w:tab w:val="left" w:pos="-2268"/>
        </w:tabs>
        <w:suppressAutoHyphens/>
        <w:rPr>
          <w:spacing w:val="-3"/>
        </w:rPr>
      </w:pPr>
      <w:r w:rsidRPr="00BD1319">
        <w:rPr>
          <w:spacing w:val="-3"/>
        </w:rPr>
        <w:t xml:space="preserve">La información cartográfica resultante debe presentarse a la escala que establezcan los respectivos términos de referencia o a una </w:t>
      </w:r>
      <w:r w:rsidRPr="00BD1319">
        <w:rPr>
          <w:rFonts w:cs="Arial"/>
          <w:spacing w:val="-3"/>
        </w:rPr>
        <w:t xml:space="preserve">escala </w:t>
      </w:r>
      <w:r w:rsidRPr="00BD1319">
        <w:rPr>
          <w:spacing w:val="-3"/>
        </w:rPr>
        <w:t>más detallada si el análisis lo requiere.</w:t>
      </w:r>
    </w:p>
    <w:p w14:paraId="2597FA58" w14:textId="77777777" w:rsidR="00F97C5C" w:rsidRPr="00BD1319" w:rsidRDefault="00F97C5C">
      <w:pPr>
        <w:numPr>
          <w:ilvl w:val="12"/>
          <w:numId w:val="0"/>
        </w:numPr>
        <w:tabs>
          <w:tab w:val="left" w:pos="-2268"/>
        </w:tabs>
        <w:suppressAutoHyphens/>
        <w:rPr>
          <w:spacing w:val="-3"/>
        </w:rPr>
      </w:pPr>
    </w:p>
    <w:p w14:paraId="526BDA02" w14:textId="4AE3D82F" w:rsidR="00F97C5C" w:rsidRPr="00BD1319" w:rsidRDefault="0086126A" w:rsidP="00216955">
      <w:pPr>
        <w:pStyle w:val="Ttulo3"/>
      </w:pPr>
      <w:bookmarkStart w:id="2285" w:name="_Toc437935986"/>
      <w:bookmarkStart w:id="2286" w:name="_Toc42552224"/>
      <w:bookmarkStart w:id="2287" w:name="_Toc175326705"/>
      <w:r w:rsidRPr="00BD1319">
        <w:t>Áreas Ambientales Estratégicas</w:t>
      </w:r>
      <w:r w:rsidR="00F97C5C" w:rsidRPr="00BD1319">
        <w:t xml:space="preserve"> (</w:t>
      </w:r>
      <w:r w:rsidRPr="00BD1319">
        <w:t>AAE</w:t>
      </w:r>
      <w:r w:rsidR="00F97C5C" w:rsidRPr="00BD1319">
        <w:t>)</w:t>
      </w:r>
      <w:bookmarkEnd w:id="2285"/>
      <w:bookmarkEnd w:id="2286"/>
      <w:bookmarkEnd w:id="2287"/>
    </w:p>
    <w:p w14:paraId="0E9768FA" w14:textId="77777777" w:rsidR="00F97C5C" w:rsidRPr="00BD1319" w:rsidRDefault="00F97C5C">
      <w:pPr>
        <w:numPr>
          <w:ilvl w:val="12"/>
          <w:numId w:val="0"/>
        </w:numPr>
        <w:tabs>
          <w:tab w:val="left" w:pos="-2268"/>
        </w:tabs>
        <w:suppressAutoHyphens/>
        <w:rPr>
          <w:spacing w:val="-3"/>
        </w:rPr>
      </w:pPr>
    </w:p>
    <w:p w14:paraId="3DC21CA5" w14:textId="55EE92CF" w:rsidR="002F22C5" w:rsidRPr="00BD1319" w:rsidRDefault="0079485C">
      <w:pPr>
        <w:numPr>
          <w:ilvl w:val="12"/>
          <w:numId w:val="0"/>
        </w:numPr>
        <w:tabs>
          <w:tab w:val="left" w:pos="-2268"/>
        </w:tabs>
        <w:suppressAutoHyphens/>
        <w:rPr>
          <w:spacing w:val="-3"/>
        </w:rPr>
      </w:pPr>
      <w:r w:rsidRPr="00BD1319">
        <w:rPr>
          <w:rFonts w:cs="Arial"/>
          <w:spacing w:val="-3"/>
        </w:rPr>
        <w:t xml:space="preserve">Para </w:t>
      </w:r>
      <w:r w:rsidR="002F22C5" w:rsidRPr="00BD1319">
        <w:rPr>
          <w:spacing w:val="-3"/>
        </w:rPr>
        <w:t>determina</w:t>
      </w:r>
      <w:r w:rsidRPr="00BD1319">
        <w:rPr>
          <w:spacing w:val="-3"/>
        </w:rPr>
        <w:t>r</w:t>
      </w:r>
      <w:r w:rsidR="002F22C5" w:rsidRPr="00BD1319">
        <w:rPr>
          <w:spacing w:val="-3"/>
        </w:rPr>
        <w:t xml:space="preserve"> y localiza</w:t>
      </w:r>
      <w:r w:rsidRPr="00BD1319">
        <w:rPr>
          <w:spacing w:val="-3"/>
        </w:rPr>
        <w:t>r</w:t>
      </w:r>
      <w:r w:rsidR="006E5F1D" w:rsidRPr="00BD1319">
        <w:rPr>
          <w:spacing w:val="-3"/>
        </w:rPr>
        <w:t>, en el área de estudio de las alternativas del proyecto,</w:t>
      </w:r>
      <w:r w:rsidRPr="00BD1319">
        <w:rPr>
          <w:spacing w:val="-3"/>
        </w:rPr>
        <w:t xml:space="preserve"> </w:t>
      </w:r>
      <w:r w:rsidR="002F22C5" w:rsidRPr="00BD1319">
        <w:rPr>
          <w:spacing w:val="-3"/>
        </w:rPr>
        <w:t xml:space="preserve">las </w:t>
      </w:r>
      <w:r w:rsidR="0086126A" w:rsidRPr="00BD1319">
        <w:rPr>
          <w:spacing w:val="-3"/>
        </w:rPr>
        <w:t>AAE</w:t>
      </w:r>
      <w:r w:rsidR="002F22C5" w:rsidRPr="00BD1319">
        <w:rPr>
          <w:spacing w:val="-3"/>
        </w:rPr>
        <w:t xml:space="preserve"> públicas y privadas, de los ámbitos nacional, regional y local </w:t>
      </w:r>
      <w:r w:rsidR="002F22C5" w:rsidRPr="00BD1319">
        <w:rPr>
          <w:rFonts w:cs="Arial"/>
          <w:spacing w:val="-3"/>
        </w:rPr>
        <w:t xml:space="preserve">señaladas en la </w:t>
      </w:r>
      <w:r w:rsidR="002F22C5" w:rsidRPr="00BD1319">
        <w:rPr>
          <w:rFonts w:cs="Arial"/>
          <w:spacing w:val="-3"/>
        </w:rPr>
        <w:fldChar w:fldCharType="begin"/>
      </w:r>
      <w:r w:rsidR="002F22C5" w:rsidRPr="00BD1319">
        <w:rPr>
          <w:rFonts w:cs="Arial"/>
          <w:spacing w:val="-3"/>
        </w:rPr>
        <w:instrText xml:space="preserve"> REF _Ref72829375 \h  \* MERGEFORMAT </w:instrText>
      </w:r>
      <w:r w:rsidR="002F22C5" w:rsidRPr="00BD1319">
        <w:rPr>
          <w:rFonts w:cs="Arial"/>
          <w:spacing w:val="-3"/>
        </w:rPr>
      </w:r>
      <w:r w:rsidR="002F22C5" w:rsidRPr="00BD1319">
        <w:rPr>
          <w:rFonts w:cs="Arial"/>
          <w:spacing w:val="-3"/>
        </w:rPr>
        <w:fldChar w:fldCharType="separate"/>
      </w:r>
      <w:r w:rsidR="00296654" w:rsidRPr="00BD1319">
        <w:t>Tabla 12</w:t>
      </w:r>
      <w:r w:rsidR="002F22C5" w:rsidRPr="00BD1319">
        <w:rPr>
          <w:rFonts w:cs="Arial"/>
          <w:spacing w:val="-3"/>
        </w:rPr>
        <w:fldChar w:fldCharType="end"/>
      </w:r>
      <w:r w:rsidRPr="00BD1319">
        <w:rPr>
          <w:rFonts w:cs="Arial"/>
          <w:spacing w:val="-3"/>
        </w:rPr>
        <w:t>,</w:t>
      </w:r>
      <w:r w:rsidR="002F22C5" w:rsidRPr="00BD1319">
        <w:rPr>
          <w:rFonts w:cs="Arial"/>
          <w:spacing w:val="-3"/>
        </w:rPr>
        <w:t xml:space="preserve"> </w:t>
      </w:r>
      <w:r w:rsidR="006E5F1D" w:rsidRPr="00BD1319">
        <w:rPr>
          <w:spacing w:val="-3"/>
        </w:rPr>
        <w:t xml:space="preserve">así como su zonificación de manejo (en caso de existir), </w:t>
      </w:r>
      <w:r w:rsidR="002F22C5" w:rsidRPr="00BD1319">
        <w:rPr>
          <w:spacing w:val="-3"/>
        </w:rPr>
        <w:t xml:space="preserve">se </w:t>
      </w:r>
      <w:r w:rsidR="002F22C5" w:rsidRPr="00BD1319">
        <w:rPr>
          <w:rFonts w:cs="Arial"/>
          <w:spacing w:val="-3"/>
        </w:rPr>
        <w:t xml:space="preserve">debe </w:t>
      </w:r>
      <w:r w:rsidRPr="00BD1319">
        <w:rPr>
          <w:rFonts w:cs="Arial"/>
          <w:spacing w:val="-3"/>
        </w:rPr>
        <w:t xml:space="preserve">consultar </w:t>
      </w:r>
      <w:r w:rsidR="002F22C5" w:rsidRPr="00BD1319">
        <w:rPr>
          <w:rFonts w:cs="Arial"/>
          <w:spacing w:val="-3"/>
        </w:rPr>
        <w:t xml:space="preserve">cartografía reconocida por alguna entidad estatal del SINA, como por ejemplo, la incorporada en el </w:t>
      </w:r>
      <w:r w:rsidR="002F22C5" w:rsidRPr="00BD1319">
        <w:rPr>
          <w:spacing w:val="-3"/>
        </w:rPr>
        <w:t xml:space="preserve">Registro </w:t>
      </w:r>
      <w:r w:rsidR="002F22C5" w:rsidRPr="00BD1319">
        <w:rPr>
          <w:rFonts w:cs="Arial"/>
          <w:spacing w:val="-3"/>
        </w:rPr>
        <w:t>Único</w:t>
      </w:r>
      <w:r w:rsidR="002F22C5" w:rsidRPr="00BD1319">
        <w:rPr>
          <w:spacing w:val="-3"/>
        </w:rPr>
        <w:t xml:space="preserve"> de Ecosistemas y Áreas Ambientales (REAA) y el Registro Único Nacional de Áreas Protegidas (RUNAP); asimismo</w:t>
      </w:r>
      <w:r w:rsidR="002F22C5" w:rsidRPr="00BD1319">
        <w:rPr>
          <w:rFonts w:cs="Arial"/>
          <w:spacing w:val="-3"/>
        </w:rPr>
        <w:t>,</w:t>
      </w:r>
      <w:r w:rsidR="002F22C5" w:rsidRPr="00BD1319">
        <w:rPr>
          <w:spacing w:val="-3"/>
        </w:rPr>
        <w:t xml:space="preserve"> es posible emplear </w:t>
      </w:r>
      <w:r w:rsidR="0069731B" w:rsidRPr="00BD1319">
        <w:rPr>
          <w:spacing w:val="-3"/>
        </w:rPr>
        <w:t xml:space="preserve">planes de manejo de las áreas protegidas, </w:t>
      </w:r>
      <w:r w:rsidR="002F22C5" w:rsidRPr="00BD1319">
        <w:rPr>
          <w:spacing w:val="-3"/>
        </w:rPr>
        <w:t xml:space="preserve">herramientas de análisis de información ambiental en línea como el </w:t>
      </w:r>
      <w:r w:rsidR="002F22C5" w:rsidRPr="00BD1319">
        <w:rPr>
          <w:rFonts w:cs="Arial"/>
          <w:spacing w:val="-3"/>
        </w:rPr>
        <w:t xml:space="preserve">Sistema de Información Ambiental de </w:t>
      </w:r>
      <w:r w:rsidR="002F22C5" w:rsidRPr="00BD1319">
        <w:rPr>
          <w:spacing w:val="-3"/>
        </w:rPr>
        <w:t>Colombia</w:t>
      </w:r>
      <w:r w:rsidR="002F22C5" w:rsidRPr="00BD1319">
        <w:rPr>
          <w:rFonts w:cs="Arial"/>
          <w:spacing w:val="-3"/>
        </w:rPr>
        <w:t xml:space="preserve"> (SIAC) y también, los portales Web de institutos de investigación adscritos y vinculados a Minambiente, de autoridades ambientales regionales, de la Agencia Nacional de Tierras (ANT), entre otros</w:t>
      </w:r>
      <w:r w:rsidR="002F22C5" w:rsidRPr="00BD1319">
        <w:rPr>
          <w:spacing w:val="-3"/>
        </w:rPr>
        <w:t>.</w:t>
      </w:r>
    </w:p>
    <w:p w14:paraId="364D47AC" w14:textId="77777777" w:rsidR="00F97C5C" w:rsidRPr="00BD1319" w:rsidRDefault="00F97C5C">
      <w:pPr>
        <w:numPr>
          <w:ilvl w:val="12"/>
          <w:numId w:val="0"/>
        </w:numPr>
        <w:tabs>
          <w:tab w:val="left" w:pos="-2268"/>
        </w:tabs>
        <w:suppressAutoHyphens/>
        <w:rPr>
          <w:spacing w:val="-3"/>
        </w:rPr>
      </w:pPr>
    </w:p>
    <w:p w14:paraId="312500F5" w14:textId="4C6BAA1A" w:rsidR="00463B7B" w:rsidRPr="00BD1319" w:rsidRDefault="00463B7B" w:rsidP="009420F5">
      <w:pPr>
        <w:pStyle w:val="Descripcin"/>
        <w:keepNext/>
        <w:jc w:val="center"/>
        <w:rPr>
          <w:b w:val="0"/>
        </w:rPr>
      </w:pPr>
      <w:bookmarkStart w:id="2288" w:name="_Ref72829375"/>
      <w:r w:rsidRPr="00BD1319">
        <w:t xml:space="preserve">Tabla </w:t>
      </w:r>
      <w:fldSimple w:instr=" SEQ Tabla \* ARABIC ">
        <w:r w:rsidR="00296654" w:rsidRPr="00BD1319">
          <w:rPr>
            <w:noProof/>
          </w:rPr>
          <w:t>12</w:t>
        </w:r>
      </w:fldSimple>
      <w:bookmarkEnd w:id="2288"/>
      <w:r w:rsidRPr="00BD1319">
        <w:t xml:space="preserve">. </w:t>
      </w:r>
      <w:r w:rsidR="0086126A" w:rsidRPr="00BD1319">
        <w:rPr>
          <w:b w:val="0"/>
        </w:rPr>
        <w:t>Áreas Ambientales Estratégicas</w:t>
      </w:r>
      <w:r w:rsidRPr="00BD1319">
        <w:rPr>
          <w:b w:val="0"/>
        </w:rPr>
        <w:t xml:space="preserve"> (</w:t>
      </w:r>
      <w:r w:rsidR="0086126A" w:rsidRPr="00BD1319">
        <w:rPr>
          <w:b w:val="0"/>
        </w:rPr>
        <w:t>AAE</w:t>
      </w:r>
      <w:r w:rsidRPr="00BD1319">
        <w:rPr>
          <w:b w:val="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62"/>
        <w:gridCol w:w="6512"/>
      </w:tblGrid>
      <w:tr w:rsidR="00416765" w:rsidRPr="00BD1319" w14:paraId="66343149" w14:textId="77777777" w:rsidTr="00713F06">
        <w:trPr>
          <w:trHeight w:hRule="exact" w:val="340"/>
          <w:tblHeader/>
          <w:jc w:val="center"/>
        </w:trPr>
        <w:tc>
          <w:tcPr>
            <w:tcW w:w="2562" w:type="dxa"/>
            <w:vAlign w:val="center"/>
          </w:tcPr>
          <w:p w14:paraId="76443A87" w14:textId="77777777" w:rsidR="00416765" w:rsidRPr="00BD1319" w:rsidRDefault="00416765" w:rsidP="00C86DA5">
            <w:pPr>
              <w:numPr>
                <w:ilvl w:val="12"/>
                <w:numId w:val="0"/>
              </w:numPr>
              <w:tabs>
                <w:tab w:val="left" w:pos="-2268"/>
              </w:tabs>
              <w:suppressAutoHyphens/>
              <w:jc w:val="center"/>
              <w:rPr>
                <w:rFonts w:cs="Arial"/>
                <w:b/>
                <w:bCs/>
                <w:spacing w:val="-3"/>
                <w:sz w:val="20"/>
                <w:szCs w:val="20"/>
              </w:rPr>
            </w:pPr>
            <w:r w:rsidRPr="00BD1319">
              <w:rPr>
                <w:rFonts w:cs="Arial"/>
                <w:b/>
                <w:bCs/>
                <w:spacing w:val="-3"/>
                <w:sz w:val="20"/>
                <w:szCs w:val="20"/>
              </w:rPr>
              <w:t>Categoría</w:t>
            </w:r>
          </w:p>
        </w:tc>
        <w:tc>
          <w:tcPr>
            <w:tcW w:w="6512" w:type="dxa"/>
            <w:shd w:val="clear" w:color="auto" w:fill="auto"/>
            <w:vAlign w:val="center"/>
            <w:hideMark/>
          </w:tcPr>
          <w:p w14:paraId="3286533E" w14:textId="77777777" w:rsidR="00416765" w:rsidRPr="00BD1319" w:rsidRDefault="00416765" w:rsidP="00C86DA5">
            <w:pPr>
              <w:numPr>
                <w:ilvl w:val="12"/>
                <w:numId w:val="0"/>
              </w:numPr>
              <w:tabs>
                <w:tab w:val="left" w:pos="-2268"/>
              </w:tabs>
              <w:suppressAutoHyphens/>
              <w:jc w:val="center"/>
              <w:rPr>
                <w:rFonts w:cs="Arial"/>
                <w:b/>
                <w:bCs/>
                <w:spacing w:val="-3"/>
                <w:sz w:val="20"/>
                <w:szCs w:val="20"/>
              </w:rPr>
            </w:pPr>
            <w:r w:rsidRPr="00BD1319">
              <w:rPr>
                <w:rFonts w:cs="Arial"/>
                <w:b/>
                <w:bCs/>
                <w:spacing w:val="-3"/>
                <w:sz w:val="20"/>
                <w:szCs w:val="20"/>
              </w:rPr>
              <w:t>Tipo de área</w:t>
            </w:r>
          </w:p>
        </w:tc>
      </w:tr>
      <w:tr w:rsidR="00416765" w:rsidRPr="00BD1319" w14:paraId="2DFD55EE" w14:textId="77777777" w:rsidTr="00713F06">
        <w:trPr>
          <w:trHeight w:hRule="exact" w:val="340"/>
          <w:jc w:val="center"/>
        </w:trPr>
        <w:tc>
          <w:tcPr>
            <w:tcW w:w="2562" w:type="dxa"/>
            <w:vMerge w:val="restart"/>
            <w:vAlign w:val="center"/>
          </w:tcPr>
          <w:p w14:paraId="7B53AD76" w14:textId="357E39BA" w:rsidR="00416765" w:rsidRPr="00BD1319" w:rsidRDefault="00830E19" w:rsidP="00416765">
            <w:pPr>
              <w:numPr>
                <w:ilvl w:val="12"/>
                <w:numId w:val="0"/>
              </w:numPr>
              <w:tabs>
                <w:tab w:val="left" w:pos="-2268"/>
              </w:tabs>
              <w:suppressAutoHyphens/>
              <w:rPr>
                <w:rFonts w:cs="Arial"/>
                <w:iCs/>
                <w:spacing w:val="-3"/>
                <w:sz w:val="20"/>
                <w:szCs w:val="20"/>
              </w:rPr>
            </w:pPr>
            <w:proofErr w:type="spellStart"/>
            <w:r w:rsidRPr="00BD1319">
              <w:rPr>
                <w:rFonts w:cs="Arial"/>
                <w:iCs/>
                <w:spacing w:val="-3"/>
                <w:sz w:val="20"/>
                <w:szCs w:val="20"/>
              </w:rPr>
              <w:t>Sinap</w:t>
            </w:r>
            <w:proofErr w:type="spellEnd"/>
            <w:r w:rsidR="00416765" w:rsidRPr="00BD1319">
              <w:rPr>
                <w:rFonts w:cs="Arial"/>
                <w:iCs/>
                <w:spacing w:val="-3"/>
                <w:sz w:val="20"/>
                <w:szCs w:val="20"/>
              </w:rPr>
              <w:t xml:space="preserve"> – Áreas del SPNN</w:t>
            </w:r>
          </w:p>
        </w:tc>
        <w:tc>
          <w:tcPr>
            <w:tcW w:w="6512" w:type="dxa"/>
            <w:shd w:val="clear" w:color="auto" w:fill="auto"/>
            <w:vAlign w:val="center"/>
            <w:hideMark/>
          </w:tcPr>
          <w:p w14:paraId="54326FF1" w14:textId="77777777" w:rsidR="00416765" w:rsidRPr="00BD1319" w:rsidRDefault="00416765" w:rsidP="00416765">
            <w:pPr>
              <w:numPr>
                <w:ilvl w:val="12"/>
                <w:numId w:val="0"/>
              </w:numPr>
              <w:tabs>
                <w:tab w:val="left" w:pos="-2268"/>
              </w:tabs>
              <w:suppressAutoHyphens/>
              <w:rPr>
                <w:rFonts w:cs="Arial"/>
                <w:spacing w:val="-3"/>
                <w:sz w:val="20"/>
                <w:szCs w:val="20"/>
              </w:rPr>
            </w:pPr>
            <w:r w:rsidRPr="00BD1319">
              <w:rPr>
                <w:rFonts w:cs="Arial"/>
                <w:spacing w:val="-3"/>
                <w:sz w:val="20"/>
                <w:szCs w:val="20"/>
              </w:rPr>
              <w:t>Parque nacional natural</w:t>
            </w:r>
          </w:p>
        </w:tc>
      </w:tr>
      <w:tr w:rsidR="00416765" w:rsidRPr="00BD1319" w14:paraId="1A920EDB" w14:textId="77777777" w:rsidTr="00713F06">
        <w:trPr>
          <w:trHeight w:hRule="exact" w:val="340"/>
          <w:jc w:val="center"/>
        </w:trPr>
        <w:tc>
          <w:tcPr>
            <w:tcW w:w="2562" w:type="dxa"/>
            <w:vMerge/>
            <w:vAlign w:val="center"/>
          </w:tcPr>
          <w:p w14:paraId="6AD65C15" w14:textId="77777777" w:rsidR="00416765" w:rsidRPr="00BD1319" w:rsidRDefault="00416765" w:rsidP="00416765">
            <w:pPr>
              <w:numPr>
                <w:ilvl w:val="12"/>
                <w:numId w:val="0"/>
              </w:numPr>
              <w:tabs>
                <w:tab w:val="left" w:pos="-2268"/>
              </w:tabs>
              <w:suppressAutoHyphens/>
              <w:rPr>
                <w:rFonts w:cs="Arial"/>
                <w:iCs/>
                <w:spacing w:val="-3"/>
                <w:sz w:val="20"/>
                <w:szCs w:val="20"/>
              </w:rPr>
            </w:pPr>
          </w:p>
        </w:tc>
        <w:tc>
          <w:tcPr>
            <w:tcW w:w="6512" w:type="dxa"/>
            <w:shd w:val="clear" w:color="auto" w:fill="auto"/>
            <w:vAlign w:val="center"/>
            <w:hideMark/>
          </w:tcPr>
          <w:p w14:paraId="3C977C8D" w14:textId="77777777" w:rsidR="00416765" w:rsidRPr="00BD1319" w:rsidRDefault="00416765" w:rsidP="00416765">
            <w:pPr>
              <w:numPr>
                <w:ilvl w:val="12"/>
                <w:numId w:val="0"/>
              </w:numPr>
              <w:tabs>
                <w:tab w:val="left" w:pos="-2268"/>
              </w:tabs>
              <w:suppressAutoHyphens/>
              <w:rPr>
                <w:rFonts w:cs="Arial"/>
                <w:spacing w:val="-3"/>
                <w:sz w:val="20"/>
                <w:szCs w:val="20"/>
              </w:rPr>
            </w:pPr>
            <w:r w:rsidRPr="00BD1319">
              <w:rPr>
                <w:rFonts w:cs="Arial"/>
                <w:spacing w:val="-3"/>
                <w:sz w:val="20"/>
                <w:szCs w:val="20"/>
              </w:rPr>
              <w:t>Reserva natural</w:t>
            </w:r>
          </w:p>
        </w:tc>
      </w:tr>
      <w:tr w:rsidR="00416765" w:rsidRPr="00BD1319" w14:paraId="59BC7413" w14:textId="77777777" w:rsidTr="00713F06">
        <w:trPr>
          <w:trHeight w:hRule="exact" w:val="340"/>
          <w:jc w:val="center"/>
        </w:trPr>
        <w:tc>
          <w:tcPr>
            <w:tcW w:w="2562" w:type="dxa"/>
            <w:vMerge/>
            <w:vAlign w:val="center"/>
          </w:tcPr>
          <w:p w14:paraId="7050B508" w14:textId="77777777" w:rsidR="00416765" w:rsidRPr="00BD1319" w:rsidRDefault="00416765" w:rsidP="00416765">
            <w:pPr>
              <w:numPr>
                <w:ilvl w:val="12"/>
                <w:numId w:val="0"/>
              </w:numPr>
              <w:tabs>
                <w:tab w:val="left" w:pos="-2268"/>
              </w:tabs>
              <w:suppressAutoHyphens/>
              <w:rPr>
                <w:rFonts w:cs="Arial"/>
                <w:iCs/>
                <w:spacing w:val="-3"/>
                <w:sz w:val="20"/>
                <w:szCs w:val="20"/>
              </w:rPr>
            </w:pPr>
          </w:p>
        </w:tc>
        <w:tc>
          <w:tcPr>
            <w:tcW w:w="6512" w:type="dxa"/>
            <w:shd w:val="clear" w:color="auto" w:fill="auto"/>
            <w:vAlign w:val="center"/>
            <w:hideMark/>
          </w:tcPr>
          <w:p w14:paraId="633DED10" w14:textId="77777777" w:rsidR="00416765" w:rsidRPr="00BD1319" w:rsidRDefault="00416765" w:rsidP="00416765">
            <w:pPr>
              <w:numPr>
                <w:ilvl w:val="12"/>
                <w:numId w:val="0"/>
              </w:numPr>
              <w:tabs>
                <w:tab w:val="left" w:pos="-2268"/>
              </w:tabs>
              <w:suppressAutoHyphens/>
              <w:rPr>
                <w:rFonts w:cs="Arial"/>
                <w:spacing w:val="-3"/>
                <w:sz w:val="20"/>
                <w:szCs w:val="20"/>
              </w:rPr>
            </w:pPr>
            <w:r w:rsidRPr="00BD1319">
              <w:rPr>
                <w:rFonts w:cs="Arial"/>
                <w:spacing w:val="-3"/>
                <w:sz w:val="20"/>
                <w:szCs w:val="20"/>
              </w:rPr>
              <w:t>Área natural única</w:t>
            </w:r>
          </w:p>
        </w:tc>
      </w:tr>
      <w:tr w:rsidR="00416765" w:rsidRPr="00BD1319" w14:paraId="58DD1913" w14:textId="77777777" w:rsidTr="00713F06">
        <w:trPr>
          <w:trHeight w:hRule="exact" w:val="340"/>
          <w:jc w:val="center"/>
        </w:trPr>
        <w:tc>
          <w:tcPr>
            <w:tcW w:w="2562" w:type="dxa"/>
            <w:vMerge/>
            <w:vAlign w:val="center"/>
          </w:tcPr>
          <w:p w14:paraId="2DBDE102" w14:textId="77777777" w:rsidR="00416765" w:rsidRPr="00BD1319" w:rsidRDefault="00416765" w:rsidP="00416765">
            <w:pPr>
              <w:numPr>
                <w:ilvl w:val="12"/>
                <w:numId w:val="0"/>
              </w:numPr>
              <w:tabs>
                <w:tab w:val="left" w:pos="-2268"/>
              </w:tabs>
              <w:suppressAutoHyphens/>
              <w:rPr>
                <w:rFonts w:cs="Arial"/>
                <w:iCs/>
                <w:spacing w:val="-3"/>
                <w:sz w:val="20"/>
                <w:szCs w:val="20"/>
              </w:rPr>
            </w:pPr>
          </w:p>
        </w:tc>
        <w:tc>
          <w:tcPr>
            <w:tcW w:w="6512" w:type="dxa"/>
            <w:shd w:val="clear" w:color="auto" w:fill="auto"/>
            <w:vAlign w:val="center"/>
            <w:hideMark/>
          </w:tcPr>
          <w:p w14:paraId="686DD6FA" w14:textId="77777777" w:rsidR="00416765" w:rsidRPr="00BD1319" w:rsidRDefault="00416765" w:rsidP="00416765">
            <w:pPr>
              <w:numPr>
                <w:ilvl w:val="12"/>
                <w:numId w:val="0"/>
              </w:numPr>
              <w:tabs>
                <w:tab w:val="left" w:pos="-2268"/>
              </w:tabs>
              <w:suppressAutoHyphens/>
              <w:rPr>
                <w:rFonts w:cs="Arial"/>
                <w:spacing w:val="-3"/>
                <w:sz w:val="20"/>
                <w:szCs w:val="20"/>
              </w:rPr>
            </w:pPr>
            <w:r w:rsidRPr="00BD1319">
              <w:rPr>
                <w:rFonts w:cs="Arial"/>
                <w:spacing w:val="-3"/>
                <w:sz w:val="20"/>
                <w:szCs w:val="20"/>
              </w:rPr>
              <w:t>Santuario de flora</w:t>
            </w:r>
          </w:p>
        </w:tc>
      </w:tr>
      <w:tr w:rsidR="00416765" w:rsidRPr="00BD1319" w14:paraId="11AD1917" w14:textId="77777777" w:rsidTr="00713F06">
        <w:trPr>
          <w:trHeight w:hRule="exact" w:val="340"/>
          <w:jc w:val="center"/>
        </w:trPr>
        <w:tc>
          <w:tcPr>
            <w:tcW w:w="2562" w:type="dxa"/>
            <w:vMerge/>
            <w:vAlign w:val="center"/>
          </w:tcPr>
          <w:p w14:paraId="3517C917" w14:textId="77777777" w:rsidR="00416765" w:rsidRPr="00BD1319" w:rsidRDefault="00416765" w:rsidP="00416765">
            <w:pPr>
              <w:numPr>
                <w:ilvl w:val="12"/>
                <w:numId w:val="0"/>
              </w:numPr>
              <w:tabs>
                <w:tab w:val="left" w:pos="-2268"/>
              </w:tabs>
              <w:suppressAutoHyphens/>
              <w:rPr>
                <w:rFonts w:cs="Arial"/>
                <w:iCs/>
                <w:spacing w:val="-3"/>
                <w:sz w:val="20"/>
                <w:szCs w:val="20"/>
              </w:rPr>
            </w:pPr>
          </w:p>
        </w:tc>
        <w:tc>
          <w:tcPr>
            <w:tcW w:w="6512" w:type="dxa"/>
            <w:shd w:val="clear" w:color="auto" w:fill="auto"/>
            <w:vAlign w:val="center"/>
            <w:hideMark/>
          </w:tcPr>
          <w:p w14:paraId="6C8A535D" w14:textId="77777777" w:rsidR="00416765" w:rsidRPr="00BD1319" w:rsidRDefault="00416765" w:rsidP="00416765">
            <w:pPr>
              <w:numPr>
                <w:ilvl w:val="12"/>
                <w:numId w:val="0"/>
              </w:numPr>
              <w:tabs>
                <w:tab w:val="left" w:pos="-2268"/>
              </w:tabs>
              <w:suppressAutoHyphens/>
              <w:rPr>
                <w:rFonts w:cs="Arial"/>
                <w:spacing w:val="-3"/>
                <w:sz w:val="20"/>
                <w:szCs w:val="20"/>
              </w:rPr>
            </w:pPr>
            <w:r w:rsidRPr="00BD1319">
              <w:rPr>
                <w:rFonts w:cs="Arial"/>
                <w:spacing w:val="-3"/>
                <w:sz w:val="20"/>
                <w:szCs w:val="20"/>
              </w:rPr>
              <w:t>Santuario de fauna</w:t>
            </w:r>
          </w:p>
        </w:tc>
      </w:tr>
      <w:tr w:rsidR="00416765" w:rsidRPr="00BD1319" w14:paraId="01AA861D" w14:textId="77777777" w:rsidTr="00713F06">
        <w:trPr>
          <w:trHeight w:hRule="exact" w:val="340"/>
          <w:jc w:val="center"/>
        </w:trPr>
        <w:tc>
          <w:tcPr>
            <w:tcW w:w="2562" w:type="dxa"/>
            <w:vMerge/>
            <w:vAlign w:val="center"/>
          </w:tcPr>
          <w:p w14:paraId="38A83609" w14:textId="77777777" w:rsidR="00416765" w:rsidRPr="00BD1319" w:rsidRDefault="00416765" w:rsidP="00416765">
            <w:pPr>
              <w:numPr>
                <w:ilvl w:val="12"/>
                <w:numId w:val="0"/>
              </w:numPr>
              <w:tabs>
                <w:tab w:val="left" w:pos="-2268"/>
              </w:tabs>
              <w:suppressAutoHyphens/>
              <w:rPr>
                <w:rFonts w:cs="Arial"/>
                <w:iCs/>
                <w:spacing w:val="-3"/>
                <w:sz w:val="20"/>
                <w:szCs w:val="20"/>
              </w:rPr>
            </w:pPr>
          </w:p>
        </w:tc>
        <w:tc>
          <w:tcPr>
            <w:tcW w:w="6512" w:type="dxa"/>
            <w:shd w:val="clear" w:color="auto" w:fill="auto"/>
            <w:vAlign w:val="center"/>
          </w:tcPr>
          <w:p w14:paraId="282DD754" w14:textId="77777777" w:rsidR="00416765" w:rsidRPr="00BD1319" w:rsidRDefault="00416765" w:rsidP="00416765">
            <w:pPr>
              <w:numPr>
                <w:ilvl w:val="12"/>
                <w:numId w:val="0"/>
              </w:numPr>
              <w:tabs>
                <w:tab w:val="left" w:pos="-2268"/>
              </w:tabs>
              <w:suppressAutoHyphens/>
              <w:rPr>
                <w:rFonts w:cs="Arial"/>
                <w:spacing w:val="-3"/>
                <w:sz w:val="20"/>
                <w:szCs w:val="20"/>
              </w:rPr>
            </w:pPr>
            <w:r w:rsidRPr="00BD1319">
              <w:rPr>
                <w:rFonts w:cs="Arial"/>
                <w:spacing w:val="-3"/>
                <w:sz w:val="20"/>
                <w:szCs w:val="20"/>
              </w:rPr>
              <w:t>Santuario de fauna y flora</w:t>
            </w:r>
          </w:p>
        </w:tc>
      </w:tr>
      <w:tr w:rsidR="00416765" w:rsidRPr="00BD1319" w14:paraId="5484352E" w14:textId="77777777" w:rsidTr="00713F06">
        <w:trPr>
          <w:trHeight w:hRule="exact" w:val="340"/>
          <w:jc w:val="center"/>
        </w:trPr>
        <w:tc>
          <w:tcPr>
            <w:tcW w:w="2562" w:type="dxa"/>
            <w:vMerge/>
            <w:vAlign w:val="center"/>
          </w:tcPr>
          <w:p w14:paraId="05E7BCCA" w14:textId="77777777" w:rsidR="00416765" w:rsidRPr="00BD1319" w:rsidRDefault="00416765" w:rsidP="00416765">
            <w:pPr>
              <w:numPr>
                <w:ilvl w:val="12"/>
                <w:numId w:val="0"/>
              </w:numPr>
              <w:tabs>
                <w:tab w:val="left" w:pos="-2268"/>
              </w:tabs>
              <w:suppressAutoHyphens/>
              <w:rPr>
                <w:rFonts w:cs="Arial"/>
                <w:iCs/>
                <w:spacing w:val="-3"/>
                <w:sz w:val="20"/>
                <w:szCs w:val="20"/>
              </w:rPr>
            </w:pPr>
          </w:p>
        </w:tc>
        <w:tc>
          <w:tcPr>
            <w:tcW w:w="6512" w:type="dxa"/>
            <w:shd w:val="clear" w:color="auto" w:fill="auto"/>
            <w:vAlign w:val="center"/>
            <w:hideMark/>
          </w:tcPr>
          <w:p w14:paraId="264231FB" w14:textId="77777777" w:rsidR="00416765" w:rsidRPr="00BD1319" w:rsidRDefault="00416765" w:rsidP="00416765">
            <w:pPr>
              <w:numPr>
                <w:ilvl w:val="12"/>
                <w:numId w:val="0"/>
              </w:numPr>
              <w:tabs>
                <w:tab w:val="left" w:pos="-2268"/>
              </w:tabs>
              <w:suppressAutoHyphens/>
              <w:rPr>
                <w:rFonts w:cs="Arial"/>
                <w:spacing w:val="-3"/>
                <w:sz w:val="20"/>
                <w:szCs w:val="20"/>
              </w:rPr>
            </w:pPr>
            <w:r w:rsidRPr="00BD1319">
              <w:rPr>
                <w:rFonts w:cs="Arial"/>
                <w:spacing w:val="-3"/>
                <w:sz w:val="20"/>
                <w:szCs w:val="20"/>
              </w:rPr>
              <w:t>Vía parque</w:t>
            </w:r>
          </w:p>
        </w:tc>
      </w:tr>
      <w:tr w:rsidR="00416765" w:rsidRPr="00BD1319" w14:paraId="20F13EC8" w14:textId="77777777" w:rsidTr="00713F06">
        <w:trPr>
          <w:trHeight w:hRule="exact" w:val="340"/>
          <w:jc w:val="center"/>
        </w:trPr>
        <w:tc>
          <w:tcPr>
            <w:tcW w:w="2562" w:type="dxa"/>
            <w:vMerge w:val="restart"/>
            <w:vAlign w:val="center"/>
          </w:tcPr>
          <w:p w14:paraId="6EF91773" w14:textId="46795B74" w:rsidR="00416765" w:rsidRPr="00BD1319" w:rsidRDefault="00830E19" w:rsidP="00416765">
            <w:pPr>
              <w:numPr>
                <w:ilvl w:val="12"/>
                <w:numId w:val="0"/>
              </w:numPr>
              <w:tabs>
                <w:tab w:val="left" w:pos="-2268"/>
              </w:tabs>
              <w:suppressAutoHyphens/>
              <w:rPr>
                <w:rFonts w:cs="Arial"/>
                <w:iCs/>
                <w:spacing w:val="-3"/>
                <w:sz w:val="20"/>
                <w:szCs w:val="20"/>
              </w:rPr>
            </w:pPr>
            <w:proofErr w:type="spellStart"/>
            <w:r w:rsidRPr="00BD1319">
              <w:rPr>
                <w:rFonts w:cs="Arial"/>
                <w:iCs/>
                <w:spacing w:val="-3"/>
                <w:sz w:val="20"/>
                <w:szCs w:val="20"/>
              </w:rPr>
              <w:t>Sinap</w:t>
            </w:r>
            <w:proofErr w:type="spellEnd"/>
            <w:r w:rsidR="00416765" w:rsidRPr="00BD1319">
              <w:rPr>
                <w:rFonts w:cs="Arial"/>
                <w:iCs/>
                <w:spacing w:val="-3"/>
                <w:sz w:val="20"/>
                <w:szCs w:val="20"/>
              </w:rPr>
              <w:t xml:space="preserve"> – Otras áreas</w:t>
            </w:r>
          </w:p>
        </w:tc>
        <w:tc>
          <w:tcPr>
            <w:tcW w:w="6512" w:type="dxa"/>
            <w:shd w:val="clear" w:color="auto" w:fill="auto"/>
            <w:vAlign w:val="center"/>
          </w:tcPr>
          <w:p w14:paraId="65058CA3" w14:textId="77777777" w:rsidR="00416765" w:rsidRPr="00BD1319" w:rsidRDefault="00416765" w:rsidP="00416765">
            <w:pPr>
              <w:numPr>
                <w:ilvl w:val="12"/>
                <w:numId w:val="0"/>
              </w:numPr>
              <w:tabs>
                <w:tab w:val="left" w:pos="-2268"/>
              </w:tabs>
              <w:suppressAutoHyphens/>
              <w:rPr>
                <w:rFonts w:cs="Arial"/>
                <w:spacing w:val="-3"/>
                <w:sz w:val="20"/>
                <w:szCs w:val="20"/>
              </w:rPr>
            </w:pPr>
            <w:r w:rsidRPr="00BD1319">
              <w:rPr>
                <w:rFonts w:cs="Arial"/>
                <w:spacing w:val="-3"/>
                <w:sz w:val="20"/>
                <w:szCs w:val="20"/>
              </w:rPr>
              <w:t>Parque regional natural</w:t>
            </w:r>
          </w:p>
        </w:tc>
      </w:tr>
      <w:tr w:rsidR="00416765" w:rsidRPr="00BD1319" w14:paraId="2F1BC5E6" w14:textId="77777777" w:rsidTr="00713F06">
        <w:trPr>
          <w:trHeight w:hRule="exact" w:val="340"/>
          <w:jc w:val="center"/>
        </w:trPr>
        <w:tc>
          <w:tcPr>
            <w:tcW w:w="2562" w:type="dxa"/>
            <w:vMerge/>
            <w:vAlign w:val="center"/>
          </w:tcPr>
          <w:p w14:paraId="620231E8" w14:textId="77777777" w:rsidR="00416765" w:rsidRPr="00BD1319" w:rsidRDefault="00416765" w:rsidP="00416765">
            <w:pPr>
              <w:numPr>
                <w:ilvl w:val="12"/>
                <w:numId w:val="0"/>
              </w:numPr>
              <w:tabs>
                <w:tab w:val="left" w:pos="-2268"/>
              </w:tabs>
              <w:suppressAutoHyphens/>
              <w:rPr>
                <w:rFonts w:cs="Arial"/>
                <w:iCs/>
                <w:spacing w:val="-3"/>
                <w:sz w:val="20"/>
                <w:szCs w:val="20"/>
              </w:rPr>
            </w:pPr>
          </w:p>
        </w:tc>
        <w:tc>
          <w:tcPr>
            <w:tcW w:w="6512" w:type="dxa"/>
            <w:shd w:val="clear" w:color="auto" w:fill="auto"/>
            <w:vAlign w:val="center"/>
          </w:tcPr>
          <w:p w14:paraId="0941746A" w14:textId="77777777" w:rsidR="00416765" w:rsidRPr="00BD1319" w:rsidRDefault="00416765" w:rsidP="00416765">
            <w:pPr>
              <w:numPr>
                <w:ilvl w:val="12"/>
                <w:numId w:val="0"/>
              </w:numPr>
              <w:tabs>
                <w:tab w:val="left" w:pos="-2268"/>
              </w:tabs>
              <w:suppressAutoHyphens/>
              <w:rPr>
                <w:rFonts w:cs="Arial"/>
                <w:spacing w:val="-3"/>
                <w:sz w:val="20"/>
                <w:szCs w:val="20"/>
              </w:rPr>
            </w:pPr>
            <w:r w:rsidRPr="00BD1319">
              <w:rPr>
                <w:rFonts w:cs="Arial"/>
                <w:spacing w:val="-3"/>
                <w:sz w:val="20"/>
                <w:szCs w:val="20"/>
              </w:rPr>
              <w:t>Reserva forestal protectora nacional</w:t>
            </w:r>
          </w:p>
        </w:tc>
      </w:tr>
      <w:tr w:rsidR="00416765" w:rsidRPr="00BD1319" w14:paraId="121E8DC4" w14:textId="77777777" w:rsidTr="00713F06">
        <w:trPr>
          <w:trHeight w:hRule="exact" w:val="340"/>
          <w:jc w:val="center"/>
        </w:trPr>
        <w:tc>
          <w:tcPr>
            <w:tcW w:w="2562" w:type="dxa"/>
            <w:vMerge/>
            <w:vAlign w:val="center"/>
          </w:tcPr>
          <w:p w14:paraId="5783D5A8" w14:textId="77777777" w:rsidR="00416765" w:rsidRPr="00BD1319" w:rsidRDefault="00416765" w:rsidP="00416765">
            <w:pPr>
              <w:numPr>
                <w:ilvl w:val="12"/>
                <w:numId w:val="0"/>
              </w:numPr>
              <w:tabs>
                <w:tab w:val="left" w:pos="-2268"/>
              </w:tabs>
              <w:suppressAutoHyphens/>
              <w:rPr>
                <w:rFonts w:cs="Arial"/>
                <w:iCs/>
                <w:spacing w:val="-3"/>
                <w:sz w:val="20"/>
                <w:szCs w:val="20"/>
              </w:rPr>
            </w:pPr>
          </w:p>
        </w:tc>
        <w:tc>
          <w:tcPr>
            <w:tcW w:w="6512" w:type="dxa"/>
            <w:shd w:val="clear" w:color="auto" w:fill="auto"/>
            <w:vAlign w:val="center"/>
          </w:tcPr>
          <w:p w14:paraId="77A86458" w14:textId="77777777" w:rsidR="00416765" w:rsidRPr="00BD1319" w:rsidRDefault="00416765" w:rsidP="00416765">
            <w:pPr>
              <w:numPr>
                <w:ilvl w:val="12"/>
                <w:numId w:val="0"/>
              </w:numPr>
              <w:tabs>
                <w:tab w:val="left" w:pos="-2268"/>
              </w:tabs>
              <w:suppressAutoHyphens/>
              <w:rPr>
                <w:rFonts w:cs="Arial"/>
                <w:spacing w:val="-3"/>
                <w:sz w:val="20"/>
                <w:szCs w:val="20"/>
              </w:rPr>
            </w:pPr>
            <w:r w:rsidRPr="00BD1319">
              <w:rPr>
                <w:rFonts w:cs="Arial"/>
                <w:spacing w:val="-3"/>
                <w:sz w:val="20"/>
                <w:szCs w:val="20"/>
              </w:rPr>
              <w:t>Reserva forestal protectora regional</w:t>
            </w:r>
          </w:p>
        </w:tc>
      </w:tr>
      <w:tr w:rsidR="00416765" w:rsidRPr="00BD1319" w14:paraId="1CBAB44F" w14:textId="77777777" w:rsidTr="00713F06">
        <w:trPr>
          <w:trHeight w:hRule="exact" w:val="340"/>
          <w:jc w:val="center"/>
        </w:trPr>
        <w:tc>
          <w:tcPr>
            <w:tcW w:w="2562" w:type="dxa"/>
            <w:vMerge/>
            <w:vAlign w:val="center"/>
          </w:tcPr>
          <w:p w14:paraId="39314D2E" w14:textId="77777777" w:rsidR="00416765" w:rsidRPr="00BD1319" w:rsidRDefault="00416765" w:rsidP="00416765">
            <w:pPr>
              <w:numPr>
                <w:ilvl w:val="12"/>
                <w:numId w:val="0"/>
              </w:numPr>
              <w:tabs>
                <w:tab w:val="left" w:pos="-2268"/>
              </w:tabs>
              <w:suppressAutoHyphens/>
              <w:rPr>
                <w:rFonts w:cs="Arial"/>
                <w:iCs/>
                <w:spacing w:val="-3"/>
                <w:sz w:val="20"/>
                <w:szCs w:val="20"/>
              </w:rPr>
            </w:pPr>
          </w:p>
        </w:tc>
        <w:tc>
          <w:tcPr>
            <w:tcW w:w="6512" w:type="dxa"/>
            <w:shd w:val="clear" w:color="auto" w:fill="auto"/>
            <w:vAlign w:val="center"/>
          </w:tcPr>
          <w:p w14:paraId="336AA14C" w14:textId="77777777" w:rsidR="00416765" w:rsidRPr="00BD1319" w:rsidRDefault="00416765" w:rsidP="00416765">
            <w:pPr>
              <w:numPr>
                <w:ilvl w:val="12"/>
                <w:numId w:val="0"/>
              </w:numPr>
              <w:tabs>
                <w:tab w:val="left" w:pos="-2268"/>
              </w:tabs>
              <w:suppressAutoHyphens/>
              <w:rPr>
                <w:rFonts w:cs="Arial"/>
                <w:spacing w:val="-3"/>
                <w:sz w:val="20"/>
                <w:szCs w:val="20"/>
              </w:rPr>
            </w:pPr>
            <w:r w:rsidRPr="00BD1319">
              <w:rPr>
                <w:rFonts w:cs="Arial"/>
                <w:spacing w:val="-3"/>
                <w:sz w:val="20"/>
                <w:szCs w:val="20"/>
              </w:rPr>
              <w:t>Distrito nacional de manejo integrado</w:t>
            </w:r>
          </w:p>
        </w:tc>
      </w:tr>
      <w:tr w:rsidR="00416765" w:rsidRPr="00BD1319" w14:paraId="49D40738" w14:textId="77777777" w:rsidTr="00713F06">
        <w:trPr>
          <w:trHeight w:hRule="exact" w:val="340"/>
          <w:jc w:val="center"/>
        </w:trPr>
        <w:tc>
          <w:tcPr>
            <w:tcW w:w="2562" w:type="dxa"/>
            <w:vMerge/>
            <w:vAlign w:val="center"/>
          </w:tcPr>
          <w:p w14:paraId="41A3EA0E" w14:textId="77777777" w:rsidR="00416765" w:rsidRPr="00BD1319" w:rsidRDefault="00416765" w:rsidP="00416765">
            <w:pPr>
              <w:numPr>
                <w:ilvl w:val="12"/>
                <w:numId w:val="0"/>
              </w:numPr>
              <w:tabs>
                <w:tab w:val="left" w:pos="-2268"/>
              </w:tabs>
              <w:suppressAutoHyphens/>
              <w:rPr>
                <w:rFonts w:cs="Arial"/>
                <w:iCs/>
                <w:spacing w:val="-3"/>
                <w:sz w:val="20"/>
                <w:szCs w:val="20"/>
              </w:rPr>
            </w:pPr>
          </w:p>
        </w:tc>
        <w:tc>
          <w:tcPr>
            <w:tcW w:w="6512" w:type="dxa"/>
            <w:shd w:val="clear" w:color="auto" w:fill="auto"/>
            <w:vAlign w:val="center"/>
          </w:tcPr>
          <w:p w14:paraId="4856ED22" w14:textId="77777777" w:rsidR="00416765" w:rsidRPr="00BD1319" w:rsidRDefault="00416765" w:rsidP="00416765">
            <w:pPr>
              <w:numPr>
                <w:ilvl w:val="12"/>
                <w:numId w:val="0"/>
              </w:numPr>
              <w:tabs>
                <w:tab w:val="left" w:pos="-2268"/>
              </w:tabs>
              <w:suppressAutoHyphens/>
              <w:rPr>
                <w:rFonts w:cs="Arial"/>
                <w:spacing w:val="-3"/>
                <w:sz w:val="20"/>
                <w:szCs w:val="20"/>
              </w:rPr>
            </w:pPr>
            <w:r w:rsidRPr="00BD1319">
              <w:rPr>
                <w:rFonts w:cs="Arial"/>
                <w:spacing w:val="-3"/>
                <w:sz w:val="20"/>
                <w:szCs w:val="20"/>
              </w:rPr>
              <w:t>Distrito regional de manejo integrado</w:t>
            </w:r>
          </w:p>
        </w:tc>
      </w:tr>
      <w:tr w:rsidR="00416765" w:rsidRPr="00BD1319" w14:paraId="46A620CF" w14:textId="77777777" w:rsidTr="00713F06">
        <w:trPr>
          <w:trHeight w:hRule="exact" w:val="340"/>
          <w:jc w:val="center"/>
        </w:trPr>
        <w:tc>
          <w:tcPr>
            <w:tcW w:w="2562" w:type="dxa"/>
            <w:vMerge/>
            <w:vAlign w:val="center"/>
          </w:tcPr>
          <w:p w14:paraId="6625CF53" w14:textId="77777777" w:rsidR="00416765" w:rsidRPr="00BD1319" w:rsidRDefault="00416765" w:rsidP="00416765">
            <w:pPr>
              <w:numPr>
                <w:ilvl w:val="12"/>
                <w:numId w:val="0"/>
              </w:numPr>
              <w:tabs>
                <w:tab w:val="left" w:pos="-2268"/>
              </w:tabs>
              <w:suppressAutoHyphens/>
              <w:rPr>
                <w:rFonts w:cs="Arial"/>
                <w:iCs/>
                <w:spacing w:val="-3"/>
                <w:sz w:val="20"/>
                <w:szCs w:val="20"/>
              </w:rPr>
            </w:pPr>
          </w:p>
        </w:tc>
        <w:tc>
          <w:tcPr>
            <w:tcW w:w="6512" w:type="dxa"/>
            <w:shd w:val="clear" w:color="auto" w:fill="auto"/>
            <w:vAlign w:val="center"/>
          </w:tcPr>
          <w:p w14:paraId="538F9724" w14:textId="77777777" w:rsidR="00416765" w:rsidRPr="00BD1319" w:rsidRDefault="00416765" w:rsidP="00416765">
            <w:pPr>
              <w:numPr>
                <w:ilvl w:val="12"/>
                <w:numId w:val="0"/>
              </w:numPr>
              <w:tabs>
                <w:tab w:val="left" w:pos="-2268"/>
              </w:tabs>
              <w:suppressAutoHyphens/>
              <w:rPr>
                <w:rFonts w:cs="Arial"/>
                <w:spacing w:val="-3"/>
                <w:sz w:val="20"/>
                <w:szCs w:val="20"/>
              </w:rPr>
            </w:pPr>
            <w:r w:rsidRPr="00BD1319">
              <w:rPr>
                <w:rFonts w:cs="Arial"/>
                <w:spacing w:val="-3"/>
                <w:sz w:val="20"/>
                <w:szCs w:val="20"/>
              </w:rPr>
              <w:t>Distrito de conservación de suelos</w:t>
            </w:r>
          </w:p>
        </w:tc>
      </w:tr>
      <w:tr w:rsidR="00416765" w:rsidRPr="00BD1319" w14:paraId="0BC927EC" w14:textId="77777777" w:rsidTr="00713F06">
        <w:trPr>
          <w:trHeight w:hRule="exact" w:val="340"/>
          <w:jc w:val="center"/>
        </w:trPr>
        <w:tc>
          <w:tcPr>
            <w:tcW w:w="2562" w:type="dxa"/>
            <w:vMerge/>
            <w:vAlign w:val="center"/>
          </w:tcPr>
          <w:p w14:paraId="6E459224" w14:textId="77777777" w:rsidR="00416765" w:rsidRPr="00BD1319" w:rsidRDefault="00416765" w:rsidP="00416765">
            <w:pPr>
              <w:numPr>
                <w:ilvl w:val="12"/>
                <w:numId w:val="0"/>
              </w:numPr>
              <w:tabs>
                <w:tab w:val="left" w:pos="-2268"/>
              </w:tabs>
              <w:suppressAutoHyphens/>
              <w:rPr>
                <w:rFonts w:cs="Arial"/>
                <w:iCs/>
                <w:spacing w:val="-3"/>
                <w:sz w:val="20"/>
                <w:szCs w:val="20"/>
              </w:rPr>
            </w:pPr>
          </w:p>
        </w:tc>
        <w:tc>
          <w:tcPr>
            <w:tcW w:w="6512" w:type="dxa"/>
            <w:shd w:val="clear" w:color="auto" w:fill="auto"/>
            <w:vAlign w:val="center"/>
          </w:tcPr>
          <w:p w14:paraId="7E047353" w14:textId="77777777" w:rsidR="00416765" w:rsidRPr="00BD1319" w:rsidRDefault="00416765" w:rsidP="00416765">
            <w:pPr>
              <w:numPr>
                <w:ilvl w:val="12"/>
                <w:numId w:val="0"/>
              </w:numPr>
              <w:tabs>
                <w:tab w:val="left" w:pos="-2268"/>
              </w:tabs>
              <w:suppressAutoHyphens/>
              <w:rPr>
                <w:rFonts w:cs="Arial"/>
                <w:spacing w:val="-3"/>
                <w:sz w:val="20"/>
                <w:szCs w:val="20"/>
              </w:rPr>
            </w:pPr>
            <w:r w:rsidRPr="00BD1319">
              <w:rPr>
                <w:rFonts w:cs="Arial"/>
                <w:spacing w:val="-3"/>
                <w:sz w:val="20"/>
                <w:szCs w:val="20"/>
              </w:rPr>
              <w:t>Área de recreación</w:t>
            </w:r>
          </w:p>
        </w:tc>
      </w:tr>
      <w:tr w:rsidR="00416765" w:rsidRPr="00BD1319" w14:paraId="6F39487F" w14:textId="77777777" w:rsidTr="00713F06">
        <w:trPr>
          <w:trHeight w:hRule="exact" w:val="340"/>
          <w:jc w:val="center"/>
        </w:trPr>
        <w:tc>
          <w:tcPr>
            <w:tcW w:w="2562" w:type="dxa"/>
            <w:vMerge/>
            <w:vAlign w:val="center"/>
          </w:tcPr>
          <w:p w14:paraId="3F0D4A72" w14:textId="77777777" w:rsidR="00416765" w:rsidRPr="00BD1319" w:rsidRDefault="00416765" w:rsidP="00416765">
            <w:pPr>
              <w:numPr>
                <w:ilvl w:val="12"/>
                <w:numId w:val="0"/>
              </w:numPr>
              <w:tabs>
                <w:tab w:val="left" w:pos="-2268"/>
              </w:tabs>
              <w:suppressAutoHyphens/>
              <w:rPr>
                <w:rFonts w:cs="Arial"/>
                <w:iCs/>
                <w:spacing w:val="-3"/>
                <w:sz w:val="20"/>
                <w:szCs w:val="20"/>
              </w:rPr>
            </w:pPr>
          </w:p>
        </w:tc>
        <w:tc>
          <w:tcPr>
            <w:tcW w:w="6512" w:type="dxa"/>
            <w:shd w:val="clear" w:color="auto" w:fill="auto"/>
            <w:vAlign w:val="center"/>
          </w:tcPr>
          <w:p w14:paraId="7BEDDCB7" w14:textId="77777777" w:rsidR="00416765" w:rsidRPr="00BD1319" w:rsidRDefault="00416765" w:rsidP="00416765">
            <w:pPr>
              <w:numPr>
                <w:ilvl w:val="12"/>
                <w:numId w:val="0"/>
              </w:numPr>
              <w:tabs>
                <w:tab w:val="left" w:pos="-2268"/>
              </w:tabs>
              <w:suppressAutoHyphens/>
              <w:rPr>
                <w:rFonts w:cs="Arial"/>
                <w:spacing w:val="-3"/>
                <w:sz w:val="20"/>
                <w:szCs w:val="20"/>
              </w:rPr>
            </w:pPr>
            <w:r w:rsidRPr="00BD1319">
              <w:rPr>
                <w:rFonts w:cs="Arial"/>
                <w:spacing w:val="-3"/>
                <w:sz w:val="20"/>
                <w:szCs w:val="20"/>
              </w:rPr>
              <w:t>Reserva natural de la sociedad civil</w:t>
            </w:r>
          </w:p>
        </w:tc>
      </w:tr>
      <w:tr w:rsidR="00416765" w:rsidRPr="00BD1319" w14:paraId="41B74CFB" w14:textId="77777777" w:rsidTr="00713F06">
        <w:trPr>
          <w:trHeight w:hRule="exact" w:val="340"/>
          <w:jc w:val="center"/>
        </w:trPr>
        <w:tc>
          <w:tcPr>
            <w:tcW w:w="2562" w:type="dxa"/>
            <w:vMerge w:val="restart"/>
            <w:vAlign w:val="center"/>
          </w:tcPr>
          <w:p w14:paraId="039F1F42" w14:textId="77777777" w:rsidR="00416765" w:rsidRPr="00BD1319" w:rsidRDefault="00416765" w:rsidP="00416765">
            <w:pPr>
              <w:numPr>
                <w:ilvl w:val="12"/>
                <w:numId w:val="0"/>
              </w:numPr>
              <w:tabs>
                <w:tab w:val="left" w:pos="-2268"/>
              </w:tabs>
              <w:suppressAutoHyphens/>
              <w:rPr>
                <w:rFonts w:cs="Arial"/>
                <w:iCs/>
                <w:spacing w:val="-3"/>
                <w:sz w:val="20"/>
                <w:szCs w:val="20"/>
              </w:rPr>
            </w:pPr>
            <w:r w:rsidRPr="00BD1319">
              <w:rPr>
                <w:rFonts w:cs="Arial"/>
                <w:iCs/>
                <w:spacing w:val="-3"/>
                <w:sz w:val="20"/>
                <w:szCs w:val="20"/>
              </w:rPr>
              <w:t>Ecosistemas estratégicos</w:t>
            </w:r>
          </w:p>
        </w:tc>
        <w:tc>
          <w:tcPr>
            <w:tcW w:w="6512" w:type="dxa"/>
            <w:shd w:val="clear" w:color="auto" w:fill="auto"/>
            <w:vAlign w:val="center"/>
          </w:tcPr>
          <w:p w14:paraId="0A7EE8D8" w14:textId="77777777" w:rsidR="00416765" w:rsidRPr="00BD1319" w:rsidRDefault="00416765" w:rsidP="00416765">
            <w:pPr>
              <w:numPr>
                <w:ilvl w:val="12"/>
                <w:numId w:val="0"/>
              </w:numPr>
              <w:tabs>
                <w:tab w:val="left" w:pos="-2268"/>
              </w:tabs>
              <w:suppressAutoHyphens/>
              <w:rPr>
                <w:rFonts w:cs="Arial"/>
                <w:spacing w:val="-3"/>
                <w:sz w:val="20"/>
                <w:szCs w:val="20"/>
              </w:rPr>
            </w:pPr>
            <w:r w:rsidRPr="00BD1319">
              <w:rPr>
                <w:rFonts w:cs="Arial"/>
                <w:spacing w:val="-3"/>
                <w:sz w:val="20"/>
                <w:szCs w:val="20"/>
              </w:rPr>
              <w:t>Páramos</w:t>
            </w:r>
          </w:p>
        </w:tc>
      </w:tr>
      <w:tr w:rsidR="00295A11" w:rsidRPr="00BD1319" w14:paraId="7BAEC221" w14:textId="77777777" w:rsidTr="00713F06">
        <w:trPr>
          <w:trHeight w:hRule="exact" w:val="340"/>
          <w:jc w:val="center"/>
        </w:trPr>
        <w:tc>
          <w:tcPr>
            <w:tcW w:w="2562" w:type="dxa"/>
            <w:vMerge/>
            <w:vAlign w:val="center"/>
          </w:tcPr>
          <w:p w14:paraId="3D0CC202" w14:textId="77777777" w:rsidR="00295A11" w:rsidRPr="00BD1319" w:rsidRDefault="00295A11" w:rsidP="00416765">
            <w:pPr>
              <w:numPr>
                <w:ilvl w:val="12"/>
                <w:numId w:val="0"/>
              </w:numPr>
              <w:tabs>
                <w:tab w:val="left" w:pos="-2268"/>
              </w:tabs>
              <w:suppressAutoHyphens/>
              <w:rPr>
                <w:rFonts w:cs="Arial"/>
                <w:iCs/>
                <w:spacing w:val="-3"/>
                <w:sz w:val="20"/>
                <w:szCs w:val="20"/>
              </w:rPr>
            </w:pPr>
          </w:p>
        </w:tc>
        <w:tc>
          <w:tcPr>
            <w:tcW w:w="6512" w:type="dxa"/>
            <w:shd w:val="clear" w:color="auto" w:fill="auto"/>
            <w:vAlign w:val="center"/>
          </w:tcPr>
          <w:p w14:paraId="2D7BA67D" w14:textId="368C9342" w:rsidR="00295A11" w:rsidRPr="00BD1319" w:rsidRDefault="00295A11" w:rsidP="00416765">
            <w:pPr>
              <w:numPr>
                <w:ilvl w:val="12"/>
                <w:numId w:val="0"/>
              </w:numPr>
              <w:tabs>
                <w:tab w:val="left" w:pos="-2268"/>
              </w:tabs>
              <w:suppressAutoHyphens/>
              <w:rPr>
                <w:rFonts w:cs="Arial"/>
                <w:spacing w:val="-3"/>
                <w:sz w:val="20"/>
                <w:szCs w:val="20"/>
              </w:rPr>
            </w:pPr>
            <w:r w:rsidRPr="00BD1319">
              <w:rPr>
                <w:rFonts w:cs="Arial"/>
                <w:spacing w:val="-3"/>
                <w:sz w:val="20"/>
                <w:szCs w:val="20"/>
              </w:rPr>
              <w:t>Subpáramos</w:t>
            </w:r>
          </w:p>
        </w:tc>
      </w:tr>
      <w:tr w:rsidR="00416765" w:rsidRPr="00BD1319" w14:paraId="1CEADA40" w14:textId="77777777" w:rsidTr="00713F06">
        <w:trPr>
          <w:trHeight w:hRule="exact" w:val="340"/>
          <w:jc w:val="center"/>
        </w:trPr>
        <w:tc>
          <w:tcPr>
            <w:tcW w:w="2562" w:type="dxa"/>
            <w:vMerge/>
            <w:vAlign w:val="center"/>
          </w:tcPr>
          <w:p w14:paraId="301120F6" w14:textId="77777777" w:rsidR="00416765" w:rsidRPr="00BD1319" w:rsidRDefault="00416765" w:rsidP="00416765">
            <w:pPr>
              <w:numPr>
                <w:ilvl w:val="12"/>
                <w:numId w:val="0"/>
              </w:numPr>
              <w:tabs>
                <w:tab w:val="left" w:pos="-2268"/>
              </w:tabs>
              <w:suppressAutoHyphens/>
              <w:rPr>
                <w:rFonts w:cs="Arial"/>
                <w:iCs/>
                <w:spacing w:val="-3"/>
                <w:sz w:val="20"/>
                <w:szCs w:val="20"/>
              </w:rPr>
            </w:pPr>
          </w:p>
        </w:tc>
        <w:tc>
          <w:tcPr>
            <w:tcW w:w="6512" w:type="dxa"/>
            <w:shd w:val="clear" w:color="auto" w:fill="auto"/>
            <w:vAlign w:val="center"/>
          </w:tcPr>
          <w:p w14:paraId="1C2A46CD" w14:textId="77777777" w:rsidR="00416765" w:rsidRPr="00BD1319" w:rsidRDefault="00416765" w:rsidP="00416765">
            <w:pPr>
              <w:numPr>
                <w:ilvl w:val="12"/>
                <w:numId w:val="0"/>
              </w:numPr>
              <w:tabs>
                <w:tab w:val="left" w:pos="-2268"/>
              </w:tabs>
              <w:suppressAutoHyphens/>
              <w:rPr>
                <w:rFonts w:cs="Arial"/>
                <w:spacing w:val="-3"/>
                <w:sz w:val="20"/>
                <w:szCs w:val="20"/>
              </w:rPr>
            </w:pPr>
            <w:r w:rsidRPr="00BD1319">
              <w:rPr>
                <w:rFonts w:cs="Arial"/>
                <w:spacing w:val="-3"/>
                <w:sz w:val="20"/>
                <w:szCs w:val="20"/>
              </w:rPr>
              <w:t>Humedales</w:t>
            </w:r>
          </w:p>
        </w:tc>
      </w:tr>
      <w:tr w:rsidR="00416765" w:rsidRPr="00BD1319" w14:paraId="2070BDE2" w14:textId="77777777" w:rsidTr="00713F06">
        <w:trPr>
          <w:trHeight w:hRule="exact" w:val="340"/>
          <w:jc w:val="center"/>
        </w:trPr>
        <w:tc>
          <w:tcPr>
            <w:tcW w:w="2562" w:type="dxa"/>
            <w:vMerge/>
            <w:vAlign w:val="center"/>
          </w:tcPr>
          <w:p w14:paraId="5427406E" w14:textId="77777777" w:rsidR="00416765" w:rsidRPr="00BD1319" w:rsidRDefault="00416765" w:rsidP="00416765">
            <w:pPr>
              <w:numPr>
                <w:ilvl w:val="12"/>
                <w:numId w:val="0"/>
              </w:numPr>
              <w:tabs>
                <w:tab w:val="left" w:pos="-2268"/>
              </w:tabs>
              <w:suppressAutoHyphens/>
              <w:rPr>
                <w:rFonts w:cs="Arial"/>
                <w:iCs/>
                <w:spacing w:val="-3"/>
                <w:sz w:val="20"/>
                <w:szCs w:val="20"/>
              </w:rPr>
            </w:pPr>
          </w:p>
        </w:tc>
        <w:tc>
          <w:tcPr>
            <w:tcW w:w="6512" w:type="dxa"/>
            <w:shd w:val="clear" w:color="auto" w:fill="auto"/>
            <w:vAlign w:val="center"/>
          </w:tcPr>
          <w:p w14:paraId="00DFB007" w14:textId="77777777" w:rsidR="00416765" w:rsidRPr="00BD1319" w:rsidRDefault="00416765" w:rsidP="00416765">
            <w:pPr>
              <w:numPr>
                <w:ilvl w:val="12"/>
                <w:numId w:val="0"/>
              </w:numPr>
              <w:tabs>
                <w:tab w:val="left" w:pos="-2268"/>
              </w:tabs>
              <w:suppressAutoHyphens/>
              <w:rPr>
                <w:rFonts w:cs="Arial"/>
                <w:spacing w:val="-3"/>
                <w:sz w:val="20"/>
                <w:szCs w:val="20"/>
              </w:rPr>
            </w:pPr>
            <w:r w:rsidRPr="00BD1319">
              <w:rPr>
                <w:rFonts w:cs="Arial"/>
                <w:spacing w:val="-3"/>
                <w:sz w:val="20"/>
                <w:szCs w:val="20"/>
              </w:rPr>
              <w:t>Manglares</w:t>
            </w:r>
          </w:p>
        </w:tc>
      </w:tr>
      <w:tr w:rsidR="00416765" w:rsidRPr="00BD1319" w14:paraId="35E2C55C" w14:textId="77777777" w:rsidTr="00713F06">
        <w:trPr>
          <w:trHeight w:hRule="exact" w:val="340"/>
          <w:jc w:val="center"/>
        </w:trPr>
        <w:tc>
          <w:tcPr>
            <w:tcW w:w="2562" w:type="dxa"/>
            <w:vMerge/>
            <w:vAlign w:val="center"/>
          </w:tcPr>
          <w:p w14:paraId="20314991" w14:textId="77777777" w:rsidR="00416765" w:rsidRPr="00BD1319" w:rsidRDefault="00416765" w:rsidP="00416765">
            <w:pPr>
              <w:numPr>
                <w:ilvl w:val="12"/>
                <w:numId w:val="0"/>
              </w:numPr>
              <w:tabs>
                <w:tab w:val="left" w:pos="-2268"/>
              </w:tabs>
              <w:suppressAutoHyphens/>
              <w:rPr>
                <w:rFonts w:cs="Arial"/>
                <w:iCs/>
                <w:spacing w:val="-3"/>
                <w:sz w:val="20"/>
                <w:szCs w:val="20"/>
              </w:rPr>
            </w:pPr>
          </w:p>
        </w:tc>
        <w:tc>
          <w:tcPr>
            <w:tcW w:w="6512" w:type="dxa"/>
            <w:shd w:val="clear" w:color="auto" w:fill="auto"/>
            <w:vAlign w:val="center"/>
          </w:tcPr>
          <w:p w14:paraId="1DE00314" w14:textId="77777777" w:rsidR="00416765" w:rsidRPr="00BD1319" w:rsidRDefault="00416765" w:rsidP="00416765">
            <w:pPr>
              <w:numPr>
                <w:ilvl w:val="12"/>
                <w:numId w:val="0"/>
              </w:numPr>
              <w:tabs>
                <w:tab w:val="left" w:pos="-2268"/>
              </w:tabs>
              <w:suppressAutoHyphens/>
              <w:rPr>
                <w:rFonts w:cs="Arial"/>
                <w:spacing w:val="-3"/>
                <w:sz w:val="20"/>
                <w:szCs w:val="20"/>
              </w:rPr>
            </w:pPr>
            <w:r w:rsidRPr="00BD1319">
              <w:rPr>
                <w:rFonts w:cs="Arial"/>
                <w:spacing w:val="-3"/>
                <w:sz w:val="20"/>
                <w:szCs w:val="20"/>
              </w:rPr>
              <w:t>Arrecifes coralinos</w:t>
            </w:r>
          </w:p>
        </w:tc>
      </w:tr>
      <w:tr w:rsidR="00416765" w:rsidRPr="00BD1319" w14:paraId="3FE2B863" w14:textId="77777777" w:rsidTr="00713F06">
        <w:trPr>
          <w:trHeight w:hRule="exact" w:val="340"/>
          <w:jc w:val="center"/>
        </w:trPr>
        <w:tc>
          <w:tcPr>
            <w:tcW w:w="2562" w:type="dxa"/>
            <w:vMerge/>
            <w:vAlign w:val="center"/>
          </w:tcPr>
          <w:p w14:paraId="57BA2742" w14:textId="77777777" w:rsidR="00416765" w:rsidRPr="00BD1319" w:rsidRDefault="00416765" w:rsidP="00416765">
            <w:pPr>
              <w:numPr>
                <w:ilvl w:val="12"/>
                <w:numId w:val="0"/>
              </w:numPr>
              <w:tabs>
                <w:tab w:val="left" w:pos="-2268"/>
              </w:tabs>
              <w:suppressAutoHyphens/>
              <w:rPr>
                <w:rFonts w:cs="Arial"/>
                <w:iCs/>
                <w:spacing w:val="-3"/>
                <w:sz w:val="20"/>
                <w:szCs w:val="20"/>
              </w:rPr>
            </w:pPr>
          </w:p>
        </w:tc>
        <w:tc>
          <w:tcPr>
            <w:tcW w:w="6512" w:type="dxa"/>
            <w:shd w:val="clear" w:color="auto" w:fill="auto"/>
            <w:vAlign w:val="center"/>
          </w:tcPr>
          <w:p w14:paraId="1B81067D" w14:textId="77777777" w:rsidR="00416765" w:rsidRPr="00BD1319" w:rsidRDefault="00416765" w:rsidP="00416765">
            <w:pPr>
              <w:numPr>
                <w:ilvl w:val="12"/>
                <w:numId w:val="0"/>
              </w:numPr>
              <w:tabs>
                <w:tab w:val="left" w:pos="-2268"/>
              </w:tabs>
              <w:suppressAutoHyphens/>
              <w:rPr>
                <w:rFonts w:cs="Arial"/>
                <w:spacing w:val="-3"/>
                <w:sz w:val="20"/>
                <w:szCs w:val="20"/>
              </w:rPr>
            </w:pPr>
            <w:r w:rsidRPr="00BD1319">
              <w:rPr>
                <w:rFonts w:cs="Arial"/>
                <w:spacing w:val="-3"/>
                <w:sz w:val="20"/>
                <w:szCs w:val="20"/>
              </w:rPr>
              <w:t>Pastos marinos</w:t>
            </w:r>
          </w:p>
        </w:tc>
      </w:tr>
      <w:tr w:rsidR="00295A11" w:rsidRPr="00BD1319" w14:paraId="13304C33" w14:textId="77777777" w:rsidTr="00713F06">
        <w:trPr>
          <w:trHeight w:hRule="exact" w:val="340"/>
          <w:jc w:val="center"/>
        </w:trPr>
        <w:tc>
          <w:tcPr>
            <w:tcW w:w="2562" w:type="dxa"/>
            <w:vMerge/>
            <w:vAlign w:val="center"/>
          </w:tcPr>
          <w:p w14:paraId="76D8C249" w14:textId="77777777" w:rsidR="00295A11" w:rsidRPr="00BD1319" w:rsidRDefault="00295A11" w:rsidP="00295A11">
            <w:pPr>
              <w:numPr>
                <w:ilvl w:val="12"/>
                <w:numId w:val="0"/>
              </w:numPr>
              <w:tabs>
                <w:tab w:val="left" w:pos="-2268"/>
              </w:tabs>
              <w:suppressAutoHyphens/>
              <w:rPr>
                <w:rFonts w:cs="Arial"/>
                <w:iCs/>
                <w:spacing w:val="-3"/>
                <w:sz w:val="20"/>
                <w:szCs w:val="20"/>
              </w:rPr>
            </w:pPr>
          </w:p>
        </w:tc>
        <w:tc>
          <w:tcPr>
            <w:tcW w:w="6512" w:type="dxa"/>
            <w:shd w:val="clear" w:color="auto" w:fill="auto"/>
            <w:vAlign w:val="center"/>
          </w:tcPr>
          <w:p w14:paraId="74A258A9" w14:textId="27EA48A0" w:rsidR="00295A11" w:rsidRPr="00BD1319" w:rsidRDefault="00295A11" w:rsidP="00295A11">
            <w:pPr>
              <w:numPr>
                <w:ilvl w:val="12"/>
                <w:numId w:val="0"/>
              </w:numPr>
              <w:tabs>
                <w:tab w:val="left" w:pos="-2268"/>
              </w:tabs>
              <w:suppressAutoHyphens/>
              <w:rPr>
                <w:rFonts w:cs="Arial"/>
                <w:spacing w:val="-3"/>
                <w:sz w:val="20"/>
                <w:szCs w:val="20"/>
              </w:rPr>
            </w:pPr>
            <w:r w:rsidRPr="00BD1319">
              <w:rPr>
                <w:rFonts w:cs="Arial"/>
                <w:spacing w:val="-3"/>
                <w:sz w:val="20"/>
                <w:szCs w:val="20"/>
              </w:rPr>
              <w:t>Bosque natural</w:t>
            </w:r>
          </w:p>
        </w:tc>
      </w:tr>
      <w:tr w:rsidR="00295A11" w:rsidRPr="00BD1319" w14:paraId="1D673C46" w14:textId="77777777" w:rsidTr="00713F06">
        <w:trPr>
          <w:trHeight w:hRule="exact" w:val="340"/>
          <w:jc w:val="center"/>
        </w:trPr>
        <w:tc>
          <w:tcPr>
            <w:tcW w:w="2562" w:type="dxa"/>
            <w:vMerge/>
            <w:vAlign w:val="center"/>
          </w:tcPr>
          <w:p w14:paraId="74F22919" w14:textId="77777777" w:rsidR="00295A11" w:rsidRPr="00BD1319" w:rsidRDefault="00295A11" w:rsidP="00295A11">
            <w:pPr>
              <w:numPr>
                <w:ilvl w:val="12"/>
                <w:numId w:val="0"/>
              </w:numPr>
              <w:tabs>
                <w:tab w:val="left" w:pos="-2268"/>
              </w:tabs>
              <w:suppressAutoHyphens/>
              <w:rPr>
                <w:rFonts w:cs="Arial"/>
                <w:iCs/>
                <w:spacing w:val="-3"/>
                <w:sz w:val="20"/>
                <w:szCs w:val="20"/>
              </w:rPr>
            </w:pPr>
          </w:p>
        </w:tc>
        <w:tc>
          <w:tcPr>
            <w:tcW w:w="6512" w:type="dxa"/>
            <w:shd w:val="clear" w:color="auto" w:fill="auto"/>
            <w:vAlign w:val="center"/>
          </w:tcPr>
          <w:p w14:paraId="091FA0C4" w14:textId="61F0FC1D" w:rsidR="00295A11" w:rsidRPr="00BD1319" w:rsidRDefault="00295A11" w:rsidP="00295A11">
            <w:pPr>
              <w:numPr>
                <w:ilvl w:val="12"/>
                <w:numId w:val="0"/>
              </w:numPr>
              <w:tabs>
                <w:tab w:val="left" w:pos="-2268"/>
              </w:tabs>
              <w:suppressAutoHyphens/>
              <w:rPr>
                <w:rFonts w:cs="Arial"/>
                <w:spacing w:val="-3"/>
                <w:sz w:val="20"/>
                <w:szCs w:val="20"/>
              </w:rPr>
            </w:pPr>
            <w:r w:rsidRPr="00BD1319">
              <w:rPr>
                <w:rFonts w:cs="Arial"/>
                <w:spacing w:val="-3"/>
                <w:sz w:val="20"/>
                <w:szCs w:val="20"/>
              </w:rPr>
              <w:t>Bosque seco</w:t>
            </w:r>
          </w:p>
        </w:tc>
      </w:tr>
      <w:tr w:rsidR="00295A11" w:rsidRPr="00BD1319" w14:paraId="3C8726A0" w14:textId="77777777" w:rsidTr="00713F06">
        <w:trPr>
          <w:trHeight w:hRule="exact" w:val="340"/>
          <w:jc w:val="center"/>
        </w:trPr>
        <w:tc>
          <w:tcPr>
            <w:tcW w:w="2562" w:type="dxa"/>
            <w:vMerge/>
            <w:vAlign w:val="center"/>
          </w:tcPr>
          <w:p w14:paraId="6D276600" w14:textId="77777777" w:rsidR="00295A11" w:rsidRPr="00BD1319" w:rsidRDefault="00295A11" w:rsidP="00295A11">
            <w:pPr>
              <w:numPr>
                <w:ilvl w:val="12"/>
                <w:numId w:val="0"/>
              </w:numPr>
              <w:tabs>
                <w:tab w:val="left" w:pos="-2268"/>
              </w:tabs>
              <w:suppressAutoHyphens/>
              <w:rPr>
                <w:rFonts w:cs="Arial"/>
                <w:iCs/>
                <w:spacing w:val="-3"/>
                <w:sz w:val="20"/>
                <w:szCs w:val="20"/>
              </w:rPr>
            </w:pPr>
          </w:p>
        </w:tc>
        <w:tc>
          <w:tcPr>
            <w:tcW w:w="6512" w:type="dxa"/>
            <w:shd w:val="clear" w:color="auto" w:fill="auto"/>
            <w:vAlign w:val="center"/>
          </w:tcPr>
          <w:p w14:paraId="1B80F015" w14:textId="6C7F0F08" w:rsidR="00295A11" w:rsidRPr="00BD1319" w:rsidRDefault="00295A11" w:rsidP="00295A11">
            <w:pPr>
              <w:numPr>
                <w:ilvl w:val="12"/>
                <w:numId w:val="0"/>
              </w:numPr>
              <w:tabs>
                <w:tab w:val="left" w:pos="-2268"/>
              </w:tabs>
              <w:suppressAutoHyphens/>
              <w:rPr>
                <w:rFonts w:cs="Arial"/>
                <w:spacing w:val="-3"/>
                <w:sz w:val="20"/>
                <w:szCs w:val="20"/>
              </w:rPr>
            </w:pPr>
            <w:r w:rsidRPr="00BD1319">
              <w:rPr>
                <w:rFonts w:cs="Arial"/>
                <w:spacing w:val="-3"/>
                <w:sz w:val="20"/>
                <w:szCs w:val="20"/>
              </w:rPr>
              <w:t>Sabana natural</w:t>
            </w:r>
          </w:p>
        </w:tc>
      </w:tr>
      <w:tr w:rsidR="00295A11" w:rsidRPr="00BD1319" w14:paraId="0A40EB03" w14:textId="77777777" w:rsidTr="00713F06">
        <w:trPr>
          <w:trHeight w:hRule="exact" w:val="340"/>
          <w:jc w:val="center"/>
        </w:trPr>
        <w:tc>
          <w:tcPr>
            <w:tcW w:w="2562" w:type="dxa"/>
            <w:vMerge/>
            <w:vAlign w:val="center"/>
          </w:tcPr>
          <w:p w14:paraId="6B8225F9" w14:textId="77777777" w:rsidR="00295A11" w:rsidRPr="00BD1319" w:rsidRDefault="00295A11" w:rsidP="00295A11">
            <w:pPr>
              <w:numPr>
                <w:ilvl w:val="12"/>
                <w:numId w:val="0"/>
              </w:numPr>
              <w:tabs>
                <w:tab w:val="left" w:pos="-2268"/>
              </w:tabs>
              <w:suppressAutoHyphens/>
              <w:rPr>
                <w:rFonts w:cs="Arial"/>
                <w:iCs/>
                <w:spacing w:val="-3"/>
                <w:sz w:val="20"/>
                <w:szCs w:val="20"/>
              </w:rPr>
            </w:pPr>
          </w:p>
        </w:tc>
        <w:tc>
          <w:tcPr>
            <w:tcW w:w="6512" w:type="dxa"/>
            <w:shd w:val="clear" w:color="auto" w:fill="auto"/>
            <w:vAlign w:val="center"/>
          </w:tcPr>
          <w:p w14:paraId="7AF7A9FB" w14:textId="6E611937" w:rsidR="00295A11" w:rsidRPr="00BD1319" w:rsidRDefault="00295A11" w:rsidP="00295A11">
            <w:pPr>
              <w:numPr>
                <w:ilvl w:val="12"/>
                <w:numId w:val="0"/>
              </w:numPr>
              <w:tabs>
                <w:tab w:val="left" w:pos="-2268"/>
              </w:tabs>
              <w:suppressAutoHyphens/>
              <w:rPr>
                <w:rFonts w:cs="Arial"/>
                <w:spacing w:val="-3"/>
                <w:sz w:val="20"/>
                <w:szCs w:val="20"/>
              </w:rPr>
            </w:pPr>
            <w:r w:rsidRPr="00BD1319">
              <w:rPr>
                <w:rFonts w:cs="Arial"/>
                <w:spacing w:val="-3"/>
                <w:sz w:val="20"/>
                <w:szCs w:val="20"/>
              </w:rPr>
              <w:t>Zonas costeras, estuarios, meandros</w:t>
            </w:r>
          </w:p>
        </w:tc>
      </w:tr>
      <w:tr w:rsidR="00295A11" w:rsidRPr="00BD1319" w14:paraId="4DAB9E73" w14:textId="77777777" w:rsidTr="00713F06">
        <w:trPr>
          <w:trHeight w:hRule="exact" w:val="340"/>
          <w:jc w:val="center"/>
        </w:trPr>
        <w:tc>
          <w:tcPr>
            <w:tcW w:w="2562" w:type="dxa"/>
            <w:vMerge/>
            <w:vAlign w:val="center"/>
          </w:tcPr>
          <w:p w14:paraId="77C872AC" w14:textId="77777777" w:rsidR="00295A11" w:rsidRPr="00BD1319" w:rsidRDefault="00295A11" w:rsidP="00295A11">
            <w:pPr>
              <w:numPr>
                <w:ilvl w:val="12"/>
                <w:numId w:val="0"/>
              </w:numPr>
              <w:tabs>
                <w:tab w:val="left" w:pos="-2268"/>
              </w:tabs>
              <w:suppressAutoHyphens/>
              <w:rPr>
                <w:rFonts w:cs="Arial"/>
                <w:iCs/>
                <w:spacing w:val="-3"/>
                <w:sz w:val="20"/>
                <w:szCs w:val="20"/>
              </w:rPr>
            </w:pPr>
          </w:p>
        </w:tc>
        <w:tc>
          <w:tcPr>
            <w:tcW w:w="6512" w:type="dxa"/>
            <w:shd w:val="clear" w:color="auto" w:fill="auto"/>
            <w:vAlign w:val="center"/>
          </w:tcPr>
          <w:p w14:paraId="5FE41FFA" w14:textId="74BD0822" w:rsidR="00295A11" w:rsidRPr="00BD1319" w:rsidRDefault="00295A11" w:rsidP="00295A11">
            <w:pPr>
              <w:numPr>
                <w:ilvl w:val="12"/>
                <w:numId w:val="0"/>
              </w:numPr>
              <w:tabs>
                <w:tab w:val="left" w:pos="-2268"/>
              </w:tabs>
              <w:suppressAutoHyphens/>
              <w:rPr>
                <w:rFonts w:cs="Arial"/>
                <w:spacing w:val="-3"/>
                <w:sz w:val="20"/>
                <w:szCs w:val="20"/>
              </w:rPr>
            </w:pPr>
            <w:r w:rsidRPr="00BD1319">
              <w:rPr>
                <w:rFonts w:cs="Arial"/>
                <w:spacing w:val="-3"/>
                <w:sz w:val="20"/>
                <w:szCs w:val="20"/>
              </w:rPr>
              <w:t>Ambientes pelágicos, litorales rocosos y playas arenosas</w:t>
            </w:r>
          </w:p>
        </w:tc>
      </w:tr>
      <w:tr w:rsidR="00295A11" w:rsidRPr="00BD1319" w14:paraId="611B4319" w14:textId="77777777" w:rsidTr="00713F06">
        <w:trPr>
          <w:trHeight w:hRule="exact" w:val="680"/>
          <w:jc w:val="center"/>
        </w:trPr>
        <w:tc>
          <w:tcPr>
            <w:tcW w:w="2562" w:type="dxa"/>
            <w:vMerge w:val="restart"/>
            <w:vAlign w:val="center"/>
          </w:tcPr>
          <w:p w14:paraId="4BEA7971" w14:textId="77777777" w:rsidR="00295A11" w:rsidRPr="00BD1319" w:rsidRDefault="00295A11" w:rsidP="00295A11">
            <w:pPr>
              <w:numPr>
                <w:ilvl w:val="12"/>
                <w:numId w:val="0"/>
              </w:numPr>
              <w:tabs>
                <w:tab w:val="left" w:pos="-2268"/>
              </w:tabs>
              <w:suppressAutoHyphens/>
              <w:rPr>
                <w:rFonts w:cs="Arial"/>
                <w:iCs/>
                <w:spacing w:val="-3"/>
                <w:sz w:val="20"/>
                <w:szCs w:val="20"/>
              </w:rPr>
            </w:pPr>
            <w:r w:rsidRPr="00BD1319">
              <w:rPr>
                <w:rFonts w:cs="Arial"/>
                <w:iCs/>
                <w:spacing w:val="-3"/>
                <w:sz w:val="20"/>
                <w:szCs w:val="20"/>
              </w:rPr>
              <w:t>Estrategias complementarias de conservación y desarrollo sostenible</w:t>
            </w:r>
          </w:p>
        </w:tc>
        <w:tc>
          <w:tcPr>
            <w:tcW w:w="6512" w:type="dxa"/>
            <w:shd w:val="clear" w:color="auto" w:fill="auto"/>
            <w:vAlign w:val="center"/>
          </w:tcPr>
          <w:p w14:paraId="7D41D1D1" w14:textId="77777777" w:rsidR="00295A11" w:rsidRPr="00BD1319" w:rsidRDefault="00295A11" w:rsidP="00295A11">
            <w:pPr>
              <w:numPr>
                <w:ilvl w:val="12"/>
                <w:numId w:val="0"/>
              </w:numPr>
              <w:tabs>
                <w:tab w:val="left" w:pos="-2268"/>
              </w:tabs>
              <w:suppressAutoHyphens/>
              <w:rPr>
                <w:rFonts w:cs="Arial"/>
                <w:spacing w:val="-3"/>
                <w:sz w:val="20"/>
                <w:szCs w:val="20"/>
              </w:rPr>
            </w:pPr>
            <w:r w:rsidRPr="00BD1319">
              <w:rPr>
                <w:rFonts w:cs="Arial"/>
                <w:spacing w:val="-3"/>
                <w:sz w:val="20"/>
                <w:szCs w:val="20"/>
              </w:rPr>
              <w:t>Distritos de manejo integrado del Área de manejo especial de La Macarena</w:t>
            </w:r>
          </w:p>
        </w:tc>
      </w:tr>
      <w:tr w:rsidR="00295A11" w:rsidRPr="00BD1319" w14:paraId="4196CAC1" w14:textId="77777777" w:rsidTr="000D6E21">
        <w:trPr>
          <w:trHeight w:hRule="exact" w:val="340"/>
          <w:jc w:val="center"/>
        </w:trPr>
        <w:tc>
          <w:tcPr>
            <w:tcW w:w="2562" w:type="dxa"/>
            <w:vMerge/>
            <w:vAlign w:val="center"/>
          </w:tcPr>
          <w:p w14:paraId="62506BF5" w14:textId="77777777" w:rsidR="00295A11" w:rsidRPr="00BD1319" w:rsidRDefault="00295A11" w:rsidP="00295A11">
            <w:pPr>
              <w:numPr>
                <w:ilvl w:val="12"/>
                <w:numId w:val="0"/>
              </w:numPr>
              <w:tabs>
                <w:tab w:val="left" w:pos="-2268"/>
              </w:tabs>
              <w:suppressAutoHyphens/>
              <w:rPr>
                <w:rFonts w:cs="Arial"/>
                <w:iCs/>
                <w:spacing w:val="-3"/>
                <w:sz w:val="20"/>
                <w:szCs w:val="20"/>
              </w:rPr>
            </w:pPr>
          </w:p>
        </w:tc>
        <w:tc>
          <w:tcPr>
            <w:tcW w:w="6512" w:type="dxa"/>
            <w:shd w:val="clear" w:color="auto" w:fill="auto"/>
            <w:vAlign w:val="center"/>
          </w:tcPr>
          <w:p w14:paraId="424A9083" w14:textId="1D41849A" w:rsidR="00295A11" w:rsidRPr="00BD1319" w:rsidRDefault="00295A11" w:rsidP="00295A11">
            <w:pPr>
              <w:numPr>
                <w:ilvl w:val="12"/>
                <w:numId w:val="0"/>
              </w:numPr>
              <w:tabs>
                <w:tab w:val="left" w:pos="-2268"/>
              </w:tabs>
              <w:suppressAutoHyphens/>
              <w:rPr>
                <w:rFonts w:cs="Arial"/>
                <w:spacing w:val="-3"/>
                <w:sz w:val="20"/>
                <w:szCs w:val="20"/>
              </w:rPr>
            </w:pPr>
            <w:r w:rsidRPr="00BD1319">
              <w:rPr>
                <w:rFonts w:cs="Arial"/>
                <w:spacing w:val="-3"/>
                <w:sz w:val="20"/>
                <w:szCs w:val="20"/>
              </w:rPr>
              <w:t>Humedales RAMSAR</w:t>
            </w:r>
          </w:p>
        </w:tc>
      </w:tr>
      <w:tr w:rsidR="00295A11" w:rsidRPr="00BD1319" w14:paraId="22293A5E" w14:textId="77777777" w:rsidTr="00713F06">
        <w:trPr>
          <w:trHeight w:hRule="exact" w:val="340"/>
          <w:jc w:val="center"/>
        </w:trPr>
        <w:tc>
          <w:tcPr>
            <w:tcW w:w="2562" w:type="dxa"/>
            <w:vMerge/>
            <w:vAlign w:val="center"/>
          </w:tcPr>
          <w:p w14:paraId="59C1FF7E" w14:textId="77777777" w:rsidR="00295A11" w:rsidRPr="00BD1319" w:rsidRDefault="00295A11" w:rsidP="00295A11">
            <w:pPr>
              <w:numPr>
                <w:ilvl w:val="12"/>
                <w:numId w:val="0"/>
              </w:numPr>
              <w:tabs>
                <w:tab w:val="left" w:pos="-2268"/>
              </w:tabs>
              <w:suppressAutoHyphens/>
              <w:rPr>
                <w:rFonts w:cs="Arial"/>
                <w:iCs/>
                <w:spacing w:val="-3"/>
                <w:sz w:val="20"/>
                <w:szCs w:val="20"/>
              </w:rPr>
            </w:pPr>
          </w:p>
        </w:tc>
        <w:tc>
          <w:tcPr>
            <w:tcW w:w="6512" w:type="dxa"/>
            <w:shd w:val="clear" w:color="auto" w:fill="auto"/>
            <w:vAlign w:val="center"/>
          </w:tcPr>
          <w:p w14:paraId="027373AC" w14:textId="10A4FEAE" w:rsidR="00295A11" w:rsidRPr="00BD1319" w:rsidRDefault="00295A11" w:rsidP="00295A11">
            <w:pPr>
              <w:numPr>
                <w:ilvl w:val="12"/>
                <w:numId w:val="0"/>
              </w:numPr>
              <w:tabs>
                <w:tab w:val="left" w:pos="-2268"/>
              </w:tabs>
              <w:suppressAutoHyphens/>
              <w:rPr>
                <w:rFonts w:cs="Arial"/>
                <w:spacing w:val="-3"/>
                <w:sz w:val="20"/>
                <w:szCs w:val="20"/>
              </w:rPr>
            </w:pPr>
            <w:r w:rsidRPr="00BD1319">
              <w:rPr>
                <w:rFonts w:cs="Arial"/>
                <w:spacing w:val="-3"/>
                <w:sz w:val="20"/>
                <w:szCs w:val="20"/>
              </w:rPr>
              <w:t>Distrito de Aguas y Suelos del Caquetá</w:t>
            </w:r>
          </w:p>
        </w:tc>
      </w:tr>
      <w:tr w:rsidR="00295A11" w:rsidRPr="00BD1319" w14:paraId="55B2694F" w14:textId="77777777" w:rsidTr="00713F06">
        <w:trPr>
          <w:trHeight w:hRule="exact" w:val="340"/>
          <w:jc w:val="center"/>
        </w:trPr>
        <w:tc>
          <w:tcPr>
            <w:tcW w:w="2562" w:type="dxa"/>
            <w:vMerge/>
            <w:vAlign w:val="center"/>
          </w:tcPr>
          <w:p w14:paraId="4E679818" w14:textId="77777777" w:rsidR="00295A11" w:rsidRPr="00BD1319" w:rsidRDefault="00295A11" w:rsidP="00295A11">
            <w:pPr>
              <w:numPr>
                <w:ilvl w:val="12"/>
                <w:numId w:val="0"/>
              </w:numPr>
              <w:tabs>
                <w:tab w:val="left" w:pos="-2268"/>
              </w:tabs>
              <w:suppressAutoHyphens/>
              <w:rPr>
                <w:rFonts w:cs="Arial"/>
                <w:iCs/>
                <w:spacing w:val="-3"/>
                <w:sz w:val="20"/>
                <w:szCs w:val="20"/>
              </w:rPr>
            </w:pPr>
          </w:p>
        </w:tc>
        <w:tc>
          <w:tcPr>
            <w:tcW w:w="6512" w:type="dxa"/>
            <w:shd w:val="clear" w:color="auto" w:fill="auto"/>
            <w:vAlign w:val="center"/>
          </w:tcPr>
          <w:p w14:paraId="7742B8A4" w14:textId="07AAC6EA" w:rsidR="00295A11" w:rsidRPr="00BD1319" w:rsidRDefault="00295A11" w:rsidP="00295A11">
            <w:pPr>
              <w:numPr>
                <w:ilvl w:val="12"/>
                <w:numId w:val="0"/>
              </w:numPr>
              <w:tabs>
                <w:tab w:val="left" w:pos="-2268"/>
              </w:tabs>
              <w:suppressAutoHyphens/>
              <w:rPr>
                <w:rFonts w:cs="Arial"/>
                <w:spacing w:val="-3"/>
                <w:sz w:val="20"/>
                <w:szCs w:val="20"/>
              </w:rPr>
            </w:pPr>
            <w:r w:rsidRPr="00BD1319">
              <w:rPr>
                <w:rFonts w:cs="Arial"/>
                <w:spacing w:val="-3"/>
                <w:sz w:val="20"/>
                <w:szCs w:val="20"/>
              </w:rPr>
              <w:t>Otras Medidas Efectivas de Conservación (OMEC)</w:t>
            </w:r>
          </w:p>
        </w:tc>
      </w:tr>
      <w:tr w:rsidR="00295A11" w:rsidRPr="00BD1319" w14:paraId="252627BC" w14:textId="77777777" w:rsidTr="000D6E21">
        <w:trPr>
          <w:trHeight w:hRule="exact" w:val="635"/>
          <w:jc w:val="center"/>
        </w:trPr>
        <w:tc>
          <w:tcPr>
            <w:tcW w:w="2562" w:type="dxa"/>
            <w:vMerge/>
            <w:vAlign w:val="center"/>
          </w:tcPr>
          <w:p w14:paraId="25F4AC9E" w14:textId="77777777" w:rsidR="00295A11" w:rsidRPr="00BD1319" w:rsidRDefault="00295A11" w:rsidP="00295A11">
            <w:pPr>
              <w:numPr>
                <w:ilvl w:val="12"/>
                <w:numId w:val="0"/>
              </w:numPr>
              <w:tabs>
                <w:tab w:val="left" w:pos="-2268"/>
              </w:tabs>
              <w:suppressAutoHyphens/>
              <w:rPr>
                <w:rFonts w:cs="Arial"/>
                <w:iCs/>
                <w:spacing w:val="-3"/>
                <w:sz w:val="20"/>
                <w:szCs w:val="20"/>
              </w:rPr>
            </w:pPr>
          </w:p>
        </w:tc>
        <w:tc>
          <w:tcPr>
            <w:tcW w:w="6512" w:type="dxa"/>
            <w:shd w:val="clear" w:color="auto" w:fill="auto"/>
            <w:vAlign w:val="center"/>
          </w:tcPr>
          <w:p w14:paraId="368EF3A7" w14:textId="50AF4E8F" w:rsidR="00295A11" w:rsidRPr="00BD1319" w:rsidRDefault="00295A11" w:rsidP="00295A11">
            <w:pPr>
              <w:numPr>
                <w:ilvl w:val="12"/>
                <w:numId w:val="0"/>
              </w:numPr>
              <w:tabs>
                <w:tab w:val="left" w:pos="-2268"/>
              </w:tabs>
              <w:suppressAutoHyphens/>
              <w:rPr>
                <w:rFonts w:cs="Arial"/>
                <w:spacing w:val="-3"/>
                <w:sz w:val="20"/>
                <w:szCs w:val="20"/>
              </w:rPr>
            </w:pPr>
            <w:r w:rsidRPr="00BD1319">
              <w:rPr>
                <w:rFonts w:cs="Arial"/>
                <w:spacing w:val="-3"/>
                <w:sz w:val="20"/>
                <w:szCs w:val="20"/>
              </w:rPr>
              <w:t>Áreas protegidas declaradas por autoridad ambiental competente y que no hayan sido homologadas en las categorías del SINAP</w:t>
            </w:r>
          </w:p>
        </w:tc>
      </w:tr>
      <w:tr w:rsidR="00295A11" w:rsidRPr="00BD1319" w14:paraId="65FE47F8" w14:textId="77777777" w:rsidTr="00713F06">
        <w:trPr>
          <w:trHeight w:hRule="exact" w:val="340"/>
          <w:jc w:val="center"/>
        </w:trPr>
        <w:tc>
          <w:tcPr>
            <w:tcW w:w="2562" w:type="dxa"/>
            <w:vMerge/>
            <w:vAlign w:val="center"/>
          </w:tcPr>
          <w:p w14:paraId="5513BDE6" w14:textId="77777777" w:rsidR="00295A11" w:rsidRPr="00BD1319" w:rsidRDefault="00295A11" w:rsidP="00295A11">
            <w:pPr>
              <w:numPr>
                <w:ilvl w:val="12"/>
                <w:numId w:val="0"/>
              </w:numPr>
              <w:tabs>
                <w:tab w:val="left" w:pos="-2268"/>
              </w:tabs>
              <w:suppressAutoHyphens/>
              <w:rPr>
                <w:rFonts w:cs="Arial"/>
                <w:iCs/>
                <w:spacing w:val="-3"/>
                <w:sz w:val="20"/>
                <w:szCs w:val="20"/>
              </w:rPr>
            </w:pPr>
          </w:p>
        </w:tc>
        <w:tc>
          <w:tcPr>
            <w:tcW w:w="6512" w:type="dxa"/>
            <w:shd w:val="clear" w:color="auto" w:fill="auto"/>
            <w:vAlign w:val="center"/>
          </w:tcPr>
          <w:p w14:paraId="71690C00" w14:textId="2BD707CB" w:rsidR="00295A11" w:rsidRPr="00BD1319" w:rsidRDefault="00295A11" w:rsidP="00295A11">
            <w:pPr>
              <w:numPr>
                <w:ilvl w:val="12"/>
                <w:numId w:val="0"/>
              </w:numPr>
              <w:tabs>
                <w:tab w:val="left" w:pos="-2268"/>
              </w:tabs>
              <w:suppressAutoHyphens/>
              <w:rPr>
                <w:rFonts w:cs="Arial"/>
                <w:spacing w:val="-3"/>
                <w:sz w:val="20"/>
                <w:szCs w:val="20"/>
              </w:rPr>
            </w:pPr>
            <w:r w:rsidRPr="00BD1319">
              <w:rPr>
                <w:rFonts w:cs="Arial"/>
                <w:spacing w:val="-3"/>
                <w:sz w:val="20"/>
                <w:szCs w:val="20"/>
              </w:rPr>
              <w:t>Áreas de vida de la Ley 2173 de 2021</w:t>
            </w:r>
          </w:p>
        </w:tc>
      </w:tr>
      <w:tr w:rsidR="00295A11" w:rsidRPr="0059616B" w14:paraId="4806D9FE" w14:textId="77777777" w:rsidTr="00713F06">
        <w:trPr>
          <w:trHeight w:hRule="exact" w:val="340"/>
          <w:jc w:val="center"/>
        </w:trPr>
        <w:tc>
          <w:tcPr>
            <w:tcW w:w="2562" w:type="dxa"/>
            <w:vMerge/>
            <w:vAlign w:val="center"/>
          </w:tcPr>
          <w:p w14:paraId="6DE9FFCE" w14:textId="77777777" w:rsidR="00295A11" w:rsidRPr="00BD1319" w:rsidRDefault="00295A11" w:rsidP="00295A11">
            <w:pPr>
              <w:numPr>
                <w:ilvl w:val="12"/>
                <w:numId w:val="0"/>
              </w:numPr>
              <w:tabs>
                <w:tab w:val="left" w:pos="-2268"/>
              </w:tabs>
              <w:suppressAutoHyphens/>
              <w:rPr>
                <w:rFonts w:cs="Arial"/>
                <w:iCs/>
                <w:spacing w:val="-3"/>
                <w:sz w:val="20"/>
                <w:szCs w:val="20"/>
              </w:rPr>
            </w:pPr>
          </w:p>
        </w:tc>
        <w:tc>
          <w:tcPr>
            <w:tcW w:w="6512" w:type="dxa"/>
            <w:shd w:val="clear" w:color="auto" w:fill="auto"/>
            <w:vAlign w:val="center"/>
          </w:tcPr>
          <w:p w14:paraId="450766FD" w14:textId="77777777" w:rsidR="00295A11" w:rsidRPr="005A685F" w:rsidRDefault="00295A11" w:rsidP="00295A11">
            <w:pPr>
              <w:numPr>
                <w:ilvl w:val="12"/>
                <w:numId w:val="0"/>
              </w:numPr>
              <w:tabs>
                <w:tab w:val="left" w:pos="-2268"/>
              </w:tabs>
              <w:suppressAutoHyphens/>
              <w:rPr>
                <w:rFonts w:cs="Arial"/>
                <w:spacing w:val="-3"/>
                <w:sz w:val="20"/>
                <w:szCs w:val="20"/>
                <w:lang w:val="pt-PT"/>
              </w:rPr>
            </w:pPr>
            <w:r w:rsidRPr="005A685F">
              <w:rPr>
                <w:rFonts w:cs="Arial"/>
                <w:spacing w:val="-3"/>
                <w:sz w:val="20"/>
                <w:szCs w:val="20"/>
                <w:lang w:val="pt-PT"/>
              </w:rPr>
              <w:t>Zonas amortiguadoras de áreas del SPNN</w:t>
            </w:r>
          </w:p>
        </w:tc>
      </w:tr>
      <w:tr w:rsidR="00295A11" w:rsidRPr="00BD1319" w14:paraId="5E37CAA7" w14:textId="77777777" w:rsidTr="00713F06">
        <w:trPr>
          <w:trHeight w:hRule="exact" w:val="1021"/>
          <w:jc w:val="center"/>
        </w:trPr>
        <w:tc>
          <w:tcPr>
            <w:tcW w:w="2562" w:type="dxa"/>
            <w:vMerge/>
            <w:vAlign w:val="center"/>
          </w:tcPr>
          <w:p w14:paraId="49E5B632" w14:textId="77777777" w:rsidR="00295A11" w:rsidRPr="005A685F" w:rsidRDefault="00295A11" w:rsidP="00295A11">
            <w:pPr>
              <w:numPr>
                <w:ilvl w:val="12"/>
                <w:numId w:val="0"/>
              </w:numPr>
              <w:tabs>
                <w:tab w:val="left" w:pos="-2268"/>
              </w:tabs>
              <w:suppressAutoHyphens/>
              <w:rPr>
                <w:rFonts w:cs="Arial"/>
                <w:iCs/>
                <w:spacing w:val="-3"/>
                <w:sz w:val="20"/>
                <w:szCs w:val="20"/>
                <w:lang w:val="pt-PT"/>
              </w:rPr>
            </w:pPr>
          </w:p>
        </w:tc>
        <w:tc>
          <w:tcPr>
            <w:tcW w:w="6512" w:type="dxa"/>
            <w:shd w:val="clear" w:color="auto" w:fill="auto"/>
            <w:vAlign w:val="center"/>
          </w:tcPr>
          <w:p w14:paraId="0C8B7C9A" w14:textId="12EDFB50" w:rsidR="00295A11" w:rsidRPr="00BD1319" w:rsidRDefault="00295A11" w:rsidP="00295A11">
            <w:pPr>
              <w:numPr>
                <w:ilvl w:val="12"/>
                <w:numId w:val="0"/>
              </w:numPr>
              <w:tabs>
                <w:tab w:val="left" w:pos="-2268"/>
              </w:tabs>
              <w:suppressAutoHyphens/>
              <w:rPr>
                <w:rFonts w:cs="Arial"/>
                <w:spacing w:val="-3"/>
                <w:sz w:val="20"/>
                <w:szCs w:val="20"/>
              </w:rPr>
            </w:pPr>
            <w:r w:rsidRPr="00BD1319">
              <w:rPr>
                <w:rFonts w:cs="Arial"/>
                <w:spacing w:val="-3"/>
                <w:sz w:val="20"/>
                <w:szCs w:val="20"/>
              </w:rPr>
              <w:t>Áreas con prioridades de conservación contempladas por PNN (establecidas por el CONPES 3680 de 2010) y Zonas de protección y desarrollo de los recursos naturales renovables y del medio ambiente</w:t>
            </w:r>
            <w:r w:rsidRPr="00BD1319">
              <w:rPr>
                <w:vertAlign w:val="superscript"/>
              </w:rPr>
              <w:footnoteReference w:id="51"/>
            </w:r>
          </w:p>
        </w:tc>
      </w:tr>
      <w:tr w:rsidR="00295A11" w:rsidRPr="00BD1319" w14:paraId="1A9414FD" w14:textId="77777777" w:rsidTr="00713F06">
        <w:trPr>
          <w:trHeight w:hRule="exact" w:val="340"/>
          <w:jc w:val="center"/>
        </w:trPr>
        <w:tc>
          <w:tcPr>
            <w:tcW w:w="2562" w:type="dxa"/>
            <w:vMerge/>
            <w:vAlign w:val="center"/>
          </w:tcPr>
          <w:p w14:paraId="1D66570A" w14:textId="77777777" w:rsidR="00295A11" w:rsidRPr="00BD1319" w:rsidRDefault="00295A11" w:rsidP="00295A11">
            <w:pPr>
              <w:numPr>
                <w:ilvl w:val="12"/>
                <w:numId w:val="0"/>
              </w:numPr>
              <w:tabs>
                <w:tab w:val="left" w:pos="-2268"/>
              </w:tabs>
              <w:suppressAutoHyphens/>
              <w:rPr>
                <w:rFonts w:cs="Arial"/>
                <w:iCs/>
                <w:spacing w:val="-3"/>
                <w:sz w:val="20"/>
                <w:szCs w:val="20"/>
              </w:rPr>
            </w:pPr>
          </w:p>
        </w:tc>
        <w:tc>
          <w:tcPr>
            <w:tcW w:w="6512" w:type="dxa"/>
            <w:shd w:val="clear" w:color="auto" w:fill="auto"/>
            <w:vAlign w:val="center"/>
          </w:tcPr>
          <w:p w14:paraId="7A25E376" w14:textId="77777777" w:rsidR="00295A11" w:rsidRPr="00BD1319" w:rsidRDefault="00295A11" w:rsidP="00295A11">
            <w:pPr>
              <w:numPr>
                <w:ilvl w:val="12"/>
                <w:numId w:val="0"/>
              </w:numPr>
              <w:tabs>
                <w:tab w:val="left" w:pos="-2268"/>
              </w:tabs>
              <w:suppressAutoHyphens/>
              <w:rPr>
                <w:rFonts w:cs="Arial"/>
                <w:spacing w:val="-3"/>
                <w:sz w:val="20"/>
                <w:szCs w:val="20"/>
              </w:rPr>
            </w:pPr>
            <w:r w:rsidRPr="00BD1319">
              <w:rPr>
                <w:rFonts w:cs="Arial"/>
                <w:spacing w:val="-3"/>
                <w:sz w:val="20"/>
                <w:szCs w:val="20"/>
              </w:rPr>
              <w:t>Zonas A de las reservas forestales de Ley 2 de 1959</w:t>
            </w:r>
          </w:p>
        </w:tc>
      </w:tr>
      <w:tr w:rsidR="00295A11" w:rsidRPr="00BD1319" w14:paraId="4FF5059C" w14:textId="77777777" w:rsidTr="00713F06">
        <w:trPr>
          <w:trHeight w:hRule="exact" w:val="340"/>
          <w:jc w:val="center"/>
        </w:trPr>
        <w:tc>
          <w:tcPr>
            <w:tcW w:w="2562" w:type="dxa"/>
            <w:vMerge/>
            <w:vAlign w:val="center"/>
          </w:tcPr>
          <w:p w14:paraId="3DF5EFC6" w14:textId="77777777" w:rsidR="00295A11" w:rsidRPr="00BD1319" w:rsidRDefault="00295A11" w:rsidP="00295A11">
            <w:pPr>
              <w:numPr>
                <w:ilvl w:val="12"/>
                <w:numId w:val="0"/>
              </w:numPr>
              <w:tabs>
                <w:tab w:val="left" w:pos="-2268"/>
              </w:tabs>
              <w:suppressAutoHyphens/>
              <w:rPr>
                <w:rFonts w:cs="Arial"/>
                <w:iCs/>
                <w:spacing w:val="-3"/>
                <w:sz w:val="20"/>
                <w:szCs w:val="20"/>
              </w:rPr>
            </w:pPr>
          </w:p>
        </w:tc>
        <w:tc>
          <w:tcPr>
            <w:tcW w:w="6512" w:type="dxa"/>
            <w:shd w:val="clear" w:color="auto" w:fill="auto"/>
            <w:vAlign w:val="center"/>
          </w:tcPr>
          <w:p w14:paraId="1EFC4BCF" w14:textId="77777777" w:rsidR="00295A11" w:rsidRPr="00BD1319" w:rsidRDefault="00295A11" w:rsidP="00295A11">
            <w:pPr>
              <w:numPr>
                <w:ilvl w:val="12"/>
                <w:numId w:val="0"/>
              </w:numPr>
              <w:tabs>
                <w:tab w:val="left" w:pos="-2268"/>
              </w:tabs>
              <w:suppressAutoHyphens/>
              <w:rPr>
                <w:rFonts w:cs="Arial"/>
                <w:spacing w:val="-3"/>
                <w:sz w:val="20"/>
                <w:szCs w:val="20"/>
              </w:rPr>
            </w:pPr>
            <w:r w:rsidRPr="00BD1319">
              <w:rPr>
                <w:rFonts w:cs="Arial"/>
                <w:spacing w:val="-3"/>
                <w:sz w:val="20"/>
                <w:szCs w:val="20"/>
              </w:rPr>
              <w:t>Zonas B y C de las reservas forestales de Ley 2 de 1959</w:t>
            </w:r>
          </w:p>
        </w:tc>
      </w:tr>
      <w:tr w:rsidR="00295A11" w:rsidRPr="00BD1319" w14:paraId="6C7E7FB1" w14:textId="77777777" w:rsidTr="00713F06">
        <w:trPr>
          <w:trHeight w:hRule="exact" w:val="680"/>
          <w:jc w:val="center"/>
        </w:trPr>
        <w:tc>
          <w:tcPr>
            <w:tcW w:w="2562" w:type="dxa"/>
            <w:vMerge/>
            <w:vAlign w:val="center"/>
          </w:tcPr>
          <w:p w14:paraId="05E52178" w14:textId="77777777" w:rsidR="00295A11" w:rsidRPr="00BD1319" w:rsidRDefault="00295A11" w:rsidP="00295A11">
            <w:pPr>
              <w:numPr>
                <w:ilvl w:val="12"/>
                <w:numId w:val="0"/>
              </w:numPr>
              <w:tabs>
                <w:tab w:val="left" w:pos="-2268"/>
              </w:tabs>
              <w:suppressAutoHyphens/>
              <w:rPr>
                <w:rFonts w:cs="Arial"/>
                <w:iCs/>
                <w:spacing w:val="-3"/>
                <w:sz w:val="20"/>
                <w:szCs w:val="20"/>
              </w:rPr>
            </w:pPr>
          </w:p>
        </w:tc>
        <w:tc>
          <w:tcPr>
            <w:tcW w:w="6512" w:type="dxa"/>
            <w:shd w:val="clear" w:color="auto" w:fill="auto"/>
            <w:vAlign w:val="center"/>
          </w:tcPr>
          <w:p w14:paraId="4241AC5F" w14:textId="77777777" w:rsidR="00295A11" w:rsidRPr="00BD1319" w:rsidRDefault="00295A11" w:rsidP="00295A11">
            <w:pPr>
              <w:numPr>
                <w:ilvl w:val="12"/>
                <w:numId w:val="0"/>
              </w:numPr>
              <w:tabs>
                <w:tab w:val="left" w:pos="-2268"/>
              </w:tabs>
              <w:suppressAutoHyphens/>
              <w:rPr>
                <w:rFonts w:cs="Arial"/>
                <w:spacing w:val="-3"/>
                <w:sz w:val="20"/>
                <w:szCs w:val="20"/>
              </w:rPr>
            </w:pPr>
            <w:r w:rsidRPr="00BD1319">
              <w:rPr>
                <w:rFonts w:cs="Arial"/>
                <w:spacing w:val="-3"/>
                <w:sz w:val="20"/>
                <w:szCs w:val="20"/>
              </w:rPr>
              <w:t>Zonas de las reservas forestales Ley 2 con decisión de ordenamiento previo a zonificación A, B y C</w:t>
            </w:r>
          </w:p>
        </w:tc>
      </w:tr>
      <w:tr w:rsidR="00295A11" w:rsidRPr="00BD1319" w14:paraId="79F344BD" w14:textId="77777777" w:rsidTr="000D6E21">
        <w:trPr>
          <w:trHeight w:hRule="exact" w:val="340"/>
          <w:jc w:val="center"/>
        </w:trPr>
        <w:tc>
          <w:tcPr>
            <w:tcW w:w="2562" w:type="dxa"/>
            <w:vMerge/>
            <w:vAlign w:val="center"/>
          </w:tcPr>
          <w:p w14:paraId="4BF59892" w14:textId="77777777" w:rsidR="00295A11" w:rsidRPr="00BD1319" w:rsidRDefault="00295A11" w:rsidP="00295A11">
            <w:pPr>
              <w:numPr>
                <w:ilvl w:val="12"/>
                <w:numId w:val="0"/>
              </w:numPr>
              <w:tabs>
                <w:tab w:val="left" w:pos="-2268"/>
              </w:tabs>
              <w:suppressAutoHyphens/>
              <w:rPr>
                <w:rFonts w:cs="Arial"/>
                <w:iCs/>
                <w:spacing w:val="-3"/>
                <w:sz w:val="20"/>
                <w:szCs w:val="20"/>
              </w:rPr>
            </w:pPr>
          </w:p>
        </w:tc>
        <w:tc>
          <w:tcPr>
            <w:tcW w:w="6512" w:type="dxa"/>
            <w:shd w:val="clear" w:color="auto" w:fill="auto"/>
            <w:vAlign w:val="center"/>
          </w:tcPr>
          <w:p w14:paraId="27EAE8D7" w14:textId="77777777" w:rsidR="00295A11" w:rsidRPr="00BD1319" w:rsidRDefault="00295A11" w:rsidP="00295A11">
            <w:pPr>
              <w:numPr>
                <w:ilvl w:val="12"/>
                <w:numId w:val="0"/>
              </w:numPr>
              <w:tabs>
                <w:tab w:val="left" w:pos="-2268"/>
              </w:tabs>
              <w:suppressAutoHyphens/>
              <w:rPr>
                <w:rFonts w:cs="Arial"/>
                <w:spacing w:val="-3"/>
                <w:sz w:val="20"/>
                <w:szCs w:val="20"/>
              </w:rPr>
            </w:pPr>
            <w:r w:rsidRPr="00BD1319">
              <w:rPr>
                <w:rFonts w:cs="Arial"/>
                <w:spacing w:val="-3"/>
                <w:sz w:val="20"/>
                <w:szCs w:val="20"/>
              </w:rPr>
              <w:t>Reserva forestal protectora-productora de la cuenca alta del Río Bogotá</w:t>
            </w:r>
          </w:p>
        </w:tc>
      </w:tr>
      <w:tr w:rsidR="00295A11" w:rsidRPr="00BD1319" w14:paraId="2B4F43D1" w14:textId="77777777" w:rsidTr="00713F06">
        <w:trPr>
          <w:trHeight w:hRule="exact" w:val="340"/>
          <w:jc w:val="center"/>
        </w:trPr>
        <w:tc>
          <w:tcPr>
            <w:tcW w:w="2562" w:type="dxa"/>
            <w:vMerge/>
            <w:vAlign w:val="center"/>
          </w:tcPr>
          <w:p w14:paraId="04A0EF30" w14:textId="77777777" w:rsidR="00295A11" w:rsidRPr="00BD1319" w:rsidRDefault="00295A11" w:rsidP="00295A11">
            <w:pPr>
              <w:numPr>
                <w:ilvl w:val="12"/>
                <w:numId w:val="0"/>
              </w:numPr>
              <w:tabs>
                <w:tab w:val="left" w:pos="-2268"/>
              </w:tabs>
              <w:suppressAutoHyphens/>
              <w:rPr>
                <w:rFonts w:cs="Arial"/>
                <w:iCs/>
                <w:spacing w:val="-3"/>
                <w:sz w:val="20"/>
                <w:szCs w:val="20"/>
              </w:rPr>
            </w:pPr>
          </w:p>
        </w:tc>
        <w:tc>
          <w:tcPr>
            <w:tcW w:w="6512" w:type="dxa"/>
            <w:shd w:val="clear" w:color="auto" w:fill="auto"/>
            <w:vAlign w:val="center"/>
          </w:tcPr>
          <w:p w14:paraId="2D04C6E6" w14:textId="77777777" w:rsidR="00295A11" w:rsidRPr="00BD1319" w:rsidRDefault="00295A11" w:rsidP="00295A11">
            <w:pPr>
              <w:numPr>
                <w:ilvl w:val="12"/>
                <w:numId w:val="0"/>
              </w:numPr>
              <w:tabs>
                <w:tab w:val="left" w:pos="-2268"/>
              </w:tabs>
              <w:suppressAutoHyphens/>
              <w:rPr>
                <w:rFonts w:cs="Arial"/>
                <w:spacing w:val="-3"/>
                <w:sz w:val="20"/>
                <w:szCs w:val="20"/>
              </w:rPr>
            </w:pPr>
            <w:r w:rsidRPr="00BD1319">
              <w:rPr>
                <w:rFonts w:cs="Arial"/>
                <w:spacing w:val="-3"/>
                <w:sz w:val="20"/>
                <w:szCs w:val="20"/>
              </w:rPr>
              <w:t>Reservas de biósfera</w:t>
            </w:r>
          </w:p>
        </w:tc>
      </w:tr>
      <w:tr w:rsidR="00295A11" w:rsidRPr="00BD1319" w14:paraId="5715DC89" w14:textId="77777777" w:rsidTr="00713F06">
        <w:trPr>
          <w:trHeight w:hRule="exact" w:val="340"/>
          <w:jc w:val="center"/>
        </w:trPr>
        <w:tc>
          <w:tcPr>
            <w:tcW w:w="2562" w:type="dxa"/>
            <w:vMerge/>
            <w:vAlign w:val="center"/>
          </w:tcPr>
          <w:p w14:paraId="1AE96FBC" w14:textId="77777777" w:rsidR="00295A11" w:rsidRPr="00BD1319" w:rsidRDefault="00295A11" w:rsidP="00295A11">
            <w:pPr>
              <w:numPr>
                <w:ilvl w:val="12"/>
                <w:numId w:val="0"/>
              </w:numPr>
              <w:tabs>
                <w:tab w:val="left" w:pos="-2268"/>
              </w:tabs>
              <w:suppressAutoHyphens/>
              <w:rPr>
                <w:rFonts w:cs="Arial"/>
                <w:iCs/>
                <w:spacing w:val="-3"/>
                <w:sz w:val="20"/>
                <w:szCs w:val="20"/>
              </w:rPr>
            </w:pPr>
          </w:p>
        </w:tc>
        <w:tc>
          <w:tcPr>
            <w:tcW w:w="6512" w:type="dxa"/>
            <w:shd w:val="clear" w:color="auto" w:fill="auto"/>
            <w:vAlign w:val="center"/>
          </w:tcPr>
          <w:p w14:paraId="08704BBA" w14:textId="77777777" w:rsidR="00295A11" w:rsidRPr="00BD1319" w:rsidRDefault="00295A11" w:rsidP="00295A11">
            <w:pPr>
              <w:numPr>
                <w:ilvl w:val="12"/>
                <w:numId w:val="0"/>
              </w:numPr>
              <w:tabs>
                <w:tab w:val="left" w:pos="-2268"/>
              </w:tabs>
              <w:suppressAutoHyphens/>
              <w:rPr>
                <w:rFonts w:cs="Arial"/>
                <w:spacing w:val="-3"/>
                <w:sz w:val="20"/>
                <w:szCs w:val="20"/>
              </w:rPr>
            </w:pPr>
            <w:r w:rsidRPr="00BD1319">
              <w:rPr>
                <w:rFonts w:cs="Arial"/>
                <w:spacing w:val="-3"/>
                <w:sz w:val="20"/>
                <w:szCs w:val="20"/>
              </w:rPr>
              <w:t>Áreas importantes para la conservación de aves (AICA)</w:t>
            </w:r>
          </w:p>
        </w:tc>
      </w:tr>
      <w:tr w:rsidR="00295A11" w:rsidRPr="00BD1319" w14:paraId="1353924D" w14:textId="77777777" w:rsidTr="00713F06">
        <w:trPr>
          <w:trHeight w:hRule="exact" w:val="340"/>
          <w:jc w:val="center"/>
        </w:trPr>
        <w:tc>
          <w:tcPr>
            <w:tcW w:w="2562" w:type="dxa"/>
            <w:vMerge/>
            <w:vAlign w:val="center"/>
          </w:tcPr>
          <w:p w14:paraId="7CBA55EC" w14:textId="77777777" w:rsidR="00295A11" w:rsidRPr="00BD1319" w:rsidRDefault="00295A11" w:rsidP="00295A11">
            <w:pPr>
              <w:numPr>
                <w:ilvl w:val="12"/>
                <w:numId w:val="0"/>
              </w:numPr>
              <w:tabs>
                <w:tab w:val="left" w:pos="-2268"/>
              </w:tabs>
              <w:suppressAutoHyphens/>
              <w:rPr>
                <w:rFonts w:cs="Arial"/>
                <w:iCs/>
                <w:spacing w:val="-3"/>
                <w:sz w:val="20"/>
                <w:szCs w:val="20"/>
              </w:rPr>
            </w:pPr>
          </w:p>
        </w:tc>
        <w:tc>
          <w:tcPr>
            <w:tcW w:w="6512" w:type="dxa"/>
            <w:shd w:val="clear" w:color="auto" w:fill="auto"/>
            <w:vAlign w:val="center"/>
          </w:tcPr>
          <w:p w14:paraId="137F3CFE" w14:textId="77777777" w:rsidR="00295A11" w:rsidRPr="00BD1319" w:rsidRDefault="00295A11" w:rsidP="00295A11">
            <w:pPr>
              <w:numPr>
                <w:ilvl w:val="12"/>
                <w:numId w:val="0"/>
              </w:numPr>
              <w:tabs>
                <w:tab w:val="left" w:pos="-2268"/>
              </w:tabs>
              <w:suppressAutoHyphens/>
              <w:rPr>
                <w:rFonts w:cs="Arial"/>
                <w:spacing w:val="-3"/>
                <w:sz w:val="20"/>
                <w:szCs w:val="20"/>
              </w:rPr>
            </w:pPr>
            <w:r w:rsidRPr="00BD1319">
              <w:rPr>
                <w:rFonts w:cs="Arial"/>
                <w:spacing w:val="-3"/>
                <w:sz w:val="20"/>
                <w:szCs w:val="20"/>
              </w:rPr>
              <w:t>Bosques de paz</w:t>
            </w:r>
          </w:p>
        </w:tc>
      </w:tr>
      <w:tr w:rsidR="00295A11" w:rsidRPr="00BD1319" w14:paraId="6A7FB13E" w14:textId="77777777" w:rsidTr="00713F06">
        <w:trPr>
          <w:trHeight w:hRule="exact" w:val="340"/>
          <w:jc w:val="center"/>
        </w:trPr>
        <w:tc>
          <w:tcPr>
            <w:tcW w:w="2562" w:type="dxa"/>
            <w:vMerge/>
            <w:vAlign w:val="center"/>
          </w:tcPr>
          <w:p w14:paraId="08204607" w14:textId="77777777" w:rsidR="00295A11" w:rsidRPr="00BD1319" w:rsidRDefault="00295A11" w:rsidP="00295A11">
            <w:pPr>
              <w:numPr>
                <w:ilvl w:val="12"/>
                <w:numId w:val="0"/>
              </w:numPr>
              <w:tabs>
                <w:tab w:val="left" w:pos="-2268"/>
              </w:tabs>
              <w:suppressAutoHyphens/>
              <w:rPr>
                <w:rFonts w:cs="Arial"/>
                <w:iCs/>
                <w:spacing w:val="-3"/>
                <w:sz w:val="20"/>
                <w:szCs w:val="20"/>
              </w:rPr>
            </w:pPr>
          </w:p>
        </w:tc>
        <w:tc>
          <w:tcPr>
            <w:tcW w:w="6512" w:type="dxa"/>
            <w:shd w:val="clear" w:color="auto" w:fill="auto"/>
            <w:vAlign w:val="center"/>
          </w:tcPr>
          <w:p w14:paraId="592B3AE8" w14:textId="77777777" w:rsidR="00295A11" w:rsidRPr="00BD1319" w:rsidRDefault="00295A11" w:rsidP="00295A11">
            <w:pPr>
              <w:numPr>
                <w:ilvl w:val="12"/>
                <w:numId w:val="0"/>
              </w:numPr>
              <w:tabs>
                <w:tab w:val="left" w:pos="-2268"/>
              </w:tabs>
              <w:suppressAutoHyphens/>
              <w:rPr>
                <w:rFonts w:cs="Arial"/>
                <w:spacing w:val="-3"/>
                <w:sz w:val="20"/>
                <w:szCs w:val="20"/>
              </w:rPr>
            </w:pPr>
            <w:r w:rsidRPr="00BD1319">
              <w:rPr>
                <w:rFonts w:cs="Arial"/>
                <w:spacing w:val="-3"/>
                <w:sz w:val="20"/>
                <w:szCs w:val="20"/>
              </w:rPr>
              <w:t>Bancos de hábitat</w:t>
            </w:r>
          </w:p>
        </w:tc>
      </w:tr>
      <w:tr w:rsidR="00295A11" w:rsidRPr="00BD1319" w14:paraId="7B49973E" w14:textId="77777777" w:rsidTr="00713F06">
        <w:trPr>
          <w:trHeight w:hRule="exact" w:val="1021"/>
          <w:jc w:val="center"/>
        </w:trPr>
        <w:tc>
          <w:tcPr>
            <w:tcW w:w="2562" w:type="dxa"/>
            <w:vMerge/>
            <w:vAlign w:val="center"/>
          </w:tcPr>
          <w:p w14:paraId="3FBF84FE" w14:textId="77777777" w:rsidR="00295A11" w:rsidRPr="00BD1319" w:rsidRDefault="00295A11" w:rsidP="00295A11">
            <w:pPr>
              <w:numPr>
                <w:ilvl w:val="12"/>
                <w:numId w:val="0"/>
              </w:numPr>
              <w:tabs>
                <w:tab w:val="left" w:pos="-2268"/>
              </w:tabs>
              <w:suppressAutoHyphens/>
              <w:rPr>
                <w:rFonts w:cs="Arial"/>
                <w:iCs/>
                <w:spacing w:val="-3"/>
                <w:sz w:val="20"/>
                <w:szCs w:val="20"/>
              </w:rPr>
            </w:pPr>
          </w:p>
        </w:tc>
        <w:tc>
          <w:tcPr>
            <w:tcW w:w="6512" w:type="dxa"/>
            <w:shd w:val="clear" w:color="auto" w:fill="auto"/>
            <w:vAlign w:val="center"/>
          </w:tcPr>
          <w:p w14:paraId="315DEC93" w14:textId="38B64489" w:rsidR="00295A11" w:rsidRPr="00BD1319" w:rsidRDefault="00295A11" w:rsidP="00295A11">
            <w:pPr>
              <w:numPr>
                <w:ilvl w:val="12"/>
                <w:numId w:val="0"/>
              </w:numPr>
              <w:tabs>
                <w:tab w:val="left" w:pos="-2268"/>
              </w:tabs>
              <w:suppressAutoHyphens/>
              <w:rPr>
                <w:rFonts w:cs="Arial"/>
                <w:spacing w:val="-3"/>
                <w:sz w:val="20"/>
                <w:szCs w:val="20"/>
              </w:rPr>
            </w:pPr>
            <w:r w:rsidRPr="00BD1319">
              <w:rPr>
                <w:rFonts w:cs="Arial"/>
                <w:spacing w:val="-3"/>
                <w:sz w:val="20"/>
                <w:szCs w:val="20"/>
              </w:rPr>
              <w:t xml:space="preserve">Área marina protegida de los archipiélagos del Rosario y de San Bernardo (hasta tanto se adelante su proceso de homologación con las categorías de manejo del </w:t>
            </w:r>
            <w:proofErr w:type="spellStart"/>
            <w:r w:rsidRPr="00BD1319">
              <w:rPr>
                <w:rFonts w:cs="Arial"/>
                <w:spacing w:val="-3"/>
                <w:sz w:val="20"/>
                <w:szCs w:val="20"/>
              </w:rPr>
              <w:t>Sinap</w:t>
            </w:r>
            <w:proofErr w:type="spellEnd"/>
            <w:r w:rsidRPr="00BD1319">
              <w:rPr>
                <w:rFonts w:cs="Arial"/>
                <w:spacing w:val="-3"/>
                <w:sz w:val="20"/>
                <w:szCs w:val="20"/>
              </w:rPr>
              <w:t>)</w:t>
            </w:r>
          </w:p>
        </w:tc>
      </w:tr>
      <w:tr w:rsidR="00295A11" w:rsidRPr="00BD1319" w14:paraId="3BB6AD97" w14:textId="77777777" w:rsidTr="00713F06">
        <w:trPr>
          <w:trHeight w:hRule="exact" w:val="680"/>
          <w:jc w:val="center"/>
        </w:trPr>
        <w:tc>
          <w:tcPr>
            <w:tcW w:w="2562" w:type="dxa"/>
            <w:vMerge/>
            <w:vAlign w:val="center"/>
          </w:tcPr>
          <w:p w14:paraId="513C2F8A" w14:textId="77777777" w:rsidR="00295A11" w:rsidRPr="00BD1319" w:rsidRDefault="00295A11" w:rsidP="00295A11">
            <w:pPr>
              <w:numPr>
                <w:ilvl w:val="12"/>
                <w:numId w:val="0"/>
              </w:numPr>
              <w:tabs>
                <w:tab w:val="left" w:pos="-2268"/>
              </w:tabs>
              <w:suppressAutoHyphens/>
              <w:rPr>
                <w:rFonts w:cs="Arial"/>
                <w:iCs/>
                <w:spacing w:val="-3"/>
                <w:sz w:val="20"/>
                <w:szCs w:val="20"/>
              </w:rPr>
            </w:pPr>
          </w:p>
        </w:tc>
        <w:tc>
          <w:tcPr>
            <w:tcW w:w="6512" w:type="dxa"/>
            <w:shd w:val="clear" w:color="auto" w:fill="auto"/>
            <w:vAlign w:val="center"/>
          </w:tcPr>
          <w:p w14:paraId="0CF8B14E" w14:textId="77777777" w:rsidR="00295A11" w:rsidRPr="00BD1319" w:rsidRDefault="00295A11" w:rsidP="00295A11">
            <w:pPr>
              <w:numPr>
                <w:ilvl w:val="12"/>
                <w:numId w:val="0"/>
              </w:numPr>
              <w:tabs>
                <w:tab w:val="left" w:pos="-2268"/>
              </w:tabs>
              <w:suppressAutoHyphens/>
              <w:rPr>
                <w:rFonts w:cs="Arial"/>
                <w:spacing w:val="-3"/>
                <w:sz w:val="20"/>
                <w:szCs w:val="20"/>
              </w:rPr>
            </w:pPr>
            <w:r w:rsidRPr="00BD1319">
              <w:rPr>
                <w:rFonts w:cs="Arial"/>
                <w:spacing w:val="-3"/>
                <w:sz w:val="20"/>
                <w:szCs w:val="20"/>
              </w:rPr>
              <w:t>Áreas susceptibles a procesos de restauración ecológica (definidas en el Plan nacional de restauración)</w:t>
            </w:r>
          </w:p>
        </w:tc>
      </w:tr>
      <w:tr w:rsidR="00295A11" w:rsidRPr="00BD1319" w14:paraId="4E52D1CC" w14:textId="77777777" w:rsidTr="00713F06">
        <w:trPr>
          <w:trHeight w:hRule="exact" w:val="680"/>
          <w:jc w:val="center"/>
        </w:trPr>
        <w:tc>
          <w:tcPr>
            <w:tcW w:w="2562" w:type="dxa"/>
            <w:vMerge w:val="restart"/>
            <w:vAlign w:val="center"/>
          </w:tcPr>
          <w:p w14:paraId="3CDAD2C7" w14:textId="1ABDFFB8" w:rsidR="00295A11" w:rsidRPr="00BD1319" w:rsidRDefault="00295A11" w:rsidP="00295A11">
            <w:pPr>
              <w:numPr>
                <w:ilvl w:val="12"/>
                <w:numId w:val="0"/>
              </w:numPr>
              <w:tabs>
                <w:tab w:val="left" w:pos="-2268"/>
              </w:tabs>
              <w:suppressAutoHyphens/>
              <w:rPr>
                <w:rFonts w:cs="Arial"/>
                <w:iCs/>
                <w:spacing w:val="-3"/>
                <w:sz w:val="20"/>
                <w:szCs w:val="20"/>
              </w:rPr>
            </w:pPr>
            <w:r w:rsidRPr="00BD1319">
              <w:rPr>
                <w:rFonts w:cs="Arial"/>
                <w:iCs/>
                <w:spacing w:val="-3"/>
                <w:sz w:val="20"/>
                <w:szCs w:val="20"/>
              </w:rPr>
              <w:t>Instrumentos de ordenamiento ambiental y territorial</w:t>
            </w:r>
          </w:p>
        </w:tc>
        <w:tc>
          <w:tcPr>
            <w:tcW w:w="6512" w:type="dxa"/>
            <w:shd w:val="clear" w:color="auto" w:fill="auto"/>
            <w:vAlign w:val="center"/>
          </w:tcPr>
          <w:p w14:paraId="31D4DDEE" w14:textId="43701BFA" w:rsidR="00295A11" w:rsidRPr="00BD1319" w:rsidRDefault="00295A11" w:rsidP="00295A11">
            <w:pPr>
              <w:numPr>
                <w:ilvl w:val="12"/>
                <w:numId w:val="0"/>
              </w:numPr>
              <w:tabs>
                <w:tab w:val="left" w:pos="-2268"/>
              </w:tabs>
              <w:suppressAutoHyphens/>
              <w:rPr>
                <w:rFonts w:cs="Arial"/>
                <w:spacing w:val="-3"/>
                <w:sz w:val="20"/>
                <w:szCs w:val="20"/>
              </w:rPr>
            </w:pPr>
            <w:r w:rsidRPr="00BD1319">
              <w:rPr>
                <w:rFonts w:cs="Arial"/>
                <w:spacing w:val="-3"/>
                <w:sz w:val="20"/>
                <w:szCs w:val="20"/>
              </w:rPr>
              <w:t xml:space="preserve">Otras áreas designadas como de conservación y preservación ambiental en los </w:t>
            </w:r>
            <w:proofErr w:type="spellStart"/>
            <w:r w:rsidRPr="00BD1319">
              <w:rPr>
                <w:rFonts w:cs="Arial"/>
                <w:spacing w:val="-3"/>
                <w:sz w:val="20"/>
                <w:szCs w:val="20"/>
              </w:rPr>
              <w:t>Pomca</w:t>
            </w:r>
            <w:proofErr w:type="spellEnd"/>
            <w:r w:rsidRPr="00BD1319">
              <w:rPr>
                <w:rFonts w:cs="Arial"/>
                <w:spacing w:val="-3"/>
                <w:sz w:val="20"/>
                <w:szCs w:val="20"/>
              </w:rPr>
              <w:t xml:space="preserve"> y </w:t>
            </w:r>
            <w:proofErr w:type="spellStart"/>
            <w:r w:rsidRPr="00BD1319">
              <w:rPr>
                <w:rFonts w:cs="Arial"/>
                <w:spacing w:val="-3"/>
                <w:sz w:val="20"/>
                <w:szCs w:val="20"/>
              </w:rPr>
              <w:t>Pomiuac</w:t>
            </w:r>
            <w:proofErr w:type="spellEnd"/>
          </w:p>
        </w:tc>
      </w:tr>
      <w:tr w:rsidR="00295A11" w:rsidRPr="00BD1319" w14:paraId="26893246" w14:textId="77777777" w:rsidTr="009420F5">
        <w:trPr>
          <w:trHeight w:hRule="exact" w:val="641"/>
          <w:jc w:val="center"/>
        </w:trPr>
        <w:tc>
          <w:tcPr>
            <w:tcW w:w="2562" w:type="dxa"/>
            <w:vMerge/>
            <w:vAlign w:val="center"/>
          </w:tcPr>
          <w:p w14:paraId="5A474CE2" w14:textId="77777777" w:rsidR="00295A11" w:rsidRPr="00BD1319" w:rsidRDefault="00295A11" w:rsidP="00295A11">
            <w:pPr>
              <w:numPr>
                <w:ilvl w:val="12"/>
                <w:numId w:val="0"/>
              </w:numPr>
              <w:tabs>
                <w:tab w:val="left" w:pos="-2268"/>
              </w:tabs>
              <w:suppressAutoHyphens/>
              <w:rPr>
                <w:rFonts w:cs="Arial"/>
                <w:i/>
                <w:iCs/>
                <w:spacing w:val="-3"/>
                <w:sz w:val="20"/>
                <w:szCs w:val="20"/>
              </w:rPr>
            </w:pPr>
          </w:p>
        </w:tc>
        <w:tc>
          <w:tcPr>
            <w:tcW w:w="6512" w:type="dxa"/>
            <w:shd w:val="clear" w:color="auto" w:fill="auto"/>
            <w:vAlign w:val="center"/>
          </w:tcPr>
          <w:p w14:paraId="7C5D68C4" w14:textId="4CE0C492" w:rsidR="00295A11" w:rsidRPr="00BD1319" w:rsidRDefault="00295A11" w:rsidP="00295A11">
            <w:pPr>
              <w:numPr>
                <w:ilvl w:val="12"/>
                <w:numId w:val="0"/>
              </w:numPr>
              <w:tabs>
                <w:tab w:val="left" w:pos="-2268"/>
              </w:tabs>
              <w:suppressAutoHyphens/>
              <w:rPr>
                <w:rFonts w:cs="Arial"/>
                <w:spacing w:val="-3"/>
                <w:sz w:val="20"/>
                <w:szCs w:val="20"/>
              </w:rPr>
            </w:pPr>
            <w:r w:rsidRPr="00BD1319">
              <w:rPr>
                <w:rFonts w:cs="Arial"/>
                <w:spacing w:val="-3"/>
                <w:sz w:val="20"/>
                <w:szCs w:val="20"/>
              </w:rPr>
              <w:t>Otras áreas designadas como suelo de protección en los POT por sus características paisajísticas o ambientales</w:t>
            </w:r>
          </w:p>
        </w:tc>
      </w:tr>
      <w:tr w:rsidR="00295A11" w:rsidRPr="00BD1319" w14:paraId="7695AE08" w14:textId="77777777" w:rsidTr="00713F06">
        <w:trPr>
          <w:trHeight w:hRule="exact" w:val="1310"/>
          <w:jc w:val="center"/>
        </w:trPr>
        <w:tc>
          <w:tcPr>
            <w:tcW w:w="2562" w:type="dxa"/>
            <w:vMerge/>
            <w:vAlign w:val="center"/>
          </w:tcPr>
          <w:p w14:paraId="785A5FB3" w14:textId="77777777" w:rsidR="00295A11" w:rsidRPr="00BD1319" w:rsidRDefault="00295A11" w:rsidP="00295A11">
            <w:pPr>
              <w:numPr>
                <w:ilvl w:val="12"/>
                <w:numId w:val="0"/>
              </w:numPr>
              <w:tabs>
                <w:tab w:val="left" w:pos="-2268"/>
              </w:tabs>
              <w:suppressAutoHyphens/>
              <w:rPr>
                <w:rFonts w:cs="Arial"/>
                <w:iCs/>
                <w:spacing w:val="-3"/>
                <w:sz w:val="20"/>
                <w:szCs w:val="20"/>
              </w:rPr>
            </w:pPr>
          </w:p>
        </w:tc>
        <w:tc>
          <w:tcPr>
            <w:tcW w:w="6512" w:type="dxa"/>
            <w:shd w:val="clear" w:color="auto" w:fill="auto"/>
            <w:vAlign w:val="center"/>
          </w:tcPr>
          <w:p w14:paraId="3E163FAD" w14:textId="49B4AA12" w:rsidR="00295A11" w:rsidRPr="00BD1319" w:rsidRDefault="00295A11" w:rsidP="00295A11">
            <w:pPr>
              <w:numPr>
                <w:ilvl w:val="12"/>
                <w:numId w:val="0"/>
              </w:numPr>
              <w:tabs>
                <w:tab w:val="left" w:pos="-2268"/>
              </w:tabs>
              <w:suppressAutoHyphens/>
              <w:rPr>
                <w:rFonts w:cs="Arial"/>
                <w:spacing w:val="-3"/>
                <w:sz w:val="20"/>
                <w:szCs w:val="20"/>
              </w:rPr>
            </w:pPr>
            <w:r w:rsidRPr="00BD1319">
              <w:rPr>
                <w:rFonts w:cs="Arial"/>
                <w:spacing w:val="-3"/>
                <w:sz w:val="20"/>
                <w:szCs w:val="20"/>
              </w:rPr>
              <w:t>Áreas sensibles y estratégicas en el ámbito local, regional, nacional, y/o internacional (p. ej. zonas de recarga de acuíferos, rondas hídricas, nacimientos de agua), reconocidas y cartografiadas por alguna entidad del Estado, o identificadas durante el proceso de elaboración del estudio ambiental</w:t>
            </w:r>
          </w:p>
        </w:tc>
      </w:tr>
    </w:tbl>
    <w:p w14:paraId="080D4F81" w14:textId="77777777" w:rsidR="00416765" w:rsidRPr="00BD1319" w:rsidRDefault="00416765">
      <w:pPr>
        <w:numPr>
          <w:ilvl w:val="12"/>
          <w:numId w:val="0"/>
        </w:numPr>
        <w:tabs>
          <w:tab w:val="left" w:pos="-2268"/>
        </w:tabs>
        <w:suppressAutoHyphens/>
        <w:rPr>
          <w:spacing w:val="-3"/>
        </w:rPr>
      </w:pPr>
    </w:p>
    <w:p w14:paraId="6D2B0546" w14:textId="5DEC2970" w:rsidR="00FC5119" w:rsidRPr="00BD1319" w:rsidRDefault="0079041D" w:rsidP="00FC5119">
      <w:pPr>
        <w:numPr>
          <w:ilvl w:val="12"/>
          <w:numId w:val="0"/>
        </w:numPr>
        <w:tabs>
          <w:tab w:val="left" w:pos="-2268"/>
        </w:tabs>
        <w:suppressAutoHyphens/>
        <w:rPr>
          <w:spacing w:val="-3"/>
        </w:rPr>
      </w:pPr>
      <w:r w:rsidRPr="00BD1319">
        <w:rPr>
          <w:spacing w:val="-3"/>
        </w:rPr>
        <w:t xml:space="preserve">Las </w:t>
      </w:r>
      <w:r w:rsidR="0086126A" w:rsidRPr="00BD1319">
        <w:rPr>
          <w:spacing w:val="-3"/>
        </w:rPr>
        <w:t>AAE</w:t>
      </w:r>
      <w:r w:rsidR="007E4057" w:rsidRPr="00BD1319">
        <w:rPr>
          <w:spacing w:val="-3"/>
        </w:rPr>
        <w:t>, así como su zonificación de manejo (en caso de existir),</w:t>
      </w:r>
      <w:r w:rsidRPr="00BD1319">
        <w:rPr>
          <w:spacing w:val="-3"/>
        </w:rPr>
        <w:t xml:space="preserve"> deben ser representadas cartográficamente en el mapa de ecosistemas a la escala que establezcan los términos de referencia,</w:t>
      </w:r>
      <w:r w:rsidR="0072054C" w:rsidRPr="00BD1319">
        <w:rPr>
          <w:spacing w:val="-3"/>
        </w:rPr>
        <w:t xml:space="preserve"> </w:t>
      </w:r>
      <w:r w:rsidR="00FC5119" w:rsidRPr="00BD1319">
        <w:rPr>
          <w:spacing w:val="-3"/>
        </w:rPr>
        <w:t xml:space="preserve">de tal forma que sea evidente su ubicación </w:t>
      </w:r>
      <w:r w:rsidR="009D14E3" w:rsidRPr="00BD1319">
        <w:rPr>
          <w:spacing w:val="-3"/>
        </w:rPr>
        <w:t xml:space="preserve">y distancia </w:t>
      </w:r>
      <w:r w:rsidR="00FC5119" w:rsidRPr="00BD1319">
        <w:rPr>
          <w:spacing w:val="-3"/>
        </w:rPr>
        <w:t>con respecto a</w:t>
      </w:r>
      <w:r w:rsidR="009B3405" w:rsidRPr="00BD1319">
        <w:rPr>
          <w:spacing w:val="-3"/>
        </w:rPr>
        <w:t xml:space="preserve"> las posibles opciones de localización o trazado </w:t>
      </w:r>
      <w:r w:rsidR="009D14E3" w:rsidRPr="00BD1319">
        <w:rPr>
          <w:spacing w:val="-3"/>
        </w:rPr>
        <w:t>de</w:t>
      </w:r>
      <w:r w:rsidR="00FC5119" w:rsidRPr="00BD1319">
        <w:rPr>
          <w:spacing w:val="-3"/>
        </w:rPr>
        <w:t xml:space="preserve"> las </w:t>
      </w:r>
      <w:r w:rsidR="00FC5119" w:rsidRPr="00BD1319">
        <w:rPr>
          <w:rFonts w:cs="Arial"/>
          <w:spacing w:val="-3"/>
        </w:rPr>
        <w:t>alternativas</w:t>
      </w:r>
      <w:r w:rsidR="00FC5119" w:rsidRPr="00BD1319">
        <w:rPr>
          <w:spacing w:val="-3"/>
        </w:rPr>
        <w:t>.</w:t>
      </w:r>
    </w:p>
    <w:p w14:paraId="5955CAB9" w14:textId="77777777" w:rsidR="00F97C5C" w:rsidRPr="00BD1319" w:rsidRDefault="00F97C5C">
      <w:pPr>
        <w:numPr>
          <w:ilvl w:val="12"/>
          <w:numId w:val="0"/>
        </w:numPr>
        <w:tabs>
          <w:tab w:val="left" w:pos="-2268"/>
        </w:tabs>
        <w:suppressAutoHyphens/>
        <w:rPr>
          <w:spacing w:val="-3"/>
        </w:rPr>
      </w:pPr>
    </w:p>
    <w:p w14:paraId="4B4F1377" w14:textId="1383FA65" w:rsidR="00F97C5C" w:rsidRPr="00BD1319" w:rsidRDefault="00235CDD">
      <w:pPr>
        <w:numPr>
          <w:ilvl w:val="12"/>
          <w:numId w:val="0"/>
        </w:numPr>
        <w:tabs>
          <w:tab w:val="left" w:pos="-2268"/>
        </w:tabs>
        <w:suppressAutoHyphens/>
        <w:rPr>
          <w:spacing w:val="-3"/>
        </w:rPr>
      </w:pPr>
      <w:r w:rsidRPr="00BD1319">
        <w:rPr>
          <w:rFonts w:cs="Arial"/>
          <w:spacing w:val="-3"/>
        </w:rPr>
        <w:t xml:space="preserve">Se debe recordar que </w:t>
      </w:r>
      <w:r w:rsidR="00CA44D5" w:rsidRPr="00BD1319">
        <w:rPr>
          <w:spacing w:val="-3"/>
        </w:rPr>
        <w:t xml:space="preserve">los </w:t>
      </w:r>
      <w:r w:rsidR="00F97C5C" w:rsidRPr="00BD1319">
        <w:rPr>
          <w:spacing w:val="-3"/>
        </w:rPr>
        <w:t>arrecifes de coral, manglares y praderas de pastos marinos</w:t>
      </w:r>
      <w:r w:rsidRPr="00BD1319">
        <w:rPr>
          <w:spacing w:val="-3"/>
        </w:rPr>
        <w:t xml:space="preserve"> son</w:t>
      </w:r>
      <w:r w:rsidR="00F97C5C" w:rsidRPr="00BD1319">
        <w:rPr>
          <w:spacing w:val="-3"/>
        </w:rPr>
        <w:t xml:space="preserve"> ecosistemas protegidos según lo dispuesto en el artículo 207 de la Ley 1450 de 2011 y </w:t>
      </w:r>
      <w:r w:rsidR="00F97C5C" w:rsidRPr="00BD1319">
        <w:rPr>
          <w:rFonts w:cs="Arial"/>
          <w:spacing w:val="-3"/>
        </w:rPr>
        <w:t xml:space="preserve">la Resolución 1263 de 2018 </w:t>
      </w:r>
      <w:r w:rsidRPr="00BD1319">
        <w:rPr>
          <w:rFonts w:cs="Arial"/>
          <w:spacing w:val="-3"/>
        </w:rPr>
        <w:t xml:space="preserve">y </w:t>
      </w:r>
      <w:r w:rsidR="00F97C5C" w:rsidRPr="00BD1319">
        <w:rPr>
          <w:spacing w:val="-3"/>
        </w:rPr>
        <w:t xml:space="preserve">que deben ser sujetos de consideraciones especiales para su conservación y uso sostenible de acuerdo </w:t>
      </w:r>
      <w:r w:rsidR="00F97C5C" w:rsidRPr="00BD1319">
        <w:rPr>
          <w:rFonts w:cs="Arial"/>
          <w:spacing w:val="-3"/>
        </w:rPr>
        <w:t>con lo establecido en el</w:t>
      </w:r>
      <w:r w:rsidR="00F97C5C" w:rsidRPr="00BD1319">
        <w:rPr>
          <w:spacing w:val="-3"/>
        </w:rPr>
        <w:t xml:space="preserve"> Decreto 1076 de 2015</w:t>
      </w:r>
      <w:r w:rsidR="00F97C5C" w:rsidRPr="00BD1319">
        <w:rPr>
          <w:rFonts w:cs="Arial"/>
          <w:spacing w:val="-3"/>
        </w:rPr>
        <w:t xml:space="preserve"> o aquella norma que lo modifique o sustituya.</w:t>
      </w:r>
    </w:p>
    <w:p w14:paraId="33AAAA87" w14:textId="77777777" w:rsidR="00F97C5C" w:rsidRPr="00BD1319" w:rsidRDefault="00F97C5C">
      <w:pPr>
        <w:numPr>
          <w:ilvl w:val="12"/>
          <w:numId w:val="0"/>
        </w:numPr>
        <w:tabs>
          <w:tab w:val="left" w:pos="-2268"/>
        </w:tabs>
        <w:suppressAutoHyphens/>
        <w:rPr>
          <w:spacing w:val="-3"/>
        </w:rPr>
      </w:pPr>
    </w:p>
    <w:p w14:paraId="2AF7C14F" w14:textId="47785D78" w:rsidR="00F97C5C" w:rsidRPr="00BD1319" w:rsidRDefault="00F97C5C" w:rsidP="0068149C">
      <w:pPr>
        <w:pStyle w:val="Ttulo2"/>
        <w:rPr>
          <w:lang w:val="es-CO"/>
        </w:rPr>
      </w:pPr>
      <w:bookmarkStart w:id="2289" w:name="_Toc138759936"/>
      <w:bookmarkStart w:id="2290" w:name="_Toc153811758"/>
      <w:bookmarkStart w:id="2291" w:name="_Toc153811971"/>
      <w:bookmarkStart w:id="2292" w:name="_Toc153812376"/>
      <w:bookmarkStart w:id="2293" w:name="_Toc158907086"/>
      <w:bookmarkStart w:id="2294" w:name="_Toc159826086"/>
      <w:bookmarkStart w:id="2295" w:name="_Toc159826520"/>
      <w:bookmarkStart w:id="2296" w:name="_Toc175326350"/>
      <w:bookmarkStart w:id="2297" w:name="_Toc138759937"/>
      <w:bookmarkStart w:id="2298" w:name="_Toc153811759"/>
      <w:bookmarkStart w:id="2299" w:name="_Toc153811972"/>
      <w:bookmarkStart w:id="2300" w:name="_Toc153812377"/>
      <w:bookmarkStart w:id="2301" w:name="_Toc158907087"/>
      <w:bookmarkStart w:id="2302" w:name="_Toc159826087"/>
      <w:bookmarkStart w:id="2303" w:name="_Toc159826521"/>
      <w:bookmarkStart w:id="2304" w:name="_Toc175326351"/>
      <w:bookmarkStart w:id="2305" w:name="_Toc412803160"/>
      <w:bookmarkStart w:id="2306" w:name="_Toc437935987"/>
      <w:bookmarkStart w:id="2307" w:name="_Toc42552225"/>
      <w:bookmarkStart w:id="2308" w:name="_Toc175326706"/>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r w:rsidRPr="00BD1319">
        <w:rPr>
          <w:lang w:val="es-CO"/>
        </w:rPr>
        <w:t>MEDIO SOCIOECONÓMICO</w:t>
      </w:r>
      <w:bookmarkEnd w:id="2305"/>
      <w:bookmarkEnd w:id="2306"/>
      <w:bookmarkEnd w:id="2307"/>
      <w:bookmarkEnd w:id="2308"/>
    </w:p>
    <w:p w14:paraId="7DBFBD20" w14:textId="77777777" w:rsidR="00F97C5C" w:rsidRPr="00BD1319" w:rsidRDefault="00F97C5C">
      <w:pPr>
        <w:numPr>
          <w:ilvl w:val="12"/>
          <w:numId w:val="0"/>
        </w:numPr>
        <w:tabs>
          <w:tab w:val="left" w:pos="-2268"/>
        </w:tabs>
        <w:suppressAutoHyphens/>
        <w:rPr>
          <w:spacing w:val="-3"/>
        </w:rPr>
      </w:pPr>
    </w:p>
    <w:p w14:paraId="3FC77521" w14:textId="362ACD6F" w:rsidR="00F97C5C" w:rsidRPr="00BD1319" w:rsidRDefault="00F97C5C" w:rsidP="00F97C5C">
      <w:pPr>
        <w:numPr>
          <w:ilvl w:val="12"/>
          <w:numId w:val="0"/>
        </w:numPr>
        <w:tabs>
          <w:tab w:val="left" w:pos="-2268"/>
        </w:tabs>
        <w:suppressAutoHyphens/>
        <w:rPr>
          <w:rFonts w:cs="Arial"/>
          <w:spacing w:val="-3"/>
        </w:rPr>
      </w:pPr>
      <w:r w:rsidRPr="00BD1319">
        <w:rPr>
          <w:rFonts w:cs="Arial"/>
          <w:spacing w:val="-3"/>
        </w:rPr>
        <w:t>La</w:t>
      </w:r>
      <w:r w:rsidRPr="00BD1319">
        <w:rPr>
          <w:spacing w:val="-3"/>
        </w:rPr>
        <w:t xml:space="preserve"> caracterización del medio socioeconómico debe </w:t>
      </w:r>
      <w:r w:rsidRPr="00BD1319">
        <w:rPr>
          <w:rFonts w:cs="Arial"/>
          <w:spacing w:val="-3"/>
        </w:rPr>
        <w:t>realiza</w:t>
      </w:r>
      <w:r w:rsidR="001A7EFF" w:rsidRPr="00BD1319">
        <w:rPr>
          <w:rFonts w:cs="Arial"/>
          <w:spacing w:val="-3"/>
        </w:rPr>
        <w:t xml:space="preserve">rse </w:t>
      </w:r>
      <w:r w:rsidRPr="00BD1319">
        <w:rPr>
          <w:rFonts w:cs="Arial"/>
          <w:spacing w:val="-3"/>
        </w:rPr>
        <w:t>para la</w:t>
      </w:r>
      <w:r w:rsidR="001A7EFF" w:rsidRPr="00BD1319">
        <w:rPr>
          <w:rFonts w:cs="Arial"/>
          <w:spacing w:val="-3"/>
        </w:rPr>
        <w:t>s</w:t>
      </w:r>
      <w:r w:rsidRPr="00BD1319">
        <w:rPr>
          <w:rFonts w:cs="Arial"/>
          <w:spacing w:val="-3"/>
        </w:rPr>
        <w:t xml:space="preserve"> unidad</w:t>
      </w:r>
      <w:r w:rsidR="001A7EFF" w:rsidRPr="00BD1319">
        <w:rPr>
          <w:rFonts w:cs="Arial"/>
          <w:spacing w:val="-3"/>
        </w:rPr>
        <w:t>es</w:t>
      </w:r>
      <w:r w:rsidRPr="00BD1319">
        <w:rPr>
          <w:rFonts w:cs="Arial"/>
          <w:spacing w:val="-3"/>
        </w:rPr>
        <w:t xml:space="preserve"> de análisis territorial </w:t>
      </w:r>
      <w:r w:rsidR="001A7EFF" w:rsidRPr="00BD1319">
        <w:rPr>
          <w:rFonts w:cs="Arial"/>
          <w:spacing w:val="-3"/>
        </w:rPr>
        <w:t xml:space="preserve">establecidas </w:t>
      </w:r>
      <w:r w:rsidRPr="00BD1319">
        <w:rPr>
          <w:rFonts w:cs="Arial"/>
          <w:spacing w:val="-3"/>
        </w:rPr>
        <w:t>para el área de estudio</w:t>
      </w:r>
      <w:r w:rsidR="001A7EFF" w:rsidRPr="00BD1319">
        <w:rPr>
          <w:rFonts w:cs="Arial"/>
          <w:spacing w:val="-3"/>
        </w:rPr>
        <w:t xml:space="preserve"> de este medio</w:t>
      </w:r>
      <w:r w:rsidRPr="00BD1319">
        <w:rPr>
          <w:rFonts w:cs="Arial"/>
          <w:spacing w:val="-3"/>
        </w:rPr>
        <w:t>, sin embargo, es preciso presentar información de contexto (nivel departamental o municipal)</w:t>
      </w:r>
      <w:r w:rsidRPr="00BD1319">
        <w:rPr>
          <w:spacing w:val="-3"/>
        </w:rPr>
        <w:t xml:space="preserve"> que </w:t>
      </w:r>
      <w:r w:rsidR="0041428E" w:rsidRPr="00BD1319">
        <w:rPr>
          <w:rFonts w:cs="Arial"/>
          <w:spacing w:val="-3"/>
        </w:rPr>
        <w:t xml:space="preserve">proporcione </w:t>
      </w:r>
      <w:r w:rsidRPr="00BD1319">
        <w:rPr>
          <w:rFonts w:cs="Arial"/>
          <w:spacing w:val="-3"/>
        </w:rPr>
        <w:t>un</w:t>
      </w:r>
      <w:r w:rsidR="0041428E" w:rsidRPr="00BD1319">
        <w:rPr>
          <w:rFonts w:cs="Arial"/>
          <w:spacing w:val="-3"/>
        </w:rPr>
        <w:t>a perspectiva</w:t>
      </w:r>
      <w:r w:rsidRPr="00BD1319">
        <w:rPr>
          <w:rFonts w:cs="Arial"/>
          <w:spacing w:val="-3"/>
        </w:rPr>
        <w:t xml:space="preserve"> integral del </w:t>
      </w:r>
      <w:r w:rsidR="00B272CA" w:rsidRPr="00BD1319">
        <w:rPr>
          <w:rFonts w:cs="Arial"/>
          <w:spacing w:val="-3"/>
        </w:rPr>
        <w:t>territorio</w:t>
      </w:r>
      <w:r w:rsidRPr="00BD1319">
        <w:rPr>
          <w:rFonts w:cs="Arial"/>
          <w:spacing w:val="-3"/>
        </w:rPr>
        <w:t>, sin que ello conlleve a que dicha información corresponda con la delimitación del área de estudio del proyecto, obra o actividad.</w:t>
      </w:r>
    </w:p>
    <w:p w14:paraId="61E53A3E" w14:textId="77777777" w:rsidR="00F97C5C" w:rsidRPr="00BD1319" w:rsidRDefault="00F97C5C" w:rsidP="00F97C5C">
      <w:pPr>
        <w:numPr>
          <w:ilvl w:val="12"/>
          <w:numId w:val="0"/>
        </w:numPr>
        <w:tabs>
          <w:tab w:val="left" w:pos="-2268"/>
        </w:tabs>
        <w:suppressAutoHyphens/>
        <w:rPr>
          <w:rFonts w:cs="Arial"/>
          <w:spacing w:val="-3"/>
        </w:rPr>
      </w:pPr>
    </w:p>
    <w:p w14:paraId="31F852C3" w14:textId="2317DFF6" w:rsidR="00F97C5C" w:rsidRPr="00BD1319" w:rsidRDefault="00FD2252" w:rsidP="00F97C5C">
      <w:pPr>
        <w:numPr>
          <w:ilvl w:val="12"/>
          <w:numId w:val="0"/>
        </w:numPr>
        <w:tabs>
          <w:tab w:val="left" w:pos="-2268"/>
        </w:tabs>
        <w:suppressAutoHyphens/>
        <w:rPr>
          <w:rFonts w:cs="Arial"/>
          <w:spacing w:val="-3"/>
        </w:rPr>
      </w:pPr>
      <w:r w:rsidRPr="00BD1319">
        <w:rPr>
          <w:rFonts w:cs="Arial"/>
          <w:spacing w:val="-3"/>
        </w:rPr>
        <w:t xml:space="preserve">Se debe </w:t>
      </w:r>
      <w:r w:rsidR="00B272CA" w:rsidRPr="00BD1319">
        <w:rPr>
          <w:rFonts w:cs="Arial"/>
          <w:spacing w:val="-3"/>
        </w:rPr>
        <w:t xml:space="preserve">emplear </w:t>
      </w:r>
      <w:r w:rsidR="00F97C5C" w:rsidRPr="00BD1319">
        <w:rPr>
          <w:rFonts w:cs="Arial"/>
          <w:spacing w:val="-3"/>
        </w:rPr>
        <w:t>información oficial</w:t>
      </w:r>
      <w:r w:rsidR="00B272CA" w:rsidRPr="00BD1319">
        <w:rPr>
          <w:rFonts w:cs="Arial"/>
          <w:spacing w:val="-3"/>
        </w:rPr>
        <w:t>, entre ella la generada por</w:t>
      </w:r>
      <w:r w:rsidR="00F97C5C" w:rsidRPr="00BD1319">
        <w:rPr>
          <w:rFonts w:cs="Arial"/>
          <w:spacing w:val="-3"/>
        </w:rPr>
        <w:t xml:space="preserve"> el Departamento </w:t>
      </w:r>
      <w:r w:rsidR="00535B45" w:rsidRPr="00BD1319">
        <w:rPr>
          <w:rFonts w:cs="Arial"/>
          <w:spacing w:val="-3"/>
        </w:rPr>
        <w:t xml:space="preserve">Administrativo </w:t>
      </w:r>
      <w:r w:rsidR="00F97C5C" w:rsidRPr="00BD1319">
        <w:rPr>
          <w:rFonts w:cs="Arial"/>
          <w:spacing w:val="-3"/>
        </w:rPr>
        <w:t xml:space="preserve">Nacional de Estadística </w:t>
      </w:r>
      <w:r w:rsidR="00B272CA" w:rsidRPr="00BD1319">
        <w:rPr>
          <w:rFonts w:cs="Arial"/>
          <w:spacing w:val="-3"/>
        </w:rPr>
        <w:t>(</w:t>
      </w:r>
      <w:r w:rsidR="00F97C5C" w:rsidRPr="00BD1319">
        <w:rPr>
          <w:rFonts w:cs="Arial"/>
          <w:spacing w:val="-3"/>
        </w:rPr>
        <w:t>DANE</w:t>
      </w:r>
      <w:r w:rsidR="00B272CA" w:rsidRPr="00BD1319">
        <w:rPr>
          <w:rFonts w:cs="Arial"/>
          <w:spacing w:val="-3"/>
        </w:rPr>
        <w:t>) (por ejemplo la referida a demografía, actividades económicas y división político administrativa)</w:t>
      </w:r>
      <w:r w:rsidR="00F105CE" w:rsidRPr="00BD1319">
        <w:rPr>
          <w:rFonts w:cs="Arial"/>
          <w:spacing w:val="-3"/>
        </w:rPr>
        <w:t xml:space="preserve">, </w:t>
      </w:r>
      <w:r w:rsidR="00B272CA" w:rsidRPr="00BD1319">
        <w:rPr>
          <w:rFonts w:cs="Arial"/>
          <w:spacing w:val="-3"/>
        </w:rPr>
        <w:t xml:space="preserve">la </w:t>
      </w:r>
      <w:r w:rsidR="00F105CE" w:rsidRPr="00BD1319">
        <w:rPr>
          <w:rFonts w:cs="Arial"/>
          <w:spacing w:val="-3"/>
        </w:rPr>
        <w:t>Unidad de Planeación Rural Agropecuaria</w:t>
      </w:r>
      <w:r w:rsidR="00B272CA" w:rsidRPr="00BD1319">
        <w:rPr>
          <w:rFonts w:cs="Arial"/>
          <w:spacing w:val="-3"/>
        </w:rPr>
        <w:t xml:space="preserve"> (UPRA)</w:t>
      </w:r>
      <w:r w:rsidR="00F105CE" w:rsidRPr="00BD1319">
        <w:rPr>
          <w:rFonts w:cs="Arial"/>
          <w:spacing w:val="-3"/>
        </w:rPr>
        <w:t>,</w:t>
      </w:r>
      <w:r w:rsidR="00F97C5C" w:rsidRPr="00BD1319">
        <w:rPr>
          <w:rFonts w:cs="Arial"/>
          <w:spacing w:val="-3"/>
        </w:rPr>
        <w:t xml:space="preserve"> </w:t>
      </w:r>
      <w:r w:rsidR="00B272CA" w:rsidRPr="00BD1319">
        <w:rPr>
          <w:rFonts w:cs="Arial"/>
          <w:spacing w:val="-3"/>
        </w:rPr>
        <w:t>el Sistema de Identificación de Potenciales Beneficiarios de Programas Sociales (Sisbén)</w:t>
      </w:r>
      <w:r w:rsidR="00F97C5C" w:rsidRPr="00BD1319">
        <w:rPr>
          <w:rFonts w:cs="Arial"/>
          <w:spacing w:val="-3"/>
        </w:rPr>
        <w:t xml:space="preserve">, </w:t>
      </w:r>
      <w:r w:rsidR="00B272CA" w:rsidRPr="00BD1319">
        <w:rPr>
          <w:rFonts w:cs="Arial"/>
          <w:spacing w:val="-3"/>
        </w:rPr>
        <w:t>el Instituto Geográfico Agustín Codazzi (</w:t>
      </w:r>
      <w:r w:rsidR="00F97C5C" w:rsidRPr="00BD1319">
        <w:rPr>
          <w:rFonts w:cs="Arial"/>
          <w:spacing w:val="-3"/>
        </w:rPr>
        <w:t>IGAC</w:t>
      </w:r>
      <w:r w:rsidR="00B272CA" w:rsidRPr="00BD1319">
        <w:rPr>
          <w:rFonts w:cs="Arial"/>
          <w:spacing w:val="-3"/>
        </w:rPr>
        <w:t>)</w:t>
      </w:r>
      <w:r w:rsidR="00F105CE" w:rsidRPr="00BD1319">
        <w:rPr>
          <w:rFonts w:cs="Arial"/>
          <w:spacing w:val="-3"/>
        </w:rPr>
        <w:t xml:space="preserve">, </w:t>
      </w:r>
      <w:r w:rsidR="00B272CA" w:rsidRPr="00BD1319">
        <w:rPr>
          <w:rFonts w:cs="Arial"/>
          <w:spacing w:val="-3"/>
        </w:rPr>
        <w:t xml:space="preserve">el </w:t>
      </w:r>
      <w:r w:rsidR="00F105CE" w:rsidRPr="00BD1319">
        <w:rPr>
          <w:rFonts w:cs="Arial"/>
          <w:spacing w:val="-3"/>
        </w:rPr>
        <w:t xml:space="preserve">Ministerio de Cultura, </w:t>
      </w:r>
      <w:r w:rsidR="00B272CA" w:rsidRPr="00BD1319">
        <w:rPr>
          <w:rFonts w:cs="Arial"/>
          <w:spacing w:val="-3"/>
        </w:rPr>
        <w:t xml:space="preserve">la </w:t>
      </w:r>
      <w:r w:rsidR="00F105CE" w:rsidRPr="00BD1319">
        <w:rPr>
          <w:rFonts w:cs="Arial"/>
          <w:spacing w:val="-3"/>
        </w:rPr>
        <w:t>Agencia para la Reincorporación y Normalización</w:t>
      </w:r>
      <w:r w:rsidR="00B272CA" w:rsidRPr="00BD1319">
        <w:rPr>
          <w:rFonts w:cs="Arial"/>
          <w:spacing w:val="-3"/>
        </w:rPr>
        <w:t xml:space="preserve"> (ARN)</w:t>
      </w:r>
      <w:r w:rsidR="00F97C5C" w:rsidRPr="00BD1319">
        <w:rPr>
          <w:rFonts w:cs="Arial"/>
          <w:spacing w:val="-3"/>
        </w:rPr>
        <w:t xml:space="preserve">, </w:t>
      </w:r>
      <w:r w:rsidR="006C664F" w:rsidRPr="00BD1319">
        <w:rPr>
          <w:rFonts w:cs="Arial"/>
          <w:spacing w:val="-3"/>
        </w:rPr>
        <w:t xml:space="preserve">así como la contenida en </w:t>
      </w:r>
      <w:r w:rsidR="00B272CA" w:rsidRPr="00BD1319">
        <w:rPr>
          <w:rFonts w:cs="Arial"/>
          <w:spacing w:val="-3"/>
        </w:rPr>
        <w:t xml:space="preserve">los </w:t>
      </w:r>
      <w:r w:rsidR="002F0F64" w:rsidRPr="00BD1319">
        <w:rPr>
          <w:rFonts w:cs="Arial"/>
          <w:spacing w:val="-3"/>
        </w:rPr>
        <w:t>p</w:t>
      </w:r>
      <w:r w:rsidR="00F97C5C" w:rsidRPr="00BD1319">
        <w:rPr>
          <w:rFonts w:cs="Arial"/>
          <w:spacing w:val="-3"/>
        </w:rPr>
        <w:t xml:space="preserve">lanes de </w:t>
      </w:r>
      <w:r w:rsidR="002F0F64" w:rsidRPr="00BD1319">
        <w:rPr>
          <w:rFonts w:cs="Arial"/>
          <w:spacing w:val="-3"/>
        </w:rPr>
        <w:t>o</w:t>
      </w:r>
      <w:r w:rsidR="00F97C5C" w:rsidRPr="00BD1319">
        <w:rPr>
          <w:rFonts w:cs="Arial"/>
          <w:spacing w:val="-3"/>
        </w:rPr>
        <w:t xml:space="preserve">rdenamiento </w:t>
      </w:r>
      <w:r w:rsidR="002F0F64" w:rsidRPr="00BD1319">
        <w:rPr>
          <w:rFonts w:cs="Arial"/>
          <w:spacing w:val="-3"/>
        </w:rPr>
        <w:t>t</w:t>
      </w:r>
      <w:r w:rsidR="00F97C5C" w:rsidRPr="00BD1319">
        <w:rPr>
          <w:rFonts w:cs="Arial"/>
          <w:spacing w:val="-3"/>
        </w:rPr>
        <w:t xml:space="preserve">erritorial, </w:t>
      </w:r>
      <w:r w:rsidR="00B272CA" w:rsidRPr="00BD1319">
        <w:rPr>
          <w:rFonts w:cs="Arial"/>
          <w:spacing w:val="-3"/>
        </w:rPr>
        <w:t xml:space="preserve">los </w:t>
      </w:r>
      <w:r w:rsidR="002F0F64" w:rsidRPr="00BD1319">
        <w:rPr>
          <w:rFonts w:cs="Arial"/>
          <w:spacing w:val="-3"/>
        </w:rPr>
        <w:t>p</w:t>
      </w:r>
      <w:r w:rsidR="00F97C5C" w:rsidRPr="00BD1319">
        <w:rPr>
          <w:rFonts w:cs="Arial"/>
          <w:spacing w:val="-3"/>
        </w:rPr>
        <w:t xml:space="preserve">lanes de </w:t>
      </w:r>
      <w:r w:rsidR="002F0F64" w:rsidRPr="00BD1319">
        <w:rPr>
          <w:rFonts w:cs="Arial"/>
          <w:spacing w:val="-3"/>
        </w:rPr>
        <w:t>o</w:t>
      </w:r>
      <w:r w:rsidR="00F97C5C" w:rsidRPr="00BD1319">
        <w:rPr>
          <w:rFonts w:cs="Arial"/>
          <w:spacing w:val="-3"/>
        </w:rPr>
        <w:t xml:space="preserve">rdenación y </w:t>
      </w:r>
      <w:r w:rsidR="002F0F64" w:rsidRPr="00BD1319">
        <w:rPr>
          <w:rFonts w:cs="Arial"/>
          <w:spacing w:val="-3"/>
        </w:rPr>
        <w:t>m</w:t>
      </w:r>
      <w:r w:rsidR="00F97C5C" w:rsidRPr="00BD1319">
        <w:rPr>
          <w:rFonts w:cs="Arial"/>
          <w:spacing w:val="-3"/>
        </w:rPr>
        <w:t xml:space="preserve">anejo de </w:t>
      </w:r>
      <w:r w:rsidR="002F0F64" w:rsidRPr="00BD1319">
        <w:rPr>
          <w:rFonts w:cs="Arial"/>
          <w:spacing w:val="-3"/>
        </w:rPr>
        <w:t>c</w:t>
      </w:r>
      <w:r w:rsidR="00F97C5C" w:rsidRPr="00BD1319">
        <w:rPr>
          <w:rFonts w:cs="Arial"/>
          <w:spacing w:val="-3"/>
        </w:rPr>
        <w:t xml:space="preserve">uencas </w:t>
      </w:r>
      <w:r w:rsidR="002F0F64" w:rsidRPr="00BD1319">
        <w:rPr>
          <w:rFonts w:cs="Arial"/>
          <w:spacing w:val="-3"/>
        </w:rPr>
        <w:t>h</w:t>
      </w:r>
      <w:r w:rsidR="00F97C5C" w:rsidRPr="00BD1319">
        <w:rPr>
          <w:rFonts w:cs="Arial"/>
          <w:spacing w:val="-3"/>
        </w:rPr>
        <w:t xml:space="preserve">idrográficas, </w:t>
      </w:r>
      <w:r w:rsidR="00B272CA" w:rsidRPr="00BD1319">
        <w:rPr>
          <w:rFonts w:cs="Arial"/>
          <w:spacing w:val="-3"/>
        </w:rPr>
        <w:t xml:space="preserve">los </w:t>
      </w:r>
      <w:r w:rsidR="002F0F64" w:rsidRPr="00BD1319">
        <w:rPr>
          <w:rFonts w:cs="Arial"/>
          <w:spacing w:val="-3"/>
        </w:rPr>
        <w:t>p</w:t>
      </w:r>
      <w:r w:rsidR="00F97C5C" w:rsidRPr="00BD1319">
        <w:rPr>
          <w:rFonts w:cs="Arial"/>
          <w:spacing w:val="-3"/>
        </w:rPr>
        <w:t xml:space="preserve">lanes de desarrollo </w:t>
      </w:r>
      <w:r w:rsidR="002F0F64" w:rsidRPr="00BD1319">
        <w:rPr>
          <w:rFonts w:cs="Arial"/>
          <w:spacing w:val="-3"/>
        </w:rPr>
        <w:t>d</w:t>
      </w:r>
      <w:r w:rsidR="00F97C5C" w:rsidRPr="00BD1319">
        <w:rPr>
          <w:rFonts w:cs="Arial"/>
          <w:spacing w:val="-3"/>
        </w:rPr>
        <w:t xml:space="preserve">epartamental, </w:t>
      </w:r>
      <w:r w:rsidR="006C664F" w:rsidRPr="00BD1319">
        <w:rPr>
          <w:rFonts w:cs="Arial"/>
          <w:spacing w:val="-3"/>
        </w:rPr>
        <w:t xml:space="preserve">y </w:t>
      </w:r>
      <w:r w:rsidR="00B272CA" w:rsidRPr="00BD1319">
        <w:rPr>
          <w:rFonts w:cs="Arial"/>
          <w:spacing w:val="-3"/>
        </w:rPr>
        <w:t xml:space="preserve">los </w:t>
      </w:r>
      <w:r w:rsidR="002F0F64" w:rsidRPr="00BD1319">
        <w:rPr>
          <w:rFonts w:cs="Arial"/>
          <w:spacing w:val="-3"/>
        </w:rPr>
        <w:t>p</w:t>
      </w:r>
      <w:r w:rsidR="00F97C5C" w:rsidRPr="00BD1319">
        <w:rPr>
          <w:rFonts w:cs="Arial"/>
          <w:spacing w:val="-3"/>
        </w:rPr>
        <w:t xml:space="preserve">lanes de </w:t>
      </w:r>
      <w:r w:rsidR="002F0F64" w:rsidRPr="00BD1319">
        <w:rPr>
          <w:rFonts w:cs="Arial"/>
          <w:spacing w:val="-3"/>
        </w:rPr>
        <w:t>d</w:t>
      </w:r>
      <w:r w:rsidR="00F97C5C" w:rsidRPr="00BD1319">
        <w:rPr>
          <w:rFonts w:cs="Arial"/>
          <w:spacing w:val="-3"/>
        </w:rPr>
        <w:t xml:space="preserve">esarrollo </w:t>
      </w:r>
      <w:r w:rsidR="002F0F64" w:rsidRPr="00BD1319">
        <w:rPr>
          <w:rFonts w:cs="Arial"/>
          <w:spacing w:val="-3"/>
        </w:rPr>
        <w:t>m</w:t>
      </w:r>
      <w:r w:rsidR="00F97C5C" w:rsidRPr="00BD1319">
        <w:rPr>
          <w:rFonts w:cs="Arial"/>
          <w:spacing w:val="-3"/>
        </w:rPr>
        <w:t>unicipal.</w:t>
      </w:r>
    </w:p>
    <w:p w14:paraId="1E8BCE72" w14:textId="77777777" w:rsidR="00F97C5C" w:rsidRPr="00BD1319" w:rsidRDefault="00F97C5C" w:rsidP="00F97C5C">
      <w:pPr>
        <w:numPr>
          <w:ilvl w:val="12"/>
          <w:numId w:val="0"/>
        </w:numPr>
        <w:tabs>
          <w:tab w:val="left" w:pos="-2268"/>
        </w:tabs>
        <w:suppressAutoHyphens/>
        <w:rPr>
          <w:rFonts w:cs="Arial"/>
          <w:spacing w:val="-3"/>
        </w:rPr>
      </w:pPr>
    </w:p>
    <w:p w14:paraId="747BA974" w14:textId="4F8E45A4" w:rsidR="00F97C5C" w:rsidRPr="00BD1319" w:rsidRDefault="00F97C5C">
      <w:pPr>
        <w:numPr>
          <w:ilvl w:val="12"/>
          <w:numId w:val="0"/>
        </w:numPr>
        <w:tabs>
          <w:tab w:val="left" w:pos="-2268"/>
        </w:tabs>
        <w:suppressAutoHyphens/>
        <w:rPr>
          <w:spacing w:val="-3"/>
        </w:rPr>
      </w:pPr>
      <w:r w:rsidRPr="00BD1319">
        <w:rPr>
          <w:rFonts w:cs="Arial"/>
          <w:spacing w:val="-3"/>
        </w:rPr>
        <w:lastRenderedPageBreak/>
        <w:t>A continuación,</w:t>
      </w:r>
      <w:r w:rsidRPr="00BD1319">
        <w:rPr>
          <w:spacing w:val="-3"/>
        </w:rPr>
        <w:t xml:space="preserve"> se </w:t>
      </w:r>
      <w:r w:rsidRPr="00BD1319">
        <w:rPr>
          <w:rFonts w:cs="Arial"/>
          <w:spacing w:val="-3"/>
        </w:rPr>
        <w:t>establece el contenido y lineamientos generales que se deben seguir para realizar la caracterización</w:t>
      </w:r>
      <w:r w:rsidRPr="00BD1319">
        <w:rPr>
          <w:spacing w:val="-3"/>
        </w:rPr>
        <w:t xml:space="preserve"> de los </w:t>
      </w:r>
      <w:r w:rsidRPr="00BD1319">
        <w:rPr>
          <w:rFonts w:cs="Arial"/>
          <w:spacing w:val="-3"/>
        </w:rPr>
        <w:t>diversos componentes que conforman</w:t>
      </w:r>
      <w:r w:rsidRPr="00BD1319">
        <w:rPr>
          <w:spacing w:val="-3"/>
        </w:rPr>
        <w:t xml:space="preserve"> el medio socioeconómico.</w:t>
      </w:r>
    </w:p>
    <w:p w14:paraId="4720B044" w14:textId="77777777" w:rsidR="00F97C5C" w:rsidRPr="00BD1319" w:rsidRDefault="00F97C5C" w:rsidP="00F97C5C">
      <w:pPr>
        <w:numPr>
          <w:ilvl w:val="12"/>
          <w:numId w:val="0"/>
        </w:numPr>
        <w:tabs>
          <w:tab w:val="left" w:pos="-2268"/>
        </w:tabs>
        <w:suppressAutoHyphens/>
        <w:rPr>
          <w:rFonts w:cs="Arial"/>
          <w:spacing w:val="-3"/>
        </w:rPr>
      </w:pPr>
    </w:p>
    <w:p w14:paraId="4C16F48C" w14:textId="7ABA9CA9" w:rsidR="00F97C5C" w:rsidRPr="00BD1319" w:rsidRDefault="00F97C5C" w:rsidP="00216955">
      <w:pPr>
        <w:pStyle w:val="Ttulo3"/>
      </w:pPr>
      <w:bookmarkStart w:id="2309" w:name="_Toc412803162"/>
      <w:bookmarkStart w:id="2310" w:name="_Toc414285558"/>
      <w:bookmarkStart w:id="2311" w:name="_Toc437935989"/>
      <w:bookmarkStart w:id="2312" w:name="_Toc42552226"/>
      <w:bookmarkStart w:id="2313" w:name="_Toc175326707"/>
      <w:r w:rsidRPr="00BD1319">
        <w:t>Demográfico</w:t>
      </w:r>
      <w:bookmarkEnd w:id="2309"/>
      <w:bookmarkEnd w:id="2310"/>
      <w:bookmarkEnd w:id="2311"/>
      <w:bookmarkEnd w:id="2312"/>
      <w:bookmarkEnd w:id="2313"/>
    </w:p>
    <w:p w14:paraId="27B08284" w14:textId="77777777" w:rsidR="00F97C5C" w:rsidRPr="00BD1319" w:rsidRDefault="00F97C5C">
      <w:pPr>
        <w:numPr>
          <w:ilvl w:val="12"/>
          <w:numId w:val="0"/>
        </w:numPr>
        <w:tabs>
          <w:tab w:val="left" w:pos="-2268"/>
        </w:tabs>
        <w:suppressAutoHyphens/>
        <w:rPr>
          <w:spacing w:val="-3"/>
        </w:rPr>
      </w:pPr>
    </w:p>
    <w:p w14:paraId="398BCBC2" w14:textId="3786A1F3" w:rsidR="00F97C5C" w:rsidRPr="00BD1319" w:rsidRDefault="004A21E7">
      <w:pPr>
        <w:numPr>
          <w:ilvl w:val="12"/>
          <w:numId w:val="0"/>
        </w:numPr>
        <w:tabs>
          <w:tab w:val="left" w:pos="-2268"/>
        </w:tabs>
        <w:suppressAutoHyphens/>
        <w:rPr>
          <w:spacing w:val="-3"/>
        </w:rPr>
      </w:pPr>
      <w:r w:rsidRPr="00BD1319">
        <w:rPr>
          <w:spacing w:val="-3"/>
        </w:rPr>
        <w:t xml:space="preserve">Se debe presentar </w:t>
      </w:r>
      <w:r w:rsidR="00F97C5C" w:rsidRPr="00BD1319">
        <w:rPr>
          <w:spacing w:val="-3"/>
        </w:rPr>
        <w:t>información</w:t>
      </w:r>
      <w:r w:rsidR="006C664F" w:rsidRPr="00BD1319">
        <w:rPr>
          <w:spacing w:val="-3"/>
        </w:rPr>
        <w:t xml:space="preserve"> </w:t>
      </w:r>
      <w:r w:rsidRPr="00BD1319">
        <w:rPr>
          <w:spacing w:val="-3"/>
        </w:rPr>
        <w:t xml:space="preserve">que </w:t>
      </w:r>
      <w:r w:rsidR="006C664F" w:rsidRPr="00BD1319">
        <w:rPr>
          <w:spacing w:val="-3"/>
        </w:rPr>
        <w:t>permit</w:t>
      </w:r>
      <w:r w:rsidRPr="00BD1319">
        <w:rPr>
          <w:spacing w:val="-3"/>
        </w:rPr>
        <w:t>a</w:t>
      </w:r>
      <w:r w:rsidR="006C664F" w:rsidRPr="00BD1319">
        <w:rPr>
          <w:spacing w:val="-3"/>
        </w:rPr>
        <w:t xml:space="preserve"> caracterizar lo siguiente</w:t>
      </w:r>
      <w:r w:rsidR="00F97C5C" w:rsidRPr="00BD1319">
        <w:rPr>
          <w:spacing w:val="-3"/>
        </w:rPr>
        <w:t>:</w:t>
      </w:r>
    </w:p>
    <w:p w14:paraId="4314A818" w14:textId="77777777" w:rsidR="00F97C5C" w:rsidRPr="00BD1319" w:rsidRDefault="00F97C5C">
      <w:pPr>
        <w:numPr>
          <w:ilvl w:val="12"/>
          <w:numId w:val="0"/>
        </w:numPr>
        <w:tabs>
          <w:tab w:val="left" w:pos="-2268"/>
        </w:tabs>
        <w:suppressAutoHyphens/>
        <w:rPr>
          <w:spacing w:val="-3"/>
        </w:rPr>
      </w:pPr>
    </w:p>
    <w:p w14:paraId="0A8179AA" w14:textId="08C75799" w:rsidR="00F97C5C" w:rsidRPr="00BD1319" w:rsidRDefault="00F97C5C" w:rsidP="00C86DA5">
      <w:pPr>
        <w:numPr>
          <w:ilvl w:val="0"/>
          <w:numId w:val="55"/>
        </w:numPr>
        <w:tabs>
          <w:tab w:val="clear" w:pos="720"/>
        </w:tabs>
        <w:suppressAutoHyphens/>
        <w:ind w:left="567" w:hanging="567"/>
        <w:rPr>
          <w:spacing w:val="-3"/>
        </w:rPr>
      </w:pPr>
      <w:r w:rsidRPr="00BD1319">
        <w:rPr>
          <w:spacing w:val="-3"/>
        </w:rPr>
        <w:t>Dinámica de poblamiento</w:t>
      </w:r>
      <w:r w:rsidR="006C664F" w:rsidRPr="00BD1319">
        <w:rPr>
          <w:spacing w:val="-3"/>
        </w:rPr>
        <w:t>.</w:t>
      </w:r>
      <w:r w:rsidRPr="00BD1319">
        <w:rPr>
          <w:spacing w:val="-3"/>
        </w:rPr>
        <w:t xml:space="preserve"> </w:t>
      </w:r>
      <w:r w:rsidR="006C664F" w:rsidRPr="00BD1319">
        <w:rPr>
          <w:spacing w:val="-3"/>
        </w:rPr>
        <w:t>Se debe d</w:t>
      </w:r>
      <w:r w:rsidRPr="00BD1319">
        <w:rPr>
          <w:spacing w:val="-3"/>
        </w:rPr>
        <w:t>escribir: 1) las particularidades más importantes del proceso de ocupación del territorio por parte de las poblaciones humanas</w:t>
      </w:r>
      <w:r w:rsidR="008B64C5" w:rsidRPr="00BD1319">
        <w:rPr>
          <w:spacing w:val="-3"/>
        </w:rPr>
        <w:t>,</w:t>
      </w:r>
      <w:r w:rsidRPr="00BD1319">
        <w:rPr>
          <w:spacing w:val="-3"/>
        </w:rPr>
        <w:t xml:space="preserve"> </w:t>
      </w:r>
      <w:r w:rsidR="006C664F" w:rsidRPr="00BD1319">
        <w:rPr>
          <w:spacing w:val="-3"/>
        </w:rPr>
        <w:t xml:space="preserve">teniendo en cuenta </w:t>
      </w:r>
      <w:r w:rsidRPr="00BD1319">
        <w:rPr>
          <w:spacing w:val="-3"/>
        </w:rPr>
        <w:t>antecedentes e hitos importantes con relación a su asentamiento y expansión</w:t>
      </w:r>
      <w:r w:rsidR="008B64C5" w:rsidRPr="00BD1319">
        <w:rPr>
          <w:spacing w:val="-3"/>
        </w:rPr>
        <w:t>, incluidos aquellos relacionados con el desplazamiento forzado o con los impactos de intervenciones humanas en el territorio y del cambio climático</w:t>
      </w:r>
      <w:r w:rsidRPr="00BD1319">
        <w:rPr>
          <w:spacing w:val="-3"/>
        </w:rPr>
        <w:t xml:space="preserve"> y; 2) </w:t>
      </w:r>
      <w:r w:rsidR="006C664F" w:rsidRPr="00BD1319">
        <w:rPr>
          <w:spacing w:val="-3"/>
        </w:rPr>
        <w:t xml:space="preserve">los </w:t>
      </w:r>
      <w:r w:rsidRPr="00BD1319">
        <w:rPr>
          <w:spacing w:val="-3"/>
        </w:rPr>
        <w:t>grupos socioculturales (indígenas, negritudes, campesinos</w:t>
      </w:r>
      <w:r w:rsidR="006C664F" w:rsidRPr="00BD1319">
        <w:rPr>
          <w:spacing w:val="-3"/>
        </w:rPr>
        <w:t>,</w:t>
      </w:r>
      <w:r w:rsidRPr="00BD1319">
        <w:rPr>
          <w:spacing w:val="-3"/>
        </w:rPr>
        <w:t xml:space="preserve"> entre otros).</w:t>
      </w:r>
    </w:p>
    <w:p w14:paraId="2425132D" w14:textId="77777777" w:rsidR="00F97C5C" w:rsidRPr="00BD1319" w:rsidRDefault="00F97C5C" w:rsidP="00C86DA5">
      <w:pPr>
        <w:numPr>
          <w:ilvl w:val="12"/>
          <w:numId w:val="0"/>
        </w:numPr>
        <w:suppressAutoHyphens/>
        <w:ind w:left="567" w:hanging="567"/>
        <w:rPr>
          <w:spacing w:val="-3"/>
        </w:rPr>
      </w:pPr>
    </w:p>
    <w:p w14:paraId="3D5D6377" w14:textId="462A44A8" w:rsidR="00F97C5C" w:rsidRPr="00BD1319" w:rsidRDefault="00F97C5C" w:rsidP="00C86DA5">
      <w:pPr>
        <w:numPr>
          <w:ilvl w:val="0"/>
          <w:numId w:val="19"/>
        </w:numPr>
        <w:suppressAutoHyphens/>
        <w:ind w:left="567" w:hanging="567"/>
        <w:rPr>
          <w:spacing w:val="-3"/>
        </w:rPr>
      </w:pPr>
      <w:r w:rsidRPr="00BD1319">
        <w:rPr>
          <w:spacing w:val="-3"/>
        </w:rPr>
        <w:t>Dinámica poblacional</w:t>
      </w:r>
      <w:r w:rsidR="006C664F" w:rsidRPr="00BD1319">
        <w:rPr>
          <w:spacing w:val="-3"/>
        </w:rPr>
        <w:t>.</w:t>
      </w:r>
      <w:r w:rsidRPr="00BD1319">
        <w:rPr>
          <w:spacing w:val="-3"/>
        </w:rPr>
        <w:t xml:space="preserve"> </w:t>
      </w:r>
      <w:r w:rsidR="006C664F" w:rsidRPr="00BD1319">
        <w:rPr>
          <w:spacing w:val="-3"/>
        </w:rPr>
        <w:t>Se debe d</w:t>
      </w:r>
      <w:r w:rsidRPr="00BD1319">
        <w:rPr>
          <w:spacing w:val="-3"/>
        </w:rPr>
        <w:t xml:space="preserve">escribir: 1) </w:t>
      </w:r>
      <w:r w:rsidR="006C664F" w:rsidRPr="00BD1319">
        <w:rPr>
          <w:spacing w:val="-3"/>
        </w:rPr>
        <w:t xml:space="preserve">la </w:t>
      </w:r>
      <w:r w:rsidRPr="00BD1319">
        <w:rPr>
          <w:spacing w:val="-3"/>
        </w:rPr>
        <w:t xml:space="preserve">movilidad espacial actual y tendencial, así como los factores que influyen en fenómenos migratorios; 2) </w:t>
      </w:r>
      <w:r w:rsidR="006C664F" w:rsidRPr="00BD1319">
        <w:rPr>
          <w:spacing w:val="-3"/>
        </w:rPr>
        <w:t xml:space="preserve">la </w:t>
      </w:r>
      <w:r w:rsidRPr="00BD1319">
        <w:rPr>
          <w:spacing w:val="-3"/>
        </w:rPr>
        <w:t>cantidad y densidad poblacional en las áreas rural y urbana</w:t>
      </w:r>
      <w:r w:rsidR="000D2F23" w:rsidRPr="00BD1319">
        <w:rPr>
          <w:spacing w:val="-3"/>
        </w:rPr>
        <w:t>, discriminando la información por sexo</w:t>
      </w:r>
      <w:r w:rsidRPr="00BD1319">
        <w:rPr>
          <w:rFonts w:cs="Arial"/>
          <w:spacing w:val="-3"/>
        </w:rPr>
        <w:t>;</w:t>
      </w:r>
      <w:r w:rsidRPr="00BD1319">
        <w:rPr>
          <w:spacing w:val="-3"/>
        </w:rPr>
        <w:t xml:space="preserve"> 3) </w:t>
      </w:r>
      <w:r w:rsidR="006C664F" w:rsidRPr="00BD1319">
        <w:rPr>
          <w:spacing w:val="-3"/>
        </w:rPr>
        <w:t xml:space="preserve">los </w:t>
      </w:r>
      <w:r w:rsidRPr="00BD1319">
        <w:rPr>
          <w:spacing w:val="-3"/>
        </w:rPr>
        <w:t>índices que reflejen la situación de pobreza de la población (</w:t>
      </w:r>
      <w:r w:rsidR="00041844" w:rsidRPr="00BD1319">
        <w:rPr>
          <w:spacing w:val="-3"/>
        </w:rPr>
        <w:t>p. ej.</w:t>
      </w:r>
      <w:r w:rsidR="006C664F" w:rsidRPr="00BD1319">
        <w:rPr>
          <w:spacing w:val="-3"/>
        </w:rPr>
        <w:t xml:space="preserve"> n</w:t>
      </w:r>
      <w:r w:rsidRPr="00BD1319">
        <w:rPr>
          <w:spacing w:val="-3"/>
        </w:rPr>
        <w:t xml:space="preserve">ecesidades </w:t>
      </w:r>
      <w:r w:rsidR="006C664F" w:rsidRPr="00BD1319">
        <w:rPr>
          <w:spacing w:val="-3"/>
        </w:rPr>
        <w:t>b</w:t>
      </w:r>
      <w:r w:rsidRPr="00BD1319">
        <w:rPr>
          <w:spacing w:val="-3"/>
        </w:rPr>
        <w:t xml:space="preserve">ásicas </w:t>
      </w:r>
      <w:r w:rsidR="006C664F" w:rsidRPr="00BD1319">
        <w:rPr>
          <w:spacing w:val="-3"/>
        </w:rPr>
        <w:t>i</w:t>
      </w:r>
      <w:r w:rsidRPr="00BD1319">
        <w:rPr>
          <w:spacing w:val="-3"/>
        </w:rPr>
        <w:t xml:space="preserve">nsatisfechas, </w:t>
      </w:r>
      <w:r w:rsidR="006C664F" w:rsidRPr="00BD1319">
        <w:rPr>
          <w:spacing w:val="-3"/>
        </w:rPr>
        <w:t>í</w:t>
      </w:r>
      <w:r w:rsidRPr="00BD1319">
        <w:rPr>
          <w:spacing w:val="-3"/>
        </w:rPr>
        <w:t xml:space="preserve">ndice de pobreza multidimensional, </w:t>
      </w:r>
      <w:r w:rsidR="006C664F" w:rsidRPr="00BD1319">
        <w:rPr>
          <w:spacing w:val="-3"/>
        </w:rPr>
        <w:t>í</w:t>
      </w:r>
      <w:r w:rsidRPr="00BD1319">
        <w:rPr>
          <w:spacing w:val="-3"/>
        </w:rPr>
        <w:t>ndice de calidad de vida).</w:t>
      </w:r>
    </w:p>
    <w:p w14:paraId="42BD95F6" w14:textId="77777777" w:rsidR="00F97C5C" w:rsidRPr="00BD1319" w:rsidRDefault="00F97C5C">
      <w:pPr>
        <w:numPr>
          <w:ilvl w:val="12"/>
          <w:numId w:val="0"/>
        </w:numPr>
        <w:tabs>
          <w:tab w:val="left" w:pos="-2268"/>
        </w:tabs>
        <w:suppressAutoHyphens/>
        <w:rPr>
          <w:spacing w:val="-3"/>
        </w:rPr>
      </w:pPr>
    </w:p>
    <w:p w14:paraId="7E2ECE03" w14:textId="0A60F3FA" w:rsidR="00F97C5C" w:rsidRPr="00BD1319" w:rsidRDefault="00F97C5C">
      <w:pPr>
        <w:numPr>
          <w:ilvl w:val="12"/>
          <w:numId w:val="0"/>
        </w:numPr>
        <w:tabs>
          <w:tab w:val="left" w:pos="-2268"/>
        </w:tabs>
        <w:suppressAutoHyphens/>
        <w:rPr>
          <w:spacing w:val="-3"/>
        </w:rPr>
      </w:pPr>
      <w:r w:rsidRPr="00BD1319">
        <w:rPr>
          <w:spacing w:val="-3"/>
        </w:rPr>
        <w:t xml:space="preserve">Presentar un listado de las unidades </w:t>
      </w:r>
      <w:r w:rsidRPr="00BD1319">
        <w:rPr>
          <w:rFonts w:cs="Arial"/>
          <w:spacing w:val="-3"/>
        </w:rPr>
        <w:t xml:space="preserve">de análisis territorial asociadas al área de estudio del </w:t>
      </w:r>
      <w:r w:rsidR="006C664F" w:rsidRPr="00BD1319">
        <w:rPr>
          <w:rFonts w:cs="Arial"/>
          <w:spacing w:val="-3"/>
        </w:rPr>
        <w:t>componente</w:t>
      </w:r>
      <w:r w:rsidRPr="00BD1319">
        <w:rPr>
          <w:spacing w:val="-3"/>
        </w:rPr>
        <w:t xml:space="preserve">, incluyendo la estimación de la población total y potencialmente </w:t>
      </w:r>
      <w:r w:rsidRPr="00BD1319">
        <w:rPr>
          <w:rFonts w:cs="Arial"/>
          <w:spacing w:val="-3"/>
        </w:rPr>
        <w:t>impactada</w:t>
      </w:r>
      <w:r w:rsidRPr="00BD1319">
        <w:rPr>
          <w:spacing w:val="-3"/>
        </w:rPr>
        <w:t xml:space="preserve"> en cada alternativa, con el propósito </w:t>
      </w:r>
      <w:r w:rsidR="006C664F" w:rsidRPr="00BD1319">
        <w:rPr>
          <w:spacing w:val="-3"/>
        </w:rPr>
        <w:t xml:space="preserve">obtener información que permita </w:t>
      </w:r>
      <w:r w:rsidRPr="00BD1319">
        <w:rPr>
          <w:spacing w:val="-3"/>
        </w:rPr>
        <w:t>dimensionar los impactos ambientales potenciales previstos para la población</w:t>
      </w:r>
      <w:r w:rsidRPr="00BD1319">
        <w:rPr>
          <w:rFonts w:cs="Arial"/>
          <w:spacing w:val="-3"/>
        </w:rPr>
        <w:t>, de acuerdo con las alternativas propuestas</w:t>
      </w:r>
      <w:r w:rsidRPr="00BD1319">
        <w:rPr>
          <w:spacing w:val="-3"/>
        </w:rPr>
        <w:t>.</w:t>
      </w:r>
    </w:p>
    <w:p w14:paraId="7072FFC9" w14:textId="77777777" w:rsidR="00F97C5C" w:rsidRPr="00BD1319" w:rsidRDefault="00F97C5C">
      <w:pPr>
        <w:numPr>
          <w:ilvl w:val="12"/>
          <w:numId w:val="0"/>
        </w:numPr>
        <w:tabs>
          <w:tab w:val="left" w:pos="-2268"/>
        </w:tabs>
        <w:suppressAutoHyphens/>
        <w:rPr>
          <w:spacing w:val="-3"/>
        </w:rPr>
      </w:pPr>
    </w:p>
    <w:p w14:paraId="415E2E82" w14:textId="113B8507" w:rsidR="00F97C5C" w:rsidRPr="00BD1319" w:rsidRDefault="00F97C5C" w:rsidP="00216955">
      <w:pPr>
        <w:pStyle w:val="Ttulo3"/>
      </w:pPr>
      <w:bookmarkStart w:id="2314" w:name="_Toc412803163"/>
      <w:bookmarkStart w:id="2315" w:name="_Toc414285559"/>
      <w:bookmarkStart w:id="2316" w:name="_Toc437935990"/>
      <w:bookmarkStart w:id="2317" w:name="_Toc42552227"/>
      <w:bookmarkStart w:id="2318" w:name="_Toc175326708"/>
      <w:r w:rsidRPr="00BD1319">
        <w:t>Espacial</w:t>
      </w:r>
      <w:bookmarkEnd w:id="2314"/>
      <w:bookmarkEnd w:id="2315"/>
      <w:bookmarkEnd w:id="2316"/>
      <w:bookmarkEnd w:id="2317"/>
      <w:bookmarkEnd w:id="2318"/>
    </w:p>
    <w:p w14:paraId="552B00CD" w14:textId="77777777" w:rsidR="00F97C5C" w:rsidRPr="00BD1319" w:rsidRDefault="00F97C5C">
      <w:pPr>
        <w:numPr>
          <w:ilvl w:val="12"/>
          <w:numId w:val="0"/>
        </w:numPr>
        <w:tabs>
          <w:tab w:val="left" w:pos="-2268"/>
        </w:tabs>
        <w:suppressAutoHyphens/>
        <w:rPr>
          <w:spacing w:val="-3"/>
        </w:rPr>
      </w:pPr>
    </w:p>
    <w:p w14:paraId="6DCA8E90" w14:textId="7771C6FE" w:rsidR="00F97C5C" w:rsidRPr="00BD1319" w:rsidRDefault="00F97C5C">
      <w:pPr>
        <w:numPr>
          <w:ilvl w:val="12"/>
          <w:numId w:val="0"/>
        </w:numPr>
        <w:tabs>
          <w:tab w:val="left" w:pos="-2268"/>
        </w:tabs>
        <w:suppressAutoHyphens/>
        <w:rPr>
          <w:spacing w:val="-3"/>
        </w:rPr>
      </w:pPr>
      <w:r w:rsidRPr="00BD1319">
        <w:rPr>
          <w:spacing w:val="-3"/>
        </w:rPr>
        <w:t xml:space="preserve">Presentar información municipal y </w:t>
      </w:r>
      <w:r w:rsidRPr="00BD1319">
        <w:rPr>
          <w:rFonts w:cs="Arial"/>
          <w:spacing w:val="-3"/>
        </w:rPr>
        <w:t xml:space="preserve">del área de estudio </w:t>
      </w:r>
      <w:r w:rsidR="00CF61E4" w:rsidRPr="00BD1319">
        <w:rPr>
          <w:rFonts w:cs="Arial"/>
          <w:spacing w:val="-3"/>
        </w:rPr>
        <w:t>d</w:t>
      </w:r>
      <w:r w:rsidRPr="00BD1319">
        <w:rPr>
          <w:rFonts w:cs="Arial"/>
          <w:spacing w:val="-3"/>
        </w:rPr>
        <w:t xml:space="preserve">el </w:t>
      </w:r>
      <w:r w:rsidR="00CF61E4" w:rsidRPr="00BD1319">
        <w:rPr>
          <w:rFonts w:cs="Arial"/>
          <w:spacing w:val="-3"/>
        </w:rPr>
        <w:t>componente</w:t>
      </w:r>
      <w:r w:rsidRPr="00BD1319">
        <w:rPr>
          <w:spacing w:val="-3"/>
        </w:rPr>
        <w:t>, de los servicios públicos (acueducto, energía eléctrica, alcantarillado</w:t>
      </w:r>
      <w:r w:rsidRPr="00BD1319">
        <w:rPr>
          <w:rFonts w:cs="Arial"/>
          <w:spacing w:val="-3"/>
        </w:rPr>
        <w:t>,</w:t>
      </w:r>
      <w:r w:rsidRPr="00BD1319">
        <w:rPr>
          <w:spacing w:val="-3"/>
        </w:rPr>
        <w:t xml:space="preserve"> sistemas de recolección y disposición de residuos sólidos, entre otros) y sociales (infraestructura vial, de salud, de educación, de recreación y social y comunitaria, entre otras)</w:t>
      </w:r>
      <w:r w:rsidR="00CF61E4" w:rsidRPr="00BD1319">
        <w:rPr>
          <w:spacing w:val="-3"/>
        </w:rPr>
        <w:t>,</w:t>
      </w:r>
      <w:r w:rsidRPr="00BD1319">
        <w:rPr>
          <w:spacing w:val="-3"/>
        </w:rPr>
        <w:t xml:space="preserve"> incluyendo la calidad y cobertura, </w:t>
      </w:r>
      <w:r w:rsidRPr="00BD1319">
        <w:rPr>
          <w:rFonts w:cs="Arial"/>
          <w:spacing w:val="-3"/>
        </w:rPr>
        <w:t>y su relación</w:t>
      </w:r>
      <w:r w:rsidRPr="00BD1319">
        <w:rPr>
          <w:spacing w:val="-3"/>
        </w:rPr>
        <w:t xml:space="preserve"> con las alternativas del proyecto.</w:t>
      </w:r>
    </w:p>
    <w:p w14:paraId="0ECC1F34" w14:textId="0C5AAB16" w:rsidR="00F97C5C" w:rsidRPr="00BD1319" w:rsidRDefault="00F97C5C">
      <w:pPr>
        <w:numPr>
          <w:ilvl w:val="12"/>
          <w:numId w:val="0"/>
        </w:numPr>
        <w:tabs>
          <w:tab w:val="left" w:pos="-2268"/>
        </w:tabs>
        <w:suppressAutoHyphens/>
        <w:rPr>
          <w:spacing w:val="-3"/>
        </w:rPr>
      </w:pPr>
    </w:p>
    <w:p w14:paraId="47D5CF27" w14:textId="338A877C" w:rsidR="00F97C5C" w:rsidRPr="00BD1319" w:rsidRDefault="00F97C5C" w:rsidP="00216955">
      <w:pPr>
        <w:pStyle w:val="Ttulo3"/>
      </w:pPr>
      <w:bookmarkStart w:id="2319" w:name="_Toc412803164"/>
      <w:bookmarkStart w:id="2320" w:name="_Toc414285560"/>
      <w:bookmarkStart w:id="2321" w:name="_Toc437935991"/>
      <w:bookmarkStart w:id="2322" w:name="_Toc42552228"/>
      <w:bookmarkStart w:id="2323" w:name="_Toc175326709"/>
      <w:r w:rsidRPr="00BD1319">
        <w:t>Económico</w:t>
      </w:r>
      <w:bookmarkEnd w:id="2319"/>
      <w:bookmarkEnd w:id="2320"/>
      <w:bookmarkEnd w:id="2321"/>
      <w:bookmarkEnd w:id="2322"/>
      <w:bookmarkEnd w:id="2323"/>
    </w:p>
    <w:p w14:paraId="7078ED06" w14:textId="77777777" w:rsidR="00F97C5C" w:rsidRPr="00BD1319" w:rsidRDefault="00F97C5C">
      <w:pPr>
        <w:numPr>
          <w:ilvl w:val="12"/>
          <w:numId w:val="0"/>
        </w:numPr>
        <w:tabs>
          <w:tab w:val="left" w:pos="-2268"/>
        </w:tabs>
        <w:suppressAutoHyphens/>
        <w:rPr>
          <w:spacing w:val="-3"/>
        </w:rPr>
      </w:pPr>
    </w:p>
    <w:p w14:paraId="6A29E18F" w14:textId="65F7A287" w:rsidR="00F97C5C" w:rsidRPr="00BD1319" w:rsidRDefault="00F97C5C">
      <w:pPr>
        <w:numPr>
          <w:ilvl w:val="12"/>
          <w:numId w:val="0"/>
        </w:numPr>
        <w:tabs>
          <w:tab w:val="left" w:pos="-2268"/>
        </w:tabs>
        <w:suppressAutoHyphens/>
        <w:rPr>
          <w:spacing w:val="-3"/>
        </w:rPr>
      </w:pPr>
      <w:r w:rsidRPr="00BD1319">
        <w:rPr>
          <w:spacing w:val="-3"/>
        </w:rPr>
        <w:lastRenderedPageBreak/>
        <w:t xml:space="preserve">Con el objeto de brindar un panorama general sobre la dinámica económica relacionada con el proyecto, se debe </w:t>
      </w:r>
      <w:r w:rsidR="0041428E" w:rsidRPr="00BD1319">
        <w:rPr>
          <w:spacing w:val="-3"/>
        </w:rPr>
        <w:t xml:space="preserve">determinar </w:t>
      </w:r>
      <w:r w:rsidRPr="00BD1319">
        <w:rPr>
          <w:spacing w:val="-3"/>
        </w:rPr>
        <w:t>y analizar los procesos existentes en el área de estudio</w:t>
      </w:r>
      <w:r w:rsidRPr="00BD1319">
        <w:rPr>
          <w:rFonts w:cs="Arial"/>
          <w:spacing w:val="-3"/>
        </w:rPr>
        <w:t xml:space="preserve"> </w:t>
      </w:r>
      <w:r w:rsidR="00CF61E4" w:rsidRPr="00BD1319">
        <w:rPr>
          <w:rFonts w:cs="Arial"/>
          <w:spacing w:val="-3"/>
        </w:rPr>
        <w:t>d</w:t>
      </w:r>
      <w:r w:rsidRPr="00BD1319">
        <w:rPr>
          <w:rFonts w:cs="Arial"/>
          <w:spacing w:val="-3"/>
        </w:rPr>
        <w:t xml:space="preserve">el </w:t>
      </w:r>
      <w:r w:rsidR="00CF61E4" w:rsidRPr="00BD1319">
        <w:rPr>
          <w:rFonts w:cs="Arial"/>
          <w:spacing w:val="-3"/>
        </w:rPr>
        <w:t>componente</w:t>
      </w:r>
      <w:r w:rsidRPr="00BD1319">
        <w:rPr>
          <w:spacing w:val="-3"/>
        </w:rPr>
        <w:t>, teniendo en cuenta lo</w:t>
      </w:r>
      <w:r w:rsidR="00CF61E4" w:rsidRPr="00BD1319">
        <w:rPr>
          <w:spacing w:val="-3"/>
        </w:rPr>
        <w:t>s</w:t>
      </w:r>
      <w:r w:rsidRPr="00BD1319">
        <w:rPr>
          <w:spacing w:val="-3"/>
        </w:rPr>
        <w:t xml:space="preserve"> siguiente</w:t>
      </w:r>
      <w:r w:rsidR="00CF61E4" w:rsidRPr="00BD1319">
        <w:rPr>
          <w:spacing w:val="-3"/>
        </w:rPr>
        <w:t>s elementos</w:t>
      </w:r>
      <w:r w:rsidRPr="00BD1319">
        <w:rPr>
          <w:spacing w:val="-3"/>
        </w:rPr>
        <w:t>:</w:t>
      </w:r>
    </w:p>
    <w:p w14:paraId="63BF17D1" w14:textId="77777777" w:rsidR="00F97C5C" w:rsidRPr="00BD1319" w:rsidRDefault="00F97C5C">
      <w:pPr>
        <w:numPr>
          <w:ilvl w:val="12"/>
          <w:numId w:val="0"/>
        </w:numPr>
        <w:tabs>
          <w:tab w:val="left" w:pos="-2268"/>
        </w:tabs>
        <w:suppressAutoHyphens/>
        <w:rPr>
          <w:spacing w:val="-3"/>
        </w:rPr>
      </w:pPr>
    </w:p>
    <w:p w14:paraId="3501AA35" w14:textId="0F077EEB" w:rsidR="00F97C5C" w:rsidRPr="00BD1319" w:rsidRDefault="00F97C5C" w:rsidP="00921605">
      <w:pPr>
        <w:pStyle w:val="Prrafodelista"/>
        <w:numPr>
          <w:ilvl w:val="0"/>
          <w:numId w:val="625"/>
        </w:numPr>
        <w:tabs>
          <w:tab w:val="left" w:pos="-2268"/>
        </w:tabs>
        <w:suppressAutoHyphens/>
        <w:ind w:left="567" w:hanging="567"/>
        <w:rPr>
          <w:rFonts w:cs="Arial"/>
          <w:spacing w:val="-3"/>
          <w:lang w:val="es-CO"/>
        </w:rPr>
      </w:pPr>
      <w:r w:rsidRPr="00BD1319">
        <w:rPr>
          <w:rFonts w:cs="Arial"/>
          <w:spacing w:val="-3"/>
          <w:lang w:val="es-CO"/>
        </w:rPr>
        <w:t xml:space="preserve">Distribución de la propiedad </w:t>
      </w:r>
      <w:r w:rsidR="008E0A8B" w:rsidRPr="00BD1319">
        <w:rPr>
          <w:rFonts w:cs="Arial"/>
          <w:spacing w:val="-3"/>
          <w:lang w:val="es-CO"/>
        </w:rPr>
        <w:t xml:space="preserve">de la propiedad rural </w:t>
      </w:r>
      <w:r w:rsidR="00743DAF" w:rsidRPr="00BD1319">
        <w:rPr>
          <w:rFonts w:cs="Arial"/>
          <w:spacing w:val="-3"/>
          <w:lang w:val="es-CO"/>
        </w:rPr>
        <w:t xml:space="preserve">(micro, minifundio, pequeña, mediana y gran propiedad) </w:t>
      </w:r>
      <w:r w:rsidR="008E0A8B" w:rsidRPr="00BD1319">
        <w:rPr>
          <w:rFonts w:cs="Arial"/>
          <w:spacing w:val="-3"/>
          <w:lang w:val="es-CO"/>
        </w:rPr>
        <w:t xml:space="preserve">de acuerdo con las categorías establecidas en el numeral de metodología y tratamiento de la información del Atlas de la Distribución de la propiedad rural en Colombia </w:t>
      </w:r>
      <w:r w:rsidR="00743DAF" w:rsidRPr="00BD1319">
        <w:rPr>
          <w:rFonts w:cs="Arial"/>
          <w:spacing w:val="-3"/>
          <w:lang w:val="es-CO"/>
        </w:rPr>
        <w:t>(IGAC, 2012)</w:t>
      </w:r>
      <w:r w:rsidRPr="00BD1319">
        <w:rPr>
          <w:rFonts w:cs="Arial"/>
          <w:spacing w:val="-3"/>
          <w:lang w:val="es-CO"/>
        </w:rPr>
        <w:t xml:space="preserve"> y de tenencia de la tierra (comunitaria, propiedad privada, arrendamiento, aparcería, tierras colectivas, zonas de reservas campesinas, zonas de desarrollo empresarial, Zonas de Interés de Desarrollo Rural</w:t>
      </w:r>
      <w:r w:rsidR="006F2F41" w:rsidRPr="00BD1319">
        <w:rPr>
          <w:rFonts w:cs="Arial"/>
          <w:spacing w:val="-3"/>
          <w:lang w:val="es-CO"/>
        </w:rPr>
        <w:t>,</w:t>
      </w:r>
      <w:r w:rsidRPr="00BD1319">
        <w:rPr>
          <w:rFonts w:cs="Arial"/>
          <w:spacing w:val="-3"/>
          <w:lang w:val="es-CO"/>
        </w:rPr>
        <w:t xml:space="preserve"> Económico </w:t>
      </w:r>
      <w:r w:rsidR="006F2F41" w:rsidRPr="00BD1319">
        <w:rPr>
          <w:rFonts w:cs="Arial"/>
          <w:spacing w:val="-3"/>
          <w:lang w:val="es-CO"/>
        </w:rPr>
        <w:t xml:space="preserve">y Social </w:t>
      </w:r>
      <w:r w:rsidRPr="00BD1319">
        <w:rPr>
          <w:rFonts w:cs="Arial"/>
          <w:spacing w:val="-3"/>
          <w:lang w:val="es-CO"/>
        </w:rPr>
        <w:t>(ZIDRES), entre otras) en el área de estudio</w:t>
      </w:r>
      <w:r w:rsidR="00961B86" w:rsidRPr="00BD1319">
        <w:rPr>
          <w:rFonts w:cs="Arial"/>
          <w:spacing w:val="-3"/>
          <w:lang w:val="es-CO"/>
        </w:rPr>
        <w:t xml:space="preserve"> del componente</w:t>
      </w:r>
      <w:r w:rsidRPr="00BD1319">
        <w:rPr>
          <w:rFonts w:cs="Arial"/>
          <w:spacing w:val="-3"/>
          <w:lang w:val="es-CO"/>
        </w:rPr>
        <w:t xml:space="preserve">. </w:t>
      </w:r>
    </w:p>
    <w:p w14:paraId="1BEB81B5" w14:textId="77777777" w:rsidR="00F97C5C" w:rsidRPr="00BD1319" w:rsidRDefault="00F97C5C">
      <w:pPr>
        <w:tabs>
          <w:tab w:val="left" w:pos="-2268"/>
        </w:tabs>
        <w:suppressAutoHyphens/>
        <w:rPr>
          <w:spacing w:val="-3"/>
        </w:rPr>
      </w:pPr>
    </w:p>
    <w:p w14:paraId="481C30C8" w14:textId="39B97D2A" w:rsidR="00D10D17" w:rsidRPr="00BD1319" w:rsidRDefault="00D10D17" w:rsidP="000D6E21">
      <w:pPr>
        <w:pStyle w:val="Prrafodelista"/>
        <w:numPr>
          <w:ilvl w:val="0"/>
          <w:numId w:val="625"/>
        </w:numPr>
        <w:tabs>
          <w:tab w:val="left" w:pos="-2268"/>
        </w:tabs>
        <w:suppressAutoHyphens/>
        <w:ind w:left="567" w:hanging="567"/>
        <w:rPr>
          <w:rFonts w:cs="Arial"/>
          <w:spacing w:val="-3"/>
        </w:rPr>
      </w:pPr>
      <w:r w:rsidRPr="00BD1319">
        <w:rPr>
          <w:rFonts w:cs="Arial"/>
          <w:spacing w:val="-3"/>
          <w:lang w:val="es-CO"/>
        </w:rPr>
        <w:t>Áreas con procesos de restitución de tierras. Se debe indagar si en el área de estudio existen procesos en etapa administrativa o judicial e indicar si el interesado en obtener licencia ambiental es parte en alguno de ellos.</w:t>
      </w:r>
    </w:p>
    <w:p w14:paraId="64BC7296" w14:textId="77777777" w:rsidR="00D10D17" w:rsidRPr="00BD1319" w:rsidRDefault="00D10D17">
      <w:pPr>
        <w:tabs>
          <w:tab w:val="left" w:pos="-2268"/>
        </w:tabs>
        <w:suppressAutoHyphens/>
        <w:rPr>
          <w:spacing w:val="-3"/>
        </w:rPr>
      </w:pPr>
    </w:p>
    <w:p w14:paraId="34DBB70D" w14:textId="6D108F5F" w:rsidR="00F97C5C" w:rsidRPr="00BD1319" w:rsidRDefault="00F97C5C" w:rsidP="00921605">
      <w:pPr>
        <w:pStyle w:val="Prrafodelista"/>
        <w:numPr>
          <w:ilvl w:val="0"/>
          <w:numId w:val="625"/>
        </w:numPr>
        <w:tabs>
          <w:tab w:val="left" w:pos="-2268"/>
        </w:tabs>
        <w:suppressAutoHyphens/>
        <w:ind w:left="567" w:hanging="567"/>
        <w:rPr>
          <w:rFonts w:cs="Arial"/>
          <w:spacing w:val="-3"/>
          <w:lang w:val="es-CO"/>
        </w:rPr>
      </w:pPr>
      <w:r w:rsidRPr="00BD1319">
        <w:rPr>
          <w:rFonts w:cs="Arial"/>
          <w:spacing w:val="-3"/>
          <w:lang w:val="es-CO"/>
        </w:rPr>
        <w:t>Procesos productivos y tecnológicos</w:t>
      </w:r>
      <w:r w:rsidR="00961B86" w:rsidRPr="00BD1319">
        <w:rPr>
          <w:rFonts w:cs="Arial"/>
          <w:spacing w:val="-3"/>
          <w:lang w:val="es-CO"/>
        </w:rPr>
        <w:t>,</w:t>
      </w:r>
      <w:r w:rsidRPr="00BD1319">
        <w:rPr>
          <w:rFonts w:cs="Arial"/>
          <w:spacing w:val="-3"/>
          <w:lang w:val="es-CO"/>
        </w:rPr>
        <w:t xml:space="preserve"> </w:t>
      </w:r>
      <w:r w:rsidR="00961B86" w:rsidRPr="00BD1319">
        <w:rPr>
          <w:rFonts w:cs="Arial"/>
          <w:spacing w:val="-3"/>
          <w:lang w:val="es-CO"/>
        </w:rPr>
        <w:t xml:space="preserve">describiendo el </w:t>
      </w:r>
      <w:r w:rsidRPr="00BD1319">
        <w:rPr>
          <w:rFonts w:cs="Arial"/>
          <w:spacing w:val="-3"/>
          <w:lang w:val="es-CO"/>
        </w:rPr>
        <w:t xml:space="preserve">comportamiento de las actividades de los sectores primario, secundario y terciario de la economía; analizando la contribución a la economía regional de cada uno de estos sectores, </w:t>
      </w:r>
      <w:r w:rsidR="00961B86" w:rsidRPr="00BD1319">
        <w:rPr>
          <w:rFonts w:cs="Arial"/>
          <w:spacing w:val="-3"/>
          <w:lang w:val="es-CO"/>
        </w:rPr>
        <w:t xml:space="preserve">e </w:t>
      </w:r>
      <w:r w:rsidRPr="00BD1319">
        <w:rPr>
          <w:rFonts w:cs="Arial"/>
          <w:spacing w:val="-3"/>
          <w:lang w:val="es-CO"/>
        </w:rPr>
        <w:t xml:space="preserve">identificando su importancia en el contexto local; </w:t>
      </w:r>
      <w:r w:rsidR="00961B86" w:rsidRPr="00BD1319">
        <w:rPr>
          <w:rFonts w:cs="Arial"/>
          <w:spacing w:val="-3"/>
          <w:lang w:val="es-CO"/>
        </w:rPr>
        <w:t xml:space="preserve">se deben señalar los </w:t>
      </w:r>
      <w:r w:rsidRPr="00BD1319">
        <w:rPr>
          <w:rFonts w:cs="Arial"/>
          <w:spacing w:val="-3"/>
          <w:lang w:val="es-CO"/>
        </w:rPr>
        <w:t>volúmenes aproximados de producción</w:t>
      </w:r>
      <w:r w:rsidR="00961B86" w:rsidRPr="00BD1319">
        <w:rPr>
          <w:rFonts w:cs="Arial"/>
          <w:spacing w:val="-3"/>
          <w:lang w:val="es-CO"/>
        </w:rPr>
        <w:t>,</w:t>
      </w:r>
      <w:r w:rsidRPr="00BD1319">
        <w:rPr>
          <w:rFonts w:cs="Arial"/>
          <w:spacing w:val="-3"/>
          <w:lang w:val="es-CO"/>
        </w:rPr>
        <w:t xml:space="preserve"> tecnologías empleadas</w:t>
      </w:r>
      <w:r w:rsidR="00961B86" w:rsidRPr="00BD1319">
        <w:rPr>
          <w:rFonts w:cs="Arial"/>
          <w:spacing w:val="-3"/>
          <w:lang w:val="es-CO"/>
        </w:rPr>
        <w:t>,</w:t>
      </w:r>
      <w:r w:rsidRPr="00BD1319">
        <w:rPr>
          <w:rFonts w:cs="Arial"/>
          <w:spacing w:val="-3"/>
          <w:lang w:val="es-CO"/>
        </w:rPr>
        <w:t xml:space="preserve"> centros productivos e infraestructura asociada y niveles de ingreso.</w:t>
      </w:r>
    </w:p>
    <w:p w14:paraId="35ECF51F" w14:textId="77777777" w:rsidR="00F105CE" w:rsidRPr="00BD1319" w:rsidRDefault="00F105CE" w:rsidP="009420F5">
      <w:pPr>
        <w:pStyle w:val="Prrafodelista"/>
        <w:rPr>
          <w:rFonts w:cs="Arial"/>
          <w:spacing w:val="-3"/>
          <w:lang w:val="es-CO"/>
        </w:rPr>
      </w:pPr>
    </w:p>
    <w:p w14:paraId="5D7A1E3F" w14:textId="0A745DA5" w:rsidR="00F97C5C" w:rsidRPr="00BD1319" w:rsidRDefault="00F97C5C" w:rsidP="00921605">
      <w:pPr>
        <w:pStyle w:val="Prrafodelista"/>
        <w:numPr>
          <w:ilvl w:val="0"/>
          <w:numId w:val="625"/>
        </w:numPr>
        <w:tabs>
          <w:tab w:val="left" w:pos="-2268"/>
        </w:tabs>
        <w:suppressAutoHyphens/>
        <w:ind w:left="567" w:hanging="567"/>
        <w:rPr>
          <w:rFonts w:cs="Arial"/>
          <w:spacing w:val="-3"/>
          <w:lang w:val="es-CO"/>
        </w:rPr>
      </w:pPr>
      <w:r w:rsidRPr="00BD1319">
        <w:rPr>
          <w:rFonts w:cs="Arial"/>
          <w:spacing w:val="-3"/>
          <w:lang w:val="es-CO"/>
        </w:rPr>
        <w:t xml:space="preserve">Polos de desarrollo o enclaves que interactúan con el área de estudio del </w:t>
      </w:r>
      <w:r w:rsidR="00961B86" w:rsidRPr="00BD1319">
        <w:rPr>
          <w:rFonts w:cs="Arial"/>
          <w:spacing w:val="-3"/>
          <w:lang w:val="es-CO"/>
        </w:rPr>
        <w:t>componente</w:t>
      </w:r>
      <w:r w:rsidRPr="00BD1319">
        <w:rPr>
          <w:rFonts w:cs="Arial"/>
          <w:spacing w:val="-3"/>
          <w:lang w:val="es-CO"/>
        </w:rPr>
        <w:t>.</w:t>
      </w:r>
    </w:p>
    <w:p w14:paraId="30E74735" w14:textId="77777777" w:rsidR="00F97C5C" w:rsidRPr="00BD1319" w:rsidRDefault="00F97C5C">
      <w:pPr>
        <w:tabs>
          <w:tab w:val="left" w:pos="-2268"/>
        </w:tabs>
        <w:suppressAutoHyphens/>
        <w:rPr>
          <w:spacing w:val="-3"/>
        </w:rPr>
      </w:pPr>
    </w:p>
    <w:p w14:paraId="219D381D" w14:textId="1848FAD7" w:rsidR="00D01AD0" w:rsidRPr="00BD1319" w:rsidRDefault="00F97C5C" w:rsidP="00921605">
      <w:pPr>
        <w:pStyle w:val="Prrafodelista"/>
        <w:numPr>
          <w:ilvl w:val="0"/>
          <w:numId w:val="625"/>
        </w:numPr>
        <w:tabs>
          <w:tab w:val="left" w:pos="-2268"/>
        </w:tabs>
        <w:suppressAutoHyphens/>
        <w:ind w:left="567" w:hanging="567"/>
        <w:rPr>
          <w:rFonts w:cs="Arial"/>
          <w:spacing w:val="-3"/>
          <w:lang w:val="es-CO"/>
        </w:rPr>
      </w:pPr>
      <w:r w:rsidRPr="00BD1319">
        <w:rPr>
          <w:rFonts w:cs="Arial"/>
          <w:spacing w:val="-3"/>
          <w:lang w:val="es-CO"/>
        </w:rPr>
        <w:t>Características del mercado laboral actual (ocupación, empleo, desempleo y subempleo).</w:t>
      </w:r>
    </w:p>
    <w:p w14:paraId="539B1D0B" w14:textId="77777777" w:rsidR="00F97C5C" w:rsidRPr="00BD1319" w:rsidRDefault="00F97C5C" w:rsidP="00F97C5C">
      <w:pPr>
        <w:numPr>
          <w:ilvl w:val="12"/>
          <w:numId w:val="0"/>
        </w:numPr>
        <w:tabs>
          <w:tab w:val="left" w:pos="-2268"/>
        </w:tabs>
        <w:suppressAutoHyphens/>
        <w:rPr>
          <w:rFonts w:cs="Arial"/>
          <w:spacing w:val="-3"/>
        </w:rPr>
      </w:pPr>
    </w:p>
    <w:p w14:paraId="277E7C11" w14:textId="225B1791" w:rsidR="00F97C5C" w:rsidRPr="00BD1319" w:rsidRDefault="00F97C5C" w:rsidP="00216955">
      <w:pPr>
        <w:pStyle w:val="Ttulo3"/>
      </w:pPr>
      <w:bookmarkStart w:id="2324" w:name="_Toc412803165"/>
      <w:bookmarkStart w:id="2325" w:name="_Toc414285561"/>
      <w:bookmarkStart w:id="2326" w:name="_Toc437935992"/>
      <w:bookmarkStart w:id="2327" w:name="_Toc42552229"/>
      <w:bookmarkStart w:id="2328" w:name="_Toc175326710"/>
      <w:r w:rsidRPr="00BD1319">
        <w:t>Cultural</w:t>
      </w:r>
      <w:bookmarkEnd w:id="2324"/>
      <w:bookmarkEnd w:id="2325"/>
      <w:bookmarkEnd w:id="2326"/>
      <w:bookmarkEnd w:id="2327"/>
      <w:bookmarkEnd w:id="2328"/>
    </w:p>
    <w:p w14:paraId="3A6A4F40" w14:textId="77777777" w:rsidR="00F97C5C" w:rsidRPr="00BD1319" w:rsidRDefault="00F97C5C">
      <w:pPr>
        <w:numPr>
          <w:ilvl w:val="12"/>
          <w:numId w:val="0"/>
        </w:numPr>
        <w:tabs>
          <w:tab w:val="left" w:pos="-2268"/>
        </w:tabs>
        <w:suppressAutoHyphens/>
        <w:rPr>
          <w:spacing w:val="-3"/>
        </w:rPr>
      </w:pPr>
    </w:p>
    <w:p w14:paraId="1B6F1122" w14:textId="77777777" w:rsidR="00F97C5C" w:rsidRPr="00BD1319" w:rsidRDefault="00F97C5C" w:rsidP="009420F5">
      <w:pPr>
        <w:pStyle w:val="Ttulo4"/>
        <w:tabs>
          <w:tab w:val="clear" w:pos="1844"/>
          <w:tab w:val="num" w:pos="1134"/>
        </w:tabs>
        <w:ind w:left="0"/>
        <w:rPr>
          <w:lang w:val="es-CO"/>
        </w:rPr>
      </w:pPr>
      <w:r w:rsidRPr="00BD1319">
        <w:rPr>
          <w:lang w:val="es-CO"/>
        </w:rPr>
        <w:t>Comunidades no étnicas</w:t>
      </w:r>
    </w:p>
    <w:p w14:paraId="0EF118C0" w14:textId="77777777" w:rsidR="00F97C5C" w:rsidRPr="00BD1319" w:rsidRDefault="00F97C5C">
      <w:pPr>
        <w:numPr>
          <w:ilvl w:val="12"/>
          <w:numId w:val="0"/>
        </w:numPr>
        <w:tabs>
          <w:tab w:val="left" w:pos="-2268"/>
        </w:tabs>
        <w:suppressAutoHyphens/>
        <w:rPr>
          <w:spacing w:val="-3"/>
        </w:rPr>
      </w:pPr>
    </w:p>
    <w:p w14:paraId="67012E1E" w14:textId="3614CE5E" w:rsidR="00F97C5C" w:rsidRPr="00BD1319" w:rsidRDefault="00CC6C91">
      <w:pPr>
        <w:numPr>
          <w:ilvl w:val="12"/>
          <w:numId w:val="0"/>
        </w:numPr>
        <w:tabs>
          <w:tab w:val="left" w:pos="-2268"/>
        </w:tabs>
        <w:suppressAutoHyphens/>
        <w:rPr>
          <w:spacing w:val="-3"/>
        </w:rPr>
      </w:pPr>
      <w:r w:rsidRPr="00BD1319">
        <w:rPr>
          <w:spacing w:val="-3"/>
        </w:rPr>
        <w:t xml:space="preserve">La información que se recolecte debe permitir </w:t>
      </w:r>
      <w:r w:rsidR="00900A47" w:rsidRPr="00BD1319">
        <w:rPr>
          <w:spacing w:val="-3"/>
        </w:rPr>
        <w:t xml:space="preserve">tener una visión </w:t>
      </w:r>
      <w:r w:rsidR="00F97C5C" w:rsidRPr="00BD1319">
        <w:rPr>
          <w:spacing w:val="-3"/>
        </w:rPr>
        <w:t>general de los patrones de asentamiento ya descritos, así como de la dependencia económica y sociocultural al entorno, articulando estos procesos históricos con la dinámica actual</w:t>
      </w:r>
      <w:r w:rsidRPr="00BD1319">
        <w:rPr>
          <w:spacing w:val="-3"/>
        </w:rPr>
        <w:t xml:space="preserve">, así como </w:t>
      </w:r>
      <w:r w:rsidR="00900A47" w:rsidRPr="00BD1319">
        <w:rPr>
          <w:spacing w:val="-3"/>
        </w:rPr>
        <w:t xml:space="preserve">determinar </w:t>
      </w:r>
      <w:r w:rsidR="00F97C5C" w:rsidRPr="00BD1319">
        <w:rPr>
          <w:spacing w:val="-3"/>
        </w:rPr>
        <w:t xml:space="preserve">los hechos históricos relevantes (migraciones, adopción de nuevas tecnologías, cambios de actividad productiva, estímulo a procesos de aculturación por </w:t>
      </w:r>
      <w:r w:rsidR="00F97C5C" w:rsidRPr="00BD1319">
        <w:rPr>
          <w:spacing w:val="-3"/>
        </w:rPr>
        <w:lastRenderedPageBreak/>
        <w:t xml:space="preserve">presencia de migrantes, entre otros) que hayan implicado cambios culturales, particularmente con efectos en las estrategias adaptativas de las comunidades; esto debe permitir </w:t>
      </w:r>
      <w:r w:rsidR="00900A47" w:rsidRPr="00BD1319">
        <w:rPr>
          <w:spacing w:val="-3"/>
        </w:rPr>
        <w:t>el reconocimiento</w:t>
      </w:r>
      <w:r w:rsidR="00F97C5C" w:rsidRPr="00BD1319">
        <w:rPr>
          <w:spacing w:val="-3"/>
        </w:rPr>
        <w:t xml:space="preserve"> de las potencialidades, resistencias y capacidad de adaptación al cambio</w:t>
      </w:r>
      <w:r w:rsidRPr="00BD1319">
        <w:rPr>
          <w:spacing w:val="-3"/>
        </w:rPr>
        <w:t>.</w:t>
      </w:r>
    </w:p>
    <w:p w14:paraId="335322F8" w14:textId="77777777" w:rsidR="00F97C5C" w:rsidRPr="00BD1319" w:rsidRDefault="00F97C5C">
      <w:pPr>
        <w:numPr>
          <w:ilvl w:val="12"/>
          <w:numId w:val="0"/>
        </w:numPr>
        <w:tabs>
          <w:tab w:val="left" w:pos="-2268"/>
        </w:tabs>
        <w:suppressAutoHyphens/>
        <w:rPr>
          <w:spacing w:val="-3"/>
        </w:rPr>
      </w:pPr>
    </w:p>
    <w:p w14:paraId="3693C40A" w14:textId="225764EE" w:rsidR="00F97C5C" w:rsidRPr="00BD1319" w:rsidRDefault="00CC6C91" w:rsidP="006B5AED">
      <w:pPr>
        <w:numPr>
          <w:ilvl w:val="12"/>
          <w:numId w:val="0"/>
        </w:numPr>
        <w:tabs>
          <w:tab w:val="left" w:pos="-2268"/>
        </w:tabs>
        <w:suppressAutoHyphens/>
        <w:rPr>
          <w:spacing w:val="-3"/>
        </w:rPr>
      </w:pPr>
      <w:r w:rsidRPr="00BD1319">
        <w:rPr>
          <w:spacing w:val="-3"/>
        </w:rPr>
        <w:t xml:space="preserve">De igual forma, se deben </w:t>
      </w:r>
      <w:r w:rsidR="00E57583" w:rsidRPr="00BD1319">
        <w:rPr>
          <w:spacing w:val="-3"/>
        </w:rPr>
        <w:t xml:space="preserve">determinar </w:t>
      </w:r>
      <w:r w:rsidR="00F97C5C" w:rsidRPr="00BD1319">
        <w:rPr>
          <w:spacing w:val="-3"/>
        </w:rPr>
        <w:t>los símbolos culturales significativos para la población, con relación a las tradiciones económicas, tecnológicas, organizativas, religiosas, artísticas y otras</w:t>
      </w:r>
      <w:r w:rsidRPr="00BD1319">
        <w:rPr>
          <w:spacing w:val="-3"/>
        </w:rPr>
        <w:t xml:space="preserve">; y también </w:t>
      </w:r>
      <w:r w:rsidR="00F97C5C" w:rsidRPr="00BD1319">
        <w:rPr>
          <w:spacing w:val="-3"/>
        </w:rPr>
        <w:t>los usos tradicionales de los recursos naturales renovables y el ambiente por parte de los habitantes del área de estudio</w:t>
      </w:r>
      <w:r w:rsidR="00F97C5C" w:rsidRPr="00BD1319">
        <w:rPr>
          <w:rFonts w:cs="Arial"/>
          <w:spacing w:val="-3"/>
        </w:rPr>
        <w:t xml:space="preserve"> del </w:t>
      </w:r>
      <w:r w:rsidRPr="00BD1319">
        <w:rPr>
          <w:rFonts w:cs="Arial"/>
          <w:spacing w:val="-3"/>
        </w:rPr>
        <w:t xml:space="preserve">componente, </w:t>
      </w:r>
      <w:r w:rsidRPr="00BD1319">
        <w:rPr>
          <w:spacing w:val="-3"/>
        </w:rPr>
        <w:t xml:space="preserve">para lo cual se debe tener en cuenta la </w:t>
      </w:r>
      <w:r w:rsidR="00F97C5C" w:rsidRPr="00BD1319">
        <w:rPr>
          <w:spacing w:val="-3"/>
        </w:rPr>
        <w:t xml:space="preserve">demanda, </w:t>
      </w:r>
      <w:r w:rsidRPr="00BD1319">
        <w:rPr>
          <w:spacing w:val="-3"/>
        </w:rPr>
        <w:t xml:space="preserve">la </w:t>
      </w:r>
      <w:r w:rsidR="00F97C5C" w:rsidRPr="00BD1319">
        <w:rPr>
          <w:spacing w:val="-3"/>
        </w:rPr>
        <w:t xml:space="preserve">oferta, </w:t>
      </w:r>
      <w:r w:rsidRPr="00BD1319">
        <w:rPr>
          <w:spacing w:val="-3"/>
        </w:rPr>
        <w:t xml:space="preserve">la </w:t>
      </w:r>
      <w:r w:rsidR="00F97C5C" w:rsidRPr="00BD1319">
        <w:rPr>
          <w:spacing w:val="-3"/>
        </w:rPr>
        <w:t xml:space="preserve">relación de pertenencia, </w:t>
      </w:r>
      <w:r w:rsidRPr="00BD1319">
        <w:rPr>
          <w:spacing w:val="-3"/>
        </w:rPr>
        <w:t xml:space="preserve">el </w:t>
      </w:r>
      <w:r w:rsidR="00F97C5C" w:rsidRPr="00BD1319">
        <w:rPr>
          <w:spacing w:val="-3"/>
        </w:rPr>
        <w:t xml:space="preserve">espíritu proteccionista o conservacionista, </w:t>
      </w:r>
      <w:r w:rsidRPr="00BD1319">
        <w:rPr>
          <w:spacing w:val="-3"/>
        </w:rPr>
        <w:t xml:space="preserve">los </w:t>
      </w:r>
      <w:r w:rsidR="00F97C5C" w:rsidRPr="00BD1319">
        <w:rPr>
          <w:spacing w:val="-3"/>
        </w:rPr>
        <w:t xml:space="preserve">usos culturales y tradicionales, </w:t>
      </w:r>
      <w:r w:rsidRPr="00BD1319">
        <w:rPr>
          <w:spacing w:val="-3"/>
        </w:rPr>
        <w:t xml:space="preserve">y los </w:t>
      </w:r>
      <w:r w:rsidR="00F97C5C" w:rsidRPr="00BD1319">
        <w:rPr>
          <w:spacing w:val="-3"/>
        </w:rPr>
        <w:t>valores simbólicos</w:t>
      </w:r>
      <w:r w:rsidRPr="00BD1319">
        <w:rPr>
          <w:spacing w:val="-3"/>
        </w:rPr>
        <w:t>, entre otros</w:t>
      </w:r>
      <w:r w:rsidR="00F97C5C" w:rsidRPr="00BD1319">
        <w:rPr>
          <w:spacing w:val="-3"/>
        </w:rPr>
        <w:t>.</w:t>
      </w:r>
    </w:p>
    <w:p w14:paraId="5DD487C7" w14:textId="77777777" w:rsidR="00F97C5C" w:rsidRPr="00BD1319" w:rsidRDefault="00F97C5C">
      <w:pPr>
        <w:numPr>
          <w:ilvl w:val="12"/>
          <w:numId w:val="0"/>
        </w:numPr>
        <w:tabs>
          <w:tab w:val="left" w:pos="-2268"/>
        </w:tabs>
        <w:suppressAutoHyphens/>
        <w:rPr>
          <w:spacing w:val="-3"/>
        </w:rPr>
      </w:pPr>
    </w:p>
    <w:p w14:paraId="3D69B675" w14:textId="77777777" w:rsidR="00F97C5C" w:rsidRPr="00BD1319" w:rsidRDefault="00F97C5C" w:rsidP="009420F5">
      <w:pPr>
        <w:pStyle w:val="Ttulo4"/>
        <w:tabs>
          <w:tab w:val="clear" w:pos="1844"/>
          <w:tab w:val="num" w:pos="1134"/>
        </w:tabs>
        <w:ind w:left="0"/>
        <w:rPr>
          <w:lang w:val="es-CO"/>
        </w:rPr>
      </w:pPr>
      <w:r w:rsidRPr="00BD1319">
        <w:rPr>
          <w:lang w:val="es-CO"/>
        </w:rPr>
        <w:t>Comunidades étnicas</w:t>
      </w:r>
    </w:p>
    <w:p w14:paraId="1B898631" w14:textId="77777777" w:rsidR="00F97C5C" w:rsidRPr="00BD1319" w:rsidRDefault="00F97C5C">
      <w:pPr>
        <w:numPr>
          <w:ilvl w:val="12"/>
          <w:numId w:val="0"/>
        </w:numPr>
        <w:tabs>
          <w:tab w:val="left" w:pos="-2268"/>
        </w:tabs>
        <w:suppressAutoHyphens/>
        <w:rPr>
          <w:spacing w:val="-3"/>
        </w:rPr>
      </w:pPr>
    </w:p>
    <w:p w14:paraId="05EDB78F" w14:textId="0D83E44B" w:rsidR="00F97C5C" w:rsidRPr="00BD1319" w:rsidRDefault="00CC6C91">
      <w:pPr>
        <w:numPr>
          <w:ilvl w:val="12"/>
          <w:numId w:val="0"/>
        </w:numPr>
        <w:tabs>
          <w:tab w:val="left" w:pos="-2268"/>
        </w:tabs>
        <w:suppressAutoHyphens/>
        <w:rPr>
          <w:spacing w:val="-3"/>
        </w:rPr>
      </w:pPr>
      <w:r w:rsidRPr="00BD1319">
        <w:rPr>
          <w:spacing w:val="-3"/>
        </w:rPr>
        <w:t xml:space="preserve">La </w:t>
      </w:r>
      <w:r w:rsidR="00F97C5C" w:rsidRPr="00BD1319">
        <w:rPr>
          <w:spacing w:val="-3"/>
        </w:rPr>
        <w:t xml:space="preserve">información secundaria </w:t>
      </w:r>
      <w:r w:rsidRPr="00BD1319">
        <w:rPr>
          <w:spacing w:val="-3"/>
        </w:rPr>
        <w:t xml:space="preserve">que se emplee </w:t>
      </w:r>
      <w:r w:rsidR="00F97C5C" w:rsidRPr="00BD1319">
        <w:rPr>
          <w:spacing w:val="-3"/>
        </w:rPr>
        <w:t xml:space="preserve">(estudios etnográficos, investigaciones, entre otros) </w:t>
      </w:r>
      <w:r w:rsidRPr="00BD1319">
        <w:rPr>
          <w:spacing w:val="-3"/>
        </w:rPr>
        <w:t xml:space="preserve">debe permitir describir </w:t>
      </w:r>
      <w:r w:rsidR="00F97C5C" w:rsidRPr="00BD1319">
        <w:rPr>
          <w:spacing w:val="-3"/>
        </w:rPr>
        <w:t xml:space="preserve">las comunidades étnicas presentes en el área de estudio, involucrando las siguientes variables: </w:t>
      </w:r>
      <w:r w:rsidR="005774A9" w:rsidRPr="00BD1319">
        <w:rPr>
          <w:spacing w:val="-3"/>
        </w:rPr>
        <w:t xml:space="preserve">fundamentos culturales, usos y costumbres culturales, estructura del </w:t>
      </w:r>
      <w:r w:rsidR="00F97C5C" w:rsidRPr="00BD1319">
        <w:rPr>
          <w:spacing w:val="-3"/>
        </w:rPr>
        <w:t>territorio, demografía, salud, educación, religiosidad/cosmogonía, etnolingüística, economía tradicional, organización sociocultural y presencia institucional.</w:t>
      </w:r>
    </w:p>
    <w:p w14:paraId="0BA78D71" w14:textId="54833B1B" w:rsidR="00F97C5C" w:rsidRPr="00BD1319" w:rsidRDefault="00F97C5C" w:rsidP="00F97C5C">
      <w:pPr>
        <w:numPr>
          <w:ilvl w:val="12"/>
          <w:numId w:val="0"/>
        </w:numPr>
        <w:tabs>
          <w:tab w:val="left" w:pos="-2268"/>
          <w:tab w:val="left" w:pos="3240"/>
        </w:tabs>
        <w:suppressAutoHyphens/>
        <w:rPr>
          <w:rFonts w:cs="Arial"/>
          <w:spacing w:val="-3"/>
        </w:rPr>
      </w:pPr>
    </w:p>
    <w:p w14:paraId="6871DBEB" w14:textId="432FA9AC" w:rsidR="00C6154C" w:rsidRPr="00BD1319" w:rsidRDefault="00C6154C" w:rsidP="00216955">
      <w:pPr>
        <w:pStyle w:val="Ttulo3"/>
      </w:pPr>
      <w:bookmarkStart w:id="2329" w:name="_Toc175326711"/>
      <w:r w:rsidRPr="00BD1319">
        <w:t>Arqueológico</w:t>
      </w:r>
      <w:r w:rsidR="001C5A59" w:rsidRPr="00BD1319">
        <w:t xml:space="preserve"> y patrimonio cultural</w:t>
      </w:r>
      <w:bookmarkEnd w:id="2329"/>
    </w:p>
    <w:p w14:paraId="0768AF3A" w14:textId="77777777" w:rsidR="00C6154C" w:rsidRPr="00BD1319" w:rsidRDefault="00C6154C" w:rsidP="00F97C5C">
      <w:pPr>
        <w:numPr>
          <w:ilvl w:val="12"/>
          <w:numId w:val="0"/>
        </w:numPr>
        <w:tabs>
          <w:tab w:val="left" w:pos="-2268"/>
          <w:tab w:val="left" w:pos="3240"/>
        </w:tabs>
        <w:suppressAutoHyphens/>
        <w:rPr>
          <w:rFonts w:cs="Arial"/>
          <w:spacing w:val="-3"/>
        </w:rPr>
      </w:pPr>
    </w:p>
    <w:p w14:paraId="25776E58" w14:textId="4EA0D898" w:rsidR="00B85E62" w:rsidRPr="00BD1319" w:rsidRDefault="00C6154C" w:rsidP="00660F77">
      <w:pPr>
        <w:numPr>
          <w:ilvl w:val="12"/>
          <w:numId w:val="0"/>
        </w:numPr>
        <w:tabs>
          <w:tab w:val="left" w:pos="-2268"/>
          <w:tab w:val="left" w:pos="3240"/>
        </w:tabs>
        <w:suppressAutoHyphens/>
        <w:rPr>
          <w:rFonts w:cs="Arial"/>
          <w:spacing w:val="-3"/>
        </w:rPr>
      </w:pPr>
      <w:r w:rsidRPr="00BD1319">
        <w:rPr>
          <w:rFonts w:cs="Arial"/>
          <w:spacing w:val="-3"/>
        </w:rPr>
        <w:t xml:space="preserve">Indicar la existencia de sitios de reconocido o potencial interés histórico, cultural y arqueológico, declarados como parques arqueológicos, patrimonio </w:t>
      </w:r>
      <w:r w:rsidR="001C5A59" w:rsidRPr="00BD1319">
        <w:rPr>
          <w:rFonts w:cs="Arial"/>
          <w:spacing w:val="-3"/>
        </w:rPr>
        <w:t>cultural</w:t>
      </w:r>
      <w:r w:rsidRPr="00BD1319">
        <w:rPr>
          <w:rFonts w:cs="Arial"/>
          <w:spacing w:val="-3"/>
        </w:rPr>
        <w:t xml:space="preserve"> nacional o patrimonio histórico de la humanidad, patrimonio cultural subacuático o aquellos yacimientos arqueológicos que por la singularidad de sus contenidos culturales ameriten ser preservados para la posteridad</w:t>
      </w:r>
      <w:r w:rsidR="00344B33" w:rsidRPr="00BD1319">
        <w:rPr>
          <w:rFonts w:cs="Arial"/>
          <w:spacing w:val="-3"/>
        </w:rPr>
        <w:t>, consultando entre otras fuentes de información, los listados de patrimonio mundial de la Unesco</w:t>
      </w:r>
      <w:r w:rsidR="000A6216" w:rsidRPr="00BD1319">
        <w:rPr>
          <w:rFonts w:cs="Arial"/>
          <w:spacing w:val="-3"/>
        </w:rPr>
        <w:t>, la lista de bienes declarados bien de interés cultural del ámbito nacional</w:t>
      </w:r>
      <w:r w:rsidR="00344B33" w:rsidRPr="00BD1319">
        <w:rPr>
          <w:rFonts w:cs="Arial"/>
          <w:spacing w:val="-3"/>
        </w:rPr>
        <w:t xml:space="preserve"> y </w:t>
      </w:r>
      <w:r w:rsidR="00660F77" w:rsidRPr="00BD1319">
        <w:rPr>
          <w:rFonts w:cs="Arial"/>
          <w:spacing w:val="-3"/>
        </w:rPr>
        <w:t>la lista representativa de patrimonio cultural inmaterial</w:t>
      </w:r>
      <w:r w:rsidR="00415D30" w:rsidRPr="00BD1319">
        <w:rPr>
          <w:rStyle w:val="Refdenotaalpie"/>
          <w:rFonts w:cs="Arial"/>
          <w:spacing w:val="-3"/>
        </w:rPr>
        <w:footnoteReference w:id="52"/>
      </w:r>
      <w:r w:rsidR="00660F77" w:rsidRPr="00BD1319">
        <w:rPr>
          <w:rFonts w:cs="Arial"/>
          <w:spacing w:val="-3"/>
        </w:rPr>
        <w:t>.</w:t>
      </w:r>
    </w:p>
    <w:p w14:paraId="71AFA424" w14:textId="77777777" w:rsidR="00CB408F" w:rsidRPr="00BD1319" w:rsidRDefault="00CB408F" w:rsidP="00F97C5C">
      <w:pPr>
        <w:numPr>
          <w:ilvl w:val="12"/>
          <w:numId w:val="0"/>
        </w:numPr>
        <w:tabs>
          <w:tab w:val="left" w:pos="-2268"/>
          <w:tab w:val="left" w:pos="3240"/>
        </w:tabs>
        <w:suppressAutoHyphens/>
        <w:rPr>
          <w:rFonts w:cs="Arial"/>
          <w:spacing w:val="-3"/>
        </w:rPr>
      </w:pPr>
    </w:p>
    <w:p w14:paraId="35E9ED23" w14:textId="3BBDA91B" w:rsidR="00F97C5C" w:rsidRPr="00BD1319" w:rsidRDefault="00F97C5C" w:rsidP="00216955">
      <w:pPr>
        <w:pStyle w:val="Ttulo3"/>
      </w:pPr>
      <w:bookmarkStart w:id="2330" w:name="_Toc412803167"/>
      <w:bookmarkStart w:id="2331" w:name="_Toc414285563"/>
      <w:bookmarkStart w:id="2332" w:name="_Toc437935994"/>
      <w:bookmarkStart w:id="2333" w:name="_Toc42552230"/>
      <w:bookmarkStart w:id="2334" w:name="_Toc175326712"/>
      <w:r w:rsidRPr="00BD1319">
        <w:t>Político-organizativo</w:t>
      </w:r>
      <w:bookmarkEnd w:id="2330"/>
      <w:bookmarkEnd w:id="2331"/>
      <w:bookmarkEnd w:id="2332"/>
      <w:bookmarkEnd w:id="2333"/>
      <w:bookmarkEnd w:id="2334"/>
    </w:p>
    <w:p w14:paraId="6A3B1D52" w14:textId="77777777" w:rsidR="00F97C5C" w:rsidRPr="00BD1319" w:rsidRDefault="00F97C5C">
      <w:pPr>
        <w:numPr>
          <w:ilvl w:val="12"/>
          <w:numId w:val="0"/>
        </w:numPr>
        <w:tabs>
          <w:tab w:val="left" w:pos="-2268"/>
        </w:tabs>
        <w:suppressAutoHyphens/>
        <w:rPr>
          <w:spacing w:val="-3"/>
        </w:rPr>
      </w:pPr>
    </w:p>
    <w:p w14:paraId="78E0C92C" w14:textId="28B4EFA5" w:rsidR="00F97C5C" w:rsidRPr="00BD1319" w:rsidRDefault="00D2352E">
      <w:pPr>
        <w:numPr>
          <w:ilvl w:val="12"/>
          <w:numId w:val="0"/>
        </w:numPr>
        <w:tabs>
          <w:tab w:val="left" w:pos="-2268"/>
        </w:tabs>
        <w:suppressAutoHyphens/>
        <w:rPr>
          <w:spacing w:val="-3"/>
        </w:rPr>
      </w:pPr>
      <w:r w:rsidRPr="00BD1319">
        <w:rPr>
          <w:spacing w:val="-3"/>
        </w:rPr>
        <w:t>Se debe</w:t>
      </w:r>
      <w:r w:rsidR="00900A47" w:rsidRPr="00BD1319">
        <w:rPr>
          <w:spacing w:val="-3"/>
        </w:rPr>
        <w:t>n determinar</w:t>
      </w:r>
      <w:r w:rsidRPr="00BD1319">
        <w:rPr>
          <w:spacing w:val="-3"/>
        </w:rPr>
        <w:t xml:space="preserve"> </w:t>
      </w:r>
      <w:r w:rsidR="00F97C5C" w:rsidRPr="00BD1319">
        <w:rPr>
          <w:spacing w:val="-3"/>
        </w:rPr>
        <w:t xml:space="preserve">los actores sociales que interactúan en el área de estudio del </w:t>
      </w:r>
      <w:r w:rsidR="00B26058" w:rsidRPr="00BD1319">
        <w:rPr>
          <w:rFonts w:cs="Arial"/>
          <w:spacing w:val="-3"/>
        </w:rPr>
        <w:t>componente</w:t>
      </w:r>
      <w:r w:rsidR="00F97C5C" w:rsidRPr="00BD1319">
        <w:rPr>
          <w:spacing w:val="-3"/>
        </w:rPr>
        <w:t xml:space="preserve"> </w:t>
      </w:r>
      <w:r w:rsidR="00B26058" w:rsidRPr="00BD1319">
        <w:rPr>
          <w:spacing w:val="-3"/>
        </w:rPr>
        <w:t xml:space="preserve">y </w:t>
      </w:r>
      <w:r w:rsidR="00F97C5C" w:rsidRPr="00BD1319">
        <w:rPr>
          <w:spacing w:val="-3"/>
        </w:rPr>
        <w:t xml:space="preserve">que </w:t>
      </w:r>
      <w:r w:rsidR="00B26058" w:rsidRPr="00BD1319">
        <w:rPr>
          <w:spacing w:val="-3"/>
        </w:rPr>
        <w:t xml:space="preserve">configuran </w:t>
      </w:r>
      <w:r w:rsidR="00F97C5C" w:rsidRPr="00BD1319">
        <w:rPr>
          <w:spacing w:val="-3"/>
        </w:rPr>
        <w:t xml:space="preserve">la estructura de poder </w:t>
      </w:r>
      <w:r w:rsidR="00B26058" w:rsidRPr="00BD1319">
        <w:rPr>
          <w:spacing w:val="-3"/>
        </w:rPr>
        <w:t>e inciden en la toma de decisiones</w:t>
      </w:r>
      <w:r w:rsidR="00B26058" w:rsidRPr="00BD1319" w:rsidDel="00B26058">
        <w:rPr>
          <w:spacing w:val="-3"/>
        </w:rPr>
        <w:t xml:space="preserve"> </w:t>
      </w:r>
      <w:r w:rsidR="00F97C5C" w:rsidRPr="00BD1319">
        <w:rPr>
          <w:spacing w:val="-3"/>
        </w:rPr>
        <w:t>(asociaciones de carácter político, económico, cultural, ambiental, comunitario, gremios, juntas de acción comunal, entre otros).</w:t>
      </w:r>
    </w:p>
    <w:p w14:paraId="62929CE3" w14:textId="77777777" w:rsidR="00F97C5C" w:rsidRPr="00BD1319" w:rsidRDefault="00F97C5C">
      <w:pPr>
        <w:numPr>
          <w:ilvl w:val="12"/>
          <w:numId w:val="0"/>
        </w:numPr>
        <w:tabs>
          <w:tab w:val="left" w:pos="-2268"/>
        </w:tabs>
        <w:suppressAutoHyphens/>
        <w:rPr>
          <w:spacing w:val="-3"/>
        </w:rPr>
      </w:pPr>
    </w:p>
    <w:p w14:paraId="2D998CB4" w14:textId="327EAF17" w:rsidR="00F97C5C" w:rsidRPr="00BD1319" w:rsidRDefault="00F97C5C" w:rsidP="00216955">
      <w:pPr>
        <w:pStyle w:val="Ttulo3"/>
      </w:pPr>
      <w:bookmarkStart w:id="2335" w:name="_Toc412803168"/>
      <w:bookmarkStart w:id="2336" w:name="_Toc414285564"/>
      <w:bookmarkStart w:id="2337" w:name="_Toc437935995"/>
      <w:bookmarkStart w:id="2338" w:name="_Toc42552231"/>
      <w:bookmarkStart w:id="2339" w:name="_Toc175326713"/>
      <w:r w:rsidRPr="00BD1319">
        <w:t>Tendencias del desarrollo</w:t>
      </w:r>
      <w:bookmarkEnd w:id="2335"/>
      <w:bookmarkEnd w:id="2336"/>
      <w:bookmarkEnd w:id="2337"/>
      <w:bookmarkEnd w:id="2338"/>
      <w:bookmarkEnd w:id="2339"/>
    </w:p>
    <w:p w14:paraId="76B79FDE" w14:textId="77777777" w:rsidR="00F97C5C" w:rsidRPr="00BD1319" w:rsidRDefault="00F97C5C">
      <w:pPr>
        <w:numPr>
          <w:ilvl w:val="12"/>
          <w:numId w:val="0"/>
        </w:numPr>
        <w:tabs>
          <w:tab w:val="left" w:pos="-2268"/>
        </w:tabs>
        <w:suppressAutoHyphens/>
        <w:rPr>
          <w:spacing w:val="-3"/>
        </w:rPr>
      </w:pPr>
    </w:p>
    <w:p w14:paraId="7D7CF69D" w14:textId="3B3EC604" w:rsidR="00F97C5C" w:rsidRPr="00BD1319" w:rsidRDefault="00F97C5C">
      <w:pPr>
        <w:numPr>
          <w:ilvl w:val="12"/>
          <w:numId w:val="0"/>
        </w:numPr>
        <w:tabs>
          <w:tab w:val="left" w:pos="-2268"/>
        </w:tabs>
        <w:suppressAutoHyphens/>
        <w:rPr>
          <w:spacing w:val="-3"/>
        </w:rPr>
      </w:pPr>
      <w:r w:rsidRPr="00BD1319">
        <w:rPr>
          <w:spacing w:val="-3"/>
        </w:rPr>
        <w:t>Presentar un</w:t>
      </w:r>
      <w:r w:rsidR="00900A47" w:rsidRPr="00BD1319">
        <w:rPr>
          <w:spacing w:val="-3"/>
        </w:rPr>
        <w:t>a síntesis</w:t>
      </w:r>
      <w:r w:rsidRPr="00BD1319">
        <w:rPr>
          <w:spacing w:val="-3"/>
        </w:rPr>
        <w:t xml:space="preserve"> de la realidad socioeconómica del área</w:t>
      </w:r>
      <w:r w:rsidRPr="00BD1319">
        <w:rPr>
          <w:rFonts w:cs="Arial"/>
          <w:spacing w:val="-3"/>
        </w:rPr>
        <w:t xml:space="preserve"> de estudio del </w:t>
      </w:r>
      <w:r w:rsidR="002F0F64" w:rsidRPr="00BD1319">
        <w:rPr>
          <w:rFonts w:cs="Arial"/>
          <w:spacing w:val="-3"/>
        </w:rPr>
        <w:t>componente</w:t>
      </w:r>
      <w:r w:rsidRPr="00BD1319">
        <w:rPr>
          <w:spacing w:val="-3"/>
        </w:rPr>
        <w:t xml:space="preserve"> resultante de la articulación de los elementos más relevantes analizados en los diferentes componentes (demográfico, espacial, económico, cultural y político-organizativo)</w:t>
      </w:r>
      <w:r w:rsidR="00A556BD" w:rsidRPr="00BD1319">
        <w:rPr>
          <w:spacing w:val="-3"/>
        </w:rPr>
        <w:t xml:space="preserve">, así como de los señalados en </w:t>
      </w:r>
      <w:r w:rsidRPr="00BD1319">
        <w:rPr>
          <w:spacing w:val="-3"/>
        </w:rPr>
        <w:t>los planes de desarrollo, de ordenamiento territorial</w:t>
      </w:r>
      <w:r w:rsidR="00CD2DED" w:rsidRPr="00BD1319">
        <w:rPr>
          <w:spacing w:val="-3"/>
        </w:rPr>
        <w:t>,</w:t>
      </w:r>
      <w:r w:rsidRPr="00BD1319">
        <w:rPr>
          <w:spacing w:val="-3"/>
        </w:rPr>
        <w:t xml:space="preserve"> de gestión ambiental</w:t>
      </w:r>
      <w:r w:rsidR="00CD2DED" w:rsidRPr="00BD1319">
        <w:rPr>
          <w:spacing w:val="-3"/>
        </w:rPr>
        <w:t xml:space="preserve">, de vida o de etnodesarrollo existentes (en ejecución o proyectados) </w:t>
      </w:r>
      <w:r w:rsidRPr="00BD1319">
        <w:rPr>
          <w:spacing w:val="-3"/>
        </w:rPr>
        <w:t>en los ámbitos nacional, departamental y municipal. En los casos en que esta información varíe significativamente entre una alternativa y otra, se debe presentar de manera diferenciada para cada alternativa.</w:t>
      </w:r>
    </w:p>
    <w:p w14:paraId="3E0DE5B0" w14:textId="77777777" w:rsidR="00F97C5C" w:rsidRPr="00BD1319" w:rsidRDefault="00F97C5C">
      <w:pPr>
        <w:numPr>
          <w:ilvl w:val="12"/>
          <w:numId w:val="0"/>
        </w:numPr>
        <w:tabs>
          <w:tab w:val="left" w:pos="-2268"/>
        </w:tabs>
        <w:suppressAutoHyphens/>
        <w:rPr>
          <w:spacing w:val="-3"/>
        </w:rPr>
      </w:pPr>
    </w:p>
    <w:p w14:paraId="36316622" w14:textId="64151BA2" w:rsidR="00F97C5C" w:rsidRPr="00BD1319" w:rsidRDefault="00F97C5C">
      <w:pPr>
        <w:numPr>
          <w:ilvl w:val="12"/>
          <w:numId w:val="0"/>
        </w:numPr>
        <w:tabs>
          <w:tab w:val="left" w:pos="-2268"/>
        </w:tabs>
        <w:suppressAutoHyphens/>
        <w:rPr>
          <w:spacing w:val="-3"/>
        </w:rPr>
      </w:pPr>
      <w:r w:rsidRPr="00BD1319">
        <w:rPr>
          <w:spacing w:val="-3"/>
        </w:rPr>
        <w:t xml:space="preserve">Para lo anterior, es necesario </w:t>
      </w:r>
      <w:r w:rsidR="00900A47" w:rsidRPr="00BD1319">
        <w:rPr>
          <w:spacing w:val="-3"/>
        </w:rPr>
        <w:t xml:space="preserve">señalar </w:t>
      </w:r>
      <w:r w:rsidRPr="00BD1319">
        <w:rPr>
          <w:spacing w:val="-3"/>
        </w:rPr>
        <w:t xml:space="preserve">los proyectos de desarrollo impulsados </w:t>
      </w:r>
      <w:r w:rsidR="002F0F64" w:rsidRPr="00BD1319">
        <w:rPr>
          <w:spacing w:val="-3"/>
        </w:rPr>
        <w:t xml:space="preserve">tanto </w:t>
      </w:r>
      <w:r w:rsidRPr="00BD1319">
        <w:rPr>
          <w:spacing w:val="-3"/>
        </w:rPr>
        <w:t>por el sector oficial</w:t>
      </w:r>
      <w:r w:rsidR="002F0F64" w:rsidRPr="00BD1319">
        <w:rPr>
          <w:spacing w:val="-3"/>
        </w:rPr>
        <w:t>, como</w:t>
      </w:r>
      <w:r w:rsidRPr="00BD1319">
        <w:rPr>
          <w:spacing w:val="-3"/>
        </w:rPr>
        <w:t xml:space="preserve"> por el</w:t>
      </w:r>
      <w:r w:rsidRPr="00BD1319">
        <w:rPr>
          <w:rFonts w:cs="Arial"/>
          <w:spacing w:val="-3"/>
        </w:rPr>
        <w:t xml:space="preserve"> sector</w:t>
      </w:r>
      <w:r w:rsidRPr="00BD1319">
        <w:rPr>
          <w:spacing w:val="-3"/>
        </w:rPr>
        <w:t xml:space="preserve"> privado, en la medida en que dicha información esté disponible, con el objeto de evaluar la injerencia del proyecto</w:t>
      </w:r>
      <w:r w:rsidR="00BC6D6A" w:rsidRPr="00BD1319">
        <w:rPr>
          <w:spacing w:val="-3"/>
        </w:rPr>
        <w:t>, obra o actividad</w:t>
      </w:r>
      <w:r w:rsidRPr="00BD1319">
        <w:rPr>
          <w:spacing w:val="-3"/>
        </w:rPr>
        <w:t xml:space="preserve"> en la dinámica del área de estudio </w:t>
      </w:r>
      <w:r w:rsidRPr="00BD1319">
        <w:rPr>
          <w:rFonts w:cs="Arial"/>
          <w:spacing w:val="-3"/>
        </w:rPr>
        <w:t xml:space="preserve">del </w:t>
      </w:r>
      <w:r w:rsidR="002F0F64" w:rsidRPr="00BD1319">
        <w:rPr>
          <w:rFonts w:cs="Arial"/>
          <w:spacing w:val="-3"/>
        </w:rPr>
        <w:t>componente</w:t>
      </w:r>
      <w:r w:rsidRPr="00BD1319">
        <w:rPr>
          <w:spacing w:val="-3"/>
        </w:rPr>
        <w:t>, en caso de aplicar.</w:t>
      </w:r>
    </w:p>
    <w:p w14:paraId="2027EDFC" w14:textId="77777777" w:rsidR="00F97C5C" w:rsidRPr="00BD1319" w:rsidRDefault="00F97C5C">
      <w:pPr>
        <w:numPr>
          <w:ilvl w:val="12"/>
          <w:numId w:val="0"/>
        </w:numPr>
        <w:tabs>
          <w:tab w:val="left" w:pos="-2268"/>
        </w:tabs>
        <w:suppressAutoHyphens/>
        <w:rPr>
          <w:spacing w:val="-3"/>
        </w:rPr>
      </w:pPr>
    </w:p>
    <w:p w14:paraId="0C243040" w14:textId="77777777" w:rsidR="00CB408F" w:rsidRPr="00BD1319" w:rsidRDefault="00CB408F" w:rsidP="000D6E21">
      <w:pPr>
        <w:pStyle w:val="Ttulo3"/>
      </w:pPr>
      <w:bookmarkStart w:id="2340" w:name="_Toc175326714"/>
      <w:r w:rsidRPr="00BD1319">
        <w:t>Conflictividad socioambiental</w:t>
      </w:r>
      <w:bookmarkEnd w:id="2340"/>
    </w:p>
    <w:p w14:paraId="7A5D1F4D" w14:textId="77777777" w:rsidR="00CB408F" w:rsidRPr="00BD1319" w:rsidRDefault="00CB408F">
      <w:pPr>
        <w:numPr>
          <w:ilvl w:val="12"/>
          <w:numId w:val="0"/>
        </w:numPr>
        <w:tabs>
          <w:tab w:val="left" w:pos="-2268"/>
        </w:tabs>
        <w:suppressAutoHyphens/>
        <w:rPr>
          <w:spacing w:val="-3"/>
        </w:rPr>
      </w:pPr>
    </w:p>
    <w:p w14:paraId="435128B8" w14:textId="171AE337" w:rsidR="00CB408F" w:rsidRPr="00BD1319" w:rsidRDefault="00CB408F">
      <w:pPr>
        <w:numPr>
          <w:ilvl w:val="12"/>
          <w:numId w:val="0"/>
        </w:numPr>
        <w:tabs>
          <w:tab w:val="left" w:pos="-2268"/>
        </w:tabs>
        <w:suppressAutoHyphens/>
        <w:rPr>
          <w:spacing w:val="-3"/>
        </w:rPr>
      </w:pPr>
      <w:r w:rsidRPr="00BD1319">
        <w:rPr>
          <w:spacing w:val="-3"/>
        </w:rPr>
        <w:t>Se deben señalar los conflictos socioambientales que existen en el área de estudio a partir de información secundaria como la contenida en el observatorio de conflictos ambientales de la Universidad Nacional, las alertas tempranas de la defensoría del pueblo y las relatorías de la corte interamericana de derechos humanos.</w:t>
      </w:r>
    </w:p>
    <w:p w14:paraId="197D0F1D" w14:textId="77777777" w:rsidR="005774A9" w:rsidRPr="00BD1319" w:rsidRDefault="005774A9">
      <w:pPr>
        <w:numPr>
          <w:ilvl w:val="12"/>
          <w:numId w:val="0"/>
        </w:numPr>
        <w:tabs>
          <w:tab w:val="left" w:pos="-2268"/>
        </w:tabs>
        <w:suppressAutoHyphens/>
        <w:rPr>
          <w:spacing w:val="-3"/>
        </w:rPr>
      </w:pPr>
    </w:p>
    <w:p w14:paraId="02CE4ACC" w14:textId="083614EA" w:rsidR="005774A9" w:rsidRPr="00BD1319" w:rsidRDefault="005774A9" w:rsidP="000D6E21">
      <w:pPr>
        <w:tabs>
          <w:tab w:val="left" w:pos="-2268"/>
        </w:tabs>
        <w:suppressAutoHyphens/>
        <w:rPr>
          <w:spacing w:val="-3"/>
        </w:rPr>
      </w:pPr>
      <w:r w:rsidRPr="00BD1319">
        <w:rPr>
          <w:spacing w:val="-3"/>
        </w:rPr>
        <w:t>Se deben determinar las barreras que enfrentan los líderes comunitarios o personas para comunicar sus inquietudes y aportes de información, en especial los asociados a los conflictos socioambientales existentes. Igualmente, se deben determinar los riesgos que corren estas personas con el sólo hecho de que en sus comunidades las identifiquen como líderes o de manifestar su interés en el proceso de formulación del estudio ambiental realizando consultas o aportando información; empleando este análisis de riesgos, se debe formular un protocolo de seguridad para evitar la vulneración de los derechos de líderes y personas.</w:t>
      </w:r>
    </w:p>
    <w:p w14:paraId="61BCCFEF" w14:textId="77777777" w:rsidR="00CB408F" w:rsidRPr="00BD1319" w:rsidRDefault="00CB408F">
      <w:pPr>
        <w:numPr>
          <w:ilvl w:val="12"/>
          <w:numId w:val="0"/>
        </w:numPr>
        <w:tabs>
          <w:tab w:val="left" w:pos="-2268"/>
        </w:tabs>
        <w:suppressAutoHyphens/>
        <w:rPr>
          <w:spacing w:val="-3"/>
        </w:rPr>
      </w:pPr>
    </w:p>
    <w:p w14:paraId="36E1A8E6" w14:textId="5E45A4F3" w:rsidR="00F97C5C" w:rsidRPr="00BD1319" w:rsidRDefault="00F97C5C" w:rsidP="00216955">
      <w:pPr>
        <w:pStyle w:val="Ttulo3"/>
      </w:pPr>
      <w:bookmarkStart w:id="2341" w:name="_Toc42552232"/>
      <w:bookmarkStart w:id="2342" w:name="_Toc175326715"/>
      <w:bookmarkStart w:id="2343" w:name="_Toc437935996"/>
      <w:r w:rsidRPr="00BD1319">
        <w:lastRenderedPageBreak/>
        <w:t>Información preliminar sobre reasentamiento involuntario de población</w:t>
      </w:r>
      <w:bookmarkEnd w:id="2341"/>
      <w:bookmarkEnd w:id="2342"/>
    </w:p>
    <w:bookmarkEnd w:id="2343"/>
    <w:p w14:paraId="0A195CEB" w14:textId="77777777" w:rsidR="00F97C5C" w:rsidRPr="00BD1319" w:rsidRDefault="00F97C5C">
      <w:pPr>
        <w:numPr>
          <w:ilvl w:val="12"/>
          <w:numId w:val="0"/>
        </w:numPr>
        <w:tabs>
          <w:tab w:val="left" w:pos="-2268"/>
        </w:tabs>
        <w:suppressAutoHyphens/>
        <w:rPr>
          <w:spacing w:val="-3"/>
        </w:rPr>
      </w:pPr>
    </w:p>
    <w:p w14:paraId="5BC49C1A" w14:textId="48E6378F" w:rsidR="00F97C5C" w:rsidRPr="00BD1319" w:rsidRDefault="00900A47" w:rsidP="0082127E">
      <w:pPr>
        <w:numPr>
          <w:ilvl w:val="12"/>
          <w:numId w:val="0"/>
        </w:numPr>
        <w:tabs>
          <w:tab w:val="left" w:pos="-2268"/>
        </w:tabs>
        <w:suppressAutoHyphens/>
        <w:rPr>
          <w:rFonts w:cs="Arial"/>
          <w:spacing w:val="-3"/>
        </w:rPr>
      </w:pPr>
      <w:r w:rsidRPr="00BD1319">
        <w:rPr>
          <w:spacing w:val="-3"/>
        </w:rPr>
        <w:t xml:space="preserve">Se debe aportar </w:t>
      </w:r>
      <w:r w:rsidR="00F97C5C" w:rsidRPr="00BD1319">
        <w:rPr>
          <w:spacing w:val="-3"/>
        </w:rPr>
        <w:t>para cada alternativa</w:t>
      </w:r>
      <w:r w:rsidRPr="00BD1319">
        <w:rPr>
          <w:spacing w:val="-3"/>
        </w:rPr>
        <w:t xml:space="preserve"> la información preliminar sobre</w:t>
      </w:r>
      <w:r w:rsidR="00F97C5C" w:rsidRPr="00BD1319">
        <w:rPr>
          <w:spacing w:val="-3"/>
        </w:rPr>
        <w:t xml:space="preserve"> </w:t>
      </w:r>
      <w:r w:rsidR="00F97C5C" w:rsidRPr="00BD1319">
        <w:rPr>
          <w:rFonts w:cs="Arial"/>
          <w:spacing w:val="-3"/>
        </w:rPr>
        <w:t>la población e infraestructura susceptible de reasentamiento involuntario generado</w:t>
      </w:r>
      <w:r w:rsidR="00F97C5C" w:rsidRPr="00BD1319">
        <w:rPr>
          <w:spacing w:val="-3"/>
        </w:rPr>
        <w:t xml:space="preserve"> por el proyecto</w:t>
      </w:r>
      <w:r w:rsidR="00F97C5C" w:rsidRPr="00BD1319">
        <w:rPr>
          <w:rFonts w:cs="Arial"/>
          <w:spacing w:val="-3"/>
        </w:rPr>
        <w:t>, obra o actividad</w:t>
      </w:r>
      <w:r w:rsidRPr="00BD1319">
        <w:rPr>
          <w:rFonts w:cs="Arial"/>
          <w:spacing w:val="-3"/>
        </w:rPr>
        <w:t xml:space="preserve"> </w:t>
      </w:r>
      <w:r w:rsidRPr="00BD1319">
        <w:rPr>
          <w:spacing w:val="-3"/>
        </w:rPr>
        <w:t>a partir de</w:t>
      </w:r>
      <w:r w:rsidR="00F97C5C" w:rsidRPr="00BD1319">
        <w:rPr>
          <w:spacing w:val="-3"/>
        </w:rPr>
        <w:t xml:space="preserve"> una estimación de las siguientes variables:</w:t>
      </w:r>
    </w:p>
    <w:p w14:paraId="20A57780" w14:textId="77777777" w:rsidR="00F97C5C" w:rsidRPr="00BD1319" w:rsidRDefault="00F97C5C" w:rsidP="00F97C5C">
      <w:pPr>
        <w:numPr>
          <w:ilvl w:val="12"/>
          <w:numId w:val="0"/>
        </w:numPr>
        <w:tabs>
          <w:tab w:val="left" w:pos="-2268"/>
        </w:tabs>
        <w:suppressAutoHyphens/>
        <w:rPr>
          <w:rFonts w:cs="Arial"/>
          <w:spacing w:val="-3"/>
        </w:rPr>
      </w:pPr>
    </w:p>
    <w:p w14:paraId="06E62C1D" w14:textId="6596AF6D" w:rsidR="00F97C5C" w:rsidRPr="00BD1319" w:rsidRDefault="00F97C5C" w:rsidP="00C86DA5">
      <w:pPr>
        <w:pStyle w:val="Prrafodelista"/>
        <w:numPr>
          <w:ilvl w:val="0"/>
          <w:numId w:val="359"/>
        </w:numPr>
        <w:tabs>
          <w:tab w:val="left" w:pos="-2268"/>
        </w:tabs>
        <w:suppressAutoHyphens/>
        <w:ind w:left="567" w:hanging="567"/>
        <w:rPr>
          <w:rFonts w:cs="Arial"/>
          <w:spacing w:val="-3"/>
          <w:lang w:val="es-CO"/>
        </w:rPr>
      </w:pPr>
      <w:r w:rsidRPr="00BD1319">
        <w:rPr>
          <w:rFonts w:cs="Arial"/>
          <w:spacing w:val="-3"/>
          <w:lang w:val="es-CO"/>
        </w:rPr>
        <w:t>Número de unidades de vivienda susceptibles de reasentamiento involuntario</w:t>
      </w:r>
      <w:r w:rsidR="002B5BD6" w:rsidRPr="00BD1319">
        <w:rPr>
          <w:rFonts w:cs="Arial"/>
          <w:spacing w:val="-3"/>
          <w:lang w:val="es-CO"/>
        </w:rPr>
        <w:t>.</w:t>
      </w:r>
    </w:p>
    <w:p w14:paraId="46E54BB8" w14:textId="77777777" w:rsidR="002B5BD6" w:rsidRPr="00BD1319" w:rsidRDefault="002B5BD6" w:rsidP="00C86DA5">
      <w:pPr>
        <w:tabs>
          <w:tab w:val="left" w:pos="-2268"/>
        </w:tabs>
        <w:suppressAutoHyphens/>
        <w:rPr>
          <w:rFonts w:cs="Arial"/>
          <w:spacing w:val="-3"/>
        </w:rPr>
      </w:pPr>
    </w:p>
    <w:p w14:paraId="47371A5E" w14:textId="01300CBC" w:rsidR="00F97C5C" w:rsidRPr="00BD1319" w:rsidRDefault="00F97C5C" w:rsidP="00C86DA5">
      <w:pPr>
        <w:pStyle w:val="Prrafodelista"/>
        <w:numPr>
          <w:ilvl w:val="0"/>
          <w:numId w:val="359"/>
        </w:numPr>
        <w:tabs>
          <w:tab w:val="left" w:pos="-2268"/>
        </w:tabs>
        <w:suppressAutoHyphens/>
        <w:ind w:left="567" w:hanging="567"/>
        <w:rPr>
          <w:rFonts w:cs="Arial"/>
          <w:spacing w:val="-3"/>
          <w:lang w:val="es-CO"/>
        </w:rPr>
      </w:pPr>
      <w:r w:rsidRPr="00BD1319">
        <w:rPr>
          <w:rFonts w:cs="Arial"/>
          <w:spacing w:val="-3"/>
          <w:lang w:val="es-CO"/>
        </w:rPr>
        <w:t>Cantidad</w:t>
      </w:r>
      <w:r w:rsidRPr="00BD1319">
        <w:rPr>
          <w:spacing w:val="-3"/>
          <w:lang w:val="es-CO"/>
        </w:rPr>
        <w:t xml:space="preserve"> de población </w:t>
      </w:r>
      <w:r w:rsidR="00D10D17" w:rsidRPr="00BD1319">
        <w:rPr>
          <w:spacing w:val="-3"/>
          <w:lang w:val="es-CO"/>
        </w:rPr>
        <w:t>que posiblemente sea objeto de reasentamiento involuntario, discriminada hasta el nivel más detallado posible (municipio, vereda o unidad de análisis territorial correspondiente)</w:t>
      </w:r>
      <w:r w:rsidRPr="00BD1319">
        <w:rPr>
          <w:rFonts w:cs="Arial"/>
          <w:spacing w:val="-3"/>
          <w:lang w:val="es-CO"/>
        </w:rPr>
        <w:t>.</w:t>
      </w:r>
    </w:p>
    <w:p w14:paraId="3300840F" w14:textId="77777777" w:rsidR="002B5BD6" w:rsidRPr="00BD1319" w:rsidRDefault="002B5BD6" w:rsidP="00C86DA5">
      <w:pPr>
        <w:tabs>
          <w:tab w:val="left" w:pos="-2268"/>
        </w:tabs>
        <w:suppressAutoHyphens/>
        <w:rPr>
          <w:rFonts w:cs="Arial"/>
          <w:spacing w:val="-3"/>
        </w:rPr>
      </w:pPr>
    </w:p>
    <w:p w14:paraId="27FB6D14" w14:textId="19DE1E57" w:rsidR="00F97C5C" w:rsidRPr="00BD1319" w:rsidRDefault="00F97C5C" w:rsidP="00C86DA5">
      <w:pPr>
        <w:pStyle w:val="Prrafodelista"/>
        <w:numPr>
          <w:ilvl w:val="0"/>
          <w:numId w:val="359"/>
        </w:numPr>
        <w:tabs>
          <w:tab w:val="left" w:pos="-2268"/>
        </w:tabs>
        <w:suppressAutoHyphens/>
        <w:ind w:left="567" w:hanging="567"/>
        <w:rPr>
          <w:rFonts w:cs="Arial"/>
          <w:spacing w:val="-3"/>
          <w:lang w:val="es-CO"/>
        </w:rPr>
      </w:pPr>
      <w:r w:rsidRPr="00BD1319">
        <w:rPr>
          <w:rFonts w:cs="Arial"/>
          <w:spacing w:val="-3"/>
          <w:lang w:val="es-CO"/>
        </w:rPr>
        <w:t>Tipo</w:t>
      </w:r>
      <w:r w:rsidRPr="00BD1319">
        <w:rPr>
          <w:spacing w:val="-3"/>
          <w:lang w:val="es-CO"/>
        </w:rPr>
        <w:t xml:space="preserve"> y número de unidades sociales existentes potencialmente </w:t>
      </w:r>
      <w:r w:rsidRPr="00BD1319">
        <w:rPr>
          <w:rFonts w:cs="Arial"/>
          <w:spacing w:val="-3"/>
          <w:lang w:val="es-CO"/>
        </w:rPr>
        <w:t>impactadas</w:t>
      </w:r>
      <w:r w:rsidRPr="00BD1319">
        <w:rPr>
          <w:spacing w:val="-3"/>
          <w:lang w:val="es-CO"/>
        </w:rPr>
        <w:t xml:space="preserve"> (residentes, productivas y mixtas</w:t>
      </w:r>
      <w:r w:rsidRPr="00BD1319">
        <w:rPr>
          <w:rFonts w:cs="Arial"/>
          <w:spacing w:val="-3"/>
          <w:lang w:val="es-CO"/>
        </w:rPr>
        <w:t>)</w:t>
      </w:r>
      <w:r w:rsidR="002B5BD6" w:rsidRPr="00BD1319">
        <w:rPr>
          <w:rFonts w:cs="Arial"/>
          <w:spacing w:val="-3"/>
          <w:lang w:val="es-CO"/>
        </w:rPr>
        <w:t>.</w:t>
      </w:r>
    </w:p>
    <w:p w14:paraId="4A48E1E0" w14:textId="77777777" w:rsidR="002B5BD6" w:rsidRPr="00BD1319" w:rsidRDefault="002B5BD6" w:rsidP="00C86DA5">
      <w:pPr>
        <w:tabs>
          <w:tab w:val="left" w:pos="-2268"/>
        </w:tabs>
        <w:suppressAutoHyphens/>
        <w:rPr>
          <w:rFonts w:cs="Arial"/>
          <w:spacing w:val="-3"/>
        </w:rPr>
      </w:pPr>
    </w:p>
    <w:p w14:paraId="73946570" w14:textId="382478B7" w:rsidR="00F97C5C" w:rsidRPr="00BD1319" w:rsidRDefault="00F97C5C" w:rsidP="00C86DA5">
      <w:pPr>
        <w:pStyle w:val="Prrafodelista"/>
        <w:numPr>
          <w:ilvl w:val="0"/>
          <w:numId w:val="359"/>
        </w:numPr>
        <w:tabs>
          <w:tab w:val="left" w:pos="-2268"/>
        </w:tabs>
        <w:suppressAutoHyphens/>
        <w:ind w:left="567" w:hanging="567"/>
        <w:rPr>
          <w:rFonts w:cs="Arial"/>
          <w:spacing w:val="-3"/>
          <w:lang w:val="es-CO"/>
        </w:rPr>
      </w:pPr>
      <w:r w:rsidRPr="00BD1319">
        <w:rPr>
          <w:rFonts w:cs="Arial"/>
          <w:spacing w:val="-3"/>
          <w:lang w:val="es-CO"/>
        </w:rPr>
        <w:t>Actividades</w:t>
      </w:r>
      <w:r w:rsidRPr="00BD1319">
        <w:rPr>
          <w:spacing w:val="-3"/>
          <w:lang w:val="es-CO"/>
        </w:rPr>
        <w:t xml:space="preserve"> económicas que puedan verse afectadas con el </w:t>
      </w:r>
      <w:r w:rsidRPr="00BD1319">
        <w:rPr>
          <w:rFonts w:cs="Arial"/>
          <w:spacing w:val="-3"/>
          <w:lang w:val="es-CO"/>
        </w:rPr>
        <w:t>reasentamiento</w:t>
      </w:r>
      <w:r w:rsidRPr="00BD1319">
        <w:rPr>
          <w:spacing w:val="-3"/>
          <w:lang w:val="es-CO"/>
        </w:rPr>
        <w:t xml:space="preserve"> de la población</w:t>
      </w:r>
      <w:r w:rsidR="002B5BD6" w:rsidRPr="00BD1319">
        <w:rPr>
          <w:rFonts w:cs="Arial"/>
          <w:spacing w:val="-3"/>
          <w:lang w:val="es-CO"/>
        </w:rPr>
        <w:t>.</w:t>
      </w:r>
    </w:p>
    <w:p w14:paraId="402CB30E" w14:textId="77777777" w:rsidR="002B5BD6" w:rsidRPr="00BD1319" w:rsidRDefault="002B5BD6" w:rsidP="00C86DA5">
      <w:pPr>
        <w:tabs>
          <w:tab w:val="left" w:pos="-2268"/>
        </w:tabs>
        <w:suppressAutoHyphens/>
        <w:rPr>
          <w:rFonts w:cs="Arial"/>
          <w:spacing w:val="-3"/>
        </w:rPr>
      </w:pPr>
    </w:p>
    <w:p w14:paraId="1F047D57" w14:textId="77777777" w:rsidR="00F97C5C" w:rsidRPr="00BD1319" w:rsidRDefault="00F97C5C" w:rsidP="00C86DA5">
      <w:pPr>
        <w:pStyle w:val="Prrafodelista"/>
        <w:numPr>
          <w:ilvl w:val="0"/>
          <w:numId w:val="359"/>
        </w:numPr>
        <w:tabs>
          <w:tab w:val="left" w:pos="-2268"/>
        </w:tabs>
        <w:suppressAutoHyphens/>
        <w:ind w:left="567" w:hanging="567"/>
        <w:rPr>
          <w:spacing w:val="-3"/>
          <w:lang w:val="es-CO"/>
        </w:rPr>
      </w:pPr>
      <w:r w:rsidRPr="00BD1319">
        <w:rPr>
          <w:rFonts w:cs="Arial"/>
          <w:spacing w:val="-3"/>
          <w:lang w:val="es-CO"/>
        </w:rPr>
        <w:t>Equipamientos</w:t>
      </w:r>
      <w:r w:rsidRPr="00BD1319">
        <w:rPr>
          <w:spacing w:val="-3"/>
          <w:lang w:val="es-CO"/>
        </w:rPr>
        <w:t xml:space="preserve"> comunitarios susceptibles de afectación.</w:t>
      </w:r>
    </w:p>
    <w:p w14:paraId="1BB374AF" w14:textId="77777777" w:rsidR="00402572" w:rsidRPr="00BD1319" w:rsidRDefault="00402572" w:rsidP="000D6E21">
      <w:pPr>
        <w:rPr>
          <w:spacing w:val="-3"/>
        </w:rPr>
      </w:pPr>
    </w:p>
    <w:p w14:paraId="778F25BC" w14:textId="77777777" w:rsidR="00402572" w:rsidRPr="00BD1319" w:rsidRDefault="00402572" w:rsidP="000D6E21">
      <w:pPr>
        <w:pStyle w:val="Prrafodelista"/>
        <w:numPr>
          <w:ilvl w:val="0"/>
          <w:numId w:val="359"/>
        </w:numPr>
        <w:tabs>
          <w:tab w:val="left" w:pos="-2268"/>
        </w:tabs>
        <w:suppressAutoHyphens/>
        <w:ind w:left="567" w:hanging="567"/>
        <w:rPr>
          <w:rFonts w:cs="Arial"/>
          <w:spacing w:val="-3"/>
          <w:lang w:val="es-CO"/>
        </w:rPr>
      </w:pPr>
      <w:r w:rsidRPr="00BD1319">
        <w:rPr>
          <w:rFonts w:cs="Arial"/>
          <w:spacing w:val="-3"/>
          <w:lang w:val="es-CO"/>
        </w:rPr>
        <w:t>Sitios sagrados, centros religiosos y lugares con importancia para la memoria histórica susceptibles de afectación, daño o desaparición.</w:t>
      </w:r>
    </w:p>
    <w:p w14:paraId="0A492BA1" w14:textId="77777777" w:rsidR="00F97C5C" w:rsidRPr="00BD1319" w:rsidRDefault="00F97C5C" w:rsidP="00F97C5C">
      <w:pPr>
        <w:numPr>
          <w:ilvl w:val="12"/>
          <w:numId w:val="0"/>
        </w:numPr>
        <w:tabs>
          <w:tab w:val="left" w:pos="-2268"/>
        </w:tabs>
        <w:suppressAutoHyphens/>
        <w:rPr>
          <w:rFonts w:cs="Arial"/>
          <w:spacing w:val="-3"/>
        </w:rPr>
      </w:pPr>
    </w:p>
    <w:p w14:paraId="341B7BBB" w14:textId="5D781E3B" w:rsidR="00F97C5C" w:rsidRPr="00BD1319" w:rsidRDefault="00F97C5C" w:rsidP="0068149C">
      <w:pPr>
        <w:pStyle w:val="Ttulo2"/>
        <w:rPr>
          <w:lang w:val="es-CO"/>
        </w:rPr>
      </w:pPr>
      <w:bookmarkStart w:id="2344" w:name="_Toc42552233"/>
      <w:bookmarkStart w:id="2345" w:name="_Toc175326716"/>
      <w:r w:rsidRPr="00BD1319">
        <w:rPr>
          <w:lang w:val="es-CO"/>
        </w:rPr>
        <w:t>PAISAJE</w:t>
      </w:r>
      <w:bookmarkEnd w:id="2344"/>
      <w:bookmarkEnd w:id="2345"/>
    </w:p>
    <w:p w14:paraId="1D669046" w14:textId="77777777" w:rsidR="00F97C5C" w:rsidRPr="00BD1319" w:rsidRDefault="00F97C5C">
      <w:pPr>
        <w:numPr>
          <w:ilvl w:val="12"/>
          <w:numId w:val="0"/>
        </w:numPr>
        <w:tabs>
          <w:tab w:val="left" w:pos="-2268"/>
        </w:tabs>
        <w:suppressAutoHyphens/>
        <w:rPr>
          <w:spacing w:val="-3"/>
        </w:rPr>
      </w:pPr>
    </w:p>
    <w:p w14:paraId="02B99105" w14:textId="42EE518D" w:rsidR="00F97C5C" w:rsidRPr="00BD1319" w:rsidRDefault="00F97C5C">
      <w:pPr>
        <w:numPr>
          <w:ilvl w:val="12"/>
          <w:numId w:val="0"/>
        </w:numPr>
        <w:tabs>
          <w:tab w:val="left" w:pos="-2268"/>
        </w:tabs>
        <w:suppressAutoHyphens/>
        <w:rPr>
          <w:spacing w:val="-3"/>
        </w:rPr>
      </w:pPr>
      <w:r w:rsidRPr="00BD1319">
        <w:rPr>
          <w:spacing w:val="-3"/>
        </w:rPr>
        <w:t xml:space="preserve">La caracterización del paisaje debe </w:t>
      </w:r>
      <w:r w:rsidR="00627A1D" w:rsidRPr="00BD1319">
        <w:rPr>
          <w:rStyle w:val="normaltextrun"/>
          <w:rFonts w:cs="Arial"/>
          <w:lang w:eastAsia="es-419"/>
        </w:rPr>
        <w:t>abordarse cuantitativa</w:t>
      </w:r>
      <w:r w:rsidR="00627A1D" w:rsidRPr="00BD1319">
        <w:rPr>
          <w:rStyle w:val="normaltextrun"/>
        </w:rPr>
        <w:t xml:space="preserve"> y </w:t>
      </w:r>
      <w:r w:rsidR="00627A1D" w:rsidRPr="00BD1319">
        <w:rPr>
          <w:rStyle w:val="normaltextrun"/>
          <w:rFonts w:cs="Arial"/>
          <w:lang w:eastAsia="es-419"/>
        </w:rPr>
        <w:t>cualitativamente</w:t>
      </w:r>
      <w:r w:rsidR="00F4168B" w:rsidRPr="00BD1319">
        <w:rPr>
          <w:rStyle w:val="normaltextrun"/>
          <w:rFonts w:cs="Arial"/>
          <w:lang w:eastAsia="es-419"/>
        </w:rPr>
        <w:t xml:space="preserve">, y </w:t>
      </w:r>
      <w:r w:rsidR="00627A1D" w:rsidRPr="00BD1319">
        <w:rPr>
          <w:rStyle w:val="normaltextrun"/>
          <w:lang w:eastAsia="es-419"/>
        </w:rPr>
        <w:t xml:space="preserve">considerar información </w:t>
      </w:r>
      <w:r w:rsidR="00627A1D" w:rsidRPr="00BD1319">
        <w:rPr>
          <w:rStyle w:val="normaltextrun"/>
        </w:rPr>
        <w:t xml:space="preserve">de los componentes asociados a los medios abiótico, biótico y socioeconómico, </w:t>
      </w:r>
      <w:r w:rsidR="00627A1D" w:rsidRPr="00BD1319">
        <w:rPr>
          <w:rStyle w:val="normaltextrun"/>
          <w:lang w:eastAsia="es-419"/>
        </w:rPr>
        <w:t xml:space="preserve">a fin de integrarla </w:t>
      </w:r>
      <w:r w:rsidR="003D1EE1" w:rsidRPr="00BD1319">
        <w:rPr>
          <w:rStyle w:val="normaltextrun"/>
          <w:lang w:eastAsia="es-419"/>
        </w:rPr>
        <w:t xml:space="preserve">coherentemente </w:t>
      </w:r>
      <w:r w:rsidR="00F4168B" w:rsidRPr="00BD1319">
        <w:rPr>
          <w:rStyle w:val="normaltextrun"/>
          <w:lang w:eastAsia="es-419"/>
        </w:rPr>
        <w:t xml:space="preserve">para </w:t>
      </w:r>
      <w:r w:rsidR="00627A1D" w:rsidRPr="00BD1319">
        <w:rPr>
          <w:rStyle w:val="normaltextrun"/>
          <w:lang w:eastAsia="es-419"/>
        </w:rPr>
        <w:t xml:space="preserve">reflejar la realidad </w:t>
      </w:r>
      <w:r w:rsidR="003D1EE1" w:rsidRPr="00BD1319">
        <w:rPr>
          <w:rStyle w:val="normaltextrun"/>
          <w:lang w:eastAsia="es-419"/>
        </w:rPr>
        <w:t xml:space="preserve">del paisaje </w:t>
      </w:r>
      <w:r w:rsidR="00627A1D" w:rsidRPr="00BD1319">
        <w:rPr>
          <w:rStyle w:val="normaltextrun"/>
          <w:lang w:eastAsia="es-419"/>
        </w:rPr>
        <w:t xml:space="preserve">del territorio. </w:t>
      </w:r>
      <w:r w:rsidR="003D1EE1" w:rsidRPr="00BD1319">
        <w:rPr>
          <w:rStyle w:val="normaltextrun"/>
          <w:lang w:eastAsia="es-419"/>
        </w:rPr>
        <w:t>D</w:t>
      </w:r>
      <w:r w:rsidR="00627A1D" w:rsidRPr="00BD1319">
        <w:rPr>
          <w:rStyle w:val="normaltextrun"/>
          <w:lang w:eastAsia="es-419"/>
        </w:rPr>
        <w:t>ebe incluir lo siguiente</w:t>
      </w:r>
      <w:r w:rsidRPr="00BD1319">
        <w:rPr>
          <w:spacing w:val="-3"/>
        </w:rPr>
        <w:t>:</w:t>
      </w:r>
    </w:p>
    <w:p w14:paraId="23FD1A26" w14:textId="6A37E835" w:rsidR="00F97C5C" w:rsidRPr="00BD1319" w:rsidRDefault="00F97C5C" w:rsidP="00F97C5C">
      <w:pPr>
        <w:numPr>
          <w:ilvl w:val="12"/>
          <w:numId w:val="0"/>
        </w:numPr>
        <w:tabs>
          <w:tab w:val="left" w:pos="-2268"/>
        </w:tabs>
        <w:suppressAutoHyphens/>
        <w:rPr>
          <w:rFonts w:cs="Arial"/>
          <w:spacing w:val="-3"/>
        </w:rPr>
      </w:pPr>
    </w:p>
    <w:p w14:paraId="3FE0F986" w14:textId="24B6593E" w:rsidR="00F97C5C" w:rsidRPr="00BD1319" w:rsidRDefault="00F97C5C" w:rsidP="00C86DA5">
      <w:pPr>
        <w:pStyle w:val="Prrafodelista"/>
        <w:numPr>
          <w:ilvl w:val="0"/>
          <w:numId w:val="359"/>
        </w:numPr>
        <w:tabs>
          <w:tab w:val="left" w:pos="-2268"/>
        </w:tabs>
        <w:suppressAutoHyphens/>
        <w:ind w:left="567" w:hanging="567"/>
        <w:rPr>
          <w:rFonts w:cs="Arial"/>
          <w:spacing w:val="-3"/>
          <w:lang w:val="es-CO"/>
        </w:rPr>
      </w:pPr>
      <w:r w:rsidRPr="00BD1319">
        <w:rPr>
          <w:rFonts w:cs="Arial"/>
          <w:spacing w:val="-3"/>
          <w:lang w:val="es-CO"/>
        </w:rPr>
        <w:t>Estructura del paisaje (</w:t>
      </w:r>
      <w:r w:rsidR="0009367A" w:rsidRPr="00BD1319">
        <w:rPr>
          <w:rFonts w:cs="Arial"/>
          <w:spacing w:val="-3"/>
          <w:lang w:val="es-CO"/>
        </w:rPr>
        <w:t xml:space="preserve">determinación </w:t>
      </w:r>
      <w:r w:rsidR="00627A1D" w:rsidRPr="00BD1319">
        <w:rPr>
          <w:rFonts w:cs="Arial"/>
          <w:spacing w:val="-3"/>
          <w:lang w:val="es-CO"/>
        </w:rPr>
        <w:t xml:space="preserve">y descripción de </w:t>
      </w:r>
      <w:r w:rsidRPr="00BD1319">
        <w:rPr>
          <w:rFonts w:cs="Arial"/>
          <w:spacing w:val="-3"/>
          <w:lang w:val="es-CO"/>
        </w:rPr>
        <w:t>unidades</w:t>
      </w:r>
      <w:r w:rsidR="002311F9" w:rsidRPr="00BD1319">
        <w:rPr>
          <w:rFonts w:cs="Arial"/>
          <w:spacing w:val="-3"/>
          <w:lang w:val="es-CO"/>
        </w:rPr>
        <w:t>,</w:t>
      </w:r>
      <w:r w:rsidRPr="00BD1319">
        <w:rPr>
          <w:rFonts w:cs="Arial"/>
          <w:spacing w:val="-3"/>
          <w:lang w:val="es-CO"/>
        </w:rPr>
        <w:t xml:space="preserve"> elementos del paisaje</w:t>
      </w:r>
      <w:r w:rsidR="002311F9" w:rsidRPr="00BD1319">
        <w:rPr>
          <w:rFonts w:cs="Arial"/>
          <w:spacing w:val="-3"/>
          <w:lang w:val="es-CO"/>
        </w:rPr>
        <w:t xml:space="preserve"> y sitios de interés paisajístico</w:t>
      </w:r>
      <w:r w:rsidRPr="00BD1319">
        <w:rPr>
          <w:rFonts w:cs="Arial"/>
          <w:spacing w:val="-3"/>
          <w:lang w:val="es-CO"/>
        </w:rPr>
        <w:t>).</w:t>
      </w:r>
    </w:p>
    <w:p w14:paraId="265BF28D" w14:textId="77777777" w:rsidR="00F4168B" w:rsidRPr="00BD1319" w:rsidRDefault="00F4168B" w:rsidP="009420F5">
      <w:pPr>
        <w:rPr>
          <w:rFonts w:cs="Arial"/>
          <w:spacing w:val="-3"/>
        </w:rPr>
      </w:pPr>
    </w:p>
    <w:p w14:paraId="3074E463" w14:textId="2688AB2E" w:rsidR="00F4168B" w:rsidRPr="00BD1319" w:rsidRDefault="00F4168B" w:rsidP="009420F5">
      <w:pPr>
        <w:ind w:left="567"/>
        <w:rPr>
          <w:spacing w:val="-3"/>
        </w:rPr>
      </w:pPr>
      <w:r w:rsidRPr="00BD1319">
        <w:rPr>
          <w:rStyle w:val="eop"/>
          <w:rFonts w:cs="Arial"/>
        </w:rPr>
        <w:t xml:space="preserve">Las unidades de paisaje deben definirse a partir de los elementos predominantes de la zona, los cuales pueden estar relacionados, por ejemplo, con el tipo de cobertura predominante, ya sea natural, seminatural o artificial, el relieve o cualquier otra característica fisiográfica. A partir del elemento </w:t>
      </w:r>
      <w:r w:rsidRPr="00BD1319">
        <w:rPr>
          <w:rStyle w:val="eop"/>
          <w:rFonts w:cs="Arial"/>
        </w:rPr>
        <w:lastRenderedPageBreak/>
        <w:t>predominante, se deben generar unidades homogéneas que puedan ser diferenciadas entre sí, caracterizadas y representadas cartográficamente.</w:t>
      </w:r>
    </w:p>
    <w:p w14:paraId="2534360C" w14:textId="77777777" w:rsidR="00F4168B" w:rsidRPr="00BD1319" w:rsidRDefault="00F4168B" w:rsidP="009420F5"/>
    <w:p w14:paraId="4102C58C" w14:textId="3A6D39A1" w:rsidR="002311F9" w:rsidRPr="00BD1319" w:rsidRDefault="002311F9" w:rsidP="000D6E21">
      <w:pPr>
        <w:pStyle w:val="Prrafodelista"/>
        <w:numPr>
          <w:ilvl w:val="0"/>
          <w:numId w:val="359"/>
        </w:numPr>
        <w:ind w:left="567" w:hanging="567"/>
        <w:rPr>
          <w:rFonts w:cs="Arial"/>
          <w:spacing w:val="-3"/>
          <w:lang w:val="es-CO"/>
        </w:rPr>
      </w:pPr>
      <w:r w:rsidRPr="00BD1319">
        <w:rPr>
          <w:rFonts w:cs="Arial"/>
          <w:spacing w:val="-3"/>
          <w:lang w:val="es-CO"/>
        </w:rPr>
        <w:t>Análisis de visibilidad que incluya la localización de los observadores (fijos y móviles) y sitios de interés paisajístico, y que identifique las escalas visuales o planos en los cuales es visible cada unidad de paisaje. Para desarrollarlo se deben emplear modelos que empleen variables que influyan en la accesibilidad visual, incluyendo como mínimo, la cobertura de la tierra y el relieve. Se deben presentar los insumos cartográficos de entrada del modelo.</w:t>
      </w:r>
    </w:p>
    <w:p w14:paraId="2C624CDC" w14:textId="77777777" w:rsidR="002311F9" w:rsidRPr="00BD1319" w:rsidRDefault="002311F9" w:rsidP="000D6E21">
      <w:pPr>
        <w:tabs>
          <w:tab w:val="left" w:pos="-2268"/>
        </w:tabs>
        <w:suppressAutoHyphens/>
        <w:rPr>
          <w:rFonts w:cs="Arial"/>
          <w:spacing w:val="-3"/>
        </w:rPr>
      </w:pPr>
    </w:p>
    <w:p w14:paraId="34D172BB" w14:textId="13F766A0" w:rsidR="00F97C5C" w:rsidRPr="00BD1319" w:rsidRDefault="002311F9" w:rsidP="00C86DA5">
      <w:pPr>
        <w:pStyle w:val="Prrafodelista"/>
        <w:numPr>
          <w:ilvl w:val="0"/>
          <w:numId w:val="359"/>
        </w:numPr>
        <w:tabs>
          <w:tab w:val="left" w:pos="-2268"/>
        </w:tabs>
        <w:suppressAutoHyphens/>
        <w:ind w:left="567" w:hanging="567"/>
        <w:rPr>
          <w:rFonts w:cs="Arial"/>
          <w:spacing w:val="-3"/>
          <w:lang w:val="es-CO"/>
        </w:rPr>
      </w:pPr>
      <w:r w:rsidRPr="00BD1319">
        <w:rPr>
          <w:rFonts w:cs="Arial"/>
          <w:spacing w:val="-3"/>
          <w:lang w:val="es-CO"/>
        </w:rPr>
        <w:t>Análisis de calidad visual para cada unidad de paisaje que pueda ser impactada por las alternativas planteadas que considere como mínimo relieve, cobertura de la tierra y grado de intervención</w:t>
      </w:r>
      <w:r w:rsidR="00F97C5C" w:rsidRPr="00BD1319">
        <w:rPr>
          <w:rFonts w:cs="Arial"/>
          <w:spacing w:val="-3"/>
          <w:lang w:val="es-CO"/>
        </w:rPr>
        <w:t>.</w:t>
      </w:r>
    </w:p>
    <w:p w14:paraId="6FD586F8" w14:textId="77777777" w:rsidR="002B5BD6" w:rsidRPr="00BD1319" w:rsidRDefault="002B5BD6" w:rsidP="00C86DA5">
      <w:pPr>
        <w:tabs>
          <w:tab w:val="left" w:pos="-2268"/>
        </w:tabs>
        <w:suppressAutoHyphens/>
        <w:rPr>
          <w:rFonts w:cs="Arial"/>
          <w:spacing w:val="-3"/>
        </w:rPr>
      </w:pPr>
    </w:p>
    <w:p w14:paraId="622B3CBC" w14:textId="72A7CD44" w:rsidR="00F97C5C" w:rsidRPr="00BD1319" w:rsidRDefault="003E3B23" w:rsidP="00C86DA5">
      <w:pPr>
        <w:pStyle w:val="Prrafodelista"/>
        <w:numPr>
          <w:ilvl w:val="0"/>
          <w:numId w:val="359"/>
        </w:numPr>
        <w:tabs>
          <w:tab w:val="left" w:pos="-2268"/>
        </w:tabs>
        <w:suppressAutoHyphens/>
        <w:ind w:left="567" w:hanging="567"/>
        <w:rPr>
          <w:rFonts w:cs="Arial"/>
          <w:spacing w:val="-3"/>
          <w:lang w:val="es-CO"/>
        </w:rPr>
      </w:pPr>
      <w:r w:rsidRPr="00BD1319">
        <w:rPr>
          <w:rFonts w:cs="Arial"/>
          <w:spacing w:val="-3"/>
          <w:lang w:val="es-CO"/>
        </w:rPr>
        <w:t>Análisis de fragilidad visual para cada unidad de paisaje que pueda ser impactada por las alternativas planteadas que considere como mínimo pendiente, estructura de la vegetación y contraste.</w:t>
      </w:r>
    </w:p>
    <w:p w14:paraId="76BFDC6B" w14:textId="77777777" w:rsidR="002B5BD6" w:rsidRPr="00BD1319" w:rsidRDefault="002B5BD6" w:rsidP="00C86DA5">
      <w:pPr>
        <w:tabs>
          <w:tab w:val="left" w:pos="-2268"/>
        </w:tabs>
        <w:suppressAutoHyphens/>
        <w:rPr>
          <w:rFonts w:cs="Arial"/>
          <w:spacing w:val="-3"/>
        </w:rPr>
      </w:pPr>
    </w:p>
    <w:p w14:paraId="6AFBD92F" w14:textId="3F22979D" w:rsidR="00F97C5C" w:rsidRPr="00BD1319" w:rsidRDefault="009B1BB3" w:rsidP="00F97C5C">
      <w:pPr>
        <w:numPr>
          <w:ilvl w:val="12"/>
          <w:numId w:val="0"/>
        </w:numPr>
        <w:tabs>
          <w:tab w:val="left" w:pos="-2268"/>
        </w:tabs>
        <w:suppressAutoHyphens/>
        <w:rPr>
          <w:rFonts w:cs="Arial"/>
          <w:spacing w:val="-3"/>
        </w:rPr>
      </w:pPr>
      <w:r w:rsidRPr="00BD1319">
        <w:rPr>
          <w:spacing w:val="-3"/>
        </w:rPr>
        <w:t>Para la caracterización de este componente</w:t>
      </w:r>
      <w:r w:rsidR="00F97C5C" w:rsidRPr="00BD1319">
        <w:rPr>
          <w:rFonts w:cs="Arial"/>
          <w:spacing w:val="-3"/>
        </w:rPr>
        <w:t xml:space="preserve"> </w:t>
      </w:r>
      <w:r w:rsidR="00143271" w:rsidRPr="00BD1319">
        <w:rPr>
          <w:rFonts w:cs="Arial"/>
          <w:spacing w:val="-3"/>
        </w:rPr>
        <w:t xml:space="preserve">se </w:t>
      </w:r>
      <w:r w:rsidR="00F97C5C" w:rsidRPr="00BD1319">
        <w:rPr>
          <w:rFonts w:cs="Arial"/>
          <w:spacing w:val="-3"/>
        </w:rPr>
        <w:t xml:space="preserve">debe </w:t>
      </w:r>
      <w:r w:rsidRPr="00BD1319">
        <w:rPr>
          <w:rFonts w:cs="Arial"/>
          <w:spacing w:val="-3"/>
        </w:rPr>
        <w:t xml:space="preserve">emplear </w:t>
      </w:r>
      <w:r w:rsidR="00627A1D" w:rsidRPr="00BD1319">
        <w:rPr>
          <w:rFonts w:cs="Arial"/>
          <w:spacing w:val="-3"/>
        </w:rPr>
        <w:t xml:space="preserve">principalmente </w:t>
      </w:r>
      <w:r w:rsidR="00F97C5C" w:rsidRPr="00BD1319">
        <w:rPr>
          <w:rFonts w:cs="Arial"/>
          <w:spacing w:val="-3"/>
        </w:rPr>
        <w:t xml:space="preserve">información </w:t>
      </w:r>
      <w:r w:rsidR="00627A1D" w:rsidRPr="00BD1319">
        <w:rPr>
          <w:rFonts w:cs="Arial"/>
          <w:spacing w:val="-3"/>
        </w:rPr>
        <w:t xml:space="preserve">secundaria </w:t>
      </w:r>
      <w:r w:rsidRPr="00BD1319">
        <w:rPr>
          <w:rFonts w:cs="Arial"/>
          <w:spacing w:val="-3"/>
        </w:rPr>
        <w:t xml:space="preserve">proveniente de estudios, investigaciones, </w:t>
      </w:r>
      <w:r w:rsidR="00FD2252" w:rsidRPr="00BD1319">
        <w:rPr>
          <w:rFonts w:cs="Arial"/>
          <w:spacing w:val="-3"/>
        </w:rPr>
        <w:t>instrumentos de ordenamiento territorial</w:t>
      </w:r>
      <w:r w:rsidRPr="00BD1319">
        <w:rPr>
          <w:rFonts w:cs="Arial"/>
          <w:spacing w:val="-3"/>
        </w:rPr>
        <w:t xml:space="preserve">, planes de desarrollo municipal o departamental, </w:t>
      </w:r>
      <w:r w:rsidR="00F97C5C" w:rsidRPr="00BD1319">
        <w:rPr>
          <w:rFonts w:cs="Arial"/>
          <w:spacing w:val="-3"/>
        </w:rPr>
        <w:t>sensores remotos</w:t>
      </w:r>
      <w:r w:rsidR="005B0D17" w:rsidRPr="00BD1319">
        <w:rPr>
          <w:rFonts w:cs="Arial"/>
          <w:spacing w:val="-3"/>
        </w:rPr>
        <w:t xml:space="preserve"> </w:t>
      </w:r>
      <w:r w:rsidR="003E3B23" w:rsidRPr="00BD1319">
        <w:rPr>
          <w:rFonts w:cs="Arial"/>
          <w:spacing w:val="-3"/>
        </w:rPr>
        <w:t xml:space="preserve">e inventarios de recursos </w:t>
      </w:r>
      <w:r w:rsidR="00516E58" w:rsidRPr="00BD1319">
        <w:rPr>
          <w:rFonts w:cs="Arial"/>
          <w:spacing w:val="-3"/>
        </w:rPr>
        <w:t>turístico</w:t>
      </w:r>
      <w:r w:rsidR="003E3B23" w:rsidRPr="00BD1319">
        <w:rPr>
          <w:rFonts w:cs="Arial"/>
          <w:spacing w:val="-3"/>
        </w:rPr>
        <w:t>s</w:t>
      </w:r>
      <w:r w:rsidR="00516E58" w:rsidRPr="00BD1319">
        <w:rPr>
          <w:rFonts w:cs="Arial"/>
          <w:spacing w:val="-3"/>
        </w:rPr>
        <w:t xml:space="preserve">, </w:t>
      </w:r>
      <w:r w:rsidR="005B0D17" w:rsidRPr="00BD1319">
        <w:rPr>
          <w:rFonts w:cs="Arial"/>
          <w:spacing w:val="-3"/>
        </w:rPr>
        <w:t>entre otr</w:t>
      </w:r>
      <w:r w:rsidRPr="00BD1319">
        <w:rPr>
          <w:rFonts w:cs="Arial"/>
          <w:spacing w:val="-3"/>
        </w:rPr>
        <w:t>a</w:t>
      </w:r>
      <w:r w:rsidR="005B0D17" w:rsidRPr="00BD1319">
        <w:rPr>
          <w:rFonts w:cs="Arial"/>
          <w:spacing w:val="-3"/>
        </w:rPr>
        <w:t>s</w:t>
      </w:r>
      <w:r w:rsidRPr="00BD1319">
        <w:rPr>
          <w:rFonts w:cs="Arial"/>
          <w:spacing w:val="-3"/>
        </w:rPr>
        <w:t xml:space="preserve"> fuentes</w:t>
      </w:r>
      <w:r w:rsidR="00F97C5C" w:rsidRPr="00BD1319">
        <w:rPr>
          <w:rFonts w:cs="Arial"/>
          <w:spacing w:val="-3"/>
        </w:rPr>
        <w:t>.</w:t>
      </w:r>
    </w:p>
    <w:p w14:paraId="4711B14B" w14:textId="77777777" w:rsidR="00DF6D4D" w:rsidRPr="00BD1319" w:rsidRDefault="00DF6D4D">
      <w:pPr>
        <w:numPr>
          <w:ilvl w:val="12"/>
          <w:numId w:val="0"/>
        </w:numPr>
        <w:tabs>
          <w:tab w:val="left" w:pos="-2268"/>
        </w:tabs>
        <w:suppressAutoHyphens/>
        <w:rPr>
          <w:spacing w:val="-3"/>
        </w:rPr>
      </w:pPr>
    </w:p>
    <w:p w14:paraId="5C1A0425" w14:textId="77777777" w:rsidR="00C743AB" w:rsidRPr="00BD1319" w:rsidRDefault="00C743AB">
      <w:pPr>
        <w:numPr>
          <w:ilvl w:val="12"/>
          <w:numId w:val="0"/>
        </w:numPr>
        <w:tabs>
          <w:tab w:val="left" w:pos="-2268"/>
        </w:tabs>
        <w:suppressAutoHyphens/>
        <w:rPr>
          <w:spacing w:val="-3"/>
        </w:rPr>
      </w:pPr>
    </w:p>
    <w:p w14:paraId="1E1B0B80" w14:textId="17547640" w:rsidR="002905E1" w:rsidRPr="00BD1319" w:rsidRDefault="002905E1" w:rsidP="00CB4557">
      <w:pPr>
        <w:pStyle w:val="Ttulo1"/>
        <w:numPr>
          <w:ilvl w:val="0"/>
          <w:numId w:val="8"/>
        </w:numPr>
        <w:rPr>
          <w:lang w:val="es-CO"/>
        </w:rPr>
      </w:pPr>
      <w:bookmarkStart w:id="2346" w:name="_Toc175326717"/>
      <w:r w:rsidRPr="00BD1319">
        <w:rPr>
          <w:lang w:val="es-CO"/>
        </w:rPr>
        <w:t>ANÁLISIS DE RIESGOS</w:t>
      </w:r>
      <w:bookmarkEnd w:id="2346"/>
    </w:p>
    <w:p w14:paraId="0E94FF2D" w14:textId="698194E8" w:rsidR="002905E1" w:rsidRPr="00BD1319" w:rsidRDefault="002905E1">
      <w:pPr>
        <w:numPr>
          <w:ilvl w:val="12"/>
          <w:numId w:val="0"/>
        </w:numPr>
        <w:tabs>
          <w:tab w:val="left" w:pos="-2268"/>
        </w:tabs>
        <w:suppressAutoHyphens/>
        <w:rPr>
          <w:spacing w:val="-3"/>
        </w:rPr>
      </w:pPr>
    </w:p>
    <w:p w14:paraId="0ED977F2" w14:textId="5364B479" w:rsidR="00A31D6C" w:rsidRPr="00BD1319" w:rsidRDefault="00A31D6C" w:rsidP="00C86DA5">
      <w:pPr>
        <w:rPr>
          <w:rFonts w:eastAsia="Arial"/>
        </w:rPr>
      </w:pPr>
      <w:r w:rsidRPr="00BD1319">
        <w:rPr>
          <w:rFonts w:eastAsia="Arial"/>
          <w:color w:val="000000" w:themeColor="text1"/>
        </w:rPr>
        <w:t xml:space="preserve">Partiendo de la caracterización ambiental del área de estudio </w:t>
      </w:r>
      <w:r w:rsidR="008E585C" w:rsidRPr="00BD1319">
        <w:rPr>
          <w:rFonts w:eastAsia="Arial"/>
          <w:color w:val="000000" w:themeColor="text1"/>
        </w:rPr>
        <w:t xml:space="preserve">de </w:t>
      </w:r>
      <w:r w:rsidRPr="00BD1319">
        <w:rPr>
          <w:rFonts w:eastAsia="Arial"/>
          <w:color w:val="000000" w:themeColor="text1"/>
        </w:rPr>
        <w:t xml:space="preserve">cada alternativa </w:t>
      </w:r>
      <w:r w:rsidR="008E585C" w:rsidRPr="00BD1319">
        <w:rPr>
          <w:rFonts w:eastAsia="Arial"/>
          <w:color w:val="000000" w:themeColor="text1"/>
        </w:rPr>
        <w:t>contemplada</w:t>
      </w:r>
      <w:r w:rsidR="00921DCF" w:rsidRPr="00BD1319">
        <w:rPr>
          <w:rFonts w:eastAsia="Arial" w:cs="Arial"/>
          <w:color w:val="000000" w:themeColor="text1"/>
        </w:rPr>
        <w:t xml:space="preserve">, </w:t>
      </w:r>
      <w:r w:rsidR="005C2A93" w:rsidRPr="00BD1319">
        <w:rPr>
          <w:rFonts w:eastAsia="Arial" w:cs="Arial"/>
          <w:color w:val="000000" w:themeColor="text1"/>
        </w:rPr>
        <w:t>así como de las actividades señaladas en la descripción del proyecto,</w:t>
      </w:r>
      <w:r w:rsidR="007010FB" w:rsidRPr="00BD1319">
        <w:rPr>
          <w:rFonts w:eastAsia="Arial"/>
          <w:color w:val="000000" w:themeColor="text1"/>
        </w:rPr>
        <w:t xml:space="preserve"> </w:t>
      </w:r>
      <w:r w:rsidR="007010FB" w:rsidRPr="00BD1319">
        <w:rPr>
          <w:rFonts w:eastAsia="Arial" w:cs="Arial"/>
          <w:color w:val="000000" w:themeColor="text1"/>
        </w:rPr>
        <w:t xml:space="preserve">obra o actividad </w:t>
      </w:r>
      <w:r w:rsidRPr="00BD1319">
        <w:rPr>
          <w:rFonts w:eastAsia="Arial" w:cs="Arial"/>
          <w:color w:val="000000" w:themeColor="text1"/>
        </w:rPr>
        <w:t xml:space="preserve">se debe </w:t>
      </w:r>
      <w:r w:rsidRPr="00BD1319">
        <w:rPr>
          <w:rFonts w:eastAsia="Arial" w:cs="Arial"/>
        </w:rPr>
        <w:t xml:space="preserve">adelantar el proceso </w:t>
      </w:r>
      <w:r w:rsidR="00FD2252" w:rsidRPr="00BD1319">
        <w:rPr>
          <w:rFonts w:eastAsia="Arial" w:cs="Arial"/>
        </w:rPr>
        <w:t xml:space="preserve">de </w:t>
      </w:r>
      <w:r w:rsidRPr="00BD1319">
        <w:rPr>
          <w:rFonts w:eastAsia="Arial" w:cs="Arial"/>
        </w:rPr>
        <w:t xml:space="preserve">conocimiento del riesgo </w:t>
      </w:r>
      <w:r w:rsidR="008E585C" w:rsidRPr="00BD1319">
        <w:rPr>
          <w:rFonts w:eastAsia="Arial" w:cs="Arial"/>
        </w:rPr>
        <w:t>ejecutando las siguientes acciones</w:t>
      </w:r>
      <w:r w:rsidRPr="00BD1319">
        <w:rPr>
          <w:rFonts w:eastAsia="Arial" w:cs="Arial"/>
        </w:rPr>
        <w:t>:</w:t>
      </w:r>
    </w:p>
    <w:p w14:paraId="47DB26DA" w14:textId="77777777" w:rsidR="00A31D6C" w:rsidRPr="00BD1319" w:rsidRDefault="00A31D6C" w:rsidP="00C86DA5">
      <w:pPr>
        <w:rPr>
          <w:rFonts w:eastAsia="Arial"/>
        </w:rPr>
      </w:pPr>
    </w:p>
    <w:p w14:paraId="3D6E4BEB" w14:textId="183230E1" w:rsidR="00A31D6C" w:rsidRPr="00BD1319" w:rsidRDefault="00A31D6C" w:rsidP="00713F06">
      <w:pPr>
        <w:pStyle w:val="Prrafodelista"/>
        <w:numPr>
          <w:ilvl w:val="0"/>
          <w:numId w:val="5"/>
        </w:numPr>
        <w:ind w:left="567" w:hanging="567"/>
        <w:contextualSpacing/>
        <w:rPr>
          <w:rFonts w:eastAsia="Arial" w:cs="Arial"/>
          <w:lang w:val="es-CO"/>
        </w:rPr>
      </w:pPr>
      <w:bookmarkStart w:id="2347" w:name="_Hlk41422675"/>
      <w:r w:rsidRPr="00BD1319">
        <w:rPr>
          <w:rFonts w:eastAsia="Arial" w:cs="Arial"/>
          <w:lang w:val="es-CO"/>
        </w:rPr>
        <w:t>Identificación</w:t>
      </w:r>
      <w:r w:rsidR="005C2A93" w:rsidRPr="00BD1319">
        <w:rPr>
          <w:rFonts w:eastAsia="Arial" w:cs="Arial"/>
          <w:lang w:val="es-CO"/>
        </w:rPr>
        <w:t>,</w:t>
      </w:r>
      <w:r w:rsidRPr="00BD1319">
        <w:rPr>
          <w:rFonts w:eastAsia="Arial" w:cs="Arial"/>
          <w:lang w:val="es-CO"/>
        </w:rPr>
        <w:t xml:space="preserve"> </w:t>
      </w:r>
      <w:r w:rsidR="008E585C" w:rsidRPr="00BD1319">
        <w:rPr>
          <w:rFonts w:eastAsia="Arial" w:cs="Arial"/>
          <w:lang w:val="es-CO"/>
        </w:rPr>
        <w:t xml:space="preserve">descripción </w:t>
      </w:r>
      <w:r w:rsidR="005C2A93" w:rsidRPr="00BD1319">
        <w:rPr>
          <w:rFonts w:eastAsia="Arial" w:cs="Arial"/>
          <w:lang w:val="es-CO"/>
        </w:rPr>
        <w:t xml:space="preserve">y análisis </w:t>
      </w:r>
      <w:r w:rsidRPr="00BD1319">
        <w:rPr>
          <w:rFonts w:eastAsia="Arial" w:cs="Arial"/>
          <w:lang w:val="es-CO"/>
        </w:rPr>
        <w:t xml:space="preserve">de </w:t>
      </w:r>
      <w:r w:rsidR="005C2A93" w:rsidRPr="00BD1319">
        <w:rPr>
          <w:rFonts w:eastAsia="Arial" w:cs="Arial"/>
          <w:lang w:val="es-CO"/>
        </w:rPr>
        <w:t xml:space="preserve">las amenazas de origen </w:t>
      </w:r>
      <w:r w:rsidRPr="00BD1319">
        <w:rPr>
          <w:rFonts w:eastAsia="Arial" w:cs="Arial"/>
          <w:lang w:val="es-CO"/>
        </w:rPr>
        <w:t xml:space="preserve">exógeno que se pueden presentar </w:t>
      </w:r>
      <w:r w:rsidR="005C2A93" w:rsidRPr="00BD1319">
        <w:rPr>
          <w:rFonts w:eastAsia="Arial" w:cs="Arial"/>
          <w:lang w:val="es-CO"/>
        </w:rPr>
        <w:t xml:space="preserve">para </w:t>
      </w:r>
      <w:r w:rsidRPr="00BD1319">
        <w:rPr>
          <w:rFonts w:eastAsia="Arial" w:cs="Arial"/>
          <w:lang w:val="es-CO"/>
        </w:rPr>
        <w:t xml:space="preserve">cada alternativa </w:t>
      </w:r>
      <w:bookmarkEnd w:id="2347"/>
      <w:r w:rsidR="005C2A93" w:rsidRPr="00BD1319">
        <w:rPr>
          <w:rFonts w:eastAsia="Arial" w:cs="Arial"/>
          <w:lang w:val="es-CO"/>
        </w:rPr>
        <w:t>contemplada</w:t>
      </w:r>
      <w:r w:rsidRPr="00BD1319">
        <w:rPr>
          <w:rFonts w:eastAsia="Arial" w:cs="Arial"/>
          <w:lang w:val="es-CO"/>
        </w:rPr>
        <w:t xml:space="preserve">, considerando </w:t>
      </w:r>
      <w:r w:rsidR="005C2A93" w:rsidRPr="00BD1319">
        <w:rPr>
          <w:rFonts w:eastAsia="Arial" w:cs="Arial"/>
          <w:lang w:val="es-CO"/>
        </w:rPr>
        <w:t xml:space="preserve">aquellas </w:t>
      </w:r>
      <w:r w:rsidR="008C2580" w:rsidRPr="00BD1319">
        <w:rPr>
          <w:rFonts w:eastAsia="Arial" w:cs="Arial"/>
          <w:lang w:val="es-CO"/>
        </w:rPr>
        <w:t xml:space="preserve">que son </w:t>
      </w:r>
      <w:r w:rsidRPr="00BD1319">
        <w:rPr>
          <w:rFonts w:eastAsia="Arial" w:cs="Arial"/>
          <w:lang w:val="es-CO"/>
        </w:rPr>
        <w:t>propi</w:t>
      </w:r>
      <w:r w:rsidR="005C2A93" w:rsidRPr="00BD1319">
        <w:rPr>
          <w:rFonts w:eastAsia="Arial" w:cs="Arial"/>
          <w:lang w:val="es-CO"/>
        </w:rPr>
        <w:t>a</w:t>
      </w:r>
      <w:r w:rsidRPr="00BD1319">
        <w:rPr>
          <w:rFonts w:eastAsia="Arial" w:cs="Arial"/>
          <w:lang w:val="es-CO"/>
        </w:rPr>
        <w:t xml:space="preserve">s del territorio dónde se </w:t>
      </w:r>
      <w:r w:rsidR="005C2A93" w:rsidRPr="00BD1319">
        <w:rPr>
          <w:rFonts w:eastAsia="Arial" w:cs="Arial"/>
          <w:lang w:val="es-CO"/>
        </w:rPr>
        <w:t>propone el desarrollo d</w:t>
      </w:r>
      <w:r w:rsidRPr="00BD1319">
        <w:rPr>
          <w:rFonts w:eastAsia="Arial" w:cs="Arial"/>
          <w:lang w:val="es-CO"/>
        </w:rPr>
        <w:t>el proyecto</w:t>
      </w:r>
      <w:r w:rsidR="00921DCF" w:rsidRPr="00BD1319">
        <w:rPr>
          <w:rFonts w:eastAsia="Arial" w:cs="Arial"/>
          <w:lang w:val="es-CO"/>
        </w:rPr>
        <w:t>, obra o actividad</w:t>
      </w:r>
      <w:r w:rsidR="005C2A93" w:rsidRPr="00BD1319">
        <w:rPr>
          <w:rFonts w:eastAsia="Arial" w:cs="Arial"/>
          <w:lang w:val="es-CO"/>
        </w:rPr>
        <w:t xml:space="preserve"> y empleando como soporte los instrumentos de ordenamiento y planificación ambiental del territorio</w:t>
      </w:r>
      <w:r w:rsidRPr="00BD1319">
        <w:rPr>
          <w:rFonts w:eastAsia="Arial" w:cs="Arial"/>
          <w:lang w:val="es-CO"/>
        </w:rPr>
        <w:t>.</w:t>
      </w:r>
    </w:p>
    <w:p w14:paraId="4B633E3A" w14:textId="77777777" w:rsidR="00A31D6C" w:rsidRPr="00BD1319" w:rsidRDefault="00A31D6C" w:rsidP="00C86DA5">
      <w:pPr>
        <w:ind w:left="567" w:hanging="567"/>
        <w:contextualSpacing/>
        <w:rPr>
          <w:rFonts w:eastAsia="Arial" w:cs="Arial"/>
        </w:rPr>
      </w:pPr>
    </w:p>
    <w:p w14:paraId="39571854" w14:textId="319B9895" w:rsidR="00A31D6C" w:rsidRPr="00BD1319" w:rsidRDefault="00A31D6C" w:rsidP="00713F06">
      <w:pPr>
        <w:pStyle w:val="Prrafodelista"/>
        <w:numPr>
          <w:ilvl w:val="0"/>
          <w:numId w:val="5"/>
        </w:numPr>
        <w:ind w:left="567" w:hanging="567"/>
        <w:contextualSpacing/>
        <w:rPr>
          <w:rFonts w:eastAsia="Arial" w:cs="Arial"/>
          <w:lang w:val="es-CO"/>
        </w:rPr>
      </w:pPr>
      <w:r w:rsidRPr="00BD1319">
        <w:rPr>
          <w:rFonts w:eastAsia="Arial" w:cs="Arial"/>
          <w:lang w:val="es-CO"/>
        </w:rPr>
        <w:lastRenderedPageBreak/>
        <w:t xml:space="preserve">Identificación y </w:t>
      </w:r>
      <w:r w:rsidR="008E585C" w:rsidRPr="00BD1319">
        <w:rPr>
          <w:rFonts w:eastAsia="Arial" w:cs="Arial"/>
          <w:lang w:val="es-CO"/>
        </w:rPr>
        <w:t xml:space="preserve">descripción </w:t>
      </w:r>
      <w:r w:rsidRPr="00BD1319">
        <w:rPr>
          <w:rFonts w:eastAsia="Arial" w:cs="Arial"/>
          <w:lang w:val="es-CO"/>
        </w:rPr>
        <w:t xml:space="preserve">de </w:t>
      </w:r>
      <w:r w:rsidR="005C2A93" w:rsidRPr="00BD1319">
        <w:rPr>
          <w:rFonts w:eastAsia="Arial" w:cs="Arial"/>
          <w:lang w:val="es-CO"/>
        </w:rPr>
        <w:t xml:space="preserve">las amenazas de origen </w:t>
      </w:r>
      <w:r w:rsidRPr="00BD1319">
        <w:rPr>
          <w:rFonts w:eastAsia="Arial" w:cs="Arial"/>
          <w:lang w:val="es-CO"/>
        </w:rPr>
        <w:t xml:space="preserve">endógeno </w:t>
      </w:r>
      <w:r w:rsidR="00E26BB2" w:rsidRPr="00BD1319">
        <w:rPr>
          <w:rFonts w:eastAsia="Arial" w:cs="Arial"/>
          <w:lang w:val="es-CO"/>
        </w:rPr>
        <w:t xml:space="preserve">asociadas a la naturaleza </w:t>
      </w:r>
      <w:r w:rsidR="005E7BBE" w:rsidRPr="00BD1319">
        <w:rPr>
          <w:rFonts w:eastAsia="Arial" w:cs="Arial"/>
          <w:lang w:val="es-CO"/>
        </w:rPr>
        <w:t xml:space="preserve">del proyecto, obra o actividad </w:t>
      </w:r>
      <w:r w:rsidRPr="00BD1319">
        <w:rPr>
          <w:rFonts w:eastAsia="Arial" w:cs="Arial"/>
          <w:lang w:val="es-CO"/>
        </w:rPr>
        <w:t>que pued</w:t>
      </w:r>
      <w:r w:rsidR="005E7BBE" w:rsidRPr="00BD1319">
        <w:rPr>
          <w:rFonts w:eastAsia="Arial" w:cs="Arial"/>
          <w:lang w:val="es-CO"/>
        </w:rPr>
        <w:t>a</w:t>
      </w:r>
      <w:r w:rsidRPr="00BD1319">
        <w:rPr>
          <w:rFonts w:eastAsia="Arial" w:cs="Arial"/>
          <w:lang w:val="es-CO"/>
        </w:rPr>
        <w:t>n presentar</w:t>
      </w:r>
      <w:r w:rsidR="005C2A93" w:rsidRPr="00BD1319">
        <w:rPr>
          <w:rFonts w:eastAsia="Arial" w:cs="Arial"/>
          <w:lang w:val="es-CO"/>
        </w:rPr>
        <w:t>se</w:t>
      </w:r>
      <w:r w:rsidRPr="00BD1319">
        <w:rPr>
          <w:rFonts w:eastAsia="Arial" w:cs="Arial"/>
          <w:lang w:val="es-CO"/>
        </w:rPr>
        <w:t xml:space="preserve"> en cada una de </w:t>
      </w:r>
      <w:r w:rsidR="005E7BBE" w:rsidRPr="00BD1319">
        <w:rPr>
          <w:rFonts w:eastAsia="Arial" w:cs="Arial"/>
          <w:lang w:val="es-CO"/>
        </w:rPr>
        <w:t xml:space="preserve">sus </w:t>
      </w:r>
      <w:r w:rsidRPr="00BD1319">
        <w:rPr>
          <w:rFonts w:eastAsia="Arial" w:cs="Arial"/>
          <w:lang w:val="es-CO"/>
        </w:rPr>
        <w:t>etapas</w:t>
      </w:r>
      <w:r w:rsidR="005E7BBE" w:rsidRPr="00BD1319">
        <w:rPr>
          <w:rFonts w:eastAsia="Arial" w:cs="Arial"/>
          <w:lang w:val="es-CO"/>
        </w:rPr>
        <w:t xml:space="preserve"> de ejecución y </w:t>
      </w:r>
      <w:r w:rsidR="005C2A93" w:rsidRPr="00BD1319">
        <w:rPr>
          <w:rFonts w:eastAsia="Arial" w:cs="Arial"/>
          <w:lang w:val="es-CO"/>
        </w:rPr>
        <w:t>que pueda</w:t>
      </w:r>
      <w:r w:rsidR="005E7BBE" w:rsidRPr="00BD1319">
        <w:rPr>
          <w:rFonts w:eastAsia="Arial" w:cs="Arial"/>
          <w:lang w:val="es-CO"/>
        </w:rPr>
        <w:t>n</w:t>
      </w:r>
      <w:r w:rsidR="005C2A93" w:rsidRPr="00BD1319">
        <w:rPr>
          <w:rFonts w:eastAsia="Arial" w:cs="Arial"/>
          <w:lang w:val="es-CO"/>
        </w:rPr>
        <w:t xml:space="preserve"> llegar a afectar los elementos del ambiente y los ecosistemas y sus servicios</w:t>
      </w:r>
      <w:r w:rsidRPr="00BD1319">
        <w:rPr>
          <w:rFonts w:eastAsia="Arial" w:cs="Arial"/>
          <w:lang w:val="es-CO"/>
        </w:rPr>
        <w:t xml:space="preserve">. </w:t>
      </w:r>
    </w:p>
    <w:p w14:paraId="5D4D1F83" w14:textId="77777777" w:rsidR="00A31D6C" w:rsidRPr="00BD1319" w:rsidRDefault="00A31D6C" w:rsidP="00C86DA5">
      <w:pPr>
        <w:ind w:left="567" w:hanging="567"/>
        <w:rPr>
          <w:rFonts w:eastAsia="Arial"/>
        </w:rPr>
      </w:pPr>
    </w:p>
    <w:p w14:paraId="1ECF63B4" w14:textId="009623DC" w:rsidR="005E7BBE" w:rsidRPr="00BD1319" w:rsidRDefault="005E7BBE" w:rsidP="008A4FE9">
      <w:pPr>
        <w:pStyle w:val="Prrafodelista"/>
        <w:numPr>
          <w:ilvl w:val="0"/>
          <w:numId w:val="5"/>
        </w:numPr>
        <w:ind w:left="567" w:hanging="567"/>
        <w:contextualSpacing/>
        <w:rPr>
          <w:rFonts w:eastAsia="Arial" w:cs="Arial"/>
        </w:rPr>
      </w:pPr>
      <w:r w:rsidRPr="00BD1319">
        <w:rPr>
          <w:rFonts w:eastAsia="Arial" w:cs="Arial"/>
          <w:lang w:val="es-CO"/>
        </w:rPr>
        <w:t>Análisis de probabilidad para las amenazas identificadas</w:t>
      </w:r>
      <w:r w:rsidR="007010FB" w:rsidRPr="00BD1319">
        <w:rPr>
          <w:rFonts w:eastAsia="Arial" w:cs="Arial"/>
          <w:lang w:val="es-CO"/>
        </w:rPr>
        <w:t>,</w:t>
      </w:r>
      <w:r w:rsidRPr="00BD1319">
        <w:rPr>
          <w:rFonts w:eastAsia="Arial" w:cs="Arial"/>
          <w:lang w:val="es-CO"/>
        </w:rPr>
        <w:t xml:space="preserve"> basad</w:t>
      </w:r>
      <w:r w:rsidR="007010FB" w:rsidRPr="00BD1319">
        <w:rPr>
          <w:rFonts w:eastAsia="Arial" w:cs="Arial"/>
          <w:lang w:val="es-CO"/>
        </w:rPr>
        <w:t>o</w:t>
      </w:r>
      <w:r w:rsidRPr="00BD1319">
        <w:rPr>
          <w:rFonts w:eastAsia="Arial" w:cs="Arial"/>
          <w:lang w:val="es-CO"/>
        </w:rPr>
        <w:t xml:space="preserve"> en fuentes de información verificables.</w:t>
      </w:r>
    </w:p>
    <w:p w14:paraId="4D9F8F4F" w14:textId="77777777" w:rsidR="005E7BBE" w:rsidRPr="00BD1319" w:rsidRDefault="005E7BBE" w:rsidP="00C86DA5">
      <w:pPr>
        <w:ind w:left="567" w:hanging="567"/>
        <w:rPr>
          <w:rFonts w:eastAsia="Arial"/>
        </w:rPr>
      </w:pPr>
    </w:p>
    <w:p w14:paraId="26E5A5B4" w14:textId="22C3E97E" w:rsidR="004E15CB" w:rsidRPr="00BD1319" w:rsidRDefault="00A31D6C" w:rsidP="004E15CB">
      <w:pPr>
        <w:pStyle w:val="Prrafodelista"/>
        <w:numPr>
          <w:ilvl w:val="0"/>
          <w:numId w:val="46"/>
        </w:numPr>
        <w:ind w:left="567" w:hanging="567"/>
        <w:rPr>
          <w:rFonts w:eastAsia="Arial" w:cs="Arial"/>
          <w:lang w:val="es-CO"/>
        </w:rPr>
      </w:pPr>
      <w:r w:rsidRPr="00BD1319">
        <w:rPr>
          <w:rFonts w:eastAsia="Arial"/>
          <w:lang w:val="es-CO"/>
        </w:rPr>
        <w:t>Identifica</w:t>
      </w:r>
      <w:r w:rsidR="004E6DDC" w:rsidRPr="00BD1319">
        <w:rPr>
          <w:rFonts w:eastAsia="Arial"/>
          <w:lang w:val="es-CO"/>
        </w:rPr>
        <w:t xml:space="preserve">ción </w:t>
      </w:r>
      <w:r w:rsidR="004E15CB" w:rsidRPr="00BD1319">
        <w:rPr>
          <w:rFonts w:eastAsia="Arial"/>
          <w:lang w:val="es-CO"/>
        </w:rPr>
        <w:t xml:space="preserve">y localización, </w:t>
      </w:r>
      <w:r w:rsidR="004E15CB" w:rsidRPr="00BD1319">
        <w:rPr>
          <w:rFonts w:eastAsia="Arial" w:cs="Arial"/>
          <w:lang w:val="es-CO"/>
        </w:rPr>
        <w:t>para cada alternativa,</w:t>
      </w:r>
      <w:r w:rsidR="004E15CB" w:rsidRPr="00BD1319">
        <w:rPr>
          <w:rFonts w:eastAsia="Arial"/>
          <w:lang w:val="es-CO"/>
        </w:rPr>
        <w:t xml:space="preserve"> </w:t>
      </w:r>
      <w:r w:rsidR="004E6DDC" w:rsidRPr="00BD1319">
        <w:rPr>
          <w:rFonts w:eastAsia="Arial"/>
          <w:lang w:val="es-CO"/>
        </w:rPr>
        <w:t xml:space="preserve">de </w:t>
      </w:r>
      <w:r w:rsidRPr="00BD1319">
        <w:rPr>
          <w:rFonts w:eastAsia="Arial" w:cs="Arial"/>
          <w:lang w:val="es-CO"/>
        </w:rPr>
        <w:t>elementos expuestos</w:t>
      </w:r>
      <w:r w:rsidR="00FD2252" w:rsidRPr="00BD1319">
        <w:rPr>
          <w:rFonts w:eastAsia="Arial" w:cs="Arial"/>
          <w:lang w:val="es-CO"/>
        </w:rPr>
        <w:t xml:space="preserve"> </w:t>
      </w:r>
      <w:r w:rsidR="004E15CB" w:rsidRPr="00BD1319">
        <w:rPr>
          <w:rFonts w:eastAsia="Arial" w:cs="Arial"/>
          <w:lang w:val="es-CO"/>
        </w:rPr>
        <w:t xml:space="preserve">a </w:t>
      </w:r>
      <w:r w:rsidR="008C2580" w:rsidRPr="00BD1319">
        <w:rPr>
          <w:rFonts w:eastAsia="Arial" w:cs="Arial"/>
          <w:lang w:val="es-CO"/>
        </w:rPr>
        <w:t xml:space="preserve">las </w:t>
      </w:r>
      <w:r w:rsidR="004E15CB" w:rsidRPr="00BD1319">
        <w:rPr>
          <w:rFonts w:eastAsia="Arial" w:cs="Arial"/>
          <w:lang w:val="es-CO"/>
        </w:rPr>
        <w:t xml:space="preserve">probables afectaciones de las amenazas analizadas, entre ellos, asentamientos humanos dispersos y nucleados, infraestructura social, </w:t>
      </w:r>
      <w:r w:rsidR="008A495E" w:rsidRPr="00BD1319">
        <w:rPr>
          <w:rFonts w:eastAsia="Arial" w:cs="Arial"/>
          <w:lang w:val="es-CO"/>
        </w:rPr>
        <w:t>condiciones sociales relevantes</w:t>
      </w:r>
      <w:r w:rsidR="004E15CB" w:rsidRPr="00BD1319">
        <w:rPr>
          <w:rFonts w:eastAsia="Arial" w:cs="Arial"/>
          <w:lang w:val="es-CO"/>
        </w:rPr>
        <w:t xml:space="preserve"> áreas destinadas a la producción económica (agropecuaria, forestal, pesquera, acuícola, minera, entre otras), acuíferos, </w:t>
      </w:r>
      <w:r w:rsidR="0086126A" w:rsidRPr="00BD1319">
        <w:rPr>
          <w:rFonts w:eastAsia="Arial" w:cs="Arial"/>
          <w:lang w:val="es-CO"/>
        </w:rPr>
        <w:t>áreas ambientales estratégicas</w:t>
      </w:r>
      <w:r w:rsidR="004E15CB" w:rsidRPr="00BD1319">
        <w:rPr>
          <w:rFonts w:eastAsia="Arial" w:cs="Arial"/>
          <w:lang w:val="es-CO"/>
        </w:rPr>
        <w:t>, áreas degradadas, sitios de captación de agua, bocatomas, sistemas de riego, áreas con reglamentación especial definida en los instrumentos de ordenamiento y planificación del territorio.</w:t>
      </w:r>
    </w:p>
    <w:p w14:paraId="585E281B" w14:textId="4CA09C2A" w:rsidR="00713F06" w:rsidRPr="00BD1319" w:rsidRDefault="00713F06" w:rsidP="008A4FE9">
      <w:pPr>
        <w:contextualSpacing/>
        <w:rPr>
          <w:rFonts w:eastAsia="Arial"/>
        </w:rPr>
      </w:pPr>
    </w:p>
    <w:p w14:paraId="0A4E7853" w14:textId="68930BB8" w:rsidR="00A31D6C" w:rsidRPr="00BD1319" w:rsidRDefault="004E6DDC" w:rsidP="00713F06">
      <w:pPr>
        <w:pStyle w:val="Prrafodelista"/>
        <w:numPr>
          <w:ilvl w:val="0"/>
          <w:numId w:val="46"/>
        </w:numPr>
        <w:ind w:left="567" w:hanging="567"/>
        <w:contextualSpacing/>
        <w:rPr>
          <w:rFonts w:eastAsia="Arial" w:cs="Arial"/>
          <w:lang w:val="es-CO"/>
        </w:rPr>
      </w:pPr>
      <w:r w:rsidRPr="00BD1319">
        <w:rPr>
          <w:rFonts w:eastAsia="Arial" w:cs="Arial"/>
          <w:lang w:val="es-CO"/>
        </w:rPr>
        <w:t>A</w:t>
      </w:r>
      <w:r w:rsidR="00A31D6C" w:rsidRPr="00BD1319">
        <w:rPr>
          <w:rFonts w:eastAsia="Arial"/>
          <w:lang w:val="es-CO"/>
        </w:rPr>
        <w:t xml:space="preserve">nálisis </w:t>
      </w:r>
      <w:r w:rsidR="00A31D6C" w:rsidRPr="00BD1319">
        <w:rPr>
          <w:rFonts w:eastAsia="Arial" w:cs="Arial"/>
          <w:lang w:val="es-CO"/>
        </w:rPr>
        <w:t xml:space="preserve">de vulnerabilidad </w:t>
      </w:r>
      <w:r w:rsidR="00BD51AF" w:rsidRPr="00BD1319">
        <w:rPr>
          <w:rFonts w:eastAsia="Arial"/>
          <w:lang w:val="es-CO"/>
        </w:rPr>
        <w:t xml:space="preserve">semicuantitativo o cuantitativo </w:t>
      </w:r>
      <w:r w:rsidR="00A31D6C" w:rsidRPr="00BD1319">
        <w:rPr>
          <w:rFonts w:eastAsia="Arial"/>
          <w:lang w:val="es-CO"/>
        </w:rPr>
        <w:t xml:space="preserve">con </w:t>
      </w:r>
      <w:r w:rsidR="00A31D6C" w:rsidRPr="00BD1319">
        <w:rPr>
          <w:rFonts w:eastAsia="Arial" w:cs="Arial"/>
          <w:lang w:val="es-CO"/>
        </w:rPr>
        <w:t xml:space="preserve">base en </w:t>
      </w:r>
      <w:r w:rsidR="00A31D6C" w:rsidRPr="00BD1319">
        <w:rPr>
          <w:rFonts w:eastAsia="Arial"/>
          <w:lang w:val="es-CO"/>
        </w:rPr>
        <w:t xml:space="preserve">los </w:t>
      </w:r>
      <w:r w:rsidR="00A31D6C" w:rsidRPr="00BD1319">
        <w:rPr>
          <w:rFonts w:eastAsia="Arial" w:cs="Arial"/>
          <w:lang w:val="es-CO"/>
        </w:rPr>
        <w:t>elementos expuestos identificados</w:t>
      </w:r>
      <w:r w:rsidR="00BD51AF" w:rsidRPr="00BD1319">
        <w:rPr>
          <w:rFonts w:eastAsia="Arial" w:cs="Arial"/>
          <w:lang w:val="es-CO"/>
        </w:rPr>
        <w:t xml:space="preserve"> y la sensibilidad ambiental del área de estudio</w:t>
      </w:r>
      <w:r w:rsidR="00A31D6C" w:rsidRPr="00BD1319">
        <w:rPr>
          <w:rFonts w:eastAsia="Arial" w:cs="Arial"/>
          <w:lang w:val="es-CO"/>
        </w:rPr>
        <w:t>.</w:t>
      </w:r>
    </w:p>
    <w:p w14:paraId="28C32130" w14:textId="77777777" w:rsidR="00A31D6C" w:rsidRPr="00BD1319" w:rsidRDefault="00A31D6C" w:rsidP="00C86DA5">
      <w:pPr>
        <w:contextualSpacing/>
        <w:rPr>
          <w:rFonts w:eastAsia="Arial"/>
        </w:rPr>
      </w:pPr>
    </w:p>
    <w:p w14:paraId="482AE58A" w14:textId="2AA1ECFC" w:rsidR="007010FB" w:rsidRPr="00BD1319" w:rsidRDefault="0084251B" w:rsidP="008A4FE9">
      <w:pPr>
        <w:pStyle w:val="Prrafodelista"/>
        <w:numPr>
          <w:ilvl w:val="0"/>
          <w:numId w:val="46"/>
        </w:numPr>
        <w:ind w:left="567" w:hanging="567"/>
        <w:contextualSpacing/>
      </w:pPr>
      <w:r w:rsidRPr="00BD1319">
        <w:rPr>
          <w:rFonts w:eastAsia="Arial" w:cs="Arial"/>
          <w:lang w:val="es-CO"/>
        </w:rPr>
        <w:t>A</w:t>
      </w:r>
      <w:r w:rsidR="00A31D6C" w:rsidRPr="00BD1319">
        <w:rPr>
          <w:rFonts w:eastAsia="Arial" w:cs="Arial"/>
          <w:lang w:val="es-CO"/>
        </w:rPr>
        <w:t xml:space="preserve">nálisis de riesgo </w:t>
      </w:r>
      <w:r w:rsidR="00ED0253" w:rsidRPr="00BD1319">
        <w:rPr>
          <w:rFonts w:eastAsia="Arial" w:cs="Arial"/>
          <w:lang w:val="es-CO"/>
        </w:rPr>
        <w:t xml:space="preserve">semicuantitativo o cuantitativo </w:t>
      </w:r>
      <w:r w:rsidR="009E57BE" w:rsidRPr="00BD1319">
        <w:rPr>
          <w:rFonts w:eastAsia="Arial" w:cs="Arial"/>
          <w:lang w:val="es-CO"/>
        </w:rPr>
        <w:t>para cada alternativa</w:t>
      </w:r>
      <w:r w:rsidR="00A31D6C" w:rsidRPr="00BD1319">
        <w:rPr>
          <w:rFonts w:eastAsia="Arial" w:cs="Arial"/>
          <w:lang w:val="es-CO"/>
        </w:rPr>
        <w:t xml:space="preserve">, </w:t>
      </w:r>
      <w:r w:rsidR="007010FB" w:rsidRPr="00BD1319">
        <w:rPr>
          <w:rFonts w:eastAsia="Arial" w:cs="Arial"/>
          <w:lang w:val="es-CO"/>
        </w:rPr>
        <w:t xml:space="preserve">a partir de </w:t>
      </w:r>
      <w:r w:rsidR="009E57BE" w:rsidRPr="00BD1319">
        <w:rPr>
          <w:rFonts w:eastAsia="Arial" w:cs="Arial"/>
          <w:lang w:val="es-CO"/>
        </w:rPr>
        <w:t xml:space="preserve">la interacción entre </w:t>
      </w:r>
      <w:r w:rsidR="00A31D6C" w:rsidRPr="00BD1319">
        <w:rPr>
          <w:rFonts w:eastAsia="Arial" w:cs="Arial"/>
          <w:lang w:val="es-CO"/>
        </w:rPr>
        <w:t>las amenazas y la vulnerabilidad</w:t>
      </w:r>
      <w:r w:rsidR="00B65918" w:rsidRPr="00BD1319">
        <w:rPr>
          <w:rFonts w:eastAsia="Arial" w:cs="Arial"/>
          <w:lang w:val="es-CO"/>
        </w:rPr>
        <w:t xml:space="preserve"> de los elementos expuestos. </w:t>
      </w:r>
      <w:r w:rsidR="007010FB" w:rsidRPr="00BD1319">
        <w:rPr>
          <w:rFonts w:eastAsia="Arial" w:cs="Arial"/>
          <w:lang w:val="es-CO"/>
        </w:rPr>
        <w:t>Se debe r</w:t>
      </w:r>
      <w:r w:rsidR="00B65918" w:rsidRPr="00BD1319">
        <w:rPr>
          <w:rFonts w:eastAsia="Arial" w:cs="Arial"/>
          <w:lang w:val="es-CO"/>
        </w:rPr>
        <w:t xml:space="preserve">ealizar una </w:t>
      </w:r>
      <w:r w:rsidR="00A31D6C" w:rsidRPr="00BD1319">
        <w:rPr>
          <w:rFonts w:eastAsia="Arial" w:cs="Arial"/>
          <w:lang w:val="es-CO"/>
        </w:rPr>
        <w:t>descri</w:t>
      </w:r>
      <w:r w:rsidR="00B65918" w:rsidRPr="00BD1319">
        <w:rPr>
          <w:rFonts w:eastAsia="Arial" w:cs="Arial"/>
          <w:lang w:val="es-CO"/>
        </w:rPr>
        <w:t xml:space="preserve">pción </w:t>
      </w:r>
      <w:r w:rsidR="00A31D6C" w:rsidRPr="00BD1319">
        <w:rPr>
          <w:rFonts w:eastAsia="Arial" w:cs="Arial"/>
          <w:lang w:val="es-CO"/>
        </w:rPr>
        <w:t>detallada</w:t>
      </w:r>
      <w:r w:rsidR="00B65918" w:rsidRPr="00BD1319">
        <w:rPr>
          <w:rFonts w:eastAsia="Arial" w:cs="Arial"/>
          <w:lang w:val="es-CO"/>
        </w:rPr>
        <w:t xml:space="preserve"> de </w:t>
      </w:r>
      <w:r w:rsidR="00A31D6C" w:rsidRPr="00BD1319">
        <w:rPr>
          <w:rFonts w:eastAsia="Arial"/>
          <w:lang w:val="es-CO"/>
        </w:rPr>
        <w:t xml:space="preserve">la </w:t>
      </w:r>
      <w:r w:rsidR="00A31D6C" w:rsidRPr="00BD1319">
        <w:rPr>
          <w:rFonts w:eastAsia="Arial" w:cs="Arial"/>
          <w:lang w:val="es-CO"/>
        </w:rPr>
        <w:t>metodología utilizada.</w:t>
      </w:r>
    </w:p>
    <w:p w14:paraId="203E2901" w14:textId="77777777" w:rsidR="00A31D6C" w:rsidRPr="00BD1319" w:rsidRDefault="00A31D6C" w:rsidP="00C86DA5"/>
    <w:p w14:paraId="3C2E66DA" w14:textId="3653869D" w:rsidR="00A31D6C" w:rsidRPr="00BD1319" w:rsidRDefault="007010FB" w:rsidP="009420F5">
      <w:pPr>
        <w:contextualSpacing/>
        <w:rPr>
          <w:rFonts w:eastAsia="Arial" w:cs="Arial"/>
        </w:rPr>
      </w:pPr>
      <w:r w:rsidRPr="00BD1319">
        <w:rPr>
          <w:rFonts w:eastAsia="Arial" w:cs="Arial"/>
        </w:rPr>
        <w:t>L</w:t>
      </w:r>
      <w:r w:rsidR="00C161D8" w:rsidRPr="00BD1319">
        <w:rPr>
          <w:rFonts w:eastAsia="Arial" w:cs="Arial"/>
        </w:rPr>
        <w:t>os r</w:t>
      </w:r>
      <w:r w:rsidR="00A31D6C" w:rsidRPr="00BD1319">
        <w:rPr>
          <w:rFonts w:eastAsia="Arial" w:cs="Arial"/>
        </w:rPr>
        <w:t xml:space="preserve">esultados </w:t>
      </w:r>
      <w:r w:rsidR="008C2580" w:rsidRPr="00BD1319">
        <w:rPr>
          <w:rFonts w:eastAsia="Arial" w:cs="Arial"/>
        </w:rPr>
        <w:t xml:space="preserve">de </w:t>
      </w:r>
      <w:r w:rsidR="00D85DE3" w:rsidRPr="00BD1319">
        <w:rPr>
          <w:rFonts w:eastAsia="Arial" w:cs="Arial"/>
        </w:rPr>
        <w:t xml:space="preserve">los análisis de amenazas, vulnerabilidad (con los elementos expuestos) y riesgos </w:t>
      </w:r>
      <w:r w:rsidRPr="00BD1319">
        <w:rPr>
          <w:rFonts w:eastAsia="Arial" w:cs="Arial"/>
        </w:rPr>
        <w:t xml:space="preserve">que se obtengan </w:t>
      </w:r>
      <w:r w:rsidR="008C2580" w:rsidRPr="00BD1319">
        <w:rPr>
          <w:rFonts w:eastAsia="Arial" w:cs="Arial"/>
        </w:rPr>
        <w:t xml:space="preserve">para cada alternativa </w:t>
      </w:r>
      <w:r w:rsidR="00C161D8" w:rsidRPr="00BD1319">
        <w:rPr>
          <w:rFonts w:eastAsia="Arial" w:cs="Arial"/>
        </w:rPr>
        <w:t xml:space="preserve">deben </w:t>
      </w:r>
      <w:r w:rsidRPr="00BD1319">
        <w:rPr>
          <w:rFonts w:eastAsia="Arial" w:cs="Arial"/>
        </w:rPr>
        <w:t xml:space="preserve">ser </w:t>
      </w:r>
      <w:r w:rsidR="008C2580" w:rsidRPr="00BD1319">
        <w:rPr>
          <w:rFonts w:eastAsia="Arial" w:cs="Arial"/>
        </w:rPr>
        <w:t>incorpora</w:t>
      </w:r>
      <w:r w:rsidRPr="00BD1319">
        <w:rPr>
          <w:rFonts w:eastAsia="Arial" w:cs="Arial"/>
        </w:rPr>
        <w:t>dos</w:t>
      </w:r>
      <w:r w:rsidR="008C2580" w:rsidRPr="00BD1319">
        <w:rPr>
          <w:rFonts w:eastAsia="Arial" w:cs="Arial"/>
        </w:rPr>
        <w:t xml:space="preserve"> al Modelo de Almacenamiento</w:t>
      </w:r>
      <w:r w:rsidRPr="00BD1319">
        <w:rPr>
          <w:rFonts w:eastAsia="Arial" w:cs="Arial"/>
        </w:rPr>
        <w:t xml:space="preserve"> Geográfico</w:t>
      </w:r>
      <w:r w:rsidR="007D1592" w:rsidRPr="00BD1319">
        <w:rPr>
          <w:rFonts w:eastAsia="Arial" w:cs="Arial"/>
        </w:rPr>
        <w:t xml:space="preserve"> (MAG)</w:t>
      </w:r>
      <w:r w:rsidR="00A31D6C" w:rsidRPr="00BD1319">
        <w:rPr>
          <w:rFonts w:eastAsia="Arial" w:cs="Arial"/>
        </w:rPr>
        <w:t>.</w:t>
      </w:r>
    </w:p>
    <w:p w14:paraId="15D040B3" w14:textId="77777777" w:rsidR="00392BF4" w:rsidRPr="00BD1319" w:rsidRDefault="00392BF4">
      <w:pPr>
        <w:numPr>
          <w:ilvl w:val="12"/>
          <w:numId w:val="0"/>
        </w:numPr>
        <w:tabs>
          <w:tab w:val="left" w:pos="-2268"/>
        </w:tabs>
        <w:suppressAutoHyphens/>
        <w:rPr>
          <w:spacing w:val="-3"/>
        </w:rPr>
      </w:pPr>
    </w:p>
    <w:p w14:paraId="0CCB6357" w14:textId="77777777" w:rsidR="00DF6D4D" w:rsidRPr="00BD1319" w:rsidRDefault="00DF6D4D">
      <w:pPr>
        <w:numPr>
          <w:ilvl w:val="12"/>
          <w:numId w:val="0"/>
        </w:numPr>
        <w:tabs>
          <w:tab w:val="left" w:pos="-2268"/>
        </w:tabs>
        <w:suppressAutoHyphens/>
        <w:rPr>
          <w:spacing w:val="-3"/>
        </w:rPr>
      </w:pPr>
    </w:p>
    <w:p w14:paraId="485E5F20" w14:textId="18238153" w:rsidR="005464E1" w:rsidRPr="00BD1319" w:rsidRDefault="005464E1" w:rsidP="00CB4557">
      <w:pPr>
        <w:pStyle w:val="Ttulo1"/>
        <w:numPr>
          <w:ilvl w:val="0"/>
          <w:numId w:val="8"/>
        </w:numPr>
        <w:rPr>
          <w:lang w:val="es-CO"/>
        </w:rPr>
      </w:pPr>
      <w:bookmarkStart w:id="2348" w:name="_Toc437936006"/>
      <w:bookmarkStart w:id="2349" w:name="_Toc175326718"/>
      <w:r w:rsidRPr="00BD1319">
        <w:rPr>
          <w:lang w:val="es-CO"/>
        </w:rPr>
        <w:t>ZONIFICACIÓN AMBIENTAL</w:t>
      </w:r>
      <w:r w:rsidRPr="00BD1319">
        <w:rPr>
          <w:vertAlign w:val="superscript"/>
          <w:lang w:val="es-CO"/>
        </w:rPr>
        <w:footnoteReference w:id="53"/>
      </w:r>
      <w:bookmarkEnd w:id="2348"/>
      <w:bookmarkEnd w:id="2349"/>
    </w:p>
    <w:p w14:paraId="6774197A" w14:textId="34B157CA" w:rsidR="005464E1" w:rsidRPr="00BD1319" w:rsidRDefault="005464E1">
      <w:pPr>
        <w:numPr>
          <w:ilvl w:val="12"/>
          <w:numId w:val="0"/>
        </w:numPr>
        <w:tabs>
          <w:tab w:val="left" w:pos="-2268"/>
        </w:tabs>
        <w:suppressAutoHyphens/>
        <w:rPr>
          <w:spacing w:val="-3"/>
        </w:rPr>
      </w:pPr>
    </w:p>
    <w:p w14:paraId="2021567A" w14:textId="079367DA" w:rsidR="007242D6" w:rsidRPr="00BD1319" w:rsidRDefault="007242D6" w:rsidP="007242D6">
      <w:pPr>
        <w:numPr>
          <w:ilvl w:val="12"/>
          <w:numId w:val="0"/>
        </w:numPr>
        <w:tabs>
          <w:tab w:val="left" w:pos="-2268"/>
        </w:tabs>
        <w:suppressAutoHyphens/>
        <w:rPr>
          <w:b/>
          <w:spacing w:val="-3"/>
        </w:rPr>
      </w:pPr>
      <w:r w:rsidRPr="00BD1319">
        <w:rPr>
          <w:spacing w:val="-3"/>
        </w:rPr>
        <w:t>A partir de la información recabada en la caracterización del área de estudio</w:t>
      </w:r>
      <w:r w:rsidRPr="00BD1319">
        <w:rPr>
          <w:rFonts w:cs="Arial"/>
          <w:spacing w:val="-3"/>
        </w:rPr>
        <w:t xml:space="preserve">, </w:t>
      </w:r>
      <w:r w:rsidRPr="00BD1319">
        <w:rPr>
          <w:spacing w:val="-3"/>
        </w:rPr>
        <w:t xml:space="preserve">se deben </w:t>
      </w:r>
      <w:proofErr w:type="spellStart"/>
      <w:r w:rsidRPr="00BD1319">
        <w:rPr>
          <w:spacing w:val="-3"/>
        </w:rPr>
        <w:t>espacializar</w:t>
      </w:r>
      <w:proofErr w:type="spellEnd"/>
      <w:r w:rsidRPr="00BD1319">
        <w:rPr>
          <w:spacing w:val="-3"/>
        </w:rPr>
        <w:t xml:space="preserve"> </w:t>
      </w:r>
      <w:r w:rsidRPr="00BD1319">
        <w:rPr>
          <w:rFonts w:cs="Arial"/>
          <w:spacing w:val="-3"/>
        </w:rPr>
        <w:t>áreas</w:t>
      </w:r>
      <w:r w:rsidRPr="00BD1319">
        <w:rPr>
          <w:spacing w:val="-3"/>
        </w:rPr>
        <w:t xml:space="preserve"> homogéneas de acuerdo con la susceptibilidad a la alteración de </w:t>
      </w:r>
      <w:r w:rsidRPr="00BD1319">
        <w:rPr>
          <w:spacing w:val="-3"/>
        </w:rPr>
        <w:lastRenderedPageBreak/>
        <w:t xml:space="preserve">los factores ambientales </w:t>
      </w:r>
      <w:r w:rsidRPr="00BD1319">
        <w:rPr>
          <w:rFonts w:cs="Arial"/>
          <w:spacing w:val="-3"/>
        </w:rPr>
        <w:t xml:space="preserve">de los componentes de </w:t>
      </w:r>
      <w:r w:rsidR="00E41568" w:rsidRPr="00BD1319">
        <w:rPr>
          <w:rFonts w:cs="Arial"/>
          <w:spacing w:val="-3"/>
        </w:rPr>
        <w:t xml:space="preserve">los </w:t>
      </w:r>
      <w:r w:rsidRPr="00BD1319">
        <w:rPr>
          <w:rFonts w:cs="Arial"/>
          <w:spacing w:val="-3"/>
        </w:rPr>
        <w:t>medios abiótico, biótico y socioeconómico</w:t>
      </w:r>
      <w:r w:rsidRPr="00BD1319">
        <w:rPr>
          <w:spacing w:val="-3"/>
        </w:rPr>
        <w:t>.</w:t>
      </w:r>
    </w:p>
    <w:p w14:paraId="39FF4F87" w14:textId="77777777" w:rsidR="007242D6" w:rsidRPr="00BD1319" w:rsidRDefault="007242D6" w:rsidP="007242D6">
      <w:pPr>
        <w:numPr>
          <w:ilvl w:val="12"/>
          <w:numId w:val="0"/>
        </w:numPr>
        <w:tabs>
          <w:tab w:val="left" w:pos="-2268"/>
        </w:tabs>
        <w:suppressAutoHyphens/>
        <w:rPr>
          <w:spacing w:val="-3"/>
        </w:rPr>
      </w:pPr>
    </w:p>
    <w:p w14:paraId="129AB348" w14:textId="5A795E31" w:rsidR="007242D6" w:rsidRPr="00BD1319" w:rsidRDefault="00425DBF" w:rsidP="007242D6">
      <w:pPr>
        <w:numPr>
          <w:ilvl w:val="12"/>
          <w:numId w:val="0"/>
        </w:numPr>
        <w:tabs>
          <w:tab w:val="left" w:pos="-2268"/>
        </w:tabs>
        <w:suppressAutoHyphens/>
        <w:rPr>
          <w:spacing w:val="-3"/>
        </w:rPr>
      </w:pPr>
      <w:r w:rsidRPr="00BD1319">
        <w:rPr>
          <w:spacing w:val="-3"/>
        </w:rPr>
        <w:t>L</w:t>
      </w:r>
      <w:r w:rsidR="007242D6" w:rsidRPr="00BD1319">
        <w:rPr>
          <w:spacing w:val="-3"/>
        </w:rPr>
        <w:t xml:space="preserve">a zonificación </w:t>
      </w:r>
      <w:r w:rsidR="007242D6" w:rsidRPr="00BD1319">
        <w:rPr>
          <w:rFonts w:cs="Arial"/>
          <w:spacing w:val="-3"/>
        </w:rPr>
        <w:t xml:space="preserve">ambiental </w:t>
      </w:r>
      <w:r w:rsidRPr="00BD1319">
        <w:rPr>
          <w:spacing w:val="-3"/>
        </w:rPr>
        <w:t xml:space="preserve">debe </w:t>
      </w:r>
      <w:r w:rsidR="007242D6" w:rsidRPr="00BD1319">
        <w:rPr>
          <w:spacing w:val="-3"/>
        </w:rPr>
        <w:t>defin</w:t>
      </w:r>
      <w:r w:rsidRPr="00BD1319">
        <w:rPr>
          <w:spacing w:val="-3"/>
        </w:rPr>
        <w:t xml:space="preserve">ir </w:t>
      </w:r>
      <w:r w:rsidR="00E2275D" w:rsidRPr="00BD1319">
        <w:rPr>
          <w:spacing w:val="-3"/>
        </w:rPr>
        <w:t xml:space="preserve">en un mapa </w:t>
      </w:r>
      <w:r w:rsidR="007242D6" w:rsidRPr="00BD1319">
        <w:rPr>
          <w:spacing w:val="-3"/>
        </w:rPr>
        <w:t xml:space="preserve">áreas con </w:t>
      </w:r>
      <w:r w:rsidR="00E2275D" w:rsidRPr="00BD1319">
        <w:rPr>
          <w:spacing w:val="-3"/>
        </w:rPr>
        <w:t xml:space="preserve">las </w:t>
      </w:r>
      <w:r w:rsidR="007242D6" w:rsidRPr="00BD1319">
        <w:rPr>
          <w:rFonts w:cs="Arial"/>
          <w:spacing w:val="-3"/>
        </w:rPr>
        <w:t>categorías</w:t>
      </w:r>
      <w:r w:rsidR="007242D6" w:rsidRPr="00BD1319">
        <w:rPr>
          <w:spacing w:val="-3"/>
        </w:rPr>
        <w:t xml:space="preserve"> de sensibilidad ambiental </w:t>
      </w:r>
      <w:r w:rsidR="00E2275D" w:rsidRPr="00BD1319">
        <w:rPr>
          <w:spacing w:val="-3"/>
        </w:rPr>
        <w:t>“</w:t>
      </w:r>
      <w:r w:rsidR="007242D6" w:rsidRPr="00BD1319">
        <w:rPr>
          <w:rFonts w:cs="Arial"/>
          <w:spacing w:val="-3"/>
        </w:rPr>
        <w:t>muy baja</w:t>
      </w:r>
      <w:r w:rsidR="00E2275D" w:rsidRPr="00BD1319">
        <w:rPr>
          <w:rFonts w:cs="Arial"/>
          <w:spacing w:val="-3"/>
        </w:rPr>
        <w:t>”</w:t>
      </w:r>
      <w:r w:rsidR="007242D6" w:rsidRPr="00BD1319">
        <w:rPr>
          <w:rFonts w:cs="Arial"/>
          <w:spacing w:val="-3"/>
        </w:rPr>
        <w:t xml:space="preserve">, </w:t>
      </w:r>
      <w:r w:rsidR="00E2275D" w:rsidRPr="00BD1319">
        <w:rPr>
          <w:rFonts w:cs="Arial"/>
          <w:spacing w:val="-3"/>
        </w:rPr>
        <w:t>“</w:t>
      </w:r>
      <w:r w:rsidR="007242D6" w:rsidRPr="00BD1319">
        <w:rPr>
          <w:rFonts w:cs="Arial"/>
          <w:spacing w:val="-3"/>
        </w:rPr>
        <w:t>baja</w:t>
      </w:r>
      <w:r w:rsidR="00E2275D" w:rsidRPr="00BD1319">
        <w:rPr>
          <w:rFonts w:cs="Arial"/>
          <w:spacing w:val="-3"/>
        </w:rPr>
        <w:t>”</w:t>
      </w:r>
      <w:r w:rsidR="007242D6" w:rsidRPr="00BD1319">
        <w:rPr>
          <w:rFonts w:cs="Arial"/>
          <w:spacing w:val="-3"/>
        </w:rPr>
        <w:t xml:space="preserve">, </w:t>
      </w:r>
      <w:r w:rsidR="00E2275D" w:rsidRPr="00BD1319">
        <w:rPr>
          <w:rFonts w:cs="Arial"/>
          <w:spacing w:val="-3"/>
        </w:rPr>
        <w:t>“</w:t>
      </w:r>
      <w:r w:rsidR="007242D6" w:rsidRPr="00BD1319">
        <w:rPr>
          <w:rFonts w:cs="Arial"/>
          <w:spacing w:val="-3"/>
        </w:rPr>
        <w:t>media</w:t>
      </w:r>
      <w:r w:rsidR="00E2275D" w:rsidRPr="00BD1319">
        <w:rPr>
          <w:rFonts w:cs="Arial"/>
          <w:spacing w:val="-3"/>
        </w:rPr>
        <w:t>”</w:t>
      </w:r>
      <w:r w:rsidR="007242D6" w:rsidRPr="00BD1319">
        <w:rPr>
          <w:rFonts w:cs="Arial"/>
          <w:spacing w:val="-3"/>
        </w:rPr>
        <w:t xml:space="preserve">, </w:t>
      </w:r>
      <w:r w:rsidR="008B4E79" w:rsidRPr="00BD1319">
        <w:rPr>
          <w:rFonts w:cs="Arial"/>
          <w:spacing w:val="-3"/>
        </w:rPr>
        <w:t>“</w:t>
      </w:r>
      <w:r w:rsidR="007242D6" w:rsidRPr="00BD1319">
        <w:rPr>
          <w:rFonts w:cs="Arial"/>
          <w:spacing w:val="-3"/>
        </w:rPr>
        <w:t>alta</w:t>
      </w:r>
      <w:r w:rsidR="00E2275D" w:rsidRPr="00BD1319">
        <w:rPr>
          <w:rFonts w:cs="Arial"/>
          <w:spacing w:val="-3"/>
        </w:rPr>
        <w:t>”</w:t>
      </w:r>
      <w:r w:rsidR="007242D6" w:rsidRPr="00BD1319">
        <w:rPr>
          <w:rFonts w:cs="Arial"/>
          <w:spacing w:val="-3"/>
        </w:rPr>
        <w:t xml:space="preserve"> y </w:t>
      </w:r>
      <w:r w:rsidR="00403F24" w:rsidRPr="00BD1319">
        <w:rPr>
          <w:rFonts w:cs="Arial"/>
          <w:spacing w:val="-3"/>
        </w:rPr>
        <w:t>“</w:t>
      </w:r>
      <w:r w:rsidR="007242D6" w:rsidRPr="00BD1319">
        <w:rPr>
          <w:rFonts w:cs="Arial"/>
          <w:spacing w:val="-3"/>
        </w:rPr>
        <w:t>muy alta</w:t>
      </w:r>
      <w:r w:rsidR="00E2275D" w:rsidRPr="00BD1319">
        <w:rPr>
          <w:rFonts w:cs="Arial"/>
          <w:spacing w:val="-3"/>
        </w:rPr>
        <w:t>”</w:t>
      </w:r>
      <w:r w:rsidR="00E2275D" w:rsidRPr="00BD1319">
        <w:rPr>
          <w:spacing w:val="-3"/>
        </w:rPr>
        <w:t xml:space="preserve"> para cada uno de los medios (abiótico, biótico y socioeconómico)</w:t>
      </w:r>
      <w:r w:rsidRPr="00BD1319">
        <w:rPr>
          <w:rFonts w:cs="Arial"/>
          <w:spacing w:val="-3"/>
        </w:rPr>
        <w:t xml:space="preserve">; </w:t>
      </w:r>
      <w:r w:rsidR="00E2275D" w:rsidRPr="00BD1319">
        <w:rPr>
          <w:rFonts w:cs="Arial"/>
          <w:spacing w:val="-3"/>
        </w:rPr>
        <w:t xml:space="preserve">tales </w:t>
      </w:r>
      <w:r w:rsidRPr="00BD1319">
        <w:rPr>
          <w:rFonts w:cs="Arial"/>
          <w:spacing w:val="-3"/>
        </w:rPr>
        <w:t>mapas</w:t>
      </w:r>
      <w:r w:rsidR="007242D6" w:rsidRPr="00BD1319">
        <w:rPr>
          <w:rFonts w:cs="Arial"/>
          <w:spacing w:val="-3"/>
        </w:rPr>
        <w:t xml:space="preserve"> </w:t>
      </w:r>
      <w:r w:rsidR="00E2275D" w:rsidRPr="00BD1319">
        <w:rPr>
          <w:rFonts w:cs="Arial"/>
          <w:spacing w:val="-3"/>
        </w:rPr>
        <w:t xml:space="preserve">de zonificación </w:t>
      </w:r>
      <w:r w:rsidR="00403F24" w:rsidRPr="00BD1319">
        <w:rPr>
          <w:rFonts w:cs="Arial"/>
          <w:spacing w:val="-3"/>
        </w:rPr>
        <w:t>ambiental</w:t>
      </w:r>
      <w:r w:rsidR="00E2275D" w:rsidRPr="00BD1319">
        <w:rPr>
          <w:rFonts w:cs="Arial"/>
          <w:spacing w:val="-3"/>
        </w:rPr>
        <w:t xml:space="preserve"> </w:t>
      </w:r>
      <w:r w:rsidR="007242D6" w:rsidRPr="00BD1319">
        <w:rPr>
          <w:rFonts w:cs="Arial"/>
          <w:spacing w:val="-3"/>
        </w:rPr>
        <w:t xml:space="preserve">deben ser integrados para estructurar y presentar la zonificación ambiental de </w:t>
      </w:r>
      <w:r w:rsidR="001C5E18" w:rsidRPr="00BD1319">
        <w:rPr>
          <w:rFonts w:cs="Arial"/>
          <w:spacing w:val="-3"/>
        </w:rPr>
        <w:t>cada alternativa</w:t>
      </w:r>
      <w:r w:rsidR="007242D6" w:rsidRPr="00BD1319">
        <w:rPr>
          <w:rFonts w:cs="Arial"/>
          <w:spacing w:val="-3"/>
        </w:rPr>
        <w:t xml:space="preserve"> del proyecto, obra o actividad.</w:t>
      </w:r>
    </w:p>
    <w:p w14:paraId="53DC7E56" w14:textId="77777777" w:rsidR="007242D6" w:rsidRPr="00BD1319" w:rsidRDefault="007242D6" w:rsidP="007242D6">
      <w:pPr>
        <w:numPr>
          <w:ilvl w:val="12"/>
          <w:numId w:val="0"/>
        </w:numPr>
        <w:tabs>
          <w:tab w:val="left" w:pos="-2268"/>
        </w:tabs>
        <w:suppressAutoHyphens/>
        <w:rPr>
          <w:spacing w:val="-3"/>
        </w:rPr>
      </w:pPr>
    </w:p>
    <w:p w14:paraId="4CE79763" w14:textId="35AA12A8" w:rsidR="007242D6" w:rsidRPr="00BD1319" w:rsidRDefault="007242D6" w:rsidP="007242D6">
      <w:pPr>
        <w:numPr>
          <w:ilvl w:val="12"/>
          <w:numId w:val="0"/>
        </w:numPr>
        <w:tabs>
          <w:tab w:val="left" w:pos="-2268"/>
        </w:tabs>
        <w:suppressAutoHyphens/>
        <w:rPr>
          <w:spacing w:val="-3"/>
        </w:rPr>
      </w:pPr>
      <w:r w:rsidRPr="00BD1319">
        <w:rPr>
          <w:rFonts w:cs="Arial"/>
          <w:spacing w:val="-3"/>
        </w:rPr>
        <w:t>Se debe presentar la información documental asociada a la zonificación ambiental, así como describir</w:t>
      </w:r>
      <w:r w:rsidRPr="00BD1319">
        <w:rPr>
          <w:spacing w:val="-3"/>
        </w:rPr>
        <w:t xml:space="preserve"> detalladamente la metodología empleada para establecer la zonificación </w:t>
      </w:r>
      <w:r w:rsidRPr="00BD1319">
        <w:rPr>
          <w:rFonts w:cs="Arial"/>
          <w:spacing w:val="-3"/>
        </w:rPr>
        <w:t>de cada medio</w:t>
      </w:r>
      <w:r w:rsidRPr="00BD1319">
        <w:rPr>
          <w:spacing w:val="-3"/>
        </w:rPr>
        <w:t xml:space="preserve"> </w:t>
      </w:r>
      <w:r w:rsidRPr="00BD1319">
        <w:rPr>
          <w:rFonts w:cs="Arial"/>
        </w:rPr>
        <w:t>y para integrar dicha información a fin de obtener la zonificación del proyecto</w:t>
      </w:r>
      <w:r w:rsidRPr="00BD1319">
        <w:rPr>
          <w:rFonts w:cs="Arial"/>
          <w:spacing w:val="-3"/>
        </w:rPr>
        <w:t>, obra o actividad</w:t>
      </w:r>
      <w:r w:rsidR="007B1C38" w:rsidRPr="00BD1319">
        <w:rPr>
          <w:rFonts w:cs="Arial"/>
          <w:spacing w:val="-3"/>
        </w:rPr>
        <w:t xml:space="preserve"> de cada alternativa</w:t>
      </w:r>
      <w:r w:rsidRPr="00BD1319">
        <w:rPr>
          <w:rFonts w:cs="Arial"/>
          <w:spacing w:val="-3"/>
        </w:rPr>
        <w:t>, indicando lo siguiente:</w:t>
      </w:r>
    </w:p>
    <w:p w14:paraId="159611BC" w14:textId="77777777" w:rsidR="007242D6" w:rsidRPr="00BD1319" w:rsidRDefault="007242D6" w:rsidP="009420F5">
      <w:pPr>
        <w:tabs>
          <w:tab w:val="left" w:pos="-2268"/>
        </w:tabs>
        <w:suppressAutoHyphens/>
        <w:rPr>
          <w:rFonts w:cs="Arial"/>
          <w:spacing w:val="-3"/>
        </w:rPr>
      </w:pPr>
    </w:p>
    <w:p w14:paraId="393319F6" w14:textId="77777777" w:rsidR="007242D6" w:rsidRPr="00BD1319" w:rsidRDefault="007242D6" w:rsidP="007242D6">
      <w:pPr>
        <w:numPr>
          <w:ilvl w:val="0"/>
          <w:numId w:val="19"/>
        </w:numPr>
        <w:tabs>
          <w:tab w:val="left" w:pos="-2268"/>
        </w:tabs>
        <w:suppressAutoHyphens/>
        <w:ind w:left="567" w:hanging="567"/>
        <w:rPr>
          <w:rFonts w:cs="Arial"/>
          <w:spacing w:val="-3"/>
        </w:rPr>
      </w:pPr>
      <w:r w:rsidRPr="00BD1319">
        <w:rPr>
          <w:rFonts w:cs="Arial"/>
          <w:spacing w:val="-3"/>
        </w:rPr>
        <w:t>Las unidades de análisis de los componentes que se emplearon para la zonificación ambiental de cada medio.</w:t>
      </w:r>
    </w:p>
    <w:p w14:paraId="7877C2D6" w14:textId="77777777" w:rsidR="007242D6" w:rsidRPr="00BD1319" w:rsidRDefault="007242D6" w:rsidP="007242D6">
      <w:pPr>
        <w:tabs>
          <w:tab w:val="left" w:pos="-2268"/>
        </w:tabs>
        <w:suppressAutoHyphens/>
        <w:rPr>
          <w:rFonts w:cs="Arial"/>
          <w:spacing w:val="-3"/>
        </w:rPr>
      </w:pPr>
    </w:p>
    <w:p w14:paraId="257A8F18" w14:textId="3D6010BF" w:rsidR="007242D6" w:rsidRPr="00BD1319" w:rsidRDefault="007242D6" w:rsidP="007242D6">
      <w:pPr>
        <w:numPr>
          <w:ilvl w:val="0"/>
          <w:numId w:val="19"/>
        </w:numPr>
        <w:tabs>
          <w:tab w:val="left" w:pos="-2268"/>
        </w:tabs>
        <w:suppressAutoHyphens/>
        <w:ind w:left="567" w:hanging="567"/>
        <w:rPr>
          <w:spacing w:val="-3"/>
        </w:rPr>
      </w:pPr>
      <w:r w:rsidRPr="00BD1319">
        <w:rPr>
          <w:rFonts w:cs="Arial"/>
          <w:spacing w:val="-3"/>
        </w:rPr>
        <w:t>Los criterios utilizados para valorar cuantitativa</w:t>
      </w:r>
      <w:r w:rsidRPr="00BD1319" w:rsidDel="00570397">
        <w:rPr>
          <w:rFonts w:cs="Arial"/>
          <w:spacing w:val="-3"/>
        </w:rPr>
        <w:t xml:space="preserve"> </w:t>
      </w:r>
      <w:r w:rsidRPr="00BD1319">
        <w:rPr>
          <w:rFonts w:cs="Arial"/>
          <w:spacing w:val="-3"/>
        </w:rPr>
        <w:t xml:space="preserve">o cualitativamente la sensibilidad ambiental de las unidades de análisis de cada componente, </w:t>
      </w:r>
      <w:r w:rsidR="00E2275D" w:rsidRPr="00BD1319">
        <w:rPr>
          <w:rFonts w:cs="Arial"/>
          <w:spacing w:val="-3"/>
        </w:rPr>
        <w:t xml:space="preserve">a partir de </w:t>
      </w:r>
      <w:r w:rsidRPr="00BD1319">
        <w:rPr>
          <w:rFonts w:cs="Arial"/>
          <w:spacing w:val="-3"/>
        </w:rPr>
        <w:t>sus factores y parámetros constitutivos</w:t>
      </w:r>
      <w:r w:rsidRPr="00BD1319">
        <w:rPr>
          <w:spacing w:val="-3"/>
        </w:rPr>
        <w:t>.</w:t>
      </w:r>
    </w:p>
    <w:p w14:paraId="69D04F3A" w14:textId="77777777" w:rsidR="007242D6" w:rsidRPr="00BD1319" w:rsidRDefault="007242D6" w:rsidP="009420F5">
      <w:pPr>
        <w:rPr>
          <w:spacing w:val="-3"/>
        </w:rPr>
      </w:pPr>
    </w:p>
    <w:p w14:paraId="777C5728" w14:textId="3C6403B5" w:rsidR="007242D6" w:rsidRPr="00BD1319" w:rsidRDefault="007242D6" w:rsidP="007242D6">
      <w:pPr>
        <w:numPr>
          <w:ilvl w:val="0"/>
          <w:numId w:val="19"/>
        </w:numPr>
        <w:tabs>
          <w:tab w:val="left" w:pos="-2268"/>
        </w:tabs>
        <w:suppressAutoHyphens/>
        <w:ind w:left="567" w:hanging="567"/>
        <w:rPr>
          <w:spacing w:val="-3"/>
        </w:rPr>
      </w:pPr>
      <w:r w:rsidRPr="00BD1319">
        <w:rPr>
          <w:spacing w:val="-3"/>
        </w:rPr>
        <w:t xml:space="preserve">El método de procesamiento de </w:t>
      </w:r>
      <w:r w:rsidRPr="00BD1319">
        <w:rPr>
          <w:rFonts w:cs="Arial"/>
          <w:spacing w:val="-3"/>
        </w:rPr>
        <w:t xml:space="preserve">información geográfica, señalando los cálculos, funciones, ponderaciones y demás procedimientos ejecutados para establecer la sensibilidad de las unidades de análisis de los componentes, así como para agrupar y obtener áreas homogéneas con diferentes categorías de sensibilidad ambiental </w:t>
      </w:r>
      <w:r w:rsidR="00425DBF" w:rsidRPr="00BD1319">
        <w:rPr>
          <w:rFonts w:cs="Arial"/>
          <w:spacing w:val="-3"/>
        </w:rPr>
        <w:t>d</w:t>
      </w:r>
      <w:r w:rsidRPr="00BD1319">
        <w:rPr>
          <w:rFonts w:cs="Arial"/>
          <w:spacing w:val="-3"/>
        </w:rPr>
        <w:t xml:space="preserve">el área de </w:t>
      </w:r>
      <w:r w:rsidR="00425DBF" w:rsidRPr="00BD1319">
        <w:rPr>
          <w:rFonts w:cs="Arial"/>
          <w:spacing w:val="-3"/>
        </w:rPr>
        <w:t xml:space="preserve">estudio </w:t>
      </w:r>
      <w:r w:rsidRPr="00BD1319">
        <w:rPr>
          <w:rFonts w:cs="Arial"/>
          <w:spacing w:val="-3"/>
        </w:rPr>
        <w:t>de los medios abiótico, biótico y socioeconómico</w:t>
      </w:r>
      <w:r w:rsidR="007B1C38" w:rsidRPr="00BD1319">
        <w:rPr>
          <w:rFonts w:cs="Arial"/>
          <w:spacing w:val="-3"/>
        </w:rPr>
        <w:t>,</w:t>
      </w:r>
      <w:r w:rsidRPr="00BD1319">
        <w:rPr>
          <w:rFonts w:cs="Arial"/>
          <w:spacing w:val="-3"/>
        </w:rPr>
        <w:t xml:space="preserve"> para el área de </w:t>
      </w:r>
      <w:r w:rsidR="00425DBF" w:rsidRPr="00BD1319">
        <w:rPr>
          <w:rFonts w:cs="Arial"/>
          <w:spacing w:val="-3"/>
        </w:rPr>
        <w:t xml:space="preserve">estudio de las alternativas </w:t>
      </w:r>
      <w:r w:rsidRPr="00BD1319">
        <w:rPr>
          <w:rFonts w:cs="Arial"/>
          <w:spacing w:val="-3"/>
        </w:rPr>
        <w:t>del proyecto, obra o actividad.</w:t>
      </w:r>
    </w:p>
    <w:p w14:paraId="782899BB" w14:textId="77777777" w:rsidR="007242D6" w:rsidRPr="00BD1319" w:rsidRDefault="007242D6" w:rsidP="00A5705F">
      <w:pPr>
        <w:rPr>
          <w:spacing w:val="-3"/>
        </w:rPr>
      </w:pPr>
    </w:p>
    <w:p w14:paraId="067BED6F" w14:textId="2F3BF204" w:rsidR="007242D6" w:rsidRPr="00BD1319" w:rsidRDefault="007242D6" w:rsidP="007242D6">
      <w:pPr>
        <w:tabs>
          <w:tab w:val="left" w:pos="-2268"/>
        </w:tabs>
        <w:suppressAutoHyphens/>
        <w:rPr>
          <w:rFonts w:cs="Arial"/>
          <w:spacing w:val="-3"/>
        </w:rPr>
      </w:pPr>
      <w:r w:rsidRPr="00BD1319">
        <w:rPr>
          <w:spacing w:val="-3"/>
        </w:rPr>
        <w:t xml:space="preserve">Se debe justificar técnicamente cada uno de los procedimientos ejecutados y la información empleada para </w:t>
      </w:r>
      <w:r w:rsidR="00425DBF" w:rsidRPr="00BD1319">
        <w:rPr>
          <w:spacing w:val="-3"/>
        </w:rPr>
        <w:t xml:space="preserve">el desarrollo de esta </w:t>
      </w:r>
      <w:r w:rsidRPr="00BD1319">
        <w:rPr>
          <w:spacing w:val="-3"/>
        </w:rPr>
        <w:t>zonificación.</w:t>
      </w:r>
      <w:r w:rsidR="00425DBF" w:rsidRPr="00BD1319">
        <w:rPr>
          <w:spacing w:val="-3"/>
        </w:rPr>
        <w:t xml:space="preserve"> </w:t>
      </w:r>
      <w:r w:rsidRPr="00BD1319">
        <w:rPr>
          <w:rFonts w:cs="Arial"/>
          <w:spacing w:val="-3"/>
        </w:rPr>
        <w:t>Asimismo, se debe realizar un análisis</w:t>
      </w:r>
      <w:r w:rsidRPr="00BD1319">
        <w:rPr>
          <w:spacing w:val="-3"/>
        </w:rPr>
        <w:t xml:space="preserve"> de los resultados obtenidos de la aplicación del método de procesamiento de información geográfica, señalando para el área de estudio de cada medio</w:t>
      </w:r>
      <w:r w:rsidR="00FD2252" w:rsidRPr="00BD1319">
        <w:rPr>
          <w:spacing w:val="-3"/>
        </w:rPr>
        <w:t xml:space="preserve"> y</w:t>
      </w:r>
      <w:r w:rsidRPr="00BD1319">
        <w:rPr>
          <w:spacing w:val="-3"/>
        </w:rPr>
        <w:t xml:space="preserve"> para el área de </w:t>
      </w:r>
      <w:r w:rsidR="009252C9" w:rsidRPr="00BD1319">
        <w:rPr>
          <w:spacing w:val="-3"/>
        </w:rPr>
        <w:t>estudio</w:t>
      </w:r>
      <w:r w:rsidRPr="00BD1319">
        <w:rPr>
          <w:spacing w:val="-3"/>
        </w:rPr>
        <w:t xml:space="preserve"> de las alternativas del proyecto, obra o actividad, la extensión en hectáreas </w:t>
      </w:r>
      <w:r w:rsidRPr="00BD1319">
        <w:rPr>
          <w:rFonts w:cs="Arial"/>
          <w:spacing w:val="-3"/>
        </w:rPr>
        <w:t xml:space="preserve">de cada categoría de sensibilidad ambiental y su participación porcentual con relación a la superficie total del área de </w:t>
      </w:r>
      <w:r w:rsidR="00425DBF" w:rsidRPr="00BD1319">
        <w:rPr>
          <w:rFonts w:cs="Arial"/>
          <w:spacing w:val="-3"/>
        </w:rPr>
        <w:t xml:space="preserve">estudio </w:t>
      </w:r>
      <w:r w:rsidRPr="00BD1319">
        <w:rPr>
          <w:rFonts w:cs="Arial"/>
          <w:spacing w:val="-3"/>
        </w:rPr>
        <w:t>a la cual corresponde.</w:t>
      </w:r>
    </w:p>
    <w:p w14:paraId="36672F47" w14:textId="77777777" w:rsidR="007242D6" w:rsidRPr="00BD1319" w:rsidRDefault="007242D6" w:rsidP="007242D6">
      <w:pPr>
        <w:numPr>
          <w:ilvl w:val="12"/>
          <w:numId w:val="0"/>
        </w:numPr>
        <w:tabs>
          <w:tab w:val="left" w:pos="-2268"/>
        </w:tabs>
        <w:suppressAutoHyphens/>
        <w:rPr>
          <w:spacing w:val="-3"/>
        </w:rPr>
      </w:pPr>
    </w:p>
    <w:p w14:paraId="2F8D7FA0" w14:textId="66D7004E" w:rsidR="007242D6" w:rsidRPr="00BD1319" w:rsidRDefault="007242D6" w:rsidP="007242D6">
      <w:pPr>
        <w:numPr>
          <w:ilvl w:val="12"/>
          <w:numId w:val="0"/>
        </w:numPr>
        <w:tabs>
          <w:tab w:val="left" w:pos="-2268"/>
        </w:tabs>
        <w:suppressAutoHyphens/>
        <w:rPr>
          <w:rFonts w:cs="Arial"/>
          <w:spacing w:val="-3"/>
        </w:rPr>
      </w:pPr>
      <w:r w:rsidRPr="00BD1319">
        <w:rPr>
          <w:rFonts w:cs="Arial"/>
          <w:spacing w:val="-3"/>
        </w:rPr>
        <w:t>La</w:t>
      </w:r>
      <w:r w:rsidRPr="00BD1319">
        <w:rPr>
          <w:spacing w:val="-3"/>
        </w:rPr>
        <w:t xml:space="preserve"> zonificación ambiental de cada medio (mapas intermedios)</w:t>
      </w:r>
      <w:r w:rsidR="00FD2252" w:rsidRPr="00BD1319">
        <w:rPr>
          <w:spacing w:val="-3"/>
        </w:rPr>
        <w:t xml:space="preserve"> y</w:t>
      </w:r>
      <w:r w:rsidRPr="00BD1319">
        <w:rPr>
          <w:rFonts w:cs="Arial"/>
          <w:spacing w:val="-3"/>
        </w:rPr>
        <w:t xml:space="preserve"> la zonificación ambiental de las alternativas del proyecto, obra o actividad, deben cartografiarse a la escala que establezcan los respectivos términos de referencia, o a una más detallada </w:t>
      </w:r>
      <w:r w:rsidRPr="00BD1319">
        <w:rPr>
          <w:rFonts w:cs="Arial"/>
          <w:spacing w:val="-3"/>
        </w:rPr>
        <w:lastRenderedPageBreak/>
        <w:t>de acuerdo con la sensibilidad ambiental de la temática tratada; esta información geográfica debe presentarse en la estructura definida por la Resolución 2182 de 2016 o aquella que la modifique o sustituya</w:t>
      </w:r>
      <w:r w:rsidR="00E2275D" w:rsidRPr="00BD1319">
        <w:rPr>
          <w:rFonts w:cs="Arial"/>
          <w:spacing w:val="-3"/>
        </w:rPr>
        <w:t>.</w:t>
      </w:r>
    </w:p>
    <w:p w14:paraId="6265E5E1" w14:textId="77777777" w:rsidR="007242D6" w:rsidRPr="00BD1319" w:rsidRDefault="007242D6" w:rsidP="007242D6">
      <w:pPr>
        <w:numPr>
          <w:ilvl w:val="12"/>
          <w:numId w:val="0"/>
        </w:numPr>
        <w:tabs>
          <w:tab w:val="left" w:pos="-2268"/>
        </w:tabs>
        <w:suppressAutoHyphens/>
        <w:rPr>
          <w:rFonts w:cs="Arial"/>
          <w:spacing w:val="-3"/>
        </w:rPr>
      </w:pPr>
    </w:p>
    <w:p w14:paraId="7A30D0E3" w14:textId="055E145E" w:rsidR="007242D6" w:rsidRPr="00BD1319" w:rsidRDefault="007242D6" w:rsidP="007242D6">
      <w:pPr>
        <w:numPr>
          <w:ilvl w:val="12"/>
          <w:numId w:val="0"/>
        </w:numPr>
        <w:tabs>
          <w:tab w:val="left" w:pos="-2268"/>
        </w:tabs>
        <w:suppressAutoHyphens/>
        <w:rPr>
          <w:spacing w:val="-3"/>
        </w:rPr>
      </w:pPr>
      <w:r w:rsidRPr="00BD1319">
        <w:rPr>
          <w:rFonts w:cs="Arial"/>
          <w:spacing w:val="-3"/>
        </w:rPr>
        <w:t>Para realizar</w:t>
      </w:r>
      <w:r w:rsidRPr="00BD1319">
        <w:rPr>
          <w:spacing w:val="-3"/>
        </w:rPr>
        <w:t xml:space="preserve"> la zonificación ambiental </w:t>
      </w:r>
      <w:r w:rsidRPr="00BD1319">
        <w:rPr>
          <w:rFonts w:cs="Arial"/>
          <w:spacing w:val="-3"/>
        </w:rPr>
        <w:t>de cada medio, se</w:t>
      </w:r>
      <w:r w:rsidRPr="00BD1319">
        <w:rPr>
          <w:spacing w:val="-3"/>
        </w:rPr>
        <w:t xml:space="preserve"> debe </w:t>
      </w:r>
      <w:r w:rsidRPr="00BD1319">
        <w:rPr>
          <w:rFonts w:cs="Arial"/>
          <w:spacing w:val="-3"/>
        </w:rPr>
        <w:t>considerar</w:t>
      </w:r>
      <w:r w:rsidRPr="00BD1319">
        <w:rPr>
          <w:spacing w:val="-3"/>
        </w:rPr>
        <w:t xml:space="preserve"> la </w:t>
      </w:r>
      <w:r w:rsidRPr="00BD1319">
        <w:rPr>
          <w:rFonts w:cs="Arial"/>
          <w:spacing w:val="-3"/>
        </w:rPr>
        <w:t xml:space="preserve">aplicabilidad de los elementos listados numeral </w:t>
      </w:r>
      <w:r w:rsidR="000F569A" w:rsidRPr="00BD1319">
        <w:rPr>
          <w:rFonts w:cs="Arial"/>
          <w:spacing w:val="-3"/>
        </w:rPr>
        <w:fldChar w:fldCharType="begin"/>
      </w:r>
      <w:r w:rsidR="000F569A" w:rsidRPr="00BD1319">
        <w:rPr>
          <w:rFonts w:cs="Arial"/>
          <w:spacing w:val="-3"/>
        </w:rPr>
        <w:instrText xml:space="preserve"> REF _Ref79297297 \r \h </w:instrText>
      </w:r>
      <w:r w:rsidR="006A4128" w:rsidRPr="00BD1319">
        <w:rPr>
          <w:rFonts w:cs="Arial"/>
          <w:spacing w:val="-3"/>
        </w:rPr>
        <w:instrText xml:space="preserve"> \* MERGEFORMAT </w:instrText>
      </w:r>
      <w:r w:rsidR="000F569A" w:rsidRPr="00BD1319">
        <w:rPr>
          <w:rFonts w:cs="Arial"/>
          <w:spacing w:val="-3"/>
        </w:rPr>
      </w:r>
      <w:r w:rsidR="000F569A" w:rsidRPr="00BD1319">
        <w:rPr>
          <w:rFonts w:cs="Arial"/>
          <w:spacing w:val="-3"/>
        </w:rPr>
        <w:fldChar w:fldCharType="separate"/>
      </w:r>
      <w:r w:rsidR="00296654" w:rsidRPr="00BD1319">
        <w:rPr>
          <w:rFonts w:cs="Arial"/>
          <w:spacing w:val="-3"/>
        </w:rPr>
        <w:t>5</w:t>
      </w:r>
      <w:r w:rsidR="000F569A" w:rsidRPr="00BD1319">
        <w:rPr>
          <w:rFonts w:cs="Arial"/>
          <w:spacing w:val="-3"/>
        </w:rPr>
        <w:fldChar w:fldCharType="end"/>
      </w:r>
      <w:r w:rsidRPr="00BD1319">
        <w:rPr>
          <w:rFonts w:cs="Arial"/>
          <w:spacing w:val="-3"/>
        </w:rPr>
        <w:t xml:space="preserve"> del título III de este documento.</w:t>
      </w:r>
    </w:p>
    <w:p w14:paraId="71AEB2F4" w14:textId="77777777" w:rsidR="00DF6D4D" w:rsidRPr="00BD1319" w:rsidRDefault="00DF6D4D">
      <w:pPr>
        <w:numPr>
          <w:ilvl w:val="12"/>
          <w:numId w:val="0"/>
        </w:numPr>
        <w:tabs>
          <w:tab w:val="left" w:pos="-2268"/>
        </w:tabs>
        <w:suppressAutoHyphens/>
        <w:rPr>
          <w:spacing w:val="-3"/>
        </w:rPr>
      </w:pPr>
    </w:p>
    <w:p w14:paraId="22310F81" w14:textId="77777777" w:rsidR="00A632C7" w:rsidRPr="00BD1319" w:rsidRDefault="00A632C7">
      <w:pPr>
        <w:numPr>
          <w:ilvl w:val="12"/>
          <w:numId w:val="0"/>
        </w:numPr>
        <w:tabs>
          <w:tab w:val="left" w:pos="-2268"/>
        </w:tabs>
        <w:suppressAutoHyphens/>
        <w:rPr>
          <w:spacing w:val="-3"/>
        </w:rPr>
      </w:pPr>
    </w:p>
    <w:p w14:paraId="443AC5FB" w14:textId="53719BCC" w:rsidR="00806693" w:rsidRPr="00BD1319" w:rsidRDefault="0009367A" w:rsidP="00CB4557">
      <w:pPr>
        <w:pStyle w:val="Ttulo1"/>
        <w:numPr>
          <w:ilvl w:val="0"/>
          <w:numId w:val="8"/>
        </w:numPr>
        <w:rPr>
          <w:lang w:val="es-CO"/>
        </w:rPr>
      </w:pPr>
      <w:bookmarkStart w:id="2350" w:name="_Toc437936004"/>
      <w:bookmarkStart w:id="2351" w:name="_Toc175326719"/>
      <w:r w:rsidRPr="00BD1319">
        <w:rPr>
          <w:lang w:val="es-CO"/>
        </w:rPr>
        <w:t xml:space="preserve">DETERMINACIÓN </w:t>
      </w:r>
      <w:r w:rsidR="003E5ABC" w:rsidRPr="00BD1319">
        <w:rPr>
          <w:lang w:val="es-CO"/>
        </w:rPr>
        <w:t xml:space="preserve">Y </w:t>
      </w:r>
      <w:r w:rsidR="00ED5031" w:rsidRPr="00BD1319">
        <w:rPr>
          <w:lang w:val="es-CO"/>
        </w:rPr>
        <w:t xml:space="preserve">VALORACIÓN </w:t>
      </w:r>
      <w:r w:rsidR="00806693" w:rsidRPr="00BD1319">
        <w:rPr>
          <w:lang w:val="es-CO"/>
        </w:rPr>
        <w:t xml:space="preserve">DE IMPACTOS </w:t>
      </w:r>
      <w:bookmarkEnd w:id="2350"/>
      <w:r w:rsidR="00DF1D0A" w:rsidRPr="00BD1319">
        <w:rPr>
          <w:lang w:val="es-CO"/>
        </w:rPr>
        <w:t>POTENCIALES</w:t>
      </w:r>
      <w:bookmarkEnd w:id="2351"/>
    </w:p>
    <w:p w14:paraId="0DFDDABE" w14:textId="77777777" w:rsidR="00A310B6" w:rsidRPr="00BD1319" w:rsidRDefault="00A310B6">
      <w:pPr>
        <w:numPr>
          <w:ilvl w:val="12"/>
          <w:numId w:val="0"/>
        </w:numPr>
        <w:tabs>
          <w:tab w:val="left" w:pos="-2268"/>
        </w:tabs>
        <w:suppressAutoHyphens/>
        <w:rPr>
          <w:spacing w:val="-3"/>
        </w:rPr>
      </w:pPr>
    </w:p>
    <w:p w14:paraId="3509421C" w14:textId="6DFACA21" w:rsidR="00A9037D" w:rsidRPr="00BD1319" w:rsidRDefault="00A9037D" w:rsidP="00C86DA5">
      <w:pPr>
        <w:tabs>
          <w:tab w:val="left" w:pos="-2268"/>
        </w:tabs>
        <w:suppressAutoHyphens/>
        <w:rPr>
          <w:spacing w:val="-3"/>
        </w:rPr>
      </w:pPr>
      <w:r w:rsidRPr="00BD1319">
        <w:rPr>
          <w:spacing w:val="-3"/>
        </w:rPr>
        <w:t>A partir de la caracterización del área de estudio</w:t>
      </w:r>
      <w:r w:rsidR="002252AC" w:rsidRPr="00BD1319">
        <w:rPr>
          <w:spacing w:val="-3"/>
        </w:rPr>
        <w:t xml:space="preserve"> y de la descripción de las alternativas</w:t>
      </w:r>
      <w:r w:rsidRPr="00BD1319">
        <w:rPr>
          <w:spacing w:val="-3"/>
        </w:rPr>
        <w:t xml:space="preserve">, se deben </w:t>
      </w:r>
      <w:r w:rsidR="00E57583" w:rsidRPr="00BD1319">
        <w:rPr>
          <w:spacing w:val="-3"/>
        </w:rPr>
        <w:t xml:space="preserve">determinar </w:t>
      </w:r>
      <w:r w:rsidRPr="00BD1319">
        <w:rPr>
          <w:spacing w:val="-3"/>
        </w:rPr>
        <w:t xml:space="preserve">los impactos </w:t>
      </w:r>
      <w:r w:rsidRPr="00BD1319">
        <w:rPr>
          <w:rFonts w:cs="Arial"/>
          <w:spacing w:val="-3"/>
        </w:rPr>
        <w:t xml:space="preserve">ambientales </w:t>
      </w:r>
      <w:r w:rsidRPr="00BD1319">
        <w:rPr>
          <w:spacing w:val="-3"/>
        </w:rPr>
        <w:t>potenciales positivos y negativos</w:t>
      </w:r>
      <w:r w:rsidR="00201A43" w:rsidRPr="00BD1319">
        <w:rPr>
          <w:spacing w:val="-3"/>
        </w:rPr>
        <w:t xml:space="preserve"> que podrían generarse con la ejecución de cada una de las alternativas propuestas para el proyecto, obra o actividad</w:t>
      </w:r>
      <w:r w:rsidR="000E6A19" w:rsidRPr="00BD1319">
        <w:rPr>
          <w:spacing w:val="-3"/>
        </w:rPr>
        <w:t xml:space="preserve">; </w:t>
      </w:r>
      <w:r w:rsidR="00201A43" w:rsidRPr="00BD1319">
        <w:rPr>
          <w:spacing w:val="-3"/>
        </w:rPr>
        <w:t xml:space="preserve">esta </w:t>
      </w:r>
      <w:r w:rsidR="000E6A19" w:rsidRPr="00BD1319">
        <w:rPr>
          <w:rFonts w:cs="Arial"/>
          <w:spacing w:val="-3"/>
        </w:rPr>
        <w:t>determinación de impactos debe considerar que la</w:t>
      </w:r>
      <w:r w:rsidR="00201A43" w:rsidRPr="00BD1319">
        <w:rPr>
          <w:rFonts w:cs="Arial"/>
          <w:spacing w:val="-3"/>
        </w:rPr>
        <w:t xml:space="preserve">s alternativas </w:t>
      </w:r>
      <w:r w:rsidR="000E6A19" w:rsidRPr="00BD1319">
        <w:rPr>
          <w:rFonts w:cs="Arial"/>
          <w:spacing w:val="-3"/>
        </w:rPr>
        <w:t>puede</w:t>
      </w:r>
      <w:r w:rsidR="00201A43" w:rsidRPr="00BD1319">
        <w:rPr>
          <w:rFonts w:cs="Arial"/>
          <w:spacing w:val="-3"/>
        </w:rPr>
        <w:t>n</w:t>
      </w:r>
      <w:r w:rsidR="000E6A19" w:rsidRPr="00BD1319">
        <w:rPr>
          <w:rFonts w:cs="Arial"/>
          <w:spacing w:val="-3"/>
        </w:rPr>
        <w:t xml:space="preserve"> desencadenar impactos </w:t>
      </w:r>
      <w:r w:rsidR="00201A43" w:rsidRPr="00BD1319">
        <w:rPr>
          <w:spacing w:val="-3"/>
        </w:rPr>
        <w:t xml:space="preserve">directos e indirectos, así como impactos </w:t>
      </w:r>
      <w:r w:rsidR="000E6A19" w:rsidRPr="00BD1319">
        <w:rPr>
          <w:rFonts w:cs="Arial"/>
          <w:spacing w:val="-3"/>
        </w:rPr>
        <w:t xml:space="preserve">sinérgicos e impactos con la capacidad de </w:t>
      </w:r>
      <w:r w:rsidR="000E6A19" w:rsidRPr="00BD1319">
        <w:rPr>
          <w:rFonts w:cs="Arial"/>
          <w:iCs/>
          <w:spacing w:val="-3"/>
        </w:rPr>
        <w:t>acumularse en el tiempo</w:t>
      </w:r>
      <w:r w:rsidRPr="00BD1319">
        <w:rPr>
          <w:rFonts w:cs="Arial"/>
        </w:rPr>
        <w:t xml:space="preserve">. </w:t>
      </w:r>
      <w:r w:rsidR="00FE5137" w:rsidRPr="00BD1319">
        <w:rPr>
          <w:rFonts w:cs="Arial"/>
        </w:rPr>
        <w:t>Asimismo, s</w:t>
      </w:r>
      <w:r w:rsidRPr="00BD1319">
        <w:t xml:space="preserve">e </w:t>
      </w:r>
      <w:r w:rsidRPr="00BD1319">
        <w:rPr>
          <w:spacing w:val="-3"/>
        </w:rPr>
        <w:t xml:space="preserve">debe señalar cuáles </w:t>
      </w:r>
      <w:r w:rsidR="00402998" w:rsidRPr="00BD1319">
        <w:rPr>
          <w:spacing w:val="-3"/>
        </w:rPr>
        <w:t xml:space="preserve">impactos </w:t>
      </w:r>
      <w:r w:rsidR="009F1490" w:rsidRPr="00BD1319">
        <w:rPr>
          <w:spacing w:val="-3"/>
        </w:rPr>
        <w:t xml:space="preserve">potenciales </w:t>
      </w:r>
      <w:r w:rsidRPr="00BD1319">
        <w:rPr>
          <w:spacing w:val="-3"/>
        </w:rPr>
        <w:t xml:space="preserve">no se pueden </w:t>
      </w:r>
      <w:r w:rsidR="00DD36F2" w:rsidRPr="00BD1319">
        <w:rPr>
          <w:rFonts w:cs="Arial"/>
          <w:spacing w:val="-3"/>
        </w:rPr>
        <w:t xml:space="preserve">prevenir, </w:t>
      </w:r>
      <w:r w:rsidRPr="00BD1319">
        <w:rPr>
          <w:spacing w:val="-3"/>
        </w:rPr>
        <w:t>mitigar</w:t>
      </w:r>
      <w:r w:rsidR="00DD36F2" w:rsidRPr="00BD1319">
        <w:rPr>
          <w:spacing w:val="-3"/>
        </w:rPr>
        <w:t xml:space="preserve"> ni corregir</w:t>
      </w:r>
      <w:r w:rsidRPr="00BD1319">
        <w:rPr>
          <w:spacing w:val="-3"/>
        </w:rPr>
        <w:t>.</w:t>
      </w:r>
    </w:p>
    <w:p w14:paraId="2FED13B0" w14:textId="77777777" w:rsidR="000E6A19" w:rsidRPr="00BD1319" w:rsidRDefault="000E6A19">
      <w:pPr>
        <w:numPr>
          <w:ilvl w:val="12"/>
          <w:numId w:val="0"/>
        </w:numPr>
        <w:tabs>
          <w:tab w:val="left" w:pos="-2268"/>
        </w:tabs>
        <w:suppressAutoHyphens/>
        <w:rPr>
          <w:spacing w:val="-3"/>
        </w:rPr>
      </w:pPr>
    </w:p>
    <w:p w14:paraId="4F62ABA4" w14:textId="07824BD7" w:rsidR="00402998" w:rsidRPr="00BD1319" w:rsidRDefault="00402998">
      <w:pPr>
        <w:numPr>
          <w:ilvl w:val="12"/>
          <w:numId w:val="0"/>
        </w:numPr>
        <w:tabs>
          <w:tab w:val="left" w:pos="-2268"/>
        </w:tabs>
        <w:suppressAutoHyphens/>
        <w:rPr>
          <w:rFonts w:cs="Arial"/>
          <w:spacing w:val="-3"/>
        </w:rPr>
      </w:pPr>
      <w:r w:rsidRPr="00BD1319">
        <w:rPr>
          <w:rFonts w:cs="Arial"/>
          <w:spacing w:val="-3"/>
        </w:rPr>
        <w:t xml:space="preserve">A fin de </w:t>
      </w:r>
      <w:r w:rsidR="00E57583" w:rsidRPr="00BD1319">
        <w:rPr>
          <w:rFonts w:cs="Arial"/>
          <w:spacing w:val="-3"/>
        </w:rPr>
        <w:t xml:space="preserve">determinar </w:t>
      </w:r>
      <w:r w:rsidRPr="00BD1319">
        <w:rPr>
          <w:rFonts w:cs="Arial"/>
          <w:spacing w:val="-3"/>
        </w:rPr>
        <w:t xml:space="preserve">los impactos </w:t>
      </w:r>
      <w:r w:rsidR="00FD2252" w:rsidRPr="00BD1319">
        <w:rPr>
          <w:rFonts w:cs="Arial"/>
          <w:spacing w:val="-3"/>
        </w:rPr>
        <w:t xml:space="preserve">ambientales </w:t>
      </w:r>
      <w:r w:rsidRPr="00BD1319">
        <w:rPr>
          <w:rFonts w:cs="Arial"/>
          <w:spacing w:val="-3"/>
        </w:rPr>
        <w:t>potenciales</w:t>
      </w:r>
      <w:r w:rsidR="00094CF6" w:rsidRPr="00BD1319">
        <w:rPr>
          <w:rFonts w:cs="Arial"/>
          <w:spacing w:val="-3"/>
        </w:rPr>
        <w:t xml:space="preserve"> significativos</w:t>
      </w:r>
      <w:r w:rsidRPr="00BD1319">
        <w:rPr>
          <w:rFonts w:cs="Arial"/>
          <w:spacing w:val="-3"/>
        </w:rPr>
        <w:t xml:space="preserve"> </w:t>
      </w:r>
      <w:r w:rsidR="00094CF6" w:rsidRPr="00BD1319">
        <w:rPr>
          <w:rFonts w:cs="Arial"/>
          <w:spacing w:val="-3"/>
        </w:rPr>
        <w:t xml:space="preserve">que </w:t>
      </w:r>
      <w:r w:rsidR="003E5ABC" w:rsidRPr="00BD1319">
        <w:rPr>
          <w:rFonts w:cs="Arial"/>
          <w:spacing w:val="-3"/>
        </w:rPr>
        <w:t>delimita</w:t>
      </w:r>
      <w:r w:rsidR="007949CB" w:rsidRPr="00BD1319">
        <w:rPr>
          <w:rFonts w:cs="Arial"/>
          <w:spacing w:val="-3"/>
        </w:rPr>
        <w:t>n</w:t>
      </w:r>
      <w:r w:rsidR="003E5ABC" w:rsidRPr="00BD1319">
        <w:rPr>
          <w:rFonts w:cs="Arial"/>
          <w:spacing w:val="-3"/>
        </w:rPr>
        <w:t xml:space="preserve"> el área de estudio, </w:t>
      </w:r>
      <w:r w:rsidRPr="00BD1319">
        <w:rPr>
          <w:rFonts w:cs="Arial"/>
          <w:spacing w:val="-3"/>
        </w:rPr>
        <w:t xml:space="preserve">se debe ejecutar un proceso de evaluación ambiental </w:t>
      </w:r>
      <w:r w:rsidR="008E6B9D" w:rsidRPr="00BD1319">
        <w:rPr>
          <w:rFonts w:cs="Arial"/>
          <w:i/>
          <w:iCs/>
          <w:spacing w:val="-3"/>
        </w:rPr>
        <w:t>elemental</w:t>
      </w:r>
      <w:r w:rsidR="008E6B9D" w:rsidRPr="00BD1319">
        <w:rPr>
          <w:rFonts w:cs="Arial"/>
          <w:spacing w:val="-3"/>
        </w:rPr>
        <w:t xml:space="preserve"> </w:t>
      </w:r>
      <w:r w:rsidRPr="00BD1319">
        <w:rPr>
          <w:rFonts w:cs="Arial"/>
          <w:spacing w:val="-3"/>
        </w:rPr>
        <w:t xml:space="preserve">para cada una de las alternativas </w:t>
      </w:r>
      <w:r w:rsidR="003E5ABC" w:rsidRPr="00BD1319">
        <w:rPr>
          <w:rFonts w:cs="Arial"/>
          <w:spacing w:val="-3"/>
        </w:rPr>
        <w:t xml:space="preserve">de acuerdo con </w:t>
      </w:r>
      <w:r w:rsidRPr="00BD1319">
        <w:rPr>
          <w:rFonts w:cs="Arial"/>
          <w:spacing w:val="-3"/>
        </w:rPr>
        <w:t xml:space="preserve">los lineamientos, procedimientos, </w:t>
      </w:r>
      <w:r w:rsidR="00DD6342" w:rsidRPr="00BD1319">
        <w:rPr>
          <w:rFonts w:cs="Arial"/>
          <w:spacing w:val="-3"/>
        </w:rPr>
        <w:t xml:space="preserve">categorías estandarizadas de impactos ambientales, </w:t>
      </w:r>
      <w:r w:rsidRPr="00BD1319">
        <w:rPr>
          <w:rFonts w:cs="Arial"/>
          <w:spacing w:val="-3"/>
        </w:rPr>
        <w:t>reglas y categorías de normalización</w:t>
      </w:r>
      <w:r w:rsidR="00DD6342" w:rsidRPr="00BD1319">
        <w:rPr>
          <w:rFonts w:cs="Arial"/>
          <w:spacing w:val="-3"/>
        </w:rPr>
        <w:t xml:space="preserve">, </w:t>
      </w:r>
      <w:r w:rsidR="00FE5137" w:rsidRPr="00BD1319">
        <w:rPr>
          <w:rFonts w:cs="Arial"/>
          <w:spacing w:val="-3"/>
        </w:rPr>
        <w:t xml:space="preserve">y </w:t>
      </w:r>
      <w:r w:rsidR="00DD6342" w:rsidRPr="00BD1319">
        <w:rPr>
          <w:rFonts w:cs="Arial"/>
          <w:spacing w:val="-3"/>
        </w:rPr>
        <w:t>demás herramientas</w:t>
      </w:r>
      <w:r w:rsidRPr="00BD1319">
        <w:rPr>
          <w:rFonts w:cs="Arial"/>
          <w:spacing w:val="-3"/>
        </w:rPr>
        <w:t xml:space="preserve"> </w:t>
      </w:r>
      <w:r w:rsidR="00DD6342" w:rsidRPr="00BD1319">
        <w:rPr>
          <w:rFonts w:cs="Arial"/>
          <w:spacing w:val="-3"/>
        </w:rPr>
        <w:t>de evaluación ambiental señaladas</w:t>
      </w:r>
      <w:r w:rsidRPr="00BD1319">
        <w:rPr>
          <w:rFonts w:cs="Arial"/>
          <w:spacing w:val="-3"/>
        </w:rPr>
        <w:t xml:space="preserve"> en el numeral </w:t>
      </w:r>
      <w:r w:rsidRPr="00BD1319">
        <w:rPr>
          <w:rFonts w:cs="Arial"/>
          <w:spacing w:val="-3"/>
        </w:rPr>
        <w:fldChar w:fldCharType="begin"/>
      </w:r>
      <w:r w:rsidRPr="00BD1319">
        <w:rPr>
          <w:rFonts w:cs="Arial"/>
          <w:spacing w:val="-3"/>
        </w:rPr>
        <w:instrText xml:space="preserve"> REF _Ref43356983 \r \h </w:instrText>
      </w:r>
      <w:r w:rsidR="006A4128" w:rsidRPr="00BD1319">
        <w:rPr>
          <w:rFonts w:cs="Arial"/>
          <w:spacing w:val="-3"/>
        </w:rPr>
        <w:instrText xml:space="preserve"> \* MERGEFORMAT </w:instrText>
      </w:r>
      <w:r w:rsidRPr="00BD1319">
        <w:rPr>
          <w:rFonts w:cs="Arial"/>
          <w:spacing w:val="-3"/>
        </w:rPr>
      </w:r>
      <w:r w:rsidRPr="00BD1319">
        <w:rPr>
          <w:rFonts w:cs="Arial"/>
          <w:spacing w:val="-3"/>
        </w:rPr>
        <w:fldChar w:fldCharType="separate"/>
      </w:r>
      <w:r w:rsidR="00296654" w:rsidRPr="00BD1319">
        <w:rPr>
          <w:rFonts w:cs="Arial"/>
          <w:spacing w:val="-3"/>
        </w:rPr>
        <w:t>7</w:t>
      </w:r>
      <w:r w:rsidRPr="00BD1319">
        <w:rPr>
          <w:rFonts w:cs="Arial"/>
          <w:spacing w:val="-3"/>
        </w:rPr>
        <w:fldChar w:fldCharType="end"/>
      </w:r>
      <w:r w:rsidRPr="00BD1319">
        <w:rPr>
          <w:rFonts w:cs="Arial"/>
          <w:spacing w:val="-3"/>
        </w:rPr>
        <w:t xml:space="preserve"> del capítulo III de esta </w:t>
      </w:r>
      <w:r w:rsidR="007949CB" w:rsidRPr="00BD1319">
        <w:rPr>
          <w:rFonts w:cs="Arial"/>
          <w:spacing w:val="-3"/>
        </w:rPr>
        <w:t>m</w:t>
      </w:r>
      <w:r w:rsidRPr="00BD1319">
        <w:rPr>
          <w:rFonts w:cs="Arial"/>
          <w:spacing w:val="-3"/>
        </w:rPr>
        <w:t>etodología</w:t>
      </w:r>
      <w:r w:rsidR="00DD7790" w:rsidRPr="00BD1319">
        <w:rPr>
          <w:rStyle w:val="Refdenotaalpie"/>
          <w:rFonts w:cs="Arial"/>
          <w:spacing w:val="-3"/>
          <w:lang w:val="es-CO"/>
        </w:rPr>
        <w:footnoteReference w:id="54"/>
      </w:r>
      <w:r w:rsidRPr="00BD1319">
        <w:rPr>
          <w:rFonts w:cs="Arial"/>
          <w:spacing w:val="-3"/>
        </w:rPr>
        <w:t xml:space="preserve">, </w:t>
      </w:r>
      <w:r w:rsidR="006143F3" w:rsidRPr="00BD1319">
        <w:rPr>
          <w:rFonts w:cs="Arial"/>
          <w:spacing w:val="-3"/>
        </w:rPr>
        <w:t xml:space="preserve">considerando </w:t>
      </w:r>
      <w:r w:rsidR="00034D41" w:rsidRPr="00BD1319">
        <w:rPr>
          <w:rFonts w:cs="Arial"/>
          <w:spacing w:val="-3"/>
        </w:rPr>
        <w:t xml:space="preserve">que dado </w:t>
      </w:r>
      <w:r w:rsidRPr="00BD1319">
        <w:rPr>
          <w:rFonts w:cs="Arial"/>
          <w:spacing w:val="-3"/>
        </w:rPr>
        <w:t xml:space="preserve">el alcance y propósitos del DAA, dicha evaluación ambiental se realiza </w:t>
      </w:r>
      <w:r w:rsidR="007949CB" w:rsidRPr="00BD1319">
        <w:rPr>
          <w:rFonts w:cs="Arial"/>
          <w:spacing w:val="-3"/>
        </w:rPr>
        <w:t>fundamentalmente</w:t>
      </w:r>
      <w:r w:rsidR="007949CB" w:rsidRPr="00BD1319" w:rsidDel="007949CB">
        <w:rPr>
          <w:rFonts w:cs="Arial"/>
          <w:spacing w:val="-3"/>
        </w:rPr>
        <w:t xml:space="preserve"> </w:t>
      </w:r>
      <w:r w:rsidRPr="00BD1319">
        <w:rPr>
          <w:rFonts w:cs="Arial"/>
          <w:spacing w:val="-3"/>
        </w:rPr>
        <w:t>a partir de información secundaria</w:t>
      </w:r>
      <w:r w:rsidR="002252AC" w:rsidRPr="00BD1319">
        <w:rPr>
          <w:rStyle w:val="Refdenotaalpie"/>
          <w:rFonts w:cs="Arial"/>
          <w:spacing w:val="-3"/>
          <w:lang w:val="es-CO"/>
        </w:rPr>
        <w:footnoteReference w:id="55"/>
      </w:r>
      <w:r w:rsidR="007949CB" w:rsidRPr="00BD1319">
        <w:rPr>
          <w:rFonts w:cs="Arial"/>
          <w:spacing w:val="-3"/>
        </w:rPr>
        <w:t>.</w:t>
      </w:r>
    </w:p>
    <w:p w14:paraId="69689832" w14:textId="0A906C61" w:rsidR="00402998" w:rsidRPr="00BD1319" w:rsidRDefault="00402998" w:rsidP="00402998">
      <w:pPr>
        <w:numPr>
          <w:ilvl w:val="12"/>
          <w:numId w:val="0"/>
        </w:numPr>
        <w:tabs>
          <w:tab w:val="left" w:pos="-2268"/>
        </w:tabs>
        <w:suppressAutoHyphens/>
        <w:rPr>
          <w:spacing w:val="-3"/>
        </w:rPr>
      </w:pPr>
    </w:p>
    <w:p w14:paraId="094ABEAE" w14:textId="1A1E6838" w:rsidR="003479E6" w:rsidRPr="00BD1319" w:rsidRDefault="006D1B22">
      <w:pPr>
        <w:numPr>
          <w:ilvl w:val="12"/>
          <w:numId w:val="0"/>
        </w:numPr>
        <w:tabs>
          <w:tab w:val="left" w:pos="-2268"/>
        </w:tabs>
        <w:suppressAutoHyphens/>
        <w:rPr>
          <w:spacing w:val="-3"/>
        </w:rPr>
      </w:pPr>
      <w:r w:rsidRPr="00BD1319">
        <w:rPr>
          <w:rFonts w:cs="Arial"/>
          <w:spacing w:val="-3"/>
        </w:rPr>
        <w:t xml:space="preserve">La evaluación ambiental debe tomar como referencia la información cualitativa y cuantitativa, así como los análisis regionales que han obtenido y desarrollado las autoridades ambientales para el área de estudio. </w:t>
      </w:r>
      <w:r w:rsidRPr="00BD1319">
        <w:rPr>
          <w:spacing w:val="-3"/>
        </w:rPr>
        <w:t xml:space="preserve">Asimismo, es necesario que este proceso contemple </w:t>
      </w:r>
      <w:r w:rsidR="00A9037D" w:rsidRPr="00BD1319">
        <w:rPr>
          <w:spacing w:val="-3"/>
        </w:rPr>
        <w:t xml:space="preserve">las diferentes etapas, fases y actividades necesarias para el </w:t>
      </w:r>
      <w:r w:rsidR="00A9037D" w:rsidRPr="00BD1319">
        <w:rPr>
          <w:spacing w:val="-3"/>
        </w:rPr>
        <w:lastRenderedPageBreak/>
        <w:t>desarrollo de</w:t>
      </w:r>
      <w:r w:rsidR="00FE5137" w:rsidRPr="00BD1319">
        <w:rPr>
          <w:spacing w:val="-3"/>
        </w:rPr>
        <w:t xml:space="preserve">l proyecto, obra o actividad para el cual se formulan </w:t>
      </w:r>
      <w:r w:rsidR="00A9037D" w:rsidRPr="00BD1319">
        <w:rPr>
          <w:spacing w:val="-3"/>
        </w:rPr>
        <w:t xml:space="preserve">las alternativas y la interrelación de éstas con los </w:t>
      </w:r>
      <w:r w:rsidRPr="00BD1319">
        <w:rPr>
          <w:spacing w:val="-3"/>
        </w:rPr>
        <w:t xml:space="preserve">factores y </w:t>
      </w:r>
      <w:r w:rsidR="00A9037D" w:rsidRPr="00BD1319">
        <w:rPr>
          <w:spacing w:val="-3"/>
        </w:rPr>
        <w:t>componentes del ambiente.</w:t>
      </w:r>
    </w:p>
    <w:p w14:paraId="75CFCB05" w14:textId="77777777" w:rsidR="003479E6" w:rsidRPr="00BD1319" w:rsidRDefault="003479E6">
      <w:pPr>
        <w:numPr>
          <w:ilvl w:val="12"/>
          <w:numId w:val="0"/>
        </w:numPr>
        <w:tabs>
          <w:tab w:val="left" w:pos="-2268"/>
        </w:tabs>
        <w:suppressAutoHyphens/>
        <w:rPr>
          <w:spacing w:val="-3"/>
        </w:rPr>
      </w:pPr>
    </w:p>
    <w:p w14:paraId="2CD5177E" w14:textId="30A5A3F1" w:rsidR="00A9037D" w:rsidRPr="00BD1319" w:rsidRDefault="00832CDD">
      <w:pPr>
        <w:numPr>
          <w:ilvl w:val="12"/>
          <w:numId w:val="0"/>
        </w:numPr>
        <w:tabs>
          <w:tab w:val="left" w:pos="-2268"/>
        </w:tabs>
        <w:suppressAutoHyphens/>
        <w:rPr>
          <w:rFonts w:cs="Arial"/>
          <w:spacing w:val="-3"/>
        </w:rPr>
      </w:pPr>
      <w:r w:rsidRPr="00BD1319">
        <w:rPr>
          <w:spacing w:val="-3"/>
        </w:rPr>
        <w:t xml:space="preserve">El método </w:t>
      </w:r>
      <w:r w:rsidRPr="00BD1319">
        <w:rPr>
          <w:rFonts w:cs="Arial"/>
          <w:spacing w:val="-3"/>
        </w:rPr>
        <w:t xml:space="preserve">que se </w:t>
      </w:r>
      <w:r w:rsidR="006D6DF4" w:rsidRPr="00BD1319">
        <w:rPr>
          <w:rFonts w:cs="Arial"/>
          <w:spacing w:val="-3"/>
        </w:rPr>
        <w:t>emplee</w:t>
      </w:r>
      <w:r w:rsidRPr="00BD1319">
        <w:rPr>
          <w:rFonts w:cs="Arial"/>
          <w:spacing w:val="-3"/>
        </w:rPr>
        <w:t xml:space="preserve"> para la valoración de los </w:t>
      </w:r>
      <w:r w:rsidR="00FE5137" w:rsidRPr="00BD1319">
        <w:rPr>
          <w:rFonts w:cs="Arial"/>
          <w:spacing w:val="-3"/>
        </w:rPr>
        <w:t>impactos</w:t>
      </w:r>
      <w:r w:rsidRPr="00BD1319">
        <w:rPr>
          <w:rFonts w:cs="Arial"/>
          <w:spacing w:val="-3"/>
        </w:rPr>
        <w:t xml:space="preserve"> debe </w:t>
      </w:r>
      <w:r w:rsidR="003479E6" w:rsidRPr="00BD1319">
        <w:rPr>
          <w:rFonts w:cs="Arial"/>
          <w:spacing w:val="-3"/>
        </w:rPr>
        <w:t>corresponder a</w:t>
      </w:r>
      <w:r w:rsidRPr="00BD1319">
        <w:rPr>
          <w:rFonts w:cs="Arial"/>
          <w:spacing w:val="-3"/>
        </w:rPr>
        <w:t xml:space="preserve">l grado de detalle </w:t>
      </w:r>
      <w:r w:rsidR="006D6DF4" w:rsidRPr="00BD1319">
        <w:rPr>
          <w:rFonts w:cs="Arial"/>
          <w:spacing w:val="-3"/>
        </w:rPr>
        <w:t>con e</w:t>
      </w:r>
      <w:r w:rsidRPr="00BD1319">
        <w:rPr>
          <w:rFonts w:cs="Arial"/>
          <w:spacing w:val="-3"/>
        </w:rPr>
        <w:t xml:space="preserve">l cual </w:t>
      </w:r>
      <w:r w:rsidR="00160E09" w:rsidRPr="00BD1319">
        <w:rPr>
          <w:rFonts w:cs="Arial"/>
          <w:spacing w:val="-3"/>
        </w:rPr>
        <w:t>es posible plantear</w:t>
      </w:r>
      <w:r w:rsidRPr="00BD1319">
        <w:rPr>
          <w:rFonts w:cs="Arial"/>
          <w:spacing w:val="-3"/>
        </w:rPr>
        <w:t xml:space="preserve"> las alternativas</w:t>
      </w:r>
      <w:r w:rsidR="00B40DCF" w:rsidRPr="00BD1319">
        <w:rPr>
          <w:rFonts w:cs="Arial"/>
          <w:spacing w:val="-3"/>
        </w:rPr>
        <w:t xml:space="preserve"> y basarse en los impactos ambientales </w:t>
      </w:r>
      <w:r w:rsidR="00B40DCF" w:rsidRPr="00BD1319">
        <w:rPr>
          <w:rFonts w:cs="Arial"/>
          <w:i/>
          <w:iCs/>
          <w:spacing w:val="-3"/>
        </w:rPr>
        <w:t xml:space="preserve">potenciales </w:t>
      </w:r>
      <w:r w:rsidR="00B40DCF" w:rsidRPr="00BD1319">
        <w:rPr>
          <w:rFonts w:cs="Arial"/>
          <w:spacing w:val="-3"/>
        </w:rPr>
        <w:t>de éstas;</w:t>
      </w:r>
      <w:r w:rsidRPr="00BD1319">
        <w:rPr>
          <w:rFonts w:cs="Arial"/>
          <w:spacing w:val="-3"/>
        </w:rPr>
        <w:t xml:space="preserve"> </w:t>
      </w:r>
      <w:r w:rsidR="00B40DCF" w:rsidRPr="00BD1319">
        <w:rPr>
          <w:rFonts w:cs="Arial"/>
          <w:spacing w:val="-3"/>
        </w:rPr>
        <w:t xml:space="preserve">por lo tanto, </w:t>
      </w:r>
      <w:r w:rsidR="003479E6" w:rsidRPr="00BD1319">
        <w:rPr>
          <w:rFonts w:cs="Arial"/>
          <w:spacing w:val="-3"/>
        </w:rPr>
        <w:t>puede ser</w:t>
      </w:r>
      <w:r w:rsidR="006D6DF4" w:rsidRPr="00BD1319">
        <w:rPr>
          <w:rFonts w:cs="Arial"/>
          <w:spacing w:val="-3"/>
        </w:rPr>
        <w:t xml:space="preserve"> </w:t>
      </w:r>
      <w:r w:rsidRPr="00BD1319">
        <w:rPr>
          <w:rFonts w:cs="Arial"/>
          <w:spacing w:val="-3"/>
        </w:rPr>
        <w:t xml:space="preserve">menos intensivo en el uso de información </w:t>
      </w:r>
      <w:r w:rsidR="00B40DCF" w:rsidRPr="00BD1319">
        <w:rPr>
          <w:rFonts w:cs="Arial"/>
          <w:spacing w:val="-3"/>
        </w:rPr>
        <w:t xml:space="preserve">pormenorizada </w:t>
      </w:r>
      <w:r w:rsidR="00DB3E17" w:rsidRPr="00BD1319">
        <w:rPr>
          <w:rFonts w:cs="Arial"/>
          <w:spacing w:val="-3"/>
        </w:rPr>
        <w:t xml:space="preserve">y específica </w:t>
      </w:r>
      <w:r w:rsidR="003479E6" w:rsidRPr="00BD1319">
        <w:rPr>
          <w:rFonts w:cs="Arial"/>
          <w:spacing w:val="-3"/>
        </w:rPr>
        <w:t xml:space="preserve">que los métodos utilizados para la elaboración de un </w:t>
      </w:r>
      <w:r w:rsidRPr="00BD1319">
        <w:rPr>
          <w:rFonts w:cs="Arial"/>
          <w:spacing w:val="-3"/>
        </w:rPr>
        <w:t>EIA</w:t>
      </w:r>
      <w:r w:rsidR="003479E6" w:rsidRPr="00BD1319">
        <w:rPr>
          <w:rFonts w:cs="Arial"/>
          <w:spacing w:val="-3"/>
        </w:rPr>
        <w:t>,</w:t>
      </w:r>
      <w:r w:rsidRPr="00BD1319">
        <w:rPr>
          <w:rFonts w:cs="Arial"/>
          <w:spacing w:val="-3"/>
        </w:rPr>
        <w:t xml:space="preserve"> </w:t>
      </w:r>
      <w:r w:rsidR="00FE5137" w:rsidRPr="00BD1319">
        <w:rPr>
          <w:rFonts w:cs="Arial"/>
          <w:spacing w:val="-3"/>
        </w:rPr>
        <w:t xml:space="preserve">emplear </w:t>
      </w:r>
      <w:r w:rsidR="003479E6" w:rsidRPr="00BD1319">
        <w:rPr>
          <w:rFonts w:cs="Arial"/>
          <w:spacing w:val="-3"/>
        </w:rPr>
        <w:t xml:space="preserve">menos </w:t>
      </w:r>
      <w:r w:rsidRPr="00BD1319">
        <w:rPr>
          <w:rFonts w:cs="Arial"/>
          <w:spacing w:val="-3"/>
        </w:rPr>
        <w:t>atributos de valoración</w:t>
      </w:r>
      <w:r w:rsidR="00B40DCF" w:rsidRPr="00BD1319">
        <w:rPr>
          <w:rFonts w:cs="Arial"/>
          <w:spacing w:val="-3"/>
        </w:rPr>
        <w:t xml:space="preserve"> y </w:t>
      </w:r>
      <w:r w:rsidR="00160E09" w:rsidRPr="00BD1319">
        <w:rPr>
          <w:rFonts w:cs="Arial"/>
          <w:spacing w:val="-3"/>
        </w:rPr>
        <w:t>enfoc</w:t>
      </w:r>
      <w:r w:rsidR="00B40DCF" w:rsidRPr="00BD1319">
        <w:rPr>
          <w:rFonts w:cs="Arial"/>
          <w:spacing w:val="-3"/>
        </w:rPr>
        <w:t xml:space="preserve">arse </w:t>
      </w:r>
      <w:r w:rsidR="00160E09" w:rsidRPr="00BD1319">
        <w:rPr>
          <w:rFonts w:cs="Arial"/>
          <w:spacing w:val="-3"/>
        </w:rPr>
        <w:t>en aquell</w:t>
      </w:r>
      <w:r w:rsidR="00DB3E17" w:rsidRPr="00BD1319">
        <w:rPr>
          <w:rFonts w:cs="Arial"/>
          <w:spacing w:val="-3"/>
        </w:rPr>
        <w:t xml:space="preserve">os datos </w:t>
      </w:r>
      <w:r w:rsidR="00B40DCF" w:rsidRPr="00BD1319">
        <w:rPr>
          <w:rFonts w:cs="Arial"/>
          <w:spacing w:val="-3"/>
        </w:rPr>
        <w:t xml:space="preserve">y atributos </w:t>
      </w:r>
      <w:r w:rsidR="006D6DF4" w:rsidRPr="00BD1319">
        <w:rPr>
          <w:rFonts w:cs="Arial"/>
          <w:spacing w:val="-3"/>
        </w:rPr>
        <w:t xml:space="preserve">que resulten </w:t>
      </w:r>
      <w:r w:rsidRPr="00BD1319">
        <w:rPr>
          <w:rFonts w:cs="Arial"/>
          <w:spacing w:val="-3"/>
        </w:rPr>
        <w:t xml:space="preserve">clave para </w:t>
      </w:r>
      <w:r w:rsidR="00B40DCF" w:rsidRPr="00BD1319">
        <w:rPr>
          <w:rFonts w:cs="Arial"/>
          <w:spacing w:val="-3"/>
        </w:rPr>
        <w:t xml:space="preserve">encontrar diferencias y </w:t>
      </w:r>
      <w:r w:rsidRPr="00BD1319">
        <w:rPr>
          <w:rFonts w:cs="Arial"/>
          <w:spacing w:val="-3"/>
        </w:rPr>
        <w:t>compara</w:t>
      </w:r>
      <w:r w:rsidR="00B40DCF" w:rsidRPr="00BD1319">
        <w:rPr>
          <w:rFonts w:cs="Arial"/>
          <w:spacing w:val="-3"/>
        </w:rPr>
        <w:t xml:space="preserve">r </w:t>
      </w:r>
      <w:r w:rsidRPr="00BD1319">
        <w:rPr>
          <w:rFonts w:cs="Arial"/>
          <w:spacing w:val="-3"/>
        </w:rPr>
        <w:t>las alternativas</w:t>
      </w:r>
      <w:r w:rsidR="00160E09" w:rsidRPr="00BD1319">
        <w:rPr>
          <w:rFonts w:cs="Arial"/>
          <w:spacing w:val="-3"/>
        </w:rPr>
        <w:t xml:space="preserve">. </w:t>
      </w:r>
      <w:r w:rsidR="00B40DCF" w:rsidRPr="00BD1319">
        <w:rPr>
          <w:rFonts w:cs="Arial"/>
          <w:spacing w:val="-3"/>
        </w:rPr>
        <w:t xml:space="preserve">Lo fundamental es que </w:t>
      </w:r>
      <w:r w:rsidR="00E45A9B" w:rsidRPr="00BD1319">
        <w:rPr>
          <w:rFonts w:cs="Arial"/>
          <w:spacing w:val="-3"/>
        </w:rPr>
        <w:t xml:space="preserve">dicho </w:t>
      </w:r>
      <w:r w:rsidR="00160E09" w:rsidRPr="00BD1319">
        <w:rPr>
          <w:rFonts w:cs="Arial"/>
          <w:spacing w:val="-3"/>
        </w:rPr>
        <w:t>método asegur</w:t>
      </w:r>
      <w:r w:rsidR="00B40DCF" w:rsidRPr="00BD1319">
        <w:rPr>
          <w:rFonts w:cs="Arial"/>
          <w:spacing w:val="-3"/>
        </w:rPr>
        <w:t>e</w:t>
      </w:r>
      <w:r w:rsidR="00160E09" w:rsidRPr="00BD1319">
        <w:rPr>
          <w:rFonts w:cs="Arial"/>
          <w:spacing w:val="-3"/>
        </w:rPr>
        <w:t xml:space="preserve"> que mediante la </w:t>
      </w:r>
      <w:r w:rsidRPr="00BD1319">
        <w:rPr>
          <w:rFonts w:cs="Arial"/>
          <w:spacing w:val="-3"/>
        </w:rPr>
        <w:t>evalua</w:t>
      </w:r>
      <w:r w:rsidR="00160E09" w:rsidRPr="00BD1319">
        <w:rPr>
          <w:rFonts w:cs="Arial"/>
          <w:spacing w:val="-3"/>
        </w:rPr>
        <w:t xml:space="preserve">ción ambiental se </w:t>
      </w:r>
      <w:r w:rsidR="00B40DCF" w:rsidRPr="00BD1319">
        <w:rPr>
          <w:rFonts w:cs="Arial"/>
          <w:spacing w:val="-3"/>
        </w:rPr>
        <w:t xml:space="preserve">puedan </w:t>
      </w:r>
      <w:r w:rsidR="00E57583" w:rsidRPr="00BD1319">
        <w:rPr>
          <w:rFonts w:cs="Arial"/>
          <w:spacing w:val="-3"/>
        </w:rPr>
        <w:t xml:space="preserve">establecer </w:t>
      </w:r>
      <w:r w:rsidR="00AD3AB0" w:rsidRPr="00BD1319">
        <w:rPr>
          <w:rFonts w:cs="Arial"/>
          <w:spacing w:val="-3"/>
        </w:rPr>
        <w:t xml:space="preserve">las </w:t>
      </w:r>
      <w:r w:rsidR="00160E09" w:rsidRPr="00BD1319">
        <w:rPr>
          <w:rFonts w:cs="Arial"/>
          <w:spacing w:val="-3"/>
        </w:rPr>
        <w:t xml:space="preserve">diferencias </w:t>
      </w:r>
      <w:r w:rsidR="00AD3AB0" w:rsidRPr="00BD1319">
        <w:rPr>
          <w:rFonts w:cs="Arial"/>
          <w:spacing w:val="-3"/>
        </w:rPr>
        <w:t xml:space="preserve">existentes </w:t>
      </w:r>
      <w:r w:rsidR="00B40DCF" w:rsidRPr="00BD1319">
        <w:rPr>
          <w:rFonts w:cs="Arial"/>
          <w:spacing w:val="-3"/>
        </w:rPr>
        <w:t xml:space="preserve">entre </w:t>
      </w:r>
      <w:r w:rsidR="0063640F" w:rsidRPr="00BD1319">
        <w:rPr>
          <w:rFonts w:cs="Arial"/>
          <w:spacing w:val="-3"/>
        </w:rPr>
        <w:t>las alternativas</w:t>
      </w:r>
      <w:r w:rsidR="00AD3AB0" w:rsidRPr="00BD1319">
        <w:rPr>
          <w:rFonts w:cs="Arial"/>
          <w:spacing w:val="-3"/>
        </w:rPr>
        <w:t xml:space="preserve"> en términos de impactos potenciales</w:t>
      </w:r>
      <w:r w:rsidRPr="00BD1319">
        <w:rPr>
          <w:rFonts w:cs="Arial"/>
          <w:spacing w:val="-3"/>
        </w:rPr>
        <w:t>.</w:t>
      </w:r>
    </w:p>
    <w:p w14:paraId="05F30349" w14:textId="77777777" w:rsidR="00A9037D" w:rsidRPr="00BD1319" w:rsidRDefault="00A9037D">
      <w:pPr>
        <w:numPr>
          <w:ilvl w:val="12"/>
          <w:numId w:val="0"/>
        </w:numPr>
        <w:tabs>
          <w:tab w:val="left" w:pos="-2268"/>
        </w:tabs>
        <w:suppressAutoHyphens/>
        <w:rPr>
          <w:spacing w:val="-3"/>
        </w:rPr>
      </w:pPr>
    </w:p>
    <w:p w14:paraId="56D1B812" w14:textId="3E3039B5" w:rsidR="00A9037D" w:rsidRPr="00BD1319" w:rsidRDefault="006D1B22" w:rsidP="00A9037D">
      <w:pPr>
        <w:numPr>
          <w:ilvl w:val="12"/>
          <w:numId w:val="0"/>
        </w:numPr>
        <w:tabs>
          <w:tab w:val="left" w:pos="-2268"/>
        </w:tabs>
        <w:suppressAutoHyphens/>
        <w:rPr>
          <w:rFonts w:cs="Arial"/>
          <w:spacing w:val="-3"/>
        </w:rPr>
      </w:pPr>
      <w:r w:rsidRPr="00BD1319">
        <w:rPr>
          <w:rFonts w:cs="Arial"/>
          <w:spacing w:val="-3"/>
        </w:rPr>
        <w:t xml:space="preserve">La información que resulte de </w:t>
      </w:r>
      <w:r w:rsidR="003E5ABC" w:rsidRPr="00BD1319">
        <w:rPr>
          <w:rFonts w:cs="Arial"/>
          <w:spacing w:val="-3"/>
        </w:rPr>
        <w:t xml:space="preserve">la </w:t>
      </w:r>
      <w:r w:rsidR="003E661A" w:rsidRPr="00BD1319">
        <w:rPr>
          <w:rFonts w:cs="Arial"/>
          <w:spacing w:val="-3"/>
        </w:rPr>
        <w:t xml:space="preserve">evaluación </w:t>
      </w:r>
      <w:r w:rsidR="00A9037D" w:rsidRPr="00BD1319">
        <w:rPr>
          <w:rFonts w:cs="Arial"/>
          <w:spacing w:val="-3"/>
        </w:rPr>
        <w:t xml:space="preserve">de impactos </w:t>
      </w:r>
      <w:r w:rsidR="00034D41" w:rsidRPr="00BD1319">
        <w:rPr>
          <w:rFonts w:cs="Arial"/>
          <w:spacing w:val="-3"/>
        </w:rPr>
        <w:t xml:space="preserve">ambientales </w:t>
      </w:r>
      <w:r w:rsidR="003E5ABC" w:rsidRPr="00BD1319">
        <w:rPr>
          <w:rFonts w:cs="Arial"/>
          <w:spacing w:val="-3"/>
        </w:rPr>
        <w:t xml:space="preserve">potenciales </w:t>
      </w:r>
      <w:r w:rsidR="00A9037D" w:rsidRPr="00BD1319">
        <w:rPr>
          <w:rFonts w:cs="Arial"/>
          <w:spacing w:val="-3"/>
        </w:rPr>
        <w:t xml:space="preserve">para cada una de las alternativas </w:t>
      </w:r>
      <w:r w:rsidR="003E661A" w:rsidRPr="00BD1319">
        <w:rPr>
          <w:rFonts w:cs="Arial"/>
          <w:spacing w:val="-3"/>
        </w:rPr>
        <w:t xml:space="preserve">debe </w:t>
      </w:r>
      <w:r w:rsidR="00DB3E17" w:rsidRPr="00BD1319">
        <w:rPr>
          <w:rFonts w:cs="Arial"/>
          <w:spacing w:val="-3"/>
        </w:rPr>
        <w:t xml:space="preserve">ser </w:t>
      </w:r>
      <w:r w:rsidR="0076241D" w:rsidRPr="00BD1319">
        <w:rPr>
          <w:rFonts w:cs="Arial"/>
          <w:spacing w:val="-3"/>
        </w:rPr>
        <w:t>consigna</w:t>
      </w:r>
      <w:r w:rsidR="00DB3E17" w:rsidRPr="00BD1319">
        <w:rPr>
          <w:rFonts w:cs="Arial"/>
          <w:spacing w:val="-3"/>
        </w:rPr>
        <w:t>da</w:t>
      </w:r>
      <w:r w:rsidR="0076241D" w:rsidRPr="00BD1319">
        <w:rPr>
          <w:rFonts w:cs="Arial"/>
          <w:spacing w:val="-3"/>
        </w:rPr>
        <w:t xml:space="preserve"> </w:t>
      </w:r>
      <w:r w:rsidR="00DB3E17" w:rsidRPr="00BD1319">
        <w:rPr>
          <w:rFonts w:cs="Arial"/>
          <w:spacing w:val="-3"/>
        </w:rPr>
        <w:t xml:space="preserve">en una tabla que contenga los campos definidos en </w:t>
      </w:r>
      <w:r w:rsidR="003E661A" w:rsidRPr="00BD1319">
        <w:rPr>
          <w:rFonts w:cs="Arial"/>
          <w:spacing w:val="-3"/>
        </w:rPr>
        <w:t xml:space="preserve">la </w:t>
      </w:r>
      <w:r w:rsidR="003E661A" w:rsidRPr="00BD1319">
        <w:rPr>
          <w:rFonts w:cs="Arial"/>
          <w:spacing w:val="-3"/>
        </w:rPr>
        <w:fldChar w:fldCharType="begin"/>
      </w:r>
      <w:r w:rsidR="003E661A" w:rsidRPr="00BD1319">
        <w:rPr>
          <w:rFonts w:cs="Arial"/>
          <w:spacing w:val="-3"/>
        </w:rPr>
        <w:instrText xml:space="preserve"> REF _Ref488184224 \h  \* MERGEFORMAT </w:instrText>
      </w:r>
      <w:r w:rsidR="003E661A" w:rsidRPr="00BD1319">
        <w:rPr>
          <w:rFonts w:cs="Arial"/>
          <w:spacing w:val="-3"/>
        </w:rPr>
      </w:r>
      <w:r w:rsidR="003E661A" w:rsidRPr="00BD1319">
        <w:rPr>
          <w:rFonts w:cs="Arial"/>
          <w:spacing w:val="-3"/>
        </w:rPr>
        <w:fldChar w:fldCharType="separate"/>
      </w:r>
      <w:r w:rsidR="00296654" w:rsidRPr="00BD1319">
        <w:rPr>
          <w:rFonts w:cs="Arial"/>
          <w:spacing w:val="-3"/>
        </w:rPr>
        <w:t>Tabla 13</w:t>
      </w:r>
      <w:r w:rsidR="003E661A" w:rsidRPr="00BD1319">
        <w:rPr>
          <w:rFonts w:cs="Arial"/>
          <w:spacing w:val="-3"/>
        </w:rPr>
        <w:fldChar w:fldCharType="end"/>
      </w:r>
      <w:r w:rsidR="00A9037D" w:rsidRPr="00BD1319">
        <w:rPr>
          <w:rFonts w:cs="Arial"/>
          <w:spacing w:val="-3"/>
        </w:rPr>
        <w:t>.</w:t>
      </w:r>
    </w:p>
    <w:p w14:paraId="7FDA7A0D" w14:textId="46AB6EFB" w:rsidR="00A9037D" w:rsidRPr="00BD1319" w:rsidRDefault="00A9037D" w:rsidP="00A9037D">
      <w:pPr>
        <w:numPr>
          <w:ilvl w:val="12"/>
          <w:numId w:val="0"/>
        </w:numPr>
        <w:tabs>
          <w:tab w:val="left" w:pos="-2268"/>
        </w:tabs>
        <w:suppressAutoHyphens/>
        <w:rPr>
          <w:rFonts w:cs="Arial"/>
          <w:spacing w:val="-3"/>
        </w:rPr>
      </w:pPr>
    </w:p>
    <w:p w14:paraId="7D5E23BA" w14:textId="3B828313" w:rsidR="00A9037D" w:rsidRPr="00BD1319" w:rsidRDefault="00A9037D" w:rsidP="00A9037D">
      <w:pPr>
        <w:numPr>
          <w:ilvl w:val="12"/>
          <w:numId w:val="0"/>
        </w:numPr>
        <w:tabs>
          <w:tab w:val="left" w:pos="-2268"/>
        </w:tabs>
        <w:suppressAutoHyphens/>
        <w:jc w:val="center"/>
        <w:rPr>
          <w:bCs/>
          <w:spacing w:val="-3"/>
        </w:rPr>
      </w:pPr>
      <w:bookmarkStart w:id="2352" w:name="_Ref488184224"/>
      <w:r w:rsidRPr="00BD1319">
        <w:rPr>
          <w:b/>
          <w:spacing w:val="-3"/>
        </w:rPr>
        <w:t xml:space="preserve">Tabla </w:t>
      </w:r>
      <w:r w:rsidRPr="00BD1319">
        <w:rPr>
          <w:b/>
          <w:spacing w:val="-3"/>
        </w:rPr>
        <w:fldChar w:fldCharType="begin"/>
      </w:r>
      <w:r w:rsidRPr="00BD1319">
        <w:rPr>
          <w:rFonts w:cs="Arial"/>
          <w:b/>
          <w:spacing w:val="-3"/>
        </w:rPr>
        <w:instrText xml:space="preserve"> SEQ Tabla \* ARABIC </w:instrText>
      </w:r>
      <w:r w:rsidRPr="00BD1319">
        <w:rPr>
          <w:b/>
          <w:spacing w:val="-3"/>
        </w:rPr>
        <w:fldChar w:fldCharType="separate"/>
      </w:r>
      <w:r w:rsidR="00296654" w:rsidRPr="00BD1319">
        <w:rPr>
          <w:rFonts w:cs="Arial"/>
          <w:b/>
          <w:noProof/>
          <w:spacing w:val="-3"/>
        </w:rPr>
        <w:t>13</w:t>
      </w:r>
      <w:r w:rsidRPr="00BD1319">
        <w:rPr>
          <w:b/>
          <w:spacing w:val="-3"/>
        </w:rPr>
        <w:fldChar w:fldCharType="end"/>
      </w:r>
      <w:bookmarkEnd w:id="2352"/>
      <w:r w:rsidR="00830F0E" w:rsidRPr="00BD1319">
        <w:rPr>
          <w:b/>
          <w:spacing w:val="-3"/>
        </w:rPr>
        <w:t>.</w:t>
      </w:r>
      <w:r w:rsidRPr="00BD1319">
        <w:rPr>
          <w:bCs/>
          <w:spacing w:val="-3"/>
        </w:rPr>
        <w:t xml:space="preserve"> </w:t>
      </w:r>
      <w:r w:rsidR="0009367A" w:rsidRPr="00BD1319">
        <w:rPr>
          <w:bCs/>
          <w:spacing w:val="-3"/>
        </w:rPr>
        <w:t xml:space="preserve">Determinación </w:t>
      </w:r>
      <w:r w:rsidR="00DB3E17" w:rsidRPr="00BD1319">
        <w:rPr>
          <w:bCs/>
          <w:spacing w:val="-3"/>
        </w:rPr>
        <w:t xml:space="preserve">y valoración </w:t>
      </w:r>
      <w:r w:rsidRPr="00BD1319">
        <w:rPr>
          <w:bCs/>
          <w:spacing w:val="-3"/>
        </w:rPr>
        <w:t>de impactos</w:t>
      </w:r>
      <w:r w:rsidR="00034D41" w:rsidRPr="00BD1319">
        <w:rPr>
          <w:bCs/>
          <w:spacing w:val="-3"/>
        </w:rPr>
        <w:t xml:space="preserve"> ambientales</w:t>
      </w:r>
      <w:r w:rsidRPr="00BD1319">
        <w:rPr>
          <w:bCs/>
          <w:spacing w:val="-3"/>
        </w:rPr>
        <w:t xml:space="preserve"> potenciales</w:t>
      </w:r>
    </w:p>
    <w:tbl>
      <w:tblPr>
        <w:tblStyle w:val="Tablanormal21"/>
        <w:tblW w:w="107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1"/>
        <w:gridCol w:w="1197"/>
        <w:gridCol w:w="1969"/>
        <w:gridCol w:w="936"/>
        <w:gridCol w:w="2074"/>
        <w:gridCol w:w="236"/>
        <w:gridCol w:w="236"/>
        <w:gridCol w:w="236"/>
        <w:gridCol w:w="3337"/>
      </w:tblGrid>
      <w:tr w:rsidR="009420F5" w:rsidRPr="00BD1319" w14:paraId="36AB2B83" w14:textId="77777777" w:rsidTr="008A4FE9">
        <w:trPr>
          <w:cnfStyle w:val="100000000000" w:firstRow="1" w:lastRow="0" w:firstColumn="0" w:lastColumn="0" w:oddVBand="0" w:evenVBand="0" w:oddHBand="0" w:evenHBand="0" w:firstRowFirstColumn="0" w:firstRowLastColumn="0" w:lastRowFirstColumn="0" w:lastRowLastColumn="0"/>
          <w:trHeight w:val="1673"/>
          <w:jc w:val="center"/>
        </w:trPr>
        <w:tc>
          <w:tcPr>
            <w:cnfStyle w:val="001000000000" w:firstRow="0" w:lastRow="0" w:firstColumn="1" w:lastColumn="0" w:oddVBand="0" w:evenVBand="0" w:oddHBand="0" w:evenHBand="0" w:firstRowFirstColumn="0" w:firstRowLastColumn="0" w:lastRowFirstColumn="0" w:lastRowLastColumn="0"/>
            <w:tcW w:w="577" w:type="dxa"/>
            <w:shd w:val="clear" w:color="auto" w:fill="auto"/>
            <w:tcMar>
              <w:left w:w="28" w:type="dxa"/>
              <w:right w:w="28" w:type="dxa"/>
            </w:tcMar>
            <w:textDirection w:val="btLr"/>
            <w:vAlign w:val="center"/>
          </w:tcPr>
          <w:p w14:paraId="1F8D956D" w14:textId="2EE47416" w:rsidR="006B60AF" w:rsidRPr="00BD1319" w:rsidRDefault="006B60AF" w:rsidP="0082127E">
            <w:pPr>
              <w:numPr>
                <w:ilvl w:val="12"/>
                <w:numId w:val="0"/>
              </w:numPr>
              <w:tabs>
                <w:tab w:val="left" w:pos="-2268"/>
              </w:tabs>
              <w:suppressAutoHyphens/>
              <w:jc w:val="center"/>
              <w:rPr>
                <w:spacing w:val="-3"/>
                <w:sz w:val="20"/>
              </w:rPr>
            </w:pPr>
            <w:r w:rsidRPr="00BD1319">
              <w:rPr>
                <w:spacing w:val="-3"/>
                <w:sz w:val="20"/>
              </w:rPr>
              <w:t>Medio</w:t>
            </w:r>
            <w:r w:rsidR="00BC6D6A" w:rsidRPr="00BD1319">
              <w:rPr>
                <w:spacing w:val="-3"/>
                <w:sz w:val="20"/>
              </w:rPr>
              <w:t xml:space="preserve"> /</w:t>
            </w:r>
            <w:r w:rsidRPr="00BD1319">
              <w:rPr>
                <w:spacing w:val="-3"/>
                <w:sz w:val="20"/>
              </w:rPr>
              <w:t xml:space="preserve"> Componente</w:t>
            </w:r>
          </w:p>
        </w:tc>
        <w:tc>
          <w:tcPr>
            <w:tcW w:w="1276" w:type="dxa"/>
            <w:shd w:val="clear" w:color="auto" w:fill="auto"/>
            <w:vAlign w:val="center"/>
          </w:tcPr>
          <w:p w14:paraId="15AA3E02" w14:textId="422C4195" w:rsidR="006B60AF" w:rsidRPr="00BD1319" w:rsidRDefault="006B60AF" w:rsidP="004F01DD">
            <w:pPr>
              <w:numPr>
                <w:ilvl w:val="12"/>
                <w:numId w:val="0"/>
              </w:numPr>
              <w:tabs>
                <w:tab w:val="left" w:pos="-2268"/>
              </w:tabs>
              <w:suppressAutoHyphens/>
              <w:jc w:val="center"/>
              <w:cnfStyle w:val="100000000000" w:firstRow="1" w:lastRow="0" w:firstColumn="0" w:lastColumn="0" w:oddVBand="0" w:evenVBand="0" w:oddHBand="0" w:evenHBand="0" w:firstRowFirstColumn="0" w:firstRowLastColumn="0" w:lastRowFirstColumn="0" w:lastRowLastColumn="0"/>
              <w:rPr>
                <w:rFonts w:cs="Arial"/>
                <w:spacing w:val="-3"/>
                <w:sz w:val="20"/>
                <w:szCs w:val="20"/>
              </w:rPr>
            </w:pPr>
            <w:r w:rsidRPr="00BD1319">
              <w:rPr>
                <w:rFonts w:cs="Arial"/>
                <w:spacing w:val="-3"/>
                <w:sz w:val="20"/>
                <w:szCs w:val="20"/>
              </w:rPr>
              <w:t xml:space="preserve">Categoría </w:t>
            </w:r>
            <w:r w:rsidR="00DB3E17" w:rsidRPr="00BD1319">
              <w:rPr>
                <w:rFonts w:cs="Arial"/>
                <w:spacing w:val="-3"/>
                <w:sz w:val="20"/>
                <w:szCs w:val="20"/>
              </w:rPr>
              <w:t>estandarizada</w:t>
            </w:r>
            <w:r w:rsidR="006819D3" w:rsidRPr="00BD1319">
              <w:rPr>
                <w:rFonts w:cs="Arial"/>
                <w:spacing w:val="-3"/>
                <w:sz w:val="20"/>
                <w:szCs w:val="20"/>
              </w:rPr>
              <w:t>*</w:t>
            </w:r>
          </w:p>
        </w:tc>
        <w:tc>
          <w:tcPr>
            <w:tcW w:w="2111" w:type="dxa"/>
            <w:shd w:val="clear" w:color="auto" w:fill="auto"/>
            <w:vAlign w:val="center"/>
          </w:tcPr>
          <w:p w14:paraId="3F198A2D" w14:textId="7E7072A1" w:rsidR="006B60AF" w:rsidRPr="00BD1319" w:rsidRDefault="006B60AF" w:rsidP="00C86DA5">
            <w:pPr>
              <w:numPr>
                <w:ilvl w:val="12"/>
                <w:numId w:val="0"/>
              </w:numPr>
              <w:tabs>
                <w:tab w:val="left" w:pos="-2268"/>
              </w:tabs>
              <w:suppressAutoHyphens/>
              <w:jc w:val="center"/>
              <w:cnfStyle w:val="100000000000" w:firstRow="1" w:lastRow="0" w:firstColumn="0" w:lastColumn="0" w:oddVBand="0" w:evenVBand="0" w:oddHBand="0" w:evenHBand="0" w:firstRowFirstColumn="0" w:firstRowLastColumn="0" w:lastRowFirstColumn="0" w:lastRowLastColumn="0"/>
              <w:rPr>
                <w:spacing w:val="-3"/>
                <w:sz w:val="20"/>
              </w:rPr>
            </w:pPr>
            <w:r w:rsidRPr="00BD1319">
              <w:rPr>
                <w:spacing w:val="-3"/>
                <w:sz w:val="20"/>
              </w:rPr>
              <w:t>Impacto</w:t>
            </w:r>
            <w:r w:rsidR="005E7447" w:rsidRPr="00BD1319">
              <w:rPr>
                <w:spacing w:val="-3"/>
                <w:sz w:val="20"/>
              </w:rPr>
              <w:t xml:space="preserve"> potencial</w:t>
            </w:r>
          </w:p>
        </w:tc>
        <w:tc>
          <w:tcPr>
            <w:tcW w:w="993" w:type="dxa"/>
            <w:shd w:val="clear" w:color="auto" w:fill="auto"/>
            <w:vAlign w:val="center"/>
          </w:tcPr>
          <w:p w14:paraId="51D6A3B5" w14:textId="5C98552A" w:rsidR="006B60AF" w:rsidRPr="00BD1319" w:rsidRDefault="006B60AF" w:rsidP="004F01DD">
            <w:pPr>
              <w:numPr>
                <w:ilvl w:val="12"/>
                <w:numId w:val="0"/>
              </w:numPr>
              <w:tabs>
                <w:tab w:val="left" w:pos="-2268"/>
              </w:tabs>
              <w:suppressAutoHyphens/>
              <w:ind w:left="-108"/>
              <w:jc w:val="center"/>
              <w:cnfStyle w:val="100000000000" w:firstRow="1" w:lastRow="0" w:firstColumn="0" w:lastColumn="0" w:oddVBand="0" w:evenVBand="0" w:oddHBand="0" w:evenHBand="0" w:firstRowFirstColumn="0" w:firstRowLastColumn="0" w:lastRowFirstColumn="0" w:lastRowLastColumn="0"/>
              <w:rPr>
                <w:spacing w:val="-3"/>
                <w:sz w:val="20"/>
              </w:rPr>
            </w:pPr>
            <w:r w:rsidRPr="00BD1319">
              <w:rPr>
                <w:spacing w:val="-3"/>
                <w:sz w:val="20"/>
              </w:rPr>
              <w:t>Carácter</w:t>
            </w:r>
          </w:p>
          <w:p w14:paraId="32533BE9" w14:textId="06354C33" w:rsidR="006B60AF" w:rsidRPr="00BD1319" w:rsidRDefault="006B60AF" w:rsidP="004F01DD">
            <w:pPr>
              <w:numPr>
                <w:ilvl w:val="12"/>
                <w:numId w:val="0"/>
              </w:numPr>
              <w:tabs>
                <w:tab w:val="left" w:pos="-2268"/>
              </w:tabs>
              <w:suppressAutoHyphens/>
              <w:ind w:left="-108"/>
              <w:jc w:val="center"/>
              <w:cnfStyle w:val="100000000000" w:firstRow="1" w:lastRow="0" w:firstColumn="0" w:lastColumn="0" w:oddVBand="0" w:evenVBand="0" w:oddHBand="0" w:evenHBand="0" w:firstRowFirstColumn="0" w:firstRowLastColumn="0" w:lastRowFirstColumn="0" w:lastRowLastColumn="0"/>
              <w:rPr>
                <w:spacing w:val="-3"/>
                <w:sz w:val="20"/>
              </w:rPr>
            </w:pPr>
          </w:p>
          <w:p w14:paraId="3E2E155D" w14:textId="516306BF" w:rsidR="006B60AF" w:rsidRPr="00BD1319" w:rsidRDefault="006B60AF" w:rsidP="009420F5">
            <w:pPr>
              <w:numPr>
                <w:ilvl w:val="12"/>
                <w:numId w:val="0"/>
              </w:numPr>
              <w:tabs>
                <w:tab w:val="left" w:pos="-2268"/>
              </w:tabs>
              <w:suppressAutoHyphens/>
              <w:ind w:left="-108"/>
              <w:jc w:val="center"/>
              <w:cnfStyle w:val="100000000000" w:firstRow="1" w:lastRow="0" w:firstColumn="0" w:lastColumn="0" w:oddVBand="0" w:evenVBand="0" w:oddHBand="0" w:evenHBand="0" w:firstRowFirstColumn="0" w:firstRowLastColumn="0" w:lastRowFirstColumn="0" w:lastRowLastColumn="0"/>
              <w:rPr>
                <w:spacing w:val="-3"/>
                <w:sz w:val="20"/>
              </w:rPr>
            </w:pPr>
            <w:r w:rsidRPr="00BD1319">
              <w:rPr>
                <w:spacing w:val="-3"/>
                <w:sz w:val="20"/>
              </w:rPr>
              <w:t>(+ o -)</w:t>
            </w:r>
          </w:p>
        </w:tc>
        <w:tc>
          <w:tcPr>
            <w:tcW w:w="2224" w:type="dxa"/>
            <w:shd w:val="clear" w:color="auto" w:fill="auto"/>
            <w:vAlign w:val="center"/>
          </w:tcPr>
          <w:p w14:paraId="7B3F0BFC" w14:textId="77777777" w:rsidR="00D16E92" w:rsidRPr="00BD1319" w:rsidRDefault="006B60AF" w:rsidP="009420F5">
            <w:pPr>
              <w:numPr>
                <w:ilvl w:val="12"/>
                <w:numId w:val="0"/>
              </w:numPr>
              <w:tabs>
                <w:tab w:val="left" w:pos="-2268"/>
              </w:tabs>
              <w:suppressAutoHyphens/>
              <w:jc w:val="center"/>
              <w:cnfStyle w:val="100000000000" w:firstRow="1" w:lastRow="0" w:firstColumn="0" w:lastColumn="0" w:oddVBand="0" w:evenVBand="0" w:oddHBand="0" w:evenHBand="0" w:firstRowFirstColumn="0" w:firstRowLastColumn="0" w:lastRowFirstColumn="0" w:lastRowLastColumn="0"/>
              <w:rPr>
                <w:spacing w:val="-3"/>
                <w:sz w:val="20"/>
              </w:rPr>
            </w:pPr>
            <w:r w:rsidRPr="00BD1319">
              <w:rPr>
                <w:spacing w:val="-3"/>
                <w:sz w:val="20"/>
              </w:rPr>
              <w:t>Impacto existente en el área de estudio en el escenario sin proyecto</w:t>
            </w:r>
          </w:p>
          <w:p w14:paraId="0BB7BFA7" w14:textId="77777777" w:rsidR="00D16E92" w:rsidRPr="00BD1319" w:rsidRDefault="00D16E92" w:rsidP="009420F5">
            <w:pPr>
              <w:numPr>
                <w:ilvl w:val="12"/>
                <w:numId w:val="0"/>
              </w:numPr>
              <w:tabs>
                <w:tab w:val="left" w:pos="-2268"/>
              </w:tabs>
              <w:suppressAutoHyphens/>
              <w:jc w:val="center"/>
              <w:cnfStyle w:val="100000000000" w:firstRow="1" w:lastRow="0" w:firstColumn="0" w:lastColumn="0" w:oddVBand="0" w:evenVBand="0" w:oddHBand="0" w:evenHBand="0" w:firstRowFirstColumn="0" w:firstRowLastColumn="0" w:lastRowFirstColumn="0" w:lastRowLastColumn="0"/>
              <w:rPr>
                <w:spacing w:val="-3"/>
                <w:sz w:val="20"/>
              </w:rPr>
            </w:pPr>
          </w:p>
          <w:p w14:paraId="08F661B6" w14:textId="1C86B68A" w:rsidR="006B60AF" w:rsidRPr="00BD1319" w:rsidRDefault="006B60AF" w:rsidP="009420F5">
            <w:pPr>
              <w:numPr>
                <w:ilvl w:val="12"/>
                <w:numId w:val="0"/>
              </w:numPr>
              <w:tabs>
                <w:tab w:val="left" w:pos="-2268"/>
              </w:tabs>
              <w:suppressAutoHyphens/>
              <w:jc w:val="center"/>
              <w:cnfStyle w:val="100000000000" w:firstRow="1" w:lastRow="0" w:firstColumn="0" w:lastColumn="0" w:oddVBand="0" w:evenVBand="0" w:oddHBand="0" w:evenHBand="0" w:firstRowFirstColumn="0" w:firstRowLastColumn="0" w:lastRowFirstColumn="0" w:lastRowLastColumn="0"/>
              <w:rPr>
                <w:spacing w:val="-3"/>
                <w:sz w:val="20"/>
              </w:rPr>
            </w:pPr>
            <w:r w:rsidRPr="00BD1319">
              <w:rPr>
                <w:spacing w:val="-3"/>
                <w:sz w:val="20"/>
              </w:rPr>
              <w:t>(indique con una X</w:t>
            </w:r>
            <w:r w:rsidR="00C4498F" w:rsidRPr="00BD1319">
              <w:rPr>
                <w:spacing w:val="-3"/>
                <w:sz w:val="20"/>
              </w:rPr>
              <w:t>**</w:t>
            </w:r>
            <w:r w:rsidRPr="00BD1319">
              <w:rPr>
                <w:spacing w:val="-3"/>
                <w:sz w:val="20"/>
              </w:rPr>
              <w:t>)</w:t>
            </w:r>
          </w:p>
        </w:tc>
        <w:tc>
          <w:tcPr>
            <w:tcW w:w="3591" w:type="dxa"/>
            <w:gridSpan w:val="4"/>
            <w:vAlign w:val="center"/>
          </w:tcPr>
          <w:p w14:paraId="23402A68" w14:textId="0D464E08" w:rsidR="00D16E92" w:rsidRPr="00BD1319" w:rsidRDefault="006B60AF" w:rsidP="0032671C">
            <w:pPr>
              <w:numPr>
                <w:ilvl w:val="12"/>
                <w:numId w:val="0"/>
              </w:numPr>
              <w:tabs>
                <w:tab w:val="left" w:pos="-2268"/>
              </w:tabs>
              <w:suppressAutoHyphens/>
              <w:jc w:val="center"/>
              <w:cnfStyle w:val="100000000000" w:firstRow="1" w:lastRow="0" w:firstColumn="0" w:lastColumn="0" w:oddVBand="0" w:evenVBand="0" w:oddHBand="0" w:evenHBand="0" w:firstRowFirstColumn="0" w:firstRowLastColumn="0" w:lastRowFirstColumn="0" w:lastRowLastColumn="0"/>
              <w:rPr>
                <w:spacing w:val="-3"/>
                <w:sz w:val="20"/>
              </w:rPr>
            </w:pPr>
            <w:r w:rsidRPr="00BD1319">
              <w:rPr>
                <w:spacing w:val="-3"/>
                <w:sz w:val="20"/>
              </w:rPr>
              <w:t xml:space="preserve">Impacto generado por el desarrollo de la alternativa </w:t>
            </w:r>
            <w:r w:rsidR="00E86630" w:rsidRPr="00BD1319">
              <w:rPr>
                <w:i/>
                <w:spacing w:val="-3"/>
                <w:sz w:val="20"/>
              </w:rPr>
              <w:t>i</w:t>
            </w:r>
            <w:r w:rsidRPr="00BD1319">
              <w:rPr>
                <w:spacing w:val="-3"/>
                <w:sz w:val="20"/>
              </w:rPr>
              <w:t xml:space="preserve"> del proyecto</w:t>
            </w:r>
          </w:p>
          <w:p w14:paraId="0EF9F693" w14:textId="77777777" w:rsidR="00D16E92" w:rsidRPr="00BD1319" w:rsidRDefault="00D16E92" w:rsidP="0032671C">
            <w:pPr>
              <w:numPr>
                <w:ilvl w:val="12"/>
                <w:numId w:val="0"/>
              </w:numPr>
              <w:tabs>
                <w:tab w:val="left" w:pos="-2268"/>
              </w:tabs>
              <w:suppressAutoHyphens/>
              <w:jc w:val="center"/>
              <w:cnfStyle w:val="100000000000" w:firstRow="1" w:lastRow="0" w:firstColumn="0" w:lastColumn="0" w:oddVBand="0" w:evenVBand="0" w:oddHBand="0" w:evenHBand="0" w:firstRowFirstColumn="0" w:firstRowLastColumn="0" w:lastRowFirstColumn="0" w:lastRowLastColumn="0"/>
              <w:rPr>
                <w:spacing w:val="-3"/>
                <w:sz w:val="20"/>
              </w:rPr>
            </w:pPr>
          </w:p>
          <w:p w14:paraId="33AF9BA0" w14:textId="312E4A19" w:rsidR="006B60AF" w:rsidRPr="00BD1319" w:rsidRDefault="006B60AF" w:rsidP="0032671C">
            <w:pPr>
              <w:numPr>
                <w:ilvl w:val="12"/>
                <w:numId w:val="0"/>
              </w:numPr>
              <w:tabs>
                <w:tab w:val="left" w:pos="-2268"/>
              </w:tabs>
              <w:suppressAutoHyphens/>
              <w:jc w:val="center"/>
              <w:cnfStyle w:val="100000000000" w:firstRow="1" w:lastRow="0" w:firstColumn="0" w:lastColumn="0" w:oddVBand="0" w:evenVBand="0" w:oddHBand="0" w:evenHBand="0" w:firstRowFirstColumn="0" w:firstRowLastColumn="0" w:lastRowFirstColumn="0" w:lastRowLastColumn="0"/>
              <w:rPr>
                <w:spacing w:val="-3"/>
                <w:sz w:val="20"/>
              </w:rPr>
            </w:pPr>
            <w:r w:rsidRPr="00BD1319">
              <w:rPr>
                <w:spacing w:val="-3"/>
                <w:sz w:val="20"/>
              </w:rPr>
              <w:t>(</w:t>
            </w:r>
            <w:r w:rsidR="00DB5F46" w:rsidRPr="00BD1319">
              <w:rPr>
                <w:spacing w:val="-3"/>
                <w:sz w:val="20"/>
              </w:rPr>
              <w:t>señal</w:t>
            </w:r>
            <w:r w:rsidR="00F96546" w:rsidRPr="00BD1319">
              <w:rPr>
                <w:spacing w:val="-3"/>
                <w:sz w:val="20"/>
              </w:rPr>
              <w:t>e</w:t>
            </w:r>
            <w:r w:rsidR="00DB5F46" w:rsidRPr="00BD1319">
              <w:rPr>
                <w:spacing w:val="-3"/>
                <w:sz w:val="20"/>
              </w:rPr>
              <w:t xml:space="preserve"> </w:t>
            </w:r>
            <w:r w:rsidR="005E7447" w:rsidRPr="00BD1319">
              <w:rPr>
                <w:spacing w:val="-3"/>
                <w:sz w:val="20"/>
              </w:rPr>
              <w:t xml:space="preserve">en la columna de cada alternativa </w:t>
            </w:r>
            <w:r w:rsidR="00DB5F46" w:rsidRPr="00BD1319">
              <w:rPr>
                <w:spacing w:val="-3"/>
                <w:sz w:val="20"/>
              </w:rPr>
              <w:t xml:space="preserve">la categoría de potencial </w:t>
            </w:r>
            <w:r w:rsidR="00F96546" w:rsidRPr="00BD1319">
              <w:rPr>
                <w:spacing w:val="-3"/>
                <w:sz w:val="20"/>
              </w:rPr>
              <w:t xml:space="preserve">normalizado </w:t>
            </w:r>
            <w:r w:rsidR="00DB5F46" w:rsidRPr="00BD1319">
              <w:rPr>
                <w:spacing w:val="-3"/>
                <w:sz w:val="20"/>
              </w:rPr>
              <w:t>de modificación</w:t>
            </w:r>
            <w:r w:rsidR="005E7447" w:rsidRPr="00BD1319">
              <w:rPr>
                <w:spacing w:val="-3"/>
                <w:sz w:val="20"/>
              </w:rPr>
              <w:t xml:space="preserve"> del impacto potencial</w:t>
            </w:r>
            <w:r w:rsidR="006819D3" w:rsidRPr="00BD1319">
              <w:rPr>
                <w:spacing w:val="-3"/>
                <w:sz w:val="20"/>
              </w:rPr>
              <w:t>*</w:t>
            </w:r>
            <w:r w:rsidR="00C4498F" w:rsidRPr="00BD1319">
              <w:rPr>
                <w:spacing w:val="-3"/>
                <w:sz w:val="20"/>
              </w:rPr>
              <w:t>*</w:t>
            </w:r>
            <w:r w:rsidR="00DB5F46" w:rsidRPr="00BD1319">
              <w:rPr>
                <w:spacing w:val="-3"/>
                <w:sz w:val="20"/>
              </w:rPr>
              <w:t>*</w:t>
            </w:r>
            <w:r w:rsidRPr="00BD1319">
              <w:rPr>
                <w:spacing w:val="-3"/>
                <w:sz w:val="20"/>
              </w:rPr>
              <w:t>)</w:t>
            </w:r>
          </w:p>
        </w:tc>
      </w:tr>
      <w:tr w:rsidR="001D5925" w:rsidRPr="00BD1319" w14:paraId="559FB868" w14:textId="085D048D" w:rsidTr="008A4FE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dxa"/>
            <w:shd w:val="clear" w:color="auto" w:fill="auto"/>
          </w:tcPr>
          <w:p w14:paraId="5FB108BF" w14:textId="77777777" w:rsidR="006B60AF" w:rsidRPr="00BD1319" w:rsidRDefault="006B60AF">
            <w:pPr>
              <w:numPr>
                <w:ilvl w:val="12"/>
                <w:numId w:val="0"/>
              </w:numPr>
              <w:tabs>
                <w:tab w:val="left" w:pos="-2268"/>
              </w:tabs>
              <w:suppressAutoHyphens/>
              <w:rPr>
                <w:rFonts w:cs="Arial"/>
                <w:b w:val="0"/>
                <w:spacing w:val="-3"/>
              </w:rPr>
            </w:pPr>
          </w:p>
        </w:tc>
        <w:tc>
          <w:tcPr>
            <w:tcW w:w="0" w:type="dxa"/>
            <w:shd w:val="clear" w:color="auto" w:fill="auto"/>
          </w:tcPr>
          <w:p w14:paraId="25A95E28" w14:textId="77777777" w:rsidR="006B60AF" w:rsidRPr="00BD1319" w:rsidRDefault="006B60AF">
            <w:pPr>
              <w:numPr>
                <w:ilvl w:val="12"/>
                <w:numId w:val="0"/>
              </w:numPr>
              <w:tabs>
                <w:tab w:val="left" w:pos="-2268"/>
              </w:tabs>
              <w:suppressAutoHyphens/>
              <w:cnfStyle w:val="000000100000" w:firstRow="0" w:lastRow="0" w:firstColumn="0" w:lastColumn="0" w:oddVBand="0" w:evenVBand="0" w:oddHBand="1" w:evenHBand="0" w:firstRowFirstColumn="0" w:firstRowLastColumn="0" w:lastRowFirstColumn="0" w:lastRowLastColumn="0"/>
              <w:rPr>
                <w:spacing w:val="-3"/>
              </w:rPr>
            </w:pPr>
          </w:p>
        </w:tc>
        <w:tc>
          <w:tcPr>
            <w:tcW w:w="2111" w:type="dxa"/>
            <w:shd w:val="clear" w:color="auto" w:fill="auto"/>
          </w:tcPr>
          <w:p w14:paraId="6D8DE50B" w14:textId="77777777" w:rsidR="006B60AF" w:rsidRPr="00BD1319" w:rsidRDefault="006B60AF">
            <w:pPr>
              <w:numPr>
                <w:ilvl w:val="12"/>
                <w:numId w:val="0"/>
              </w:numPr>
              <w:tabs>
                <w:tab w:val="left" w:pos="-2268"/>
              </w:tabs>
              <w:suppressAutoHyphens/>
              <w:cnfStyle w:val="000000100000" w:firstRow="0" w:lastRow="0" w:firstColumn="0" w:lastColumn="0" w:oddVBand="0" w:evenVBand="0" w:oddHBand="1" w:evenHBand="0" w:firstRowFirstColumn="0" w:firstRowLastColumn="0" w:lastRowFirstColumn="0" w:lastRowLastColumn="0"/>
              <w:rPr>
                <w:spacing w:val="-3"/>
              </w:rPr>
            </w:pPr>
          </w:p>
        </w:tc>
        <w:tc>
          <w:tcPr>
            <w:tcW w:w="993" w:type="dxa"/>
            <w:shd w:val="clear" w:color="auto" w:fill="auto"/>
          </w:tcPr>
          <w:p w14:paraId="7798BFE5" w14:textId="1FC8715D" w:rsidR="006B60AF" w:rsidRPr="00BD1319" w:rsidRDefault="006B60AF" w:rsidP="00C86DA5">
            <w:pPr>
              <w:numPr>
                <w:ilvl w:val="12"/>
                <w:numId w:val="0"/>
              </w:numPr>
              <w:tabs>
                <w:tab w:val="left" w:pos="-2268"/>
              </w:tabs>
              <w:suppressAutoHyphens/>
              <w:cnfStyle w:val="000000100000" w:firstRow="0" w:lastRow="0" w:firstColumn="0" w:lastColumn="0" w:oddVBand="0" w:evenVBand="0" w:oddHBand="1" w:evenHBand="0" w:firstRowFirstColumn="0" w:firstRowLastColumn="0" w:lastRowFirstColumn="0" w:lastRowLastColumn="0"/>
              <w:rPr>
                <w:rFonts w:cs="Arial"/>
                <w:bCs/>
                <w:spacing w:val="-3"/>
              </w:rPr>
            </w:pPr>
          </w:p>
        </w:tc>
        <w:tc>
          <w:tcPr>
            <w:tcW w:w="2224" w:type="dxa"/>
            <w:shd w:val="clear" w:color="auto" w:fill="auto"/>
          </w:tcPr>
          <w:p w14:paraId="3A06996C" w14:textId="5DD6A897" w:rsidR="006B60AF" w:rsidRPr="00BD1319" w:rsidRDefault="006B60AF" w:rsidP="00C86DA5">
            <w:pPr>
              <w:numPr>
                <w:ilvl w:val="12"/>
                <w:numId w:val="0"/>
              </w:numPr>
              <w:tabs>
                <w:tab w:val="left" w:pos="-2268"/>
              </w:tabs>
              <w:suppressAutoHyphens/>
              <w:cnfStyle w:val="000000100000" w:firstRow="0" w:lastRow="0" w:firstColumn="0" w:lastColumn="0" w:oddVBand="0" w:evenVBand="0" w:oddHBand="1" w:evenHBand="0" w:firstRowFirstColumn="0" w:firstRowLastColumn="0" w:lastRowFirstColumn="0" w:lastRowLastColumn="0"/>
              <w:rPr>
                <w:spacing w:val="-3"/>
              </w:rPr>
            </w:pPr>
          </w:p>
        </w:tc>
        <w:tc>
          <w:tcPr>
            <w:tcW w:w="0" w:type="dxa"/>
          </w:tcPr>
          <w:p w14:paraId="0FC7B898" w14:textId="582B24F5" w:rsidR="006B60AF" w:rsidRPr="00BD1319" w:rsidRDefault="006B60AF" w:rsidP="003725C8">
            <w:pPr>
              <w:numPr>
                <w:ilvl w:val="12"/>
                <w:numId w:val="0"/>
              </w:numPr>
              <w:tabs>
                <w:tab w:val="left" w:pos="-2268"/>
              </w:tabs>
              <w:suppressAutoHyphens/>
              <w:jc w:val="center"/>
              <w:cnfStyle w:val="000000100000" w:firstRow="0" w:lastRow="0" w:firstColumn="0" w:lastColumn="0" w:oddVBand="0" w:evenVBand="0" w:oddHBand="1" w:evenHBand="0" w:firstRowFirstColumn="0" w:firstRowLastColumn="0" w:lastRowFirstColumn="0" w:lastRowLastColumn="0"/>
              <w:rPr>
                <w:spacing w:val="-3"/>
              </w:rPr>
            </w:pPr>
            <w:r w:rsidRPr="00BD1319">
              <w:rPr>
                <w:b/>
                <w:spacing w:val="-3"/>
              </w:rPr>
              <w:t>1</w:t>
            </w:r>
          </w:p>
        </w:tc>
        <w:tc>
          <w:tcPr>
            <w:tcW w:w="0" w:type="dxa"/>
          </w:tcPr>
          <w:p w14:paraId="5B9E4C51" w14:textId="304D708A" w:rsidR="006B60AF" w:rsidRPr="00BD1319" w:rsidRDefault="006B60AF" w:rsidP="00C86DA5">
            <w:pPr>
              <w:numPr>
                <w:ilvl w:val="12"/>
                <w:numId w:val="0"/>
              </w:numPr>
              <w:tabs>
                <w:tab w:val="left" w:pos="-2268"/>
              </w:tabs>
              <w:suppressAutoHyphens/>
              <w:jc w:val="center"/>
              <w:cnfStyle w:val="000000100000" w:firstRow="0" w:lastRow="0" w:firstColumn="0" w:lastColumn="0" w:oddVBand="0" w:evenVBand="0" w:oddHBand="1" w:evenHBand="0" w:firstRowFirstColumn="0" w:firstRowLastColumn="0" w:lastRowFirstColumn="0" w:lastRowLastColumn="0"/>
              <w:rPr>
                <w:b/>
                <w:spacing w:val="-3"/>
              </w:rPr>
            </w:pPr>
            <w:r w:rsidRPr="00BD1319">
              <w:rPr>
                <w:b/>
                <w:spacing w:val="-3"/>
              </w:rPr>
              <w:t>2</w:t>
            </w:r>
          </w:p>
        </w:tc>
        <w:tc>
          <w:tcPr>
            <w:tcW w:w="0" w:type="dxa"/>
          </w:tcPr>
          <w:p w14:paraId="45789658" w14:textId="4270988C" w:rsidR="006B60AF" w:rsidRPr="00BD1319" w:rsidRDefault="006B60AF" w:rsidP="00C86DA5">
            <w:pPr>
              <w:numPr>
                <w:ilvl w:val="12"/>
                <w:numId w:val="0"/>
              </w:numPr>
              <w:tabs>
                <w:tab w:val="left" w:pos="-2268"/>
              </w:tabs>
              <w:suppressAutoHyphens/>
              <w:jc w:val="center"/>
              <w:cnfStyle w:val="000000100000" w:firstRow="0" w:lastRow="0" w:firstColumn="0" w:lastColumn="0" w:oddVBand="0" w:evenVBand="0" w:oddHBand="1" w:evenHBand="0" w:firstRowFirstColumn="0" w:firstRowLastColumn="0" w:lastRowFirstColumn="0" w:lastRowLastColumn="0"/>
              <w:rPr>
                <w:b/>
                <w:spacing w:val="-3"/>
              </w:rPr>
            </w:pPr>
            <w:r w:rsidRPr="00BD1319">
              <w:rPr>
                <w:b/>
                <w:spacing w:val="-3"/>
              </w:rPr>
              <w:t>3</w:t>
            </w:r>
          </w:p>
        </w:tc>
        <w:tc>
          <w:tcPr>
            <w:tcW w:w="0" w:type="dxa"/>
          </w:tcPr>
          <w:p w14:paraId="4E03519A" w14:textId="60BF53F6" w:rsidR="006B60AF" w:rsidRPr="00BD1319" w:rsidRDefault="006B60AF" w:rsidP="00C86DA5">
            <w:pPr>
              <w:numPr>
                <w:ilvl w:val="12"/>
                <w:numId w:val="0"/>
              </w:numPr>
              <w:tabs>
                <w:tab w:val="left" w:pos="-2268"/>
              </w:tabs>
              <w:suppressAutoHyphens/>
              <w:jc w:val="center"/>
              <w:cnfStyle w:val="000000100000" w:firstRow="0" w:lastRow="0" w:firstColumn="0" w:lastColumn="0" w:oddVBand="0" w:evenVBand="0" w:oddHBand="1" w:evenHBand="0" w:firstRowFirstColumn="0" w:firstRowLastColumn="0" w:lastRowFirstColumn="0" w:lastRowLastColumn="0"/>
              <w:rPr>
                <w:b/>
                <w:spacing w:val="-3"/>
              </w:rPr>
            </w:pPr>
            <w:r w:rsidRPr="00BD1319">
              <w:rPr>
                <w:b/>
                <w:spacing w:val="-3"/>
              </w:rPr>
              <w:t>n</w:t>
            </w:r>
          </w:p>
        </w:tc>
      </w:tr>
      <w:tr w:rsidR="001D5925" w:rsidRPr="00BD1319" w14:paraId="0F699094" w14:textId="4D01712D" w:rsidTr="008A4FE9">
        <w:trPr>
          <w:jc w:val="center"/>
        </w:trPr>
        <w:tc>
          <w:tcPr>
            <w:cnfStyle w:val="001000000000" w:firstRow="0" w:lastRow="0" w:firstColumn="1" w:lastColumn="0" w:oddVBand="0" w:evenVBand="0" w:oddHBand="0" w:evenHBand="0" w:firstRowFirstColumn="0" w:firstRowLastColumn="0" w:lastRowFirstColumn="0" w:lastRowLastColumn="0"/>
            <w:tcW w:w="0" w:type="dxa"/>
            <w:shd w:val="clear" w:color="auto" w:fill="auto"/>
          </w:tcPr>
          <w:p w14:paraId="6B724A77" w14:textId="77777777" w:rsidR="006B60AF" w:rsidRPr="00BD1319" w:rsidRDefault="006B60AF">
            <w:pPr>
              <w:numPr>
                <w:ilvl w:val="12"/>
                <w:numId w:val="0"/>
              </w:numPr>
              <w:tabs>
                <w:tab w:val="left" w:pos="-2268"/>
              </w:tabs>
              <w:suppressAutoHyphens/>
              <w:rPr>
                <w:rFonts w:cs="Arial"/>
                <w:b w:val="0"/>
                <w:spacing w:val="-3"/>
              </w:rPr>
            </w:pPr>
          </w:p>
        </w:tc>
        <w:tc>
          <w:tcPr>
            <w:tcW w:w="0" w:type="dxa"/>
            <w:shd w:val="clear" w:color="auto" w:fill="auto"/>
          </w:tcPr>
          <w:p w14:paraId="1A9FAB86" w14:textId="77777777" w:rsidR="006B60AF" w:rsidRPr="00BD1319" w:rsidRDefault="006B60AF">
            <w:pPr>
              <w:numPr>
                <w:ilvl w:val="12"/>
                <w:numId w:val="0"/>
              </w:numPr>
              <w:tabs>
                <w:tab w:val="left" w:pos="-2268"/>
              </w:tabs>
              <w:suppressAutoHyphens/>
              <w:cnfStyle w:val="000000000000" w:firstRow="0" w:lastRow="0" w:firstColumn="0" w:lastColumn="0" w:oddVBand="0" w:evenVBand="0" w:oddHBand="0" w:evenHBand="0" w:firstRowFirstColumn="0" w:firstRowLastColumn="0" w:lastRowFirstColumn="0" w:lastRowLastColumn="0"/>
              <w:rPr>
                <w:rFonts w:cs="Arial"/>
                <w:spacing w:val="-3"/>
              </w:rPr>
            </w:pPr>
          </w:p>
        </w:tc>
        <w:tc>
          <w:tcPr>
            <w:tcW w:w="2111" w:type="dxa"/>
            <w:shd w:val="clear" w:color="auto" w:fill="auto"/>
          </w:tcPr>
          <w:p w14:paraId="7A83E38E" w14:textId="77777777" w:rsidR="006B60AF" w:rsidRPr="00BD1319" w:rsidRDefault="006B60AF">
            <w:pPr>
              <w:numPr>
                <w:ilvl w:val="12"/>
                <w:numId w:val="0"/>
              </w:numPr>
              <w:tabs>
                <w:tab w:val="left" w:pos="-2268"/>
              </w:tabs>
              <w:suppressAutoHyphens/>
              <w:cnfStyle w:val="000000000000" w:firstRow="0" w:lastRow="0" w:firstColumn="0" w:lastColumn="0" w:oddVBand="0" w:evenVBand="0" w:oddHBand="0" w:evenHBand="0" w:firstRowFirstColumn="0" w:firstRowLastColumn="0" w:lastRowFirstColumn="0" w:lastRowLastColumn="0"/>
              <w:rPr>
                <w:spacing w:val="-3"/>
              </w:rPr>
            </w:pPr>
          </w:p>
        </w:tc>
        <w:tc>
          <w:tcPr>
            <w:tcW w:w="993" w:type="dxa"/>
            <w:shd w:val="clear" w:color="auto" w:fill="auto"/>
          </w:tcPr>
          <w:p w14:paraId="30BDC169" w14:textId="77777777" w:rsidR="006B60AF" w:rsidRPr="00BD1319" w:rsidRDefault="006B60AF">
            <w:pPr>
              <w:numPr>
                <w:ilvl w:val="12"/>
                <w:numId w:val="0"/>
              </w:numPr>
              <w:tabs>
                <w:tab w:val="left" w:pos="-2268"/>
              </w:tabs>
              <w:suppressAutoHyphens/>
              <w:cnfStyle w:val="000000000000" w:firstRow="0" w:lastRow="0" w:firstColumn="0" w:lastColumn="0" w:oddVBand="0" w:evenVBand="0" w:oddHBand="0" w:evenHBand="0" w:firstRowFirstColumn="0" w:firstRowLastColumn="0" w:lastRowFirstColumn="0" w:lastRowLastColumn="0"/>
              <w:rPr>
                <w:spacing w:val="-3"/>
              </w:rPr>
            </w:pPr>
          </w:p>
        </w:tc>
        <w:tc>
          <w:tcPr>
            <w:tcW w:w="2224" w:type="dxa"/>
            <w:shd w:val="clear" w:color="auto" w:fill="auto"/>
          </w:tcPr>
          <w:p w14:paraId="7AB1B8AD" w14:textId="77777777" w:rsidR="006B60AF" w:rsidRPr="00BD1319" w:rsidRDefault="006B60AF">
            <w:pPr>
              <w:numPr>
                <w:ilvl w:val="12"/>
                <w:numId w:val="0"/>
              </w:numPr>
              <w:tabs>
                <w:tab w:val="left" w:pos="-2268"/>
              </w:tabs>
              <w:suppressAutoHyphens/>
              <w:cnfStyle w:val="000000000000" w:firstRow="0" w:lastRow="0" w:firstColumn="0" w:lastColumn="0" w:oddVBand="0" w:evenVBand="0" w:oddHBand="0" w:evenHBand="0" w:firstRowFirstColumn="0" w:firstRowLastColumn="0" w:lastRowFirstColumn="0" w:lastRowLastColumn="0"/>
              <w:rPr>
                <w:rFonts w:cs="Arial"/>
                <w:spacing w:val="-3"/>
              </w:rPr>
            </w:pPr>
          </w:p>
        </w:tc>
        <w:tc>
          <w:tcPr>
            <w:tcW w:w="0" w:type="dxa"/>
          </w:tcPr>
          <w:p w14:paraId="5CE7A4A4" w14:textId="77777777" w:rsidR="006B60AF" w:rsidRPr="00BD1319" w:rsidRDefault="006B60AF">
            <w:pPr>
              <w:numPr>
                <w:ilvl w:val="12"/>
                <w:numId w:val="0"/>
              </w:numPr>
              <w:tabs>
                <w:tab w:val="left" w:pos="-2268"/>
              </w:tabs>
              <w:suppressAutoHyphens/>
              <w:cnfStyle w:val="000000000000" w:firstRow="0" w:lastRow="0" w:firstColumn="0" w:lastColumn="0" w:oddVBand="0" w:evenVBand="0" w:oddHBand="0" w:evenHBand="0" w:firstRowFirstColumn="0" w:firstRowLastColumn="0" w:lastRowFirstColumn="0" w:lastRowLastColumn="0"/>
              <w:rPr>
                <w:rFonts w:cs="Arial"/>
                <w:spacing w:val="-3"/>
              </w:rPr>
            </w:pPr>
          </w:p>
        </w:tc>
        <w:tc>
          <w:tcPr>
            <w:tcW w:w="0" w:type="dxa"/>
          </w:tcPr>
          <w:p w14:paraId="2E1B0977" w14:textId="77777777" w:rsidR="006B60AF" w:rsidRPr="00BD1319" w:rsidRDefault="006B60AF">
            <w:pPr>
              <w:numPr>
                <w:ilvl w:val="12"/>
                <w:numId w:val="0"/>
              </w:numPr>
              <w:tabs>
                <w:tab w:val="left" w:pos="-2268"/>
              </w:tabs>
              <w:suppressAutoHyphens/>
              <w:cnfStyle w:val="000000000000" w:firstRow="0" w:lastRow="0" w:firstColumn="0" w:lastColumn="0" w:oddVBand="0" w:evenVBand="0" w:oddHBand="0" w:evenHBand="0" w:firstRowFirstColumn="0" w:firstRowLastColumn="0" w:lastRowFirstColumn="0" w:lastRowLastColumn="0"/>
              <w:rPr>
                <w:rFonts w:cs="Arial"/>
                <w:spacing w:val="-3"/>
              </w:rPr>
            </w:pPr>
          </w:p>
        </w:tc>
        <w:tc>
          <w:tcPr>
            <w:tcW w:w="0" w:type="dxa"/>
          </w:tcPr>
          <w:p w14:paraId="4ADC1EF8" w14:textId="77777777" w:rsidR="006B60AF" w:rsidRPr="00BD1319" w:rsidRDefault="006B60AF">
            <w:pPr>
              <w:numPr>
                <w:ilvl w:val="12"/>
                <w:numId w:val="0"/>
              </w:numPr>
              <w:tabs>
                <w:tab w:val="left" w:pos="-2268"/>
              </w:tabs>
              <w:suppressAutoHyphens/>
              <w:cnfStyle w:val="000000000000" w:firstRow="0" w:lastRow="0" w:firstColumn="0" w:lastColumn="0" w:oddVBand="0" w:evenVBand="0" w:oddHBand="0" w:evenHBand="0" w:firstRowFirstColumn="0" w:firstRowLastColumn="0" w:lastRowFirstColumn="0" w:lastRowLastColumn="0"/>
              <w:rPr>
                <w:rFonts w:cs="Arial"/>
                <w:spacing w:val="-3"/>
              </w:rPr>
            </w:pPr>
          </w:p>
        </w:tc>
        <w:tc>
          <w:tcPr>
            <w:tcW w:w="0" w:type="dxa"/>
          </w:tcPr>
          <w:p w14:paraId="6DBF6ED8" w14:textId="3E2C76F3" w:rsidR="006B60AF" w:rsidRPr="00BD1319" w:rsidRDefault="006B60AF">
            <w:pPr>
              <w:numPr>
                <w:ilvl w:val="12"/>
                <w:numId w:val="0"/>
              </w:numPr>
              <w:tabs>
                <w:tab w:val="left" w:pos="-2268"/>
              </w:tabs>
              <w:suppressAutoHyphens/>
              <w:cnfStyle w:val="000000000000" w:firstRow="0" w:lastRow="0" w:firstColumn="0" w:lastColumn="0" w:oddVBand="0" w:evenVBand="0" w:oddHBand="0" w:evenHBand="0" w:firstRowFirstColumn="0" w:firstRowLastColumn="0" w:lastRowFirstColumn="0" w:lastRowLastColumn="0"/>
              <w:rPr>
                <w:rFonts w:cs="Arial"/>
                <w:spacing w:val="-3"/>
              </w:rPr>
            </w:pPr>
          </w:p>
        </w:tc>
      </w:tr>
    </w:tbl>
    <w:p w14:paraId="2DFE18F9" w14:textId="04D8EFFE" w:rsidR="006819D3" w:rsidRPr="00BD1319" w:rsidRDefault="006819D3" w:rsidP="009420F5">
      <w:pPr>
        <w:numPr>
          <w:ilvl w:val="12"/>
          <w:numId w:val="0"/>
        </w:numPr>
        <w:tabs>
          <w:tab w:val="left" w:pos="-2268"/>
        </w:tabs>
        <w:suppressAutoHyphens/>
        <w:ind w:left="426" w:hanging="426"/>
        <w:rPr>
          <w:spacing w:val="-3"/>
          <w:sz w:val="20"/>
        </w:rPr>
      </w:pPr>
      <w:r w:rsidRPr="00BD1319">
        <w:rPr>
          <w:spacing w:val="-3"/>
          <w:sz w:val="20"/>
        </w:rPr>
        <w:t>*</w:t>
      </w:r>
      <w:r w:rsidR="00C4498F" w:rsidRPr="00BD1319">
        <w:rPr>
          <w:spacing w:val="-3"/>
          <w:sz w:val="20"/>
        </w:rPr>
        <w:tab/>
      </w:r>
      <w:r w:rsidRPr="00BD1319">
        <w:rPr>
          <w:spacing w:val="-3"/>
          <w:sz w:val="20"/>
        </w:rPr>
        <w:t xml:space="preserve">Corresponde a alguna de las categorías </w:t>
      </w:r>
      <w:r w:rsidR="00DB3E17" w:rsidRPr="00BD1319">
        <w:rPr>
          <w:spacing w:val="-3"/>
          <w:sz w:val="20"/>
        </w:rPr>
        <w:t>estandarizadas de i</w:t>
      </w:r>
      <w:r w:rsidR="00DB3E17" w:rsidRPr="00BD1319">
        <w:rPr>
          <w:spacing w:val="-3"/>
          <w:sz w:val="20"/>
          <w:szCs w:val="20"/>
        </w:rPr>
        <w:t xml:space="preserve">mpactos </w:t>
      </w:r>
      <w:r w:rsidRPr="00BD1319">
        <w:rPr>
          <w:spacing w:val="-3"/>
          <w:sz w:val="20"/>
          <w:szCs w:val="20"/>
        </w:rPr>
        <w:t xml:space="preserve">definidas en la </w:t>
      </w:r>
      <w:r w:rsidR="00525999" w:rsidRPr="00BD1319">
        <w:rPr>
          <w:rFonts w:cs="Arial"/>
          <w:spacing w:val="-3"/>
          <w:sz w:val="20"/>
          <w:szCs w:val="20"/>
        </w:rPr>
        <w:t>Tabla de categorías estandarizadas de impactos ambientales publicada en la página Web de Minambiente</w:t>
      </w:r>
      <w:r w:rsidR="00525999" w:rsidRPr="00BD1319">
        <w:rPr>
          <w:rStyle w:val="Refdenotaalpie"/>
          <w:rFonts w:cs="Arial"/>
          <w:spacing w:val="-3"/>
          <w:sz w:val="20"/>
          <w:szCs w:val="20"/>
          <w:lang w:val="es-CO"/>
        </w:rPr>
        <w:footnoteReference w:id="56"/>
      </w:r>
      <w:r w:rsidRPr="00BD1319">
        <w:rPr>
          <w:spacing w:val="-3"/>
          <w:sz w:val="20"/>
          <w:szCs w:val="20"/>
        </w:rPr>
        <w:t xml:space="preserve">, o en caso de que ellas </w:t>
      </w:r>
      <w:r w:rsidRPr="00BD1319">
        <w:rPr>
          <w:spacing w:val="-3"/>
          <w:sz w:val="20"/>
        </w:rPr>
        <w:t>no permitan clasificar el impacto, a una categoría establecida por quien elabora el estudio ambiental.</w:t>
      </w:r>
    </w:p>
    <w:p w14:paraId="3CCEAE6F" w14:textId="156609F3" w:rsidR="00C4498F" w:rsidRPr="00BD1319" w:rsidRDefault="00C4498F" w:rsidP="009420F5">
      <w:pPr>
        <w:numPr>
          <w:ilvl w:val="12"/>
          <w:numId w:val="0"/>
        </w:numPr>
        <w:tabs>
          <w:tab w:val="left" w:pos="-2268"/>
        </w:tabs>
        <w:suppressAutoHyphens/>
        <w:ind w:left="426" w:hanging="426"/>
        <w:rPr>
          <w:spacing w:val="-3"/>
          <w:sz w:val="20"/>
        </w:rPr>
      </w:pPr>
      <w:r w:rsidRPr="00BD1319">
        <w:rPr>
          <w:spacing w:val="-3"/>
          <w:sz w:val="20"/>
        </w:rPr>
        <w:t>**</w:t>
      </w:r>
      <w:r w:rsidRPr="00BD1319">
        <w:rPr>
          <w:spacing w:val="-3"/>
          <w:sz w:val="20"/>
        </w:rPr>
        <w:tab/>
        <w:t xml:space="preserve">En caso de que el impacto existente se presente exclusivamente en el área de manifestación de los impactos potenciales significativos de </w:t>
      </w:r>
      <w:r w:rsidR="00116D34" w:rsidRPr="00BD1319">
        <w:rPr>
          <w:spacing w:val="-3"/>
          <w:sz w:val="20"/>
        </w:rPr>
        <w:t xml:space="preserve">una </w:t>
      </w:r>
      <w:r w:rsidRPr="00BD1319">
        <w:rPr>
          <w:spacing w:val="-3"/>
          <w:sz w:val="20"/>
        </w:rPr>
        <w:t>de las alternativas, se debe señalar la alternativa a la que corresponde.</w:t>
      </w:r>
    </w:p>
    <w:p w14:paraId="6CEF35B5" w14:textId="66157E66" w:rsidR="00DB5F46" w:rsidRPr="00BD1319" w:rsidRDefault="00C4498F" w:rsidP="009420F5">
      <w:pPr>
        <w:numPr>
          <w:ilvl w:val="12"/>
          <w:numId w:val="0"/>
        </w:numPr>
        <w:tabs>
          <w:tab w:val="left" w:pos="-2268"/>
        </w:tabs>
        <w:suppressAutoHyphens/>
        <w:ind w:left="426" w:hanging="426"/>
        <w:rPr>
          <w:spacing w:val="-3"/>
          <w:sz w:val="20"/>
        </w:rPr>
      </w:pPr>
      <w:r w:rsidRPr="00BD1319">
        <w:rPr>
          <w:spacing w:val="-3"/>
          <w:sz w:val="20"/>
        </w:rPr>
        <w:t>**</w:t>
      </w:r>
      <w:r w:rsidR="00DB5F46" w:rsidRPr="00BD1319">
        <w:rPr>
          <w:spacing w:val="-3"/>
          <w:sz w:val="20"/>
        </w:rPr>
        <w:t>*</w:t>
      </w:r>
      <w:r w:rsidRPr="00BD1319">
        <w:rPr>
          <w:spacing w:val="-3"/>
          <w:sz w:val="20"/>
        </w:rPr>
        <w:tab/>
      </w:r>
      <w:r w:rsidR="00DB5F46" w:rsidRPr="00BD1319">
        <w:rPr>
          <w:spacing w:val="-3"/>
          <w:sz w:val="20"/>
        </w:rPr>
        <w:t xml:space="preserve">Potencial que se establece luego de normalizar la valoración realizada para cada impacto </w:t>
      </w:r>
      <w:r w:rsidR="00D16E92" w:rsidRPr="00BD1319">
        <w:rPr>
          <w:spacing w:val="-3"/>
          <w:sz w:val="20"/>
        </w:rPr>
        <w:t xml:space="preserve">y </w:t>
      </w:r>
      <w:r w:rsidR="00F96546" w:rsidRPr="00BD1319">
        <w:rPr>
          <w:spacing w:val="-3"/>
          <w:sz w:val="20"/>
        </w:rPr>
        <w:t xml:space="preserve">que </w:t>
      </w:r>
      <w:r w:rsidR="00D16E92" w:rsidRPr="00BD1319">
        <w:rPr>
          <w:spacing w:val="-3"/>
          <w:sz w:val="20"/>
        </w:rPr>
        <w:t xml:space="preserve">se clasifica en </w:t>
      </w:r>
      <w:r w:rsidR="00DB5F46" w:rsidRPr="00BD1319">
        <w:rPr>
          <w:spacing w:val="-3"/>
          <w:sz w:val="20"/>
        </w:rPr>
        <w:t xml:space="preserve">las categorías </w:t>
      </w:r>
      <w:r w:rsidR="00D16E92" w:rsidRPr="00BD1319">
        <w:rPr>
          <w:spacing w:val="-3"/>
          <w:sz w:val="20"/>
        </w:rPr>
        <w:t>establecidas</w:t>
      </w:r>
      <w:r w:rsidR="00DB5F46" w:rsidRPr="00BD1319">
        <w:rPr>
          <w:spacing w:val="-3"/>
          <w:sz w:val="20"/>
        </w:rPr>
        <w:t xml:space="preserve"> en la </w:t>
      </w:r>
      <w:r w:rsidR="00DB5F46" w:rsidRPr="00BD1319">
        <w:rPr>
          <w:spacing w:val="-3"/>
          <w:sz w:val="20"/>
        </w:rPr>
        <w:fldChar w:fldCharType="begin"/>
      </w:r>
      <w:r w:rsidR="00DB5F46" w:rsidRPr="00BD1319">
        <w:rPr>
          <w:spacing w:val="-3"/>
          <w:sz w:val="20"/>
        </w:rPr>
        <w:instrText xml:space="preserve"> REF _Ref43476186 \h  \* MERGEFORMAT </w:instrText>
      </w:r>
      <w:r w:rsidR="00DB5F46" w:rsidRPr="00BD1319">
        <w:rPr>
          <w:spacing w:val="-3"/>
          <w:sz w:val="20"/>
        </w:rPr>
      </w:r>
      <w:r w:rsidR="00DB5F46" w:rsidRPr="00BD1319">
        <w:rPr>
          <w:spacing w:val="-3"/>
          <w:sz w:val="20"/>
        </w:rPr>
        <w:fldChar w:fldCharType="separate"/>
      </w:r>
      <w:r w:rsidR="00296654" w:rsidRPr="00BD1319">
        <w:rPr>
          <w:rFonts w:cs="Arial"/>
          <w:spacing w:val="-3"/>
          <w:sz w:val="20"/>
        </w:rPr>
        <w:t>Tabla 33</w:t>
      </w:r>
      <w:r w:rsidR="00DB5F46" w:rsidRPr="00BD1319">
        <w:rPr>
          <w:spacing w:val="-3"/>
          <w:sz w:val="20"/>
        </w:rPr>
        <w:fldChar w:fldCharType="end"/>
      </w:r>
      <w:r w:rsidR="00D16E92" w:rsidRPr="00BD1319">
        <w:rPr>
          <w:spacing w:val="-3"/>
          <w:sz w:val="20"/>
        </w:rPr>
        <w:t xml:space="preserve"> (Bajo, Medio, Alto y Muy alto</w:t>
      </w:r>
      <w:r w:rsidR="00DB5F46" w:rsidRPr="00BD1319">
        <w:rPr>
          <w:spacing w:val="-3"/>
          <w:sz w:val="20"/>
        </w:rPr>
        <w:t>).</w:t>
      </w:r>
    </w:p>
    <w:p w14:paraId="383242F2" w14:textId="77777777" w:rsidR="00D16E92" w:rsidRPr="00BD1319" w:rsidRDefault="00D16E92">
      <w:pPr>
        <w:numPr>
          <w:ilvl w:val="12"/>
          <w:numId w:val="0"/>
        </w:numPr>
        <w:tabs>
          <w:tab w:val="left" w:pos="-2268"/>
        </w:tabs>
        <w:suppressAutoHyphens/>
        <w:rPr>
          <w:spacing w:val="-3"/>
        </w:rPr>
      </w:pPr>
    </w:p>
    <w:p w14:paraId="79DB4D00" w14:textId="551B4296" w:rsidR="00A9037D" w:rsidRPr="00BD1319" w:rsidRDefault="003E661A">
      <w:pPr>
        <w:numPr>
          <w:ilvl w:val="12"/>
          <w:numId w:val="0"/>
        </w:numPr>
        <w:tabs>
          <w:tab w:val="left" w:pos="-2268"/>
        </w:tabs>
        <w:suppressAutoHyphens/>
        <w:rPr>
          <w:spacing w:val="-3"/>
        </w:rPr>
      </w:pPr>
      <w:r w:rsidRPr="00BD1319">
        <w:rPr>
          <w:spacing w:val="-3"/>
        </w:rPr>
        <w:t>Se debe i</w:t>
      </w:r>
      <w:r w:rsidR="00A9037D" w:rsidRPr="00BD1319">
        <w:rPr>
          <w:spacing w:val="-3"/>
        </w:rPr>
        <w:t>ndicar la forma en que los impactos</w:t>
      </w:r>
      <w:r w:rsidR="00A9037D" w:rsidRPr="00BD1319">
        <w:rPr>
          <w:rFonts w:cs="Arial"/>
          <w:spacing w:val="-3"/>
        </w:rPr>
        <w:t xml:space="preserve"> ambientales</w:t>
      </w:r>
      <w:r w:rsidR="00A9037D" w:rsidRPr="00BD1319">
        <w:rPr>
          <w:spacing w:val="-3"/>
        </w:rPr>
        <w:t xml:space="preserve"> del escenario sin proyecto (</w:t>
      </w:r>
      <w:r w:rsidR="00A9037D" w:rsidRPr="00BD1319">
        <w:rPr>
          <w:spacing w:val="-3"/>
        </w:rPr>
        <w:fldChar w:fldCharType="begin"/>
      </w:r>
      <w:r w:rsidR="00A9037D" w:rsidRPr="00BD1319">
        <w:rPr>
          <w:spacing w:val="-3"/>
        </w:rPr>
        <w:instrText xml:space="preserve"> REF _Ref488184224 \h  \* MERGEFORMAT </w:instrText>
      </w:r>
      <w:r w:rsidR="00A9037D" w:rsidRPr="00BD1319">
        <w:rPr>
          <w:spacing w:val="-3"/>
        </w:rPr>
      </w:r>
      <w:r w:rsidR="00A9037D" w:rsidRPr="00BD1319">
        <w:rPr>
          <w:spacing w:val="-3"/>
        </w:rPr>
        <w:fldChar w:fldCharType="separate"/>
      </w:r>
      <w:r w:rsidR="00296654" w:rsidRPr="00BD1319">
        <w:rPr>
          <w:spacing w:val="-3"/>
        </w:rPr>
        <w:t>Tabla 13</w:t>
      </w:r>
      <w:r w:rsidR="00A9037D" w:rsidRPr="00BD1319">
        <w:rPr>
          <w:spacing w:val="-3"/>
        </w:rPr>
        <w:fldChar w:fldCharType="end"/>
      </w:r>
      <w:r w:rsidR="00A9037D" w:rsidRPr="00BD1319">
        <w:rPr>
          <w:spacing w:val="-3"/>
        </w:rPr>
        <w:t>) podrían incrementar</w:t>
      </w:r>
      <w:r w:rsidR="00116D34" w:rsidRPr="00BD1319">
        <w:rPr>
          <w:spacing w:val="-3"/>
        </w:rPr>
        <w:t xml:space="preserve"> su significancia </w:t>
      </w:r>
      <w:r w:rsidR="00A9037D" w:rsidRPr="00BD1319">
        <w:rPr>
          <w:rFonts w:cs="Arial"/>
          <w:spacing w:val="-3"/>
        </w:rPr>
        <w:t>(acumulativos),</w:t>
      </w:r>
      <w:r w:rsidR="00A9037D" w:rsidRPr="00BD1319">
        <w:rPr>
          <w:spacing w:val="-3"/>
        </w:rPr>
        <w:t xml:space="preserve"> minimizarse o </w:t>
      </w:r>
      <w:r w:rsidR="00DB5F46" w:rsidRPr="00BD1319">
        <w:rPr>
          <w:spacing w:val="-3"/>
        </w:rPr>
        <w:t>generar</w:t>
      </w:r>
      <w:r w:rsidR="00A9037D" w:rsidRPr="00BD1319">
        <w:rPr>
          <w:spacing w:val="-3"/>
        </w:rPr>
        <w:t xml:space="preserve"> </w:t>
      </w:r>
      <w:r w:rsidR="00116D34" w:rsidRPr="00BD1319">
        <w:rPr>
          <w:spacing w:val="-3"/>
        </w:rPr>
        <w:lastRenderedPageBreak/>
        <w:t xml:space="preserve">procesos de sinergia </w:t>
      </w:r>
      <w:r w:rsidR="00A9037D" w:rsidRPr="00BD1319">
        <w:rPr>
          <w:spacing w:val="-3"/>
        </w:rPr>
        <w:t>(impactos sinérgicos) debido al desarrollo de las alternativas del proyecto</w:t>
      </w:r>
      <w:r w:rsidR="00116D34" w:rsidRPr="00BD1319">
        <w:rPr>
          <w:spacing w:val="-3"/>
        </w:rPr>
        <w:t xml:space="preserve"> en el corto, mediano o largo plazo</w:t>
      </w:r>
      <w:r w:rsidR="00A9037D" w:rsidRPr="00BD1319">
        <w:rPr>
          <w:spacing w:val="-3"/>
        </w:rPr>
        <w:t>.</w:t>
      </w:r>
    </w:p>
    <w:p w14:paraId="6D25ECE9" w14:textId="77777777" w:rsidR="00A9037D" w:rsidRPr="00BD1319" w:rsidRDefault="00A9037D">
      <w:pPr>
        <w:numPr>
          <w:ilvl w:val="12"/>
          <w:numId w:val="0"/>
        </w:numPr>
        <w:tabs>
          <w:tab w:val="left" w:pos="-2268"/>
        </w:tabs>
        <w:suppressAutoHyphens/>
        <w:rPr>
          <w:spacing w:val="-3"/>
        </w:rPr>
      </w:pPr>
    </w:p>
    <w:p w14:paraId="62FEA6D8" w14:textId="06441BAC" w:rsidR="00A9037D" w:rsidRPr="00BD1319" w:rsidRDefault="00A9037D">
      <w:pPr>
        <w:numPr>
          <w:ilvl w:val="12"/>
          <w:numId w:val="0"/>
        </w:numPr>
        <w:tabs>
          <w:tab w:val="left" w:pos="-2268"/>
        </w:tabs>
        <w:suppressAutoHyphens/>
        <w:rPr>
          <w:spacing w:val="-3"/>
        </w:rPr>
      </w:pPr>
      <w:r w:rsidRPr="00BD1319">
        <w:rPr>
          <w:spacing w:val="-3"/>
        </w:rPr>
        <w:t xml:space="preserve">Cuando exista </w:t>
      </w:r>
      <w:r w:rsidR="00375430" w:rsidRPr="00BD1319">
        <w:rPr>
          <w:spacing w:val="-3"/>
        </w:rPr>
        <w:t xml:space="preserve">gran </w:t>
      </w:r>
      <w:r w:rsidRPr="00BD1319">
        <w:rPr>
          <w:rFonts w:cs="Arial"/>
          <w:spacing w:val="-3"/>
        </w:rPr>
        <w:t>incertidumbre</w:t>
      </w:r>
      <w:r w:rsidRPr="00BD1319">
        <w:rPr>
          <w:spacing w:val="-3"/>
        </w:rPr>
        <w:t xml:space="preserve"> acerca de la magnitud o el alcance de algún impacto </w:t>
      </w:r>
      <w:r w:rsidR="00D16E92" w:rsidRPr="00BD1319">
        <w:rPr>
          <w:spacing w:val="-3"/>
        </w:rPr>
        <w:t xml:space="preserve">potencial </w:t>
      </w:r>
      <w:r w:rsidRPr="00BD1319">
        <w:rPr>
          <w:spacing w:val="-3"/>
        </w:rPr>
        <w:t>de las alternativas del proyecto</w:t>
      </w:r>
      <w:r w:rsidR="00BC6D6A" w:rsidRPr="00BD1319">
        <w:rPr>
          <w:spacing w:val="-3"/>
        </w:rPr>
        <w:t>, obra o actividad</w:t>
      </w:r>
      <w:r w:rsidRPr="00BD1319">
        <w:rPr>
          <w:spacing w:val="-3"/>
        </w:rPr>
        <w:t xml:space="preserve"> sobre el ambiente, </w:t>
      </w:r>
      <w:r w:rsidR="003E5ABC" w:rsidRPr="00BD1319">
        <w:rPr>
          <w:spacing w:val="-3"/>
        </w:rPr>
        <w:t xml:space="preserve">su valoración </w:t>
      </w:r>
      <w:r w:rsidR="00DD6342" w:rsidRPr="00BD1319">
        <w:rPr>
          <w:spacing w:val="-3"/>
        </w:rPr>
        <w:t xml:space="preserve">debe basarse en </w:t>
      </w:r>
      <w:r w:rsidRPr="00BD1319">
        <w:rPr>
          <w:spacing w:val="-3"/>
        </w:rPr>
        <w:t>el escenario más crítico</w:t>
      </w:r>
      <w:r w:rsidRPr="00BD1319">
        <w:rPr>
          <w:rFonts w:cs="Arial"/>
          <w:spacing w:val="-3"/>
        </w:rPr>
        <w:t xml:space="preserve">, empleando para este caso </w:t>
      </w:r>
      <w:r w:rsidR="00DD6342" w:rsidRPr="00BD1319">
        <w:rPr>
          <w:rFonts w:cs="Arial"/>
          <w:spacing w:val="-3"/>
        </w:rPr>
        <w:t xml:space="preserve">las </w:t>
      </w:r>
      <w:r w:rsidRPr="00BD1319">
        <w:rPr>
          <w:rFonts w:cs="Arial"/>
          <w:spacing w:val="-3"/>
        </w:rPr>
        <w:t>modelizaciones que permitan justificar los resultados incluidos en el estudio</w:t>
      </w:r>
      <w:r w:rsidRPr="00BD1319">
        <w:rPr>
          <w:spacing w:val="-3"/>
        </w:rPr>
        <w:t>.</w:t>
      </w:r>
    </w:p>
    <w:p w14:paraId="5E53A494" w14:textId="77777777" w:rsidR="00A9037D" w:rsidRPr="00BD1319" w:rsidRDefault="00A9037D">
      <w:pPr>
        <w:numPr>
          <w:ilvl w:val="12"/>
          <w:numId w:val="0"/>
        </w:numPr>
        <w:tabs>
          <w:tab w:val="left" w:pos="-2268"/>
        </w:tabs>
        <w:suppressAutoHyphens/>
        <w:rPr>
          <w:spacing w:val="-3"/>
        </w:rPr>
      </w:pPr>
    </w:p>
    <w:p w14:paraId="14B27FF0" w14:textId="55D0B56E" w:rsidR="00DD6342" w:rsidRPr="00BD1319" w:rsidRDefault="00D16E92" w:rsidP="00C86DA5">
      <w:pPr>
        <w:tabs>
          <w:tab w:val="left" w:pos="-2268"/>
        </w:tabs>
        <w:suppressAutoHyphens/>
        <w:rPr>
          <w:rFonts w:cs="Arial"/>
          <w:spacing w:val="-3"/>
        </w:rPr>
      </w:pPr>
      <w:r w:rsidRPr="00BD1319">
        <w:rPr>
          <w:spacing w:val="-3"/>
        </w:rPr>
        <w:t xml:space="preserve">Finalmente, se debe presentar un listado de las </w:t>
      </w:r>
      <w:r w:rsidRPr="00BD1319">
        <w:rPr>
          <w:i/>
          <w:iCs/>
          <w:spacing w:val="-3"/>
        </w:rPr>
        <w:t>posibles</w:t>
      </w:r>
      <w:r w:rsidRPr="00BD1319">
        <w:rPr>
          <w:spacing w:val="-3"/>
        </w:rPr>
        <w:t xml:space="preserve"> soluciones y medidas de control y mitigación de cada una de las alternativas propuestas</w:t>
      </w:r>
      <w:r w:rsidR="00E51CED" w:rsidRPr="00BD1319">
        <w:rPr>
          <w:spacing w:val="-3"/>
        </w:rPr>
        <w:t xml:space="preserve"> de acuerdo con lo establecido en el artículo 2.2.2.3.4.1. del Decreto 1076 de 2015 o aquel que lo modifique o sustituya</w:t>
      </w:r>
      <w:r w:rsidR="00DD6342" w:rsidRPr="00BD1319">
        <w:rPr>
          <w:rFonts w:cs="Arial"/>
          <w:spacing w:val="-3"/>
        </w:rPr>
        <w:t>.</w:t>
      </w:r>
    </w:p>
    <w:p w14:paraId="6081F493" w14:textId="77777777" w:rsidR="004F38F8" w:rsidRPr="00BD1319" w:rsidRDefault="004F38F8" w:rsidP="00A9037D">
      <w:pPr>
        <w:tabs>
          <w:tab w:val="left" w:pos="-2268"/>
        </w:tabs>
        <w:suppressAutoHyphens/>
        <w:rPr>
          <w:rFonts w:cs="Arial"/>
          <w:spacing w:val="-3"/>
        </w:rPr>
      </w:pPr>
    </w:p>
    <w:p w14:paraId="25A0B4BE" w14:textId="18709541" w:rsidR="00F464E8" w:rsidRPr="00BD1319" w:rsidRDefault="00375430" w:rsidP="009420F5">
      <w:pPr>
        <w:pStyle w:val="Ttulo2"/>
        <w:rPr>
          <w:lang w:val="es-CO"/>
        </w:rPr>
      </w:pPr>
      <w:bookmarkStart w:id="2353" w:name="_Toc175326720"/>
      <w:r w:rsidRPr="00BD1319">
        <w:rPr>
          <w:lang w:val="es-CO"/>
        </w:rPr>
        <w:t>ESCENARIOS PROSPECTIVOS</w:t>
      </w:r>
      <w:bookmarkEnd w:id="2353"/>
    </w:p>
    <w:p w14:paraId="4FDE47AC" w14:textId="77777777" w:rsidR="00F464E8" w:rsidRPr="00BD1319" w:rsidRDefault="00F464E8" w:rsidP="00A9037D">
      <w:pPr>
        <w:tabs>
          <w:tab w:val="left" w:pos="-2268"/>
        </w:tabs>
        <w:suppressAutoHyphens/>
        <w:rPr>
          <w:rFonts w:cs="Arial"/>
          <w:spacing w:val="-3"/>
        </w:rPr>
      </w:pPr>
    </w:p>
    <w:p w14:paraId="2F221B07" w14:textId="198EBBE7" w:rsidR="004E03A6" w:rsidRPr="00BD1319" w:rsidRDefault="00F464E8" w:rsidP="00A9037D">
      <w:pPr>
        <w:tabs>
          <w:tab w:val="left" w:pos="-2268"/>
        </w:tabs>
        <w:suppressAutoHyphens/>
        <w:rPr>
          <w:spacing w:val="-3"/>
        </w:rPr>
      </w:pPr>
      <w:r w:rsidRPr="00BD1319">
        <w:rPr>
          <w:rFonts w:cs="Arial"/>
          <w:spacing w:val="-3"/>
        </w:rPr>
        <w:t xml:space="preserve">En caso de </w:t>
      </w:r>
      <w:r w:rsidR="00990798" w:rsidRPr="00BD1319">
        <w:rPr>
          <w:rFonts w:cs="Arial"/>
          <w:spacing w:val="-3"/>
        </w:rPr>
        <w:t>aplicar</w:t>
      </w:r>
      <w:r w:rsidR="00C70B12" w:rsidRPr="00BD1319">
        <w:rPr>
          <w:rFonts w:cs="Arial"/>
          <w:spacing w:val="-3"/>
        </w:rPr>
        <w:t>,</w:t>
      </w:r>
      <w:r w:rsidR="00990798" w:rsidRPr="00BD1319">
        <w:rPr>
          <w:rFonts w:cs="Arial"/>
          <w:spacing w:val="-3"/>
        </w:rPr>
        <w:t xml:space="preserve"> </w:t>
      </w:r>
      <w:r w:rsidRPr="00BD1319">
        <w:rPr>
          <w:rFonts w:cs="Arial"/>
          <w:spacing w:val="-3"/>
        </w:rPr>
        <w:t xml:space="preserve">se deben estructurar </w:t>
      </w:r>
      <w:r w:rsidR="00771164" w:rsidRPr="00BD1319">
        <w:rPr>
          <w:rFonts w:cs="Arial"/>
          <w:spacing w:val="-3"/>
        </w:rPr>
        <w:t xml:space="preserve">escenarios o </w:t>
      </w:r>
      <w:r w:rsidRPr="00BD1319">
        <w:rPr>
          <w:rFonts w:cs="Arial"/>
          <w:spacing w:val="-3"/>
        </w:rPr>
        <w:t xml:space="preserve">modelos </w:t>
      </w:r>
      <w:r w:rsidR="00771164" w:rsidRPr="00BD1319">
        <w:rPr>
          <w:rFonts w:cs="Arial"/>
          <w:spacing w:val="-3"/>
        </w:rPr>
        <w:t xml:space="preserve">prospectivos </w:t>
      </w:r>
      <w:r w:rsidRPr="00BD1319">
        <w:rPr>
          <w:rFonts w:cs="Arial"/>
          <w:spacing w:val="-3"/>
        </w:rPr>
        <w:t xml:space="preserve">que </w:t>
      </w:r>
      <w:r w:rsidR="0031185E" w:rsidRPr="00BD1319">
        <w:rPr>
          <w:rFonts w:cs="Arial"/>
          <w:spacing w:val="-3"/>
        </w:rPr>
        <w:t>estimen el comportamiento de los parámetros que potencialmente pueden</w:t>
      </w:r>
      <w:r w:rsidR="00C00632" w:rsidRPr="00BD1319">
        <w:rPr>
          <w:rFonts w:cs="Arial"/>
          <w:spacing w:val="-3"/>
        </w:rPr>
        <w:t xml:space="preserve"> ser</w:t>
      </w:r>
      <w:r w:rsidR="0031185E" w:rsidRPr="00BD1319">
        <w:rPr>
          <w:rFonts w:cs="Arial"/>
          <w:spacing w:val="-3"/>
        </w:rPr>
        <w:t xml:space="preserve"> altera</w:t>
      </w:r>
      <w:r w:rsidR="00C00632" w:rsidRPr="00BD1319">
        <w:rPr>
          <w:rFonts w:cs="Arial"/>
          <w:spacing w:val="-3"/>
        </w:rPr>
        <w:t>dos por</w:t>
      </w:r>
      <w:r w:rsidR="0031185E" w:rsidRPr="00BD1319">
        <w:rPr>
          <w:rFonts w:cs="Arial"/>
          <w:spacing w:val="-3"/>
        </w:rPr>
        <w:t xml:space="preserve"> las alternativas</w:t>
      </w:r>
      <w:r w:rsidR="00375430" w:rsidRPr="00BD1319">
        <w:rPr>
          <w:rFonts w:cs="Arial"/>
          <w:spacing w:val="-3"/>
        </w:rPr>
        <w:t xml:space="preserve"> del proyecto, obra o actividad</w:t>
      </w:r>
      <w:r w:rsidR="0031185E" w:rsidRPr="00BD1319">
        <w:rPr>
          <w:rFonts w:cs="Arial"/>
          <w:spacing w:val="-3"/>
        </w:rPr>
        <w:t xml:space="preserve">, con el propósito de suministrar </w:t>
      </w:r>
      <w:r w:rsidR="00F15E03" w:rsidRPr="00BD1319">
        <w:rPr>
          <w:rFonts w:cs="Arial"/>
          <w:spacing w:val="-3"/>
        </w:rPr>
        <w:t xml:space="preserve">información que </w:t>
      </w:r>
      <w:r w:rsidRPr="00BD1319">
        <w:rPr>
          <w:rFonts w:cs="Arial"/>
          <w:spacing w:val="-3"/>
        </w:rPr>
        <w:t>permita</w:t>
      </w:r>
      <w:r w:rsidR="00F15E03" w:rsidRPr="00BD1319">
        <w:rPr>
          <w:rFonts w:cs="Arial"/>
          <w:spacing w:val="-3"/>
        </w:rPr>
        <w:t xml:space="preserve"> valorar</w:t>
      </w:r>
      <w:r w:rsidR="0031185E" w:rsidRPr="00BD1319">
        <w:rPr>
          <w:rFonts w:cs="Arial"/>
          <w:spacing w:val="-3"/>
        </w:rPr>
        <w:t>, con el alcance esperado para un DAA,</w:t>
      </w:r>
      <w:r w:rsidR="00F15E03" w:rsidRPr="00BD1319">
        <w:rPr>
          <w:rFonts w:cs="Arial"/>
          <w:spacing w:val="-3"/>
        </w:rPr>
        <w:t xml:space="preserve"> los impactos ambientales potencial</w:t>
      </w:r>
      <w:r w:rsidR="0031185E" w:rsidRPr="00BD1319">
        <w:rPr>
          <w:rFonts w:cs="Arial"/>
          <w:spacing w:val="-3"/>
        </w:rPr>
        <w:t xml:space="preserve">es de </w:t>
      </w:r>
      <w:r w:rsidR="00F15E03" w:rsidRPr="00BD1319">
        <w:rPr>
          <w:rFonts w:cs="Arial"/>
          <w:spacing w:val="-3"/>
        </w:rPr>
        <w:t>las alternativas planteadas</w:t>
      </w:r>
      <w:r w:rsidR="004E03A6" w:rsidRPr="00BD1319">
        <w:rPr>
          <w:rFonts w:cs="Arial"/>
          <w:spacing w:val="-3"/>
        </w:rPr>
        <w:t>.</w:t>
      </w:r>
      <w:r w:rsidR="00F15E03" w:rsidRPr="00BD1319">
        <w:rPr>
          <w:rFonts w:cs="Arial"/>
          <w:spacing w:val="-3"/>
        </w:rPr>
        <w:t xml:space="preserve"> </w:t>
      </w:r>
      <w:r w:rsidR="00F20A7A" w:rsidRPr="00BD1319">
        <w:rPr>
          <w:rFonts w:cs="Arial"/>
          <w:spacing w:val="-3"/>
        </w:rPr>
        <w:t>La información relacionada con escenarios o modelos a presentar en el DAA es aquella que permita</w:t>
      </w:r>
      <w:r w:rsidR="008F42F1" w:rsidRPr="00BD1319">
        <w:rPr>
          <w:rFonts w:cs="Arial"/>
          <w:spacing w:val="-3"/>
        </w:rPr>
        <w:t xml:space="preserve"> </w:t>
      </w:r>
      <w:r w:rsidR="0031185E" w:rsidRPr="00BD1319">
        <w:rPr>
          <w:spacing w:val="-3"/>
        </w:rPr>
        <w:t xml:space="preserve">la </w:t>
      </w:r>
      <w:r w:rsidR="0009367A" w:rsidRPr="00BD1319">
        <w:rPr>
          <w:spacing w:val="-3"/>
        </w:rPr>
        <w:t xml:space="preserve">determinación </w:t>
      </w:r>
      <w:r w:rsidR="0031185E" w:rsidRPr="00BD1319">
        <w:rPr>
          <w:spacing w:val="-3"/>
        </w:rPr>
        <w:t xml:space="preserve">de </w:t>
      </w:r>
      <w:r w:rsidR="00A0393D" w:rsidRPr="00BD1319">
        <w:rPr>
          <w:spacing w:val="-3"/>
        </w:rPr>
        <w:t xml:space="preserve">impactos ambientales potenciales significativos, así como de </w:t>
      </w:r>
      <w:r w:rsidR="004E03A6" w:rsidRPr="00BD1319">
        <w:rPr>
          <w:spacing w:val="-3"/>
        </w:rPr>
        <w:t>diferencia</w:t>
      </w:r>
      <w:r w:rsidR="00F15E03" w:rsidRPr="00BD1319">
        <w:rPr>
          <w:spacing w:val="-3"/>
        </w:rPr>
        <w:t>s entre alternativas</w:t>
      </w:r>
      <w:r w:rsidR="0031185E" w:rsidRPr="00BD1319">
        <w:rPr>
          <w:spacing w:val="-3"/>
        </w:rPr>
        <w:t>,</w:t>
      </w:r>
      <w:r w:rsidR="00F15E03" w:rsidRPr="00BD1319">
        <w:rPr>
          <w:spacing w:val="-3"/>
        </w:rPr>
        <w:t xml:space="preserve"> </w:t>
      </w:r>
      <w:r w:rsidR="0031185E" w:rsidRPr="00BD1319">
        <w:rPr>
          <w:spacing w:val="-3"/>
        </w:rPr>
        <w:t xml:space="preserve">elemento indispensable </w:t>
      </w:r>
      <w:r w:rsidR="00F15E03" w:rsidRPr="00BD1319">
        <w:rPr>
          <w:spacing w:val="-3"/>
        </w:rPr>
        <w:t xml:space="preserve">para el proceso de </w:t>
      </w:r>
      <w:r w:rsidR="004E03A6" w:rsidRPr="00BD1319">
        <w:rPr>
          <w:spacing w:val="-3"/>
        </w:rPr>
        <w:t xml:space="preserve">comparación </w:t>
      </w:r>
      <w:r w:rsidR="00F15E03" w:rsidRPr="00BD1319">
        <w:rPr>
          <w:spacing w:val="-3"/>
        </w:rPr>
        <w:t xml:space="preserve">y selección de </w:t>
      </w:r>
      <w:r w:rsidR="00475BF4" w:rsidRPr="00BD1319">
        <w:rPr>
          <w:spacing w:val="-3"/>
        </w:rPr>
        <w:t>éstas</w:t>
      </w:r>
      <w:r w:rsidR="004E03A6" w:rsidRPr="00BD1319">
        <w:rPr>
          <w:spacing w:val="-3"/>
        </w:rPr>
        <w:t>.</w:t>
      </w:r>
    </w:p>
    <w:p w14:paraId="52DAF134" w14:textId="77777777" w:rsidR="00C70B12" w:rsidRPr="00BD1319" w:rsidRDefault="00C70B12" w:rsidP="00A9037D">
      <w:pPr>
        <w:tabs>
          <w:tab w:val="left" w:pos="-2268"/>
        </w:tabs>
        <w:suppressAutoHyphens/>
        <w:rPr>
          <w:spacing w:val="-3"/>
        </w:rPr>
      </w:pPr>
    </w:p>
    <w:p w14:paraId="2F75B28E" w14:textId="68DABE45" w:rsidR="00C70B12" w:rsidRPr="00BD1319" w:rsidRDefault="00C70B12" w:rsidP="00A9037D">
      <w:pPr>
        <w:tabs>
          <w:tab w:val="left" w:pos="-2268"/>
        </w:tabs>
        <w:suppressAutoHyphens/>
        <w:rPr>
          <w:rFonts w:cs="Arial"/>
          <w:spacing w:val="-3"/>
        </w:rPr>
      </w:pPr>
      <w:r w:rsidRPr="00BD1319">
        <w:rPr>
          <w:spacing w:val="-3"/>
        </w:rPr>
        <w:t>A continuación</w:t>
      </w:r>
      <w:r w:rsidR="008B4E79" w:rsidRPr="00BD1319">
        <w:rPr>
          <w:spacing w:val="-3"/>
        </w:rPr>
        <w:t>,</w:t>
      </w:r>
      <w:r w:rsidRPr="00BD1319">
        <w:rPr>
          <w:spacing w:val="-3"/>
        </w:rPr>
        <w:t xml:space="preserve"> se señalan lineamientos generales para el desarrollo de escenarios y modelos de algunos factores ambientales en el marco del DAA; es posible aplicar</w:t>
      </w:r>
      <w:r w:rsidR="008674D2" w:rsidRPr="00BD1319">
        <w:rPr>
          <w:spacing w:val="-3"/>
        </w:rPr>
        <w:t xml:space="preserve"> para la elaboración de un DAA</w:t>
      </w:r>
      <w:r w:rsidRPr="00BD1319">
        <w:rPr>
          <w:spacing w:val="-3"/>
        </w:rPr>
        <w:t xml:space="preserve">, si el estructurador del estudio ambiental lo considera pertinente, los lineamientos señalados en el numeral </w:t>
      </w:r>
      <w:r w:rsidRPr="00BD1319">
        <w:rPr>
          <w:spacing w:val="-3"/>
        </w:rPr>
        <w:fldChar w:fldCharType="begin"/>
      </w:r>
      <w:r w:rsidRPr="00BD1319">
        <w:rPr>
          <w:spacing w:val="-3"/>
        </w:rPr>
        <w:instrText xml:space="preserve"> REF _Ref79430805 \r \h </w:instrText>
      </w:r>
      <w:r w:rsidR="006A4128" w:rsidRPr="00BD1319">
        <w:rPr>
          <w:spacing w:val="-3"/>
        </w:rPr>
        <w:instrText xml:space="preserve"> \* MERGEFORMAT </w:instrText>
      </w:r>
      <w:r w:rsidRPr="00BD1319">
        <w:rPr>
          <w:spacing w:val="-3"/>
        </w:rPr>
      </w:r>
      <w:r w:rsidRPr="00BD1319">
        <w:rPr>
          <w:spacing w:val="-3"/>
        </w:rPr>
        <w:fldChar w:fldCharType="separate"/>
      </w:r>
      <w:r w:rsidR="00296654" w:rsidRPr="00BD1319">
        <w:rPr>
          <w:spacing w:val="-3"/>
        </w:rPr>
        <w:t>7.4</w:t>
      </w:r>
      <w:r w:rsidRPr="00BD1319">
        <w:rPr>
          <w:spacing w:val="-3"/>
        </w:rPr>
        <w:fldChar w:fldCharType="end"/>
      </w:r>
      <w:r w:rsidRPr="00BD1319">
        <w:rPr>
          <w:spacing w:val="-3"/>
        </w:rPr>
        <w:t xml:space="preserve"> del capítulo III de este documento.</w:t>
      </w:r>
    </w:p>
    <w:p w14:paraId="4A73BA2D" w14:textId="67C9F888" w:rsidR="004E03A6" w:rsidRPr="00BD1319" w:rsidRDefault="004E03A6" w:rsidP="00A9037D">
      <w:pPr>
        <w:tabs>
          <w:tab w:val="left" w:pos="-2268"/>
        </w:tabs>
        <w:suppressAutoHyphens/>
        <w:rPr>
          <w:rFonts w:cs="Arial"/>
          <w:spacing w:val="-3"/>
        </w:rPr>
      </w:pPr>
    </w:p>
    <w:p w14:paraId="4A505EC9" w14:textId="7950C55E" w:rsidR="00E51ED1" w:rsidRPr="00BD1319" w:rsidRDefault="00E51ED1" w:rsidP="00A9037D">
      <w:pPr>
        <w:tabs>
          <w:tab w:val="left" w:pos="-2268"/>
        </w:tabs>
        <w:suppressAutoHyphens/>
        <w:rPr>
          <w:rFonts w:cs="Arial"/>
          <w:spacing w:val="-3"/>
          <w:u w:val="single"/>
        </w:rPr>
      </w:pPr>
      <w:r w:rsidRPr="00BD1319">
        <w:rPr>
          <w:rFonts w:cs="Arial"/>
          <w:spacing w:val="-3"/>
          <w:u w:val="single"/>
        </w:rPr>
        <w:t>Calidad del aire</w:t>
      </w:r>
    </w:p>
    <w:p w14:paraId="2AB0B00B" w14:textId="77777777" w:rsidR="00E51ED1" w:rsidRPr="00BD1319" w:rsidRDefault="00E51ED1" w:rsidP="00A9037D">
      <w:pPr>
        <w:tabs>
          <w:tab w:val="left" w:pos="-2268"/>
        </w:tabs>
        <w:suppressAutoHyphens/>
        <w:rPr>
          <w:rFonts w:cs="Arial"/>
          <w:spacing w:val="-3"/>
        </w:rPr>
      </w:pPr>
    </w:p>
    <w:p w14:paraId="1D7081A8" w14:textId="13CB42F2" w:rsidR="00F464E8" w:rsidRPr="00BD1319" w:rsidRDefault="004E03A6" w:rsidP="009420F5">
      <w:pPr>
        <w:numPr>
          <w:ilvl w:val="12"/>
          <w:numId w:val="0"/>
        </w:numPr>
        <w:tabs>
          <w:tab w:val="left" w:pos="-2268"/>
        </w:tabs>
        <w:suppressAutoHyphens/>
        <w:rPr>
          <w:spacing w:val="-3"/>
        </w:rPr>
      </w:pPr>
      <w:r w:rsidRPr="00BD1319">
        <w:rPr>
          <w:spacing w:val="-3"/>
        </w:rPr>
        <w:t xml:space="preserve">Para el caso de </w:t>
      </w:r>
      <w:r w:rsidR="0031185E" w:rsidRPr="00BD1319">
        <w:rPr>
          <w:spacing w:val="-3"/>
        </w:rPr>
        <w:t xml:space="preserve">la </w:t>
      </w:r>
      <w:r w:rsidRPr="00BD1319">
        <w:rPr>
          <w:spacing w:val="-3"/>
        </w:rPr>
        <w:t xml:space="preserve">calidad del aire, el modelo </w:t>
      </w:r>
      <w:r w:rsidR="00936488" w:rsidRPr="00BD1319">
        <w:rPr>
          <w:spacing w:val="-3"/>
        </w:rPr>
        <w:t xml:space="preserve">sobre </w:t>
      </w:r>
      <w:r w:rsidRPr="00BD1319">
        <w:rPr>
          <w:spacing w:val="-3"/>
        </w:rPr>
        <w:t xml:space="preserve">los impactos potenciales de las fuentes de emisión de las alternativas no </w:t>
      </w:r>
      <w:r w:rsidR="00E51ED1" w:rsidRPr="00BD1319">
        <w:rPr>
          <w:spacing w:val="-3"/>
        </w:rPr>
        <w:t xml:space="preserve">debe </w:t>
      </w:r>
      <w:r w:rsidRPr="00BD1319">
        <w:rPr>
          <w:spacing w:val="-3"/>
        </w:rPr>
        <w:t>contempla</w:t>
      </w:r>
      <w:r w:rsidR="00E51ED1" w:rsidRPr="00BD1319">
        <w:rPr>
          <w:spacing w:val="-3"/>
        </w:rPr>
        <w:t>r</w:t>
      </w:r>
      <w:r w:rsidRPr="00BD1319">
        <w:rPr>
          <w:spacing w:val="-3"/>
        </w:rPr>
        <w:t xml:space="preserve"> las </w:t>
      </w:r>
      <w:r w:rsidR="00F464E8" w:rsidRPr="00BD1319">
        <w:rPr>
          <w:spacing w:val="-3"/>
        </w:rPr>
        <w:t xml:space="preserve">medidas de </w:t>
      </w:r>
      <w:r w:rsidRPr="00BD1319">
        <w:rPr>
          <w:spacing w:val="-3"/>
        </w:rPr>
        <w:t>manejo</w:t>
      </w:r>
      <w:r w:rsidR="00E51ED1" w:rsidRPr="00BD1319">
        <w:rPr>
          <w:spacing w:val="-3"/>
        </w:rPr>
        <w:t>.</w:t>
      </w:r>
      <w:r w:rsidRPr="00BD1319">
        <w:rPr>
          <w:spacing w:val="-3"/>
        </w:rPr>
        <w:t xml:space="preserve"> </w:t>
      </w:r>
      <w:r w:rsidR="00E51ED1" w:rsidRPr="00BD1319">
        <w:rPr>
          <w:spacing w:val="-3"/>
        </w:rPr>
        <w:t xml:space="preserve">Dicho modelo </w:t>
      </w:r>
      <w:r w:rsidRPr="00BD1319">
        <w:rPr>
          <w:spacing w:val="-3"/>
        </w:rPr>
        <w:t xml:space="preserve">puede </w:t>
      </w:r>
      <w:r w:rsidR="00E51ED1" w:rsidRPr="00BD1319">
        <w:rPr>
          <w:spacing w:val="-3"/>
        </w:rPr>
        <w:t xml:space="preserve">incorporar </w:t>
      </w:r>
      <w:r w:rsidR="00F464E8" w:rsidRPr="00BD1319">
        <w:rPr>
          <w:spacing w:val="-3"/>
        </w:rPr>
        <w:t xml:space="preserve">información secundaria del Subsistema de Información sobre la Calidad de Aire (SISAIRE), </w:t>
      </w:r>
      <w:r w:rsidR="00C00632" w:rsidRPr="00BD1319">
        <w:rPr>
          <w:spacing w:val="-3"/>
        </w:rPr>
        <w:t xml:space="preserve">de </w:t>
      </w:r>
      <w:r w:rsidR="00F464E8" w:rsidRPr="00BD1319">
        <w:rPr>
          <w:spacing w:val="-3"/>
        </w:rPr>
        <w:t xml:space="preserve">monitoreos de campañas de calidad del aire de conocimiento público de laboratorios acreditados por </w:t>
      </w:r>
      <w:proofErr w:type="spellStart"/>
      <w:r w:rsidR="00A92356" w:rsidRPr="00BD1319">
        <w:rPr>
          <w:spacing w:val="-3"/>
        </w:rPr>
        <w:t>Ideam</w:t>
      </w:r>
      <w:proofErr w:type="spellEnd"/>
      <w:r w:rsidR="00F464E8" w:rsidRPr="00BD1319">
        <w:rPr>
          <w:spacing w:val="-3"/>
        </w:rPr>
        <w:t xml:space="preserve"> o </w:t>
      </w:r>
      <w:r w:rsidR="0031185E" w:rsidRPr="00BD1319">
        <w:rPr>
          <w:spacing w:val="-3"/>
        </w:rPr>
        <w:t xml:space="preserve">de </w:t>
      </w:r>
      <w:r w:rsidR="00F464E8" w:rsidRPr="00BD1319">
        <w:rPr>
          <w:spacing w:val="-3"/>
        </w:rPr>
        <w:t>información de inmisión por model</w:t>
      </w:r>
      <w:r w:rsidR="00C74BBB" w:rsidRPr="00BD1319">
        <w:rPr>
          <w:spacing w:val="-3"/>
        </w:rPr>
        <w:t>iz</w:t>
      </w:r>
      <w:r w:rsidR="00F464E8" w:rsidRPr="00BD1319">
        <w:rPr>
          <w:spacing w:val="-3"/>
        </w:rPr>
        <w:t xml:space="preserve">ación de entidades de reconocida idoneidad </w:t>
      </w:r>
      <w:r w:rsidR="00F464E8" w:rsidRPr="00BD1319">
        <w:rPr>
          <w:spacing w:val="-3"/>
        </w:rPr>
        <w:lastRenderedPageBreak/>
        <w:t xml:space="preserve">científica nacional o internacional, </w:t>
      </w:r>
      <w:r w:rsidRPr="00BD1319">
        <w:rPr>
          <w:spacing w:val="-3"/>
        </w:rPr>
        <w:t xml:space="preserve">de forma que sea posible </w:t>
      </w:r>
      <w:r w:rsidR="00271624" w:rsidRPr="00BD1319">
        <w:rPr>
          <w:spacing w:val="-3"/>
        </w:rPr>
        <w:t xml:space="preserve">determinar </w:t>
      </w:r>
      <w:r w:rsidR="00F464E8" w:rsidRPr="00BD1319">
        <w:rPr>
          <w:spacing w:val="-3"/>
        </w:rPr>
        <w:t>el estado de la calidad del aire en concentración para gases y material particulado sobre los receptores identificados para cada alternativa del proyecto</w:t>
      </w:r>
      <w:r w:rsidR="00A0393D" w:rsidRPr="00BD1319">
        <w:rPr>
          <w:spacing w:val="-3"/>
        </w:rPr>
        <w:t>, obra o actividad</w:t>
      </w:r>
      <w:r w:rsidR="00F464E8" w:rsidRPr="00BD1319">
        <w:rPr>
          <w:spacing w:val="-3"/>
        </w:rPr>
        <w:t xml:space="preserve">. </w:t>
      </w:r>
      <w:r w:rsidR="00C00632" w:rsidRPr="00BD1319">
        <w:rPr>
          <w:spacing w:val="-3"/>
        </w:rPr>
        <w:t>Para su formulación s</w:t>
      </w:r>
      <w:r w:rsidR="00F464E8" w:rsidRPr="00BD1319">
        <w:rPr>
          <w:spacing w:val="-3"/>
        </w:rPr>
        <w:t xml:space="preserve">e debe </w:t>
      </w:r>
      <w:r w:rsidR="00C00632" w:rsidRPr="00BD1319">
        <w:rPr>
          <w:spacing w:val="-3"/>
        </w:rPr>
        <w:t xml:space="preserve">considerar </w:t>
      </w:r>
      <w:r w:rsidRPr="00BD1319">
        <w:rPr>
          <w:spacing w:val="-3"/>
        </w:rPr>
        <w:t xml:space="preserve">como mínimo </w:t>
      </w:r>
      <w:r w:rsidR="00F464E8" w:rsidRPr="00BD1319">
        <w:rPr>
          <w:spacing w:val="-3"/>
        </w:rPr>
        <w:t xml:space="preserve">la información de concentraciones y direcciones de viento, con el fin de correlacionarlas y generar un análisis cercano del comportamiento de la dispersión en el área de estudio del componente. Se debe </w:t>
      </w:r>
      <w:r w:rsidR="00E51ED1" w:rsidRPr="00BD1319">
        <w:rPr>
          <w:spacing w:val="-3"/>
        </w:rPr>
        <w:t>suministrar</w:t>
      </w:r>
      <w:r w:rsidR="00F464E8" w:rsidRPr="00BD1319">
        <w:rPr>
          <w:spacing w:val="-3"/>
        </w:rPr>
        <w:t xml:space="preserve"> la georreferenciación de los puntos de levantamiento de información de los parámetros identificados.</w:t>
      </w:r>
    </w:p>
    <w:p w14:paraId="6F08CABE" w14:textId="77777777" w:rsidR="000E3DBB" w:rsidRPr="00BD1319" w:rsidRDefault="000E3DBB" w:rsidP="009420F5">
      <w:pPr>
        <w:numPr>
          <w:ilvl w:val="12"/>
          <w:numId w:val="0"/>
        </w:numPr>
        <w:tabs>
          <w:tab w:val="left" w:pos="-2268"/>
        </w:tabs>
        <w:suppressAutoHyphens/>
        <w:rPr>
          <w:spacing w:val="-3"/>
        </w:rPr>
      </w:pPr>
    </w:p>
    <w:p w14:paraId="376075A9" w14:textId="5C263FB9" w:rsidR="00EC0B44" w:rsidRPr="00BD1319" w:rsidRDefault="00EC0B44">
      <w:pPr>
        <w:numPr>
          <w:ilvl w:val="12"/>
          <w:numId w:val="0"/>
        </w:numPr>
        <w:tabs>
          <w:tab w:val="left" w:pos="-2268"/>
        </w:tabs>
        <w:suppressAutoHyphens/>
        <w:rPr>
          <w:spacing w:val="-3"/>
          <w:u w:val="single"/>
        </w:rPr>
      </w:pPr>
      <w:r w:rsidRPr="00BD1319">
        <w:rPr>
          <w:spacing w:val="-3"/>
          <w:u w:val="single"/>
        </w:rPr>
        <w:t>Ruido</w:t>
      </w:r>
    </w:p>
    <w:p w14:paraId="426791C5" w14:textId="77777777" w:rsidR="00E51ED1" w:rsidRPr="00BD1319" w:rsidRDefault="00E51ED1" w:rsidP="009420F5">
      <w:pPr>
        <w:numPr>
          <w:ilvl w:val="12"/>
          <w:numId w:val="0"/>
        </w:numPr>
        <w:tabs>
          <w:tab w:val="left" w:pos="-2268"/>
        </w:tabs>
        <w:suppressAutoHyphens/>
        <w:rPr>
          <w:spacing w:val="-3"/>
        </w:rPr>
      </w:pPr>
    </w:p>
    <w:p w14:paraId="4882C004" w14:textId="77D3EFF7" w:rsidR="00EC0B44" w:rsidRPr="00BD1319" w:rsidRDefault="00990798" w:rsidP="009420F5">
      <w:pPr>
        <w:suppressAutoHyphens/>
        <w:rPr>
          <w:rFonts w:cs="Arial"/>
        </w:rPr>
      </w:pPr>
      <w:r w:rsidRPr="00BD1319">
        <w:rPr>
          <w:spacing w:val="-3"/>
        </w:rPr>
        <w:t xml:space="preserve">A fin de </w:t>
      </w:r>
      <w:r w:rsidR="00271624" w:rsidRPr="00BD1319">
        <w:rPr>
          <w:spacing w:val="-3"/>
        </w:rPr>
        <w:t xml:space="preserve">determinar </w:t>
      </w:r>
      <w:r w:rsidRPr="00BD1319">
        <w:rPr>
          <w:spacing w:val="-3"/>
        </w:rPr>
        <w:t>y evaluar los impactos ambientales potenciales sobre el factor ruido, s</w:t>
      </w:r>
      <w:r w:rsidR="00E51ED1" w:rsidRPr="00BD1319">
        <w:rPr>
          <w:spacing w:val="-3"/>
        </w:rPr>
        <w:t>e debe i</w:t>
      </w:r>
      <w:r w:rsidR="00EC0B44" w:rsidRPr="00BD1319">
        <w:rPr>
          <w:rFonts w:cs="Arial"/>
          <w:spacing w:val="-3"/>
        </w:rPr>
        <w:t>nventari</w:t>
      </w:r>
      <w:r w:rsidR="008674D2" w:rsidRPr="00BD1319">
        <w:rPr>
          <w:rFonts w:cs="Arial"/>
          <w:spacing w:val="-3"/>
        </w:rPr>
        <w:t>ar</w:t>
      </w:r>
      <w:r w:rsidR="00EC0B44" w:rsidRPr="00BD1319">
        <w:rPr>
          <w:rFonts w:cs="Arial"/>
          <w:spacing w:val="-3"/>
        </w:rPr>
        <w:t xml:space="preserve"> y </w:t>
      </w:r>
      <w:r w:rsidRPr="00BD1319">
        <w:rPr>
          <w:rFonts w:cs="Arial"/>
          <w:spacing w:val="-3"/>
        </w:rPr>
        <w:t xml:space="preserve">señalar </w:t>
      </w:r>
      <w:r w:rsidR="00E51ED1" w:rsidRPr="00BD1319">
        <w:rPr>
          <w:rFonts w:cs="Arial"/>
          <w:spacing w:val="-3"/>
        </w:rPr>
        <w:t xml:space="preserve">la </w:t>
      </w:r>
      <w:r w:rsidR="00EC0B44" w:rsidRPr="00BD1319">
        <w:rPr>
          <w:rFonts w:cs="Arial"/>
          <w:spacing w:val="-3"/>
        </w:rPr>
        <w:t xml:space="preserve">ubicación de </w:t>
      </w:r>
      <w:r w:rsidR="00E51ED1" w:rsidRPr="00BD1319">
        <w:rPr>
          <w:rFonts w:cs="Arial"/>
          <w:spacing w:val="-3"/>
        </w:rPr>
        <w:t xml:space="preserve">las </w:t>
      </w:r>
      <w:r w:rsidR="00EC0B44" w:rsidRPr="00BD1319">
        <w:rPr>
          <w:rFonts w:cs="Arial"/>
          <w:spacing w:val="-3"/>
        </w:rPr>
        <w:t xml:space="preserve">fuentes proyectadas </w:t>
      </w:r>
      <w:r w:rsidR="00247708" w:rsidRPr="00BD1319">
        <w:rPr>
          <w:spacing w:val="-3"/>
        </w:rPr>
        <w:t xml:space="preserve">en las diferentes fases del proyecto, obra o actividad de las </w:t>
      </w:r>
      <w:bookmarkStart w:id="2354" w:name="_Hlk78470756"/>
      <w:r w:rsidR="00247708" w:rsidRPr="00BD1319">
        <w:rPr>
          <w:spacing w:val="-3"/>
        </w:rPr>
        <w:t>alternativas</w:t>
      </w:r>
      <w:r w:rsidRPr="00BD1319">
        <w:rPr>
          <w:spacing w:val="-3"/>
        </w:rPr>
        <w:t xml:space="preserve"> propuestas</w:t>
      </w:r>
      <w:r w:rsidR="007A3000" w:rsidRPr="00BD1319">
        <w:rPr>
          <w:spacing w:val="-3"/>
        </w:rPr>
        <w:t>, sin contemplar las medidas de manejo</w:t>
      </w:r>
      <w:r w:rsidRPr="00BD1319">
        <w:rPr>
          <w:spacing w:val="-3"/>
        </w:rPr>
        <w:t>;</w:t>
      </w:r>
      <w:r w:rsidR="00EC0B44" w:rsidRPr="00BD1319">
        <w:rPr>
          <w:rFonts w:cs="Arial"/>
          <w:spacing w:val="-3"/>
        </w:rPr>
        <w:t xml:space="preserve"> </w:t>
      </w:r>
      <w:r w:rsidR="00A03248" w:rsidRPr="00BD1319">
        <w:rPr>
          <w:rFonts w:cs="Arial"/>
          <w:spacing w:val="-3"/>
        </w:rPr>
        <w:t>asimismo, se debe mencionar el tráfico proyectado, el número y tipo de fuentes (puntual, área o lineal) y sus características técnicas de orden referencial (potencia, potencia sonora, capacidad, dimensiones, peso, entre otras que puedan aportar información relevante al análisis). La determinación de la potencia sonora puede basarse en bibliotecas de información oficial que tengan sustento y en caso de ser empleadas, sus fuentes de información deben señalarse en el estudio</w:t>
      </w:r>
      <w:bookmarkEnd w:id="2354"/>
      <w:r w:rsidR="00EC0B44" w:rsidRPr="00BD1319">
        <w:rPr>
          <w:rFonts w:cs="Arial"/>
          <w:spacing w:val="-3"/>
        </w:rPr>
        <w:t>.</w:t>
      </w:r>
    </w:p>
    <w:p w14:paraId="6211309C" w14:textId="77777777" w:rsidR="00EC0B44" w:rsidRPr="00BD1319" w:rsidRDefault="00EC0B44" w:rsidP="009420F5">
      <w:pPr>
        <w:numPr>
          <w:ilvl w:val="12"/>
          <w:numId w:val="0"/>
        </w:numPr>
        <w:tabs>
          <w:tab w:val="left" w:pos="-2268"/>
        </w:tabs>
        <w:suppressAutoHyphens/>
        <w:rPr>
          <w:spacing w:val="-3"/>
        </w:rPr>
      </w:pPr>
    </w:p>
    <w:p w14:paraId="7FDAF269" w14:textId="5B1D4E9D" w:rsidR="00516E58" w:rsidRPr="00BD1319" w:rsidRDefault="00516E58" w:rsidP="009420F5">
      <w:pPr>
        <w:numPr>
          <w:ilvl w:val="12"/>
          <w:numId w:val="0"/>
        </w:numPr>
        <w:tabs>
          <w:tab w:val="left" w:pos="-2268"/>
        </w:tabs>
        <w:suppressAutoHyphens/>
        <w:rPr>
          <w:spacing w:val="-3"/>
          <w:u w:val="single"/>
        </w:rPr>
      </w:pPr>
      <w:r w:rsidRPr="00BD1319">
        <w:rPr>
          <w:spacing w:val="-3"/>
          <w:u w:val="single"/>
        </w:rPr>
        <w:t>Paisaje</w:t>
      </w:r>
    </w:p>
    <w:p w14:paraId="0D92A9DF" w14:textId="77777777" w:rsidR="00516E58" w:rsidRPr="00BD1319" w:rsidRDefault="00516E58" w:rsidP="00A9037D">
      <w:pPr>
        <w:tabs>
          <w:tab w:val="left" w:pos="-2268"/>
        </w:tabs>
        <w:suppressAutoHyphens/>
        <w:rPr>
          <w:rFonts w:cs="Arial"/>
          <w:spacing w:val="-3"/>
        </w:rPr>
      </w:pPr>
    </w:p>
    <w:p w14:paraId="6A9833E5" w14:textId="50E25736" w:rsidR="007A3000" w:rsidRPr="00BD1319" w:rsidRDefault="00CD6CF7" w:rsidP="00A9037D">
      <w:pPr>
        <w:tabs>
          <w:tab w:val="left" w:pos="-2268"/>
        </w:tabs>
        <w:suppressAutoHyphens/>
        <w:rPr>
          <w:rFonts w:cs="Arial"/>
          <w:spacing w:val="-3"/>
        </w:rPr>
      </w:pPr>
      <w:r w:rsidRPr="00BD1319">
        <w:rPr>
          <w:rFonts w:cs="Arial"/>
          <w:spacing w:val="-3"/>
        </w:rPr>
        <w:t xml:space="preserve">A fin de evaluar los impactos ambientales potenciales </w:t>
      </w:r>
      <w:r w:rsidR="00A0393D" w:rsidRPr="00BD1319">
        <w:rPr>
          <w:rFonts w:cs="Arial"/>
          <w:spacing w:val="-3"/>
        </w:rPr>
        <w:t>al paisaje</w:t>
      </w:r>
      <w:r w:rsidRPr="00BD1319">
        <w:rPr>
          <w:rFonts w:cs="Arial"/>
          <w:spacing w:val="-3"/>
        </w:rPr>
        <w:t xml:space="preserve">, </w:t>
      </w:r>
      <w:r w:rsidR="007A3000" w:rsidRPr="00BD1319">
        <w:rPr>
          <w:rFonts w:cs="Arial"/>
          <w:spacing w:val="-3"/>
        </w:rPr>
        <w:t xml:space="preserve">se debe desarrollar un modelo de visibilidad en el escenario con proyecto que considere la localización de la infraestructura o adecuación de espacios asociados a las alternativas del proyecto, obra o actividad, así como las condiciones del relieve y la cobertura de la tierra. Los resultados de este modelo deben analizarse en conjunto con los obtenidos para el modelo de visibilidad del escenario sin proyecto, estableciendo la </w:t>
      </w:r>
      <w:proofErr w:type="spellStart"/>
      <w:r w:rsidR="007A3000" w:rsidRPr="00BD1319">
        <w:rPr>
          <w:rFonts w:cs="Arial"/>
          <w:spacing w:val="-3"/>
        </w:rPr>
        <w:t>intervisibilidad</w:t>
      </w:r>
      <w:proofErr w:type="spellEnd"/>
      <w:r w:rsidR="007A3000" w:rsidRPr="00BD1319">
        <w:rPr>
          <w:rFonts w:cs="Arial"/>
          <w:spacing w:val="-3"/>
        </w:rPr>
        <w:t xml:space="preserve"> de los dos escenarios</w:t>
      </w:r>
    </w:p>
    <w:p w14:paraId="42BD8C8F" w14:textId="77777777" w:rsidR="007A3000" w:rsidRPr="00BD1319" w:rsidRDefault="007A3000" w:rsidP="00A9037D">
      <w:pPr>
        <w:tabs>
          <w:tab w:val="left" w:pos="-2268"/>
        </w:tabs>
        <w:suppressAutoHyphens/>
        <w:rPr>
          <w:rFonts w:cs="Arial"/>
          <w:spacing w:val="-3"/>
        </w:rPr>
      </w:pPr>
    </w:p>
    <w:p w14:paraId="276FDC55" w14:textId="16389D05" w:rsidR="00516E58" w:rsidRPr="00BD1319" w:rsidRDefault="007A3000" w:rsidP="00A9037D">
      <w:pPr>
        <w:tabs>
          <w:tab w:val="left" w:pos="-2268"/>
        </w:tabs>
        <w:suppressAutoHyphens/>
        <w:rPr>
          <w:rFonts w:cs="Arial"/>
          <w:spacing w:val="-3"/>
        </w:rPr>
      </w:pPr>
      <w:r w:rsidRPr="00BD1319">
        <w:rPr>
          <w:rFonts w:cs="Arial"/>
          <w:spacing w:val="-3"/>
          <w:lang w:val="es-ES_tradnl"/>
        </w:rPr>
        <w:t>Partiendo de lo anterior se debe</w:t>
      </w:r>
      <w:r w:rsidR="00CD6CF7" w:rsidRPr="00BD1319">
        <w:rPr>
          <w:rFonts w:cs="Arial"/>
          <w:spacing w:val="-3"/>
        </w:rPr>
        <w:t xml:space="preserve"> d</w:t>
      </w:r>
      <w:r w:rsidR="00516E58" w:rsidRPr="00BD1319">
        <w:rPr>
          <w:rFonts w:cs="Arial"/>
          <w:spacing w:val="-3"/>
        </w:rPr>
        <w:t>escri</w:t>
      </w:r>
      <w:r w:rsidR="00CD6CF7" w:rsidRPr="00BD1319">
        <w:rPr>
          <w:rFonts w:cs="Arial"/>
          <w:spacing w:val="-3"/>
        </w:rPr>
        <w:t xml:space="preserve">bir </w:t>
      </w:r>
      <w:r w:rsidR="00516E58" w:rsidRPr="00BD1319">
        <w:rPr>
          <w:rFonts w:cs="Arial"/>
          <w:spacing w:val="-3"/>
        </w:rPr>
        <w:t xml:space="preserve">la compatibilidad de las alternativas propuestas con el paisaje </w:t>
      </w:r>
      <w:r w:rsidR="00CD6CF7" w:rsidRPr="00BD1319">
        <w:rPr>
          <w:rFonts w:cs="Arial"/>
          <w:spacing w:val="-3"/>
        </w:rPr>
        <w:t>del área de estudio</w:t>
      </w:r>
      <w:r w:rsidR="00516E58" w:rsidRPr="00BD1319">
        <w:rPr>
          <w:rFonts w:cs="Arial"/>
          <w:spacing w:val="-3"/>
        </w:rPr>
        <w:t>, haciendo énfasis en los posibles contrastes e impactos a la calida</w:t>
      </w:r>
      <w:r w:rsidR="00CD6CF7" w:rsidRPr="00BD1319">
        <w:rPr>
          <w:rFonts w:cs="Arial"/>
          <w:spacing w:val="-3"/>
        </w:rPr>
        <w:t>d visual del paisaje</w:t>
      </w:r>
      <w:r w:rsidR="00516E58" w:rsidRPr="00BD1319">
        <w:rPr>
          <w:rFonts w:cs="Arial"/>
          <w:spacing w:val="-3"/>
        </w:rPr>
        <w:t xml:space="preserve"> </w:t>
      </w:r>
      <w:r w:rsidR="00A0393D" w:rsidRPr="00BD1319">
        <w:rPr>
          <w:rFonts w:cs="Arial"/>
          <w:spacing w:val="-3"/>
        </w:rPr>
        <w:t xml:space="preserve">que serían </w:t>
      </w:r>
      <w:r w:rsidR="00516E58" w:rsidRPr="00BD1319">
        <w:rPr>
          <w:rFonts w:cs="Arial"/>
          <w:spacing w:val="-3"/>
        </w:rPr>
        <w:t>ocasionados por la construcción de infraestructura o adecuación de espacios asociados al proyecto, obra o actividad.</w:t>
      </w:r>
    </w:p>
    <w:p w14:paraId="0964789B" w14:textId="77777777" w:rsidR="00516E58" w:rsidRPr="00BD1319" w:rsidRDefault="00516E58" w:rsidP="00A9037D">
      <w:pPr>
        <w:tabs>
          <w:tab w:val="left" w:pos="-2268"/>
        </w:tabs>
        <w:suppressAutoHyphens/>
        <w:rPr>
          <w:rFonts w:cs="Arial"/>
          <w:spacing w:val="-3"/>
        </w:rPr>
      </w:pPr>
    </w:p>
    <w:p w14:paraId="386EA535" w14:textId="455478DA" w:rsidR="00790AB1" w:rsidRPr="00BD1319" w:rsidRDefault="00790AB1" w:rsidP="00790AB1">
      <w:pPr>
        <w:numPr>
          <w:ilvl w:val="12"/>
          <w:numId w:val="0"/>
        </w:numPr>
        <w:tabs>
          <w:tab w:val="left" w:pos="-2268"/>
        </w:tabs>
        <w:suppressAutoHyphens/>
        <w:rPr>
          <w:spacing w:val="-3"/>
          <w:u w:val="single"/>
        </w:rPr>
      </w:pPr>
      <w:r w:rsidRPr="00BD1319">
        <w:rPr>
          <w:spacing w:val="-3"/>
          <w:u w:val="single"/>
        </w:rPr>
        <w:t>Conectividad ecológica</w:t>
      </w:r>
    </w:p>
    <w:p w14:paraId="1EF1E283" w14:textId="77777777" w:rsidR="00790AB1" w:rsidRPr="00BD1319" w:rsidRDefault="00790AB1" w:rsidP="00A9037D">
      <w:pPr>
        <w:tabs>
          <w:tab w:val="left" w:pos="-2268"/>
        </w:tabs>
        <w:suppressAutoHyphens/>
        <w:rPr>
          <w:rFonts w:cs="Arial"/>
          <w:spacing w:val="-3"/>
        </w:rPr>
      </w:pPr>
    </w:p>
    <w:p w14:paraId="7EF979C4" w14:textId="65FC4045" w:rsidR="00790AB1" w:rsidRPr="00BD1319" w:rsidRDefault="00790AB1" w:rsidP="00790AB1">
      <w:pPr>
        <w:numPr>
          <w:ilvl w:val="12"/>
          <w:numId w:val="0"/>
        </w:numPr>
        <w:tabs>
          <w:tab w:val="left" w:pos="-2268"/>
        </w:tabs>
        <w:suppressAutoHyphens/>
        <w:rPr>
          <w:spacing w:val="-3"/>
        </w:rPr>
      </w:pPr>
      <w:r w:rsidRPr="00BD1319">
        <w:rPr>
          <w:spacing w:val="-3"/>
        </w:rPr>
        <w:t>Complementario al análisis de conectividad ecológica desarrollado para la caracterización ambiental, se deben desarrollar modelos que permitan comparar los escenarios sin proyecto y con proyecto, dependiendo de los posibles diseños y las diferentes alternativas planteadas. Se debe entregar de forma anexa la información geográfica usada para los análisis realizados.</w:t>
      </w:r>
    </w:p>
    <w:p w14:paraId="7D6F1097" w14:textId="77777777" w:rsidR="00790AB1" w:rsidRPr="00BD1319" w:rsidRDefault="00790AB1" w:rsidP="00A9037D">
      <w:pPr>
        <w:tabs>
          <w:tab w:val="left" w:pos="-2268"/>
        </w:tabs>
        <w:suppressAutoHyphens/>
        <w:rPr>
          <w:rFonts w:cs="Arial"/>
          <w:spacing w:val="-3"/>
        </w:rPr>
      </w:pPr>
    </w:p>
    <w:p w14:paraId="4A8262A6" w14:textId="77777777" w:rsidR="007A3000" w:rsidRPr="00BD1319" w:rsidRDefault="007A3000" w:rsidP="00A9037D">
      <w:pPr>
        <w:tabs>
          <w:tab w:val="left" w:pos="-2268"/>
        </w:tabs>
        <w:suppressAutoHyphens/>
        <w:rPr>
          <w:rFonts w:cs="Arial"/>
          <w:spacing w:val="-3"/>
        </w:rPr>
      </w:pPr>
    </w:p>
    <w:p w14:paraId="5922A3EB" w14:textId="7C6B823B" w:rsidR="002D1E38" w:rsidRPr="00BD1319" w:rsidRDefault="002D1E38" w:rsidP="00CB4557">
      <w:pPr>
        <w:pStyle w:val="Ttulo1"/>
        <w:numPr>
          <w:ilvl w:val="0"/>
          <w:numId w:val="8"/>
        </w:numPr>
        <w:rPr>
          <w:lang w:val="es-CO"/>
        </w:rPr>
      </w:pPr>
      <w:bookmarkStart w:id="2355" w:name="_Toc43485661"/>
      <w:bookmarkStart w:id="2356" w:name="_Toc43485662"/>
      <w:bookmarkStart w:id="2357" w:name="_Toc43485663"/>
      <w:bookmarkStart w:id="2358" w:name="_Toc175326721"/>
      <w:bookmarkEnd w:id="2355"/>
      <w:bookmarkEnd w:id="2356"/>
      <w:bookmarkEnd w:id="2357"/>
      <w:r w:rsidRPr="00BD1319">
        <w:rPr>
          <w:lang w:val="es-CO"/>
        </w:rPr>
        <w:t>ANÁLISIS COSTO BENEFICIO AMBIENTAL DE LAS ALTERNATIVAS</w:t>
      </w:r>
      <w:bookmarkEnd w:id="2358"/>
    </w:p>
    <w:p w14:paraId="20F753E7" w14:textId="77777777" w:rsidR="002D1E38" w:rsidRPr="00BD1319" w:rsidRDefault="002D1E38">
      <w:pPr>
        <w:numPr>
          <w:ilvl w:val="12"/>
          <w:numId w:val="0"/>
        </w:numPr>
        <w:tabs>
          <w:tab w:val="left" w:pos="-2268"/>
        </w:tabs>
        <w:suppressAutoHyphens/>
        <w:rPr>
          <w:spacing w:val="-3"/>
        </w:rPr>
      </w:pPr>
    </w:p>
    <w:p w14:paraId="0693C982" w14:textId="5A74C17A" w:rsidR="00CD33DB" w:rsidRPr="00BD1319" w:rsidRDefault="00CD33DB" w:rsidP="00C86DA5">
      <w:pPr>
        <w:tabs>
          <w:tab w:val="left" w:pos="-2268"/>
        </w:tabs>
        <w:suppressAutoHyphens/>
        <w:rPr>
          <w:spacing w:val="-3"/>
        </w:rPr>
      </w:pPr>
      <w:r w:rsidRPr="00BD1319">
        <w:rPr>
          <w:spacing w:val="-3"/>
        </w:rPr>
        <w:t>El Análisis Costo Beneficio ambiental (ACB) de las alternativas constituye uno de los elementos mínimos que debe contener el Diagnóstico Ambiental de Alternativas (DAA) de acuerdo con las disposiciones del Decreto 1076 de 2015</w:t>
      </w:r>
      <w:r w:rsidRPr="00BD1319">
        <w:rPr>
          <w:rFonts w:cs="Arial"/>
          <w:spacing w:val="-3"/>
        </w:rPr>
        <w:t xml:space="preserve"> o de la norma que lo modifique o sustituya.</w:t>
      </w:r>
      <w:r w:rsidRPr="00BD1319">
        <w:rPr>
          <w:spacing w:val="-3"/>
        </w:rPr>
        <w:t xml:space="preserve"> En este caso, el ACB no se refiere al análisis financiero convencional que contempla los beneficios que obtiene el sector privado al desarrollar el proyecto, </w:t>
      </w:r>
      <w:r w:rsidRPr="00BD1319">
        <w:rPr>
          <w:rFonts w:cs="Arial"/>
          <w:spacing w:val="-3"/>
        </w:rPr>
        <w:t xml:space="preserve">obra o actividad, </w:t>
      </w:r>
      <w:r w:rsidRPr="00BD1319">
        <w:rPr>
          <w:spacing w:val="-3"/>
        </w:rPr>
        <w:t>sino que corresponde a una aproximación que compara los beneficios y costos ambientales que recibiría la sociedad si se desarrollara cada una de las alternativas planteadas para la ejecución del proyecto</w:t>
      </w:r>
      <w:r w:rsidR="00BC6D6A" w:rsidRPr="00BD1319">
        <w:rPr>
          <w:spacing w:val="-3"/>
        </w:rPr>
        <w:t>, obra o actividad</w:t>
      </w:r>
      <w:r w:rsidRPr="00BD1319">
        <w:rPr>
          <w:spacing w:val="-3"/>
        </w:rPr>
        <w:t xml:space="preserve"> (Minambiente &amp; ANLA, 2017).</w:t>
      </w:r>
    </w:p>
    <w:p w14:paraId="6EA6247D" w14:textId="77777777" w:rsidR="00CD33DB" w:rsidRPr="00BD1319" w:rsidRDefault="00CD33DB">
      <w:pPr>
        <w:numPr>
          <w:ilvl w:val="12"/>
          <w:numId w:val="0"/>
        </w:numPr>
        <w:tabs>
          <w:tab w:val="left" w:pos="-2268"/>
        </w:tabs>
        <w:suppressAutoHyphens/>
        <w:rPr>
          <w:spacing w:val="-3"/>
        </w:rPr>
      </w:pPr>
    </w:p>
    <w:p w14:paraId="76D2CC50" w14:textId="6ED48CE7" w:rsidR="00CD33DB" w:rsidRPr="00BD1319" w:rsidRDefault="00CD33DB" w:rsidP="00C86DA5">
      <w:pPr>
        <w:tabs>
          <w:tab w:val="left" w:pos="-2268"/>
        </w:tabs>
        <w:suppressAutoHyphens/>
        <w:rPr>
          <w:spacing w:val="-3"/>
        </w:rPr>
      </w:pPr>
      <w:r w:rsidRPr="00BD1319">
        <w:rPr>
          <w:spacing w:val="-3"/>
        </w:rPr>
        <w:t xml:space="preserve">Dicha comparación entre costos y beneficios constituye </w:t>
      </w:r>
      <w:r w:rsidRPr="00BD1319">
        <w:rPr>
          <w:i/>
          <w:spacing w:val="-3"/>
        </w:rPr>
        <w:t>un criterio adicional</w:t>
      </w:r>
      <w:r w:rsidRPr="00BD1319">
        <w:rPr>
          <w:spacing w:val="-3"/>
        </w:rPr>
        <w:t xml:space="preserve"> que debe tenerse en cuenta en la Evaluación Multicriterio, proceso que se efectúa para evaluar, comparar y seleccionar las alternativas</w:t>
      </w:r>
      <w:r w:rsidRPr="00BD1319">
        <w:rPr>
          <w:rFonts w:cs="Arial"/>
          <w:spacing w:val="-3"/>
        </w:rPr>
        <w:t xml:space="preserve"> más favorables</w:t>
      </w:r>
      <w:r w:rsidRPr="00BD1319">
        <w:rPr>
          <w:spacing w:val="-3"/>
        </w:rPr>
        <w:t xml:space="preserve"> desde el punto de vista ambiental, a fin de ponerlas en consideración de la autoridad ambiental, quien decide sobre cuál</w:t>
      </w:r>
      <w:r w:rsidRPr="00BD1319">
        <w:rPr>
          <w:rFonts w:cs="Arial"/>
          <w:spacing w:val="-3"/>
        </w:rPr>
        <w:t>, o cuáles</w:t>
      </w:r>
      <w:r w:rsidRPr="00BD1319">
        <w:rPr>
          <w:spacing w:val="-3"/>
        </w:rPr>
        <w:t xml:space="preserve"> de ellas se debe elaborar el Estudio de Impacto Ambiental (EIA</w:t>
      </w:r>
      <w:r w:rsidRPr="00BD1319">
        <w:rPr>
          <w:rFonts w:cs="Arial"/>
          <w:spacing w:val="-3"/>
        </w:rPr>
        <w:t>), considerando las particularidades del proyecto, obra o actividad, así como las características del área en la cual se pretende desarrollar el mismo.</w:t>
      </w:r>
    </w:p>
    <w:p w14:paraId="662136B9" w14:textId="49DE6DC4" w:rsidR="00E97D60" w:rsidRPr="00BD1319" w:rsidRDefault="00E97D60">
      <w:pPr>
        <w:numPr>
          <w:ilvl w:val="12"/>
          <w:numId w:val="0"/>
        </w:numPr>
        <w:tabs>
          <w:tab w:val="left" w:pos="-2268"/>
        </w:tabs>
        <w:suppressAutoHyphens/>
        <w:rPr>
          <w:spacing w:val="-3"/>
        </w:rPr>
      </w:pPr>
    </w:p>
    <w:p w14:paraId="0AED30FE" w14:textId="2B250C0D" w:rsidR="00CD33DB" w:rsidRPr="00BD1319" w:rsidRDefault="00CD33DB">
      <w:pPr>
        <w:numPr>
          <w:ilvl w:val="12"/>
          <w:numId w:val="0"/>
        </w:numPr>
        <w:tabs>
          <w:tab w:val="left" w:pos="-2268"/>
        </w:tabs>
        <w:suppressAutoHyphens/>
        <w:rPr>
          <w:spacing w:val="-3"/>
        </w:rPr>
      </w:pPr>
      <w:r w:rsidRPr="00BD1319">
        <w:rPr>
          <w:spacing w:val="-3"/>
        </w:rPr>
        <w:t xml:space="preserve">La </w:t>
      </w:r>
      <w:r w:rsidR="002738ED" w:rsidRPr="00BD1319">
        <w:rPr>
          <w:spacing w:val="-3"/>
        </w:rPr>
        <w:fldChar w:fldCharType="begin"/>
      </w:r>
      <w:r w:rsidR="002738ED" w:rsidRPr="00BD1319">
        <w:rPr>
          <w:spacing w:val="-3"/>
        </w:rPr>
        <w:instrText xml:space="preserve"> REF _Ref153817594 \h  \* MERGEFORMAT </w:instrText>
      </w:r>
      <w:r w:rsidR="002738ED" w:rsidRPr="00BD1319">
        <w:rPr>
          <w:spacing w:val="-3"/>
        </w:rPr>
      </w:r>
      <w:r w:rsidR="002738ED" w:rsidRPr="00BD1319">
        <w:rPr>
          <w:spacing w:val="-3"/>
        </w:rPr>
        <w:fldChar w:fldCharType="separate"/>
      </w:r>
      <w:r w:rsidR="00296654" w:rsidRPr="00BD1319">
        <w:t xml:space="preserve">Figura </w:t>
      </w:r>
      <w:r w:rsidR="00296654" w:rsidRPr="00BD1319">
        <w:rPr>
          <w:noProof/>
        </w:rPr>
        <w:t>2</w:t>
      </w:r>
      <w:r w:rsidR="002738ED" w:rsidRPr="00BD1319">
        <w:rPr>
          <w:spacing w:val="-3"/>
        </w:rPr>
        <w:fldChar w:fldCharType="end"/>
      </w:r>
      <w:r w:rsidRPr="00BD1319">
        <w:rPr>
          <w:spacing w:val="-3"/>
        </w:rPr>
        <w:t xml:space="preserve"> presenta el esquema metodológico para implementar adecuadamente el ACB en el DAA, análisis que debe estar articulado con los demás elementos básicos del DAA (artículo 2.2.2.3.4.3 del Decreto 1076 de 2015), y contemplar todas las alternativas propuestas</w:t>
      </w:r>
      <w:r w:rsidR="007E3C84" w:rsidRPr="00BD1319">
        <w:rPr>
          <w:spacing w:val="-3"/>
        </w:rPr>
        <w:t xml:space="preserve"> a fin de establecer el delta o cambio de cada alternativa respecto del escenario sin</w:t>
      </w:r>
      <w:r w:rsidR="007E3C84" w:rsidRPr="00BD1319" w:rsidDel="007E3C84">
        <w:rPr>
          <w:spacing w:val="-3"/>
        </w:rPr>
        <w:t xml:space="preserve"> </w:t>
      </w:r>
      <w:r w:rsidRPr="00BD1319">
        <w:rPr>
          <w:spacing w:val="-3"/>
        </w:rPr>
        <w:t>proyecto.</w:t>
      </w:r>
    </w:p>
    <w:p w14:paraId="487D291C" w14:textId="77777777" w:rsidR="00CD33DB" w:rsidRPr="00BD1319" w:rsidRDefault="00CD33DB">
      <w:pPr>
        <w:numPr>
          <w:ilvl w:val="12"/>
          <w:numId w:val="0"/>
        </w:numPr>
        <w:tabs>
          <w:tab w:val="left" w:pos="-2268"/>
        </w:tabs>
        <w:suppressAutoHyphens/>
        <w:rPr>
          <w:spacing w:val="-3"/>
        </w:rPr>
      </w:pPr>
    </w:p>
    <w:p w14:paraId="21B8081E" w14:textId="0C834F92" w:rsidR="00663FFC" w:rsidRPr="00BD1319" w:rsidRDefault="00CD33DB" w:rsidP="439A4240">
      <w:pPr>
        <w:suppressAutoHyphens/>
      </w:pPr>
      <w:r w:rsidRPr="00BD1319">
        <w:rPr>
          <w:spacing w:val="-3"/>
        </w:rPr>
        <w:t>Para llevar a cabo el ACB en el DAA se acepta el uso de información secundaria del área de estudio y de las proyecciones establecidas sobre el uso y aprovechamiento de los recursos naturales renovables para cada una de las alternativas a evaluar.</w:t>
      </w:r>
      <w:r w:rsidR="007E3C84" w:rsidRPr="00BD1319">
        <w:rPr>
          <w:spacing w:val="-3"/>
        </w:rPr>
        <w:t xml:space="preserve"> </w:t>
      </w:r>
      <w:r w:rsidR="00663FFC" w:rsidRPr="00BD1319">
        <w:rPr>
          <w:spacing w:val="-3"/>
        </w:rPr>
        <w:t xml:space="preserve">La estimación de los cambios en los servicios ecosistémicos </w:t>
      </w:r>
      <w:r w:rsidR="005A216E" w:rsidRPr="00BD1319">
        <w:rPr>
          <w:spacing w:val="-3"/>
        </w:rPr>
        <w:t xml:space="preserve">toma como referencia una caracterización básica de éstos, la cual debe realizarse a partir de los lineamientos </w:t>
      </w:r>
      <w:r w:rsidR="005A216E" w:rsidRPr="00BD1319">
        <w:rPr>
          <w:spacing w:val="-3"/>
        </w:rPr>
        <w:lastRenderedPageBreak/>
        <w:t xml:space="preserve">señalados en </w:t>
      </w:r>
      <w:r w:rsidR="007E3C84" w:rsidRPr="00BD1319">
        <w:rPr>
          <w:spacing w:val="-3"/>
        </w:rPr>
        <w:t xml:space="preserve">el </w:t>
      </w:r>
      <w:r w:rsidR="00663FFC" w:rsidRPr="00BD1319">
        <w:rPr>
          <w:spacing w:val="-3"/>
        </w:rPr>
        <w:t xml:space="preserve">numeral </w:t>
      </w:r>
      <w:r w:rsidR="00663FFC" w:rsidRPr="00BD1319">
        <w:rPr>
          <w:spacing w:val="-3"/>
        </w:rPr>
        <w:fldChar w:fldCharType="begin"/>
      </w:r>
      <w:r w:rsidR="00663FFC" w:rsidRPr="00BD1319">
        <w:rPr>
          <w:spacing w:val="-3"/>
        </w:rPr>
        <w:instrText xml:space="preserve"> REF _Ref78536127 \r \h </w:instrText>
      </w:r>
      <w:r w:rsidR="006A4128" w:rsidRPr="00BD1319">
        <w:rPr>
          <w:spacing w:val="-3"/>
        </w:rPr>
        <w:instrText xml:space="preserve"> \* MERGEFORMAT </w:instrText>
      </w:r>
      <w:r w:rsidR="00663FFC" w:rsidRPr="00BD1319">
        <w:rPr>
          <w:spacing w:val="-3"/>
        </w:rPr>
      </w:r>
      <w:r w:rsidR="00663FFC" w:rsidRPr="00BD1319">
        <w:rPr>
          <w:spacing w:val="-3"/>
        </w:rPr>
        <w:fldChar w:fldCharType="separate"/>
      </w:r>
      <w:r w:rsidR="00296654" w:rsidRPr="00BD1319">
        <w:rPr>
          <w:spacing w:val="-3"/>
        </w:rPr>
        <w:t>4.4</w:t>
      </w:r>
      <w:r w:rsidR="00663FFC" w:rsidRPr="00BD1319">
        <w:rPr>
          <w:spacing w:val="-3"/>
        </w:rPr>
        <w:fldChar w:fldCharType="end"/>
      </w:r>
      <w:r w:rsidR="00663FFC" w:rsidRPr="00BD1319">
        <w:rPr>
          <w:spacing w:val="-3"/>
        </w:rPr>
        <w:t xml:space="preserve"> del </w:t>
      </w:r>
      <w:r w:rsidR="007E3C84" w:rsidRPr="00BD1319">
        <w:rPr>
          <w:spacing w:val="-3"/>
        </w:rPr>
        <w:t xml:space="preserve">Capítulo III </w:t>
      </w:r>
      <w:r w:rsidR="00663FFC" w:rsidRPr="00BD1319">
        <w:rPr>
          <w:spacing w:val="-3"/>
        </w:rPr>
        <w:t>del presente documento</w:t>
      </w:r>
      <w:r w:rsidR="005A216E" w:rsidRPr="00BD1319">
        <w:rPr>
          <w:spacing w:val="-3"/>
        </w:rPr>
        <w:t xml:space="preserve"> </w:t>
      </w:r>
      <w:r w:rsidR="002169A9" w:rsidRPr="00BD1319">
        <w:rPr>
          <w:spacing w:val="-3"/>
        </w:rPr>
        <w:t xml:space="preserve">y </w:t>
      </w:r>
      <w:r w:rsidR="0094422B" w:rsidRPr="00BD1319">
        <w:rPr>
          <w:spacing w:val="-3"/>
        </w:rPr>
        <w:t xml:space="preserve">permitir la </w:t>
      </w:r>
      <w:r w:rsidR="002169A9" w:rsidRPr="00BD1319">
        <w:rPr>
          <w:spacing w:val="-3"/>
        </w:rPr>
        <w:t>consolida</w:t>
      </w:r>
      <w:r w:rsidR="0094422B" w:rsidRPr="00BD1319">
        <w:rPr>
          <w:spacing w:val="-3"/>
        </w:rPr>
        <w:t>ción de</w:t>
      </w:r>
      <w:r w:rsidR="002169A9" w:rsidRPr="00BD1319">
        <w:rPr>
          <w:spacing w:val="-3"/>
        </w:rPr>
        <w:t xml:space="preserve"> </w:t>
      </w:r>
      <w:r w:rsidR="005A216E" w:rsidRPr="00BD1319">
        <w:rPr>
          <w:spacing w:val="-3"/>
        </w:rPr>
        <w:t>la información establec</w:t>
      </w:r>
      <w:r w:rsidR="002169A9" w:rsidRPr="00BD1319">
        <w:rPr>
          <w:spacing w:val="-3"/>
        </w:rPr>
        <w:t xml:space="preserve">ida </w:t>
      </w:r>
      <w:r w:rsidR="007E3C84" w:rsidRPr="00BD1319">
        <w:rPr>
          <w:spacing w:val="-3"/>
        </w:rPr>
        <w:t xml:space="preserve">en la </w:t>
      </w:r>
      <w:r w:rsidR="00663FFC" w:rsidRPr="00BD1319">
        <w:rPr>
          <w:spacing w:val="-3"/>
        </w:rPr>
        <w:fldChar w:fldCharType="begin"/>
      </w:r>
      <w:r w:rsidR="00663FFC" w:rsidRPr="00BD1319">
        <w:rPr>
          <w:spacing w:val="-3"/>
        </w:rPr>
        <w:instrText xml:space="preserve"> REF _Ref78536291 \h  \* MERGEFORMAT </w:instrText>
      </w:r>
      <w:r w:rsidR="00663FFC" w:rsidRPr="00BD1319">
        <w:rPr>
          <w:spacing w:val="-3"/>
        </w:rPr>
      </w:r>
      <w:r w:rsidR="00663FFC" w:rsidRPr="00BD1319">
        <w:rPr>
          <w:spacing w:val="-3"/>
        </w:rPr>
        <w:fldChar w:fldCharType="separate"/>
      </w:r>
      <w:r w:rsidR="00296654" w:rsidRPr="00BD1319">
        <w:rPr>
          <w:rFonts w:cs="Arial"/>
          <w:spacing w:val="-3"/>
        </w:rPr>
        <w:t>Tabla 29</w:t>
      </w:r>
      <w:r w:rsidR="00663FFC" w:rsidRPr="00BD1319">
        <w:rPr>
          <w:spacing w:val="-3"/>
        </w:rPr>
        <w:fldChar w:fldCharType="end"/>
      </w:r>
      <w:r w:rsidR="00370D91" w:rsidRPr="00BD1319">
        <w:rPr>
          <w:spacing w:val="-3"/>
        </w:rPr>
        <w:t>.</w:t>
      </w:r>
      <w:r w:rsidR="005A216E" w:rsidRPr="00BD1319">
        <w:rPr>
          <w:spacing w:val="-3"/>
        </w:rPr>
        <w:t xml:space="preserve"> </w:t>
      </w:r>
      <w:r w:rsidR="0094422B" w:rsidRPr="00BD1319">
        <w:rPr>
          <w:spacing w:val="-3"/>
        </w:rPr>
        <w:t xml:space="preserve">Para </w:t>
      </w:r>
      <w:r w:rsidR="002169A9" w:rsidRPr="00BD1319">
        <w:rPr>
          <w:spacing w:val="-3"/>
        </w:rPr>
        <w:t xml:space="preserve">los análisis referidos a </w:t>
      </w:r>
      <w:r w:rsidR="005A216E" w:rsidRPr="00BD1319">
        <w:rPr>
          <w:spacing w:val="-3"/>
        </w:rPr>
        <w:t>los servicios ecosistémicos</w:t>
      </w:r>
      <w:r w:rsidR="0094422B" w:rsidRPr="00BD1319">
        <w:rPr>
          <w:spacing w:val="-3"/>
        </w:rPr>
        <w:t xml:space="preserve"> se debe tener presente que éstos </w:t>
      </w:r>
      <w:r w:rsidR="005A216E" w:rsidRPr="00BD1319">
        <w:rPr>
          <w:spacing w:val="-3"/>
        </w:rPr>
        <w:t>debe</w:t>
      </w:r>
      <w:r w:rsidR="002169A9" w:rsidRPr="00BD1319">
        <w:rPr>
          <w:spacing w:val="-3"/>
        </w:rPr>
        <w:t>n</w:t>
      </w:r>
      <w:r w:rsidR="005A216E" w:rsidRPr="00BD1319">
        <w:rPr>
          <w:spacing w:val="-3"/>
        </w:rPr>
        <w:t xml:space="preserve"> </w:t>
      </w:r>
      <w:r w:rsidR="002169A9" w:rsidRPr="00BD1319">
        <w:rPr>
          <w:spacing w:val="-3"/>
        </w:rPr>
        <w:t xml:space="preserve">basarse en información coherente </w:t>
      </w:r>
      <w:r w:rsidR="005A216E" w:rsidRPr="00BD1319">
        <w:rPr>
          <w:spacing w:val="-3"/>
        </w:rPr>
        <w:t xml:space="preserve">con el </w:t>
      </w:r>
      <w:r w:rsidR="00663FFC" w:rsidRPr="00BD1319">
        <w:rPr>
          <w:spacing w:val="-3"/>
        </w:rPr>
        <w:t>alcance y profundidad</w:t>
      </w:r>
      <w:r w:rsidR="005A216E" w:rsidRPr="00BD1319">
        <w:rPr>
          <w:spacing w:val="-3"/>
        </w:rPr>
        <w:t xml:space="preserve"> </w:t>
      </w:r>
      <w:r w:rsidR="439A4240" w:rsidRPr="00BD1319">
        <w:t xml:space="preserve">de </w:t>
      </w:r>
      <w:r w:rsidR="002169A9" w:rsidRPr="00BD1319">
        <w:rPr>
          <w:spacing w:val="-3"/>
        </w:rPr>
        <w:t>un DAA</w:t>
      </w:r>
      <w:r w:rsidR="00663FFC" w:rsidRPr="00BD1319">
        <w:rPr>
          <w:spacing w:val="-3"/>
        </w:rPr>
        <w:t xml:space="preserve">, </w:t>
      </w:r>
      <w:r w:rsidR="002169A9" w:rsidRPr="00BD1319">
        <w:rPr>
          <w:spacing w:val="-3"/>
        </w:rPr>
        <w:t>cuyo propósito fundamental es comparar diferentes alternativas</w:t>
      </w:r>
      <w:r w:rsidR="00663FFC" w:rsidRPr="00BD1319">
        <w:rPr>
          <w:spacing w:val="-3"/>
        </w:rPr>
        <w:t>.</w:t>
      </w:r>
    </w:p>
    <w:p w14:paraId="3908E3F6" w14:textId="77777777" w:rsidR="00CD33DB" w:rsidRPr="00BD1319" w:rsidRDefault="00CD33DB">
      <w:pPr>
        <w:numPr>
          <w:ilvl w:val="12"/>
          <w:numId w:val="0"/>
        </w:numPr>
        <w:tabs>
          <w:tab w:val="left" w:pos="-2268"/>
        </w:tabs>
        <w:suppressAutoHyphens/>
        <w:rPr>
          <w:spacing w:val="-3"/>
        </w:rPr>
      </w:pPr>
    </w:p>
    <w:p w14:paraId="251E2119" w14:textId="4B4C4214" w:rsidR="00CD33DB" w:rsidRPr="00BD1319" w:rsidRDefault="00E45CEA" w:rsidP="00E45CEA">
      <w:pPr>
        <w:pStyle w:val="Descripcin"/>
        <w:jc w:val="center"/>
        <w:rPr>
          <w:b w:val="0"/>
          <w:bCs w:val="0"/>
          <w:spacing w:val="-3"/>
        </w:rPr>
      </w:pPr>
      <w:bookmarkStart w:id="2359" w:name="_Ref153817594"/>
      <w:r w:rsidRPr="00BD1319">
        <w:t xml:space="preserve">Figura </w:t>
      </w:r>
      <w:fldSimple w:instr=" SEQ Figura \* ARABIC ">
        <w:r w:rsidR="00296654" w:rsidRPr="00BD1319">
          <w:rPr>
            <w:noProof/>
          </w:rPr>
          <w:t>2</w:t>
        </w:r>
      </w:fldSimple>
      <w:bookmarkEnd w:id="2359"/>
      <w:r w:rsidR="00CD33DB" w:rsidRPr="00BD1319">
        <w:rPr>
          <w:spacing w:val="-3"/>
        </w:rPr>
        <w:t>.</w:t>
      </w:r>
      <w:r w:rsidR="00CD33DB" w:rsidRPr="00BD1319">
        <w:rPr>
          <w:b w:val="0"/>
          <w:bCs w:val="0"/>
          <w:spacing w:val="-3"/>
        </w:rPr>
        <w:t xml:space="preserve"> Etapas para el ACB de las alternativas del proyecto</w:t>
      </w:r>
    </w:p>
    <w:p w14:paraId="0FE86F90" w14:textId="57DC52A5" w:rsidR="00CD33DB" w:rsidRPr="00BD1319" w:rsidRDefault="00CD33DB" w:rsidP="00CD33DB">
      <w:pPr>
        <w:tabs>
          <w:tab w:val="left" w:pos="-2268"/>
        </w:tabs>
        <w:suppressAutoHyphens/>
        <w:jc w:val="center"/>
        <w:rPr>
          <w:rFonts w:cs="Arial"/>
          <w:spacing w:val="-3"/>
        </w:rPr>
      </w:pPr>
      <w:r w:rsidRPr="00BD1319">
        <w:rPr>
          <w:rFonts w:cs="Arial"/>
          <w:noProof/>
          <w:lang w:eastAsia="es-CO"/>
        </w:rPr>
        <mc:AlternateContent>
          <mc:Choice Requires="wpg">
            <w:drawing>
              <wp:inline distT="0" distB="0" distL="0" distR="0" wp14:anchorId="7461B726" wp14:editId="231D382B">
                <wp:extent cx="2361063" cy="3998794"/>
                <wp:effectExtent l="0" t="0" r="20320" b="20955"/>
                <wp:docPr id="5" name="Grupo 2"/>
                <wp:cNvGraphicFramePr/>
                <a:graphic xmlns:a="http://schemas.openxmlformats.org/drawingml/2006/main">
                  <a:graphicData uri="http://schemas.microsoft.com/office/word/2010/wordprocessingGroup">
                    <wpg:wgp>
                      <wpg:cNvGrpSpPr/>
                      <wpg:grpSpPr>
                        <a:xfrm>
                          <a:off x="0" y="0"/>
                          <a:ext cx="2361063" cy="3998794"/>
                          <a:chOff x="-29065" y="-91410"/>
                          <a:chExt cx="2543666" cy="5529210"/>
                        </a:xfrm>
                      </wpg:grpSpPr>
                      <wps:wsp>
                        <wps:cNvPr id="6" name="6 Rectángulo"/>
                        <wps:cNvSpPr/>
                        <wps:spPr>
                          <a:xfrm>
                            <a:off x="152386" y="-91410"/>
                            <a:ext cx="2209800" cy="548611"/>
                          </a:xfrm>
                          <a:prstGeom prst="rect">
                            <a:avLst/>
                          </a:prstGeom>
                          <a:ln w="12700">
                            <a:solidFill>
                              <a:schemeClr val="bg2">
                                <a:lumMod val="75000"/>
                              </a:schemeClr>
                            </a:solidFill>
                          </a:ln>
                        </wps:spPr>
                        <wps:style>
                          <a:lnRef idx="2">
                            <a:schemeClr val="accent6"/>
                          </a:lnRef>
                          <a:fillRef idx="1">
                            <a:schemeClr val="lt1"/>
                          </a:fillRef>
                          <a:effectRef idx="0">
                            <a:schemeClr val="accent6"/>
                          </a:effectRef>
                          <a:fontRef idx="minor">
                            <a:schemeClr val="dk1"/>
                          </a:fontRef>
                        </wps:style>
                        <wps:txbx>
                          <w:txbxContent>
                            <w:p w14:paraId="105B50D4" w14:textId="77777777" w:rsidR="00D55F13" w:rsidRPr="00394D50" w:rsidRDefault="00D55F13" w:rsidP="00CD33DB">
                              <w:pPr>
                                <w:pStyle w:val="NormalWeb"/>
                                <w:ind w:left="284" w:right="270"/>
                                <w:jc w:val="center"/>
                                <w:rPr>
                                  <w:rFonts w:cs="Arial"/>
                                </w:rPr>
                              </w:pPr>
                              <w:r w:rsidRPr="00394D50">
                                <w:rPr>
                                  <w:rFonts w:cs="Arial"/>
                                  <w:color w:val="000000" w:themeColor="dark1"/>
                                  <w:kern w:val="24"/>
                                  <w:sz w:val="16"/>
                                  <w:szCs w:val="16"/>
                                </w:rPr>
                                <w:t>Caracterización de alternativas (de la 0 a la n)</w:t>
                              </w:r>
                            </w:p>
                          </w:txbxContent>
                        </wps:txbx>
                        <wps:bodyPr rtlCol="0" anchor="ctr"/>
                      </wps:wsp>
                      <wpg:grpSp>
                        <wpg:cNvPr id="7" name="17 Grupo"/>
                        <wpg:cNvGrpSpPr/>
                        <wpg:grpSpPr>
                          <a:xfrm>
                            <a:off x="304801" y="533401"/>
                            <a:ext cx="2057400" cy="914400"/>
                            <a:chOff x="304801" y="533401"/>
                            <a:chExt cx="1828800" cy="1066800"/>
                          </a:xfrm>
                        </wpg:grpSpPr>
                        <wps:wsp>
                          <wps:cNvPr id="10" name="7 Multidocumento"/>
                          <wps:cNvSpPr/>
                          <wps:spPr>
                            <a:xfrm>
                              <a:off x="304801" y="609601"/>
                              <a:ext cx="1752600" cy="990600"/>
                            </a:xfrm>
                            <a:prstGeom prst="flowChartMultidocument">
                              <a:avLst/>
                            </a:prstGeom>
                            <a:ln w="12700">
                              <a:solidFill>
                                <a:schemeClr val="bg2">
                                  <a:lumMod val="75000"/>
                                </a:schemeClr>
                              </a:solidFill>
                            </a:ln>
                          </wps:spPr>
                          <wps:style>
                            <a:lnRef idx="2">
                              <a:schemeClr val="accent6"/>
                            </a:lnRef>
                            <a:fillRef idx="1">
                              <a:schemeClr val="lt1"/>
                            </a:fillRef>
                            <a:effectRef idx="0">
                              <a:schemeClr val="accent6"/>
                            </a:effectRef>
                            <a:fontRef idx="minor">
                              <a:schemeClr val="dk1"/>
                            </a:fontRef>
                          </wps:style>
                          <wps:txbx>
                            <w:txbxContent>
                              <w:p w14:paraId="055AA124" w14:textId="29606F48" w:rsidR="00D55F13" w:rsidRPr="00394D50" w:rsidRDefault="00D55F13" w:rsidP="00CD33DB">
                                <w:pPr>
                                  <w:pStyle w:val="NormalWeb"/>
                                  <w:jc w:val="center"/>
                                  <w:rPr>
                                    <w:rFonts w:cs="Arial"/>
                                  </w:rPr>
                                </w:pPr>
                                <w:r w:rsidRPr="00394D50">
                                  <w:rPr>
                                    <w:rFonts w:cs="Arial"/>
                                    <w:color w:val="000000" w:themeColor="dark1"/>
                                    <w:kern w:val="24"/>
                                    <w:sz w:val="16"/>
                                    <w:szCs w:val="16"/>
                                  </w:rPr>
                                  <w:t>Identificación de impactos potenciales</w:t>
                                </w:r>
                                <w:r w:rsidRPr="00394D50" w:rsidDel="00C44734">
                                  <w:rPr>
                                    <w:rFonts w:cs="Arial"/>
                                    <w:color w:val="000000" w:themeColor="dark1"/>
                                    <w:kern w:val="24"/>
                                    <w:sz w:val="16"/>
                                    <w:szCs w:val="16"/>
                                  </w:rPr>
                                  <w:t xml:space="preserve"> </w:t>
                                </w:r>
                                <w:r w:rsidRPr="00394D50">
                                  <w:rPr>
                                    <w:rFonts w:cs="Arial"/>
                                    <w:color w:val="000000" w:themeColor="dark1"/>
                                    <w:kern w:val="24"/>
                                    <w:sz w:val="16"/>
                                    <w:szCs w:val="16"/>
                                  </w:rPr>
                                  <w:t>significativos</w:t>
                                </w:r>
                              </w:p>
                            </w:txbxContent>
                          </wps:txbx>
                          <wps:bodyPr rtlCol="0" anchor="ctr"/>
                        </wps:wsp>
                        <wps:wsp>
                          <wps:cNvPr id="11" name="13 CuadroTexto"/>
                          <wps:cNvSpPr txBox="1"/>
                          <wps:spPr>
                            <a:xfrm>
                              <a:off x="1752601" y="622757"/>
                              <a:ext cx="228600" cy="215444"/>
                            </a:xfrm>
                            <a:prstGeom prst="rect">
                              <a:avLst/>
                            </a:prstGeom>
                            <a:noFill/>
                            <a:ln w="12700">
                              <a:noFill/>
                            </a:ln>
                          </wps:spPr>
                          <wps:style>
                            <a:lnRef idx="2">
                              <a:schemeClr val="accent6"/>
                            </a:lnRef>
                            <a:fillRef idx="1">
                              <a:schemeClr val="lt1"/>
                            </a:fillRef>
                            <a:effectRef idx="0">
                              <a:schemeClr val="accent6"/>
                            </a:effectRef>
                            <a:fontRef idx="minor">
                              <a:schemeClr val="dk1"/>
                            </a:fontRef>
                          </wps:style>
                          <wps:txbx>
                            <w:txbxContent>
                              <w:p w14:paraId="5AA68D23" w14:textId="77777777" w:rsidR="00D55F13" w:rsidRPr="00394D50" w:rsidRDefault="00D55F13" w:rsidP="00CD33DB">
                                <w:pPr>
                                  <w:pStyle w:val="NormalWeb"/>
                                  <w:rPr>
                                    <w:rFonts w:cs="Arial"/>
                                  </w:rPr>
                                </w:pPr>
                                <w:r w:rsidRPr="00394D50">
                                  <w:rPr>
                                    <w:rFonts w:cs="Arial"/>
                                    <w:color w:val="000000" w:themeColor="dark1"/>
                                    <w:kern w:val="24"/>
                                    <w:sz w:val="16"/>
                                    <w:szCs w:val="16"/>
                                  </w:rPr>
                                  <w:t>0</w:t>
                                </w:r>
                              </w:p>
                            </w:txbxContent>
                          </wps:txbx>
                          <wps:bodyPr rtlCol="0" anchor="ctr"/>
                        </wps:wsp>
                        <wps:wsp>
                          <wps:cNvPr id="13" name="14 CuadroTexto"/>
                          <wps:cNvSpPr txBox="1"/>
                          <wps:spPr>
                            <a:xfrm>
                              <a:off x="1905001" y="533401"/>
                              <a:ext cx="228600" cy="215444"/>
                            </a:xfrm>
                            <a:prstGeom prst="rect">
                              <a:avLst/>
                            </a:prstGeom>
                            <a:noFill/>
                            <a:ln w="12700">
                              <a:noFill/>
                            </a:ln>
                          </wps:spPr>
                          <wps:style>
                            <a:lnRef idx="2">
                              <a:schemeClr val="accent6"/>
                            </a:lnRef>
                            <a:fillRef idx="1">
                              <a:schemeClr val="lt1"/>
                            </a:fillRef>
                            <a:effectRef idx="0">
                              <a:schemeClr val="accent6"/>
                            </a:effectRef>
                            <a:fontRef idx="minor">
                              <a:schemeClr val="dk1"/>
                            </a:fontRef>
                          </wps:style>
                          <wps:txbx>
                            <w:txbxContent>
                              <w:p w14:paraId="79FF653B" w14:textId="77777777" w:rsidR="00D55F13" w:rsidRPr="00394D50" w:rsidRDefault="00D55F13" w:rsidP="00CD33DB">
                                <w:pPr>
                                  <w:pStyle w:val="NormalWeb"/>
                                  <w:rPr>
                                    <w:rFonts w:cs="Arial"/>
                                  </w:rPr>
                                </w:pPr>
                                <w:r w:rsidRPr="00394D50">
                                  <w:rPr>
                                    <w:rFonts w:cs="Arial"/>
                                    <w:color w:val="000000" w:themeColor="dark1"/>
                                    <w:kern w:val="24"/>
                                    <w:sz w:val="16"/>
                                    <w:szCs w:val="16"/>
                                  </w:rPr>
                                  <w:t>n</w:t>
                                </w:r>
                              </w:p>
                            </w:txbxContent>
                          </wps:txbx>
                          <wps:bodyPr rtlCol="0" anchor="ctr"/>
                        </wps:wsp>
                      </wpg:grpSp>
                      <wpg:grpSp>
                        <wpg:cNvPr id="14" name="18 Grupo"/>
                        <wpg:cNvGrpSpPr/>
                        <wpg:grpSpPr>
                          <a:xfrm>
                            <a:off x="304801" y="1448926"/>
                            <a:ext cx="2133600" cy="913274"/>
                            <a:chOff x="304801" y="1448926"/>
                            <a:chExt cx="1828800" cy="1066800"/>
                          </a:xfrm>
                        </wpg:grpSpPr>
                        <wps:wsp>
                          <wps:cNvPr id="1" name="19 Multidocumento"/>
                          <wps:cNvSpPr/>
                          <wps:spPr>
                            <a:xfrm>
                              <a:off x="304801" y="1525126"/>
                              <a:ext cx="1752600" cy="990600"/>
                            </a:xfrm>
                            <a:prstGeom prst="flowChartMultidocument">
                              <a:avLst/>
                            </a:prstGeom>
                            <a:ln w="12700">
                              <a:solidFill>
                                <a:schemeClr val="bg2">
                                  <a:lumMod val="75000"/>
                                </a:schemeClr>
                              </a:solidFill>
                            </a:ln>
                          </wps:spPr>
                          <wps:style>
                            <a:lnRef idx="2">
                              <a:schemeClr val="accent6"/>
                            </a:lnRef>
                            <a:fillRef idx="1">
                              <a:schemeClr val="lt1"/>
                            </a:fillRef>
                            <a:effectRef idx="0">
                              <a:schemeClr val="accent6"/>
                            </a:effectRef>
                            <a:fontRef idx="minor">
                              <a:schemeClr val="dk1"/>
                            </a:fontRef>
                          </wps:style>
                          <wps:txbx>
                            <w:txbxContent>
                              <w:p w14:paraId="6115D28B" w14:textId="0F8637CC" w:rsidR="00D55F13" w:rsidRPr="00394D50" w:rsidRDefault="00D55F13" w:rsidP="00CD33DB">
                                <w:pPr>
                                  <w:pStyle w:val="NormalWeb"/>
                                  <w:jc w:val="center"/>
                                  <w:rPr>
                                    <w:rFonts w:cs="Arial"/>
                                  </w:rPr>
                                </w:pPr>
                                <w:r w:rsidRPr="00394D50">
                                  <w:rPr>
                                    <w:rFonts w:cs="Arial"/>
                                    <w:color w:val="000000" w:themeColor="dark1"/>
                                    <w:kern w:val="24"/>
                                    <w:sz w:val="16"/>
                                    <w:szCs w:val="16"/>
                                  </w:rPr>
                                  <w:t>Cuantificación de los cambios en los SE</w:t>
                                </w:r>
                              </w:p>
                            </w:txbxContent>
                          </wps:txbx>
                          <wps:bodyPr rtlCol="0" anchor="ctr"/>
                        </wps:wsp>
                        <wps:wsp>
                          <wps:cNvPr id="16" name="20 CuadroTexto"/>
                          <wps:cNvSpPr txBox="1"/>
                          <wps:spPr>
                            <a:xfrm>
                              <a:off x="1752601" y="1538282"/>
                              <a:ext cx="228600" cy="215444"/>
                            </a:xfrm>
                            <a:prstGeom prst="rect">
                              <a:avLst/>
                            </a:prstGeom>
                            <a:noFill/>
                            <a:ln w="12700">
                              <a:noFill/>
                            </a:ln>
                          </wps:spPr>
                          <wps:style>
                            <a:lnRef idx="2">
                              <a:schemeClr val="accent6"/>
                            </a:lnRef>
                            <a:fillRef idx="1">
                              <a:schemeClr val="lt1"/>
                            </a:fillRef>
                            <a:effectRef idx="0">
                              <a:schemeClr val="accent6"/>
                            </a:effectRef>
                            <a:fontRef idx="minor">
                              <a:schemeClr val="dk1"/>
                            </a:fontRef>
                          </wps:style>
                          <wps:txbx>
                            <w:txbxContent>
                              <w:p w14:paraId="7F943084" w14:textId="77777777" w:rsidR="00D55F13" w:rsidRPr="00394D50" w:rsidRDefault="00D55F13" w:rsidP="00CD33DB">
                                <w:pPr>
                                  <w:pStyle w:val="NormalWeb"/>
                                  <w:rPr>
                                    <w:rFonts w:cs="Arial"/>
                                  </w:rPr>
                                </w:pPr>
                                <w:r w:rsidRPr="00394D50">
                                  <w:rPr>
                                    <w:rFonts w:cs="Arial"/>
                                    <w:color w:val="000000" w:themeColor="dark1"/>
                                    <w:kern w:val="24"/>
                                    <w:sz w:val="16"/>
                                    <w:szCs w:val="16"/>
                                  </w:rPr>
                                  <w:t>0</w:t>
                                </w:r>
                              </w:p>
                            </w:txbxContent>
                          </wps:txbx>
                          <wps:bodyPr rtlCol="0" anchor="ctr"/>
                        </wps:wsp>
                        <wps:wsp>
                          <wps:cNvPr id="17" name="21 CuadroTexto"/>
                          <wps:cNvSpPr txBox="1"/>
                          <wps:spPr>
                            <a:xfrm>
                              <a:off x="1905001" y="1448926"/>
                              <a:ext cx="228600" cy="215444"/>
                            </a:xfrm>
                            <a:prstGeom prst="rect">
                              <a:avLst/>
                            </a:prstGeom>
                            <a:noFill/>
                            <a:ln w="12700">
                              <a:noFill/>
                            </a:ln>
                          </wps:spPr>
                          <wps:style>
                            <a:lnRef idx="2">
                              <a:schemeClr val="accent6"/>
                            </a:lnRef>
                            <a:fillRef idx="1">
                              <a:schemeClr val="lt1"/>
                            </a:fillRef>
                            <a:effectRef idx="0">
                              <a:schemeClr val="accent6"/>
                            </a:effectRef>
                            <a:fontRef idx="minor">
                              <a:schemeClr val="dk1"/>
                            </a:fontRef>
                          </wps:style>
                          <wps:txbx>
                            <w:txbxContent>
                              <w:p w14:paraId="356F93F9" w14:textId="77777777" w:rsidR="00D55F13" w:rsidRPr="00394D50" w:rsidRDefault="00D55F13" w:rsidP="00CD33DB">
                                <w:pPr>
                                  <w:pStyle w:val="NormalWeb"/>
                                  <w:rPr>
                                    <w:rFonts w:cs="Arial"/>
                                  </w:rPr>
                                </w:pPr>
                                <w:r w:rsidRPr="00394D50">
                                  <w:rPr>
                                    <w:rFonts w:cs="Arial"/>
                                    <w:color w:val="000000" w:themeColor="dark1"/>
                                    <w:kern w:val="24"/>
                                    <w:sz w:val="16"/>
                                    <w:szCs w:val="16"/>
                                  </w:rPr>
                                  <w:t>n</w:t>
                                </w:r>
                              </w:p>
                            </w:txbxContent>
                          </wps:txbx>
                          <wps:bodyPr rtlCol="0" anchor="ctr"/>
                        </wps:wsp>
                      </wpg:grpSp>
                      <wpg:grpSp>
                        <wpg:cNvPr id="20" name="24 Grupo"/>
                        <wpg:cNvGrpSpPr/>
                        <wpg:grpSpPr>
                          <a:xfrm>
                            <a:off x="304801" y="2356877"/>
                            <a:ext cx="2057400" cy="1004326"/>
                            <a:chOff x="304801" y="2356875"/>
                            <a:chExt cx="1828800" cy="1066800"/>
                          </a:xfrm>
                        </wpg:grpSpPr>
                        <wps:wsp>
                          <wps:cNvPr id="24" name="25 Multidocumento"/>
                          <wps:cNvSpPr/>
                          <wps:spPr>
                            <a:xfrm>
                              <a:off x="304801" y="2433075"/>
                              <a:ext cx="1752600" cy="990600"/>
                            </a:xfrm>
                            <a:prstGeom prst="flowChartMultidocument">
                              <a:avLst/>
                            </a:prstGeom>
                            <a:ln w="12700">
                              <a:solidFill>
                                <a:schemeClr val="bg2">
                                  <a:lumMod val="75000"/>
                                </a:schemeClr>
                              </a:solidFill>
                            </a:ln>
                          </wps:spPr>
                          <wps:style>
                            <a:lnRef idx="2">
                              <a:schemeClr val="accent6"/>
                            </a:lnRef>
                            <a:fillRef idx="1">
                              <a:schemeClr val="lt1"/>
                            </a:fillRef>
                            <a:effectRef idx="0">
                              <a:schemeClr val="accent6"/>
                            </a:effectRef>
                            <a:fontRef idx="minor">
                              <a:schemeClr val="dk1"/>
                            </a:fontRef>
                          </wps:style>
                          <wps:txbx>
                            <w:txbxContent>
                              <w:p w14:paraId="6E55F1CC" w14:textId="38E14BF6" w:rsidR="00D55F13" w:rsidRPr="00394D50" w:rsidRDefault="00D55F13" w:rsidP="00CD33DB">
                                <w:pPr>
                                  <w:pStyle w:val="NormalWeb"/>
                                  <w:jc w:val="center"/>
                                  <w:rPr>
                                    <w:rFonts w:cs="Arial"/>
                                  </w:rPr>
                                </w:pPr>
                                <w:r w:rsidRPr="00394D50">
                                  <w:rPr>
                                    <w:rFonts w:cs="Arial"/>
                                    <w:color w:val="000000" w:themeColor="dark1"/>
                                    <w:kern w:val="24"/>
                                    <w:sz w:val="16"/>
                                    <w:szCs w:val="16"/>
                                  </w:rPr>
                                  <w:t>Valoración económica de los cambios en los SE</w:t>
                                </w:r>
                              </w:p>
                            </w:txbxContent>
                          </wps:txbx>
                          <wps:bodyPr rtlCol="0" anchor="ctr"/>
                        </wps:wsp>
                        <wps:wsp>
                          <wps:cNvPr id="25" name="26 CuadroTexto"/>
                          <wps:cNvSpPr txBox="1"/>
                          <wps:spPr>
                            <a:xfrm>
                              <a:off x="1752601" y="2446231"/>
                              <a:ext cx="228600" cy="215444"/>
                            </a:xfrm>
                            <a:prstGeom prst="rect">
                              <a:avLst/>
                            </a:prstGeom>
                            <a:noFill/>
                            <a:ln w="12700">
                              <a:noFill/>
                            </a:ln>
                          </wps:spPr>
                          <wps:style>
                            <a:lnRef idx="2">
                              <a:schemeClr val="accent6"/>
                            </a:lnRef>
                            <a:fillRef idx="1">
                              <a:schemeClr val="lt1"/>
                            </a:fillRef>
                            <a:effectRef idx="0">
                              <a:schemeClr val="accent6"/>
                            </a:effectRef>
                            <a:fontRef idx="minor">
                              <a:schemeClr val="dk1"/>
                            </a:fontRef>
                          </wps:style>
                          <wps:txbx>
                            <w:txbxContent>
                              <w:p w14:paraId="544DD9D4" w14:textId="77777777" w:rsidR="00D55F13" w:rsidRPr="00394D50" w:rsidRDefault="00D55F13" w:rsidP="00CD33DB">
                                <w:pPr>
                                  <w:pStyle w:val="NormalWeb"/>
                                  <w:rPr>
                                    <w:rFonts w:cs="Arial"/>
                                  </w:rPr>
                                </w:pPr>
                                <w:r w:rsidRPr="00394D50">
                                  <w:rPr>
                                    <w:rFonts w:cs="Arial"/>
                                    <w:color w:val="000000" w:themeColor="dark1"/>
                                    <w:kern w:val="24"/>
                                    <w:sz w:val="16"/>
                                    <w:szCs w:val="16"/>
                                  </w:rPr>
                                  <w:t>0</w:t>
                                </w:r>
                              </w:p>
                            </w:txbxContent>
                          </wps:txbx>
                          <wps:bodyPr rtlCol="0" anchor="ctr"/>
                        </wps:wsp>
                        <wps:wsp>
                          <wps:cNvPr id="26" name="27 CuadroTexto"/>
                          <wps:cNvSpPr txBox="1"/>
                          <wps:spPr>
                            <a:xfrm>
                              <a:off x="1905001" y="2356875"/>
                              <a:ext cx="228600" cy="215444"/>
                            </a:xfrm>
                            <a:prstGeom prst="rect">
                              <a:avLst/>
                            </a:prstGeom>
                            <a:noFill/>
                            <a:ln w="12700">
                              <a:noFill/>
                            </a:ln>
                          </wps:spPr>
                          <wps:style>
                            <a:lnRef idx="2">
                              <a:schemeClr val="accent6"/>
                            </a:lnRef>
                            <a:fillRef idx="1">
                              <a:schemeClr val="lt1"/>
                            </a:fillRef>
                            <a:effectRef idx="0">
                              <a:schemeClr val="accent6"/>
                            </a:effectRef>
                            <a:fontRef idx="minor">
                              <a:schemeClr val="dk1"/>
                            </a:fontRef>
                          </wps:style>
                          <wps:txbx>
                            <w:txbxContent>
                              <w:p w14:paraId="2A34355B" w14:textId="77777777" w:rsidR="00D55F13" w:rsidRPr="00394D50" w:rsidRDefault="00D55F13" w:rsidP="00CD33DB">
                                <w:pPr>
                                  <w:pStyle w:val="NormalWeb"/>
                                  <w:rPr>
                                    <w:rFonts w:cs="Arial"/>
                                  </w:rPr>
                                </w:pPr>
                                <w:r w:rsidRPr="00394D50">
                                  <w:rPr>
                                    <w:rFonts w:cs="Arial"/>
                                    <w:color w:val="000000" w:themeColor="dark1"/>
                                    <w:kern w:val="24"/>
                                    <w:sz w:val="16"/>
                                    <w:szCs w:val="16"/>
                                  </w:rPr>
                                  <w:t>n</w:t>
                                </w:r>
                              </w:p>
                            </w:txbxContent>
                          </wps:txbx>
                          <wps:bodyPr rtlCol="0" anchor="ctr"/>
                        </wps:wsp>
                      </wpg:grpSp>
                      <wps:wsp>
                        <wps:cNvPr id="27" name="30 Rectángulo"/>
                        <wps:cNvSpPr/>
                        <wps:spPr>
                          <a:xfrm>
                            <a:off x="304801" y="3456600"/>
                            <a:ext cx="2057400" cy="533400"/>
                          </a:xfrm>
                          <a:prstGeom prst="rect">
                            <a:avLst/>
                          </a:prstGeom>
                          <a:ln w="12700">
                            <a:solidFill>
                              <a:schemeClr val="bg2">
                                <a:lumMod val="75000"/>
                              </a:schemeClr>
                            </a:solidFill>
                          </a:ln>
                        </wps:spPr>
                        <wps:style>
                          <a:lnRef idx="2">
                            <a:schemeClr val="accent6"/>
                          </a:lnRef>
                          <a:fillRef idx="1">
                            <a:schemeClr val="lt1"/>
                          </a:fillRef>
                          <a:effectRef idx="0">
                            <a:schemeClr val="accent6"/>
                          </a:effectRef>
                          <a:fontRef idx="minor">
                            <a:schemeClr val="dk1"/>
                          </a:fontRef>
                        </wps:style>
                        <wps:txbx>
                          <w:txbxContent>
                            <w:p w14:paraId="16E2A571" w14:textId="77777777" w:rsidR="00D55F13" w:rsidRPr="00394D50" w:rsidRDefault="00D55F13" w:rsidP="00CD33DB">
                              <w:pPr>
                                <w:pStyle w:val="NormalWeb"/>
                                <w:jc w:val="center"/>
                                <w:rPr>
                                  <w:rFonts w:cs="Arial"/>
                                </w:rPr>
                              </w:pPr>
                              <w:r w:rsidRPr="00394D50">
                                <w:rPr>
                                  <w:rFonts w:cs="Arial"/>
                                  <w:color w:val="000000" w:themeColor="dark1"/>
                                  <w:kern w:val="24"/>
                                  <w:sz w:val="16"/>
                                  <w:szCs w:val="16"/>
                                </w:rPr>
                                <w:t xml:space="preserve">Cálculo y comparación de la relación B/C </w:t>
                              </w:r>
                            </w:p>
                          </w:txbxContent>
                        </wps:txbx>
                        <wps:bodyPr rtlCol="0" anchor="ctr"/>
                      </wps:wsp>
                      <wps:wsp>
                        <wps:cNvPr id="29" name="37 Rectángulo"/>
                        <wps:cNvSpPr/>
                        <wps:spPr>
                          <a:xfrm>
                            <a:off x="304800" y="4170000"/>
                            <a:ext cx="2057401" cy="533400"/>
                          </a:xfrm>
                          <a:prstGeom prst="rect">
                            <a:avLst/>
                          </a:prstGeom>
                          <a:ln w="12700">
                            <a:solidFill>
                              <a:schemeClr val="bg2">
                                <a:lumMod val="75000"/>
                              </a:schemeClr>
                            </a:solidFill>
                          </a:ln>
                        </wps:spPr>
                        <wps:style>
                          <a:lnRef idx="2">
                            <a:schemeClr val="accent6"/>
                          </a:lnRef>
                          <a:fillRef idx="1">
                            <a:schemeClr val="lt1"/>
                          </a:fillRef>
                          <a:effectRef idx="0">
                            <a:schemeClr val="accent6"/>
                          </a:effectRef>
                          <a:fontRef idx="minor">
                            <a:schemeClr val="dk1"/>
                          </a:fontRef>
                        </wps:style>
                        <wps:txbx>
                          <w:txbxContent>
                            <w:p w14:paraId="44BD90CC" w14:textId="77777777" w:rsidR="00D55F13" w:rsidRPr="00394D50" w:rsidRDefault="00D55F13" w:rsidP="00CD33DB">
                              <w:pPr>
                                <w:pStyle w:val="NormalWeb"/>
                                <w:jc w:val="center"/>
                                <w:rPr>
                                  <w:rFonts w:cs="Arial"/>
                                </w:rPr>
                              </w:pPr>
                              <w:r w:rsidRPr="00394D50">
                                <w:rPr>
                                  <w:rFonts w:cs="Arial"/>
                                  <w:color w:val="000000" w:themeColor="dark1"/>
                                  <w:kern w:val="24"/>
                                  <w:sz w:val="16"/>
                                  <w:szCs w:val="16"/>
                                </w:rPr>
                                <w:t>Análisis de sensibilidad e incertidumbres</w:t>
                              </w:r>
                            </w:p>
                          </w:txbxContent>
                        </wps:txbx>
                        <wps:bodyPr rtlCol="0" anchor="ctr"/>
                      </wps:wsp>
                      <wps:wsp>
                        <wps:cNvPr id="31" name="38 Rectángulo"/>
                        <wps:cNvSpPr/>
                        <wps:spPr>
                          <a:xfrm>
                            <a:off x="152401" y="4904400"/>
                            <a:ext cx="2362200" cy="533400"/>
                          </a:xfrm>
                          <a:prstGeom prst="rect">
                            <a:avLst/>
                          </a:prstGeom>
                          <a:ln w="12700">
                            <a:solidFill>
                              <a:schemeClr val="bg2">
                                <a:lumMod val="75000"/>
                              </a:schemeClr>
                            </a:solidFill>
                          </a:ln>
                        </wps:spPr>
                        <wps:style>
                          <a:lnRef idx="2">
                            <a:schemeClr val="accent6"/>
                          </a:lnRef>
                          <a:fillRef idx="1">
                            <a:schemeClr val="lt1"/>
                          </a:fillRef>
                          <a:effectRef idx="0">
                            <a:schemeClr val="accent6"/>
                          </a:effectRef>
                          <a:fontRef idx="minor">
                            <a:schemeClr val="dk1"/>
                          </a:fontRef>
                        </wps:style>
                        <wps:txbx>
                          <w:txbxContent>
                            <w:p w14:paraId="47E82BFC" w14:textId="77777777" w:rsidR="00D55F13" w:rsidRPr="00394D50" w:rsidRDefault="00D55F13" w:rsidP="00CD33DB">
                              <w:pPr>
                                <w:pStyle w:val="NormalWeb"/>
                                <w:jc w:val="center"/>
                                <w:rPr>
                                  <w:rFonts w:cs="Arial"/>
                                </w:rPr>
                              </w:pPr>
                              <w:r w:rsidRPr="00394D50">
                                <w:rPr>
                                  <w:rFonts w:cs="Arial"/>
                                  <w:color w:val="000000" w:themeColor="dark1"/>
                                  <w:kern w:val="24"/>
                                  <w:sz w:val="16"/>
                                  <w:szCs w:val="16"/>
                                </w:rPr>
                                <w:t>Integración de resultados a la selección de alternativas</w:t>
                              </w:r>
                            </w:p>
                          </w:txbxContent>
                        </wps:txbx>
                        <wps:bodyPr rtlCol="0" anchor="ctr"/>
                      </wps:wsp>
                      <wps:wsp>
                        <wps:cNvPr id="2496" name="3 Conector recto de flecha"/>
                        <wps:cNvCnPr/>
                        <wps:spPr>
                          <a:xfrm>
                            <a:off x="1257301" y="465600"/>
                            <a:ext cx="0" cy="144000"/>
                          </a:xfrm>
                          <a:prstGeom prst="straightConnector1">
                            <a:avLst/>
                          </a:prstGeom>
                          <a:ln w="19050">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2497" name="49 Conector recto de flecha"/>
                        <wps:cNvCnPr/>
                        <wps:spPr>
                          <a:xfrm>
                            <a:off x="1381126" y="4703400"/>
                            <a:ext cx="0" cy="180000"/>
                          </a:xfrm>
                          <a:prstGeom prst="straightConnector1">
                            <a:avLst/>
                          </a:prstGeom>
                          <a:ln w="19050">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2498" name="5 Elipse"/>
                        <wps:cNvSpPr/>
                        <wps:spPr>
                          <a:xfrm>
                            <a:off x="1" y="685799"/>
                            <a:ext cx="304800" cy="401761"/>
                          </a:xfrm>
                          <a:prstGeom prst="ellipse">
                            <a:avLst/>
                          </a:prstGeom>
                          <a:solidFill>
                            <a:schemeClr val="bg1"/>
                          </a:solidFill>
                          <a:ln w="19050"/>
                        </wps:spPr>
                        <wps:style>
                          <a:lnRef idx="2">
                            <a:schemeClr val="accent1">
                              <a:shade val="50000"/>
                            </a:schemeClr>
                          </a:lnRef>
                          <a:fillRef idx="1">
                            <a:schemeClr val="accent1"/>
                          </a:fillRef>
                          <a:effectRef idx="0">
                            <a:schemeClr val="accent1"/>
                          </a:effectRef>
                          <a:fontRef idx="minor">
                            <a:schemeClr val="lt1"/>
                          </a:fontRef>
                        </wps:style>
                        <wps:txbx>
                          <w:txbxContent>
                            <w:p w14:paraId="70F53DB9" w14:textId="77777777" w:rsidR="00D55F13" w:rsidRPr="00394D50" w:rsidRDefault="00D55F13" w:rsidP="00CD33DB">
                              <w:pPr>
                                <w:pStyle w:val="NormalWeb"/>
                                <w:spacing w:before="0" w:after="0"/>
                                <w:jc w:val="center"/>
                                <w:rPr>
                                  <w:rFonts w:cs="Arial"/>
                                  <w:sz w:val="16"/>
                                  <w:szCs w:val="16"/>
                                </w:rPr>
                              </w:pPr>
                              <w:r w:rsidRPr="00394D50">
                                <w:rPr>
                                  <w:rFonts w:cs="Arial"/>
                                  <w:b/>
                                  <w:bCs/>
                                  <w:color w:val="000000" w:themeColor="text1"/>
                                  <w:kern w:val="24"/>
                                  <w:sz w:val="16"/>
                                  <w:szCs w:val="16"/>
                                </w:rPr>
                                <w:t>2</w:t>
                              </w:r>
                            </w:p>
                          </w:txbxContent>
                        </wps:txbx>
                        <wps:bodyPr rtlCol="0" anchor="ctr"/>
                      </wps:wsp>
                      <wps:wsp>
                        <wps:cNvPr id="2499" name="50 Elipse"/>
                        <wps:cNvSpPr/>
                        <wps:spPr>
                          <a:xfrm>
                            <a:off x="0" y="25"/>
                            <a:ext cx="304800" cy="412591"/>
                          </a:xfrm>
                          <a:prstGeom prst="ellipse">
                            <a:avLst/>
                          </a:prstGeom>
                          <a:solidFill>
                            <a:schemeClr val="bg1"/>
                          </a:solidFill>
                          <a:ln w="19050"/>
                        </wps:spPr>
                        <wps:style>
                          <a:lnRef idx="2">
                            <a:schemeClr val="accent1">
                              <a:shade val="50000"/>
                            </a:schemeClr>
                          </a:lnRef>
                          <a:fillRef idx="1">
                            <a:schemeClr val="accent1"/>
                          </a:fillRef>
                          <a:effectRef idx="0">
                            <a:schemeClr val="accent1"/>
                          </a:effectRef>
                          <a:fontRef idx="minor">
                            <a:schemeClr val="lt1"/>
                          </a:fontRef>
                        </wps:style>
                        <wps:txbx>
                          <w:txbxContent>
                            <w:p w14:paraId="425051CB" w14:textId="77777777" w:rsidR="00D55F13" w:rsidRPr="00394D50" w:rsidRDefault="00D55F13" w:rsidP="00CD33DB">
                              <w:pPr>
                                <w:pStyle w:val="NormalWeb"/>
                                <w:spacing w:before="0" w:after="0"/>
                                <w:jc w:val="center"/>
                                <w:rPr>
                                  <w:rFonts w:cs="Arial"/>
                                  <w:sz w:val="16"/>
                                  <w:szCs w:val="16"/>
                                </w:rPr>
                              </w:pPr>
                              <w:r w:rsidRPr="00394D50">
                                <w:rPr>
                                  <w:rFonts w:cs="Arial"/>
                                  <w:b/>
                                  <w:bCs/>
                                  <w:color w:val="000000" w:themeColor="text1"/>
                                  <w:kern w:val="24"/>
                                  <w:sz w:val="16"/>
                                  <w:szCs w:val="16"/>
                                </w:rPr>
                                <w:t>1</w:t>
                              </w:r>
                            </w:p>
                          </w:txbxContent>
                        </wps:txbx>
                        <wps:bodyPr rtlCol="0" anchor="ctr"/>
                      </wps:wsp>
                      <wps:wsp>
                        <wps:cNvPr id="2500" name="51 Elipse"/>
                        <wps:cNvSpPr/>
                        <wps:spPr>
                          <a:xfrm>
                            <a:off x="-29063" y="1771867"/>
                            <a:ext cx="343363" cy="391032"/>
                          </a:xfrm>
                          <a:prstGeom prst="ellipse">
                            <a:avLst/>
                          </a:prstGeom>
                          <a:solidFill>
                            <a:schemeClr val="bg1"/>
                          </a:solidFill>
                          <a:ln w="19050"/>
                        </wps:spPr>
                        <wps:style>
                          <a:lnRef idx="2">
                            <a:schemeClr val="accent1">
                              <a:shade val="50000"/>
                            </a:schemeClr>
                          </a:lnRef>
                          <a:fillRef idx="1">
                            <a:schemeClr val="accent1"/>
                          </a:fillRef>
                          <a:effectRef idx="0">
                            <a:schemeClr val="accent1"/>
                          </a:effectRef>
                          <a:fontRef idx="minor">
                            <a:schemeClr val="lt1"/>
                          </a:fontRef>
                        </wps:style>
                        <wps:txbx>
                          <w:txbxContent>
                            <w:p w14:paraId="31D097D9" w14:textId="77777777" w:rsidR="00D55F13" w:rsidRPr="00394D50" w:rsidRDefault="00D55F13" w:rsidP="00CD33DB">
                              <w:pPr>
                                <w:pStyle w:val="NormalWeb"/>
                                <w:spacing w:before="0" w:after="0"/>
                                <w:jc w:val="center"/>
                                <w:rPr>
                                  <w:rFonts w:cs="Arial"/>
                                </w:rPr>
                              </w:pPr>
                              <w:r w:rsidRPr="00394D50">
                                <w:rPr>
                                  <w:rFonts w:cs="Arial"/>
                                  <w:b/>
                                  <w:bCs/>
                                  <w:color w:val="000000" w:themeColor="text1"/>
                                  <w:kern w:val="24"/>
                                  <w:sz w:val="16"/>
                                  <w:szCs w:val="16"/>
                                </w:rPr>
                                <w:t>3</w:t>
                              </w:r>
                            </w:p>
                          </w:txbxContent>
                        </wps:txbx>
                        <wps:bodyPr rtlCol="0" anchor="ctr"/>
                      </wps:wsp>
                      <wps:wsp>
                        <wps:cNvPr id="2501" name="52 Elipse"/>
                        <wps:cNvSpPr/>
                        <wps:spPr>
                          <a:xfrm>
                            <a:off x="-29065" y="2468395"/>
                            <a:ext cx="362899" cy="452132"/>
                          </a:xfrm>
                          <a:prstGeom prst="ellipse">
                            <a:avLst/>
                          </a:prstGeom>
                          <a:solidFill>
                            <a:schemeClr val="bg1"/>
                          </a:solidFill>
                          <a:ln w="19050"/>
                        </wps:spPr>
                        <wps:style>
                          <a:lnRef idx="2">
                            <a:schemeClr val="accent1">
                              <a:shade val="50000"/>
                            </a:schemeClr>
                          </a:lnRef>
                          <a:fillRef idx="1">
                            <a:schemeClr val="accent1"/>
                          </a:fillRef>
                          <a:effectRef idx="0">
                            <a:schemeClr val="accent1"/>
                          </a:effectRef>
                          <a:fontRef idx="minor">
                            <a:schemeClr val="lt1"/>
                          </a:fontRef>
                        </wps:style>
                        <wps:txbx>
                          <w:txbxContent>
                            <w:p w14:paraId="784DD5E4" w14:textId="77777777" w:rsidR="00D55F13" w:rsidRPr="00394D50" w:rsidRDefault="00D55F13" w:rsidP="00CD33DB">
                              <w:pPr>
                                <w:pStyle w:val="NormalWeb"/>
                                <w:spacing w:before="0" w:after="0"/>
                                <w:jc w:val="center"/>
                                <w:rPr>
                                  <w:rFonts w:cs="Arial"/>
                                </w:rPr>
                              </w:pPr>
                              <w:r w:rsidRPr="00394D50">
                                <w:rPr>
                                  <w:rFonts w:cs="Arial"/>
                                  <w:b/>
                                  <w:bCs/>
                                  <w:color w:val="000000" w:themeColor="text1"/>
                                  <w:kern w:val="24"/>
                                  <w:sz w:val="16"/>
                                  <w:szCs w:val="16"/>
                                </w:rPr>
                                <w:t>4</w:t>
                              </w:r>
                            </w:p>
                          </w:txbxContent>
                        </wps:txbx>
                        <wps:bodyPr rtlCol="0" anchor="ctr"/>
                      </wps:wsp>
                      <wps:wsp>
                        <wps:cNvPr id="2502" name="53 Elipse"/>
                        <wps:cNvSpPr/>
                        <wps:spPr>
                          <a:xfrm>
                            <a:off x="9523" y="3311559"/>
                            <a:ext cx="304800" cy="408110"/>
                          </a:xfrm>
                          <a:prstGeom prst="ellipse">
                            <a:avLst/>
                          </a:prstGeom>
                          <a:solidFill>
                            <a:schemeClr val="bg1"/>
                          </a:solidFill>
                          <a:ln w="19050"/>
                        </wps:spPr>
                        <wps:style>
                          <a:lnRef idx="2">
                            <a:schemeClr val="accent1">
                              <a:shade val="50000"/>
                            </a:schemeClr>
                          </a:lnRef>
                          <a:fillRef idx="1">
                            <a:schemeClr val="accent1"/>
                          </a:fillRef>
                          <a:effectRef idx="0">
                            <a:schemeClr val="accent1"/>
                          </a:effectRef>
                          <a:fontRef idx="minor">
                            <a:schemeClr val="lt1"/>
                          </a:fontRef>
                        </wps:style>
                        <wps:txbx>
                          <w:txbxContent>
                            <w:p w14:paraId="50F00C3D" w14:textId="77777777" w:rsidR="00D55F13" w:rsidRPr="00394D50" w:rsidRDefault="00D55F13" w:rsidP="00CD33DB">
                              <w:pPr>
                                <w:pStyle w:val="NormalWeb"/>
                                <w:spacing w:before="0" w:after="0"/>
                                <w:jc w:val="center"/>
                                <w:rPr>
                                  <w:rFonts w:cs="Arial"/>
                                </w:rPr>
                              </w:pPr>
                              <w:r w:rsidRPr="00394D50">
                                <w:rPr>
                                  <w:rFonts w:cs="Arial"/>
                                  <w:b/>
                                  <w:bCs/>
                                  <w:color w:val="000000" w:themeColor="text1"/>
                                  <w:kern w:val="24"/>
                                  <w:sz w:val="16"/>
                                  <w:szCs w:val="16"/>
                                </w:rPr>
                                <w:t>5</w:t>
                              </w:r>
                            </w:p>
                          </w:txbxContent>
                        </wps:txbx>
                        <wps:bodyPr rtlCol="0" anchor="ctr"/>
                      </wps:wsp>
                      <wps:wsp>
                        <wps:cNvPr id="2503" name="54 Elipse"/>
                        <wps:cNvSpPr/>
                        <wps:spPr>
                          <a:xfrm>
                            <a:off x="48440" y="4044746"/>
                            <a:ext cx="304800" cy="379735"/>
                          </a:xfrm>
                          <a:prstGeom prst="ellipse">
                            <a:avLst/>
                          </a:prstGeom>
                          <a:solidFill>
                            <a:schemeClr val="bg1"/>
                          </a:solidFill>
                          <a:ln w="19050"/>
                        </wps:spPr>
                        <wps:style>
                          <a:lnRef idx="2">
                            <a:schemeClr val="accent1">
                              <a:shade val="50000"/>
                            </a:schemeClr>
                          </a:lnRef>
                          <a:fillRef idx="1">
                            <a:schemeClr val="accent1"/>
                          </a:fillRef>
                          <a:effectRef idx="0">
                            <a:schemeClr val="accent1"/>
                          </a:effectRef>
                          <a:fontRef idx="minor">
                            <a:schemeClr val="lt1"/>
                          </a:fontRef>
                        </wps:style>
                        <wps:txbx>
                          <w:txbxContent>
                            <w:p w14:paraId="6E92297D" w14:textId="77777777" w:rsidR="00D55F13" w:rsidRPr="00394D50" w:rsidRDefault="00D55F13" w:rsidP="00CD33DB">
                              <w:pPr>
                                <w:pStyle w:val="NormalWeb"/>
                                <w:spacing w:before="0" w:after="0"/>
                                <w:jc w:val="center"/>
                                <w:rPr>
                                  <w:rFonts w:cs="Arial"/>
                                </w:rPr>
                              </w:pPr>
                              <w:r w:rsidRPr="00394D50">
                                <w:rPr>
                                  <w:rFonts w:cs="Arial"/>
                                  <w:b/>
                                  <w:bCs/>
                                  <w:color w:val="000000" w:themeColor="text1"/>
                                  <w:kern w:val="24"/>
                                  <w:sz w:val="16"/>
                                  <w:szCs w:val="16"/>
                                </w:rPr>
                                <w:t>6</w:t>
                              </w:r>
                            </w:p>
                          </w:txbxContent>
                        </wps:txbx>
                        <wps:bodyPr rtlCol="0" anchor="ctr"/>
                      </wps:wsp>
                      <wps:wsp>
                        <wps:cNvPr id="2504" name="55 Elipse"/>
                        <wps:cNvSpPr/>
                        <wps:spPr>
                          <a:xfrm>
                            <a:off x="-2" y="4667954"/>
                            <a:ext cx="304800" cy="368822"/>
                          </a:xfrm>
                          <a:prstGeom prst="ellipse">
                            <a:avLst/>
                          </a:prstGeom>
                          <a:solidFill>
                            <a:schemeClr val="bg1"/>
                          </a:solidFill>
                          <a:ln w="19050"/>
                        </wps:spPr>
                        <wps:style>
                          <a:lnRef idx="2">
                            <a:schemeClr val="accent1">
                              <a:shade val="50000"/>
                            </a:schemeClr>
                          </a:lnRef>
                          <a:fillRef idx="1">
                            <a:schemeClr val="accent1"/>
                          </a:fillRef>
                          <a:effectRef idx="0">
                            <a:schemeClr val="accent1"/>
                          </a:effectRef>
                          <a:fontRef idx="minor">
                            <a:schemeClr val="lt1"/>
                          </a:fontRef>
                        </wps:style>
                        <wps:txbx>
                          <w:txbxContent>
                            <w:p w14:paraId="7A6EE479" w14:textId="77777777" w:rsidR="00D55F13" w:rsidRPr="00394D50" w:rsidRDefault="00D55F13" w:rsidP="00CD33DB">
                              <w:pPr>
                                <w:pStyle w:val="NormalWeb"/>
                                <w:spacing w:before="0" w:after="0"/>
                                <w:jc w:val="center"/>
                                <w:rPr>
                                  <w:rFonts w:cs="Arial"/>
                                </w:rPr>
                              </w:pPr>
                              <w:r w:rsidRPr="00394D50">
                                <w:rPr>
                                  <w:rFonts w:cs="Arial"/>
                                  <w:b/>
                                  <w:bCs/>
                                  <w:color w:val="000000" w:themeColor="text1"/>
                                  <w:kern w:val="24"/>
                                  <w:sz w:val="16"/>
                                  <w:szCs w:val="16"/>
                                </w:rPr>
                                <w:t>7</w:t>
                              </w:r>
                            </w:p>
                          </w:txbxContent>
                        </wps:txbx>
                        <wps:bodyPr rtlCol="0" anchor="ctr"/>
                      </wps:wsp>
                      <wps:wsp>
                        <wps:cNvPr id="2505" name="56 Conector recto de flecha"/>
                        <wps:cNvCnPr/>
                        <wps:spPr>
                          <a:xfrm>
                            <a:off x="1309688" y="1371600"/>
                            <a:ext cx="0" cy="144000"/>
                          </a:xfrm>
                          <a:prstGeom prst="straightConnector1">
                            <a:avLst/>
                          </a:prstGeom>
                          <a:ln w="19050">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2506" name="57 Conector recto de flecha"/>
                        <wps:cNvCnPr/>
                        <wps:spPr>
                          <a:xfrm>
                            <a:off x="1347788" y="2286000"/>
                            <a:ext cx="0" cy="144000"/>
                          </a:xfrm>
                          <a:prstGeom prst="straightConnector1">
                            <a:avLst/>
                          </a:prstGeom>
                          <a:ln w="19050">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2507" name="60 Conector recto de flecha"/>
                        <wps:cNvCnPr/>
                        <wps:spPr>
                          <a:xfrm>
                            <a:off x="1395413" y="3990000"/>
                            <a:ext cx="0" cy="180000"/>
                          </a:xfrm>
                          <a:prstGeom prst="straightConnector1">
                            <a:avLst/>
                          </a:prstGeom>
                          <a:ln w="19050">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2508" name="32 Conector recto de flecha"/>
                        <wps:cNvCnPr/>
                        <wps:spPr>
                          <a:xfrm>
                            <a:off x="1395413" y="3276600"/>
                            <a:ext cx="0" cy="180000"/>
                          </a:xfrm>
                          <a:prstGeom prst="straightConnector1">
                            <a:avLst/>
                          </a:prstGeom>
                          <a:ln w="19050">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7461B726" id="Grupo 2" o:spid="_x0000_s1081" style="width:185.9pt;height:314.85pt;mso-position-horizontal-relative:char;mso-position-vertical-relative:line" coordorigin="-290,-914" coordsize="25436,552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">
                <v:rect id="6 Rectángulo" o:spid="_x0000_s1082" style="position:absolute;left:1523;top:-914;width:22098;height:54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" fillcolor="white [3201]" strokecolor="#c4bc96 [2414]" strokeweight="1pt">
                  <v:textbox>
                    <w:txbxContent>
                      <w:p w14:paraId="105B50D4" w14:textId="77777777" w:rsidR="00D55F13" w:rsidRPr="00394D50" w:rsidRDefault="00D55F13" w:rsidP="00CD33DB">
                        <w:pPr>
                          <w:pStyle w:val="NormalWeb"/>
                          <w:ind w:left="284" w:right="270"/>
                          <w:jc w:val="center"/>
                          <w:rPr>
                            <w:rFonts w:cs="Arial"/>
                          </w:rPr>
                        </w:pPr>
                        <w:r w:rsidRPr="00394D50">
                          <w:rPr>
                            <w:rFonts w:cs="Arial"/>
                            <w:color w:val="000000" w:themeColor="dark1"/>
                            <w:kern w:val="24"/>
                            <w:sz w:val="16"/>
                            <w:szCs w:val="16"/>
                          </w:rPr>
                          <w:t>Caracterización de alternativas (de la 0 a la n)</w:t>
                        </w:r>
                      </w:p>
                    </w:txbxContent>
                  </v:textbox>
                </v:rect>
                <v:group id="17 Grupo" o:spid="_x0000_s1083" style="position:absolute;left:3048;top:5334;width:20574;height:9144" coordorigin="3048,5334" coordsize="18288,10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shapetype id="_x0000_t115" coordsize="21600,21600" o:spt="115" path="m,20465v810,317,1620,452,2397,725c3077,21325,3790,21417,4405,21597v1620,,2202,-180,2657,-272c7580,21280,8002,21010,8455,20917v422,-135,810,-405,1327,-542c10205,20150,10657,19967,11080,19742v517,-182,970,-407,1425,-590c13087,19017,13605,18745,14255,18610v615,-180,1262,-318,1942,-408c16975,18202,17785,18022,18595,18022r,-1670l19192,16252r808,l20000,14467r722,-75l21597,14392,21597,,2972,r,1815l1532,1815r,1860l,3675,,20465xem1532,3675nfl18595,3675r,12677em2972,1815nfl20000,1815r,12652e">
                    <v:stroke joinstyle="miter"/>
                    <v:path o:extrusionok="f" o:connecttype="custom" o:connectlocs="10800,0;0,10800;10800,19890;21600,10800" textboxrect="0,3675,18595,18022"/>
                  </v:shapetype>
                  <v:shape id="7 Multidocumento" o:spid="_x0000_s1084" type="#_x0000_t115" style="position:absolute;left:3048;top:6096;width:17526;height:99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" fillcolor="white [3201]" strokecolor="#c4bc96 [2414]" strokeweight="1pt">
                    <v:textbox>
                      <w:txbxContent>
                        <w:p w14:paraId="055AA124" w14:textId="29606F48" w:rsidR="00D55F13" w:rsidRPr="00394D50" w:rsidRDefault="00D55F13" w:rsidP="00CD33DB">
                          <w:pPr>
                            <w:pStyle w:val="NormalWeb"/>
                            <w:jc w:val="center"/>
                            <w:rPr>
                              <w:rFonts w:cs="Arial"/>
                            </w:rPr>
                          </w:pPr>
                          <w:r w:rsidRPr="00394D50">
                            <w:rPr>
                              <w:rFonts w:cs="Arial"/>
                              <w:color w:val="000000" w:themeColor="dark1"/>
                              <w:kern w:val="24"/>
                              <w:sz w:val="16"/>
                              <w:szCs w:val="16"/>
                            </w:rPr>
                            <w:t>Identificación de impactos potenciales</w:t>
                          </w:r>
                          <w:r w:rsidRPr="00394D50" w:rsidDel="00C44734">
                            <w:rPr>
                              <w:rFonts w:cs="Arial"/>
                              <w:color w:val="000000" w:themeColor="dark1"/>
                              <w:kern w:val="24"/>
                              <w:sz w:val="16"/>
                              <w:szCs w:val="16"/>
                            </w:rPr>
                            <w:t xml:space="preserve"> </w:t>
                          </w:r>
                          <w:r w:rsidRPr="00394D50">
                            <w:rPr>
                              <w:rFonts w:cs="Arial"/>
                              <w:color w:val="000000" w:themeColor="dark1"/>
                              <w:kern w:val="24"/>
                              <w:sz w:val="16"/>
                              <w:szCs w:val="16"/>
                            </w:rPr>
                            <w:t>significativos</w:t>
                          </w:r>
                        </w:p>
                      </w:txbxContent>
                    </v:textbox>
                  </v:shape>
                  <v:shape id="13 CuadroTexto" o:spid="_x0000_s1085" type="#_x0000_t202" style="position:absolute;left:17526;top:6227;width:2286;height:2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" filled="f" stroked="f" strokeweight="1pt">
                    <v:textbox>
                      <w:txbxContent>
                        <w:p w14:paraId="5AA68D23" w14:textId="77777777" w:rsidR="00D55F13" w:rsidRPr="00394D50" w:rsidRDefault="00D55F13" w:rsidP="00CD33DB">
                          <w:pPr>
                            <w:pStyle w:val="NormalWeb"/>
                            <w:rPr>
                              <w:rFonts w:cs="Arial"/>
                            </w:rPr>
                          </w:pPr>
                          <w:r w:rsidRPr="00394D50">
                            <w:rPr>
                              <w:rFonts w:cs="Arial"/>
                              <w:color w:val="000000" w:themeColor="dark1"/>
                              <w:kern w:val="24"/>
                              <w:sz w:val="16"/>
                              <w:szCs w:val="16"/>
                            </w:rPr>
                            <w:t>0</w:t>
                          </w:r>
                        </w:p>
                      </w:txbxContent>
                    </v:textbox>
                  </v:shape>
                  <v:shape id="14 CuadroTexto" o:spid="_x0000_s1086" type="#_x0000_t202" style="position:absolute;left:19050;top:5334;width:2286;height:21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" filled="f" stroked="f" strokeweight="1pt">
                    <v:textbox>
                      <w:txbxContent>
                        <w:p w14:paraId="79FF653B" w14:textId="77777777" w:rsidR="00D55F13" w:rsidRPr="00394D50" w:rsidRDefault="00D55F13" w:rsidP="00CD33DB">
                          <w:pPr>
                            <w:pStyle w:val="NormalWeb"/>
                            <w:rPr>
                              <w:rFonts w:cs="Arial"/>
                            </w:rPr>
                          </w:pPr>
                          <w:r w:rsidRPr="00394D50">
                            <w:rPr>
                              <w:rFonts w:cs="Arial"/>
                              <w:color w:val="000000" w:themeColor="dark1"/>
                              <w:kern w:val="24"/>
                              <w:sz w:val="16"/>
                              <w:szCs w:val="16"/>
                            </w:rPr>
                            <w:t>n</w:t>
                          </w:r>
                        </w:p>
                      </w:txbxContent>
                    </v:textbox>
                  </v:shape>
                </v:group>
                <v:group id="18 Grupo" o:spid="_x0000_s1087" style="position:absolute;left:3048;top:14489;width:21336;height:9133" coordorigin="3048,14489" coordsize="18288,10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shape id="19 Multidocumento" o:spid="_x0000_s1088" type="#_x0000_t115" style="position:absolute;left:3048;top:15251;width:17526;height:99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" fillcolor="white [3201]" strokecolor="#c4bc96 [2414]" strokeweight="1pt">
                    <v:textbox>
                      <w:txbxContent>
                        <w:p w14:paraId="6115D28B" w14:textId="0F8637CC" w:rsidR="00D55F13" w:rsidRPr="00394D50" w:rsidRDefault="00D55F13" w:rsidP="00CD33DB">
                          <w:pPr>
                            <w:pStyle w:val="NormalWeb"/>
                            <w:jc w:val="center"/>
                            <w:rPr>
                              <w:rFonts w:cs="Arial"/>
                            </w:rPr>
                          </w:pPr>
                          <w:r w:rsidRPr="00394D50">
                            <w:rPr>
                              <w:rFonts w:cs="Arial"/>
                              <w:color w:val="000000" w:themeColor="dark1"/>
                              <w:kern w:val="24"/>
                              <w:sz w:val="16"/>
                              <w:szCs w:val="16"/>
                            </w:rPr>
                            <w:t>Cuantificación de los cambios en los SE</w:t>
                          </w:r>
                        </w:p>
                      </w:txbxContent>
                    </v:textbox>
                  </v:shape>
                  <v:shape id="20 CuadroTexto" o:spid="_x0000_s1089" type="#_x0000_t202" style="position:absolute;left:17526;top:15382;width:2286;height:2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" filled="f" stroked="f" strokeweight="1pt">
                    <v:textbox>
                      <w:txbxContent>
                        <w:p w14:paraId="7F943084" w14:textId="77777777" w:rsidR="00D55F13" w:rsidRPr="00394D50" w:rsidRDefault="00D55F13" w:rsidP="00CD33DB">
                          <w:pPr>
                            <w:pStyle w:val="NormalWeb"/>
                            <w:rPr>
                              <w:rFonts w:cs="Arial"/>
                            </w:rPr>
                          </w:pPr>
                          <w:r w:rsidRPr="00394D50">
                            <w:rPr>
                              <w:rFonts w:cs="Arial"/>
                              <w:color w:val="000000" w:themeColor="dark1"/>
                              <w:kern w:val="24"/>
                              <w:sz w:val="16"/>
                              <w:szCs w:val="16"/>
                            </w:rPr>
                            <w:t>0</w:t>
                          </w:r>
                        </w:p>
                      </w:txbxContent>
                    </v:textbox>
                  </v:shape>
                  <v:shape id="21 CuadroTexto" o:spid="_x0000_s1090" type="#_x0000_t202" style="position:absolute;left:19050;top:14489;width:2286;height:21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" filled="f" stroked="f" strokeweight="1pt">
                    <v:textbox>
                      <w:txbxContent>
                        <w:p w14:paraId="356F93F9" w14:textId="77777777" w:rsidR="00D55F13" w:rsidRPr="00394D50" w:rsidRDefault="00D55F13" w:rsidP="00CD33DB">
                          <w:pPr>
                            <w:pStyle w:val="NormalWeb"/>
                            <w:rPr>
                              <w:rFonts w:cs="Arial"/>
                            </w:rPr>
                          </w:pPr>
                          <w:r w:rsidRPr="00394D50">
                            <w:rPr>
                              <w:rFonts w:cs="Arial"/>
                              <w:color w:val="000000" w:themeColor="dark1"/>
                              <w:kern w:val="24"/>
                              <w:sz w:val="16"/>
                              <w:szCs w:val="16"/>
                            </w:rPr>
                            <w:t>n</w:t>
                          </w:r>
                        </w:p>
                      </w:txbxContent>
                    </v:textbox>
                  </v:shape>
                </v:group>
                <v:group id="24 Grupo" o:spid="_x0000_s1091" style="position:absolute;left:3048;top:23568;width:20574;height:10044" coordorigin="3048,23568" coordsize="18288,10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 id="25 Multidocumento" o:spid="_x0000_s1092" type="#_x0000_t115" style="position:absolute;left:3048;top:24330;width:17526;height:99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" fillcolor="white [3201]" strokecolor="#c4bc96 [2414]" strokeweight="1pt">
                    <v:textbox>
                      <w:txbxContent>
                        <w:p w14:paraId="6E55F1CC" w14:textId="38E14BF6" w:rsidR="00D55F13" w:rsidRPr="00394D50" w:rsidRDefault="00D55F13" w:rsidP="00CD33DB">
                          <w:pPr>
                            <w:pStyle w:val="NormalWeb"/>
                            <w:jc w:val="center"/>
                            <w:rPr>
                              <w:rFonts w:cs="Arial"/>
                            </w:rPr>
                          </w:pPr>
                          <w:r w:rsidRPr="00394D50">
                            <w:rPr>
                              <w:rFonts w:cs="Arial"/>
                              <w:color w:val="000000" w:themeColor="dark1"/>
                              <w:kern w:val="24"/>
                              <w:sz w:val="16"/>
                              <w:szCs w:val="16"/>
                            </w:rPr>
                            <w:t>Valoración económica de los cambios en los SE</w:t>
                          </w:r>
                        </w:p>
                      </w:txbxContent>
                    </v:textbox>
                  </v:shape>
                  <v:shape id="26 CuadroTexto" o:spid="_x0000_s1093" type="#_x0000_t202" style="position:absolute;left:17526;top:24462;width:2286;height:21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" filled="f" stroked="f" strokeweight="1pt">
                    <v:textbox>
                      <w:txbxContent>
                        <w:p w14:paraId="544DD9D4" w14:textId="77777777" w:rsidR="00D55F13" w:rsidRPr="00394D50" w:rsidRDefault="00D55F13" w:rsidP="00CD33DB">
                          <w:pPr>
                            <w:pStyle w:val="NormalWeb"/>
                            <w:rPr>
                              <w:rFonts w:cs="Arial"/>
                            </w:rPr>
                          </w:pPr>
                          <w:r w:rsidRPr="00394D50">
                            <w:rPr>
                              <w:rFonts w:cs="Arial"/>
                              <w:color w:val="000000" w:themeColor="dark1"/>
                              <w:kern w:val="24"/>
                              <w:sz w:val="16"/>
                              <w:szCs w:val="16"/>
                            </w:rPr>
                            <w:t>0</w:t>
                          </w:r>
                        </w:p>
                      </w:txbxContent>
                    </v:textbox>
                  </v:shape>
                  <v:shape id="27 CuadroTexto" o:spid="_x0000_s1094" type="#_x0000_t202" style="position:absolute;left:19050;top:23568;width:2286;height:2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" filled="f" stroked="f" strokeweight="1pt">
                    <v:textbox>
                      <w:txbxContent>
                        <w:p w14:paraId="2A34355B" w14:textId="77777777" w:rsidR="00D55F13" w:rsidRPr="00394D50" w:rsidRDefault="00D55F13" w:rsidP="00CD33DB">
                          <w:pPr>
                            <w:pStyle w:val="NormalWeb"/>
                            <w:rPr>
                              <w:rFonts w:cs="Arial"/>
                            </w:rPr>
                          </w:pPr>
                          <w:r w:rsidRPr="00394D50">
                            <w:rPr>
                              <w:rFonts w:cs="Arial"/>
                              <w:color w:val="000000" w:themeColor="dark1"/>
                              <w:kern w:val="24"/>
                              <w:sz w:val="16"/>
                              <w:szCs w:val="16"/>
                            </w:rPr>
                            <w:t>n</w:t>
                          </w:r>
                        </w:p>
                      </w:txbxContent>
                    </v:textbox>
                  </v:shape>
                </v:group>
                <v:rect id="30 Rectángulo" o:spid="_x0000_s1095" style="position:absolute;left:3048;top:34566;width:20574;height:53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" fillcolor="white [3201]" strokecolor="#c4bc96 [2414]" strokeweight="1pt">
                  <v:textbox>
                    <w:txbxContent>
                      <w:p w14:paraId="16E2A571" w14:textId="77777777" w:rsidR="00D55F13" w:rsidRPr="00394D50" w:rsidRDefault="00D55F13" w:rsidP="00CD33DB">
                        <w:pPr>
                          <w:pStyle w:val="NormalWeb"/>
                          <w:jc w:val="center"/>
                          <w:rPr>
                            <w:rFonts w:cs="Arial"/>
                          </w:rPr>
                        </w:pPr>
                        <w:r w:rsidRPr="00394D50">
                          <w:rPr>
                            <w:rFonts w:cs="Arial"/>
                            <w:color w:val="000000" w:themeColor="dark1"/>
                            <w:kern w:val="24"/>
                            <w:sz w:val="16"/>
                            <w:szCs w:val="16"/>
                          </w:rPr>
                          <w:t xml:space="preserve">Cálculo y comparación de la relación B/C </w:t>
                        </w:r>
                      </w:p>
                    </w:txbxContent>
                  </v:textbox>
                </v:rect>
                <v:rect id="37 Rectángulo" o:spid="_x0000_s1096" style="position:absolute;left:3048;top:41700;width:20574;height:53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" fillcolor="white [3201]" strokecolor="#c4bc96 [2414]" strokeweight="1pt">
                  <v:textbox>
                    <w:txbxContent>
                      <w:p w14:paraId="44BD90CC" w14:textId="77777777" w:rsidR="00D55F13" w:rsidRPr="00394D50" w:rsidRDefault="00D55F13" w:rsidP="00CD33DB">
                        <w:pPr>
                          <w:pStyle w:val="NormalWeb"/>
                          <w:jc w:val="center"/>
                          <w:rPr>
                            <w:rFonts w:cs="Arial"/>
                          </w:rPr>
                        </w:pPr>
                        <w:r w:rsidRPr="00394D50">
                          <w:rPr>
                            <w:rFonts w:cs="Arial"/>
                            <w:color w:val="000000" w:themeColor="dark1"/>
                            <w:kern w:val="24"/>
                            <w:sz w:val="16"/>
                            <w:szCs w:val="16"/>
                          </w:rPr>
                          <w:t>Análisis de sensibilidad e incertidumbres</w:t>
                        </w:r>
                      </w:p>
                    </w:txbxContent>
                  </v:textbox>
                </v:rect>
                <v:rect id="38 Rectángulo" o:spid="_x0000_s1097" style="position:absolute;left:1524;top:49044;width:23622;height:53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" fillcolor="white [3201]" strokecolor="#c4bc96 [2414]" strokeweight="1pt">
                  <v:textbox>
                    <w:txbxContent>
                      <w:p w14:paraId="47E82BFC" w14:textId="77777777" w:rsidR="00D55F13" w:rsidRPr="00394D50" w:rsidRDefault="00D55F13" w:rsidP="00CD33DB">
                        <w:pPr>
                          <w:pStyle w:val="NormalWeb"/>
                          <w:jc w:val="center"/>
                          <w:rPr>
                            <w:rFonts w:cs="Arial"/>
                          </w:rPr>
                        </w:pPr>
                        <w:r w:rsidRPr="00394D50">
                          <w:rPr>
                            <w:rFonts w:cs="Arial"/>
                            <w:color w:val="000000" w:themeColor="dark1"/>
                            <w:kern w:val="24"/>
                            <w:sz w:val="16"/>
                            <w:szCs w:val="16"/>
                          </w:rPr>
                          <w:t>Integración de resultados a la selección de alternativas</w:t>
                        </w:r>
                      </w:p>
                    </w:txbxContent>
                  </v:textbox>
                </v:rect>
                <v:shape id="3 Conector recto de flecha" o:spid="_x0000_s1098" type="#_x0000_t32" style="position:absolute;left:12573;top:4656;width:0;height:144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" strokecolor="black [3213]" strokeweight="1.5pt">
                  <v:stroke endarrow="block"/>
                </v:shape>
                <v:shape id="49 Conector recto de flecha" o:spid="_x0000_s1099" type="#_x0000_t32" style="position:absolute;left:13811;top:47034;width:0;height:180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" strokecolor="black [3213]" strokeweight="1.5pt">
                  <v:stroke endarrow="block"/>
                </v:shape>
                <v:oval id="5 Elipse" o:spid="_x0000_s1100" style="position:absolute;top:6857;width:3048;height:40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" fillcolor="white [3212]" strokecolor="#243f60 [1604]" strokeweight="1.5pt">
                  <v:textbox>
                    <w:txbxContent>
                      <w:p w14:paraId="70F53DB9" w14:textId="77777777" w:rsidR="00D55F13" w:rsidRPr="00394D50" w:rsidRDefault="00D55F13" w:rsidP="00CD33DB">
                        <w:pPr>
                          <w:pStyle w:val="NormalWeb"/>
                          <w:spacing w:before="0" w:after="0"/>
                          <w:jc w:val="center"/>
                          <w:rPr>
                            <w:rFonts w:cs="Arial"/>
                            <w:sz w:val="16"/>
                            <w:szCs w:val="16"/>
                          </w:rPr>
                        </w:pPr>
                        <w:r w:rsidRPr="00394D50">
                          <w:rPr>
                            <w:rFonts w:cs="Arial"/>
                            <w:b/>
                            <w:bCs/>
                            <w:color w:val="000000" w:themeColor="text1"/>
                            <w:kern w:val="24"/>
                            <w:sz w:val="16"/>
                            <w:szCs w:val="16"/>
                          </w:rPr>
                          <w:t>2</w:t>
                        </w:r>
                      </w:p>
                    </w:txbxContent>
                  </v:textbox>
                </v:oval>
                <v:oval id="50 Elipse" o:spid="_x0000_s1101" style="position:absolute;width:3048;height:41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" fillcolor="white [3212]" strokecolor="#243f60 [1604]" strokeweight="1.5pt">
                  <v:textbox>
                    <w:txbxContent>
                      <w:p w14:paraId="425051CB" w14:textId="77777777" w:rsidR="00D55F13" w:rsidRPr="00394D50" w:rsidRDefault="00D55F13" w:rsidP="00CD33DB">
                        <w:pPr>
                          <w:pStyle w:val="NormalWeb"/>
                          <w:spacing w:before="0" w:after="0"/>
                          <w:jc w:val="center"/>
                          <w:rPr>
                            <w:rFonts w:cs="Arial"/>
                            <w:sz w:val="16"/>
                            <w:szCs w:val="16"/>
                          </w:rPr>
                        </w:pPr>
                        <w:r w:rsidRPr="00394D50">
                          <w:rPr>
                            <w:rFonts w:cs="Arial"/>
                            <w:b/>
                            <w:bCs/>
                            <w:color w:val="000000" w:themeColor="text1"/>
                            <w:kern w:val="24"/>
                            <w:sz w:val="16"/>
                            <w:szCs w:val="16"/>
                          </w:rPr>
                          <w:t>1</w:t>
                        </w:r>
                      </w:p>
                    </w:txbxContent>
                  </v:textbox>
                </v:oval>
                <v:oval id="51 Elipse" o:spid="_x0000_s1102" style="position:absolute;left:-290;top:17718;width:3433;height:39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" fillcolor="white [3212]" strokecolor="#243f60 [1604]" strokeweight="1.5pt">
                  <v:textbox>
                    <w:txbxContent>
                      <w:p w14:paraId="31D097D9" w14:textId="77777777" w:rsidR="00D55F13" w:rsidRPr="00394D50" w:rsidRDefault="00D55F13" w:rsidP="00CD33DB">
                        <w:pPr>
                          <w:pStyle w:val="NormalWeb"/>
                          <w:spacing w:before="0" w:after="0"/>
                          <w:jc w:val="center"/>
                          <w:rPr>
                            <w:rFonts w:cs="Arial"/>
                          </w:rPr>
                        </w:pPr>
                        <w:r w:rsidRPr="00394D50">
                          <w:rPr>
                            <w:rFonts w:cs="Arial"/>
                            <w:b/>
                            <w:bCs/>
                            <w:color w:val="000000" w:themeColor="text1"/>
                            <w:kern w:val="24"/>
                            <w:sz w:val="16"/>
                            <w:szCs w:val="16"/>
                          </w:rPr>
                          <w:t>3</w:t>
                        </w:r>
                      </w:p>
                    </w:txbxContent>
                  </v:textbox>
                </v:oval>
                <v:oval id="52 Elipse" o:spid="_x0000_s1103" style="position:absolute;left:-290;top:24683;width:3628;height:45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" fillcolor="white [3212]" strokecolor="#243f60 [1604]" strokeweight="1.5pt">
                  <v:textbox>
                    <w:txbxContent>
                      <w:p w14:paraId="784DD5E4" w14:textId="77777777" w:rsidR="00D55F13" w:rsidRPr="00394D50" w:rsidRDefault="00D55F13" w:rsidP="00CD33DB">
                        <w:pPr>
                          <w:pStyle w:val="NormalWeb"/>
                          <w:spacing w:before="0" w:after="0"/>
                          <w:jc w:val="center"/>
                          <w:rPr>
                            <w:rFonts w:cs="Arial"/>
                          </w:rPr>
                        </w:pPr>
                        <w:r w:rsidRPr="00394D50">
                          <w:rPr>
                            <w:rFonts w:cs="Arial"/>
                            <w:b/>
                            <w:bCs/>
                            <w:color w:val="000000" w:themeColor="text1"/>
                            <w:kern w:val="24"/>
                            <w:sz w:val="16"/>
                            <w:szCs w:val="16"/>
                          </w:rPr>
                          <w:t>4</w:t>
                        </w:r>
                      </w:p>
                    </w:txbxContent>
                  </v:textbox>
                </v:oval>
                <v:oval id="53 Elipse" o:spid="_x0000_s1104" style="position:absolute;left:95;top:33115;width:3048;height:40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" fillcolor="white [3212]" strokecolor="#243f60 [1604]" strokeweight="1.5pt">
                  <v:textbox>
                    <w:txbxContent>
                      <w:p w14:paraId="50F00C3D" w14:textId="77777777" w:rsidR="00D55F13" w:rsidRPr="00394D50" w:rsidRDefault="00D55F13" w:rsidP="00CD33DB">
                        <w:pPr>
                          <w:pStyle w:val="NormalWeb"/>
                          <w:spacing w:before="0" w:after="0"/>
                          <w:jc w:val="center"/>
                          <w:rPr>
                            <w:rFonts w:cs="Arial"/>
                          </w:rPr>
                        </w:pPr>
                        <w:r w:rsidRPr="00394D50">
                          <w:rPr>
                            <w:rFonts w:cs="Arial"/>
                            <w:b/>
                            <w:bCs/>
                            <w:color w:val="000000" w:themeColor="text1"/>
                            <w:kern w:val="24"/>
                            <w:sz w:val="16"/>
                            <w:szCs w:val="16"/>
                          </w:rPr>
                          <w:t>5</w:t>
                        </w:r>
                      </w:p>
                    </w:txbxContent>
                  </v:textbox>
                </v:oval>
                <v:oval id="54 Elipse" o:spid="_x0000_s1105" style="position:absolute;left:484;top:40447;width:3048;height:37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" fillcolor="white [3212]" strokecolor="#243f60 [1604]" strokeweight="1.5pt">
                  <v:textbox>
                    <w:txbxContent>
                      <w:p w14:paraId="6E92297D" w14:textId="77777777" w:rsidR="00D55F13" w:rsidRPr="00394D50" w:rsidRDefault="00D55F13" w:rsidP="00CD33DB">
                        <w:pPr>
                          <w:pStyle w:val="NormalWeb"/>
                          <w:spacing w:before="0" w:after="0"/>
                          <w:jc w:val="center"/>
                          <w:rPr>
                            <w:rFonts w:cs="Arial"/>
                          </w:rPr>
                        </w:pPr>
                        <w:r w:rsidRPr="00394D50">
                          <w:rPr>
                            <w:rFonts w:cs="Arial"/>
                            <w:b/>
                            <w:bCs/>
                            <w:color w:val="000000" w:themeColor="text1"/>
                            <w:kern w:val="24"/>
                            <w:sz w:val="16"/>
                            <w:szCs w:val="16"/>
                          </w:rPr>
                          <w:t>6</w:t>
                        </w:r>
                      </w:p>
                    </w:txbxContent>
                  </v:textbox>
                </v:oval>
                <v:oval id="55 Elipse" o:spid="_x0000_s1106" style="position:absolute;top:46679;width:3047;height:3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" fillcolor="white [3212]" strokecolor="#243f60 [1604]" strokeweight="1.5pt">
                  <v:textbox>
                    <w:txbxContent>
                      <w:p w14:paraId="7A6EE479" w14:textId="77777777" w:rsidR="00D55F13" w:rsidRPr="00394D50" w:rsidRDefault="00D55F13" w:rsidP="00CD33DB">
                        <w:pPr>
                          <w:pStyle w:val="NormalWeb"/>
                          <w:spacing w:before="0" w:after="0"/>
                          <w:jc w:val="center"/>
                          <w:rPr>
                            <w:rFonts w:cs="Arial"/>
                          </w:rPr>
                        </w:pPr>
                        <w:r w:rsidRPr="00394D50">
                          <w:rPr>
                            <w:rFonts w:cs="Arial"/>
                            <w:b/>
                            <w:bCs/>
                            <w:color w:val="000000" w:themeColor="text1"/>
                            <w:kern w:val="24"/>
                            <w:sz w:val="16"/>
                            <w:szCs w:val="16"/>
                          </w:rPr>
                          <w:t>7</w:t>
                        </w:r>
                      </w:p>
                    </w:txbxContent>
                  </v:textbox>
                </v:oval>
                <v:shape id="56 Conector recto de flecha" o:spid="_x0000_s1107" type="#_x0000_t32" style="position:absolute;left:13096;top:13716;width:0;height:144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" strokecolor="black [3213]" strokeweight="1.5pt">
                  <v:stroke endarrow="block"/>
                </v:shape>
                <v:shape id="57 Conector recto de flecha" o:spid="_x0000_s1108" type="#_x0000_t32" style="position:absolute;left:13477;top:22860;width:0;height:144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" strokecolor="black [3213]" strokeweight="1.5pt">
                  <v:stroke endarrow="block"/>
                </v:shape>
                <v:shape id="60 Conector recto de flecha" o:spid="_x0000_s1109" type="#_x0000_t32" style="position:absolute;left:13954;top:39900;width:0;height:180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" strokecolor="black [3213]" strokeweight="1.5pt">
                  <v:stroke endarrow="block"/>
                </v:shape>
                <v:shape id="32 Conector recto de flecha" o:spid="_x0000_s1110" type="#_x0000_t32" style="position:absolute;left:13954;top:32766;width:0;height:180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" strokecolor="black [3213]" strokeweight="1.5pt">
                  <v:stroke endarrow="block"/>
                </v:shape>
                <w10:anchorlock/>
              </v:group>
            </w:pict>
          </mc:Fallback>
        </mc:AlternateContent>
      </w:r>
    </w:p>
    <w:p w14:paraId="630C929F" w14:textId="6EDDB486" w:rsidR="00CD33DB" w:rsidRPr="00BD1319" w:rsidRDefault="00CD33DB" w:rsidP="00CD33DB">
      <w:pPr>
        <w:numPr>
          <w:ilvl w:val="12"/>
          <w:numId w:val="0"/>
        </w:numPr>
        <w:tabs>
          <w:tab w:val="left" w:pos="-2268"/>
        </w:tabs>
        <w:suppressAutoHyphens/>
        <w:jc w:val="center"/>
        <w:rPr>
          <w:spacing w:val="-3"/>
          <w:sz w:val="20"/>
        </w:rPr>
      </w:pPr>
      <w:r w:rsidRPr="00BD1319">
        <w:rPr>
          <w:b/>
          <w:spacing w:val="-3"/>
          <w:sz w:val="20"/>
        </w:rPr>
        <w:t>Fuente:</w:t>
      </w:r>
      <w:r w:rsidRPr="00BD1319">
        <w:rPr>
          <w:spacing w:val="-3"/>
          <w:sz w:val="20"/>
        </w:rPr>
        <w:t xml:space="preserve"> </w:t>
      </w:r>
      <w:r w:rsidR="0084448E" w:rsidRPr="00BD1319">
        <w:rPr>
          <w:rFonts w:cs="Arial"/>
          <w:spacing w:val="-3"/>
          <w:sz w:val="20"/>
        </w:rPr>
        <w:t>ANLA</w:t>
      </w:r>
      <w:r w:rsidR="00067514" w:rsidRPr="00BD1319">
        <w:rPr>
          <w:rFonts w:cs="Arial"/>
          <w:spacing w:val="-3"/>
          <w:sz w:val="20"/>
        </w:rPr>
        <w:t>.</w:t>
      </w:r>
      <w:r w:rsidR="0084448E" w:rsidRPr="00BD1319">
        <w:rPr>
          <w:rFonts w:cs="Arial"/>
          <w:spacing w:val="-3"/>
          <w:sz w:val="20"/>
        </w:rPr>
        <w:t xml:space="preserve"> </w:t>
      </w:r>
      <w:r w:rsidRPr="00BD1319">
        <w:rPr>
          <w:spacing w:val="-3"/>
          <w:sz w:val="20"/>
        </w:rPr>
        <w:t>Grupo de Instrumentos</w:t>
      </w:r>
      <w:r w:rsidR="00067514" w:rsidRPr="00BD1319">
        <w:rPr>
          <w:rFonts w:cs="Arial"/>
          <w:spacing w:val="-3"/>
          <w:sz w:val="20"/>
        </w:rPr>
        <w:t xml:space="preserve"> -</w:t>
      </w:r>
      <w:r w:rsidRPr="00BD1319">
        <w:rPr>
          <w:rFonts w:cs="Arial"/>
          <w:spacing w:val="-3"/>
          <w:sz w:val="20"/>
        </w:rPr>
        <w:t xml:space="preserve"> </w:t>
      </w:r>
      <w:r w:rsidRPr="00BD1319">
        <w:rPr>
          <w:spacing w:val="-3"/>
          <w:sz w:val="20"/>
        </w:rPr>
        <w:t>2016.</w:t>
      </w:r>
    </w:p>
    <w:p w14:paraId="477C8EEA" w14:textId="77777777" w:rsidR="00E97D60" w:rsidRPr="00BD1319" w:rsidRDefault="00E97D60" w:rsidP="00C86DA5">
      <w:pPr>
        <w:overflowPunct/>
        <w:autoSpaceDE/>
        <w:autoSpaceDN/>
        <w:adjustRightInd/>
        <w:jc w:val="left"/>
        <w:textAlignment w:val="auto"/>
        <w:rPr>
          <w:spacing w:val="-3"/>
        </w:rPr>
      </w:pPr>
    </w:p>
    <w:p w14:paraId="21D2904A" w14:textId="0D01D0E7" w:rsidR="00921605" w:rsidRPr="00BD1319" w:rsidRDefault="00921605" w:rsidP="00921605">
      <w:pPr>
        <w:numPr>
          <w:ilvl w:val="12"/>
          <w:numId w:val="0"/>
        </w:numPr>
        <w:tabs>
          <w:tab w:val="left" w:pos="-2268"/>
        </w:tabs>
        <w:suppressAutoHyphens/>
        <w:rPr>
          <w:rFonts w:eastAsia="Arial"/>
        </w:rPr>
      </w:pPr>
      <w:r w:rsidRPr="00BD1319">
        <w:rPr>
          <w:spacing w:val="-3"/>
        </w:rPr>
        <w:t>Los pasos metodológicos que se deben seguir y las consideraciones generales sobre el método y sobre cómo se incorpora el ACB al proceso de licenciamiento ambiental</w:t>
      </w:r>
      <w:r w:rsidRPr="00BD1319">
        <w:rPr>
          <w:rFonts w:cs="Arial"/>
          <w:spacing w:val="-3"/>
        </w:rPr>
        <w:t>,</w:t>
      </w:r>
      <w:r w:rsidRPr="00BD1319">
        <w:rPr>
          <w:spacing w:val="-3"/>
        </w:rPr>
        <w:t xml:space="preserve"> son las establecidas en el instructivo A </w:t>
      </w:r>
      <w:r w:rsidRPr="00BD1319">
        <w:rPr>
          <w:rFonts w:cs="Arial"/>
          <w:spacing w:val="-3"/>
        </w:rPr>
        <w:t>del documento anexo a la Resolución 1669 de 2017, o aquella que la modifique o sustituya, denominado</w:t>
      </w:r>
      <w:r w:rsidRPr="00BD1319">
        <w:rPr>
          <w:spacing w:val="-3"/>
        </w:rPr>
        <w:t xml:space="preserve"> </w:t>
      </w:r>
      <w:r w:rsidRPr="00BD1319">
        <w:rPr>
          <w:i/>
          <w:spacing w:val="-3"/>
        </w:rPr>
        <w:t>Criterios técnicos para el uso de herramientas económicas en los proyectos, obras o actividades objeto de licenciamiento ambiental</w:t>
      </w:r>
      <w:r w:rsidRPr="00BD1319">
        <w:rPr>
          <w:spacing w:val="-3"/>
        </w:rPr>
        <w:t xml:space="preserve">, el cual amplía y profundiza este análisis a fin </w:t>
      </w:r>
      <w:r w:rsidRPr="00BD1319">
        <w:rPr>
          <w:rFonts w:cs="Arial"/>
        </w:rPr>
        <w:t xml:space="preserve">de </w:t>
      </w:r>
      <w:r w:rsidRPr="00BD1319">
        <w:rPr>
          <w:spacing w:val="-3"/>
        </w:rPr>
        <w:t>brindar herramientas que permitan un mejor entendimiento y desarrollo del mismo</w:t>
      </w:r>
      <w:r w:rsidRPr="00BD1319">
        <w:rPr>
          <w:rFonts w:cs="Arial"/>
          <w:spacing w:val="-3"/>
        </w:rPr>
        <w:t>.</w:t>
      </w:r>
      <w:r w:rsidRPr="00BD1319">
        <w:rPr>
          <w:rFonts w:cs="Arial"/>
        </w:rPr>
        <w:t xml:space="preserve"> La </w:t>
      </w:r>
      <w:r w:rsidRPr="00BD1319">
        <w:rPr>
          <w:rFonts w:cs="Arial"/>
        </w:rPr>
        <w:lastRenderedPageBreak/>
        <w:t>evaluación económica para el DAA</w:t>
      </w:r>
      <w:r w:rsidRPr="00BD1319">
        <w:rPr>
          <w:rFonts w:eastAsia="Arial" w:cs="Arial"/>
        </w:rPr>
        <w:t xml:space="preserve"> define al ACB como criterio de comparación y selección de alternativas, y no contempla el análisis de internalización</w:t>
      </w:r>
      <w:r w:rsidRPr="00BD1319">
        <w:rPr>
          <w:rFonts w:eastAsia="Arial"/>
        </w:rPr>
        <w:t>.</w:t>
      </w:r>
    </w:p>
    <w:p w14:paraId="25F636D5" w14:textId="77777777" w:rsidR="00921605" w:rsidRPr="00BD1319" w:rsidRDefault="00921605" w:rsidP="00921605">
      <w:pPr>
        <w:numPr>
          <w:ilvl w:val="12"/>
          <w:numId w:val="0"/>
        </w:numPr>
        <w:tabs>
          <w:tab w:val="left" w:pos="-2268"/>
        </w:tabs>
        <w:suppressAutoHyphens/>
        <w:rPr>
          <w:spacing w:val="-3"/>
        </w:rPr>
      </w:pPr>
    </w:p>
    <w:p w14:paraId="71A25BF2" w14:textId="77777777" w:rsidR="00921605" w:rsidRPr="00BD1319" w:rsidRDefault="00921605" w:rsidP="00921605">
      <w:pPr>
        <w:numPr>
          <w:ilvl w:val="12"/>
          <w:numId w:val="0"/>
        </w:numPr>
        <w:tabs>
          <w:tab w:val="left" w:pos="-2268"/>
        </w:tabs>
        <w:suppressAutoHyphens/>
        <w:rPr>
          <w:spacing w:val="-3"/>
        </w:rPr>
      </w:pPr>
      <w:r w:rsidRPr="00BD1319">
        <w:rPr>
          <w:spacing w:val="-3"/>
        </w:rPr>
        <w:t xml:space="preserve">Cabe aclarar que la decisión que toma la autoridad ambiental respecto a la alternativa </w:t>
      </w:r>
      <w:r w:rsidRPr="00BD1319">
        <w:rPr>
          <w:rFonts w:cs="Arial"/>
          <w:spacing w:val="-3"/>
        </w:rPr>
        <w:t>o alternativas seleccionadas</w:t>
      </w:r>
      <w:r w:rsidRPr="00BD1319">
        <w:rPr>
          <w:spacing w:val="-3"/>
        </w:rPr>
        <w:t xml:space="preserve"> para la elaboración del EIA no se basa exclusivamente en los resultados de la evaluación económica realizada mediante el ACB, ésta incorpora criterios adicionales que no son exclusivamente económicos</w:t>
      </w:r>
      <w:r w:rsidRPr="00BD1319">
        <w:rPr>
          <w:rFonts w:cs="Arial"/>
          <w:spacing w:val="-3"/>
        </w:rPr>
        <w:t>, siendo este análisis un aporte adicional al proceso de toma de decisión mediante la evaluación multicriterio respecto de la alternativa más favorable</w:t>
      </w:r>
      <w:r w:rsidRPr="00BD1319">
        <w:rPr>
          <w:spacing w:val="-3"/>
        </w:rPr>
        <w:t>.</w:t>
      </w:r>
    </w:p>
    <w:p w14:paraId="25073D97" w14:textId="77777777" w:rsidR="00921605" w:rsidRPr="00BD1319" w:rsidRDefault="00921605" w:rsidP="00C86DA5">
      <w:pPr>
        <w:overflowPunct/>
        <w:autoSpaceDE/>
        <w:autoSpaceDN/>
        <w:adjustRightInd/>
        <w:jc w:val="left"/>
        <w:textAlignment w:val="auto"/>
        <w:rPr>
          <w:spacing w:val="-3"/>
        </w:rPr>
      </w:pPr>
    </w:p>
    <w:p w14:paraId="617E3E13" w14:textId="77777777" w:rsidR="00DF6D4D" w:rsidRPr="00BD1319" w:rsidRDefault="00DF6D4D" w:rsidP="00C86DA5">
      <w:pPr>
        <w:overflowPunct/>
        <w:autoSpaceDE/>
        <w:autoSpaceDN/>
        <w:adjustRightInd/>
        <w:jc w:val="left"/>
        <w:textAlignment w:val="auto"/>
        <w:rPr>
          <w:spacing w:val="-3"/>
        </w:rPr>
      </w:pPr>
    </w:p>
    <w:p w14:paraId="7D83B6F4" w14:textId="13F480DF" w:rsidR="000F2600" w:rsidRPr="00BD1319" w:rsidRDefault="00847C7B" w:rsidP="00CB4557">
      <w:pPr>
        <w:pStyle w:val="Ttulo1"/>
        <w:numPr>
          <w:ilvl w:val="0"/>
          <w:numId w:val="8"/>
        </w:numPr>
        <w:rPr>
          <w:lang w:val="es-CO"/>
        </w:rPr>
      </w:pPr>
      <w:bookmarkStart w:id="2360" w:name="_Toc437935997"/>
      <w:bookmarkStart w:id="2361" w:name="_Ref150507458"/>
      <w:bookmarkStart w:id="2362" w:name="_Toc175326722"/>
      <w:r w:rsidRPr="00BD1319">
        <w:rPr>
          <w:lang w:val="es-CO"/>
        </w:rPr>
        <w:t xml:space="preserve">EVALUACIÓN </w:t>
      </w:r>
      <w:r w:rsidR="00891BB5" w:rsidRPr="00BD1319">
        <w:rPr>
          <w:lang w:val="es-CO"/>
        </w:rPr>
        <w:t xml:space="preserve">Y COMPARACIÓN </w:t>
      </w:r>
      <w:r w:rsidR="000F2600" w:rsidRPr="00BD1319">
        <w:rPr>
          <w:lang w:val="es-CO"/>
        </w:rPr>
        <w:t>DE ALTERNATIVAS</w:t>
      </w:r>
      <w:bookmarkEnd w:id="2360"/>
      <w:bookmarkEnd w:id="2361"/>
      <w:bookmarkEnd w:id="2362"/>
    </w:p>
    <w:p w14:paraId="410EAE2B" w14:textId="77777777" w:rsidR="000F2600" w:rsidRPr="00BD1319" w:rsidRDefault="000F2600">
      <w:pPr>
        <w:numPr>
          <w:ilvl w:val="12"/>
          <w:numId w:val="0"/>
        </w:numPr>
        <w:tabs>
          <w:tab w:val="left" w:pos="-2268"/>
        </w:tabs>
        <w:suppressAutoHyphens/>
        <w:rPr>
          <w:spacing w:val="-3"/>
        </w:rPr>
      </w:pPr>
    </w:p>
    <w:p w14:paraId="47DB1BBD" w14:textId="7C23F82B" w:rsidR="005D7203" w:rsidRPr="00BD1319" w:rsidRDefault="005D7203">
      <w:pPr>
        <w:numPr>
          <w:ilvl w:val="12"/>
          <w:numId w:val="0"/>
        </w:numPr>
        <w:tabs>
          <w:tab w:val="left" w:pos="-2268"/>
        </w:tabs>
        <w:suppressAutoHyphens/>
        <w:rPr>
          <w:spacing w:val="-3"/>
        </w:rPr>
      </w:pPr>
      <w:r w:rsidRPr="00BD1319">
        <w:rPr>
          <w:spacing w:val="-3"/>
        </w:rPr>
        <w:t xml:space="preserve">Este capítulo del DAA está destinado </w:t>
      </w:r>
      <w:r w:rsidR="009F38FA" w:rsidRPr="00BD1319">
        <w:rPr>
          <w:spacing w:val="-3"/>
        </w:rPr>
        <w:t xml:space="preserve">a </w:t>
      </w:r>
      <w:r w:rsidRPr="00BD1319">
        <w:rPr>
          <w:spacing w:val="-3"/>
        </w:rPr>
        <w:t>evaluar (utilizando diversos criterios) y comparar las alternativas que se consideren para el desarrollo del proyecto, obra o actividad.</w:t>
      </w:r>
    </w:p>
    <w:p w14:paraId="6A7FB90E" w14:textId="77777777" w:rsidR="005D7203" w:rsidRPr="00BD1319" w:rsidRDefault="005D7203">
      <w:pPr>
        <w:numPr>
          <w:ilvl w:val="12"/>
          <w:numId w:val="0"/>
        </w:numPr>
        <w:tabs>
          <w:tab w:val="left" w:pos="-2268"/>
        </w:tabs>
        <w:suppressAutoHyphens/>
        <w:rPr>
          <w:spacing w:val="-3"/>
        </w:rPr>
      </w:pPr>
    </w:p>
    <w:p w14:paraId="34F188EE" w14:textId="49429D3E" w:rsidR="005D7203" w:rsidRPr="00BD1319" w:rsidRDefault="005D7203">
      <w:pPr>
        <w:numPr>
          <w:ilvl w:val="12"/>
          <w:numId w:val="0"/>
        </w:numPr>
        <w:tabs>
          <w:tab w:val="left" w:pos="-2268"/>
        </w:tabs>
        <w:suppressAutoHyphens/>
        <w:rPr>
          <w:spacing w:val="-3"/>
        </w:rPr>
      </w:pPr>
      <w:r w:rsidRPr="00BD1319">
        <w:rPr>
          <w:spacing w:val="-3"/>
        </w:rPr>
        <w:t>Es preciso recordar que las alternativas no se definen exclusivamente por las opciones de ubicación o trazado, además de éstas, las alternativas se configuran mediante múltiples consideraciones de tecnología y diseño con el propósito de optimizar y racionalizar el uso de recursos y evitar o minimizar los riesgos</w:t>
      </w:r>
      <w:r w:rsidR="00710EA1" w:rsidRPr="00BD1319">
        <w:rPr>
          <w:spacing w:val="-3"/>
        </w:rPr>
        <w:t xml:space="preserve"> </w:t>
      </w:r>
      <w:r w:rsidRPr="00BD1319">
        <w:rPr>
          <w:spacing w:val="-3"/>
        </w:rPr>
        <w:t xml:space="preserve">e impactos </w:t>
      </w:r>
      <w:r w:rsidRPr="00BD1319">
        <w:rPr>
          <w:rFonts w:cs="Arial"/>
          <w:spacing w:val="-3"/>
        </w:rPr>
        <w:t xml:space="preserve">ambientales </w:t>
      </w:r>
      <w:r w:rsidR="002546D8" w:rsidRPr="00BD1319">
        <w:rPr>
          <w:rFonts w:cs="Arial"/>
          <w:spacing w:val="-3"/>
        </w:rPr>
        <w:t xml:space="preserve">potenciales </w:t>
      </w:r>
      <w:r w:rsidRPr="00BD1319">
        <w:rPr>
          <w:spacing w:val="-3"/>
        </w:rPr>
        <w:t xml:space="preserve">negativos; es decir, todas las alternativas deben </w:t>
      </w:r>
      <w:r w:rsidRPr="00BD1319">
        <w:rPr>
          <w:rFonts w:cs="Arial"/>
          <w:spacing w:val="-3"/>
        </w:rPr>
        <w:t>incorporar tecnologías</w:t>
      </w:r>
      <w:r w:rsidRPr="00BD1319">
        <w:rPr>
          <w:spacing w:val="-3"/>
        </w:rPr>
        <w:t xml:space="preserve"> ambientalmente racionales</w:t>
      </w:r>
      <w:r w:rsidR="00EE2E72" w:rsidRPr="00BD1319">
        <w:rPr>
          <w:spacing w:val="-3"/>
        </w:rPr>
        <w:t xml:space="preserve"> y permitir el desarrollo del proyecto para el cual se plantean</w:t>
      </w:r>
      <w:r w:rsidRPr="00BD1319">
        <w:rPr>
          <w:spacing w:val="-3"/>
        </w:rPr>
        <w:t>.</w:t>
      </w:r>
    </w:p>
    <w:p w14:paraId="311ED958" w14:textId="77777777" w:rsidR="005D7203" w:rsidRPr="00BD1319" w:rsidRDefault="005D7203">
      <w:pPr>
        <w:numPr>
          <w:ilvl w:val="12"/>
          <w:numId w:val="0"/>
        </w:numPr>
        <w:tabs>
          <w:tab w:val="left" w:pos="-2268"/>
        </w:tabs>
        <w:suppressAutoHyphens/>
        <w:rPr>
          <w:spacing w:val="-3"/>
        </w:rPr>
      </w:pPr>
    </w:p>
    <w:p w14:paraId="0784D85E" w14:textId="1B97366E" w:rsidR="005D7203" w:rsidRPr="00BD1319" w:rsidRDefault="005D7203" w:rsidP="00C86DA5">
      <w:pPr>
        <w:tabs>
          <w:tab w:val="left" w:pos="-2268"/>
        </w:tabs>
        <w:suppressAutoHyphens/>
        <w:rPr>
          <w:spacing w:val="-3"/>
        </w:rPr>
      </w:pPr>
      <w:r w:rsidRPr="00BD1319">
        <w:rPr>
          <w:spacing w:val="-3"/>
        </w:rPr>
        <w:t>La evaluación, comparación y selección de las alternativas presentadas en el DAA se debe llevar a cabo utilizando metodologías de Evaluación Multicriterio (EMC</w:t>
      </w:r>
      <w:r w:rsidRPr="00BD1319">
        <w:rPr>
          <w:rFonts w:cs="Arial"/>
          <w:spacing w:val="-3"/>
        </w:rPr>
        <w:t>)</w:t>
      </w:r>
      <w:r w:rsidRPr="00BD1319">
        <w:rPr>
          <w:spacing w:val="-3"/>
        </w:rPr>
        <w:t xml:space="preserve"> </w:t>
      </w:r>
      <w:r w:rsidRPr="00BD1319">
        <w:rPr>
          <w:rFonts w:cs="Arial"/>
          <w:spacing w:val="-3"/>
        </w:rPr>
        <w:t>con el fin de</w:t>
      </w:r>
      <w:r w:rsidRPr="00BD1319">
        <w:rPr>
          <w:spacing w:val="-3"/>
        </w:rPr>
        <w:t xml:space="preserve"> facilitar la selección, entre un grupo de alternativas ambientalmente factibles, aquella o aquellas que demuestren optimizar y racionalizar el uso de recursos y evitar o minimizar los riesgos</w:t>
      </w:r>
      <w:r w:rsidR="00710EA1" w:rsidRPr="00BD1319">
        <w:rPr>
          <w:spacing w:val="-3"/>
        </w:rPr>
        <w:t xml:space="preserve"> </w:t>
      </w:r>
      <w:r w:rsidRPr="00BD1319">
        <w:rPr>
          <w:spacing w:val="-3"/>
        </w:rPr>
        <w:t xml:space="preserve">e impactos negativos. En </w:t>
      </w:r>
      <w:r w:rsidR="00FC38FE" w:rsidRPr="00BD1319">
        <w:rPr>
          <w:spacing w:val="-3"/>
        </w:rPr>
        <w:t>el marco de la elaboración del DAA</w:t>
      </w:r>
      <w:r w:rsidRPr="00BD1319">
        <w:rPr>
          <w:spacing w:val="-3"/>
        </w:rPr>
        <w:t xml:space="preserve">, la EMC </w:t>
      </w:r>
      <w:r w:rsidRPr="00BD1319">
        <w:rPr>
          <w:rFonts w:cs="Arial"/>
          <w:spacing w:val="-3"/>
        </w:rPr>
        <w:t>organiza</w:t>
      </w:r>
      <w:r w:rsidRPr="00BD1319">
        <w:rPr>
          <w:spacing w:val="-3"/>
        </w:rPr>
        <w:t xml:space="preserve"> la información ambiental (de </w:t>
      </w:r>
      <w:r w:rsidR="006A1304" w:rsidRPr="00BD1319">
        <w:rPr>
          <w:spacing w:val="-3"/>
        </w:rPr>
        <w:t xml:space="preserve">caracterización ambiental, </w:t>
      </w:r>
      <w:r w:rsidRPr="00BD1319">
        <w:rPr>
          <w:spacing w:val="-3"/>
        </w:rPr>
        <w:t xml:space="preserve">análisis de riesgos, zonificación ambiental, </w:t>
      </w:r>
      <w:r w:rsidR="0009367A" w:rsidRPr="00BD1319">
        <w:rPr>
          <w:spacing w:val="-3"/>
        </w:rPr>
        <w:t xml:space="preserve">determinación </w:t>
      </w:r>
      <w:r w:rsidR="000C7252" w:rsidRPr="00BD1319">
        <w:rPr>
          <w:spacing w:val="-3"/>
        </w:rPr>
        <w:t xml:space="preserve">y evaluación </w:t>
      </w:r>
      <w:r w:rsidRPr="00BD1319">
        <w:rPr>
          <w:spacing w:val="-3"/>
        </w:rPr>
        <w:t xml:space="preserve">de impactos potenciales, análisis costo beneficio, entre otras) asociada a las alternativas y </w:t>
      </w:r>
      <w:r w:rsidRPr="00BD1319">
        <w:rPr>
          <w:rFonts w:cs="Arial"/>
          <w:spacing w:val="-3"/>
        </w:rPr>
        <w:t>aplica</w:t>
      </w:r>
      <w:r w:rsidRPr="00BD1319">
        <w:rPr>
          <w:spacing w:val="-3"/>
        </w:rPr>
        <w:t xml:space="preserve"> criterios </w:t>
      </w:r>
      <w:r w:rsidR="00710EA1" w:rsidRPr="00BD1319">
        <w:rPr>
          <w:spacing w:val="-3"/>
        </w:rPr>
        <w:t>de diversa índole</w:t>
      </w:r>
      <w:r w:rsidR="004F38F8" w:rsidRPr="00BD1319">
        <w:rPr>
          <w:spacing w:val="-3"/>
        </w:rPr>
        <w:t>,</w:t>
      </w:r>
      <w:r w:rsidR="00710EA1" w:rsidRPr="00BD1319">
        <w:rPr>
          <w:spacing w:val="-3"/>
        </w:rPr>
        <w:t xml:space="preserve"> tanto </w:t>
      </w:r>
      <w:r w:rsidRPr="00BD1319">
        <w:rPr>
          <w:spacing w:val="-3"/>
        </w:rPr>
        <w:t>cuantitativos</w:t>
      </w:r>
      <w:r w:rsidRPr="00BD1319">
        <w:rPr>
          <w:rFonts w:cs="Arial"/>
          <w:spacing w:val="-3"/>
        </w:rPr>
        <w:t xml:space="preserve"> </w:t>
      </w:r>
      <w:r w:rsidR="00710EA1" w:rsidRPr="00BD1319">
        <w:rPr>
          <w:rFonts w:cs="Arial"/>
          <w:spacing w:val="-3"/>
        </w:rPr>
        <w:t>como</w:t>
      </w:r>
      <w:r w:rsidRPr="00BD1319">
        <w:rPr>
          <w:spacing w:val="-3"/>
        </w:rPr>
        <w:t xml:space="preserve"> cualitativos</w:t>
      </w:r>
      <w:r w:rsidR="004F38F8" w:rsidRPr="00BD1319">
        <w:rPr>
          <w:spacing w:val="-3"/>
        </w:rPr>
        <w:t>,</w:t>
      </w:r>
      <w:r w:rsidRPr="00BD1319">
        <w:rPr>
          <w:spacing w:val="-3"/>
        </w:rPr>
        <w:t xml:space="preserve"> para la evaluación de </w:t>
      </w:r>
      <w:r w:rsidR="004F38F8" w:rsidRPr="00BD1319">
        <w:rPr>
          <w:spacing w:val="-3"/>
        </w:rPr>
        <w:t>tales alternativas</w:t>
      </w:r>
      <w:r w:rsidRPr="00BD1319">
        <w:rPr>
          <w:spacing w:val="-3"/>
        </w:rPr>
        <w:t>.</w:t>
      </w:r>
    </w:p>
    <w:p w14:paraId="0E6D47FF" w14:textId="77777777" w:rsidR="005D7203" w:rsidRPr="00BD1319" w:rsidRDefault="005D7203">
      <w:pPr>
        <w:numPr>
          <w:ilvl w:val="12"/>
          <w:numId w:val="0"/>
        </w:numPr>
        <w:tabs>
          <w:tab w:val="left" w:pos="-2268"/>
        </w:tabs>
        <w:suppressAutoHyphens/>
        <w:rPr>
          <w:spacing w:val="-3"/>
        </w:rPr>
      </w:pPr>
    </w:p>
    <w:p w14:paraId="116FBDCF" w14:textId="0E8515A6" w:rsidR="005D7203" w:rsidRPr="00BD1319" w:rsidRDefault="005D7203">
      <w:pPr>
        <w:numPr>
          <w:ilvl w:val="12"/>
          <w:numId w:val="0"/>
        </w:numPr>
        <w:tabs>
          <w:tab w:val="left" w:pos="-2268"/>
        </w:tabs>
        <w:suppressAutoHyphens/>
        <w:rPr>
          <w:spacing w:val="-3"/>
        </w:rPr>
      </w:pPr>
      <w:r w:rsidRPr="00BD1319">
        <w:rPr>
          <w:spacing w:val="-3"/>
        </w:rPr>
        <w:t xml:space="preserve">De esta forma, a partir de los criterios y de las reglas de evaluación que se establezcan para evaluar y comparar todas las alternativas, se debe presentar </w:t>
      </w:r>
      <w:r w:rsidR="000C7252" w:rsidRPr="00BD1319">
        <w:rPr>
          <w:spacing w:val="-3"/>
        </w:rPr>
        <w:t xml:space="preserve">y justificar </w:t>
      </w:r>
      <w:r w:rsidRPr="00BD1319">
        <w:rPr>
          <w:spacing w:val="-3"/>
        </w:rPr>
        <w:t xml:space="preserve">la o las </w:t>
      </w:r>
      <w:r w:rsidRPr="00BD1319">
        <w:rPr>
          <w:spacing w:val="-3"/>
        </w:rPr>
        <w:lastRenderedPageBreak/>
        <w:t xml:space="preserve">alternativas seleccionadas </w:t>
      </w:r>
      <w:r w:rsidR="000C7252" w:rsidRPr="00BD1319">
        <w:rPr>
          <w:spacing w:val="-3"/>
        </w:rPr>
        <w:t xml:space="preserve">sobre las que se plantea la elaboración del EIA </w:t>
      </w:r>
      <w:r w:rsidRPr="00BD1319">
        <w:rPr>
          <w:spacing w:val="-3"/>
        </w:rPr>
        <w:t>para la ejecución del proyecto, obra o actividad.</w:t>
      </w:r>
    </w:p>
    <w:p w14:paraId="74C32B68" w14:textId="77777777" w:rsidR="006D0970" w:rsidRPr="00BD1319" w:rsidRDefault="006D0970">
      <w:pPr>
        <w:numPr>
          <w:ilvl w:val="12"/>
          <w:numId w:val="0"/>
        </w:numPr>
        <w:tabs>
          <w:tab w:val="left" w:pos="-2268"/>
        </w:tabs>
        <w:suppressAutoHyphens/>
        <w:rPr>
          <w:spacing w:val="-3"/>
        </w:rPr>
      </w:pPr>
    </w:p>
    <w:p w14:paraId="28CB24F6" w14:textId="67D13069" w:rsidR="005D7203" w:rsidRPr="00BD1319" w:rsidRDefault="00830F0E" w:rsidP="0068149C">
      <w:pPr>
        <w:pStyle w:val="Ttulo2"/>
        <w:rPr>
          <w:lang w:val="es-CO"/>
        </w:rPr>
      </w:pPr>
      <w:bookmarkStart w:id="2363" w:name="_Toc437935998"/>
      <w:bookmarkStart w:id="2364" w:name="_Toc42779204"/>
      <w:bookmarkStart w:id="2365" w:name="_Toc175326723"/>
      <w:r w:rsidRPr="00BD1319">
        <w:rPr>
          <w:lang w:val="es-CO"/>
        </w:rPr>
        <w:t xml:space="preserve">GENERALIDADES DE LA </w:t>
      </w:r>
      <w:r w:rsidR="005D7203" w:rsidRPr="00BD1319">
        <w:rPr>
          <w:lang w:val="es-CO"/>
        </w:rPr>
        <w:t>EVALUACIÓN MULTICRITERIO</w:t>
      </w:r>
      <w:bookmarkEnd w:id="2363"/>
      <w:bookmarkEnd w:id="2364"/>
      <w:bookmarkEnd w:id="2365"/>
    </w:p>
    <w:p w14:paraId="1455C4B1" w14:textId="77777777" w:rsidR="005D7203" w:rsidRPr="00BD1319" w:rsidRDefault="005D7203">
      <w:pPr>
        <w:numPr>
          <w:ilvl w:val="12"/>
          <w:numId w:val="0"/>
        </w:numPr>
        <w:tabs>
          <w:tab w:val="left" w:pos="-2268"/>
        </w:tabs>
        <w:suppressAutoHyphens/>
        <w:rPr>
          <w:spacing w:val="-3"/>
        </w:rPr>
      </w:pPr>
    </w:p>
    <w:p w14:paraId="615A208B" w14:textId="284FCB69" w:rsidR="006A1304" w:rsidRPr="00BD1319" w:rsidRDefault="005D7203" w:rsidP="006A1304">
      <w:pPr>
        <w:numPr>
          <w:ilvl w:val="12"/>
          <w:numId w:val="0"/>
        </w:numPr>
        <w:tabs>
          <w:tab w:val="left" w:pos="-2268"/>
        </w:tabs>
        <w:suppressAutoHyphens/>
        <w:rPr>
          <w:spacing w:val="-3"/>
        </w:rPr>
      </w:pPr>
      <w:r w:rsidRPr="00BD1319">
        <w:rPr>
          <w:spacing w:val="-3"/>
        </w:rPr>
        <w:t>A continuación</w:t>
      </w:r>
      <w:r w:rsidRPr="00BD1319">
        <w:rPr>
          <w:rFonts w:cs="Arial"/>
          <w:spacing w:val="-3"/>
        </w:rPr>
        <w:t>,</w:t>
      </w:r>
      <w:r w:rsidRPr="00BD1319">
        <w:rPr>
          <w:spacing w:val="-3"/>
        </w:rPr>
        <w:t xml:space="preserve"> se mencionan las características más importantes </w:t>
      </w:r>
      <w:r w:rsidR="00F247F7" w:rsidRPr="00BD1319">
        <w:rPr>
          <w:spacing w:val="-3"/>
        </w:rPr>
        <w:t xml:space="preserve">y los </w:t>
      </w:r>
      <w:r w:rsidRPr="00BD1319">
        <w:rPr>
          <w:spacing w:val="-3"/>
        </w:rPr>
        <w:t xml:space="preserve">objetivos </w:t>
      </w:r>
      <w:r w:rsidR="00F247F7" w:rsidRPr="00BD1319">
        <w:rPr>
          <w:spacing w:val="-3"/>
        </w:rPr>
        <w:t xml:space="preserve">de la EMC </w:t>
      </w:r>
      <w:r w:rsidRPr="00BD1319">
        <w:rPr>
          <w:spacing w:val="-3"/>
        </w:rPr>
        <w:t xml:space="preserve">en el marco del licenciamiento ambiental y </w:t>
      </w:r>
      <w:r w:rsidR="00F247F7" w:rsidRPr="00BD1319">
        <w:rPr>
          <w:spacing w:val="-3"/>
        </w:rPr>
        <w:t>s</w:t>
      </w:r>
      <w:r w:rsidR="006A1304" w:rsidRPr="00BD1319">
        <w:rPr>
          <w:spacing w:val="-3"/>
        </w:rPr>
        <w:t>e establecen lineamientos para orientar tanto la elección del método más apropiado según el caso particular que se esté considerando, como el desarrollo de la EMC.</w:t>
      </w:r>
    </w:p>
    <w:p w14:paraId="547B286A" w14:textId="77777777" w:rsidR="006A1304" w:rsidRPr="00BD1319" w:rsidRDefault="006A1304">
      <w:pPr>
        <w:numPr>
          <w:ilvl w:val="12"/>
          <w:numId w:val="0"/>
        </w:numPr>
        <w:tabs>
          <w:tab w:val="left" w:pos="-2268"/>
        </w:tabs>
        <w:suppressAutoHyphens/>
        <w:rPr>
          <w:spacing w:val="-3"/>
        </w:rPr>
      </w:pPr>
    </w:p>
    <w:p w14:paraId="7A8B4100" w14:textId="77777777" w:rsidR="00F15672" w:rsidRPr="00BD1319" w:rsidRDefault="00F15672" w:rsidP="00F15672">
      <w:pPr>
        <w:numPr>
          <w:ilvl w:val="12"/>
          <w:numId w:val="0"/>
        </w:numPr>
        <w:tabs>
          <w:tab w:val="left" w:pos="-2268"/>
        </w:tabs>
        <w:suppressAutoHyphens/>
        <w:rPr>
          <w:spacing w:val="-3"/>
        </w:rPr>
      </w:pPr>
      <w:r w:rsidRPr="00BD1319">
        <w:rPr>
          <w:spacing w:val="-3"/>
        </w:rPr>
        <w:t>La Evaluación Multi Criterio (EMC) corresponde a un conjunto de métodos cuyo propósito es gestionar de forma consistente, las dificultades que surgen de los procesos de toma de decisión cuando hay grandes cantidades de información compleja (DCLG, 2009) y permiten entre otras posibilidades en el marco de los DAA, identificar la mejor alternativa, clasificar y calificar las alternativas según su desempeño ambiental, priorizar las alternativas para realizar evaluaciones posteriores más detalladas, o distinguir las alternativas aceptables de las no aceptables.</w:t>
      </w:r>
    </w:p>
    <w:p w14:paraId="4B499389" w14:textId="77777777" w:rsidR="00F15672" w:rsidRPr="00BD1319" w:rsidRDefault="00F15672" w:rsidP="00F15672">
      <w:pPr>
        <w:numPr>
          <w:ilvl w:val="12"/>
          <w:numId w:val="0"/>
        </w:numPr>
        <w:tabs>
          <w:tab w:val="left" w:pos="-2268"/>
        </w:tabs>
        <w:suppressAutoHyphens/>
        <w:rPr>
          <w:spacing w:val="-3"/>
        </w:rPr>
      </w:pPr>
    </w:p>
    <w:p w14:paraId="60ADD665" w14:textId="0A36CCAB" w:rsidR="00F15672" w:rsidRPr="00BD1319" w:rsidRDefault="00F15672" w:rsidP="00F15672">
      <w:pPr>
        <w:numPr>
          <w:ilvl w:val="12"/>
          <w:numId w:val="0"/>
        </w:numPr>
        <w:tabs>
          <w:tab w:val="left" w:pos="-2268"/>
        </w:tabs>
        <w:suppressAutoHyphens/>
        <w:rPr>
          <w:spacing w:val="-3"/>
        </w:rPr>
      </w:pPr>
      <w:r w:rsidRPr="00BD1319">
        <w:rPr>
          <w:spacing w:val="-3"/>
        </w:rPr>
        <w:t>Básicamente, estos métodos evalúan el desempeño de cada alternativa según un conjunto de criterios</w:t>
      </w:r>
      <w:r w:rsidRPr="00BD1319">
        <w:rPr>
          <w:rStyle w:val="Refdenotaalpie"/>
          <w:rFonts w:cs="Arial"/>
          <w:spacing w:val="-3"/>
          <w:lang w:val="es-CO"/>
        </w:rPr>
        <w:footnoteReference w:id="57"/>
      </w:r>
      <w:r w:rsidRPr="00BD1319">
        <w:rPr>
          <w:spacing w:val="-3"/>
        </w:rPr>
        <w:t xml:space="preserve">, y luego integran dichas evaluaciones a fin de brindar una visión global del problema objeto de decisión; en términos generales, lo que diferencia cada uno de los métodos de EMC es la forma en que agregan las evaluaciones de desempeño y en cómo a partir de ello establecen relaciones entre las alternativas </w:t>
      </w:r>
      <w:bookmarkStart w:id="2366" w:name="_Hlk122502694"/>
      <w:r w:rsidRPr="00BD1319">
        <w:rPr>
          <w:spacing w:val="-3"/>
        </w:rPr>
        <w:t>(</w:t>
      </w:r>
      <w:proofErr w:type="spellStart"/>
      <w:r w:rsidRPr="00BD1319">
        <w:rPr>
          <w:spacing w:val="-3"/>
        </w:rPr>
        <w:t>Guitouni</w:t>
      </w:r>
      <w:proofErr w:type="spellEnd"/>
      <w:r w:rsidRPr="00BD1319">
        <w:rPr>
          <w:spacing w:val="-3"/>
        </w:rPr>
        <w:t xml:space="preserve"> &amp; Martel, 1998; </w:t>
      </w:r>
      <w:proofErr w:type="spellStart"/>
      <w:r w:rsidRPr="00BD1319">
        <w:rPr>
          <w:spacing w:val="-3"/>
        </w:rPr>
        <w:t>Munda</w:t>
      </w:r>
      <w:proofErr w:type="spellEnd"/>
      <w:r w:rsidRPr="00BD1319">
        <w:rPr>
          <w:spacing w:val="-3"/>
        </w:rPr>
        <w:t>, 2008; DCLG, 2009)</w:t>
      </w:r>
      <w:bookmarkEnd w:id="2366"/>
      <w:r w:rsidRPr="00BD1319">
        <w:rPr>
          <w:spacing w:val="-3"/>
        </w:rPr>
        <w:t>. A pesar de que la EMC tiene grandes ventajas como la capacidad de incorporar información cuantitativa y cualitativa en el mismo proceso y permite tomar decisiones racionales (</w:t>
      </w:r>
      <w:proofErr w:type="spellStart"/>
      <w:r w:rsidRPr="00BD1319">
        <w:rPr>
          <w:spacing w:val="-3"/>
        </w:rPr>
        <w:t>Guitouni</w:t>
      </w:r>
      <w:proofErr w:type="spellEnd"/>
      <w:r w:rsidRPr="00BD1319">
        <w:rPr>
          <w:spacing w:val="-3"/>
        </w:rPr>
        <w:t xml:space="preserve"> &amp; Martel, 1998; Eastman, 2005), es preciso tener en cuenta su naturaleza y limitantes para emplearla correctamente y llegar a conclusiones argumentadas sólida y transparentemente.</w:t>
      </w:r>
    </w:p>
    <w:p w14:paraId="0806C28D" w14:textId="77777777" w:rsidR="00F15672" w:rsidRPr="00BD1319" w:rsidRDefault="00F15672" w:rsidP="00F15672">
      <w:pPr>
        <w:numPr>
          <w:ilvl w:val="12"/>
          <w:numId w:val="0"/>
        </w:numPr>
        <w:tabs>
          <w:tab w:val="left" w:pos="-2268"/>
        </w:tabs>
        <w:suppressAutoHyphens/>
        <w:rPr>
          <w:spacing w:val="-3"/>
        </w:rPr>
      </w:pPr>
    </w:p>
    <w:p w14:paraId="0662573E" w14:textId="77777777" w:rsidR="00F15672" w:rsidRPr="00BD1319" w:rsidRDefault="00F15672" w:rsidP="00F15672">
      <w:pPr>
        <w:numPr>
          <w:ilvl w:val="12"/>
          <w:numId w:val="0"/>
        </w:numPr>
        <w:tabs>
          <w:tab w:val="left" w:pos="-2268"/>
        </w:tabs>
        <w:suppressAutoHyphens/>
        <w:rPr>
          <w:spacing w:val="-3"/>
        </w:rPr>
      </w:pPr>
      <w:r w:rsidRPr="00BD1319">
        <w:rPr>
          <w:spacing w:val="-3"/>
        </w:rPr>
        <w:t>Dentro de tales condiciones inherentes de la EMC, se encuentran las siguientes:</w:t>
      </w:r>
    </w:p>
    <w:p w14:paraId="05B9ABF6" w14:textId="77777777" w:rsidR="00F15672" w:rsidRPr="00BD1319" w:rsidRDefault="00F15672" w:rsidP="00F15672">
      <w:pPr>
        <w:numPr>
          <w:ilvl w:val="12"/>
          <w:numId w:val="0"/>
        </w:numPr>
        <w:tabs>
          <w:tab w:val="left" w:pos="-2268"/>
        </w:tabs>
        <w:suppressAutoHyphens/>
        <w:rPr>
          <w:spacing w:val="-3"/>
        </w:rPr>
      </w:pPr>
    </w:p>
    <w:p w14:paraId="3F06A5F4" w14:textId="53E180B8" w:rsidR="00F15672" w:rsidRPr="00BD1319" w:rsidRDefault="00F15672" w:rsidP="00BC06DA">
      <w:pPr>
        <w:numPr>
          <w:ilvl w:val="0"/>
          <w:numId w:val="652"/>
        </w:numPr>
        <w:tabs>
          <w:tab w:val="left" w:pos="-2268"/>
        </w:tabs>
        <w:suppressAutoHyphens/>
        <w:ind w:left="567" w:hanging="567"/>
        <w:rPr>
          <w:spacing w:val="-3"/>
        </w:rPr>
      </w:pPr>
      <w:r w:rsidRPr="00BD1319">
        <w:rPr>
          <w:spacing w:val="-3"/>
        </w:rPr>
        <w:t>No es un método exento de subjetividad. Todos los métodos de EMC en mayor o menor grado incorporan dentro de sus procedimientos los juicios de las personas que están desarrollando la evaluación (</w:t>
      </w:r>
      <w:proofErr w:type="spellStart"/>
      <w:r w:rsidRPr="00BD1319">
        <w:rPr>
          <w:spacing w:val="-3"/>
        </w:rPr>
        <w:t>Guitouni</w:t>
      </w:r>
      <w:proofErr w:type="spellEnd"/>
      <w:r w:rsidRPr="00BD1319">
        <w:rPr>
          <w:spacing w:val="-3"/>
        </w:rPr>
        <w:t xml:space="preserve"> &amp; Martel, 1998; </w:t>
      </w:r>
      <w:proofErr w:type="spellStart"/>
      <w:r w:rsidRPr="00BD1319">
        <w:rPr>
          <w:spacing w:val="-3"/>
        </w:rPr>
        <w:t>Munda</w:t>
      </w:r>
      <w:proofErr w:type="spellEnd"/>
      <w:r w:rsidRPr="00BD1319">
        <w:rPr>
          <w:spacing w:val="-3"/>
        </w:rPr>
        <w:t>, 2008)</w:t>
      </w:r>
      <w:r w:rsidR="00BC06DA" w:rsidRPr="00BD1319">
        <w:rPr>
          <w:spacing w:val="-3"/>
        </w:rPr>
        <w:t>.</w:t>
      </w:r>
    </w:p>
    <w:p w14:paraId="61F49924" w14:textId="77777777" w:rsidR="00BC06DA" w:rsidRPr="00BD1319" w:rsidRDefault="00BC06DA" w:rsidP="000D468E">
      <w:pPr>
        <w:tabs>
          <w:tab w:val="left" w:pos="-2268"/>
        </w:tabs>
        <w:suppressAutoHyphens/>
        <w:rPr>
          <w:spacing w:val="-3"/>
        </w:rPr>
      </w:pPr>
    </w:p>
    <w:p w14:paraId="7D195435" w14:textId="77777777" w:rsidR="00F15672" w:rsidRPr="00BD1319" w:rsidRDefault="00F15672" w:rsidP="00BC06DA">
      <w:pPr>
        <w:numPr>
          <w:ilvl w:val="0"/>
          <w:numId w:val="652"/>
        </w:numPr>
        <w:tabs>
          <w:tab w:val="left" w:pos="-2268"/>
        </w:tabs>
        <w:suppressAutoHyphens/>
        <w:ind w:left="567" w:hanging="567"/>
        <w:rPr>
          <w:spacing w:val="-3"/>
        </w:rPr>
      </w:pPr>
      <w:r w:rsidRPr="00BD1319">
        <w:rPr>
          <w:spacing w:val="-3"/>
        </w:rPr>
        <w:t>No existe una alternativa ideal que demuestre el mejor desempeño para todos los criterios a la vez. El propósito de la EMC es encontrar una decisión que satisfaga al tomador de decisión (</w:t>
      </w:r>
      <w:proofErr w:type="spellStart"/>
      <w:r w:rsidRPr="00BD1319">
        <w:rPr>
          <w:spacing w:val="-3"/>
        </w:rPr>
        <w:t>Munda</w:t>
      </w:r>
      <w:proofErr w:type="spellEnd"/>
      <w:r w:rsidRPr="00BD1319">
        <w:rPr>
          <w:spacing w:val="-3"/>
        </w:rPr>
        <w:t xml:space="preserve">, 1995; </w:t>
      </w:r>
      <w:proofErr w:type="spellStart"/>
      <w:r w:rsidRPr="00BD1319">
        <w:rPr>
          <w:spacing w:val="-3"/>
        </w:rPr>
        <w:t>Guitouni</w:t>
      </w:r>
      <w:proofErr w:type="spellEnd"/>
      <w:r w:rsidRPr="00BD1319">
        <w:rPr>
          <w:spacing w:val="-3"/>
        </w:rPr>
        <w:t xml:space="preserve"> &amp; Martel, 1998).</w:t>
      </w:r>
    </w:p>
    <w:p w14:paraId="460C92EB" w14:textId="77777777" w:rsidR="00BC06DA" w:rsidRPr="00BD1319" w:rsidRDefault="00BC06DA" w:rsidP="000D468E">
      <w:pPr>
        <w:tabs>
          <w:tab w:val="left" w:pos="-2268"/>
        </w:tabs>
        <w:suppressAutoHyphens/>
        <w:rPr>
          <w:spacing w:val="-3"/>
        </w:rPr>
      </w:pPr>
    </w:p>
    <w:p w14:paraId="4FC07BE6" w14:textId="6C941D3F" w:rsidR="00F15672" w:rsidRPr="00BD1319" w:rsidRDefault="00F15672" w:rsidP="00BC06DA">
      <w:pPr>
        <w:numPr>
          <w:ilvl w:val="0"/>
          <w:numId w:val="652"/>
        </w:numPr>
        <w:tabs>
          <w:tab w:val="left" w:pos="-2268"/>
        </w:tabs>
        <w:suppressAutoHyphens/>
        <w:ind w:left="567" w:hanging="567"/>
        <w:rPr>
          <w:spacing w:val="-3"/>
        </w:rPr>
      </w:pPr>
      <w:r w:rsidRPr="00BD1319">
        <w:rPr>
          <w:spacing w:val="-3"/>
        </w:rPr>
        <w:t xml:space="preserve">La modelación o forma en que se presenta el problema </w:t>
      </w:r>
      <w:r w:rsidR="00EE2E72" w:rsidRPr="00BD1319">
        <w:rPr>
          <w:spacing w:val="-3"/>
        </w:rPr>
        <w:t xml:space="preserve">de decisión </w:t>
      </w:r>
      <w:r w:rsidRPr="00BD1319">
        <w:rPr>
          <w:spacing w:val="-3"/>
        </w:rPr>
        <w:t>afecta las preferencias de quien ejecuta la EMC (</w:t>
      </w:r>
      <w:proofErr w:type="spellStart"/>
      <w:r w:rsidRPr="00BD1319">
        <w:rPr>
          <w:spacing w:val="-3"/>
        </w:rPr>
        <w:t>Guitouni</w:t>
      </w:r>
      <w:proofErr w:type="spellEnd"/>
      <w:r w:rsidRPr="00BD1319">
        <w:rPr>
          <w:spacing w:val="-3"/>
        </w:rPr>
        <w:t xml:space="preserve"> &amp; Martel, 1998).</w:t>
      </w:r>
    </w:p>
    <w:p w14:paraId="50CA14CD" w14:textId="77777777" w:rsidR="00BC06DA" w:rsidRPr="00BD1319" w:rsidRDefault="00BC06DA" w:rsidP="000D468E">
      <w:pPr>
        <w:tabs>
          <w:tab w:val="left" w:pos="-2268"/>
        </w:tabs>
        <w:suppressAutoHyphens/>
        <w:rPr>
          <w:spacing w:val="-3"/>
        </w:rPr>
      </w:pPr>
    </w:p>
    <w:p w14:paraId="265E1021" w14:textId="77777777" w:rsidR="00F15672" w:rsidRPr="00BD1319" w:rsidRDefault="00F15672" w:rsidP="000D468E">
      <w:pPr>
        <w:numPr>
          <w:ilvl w:val="0"/>
          <w:numId w:val="652"/>
        </w:numPr>
        <w:tabs>
          <w:tab w:val="left" w:pos="-2268"/>
        </w:tabs>
        <w:suppressAutoHyphens/>
        <w:ind w:left="567" w:hanging="567"/>
        <w:rPr>
          <w:spacing w:val="-3"/>
        </w:rPr>
      </w:pPr>
      <w:r w:rsidRPr="00BD1319">
        <w:rPr>
          <w:spacing w:val="-3"/>
        </w:rPr>
        <w:t>Constituye una herramienta que mediante un proceso de aprendizaje iterativo facilita la toma de decisión. No es un algoritmo que identifique el óptimo global de una situación dada, es decir, la EMC no toma la decisión en sí misma; la decisión es de quien ejecuta la evaluación (</w:t>
      </w:r>
      <w:proofErr w:type="spellStart"/>
      <w:r w:rsidRPr="00BD1319">
        <w:rPr>
          <w:spacing w:val="-3"/>
        </w:rPr>
        <w:t>Munda</w:t>
      </w:r>
      <w:proofErr w:type="spellEnd"/>
      <w:r w:rsidRPr="00BD1319">
        <w:rPr>
          <w:spacing w:val="-3"/>
        </w:rPr>
        <w:t>, 2008; DCLG, 2009).</w:t>
      </w:r>
    </w:p>
    <w:p w14:paraId="019D9935" w14:textId="77777777" w:rsidR="00F15672" w:rsidRPr="00BD1319" w:rsidRDefault="00F15672" w:rsidP="00F15672">
      <w:pPr>
        <w:numPr>
          <w:ilvl w:val="12"/>
          <w:numId w:val="0"/>
        </w:numPr>
        <w:tabs>
          <w:tab w:val="left" w:pos="-2268"/>
        </w:tabs>
        <w:suppressAutoHyphens/>
        <w:rPr>
          <w:spacing w:val="-3"/>
        </w:rPr>
      </w:pPr>
    </w:p>
    <w:p w14:paraId="160B4A37" w14:textId="2E74CEB3" w:rsidR="00F15672" w:rsidRPr="00BD1319" w:rsidRDefault="00F15672" w:rsidP="00F15672">
      <w:pPr>
        <w:numPr>
          <w:ilvl w:val="12"/>
          <w:numId w:val="0"/>
        </w:numPr>
        <w:tabs>
          <w:tab w:val="left" w:pos="-2268"/>
        </w:tabs>
        <w:suppressAutoHyphens/>
        <w:rPr>
          <w:spacing w:val="-3"/>
        </w:rPr>
      </w:pPr>
      <w:r w:rsidRPr="00BD1319">
        <w:rPr>
          <w:spacing w:val="-3"/>
        </w:rPr>
        <w:t>Dadas estas características de la EMC, es fundamental tener en cuenta el contexto en el cual se desarrolla el proceso de toma de decisión. En el marco del licenciamiento ambiental la EMC tiene actores con roles y objetivos diferentes</w:t>
      </w:r>
      <w:r w:rsidR="00533AD7" w:rsidRPr="00BD1319">
        <w:rPr>
          <w:spacing w:val="-3"/>
        </w:rPr>
        <w:t>, así como</w:t>
      </w:r>
      <w:r w:rsidRPr="00BD1319">
        <w:rPr>
          <w:spacing w:val="-3"/>
        </w:rPr>
        <w:t xml:space="preserve"> el propósito particular de seleccionar la o las alternativas sobre las que se podría desarrollar el Estudio de Impacto Ambiental (EIA).</w:t>
      </w:r>
    </w:p>
    <w:p w14:paraId="4A2AF028" w14:textId="77777777" w:rsidR="00F15672" w:rsidRPr="00BD1319" w:rsidRDefault="00F15672" w:rsidP="00F15672">
      <w:pPr>
        <w:numPr>
          <w:ilvl w:val="12"/>
          <w:numId w:val="0"/>
        </w:numPr>
        <w:tabs>
          <w:tab w:val="left" w:pos="-2268"/>
        </w:tabs>
        <w:suppressAutoHyphens/>
        <w:rPr>
          <w:spacing w:val="-3"/>
        </w:rPr>
      </w:pPr>
    </w:p>
    <w:p w14:paraId="6C4BFB25" w14:textId="563BEF18" w:rsidR="00F15672" w:rsidRPr="00BD1319" w:rsidRDefault="00F15672" w:rsidP="00F15672">
      <w:pPr>
        <w:numPr>
          <w:ilvl w:val="12"/>
          <w:numId w:val="0"/>
        </w:numPr>
        <w:tabs>
          <w:tab w:val="left" w:pos="-2268"/>
        </w:tabs>
        <w:suppressAutoHyphens/>
        <w:rPr>
          <w:spacing w:val="-3"/>
        </w:rPr>
      </w:pPr>
      <w:r w:rsidRPr="00BD1319">
        <w:rPr>
          <w:spacing w:val="-3"/>
        </w:rPr>
        <w:t>Si bien el interesado en obtener una licencia ambiental desarrolla una EMC y elige alternativas, la autoridad ambiental competente es quien toma la decisión final evaluando el DAA y ejecutando, en caso de que así lo considere, otra EMC a partir de múltiples fuentes de información, entre ellas, el propio DAA. El público en general y l</w:t>
      </w:r>
      <w:r w:rsidR="00EE2E72" w:rsidRPr="00BD1319">
        <w:rPr>
          <w:spacing w:val="-3"/>
        </w:rPr>
        <w:t>o</w:t>
      </w:r>
      <w:r w:rsidRPr="00BD1319">
        <w:rPr>
          <w:spacing w:val="-3"/>
        </w:rPr>
        <w:t xml:space="preserve">s </w:t>
      </w:r>
      <w:r w:rsidR="00EE2E72" w:rsidRPr="00BD1319">
        <w:rPr>
          <w:spacing w:val="-3"/>
        </w:rPr>
        <w:t xml:space="preserve">grupos de interés </w:t>
      </w:r>
      <w:r w:rsidRPr="00BD1319">
        <w:rPr>
          <w:spacing w:val="-3"/>
        </w:rPr>
        <w:t>que podrían afectarse con el desarrollo de las alternativas también constituyen un actor relevante que puede nutrir y mejorar la calidad de la EMC al brindar información y conocimiento sobre las posibles implicaciones ambientales de las alternativas.</w:t>
      </w:r>
    </w:p>
    <w:p w14:paraId="39EE9D0C" w14:textId="77777777" w:rsidR="00F15672" w:rsidRPr="00BD1319" w:rsidRDefault="00F15672" w:rsidP="00F15672">
      <w:pPr>
        <w:numPr>
          <w:ilvl w:val="12"/>
          <w:numId w:val="0"/>
        </w:numPr>
        <w:tabs>
          <w:tab w:val="left" w:pos="-2268"/>
        </w:tabs>
        <w:suppressAutoHyphens/>
        <w:rPr>
          <w:spacing w:val="-3"/>
        </w:rPr>
      </w:pPr>
    </w:p>
    <w:p w14:paraId="120BB0B3" w14:textId="77777777" w:rsidR="00F15672" w:rsidRPr="00BD1319" w:rsidRDefault="00F15672" w:rsidP="00F15672">
      <w:pPr>
        <w:numPr>
          <w:ilvl w:val="12"/>
          <w:numId w:val="0"/>
        </w:numPr>
        <w:tabs>
          <w:tab w:val="left" w:pos="-2268"/>
        </w:tabs>
        <w:suppressAutoHyphens/>
        <w:rPr>
          <w:spacing w:val="-3"/>
        </w:rPr>
      </w:pPr>
      <w:r w:rsidRPr="00BD1319">
        <w:rPr>
          <w:spacing w:val="-3"/>
        </w:rPr>
        <w:t>Una cuestión muy importante respecto de la EMC en general es que la forma en que se plantea el problema afecta la evaluación de quien ejecuta la EMC sobre cada alternativa, es decir, las preferencias sobre las alternativas son muy sensibles a cambios aparentemente pequeños en la forma en que se formulan los problemas (</w:t>
      </w:r>
      <w:proofErr w:type="spellStart"/>
      <w:r w:rsidRPr="00BD1319">
        <w:rPr>
          <w:spacing w:val="-3"/>
        </w:rPr>
        <w:t>Guitouni</w:t>
      </w:r>
      <w:proofErr w:type="spellEnd"/>
      <w:r w:rsidRPr="00BD1319">
        <w:rPr>
          <w:spacing w:val="-3"/>
        </w:rPr>
        <w:t>, 1998). Por ello, es necesario estructurar el problema de decisión (alternativas, condiciones ambientales y posibles consecuencias) con la mayor transparencia y con la mejor información disponible en ese momento inicial del proceso del licenciamiento ambiental.</w:t>
      </w:r>
    </w:p>
    <w:p w14:paraId="6586869C" w14:textId="77777777" w:rsidR="00F15672" w:rsidRPr="00BD1319" w:rsidRDefault="00F15672" w:rsidP="00F15672">
      <w:pPr>
        <w:numPr>
          <w:ilvl w:val="12"/>
          <w:numId w:val="0"/>
        </w:numPr>
        <w:tabs>
          <w:tab w:val="left" w:pos="-2268"/>
        </w:tabs>
        <w:suppressAutoHyphens/>
        <w:rPr>
          <w:spacing w:val="-3"/>
        </w:rPr>
      </w:pPr>
    </w:p>
    <w:p w14:paraId="74E708BA" w14:textId="77777777" w:rsidR="00F15672" w:rsidRPr="00BD1319" w:rsidRDefault="00F15672" w:rsidP="008A4FE9">
      <w:pPr>
        <w:pStyle w:val="Ttulo2"/>
      </w:pPr>
      <w:bookmarkStart w:id="2367" w:name="_Toc175326724"/>
      <w:r w:rsidRPr="00BD1319">
        <w:rPr>
          <w:lang w:val="es-CO"/>
        </w:rPr>
        <w:t>PROCEDIMIENTO PARA SELECCIONAR EL MÉTODO DE EVALUACIÓN MULTICRITERIO MÁS APROPIADO AL DAA</w:t>
      </w:r>
      <w:bookmarkEnd w:id="2367"/>
    </w:p>
    <w:p w14:paraId="1A0F96A0" w14:textId="77777777" w:rsidR="00830F0E" w:rsidRPr="00BD1319" w:rsidRDefault="00830F0E" w:rsidP="00F15672">
      <w:pPr>
        <w:numPr>
          <w:ilvl w:val="12"/>
          <w:numId w:val="0"/>
        </w:numPr>
        <w:tabs>
          <w:tab w:val="left" w:pos="-2268"/>
        </w:tabs>
        <w:suppressAutoHyphens/>
        <w:rPr>
          <w:spacing w:val="-3"/>
        </w:rPr>
      </w:pPr>
    </w:p>
    <w:p w14:paraId="5BCCAFB7" w14:textId="25921BBF" w:rsidR="00F15672" w:rsidRPr="00BD1319" w:rsidRDefault="00F15672" w:rsidP="00F15672">
      <w:pPr>
        <w:numPr>
          <w:ilvl w:val="12"/>
          <w:numId w:val="0"/>
        </w:numPr>
        <w:tabs>
          <w:tab w:val="left" w:pos="-2268"/>
        </w:tabs>
        <w:suppressAutoHyphens/>
        <w:rPr>
          <w:spacing w:val="-3"/>
        </w:rPr>
      </w:pPr>
      <w:r w:rsidRPr="00BD1319">
        <w:rPr>
          <w:spacing w:val="-3"/>
        </w:rPr>
        <w:t xml:space="preserve">Dada la gran cantidad de métodos de EMC disponibles y la relativa complejidad </w:t>
      </w:r>
      <w:r w:rsidR="0050196A" w:rsidRPr="00BD1319">
        <w:rPr>
          <w:spacing w:val="-3"/>
        </w:rPr>
        <w:t>de ejecutarlos en esta instancia temprana del proceso de toma de decisión</w:t>
      </w:r>
      <w:r w:rsidRPr="00BD1319">
        <w:rPr>
          <w:spacing w:val="-3"/>
        </w:rPr>
        <w:t>, en el licenciamiento ambiental generalmente se emplean los más elementales y fáciles de aplicar; no obstante, es posible que tales métodos no siempre sean los más adecuados. Es importante seleccionar el método de EMC según la situación particular de decisión y no adaptar la situación de decisión a un método en particular, pues el método fija una particular forma de pensar que puede no resultar la mejor para seleccionar las alternativas (</w:t>
      </w:r>
      <w:proofErr w:type="spellStart"/>
      <w:r w:rsidRPr="00BD1319">
        <w:rPr>
          <w:spacing w:val="-3"/>
        </w:rPr>
        <w:t>Guitouni</w:t>
      </w:r>
      <w:proofErr w:type="spellEnd"/>
      <w:r w:rsidRPr="00BD1319">
        <w:rPr>
          <w:spacing w:val="-3"/>
        </w:rPr>
        <w:t>, 1998).</w:t>
      </w:r>
    </w:p>
    <w:p w14:paraId="567DD559" w14:textId="77777777" w:rsidR="00F15672" w:rsidRPr="00BD1319" w:rsidRDefault="00F15672" w:rsidP="00F15672">
      <w:pPr>
        <w:numPr>
          <w:ilvl w:val="12"/>
          <w:numId w:val="0"/>
        </w:numPr>
        <w:tabs>
          <w:tab w:val="left" w:pos="-2268"/>
        </w:tabs>
        <w:suppressAutoHyphens/>
        <w:rPr>
          <w:spacing w:val="-3"/>
        </w:rPr>
      </w:pPr>
    </w:p>
    <w:p w14:paraId="346E9751" w14:textId="752C25B7" w:rsidR="00F15672" w:rsidRPr="00BD1319" w:rsidRDefault="00F15672" w:rsidP="00F15672">
      <w:pPr>
        <w:numPr>
          <w:ilvl w:val="12"/>
          <w:numId w:val="0"/>
        </w:numPr>
        <w:tabs>
          <w:tab w:val="left" w:pos="-2268"/>
        </w:tabs>
        <w:suppressAutoHyphens/>
        <w:rPr>
          <w:spacing w:val="-3"/>
        </w:rPr>
      </w:pPr>
      <w:r w:rsidRPr="00BD1319">
        <w:rPr>
          <w:spacing w:val="-3"/>
        </w:rPr>
        <w:t>Por ello, con el fin de elegir el método más apropiado al caso particular de decisión, es necesario familiarizarse con los términos y características teóricas y técnicas más relevantes de los métodos discretos de la EMC</w:t>
      </w:r>
      <w:r w:rsidRPr="00BD1319">
        <w:rPr>
          <w:spacing w:val="-3"/>
          <w:vertAlign w:val="superscript"/>
        </w:rPr>
        <w:footnoteReference w:id="58"/>
      </w:r>
      <w:r w:rsidRPr="00BD1319">
        <w:rPr>
          <w:spacing w:val="-3"/>
        </w:rPr>
        <w:t xml:space="preserve">. A continuación, se mencionan algunos de los términos y características que deben tenerse en cuenta al momento de seleccionar y ejecutar una EMC en el marco del DAA; en la </w:t>
      </w:r>
      <w:r w:rsidR="00D0241B" w:rsidRPr="00BD1319">
        <w:rPr>
          <w:spacing w:val="-3"/>
        </w:rPr>
        <w:fldChar w:fldCharType="begin"/>
      </w:r>
      <w:r w:rsidR="00D0241B" w:rsidRPr="00BD1319">
        <w:rPr>
          <w:spacing w:val="-3"/>
        </w:rPr>
        <w:instrText xml:space="preserve"> REF _Ref138759265 \h  \* MERGEFORMAT </w:instrText>
      </w:r>
      <w:r w:rsidR="00D0241B" w:rsidRPr="00BD1319">
        <w:rPr>
          <w:spacing w:val="-3"/>
        </w:rPr>
      </w:r>
      <w:r w:rsidR="00D0241B" w:rsidRPr="00BD1319">
        <w:rPr>
          <w:spacing w:val="-3"/>
        </w:rPr>
        <w:fldChar w:fldCharType="separate"/>
      </w:r>
      <w:r w:rsidR="00296654" w:rsidRPr="00BD1319">
        <w:t>Tabla 15</w:t>
      </w:r>
      <w:r w:rsidR="00D0241B" w:rsidRPr="00BD1319">
        <w:rPr>
          <w:spacing w:val="-3"/>
        </w:rPr>
        <w:fldChar w:fldCharType="end"/>
      </w:r>
      <w:r w:rsidR="00D0241B" w:rsidRPr="00BD1319">
        <w:rPr>
          <w:spacing w:val="-3"/>
        </w:rPr>
        <w:t xml:space="preserve"> </w:t>
      </w:r>
      <w:r w:rsidRPr="00BD1319">
        <w:rPr>
          <w:spacing w:val="-3"/>
        </w:rPr>
        <w:t>se emplean tales términos y características para describir los métodos de EMC más importantes:</w:t>
      </w:r>
    </w:p>
    <w:p w14:paraId="11AFCC0E" w14:textId="77777777" w:rsidR="00F15672" w:rsidRPr="00BD1319" w:rsidRDefault="00F15672" w:rsidP="00F15672">
      <w:pPr>
        <w:numPr>
          <w:ilvl w:val="12"/>
          <w:numId w:val="0"/>
        </w:numPr>
        <w:tabs>
          <w:tab w:val="left" w:pos="-2268"/>
        </w:tabs>
        <w:suppressAutoHyphens/>
        <w:rPr>
          <w:spacing w:val="-3"/>
        </w:rPr>
      </w:pPr>
    </w:p>
    <w:p w14:paraId="2033EF75" w14:textId="229EA42E" w:rsidR="00F15672" w:rsidRPr="00BD1319" w:rsidRDefault="00F15672" w:rsidP="000D468E">
      <w:pPr>
        <w:numPr>
          <w:ilvl w:val="0"/>
          <w:numId w:val="651"/>
        </w:numPr>
        <w:tabs>
          <w:tab w:val="left" w:pos="-2268"/>
        </w:tabs>
        <w:suppressAutoHyphens/>
        <w:ind w:left="567" w:hanging="567"/>
        <w:rPr>
          <w:spacing w:val="-3"/>
        </w:rPr>
      </w:pPr>
      <w:r w:rsidRPr="00BD1319">
        <w:rPr>
          <w:b/>
          <w:bCs/>
          <w:spacing w:val="-3"/>
        </w:rPr>
        <w:t>Actores involucrados</w:t>
      </w:r>
      <w:r w:rsidRPr="00BD1319">
        <w:rPr>
          <w:spacing w:val="-3"/>
        </w:rPr>
        <w:t>. Los actores que interactúan en el proceso de licenciamiento ambiental, específicamente en la elaboración de los DAA corresponden fundamentalmente al elaborador del estudio ambiental, la autoridad ambiental competente, l</w:t>
      </w:r>
      <w:r w:rsidR="0050196A" w:rsidRPr="00BD1319">
        <w:rPr>
          <w:spacing w:val="-3"/>
        </w:rPr>
        <w:t xml:space="preserve">os grupos de interés </w:t>
      </w:r>
      <w:r w:rsidRPr="00BD1319">
        <w:rPr>
          <w:spacing w:val="-3"/>
        </w:rPr>
        <w:t>que podría</w:t>
      </w:r>
      <w:r w:rsidR="0050196A" w:rsidRPr="00BD1319">
        <w:rPr>
          <w:spacing w:val="-3"/>
        </w:rPr>
        <w:t>n</w:t>
      </w:r>
      <w:r w:rsidRPr="00BD1319">
        <w:rPr>
          <w:spacing w:val="-3"/>
        </w:rPr>
        <w:t xml:space="preserve"> verse afectad</w:t>
      </w:r>
      <w:r w:rsidR="0050196A" w:rsidRPr="00BD1319">
        <w:rPr>
          <w:spacing w:val="-3"/>
        </w:rPr>
        <w:t>os</w:t>
      </w:r>
      <w:r w:rsidRPr="00BD1319">
        <w:rPr>
          <w:spacing w:val="-3"/>
        </w:rPr>
        <w:t xml:space="preserve"> por las alternativas y a otros actores de relevancia como las autoridades en el área de estudio, los institutos de investigación y la academia.</w:t>
      </w:r>
    </w:p>
    <w:p w14:paraId="03762217" w14:textId="77777777" w:rsidR="00F15672" w:rsidRPr="00BD1319" w:rsidRDefault="00F15672" w:rsidP="00F15672">
      <w:pPr>
        <w:numPr>
          <w:ilvl w:val="12"/>
          <w:numId w:val="0"/>
        </w:numPr>
        <w:tabs>
          <w:tab w:val="left" w:pos="-2268"/>
        </w:tabs>
        <w:suppressAutoHyphens/>
        <w:rPr>
          <w:spacing w:val="-3"/>
        </w:rPr>
      </w:pPr>
    </w:p>
    <w:p w14:paraId="660683E0" w14:textId="1428B81E" w:rsidR="00F15672" w:rsidRPr="00BD1319" w:rsidRDefault="00F15672" w:rsidP="000D468E">
      <w:pPr>
        <w:numPr>
          <w:ilvl w:val="12"/>
          <w:numId w:val="0"/>
        </w:numPr>
        <w:tabs>
          <w:tab w:val="left" w:pos="-2268"/>
        </w:tabs>
        <w:suppressAutoHyphens/>
        <w:ind w:left="567"/>
        <w:rPr>
          <w:spacing w:val="-3"/>
        </w:rPr>
      </w:pPr>
      <w:r w:rsidRPr="00BD1319">
        <w:rPr>
          <w:spacing w:val="-3"/>
        </w:rPr>
        <w:t>Para desarrollar</w:t>
      </w:r>
      <w:r w:rsidR="0050196A" w:rsidRPr="00BD1319">
        <w:rPr>
          <w:spacing w:val="-3"/>
        </w:rPr>
        <w:t xml:space="preserve"> la</w:t>
      </w:r>
      <w:r w:rsidRPr="00BD1319">
        <w:rPr>
          <w:spacing w:val="-3"/>
        </w:rPr>
        <w:t xml:space="preserve"> EMC es necesario no sólo determinar cuáles son los actores involucrados en cada caso particular de evaluación, sino también, conocer sus propuestas e inquietudes siguiendo los lineamientos de participación establecidos en el numeral </w:t>
      </w:r>
      <w:r w:rsidR="0050196A" w:rsidRPr="00BD1319">
        <w:rPr>
          <w:spacing w:val="-3"/>
        </w:rPr>
        <w:fldChar w:fldCharType="begin"/>
      </w:r>
      <w:r w:rsidR="0050196A" w:rsidRPr="00BD1319">
        <w:rPr>
          <w:spacing w:val="-3"/>
        </w:rPr>
        <w:instrText xml:space="preserve"> REF _Ref146530329 \r \h </w:instrText>
      </w:r>
      <w:r w:rsidR="00BD1319">
        <w:rPr>
          <w:spacing w:val="-3"/>
        </w:rPr>
        <w:instrText xml:space="preserve"> \* MERGEFORMAT </w:instrText>
      </w:r>
      <w:r w:rsidR="0050196A" w:rsidRPr="00BD1319">
        <w:rPr>
          <w:spacing w:val="-3"/>
        </w:rPr>
      </w:r>
      <w:r w:rsidR="0050196A" w:rsidRPr="00BD1319">
        <w:rPr>
          <w:spacing w:val="-3"/>
        </w:rPr>
        <w:fldChar w:fldCharType="separate"/>
      </w:r>
      <w:r w:rsidR="00296654" w:rsidRPr="00BD1319">
        <w:rPr>
          <w:spacing w:val="-3"/>
        </w:rPr>
        <w:t>3</w:t>
      </w:r>
      <w:r w:rsidR="0050196A" w:rsidRPr="00BD1319">
        <w:rPr>
          <w:spacing w:val="-3"/>
        </w:rPr>
        <w:fldChar w:fldCharType="end"/>
      </w:r>
      <w:r w:rsidRPr="00BD1319">
        <w:rPr>
          <w:spacing w:val="-3"/>
        </w:rPr>
        <w:t xml:space="preserve"> de este capítulo, dado que los aportes que surgen de este proceso permiten evidenciar otros puntos de vista y mejorar la calidad de la información que empleará la EMC.</w:t>
      </w:r>
    </w:p>
    <w:p w14:paraId="22FE1912" w14:textId="77777777" w:rsidR="00F15672" w:rsidRPr="00BD1319" w:rsidRDefault="00F15672" w:rsidP="00F15672">
      <w:pPr>
        <w:numPr>
          <w:ilvl w:val="12"/>
          <w:numId w:val="0"/>
        </w:numPr>
        <w:tabs>
          <w:tab w:val="left" w:pos="-2268"/>
        </w:tabs>
        <w:suppressAutoHyphens/>
        <w:rPr>
          <w:spacing w:val="-3"/>
        </w:rPr>
      </w:pPr>
    </w:p>
    <w:p w14:paraId="09148236" w14:textId="43ECE604" w:rsidR="00F15672" w:rsidRPr="00BD1319" w:rsidRDefault="00F15672" w:rsidP="00830F0E">
      <w:pPr>
        <w:numPr>
          <w:ilvl w:val="0"/>
          <w:numId w:val="651"/>
        </w:numPr>
        <w:tabs>
          <w:tab w:val="left" w:pos="-2268"/>
        </w:tabs>
        <w:suppressAutoHyphens/>
        <w:ind w:left="567" w:hanging="567"/>
        <w:rPr>
          <w:spacing w:val="-3"/>
        </w:rPr>
      </w:pPr>
      <w:r w:rsidRPr="00BD1319">
        <w:rPr>
          <w:b/>
          <w:bCs/>
          <w:spacing w:val="-3"/>
        </w:rPr>
        <w:t>Matriz de evaluación</w:t>
      </w:r>
      <w:r w:rsidRPr="00BD1319">
        <w:rPr>
          <w:spacing w:val="-3"/>
        </w:rPr>
        <w:t>. Una característica estándar que es común a todos los métodos de EMC es la Matriz de evaluación, también conocida como Matriz desempeño o Matriz de impacto (</w:t>
      </w:r>
      <w:proofErr w:type="spellStart"/>
      <w:r w:rsidRPr="00BD1319">
        <w:rPr>
          <w:spacing w:val="-3"/>
        </w:rPr>
        <w:t>Guitouni</w:t>
      </w:r>
      <w:proofErr w:type="spellEnd"/>
      <w:r w:rsidRPr="00BD1319">
        <w:rPr>
          <w:spacing w:val="-3"/>
        </w:rPr>
        <w:t xml:space="preserve"> &amp; Martel, 1998; </w:t>
      </w:r>
      <w:proofErr w:type="spellStart"/>
      <w:r w:rsidRPr="00BD1319">
        <w:rPr>
          <w:spacing w:val="-3"/>
        </w:rPr>
        <w:t>Munda</w:t>
      </w:r>
      <w:proofErr w:type="spellEnd"/>
      <w:r w:rsidRPr="00BD1319">
        <w:rPr>
          <w:spacing w:val="-3"/>
        </w:rPr>
        <w:t xml:space="preserve">, 2008; DCLG, </w:t>
      </w:r>
      <w:r w:rsidRPr="00BD1319">
        <w:rPr>
          <w:spacing w:val="-3"/>
        </w:rPr>
        <w:lastRenderedPageBreak/>
        <w:t xml:space="preserve">2009). Esta es una matriz en la cual se disponen las alternativas (generalmente en las columnas) y los criterios de evaluación (generalmente en las filas), de forma que es posible asignar en cada celda, la preferencia o evaluación del desempeño de las alternativas para cada criterio (ver </w:t>
      </w:r>
      <w:r w:rsidRPr="00BD1319">
        <w:rPr>
          <w:spacing w:val="-3"/>
        </w:rPr>
        <w:fldChar w:fldCharType="begin"/>
      </w:r>
      <w:r w:rsidRPr="00BD1319">
        <w:rPr>
          <w:spacing w:val="-3"/>
        </w:rPr>
        <w:instrText xml:space="preserve"> REF _Ref121128187 \h  \* MERGEFORMAT </w:instrText>
      </w:r>
      <w:r w:rsidRPr="00BD1319">
        <w:rPr>
          <w:spacing w:val="-3"/>
        </w:rPr>
      </w:r>
      <w:r w:rsidRPr="00BD1319">
        <w:rPr>
          <w:spacing w:val="-3"/>
        </w:rPr>
        <w:fldChar w:fldCharType="separate"/>
      </w:r>
      <w:r w:rsidR="00296654" w:rsidRPr="00BD1319">
        <w:rPr>
          <w:spacing w:val="-3"/>
        </w:rPr>
        <w:t>Tabla 14</w:t>
      </w:r>
      <w:r w:rsidRPr="00BD1319">
        <w:rPr>
          <w:spacing w:val="-3"/>
        </w:rPr>
        <w:fldChar w:fldCharType="end"/>
      </w:r>
      <w:r w:rsidRPr="00BD1319">
        <w:rPr>
          <w:spacing w:val="-3"/>
        </w:rPr>
        <w:t>).</w:t>
      </w:r>
    </w:p>
    <w:p w14:paraId="72D40DB5" w14:textId="77777777" w:rsidR="00F15672" w:rsidRPr="00BD1319" w:rsidRDefault="00F15672" w:rsidP="00F15672">
      <w:pPr>
        <w:numPr>
          <w:ilvl w:val="12"/>
          <w:numId w:val="0"/>
        </w:numPr>
        <w:tabs>
          <w:tab w:val="left" w:pos="-2268"/>
        </w:tabs>
        <w:suppressAutoHyphens/>
        <w:rPr>
          <w:spacing w:val="-3"/>
        </w:rPr>
      </w:pPr>
    </w:p>
    <w:p w14:paraId="4C1ECC85" w14:textId="7E7DC807" w:rsidR="00F15672" w:rsidRPr="00BD1319" w:rsidRDefault="00F15672" w:rsidP="000D468E">
      <w:pPr>
        <w:numPr>
          <w:ilvl w:val="12"/>
          <w:numId w:val="0"/>
        </w:numPr>
        <w:tabs>
          <w:tab w:val="left" w:pos="-2268"/>
        </w:tabs>
        <w:suppressAutoHyphens/>
        <w:jc w:val="center"/>
        <w:rPr>
          <w:spacing w:val="-3"/>
        </w:rPr>
      </w:pPr>
      <w:bookmarkStart w:id="2368" w:name="_Ref121128187"/>
      <w:r w:rsidRPr="00BD1319">
        <w:rPr>
          <w:b/>
          <w:bCs/>
          <w:spacing w:val="-3"/>
        </w:rPr>
        <w:t xml:space="preserve">Tabla </w:t>
      </w:r>
      <w:r w:rsidRPr="00BD1319">
        <w:rPr>
          <w:b/>
          <w:bCs/>
          <w:spacing w:val="-3"/>
        </w:rPr>
        <w:fldChar w:fldCharType="begin"/>
      </w:r>
      <w:r w:rsidRPr="00BD1319">
        <w:rPr>
          <w:b/>
          <w:bCs/>
          <w:spacing w:val="-3"/>
        </w:rPr>
        <w:instrText xml:space="preserve"> SEQ Tabla \* ARABIC </w:instrText>
      </w:r>
      <w:r w:rsidRPr="00BD1319">
        <w:rPr>
          <w:b/>
          <w:bCs/>
          <w:spacing w:val="-3"/>
        </w:rPr>
        <w:fldChar w:fldCharType="separate"/>
      </w:r>
      <w:r w:rsidR="00296654" w:rsidRPr="00BD1319">
        <w:rPr>
          <w:b/>
          <w:bCs/>
          <w:noProof/>
          <w:spacing w:val="-3"/>
        </w:rPr>
        <w:t>14</w:t>
      </w:r>
      <w:r w:rsidRPr="00BD1319">
        <w:rPr>
          <w:spacing w:val="-3"/>
        </w:rPr>
        <w:fldChar w:fldCharType="end"/>
      </w:r>
      <w:bookmarkEnd w:id="2368"/>
      <w:r w:rsidRPr="00BD1319">
        <w:rPr>
          <w:b/>
          <w:bCs/>
          <w:spacing w:val="-3"/>
        </w:rPr>
        <w:t xml:space="preserve">. </w:t>
      </w:r>
      <w:r w:rsidRPr="00BD1319">
        <w:rPr>
          <w:spacing w:val="-3"/>
        </w:rPr>
        <w:t>Ejemplo de Matriz de evaluación de alternativas</w:t>
      </w:r>
    </w:p>
    <w:tbl>
      <w:tblPr>
        <w:tblStyle w:val="Tablaconcuadrcula"/>
        <w:tblW w:w="0" w:type="auto"/>
        <w:jc w:val="center"/>
        <w:tblLook w:val="04A0" w:firstRow="1" w:lastRow="0" w:firstColumn="1" w:lastColumn="0" w:noHBand="0" w:noVBand="1"/>
      </w:tblPr>
      <w:tblGrid>
        <w:gridCol w:w="1713"/>
        <w:gridCol w:w="1661"/>
        <w:gridCol w:w="1662"/>
        <w:gridCol w:w="1661"/>
        <w:gridCol w:w="1662"/>
      </w:tblGrid>
      <w:tr w:rsidR="00830F0E" w:rsidRPr="00BD1319" w14:paraId="1757F184" w14:textId="77777777" w:rsidTr="000D468E">
        <w:trPr>
          <w:jc w:val="center"/>
        </w:trPr>
        <w:tc>
          <w:tcPr>
            <w:tcW w:w="1713" w:type="dxa"/>
          </w:tcPr>
          <w:p w14:paraId="5498D638" w14:textId="77777777" w:rsidR="00F15672" w:rsidRPr="00BD1319" w:rsidRDefault="00F15672" w:rsidP="00F15672">
            <w:pPr>
              <w:numPr>
                <w:ilvl w:val="12"/>
                <w:numId w:val="0"/>
              </w:numPr>
              <w:tabs>
                <w:tab w:val="left" w:pos="-2268"/>
              </w:tabs>
              <w:suppressAutoHyphens/>
              <w:rPr>
                <w:b/>
                <w:bCs/>
                <w:spacing w:val="-3"/>
                <w:sz w:val="22"/>
                <w:szCs w:val="22"/>
              </w:rPr>
            </w:pPr>
          </w:p>
        </w:tc>
        <w:tc>
          <w:tcPr>
            <w:tcW w:w="1661" w:type="dxa"/>
          </w:tcPr>
          <w:p w14:paraId="065EFC43" w14:textId="77777777" w:rsidR="00F15672" w:rsidRPr="00BD1319" w:rsidRDefault="00F15672" w:rsidP="00F15672">
            <w:pPr>
              <w:numPr>
                <w:ilvl w:val="12"/>
                <w:numId w:val="0"/>
              </w:numPr>
              <w:tabs>
                <w:tab w:val="left" w:pos="-2268"/>
              </w:tabs>
              <w:suppressAutoHyphens/>
              <w:rPr>
                <w:b/>
                <w:bCs/>
                <w:spacing w:val="-3"/>
                <w:sz w:val="22"/>
                <w:szCs w:val="22"/>
              </w:rPr>
            </w:pPr>
            <w:r w:rsidRPr="00BD1319">
              <w:rPr>
                <w:b/>
                <w:bCs/>
                <w:spacing w:val="-3"/>
                <w:sz w:val="22"/>
                <w:szCs w:val="22"/>
              </w:rPr>
              <w:t>Alternativa 1</w:t>
            </w:r>
          </w:p>
        </w:tc>
        <w:tc>
          <w:tcPr>
            <w:tcW w:w="1662" w:type="dxa"/>
          </w:tcPr>
          <w:p w14:paraId="0500489F" w14:textId="77777777" w:rsidR="00F15672" w:rsidRPr="00BD1319" w:rsidRDefault="00F15672" w:rsidP="00F15672">
            <w:pPr>
              <w:numPr>
                <w:ilvl w:val="12"/>
                <w:numId w:val="0"/>
              </w:numPr>
              <w:tabs>
                <w:tab w:val="left" w:pos="-2268"/>
              </w:tabs>
              <w:suppressAutoHyphens/>
              <w:rPr>
                <w:b/>
                <w:bCs/>
                <w:spacing w:val="-3"/>
                <w:sz w:val="22"/>
                <w:szCs w:val="22"/>
              </w:rPr>
            </w:pPr>
            <w:r w:rsidRPr="00BD1319">
              <w:rPr>
                <w:b/>
                <w:bCs/>
                <w:spacing w:val="-3"/>
                <w:sz w:val="22"/>
                <w:szCs w:val="22"/>
              </w:rPr>
              <w:t>Alternativa 2</w:t>
            </w:r>
          </w:p>
        </w:tc>
        <w:tc>
          <w:tcPr>
            <w:tcW w:w="1661" w:type="dxa"/>
          </w:tcPr>
          <w:p w14:paraId="76EEAAAA" w14:textId="77777777" w:rsidR="00F15672" w:rsidRPr="00BD1319" w:rsidRDefault="00F15672" w:rsidP="00F15672">
            <w:pPr>
              <w:numPr>
                <w:ilvl w:val="12"/>
                <w:numId w:val="0"/>
              </w:numPr>
              <w:tabs>
                <w:tab w:val="left" w:pos="-2268"/>
              </w:tabs>
              <w:suppressAutoHyphens/>
              <w:rPr>
                <w:b/>
                <w:bCs/>
                <w:spacing w:val="-3"/>
                <w:sz w:val="22"/>
                <w:szCs w:val="22"/>
              </w:rPr>
            </w:pPr>
            <w:r w:rsidRPr="00BD1319">
              <w:rPr>
                <w:b/>
                <w:bCs/>
                <w:spacing w:val="-3"/>
                <w:sz w:val="22"/>
                <w:szCs w:val="22"/>
              </w:rPr>
              <w:t>Alternativa 3</w:t>
            </w:r>
          </w:p>
        </w:tc>
        <w:tc>
          <w:tcPr>
            <w:tcW w:w="1662" w:type="dxa"/>
          </w:tcPr>
          <w:p w14:paraId="3D1630B9" w14:textId="77777777" w:rsidR="00F15672" w:rsidRPr="00BD1319" w:rsidRDefault="00F15672" w:rsidP="00F15672">
            <w:pPr>
              <w:numPr>
                <w:ilvl w:val="12"/>
                <w:numId w:val="0"/>
              </w:numPr>
              <w:tabs>
                <w:tab w:val="left" w:pos="-2268"/>
              </w:tabs>
              <w:suppressAutoHyphens/>
              <w:rPr>
                <w:b/>
                <w:bCs/>
                <w:spacing w:val="-3"/>
                <w:sz w:val="22"/>
                <w:szCs w:val="22"/>
              </w:rPr>
            </w:pPr>
            <w:r w:rsidRPr="00BD1319">
              <w:rPr>
                <w:b/>
                <w:bCs/>
                <w:spacing w:val="-3"/>
                <w:sz w:val="22"/>
                <w:szCs w:val="22"/>
              </w:rPr>
              <w:t>Alternativa n</w:t>
            </w:r>
          </w:p>
        </w:tc>
      </w:tr>
      <w:tr w:rsidR="00830F0E" w:rsidRPr="00BD1319" w14:paraId="1A297047" w14:textId="77777777" w:rsidTr="000D468E">
        <w:trPr>
          <w:jc w:val="center"/>
        </w:trPr>
        <w:tc>
          <w:tcPr>
            <w:tcW w:w="1713" w:type="dxa"/>
          </w:tcPr>
          <w:p w14:paraId="23D9134C" w14:textId="77777777" w:rsidR="00F15672" w:rsidRPr="00BD1319" w:rsidRDefault="00F15672" w:rsidP="00F15672">
            <w:pPr>
              <w:numPr>
                <w:ilvl w:val="12"/>
                <w:numId w:val="0"/>
              </w:numPr>
              <w:tabs>
                <w:tab w:val="left" w:pos="-2268"/>
              </w:tabs>
              <w:suppressAutoHyphens/>
              <w:rPr>
                <w:b/>
                <w:bCs/>
                <w:spacing w:val="-3"/>
                <w:sz w:val="22"/>
                <w:szCs w:val="22"/>
              </w:rPr>
            </w:pPr>
            <w:r w:rsidRPr="00BD1319">
              <w:rPr>
                <w:b/>
                <w:bCs/>
                <w:spacing w:val="-3"/>
                <w:sz w:val="22"/>
                <w:szCs w:val="22"/>
              </w:rPr>
              <w:t>Criterio 1</w:t>
            </w:r>
          </w:p>
        </w:tc>
        <w:tc>
          <w:tcPr>
            <w:tcW w:w="1661" w:type="dxa"/>
          </w:tcPr>
          <w:p w14:paraId="59C602E1" w14:textId="77777777" w:rsidR="00F15672" w:rsidRPr="00BD1319" w:rsidRDefault="00F15672" w:rsidP="000D468E">
            <w:pPr>
              <w:numPr>
                <w:ilvl w:val="12"/>
                <w:numId w:val="0"/>
              </w:numPr>
              <w:tabs>
                <w:tab w:val="left" w:pos="-2268"/>
              </w:tabs>
              <w:suppressAutoHyphens/>
              <w:ind w:left="303"/>
              <w:rPr>
                <w:spacing w:val="-3"/>
                <w:sz w:val="22"/>
                <w:szCs w:val="22"/>
              </w:rPr>
            </w:pPr>
            <w:r w:rsidRPr="00BD1319">
              <w:rPr>
                <w:i/>
                <w:spacing w:val="-3"/>
                <w:sz w:val="22"/>
                <w:szCs w:val="22"/>
              </w:rPr>
              <w:t>E</w:t>
            </w:r>
            <w:r w:rsidRPr="00BD1319">
              <w:rPr>
                <w:spacing w:val="-3"/>
                <w:sz w:val="22"/>
                <w:szCs w:val="22"/>
              </w:rPr>
              <w:t xml:space="preserve"> A</w:t>
            </w:r>
            <w:r w:rsidRPr="00BD1319">
              <w:rPr>
                <w:spacing w:val="-3"/>
                <w:sz w:val="22"/>
                <w:szCs w:val="22"/>
                <w:vertAlign w:val="subscript"/>
              </w:rPr>
              <w:t>1</w:t>
            </w:r>
            <w:r w:rsidRPr="00BD1319">
              <w:rPr>
                <w:spacing w:val="-3"/>
                <w:sz w:val="22"/>
                <w:szCs w:val="22"/>
              </w:rPr>
              <w:t xml:space="preserve"> C</w:t>
            </w:r>
            <w:r w:rsidRPr="00BD1319">
              <w:rPr>
                <w:spacing w:val="-3"/>
                <w:sz w:val="22"/>
                <w:szCs w:val="22"/>
                <w:vertAlign w:val="subscript"/>
              </w:rPr>
              <w:t>1</w:t>
            </w:r>
          </w:p>
        </w:tc>
        <w:tc>
          <w:tcPr>
            <w:tcW w:w="1662" w:type="dxa"/>
          </w:tcPr>
          <w:p w14:paraId="1C695B64" w14:textId="77777777" w:rsidR="00F15672" w:rsidRPr="00BD1319" w:rsidRDefault="00F15672" w:rsidP="000D468E">
            <w:pPr>
              <w:numPr>
                <w:ilvl w:val="12"/>
                <w:numId w:val="0"/>
              </w:numPr>
              <w:tabs>
                <w:tab w:val="left" w:pos="-2268"/>
              </w:tabs>
              <w:suppressAutoHyphens/>
              <w:ind w:left="303"/>
              <w:rPr>
                <w:spacing w:val="-3"/>
                <w:sz w:val="22"/>
                <w:szCs w:val="22"/>
              </w:rPr>
            </w:pPr>
            <w:r w:rsidRPr="00BD1319">
              <w:rPr>
                <w:i/>
                <w:spacing w:val="-3"/>
                <w:sz w:val="22"/>
                <w:szCs w:val="22"/>
              </w:rPr>
              <w:t>E</w:t>
            </w:r>
            <w:r w:rsidRPr="00BD1319">
              <w:rPr>
                <w:spacing w:val="-3"/>
                <w:sz w:val="22"/>
                <w:szCs w:val="22"/>
              </w:rPr>
              <w:t xml:space="preserve"> A</w:t>
            </w:r>
            <w:r w:rsidRPr="00BD1319">
              <w:rPr>
                <w:spacing w:val="-3"/>
                <w:sz w:val="22"/>
                <w:szCs w:val="22"/>
                <w:vertAlign w:val="subscript"/>
              </w:rPr>
              <w:t>2</w:t>
            </w:r>
            <w:r w:rsidRPr="00BD1319">
              <w:rPr>
                <w:spacing w:val="-3"/>
                <w:sz w:val="22"/>
                <w:szCs w:val="22"/>
              </w:rPr>
              <w:t xml:space="preserve"> C</w:t>
            </w:r>
            <w:r w:rsidRPr="00BD1319">
              <w:rPr>
                <w:spacing w:val="-3"/>
                <w:sz w:val="22"/>
                <w:szCs w:val="22"/>
                <w:vertAlign w:val="subscript"/>
              </w:rPr>
              <w:t>1</w:t>
            </w:r>
          </w:p>
        </w:tc>
        <w:tc>
          <w:tcPr>
            <w:tcW w:w="1661" w:type="dxa"/>
          </w:tcPr>
          <w:p w14:paraId="10E3C327" w14:textId="77777777" w:rsidR="00F15672" w:rsidRPr="00BD1319" w:rsidRDefault="00F15672" w:rsidP="000D468E">
            <w:pPr>
              <w:numPr>
                <w:ilvl w:val="12"/>
                <w:numId w:val="0"/>
              </w:numPr>
              <w:tabs>
                <w:tab w:val="left" w:pos="-2268"/>
              </w:tabs>
              <w:suppressAutoHyphens/>
              <w:ind w:left="303"/>
              <w:rPr>
                <w:spacing w:val="-3"/>
                <w:sz w:val="22"/>
                <w:szCs w:val="22"/>
              </w:rPr>
            </w:pPr>
            <w:r w:rsidRPr="00BD1319">
              <w:rPr>
                <w:i/>
                <w:spacing w:val="-3"/>
                <w:sz w:val="22"/>
                <w:szCs w:val="22"/>
              </w:rPr>
              <w:t>E</w:t>
            </w:r>
            <w:r w:rsidRPr="00BD1319">
              <w:rPr>
                <w:spacing w:val="-3"/>
                <w:sz w:val="22"/>
                <w:szCs w:val="22"/>
              </w:rPr>
              <w:t xml:space="preserve"> A</w:t>
            </w:r>
            <w:r w:rsidRPr="00BD1319">
              <w:rPr>
                <w:spacing w:val="-3"/>
                <w:sz w:val="22"/>
                <w:szCs w:val="22"/>
                <w:vertAlign w:val="subscript"/>
              </w:rPr>
              <w:t>3</w:t>
            </w:r>
            <w:r w:rsidRPr="00BD1319">
              <w:rPr>
                <w:spacing w:val="-3"/>
                <w:sz w:val="22"/>
                <w:szCs w:val="22"/>
              </w:rPr>
              <w:t xml:space="preserve"> C</w:t>
            </w:r>
            <w:r w:rsidRPr="00BD1319">
              <w:rPr>
                <w:spacing w:val="-3"/>
                <w:sz w:val="22"/>
                <w:szCs w:val="22"/>
                <w:vertAlign w:val="subscript"/>
              </w:rPr>
              <w:t>1</w:t>
            </w:r>
          </w:p>
        </w:tc>
        <w:tc>
          <w:tcPr>
            <w:tcW w:w="1662" w:type="dxa"/>
          </w:tcPr>
          <w:p w14:paraId="0CC26F03" w14:textId="77777777" w:rsidR="00F15672" w:rsidRPr="00BD1319" w:rsidRDefault="00F15672" w:rsidP="000D468E">
            <w:pPr>
              <w:numPr>
                <w:ilvl w:val="12"/>
                <w:numId w:val="0"/>
              </w:numPr>
              <w:tabs>
                <w:tab w:val="left" w:pos="-2268"/>
              </w:tabs>
              <w:suppressAutoHyphens/>
              <w:ind w:left="303"/>
              <w:rPr>
                <w:spacing w:val="-3"/>
                <w:sz w:val="22"/>
                <w:szCs w:val="22"/>
              </w:rPr>
            </w:pPr>
            <w:r w:rsidRPr="00BD1319">
              <w:rPr>
                <w:i/>
                <w:spacing w:val="-3"/>
                <w:sz w:val="22"/>
                <w:szCs w:val="22"/>
              </w:rPr>
              <w:t>E</w:t>
            </w:r>
            <w:r w:rsidRPr="00BD1319">
              <w:rPr>
                <w:spacing w:val="-3"/>
                <w:sz w:val="22"/>
                <w:szCs w:val="22"/>
              </w:rPr>
              <w:t xml:space="preserve"> </w:t>
            </w:r>
            <w:proofErr w:type="spellStart"/>
            <w:r w:rsidRPr="00BD1319">
              <w:rPr>
                <w:spacing w:val="-3"/>
                <w:sz w:val="22"/>
                <w:szCs w:val="22"/>
              </w:rPr>
              <w:t>A</w:t>
            </w:r>
            <w:r w:rsidRPr="00BD1319">
              <w:rPr>
                <w:spacing w:val="-3"/>
                <w:sz w:val="22"/>
                <w:szCs w:val="22"/>
                <w:vertAlign w:val="subscript"/>
              </w:rPr>
              <w:t>n</w:t>
            </w:r>
            <w:proofErr w:type="spellEnd"/>
            <w:r w:rsidRPr="00BD1319">
              <w:rPr>
                <w:spacing w:val="-3"/>
                <w:sz w:val="22"/>
                <w:szCs w:val="22"/>
              </w:rPr>
              <w:t xml:space="preserve"> C</w:t>
            </w:r>
            <w:r w:rsidRPr="00BD1319">
              <w:rPr>
                <w:spacing w:val="-3"/>
                <w:sz w:val="22"/>
                <w:szCs w:val="22"/>
                <w:vertAlign w:val="subscript"/>
              </w:rPr>
              <w:t>1</w:t>
            </w:r>
          </w:p>
        </w:tc>
      </w:tr>
      <w:tr w:rsidR="00830F0E" w:rsidRPr="00BD1319" w14:paraId="02EDA442" w14:textId="77777777" w:rsidTr="000D468E">
        <w:trPr>
          <w:jc w:val="center"/>
        </w:trPr>
        <w:tc>
          <w:tcPr>
            <w:tcW w:w="1713" w:type="dxa"/>
          </w:tcPr>
          <w:p w14:paraId="42C51162" w14:textId="77777777" w:rsidR="00F15672" w:rsidRPr="00BD1319" w:rsidRDefault="00F15672" w:rsidP="00F15672">
            <w:pPr>
              <w:numPr>
                <w:ilvl w:val="12"/>
                <w:numId w:val="0"/>
              </w:numPr>
              <w:tabs>
                <w:tab w:val="left" w:pos="-2268"/>
              </w:tabs>
              <w:suppressAutoHyphens/>
              <w:rPr>
                <w:b/>
                <w:bCs/>
                <w:spacing w:val="-3"/>
                <w:sz w:val="22"/>
                <w:szCs w:val="22"/>
              </w:rPr>
            </w:pPr>
            <w:r w:rsidRPr="00BD1319">
              <w:rPr>
                <w:b/>
                <w:bCs/>
                <w:spacing w:val="-3"/>
                <w:sz w:val="22"/>
                <w:szCs w:val="22"/>
              </w:rPr>
              <w:t>Criterio 2</w:t>
            </w:r>
          </w:p>
        </w:tc>
        <w:tc>
          <w:tcPr>
            <w:tcW w:w="1661" w:type="dxa"/>
          </w:tcPr>
          <w:p w14:paraId="1D38C248" w14:textId="77777777" w:rsidR="00F15672" w:rsidRPr="00BD1319" w:rsidRDefault="00F15672" w:rsidP="000D468E">
            <w:pPr>
              <w:numPr>
                <w:ilvl w:val="12"/>
                <w:numId w:val="0"/>
              </w:numPr>
              <w:tabs>
                <w:tab w:val="left" w:pos="-2268"/>
              </w:tabs>
              <w:suppressAutoHyphens/>
              <w:ind w:left="303"/>
              <w:rPr>
                <w:spacing w:val="-3"/>
                <w:sz w:val="22"/>
                <w:szCs w:val="22"/>
              </w:rPr>
            </w:pPr>
            <w:r w:rsidRPr="00BD1319">
              <w:rPr>
                <w:i/>
                <w:spacing w:val="-3"/>
                <w:sz w:val="22"/>
                <w:szCs w:val="22"/>
              </w:rPr>
              <w:t>E</w:t>
            </w:r>
            <w:r w:rsidRPr="00BD1319">
              <w:rPr>
                <w:spacing w:val="-3"/>
                <w:sz w:val="22"/>
                <w:szCs w:val="22"/>
              </w:rPr>
              <w:t xml:space="preserve"> A</w:t>
            </w:r>
            <w:r w:rsidRPr="00BD1319">
              <w:rPr>
                <w:spacing w:val="-3"/>
                <w:sz w:val="22"/>
                <w:szCs w:val="22"/>
                <w:vertAlign w:val="subscript"/>
              </w:rPr>
              <w:t>1</w:t>
            </w:r>
            <w:r w:rsidRPr="00BD1319">
              <w:rPr>
                <w:spacing w:val="-3"/>
                <w:sz w:val="22"/>
                <w:szCs w:val="22"/>
              </w:rPr>
              <w:t xml:space="preserve"> C</w:t>
            </w:r>
            <w:r w:rsidRPr="00BD1319">
              <w:rPr>
                <w:spacing w:val="-3"/>
                <w:sz w:val="22"/>
                <w:szCs w:val="22"/>
                <w:vertAlign w:val="subscript"/>
              </w:rPr>
              <w:t>2</w:t>
            </w:r>
          </w:p>
        </w:tc>
        <w:tc>
          <w:tcPr>
            <w:tcW w:w="1662" w:type="dxa"/>
          </w:tcPr>
          <w:p w14:paraId="25820A4B" w14:textId="77777777" w:rsidR="00F15672" w:rsidRPr="00BD1319" w:rsidRDefault="00F15672" w:rsidP="000D468E">
            <w:pPr>
              <w:numPr>
                <w:ilvl w:val="12"/>
                <w:numId w:val="0"/>
              </w:numPr>
              <w:tabs>
                <w:tab w:val="left" w:pos="-2268"/>
              </w:tabs>
              <w:suppressAutoHyphens/>
              <w:ind w:left="303"/>
              <w:rPr>
                <w:spacing w:val="-3"/>
                <w:sz w:val="22"/>
                <w:szCs w:val="22"/>
              </w:rPr>
            </w:pPr>
            <w:r w:rsidRPr="00BD1319">
              <w:rPr>
                <w:i/>
                <w:spacing w:val="-3"/>
                <w:sz w:val="22"/>
                <w:szCs w:val="22"/>
              </w:rPr>
              <w:t>E</w:t>
            </w:r>
            <w:r w:rsidRPr="00BD1319">
              <w:rPr>
                <w:spacing w:val="-3"/>
                <w:sz w:val="22"/>
                <w:szCs w:val="22"/>
              </w:rPr>
              <w:t xml:space="preserve"> A</w:t>
            </w:r>
            <w:r w:rsidRPr="00BD1319">
              <w:rPr>
                <w:spacing w:val="-3"/>
                <w:sz w:val="22"/>
                <w:szCs w:val="22"/>
                <w:vertAlign w:val="subscript"/>
              </w:rPr>
              <w:t>2</w:t>
            </w:r>
            <w:r w:rsidRPr="00BD1319">
              <w:rPr>
                <w:spacing w:val="-3"/>
                <w:sz w:val="22"/>
                <w:szCs w:val="22"/>
              </w:rPr>
              <w:t xml:space="preserve"> C</w:t>
            </w:r>
            <w:r w:rsidRPr="00BD1319">
              <w:rPr>
                <w:spacing w:val="-3"/>
                <w:sz w:val="22"/>
                <w:szCs w:val="22"/>
                <w:vertAlign w:val="subscript"/>
              </w:rPr>
              <w:t>2</w:t>
            </w:r>
          </w:p>
        </w:tc>
        <w:tc>
          <w:tcPr>
            <w:tcW w:w="1661" w:type="dxa"/>
          </w:tcPr>
          <w:p w14:paraId="08D19353" w14:textId="77777777" w:rsidR="00F15672" w:rsidRPr="00BD1319" w:rsidRDefault="00F15672" w:rsidP="000D468E">
            <w:pPr>
              <w:numPr>
                <w:ilvl w:val="12"/>
                <w:numId w:val="0"/>
              </w:numPr>
              <w:tabs>
                <w:tab w:val="left" w:pos="-2268"/>
              </w:tabs>
              <w:suppressAutoHyphens/>
              <w:ind w:left="303"/>
              <w:rPr>
                <w:spacing w:val="-3"/>
                <w:sz w:val="22"/>
                <w:szCs w:val="22"/>
              </w:rPr>
            </w:pPr>
            <w:r w:rsidRPr="00BD1319">
              <w:rPr>
                <w:i/>
                <w:spacing w:val="-3"/>
                <w:sz w:val="22"/>
                <w:szCs w:val="22"/>
              </w:rPr>
              <w:t>E</w:t>
            </w:r>
            <w:r w:rsidRPr="00BD1319">
              <w:rPr>
                <w:spacing w:val="-3"/>
                <w:sz w:val="22"/>
                <w:szCs w:val="22"/>
              </w:rPr>
              <w:t xml:space="preserve"> A</w:t>
            </w:r>
            <w:r w:rsidRPr="00BD1319">
              <w:rPr>
                <w:spacing w:val="-3"/>
                <w:sz w:val="22"/>
                <w:szCs w:val="22"/>
                <w:vertAlign w:val="subscript"/>
              </w:rPr>
              <w:t>3</w:t>
            </w:r>
            <w:r w:rsidRPr="00BD1319">
              <w:rPr>
                <w:spacing w:val="-3"/>
                <w:sz w:val="22"/>
                <w:szCs w:val="22"/>
              </w:rPr>
              <w:t xml:space="preserve"> C</w:t>
            </w:r>
            <w:r w:rsidRPr="00BD1319">
              <w:rPr>
                <w:spacing w:val="-3"/>
                <w:sz w:val="22"/>
                <w:szCs w:val="22"/>
                <w:vertAlign w:val="subscript"/>
              </w:rPr>
              <w:t>2</w:t>
            </w:r>
          </w:p>
        </w:tc>
        <w:tc>
          <w:tcPr>
            <w:tcW w:w="1662" w:type="dxa"/>
          </w:tcPr>
          <w:p w14:paraId="6B0D93D8" w14:textId="77777777" w:rsidR="00F15672" w:rsidRPr="00BD1319" w:rsidRDefault="00F15672" w:rsidP="000D468E">
            <w:pPr>
              <w:numPr>
                <w:ilvl w:val="12"/>
                <w:numId w:val="0"/>
              </w:numPr>
              <w:tabs>
                <w:tab w:val="left" w:pos="-2268"/>
              </w:tabs>
              <w:suppressAutoHyphens/>
              <w:ind w:left="303"/>
              <w:rPr>
                <w:spacing w:val="-3"/>
                <w:sz w:val="22"/>
                <w:szCs w:val="22"/>
              </w:rPr>
            </w:pPr>
            <w:r w:rsidRPr="00BD1319">
              <w:rPr>
                <w:i/>
                <w:spacing w:val="-3"/>
                <w:sz w:val="22"/>
                <w:szCs w:val="22"/>
              </w:rPr>
              <w:t>E</w:t>
            </w:r>
            <w:r w:rsidRPr="00BD1319">
              <w:rPr>
                <w:spacing w:val="-3"/>
                <w:sz w:val="22"/>
                <w:szCs w:val="22"/>
              </w:rPr>
              <w:t xml:space="preserve"> </w:t>
            </w:r>
            <w:proofErr w:type="spellStart"/>
            <w:r w:rsidRPr="00BD1319">
              <w:rPr>
                <w:spacing w:val="-3"/>
                <w:sz w:val="22"/>
                <w:szCs w:val="22"/>
              </w:rPr>
              <w:t>A</w:t>
            </w:r>
            <w:r w:rsidRPr="00BD1319">
              <w:rPr>
                <w:spacing w:val="-3"/>
                <w:sz w:val="22"/>
                <w:szCs w:val="22"/>
                <w:vertAlign w:val="subscript"/>
              </w:rPr>
              <w:t>n</w:t>
            </w:r>
            <w:proofErr w:type="spellEnd"/>
            <w:r w:rsidRPr="00BD1319">
              <w:rPr>
                <w:spacing w:val="-3"/>
                <w:sz w:val="22"/>
                <w:szCs w:val="22"/>
              </w:rPr>
              <w:t xml:space="preserve"> C</w:t>
            </w:r>
            <w:r w:rsidRPr="00BD1319">
              <w:rPr>
                <w:spacing w:val="-3"/>
                <w:sz w:val="22"/>
                <w:szCs w:val="22"/>
                <w:vertAlign w:val="subscript"/>
              </w:rPr>
              <w:t>2</w:t>
            </w:r>
          </w:p>
        </w:tc>
      </w:tr>
      <w:tr w:rsidR="00830F0E" w:rsidRPr="00BD1319" w14:paraId="3A131284" w14:textId="77777777" w:rsidTr="000D468E">
        <w:trPr>
          <w:jc w:val="center"/>
        </w:trPr>
        <w:tc>
          <w:tcPr>
            <w:tcW w:w="1713" w:type="dxa"/>
          </w:tcPr>
          <w:p w14:paraId="71C322E8" w14:textId="77777777" w:rsidR="00F15672" w:rsidRPr="00BD1319" w:rsidRDefault="00F15672" w:rsidP="00F15672">
            <w:pPr>
              <w:numPr>
                <w:ilvl w:val="12"/>
                <w:numId w:val="0"/>
              </w:numPr>
              <w:tabs>
                <w:tab w:val="left" w:pos="-2268"/>
              </w:tabs>
              <w:suppressAutoHyphens/>
              <w:rPr>
                <w:b/>
                <w:bCs/>
                <w:spacing w:val="-3"/>
                <w:sz w:val="22"/>
                <w:szCs w:val="22"/>
              </w:rPr>
            </w:pPr>
            <w:r w:rsidRPr="00BD1319">
              <w:rPr>
                <w:b/>
                <w:bCs/>
                <w:spacing w:val="-3"/>
                <w:sz w:val="22"/>
                <w:szCs w:val="22"/>
              </w:rPr>
              <w:t>Criterio 3</w:t>
            </w:r>
          </w:p>
        </w:tc>
        <w:tc>
          <w:tcPr>
            <w:tcW w:w="1661" w:type="dxa"/>
          </w:tcPr>
          <w:p w14:paraId="661F218E" w14:textId="77777777" w:rsidR="00F15672" w:rsidRPr="00BD1319" w:rsidRDefault="00F15672" w:rsidP="000D468E">
            <w:pPr>
              <w:numPr>
                <w:ilvl w:val="12"/>
                <w:numId w:val="0"/>
              </w:numPr>
              <w:tabs>
                <w:tab w:val="left" w:pos="-2268"/>
              </w:tabs>
              <w:suppressAutoHyphens/>
              <w:ind w:left="303"/>
              <w:rPr>
                <w:spacing w:val="-3"/>
                <w:sz w:val="22"/>
                <w:szCs w:val="22"/>
              </w:rPr>
            </w:pPr>
            <w:r w:rsidRPr="00BD1319">
              <w:rPr>
                <w:i/>
                <w:spacing w:val="-3"/>
                <w:sz w:val="22"/>
                <w:szCs w:val="22"/>
              </w:rPr>
              <w:t>E</w:t>
            </w:r>
            <w:r w:rsidRPr="00BD1319">
              <w:rPr>
                <w:spacing w:val="-3"/>
                <w:sz w:val="22"/>
                <w:szCs w:val="22"/>
              </w:rPr>
              <w:t xml:space="preserve"> A</w:t>
            </w:r>
            <w:r w:rsidRPr="00BD1319">
              <w:rPr>
                <w:spacing w:val="-3"/>
                <w:sz w:val="22"/>
                <w:szCs w:val="22"/>
                <w:vertAlign w:val="subscript"/>
              </w:rPr>
              <w:t>1</w:t>
            </w:r>
            <w:r w:rsidRPr="00BD1319">
              <w:rPr>
                <w:spacing w:val="-3"/>
                <w:sz w:val="22"/>
                <w:szCs w:val="22"/>
              </w:rPr>
              <w:t xml:space="preserve"> C</w:t>
            </w:r>
            <w:r w:rsidRPr="00BD1319">
              <w:rPr>
                <w:spacing w:val="-3"/>
                <w:sz w:val="22"/>
                <w:szCs w:val="22"/>
                <w:vertAlign w:val="subscript"/>
              </w:rPr>
              <w:t>3</w:t>
            </w:r>
          </w:p>
        </w:tc>
        <w:tc>
          <w:tcPr>
            <w:tcW w:w="1662" w:type="dxa"/>
          </w:tcPr>
          <w:p w14:paraId="53573E7E" w14:textId="77777777" w:rsidR="00F15672" w:rsidRPr="00BD1319" w:rsidRDefault="00F15672" w:rsidP="000D468E">
            <w:pPr>
              <w:numPr>
                <w:ilvl w:val="12"/>
                <w:numId w:val="0"/>
              </w:numPr>
              <w:tabs>
                <w:tab w:val="left" w:pos="-2268"/>
              </w:tabs>
              <w:suppressAutoHyphens/>
              <w:ind w:left="303"/>
              <w:rPr>
                <w:spacing w:val="-3"/>
                <w:sz w:val="22"/>
                <w:szCs w:val="22"/>
              </w:rPr>
            </w:pPr>
            <w:r w:rsidRPr="00BD1319">
              <w:rPr>
                <w:i/>
                <w:spacing w:val="-3"/>
                <w:sz w:val="22"/>
                <w:szCs w:val="22"/>
              </w:rPr>
              <w:t>E</w:t>
            </w:r>
            <w:r w:rsidRPr="00BD1319">
              <w:rPr>
                <w:spacing w:val="-3"/>
                <w:sz w:val="22"/>
                <w:szCs w:val="22"/>
              </w:rPr>
              <w:t xml:space="preserve"> A</w:t>
            </w:r>
            <w:r w:rsidRPr="00BD1319">
              <w:rPr>
                <w:spacing w:val="-3"/>
                <w:sz w:val="22"/>
                <w:szCs w:val="22"/>
                <w:vertAlign w:val="subscript"/>
              </w:rPr>
              <w:t>2</w:t>
            </w:r>
            <w:r w:rsidRPr="00BD1319">
              <w:rPr>
                <w:spacing w:val="-3"/>
                <w:sz w:val="22"/>
                <w:szCs w:val="22"/>
              </w:rPr>
              <w:t xml:space="preserve"> C</w:t>
            </w:r>
            <w:r w:rsidRPr="00BD1319">
              <w:rPr>
                <w:spacing w:val="-3"/>
                <w:sz w:val="22"/>
                <w:szCs w:val="22"/>
                <w:vertAlign w:val="subscript"/>
              </w:rPr>
              <w:t>3</w:t>
            </w:r>
          </w:p>
        </w:tc>
        <w:tc>
          <w:tcPr>
            <w:tcW w:w="1661" w:type="dxa"/>
          </w:tcPr>
          <w:p w14:paraId="550555EB" w14:textId="77777777" w:rsidR="00F15672" w:rsidRPr="00BD1319" w:rsidRDefault="00F15672" w:rsidP="000D468E">
            <w:pPr>
              <w:numPr>
                <w:ilvl w:val="12"/>
                <w:numId w:val="0"/>
              </w:numPr>
              <w:tabs>
                <w:tab w:val="left" w:pos="-2268"/>
              </w:tabs>
              <w:suppressAutoHyphens/>
              <w:ind w:left="303"/>
              <w:rPr>
                <w:spacing w:val="-3"/>
                <w:sz w:val="22"/>
                <w:szCs w:val="22"/>
              </w:rPr>
            </w:pPr>
            <w:r w:rsidRPr="00BD1319">
              <w:rPr>
                <w:i/>
                <w:spacing w:val="-3"/>
                <w:sz w:val="22"/>
                <w:szCs w:val="22"/>
              </w:rPr>
              <w:t>E</w:t>
            </w:r>
            <w:r w:rsidRPr="00BD1319">
              <w:rPr>
                <w:spacing w:val="-3"/>
                <w:sz w:val="22"/>
                <w:szCs w:val="22"/>
              </w:rPr>
              <w:t xml:space="preserve"> A</w:t>
            </w:r>
            <w:r w:rsidRPr="00BD1319">
              <w:rPr>
                <w:spacing w:val="-3"/>
                <w:sz w:val="22"/>
                <w:szCs w:val="22"/>
                <w:vertAlign w:val="subscript"/>
              </w:rPr>
              <w:t>3</w:t>
            </w:r>
            <w:r w:rsidRPr="00BD1319">
              <w:rPr>
                <w:spacing w:val="-3"/>
                <w:sz w:val="22"/>
                <w:szCs w:val="22"/>
              </w:rPr>
              <w:t xml:space="preserve"> C</w:t>
            </w:r>
            <w:r w:rsidRPr="00BD1319">
              <w:rPr>
                <w:spacing w:val="-3"/>
                <w:sz w:val="22"/>
                <w:szCs w:val="22"/>
                <w:vertAlign w:val="subscript"/>
              </w:rPr>
              <w:t>3</w:t>
            </w:r>
          </w:p>
        </w:tc>
        <w:tc>
          <w:tcPr>
            <w:tcW w:w="1662" w:type="dxa"/>
          </w:tcPr>
          <w:p w14:paraId="48BDF2A9" w14:textId="77777777" w:rsidR="00F15672" w:rsidRPr="00BD1319" w:rsidRDefault="00F15672" w:rsidP="000D468E">
            <w:pPr>
              <w:numPr>
                <w:ilvl w:val="12"/>
                <w:numId w:val="0"/>
              </w:numPr>
              <w:tabs>
                <w:tab w:val="left" w:pos="-2268"/>
              </w:tabs>
              <w:suppressAutoHyphens/>
              <w:ind w:left="303"/>
              <w:rPr>
                <w:spacing w:val="-3"/>
                <w:sz w:val="22"/>
                <w:szCs w:val="22"/>
              </w:rPr>
            </w:pPr>
            <w:r w:rsidRPr="00BD1319">
              <w:rPr>
                <w:i/>
                <w:spacing w:val="-3"/>
                <w:sz w:val="22"/>
                <w:szCs w:val="22"/>
              </w:rPr>
              <w:t>E</w:t>
            </w:r>
            <w:r w:rsidRPr="00BD1319">
              <w:rPr>
                <w:spacing w:val="-3"/>
                <w:sz w:val="22"/>
                <w:szCs w:val="22"/>
              </w:rPr>
              <w:t xml:space="preserve"> </w:t>
            </w:r>
            <w:proofErr w:type="spellStart"/>
            <w:r w:rsidRPr="00BD1319">
              <w:rPr>
                <w:spacing w:val="-3"/>
                <w:sz w:val="22"/>
                <w:szCs w:val="22"/>
              </w:rPr>
              <w:t>A</w:t>
            </w:r>
            <w:r w:rsidRPr="00BD1319">
              <w:rPr>
                <w:spacing w:val="-3"/>
                <w:sz w:val="22"/>
                <w:szCs w:val="22"/>
                <w:vertAlign w:val="subscript"/>
              </w:rPr>
              <w:t>n</w:t>
            </w:r>
            <w:proofErr w:type="spellEnd"/>
            <w:r w:rsidRPr="00BD1319">
              <w:rPr>
                <w:spacing w:val="-3"/>
                <w:sz w:val="22"/>
                <w:szCs w:val="22"/>
              </w:rPr>
              <w:t xml:space="preserve"> C</w:t>
            </w:r>
            <w:r w:rsidRPr="00BD1319">
              <w:rPr>
                <w:spacing w:val="-3"/>
                <w:sz w:val="22"/>
                <w:szCs w:val="22"/>
                <w:vertAlign w:val="subscript"/>
              </w:rPr>
              <w:t>3</w:t>
            </w:r>
          </w:p>
        </w:tc>
      </w:tr>
      <w:tr w:rsidR="00830F0E" w:rsidRPr="00BD1319" w14:paraId="72A1C35F" w14:textId="77777777" w:rsidTr="000D468E">
        <w:trPr>
          <w:jc w:val="center"/>
        </w:trPr>
        <w:tc>
          <w:tcPr>
            <w:tcW w:w="1713" w:type="dxa"/>
          </w:tcPr>
          <w:p w14:paraId="08BA129F" w14:textId="77777777" w:rsidR="00F15672" w:rsidRPr="00BD1319" w:rsidRDefault="00F15672" w:rsidP="00F15672">
            <w:pPr>
              <w:numPr>
                <w:ilvl w:val="12"/>
                <w:numId w:val="0"/>
              </w:numPr>
              <w:tabs>
                <w:tab w:val="left" w:pos="-2268"/>
              </w:tabs>
              <w:suppressAutoHyphens/>
              <w:rPr>
                <w:b/>
                <w:bCs/>
                <w:spacing w:val="-3"/>
                <w:sz w:val="22"/>
                <w:szCs w:val="22"/>
              </w:rPr>
            </w:pPr>
            <w:r w:rsidRPr="00BD1319">
              <w:rPr>
                <w:b/>
                <w:bCs/>
                <w:spacing w:val="-3"/>
                <w:sz w:val="22"/>
                <w:szCs w:val="22"/>
              </w:rPr>
              <w:t>Criterio 4</w:t>
            </w:r>
          </w:p>
        </w:tc>
        <w:tc>
          <w:tcPr>
            <w:tcW w:w="1661" w:type="dxa"/>
          </w:tcPr>
          <w:p w14:paraId="656907DF" w14:textId="77777777" w:rsidR="00F15672" w:rsidRPr="00BD1319" w:rsidRDefault="00F15672" w:rsidP="000D468E">
            <w:pPr>
              <w:numPr>
                <w:ilvl w:val="12"/>
                <w:numId w:val="0"/>
              </w:numPr>
              <w:tabs>
                <w:tab w:val="left" w:pos="-2268"/>
              </w:tabs>
              <w:suppressAutoHyphens/>
              <w:ind w:left="303"/>
              <w:rPr>
                <w:spacing w:val="-3"/>
                <w:sz w:val="22"/>
                <w:szCs w:val="22"/>
              </w:rPr>
            </w:pPr>
            <w:r w:rsidRPr="00BD1319">
              <w:rPr>
                <w:i/>
                <w:spacing w:val="-3"/>
                <w:sz w:val="22"/>
                <w:szCs w:val="22"/>
              </w:rPr>
              <w:t>E</w:t>
            </w:r>
            <w:r w:rsidRPr="00BD1319">
              <w:rPr>
                <w:spacing w:val="-3"/>
                <w:sz w:val="22"/>
                <w:szCs w:val="22"/>
              </w:rPr>
              <w:t xml:space="preserve"> A</w:t>
            </w:r>
            <w:r w:rsidRPr="00BD1319">
              <w:rPr>
                <w:spacing w:val="-3"/>
                <w:sz w:val="22"/>
                <w:szCs w:val="22"/>
                <w:vertAlign w:val="subscript"/>
              </w:rPr>
              <w:t>1</w:t>
            </w:r>
            <w:r w:rsidRPr="00BD1319">
              <w:rPr>
                <w:spacing w:val="-3"/>
                <w:sz w:val="22"/>
                <w:szCs w:val="22"/>
              </w:rPr>
              <w:t xml:space="preserve"> C</w:t>
            </w:r>
            <w:r w:rsidRPr="00BD1319">
              <w:rPr>
                <w:spacing w:val="-3"/>
                <w:sz w:val="22"/>
                <w:szCs w:val="22"/>
                <w:vertAlign w:val="subscript"/>
              </w:rPr>
              <w:t>4</w:t>
            </w:r>
          </w:p>
        </w:tc>
        <w:tc>
          <w:tcPr>
            <w:tcW w:w="1662" w:type="dxa"/>
          </w:tcPr>
          <w:p w14:paraId="095FD300" w14:textId="77777777" w:rsidR="00F15672" w:rsidRPr="00BD1319" w:rsidRDefault="00F15672" w:rsidP="000D468E">
            <w:pPr>
              <w:numPr>
                <w:ilvl w:val="12"/>
                <w:numId w:val="0"/>
              </w:numPr>
              <w:tabs>
                <w:tab w:val="left" w:pos="-2268"/>
              </w:tabs>
              <w:suppressAutoHyphens/>
              <w:ind w:left="303"/>
              <w:rPr>
                <w:spacing w:val="-3"/>
                <w:sz w:val="22"/>
                <w:szCs w:val="22"/>
              </w:rPr>
            </w:pPr>
            <w:r w:rsidRPr="00BD1319">
              <w:rPr>
                <w:i/>
                <w:spacing w:val="-3"/>
                <w:sz w:val="22"/>
                <w:szCs w:val="22"/>
              </w:rPr>
              <w:t>E</w:t>
            </w:r>
            <w:r w:rsidRPr="00BD1319">
              <w:rPr>
                <w:spacing w:val="-3"/>
                <w:sz w:val="22"/>
                <w:szCs w:val="22"/>
              </w:rPr>
              <w:t xml:space="preserve"> A</w:t>
            </w:r>
            <w:r w:rsidRPr="00BD1319">
              <w:rPr>
                <w:spacing w:val="-3"/>
                <w:sz w:val="22"/>
                <w:szCs w:val="22"/>
                <w:vertAlign w:val="subscript"/>
              </w:rPr>
              <w:t>2</w:t>
            </w:r>
            <w:r w:rsidRPr="00BD1319">
              <w:rPr>
                <w:spacing w:val="-3"/>
                <w:sz w:val="22"/>
                <w:szCs w:val="22"/>
              </w:rPr>
              <w:t xml:space="preserve"> C</w:t>
            </w:r>
            <w:r w:rsidRPr="00BD1319">
              <w:rPr>
                <w:spacing w:val="-3"/>
                <w:sz w:val="22"/>
                <w:szCs w:val="22"/>
                <w:vertAlign w:val="subscript"/>
              </w:rPr>
              <w:t>4</w:t>
            </w:r>
          </w:p>
        </w:tc>
        <w:tc>
          <w:tcPr>
            <w:tcW w:w="1661" w:type="dxa"/>
          </w:tcPr>
          <w:p w14:paraId="3C2E6A70" w14:textId="77777777" w:rsidR="00F15672" w:rsidRPr="00BD1319" w:rsidRDefault="00F15672" w:rsidP="000D468E">
            <w:pPr>
              <w:numPr>
                <w:ilvl w:val="12"/>
                <w:numId w:val="0"/>
              </w:numPr>
              <w:tabs>
                <w:tab w:val="left" w:pos="-2268"/>
              </w:tabs>
              <w:suppressAutoHyphens/>
              <w:ind w:left="303"/>
              <w:rPr>
                <w:spacing w:val="-3"/>
                <w:sz w:val="22"/>
                <w:szCs w:val="22"/>
              </w:rPr>
            </w:pPr>
            <w:r w:rsidRPr="00BD1319">
              <w:rPr>
                <w:i/>
                <w:spacing w:val="-3"/>
                <w:sz w:val="22"/>
                <w:szCs w:val="22"/>
              </w:rPr>
              <w:t>E</w:t>
            </w:r>
            <w:r w:rsidRPr="00BD1319">
              <w:rPr>
                <w:spacing w:val="-3"/>
                <w:sz w:val="22"/>
                <w:szCs w:val="22"/>
              </w:rPr>
              <w:t xml:space="preserve"> A</w:t>
            </w:r>
            <w:r w:rsidRPr="00BD1319">
              <w:rPr>
                <w:spacing w:val="-3"/>
                <w:sz w:val="22"/>
                <w:szCs w:val="22"/>
                <w:vertAlign w:val="subscript"/>
              </w:rPr>
              <w:t>3</w:t>
            </w:r>
            <w:r w:rsidRPr="00BD1319">
              <w:rPr>
                <w:spacing w:val="-3"/>
                <w:sz w:val="22"/>
                <w:szCs w:val="22"/>
              </w:rPr>
              <w:t xml:space="preserve"> C</w:t>
            </w:r>
            <w:r w:rsidRPr="00BD1319">
              <w:rPr>
                <w:spacing w:val="-3"/>
                <w:sz w:val="22"/>
                <w:szCs w:val="22"/>
                <w:vertAlign w:val="subscript"/>
              </w:rPr>
              <w:t>4</w:t>
            </w:r>
          </w:p>
        </w:tc>
        <w:tc>
          <w:tcPr>
            <w:tcW w:w="1662" w:type="dxa"/>
          </w:tcPr>
          <w:p w14:paraId="5BB61072" w14:textId="77777777" w:rsidR="00F15672" w:rsidRPr="00BD1319" w:rsidRDefault="00F15672" w:rsidP="000D468E">
            <w:pPr>
              <w:numPr>
                <w:ilvl w:val="12"/>
                <w:numId w:val="0"/>
              </w:numPr>
              <w:tabs>
                <w:tab w:val="left" w:pos="-2268"/>
              </w:tabs>
              <w:suppressAutoHyphens/>
              <w:ind w:left="303"/>
              <w:rPr>
                <w:spacing w:val="-3"/>
                <w:sz w:val="22"/>
                <w:szCs w:val="22"/>
              </w:rPr>
            </w:pPr>
            <w:r w:rsidRPr="00BD1319">
              <w:rPr>
                <w:i/>
                <w:spacing w:val="-3"/>
                <w:sz w:val="22"/>
                <w:szCs w:val="22"/>
              </w:rPr>
              <w:t>E</w:t>
            </w:r>
            <w:r w:rsidRPr="00BD1319">
              <w:rPr>
                <w:spacing w:val="-3"/>
                <w:sz w:val="22"/>
                <w:szCs w:val="22"/>
              </w:rPr>
              <w:t xml:space="preserve"> </w:t>
            </w:r>
            <w:proofErr w:type="spellStart"/>
            <w:r w:rsidRPr="00BD1319">
              <w:rPr>
                <w:spacing w:val="-3"/>
                <w:sz w:val="22"/>
                <w:szCs w:val="22"/>
              </w:rPr>
              <w:t>A</w:t>
            </w:r>
            <w:r w:rsidRPr="00BD1319">
              <w:rPr>
                <w:spacing w:val="-3"/>
                <w:sz w:val="22"/>
                <w:szCs w:val="22"/>
                <w:vertAlign w:val="subscript"/>
              </w:rPr>
              <w:t>n</w:t>
            </w:r>
            <w:proofErr w:type="spellEnd"/>
            <w:r w:rsidRPr="00BD1319">
              <w:rPr>
                <w:spacing w:val="-3"/>
                <w:sz w:val="22"/>
                <w:szCs w:val="22"/>
              </w:rPr>
              <w:t xml:space="preserve"> C</w:t>
            </w:r>
            <w:r w:rsidRPr="00BD1319">
              <w:rPr>
                <w:spacing w:val="-3"/>
                <w:sz w:val="22"/>
                <w:szCs w:val="22"/>
                <w:vertAlign w:val="subscript"/>
              </w:rPr>
              <w:t>4</w:t>
            </w:r>
          </w:p>
        </w:tc>
      </w:tr>
      <w:tr w:rsidR="00830F0E" w:rsidRPr="00BD1319" w14:paraId="69DEA575" w14:textId="77777777" w:rsidTr="000D468E">
        <w:trPr>
          <w:jc w:val="center"/>
        </w:trPr>
        <w:tc>
          <w:tcPr>
            <w:tcW w:w="1713" w:type="dxa"/>
          </w:tcPr>
          <w:p w14:paraId="42D10B2C" w14:textId="77777777" w:rsidR="00F15672" w:rsidRPr="00BD1319" w:rsidRDefault="00F15672" w:rsidP="00F15672">
            <w:pPr>
              <w:numPr>
                <w:ilvl w:val="12"/>
                <w:numId w:val="0"/>
              </w:numPr>
              <w:tabs>
                <w:tab w:val="left" w:pos="-2268"/>
              </w:tabs>
              <w:suppressAutoHyphens/>
              <w:rPr>
                <w:b/>
                <w:bCs/>
                <w:spacing w:val="-3"/>
                <w:sz w:val="22"/>
                <w:szCs w:val="22"/>
              </w:rPr>
            </w:pPr>
            <w:r w:rsidRPr="00BD1319">
              <w:rPr>
                <w:b/>
                <w:bCs/>
                <w:spacing w:val="-3"/>
                <w:sz w:val="22"/>
                <w:szCs w:val="22"/>
              </w:rPr>
              <w:t>Criterio 5</w:t>
            </w:r>
          </w:p>
        </w:tc>
        <w:tc>
          <w:tcPr>
            <w:tcW w:w="1661" w:type="dxa"/>
          </w:tcPr>
          <w:p w14:paraId="68A673F8" w14:textId="77777777" w:rsidR="00F15672" w:rsidRPr="00BD1319" w:rsidRDefault="00F15672" w:rsidP="000D468E">
            <w:pPr>
              <w:numPr>
                <w:ilvl w:val="12"/>
                <w:numId w:val="0"/>
              </w:numPr>
              <w:tabs>
                <w:tab w:val="left" w:pos="-2268"/>
              </w:tabs>
              <w:suppressAutoHyphens/>
              <w:ind w:left="303"/>
              <w:rPr>
                <w:spacing w:val="-3"/>
                <w:sz w:val="22"/>
                <w:szCs w:val="22"/>
              </w:rPr>
            </w:pPr>
            <w:r w:rsidRPr="00BD1319">
              <w:rPr>
                <w:i/>
                <w:spacing w:val="-3"/>
                <w:sz w:val="22"/>
                <w:szCs w:val="22"/>
              </w:rPr>
              <w:t>E</w:t>
            </w:r>
            <w:r w:rsidRPr="00BD1319">
              <w:rPr>
                <w:spacing w:val="-3"/>
                <w:sz w:val="22"/>
                <w:szCs w:val="22"/>
              </w:rPr>
              <w:t xml:space="preserve"> A</w:t>
            </w:r>
            <w:r w:rsidRPr="00BD1319">
              <w:rPr>
                <w:spacing w:val="-3"/>
                <w:sz w:val="22"/>
                <w:szCs w:val="22"/>
                <w:vertAlign w:val="subscript"/>
              </w:rPr>
              <w:t>1</w:t>
            </w:r>
            <w:r w:rsidRPr="00BD1319">
              <w:rPr>
                <w:spacing w:val="-3"/>
                <w:sz w:val="22"/>
                <w:szCs w:val="22"/>
              </w:rPr>
              <w:t xml:space="preserve"> C</w:t>
            </w:r>
            <w:r w:rsidRPr="00BD1319">
              <w:rPr>
                <w:spacing w:val="-3"/>
                <w:sz w:val="22"/>
                <w:szCs w:val="22"/>
                <w:vertAlign w:val="subscript"/>
              </w:rPr>
              <w:t>5</w:t>
            </w:r>
          </w:p>
        </w:tc>
        <w:tc>
          <w:tcPr>
            <w:tcW w:w="1662" w:type="dxa"/>
          </w:tcPr>
          <w:p w14:paraId="54BBDAE4" w14:textId="77777777" w:rsidR="00F15672" w:rsidRPr="00BD1319" w:rsidRDefault="00F15672" w:rsidP="000D468E">
            <w:pPr>
              <w:numPr>
                <w:ilvl w:val="12"/>
                <w:numId w:val="0"/>
              </w:numPr>
              <w:tabs>
                <w:tab w:val="left" w:pos="-2268"/>
              </w:tabs>
              <w:suppressAutoHyphens/>
              <w:ind w:left="303"/>
              <w:rPr>
                <w:spacing w:val="-3"/>
                <w:sz w:val="22"/>
                <w:szCs w:val="22"/>
              </w:rPr>
            </w:pPr>
            <w:r w:rsidRPr="00BD1319">
              <w:rPr>
                <w:i/>
                <w:spacing w:val="-3"/>
                <w:sz w:val="22"/>
                <w:szCs w:val="22"/>
              </w:rPr>
              <w:t>E</w:t>
            </w:r>
            <w:r w:rsidRPr="00BD1319">
              <w:rPr>
                <w:spacing w:val="-3"/>
                <w:sz w:val="22"/>
                <w:szCs w:val="22"/>
              </w:rPr>
              <w:t xml:space="preserve"> A</w:t>
            </w:r>
            <w:r w:rsidRPr="00BD1319">
              <w:rPr>
                <w:spacing w:val="-3"/>
                <w:sz w:val="22"/>
                <w:szCs w:val="22"/>
                <w:vertAlign w:val="subscript"/>
              </w:rPr>
              <w:t>2</w:t>
            </w:r>
            <w:r w:rsidRPr="00BD1319">
              <w:rPr>
                <w:spacing w:val="-3"/>
                <w:sz w:val="22"/>
                <w:szCs w:val="22"/>
              </w:rPr>
              <w:t xml:space="preserve"> C</w:t>
            </w:r>
            <w:r w:rsidRPr="00BD1319">
              <w:rPr>
                <w:spacing w:val="-3"/>
                <w:sz w:val="22"/>
                <w:szCs w:val="22"/>
                <w:vertAlign w:val="subscript"/>
              </w:rPr>
              <w:t>5</w:t>
            </w:r>
          </w:p>
        </w:tc>
        <w:tc>
          <w:tcPr>
            <w:tcW w:w="1661" w:type="dxa"/>
          </w:tcPr>
          <w:p w14:paraId="45C948F3" w14:textId="77777777" w:rsidR="00F15672" w:rsidRPr="00BD1319" w:rsidRDefault="00F15672" w:rsidP="000D468E">
            <w:pPr>
              <w:numPr>
                <w:ilvl w:val="12"/>
                <w:numId w:val="0"/>
              </w:numPr>
              <w:tabs>
                <w:tab w:val="left" w:pos="-2268"/>
              </w:tabs>
              <w:suppressAutoHyphens/>
              <w:ind w:left="303"/>
              <w:rPr>
                <w:spacing w:val="-3"/>
                <w:sz w:val="22"/>
                <w:szCs w:val="22"/>
              </w:rPr>
            </w:pPr>
            <w:r w:rsidRPr="00BD1319">
              <w:rPr>
                <w:i/>
                <w:spacing w:val="-3"/>
                <w:sz w:val="22"/>
                <w:szCs w:val="22"/>
              </w:rPr>
              <w:t>E</w:t>
            </w:r>
            <w:r w:rsidRPr="00BD1319">
              <w:rPr>
                <w:spacing w:val="-3"/>
                <w:sz w:val="22"/>
                <w:szCs w:val="22"/>
              </w:rPr>
              <w:t xml:space="preserve"> A</w:t>
            </w:r>
            <w:r w:rsidRPr="00BD1319">
              <w:rPr>
                <w:spacing w:val="-3"/>
                <w:sz w:val="22"/>
                <w:szCs w:val="22"/>
                <w:vertAlign w:val="subscript"/>
              </w:rPr>
              <w:t>3</w:t>
            </w:r>
            <w:r w:rsidRPr="00BD1319">
              <w:rPr>
                <w:spacing w:val="-3"/>
                <w:sz w:val="22"/>
                <w:szCs w:val="22"/>
              </w:rPr>
              <w:t xml:space="preserve"> C</w:t>
            </w:r>
            <w:r w:rsidRPr="00BD1319">
              <w:rPr>
                <w:spacing w:val="-3"/>
                <w:sz w:val="22"/>
                <w:szCs w:val="22"/>
                <w:vertAlign w:val="subscript"/>
              </w:rPr>
              <w:t>5</w:t>
            </w:r>
          </w:p>
        </w:tc>
        <w:tc>
          <w:tcPr>
            <w:tcW w:w="1662" w:type="dxa"/>
          </w:tcPr>
          <w:p w14:paraId="5600703D" w14:textId="77777777" w:rsidR="00F15672" w:rsidRPr="00BD1319" w:rsidRDefault="00F15672" w:rsidP="000D468E">
            <w:pPr>
              <w:numPr>
                <w:ilvl w:val="12"/>
                <w:numId w:val="0"/>
              </w:numPr>
              <w:tabs>
                <w:tab w:val="left" w:pos="-2268"/>
              </w:tabs>
              <w:suppressAutoHyphens/>
              <w:ind w:left="303"/>
              <w:rPr>
                <w:spacing w:val="-3"/>
                <w:sz w:val="22"/>
                <w:szCs w:val="22"/>
              </w:rPr>
            </w:pPr>
            <w:r w:rsidRPr="00BD1319">
              <w:rPr>
                <w:i/>
                <w:spacing w:val="-3"/>
                <w:sz w:val="22"/>
                <w:szCs w:val="22"/>
              </w:rPr>
              <w:t>E</w:t>
            </w:r>
            <w:r w:rsidRPr="00BD1319">
              <w:rPr>
                <w:spacing w:val="-3"/>
                <w:sz w:val="22"/>
                <w:szCs w:val="22"/>
              </w:rPr>
              <w:t xml:space="preserve"> </w:t>
            </w:r>
            <w:proofErr w:type="spellStart"/>
            <w:r w:rsidRPr="00BD1319">
              <w:rPr>
                <w:spacing w:val="-3"/>
                <w:sz w:val="22"/>
                <w:szCs w:val="22"/>
              </w:rPr>
              <w:t>A</w:t>
            </w:r>
            <w:r w:rsidRPr="00BD1319">
              <w:rPr>
                <w:spacing w:val="-3"/>
                <w:sz w:val="22"/>
                <w:szCs w:val="22"/>
                <w:vertAlign w:val="subscript"/>
              </w:rPr>
              <w:t>n</w:t>
            </w:r>
            <w:proofErr w:type="spellEnd"/>
            <w:r w:rsidRPr="00BD1319">
              <w:rPr>
                <w:spacing w:val="-3"/>
                <w:sz w:val="22"/>
                <w:szCs w:val="22"/>
              </w:rPr>
              <w:t xml:space="preserve"> C</w:t>
            </w:r>
            <w:r w:rsidRPr="00BD1319">
              <w:rPr>
                <w:spacing w:val="-3"/>
                <w:sz w:val="22"/>
                <w:szCs w:val="22"/>
                <w:vertAlign w:val="subscript"/>
              </w:rPr>
              <w:t>5</w:t>
            </w:r>
          </w:p>
        </w:tc>
      </w:tr>
      <w:tr w:rsidR="00830F0E" w:rsidRPr="00BD1319" w14:paraId="06B474A4" w14:textId="77777777" w:rsidTr="000D468E">
        <w:trPr>
          <w:jc w:val="center"/>
        </w:trPr>
        <w:tc>
          <w:tcPr>
            <w:tcW w:w="1713" w:type="dxa"/>
          </w:tcPr>
          <w:p w14:paraId="1D7E566B" w14:textId="77777777" w:rsidR="00F15672" w:rsidRPr="00BD1319" w:rsidRDefault="00F15672" w:rsidP="00F15672">
            <w:pPr>
              <w:numPr>
                <w:ilvl w:val="12"/>
                <w:numId w:val="0"/>
              </w:numPr>
              <w:tabs>
                <w:tab w:val="left" w:pos="-2268"/>
              </w:tabs>
              <w:suppressAutoHyphens/>
              <w:rPr>
                <w:b/>
                <w:bCs/>
                <w:spacing w:val="-3"/>
                <w:sz w:val="22"/>
                <w:szCs w:val="22"/>
              </w:rPr>
            </w:pPr>
            <w:r w:rsidRPr="00BD1319">
              <w:rPr>
                <w:b/>
                <w:bCs/>
                <w:spacing w:val="-3"/>
                <w:sz w:val="22"/>
                <w:szCs w:val="22"/>
              </w:rPr>
              <w:t>Criterio n</w:t>
            </w:r>
          </w:p>
        </w:tc>
        <w:tc>
          <w:tcPr>
            <w:tcW w:w="1661" w:type="dxa"/>
          </w:tcPr>
          <w:p w14:paraId="12C60357" w14:textId="77777777" w:rsidR="00F15672" w:rsidRPr="00BD1319" w:rsidRDefault="00F15672" w:rsidP="000D468E">
            <w:pPr>
              <w:numPr>
                <w:ilvl w:val="12"/>
                <w:numId w:val="0"/>
              </w:numPr>
              <w:tabs>
                <w:tab w:val="left" w:pos="-2268"/>
              </w:tabs>
              <w:suppressAutoHyphens/>
              <w:ind w:left="303"/>
              <w:rPr>
                <w:spacing w:val="-3"/>
                <w:sz w:val="22"/>
                <w:szCs w:val="22"/>
              </w:rPr>
            </w:pPr>
            <w:r w:rsidRPr="00BD1319">
              <w:rPr>
                <w:i/>
                <w:spacing w:val="-3"/>
                <w:sz w:val="22"/>
                <w:szCs w:val="22"/>
              </w:rPr>
              <w:t>E</w:t>
            </w:r>
            <w:r w:rsidRPr="00BD1319">
              <w:rPr>
                <w:spacing w:val="-3"/>
                <w:sz w:val="22"/>
                <w:szCs w:val="22"/>
              </w:rPr>
              <w:t xml:space="preserve"> A</w:t>
            </w:r>
            <w:r w:rsidRPr="00BD1319">
              <w:rPr>
                <w:spacing w:val="-3"/>
                <w:sz w:val="22"/>
                <w:szCs w:val="22"/>
                <w:vertAlign w:val="subscript"/>
              </w:rPr>
              <w:t>1</w:t>
            </w:r>
            <w:r w:rsidRPr="00BD1319">
              <w:rPr>
                <w:spacing w:val="-3"/>
                <w:sz w:val="22"/>
                <w:szCs w:val="22"/>
              </w:rPr>
              <w:t xml:space="preserve"> C</w:t>
            </w:r>
            <w:r w:rsidRPr="00BD1319">
              <w:rPr>
                <w:spacing w:val="-3"/>
                <w:sz w:val="22"/>
                <w:szCs w:val="22"/>
                <w:vertAlign w:val="subscript"/>
              </w:rPr>
              <w:t>n</w:t>
            </w:r>
          </w:p>
        </w:tc>
        <w:tc>
          <w:tcPr>
            <w:tcW w:w="1662" w:type="dxa"/>
          </w:tcPr>
          <w:p w14:paraId="517AEA7C" w14:textId="77777777" w:rsidR="00F15672" w:rsidRPr="00BD1319" w:rsidRDefault="00F15672" w:rsidP="000D468E">
            <w:pPr>
              <w:numPr>
                <w:ilvl w:val="12"/>
                <w:numId w:val="0"/>
              </w:numPr>
              <w:tabs>
                <w:tab w:val="left" w:pos="-2268"/>
              </w:tabs>
              <w:suppressAutoHyphens/>
              <w:ind w:left="303"/>
              <w:rPr>
                <w:spacing w:val="-3"/>
                <w:sz w:val="22"/>
                <w:szCs w:val="22"/>
              </w:rPr>
            </w:pPr>
            <w:r w:rsidRPr="00BD1319">
              <w:rPr>
                <w:i/>
                <w:spacing w:val="-3"/>
                <w:sz w:val="22"/>
                <w:szCs w:val="22"/>
              </w:rPr>
              <w:t>E</w:t>
            </w:r>
            <w:r w:rsidRPr="00BD1319">
              <w:rPr>
                <w:spacing w:val="-3"/>
                <w:sz w:val="22"/>
                <w:szCs w:val="22"/>
              </w:rPr>
              <w:t xml:space="preserve"> A</w:t>
            </w:r>
            <w:r w:rsidRPr="00BD1319">
              <w:rPr>
                <w:spacing w:val="-3"/>
                <w:sz w:val="22"/>
                <w:szCs w:val="22"/>
                <w:vertAlign w:val="subscript"/>
              </w:rPr>
              <w:t>2</w:t>
            </w:r>
            <w:r w:rsidRPr="00BD1319">
              <w:rPr>
                <w:spacing w:val="-3"/>
                <w:sz w:val="22"/>
                <w:szCs w:val="22"/>
              </w:rPr>
              <w:t xml:space="preserve"> C</w:t>
            </w:r>
            <w:r w:rsidRPr="00BD1319">
              <w:rPr>
                <w:spacing w:val="-3"/>
                <w:sz w:val="22"/>
                <w:szCs w:val="22"/>
                <w:vertAlign w:val="subscript"/>
              </w:rPr>
              <w:t>n</w:t>
            </w:r>
          </w:p>
        </w:tc>
        <w:tc>
          <w:tcPr>
            <w:tcW w:w="1661" w:type="dxa"/>
          </w:tcPr>
          <w:p w14:paraId="738274A1" w14:textId="77777777" w:rsidR="00F15672" w:rsidRPr="00BD1319" w:rsidRDefault="00F15672" w:rsidP="000D468E">
            <w:pPr>
              <w:numPr>
                <w:ilvl w:val="12"/>
                <w:numId w:val="0"/>
              </w:numPr>
              <w:tabs>
                <w:tab w:val="left" w:pos="-2268"/>
              </w:tabs>
              <w:suppressAutoHyphens/>
              <w:ind w:left="303"/>
              <w:rPr>
                <w:spacing w:val="-3"/>
                <w:sz w:val="22"/>
                <w:szCs w:val="22"/>
              </w:rPr>
            </w:pPr>
            <w:r w:rsidRPr="00BD1319">
              <w:rPr>
                <w:i/>
                <w:spacing w:val="-3"/>
                <w:sz w:val="22"/>
                <w:szCs w:val="22"/>
              </w:rPr>
              <w:t>E</w:t>
            </w:r>
            <w:r w:rsidRPr="00BD1319">
              <w:rPr>
                <w:spacing w:val="-3"/>
                <w:sz w:val="22"/>
                <w:szCs w:val="22"/>
              </w:rPr>
              <w:t xml:space="preserve"> A</w:t>
            </w:r>
            <w:r w:rsidRPr="00BD1319">
              <w:rPr>
                <w:spacing w:val="-3"/>
                <w:sz w:val="22"/>
                <w:szCs w:val="22"/>
                <w:vertAlign w:val="subscript"/>
              </w:rPr>
              <w:t>3</w:t>
            </w:r>
            <w:r w:rsidRPr="00BD1319">
              <w:rPr>
                <w:spacing w:val="-3"/>
                <w:sz w:val="22"/>
                <w:szCs w:val="22"/>
              </w:rPr>
              <w:t xml:space="preserve"> C</w:t>
            </w:r>
            <w:r w:rsidRPr="00BD1319">
              <w:rPr>
                <w:spacing w:val="-3"/>
                <w:sz w:val="22"/>
                <w:szCs w:val="22"/>
                <w:vertAlign w:val="subscript"/>
              </w:rPr>
              <w:t>n</w:t>
            </w:r>
          </w:p>
        </w:tc>
        <w:tc>
          <w:tcPr>
            <w:tcW w:w="1662" w:type="dxa"/>
          </w:tcPr>
          <w:p w14:paraId="6EC13FAB" w14:textId="77777777" w:rsidR="00F15672" w:rsidRPr="00BD1319" w:rsidRDefault="00F15672" w:rsidP="000D468E">
            <w:pPr>
              <w:numPr>
                <w:ilvl w:val="12"/>
                <w:numId w:val="0"/>
              </w:numPr>
              <w:tabs>
                <w:tab w:val="left" w:pos="-2268"/>
              </w:tabs>
              <w:suppressAutoHyphens/>
              <w:ind w:left="303"/>
              <w:rPr>
                <w:spacing w:val="-3"/>
                <w:sz w:val="22"/>
                <w:szCs w:val="22"/>
              </w:rPr>
            </w:pPr>
            <w:r w:rsidRPr="00BD1319">
              <w:rPr>
                <w:i/>
                <w:spacing w:val="-3"/>
                <w:sz w:val="22"/>
                <w:szCs w:val="22"/>
              </w:rPr>
              <w:t>E</w:t>
            </w:r>
            <w:r w:rsidRPr="00BD1319">
              <w:rPr>
                <w:spacing w:val="-3"/>
                <w:sz w:val="22"/>
                <w:szCs w:val="22"/>
              </w:rPr>
              <w:t xml:space="preserve"> </w:t>
            </w:r>
            <w:proofErr w:type="spellStart"/>
            <w:r w:rsidRPr="00BD1319">
              <w:rPr>
                <w:spacing w:val="-3"/>
                <w:sz w:val="22"/>
                <w:szCs w:val="22"/>
              </w:rPr>
              <w:t>A</w:t>
            </w:r>
            <w:r w:rsidRPr="00BD1319">
              <w:rPr>
                <w:spacing w:val="-3"/>
                <w:sz w:val="22"/>
                <w:szCs w:val="22"/>
                <w:vertAlign w:val="subscript"/>
              </w:rPr>
              <w:t>n</w:t>
            </w:r>
            <w:proofErr w:type="spellEnd"/>
            <w:r w:rsidRPr="00BD1319">
              <w:rPr>
                <w:spacing w:val="-3"/>
                <w:sz w:val="22"/>
                <w:szCs w:val="22"/>
              </w:rPr>
              <w:t xml:space="preserve"> C</w:t>
            </w:r>
            <w:r w:rsidRPr="00BD1319">
              <w:rPr>
                <w:spacing w:val="-3"/>
                <w:sz w:val="22"/>
                <w:szCs w:val="22"/>
                <w:vertAlign w:val="subscript"/>
              </w:rPr>
              <w:t>n</w:t>
            </w:r>
          </w:p>
        </w:tc>
      </w:tr>
    </w:tbl>
    <w:p w14:paraId="53EB723F" w14:textId="77777777" w:rsidR="00F15672" w:rsidRPr="00BD1319" w:rsidRDefault="00F15672" w:rsidP="00F15672">
      <w:pPr>
        <w:numPr>
          <w:ilvl w:val="12"/>
          <w:numId w:val="0"/>
        </w:numPr>
        <w:tabs>
          <w:tab w:val="left" w:pos="-2268"/>
        </w:tabs>
        <w:suppressAutoHyphens/>
        <w:rPr>
          <w:spacing w:val="-3"/>
        </w:rPr>
      </w:pPr>
    </w:p>
    <w:p w14:paraId="0A8ABD59" w14:textId="77777777" w:rsidR="00F15672" w:rsidRPr="00BD1319" w:rsidRDefault="00F15672" w:rsidP="000D468E">
      <w:pPr>
        <w:numPr>
          <w:ilvl w:val="0"/>
          <w:numId w:val="651"/>
        </w:numPr>
        <w:tabs>
          <w:tab w:val="left" w:pos="-2268"/>
        </w:tabs>
        <w:suppressAutoHyphens/>
        <w:ind w:left="567" w:hanging="567"/>
        <w:rPr>
          <w:spacing w:val="-3"/>
        </w:rPr>
      </w:pPr>
      <w:bookmarkStart w:id="2369" w:name="_Hlk122363449"/>
      <w:r w:rsidRPr="00BD1319">
        <w:rPr>
          <w:b/>
          <w:bCs/>
          <w:spacing w:val="-3"/>
        </w:rPr>
        <w:t>Forma de establecer las preferencias</w:t>
      </w:r>
      <w:r w:rsidRPr="00BD1319">
        <w:rPr>
          <w:spacing w:val="-3"/>
        </w:rPr>
        <w:t xml:space="preserve">. La elección de las alternativas en realidad refleja las preferencias de los tomadores de decisión, en este caso, de quienes elaboran el estudio y de la autoridad ambiental, y tales preferencias al evaluar la matriz de desempeño pueden expresarse según </w:t>
      </w:r>
      <w:proofErr w:type="spellStart"/>
      <w:r w:rsidRPr="00BD1319">
        <w:rPr>
          <w:spacing w:val="-3"/>
        </w:rPr>
        <w:t>Guitouni</w:t>
      </w:r>
      <w:proofErr w:type="spellEnd"/>
      <w:r w:rsidRPr="00BD1319">
        <w:rPr>
          <w:spacing w:val="-3"/>
        </w:rPr>
        <w:t xml:space="preserve"> &amp; Martel (1998) mediante los siguientes procedimientos:</w:t>
      </w:r>
    </w:p>
    <w:p w14:paraId="078EA660" w14:textId="77777777" w:rsidR="00F15672" w:rsidRPr="00BD1319" w:rsidRDefault="00F15672" w:rsidP="00F15672">
      <w:pPr>
        <w:numPr>
          <w:ilvl w:val="12"/>
          <w:numId w:val="0"/>
        </w:numPr>
        <w:tabs>
          <w:tab w:val="left" w:pos="-2268"/>
        </w:tabs>
        <w:suppressAutoHyphens/>
        <w:rPr>
          <w:spacing w:val="-3"/>
        </w:rPr>
      </w:pPr>
    </w:p>
    <w:p w14:paraId="06915658" w14:textId="77777777" w:rsidR="00F15672" w:rsidRPr="00BD1319" w:rsidRDefault="00F15672" w:rsidP="009524B7">
      <w:pPr>
        <w:numPr>
          <w:ilvl w:val="0"/>
          <w:numId w:val="653"/>
        </w:numPr>
        <w:tabs>
          <w:tab w:val="left" w:pos="-2268"/>
        </w:tabs>
        <w:suppressAutoHyphens/>
        <w:ind w:left="1134" w:hanging="567"/>
        <w:rPr>
          <w:iCs/>
          <w:spacing w:val="-3"/>
        </w:rPr>
      </w:pPr>
      <w:r w:rsidRPr="00BD1319">
        <w:rPr>
          <w:iCs/>
          <w:spacing w:val="-3"/>
        </w:rPr>
        <w:t>Calificaciones directas.</w:t>
      </w:r>
    </w:p>
    <w:p w14:paraId="5F387949" w14:textId="77777777" w:rsidR="009524B7" w:rsidRPr="00BD1319" w:rsidRDefault="009524B7" w:rsidP="000D468E">
      <w:pPr>
        <w:tabs>
          <w:tab w:val="left" w:pos="-2268"/>
        </w:tabs>
        <w:suppressAutoHyphens/>
        <w:rPr>
          <w:iCs/>
          <w:spacing w:val="-3"/>
        </w:rPr>
      </w:pPr>
    </w:p>
    <w:p w14:paraId="10AA1A8E" w14:textId="77777777" w:rsidR="00F15672" w:rsidRPr="00BD1319" w:rsidRDefault="00F15672" w:rsidP="000D468E">
      <w:pPr>
        <w:numPr>
          <w:ilvl w:val="0"/>
          <w:numId w:val="653"/>
        </w:numPr>
        <w:tabs>
          <w:tab w:val="left" w:pos="-2268"/>
        </w:tabs>
        <w:suppressAutoHyphens/>
        <w:ind w:left="1134" w:hanging="567"/>
        <w:rPr>
          <w:iCs/>
          <w:spacing w:val="-3"/>
        </w:rPr>
      </w:pPr>
      <w:r w:rsidRPr="00BD1319">
        <w:rPr>
          <w:iCs/>
          <w:spacing w:val="-3"/>
        </w:rPr>
        <w:t>Comparaciones por pares. Cuando el análisis compara las alternativas entre sí por pares y establece, por ejemplo, que una alternativa se prefiere sobre otra.</w:t>
      </w:r>
    </w:p>
    <w:p w14:paraId="5EAA1E2D" w14:textId="77777777" w:rsidR="009524B7" w:rsidRPr="00BD1319" w:rsidRDefault="009524B7" w:rsidP="000D6E21">
      <w:pPr>
        <w:tabs>
          <w:tab w:val="left" w:pos="-2268"/>
        </w:tabs>
        <w:suppressAutoHyphens/>
        <w:rPr>
          <w:iCs/>
          <w:spacing w:val="-3"/>
        </w:rPr>
      </w:pPr>
    </w:p>
    <w:p w14:paraId="68C96FFB" w14:textId="0F26CD99" w:rsidR="00F15672" w:rsidRPr="00BD1319" w:rsidRDefault="00F15672" w:rsidP="000D468E">
      <w:pPr>
        <w:numPr>
          <w:ilvl w:val="0"/>
          <w:numId w:val="653"/>
        </w:numPr>
        <w:tabs>
          <w:tab w:val="left" w:pos="-2268"/>
        </w:tabs>
        <w:suppressAutoHyphens/>
        <w:ind w:left="1134" w:hanging="567"/>
        <w:rPr>
          <w:iCs/>
          <w:spacing w:val="-3"/>
        </w:rPr>
      </w:pPr>
      <w:r w:rsidRPr="00BD1319">
        <w:rPr>
          <w:iCs/>
          <w:spacing w:val="-3"/>
        </w:rPr>
        <w:t>Compensaciones.</w:t>
      </w:r>
    </w:p>
    <w:p w14:paraId="5B858AD1" w14:textId="77777777" w:rsidR="009524B7" w:rsidRPr="00BD1319" w:rsidRDefault="009524B7" w:rsidP="000D468E">
      <w:pPr>
        <w:tabs>
          <w:tab w:val="left" w:pos="-2268"/>
        </w:tabs>
        <w:suppressAutoHyphens/>
        <w:rPr>
          <w:iCs/>
          <w:spacing w:val="-3"/>
        </w:rPr>
      </w:pPr>
    </w:p>
    <w:p w14:paraId="12D9EB72" w14:textId="173B5DAE" w:rsidR="00F15672" w:rsidRPr="00BD1319" w:rsidRDefault="00F15672" w:rsidP="000D468E">
      <w:pPr>
        <w:numPr>
          <w:ilvl w:val="0"/>
          <w:numId w:val="653"/>
        </w:numPr>
        <w:tabs>
          <w:tab w:val="left" w:pos="-2268"/>
        </w:tabs>
        <w:suppressAutoHyphens/>
        <w:ind w:left="1134" w:hanging="567"/>
        <w:rPr>
          <w:iCs/>
          <w:spacing w:val="-3"/>
        </w:rPr>
      </w:pPr>
      <w:r w:rsidRPr="00BD1319">
        <w:rPr>
          <w:iCs/>
          <w:spacing w:val="-3"/>
        </w:rPr>
        <w:t>Loterías.</w:t>
      </w:r>
    </w:p>
    <w:p w14:paraId="4D2A202C" w14:textId="77777777" w:rsidR="00F15672" w:rsidRPr="00BD1319" w:rsidRDefault="00F15672" w:rsidP="00F15672">
      <w:pPr>
        <w:numPr>
          <w:ilvl w:val="12"/>
          <w:numId w:val="0"/>
        </w:numPr>
        <w:tabs>
          <w:tab w:val="left" w:pos="-2268"/>
        </w:tabs>
        <w:suppressAutoHyphens/>
        <w:rPr>
          <w:iCs/>
          <w:spacing w:val="-3"/>
        </w:rPr>
      </w:pPr>
    </w:p>
    <w:p w14:paraId="642114D2" w14:textId="792C2199" w:rsidR="00F15672" w:rsidRPr="00BD1319" w:rsidRDefault="00F15672" w:rsidP="009524B7">
      <w:pPr>
        <w:numPr>
          <w:ilvl w:val="12"/>
          <w:numId w:val="0"/>
        </w:numPr>
        <w:tabs>
          <w:tab w:val="left" w:pos="-2268"/>
        </w:tabs>
        <w:suppressAutoHyphens/>
        <w:ind w:left="567"/>
        <w:rPr>
          <w:iCs/>
          <w:spacing w:val="-3"/>
        </w:rPr>
      </w:pPr>
      <w:r w:rsidRPr="00BD1319">
        <w:rPr>
          <w:iCs/>
          <w:spacing w:val="-3"/>
        </w:rPr>
        <w:t xml:space="preserve">La columna 4 de la </w:t>
      </w:r>
      <w:r w:rsidR="00D0241B" w:rsidRPr="00BD1319">
        <w:rPr>
          <w:spacing w:val="-3"/>
        </w:rPr>
        <w:fldChar w:fldCharType="begin"/>
      </w:r>
      <w:r w:rsidR="00D0241B" w:rsidRPr="00BD1319">
        <w:rPr>
          <w:spacing w:val="-3"/>
        </w:rPr>
        <w:instrText xml:space="preserve"> REF _Ref138759265 \h </w:instrText>
      </w:r>
      <w:r w:rsidR="00BD1319">
        <w:rPr>
          <w:spacing w:val="-3"/>
        </w:rPr>
        <w:instrText xml:space="preserve"> \* MERGEFORMAT </w:instrText>
      </w:r>
      <w:r w:rsidR="00D0241B" w:rsidRPr="00BD1319">
        <w:rPr>
          <w:spacing w:val="-3"/>
        </w:rPr>
      </w:r>
      <w:r w:rsidR="00D0241B" w:rsidRPr="00BD1319">
        <w:rPr>
          <w:spacing w:val="-3"/>
        </w:rPr>
        <w:fldChar w:fldCharType="separate"/>
      </w:r>
      <w:r w:rsidR="00296654" w:rsidRPr="00BD1319">
        <w:t xml:space="preserve">Tabla </w:t>
      </w:r>
      <w:r w:rsidR="00296654" w:rsidRPr="00BD1319">
        <w:rPr>
          <w:noProof/>
        </w:rPr>
        <w:t>15</w:t>
      </w:r>
      <w:r w:rsidR="00D0241B" w:rsidRPr="00BD1319">
        <w:rPr>
          <w:spacing w:val="-3"/>
        </w:rPr>
        <w:fldChar w:fldCharType="end"/>
      </w:r>
      <w:r w:rsidRPr="00BD1319">
        <w:rPr>
          <w:iCs/>
          <w:spacing w:val="-3"/>
        </w:rPr>
        <w:t xml:space="preserve"> señala la forma en que se deben establecer las preferencias según el método que se elija.</w:t>
      </w:r>
    </w:p>
    <w:p w14:paraId="64289826" w14:textId="77777777" w:rsidR="00F15672" w:rsidRPr="00BD1319" w:rsidRDefault="00F15672" w:rsidP="009524B7">
      <w:pPr>
        <w:numPr>
          <w:ilvl w:val="12"/>
          <w:numId w:val="0"/>
        </w:numPr>
        <w:tabs>
          <w:tab w:val="left" w:pos="-2268"/>
        </w:tabs>
        <w:suppressAutoHyphens/>
        <w:ind w:left="567"/>
        <w:rPr>
          <w:spacing w:val="-3"/>
        </w:rPr>
      </w:pPr>
    </w:p>
    <w:p w14:paraId="0461DE2C" w14:textId="77777777" w:rsidR="00F15672" w:rsidRPr="00BD1319" w:rsidRDefault="00F15672" w:rsidP="009524B7">
      <w:pPr>
        <w:numPr>
          <w:ilvl w:val="12"/>
          <w:numId w:val="0"/>
        </w:numPr>
        <w:tabs>
          <w:tab w:val="left" w:pos="-2268"/>
        </w:tabs>
        <w:suppressAutoHyphens/>
        <w:ind w:left="567"/>
        <w:rPr>
          <w:spacing w:val="-3"/>
        </w:rPr>
      </w:pPr>
      <w:r w:rsidRPr="00BD1319">
        <w:rPr>
          <w:spacing w:val="-3"/>
        </w:rPr>
        <w:t>Aunque en general es mejor emplear la forma de establecer las preferencias con la que el tomador de decisión se sienta más cómodo (</w:t>
      </w:r>
      <w:proofErr w:type="spellStart"/>
      <w:r w:rsidRPr="00BD1319">
        <w:rPr>
          <w:spacing w:val="-3"/>
        </w:rPr>
        <w:t>Guitouni</w:t>
      </w:r>
      <w:proofErr w:type="spellEnd"/>
      <w:r w:rsidRPr="00BD1319">
        <w:rPr>
          <w:spacing w:val="-3"/>
        </w:rPr>
        <w:t xml:space="preserve"> &amp; Martel, 1998), es pertinente contemplar otros mecanismos cuando los métodos conocidos no poseen todas las características deseadas para la evaluación.</w:t>
      </w:r>
      <w:bookmarkEnd w:id="2369"/>
    </w:p>
    <w:p w14:paraId="3994F4D5" w14:textId="77777777" w:rsidR="00F15672" w:rsidRPr="00BD1319" w:rsidRDefault="00F15672" w:rsidP="009524B7">
      <w:pPr>
        <w:numPr>
          <w:ilvl w:val="12"/>
          <w:numId w:val="0"/>
        </w:numPr>
        <w:tabs>
          <w:tab w:val="left" w:pos="-2268"/>
        </w:tabs>
        <w:suppressAutoHyphens/>
        <w:ind w:left="567"/>
        <w:rPr>
          <w:spacing w:val="-3"/>
        </w:rPr>
      </w:pPr>
    </w:p>
    <w:p w14:paraId="228167B9" w14:textId="2D11EE75" w:rsidR="00F15672" w:rsidRPr="00BD1319" w:rsidRDefault="00F15672" w:rsidP="009524B7">
      <w:pPr>
        <w:numPr>
          <w:ilvl w:val="12"/>
          <w:numId w:val="0"/>
        </w:numPr>
        <w:tabs>
          <w:tab w:val="left" w:pos="-2268"/>
        </w:tabs>
        <w:suppressAutoHyphens/>
        <w:ind w:left="567"/>
        <w:rPr>
          <w:spacing w:val="-3"/>
        </w:rPr>
      </w:pPr>
      <w:r w:rsidRPr="00BD1319">
        <w:rPr>
          <w:spacing w:val="-3"/>
        </w:rPr>
        <w:lastRenderedPageBreak/>
        <w:t xml:space="preserve">De otra parte, es importante tener en cuenta que existen diferentes relaciones de preferencias entre alternativas y que los métodos de EMC pueden emplear varias de ellas (ver columna 5 de la </w:t>
      </w:r>
      <w:r w:rsidR="00D0241B" w:rsidRPr="00BD1319">
        <w:rPr>
          <w:spacing w:val="-3"/>
        </w:rPr>
        <w:fldChar w:fldCharType="begin"/>
      </w:r>
      <w:r w:rsidR="00D0241B" w:rsidRPr="00BD1319">
        <w:rPr>
          <w:spacing w:val="-3"/>
        </w:rPr>
        <w:instrText xml:space="preserve"> REF _Ref138759265 \h </w:instrText>
      </w:r>
      <w:r w:rsidR="00BD1319">
        <w:rPr>
          <w:spacing w:val="-3"/>
        </w:rPr>
        <w:instrText xml:space="preserve"> \* MERGEFORMAT </w:instrText>
      </w:r>
      <w:r w:rsidR="00D0241B" w:rsidRPr="00BD1319">
        <w:rPr>
          <w:spacing w:val="-3"/>
        </w:rPr>
      </w:r>
      <w:r w:rsidR="00D0241B" w:rsidRPr="00BD1319">
        <w:rPr>
          <w:spacing w:val="-3"/>
        </w:rPr>
        <w:fldChar w:fldCharType="separate"/>
      </w:r>
      <w:r w:rsidR="00296654" w:rsidRPr="00BD1319">
        <w:t xml:space="preserve">Tabla </w:t>
      </w:r>
      <w:r w:rsidR="00296654" w:rsidRPr="00BD1319">
        <w:rPr>
          <w:noProof/>
        </w:rPr>
        <w:t>15</w:t>
      </w:r>
      <w:r w:rsidR="00D0241B" w:rsidRPr="00BD1319">
        <w:rPr>
          <w:spacing w:val="-3"/>
        </w:rPr>
        <w:fldChar w:fldCharType="end"/>
      </w:r>
      <w:r w:rsidRPr="00BD1319">
        <w:rPr>
          <w:spacing w:val="-3"/>
        </w:rPr>
        <w:t xml:space="preserve">). A continuación, se señalan las relaciones de preferencia planteadas por </w:t>
      </w:r>
      <w:proofErr w:type="spellStart"/>
      <w:r w:rsidRPr="00BD1319">
        <w:rPr>
          <w:spacing w:val="-3"/>
        </w:rPr>
        <w:t>Guitouni</w:t>
      </w:r>
      <w:proofErr w:type="spellEnd"/>
      <w:r w:rsidRPr="00BD1319">
        <w:rPr>
          <w:spacing w:val="-3"/>
        </w:rPr>
        <w:t xml:space="preserve"> &amp; Martel (1998):</w:t>
      </w:r>
    </w:p>
    <w:p w14:paraId="5974DD9A" w14:textId="77777777" w:rsidR="00F15672" w:rsidRPr="00BD1319" w:rsidRDefault="00F15672" w:rsidP="00F15672">
      <w:pPr>
        <w:numPr>
          <w:ilvl w:val="12"/>
          <w:numId w:val="0"/>
        </w:numPr>
        <w:tabs>
          <w:tab w:val="left" w:pos="-2268"/>
        </w:tabs>
        <w:suppressAutoHyphens/>
        <w:rPr>
          <w:spacing w:val="-3"/>
        </w:rPr>
      </w:pPr>
    </w:p>
    <w:p w14:paraId="73663C07" w14:textId="77777777" w:rsidR="00F15672" w:rsidRPr="00BD1319" w:rsidRDefault="00F15672" w:rsidP="009524B7">
      <w:pPr>
        <w:numPr>
          <w:ilvl w:val="1"/>
          <w:numId w:val="654"/>
        </w:numPr>
        <w:tabs>
          <w:tab w:val="left" w:pos="-2268"/>
        </w:tabs>
        <w:suppressAutoHyphens/>
        <w:ind w:left="1134" w:hanging="567"/>
        <w:rPr>
          <w:spacing w:val="-3"/>
        </w:rPr>
      </w:pPr>
      <w:bookmarkStart w:id="2370" w:name="_Hlk122422410"/>
      <w:r w:rsidRPr="00BD1319">
        <w:rPr>
          <w:spacing w:val="-3"/>
        </w:rPr>
        <w:t xml:space="preserve">Relación de </w:t>
      </w:r>
      <w:r w:rsidRPr="00BD1319">
        <w:rPr>
          <w:b/>
          <w:bCs/>
          <w:spacing w:val="-3"/>
        </w:rPr>
        <w:t>preferencia (P)</w:t>
      </w:r>
      <w:r w:rsidRPr="00BD1319">
        <w:rPr>
          <w:spacing w:val="-3"/>
        </w:rPr>
        <w:t xml:space="preserve"> de una alternativa sobre otra. Por ejemplo, la alternativa A se prefiere sobre la alternativa B.</w:t>
      </w:r>
    </w:p>
    <w:p w14:paraId="20438DD8" w14:textId="77777777" w:rsidR="009524B7" w:rsidRPr="00BD1319" w:rsidRDefault="009524B7" w:rsidP="000D468E">
      <w:pPr>
        <w:tabs>
          <w:tab w:val="left" w:pos="-2268"/>
        </w:tabs>
        <w:suppressAutoHyphens/>
        <w:rPr>
          <w:spacing w:val="-3"/>
        </w:rPr>
      </w:pPr>
    </w:p>
    <w:p w14:paraId="3419C5A4" w14:textId="77777777" w:rsidR="00F15672" w:rsidRPr="00BD1319" w:rsidRDefault="00F15672" w:rsidP="009524B7">
      <w:pPr>
        <w:numPr>
          <w:ilvl w:val="1"/>
          <w:numId w:val="654"/>
        </w:numPr>
        <w:tabs>
          <w:tab w:val="left" w:pos="-2268"/>
        </w:tabs>
        <w:suppressAutoHyphens/>
        <w:ind w:left="1134" w:hanging="567"/>
        <w:rPr>
          <w:spacing w:val="-3"/>
        </w:rPr>
      </w:pPr>
      <w:r w:rsidRPr="00BD1319">
        <w:rPr>
          <w:spacing w:val="-3"/>
        </w:rPr>
        <w:t xml:space="preserve">Relación de </w:t>
      </w:r>
      <w:r w:rsidRPr="00BD1319">
        <w:rPr>
          <w:b/>
          <w:bCs/>
          <w:spacing w:val="-3"/>
        </w:rPr>
        <w:t>indiferencia (I)</w:t>
      </w:r>
      <w:r w:rsidRPr="00BD1319">
        <w:rPr>
          <w:spacing w:val="-3"/>
        </w:rPr>
        <w:t xml:space="preserve"> entre alternativas. Por ejemplo, la alternativa A es indiferente sobre la alternativa B. El tomador de decisión es indiferente o no tiene preferencias sobre las alternativas.</w:t>
      </w:r>
    </w:p>
    <w:p w14:paraId="31447B46" w14:textId="77777777" w:rsidR="009524B7" w:rsidRPr="00BD1319" w:rsidRDefault="009524B7" w:rsidP="000D468E">
      <w:pPr>
        <w:tabs>
          <w:tab w:val="left" w:pos="-2268"/>
        </w:tabs>
        <w:suppressAutoHyphens/>
        <w:rPr>
          <w:spacing w:val="-3"/>
        </w:rPr>
      </w:pPr>
    </w:p>
    <w:p w14:paraId="5BBFEA09" w14:textId="77777777" w:rsidR="00F15672" w:rsidRPr="00BD1319" w:rsidRDefault="00F15672" w:rsidP="000D468E">
      <w:pPr>
        <w:numPr>
          <w:ilvl w:val="1"/>
          <w:numId w:val="654"/>
        </w:numPr>
        <w:tabs>
          <w:tab w:val="left" w:pos="-2268"/>
        </w:tabs>
        <w:suppressAutoHyphens/>
        <w:ind w:left="1134" w:hanging="567"/>
        <w:rPr>
          <w:spacing w:val="-3"/>
        </w:rPr>
      </w:pPr>
      <w:r w:rsidRPr="00BD1319">
        <w:rPr>
          <w:spacing w:val="-3"/>
        </w:rPr>
        <w:t xml:space="preserve">Relación de </w:t>
      </w:r>
      <w:r w:rsidRPr="00BD1319">
        <w:rPr>
          <w:b/>
          <w:bCs/>
          <w:spacing w:val="-3"/>
        </w:rPr>
        <w:t>débil preferencia (Q)</w:t>
      </w:r>
      <w:r w:rsidRPr="00BD1319">
        <w:rPr>
          <w:spacing w:val="-3"/>
        </w:rPr>
        <w:t xml:space="preserve"> entre alternativas. Por ejemplo, no es posible establecer si A es indiferente de B, o si A se prefiere sobre B.</w:t>
      </w:r>
    </w:p>
    <w:p w14:paraId="5111FF9E" w14:textId="77777777" w:rsidR="009524B7" w:rsidRPr="00BD1319" w:rsidRDefault="009524B7" w:rsidP="000D468E">
      <w:pPr>
        <w:tabs>
          <w:tab w:val="left" w:pos="-2268"/>
        </w:tabs>
        <w:suppressAutoHyphens/>
        <w:rPr>
          <w:spacing w:val="-3"/>
        </w:rPr>
      </w:pPr>
    </w:p>
    <w:p w14:paraId="6C8243B8" w14:textId="4803B3B5" w:rsidR="00F15672" w:rsidRPr="00BD1319" w:rsidRDefault="00F15672" w:rsidP="000D468E">
      <w:pPr>
        <w:numPr>
          <w:ilvl w:val="1"/>
          <w:numId w:val="654"/>
        </w:numPr>
        <w:tabs>
          <w:tab w:val="left" w:pos="-2268"/>
        </w:tabs>
        <w:suppressAutoHyphens/>
        <w:ind w:left="1134" w:hanging="567"/>
        <w:rPr>
          <w:spacing w:val="-3"/>
        </w:rPr>
      </w:pPr>
      <w:r w:rsidRPr="00BD1319">
        <w:rPr>
          <w:spacing w:val="-3"/>
        </w:rPr>
        <w:t xml:space="preserve">Relación de </w:t>
      </w:r>
      <w:proofErr w:type="spellStart"/>
      <w:r w:rsidRPr="00BD1319">
        <w:rPr>
          <w:b/>
          <w:bCs/>
          <w:spacing w:val="-3"/>
        </w:rPr>
        <w:t>incomparabilidad</w:t>
      </w:r>
      <w:proofErr w:type="spellEnd"/>
      <w:r w:rsidRPr="00BD1319">
        <w:rPr>
          <w:b/>
          <w:bCs/>
          <w:spacing w:val="-3"/>
        </w:rPr>
        <w:t xml:space="preserve"> (R)</w:t>
      </w:r>
      <w:r w:rsidRPr="00BD1319">
        <w:rPr>
          <w:spacing w:val="-3"/>
        </w:rPr>
        <w:t>. No es posible establecer si A se prefiere sobre B, o si B se prefiere sobre A.</w:t>
      </w:r>
    </w:p>
    <w:p w14:paraId="4430F014" w14:textId="77777777" w:rsidR="009524B7" w:rsidRPr="00BD1319" w:rsidRDefault="009524B7" w:rsidP="000D468E">
      <w:pPr>
        <w:tabs>
          <w:tab w:val="left" w:pos="-2268"/>
        </w:tabs>
        <w:suppressAutoHyphens/>
        <w:rPr>
          <w:spacing w:val="-3"/>
        </w:rPr>
      </w:pPr>
    </w:p>
    <w:p w14:paraId="5C6CCBA0" w14:textId="7B1087A6" w:rsidR="00F15672" w:rsidRPr="00BD1319" w:rsidRDefault="00F15672" w:rsidP="000D468E">
      <w:pPr>
        <w:numPr>
          <w:ilvl w:val="1"/>
          <w:numId w:val="654"/>
        </w:numPr>
        <w:tabs>
          <w:tab w:val="left" w:pos="-2268"/>
        </w:tabs>
        <w:suppressAutoHyphens/>
        <w:ind w:left="1134" w:hanging="567"/>
        <w:rPr>
          <w:spacing w:val="-3"/>
        </w:rPr>
      </w:pPr>
      <w:r w:rsidRPr="00BD1319">
        <w:rPr>
          <w:spacing w:val="-3"/>
        </w:rPr>
        <w:t xml:space="preserve">Relación de </w:t>
      </w:r>
      <w:r w:rsidRPr="00BD1319">
        <w:rPr>
          <w:b/>
          <w:bCs/>
          <w:spacing w:val="-3"/>
        </w:rPr>
        <w:t>superación (S) (</w:t>
      </w:r>
      <w:proofErr w:type="spellStart"/>
      <w:r w:rsidRPr="00BD1319">
        <w:rPr>
          <w:b/>
          <w:bCs/>
          <w:spacing w:val="-3"/>
        </w:rPr>
        <w:t>outranking</w:t>
      </w:r>
      <w:proofErr w:type="spellEnd"/>
      <w:r w:rsidRPr="00BD1319">
        <w:rPr>
          <w:b/>
          <w:bCs/>
          <w:spacing w:val="-3"/>
        </w:rPr>
        <w:t>)</w:t>
      </w:r>
      <w:r w:rsidRPr="00BD1319">
        <w:rPr>
          <w:spacing w:val="-3"/>
        </w:rPr>
        <w:t>. Por ejemplo, cuando hay una fuerte razón para creer que con respecto a todos los criterios evaluados A es por lo menos tan buena como B (o no peor que B) y no existen razones que impidan aseverarlo.</w:t>
      </w:r>
    </w:p>
    <w:bookmarkEnd w:id="2370"/>
    <w:p w14:paraId="1C289EF0" w14:textId="77777777" w:rsidR="009524B7" w:rsidRPr="00BD1319" w:rsidRDefault="009524B7" w:rsidP="00F15672">
      <w:pPr>
        <w:numPr>
          <w:ilvl w:val="12"/>
          <w:numId w:val="0"/>
        </w:numPr>
        <w:tabs>
          <w:tab w:val="left" w:pos="-2268"/>
        </w:tabs>
        <w:suppressAutoHyphens/>
        <w:rPr>
          <w:spacing w:val="-3"/>
        </w:rPr>
      </w:pPr>
    </w:p>
    <w:p w14:paraId="476E1C8F" w14:textId="77777777" w:rsidR="00F15672" w:rsidRPr="00BD1319" w:rsidRDefault="00F15672" w:rsidP="000D468E">
      <w:pPr>
        <w:numPr>
          <w:ilvl w:val="0"/>
          <w:numId w:val="651"/>
        </w:numPr>
        <w:tabs>
          <w:tab w:val="left" w:pos="-2268"/>
        </w:tabs>
        <w:suppressAutoHyphens/>
        <w:ind w:left="567" w:hanging="567"/>
        <w:rPr>
          <w:spacing w:val="-3"/>
        </w:rPr>
      </w:pPr>
      <w:r w:rsidRPr="00BD1319">
        <w:rPr>
          <w:b/>
          <w:bCs/>
          <w:spacing w:val="-3"/>
        </w:rPr>
        <w:t>Procedimiento de agregación</w:t>
      </w:r>
      <w:r w:rsidRPr="00BD1319">
        <w:rPr>
          <w:spacing w:val="-3"/>
        </w:rPr>
        <w:t>. Define cómo los métodos de EMC integran las evaluaciones individuales de cada criterio para llegar a una conclusión, primero sobre una alternativa, y luego, sobre el conjunto de alternativas evaluadas. Aplicar cada método es cuestión de ejecutar correctamente el procedimiento matemático que lo define (</w:t>
      </w:r>
      <w:bookmarkStart w:id="2371" w:name="_Hlk122505079"/>
      <w:proofErr w:type="spellStart"/>
      <w:r w:rsidRPr="00BD1319">
        <w:rPr>
          <w:spacing w:val="-3"/>
        </w:rPr>
        <w:t>Shmelev</w:t>
      </w:r>
      <w:proofErr w:type="spellEnd"/>
      <w:r w:rsidRPr="00BD1319">
        <w:rPr>
          <w:spacing w:val="-3"/>
        </w:rPr>
        <w:t>, 2012</w:t>
      </w:r>
      <w:bookmarkEnd w:id="2371"/>
      <w:r w:rsidRPr="00BD1319">
        <w:rPr>
          <w:spacing w:val="-3"/>
        </w:rPr>
        <w:t xml:space="preserve">), para lo cual, es posible usar programas informáticos. Estos procedimientos de agregación según </w:t>
      </w:r>
      <w:bookmarkStart w:id="2372" w:name="_Hlk122504537"/>
      <w:proofErr w:type="spellStart"/>
      <w:r w:rsidRPr="00BD1319">
        <w:rPr>
          <w:spacing w:val="-3"/>
        </w:rPr>
        <w:t>Guitouni</w:t>
      </w:r>
      <w:proofErr w:type="spellEnd"/>
      <w:r w:rsidRPr="00BD1319">
        <w:rPr>
          <w:spacing w:val="-3"/>
        </w:rPr>
        <w:t xml:space="preserve"> &amp; Martel (1998)</w:t>
      </w:r>
      <w:bookmarkEnd w:id="2372"/>
      <w:r w:rsidRPr="00BD1319">
        <w:rPr>
          <w:spacing w:val="-3"/>
        </w:rPr>
        <w:t xml:space="preserve"> pueden clasificarse en:</w:t>
      </w:r>
    </w:p>
    <w:p w14:paraId="664A6566" w14:textId="77777777" w:rsidR="00F15672" w:rsidRPr="00BD1319" w:rsidRDefault="00F15672" w:rsidP="000D468E">
      <w:pPr>
        <w:numPr>
          <w:ilvl w:val="12"/>
          <w:numId w:val="0"/>
        </w:numPr>
        <w:tabs>
          <w:tab w:val="left" w:pos="-2268"/>
        </w:tabs>
        <w:suppressAutoHyphens/>
        <w:ind w:left="567" w:hanging="567"/>
        <w:rPr>
          <w:spacing w:val="-3"/>
        </w:rPr>
      </w:pPr>
    </w:p>
    <w:p w14:paraId="4F20F6E2" w14:textId="77777777" w:rsidR="00F15672" w:rsidRPr="00BD1319" w:rsidRDefault="00F15672" w:rsidP="009524B7">
      <w:pPr>
        <w:numPr>
          <w:ilvl w:val="1"/>
          <w:numId w:val="655"/>
        </w:numPr>
        <w:tabs>
          <w:tab w:val="left" w:pos="-2268"/>
        </w:tabs>
        <w:suppressAutoHyphens/>
        <w:ind w:left="1134" w:hanging="567"/>
        <w:rPr>
          <w:spacing w:val="-3"/>
        </w:rPr>
      </w:pPr>
      <w:bookmarkStart w:id="2373" w:name="_Hlk122363343"/>
      <w:r w:rsidRPr="00BD1319">
        <w:rPr>
          <w:spacing w:val="-3"/>
        </w:rPr>
        <w:t>Elementales.</w:t>
      </w:r>
    </w:p>
    <w:p w14:paraId="66D0F06C" w14:textId="77777777" w:rsidR="009524B7" w:rsidRPr="00BD1319" w:rsidRDefault="009524B7" w:rsidP="000D468E">
      <w:pPr>
        <w:tabs>
          <w:tab w:val="left" w:pos="-2268"/>
        </w:tabs>
        <w:suppressAutoHyphens/>
        <w:rPr>
          <w:spacing w:val="-3"/>
        </w:rPr>
      </w:pPr>
    </w:p>
    <w:p w14:paraId="3EAC2D78" w14:textId="77777777" w:rsidR="00F15672" w:rsidRPr="00BD1319" w:rsidRDefault="00F15672" w:rsidP="000D468E">
      <w:pPr>
        <w:numPr>
          <w:ilvl w:val="1"/>
          <w:numId w:val="655"/>
        </w:numPr>
        <w:tabs>
          <w:tab w:val="left" w:pos="-2268"/>
        </w:tabs>
        <w:suppressAutoHyphens/>
        <w:ind w:left="1134" w:hanging="567"/>
        <w:rPr>
          <w:spacing w:val="-3"/>
        </w:rPr>
      </w:pPr>
      <w:r w:rsidRPr="00BD1319">
        <w:rPr>
          <w:spacing w:val="-3"/>
        </w:rPr>
        <w:t>De síntesis mediante un criterio único.</w:t>
      </w:r>
    </w:p>
    <w:p w14:paraId="2F932B00" w14:textId="77777777" w:rsidR="009524B7" w:rsidRPr="00BD1319" w:rsidRDefault="009524B7" w:rsidP="000D468E">
      <w:pPr>
        <w:tabs>
          <w:tab w:val="left" w:pos="-2268"/>
        </w:tabs>
        <w:suppressAutoHyphens/>
        <w:rPr>
          <w:spacing w:val="-3"/>
        </w:rPr>
      </w:pPr>
    </w:p>
    <w:p w14:paraId="6E59279D" w14:textId="12DC7C24" w:rsidR="00F15672" w:rsidRPr="00BD1319" w:rsidRDefault="00F15672" w:rsidP="000D468E">
      <w:pPr>
        <w:numPr>
          <w:ilvl w:val="1"/>
          <w:numId w:val="655"/>
        </w:numPr>
        <w:tabs>
          <w:tab w:val="left" w:pos="-2268"/>
        </w:tabs>
        <w:suppressAutoHyphens/>
        <w:ind w:left="1134" w:hanging="567"/>
        <w:rPr>
          <w:spacing w:val="-3"/>
        </w:rPr>
      </w:pPr>
      <w:r w:rsidRPr="00BD1319">
        <w:rPr>
          <w:spacing w:val="-3"/>
        </w:rPr>
        <w:t>De síntesis mediante superación (</w:t>
      </w:r>
      <w:proofErr w:type="spellStart"/>
      <w:r w:rsidRPr="00BD1319">
        <w:rPr>
          <w:spacing w:val="-3"/>
        </w:rPr>
        <w:t>outranking</w:t>
      </w:r>
      <w:proofErr w:type="spellEnd"/>
      <w:r w:rsidRPr="00BD1319">
        <w:rPr>
          <w:spacing w:val="-3"/>
        </w:rPr>
        <w:t>).</w:t>
      </w:r>
    </w:p>
    <w:p w14:paraId="64110049" w14:textId="77777777" w:rsidR="009524B7" w:rsidRPr="00BD1319" w:rsidRDefault="009524B7" w:rsidP="000D468E">
      <w:pPr>
        <w:tabs>
          <w:tab w:val="left" w:pos="-2268"/>
        </w:tabs>
        <w:suppressAutoHyphens/>
        <w:rPr>
          <w:spacing w:val="-3"/>
        </w:rPr>
      </w:pPr>
    </w:p>
    <w:p w14:paraId="6D5195C3" w14:textId="65A0C777" w:rsidR="00F15672" w:rsidRPr="00BD1319" w:rsidRDefault="00F15672" w:rsidP="000D468E">
      <w:pPr>
        <w:numPr>
          <w:ilvl w:val="1"/>
          <w:numId w:val="655"/>
        </w:numPr>
        <w:tabs>
          <w:tab w:val="left" w:pos="-2268"/>
        </w:tabs>
        <w:suppressAutoHyphens/>
        <w:ind w:left="1134" w:hanging="567"/>
        <w:rPr>
          <w:spacing w:val="-3"/>
        </w:rPr>
      </w:pPr>
      <w:r w:rsidRPr="00BD1319">
        <w:rPr>
          <w:spacing w:val="-3"/>
        </w:rPr>
        <w:t>De juicios interactivos con aproximación de prueba y error.</w:t>
      </w:r>
    </w:p>
    <w:bookmarkEnd w:id="2373"/>
    <w:p w14:paraId="6DEB510C" w14:textId="77777777" w:rsidR="00F15672" w:rsidRPr="00BD1319" w:rsidRDefault="00F15672" w:rsidP="000D468E">
      <w:pPr>
        <w:numPr>
          <w:ilvl w:val="12"/>
          <w:numId w:val="0"/>
        </w:numPr>
        <w:tabs>
          <w:tab w:val="left" w:pos="-2268"/>
        </w:tabs>
        <w:suppressAutoHyphens/>
        <w:ind w:left="567" w:hanging="567"/>
        <w:rPr>
          <w:spacing w:val="-3"/>
        </w:rPr>
      </w:pPr>
    </w:p>
    <w:p w14:paraId="77913942" w14:textId="23F5CC5B" w:rsidR="00F15672" w:rsidRPr="00BD1319" w:rsidRDefault="00F15672" w:rsidP="000D468E">
      <w:pPr>
        <w:numPr>
          <w:ilvl w:val="12"/>
          <w:numId w:val="0"/>
        </w:numPr>
        <w:tabs>
          <w:tab w:val="left" w:pos="-2268"/>
        </w:tabs>
        <w:suppressAutoHyphens/>
        <w:ind w:left="567"/>
        <w:rPr>
          <w:spacing w:val="-3"/>
        </w:rPr>
      </w:pPr>
      <w:r w:rsidRPr="00BD1319">
        <w:rPr>
          <w:spacing w:val="-3"/>
        </w:rPr>
        <w:lastRenderedPageBreak/>
        <w:t xml:space="preserve">La columna 1 de la </w:t>
      </w:r>
      <w:r w:rsidR="00D0241B" w:rsidRPr="00BD1319">
        <w:rPr>
          <w:spacing w:val="-3"/>
        </w:rPr>
        <w:fldChar w:fldCharType="begin"/>
      </w:r>
      <w:r w:rsidR="00D0241B" w:rsidRPr="00BD1319">
        <w:rPr>
          <w:spacing w:val="-3"/>
        </w:rPr>
        <w:instrText xml:space="preserve"> REF _Ref138759265 \h </w:instrText>
      </w:r>
      <w:r w:rsidR="00BD1319">
        <w:rPr>
          <w:spacing w:val="-3"/>
        </w:rPr>
        <w:instrText xml:space="preserve"> \* MERGEFORMAT </w:instrText>
      </w:r>
      <w:r w:rsidR="00D0241B" w:rsidRPr="00BD1319">
        <w:rPr>
          <w:spacing w:val="-3"/>
        </w:rPr>
      </w:r>
      <w:r w:rsidR="00D0241B" w:rsidRPr="00BD1319">
        <w:rPr>
          <w:spacing w:val="-3"/>
        </w:rPr>
        <w:fldChar w:fldCharType="separate"/>
      </w:r>
      <w:r w:rsidR="00296654" w:rsidRPr="00BD1319">
        <w:t xml:space="preserve">Tabla </w:t>
      </w:r>
      <w:r w:rsidR="00296654" w:rsidRPr="00BD1319">
        <w:rPr>
          <w:noProof/>
        </w:rPr>
        <w:t>15</w:t>
      </w:r>
      <w:r w:rsidR="00D0241B" w:rsidRPr="00BD1319">
        <w:rPr>
          <w:spacing w:val="-3"/>
        </w:rPr>
        <w:fldChar w:fldCharType="end"/>
      </w:r>
      <w:r w:rsidR="00D0241B" w:rsidRPr="00BD1319">
        <w:rPr>
          <w:spacing w:val="-3"/>
        </w:rPr>
        <w:t xml:space="preserve"> </w:t>
      </w:r>
      <w:r w:rsidRPr="00BD1319">
        <w:rPr>
          <w:spacing w:val="-3"/>
        </w:rPr>
        <w:t>señala el tipo de procedimiento de agregación de los métodos de EMC más importantes.</w:t>
      </w:r>
    </w:p>
    <w:p w14:paraId="194E9B94" w14:textId="77777777" w:rsidR="00F15672" w:rsidRPr="00BD1319" w:rsidRDefault="00F15672" w:rsidP="00F15672">
      <w:pPr>
        <w:numPr>
          <w:ilvl w:val="12"/>
          <w:numId w:val="0"/>
        </w:numPr>
        <w:tabs>
          <w:tab w:val="left" w:pos="-2268"/>
        </w:tabs>
        <w:suppressAutoHyphens/>
        <w:rPr>
          <w:spacing w:val="-3"/>
        </w:rPr>
      </w:pPr>
    </w:p>
    <w:p w14:paraId="77B34751" w14:textId="27AD8E56" w:rsidR="00F15672" w:rsidRPr="00BD1319" w:rsidRDefault="00F15672" w:rsidP="000D468E">
      <w:pPr>
        <w:numPr>
          <w:ilvl w:val="0"/>
          <w:numId w:val="651"/>
        </w:numPr>
        <w:tabs>
          <w:tab w:val="left" w:pos="-2268"/>
        </w:tabs>
        <w:suppressAutoHyphens/>
        <w:ind w:left="567" w:hanging="567"/>
        <w:rPr>
          <w:spacing w:val="-3"/>
        </w:rPr>
      </w:pPr>
      <w:bookmarkStart w:id="2374" w:name="_Hlk122364078"/>
      <w:r w:rsidRPr="00BD1319">
        <w:rPr>
          <w:b/>
          <w:bCs/>
          <w:spacing w:val="-3"/>
        </w:rPr>
        <w:t>Tipo de decisión que se quiere tomar</w:t>
      </w:r>
      <w:r w:rsidRPr="00BD1319">
        <w:rPr>
          <w:spacing w:val="-3"/>
        </w:rPr>
        <w:t>. Los métodos de EMC se pueden emplear para tomar diferentes tipos de decisión, entre ellas para elegir, ordenar (clasificar), o calificar las alternativas (</w:t>
      </w:r>
      <w:proofErr w:type="spellStart"/>
      <w:r w:rsidRPr="00BD1319">
        <w:rPr>
          <w:spacing w:val="-3"/>
        </w:rPr>
        <w:t>Guitouni</w:t>
      </w:r>
      <w:proofErr w:type="spellEnd"/>
      <w:r w:rsidRPr="00BD1319">
        <w:rPr>
          <w:spacing w:val="-3"/>
        </w:rPr>
        <w:t xml:space="preserve"> &amp; Martel, 1998). Cada método puede soportar uno o varios de estos propósitos, de modo que la forma de establecer la o las alternativas sobre las cuales elaborar el EIA dependerá del método seleccionado</w:t>
      </w:r>
      <w:bookmarkEnd w:id="2374"/>
      <w:r w:rsidRPr="00BD1319">
        <w:rPr>
          <w:spacing w:val="-3"/>
        </w:rPr>
        <w:t xml:space="preserve">. Ver columna 6 de la </w:t>
      </w:r>
      <w:r w:rsidR="00D0241B" w:rsidRPr="00BD1319">
        <w:rPr>
          <w:spacing w:val="-3"/>
        </w:rPr>
        <w:fldChar w:fldCharType="begin"/>
      </w:r>
      <w:r w:rsidR="00D0241B" w:rsidRPr="00BD1319">
        <w:rPr>
          <w:spacing w:val="-3"/>
        </w:rPr>
        <w:instrText xml:space="preserve"> REF _Ref138759265 \h </w:instrText>
      </w:r>
      <w:r w:rsidR="00BD1319">
        <w:rPr>
          <w:spacing w:val="-3"/>
        </w:rPr>
        <w:instrText xml:space="preserve"> \* MERGEFORMAT </w:instrText>
      </w:r>
      <w:r w:rsidR="00D0241B" w:rsidRPr="00BD1319">
        <w:rPr>
          <w:spacing w:val="-3"/>
        </w:rPr>
      </w:r>
      <w:r w:rsidR="00D0241B" w:rsidRPr="00BD1319">
        <w:rPr>
          <w:spacing w:val="-3"/>
        </w:rPr>
        <w:fldChar w:fldCharType="separate"/>
      </w:r>
      <w:r w:rsidR="00296654" w:rsidRPr="00BD1319">
        <w:t xml:space="preserve">Tabla </w:t>
      </w:r>
      <w:r w:rsidR="00296654" w:rsidRPr="00BD1319">
        <w:rPr>
          <w:noProof/>
        </w:rPr>
        <w:t>15</w:t>
      </w:r>
      <w:r w:rsidR="00D0241B" w:rsidRPr="00BD1319">
        <w:rPr>
          <w:spacing w:val="-3"/>
        </w:rPr>
        <w:fldChar w:fldCharType="end"/>
      </w:r>
      <w:r w:rsidRPr="00BD1319">
        <w:rPr>
          <w:spacing w:val="-3"/>
        </w:rPr>
        <w:t>.</w:t>
      </w:r>
    </w:p>
    <w:p w14:paraId="33C3E45D" w14:textId="77777777" w:rsidR="00F15672" w:rsidRPr="00BD1319" w:rsidRDefault="00F15672" w:rsidP="00F15672">
      <w:pPr>
        <w:numPr>
          <w:ilvl w:val="12"/>
          <w:numId w:val="0"/>
        </w:numPr>
        <w:tabs>
          <w:tab w:val="left" w:pos="-2268"/>
        </w:tabs>
        <w:suppressAutoHyphens/>
        <w:rPr>
          <w:spacing w:val="-3"/>
        </w:rPr>
      </w:pPr>
    </w:p>
    <w:p w14:paraId="7D1C9A06" w14:textId="77777777" w:rsidR="00F15672" w:rsidRPr="00BD1319" w:rsidRDefault="00F15672" w:rsidP="000D468E">
      <w:pPr>
        <w:numPr>
          <w:ilvl w:val="12"/>
          <w:numId w:val="0"/>
        </w:numPr>
        <w:tabs>
          <w:tab w:val="left" w:pos="-2268"/>
        </w:tabs>
        <w:suppressAutoHyphens/>
        <w:ind w:left="567"/>
        <w:rPr>
          <w:spacing w:val="-3"/>
        </w:rPr>
      </w:pPr>
      <w:r w:rsidRPr="00BD1319">
        <w:rPr>
          <w:spacing w:val="-3"/>
        </w:rPr>
        <w:t>En el caso del licenciamiento ambiental, cualquiera de estas posibilidades es válida, aunque los métodos que permiten ordenar o mejor aún, calificar las alternativas, deberían preferirse en razón a que permiten identificar más claramente las diferencias entre las alternativas y las razones por las cuales se seleccionaron.</w:t>
      </w:r>
    </w:p>
    <w:p w14:paraId="4D4DDB01" w14:textId="77777777" w:rsidR="00F15672" w:rsidRPr="00BD1319" w:rsidRDefault="00F15672" w:rsidP="00F15672">
      <w:pPr>
        <w:numPr>
          <w:ilvl w:val="12"/>
          <w:numId w:val="0"/>
        </w:numPr>
        <w:tabs>
          <w:tab w:val="left" w:pos="-2268"/>
        </w:tabs>
        <w:suppressAutoHyphens/>
        <w:rPr>
          <w:spacing w:val="-3"/>
        </w:rPr>
      </w:pPr>
    </w:p>
    <w:p w14:paraId="3ED794E6" w14:textId="483A3376" w:rsidR="00F15672" w:rsidRPr="00BD1319" w:rsidRDefault="00F15672" w:rsidP="000D468E">
      <w:pPr>
        <w:numPr>
          <w:ilvl w:val="0"/>
          <w:numId w:val="651"/>
        </w:numPr>
        <w:tabs>
          <w:tab w:val="left" w:pos="-2268"/>
        </w:tabs>
        <w:suppressAutoHyphens/>
        <w:ind w:left="567" w:hanging="567"/>
        <w:rPr>
          <w:spacing w:val="-3"/>
        </w:rPr>
      </w:pPr>
      <w:r w:rsidRPr="00BD1319">
        <w:rPr>
          <w:b/>
          <w:bCs/>
          <w:spacing w:val="-3"/>
        </w:rPr>
        <w:t>Tipos de información</w:t>
      </w:r>
      <w:r w:rsidRPr="00BD1319">
        <w:rPr>
          <w:spacing w:val="-3"/>
        </w:rPr>
        <w:t>. Los métodos de EMC pueden emplear diferentes tipos de información, la cual puede ser ordinal, cardinal o mixta (cuando la EMC usa datos ordinales y cardinales a la vez), y para cualquiera de estos casos, puede ser determinística, no determinística o mixta (</w:t>
      </w:r>
      <w:proofErr w:type="spellStart"/>
      <w:r w:rsidRPr="00BD1319">
        <w:rPr>
          <w:spacing w:val="-3"/>
        </w:rPr>
        <w:t>Guitouni</w:t>
      </w:r>
      <w:proofErr w:type="spellEnd"/>
      <w:r w:rsidRPr="00BD1319">
        <w:rPr>
          <w:spacing w:val="-3"/>
        </w:rPr>
        <w:t xml:space="preserve"> &amp; Martel, 1998). Para seleccionar el método de EMC apropiado es necesario conocer las características de la información disponible, por lo tanto, tanto el desarrollador del DAA como la autoridad ambiental deben considerar la cantidad y calidad de información que tengan a su disposición. Las columnas 7 a 11 de la </w:t>
      </w:r>
      <w:r w:rsidR="00D0241B" w:rsidRPr="00BD1319">
        <w:rPr>
          <w:spacing w:val="-3"/>
        </w:rPr>
        <w:fldChar w:fldCharType="begin"/>
      </w:r>
      <w:r w:rsidR="00D0241B" w:rsidRPr="00BD1319">
        <w:rPr>
          <w:spacing w:val="-3"/>
        </w:rPr>
        <w:instrText xml:space="preserve"> REF _Ref138759265 \h </w:instrText>
      </w:r>
      <w:r w:rsidR="00BD1319">
        <w:rPr>
          <w:spacing w:val="-3"/>
        </w:rPr>
        <w:instrText xml:space="preserve"> \* MERGEFORMAT </w:instrText>
      </w:r>
      <w:r w:rsidR="00D0241B" w:rsidRPr="00BD1319">
        <w:rPr>
          <w:spacing w:val="-3"/>
        </w:rPr>
      </w:r>
      <w:r w:rsidR="00D0241B" w:rsidRPr="00BD1319">
        <w:rPr>
          <w:spacing w:val="-3"/>
        </w:rPr>
        <w:fldChar w:fldCharType="separate"/>
      </w:r>
      <w:r w:rsidR="00296654" w:rsidRPr="00BD1319">
        <w:t xml:space="preserve">Tabla </w:t>
      </w:r>
      <w:r w:rsidR="00296654" w:rsidRPr="00BD1319">
        <w:rPr>
          <w:noProof/>
        </w:rPr>
        <w:t>15</w:t>
      </w:r>
      <w:r w:rsidR="00D0241B" w:rsidRPr="00BD1319">
        <w:rPr>
          <w:spacing w:val="-3"/>
        </w:rPr>
        <w:fldChar w:fldCharType="end"/>
      </w:r>
      <w:r w:rsidR="00D0241B" w:rsidRPr="00BD1319">
        <w:rPr>
          <w:spacing w:val="-3"/>
        </w:rPr>
        <w:t xml:space="preserve"> </w:t>
      </w:r>
      <w:r w:rsidRPr="00BD1319">
        <w:rPr>
          <w:spacing w:val="-3"/>
        </w:rPr>
        <w:t>señalan los tipos y naturaleza de la información que soporta cada método.</w:t>
      </w:r>
    </w:p>
    <w:p w14:paraId="6F7805BB" w14:textId="77777777" w:rsidR="00F15672" w:rsidRPr="00BD1319" w:rsidRDefault="00F15672" w:rsidP="00F15672">
      <w:pPr>
        <w:numPr>
          <w:ilvl w:val="12"/>
          <w:numId w:val="0"/>
        </w:numPr>
        <w:tabs>
          <w:tab w:val="left" w:pos="-2268"/>
        </w:tabs>
        <w:suppressAutoHyphens/>
        <w:rPr>
          <w:spacing w:val="-3"/>
        </w:rPr>
      </w:pPr>
    </w:p>
    <w:p w14:paraId="6A80D064" w14:textId="7BD514DF" w:rsidR="00F15672" w:rsidRPr="00BD1319" w:rsidRDefault="00F15672" w:rsidP="000D468E">
      <w:pPr>
        <w:numPr>
          <w:ilvl w:val="0"/>
          <w:numId w:val="651"/>
        </w:numPr>
        <w:tabs>
          <w:tab w:val="left" w:pos="-2268"/>
        </w:tabs>
        <w:suppressAutoHyphens/>
        <w:ind w:left="567" w:hanging="567"/>
        <w:rPr>
          <w:spacing w:val="-3"/>
        </w:rPr>
      </w:pPr>
      <w:r w:rsidRPr="00BD1319">
        <w:rPr>
          <w:b/>
          <w:bCs/>
          <w:spacing w:val="-3"/>
        </w:rPr>
        <w:t>Grado de compensación</w:t>
      </w:r>
      <w:r w:rsidRPr="00BD1319">
        <w:rPr>
          <w:spacing w:val="-3"/>
        </w:rPr>
        <w:t>. La EMC de las alternativas puede permitir que existan diferentes grados de compensación entre las preferencias de cada criterio; es decir, durante la evaluación se puede establecer que una preferencia en un criterio compense las relaciones de preferencia de los demás criterios o bien, que una preferencia en un criterio no compense otras relaciones de preferencias en los demás criterios dado que todos los criterios son lo suficientemente importantes como para no admitir la compensación, tal como sucede en el método lexicográfico (</w:t>
      </w:r>
      <w:proofErr w:type="spellStart"/>
      <w:r w:rsidRPr="00BD1319">
        <w:rPr>
          <w:spacing w:val="-3"/>
        </w:rPr>
        <w:t>Guitouni</w:t>
      </w:r>
      <w:proofErr w:type="spellEnd"/>
      <w:r w:rsidRPr="00BD1319">
        <w:rPr>
          <w:spacing w:val="-3"/>
        </w:rPr>
        <w:t xml:space="preserve"> &amp; Martel, 1998; </w:t>
      </w:r>
      <w:proofErr w:type="spellStart"/>
      <w:r w:rsidRPr="00BD1319">
        <w:rPr>
          <w:spacing w:val="-3"/>
        </w:rPr>
        <w:t>Munda</w:t>
      </w:r>
      <w:proofErr w:type="spellEnd"/>
      <w:r w:rsidRPr="00BD1319">
        <w:rPr>
          <w:spacing w:val="-3"/>
        </w:rPr>
        <w:t xml:space="preserve">, 2008; DCLG, 2009). Ver columna 12 de la </w:t>
      </w:r>
      <w:r w:rsidR="00D0241B" w:rsidRPr="00BD1319">
        <w:rPr>
          <w:spacing w:val="-3"/>
        </w:rPr>
        <w:fldChar w:fldCharType="begin"/>
      </w:r>
      <w:r w:rsidR="00D0241B" w:rsidRPr="00BD1319">
        <w:rPr>
          <w:spacing w:val="-3"/>
        </w:rPr>
        <w:instrText xml:space="preserve"> REF _Ref138759265 \h </w:instrText>
      </w:r>
      <w:r w:rsidR="00BD1319">
        <w:rPr>
          <w:spacing w:val="-3"/>
        </w:rPr>
        <w:instrText xml:space="preserve"> \* MERGEFORMAT </w:instrText>
      </w:r>
      <w:r w:rsidR="00D0241B" w:rsidRPr="00BD1319">
        <w:rPr>
          <w:spacing w:val="-3"/>
        </w:rPr>
      </w:r>
      <w:r w:rsidR="00D0241B" w:rsidRPr="00BD1319">
        <w:rPr>
          <w:spacing w:val="-3"/>
        </w:rPr>
        <w:fldChar w:fldCharType="separate"/>
      </w:r>
      <w:r w:rsidR="00296654" w:rsidRPr="00BD1319">
        <w:t xml:space="preserve">Tabla </w:t>
      </w:r>
      <w:r w:rsidR="00296654" w:rsidRPr="00BD1319">
        <w:rPr>
          <w:noProof/>
        </w:rPr>
        <w:t>15</w:t>
      </w:r>
      <w:r w:rsidR="00D0241B" w:rsidRPr="00BD1319">
        <w:rPr>
          <w:spacing w:val="-3"/>
        </w:rPr>
        <w:fldChar w:fldCharType="end"/>
      </w:r>
      <w:r w:rsidRPr="00BD1319">
        <w:rPr>
          <w:spacing w:val="-3"/>
        </w:rPr>
        <w:t>.</w:t>
      </w:r>
    </w:p>
    <w:p w14:paraId="6AC77719" w14:textId="77777777" w:rsidR="00F15672" w:rsidRPr="00BD1319" w:rsidRDefault="00F15672" w:rsidP="00F15672">
      <w:pPr>
        <w:numPr>
          <w:ilvl w:val="12"/>
          <w:numId w:val="0"/>
        </w:numPr>
        <w:tabs>
          <w:tab w:val="left" w:pos="-2268"/>
        </w:tabs>
        <w:suppressAutoHyphens/>
        <w:rPr>
          <w:spacing w:val="-3"/>
        </w:rPr>
      </w:pPr>
    </w:p>
    <w:p w14:paraId="0130F412" w14:textId="77777777" w:rsidR="00F15672" w:rsidRPr="00BD1319" w:rsidRDefault="00F15672" w:rsidP="000D468E">
      <w:pPr>
        <w:numPr>
          <w:ilvl w:val="12"/>
          <w:numId w:val="0"/>
        </w:numPr>
        <w:tabs>
          <w:tab w:val="left" w:pos="-2268"/>
        </w:tabs>
        <w:suppressAutoHyphens/>
        <w:ind w:left="567"/>
        <w:rPr>
          <w:spacing w:val="-3"/>
        </w:rPr>
      </w:pPr>
      <w:r w:rsidRPr="00BD1319">
        <w:rPr>
          <w:spacing w:val="-3"/>
        </w:rPr>
        <w:t xml:space="preserve">Por ejemplo, el método de las sumas ponderadas permite que las valoraciones de los criterios con mejores calificaciones de desempeño compensen o contrarresten las valoraciones de los criterios con menores calificaciones </w:t>
      </w:r>
      <w:bookmarkStart w:id="2375" w:name="_Hlk122508869"/>
      <w:r w:rsidRPr="00BD1319">
        <w:rPr>
          <w:spacing w:val="-3"/>
        </w:rPr>
        <w:t xml:space="preserve">(DCLG, </w:t>
      </w:r>
      <w:r w:rsidRPr="00BD1319">
        <w:rPr>
          <w:spacing w:val="-3"/>
        </w:rPr>
        <w:lastRenderedPageBreak/>
        <w:t>2009)</w:t>
      </w:r>
      <w:bookmarkEnd w:id="2375"/>
      <w:r w:rsidRPr="00BD1319">
        <w:rPr>
          <w:spacing w:val="-3"/>
        </w:rPr>
        <w:t>, lo que en la práctica permite elevar la puntuación general de la alternativa bajo análisis.</w:t>
      </w:r>
    </w:p>
    <w:p w14:paraId="4E0FFEED" w14:textId="77777777" w:rsidR="00F15672" w:rsidRPr="00BD1319" w:rsidRDefault="00F15672" w:rsidP="00F15672">
      <w:pPr>
        <w:numPr>
          <w:ilvl w:val="12"/>
          <w:numId w:val="0"/>
        </w:numPr>
        <w:tabs>
          <w:tab w:val="left" w:pos="-2268"/>
        </w:tabs>
        <w:suppressAutoHyphens/>
        <w:rPr>
          <w:spacing w:val="-3"/>
        </w:rPr>
      </w:pPr>
    </w:p>
    <w:p w14:paraId="56B3A044" w14:textId="4E6D045E" w:rsidR="00F15672" w:rsidRPr="00BD1319" w:rsidRDefault="00F15672" w:rsidP="000D468E">
      <w:pPr>
        <w:numPr>
          <w:ilvl w:val="12"/>
          <w:numId w:val="0"/>
        </w:numPr>
        <w:tabs>
          <w:tab w:val="left" w:pos="-2268"/>
        </w:tabs>
        <w:suppressAutoHyphens/>
        <w:ind w:left="567"/>
        <w:rPr>
          <w:spacing w:val="-3"/>
        </w:rPr>
      </w:pPr>
      <w:r w:rsidRPr="00BD1319">
        <w:rPr>
          <w:spacing w:val="-3"/>
        </w:rPr>
        <w:t xml:space="preserve">Dado que usualmente las EMC desarrolladas para evaluar alternativas en los DAA emplean métodos compensatorios (como el de las sumas ponderadas), es fundamental que si se selecciona uno de estos métodos se utilicen criterios que permitan su compensación por otros; por </w:t>
      </w:r>
      <w:r w:rsidR="00B84CBA" w:rsidRPr="00BD1319">
        <w:rPr>
          <w:spacing w:val="-3"/>
        </w:rPr>
        <w:t xml:space="preserve">esta razón, al aplicar este método </w:t>
      </w:r>
      <w:r w:rsidRPr="00BD1319">
        <w:rPr>
          <w:spacing w:val="-3"/>
        </w:rPr>
        <w:t>no podría usarse el criterio “afectación a áreas protegidas con restricciones ambientales</w:t>
      </w:r>
      <w:r w:rsidRPr="00BD1319">
        <w:rPr>
          <w:i/>
          <w:iCs/>
          <w:spacing w:val="-3"/>
        </w:rPr>
        <w:t xml:space="preserve"> absolutas</w:t>
      </w:r>
      <w:r w:rsidRPr="00BD1319">
        <w:rPr>
          <w:spacing w:val="-3"/>
        </w:rPr>
        <w:t>” dado que una mala puntuación en este no puede compensarse por buenas puntuaciones en otros. Lo anterior no quiere decir que dicho criterio no sea importante, sino que el método empleado no lo admite y, por tanto, que es necesario usar otro método o refinarlo para que después de agregar las puntuaciones de una alternativa, pueda aplicarse este criterio como factor multiplicativo (y no como elemento aditivo) a fin de descartar las alternativas que afecten este tipo de áreas.</w:t>
      </w:r>
    </w:p>
    <w:p w14:paraId="441831A9" w14:textId="77777777" w:rsidR="00F15672" w:rsidRPr="00BD1319" w:rsidRDefault="00F15672" w:rsidP="00F15672">
      <w:pPr>
        <w:numPr>
          <w:ilvl w:val="12"/>
          <w:numId w:val="0"/>
        </w:numPr>
        <w:tabs>
          <w:tab w:val="left" w:pos="-2268"/>
        </w:tabs>
        <w:suppressAutoHyphens/>
        <w:rPr>
          <w:spacing w:val="-3"/>
        </w:rPr>
      </w:pPr>
    </w:p>
    <w:p w14:paraId="6F35FBE1" w14:textId="388EBB81" w:rsidR="00F15672" w:rsidRPr="00BD1319" w:rsidRDefault="00F15672" w:rsidP="000D468E">
      <w:pPr>
        <w:numPr>
          <w:ilvl w:val="0"/>
          <w:numId w:val="651"/>
        </w:numPr>
        <w:tabs>
          <w:tab w:val="left" w:pos="-2268"/>
        </w:tabs>
        <w:suppressAutoHyphens/>
        <w:ind w:left="567" w:hanging="567"/>
        <w:rPr>
          <w:spacing w:val="-3"/>
        </w:rPr>
      </w:pPr>
      <w:r w:rsidRPr="00BD1319">
        <w:rPr>
          <w:b/>
          <w:bCs/>
          <w:spacing w:val="-3"/>
        </w:rPr>
        <w:t>Hipótesis fundamental del método</w:t>
      </w:r>
      <w:r w:rsidRPr="00BD1319">
        <w:rPr>
          <w:spacing w:val="-3"/>
        </w:rPr>
        <w:t>. Cada método de EMC se soporta en un conjunto de hipótesis que deben cumplirse para asegurar la coherencia del procedimiento de agregación (</w:t>
      </w:r>
      <w:proofErr w:type="spellStart"/>
      <w:r w:rsidRPr="00BD1319">
        <w:rPr>
          <w:spacing w:val="-3"/>
        </w:rPr>
        <w:t>Guitouni</w:t>
      </w:r>
      <w:proofErr w:type="spellEnd"/>
      <w:r w:rsidRPr="00BD1319">
        <w:rPr>
          <w:spacing w:val="-3"/>
        </w:rPr>
        <w:t xml:space="preserve"> &amp; Martel, 1998); de modo que, al elegir un método determinado es necesario conocer y asumir sus hipótesis, </w:t>
      </w:r>
      <w:r w:rsidR="00B84CBA" w:rsidRPr="00BD1319">
        <w:rPr>
          <w:spacing w:val="-3"/>
        </w:rPr>
        <w:t xml:space="preserve">lo que </w:t>
      </w:r>
      <w:r w:rsidRPr="00BD1319">
        <w:rPr>
          <w:spacing w:val="-3"/>
        </w:rPr>
        <w:t xml:space="preserve">significa que durante el proceso de ejecución de la evaluación se debe verificar que estas hipótesis se cumplan. Las hipótesis son independencia, conmensurabilidad, invariancia, transitividad, dominancia, coalición. La columna 13 de la </w:t>
      </w:r>
      <w:r w:rsidR="00D0241B" w:rsidRPr="00BD1319">
        <w:rPr>
          <w:spacing w:val="-3"/>
        </w:rPr>
        <w:fldChar w:fldCharType="begin"/>
      </w:r>
      <w:r w:rsidR="00D0241B" w:rsidRPr="00BD1319">
        <w:rPr>
          <w:spacing w:val="-3"/>
        </w:rPr>
        <w:instrText xml:space="preserve"> REF _Ref138759265 \h </w:instrText>
      </w:r>
      <w:r w:rsidR="00BD1319">
        <w:rPr>
          <w:spacing w:val="-3"/>
        </w:rPr>
        <w:instrText xml:space="preserve"> \* MERGEFORMAT </w:instrText>
      </w:r>
      <w:r w:rsidR="00D0241B" w:rsidRPr="00BD1319">
        <w:rPr>
          <w:spacing w:val="-3"/>
        </w:rPr>
      </w:r>
      <w:r w:rsidR="00D0241B" w:rsidRPr="00BD1319">
        <w:rPr>
          <w:spacing w:val="-3"/>
        </w:rPr>
        <w:fldChar w:fldCharType="separate"/>
      </w:r>
      <w:r w:rsidR="00296654" w:rsidRPr="00BD1319">
        <w:t xml:space="preserve">Tabla </w:t>
      </w:r>
      <w:r w:rsidR="00296654" w:rsidRPr="00BD1319">
        <w:rPr>
          <w:noProof/>
        </w:rPr>
        <w:t>15</w:t>
      </w:r>
      <w:r w:rsidR="00D0241B" w:rsidRPr="00BD1319">
        <w:rPr>
          <w:spacing w:val="-3"/>
        </w:rPr>
        <w:fldChar w:fldCharType="end"/>
      </w:r>
      <w:r w:rsidR="00D0241B" w:rsidRPr="00BD1319">
        <w:rPr>
          <w:spacing w:val="-3"/>
        </w:rPr>
        <w:t xml:space="preserve"> </w:t>
      </w:r>
      <w:r w:rsidRPr="00BD1319">
        <w:rPr>
          <w:spacing w:val="-3"/>
        </w:rPr>
        <w:t>señala las hipótesis de cada método.</w:t>
      </w:r>
    </w:p>
    <w:p w14:paraId="050CDEA1" w14:textId="77777777" w:rsidR="00F15672" w:rsidRPr="00BD1319" w:rsidRDefault="00F15672" w:rsidP="00F15672">
      <w:pPr>
        <w:numPr>
          <w:ilvl w:val="12"/>
          <w:numId w:val="0"/>
        </w:numPr>
        <w:tabs>
          <w:tab w:val="left" w:pos="-2268"/>
        </w:tabs>
        <w:suppressAutoHyphens/>
        <w:rPr>
          <w:spacing w:val="-3"/>
        </w:rPr>
      </w:pPr>
    </w:p>
    <w:p w14:paraId="59C56B94" w14:textId="56BC0D84" w:rsidR="00F15672" w:rsidRPr="00BD1319" w:rsidRDefault="00F15672" w:rsidP="00F15672">
      <w:pPr>
        <w:numPr>
          <w:ilvl w:val="12"/>
          <w:numId w:val="0"/>
        </w:numPr>
        <w:tabs>
          <w:tab w:val="left" w:pos="-2268"/>
        </w:tabs>
        <w:suppressAutoHyphens/>
        <w:rPr>
          <w:spacing w:val="-3"/>
        </w:rPr>
      </w:pPr>
      <w:r w:rsidRPr="00BD1319">
        <w:rPr>
          <w:spacing w:val="-3"/>
        </w:rPr>
        <w:t>A fin de seleccionar un método de EMC apropiado al problema de decisión particular abordado en cada DAA, se deben tomar como referencia los términos y conceptos mencionados anteriormente y ejecutar el procedimiento general señalado en la</w:t>
      </w:r>
      <w:r w:rsidR="00E45CEA" w:rsidRPr="00BD1319">
        <w:rPr>
          <w:spacing w:val="-3"/>
        </w:rPr>
        <w:t xml:space="preserve"> </w:t>
      </w:r>
      <w:r w:rsidR="00E45CEA" w:rsidRPr="00BD1319">
        <w:rPr>
          <w:spacing w:val="-3"/>
        </w:rPr>
        <w:fldChar w:fldCharType="begin"/>
      </w:r>
      <w:r w:rsidR="00E45CEA" w:rsidRPr="00BD1319">
        <w:rPr>
          <w:spacing w:val="-3"/>
        </w:rPr>
        <w:instrText xml:space="preserve"> REF _Ref139616568 \h </w:instrText>
      </w:r>
      <w:r w:rsidR="00BD1319">
        <w:rPr>
          <w:spacing w:val="-3"/>
        </w:rPr>
        <w:instrText xml:space="preserve"> \* MERGEFORMAT </w:instrText>
      </w:r>
      <w:r w:rsidR="00E45CEA" w:rsidRPr="00BD1319">
        <w:rPr>
          <w:spacing w:val="-3"/>
        </w:rPr>
      </w:r>
      <w:r w:rsidR="00E45CEA" w:rsidRPr="00BD1319">
        <w:rPr>
          <w:spacing w:val="-3"/>
        </w:rPr>
        <w:fldChar w:fldCharType="separate"/>
      </w:r>
      <w:r w:rsidR="00296654" w:rsidRPr="00BD1319">
        <w:t xml:space="preserve">Figura </w:t>
      </w:r>
      <w:r w:rsidR="00296654" w:rsidRPr="00BD1319">
        <w:rPr>
          <w:noProof/>
        </w:rPr>
        <w:t>3</w:t>
      </w:r>
      <w:r w:rsidR="00E45CEA" w:rsidRPr="00BD1319">
        <w:rPr>
          <w:spacing w:val="-3"/>
        </w:rPr>
        <w:fldChar w:fldCharType="end"/>
      </w:r>
      <w:r w:rsidRPr="00BD1319">
        <w:rPr>
          <w:spacing w:val="-3"/>
        </w:rPr>
        <w:t>.</w:t>
      </w:r>
    </w:p>
    <w:p w14:paraId="05BCE33D" w14:textId="77777777" w:rsidR="00F15672" w:rsidRPr="00BD1319" w:rsidRDefault="00F15672" w:rsidP="00F15672">
      <w:pPr>
        <w:numPr>
          <w:ilvl w:val="12"/>
          <w:numId w:val="0"/>
        </w:numPr>
        <w:tabs>
          <w:tab w:val="left" w:pos="-2268"/>
        </w:tabs>
        <w:suppressAutoHyphens/>
        <w:rPr>
          <w:spacing w:val="-3"/>
        </w:rPr>
      </w:pPr>
    </w:p>
    <w:p w14:paraId="3A663FCD" w14:textId="77777777" w:rsidR="00F15672" w:rsidRPr="00BD1319" w:rsidRDefault="00F15672" w:rsidP="00F15672">
      <w:pPr>
        <w:numPr>
          <w:ilvl w:val="12"/>
          <w:numId w:val="0"/>
        </w:numPr>
        <w:tabs>
          <w:tab w:val="left" w:pos="-2268"/>
        </w:tabs>
        <w:suppressAutoHyphens/>
        <w:rPr>
          <w:spacing w:val="-3"/>
        </w:rPr>
      </w:pPr>
      <w:r w:rsidRPr="00BD1319">
        <w:rPr>
          <w:spacing w:val="-3"/>
        </w:rPr>
        <w:t>Es importante tener en cuenta que, para cada una de las posibles opciones de cada paso del procedimiento, es posible seleccionar cualquiera de las posibilidades del siguiente paso; así, si se decide usar un método elemental, es posible emplear información ordinal, cardinal o mixta, ésta a su vez, puede ser de naturaleza determinística, no determinística o mixta, y finalmente, es posible definir cualquiera de los tipos de decisión abordados por los métodos de EMC (elección, clasificación, calificación u otro).</w:t>
      </w:r>
    </w:p>
    <w:p w14:paraId="7FAA6E7D" w14:textId="7548E939" w:rsidR="00F15672" w:rsidRPr="00BD1319" w:rsidRDefault="00F15672" w:rsidP="00F15672">
      <w:pPr>
        <w:numPr>
          <w:ilvl w:val="12"/>
          <w:numId w:val="0"/>
        </w:numPr>
        <w:tabs>
          <w:tab w:val="left" w:pos="-2268"/>
        </w:tabs>
        <w:suppressAutoHyphens/>
        <w:rPr>
          <w:spacing w:val="-3"/>
        </w:rPr>
      </w:pPr>
    </w:p>
    <w:bookmarkStart w:id="2376" w:name="_Ref138682160"/>
    <w:bookmarkStart w:id="2377" w:name="_Ref139616568"/>
    <w:p w14:paraId="485DBB81" w14:textId="5ED1D44D" w:rsidR="00F15672" w:rsidRPr="00BD1319" w:rsidRDefault="002B50F6" w:rsidP="00E45CEA">
      <w:pPr>
        <w:pStyle w:val="Descripcin"/>
        <w:jc w:val="center"/>
        <w:rPr>
          <w:b w:val="0"/>
          <w:bCs w:val="0"/>
          <w:spacing w:val="-3"/>
        </w:rPr>
      </w:pPr>
      <w:r w:rsidRPr="00BD1319">
        <w:rPr>
          <w:b w:val="0"/>
          <w:bCs w:val="0"/>
          <w:i/>
          <w:iCs/>
          <w:noProof/>
          <w:spacing w:val="-3"/>
          <w:lang w:eastAsia="es-CO"/>
        </w:rPr>
        <w:lastRenderedPageBreak/>
        <mc:AlternateContent>
          <mc:Choice Requires="wpg">
            <w:drawing>
              <wp:anchor distT="0" distB="0" distL="114300" distR="114300" simplePos="0" relativeHeight="251662848" behindDoc="0" locked="0" layoutInCell="1" allowOverlap="1" wp14:anchorId="1B9A0660" wp14:editId="2479479D">
                <wp:simplePos x="0" y="0"/>
                <wp:positionH relativeFrom="margin">
                  <wp:align>center</wp:align>
                </wp:positionH>
                <wp:positionV relativeFrom="paragraph">
                  <wp:posOffset>212090</wp:posOffset>
                </wp:positionV>
                <wp:extent cx="5248910" cy="2555875"/>
                <wp:effectExtent l="0" t="0" r="27940" b="15875"/>
                <wp:wrapTopAndBottom/>
                <wp:docPr id="1792863433" name="Grupo 1792863433"/>
                <wp:cNvGraphicFramePr/>
                <a:graphic xmlns:a="http://schemas.openxmlformats.org/drawingml/2006/main">
                  <a:graphicData uri="http://schemas.microsoft.com/office/word/2010/wordprocessingGroup">
                    <wpg:wgp>
                      <wpg:cNvGrpSpPr/>
                      <wpg:grpSpPr>
                        <a:xfrm>
                          <a:off x="0" y="0"/>
                          <a:ext cx="5248910" cy="2555875"/>
                          <a:chOff x="777714" y="62"/>
                          <a:chExt cx="5249072" cy="2557979"/>
                        </a:xfrm>
                      </wpg:grpSpPr>
                      <wpg:grpSp>
                        <wpg:cNvPr id="1088278950" name="Grupo 1088278950"/>
                        <wpg:cNvGrpSpPr/>
                        <wpg:grpSpPr>
                          <a:xfrm>
                            <a:off x="778063" y="2009585"/>
                            <a:ext cx="5248087" cy="548456"/>
                            <a:chOff x="778104" y="-638573"/>
                            <a:chExt cx="5248364" cy="548640"/>
                          </a:xfrm>
                        </wpg:grpSpPr>
                        <wps:wsp>
                          <wps:cNvPr id="1325596034" name="Rectángulo 1325596034"/>
                          <wps:cNvSpPr/>
                          <wps:spPr>
                            <a:xfrm>
                              <a:off x="778104" y="-507672"/>
                              <a:ext cx="302895" cy="288326"/>
                            </a:xfrm>
                            <a:prstGeom prst="rect">
                              <a:avLst/>
                            </a:prstGeom>
                            <a:grpFill/>
                            <a:ln>
                              <a:noFill/>
                            </a:ln>
                          </wps:spPr>
                          <wps:style>
                            <a:lnRef idx="2">
                              <a:schemeClr val="accent6"/>
                            </a:lnRef>
                            <a:fillRef idx="1">
                              <a:schemeClr val="lt1"/>
                            </a:fillRef>
                            <a:effectRef idx="0">
                              <a:schemeClr val="accent6"/>
                            </a:effectRef>
                            <a:fontRef idx="minor">
                              <a:schemeClr val="dk1"/>
                            </a:fontRef>
                          </wps:style>
                          <wps:txbx>
                            <w:txbxContent>
                              <w:p w14:paraId="7892C187" w14:textId="77777777" w:rsidR="00F15672" w:rsidRPr="008A4FE9" w:rsidRDefault="00F15672" w:rsidP="00F15672">
                                <w:pPr>
                                  <w:jc w:val="center"/>
                                  <w:rPr>
                                    <w:rFonts w:hAnsi="Calibri"/>
                                    <w:b/>
                                    <w:color w:val="00CC00"/>
                                    <w:sz w:val="32"/>
                                    <w:szCs w:val="32"/>
                                    <w14:textOutline w14:w="12700" w14:cap="flat" w14:cmpd="sng" w14:algn="ctr">
                                      <w14:solidFill>
                                        <w14:srgbClr w14:val="339933"/>
                                      </w14:solidFill>
                                      <w14:prstDash w14:val="solid"/>
                                      <w14:round/>
                                    </w14:textOutline>
                                  </w:rPr>
                                </w:pPr>
                                <w:r w:rsidRPr="008A4FE9">
                                  <w:rPr>
                                    <w:rFonts w:hAnsi="Calibri"/>
                                    <w:b/>
                                    <w:color w:val="00CC00"/>
                                    <w:sz w:val="32"/>
                                    <w:szCs w:val="32"/>
                                    <w14:textOutline w14:w="12700" w14:cap="flat" w14:cmpd="sng" w14:algn="ctr">
                                      <w14:solidFill>
                                        <w14:srgbClr w14:val="339933"/>
                                      </w14:solidFill>
                                      <w14:prstDash w14:val="solid"/>
                                      <w14:round/>
                                    </w14:textOutline>
                                  </w:rPr>
                                  <w:t>4</w:t>
                                </w:r>
                              </w:p>
                            </w:txbxContent>
                          </wps:txbx>
                          <wps:bodyPr lIns="0" tIns="0" rIns="0" bIns="0" rtlCol="0" anchor="ctr" anchorCtr="0"/>
                        </wps:wsp>
                        <wps:wsp>
                          <wps:cNvPr id="668435815" name="Rectángulo 668435815"/>
                          <wps:cNvSpPr/>
                          <wps:spPr>
                            <a:xfrm>
                              <a:off x="1163638" y="-638573"/>
                              <a:ext cx="4862830" cy="548640"/>
                            </a:xfrm>
                            <a:prstGeom prst="rect">
                              <a:avLst/>
                            </a:prstGeom>
                            <a:ln>
                              <a:solidFill>
                                <a:srgbClr val="00CC66"/>
                              </a:solidFill>
                            </a:ln>
                          </wps:spPr>
                          <wps:style>
                            <a:lnRef idx="2">
                              <a:schemeClr val="accent6"/>
                            </a:lnRef>
                            <a:fillRef idx="1">
                              <a:schemeClr val="lt1"/>
                            </a:fillRef>
                            <a:effectRef idx="0">
                              <a:schemeClr val="accent6"/>
                            </a:effectRef>
                            <a:fontRef idx="minor">
                              <a:schemeClr val="dk1"/>
                            </a:fontRef>
                          </wps:style>
                          <wps:txbx>
                            <w:txbxContent>
                              <w:p w14:paraId="31174BCF" w14:textId="77777777" w:rsidR="00F15672" w:rsidRPr="008A4FE9" w:rsidRDefault="00F15672" w:rsidP="00F15672">
                                <w:pPr>
                                  <w:rPr>
                                    <w:rFonts w:hAnsi="Calibri"/>
                                    <w:color w:val="000000" w:themeColor="dark1"/>
                                  </w:rPr>
                                </w:pPr>
                                <w:r w:rsidRPr="008A4FE9">
                                  <w:rPr>
                                    <w:rFonts w:hAnsi="Calibri"/>
                                    <w:color w:val="000000" w:themeColor="dark1"/>
                                  </w:rPr>
                                  <w:t>Definir tipo de decisi</w:t>
                                </w:r>
                                <w:r w:rsidRPr="008A4FE9">
                                  <w:rPr>
                                    <w:rFonts w:hAnsi="Calibri"/>
                                    <w:color w:val="000000" w:themeColor="dark1"/>
                                  </w:rPr>
                                  <w:t>ó</w:t>
                                </w:r>
                                <w:r w:rsidRPr="008A4FE9">
                                  <w:rPr>
                                    <w:rFonts w:hAnsi="Calibri"/>
                                    <w:color w:val="000000" w:themeColor="dark1"/>
                                  </w:rPr>
                                  <w:t>n</w:t>
                                </w:r>
                              </w:p>
                              <w:p w14:paraId="65C41019" w14:textId="6958F58A" w:rsidR="00F15672" w:rsidRPr="008A4FE9" w:rsidRDefault="00F15672" w:rsidP="00F15672">
                                <w:pPr>
                                  <w:rPr>
                                    <w:rFonts w:hAnsi="Calibri"/>
                                    <w:color w:val="000000" w:themeColor="dark1"/>
                                    <w:sz w:val="16"/>
                                    <w:szCs w:val="16"/>
                                  </w:rPr>
                                </w:pPr>
                                <w:r w:rsidRPr="008A4FE9">
                                  <w:rPr>
                                    <w:rFonts w:hAnsi="Calibri"/>
                                    <w:color w:val="000000" w:themeColor="dark1"/>
                                    <w:sz w:val="16"/>
                                    <w:szCs w:val="16"/>
                                  </w:rPr>
                                  <w:t>Elecci</w:t>
                                </w:r>
                                <w:r w:rsidRPr="008A4FE9">
                                  <w:rPr>
                                    <w:rFonts w:hAnsi="Calibri"/>
                                    <w:color w:val="000000" w:themeColor="dark1"/>
                                    <w:sz w:val="16"/>
                                    <w:szCs w:val="16"/>
                                  </w:rPr>
                                  <w:t>ó</w:t>
                                </w:r>
                                <w:r w:rsidRPr="008A4FE9">
                                  <w:rPr>
                                    <w:rFonts w:hAnsi="Calibri"/>
                                    <w:color w:val="000000" w:themeColor="dark1"/>
                                    <w:sz w:val="16"/>
                                    <w:szCs w:val="16"/>
                                  </w:rPr>
                                  <w:t>n, clasificaci</w:t>
                                </w:r>
                                <w:r w:rsidRPr="008A4FE9">
                                  <w:rPr>
                                    <w:rFonts w:hAnsi="Calibri"/>
                                    <w:color w:val="000000" w:themeColor="dark1"/>
                                    <w:sz w:val="16"/>
                                    <w:szCs w:val="16"/>
                                  </w:rPr>
                                  <w:t>ó</w:t>
                                </w:r>
                                <w:r w:rsidRPr="008A4FE9">
                                  <w:rPr>
                                    <w:rFonts w:hAnsi="Calibri"/>
                                    <w:color w:val="000000" w:themeColor="dark1"/>
                                    <w:sz w:val="16"/>
                                    <w:szCs w:val="16"/>
                                  </w:rPr>
                                  <w:t>n, calificaci</w:t>
                                </w:r>
                                <w:r w:rsidRPr="008A4FE9">
                                  <w:rPr>
                                    <w:rFonts w:hAnsi="Calibri"/>
                                    <w:color w:val="000000" w:themeColor="dark1"/>
                                    <w:sz w:val="16"/>
                                    <w:szCs w:val="16"/>
                                  </w:rPr>
                                  <w:t>ó</w:t>
                                </w:r>
                                <w:r w:rsidRPr="008A4FE9">
                                  <w:rPr>
                                    <w:rFonts w:hAnsi="Calibri"/>
                                    <w:color w:val="000000" w:themeColor="dark1"/>
                                    <w:sz w:val="16"/>
                                    <w:szCs w:val="16"/>
                                  </w:rPr>
                                  <w:t>n u otro</w:t>
                                </w:r>
                                <w:r w:rsidR="00B84CBA">
                                  <w:rPr>
                                    <w:rFonts w:hAnsi="Calibri"/>
                                    <w:color w:val="000000" w:themeColor="dark1"/>
                                    <w:sz w:val="16"/>
                                    <w:szCs w:val="16"/>
                                  </w:rPr>
                                  <w:t xml:space="preserve">. Columna </w:t>
                                </w:r>
                                <w:r w:rsidR="00360DBA">
                                  <w:rPr>
                                    <w:rFonts w:hAnsi="Calibri"/>
                                    <w:color w:val="000000" w:themeColor="dark1"/>
                                    <w:sz w:val="16"/>
                                    <w:szCs w:val="16"/>
                                  </w:rPr>
                                  <w:t>6</w:t>
                                </w:r>
                                <w:r w:rsidR="00B84CBA">
                                  <w:rPr>
                                    <w:rFonts w:hAnsi="Calibri"/>
                                    <w:color w:val="000000" w:themeColor="dark1"/>
                                    <w:sz w:val="16"/>
                                    <w:szCs w:val="16"/>
                                  </w:rPr>
                                  <w:t xml:space="preserve"> </w:t>
                                </w:r>
                                <w:r w:rsidR="00B84CBA" w:rsidRPr="00B84CBA">
                                  <w:rPr>
                                    <w:rFonts w:hAnsi="Calibri"/>
                                    <w:color w:val="000000" w:themeColor="dark1"/>
                                    <w:sz w:val="16"/>
                                    <w:szCs w:val="16"/>
                                  </w:rPr>
                                  <w:fldChar w:fldCharType="begin"/>
                                </w:r>
                                <w:r w:rsidR="00B84CBA" w:rsidRPr="00B84CBA">
                                  <w:rPr>
                                    <w:rFonts w:hAnsi="Calibri"/>
                                    <w:color w:val="000000" w:themeColor="dark1"/>
                                    <w:sz w:val="16"/>
                                    <w:szCs w:val="16"/>
                                  </w:rPr>
                                  <w:instrText xml:space="preserve"> REF _Ref138759265 \h </w:instrText>
                                </w:r>
                                <w:r w:rsidR="00B84CBA">
                                  <w:rPr>
                                    <w:rFonts w:hAnsi="Calibri"/>
                                    <w:color w:val="000000" w:themeColor="dark1"/>
                                    <w:sz w:val="16"/>
                                    <w:szCs w:val="16"/>
                                  </w:rPr>
                                  <w:instrText xml:space="preserve"> \* MERGEFORMAT </w:instrText>
                                </w:r>
                                <w:r w:rsidR="00B84CBA" w:rsidRPr="00B84CBA">
                                  <w:rPr>
                                    <w:rFonts w:hAnsi="Calibri"/>
                                    <w:color w:val="000000" w:themeColor="dark1"/>
                                    <w:sz w:val="16"/>
                                    <w:szCs w:val="16"/>
                                  </w:rPr>
                                </w:r>
                                <w:r w:rsidR="00B84CBA" w:rsidRPr="00B84CBA">
                                  <w:rPr>
                                    <w:rFonts w:hAnsi="Calibri"/>
                                    <w:color w:val="000000" w:themeColor="dark1"/>
                                    <w:sz w:val="16"/>
                                    <w:szCs w:val="16"/>
                                  </w:rPr>
                                  <w:fldChar w:fldCharType="separate"/>
                                </w:r>
                                <w:r w:rsidR="00B311B1" w:rsidRPr="000D6E21">
                                  <w:rPr>
                                    <w:sz w:val="16"/>
                                    <w:szCs w:val="16"/>
                                  </w:rPr>
                                  <w:t xml:space="preserve">Tabla </w:t>
                                </w:r>
                                <w:r w:rsidR="00B311B1" w:rsidRPr="000D6E21">
                                  <w:rPr>
                                    <w:noProof/>
                                    <w:sz w:val="16"/>
                                    <w:szCs w:val="16"/>
                                  </w:rPr>
                                  <w:t>15</w:t>
                                </w:r>
                                <w:r w:rsidR="00B84CBA" w:rsidRPr="00B84CBA">
                                  <w:rPr>
                                    <w:rFonts w:hAnsi="Calibri"/>
                                    <w:color w:val="000000" w:themeColor="dark1"/>
                                    <w:sz w:val="16"/>
                                    <w:szCs w:val="16"/>
                                  </w:rPr>
                                  <w:fldChar w:fldCharType="end"/>
                                </w:r>
                                <w:r w:rsidR="00B84CBA" w:rsidRPr="00B84CBA">
                                  <w:rPr>
                                    <w:rFonts w:hAnsi="Calibri"/>
                                    <w:color w:val="000000" w:themeColor="dark1"/>
                                    <w:sz w:val="16"/>
                                    <w:szCs w:val="16"/>
                                  </w:rPr>
                                  <w:t>.</w:t>
                                </w:r>
                              </w:p>
                            </w:txbxContent>
                          </wps:txbx>
                          <wps:bodyPr bIns="36000" rtlCol="0" anchor="ctr" anchorCtr="0"/>
                        </wps:wsp>
                      </wpg:grpSp>
                      <wpg:grpSp>
                        <wpg:cNvPr id="936062259" name="Grupo 27"/>
                        <wpg:cNvGrpSpPr>
                          <a:grpSpLocks noChangeAspect="1"/>
                        </wpg:cNvGrpSpPr>
                        <wpg:grpSpPr>
                          <a:xfrm>
                            <a:off x="777714" y="62"/>
                            <a:ext cx="5249072" cy="1893107"/>
                            <a:chOff x="859141" y="94"/>
                            <a:chExt cx="5798615" cy="2875580"/>
                          </a:xfrm>
                        </wpg:grpSpPr>
                        <wpg:grpSp>
                          <wpg:cNvPr id="911079699" name="Grupo 911079699"/>
                          <wpg:cNvGrpSpPr/>
                          <wpg:grpSpPr>
                            <a:xfrm>
                              <a:off x="859141" y="198743"/>
                              <a:ext cx="351809" cy="2478829"/>
                              <a:chOff x="859141" y="198743"/>
                              <a:chExt cx="351810" cy="2478829"/>
                            </a:xfrm>
                            <a:noFill/>
                          </wpg:grpSpPr>
                          <wps:wsp>
                            <wps:cNvPr id="2016772036" name="Rectángulo 2016772036"/>
                            <wps:cNvSpPr/>
                            <wps:spPr>
                              <a:xfrm>
                                <a:off x="875977" y="198743"/>
                                <a:ext cx="334974" cy="437813"/>
                              </a:xfrm>
                              <a:prstGeom prst="rect">
                                <a:avLst/>
                              </a:prstGeom>
                              <a:grpFill/>
                              <a:ln>
                                <a:noFill/>
                              </a:ln>
                            </wps:spPr>
                            <wps:style>
                              <a:lnRef idx="2">
                                <a:schemeClr val="accent6"/>
                              </a:lnRef>
                              <a:fillRef idx="1">
                                <a:schemeClr val="lt1"/>
                              </a:fillRef>
                              <a:effectRef idx="0">
                                <a:schemeClr val="accent6"/>
                              </a:effectRef>
                              <a:fontRef idx="minor">
                                <a:schemeClr val="dk1"/>
                              </a:fontRef>
                            </wps:style>
                            <wps:txbx>
                              <w:txbxContent>
                                <w:p w14:paraId="2DAA8F5C" w14:textId="77777777" w:rsidR="00F15672" w:rsidRPr="008A4FE9" w:rsidRDefault="00F15672" w:rsidP="00F15672">
                                  <w:pPr>
                                    <w:jc w:val="center"/>
                                    <w:rPr>
                                      <w:rFonts w:hAnsi="Calibri"/>
                                      <w:b/>
                                      <w:color w:val="FFC000"/>
                                      <w:sz w:val="32"/>
                                      <w:szCs w:val="32"/>
                                      <w14:textOutline w14:w="12700" w14:cap="flat" w14:cmpd="sng" w14:algn="ctr">
                                        <w14:solidFill>
                                          <w14:srgbClr w14:val="CC9900"/>
                                        </w14:solidFill>
                                        <w14:prstDash w14:val="solid"/>
                                        <w14:round/>
                                      </w14:textOutline>
                                    </w:rPr>
                                  </w:pPr>
                                  <w:r w:rsidRPr="008A4FE9">
                                    <w:rPr>
                                      <w:rFonts w:hAnsi="Calibri"/>
                                      <w:b/>
                                      <w:color w:val="FFC000"/>
                                      <w:sz w:val="32"/>
                                      <w:szCs w:val="32"/>
                                      <w14:textOutline w14:w="12700" w14:cap="flat" w14:cmpd="sng" w14:algn="ctr">
                                        <w14:solidFill>
                                          <w14:srgbClr w14:val="CC9900"/>
                                        </w14:solidFill>
                                        <w14:prstDash w14:val="solid"/>
                                        <w14:round/>
                                      </w14:textOutline>
                                    </w:rPr>
                                    <w:t>1</w:t>
                                  </w:r>
                                </w:p>
                              </w:txbxContent>
                            </wps:txbx>
                            <wps:bodyPr lIns="0" tIns="0" rIns="0" bIns="0" rtlCol="0" anchor="ctr" anchorCtr="0"/>
                          </wps:wsp>
                          <wps:wsp>
                            <wps:cNvPr id="2032198192" name="Rectángulo 2032198192"/>
                            <wps:cNvSpPr/>
                            <wps:spPr>
                              <a:xfrm>
                                <a:off x="875977" y="1218766"/>
                                <a:ext cx="334974" cy="437813"/>
                              </a:xfrm>
                              <a:prstGeom prst="rect">
                                <a:avLst/>
                              </a:prstGeom>
                              <a:grpFill/>
                              <a:ln>
                                <a:noFill/>
                              </a:ln>
                            </wps:spPr>
                            <wps:style>
                              <a:lnRef idx="2">
                                <a:schemeClr val="accent6"/>
                              </a:lnRef>
                              <a:fillRef idx="1">
                                <a:schemeClr val="lt1"/>
                              </a:fillRef>
                              <a:effectRef idx="0">
                                <a:schemeClr val="accent6"/>
                              </a:effectRef>
                              <a:fontRef idx="minor">
                                <a:schemeClr val="dk1"/>
                              </a:fontRef>
                            </wps:style>
                            <wps:txbx>
                              <w:txbxContent>
                                <w:p w14:paraId="034A9511" w14:textId="77777777" w:rsidR="00F15672" w:rsidRPr="008A4FE9" w:rsidRDefault="00F15672" w:rsidP="00F15672">
                                  <w:pPr>
                                    <w:jc w:val="center"/>
                                    <w:rPr>
                                      <w:rFonts w:hAnsi="Calibri"/>
                                      <w:b/>
                                      <w:color w:val="99FF33"/>
                                      <w:sz w:val="32"/>
                                      <w:szCs w:val="32"/>
                                      <w14:textOutline w14:w="12700" w14:cap="flat" w14:cmpd="sng" w14:algn="ctr">
                                        <w14:solidFill>
                                          <w14:srgbClr w14:val="33CC33"/>
                                        </w14:solidFill>
                                        <w14:prstDash w14:val="solid"/>
                                        <w14:round/>
                                      </w14:textOutline>
                                    </w:rPr>
                                  </w:pPr>
                                  <w:r w:rsidRPr="008A4FE9">
                                    <w:rPr>
                                      <w:rFonts w:hAnsi="Calibri"/>
                                      <w:b/>
                                      <w:color w:val="99FF33"/>
                                      <w:sz w:val="32"/>
                                      <w:szCs w:val="32"/>
                                      <w14:textOutline w14:w="12700" w14:cap="flat" w14:cmpd="sng" w14:algn="ctr">
                                        <w14:solidFill>
                                          <w14:srgbClr w14:val="33CC33"/>
                                        </w14:solidFill>
                                        <w14:prstDash w14:val="solid"/>
                                        <w14:round/>
                                      </w14:textOutline>
                                    </w:rPr>
                                    <w:t>2</w:t>
                                  </w:r>
                                </w:p>
                              </w:txbxContent>
                            </wps:txbx>
                            <wps:bodyPr lIns="0" tIns="0" rIns="0" bIns="0" rtlCol="0" anchor="ctr" anchorCtr="0"/>
                          </wps:wsp>
                          <wps:wsp>
                            <wps:cNvPr id="1461433043" name="Rectángulo 1461433043"/>
                            <wps:cNvSpPr/>
                            <wps:spPr>
                              <a:xfrm>
                                <a:off x="859141" y="2239759"/>
                                <a:ext cx="334974" cy="437813"/>
                              </a:xfrm>
                              <a:prstGeom prst="rect">
                                <a:avLst/>
                              </a:prstGeom>
                              <a:grpFill/>
                              <a:ln>
                                <a:noFill/>
                              </a:ln>
                            </wps:spPr>
                            <wps:style>
                              <a:lnRef idx="2">
                                <a:schemeClr val="accent6"/>
                              </a:lnRef>
                              <a:fillRef idx="1">
                                <a:schemeClr val="lt1"/>
                              </a:fillRef>
                              <a:effectRef idx="0">
                                <a:schemeClr val="accent6"/>
                              </a:effectRef>
                              <a:fontRef idx="minor">
                                <a:schemeClr val="dk1"/>
                              </a:fontRef>
                            </wps:style>
                            <wps:txbx>
                              <w:txbxContent>
                                <w:p w14:paraId="5F455C14" w14:textId="77777777" w:rsidR="00F15672" w:rsidRPr="008A4FE9" w:rsidRDefault="00F15672" w:rsidP="00F15672">
                                  <w:pPr>
                                    <w:jc w:val="center"/>
                                    <w:rPr>
                                      <w:rFonts w:hAnsi="Calibri"/>
                                      <w:b/>
                                      <w:color w:val="66FF66"/>
                                      <w:sz w:val="32"/>
                                      <w:szCs w:val="32"/>
                                      <w14:textOutline w14:w="12700" w14:cap="flat" w14:cmpd="sng" w14:algn="ctr">
                                        <w14:solidFill>
                                          <w14:srgbClr w14:val="33CC33"/>
                                        </w14:solidFill>
                                        <w14:prstDash w14:val="solid"/>
                                        <w14:round/>
                                      </w14:textOutline>
                                    </w:rPr>
                                  </w:pPr>
                                  <w:r w:rsidRPr="008A4FE9">
                                    <w:rPr>
                                      <w:rFonts w:hAnsi="Calibri"/>
                                      <w:b/>
                                      <w:color w:val="66FF66"/>
                                      <w:sz w:val="32"/>
                                      <w:szCs w:val="32"/>
                                      <w14:textOutline w14:w="12700" w14:cap="flat" w14:cmpd="sng" w14:algn="ctr">
                                        <w14:solidFill>
                                          <w14:srgbClr w14:val="33CC33"/>
                                        </w14:solidFill>
                                        <w14:prstDash w14:val="solid"/>
                                        <w14:round/>
                                      </w14:textOutline>
                                    </w:rPr>
                                    <w:t>3</w:t>
                                  </w:r>
                                </w:p>
                              </w:txbxContent>
                            </wps:txbx>
                            <wps:bodyPr lIns="0" tIns="0" rIns="0" bIns="0" rtlCol="0" anchor="ctr" anchorCtr="0"/>
                          </wps:wsp>
                        </wpg:grpSp>
                        <wpg:grpSp>
                          <wpg:cNvPr id="1175194037" name="Grupo 1175194037"/>
                          <wpg:cNvGrpSpPr/>
                          <wpg:grpSpPr>
                            <a:xfrm>
                              <a:off x="1286247" y="94"/>
                              <a:ext cx="5371509" cy="2875580"/>
                              <a:chOff x="1286247" y="94"/>
                              <a:chExt cx="5371509" cy="2875580"/>
                            </a:xfrm>
                          </wpg:grpSpPr>
                          <wps:wsp>
                            <wps:cNvPr id="1341260621" name="Rectángulo 1341260621"/>
                            <wps:cNvSpPr/>
                            <wps:spPr>
                              <a:xfrm>
                                <a:off x="1286247" y="94"/>
                                <a:ext cx="5371509" cy="833659"/>
                              </a:xfrm>
                              <a:prstGeom prst="rect">
                                <a:avLst/>
                              </a:prstGeom>
                              <a:ln>
                                <a:solidFill>
                                  <a:srgbClr val="FFC000"/>
                                </a:solidFill>
                              </a:ln>
                            </wps:spPr>
                            <wps:style>
                              <a:lnRef idx="2">
                                <a:schemeClr val="accent6"/>
                              </a:lnRef>
                              <a:fillRef idx="1">
                                <a:schemeClr val="lt1"/>
                              </a:fillRef>
                              <a:effectRef idx="0">
                                <a:schemeClr val="accent6"/>
                              </a:effectRef>
                              <a:fontRef idx="minor">
                                <a:schemeClr val="dk1"/>
                              </a:fontRef>
                            </wps:style>
                            <wps:txbx>
                              <w:txbxContent>
                                <w:p w14:paraId="02EA603C" w14:textId="77777777" w:rsidR="00F15672" w:rsidRPr="008A4FE9" w:rsidRDefault="00F15672" w:rsidP="00F15672">
                                  <w:pPr>
                                    <w:rPr>
                                      <w:rFonts w:hAnsi="Calibri"/>
                                      <w:color w:val="000000" w:themeColor="dark1"/>
                                    </w:rPr>
                                  </w:pPr>
                                  <w:r w:rsidRPr="008A4FE9">
                                    <w:rPr>
                                      <w:rFonts w:hAnsi="Calibri"/>
                                      <w:color w:val="000000" w:themeColor="dark1"/>
                                    </w:rPr>
                                    <w:t>Definir el tipo de m</w:t>
                                  </w:r>
                                  <w:r w:rsidRPr="008A4FE9">
                                    <w:rPr>
                                      <w:rFonts w:hAnsi="Calibri"/>
                                      <w:color w:val="000000" w:themeColor="dark1"/>
                                    </w:rPr>
                                    <w:t>é</w:t>
                                  </w:r>
                                  <w:r w:rsidRPr="008A4FE9">
                                    <w:rPr>
                                      <w:rFonts w:hAnsi="Calibri"/>
                                      <w:color w:val="000000" w:themeColor="dark1"/>
                                    </w:rPr>
                                    <w:t>todo que se desea emplear</w:t>
                                  </w:r>
                                </w:p>
                                <w:p w14:paraId="747A96AA" w14:textId="36CDCD75" w:rsidR="00F15672" w:rsidRPr="00B84CBA" w:rsidRDefault="00F15672" w:rsidP="00F15672">
                                  <w:pPr>
                                    <w:rPr>
                                      <w:rFonts w:hAnsi="Calibri"/>
                                      <w:color w:val="000000" w:themeColor="dark1"/>
                                      <w:sz w:val="16"/>
                                      <w:szCs w:val="16"/>
                                    </w:rPr>
                                  </w:pPr>
                                  <w:r w:rsidRPr="008A4FE9">
                                    <w:rPr>
                                      <w:rFonts w:hAnsi="Calibri"/>
                                      <w:color w:val="000000" w:themeColor="dark1"/>
                                      <w:sz w:val="16"/>
                                      <w:szCs w:val="16"/>
                                    </w:rPr>
                                    <w:t>Elemental, criterio de s</w:t>
                                  </w:r>
                                  <w:r w:rsidRPr="008A4FE9">
                                    <w:rPr>
                                      <w:rFonts w:hAnsi="Calibri"/>
                                      <w:color w:val="000000" w:themeColor="dark1"/>
                                      <w:sz w:val="16"/>
                                      <w:szCs w:val="16"/>
                                    </w:rPr>
                                    <w:t>í</w:t>
                                  </w:r>
                                  <w:r w:rsidRPr="008A4FE9">
                                    <w:rPr>
                                      <w:rFonts w:hAnsi="Calibri"/>
                                      <w:color w:val="000000" w:themeColor="dark1"/>
                                      <w:sz w:val="16"/>
                                      <w:szCs w:val="16"/>
                                    </w:rPr>
                                    <w:t xml:space="preserve">ntesis </w:t>
                                  </w:r>
                                  <w:r w:rsidRPr="008A4FE9">
                                    <w:rPr>
                                      <w:rFonts w:hAnsi="Calibri"/>
                                      <w:color w:val="000000" w:themeColor="dark1"/>
                                      <w:sz w:val="16"/>
                                      <w:szCs w:val="16"/>
                                    </w:rPr>
                                    <w:t>ú</w:t>
                                  </w:r>
                                  <w:r w:rsidRPr="008A4FE9">
                                    <w:rPr>
                                      <w:rFonts w:hAnsi="Calibri"/>
                                      <w:color w:val="000000" w:themeColor="dark1"/>
                                      <w:sz w:val="16"/>
                                      <w:szCs w:val="16"/>
                                    </w:rPr>
                                    <w:t>nico, de superaci</w:t>
                                  </w:r>
                                  <w:r w:rsidRPr="008A4FE9">
                                    <w:rPr>
                                      <w:rFonts w:hAnsi="Calibri"/>
                                      <w:color w:val="000000" w:themeColor="dark1"/>
                                      <w:sz w:val="16"/>
                                      <w:szCs w:val="16"/>
                                    </w:rPr>
                                    <w:t>ó</w:t>
                                  </w:r>
                                  <w:r w:rsidRPr="008A4FE9">
                                    <w:rPr>
                                      <w:rFonts w:hAnsi="Calibri"/>
                                      <w:color w:val="000000" w:themeColor="dark1"/>
                                      <w:sz w:val="16"/>
                                      <w:szCs w:val="16"/>
                                    </w:rPr>
                                    <w:t>n (outranking), interactivo, mixto</w:t>
                                  </w:r>
                                  <w:r w:rsidR="00B84CBA">
                                    <w:rPr>
                                      <w:rFonts w:hAnsi="Calibri"/>
                                      <w:color w:val="000000" w:themeColor="dark1"/>
                                      <w:sz w:val="16"/>
                                      <w:szCs w:val="16"/>
                                    </w:rPr>
                                    <w:t xml:space="preserve">. Columna 1 </w:t>
                                  </w:r>
                                  <w:r w:rsidR="00B84CBA" w:rsidRPr="00B84CBA">
                                    <w:rPr>
                                      <w:rFonts w:hAnsi="Calibri"/>
                                      <w:color w:val="000000" w:themeColor="dark1"/>
                                      <w:sz w:val="16"/>
                                      <w:szCs w:val="16"/>
                                    </w:rPr>
                                    <w:fldChar w:fldCharType="begin"/>
                                  </w:r>
                                  <w:r w:rsidR="00B84CBA" w:rsidRPr="00B84CBA">
                                    <w:rPr>
                                      <w:rFonts w:hAnsi="Calibri"/>
                                      <w:color w:val="000000" w:themeColor="dark1"/>
                                      <w:sz w:val="16"/>
                                      <w:szCs w:val="16"/>
                                    </w:rPr>
                                    <w:instrText xml:space="preserve"> REF _Ref138759265 \h </w:instrText>
                                  </w:r>
                                  <w:r w:rsidR="00B84CBA">
                                    <w:rPr>
                                      <w:rFonts w:hAnsi="Calibri"/>
                                      <w:color w:val="000000" w:themeColor="dark1"/>
                                      <w:sz w:val="16"/>
                                      <w:szCs w:val="16"/>
                                    </w:rPr>
                                    <w:instrText xml:space="preserve"> \* MERGEFORMAT </w:instrText>
                                  </w:r>
                                  <w:r w:rsidR="00B84CBA" w:rsidRPr="00B84CBA">
                                    <w:rPr>
                                      <w:rFonts w:hAnsi="Calibri"/>
                                      <w:color w:val="000000" w:themeColor="dark1"/>
                                      <w:sz w:val="16"/>
                                      <w:szCs w:val="16"/>
                                    </w:rPr>
                                  </w:r>
                                  <w:r w:rsidR="00B84CBA" w:rsidRPr="00B84CBA">
                                    <w:rPr>
                                      <w:rFonts w:hAnsi="Calibri"/>
                                      <w:color w:val="000000" w:themeColor="dark1"/>
                                      <w:sz w:val="16"/>
                                      <w:szCs w:val="16"/>
                                    </w:rPr>
                                    <w:fldChar w:fldCharType="separate"/>
                                  </w:r>
                                  <w:r w:rsidR="00B311B1" w:rsidRPr="000D6E21">
                                    <w:rPr>
                                      <w:sz w:val="16"/>
                                      <w:szCs w:val="16"/>
                                    </w:rPr>
                                    <w:t xml:space="preserve">Tabla </w:t>
                                  </w:r>
                                  <w:r w:rsidR="00B311B1" w:rsidRPr="000D6E21">
                                    <w:rPr>
                                      <w:noProof/>
                                      <w:sz w:val="16"/>
                                      <w:szCs w:val="16"/>
                                    </w:rPr>
                                    <w:t>15</w:t>
                                  </w:r>
                                  <w:r w:rsidR="00B84CBA" w:rsidRPr="00B84CBA">
                                    <w:rPr>
                                      <w:rFonts w:hAnsi="Calibri"/>
                                      <w:color w:val="000000" w:themeColor="dark1"/>
                                      <w:sz w:val="16"/>
                                      <w:szCs w:val="16"/>
                                    </w:rPr>
                                    <w:fldChar w:fldCharType="end"/>
                                  </w:r>
                                  <w:r w:rsidR="00B84CBA" w:rsidRPr="00B84CBA">
                                    <w:rPr>
                                      <w:rFonts w:hAnsi="Calibri"/>
                                      <w:color w:val="000000" w:themeColor="dark1"/>
                                      <w:sz w:val="16"/>
                                      <w:szCs w:val="16"/>
                                    </w:rPr>
                                    <w:t>.</w:t>
                                  </w:r>
                                </w:p>
                              </w:txbxContent>
                            </wps:txbx>
                            <wps:bodyPr bIns="36000" rtlCol="0" anchor="ctr" anchorCtr="0"/>
                          </wps:wsp>
                          <wps:wsp>
                            <wps:cNvPr id="1203532886" name="Rectángulo 1203532886"/>
                            <wps:cNvSpPr/>
                            <wps:spPr>
                              <a:xfrm>
                                <a:off x="1286247" y="1021054"/>
                                <a:ext cx="5371509" cy="833659"/>
                              </a:xfrm>
                              <a:prstGeom prst="rect">
                                <a:avLst/>
                              </a:prstGeom>
                              <a:ln>
                                <a:solidFill>
                                  <a:srgbClr val="CCFF33"/>
                                </a:solidFill>
                              </a:ln>
                            </wps:spPr>
                            <wps:style>
                              <a:lnRef idx="2">
                                <a:schemeClr val="accent6"/>
                              </a:lnRef>
                              <a:fillRef idx="1">
                                <a:schemeClr val="lt1"/>
                              </a:fillRef>
                              <a:effectRef idx="0">
                                <a:schemeClr val="accent6"/>
                              </a:effectRef>
                              <a:fontRef idx="minor">
                                <a:schemeClr val="dk1"/>
                              </a:fontRef>
                            </wps:style>
                            <wps:txbx>
                              <w:txbxContent>
                                <w:p w14:paraId="1DF2F2CB" w14:textId="77777777" w:rsidR="00F15672" w:rsidRPr="008A4FE9" w:rsidRDefault="00F15672" w:rsidP="00F15672">
                                  <w:pPr>
                                    <w:rPr>
                                      <w:rFonts w:hAnsi="Calibri"/>
                                      <w:color w:val="000000" w:themeColor="dark1"/>
                                      <w:kern w:val="24"/>
                                    </w:rPr>
                                  </w:pPr>
                                  <w:r w:rsidRPr="008A4FE9">
                                    <w:rPr>
                                      <w:rFonts w:hAnsi="Calibri"/>
                                      <w:color w:val="000000" w:themeColor="dark1"/>
                                    </w:rPr>
                                    <w:t>Identificar tipo de la informaci</w:t>
                                  </w:r>
                                  <w:r w:rsidRPr="008A4FE9">
                                    <w:rPr>
                                      <w:rFonts w:hAnsi="Calibri"/>
                                      <w:color w:val="000000" w:themeColor="dark1"/>
                                    </w:rPr>
                                    <w:t>ó</w:t>
                                  </w:r>
                                  <w:r w:rsidRPr="008A4FE9">
                                    <w:rPr>
                                      <w:rFonts w:hAnsi="Calibri"/>
                                      <w:color w:val="000000" w:themeColor="dark1"/>
                                    </w:rPr>
                                    <w:t>n a emplear</w:t>
                                  </w:r>
                                </w:p>
                                <w:p w14:paraId="0C592A0B" w14:textId="20C73740" w:rsidR="00F15672" w:rsidRPr="008A4FE9" w:rsidRDefault="00F15672" w:rsidP="00F15672">
                                  <w:pPr>
                                    <w:rPr>
                                      <w:rFonts w:hAnsi="Calibri"/>
                                      <w:color w:val="000000" w:themeColor="dark1"/>
                                      <w:kern w:val="24"/>
                                      <w:sz w:val="16"/>
                                      <w:szCs w:val="16"/>
                                    </w:rPr>
                                  </w:pPr>
                                  <w:bookmarkStart w:id="2378" w:name="_Hlk122438843"/>
                                  <w:r w:rsidRPr="008A4FE9">
                                    <w:rPr>
                                      <w:rFonts w:hAnsi="Calibri"/>
                                      <w:color w:val="000000" w:themeColor="dark1"/>
                                      <w:sz w:val="16"/>
                                      <w:szCs w:val="16"/>
                                    </w:rPr>
                                    <w:t>Ordinal, cardinal o mixta</w:t>
                                  </w:r>
                                  <w:bookmarkEnd w:id="2378"/>
                                  <w:r w:rsidR="00B84CBA">
                                    <w:rPr>
                                      <w:rFonts w:hAnsi="Calibri"/>
                                      <w:color w:val="000000" w:themeColor="dark1"/>
                                      <w:sz w:val="16"/>
                                      <w:szCs w:val="16"/>
                                    </w:rPr>
                                    <w:t xml:space="preserve">. Columnas 7 a 9 </w:t>
                                  </w:r>
                                  <w:r w:rsidR="00B84CBA" w:rsidRPr="00B84CBA">
                                    <w:rPr>
                                      <w:rFonts w:hAnsi="Calibri"/>
                                      <w:color w:val="000000" w:themeColor="dark1"/>
                                      <w:sz w:val="16"/>
                                      <w:szCs w:val="16"/>
                                    </w:rPr>
                                    <w:fldChar w:fldCharType="begin"/>
                                  </w:r>
                                  <w:r w:rsidR="00B84CBA" w:rsidRPr="00B84CBA">
                                    <w:rPr>
                                      <w:rFonts w:hAnsi="Calibri"/>
                                      <w:color w:val="000000" w:themeColor="dark1"/>
                                      <w:sz w:val="16"/>
                                      <w:szCs w:val="16"/>
                                    </w:rPr>
                                    <w:instrText xml:space="preserve"> REF _Ref138759265 \h </w:instrText>
                                  </w:r>
                                  <w:r w:rsidR="00B84CBA">
                                    <w:rPr>
                                      <w:rFonts w:hAnsi="Calibri"/>
                                      <w:color w:val="000000" w:themeColor="dark1"/>
                                      <w:sz w:val="16"/>
                                      <w:szCs w:val="16"/>
                                    </w:rPr>
                                    <w:instrText xml:space="preserve"> \* MERGEFORMAT </w:instrText>
                                  </w:r>
                                  <w:r w:rsidR="00B84CBA" w:rsidRPr="00B84CBA">
                                    <w:rPr>
                                      <w:rFonts w:hAnsi="Calibri"/>
                                      <w:color w:val="000000" w:themeColor="dark1"/>
                                      <w:sz w:val="16"/>
                                      <w:szCs w:val="16"/>
                                    </w:rPr>
                                  </w:r>
                                  <w:r w:rsidR="00B84CBA" w:rsidRPr="00B84CBA">
                                    <w:rPr>
                                      <w:rFonts w:hAnsi="Calibri"/>
                                      <w:color w:val="000000" w:themeColor="dark1"/>
                                      <w:sz w:val="16"/>
                                      <w:szCs w:val="16"/>
                                    </w:rPr>
                                    <w:fldChar w:fldCharType="separate"/>
                                  </w:r>
                                  <w:r w:rsidR="00B311B1" w:rsidRPr="000D6E21">
                                    <w:rPr>
                                      <w:sz w:val="16"/>
                                      <w:szCs w:val="16"/>
                                    </w:rPr>
                                    <w:t xml:space="preserve">Tabla </w:t>
                                  </w:r>
                                  <w:r w:rsidR="00B311B1" w:rsidRPr="000D6E21">
                                    <w:rPr>
                                      <w:noProof/>
                                      <w:sz w:val="16"/>
                                      <w:szCs w:val="16"/>
                                    </w:rPr>
                                    <w:t>15</w:t>
                                  </w:r>
                                  <w:r w:rsidR="00B84CBA" w:rsidRPr="00B84CBA">
                                    <w:rPr>
                                      <w:rFonts w:hAnsi="Calibri"/>
                                      <w:color w:val="000000" w:themeColor="dark1"/>
                                      <w:sz w:val="16"/>
                                      <w:szCs w:val="16"/>
                                    </w:rPr>
                                    <w:fldChar w:fldCharType="end"/>
                                  </w:r>
                                  <w:r w:rsidR="00B84CBA" w:rsidRPr="00B84CBA">
                                    <w:rPr>
                                      <w:rFonts w:hAnsi="Calibri"/>
                                      <w:color w:val="000000" w:themeColor="dark1"/>
                                      <w:sz w:val="16"/>
                                      <w:szCs w:val="16"/>
                                    </w:rPr>
                                    <w:t>.</w:t>
                                  </w:r>
                                </w:p>
                              </w:txbxContent>
                            </wps:txbx>
                            <wps:bodyPr bIns="36000" rtlCol="0" anchor="ctr" anchorCtr="0"/>
                          </wps:wsp>
                          <wps:wsp>
                            <wps:cNvPr id="824129656" name="Rectángulo 824129656"/>
                            <wps:cNvSpPr/>
                            <wps:spPr>
                              <a:xfrm>
                                <a:off x="1286247" y="2042015"/>
                                <a:ext cx="5371509" cy="833659"/>
                              </a:xfrm>
                              <a:prstGeom prst="rect">
                                <a:avLst/>
                              </a:prstGeom>
                              <a:ln>
                                <a:solidFill>
                                  <a:srgbClr val="66FF99"/>
                                </a:solidFill>
                              </a:ln>
                            </wps:spPr>
                            <wps:style>
                              <a:lnRef idx="2">
                                <a:schemeClr val="accent6"/>
                              </a:lnRef>
                              <a:fillRef idx="1">
                                <a:schemeClr val="lt1"/>
                              </a:fillRef>
                              <a:effectRef idx="0">
                                <a:schemeClr val="accent6"/>
                              </a:effectRef>
                              <a:fontRef idx="minor">
                                <a:schemeClr val="dk1"/>
                              </a:fontRef>
                            </wps:style>
                            <wps:txbx>
                              <w:txbxContent>
                                <w:p w14:paraId="53AEA8BC" w14:textId="77777777" w:rsidR="00F15672" w:rsidRPr="008A4FE9" w:rsidRDefault="00F15672" w:rsidP="00F15672">
                                  <w:pPr>
                                    <w:rPr>
                                      <w:rFonts w:hAnsi="Calibri"/>
                                      <w:color w:val="000000" w:themeColor="dark1"/>
                                      <w:kern w:val="24"/>
                                    </w:rPr>
                                  </w:pPr>
                                  <w:r w:rsidRPr="008A4FE9">
                                    <w:rPr>
                                      <w:rFonts w:hAnsi="Calibri"/>
                                      <w:color w:val="000000" w:themeColor="dark1"/>
                                    </w:rPr>
                                    <w:t>Identificar naturaleza de la informaci</w:t>
                                  </w:r>
                                  <w:r w:rsidRPr="008A4FE9">
                                    <w:rPr>
                                      <w:rFonts w:hAnsi="Calibri"/>
                                      <w:color w:val="000000" w:themeColor="dark1"/>
                                    </w:rPr>
                                    <w:t>ó</w:t>
                                  </w:r>
                                  <w:r w:rsidRPr="008A4FE9">
                                    <w:rPr>
                                      <w:rFonts w:hAnsi="Calibri"/>
                                      <w:color w:val="000000" w:themeColor="dark1"/>
                                    </w:rPr>
                                    <w:t>n a emplear</w:t>
                                  </w:r>
                                </w:p>
                                <w:p w14:paraId="0DAB2A87" w14:textId="6AAD4F1C" w:rsidR="00F15672" w:rsidRPr="00394D50" w:rsidRDefault="00F15672" w:rsidP="00F15672">
                                  <w:pPr>
                                    <w:rPr>
                                      <w:rFonts w:hAnsi="Calibri"/>
                                      <w:color w:val="000000" w:themeColor="dark1"/>
                                      <w:sz w:val="18"/>
                                      <w:szCs w:val="18"/>
                                    </w:rPr>
                                  </w:pPr>
                                  <w:r w:rsidRPr="005A685F">
                                    <w:rPr>
                                      <w:rFonts w:hAnsi="Calibri"/>
                                      <w:color w:val="000000" w:themeColor="dark1"/>
                                      <w:sz w:val="16"/>
                                      <w:szCs w:val="16"/>
                                      <w:lang w:val="pt-PT"/>
                                    </w:rPr>
                                    <w:t>Determin</w:t>
                                  </w:r>
                                  <w:r w:rsidRPr="005A685F">
                                    <w:rPr>
                                      <w:rFonts w:hAnsi="Calibri"/>
                                      <w:color w:val="000000" w:themeColor="dark1"/>
                                      <w:sz w:val="16"/>
                                      <w:szCs w:val="16"/>
                                      <w:lang w:val="pt-PT"/>
                                    </w:rPr>
                                    <w:t>í</w:t>
                                  </w:r>
                                  <w:r w:rsidRPr="005A685F">
                                    <w:rPr>
                                      <w:rFonts w:hAnsi="Calibri"/>
                                      <w:color w:val="000000" w:themeColor="dark1"/>
                                      <w:sz w:val="16"/>
                                      <w:szCs w:val="16"/>
                                      <w:lang w:val="pt-PT"/>
                                    </w:rPr>
                                    <w:t>stica, no determin</w:t>
                                  </w:r>
                                  <w:r w:rsidRPr="005A685F">
                                    <w:rPr>
                                      <w:rFonts w:hAnsi="Calibri"/>
                                      <w:color w:val="000000" w:themeColor="dark1"/>
                                      <w:sz w:val="16"/>
                                      <w:szCs w:val="16"/>
                                      <w:lang w:val="pt-PT"/>
                                    </w:rPr>
                                    <w:t>í</w:t>
                                  </w:r>
                                  <w:r w:rsidRPr="005A685F">
                                    <w:rPr>
                                      <w:rFonts w:hAnsi="Calibri"/>
                                      <w:color w:val="000000" w:themeColor="dark1"/>
                                      <w:sz w:val="16"/>
                                      <w:szCs w:val="16"/>
                                      <w:lang w:val="pt-PT"/>
                                    </w:rPr>
                                    <w:t>stica o mixta</w:t>
                                  </w:r>
                                  <w:r w:rsidR="00B84CBA" w:rsidRPr="005A685F">
                                    <w:rPr>
                                      <w:rFonts w:hAnsi="Calibri"/>
                                      <w:color w:val="000000" w:themeColor="dark1"/>
                                      <w:sz w:val="16"/>
                                      <w:szCs w:val="16"/>
                                      <w:lang w:val="pt-PT"/>
                                    </w:rPr>
                                    <w:t xml:space="preserve">. </w:t>
                                  </w:r>
                                  <w:r w:rsidR="00B84CBA">
                                    <w:rPr>
                                      <w:rFonts w:hAnsi="Calibri"/>
                                      <w:color w:val="000000" w:themeColor="dark1"/>
                                      <w:sz w:val="16"/>
                                      <w:szCs w:val="16"/>
                                    </w:rPr>
                                    <w:t xml:space="preserve">Columnas 10 y 11 </w:t>
                                  </w:r>
                                  <w:r w:rsidR="00B84CBA" w:rsidRPr="00B84CBA">
                                    <w:rPr>
                                      <w:rFonts w:hAnsi="Calibri"/>
                                      <w:color w:val="000000" w:themeColor="dark1"/>
                                      <w:sz w:val="16"/>
                                      <w:szCs w:val="16"/>
                                    </w:rPr>
                                    <w:fldChar w:fldCharType="begin"/>
                                  </w:r>
                                  <w:r w:rsidR="00B84CBA" w:rsidRPr="00B84CBA">
                                    <w:rPr>
                                      <w:rFonts w:hAnsi="Calibri"/>
                                      <w:color w:val="000000" w:themeColor="dark1"/>
                                      <w:sz w:val="16"/>
                                      <w:szCs w:val="16"/>
                                    </w:rPr>
                                    <w:instrText xml:space="preserve"> REF _Ref138759265 \h </w:instrText>
                                  </w:r>
                                  <w:r w:rsidR="00B84CBA">
                                    <w:rPr>
                                      <w:rFonts w:hAnsi="Calibri"/>
                                      <w:color w:val="000000" w:themeColor="dark1"/>
                                      <w:sz w:val="16"/>
                                      <w:szCs w:val="16"/>
                                    </w:rPr>
                                    <w:instrText xml:space="preserve"> \* MERGEFORMAT </w:instrText>
                                  </w:r>
                                  <w:r w:rsidR="00B84CBA" w:rsidRPr="00B84CBA">
                                    <w:rPr>
                                      <w:rFonts w:hAnsi="Calibri"/>
                                      <w:color w:val="000000" w:themeColor="dark1"/>
                                      <w:sz w:val="16"/>
                                      <w:szCs w:val="16"/>
                                    </w:rPr>
                                  </w:r>
                                  <w:r w:rsidR="00B84CBA" w:rsidRPr="00B84CBA">
                                    <w:rPr>
                                      <w:rFonts w:hAnsi="Calibri"/>
                                      <w:color w:val="000000" w:themeColor="dark1"/>
                                      <w:sz w:val="16"/>
                                      <w:szCs w:val="16"/>
                                    </w:rPr>
                                    <w:fldChar w:fldCharType="separate"/>
                                  </w:r>
                                  <w:r w:rsidR="00B311B1" w:rsidRPr="000D6E21">
                                    <w:rPr>
                                      <w:sz w:val="16"/>
                                      <w:szCs w:val="16"/>
                                    </w:rPr>
                                    <w:t xml:space="preserve">Tabla </w:t>
                                  </w:r>
                                  <w:r w:rsidR="00B311B1" w:rsidRPr="000D6E21">
                                    <w:rPr>
                                      <w:noProof/>
                                      <w:sz w:val="16"/>
                                      <w:szCs w:val="16"/>
                                    </w:rPr>
                                    <w:t>15</w:t>
                                  </w:r>
                                  <w:r w:rsidR="00B84CBA" w:rsidRPr="00B84CBA">
                                    <w:rPr>
                                      <w:rFonts w:hAnsi="Calibri"/>
                                      <w:color w:val="000000" w:themeColor="dark1"/>
                                      <w:sz w:val="16"/>
                                      <w:szCs w:val="16"/>
                                    </w:rPr>
                                    <w:fldChar w:fldCharType="end"/>
                                  </w:r>
                                  <w:r w:rsidR="00B84CBA" w:rsidRPr="00B84CBA">
                                    <w:rPr>
                                      <w:rFonts w:hAnsi="Calibri"/>
                                      <w:color w:val="000000" w:themeColor="dark1"/>
                                      <w:sz w:val="16"/>
                                      <w:szCs w:val="16"/>
                                    </w:rPr>
                                    <w:t>.</w:t>
                                  </w:r>
                                </w:p>
                              </w:txbxContent>
                            </wps:txbx>
                            <wps:bodyPr bIns="36000" rtlCol="0" anchor="ctr" anchorCtr="0"/>
                          </wps:wsp>
                        </wpg:grpSp>
                      </wpg:grpSp>
                    </wpg:wgp>
                  </a:graphicData>
                </a:graphic>
              </wp:anchor>
            </w:drawing>
          </mc:Choice>
          <mc:Fallback>
            <w:pict>
              <v:group w14:anchorId="1B9A0660" id="Grupo 1792863433" o:spid="_x0000_s1111" style="position:absolute;left:0;text-align:left;margin-left:0;margin-top:16.7pt;width:413.3pt;height:201.25pt;z-index:251662848;mso-position-horizontal:center;mso-position-horizontal-relative:margin;mso-position-vertical-relative:text" coordorigin="7777" coordsize="52490,25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">
                <v:group id="Grupo 1088278950" o:spid="_x0000_s1112" style="position:absolute;left:7780;top:20095;width:52481;height:5485" coordorigin="7781,-6385" coordsize="52483,54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">
                  <v:rect id="Rectángulo 1325596034" o:spid="_x0000_s1113" style="position:absolute;left:7781;top:-5076;width:3028;height:2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" filled="f" stroked="f" strokeweight="2pt">
                    <v:textbox inset="0,0,0,0">
                      <w:txbxContent>
                        <w:p w14:paraId="7892C187" w14:textId="77777777" w:rsidR="00F15672" w:rsidRPr="008A4FE9" w:rsidRDefault="00F15672" w:rsidP="00F15672">
                          <w:pPr>
                            <w:jc w:val="center"/>
                            <w:rPr>
                              <w:rFonts w:hAnsi="Calibri"/>
                              <w:b/>
                              <w:color w:val="00CC00"/>
                              <w:sz w:val="32"/>
                              <w:szCs w:val="32"/>
                              <w14:textOutline w14:w="12700" w14:cap="flat" w14:cmpd="sng" w14:algn="ctr">
                                <w14:solidFill>
                                  <w14:srgbClr w14:val="339933"/>
                                </w14:solidFill>
                                <w14:prstDash w14:val="solid"/>
                                <w14:round/>
                              </w14:textOutline>
                            </w:rPr>
                          </w:pPr>
                          <w:r w:rsidRPr="008A4FE9">
                            <w:rPr>
                              <w:rFonts w:hAnsi="Calibri"/>
                              <w:b/>
                              <w:color w:val="00CC00"/>
                              <w:sz w:val="32"/>
                              <w:szCs w:val="32"/>
                              <w14:textOutline w14:w="12700" w14:cap="flat" w14:cmpd="sng" w14:algn="ctr">
                                <w14:solidFill>
                                  <w14:srgbClr w14:val="339933"/>
                                </w14:solidFill>
                                <w14:prstDash w14:val="solid"/>
                                <w14:round/>
                              </w14:textOutline>
                            </w:rPr>
                            <w:t>4</w:t>
                          </w:r>
                        </w:p>
                      </w:txbxContent>
                    </v:textbox>
                  </v:rect>
                  <v:rect id="Rectángulo 668435815" o:spid="_x0000_s1114" style="position:absolute;left:11636;top:-6385;width:48628;height:54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" fillcolor="white [3201]" strokecolor="#0c6" strokeweight="2pt">
                    <v:textbox inset=",,,1mm">
                      <w:txbxContent>
                        <w:p w14:paraId="31174BCF" w14:textId="77777777" w:rsidR="00F15672" w:rsidRPr="008A4FE9" w:rsidRDefault="00F15672" w:rsidP="00F15672">
                          <w:pPr>
                            <w:rPr>
                              <w:rFonts w:hAnsi="Calibri"/>
                              <w:color w:val="000000" w:themeColor="dark1"/>
                            </w:rPr>
                          </w:pPr>
                          <w:r w:rsidRPr="008A4FE9">
                            <w:rPr>
                              <w:rFonts w:hAnsi="Calibri"/>
                              <w:color w:val="000000" w:themeColor="dark1"/>
                            </w:rPr>
                            <w:t>Definir tipo de decisi</w:t>
                          </w:r>
                          <w:r w:rsidRPr="008A4FE9">
                            <w:rPr>
                              <w:rFonts w:hAnsi="Calibri"/>
                              <w:color w:val="000000" w:themeColor="dark1"/>
                            </w:rPr>
                            <w:t>ó</w:t>
                          </w:r>
                          <w:r w:rsidRPr="008A4FE9">
                            <w:rPr>
                              <w:rFonts w:hAnsi="Calibri"/>
                              <w:color w:val="000000" w:themeColor="dark1"/>
                            </w:rPr>
                            <w:t>n</w:t>
                          </w:r>
                        </w:p>
                        <w:p w14:paraId="65C41019" w14:textId="6958F58A" w:rsidR="00F15672" w:rsidRPr="008A4FE9" w:rsidRDefault="00F15672" w:rsidP="00F15672">
                          <w:pPr>
                            <w:rPr>
                              <w:rFonts w:hAnsi="Calibri"/>
                              <w:color w:val="000000" w:themeColor="dark1"/>
                              <w:sz w:val="16"/>
                              <w:szCs w:val="16"/>
                            </w:rPr>
                          </w:pPr>
                          <w:r w:rsidRPr="008A4FE9">
                            <w:rPr>
                              <w:rFonts w:hAnsi="Calibri"/>
                              <w:color w:val="000000" w:themeColor="dark1"/>
                              <w:sz w:val="16"/>
                              <w:szCs w:val="16"/>
                            </w:rPr>
                            <w:t>Elecci</w:t>
                          </w:r>
                          <w:r w:rsidRPr="008A4FE9">
                            <w:rPr>
                              <w:rFonts w:hAnsi="Calibri"/>
                              <w:color w:val="000000" w:themeColor="dark1"/>
                              <w:sz w:val="16"/>
                              <w:szCs w:val="16"/>
                            </w:rPr>
                            <w:t>ó</w:t>
                          </w:r>
                          <w:r w:rsidRPr="008A4FE9">
                            <w:rPr>
                              <w:rFonts w:hAnsi="Calibri"/>
                              <w:color w:val="000000" w:themeColor="dark1"/>
                              <w:sz w:val="16"/>
                              <w:szCs w:val="16"/>
                            </w:rPr>
                            <w:t>n, clasificaci</w:t>
                          </w:r>
                          <w:r w:rsidRPr="008A4FE9">
                            <w:rPr>
                              <w:rFonts w:hAnsi="Calibri"/>
                              <w:color w:val="000000" w:themeColor="dark1"/>
                              <w:sz w:val="16"/>
                              <w:szCs w:val="16"/>
                            </w:rPr>
                            <w:t>ó</w:t>
                          </w:r>
                          <w:r w:rsidRPr="008A4FE9">
                            <w:rPr>
                              <w:rFonts w:hAnsi="Calibri"/>
                              <w:color w:val="000000" w:themeColor="dark1"/>
                              <w:sz w:val="16"/>
                              <w:szCs w:val="16"/>
                            </w:rPr>
                            <w:t>n, calificaci</w:t>
                          </w:r>
                          <w:r w:rsidRPr="008A4FE9">
                            <w:rPr>
                              <w:rFonts w:hAnsi="Calibri"/>
                              <w:color w:val="000000" w:themeColor="dark1"/>
                              <w:sz w:val="16"/>
                              <w:szCs w:val="16"/>
                            </w:rPr>
                            <w:t>ó</w:t>
                          </w:r>
                          <w:r w:rsidRPr="008A4FE9">
                            <w:rPr>
                              <w:rFonts w:hAnsi="Calibri"/>
                              <w:color w:val="000000" w:themeColor="dark1"/>
                              <w:sz w:val="16"/>
                              <w:szCs w:val="16"/>
                            </w:rPr>
                            <w:t>n u otro</w:t>
                          </w:r>
                          <w:r w:rsidR="00B84CBA">
                            <w:rPr>
                              <w:rFonts w:hAnsi="Calibri"/>
                              <w:color w:val="000000" w:themeColor="dark1"/>
                              <w:sz w:val="16"/>
                              <w:szCs w:val="16"/>
                            </w:rPr>
                            <w:t xml:space="preserve">. Columna </w:t>
                          </w:r>
                          <w:r w:rsidR="00360DBA">
                            <w:rPr>
                              <w:rFonts w:hAnsi="Calibri"/>
                              <w:color w:val="000000" w:themeColor="dark1"/>
                              <w:sz w:val="16"/>
                              <w:szCs w:val="16"/>
                            </w:rPr>
                            <w:t>6</w:t>
                          </w:r>
                          <w:r w:rsidR="00B84CBA">
                            <w:rPr>
                              <w:rFonts w:hAnsi="Calibri"/>
                              <w:color w:val="000000" w:themeColor="dark1"/>
                              <w:sz w:val="16"/>
                              <w:szCs w:val="16"/>
                            </w:rPr>
                            <w:t xml:space="preserve"> </w:t>
                          </w:r>
                          <w:r w:rsidR="00B84CBA" w:rsidRPr="00B84CBA">
                            <w:rPr>
                              <w:rFonts w:hAnsi="Calibri"/>
                              <w:color w:val="000000" w:themeColor="dark1"/>
                              <w:sz w:val="16"/>
                              <w:szCs w:val="16"/>
                            </w:rPr>
                            <w:fldChar w:fldCharType="begin"/>
                          </w:r>
                          <w:r w:rsidR="00B84CBA" w:rsidRPr="00B84CBA">
                            <w:rPr>
                              <w:rFonts w:hAnsi="Calibri"/>
                              <w:color w:val="000000" w:themeColor="dark1"/>
                              <w:sz w:val="16"/>
                              <w:szCs w:val="16"/>
                            </w:rPr>
                            <w:instrText xml:space="preserve"> REF _Ref138759265 \h </w:instrText>
                          </w:r>
                          <w:r w:rsidR="00B84CBA">
                            <w:rPr>
                              <w:rFonts w:hAnsi="Calibri"/>
                              <w:color w:val="000000" w:themeColor="dark1"/>
                              <w:sz w:val="16"/>
                              <w:szCs w:val="16"/>
                            </w:rPr>
                            <w:instrText xml:space="preserve"> \* MERGEFORMAT </w:instrText>
                          </w:r>
                          <w:r w:rsidR="00B84CBA" w:rsidRPr="00B84CBA">
                            <w:rPr>
                              <w:rFonts w:hAnsi="Calibri"/>
                              <w:color w:val="000000" w:themeColor="dark1"/>
                              <w:sz w:val="16"/>
                              <w:szCs w:val="16"/>
                            </w:rPr>
                          </w:r>
                          <w:r w:rsidR="00B84CBA" w:rsidRPr="00B84CBA">
                            <w:rPr>
                              <w:rFonts w:hAnsi="Calibri"/>
                              <w:color w:val="000000" w:themeColor="dark1"/>
                              <w:sz w:val="16"/>
                              <w:szCs w:val="16"/>
                            </w:rPr>
                            <w:fldChar w:fldCharType="separate"/>
                          </w:r>
                          <w:r w:rsidR="00B311B1" w:rsidRPr="000D6E21">
                            <w:rPr>
                              <w:sz w:val="16"/>
                              <w:szCs w:val="16"/>
                            </w:rPr>
                            <w:t xml:space="preserve">Tabla </w:t>
                          </w:r>
                          <w:r w:rsidR="00B311B1" w:rsidRPr="000D6E21">
                            <w:rPr>
                              <w:noProof/>
                              <w:sz w:val="16"/>
                              <w:szCs w:val="16"/>
                            </w:rPr>
                            <w:t>15</w:t>
                          </w:r>
                          <w:r w:rsidR="00B84CBA" w:rsidRPr="00B84CBA">
                            <w:rPr>
                              <w:rFonts w:hAnsi="Calibri"/>
                              <w:color w:val="000000" w:themeColor="dark1"/>
                              <w:sz w:val="16"/>
                              <w:szCs w:val="16"/>
                            </w:rPr>
                            <w:fldChar w:fldCharType="end"/>
                          </w:r>
                          <w:r w:rsidR="00B84CBA" w:rsidRPr="00B84CBA">
                            <w:rPr>
                              <w:rFonts w:hAnsi="Calibri"/>
                              <w:color w:val="000000" w:themeColor="dark1"/>
                              <w:sz w:val="16"/>
                              <w:szCs w:val="16"/>
                            </w:rPr>
                            <w:t>.</w:t>
                          </w:r>
                        </w:p>
                      </w:txbxContent>
                    </v:textbox>
                  </v:rect>
                </v:group>
                <v:group id="Grupo 27" o:spid="_x0000_s1115" style="position:absolute;left:7777;width:52490;height:18931" coordorigin="8591" coordsize="57986,287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">
                  <o:lock v:ext="edit" aspectratio="t"/>
                  <v:group id="Grupo 911079699" o:spid="_x0000_s1116" style="position:absolute;left:8591;top:1987;width:3518;height:24788" coordorigin="8591,1987" coordsize="3518,247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">
                    <v:rect id="Rectángulo 2016772036" o:spid="_x0000_s1117" style="position:absolute;left:8759;top:1987;width:3350;height:43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" filled="f" stroked="f" strokeweight="2pt">
                      <v:textbox inset="0,0,0,0">
                        <w:txbxContent>
                          <w:p w14:paraId="2DAA8F5C" w14:textId="77777777" w:rsidR="00F15672" w:rsidRPr="008A4FE9" w:rsidRDefault="00F15672" w:rsidP="00F15672">
                            <w:pPr>
                              <w:jc w:val="center"/>
                              <w:rPr>
                                <w:rFonts w:hAnsi="Calibri"/>
                                <w:b/>
                                <w:color w:val="FFC000"/>
                                <w:sz w:val="32"/>
                                <w:szCs w:val="32"/>
                                <w14:textOutline w14:w="12700" w14:cap="flat" w14:cmpd="sng" w14:algn="ctr">
                                  <w14:solidFill>
                                    <w14:srgbClr w14:val="CC9900"/>
                                  </w14:solidFill>
                                  <w14:prstDash w14:val="solid"/>
                                  <w14:round/>
                                </w14:textOutline>
                              </w:rPr>
                            </w:pPr>
                            <w:r w:rsidRPr="008A4FE9">
                              <w:rPr>
                                <w:rFonts w:hAnsi="Calibri"/>
                                <w:b/>
                                <w:color w:val="FFC000"/>
                                <w:sz w:val="32"/>
                                <w:szCs w:val="32"/>
                                <w14:textOutline w14:w="12700" w14:cap="flat" w14:cmpd="sng" w14:algn="ctr">
                                  <w14:solidFill>
                                    <w14:srgbClr w14:val="CC9900"/>
                                  </w14:solidFill>
                                  <w14:prstDash w14:val="solid"/>
                                  <w14:round/>
                                </w14:textOutline>
                              </w:rPr>
                              <w:t>1</w:t>
                            </w:r>
                          </w:p>
                        </w:txbxContent>
                      </v:textbox>
                    </v:rect>
                    <v:rect id="Rectángulo 2032198192" o:spid="_x0000_s1118" style="position:absolute;left:8759;top:12187;width:3350;height:43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" filled="f" stroked="f" strokeweight="2pt">
                      <v:textbox inset="0,0,0,0">
                        <w:txbxContent>
                          <w:p w14:paraId="034A9511" w14:textId="77777777" w:rsidR="00F15672" w:rsidRPr="008A4FE9" w:rsidRDefault="00F15672" w:rsidP="00F15672">
                            <w:pPr>
                              <w:jc w:val="center"/>
                              <w:rPr>
                                <w:rFonts w:hAnsi="Calibri"/>
                                <w:b/>
                                <w:color w:val="99FF33"/>
                                <w:sz w:val="32"/>
                                <w:szCs w:val="32"/>
                                <w14:textOutline w14:w="12700" w14:cap="flat" w14:cmpd="sng" w14:algn="ctr">
                                  <w14:solidFill>
                                    <w14:srgbClr w14:val="33CC33"/>
                                  </w14:solidFill>
                                  <w14:prstDash w14:val="solid"/>
                                  <w14:round/>
                                </w14:textOutline>
                              </w:rPr>
                            </w:pPr>
                            <w:r w:rsidRPr="008A4FE9">
                              <w:rPr>
                                <w:rFonts w:hAnsi="Calibri"/>
                                <w:b/>
                                <w:color w:val="99FF33"/>
                                <w:sz w:val="32"/>
                                <w:szCs w:val="32"/>
                                <w14:textOutline w14:w="12700" w14:cap="flat" w14:cmpd="sng" w14:algn="ctr">
                                  <w14:solidFill>
                                    <w14:srgbClr w14:val="33CC33"/>
                                  </w14:solidFill>
                                  <w14:prstDash w14:val="solid"/>
                                  <w14:round/>
                                </w14:textOutline>
                              </w:rPr>
                              <w:t>2</w:t>
                            </w:r>
                          </w:p>
                        </w:txbxContent>
                      </v:textbox>
                    </v:rect>
                    <v:rect id="Rectángulo 1461433043" o:spid="_x0000_s1119" style="position:absolute;left:8591;top:22397;width:3350;height:43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" filled="f" stroked="f" strokeweight="2pt">
                      <v:textbox inset="0,0,0,0">
                        <w:txbxContent>
                          <w:p w14:paraId="5F455C14" w14:textId="77777777" w:rsidR="00F15672" w:rsidRPr="008A4FE9" w:rsidRDefault="00F15672" w:rsidP="00F15672">
                            <w:pPr>
                              <w:jc w:val="center"/>
                              <w:rPr>
                                <w:rFonts w:hAnsi="Calibri"/>
                                <w:b/>
                                <w:color w:val="66FF66"/>
                                <w:sz w:val="32"/>
                                <w:szCs w:val="32"/>
                                <w14:textOutline w14:w="12700" w14:cap="flat" w14:cmpd="sng" w14:algn="ctr">
                                  <w14:solidFill>
                                    <w14:srgbClr w14:val="33CC33"/>
                                  </w14:solidFill>
                                  <w14:prstDash w14:val="solid"/>
                                  <w14:round/>
                                </w14:textOutline>
                              </w:rPr>
                            </w:pPr>
                            <w:r w:rsidRPr="008A4FE9">
                              <w:rPr>
                                <w:rFonts w:hAnsi="Calibri"/>
                                <w:b/>
                                <w:color w:val="66FF66"/>
                                <w:sz w:val="32"/>
                                <w:szCs w:val="32"/>
                                <w14:textOutline w14:w="12700" w14:cap="flat" w14:cmpd="sng" w14:algn="ctr">
                                  <w14:solidFill>
                                    <w14:srgbClr w14:val="33CC33"/>
                                  </w14:solidFill>
                                  <w14:prstDash w14:val="solid"/>
                                  <w14:round/>
                                </w14:textOutline>
                              </w:rPr>
                              <w:t>3</w:t>
                            </w:r>
                          </w:p>
                        </w:txbxContent>
                      </v:textbox>
                    </v:rect>
                  </v:group>
                  <v:group id="Grupo 1175194037" o:spid="_x0000_s1120" style="position:absolute;left:12862;width:53715;height:28756" coordorigin="12862" coordsize="53715,287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">
                    <v:rect id="Rectángulo 1341260621" o:spid="_x0000_s1121" style="position:absolute;left:12862;width:53715;height:83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" fillcolor="white [3201]" strokecolor="#ffc000" strokeweight="2pt">
                      <v:textbox inset=",,,1mm">
                        <w:txbxContent>
                          <w:p w14:paraId="02EA603C" w14:textId="77777777" w:rsidR="00F15672" w:rsidRPr="008A4FE9" w:rsidRDefault="00F15672" w:rsidP="00F15672">
                            <w:pPr>
                              <w:rPr>
                                <w:rFonts w:hAnsi="Calibri"/>
                                <w:color w:val="000000" w:themeColor="dark1"/>
                              </w:rPr>
                            </w:pPr>
                            <w:r w:rsidRPr="008A4FE9">
                              <w:rPr>
                                <w:rFonts w:hAnsi="Calibri"/>
                                <w:color w:val="000000" w:themeColor="dark1"/>
                              </w:rPr>
                              <w:t>Definir el tipo de m</w:t>
                            </w:r>
                            <w:r w:rsidRPr="008A4FE9">
                              <w:rPr>
                                <w:rFonts w:hAnsi="Calibri"/>
                                <w:color w:val="000000" w:themeColor="dark1"/>
                              </w:rPr>
                              <w:t>é</w:t>
                            </w:r>
                            <w:r w:rsidRPr="008A4FE9">
                              <w:rPr>
                                <w:rFonts w:hAnsi="Calibri"/>
                                <w:color w:val="000000" w:themeColor="dark1"/>
                              </w:rPr>
                              <w:t>todo que se desea emplear</w:t>
                            </w:r>
                          </w:p>
                          <w:p w14:paraId="747A96AA" w14:textId="36CDCD75" w:rsidR="00F15672" w:rsidRPr="00B84CBA" w:rsidRDefault="00F15672" w:rsidP="00F15672">
                            <w:pPr>
                              <w:rPr>
                                <w:rFonts w:hAnsi="Calibri"/>
                                <w:color w:val="000000" w:themeColor="dark1"/>
                                <w:sz w:val="16"/>
                                <w:szCs w:val="16"/>
                              </w:rPr>
                            </w:pPr>
                            <w:r w:rsidRPr="008A4FE9">
                              <w:rPr>
                                <w:rFonts w:hAnsi="Calibri"/>
                                <w:color w:val="000000" w:themeColor="dark1"/>
                                <w:sz w:val="16"/>
                                <w:szCs w:val="16"/>
                              </w:rPr>
                              <w:t>Elemental, criterio de s</w:t>
                            </w:r>
                            <w:r w:rsidRPr="008A4FE9">
                              <w:rPr>
                                <w:rFonts w:hAnsi="Calibri"/>
                                <w:color w:val="000000" w:themeColor="dark1"/>
                                <w:sz w:val="16"/>
                                <w:szCs w:val="16"/>
                              </w:rPr>
                              <w:t>í</w:t>
                            </w:r>
                            <w:r w:rsidRPr="008A4FE9">
                              <w:rPr>
                                <w:rFonts w:hAnsi="Calibri"/>
                                <w:color w:val="000000" w:themeColor="dark1"/>
                                <w:sz w:val="16"/>
                                <w:szCs w:val="16"/>
                              </w:rPr>
                              <w:t xml:space="preserve">ntesis </w:t>
                            </w:r>
                            <w:r w:rsidRPr="008A4FE9">
                              <w:rPr>
                                <w:rFonts w:hAnsi="Calibri"/>
                                <w:color w:val="000000" w:themeColor="dark1"/>
                                <w:sz w:val="16"/>
                                <w:szCs w:val="16"/>
                              </w:rPr>
                              <w:t>ú</w:t>
                            </w:r>
                            <w:r w:rsidRPr="008A4FE9">
                              <w:rPr>
                                <w:rFonts w:hAnsi="Calibri"/>
                                <w:color w:val="000000" w:themeColor="dark1"/>
                                <w:sz w:val="16"/>
                                <w:szCs w:val="16"/>
                              </w:rPr>
                              <w:t>nico, de superaci</w:t>
                            </w:r>
                            <w:r w:rsidRPr="008A4FE9">
                              <w:rPr>
                                <w:rFonts w:hAnsi="Calibri"/>
                                <w:color w:val="000000" w:themeColor="dark1"/>
                                <w:sz w:val="16"/>
                                <w:szCs w:val="16"/>
                              </w:rPr>
                              <w:t>ó</w:t>
                            </w:r>
                            <w:r w:rsidRPr="008A4FE9">
                              <w:rPr>
                                <w:rFonts w:hAnsi="Calibri"/>
                                <w:color w:val="000000" w:themeColor="dark1"/>
                                <w:sz w:val="16"/>
                                <w:szCs w:val="16"/>
                              </w:rPr>
                              <w:t>n (outranking), interactivo, mixto</w:t>
                            </w:r>
                            <w:r w:rsidR="00B84CBA">
                              <w:rPr>
                                <w:rFonts w:hAnsi="Calibri"/>
                                <w:color w:val="000000" w:themeColor="dark1"/>
                                <w:sz w:val="16"/>
                                <w:szCs w:val="16"/>
                              </w:rPr>
                              <w:t xml:space="preserve">. Columna 1 </w:t>
                            </w:r>
                            <w:r w:rsidR="00B84CBA" w:rsidRPr="00B84CBA">
                              <w:rPr>
                                <w:rFonts w:hAnsi="Calibri"/>
                                <w:color w:val="000000" w:themeColor="dark1"/>
                                <w:sz w:val="16"/>
                                <w:szCs w:val="16"/>
                              </w:rPr>
                              <w:fldChar w:fldCharType="begin"/>
                            </w:r>
                            <w:r w:rsidR="00B84CBA" w:rsidRPr="00B84CBA">
                              <w:rPr>
                                <w:rFonts w:hAnsi="Calibri"/>
                                <w:color w:val="000000" w:themeColor="dark1"/>
                                <w:sz w:val="16"/>
                                <w:szCs w:val="16"/>
                              </w:rPr>
                              <w:instrText xml:space="preserve"> REF _Ref138759265 \h </w:instrText>
                            </w:r>
                            <w:r w:rsidR="00B84CBA">
                              <w:rPr>
                                <w:rFonts w:hAnsi="Calibri"/>
                                <w:color w:val="000000" w:themeColor="dark1"/>
                                <w:sz w:val="16"/>
                                <w:szCs w:val="16"/>
                              </w:rPr>
                              <w:instrText xml:space="preserve"> \* MERGEFORMAT </w:instrText>
                            </w:r>
                            <w:r w:rsidR="00B84CBA" w:rsidRPr="00B84CBA">
                              <w:rPr>
                                <w:rFonts w:hAnsi="Calibri"/>
                                <w:color w:val="000000" w:themeColor="dark1"/>
                                <w:sz w:val="16"/>
                                <w:szCs w:val="16"/>
                              </w:rPr>
                            </w:r>
                            <w:r w:rsidR="00B84CBA" w:rsidRPr="00B84CBA">
                              <w:rPr>
                                <w:rFonts w:hAnsi="Calibri"/>
                                <w:color w:val="000000" w:themeColor="dark1"/>
                                <w:sz w:val="16"/>
                                <w:szCs w:val="16"/>
                              </w:rPr>
                              <w:fldChar w:fldCharType="separate"/>
                            </w:r>
                            <w:r w:rsidR="00B311B1" w:rsidRPr="000D6E21">
                              <w:rPr>
                                <w:sz w:val="16"/>
                                <w:szCs w:val="16"/>
                              </w:rPr>
                              <w:t xml:space="preserve">Tabla </w:t>
                            </w:r>
                            <w:r w:rsidR="00B311B1" w:rsidRPr="000D6E21">
                              <w:rPr>
                                <w:noProof/>
                                <w:sz w:val="16"/>
                                <w:szCs w:val="16"/>
                              </w:rPr>
                              <w:t>15</w:t>
                            </w:r>
                            <w:r w:rsidR="00B84CBA" w:rsidRPr="00B84CBA">
                              <w:rPr>
                                <w:rFonts w:hAnsi="Calibri"/>
                                <w:color w:val="000000" w:themeColor="dark1"/>
                                <w:sz w:val="16"/>
                                <w:szCs w:val="16"/>
                              </w:rPr>
                              <w:fldChar w:fldCharType="end"/>
                            </w:r>
                            <w:r w:rsidR="00B84CBA" w:rsidRPr="00B84CBA">
                              <w:rPr>
                                <w:rFonts w:hAnsi="Calibri"/>
                                <w:color w:val="000000" w:themeColor="dark1"/>
                                <w:sz w:val="16"/>
                                <w:szCs w:val="16"/>
                              </w:rPr>
                              <w:t>.</w:t>
                            </w:r>
                          </w:p>
                        </w:txbxContent>
                      </v:textbox>
                    </v:rect>
                    <v:rect id="Rectángulo 1203532886" o:spid="_x0000_s1122" style="position:absolute;left:12862;top:10210;width:53715;height:83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" fillcolor="white [3201]" strokecolor="#cf3" strokeweight="2pt">
                      <v:textbox inset=",,,1mm">
                        <w:txbxContent>
                          <w:p w14:paraId="1DF2F2CB" w14:textId="77777777" w:rsidR="00F15672" w:rsidRPr="008A4FE9" w:rsidRDefault="00F15672" w:rsidP="00F15672">
                            <w:pPr>
                              <w:rPr>
                                <w:rFonts w:hAnsi="Calibri"/>
                                <w:color w:val="000000" w:themeColor="dark1"/>
                                <w:kern w:val="24"/>
                              </w:rPr>
                            </w:pPr>
                            <w:r w:rsidRPr="008A4FE9">
                              <w:rPr>
                                <w:rFonts w:hAnsi="Calibri"/>
                                <w:color w:val="000000" w:themeColor="dark1"/>
                              </w:rPr>
                              <w:t>Identificar tipo de la informaci</w:t>
                            </w:r>
                            <w:r w:rsidRPr="008A4FE9">
                              <w:rPr>
                                <w:rFonts w:hAnsi="Calibri"/>
                                <w:color w:val="000000" w:themeColor="dark1"/>
                              </w:rPr>
                              <w:t>ó</w:t>
                            </w:r>
                            <w:r w:rsidRPr="008A4FE9">
                              <w:rPr>
                                <w:rFonts w:hAnsi="Calibri"/>
                                <w:color w:val="000000" w:themeColor="dark1"/>
                              </w:rPr>
                              <w:t>n a emplear</w:t>
                            </w:r>
                          </w:p>
                          <w:p w14:paraId="0C592A0B" w14:textId="20C73740" w:rsidR="00F15672" w:rsidRPr="008A4FE9" w:rsidRDefault="00F15672" w:rsidP="00F15672">
                            <w:pPr>
                              <w:rPr>
                                <w:rFonts w:hAnsi="Calibri"/>
                                <w:color w:val="000000" w:themeColor="dark1"/>
                                <w:kern w:val="24"/>
                                <w:sz w:val="16"/>
                                <w:szCs w:val="16"/>
                              </w:rPr>
                            </w:pPr>
                            <w:bookmarkStart w:id="2379" w:name="_Hlk122438843"/>
                            <w:r w:rsidRPr="008A4FE9">
                              <w:rPr>
                                <w:rFonts w:hAnsi="Calibri"/>
                                <w:color w:val="000000" w:themeColor="dark1"/>
                                <w:sz w:val="16"/>
                                <w:szCs w:val="16"/>
                              </w:rPr>
                              <w:t>Ordinal, cardinal o mixta</w:t>
                            </w:r>
                            <w:bookmarkEnd w:id="2379"/>
                            <w:r w:rsidR="00B84CBA">
                              <w:rPr>
                                <w:rFonts w:hAnsi="Calibri"/>
                                <w:color w:val="000000" w:themeColor="dark1"/>
                                <w:sz w:val="16"/>
                                <w:szCs w:val="16"/>
                              </w:rPr>
                              <w:t xml:space="preserve">. Columnas 7 a 9 </w:t>
                            </w:r>
                            <w:r w:rsidR="00B84CBA" w:rsidRPr="00B84CBA">
                              <w:rPr>
                                <w:rFonts w:hAnsi="Calibri"/>
                                <w:color w:val="000000" w:themeColor="dark1"/>
                                <w:sz w:val="16"/>
                                <w:szCs w:val="16"/>
                              </w:rPr>
                              <w:fldChar w:fldCharType="begin"/>
                            </w:r>
                            <w:r w:rsidR="00B84CBA" w:rsidRPr="00B84CBA">
                              <w:rPr>
                                <w:rFonts w:hAnsi="Calibri"/>
                                <w:color w:val="000000" w:themeColor="dark1"/>
                                <w:sz w:val="16"/>
                                <w:szCs w:val="16"/>
                              </w:rPr>
                              <w:instrText xml:space="preserve"> REF _Ref138759265 \h </w:instrText>
                            </w:r>
                            <w:r w:rsidR="00B84CBA">
                              <w:rPr>
                                <w:rFonts w:hAnsi="Calibri"/>
                                <w:color w:val="000000" w:themeColor="dark1"/>
                                <w:sz w:val="16"/>
                                <w:szCs w:val="16"/>
                              </w:rPr>
                              <w:instrText xml:space="preserve"> \* MERGEFORMAT </w:instrText>
                            </w:r>
                            <w:r w:rsidR="00B84CBA" w:rsidRPr="00B84CBA">
                              <w:rPr>
                                <w:rFonts w:hAnsi="Calibri"/>
                                <w:color w:val="000000" w:themeColor="dark1"/>
                                <w:sz w:val="16"/>
                                <w:szCs w:val="16"/>
                              </w:rPr>
                            </w:r>
                            <w:r w:rsidR="00B84CBA" w:rsidRPr="00B84CBA">
                              <w:rPr>
                                <w:rFonts w:hAnsi="Calibri"/>
                                <w:color w:val="000000" w:themeColor="dark1"/>
                                <w:sz w:val="16"/>
                                <w:szCs w:val="16"/>
                              </w:rPr>
                              <w:fldChar w:fldCharType="separate"/>
                            </w:r>
                            <w:r w:rsidR="00B311B1" w:rsidRPr="000D6E21">
                              <w:rPr>
                                <w:sz w:val="16"/>
                                <w:szCs w:val="16"/>
                              </w:rPr>
                              <w:t xml:space="preserve">Tabla </w:t>
                            </w:r>
                            <w:r w:rsidR="00B311B1" w:rsidRPr="000D6E21">
                              <w:rPr>
                                <w:noProof/>
                                <w:sz w:val="16"/>
                                <w:szCs w:val="16"/>
                              </w:rPr>
                              <w:t>15</w:t>
                            </w:r>
                            <w:r w:rsidR="00B84CBA" w:rsidRPr="00B84CBA">
                              <w:rPr>
                                <w:rFonts w:hAnsi="Calibri"/>
                                <w:color w:val="000000" w:themeColor="dark1"/>
                                <w:sz w:val="16"/>
                                <w:szCs w:val="16"/>
                              </w:rPr>
                              <w:fldChar w:fldCharType="end"/>
                            </w:r>
                            <w:r w:rsidR="00B84CBA" w:rsidRPr="00B84CBA">
                              <w:rPr>
                                <w:rFonts w:hAnsi="Calibri"/>
                                <w:color w:val="000000" w:themeColor="dark1"/>
                                <w:sz w:val="16"/>
                                <w:szCs w:val="16"/>
                              </w:rPr>
                              <w:t>.</w:t>
                            </w:r>
                          </w:p>
                        </w:txbxContent>
                      </v:textbox>
                    </v:rect>
                    <v:rect id="Rectángulo 824129656" o:spid="_x0000_s1123" style="position:absolute;left:12862;top:20420;width:53715;height:8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" fillcolor="white [3201]" strokecolor="#6f9" strokeweight="2pt">
                      <v:textbox inset=",,,1mm">
                        <w:txbxContent>
                          <w:p w14:paraId="53AEA8BC" w14:textId="77777777" w:rsidR="00F15672" w:rsidRPr="008A4FE9" w:rsidRDefault="00F15672" w:rsidP="00F15672">
                            <w:pPr>
                              <w:rPr>
                                <w:rFonts w:hAnsi="Calibri"/>
                                <w:color w:val="000000" w:themeColor="dark1"/>
                                <w:kern w:val="24"/>
                              </w:rPr>
                            </w:pPr>
                            <w:r w:rsidRPr="008A4FE9">
                              <w:rPr>
                                <w:rFonts w:hAnsi="Calibri"/>
                                <w:color w:val="000000" w:themeColor="dark1"/>
                              </w:rPr>
                              <w:t>Identificar naturaleza de la informaci</w:t>
                            </w:r>
                            <w:r w:rsidRPr="008A4FE9">
                              <w:rPr>
                                <w:rFonts w:hAnsi="Calibri"/>
                                <w:color w:val="000000" w:themeColor="dark1"/>
                              </w:rPr>
                              <w:t>ó</w:t>
                            </w:r>
                            <w:r w:rsidRPr="008A4FE9">
                              <w:rPr>
                                <w:rFonts w:hAnsi="Calibri"/>
                                <w:color w:val="000000" w:themeColor="dark1"/>
                              </w:rPr>
                              <w:t>n a emplear</w:t>
                            </w:r>
                          </w:p>
                          <w:p w14:paraId="0DAB2A87" w14:textId="6AAD4F1C" w:rsidR="00F15672" w:rsidRPr="00394D50" w:rsidRDefault="00F15672" w:rsidP="00F15672">
                            <w:pPr>
                              <w:rPr>
                                <w:rFonts w:hAnsi="Calibri"/>
                                <w:color w:val="000000" w:themeColor="dark1"/>
                                <w:sz w:val="18"/>
                                <w:szCs w:val="18"/>
                              </w:rPr>
                            </w:pPr>
                            <w:r w:rsidRPr="005A685F">
                              <w:rPr>
                                <w:rFonts w:hAnsi="Calibri"/>
                                <w:color w:val="000000" w:themeColor="dark1"/>
                                <w:sz w:val="16"/>
                                <w:szCs w:val="16"/>
                                <w:lang w:val="pt-PT"/>
                              </w:rPr>
                              <w:t>Determin</w:t>
                            </w:r>
                            <w:r w:rsidRPr="005A685F">
                              <w:rPr>
                                <w:rFonts w:hAnsi="Calibri"/>
                                <w:color w:val="000000" w:themeColor="dark1"/>
                                <w:sz w:val="16"/>
                                <w:szCs w:val="16"/>
                                <w:lang w:val="pt-PT"/>
                              </w:rPr>
                              <w:t>í</w:t>
                            </w:r>
                            <w:r w:rsidRPr="005A685F">
                              <w:rPr>
                                <w:rFonts w:hAnsi="Calibri"/>
                                <w:color w:val="000000" w:themeColor="dark1"/>
                                <w:sz w:val="16"/>
                                <w:szCs w:val="16"/>
                                <w:lang w:val="pt-PT"/>
                              </w:rPr>
                              <w:t>stica, no determin</w:t>
                            </w:r>
                            <w:r w:rsidRPr="005A685F">
                              <w:rPr>
                                <w:rFonts w:hAnsi="Calibri"/>
                                <w:color w:val="000000" w:themeColor="dark1"/>
                                <w:sz w:val="16"/>
                                <w:szCs w:val="16"/>
                                <w:lang w:val="pt-PT"/>
                              </w:rPr>
                              <w:t>í</w:t>
                            </w:r>
                            <w:r w:rsidRPr="005A685F">
                              <w:rPr>
                                <w:rFonts w:hAnsi="Calibri"/>
                                <w:color w:val="000000" w:themeColor="dark1"/>
                                <w:sz w:val="16"/>
                                <w:szCs w:val="16"/>
                                <w:lang w:val="pt-PT"/>
                              </w:rPr>
                              <w:t>stica o mixta</w:t>
                            </w:r>
                            <w:r w:rsidR="00B84CBA" w:rsidRPr="005A685F">
                              <w:rPr>
                                <w:rFonts w:hAnsi="Calibri"/>
                                <w:color w:val="000000" w:themeColor="dark1"/>
                                <w:sz w:val="16"/>
                                <w:szCs w:val="16"/>
                                <w:lang w:val="pt-PT"/>
                              </w:rPr>
                              <w:t xml:space="preserve">. </w:t>
                            </w:r>
                            <w:r w:rsidR="00B84CBA">
                              <w:rPr>
                                <w:rFonts w:hAnsi="Calibri"/>
                                <w:color w:val="000000" w:themeColor="dark1"/>
                                <w:sz w:val="16"/>
                                <w:szCs w:val="16"/>
                              </w:rPr>
                              <w:t xml:space="preserve">Columnas 10 y 11 </w:t>
                            </w:r>
                            <w:r w:rsidR="00B84CBA" w:rsidRPr="00B84CBA">
                              <w:rPr>
                                <w:rFonts w:hAnsi="Calibri"/>
                                <w:color w:val="000000" w:themeColor="dark1"/>
                                <w:sz w:val="16"/>
                                <w:szCs w:val="16"/>
                              </w:rPr>
                              <w:fldChar w:fldCharType="begin"/>
                            </w:r>
                            <w:r w:rsidR="00B84CBA" w:rsidRPr="00B84CBA">
                              <w:rPr>
                                <w:rFonts w:hAnsi="Calibri"/>
                                <w:color w:val="000000" w:themeColor="dark1"/>
                                <w:sz w:val="16"/>
                                <w:szCs w:val="16"/>
                              </w:rPr>
                              <w:instrText xml:space="preserve"> REF _Ref138759265 \h </w:instrText>
                            </w:r>
                            <w:r w:rsidR="00B84CBA">
                              <w:rPr>
                                <w:rFonts w:hAnsi="Calibri"/>
                                <w:color w:val="000000" w:themeColor="dark1"/>
                                <w:sz w:val="16"/>
                                <w:szCs w:val="16"/>
                              </w:rPr>
                              <w:instrText xml:space="preserve"> \* MERGEFORMAT </w:instrText>
                            </w:r>
                            <w:r w:rsidR="00B84CBA" w:rsidRPr="00B84CBA">
                              <w:rPr>
                                <w:rFonts w:hAnsi="Calibri"/>
                                <w:color w:val="000000" w:themeColor="dark1"/>
                                <w:sz w:val="16"/>
                                <w:szCs w:val="16"/>
                              </w:rPr>
                            </w:r>
                            <w:r w:rsidR="00B84CBA" w:rsidRPr="00B84CBA">
                              <w:rPr>
                                <w:rFonts w:hAnsi="Calibri"/>
                                <w:color w:val="000000" w:themeColor="dark1"/>
                                <w:sz w:val="16"/>
                                <w:szCs w:val="16"/>
                              </w:rPr>
                              <w:fldChar w:fldCharType="separate"/>
                            </w:r>
                            <w:r w:rsidR="00B311B1" w:rsidRPr="000D6E21">
                              <w:rPr>
                                <w:sz w:val="16"/>
                                <w:szCs w:val="16"/>
                              </w:rPr>
                              <w:t xml:space="preserve">Tabla </w:t>
                            </w:r>
                            <w:r w:rsidR="00B311B1" w:rsidRPr="000D6E21">
                              <w:rPr>
                                <w:noProof/>
                                <w:sz w:val="16"/>
                                <w:szCs w:val="16"/>
                              </w:rPr>
                              <w:t>15</w:t>
                            </w:r>
                            <w:r w:rsidR="00B84CBA" w:rsidRPr="00B84CBA">
                              <w:rPr>
                                <w:rFonts w:hAnsi="Calibri"/>
                                <w:color w:val="000000" w:themeColor="dark1"/>
                                <w:sz w:val="16"/>
                                <w:szCs w:val="16"/>
                              </w:rPr>
                              <w:fldChar w:fldCharType="end"/>
                            </w:r>
                            <w:r w:rsidR="00B84CBA" w:rsidRPr="00B84CBA">
                              <w:rPr>
                                <w:rFonts w:hAnsi="Calibri"/>
                                <w:color w:val="000000" w:themeColor="dark1"/>
                                <w:sz w:val="16"/>
                                <w:szCs w:val="16"/>
                              </w:rPr>
                              <w:t>.</w:t>
                            </w:r>
                          </w:p>
                        </w:txbxContent>
                      </v:textbox>
                    </v:rect>
                  </v:group>
                </v:group>
                <w10:wrap type="topAndBottom" anchorx="margin"/>
              </v:group>
            </w:pict>
          </mc:Fallback>
        </mc:AlternateContent>
      </w:r>
      <w:bookmarkEnd w:id="2376"/>
      <w:r w:rsidR="00E45CEA" w:rsidRPr="00BD1319">
        <w:t xml:space="preserve">Figura </w:t>
      </w:r>
      <w:fldSimple w:instr=" SEQ Figura \* ARABIC ">
        <w:r w:rsidR="00296654" w:rsidRPr="00BD1319">
          <w:rPr>
            <w:noProof/>
          </w:rPr>
          <w:t>3</w:t>
        </w:r>
      </w:fldSimple>
      <w:bookmarkEnd w:id="2377"/>
      <w:r w:rsidR="00F15672" w:rsidRPr="00BD1319">
        <w:rPr>
          <w:spacing w:val="-3"/>
        </w:rPr>
        <w:t>.</w:t>
      </w:r>
      <w:r w:rsidR="00F15672" w:rsidRPr="00BD1319">
        <w:rPr>
          <w:b w:val="0"/>
          <w:bCs w:val="0"/>
          <w:spacing w:val="-3"/>
        </w:rPr>
        <w:t xml:space="preserve"> Procedimiento general para seleccionar el método de EMC</w:t>
      </w:r>
    </w:p>
    <w:p w14:paraId="44FA6395" w14:textId="77777777" w:rsidR="00F15672" w:rsidRPr="00BD1319" w:rsidRDefault="00F15672" w:rsidP="00B51194">
      <w:pPr>
        <w:numPr>
          <w:ilvl w:val="12"/>
          <w:numId w:val="0"/>
        </w:numPr>
        <w:tabs>
          <w:tab w:val="left" w:pos="-2268"/>
        </w:tabs>
        <w:suppressAutoHyphens/>
        <w:ind w:left="1134"/>
        <w:rPr>
          <w:spacing w:val="-3"/>
          <w:sz w:val="20"/>
          <w:szCs w:val="20"/>
        </w:rPr>
      </w:pPr>
      <w:r w:rsidRPr="00BD1319">
        <w:rPr>
          <w:b/>
          <w:bCs/>
          <w:spacing w:val="-3"/>
          <w:sz w:val="20"/>
          <w:szCs w:val="20"/>
        </w:rPr>
        <w:t>Fuente:</w:t>
      </w:r>
      <w:r w:rsidRPr="00BD1319">
        <w:rPr>
          <w:spacing w:val="-3"/>
          <w:sz w:val="20"/>
          <w:szCs w:val="20"/>
        </w:rPr>
        <w:t xml:space="preserve"> adaptado de </w:t>
      </w:r>
      <w:proofErr w:type="spellStart"/>
      <w:r w:rsidRPr="00BD1319">
        <w:rPr>
          <w:spacing w:val="-3"/>
          <w:sz w:val="20"/>
          <w:szCs w:val="20"/>
        </w:rPr>
        <w:t>Guitouni</w:t>
      </w:r>
      <w:proofErr w:type="spellEnd"/>
      <w:r w:rsidRPr="00BD1319">
        <w:rPr>
          <w:spacing w:val="-3"/>
          <w:sz w:val="20"/>
          <w:szCs w:val="20"/>
        </w:rPr>
        <w:t xml:space="preserve"> &amp; Martel (1998).</w:t>
      </w:r>
    </w:p>
    <w:p w14:paraId="54CB2052" w14:textId="77777777" w:rsidR="00F15672" w:rsidRPr="00BD1319" w:rsidRDefault="00F15672" w:rsidP="00F15672">
      <w:pPr>
        <w:numPr>
          <w:ilvl w:val="12"/>
          <w:numId w:val="0"/>
        </w:numPr>
        <w:tabs>
          <w:tab w:val="left" w:pos="-2268"/>
        </w:tabs>
        <w:suppressAutoHyphens/>
        <w:rPr>
          <w:spacing w:val="-3"/>
        </w:rPr>
      </w:pPr>
    </w:p>
    <w:p w14:paraId="0FA3D7C9" w14:textId="73586AD1" w:rsidR="00F15672" w:rsidRPr="00BD1319" w:rsidRDefault="00F15672" w:rsidP="00F15672">
      <w:pPr>
        <w:numPr>
          <w:ilvl w:val="12"/>
          <w:numId w:val="0"/>
        </w:numPr>
        <w:tabs>
          <w:tab w:val="left" w:pos="-2268"/>
        </w:tabs>
        <w:suppressAutoHyphens/>
        <w:rPr>
          <w:spacing w:val="-3"/>
        </w:rPr>
      </w:pPr>
      <w:r w:rsidRPr="00BD1319">
        <w:rPr>
          <w:spacing w:val="-3"/>
        </w:rPr>
        <w:t xml:space="preserve">La </w:t>
      </w:r>
      <w:r w:rsidR="00D0241B" w:rsidRPr="00BD1319">
        <w:rPr>
          <w:spacing w:val="-3"/>
        </w:rPr>
        <w:fldChar w:fldCharType="begin"/>
      </w:r>
      <w:r w:rsidR="00D0241B" w:rsidRPr="00BD1319">
        <w:rPr>
          <w:spacing w:val="-3"/>
        </w:rPr>
        <w:instrText xml:space="preserve"> REF _Ref138759265 \h </w:instrText>
      </w:r>
      <w:r w:rsidR="00BD1319">
        <w:rPr>
          <w:spacing w:val="-3"/>
        </w:rPr>
        <w:instrText xml:space="preserve"> \* MERGEFORMAT </w:instrText>
      </w:r>
      <w:r w:rsidR="00D0241B" w:rsidRPr="00BD1319">
        <w:rPr>
          <w:spacing w:val="-3"/>
        </w:rPr>
      </w:r>
      <w:r w:rsidR="00D0241B" w:rsidRPr="00BD1319">
        <w:rPr>
          <w:spacing w:val="-3"/>
        </w:rPr>
        <w:fldChar w:fldCharType="separate"/>
      </w:r>
      <w:r w:rsidR="00296654" w:rsidRPr="00BD1319">
        <w:t xml:space="preserve">Tabla </w:t>
      </w:r>
      <w:r w:rsidR="00296654" w:rsidRPr="00BD1319">
        <w:rPr>
          <w:noProof/>
        </w:rPr>
        <w:t>15</w:t>
      </w:r>
      <w:r w:rsidR="00D0241B" w:rsidRPr="00BD1319">
        <w:rPr>
          <w:spacing w:val="-3"/>
        </w:rPr>
        <w:fldChar w:fldCharType="end"/>
      </w:r>
      <w:r w:rsidRPr="00BD1319">
        <w:rPr>
          <w:spacing w:val="-3"/>
        </w:rPr>
        <w:t xml:space="preserve"> describe diferentes métodos de EMC a partir de las características mencionadas anteriormente, de modo que puede ser usada para identificar métodos que cumplan con los requisitos que defina el </w:t>
      </w:r>
      <w:r w:rsidR="00275331" w:rsidRPr="00BD1319">
        <w:rPr>
          <w:spacing w:val="-3"/>
        </w:rPr>
        <w:t xml:space="preserve">elaborador del estudio </w:t>
      </w:r>
      <w:r w:rsidRPr="00BD1319">
        <w:rPr>
          <w:spacing w:val="-3"/>
        </w:rPr>
        <w:t xml:space="preserve">al aplicar el procedimiento señalando en la </w:t>
      </w:r>
      <w:r w:rsidR="008D2728" w:rsidRPr="00BD1319">
        <w:rPr>
          <w:spacing w:val="-3"/>
        </w:rPr>
        <w:fldChar w:fldCharType="begin"/>
      </w:r>
      <w:r w:rsidR="008D2728" w:rsidRPr="00BD1319">
        <w:rPr>
          <w:spacing w:val="-3"/>
        </w:rPr>
        <w:instrText xml:space="preserve"> REF _Ref139616568 \h </w:instrText>
      </w:r>
      <w:r w:rsidR="00BD1319">
        <w:rPr>
          <w:spacing w:val="-3"/>
        </w:rPr>
        <w:instrText xml:space="preserve"> \* MERGEFORMAT </w:instrText>
      </w:r>
      <w:r w:rsidR="008D2728" w:rsidRPr="00BD1319">
        <w:rPr>
          <w:spacing w:val="-3"/>
        </w:rPr>
      </w:r>
      <w:r w:rsidR="008D2728" w:rsidRPr="00BD1319">
        <w:rPr>
          <w:spacing w:val="-3"/>
        </w:rPr>
        <w:fldChar w:fldCharType="separate"/>
      </w:r>
      <w:r w:rsidR="00296654" w:rsidRPr="00BD1319">
        <w:t xml:space="preserve">Figura </w:t>
      </w:r>
      <w:r w:rsidR="00296654" w:rsidRPr="00BD1319">
        <w:rPr>
          <w:noProof/>
        </w:rPr>
        <w:t>3</w:t>
      </w:r>
      <w:r w:rsidR="008D2728" w:rsidRPr="00BD1319">
        <w:rPr>
          <w:spacing w:val="-3"/>
        </w:rPr>
        <w:fldChar w:fldCharType="end"/>
      </w:r>
      <w:r w:rsidRPr="00BD1319">
        <w:rPr>
          <w:spacing w:val="-3"/>
        </w:rPr>
        <w:fldChar w:fldCharType="begin"/>
      </w:r>
      <w:r w:rsidRPr="00BD1319">
        <w:rPr>
          <w:spacing w:val="-3"/>
        </w:rPr>
        <w:instrText xml:space="preserve"> REF _Ref138682160 \h </w:instrText>
      </w:r>
      <w:r w:rsidR="00275331" w:rsidRPr="00BD1319">
        <w:rPr>
          <w:spacing w:val="-3"/>
        </w:rPr>
        <w:instrText xml:space="preserve"> \* MERGEFORMAT </w:instrText>
      </w:r>
      <w:r w:rsidRPr="00BD1319">
        <w:rPr>
          <w:spacing w:val="-3"/>
        </w:rPr>
      </w:r>
      <w:r w:rsidRPr="00BD1319">
        <w:rPr>
          <w:spacing w:val="-3"/>
        </w:rPr>
        <w:fldChar w:fldCharType="end"/>
      </w:r>
      <w:r w:rsidRPr="00BD1319">
        <w:rPr>
          <w:spacing w:val="-3"/>
        </w:rPr>
        <w:t>.</w:t>
      </w:r>
    </w:p>
    <w:p w14:paraId="043BE32D" w14:textId="77777777" w:rsidR="00F247F7" w:rsidRPr="00BD1319" w:rsidRDefault="00F247F7">
      <w:pPr>
        <w:numPr>
          <w:ilvl w:val="12"/>
          <w:numId w:val="0"/>
        </w:numPr>
        <w:tabs>
          <w:tab w:val="left" w:pos="-2268"/>
        </w:tabs>
        <w:suppressAutoHyphens/>
        <w:rPr>
          <w:spacing w:val="-3"/>
        </w:rPr>
      </w:pPr>
    </w:p>
    <w:p w14:paraId="0AF24F27" w14:textId="77777777" w:rsidR="00F44F70" w:rsidRPr="00BD1319" w:rsidRDefault="00F44F70">
      <w:pPr>
        <w:numPr>
          <w:ilvl w:val="12"/>
          <w:numId w:val="0"/>
        </w:numPr>
        <w:tabs>
          <w:tab w:val="left" w:pos="-2268"/>
        </w:tabs>
        <w:suppressAutoHyphens/>
        <w:rPr>
          <w:spacing w:val="-3"/>
        </w:rPr>
        <w:sectPr w:rsidR="00F44F70" w:rsidRPr="00BD1319" w:rsidSect="00C51BA7">
          <w:headerReference w:type="even" r:id="rId29"/>
          <w:headerReference w:type="default" r:id="rId30"/>
          <w:footerReference w:type="default" r:id="rId31"/>
          <w:headerReference w:type="first" r:id="rId32"/>
          <w:footerReference w:type="first" r:id="rId33"/>
          <w:endnotePr>
            <w:numFmt w:val="decimal"/>
          </w:endnotePr>
          <w:pgSz w:w="12242" w:h="15842" w:code="1"/>
          <w:pgMar w:top="2268" w:right="1701" w:bottom="1701" w:left="1701" w:header="1134" w:footer="851" w:gutter="0"/>
          <w:pgNumType w:start="2"/>
          <w:cols w:space="720"/>
          <w:docGrid w:linePitch="326"/>
        </w:sectPr>
      </w:pPr>
    </w:p>
    <w:p w14:paraId="61969BB7" w14:textId="16B6CBBE" w:rsidR="007D4645" w:rsidRPr="00BD1319" w:rsidRDefault="007D4645" w:rsidP="0005570C">
      <w:pPr>
        <w:pStyle w:val="Descripcin"/>
        <w:keepNext/>
        <w:jc w:val="center"/>
      </w:pPr>
      <w:bookmarkStart w:id="2379" w:name="_Ref138759265"/>
      <w:r w:rsidRPr="00BD1319">
        <w:lastRenderedPageBreak/>
        <w:t xml:space="preserve">Tabla </w:t>
      </w:r>
      <w:fldSimple w:instr=" SEQ Tabla \* ARABIC ">
        <w:r w:rsidR="00296654" w:rsidRPr="00BD1319">
          <w:rPr>
            <w:noProof/>
          </w:rPr>
          <w:t>15</w:t>
        </w:r>
      </w:fldSimple>
      <w:bookmarkEnd w:id="2379"/>
      <w:r w:rsidRPr="00BD1319">
        <w:t xml:space="preserve">. </w:t>
      </w:r>
      <w:r w:rsidRPr="00BD1319">
        <w:rPr>
          <w:b w:val="0"/>
          <w:bCs w:val="0"/>
        </w:rPr>
        <w:t>Características de los principales métodos de EMC</w:t>
      </w:r>
    </w:p>
    <w:tbl>
      <w:tblPr>
        <w:tblStyle w:val="Tablaconcuadrcula2-nfasis1"/>
        <w:tblW w:w="15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276"/>
        <w:gridCol w:w="3686"/>
        <w:gridCol w:w="992"/>
        <w:gridCol w:w="1134"/>
        <w:gridCol w:w="992"/>
        <w:gridCol w:w="453"/>
        <w:gridCol w:w="454"/>
        <w:gridCol w:w="453"/>
        <w:gridCol w:w="454"/>
        <w:gridCol w:w="454"/>
        <w:gridCol w:w="992"/>
        <w:gridCol w:w="993"/>
        <w:gridCol w:w="1134"/>
        <w:gridCol w:w="567"/>
      </w:tblGrid>
      <w:tr w:rsidR="00397D08" w:rsidRPr="00BD1319" w14:paraId="68D62A04" w14:textId="77777777" w:rsidTr="00397D08">
        <w:trPr>
          <w:cnfStyle w:val="100000000000" w:firstRow="1" w:lastRow="0" w:firstColumn="0" w:lastColumn="0" w:oddVBand="0" w:evenVBand="0" w:oddHBand="0" w:evenHBand="0" w:firstRowFirstColumn="0" w:firstRowLastColumn="0" w:lastRowFirstColumn="0" w:lastRowLastColumn="0"/>
          <w:trHeight w:hRule="exact" w:val="397"/>
          <w:tblHeader/>
          <w:jc w:val="center"/>
        </w:trPr>
        <w:tc>
          <w:tcPr>
            <w:cnfStyle w:val="001000000000" w:firstRow="0" w:lastRow="0" w:firstColumn="1" w:lastColumn="0" w:oddVBand="0" w:evenVBand="0" w:oddHBand="0" w:evenHBand="0" w:firstRowFirstColumn="0" w:firstRowLastColumn="0" w:lastRowFirstColumn="0" w:lastRowLastColumn="0"/>
            <w:tcW w:w="1134" w:type="dxa"/>
            <w:vMerge w:val="restart"/>
            <w:tcBorders>
              <w:top w:val="none" w:sz="0" w:space="0" w:color="auto"/>
              <w:bottom w:val="none" w:sz="0" w:space="0" w:color="auto"/>
              <w:right w:val="none" w:sz="0" w:space="0" w:color="auto"/>
            </w:tcBorders>
            <w:shd w:val="clear" w:color="auto" w:fill="auto"/>
            <w:vAlign w:val="center"/>
          </w:tcPr>
          <w:p w14:paraId="26521981" w14:textId="719F2E21" w:rsidR="00397D08" w:rsidRPr="00BD1319" w:rsidRDefault="00397D08" w:rsidP="003B7DBA">
            <w:pPr>
              <w:jc w:val="center"/>
              <w:rPr>
                <w:rFonts w:cs="Arial"/>
                <w:sz w:val="16"/>
                <w:szCs w:val="16"/>
                <w:lang w:val="es-CO" w:eastAsia="es-MX"/>
              </w:rPr>
            </w:pPr>
            <w:r w:rsidRPr="00BD1319">
              <w:rPr>
                <w:rFonts w:cs="Arial"/>
                <w:sz w:val="16"/>
                <w:szCs w:val="16"/>
                <w:lang w:eastAsia="es-MX"/>
              </w:rPr>
              <w:t>Tipo de procedimiento de agregación (1)</w:t>
            </w:r>
          </w:p>
        </w:tc>
        <w:tc>
          <w:tcPr>
            <w:tcW w:w="1276"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36A92E6C" w14:textId="20A6734B" w:rsidR="00397D08" w:rsidRPr="00BD1319" w:rsidRDefault="00397D08" w:rsidP="003B7DBA">
            <w:pPr>
              <w:jc w:val="center"/>
              <w:cnfStyle w:val="100000000000" w:firstRow="1" w:lastRow="0" w:firstColumn="0" w:lastColumn="0" w:oddVBand="0" w:evenVBand="0" w:oddHBand="0" w:evenHBand="0" w:firstRowFirstColumn="0" w:firstRowLastColumn="0" w:lastRowFirstColumn="0" w:lastRowLastColumn="0"/>
              <w:rPr>
                <w:rFonts w:cs="Arial"/>
                <w:sz w:val="16"/>
                <w:szCs w:val="16"/>
                <w:lang w:val="es-CO" w:eastAsia="es-MX"/>
              </w:rPr>
            </w:pPr>
            <w:r w:rsidRPr="00BD1319">
              <w:rPr>
                <w:rFonts w:cs="Arial"/>
                <w:sz w:val="16"/>
                <w:szCs w:val="16"/>
                <w:lang w:eastAsia="es-MX"/>
              </w:rPr>
              <w:t>Procedimiento de agregación (2)</w:t>
            </w:r>
          </w:p>
        </w:tc>
        <w:tc>
          <w:tcPr>
            <w:tcW w:w="3686"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1366C6CB" w14:textId="372EF394" w:rsidR="00397D08" w:rsidRPr="00BD1319" w:rsidRDefault="00397D08" w:rsidP="003B7DBA">
            <w:pPr>
              <w:jc w:val="center"/>
              <w:cnfStyle w:val="100000000000" w:firstRow="1" w:lastRow="0" w:firstColumn="0" w:lastColumn="0" w:oddVBand="0" w:evenVBand="0" w:oddHBand="0" w:evenHBand="0" w:firstRowFirstColumn="0" w:firstRowLastColumn="0" w:lastRowFirstColumn="0" w:lastRowLastColumn="0"/>
              <w:rPr>
                <w:rFonts w:cs="Arial"/>
                <w:sz w:val="16"/>
                <w:szCs w:val="16"/>
                <w:lang w:val="es-CO" w:eastAsia="es-MX"/>
              </w:rPr>
            </w:pPr>
            <w:r w:rsidRPr="00BD1319">
              <w:rPr>
                <w:rFonts w:cs="Arial"/>
                <w:sz w:val="16"/>
                <w:szCs w:val="16"/>
                <w:lang w:eastAsia="es-MX"/>
              </w:rPr>
              <w:t>Descripción del procedimiento de agregación (3)</w:t>
            </w:r>
          </w:p>
        </w:tc>
        <w:tc>
          <w:tcPr>
            <w:tcW w:w="992"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68E52040" w14:textId="21E5A0A3" w:rsidR="00397D08" w:rsidRPr="00BD1319" w:rsidRDefault="00397D08" w:rsidP="00397D08">
            <w:pPr>
              <w:ind w:left="-57" w:right="-57"/>
              <w:jc w:val="center"/>
              <w:cnfStyle w:val="100000000000" w:firstRow="1" w:lastRow="0" w:firstColumn="0" w:lastColumn="0" w:oddVBand="0" w:evenVBand="0" w:oddHBand="0" w:evenHBand="0" w:firstRowFirstColumn="0" w:firstRowLastColumn="0" w:lastRowFirstColumn="0" w:lastRowLastColumn="0"/>
              <w:rPr>
                <w:rFonts w:cs="Arial"/>
                <w:sz w:val="16"/>
                <w:szCs w:val="16"/>
                <w:lang w:val="es-CO" w:eastAsia="es-MX"/>
              </w:rPr>
            </w:pPr>
            <w:r w:rsidRPr="00BD1319">
              <w:rPr>
                <w:rFonts w:cs="Arial"/>
                <w:sz w:val="16"/>
                <w:szCs w:val="16"/>
                <w:lang w:eastAsia="es-MX"/>
              </w:rPr>
              <w:t>Modo de evaluación (4)</w:t>
            </w:r>
          </w:p>
        </w:tc>
        <w:tc>
          <w:tcPr>
            <w:tcW w:w="1134"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39133488" w14:textId="36956029" w:rsidR="00397D08" w:rsidRPr="00BD1319" w:rsidRDefault="00397D08" w:rsidP="003B7DBA">
            <w:pPr>
              <w:jc w:val="center"/>
              <w:cnfStyle w:val="100000000000" w:firstRow="1" w:lastRow="0" w:firstColumn="0" w:lastColumn="0" w:oddVBand="0" w:evenVBand="0" w:oddHBand="0" w:evenHBand="0" w:firstRowFirstColumn="0" w:firstRowLastColumn="0" w:lastRowFirstColumn="0" w:lastRowLastColumn="0"/>
              <w:rPr>
                <w:rFonts w:cs="Arial"/>
                <w:sz w:val="16"/>
                <w:szCs w:val="16"/>
                <w:lang w:val="es-CO" w:eastAsia="es-MX"/>
              </w:rPr>
            </w:pPr>
            <w:r w:rsidRPr="00BD1319">
              <w:rPr>
                <w:rFonts w:cs="Arial"/>
                <w:sz w:val="16"/>
                <w:szCs w:val="16"/>
                <w:lang w:eastAsia="es-MX"/>
              </w:rPr>
              <w:t>Relaciones de preferencia que soporta* (5)</w:t>
            </w:r>
          </w:p>
        </w:tc>
        <w:tc>
          <w:tcPr>
            <w:tcW w:w="992"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30D313DC" w14:textId="31FA2A56" w:rsidR="00397D08" w:rsidRPr="00BD1319" w:rsidRDefault="00397D08" w:rsidP="003B7DBA">
            <w:pPr>
              <w:jc w:val="center"/>
              <w:cnfStyle w:val="100000000000" w:firstRow="1" w:lastRow="0" w:firstColumn="0" w:lastColumn="0" w:oddVBand="0" w:evenVBand="0" w:oddHBand="0" w:evenHBand="0" w:firstRowFirstColumn="0" w:firstRowLastColumn="0" w:lastRowFirstColumn="0" w:lastRowLastColumn="0"/>
              <w:rPr>
                <w:rFonts w:cs="Arial"/>
                <w:sz w:val="16"/>
                <w:szCs w:val="16"/>
                <w:lang w:val="es-CO" w:eastAsia="es-MX"/>
              </w:rPr>
            </w:pPr>
            <w:r w:rsidRPr="00BD1319">
              <w:rPr>
                <w:rFonts w:cs="Arial"/>
                <w:sz w:val="16"/>
                <w:szCs w:val="16"/>
                <w:lang w:eastAsia="es-MX"/>
              </w:rPr>
              <w:t>Tipo de problema de soporta (6)</w:t>
            </w:r>
          </w:p>
        </w:tc>
        <w:tc>
          <w:tcPr>
            <w:tcW w:w="2268" w:type="dxa"/>
            <w:gridSpan w:val="5"/>
            <w:tcBorders>
              <w:top w:val="none" w:sz="0" w:space="0" w:color="auto"/>
              <w:left w:val="none" w:sz="0" w:space="0" w:color="auto"/>
              <w:bottom w:val="none" w:sz="0" w:space="0" w:color="auto"/>
              <w:right w:val="none" w:sz="0" w:space="0" w:color="auto"/>
            </w:tcBorders>
            <w:shd w:val="clear" w:color="auto" w:fill="auto"/>
            <w:vAlign w:val="center"/>
          </w:tcPr>
          <w:p w14:paraId="5ADC6CA0" w14:textId="4C60728D" w:rsidR="00397D08" w:rsidRPr="00BD1319" w:rsidRDefault="00397D08" w:rsidP="00397D08">
            <w:pPr>
              <w:ind w:left="-57"/>
              <w:jc w:val="center"/>
              <w:cnfStyle w:val="100000000000" w:firstRow="1" w:lastRow="0" w:firstColumn="0" w:lastColumn="0" w:oddVBand="0" w:evenVBand="0" w:oddHBand="0" w:evenHBand="0" w:firstRowFirstColumn="0" w:firstRowLastColumn="0" w:lastRowFirstColumn="0" w:lastRowLastColumn="0"/>
              <w:rPr>
                <w:rFonts w:cs="Arial"/>
                <w:sz w:val="16"/>
                <w:szCs w:val="16"/>
                <w:lang w:val="es-CO" w:eastAsia="es-MX"/>
              </w:rPr>
            </w:pPr>
            <w:r w:rsidRPr="00BD1319">
              <w:rPr>
                <w:rFonts w:cs="Arial"/>
                <w:sz w:val="16"/>
                <w:szCs w:val="16"/>
                <w:lang w:eastAsia="es-MX"/>
              </w:rPr>
              <w:t>Tipo de información</w:t>
            </w:r>
          </w:p>
        </w:tc>
        <w:tc>
          <w:tcPr>
            <w:tcW w:w="992"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55400DDD" w14:textId="02042E8B" w:rsidR="00397D08" w:rsidRPr="00BD1319" w:rsidRDefault="00397D08" w:rsidP="003B7DBA">
            <w:pPr>
              <w:jc w:val="center"/>
              <w:cnfStyle w:val="100000000000" w:firstRow="1" w:lastRow="0" w:firstColumn="0" w:lastColumn="0" w:oddVBand="0" w:evenVBand="0" w:oddHBand="0" w:evenHBand="0" w:firstRowFirstColumn="0" w:firstRowLastColumn="0" w:lastRowFirstColumn="0" w:lastRowLastColumn="0"/>
              <w:rPr>
                <w:rFonts w:cs="Arial"/>
                <w:sz w:val="16"/>
                <w:szCs w:val="16"/>
                <w:lang w:val="es-CO" w:eastAsia="es-MX"/>
              </w:rPr>
            </w:pPr>
            <w:r w:rsidRPr="00BD1319">
              <w:rPr>
                <w:rFonts w:cs="Arial"/>
                <w:sz w:val="16"/>
                <w:szCs w:val="16"/>
                <w:lang w:eastAsia="es-MX"/>
              </w:rPr>
              <w:t>Grado de compensación (12)</w:t>
            </w:r>
          </w:p>
        </w:tc>
        <w:tc>
          <w:tcPr>
            <w:tcW w:w="993"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1560CC07" w14:textId="654DADD8" w:rsidR="00397D08" w:rsidRPr="00BD1319" w:rsidRDefault="00397D08" w:rsidP="003B7DBA">
            <w:pPr>
              <w:jc w:val="center"/>
              <w:cnfStyle w:val="100000000000" w:firstRow="1" w:lastRow="0" w:firstColumn="0" w:lastColumn="0" w:oddVBand="0" w:evenVBand="0" w:oddHBand="0" w:evenHBand="0" w:firstRowFirstColumn="0" w:firstRowLastColumn="0" w:lastRowFirstColumn="0" w:lastRowLastColumn="0"/>
              <w:rPr>
                <w:rFonts w:cs="Arial"/>
                <w:sz w:val="16"/>
                <w:szCs w:val="16"/>
                <w:lang w:val="es-CO" w:eastAsia="es-MX"/>
              </w:rPr>
            </w:pPr>
            <w:r w:rsidRPr="00BD1319">
              <w:rPr>
                <w:rFonts w:cs="Arial"/>
                <w:sz w:val="16"/>
                <w:szCs w:val="16"/>
                <w:lang w:eastAsia="es-MX"/>
              </w:rPr>
              <w:t>Hipótesis** (13)</w:t>
            </w:r>
          </w:p>
        </w:tc>
        <w:tc>
          <w:tcPr>
            <w:tcW w:w="1134"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3D7FDBDF" w14:textId="31549F13" w:rsidR="00397D08" w:rsidRPr="00BD1319" w:rsidRDefault="00397D08" w:rsidP="003B7DBA">
            <w:pPr>
              <w:jc w:val="center"/>
              <w:cnfStyle w:val="100000000000" w:firstRow="1" w:lastRow="0" w:firstColumn="0" w:lastColumn="0" w:oddVBand="0" w:evenVBand="0" w:oddHBand="0" w:evenHBand="0" w:firstRowFirstColumn="0" w:firstRowLastColumn="0" w:lastRowFirstColumn="0" w:lastRowLastColumn="0"/>
              <w:rPr>
                <w:rFonts w:cs="Arial"/>
                <w:sz w:val="16"/>
                <w:szCs w:val="16"/>
                <w:lang w:val="es-CO" w:eastAsia="es-MX"/>
              </w:rPr>
            </w:pPr>
            <w:r w:rsidRPr="00BD1319">
              <w:rPr>
                <w:rFonts w:cs="Arial"/>
                <w:sz w:val="16"/>
                <w:szCs w:val="16"/>
                <w:lang w:eastAsia="es-MX"/>
              </w:rPr>
              <w:t>Tratamiento procedimiento de agregación (14)</w:t>
            </w:r>
          </w:p>
        </w:tc>
        <w:tc>
          <w:tcPr>
            <w:tcW w:w="567" w:type="dxa"/>
            <w:vMerge w:val="restart"/>
            <w:tcBorders>
              <w:top w:val="none" w:sz="0" w:space="0" w:color="auto"/>
              <w:left w:val="none" w:sz="0" w:space="0" w:color="auto"/>
              <w:bottom w:val="none" w:sz="0" w:space="0" w:color="auto"/>
            </w:tcBorders>
            <w:shd w:val="clear" w:color="auto" w:fill="auto"/>
            <w:vAlign w:val="center"/>
          </w:tcPr>
          <w:p w14:paraId="6D22BDBF" w14:textId="7D6E9308" w:rsidR="00397D08" w:rsidRPr="00BD1319" w:rsidRDefault="00397D08" w:rsidP="003B7DBA">
            <w:pPr>
              <w:jc w:val="center"/>
              <w:cnfStyle w:val="100000000000" w:firstRow="1" w:lastRow="0" w:firstColumn="0" w:lastColumn="0" w:oddVBand="0" w:evenVBand="0" w:oddHBand="0" w:evenHBand="0" w:firstRowFirstColumn="0" w:firstRowLastColumn="0" w:lastRowFirstColumn="0" w:lastRowLastColumn="0"/>
              <w:rPr>
                <w:rFonts w:cs="Arial"/>
                <w:sz w:val="16"/>
                <w:szCs w:val="16"/>
                <w:lang w:val="es-CO" w:eastAsia="es-MX"/>
              </w:rPr>
            </w:pPr>
            <w:r w:rsidRPr="00BD1319">
              <w:rPr>
                <w:rFonts w:cs="Arial"/>
                <w:sz w:val="16"/>
                <w:szCs w:val="16"/>
                <w:lang w:eastAsia="es-MX"/>
              </w:rPr>
              <w:t>Ref. (15)</w:t>
            </w:r>
          </w:p>
        </w:tc>
      </w:tr>
      <w:tr w:rsidR="00397D08" w:rsidRPr="00BD1319" w14:paraId="1B92404A" w14:textId="77777777" w:rsidTr="00397D08">
        <w:trPr>
          <w:cnfStyle w:val="100000000000" w:firstRow="1" w:lastRow="0" w:firstColumn="0" w:lastColumn="0" w:oddVBand="0" w:evenVBand="0" w:oddHBand="0" w:evenHBand="0" w:firstRowFirstColumn="0" w:firstRowLastColumn="0" w:lastRowFirstColumn="0" w:lastRowLastColumn="0"/>
          <w:trHeight w:val="1349"/>
          <w:tblHeader/>
          <w:jc w:val="center"/>
        </w:trPr>
        <w:tc>
          <w:tcPr>
            <w:cnfStyle w:val="001000000000" w:firstRow="0" w:lastRow="0" w:firstColumn="1" w:lastColumn="0" w:oddVBand="0" w:evenVBand="0" w:oddHBand="0" w:evenHBand="0" w:firstRowFirstColumn="0" w:firstRowLastColumn="0" w:lastRowFirstColumn="0" w:lastRowLastColumn="0"/>
            <w:tcW w:w="1134" w:type="dxa"/>
            <w:vMerge/>
            <w:tcBorders>
              <w:top w:val="none" w:sz="0" w:space="0" w:color="auto"/>
              <w:bottom w:val="none" w:sz="0" w:space="0" w:color="auto"/>
              <w:right w:val="none" w:sz="0" w:space="0" w:color="auto"/>
            </w:tcBorders>
            <w:shd w:val="clear" w:color="auto" w:fill="auto"/>
            <w:vAlign w:val="center"/>
            <w:hideMark/>
          </w:tcPr>
          <w:p w14:paraId="30484C73" w14:textId="6132B6E4" w:rsidR="00397D08" w:rsidRPr="00BD1319" w:rsidRDefault="00397D08" w:rsidP="003B7DBA">
            <w:pPr>
              <w:jc w:val="center"/>
              <w:rPr>
                <w:rFonts w:eastAsia="Times New Roman" w:cs="Arial"/>
                <w:sz w:val="16"/>
                <w:szCs w:val="16"/>
                <w:lang w:val="es-CO" w:eastAsia="es-MX"/>
              </w:rPr>
            </w:pPr>
          </w:p>
        </w:tc>
        <w:tc>
          <w:tcPr>
            <w:tcW w:w="1276" w:type="dxa"/>
            <w:vMerge/>
            <w:tcBorders>
              <w:top w:val="none" w:sz="0" w:space="0" w:color="auto"/>
              <w:left w:val="none" w:sz="0" w:space="0" w:color="auto"/>
              <w:bottom w:val="none" w:sz="0" w:space="0" w:color="auto"/>
              <w:right w:val="none" w:sz="0" w:space="0" w:color="auto"/>
            </w:tcBorders>
            <w:shd w:val="clear" w:color="auto" w:fill="auto"/>
            <w:vAlign w:val="center"/>
          </w:tcPr>
          <w:p w14:paraId="60A9B49D" w14:textId="1C2DB5DC" w:rsidR="00397D08" w:rsidRPr="00BD1319" w:rsidRDefault="00397D08" w:rsidP="003B7DBA">
            <w:pPr>
              <w:jc w:val="center"/>
              <w:cnfStyle w:val="100000000000" w:firstRow="1" w:lastRow="0" w:firstColumn="0" w:lastColumn="0" w:oddVBand="0" w:evenVBand="0" w:oddHBand="0" w:evenHBand="0" w:firstRowFirstColumn="0" w:firstRowLastColumn="0" w:lastRowFirstColumn="0" w:lastRowLastColumn="0"/>
              <w:rPr>
                <w:rFonts w:eastAsia="Times New Roman" w:cs="Arial"/>
                <w:b w:val="0"/>
                <w:bCs w:val="0"/>
                <w:sz w:val="16"/>
                <w:szCs w:val="16"/>
                <w:lang w:val="es-CO" w:eastAsia="es-MX"/>
              </w:rPr>
            </w:pPr>
          </w:p>
        </w:tc>
        <w:tc>
          <w:tcPr>
            <w:tcW w:w="3686" w:type="dxa"/>
            <w:vMerge/>
            <w:tcBorders>
              <w:top w:val="none" w:sz="0" w:space="0" w:color="auto"/>
              <w:left w:val="none" w:sz="0" w:space="0" w:color="auto"/>
              <w:bottom w:val="none" w:sz="0" w:space="0" w:color="auto"/>
              <w:right w:val="none" w:sz="0" w:space="0" w:color="auto"/>
            </w:tcBorders>
            <w:shd w:val="clear" w:color="auto" w:fill="auto"/>
            <w:vAlign w:val="center"/>
            <w:hideMark/>
          </w:tcPr>
          <w:p w14:paraId="6982C6E5" w14:textId="1FB67EE6" w:rsidR="00397D08" w:rsidRPr="00BD1319" w:rsidRDefault="00397D08" w:rsidP="003B7DBA">
            <w:pPr>
              <w:jc w:val="center"/>
              <w:cnfStyle w:val="100000000000" w:firstRow="1" w:lastRow="0" w:firstColumn="0" w:lastColumn="0" w:oddVBand="0" w:evenVBand="0" w:oddHBand="0" w:evenHBand="0" w:firstRowFirstColumn="0" w:firstRowLastColumn="0" w:lastRowFirstColumn="0" w:lastRowLastColumn="0"/>
              <w:rPr>
                <w:rFonts w:eastAsia="Times New Roman" w:cs="Arial"/>
                <w:b w:val="0"/>
                <w:bCs w:val="0"/>
                <w:sz w:val="16"/>
                <w:szCs w:val="16"/>
                <w:lang w:val="es-CO" w:eastAsia="es-MX"/>
              </w:rPr>
            </w:pPr>
          </w:p>
        </w:tc>
        <w:tc>
          <w:tcPr>
            <w:tcW w:w="992" w:type="dxa"/>
            <w:vMerge/>
            <w:tcBorders>
              <w:top w:val="none" w:sz="0" w:space="0" w:color="auto"/>
              <w:left w:val="none" w:sz="0" w:space="0" w:color="auto"/>
              <w:bottom w:val="none" w:sz="0" w:space="0" w:color="auto"/>
              <w:right w:val="none" w:sz="0" w:space="0" w:color="auto"/>
            </w:tcBorders>
            <w:shd w:val="clear" w:color="auto" w:fill="auto"/>
            <w:vAlign w:val="center"/>
            <w:hideMark/>
          </w:tcPr>
          <w:p w14:paraId="5915338E" w14:textId="4AF130B0" w:rsidR="00397D08" w:rsidRPr="00BD1319" w:rsidRDefault="00397D08" w:rsidP="003B7DBA">
            <w:pPr>
              <w:jc w:val="center"/>
              <w:cnfStyle w:val="100000000000" w:firstRow="1" w:lastRow="0" w:firstColumn="0" w:lastColumn="0" w:oddVBand="0" w:evenVBand="0" w:oddHBand="0" w:evenHBand="0" w:firstRowFirstColumn="0" w:firstRowLastColumn="0" w:lastRowFirstColumn="0" w:lastRowLastColumn="0"/>
              <w:rPr>
                <w:rFonts w:eastAsia="Times New Roman" w:cs="Arial"/>
                <w:b w:val="0"/>
                <w:bCs w:val="0"/>
                <w:sz w:val="16"/>
                <w:szCs w:val="16"/>
                <w:lang w:val="es-CO" w:eastAsia="es-MX"/>
              </w:rPr>
            </w:pPr>
          </w:p>
        </w:tc>
        <w:tc>
          <w:tcPr>
            <w:tcW w:w="1134" w:type="dxa"/>
            <w:vMerge/>
            <w:tcBorders>
              <w:top w:val="none" w:sz="0" w:space="0" w:color="auto"/>
              <w:left w:val="none" w:sz="0" w:space="0" w:color="auto"/>
              <w:bottom w:val="none" w:sz="0" w:space="0" w:color="auto"/>
              <w:right w:val="none" w:sz="0" w:space="0" w:color="auto"/>
            </w:tcBorders>
            <w:shd w:val="clear" w:color="auto" w:fill="auto"/>
            <w:vAlign w:val="center"/>
            <w:hideMark/>
          </w:tcPr>
          <w:p w14:paraId="1D67ABCD" w14:textId="38D3F61C" w:rsidR="00397D08" w:rsidRPr="00BD1319" w:rsidRDefault="00397D08" w:rsidP="003B7DBA">
            <w:pPr>
              <w:jc w:val="center"/>
              <w:cnfStyle w:val="100000000000" w:firstRow="1" w:lastRow="0" w:firstColumn="0" w:lastColumn="0" w:oddVBand="0" w:evenVBand="0" w:oddHBand="0" w:evenHBand="0" w:firstRowFirstColumn="0" w:firstRowLastColumn="0" w:lastRowFirstColumn="0" w:lastRowLastColumn="0"/>
              <w:rPr>
                <w:rFonts w:eastAsia="Times New Roman" w:cs="Arial"/>
                <w:b w:val="0"/>
                <w:bCs w:val="0"/>
                <w:sz w:val="16"/>
                <w:szCs w:val="16"/>
                <w:lang w:val="es-CO" w:eastAsia="es-MX"/>
              </w:rPr>
            </w:pPr>
          </w:p>
        </w:tc>
        <w:tc>
          <w:tcPr>
            <w:tcW w:w="992" w:type="dxa"/>
            <w:vMerge/>
            <w:tcBorders>
              <w:top w:val="none" w:sz="0" w:space="0" w:color="auto"/>
              <w:left w:val="none" w:sz="0" w:space="0" w:color="auto"/>
              <w:bottom w:val="none" w:sz="0" w:space="0" w:color="auto"/>
              <w:right w:val="none" w:sz="0" w:space="0" w:color="auto"/>
            </w:tcBorders>
            <w:shd w:val="clear" w:color="auto" w:fill="auto"/>
            <w:vAlign w:val="center"/>
            <w:hideMark/>
          </w:tcPr>
          <w:p w14:paraId="2D368974" w14:textId="06CE4358" w:rsidR="00397D08" w:rsidRPr="00BD1319" w:rsidRDefault="00397D08" w:rsidP="003B7DBA">
            <w:pPr>
              <w:jc w:val="center"/>
              <w:cnfStyle w:val="100000000000" w:firstRow="1" w:lastRow="0" w:firstColumn="0" w:lastColumn="0" w:oddVBand="0" w:evenVBand="0" w:oddHBand="0" w:evenHBand="0" w:firstRowFirstColumn="0" w:firstRowLastColumn="0" w:lastRowFirstColumn="0" w:lastRowLastColumn="0"/>
              <w:rPr>
                <w:rFonts w:eastAsia="Times New Roman" w:cs="Arial"/>
                <w:b w:val="0"/>
                <w:bCs w:val="0"/>
                <w:sz w:val="16"/>
                <w:szCs w:val="16"/>
                <w:lang w:val="es-CO" w:eastAsia="es-MX"/>
              </w:rPr>
            </w:pPr>
          </w:p>
        </w:tc>
        <w:tc>
          <w:tcPr>
            <w:tcW w:w="453" w:type="dxa"/>
            <w:tcBorders>
              <w:top w:val="none" w:sz="0" w:space="0" w:color="auto"/>
              <w:left w:val="none" w:sz="0" w:space="0" w:color="auto"/>
              <w:bottom w:val="none" w:sz="0" w:space="0" w:color="auto"/>
              <w:right w:val="none" w:sz="0" w:space="0" w:color="auto"/>
            </w:tcBorders>
            <w:shd w:val="clear" w:color="auto" w:fill="auto"/>
            <w:textDirection w:val="btLr"/>
            <w:vAlign w:val="center"/>
            <w:hideMark/>
          </w:tcPr>
          <w:p w14:paraId="2043E08A" w14:textId="159B393A" w:rsidR="00397D08" w:rsidRPr="00BD1319" w:rsidRDefault="00397D08" w:rsidP="003B7DBA">
            <w:pPr>
              <w:ind w:left="113" w:right="113"/>
              <w:jc w:val="center"/>
              <w:cnfStyle w:val="100000000000" w:firstRow="1" w:lastRow="0" w:firstColumn="0" w:lastColumn="0" w:oddVBand="0" w:evenVBand="0" w:oddHBand="0" w:evenHBand="0" w:firstRowFirstColumn="0" w:firstRowLastColumn="0" w:lastRowFirstColumn="0" w:lastRowLastColumn="0"/>
              <w:rPr>
                <w:rFonts w:eastAsia="Times New Roman" w:cs="Arial"/>
                <w:b w:val="0"/>
                <w:bCs w:val="0"/>
                <w:sz w:val="16"/>
                <w:szCs w:val="16"/>
                <w:lang w:val="es-CO" w:eastAsia="es-MX"/>
              </w:rPr>
            </w:pPr>
            <w:r w:rsidRPr="00BD1319">
              <w:rPr>
                <w:rFonts w:cs="Arial"/>
                <w:sz w:val="16"/>
                <w:szCs w:val="16"/>
                <w:lang w:eastAsia="es-MX"/>
              </w:rPr>
              <w:t>Ordinal (7)</w:t>
            </w:r>
          </w:p>
        </w:tc>
        <w:tc>
          <w:tcPr>
            <w:tcW w:w="454" w:type="dxa"/>
            <w:tcBorders>
              <w:top w:val="none" w:sz="0" w:space="0" w:color="auto"/>
              <w:left w:val="none" w:sz="0" w:space="0" w:color="auto"/>
              <w:bottom w:val="none" w:sz="0" w:space="0" w:color="auto"/>
              <w:right w:val="none" w:sz="0" w:space="0" w:color="auto"/>
            </w:tcBorders>
            <w:shd w:val="clear" w:color="auto" w:fill="auto"/>
            <w:textDirection w:val="btLr"/>
            <w:vAlign w:val="center"/>
            <w:hideMark/>
          </w:tcPr>
          <w:p w14:paraId="6709C6DA" w14:textId="0E215B92" w:rsidR="00397D08" w:rsidRPr="00BD1319" w:rsidRDefault="00397D08" w:rsidP="003B7DBA">
            <w:pPr>
              <w:ind w:left="113" w:right="113"/>
              <w:jc w:val="center"/>
              <w:cnfStyle w:val="100000000000" w:firstRow="1" w:lastRow="0" w:firstColumn="0" w:lastColumn="0" w:oddVBand="0" w:evenVBand="0" w:oddHBand="0" w:evenHBand="0" w:firstRowFirstColumn="0" w:firstRowLastColumn="0" w:lastRowFirstColumn="0" w:lastRowLastColumn="0"/>
              <w:rPr>
                <w:rFonts w:eastAsia="Times New Roman" w:cs="Arial"/>
                <w:b w:val="0"/>
                <w:bCs w:val="0"/>
                <w:sz w:val="16"/>
                <w:szCs w:val="16"/>
                <w:lang w:val="es-CO" w:eastAsia="es-MX"/>
              </w:rPr>
            </w:pPr>
            <w:r w:rsidRPr="00BD1319">
              <w:rPr>
                <w:rFonts w:cs="Arial"/>
                <w:sz w:val="16"/>
                <w:szCs w:val="16"/>
                <w:lang w:eastAsia="es-MX"/>
              </w:rPr>
              <w:t>Cardinal (8)</w:t>
            </w:r>
          </w:p>
        </w:tc>
        <w:tc>
          <w:tcPr>
            <w:tcW w:w="453" w:type="dxa"/>
            <w:tcBorders>
              <w:top w:val="none" w:sz="0" w:space="0" w:color="auto"/>
              <w:left w:val="none" w:sz="0" w:space="0" w:color="auto"/>
              <w:bottom w:val="none" w:sz="0" w:space="0" w:color="auto"/>
              <w:right w:val="none" w:sz="0" w:space="0" w:color="auto"/>
            </w:tcBorders>
            <w:shd w:val="clear" w:color="auto" w:fill="auto"/>
            <w:textDirection w:val="btLr"/>
            <w:vAlign w:val="center"/>
            <w:hideMark/>
          </w:tcPr>
          <w:p w14:paraId="7D1E864A" w14:textId="1B40E578" w:rsidR="00397D08" w:rsidRPr="00BD1319" w:rsidRDefault="00397D08" w:rsidP="003B7DBA">
            <w:pPr>
              <w:ind w:left="113" w:right="113"/>
              <w:jc w:val="center"/>
              <w:cnfStyle w:val="100000000000" w:firstRow="1" w:lastRow="0" w:firstColumn="0" w:lastColumn="0" w:oddVBand="0" w:evenVBand="0" w:oddHBand="0" w:evenHBand="0" w:firstRowFirstColumn="0" w:firstRowLastColumn="0" w:lastRowFirstColumn="0" w:lastRowLastColumn="0"/>
              <w:rPr>
                <w:rFonts w:eastAsia="Times New Roman" w:cs="Arial"/>
                <w:b w:val="0"/>
                <w:bCs w:val="0"/>
                <w:sz w:val="16"/>
                <w:szCs w:val="16"/>
                <w:lang w:val="es-CO" w:eastAsia="es-MX"/>
              </w:rPr>
            </w:pPr>
            <w:r w:rsidRPr="00BD1319">
              <w:rPr>
                <w:rFonts w:cs="Arial"/>
                <w:sz w:val="16"/>
                <w:szCs w:val="16"/>
                <w:lang w:eastAsia="es-MX"/>
              </w:rPr>
              <w:t>Mixta (9)</w:t>
            </w:r>
          </w:p>
        </w:tc>
        <w:tc>
          <w:tcPr>
            <w:tcW w:w="454" w:type="dxa"/>
            <w:tcBorders>
              <w:top w:val="none" w:sz="0" w:space="0" w:color="auto"/>
              <w:left w:val="none" w:sz="0" w:space="0" w:color="auto"/>
              <w:bottom w:val="none" w:sz="0" w:space="0" w:color="auto"/>
              <w:right w:val="none" w:sz="0" w:space="0" w:color="auto"/>
            </w:tcBorders>
            <w:shd w:val="clear" w:color="auto" w:fill="auto"/>
            <w:textDirection w:val="btLr"/>
            <w:vAlign w:val="center"/>
            <w:hideMark/>
          </w:tcPr>
          <w:p w14:paraId="1712B0B5" w14:textId="2851B84F" w:rsidR="00397D08" w:rsidRPr="00BD1319" w:rsidRDefault="00397D08" w:rsidP="00397D08">
            <w:pPr>
              <w:ind w:left="-57"/>
              <w:jc w:val="center"/>
              <w:cnfStyle w:val="100000000000" w:firstRow="1" w:lastRow="0" w:firstColumn="0" w:lastColumn="0" w:oddVBand="0" w:evenVBand="0" w:oddHBand="0" w:evenHBand="0" w:firstRowFirstColumn="0" w:firstRowLastColumn="0" w:lastRowFirstColumn="0" w:lastRowLastColumn="0"/>
              <w:rPr>
                <w:rFonts w:eastAsia="Times New Roman" w:cs="Arial"/>
                <w:b w:val="0"/>
                <w:bCs w:val="0"/>
                <w:sz w:val="16"/>
                <w:szCs w:val="16"/>
                <w:lang w:val="es-CO" w:eastAsia="es-MX"/>
              </w:rPr>
            </w:pPr>
            <w:r w:rsidRPr="00BD1319">
              <w:rPr>
                <w:rFonts w:cs="Arial"/>
                <w:sz w:val="16"/>
                <w:szCs w:val="16"/>
                <w:lang w:eastAsia="es-MX"/>
              </w:rPr>
              <w:t>Determinística (10)</w:t>
            </w:r>
          </w:p>
        </w:tc>
        <w:tc>
          <w:tcPr>
            <w:tcW w:w="454" w:type="dxa"/>
            <w:tcBorders>
              <w:top w:val="none" w:sz="0" w:space="0" w:color="auto"/>
              <w:left w:val="none" w:sz="0" w:space="0" w:color="auto"/>
              <w:bottom w:val="none" w:sz="0" w:space="0" w:color="auto"/>
              <w:right w:val="none" w:sz="0" w:space="0" w:color="auto"/>
            </w:tcBorders>
            <w:shd w:val="clear" w:color="auto" w:fill="auto"/>
            <w:textDirection w:val="btLr"/>
            <w:vAlign w:val="center"/>
            <w:hideMark/>
          </w:tcPr>
          <w:p w14:paraId="4311D1EA" w14:textId="42F3CC0E" w:rsidR="00397D08" w:rsidRPr="00BD1319" w:rsidRDefault="00397D08" w:rsidP="00397D08">
            <w:pPr>
              <w:jc w:val="center"/>
              <w:cnfStyle w:val="100000000000" w:firstRow="1" w:lastRow="0" w:firstColumn="0" w:lastColumn="0" w:oddVBand="0" w:evenVBand="0" w:oddHBand="0" w:evenHBand="0" w:firstRowFirstColumn="0" w:firstRowLastColumn="0" w:lastRowFirstColumn="0" w:lastRowLastColumn="0"/>
              <w:rPr>
                <w:rFonts w:eastAsia="Times New Roman" w:cs="Arial"/>
                <w:b w:val="0"/>
                <w:bCs w:val="0"/>
                <w:sz w:val="16"/>
                <w:szCs w:val="16"/>
                <w:lang w:val="es-CO" w:eastAsia="es-MX"/>
              </w:rPr>
            </w:pPr>
            <w:r w:rsidRPr="00BD1319">
              <w:rPr>
                <w:rFonts w:cs="Arial"/>
                <w:sz w:val="16"/>
                <w:szCs w:val="16"/>
                <w:lang w:eastAsia="es-MX"/>
              </w:rPr>
              <w:t>No determinística (11)</w:t>
            </w:r>
          </w:p>
        </w:tc>
        <w:tc>
          <w:tcPr>
            <w:tcW w:w="992" w:type="dxa"/>
            <w:vMerge/>
            <w:tcBorders>
              <w:top w:val="none" w:sz="0" w:space="0" w:color="auto"/>
              <w:left w:val="none" w:sz="0" w:space="0" w:color="auto"/>
              <w:bottom w:val="none" w:sz="0" w:space="0" w:color="auto"/>
              <w:right w:val="none" w:sz="0" w:space="0" w:color="auto"/>
            </w:tcBorders>
            <w:shd w:val="clear" w:color="auto" w:fill="auto"/>
            <w:vAlign w:val="center"/>
            <w:hideMark/>
          </w:tcPr>
          <w:p w14:paraId="1DAEE6C3" w14:textId="1CF1C44B" w:rsidR="00397D08" w:rsidRPr="00BD1319" w:rsidRDefault="00397D08" w:rsidP="003B7DBA">
            <w:pPr>
              <w:jc w:val="center"/>
              <w:cnfStyle w:val="100000000000" w:firstRow="1" w:lastRow="0" w:firstColumn="0" w:lastColumn="0" w:oddVBand="0" w:evenVBand="0" w:oddHBand="0" w:evenHBand="0" w:firstRowFirstColumn="0" w:firstRowLastColumn="0" w:lastRowFirstColumn="0" w:lastRowLastColumn="0"/>
              <w:rPr>
                <w:rFonts w:eastAsia="Times New Roman" w:cs="Arial"/>
                <w:b w:val="0"/>
                <w:bCs w:val="0"/>
                <w:sz w:val="16"/>
                <w:szCs w:val="16"/>
                <w:lang w:val="es-CO" w:eastAsia="es-MX"/>
              </w:rPr>
            </w:pPr>
          </w:p>
        </w:tc>
        <w:tc>
          <w:tcPr>
            <w:tcW w:w="993" w:type="dxa"/>
            <w:vMerge/>
            <w:tcBorders>
              <w:top w:val="none" w:sz="0" w:space="0" w:color="auto"/>
              <w:left w:val="none" w:sz="0" w:space="0" w:color="auto"/>
              <w:bottom w:val="none" w:sz="0" w:space="0" w:color="auto"/>
              <w:right w:val="none" w:sz="0" w:space="0" w:color="auto"/>
            </w:tcBorders>
            <w:shd w:val="clear" w:color="auto" w:fill="auto"/>
            <w:vAlign w:val="center"/>
            <w:hideMark/>
          </w:tcPr>
          <w:p w14:paraId="59D777C4" w14:textId="6ADE180D" w:rsidR="00397D08" w:rsidRPr="00BD1319" w:rsidRDefault="00397D08" w:rsidP="003B7DBA">
            <w:pPr>
              <w:jc w:val="center"/>
              <w:cnfStyle w:val="100000000000" w:firstRow="1" w:lastRow="0" w:firstColumn="0" w:lastColumn="0" w:oddVBand="0" w:evenVBand="0" w:oddHBand="0" w:evenHBand="0" w:firstRowFirstColumn="0" w:firstRowLastColumn="0" w:lastRowFirstColumn="0" w:lastRowLastColumn="0"/>
              <w:rPr>
                <w:rFonts w:eastAsia="Times New Roman" w:cs="Arial"/>
                <w:b w:val="0"/>
                <w:bCs w:val="0"/>
                <w:sz w:val="16"/>
                <w:szCs w:val="16"/>
                <w:lang w:val="es-CO" w:eastAsia="es-MX"/>
              </w:rPr>
            </w:pPr>
          </w:p>
        </w:tc>
        <w:tc>
          <w:tcPr>
            <w:tcW w:w="1134" w:type="dxa"/>
            <w:vMerge/>
            <w:tcBorders>
              <w:top w:val="none" w:sz="0" w:space="0" w:color="auto"/>
              <w:left w:val="none" w:sz="0" w:space="0" w:color="auto"/>
              <w:bottom w:val="none" w:sz="0" w:space="0" w:color="auto"/>
              <w:right w:val="none" w:sz="0" w:space="0" w:color="auto"/>
            </w:tcBorders>
            <w:shd w:val="clear" w:color="auto" w:fill="auto"/>
            <w:vAlign w:val="center"/>
            <w:hideMark/>
          </w:tcPr>
          <w:p w14:paraId="3A1A8B7F" w14:textId="04E070D0" w:rsidR="00397D08" w:rsidRPr="00BD1319" w:rsidRDefault="00397D08" w:rsidP="003B7DBA">
            <w:pPr>
              <w:jc w:val="center"/>
              <w:cnfStyle w:val="100000000000" w:firstRow="1" w:lastRow="0" w:firstColumn="0" w:lastColumn="0" w:oddVBand="0" w:evenVBand="0" w:oddHBand="0" w:evenHBand="0" w:firstRowFirstColumn="0" w:firstRowLastColumn="0" w:lastRowFirstColumn="0" w:lastRowLastColumn="0"/>
              <w:rPr>
                <w:rFonts w:eastAsia="Times New Roman" w:cs="Arial"/>
                <w:b w:val="0"/>
                <w:bCs w:val="0"/>
                <w:sz w:val="16"/>
                <w:szCs w:val="16"/>
                <w:lang w:val="es-CO" w:eastAsia="es-MX"/>
              </w:rPr>
            </w:pPr>
          </w:p>
        </w:tc>
        <w:tc>
          <w:tcPr>
            <w:tcW w:w="567" w:type="dxa"/>
            <w:vMerge/>
            <w:tcBorders>
              <w:top w:val="none" w:sz="0" w:space="0" w:color="auto"/>
              <w:left w:val="none" w:sz="0" w:space="0" w:color="auto"/>
              <w:bottom w:val="none" w:sz="0" w:space="0" w:color="auto"/>
            </w:tcBorders>
            <w:shd w:val="clear" w:color="auto" w:fill="auto"/>
            <w:vAlign w:val="center"/>
          </w:tcPr>
          <w:p w14:paraId="27665331" w14:textId="116C2906" w:rsidR="00397D08" w:rsidRPr="00BD1319" w:rsidRDefault="00397D08" w:rsidP="003B7DBA">
            <w:pPr>
              <w:jc w:val="center"/>
              <w:cnfStyle w:val="100000000000" w:firstRow="1" w:lastRow="0" w:firstColumn="0" w:lastColumn="0" w:oddVBand="0" w:evenVBand="0" w:oddHBand="0" w:evenHBand="0" w:firstRowFirstColumn="0" w:firstRowLastColumn="0" w:lastRowFirstColumn="0" w:lastRowLastColumn="0"/>
              <w:rPr>
                <w:rFonts w:eastAsia="Times New Roman" w:cs="Arial"/>
                <w:b w:val="0"/>
                <w:bCs w:val="0"/>
                <w:sz w:val="16"/>
                <w:szCs w:val="16"/>
                <w:lang w:val="es-CO" w:eastAsia="es-MX"/>
              </w:rPr>
            </w:pPr>
          </w:p>
        </w:tc>
      </w:tr>
      <w:tr w:rsidR="000D468E" w:rsidRPr="00BD1319" w14:paraId="574A46FB" w14:textId="77777777" w:rsidTr="00397D08">
        <w:trPr>
          <w:cnfStyle w:val="000000100000" w:firstRow="0" w:lastRow="0" w:firstColumn="0" w:lastColumn="0" w:oddVBand="0" w:evenVBand="0" w:oddHBand="1" w:evenHBand="0" w:firstRowFirstColumn="0" w:firstRowLastColumn="0" w:lastRowFirstColumn="0" w:lastRowLastColumn="0"/>
          <w:trHeight w:val="600"/>
          <w:jc w:val="center"/>
        </w:trPr>
        <w:tc>
          <w:tcPr>
            <w:cnfStyle w:val="001000000000" w:firstRow="0" w:lastRow="0" w:firstColumn="1" w:lastColumn="0" w:oddVBand="0" w:evenVBand="0" w:oddHBand="0" w:evenHBand="0" w:firstRowFirstColumn="0" w:firstRowLastColumn="0" w:lastRowFirstColumn="0" w:lastRowLastColumn="0"/>
            <w:tcW w:w="1134" w:type="dxa"/>
            <w:shd w:val="clear" w:color="auto" w:fill="auto"/>
            <w:vAlign w:val="center"/>
            <w:hideMark/>
          </w:tcPr>
          <w:p w14:paraId="54B92748" w14:textId="77777777" w:rsidR="007D4645" w:rsidRPr="00BD1319" w:rsidRDefault="007D4645" w:rsidP="003B7DBA">
            <w:pPr>
              <w:rPr>
                <w:rFonts w:eastAsia="Times New Roman" w:cs="Arial"/>
                <w:b w:val="0"/>
                <w:bCs w:val="0"/>
                <w:color w:val="000000"/>
                <w:sz w:val="16"/>
                <w:szCs w:val="16"/>
                <w:lang w:val="es-CO" w:eastAsia="es-MX"/>
              </w:rPr>
            </w:pPr>
            <w:r w:rsidRPr="00BD1319">
              <w:rPr>
                <w:rFonts w:cs="Arial"/>
                <w:color w:val="000000"/>
                <w:sz w:val="16"/>
                <w:szCs w:val="16"/>
              </w:rPr>
              <w:t>Elemental</w:t>
            </w:r>
          </w:p>
        </w:tc>
        <w:tc>
          <w:tcPr>
            <w:tcW w:w="1276" w:type="dxa"/>
            <w:shd w:val="clear" w:color="auto" w:fill="auto"/>
            <w:vAlign w:val="center"/>
          </w:tcPr>
          <w:p w14:paraId="5E24CB2C" w14:textId="77777777" w:rsidR="007D4645" w:rsidRPr="00BD1319" w:rsidRDefault="007D4645" w:rsidP="003B7DBA">
            <w:pP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Suma ponderada</w:t>
            </w:r>
          </w:p>
        </w:tc>
        <w:tc>
          <w:tcPr>
            <w:tcW w:w="3686" w:type="dxa"/>
            <w:shd w:val="clear" w:color="auto" w:fill="auto"/>
            <w:vAlign w:val="center"/>
            <w:hideMark/>
          </w:tcPr>
          <w:p w14:paraId="449344E7" w14:textId="77777777" w:rsidR="007D4645" w:rsidRPr="00BD1319" w:rsidRDefault="007D4645" w:rsidP="003B7DBA">
            <w:pP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El desempeño global de una alternativa se calcula como la suma ponderada de sus evaluaciones a lo largo de cada criterio. El rendimiento global se utiliza para hacer una elección entre todas las alternativas.</w:t>
            </w:r>
          </w:p>
        </w:tc>
        <w:tc>
          <w:tcPr>
            <w:tcW w:w="992" w:type="dxa"/>
            <w:shd w:val="clear" w:color="auto" w:fill="auto"/>
            <w:vAlign w:val="center"/>
            <w:hideMark/>
          </w:tcPr>
          <w:p w14:paraId="60C73DAA"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Sencillo (calificación directa)</w:t>
            </w:r>
          </w:p>
        </w:tc>
        <w:tc>
          <w:tcPr>
            <w:tcW w:w="1134" w:type="dxa"/>
            <w:shd w:val="clear" w:color="auto" w:fill="auto"/>
            <w:vAlign w:val="center"/>
            <w:hideMark/>
          </w:tcPr>
          <w:p w14:paraId="5695843D"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rPr>
              <w:t>{P, I}</w:t>
            </w:r>
          </w:p>
        </w:tc>
        <w:tc>
          <w:tcPr>
            <w:tcW w:w="992" w:type="dxa"/>
            <w:shd w:val="clear" w:color="auto" w:fill="auto"/>
            <w:vAlign w:val="center"/>
            <w:hideMark/>
          </w:tcPr>
          <w:p w14:paraId="40FEFE10"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rPr>
              <w:t>Elección</w:t>
            </w:r>
          </w:p>
        </w:tc>
        <w:tc>
          <w:tcPr>
            <w:tcW w:w="453" w:type="dxa"/>
            <w:shd w:val="clear" w:color="auto" w:fill="auto"/>
            <w:vAlign w:val="center"/>
            <w:hideMark/>
          </w:tcPr>
          <w:p w14:paraId="116586DB"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p>
        </w:tc>
        <w:tc>
          <w:tcPr>
            <w:tcW w:w="454" w:type="dxa"/>
            <w:shd w:val="clear" w:color="auto" w:fill="auto"/>
            <w:vAlign w:val="center"/>
            <w:hideMark/>
          </w:tcPr>
          <w:p w14:paraId="7EF32744"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X</w:t>
            </w:r>
          </w:p>
        </w:tc>
        <w:tc>
          <w:tcPr>
            <w:tcW w:w="453" w:type="dxa"/>
            <w:shd w:val="clear" w:color="auto" w:fill="auto"/>
            <w:vAlign w:val="center"/>
            <w:hideMark/>
          </w:tcPr>
          <w:p w14:paraId="5136663F"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p>
        </w:tc>
        <w:tc>
          <w:tcPr>
            <w:tcW w:w="454" w:type="dxa"/>
            <w:shd w:val="clear" w:color="auto" w:fill="auto"/>
            <w:vAlign w:val="center"/>
            <w:hideMark/>
          </w:tcPr>
          <w:p w14:paraId="2EFD532F"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X</w:t>
            </w:r>
          </w:p>
        </w:tc>
        <w:tc>
          <w:tcPr>
            <w:tcW w:w="454" w:type="dxa"/>
            <w:shd w:val="clear" w:color="auto" w:fill="auto"/>
            <w:vAlign w:val="center"/>
            <w:hideMark/>
          </w:tcPr>
          <w:p w14:paraId="476CF2D0"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p>
        </w:tc>
        <w:tc>
          <w:tcPr>
            <w:tcW w:w="992" w:type="dxa"/>
            <w:shd w:val="clear" w:color="auto" w:fill="auto"/>
            <w:vAlign w:val="center"/>
            <w:hideMark/>
          </w:tcPr>
          <w:p w14:paraId="39ABED01"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Total</w:t>
            </w:r>
          </w:p>
        </w:tc>
        <w:tc>
          <w:tcPr>
            <w:tcW w:w="993" w:type="dxa"/>
            <w:shd w:val="clear" w:color="auto" w:fill="auto"/>
            <w:vAlign w:val="center"/>
            <w:hideMark/>
          </w:tcPr>
          <w:p w14:paraId="13B0183B"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n-US" w:eastAsia="es-MX"/>
              </w:rPr>
            </w:pPr>
            <w:r w:rsidRPr="00BD1319">
              <w:rPr>
                <w:rFonts w:cs="Arial"/>
                <w:color w:val="000000"/>
                <w:sz w:val="16"/>
                <w:szCs w:val="16"/>
                <w:lang w:val="en-US" w:eastAsia="es-MX"/>
              </w:rPr>
              <w:t xml:space="preserve">ind., com., inv., </w:t>
            </w:r>
            <w:proofErr w:type="spellStart"/>
            <w:r w:rsidRPr="00BD1319">
              <w:rPr>
                <w:rFonts w:cs="Arial"/>
                <w:color w:val="000000"/>
                <w:sz w:val="16"/>
                <w:szCs w:val="16"/>
                <w:lang w:val="en-US" w:eastAsia="es-MX"/>
              </w:rPr>
              <w:t>tran</w:t>
            </w:r>
            <w:proofErr w:type="spellEnd"/>
            <w:r w:rsidRPr="00BD1319">
              <w:rPr>
                <w:rFonts w:cs="Arial"/>
                <w:color w:val="000000"/>
                <w:sz w:val="16"/>
                <w:szCs w:val="16"/>
                <w:lang w:val="en-US" w:eastAsia="es-MX"/>
              </w:rPr>
              <w:t>., dom.</w:t>
            </w:r>
          </w:p>
        </w:tc>
        <w:tc>
          <w:tcPr>
            <w:tcW w:w="1134" w:type="dxa"/>
            <w:shd w:val="clear" w:color="auto" w:fill="auto"/>
            <w:vAlign w:val="center"/>
            <w:hideMark/>
          </w:tcPr>
          <w:p w14:paraId="659E533E"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Suma algebraica</w:t>
            </w:r>
          </w:p>
        </w:tc>
        <w:tc>
          <w:tcPr>
            <w:tcW w:w="567" w:type="dxa"/>
            <w:shd w:val="clear" w:color="auto" w:fill="auto"/>
            <w:vAlign w:val="center"/>
          </w:tcPr>
          <w:p w14:paraId="05EC5A21"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7, 13, 19</w:t>
            </w:r>
          </w:p>
        </w:tc>
      </w:tr>
      <w:tr w:rsidR="007D4645" w:rsidRPr="00BD1319" w14:paraId="02D7EFA1" w14:textId="77777777" w:rsidTr="00397D08">
        <w:trPr>
          <w:trHeight w:val="600"/>
          <w:jc w:val="center"/>
        </w:trPr>
        <w:tc>
          <w:tcPr>
            <w:cnfStyle w:val="001000000000" w:firstRow="0" w:lastRow="0" w:firstColumn="1" w:lastColumn="0" w:oddVBand="0" w:evenVBand="0" w:oddHBand="0" w:evenHBand="0" w:firstRowFirstColumn="0" w:firstRowLastColumn="0" w:lastRowFirstColumn="0" w:lastRowLastColumn="0"/>
            <w:tcW w:w="1134" w:type="dxa"/>
            <w:shd w:val="clear" w:color="auto" w:fill="auto"/>
            <w:vAlign w:val="center"/>
            <w:hideMark/>
          </w:tcPr>
          <w:p w14:paraId="5791DE5A" w14:textId="77777777" w:rsidR="007D4645" w:rsidRPr="00BD1319" w:rsidRDefault="007D4645" w:rsidP="003B7DBA">
            <w:pPr>
              <w:rPr>
                <w:rFonts w:eastAsia="Times New Roman" w:cs="Arial"/>
                <w:b w:val="0"/>
                <w:bCs w:val="0"/>
                <w:color w:val="000000"/>
                <w:sz w:val="16"/>
                <w:szCs w:val="16"/>
                <w:lang w:val="es-CO" w:eastAsia="es-MX"/>
              </w:rPr>
            </w:pPr>
            <w:r w:rsidRPr="00BD1319">
              <w:rPr>
                <w:rFonts w:cs="Arial"/>
                <w:color w:val="000000"/>
                <w:sz w:val="16"/>
                <w:szCs w:val="16"/>
              </w:rPr>
              <w:t>Elemental</w:t>
            </w:r>
          </w:p>
        </w:tc>
        <w:tc>
          <w:tcPr>
            <w:tcW w:w="1276" w:type="dxa"/>
            <w:shd w:val="clear" w:color="auto" w:fill="auto"/>
            <w:vAlign w:val="center"/>
          </w:tcPr>
          <w:p w14:paraId="120C145D" w14:textId="77777777" w:rsidR="007D4645" w:rsidRPr="00BD1319" w:rsidRDefault="007D4645" w:rsidP="003B7DBA">
            <w:pP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Lexicográfico</w:t>
            </w:r>
          </w:p>
        </w:tc>
        <w:tc>
          <w:tcPr>
            <w:tcW w:w="3686" w:type="dxa"/>
            <w:shd w:val="clear" w:color="auto" w:fill="auto"/>
            <w:vAlign w:val="center"/>
            <w:hideMark/>
          </w:tcPr>
          <w:p w14:paraId="7475FC50" w14:textId="77777777" w:rsidR="007D4645" w:rsidRPr="00BD1319" w:rsidRDefault="007D4645" w:rsidP="003B7DBA">
            <w:pP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Partiendo de la lógica de que en algunas situaciones de decisión parece predominar un único criterio. El procedimiento consiste en comparar todas las alternativas con respecto al criterio importante, y continuar con la siguiente hasta que solo quede una alternativa</w:t>
            </w:r>
          </w:p>
        </w:tc>
        <w:tc>
          <w:tcPr>
            <w:tcW w:w="992" w:type="dxa"/>
            <w:shd w:val="clear" w:color="auto" w:fill="auto"/>
            <w:vAlign w:val="center"/>
            <w:hideMark/>
          </w:tcPr>
          <w:p w14:paraId="6D5D82AB"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Sencillo (calificación directa)</w:t>
            </w:r>
          </w:p>
        </w:tc>
        <w:tc>
          <w:tcPr>
            <w:tcW w:w="1134" w:type="dxa"/>
            <w:shd w:val="clear" w:color="auto" w:fill="auto"/>
            <w:vAlign w:val="center"/>
            <w:hideMark/>
          </w:tcPr>
          <w:p w14:paraId="376AD2D5"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rPr>
              <w:t>{P, I}</w:t>
            </w:r>
          </w:p>
        </w:tc>
        <w:tc>
          <w:tcPr>
            <w:tcW w:w="992" w:type="dxa"/>
            <w:shd w:val="clear" w:color="auto" w:fill="auto"/>
            <w:vAlign w:val="center"/>
            <w:hideMark/>
          </w:tcPr>
          <w:p w14:paraId="182700D6"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rPr>
              <w:t>Elección</w:t>
            </w:r>
          </w:p>
        </w:tc>
        <w:tc>
          <w:tcPr>
            <w:tcW w:w="453" w:type="dxa"/>
            <w:shd w:val="clear" w:color="auto" w:fill="auto"/>
            <w:vAlign w:val="center"/>
            <w:hideMark/>
          </w:tcPr>
          <w:p w14:paraId="2B57C1D9"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X</w:t>
            </w:r>
          </w:p>
        </w:tc>
        <w:tc>
          <w:tcPr>
            <w:tcW w:w="454" w:type="dxa"/>
            <w:shd w:val="clear" w:color="auto" w:fill="auto"/>
            <w:vAlign w:val="center"/>
            <w:hideMark/>
          </w:tcPr>
          <w:p w14:paraId="60B46CD5"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X</w:t>
            </w:r>
          </w:p>
        </w:tc>
        <w:tc>
          <w:tcPr>
            <w:tcW w:w="453" w:type="dxa"/>
            <w:shd w:val="clear" w:color="auto" w:fill="auto"/>
            <w:vAlign w:val="center"/>
            <w:hideMark/>
          </w:tcPr>
          <w:p w14:paraId="04C020C4"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X</w:t>
            </w:r>
          </w:p>
        </w:tc>
        <w:tc>
          <w:tcPr>
            <w:tcW w:w="454" w:type="dxa"/>
            <w:shd w:val="clear" w:color="auto" w:fill="auto"/>
            <w:vAlign w:val="center"/>
            <w:hideMark/>
          </w:tcPr>
          <w:p w14:paraId="59B5BC91"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X</w:t>
            </w:r>
          </w:p>
        </w:tc>
        <w:tc>
          <w:tcPr>
            <w:tcW w:w="454" w:type="dxa"/>
            <w:shd w:val="clear" w:color="auto" w:fill="auto"/>
            <w:vAlign w:val="center"/>
            <w:hideMark/>
          </w:tcPr>
          <w:p w14:paraId="2C0FFDD0"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p>
        </w:tc>
        <w:tc>
          <w:tcPr>
            <w:tcW w:w="992" w:type="dxa"/>
            <w:shd w:val="clear" w:color="auto" w:fill="auto"/>
            <w:vAlign w:val="center"/>
            <w:hideMark/>
          </w:tcPr>
          <w:p w14:paraId="7C88E70E"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Ninguna</w:t>
            </w:r>
          </w:p>
        </w:tc>
        <w:tc>
          <w:tcPr>
            <w:tcW w:w="993" w:type="dxa"/>
            <w:shd w:val="clear" w:color="auto" w:fill="auto"/>
            <w:vAlign w:val="center"/>
            <w:hideMark/>
          </w:tcPr>
          <w:p w14:paraId="2B1503C4"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proofErr w:type="spellStart"/>
            <w:r w:rsidRPr="00BD1319">
              <w:rPr>
                <w:rFonts w:cs="Arial"/>
                <w:color w:val="000000"/>
                <w:sz w:val="16"/>
                <w:szCs w:val="16"/>
                <w:lang w:eastAsia="es-MX"/>
              </w:rPr>
              <w:t>ind</w:t>
            </w:r>
            <w:proofErr w:type="spellEnd"/>
            <w:r w:rsidRPr="00BD1319">
              <w:rPr>
                <w:rFonts w:cs="Arial"/>
                <w:color w:val="000000"/>
                <w:sz w:val="16"/>
                <w:szCs w:val="16"/>
                <w:lang w:eastAsia="es-MX"/>
              </w:rPr>
              <w:t xml:space="preserve">., inv., </w:t>
            </w:r>
            <w:proofErr w:type="spellStart"/>
            <w:r w:rsidRPr="00BD1319">
              <w:rPr>
                <w:rFonts w:cs="Arial"/>
                <w:color w:val="000000"/>
                <w:sz w:val="16"/>
                <w:szCs w:val="16"/>
                <w:lang w:eastAsia="es-MX"/>
              </w:rPr>
              <w:t>tran</w:t>
            </w:r>
            <w:proofErr w:type="spellEnd"/>
            <w:r w:rsidRPr="00BD1319">
              <w:rPr>
                <w:rFonts w:cs="Arial"/>
                <w:color w:val="000000"/>
                <w:sz w:val="16"/>
                <w:szCs w:val="16"/>
                <w:lang w:eastAsia="es-MX"/>
              </w:rPr>
              <w:t>., dom.</w:t>
            </w:r>
          </w:p>
        </w:tc>
        <w:tc>
          <w:tcPr>
            <w:tcW w:w="1134" w:type="dxa"/>
            <w:shd w:val="clear" w:color="auto" w:fill="auto"/>
            <w:vAlign w:val="center"/>
            <w:hideMark/>
          </w:tcPr>
          <w:p w14:paraId="603E3D75"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Planos de corte</w:t>
            </w:r>
          </w:p>
        </w:tc>
        <w:tc>
          <w:tcPr>
            <w:tcW w:w="567" w:type="dxa"/>
            <w:shd w:val="clear" w:color="auto" w:fill="auto"/>
            <w:vAlign w:val="center"/>
          </w:tcPr>
          <w:p w14:paraId="4EC8A7BD"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13, 29</w:t>
            </w:r>
          </w:p>
        </w:tc>
      </w:tr>
      <w:tr w:rsidR="000D468E" w:rsidRPr="00BD1319" w14:paraId="46F5E9AC" w14:textId="77777777" w:rsidTr="00397D08">
        <w:trPr>
          <w:cnfStyle w:val="000000100000" w:firstRow="0" w:lastRow="0" w:firstColumn="0" w:lastColumn="0" w:oddVBand="0" w:evenVBand="0" w:oddHBand="1" w:evenHBand="0" w:firstRowFirstColumn="0" w:firstRowLastColumn="0" w:lastRowFirstColumn="0" w:lastRowLastColumn="0"/>
          <w:trHeight w:val="600"/>
          <w:jc w:val="center"/>
        </w:trPr>
        <w:tc>
          <w:tcPr>
            <w:cnfStyle w:val="001000000000" w:firstRow="0" w:lastRow="0" w:firstColumn="1" w:lastColumn="0" w:oddVBand="0" w:evenVBand="0" w:oddHBand="0" w:evenHBand="0" w:firstRowFirstColumn="0" w:firstRowLastColumn="0" w:lastRowFirstColumn="0" w:lastRowLastColumn="0"/>
            <w:tcW w:w="1134" w:type="dxa"/>
            <w:shd w:val="clear" w:color="auto" w:fill="auto"/>
            <w:vAlign w:val="center"/>
            <w:hideMark/>
          </w:tcPr>
          <w:p w14:paraId="3110B188" w14:textId="77777777" w:rsidR="007D4645" w:rsidRPr="00BD1319" w:rsidRDefault="007D4645" w:rsidP="003B7DBA">
            <w:pPr>
              <w:rPr>
                <w:rFonts w:eastAsia="Times New Roman" w:cs="Arial"/>
                <w:b w:val="0"/>
                <w:bCs w:val="0"/>
                <w:color w:val="000000"/>
                <w:sz w:val="16"/>
                <w:szCs w:val="16"/>
                <w:lang w:val="es-CO" w:eastAsia="es-MX"/>
              </w:rPr>
            </w:pPr>
            <w:r w:rsidRPr="00BD1319">
              <w:rPr>
                <w:rFonts w:cs="Arial"/>
                <w:color w:val="000000"/>
                <w:sz w:val="16"/>
                <w:szCs w:val="16"/>
              </w:rPr>
              <w:t>Elemental</w:t>
            </w:r>
          </w:p>
        </w:tc>
        <w:tc>
          <w:tcPr>
            <w:tcW w:w="1276" w:type="dxa"/>
            <w:shd w:val="clear" w:color="auto" w:fill="auto"/>
            <w:vAlign w:val="center"/>
          </w:tcPr>
          <w:p w14:paraId="6877712B" w14:textId="77777777" w:rsidR="007D4645" w:rsidRPr="00BD1319" w:rsidRDefault="007D4645" w:rsidP="003B7DBA">
            <w:pP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Conjuntivo</w:t>
            </w:r>
          </w:p>
        </w:tc>
        <w:tc>
          <w:tcPr>
            <w:tcW w:w="3686" w:type="dxa"/>
            <w:shd w:val="clear" w:color="auto" w:fill="auto"/>
            <w:vAlign w:val="center"/>
            <w:hideMark/>
          </w:tcPr>
          <w:p w14:paraId="493D6965" w14:textId="77777777" w:rsidR="007D4645" w:rsidRPr="00BD1319" w:rsidRDefault="007D4645" w:rsidP="003B7DBA">
            <w:pP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Se rechaza una alternativa que no cumple con el nivel mínimo aceptable para todos los criterios. Los niveles mínimos aceptables para cada criterio se utilizan para descartar alternativas inaceptables.</w:t>
            </w:r>
          </w:p>
        </w:tc>
        <w:tc>
          <w:tcPr>
            <w:tcW w:w="992" w:type="dxa"/>
            <w:shd w:val="clear" w:color="auto" w:fill="auto"/>
            <w:vAlign w:val="center"/>
            <w:hideMark/>
          </w:tcPr>
          <w:p w14:paraId="54011B4F"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Sencillo (calificación directa)</w:t>
            </w:r>
          </w:p>
        </w:tc>
        <w:tc>
          <w:tcPr>
            <w:tcW w:w="1134" w:type="dxa"/>
            <w:shd w:val="clear" w:color="auto" w:fill="auto"/>
            <w:vAlign w:val="center"/>
            <w:hideMark/>
          </w:tcPr>
          <w:p w14:paraId="49819AD0"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rPr>
              <w:t>{P, I}</w:t>
            </w:r>
          </w:p>
        </w:tc>
        <w:tc>
          <w:tcPr>
            <w:tcW w:w="992" w:type="dxa"/>
            <w:shd w:val="clear" w:color="auto" w:fill="auto"/>
            <w:vAlign w:val="center"/>
            <w:hideMark/>
          </w:tcPr>
          <w:p w14:paraId="0C1CF3BC"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rPr>
              <w:t>No aplica</w:t>
            </w:r>
          </w:p>
        </w:tc>
        <w:tc>
          <w:tcPr>
            <w:tcW w:w="453" w:type="dxa"/>
            <w:shd w:val="clear" w:color="auto" w:fill="auto"/>
            <w:vAlign w:val="center"/>
            <w:hideMark/>
          </w:tcPr>
          <w:p w14:paraId="4DBF226D"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X</w:t>
            </w:r>
          </w:p>
        </w:tc>
        <w:tc>
          <w:tcPr>
            <w:tcW w:w="454" w:type="dxa"/>
            <w:shd w:val="clear" w:color="auto" w:fill="auto"/>
            <w:vAlign w:val="center"/>
            <w:hideMark/>
          </w:tcPr>
          <w:p w14:paraId="3898931A"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X</w:t>
            </w:r>
          </w:p>
        </w:tc>
        <w:tc>
          <w:tcPr>
            <w:tcW w:w="453" w:type="dxa"/>
            <w:shd w:val="clear" w:color="auto" w:fill="auto"/>
            <w:vAlign w:val="center"/>
            <w:hideMark/>
          </w:tcPr>
          <w:p w14:paraId="50502EAD"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X</w:t>
            </w:r>
          </w:p>
        </w:tc>
        <w:tc>
          <w:tcPr>
            <w:tcW w:w="454" w:type="dxa"/>
            <w:shd w:val="clear" w:color="auto" w:fill="auto"/>
            <w:vAlign w:val="center"/>
            <w:hideMark/>
          </w:tcPr>
          <w:p w14:paraId="2F1B81B5"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X</w:t>
            </w:r>
          </w:p>
        </w:tc>
        <w:tc>
          <w:tcPr>
            <w:tcW w:w="454" w:type="dxa"/>
            <w:shd w:val="clear" w:color="auto" w:fill="auto"/>
            <w:vAlign w:val="center"/>
            <w:hideMark/>
          </w:tcPr>
          <w:p w14:paraId="4D4BD4F2"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p>
        </w:tc>
        <w:tc>
          <w:tcPr>
            <w:tcW w:w="992" w:type="dxa"/>
            <w:shd w:val="clear" w:color="auto" w:fill="auto"/>
            <w:vAlign w:val="center"/>
            <w:hideMark/>
          </w:tcPr>
          <w:p w14:paraId="713519BC"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Ninguna</w:t>
            </w:r>
          </w:p>
        </w:tc>
        <w:tc>
          <w:tcPr>
            <w:tcW w:w="993" w:type="dxa"/>
            <w:shd w:val="clear" w:color="auto" w:fill="auto"/>
            <w:vAlign w:val="center"/>
            <w:hideMark/>
          </w:tcPr>
          <w:p w14:paraId="1D2928A0"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proofErr w:type="spellStart"/>
            <w:r w:rsidRPr="00BD1319">
              <w:rPr>
                <w:rFonts w:cs="Arial"/>
                <w:color w:val="000000"/>
                <w:sz w:val="16"/>
                <w:szCs w:val="16"/>
                <w:lang w:eastAsia="es-MX"/>
              </w:rPr>
              <w:t>ind</w:t>
            </w:r>
            <w:proofErr w:type="spellEnd"/>
            <w:r w:rsidRPr="00BD1319">
              <w:rPr>
                <w:rFonts w:cs="Arial"/>
                <w:color w:val="000000"/>
                <w:sz w:val="16"/>
                <w:szCs w:val="16"/>
                <w:lang w:eastAsia="es-MX"/>
              </w:rPr>
              <w:t xml:space="preserve">., inv., </w:t>
            </w:r>
            <w:proofErr w:type="spellStart"/>
            <w:r w:rsidRPr="00BD1319">
              <w:rPr>
                <w:rFonts w:cs="Arial"/>
                <w:color w:val="000000"/>
                <w:sz w:val="16"/>
                <w:szCs w:val="16"/>
                <w:lang w:eastAsia="es-MX"/>
              </w:rPr>
              <w:t>tran</w:t>
            </w:r>
            <w:proofErr w:type="spellEnd"/>
            <w:r w:rsidRPr="00BD1319">
              <w:rPr>
                <w:rFonts w:cs="Arial"/>
                <w:color w:val="000000"/>
                <w:sz w:val="16"/>
                <w:szCs w:val="16"/>
                <w:lang w:eastAsia="es-MX"/>
              </w:rPr>
              <w:t>., dom.</w:t>
            </w:r>
          </w:p>
        </w:tc>
        <w:tc>
          <w:tcPr>
            <w:tcW w:w="1134" w:type="dxa"/>
            <w:shd w:val="clear" w:color="auto" w:fill="auto"/>
            <w:vAlign w:val="center"/>
            <w:hideMark/>
          </w:tcPr>
          <w:p w14:paraId="4F08482F"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Umbrales</w:t>
            </w:r>
          </w:p>
        </w:tc>
        <w:tc>
          <w:tcPr>
            <w:tcW w:w="567" w:type="dxa"/>
            <w:shd w:val="clear" w:color="auto" w:fill="auto"/>
            <w:vAlign w:val="center"/>
          </w:tcPr>
          <w:p w14:paraId="0BC6068C"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13, 6</w:t>
            </w:r>
          </w:p>
        </w:tc>
      </w:tr>
      <w:tr w:rsidR="007D4645" w:rsidRPr="00BD1319" w14:paraId="7D339860" w14:textId="77777777" w:rsidTr="00397D08">
        <w:trPr>
          <w:trHeight w:val="600"/>
          <w:jc w:val="center"/>
        </w:trPr>
        <w:tc>
          <w:tcPr>
            <w:cnfStyle w:val="001000000000" w:firstRow="0" w:lastRow="0" w:firstColumn="1" w:lastColumn="0" w:oddVBand="0" w:evenVBand="0" w:oddHBand="0" w:evenHBand="0" w:firstRowFirstColumn="0" w:firstRowLastColumn="0" w:lastRowFirstColumn="0" w:lastRowLastColumn="0"/>
            <w:tcW w:w="1134" w:type="dxa"/>
            <w:shd w:val="clear" w:color="auto" w:fill="auto"/>
            <w:vAlign w:val="center"/>
            <w:hideMark/>
          </w:tcPr>
          <w:p w14:paraId="631249E4" w14:textId="77777777" w:rsidR="007D4645" w:rsidRPr="00BD1319" w:rsidRDefault="007D4645" w:rsidP="003B7DBA">
            <w:pPr>
              <w:rPr>
                <w:rFonts w:eastAsia="Times New Roman" w:cs="Arial"/>
                <w:b w:val="0"/>
                <w:bCs w:val="0"/>
                <w:color w:val="000000"/>
                <w:sz w:val="16"/>
                <w:szCs w:val="16"/>
                <w:lang w:val="es-CO" w:eastAsia="es-MX"/>
              </w:rPr>
            </w:pPr>
            <w:r w:rsidRPr="00BD1319">
              <w:rPr>
                <w:rFonts w:cs="Arial"/>
                <w:color w:val="000000"/>
                <w:sz w:val="16"/>
                <w:szCs w:val="16"/>
              </w:rPr>
              <w:t>Elemental</w:t>
            </w:r>
          </w:p>
        </w:tc>
        <w:tc>
          <w:tcPr>
            <w:tcW w:w="1276" w:type="dxa"/>
            <w:shd w:val="clear" w:color="auto" w:fill="auto"/>
            <w:vAlign w:val="center"/>
          </w:tcPr>
          <w:p w14:paraId="4FA9AAEF" w14:textId="77777777" w:rsidR="007D4645" w:rsidRPr="00BD1319" w:rsidRDefault="007D4645" w:rsidP="003B7DBA">
            <w:pP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Disyuntivo</w:t>
            </w:r>
          </w:p>
        </w:tc>
        <w:tc>
          <w:tcPr>
            <w:tcW w:w="3686" w:type="dxa"/>
            <w:shd w:val="clear" w:color="auto" w:fill="auto"/>
            <w:vAlign w:val="center"/>
            <w:hideMark/>
          </w:tcPr>
          <w:p w14:paraId="3B0F7D5F" w14:textId="77777777" w:rsidR="007D4645" w:rsidRPr="00BD1319" w:rsidRDefault="007D4645" w:rsidP="003B7DBA">
            <w:pP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Se selecciona una alternativa sobre la base de su puntaje extremo en cualquier criterio. Los niveles deseables para cada atributo se utilizan para seleccionar alternativas que igualan o superan esos niveles en cualquier criterio.</w:t>
            </w:r>
          </w:p>
        </w:tc>
        <w:tc>
          <w:tcPr>
            <w:tcW w:w="992" w:type="dxa"/>
            <w:shd w:val="clear" w:color="auto" w:fill="auto"/>
            <w:vAlign w:val="center"/>
            <w:hideMark/>
          </w:tcPr>
          <w:p w14:paraId="5C498A97"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Sencillo (calificación directa)</w:t>
            </w:r>
          </w:p>
        </w:tc>
        <w:tc>
          <w:tcPr>
            <w:tcW w:w="1134" w:type="dxa"/>
            <w:shd w:val="clear" w:color="auto" w:fill="auto"/>
            <w:vAlign w:val="center"/>
            <w:hideMark/>
          </w:tcPr>
          <w:p w14:paraId="0C569DF9"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rPr>
              <w:t>{P, I}</w:t>
            </w:r>
          </w:p>
        </w:tc>
        <w:tc>
          <w:tcPr>
            <w:tcW w:w="992" w:type="dxa"/>
            <w:shd w:val="clear" w:color="auto" w:fill="auto"/>
            <w:vAlign w:val="center"/>
            <w:hideMark/>
          </w:tcPr>
          <w:p w14:paraId="71F70822"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rPr>
              <w:t>No aplica</w:t>
            </w:r>
          </w:p>
        </w:tc>
        <w:tc>
          <w:tcPr>
            <w:tcW w:w="453" w:type="dxa"/>
            <w:shd w:val="clear" w:color="auto" w:fill="auto"/>
            <w:vAlign w:val="center"/>
            <w:hideMark/>
          </w:tcPr>
          <w:p w14:paraId="2D0006C6"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X</w:t>
            </w:r>
          </w:p>
        </w:tc>
        <w:tc>
          <w:tcPr>
            <w:tcW w:w="454" w:type="dxa"/>
            <w:shd w:val="clear" w:color="auto" w:fill="auto"/>
            <w:vAlign w:val="center"/>
            <w:hideMark/>
          </w:tcPr>
          <w:p w14:paraId="7510AEAC"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X</w:t>
            </w:r>
          </w:p>
        </w:tc>
        <w:tc>
          <w:tcPr>
            <w:tcW w:w="453" w:type="dxa"/>
            <w:shd w:val="clear" w:color="auto" w:fill="auto"/>
            <w:vAlign w:val="center"/>
            <w:hideMark/>
          </w:tcPr>
          <w:p w14:paraId="1C09E709"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X</w:t>
            </w:r>
          </w:p>
        </w:tc>
        <w:tc>
          <w:tcPr>
            <w:tcW w:w="454" w:type="dxa"/>
            <w:shd w:val="clear" w:color="auto" w:fill="auto"/>
            <w:vAlign w:val="center"/>
            <w:hideMark/>
          </w:tcPr>
          <w:p w14:paraId="42F10322"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X</w:t>
            </w:r>
          </w:p>
        </w:tc>
        <w:tc>
          <w:tcPr>
            <w:tcW w:w="454" w:type="dxa"/>
            <w:shd w:val="clear" w:color="auto" w:fill="auto"/>
            <w:vAlign w:val="center"/>
            <w:hideMark/>
          </w:tcPr>
          <w:p w14:paraId="33121867"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p>
        </w:tc>
        <w:tc>
          <w:tcPr>
            <w:tcW w:w="992" w:type="dxa"/>
            <w:shd w:val="clear" w:color="auto" w:fill="auto"/>
            <w:vAlign w:val="center"/>
            <w:hideMark/>
          </w:tcPr>
          <w:p w14:paraId="583EF438"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Ninguna</w:t>
            </w:r>
          </w:p>
        </w:tc>
        <w:tc>
          <w:tcPr>
            <w:tcW w:w="993" w:type="dxa"/>
            <w:shd w:val="clear" w:color="auto" w:fill="auto"/>
            <w:vAlign w:val="center"/>
            <w:hideMark/>
          </w:tcPr>
          <w:p w14:paraId="022BE928"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proofErr w:type="spellStart"/>
            <w:r w:rsidRPr="00BD1319">
              <w:rPr>
                <w:rFonts w:cs="Arial"/>
                <w:color w:val="000000"/>
                <w:sz w:val="16"/>
                <w:szCs w:val="16"/>
                <w:lang w:eastAsia="es-MX"/>
              </w:rPr>
              <w:t>ind</w:t>
            </w:r>
            <w:proofErr w:type="spellEnd"/>
            <w:r w:rsidRPr="00BD1319">
              <w:rPr>
                <w:rFonts w:cs="Arial"/>
                <w:color w:val="000000"/>
                <w:sz w:val="16"/>
                <w:szCs w:val="16"/>
                <w:lang w:eastAsia="es-MX"/>
              </w:rPr>
              <w:t xml:space="preserve">., inv., </w:t>
            </w:r>
            <w:proofErr w:type="spellStart"/>
            <w:r w:rsidRPr="00BD1319">
              <w:rPr>
                <w:rFonts w:cs="Arial"/>
                <w:color w:val="000000"/>
                <w:sz w:val="16"/>
                <w:szCs w:val="16"/>
                <w:lang w:eastAsia="es-MX"/>
              </w:rPr>
              <w:t>tran</w:t>
            </w:r>
            <w:proofErr w:type="spellEnd"/>
            <w:r w:rsidRPr="00BD1319">
              <w:rPr>
                <w:rFonts w:cs="Arial"/>
                <w:color w:val="000000"/>
                <w:sz w:val="16"/>
                <w:szCs w:val="16"/>
                <w:lang w:eastAsia="es-MX"/>
              </w:rPr>
              <w:t>., dom.</w:t>
            </w:r>
          </w:p>
        </w:tc>
        <w:tc>
          <w:tcPr>
            <w:tcW w:w="1134" w:type="dxa"/>
            <w:shd w:val="clear" w:color="auto" w:fill="auto"/>
            <w:vAlign w:val="center"/>
            <w:hideMark/>
          </w:tcPr>
          <w:p w14:paraId="699C4AB7"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Umbrales</w:t>
            </w:r>
          </w:p>
        </w:tc>
        <w:tc>
          <w:tcPr>
            <w:tcW w:w="567" w:type="dxa"/>
            <w:shd w:val="clear" w:color="auto" w:fill="auto"/>
            <w:vAlign w:val="center"/>
          </w:tcPr>
          <w:p w14:paraId="2BEB4E9D"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13, 6</w:t>
            </w:r>
          </w:p>
        </w:tc>
      </w:tr>
      <w:tr w:rsidR="000D468E" w:rsidRPr="00BD1319" w14:paraId="76059C48" w14:textId="77777777" w:rsidTr="00397D08">
        <w:trPr>
          <w:cnfStyle w:val="000000100000" w:firstRow="0" w:lastRow="0" w:firstColumn="0" w:lastColumn="0" w:oddVBand="0" w:evenVBand="0" w:oddHBand="1" w:evenHBand="0" w:firstRowFirstColumn="0" w:firstRowLastColumn="0" w:lastRowFirstColumn="0" w:lastRowLastColumn="0"/>
          <w:trHeight w:val="600"/>
          <w:jc w:val="center"/>
        </w:trPr>
        <w:tc>
          <w:tcPr>
            <w:cnfStyle w:val="001000000000" w:firstRow="0" w:lastRow="0" w:firstColumn="1" w:lastColumn="0" w:oddVBand="0" w:evenVBand="0" w:oddHBand="0" w:evenHBand="0" w:firstRowFirstColumn="0" w:firstRowLastColumn="0" w:lastRowFirstColumn="0" w:lastRowLastColumn="0"/>
            <w:tcW w:w="1134" w:type="dxa"/>
            <w:shd w:val="clear" w:color="auto" w:fill="auto"/>
            <w:vAlign w:val="center"/>
            <w:hideMark/>
          </w:tcPr>
          <w:p w14:paraId="3F6995AF" w14:textId="77777777" w:rsidR="007D4645" w:rsidRPr="00BD1319" w:rsidRDefault="007D4645" w:rsidP="003B7DBA">
            <w:pPr>
              <w:rPr>
                <w:rFonts w:eastAsia="Times New Roman" w:cs="Arial"/>
                <w:b w:val="0"/>
                <w:bCs w:val="0"/>
                <w:color w:val="000000"/>
                <w:sz w:val="16"/>
                <w:szCs w:val="16"/>
                <w:lang w:val="es-CO" w:eastAsia="es-MX"/>
              </w:rPr>
            </w:pPr>
            <w:r w:rsidRPr="00BD1319">
              <w:rPr>
                <w:rFonts w:cs="Arial"/>
                <w:color w:val="000000"/>
                <w:sz w:val="16"/>
                <w:szCs w:val="16"/>
              </w:rPr>
              <w:t>Elemental</w:t>
            </w:r>
          </w:p>
        </w:tc>
        <w:tc>
          <w:tcPr>
            <w:tcW w:w="1276" w:type="dxa"/>
            <w:shd w:val="clear" w:color="auto" w:fill="auto"/>
            <w:vAlign w:val="center"/>
          </w:tcPr>
          <w:p w14:paraId="50A02953" w14:textId="77777777" w:rsidR="007D4645" w:rsidRPr="00BD1319" w:rsidRDefault="007D4645" w:rsidP="003B7DBA">
            <w:pP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proofErr w:type="spellStart"/>
            <w:r w:rsidRPr="00BD1319">
              <w:rPr>
                <w:rFonts w:cs="Arial"/>
                <w:color w:val="000000"/>
                <w:sz w:val="16"/>
                <w:szCs w:val="16"/>
                <w:lang w:eastAsia="es-MX"/>
              </w:rPr>
              <w:t>Maximin</w:t>
            </w:r>
            <w:proofErr w:type="spellEnd"/>
          </w:p>
        </w:tc>
        <w:tc>
          <w:tcPr>
            <w:tcW w:w="3686" w:type="dxa"/>
            <w:shd w:val="clear" w:color="auto" w:fill="auto"/>
            <w:vAlign w:val="center"/>
            <w:hideMark/>
          </w:tcPr>
          <w:p w14:paraId="2B5E2B52" w14:textId="77777777" w:rsidR="007D4645" w:rsidRPr="00BD1319" w:rsidRDefault="007D4645" w:rsidP="003B7DBA">
            <w:pP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 xml:space="preserve">El desempeño general de una alternativa está determinado por su evaluación </w:t>
            </w:r>
            <w:proofErr w:type="gramStart"/>
            <w:r w:rsidRPr="00BD1319">
              <w:rPr>
                <w:rFonts w:cs="Arial"/>
                <w:color w:val="000000"/>
                <w:sz w:val="16"/>
                <w:szCs w:val="16"/>
                <w:lang w:eastAsia="es-MX"/>
              </w:rPr>
              <w:t>más débil o más pobre</w:t>
            </w:r>
            <w:proofErr w:type="gramEnd"/>
          </w:p>
        </w:tc>
        <w:tc>
          <w:tcPr>
            <w:tcW w:w="992" w:type="dxa"/>
            <w:shd w:val="clear" w:color="auto" w:fill="auto"/>
            <w:vAlign w:val="center"/>
            <w:hideMark/>
          </w:tcPr>
          <w:p w14:paraId="56B0BE48"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Sencillo (calificación directa)</w:t>
            </w:r>
          </w:p>
        </w:tc>
        <w:tc>
          <w:tcPr>
            <w:tcW w:w="1134" w:type="dxa"/>
            <w:shd w:val="clear" w:color="auto" w:fill="auto"/>
            <w:vAlign w:val="center"/>
            <w:hideMark/>
          </w:tcPr>
          <w:p w14:paraId="5580B3A9"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rPr>
              <w:t>{P, I}</w:t>
            </w:r>
          </w:p>
        </w:tc>
        <w:tc>
          <w:tcPr>
            <w:tcW w:w="992" w:type="dxa"/>
            <w:shd w:val="clear" w:color="auto" w:fill="auto"/>
            <w:vAlign w:val="center"/>
            <w:hideMark/>
          </w:tcPr>
          <w:p w14:paraId="45793CA0"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rPr>
              <w:t>Elección</w:t>
            </w:r>
          </w:p>
        </w:tc>
        <w:tc>
          <w:tcPr>
            <w:tcW w:w="453" w:type="dxa"/>
            <w:shd w:val="clear" w:color="auto" w:fill="auto"/>
            <w:vAlign w:val="center"/>
            <w:hideMark/>
          </w:tcPr>
          <w:p w14:paraId="5717A4FC"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X</w:t>
            </w:r>
          </w:p>
        </w:tc>
        <w:tc>
          <w:tcPr>
            <w:tcW w:w="454" w:type="dxa"/>
            <w:shd w:val="clear" w:color="auto" w:fill="auto"/>
            <w:vAlign w:val="center"/>
            <w:hideMark/>
          </w:tcPr>
          <w:p w14:paraId="41212FBD"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X</w:t>
            </w:r>
          </w:p>
        </w:tc>
        <w:tc>
          <w:tcPr>
            <w:tcW w:w="453" w:type="dxa"/>
            <w:shd w:val="clear" w:color="auto" w:fill="auto"/>
            <w:vAlign w:val="center"/>
            <w:hideMark/>
          </w:tcPr>
          <w:p w14:paraId="3131377C"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p>
        </w:tc>
        <w:tc>
          <w:tcPr>
            <w:tcW w:w="454" w:type="dxa"/>
            <w:shd w:val="clear" w:color="auto" w:fill="auto"/>
            <w:vAlign w:val="center"/>
            <w:hideMark/>
          </w:tcPr>
          <w:p w14:paraId="482A5102"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X</w:t>
            </w:r>
          </w:p>
        </w:tc>
        <w:tc>
          <w:tcPr>
            <w:tcW w:w="454" w:type="dxa"/>
            <w:shd w:val="clear" w:color="auto" w:fill="auto"/>
            <w:vAlign w:val="center"/>
            <w:hideMark/>
          </w:tcPr>
          <w:p w14:paraId="1A72A613"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p>
        </w:tc>
        <w:tc>
          <w:tcPr>
            <w:tcW w:w="992" w:type="dxa"/>
            <w:shd w:val="clear" w:color="auto" w:fill="auto"/>
            <w:vAlign w:val="center"/>
            <w:hideMark/>
          </w:tcPr>
          <w:p w14:paraId="3B59F368"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Ninguna</w:t>
            </w:r>
          </w:p>
        </w:tc>
        <w:tc>
          <w:tcPr>
            <w:tcW w:w="993" w:type="dxa"/>
            <w:shd w:val="clear" w:color="auto" w:fill="auto"/>
            <w:vAlign w:val="center"/>
            <w:hideMark/>
          </w:tcPr>
          <w:p w14:paraId="04DBA1B8"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proofErr w:type="spellStart"/>
            <w:r w:rsidRPr="00BD1319">
              <w:rPr>
                <w:rFonts w:cs="Arial"/>
                <w:color w:val="000000"/>
                <w:sz w:val="16"/>
                <w:szCs w:val="16"/>
                <w:lang w:eastAsia="es-MX"/>
              </w:rPr>
              <w:t>ind</w:t>
            </w:r>
            <w:proofErr w:type="spellEnd"/>
            <w:r w:rsidRPr="00BD1319">
              <w:rPr>
                <w:rFonts w:cs="Arial"/>
                <w:color w:val="000000"/>
                <w:sz w:val="16"/>
                <w:szCs w:val="16"/>
                <w:lang w:eastAsia="es-MX"/>
              </w:rPr>
              <w:t xml:space="preserve">., inv., </w:t>
            </w:r>
            <w:proofErr w:type="spellStart"/>
            <w:r w:rsidRPr="00BD1319">
              <w:rPr>
                <w:rFonts w:cs="Arial"/>
                <w:color w:val="000000"/>
                <w:sz w:val="16"/>
                <w:szCs w:val="16"/>
                <w:lang w:eastAsia="es-MX"/>
              </w:rPr>
              <w:t>tran</w:t>
            </w:r>
            <w:proofErr w:type="spellEnd"/>
            <w:r w:rsidRPr="00BD1319">
              <w:rPr>
                <w:rFonts w:cs="Arial"/>
                <w:color w:val="000000"/>
                <w:sz w:val="16"/>
                <w:szCs w:val="16"/>
                <w:lang w:eastAsia="es-MX"/>
              </w:rPr>
              <w:t>., dom.</w:t>
            </w:r>
          </w:p>
        </w:tc>
        <w:tc>
          <w:tcPr>
            <w:tcW w:w="1134" w:type="dxa"/>
            <w:shd w:val="clear" w:color="auto" w:fill="auto"/>
            <w:vAlign w:val="center"/>
            <w:hideMark/>
          </w:tcPr>
          <w:p w14:paraId="78D7C783"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Operadores máximos y mínimos</w:t>
            </w:r>
          </w:p>
        </w:tc>
        <w:tc>
          <w:tcPr>
            <w:tcW w:w="567" w:type="dxa"/>
            <w:shd w:val="clear" w:color="auto" w:fill="auto"/>
            <w:vAlign w:val="center"/>
          </w:tcPr>
          <w:p w14:paraId="090DEB39"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13</w:t>
            </w:r>
          </w:p>
        </w:tc>
      </w:tr>
      <w:tr w:rsidR="007D4645" w:rsidRPr="00BD1319" w14:paraId="36DAA53E" w14:textId="77777777" w:rsidTr="00397D08">
        <w:trPr>
          <w:trHeight w:val="600"/>
          <w:jc w:val="center"/>
        </w:trPr>
        <w:tc>
          <w:tcPr>
            <w:cnfStyle w:val="001000000000" w:firstRow="0" w:lastRow="0" w:firstColumn="1" w:lastColumn="0" w:oddVBand="0" w:evenVBand="0" w:oddHBand="0" w:evenHBand="0" w:firstRowFirstColumn="0" w:firstRowLastColumn="0" w:lastRowFirstColumn="0" w:lastRowLastColumn="0"/>
            <w:tcW w:w="1134" w:type="dxa"/>
            <w:shd w:val="clear" w:color="auto" w:fill="auto"/>
            <w:vAlign w:val="center"/>
            <w:hideMark/>
          </w:tcPr>
          <w:p w14:paraId="5049674C" w14:textId="77777777" w:rsidR="007D4645" w:rsidRPr="00BD1319" w:rsidRDefault="007D4645" w:rsidP="003B7DBA">
            <w:pPr>
              <w:rPr>
                <w:rFonts w:eastAsia="Times New Roman" w:cs="Arial"/>
                <w:b w:val="0"/>
                <w:bCs w:val="0"/>
                <w:color w:val="000000"/>
                <w:sz w:val="16"/>
                <w:szCs w:val="16"/>
                <w:lang w:val="es-CO" w:eastAsia="es-MX"/>
              </w:rPr>
            </w:pPr>
            <w:r w:rsidRPr="00BD1319">
              <w:rPr>
                <w:rFonts w:cs="Arial"/>
                <w:color w:val="000000"/>
                <w:sz w:val="16"/>
                <w:szCs w:val="16"/>
              </w:rPr>
              <w:t>Criterio de síntesis único</w:t>
            </w:r>
          </w:p>
        </w:tc>
        <w:tc>
          <w:tcPr>
            <w:tcW w:w="1276" w:type="dxa"/>
            <w:shd w:val="clear" w:color="auto" w:fill="auto"/>
            <w:vAlign w:val="center"/>
          </w:tcPr>
          <w:p w14:paraId="2B0CB33D" w14:textId="77777777" w:rsidR="007D4645" w:rsidRPr="00BD1319" w:rsidRDefault="007D4645" w:rsidP="003B7DBA">
            <w:pP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Suma ponderada difusa</w:t>
            </w:r>
          </w:p>
        </w:tc>
        <w:tc>
          <w:tcPr>
            <w:tcW w:w="3686" w:type="dxa"/>
            <w:shd w:val="clear" w:color="auto" w:fill="auto"/>
            <w:vAlign w:val="center"/>
            <w:hideMark/>
          </w:tcPr>
          <w:p w14:paraId="214502D4" w14:textId="77777777" w:rsidR="007D4645" w:rsidRPr="00BD1319" w:rsidRDefault="007D4645" w:rsidP="003B7DBA">
            <w:pP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Estos procedimientos utilizan la técnica de un corte. Los conjuntos de un nivel se utilizan para derivar utilidades difusas basadas en el método ponderado aditivo simple</w:t>
            </w:r>
          </w:p>
        </w:tc>
        <w:tc>
          <w:tcPr>
            <w:tcW w:w="992" w:type="dxa"/>
            <w:shd w:val="clear" w:color="auto" w:fill="auto"/>
            <w:vAlign w:val="center"/>
            <w:hideMark/>
          </w:tcPr>
          <w:p w14:paraId="6F8A466B"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Sencillo (calificación directa)</w:t>
            </w:r>
          </w:p>
        </w:tc>
        <w:tc>
          <w:tcPr>
            <w:tcW w:w="1134" w:type="dxa"/>
            <w:shd w:val="clear" w:color="auto" w:fill="auto"/>
            <w:vAlign w:val="center"/>
            <w:hideMark/>
          </w:tcPr>
          <w:p w14:paraId="26BC7B0C"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rPr>
              <w:t>{P, Q, I}</w:t>
            </w:r>
          </w:p>
        </w:tc>
        <w:tc>
          <w:tcPr>
            <w:tcW w:w="992" w:type="dxa"/>
            <w:shd w:val="clear" w:color="auto" w:fill="auto"/>
            <w:vAlign w:val="center"/>
            <w:hideMark/>
          </w:tcPr>
          <w:p w14:paraId="27C93EB9"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rPr>
              <w:t>Elección</w:t>
            </w:r>
          </w:p>
        </w:tc>
        <w:tc>
          <w:tcPr>
            <w:tcW w:w="453" w:type="dxa"/>
            <w:shd w:val="clear" w:color="auto" w:fill="auto"/>
            <w:vAlign w:val="center"/>
            <w:hideMark/>
          </w:tcPr>
          <w:p w14:paraId="6E77FDFF"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X</w:t>
            </w:r>
          </w:p>
        </w:tc>
        <w:tc>
          <w:tcPr>
            <w:tcW w:w="454" w:type="dxa"/>
            <w:shd w:val="clear" w:color="auto" w:fill="auto"/>
            <w:vAlign w:val="center"/>
            <w:hideMark/>
          </w:tcPr>
          <w:p w14:paraId="0C5801B9"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X</w:t>
            </w:r>
          </w:p>
        </w:tc>
        <w:tc>
          <w:tcPr>
            <w:tcW w:w="453" w:type="dxa"/>
            <w:shd w:val="clear" w:color="auto" w:fill="auto"/>
            <w:vAlign w:val="center"/>
            <w:hideMark/>
          </w:tcPr>
          <w:p w14:paraId="2746C0D8"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X</w:t>
            </w:r>
          </w:p>
        </w:tc>
        <w:tc>
          <w:tcPr>
            <w:tcW w:w="454" w:type="dxa"/>
            <w:shd w:val="clear" w:color="auto" w:fill="auto"/>
            <w:vAlign w:val="center"/>
            <w:hideMark/>
          </w:tcPr>
          <w:p w14:paraId="6060DF81"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p>
        </w:tc>
        <w:tc>
          <w:tcPr>
            <w:tcW w:w="454" w:type="dxa"/>
            <w:shd w:val="clear" w:color="auto" w:fill="auto"/>
            <w:vAlign w:val="center"/>
            <w:hideMark/>
          </w:tcPr>
          <w:p w14:paraId="7F6B4B2D"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X</w:t>
            </w:r>
          </w:p>
        </w:tc>
        <w:tc>
          <w:tcPr>
            <w:tcW w:w="992" w:type="dxa"/>
            <w:shd w:val="clear" w:color="auto" w:fill="auto"/>
            <w:vAlign w:val="center"/>
            <w:hideMark/>
          </w:tcPr>
          <w:p w14:paraId="522FEC17"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Total</w:t>
            </w:r>
          </w:p>
        </w:tc>
        <w:tc>
          <w:tcPr>
            <w:tcW w:w="993" w:type="dxa"/>
            <w:shd w:val="clear" w:color="auto" w:fill="auto"/>
            <w:vAlign w:val="center"/>
            <w:hideMark/>
          </w:tcPr>
          <w:p w14:paraId="13811A2E"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n-US" w:eastAsia="es-MX"/>
              </w:rPr>
            </w:pPr>
            <w:r w:rsidRPr="00BD1319">
              <w:rPr>
                <w:rFonts w:cs="Arial"/>
                <w:color w:val="000000"/>
                <w:sz w:val="16"/>
                <w:szCs w:val="16"/>
                <w:lang w:val="en-US" w:eastAsia="es-MX"/>
              </w:rPr>
              <w:t xml:space="preserve">ind., com., inv., </w:t>
            </w:r>
            <w:proofErr w:type="spellStart"/>
            <w:r w:rsidRPr="00BD1319">
              <w:rPr>
                <w:rFonts w:cs="Arial"/>
                <w:color w:val="000000"/>
                <w:sz w:val="16"/>
                <w:szCs w:val="16"/>
                <w:lang w:val="en-US" w:eastAsia="es-MX"/>
              </w:rPr>
              <w:t>tran</w:t>
            </w:r>
            <w:proofErr w:type="spellEnd"/>
            <w:r w:rsidRPr="00BD1319">
              <w:rPr>
                <w:rFonts w:cs="Arial"/>
                <w:color w:val="000000"/>
                <w:sz w:val="16"/>
                <w:szCs w:val="16"/>
                <w:lang w:val="en-US" w:eastAsia="es-MX"/>
              </w:rPr>
              <w:t>., dom.</w:t>
            </w:r>
          </w:p>
        </w:tc>
        <w:tc>
          <w:tcPr>
            <w:tcW w:w="1134" w:type="dxa"/>
            <w:shd w:val="clear" w:color="auto" w:fill="auto"/>
            <w:vAlign w:val="center"/>
            <w:hideMark/>
          </w:tcPr>
          <w:p w14:paraId="5AD618CC"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α-</w:t>
            </w:r>
            <w:proofErr w:type="spellStart"/>
            <w:r w:rsidRPr="00BD1319">
              <w:rPr>
                <w:rFonts w:cs="Arial"/>
                <w:color w:val="000000"/>
                <w:sz w:val="16"/>
                <w:szCs w:val="16"/>
                <w:lang w:eastAsia="es-MX"/>
              </w:rPr>
              <w:t>cut</w:t>
            </w:r>
            <w:proofErr w:type="spellEnd"/>
            <w:r w:rsidRPr="00BD1319">
              <w:rPr>
                <w:rFonts w:cs="Arial"/>
                <w:color w:val="000000"/>
                <w:sz w:val="16"/>
                <w:szCs w:val="16"/>
                <w:lang w:eastAsia="es-MX"/>
              </w:rPr>
              <w:t xml:space="preserve"> &amp; aritmética difusa</w:t>
            </w:r>
          </w:p>
        </w:tc>
        <w:tc>
          <w:tcPr>
            <w:tcW w:w="567" w:type="dxa"/>
            <w:shd w:val="clear" w:color="auto" w:fill="auto"/>
            <w:vAlign w:val="center"/>
          </w:tcPr>
          <w:p w14:paraId="62822BE4"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1, 8, 17</w:t>
            </w:r>
          </w:p>
        </w:tc>
      </w:tr>
      <w:tr w:rsidR="000D468E" w:rsidRPr="00BD1319" w14:paraId="2AB18983" w14:textId="77777777" w:rsidTr="00397D08">
        <w:trPr>
          <w:cnfStyle w:val="000000100000" w:firstRow="0" w:lastRow="0" w:firstColumn="0" w:lastColumn="0" w:oddVBand="0" w:evenVBand="0" w:oddHBand="1" w:evenHBand="0" w:firstRowFirstColumn="0" w:firstRowLastColumn="0" w:lastRowFirstColumn="0" w:lastRowLastColumn="0"/>
          <w:trHeight w:val="600"/>
          <w:jc w:val="center"/>
        </w:trPr>
        <w:tc>
          <w:tcPr>
            <w:cnfStyle w:val="001000000000" w:firstRow="0" w:lastRow="0" w:firstColumn="1" w:lastColumn="0" w:oddVBand="0" w:evenVBand="0" w:oddHBand="0" w:evenHBand="0" w:firstRowFirstColumn="0" w:firstRowLastColumn="0" w:lastRowFirstColumn="0" w:lastRowLastColumn="0"/>
            <w:tcW w:w="1134" w:type="dxa"/>
            <w:shd w:val="clear" w:color="auto" w:fill="auto"/>
            <w:vAlign w:val="center"/>
            <w:hideMark/>
          </w:tcPr>
          <w:p w14:paraId="7D020613" w14:textId="77777777" w:rsidR="007D4645" w:rsidRPr="00BD1319" w:rsidRDefault="007D4645" w:rsidP="003B7DBA">
            <w:pPr>
              <w:rPr>
                <w:rFonts w:eastAsia="Times New Roman" w:cs="Arial"/>
                <w:b w:val="0"/>
                <w:bCs w:val="0"/>
                <w:color w:val="000000"/>
                <w:sz w:val="16"/>
                <w:szCs w:val="16"/>
                <w:lang w:val="es-CO" w:eastAsia="es-MX"/>
              </w:rPr>
            </w:pPr>
            <w:r w:rsidRPr="00BD1319">
              <w:rPr>
                <w:rFonts w:cs="Arial"/>
                <w:color w:val="000000"/>
                <w:sz w:val="16"/>
                <w:szCs w:val="16"/>
              </w:rPr>
              <w:t>Criterio de síntesis único</w:t>
            </w:r>
          </w:p>
        </w:tc>
        <w:tc>
          <w:tcPr>
            <w:tcW w:w="1276" w:type="dxa"/>
            <w:shd w:val="clear" w:color="auto" w:fill="auto"/>
            <w:vAlign w:val="center"/>
          </w:tcPr>
          <w:p w14:paraId="51AFFCD7" w14:textId="77777777" w:rsidR="007D4645" w:rsidRPr="00BD1319" w:rsidRDefault="007D4645" w:rsidP="003B7DBA">
            <w:pP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n-US" w:eastAsia="es-MX"/>
              </w:rPr>
            </w:pPr>
            <w:r w:rsidRPr="00BD1319">
              <w:rPr>
                <w:rFonts w:cs="Arial"/>
                <w:color w:val="000000"/>
                <w:sz w:val="16"/>
                <w:szCs w:val="16"/>
                <w:lang w:val="en-US" w:eastAsia="es-MX"/>
              </w:rPr>
              <w:t>TOPSIS (technique for order by similarity to ideal solution)</w:t>
            </w:r>
          </w:p>
        </w:tc>
        <w:tc>
          <w:tcPr>
            <w:tcW w:w="3686" w:type="dxa"/>
            <w:shd w:val="clear" w:color="auto" w:fill="auto"/>
            <w:vAlign w:val="center"/>
            <w:hideMark/>
          </w:tcPr>
          <w:p w14:paraId="67839A59" w14:textId="77777777" w:rsidR="007D4645" w:rsidRPr="00BD1319" w:rsidRDefault="007D4645" w:rsidP="003B7DBA">
            <w:pP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La alternativa elegida debe tener el perfil que es el más cercano (distancia) a la solución ideal y el más alejado de la solución ideal negativa</w:t>
            </w:r>
          </w:p>
        </w:tc>
        <w:tc>
          <w:tcPr>
            <w:tcW w:w="992" w:type="dxa"/>
            <w:shd w:val="clear" w:color="auto" w:fill="auto"/>
            <w:vAlign w:val="center"/>
            <w:hideMark/>
          </w:tcPr>
          <w:p w14:paraId="3EC524CB"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Sencillo (calificación directa)</w:t>
            </w:r>
          </w:p>
        </w:tc>
        <w:tc>
          <w:tcPr>
            <w:tcW w:w="1134" w:type="dxa"/>
            <w:shd w:val="clear" w:color="auto" w:fill="auto"/>
            <w:vAlign w:val="center"/>
            <w:hideMark/>
          </w:tcPr>
          <w:p w14:paraId="2C215F22"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rPr>
              <w:t>{P, I}</w:t>
            </w:r>
          </w:p>
        </w:tc>
        <w:tc>
          <w:tcPr>
            <w:tcW w:w="992" w:type="dxa"/>
            <w:shd w:val="clear" w:color="auto" w:fill="auto"/>
            <w:vAlign w:val="center"/>
            <w:hideMark/>
          </w:tcPr>
          <w:p w14:paraId="174B5799"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rPr>
              <w:t>Elección</w:t>
            </w:r>
          </w:p>
        </w:tc>
        <w:tc>
          <w:tcPr>
            <w:tcW w:w="453" w:type="dxa"/>
            <w:shd w:val="clear" w:color="auto" w:fill="auto"/>
            <w:vAlign w:val="center"/>
            <w:hideMark/>
          </w:tcPr>
          <w:p w14:paraId="406C3D8E"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p>
        </w:tc>
        <w:tc>
          <w:tcPr>
            <w:tcW w:w="454" w:type="dxa"/>
            <w:shd w:val="clear" w:color="auto" w:fill="auto"/>
            <w:vAlign w:val="center"/>
            <w:hideMark/>
          </w:tcPr>
          <w:p w14:paraId="13825A8A"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X</w:t>
            </w:r>
          </w:p>
        </w:tc>
        <w:tc>
          <w:tcPr>
            <w:tcW w:w="453" w:type="dxa"/>
            <w:shd w:val="clear" w:color="auto" w:fill="auto"/>
            <w:vAlign w:val="center"/>
            <w:hideMark/>
          </w:tcPr>
          <w:p w14:paraId="0AD80D78"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p>
        </w:tc>
        <w:tc>
          <w:tcPr>
            <w:tcW w:w="454" w:type="dxa"/>
            <w:shd w:val="clear" w:color="auto" w:fill="auto"/>
            <w:vAlign w:val="center"/>
            <w:hideMark/>
          </w:tcPr>
          <w:p w14:paraId="1D8963F3"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X</w:t>
            </w:r>
          </w:p>
        </w:tc>
        <w:tc>
          <w:tcPr>
            <w:tcW w:w="454" w:type="dxa"/>
            <w:shd w:val="clear" w:color="auto" w:fill="auto"/>
            <w:vAlign w:val="center"/>
            <w:hideMark/>
          </w:tcPr>
          <w:p w14:paraId="3ACC3353"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p>
        </w:tc>
        <w:tc>
          <w:tcPr>
            <w:tcW w:w="992" w:type="dxa"/>
            <w:shd w:val="clear" w:color="auto" w:fill="auto"/>
            <w:vAlign w:val="center"/>
            <w:hideMark/>
          </w:tcPr>
          <w:p w14:paraId="46D9CD05"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Total</w:t>
            </w:r>
          </w:p>
        </w:tc>
        <w:tc>
          <w:tcPr>
            <w:tcW w:w="993" w:type="dxa"/>
            <w:shd w:val="clear" w:color="auto" w:fill="auto"/>
            <w:vAlign w:val="center"/>
            <w:hideMark/>
          </w:tcPr>
          <w:p w14:paraId="2C9B18CD"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n-US" w:eastAsia="es-MX"/>
              </w:rPr>
            </w:pPr>
            <w:r w:rsidRPr="00BD1319">
              <w:rPr>
                <w:rFonts w:cs="Arial"/>
                <w:color w:val="000000"/>
                <w:sz w:val="16"/>
                <w:szCs w:val="16"/>
                <w:lang w:val="en-US" w:eastAsia="es-MX"/>
              </w:rPr>
              <w:t xml:space="preserve">ind., com., inv., </w:t>
            </w:r>
            <w:proofErr w:type="spellStart"/>
            <w:r w:rsidRPr="00BD1319">
              <w:rPr>
                <w:rFonts w:cs="Arial"/>
                <w:color w:val="000000"/>
                <w:sz w:val="16"/>
                <w:szCs w:val="16"/>
                <w:lang w:val="en-US" w:eastAsia="es-MX"/>
              </w:rPr>
              <w:t>tran</w:t>
            </w:r>
            <w:proofErr w:type="spellEnd"/>
            <w:r w:rsidRPr="00BD1319">
              <w:rPr>
                <w:rFonts w:cs="Arial"/>
                <w:color w:val="000000"/>
                <w:sz w:val="16"/>
                <w:szCs w:val="16"/>
                <w:lang w:val="en-US" w:eastAsia="es-MX"/>
              </w:rPr>
              <w:t>., dom.</w:t>
            </w:r>
          </w:p>
        </w:tc>
        <w:tc>
          <w:tcPr>
            <w:tcW w:w="1134" w:type="dxa"/>
            <w:shd w:val="clear" w:color="auto" w:fill="auto"/>
            <w:vAlign w:val="center"/>
            <w:hideMark/>
          </w:tcPr>
          <w:p w14:paraId="55133E19"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Distancias euclidianas</w:t>
            </w:r>
          </w:p>
        </w:tc>
        <w:tc>
          <w:tcPr>
            <w:tcW w:w="567" w:type="dxa"/>
            <w:shd w:val="clear" w:color="auto" w:fill="auto"/>
            <w:vAlign w:val="center"/>
          </w:tcPr>
          <w:p w14:paraId="5E4225D0"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13</w:t>
            </w:r>
          </w:p>
        </w:tc>
      </w:tr>
      <w:tr w:rsidR="007D4645" w:rsidRPr="00BD1319" w14:paraId="3C0CF494" w14:textId="77777777" w:rsidTr="00397D08">
        <w:trPr>
          <w:trHeight w:val="407"/>
          <w:jc w:val="center"/>
        </w:trPr>
        <w:tc>
          <w:tcPr>
            <w:cnfStyle w:val="001000000000" w:firstRow="0" w:lastRow="0" w:firstColumn="1" w:lastColumn="0" w:oddVBand="0" w:evenVBand="0" w:oddHBand="0" w:evenHBand="0" w:firstRowFirstColumn="0" w:firstRowLastColumn="0" w:lastRowFirstColumn="0" w:lastRowLastColumn="0"/>
            <w:tcW w:w="1134" w:type="dxa"/>
            <w:shd w:val="clear" w:color="auto" w:fill="auto"/>
            <w:vAlign w:val="center"/>
            <w:hideMark/>
          </w:tcPr>
          <w:p w14:paraId="77F51E1C" w14:textId="77777777" w:rsidR="007D4645" w:rsidRPr="00BD1319" w:rsidRDefault="007D4645" w:rsidP="003B7DBA">
            <w:pPr>
              <w:rPr>
                <w:rFonts w:eastAsia="Times New Roman" w:cs="Arial"/>
                <w:b w:val="0"/>
                <w:bCs w:val="0"/>
                <w:color w:val="000000"/>
                <w:sz w:val="16"/>
                <w:szCs w:val="16"/>
                <w:lang w:val="es-CO" w:eastAsia="es-MX"/>
              </w:rPr>
            </w:pPr>
            <w:r w:rsidRPr="00BD1319">
              <w:rPr>
                <w:rFonts w:cs="Arial"/>
                <w:color w:val="000000"/>
                <w:sz w:val="16"/>
                <w:szCs w:val="16"/>
              </w:rPr>
              <w:t>Criterio de síntesis único</w:t>
            </w:r>
          </w:p>
        </w:tc>
        <w:tc>
          <w:tcPr>
            <w:tcW w:w="1276" w:type="dxa"/>
            <w:shd w:val="clear" w:color="auto" w:fill="auto"/>
            <w:vAlign w:val="center"/>
          </w:tcPr>
          <w:p w14:paraId="119108DE" w14:textId="77777777" w:rsidR="007D4645" w:rsidRPr="00BD1319" w:rsidRDefault="007D4645" w:rsidP="003B7DBA">
            <w:pP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n-US" w:eastAsia="es-MX"/>
              </w:rPr>
            </w:pPr>
            <w:r w:rsidRPr="00BD1319">
              <w:rPr>
                <w:rFonts w:cs="Arial"/>
                <w:color w:val="000000"/>
                <w:sz w:val="16"/>
                <w:szCs w:val="16"/>
                <w:lang w:val="en-US" w:eastAsia="es-MX"/>
              </w:rPr>
              <w:t>MAVT (multi-attribute value theory)</w:t>
            </w:r>
          </w:p>
        </w:tc>
        <w:tc>
          <w:tcPr>
            <w:tcW w:w="3686" w:type="dxa"/>
            <w:shd w:val="clear" w:color="auto" w:fill="auto"/>
            <w:vAlign w:val="center"/>
            <w:hideMark/>
          </w:tcPr>
          <w:p w14:paraId="040DE752" w14:textId="77777777" w:rsidR="007D4645" w:rsidRPr="00BD1319" w:rsidRDefault="007D4645" w:rsidP="003B7DBA">
            <w:pP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 xml:space="preserve">Agregación de los valores obtenidos evaluando funciones de valor parcial en cada criterio para establecer una función de valor global V. Bajo </w:t>
            </w:r>
            <w:r w:rsidRPr="00BD1319">
              <w:rPr>
                <w:rFonts w:cs="Arial"/>
                <w:color w:val="000000"/>
                <w:sz w:val="16"/>
                <w:szCs w:val="16"/>
                <w:lang w:eastAsia="es-MX"/>
              </w:rPr>
              <w:lastRenderedPageBreak/>
              <w:t>algunas condiciones, dicha V puede obtenerse de forma aditiva, multiplicativa o mixta</w:t>
            </w:r>
          </w:p>
        </w:tc>
        <w:tc>
          <w:tcPr>
            <w:tcW w:w="992" w:type="dxa"/>
            <w:shd w:val="clear" w:color="auto" w:fill="auto"/>
            <w:vAlign w:val="center"/>
            <w:hideMark/>
          </w:tcPr>
          <w:p w14:paraId="246FF0E2"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lastRenderedPageBreak/>
              <w:t>Compensación</w:t>
            </w:r>
          </w:p>
        </w:tc>
        <w:tc>
          <w:tcPr>
            <w:tcW w:w="1134" w:type="dxa"/>
            <w:shd w:val="clear" w:color="auto" w:fill="auto"/>
            <w:vAlign w:val="center"/>
            <w:hideMark/>
          </w:tcPr>
          <w:p w14:paraId="7578DB80"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rPr>
              <w:t>{P, I}</w:t>
            </w:r>
          </w:p>
        </w:tc>
        <w:tc>
          <w:tcPr>
            <w:tcW w:w="992" w:type="dxa"/>
            <w:shd w:val="clear" w:color="auto" w:fill="auto"/>
            <w:vAlign w:val="center"/>
            <w:hideMark/>
          </w:tcPr>
          <w:p w14:paraId="3889AFB1"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rPr>
              <w:t>Elección</w:t>
            </w:r>
          </w:p>
        </w:tc>
        <w:tc>
          <w:tcPr>
            <w:tcW w:w="453" w:type="dxa"/>
            <w:shd w:val="clear" w:color="auto" w:fill="auto"/>
            <w:vAlign w:val="center"/>
            <w:hideMark/>
          </w:tcPr>
          <w:p w14:paraId="1525EC40"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p>
        </w:tc>
        <w:tc>
          <w:tcPr>
            <w:tcW w:w="454" w:type="dxa"/>
            <w:shd w:val="clear" w:color="auto" w:fill="auto"/>
            <w:vAlign w:val="center"/>
            <w:hideMark/>
          </w:tcPr>
          <w:p w14:paraId="6AE509A5"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X</w:t>
            </w:r>
          </w:p>
        </w:tc>
        <w:tc>
          <w:tcPr>
            <w:tcW w:w="453" w:type="dxa"/>
            <w:shd w:val="clear" w:color="auto" w:fill="auto"/>
            <w:vAlign w:val="center"/>
            <w:hideMark/>
          </w:tcPr>
          <w:p w14:paraId="6FAFFA32"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p>
        </w:tc>
        <w:tc>
          <w:tcPr>
            <w:tcW w:w="454" w:type="dxa"/>
            <w:shd w:val="clear" w:color="auto" w:fill="auto"/>
            <w:vAlign w:val="center"/>
            <w:hideMark/>
          </w:tcPr>
          <w:p w14:paraId="4D1E48B9"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X</w:t>
            </w:r>
          </w:p>
        </w:tc>
        <w:tc>
          <w:tcPr>
            <w:tcW w:w="454" w:type="dxa"/>
            <w:shd w:val="clear" w:color="auto" w:fill="auto"/>
            <w:vAlign w:val="center"/>
            <w:hideMark/>
          </w:tcPr>
          <w:p w14:paraId="1DD8C517"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p>
        </w:tc>
        <w:tc>
          <w:tcPr>
            <w:tcW w:w="992" w:type="dxa"/>
            <w:shd w:val="clear" w:color="auto" w:fill="auto"/>
            <w:vAlign w:val="center"/>
            <w:hideMark/>
          </w:tcPr>
          <w:p w14:paraId="200DBBB4"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Parcial</w:t>
            </w:r>
          </w:p>
        </w:tc>
        <w:tc>
          <w:tcPr>
            <w:tcW w:w="993" w:type="dxa"/>
            <w:shd w:val="clear" w:color="auto" w:fill="auto"/>
            <w:vAlign w:val="center"/>
            <w:hideMark/>
          </w:tcPr>
          <w:p w14:paraId="49E6B2A5"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proofErr w:type="spellStart"/>
            <w:r w:rsidRPr="00BD1319">
              <w:rPr>
                <w:rFonts w:cs="Arial"/>
                <w:color w:val="000000"/>
                <w:sz w:val="16"/>
                <w:szCs w:val="16"/>
                <w:lang w:eastAsia="es-MX"/>
              </w:rPr>
              <w:t>ind</w:t>
            </w:r>
            <w:proofErr w:type="spellEnd"/>
            <w:r w:rsidRPr="00BD1319">
              <w:rPr>
                <w:rFonts w:cs="Arial"/>
                <w:color w:val="000000"/>
                <w:sz w:val="16"/>
                <w:szCs w:val="16"/>
                <w:lang w:eastAsia="es-MX"/>
              </w:rPr>
              <w:t xml:space="preserve">., inv., </w:t>
            </w:r>
            <w:proofErr w:type="spellStart"/>
            <w:r w:rsidRPr="00BD1319">
              <w:rPr>
                <w:rFonts w:cs="Arial"/>
                <w:color w:val="000000"/>
                <w:sz w:val="16"/>
                <w:szCs w:val="16"/>
                <w:lang w:eastAsia="es-MX"/>
              </w:rPr>
              <w:t>tran</w:t>
            </w:r>
            <w:proofErr w:type="spellEnd"/>
            <w:r w:rsidRPr="00BD1319">
              <w:rPr>
                <w:rFonts w:cs="Arial"/>
                <w:color w:val="000000"/>
                <w:sz w:val="16"/>
                <w:szCs w:val="16"/>
                <w:lang w:eastAsia="es-MX"/>
              </w:rPr>
              <w:t>., dom.</w:t>
            </w:r>
          </w:p>
        </w:tc>
        <w:tc>
          <w:tcPr>
            <w:tcW w:w="1134" w:type="dxa"/>
            <w:shd w:val="clear" w:color="auto" w:fill="auto"/>
            <w:vAlign w:val="center"/>
            <w:hideMark/>
          </w:tcPr>
          <w:p w14:paraId="32603E02"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 xml:space="preserve">Agregación de valor (suma o </w:t>
            </w:r>
            <w:r w:rsidRPr="00BD1319">
              <w:rPr>
                <w:rFonts w:cs="Arial"/>
                <w:color w:val="000000"/>
                <w:sz w:val="16"/>
                <w:szCs w:val="16"/>
                <w:lang w:eastAsia="es-MX"/>
              </w:rPr>
              <w:lastRenderedPageBreak/>
              <w:t>multiplicación)</w:t>
            </w:r>
          </w:p>
        </w:tc>
        <w:tc>
          <w:tcPr>
            <w:tcW w:w="567" w:type="dxa"/>
            <w:shd w:val="clear" w:color="auto" w:fill="auto"/>
            <w:vAlign w:val="center"/>
          </w:tcPr>
          <w:p w14:paraId="313792F1"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lastRenderedPageBreak/>
              <w:t>15, 16</w:t>
            </w:r>
          </w:p>
        </w:tc>
      </w:tr>
      <w:tr w:rsidR="000D468E" w:rsidRPr="00BD1319" w14:paraId="455470FC" w14:textId="77777777" w:rsidTr="00397D08">
        <w:trPr>
          <w:cnfStyle w:val="000000100000" w:firstRow="0" w:lastRow="0" w:firstColumn="0" w:lastColumn="0" w:oddVBand="0" w:evenVBand="0" w:oddHBand="1" w:evenHBand="0" w:firstRowFirstColumn="0" w:firstRowLastColumn="0" w:lastRowFirstColumn="0" w:lastRowLastColumn="0"/>
          <w:trHeight w:val="600"/>
          <w:jc w:val="center"/>
        </w:trPr>
        <w:tc>
          <w:tcPr>
            <w:cnfStyle w:val="001000000000" w:firstRow="0" w:lastRow="0" w:firstColumn="1" w:lastColumn="0" w:oddVBand="0" w:evenVBand="0" w:oddHBand="0" w:evenHBand="0" w:firstRowFirstColumn="0" w:firstRowLastColumn="0" w:lastRowFirstColumn="0" w:lastRowLastColumn="0"/>
            <w:tcW w:w="1134" w:type="dxa"/>
            <w:shd w:val="clear" w:color="auto" w:fill="auto"/>
            <w:vAlign w:val="center"/>
            <w:hideMark/>
          </w:tcPr>
          <w:p w14:paraId="580FA11D" w14:textId="77777777" w:rsidR="007D4645" w:rsidRPr="00BD1319" w:rsidRDefault="007D4645" w:rsidP="003B7DBA">
            <w:pPr>
              <w:rPr>
                <w:rFonts w:eastAsia="Times New Roman" w:cs="Arial"/>
                <w:b w:val="0"/>
                <w:bCs w:val="0"/>
                <w:color w:val="000000"/>
                <w:sz w:val="16"/>
                <w:szCs w:val="16"/>
                <w:lang w:val="es-CO" w:eastAsia="es-MX"/>
              </w:rPr>
            </w:pPr>
            <w:r w:rsidRPr="00BD1319">
              <w:rPr>
                <w:rFonts w:cs="Arial"/>
                <w:color w:val="000000"/>
                <w:sz w:val="16"/>
                <w:szCs w:val="16"/>
              </w:rPr>
              <w:t>Criterio de síntesis único</w:t>
            </w:r>
          </w:p>
        </w:tc>
        <w:tc>
          <w:tcPr>
            <w:tcW w:w="1276" w:type="dxa"/>
            <w:shd w:val="clear" w:color="auto" w:fill="auto"/>
            <w:vAlign w:val="center"/>
          </w:tcPr>
          <w:p w14:paraId="6AA4BD15" w14:textId="77777777" w:rsidR="007D4645" w:rsidRPr="00BD1319" w:rsidRDefault="007D4645" w:rsidP="003B7DBA">
            <w:pP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UTA (</w:t>
            </w:r>
            <w:proofErr w:type="spellStart"/>
            <w:r w:rsidRPr="00BD1319">
              <w:rPr>
                <w:rFonts w:cs="Arial"/>
                <w:color w:val="000000"/>
                <w:sz w:val="16"/>
                <w:szCs w:val="16"/>
                <w:lang w:eastAsia="es-MX"/>
              </w:rPr>
              <w:t>utility</w:t>
            </w:r>
            <w:proofErr w:type="spellEnd"/>
            <w:r w:rsidRPr="00BD1319">
              <w:rPr>
                <w:rFonts w:cs="Arial"/>
                <w:color w:val="000000"/>
                <w:sz w:val="16"/>
                <w:szCs w:val="16"/>
                <w:lang w:eastAsia="es-MX"/>
              </w:rPr>
              <w:t xml:space="preserve"> </w:t>
            </w:r>
            <w:proofErr w:type="spellStart"/>
            <w:r w:rsidRPr="00BD1319">
              <w:rPr>
                <w:rFonts w:cs="Arial"/>
                <w:color w:val="000000"/>
                <w:sz w:val="16"/>
                <w:szCs w:val="16"/>
                <w:lang w:eastAsia="es-MX"/>
              </w:rPr>
              <w:t>theory</w:t>
            </w:r>
            <w:proofErr w:type="spellEnd"/>
            <w:r w:rsidRPr="00BD1319">
              <w:rPr>
                <w:rFonts w:cs="Arial"/>
                <w:color w:val="000000"/>
                <w:sz w:val="16"/>
                <w:szCs w:val="16"/>
                <w:lang w:eastAsia="es-MX"/>
              </w:rPr>
              <w:t xml:space="preserve"> </w:t>
            </w:r>
            <w:proofErr w:type="spellStart"/>
            <w:r w:rsidRPr="00BD1319">
              <w:rPr>
                <w:rFonts w:cs="Arial"/>
                <w:color w:val="000000"/>
                <w:sz w:val="16"/>
                <w:szCs w:val="16"/>
                <w:lang w:eastAsia="es-MX"/>
              </w:rPr>
              <w:t>additive</w:t>
            </w:r>
            <w:proofErr w:type="spellEnd"/>
            <w:r w:rsidRPr="00BD1319">
              <w:rPr>
                <w:rFonts w:cs="Arial"/>
                <w:color w:val="000000"/>
                <w:sz w:val="16"/>
                <w:szCs w:val="16"/>
                <w:lang w:eastAsia="es-MX"/>
              </w:rPr>
              <w:t>)</w:t>
            </w:r>
          </w:p>
        </w:tc>
        <w:tc>
          <w:tcPr>
            <w:tcW w:w="3686" w:type="dxa"/>
            <w:shd w:val="clear" w:color="auto" w:fill="auto"/>
            <w:vAlign w:val="center"/>
            <w:hideMark/>
          </w:tcPr>
          <w:p w14:paraId="4CF6CFE1" w14:textId="77777777" w:rsidR="007D4645" w:rsidRPr="00BD1319" w:rsidRDefault="007D4645" w:rsidP="003B7DBA">
            <w:pP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Estimar las funciones de valor de cada criterio mediante regresión ordinal. La función de valor global se obtiene de forma aditiva</w:t>
            </w:r>
          </w:p>
        </w:tc>
        <w:tc>
          <w:tcPr>
            <w:tcW w:w="992" w:type="dxa"/>
            <w:shd w:val="clear" w:color="auto" w:fill="auto"/>
            <w:vAlign w:val="center"/>
            <w:hideMark/>
          </w:tcPr>
          <w:p w14:paraId="3391D13E"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Compensación</w:t>
            </w:r>
          </w:p>
        </w:tc>
        <w:tc>
          <w:tcPr>
            <w:tcW w:w="1134" w:type="dxa"/>
            <w:shd w:val="clear" w:color="auto" w:fill="auto"/>
            <w:vAlign w:val="center"/>
            <w:hideMark/>
          </w:tcPr>
          <w:p w14:paraId="7C14FD94"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rPr>
              <w:t>{P, I}</w:t>
            </w:r>
          </w:p>
        </w:tc>
        <w:tc>
          <w:tcPr>
            <w:tcW w:w="992" w:type="dxa"/>
            <w:shd w:val="clear" w:color="auto" w:fill="auto"/>
            <w:vAlign w:val="center"/>
            <w:hideMark/>
          </w:tcPr>
          <w:p w14:paraId="4C511099"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rPr>
              <w:t>Elección</w:t>
            </w:r>
          </w:p>
        </w:tc>
        <w:tc>
          <w:tcPr>
            <w:tcW w:w="453" w:type="dxa"/>
            <w:shd w:val="clear" w:color="auto" w:fill="auto"/>
            <w:vAlign w:val="center"/>
            <w:hideMark/>
          </w:tcPr>
          <w:p w14:paraId="5CF6A4E8"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X</w:t>
            </w:r>
          </w:p>
        </w:tc>
        <w:tc>
          <w:tcPr>
            <w:tcW w:w="454" w:type="dxa"/>
            <w:shd w:val="clear" w:color="auto" w:fill="auto"/>
            <w:vAlign w:val="center"/>
            <w:hideMark/>
          </w:tcPr>
          <w:p w14:paraId="7D2144A0"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p>
        </w:tc>
        <w:tc>
          <w:tcPr>
            <w:tcW w:w="453" w:type="dxa"/>
            <w:shd w:val="clear" w:color="auto" w:fill="auto"/>
            <w:vAlign w:val="center"/>
            <w:hideMark/>
          </w:tcPr>
          <w:p w14:paraId="0052A0FF"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val="es-CO" w:eastAsia="es-MX"/>
              </w:rPr>
            </w:pPr>
          </w:p>
        </w:tc>
        <w:tc>
          <w:tcPr>
            <w:tcW w:w="454" w:type="dxa"/>
            <w:shd w:val="clear" w:color="auto" w:fill="auto"/>
            <w:vAlign w:val="center"/>
            <w:hideMark/>
          </w:tcPr>
          <w:p w14:paraId="7CF6F547"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X</w:t>
            </w:r>
          </w:p>
        </w:tc>
        <w:tc>
          <w:tcPr>
            <w:tcW w:w="454" w:type="dxa"/>
            <w:shd w:val="clear" w:color="auto" w:fill="auto"/>
            <w:vAlign w:val="center"/>
            <w:hideMark/>
          </w:tcPr>
          <w:p w14:paraId="292CB02A"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p>
        </w:tc>
        <w:tc>
          <w:tcPr>
            <w:tcW w:w="992" w:type="dxa"/>
            <w:shd w:val="clear" w:color="auto" w:fill="auto"/>
            <w:vAlign w:val="center"/>
            <w:hideMark/>
          </w:tcPr>
          <w:p w14:paraId="326EF76D"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Parcial</w:t>
            </w:r>
          </w:p>
        </w:tc>
        <w:tc>
          <w:tcPr>
            <w:tcW w:w="993" w:type="dxa"/>
            <w:shd w:val="clear" w:color="auto" w:fill="auto"/>
            <w:vAlign w:val="center"/>
            <w:hideMark/>
          </w:tcPr>
          <w:p w14:paraId="6616E4F7"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proofErr w:type="spellStart"/>
            <w:r w:rsidRPr="00BD1319">
              <w:rPr>
                <w:rFonts w:cs="Arial"/>
                <w:color w:val="000000"/>
                <w:sz w:val="16"/>
                <w:szCs w:val="16"/>
                <w:lang w:eastAsia="es-MX"/>
              </w:rPr>
              <w:t>ind</w:t>
            </w:r>
            <w:proofErr w:type="spellEnd"/>
            <w:r w:rsidRPr="00BD1319">
              <w:rPr>
                <w:rFonts w:cs="Arial"/>
                <w:color w:val="000000"/>
                <w:sz w:val="16"/>
                <w:szCs w:val="16"/>
                <w:lang w:eastAsia="es-MX"/>
              </w:rPr>
              <w:t xml:space="preserve">., inv., </w:t>
            </w:r>
            <w:proofErr w:type="spellStart"/>
            <w:r w:rsidRPr="00BD1319">
              <w:rPr>
                <w:rFonts w:cs="Arial"/>
                <w:color w:val="000000"/>
                <w:sz w:val="16"/>
                <w:szCs w:val="16"/>
                <w:lang w:eastAsia="es-MX"/>
              </w:rPr>
              <w:t>tran</w:t>
            </w:r>
            <w:proofErr w:type="spellEnd"/>
            <w:r w:rsidRPr="00BD1319">
              <w:rPr>
                <w:rFonts w:cs="Arial"/>
                <w:color w:val="000000"/>
                <w:sz w:val="16"/>
                <w:szCs w:val="16"/>
                <w:lang w:eastAsia="es-MX"/>
              </w:rPr>
              <w:t>., dom.</w:t>
            </w:r>
          </w:p>
        </w:tc>
        <w:tc>
          <w:tcPr>
            <w:tcW w:w="1134" w:type="dxa"/>
            <w:shd w:val="clear" w:color="auto" w:fill="auto"/>
            <w:vAlign w:val="center"/>
            <w:hideMark/>
          </w:tcPr>
          <w:p w14:paraId="175AC5CE"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Agregación de valor (suma)</w:t>
            </w:r>
          </w:p>
        </w:tc>
        <w:tc>
          <w:tcPr>
            <w:tcW w:w="567" w:type="dxa"/>
            <w:shd w:val="clear" w:color="auto" w:fill="auto"/>
            <w:vAlign w:val="center"/>
          </w:tcPr>
          <w:p w14:paraId="10631CCC"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14</w:t>
            </w:r>
          </w:p>
        </w:tc>
      </w:tr>
      <w:tr w:rsidR="007D4645" w:rsidRPr="00BD1319" w14:paraId="6F5B5359" w14:textId="77777777" w:rsidTr="00397D08">
        <w:trPr>
          <w:trHeight w:val="600"/>
          <w:jc w:val="center"/>
        </w:trPr>
        <w:tc>
          <w:tcPr>
            <w:cnfStyle w:val="001000000000" w:firstRow="0" w:lastRow="0" w:firstColumn="1" w:lastColumn="0" w:oddVBand="0" w:evenVBand="0" w:oddHBand="0" w:evenHBand="0" w:firstRowFirstColumn="0" w:firstRowLastColumn="0" w:lastRowFirstColumn="0" w:lastRowLastColumn="0"/>
            <w:tcW w:w="1134" w:type="dxa"/>
            <w:shd w:val="clear" w:color="auto" w:fill="auto"/>
            <w:vAlign w:val="center"/>
            <w:hideMark/>
          </w:tcPr>
          <w:p w14:paraId="537F5A33" w14:textId="77777777" w:rsidR="007D4645" w:rsidRPr="00BD1319" w:rsidRDefault="007D4645" w:rsidP="003B7DBA">
            <w:pPr>
              <w:rPr>
                <w:rFonts w:eastAsia="Times New Roman" w:cs="Arial"/>
                <w:b w:val="0"/>
                <w:bCs w:val="0"/>
                <w:color w:val="000000"/>
                <w:sz w:val="16"/>
                <w:szCs w:val="16"/>
                <w:lang w:val="es-CO" w:eastAsia="es-MX"/>
              </w:rPr>
            </w:pPr>
            <w:r w:rsidRPr="00BD1319">
              <w:rPr>
                <w:rFonts w:cs="Arial"/>
                <w:color w:val="000000"/>
                <w:sz w:val="16"/>
                <w:szCs w:val="16"/>
              </w:rPr>
              <w:t>Criterio de síntesis único</w:t>
            </w:r>
          </w:p>
        </w:tc>
        <w:tc>
          <w:tcPr>
            <w:tcW w:w="1276" w:type="dxa"/>
            <w:shd w:val="clear" w:color="auto" w:fill="auto"/>
            <w:vAlign w:val="center"/>
          </w:tcPr>
          <w:p w14:paraId="57B42A85" w14:textId="77777777" w:rsidR="007D4645" w:rsidRPr="00BD1319" w:rsidRDefault="007D4645" w:rsidP="003B7DBA">
            <w:pP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n-US" w:eastAsia="es-MX"/>
              </w:rPr>
            </w:pPr>
            <w:r w:rsidRPr="00BD1319">
              <w:rPr>
                <w:rFonts w:cs="Arial"/>
                <w:color w:val="000000"/>
                <w:sz w:val="16"/>
                <w:szCs w:val="16"/>
                <w:lang w:val="en-US" w:eastAsia="es-MX"/>
              </w:rPr>
              <w:t>SMART (simple multi-attribute rating technique)</w:t>
            </w:r>
          </w:p>
        </w:tc>
        <w:tc>
          <w:tcPr>
            <w:tcW w:w="3686" w:type="dxa"/>
            <w:shd w:val="clear" w:color="auto" w:fill="auto"/>
            <w:vAlign w:val="center"/>
            <w:hideMark/>
          </w:tcPr>
          <w:p w14:paraId="35D021E9" w14:textId="77777777" w:rsidR="007D4645" w:rsidRPr="00BD1319" w:rsidRDefault="007D4645" w:rsidP="003B7DBA">
            <w:pP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Una forma sencilla de implementar la teoría de la utilidad de atributos múltiples mediante el uso de promedios lineales ponderados, que brindan aproximaciones extremadamente cercanas a las funciones de utilidad. Hay muchas mejoras como SMARTS [37], SMARTER [36]</w:t>
            </w:r>
          </w:p>
        </w:tc>
        <w:tc>
          <w:tcPr>
            <w:tcW w:w="992" w:type="dxa"/>
            <w:shd w:val="clear" w:color="auto" w:fill="auto"/>
            <w:vAlign w:val="center"/>
            <w:hideMark/>
          </w:tcPr>
          <w:p w14:paraId="0CB1A936"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Compensación &amp; calificación</w:t>
            </w:r>
          </w:p>
        </w:tc>
        <w:tc>
          <w:tcPr>
            <w:tcW w:w="1134" w:type="dxa"/>
            <w:shd w:val="clear" w:color="auto" w:fill="auto"/>
            <w:vAlign w:val="center"/>
            <w:hideMark/>
          </w:tcPr>
          <w:p w14:paraId="16B52DA0"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rPr>
              <w:t>{P, I}</w:t>
            </w:r>
          </w:p>
        </w:tc>
        <w:tc>
          <w:tcPr>
            <w:tcW w:w="992" w:type="dxa"/>
            <w:shd w:val="clear" w:color="auto" w:fill="auto"/>
            <w:vAlign w:val="center"/>
            <w:hideMark/>
          </w:tcPr>
          <w:p w14:paraId="3FA3FEA9"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rPr>
              <w:t>Elección</w:t>
            </w:r>
          </w:p>
        </w:tc>
        <w:tc>
          <w:tcPr>
            <w:tcW w:w="453" w:type="dxa"/>
            <w:shd w:val="clear" w:color="auto" w:fill="auto"/>
            <w:vAlign w:val="center"/>
            <w:hideMark/>
          </w:tcPr>
          <w:p w14:paraId="116D6154"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p>
        </w:tc>
        <w:tc>
          <w:tcPr>
            <w:tcW w:w="454" w:type="dxa"/>
            <w:shd w:val="clear" w:color="auto" w:fill="auto"/>
            <w:vAlign w:val="center"/>
            <w:hideMark/>
          </w:tcPr>
          <w:p w14:paraId="2C3B9561"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X</w:t>
            </w:r>
          </w:p>
        </w:tc>
        <w:tc>
          <w:tcPr>
            <w:tcW w:w="453" w:type="dxa"/>
            <w:shd w:val="clear" w:color="auto" w:fill="auto"/>
            <w:vAlign w:val="center"/>
            <w:hideMark/>
          </w:tcPr>
          <w:p w14:paraId="04DE771E"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p>
        </w:tc>
        <w:tc>
          <w:tcPr>
            <w:tcW w:w="454" w:type="dxa"/>
            <w:shd w:val="clear" w:color="auto" w:fill="auto"/>
            <w:vAlign w:val="center"/>
            <w:hideMark/>
          </w:tcPr>
          <w:p w14:paraId="658C7B4F"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X</w:t>
            </w:r>
          </w:p>
        </w:tc>
        <w:tc>
          <w:tcPr>
            <w:tcW w:w="454" w:type="dxa"/>
            <w:shd w:val="clear" w:color="auto" w:fill="auto"/>
            <w:vAlign w:val="center"/>
            <w:hideMark/>
          </w:tcPr>
          <w:p w14:paraId="5963757E"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p>
        </w:tc>
        <w:tc>
          <w:tcPr>
            <w:tcW w:w="992" w:type="dxa"/>
            <w:shd w:val="clear" w:color="auto" w:fill="auto"/>
            <w:vAlign w:val="center"/>
            <w:hideMark/>
          </w:tcPr>
          <w:p w14:paraId="579F3CE9"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Parcial</w:t>
            </w:r>
          </w:p>
        </w:tc>
        <w:tc>
          <w:tcPr>
            <w:tcW w:w="993" w:type="dxa"/>
            <w:shd w:val="clear" w:color="auto" w:fill="auto"/>
            <w:vAlign w:val="center"/>
            <w:hideMark/>
          </w:tcPr>
          <w:p w14:paraId="12F0A431"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n-US" w:eastAsia="es-MX"/>
              </w:rPr>
            </w:pPr>
            <w:r w:rsidRPr="00BD1319">
              <w:rPr>
                <w:rFonts w:cs="Arial"/>
                <w:color w:val="000000"/>
                <w:sz w:val="16"/>
                <w:szCs w:val="16"/>
                <w:lang w:val="en-US" w:eastAsia="es-MX"/>
              </w:rPr>
              <w:t xml:space="preserve">ind., com., inv., </w:t>
            </w:r>
            <w:proofErr w:type="spellStart"/>
            <w:r w:rsidRPr="00BD1319">
              <w:rPr>
                <w:rFonts w:cs="Arial"/>
                <w:color w:val="000000"/>
                <w:sz w:val="16"/>
                <w:szCs w:val="16"/>
                <w:lang w:val="en-US" w:eastAsia="es-MX"/>
              </w:rPr>
              <w:t>tran</w:t>
            </w:r>
            <w:proofErr w:type="spellEnd"/>
            <w:r w:rsidRPr="00BD1319">
              <w:rPr>
                <w:rFonts w:cs="Arial"/>
                <w:color w:val="000000"/>
                <w:sz w:val="16"/>
                <w:szCs w:val="16"/>
                <w:lang w:val="en-US" w:eastAsia="es-MX"/>
              </w:rPr>
              <w:t>., dom.</w:t>
            </w:r>
          </w:p>
        </w:tc>
        <w:tc>
          <w:tcPr>
            <w:tcW w:w="1134" w:type="dxa"/>
            <w:shd w:val="clear" w:color="auto" w:fill="auto"/>
            <w:vAlign w:val="center"/>
            <w:hideMark/>
          </w:tcPr>
          <w:p w14:paraId="34D7B4B5"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Agregación de valor (suma)</w:t>
            </w:r>
          </w:p>
        </w:tc>
        <w:tc>
          <w:tcPr>
            <w:tcW w:w="567" w:type="dxa"/>
            <w:shd w:val="clear" w:color="auto" w:fill="auto"/>
            <w:vAlign w:val="center"/>
          </w:tcPr>
          <w:p w14:paraId="523C537A"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10, 11, 23</w:t>
            </w:r>
          </w:p>
        </w:tc>
      </w:tr>
      <w:tr w:rsidR="000D468E" w:rsidRPr="00BD1319" w14:paraId="0FEC78AF" w14:textId="77777777" w:rsidTr="00397D08">
        <w:trPr>
          <w:cnfStyle w:val="000000100000" w:firstRow="0" w:lastRow="0" w:firstColumn="0" w:lastColumn="0" w:oddVBand="0" w:evenVBand="0" w:oddHBand="1" w:evenHBand="0" w:firstRowFirstColumn="0" w:firstRowLastColumn="0" w:lastRowFirstColumn="0" w:lastRowLastColumn="0"/>
          <w:trHeight w:val="600"/>
          <w:jc w:val="center"/>
        </w:trPr>
        <w:tc>
          <w:tcPr>
            <w:cnfStyle w:val="001000000000" w:firstRow="0" w:lastRow="0" w:firstColumn="1" w:lastColumn="0" w:oddVBand="0" w:evenVBand="0" w:oddHBand="0" w:evenHBand="0" w:firstRowFirstColumn="0" w:firstRowLastColumn="0" w:lastRowFirstColumn="0" w:lastRowLastColumn="0"/>
            <w:tcW w:w="1134" w:type="dxa"/>
            <w:shd w:val="clear" w:color="auto" w:fill="auto"/>
            <w:vAlign w:val="center"/>
            <w:hideMark/>
          </w:tcPr>
          <w:p w14:paraId="1D9969FB" w14:textId="77777777" w:rsidR="007D4645" w:rsidRPr="00BD1319" w:rsidRDefault="007D4645" w:rsidP="003B7DBA">
            <w:pPr>
              <w:rPr>
                <w:rFonts w:eastAsia="Times New Roman" w:cs="Arial"/>
                <w:b w:val="0"/>
                <w:bCs w:val="0"/>
                <w:color w:val="000000"/>
                <w:sz w:val="16"/>
                <w:szCs w:val="16"/>
                <w:lang w:val="es-CO" w:eastAsia="es-MX"/>
              </w:rPr>
            </w:pPr>
            <w:r w:rsidRPr="00BD1319">
              <w:rPr>
                <w:rFonts w:cs="Arial"/>
                <w:color w:val="000000"/>
                <w:sz w:val="16"/>
                <w:szCs w:val="16"/>
              </w:rPr>
              <w:t>Criterio de síntesis único</w:t>
            </w:r>
          </w:p>
        </w:tc>
        <w:tc>
          <w:tcPr>
            <w:tcW w:w="1276" w:type="dxa"/>
            <w:shd w:val="clear" w:color="auto" w:fill="auto"/>
            <w:vAlign w:val="center"/>
          </w:tcPr>
          <w:p w14:paraId="21838459" w14:textId="77777777" w:rsidR="007D4645" w:rsidRPr="00BD1319" w:rsidRDefault="007D4645" w:rsidP="003B7DBA">
            <w:pP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n-US" w:eastAsia="es-MX"/>
              </w:rPr>
            </w:pPr>
            <w:r w:rsidRPr="00BD1319">
              <w:rPr>
                <w:rFonts w:cs="Arial"/>
                <w:color w:val="000000"/>
                <w:sz w:val="16"/>
                <w:szCs w:val="16"/>
                <w:lang w:val="en-US" w:eastAsia="es-MX"/>
              </w:rPr>
              <w:t>MAUT (multi-attribute utility theory)</w:t>
            </w:r>
          </w:p>
        </w:tc>
        <w:tc>
          <w:tcPr>
            <w:tcW w:w="3686" w:type="dxa"/>
            <w:shd w:val="clear" w:color="auto" w:fill="auto"/>
            <w:vAlign w:val="center"/>
            <w:hideMark/>
          </w:tcPr>
          <w:p w14:paraId="4D790CB8" w14:textId="77777777" w:rsidR="007D4645" w:rsidRPr="00BD1319" w:rsidRDefault="007D4645" w:rsidP="003B7DBA">
            <w:pP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Agregación de los valores obtenidos al evaluar funciones de utilidad parcial en cada criterio para establecer una función de utilidad global U. Bajo algunas condiciones, U puede obtenerse de manera aditiva, multiplicativa o distributiva</w:t>
            </w:r>
          </w:p>
        </w:tc>
        <w:tc>
          <w:tcPr>
            <w:tcW w:w="992" w:type="dxa"/>
            <w:shd w:val="clear" w:color="auto" w:fill="auto"/>
            <w:vAlign w:val="center"/>
            <w:hideMark/>
          </w:tcPr>
          <w:p w14:paraId="37E9C623"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Compensación &amp; lotería</w:t>
            </w:r>
          </w:p>
        </w:tc>
        <w:tc>
          <w:tcPr>
            <w:tcW w:w="1134" w:type="dxa"/>
            <w:shd w:val="clear" w:color="auto" w:fill="auto"/>
            <w:vAlign w:val="center"/>
            <w:hideMark/>
          </w:tcPr>
          <w:p w14:paraId="1E62F7A5"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rPr>
              <w:t>{P, I}</w:t>
            </w:r>
          </w:p>
        </w:tc>
        <w:tc>
          <w:tcPr>
            <w:tcW w:w="992" w:type="dxa"/>
            <w:shd w:val="clear" w:color="auto" w:fill="auto"/>
            <w:vAlign w:val="center"/>
            <w:hideMark/>
          </w:tcPr>
          <w:p w14:paraId="55C340FE"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rPr>
              <w:t>Elección</w:t>
            </w:r>
          </w:p>
        </w:tc>
        <w:tc>
          <w:tcPr>
            <w:tcW w:w="453" w:type="dxa"/>
            <w:shd w:val="clear" w:color="auto" w:fill="auto"/>
            <w:vAlign w:val="center"/>
            <w:hideMark/>
          </w:tcPr>
          <w:p w14:paraId="3EA13820"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p>
        </w:tc>
        <w:tc>
          <w:tcPr>
            <w:tcW w:w="454" w:type="dxa"/>
            <w:shd w:val="clear" w:color="auto" w:fill="auto"/>
            <w:vAlign w:val="center"/>
            <w:hideMark/>
          </w:tcPr>
          <w:p w14:paraId="49F2F406"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X</w:t>
            </w:r>
          </w:p>
        </w:tc>
        <w:tc>
          <w:tcPr>
            <w:tcW w:w="453" w:type="dxa"/>
            <w:shd w:val="clear" w:color="auto" w:fill="auto"/>
            <w:vAlign w:val="center"/>
            <w:hideMark/>
          </w:tcPr>
          <w:p w14:paraId="08886033"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p>
        </w:tc>
        <w:tc>
          <w:tcPr>
            <w:tcW w:w="454" w:type="dxa"/>
            <w:shd w:val="clear" w:color="auto" w:fill="auto"/>
            <w:vAlign w:val="center"/>
            <w:hideMark/>
          </w:tcPr>
          <w:p w14:paraId="72DF4C15"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val="es-CO" w:eastAsia="es-MX"/>
              </w:rPr>
            </w:pPr>
          </w:p>
        </w:tc>
        <w:tc>
          <w:tcPr>
            <w:tcW w:w="454" w:type="dxa"/>
            <w:shd w:val="clear" w:color="auto" w:fill="auto"/>
            <w:vAlign w:val="center"/>
            <w:hideMark/>
          </w:tcPr>
          <w:p w14:paraId="7B76AD5F"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X</w:t>
            </w:r>
          </w:p>
        </w:tc>
        <w:tc>
          <w:tcPr>
            <w:tcW w:w="992" w:type="dxa"/>
            <w:shd w:val="clear" w:color="auto" w:fill="auto"/>
            <w:vAlign w:val="center"/>
            <w:hideMark/>
          </w:tcPr>
          <w:p w14:paraId="12E61D82"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Parcial</w:t>
            </w:r>
          </w:p>
        </w:tc>
        <w:tc>
          <w:tcPr>
            <w:tcW w:w="993" w:type="dxa"/>
            <w:shd w:val="clear" w:color="auto" w:fill="auto"/>
            <w:vAlign w:val="center"/>
            <w:hideMark/>
          </w:tcPr>
          <w:p w14:paraId="2106D1C8"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proofErr w:type="spellStart"/>
            <w:r w:rsidRPr="00BD1319">
              <w:rPr>
                <w:rFonts w:cs="Arial"/>
                <w:color w:val="000000"/>
                <w:sz w:val="16"/>
                <w:szCs w:val="16"/>
                <w:lang w:eastAsia="es-MX"/>
              </w:rPr>
              <w:t>ind</w:t>
            </w:r>
            <w:proofErr w:type="spellEnd"/>
            <w:r w:rsidRPr="00BD1319">
              <w:rPr>
                <w:rFonts w:cs="Arial"/>
                <w:color w:val="000000"/>
                <w:sz w:val="16"/>
                <w:szCs w:val="16"/>
                <w:lang w:eastAsia="es-MX"/>
              </w:rPr>
              <w:t xml:space="preserve">., inv., </w:t>
            </w:r>
            <w:proofErr w:type="spellStart"/>
            <w:r w:rsidRPr="00BD1319">
              <w:rPr>
                <w:rFonts w:cs="Arial"/>
                <w:color w:val="000000"/>
                <w:sz w:val="16"/>
                <w:szCs w:val="16"/>
                <w:lang w:eastAsia="es-MX"/>
              </w:rPr>
              <w:t>tran</w:t>
            </w:r>
            <w:proofErr w:type="spellEnd"/>
            <w:r w:rsidRPr="00BD1319">
              <w:rPr>
                <w:rFonts w:cs="Arial"/>
                <w:color w:val="000000"/>
                <w:sz w:val="16"/>
                <w:szCs w:val="16"/>
                <w:lang w:eastAsia="es-MX"/>
              </w:rPr>
              <w:t>., dom.</w:t>
            </w:r>
          </w:p>
        </w:tc>
        <w:tc>
          <w:tcPr>
            <w:tcW w:w="1134" w:type="dxa"/>
            <w:shd w:val="clear" w:color="auto" w:fill="auto"/>
            <w:vAlign w:val="center"/>
            <w:hideMark/>
          </w:tcPr>
          <w:p w14:paraId="1DAA990F"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Agregación de utilidad (suma o multiplicación)</w:t>
            </w:r>
          </w:p>
        </w:tc>
        <w:tc>
          <w:tcPr>
            <w:tcW w:w="567" w:type="dxa"/>
            <w:shd w:val="clear" w:color="auto" w:fill="auto"/>
            <w:vAlign w:val="center"/>
          </w:tcPr>
          <w:p w14:paraId="34BE9F27"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5, 15, 33</w:t>
            </w:r>
          </w:p>
        </w:tc>
      </w:tr>
      <w:tr w:rsidR="007D4645" w:rsidRPr="00BD1319" w14:paraId="2A91ED9D" w14:textId="77777777" w:rsidTr="00397D08">
        <w:trPr>
          <w:trHeight w:val="600"/>
          <w:jc w:val="center"/>
        </w:trPr>
        <w:tc>
          <w:tcPr>
            <w:cnfStyle w:val="001000000000" w:firstRow="0" w:lastRow="0" w:firstColumn="1" w:lastColumn="0" w:oddVBand="0" w:evenVBand="0" w:oddHBand="0" w:evenHBand="0" w:firstRowFirstColumn="0" w:firstRowLastColumn="0" w:lastRowFirstColumn="0" w:lastRowLastColumn="0"/>
            <w:tcW w:w="1134" w:type="dxa"/>
            <w:shd w:val="clear" w:color="auto" w:fill="auto"/>
            <w:vAlign w:val="center"/>
            <w:hideMark/>
          </w:tcPr>
          <w:p w14:paraId="7DDE790F" w14:textId="77777777" w:rsidR="007D4645" w:rsidRPr="00BD1319" w:rsidRDefault="007D4645" w:rsidP="003B7DBA">
            <w:pPr>
              <w:rPr>
                <w:rFonts w:eastAsia="Times New Roman" w:cs="Arial"/>
                <w:b w:val="0"/>
                <w:bCs w:val="0"/>
                <w:color w:val="000000"/>
                <w:sz w:val="16"/>
                <w:szCs w:val="16"/>
                <w:lang w:val="es-CO" w:eastAsia="es-MX"/>
              </w:rPr>
            </w:pPr>
            <w:r w:rsidRPr="00BD1319">
              <w:rPr>
                <w:rFonts w:cs="Arial"/>
                <w:color w:val="000000"/>
                <w:sz w:val="16"/>
                <w:szCs w:val="16"/>
              </w:rPr>
              <w:t>Criterio de síntesis único</w:t>
            </w:r>
          </w:p>
        </w:tc>
        <w:tc>
          <w:tcPr>
            <w:tcW w:w="1276" w:type="dxa"/>
            <w:shd w:val="clear" w:color="auto" w:fill="auto"/>
            <w:vAlign w:val="center"/>
          </w:tcPr>
          <w:p w14:paraId="5AD72A16" w14:textId="77777777" w:rsidR="007D4645" w:rsidRPr="00BD1319" w:rsidRDefault="007D4645" w:rsidP="003B7DBA">
            <w:pP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AHP (</w:t>
            </w:r>
            <w:proofErr w:type="spellStart"/>
            <w:r w:rsidRPr="00BD1319">
              <w:rPr>
                <w:rFonts w:cs="Arial"/>
                <w:color w:val="000000"/>
                <w:sz w:val="16"/>
                <w:szCs w:val="16"/>
                <w:lang w:eastAsia="es-MX"/>
              </w:rPr>
              <w:t>analytic</w:t>
            </w:r>
            <w:proofErr w:type="spellEnd"/>
            <w:r w:rsidRPr="00BD1319">
              <w:rPr>
                <w:rFonts w:cs="Arial"/>
                <w:color w:val="000000"/>
                <w:sz w:val="16"/>
                <w:szCs w:val="16"/>
                <w:lang w:eastAsia="es-MX"/>
              </w:rPr>
              <w:t xml:space="preserve"> </w:t>
            </w:r>
            <w:proofErr w:type="spellStart"/>
            <w:r w:rsidRPr="00BD1319">
              <w:rPr>
                <w:rFonts w:cs="Arial"/>
                <w:color w:val="000000"/>
                <w:sz w:val="16"/>
                <w:szCs w:val="16"/>
                <w:lang w:eastAsia="es-MX"/>
              </w:rPr>
              <w:t>hierarchy</w:t>
            </w:r>
            <w:proofErr w:type="spellEnd"/>
            <w:r w:rsidRPr="00BD1319">
              <w:rPr>
                <w:rFonts w:cs="Arial"/>
                <w:color w:val="000000"/>
                <w:sz w:val="16"/>
                <w:szCs w:val="16"/>
                <w:lang w:eastAsia="es-MX"/>
              </w:rPr>
              <w:t xml:space="preserve"> </w:t>
            </w:r>
            <w:proofErr w:type="spellStart"/>
            <w:r w:rsidRPr="00BD1319">
              <w:rPr>
                <w:rFonts w:cs="Arial"/>
                <w:color w:val="000000"/>
                <w:sz w:val="16"/>
                <w:szCs w:val="16"/>
                <w:lang w:eastAsia="es-MX"/>
              </w:rPr>
              <w:t>process</w:t>
            </w:r>
            <w:proofErr w:type="spellEnd"/>
            <w:r w:rsidRPr="00BD1319">
              <w:rPr>
                <w:rFonts w:cs="Arial"/>
                <w:color w:val="000000"/>
                <w:sz w:val="16"/>
                <w:szCs w:val="16"/>
                <w:lang w:eastAsia="es-MX"/>
              </w:rPr>
              <w:t>)</w:t>
            </w:r>
          </w:p>
        </w:tc>
        <w:tc>
          <w:tcPr>
            <w:tcW w:w="3686" w:type="dxa"/>
            <w:shd w:val="clear" w:color="auto" w:fill="auto"/>
            <w:vAlign w:val="center"/>
            <w:hideMark/>
          </w:tcPr>
          <w:p w14:paraId="0B766EBA" w14:textId="77777777" w:rsidR="007D4645" w:rsidRPr="00BD1319" w:rsidRDefault="007D4645" w:rsidP="003B7DBA">
            <w:pP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Convertir evaluaciones subjetivas de importancia relativa en un conjunto de pesos. Esta técnica aplica la descomposición, los juicios comparativos sobre elementos comparativos y medidas de importancia relativa a través de matrices de comparación por pares que se recombinan en una calificación general de alternativas.</w:t>
            </w:r>
          </w:p>
        </w:tc>
        <w:tc>
          <w:tcPr>
            <w:tcW w:w="992" w:type="dxa"/>
            <w:shd w:val="clear" w:color="auto" w:fill="auto"/>
            <w:vAlign w:val="center"/>
            <w:hideMark/>
          </w:tcPr>
          <w:p w14:paraId="59829C27"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Comparación por pares</w:t>
            </w:r>
          </w:p>
        </w:tc>
        <w:tc>
          <w:tcPr>
            <w:tcW w:w="1134" w:type="dxa"/>
            <w:shd w:val="clear" w:color="auto" w:fill="auto"/>
            <w:vAlign w:val="center"/>
            <w:hideMark/>
          </w:tcPr>
          <w:p w14:paraId="02AD620F"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rPr>
              <w:t>{P, I}</w:t>
            </w:r>
          </w:p>
        </w:tc>
        <w:tc>
          <w:tcPr>
            <w:tcW w:w="992" w:type="dxa"/>
            <w:shd w:val="clear" w:color="auto" w:fill="auto"/>
            <w:vAlign w:val="center"/>
            <w:hideMark/>
          </w:tcPr>
          <w:p w14:paraId="50977D6A"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rPr>
              <w:t>Elección, Calificación</w:t>
            </w:r>
          </w:p>
        </w:tc>
        <w:tc>
          <w:tcPr>
            <w:tcW w:w="453" w:type="dxa"/>
            <w:shd w:val="clear" w:color="auto" w:fill="auto"/>
            <w:vAlign w:val="center"/>
            <w:hideMark/>
          </w:tcPr>
          <w:p w14:paraId="5EB32C8A"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p>
        </w:tc>
        <w:tc>
          <w:tcPr>
            <w:tcW w:w="454" w:type="dxa"/>
            <w:shd w:val="clear" w:color="auto" w:fill="auto"/>
            <w:vAlign w:val="center"/>
            <w:hideMark/>
          </w:tcPr>
          <w:p w14:paraId="1AC0A398"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X</w:t>
            </w:r>
          </w:p>
        </w:tc>
        <w:tc>
          <w:tcPr>
            <w:tcW w:w="453" w:type="dxa"/>
            <w:shd w:val="clear" w:color="auto" w:fill="auto"/>
            <w:vAlign w:val="center"/>
            <w:hideMark/>
          </w:tcPr>
          <w:p w14:paraId="6B50C28D"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p>
        </w:tc>
        <w:tc>
          <w:tcPr>
            <w:tcW w:w="454" w:type="dxa"/>
            <w:shd w:val="clear" w:color="auto" w:fill="auto"/>
            <w:vAlign w:val="center"/>
            <w:hideMark/>
          </w:tcPr>
          <w:p w14:paraId="14448E3E"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X</w:t>
            </w:r>
          </w:p>
        </w:tc>
        <w:tc>
          <w:tcPr>
            <w:tcW w:w="454" w:type="dxa"/>
            <w:shd w:val="clear" w:color="auto" w:fill="auto"/>
            <w:vAlign w:val="center"/>
            <w:hideMark/>
          </w:tcPr>
          <w:p w14:paraId="25118D1C"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X</w:t>
            </w:r>
          </w:p>
        </w:tc>
        <w:tc>
          <w:tcPr>
            <w:tcW w:w="992" w:type="dxa"/>
            <w:shd w:val="clear" w:color="auto" w:fill="auto"/>
            <w:vAlign w:val="center"/>
            <w:hideMark/>
          </w:tcPr>
          <w:p w14:paraId="2D5F2192"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Parcial</w:t>
            </w:r>
          </w:p>
        </w:tc>
        <w:tc>
          <w:tcPr>
            <w:tcW w:w="993" w:type="dxa"/>
            <w:shd w:val="clear" w:color="auto" w:fill="auto"/>
            <w:vAlign w:val="center"/>
            <w:hideMark/>
          </w:tcPr>
          <w:p w14:paraId="3597B2EF"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n-US" w:eastAsia="es-MX"/>
              </w:rPr>
            </w:pPr>
            <w:r w:rsidRPr="00BD1319">
              <w:rPr>
                <w:rFonts w:cs="Arial"/>
                <w:color w:val="000000"/>
                <w:sz w:val="16"/>
                <w:szCs w:val="16"/>
                <w:lang w:val="en-US" w:eastAsia="es-MX"/>
              </w:rPr>
              <w:t>inner and outer ind., inv., dom.</w:t>
            </w:r>
          </w:p>
        </w:tc>
        <w:tc>
          <w:tcPr>
            <w:tcW w:w="1134" w:type="dxa"/>
            <w:shd w:val="clear" w:color="auto" w:fill="auto"/>
            <w:vAlign w:val="center"/>
            <w:hideMark/>
          </w:tcPr>
          <w:p w14:paraId="17B84CF3"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 xml:space="preserve">Método del </w:t>
            </w:r>
            <w:proofErr w:type="spellStart"/>
            <w:r w:rsidRPr="00BD1319">
              <w:rPr>
                <w:rFonts w:cs="Arial"/>
                <w:color w:val="000000"/>
                <w:sz w:val="16"/>
                <w:szCs w:val="16"/>
                <w:lang w:eastAsia="es-MX"/>
              </w:rPr>
              <w:t>eigenvector</w:t>
            </w:r>
            <w:proofErr w:type="spellEnd"/>
          </w:p>
        </w:tc>
        <w:tc>
          <w:tcPr>
            <w:tcW w:w="567" w:type="dxa"/>
            <w:shd w:val="clear" w:color="auto" w:fill="auto"/>
            <w:vAlign w:val="center"/>
          </w:tcPr>
          <w:p w14:paraId="146CBCC1"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31, 32</w:t>
            </w:r>
          </w:p>
        </w:tc>
      </w:tr>
      <w:tr w:rsidR="000D468E" w:rsidRPr="00BD1319" w14:paraId="2D6A3693" w14:textId="77777777" w:rsidTr="00397D08">
        <w:trPr>
          <w:cnfStyle w:val="000000100000" w:firstRow="0" w:lastRow="0" w:firstColumn="0" w:lastColumn="0" w:oddVBand="0" w:evenVBand="0" w:oddHBand="1" w:evenHBand="0" w:firstRowFirstColumn="0" w:firstRowLastColumn="0" w:lastRowFirstColumn="0" w:lastRowLastColumn="0"/>
          <w:trHeight w:val="600"/>
          <w:jc w:val="center"/>
        </w:trPr>
        <w:tc>
          <w:tcPr>
            <w:cnfStyle w:val="001000000000" w:firstRow="0" w:lastRow="0" w:firstColumn="1" w:lastColumn="0" w:oddVBand="0" w:evenVBand="0" w:oddHBand="0" w:evenHBand="0" w:firstRowFirstColumn="0" w:firstRowLastColumn="0" w:lastRowFirstColumn="0" w:lastRowLastColumn="0"/>
            <w:tcW w:w="1134" w:type="dxa"/>
            <w:shd w:val="clear" w:color="auto" w:fill="auto"/>
            <w:vAlign w:val="center"/>
            <w:hideMark/>
          </w:tcPr>
          <w:p w14:paraId="3B556E09" w14:textId="77777777" w:rsidR="007D4645" w:rsidRPr="00BD1319" w:rsidRDefault="007D4645" w:rsidP="003B7DBA">
            <w:pPr>
              <w:rPr>
                <w:rFonts w:eastAsia="Times New Roman" w:cs="Arial"/>
                <w:b w:val="0"/>
                <w:bCs w:val="0"/>
                <w:color w:val="000000"/>
                <w:sz w:val="16"/>
                <w:szCs w:val="16"/>
                <w:lang w:val="es-CO" w:eastAsia="es-MX"/>
              </w:rPr>
            </w:pPr>
            <w:r w:rsidRPr="00BD1319">
              <w:rPr>
                <w:rFonts w:cs="Arial"/>
                <w:color w:val="000000"/>
                <w:sz w:val="16"/>
                <w:szCs w:val="16"/>
              </w:rPr>
              <w:t>Criterio de síntesis único</w:t>
            </w:r>
          </w:p>
        </w:tc>
        <w:tc>
          <w:tcPr>
            <w:tcW w:w="1276" w:type="dxa"/>
            <w:shd w:val="clear" w:color="auto" w:fill="auto"/>
            <w:vAlign w:val="center"/>
          </w:tcPr>
          <w:p w14:paraId="576B2C7B" w14:textId="77777777" w:rsidR="007D4645" w:rsidRPr="00BD1319" w:rsidRDefault="007D4645" w:rsidP="003B7DBA">
            <w:pP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EVAMIX</w:t>
            </w:r>
          </w:p>
        </w:tc>
        <w:tc>
          <w:tcPr>
            <w:tcW w:w="3686" w:type="dxa"/>
            <w:shd w:val="clear" w:color="auto" w:fill="auto"/>
            <w:vAlign w:val="center"/>
            <w:hideMark/>
          </w:tcPr>
          <w:p w14:paraId="45964306" w14:textId="77777777" w:rsidR="007D4645" w:rsidRPr="00BD1319" w:rsidRDefault="007D4645" w:rsidP="003B7DBA">
            <w:pP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Se calculan dos índices de dominancia: uno para evaluaciones ordinales y otro para evaluaciones cardinales. La combinación de estos dos índices conduce a una medida de la dominancia entre cada par de alternativas.</w:t>
            </w:r>
          </w:p>
        </w:tc>
        <w:tc>
          <w:tcPr>
            <w:tcW w:w="992" w:type="dxa"/>
            <w:shd w:val="clear" w:color="auto" w:fill="auto"/>
            <w:vAlign w:val="center"/>
            <w:hideMark/>
          </w:tcPr>
          <w:p w14:paraId="30961CF0"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Sencillo (calificación directa)</w:t>
            </w:r>
          </w:p>
        </w:tc>
        <w:tc>
          <w:tcPr>
            <w:tcW w:w="1134" w:type="dxa"/>
            <w:shd w:val="clear" w:color="auto" w:fill="auto"/>
            <w:vAlign w:val="center"/>
            <w:hideMark/>
          </w:tcPr>
          <w:p w14:paraId="09E10246"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rPr>
              <w:t>{P, I}</w:t>
            </w:r>
          </w:p>
        </w:tc>
        <w:tc>
          <w:tcPr>
            <w:tcW w:w="992" w:type="dxa"/>
            <w:shd w:val="clear" w:color="auto" w:fill="auto"/>
            <w:vAlign w:val="center"/>
            <w:hideMark/>
          </w:tcPr>
          <w:p w14:paraId="1820FE2A"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rPr>
              <w:t>Elección, Calificación</w:t>
            </w:r>
          </w:p>
        </w:tc>
        <w:tc>
          <w:tcPr>
            <w:tcW w:w="453" w:type="dxa"/>
            <w:shd w:val="clear" w:color="auto" w:fill="auto"/>
            <w:vAlign w:val="center"/>
            <w:hideMark/>
          </w:tcPr>
          <w:p w14:paraId="44C356B7"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X</w:t>
            </w:r>
          </w:p>
        </w:tc>
        <w:tc>
          <w:tcPr>
            <w:tcW w:w="454" w:type="dxa"/>
            <w:shd w:val="clear" w:color="auto" w:fill="auto"/>
            <w:vAlign w:val="center"/>
            <w:hideMark/>
          </w:tcPr>
          <w:p w14:paraId="14E292EF"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X</w:t>
            </w:r>
          </w:p>
        </w:tc>
        <w:tc>
          <w:tcPr>
            <w:tcW w:w="453" w:type="dxa"/>
            <w:shd w:val="clear" w:color="auto" w:fill="auto"/>
            <w:vAlign w:val="center"/>
            <w:hideMark/>
          </w:tcPr>
          <w:p w14:paraId="532B963E"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X</w:t>
            </w:r>
          </w:p>
        </w:tc>
        <w:tc>
          <w:tcPr>
            <w:tcW w:w="454" w:type="dxa"/>
            <w:shd w:val="clear" w:color="auto" w:fill="auto"/>
            <w:vAlign w:val="center"/>
            <w:hideMark/>
          </w:tcPr>
          <w:p w14:paraId="4A2FA3F0"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X</w:t>
            </w:r>
          </w:p>
        </w:tc>
        <w:tc>
          <w:tcPr>
            <w:tcW w:w="454" w:type="dxa"/>
            <w:shd w:val="clear" w:color="auto" w:fill="auto"/>
            <w:vAlign w:val="center"/>
            <w:hideMark/>
          </w:tcPr>
          <w:p w14:paraId="20B0F8BE"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p>
        </w:tc>
        <w:tc>
          <w:tcPr>
            <w:tcW w:w="992" w:type="dxa"/>
            <w:shd w:val="clear" w:color="auto" w:fill="auto"/>
            <w:vAlign w:val="center"/>
            <w:hideMark/>
          </w:tcPr>
          <w:p w14:paraId="40436099"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Parcial</w:t>
            </w:r>
          </w:p>
        </w:tc>
        <w:tc>
          <w:tcPr>
            <w:tcW w:w="993" w:type="dxa"/>
            <w:shd w:val="clear" w:color="auto" w:fill="auto"/>
            <w:vAlign w:val="center"/>
            <w:hideMark/>
          </w:tcPr>
          <w:p w14:paraId="73DDA3AC"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n-US" w:eastAsia="es-MX"/>
              </w:rPr>
            </w:pPr>
            <w:r w:rsidRPr="00BD1319">
              <w:rPr>
                <w:rFonts w:cs="Arial"/>
                <w:color w:val="000000"/>
                <w:sz w:val="16"/>
                <w:szCs w:val="16"/>
                <w:lang w:val="en-US" w:eastAsia="es-MX"/>
              </w:rPr>
              <w:t xml:space="preserve">ind., com., inv., </w:t>
            </w:r>
            <w:proofErr w:type="spellStart"/>
            <w:r w:rsidRPr="00BD1319">
              <w:rPr>
                <w:rFonts w:cs="Arial"/>
                <w:color w:val="000000"/>
                <w:sz w:val="16"/>
                <w:szCs w:val="16"/>
                <w:lang w:val="en-US" w:eastAsia="es-MX"/>
              </w:rPr>
              <w:t>tran</w:t>
            </w:r>
            <w:proofErr w:type="spellEnd"/>
            <w:r w:rsidRPr="00BD1319">
              <w:rPr>
                <w:rFonts w:cs="Arial"/>
                <w:color w:val="000000"/>
                <w:sz w:val="16"/>
                <w:szCs w:val="16"/>
                <w:lang w:val="en-US" w:eastAsia="es-MX"/>
              </w:rPr>
              <w:t>., dom.</w:t>
            </w:r>
          </w:p>
        </w:tc>
        <w:tc>
          <w:tcPr>
            <w:tcW w:w="1134" w:type="dxa"/>
            <w:shd w:val="clear" w:color="auto" w:fill="auto"/>
            <w:vAlign w:val="center"/>
            <w:hideMark/>
          </w:tcPr>
          <w:p w14:paraId="18DCF260"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Suma algebraica</w:t>
            </w:r>
          </w:p>
        </w:tc>
        <w:tc>
          <w:tcPr>
            <w:tcW w:w="567" w:type="dxa"/>
            <w:shd w:val="clear" w:color="auto" w:fill="auto"/>
            <w:vAlign w:val="center"/>
          </w:tcPr>
          <w:p w14:paraId="6F4B0E23"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34</w:t>
            </w:r>
          </w:p>
        </w:tc>
      </w:tr>
      <w:tr w:rsidR="007D4645" w:rsidRPr="00BD1319" w14:paraId="7A089D5C" w14:textId="77777777" w:rsidTr="00397D08">
        <w:trPr>
          <w:trHeight w:val="600"/>
          <w:jc w:val="center"/>
        </w:trPr>
        <w:tc>
          <w:tcPr>
            <w:cnfStyle w:val="001000000000" w:firstRow="0" w:lastRow="0" w:firstColumn="1" w:lastColumn="0" w:oddVBand="0" w:evenVBand="0" w:oddHBand="0" w:evenHBand="0" w:firstRowFirstColumn="0" w:firstRowLastColumn="0" w:lastRowFirstColumn="0" w:lastRowLastColumn="0"/>
            <w:tcW w:w="1134" w:type="dxa"/>
            <w:shd w:val="clear" w:color="auto" w:fill="auto"/>
            <w:vAlign w:val="center"/>
            <w:hideMark/>
          </w:tcPr>
          <w:p w14:paraId="5EBC6191" w14:textId="77777777" w:rsidR="007D4645" w:rsidRPr="00BD1319" w:rsidRDefault="007D4645" w:rsidP="003B7DBA">
            <w:pPr>
              <w:rPr>
                <w:rFonts w:eastAsia="Times New Roman" w:cs="Arial"/>
                <w:b w:val="0"/>
                <w:bCs w:val="0"/>
                <w:color w:val="000000"/>
                <w:sz w:val="16"/>
                <w:szCs w:val="16"/>
                <w:lang w:val="es-CO" w:eastAsia="es-MX"/>
              </w:rPr>
            </w:pPr>
            <w:r w:rsidRPr="00BD1319">
              <w:rPr>
                <w:rFonts w:cs="Arial"/>
                <w:color w:val="000000"/>
                <w:sz w:val="16"/>
                <w:szCs w:val="16"/>
              </w:rPr>
              <w:t>Criterio de síntesis único</w:t>
            </w:r>
          </w:p>
        </w:tc>
        <w:tc>
          <w:tcPr>
            <w:tcW w:w="1276" w:type="dxa"/>
            <w:shd w:val="clear" w:color="auto" w:fill="auto"/>
            <w:vAlign w:val="center"/>
          </w:tcPr>
          <w:p w14:paraId="7BF7F268" w14:textId="77777777" w:rsidR="007D4645" w:rsidRPr="00BD1319" w:rsidRDefault="007D4645" w:rsidP="003B7DBA">
            <w:pP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proofErr w:type="spellStart"/>
            <w:r w:rsidRPr="00BD1319">
              <w:rPr>
                <w:rFonts w:cs="Arial"/>
                <w:color w:val="000000"/>
                <w:sz w:val="16"/>
                <w:szCs w:val="16"/>
                <w:lang w:eastAsia="es-MX"/>
              </w:rPr>
              <w:t>Maximin</w:t>
            </w:r>
            <w:proofErr w:type="spellEnd"/>
            <w:r w:rsidRPr="00BD1319">
              <w:rPr>
                <w:rFonts w:cs="Arial"/>
                <w:color w:val="000000"/>
                <w:sz w:val="16"/>
                <w:szCs w:val="16"/>
                <w:lang w:eastAsia="es-MX"/>
              </w:rPr>
              <w:t xml:space="preserve"> difuso</w:t>
            </w:r>
          </w:p>
        </w:tc>
        <w:tc>
          <w:tcPr>
            <w:tcW w:w="3686" w:type="dxa"/>
            <w:shd w:val="clear" w:color="auto" w:fill="auto"/>
            <w:vAlign w:val="center"/>
            <w:hideMark/>
          </w:tcPr>
          <w:p w14:paraId="721B6DD9" w14:textId="77777777" w:rsidR="007D4645" w:rsidRPr="00BD1319" w:rsidRDefault="007D4645" w:rsidP="003B7DBA">
            <w:pP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 xml:space="preserve">Este procedimiento se basa en el mismo principio que el procedimiento </w:t>
            </w:r>
            <w:proofErr w:type="spellStart"/>
            <w:r w:rsidRPr="00BD1319">
              <w:rPr>
                <w:rFonts w:cs="Arial"/>
                <w:color w:val="000000"/>
                <w:sz w:val="16"/>
                <w:szCs w:val="16"/>
                <w:lang w:eastAsia="es-MX"/>
              </w:rPr>
              <w:t>maximin</w:t>
            </w:r>
            <w:proofErr w:type="spellEnd"/>
            <w:r w:rsidRPr="00BD1319">
              <w:rPr>
                <w:rFonts w:cs="Arial"/>
                <w:color w:val="000000"/>
                <w:sz w:val="16"/>
                <w:szCs w:val="16"/>
                <w:lang w:eastAsia="es-MX"/>
              </w:rPr>
              <w:t xml:space="preserve"> estándar. Las valoraciones de las alternativas son números borrosos</w:t>
            </w:r>
          </w:p>
        </w:tc>
        <w:tc>
          <w:tcPr>
            <w:tcW w:w="992" w:type="dxa"/>
            <w:shd w:val="clear" w:color="auto" w:fill="auto"/>
            <w:vAlign w:val="center"/>
            <w:hideMark/>
          </w:tcPr>
          <w:p w14:paraId="21521798"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Sencillo (calificación directa)</w:t>
            </w:r>
          </w:p>
        </w:tc>
        <w:tc>
          <w:tcPr>
            <w:tcW w:w="1134" w:type="dxa"/>
            <w:shd w:val="clear" w:color="auto" w:fill="auto"/>
            <w:vAlign w:val="center"/>
            <w:hideMark/>
          </w:tcPr>
          <w:p w14:paraId="655FDC23"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rPr>
              <w:t>{P, Q, I}</w:t>
            </w:r>
          </w:p>
        </w:tc>
        <w:tc>
          <w:tcPr>
            <w:tcW w:w="992" w:type="dxa"/>
            <w:shd w:val="clear" w:color="auto" w:fill="auto"/>
            <w:vAlign w:val="center"/>
            <w:hideMark/>
          </w:tcPr>
          <w:p w14:paraId="298D1437"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rPr>
              <w:t>Elección</w:t>
            </w:r>
          </w:p>
        </w:tc>
        <w:tc>
          <w:tcPr>
            <w:tcW w:w="453" w:type="dxa"/>
            <w:shd w:val="clear" w:color="auto" w:fill="auto"/>
            <w:vAlign w:val="center"/>
            <w:hideMark/>
          </w:tcPr>
          <w:p w14:paraId="244D523B"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X</w:t>
            </w:r>
          </w:p>
        </w:tc>
        <w:tc>
          <w:tcPr>
            <w:tcW w:w="454" w:type="dxa"/>
            <w:shd w:val="clear" w:color="auto" w:fill="auto"/>
            <w:vAlign w:val="center"/>
            <w:hideMark/>
          </w:tcPr>
          <w:p w14:paraId="45586984"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X</w:t>
            </w:r>
          </w:p>
        </w:tc>
        <w:tc>
          <w:tcPr>
            <w:tcW w:w="453" w:type="dxa"/>
            <w:shd w:val="clear" w:color="auto" w:fill="auto"/>
            <w:vAlign w:val="center"/>
            <w:hideMark/>
          </w:tcPr>
          <w:p w14:paraId="6BD4BCC0"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p>
        </w:tc>
        <w:tc>
          <w:tcPr>
            <w:tcW w:w="454" w:type="dxa"/>
            <w:shd w:val="clear" w:color="auto" w:fill="auto"/>
            <w:vAlign w:val="center"/>
            <w:hideMark/>
          </w:tcPr>
          <w:p w14:paraId="5B59FCBF"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X</w:t>
            </w:r>
          </w:p>
        </w:tc>
        <w:tc>
          <w:tcPr>
            <w:tcW w:w="454" w:type="dxa"/>
            <w:shd w:val="clear" w:color="auto" w:fill="auto"/>
            <w:vAlign w:val="center"/>
            <w:hideMark/>
          </w:tcPr>
          <w:p w14:paraId="264213EA"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X</w:t>
            </w:r>
          </w:p>
        </w:tc>
        <w:tc>
          <w:tcPr>
            <w:tcW w:w="992" w:type="dxa"/>
            <w:shd w:val="clear" w:color="auto" w:fill="auto"/>
            <w:vAlign w:val="center"/>
            <w:hideMark/>
          </w:tcPr>
          <w:p w14:paraId="5002BA65"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Ninguna</w:t>
            </w:r>
          </w:p>
        </w:tc>
        <w:tc>
          <w:tcPr>
            <w:tcW w:w="993" w:type="dxa"/>
            <w:shd w:val="clear" w:color="auto" w:fill="auto"/>
            <w:vAlign w:val="center"/>
            <w:hideMark/>
          </w:tcPr>
          <w:p w14:paraId="13B58BFC"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proofErr w:type="spellStart"/>
            <w:r w:rsidRPr="00BD1319">
              <w:rPr>
                <w:rFonts w:cs="Arial"/>
                <w:color w:val="000000"/>
                <w:sz w:val="16"/>
                <w:szCs w:val="16"/>
                <w:lang w:eastAsia="es-MX"/>
              </w:rPr>
              <w:t>ind</w:t>
            </w:r>
            <w:proofErr w:type="spellEnd"/>
            <w:r w:rsidRPr="00BD1319">
              <w:rPr>
                <w:rFonts w:cs="Arial"/>
                <w:color w:val="000000"/>
                <w:sz w:val="16"/>
                <w:szCs w:val="16"/>
                <w:lang w:eastAsia="es-MX"/>
              </w:rPr>
              <w:t>., com., inv., dom.</w:t>
            </w:r>
          </w:p>
        </w:tc>
        <w:tc>
          <w:tcPr>
            <w:tcW w:w="1134" w:type="dxa"/>
            <w:shd w:val="clear" w:color="auto" w:fill="auto"/>
            <w:vAlign w:val="center"/>
            <w:hideMark/>
          </w:tcPr>
          <w:p w14:paraId="36C80D7A"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Operadores máximos y mínimos</w:t>
            </w:r>
          </w:p>
        </w:tc>
        <w:tc>
          <w:tcPr>
            <w:tcW w:w="567" w:type="dxa"/>
            <w:shd w:val="clear" w:color="auto" w:fill="auto"/>
            <w:vAlign w:val="center"/>
          </w:tcPr>
          <w:p w14:paraId="33B9CD60"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2, 35</w:t>
            </w:r>
          </w:p>
        </w:tc>
      </w:tr>
      <w:tr w:rsidR="000D468E" w:rsidRPr="00BD1319" w14:paraId="249D3591" w14:textId="77777777" w:rsidTr="00397D08">
        <w:trPr>
          <w:cnfStyle w:val="000000100000" w:firstRow="0" w:lastRow="0" w:firstColumn="0" w:lastColumn="0" w:oddVBand="0" w:evenVBand="0" w:oddHBand="1" w:evenHBand="0" w:firstRowFirstColumn="0" w:firstRowLastColumn="0" w:lastRowFirstColumn="0" w:lastRowLastColumn="0"/>
          <w:trHeight w:val="600"/>
          <w:jc w:val="center"/>
        </w:trPr>
        <w:tc>
          <w:tcPr>
            <w:cnfStyle w:val="001000000000" w:firstRow="0" w:lastRow="0" w:firstColumn="1" w:lastColumn="0" w:oddVBand="0" w:evenVBand="0" w:oddHBand="0" w:evenHBand="0" w:firstRowFirstColumn="0" w:firstRowLastColumn="0" w:lastRowFirstColumn="0" w:lastRowLastColumn="0"/>
            <w:tcW w:w="1134" w:type="dxa"/>
            <w:shd w:val="clear" w:color="auto" w:fill="auto"/>
            <w:vAlign w:val="center"/>
            <w:hideMark/>
          </w:tcPr>
          <w:p w14:paraId="3789C92F" w14:textId="77777777" w:rsidR="007D4645" w:rsidRPr="00BD1319" w:rsidRDefault="007D4645" w:rsidP="003B7DBA">
            <w:pPr>
              <w:rPr>
                <w:rFonts w:eastAsia="Times New Roman" w:cs="Arial"/>
                <w:b w:val="0"/>
                <w:bCs w:val="0"/>
                <w:color w:val="000000"/>
                <w:sz w:val="16"/>
                <w:szCs w:val="16"/>
                <w:lang w:val="es-CO" w:eastAsia="es-MX"/>
              </w:rPr>
            </w:pPr>
            <w:proofErr w:type="spellStart"/>
            <w:r w:rsidRPr="00BD1319">
              <w:rPr>
                <w:rFonts w:cs="Arial"/>
                <w:color w:val="000000"/>
                <w:sz w:val="16"/>
                <w:szCs w:val="16"/>
              </w:rPr>
              <w:t>Outranking</w:t>
            </w:r>
            <w:proofErr w:type="spellEnd"/>
          </w:p>
        </w:tc>
        <w:tc>
          <w:tcPr>
            <w:tcW w:w="1276" w:type="dxa"/>
            <w:shd w:val="clear" w:color="auto" w:fill="auto"/>
            <w:vAlign w:val="center"/>
          </w:tcPr>
          <w:p w14:paraId="3BF7E62B" w14:textId="77777777" w:rsidR="007D4645" w:rsidRPr="00BD1319" w:rsidRDefault="007D4645" w:rsidP="003B7DBA">
            <w:pP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ELECTRE I</w:t>
            </w:r>
          </w:p>
        </w:tc>
        <w:tc>
          <w:tcPr>
            <w:tcW w:w="3686" w:type="dxa"/>
            <w:shd w:val="clear" w:color="auto" w:fill="auto"/>
            <w:vAlign w:val="center"/>
            <w:hideMark/>
          </w:tcPr>
          <w:p w14:paraId="3045CE26" w14:textId="77777777" w:rsidR="007D4645" w:rsidRPr="00BD1319" w:rsidRDefault="007D4645" w:rsidP="003B7DBA">
            <w:pP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Se utiliza el concepto de relación de superación. El procedimiento busca reducir el tamaño del conjunto de alternativas no dominadas (</w:t>
            </w:r>
            <w:proofErr w:type="spellStart"/>
            <w:r w:rsidRPr="00BD1319">
              <w:rPr>
                <w:rFonts w:cs="Arial"/>
                <w:color w:val="000000"/>
                <w:sz w:val="16"/>
                <w:szCs w:val="16"/>
                <w:lang w:eastAsia="es-MX"/>
              </w:rPr>
              <w:t>kernel</w:t>
            </w:r>
            <w:proofErr w:type="spellEnd"/>
            <w:r w:rsidRPr="00BD1319">
              <w:rPr>
                <w:rFonts w:cs="Arial"/>
                <w:color w:val="000000"/>
                <w:sz w:val="16"/>
                <w:szCs w:val="16"/>
                <w:lang w:eastAsia="es-MX"/>
              </w:rPr>
              <w:t xml:space="preserve">). La idea es que una alternativa puede eliminarse </w:t>
            </w:r>
            <w:r w:rsidRPr="00BD1319">
              <w:rPr>
                <w:rFonts w:cs="Arial"/>
                <w:color w:val="000000"/>
                <w:sz w:val="16"/>
                <w:szCs w:val="16"/>
                <w:lang w:eastAsia="es-MX"/>
              </w:rPr>
              <w:lastRenderedPageBreak/>
              <w:t>si está dominada por otras alternativas en un grado específico. El procedimiento es el primero en buscar agregar las preferencias en lugar de los desempeños</w:t>
            </w:r>
          </w:p>
        </w:tc>
        <w:tc>
          <w:tcPr>
            <w:tcW w:w="992" w:type="dxa"/>
            <w:shd w:val="clear" w:color="auto" w:fill="auto"/>
            <w:vAlign w:val="center"/>
            <w:hideMark/>
          </w:tcPr>
          <w:p w14:paraId="01024912"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lastRenderedPageBreak/>
              <w:t>Comparación por pares</w:t>
            </w:r>
          </w:p>
        </w:tc>
        <w:tc>
          <w:tcPr>
            <w:tcW w:w="1134" w:type="dxa"/>
            <w:shd w:val="clear" w:color="auto" w:fill="auto"/>
            <w:vAlign w:val="center"/>
            <w:hideMark/>
          </w:tcPr>
          <w:p w14:paraId="4FB9F308"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rPr>
              <w:t>{S, R}</w:t>
            </w:r>
          </w:p>
        </w:tc>
        <w:tc>
          <w:tcPr>
            <w:tcW w:w="992" w:type="dxa"/>
            <w:shd w:val="clear" w:color="auto" w:fill="auto"/>
            <w:vAlign w:val="center"/>
            <w:hideMark/>
          </w:tcPr>
          <w:p w14:paraId="2BAD5C4A"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rPr>
              <w:t>Elección</w:t>
            </w:r>
          </w:p>
        </w:tc>
        <w:tc>
          <w:tcPr>
            <w:tcW w:w="453" w:type="dxa"/>
            <w:shd w:val="clear" w:color="auto" w:fill="auto"/>
            <w:vAlign w:val="center"/>
            <w:hideMark/>
          </w:tcPr>
          <w:p w14:paraId="34BA54C8"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X</w:t>
            </w:r>
          </w:p>
        </w:tc>
        <w:tc>
          <w:tcPr>
            <w:tcW w:w="454" w:type="dxa"/>
            <w:shd w:val="clear" w:color="auto" w:fill="auto"/>
            <w:vAlign w:val="center"/>
            <w:hideMark/>
          </w:tcPr>
          <w:p w14:paraId="6B534496"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X</w:t>
            </w:r>
          </w:p>
        </w:tc>
        <w:tc>
          <w:tcPr>
            <w:tcW w:w="453" w:type="dxa"/>
            <w:shd w:val="clear" w:color="auto" w:fill="auto"/>
            <w:vAlign w:val="center"/>
            <w:hideMark/>
          </w:tcPr>
          <w:p w14:paraId="747B16B7"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X</w:t>
            </w:r>
          </w:p>
        </w:tc>
        <w:tc>
          <w:tcPr>
            <w:tcW w:w="454" w:type="dxa"/>
            <w:shd w:val="clear" w:color="auto" w:fill="auto"/>
            <w:vAlign w:val="center"/>
            <w:hideMark/>
          </w:tcPr>
          <w:p w14:paraId="31235DCC"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X</w:t>
            </w:r>
          </w:p>
        </w:tc>
        <w:tc>
          <w:tcPr>
            <w:tcW w:w="454" w:type="dxa"/>
            <w:shd w:val="clear" w:color="auto" w:fill="auto"/>
            <w:vAlign w:val="center"/>
            <w:hideMark/>
          </w:tcPr>
          <w:p w14:paraId="34D22391"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p>
        </w:tc>
        <w:tc>
          <w:tcPr>
            <w:tcW w:w="992" w:type="dxa"/>
            <w:shd w:val="clear" w:color="auto" w:fill="auto"/>
            <w:vAlign w:val="center"/>
            <w:hideMark/>
          </w:tcPr>
          <w:p w14:paraId="7CAB3DF3"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Parcial</w:t>
            </w:r>
          </w:p>
        </w:tc>
        <w:tc>
          <w:tcPr>
            <w:tcW w:w="993" w:type="dxa"/>
            <w:shd w:val="clear" w:color="auto" w:fill="auto"/>
            <w:vAlign w:val="center"/>
            <w:hideMark/>
          </w:tcPr>
          <w:p w14:paraId="50749008"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proofErr w:type="spellStart"/>
            <w:r w:rsidRPr="00BD1319">
              <w:rPr>
                <w:rFonts w:cs="Arial"/>
                <w:color w:val="000000"/>
                <w:sz w:val="16"/>
                <w:szCs w:val="16"/>
                <w:lang w:eastAsia="es-MX"/>
              </w:rPr>
              <w:t>ind</w:t>
            </w:r>
            <w:proofErr w:type="spellEnd"/>
            <w:r w:rsidRPr="00BD1319">
              <w:rPr>
                <w:rFonts w:cs="Arial"/>
                <w:color w:val="000000"/>
                <w:sz w:val="16"/>
                <w:szCs w:val="16"/>
                <w:lang w:eastAsia="es-MX"/>
              </w:rPr>
              <w:t xml:space="preserve">., inv., </w:t>
            </w:r>
            <w:proofErr w:type="spellStart"/>
            <w:r w:rsidRPr="00BD1319">
              <w:rPr>
                <w:rFonts w:cs="Arial"/>
                <w:color w:val="000000"/>
                <w:sz w:val="16"/>
                <w:szCs w:val="16"/>
                <w:lang w:eastAsia="es-MX"/>
              </w:rPr>
              <w:t>coal</w:t>
            </w:r>
            <w:proofErr w:type="spellEnd"/>
            <w:r w:rsidRPr="00BD1319">
              <w:rPr>
                <w:rFonts w:cs="Arial"/>
                <w:color w:val="000000"/>
                <w:sz w:val="16"/>
                <w:szCs w:val="16"/>
                <w:lang w:eastAsia="es-MX"/>
              </w:rPr>
              <w:t>.</w:t>
            </w:r>
          </w:p>
        </w:tc>
        <w:tc>
          <w:tcPr>
            <w:tcW w:w="1134" w:type="dxa"/>
            <w:shd w:val="clear" w:color="auto" w:fill="auto"/>
            <w:vAlign w:val="center"/>
            <w:hideMark/>
          </w:tcPr>
          <w:p w14:paraId="22C66D62"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Teoría de grafos (núcleo)</w:t>
            </w:r>
          </w:p>
        </w:tc>
        <w:tc>
          <w:tcPr>
            <w:tcW w:w="567" w:type="dxa"/>
            <w:shd w:val="clear" w:color="auto" w:fill="auto"/>
            <w:vAlign w:val="center"/>
          </w:tcPr>
          <w:p w14:paraId="315F0059"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26</w:t>
            </w:r>
          </w:p>
        </w:tc>
      </w:tr>
      <w:tr w:rsidR="007D4645" w:rsidRPr="00BD1319" w14:paraId="66E684F8" w14:textId="77777777" w:rsidTr="00397D08">
        <w:trPr>
          <w:trHeight w:val="600"/>
          <w:jc w:val="center"/>
        </w:trPr>
        <w:tc>
          <w:tcPr>
            <w:cnfStyle w:val="001000000000" w:firstRow="0" w:lastRow="0" w:firstColumn="1" w:lastColumn="0" w:oddVBand="0" w:evenVBand="0" w:oddHBand="0" w:evenHBand="0" w:firstRowFirstColumn="0" w:firstRowLastColumn="0" w:lastRowFirstColumn="0" w:lastRowLastColumn="0"/>
            <w:tcW w:w="1134" w:type="dxa"/>
            <w:shd w:val="clear" w:color="auto" w:fill="auto"/>
            <w:vAlign w:val="center"/>
            <w:hideMark/>
          </w:tcPr>
          <w:p w14:paraId="3E1CD058" w14:textId="77777777" w:rsidR="007D4645" w:rsidRPr="00BD1319" w:rsidRDefault="007D4645" w:rsidP="003B7DBA">
            <w:pPr>
              <w:rPr>
                <w:rFonts w:eastAsia="Times New Roman" w:cs="Arial"/>
                <w:b w:val="0"/>
                <w:bCs w:val="0"/>
                <w:color w:val="000000"/>
                <w:sz w:val="16"/>
                <w:szCs w:val="16"/>
                <w:lang w:val="es-CO" w:eastAsia="es-MX"/>
              </w:rPr>
            </w:pPr>
            <w:proofErr w:type="spellStart"/>
            <w:r w:rsidRPr="00BD1319">
              <w:rPr>
                <w:rFonts w:cs="Arial"/>
                <w:color w:val="000000"/>
                <w:sz w:val="16"/>
                <w:szCs w:val="16"/>
              </w:rPr>
              <w:t>Outranking</w:t>
            </w:r>
            <w:proofErr w:type="spellEnd"/>
          </w:p>
        </w:tc>
        <w:tc>
          <w:tcPr>
            <w:tcW w:w="1276" w:type="dxa"/>
            <w:shd w:val="clear" w:color="auto" w:fill="auto"/>
            <w:vAlign w:val="center"/>
          </w:tcPr>
          <w:p w14:paraId="7271A38C" w14:textId="77777777" w:rsidR="007D4645" w:rsidRPr="00BD1319" w:rsidRDefault="007D4645" w:rsidP="003B7DBA">
            <w:pP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ELECTRE IS</w:t>
            </w:r>
          </w:p>
        </w:tc>
        <w:tc>
          <w:tcPr>
            <w:tcW w:w="3686" w:type="dxa"/>
            <w:shd w:val="clear" w:color="auto" w:fill="auto"/>
            <w:vAlign w:val="center"/>
            <w:hideMark/>
          </w:tcPr>
          <w:p w14:paraId="0C9C1B10" w14:textId="77777777" w:rsidR="007D4645" w:rsidRPr="00BD1319" w:rsidRDefault="007D4645" w:rsidP="003B7DBA">
            <w:pP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Este procedimiento es exactamente igual que ELECTRE I, pero introduce el umbral de indiferencia</w:t>
            </w:r>
          </w:p>
        </w:tc>
        <w:tc>
          <w:tcPr>
            <w:tcW w:w="992" w:type="dxa"/>
            <w:shd w:val="clear" w:color="auto" w:fill="auto"/>
            <w:vAlign w:val="center"/>
            <w:hideMark/>
          </w:tcPr>
          <w:p w14:paraId="5BC6E930"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Comparación por pares</w:t>
            </w:r>
          </w:p>
        </w:tc>
        <w:tc>
          <w:tcPr>
            <w:tcW w:w="1134" w:type="dxa"/>
            <w:shd w:val="clear" w:color="auto" w:fill="auto"/>
            <w:vAlign w:val="center"/>
            <w:hideMark/>
          </w:tcPr>
          <w:p w14:paraId="78ECAF00"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rPr>
              <w:t>{S, R}</w:t>
            </w:r>
          </w:p>
        </w:tc>
        <w:tc>
          <w:tcPr>
            <w:tcW w:w="992" w:type="dxa"/>
            <w:shd w:val="clear" w:color="auto" w:fill="auto"/>
            <w:vAlign w:val="center"/>
            <w:hideMark/>
          </w:tcPr>
          <w:p w14:paraId="2B0287AA"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rPr>
              <w:t>Elección</w:t>
            </w:r>
          </w:p>
        </w:tc>
        <w:tc>
          <w:tcPr>
            <w:tcW w:w="453" w:type="dxa"/>
            <w:shd w:val="clear" w:color="auto" w:fill="auto"/>
            <w:vAlign w:val="center"/>
            <w:hideMark/>
          </w:tcPr>
          <w:p w14:paraId="1B1B578E"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X</w:t>
            </w:r>
          </w:p>
        </w:tc>
        <w:tc>
          <w:tcPr>
            <w:tcW w:w="454" w:type="dxa"/>
            <w:shd w:val="clear" w:color="auto" w:fill="auto"/>
            <w:vAlign w:val="center"/>
            <w:hideMark/>
          </w:tcPr>
          <w:p w14:paraId="02FAB16A"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X</w:t>
            </w:r>
          </w:p>
        </w:tc>
        <w:tc>
          <w:tcPr>
            <w:tcW w:w="453" w:type="dxa"/>
            <w:shd w:val="clear" w:color="auto" w:fill="auto"/>
            <w:vAlign w:val="center"/>
            <w:hideMark/>
          </w:tcPr>
          <w:p w14:paraId="6674E647"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X</w:t>
            </w:r>
          </w:p>
        </w:tc>
        <w:tc>
          <w:tcPr>
            <w:tcW w:w="454" w:type="dxa"/>
            <w:shd w:val="clear" w:color="auto" w:fill="auto"/>
            <w:vAlign w:val="center"/>
            <w:hideMark/>
          </w:tcPr>
          <w:p w14:paraId="2DB32988"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X</w:t>
            </w:r>
          </w:p>
        </w:tc>
        <w:tc>
          <w:tcPr>
            <w:tcW w:w="454" w:type="dxa"/>
            <w:shd w:val="clear" w:color="auto" w:fill="auto"/>
            <w:vAlign w:val="center"/>
            <w:hideMark/>
          </w:tcPr>
          <w:p w14:paraId="4D4D1AED"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p>
        </w:tc>
        <w:tc>
          <w:tcPr>
            <w:tcW w:w="992" w:type="dxa"/>
            <w:shd w:val="clear" w:color="auto" w:fill="auto"/>
            <w:vAlign w:val="center"/>
            <w:hideMark/>
          </w:tcPr>
          <w:p w14:paraId="220ECBBE"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Parcial</w:t>
            </w:r>
          </w:p>
        </w:tc>
        <w:tc>
          <w:tcPr>
            <w:tcW w:w="993" w:type="dxa"/>
            <w:shd w:val="clear" w:color="auto" w:fill="auto"/>
            <w:vAlign w:val="center"/>
            <w:hideMark/>
          </w:tcPr>
          <w:p w14:paraId="2CAB031A"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proofErr w:type="spellStart"/>
            <w:r w:rsidRPr="00BD1319">
              <w:rPr>
                <w:rFonts w:cs="Arial"/>
                <w:color w:val="000000"/>
                <w:sz w:val="16"/>
                <w:szCs w:val="16"/>
                <w:lang w:eastAsia="es-MX"/>
              </w:rPr>
              <w:t>ind</w:t>
            </w:r>
            <w:proofErr w:type="spellEnd"/>
            <w:r w:rsidRPr="00BD1319">
              <w:rPr>
                <w:rFonts w:cs="Arial"/>
                <w:color w:val="000000"/>
                <w:sz w:val="16"/>
                <w:szCs w:val="16"/>
                <w:lang w:eastAsia="es-MX"/>
              </w:rPr>
              <w:t xml:space="preserve">., inv., </w:t>
            </w:r>
            <w:proofErr w:type="spellStart"/>
            <w:r w:rsidRPr="00BD1319">
              <w:rPr>
                <w:rFonts w:cs="Arial"/>
                <w:color w:val="000000"/>
                <w:sz w:val="16"/>
                <w:szCs w:val="16"/>
                <w:lang w:eastAsia="es-MX"/>
              </w:rPr>
              <w:t>coal</w:t>
            </w:r>
            <w:proofErr w:type="spellEnd"/>
            <w:r w:rsidRPr="00BD1319">
              <w:rPr>
                <w:rFonts w:cs="Arial"/>
                <w:color w:val="000000"/>
                <w:sz w:val="16"/>
                <w:szCs w:val="16"/>
                <w:lang w:eastAsia="es-MX"/>
              </w:rPr>
              <w:t>.</w:t>
            </w:r>
          </w:p>
        </w:tc>
        <w:tc>
          <w:tcPr>
            <w:tcW w:w="1134" w:type="dxa"/>
            <w:shd w:val="clear" w:color="auto" w:fill="auto"/>
            <w:vAlign w:val="center"/>
            <w:hideMark/>
          </w:tcPr>
          <w:p w14:paraId="37A2D66F"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Teoría de grafos (núcleo)</w:t>
            </w:r>
          </w:p>
        </w:tc>
        <w:tc>
          <w:tcPr>
            <w:tcW w:w="567" w:type="dxa"/>
            <w:shd w:val="clear" w:color="auto" w:fill="auto"/>
            <w:vAlign w:val="center"/>
          </w:tcPr>
          <w:p w14:paraId="7D093FEE"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29</w:t>
            </w:r>
          </w:p>
        </w:tc>
      </w:tr>
      <w:tr w:rsidR="000D468E" w:rsidRPr="00BD1319" w14:paraId="36FFB6C1" w14:textId="77777777" w:rsidTr="00397D08">
        <w:trPr>
          <w:cnfStyle w:val="000000100000" w:firstRow="0" w:lastRow="0" w:firstColumn="0" w:lastColumn="0" w:oddVBand="0" w:evenVBand="0" w:oddHBand="1" w:evenHBand="0" w:firstRowFirstColumn="0" w:firstRowLastColumn="0" w:lastRowFirstColumn="0" w:lastRowLastColumn="0"/>
          <w:trHeight w:val="600"/>
          <w:jc w:val="center"/>
        </w:trPr>
        <w:tc>
          <w:tcPr>
            <w:cnfStyle w:val="001000000000" w:firstRow="0" w:lastRow="0" w:firstColumn="1" w:lastColumn="0" w:oddVBand="0" w:evenVBand="0" w:oddHBand="0" w:evenHBand="0" w:firstRowFirstColumn="0" w:firstRowLastColumn="0" w:lastRowFirstColumn="0" w:lastRowLastColumn="0"/>
            <w:tcW w:w="1134" w:type="dxa"/>
            <w:shd w:val="clear" w:color="auto" w:fill="auto"/>
            <w:vAlign w:val="center"/>
            <w:hideMark/>
          </w:tcPr>
          <w:p w14:paraId="34881382" w14:textId="77777777" w:rsidR="007D4645" w:rsidRPr="00BD1319" w:rsidRDefault="007D4645" w:rsidP="003B7DBA">
            <w:pPr>
              <w:rPr>
                <w:rFonts w:eastAsia="Times New Roman" w:cs="Arial"/>
                <w:b w:val="0"/>
                <w:bCs w:val="0"/>
                <w:color w:val="000000"/>
                <w:sz w:val="16"/>
                <w:szCs w:val="16"/>
                <w:lang w:val="es-CO" w:eastAsia="es-MX"/>
              </w:rPr>
            </w:pPr>
            <w:proofErr w:type="spellStart"/>
            <w:r w:rsidRPr="00BD1319">
              <w:rPr>
                <w:rFonts w:cs="Arial"/>
                <w:color w:val="000000"/>
                <w:sz w:val="16"/>
                <w:szCs w:val="16"/>
              </w:rPr>
              <w:t>Outranking</w:t>
            </w:r>
            <w:proofErr w:type="spellEnd"/>
          </w:p>
        </w:tc>
        <w:tc>
          <w:tcPr>
            <w:tcW w:w="1276" w:type="dxa"/>
            <w:shd w:val="clear" w:color="auto" w:fill="auto"/>
            <w:vAlign w:val="center"/>
          </w:tcPr>
          <w:p w14:paraId="63612DE7" w14:textId="77777777" w:rsidR="007D4645" w:rsidRPr="00BD1319" w:rsidRDefault="007D4645" w:rsidP="003B7DBA">
            <w:pP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ELECTRE II</w:t>
            </w:r>
          </w:p>
        </w:tc>
        <w:tc>
          <w:tcPr>
            <w:tcW w:w="3686" w:type="dxa"/>
            <w:shd w:val="clear" w:color="auto" w:fill="auto"/>
            <w:vAlign w:val="center"/>
            <w:hideMark/>
          </w:tcPr>
          <w:p w14:paraId="222AE24B" w14:textId="77777777" w:rsidR="007D4645" w:rsidRPr="00BD1319" w:rsidRDefault="007D4645" w:rsidP="003B7DBA">
            <w:pP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ELECTRE II utiliza dos relaciones de superación (fuerte y débil)</w:t>
            </w:r>
          </w:p>
        </w:tc>
        <w:tc>
          <w:tcPr>
            <w:tcW w:w="992" w:type="dxa"/>
            <w:shd w:val="clear" w:color="auto" w:fill="auto"/>
            <w:vAlign w:val="center"/>
            <w:hideMark/>
          </w:tcPr>
          <w:p w14:paraId="623815E2"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Comparación por pares</w:t>
            </w:r>
          </w:p>
        </w:tc>
        <w:tc>
          <w:tcPr>
            <w:tcW w:w="1134" w:type="dxa"/>
            <w:shd w:val="clear" w:color="auto" w:fill="auto"/>
            <w:vAlign w:val="center"/>
            <w:hideMark/>
          </w:tcPr>
          <w:p w14:paraId="1CAC799D"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rPr>
              <w:t>{S</w:t>
            </w:r>
            <w:r w:rsidRPr="00BD1319">
              <w:rPr>
                <w:rFonts w:cs="Arial"/>
                <w:color w:val="000000"/>
                <w:sz w:val="16"/>
                <w:szCs w:val="16"/>
                <w:vertAlign w:val="superscript"/>
              </w:rPr>
              <w:t>F</w:t>
            </w:r>
            <w:r w:rsidRPr="00BD1319">
              <w:rPr>
                <w:rFonts w:cs="Arial"/>
                <w:color w:val="000000"/>
                <w:sz w:val="16"/>
                <w:szCs w:val="16"/>
              </w:rPr>
              <w:t xml:space="preserve">, </w:t>
            </w:r>
            <w:proofErr w:type="spellStart"/>
            <w:r w:rsidRPr="00BD1319">
              <w:rPr>
                <w:rFonts w:cs="Arial"/>
                <w:color w:val="000000"/>
                <w:sz w:val="16"/>
                <w:szCs w:val="16"/>
              </w:rPr>
              <w:t>S</w:t>
            </w:r>
            <w:r w:rsidRPr="00BD1319">
              <w:rPr>
                <w:rFonts w:cs="Arial"/>
                <w:color w:val="000000"/>
                <w:sz w:val="16"/>
                <w:szCs w:val="16"/>
                <w:vertAlign w:val="subscript"/>
              </w:rPr>
              <w:t>f</w:t>
            </w:r>
            <w:proofErr w:type="spellEnd"/>
            <w:r w:rsidRPr="00BD1319">
              <w:rPr>
                <w:rFonts w:cs="Arial"/>
                <w:color w:val="000000"/>
                <w:sz w:val="16"/>
                <w:szCs w:val="16"/>
              </w:rPr>
              <w:t>, R}</w:t>
            </w:r>
          </w:p>
        </w:tc>
        <w:tc>
          <w:tcPr>
            <w:tcW w:w="992" w:type="dxa"/>
            <w:shd w:val="clear" w:color="auto" w:fill="auto"/>
            <w:vAlign w:val="center"/>
            <w:hideMark/>
          </w:tcPr>
          <w:p w14:paraId="1FC22ED7"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rPr>
              <w:t>Calificación</w:t>
            </w:r>
          </w:p>
        </w:tc>
        <w:tc>
          <w:tcPr>
            <w:tcW w:w="453" w:type="dxa"/>
            <w:shd w:val="clear" w:color="auto" w:fill="auto"/>
            <w:vAlign w:val="center"/>
            <w:hideMark/>
          </w:tcPr>
          <w:p w14:paraId="778BA76C"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X</w:t>
            </w:r>
          </w:p>
        </w:tc>
        <w:tc>
          <w:tcPr>
            <w:tcW w:w="454" w:type="dxa"/>
            <w:shd w:val="clear" w:color="auto" w:fill="auto"/>
            <w:vAlign w:val="center"/>
            <w:hideMark/>
          </w:tcPr>
          <w:p w14:paraId="43A2D8B7"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X</w:t>
            </w:r>
          </w:p>
        </w:tc>
        <w:tc>
          <w:tcPr>
            <w:tcW w:w="453" w:type="dxa"/>
            <w:shd w:val="clear" w:color="auto" w:fill="auto"/>
            <w:vAlign w:val="center"/>
            <w:hideMark/>
          </w:tcPr>
          <w:p w14:paraId="5960AF55"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X</w:t>
            </w:r>
          </w:p>
        </w:tc>
        <w:tc>
          <w:tcPr>
            <w:tcW w:w="454" w:type="dxa"/>
            <w:shd w:val="clear" w:color="auto" w:fill="auto"/>
            <w:vAlign w:val="center"/>
            <w:hideMark/>
          </w:tcPr>
          <w:p w14:paraId="6D333B53"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X</w:t>
            </w:r>
          </w:p>
        </w:tc>
        <w:tc>
          <w:tcPr>
            <w:tcW w:w="454" w:type="dxa"/>
            <w:shd w:val="clear" w:color="auto" w:fill="auto"/>
            <w:vAlign w:val="center"/>
            <w:hideMark/>
          </w:tcPr>
          <w:p w14:paraId="6177CB1F"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p>
        </w:tc>
        <w:tc>
          <w:tcPr>
            <w:tcW w:w="992" w:type="dxa"/>
            <w:shd w:val="clear" w:color="auto" w:fill="auto"/>
            <w:vAlign w:val="center"/>
            <w:hideMark/>
          </w:tcPr>
          <w:p w14:paraId="4BB85AB9"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Parcial</w:t>
            </w:r>
          </w:p>
        </w:tc>
        <w:tc>
          <w:tcPr>
            <w:tcW w:w="993" w:type="dxa"/>
            <w:shd w:val="clear" w:color="auto" w:fill="auto"/>
            <w:vAlign w:val="center"/>
            <w:hideMark/>
          </w:tcPr>
          <w:p w14:paraId="7A7D4BB6"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proofErr w:type="spellStart"/>
            <w:r w:rsidRPr="00BD1319">
              <w:rPr>
                <w:rFonts w:cs="Arial"/>
                <w:color w:val="000000"/>
                <w:sz w:val="16"/>
                <w:szCs w:val="16"/>
                <w:lang w:eastAsia="es-MX"/>
              </w:rPr>
              <w:t>ind</w:t>
            </w:r>
            <w:proofErr w:type="spellEnd"/>
            <w:r w:rsidRPr="00BD1319">
              <w:rPr>
                <w:rFonts w:cs="Arial"/>
                <w:color w:val="000000"/>
                <w:sz w:val="16"/>
                <w:szCs w:val="16"/>
                <w:lang w:eastAsia="es-MX"/>
              </w:rPr>
              <w:t xml:space="preserve">., inv., </w:t>
            </w:r>
            <w:proofErr w:type="spellStart"/>
            <w:r w:rsidRPr="00BD1319">
              <w:rPr>
                <w:rFonts w:cs="Arial"/>
                <w:color w:val="000000"/>
                <w:sz w:val="16"/>
                <w:szCs w:val="16"/>
                <w:lang w:eastAsia="es-MX"/>
              </w:rPr>
              <w:t>coal</w:t>
            </w:r>
            <w:proofErr w:type="spellEnd"/>
            <w:r w:rsidRPr="00BD1319">
              <w:rPr>
                <w:rFonts w:cs="Arial"/>
                <w:color w:val="000000"/>
                <w:sz w:val="16"/>
                <w:szCs w:val="16"/>
                <w:lang w:eastAsia="es-MX"/>
              </w:rPr>
              <w:t>.</w:t>
            </w:r>
          </w:p>
        </w:tc>
        <w:tc>
          <w:tcPr>
            <w:tcW w:w="1134" w:type="dxa"/>
            <w:shd w:val="clear" w:color="auto" w:fill="auto"/>
            <w:vAlign w:val="center"/>
            <w:hideMark/>
          </w:tcPr>
          <w:p w14:paraId="33CE8386"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Teoría de grafos (destilación)</w:t>
            </w:r>
          </w:p>
        </w:tc>
        <w:tc>
          <w:tcPr>
            <w:tcW w:w="567" w:type="dxa"/>
            <w:shd w:val="clear" w:color="auto" w:fill="auto"/>
            <w:vAlign w:val="center"/>
          </w:tcPr>
          <w:p w14:paraId="14986FA5"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28</w:t>
            </w:r>
          </w:p>
        </w:tc>
      </w:tr>
      <w:tr w:rsidR="007D4645" w:rsidRPr="00BD1319" w14:paraId="18A692A4" w14:textId="77777777" w:rsidTr="00397D08">
        <w:trPr>
          <w:trHeight w:val="600"/>
          <w:jc w:val="center"/>
        </w:trPr>
        <w:tc>
          <w:tcPr>
            <w:cnfStyle w:val="001000000000" w:firstRow="0" w:lastRow="0" w:firstColumn="1" w:lastColumn="0" w:oddVBand="0" w:evenVBand="0" w:oddHBand="0" w:evenHBand="0" w:firstRowFirstColumn="0" w:firstRowLastColumn="0" w:lastRowFirstColumn="0" w:lastRowLastColumn="0"/>
            <w:tcW w:w="1134" w:type="dxa"/>
            <w:shd w:val="clear" w:color="auto" w:fill="auto"/>
            <w:vAlign w:val="center"/>
            <w:hideMark/>
          </w:tcPr>
          <w:p w14:paraId="0B12CB3B" w14:textId="77777777" w:rsidR="007D4645" w:rsidRPr="00BD1319" w:rsidRDefault="007D4645" w:rsidP="003B7DBA">
            <w:pPr>
              <w:rPr>
                <w:rFonts w:eastAsia="Times New Roman" w:cs="Arial"/>
                <w:b w:val="0"/>
                <w:bCs w:val="0"/>
                <w:color w:val="000000"/>
                <w:sz w:val="16"/>
                <w:szCs w:val="16"/>
                <w:lang w:val="es-CO" w:eastAsia="es-MX"/>
              </w:rPr>
            </w:pPr>
            <w:proofErr w:type="spellStart"/>
            <w:r w:rsidRPr="00BD1319">
              <w:rPr>
                <w:rFonts w:cs="Arial"/>
                <w:color w:val="000000"/>
                <w:sz w:val="16"/>
                <w:szCs w:val="16"/>
              </w:rPr>
              <w:t>Outranking</w:t>
            </w:r>
            <w:proofErr w:type="spellEnd"/>
          </w:p>
        </w:tc>
        <w:tc>
          <w:tcPr>
            <w:tcW w:w="1276" w:type="dxa"/>
            <w:shd w:val="clear" w:color="auto" w:fill="auto"/>
            <w:vAlign w:val="center"/>
          </w:tcPr>
          <w:p w14:paraId="6B0B43FD" w14:textId="77777777" w:rsidR="007D4645" w:rsidRPr="00BD1319" w:rsidRDefault="007D4645" w:rsidP="003B7DBA">
            <w:pP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ELECTRE III</w:t>
            </w:r>
          </w:p>
        </w:tc>
        <w:tc>
          <w:tcPr>
            <w:tcW w:w="3686" w:type="dxa"/>
            <w:shd w:val="clear" w:color="auto" w:fill="auto"/>
            <w:vAlign w:val="center"/>
            <w:hideMark/>
          </w:tcPr>
          <w:p w14:paraId="2A3C2B89" w14:textId="77777777" w:rsidR="007D4645" w:rsidRPr="00BD1319" w:rsidRDefault="007D4645" w:rsidP="003B7DBA">
            <w:pP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 xml:space="preserve">El </w:t>
            </w:r>
            <w:proofErr w:type="spellStart"/>
            <w:r w:rsidRPr="00BD1319">
              <w:rPr>
                <w:rFonts w:cs="Arial"/>
                <w:color w:val="000000"/>
                <w:sz w:val="16"/>
                <w:szCs w:val="16"/>
                <w:lang w:eastAsia="es-MX"/>
              </w:rPr>
              <w:t>outranking</w:t>
            </w:r>
            <w:proofErr w:type="spellEnd"/>
            <w:r w:rsidRPr="00BD1319">
              <w:rPr>
                <w:rFonts w:cs="Arial"/>
                <w:color w:val="000000"/>
                <w:sz w:val="16"/>
                <w:szCs w:val="16"/>
                <w:lang w:eastAsia="es-MX"/>
              </w:rPr>
              <w:t xml:space="preserve"> se expresa a través de un índice de credibilidad</w:t>
            </w:r>
          </w:p>
        </w:tc>
        <w:tc>
          <w:tcPr>
            <w:tcW w:w="992" w:type="dxa"/>
            <w:shd w:val="clear" w:color="auto" w:fill="auto"/>
            <w:vAlign w:val="center"/>
            <w:hideMark/>
          </w:tcPr>
          <w:p w14:paraId="615EEC87"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Comparación por pares</w:t>
            </w:r>
          </w:p>
        </w:tc>
        <w:tc>
          <w:tcPr>
            <w:tcW w:w="1134" w:type="dxa"/>
            <w:shd w:val="clear" w:color="auto" w:fill="auto"/>
            <w:vAlign w:val="center"/>
            <w:hideMark/>
          </w:tcPr>
          <w:p w14:paraId="11A4D502"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rPr>
              <w:t>{S, R} valorada</w:t>
            </w:r>
          </w:p>
        </w:tc>
        <w:tc>
          <w:tcPr>
            <w:tcW w:w="992" w:type="dxa"/>
            <w:shd w:val="clear" w:color="auto" w:fill="auto"/>
            <w:vAlign w:val="center"/>
            <w:hideMark/>
          </w:tcPr>
          <w:p w14:paraId="7B8C58A8"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rPr>
              <w:t>Calificación</w:t>
            </w:r>
          </w:p>
        </w:tc>
        <w:tc>
          <w:tcPr>
            <w:tcW w:w="453" w:type="dxa"/>
            <w:shd w:val="clear" w:color="auto" w:fill="auto"/>
            <w:vAlign w:val="center"/>
            <w:hideMark/>
          </w:tcPr>
          <w:p w14:paraId="5232284E"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X</w:t>
            </w:r>
          </w:p>
        </w:tc>
        <w:tc>
          <w:tcPr>
            <w:tcW w:w="454" w:type="dxa"/>
            <w:shd w:val="clear" w:color="auto" w:fill="auto"/>
            <w:vAlign w:val="center"/>
            <w:hideMark/>
          </w:tcPr>
          <w:p w14:paraId="69411B2A"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X</w:t>
            </w:r>
          </w:p>
        </w:tc>
        <w:tc>
          <w:tcPr>
            <w:tcW w:w="453" w:type="dxa"/>
            <w:shd w:val="clear" w:color="auto" w:fill="auto"/>
            <w:vAlign w:val="center"/>
            <w:hideMark/>
          </w:tcPr>
          <w:p w14:paraId="01BC0A81"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X</w:t>
            </w:r>
          </w:p>
        </w:tc>
        <w:tc>
          <w:tcPr>
            <w:tcW w:w="454" w:type="dxa"/>
            <w:shd w:val="clear" w:color="auto" w:fill="auto"/>
            <w:vAlign w:val="center"/>
            <w:hideMark/>
          </w:tcPr>
          <w:p w14:paraId="25EBAE16"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X</w:t>
            </w:r>
          </w:p>
        </w:tc>
        <w:tc>
          <w:tcPr>
            <w:tcW w:w="454" w:type="dxa"/>
            <w:shd w:val="clear" w:color="auto" w:fill="auto"/>
            <w:vAlign w:val="center"/>
            <w:hideMark/>
          </w:tcPr>
          <w:p w14:paraId="5D8256D0"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p>
        </w:tc>
        <w:tc>
          <w:tcPr>
            <w:tcW w:w="992" w:type="dxa"/>
            <w:shd w:val="clear" w:color="auto" w:fill="auto"/>
            <w:vAlign w:val="center"/>
            <w:hideMark/>
          </w:tcPr>
          <w:p w14:paraId="6C494BB7"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Parcial</w:t>
            </w:r>
          </w:p>
        </w:tc>
        <w:tc>
          <w:tcPr>
            <w:tcW w:w="993" w:type="dxa"/>
            <w:shd w:val="clear" w:color="auto" w:fill="auto"/>
            <w:vAlign w:val="center"/>
            <w:hideMark/>
          </w:tcPr>
          <w:p w14:paraId="52EAA9BC"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proofErr w:type="spellStart"/>
            <w:r w:rsidRPr="00BD1319">
              <w:rPr>
                <w:rFonts w:cs="Arial"/>
                <w:color w:val="000000"/>
                <w:sz w:val="16"/>
                <w:szCs w:val="16"/>
                <w:lang w:eastAsia="es-MX"/>
              </w:rPr>
              <w:t>ind</w:t>
            </w:r>
            <w:proofErr w:type="spellEnd"/>
            <w:r w:rsidRPr="00BD1319">
              <w:rPr>
                <w:rFonts w:cs="Arial"/>
                <w:color w:val="000000"/>
                <w:sz w:val="16"/>
                <w:szCs w:val="16"/>
                <w:lang w:eastAsia="es-MX"/>
              </w:rPr>
              <w:t xml:space="preserve">., inv., </w:t>
            </w:r>
            <w:proofErr w:type="spellStart"/>
            <w:r w:rsidRPr="00BD1319">
              <w:rPr>
                <w:rFonts w:cs="Arial"/>
                <w:color w:val="000000"/>
                <w:sz w:val="16"/>
                <w:szCs w:val="16"/>
                <w:lang w:eastAsia="es-MX"/>
              </w:rPr>
              <w:t>coal</w:t>
            </w:r>
            <w:proofErr w:type="spellEnd"/>
            <w:r w:rsidRPr="00BD1319">
              <w:rPr>
                <w:rFonts w:cs="Arial"/>
                <w:color w:val="000000"/>
                <w:sz w:val="16"/>
                <w:szCs w:val="16"/>
                <w:lang w:eastAsia="es-MX"/>
              </w:rPr>
              <w:t>.</w:t>
            </w:r>
          </w:p>
        </w:tc>
        <w:tc>
          <w:tcPr>
            <w:tcW w:w="1134" w:type="dxa"/>
            <w:shd w:val="clear" w:color="auto" w:fill="auto"/>
            <w:vAlign w:val="center"/>
            <w:hideMark/>
          </w:tcPr>
          <w:p w14:paraId="0F7E6DB0"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Teoría de grafos (destilación)</w:t>
            </w:r>
          </w:p>
        </w:tc>
        <w:tc>
          <w:tcPr>
            <w:tcW w:w="567" w:type="dxa"/>
            <w:shd w:val="clear" w:color="auto" w:fill="auto"/>
            <w:vAlign w:val="center"/>
          </w:tcPr>
          <w:p w14:paraId="0042AAFE"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27</w:t>
            </w:r>
          </w:p>
        </w:tc>
      </w:tr>
      <w:tr w:rsidR="000D468E" w:rsidRPr="00BD1319" w14:paraId="2FFC0282" w14:textId="77777777" w:rsidTr="00397D08">
        <w:trPr>
          <w:cnfStyle w:val="000000100000" w:firstRow="0" w:lastRow="0" w:firstColumn="0" w:lastColumn="0" w:oddVBand="0" w:evenVBand="0" w:oddHBand="1" w:evenHBand="0" w:firstRowFirstColumn="0" w:firstRowLastColumn="0" w:lastRowFirstColumn="0" w:lastRowLastColumn="0"/>
          <w:trHeight w:val="600"/>
          <w:jc w:val="center"/>
        </w:trPr>
        <w:tc>
          <w:tcPr>
            <w:cnfStyle w:val="001000000000" w:firstRow="0" w:lastRow="0" w:firstColumn="1" w:lastColumn="0" w:oddVBand="0" w:evenVBand="0" w:oddHBand="0" w:evenHBand="0" w:firstRowFirstColumn="0" w:firstRowLastColumn="0" w:lastRowFirstColumn="0" w:lastRowLastColumn="0"/>
            <w:tcW w:w="1134" w:type="dxa"/>
            <w:shd w:val="clear" w:color="auto" w:fill="auto"/>
            <w:vAlign w:val="center"/>
            <w:hideMark/>
          </w:tcPr>
          <w:p w14:paraId="4954522E" w14:textId="77777777" w:rsidR="007D4645" w:rsidRPr="00BD1319" w:rsidRDefault="007D4645" w:rsidP="003B7DBA">
            <w:pPr>
              <w:rPr>
                <w:rFonts w:eastAsia="Times New Roman" w:cs="Arial"/>
                <w:b w:val="0"/>
                <w:bCs w:val="0"/>
                <w:color w:val="000000"/>
                <w:sz w:val="16"/>
                <w:szCs w:val="16"/>
                <w:lang w:val="es-CO" w:eastAsia="es-MX"/>
              </w:rPr>
            </w:pPr>
            <w:proofErr w:type="spellStart"/>
            <w:r w:rsidRPr="00BD1319">
              <w:rPr>
                <w:rFonts w:cs="Arial"/>
                <w:color w:val="000000"/>
                <w:sz w:val="16"/>
                <w:szCs w:val="16"/>
              </w:rPr>
              <w:t>Outranking</w:t>
            </w:r>
            <w:proofErr w:type="spellEnd"/>
          </w:p>
        </w:tc>
        <w:tc>
          <w:tcPr>
            <w:tcW w:w="1276" w:type="dxa"/>
            <w:shd w:val="clear" w:color="auto" w:fill="auto"/>
            <w:vAlign w:val="center"/>
          </w:tcPr>
          <w:p w14:paraId="42E1842F" w14:textId="77777777" w:rsidR="007D4645" w:rsidRPr="00BD1319" w:rsidRDefault="007D4645" w:rsidP="003B7DBA">
            <w:pP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ELECTRE IV</w:t>
            </w:r>
          </w:p>
        </w:tc>
        <w:tc>
          <w:tcPr>
            <w:tcW w:w="3686" w:type="dxa"/>
            <w:shd w:val="clear" w:color="auto" w:fill="auto"/>
            <w:vAlign w:val="center"/>
            <w:hideMark/>
          </w:tcPr>
          <w:p w14:paraId="6098EA72" w14:textId="77777777" w:rsidR="007D4645" w:rsidRPr="00BD1319" w:rsidRDefault="007D4645" w:rsidP="003B7DBA">
            <w:pP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 xml:space="preserve">Este procedimiento es como ELECTRE </w:t>
            </w:r>
            <w:proofErr w:type="gramStart"/>
            <w:r w:rsidRPr="00BD1319">
              <w:rPr>
                <w:rFonts w:cs="Arial"/>
                <w:color w:val="000000"/>
                <w:sz w:val="16"/>
                <w:szCs w:val="16"/>
                <w:lang w:eastAsia="es-MX"/>
              </w:rPr>
              <w:t>III</w:t>
            </w:r>
            <w:proofErr w:type="gramEnd"/>
            <w:r w:rsidRPr="00BD1319">
              <w:rPr>
                <w:rFonts w:cs="Arial"/>
                <w:color w:val="000000"/>
                <w:sz w:val="16"/>
                <w:szCs w:val="16"/>
                <w:lang w:eastAsia="es-MX"/>
              </w:rPr>
              <w:t xml:space="preserve"> pero no usó pesos</w:t>
            </w:r>
          </w:p>
        </w:tc>
        <w:tc>
          <w:tcPr>
            <w:tcW w:w="992" w:type="dxa"/>
            <w:shd w:val="clear" w:color="auto" w:fill="auto"/>
            <w:vAlign w:val="center"/>
            <w:hideMark/>
          </w:tcPr>
          <w:p w14:paraId="6566FC6A"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Comparación por pares</w:t>
            </w:r>
          </w:p>
        </w:tc>
        <w:tc>
          <w:tcPr>
            <w:tcW w:w="1134" w:type="dxa"/>
            <w:shd w:val="clear" w:color="auto" w:fill="auto"/>
            <w:vAlign w:val="center"/>
            <w:hideMark/>
          </w:tcPr>
          <w:p w14:paraId="3AEE6904"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rPr>
              <w:t>{S</w:t>
            </w:r>
            <w:r w:rsidRPr="00BD1319">
              <w:rPr>
                <w:rFonts w:cs="Arial"/>
                <w:color w:val="000000"/>
                <w:sz w:val="16"/>
                <w:szCs w:val="16"/>
                <w:vertAlign w:val="superscript"/>
              </w:rPr>
              <w:t>1</w:t>
            </w:r>
            <w:r w:rsidRPr="00BD1319">
              <w:rPr>
                <w:rFonts w:cs="Arial"/>
                <w:color w:val="000000"/>
                <w:sz w:val="16"/>
                <w:szCs w:val="16"/>
              </w:rPr>
              <w:t>, S</w:t>
            </w:r>
            <w:r w:rsidRPr="00BD1319">
              <w:rPr>
                <w:rFonts w:cs="Arial"/>
                <w:color w:val="000000"/>
                <w:sz w:val="16"/>
                <w:szCs w:val="16"/>
                <w:vertAlign w:val="superscript"/>
              </w:rPr>
              <w:t>2</w:t>
            </w:r>
            <w:r w:rsidRPr="00BD1319">
              <w:rPr>
                <w:rFonts w:cs="Arial"/>
                <w:color w:val="000000"/>
                <w:sz w:val="16"/>
                <w:szCs w:val="16"/>
              </w:rPr>
              <w:t>, S</w:t>
            </w:r>
            <w:r w:rsidRPr="00BD1319">
              <w:rPr>
                <w:rFonts w:cs="Arial"/>
                <w:color w:val="000000"/>
                <w:sz w:val="16"/>
                <w:szCs w:val="16"/>
                <w:vertAlign w:val="superscript"/>
              </w:rPr>
              <w:t>3</w:t>
            </w:r>
            <w:r w:rsidRPr="00BD1319">
              <w:rPr>
                <w:rFonts w:cs="Arial"/>
                <w:color w:val="000000"/>
                <w:sz w:val="16"/>
                <w:szCs w:val="16"/>
              </w:rPr>
              <w:t>, S</w:t>
            </w:r>
            <w:r w:rsidRPr="00BD1319">
              <w:rPr>
                <w:rFonts w:cs="Arial"/>
                <w:color w:val="000000"/>
                <w:sz w:val="16"/>
                <w:szCs w:val="16"/>
                <w:vertAlign w:val="superscript"/>
              </w:rPr>
              <w:t>4</w:t>
            </w:r>
            <w:r w:rsidRPr="00BD1319">
              <w:rPr>
                <w:rFonts w:cs="Arial"/>
                <w:color w:val="000000"/>
                <w:sz w:val="16"/>
                <w:szCs w:val="16"/>
              </w:rPr>
              <w:t>, S</w:t>
            </w:r>
            <w:r w:rsidRPr="00BD1319">
              <w:rPr>
                <w:rFonts w:cs="Arial"/>
                <w:color w:val="000000"/>
                <w:sz w:val="16"/>
                <w:szCs w:val="16"/>
                <w:vertAlign w:val="superscript"/>
              </w:rPr>
              <w:t>5</w:t>
            </w:r>
            <w:r w:rsidRPr="00BD1319">
              <w:rPr>
                <w:rFonts w:cs="Arial"/>
                <w:color w:val="000000"/>
                <w:sz w:val="16"/>
                <w:szCs w:val="16"/>
              </w:rPr>
              <w:t>, R}</w:t>
            </w:r>
          </w:p>
        </w:tc>
        <w:tc>
          <w:tcPr>
            <w:tcW w:w="992" w:type="dxa"/>
            <w:shd w:val="clear" w:color="auto" w:fill="auto"/>
            <w:vAlign w:val="center"/>
            <w:hideMark/>
          </w:tcPr>
          <w:p w14:paraId="673F979E"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rPr>
              <w:t>Calificación</w:t>
            </w:r>
          </w:p>
        </w:tc>
        <w:tc>
          <w:tcPr>
            <w:tcW w:w="453" w:type="dxa"/>
            <w:shd w:val="clear" w:color="auto" w:fill="auto"/>
            <w:vAlign w:val="center"/>
            <w:hideMark/>
          </w:tcPr>
          <w:p w14:paraId="0DA86816"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X</w:t>
            </w:r>
          </w:p>
        </w:tc>
        <w:tc>
          <w:tcPr>
            <w:tcW w:w="454" w:type="dxa"/>
            <w:shd w:val="clear" w:color="auto" w:fill="auto"/>
            <w:vAlign w:val="center"/>
            <w:hideMark/>
          </w:tcPr>
          <w:p w14:paraId="10ADC5BF"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X</w:t>
            </w:r>
          </w:p>
        </w:tc>
        <w:tc>
          <w:tcPr>
            <w:tcW w:w="453" w:type="dxa"/>
            <w:shd w:val="clear" w:color="auto" w:fill="auto"/>
            <w:vAlign w:val="center"/>
            <w:hideMark/>
          </w:tcPr>
          <w:p w14:paraId="7587FB3D"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X</w:t>
            </w:r>
          </w:p>
        </w:tc>
        <w:tc>
          <w:tcPr>
            <w:tcW w:w="454" w:type="dxa"/>
            <w:shd w:val="clear" w:color="auto" w:fill="auto"/>
            <w:vAlign w:val="center"/>
            <w:hideMark/>
          </w:tcPr>
          <w:p w14:paraId="7CBE3E9B"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X</w:t>
            </w:r>
          </w:p>
        </w:tc>
        <w:tc>
          <w:tcPr>
            <w:tcW w:w="454" w:type="dxa"/>
            <w:shd w:val="clear" w:color="auto" w:fill="auto"/>
            <w:vAlign w:val="center"/>
            <w:hideMark/>
          </w:tcPr>
          <w:p w14:paraId="2974AC6F"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p>
        </w:tc>
        <w:tc>
          <w:tcPr>
            <w:tcW w:w="992" w:type="dxa"/>
            <w:shd w:val="clear" w:color="auto" w:fill="auto"/>
            <w:vAlign w:val="center"/>
            <w:hideMark/>
          </w:tcPr>
          <w:p w14:paraId="7C07D5FE"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Parcial</w:t>
            </w:r>
          </w:p>
        </w:tc>
        <w:tc>
          <w:tcPr>
            <w:tcW w:w="993" w:type="dxa"/>
            <w:shd w:val="clear" w:color="auto" w:fill="auto"/>
            <w:vAlign w:val="center"/>
            <w:hideMark/>
          </w:tcPr>
          <w:p w14:paraId="53A96FE7"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proofErr w:type="spellStart"/>
            <w:r w:rsidRPr="00BD1319">
              <w:rPr>
                <w:rFonts w:cs="Arial"/>
                <w:color w:val="000000"/>
                <w:sz w:val="16"/>
                <w:szCs w:val="16"/>
                <w:lang w:eastAsia="es-MX"/>
              </w:rPr>
              <w:t>ind</w:t>
            </w:r>
            <w:proofErr w:type="spellEnd"/>
            <w:r w:rsidRPr="00BD1319">
              <w:rPr>
                <w:rFonts w:cs="Arial"/>
                <w:color w:val="000000"/>
                <w:sz w:val="16"/>
                <w:szCs w:val="16"/>
                <w:lang w:eastAsia="es-MX"/>
              </w:rPr>
              <w:t xml:space="preserve">., inv., </w:t>
            </w:r>
            <w:proofErr w:type="spellStart"/>
            <w:r w:rsidRPr="00BD1319">
              <w:rPr>
                <w:rFonts w:cs="Arial"/>
                <w:color w:val="000000"/>
                <w:sz w:val="16"/>
                <w:szCs w:val="16"/>
                <w:lang w:eastAsia="es-MX"/>
              </w:rPr>
              <w:t>coal</w:t>
            </w:r>
            <w:proofErr w:type="spellEnd"/>
            <w:r w:rsidRPr="00BD1319">
              <w:rPr>
                <w:rFonts w:cs="Arial"/>
                <w:color w:val="000000"/>
                <w:sz w:val="16"/>
                <w:szCs w:val="16"/>
                <w:lang w:eastAsia="es-MX"/>
              </w:rPr>
              <w:t>.</w:t>
            </w:r>
          </w:p>
        </w:tc>
        <w:tc>
          <w:tcPr>
            <w:tcW w:w="1134" w:type="dxa"/>
            <w:shd w:val="clear" w:color="auto" w:fill="auto"/>
            <w:vAlign w:val="center"/>
            <w:hideMark/>
          </w:tcPr>
          <w:p w14:paraId="2636C9DC"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Teoría de grafos (destilación)</w:t>
            </w:r>
          </w:p>
        </w:tc>
        <w:tc>
          <w:tcPr>
            <w:tcW w:w="567" w:type="dxa"/>
            <w:shd w:val="clear" w:color="auto" w:fill="auto"/>
            <w:vAlign w:val="center"/>
          </w:tcPr>
          <w:p w14:paraId="1EEAC7B4"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30</w:t>
            </w:r>
          </w:p>
        </w:tc>
      </w:tr>
      <w:tr w:rsidR="007D4645" w:rsidRPr="00BD1319" w14:paraId="3A20023A" w14:textId="77777777" w:rsidTr="00397D08">
        <w:trPr>
          <w:trHeight w:val="600"/>
          <w:jc w:val="center"/>
        </w:trPr>
        <w:tc>
          <w:tcPr>
            <w:cnfStyle w:val="001000000000" w:firstRow="0" w:lastRow="0" w:firstColumn="1" w:lastColumn="0" w:oddVBand="0" w:evenVBand="0" w:oddHBand="0" w:evenHBand="0" w:firstRowFirstColumn="0" w:firstRowLastColumn="0" w:lastRowFirstColumn="0" w:lastRowLastColumn="0"/>
            <w:tcW w:w="1134" w:type="dxa"/>
            <w:shd w:val="clear" w:color="auto" w:fill="auto"/>
            <w:vAlign w:val="center"/>
            <w:hideMark/>
          </w:tcPr>
          <w:p w14:paraId="71F8FEF4" w14:textId="77777777" w:rsidR="007D4645" w:rsidRPr="00BD1319" w:rsidRDefault="007D4645" w:rsidP="003B7DBA">
            <w:pPr>
              <w:rPr>
                <w:rFonts w:eastAsia="Times New Roman" w:cs="Arial"/>
                <w:b w:val="0"/>
                <w:bCs w:val="0"/>
                <w:color w:val="000000"/>
                <w:sz w:val="16"/>
                <w:szCs w:val="16"/>
                <w:lang w:val="es-CO" w:eastAsia="es-MX"/>
              </w:rPr>
            </w:pPr>
            <w:proofErr w:type="spellStart"/>
            <w:r w:rsidRPr="00BD1319">
              <w:rPr>
                <w:rFonts w:cs="Arial"/>
                <w:color w:val="000000"/>
                <w:sz w:val="16"/>
                <w:szCs w:val="16"/>
              </w:rPr>
              <w:t>Outranking</w:t>
            </w:r>
            <w:proofErr w:type="spellEnd"/>
          </w:p>
        </w:tc>
        <w:tc>
          <w:tcPr>
            <w:tcW w:w="1276" w:type="dxa"/>
            <w:shd w:val="clear" w:color="auto" w:fill="auto"/>
            <w:vAlign w:val="center"/>
          </w:tcPr>
          <w:p w14:paraId="7859CCA6" w14:textId="77777777" w:rsidR="007D4645" w:rsidRPr="00BD1319" w:rsidRDefault="007D4645" w:rsidP="003B7DBA">
            <w:pP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ELECTRE TRI</w:t>
            </w:r>
          </w:p>
        </w:tc>
        <w:tc>
          <w:tcPr>
            <w:tcW w:w="3686" w:type="dxa"/>
            <w:shd w:val="clear" w:color="auto" w:fill="auto"/>
            <w:vAlign w:val="center"/>
            <w:hideMark/>
          </w:tcPr>
          <w:p w14:paraId="280CFFCE" w14:textId="77777777" w:rsidR="007D4645" w:rsidRPr="00BD1319" w:rsidRDefault="007D4645" w:rsidP="003B7DBA">
            <w:pP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Este procedimiento es como ELECTRE III y utiliza las técnicas conjuntivas y disyuntivas para afectar las alternativas a las diferentes categorías (ordenadas)</w:t>
            </w:r>
          </w:p>
        </w:tc>
        <w:tc>
          <w:tcPr>
            <w:tcW w:w="992" w:type="dxa"/>
            <w:shd w:val="clear" w:color="auto" w:fill="auto"/>
            <w:vAlign w:val="center"/>
            <w:hideMark/>
          </w:tcPr>
          <w:p w14:paraId="15BE5349"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Comparación por pares</w:t>
            </w:r>
          </w:p>
        </w:tc>
        <w:tc>
          <w:tcPr>
            <w:tcW w:w="1134" w:type="dxa"/>
            <w:shd w:val="clear" w:color="auto" w:fill="auto"/>
            <w:vAlign w:val="center"/>
            <w:hideMark/>
          </w:tcPr>
          <w:p w14:paraId="418DDC01"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rPr>
              <w:t>{S, R}</w:t>
            </w:r>
          </w:p>
        </w:tc>
        <w:tc>
          <w:tcPr>
            <w:tcW w:w="992" w:type="dxa"/>
            <w:shd w:val="clear" w:color="auto" w:fill="auto"/>
            <w:vAlign w:val="center"/>
            <w:hideMark/>
          </w:tcPr>
          <w:p w14:paraId="7A3DECF3"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rPr>
              <w:t>Clasificación</w:t>
            </w:r>
          </w:p>
        </w:tc>
        <w:tc>
          <w:tcPr>
            <w:tcW w:w="453" w:type="dxa"/>
            <w:shd w:val="clear" w:color="auto" w:fill="auto"/>
            <w:vAlign w:val="center"/>
            <w:hideMark/>
          </w:tcPr>
          <w:p w14:paraId="34B81745"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X</w:t>
            </w:r>
          </w:p>
        </w:tc>
        <w:tc>
          <w:tcPr>
            <w:tcW w:w="454" w:type="dxa"/>
            <w:shd w:val="clear" w:color="auto" w:fill="auto"/>
            <w:vAlign w:val="center"/>
            <w:hideMark/>
          </w:tcPr>
          <w:p w14:paraId="1561889D"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X</w:t>
            </w:r>
          </w:p>
        </w:tc>
        <w:tc>
          <w:tcPr>
            <w:tcW w:w="453" w:type="dxa"/>
            <w:shd w:val="clear" w:color="auto" w:fill="auto"/>
            <w:vAlign w:val="center"/>
            <w:hideMark/>
          </w:tcPr>
          <w:p w14:paraId="59C29AA4"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X</w:t>
            </w:r>
          </w:p>
        </w:tc>
        <w:tc>
          <w:tcPr>
            <w:tcW w:w="454" w:type="dxa"/>
            <w:shd w:val="clear" w:color="auto" w:fill="auto"/>
            <w:vAlign w:val="center"/>
            <w:hideMark/>
          </w:tcPr>
          <w:p w14:paraId="19B37AD8"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X</w:t>
            </w:r>
          </w:p>
        </w:tc>
        <w:tc>
          <w:tcPr>
            <w:tcW w:w="454" w:type="dxa"/>
            <w:shd w:val="clear" w:color="auto" w:fill="auto"/>
            <w:vAlign w:val="center"/>
            <w:hideMark/>
          </w:tcPr>
          <w:p w14:paraId="157C6E36"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p>
        </w:tc>
        <w:tc>
          <w:tcPr>
            <w:tcW w:w="992" w:type="dxa"/>
            <w:shd w:val="clear" w:color="auto" w:fill="auto"/>
            <w:vAlign w:val="center"/>
            <w:hideMark/>
          </w:tcPr>
          <w:p w14:paraId="619CDADE"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Parcial</w:t>
            </w:r>
          </w:p>
        </w:tc>
        <w:tc>
          <w:tcPr>
            <w:tcW w:w="993" w:type="dxa"/>
            <w:shd w:val="clear" w:color="auto" w:fill="auto"/>
            <w:vAlign w:val="center"/>
            <w:hideMark/>
          </w:tcPr>
          <w:p w14:paraId="59855AE7"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proofErr w:type="spellStart"/>
            <w:r w:rsidRPr="00BD1319">
              <w:rPr>
                <w:rFonts w:cs="Arial"/>
                <w:color w:val="000000"/>
                <w:sz w:val="16"/>
                <w:szCs w:val="16"/>
                <w:lang w:eastAsia="es-MX"/>
              </w:rPr>
              <w:t>ind</w:t>
            </w:r>
            <w:proofErr w:type="spellEnd"/>
            <w:r w:rsidRPr="00BD1319">
              <w:rPr>
                <w:rFonts w:cs="Arial"/>
                <w:color w:val="000000"/>
                <w:sz w:val="16"/>
                <w:szCs w:val="16"/>
                <w:lang w:eastAsia="es-MX"/>
              </w:rPr>
              <w:t xml:space="preserve">., inv., </w:t>
            </w:r>
            <w:proofErr w:type="spellStart"/>
            <w:r w:rsidRPr="00BD1319">
              <w:rPr>
                <w:rFonts w:cs="Arial"/>
                <w:color w:val="000000"/>
                <w:sz w:val="16"/>
                <w:szCs w:val="16"/>
                <w:lang w:eastAsia="es-MX"/>
              </w:rPr>
              <w:t>coal</w:t>
            </w:r>
            <w:proofErr w:type="spellEnd"/>
            <w:r w:rsidRPr="00BD1319">
              <w:rPr>
                <w:rFonts w:cs="Arial"/>
                <w:color w:val="000000"/>
                <w:sz w:val="16"/>
                <w:szCs w:val="16"/>
                <w:lang w:eastAsia="es-MX"/>
              </w:rPr>
              <w:t>.</w:t>
            </w:r>
          </w:p>
        </w:tc>
        <w:tc>
          <w:tcPr>
            <w:tcW w:w="1134" w:type="dxa"/>
            <w:shd w:val="clear" w:color="auto" w:fill="auto"/>
            <w:vAlign w:val="center"/>
            <w:hideMark/>
          </w:tcPr>
          <w:p w14:paraId="6BFD2B1A"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Disyuntivo &amp; Conjuntivo</w:t>
            </w:r>
          </w:p>
        </w:tc>
        <w:tc>
          <w:tcPr>
            <w:tcW w:w="567" w:type="dxa"/>
            <w:shd w:val="clear" w:color="auto" w:fill="auto"/>
            <w:vAlign w:val="center"/>
          </w:tcPr>
          <w:p w14:paraId="6A6B86D1"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29</w:t>
            </w:r>
          </w:p>
        </w:tc>
      </w:tr>
      <w:tr w:rsidR="000D468E" w:rsidRPr="00BD1319" w14:paraId="1B64E463" w14:textId="77777777" w:rsidTr="00397D08">
        <w:trPr>
          <w:cnfStyle w:val="000000100000" w:firstRow="0" w:lastRow="0" w:firstColumn="0" w:lastColumn="0" w:oddVBand="0" w:evenVBand="0" w:oddHBand="1" w:evenHBand="0" w:firstRowFirstColumn="0" w:firstRowLastColumn="0" w:lastRowFirstColumn="0" w:lastRowLastColumn="0"/>
          <w:trHeight w:val="600"/>
          <w:jc w:val="center"/>
        </w:trPr>
        <w:tc>
          <w:tcPr>
            <w:cnfStyle w:val="001000000000" w:firstRow="0" w:lastRow="0" w:firstColumn="1" w:lastColumn="0" w:oddVBand="0" w:evenVBand="0" w:oddHBand="0" w:evenHBand="0" w:firstRowFirstColumn="0" w:firstRowLastColumn="0" w:lastRowFirstColumn="0" w:lastRowLastColumn="0"/>
            <w:tcW w:w="1134" w:type="dxa"/>
            <w:shd w:val="clear" w:color="auto" w:fill="auto"/>
            <w:vAlign w:val="center"/>
            <w:hideMark/>
          </w:tcPr>
          <w:p w14:paraId="79024009" w14:textId="77777777" w:rsidR="007D4645" w:rsidRPr="00BD1319" w:rsidRDefault="007D4645" w:rsidP="003B7DBA">
            <w:pPr>
              <w:rPr>
                <w:rFonts w:eastAsia="Times New Roman" w:cs="Arial"/>
                <w:b w:val="0"/>
                <w:bCs w:val="0"/>
                <w:color w:val="000000"/>
                <w:sz w:val="16"/>
                <w:szCs w:val="16"/>
                <w:lang w:val="es-CO" w:eastAsia="es-MX"/>
              </w:rPr>
            </w:pPr>
            <w:proofErr w:type="spellStart"/>
            <w:r w:rsidRPr="00BD1319">
              <w:rPr>
                <w:rFonts w:cs="Arial"/>
                <w:color w:val="000000"/>
                <w:sz w:val="16"/>
                <w:szCs w:val="16"/>
              </w:rPr>
              <w:t>Outranking</w:t>
            </w:r>
            <w:proofErr w:type="spellEnd"/>
          </w:p>
        </w:tc>
        <w:tc>
          <w:tcPr>
            <w:tcW w:w="1276" w:type="dxa"/>
            <w:shd w:val="clear" w:color="auto" w:fill="auto"/>
            <w:vAlign w:val="center"/>
          </w:tcPr>
          <w:p w14:paraId="665F98B8" w14:textId="77777777" w:rsidR="007D4645" w:rsidRPr="00BD1319" w:rsidRDefault="007D4645" w:rsidP="003B7DBA">
            <w:pP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PROMETHEE I</w:t>
            </w:r>
          </w:p>
        </w:tc>
        <w:tc>
          <w:tcPr>
            <w:tcW w:w="3686" w:type="dxa"/>
            <w:shd w:val="clear" w:color="auto" w:fill="auto"/>
            <w:vAlign w:val="center"/>
            <w:hideMark/>
          </w:tcPr>
          <w:p w14:paraId="7C72C9FE" w14:textId="77777777" w:rsidR="007D4645" w:rsidRPr="00BD1319" w:rsidRDefault="007D4645" w:rsidP="003B7DBA">
            <w:pP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PROMETHEE I se basa en los mismos principios que ELECTRE e introduce seis funciones para describir las preferencias de DM a lo largo de cada criterio. Este procedimiento proporciona un orden parcial de las alternativas utilizando flujos de entrada y salida.</w:t>
            </w:r>
          </w:p>
        </w:tc>
        <w:tc>
          <w:tcPr>
            <w:tcW w:w="992" w:type="dxa"/>
            <w:shd w:val="clear" w:color="auto" w:fill="auto"/>
            <w:vAlign w:val="center"/>
            <w:hideMark/>
          </w:tcPr>
          <w:p w14:paraId="5ABC1ED7"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Comparación por pares</w:t>
            </w:r>
          </w:p>
        </w:tc>
        <w:tc>
          <w:tcPr>
            <w:tcW w:w="1134" w:type="dxa"/>
            <w:shd w:val="clear" w:color="auto" w:fill="auto"/>
            <w:vAlign w:val="center"/>
            <w:hideMark/>
          </w:tcPr>
          <w:p w14:paraId="7DF80AD3"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rPr>
              <w:t>{P, I, R} valorada</w:t>
            </w:r>
          </w:p>
        </w:tc>
        <w:tc>
          <w:tcPr>
            <w:tcW w:w="992" w:type="dxa"/>
            <w:shd w:val="clear" w:color="auto" w:fill="auto"/>
            <w:vAlign w:val="center"/>
            <w:hideMark/>
          </w:tcPr>
          <w:p w14:paraId="2FC42FFF"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rPr>
              <w:t>Calificación</w:t>
            </w:r>
          </w:p>
        </w:tc>
        <w:tc>
          <w:tcPr>
            <w:tcW w:w="453" w:type="dxa"/>
            <w:shd w:val="clear" w:color="auto" w:fill="auto"/>
            <w:vAlign w:val="center"/>
            <w:hideMark/>
          </w:tcPr>
          <w:p w14:paraId="1472207B"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X</w:t>
            </w:r>
          </w:p>
        </w:tc>
        <w:tc>
          <w:tcPr>
            <w:tcW w:w="454" w:type="dxa"/>
            <w:shd w:val="clear" w:color="auto" w:fill="auto"/>
            <w:vAlign w:val="center"/>
            <w:hideMark/>
          </w:tcPr>
          <w:p w14:paraId="7954D629"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X</w:t>
            </w:r>
          </w:p>
        </w:tc>
        <w:tc>
          <w:tcPr>
            <w:tcW w:w="453" w:type="dxa"/>
            <w:shd w:val="clear" w:color="auto" w:fill="auto"/>
            <w:vAlign w:val="center"/>
            <w:hideMark/>
          </w:tcPr>
          <w:p w14:paraId="46A8EE09"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X</w:t>
            </w:r>
          </w:p>
        </w:tc>
        <w:tc>
          <w:tcPr>
            <w:tcW w:w="454" w:type="dxa"/>
            <w:shd w:val="clear" w:color="auto" w:fill="auto"/>
            <w:vAlign w:val="center"/>
            <w:hideMark/>
          </w:tcPr>
          <w:p w14:paraId="59C0B4F2"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X</w:t>
            </w:r>
          </w:p>
        </w:tc>
        <w:tc>
          <w:tcPr>
            <w:tcW w:w="454" w:type="dxa"/>
            <w:shd w:val="clear" w:color="auto" w:fill="auto"/>
            <w:vAlign w:val="center"/>
            <w:hideMark/>
          </w:tcPr>
          <w:p w14:paraId="50EA9469"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p>
        </w:tc>
        <w:tc>
          <w:tcPr>
            <w:tcW w:w="992" w:type="dxa"/>
            <w:shd w:val="clear" w:color="auto" w:fill="auto"/>
            <w:vAlign w:val="center"/>
            <w:hideMark/>
          </w:tcPr>
          <w:p w14:paraId="524C5A95"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Parcial</w:t>
            </w:r>
          </w:p>
        </w:tc>
        <w:tc>
          <w:tcPr>
            <w:tcW w:w="993" w:type="dxa"/>
            <w:shd w:val="clear" w:color="auto" w:fill="auto"/>
            <w:vAlign w:val="center"/>
            <w:hideMark/>
          </w:tcPr>
          <w:p w14:paraId="563BE92F"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proofErr w:type="spellStart"/>
            <w:r w:rsidRPr="00BD1319">
              <w:rPr>
                <w:rFonts w:cs="Arial"/>
                <w:color w:val="000000"/>
                <w:sz w:val="16"/>
                <w:szCs w:val="16"/>
                <w:lang w:eastAsia="es-MX"/>
              </w:rPr>
              <w:t>ind</w:t>
            </w:r>
            <w:proofErr w:type="spellEnd"/>
            <w:r w:rsidRPr="00BD1319">
              <w:rPr>
                <w:rFonts w:cs="Arial"/>
                <w:color w:val="000000"/>
                <w:sz w:val="16"/>
                <w:szCs w:val="16"/>
                <w:lang w:eastAsia="es-MX"/>
              </w:rPr>
              <w:t xml:space="preserve">., inv., </w:t>
            </w:r>
            <w:proofErr w:type="spellStart"/>
            <w:r w:rsidRPr="00BD1319">
              <w:rPr>
                <w:rFonts w:cs="Arial"/>
                <w:color w:val="000000"/>
                <w:sz w:val="16"/>
                <w:szCs w:val="16"/>
                <w:lang w:eastAsia="es-MX"/>
              </w:rPr>
              <w:t>coal</w:t>
            </w:r>
            <w:proofErr w:type="spellEnd"/>
            <w:r w:rsidRPr="00BD1319">
              <w:rPr>
                <w:rFonts w:cs="Arial"/>
                <w:color w:val="000000"/>
                <w:sz w:val="16"/>
                <w:szCs w:val="16"/>
                <w:lang w:eastAsia="es-MX"/>
              </w:rPr>
              <w:t>.</w:t>
            </w:r>
          </w:p>
        </w:tc>
        <w:tc>
          <w:tcPr>
            <w:tcW w:w="1134" w:type="dxa"/>
            <w:shd w:val="clear" w:color="auto" w:fill="auto"/>
            <w:vAlign w:val="center"/>
            <w:hideMark/>
          </w:tcPr>
          <w:p w14:paraId="536D8EDC"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Flujos de salida y entrada</w:t>
            </w:r>
          </w:p>
        </w:tc>
        <w:tc>
          <w:tcPr>
            <w:tcW w:w="567" w:type="dxa"/>
            <w:shd w:val="clear" w:color="auto" w:fill="auto"/>
            <w:vAlign w:val="center"/>
          </w:tcPr>
          <w:p w14:paraId="2D0E5F25"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4</w:t>
            </w:r>
          </w:p>
        </w:tc>
      </w:tr>
      <w:tr w:rsidR="007D4645" w:rsidRPr="00BD1319" w14:paraId="1B42E115" w14:textId="77777777" w:rsidTr="00397D08">
        <w:trPr>
          <w:trHeight w:val="600"/>
          <w:jc w:val="center"/>
        </w:trPr>
        <w:tc>
          <w:tcPr>
            <w:cnfStyle w:val="001000000000" w:firstRow="0" w:lastRow="0" w:firstColumn="1" w:lastColumn="0" w:oddVBand="0" w:evenVBand="0" w:oddHBand="0" w:evenHBand="0" w:firstRowFirstColumn="0" w:firstRowLastColumn="0" w:lastRowFirstColumn="0" w:lastRowLastColumn="0"/>
            <w:tcW w:w="1134" w:type="dxa"/>
            <w:shd w:val="clear" w:color="auto" w:fill="auto"/>
            <w:vAlign w:val="center"/>
            <w:hideMark/>
          </w:tcPr>
          <w:p w14:paraId="089A6A8F" w14:textId="77777777" w:rsidR="007D4645" w:rsidRPr="00BD1319" w:rsidRDefault="007D4645" w:rsidP="003B7DBA">
            <w:pPr>
              <w:rPr>
                <w:rFonts w:eastAsia="Times New Roman" w:cs="Arial"/>
                <w:b w:val="0"/>
                <w:bCs w:val="0"/>
                <w:color w:val="000000"/>
                <w:sz w:val="16"/>
                <w:szCs w:val="16"/>
                <w:lang w:val="es-CO" w:eastAsia="es-MX"/>
              </w:rPr>
            </w:pPr>
            <w:proofErr w:type="spellStart"/>
            <w:r w:rsidRPr="00BD1319">
              <w:rPr>
                <w:rFonts w:cs="Arial"/>
                <w:color w:val="000000"/>
                <w:sz w:val="16"/>
                <w:szCs w:val="16"/>
              </w:rPr>
              <w:t>Outranking</w:t>
            </w:r>
            <w:proofErr w:type="spellEnd"/>
          </w:p>
        </w:tc>
        <w:tc>
          <w:tcPr>
            <w:tcW w:w="1276" w:type="dxa"/>
            <w:shd w:val="clear" w:color="auto" w:fill="auto"/>
            <w:vAlign w:val="center"/>
          </w:tcPr>
          <w:p w14:paraId="26F69318" w14:textId="77777777" w:rsidR="007D4645" w:rsidRPr="00BD1319" w:rsidRDefault="007D4645" w:rsidP="003B7DBA">
            <w:pP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PROMETHEE II</w:t>
            </w:r>
          </w:p>
        </w:tc>
        <w:tc>
          <w:tcPr>
            <w:tcW w:w="3686" w:type="dxa"/>
            <w:shd w:val="clear" w:color="auto" w:fill="auto"/>
            <w:vAlign w:val="center"/>
            <w:hideMark/>
          </w:tcPr>
          <w:p w14:paraId="5C75BA76" w14:textId="77777777" w:rsidR="007D4645" w:rsidRPr="00BD1319" w:rsidRDefault="007D4645" w:rsidP="003B7DBA">
            <w:pP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 xml:space="preserve">PROMETHEE II se basa en los mismos principios que PROMETHEE I. Este procedimiento proporciona un </w:t>
            </w:r>
            <w:proofErr w:type="spellStart"/>
            <w:r w:rsidRPr="00BD1319">
              <w:rPr>
                <w:rFonts w:cs="Arial"/>
                <w:color w:val="000000"/>
                <w:sz w:val="16"/>
                <w:szCs w:val="16"/>
                <w:lang w:eastAsia="es-MX"/>
              </w:rPr>
              <w:t>preorden</w:t>
            </w:r>
            <w:proofErr w:type="spellEnd"/>
            <w:r w:rsidRPr="00BD1319">
              <w:rPr>
                <w:rFonts w:cs="Arial"/>
                <w:color w:val="000000"/>
                <w:sz w:val="16"/>
                <w:szCs w:val="16"/>
                <w:lang w:eastAsia="es-MX"/>
              </w:rPr>
              <w:t xml:space="preserve"> total de las alternativas utilizando una agregación de los flujos de entrada y salida.</w:t>
            </w:r>
          </w:p>
        </w:tc>
        <w:tc>
          <w:tcPr>
            <w:tcW w:w="992" w:type="dxa"/>
            <w:shd w:val="clear" w:color="auto" w:fill="auto"/>
            <w:vAlign w:val="center"/>
            <w:hideMark/>
          </w:tcPr>
          <w:p w14:paraId="2B7F2A4B"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Comparación por pares</w:t>
            </w:r>
          </w:p>
        </w:tc>
        <w:tc>
          <w:tcPr>
            <w:tcW w:w="1134" w:type="dxa"/>
            <w:shd w:val="clear" w:color="auto" w:fill="auto"/>
            <w:vAlign w:val="center"/>
            <w:hideMark/>
          </w:tcPr>
          <w:p w14:paraId="48864887"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rPr>
              <w:t>{P, I} valorada</w:t>
            </w:r>
          </w:p>
        </w:tc>
        <w:tc>
          <w:tcPr>
            <w:tcW w:w="992" w:type="dxa"/>
            <w:shd w:val="clear" w:color="auto" w:fill="auto"/>
            <w:vAlign w:val="center"/>
            <w:hideMark/>
          </w:tcPr>
          <w:p w14:paraId="62992F3E"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rPr>
              <w:t>Calificación</w:t>
            </w:r>
          </w:p>
        </w:tc>
        <w:tc>
          <w:tcPr>
            <w:tcW w:w="453" w:type="dxa"/>
            <w:shd w:val="clear" w:color="auto" w:fill="auto"/>
            <w:vAlign w:val="center"/>
            <w:hideMark/>
          </w:tcPr>
          <w:p w14:paraId="29B65350"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X</w:t>
            </w:r>
          </w:p>
        </w:tc>
        <w:tc>
          <w:tcPr>
            <w:tcW w:w="454" w:type="dxa"/>
            <w:shd w:val="clear" w:color="auto" w:fill="auto"/>
            <w:vAlign w:val="center"/>
            <w:hideMark/>
          </w:tcPr>
          <w:p w14:paraId="52A6EC38"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X</w:t>
            </w:r>
          </w:p>
        </w:tc>
        <w:tc>
          <w:tcPr>
            <w:tcW w:w="453" w:type="dxa"/>
            <w:shd w:val="clear" w:color="auto" w:fill="auto"/>
            <w:vAlign w:val="center"/>
            <w:hideMark/>
          </w:tcPr>
          <w:p w14:paraId="68C0F71C"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X</w:t>
            </w:r>
          </w:p>
        </w:tc>
        <w:tc>
          <w:tcPr>
            <w:tcW w:w="454" w:type="dxa"/>
            <w:shd w:val="clear" w:color="auto" w:fill="auto"/>
            <w:vAlign w:val="center"/>
            <w:hideMark/>
          </w:tcPr>
          <w:p w14:paraId="4DD4D40C"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X</w:t>
            </w:r>
          </w:p>
        </w:tc>
        <w:tc>
          <w:tcPr>
            <w:tcW w:w="454" w:type="dxa"/>
            <w:shd w:val="clear" w:color="auto" w:fill="auto"/>
            <w:vAlign w:val="center"/>
            <w:hideMark/>
          </w:tcPr>
          <w:p w14:paraId="78D7B941"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p>
        </w:tc>
        <w:tc>
          <w:tcPr>
            <w:tcW w:w="992" w:type="dxa"/>
            <w:shd w:val="clear" w:color="auto" w:fill="auto"/>
            <w:vAlign w:val="center"/>
            <w:hideMark/>
          </w:tcPr>
          <w:p w14:paraId="06EAFE35"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Parcial</w:t>
            </w:r>
          </w:p>
        </w:tc>
        <w:tc>
          <w:tcPr>
            <w:tcW w:w="993" w:type="dxa"/>
            <w:shd w:val="clear" w:color="auto" w:fill="auto"/>
            <w:vAlign w:val="center"/>
            <w:hideMark/>
          </w:tcPr>
          <w:p w14:paraId="0026FA05"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proofErr w:type="spellStart"/>
            <w:r w:rsidRPr="00BD1319">
              <w:rPr>
                <w:rFonts w:cs="Arial"/>
                <w:color w:val="000000"/>
                <w:sz w:val="16"/>
                <w:szCs w:val="16"/>
                <w:lang w:eastAsia="es-MX"/>
              </w:rPr>
              <w:t>ind</w:t>
            </w:r>
            <w:proofErr w:type="spellEnd"/>
            <w:r w:rsidRPr="00BD1319">
              <w:rPr>
                <w:rFonts w:cs="Arial"/>
                <w:color w:val="000000"/>
                <w:sz w:val="16"/>
                <w:szCs w:val="16"/>
                <w:lang w:eastAsia="es-MX"/>
              </w:rPr>
              <w:t xml:space="preserve">., inv., </w:t>
            </w:r>
            <w:proofErr w:type="spellStart"/>
            <w:r w:rsidRPr="00BD1319">
              <w:rPr>
                <w:rFonts w:cs="Arial"/>
                <w:color w:val="000000"/>
                <w:sz w:val="16"/>
                <w:szCs w:val="16"/>
                <w:lang w:eastAsia="es-MX"/>
              </w:rPr>
              <w:t>coal</w:t>
            </w:r>
            <w:proofErr w:type="spellEnd"/>
            <w:r w:rsidRPr="00BD1319">
              <w:rPr>
                <w:rFonts w:cs="Arial"/>
                <w:color w:val="000000"/>
                <w:sz w:val="16"/>
                <w:szCs w:val="16"/>
                <w:lang w:eastAsia="es-MX"/>
              </w:rPr>
              <w:t>.</w:t>
            </w:r>
          </w:p>
        </w:tc>
        <w:tc>
          <w:tcPr>
            <w:tcW w:w="1134" w:type="dxa"/>
            <w:shd w:val="clear" w:color="auto" w:fill="auto"/>
            <w:vAlign w:val="center"/>
            <w:hideMark/>
          </w:tcPr>
          <w:p w14:paraId="72523F38"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Flujos de salida y entrada</w:t>
            </w:r>
          </w:p>
        </w:tc>
        <w:tc>
          <w:tcPr>
            <w:tcW w:w="567" w:type="dxa"/>
            <w:shd w:val="clear" w:color="auto" w:fill="auto"/>
            <w:vAlign w:val="center"/>
          </w:tcPr>
          <w:p w14:paraId="58504A65"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3</w:t>
            </w:r>
          </w:p>
        </w:tc>
      </w:tr>
      <w:tr w:rsidR="000D468E" w:rsidRPr="00BD1319" w14:paraId="012E8C07" w14:textId="77777777" w:rsidTr="00397D08">
        <w:trPr>
          <w:cnfStyle w:val="000000100000" w:firstRow="0" w:lastRow="0" w:firstColumn="0" w:lastColumn="0" w:oddVBand="0" w:evenVBand="0" w:oddHBand="1" w:evenHBand="0" w:firstRowFirstColumn="0" w:firstRowLastColumn="0" w:lastRowFirstColumn="0" w:lastRowLastColumn="0"/>
          <w:trHeight w:val="600"/>
          <w:jc w:val="center"/>
        </w:trPr>
        <w:tc>
          <w:tcPr>
            <w:cnfStyle w:val="001000000000" w:firstRow="0" w:lastRow="0" w:firstColumn="1" w:lastColumn="0" w:oddVBand="0" w:evenVBand="0" w:oddHBand="0" w:evenHBand="0" w:firstRowFirstColumn="0" w:firstRowLastColumn="0" w:lastRowFirstColumn="0" w:lastRowLastColumn="0"/>
            <w:tcW w:w="1134" w:type="dxa"/>
            <w:shd w:val="clear" w:color="auto" w:fill="auto"/>
            <w:vAlign w:val="center"/>
            <w:hideMark/>
          </w:tcPr>
          <w:p w14:paraId="6FC194AE" w14:textId="77777777" w:rsidR="007D4645" w:rsidRPr="00BD1319" w:rsidRDefault="007D4645" w:rsidP="003B7DBA">
            <w:pPr>
              <w:rPr>
                <w:rFonts w:eastAsia="Times New Roman" w:cs="Arial"/>
                <w:b w:val="0"/>
                <w:bCs w:val="0"/>
                <w:color w:val="000000"/>
                <w:sz w:val="16"/>
                <w:szCs w:val="16"/>
                <w:lang w:val="es-CO" w:eastAsia="es-MX"/>
              </w:rPr>
            </w:pPr>
            <w:proofErr w:type="spellStart"/>
            <w:r w:rsidRPr="00BD1319">
              <w:rPr>
                <w:rFonts w:cs="Arial"/>
                <w:color w:val="000000"/>
                <w:sz w:val="16"/>
                <w:szCs w:val="16"/>
              </w:rPr>
              <w:t>Outranking</w:t>
            </w:r>
            <w:proofErr w:type="spellEnd"/>
          </w:p>
        </w:tc>
        <w:tc>
          <w:tcPr>
            <w:tcW w:w="1276" w:type="dxa"/>
            <w:shd w:val="clear" w:color="auto" w:fill="auto"/>
            <w:vAlign w:val="center"/>
          </w:tcPr>
          <w:p w14:paraId="7071BDEF" w14:textId="77777777" w:rsidR="007D4645" w:rsidRPr="00BD1319" w:rsidRDefault="007D4645" w:rsidP="003B7DBA">
            <w:pP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MELCHIOR</w:t>
            </w:r>
          </w:p>
        </w:tc>
        <w:tc>
          <w:tcPr>
            <w:tcW w:w="3686" w:type="dxa"/>
            <w:shd w:val="clear" w:color="auto" w:fill="auto"/>
            <w:vAlign w:val="center"/>
            <w:hideMark/>
          </w:tcPr>
          <w:p w14:paraId="56907B39" w14:textId="77777777" w:rsidR="007D4645" w:rsidRPr="00BD1319" w:rsidRDefault="007D4645" w:rsidP="003B7DBA">
            <w:pP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MELCHIOR es una extensión de ELECTRE IV</w:t>
            </w:r>
          </w:p>
        </w:tc>
        <w:tc>
          <w:tcPr>
            <w:tcW w:w="992" w:type="dxa"/>
            <w:shd w:val="clear" w:color="auto" w:fill="auto"/>
            <w:vAlign w:val="center"/>
            <w:hideMark/>
          </w:tcPr>
          <w:p w14:paraId="7FD42E38"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Comparación por pares</w:t>
            </w:r>
          </w:p>
        </w:tc>
        <w:tc>
          <w:tcPr>
            <w:tcW w:w="1134" w:type="dxa"/>
            <w:shd w:val="clear" w:color="auto" w:fill="auto"/>
            <w:vAlign w:val="center"/>
            <w:hideMark/>
          </w:tcPr>
          <w:p w14:paraId="09FE057F"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rPr>
              <w:t>{S, R} valorada</w:t>
            </w:r>
          </w:p>
        </w:tc>
        <w:tc>
          <w:tcPr>
            <w:tcW w:w="992" w:type="dxa"/>
            <w:shd w:val="clear" w:color="auto" w:fill="auto"/>
            <w:vAlign w:val="center"/>
            <w:hideMark/>
          </w:tcPr>
          <w:p w14:paraId="71258305"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rPr>
              <w:t>Calificación</w:t>
            </w:r>
          </w:p>
        </w:tc>
        <w:tc>
          <w:tcPr>
            <w:tcW w:w="453" w:type="dxa"/>
            <w:shd w:val="clear" w:color="auto" w:fill="auto"/>
            <w:vAlign w:val="center"/>
            <w:hideMark/>
          </w:tcPr>
          <w:p w14:paraId="47204543"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X</w:t>
            </w:r>
          </w:p>
        </w:tc>
        <w:tc>
          <w:tcPr>
            <w:tcW w:w="454" w:type="dxa"/>
            <w:shd w:val="clear" w:color="auto" w:fill="auto"/>
            <w:vAlign w:val="center"/>
            <w:hideMark/>
          </w:tcPr>
          <w:p w14:paraId="3C0DEB4A"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p>
        </w:tc>
        <w:tc>
          <w:tcPr>
            <w:tcW w:w="453" w:type="dxa"/>
            <w:shd w:val="clear" w:color="auto" w:fill="auto"/>
            <w:vAlign w:val="center"/>
            <w:hideMark/>
          </w:tcPr>
          <w:p w14:paraId="7D084873"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val="es-CO" w:eastAsia="es-MX"/>
              </w:rPr>
            </w:pPr>
          </w:p>
        </w:tc>
        <w:tc>
          <w:tcPr>
            <w:tcW w:w="454" w:type="dxa"/>
            <w:shd w:val="clear" w:color="auto" w:fill="auto"/>
            <w:vAlign w:val="center"/>
            <w:hideMark/>
          </w:tcPr>
          <w:p w14:paraId="41D06A6C"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X</w:t>
            </w:r>
          </w:p>
        </w:tc>
        <w:tc>
          <w:tcPr>
            <w:tcW w:w="454" w:type="dxa"/>
            <w:shd w:val="clear" w:color="auto" w:fill="auto"/>
            <w:vAlign w:val="center"/>
            <w:hideMark/>
          </w:tcPr>
          <w:p w14:paraId="738F9ACE"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p>
        </w:tc>
        <w:tc>
          <w:tcPr>
            <w:tcW w:w="992" w:type="dxa"/>
            <w:shd w:val="clear" w:color="auto" w:fill="auto"/>
            <w:vAlign w:val="center"/>
            <w:hideMark/>
          </w:tcPr>
          <w:p w14:paraId="6732CE6A"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Parcial</w:t>
            </w:r>
          </w:p>
        </w:tc>
        <w:tc>
          <w:tcPr>
            <w:tcW w:w="993" w:type="dxa"/>
            <w:shd w:val="clear" w:color="auto" w:fill="auto"/>
            <w:vAlign w:val="center"/>
            <w:hideMark/>
          </w:tcPr>
          <w:p w14:paraId="2325A2D5"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proofErr w:type="spellStart"/>
            <w:r w:rsidRPr="00BD1319">
              <w:rPr>
                <w:rFonts w:cs="Arial"/>
                <w:color w:val="000000"/>
                <w:sz w:val="16"/>
                <w:szCs w:val="16"/>
                <w:lang w:eastAsia="es-MX"/>
              </w:rPr>
              <w:t>ind</w:t>
            </w:r>
            <w:proofErr w:type="spellEnd"/>
            <w:r w:rsidRPr="00BD1319">
              <w:rPr>
                <w:rFonts w:cs="Arial"/>
                <w:color w:val="000000"/>
                <w:sz w:val="16"/>
                <w:szCs w:val="16"/>
                <w:lang w:eastAsia="es-MX"/>
              </w:rPr>
              <w:t>., inv.</w:t>
            </w:r>
          </w:p>
        </w:tc>
        <w:tc>
          <w:tcPr>
            <w:tcW w:w="1134" w:type="dxa"/>
            <w:shd w:val="clear" w:color="auto" w:fill="auto"/>
            <w:vAlign w:val="center"/>
            <w:hideMark/>
          </w:tcPr>
          <w:p w14:paraId="75E4958D"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Teoría de grafos (destilación)</w:t>
            </w:r>
          </w:p>
        </w:tc>
        <w:tc>
          <w:tcPr>
            <w:tcW w:w="567" w:type="dxa"/>
            <w:shd w:val="clear" w:color="auto" w:fill="auto"/>
            <w:vAlign w:val="center"/>
          </w:tcPr>
          <w:p w14:paraId="5D4A29B2"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18</w:t>
            </w:r>
          </w:p>
        </w:tc>
      </w:tr>
      <w:tr w:rsidR="007D4645" w:rsidRPr="00BD1319" w14:paraId="4A3A5058" w14:textId="77777777" w:rsidTr="00397D08">
        <w:trPr>
          <w:trHeight w:val="600"/>
          <w:jc w:val="center"/>
        </w:trPr>
        <w:tc>
          <w:tcPr>
            <w:cnfStyle w:val="001000000000" w:firstRow="0" w:lastRow="0" w:firstColumn="1" w:lastColumn="0" w:oddVBand="0" w:evenVBand="0" w:oddHBand="0" w:evenHBand="0" w:firstRowFirstColumn="0" w:firstRowLastColumn="0" w:lastRowFirstColumn="0" w:lastRowLastColumn="0"/>
            <w:tcW w:w="1134" w:type="dxa"/>
            <w:shd w:val="clear" w:color="auto" w:fill="auto"/>
            <w:vAlign w:val="center"/>
            <w:hideMark/>
          </w:tcPr>
          <w:p w14:paraId="71BE8D68" w14:textId="77777777" w:rsidR="007D4645" w:rsidRPr="00BD1319" w:rsidRDefault="007D4645" w:rsidP="003B7DBA">
            <w:pPr>
              <w:rPr>
                <w:rFonts w:eastAsia="Times New Roman" w:cs="Arial"/>
                <w:b w:val="0"/>
                <w:bCs w:val="0"/>
                <w:color w:val="000000"/>
                <w:sz w:val="16"/>
                <w:szCs w:val="16"/>
                <w:lang w:val="es-CO" w:eastAsia="es-MX"/>
              </w:rPr>
            </w:pPr>
            <w:proofErr w:type="spellStart"/>
            <w:r w:rsidRPr="00BD1319">
              <w:rPr>
                <w:rFonts w:cs="Arial"/>
                <w:color w:val="000000"/>
                <w:sz w:val="16"/>
                <w:szCs w:val="16"/>
              </w:rPr>
              <w:lastRenderedPageBreak/>
              <w:t>Outranking</w:t>
            </w:r>
            <w:proofErr w:type="spellEnd"/>
          </w:p>
        </w:tc>
        <w:tc>
          <w:tcPr>
            <w:tcW w:w="1276" w:type="dxa"/>
            <w:shd w:val="clear" w:color="auto" w:fill="auto"/>
            <w:vAlign w:val="center"/>
          </w:tcPr>
          <w:p w14:paraId="3643B6B5" w14:textId="77777777" w:rsidR="007D4645" w:rsidRPr="00BD1319" w:rsidRDefault="007D4645" w:rsidP="003B7DBA">
            <w:pP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ORESTE</w:t>
            </w:r>
          </w:p>
        </w:tc>
        <w:tc>
          <w:tcPr>
            <w:tcW w:w="3686" w:type="dxa"/>
            <w:shd w:val="clear" w:color="auto" w:fill="auto"/>
            <w:vAlign w:val="center"/>
            <w:hideMark/>
          </w:tcPr>
          <w:p w14:paraId="5EC520BC" w14:textId="77777777" w:rsidR="007D4645" w:rsidRPr="00BD1319" w:rsidRDefault="007D4645" w:rsidP="003B7DBA">
            <w:pP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Este procedimiento necesita solo evaluaciones ordinales de las alternativas y la clasificación de los criterios en términos de importancia.</w:t>
            </w:r>
          </w:p>
        </w:tc>
        <w:tc>
          <w:tcPr>
            <w:tcW w:w="992" w:type="dxa"/>
            <w:shd w:val="clear" w:color="auto" w:fill="auto"/>
            <w:vAlign w:val="center"/>
            <w:hideMark/>
          </w:tcPr>
          <w:p w14:paraId="4B85A41D"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Comparación por pares</w:t>
            </w:r>
          </w:p>
        </w:tc>
        <w:tc>
          <w:tcPr>
            <w:tcW w:w="1134" w:type="dxa"/>
            <w:shd w:val="clear" w:color="auto" w:fill="auto"/>
            <w:vAlign w:val="center"/>
            <w:hideMark/>
          </w:tcPr>
          <w:p w14:paraId="60F5C1E0"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rPr>
              <w:t>{P, I, R} valorada</w:t>
            </w:r>
          </w:p>
        </w:tc>
        <w:tc>
          <w:tcPr>
            <w:tcW w:w="992" w:type="dxa"/>
            <w:shd w:val="clear" w:color="auto" w:fill="auto"/>
            <w:vAlign w:val="center"/>
            <w:hideMark/>
          </w:tcPr>
          <w:p w14:paraId="4F1BAA4E"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rPr>
              <w:t>Calificación</w:t>
            </w:r>
          </w:p>
        </w:tc>
        <w:tc>
          <w:tcPr>
            <w:tcW w:w="453" w:type="dxa"/>
            <w:shd w:val="clear" w:color="auto" w:fill="auto"/>
            <w:vAlign w:val="center"/>
            <w:hideMark/>
          </w:tcPr>
          <w:p w14:paraId="73615CCE"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X</w:t>
            </w:r>
          </w:p>
        </w:tc>
        <w:tc>
          <w:tcPr>
            <w:tcW w:w="454" w:type="dxa"/>
            <w:shd w:val="clear" w:color="auto" w:fill="auto"/>
            <w:vAlign w:val="center"/>
            <w:hideMark/>
          </w:tcPr>
          <w:p w14:paraId="79324F4E"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p>
        </w:tc>
        <w:tc>
          <w:tcPr>
            <w:tcW w:w="453" w:type="dxa"/>
            <w:shd w:val="clear" w:color="auto" w:fill="auto"/>
            <w:vAlign w:val="center"/>
            <w:hideMark/>
          </w:tcPr>
          <w:p w14:paraId="1A1968F0"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val="es-CO" w:eastAsia="es-MX"/>
              </w:rPr>
            </w:pPr>
          </w:p>
        </w:tc>
        <w:tc>
          <w:tcPr>
            <w:tcW w:w="454" w:type="dxa"/>
            <w:shd w:val="clear" w:color="auto" w:fill="auto"/>
            <w:vAlign w:val="center"/>
            <w:hideMark/>
          </w:tcPr>
          <w:p w14:paraId="5BDB6D91"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X</w:t>
            </w:r>
          </w:p>
        </w:tc>
        <w:tc>
          <w:tcPr>
            <w:tcW w:w="454" w:type="dxa"/>
            <w:shd w:val="clear" w:color="auto" w:fill="auto"/>
            <w:vAlign w:val="center"/>
            <w:hideMark/>
          </w:tcPr>
          <w:p w14:paraId="0C073E3A"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p>
        </w:tc>
        <w:tc>
          <w:tcPr>
            <w:tcW w:w="992" w:type="dxa"/>
            <w:shd w:val="clear" w:color="auto" w:fill="auto"/>
            <w:vAlign w:val="center"/>
            <w:hideMark/>
          </w:tcPr>
          <w:p w14:paraId="0CEAF5CA"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Parcial</w:t>
            </w:r>
          </w:p>
        </w:tc>
        <w:tc>
          <w:tcPr>
            <w:tcW w:w="993" w:type="dxa"/>
            <w:shd w:val="clear" w:color="auto" w:fill="auto"/>
            <w:vAlign w:val="center"/>
            <w:hideMark/>
          </w:tcPr>
          <w:p w14:paraId="2CE3FB22"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proofErr w:type="spellStart"/>
            <w:r w:rsidRPr="00BD1319">
              <w:rPr>
                <w:rFonts w:cs="Arial"/>
                <w:color w:val="000000"/>
                <w:sz w:val="16"/>
                <w:szCs w:val="16"/>
                <w:lang w:eastAsia="es-MX"/>
              </w:rPr>
              <w:t>ind</w:t>
            </w:r>
            <w:proofErr w:type="spellEnd"/>
            <w:r w:rsidRPr="00BD1319">
              <w:rPr>
                <w:rFonts w:cs="Arial"/>
                <w:color w:val="000000"/>
                <w:sz w:val="16"/>
                <w:szCs w:val="16"/>
                <w:lang w:eastAsia="es-MX"/>
              </w:rPr>
              <w:t xml:space="preserve">., inv., </w:t>
            </w:r>
            <w:proofErr w:type="spellStart"/>
            <w:r w:rsidRPr="00BD1319">
              <w:rPr>
                <w:rFonts w:cs="Arial"/>
                <w:color w:val="000000"/>
                <w:sz w:val="16"/>
                <w:szCs w:val="16"/>
                <w:lang w:eastAsia="es-MX"/>
              </w:rPr>
              <w:t>coal</w:t>
            </w:r>
            <w:proofErr w:type="spellEnd"/>
            <w:r w:rsidRPr="00BD1319">
              <w:rPr>
                <w:rFonts w:cs="Arial"/>
                <w:color w:val="000000"/>
                <w:sz w:val="16"/>
                <w:szCs w:val="16"/>
                <w:lang w:eastAsia="es-MX"/>
              </w:rPr>
              <w:t>.</w:t>
            </w:r>
          </w:p>
        </w:tc>
        <w:tc>
          <w:tcPr>
            <w:tcW w:w="1134" w:type="dxa"/>
            <w:shd w:val="clear" w:color="auto" w:fill="auto"/>
            <w:vAlign w:val="center"/>
            <w:hideMark/>
          </w:tcPr>
          <w:p w14:paraId="41261C65"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Teoría de grafos</w:t>
            </w:r>
          </w:p>
        </w:tc>
        <w:tc>
          <w:tcPr>
            <w:tcW w:w="567" w:type="dxa"/>
            <w:shd w:val="clear" w:color="auto" w:fill="auto"/>
            <w:vAlign w:val="center"/>
          </w:tcPr>
          <w:p w14:paraId="6E1C2EBF"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25</w:t>
            </w:r>
          </w:p>
        </w:tc>
      </w:tr>
      <w:tr w:rsidR="000D468E" w:rsidRPr="00BD1319" w14:paraId="0E1600C7" w14:textId="77777777" w:rsidTr="00397D08">
        <w:trPr>
          <w:cnfStyle w:val="000000100000" w:firstRow="0" w:lastRow="0" w:firstColumn="0" w:lastColumn="0" w:oddVBand="0" w:evenVBand="0" w:oddHBand="1" w:evenHBand="0" w:firstRowFirstColumn="0" w:firstRowLastColumn="0" w:lastRowFirstColumn="0" w:lastRowLastColumn="0"/>
          <w:trHeight w:val="600"/>
          <w:jc w:val="center"/>
        </w:trPr>
        <w:tc>
          <w:tcPr>
            <w:cnfStyle w:val="001000000000" w:firstRow="0" w:lastRow="0" w:firstColumn="1" w:lastColumn="0" w:oddVBand="0" w:evenVBand="0" w:oddHBand="0" w:evenHBand="0" w:firstRowFirstColumn="0" w:firstRowLastColumn="0" w:lastRowFirstColumn="0" w:lastRowLastColumn="0"/>
            <w:tcW w:w="1134" w:type="dxa"/>
            <w:shd w:val="clear" w:color="auto" w:fill="auto"/>
            <w:vAlign w:val="center"/>
            <w:hideMark/>
          </w:tcPr>
          <w:p w14:paraId="3A291CA8" w14:textId="77777777" w:rsidR="007D4645" w:rsidRPr="00BD1319" w:rsidRDefault="007D4645" w:rsidP="003B7DBA">
            <w:pPr>
              <w:rPr>
                <w:rFonts w:eastAsia="Times New Roman" w:cs="Arial"/>
                <w:b w:val="0"/>
                <w:bCs w:val="0"/>
                <w:color w:val="000000"/>
                <w:sz w:val="16"/>
                <w:szCs w:val="16"/>
                <w:lang w:val="es-CO" w:eastAsia="es-MX"/>
              </w:rPr>
            </w:pPr>
            <w:proofErr w:type="spellStart"/>
            <w:r w:rsidRPr="00BD1319">
              <w:rPr>
                <w:rFonts w:cs="Arial"/>
                <w:color w:val="000000"/>
                <w:sz w:val="16"/>
                <w:szCs w:val="16"/>
              </w:rPr>
              <w:t>Outranking</w:t>
            </w:r>
            <w:proofErr w:type="spellEnd"/>
          </w:p>
        </w:tc>
        <w:tc>
          <w:tcPr>
            <w:tcW w:w="1276" w:type="dxa"/>
            <w:shd w:val="clear" w:color="auto" w:fill="auto"/>
            <w:vAlign w:val="center"/>
          </w:tcPr>
          <w:p w14:paraId="563D26F5" w14:textId="77777777" w:rsidR="007D4645" w:rsidRPr="00BD1319" w:rsidRDefault="007D4645" w:rsidP="003B7DBA">
            <w:pP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REGIME</w:t>
            </w:r>
          </w:p>
        </w:tc>
        <w:tc>
          <w:tcPr>
            <w:tcW w:w="3686" w:type="dxa"/>
            <w:shd w:val="clear" w:color="auto" w:fill="auto"/>
            <w:vAlign w:val="center"/>
            <w:hideMark/>
          </w:tcPr>
          <w:p w14:paraId="030C5B40" w14:textId="77777777" w:rsidR="007D4645" w:rsidRPr="00BD1319" w:rsidRDefault="007D4645" w:rsidP="003B7DBA">
            <w:pP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 xml:space="preserve">Una matriz de comparación por pares se construye usando +1 si hay dominancia, 0 si las dos alternativas son equivalentes y -1 para la dominancia negativa. La agregación de estas puntuaciones ponderadas proporciona un </w:t>
            </w:r>
            <w:proofErr w:type="spellStart"/>
            <w:r w:rsidRPr="00BD1319">
              <w:rPr>
                <w:rFonts w:cs="Arial"/>
                <w:color w:val="000000"/>
                <w:sz w:val="16"/>
                <w:szCs w:val="16"/>
                <w:lang w:eastAsia="es-MX"/>
              </w:rPr>
              <w:t>preorden</w:t>
            </w:r>
            <w:proofErr w:type="spellEnd"/>
            <w:r w:rsidRPr="00BD1319">
              <w:rPr>
                <w:rFonts w:cs="Arial"/>
                <w:color w:val="000000"/>
                <w:sz w:val="16"/>
                <w:szCs w:val="16"/>
                <w:lang w:eastAsia="es-MX"/>
              </w:rPr>
              <w:t xml:space="preserve"> total de las alternativas</w:t>
            </w:r>
          </w:p>
        </w:tc>
        <w:tc>
          <w:tcPr>
            <w:tcW w:w="992" w:type="dxa"/>
            <w:shd w:val="clear" w:color="auto" w:fill="auto"/>
            <w:vAlign w:val="center"/>
            <w:hideMark/>
          </w:tcPr>
          <w:p w14:paraId="0C155C5A"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Comparación por pares</w:t>
            </w:r>
          </w:p>
        </w:tc>
        <w:tc>
          <w:tcPr>
            <w:tcW w:w="1134" w:type="dxa"/>
            <w:shd w:val="clear" w:color="auto" w:fill="auto"/>
            <w:vAlign w:val="center"/>
            <w:hideMark/>
          </w:tcPr>
          <w:p w14:paraId="2A84A1B8"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rPr>
              <w:t>{S, R}</w:t>
            </w:r>
          </w:p>
        </w:tc>
        <w:tc>
          <w:tcPr>
            <w:tcW w:w="992" w:type="dxa"/>
            <w:shd w:val="clear" w:color="auto" w:fill="auto"/>
            <w:vAlign w:val="center"/>
            <w:hideMark/>
          </w:tcPr>
          <w:p w14:paraId="3D3CE315"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rPr>
              <w:t>Calificación</w:t>
            </w:r>
          </w:p>
        </w:tc>
        <w:tc>
          <w:tcPr>
            <w:tcW w:w="453" w:type="dxa"/>
            <w:shd w:val="clear" w:color="auto" w:fill="auto"/>
            <w:vAlign w:val="center"/>
            <w:hideMark/>
          </w:tcPr>
          <w:p w14:paraId="63E05FA7"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X</w:t>
            </w:r>
          </w:p>
        </w:tc>
        <w:tc>
          <w:tcPr>
            <w:tcW w:w="454" w:type="dxa"/>
            <w:shd w:val="clear" w:color="auto" w:fill="auto"/>
            <w:vAlign w:val="center"/>
            <w:hideMark/>
          </w:tcPr>
          <w:p w14:paraId="31C262AF"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p>
        </w:tc>
        <w:tc>
          <w:tcPr>
            <w:tcW w:w="453" w:type="dxa"/>
            <w:shd w:val="clear" w:color="auto" w:fill="auto"/>
            <w:vAlign w:val="center"/>
            <w:hideMark/>
          </w:tcPr>
          <w:p w14:paraId="0950A553"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val="es-CO" w:eastAsia="es-MX"/>
              </w:rPr>
            </w:pPr>
          </w:p>
        </w:tc>
        <w:tc>
          <w:tcPr>
            <w:tcW w:w="454" w:type="dxa"/>
            <w:shd w:val="clear" w:color="auto" w:fill="auto"/>
            <w:vAlign w:val="center"/>
            <w:hideMark/>
          </w:tcPr>
          <w:p w14:paraId="75E31B25"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X</w:t>
            </w:r>
          </w:p>
        </w:tc>
        <w:tc>
          <w:tcPr>
            <w:tcW w:w="454" w:type="dxa"/>
            <w:shd w:val="clear" w:color="auto" w:fill="auto"/>
            <w:vAlign w:val="center"/>
            <w:hideMark/>
          </w:tcPr>
          <w:p w14:paraId="24954AE9"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p>
        </w:tc>
        <w:tc>
          <w:tcPr>
            <w:tcW w:w="992" w:type="dxa"/>
            <w:shd w:val="clear" w:color="auto" w:fill="auto"/>
            <w:vAlign w:val="center"/>
            <w:hideMark/>
          </w:tcPr>
          <w:p w14:paraId="0E6798DA"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Parcial</w:t>
            </w:r>
          </w:p>
        </w:tc>
        <w:tc>
          <w:tcPr>
            <w:tcW w:w="993" w:type="dxa"/>
            <w:shd w:val="clear" w:color="auto" w:fill="auto"/>
            <w:vAlign w:val="center"/>
            <w:hideMark/>
          </w:tcPr>
          <w:p w14:paraId="375F8C42"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proofErr w:type="spellStart"/>
            <w:r w:rsidRPr="00BD1319">
              <w:rPr>
                <w:rFonts w:cs="Arial"/>
                <w:color w:val="000000"/>
                <w:sz w:val="16"/>
                <w:szCs w:val="16"/>
                <w:lang w:eastAsia="es-MX"/>
              </w:rPr>
              <w:t>ind</w:t>
            </w:r>
            <w:proofErr w:type="spellEnd"/>
            <w:r w:rsidRPr="00BD1319">
              <w:rPr>
                <w:rFonts w:cs="Arial"/>
                <w:color w:val="000000"/>
                <w:sz w:val="16"/>
                <w:szCs w:val="16"/>
                <w:lang w:eastAsia="es-MX"/>
              </w:rPr>
              <w:t>., inv.</w:t>
            </w:r>
          </w:p>
        </w:tc>
        <w:tc>
          <w:tcPr>
            <w:tcW w:w="1134" w:type="dxa"/>
            <w:shd w:val="clear" w:color="auto" w:fill="auto"/>
            <w:vAlign w:val="center"/>
            <w:hideMark/>
          </w:tcPr>
          <w:p w14:paraId="67948821"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Teoría de grafos</w:t>
            </w:r>
          </w:p>
        </w:tc>
        <w:tc>
          <w:tcPr>
            <w:tcW w:w="567" w:type="dxa"/>
            <w:shd w:val="clear" w:color="auto" w:fill="auto"/>
            <w:vAlign w:val="center"/>
          </w:tcPr>
          <w:p w14:paraId="4837571E"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12</w:t>
            </w:r>
          </w:p>
        </w:tc>
      </w:tr>
      <w:tr w:rsidR="007D4645" w:rsidRPr="00BD1319" w14:paraId="0D7257CB" w14:textId="77777777" w:rsidTr="00397D08">
        <w:trPr>
          <w:trHeight w:val="600"/>
          <w:jc w:val="center"/>
        </w:trPr>
        <w:tc>
          <w:tcPr>
            <w:cnfStyle w:val="001000000000" w:firstRow="0" w:lastRow="0" w:firstColumn="1" w:lastColumn="0" w:oddVBand="0" w:evenVBand="0" w:oddHBand="0" w:evenHBand="0" w:firstRowFirstColumn="0" w:firstRowLastColumn="0" w:lastRowFirstColumn="0" w:lastRowLastColumn="0"/>
            <w:tcW w:w="1134" w:type="dxa"/>
            <w:shd w:val="clear" w:color="auto" w:fill="auto"/>
            <w:vAlign w:val="center"/>
            <w:hideMark/>
          </w:tcPr>
          <w:p w14:paraId="7D2894D3" w14:textId="77777777" w:rsidR="007D4645" w:rsidRPr="00BD1319" w:rsidRDefault="007D4645" w:rsidP="003B7DBA">
            <w:pPr>
              <w:rPr>
                <w:rFonts w:eastAsia="Times New Roman" w:cs="Arial"/>
                <w:b w:val="0"/>
                <w:bCs w:val="0"/>
                <w:color w:val="000000"/>
                <w:sz w:val="16"/>
                <w:szCs w:val="16"/>
                <w:lang w:val="es-CO" w:eastAsia="es-MX"/>
              </w:rPr>
            </w:pPr>
            <w:proofErr w:type="spellStart"/>
            <w:r w:rsidRPr="00BD1319">
              <w:rPr>
                <w:rFonts w:cs="Arial"/>
                <w:color w:val="000000"/>
                <w:sz w:val="16"/>
                <w:szCs w:val="16"/>
              </w:rPr>
              <w:t>Outranking</w:t>
            </w:r>
            <w:proofErr w:type="spellEnd"/>
          </w:p>
        </w:tc>
        <w:tc>
          <w:tcPr>
            <w:tcW w:w="1276" w:type="dxa"/>
            <w:shd w:val="clear" w:color="auto" w:fill="auto"/>
            <w:vAlign w:val="center"/>
          </w:tcPr>
          <w:p w14:paraId="18E26E3F" w14:textId="77777777" w:rsidR="007D4645" w:rsidRPr="00BD1319" w:rsidRDefault="007D4645" w:rsidP="003B7DBA">
            <w:pP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n-US" w:eastAsia="es-MX"/>
              </w:rPr>
            </w:pPr>
            <w:r w:rsidRPr="00BD1319">
              <w:rPr>
                <w:rFonts w:cs="Arial"/>
                <w:color w:val="000000"/>
                <w:sz w:val="16"/>
                <w:szCs w:val="16"/>
                <w:lang w:val="en-US" w:eastAsia="es-MX"/>
              </w:rPr>
              <w:t>NAIADE (novel approach to imprecise assessment and decision environments)</w:t>
            </w:r>
          </w:p>
        </w:tc>
        <w:tc>
          <w:tcPr>
            <w:tcW w:w="3686" w:type="dxa"/>
            <w:shd w:val="clear" w:color="auto" w:fill="auto"/>
            <w:vAlign w:val="center"/>
            <w:hideMark/>
          </w:tcPr>
          <w:p w14:paraId="41AC29A6" w14:textId="77777777" w:rsidR="007D4645" w:rsidRPr="00BD1319" w:rsidRDefault="007D4645" w:rsidP="003B7DBA">
            <w:pP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Este procedimiento utiliza operadores semánticos de distancia para evaluar las comparaciones por pares entre alternativas. Las evaluaciones difusas se transforman en distribuciones de probabilidades y como PROMETHEE, este procedimiento calcula los flujos de entrada y salida</w:t>
            </w:r>
          </w:p>
        </w:tc>
        <w:tc>
          <w:tcPr>
            <w:tcW w:w="992" w:type="dxa"/>
            <w:shd w:val="clear" w:color="auto" w:fill="auto"/>
            <w:vAlign w:val="center"/>
            <w:hideMark/>
          </w:tcPr>
          <w:p w14:paraId="04C69914"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Comparación por pares</w:t>
            </w:r>
          </w:p>
        </w:tc>
        <w:tc>
          <w:tcPr>
            <w:tcW w:w="1134" w:type="dxa"/>
            <w:shd w:val="clear" w:color="auto" w:fill="auto"/>
            <w:vAlign w:val="center"/>
            <w:hideMark/>
          </w:tcPr>
          <w:p w14:paraId="51EB4A96"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rPr>
              <w:t>{S, R}</w:t>
            </w:r>
          </w:p>
        </w:tc>
        <w:tc>
          <w:tcPr>
            <w:tcW w:w="992" w:type="dxa"/>
            <w:shd w:val="clear" w:color="auto" w:fill="auto"/>
            <w:vAlign w:val="center"/>
            <w:hideMark/>
          </w:tcPr>
          <w:p w14:paraId="4A9950C8"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rPr>
              <w:t>Calificación</w:t>
            </w:r>
          </w:p>
        </w:tc>
        <w:tc>
          <w:tcPr>
            <w:tcW w:w="453" w:type="dxa"/>
            <w:shd w:val="clear" w:color="auto" w:fill="auto"/>
            <w:vAlign w:val="center"/>
            <w:hideMark/>
          </w:tcPr>
          <w:p w14:paraId="76BCDEE5"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X</w:t>
            </w:r>
          </w:p>
        </w:tc>
        <w:tc>
          <w:tcPr>
            <w:tcW w:w="454" w:type="dxa"/>
            <w:shd w:val="clear" w:color="auto" w:fill="auto"/>
            <w:vAlign w:val="center"/>
            <w:hideMark/>
          </w:tcPr>
          <w:p w14:paraId="46BFFA04"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X</w:t>
            </w:r>
          </w:p>
        </w:tc>
        <w:tc>
          <w:tcPr>
            <w:tcW w:w="453" w:type="dxa"/>
            <w:shd w:val="clear" w:color="auto" w:fill="auto"/>
            <w:vAlign w:val="center"/>
            <w:hideMark/>
          </w:tcPr>
          <w:p w14:paraId="4DE74AFC"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X</w:t>
            </w:r>
          </w:p>
        </w:tc>
        <w:tc>
          <w:tcPr>
            <w:tcW w:w="454" w:type="dxa"/>
            <w:shd w:val="clear" w:color="auto" w:fill="auto"/>
            <w:vAlign w:val="center"/>
            <w:hideMark/>
          </w:tcPr>
          <w:p w14:paraId="3D349617"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X</w:t>
            </w:r>
          </w:p>
        </w:tc>
        <w:tc>
          <w:tcPr>
            <w:tcW w:w="454" w:type="dxa"/>
            <w:shd w:val="clear" w:color="auto" w:fill="auto"/>
            <w:vAlign w:val="center"/>
            <w:hideMark/>
          </w:tcPr>
          <w:p w14:paraId="256EC374"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X</w:t>
            </w:r>
          </w:p>
        </w:tc>
        <w:tc>
          <w:tcPr>
            <w:tcW w:w="992" w:type="dxa"/>
            <w:shd w:val="clear" w:color="auto" w:fill="auto"/>
            <w:vAlign w:val="center"/>
            <w:hideMark/>
          </w:tcPr>
          <w:p w14:paraId="254CFD7A"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Parcial</w:t>
            </w:r>
          </w:p>
        </w:tc>
        <w:tc>
          <w:tcPr>
            <w:tcW w:w="993" w:type="dxa"/>
            <w:shd w:val="clear" w:color="auto" w:fill="auto"/>
            <w:vAlign w:val="center"/>
            <w:hideMark/>
          </w:tcPr>
          <w:p w14:paraId="15A4FDFA"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proofErr w:type="spellStart"/>
            <w:r w:rsidRPr="00BD1319">
              <w:rPr>
                <w:rFonts w:cs="Arial"/>
                <w:color w:val="000000"/>
                <w:sz w:val="16"/>
                <w:szCs w:val="16"/>
                <w:lang w:eastAsia="es-MX"/>
              </w:rPr>
              <w:t>ind</w:t>
            </w:r>
            <w:proofErr w:type="spellEnd"/>
            <w:r w:rsidRPr="00BD1319">
              <w:rPr>
                <w:rFonts w:cs="Arial"/>
                <w:color w:val="000000"/>
                <w:sz w:val="16"/>
                <w:szCs w:val="16"/>
                <w:lang w:eastAsia="es-MX"/>
              </w:rPr>
              <w:t>., inv.</w:t>
            </w:r>
          </w:p>
        </w:tc>
        <w:tc>
          <w:tcPr>
            <w:tcW w:w="1134" w:type="dxa"/>
            <w:shd w:val="clear" w:color="auto" w:fill="auto"/>
            <w:vAlign w:val="center"/>
            <w:hideMark/>
          </w:tcPr>
          <w:p w14:paraId="75B00C53"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Aritmética difusa y flujos de entrada y salida</w:t>
            </w:r>
          </w:p>
        </w:tc>
        <w:tc>
          <w:tcPr>
            <w:tcW w:w="567" w:type="dxa"/>
            <w:shd w:val="clear" w:color="auto" w:fill="auto"/>
            <w:vAlign w:val="center"/>
          </w:tcPr>
          <w:p w14:paraId="7DD5C84E"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22</w:t>
            </w:r>
          </w:p>
        </w:tc>
      </w:tr>
      <w:tr w:rsidR="000D468E" w:rsidRPr="00BD1319" w14:paraId="31AF72FA" w14:textId="77777777" w:rsidTr="00397D08">
        <w:trPr>
          <w:cnfStyle w:val="000000100000" w:firstRow="0" w:lastRow="0" w:firstColumn="0" w:lastColumn="0" w:oddVBand="0" w:evenVBand="0" w:oddHBand="1" w:evenHBand="0" w:firstRowFirstColumn="0" w:firstRowLastColumn="0" w:lastRowFirstColumn="0" w:lastRowLastColumn="0"/>
          <w:trHeight w:val="600"/>
          <w:jc w:val="center"/>
        </w:trPr>
        <w:tc>
          <w:tcPr>
            <w:cnfStyle w:val="001000000000" w:firstRow="0" w:lastRow="0" w:firstColumn="1" w:lastColumn="0" w:oddVBand="0" w:evenVBand="0" w:oddHBand="0" w:evenHBand="0" w:firstRowFirstColumn="0" w:firstRowLastColumn="0" w:lastRowFirstColumn="0" w:lastRowLastColumn="0"/>
            <w:tcW w:w="1134" w:type="dxa"/>
            <w:shd w:val="clear" w:color="auto" w:fill="auto"/>
            <w:vAlign w:val="center"/>
            <w:hideMark/>
          </w:tcPr>
          <w:p w14:paraId="769EB92B" w14:textId="77777777" w:rsidR="007D4645" w:rsidRPr="00BD1319" w:rsidRDefault="007D4645" w:rsidP="003B7DBA">
            <w:pPr>
              <w:rPr>
                <w:rFonts w:eastAsia="Times New Roman" w:cs="Arial"/>
                <w:b w:val="0"/>
                <w:bCs w:val="0"/>
                <w:color w:val="000000"/>
                <w:sz w:val="16"/>
                <w:szCs w:val="16"/>
                <w:lang w:val="es-CO" w:eastAsia="es-MX"/>
              </w:rPr>
            </w:pPr>
            <w:r w:rsidRPr="00BD1319">
              <w:rPr>
                <w:rFonts w:cs="Arial"/>
                <w:color w:val="000000"/>
                <w:sz w:val="16"/>
                <w:szCs w:val="16"/>
              </w:rPr>
              <w:t>Mixto</w:t>
            </w:r>
          </w:p>
        </w:tc>
        <w:tc>
          <w:tcPr>
            <w:tcW w:w="1276" w:type="dxa"/>
            <w:shd w:val="clear" w:color="auto" w:fill="auto"/>
            <w:vAlign w:val="center"/>
          </w:tcPr>
          <w:p w14:paraId="4232B031" w14:textId="77777777" w:rsidR="007D4645" w:rsidRPr="00BD1319" w:rsidRDefault="007D4645" w:rsidP="003B7DBA">
            <w:pP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QUALIFLEX</w:t>
            </w:r>
          </w:p>
        </w:tc>
        <w:tc>
          <w:tcPr>
            <w:tcW w:w="3686" w:type="dxa"/>
            <w:shd w:val="clear" w:color="auto" w:fill="auto"/>
            <w:vAlign w:val="center"/>
            <w:hideMark/>
          </w:tcPr>
          <w:p w14:paraId="2D9E0E29" w14:textId="77777777" w:rsidR="007D4645" w:rsidRPr="00BD1319" w:rsidRDefault="007D4645" w:rsidP="003B7DBA">
            <w:pP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Este procedimiento utiliza mutaciones sucesivas para proporcionar una clasificación de la alternativa corroborando con la información ordinal.</w:t>
            </w:r>
          </w:p>
        </w:tc>
        <w:tc>
          <w:tcPr>
            <w:tcW w:w="992" w:type="dxa"/>
            <w:shd w:val="clear" w:color="auto" w:fill="auto"/>
            <w:vAlign w:val="center"/>
            <w:hideMark/>
          </w:tcPr>
          <w:p w14:paraId="239203E0"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Comparación por pares</w:t>
            </w:r>
          </w:p>
        </w:tc>
        <w:tc>
          <w:tcPr>
            <w:tcW w:w="1134" w:type="dxa"/>
            <w:shd w:val="clear" w:color="auto" w:fill="auto"/>
            <w:vAlign w:val="center"/>
            <w:hideMark/>
          </w:tcPr>
          <w:p w14:paraId="33AB7F11"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rPr>
              <w:t>{S, R}</w:t>
            </w:r>
          </w:p>
        </w:tc>
        <w:tc>
          <w:tcPr>
            <w:tcW w:w="992" w:type="dxa"/>
            <w:shd w:val="clear" w:color="auto" w:fill="auto"/>
            <w:vAlign w:val="center"/>
            <w:hideMark/>
          </w:tcPr>
          <w:p w14:paraId="55368F15"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rPr>
              <w:t>Calificación</w:t>
            </w:r>
          </w:p>
        </w:tc>
        <w:tc>
          <w:tcPr>
            <w:tcW w:w="453" w:type="dxa"/>
            <w:shd w:val="clear" w:color="auto" w:fill="auto"/>
            <w:vAlign w:val="center"/>
            <w:hideMark/>
          </w:tcPr>
          <w:p w14:paraId="291C05A7"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X</w:t>
            </w:r>
          </w:p>
        </w:tc>
        <w:tc>
          <w:tcPr>
            <w:tcW w:w="454" w:type="dxa"/>
            <w:shd w:val="clear" w:color="auto" w:fill="auto"/>
            <w:vAlign w:val="center"/>
            <w:hideMark/>
          </w:tcPr>
          <w:p w14:paraId="33119629"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p>
        </w:tc>
        <w:tc>
          <w:tcPr>
            <w:tcW w:w="453" w:type="dxa"/>
            <w:shd w:val="clear" w:color="auto" w:fill="auto"/>
            <w:vAlign w:val="center"/>
            <w:hideMark/>
          </w:tcPr>
          <w:p w14:paraId="44BA691A"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val="es-CO" w:eastAsia="es-MX"/>
              </w:rPr>
            </w:pPr>
          </w:p>
        </w:tc>
        <w:tc>
          <w:tcPr>
            <w:tcW w:w="454" w:type="dxa"/>
            <w:shd w:val="clear" w:color="auto" w:fill="auto"/>
            <w:vAlign w:val="center"/>
            <w:hideMark/>
          </w:tcPr>
          <w:p w14:paraId="3E5EEBDA"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X</w:t>
            </w:r>
          </w:p>
        </w:tc>
        <w:tc>
          <w:tcPr>
            <w:tcW w:w="454" w:type="dxa"/>
            <w:shd w:val="clear" w:color="auto" w:fill="auto"/>
            <w:vAlign w:val="center"/>
            <w:hideMark/>
          </w:tcPr>
          <w:p w14:paraId="5A8AE921"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p>
        </w:tc>
        <w:tc>
          <w:tcPr>
            <w:tcW w:w="992" w:type="dxa"/>
            <w:shd w:val="clear" w:color="auto" w:fill="auto"/>
            <w:vAlign w:val="center"/>
            <w:hideMark/>
          </w:tcPr>
          <w:p w14:paraId="1E1E7626"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Parcial</w:t>
            </w:r>
          </w:p>
        </w:tc>
        <w:tc>
          <w:tcPr>
            <w:tcW w:w="993" w:type="dxa"/>
            <w:shd w:val="clear" w:color="auto" w:fill="auto"/>
            <w:vAlign w:val="center"/>
            <w:hideMark/>
          </w:tcPr>
          <w:p w14:paraId="11A75D82"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proofErr w:type="spellStart"/>
            <w:r w:rsidRPr="00BD1319">
              <w:rPr>
                <w:rFonts w:cs="Arial"/>
                <w:color w:val="000000"/>
                <w:sz w:val="16"/>
                <w:szCs w:val="16"/>
                <w:lang w:eastAsia="es-MX"/>
              </w:rPr>
              <w:t>ind</w:t>
            </w:r>
            <w:proofErr w:type="spellEnd"/>
            <w:r w:rsidRPr="00BD1319">
              <w:rPr>
                <w:rFonts w:cs="Arial"/>
                <w:color w:val="000000"/>
                <w:sz w:val="16"/>
                <w:szCs w:val="16"/>
                <w:lang w:eastAsia="es-MX"/>
              </w:rPr>
              <w:t>., inv.</w:t>
            </w:r>
          </w:p>
        </w:tc>
        <w:tc>
          <w:tcPr>
            <w:tcW w:w="1134" w:type="dxa"/>
            <w:shd w:val="clear" w:color="auto" w:fill="auto"/>
            <w:vAlign w:val="center"/>
            <w:hideMark/>
          </w:tcPr>
          <w:p w14:paraId="5CBB0590"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Análisis de concordancia</w:t>
            </w:r>
          </w:p>
        </w:tc>
        <w:tc>
          <w:tcPr>
            <w:tcW w:w="567" w:type="dxa"/>
            <w:shd w:val="clear" w:color="auto" w:fill="auto"/>
            <w:vAlign w:val="center"/>
          </w:tcPr>
          <w:p w14:paraId="0DD14E24"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24</w:t>
            </w:r>
          </w:p>
        </w:tc>
      </w:tr>
      <w:tr w:rsidR="007D4645" w:rsidRPr="00BD1319" w14:paraId="05EEF04E" w14:textId="77777777" w:rsidTr="00397D08">
        <w:trPr>
          <w:trHeight w:val="600"/>
          <w:jc w:val="center"/>
        </w:trPr>
        <w:tc>
          <w:tcPr>
            <w:cnfStyle w:val="001000000000" w:firstRow="0" w:lastRow="0" w:firstColumn="1" w:lastColumn="0" w:oddVBand="0" w:evenVBand="0" w:oddHBand="0" w:evenHBand="0" w:firstRowFirstColumn="0" w:firstRowLastColumn="0" w:lastRowFirstColumn="0" w:lastRowLastColumn="0"/>
            <w:tcW w:w="1134" w:type="dxa"/>
            <w:shd w:val="clear" w:color="auto" w:fill="auto"/>
            <w:vAlign w:val="center"/>
            <w:hideMark/>
          </w:tcPr>
          <w:p w14:paraId="32DAA7A1" w14:textId="77777777" w:rsidR="007D4645" w:rsidRPr="00BD1319" w:rsidRDefault="007D4645" w:rsidP="003B7DBA">
            <w:pPr>
              <w:rPr>
                <w:rFonts w:eastAsia="Times New Roman" w:cs="Arial"/>
                <w:b w:val="0"/>
                <w:bCs w:val="0"/>
                <w:color w:val="000000"/>
                <w:sz w:val="16"/>
                <w:szCs w:val="16"/>
                <w:lang w:val="es-CO" w:eastAsia="es-MX"/>
              </w:rPr>
            </w:pPr>
            <w:r w:rsidRPr="00BD1319">
              <w:rPr>
                <w:rFonts w:cs="Arial"/>
                <w:color w:val="000000"/>
                <w:sz w:val="16"/>
                <w:szCs w:val="16"/>
              </w:rPr>
              <w:t>Mixto</w:t>
            </w:r>
          </w:p>
        </w:tc>
        <w:tc>
          <w:tcPr>
            <w:tcW w:w="1276" w:type="dxa"/>
            <w:shd w:val="clear" w:color="auto" w:fill="auto"/>
            <w:vAlign w:val="center"/>
          </w:tcPr>
          <w:p w14:paraId="095D97EB" w14:textId="77777777" w:rsidR="007D4645" w:rsidRPr="00BD1319" w:rsidRDefault="007D4645" w:rsidP="003B7DBA">
            <w:pP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Conjuntivo/Disyuntivo difuso</w:t>
            </w:r>
          </w:p>
        </w:tc>
        <w:tc>
          <w:tcPr>
            <w:tcW w:w="3686" w:type="dxa"/>
            <w:shd w:val="clear" w:color="auto" w:fill="auto"/>
            <w:vAlign w:val="center"/>
            <w:hideMark/>
          </w:tcPr>
          <w:p w14:paraId="6699D056" w14:textId="77777777" w:rsidR="007D4645" w:rsidRPr="00BD1319" w:rsidRDefault="007D4645" w:rsidP="003B7DBA">
            <w:pP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Cuando los datos son confusos, la coincidencia entre los valores y los niveles estándar proporcionados por el DM y las evaluaciones se vuelve vaga y una cuestión de grado. El grado de coincidencia se calcula utilizando la medida de posibilidad y la medida de necesidad. Las alternativas con mayor grado de coincidencia se consideran las mejores</w:t>
            </w:r>
          </w:p>
        </w:tc>
        <w:tc>
          <w:tcPr>
            <w:tcW w:w="992" w:type="dxa"/>
            <w:shd w:val="clear" w:color="auto" w:fill="auto"/>
            <w:vAlign w:val="center"/>
            <w:hideMark/>
          </w:tcPr>
          <w:p w14:paraId="35DA5566"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Sencillo</w:t>
            </w:r>
          </w:p>
        </w:tc>
        <w:tc>
          <w:tcPr>
            <w:tcW w:w="1134" w:type="dxa"/>
            <w:shd w:val="clear" w:color="auto" w:fill="auto"/>
            <w:vAlign w:val="center"/>
            <w:hideMark/>
          </w:tcPr>
          <w:p w14:paraId="140B01F3"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rPr>
              <w:t>{P, Q, I}</w:t>
            </w:r>
          </w:p>
        </w:tc>
        <w:tc>
          <w:tcPr>
            <w:tcW w:w="992" w:type="dxa"/>
            <w:shd w:val="clear" w:color="auto" w:fill="auto"/>
            <w:vAlign w:val="center"/>
            <w:hideMark/>
          </w:tcPr>
          <w:p w14:paraId="05567D3B"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rPr>
              <w:t>Elección, Clasificación</w:t>
            </w:r>
          </w:p>
        </w:tc>
        <w:tc>
          <w:tcPr>
            <w:tcW w:w="453" w:type="dxa"/>
            <w:shd w:val="clear" w:color="auto" w:fill="auto"/>
            <w:vAlign w:val="center"/>
            <w:hideMark/>
          </w:tcPr>
          <w:p w14:paraId="620EEB84"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p>
        </w:tc>
        <w:tc>
          <w:tcPr>
            <w:tcW w:w="454" w:type="dxa"/>
            <w:shd w:val="clear" w:color="auto" w:fill="auto"/>
            <w:vAlign w:val="center"/>
            <w:hideMark/>
          </w:tcPr>
          <w:p w14:paraId="716E11CC"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val="es-CO" w:eastAsia="es-MX"/>
              </w:rPr>
            </w:pPr>
          </w:p>
        </w:tc>
        <w:tc>
          <w:tcPr>
            <w:tcW w:w="453" w:type="dxa"/>
            <w:shd w:val="clear" w:color="auto" w:fill="auto"/>
            <w:vAlign w:val="center"/>
            <w:hideMark/>
          </w:tcPr>
          <w:p w14:paraId="26ADC010"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X</w:t>
            </w:r>
          </w:p>
        </w:tc>
        <w:tc>
          <w:tcPr>
            <w:tcW w:w="454" w:type="dxa"/>
            <w:shd w:val="clear" w:color="auto" w:fill="auto"/>
            <w:vAlign w:val="center"/>
            <w:hideMark/>
          </w:tcPr>
          <w:p w14:paraId="72ADF083"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p>
        </w:tc>
        <w:tc>
          <w:tcPr>
            <w:tcW w:w="454" w:type="dxa"/>
            <w:shd w:val="clear" w:color="auto" w:fill="auto"/>
            <w:vAlign w:val="center"/>
            <w:hideMark/>
          </w:tcPr>
          <w:p w14:paraId="15F0D577"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X</w:t>
            </w:r>
          </w:p>
        </w:tc>
        <w:tc>
          <w:tcPr>
            <w:tcW w:w="992" w:type="dxa"/>
            <w:shd w:val="clear" w:color="auto" w:fill="auto"/>
            <w:vAlign w:val="center"/>
            <w:hideMark/>
          </w:tcPr>
          <w:p w14:paraId="533A0415"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Ninguna</w:t>
            </w:r>
          </w:p>
        </w:tc>
        <w:tc>
          <w:tcPr>
            <w:tcW w:w="993" w:type="dxa"/>
            <w:shd w:val="clear" w:color="auto" w:fill="auto"/>
            <w:vAlign w:val="center"/>
            <w:hideMark/>
          </w:tcPr>
          <w:p w14:paraId="73BB68E6"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proofErr w:type="spellStart"/>
            <w:r w:rsidRPr="00BD1319">
              <w:rPr>
                <w:rFonts w:cs="Arial"/>
                <w:color w:val="000000"/>
                <w:sz w:val="16"/>
                <w:szCs w:val="16"/>
                <w:lang w:eastAsia="es-MX"/>
              </w:rPr>
              <w:t>ind</w:t>
            </w:r>
            <w:proofErr w:type="spellEnd"/>
            <w:r w:rsidRPr="00BD1319">
              <w:rPr>
                <w:rFonts w:cs="Arial"/>
                <w:color w:val="000000"/>
                <w:sz w:val="16"/>
                <w:szCs w:val="16"/>
                <w:lang w:eastAsia="es-MX"/>
              </w:rPr>
              <w:t xml:space="preserve">., inv., </w:t>
            </w:r>
            <w:proofErr w:type="spellStart"/>
            <w:r w:rsidRPr="00BD1319">
              <w:rPr>
                <w:rFonts w:cs="Arial"/>
                <w:color w:val="000000"/>
                <w:sz w:val="16"/>
                <w:szCs w:val="16"/>
                <w:lang w:eastAsia="es-MX"/>
              </w:rPr>
              <w:t>tran</w:t>
            </w:r>
            <w:proofErr w:type="spellEnd"/>
            <w:r w:rsidRPr="00BD1319">
              <w:rPr>
                <w:rFonts w:cs="Arial"/>
                <w:color w:val="000000"/>
                <w:sz w:val="16"/>
                <w:szCs w:val="16"/>
                <w:lang w:eastAsia="es-MX"/>
              </w:rPr>
              <w:t>., dom.</w:t>
            </w:r>
          </w:p>
        </w:tc>
        <w:tc>
          <w:tcPr>
            <w:tcW w:w="1134" w:type="dxa"/>
            <w:shd w:val="clear" w:color="auto" w:fill="auto"/>
            <w:vAlign w:val="center"/>
            <w:hideMark/>
          </w:tcPr>
          <w:p w14:paraId="77B4467F"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Medidas de posibilidad y necesidad</w:t>
            </w:r>
          </w:p>
        </w:tc>
        <w:tc>
          <w:tcPr>
            <w:tcW w:w="567" w:type="dxa"/>
            <w:shd w:val="clear" w:color="auto" w:fill="auto"/>
            <w:vAlign w:val="center"/>
          </w:tcPr>
          <w:p w14:paraId="5A017B95" w14:textId="77777777" w:rsidR="007D4645" w:rsidRPr="00BD1319" w:rsidRDefault="007D4645" w:rsidP="003B7DB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9</w:t>
            </w:r>
          </w:p>
        </w:tc>
      </w:tr>
      <w:tr w:rsidR="000D468E" w:rsidRPr="00BD1319" w14:paraId="6407624B" w14:textId="77777777" w:rsidTr="00397D08">
        <w:trPr>
          <w:cnfStyle w:val="000000100000" w:firstRow="0" w:lastRow="0" w:firstColumn="0" w:lastColumn="0" w:oddVBand="0" w:evenVBand="0" w:oddHBand="1" w:evenHBand="0" w:firstRowFirstColumn="0" w:firstRowLastColumn="0" w:lastRowFirstColumn="0" w:lastRowLastColumn="0"/>
          <w:trHeight w:val="600"/>
          <w:jc w:val="center"/>
        </w:trPr>
        <w:tc>
          <w:tcPr>
            <w:cnfStyle w:val="001000000000" w:firstRow="0" w:lastRow="0" w:firstColumn="1" w:lastColumn="0" w:oddVBand="0" w:evenVBand="0" w:oddHBand="0" w:evenHBand="0" w:firstRowFirstColumn="0" w:firstRowLastColumn="0" w:lastRowFirstColumn="0" w:lastRowLastColumn="0"/>
            <w:tcW w:w="1134" w:type="dxa"/>
            <w:shd w:val="clear" w:color="auto" w:fill="auto"/>
            <w:vAlign w:val="center"/>
            <w:hideMark/>
          </w:tcPr>
          <w:p w14:paraId="3A858666" w14:textId="77777777" w:rsidR="007D4645" w:rsidRPr="00BD1319" w:rsidRDefault="007D4645" w:rsidP="003B7DBA">
            <w:pPr>
              <w:rPr>
                <w:rFonts w:eastAsia="Times New Roman" w:cs="Arial"/>
                <w:b w:val="0"/>
                <w:bCs w:val="0"/>
                <w:color w:val="000000"/>
                <w:sz w:val="16"/>
                <w:szCs w:val="16"/>
                <w:lang w:val="es-CO" w:eastAsia="es-MX"/>
              </w:rPr>
            </w:pPr>
            <w:r w:rsidRPr="00BD1319">
              <w:rPr>
                <w:rFonts w:cs="Arial"/>
                <w:color w:val="000000"/>
                <w:sz w:val="16"/>
                <w:szCs w:val="16"/>
              </w:rPr>
              <w:t>Mixto</w:t>
            </w:r>
          </w:p>
        </w:tc>
        <w:tc>
          <w:tcPr>
            <w:tcW w:w="1276" w:type="dxa"/>
            <w:shd w:val="clear" w:color="auto" w:fill="auto"/>
            <w:vAlign w:val="center"/>
          </w:tcPr>
          <w:p w14:paraId="2F81DB63" w14:textId="77777777" w:rsidR="007D4645" w:rsidRPr="00BD1319" w:rsidRDefault="007D4645" w:rsidP="003B7DBA">
            <w:pP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Martel &amp; Zaras</w:t>
            </w:r>
          </w:p>
        </w:tc>
        <w:tc>
          <w:tcPr>
            <w:tcW w:w="3686" w:type="dxa"/>
            <w:shd w:val="clear" w:color="auto" w:fill="auto"/>
            <w:vAlign w:val="center"/>
            <w:hideMark/>
          </w:tcPr>
          <w:p w14:paraId="23CA20C2" w14:textId="77777777" w:rsidR="007D4645" w:rsidRPr="00BD1319" w:rsidRDefault="007D4645" w:rsidP="003B7DBA">
            <w:pP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Este procedimiento utiliza la dominancia estocástica para realizar una comparación por pares. Estas comparaciones se utilizan como preferencias parciales y se construye una relación de superación basada en un índice de concordancia y un índice de discordancia.</w:t>
            </w:r>
          </w:p>
        </w:tc>
        <w:tc>
          <w:tcPr>
            <w:tcW w:w="992" w:type="dxa"/>
            <w:shd w:val="clear" w:color="auto" w:fill="auto"/>
            <w:vAlign w:val="center"/>
            <w:hideMark/>
          </w:tcPr>
          <w:p w14:paraId="1C578A5F"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Comparación por pares</w:t>
            </w:r>
          </w:p>
        </w:tc>
        <w:tc>
          <w:tcPr>
            <w:tcW w:w="1134" w:type="dxa"/>
            <w:shd w:val="clear" w:color="auto" w:fill="auto"/>
            <w:vAlign w:val="center"/>
            <w:hideMark/>
          </w:tcPr>
          <w:p w14:paraId="65641475"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rPr>
              <w:t>{S, R}</w:t>
            </w:r>
          </w:p>
        </w:tc>
        <w:tc>
          <w:tcPr>
            <w:tcW w:w="992" w:type="dxa"/>
            <w:shd w:val="clear" w:color="auto" w:fill="auto"/>
            <w:vAlign w:val="center"/>
            <w:hideMark/>
          </w:tcPr>
          <w:p w14:paraId="4B71C450"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rPr>
              <w:t>Calificación</w:t>
            </w:r>
          </w:p>
        </w:tc>
        <w:tc>
          <w:tcPr>
            <w:tcW w:w="453" w:type="dxa"/>
            <w:shd w:val="clear" w:color="auto" w:fill="auto"/>
            <w:vAlign w:val="center"/>
            <w:hideMark/>
          </w:tcPr>
          <w:p w14:paraId="66851BE9"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X</w:t>
            </w:r>
          </w:p>
        </w:tc>
        <w:tc>
          <w:tcPr>
            <w:tcW w:w="454" w:type="dxa"/>
            <w:shd w:val="clear" w:color="auto" w:fill="auto"/>
            <w:vAlign w:val="center"/>
            <w:hideMark/>
          </w:tcPr>
          <w:p w14:paraId="1B8C943C"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X</w:t>
            </w:r>
          </w:p>
        </w:tc>
        <w:tc>
          <w:tcPr>
            <w:tcW w:w="453" w:type="dxa"/>
            <w:shd w:val="clear" w:color="auto" w:fill="auto"/>
            <w:vAlign w:val="center"/>
            <w:hideMark/>
          </w:tcPr>
          <w:p w14:paraId="7B1F8C6C"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X</w:t>
            </w:r>
          </w:p>
        </w:tc>
        <w:tc>
          <w:tcPr>
            <w:tcW w:w="454" w:type="dxa"/>
            <w:shd w:val="clear" w:color="auto" w:fill="auto"/>
            <w:vAlign w:val="center"/>
            <w:hideMark/>
          </w:tcPr>
          <w:p w14:paraId="045B0825"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p>
        </w:tc>
        <w:tc>
          <w:tcPr>
            <w:tcW w:w="454" w:type="dxa"/>
            <w:shd w:val="clear" w:color="auto" w:fill="auto"/>
            <w:vAlign w:val="center"/>
            <w:hideMark/>
          </w:tcPr>
          <w:p w14:paraId="33541F20"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X</w:t>
            </w:r>
          </w:p>
        </w:tc>
        <w:tc>
          <w:tcPr>
            <w:tcW w:w="992" w:type="dxa"/>
            <w:shd w:val="clear" w:color="auto" w:fill="auto"/>
            <w:vAlign w:val="center"/>
            <w:hideMark/>
          </w:tcPr>
          <w:p w14:paraId="3D3AE47E"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Parcial</w:t>
            </w:r>
          </w:p>
        </w:tc>
        <w:tc>
          <w:tcPr>
            <w:tcW w:w="993" w:type="dxa"/>
            <w:shd w:val="clear" w:color="auto" w:fill="auto"/>
            <w:vAlign w:val="center"/>
            <w:hideMark/>
          </w:tcPr>
          <w:p w14:paraId="175C95C2"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proofErr w:type="spellStart"/>
            <w:r w:rsidRPr="00BD1319">
              <w:rPr>
                <w:rFonts w:cs="Arial"/>
                <w:color w:val="000000"/>
                <w:sz w:val="16"/>
                <w:szCs w:val="16"/>
                <w:lang w:eastAsia="es-MX"/>
              </w:rPr>
              <w:t>ind</w:t>
            </w:r>
            <w:proofErr w:type="spellEnd"/>
            <w:r w:rsidRPr="00BD1319">
              <w:rPr>
                <w:rFonts w:cs="Arial"/>
                <w:color w:val="000000"/>
                <w:sz w:val="16"/>
                <w:szCs w:val="16"/>
                <w:lang w:eastAsia="es-MX"/>
              </w:rPr>
              <w:t xml:space="preserve">., inv., </w:t>
            </w:r>
            <w:proofErr w:type="spellStart"/>
            <w:r w:rsidRPr="00BD1319">
              <w:rPr>
                <w:rFonts w:cs="Arial"/>
                <w:color w:val="000000"/>
                <w:sz w:val="16"/>
                <w:szCs w:val="16"/>
                <w:lang w:eastAsia="es-MX"/>
              </w:rPr>
              <w:t>coal</w:t>
            </w:r>
            <w:proofErr w:type="spellEnd"/>
            <w:r w:rsidRPr="00BD1319">
              <w:rPr>
                <w:rFonts w:cs="Arial"/>
                <w:color w:val="000000"/>
                <w:sz w:val="16"/>
                <w:szCs w:val="16"/>
                <w:lang w:eastAsia="es-MX"/>
              </w:rPr>
              <w:t>.</w:t>
            </w:r>
          </w:p>
        </w:tc>
        <w:tc>
          <w:tcPr>
            <w:tcW w:w="1134" w:type="dxa"/>
            <w:shd w:val="clear" w:color="auto" w:fill="auto"/>
            <w:vAlign w:val="center"/>
            <w:hideMark/>
          </w:tcPr>
          <w:p w14:paraId="55EA011A"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Teoría de grafos</w:t>
            </w:r>
          </w:p>
        </w:tc>
        <w:tc>
          <w:tcPr>
            <w:tcW w:w="567" w:type="dxa"/>
            <w:shd w:val="clear" w:color="auto" w:fill="auto"/>
            <w:vAlign w:val="center"/>
          </w:tcPr>
          <w:p w14:paraId="0D39232E" w14:textId="77777777" w:rsidR="007D4645" w:rsidRPr="00BD1319" w:rsidRDefault="007D4645" w:rsidP="003B7DB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6"/>
                <w:szCs w:val="16"/>
                <w:lang w:val="es-CO" w:eastAsia="es-MX"/>
              </w:rPr>
            </w:pPr>
            <w:r w:rsidRPr="00BD1319">
              <w:rPr>
                <w:rFonts w:cs="Arial"/>
                <w:color w:val="000000"/>
                <w:sz w:val="16"/>
                <w:szCs w:val="16"/>
                <w:lang w:eastAsia="es-MX"/>
              </w:rPr>
              <w:t>20, 21</w:t>
            </w:r>
          </w:p>
        </w:tc>
      </w:tr>
    </w:tbl>
    <w:p w14:paraId="2C754C00" w14:textId="77777777" w:rsidR="0005570C" w:rsidRPr="00BD1319" w:rsidRDefault="0005570C" w:rsidP="0005570C">
      <w:pPr>
        <w:numPr>
          <w:ilvl w:val="12"/>
          <w:numId w:val="0"/>
        </w:numPr>
        <w:tabs>
          <w:tab w:val="left" w:pos="-2268"/>
        </w:tabs>
        <w:suppressAutoHyphens/>
        <w:rPr>
          <w:spacing w:val="-3"/>
          <w:sz w:val="20"/>
          <w:szCs w:val="20"/>
        </w:rPr>
      </w:pPr>
      <w:r w:rsidRPr="00BD1319">
        <w:rPr>
          <w:spacing w:val="-3"/>
          <w:sz w:val="20"/>
          <w:szCs w:val="20"/>
        </w:rPr>
        <w:t xml:space="preserve">* (P): preferencia, (I): indiferencia, (Q): débil preferencia, (R): </w:t>
      </w:r>
      <w:proofErr w:type="spellStart"/>
      <w:r w:rsidRPr="00BD1319">
        <w:rPr>
          <w:spacing w:val="-3"/>
          <w:sz w:val="20"/>
          <w:szCs w:val="20"/>
        </w:rPr>
        <w:t>incomparabilidad</w:t>
      </w:r>
      <w:proofErr w:type="spellEnd"/>
      <w:r w:rsidRPr="00BD1319">
        <w:rPr>
          <w:spacing w:val="-3"/>
          <w:sz w:val="20"/>
          <w:szCs w:val="20"/>
        </w:rPr>
        <w:t>, (S): superación (</w:t>
      </w:r>
      <w:proofErr w:type="spellStart"/>
      <w:r w:rsidRPr="00BD1319">
        <w:rPr>
          <w:spacing w:val="-3"/>
          <w:sz w:val="20"/>
          <w:szCs w:val="20"/>
        </w:rPr>
        <w:t>outranking</w:t>
      </w:r>
      <w:proofErr w:type="spellEnd"/>
      <w:r w:rsidRPr="00BD1319">
        <w:rPr>
          <w:spacing w:val="-3"/>
          <w:sz w:val="20"/>
          <w:szCs w:val="20"/>
        </w:rPr>
        <w:t>).</w:t>
      </w:r>
    </w:p>
    <w:p w14:paraId="2AF16249" w14:textId="77777777" w:rsidR="0005570C" w:rsidRPr="00BD1319" w:rsidRDefault="0005570C" w:rsidP="0005570C">
      <w:pPr>
        <w:numPr>
          <w:ilvl w:val="12"/>
          <w:numId w:val="0"/>
        </w:numPr>
        <w:tabs>
          <w:tab w:val="left" w:pos="-2268"/>
        </w:tabs>
        <w:suppressAutoHyphens/>
        <w:rPr>
          <w:spacing w:val="-3"/>
          <w:sz w:val="20"/>
          <w:szCs w:val="20"/>
        </w:rPr>
      </w:pPr>
      <w:r w:rsidRPr="00BD1319">
        <w:rPr>
          <w:spacing w:val="-3"/>
          <w:sz w:val="20"/>
          <w:szCs w:val="20"/>
        </w:rPr>
        <w:t xml:space="preserve">** </w:t>
      </w:r>
      <w:proofErr w:type="spellStart"/>
      <w:r w:rsidRPr="00BD1319">
        <w:rPr>
          <w:spacing w:val="-3"/>
          <w:sz w:val="20"/>
          <w:szCs w:val="20"/>
        </w:rPr>
        <w:t>ind</w:t>
      </w:r>
      <w:proofErr w:type="spellEnd"/>
      <w:r w:rsidRPr="00BD1319">
        <w:rPr>
          <w:spacing w:val="-3"/>
          <w:sz w:val="20"/>
          <w:szCs w:val="20"/>
        </w:rPr>
        <w:t xml:space="preserve">.: Independencia, com.: conmensurabilidad, inv.: invariancia, </w:t>
      </w:r>
      <w:proofErr w:type="spellStart"/>
      <w:r w:rsidRPr="00BD1319">
        <w:rPr>
          <w:spacing w:val="-3"/>
          <w:sz w:val="20"/>
          <w:szCs w:val="20"/>
        </w:rPr>
        <w:t>tran</w:t>
      </w:r>
      <w:proofErr w:type="spellEnd"/>
      <w:r w:rsidRPr="00BD1319">
        <w:rPr>
          <w:spacing w:val="-3"/>
          <w:sz w:val="20"/>
          <w:szCs w:val="20"/>
        </w:rPr>
        <w:t xml:space="preserve">.: transitividad, dom.: dominancia, </w:t>
      </w:r>
      <w:proofErr w:type="spellStart"/>
      <w:r w:rsidRPr="00BD1319">
        <w:rPr>
          <w:spacing w:val="-3"/>
          <w:sz w:val="20"/>
          <w:szCs w:val="20"/>
        </w:rPr>
        <w:t>coal</w:t>
      </w:r>
      <w:proofErr w:type="spellEnd"/>
      <w:r w:rsidRPr="00BD1319">
        <w:rPr>
          <w:spacing w:val="-3"/>
          <w:sz w:val="20"/>
          <w:szCs w:val="20"/>
        </w:rPr>
        <w:t>.: coalición (teoría de la elección social).</w:t>
      </w:r>
    </w:p>
    <w:p w14:paraId="2CB01B07" w14:textId="07D164A0" w:rsidR="0005570C" w:rsidRPr="00BD1319" w:rsidRDefault="0005570C">
      <w:pPr>
        <w:numPr>
          <w:ilvl w:val="12"/>
          <w:numId w:val="0"/>
        </w:numPr>
        <w:tabs>
          <w:tab w:val="left" w:pos="-2268"/>
        </w:tabs>
        <w:suppressAutoHyphens/>
        <w:rPr>
          <w:spacing w:val="-3"/>
        </w:rPr>
      </w:pPr>
      <w:r w:rsidRPr="00BD1319">
        <w:rPr>
          <w:spacing w:val="-3"/>
          <w:sz w:val="20"/>
          <w:szCs w:val="20"/>
        </w:rPr>
        <w:t xml:space="preserve">Fuente: adaptada de </w:t>
      </w:r>
      <w:proofErr w:type="spellStart"/>
      <w:r w:rsidRPr="00BD1319">
        <w:rPr>
          <w:spacing w:val="-3"/>
          <w:sz w:val="20"/>
          <w:szCs w:val="20"/>
        </w:rPr>
        <w:t>Guitouni</w:t>
      </w:r>
      <w:proofErr w:type="spellEnd"/>
      <w:r w:rsidRPr="00BD1319">
        <w:rPr>
          <w:spacing w:val="-3"/>
          <w:sz w:val="20"/>
          <w:szCs w:val="20"/>
        </w:rPr>
        <w:t xml:space="preserve"> &amp; Martel (1998).</w:t>
      </w:r>
    </w:p>
    <w:p w14:paraId="6F040D33" w14:textId="77777777" w:rsidR="00F44F70" w:rsidRPr="00BD1319" w:rsidRDefault="00F44F70">
      <w:pPr>
        <w:numPr>
          <w:ilvl w:val="12"/>
          <w:numId w:val="0"/>
        </w:numPr>
        <w:tabs>
          <w:tab w:val="left" w:pos="-2268"/>
        </w:tabs>
        <w:suppressAutoHyphens/>
        <w:rPr>
          <w:spacing w:val="-3"/>
        </w:rPr>
        <w:sectPr w:rsidR="00F44F70" w:rsidRPr="00BD1319" w:rsidSect="00544833">
          <w:headerReference w:type="default" r:id="rId34"/>
          <w:footerReference w:type="default" r:id="rId35"/>
          <w:endnotePr>
            <w:numFmt w:val="decimal"/>
          </w:endnotePr>
          <w:pgSz w:w="15842" w:h="12242" w:orient="landscape" w:code="1"/>
          <w:pgMar w:top="1701" w:right="1134" w:bottom="1134" w:left="1134" w:header="1134" w:footer="851" w:gutter="0"/>
          <w:cols w:space="720"/>
          <w:docGrid w:linePitch="326"/>
        </w:sectPr>
      </w:pPr>
    </w:p>
    <w:p w14:paraId="22BBB168" w14:textId="6C101CA5" w:rsidR="001A4326" w:rsidRPr="00BD1319" w:rsidRDefault="001A4326" w:rsidP="001A4326">
      <w:pPr>
        <w:pStyle w:val="Ttulo2"/>
        <w:rPr>
          <w:lang w:val="es-CO"/>
        </w:rPr>
      </w:pPr>
      <w:bookmarkStart w:id="2380" w:name="_Toc175326725"/>
      <w:r w:rsidRPr="00BD1319">
        <w:rPr>
          <w:lang w:val="es-CO"/>
        </w:rPr>
        <w:lastRenderedPageBreak/>
        <w:t xml:space="preserve">LINEAMIENTOS PARA LA IMPLEMENTACIÓN DE LAS EVALUACIONES MULTICRITERIO EN EL MARCO DE LOS </w:t>
      </w:r>
      <w:r w:rsidR="009B7EB2" w:rsidRPr="00BD1319">
        <w:rPr>
          <w:lang w:val="es-CO"/>
        </w:rPr>
        <w:t>DAA</w:t>
      </w:r>
      <w:bookmarkEnd w:id="2380"/>
    </w:p>
    <w:p w14:paraId="1591A758" w14:textId="77777777" w:rsidR="001A4326" w:rsidRPr="00BD1319" w:rsidRDefault="001A4326" w:rsidP="001A4326">
      <w:pPr>
        <w:numPr>
          <w:ilvl w:val="12"/>
          <w:numId w:val="0"/>
        </w:numPr>
        <w:tabs>
          <w:tab w:val="left" w:pos="-2268"/>
        </w:tabs>
        <w:suppressAutoHyphens/>
        <w:rPr>
          <w:spacing w:val="-3"/>
        </w:rPr>
      </w:pPr>
    </w:p>
    <w:p w14:paraId="0FCD962A" w14:textId="4A17B707" w:rsidR="001A4326" w:rsidRPr="00BD1319" w:rsidRDefault="001A4326" w:rsidP="001A4326">
      <w:pPr>
        <w:numPr>
          <w:ilvl w:val="12"/>
          <w:numId w:val="0"/>
        </w:numPr>
        <w:tabs>
          <w:tab w:val="left" w:pos="-2268"/>
        </w:tabs>
        <w:suppressAutoHyphens/>
        <w:rPr>
          <w:spacing w:val="-3"/>
        </w:rPr>
      </w:pPr>
      <w:r w:rsidRPr="00BD1319">
        <w:rPr>
          <w:spacing w:val="-3"/>
        </w:rPr>
        <w:t xml:space="preserve">Aunque los lineamientos que se desarrollan en los numerales que siguen a continuación tienen énfasis en el método aditivo lineal, particularmente </w:t>
      </w:r>
      <w:r w:rsidR="002175C7" w:rsidRPr="00BD1319">
        <w:rPr>
          <w:spacing w:val="-3"/>
        </w:rPr>
        <w:t xml:space="preserve">en </w:t>
      </w:r>
      <w:r w:rsidRPr="00BD1319">
        <w:rPr>
          <w:spacing w:val="-3"/>
        </w:rPr>
        <w:t>el de los valores ponderados (suma ponderada), son aplicables a la mayor parte de los métodos de Evaluación Multicriterio. Es importante recordar que la EMC es un proceso iterativo que</w:t>
      </w:r>
      <w:r w:rsidR="00D75D09" w:rsidRPr="00BD1319">
        <w:rPr>
          <w:spacing w:val="-3"/>
        </w:rPr>
        <w:t>,</w:t>
      </w:r>
      <w:r w:rsidRPr="00BD1319">
        <w:rPr>
          <w:spacing w:val="-3"/>
        </w:rPr>
        <w:t xml:space="preserve"> en el marco del licenciamiento ambiental</w:t>
      </w:r>
      <w:r w:rsidR="00366151" w:rsidRPr="00BD1319">
        <w:rPr>
          <w:spacing w:val="-3"/>
        </w:rPr>
        <w:t>, además de permitir seleccionar alternativas,</w:t>
      </w:r>
      <w:r w:rsidRPr="00BD1319">
        <w:rPr>
          <w:spacing w:val="-3"/>
        </w:rPr>
        <w:t xml:space="preserve"> puede brindar información para mejorar la estructuración de las alternativas y los proyectos, y que su ejecución constituye una buena práctica para reducir los impactos ambientales potenciales significativos (ver </w:t>
      </w:r>
      <w:r w:rsidRPr="00BD1319">
        <w:rPr>
          <w:spacing w:val="-3"/>
        </w:rPr>
        <w:fldChar w:fldCharType="begin"/>
      </w:r>
      <w:r w:rsidRPr="00BD1319">
        <w:rPr>
          <w:spacing w:val="-3"/>
        </w:rPr>
        <w:instrText xml:space="preserve"> REF _Ref138682570 \h </w:instrText>
      </w:r>
      <w:r w:rsidR="00716177" w:rsidRPr="00BD1319">
        <w:rPr>
          <w:spacing w:val="-3"/>
        </w:rPr>
        <w:instrText xml:space="preserve"> \* MERGEFORMAT </w:instrText>
      </w:r>
      <w:r w:rsidRPr="00BD1319">
        <w:rPr>
          <w:spacing w:val="-3"/>
        </w:rPr>
      </w:r>
      <w:r w:rsidRPr="00BD1319">
        <w:rPr>
          <w:spacing w:val="-3"/>
        </w:rPr>
        <w:fldChar w:fldCharType="separate"/>
      </w:r>
      <w:r w:rsidR="00296654" w:rsidRPr="00BD1319">
        <w:rPr>
          <w:spacing w:val="-3"/>
        </w:rPr>
        <w:t>Figura 4</w:t>
      </w:r>
      <w:r w:rsidRPr="00BD1319">
        <w:rPr>
          <w:spacing w:val="-3"/>
        </w:rPr>
        <w:fldChar w:fldCharType="end"/>
      </w:r>
      <w:r w:rsidRPr="00BD1319">
        <w:rPr>
          <w:spacing w:val="-3"/>
        </w:rPr>
        <w:t>).</w:t>
      </w:r>
    </w:p>
    <w:p w14:paraId="5FC6291E" w14:textId="697CDACC" w:rsidR="001A4326" w:rsidRPr="00BD1319" w:rsidRDefault="00103241" w:rsidP="001A4326">
      <w:pPr>
        <w:numPr>
          <w:ilvl w:val="12"/>
          <w:numId w:val="0"/>
        </w:numPr>
        <w:tabs>
          <w:tab w:val="left" w:pos="-2268"/>
        </w:tabs>
        <w:suppressAutoHyphens/>
        <w:rPr>
          <w:spacing w:val="-3"/>
        </w:rPr>
      </w:pPr>
      <w:r w:rsidRPr="00BD1319">
        <w:rPr>
          <w:noProof/>
          <w:spacing w:val="-3"/>
          <w:lang w:eastAsia="es-CO"/>
        </w:rPr>
        <w:drawing>
          <wp:anchor distT="0" distB="0" distL="114300" distR="114300" simplePos="0" relativeHeight="251648511" behindDoc="0" locked="0" layoutInCell="1" allowOverlap="1" wp14:anchorId="700242F7" wp14:editId="2D731407">
            <wp:simplePos x="0" y="0"/>
            <wp:positionH relativeFrom="margin">
              <wp:align>center</wp:align>
            </wp:positionH>
            <wp:positionV relativeFrom="paragraph">
              <wp:posOffset>356870</wp:posOffset>
            </wp:positionV>
            <wp:extent cx="5486400" cy="3200400"/>
            <wp:effectExtent l="0" t="0" r="0" b="0"/>
            <wp:wrapTopAndBottom/>
            <wp:docPr id="663515303" name="Diagrama 66351530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6" r:lo="rId37" r:qs="rId38" r:cs="rId39"/>
              </a:graphicData>
            </a:graphic>
          </wp:anchor>
        </w:drawing>
      </w:r>
    </w:p>
    <w:bookmarkStart w:id="2381" w:name="_Ref138682570"/>
    <w:p w14:paraId="502458B6" w14:textId="2D9DA801" w:rsidR="001A4326" w:rsidRPr="00BD1319" w:rsidRDefault="00103241" w:rsidP="00103241">
      <w:pPr>
        <w:numPr>
          <w:ilvl w:val="12"/>
          <w:numId w:val="0"/>
        </w:numPr>
        <w:tabs>
          <w:tab w:val="left" w:pos="-2268"/>
        </w:tabs>
        <w:suppressAutoHyphens/>
        <w:jc w:val="center"/>
        <w:rPr>
          <w:spacing w:val="-3"/>
        </w:rPr>
      </w:pPr>
      <w:r w:rsidRPr="00BD1319">
        <w:rPr>
          <w:noProof/>
          <w:spacing w:val="-3"/>
          <w:lang w:eastAsia="es-CO"/>
        </w:rPr>
        <mc:AlternateContent>
          <mc:Choice Requires="wps">
            <w:drawing>
              <wp:anchor distT="0" distB="0" distL="114300" distR="114300" simplePos="0" relativeHeight="251664896" behindDoc="0" locked="0" layoutInCell="1" allowOverlap="1" wp14:anchorId="42F7299A" wp14:editId="5BBD1DC9">
                <wp:simplePos x="0" y="0"/>
                <wp:positionH relativeFrom="margin">
                  <wp:posOffset>2356485</wp:posOffset>
                </wp:positionH>
                <wp:positionV relativeFrom="paragraph">
                  <wp:posOffset>920115</wp:posOffset>
                </wp:positionV>
                <wp:extent cx="1722120" cy="647700"/>
                <wp:effectExtent l="0" t="0" r="0" b="0"/>
                <wp:wrapNone/>
                <wp:docPr id="23" name="Rectángulo 23"/>
                <wp:cNvGraphicFramePr/>
                <a:graphic xmlns:a="http://schemas.openxmlformats.org/drawingml/2006/main">
                  <a:graphicData uri="http://schemas.microsoft.com/office/word/2010/wordprocessingShape">
                    <wps:wsp>
                      <wps:cNvSpPr/>
                      <wps:spPr>
                        <a:xfrm>
                          <a:off x="0" y="0"/>
                          <a:ext cx="1722120" cy="647700"/>
                        </a:xfrm>
                        <a:prstGeom prst="rect">
                          <a:avLst/>
                        </a:prstGeom>
                        <a:ln>
                          <a:noFill/>
                        </a:ln>
                      </wps:spPr>
                      <wps:style>
                        <a:lnRef idx="2">
                          <a:schemeClr val="accent2"/>
                        </a:lnRef>
                        <a:fillRef idx="1">
                          <a:schemeClr val="lt1"/>
                        </a:fillRef>
                        <a:effectRef idx="0">
                          <a:schemeClr val="accent2"/>
                        </a:effectRef>
                        <a:fontRef idx="minor">
                          <a:schemeClr val="dk1"/>
                        </a:fontRef>
                      </wps:style>
                      <wps:txbx>
                        <w:txbxContent>
                          <w:p w14:paraId="61CC40C6" w14:textId="77777777" w:rsidR="001A4326" w:rsidRPr="008A4FE9" w:rsidRDefault="001A4326" w:rsidP="001A4326">
                            <w:pPr>
                              <w:jc w:val="center"/>
                              <w:rPr>
                                <w:b/>
                                <w:bCs/>
                                <w:color w:val="365F91" w:themeColor="accent1" w:themeShade="BF"/>
                                <w:sz w:val="18"/>
                                <w:szCs w:val="18"/>
                              </w:rPr>
                            </w:pPr>
                            <w:r w:rsidRPr="008A4FE9">
                              <w:rPr>
                                <w:b/>
                                <w:bCs/>
                                <w:color w:val="365F91" w:themeColor="accent1" w:themeShade="BF"/>
                                <w:sz w:val="18"/>
                                <w:szCs w:val="18"/>
                              </w:rPr>
                              <w:t>Proceso iterativo.</w:t>
                            </w:r>
                          </w:p>
                          <w:p w14:paraId="73DDE589" w14:textId="1F889C96" w:rsidR="001A4326" w:rsidRPr="008A4FE9" w:rsidRDefault="001A4326" w:rsidP="001A4326">
                            <w:pPr>
                              <w:jc w:val="center"/>
                              <w:rPr>
                                <w:b/>
                                <w:bCs/>
                                <w:color w:val="365F91" w:themeColor="accent1" w:themeShade="BF"/>
                                <w:sz w:val="18"/>
                                <w:szCs w:val="18"/>
                              </w:rPr>
                            </w:pPr>
                            <w:r w:rsidRPr="008A4FE9">
                              <w:rPr>
                                <w:b/>
                                <w:bCs/>
                                <w:color w:val="365F91" w:themeColor="accent1" w:themeShade="BF"/>
                                <w:sz w:val="18"/>
                                <w:szCs w:val="18"/>
                              </w:rPr>
                              <w:t>No decide por sí mismo</w:t>
                            </w:r>
                            <w:r w:rsidR="00103241" w:rsidRPr="008A4FE9">
                              <w:rPr>
                                <w:b/>
                                <w:bCs/>
                                <w:color w:val="365F91" w:themeColor="accent1" w:themeShade="BF"/>
                                <w:sz w:val="18"/>
                                <w:szCs w:val="18"/>
                              </w:rPr>
                              <w:t>;</w:t>
                            </w:r>
                            <w:r w:rsidRPr="008A4FE9">
                              <w:rPr>
                                <w:b/>
                                <w:bCs/>
                                <w:color w:val="365F91" w:themeColor="accent1" w:themeShade="BF"/>
                                <w:sz w:val="18"/>
                                <w:szCs w:val="18"/>
                              </w:rPr>
                              <w:t xml:space="preserve"> ayuda a decidir con transparencia y elementos de juicio</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2F7299A" id="Rectángulo 23" o:spid="_x0000_s1124" style="position:absolute;left:0;text-align:left;margin-left:185.55pt;margin-top:72.45pt;width:135.6pt;height:51pt;z-index:2516648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" fillcolor="white [3201]" stroked="f" strokeweight="2pt">
                <v:textbox inset="0,0,0,0">
                  <w:txbxContent>
                    <w:p w14:paraId="61CC40C6" w14:textId="77777777" w:rsidR="001A4326" w:rsidRPr="008A4FE9" w:rsidRDefault="001A4326" w:rsidP="001A4326">
                      <w:pPr>
                        <w:jc w:val="center"/>
                        <w:rPr>
                          <w:b/>
                          <w:bCs/>
                          <w:color w:val="365F91" w:themeColor="accent1" w:themeShade="BF"/>
                          <w:sz w:val="18"/>
                          <w:szCs w:val="18"/>
                        </w:rPr>
                      </w:pPr>
                      <w:r w:rsidRPr="008A4FE9">
                        <w:rPr>
                          <w:b/>
                          <w:bCs/>
                          <w:color w:val="365F91" w:themeColor="accent1" w:themeShade="BF"/>
                          <w:sz w:val="18"/>
                          <w:szCs w:val="18"/>
                        </w:rPr>
                        <w:t>Proceso iterativo.</w:t>
                      </w:r>
                    </w:p>
                    <w:p w14:paraId="73DDE589" w14:textId="1F889C96" w:rsidR="001A4326" w:rsidRPr="008A4FE9" w:rsidRDefault="001A4326" w:rsidP="001A4326">
                      <w:pPr>
                        <w:jc w:val="center"/>
                        <w:rPr>
                          <w:b/>
                          <w:bCs/>
                          <w:color w:val="365F91" w:themeColor="accent1" w:themeShade="BF"/>
                          <w:sz w:val="18"/>
                          <w:szCs w:val="18"/>
                        </w:rPr>
                      </w:pPr>
                      <w:r w:rsidRPr="008A4FE9">
                        <w:rPr>
                          <w:b/>
                          <w:bCs/>
                          <w:color w:val="365F91" w:themeColor="accent1" w:themeShade="BF"/>
                          <w:sz w:val="18"/>
                          <w:szCs w:val="18"/>
                        </w:rPr>
                        <w:t>No decide por sí mismo</w:t>
                      </w:r>
                      <w:r w:rsidR="00103241" w:rsidRPr="008A4FE9">
                        <w:rPr>
                          <w:b/>
                          <w:bCs/>
                          <w:color w:val="365F91" w:themeColor="accent1" w:themeShade="BF"/>
                          <w:sz w:val="18"/>
                          <w:szCs w:val="18"/>
                        </w:rPr>
                        <w:t>;</w:t>
                      </w:r>
                      <w:r w:rsidRPr="008A4FE9">
                        <w:rPr>
                          <w:b/>
                          <w:bCs/>
                          <w:color w:val="365F91" w:themeColor="accent1" w:themeShade="BF"/>
                          <w:sz w:val="18"/>
                          <w:szCs w:val="18"/>
                        </w:rPr>
                        <w:t xml:space="preserve"> ayuda a decidir con transparencia y elementos de juicio</w:t>
                      </w:r>
                    </w:p>
                  </w:txbxContent>
                </v:textbox>
                <w10:wrap anchorx="margin"/>
              </v:rect>
            </w:pict>
          </mc:Fallback>
        </mc:AlternateContent>
      </w:r>
      <w:r w:rsidR="001A4326" w:rsidRPr="00BD1319">
        <w:rPr>
          <w:b/>
          <w:bCs/>
          <w:spacing w:val="-3"/>
        </w:rPr>
        <w:t xml:space="preserve">Figura </w:t>
      </w:r>
      <w:r w:rsidR="00752A78" w:rsidRPr="00BD1319">
        <w:rPr>
          <w:b/>
          <w:bCs/>
          <w:spacing w:val="-3"/>
        </w:rPr>
        <w:fldChar w:fldCharType="begin"/>
      </w:r>
      <w:r w:rsidR="00752A78" w:rsidRPr="00BD1319">
        <w:rPr>
          <w:b/>
          <w:bCs/>
          <w:spacing w:val="-3"/>
        </w:rPr>
        <w:instrText xml:space="preserve"> SEQ Figura \* ARABIC </w:instrText>
      </w:r>
      <w:r w:rsidR="00752A78" w:rsidRPr="00BD1319">
        <w:rPr>
          <w:b/>
          <w:bCs/>
          <w:spacing w:val="-3"/>
        </w:rPr>
        <w:fldChar w:fldCharType="separate"/>
      </w:r>
      <w:r w:rsidR="00296654" w:rsidRPr="00BD1319">
        <w:rPr>
          <w:b/>
          <w:bCs/>
          <w:noProof/>
          <w:spacing w:val="-3"/>
        </w:rPr>
        <w:t>4</w:t>
      </w:r>
      <w:r w:rsidR="00752A78" w:rsidRPr="00BD1319">
        <w:rPr>
          <w:b/>
          <w:bCs/>
          <w:spacing w:val="-3"/>
        </w:rPr>
        <w:fldChar w:fldCharType="end"/>
      </w:r>
      <w:bookmarkEnd w:id="2381"/>
      <w:r w:rsidR="001A4326" w:rsidRPr="00BD1319">
        <w:rPr>
          <w:b/>
          <w:bCs/>
          <w:spacing w:val="-3"/>
        </w:rPr>
        <w:t>.</w:t>
      </w:r>
      <w:r w:rsidR="001A4326" w:rsidRPr="00BD1319">
        <w:rPr>
          <w:spacing w:val="-3"/>
        </w:rPr>
        <w:t xml:space="preserve"> Procedimiento general para ejecutar una Evaluación Multicriterio</w:t>
      </w:r>
    </w:p>
    <w:p w14:paraId="57E577E8" w14:textId="29D3AAFC" w:rsidR="001A4326" w:rsidRPr="00BD1319" w:rsidRDefault="001A4326" w:rsidP="008A4FE9">
      <w:pPr>
        <w:numPr>
          <w:ilvl w:val="12"/>
          <w:numId w:val="0"/>
        </w:numPr>
        <w:tabs>
          <w:tab w:val="left" w:pos="-2268"/>
        </w:tabs>
        <w:suppressAutoHyphens/>
        <w:ind w:left="851"/>
        <w:rPr>
          <w:spacing w:val="-3"/>
          <w:sz w:val="20"/>
          <w:szCs w:val="20"/>
        </w:rPr>
      </w:pPr>
      <w:r w:rsidRPr="00BD1319">
        <w:rPr>
          <w:b/>
          <w:bCs/>
          <w:spacing w:val="-3"/>
          <w:sz w:val="20"/>
          <w:szCs w:val="20"/>
        </w:rPr>
        <w:t>Fuente:</w:t>
      </w:r>
      <w:r w:rsidRPr="00BD1319">
        <w:rPr>
          <w:spacing w:val="-3"/>
          <w:sz w:val="20"/>
          <w:szCs w:val="20"/>
        </w:rPr>
        <w:t xml:space="preserve"> adaptada de (DCLG, 2009).</w:t>
      </w:r>
    </w:p>
    <w:p w14:paraId="1935E14A" w14:textId="77777777" w:rsidR="001A4326" w:rsidRPr="00BD1319" w:rsidRDefault="001A4326" w:rsidP="001A4326">
      <w:pPr>
        <w:numPr>
          <w:ilvl w:val="12"/>
          <w:numId w:val="0"/>
        </w:numPr>
        <w:tabs>
          <w:tab w:val="left" w:pos="-2268"/>
        </w:tabs>
        <w:suppressAutoHyphens/>
        <w:rPr>
          <w:spacing w:val="-3"/>
        </w:rPr>
      </w:pPr>
    </w:p>
    <w:p w14:paraId="43109DD6" w14:textId="77777777" w:rsidR="001A4326" w:rsidRPr="00BD1319" w:rsidRDefault="001A4326" w:rsidP="00216955">
      <w:pPr>
        <w:pStyle w:val="Ttulo3"/>
      </w:pPr>
      <w:bookmarkStart w:id="2382" w:name="_Toc175326726"/>
      <w:r w:rsidRPr="00BD1319">
        <w:t>Conocer el contexto del licenciamiento ambiental como proceso de toma de decisiones</w:t>
      </w:r>
      <w:bookmarkEnd w:id="2382"/>
    </w:p>
    <w:p w14:paraId="6F83FF4B" w14:textId="77777777" w:rsidR="001A4326" w:rsidRPr="00BD1319" w:rsidRDefault="001A4326" w:rsidP="001A4326">
      <w:pPr>
        <w:numPr>
          <w:ilvl w:val="12"/>
          <w:numId w:val="0"/>
        </w:numPr>
        <w:tabs>
          <w:tab w:val="left" w:pos="-2268"/>
        </w:tabs>
        <w:suppressAutoHyphens/>
        <w:rPr>
          <w:spacing w:val="-3"/>
        </w:rPr>
      </w:pPr>
    </w:p>
    <w:p w14:paraId="35E5D74F" w14:textId="6B65E2EF" w:rsidR="001A4326" w:rsidRPr="00BD1319" w:rsidRDefault="001A4326" w:rsidP="001A4326">
      <w:pPr>
        <w:numPr>
          <w:ilvl w:val="12"/>
          <w:numId w:val="0"/>
        </w:numPr>
        <w:tabs>
          <w:tab w:val="left" w:pos="-2268"/>
        </w:tabs>
        <w:suppressAutoHyphens/>
        <w:rPr>
          <w:spacing w:val="-3"/>
        </w:rPr>
      </w:pPr>
      <w:r w:rsidRPr="00BD1319">
        <w:rPr>
          <w:spacing w:val="-3"/>
        </w:rPr>
        <w:t xml:space="preserve">El primer paso para desarrollar una EMC en el marco del licenciamiento ambiental es conocer el contexto de este proceso de toma de decisión para formular adecuadamente el problema de decisión </w:t>
      </w:r>
      <w:bookmarkStart w:id="2383" w:name="_Hlk122509143"/>
      <w:r w:rsidRPr="00BD1319">
        <w:rPr>
          <w:spacing w:val="-3"/>
        </w:rPr>
        <w:t>(DCLG, 2009)</w:t>
      </w:r>
      <w:bookmarkEnd w:id="2383"/>
      <w:r w:rsidRPr="00BD1319">
        <w:rPr>
          <w:spacing w:val="-3"/>
        </w:rPr>
        <w:t>, el cual se articula mediante alternativas, objetivos, criterios, posibles consecuencias ambientales, entre otros.</w:t>
      </w:r>
    </w:p>
    <w:p w14:paraId="4D81BD4D" w14:textId="77777777" w:rsidR="001A4326" w:rsidRPr="00BD1319" w:rsidRDefault="001A4326" w:rsidP="001A4326">
      <w:pPr>
        <w:numPr>
          <w:ilvl w:val="12"/>
          <w:numId w:val="0"/>
        </w:numPr>
        <w:tabs>
          <w:tab w:val="left" w:pos="-2268"/>
        </w:tabs>
        <w:suppressAutoHyphens/>
        <w:rPr>
          <w:spacing w:val="-3"/>
        </w:rPr>
      </w:pPr>
    </w:p>
    <w:p w14:paraId="05481761" w14:textId="3EBFD526" w:rsidR="001A4326" w:rsidRPr="00BD1319" w:rsidRDefault="001A4326" w:rsidP="001A4326">
      <w:pPr>
        <w:numPr>
          <w:ilvl w:val="12"/>
          <w:numId w:val="0"/>
        </w:numPr>
        <w:tabs>
          <w:tab w:val="left" w:pos="-2268"/>
        </w:tabs>
        <w:suppressAutoHyphens/>
        <w:rPr>
          <w:spacing w:val="-3"/>
        </w:rPr>
      </w:pPr>
      <w:r w:rsidRPr="00BD1319">
        <w:rPr>
          <w:spacing w:val="-3"/>
        </w:rPr>
        <w:lastRenderedPageBreak/>
        <w:t xml:space="preserve">Por ello, se debe tener claro que el propósito de la EMC en contexto de los DAA es usar de la mejor forma posible la información disponible para comparar y seleccionar las alternativas que generen los menores impactos ambientales potenciales, de manera que, para ellas se elabore el Estudio de Impacto Ambiental (EIA). También se debe recordar que a pesar de que el formulador del DAA selecciona una alternativa, la autoridad ambiental competente es quien decide en última instancia sobre cuál o sobre cuáles alternativas es posible elaborar el EIA o si ninguna de las alternativas presentadas amerita la elaboración de </w:t>
      </w:r>
      <w:r w:rsidR="00C82FBB" w:rsidRPr="00BD1319">
        <w:rPr>
          <w:spacing w:val="-3"/>
        </w:rPr>
        <w:t xml:space="preserve">este </w:t>
      </w:r>
      <w:r w:rsidRPr="00BD1319">
        <w:rPr>
          <w:spacing w:val="-3"/>
        </w:rPr>
        <w:t>estudio ambiental.</w:t>
      </w:r>
    </w:p>
    <w:p w14:paraId="39B5A700" w14:textId="77777777" w:rsidR="001A4326" w:rsidRPr="00BD1319" w:rsidRDefault="001A4326" w:rsidP="001A4326">
      <w:pPr>
        <w:numPr>
          <w:ilvl w:val="12"/>
          <w:numId w:val="0"/>
        </w:numPr>
        <w:tabs>
          <w:tab w:val="left" w:pos="-2268"/>
        </w:tabs>
        <w:suppressAutoHyphens/>
        <w:rPr>
          <w:spacing w:val="-3"/>
        </w:rPr>
      </w:pPr>
    </w:p>
    <w:p w14:paraId="08D47EC6" w14:textId="12C9A8F2" w:rsidR="001A4326" w:rsidRPr="00BD1319" w:rsidRDefault="001A4326" w:rsidP="001A4326">
      <w:pPr>
        <w:numPr>
          <w:ilvl w:val="12"/>
          <w:numId w:val="0"/>
        </w:numPr>
        <w:tabs>
          <w:tab w:val="left" w:pos="-2268"/>
        </w:tabs>
        <w:suppressAutoHyphens/>
        <w:rPr>
          <w:spacing w:val="-3"/>
        </w:rPr>
      </w:pPr>
      <w:r w:rsidRPr="00BD1319">
        <w:rPr>
          <w:spacing w:val="-3"/>
        </w:rPr>
        <w:t xml:space="preserve">Igualmente, es importante recordar que las consideraciones de las comunidades, organizaciones sociales, entidades, propietarios de predios y demás </w:t>
      </w:r>
      <w:r w:rsidR="00C82FBB" w:rsidRPr="00BD1319">
        <w:rPr>
          <w:spacing w:val="-3"/>
        </w:rPr>
        <w:t xml:space="preserve">grupos de interés </w:t>
      </w:r>
      <w:r w:rsidRPr="00BD1319">
        <w:rPr>
          <w:spacing w:val="-3"/>
        </w:rPr>
        <w:t>involucrados, deben incorporarse a la evaluación en razón a que, además de aportar consideraciones útiles, tienen derecho a participar de las decisiones referidas a proyectos que generen impactos ambientales significativos que puedan afectarlos.</w:t>
      </w:r>
    </w:p>
    <w:p w14:paraId="5B102840" w14:textId="77777777" w:rsidR="001A4326" w:rsidRPr="00BD1319" w:rsidRDefault="001A4326" w:rsidP="001A4326">
      <w:pPr>
        <w:numPr>
          <w:ilvl w:val="12"/>
          <w:numId w:val="0"/>
        </w:numPr>
        <w:tabs>
          <w:tab w:val="left" w:pos="-2268"/>
        </w:tabs>
        <w:suppressAutoHyphens/>
        <w:rPr>
          <w:spacing w:val="-3"/>
        </w:rPr>
      </w:pPr>
    </w:p>
    <w:p w14:paraId="15E5138B" w14:textId="2206C452" w:rsidR="001A4326" w:rsidRPr="00BD1319" w:rsidRDefault="001A4326" w:rsidP="001A4326">
      <w:pPr>
        <w:numPr>
          <w:ilvl w:val="12"/>
          <w:numId w:val="0"/>
        </w:numPr>
        <w:tabs>
          <w:tab w:val="left" w:pos="-2268"/>
        </w:tabs>
        <w:suppressAutoHyphens/>
        <w:rPr>
          <w:spacing w:val="-3"/>
        </w:rPr>
      </w:pPr>
      <w:r w:rsidRPr="00BD1319">
        <w:rPr>
          <w:spacing w:val="-3"/>
        </w:rPr>
        <w:t xml:space="preserve">Para asegurar un proceso participativo efectivo, que brinde información útil y de calidad para la toma de decisiones sobre las alternativas a seleccionar, se deben seguir los lineamientos sobre participación establecidos en el numeral </w:t>
      </w:r>
      <w:r w:rsidR="00C82FBB" w:rsidRPr="00BD1319">
        <w:rPr>
          <w:spacing w:val="-3"/>
        </w:rPr>
        <w:fldChar w:fldCharType="begin"/>
      </w:r>
      <w:r w:rsidR="00C82FBB" w:rsidRPr="00BD1319">
        <w:rPr>
          <w:spacing w:val="-3"/>
        </w:rPr>
        <w:instrText xml:space="preserve"> REF _Ref146531665 \r \h </w:instrText>
      </w:r>
      <w:r w:rsidR="00BD1319">
        <w:rPr>
          <w:spacing w:val="-3"/>
        </w:rPr>
        <w:instrText xml:space="preserve"> \* MERGEFORMAT </w:instrText>
      </w:r>
      <w:r w:rsidR="00C82FBB" w:rsidRPr="00BD1319">
        <w:rPr>
          <w:spacing w:val="-3"/>
        </w:rPr>
      </w:r>
      <w:r w:rsidR="00C82FBB" w:rsidRPr="00BD1319">
        <w:rPr>
          <w:spacing w:val="-3"/>
        </w:rPr>
        <w:fldChar w:fldCharType="separate"/>
      </w:r>
      <w:r w:rsidR="00296654" w:rsidRPr="00BD1319">
        <w:rPr>
          <w:spacing w:val="-3"/>
        </w:rPr>
        <w:t>3</w:t>
      </w:r>
      <w:r w:rsidR="00C82FBB" w:rsidRPr="00BD1319">
        <w:rPr>
          <w:spacing w:val="-3"/>
        </w:rPr>
        <w:fldChar w:fldCharType="end"/>
      </w:r>
      <w:r w:rsidRPr="00BD1319">
        <w:rPr>
          <w:spacing w:val="-3"/>
        </w:rPr>
        <w:t xml:space="preserve"> de este capítulo.</w:t>
      </w:r>
    </w:p>
    <w:p w14:paraId="102B6B61" w14:textId="77777777" w:rsidR="001A4326" w:rsidRPr="00BD1319" w:rsidRDefault="001A4326" w:rsidP="001A4326">
      <w:pPr>
        <w:numPr>
          <w:ilvl w:val="12"/>
          <w:numId w:val="0"/>
        </w:numPr>
        <w:tabs>
          <w:tab w:val="left" w:pos="-2268"/>
        </w:tabs>
        <w:suppressAutoHyphens/>
        <w:rPr>
          <w:spacing w:val="-3"/>
        </w:rPr>
      </w:pPr>
    </w:p>
    <w:p w14:paraId="6CC31E56" w14:textId="77777777" w:rsidR="001A4326" w:rsidRPr="00BD1319" w:rsidRDefault="001A4326" w:rsidP="00216955">
      <w:pPr>
        <w:pStyle w:val="Ttulo3"/>
      </w:pPr>
      <w:bookmarkStart w:id="2384" w:name="_Toc175326727"/>
      <w:r w:rsidRPr="00BD1319">
        <w:t>Identificar las alternativas</w:t>
      </w:r>
      <w:bookmarkEnd w:id="2384"/>
    </w:p>
    <w:p w14:paraId="146FA8A1" w14:textId="77777777" w:rsidR="001A4326" w:rsidRPr="00BD1319" w:rsidRDefault="001A4326" w:rsidP="001A4326">
      <w:pPr>
        <w:numPr>
          <w:ilvl w:val="12"/>
          <w:numId w:val="0"/>
        </w:numPr>
        <w:tabs>
          <w:tab w:val="left" w:pos="-2268"/>
        </w:tabs>
        <w:suppressAutoHyphens/>
        <w:rPr>
          <w:spacing w:val="-3"/>
        </w:rPr>
      </w:pPr>
    </w:p>
    <w:p w14:paraId="1AA4E4CF" w14:textId="3D2B2BA0" w:rsidR="001A4326" w:rsidRPr="00BD1319" w:rsidRDefault="001A4326" w:rsidP="001A4326">
      <w:pPr>
        <w:numPr>
          <w:ilvl w:val="12"/>
          <w:numId w:val="0"/>
        </w:numPr>
        <w:tabs>
          <w:tab w:val="left" w:pos="-2268"/>
        </w:tabs>
        <w:suppressAutoHyphens/>
        <w:rPr>
          <w:spacing w:val="-3"/>
        </w:rPr>
      </w:pPr>
      <w:r w:rsidRPr="00BD1319">
        <w:rPr>
          <w:spacing w:val="-3"/>
        </w:rPr>
        <w:t>Para ejecutar una EMC debe haber total claridad sobre las características de las alternativas (DCLG, 2009), además, éstas deben ser practicables, racionales desde el punto de vista ambiental y fundamentalmente, generar diferentes consecuencias ambientales (que se evidencian mediante diferentes impactos potenciales). No vale la pena ejecutar una EMC sobre alternativas que no pueden ejecutarse, que no son ambientalmente racionales</w:t>
      </w:r>
      <w:r w:rsidRPr="00BD1319">
        <w:rPr>
          <w:spacing w:val="-3"/>
          <w:vertAlign w:val="superscript"/>
        </w:rPr>
        <w:footnoteReference w:id="59"/>
      </w:r>
      <w:r w:rsidRPr="00BD1319">
        <w:rPr>
          <w:spacing w:val="-3"/>
        </w:rPr>
        <w:t xml:space="preserve">, o que generan el mismo impacto ambiental potencial, pues si </w:t>
      </w:r>
      <w:r w:rsidR="00C82FBB" w:rsidRPr="00BD1319">
        <w:rPr>
          <w:spacing w:val="-3"/>
        </w:rPr>
        <w:t xml:space="preserve">esto último </w:t>
      </w:r>
      <w:r w:rsidRPr="00BD1319">
        <w:rPr>
          <w:spacing w:val="-3"/>
        </w:rPr>
        <w:t>ocurre se evidenciaría que en realidad no corresponden a diferentes alternativas.</w:t>
      </w:r>
    </w:p>
    <w:p w14:paraId="42EA9524" w14:textId="77777777" w:rsidR="001A4326" w:rsidRPr="00BD1319" w:rsidRDefault="001A4326" w:rsidP="001A4326">
      <w:pPr>
        <w:numPr>
          <w:ilvl w:val="12"/>
          <w:numId w:val="0"/>
        </w:numPr>
        <w:tabs>
          <w:tab w:val="left" w:pos="-2268"/>
        </w:tabs>
        <w:suppressAutoHyphens/>
        <w:rPr>
          <w:spacing w:val="-3"/>
        </w:rPr>
      </w:pPr>
    </w:p>
    <w:p w14:paraId="3C686BE8" w14:textId="77777777" w:rsidR="001A4326" w:rsidRPr="00BD1319" w:rsidRDefault="001A4326" w:rsidP="001A4326">
      <w:pPr>
        <w:numPr>
          <w:ilvl w:val="12"/>
          <w:numId w:val="0"/>
        </w:numPr>
        <w:tabs>
          <w:tab w:val="left" w:pos="-2268"/>
        </w:tabs>
        <w:suppressAutoHyphens/>
        <w:rPr>
          <w:spacing w:val="-3"/>
        </w:rPr>
      </w:pPr>
      <w:r w:rsidRPr="00BD1319">
        <w:rPr>
          <w:spacing w:val="-3"/>
        </w:rPr>
        <w:t xml:space="preserve">Si bien no corresponde a la autoridad ambiental evaluar las alternativas en términos de localización, diseño o ingeniería, y su rol consiste en evaluar las </w:t>
      </w:r>
      <w:r w:rsidRPr="00BD1319">
        <w:rPr>
          <w:i/>
          <w:iCs/>
          <w:spacing w:val="-3"/>
        </w:rPr>
        <w:t>consecuencias</w:t>
      </w:r>
      <w:r w:rsidRPr="00BD1319">
        <w:rPr>
          <w:spacing w:val="-3"/>
        </w:rPr>
        <w:t xml:space="preserve"> ambientales de dichas alternativas mediante la información contenida principalmente en los DAA, los formuladores de los proyectos tienen la oportunidad de emplear la EMC desde las etapas más tempranas de formulación de éstos para evaluar su comportamiento respecto de criterios ambientales clave, y de esta forma, identificar </w:t>
      </w:r>
      <w:r w:rsidRPr="00BD1319">
        <w:rPr>
          <w:spacing w:val="-3"/>
        </w:rPr>
        <w:lastRenderedPageBreak/>
        <w:t>ventajas y desventajas de las alternativas con el propósito de reformularlas o de plantear otras diferentes que conformen un buen conjunto que pueda ser presentado ante la autoridad ambiental.</w:t>
      </w:r>
    </w:p>
    <w:p w14:paraId="0D00775B" w14:textId="77777777" w:rsidR="001A4326" w:rsidRPr="00BD1319" w:rsidRDefault="001A4326" w:rsidP="001A4326">
      <w:pPr>
        <w:numPr>
          <w:ilvl w:val="12"/>
          <w:numId w:val="0"/>
        </w:numPr>
        <w:tabs>
          <w:tab w:val="left" w:pos="-2268"/>
        </w:tabs>
        <w:suppressAutoHyphens/>
        <w:rPr>
          <w:spacing w:val="-3"/>
        </w:rPr>
      </w:pPr>
    </w:p>
    <w:p w14:paraId="65EF89E4" w14:textId="77777777" w:rsidR="001A4326" w:rsidRPr="00BD1319" w:rsidRDefault="001A4326" w:rsidP="001A4326">
      <w:pPr>
        <w:numPr>
          <w:ilvl w:val="12"/>
          <w:numId w:val="0"/>
        </w:numPr>
        <w:tabs>
          <w:tab w:val="left" w:pos="-2268"/>
        </w:tabs>
        <w:suppressAutoHyphens/>
        <w:rPr>
          <w:spacing w:val="-3"/>
        </w:rPr>
      </w:pPr>
      <w:r w:rsidRPr="00BD1319">
        <w:rPr>
          <w:spacing w:val="-3"/>
        </w:rPr>
        <w:t xml:space="preserve">Se debe tener en cuenta que para plantear las alternativas debe existir total claridad sobre los objetivos que se persiguen y que, en este marco, corresponden tanto a los objetivos propios del proyecto objeto de formulación (generación de energía eléctrica, extracción de hidrocarburos, construcción de carreteras, producción de animales silvestres en </w:t>
      </w:r>
      <w:proofErr w:type="spellStart"/>
      <w:r w:rsidRPr="00BD1319">
        <w:rPr>
          <w:spacing w:val="-3"/>
        </w:rPr>
        <w:t>zoocriaderos</w:t>
      </w:r>
      <w:proofErr w:type="spellEnd"/>
      <w:r w:rsidRPr="00BD1319">
        <w:rPr>
          <w:spacing w:val="-3"/>
        </w:rPr>
        <w:t>, entre otros), como al propósito de formular alternativas ambientalmente racionales que puedan ser evaluadas por la autoridad ambiental.</w:t>
      </w:r>
    </w:p>
    <w:p w14:paraId="3189D3A2" w14:textId="77777777" w:rsidR="001A4326" w:rsidRPr="00BD1319" w:rsidRDefault="001A4326" w:rsidP="001A4326">
      <w:pPr>
        <w:numPr>
          <w:ilvl w:val="12"/>
          <w:numId w:val="0"/>
        </w:numPr>
        <w:tabs>
          <w:tab w:val="left" w:pos="-2268"/>
        </w:tabs>
        <w:suppressAutoHyphens/>
        <w:rPr>
          <w:spacing w:val="-3"/>
        </w:rPr>
      </w:pPr>
    </w:p>
    <w:p w14:paraId="0F88C599" w14:textId="77777777" w:rsidR="001A4326" w:rsidRPr="00BD1319" w:rsidRDefault="001A4326" w:rsidP="00216955">
      <w:pPr>
        <w:pStyle w:val="Ttulo3"/>
      </w:pPr>
      <w:bookmarkStart w:id="2385" w:name="_Ref138771421"/>
      <w:bookmarkStart w:id="2386" w:name="_Toc175326728"/>
      <w:r w:rsidRPr="00BD1319">
        <w:t>Establecer los criterios de evaluación</w:t>
      </w:r>
      <w:bookmarkEnd w:id="2385"/>
      <w:bookmarkEnd w:id="2386"/>
    </w:p>
    <w:p w14:paraId="0D112699" w14:textId="77777777" w:rsidR="001A4326" w:rsidRPr="00BD1319" w:rsidRDefault="001A4326" w:rsidP="001A4326">
      <w:pPr>
        <w:numPr>
          <w:ilvl w:val="12"/>
          <w:numId w:val="0"/>
        </w:numPr>
        <w:tabs>
          <w:tab w:val="left" w:pos="-2268"/>
        </w:tabs>
        <w:suppressAutoHyphens/>
        <w:rPr>
          <w:spacing w:val="-3"/>
        </w:rPr>
      </w:pPr>
    </w:p>
    <w:p w14:paraId="66026EE8" w14:textId="77777777" w:rsidR="001A4326" w:rsidRPr="00BD1319" w:rsidRDefault="001A4326" w:rsidP="001A4326">
      <w:pPr>
        <w:numPr>
          <w:ilvl w:val="12"/>
          <w:numId w:val="0"/>
        </w:numPr>
        <w:tabs>
          <w:tab w:val="left" w:pos="-2268"/>
        </w:tabs>
        <w:suppressAutoHyphens/>
        <w:rPr>
          <w:spacing w:val="-3"/>
        </w:rPr>
      </w:pPr>
      <w:r w:rsidRPr="00BD1319">
        <w:rPr>
          <w:spacing w:val="-3"/>
        </w:rPr>
        <w:t>Para asegurar el éxito de la EMC es primordial formular un conjunto adecuado de criterios (DCLG, 2009). Aun cuando más adelante en este apartado sobre la EMC y en los términos de referencia se establecen criterios para evaluar las consecuencias de alternativas ambientalmente racionales, es necesario que en cada caso de elaboración y evaluación de DAA se determine la aplicabilidad de dichos criterios y se ajusten o formulen criterios adicionales siguiendo los siguientes lineamientos.</w:t>
      </w:r>
    </w:p>
    <w:p w14:paraId="0665A462" w14:textId="77777777" w:rsidR="001A4326" w:rsidRPr="00BD1319" w:rsidRDefault="001A4326" w:rsidP="001A4326">
      <w:pPr>
        <w:numPr>
          <w:ilvl w:val="12"/>
          <w:numId w:val="0"/>
        </w:numPr>
        <w:tabs>
          <w:tab w:val="left" w:pos="-2268"/>
        </w:tabs>
        <w:suppressAutoHyphens/>
        <w:rPr>
          <w:spacing w:val="-3"/>
        </w:rPr>
      </w:pPr>
    </w:p>
    <w:p w14:paraId="045FFEE0" w14:textId="1D6330DB" w:rsidR="001A4326" w:rsidRPr="00BD1319" w:rsidRDefault="001A4326" w:rsidP="001A4326">
      <w:pPr>
        <w:numPr>
          <w:ilvl w:val="12"/>
          <w:numId w:val="0"/>
        </w:numPr>
        <w:tabs>
          <w:tab w:val="left" w:pos="-2268"/>
        </w:tabs>
        <w:suppressAutoHyphens/>
        <w:rPr>
          <w:spacing w:val="-3"/>
        </w:rPr>
      </w:pPr>
      <w:r w:rsidRPr="00BD1319">
        <w:rPr>
          <w:spacing w:val="-3"/>
        </w:rPr>
        <w:t xml:space="preserve">Para verificar la aplicabilidad de un criterio, para reformularlo o para establecer uno nuevo es necesario </w:t>
      </w:r>
      <w:r w:rsidR="006824D4" w:rsidRPr="00BD1319">
        <w:rPr>
          <w:spacing w:val="-3"/>
        </w:rPr>
        <w:t>determinar</w:t>
      </w:r>
      <w:r w:rsidRPr="00BD1319">
        <w:rPr>
          <w:spacing w:val="-3"/>
        </w:rPr>
        <w:t xml:space="preserve">, incluso mediante el proceso de participación contemplado en el numeral </w:t>
      </w:r>
      <w:r w:rsidR="006824D4" w:rsidRPr="00BD1319">
        <w:rPr>
          <w:spacing w:val="-3"/>
        </w:rPr>
        <w:fldChar w:fldCharType="begin"/>
      </w:r>
      <w:r w:rsidR="006824D4" w:rsidRPr="00BD1319">
        <w:rPr>
          <w:spacing w:val="-3"/>
        </w:rPr>
        <w:instrText xml:space="preserve"> REF _Ref146531665 \r \h </w:instrText>
      </w:r>
      <w:r w:rsidR="00BD1319">
        <w:rPr>
          <w:spacing w:val="-3"/>
        </w:rPr>
        <w:instrText xml:space="preserve"> \* MERGEFORMAT </w:instrText>
      </w:r>
      <w:r w:rsidR="006824D4" w:rsidRPr="00BD1319">
        <w:rPr>
          <w:spacing w:val="-3"/>
        </w:rPr>
      </w:r>
      <w:r w:rsidR="006824D4" w:rsidRPr="00BD1319">
        <w:rPr>
          <w:spacing w:val="-3"/>
        </w:rPr>
        <w:fldChar w:fldCharType="separate"/>
      </w:r>
      <w:r w:rsidR="00296654" w:rsidRPr="00BD1319">
        <w:rPr>
          <w:spacing w:val="-3"/>
        </w:rPr>
        <w:t>3</w:t>
      </w:r>
      <w:r w:rsidR="006824D4" w:rsidRPr="00BD1319">
        <w:rPr>
          <w:spacing w:val="-3"/>
        </w:rPr>
        <w:fldChar w:fldCharType="end"/>
      </w:r>
      <w:r w:rsidRPr="00BD1319">
        <w:rPr>
          <w:spacing w:val="-3"/>
        </w:rPr>
        <w:t xml:space="preserve"> de este capítulo, </w:t>
      </w:r>
      <w:r w:rsidRPr="00BD1319">
        <w:rPr>
          <w:i/>
          <w:iCs/>
          <w:spacing w:val="-3"/>
        </w:rPr>
        <w:t>qué características ambientales diferencian una buena alternativa de una mala alternativa</w:t>
      </w:r>
      <w:r w:rsidRPr="00BD1319">
        <w:rPr>
          <w:spacing w:val="-3"/>
        </w:rPr>
        <w:t xml:space="preserve"> y a partir de ello, establecer los criterios de la forma más precisa posible, sin ambigüedades y agrupándolos según el medio al cual pertenecen o dado su carácter general, tal como se hace en el numeral </w:t>
      </w:r>
      <w:r w:rsidR="006824D4" w:rsidRPr="00BD1319">
        <w:rPr>
          <w:spacing w:val="-3"/>
        </w:rPr>
        <w:fldChar w:fldCharType="begin"/>
      </w:r>
      <w:r w:rsidR="006824D4" w:rsidRPr="00BD1319">
        <w:rPr>
          <w:spacing w:val="-3"/>
        </w:rPr>
        <w:instrText xml:space="preserve"> REF _Ref415502137 \r \h </w:instrText>
      </w:r>
      <w:r w:rsidR="00BD1319">
        <w:rPr>
          <w:spacing w:val="-3"/>
        </w:rPr>
        <w:instrText xml:space="preserve"> \* MERGEFORMAT </w:instrText>
      </w:r>
      <w:r w:rsidR="006824D4" w:rsidRPr="00BD1319">
        <w:rPr>
          <w:spacing w:val="-3"/>
        </w:rPr>
      </w:r>
      <w:r w:rsidR="006824D4" w:rsidRPr="00BD1319">
        <w:rPr>
          <w:spacing w:val="-3"/>
        </w:rPr>
        <w:fldChar w:fldCharType="separate"/>
      </w:r>
      <w:r w:rsidR="00296654" w:rsidRPr="00BD1319">
        <w:rPr>
          <w:spacing w:val="-3"/>
        </w:rPr>
        <w:t>9.4</w:t>
      </w:r>
      <w:r w:rsidR="006824D4" w:rsidRPr="00BD1319">
        <w:rPr>
          <w:spacing w:val="-3"/>
        </w:rPr>
        <w:fldChar w:fldCharType="end"/>
      </w:r>
      <w:r w:rsidRPr="00BD1319">
        <w:rPr>
          <w:spacing w:val="-3"/>
        </w:rPr>
        <w:t xml:space="preserve"> de este capítulo. Por ejemplo, si se considera que una alternativa buena se diferencia de una mala por el hecho de no generar impactos en los ecosistemas estratégicos, entonces sería necesario plantear un criterio para abordar dicha característica.</w:t>
      </w:r>
    </w:p>
    <w:p w14:paraId="71C17E7C" w14:textId="77777777" w:rsidR="001A4326" w:rsidRPr="00BD1319" w:rsidRDefault="001A4326" w:rsidP="001A4326">
      <w:pPr>
        <w:numPr>
          <w:ilvl w:val="12"/>
          <w:numId w:val="0"/>
        </w:numPr>
        <w:tabs>
          <w:tab w:val="left" w:pos="-2268"/>
        </w:tabs>
        <w:suppressAutoHyphens/>
        <w:rPr>
          <w:spacing w:val="-3"/>
        </w:rPr>
      </w:pPr>
    </w:p>
    <w:p w14:paraId="271E5435" w14:textId="77777777" w:rsidR="001A4326" w:rsidRPr="00BD1319" w:rsidRDefault="001A4326" w:rsidP="001A4326">
      <w:pPr>
        <w:numPr>
          <w:ilvl w:val="12"/>
          <w:numId w:val="0"/>
        </w:numPr>
        <w:tabs>
          <w:tab w:val="left" w:pos="-2268"/>
        </w:tabs>
        <w:suppressAutoHyphens/>
        <w:rPr>
          <w:spacing w:val="-3"/>
        </w:rPr>
      </w:pPr>
      <w:r w:rsidRPr="00BD1319">
        <w:rPr>
          <w:spacing w:val="-3"/>
        </w:rPr>
        <w:t>En cualquier caso, de acuerdo con DCLG (2009) el conjunto de criterios empleado en una EMC debe tener las siguientes propiedades:</w:t>
      </w:r>
    </w:p>
    <w:p w14:paraId="51914427" w14:textId="77777777" w:rsidR="001A4326" w:rsidRPr="00BD1319" w:rsidRDefault="001A4326" w:rsidP="001A4326">
      <w:pPr>
        <w:numPr>
          <w:ilvl w:val="12"/>
          <w:numId w:val="0"/>
        </w:numPr>
        <w:tabs>
          <w:tab w:val="left" w:pos="-2268"/>
        </w:tabs>
        <w:suppressAutoHyphens/>
        <w:rPr>
          <w:spacing w:val="-3"/>
        </w:rPr>
      </w:pPr>
    </w:p>
    <w:p w14:paraId="4CF07046" w14:textId="77777777" w:rsidR="001A4326" w:rsidRPr="00BD1319" w:rsidRDefault="001A4326" w:rsidP="00716177">
      <w:pPr>
        <w:numPr>
          <w:ilvl w:val="0"/>
          <w:numId w:val="657"/>
        </w:numPr>
        <w:tabs>
          <w:tab w:val="left" w:pos="-2268"/>
        </w:tabs>
        <w:suppressAutoHyphens/>
        <w:ind w:left="567" w:hanging="567"/>
        <w:rPr>
          <w:spacing w:val="-3"/>
        </w:rPr>
      </w:pPr>
      <w:r w:rsidRPr="00BD1319">
        <w:rPr>
          <w:b/>
          <w:bCs/>
          <w:spacing w:val="-3"/>
        </w:rPr>
        <w:t>Completitud</w:t>
      </w:r>
      <w:r w:rsidRPr="00BD1319">
        <w:rPr>
          <w:spacing w:val="-3"/>
        </w:rPr>
        <w:t>: debe incorporar todos los criterios importantes que permiten evidenciar las diferencias entre las alternativas y seleccionar cuáles son mejores desde el punto de vista ambiental.</w:t>
      </w:r>
    </w:p>
    <w:p w14:paraId="3F0FFAAE" w14:textId="77777777" w:rsidR="001A4326" w:rsidRPr="00BD1319" w:rsidRDefault="001A4326" w:rsidP="00716177">
      <w:pPr>
        <w:numPr>
          <w:ilvl w:val="12"/>
          <w:numId w:val="0"/>
        </w:numPr>
        <w:tabs>
          <w:tab w:val="left" w:pos="-2268"/>
        </w:tabs>
        <w:suppressAutoHyphens/>
        <w:ind w:left="567" w:hanging="567"/>
        <w:rPr>
          <w:spacing w:val="-3"/>
        </w:rPr>
      </w:pPr>
    </w:p>
    <w:p w14:paraId="6310C977" w14:textId="77777777" w:rsidR="001A4326" w:rsidRPr="00BD1319" w:rsidRDefault="001A4326" w:rsidP="00716177">
      <w:pPr>
        <w:numPr>
          <w:ilvl w:val="0"/>
          <w:numId w:val="657"/>
        </w:numPr>
        <w:tabs>
          <w:tab w:val="left" w:pos="-2268"/>
        </w:tabs>
        <w:suppressAutoHyphens/>
        <w:ind w:left="567" w:hanging="567"/>
        <w:rPr>
          <w:spacing w:val="-3"/>
        </w:rPr>
      </w:pPr>
      <w:r w:rsidRPr="00BD1319">
        <w:rPr>
          <w:b/>
          <w:bCs/>
          <w:spacing w:val="-3"/>
        </w:rPr>
        <w:t>No redundancia</w:t>
      </w:r>
      <w:r w:rsidRPr="00BD1319">
        <w:rPr>
          <w:spacing w:val="-3"/>
        </w:rPr>
        <w:t>: no debe incluir criterios innecesarios o poco importantes. Se deben eliminar los criterios para los cuales se espera que las alternativas tengan el mismo desempeño.</w:t>
      </w:r>
    </w:p>
    <w:p w14:paraId="160DB56C" w14:textId="77777777" w:rsidR="001A4326" w:rsidRPr="00BD1319" w:rsidRDefault="001A4326" w:rsidP="00716177">
      <w:pPr>
        <w:numPr>
          <w:ilvl w:val="12"/>
          <w:numId w:val="0"/>
        </w:numPr>
        <w:tabs>
          <w:tab w:val="left" w:pos="-2268"/>
        </w:tabs>
        <w:suppressAutoHyphens/>
        <w:ind w:left="567" w:hanging="567"/>
        <w:rPr>
          <w:spacing w:val="-3"/>
        </w:rPr>
      </w:pPr>
    </w:p>
    <w:p w14:paraId="26F5A5E3" w14:textId="77777777" w:rsidR="001A4326" w:rsidRPr="00BD1319" w:rsidRDefault="001A4326" w:rsidP="00716177">
      <w:pPr>
        <w:numPr>
          <w:ilvl w:val="0"/>
          <w:numId w:val="657"/>
        </w:numPr>
        <w:tabs>
          <w:tab w:val="left" w:pos="-2268"/>
        </w:tabs>
        <w:suppressAutoHyphens/>
        <w:ind w:left="567" w:hanging="567"/>
        <w:rPr>
          <w:spacing w:val="-3"/>
        </w:rPr>
      </w:pPr>
      <w:proofErr w:type="spellStart"/>
      <w:r w:rsidRPr="00BD1319">
        <w:rPr>
          <w:b/>
          <w:bCs/>
          <w:spacing w:val="-3"/>
        </w:rPr>
        <w:lastRenderedPageBreak/>
        <w:t>Operacionalidad</w:t>
      </w:r>
      <w:proofErr w:type="spellEnd"/>
      <w:r w:rsidRPr="00BD1319">
        <w:rPr>
          <w:spacing w:val="-3"/>
        </w:rPr>
        <w:t>: debe asegurar que las alternativas puedan ser evaluadas mediante todos sus criterios (cuantitativos o cualitativos), es decir, que en la práctica sea posible medir o juzgar qué tan bien se desempeñan o que tanto se prefieren las alternativas según el criterio que se evalúe.</w:t>
      </w:r>
    </w:p>
    <w:p w14:paraId="38E9AB0A" w14:textId="77777777" w:rsidR="001A4326" w:rsidRPr="00BD1319" w:rsidRDefault="001A4326" w:rsidP="00716177">
      <w:pPr>
        <w:numPr>
          <w:ilvl w:val="12"/>
          <w:numId w:val="0"/>
        </w:numPr>
        <w:tabs>
          <w:tab w:val="left" w:pos="-2268"/>
        </w:tabs>
        <w:suppressAutoHyphens/>
        <w:ind w:left="567" w:hanging="567"/>
        <w:rPr>
          <w:spacing w:val="-3"/>
        </w:rPr>
      </w:pPr>
    </w:p>
    <w:p w14:paraId="77537399" w14:textId="049A02FF" w:rsidR="001A4326" w:rsidRPr="00BD1319" w:rsidRDefault="001A4326" w:rsidP="00716177">
      <w:pPr>
        <w:numPr>
          <w:ilvl w:val="0"/>
          <w:numId w:val="657"/>
        </w:numPr>
        <w:tabs>
          <w:tab w:val="left" w:pos="-2268"/>
        </w:tabs>
        <w:suppressAutoHyphens/>
        <w:ind w:left="567" w:hanging="567"/>
        <w:rPr>
          <w:spacing w:val="-3"/>
        </w:rPr>
      </w:pPr>
      <w:r w:rsidRPr="00BD1319">
        <w:rPr>
          <w:b/>
          <w:bCs/>
          <w:spacing w:val="-3"/>
        </w:rPr>
        <w:t>Independencia mutua de preferencias</w:t>
      </w:r>
      <w:r w:rsidRPr="00BD1319">
        <w:rPr>
          <w:spacing w:val="-3"/>
        </w:rPr>
        <w:t xml:space="preserve">: debe asegurar que la asignación de preferencias de una alternativa mediante cualquier criterio se establezca de forma independiente a la asignación de preferencias mediante otro criterio, dicho de otro modo, que </w:t>
      </w:r>
      <w:bookmarkStart w:id="2387" w:name="_Hlk118203196"/>
      <w:r w:rsidRPr="00BD1319">
        <w:rPr>
          <w:spacing w:val="-3"/>
        </w:rPr>
        <w:t xml:space="preserve">la preferencia evaluada mediante un criterio no puede depender de </w:t>
      </w:r>
      <w:r w:rsidR="006824D4" w:rsidRPr="00BD1319">
        <w:rPr>
          <w:spacing w:val="-3"/>
        </w:rPr>
        <w:t>la preferencia evaluada a través de otros criterios</w:t>
      </w:r>
      <w:bookmarkEnd w:id="2387"/>
      <w:r w:rsidRPr="00BD1319">
        <w:rPr>
          <w:spacing w:val="-3"/>
        </w:rPr>
        <w:t xml:space="preserve"> (</w:t>
      </w:r>
      <w:proofErr w:type="spellStart"/>
      <w:r w:rsidRPr="00BD1319">
        <w:rPr>
          <w:spacing w:val="-3"/>
        </w:rPr>
        <w:t>Munda</w:t>
      </w:r>
      <w:proofErr w:type="spellEnd"/>
      <w:r w:rsidRPr="00BD1319">
        <w:rPr>
          <w:spacing w:val="-3"/>
        </w:rPr>
        <w:t>, 2008; DCLG, 2009).</w:t>
      </w:r>
    </w:p>
    <w:p w14:paraId="5786B409" w14:textId="77777777" w:rsidR="001A4326" w:rsidRPr="00BD1319" w:rsidRDefault="001A4326" w:rsidP="00716177">
      <w:pPr>
        <w:numPr>
          <w:ilvl w:val="12"/>
          <w:numId w:val="0"/>
        </w:numPr>
        <w:tabs>
          <w:tab w:val="left" w:pos="-2268"/>
        </w:tabs>
        <w:suppressAutoHyphens/>
        <w:ind w:left="567" w:hanging="567"/>
        <w:rPr>
          <w:spacing w:val="-3"/>
        </w:rPr>
      </w:pPr>
    </w:p>
    <w:p w14:paraId="65B5960F" w14:textId="23719EB8" w:rsidR="001A4326" w:rsidRPr="00BD1319" w:rsidRDefault="001A4326" w:rsidP="00716177">
      <w:pPr>
        <w:numPr>
          <w:ilvl w:val="12"/>
          <w:numId w:val="0"/>
        </w:numPr>
        <w:tabs>
          <w:tab w:val="left" w:pos="-2268"/>
        </w:tabs>
        <w:suppressAutoHyphens/>
        <w:ind w:left="567"/>
        <w:rPr>
          <w:spacing w:val="-3"/>
        </w:rPr>
      </w:pPr>
      <w:r w:rsidRPr="00BD1319">
        <w:rPr>
          <w:spacing w:val="-3"/>
        </w:rPr>
        <w:t>Esta propiedad es fundamental y necesaria para integrar los puntajes de valoración de todos los criterios y así señalar el desempeño global de una alternativa</w:t>
      </w:r>
      <w:r w:rsidR="00E31E6E" w:rsidRPr="00BD1319">
        <w:rPr>
          <w:spacing w:val="-3"/>
        </w:rPr>
        <w:t xml:space="preserve"> cuando se emplea el método de la suma de valores ponderados</w:t>
      </w:r>
      <w:r w:rsidRPr="00BD1319">
        <w:rPr>
          <w:spacing w:val="-3"/>
        </w:rPr>
        <w:t>. En caso de que se emplee este método y no exista independencia mutua de preferencias, se deben identificar los criterios que son dependientes entre sí y fusionarlos en uno sólo.</w:t>
      </w:r>
    </w:p>
    <w:p w14:paraId="024AA0A9" w14:textId="77777777" w:rsidR="001A4326" w:rsidRPr="00BD1319" w:rsidRDefault="001A4326" w:rsidP="00716177">
      <w:pPr>
        <w:numPr>
          <w:ilvl w:val="12"/>
          <w:numId w:val="0"/>
        </w:numPr>
        <w:tabs>
          <w:tab w:val="left" w:pos="-2268"/>
        </w:tabs>
        <w:suppressAutoHyphens/>
        <w:ind w:left="567"/>
        <w:rPr>
          <w:spacing w:val="-3"/>
        </w:rPr>
      </w:pPr>
    </w:p>
    <w:p w14:paraId="04021365" w14:textId="77777777" w:rsidR="001A4326" w:rsidRPr="00BD1319" w:rsidRDefault="001A4326" w:rsidP="00716177">
      <w:pPr>
        <w:numPr>
          <w:ilvl w:val="12"/>
          <w:numId w:val="0"/>
        </w:numPr>
        <w:tabs>
          <w:tab w:val="left" w:pos="-2268"/>
        </w:tabs>
        <w:suppressAutoHyphens/>
        <w:ind w:left="567"/>
        <w:rPr>
          <w:spacing w:val="-3"/>
        </w:rPr>
      </w:pPr>
      <w:r w:rsidRPr="00BD1319">
        <w:rPr>
          <w:spacing w:val="-3"/>
        </w:rPr>
        <w:t>No se debe confundir la independencia mutua de preferencias con la correlación entre criterios, pues las preferencias se pueden establecer de forma independiente sin importar si los criterios están correlacionados entre sí; por ejemplo, los criterios asociados a impactos al medio biótico se correlacionan con los criterios asociados a impactos al medio socioeconómico (dado que los impactos al medio biótico pueden generar impactos en el medio socioeconómico), pero es posible evaluar cada uno de estos criterios de forma independiente y sin importar la valoración dada a otros criterios.</w:t>
      </w:r>
    </w:p>
    <w:p w14:paraId="5EAEAC4F" w14:textId="77777777" w:rsidR="001A4326" w:rsidRPr="00BD1319" w:rsidRDefault="001A4326" w:rsidP="001A4326">
      <w:pPr>
        <w:numPr>
          <w:ilvl w:val="12"/>
          <w:numId w:val="0"/>
        </w:numPr>
        <w:tabs>
          <w:tab w:val="left" w:pos="-2268"/>
        </w:tabs>
        <w:suppressAutoHyphens/>
        <w:rPr>
          <w:spacing w:val="-3"/>
        </w:rPr>
      </w:pPr>
    </w:p>
    <w:p w14:paraId="6E154062" w14:textId="58E2C784" w:rsidR="001A4326" w:rsidRPr="00BD1319" w:rsidRDefault="001A4326" w:rsidP="00716177">
      <w:pPr>
        <w:numPr>
          <w:ilvl w:val="0"/>
          <w:numId w:val="657"/>
        </w:numPr>
        <w:tabs>
          <w:tab w:val="left" w:pos="-2268"/>
        </w:tabs>
        <w:suppressAutoHyphens/>
        <w:ind w:left="567" w:hanging="567"/>
        <w:rPr>
          <w:spacing w:val="-3"/>
        </w:rPr>
      </w:pPr>
      <w:bookmarkStart w:id="2388" w:name="_Hlk118291857"/>
      <w:r w:rsidRPr="00BD1319">
        <w:rPr>
          <w:b/>
          <w:bCs/>
          <w:spacing w:val="-3"/>
        </w:rPr>
        <w:t>Contabilidad única</w:t>
      </w:r>
      <w:bookmarkEnd w:id="2388"/>
      <w:r w:rsidRPr="00BD1319">
        <w:rPr>
          <w:spacing w:val="-3"/>
        </w:rPr>
        <w:t>: debe asegurar que no exista doble contabilidad; ello ocurre cuando se incluyen varios criterios asociados a un mismo fenómeno o elemento bajo evaluación, pues se le da más importancia y se eluden las reglas fijadas para ponderar o integrar los valores de cada criterio mediante el método de agregación. Generalmente, al verificar que se contemplen los criterios que permiten diferenciar una buena alternativa de una mala, que no exista redundancia de criterios y que éstos tengan independencia mutua de preferencias, es posible garantizar que la contabilidad en la evaluación de preferencias es única.</w:t>
      </w:r>
    </w:p>
    <w:p w14:paraId="4053DD86" w14:textId="77777777" w:rsidR="001A4326" w:rsidRPr="00BD1319" w:rsidRDefault="001A4326" w:rsidP="00716177">
      <w:pPr>
        <w:numPr>
          <w:ilvl w:val="12"/>
          <w:numId w:val="0"/>
        </w:numPr>
        <w:tabs>
          <w:tab w:val="left" w:pos="-2268"/>
        </w:tabs>
        <w:suppressAutoHyphens/>
        <w:ind w:left="567" w:hanging="567"/>
        <w:rPr>
          <w:spacing w:val="-3"/>
        </w:rPr>
      </w:pPr>
    </w:p>
    <w:p w14:paraId="6C662323" w14:textId="77777777" w:rsidR="001A4326" w:rsidRPr="00BD1319" w:rsidRDefault="001A4326" w:rsidP="00716177">
      <w:pPr>
        <w:numPr>
          <w:ilvl w:val="0"/>
          <w:numId w:val="657"/>
        </w:numPr>
        <w:tabs>
          <w:tab w:val="left" w:pos="-2268"/>
        </w:tabs>
        <w:suppressAutoHyphens/>
        <w:ind w:left="567" w:hanging="567"/>
        <w:rPr>
          <w:spacing w:val="-3"/>
        </w:rPr>
      </w:pPr>
      <w:r w:rsidRPr="00BD1319">
        <w:rPr>
          <w:b/>
          <w:bCs/>
          <w:spacing w:val="-3"/>
        </w:rPr>
        <w:t>Tamaño manejable</w:t>
      </w:r>
      <w:r w:rsidRPr="00BD1319">
        <w:rPr>
          <w:spacing w:val="-3"/>
        </w:rPr>
        <w:t xml:space="preserve">: debe estar constituido por una cantidad manejable de criterios, es decir, no deben existir más criterios de los necesarios para cumplir el propósito de comparar e identificar las mejores alternativas desde el punto de vista ambiental. Ello implica también balancear la cantidad de criterios generales </w:t>
      </w:r>
      <w:r w:rsidRPr="00BD1319">
        <w:rPr>
          <w:spacing w:val="-3"/>
        </w:rPr>
        <w:lastRenderedPageBreak/>
        <w:t>y de los referidos a las consecuencias sobre los medios abiótico, biótico y socioeconómico; alternativamente, es posible contrarrestar el desbalance en la cantidad de criterios en cada grupo, estableciendo un método de agregación de preferencias que corrija esta deficiencia.</w:t>
      </w:r>
    </w:p>
    <w:p w14:paraId="255EDE2B" w14:textId="77777777" w:rsidR="001A4326" w:rsidRPr="00BD1319" w:rsidRDefault="001A4326" w:rsidP="001A4326">
      <w:pPr>
        <w:numPr>
          <w:ilvl w:val="12"/>
          <w:numId w:val="0"/>
        </w:numPr>
        <w:tabs>
          <w:tab w:val="left" w:pos="-2268"/>
        </w:tabs>
        <w:suppressAutoHyphens/>
        <w:rPr>
          <w:spacing w:val="-3"/>
        </w:rPr>
      </w:pPr>
    </w:p>
    <w:p w14:paraId="437DD330" w14:textId="77777777" w:rsidR="001A4326" w:rsidRPr="00BD1319" w:rsidRDefault="001A4326" w:rsidP="00216955">
      <w:pPr>
        <w:pStyle w:val="Ttulo3"/>
      </w:pPr>
      <w:bookmarkStart w:id="2389" w:name="_Ref159417340"/>
      <w:bookmarkStart w:id="2390" w:name="_Toc175326729"/>
      <w:r w:rsidRPr="00BD1319">
        <w:t>Ejecutar el procedimiento de EMC del método seleccionado</w:t>
      </w:r>
      <w:bookmarkEnd w:id="2389"/>
      <w:bookmarkEnd w:id="2390"/>
    </w:p>
    <w:p w14:paraId="4D1BC1C9" w14:textId="77777777" w:rsidR="001A4326" w:rsidRPr="00BD1319" w:rsidRDefault="001A4326" w:rsidP="001A4326">
      <w:pPr>
        <w:numPr>
          <w:ilvl w:val="12"/>
          <w:numId w:val="0"/>
        </w:numPr>
        <w:tabs>
          <w:tab w:val="left" w:pos="-2268"/>
        </w:tabs>
        <w:suppressAutoHyphens/>
        <w:rPr>
          <w:spacing w:val="-3"/>
        </w:rPr>
      </w:pPr>
    </w:p>
    <w:p w14:paraId="3CE624B2" w14:textId="77777777" w:rsidR="001A4326" w:rsidRPr="00BD1319" w:rsidRDefault="001A4326" w:rsidP="001A4326">
      <w:pPr>
        <w:numPr>
          <w:ilvl w:val="12"/>
          <w:numId w:val="0"/>
        </w:numPr>
        <w:tabs>
          <w:tab w:val="left" w:pos="-2268"/>
        </w:tabs>
        <w:suppressAutoHyphens/>
        <w:rPr>
          <w:spacing w:val="-3"/>
        </w:rPr>
      </w:pPr>
      <w:r w:rsidRPr="00BD1319">
        <w:rPr>
          <w:spacing w:val="-3"/>
        </w:rPr>
        <w:t>Una vez se definan los criterios de evaluación, se debe ejecutar el procedimiento de EMC que se haya seleccionado siguiendo las pautas definidas para cada uno de ellos y teniendo en cuenta que la forma de establecer las preferencias y de agregar las evaluaciones de cada criterio constituyen los aspectos que mayormente definen cada método.</w:t>
      </w:r>
    </w:p>
    <w:p w14:paraId="641A90FC" w14:textId="77777777" w:rsidR="001A4326" w:rsidRPr="00BD1319" w:rsidRDefault="001A4326" w:rsidP="001A4326">
      <w:pPr>
        <w:numPr>
          <w:ilvl w:val="12"/>
          <w:numId w:val="0"/>
        </w:numPr>
        <w:tabs>
          <w:tab w:val="left" w:pos="-2268"/>
        </w:tabs>
        <w:suppressAutoHyphens/>
        <w:rPr>
          <w:spacing w:val="-3"/>
        </w:rPr>
      </w:pPr>
    </w:p>
    <w:p w14:paraId="6A3908F5" w14:textId="77777777" w:rsidR="001A4326" w:rsidRPr="00BD1319" w:rsidRDefault="001A4326" w:rsidP="001A4326">
      <w:pPr>
        <w:numPr>
          <w:ilvl w:val="12"/>
          <w:numId w:val="0"/>
        </w:numPr>
        <w:tabs>
          <w:tab w:val="left" w:pos="-2268"/>
        </w:tabs>
        <w:suppressAutoHyphens/>
        <w:rPr>
          <w:spacing w:val="-3"/>
        </w:rPr>
      </w:pPr>
      <w:r w:rsidRPr="00BD1319">
        <w:rPr>
          <w:spacing w:val="-3"/>
        </w:rPr>
        <w:t>A continuación, se brindan algunos lineamientos para desarrollar la EMC usando el método de la suma ponderada, un método elemental que puede usar información cardinal determinística, que es totalmente compensatorio, y que evalúa relaciones de preferencia e indiferencia mediante calificaciones directas del desempeño de cada alternativa.</w:t>
      </w:r>
    </w:p>
    <w:p w14:paraId="2919910C" w14:textId="77777777" w:rsidR="001A4326" w:rsidRPr="00BD1319" w:rsidRDefault="001A4326" w:rsidP="001A4326">
      <w:pPr>
        <w:numPr>
          <w:ilvl w:val="12"/>
          <w:numId w:val="0"/>
        </w:numPr>
        <w:tabs>
          <w:tab w:val="left" w:pos="-2268"/>
        </w:tabs>
        <w:suppressAutoHyphens/>
        <w:rPr>
          <w:spacing w:val="-3"/>
        </w:rPr>
      </w:pPr>
    </w:p>
    <w:p w14:paraId="54DE3E5E" w14:textId="77777777" w:rsidR="001A4326" w:rsidRPr="00BD1319" w:rsidRDefault="001A4326" w:rsidP="00C64D82">
      <w:pPr>
        <w:pStyle w:val="Ttulo4"/>
        <w:tabs>
          <w:tab w:val="clear" w:pos="1844"/>
          <w:tab w:val="num" w:pos="1134"/>
        </w:tabs>
        <w:ind w:left="0"/>
        <w:rPr>
          <w:lang w:val="es-CO"/>
        </w:rPr>
      </w:pPr>
      <w:r w:rsidRPr="00BD1319">
        <w:rPr>
          <w:lang w:val="es-CO"/>
        </w:rPr>
        <w:t>Suma ponderada. Paso 1: evaluar el desempeño de las alternativas</w:t>
      </w:r>
    </w:p>
    <w:p w14:paraId="6D0B8126" w14:textId="77777777" w:rsidR="001A4326" w:rsidRPr="00BD1319" w:rsidRDefault="001A4326" w:rsidP="001A4326">
      <w:pPr>
        <w:numPr>
          <w:ilvl w:val="12"/>
          <w:numId w:val="0"/>
        </w:numPr>
        <w:tabs>
          <w:tab w:val="left" w:pos="-2268"/>
        </w:tabs>
        <w:suppressAutoHyphens/>
        <w:rPr>
          <w:spacing w:val="-3"/>
        </w:rPr>
      </w:pPr>
    </w:p>
    <w:p w14:paraId="6D66894F" w14:textId="4C74943D" w:rsidR="001A4326" w:rsidRPr="00BD1319" w:rsidRDefault="001A4326" w:rsidP="001A4326">
      <w:pPr>
        <w:numPr>
          <w:ilvl w:val="12"/>
          <w:numId w:val="0"/>
        </w:numPr>
        <w:tabs>
          <w:tab w:val="left" w:pos="-2268"/>
        </w:tabs>
        <w:suppressAutoHyphens/>
        <w:rPr>
          <w:spacing w:val="-3"/>
        </w:rPr>
      </w:pPr>
      <w:r w:rsidRPr="00BD1319">
        <w:rPr>
          <w:spacing w:val="-3"/>
        </w:rPr>
        <w:t>El desempeño de cada alternativa debe ser evaluado empleando la matriz de evaluación de alternativas, en la cual para cada alternativa (</w:t>
      </w:r>
      <w:proofErr w:type="spellStart"/>
      <w:r w:rsidRPr="00BD1319">
        <w:rPr>
          <w:spacing w:val="-3"/>
        </w:rPr>
        <w:t>A</w:t>
      </w:r>
      <w:r w:rsidRPr="00BD1319">
        <w:rPr>
          <w:spacing w:val="-3"/>
          <w:vertAlign w:val="subscript"/>
        </w:rPr>
        <w:t>i</w:t>
      </w:r>
      <w:proofErr w:type="spellEnd"/>
      <w:r w:rsidRPr="00BD1319">
        <w:rPr>
          <w:spacing w:val="-3"/>
        </w:rPr>
        <w:t>) y criterio (</w:t>
      </w:r>
      <w:proofErr w:type="spellStart"/>
      <w:r w:rsidRPr="00BD1319">
        <w:rPr>
          <w:spacing w:val="-3"/>
        </w:rPr>
        <w:t>C</w:t>
      </w:r>
      <w:r w:rsidRPr="00BD1319">
        <w:rPr>
          <w:spacing w:val="-3"/>
          <w:vertAlign w:val="subscript"/>
        </w:rPr>
        <w:t>j</w:t>
      </w:r>
      <w:proofErr w:type="spellEnd"/>
      <w:r w:rsidRPr="00BD1319">
        <w:rPr>
          <w:spacing w:val="-3"/>
        </w:rPr>
        <w:t>) se asignan valores de desempeño (</w:t>
      </w:r>
      <w:r w:rsidRPr="00BD1319">
        <w:rPr>
          <w:i/>
          <w:iCs/>
          <w:spacing w:val="-3"/>
        </w:rPr>
        <w:t>E</w:t>
      </w:r>
      <w:r w:rsidRPr="00BD1319">
        <w:rPr>
          <w:spacing w:val="-3"/>
        </w:rPr>
        <w:t xml:space="preserve"> </w:t>
      </w:r>
      <w:proofErr w:type="spellStart"/>
      <w:r w:rsidRPr="00BD1319">
        <w:rPr>
          <w:spacing w:val="-3"/>
        </w:rPr>
        <w:t>A</w:t>
      </w:r>
      <w:r w:rsidRPr="00BD1319">
        <w:rPr>
          <w:spacing w:val="-3"/>
          <w:vertAlign w:val="subscript"/>
        </w:rPr>
        <w:t>i</w:t>
      </w:r>
      <w:proofErr w:type="spellEnd"/>
      <w:r w:rsidRPr="00BD1319">
        <w:rPr>
          <w:spacing w:val="-3"/>
        </w:rPr>
        <w:t xml:space="preserve"> </w:t>
      </w:r>
      <w:proofErr w:type="spellStart"/>
      <w:r w:rsidRPr="00BD1319">
        <w:rPr>
          <w:spacing w:val="-3"/>
        </w:rPr>
        <w:t>C</w:t>
      </w:r>
      <w:r w:rsidRPr="00BD1319">
        <w:rPr>
          <w:spacing w:val="-3"/>
          <w:vertAlign w:val="subscript"/>
        </w:rPr>
        <w:t>j</w:t>
      </w:r>
      <w:proofErr w:type="spellEnd"/>
      <w:r w:rsidRPr="00BD1319">
        <w:rPr>
          <w:spacing w:val="-3"/>
        </w:rPr>
        <w:t xml:space="preserve">) (ver </w:t>
      </w:r>
      <w:r w:rsidRPr="00BD1319">
        <w:rPr>
          <w:spacing w:val="-3"/>
        </w:rPr>
        <w:fldChar w:fldCharType="begin"/>
      </w:r>
      <w:r w:rsidRPr="00BD1319">
        <w:rPr>
          <w:spacing w:val="-3"/>
        </w:rPr>
        <w:instrText xml:space="preserve"> REF _Ref121128187 \h  \* MERGEFORMAT </w:instrText>
      </w:r>
      <w:r w:rsidRPr="00BD1319">
        <w:rPr>
          <w:spacing w:val="-3"/>
        </w:rPr>
      </w:r>
      <w:r w:rsidRPr="00BD1319">
        <w:rPr>
          <w:spacing w:val="-3"/>
        </w:rPr>
        <w:fldChar w:fldCharType="separate"/>
      </w:r>
      <w:r w:rsidR="00296654" w:rsidRPr="00BD1319">
        <w:rPr>
          <w:spacing w:val="-3"/>
        </w:rPr>
        <w:t>Tabla 14</w:t>
      </w:r>
      <w:r w:rsidRPr="00BD1319">
        <w:rPr>
          <w:spacing w:val="-3"/>
        </w:rPr>
        <w:fldChar w:fldCharType="end"/>
      </w:r>
      <w:r w:rsidRPr="00BD1319">
        <w:rPr>
          <w:spacing w:val="-3"/>
        </w:rPr>
        <w:t xml:space="preserve">). Dicha valoración se asigna usando una escala que permita valorar todas las alternativas a partir de lo que se considera mejor y peor para cada criterio (DCLG, 2009); por ejemplo, al evaluar un criterio asociado al impacto potencial de las alternativas sobre </w:t>
      </w:r>
      <w:r w:rsidR="0086126A" w:rsidRPr="00BD1319">
        <w:rPr>
          <w:spacing w:val="-3"/>
        </w:rPr>
        <w:t>Áreas Ambientales Estratégicas</w:t>
      </w:r>
      <w:r w:rsidRPr="00BD1319">
        <w:rPr>
          <w:spacing w:val="-3"/>
        </w:rPr>
        <w:t xml:space="preserve"> (</w:t>
      </w:r>
      <w:r w:rsidR="0086126A" w:rsidRPr="00BD1319">
        <w:rPr>
          <w:spacing w:val="-3"/>
        </w:rPr>
        <w:t>AAE</w:t>
      </w:r>
      <w:r w:rsidRPr="00BD1319">
        <w:rPr>
          <w:spacing w:val="-3"/>
        </w:rPr>
        <w:t>), se debe asignar el máximo valor posible cuando la alternativa no genere impactos potenciales sobre estas áreas y el mínimo valor cuando pueda impactarlas totalmente.</w:t>
      </w:r>
    </w:p>
    <w:p w14:paraId="11AE9B4E" w14:textId="77777777" w:rsidR="001A4326" w:rsidRPr="00BD1319" w:rsidRDefault="001A4326" w:rsidP="001A4326">
      <w:pPr>
        <w:numPr>
          <w:ilvl w:val="12"/>
          <w:numId w:val="0"/>
        </w:numPr>
        <w:tabs>
          <w:tab w:val="left" w:pos="-2268"/>
        </w:tabs>
        <w:suppressAutoHyphens/>
        <w:rPr>
          <w:spacing w:val="-3"/>
        </w:rPr>
      </w:pPr>
    </w:p>
    <w:p w14:paraId="7288BFB2" w14:textId="77777777" w:rsidR="001A4326" w:rsidRPr="00BD1319" w:rsidRDefault="001A4326" w:rsidP="001A4326">
      <w:pPr>
        <w:numPr>
          <w:ilvl w:val="12"/>
          <w:numId w:val="0"/>
        </w:numPr>
        <w:tabs>
          <w:tab w:val="left" w:pos="-2268"/>
        </w:tabs>
        <w:suppressAutoHyphens/>
        <w:rPr>
          <w:spacing w:val="-3"/>
        </w:rPr>
      </w:pPr>
      <w:r w:rsidRPr="00BD1319">
        <w:rPr>
          <w:spacing w:val="-3"/>
        </w:rPr>
        <w:t>El propósito de esta escala de valoración es hacer posible la comparación de diferentes unidades de medida y establecer el desempeño global de cada alternativa mediante la agregación de su desempeño para cada criterio (DCLG, 2009); ello permite seleccionar la alternativa mejor puntuada.</w:t>
      </w:r>
    </w:p>
    <w:p w14:paraId="032F10FF" w14:textId="77777777" w:rsidR="001A4326" w:rsidRPr="00BD1319" w:rsidRDefault="001A4326" w:rsidP="001A4326">
      <w:pPr>
        <w:numPr>
          <w:ilvl w:val="12"/>
          <w:numId w:val="0"/>
        </w:numPr>
        <w:tabs>
          <w:tab w:val="left" w:pos="-2268"/>
        </w:tabs>
        <w:suppressAutoHyphens/>
        <w:rPr>
          <w:spacing w:val="-3"/>
        </w:rPr>
      </w:pPr>
    </w:p>
    <w:p w14:paraId="3FABA788" w14:textId="77777777" w:rsidR="001A4326" w:rsidRPr="00BD1319" w:rsidRDefault="001A4326" w:rsidP="001A4326">
      <w:pPr>
        <w:numPr>
          <w:ilvl w:val="12"/>
          <w:numId w:val="0"/>
        </w:numPr>
        <w:tabs>
          <w:tab w:val="left" w:pos="-2268"/>
        </w:tabs>
        <w:suppressAutoHyphens/>
        <w:rPr>
          <w:spacing w:val="-3"/>
        </w:rPr>
      </w:pPr>
      <w:r w:rsidRPr="00BD1319">
        <w:rPr>
          <w:spacing w:val="-3"/>
        </w:rPr>
        <w:t>Las escalas de valoración usadas para el desarrollo de este método generalmente son escalas de intervalo, por ejemplo, entre 0 y 100 (DCLG, 2009). Este tipo de escalas no tienen un punto cero con significado verdadero</w:t>
      </w:r>
      <w:r w:rsidRPr="00BD1319">
        <w:rPr>
          <w:spacing w:val="-3"/>
          <w:vertAlign w:val="superscript"/>
        </w:rPr>
        <w:footnoteReference w:id="60"/>
      </w:r>
      <w:r w:rsidRPr="00BD1319">
        <w:rPr>
          <w:spacing w:val="-3"/>
        </w:rPr>
        <w:t xml:space="preserve"> y el rango de valoración es definido de forma arbitraria. Existen dos tipos de escalas de intervalo, las absolutas y las relativas.</w:t>
      </w:r>
    </w:p>
    <w:p w14:paraId="3746DC48" w14:textId="77777777" w:rsidR="001A4326" w:rsidRPr="00BD1319" w:rsidRDefault="001A4326" w:rsidP="001A4326">
      <w:pPr>
        <w:numPr>
          <w:ilvl w:val="12"/>
          <w:numId w:val="0"/>
        </w:numPr>
        <w:tabs>
          <w:tab w:val="left" w:pos="-2268"/>
        </w:tabs>
        <w:suppressAutoHyphens/>
        <w:rPr>
          <w:spacing w:val="-3"/>
        </w:rPr>
      </w:pPr>
    </w:p>
    <w:p w14:paraId="347D98C3" w14:textId="77777777" w:rsidR="001A4326" w:rsidRPr="00BD1319" w:rsidRDefault="001A4326" w:rsidP="001A4326">
      <w:pPr>
        <w:numPr>
          <w:ilvl w:val="12"/>
          <w:numId w:val="0"/>
        </w:numPr>
        <w:tabs>
          <w:tab w:val="left" w:pos="-2268"/>
        </w:tabs>
        <w:suppressAutoHyphens/>
        <w:rPr>
          <w:spacing w:val="-3"/>
        </w:rPr>
      </w:pPr>
      <w:r w:rsidRPr="00BD1319">
        <w:rPr>
          <w:spacing w:val="-3"/>
        </w:rPr>
        <w:t xml:space="preserve">En las </w:t>
      </w:r>
      <w:r w:rsidRPr="00BD1319">
        <w:rPr>
          <w:i/>
          <w:iCs/>
          <w:spacing w:val="-3"/>
        </w:rPr>
        <w:t>absolutas</w:t>
      </w:r>
      <w:r w:rsidRPr="00BD1319">
        <w:rPr>
          <w:spacing w:val="-3"/>
        </w:rPr>
        <w:t xml:space="preserve"> el valor más bajo (0, por ejemplo) corresponde al peor desempeño posible para el criterio que corresponda, y el más alto (100, por ejemplo) al mejor desempeño posible para ese criterio; este tipo de escala define un estándar al definir los desempeños mínimos y máximos posibles. A pesar de que este tipo de escala facilita la definición de los pesos de los criterios, requiere de juicios muy bien sustentados para definir qué es lo que se considera “lo peor posible” y qué es lo que se considera “lo mejor posible”.</w:t>
      </w:r>
    </w:p>
    <w:p w14:paraId="515A4C2D" w14:textId="77777777" w:rsidR="001A4326" w:rsidRPr="00BD1319" w:rsidRDefault="001A4326" w:rsidP="001A4326">
      <w:pPr>
        <w:numPr>
          <w:ilvl w:val="12"/>
          <w:numId w:val="0"/>
        </w:numPr>
        <w:tabs>
          <w:tab w:val="left" w:pos="-2268"/>
        </w:tabs>
        <w:suppressAutoHyphens/>
        <w:rPr>
          <w:spacing w:val="-3"/>
        </w:rPr>
      </w:pPr>
    </w:p>
    <w:p w14:paraId="1029444D" w14:textId="77777777" w:rsidR="001A4326" w:rsidRPr="00BD1319" w:rsidRDefault="001A4326" w:rsidP="001A4326">
      <w:pPr>
        <w:numPr>
          <w:ilvl w:val="12"/>
          <w:numId w:val="0"/>
        </w:numPr>
        <w:tabs>
          <w:tab w:val="left" w:pos="-2268"/>
        </w:tabs>
        <w:suppressAutoHyphens/>
        <w:rPr>
          <w:spacing w:val="-3"/>
        </w:rPr>
      </w:pPr>
      <w:r w:rsidRPr="00BD1319">
        <w:rPr>
          <w:spacing w:val="-3"/>
        </w:rPr>
        <w:t>De otra parte, en las escalas</w:t>
      </w:r>
      <w:r w:rsidRPr="00BD1319">
        <w:rPr>
          <w:i/>
          <w:iCs/>
          <w:spacing w:val="-3"/>
        </w:rPr>
        <w:t xml:space="preserve"> relativas</w:t>
      </w:r>
      <w:r w:rsidRPr="00BD1319">
        <w:rPr>
          <w:spacing w:val="-3"/>
        </w:rPr>
        <w:t xml:space="preserve"> el valor más bajo de la escala (0, por ejemplo) representa el desempeño de la peor alternativa y el más alto (100, por ejemplo), el de la mejor; es decir, la valoración de las alternativas se hace de forma relativa respecto de la peor y la mejor de ellas.</w:t>
      </w:r>
    </w:p>
    <w:p w14:paraId="1A2DEB4F" w14:textId="77777777" w:rsidR="001A4326" w:rsidRPr="00BD1319" w:rsidRDefault="001A4326" w:rsidP="001A4326">
      <w:pPr>
        <w:numPr>
          <w:ilvl w:val="12"/>
          <w:numId w:val="0"/>
        </w:numPr>
        <w:tabs>
          <w:tab w:val="left" w:pos="-2268"/>
        </w:tabs>
        <w:suppressAutoHyphens/>
        <w:rPr>
          <w:spacing w:val="-3"/>
        </w:rPr>
      </w:pPr>
    </w:p>
    <w:p w14:paraId="6EA8E50D" w14:textId="77777777" w:rsidR="001A4326" w:rsidRPr="00BD1319" w:rsidRDefault="001A4326" w:rsidP="001A4326">
      <w:pPr>
        <w:numPr>
          <w:ilvl w:val="12"/>
          <w:numId w:val="0"/>
        </w:numPr>
        <w:tabs>
          <w:tab w:val="left" w:pos="-2268"/>
        </w:tabs>
        <w:suppressAutoHyphens/>
        <w:rPr>
          <w:spacing w:val="-3"/>
        </w:rPr>
      </w:pPr>
      <w:r w:rsidRPr="00BD1319">
        <w:rPr>
          <w:spacing w:val="-3"/>
        </w:rPr>
        <w:t>Una vez se definen las escalas para cada criterio es posible evaluar las alternativas. Dicha evaluación, dado que emplea escalas de intervalo (cualquier método compensatorio podría usar estas estas escalas), puede realizarse de las siguientes tres formas (DCLG, 2009):</w:t>
      </w:r>
    </w:p>
    <w:p w14:paraId="60681C21" w14:textId="77777777" w:rsidR="001A4326" w:rsidRPr="00BD1319" w:rsidRDefault="001A4326" w:rsidP="001A4326">
      <w:pPr>
        <w:numPr>
          <w:ilvl w:val="12"/>
          <w:numId w:val="0"/>
        </w:numPr>
        <w:tabs>
          <w:tab w:val="left" w:pos="-2268"/>
        </w:tabs>
        <w:suppressAutoHyphens/>
        <w:rPr>
          <w:spacing w:val="-3"/>
        </w:rPr>
      </w:pPr>
    </w:p>
    <w:p w14:paraId="150C1A4C" w14:textId="77777777" w:rsidR="001A4326" w:rsidRPr="00BD1319" w:rsidRDefault="001A4326" w:rsidP="00716177">
      <w:pPr>
        <w:numPr>
          <w:ilvl w:val="0"/>
          <w:numId w:val="658"/>
        </w:numPr>
        <w:tabs>
          <w:tab w:val="left" w:pos="-2268"/>
        </w:tabs>
        <w:suppressAutoHyphens/>
        <w:ind w:left="567" w:hanging="567"/>
        <w:rPr>
          <w:spacing w:val="-3"/>
        </w:rPr>
      </w:pPr>
      <w:r w:rsidRPr="00BD1319">
        <w:rPr>
          <w:spacing w:val="-3"/>
        </w:rPr>
        <w:t>Mediante una función de valor. Para ello, primero se requiere establecer una función no necesariamente lineal que relacione los posibles valores de la escala y lo que se considera bueno o malo; esta función se puede expresar matemática o gráficamente. Una vez se cuente con dicha función, se determina la valoración de cada alternativa. Por ejemplo, la función establece cómo se valoraría la posible emisión de un gas contaminante (supongamos en kg/año) en una escala de 0 a 100, y la valoración de cada alternativa señala, tomando como base dicha función, el puntaje en la escala de 0 a 100 que le corresponde a cada alternativa de acuerdo con el grado emisión previsto.</w:t>
      </w:r>
    </w:p>
    <w:p w14:paraId="0C599633" w14:textId="77777777" w:rsidR="001A4326" w:rsidRPr="00BD1319" w:rsidRDefault="001A4326" w:rsidP="00716177">
      <w:pPr>
        <w:numPr>
          <w:ilvl w:val="12"/>
          <w:numId w:val="0"/>
        </w:numPr>
        <w:tabs>
          <w:tab w:val="left" w:pos="-2268"/>
        </w:tabs>
        <w:suppressAutoHyphens/>
        <w:ind w:left="567" w:hanging="567"/>
        <w:rPr>
          <w:spacing w:val="-3"/>
        </w:rPr>
      </w:pPr>
    </w:p>
    <w:p w14:paraId="63E3EC08" w14:textId="77777777" w:rsidR="001A4326" w:rsidRPr="00BD1319" w:rsidRDefault="001A4326" w:rsidP="00716177">
      <w:pPr>
        <w:numPr>
          <w:ilvl w:val="0"/>
          <w:numId w:val="658"/>
        </w:numPr>
        <w:tabs>
          <w:tab w:val="left" w:pos="-2268"/>
        </w:tabs>
        <w:suppressAutoHyphens/>
        <w:ind w:left="567" w:hanging="567"/>
        <w:rPr>
          <w:spacing w:val="-3"/>
        </w:rPr>
      </w:pPr>
      <w:r w:rsidRPr="00BD1319">
        <w:rPr>
          <w:spacing w:val="-3"/>
        </w:rPr>
        <w:t>Mediante opinión de expertos. Consiste en la valoración directa del desempeño que da un experto según su opinión, asignando un valor dentro del intervalo establecido. Se aplica cuando no hay una unidad de medida y se recomienda que sea ejecutada por expertos que no tengan intereses en la decisión que evalúan. Si la evaluación es realizada por varias personas, se deben formular ejemplos sobre cómo valorar el desempeño para que la evaluación obedezca a un mismo patrón. Es importante verificar la consistencia de las valoraciones chequeando que diferencias similares entre el desempeño de las alternativas se reflejen de forma consecuente en su puntuación.</w:t>
      </w:r>
    </w:p>
    <w:p w14:paraId="39E2D004" w14:textId="77777777" w:rsidR="001A4326" w:rsidRPr="00BD1319" w:rsidRDefault="001A4326" w:rsidP="00716177">
      <w:pPr>
        <w:numPr>
          <w:ilvl w:val="12"/>
          <w:numId w:val="0"/>
        </w:numPr>
        <w:tabs>
          <w:tab w:val="left" w:pos="-2268"/>
        </w:tabs>
        <w:suppressAutoHyphens/>
        <w:ind w:left="567" w:hanging="567"/>
        <w:rPr>
          <w:spacing w:val="-3"/>
        </w:rPr>
      </w:pPr>
    </w:p>
    <w:p w14:paraId="4D52EC83" w14:textId="77777777" w:rsidR="001A4326" w:rsidRPr="00BD1319" w:rsidRDefault="001A4326" w:rsidP="00716177">
      <w:pPr>
        <w:numPr>
          <w:ilvl w:val="0"/>
          <w:numId w:val="658"/>
        </w:numPr>
        <w:tabs>
          <w:tab w:val="left" w:pos="-2268"/>
        </w:tabs>
        <w:suppressAutoHyphens/>
        <w:ind w:left="567" w:hanging="567"/>
        <w:rPr>
          <w:spacing w:val="-3"/>
        </w:rPr>
      </w:pPr>
      <w:r w:rsidRPr="00BD1319">
        <w:rPr>
          <w:spacing w:val="-3"/>
        </w:rPr>
        <w:t xml:space="preserve">Mediante opinión de un experto en pares. Es una valoración indirecta dada por un experto que, mediante categorías lingüísticas señala el desempeño de cada alternativa con respecto a las demás; por ejemplo, establece si entre dos </w:t>
      </w:r>
      <w:r w:rsidRPr="00BD1319">
        <w:rPr>
          <w:spacing w:val="-3"/>
        </w:rPr>
        <w:lastRenderedPageBreak/>
        <w:t>alternativas para un criterio determinado hay diferencias muy débiles, moderadas o extremas entre sus consecuencias. Para procesar los datos y analizar los resultados de este tipo de evaluación, es recomendable emplear programas informáticos especializados.</w:t>
      </w:r>
    </w:p>
    <w:p w14:paraId="01484D3D" w14:textId="77777777" w:rsidR="001A4326" w:rsidRPr="00BD1319" w:rsidRDefault="001A4326" w:rsidP="001A4326">
      <w:pPr>
        <w:numPr>
          <w:ilvl w:val="12"/>
          <w:numId w:val="0"/>
        </w:numPr>
        <w:tabs>
          <w:tab w:val="left" w:pos="-2268"/>
        </w:tabs>
        <w:suppressAutoHyphens/>
        <w:rPr>
          <w:spacing w:val="-3"/>
        </w:rPr>
      </w:pPr>
    </w:p>
    <w:p w14:paraId="4DC7C300" w14:textId="77777777" w:rsidR="001A4326" w:rsidRPr="00BD1319" w:rsidRDefault="001A4326" w:rsidP="001A4326">
      <w:pPr>
        <w:numPr>
          <w:ilvl w:val="12"/>
          <w:numId w:val="0"/>
        </w:numPr>
        <w:tabs>
          <w:tab w:val="left" w:pos="-2268"/>
        </w:tabs>
        <w:suppressAutoHyphens/>
        <w:rPr>
          <w:spacing w:val="-3"/>
        </w:rPr>
      </w:pPr>
      <w:r w:rsidRPr="00BD1319">
        <w:rPr>
          <w:spacing w:val="-3"/>
        </w:rPr>
        <w:t>Es importante que cualquier forma de valoración, independientemente del tipo de escala seleccionada, se sustente en una evaluación ambiental juiciosa, bien desarrollada y que permita captar los impactos ambientales potenciales de la forma más precisa posible dentro de los alcances que puede tener la evaluación ambiental en un DAA.</w:t>
      </w:r>
    </w:p>
    <w:p w14:paraId="0390A66E" w14:textId="77777777" w:rsidR="001A4326" w:rsidRPr="00BD1319" w:rsidRDefault="001A4326" w:rsidP="001A4326">
      <w:pPr>
        <w:numPr>
          <w:ilvl w:val="12"/>
          <w:numId w:val="0"/>
        </w:numPr>
        <w:tabs>
          <w:tab w:val="left" w:pos="-2268"/>
        </w:tabs>
        <w:suppressAutoHyphens/>
        <w:rPr>
          <w:spacing w:val="-3"/>
        </w:rPr>
      </w:pPr>
    </w:p>
    <w:p w14:paraId="5F4D7737" w14:textId="77777777" w:rsidR="001A4326" w:rsidRPr="00BD1319" w:rsidRDefault="001A4326" w:rsidP="001A4326">
      <w:pPr>
        <w:numPr>
          <w:ilvl w:val="12"/>
          <w:numId w:val="0"/>
        </w:numPr>
        <w:tabs>
          <w:tab w:val="left" w:pos="-2268"/>
        </w:tabs>
        <w:suppressAutoHyphens/>
        <w:rPr>
          <w:spacing w:val="-3"/>
        </w:rPr>
      </w:pPr>
      <w:r w:rsidRPr="00BD1319">
        <w:rPr>
          <w:spacing w:val="-3"/>
        </w:rPr>
        <w:t>Finalmente, se debe chequear la consistencia en la asignación de puntajes verificando el cumplimiento de tres condiciones (DCLG, 2009):</w:t>
      </w:r>
    </w:p>
    <w:p w14:paraId="39E36E18" w14:textId="77777777" w:rsidR="001A4326" w:rsidRPr="00BD1319" w:rsidRDefault="001A4326" w:rsidP="001A4326">
      <w:pPr>
        <w:numPr>
          <w:ilvl w:val="12"/>
          <w:numId w:val="0"/>
        </w:numPr>
        <w:tabs>
          <w:tab w:val="left" w:pos="-2268"/>
        </w:tabs>
        <w:suppressAutoHyphens/>
        <w:rPr>
          <w:spacing w:val="-3"/>
        </w:rPr>
      </w:pPr>
    </w:p>
    <w:p w14:paraId="650364E2" w14:textId="77777777" w:rsidR="001A4326" w:rsidRPr="00BD1319" w:rsidRDefault="001A4326" w:rsidP="00716177">
      <w:pPr>
        <w:numPr>
          <w:ilvl w:val="0"/>
          <w:numId w:val="660"/>
        </w:numPr>
        <w:tabs>
          <w:tab w:val="left" w:pos="-2268"/>
        </w:tabs>
        <w:suppressAutoHyphens/>
        <w:ind w:left="567" w:hanging="567"/>
        <w:rPr>
          <w:spacing w:val="-3"/>
        </w:rPr>
      </w:pPr>
      <w:r w:rsidRPr="00BD1319">
        <w:rPr>
          <w:spacing w:val="-3"/>
        </w:rPr>
        <w:t>Transitividad a través de las alternativas, es decir, si la alternativa A se prefiere sobre la alternativa B, y la B se prefiere sobre la alternativa C, entonces la alternativa A se prefiere sobre la C, lo cual es un requisito en caso de que la EMC se exprese en términos numéricos, como sucede generalmente en el marco del licenciamiento ambiental.</w:t>
      </w:r>
    </w:p>
    <w:p w14:paraId="6F7A0525" w14:textId="77777777" w:rsidR="00716177" w:rsidRPr="00BD1319" w:rsidRDefault="00716177" w:rsidP="00716177">
      <w:pPr>
        <w:tabs>
          <w:tab w:val="left" w:pos="-2268"/>
        </w:tabs>
        <w:suppressAutoHyphens/>
        <w:rPr>
          <w:spacing w:val="-3"/>
        </w:rPr>
      </w:pPr>
    </w:p>
    <w:p w14:paraId="4E422DF5" w14:textId="77777777" w:rsidR="001A4326" w:rsidRPr="00BD1319" w:rsidRDefault="001A4326" w:rsidP="00716177">
      <w:pPr>
        <w:numPr>
          <w:ilvl w:val="0"/>
          <w:numId w:val="660"/>
        </w:numPr>
        <w:tabs>
          <w:tab w:val="left" w:pos="-2268"/>
        </w:tabs>
        <w:suppressAutoHyphens/>
        <w:ind w:left="567" w:hanging="567"/>
        <w:rPr>
          <w:spacing w:val="-3"/>
        </w:rPr>
      </w:pPr>
      <w:r w:rsidRPr="00BD1319">
        <w:rPr>
          <w:spacing w:val="-3"/>
        </w:rPr>
        <w:t>Equivalencia lógica entre preferencias y sistemas numéricos, ósea, que a una preferencia mayor le corresponda un número más alto en la evaluación.</w:t>
      </w:r>
    </w:p>
    <w:p w14:paraId="3F7CA089" w14:textId="77777777" w:rsidR="00716177" w:rsidRPr="00BD1319" w:rsidRDefault="00716177" w:rsidP="00716177">
      <w:pPr>
        <w:tabs>
          <w:tab w:val="left" w:pos="-2268"/>
        </w:tabs>
        <w:suppressAutoHyphens/>
        <w:rPr>
          <w:spacing w:val="-3"/>
        </w:rPr>
      </w:pPr>
    </w:p>
    <w:p w14:paraId="5BE9F382" w14:textId="77777777" w:rsidR="001A4326" w:rsidRPr="00BD1319" w:rsidRDefault="001A4326" w:rsidP="00716177">
      <w:pPr>
        <w:numPr>
          <w:ilvl w:val="0"/>
          <w:numId w:val="660"/>
        </w:numPr>
        <w:tabs>
          <w:tab w:val="left" w:pos="-2268"/>
        </w:tabs>
        <w:suppressAutoHyphens/>
        <w:ind w:left="567" w:hanging="567"/>
        <w:rPr>
          <w:spacing w:val="-3"/>
        </w:rPr>
      </w:pPr>
      <w:r w:rsidRPr="00BD1319">
        <w:rPr>
          <w:spacing w:val="-3"/>
        </w:rPr>
        <w:t>Correspondencia entre valoraciones y funciones empleadas (lineales o no lineales), en caso de aplicar.</w:t>
      </w:r>
    </w:p>
    <w:p w14:paraId="392FA475" w14:textId="77777777" w:rsidR="001A4326" w:rsidRPr="00BD1319" w:rsidRDefault="001A4326" w:rsidP="001A4326">
      <w:pPr>
        <w:numPr>
          <w:ilvl w:val="12"/>
          <w:numId w:val="0"/>
        </w:numPr>
        <w:tabs>
          <w:tab w:val="left" w:pos="-2268"/>
        </w:tabs>
        <w:suppressAutoHyphens/>
        <w:rPr>
          <w:spacing w:val="-3"/>
        </w:rPr>
      </w:pPr>
    </w:p>
    <w:p w14:paraId="73C4FB5C" w14:textId="1899B6AC" w:rsidR="001A4326" w:rsidRPr="00BD1319" w:rsidRDefault="001A4326" w:rsidP="00C64D82">
      <w:pPr>
        <w:pStyle w:val="Ttulo4"/>
        <w:tabs>
          <w:tab w:val="clear" w:pos="1844"/>
          <w:tab w:val="num" w:pos="1134"/>
        </w:tabs>
        <w:ind w:left="0"/>
        <w:rPr>
          <w:lang w:val="es-CO"/>
        </w:rPr>
      </w:pPr>
      <w:r w:rsidRPr="00BD1319">
        <w:rPr>
          <w:lang w:val="es-CO"/>
        </w:rPr>
        <w:t>Suma ponderada. Paso 2: establecer la ponderación de cada criterio para que refleje su importancia relativa</w:t>
      </w:r>
    </w:p>
    <w:p w14:paraId="66EBF6F9" w14:textId="77777777" w:rsidR="001A4326" w:rsidRPr="00BD1319" w:rsidRDefault="001A4326" w:rsidP="001A4326">
      <w:pPr>
        <w:numPr>
          <w:ilvl w:val="12"/>
          <w:numId w:val="0"/>
        </w:numPr>
        <w:tabs>
          <w:tab w:val="left" w:pos="-2268"/>
        </w:tabs>
        <w:suppressAutoHyphens/>
        <w:rPr>
          <w:spacing w:val="-3"/>
        </w:rPr>
      </w:pPr>
    </w:p>
    <w:p w14:paraId="056EA6B9" w14:textId="77777777" w:rsidR="001A4326" w:rsidRPr="00BD1319" w:rsidRDefault="001A4326" w:rsidP="001A4326">
      <w:pPr>
        <w:numPr>
          <w:ilvl w:val="12"/>
          <w:numId w:val="0"/>
        </w:numPr>
        <w:tabs>
          <w:tab w:val="left" w:pos="-2268"/>
        </w:tabs>
        <w:suppressAutoHyphens/>
        <w:rPr>
          <w:spacing w:val="-3"/>
        </w:rPr>
      </w:pPr>
      <w:r w:rsidRPr="00BD1319">
        <w:rPr>
          <w:spacing w:val="-3"/>
        </w:rPr>
        <w:t>Antes de combinar las valoraciones dadas a cada alternativa mediante diversos criterios, es necesario ponderar cada criterio según su importancia relativa. El método más común para asignar esta importancia relativa es el Método de ponderación oscilante.</w:t>
      </w:r>
    </w:p>
    <w:p w14:paraId="00FEA8C7" w14:textId="77777777" w:rsidR="001A4326" w:rsidRPr="00BD1319" w:rsidRDefault="001A4326" w:rsidP="001A4326">
      <w:pPr>
        <w:numPr>
          <w:ilvl w:val="12"/>
          <w:numId w:val="0"/>
        </w:numPr>
        <w:tabs>
          <w:tab w:val="left" w:pos="-2268"/>
        </w:tabs>
        <w:suppressAutoHyphens/>
        <w:rPr>
          <w:spacing w:val="-3"/>
        </w:rPr>
      </w:pPr>
    </w:p>
    <w:p w14:paraId="449D9C28" w14:textId="77777777" w:rsidR="001A4326" w:rsidRPr="00BD1319" w:rsidRDefault="001A4326" w:rsidP="001A4326">
      <w:pPr>
        <w:numPr>
          <w:ilvl w:val="12"/>
          <w:numId w:val="0"/>
        </w:numPr>
        <w:tabs>
          <w:tab w:val="left" w:pos="-2268"/>
        </w:tabs>
        <w:suppressAutoHyphens/>
        <w:rPr>
          <w:spacing w:val="-3"/>
        </w:rPr>
      </w:pPr>
      <w:r w:rsidRPr="00BD1319">
        <w:rPr>
          <w:spacing w:val="-3"/>
        </w:rPr>
        <w:t xml:space="preserve">Este método establece el peso de un criterio identificando qué tanto varían sus valoraciones respecto las valoraciones de los demás criterios, y qué tanto importa esa diferencia en el contexto de la toma de decisión (DCLG, 2009). Por ejemplo, se puede suponer que el criterio </w:t>
      </w:r>
      <w:r w:rsidRPr="00BD1319">
        <w:rPr>
          <w:i/>
          <w:spacing w:val="-3"/>
        </w:rPr>
        <w:t>impacto potencial sobre los cuerpos de agua</w:t>
      </w:r>
      <w:r w:rsidRPr="00BD1319">
        <w:rPr>
          <w:spacing w:val="-3"/>
        </w:rPr>
        <w:t xml:space="preserve"> es muy importante, pero si las diferencias de las valoraciones de las alternativas asociadas a este criterio no son pronunciadas (ósea, las alternativas impactan relativamente igual este componente ambiental), entonces el criterio </w:t>
      </w:r>
      <w:r w:rsidRPr="00BD1319">
        <w:rPr>
          <w:i/>
          <w:spacing w:val="-3"/>
        </w:rPr>
        <w:t>impacto potencial sobre los cuerpos de agua</w:t>
      </w:r>
      <w:r w:rsidRPr="00BD1319">
        <w:rPr>
          <w:spacing w:val="-3"/>
        </w:rPr>
        <w:t xml:space="preserve"> podría tener menor importancia que uno referido al </w:t>
      </w:r>
      <w:r w:rsidRPr="00BD1319">
        <w:rPr>
          <w:i/>
          <w:iCs/>
          <w:spacing w:val="-3"/>
        </w:rPr>
        <w:t xml:space="preserve">impacto sobre </w:t>
      </w:r>
      <w:r w:rsidRPr="00BD1319">
        <w:rPr>
          <w:i/>
          <w:iCs/>
          <w:spacing w:val="-3"/>
        </w:rPr>
        <w:lastRenderedPageBreak/>
        <w:t>ecosistemas estratégicos</w:t>
      </w:r>
      <w:r w:rsidRPr="00BD1319">
        <w:rPr>
          <w:spacing w:val="-3"/>
        </w:rPr>
        <w:t xml:space="preserve"> en los que hay más variación entre alternativas y además, dicha diferencia tiene gran importancia para elegir la mejor alternativa.</w:t>
      </w:r>
    </w:p>
    <w:p w14:paraId="6D7C7768" w14:textId="77777777" w:rsidR="001A4326" w:rsidRPr="00BD1319" w:rsidRDefault="001A4326" w:rsidP="001A4326">
      <w:pPr>
        <w:numPr>
          <w:ilvl w:val="12"/>
          <w:numId w:val="0"/>
        </w:numPr>
        <w:tabs>
          <w:tab w:val="left" w:pos="-2268"/>
        </w:tabs>
        <w:suppressAutoHyphens/>
        <w:rPr>
          <w:spacing w:val="-3"/>
        </w:rPr>
      </w:pPr>
    </w:p>
    <w:p w14:paraId="5AFDC405" w14:textId="77777777" w:rsidR="001A4326" w:rsidRPr="00BD1319" w:rsidRDefault="001A4326" w:rsidP="001A4326">
      <w:pPr>
        <w:numPr>
          <w:ilvl w:val="12"/>
          <w:numId w:val="0"/>
        </w:numPr>
        <w:tabs>
          <w:tab w:val="left" w:pos="-2268"/>
        </w:tabs>
        <w:suppressAutoHyphens/>
        <w:rPr>
          <w:spacing w:val="-3"/>
        </w:rPr>
      </w:pPr>
      <w:r w:rsidRPr="00BD1319">
        <w:rPr>
          <w:spacing w:val="-3"/>
        </w:rPr>
        <w:t>De esta forma, se le puede asignar el mayor peso al criterio con mayor oscilación de valoraciones y, a partir de él, establecer los pesos de los demás criterios según la variación de sus valoraciones. Es importante señalar que esta oscilación también puede emplearse para mejorar la formulación de las alternativas, especialmente de las características asociadas a criterios calificados como importantes con poca variación y para los cuales es posible realizar cambios positivos en las alternativas (DCLG, 2009).</w:t>
      </w:r>
    </w:p>
    <w:p w14:paraId="5455DBBE" w14:textId="77777777" w:rsidR="001A4326" w:rsidRPr="00BD1319" w:rsidRDefault="001A4326" w:rsidP="001A4326">
      <w:pPr>
        <w:numPr>
          <w:ilvl w:val="12"/>
          <w:numId w:val="0"/>
        </w:numPr>
        <w:tabs>
          <w:tab w:val="left" w:pos="-2268"/>
        </w:tabs>
        <w:suppressAutoHyphens/>
        <w:rPr>
          <w:spacing w:val="-3"/>
        </w:rPr>
      </w:pPr>
    </w:p>
    <w:p w14:paraId="7CDBDF63" w14:textId="77777777" w:rsidR="001A4326" w:rsidRPr="00BD1319" w:rsidRDefault="001A4326" w:rsidP="00C64D82">
      <w:pPr>
        <w:pStyle w:val="Ttulo4"/>
        <w:tabs>
          <w:tab w:val="clear" w:pos="1844"/>
          <w:tab w:val="num" w:pos="1134"/>
        </w:tabs>
        <w:ind w:left="0"/>
        <w:rPr>
          <w:lang w:val="es-CO"/>
        </w:rPr>
      </w:pPr>
      <w:r w:rsidRPr="00BD1319">
        <w:rPr>
          <w:lang w:val="es-CO"/>
        </w:rPr>
        <w:t>Suma ponderada. Paso 3: combinar los pesos y puntajes de cada alternativa para obtener un valor general</w:t>
      </w:r>
    </w:p>
    <w:p w14:paraId="1A15D13A" w14:textId="77777777" w:rsidR="001A4326" w:rsidRPr="00BD1319" w:rsidRDefault="001A4326" w:rsidP="001A4326">
      <w:pPr>
        <w:numPr>
          <w:ilvl w:val="12"/>
          <w:numId w:val="0"/>
        </w:numPr>
        <w:tabs>
          <w:tab w:val="left" w:pos="-2268"/>
        </w:tabs>
        <w:suppressAutoHyphens/>
        <w:rPr>
          <w:spacing w:val="-3"/>
        </w:rPr>
      </w:pPr>
    </w:p>
    <w:p w14:paraId="52086613" w14:textId="77777777" w:rsidR="001A4326" w:rsidRPr="00BD1319" w:rsidRDefault="001A4326" w:rsidP="001A4326">
      <w:pPr>
        <w:numPr>
          <w:ilvl w:val="12"/>
          <w:numId w:val="0"/>
        </w:numPr>
        <w:tabs>
          <w:tab w:val="left" w:pos="-2268"/>
        </w:tabs>
        <w:suppressAutoHyphens/>
        <w:rPr>
          <w:spacing w:val="-3"/>
        </w:rPr>
      </w:pPr>
      <w:r w:rsidRPr="00BD1319">
        <w:rPr>
          <w:spacing w:val="-3"/>
        </w:rPr>
        <w:t>Una vez se obtenga la evaluación de desempeño de las alternativas para cada criterio y se establezca la ponderación o importancia relativa de cada uno de ellos, se debe agregar la información por alternativa de acuerdo con el procedimiento de agregación. En el caso del método de suma de promedios ponderados, el puntaje de cada alternativa se obtiene sumando los productos de la evaluación de desempeño de cada criterio por los pesos relativos de éstos (DCLG, 2009).</w:t>
      </w:r>
    </w:p>
    <w:p w14:paraId="2740D619" w14:textId="77777777" w:rsidR="001A4326" w:rsidRPr="00BD1319" w:rsidRDefault="001A4326" w:rsidP="001A4326">
      <w:pPr>
        <w:numPr>
          <w:ilvl w:val="12"/>
          <w:numId w:val="0"/>
        </w:numPr>
        <w:tabs>
          <w:tab w:val="left" w:pos="-2268"/>
        </w:tabs>
        <w:suppressAutoHyphens/>
        <w:rPr>
          <w:spacing w:val="-3"/>
        </w:rPr>
      </w:pPr>
    </w:p>
    <w:p w14:paraId="7D6245D5" w14:textId="77777777" w:rsidR="001A4326" w:rsidRPr="00BD1319" w:rsidRDefault="001A4326" w:rsidP="001A4326">
      <w:pPr>
        <w:numPr>
          <w:ilvl w:val="12"/>
          <w:numId w:val="0"/>
        </w:numPr>
        <w:tabs>
          <w:tab w:val="left" w:pos="-2268"/>
        </w:tabs>
        <w:suppressAutoHyphens/>
        <w:rPr>
          <w:spacing w:val="-3"/>
        </w:rPr>
      </w:pPr>
      <w:r w:rsidRPr="00BD1319">
        <w:rPr>
          <w:spacing w:val="-3"/>
        </w:rPr>
        <w:t>Es importante recalcar que en el caso de emplear el método de promedios ponderados es fundamental y necesaria la independencia mutua de preferencias, es decir, que los criterios se puedan evaluar de forma independiente a los resultados de la evaluación de los demás criterios (</w:t>
      </w:r>
      <w:proofErr w:type="spellStart"/>
      <w:r w:rsidRPr="00BD1319">
        <w:rPr>
          <w:spacing w:val="-3"/>
        </w:rPr>
        <w:t>Guitouni</w:t>
      </w:r>
      <w:proofErr w:type="spellEnd"/>
      <w:r w:rsidRPr="00BD1319">
        <w:rPr>
          <w:spacing w:val="-3"/>
        </w:rPr>
        <w:t xml:space="preserve"> &amp; Martel, 1998; </w:t>
      </w:r>
      <w:proofErr w:type="spellStart"/>
      <w:r w:rsidRPr="00BD1319">
        <w:rPr>
          <w:spacing w:val="-3"/>
        </w:rPr>
        <w:t>Munda</w:t>
      </w:r>
      <w:proofErr w:type="spellEnd"/>
      <w:r w:rsidRPr="00BD1319">
        <w:rPr>
          <w:spacing w:val="-3"/>
        </w:rPr>
        <w:t>, 2008; DCLG, 2009).</w:t>
      </w:r>
    </w:p>
    <w:p w14:paraId="3E1E0AE5" w14:textId="77777777" w:rsidR="001A4326" w:rsidRPr="00BD1319" w:rsidRDefault="001A4326" w:rsidP="001A4326">
      <w:pPr>
        <w:numPr>
          <w:ilvl w:val="12"/>
          <w:numId w:val="0"/>
        </w:numPr>
        <w:tabs>
          <w:tab w:val="left" w:pos="-2268"/>
        </w:tabs>
        <w:suppressAutoHyphens/>
        <w:rPr>
          <w:spacing w:val="-3"/>
        </w:rPr>
      </w:pPr>
    </w:p>
    <w:p w14:paraId="2194B940" w14:textId="77777777" w:rsidR="001A4326" w:rsidRPr="00BD1319" w:rsidRDefault="001A4326" w:rsidP="001A4326">
      <w:pPr>
        <w:numPr>
          <w:ilvl w:val="12"/>
          <w:numId w:val="0"/>
        </w:numPr>
        <w:tabs>
          <w:tab w:val="left" w:pos="-2268"/>
        </w:tabs>
        <w:suppressAutoHyphens/>
        <w:rPr>
          <w:spacing w:val="-3"/>
        </w:rPr>
      </w:pPr>
      <w:r w:rsidRPr="00BD1319">
        <w:rPr>
          <w:spacing w:val="-3"/>
        </w:rPr>
        <w:t>De forma adicional al método de suma ponderada y con el propósito de incorporar elementos de veto en el modelo de toma de decisión, es posible introducir factores multiplicativos. Por ejemplo, si se encuentra la necesidad de incorporar un criterio que no es compensatorio y que por tanto no es admitido en el método de sumas ponderadas, al finalizar el procedimiento de agregación y obtener los puntajes por alternativa, es posible valorar el comportamiento de las alternativas frente a dicho criterio no compensatorio multiplicando por 1 en caso de que la alternativa se comporte satisfactoriamente, o por 0 en caso de que su comportamiento frente al criterio no sea admisible y por tanto la alternativa deba ser descartada.</w:t>
      </w:r>
    </w:p>
    <w:p w14:paraId="61939FB8" w14:textId="77777777" w:rsidR="001A4326" w:rsidRPr="00BD1319" w:rsidRDefault="001A4326" w:rsidP="001A4326">
      <w:pPr>
        <w:numPr>
          <w:ilvl w:val="12"/>
          <w:numId w:val="0"/>
        </w:numPr>
        <w:tabs>
          <w:tab w:val="left" w:pos="-2268"/>
        </w:tabs>
        <w:suppressAutoHyphens/>
        <w:rPr>
          <w:spacing w:val="-3"/>
        </w:rPr>
      </w:pPr>
    </w:p>
    <w:p w14:paraId="77633D04" w14:textId="2E095E98" w:rsidR="001A4326" w:rsidRPr="00BD1319" w:rsidRDefault="001A4326" w:rsidP="00216955">
      <w:pPr>
        <w:pStyle w:val="Ttulo3"/>
      </w:pPr>
      <w:bookmarkStart w:id="2391" w:name="_Toc175326730"/>
      <w:r w:rsidRPr="00BD1319">
        <w:t>Ejecutar un análisis de sensibilidad</w:t>
      </w:r>
      <w:bookmarkEnd w:id="2391"/>
    </w:p>
    <w:p w14:paraId="3528C73A" w14:textId="77777777" w:rsidR="001A4326" w:rsidRPr="00BD1319" w:rsidRDefault="001A4326" w:rsidP="001A4326">
      <w:pPr>
        <w:numPr>
          <w:ilvl w:val="12"/>
          <w:numId w:val="0"/>
        </w:numPr>
        <w:tabs>
          <w:tab w:val="left" w:pos="-2268"/>
        </w:tabs>
        <w:suppressAutoHyphens/>
        <w:rPr>
          <w:spacing w:val="-3"/>
        </w:rPr>
      </w:pPr>
    </w:p>
    <w:p w14:paraId="786FD0D0" w14:textId="684B370E" w:rsidR="001A4326" w:rsidRPr="00BD1319" w:rsidRDefault="00966F17" w:rsidP="001A4326">
      <w:pPr>
        <w:numPr>
          <w:ilvl w:val="12"/>
          <w:numId w:val="0"/>
        </w:numPr>
        <w:tabs>
          <w:tab w:val="left" w:pos="-2268"/>
        </w:tabs>
        <w:suppressAutoHyphens/>
        <w:rPr>
          <w:spacing w:val="-3"/>
        </w:rPr>
      </w:pPr>
      <w:r w:rsidRPr="00BD1319">
        <w:rPr>
          <w:spacing w:val="-3"/>
        </w:rPr>
        <w:t>E</w:t>
      </w:r>
      <w:r w:rsidR="001A4326" w:rsidRPr="00BD1319">
        <w:rPr>
          <w:spacing w:val="-3"/>
        </w:rPr>
        <w:t xml:space="preserve">l propósito de este análisis de sensibilidad es verificar qué tan robustas son las alternativas frente a cambios o errores en la información, especialmente en los pesos asignados a los criterios, es decir, determinar cuál es la posibilidad de tomar una decisión errónea y qué tan errónea puede ser. De esta forma, es posible conocer en </w:t>
      </w:r>
      <w:r w:rsidR="001A4326" w:rsidRPr="00BD1319">
        <w:rPr>
          <w:spacing w:val="-3"/>
        </w:rPr>
        <w:lastRenderedPageBreak/>
        <w:t>profundidad los criterios, condiciones ambientales y características de las alternativas que más influyen en la decisión, brindando elementos adicionales para la selección.</w:t>
      </w:r>
    </w:p>
    <w:p w14:paraId="74AAA61C" w14:textId="77777777" w:rsidR="001A4326" w:rsidRPr="00BD1319" w:rsidRDefault="001A4326" w:rsidP="001A4326">
      <w:pPr>
        <w:numPr>
          <w:ilvl w:val="12"/>
          <w:numId w:val="0"/>
        </w:numPr>
        <w:tabs>
          <w:tab w:val="left" w:pos="-2268"/>
        </w:tabs>
        <w:suppressAutoHyphens/>
        <w:rPr>
          <w:spacing w:val="-3"/>
        </w:rPr>
      </w:pPr>
    </w:p>
    <w:p w14:paraId="0503F07F" w14:textId="2901CD02" w:rsidR="006037EF" w:rsidRPr="00BD1319" w:rsidRDefault="00966F17" w:rsidP="001A4326">
      <w:pPr>
        <w:numPr>
          <w:ilvl w:val="12"/>
          <w:numId w:val="0"/>
        </w:numPr>
        <w:tabs>
          <w:tab w:val="left" w:pos="-2268"/>
        </w:tabs>
        <w:suppressAutoHyphens/>
        <w:rPr>
          <w:spacing w:val="-3"/>
        </w:rPr>
      </w:pPr>
      <w:r w:rsidRPr="00BD1319">
        <w:rPr>
          <w:spacing w:val="-3"/>
        </w:rPr>
        <w:t xml:space="preserve">El propósito del </w:t>
      </w:r>
      <w:r w:rsidR="001A4326" w:rsidRPr="00BD1319">
        <w:rPr>
          <w:spacing w:val="-3"/>
        </w:rPr>
        <w:t xml:space="preserve">análisis de sensibilidad </w:t>
      </w:r>
      <w:r w:rsidRPr="00BD1319">
        <w:rPr>
          <w:spacing w:val="-3"/>
        </w:rPr>
        <w:t xml:space="preserve">es </w:t>
      </w:r>
      <w:r w:rsidR="001A4326" w:rsidRPr="00BD1319">
        <w:rPr>
          <w:spacing w:val="-3"/>
        </w:rPr>
        <w:t>establecer hasta qué punto la variación en el desempeño de las alternativas (que en el caso del método de suma ponderada se expresa mediante puntajes y pesos de criterios) afecta los resultados, es decir, la elección, orden o calificación de las alternativas según el método que se emplee (DCLG, 2009)</w:t>
      </w:r>
      <w:r w:rsidRPr="00BD1319">
        <w:rPr>
          <w:spacing w:val="-3"/>
        </w:rPr>
        <w:t xml:space="preserve">. </w:t>
      </w:r>
      <w:r w:rsidR="0021037C" w:rsidRPr="00BD1319">
        <w:rPr>
          <w:spacing w:val="-3"/>
        </w:rPr>
        <w:t>Por ello, e</w:t>
      </w:r>
      <w:r w:rsidR="00FF4777" w:rsidRPr="00BD1319">
        <w:rPr>
          <w:spacing w:val="-3"/>
        </w:rPr>
        <w:t xml:space="preserve">l análisis permite </w:t>
      </w:r>
      <w:r w:rsidRPr="00BD1319">
        <w:rPr>
          <w:spacing w:val="-3"/>
        </w:rPr>
        <w:t>conocer en profundidad los criterios, condiciones ambientales y características de las alternativas que más influyen en la decisión, brindando elementos adicionales para la selección</w:t>
      </w:r>
      <w:r w:rsidR="006037EF" w:rsidRPr="00BD1319">
        <w:rPr>
          <w:spacing w:val="-3"/>
        </w:rPr>
        <w:t xml:space="preserve"> </w:t>
      </w:r>
      <w:r w:rsidR="0021037C" w:rsidRPr="00BD1319">
        <w:rPr>
          <w:spacing w:val="-3"/>
        </w:rPr>
        <w:t xml:space="preserve">de alternativas </w:t>
      </w:r>
      <w:r w:rsidR="006037EF" w:rsidRPr="00BD1319">
        <w:rPr>
          <w:spacing w:val="-3"/>
        </w:rPr>
        <w:t xml:space="preserve">al </w:t>
      </w:r>
      <w:r w:rsidR="0021037C" w:rsidRPr="00BD1319">
        <w:rPr>
          <w:spacing w:val="-3"/>
        </w:rPr>
        <w:t xml:space="preserve">determinar </w:t>
      </w:r>
      <w:r w:rsidR="006037EF" w:rsidRPr="00BD1319">
        <w:rPr>
          <w:spacing w:val="-3"/>
        </w:rPr>
        <w:t>qué tan robustas son frente a cambios o errores en la información.</w:t>
      </w:r>
    </w:p>
    <w:p w14:paraId="1D5A3170" w14:textId="77777777" w:rsidR="006037EF" w:rsidRPr="00BD1319" w:rsidRDefault="006037EF" w:rsidP="001A4326">
      <w:pPr>
        <w:numPr>
          <w:ilvl w:val="12"/>
          <w:numId w:val="0"/>
        </w:numPr>
        <w:tabs>
          <w:tab w:val="left" w:pos="-2268"/>
        </w:tabs>
        <w:suppressAutoHyphens/>
        <w:rPr>
          <w:spacing w:val="-3"/>
        </w:rPr>
      </w:pPr>
    </w:p>
    <w:p w14:paraId="51B36566" w14:textId="05DDD54F" w:rsidR="001A4326" w:rsidRPr="00BD1319" w:rsidRDefault="001A4326" w:rsidP="001A4326">
      <w:pPr>
        <w:numPr>
          <w:ilvl w:val="12"/>
          <w:numId w:val="0"/>
        </w:numPr>
        <w:tabs>
          <w:tab w:val="left" w:pos="-2268"/>
        </w:tabs>
        <w:suppressAutoHyphens/>
        <w:rPr>
          <w:spacing w:val="-3"/>
        </w:rPr>
      </w:pPr>
      <w:r w:rsidRPr="00BD1319">
        <w:rPr>
          <w:spacing w:val="-3"/>
        </w:rPr>
        <w:t>Básicamente este análisis consiste en ajustar gradualmente el nivel de desempeño asignado a cada alternativa (para las sumas ponderadas se refiere a los puntajes y a los pesos relativos de los criterios) y en analizar los resultados.</w:t>
      </w:r>
    </w:p>
    <w:p w14:paraId="6A45E32D" w14:textId="77777777" w:rsidR="001A4326" w:rsidRPr="00BD1319" w:rsidRDefault="001A4326" w:rsidP="001A4326">
      <w:pPr>
        <w:numPr>
          <w:ilvl w:val="12"/>
          <w:numId w:val="0"/>
        </w:numPr>
        <w:tabs>
          <w:tab w:val="left" w:pos="-2268"/>
        </w:tabs>
        <w:suppressAutoHyphens/>
        <w:rPr>
          <w:spacing w:val="-3"/>
        </w:rPr>
      </w:pPr>
    </w:p>
    <w:p w14:paraId="16292F7C" w14:textId="77777777" w:rsidR="001A4326" w:rsidRPr="00BD1319" w:rsidRDefault="001A4326" w:rsidP="001A4326">
      <w:pPr>
        <w:numPr>
          <w:ilvl w:val="12"/>
          <w:numId w:val="0"/>
        </w:numPr>
        <w:tabs>
          <w:tab w:val="left" w:pos="-2268"/>
        </w:tabs>
        <w:suppressAutoHyphens/>
        <w:rPr>
          <w:spacing w:val="-3"/>
        </w:rPr>
      </w:pPr>
      <w:r w:rsidRPr="00BD1319">
        <w:rPr>
          <w:spacing w:val="-3"/>
        </w:rPr>
        <w:t>Es posible que del análisis de sensibilidad se concluya que es necesario incluir criterios adicionales que no fueron considerados previamente y que pueden resultar decisivos; esta recomendación es muy relevante para las autoridades ambientales que ejecuten EMC complementarias a las presentadas en el DAA, con el fin de que obtengan sus propias conclusiones.</w:t>
      </w:r>
    </w:p>
    <w:p w14:paraId="450F5E5F" w14:textId="77777777" w:rsidR="001A4326" w:rsidRPr="00BD1319" w:rsidRDefault="001A4326" w:rsidP="001A4326">
      <w:pPr>
        <w:numPr>
          <w:ilvl w:val="12"/>
          <w:numId w:val="0"/>
        </w:numPr>
        <w:tabs>
          <w:tab w:val="left" w:pos="-2268"/>
        </w:tabs>
        <w:suppressAutoHyphens/>
        <w:rPr>
          <w:spacing w:val="-3"/>
        </w:rPr>
      </w:pPr>
    </w:p>
    <w:p w14:paraId="79A4306F" w14:textId="77777777" w:rsidR="001A4326" w:rsidRPr="00BD1319" w:rsidRDefault="001A4326" w:rsidP="001A4326">
      <w:pPr>
        <w:numPr>
          <w:ilvl w:val="12"/>
          <w:numId w:val="0"/>
        </w:numPr>
        <w:tabs>
          <w:tab w:val="left" w:pos="-2268"/>
        </w:tabs>
        <w:suppressAutoHyphens/>
        <w:rPr>
          <w:spacing w:val="-3"/>
        </w:rPr>
      </w:pPr>
      <w:r w:rsidRPr="00BD1319">
        <w:rPr>
          <w:spacing w:val="-3"/>
        </w:rPr>
        <w:t>Si se evidencia que los resultados son relativamente los mismos sin importar si se han modificado los desempeños (preferencias), o que las diferencias finales entre las preferencias siempre son pequeñas, es posible evaluar la posibilidad de elegir la segunda mejor alternativa dado que puede representar una pequeña pérdida de beneficio general pero un beneficio en otros criterios no contemplados o evaluados sólo desde un punto de vista (DCLG, 2009).</w:t>
      </w:r>
    </w:p>
    <w:p w14:paraId="2AE30EEE" w14:textId="77777777" w:rsidR="001A4326" w:rsidRPr="00BD1319" w:rsidRDefault="001A4326" w:rsidP="001A4326">
      <w:pPr>
        <w:numPr>
          <w:ilvl w:val="12"/>
          <w:numId w:val="0"/>
        </w:numPr>
        <w:tabs>
          <w:tab w:val="left" w:pos="-2268"/>
        </w:tabs>
        <w:suppressAutoHyphens/>
        <w:rPr>
          <w:spacing w:val="-3"/>
        </w:rPr>
      </w:pPr>
    </w:p>
    <w:p w14:paraId="63C09CFF" w14:textId="77777777" w:rsidR="001A4326" w:rsidRPr="00BD1319" w:rsidRDefault="001A4326" w:rsidP="001A4326">
      <w:pPr>
        <w:numPr>
          <w:ilvl w:val="12"/>
          <w:numId w:val="0"/>
        </w:numPr>
        <w:tabs>
          <w:tab w:val="left" w:pos="-2268"/>
        </w:tabs>
        <w:suppressAutoHyphens/>
        <w:rPr>
          <w:spacing w:val="-3"/>
        </w:rPr>
      </w:pPr>
      <w:r w:rsidRPr="00BD1319">
        <w:rPr>
          <w:spacing w:val="-3"/>
        </w:rPr>
        <w:t>En caso de que la EMC se haya desarrollado de forma participativa, el análisis de sensibilidad puede ayudar a superar diferencias entre actores, pues permite evaluar cómo las diferentes preferencias (valoraciones y pesos en caso del método de suma ponderada) soportan o refutan argumentos contrapuestos. Asimismo, es un escenario propicio para mejorar las alternativas dado que estas modificaciones progresivas revelan posibilidades de ajuste, asociadas fundamentalmente a los criterios para los cuales se encontraron diferencias menores entre alternativas y que brindan la posibilidad de introducir mejoras.</w:t>
      </w:r>
    </w:p>
    <w:p w14:paraId="6F53C8FC" w14:textId="77777777" w:rsidR="001A4326" w:rsidRPr="00BD1319" w:rsidRDefault="001A4326" w:rsidP="001A4326">
      <w:pPr>
        <w:numPr>
          <w:ilvl w:val="12"/>
          <w:numId w:val="0"/>
        </w:numPr>
        <w:tabs>
          <w:tab w:val="left" w:pos="-2268"/>
        </w:tabs>
        <w:suppressAutoHyphens/>
        <w:rPr>
          <w:spacing w:val="-3"/>
        </w:rPr>
      </w:pPr>
    </w:p>
    <w:p w14:paraId="7C527064" w14:textId="77777777" w:rsidR="001A4326" w:rsidRPr="00BD1319" w:rsidRDefault="001A4326" w:rsidP="00216955">
      <w:pPr>
        <w:pStyle w:val="Ttulo3"/>
      </w:pPr>
      <w:bookmarkStart w:id="2392" w:name="_Toc175326731"/>
      <w:r w:rsidRPr="00BD1319">
        <w:t>Formular ajustes a las alternativas</w:t>
      </w:r>
      <w:bookmarkEnd w:id="2392"/>
    </w:p>
    <w:p w14:paraId="01AEAE7C" w14:textId="77777777" w:rsidR="001A4326" w:rsidRPr="00BD1319" w:rsidRDefault="001A4326" w:rsidP="001A4326">
      <w:pPr>
        <w:numPr>
          <w:ilvl w:val="12"/>
          <w:numId w:val="0"/>
        </w:numPr>
        <w:tabs>
          <w:tab w:val="left" w:pos="-2268"/>
        </w:tabs>
        <w:suppressAutoHyphens/>
        <w:rPr>
          <w:spacing w:val="-3"/>
        </w:rPr>
      </w:pPr>
    </w:p>
    <w:p w14:paraId="25686BCB" w14:textId="77777777" w:rsidR="001A4326" w:rsidRPr="00BD1319" w:rsidRDefault="001A4326" w:rsidP="001A4326">
      <w:pPr>
        <w:numPr>
          <w:ilvl w:val="12"/>
          <w:numId w:val="0"/>
        </w:numPr>
        <w:tabs>
          <w:tab w:val="left" w:pos="-2268"/>
        </w:tabs>
        <w:suppressAutoHyphens/>
        <w:rPr>
          <w:spacing w:val="-3"/>
        </w:rPr>
      </w:pPr>
      <w:r w:rsidRPr="00BD1319">
        <w:rPr>
          <w:spacing w:val="-3"/>
        </w:rPr>
        <w:t xml:space="preserve">Es conveniente identificar y comparar las ventajas y las desventajas de cada alternativa con el fin de encontrar diferencias clave que permitan mejorar la formulación de las alternativas. Cuando se emplea un método aditivo ponderado las </w:t>
      </w:r>
      <w:r w:rsidRPr="00BD1319">
        <w:rPr>
          <w:spacing w:val="-3"/>
        </w:rPr>
        <w:lastRenderedPageBreak/>
        <w:t>ventajas pueden manifestarse como altos puntajes en criterios de peso elevado, y las desventajas, como bajos puntajes en criterios de peso elevado (DCLG, 2009).</w:t>
      </w:r>
    </w:p>
    <w:p w14:paraId="31FC0CB0" w14:textId="77777777" w:rsidR="001A4326" w:rsidRPr="00BD1319" w:rsidRDefault="001A4326" w:rsidP="001A4326">
      <w:pPr>
        <w:numPr>
          <w:ilvl w:val="12"/>
          <w:numId w:val="0"/>
        </w:numPr>
        <w:tabs>
          <w:tab w:val="left" w:pos="-2268"/>
        </w:tabs>
        <w:suppressAutoHyphens/>
        <w:rPr>
          <w:spacing w:val="-3"/>
        </w:rPr>
      </w:pPr>
    </w:p>
    <w:p w14:paraId="2D7F806C" w14:textId="77777777" w:rsidR="001A4326" w:rsidRPr="00BD1319" w:rsidRDefault="001A4326" w:rsidP="001A4326">
      <w:pPr>
        <w:numPr>
          <w:ilvl w:val="12"/>
          <w:numId w:val="0"/>
        </w:numPr>
        <w:tabs>
          <w:tab w:val="left" w:pos="-2268"/>
        </w:tabs>
        <w:suppressAutoHyphens/>
        <w:rPr>
          <w:spacing w:val="-3"/>
        </w:rPr>
      </w:pPr>
      <w:r w:rsidRPr="00BD1319">
        <w:rPr>
          <w:spacing w:val="-3"/>
        </w:rPr>
        <w:t>El propósito primordial de este proceso es reformular las alternativas para asegurar un mejor balance entre ventajas y desventajas, así como identificar posibilidades de ajuste a partir del desempeño en los criterios; por ejemplo, es posible reformular las alternativas disminuyendo su desempeño en criterios poco importantes y mejorando su rendimiento en los que se consideran más relevantes.</w:t>
      </w:r>
    </w:p>
    <w:p w14:paraId="0F6E89D3" w14:textId="77777777" w:rsidR="001A4326" w:rsidRPr="00BD1319" w:rsidRDefault="001A4326" w:rsidP="001A4326">
      <w:pPr>
        <w:numPr>
          <w:ilvl w:val="12"/>
          <w:numId w:val="0"/>
        </w:numPr>
        <w:tabs>
          <w:tab w:val="left" w:pos="-2268"/>
        </w:tabs>
        <w:suppressAutoHyphens/>
        <w:rPr>
          <w:spacing w:val="-3"/>
        </w:rPr>
      </w:pPr>
    </w:p>
    <w:p w14:paraId="1EAA2E49" w14:textId="77777777" w:rsidR="001A4326" w:rsidRPr="00BD1319" w:rsidRDefault="001A4326" w:rsidP="00216955">
      <w:pPr>
        <w:pStyle w:val="Ttulo3"/>
      </w:pPr>
      <w:bookmarkStart w:id="2393" w:name="_Toc175326732"/>
      <w:r w:rsidRPr="00BD1319">
        <w:t>Repetir la EMC hasta obtener una buena evaluación</w:t>
      </w:r>
      <w:bookmarkEnd w:id="2393"/>
    </w:p>
    <w:p w14:paraId="01BE56B4" w14:textId="77777777" w:rsidR="001A4326" w:rsidRPr="00BD1319" w:rsidRDefault="001A4326" w:rsidP="001A4326">
      <w:pPr>
        <w:numPr>
          <w:ilvl w:val="12"/>
          <w:numId w:val="0"/>
        </w:numPr>
        <w:tabs>
          <w:tab w:val="left" w:pos="-2268"/>
        </w:tabs>
        <w:suppressAutoHyphens/>
        <w:rPr>
          <w:spacing w:val="-3"/>
        </w:rPr>
      </w:pPr>
    </w:p>
    <w:p w14:paraId="7E10E2FF" w14:textId="77777777" w:rsidR="001A4326" w:rsidRPr="00BD1319" w:rsidRDefault="001A4326" w:rsidP="001A4326">
      <w:pPr>
        <w:numPr>
          <w:ilvl w:val="12"/>
          <w:numId w:val="0"/>
        </w:numPr>
        <w:tabs>
          <w:tab w:val="left" w:pos="-2268"/>
        </w:tabs>
        <w:suppressAutoHyphens/>
        <w:rPr>
          <w:spacing w:val="-3"/>
        </w:rPr>
      </w:pPr>
      <w:r w:rsidRPr="00BD1319">
        <w:rPr>
          <w:spacing w:val="-3"/>
        </w:rPr>
        <w:t>Como se mencionó previamente la EMC es un proceso iterativo en el que la información que provee debe emplearse para retroalimentar las alternativas, los criterios y los desempeños (preferencias). No obstante, el fin último de la EMC no es ejecutar un análisis exhaustivo mediante información detallada dadas las características y objetivos del DAA, estudio que emplea información principalmente secundaria para comparar y elegir alternativas; es por ello por lo que la iteración debe detenerse cuando se obtenga una EMC lo suficientemente buena para resolver el problema en cuestión (seleccionar alternativas), sin destinar más tiempo ni recursos de los necesarios.</w:t>
      </w:r>
    </w:p>
    <w:p w14:paraId="68E145E6" w14:textId="77777777" w:rsidR="001A4326" w:rsidRPr="00BD1319" w:rsidRDefault="001A4326" w:rsidP="001A4326">
      <w:pPr>
        <w:numPr>
          <w:ilvl w:val="12"/>
          <w:numId w:val="0"/>
        </w:numPr>
        <w:tabs>
          <w:tab w:val="left" w:pos="-2268"/>
        </w:tabs>
        <w:suppressAutoHyphens/>
        <w:rPr>
          <w:spacing w:val="-3"/>
        </w:rPr>
      </w:pPr>
    </w:p>
    <w:p w14:paraId="254383AA" w14:textId="77777777" w:rsidR="001A4326" w:rsidRPr="00BD1319" w:rsidRDefault="001A4326" w:rsidP="001A4326">
      <w:pPr>
        <w:numPr>
          <w:ilvl w:val="12"/>
          <w:numId w:val="0"/>
        </w:numPr>
        <w:tabs>
          <w:tab w:val="left" w:pos="-2268"/>
        </w:tabs>
        <w:suppressAutoHyphens/>
        <w:rPr>
          <w:spacing w:val="-3"/>
        </w:rPr>
      </w:pPr>
      <w:r w:rsidRPr="00BD1319">
        <w:rPr>
          <w:spacing w:val="-3"/>
        </w:rPr>
        <w:t>Al desarrollar estas iteraciones es importante ejecutar solamente las actividades que independientemente de su resultado tengan implicaciones en la decisión final; si una acción (alternativa, criterio, preferencia) no tiene repercusiones en la decisión, no debería contemplarse en el proceso iterativo. Puede pensarse que esta falta de precisión reduce la calidad de la EMC, no obstante, es un método que tolera muy bien la inexactitud en razón a que las preferencias sobre muchos criterios que tienen alta correlación estadística entre sí, pueden distribuirse de múltiples maneras sin modificar los resultados finales, además, los cambios en las preferencias de los criterios influencian y provocan cambios en la valoración de otros criterios, lo que en su conjunto, genera poca sensibilidad a la imprecisión (DCLG, 2009).</w:t>
      </w:r>
    </w:p>
    <w:p w14:paraId="2A1ED4F2" w14:textId="77777777" w:rsidR="001A4326" w:rsidRPr="00BD1319" w:rsidRDefault="001A4326" w:rsidP="001A4326">
      <w:pPr>
        <w:numPr>
          <w:ilvl w:val="12"/>
          <w:numId w:val="0"/>
        </w:numPr>
        <w:tabs>
          <w:tab w:val="left" w:pos="-2268"/>
        </w:tabs>
        <w:suppressAutoHyphens/>
        <w:rPr>
          <w:spacing w:val="-3"/>
        </w:rPr>
      </w:pPr>
    </w:p>
    <w:p w14:paraId="7BDC06A0" w14:textId="77777777" w:rsidR="001A4326" w:rsidRPr="00BD1319" w:rsidRDefault="001A4326" w:rsidP="001A4326">
      <w:pPr>
        <w:numPr>
          <w:ilvl w:val="12"/>
          <w:numId w:val="0"/>
        </w:numPr>
        <w:tabs>
          <w:tab w:val="left" w:pos="-2268"/>
        </w:tabs>
        <w:suppressAutoHyphens/>
        <w:rPr>
          <w:spacing w:val="-3"/>
        </w:rPr>
      </w:pPr>
      <w:r w:rsidRPr="00BD1319">
        <w:rPr>
          <w:spacing w:val="-3"/>
        </w:rPr>
        <w:t>Una cuestión importante que nunca debe olvidarse al ejecutar una EMC es que no es un procedimiento que decide por sí sólo o que constituye un algoritmo para llegar a la mejor decisión posible; es una ayuda que permite que quien esté ejecutando la evaluación decida con más transparencia y elementos de juicio, y encuentre de esta forma una decisión que lo satisfaga teniendo en cuenta los criterios empleados (</w:t>
      </w:r>
      <w:proofErr w:type="spellStart"/>
      <w:r w:rsidRPr="00BD1319">
        <w:rPr>
          <w:spacing w:val="-3"/>
        </w:rPr>
        <w:t>Munda</w:t>
      </w:r>
      <w:proofErr w:type="spellEnd"/>
      <w:r w:rsidRPr="00BD1319">
        <w:rPr>
          <w:spacing w:val="-3"/>
        </w:rPr>
        <w:t>, 2008; DCLG, 2009).</w:t>
      </w:r>
    </w:p>
    <w:p w14:paraId="27541EFD" w14:textId="77777777" w:rsidR="00F44F70" w:rsidRPr="00BD1319" w:rsidRDefault="00F44F70">
      <w:pPr>
        <w:numPr>
          <w:ilvl w:val="12"/>
          <w:numId w:val="0"/>
        </w:numPr>
        <w:tabs>
          <w:tab w:val="left" w:pos="-2268"/>
        </w:tabs>
        <w:suppressAutoHyphens/>
        <w:rPr>
          <w:spacing w:val="-3"/>
        </w:rPr>
      </w:pPr>
    </w:p>
    <w:p w14:paraId="5EE5E5F2" w14:textId="41374BD2" w:rsidR="00302526" w:rsidRPr="00BD1319" w:rsidRDefault="005D7203">
      <w:pPr>
        <w:numPr>
          <w:ilvl w:val="12"/>
          <w:numId w:val="0"/>
        </w:numPr>
        <w:tabs>
          <w:tab w:val="left" w:pos="-2268"/>
        </w:tabs>
        <w:suppressAutoHyphens/>
        <w:rPr>
          <w:spacing w:val="-3"/>
        </w:rPr>
      </w:pPr>
      <w:r w:rsidRPr="00BD1319">
        <w:rPr>
          <w:spacing w:val="-3"/>
        </w:rPr>
        <w:t>Finalmente, se debe presentar la alternativa o alternativas seleccionadas, argumentando de forma concisa las razones por las cuales se llegó a su elección.</w:t>
      </w:r>
    </w:p>
    <w:p w14:paraId="34B35473" w14:textId="77777777" w:rsidR="005D7203" w:rsidRPr="00BD1319" w:rsidRDefault="005D7203">
      <w:pPr>
        <w:numPr>
          <w:ilvl w:val="12"/>
          <w:numId w:val="0"/>
        </w:numPr>
        <w:tabs>
          <w:tab w:val="left" w:pos="-2268"/>
        </w:tabs>
        <w:suppressAutoHyphens/>
        <w:rPr>
          <w:spacing w:val="-3"/>
        </w:rPr>
      </w:pPr>
    </w:p>
    <w:p w14:paraId="5EBB89F4" w14:textId="6026CF30" w:rsidR="005D7203" w:rsidRPr="00BD1319" w:rsidRDefault="005D7203" w:rsidP="0068149C">
      <w:pPr>
        <w:pStyle w:val="Ttulo2"/>
        <w:rPr>
          <w:lang w:val="es-CO"/>
        </w:rPr>
      </w:pPr>
      <w:bookmarkStart w:id="2394" w:name="_Toc43485667"/>
      <w:bookmarkStart w:id="2395" w:name="_Toc43485668"/>
      <w:bookmarkStart w:id="2396" w:name="_Toc43485669"/>
      <w:bookmarkStart w:id="2397" w:name="_Ref415502137"/>
      <w:bookmarkStart w:id="2398" w:name="_Toc437935999"/>
      <w:bookmarkStart w:id="2399" w:name="_Toc42779205"/>
      <w:bookmarkStart w:id="2400" w:name="_Toc175326733"/>
      <w:bookmarkEnd w:id="2394"/>
      <w:bookmarkEnd w:id="2395"/>
      <w:bookmarkEnd w:id="2396"/>
      <w:r w:rsidRPr="00BD1319">
        <w:rPr>
          <w:lang w:val="es-CO"/>
        </w:rPr>
        <w:t>CRITERIOS PARA LA COMPARACIÓN DE ALTERNATIVAS</w:t>
      </w:r>
      <w:bookmarkEnd w:id="2397"/>
      <w:bookmarkEnd w:id="2398"/>
      <w:bookmarkEnd w:id="2399"/>
      <w:bookmarkEnd w:id="2400"/>
    </w:p>
    <w:p w14:paraId="5BA84F19" w14:textId="77777777" w:rsidR="005D7203" w:rsidRPr="00BD1319" w:rsidRDefault="005D7203">
      <w:pPr>
        <w:numPr>
          <w:ilvl w:val="12"/>
          <w:numId w:val="0"/>
        </w:numPr>
        <w:tabs>
          <w:tab w:val="left" w:pos="-2268"/>
        </w:tabs>
        <w:suppressAutoHyphens/>
        <w:rPr>
          <w:spacing w:val="-3"/>
        </w:rPr>
      </w:pPr>
    </w:p>
    <w:p w14:paraId="62EF5CC7" w14:textId="6E716C9E" w:rsidR="005D7203" w:rsidRPr="00BD1319" w:rsidRDefault="005D7203" w:rsidP="00C86DA5">
      <w:pPr>
        <w:tabs>
          <w:tab w:val="left" w:pos="-2268"/>
        </w:tabs>
        <w:suppressAutoHyphens/>
      </w:pPr>
      <w:r w:rsidRPr="00BD1319">
        <w:t xml:space="preserve">El proceso de evaluación mediante criterios se debe realizar para cada una de las alternativas contempladas en el DAA, a fin de compararlas y tomar una decisión respecto de las que demuestren un mejor desempeño ambiental. La aplicación de </w:t>
      </w:r>
      <w:r w:rsidR="00CE1AD5" w:rsidRPr="00BD1319">
        <w:t>estos</w:t>
      </w:r>
      <w:r w:rsidR="001E01F6" w:rsidRPr="00BD1319">
        <w:t xml:space="preserve"> </w:t>
      </w:r>
      <w:r w:rsidRPr="00BD1319">
        <w:t xml:space="preserve">criterios exige tener en cuenta el escenario sin proyecto para poder establecer los </w:t>
      </w:r>
      <w:r w:rsidR="002546D8" w:rsidRPr="00BD1319">
        <w:t xml:space="preserve">impactos </w:t>
      </w:r>
      <w:r w:rsidRPr="00BD1319">
        <w:t xml:space="preserve">ambientales </w:t>
      </w:r>
      <w:r w:rsidR="002546D8" w:rsidRPr="00BD1319">
        <w:t xml:space="preserve">potenciales </w:t>
      </w:r>
      <w:r w:rsidRPr="00BD1319">
        <w:t>que ocasionaría cada una de las alternativas formuladas.</w:t>
      </w:r>
    </w:p>
    <w:p w14:paraId="13C73150" w14:textId="77777777" w:rsidR="005D7203" w:rsidRPr="00BD1319" w:rsidRDefault="005D7203">
      <w:pPr>
        <w:numPr>
          <w:ilvl w:val="12"/>
          <w:numId w:val="0"/>
        </w:numPr>
        <w:tabs>
          <w:tab w:val="left" w:pos="-2268"/>
        </w:tabs>
        <w:suppressAutoHyphens/>
        <w:rPr>
          <w:spacing w:val="-3"/>
        </w:rPr>
      </w:pPr>
    </w:p>
    <w:p w14:paraId="5BBB7692" w14:textId="01560D9D" w:rsidR="005D7203" w:rsidRPr="00BD1319" w:rsidRDefault="005D7203">
      <w:pPr>
        <w:numPr>
          <w:ilvl w:val="12"/>
          <w:numId w:val="0"/>
        </w:numPr>
        <w:tabs>
          <w:tab w:val="left" w:pos="-2268"/>
        </w:tabs>
        <w:suppressAutoHyphens/>
        <w:rPr>
          <w:spacing w:val="-3"/>
        </w:rPr>
      </w:pPr>
      <w:r w:rsidRPr="00BD1319">
        <w:rPr>
          <w:spacing w:val="-3"/>
        </w:rPr>
        <w:t xml:space="preserve">A continuación, se listan los criterios que se deben </w:t>
      </w:r>
      <w:r w:rsidR="003C1339" w:rsidRPr="00BD1319">
        <w:rPr>
          <w:spacing w:val="-3"/>
        </w:rPr>
        <w:t xml:space="preserve">considerar </w:t>
      </w:r>
      <w:r w:rsidRPr="00BD1319">
        <w:rPr>
          <w:spacing w:val="-3"/>
        </w:rPr>
        <w:t xml:space="preserve">para </w:t>
      </w:r>
      <w:r w:rsidR="00676DE6" w:rsidRPr="00BD1319">
        <w:rPr>
          <w:spacing w:val="-3"/>
        </w:rPr>
        <w:t xml:space="preserve">evaluar </w:t>
      </w:r>
      <w:r w:rsidRPr="00BD1319">
        <w:rPr>
          <w:spacing w:val="-3"/>
        </w:rPr>
        <w:t xml:space="preserve">y comparar las alternativas </w:t>
      </w:r>
      <w:r w:rsidR="00676DE6" w:rsidRPr="00BD1319">
        <w:rPr>
          <w:spacing w:val="-3"/>
        </w:rPr>
        <w:t>en función</w:t>
      </w:r>
      <w:r w:rsidRPr="00BD1319">
        <w:rPr>
          <w:spacing w:val="-3"/>
        </w:rPr>
        <w:t xml:space="preserve"> </w:t>
      </w:r>
      <w:r w:rsidR="00676DE6" w:rsidRPr="00BD1319">
        <w:rPr>
          <w:rFonts w:cs="Arial"/>
          <w:spacing w:val="-3"/>
        </w:rPr>
        <w:t>de</w:t>
      </w:r>
      <w:r w:rsidRPr="00BD1319">
        <w:rPr>
          <w:rFonts w:cs="Arial"/>
          <w:spacing w:val="-3"/>
        </w:rPr>
        <w:t xml:space="preserve"> </w:t>
      </w:r>
      <w:r w:rsidR="00676DE6" w:rsidRPr="00BD1319">
        <w:rPr>
          <w:rFonts w:cs="Arial"/>
          <w:spacing w:val="-3"/>
        </w:rPr>
        <w:t>su</w:t>
      </w:r>
      <w:r w:rsidRPr="00BD1319">
        <w:rPr>
          <w:rFonts w:cs="Arial"/>
          <w:spacing w:val="-3"/>
        </w:rPr>
        <w:t>s</w:t>
      </w:r>
      <w:r w:rsidRPr="00BD1319">
        <w:rPr>
          <w:spacing w:val="-3"/>
        </w:rPr>
        <w:t xml:space="preserve"> implicaciones en </w:t>
      </w:r>
      <w:r w:rsidR="00676DE6" w:rsidRPr="00BD1319">
        <w:rPr>
          <w:spacing w:val="-3"/>
        </w:rPr>
        <w:t xml:space="preserve">las condiciones ambientales de </w:t>
      </w:r>
      <w:r w:rsidRPr="00BD1319">
        <w:rPr>
          <w:spacing w:val="-3"/>
        </w:rPr>
        <w:t>los medios abiótico, biótico y socioeconómico</w:t>
      </w:r>
      <w:r w:rsidR="00C751BE" w:rsidRPr="00BD1319">
        <w:rPr>
          <w:spacing w:val="-3"/>
        </w:rPr>
        <w:t>.</w:t>
      </w:r>
      <w:r w:rsidR="0092407B" w:rsidRPr="00BD1319">
        <w:rPr>
          <w:spacing w:val="-3"/>
        </w:rPr>
        <w:t xml:space="preserve"> </w:t>
      </w:r>
      <w:r w:rsidR="00C751BE" w:rsidRPr="00BD1319">
        <w:rPr>
          <w:spacing w:val="-3"/>
        </w:rPr>
        <w:t>L</w:t>
      </w:r>
      <w:r w:rsidR="0092407B" w:rsidRPr="00BD1319">
        <w:rPr>
          <w:rFonts w:cs="Arial"/>
          <w:spacing w:val="-3"/>
          <w:szCs w:val="20"/>
        </w:rPr>
        <w:t xml:space="preserve">a aplicabilidad de </w:t>
      </w:r>
      <w:r w:rsidR="00C751BE" w:rsidRPr="00BD1319">
        <w:rPr>
          <w:rFonts w:cs="Arial"/>
          <w:spacing w:val="-3"/>
          <w:szCs w:val="20"/>
        </w:rPr>
        <w:t xml:space="preserve">estos </w:t>
      </w:r>
      <w:r w:rsidR="0092407B" w:rsidRPr="00BD1319">
        <w:rPr>
          <w:rFonts w:cs="Arial"/>
          <w:spacing w:val="-3"/>
          <w:szCs w:val="20"/>
        </w:rPr>
        <w:t xml:space="preserve">criterios depende de las particularidades específicas del proyecto, obra o actividad </w:t>
      </w:r>
      <w:r w:rsidR="00C751BE" w:rsidRPr="00BD1319">
        <w:rPr>
          <w:rFonts w:cs="Arial"/>
          <w:spacing w:val="-3"/>
          <w:szCs w:val="20"/>
        </w:rPr>
        <w:t xml:space="preserve">para la cual se formula el </w:t>
      </w:r>
      <w:r w:rsidR="0092407B" w:rsidRPr="00BD1319">
        <w:rPr>
          <w:rFonts w:cs="Arial"/>
          <w:spacing w:val="-3"/>
          <w:szCs w:val="20"/>
        </w:rPr>
        <w:t>DAA</w:t>
      </w:r>
      <w:r w:rsidR="00C751BE" w:rsidRPr="00BD1319">
        <w:rPr>
          <w:rFonts w:cs="Arial"/>
          <w:spacing w:val="-3"/>
          <w:szCs w:val="20"/>
        </w:rPr>
        <w:t xml:space="preserve"> y de las condiciones ambientales del área de estudio; para establecer </w:t>
      </w:r>
      <w:r w:rsidR="005739D9" w:rsidRPr="00BD1319">
        <w:rPr>
          <w:rFonts w:cs="Arial"/>
          <w:spacing w:val="-3"/>
          <w:szCs w:val="20"/>
        </w:rPr>
        <w:t xml:space="preserve">si estos criterios </w:t>
      </w:r>
      <w:r w:rsidR="00C751BE" w:rsidRPr="00BD1319">
        <w:rPr>
          <w:rFonts w:cs="Arial"/>
          <w:spacing w:val="-3"/>
          <w:szCs w:val="20"/>
        </w:rPr>
        <w:t>aplica</w:t>
      </w:r>
      <w:r w:rsidR="005739D9" w:rsidRPr="00BD1319">
        <w:rPr>
          <w:rFonts w:cs="Arial"/>
          <w:spacing w:val="-3"/>
          <w:szCs w:val="20"/>
        </w:rPr>
        <w:t>n o no</w:t>
      </w:r>
      <w:r w:rsidR="00C751BE" w:rsidRPr="00BD1319">
        <w:rPr>
          <w:rFonts w:cs="Arial"/>
          <w:spacing w:val="-3"/>
          <w:szCs w:val="20"/>
        </w:rPr>
        <w:t xml:space="preserve">, es necesario verificar </w:t>
      </w:r>
      <w:r w:rsidR="005739D9" w:rsidRPr="00BD1319">
        <w:rPr>
          <w:rFonts w:cs="Arial"/>
          <w:spacing w:val="-3"/>
          <w:szCs w:val="20"/>
        </w:rPr>
        <w:t xml:space="preserve">si </w:t>
      </w:r>
      <w:r w:rsidR="00C751BE" w:rsidRPr="00BD1319">
        <w:rPr>
          <w:rFonts w:cs="Arial"/>
          <w:spacing w:val="-3"/>
          <w:szCs w:val="20"/>
        </w:rPr>
        <w:t>cumpl</w:t>
      </w:r>
      <w:r w:rsidR="0058601E" w:rsidRPr="00BD1319">
        <w:rPr>
          <w:rFonts w:cs="Arial"/>
          <w:spacing w:val="-3"/>
          <w:szCs w:val="20"/>
        </w:rPr>
        <w:t>e</w:t>
      </w:r>
      <w:r w:rsidR="00C751BE" w:rsidRPr="00BD1319">
        <w:rPr>
          <w:rFonts w:cs="Arial"/>
          <w:spacing w:val="-3"/>
          <w:szCs w:val="20"/>
        </w:rPr>
        <w:t xml:space="preserve">n </w:t>
      </w:r>
      <w:r w:rsidR="005739D9" w:rsidRPr="00BD1319">
        <w:rPr>
          <w:rFonts w:cs="Arial"/>
          <w:spacing w:val="-3"/>
          <w:szCs w:val="20"/>
        </w:rPr>
        <w:t xml:space="preserve">con </w:t>
      </w:r>
      <w:r w:rsidR="00C751BE" w:rsidRPr="00BD1319">
        <w:rPr>
          <w:rFonts w:cs="Arial"/>
          <w:spacing w:val="-3"/>
          <w:szCs w:val="20"/>
        </w:rPr>
        <w:t xml:space="preserve">las propiedades señaladas en el numeral </w:t>
      </w:r>
      <w:r w:rsidR="00C751BE" w:rsidRPr="00BD1319">
        <w:rPr>
          <w:rFonts w:cs="Arial"/>
          <w:spacing w:val="-3"/>
          <w:szCs w:val="20"/>
        </w:rPr>
        <w:fldChar w:fldCharType="begin"/>
      </w:r>
      <w:r w:rsidR="00C751BE" w:rsidRPr="00BD1319">
        <w:rPr>
          <w:rFonts w:cs="Arial"/>
          <w:spacing w:val="-3"/>
          <w:szCs w:val="20"/>
        </w:rPr>
        <w:instrText xml:space="preserve"> REF _Ref138771421 \r \h </w:instrText>
      </w:r>
      <w:r w:rsidR="00BD1319">
        <w:rPr>
          <w:rFonts w:cs="Arial"/>
          <w:spacing w:val="-3"/>
          <w:szCs w:val="20"/>
        </w:rPr>
        <w:instrText xml:space="preserve"> \* MERGEFORMAT </w:instrText>
      </w:r>
      <w:r w:rsidR="00C751BE" w:rsidRPr="00BD1319">
        <w:rPr>
          <w:rFonts w:cs="Arial"/>
          <w:spacing w:val="-3"/>
          <w:szCs w:val="20"/>
        </w:rPr>
      </w:r>
      <w:r w:rsidR="00C751BE" w:rsidRPr="00BD1319">
        <w:rPr>
          <w:rFonts w:cs="Arial"/>
          <w:spacing w:val="-3"/>
          <w:szCs w:val="20"/>
        </w:rPr>
        <w:fldChar w:fldCharType="separate"/>
      </w:r>
      <w:r w:rsidR="00296654" w:rsidRPr="00BD1319">
        <w:rPr>
          <w:rFonts w:cs="Arial"/>
          <w:spacing w:val="-3"/>
          <w:szCs w:val="20"/>
        </w:rPr>
        <w:t>9.3.3</w:t>
      </w:r>
      <w:r w:rsidR="00C751BE" w:rsidRPr="00BD1319">
        <w:rPr>
          <w:rFonts w:cs="Arial"/>
          <w:spacing w:val="-3"/>
          <w:szCs w:val="20"/>
        </w:rPr>
        <w:fldChar w:fldCharType="end"/>
      </w:r>
      <w:r w:rsidR="00C751BE" w:rsidRPr="00BD1319">
        <w:rPr>
          <w:rFonts w:cs="Arial"/>
          <w:spacing w:val="-3"/>
          <w:szCs w:val="20"/>
        </w:rPr>
        <w:t xml:space="preserve"> de este capítulo</w:t>
      </w:r>
      <w:r w:rsidR="0058601E" w:rsidRPr="00BD1319">
        <w:rPr>
          <w:rFonts w:cs="Arial"/>
          <w:spacing w:val="-3"/>
          <w:szCs w:val="20"/>
        </w:rPr>
        <w:t>.</w:t>
      </w:r>
      <w:r w:rsidR="00C751BE" w:rsidRPr="00BD1319">
        <w:rPr>
          <w:rFonts w:cs="Arial"/>
          <w:spacing w:val="-3"/>
          <w:szCs w:val="20"/>
        </w:rPr>
        <w:t xml:space="preserve"> </w:t>
      </w:r>
      <w:r w:rsidR="0058601E" w:rsidRPr="00BD1319">
        <w:rPr>
          <w:rFonts w:cs="Arial"/>
          <w:spacing w:val="-3"/>
          <w:szCs w:val="20"/>
        </w:rPr>
        <w:t>D</w:t>
      </w:r>
      <w:r w:rsidR="001E01F6" w:rsidRPr="00BD1319">
        <w:rPr>
          <w:spacing w:val="-3"/>
        </w:rPr>
        <w:t xml:space="preserve">e </w:t>
      </w:r>
      <w:r w:rsidR="0058601E" w:rsidRPr="00BD1319">
        <w:rPr>
          <w:spacing w:val="-3"/>
        </w:rPr>
        <w:t xml:space="preserve">ser </w:t>
      </w:r>
      <w:r w:rsidR="001E01F6" w:rsidRPr="00BD1319">
        <w:rPr>
          <w:spacing w:val="-3"/>
        </w:rPr>
        <w:t>necesario</w:t>
      </w:r>
      <w:r w:rsidR="0058601E" w:rsidRPr="00BD1319">
        <w:rPr>
          <w:spacing w:val="-3"/>
        </w:rPr>
        <w:t xml:space="preserve"> es posible </w:t>
      </w:r>
      <w:r w:rsidR="001E01F6" w:rsidRPr="00BD1319">
        <w:rPr>
          <w:spacing w:val="-3"/>
        </w:rPr>
        <w:t xml:space="preserve">establecer criterios </w:t>
      </w:r>
      <w:r w:rsidR="000063D2" w:rsidRPr="00BD1319">
        <w:rPr>
          <w:spacing w:val="-3"/>
        </w:rPr>
        <w:t>complementarios</w:t>
      </w:r>
      <w:r w:rsidRPr="00BD1319">
        <w:rPr>
          <w:spacing w:val="-3"/>
        </w:rPr>
        <w:t>.</w:t>
      </w:r>
    </w:p>
    <w:p w14:paraId="41C094D5" w14:textId="77777777" w:rsidR="005D7203" w:rsidRPr="00BD1319" w:rsidRDefault="005D7203">
      <w:pPr>
        <w:numPr>
          <w:ilvl w:val="12"/>
          <w:numId w:val="0"/>
        </w:numPr>
        <w:tabs>
          <w:tab w:val="left" w:pos="-2268"/>
        </w:tabs>
        <w:suppressAutoHyphens/>
        <w:rPr>
          <w:spacing w:val="-3"/>
        </w:rPr>
      </w:pPr>
    </w:p>
    <w:p w14:paraId="141A8866" w14:textId="1FDCE832" w:rsidR="005D7203" w:rsidRPr="00BD1319" w:rsidRDefault="005D7203" w:rsidP="00216955">
      <w:pPr>
        <w:pStyle w:val="Ttulo3"/>
      </w:pPr>
      <w:bookmarkStart w:id="2401" w:name="_Toc42779206"/>
      <w:bookmarkStart w:id="2402" w:name="_Toc175326734"/>
      <w:r w:rsidRPr="00BD1319">
        <w:t xml:space="preserve">Criterios </w:t>
      </w:r>
      <w:r w:rsidR="0058601E" w:rsidRPr="00BD1319">
        <w:t>relacionados con el medio abiótic</w:t>
      </w:r>
      <w:bookmarkEnd w:id="2401"/>
      <w:r w:rsidR="0058601E" w:rsidRPr="00BD1319">
        <w:t>o</w:t>
      </w:r>
      <w:bookmarkEnd w:id="2402"/>
    </w:p>
    <w:p w14:paraId="58EF5C70" w14:textId="77777777" w:rsidR="005D7203" w:rsidRPr="00BD1319" w:rsidRDefault="005D7203">
      <w:pPr>
        <w:numPr>
          <w:ilvl w:val="12"/>
          <w:numId w:val="0"/>
        </w:numPr>
        <w:tabs>
          <w:tab w:val="left" w:pos="-2268"/>
        </w:tabs>
        <w:suppressAutoHyphens/>
        <w:rPr>
          <w:spacing w:val="-3"/>
        </w:rPr>
      </w:pPr>
    </w:p>
    <w:p w14:paraId="71BA150B" w14:textId="692F8B8F" w:rsidR="005D7203" w:rsidRPr="00BD1319" w:rsidRDefault="005D7203" w:rsidP="00C86DA5">
      <w:pPr>
        <w:numPr>
          <w:ilvl w:val="0"/>
          <w:numId w:val="56"/>
        </w:numPr>
        <w:tabs>
          <w:tab w:val="left" w:pos="-2268"/>
        </w:tabs>
        <w:suppressAutoHyphens/>
        <w:ind w:left="567" w:hanging="567"/>
        <w:rPr>
          <w:spacing w:val="-3"/>
        </w:rPr>
      </w:pPr>
      <w:proofErr w:type="gramStart"/>
      <w:r w:rsidRPr="00BD1319">
        <w:rPr>
          <w:spacing w:val="-3"/>
        </w:rPr>
        <w:t xml:space="preserve">Longitud o superficie </w:t>
      </w:r>
      <w:r w:rsidR="003A0692" w:rsidRPr="00BD1319">
        <w:rPr>
          <w:spacing w:val="-3"/>
        </w:rPr>
        <w:t xml:space="preserve">a </w:t>
      </w:r>
      <w:r w:rsidRPr="00BD1319">
        <w:rPr>
          <w:spacing w:val="-3"/>
        </w:rPr>
        <w:t>interven</w:t>
      </w:r>
      <w:r w:rsidR="003A0692" w:rsidRPr="00BD1319">
        <w:rPr>
          <w:spacing w:val="-3"/>
        </w:rPr>
        <w:t>ir</w:t>
      </w:r>
      <w:proofErr w:type="gramEnd"/>
      <w:r w:rsidR="00A10950" w:rsidRPr="00BD1319">
        <w:rPr>
          <w:spacing w:val="-3"/>
        </w:rPr>
        <w:t xml:space="preserve">, incluyendo la ocupada por la </w:t>
      </w:r>
      <w:r w:rsidR="00A10950" w:rsidRPr="00BD1319">
        <w:rPr>
          <w:rFonts w:cs="Arial"/>
          <w:spacing w:val="-3"/>
        </w:rPr>
        <w:t>infraestructura requerida e instalaciones de apoyo (campamentos, talleres, plantas industriales, entre otros)</w:t>
      </w:r>
      <w:r w:rsidRPr="00BD1319">
        <w:rPr>
          <w:spacing w:val="-3"/>
        </w:rPr>
        <w:t>.</w:t>
      </w:r>
    </w:p>
    <w:p w14:paraId="0AC63778" w14:textId="77777777" w:rsidR="005D7203" w:rsidRPr="00BD1319" w:rsidRDefault="005D7203">
      <w:pPr>
        <w:tabs>
          <w:tab w:val="left" w:pos="-2268"/>
        </w:tabs>
        <w:suppressAutoHyphens/>
        <w:rPr>
          <w:spacing w:val="-3"/>
        </w:rPr>
      </w:pPr>
    </w:p>
    <w:p w14:paraId="714A9C6E" w14:textId="21B4323A" w:rsidR="005D7203" w:rsidRPr="00BD1319" w:rsidRDefault="005D7203" w:rsidP="00C86DA5">
      <w:pPr>
        <w:numPr>
          <w:ilvl w:val="0"/>
          <w:numId w:val="56"/>
        </w:numPr>
        <w:tabs>
          <w:tab w:val="left" w:pos="-2268"/>
        </w:tabs>
        <w:suppressAutoHyphens/>
        <w:ind w:left="567" w:hanging="567"/>
        <w:rPr>
          <w:spacing w:val="-3"/>
        </w:rPr>
      </w:pPr>
      <w:r w:rsidRPr="00BD1319">
        <w:rPr>
          <w:rFonts w:cs="Arial"/>
          <w:spacing w:val="-3"/>
        </w:rPr>
        <w:t>Longi</w:t>
      </w:r>
      <w:r w:rsidRPr="00BD1319">
        <w:rPr>
          <w:rFonts w:cs="Arial"/>
        </w:rPr>
        <w:t>tud de vías</w:t>
      </w:r>
      <w:r w:rsidRPr="00BD1319">
        <w:t xml:space="preserve"> de acceso a construir.</w:t>
      </w:r>
    </w:p>
    <w:p w14:paraId="56601DBF" w14:textId="77777777" w:rsidR="005D7203" w:rsidRPr="00BD1319" w:rsidRDefault="005D7203">
      <w:pPr>
        <w:tabs>
          <w:tab w:val="left" w:pos="-2268"/>
        </w:tabs>
        <w:suppressAutoHyphens/>
        <w:rPr>
          <w:spacing w:val="-3"/>
        </w:rPr>
      </w:pPr>
    </w:p>
    <w:p w14:paraId="406216E8" w14:textId="444F73FC" w:rsidR="005D7203" w:rsidRPr="00BD1319" w:rsidRDefault="005D7203" w:rsidP="00C86DA5">
      <w:pPr>
        <w:numPr>
          <w:ilvl w:val="0"/>
          <w:numId w:val="56"/>
        </w:numPr>
        <w:tabs>
          <w:tab w:val="left" w:pos="-2268"/>
        </w:tabs>
        <w:suppressAutoHyphens/>
        <w:ind w:left="567" w:hanging="567"/>
        <w:rPr>
          <w:spacing w:val="-3"/>
        </w:rPr>
      </w:pPr>
      <w:r w:rsidRPr="00BD1319">
        <w:rPr>
          <w:spacing w:val="-3"/>
        </w:rPr>
        <w:t>Vol</w:t>
      </w:r>
      <w:r w:rsidR="00046818" w:rsidRPr="00BD1319">
        <w:rPr>
          <w:spacing w:val="-3"/>
        </w:rPr>
        <w:t>u</w:t>
      </w:r>
      <w:r w:rsidRPr="00BD1319">
        <w:rPr>
          <w:spacing w:val="-3"/>
        </w:rPr>
        <w:t>men estimado de remoción de suelo (descapote, corte, relleno, excavación)</w:t>
      </w:r>
      <w:r w:rsidR="00046818" w:rsidRPr="00BD1319">
        <w:rPr>
          <w:spacing w:val="-3"/>
        </w:rPr>
        <w:t>.</w:t>
      </w:r>
    </w:p>
    <w:p w14:paraId="2200075F" w14:textId="77777777" w:rsidR="00046818" w:rsidRPr="00BD1319" w:rsidRDefault="00046818" w:rsidP="008A4FE9">
      <w:pPr>
        <w:rPr>
          <w:spacing w:val="-3"/>
        </w:rPr>
      </w:pPr>
    </w:p>
    <w:p w14:paraId="05164F24" w14:textId="43BC6234" w:rsidR="00046818" w:rsidRPr="00BD1319" w:rsidRDefault="00046818" w:rsidP="00046818">
      <w:pPr>
        <w:numPr>
          <w:ilvl w:val="0"/>
          <w:numId w:val="56"/>
        </w:numPr>
        <w:tabs>
          <w:tab w:val="left" w:pos="-2268"/>
        </w:tabs>
        <w:suppressAutoHyphens/>
        <w:ind w:left="567" w:hanging="567"/>
        <w:rPr>
          <w:spacing w:val="-3"/>
        </w:rPr>
      </w:pPr>
      <w:r w:rsidRPr="00BD1319">
        <w:rPr>
          <w:spacing w:val="-3"/>
        </w:rPr>
        <w:t>Volumen estimado de materiales sobrantes de construcción.</w:t>
      </w:r>
    </w:p>
    <w:p w14:paraId="0E15990D" w14:textId="77777777" w:rsidR="005D7203" w:rsidRPr="00BD1319" w:rsidRDefault="005D7203">
      <w:pPr>
        <w:tabs>
          <w:tab w:val="left" w:pos="-2268"/>
        </w:tabs>
        <w:suppressAutoHyphens/>
        <w:rPr>
          <w:spacing w:val="-3"/>
        </w:rPr>
      </w:pPr>
    </w:p>
    <w:p w14:paraId="6D9D483C" w14:textId="28E1DF34" w:rsidR="005D7203" w:rsidRPr="00BD1319" w:rsidRDefault="005D7203" w:rsidP="00C86DA5">
      <w:pPr>
        <w:numPr>
          <w:ilvl w:val="0"/>
          <w:numId w:val="56"/>
        </w:numPr>
        <w:tabs>
          <w:tab w:val="left" w:pos="-2268"/>
        </w:tabs>
        <w:suppressAutoHyphens/>
        <w:ind w:left="567" w:hanging="567"/>
        <w:rPr>
          <w:spacing w:val="-3"/>
        </w:rPr>
      </w:pPr>
      <w:r w:rsidRPr="00BD1319">
        <w:rPr>
          <w:spacing w:val="-3"/>
        </w:rPr>
        <w:t>Estimado de</w:t>
      </w:r>
      <w:r w:rsidR="005A6AD5" w:rsidRPr="00BD1319">
        <w:rPr>
          <w:spacing w:val="-3"/>
        </w:rPr>
        <w:t>l</w:t>
      </w:r>
      <w:r w:rsidRPr="00BD1319">
        <w:rPr>
          <w:spacing w:val="-3"/>
        </w:rPr>
        <w:t xml:space="preserve"> uso, aprovechamiento y afectación de recursos naturales renovables</w:t>
      </w:r>
      <w:r w:rsidRPr="00BD1319">
        <w:rPr>
          <w:rFonts w:cs="Arial"/>
          <w:spacing w:val="-3"/>
        </w:rPr>
        <w:t>.</w:t>
      </w:r>
    </w:p>
    <w:p w14:paraId="6620B005" w14:textId="77777777" w:rsidR="005267B8" w:rsidRPr="00BD1319" w:rsidRDefault="005267B8" w:rsidP="009420F5">
      <w:pPr>
        <w:rPr>
          <w:spacing w:val="-3"/>
        </w:rPr>
      </w:pPr>
    </w:p>
    <w:p w14:paraId="3A1581C8" w14:textId="0F1A6713" w:rsidR="005267B8" w:rsidRPr="00BD1319" w:rsidRDefault="00916912">
      <w:pPr>
        <w:numPr>
          <w:ilvl w:val="0"/>
          <w:numId w:val="56"/>
        </w:numPr>
        <w:tabs>
          <w:tab w:val="left" w:pos="-2268"/>
        </w:tabs>
        <w:suppressAutoHyphens/>
        <w:ind w:left="567" w:hanging="567"/>
        <w:rPr>
          <w:spacing w:val="-3"/>
        </w:rPr>
      </w:pPr>
      <w:r w:rsidRPr="00BD1319">
        <w:rPr>
          <w:spacing w:val="-3"/>
        </w:rPr>
        <w:t>Í</w:t>
      </w:r>
      <w:r w:rsidR="005267B8" w:rsidRPr="00BD1319">
        <w:rPr>
          <w:spacing w:val="-3"/>
        </w:rPr>
        <w:t>ndice de escasez</w:t>
      </w:r>
      <w:r w:rsidRPr="00BD1319">
        <w:rPr>
          <w:spacing w:val="-3"/>
        </w:rPr>
        <w:t xml:space="preserve"> potencial</w:t>
      </w:r>
      <w:r w:rsidR="00B301F5" w:rsidRPr="00BD1319">
        <w:rPr>
          <w:rStyle w:val="Refdenotaalpie"/>
          <w:spacing w:val="-3"/>
          <w:lang w:val="es-CO"/>
        </w:rPr>
        <w:footnoteReference w:id="61"/>
      </w:r>
      <w:r w:rsidR="005267B8" w:rsidRPr="00BD1319">
        <w:rPr>
          <w:spacing w:val="-3"/>
        </w:rPr>
        <w:t>.</w:t>
      </w:r>
    </w:p>
    <w:p w14:paraId="45E90EB2" w14:textId="77777777" w:rsidR="005D7203" w:rsidRPr="00BD1319" w:rsidRDefault="005D7203" w:rsidP="009420F5">
      <w:pPr>
        <w:rPr>
          <w:spacing w:val="-3"/>
        </w:rPr>
      </w:pPr>
    </w:p>
    <w:p w14:paraId="18E5A7E5" w14:textId="02F0FDFA" w:rsidR="005D7203" w:rsidRPr="00BD1319" w:rsidRDefault="00A370C7" w:rsidP="00C86DA5">
      <w:pPr>
        <w:numPr>
          <w:ilvl w:val="0"/>
          <w:numId w:val="56"/>
        </w:numPr>
        <w:tabs>
          <w:tab w:val="left" w:pos="-2268"/>
        </w:tabs>
        <w:suppressAutoHyphens/>
        <w:ind w:left="567" w:hanging="567"/>
        <w:rPr>
          <w:spacing w:val="-3"/>
        </w:rPr>
      </w:pPr>
      <w:r w:rsidRPr="00BD1319">
        <w:rPr>
          <w:spacing w:val="-3"/>
        </w:rPr>
        <w:t>Cantidad de c</w:t>
      </w:r>
      <w:r w:rsidR="005D7203" w:rsidRPr="00BD1319">
        <w:rPr>
          <w:spacing w:val="-3"/>
        </w:rPr>
        <w:t>ruces de infraestructura con cuerpos de agua lóticos y lénticos.</w:t>
      </w:r>
    </w:p>
    <w:p w14:paraId="3D66BEE1" w14:textId="77777777" w:rsidR="005D7203" w:rsidRPr="00BD1319" w:rsidRDefault="005D7203">
      <w:pPr>
        <w:tabs>
          <w:tab w:val="left" w:pos="-2268"/>
        </w:tabs>
        <w:suppressAutoHyphens/>
        <w:rPr>
          <w:spacing w:val="-3"/>
        </w:rPr>
      </w:pPr>
    </w:p>
    <w:p w14:paraId="29B58A8B" w14:textId="39548158" w:rsidR="005D7203" w:rsidRPr="00BD1319" w:rsidRDefault="008B4F3A" w:rsidP="00C86DA5">
      <w:pPr>
        <w:numPr>
          <w:ilvl w:val="0"/>
          <w:numId w:val="56"/>
        </w:numPr>
        <w:tabs>
          <w:tab w:val="left" w:pos="-2268"/>
        </w:tabs>
        <w:suppressAutoHyphens/>
        <w:ind w:left="567" w:hanging="567"/>
        <w:rPr>
          <w:spacing w:val="-3"/>
        </w:rPr>
      </w:pPr>
      <w:r w:rsidRPr="00BD1319">
        <w:rPr>
          <w:spacing w:val="-3"/>
        </w:rPr>
        <w:t>Impacto</w:t>
      </w:r>
      <w:r w:rsidR="005D7203" w:rsidRPr="00BD1319">
        <w:rPr>
          <w:spacing w:val="-3"/>
        </w:rPr>
        <w:t xml:space="preserve"> </w:t>
      </w:r>
      <w:r w:rsidR="00913B6E" w:rsidRPr="00BD1319">
        <w:rPr>
          <w:spacing w:val="-3"/>
        </w:rPr>
        <w:t xml:space="preserve">potencial </w:t>
      </w:r>
      <w:r w:rsidR="007A4922" w:rsidRPr="00BD1319">
        <w:rPr>
          <w:spacing w:val="-3"/>
        </w:rPr>
        <w:t>a</w:t>
      </w:r>
      <w:r w:rsidR="005D7203" w:rsidRPr="00BD1319">
        <w:rPr>
          <w:spacing w:val="-3"/>
        </w:rPr>
        <w:t xml:space="preserve"> cuerpos de agua lóticos y lénticos.</w:t>
      </w:r>
    </w:p>
    <w:p w14:paraId="3490B0F1" w14:textId="77777777" w:rsidR="005D7203" w:rsidRPr="00BD1319" w:rsidRDefault="005D7203">
      <w:pPr>
        <w:tabs>
          <w:tab w:val="left" w:pos="-2268"/>
        </w:tabs>
        <w:suppressAutoHyphens/>
        <w:rPr>
          <w:spacing w:val="-3"/>
        </w:rPr>
      </w:pPr>
    </w:p>
    <w:p w14:paraId="2DE0DB1A" w14:textId="77777777" w:rsidR="005D7203" w:rsidRPr="00BD1319" w:rsidRDefault="005D7203" w:rsidP="00C86DA5">
      <w:pPr>
        <w:numPr>
          <w:ilvl w:val="0"/>
          <w:numId w:val="56"/>
        </w:numPr>
        <w:tabs>
          <w:tab w:val="left" w:pos="-2268"/>
        </w:tabs>
        <w:suppressAutoHyphens/>
        <w:ind w:left="567" w:hanging="567"/>
        <w:rPr>
          <w:spacing w:val="-3"/>
        </w:rPr>
      </w:pPr>
      <w:r w:rsidRPr="00BD1319">
        <w:rPr>
          <w:spacing w:val="-3"/>
        </w:rPr>
        <w:lastRenderedPageBreak/>
        <w:t>Necesidad de desvío de cauces.</w:t>
      </w:r>
    </w:p>
    <w:p w14:paraId="26424E36" w14:textId="77777777" w:rsidR="005D7203" w:rsidRPr="00BD1319" w:rsidRDefault="005D7203">
      <w:pPr>
        <w:tabs>
          <w:tab w:val="left" w:pos="-2268"/>
        </w:tabs>
        <w:suppressAutoHyphens/>
        <w:rPr>
          <w:spacing w:val="-3"/>
        </w:rPr>
      </w:pPr>
    </w:p>
    <w:p w14:paraId="58BF3852" w14:textId="6DD3FED2" w:rsidR="005D7203" w:rsidRPr="00BD1319" w:rsidRDefault="008B4F3A" w:rsidP="00C86DA5">
      <w:pPr>
        <w:numPr>
          <w:ilvl w:val="0"/>
          <w:numId w:val="56"/>
        </w:numPr>
        <w:tabs>
          <w:tab w:val="left" w:pos="-2268"/>
        </w:tabs>
        <w:suppressAutoHyphens/>
        <w:ind w:left="567" w:hanging="567"/>
        <w:rPr>
          <w:spacing w:val="-3"/>
        </w:rPr>
      </w:pPr>
      <w:r w:rsidRPr="00BD1319">
        <w:rPr>
          <w:spacing w:val="-3"/>
        </w:rPr>
        <w:t xml:space="preserve">Impacto </w:t>
      </w:r>
      <w:r w:rsidR="00913B6E" w:rsidRPr="00BD1319">
        <w:rPr>
          <w:spacing w:val="-3"/>
        </w:rPr>
        <w:t xml:space="preserve">potencial </w:t>
      </w:r>
      <w:r w:rsidR="007A4922" w:rsidRPr="00BD1319">
        <w:rPr>
          <w:spacing w:val="-3"/>
        </w:rPr>
        <w:t>a</w:t>
      </w:r>
      <w:r w:rsidR="00913B6E" w:rsidRPr="00BD1319">
        <w:rPr>
          <w:spacing w:val="-3"/>
        </w:rPr>
        <w:t xml:space="preserve"> z</w:t>
      </w:r>
      <w:r w:rsidR="005D7203" w:rsidRPr="00BD1319">
        <w:rPr>
          <w:spacing w:val="-3"/>
        </w:rPr>
        <w:t>onas susceptibles a eventos hidrometeorológicos y geológicos</w:t>
      </w:r>
      <w:r w:rsidR="00913B6E" w:rsidRPr="00BD1319">
        <w:rPr>
          <w:spacing w:val="-3"/>
        </w:rPr>
        <w:t xml:space="preserve"> amenazantes</w:t>
      </w:r>
      <w:r w:rsidR="005D7203" w:rsidRPr="00BD1319">
        <w:rPr>
          <w:spacing w:val="-3"/>
        </w:rPr>
        <w:t xml:space="preserve"> </w:t>
      </w:r>
      <w:r w:rsidR="00913B6E" w:rsidRPr="00BD1319">
        <w:rPr>
          <w:spacing w:val="-3"/>
        </w:rPr>
        <w:t>(</w:t>
      </w:r>
      <w:r w:rsidR="005D7203" w:rsidRPr="00BD1319">
        <w:rPr>
          <w:spacing w:val="-3"/>
        </w:rPr>
        <w:t>inundaciones, movimientos en masa, avenidas torrenciales, sismos, erupciones volcánicas, tsunamis, entre otros</w:t>
      </w:r>
      <w:r w:rsidR="00913B6E" w:rsidRPr="00BD1319">
        <w:rPr>
          <w:spacing w:val="-3"/>
        </w:rPr>
        <w:t>)</w:t>
      </w:r>
      <w:r w:rsidR="005D7203" w:rsidRPr="00BD1319">
        <w:rPr>
          <w:spacing w:val="-3"/>
        </w:rPr>
        <w:t>, en los ámbitos nacional, regional y local.</w:t>
      </w:r>
    </w:p>
    <w:p w14:paraId="3AE07F4D" w14:textId="77777777" w:rsidR="005D7203" w:rsidRPr="00BD1319" w:rsidRDefault="005D7203">
      <w:pPr>
        <w:tabs>
          <w:tab w:val="left" w:pos="-2268"/>
        </w:tabs>
        <w:suppressAutoHyphens/>
        <w:rPr>
          <w:spacing w:val="-3"/>
        </w:rPr>
      </w:pPr>
    </w:p>
    <w:p w14:paraId="25E9F3E9" w14:textId="52972A63" w:rsidR="008B4F3A" w:rsidRPr="00BD1319" w:rsidRDefault="008B4F3A">
      <w:pPr>
        <w:numPr>
          <w:ilvl w:val="0"/>
          <w:numId w:val="56"/>
        </w:numPr>
        <w:tabs>
          <w:tab w:val="left" w:pos="-2268"/>
        </w:tabs>
        <w:suppressAutoHyphens/>
        <w:ind w:left="567" w:hanging="567"/>
        <w:rPr>
          <w:spacing w:val="-3"/>
        </w:rPr>
      </w:pPr>
      <w:r w:rsidRPr="00BD1319">
        <w:rPr>
          <w:spacing w:val="-3"/>
        </w:rPr>
        <w:t xml:space="preserve">Impacto </w:t>
      </w:r>
      <w:r w:rsidR="00A759B9" w:rsidRPr="00BD1319">
        <w:rPr>
          <w:spacing w:val="-3"/>
        </w:rPr>
        <w:t xml:space="preserve">potencial </w:t>
      </w:r>
      <w:r w:rsidR="007A4922" w:rsidRPr="00BD1319">
        <w:rPr>
          <w:spacing w:val="-3"/>
        </w:rPr>
        <w:t>a</w:t>
      </w:r>
      <w:r w:rsidR="00A759B9" w:rsidRPr="00BD1319">
        <w:rPr>
          <w:spacing w:val="-3"/>
        </w:rPr>
        <w:t xml:space="preserve"> puntos hidrogeológicos de zonas de recarga y descarga de acuíferos</w:t>
      </w:r>
      <w:r w:rsidRPr="00BD1319">
        <w:rPr>
          <w:spacing w:val="-3"/>
        </w:rPr>
        <w:t>.</w:t>
      </w:r>
    </w:p>
    <w:p w14:paraId="1B3EEAD1" w14:textId="77777777" w:rsidR="008B4F3A" w:rsidRPr="00BD1319" w:rsidRDefault="008B4F3A" w:rsidP="008A4FE9">
      <w:pPr>
        <w:rPr>
          <w:spacing w:val="-3"/>
        </w:rPr>
      </w:pPr>
    </w:p>
    <w:p w14:paraId="4EE155A5" w14:textId="5942395E" w:rsidR="00A759B9" w:rsidRPr="00BD1319" w:rsidRDefault="008B4F3A">
      <w:pPr>
        <w:numPr>
          <w:ilvl w:val="0"/>
          <w:numId w:val="56"/>
        </w:numPr>
        <w:tabs>
          <w:tab w:val="left" w:pos="-2268"/>
        </w:tabs>
        <w:suppressAutoHyphens/>
        <w:ind w:left="567" w:hanging="567"/>
        <w:rPr>
          <w:spacing w:val="-3"/>
        </w:rPr>
      </w:pPr>
      <w:r w:rsidRPr="00BD1319">
        <w:rPr>
          <w:spacing w:val="-3"/>
        </w:rPr>
        <w:t>C</w:t>
      </w:r>
      <w:r w:rsidR="00A759B9" w:rsidRPr="00BD1319">
        <w:rPr>
          <w:spacing w:val="-3"/>
        </w:rPr>
        <w:t xml:space="preserve">ontaminación potencial </w:t>
      </w:r>
      <w:r w:rsidR="007A4922" w:rsidRPr="00BD1319">
        <w:rPr>
          <w:spacing w:val="-3"/>
        </w:rPr>
        <w:t>a</w:t>
      </w:r>
      <w:r w:rsidR="00A759B9" w:rsidRPr="00BD1319">
        <w:rPr>
          <w:spacing w:val="-3"/>
        </w:rPr>
        <w:t xml:space="preserve"> sistemas acuíferos.</w:t>
      </w:r>
    </w:p>
    <w:p w14:paraId="359F8232" w14:textId="77777777" w:rsidR="00A759B9" w:rsidRPr="00BD1319" w:rsidRDefault="00A759B9" w:rsidP="009420F5"/>
    <w:p w14:paraId="51807AD3" w14:textId="5C9FBA1E" w:rsidR="005D7203" w:rsidRPr="00BD1319" w:rsidRDefault="008B4F3A" w:rsidP="00C86DA5">
      <w:pPr>
        <w:numPr>
          <w:ilvl w:val="0"/>
          <w:numId w:val="56"/>
        </w:numPr>
        <w:tabs>
          <w:tab w:val="left" w:pos="-2268"/>
        </w:tabs>
        <w:suppressAutoHyphens/>
        <w:ind w:left="567" w:hanging="567"/>
        <w:rPr>
          <w:rFonts w:eastAsia="Arial"/>
          <w:spacing w:val="-3"/>
        </w:rPr>
      </w:pPr>
      <w:r w:rsidRPr="00BD1319">
        <w:t>Impacto potencial a á</w:t>
      </w:r>
      <w:r w:rsidR="005D7203" w:rsidRPr="00BD1319">
        <w:t xml:space="preserve">reas en recuperación ambiental o </w:t>
      </w:r>
      <w:r w:rsidRPr="00BD1319">
        <w:t xml:space="preserve">a áreas </w:t>
      </w:r>
      <w:r w:rsidR="005D7203" w:rsidRPr="00BD1319">
        <w:t>en las que se prevé adelantar acciones de recuperación ambiental.</w:t>
      </w:r>
    </w:p>
    <w:p w14:paraId="48F4BFED" w14:textId="77777777" w:rsidR="005D7203" w:rsidRPr="00BD1319" w:rsidRDefault="005D7203">
      <w:pPr>
        <w:tabs>
          <w:tab w:val="left" w:pos="-2268"/>
        </w:tabs>
        <w:suppressAutoHyphens/>
      </w:pPr>
    </w:p>
    <w:p w14:paraId="7073C7AD" w14:textId="76B3EB1C" w:rsidR="005D7203" w:rsidRPr="00BD1319" w:rsidRDefault="008B4F3A" w:rsidP="00C86DA5">
      <w:pPr>
        <w:numPr>
          <w:ilvl w:val="0"/>
          <w:numId w:val="56"/>
        </w:numPr>
        <w:tabs>
          <w:tab w:val="left" w:pos="-2268"/>
        </w:tabs>
        <w:suppressAutoHyphens/>
        <w:ind w:left="567" w:hanging="567"/>
        <w:rPr>
          <w:rFonts w:eastAsia="Arial"/>
          <w:spacing w:val="-3"/>
        </w:rPr>
      </w:pPr>
      <w:r w:rsidRPr="00BD1319">
        <w:t>Impacto potencial a á</w:t>
      </w:r>
      <w:r w:rsidR="005D7203" w:rsidRPr="00BD1319">
        <w:t>reas afectadas por erosión costera.</w:t>
      </w:r>
    </w:p>
    <w:p w14:paraId="24C03D39" w14:textId="77777777" w:rsidR="005D7203" w:rsidRPr="00BD1319" w:rsidRDefault="005D7203">
      <w:pPr>
        <w:tabs>
          <w:tab w:val="left" w:pos="-2268"/>
        </w:tabs>
        <w:suppressAutoHyphens/>
        <w:rPr>
          <w:spacing w:val="-3"/>
        </w:rPr>
      </w:pPr>
    </w:p>
    <w:p w14:paraId="7DF97378" w14:textId="58C875CC" w:rsidR="005D7203" w:rsidRPr="00BD1319" w:rsidRDefault="00156B76" w:rsidP="00C86DA5">
      <w:pPr>
        <w:numPr>
          <w:ilvl w:val="0"/>
          <w:numId w:val="56"/>
        </w:numPr>
        <w:tabs>
          <w:tab w:val="left" w:pos="-2268"/>
        </w:tabs>
        <w:suppressAutoHyphens/>
        <w:ind w:left="567" w:hanging="567"/>
        <w:rPr>
          <w:spacing w:val="-3"/>
        </w:rPr>
      </w:pPr>
      <w:r w:rsidRPr="00BD1319">
        <w:rPr>
          <w:spacing w:val="-3"/>
        </w:rPr>
        <w:t>Impacto</w:t>
      </w:r>
      <w:r w:rsidR="008B4F3A" w:rsidRPr="00BD1319">
        <w:rPr>
          <w:spacing w:val="-3"/>
        </w:rPr>
        <w:t xml:space="preserve"> potencial </w:t>
      </w:r>
      <w:r w:rsidRPr="00BD1319">
        <w:rPr>
          <w:spacing w:val="-3"/>
        </w:rPr>
        <w:t>a</w:t>
      </w:r>
      <w:r w:rsidR="00D61208" w:rsidRPr="00BD1319">
        <w:rPr>
          <w:spacing w:val="-3"/>
        </w:rPr>
        <w:t xml:space="preserve"> </w:t>
      </w:r>
      <w:r w:rsidRPr="00BD1319">
        <w:rPr>
          <w:spacing w:val="-3"/>
        </w:rPr>
        <w:t>los usos del</w:t>
      </w:r>
      <w:r w:rsidR="00AA591E" w:rsidRPr="00BD1319">
        <w:rPr>
          <w:spacing w:val="-3"/>
        </w:rPr>
        <w:t xml:space="preserve"> suelo</w:t>
      </w:r>
      <w:r w:rsidRPr="00BD1319">
        <w:rPr>
          <w:spacing w:val="-3"/>
        </w:rPr>
        <w:t>. Es posible emplear la s</w:t>
      </w:r>
      <w:r w:rsidR="005D7203" w:rsidRPr="00BD1319">
        <w:rPr>
          <w:spacing w:val="-3"/>
        </w:rPr>
        <w:t>uperficie</w:t>
      </w:r>
      <w:r w:rsidRPr="00BD1319">
        <w:rPr>
          <w:spacing w:val="-3"/>
        </w:rPr>
        <w:t xml:space="preserve"> </w:t>
      </w:r>
      <w:r w:rsidR="005D7203" w:rsidRPr="00BD1319">
        <w:rPr>
          <w:spacing w:val="-3"/>
        </w:rPr>
        <w:t>según usos del suelo.</w:t>
      </w:r>
    </w:p>
    <w:p w14:paraId="65CFB289" w14:textId="77777777" w:rsidR="005D7203" w:rsidRPr="00BD1319" w:rsidRDefault="005D7203">
      <w:pPr>
        <w:tabs>
          <w:tab w:val="left" w:pos="-2268"/>
        </w:tabs>
        <w:suppressAutoHyphens/>
        <w:rPr>
          <w:spacing w:val="-3"/>
        </w:rPr>
      </w:pPr>
    </w:p>
    <w:p w14:paraId="6C0119FE" w14:textId="6A367C9A" w:rsidR="005D7203" w:rsidRPr="00BD1319" w:rsidRDefault="00156B76" w:rsidP="00C86DA5">
      <w:pPr>
        <w:numPr>
          <w:ilvl w:val="0"/>
          <w:numId w:val="56"/>
        </w:numPr>
        <w:tabs>
          <w:tab w:val="left" w:pos="-2268"/>
        </w:tabs>
        <w:suppressAutoHyphens/>
        <w:ind w:left="567" w:hanging="567"/>
        <w:rPr>
          <w:spacing w:val="-3"/>
        </w:rPr>
      </w:pPr>
      <w:r w:rsidRPr="00BD1319">
        <w:rPr>
          <w:spacing w:val="-3"/>
        </w:rPr>
        <w:t>Impacto</w:t>
      </w:r>
      <w:r w:rsidR="003179B7" w:rsidRPr="00BD1319">
        <w:rPr>
          <w:spacing w:val="-3"/>
        </w:rPr>
        <w:t xml:space="preserve"> potencial </w:t>
      </w:r>
      <w:r w:rsidRPr="00BD1319">
        <w:rPr>
          <w:spacing w:val="-3"/>
        </w:rPr>
        <w:t xml:space="preserve">a </w:t>
      </w:r>
      <w:r w:rsidR="005D7203" w:rsidRPr="00BD1319">
        <w:rPr>
          <w:spacing w:val="-3"/>
        </w:rPr>
        <w:t xml:space="preserve">suelos de clases agrológicas </w:t>
      </w:r>
      <w:r w:rsidR="007D7F99" w:rsidRPr="00BD1319">
        <w:rPr>
          <w:spacing w:val="-3"/>
        </w:rPr>
        <w:t xml:space="preserve">I, </w:t>
      </w:r>
      <w:r w:rsidR="005D7203" w:rsidRPr="00BD1319">
        <w:rPr>
          <w:spacing w:val="-3"/>
        </w:rPr>
        <w:t>II, III y IV.</w:t>
      </w:r>
    </w:p>
    <w:p w14:paraId="014F1884" w14:textId="77777777" w:rsidR="005D7203" w:rsidRPr="00BD1319" w:rsidRDefault="005D7203">
      <w:pPr>
        <w:tabs>
          <w:tab w:val="left" w:pos="-2268"/>
        </w:tabs>
        <w:suppressAutoHyphens/>
        <w:rPr>
          <w:spacing w:val="-3"/>
        </w:rPr>
      </w:pPr>
    </w:p>
    <w:p w14:paraId="526C4184" w14:textId="47571A9A" w:rsidR="005D7203" w:rsidRPr="00BD1319" w:rsidRDefault="003179B7" w:rsidP="00C86DA5">
      <w:pPr>
        <w:numPr>
          <w:ilvl w:val="0"/>
          <w:numId w:val="56"/>
        </w:numPr>
        <w:tabs>
          <w:tab w:val="left" w:pos="-2268"/>
        </w:tabs>
        <w:suppressAutoHyphens/>
        <w:ind w:left="567" w:hanging="567"/>
        <w:rPr>
          <w:rFonts w:eastAsia="Arial"/>
          <w:spacing w:val="-3"/>
        </w:rPr>
      </w:pPr>
      <w:r w:rsidRPr="00BD1319">
        <w:t>Impacto potencial a á</w:t>
      </w:r>
      <w:r w:rsidR="005D7203" w:rsidRPr="00BD1319">
        <w:t xml:space="preserve">reas con suelos con potencial o con procesos activos de degradación </w:t>
      </w:r>
      <w:r w:rsidR="007D7F99" w:rsidRPr="00BD1319">
        <w:t>(erosión y salinización)</w:t>
      </w:r>
      <w:r w:rsidR="005D7203" w:rsidRPr="00BD1319">
        <w:t>.</w:t>
      </w:r>
    </w:p>
    <w:p w14:paraId="1E1A3C53" w14:textId="77777777" w:rsidR="005D7203" w:rsidRPr="00BD1319" w:rsidRDefault="005D7203">
      <w:pPr>
        <w:tabs>
          <w:tab w:val="left" w:pos="-2268"/>
        </w:tabs>
        <w:suppressAutoHyphens/>
      </w:pPr>
    </w:p>
    <w:p w14:paraId="2E4F0039" w14:textId="73A46D0B" w:rsidR="005D7203" w:rsidRPr="00BD1319" w:rsidRDefault="005F055A" w:rsidP="00C86DA5">
      <w:pPr>
        <w:numPr>
          <w:ilvl w:val="0"/>
          <w:numId w:val="56"/>
        </w:numPr>
        <w:tabs>
          <w:tab w:val="left" w:pos="-2268"/>
        </w:tabs>
        <w:suppressAutoHyphens/>
        <w:ind w:left="567" w:hanging="567"/>
        <w:rPr>
          <w:rFonts w:eastAsia="Arial"/>
          <w:spacing w:val="-3"/>
        </w:rPr>
      </w:pPr>
      <w:r w:rsidRPr="00BD1319">
        <w:t xml:space="preserve">Potencial </w:t>
      </w:r>
      <w:r w:rsidR="007A4922" w:rsidRPr="00BD1319">
        <w:t xml:space="preserve">generación o </w:t>
      </w:r>
      <w:r w:rsidRPr="00BD1319">
        <w:t xml:space="preserve">dinamización de </w:t>
      </w:r>
      <w:r w:rsidR="005D7203" w:rsidRPr="00BD1319">
        <w:t>conflictos por uso del suelo.</w:t>
      </w:r>
    </w:p>
    <w:p w14:paraId="36256A78" w14:textId="77777777" w:rsidR="007D7F99" w:rsidRPr="00BD1319" w:rsidRDefault="007D7F99" w:rsidP="0082127E">
      <w:pPr>
        <w:rPr>
          <w:rFonts w:eastAsia="Arial"/>
          <w:spacing w:val="-3"/>
        </w:rPr>
      </w:pPr>
    </w:p>
    <w:p w14:paraId="214A89AD" w14:textId="05F83CCE" w:rsidR="00A80BBD" w:rsidRPr="00BD1319" w:rsidRDefault="005F055A" w:rsidP="00A80BBD">
      <w:pPr>
        <w:numPr>
          <w:ilvl w:val="0"/>
          <w:numId w:val="56"/>
        </w:numPr>
        <w:tabs>
          <w:tab w:val="left" w:pos="-2268"/>
        </w:tabs>
        <w:suppressAutoHyphens/>
        <w:ind w:left="567" w:hanging="567"/>
        <w:rPr>
          <w:rFonts w:eastAsia="Arial"/>
          <w:spacing w:val="-3"/>
        </w:rPr>
      </w:pPr>
      <w:r w:rsidRPr="00BD1319">
        <w:t xml:space="preserve">Potencial </w:t>
      </w:r>
      <w:r w:rsidR="007A4922" w:rsidRPr="00BD1319">
        <w:t xml:space="preserve">generación o </w:t>
      </w:r>
      <w:r w:rsidRPr="00BD1319">
        <w:t xml:space="preserve">dinamización de </w:t>
      </w:r>
      <w:r w:rsidR="00A80BBD" w:rsidRPr="00BD1319">
        <w:rPr>
          <w:rFonts w:eastAsia="Arial"/>
          <w:spacing w:val="-3"/>
        </w:rPr>
        <w:t>conflicto</w:t>
      </w:r>
      <w:r w:rsidRPr="00BD1319">
        <w:rPr>
          <w:rFonts w:eastAsia="Arial"/>
          <w:spacing w:val="-3"/>
        </w:rPr>
        <w:t>s</w:t>
      </w:r>
      <w:r w:rsidR="00A80BBD" w:rsidRPr="00BD1319">
        <w:rPr>
          <w:rFonts w:eastAsia="Arial"/>
          <w:spacing w:val="-3"/>
        </w:rPr>
        <w:t xml:space="preserve"> ambiental</w:t>
      </w:r>
      <w:r w:rsidRPr="00BD1319">
        <w:rPr>
          <w:rFonts w:eastAsia="Arial"/>
          <w:spacing w:val="-3"/>
        </w:rPr>
        <w:t>es</w:t>
      </w:r>
      <w:r w:rsidR="00A80BBD" w:rsidRPr="00BD1319">
        <w:rPr>
          <w:rFonts w:eastAsia="Arial"/>
          <w:spacing w:val="-3"/>
        </w:rPr>
        <w:t xml:space="preserve"> por el uso de las tierras.</w:t>
      </w:r>
    </w:p>
    <w:p w14:paraId="27C84B39" w14:textId="77777777" w:rsidR="005D7203" w:rsidRPr="00BD1319" w:rsidRDefault="005D7203">
      <w:pPr>
        <w:tabs>
          <w:tab w:val="left" w:pos="-2268"/>
        </w:tabs>
        <w:suppressAutoHyphens/>
        <w:rPr>
          <w:spacing w:val="-3"/>
        </w:rPr>
      </w:pPr>
    </w:p>
    <w:p w14:paraId="49FA8C3E" w14:textId="652BB2FF" w:rsidR="005D7203" w:rsidRPr="00BD1319" w:rsidRDefault="00422AAB" w:rsidP="00C86DA5">
      <w:pPr>
        <w:numPr>
          <w:ilvl w:val="0"/>
          <w:numId w:val="56"/>
        </w:numPr>
        <w:tabs>
          <w:tab w:val="left" w:pos="-2268"/>
        </w:tabs>
        <w:suppressAutoHyphens/>
        <w:ind w:left="567" w:hanging="567"/>
        <w:rPr>
          <w:spacing w:val="-3"/>
        </w:rPr>
      </w:pPr>
      <w:r w:rsidRPr="00BD1319">
        <w:rPr>
          <w:spacing w:val="-3"/>
        </w:rPr>
        <w:t xml:space="preserve">Impacto </w:t>
      </w:r>
      <w:r w:rsidR="005D7203" w:rsidRPr="00BD1319">
        <w:rPr>
          <w:spacing w:val="-3"/>
        </w:rPr>
        <w:t xml:space="preserve">potencial de vertimientos </w:t>
      </w:r>
      <w:r w:rsidRPr="00BD1319">
        <w:rPr>
          <w:spacing w:val="-3"/>
        </w:rPr>
        <w:t>a</w:t>
      </w:r>
      <w:r w:rsidR="005D7203" w:rsidRPr="00BD1319">
        <w:rPr>
          <w:spacing w:val="-3"/>
        </w:rPr>
        <w:t>l recurso hídrico en áreas continentales e insulares (superficial y subterráneo) en términos de calidad y cantidad.</w:t>
      </w:r>
    </w:p>
    <w:p w14:paraId="2BE30BC1" w14:textId="77777777" w:rsidR="005D7203" w:rsidRPr="00BD1319" w:rsidRDefault="005D7203">
      <w:pPr>
        <w:tabs>
          <w:tab w:val="left" w:pos="-2268"/>
        </w:tabs>
        <w:suppressAutoHyphens/>
        <w:rPr>
          <w:spacing w:val="-3"/>
        </w:rPr>
      </w:pPr>
    </w:p>
    <w:p w14:paraId="4046ADCD" w14:textId="587ED0BA" w:rsidR="005D7203" w:rsidRPr="00BD1319" w:rsidRDefault="00422AAB" w:rsidP="00C86DA5">
      <w:pPr>
        <w:numPr>
          <w:ilvl w:val="0"/>
          <w:numId w:val="56"/>
        </w:numPr>
        <w:tabs>
          <w:tab w:val="left" w:pos="-2268"/>
        </w:tabs>
        <w:suppressAutoHyphens/>
        <w:ind w:left="567" w:hanging="567"/>
        <w:rPr>
          <w:spacing w:val="-3"/>
        </w:rPr>
      </w:pPr>
      <w:r w:rsidRPr="00BD1319">
        <w:rPr>
          <w:spacing w:val="-3"/>
        </w:rPr>
        <w:t>Impacto potencial a</w:t>
      </w:r>
      <w:r w:rsidR="005D7203" w:rsidRPr="00BD1319">
        <w:rPr>
          <w:spacing w:val="-3"/>
        </w:rPr>
        <w:t>l recurso hídrico marino en términos de calidad y cantidad.</w:t>
      </w:r>
    </w:p>
    <w:p w14:paraId="72865E45" w14:textId="77777777" w:rsidR="005D7203" w:rsidRPr="00BD1319" w:rsidRDefault="005D7203">
      <w:pPr>
        <w:tabs>
          <w:tab w:val="left" w:pos="-2268"/>
        </w:tabs>
        <w:suppressAutoHyphens/>
        <w:rPr>
          <w:spacing w:val="-3"/>
        </w:rPr>
      </w:pPr>
    </w:p>
    <w:p w14:paraId="0BB550E3" w14:textId="45760B71" w:rsidR="005D7203" w:rsidRPr="00BD1319" w:rsidRDefault="00D3146C" w:rsidP="00C86DA5">
      <w:pPr>
        <w:pStyle w:val="Prrafodelista"/>
        <w:numPr>
          <w:ilvl w:val="0"/>
          <w:numId w:val="56"/>
        </w:numPr>
        <w:ind w:left="567" w:hanging="567"/>
        <w:rPr>
          <w:rFonts w:cs="Arial"/>
          <w:spacing w:val="-3"/>
          <w:lang w:val="es-CO"/>
        </w:rPr>
      </w:pPr>
      <w:r w:rsidRPr="00BD1319">
        <w:rPr>
          <w:rFonts w:cs="Arial"/>
          <w:spacing w:val="-3"/>
          <w:lang w:val="es-CO"/>
        </w:rPr>
        <w:t xml:space="preserve">Cantidad </w:t>
      </w:r>
      <w:r w:rsidR="005D7203" w:rsidRPr="00BD1319">
        <w:rPr>
          <w:rFonts w:cs="Arial"/>
          <w:spacing w:val="-3"/>
          <w:lang w:val="es-CO"/>
        </w:rPr>
        <w:t xml:space="preserve">de receptores </w:t>
      </w:r>
      <w:r w:rsidRPr="00BD1319">
        <w:rPr>
          <w:rFonts w:cs="Arial"/>
          <w:spacing w:val="-3"/>
          <w:lang w:val="es-CO"/>
        </w:rPr>
        <w:t xml:space="preserve">(humanos y de otra clase) </w:t>
      </w:r>
      <w:r w:rsidR="005D7203" w:rsidRPr="00BD1319">
        <w:rPr>
          <w:rFonts w:cs="Arial"/>
          <w:spacing w:val="-3"/>
          <w:lang w:val="es-CO"/>
        </w:rPr>
        <w:t>de emisiones atmosféricas y ruido en zonas agropecuarias y en áreas con elementos naturales susceptibles.</w:t>
      </w:r>
    </w:p>
    <w:p w14:paraId="45ECB8CE" w14:textId="77777777" w:rsidR="005D7203" w:rsidRPr="00BD1319" w:rsidRDefault="005D7203">
      <w:pPr>
        <w:rPr>
          <w:spacing w:val="-3"/>
        </w:rPr>
      </w:pPr>
    </w:p>
    <w:p w14:paraId="257A9459" w14:textId="7C9319D1" w:rsidR="005D7203" w:rsidRPr="00BD1319" w:rsidRDefault="005D7203" w:rsidP="00C86DA5">
      <w:pPr>
        <w:pStyle w:val="Prrafodelista"/>
        <w:numPr>
          <w:ilvl w:val="0"/>
          <w:numId w:val="56"/>
        </w:numPr>
        <w:ind w:left="567" w:hanging="567"/>
        <w:rPr>
          <w:rFonts w:cs="Arial"/>
          <w:spacing w:val="-3"/>
          <w:lang w:val="es-CO"/>
        </w:rPr>
      </w:pPr>
      <w:r w:rsidRPr="00BD1319">
        <w:rPr>
          <w:rFonts w:cs="Arial"/>
          <w:spacing w:val="-3"/>
          <w:lang w:val="es-CO"/>
        </w:rPr>
        <w:t>Distanciamiento de receptores (humanos y de otra clase</w:t>
      </w:r>
      <w:r w:rsidR="000F5D36" w:rsidRPr="00BD1319">
        <w:rPr>
          <w:rFonts w:cs="Arial"/>
          <w:spacing w:val="-3"/>
          <w:lang w:val="es-CO"/>
        </w:rPr>
        <w:t xml:space="preserve">) </w:t>
      </w:r>
      <w:r w:rsidRPr="00BD1319">
        <w:rPr>
          <w:rFonts w:cs="Arial"/>
          <w:spacing w:val="-3"/>
          <w:lang w:val="es-CO"/>
        </w:rPr>
        <w:t>de contaminación atmosférica (aire y ruido)</w:t>
      </w:r>
      <w:r w:rsidR="000F5D36" w:rsidRPr="00BD1319">
        <w:rPr>
          <w:rFonts w:cs="Arial"/>
          <w:spacing w:val="-3"/>
          <w:lang w:val="es-CO"/>
        </w:rPr>
        <w:t xml:space="preserve"> en zonas agropecuarias y en áreas con elementos naturales susceptibles).</w:t>
      </w:r>
    </w:p>
    <w:p w14:paraId="34050C12" w14:textId="77777777" w:rsidR="00A10950" w:rsidRPr="00BD1319" w:rsidRDefault="00A10950" w:rsidP="008A4FE9">
      <w:pPr>
        <w:rPr>
          <w:rFonts w:cs="Arial"/>
          <w:spacing w:val="-3"/>
        </w:rPr>
      </w:pPr>
    </w:p>
    <w:p w14:paraId="08F68D40" w14:textId="381D6A11" w:rsidR="005D7203" w:rsidRPr="00BD1319" w:rsidRDefault="005D7203" w:rsidP="00216955">
      <w:pPr>
        <w:pStyle w:val="Ttulo3"/>
      </w:pPr>
      <w:bookmarkStart w:id="2403" w:name="_Toc153811789"/>
      <w:bookmarkStart w:id="2404" w:name="_Toc153812002"/>
      <w:bookmarkStart w:id="2405" w:name="_Toc153812407"/>
      <w:bookmarkStart w:id="2406" w:name="_Toc153817443"/>
      <w:bookmarkStart w:id="2407" w:name="_Toc158907117"/>
      <w:bookmarkStart w:id="2408" w:name="_Toc159826117"/>
      <w:bookmarkStart w:id="2409" w:name="_Toc159826551"/>
      <w:bookmarkStart w:id="2410" w:name="_Toc175326381"/>
      <w:bookmarkStart w:id="2411" w:name="_Toc153811790"/>
      <w:bookmarkStart w:id="2412" w:name="_Toc153812003"/>
      <w:bookmarkStart w:id="2413" w:name="_Toc153812408"/>
      <w:bookmarkStart w:id="2414" w:name="_Toc158907118"/>
      <w:bookmarkStart w:id="2415" w:name="_Toc159826118"/>
      <w:bookmarkStart w:id="2416" w:name="_Toc159826552"/>
      <w:bookmarkStart w:id="2417" w:name="_Toc175326382"/>
      <w:bookmarkStart w:id="2418" w:name="_Toc153811791"/>
      <w:bookmarkStart w:id="2419" w:name="_Toc153812004"/>
      <w:bookmarkStart w:id="2420" w:name="_Toc153812409"/>
      <w:bookmarkStart w:id="2421" w:name="_Toc153817445"/>
      <w:bookmarkStart w:id="2422" w:name="_Toc158907119"/>
      <w:bookmarkStart w:id="2423" w:name="_Toc159826119"/>
      <w:bookmarkStart w:id="2424" w:name="_Toc159826553"/>
      <w:bookmarkStart w:id="2425" w:name="_Toc175326383"/>
      <w:bookmarkStart w:id="2426" w:name="_Toc153811792"/>
      <w:bookmarkStart w:id="2427" w:name="_Toc153812005"/>
      <w:bookmarkStart w:id="2428" w:name="_Toc153812410"/>
      <w:bookmarkStart w:id="2429" w:name="_Toc158907120"/>
      <w:bookmarkStart w:id="2430" w:name="_Toc159826120"/>
      <w:bookmarkStart w:id="2431" w:name="_Toc159826554"/>
      <w:bookmarkStart w:id="2432" w:name="_Toc175326384"/>
      <w:bookmarkStart w:id="2433" w:name="_Toc153811793"/>
      <w:bookmarkStart w:id="2434" w:name="_Toc153812006"/>
      <w:bookmarkStart w:id="2435" w:name="_Toc153812411"/>
      <w:bookmarkStart w:id="2436" w:name="_Toc153817447"/>
      <w:bookmarkStart w:id="2437" w:name="_Toc158907121"/>
      <w:bookmarkStart w:id="2438" w:name="_Toc159826121"/>
      <w:bookmarkStart w:id="2439" w:name="_Toc159826555"/>
      <w:bookmarkStart w:id="2440" w:name="_Toc175326385"/>
      <w:bookmarkStart w:id="2441" w:name="_Toc153811794"/>
      <w:bookmarkStart w:id="2442" w:name="_Toc153812007"/>
      <w:bookmarkStart w:id="2443" w:name="_Toc153812412"/>
      <w:bookmarkStart w:id="2444" w:name="_Toc158907122"/>
      <w:bookmarkStart w:id="2445" w:name="_Toc159826122"/>
      <w:bookmarkStart w:id="2446" w:name="_Toc159826556"/>
      <w:bookmarkStart w:id="2447" w:name="_Toc175326386"/>
      <w:bookmarkStart w:id="2448" w:name="_Toc153811795"/>
      <w:bookmarkStart w:id="2449" w:name="_Toc153812008"/>
      <w:bookmarkStart w:id="2450" w:name="_Toc153812413"/>
      <w:bookmarkStart w:id="2451" w:name="_Toc153817449"/>
      <w:bookmarkStart w:id="2452" w:name="_Toc158907123"/>
      <w:bookmarkStart w:id="2453" w:name="_Toc159826123"/>
      <w:bookmarkStart w:id="2454" w:name="_Toc159826557"/>
      <w:bookmarkStart w:id="2455" w:name="_Toc175326387"/>
      <w:bookmarkStart w:id="2456" w:name="_Toc153811796"/>
      <w:bookmarkStart w:id="2457" w:name="_Toc153812009"/>
      <w:bookmarkStart w:id="2458" w:name="_Toc153812414"/>
      <w:bookmarkStart w:id="2459" w:name="_Toc158907124"/>
      <w:bookmarkStart w:id="2460" w:name="_Toc159826124"/>
      <w:bookmarkStart w:id="2461" w:name="_Toc159826558"/>
      <w:bookmarkStart w:id="2462" w:name="_Toc175326388"/>
      <w:bookmarkStart w:id="2463" w:name="_Toc153811797"/>
      <w:bookmarkStart w:id="2464" w:name="_Toc153812010"/>
      <w:bookmarkStart w:id="2465" w:name="_Toc153812415"/>
      <w:bookmarkStart w:id="2466" w:name="_Toc153817451"/>
      <w:bookmarkStart w:id="2467" w:name="_Toc158907125"/>
      <w:bookmarkStart w:id="2468" w:name="_Toc159826125"/>
      <w:bookmarkStart w:id="2469" w:name="_Toc159826559"/>
      <w:bookmarkStart w:id="2470" w:name="_Toc175326389"/>
      <w:bookmarkStart w:id="2471" w:name="_Toc43485672"/>
      <w:bookmarkStart w:id="2472" w:name="_Toc437936002"/>
      <w:bookmarkStart w:id="2473" w:name="_Toc42779207"/>
      <w:bookmarkStart w:id="2474" w:name="_Toc175326735"/>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r w:rsidRPr="00BD1319">
        <w:lastRenderedPageBreak/>
        <w:t xml:space="preserve">Criterios </w:t>
      </w:r>
      <w:bookmarkEnd w:id="2472"/>
      <w:bookmarkEnd w:id="2473"/>
      <w:r w:rsidR="005F1E0B" w:rsidRPr="00BD1319">
        <w:t>relacionados con el medio biótico</w:t>
      </w:r>
      <w:bookmarkEnd w:id="2474"/>
    </w:p>
    <w:p w14:paraId="75957736" w14:textId="77777777" w:rsidR="005D7203" w:rsidRPr="00BD1319" w:rsidRDefault="005D7203">
      <w:pPr>
        <w:numPr>
          <w:ilvl w:val="12"/>
          <w:numId w:val="0"/>
        </w:numPr>
        <w:tabs>
          <w:tab w:val="left" w:pos="-2268"/>
        </w:tabs>
        <w:suppressAutoHyphens/>
        <w:rPr>
          <w:spacing w:val="-3"/>
        </w:rPr>
      </w:pPr>
    </w:p>
    <w:p w14:paraId="148AAC3F" w14:textId="2A8FFD90" w:rsidR="005D7203" w:rsidRPr="00BD1319" w:rsidRDefault="001F2DF5" w:rsidP="00C86DA5">
      <w:pPr>
        <w:numPr>
          <w:ilvl w:val="0"/>
          <w:numId w:val="56"/>
        </w:numPr>
        <w:tabs>
          <w:tab w:val="left" w:pos="-2268"/>
        </w:tabs>
        <w:suppressAutoHyphens/>
        <w:ind w:left="567" w:hanging="567"/>
        <w:rPr>
          <w:spacing w:val="-3"/>
        </w:rPr>
      </w:pPr>
      <w:r w:rsidRPr="00BD1319">
        <w:t>Impacto potencial a</w:t>
      </w:r>
      <w:r w:rsidR="00167AED" w:rsidRPr="00BD1319">
        <w:t xml:space="preserve"> </w:t>
      </w:r>
      <w:r w:rsidR="0086126A" w:rsidRPr="00BD1319">
        <w:t>Áreas Ambientales Estratégicas</w:t>
      </w:r>
      <w:r w:rsidRPr="00BD1319">
        <w:t xml:space="preserve"> (</w:t>
      </w:r>
      <w:r w:rsidR="0086126A" w:rsidRPr="00BD1319">
        <w:t>AAE</w:t>
      </w:r>
      <w:r w:rsidRPr="00BD1319">
        <w:t xml:space="preserve">) (ver </w:t>
      </w:r>
      <w:r w:rsidRPr="00BD1319">
        <w:rPr>
          <w:rFonts w:cs="Arial"/>
          <w:spacing w:val="-3"/>
        </w:rPr>
        <w:fldChar w:fldCharType="begin"/>
      </w:r>
      <w:r w:rsidRPr="00BD1319">
        <w:rPr>
          <w:rFonts w:cs="Arial"/>
          <w:spacing w:val="-3"/>
        </w:rPr>
        <w:instrText xml:space="preserve"> REF _Ref72829375 \h  \* MERGEFORMAT </w:instrText>
      </w:r>
      <w:r w:rsidRPr="00BD1319">
        <w:rPr>
          <w:rFonts w:cs="Arial"/>
          <w:spacing w:val="-3"/>
        </w:rPr>
      </w:r>
      <w:r w:rsidRPr="00BD1319">
        <w:rPr>
          <w:rFonts w:cs="Arial"/>
          <w:spacing w:val="-3"/>
        </w:rPr>
        <w:fldChar w:fldCharType="separate"/>
      </w:r>
      <w:r w:rsidR="00296654" w:rsidRPr="00BD1319">
        <w:t>Tabla 12</w:t>
      </w:r>
      <w:r w:rsidRPr="00BD1319">
        <w:rPr>
          <w:rFonts w:cs="Arial"/>
          <w:spacing w:val="-3"/>
        </w:rPr>
        <w:fldChar w:fldCharType="end"/>
      </w:r>
      <w:r w:rsidRPr="00BD1319">
        <w:t xml:space="preserve">) y a </w:t>
      </w:r>
      <w:r w:rsidR="00167AED" w:rsidRPr="00BD1319">
        <w:t xml:space="preserve">áreas </w:t>
      </w:r>
      <w:r w:rsidR="005D7203" w:rsidRPr="00BD1319">
        <w:t>de manejo especial del orden nacional y regional</w:t>
      </w:r>
      <w:r w:rsidR="00167AED" w:rsidRPr="00BD1319">
        <w:t xml:space="preserve">, </w:t>
      </w:r>
      <w:r w:rsidRPr="00BD1319">
        <w:t>considerando especialmente sus</w:t>
      </w:r>
      <w:r w:rsidR="00167AED" w:rsidRPr="00BD1319">
        <w:t xml:space="preserve"> </w:t>
      </w:r>
      <w:r w:rsidRPr="00BD1319">
        <w:t>áreas de exclusión, en caso de estar definidas</w:t>
      </w:r>
      <w:r w:rsidR="0012566C" w:rsidRPr="00BD1319">
        <w:t xml:space="preserve">, así como </w:t>
      </w:r>
      <w:r w:rsidR="0012566C" w:rsidRPr="00BD1319">
        <w:rPr>
          <w:spacing w:val="-3"/>
        </w:rPr>
        <w:t>los o</w:t>
      </w:r>
      <w:r w:rsidR="005D7203" w:rsidRPr="00BD1319">
        <w:rPr>
          <w:spacing w:val="-3"/>
        </w:rPr>
        <w:t xml:space="preserve">bjetivos </w:t>
      </w:r>
      <w:r w:rsidR="001935E7" w:rsidRPr="00BD1319">
        <w:rPr>
          <w:spacing w:val="-3"/>
        </w:rPr>
        <w:t xml:space="preserve">y valores objeto de conservación </w:t>
      </w:r>
      <w:r w:rsidR="005D7203" w:rsidRPr="00BD1319">
        <w:rPr>
          <w:spacing w:val="-3"/>
        </w:rPr>
        <w:t xml:space="preserve">de las áreas protegidas del </w:t>
      </w:r>
      <w:proofErr w:type="spellStart"/>
      <w:r w:rsidR="00830E19" w:rsidRPr="00BD1319">
        <w:rPr>
          <w:spacing w:val="-3"/>
        </w:rPr>
        <w:t>Sinap</w:t>
      </w:r>
      <w:proofErr w:type="spellEnd"/>
      <w:r w:rsidR="005D7203" w:rsidRPr="00BD1319">
        <w:rPr>
          <w:spacing w:val="-3"/>
        </w:rPr>
        <w:t>.</w:t>
      </w:r>
    </w:p>
    <w:p w14:paraId="26FEB1D0" w14:textId="77777777" w:rsidR="005D7203" w:rsidRPr="00BD1319" w:rsidRDefault="005D7203">
      <w:pPr>
        <w:tabs>
          <w:tab w:val="left" w:pos="-2268"/>
        </w:tabs>
        <w:suppressAutoHyphens/>
        <w:rPr>
          <w:spacing w:val="-3"/>
        </w:rPr>
      </w:pPr>
    </w:p>
    <w:p w14:paraId="13F8475A" w14:textId="2EADBD20" w:rsidR="005D7203" w:rsidRPr="00BD1319" w:rsidRDefault="00B70CAA" w:rsidP="00C86DA5">
      <w:pPr>
        <w:numPr>
          <w:ilvl w:val="0"/>
          <w:numId w:val="56"/>
        </w:numPr>
        <w:tabs>
          <w:tab w:val="left" w:pos="-2268"/>
        </w:tabs>
        <w:suppressAutoHyphens/>
        <w:ind w:left="567" w:hanging="567"/>
        <w:rPr>
          <w:spacing w:val="-3"/>
        </w:rPr>
      </w:pPr>
      <w:r w:rsidRPr="00BD1319">
        <w:rPr>
          <w:spacing w:val="-3"/>
        </w:rPr>
        <w:t xml:space="preserve">Impacto potencial a </w:t>
      </w:r>
      <w:r w:rsidR="00C25B26" w:rsidRPr="00BD1319">
        <w:rPr>
          <w:spacing w:val="-3"/>
        </w:rPr>
        <w:t xml:space="preserve">zonas de paso de especies migratorias y </w:t>
      </w:r>
      <w:r w:rsidRPr="00BD1319">
        <w:rPr>
          <w:spacing w:val="-3"/>
        </w:rPr>
        <w:t>a</w:t>
      </w:r>
      <w:r w:rsidR="00C25B26" w:rsidRPr="00BD1319">
        <w:rPr>
          <w:spacing w:val="-3"/>
        </w:rPr>
        <w:t xml:space="preserve"> </w:t>
      </w:r>
      <w:r w:rsidR="005D7203" w:rsidRPr="00BD1319">
        <w:rPr>
          <w:spacing w:val="-3"/>
        </w:rPr>
        <w:t xml:space="preserve">áreas de importancia para </w:t>
      </w:r>
      <w:r w:rsidR="001935E7" w:rsidRPr="00BD1319">
        <w:rPr>
          <w:spacing w:val="-3"/>
        </w:rPr>
        <w:t xml:space="preserve">la </w:t>
      </w:r>
      <w:r w:rsidR="005D7203" w:rsidRPr="00BD1319">
        <w:rPr>
          <w:spacing w:val="-3"/>
        </w:rPr>
        <w:t>cría, reproducción, alimentación y anidación.</w:t>
      </w:r>
    </w:p>
    <w:p w14:paraId="36D60E2B" w14:textId="77777777" w:rsidR="005D7203" w:rsidRPr="00BD1319" w:rsidRDefault="005D7203">
      <w:pPr>
        <w:tabs>
          <w:tab w:val="left" w:pos="-2268"/>
        </w:tabs>
        <w:suppressAutoHyphens/>
        <w:rPr>
          <w:spacing w:val="-3"/>
        </w:rPr>
      </w:pPr>
    </w:p>
    <w:p w14:paraId="4CEA47DF" w14:textId="32FC23AB" w:rsidR="005D7203" w:rsidRPr="00BD1319" w:rsidRDefault="008C165F" w:rsidP="00C86DA5">
      <w:pPr>
        <w:numPr>
          <w:ilvl w:val="0"/>
          <w:numId w:val="56"/>
        </w:numPr>
        <w:tabs>
          <w:tab w:val="left" w:pos="-2268"/>
        </w:tabs>
        <w:suppressAutoHyphens/>
        <w:ind w:left="567" w:hanging="567"/>
        <w:rPr>
          <w:spacing w:val="-3"/>
        </w:rPr>
      </w:pPr>
      <w:r w:rsidRPr="00BD1319">
        <w:rPr>
          <w:spacing w:val="-3"/>
        </w:rPr>
        <w:t xml:space="preserve">Impacto potencial a </w:t>
      </w:r>
      <w:r w:rsidR="005D7203" w:rsidRPr="00BD1319">
        <w:rPr>
          <w:spacing w:val="-3"/>
        </w:rPr>
        <w:t>especies amenazadas (</w:t>
      </w:r>
      <w:r w:rsidR="00393A0A" w:rsidRPr="00BD1319">
        <w:rPr>
          <w:spacing w:val="-3"/>
        </w:rPr>
        <w:t xml:space="preserve">según </w:t>
      </w:r>
      <w:r w:rsidR="005D7203" w:rsidRPr="00BD1319">
        <w:rPr>
          <w:spacing w:val="-3"/>
        </w:rPr>
        <w:t xml:space="preserve">la UICN, la </w:t>
      </w:r>
      <w:r w:rsidR="00AC3FD2" w:rsidRPr="00BD1319">
        <w:rPr>
          <w:spacing w:val="-3"/>
        </w:rPr>
        <w:t>Resolución 0126 de 2024</w:t>
      </w:r>
      <w:r w:rsidR="005D7203" w:rsidRPr="00BD1319">
        <w:rPr>
          <w:spacing w:val="-3"/>
        </w:rPr>
        <w:t xml:space="preserve"> </w:t>
      </w:r>
      <w:r w:rsidR="001935E7" w:rsidRPr="00BD1319">
        <w:rPr>
          <w:spacing w:val="-3"/>
        </w:rPr>
        <w:t xml:space="preserve">o la que la modifique o sustituya </w:t>
      </w:r>
      <w:r w:rsidR="005D7203" w:rsidRPr="00BD1319">
        <w:rPr>
          <w:spacing w:val="-3"/>
        </w:rPr>
        <w:t>y los libros rojos de especies amenazadas), migratorias, endémicas, vedadas, contempladas en el CITES, de vital importancia para la función y estabilidad de los ecosistemas, entre otras</w:t>
      </w:r>
      <w:r w:rsidRPr="00BD1319">
        <w:rPr>
          <w:spacing w:val="-3"/>
        </w:rPr>
        <w:t xml:space="preserve"> reportadas en el área de estudio</w:t>
      </w:r>
      <w:r w:rsidR="005D7203" w:rsidRPr="00BD1319">
        <w:rPr>
          <w:spacing w:val="-3"/>
        </w:rPr>
        <w:t>.</w:t>
      </w:r>
    </w:p>
    <w:p w14:paraId="52D419AA" w14:textId="77777777" w:rsidR="005D7203" w:rsidRPr="00BD1319" w:rsidRDefault="005D7203">
      <w:pPr>
        <w:tabs>
          <w:tab w:val="left" w:pos="-2268"/>
        </w:tabs>
        <w:suppressAutoHyphens/>
        <w:rPr>
          <w:spacing w:val="-3"/>
        </w:rPr>
      </w:pPr>
    </w:p>
    <w:p w14:paraId="2DE97EED" w14:textId="77F60A4A" w:rsidR="005D7203" w:rsidRPr="00BD1319" w:rsidRDefault="001E30F9" w:rsidP="00C86DA5">
      <w:pPr>
        <w:numPr>
          <w:ilvl w:val="0"/>
          <w:numId w:val="56"/>
        </w:numPr>
        <w:tabs>
          <w:tab w:val="left" w:pos="-2268"/>
        </w:tabs>
        <w:suppressAutoHyphens/>
        <w:ind w:left="567" w:hanging="567"/>
        <w:rPr>
          <w:spacing w:val="-3"/>
        </w:rPr>
      </w:pPr>
      <w:r w:rsidRPr="00BD1319">
        <w:rPr>
          <w:spacing w:val="-3"/>
        </w:rPr>
        <w:t xml:space="preserve">Potencial </w:t>
      </w:r>
      <w:r w:rsidR="005D7203" w:rsidRPr="00BD1319">
        <w:rPr>
          <w:spacing w:val="-3"/>
        </w:rPr>
        <w:t xml:space="preserve">fragmentación </w:t>
      </w:r>
      <w:r w:rsidRPr="00BD1319">
        <w:rPr>
          <w:spacing w:val="-3"/>
        </w:rPr>
        <w:t>o impacto potencial a la</w:t>
      </w:r>
      <w:r w:rsidR="005D7203" w:rsidRPr="00BD1319">
        <w:rPr>
          <w:spacing w:val="-3"/>
        </w:rPr>
        <w:t xml:space="preserve"> conectividad de los ecosistemas.</w:t>
      </w:r>
    </w:p>
    <w:p w14:paraId="71B720B6" w14:textId="77777777" w:rsidR="005D7203" w:rsidRPr="00BD1319" w:rsidRDefault="005D7203">
      <w:pPr>
        <w:tabs>
          <w:tab w:val="left" w:pos="-2268"/>
        </w:tabs>
        <w:suppressAutoHyphens/>
        <w:rPr>
          <w:spacing w:val="-3"/>
        </w:rPr>
      </w:pPr>
    </w:p>
    <w:p w14:paraId="196EE56C" w14:textId="4DF61EEA" w:rsidR="005D7203" w:rsidRPr="00BD1319" w:rsidRDefault="00990115" w:rsidP="00C86DA5">
      <w:pPr>
        <w:numPr>
          <w:ilvl w:val="0"/>
          <w:numId w:val="56"/>
        </w:numPr>
        <w:tabs>
          <w:tab w:val="left" w:pos="-2268"/>
        </w:tabs>
        <w:suppressAutoHyphens/>
        <w:ind w:left="567" w:hanging="567"/>
        <w:rPr>
          <w:spacing w:val="-3"/>
        </w:rPr>
      </w:pPr>
      <w:r w:rsidRPr="00BD1319">
        <w:rPr>
          <w:spacing w:val="-3"/>
        </w:rPr>
        <w:t xml:space="preserve">Impacto potencial a </w:t>
      </w:r>
      <w:r w:rsidR="005D7203" w:rsidRPr="00BD1319">
        <w:rPr>
          <w:spacing w:val="-3"/>
        </w:rPr>
        <w:t>coberturas vegetales</w:t>
      </w:r>
      <w:r w:rsidRPr="00BD1319">
        <w:rPr>
          <w:spacing w:val="-3"/>
        </w:rPr>
        <w:t>, considerando especialmente su tipo y área</w:t>
      </w:r>
      <w:r w:rsidR="005D7203" w:rsidRPr="00BD1319">
        <w:rPr>
          <w:spacing w:val="-3"/>
        </w:rPr>
        <w:t>.</w:t>
      </w:r>
    </w:p>
    <w:p w14:paraId="4E642B16" w14:textId="77777777" w:rsidR="005D7203" w:rsidRPr="00BD1319" w:rsidRDefault="005D7203">
      <w:pPr>
        <w:tabs>
          <w:tab w:val="left" w:pos="-2268"/>
        </w:tabs>
        <w:suppressAutoHyphens/>
        <w:rPr>
          <w:spacing w:val="-3"/>
        </w:rPr>
      </w:pPr>
    </w:p>
    <w:p w14:paraId="73D5D670" w14:textId="760CD02B" w:rsidR="005D7203" w:rsidRPr="00BD1319" w:rsidRDefault="00F676F3" w:rsidP="00C86DA5">
      <w:pPr>
        <w:numPr>
          <w:ilvl w:val="0"/>
          <w:numId w:val="56"/>
        </w:numPr>
        <w:tabs>
          <w:tab w:val="left" w:pos="-2268"/>
        </w:tabs>
        <w:suppressAutoHyphens/>
        <w:ind w:left="567" w:hanging="567"/>
        <w:rPr>
          <w:spacing w:val="-3"/>
        </w:rPr>
      </w:pPr>
      <w:r w:rsidRPr="00BD1319">
        <w:rPr>
          <w:spacing w:val="-3"/>
        </w:rPr>
        <w:t>Potencial á</w:t>
      </w:r>
      <w:r w:rsidR="005D7203" w:rsidRPr="00BD1319">
        <w:rPr>
          <w:spacing w:val="-3"/>
        </w:rPr>
        <w:t>rea de compensación del medio biótico</w:t>
      </w:r>
      <w:r w:rsidR="005D7203" w:rsidRPr="00BD1319">
        <w:rPr>
          <w:spacing w:val="-3"/>
          <w:vertAlign w:val="superscript"/>
        </w:rPr>
        <w:footnoteReference w:id="62"/>
      </w:r>
      <w:r w:rsidR="005D7203" w:rsidRPr="00BD1319">
        <w:rPr>
          <w:spacing w:val="-3"/>
        </w:rPr>
        <w:t>.</w:t>
      </w:r>
    </w:p>
    <w:p w14:paraId="6D9072A8" w14:textId="77777777" w:rsidR="005D7203" w:rsidRPr="00BD1319" w:rsidRDefault="005D7203">
      <w:pPr>
        <w:tabs>
          <w:tab w:val="left" w:pos="-2268"/>
        </w:tabs>
        <w:suppressAutoHyphens/>
        <w:rPr>
          <w:spacing w:val="-3"/>
        </w:rPr>
      </w:pPr>
    </w:p>
    <w:p w14:paraId="598B8D7E" w14:textId="649B07AA" w:rsidR="005D7203" w:rsidRPr="00BD1319" w:rsidRDefault="005D7203" w:rsidP="00C86DA5">
      <w:pPr>
        <w:numPr>
          <w:ilvl w:val="0"/>
          <w:numId w:val="56"/>
        </w:numPr>
        <w:tabs>
          <w:tab w:val="left" w:pos="-2268"/>
        </w:tabs>
        <w:suppressAutoHyphens/>
        <w:ind w:left="567" w:hanging="567"/>
        <w:rPr>
          <w:spacing w:val="-3"/>
        </w:rPr>
      </w:pPr>
      <w:r w:rsidRPr="00BD1319">
        <w:rPr>
          <w:spacing w:val="-3"/>
        </w:rPr>
        <w:t>Estima</w:t>
      </w:r>
      <w:r w:rsidR="005A6AD5" w:rsidRPr="00BD1319">
        <w:rPr>
          <w:spacing w:val="-3"/>
        </w:rPr>
        <w:t xml:space="preserve">do </w:t>
      </w:r>
      <w:r w:rsidRPr="00BD1319">
        <w:rPr>
          <w:spacing w:val="-3"/>
        </w:rPr>
        <w:t>de</w:t>
      </w:r>
      <w:r w:rsidR="00D16E92" w:rsidRPr="00BD1319">
        <w:rPr>
          <w:spacing w:val="-3"/>
        </w:rPr>
        <w:t>l</w:t>
      </w:r>
      <w:r w:rsidRPr="00BD1319">
        <w:rPr>
          <w:spacing w:val="-3"/>
        </w:rPr>
        <w:t xml:space="preserve"> uso, aprovechamiento y afectación de recursos naturales renovables (</w:t>
      </w:r>
      <w:r w:rsidR="008D2728" w:rsidRPr="00BD1319">
        <w:rPr>
          <w:spacing w:val="-3"/>
        </w:rPr>
        <w:t xml:space="preserve">p. ej. </w:t>
      </w:r>
      <w:r w:rsidRPr="00BD1319">
        <w:rPr>
          <w:spacing w:val="-3"/>
        </w:rPr>
        <w:t>aprovechamiento forestal).</w:t>
      </w:r>
    </w:p>
    <w:p w14:paraId="59BFFB5B" w14:textId="77777777" w:rsidR="005D7203" w:rsidRPr="00BD1319" w:rsidRDefault="005D7203">
      <w:pPr>
        <w:tabs>
          <w:tab w:val="left" w:pos="-2268"/>
        </w:tabs>
        <w:suppressAutoHyphens/>
        <w:rPr>
          <w:spacing w:val="-3"/>
        </w:rPr>
      </w:pPr>
    </w:p>
    <w:p w14:paraId="351AB112" w14:textId="4989B3BC" w:rsidR="005D7203" w:rsidRPr="00BD1319" w:rsidRDefault="005A6AD5" w:rsidP="00C86DA5">
      <w:pPr>
        <w:numPr>
          <w:ilvl w:val="0"/>
          <w:numId w:val="56"/>
        </w:numPr>
        <w:tabs>
          <w:tab w:val="left" w:pos="-2268"/>
        </w:tabs>
        <w:suppressAutoHyphens/>
        <w:ind w:left="567" w:hanging="567"/>
        <w:rPr>
          <w:spacing w:val="-3"/>
        </w:rPr>
      </w:pPr>
      <w:r w:rsidRPr="00BD1319">
        <w:rPr>
          <w:spacing w:val="-3"/>
        </w:rPr>
        <w:t>Impacto p</w:t>
      </w:r>
      <w:r w:rsidR="005D7203" w:rsidRPr="00BD1319">
        <w:rPr>
          <w:spacing w:val="-3"/>
        </w:rPr>
        <w:t xml:space="preserve">otencial </w:t>
      </w:r>
      <w:r w:rsidRPr="00BD1319">
        <w:rPr>
          <w:spacing w:val="-3"/>
        </w:rPr>
        <w:t xml:space="preserve">a </w:t>
      </w:r>
      <w:r w:rsidR="005D7203" w:rsidRPr="00BD1319">
        <w:rPr>
          <w:spacing w:val="-3"/>
        </w:rPr>
        <w:t>ecosistemas acuáticos</w:t>
      </w:r>
      <w:r w:rsidRPr="00BD1319">
        <w:rPr>
          <w:spacing w:val="-3"/>
        </w:rPr>
        <w:t xml:space="preserve">, incluyendo </w:t>
      </w:r>
      <w:r w:rsidR="001935E7" w:rsidRPr="00BD1319">
        <w:rPr>
          <w:spacing w:val="-3"/>
        </w:rPr>
        <w:t xml:space="preserve">el </w:t>
      </w:r>
      <w:r w:rsidRPr="00BD1319">
        <w:rPr>
          <w:spacing w:val="-3"/>
        </w:rPr>
        <w:t xml:space="preserve">que </w:t>
      </w:r>
      <w:r w:rsidR="001935E7" w:rsidRPr="00BD1319">
        <w:rPr>
          <w:spacing w:val="-3"/>
        </w:rPr>
        <w:t xml:space="preserve">resulta </w:t>
      </w:r>
      <w:r w:rsidR="005D7203" w:rsidRPr="00BD1319">
        <w:rPr>
          <w:spacing w:val="-3"/>
        </w:rPr>
        <w:t xml:space="preserve">de </w:t>
      </w:r>
      <w:r w:rsidR="002546D8" w:rsidRPr="00BD1319">
        <w:rPr>
          <w:spacing w:val="-3"/>
        </w:rPr>
        <w:t xml:space="preserve">actividades </w:t>
      </w:r>
      <w:r w:rsidRPr="00BD1319">
        <w:rPr>
          <w:spacing w:val="-3"/>
        </w:rPr>
        <w:t xml:space="preserve">como </w:t>
      </w:r>
      <w:r w:rsidR="005D7203" w:rsidRPr="00BD1319">
        <w:rPr>
          <w:spacing w:val="-3"/>
        </w:rPr>
        <w:t>la construcción de puentes, alcantarillas y otras estructuras de cruce.</w:t>
      </w:r>
    </w:p>
    <w:p w14:paraId="248D55EE" w14:textId="77777777" w:rsidR="005A65FD" w:rsidRPr="00BD1319" w:rsidRDefault="005A65FD" w:rsidP="000D6E21">
      <w:pPr>
        <w:rPr>
          <w:spacing w:val="-3"/>
        </w:rPr>
      </w:pPr>
    </w:p>
    <w:p w14:paraId="5B609DA9" w14:textId="6B801431" w:rsidR="005A65FD" w:rsidRPr="00BD1319" w:rsidRDefault="005A65FD" w:rsidP="000D6E21">
      <w:pPr>
        <w:pStyle w:val="Prrafodelista"/>
        <w:numPr>
          <w:ilvl w:val="0"/>
          <w:numId w:val="56"/>
        </w:numPr>
        <w:tabs>
          <w:tab w:val="left" w:pos="-2268"/>
        </w:tabs>
        <w:suppressAutoHyphens/>
        <w:ind w:left="567" w:hanging="567"/>
        <w:rPr>
          <w:spacing w:val="-3"/>
        </w:rPr>
      </w:pPr>
      <w:r w:rsidRPr="00BD1319">
        <w:rPr>
          <w:spacing w:val="-3"/>
        </w:rPr>
        <w:t xml:space="preserve">Impacto potencial a </w:t>
      </w:r>
      <w:r w:rsidRPr="00BD1319">
        <w:rPr>
          <w:spacing w:val="-3"/>
          <w:lang w:val="es-CO"/>
        </w:rPr>
        <w:t>la riqueza de fauna vertebrada y flora.</w:t>
      </w:r>
    </w:p>
    <w:p w14:paraId="5C07BF4D" w14:textId="77777777" w:rsidR="005D7203" w:rsidRPr="00BD1319" w:rsidRDefault="005D7203">
      <w:pPr>
        <w:numPr>
          <w:ilvl w:val="12"/>
          <w:numId w:val="0"/>
        </w:numPr>
        <w:tabs>
          <w:tab w:val="left" w:pos="-2268"/>
        </w:tabs>
        <w:suppressAutoHyphens/>
        <w:rPr>
          <w:spacing w:val="-3"/>
        </w:rPr>
      </w:pPr>
      <w:bookmarkStart w:id="2475" w:name="_Toc488244518"/>
      <w:bookmarkStart w:id="2476" w:name="_Toc488247638"/>
      <w:bookmarkStart w:id="2477" w:name="_Toc488248282"/>
      <w:bookmarkStart w:id="2478" w:name="_Toc488248898"/>
      <w:bookmarkStart w:id="2479" w:name="_Toc488249514"/>
      <w:bookmarkStart w:id="2480" w:name="_Toc488330002"/>
      <w:bookmarkStart w:id="2481" w:name="_Toc488386856"/>
      <w:bookmarkStart w:id="2482" w:name="_Toc488402315"/>
      <w:bookmarkStart w:id="2483" w:name="_Toc488403138"/>
      <w:bookmarkStart w:id="2484" w:name="_Toc488403967"/>
      <w:bookmarkStart w:id="2485" w:name="_Toc488404798"/>
      <w:bookmarkStart w:id="2486" w:name="_Toc488405621"/>
      <w:bookmarkStart w:id="2487" w:name="_Toc488406450"/>
      <w:bookmarkStart w:id="2488" w:name="_Toc491409681"/>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p>
    <w:p w14:paraId="3042DCEB" w14:textId="42C0FE13" w:rsidR="005D7203" w:rsidRPr="00BD1319" w:rsidRDefault="005D7203" w:rsidP="00216955">
      <w:pPr>
        <w:pStyle w:val="Ttulo3"/>
      </w:pPr>
      <w:bookmarkStart w:id="2489" w:name="_Toc42779208"/>
      <w:bookmarkStart w:id="2490" w:name="_Toc175326736"/>
      <w:r w:rsidRPr="00BD1319">
        <w:t>Criterios relacionados con el medio socioeconómico</w:t>
      </w:r>
      <w:bookmarkEnd w:id="2489"/>
      <w:bookmarkEnd w:id="2490"/>
    </w:p>
    <w:p w14:paraId="1021E516" w14:textId="77777777" w:rsidR="005D7203" w:rsidRPr="00BD1319" w:rsidRDefault="005D7203">
      <w:pPr>
        <w:numPr>
          <w:ilvl w:val="12"/>
          <w:numId w:val="0"/>
        </w:numPr>
        <w:tabs>
          <w:tab w:val="left" w:pos="-2268"/>
        </w:tabs>
        <w:suppressAutoHyphens/>
        <w:rPr>
          <w:spacing w:val="-3"/>
        </w:rPr>
      </w:pPr>
    </w:p>
    <w:p w14:paraId="7F5E3BEE" w14:textId="18549EFA" w:rsidR="005D7203" w:rsidRPr="00BD1319" w:rsidRDefault="00534937" w:rsidP="00C86DA5">
      <w:pPr>
        <w:numPr>
          <w:ilvl w:val="0"/>
          <w:numId w:val="56"/>
        </w:numPr>
        <w:tabs>
          <w:tab w:val="left" w:pos="-2268"/>
        </w:tabs>
        <w:suppressAutoHyphens/>
        <w:ind w:left="567" w:hanging="567"/>
        <w:rPr>
          <w:spacing w:val="-3"/>
        </w:rPr>
      </w:pPr>
      <w:r w:rsidRPr="00BD1319">
        <w:rPr>
          <w:spacing w:val="-3"/>
        </w:rPr>
        <w:t xml:space="preserve">Impacto potencial </w:t>
      </w:r>
      <w:r w:rsidR="005A1645" w:rsidRPr="00BD1319">
        <w:rPr>
          <w:spacing w:val="-3"/>
        </w:rPr>
        <w:t>a</w:t>
      </w:r>
      <w:r w:rsidR="005D7203" w:rsidRPr="00BD1319">
        <w:rPr>
          <w:spacing w:val="-3"/>
        </w:rPr>
        <w:t>l recurso hídrico superficial y subterráneo</w:t>
      </w:r>
      <w:r w:rsidRPr="00BD1319">
        <w:rPr>
          <w:spacing w:val="-3"/>
        </w:rPr>
        <w:t xml:space="preserve"> de</w:t>
      </w:r>
      <w:r w:rsidR="005A1645" w:rsidRPr="00BD1319">
        <w:rPr>
          <w:spacing w:val="-3"/>
        </w:rPr>
        <w:t xml:space="preserve">l que dispone </w:t>
      </w:r>
      <w:r w:rsidRPr="00BD1319">
        <w:rPr>
          <w:spacing w:val="-3"/>
        </w:rPr>
        <w:t xml:space="preserve">la población, considerando </w:t>
      </w:r>
      <w:r w:rsidR="005A1645" w:rsidRPr="00BD1319">
        <w:rPr>
          <w:spacing w:val="-3"/>
        </w:rPr>
        <w:t xml:space="preserve">su </w:t>
      </w:r>
      <w:r w:rsidRPr="00BD1319">
        <w:rPr>
          <w:spacing w:val="-3"/>
        </w:rPr>
        <w:t xml:space="preserve">grado de dependencia </w:t>
      </w:r>
      <w:r w:rsidR="005A1645" w:rsidRPr="00BD1319">
        <w:rPr>
          <w:spacing w:val="-3"/>
        </w:rPr>
        <w:t xml:space="preserve">al recurso </w:t>
      </w:r>
      <w:r w:rsidRPr="00BD1319">
        <w:rPr>
          <w:spacing w:val="-3"/>
        </w:rPr>
        <w:t>(alto, medio y bajo).</w:t>
      </w:r>
    </w:p>
    <w:p w14:paraId="5D2E097A" w14:textId="77777777" w:rsidR="005D7203" w:rsidRPr="00BD1319" w:rsidRDefault="005D7203">
      <w:pPr>
        <w:tabs>
          <w:tab w:val="left" w:pos="-2268"/>
        </w:tabs>
        <w:suppressAutoHyphens/>
        <w:rPr>
          <w:spacing w:val="-3"/>
        </w:rPr>
      </w:pPr>
    </w:p>
    <w:p w14:paraId="58EDD87E" w14:textId="37665F6C" w:rsidR="009F2580" w:rsidRPr="00BD1319" w:rsidRDefault="009F2580" w:rsidP="009F2580">
      <w:pPr>
        <w:numPr>
          <w:ilvl w:val="0"/>
          <w:numId w:val="56"/>
        </w:numPr>
        <w:tabs>
          <w:tab w:val="left" w:pos="-2268"/>
        </w:tabs>
        <w:suppressAutoHyphens/>
        <w:ind w:left="567" w:hanging="567"/>
        <w:rPr>
          <w:rFonts w:eastAsia="Arial"/>
          <w:spacing w:val="-3"/>
        </w:rPr>
      </w:pPr>
      <w:r w:rsidRPr="00BD1319">
        <w:lastRenderedPageBreak/>
        <w:t xml:space="preserve">Potencial </w:t>
      </w:r>
      <w:r w:rsidR="005A65FD" w:rsidRPr="00BD1319">
        <w:t xml:space="preserve">modificación o generación </w:t>
      </w:r>
      <w:r w:rsidRPr="00BD1319">
        <w:t xml:space="preserve">de </w:t>
      </w:r>
      <w:r w:rsidRPr="00BD1319">
        <w:rPr>
          <w:rFonts w:eastAsia="Arial"/>
          <w:spacing w:val="-3"/>
        </w:rPr>
        <w:t xml:space="preserve">conflictos </w:t>
      </w:r>
      <w:r w:rsidR="005A65FD" w:rsidRPr="00BD1319">
        <w:rPr>
          <w:rFonts w:eastAsia="Arial"/>
          <w:spacing w:val="-3"/>
        </w:rPr>
        <w:t>socio</w:t>
      </w:r>
      <w:r w:rsidRPr="00BD1319">
        <w:rPr>
          <w:rFonts w:eastAsia="Arial"/>
          <w:spacing w:val="-3"/>
        </w:rPr>
        <w:t>ambientales.</w:t>
      </w:r>
    </w:p>
    <w:p w14:paraId="273161C6" w14:textId="77777777" w:rsidR="009F2580" w:rsidRPr="00BD1319" w:rsidRDefault="009F2580">
      <w:pPr>
        <w:tabs>
          <w:tab w:val="left" w:pos="-2268"/>
        </w:tabs>
        <w:suppressAutoHyphens/>
        <w:rPr>
          <w:spacing w:val="-3"/>
        </w:rPr>
      </w:pPr>
    </w:p>
    <w:p w14:paraId="71214A03" w14:textId="6D678062" w:rsidR="005D7203" w:rsidRPr="00BD1319" w:rsidRDefault="009F2580" w:rsidP="00C86DA5">
      <w:pPr>
        <w:numPr>
          <w:ilvl w:val="0"/>
          <w:numId w:val="56"/>
        </w:numPr>
        <w:tabs>
          <w:tab w:val="left" w:pos="-2268"/>
        </w:tabs>
        <w:suppressAutoHyphens/>
        <w:ind w:left="567" w:hanging="567"/>
        <w:rPr>
          <w:spacing w:val="-3"/>
        </w:rPr>
      </w:pPr>
      <w:r w:rsidRPr="00BD1319">
        <w:rPr>
          <w:spacing w:val="-3"/>
        </w:rPr>
        <w:t>Cantidad potencial de personas impactadas, considerando la d</w:t>
      </w:r>
      <w:r w:rsidR="005D7203" w:rsidRPr="00BD1319">
        <w:rPr>
          <w:spacing w:val="-3"/>
        </w:rPr>
        <w:t xml:space="preserve">ensidad poblacional de las unidades </w:t>
      </w:r>
      <w:r w:rsidR="006D75A2" w:rsidRPr="00BD1319">
        <w:rPr>
          <w:spacing w:val="-3"/>
        </w:rPr>
        <w:t xml:space="preserve">de análisis </w:t>
      </w:r>
      <w:r w:rsidR="005D7203" w:rsidRPr="00BD1319">
        <w:rPr>
          <w:spacing w:val="-3"/>
        </w:rPr>
        <w:t>territorial.</w:t>
      </w:r>
    </w:p>
    <w:p w14:paraId="25214110" w14:textId="77777777" w:rsidR="005D7203" w:rsidRPr="00BD1319" w:rsidRDefault="005D7203">
      <w:pPr>
        <w:tabs>
          <w:tab w:val="left" w:pos="-2268"/>
        </w:tabs>
        <w:suppressAutoHyphens/>
        <w:rPr>
          <w:spacing w:val="-3"/>
        </w:rPr>
      </w:pPr>
    </w:p>
    <w:p w14:paraId="07C9D2EA" w14:textId="41A2E56E" w:rsidR="005D7203" w:rsidRPr="00BD1319" w:rsidRDefault="009F2580" w:rsidP="00C86DA5">
      <w:pPr>
        <w:numPr>
          <w:ilvl w:val="0"/>
          <w:numId w:val="56"/>
        </w:numPr>
        <w:tabs>
          <w:tab w:val="left" w:pos="-2268"/>
        </w:tabs>
        <w:suppressAutoHyphens/>
        <w:ind w:left="567" w:hanging="567"/>
        <w:rPr>
          <w:spacing w:val="-3"/>
        </w:rPr>
      </w:pPr>
      <w:r w:rsidRPr="00BD1319">
        <w:rPr>
          <w:spacing w:val="-3"/>
        </w:rPr>
        <w:t xml:space="preserve">Impacto potencial a </w:t>
      </w:r>
      <w:r w:rsidR="005D7203" w:rsidRPr="00BD1319">
        <w:rPr>
          <w:spacing w:val="-3"/>
        </w:rPr>
        <w:t>sitios de interés histórico, cultural, arquitectónico y arqueológico</w:t>
      </w:r>
      <w:r w:rsidRPr="00BD1319">
        <w:rPr>
          <w:spacing w:val="-3"/>
        </w:rPr>
        <w:t>,</w:t>
      </w:r>
      <w:r w:rsidR="005D7203" w:rsidRPr="00BD1319">
        <w:rPr>
          <w:spacing w:val="-3"/>
        </w:rPr>
        <w:t xml:space="preserve"> </w:t>
      </w:r>
      <w:r w:rsidRPr="00BD1319">
        <w:rPr>
          <w:spacing w:val="-3"/>
        </w:rPr>
        <w:t xml:space="preserve">sitios </w:t>
      </w:r>
      <w:r w:rsidR="005D7203" w:rsidRPr="00BD1319">
        <w:rPr>
          <w:spacing w:val="-3"/>
        </w:rPr>
        <w:t>declarados como parques arqueológicos</w:t>
      </w:r>
      <w:r w:rsidRPr="00BD1319">
        <w:rPr>
          <w:spacing w:val="-3"/>
        </w:rPr>
        <w:t>,</w:t>
      </w:r>
      <w:r w:rsidR="0051362D" w:rsidRPr="00BD1319">
        <w:rPr>
          <w:spacing w:val="-3"/>
        </w:rPr>
        <w:t xml:space="preserve"> </w:t>
      </w:r>
      <w:r w:rsidR="0051362D" w:rsidRPr="00BD1319">
        <w:rPr>
          <w:rFonts w:eastAsia="Arial" w:cs="Arial"/>
        </w:rPr>
        <w:t>áreas arqueológicas protegidas</w:t>
      </w:r>
      <w:r w:rsidR="00B22913" w:rsidRPr="00BD1319">
        <w:rPr>
          <w:rFonts w:eastAsia="Arial" w:cs="Arial"/>
        </w:rPr>
        <w:t>,</w:t>
      </w:r>
      <w:r w:rsidR="0051362D" w:rsidRPr="00BD1319">
        <w:rPr>
          <w:rFonts w:eastAsia="Arial" w:cs="Arial"/>
        </w:rPr>
        <w:t xml:space="preserve"> </w:t>
      </w:r>
      <w:r w:rsidR="005D7203" w:rsidRPr="00BD1319">
        <w:rPr>
          <w:spacing w:val="-3"/>
        </w:rPr>
        <w:t xml:space="preserve">patrimonio histórico nacional </w:t>
      </w:r>
      <w:r w:rsidR="0051362D" w:rsidRPr="00BD1319">
        <w:rPr>
          <w:spacing w:val="-3"/>
        </w:rPr>
        <w:t>y</w:t>
      </w:r>
      <w:r w:rsidR="005D7203" w:rsidRPr="00BD1319">
        <w:rPr>
          <w:spacing w:val="-3"/>
        </w:rPr>
        <w:t xml:space="preserve"> patrimonio histórico de la humanidad, o aquellos yacimientos arqueológicos </w:t>
      </w:r>
      <w:r w:rsidR="0051362D" w:rsidRPr="00BD1319">
        <w:rPr>
          <w:rFonts w:eastAsia="Arial" w:cs="Arial"/>
        </w:rPr>
        <w:t>o paleontológicos</w:t>
      </w:r>
      <w:r w:rsidR="0051362D" w:rsidRPr="00BD1319">
        <w:rPr>
          <w:rFonts w:eastAsia="Arial"/>
        </w:rPr>
        <w:t xml:space="preserve"> </w:t>
      </w:r>
      <w:r w:rsidR="005D7203" w:rsidRPr="00BD1319">
        <w:rPr>
          <w:spacing w:val="-3"/>
        </w:rPr>
        <w:t>que por la singularidad de sus contenidos culturales ameriten ser preservados para la posteridad</w:t>
      </w:r>
      <w:r w:rsidR="0051362D" w:rsidRPr="00BD1319">
        <w:rPr>
          <w:spacing w:val="-3"/>
        </w:rPr>
        <w:t xml:space="preserve"> </w:t>
      </w:r>
      <w:r w:rsidR="0051362D" w:rsidRPr="00BD1319">
        <w:rPr>
          <w:rFonts w:eastAsia="Arial" w:cs="Arial"/>
        </w:rPr>
        <w:t>(incluido el patrimonio sumergido)</w:t>
      </w:r>
      <w:r w:rsidR="005D7203" w:rsidRPr="00BD1319">
        <w:rPr>
          <w:spacing w:val="-3"/>
        </w:rPr>
        <w:t>.</w:t>
      </w:r>
    </w:p>
    <w:p w14:paraId="64AD1526" w14:textId="77777777" w:rsidR="005D7203" w:rsidRPr="00BD1319" w:rsidRDefault="005D7203">
      <w:pPr>
        <w:tabs>
          <w:tab w:val="left" w:pos="-2268"/>
        </w:tabs>
        <w:suppressAutoHyphens/>
        <w:rPr>
          <w:spacing w:val="-3"/>
        </w:rPr>
      </w:pPr>
    </w:p>
    <w:p w14:paraId="5F115135" w14:textId="21487199" w:rsidR="005D7203" w:rsidRPr="00BD1319" w:rsidRDefault="003A3B28" w:rsidP="00C86DA5">
      <w:pPr>
        <w:numPr>
          <w:ilvl w:val="0"/>
          <w:numId w:val="56"/>
        </w:numPr>
        <w:tabs>
          <w:tab w:val="left" w:pos="-2268"/>
        </w:tabs>
        <w:suppressAutoHyphens/>
        <w:ind w:left="567" w:hanging="567"/>
        <w:rPr>
          <w:spacing w:val="-3"/>
        </w:rPr>
      </w:pPr>
      <w:r w:rsidRPr="00BD1319">
        <w:rPr>
          <w:spacing w:val="-3"/>
        </w:rPr>
        <w:t>Potencial generación de impactos ambientales acumulativos y de impactos ambientales sinérgicos dada la presencia</w:t>
      </w:r>
      <w:r w:rsidR="00085F6A" w:rsidRPr="00BD1319">
        <w:rPr>
          <w:spacing w:val="-3"/>
        </w:rPr>
        <w:t>, planificación</w:t>
      </w:r>
      <w:r w:rsidRPr="00BD1319">
        <w:rPr>
          <w:spacing w:val="-3"/>
        </w:rPr>
        <w:t xml:space="preserve"> o previsible ejecución de p</w:t>
      </w:r>
      <w:r w:rsidR="005D7203" w:rsidRPr="00BD1319">
        <w:rPr>
          <w:spacing w:val="-3"/>
        </w:rPr>
        <w:t>royectos de desarrollo nacional, regional y local, distritos de riego y áreas de expansión urbana.</w:t>
      </w:r>
    </w:p>
    <w:p w14:paraId="4324B726" w14:textId="77777777" w:rsidR="009F2580" w:rsidRPr="00BD1319" w:rsidRDefault="009F2580">
      <w:pPr>
        <w:tabs>
          <w:tab w:val="left" w:pos="-2268"/>
        </w:tabs>
        <w:suppressAutoHyphens/>
        <w:rPr>
          <w:spacing w:val="-3"/>
        </w:rPr>
      </w:pPr>
    </w:p>
    <w:p w14:paraId="669B4611" w14:textId="44EA04B9" w:rsidR="005D7203" w:rsidRPr="00BD1319" w:rsidRDefault="00A14F26" w:rsidP="00C86DA5">
      <w:pPr>
        <w:numPr>
          <w:ilvl w:val="0"/>
          <w:numId w:val="56"/>
        </w:numPr>
        <w:tabs>
          <w:tab w:val="left" w:pos="-2268"/>
        </w:tabs>
        <w:suppressAutoHyphens/>
        <w:ind w:left="567" w:hanging="567"/>
        <w:rPr>
          <w:spacing w:val="-3"/>
        </w:rPr>
      </w:pPr>
      <w:r w:rsidRPr="00BD1319">
        <w:rPr>
          <w:spacing w:val="-3"/>
        </w:rPr>
        <w:t xml:space="preserve">Impacto potencial a las </w:t>
      </w:r>
      <w:r w:rsidR="005D7203" w:rsidRPr="00BD1319">
        <w:rPr>
          <w:spacing w:val="-3"/>
        </w:rPr>
        <w:t>actividades económicas (ganadera, agrícola, minera, forestal, pesquera, industrial, prestación de servicios, entre otras)</w:t>
      </w:r>
      <w:r w:rsidRPr="00BD1319">
        <w:rPr>
          <w:spacing w:val="-3"/>
        </w:rPr>
        <w:t>, considerando entre otros indicadores, el área destinada a cada una de ellas</w:t>
      </w:r>
      <w:r w:rsidR="005D7203" w:rsidRPr="00BD1319">
        <w:rPr>
          <w:spacing w:val="-3"/>
        </w:rPr>
        <w:t>.</w:t>
      </w:r>
    </w:p>
    <w:p w14:paraId="76B5C6DF" w14:textId="77777777" w:rsidR="00201EB3" w:rsidRPr="00BD1319" w:rsidRDefault="00201EB3" w:rsidP="000D6E21">
      <w:pPr>
        <w:tabs>
          <w:tab w:val="left" w:pos="-2268"/>
        </w:tabs>
        <w:suppressAutoHyphens/>
        <w:rPr>
          <w:spacing w:val="-3"/>
        </w:rPr>
      </w:pPr>
    </w:p>
    <w:p w14:paraId="124AE64C" w14:textId="35AD8EF8" w:rsidR="00201EB3" w:rsidRPr="00BD1319" w:rsidRDefault="00201EB3" w:rsidP="000D6E21">
      <w:pPr>
        <w:pStyle w:val="Prrafodelista"/>
        <w:numPr>
          <w:ilvl w:val="0"/>
          <w:numId w:val="56"/>
        </w:numPr>
        <w:tabs>
          <w:tab w:val="left" w:pos="-2268"/>
        </w:tabs>
        <w:suppressAutoHyphens/>
        <w:ind w:left="567" w:hanging="567"/>
        <w:rPr>
          <w:spacing w:val="-3"/>
        </w:rPr>
      </w:pPr>
      <w:r w:rsidRPr="00BD1319">
        <w:rPr>
          <w:spacing w:val="-3"/>
        </w:rPr>
        <w:t xml:space="preserve">Impacto potencial </w:t>
      </w:r>
      <w:r w:rsidRPr="00BD1319">
        <w:rPr>
          <w:spacing w:val="-3"/>
          <w:lang w:val="es-CO"/>
        </w:rPr>
        <w:t>al mercado laboral teniendo en cuenta enfoques diferenciales.</w:t>
      </w:r>
    </w:p>
    <w:p w14:paraId="6DDBE5C5" w14:textId="77777777" w:rsidR="005D7203" w:rsidRPr="00BD1319" w:rsidRDefault="005D7203">
      <w:pPr>
        <w:tabs>
          <w:tab w:val="left" w:pos="-2268"/>
        </w:tabs>
        <w:suppressAutoHyphens/>
        <w:rPr>
          <w:spacing w:val="-3"/>
        </w:rPr>
      </w:pPr>
    </w:p>
    <w:p w14:paraId="280AB07A" w14:textId="21BE573C" w:rsidR="005D7203" w:rsidRPr="00BD1319" w:rsidRDefault="00F75334" w:rsidP="009420F5">
      <w:pPr>
        <w:numPr>
          <w:ilvl w:val="0"/>
          <w:numId w:val="56"/>
        </w:numPr>
        <w:tabs>
          <w:tab w:val="left" w:pos="-2268"/>
        </w:tabs>
        <w:suppressAutoHyphens/>
        <w:ind w:left="567" w:hanging="567"/>
        <w:rPr>
          <w:spacing w:val="-3"/>
        </w:rPr>
      </w:pPr>
      <w:r w:rsidRPr="00BD1319">
        <w:rPr>
          <w:spacing w:val="-3"/>
        </w:rPr>
        <w:t xml:space="preserve">Cantidad potencial de predios con déficit de área </w:t>
      </w:r>
      <w:r w:rsidR="007851D8" w:rsidRPr="00BD1319">
        <w:rPr>
          <w:spacing w:val="-3"/>
        </w:rPr>
        <w:t xml:space="preserve">productiva </w:t>
      </w:r>
      <w:r w:rsidRPr="00BD1319">
        <w:rPr>
          <w:spacing w:val="-3"/>
        </w:rPr>
        <w:t xml:space="preserve">impactados, considerando la razón entre </w:t>
      </w:r>
      <w:r w:rsidR="007851D8" w:rsidRPr="00BD1319">
        <w:rPr>
          <w:spacing w:val="-3"/>
        </w:rPr>
        <w:t xml:space="preserve">la </w:t>
      </w:r>
      <w:r w:rsidRPr="00BD1319">
        <w:rPr>
          <w:spacing w:val="-3"/>
        </w:rPr>
        <w:t>p</w:t>
      </w:r>
      <w:r w:rsidR="005D7203" w:rsidRPr="00BD1319">
        <w:rPr>
          <w:spacing w:val="-3"/>
        </w:rPr>
        <w:t xml:space="preserve">redominancia </w:t>
      </w:r>
      <w:r w:rsidR="007851D8" w:rsidRPr="00BD1319">
        <w:rPr>
          <w:spacing w:val="-3"/>
        </w:rPr>
        <w:t xml:space="preserve">de </w:t>
      </w:r>
      <w:r w:rsidR="005D7203" w:rsidRPr="00BD1319">
        <w:rPr>
          <w:spacing w:val="-3"/>
        </w:rPr>
        <w:t>tamaño de predios (</w:t>
      </w:r>
      <w:r w:rsidR="00B22913" w:rsidRPr="00BD1319">
        <w:rPr>
          <w:spacing w:val="-3"/>
        </w:rPr>
        <w:t>micro, minifundio, pequeña, mediana y gran propiedad</w:t>
      </w:r>
      <w:r w:rsidR="005D7203" w:rsidRPr="00BD1319">
        <w:rPr>
          <w:spacing w:val="-3"/>
          <w:vertAlign w:val="superscript"/>
        </w:rPr>
        <w:footnoteReference w:id="63"/>
      </w:r>
      <w:r w:rsidR="005D7203" w:rsidRPr="00BD1319">
        <w:rPr>
          <w:spacing w:val="-3"/>
        </w:rPr>
        <w:t>) y la Unidad Agrícola Familiar (UAF) definida para el municipio.</w:t>
      </w:r>
    </w:p>
    <w:p w14:paraId="3D21002D" w14:textId="77777777" w:rsidR="005D7203" w:rsidRPr="00BD1319" w:rsidRDefault="005D7203">
      <w:pPr>
        <w:tabs>
          <w:tab w:val="left" w:pos="-2268"/>
        </w:tabs>
        <w:suppressAutoHyphens/>
        <w:rPr>
          <w:spacing w:val="-3"/>
        </w:rPr>
      </w:pPr>
    </w:p>
    <w:p w14:paraId="36109F9B" w14:textId="7AF3433F" w:rsidR="005D7203" w:rsidRPr="00BD1319" w:rsidRDefault="00421B03" w:rsidP="00C86DA5">
      <w:pPr>
        <w:pStyle w:val="Prrafodelista"/>
        <w:numPr>
          <w:ilvl w:val="0"/>
          <w:numId w:val="56"/>
        </w:numPr>
        <w:tabs>
          <w:tab w:val="left" w:pos="-2268"/>
        </w:tabs>
        <w:suppressAutoHyphens/>
        <w:ind w:left="567" w:hanging="567"/>
        <w:rPr>
          <w:rFonts w:cs="Arial"/>
          <w:spacing w:val="-3"/>
          <w:lang w:val="es-CO"/>
        </w:rPr>
      </w:pPr>
      <w:r w:rsidRPr="00BD1319">
        <w:rPr>
          <w:rFonts w:cs="Arial"/>
          <w:spacing w:val="-3"/>
          <w:lang w:val="es-CO"/>
        </w:rPr>
        <w:t xml:space="preserve">Potencial </w:t>
      </w:r>
      <w:r w:rsidR="005A65FD" w:rsidRPr="00BD1319">
        <w:rPr>
          <w:rFonts w:cs="Arial"/>
          <w:spacing w:val="-3"/>
          <w:lang w:val="es-CO"/>
        </w:rPr>
        <w:t>reasentamiento involuntario</w:t>
      </w:r>
      <w:r w:rsidRPr="00BD1319">
        <w:rPr>
          <w:rFonts w:cs="Arial"/>
          <w:spacing w:val="-3"/>
          <w:lang w:val="es-CO"/>
        </w:rPr>
        <w:t xml:space="preserve"> de población</w:t>
      </w:r>
      <w:r w:rsidR="005A65FD" w:rsidRPr="00BD1319">
        <w:rPr>
          <w:rFonts w:cs="Arial"/>
          <w:spacing w:val="-3"/>
          <w:lang w:val="es-CO"/>
        </w:rPr>
        <w:t xml:space="preserve"> o desplazamiento</w:t>
      </w:r>
      <w:r w:rsidRPr="00BD1319">
        <w:rPr>
          <w:rFonts w:cs="Arial"/>
          <w:spacing w:val="-3"/>
          <w:lang w:val="es-CO"/>
        </w:rPr>
        <w:t xml:space="preserve"> de actividades económicas y de instituciones, considerando la cantidad estimada </w:t>
      </w:r>
      <w:r w:rsidR="005D7203" w:rsidRPr="00BD1319">
        <w:rPr>
          <w:rFonts w:cs="Arial"/>
          <w:spacing w:val="-3"/>
          <w:lang w:val="es-CO"/>
        </w:rPr>
        <w:t>de unidades sociales (residentes, productivas y mixtas) e infraestructura social y comunitaria susceptible.</w:t>
      </w:r>
    </w:p>
    <w:p w14:paraId="64DD715A" w14:textId="77777777" w:rsidR="003032B6" w:rsidRPr="00BD1319" w:rsidRDefault="003032B6" w:rsidP="000D6E21">
      <w:pPr>
        <w:rPr>
          <w:rFonts w:cs="Arial"/>
          <w:spacing w:val="-3"/>
        </w:rPr>
      </w:pPr>
    </w:p>
    <w:p w14:paraId="5086F7CE" w14:textId="62D62A4F" w:rsidR="003032B6" w:rsidRPr="00BD1319" w:rsidRDefault="003032B6" w:rsidP="00C86DA5">
      <w:pPr>
        <w:pStyle w:val="Prrafodelista"/>
        <w:numPr>
          <w:ilvl w:val="0"/>
          <w:numId w:val="56"/>
        </w:numPr>
        <w:tabs>
          <w:tab w:val="left" w:pos="-2268"/>
        </w:tabs>
        <w:suppressAutoHyphens/>
        <w:ind w:left="567" w:hanging="567"/>
        <w:rPr>
          <w:rFonts w:cs="Arial"/>
          <w:spacing w:val="-3"/>
          <w:lang w:val="es-CO"/>
        </w:rPr>
      </w:pPr>
      <w:r w:rsidRPr="00BD1319">
        <w:rPr>
          <w:spacing w:val="-3"/>
        </w:rPr>
        <w:t xml:space="preserve">Impacto potencial a </w:t>
      </w:r>
      <w:r w:rsidR="002C5B64" w:rsidRPr="00BD1319">
        <w:rPr>
          <w:spacing w:val="-3"/>
        </w:rPr>
        <w:t xml:space="preserve">personas o </w:t>
      </w:r>
      <w:r w:rsidRPr="00BD1319">
        <w:rPr>
          <w:rFonts w:cs="Arial"/>
          <w:spacing w:val="-3"/>
          <w:lang w:val="es-CO"/>
        </w:rPr>
        <w:t xml:space="preserve">grupos </w:t>
      </w:r>
      <w:r w:rsidR="002C5B64" w:rsidRPr="00BD1319">
        <w:rPr>
          <w:rFonts w:cs="Arial"/>
        </w:rPr>
        <w:t>personas o grupos con mayores dificultades para acceder a la información</w:t>
      </w:r>
      <w:r w:rsidR="002C5B64" w:rsidRPr="00BD1319">
        <w:rPr>
          <w:rStyle w:val="Refdenotaalpie"/>
          <w:rFonts w:cs="Arial"/>
        </w:rPr>
        <w:footnoteReference w:id="64"/>
      </w:r>
      <w:r w:rsidRPr="00BD1319">
        <w:rPr>
          <w:rFonts w:cs="Arial"/>
          <w:spacing w:val="-3"/>
          <w:lang w:val="es-CO"/>
        </w:rPr>
        <w:t xml:space="preserve">, sujetos de especial protección </w:t>
      </w:r>
      <w:r w:rsidRPr="00BD1319">
        <w:rPr>
          <w:rFonts w:cs="Arial"/>
          <w:spacing w:val="-3"/>
          <w:lang w:val="es-CO"/>
        </w:rPr>
        <w:lastRenderedPageBreak/>
        <w:t>constitucional</w:t>
      </w:r>
      <w:r w:rsidRPr="00BD1319">
        <w:rPr>
          <w:rStyle w:val="Refdenotaalpie"/>
          <w:rFonts w:cs="Arial"/>
          <w:spacing w:val="-3"/>
        </w:rPr>
        <w:footnoteReference w:id="65"/>
      </w:r>
      <w:r w:rsidRPr="00BD1319">
        <w:rPr>
          <w:rFonts w:cs="Arial"/>
          <w:spacing w:val="-3"/>
          <w:lang w:val="es-CO"/>
        </w:rPr>
        <w:t xml:space="preserve"> y a personas y organizaciones defensoras de derechos humanos en asuntos ambientales.</w:t>
      </w:r>
    </w:p>
    <w:p w14:paraId="36C7CE4F" w14:textId="77777777" w:rsidR="005D7203" w:rsidRPr="00BD1319" w:rsidRDefault="005D7203">
      <w:pPr>
        <w:tabs>
          <w:tab w:val="left" w:pos="-2268"/>
        </w:tabs>
        <w:suppressAutoHyphens/>
        <w:rPr>
          <w:spacing w:val="-3"/>
        </w:rPr>
      </w:pPr>
    </w:p>
    <w:p w14:paraId="2A426DBD" w14:textId="3D97CD85" w:rsidR="005D7203" w:rsidRPr="00BD1319" w:rsidRDefault="00E61C30" w:rsidP="00C86DA5">
      <w:pPr>
        <w:numPr>
          <w:ilvl w:val="0"/>
          <w:numId w:val="56"/>
        </w:numPr>
        <w:tabs>
          <w:tab w:val="left" w:pos="-2268"/>
        </w:tabs>
        <w:suppressAutoHyphens/>
        <w:ind w:left="567" w:hanging="567"/>
        <w:rPr>
          <w:spacing w:val="-3"/>
        </w:rPr>
      </w:pPr>
      <w:r w:rsidRPr="00BD1319">
        <w:rPr>
          <w:spacing w:val="-3"/>
        </w:rPr>
        <w:t xml:space="preserve">Impacto potencial </w:t>
      </w:r>
      <w:r w:rsidR="005D7203" w:rsidRPr="00BD1319">
        <w:rPr>
          <w:spacing w:val="-3"/>
        </w:rPr>
        <w:t>(alto, medio y bajo) en la conectividad</w:t>
      </w:r>
      <w:r w:rsidRPr="00BD1319">
        <w:rPr>
          <w:spacing w:val="-3"/>
        </w:rPr>
        <w:t>, considerando la</w:t>
      </w:r>
      <w:r w:rsidR="005D7203" w:rsidRPr="00BD1319">
        <w:rPr>
          <w:spacing w:val="-3"/>
        </w:rPr>
        <w:t xml:space="preserve"> movilidad de la población </w:t>
      </w:r>
      <w:r w:rsidRPr="00BD1319">
        <w:rPr>
          <w:spacing w:val="-3"/>
        </w:rPr>
        <w:t xml:space="preserve">(inclusive bajo </w:t>
      </w:r>
      <w:r w:rsidR="005D7203" w:rsidRPr="00BD1319">
        <w:rPr>
          <w:spacing w:val="-3"/>
        </w:rPr>
        <w:t xml:space="preserve">modalidades tradicionales </w:t>
      </w:r>
      <w:r w:rsidRPr="00BD1319">
        <w:rPr>
          <w:spacing w:val="-3"/>
        </w:rPr>
        <w:t xml:space="preserve">como </w:t>
      </w:r>
      <w:r w:rsidR="005D7203" w:rsidRPr="00BD1319">
        <w:rPr>
          <w:spacing w:val="-3"/>
        </w:rPr>
        <w:t>vehicular, animal, peatonal) y la accesibilidad a predios, veredas e infraestructura social y comunitaria.</w:t>
      </w:r>
    </w:p>
    <w:p w14:paraId="5178B89C" w14:textId="77777777" w:rsidR="005D7203" w:rsidRPr="00BD1319" w:rsidRDefault="005D7203">
      <w:pPr>
        <w:tabs>
          <w:tab w:val="left" w:pos="-2268"/>
        </w:tabs>
        <w:suppressAutoHyphens/>
        <w:rPr>
          <w:spacing w:val="-3"/>
        </w:rPr>
      </w:pPr>
    </w:p>
    <w:p w14:paraId="1F4F276B" w14:textId="338260BB" w:rsidR="005D7203" w:rsidRPr="00BD1319" w:rsidRDefault="005D7203" w:rsidP="00C86DA5">
      <w:pPr>
        <w:numPr>
          <w:ilvl w:val="0"/>
          <w:numId w:val="56"/>
        </w:numPr>
        <w:tabs>
          <w:tab w:val="left" w:pos="-2268"/>
        </w:tabs>
        <w:suppressAutoHyphens/>
        <w:ind w:left="567" w:hanging="567"/>
        <w:rPr>
          <w:spacing w:val="-3"/>
        </w:rPr>
      </w:pPr>
      <w:r w:rsidRPr="00BD1319">
        <w:rPr>
          <w:spacing w:val="-3"/>
        </w:rPr>
        <w:t>Percepción de l</w:t>
      </w:r>
      <w:r w:rsidR="005A65FD" w:rsidRPr="00BD1319">
        <w:rPr>
          <w:spacing w:val="-3"/>
        </w:rPr>
        <w:t xml:space="preserve">os grupos de interés </w:t>
      </w:r>
      <w:r w:rsidR="00743DAF" w:rsidRPr="00BD1319">
        <w:rPr>
          <w:spacing w:val="-3"/>
        </w:rPr>
        <w:t>(</w:t>
      </w:r>
      <w:r w:rsidRPr="00BD1319">
        <w:rPr>
          <w:spacing w:val="-3"/>
        </w:rPr>
        <w:t>acuerdo, desacuerdo o indiferencia</w:t>
      </w:r>
      <w:r w:rsidR="00743DAF" w:rsidRPr="00BD1319">
        <w:rPr>
          <w:spacing w:val="-3"/>
        </w:rPr>
        <w:t>)</w:t>
      </w:r>
      <w:r w:rsidR="005A65FD" w:rsidRPr="00BD1319">
        <w:rPr>
          <w:spacing w:val="-3"/>
        </w:rPr>
        <w:t>; esta información debe obtenerse mediante los procesos de participación</w:t>
      </w:r>
      <w:r w:rsidRPr="00BD1319">
        <w:rPr>
          <w:spacing w:val="-3"/>
        </w:rPr>
        <w:t>.</w:t>
      </w:r>
    </w:p>
    <w:p w14:paraId="3AA7F92E" w14:textId="77777777" w:rsidR="005D7203" w:rsidRPr="00BD1319" w:rsidRDefault="005D7203">
      <w:pPr>
        <w:tabs>
          <w:tab w:val="left" w:pos="-2268"/>
        </w:tabs>
        <w:suppressAutoHyphens/>
        <w:rPr>
          <w:spacing w:val="-3"/>
        </w:rPr>
      </w:pPr>
    </w:p>
    <w:p w14:paraId="590F3439" w14:textId="3CD58FA3" w:rsidR="005D7203" w:rsidRPr="005A685F" w:rsidRDefault="00A40560" w:rsidP="00C86DA5">
      <w:pPr>
        <w:numPr>
          <w:ilvl w:val="0"/>
          <w:numId w:val="56"/>
        </w:numPr>
        <w:tabs>
          <w:tab w:val="left" w:pos="-2268"/>
        </w:tabs>
        <w:suppressAutoHyphens/>
        <w:ind w:left="567" w:hanging="567"/>
        <w:rPr>
          <w:spacing w:val="-3"/>
          <w:lang w:val="pt-PT"/>
        </w:rPr>
      </w:pPr>
      <w:r w:rsidRPr="005A685F">
        <w:rPr>
          <w:spacing w:val="-3"/>
          <w:lang w:val="pt-PT"/>
        </w:rPr>
        <w:t xml:space="preserve">Impacto potencial </w:t>
      </w:r>
      <w:r w:rsidR="005D7203" w:rsidRPr="005A685F">
        <w:rPr>
          <w:spacing w:val="-3"/>
          <w:lang w:val="pt-PT"/>
        </w:rPr>
        <w:t>a áreas de interés social</w:t>
      </w:r>
      <w:r w:rsidRPr="005A685F">
        <w:rPr>
          <w:spacing w:val="-3"/>
          <w:lang w:val="pt-PT"/>
        </w:rPr>
        <w:t xml:space="preserve"> o</w:t>
      </w:r>
      <w:r w:rsidR="005D7203" w:rsidRPr="005A685F">
        <w:rPr>
          <w:spacing w:val="-3"/>
          <w:lang w:val="pt-PT"/>
        </w:rPr>
        <w:t xml:space="preserve"> económico o </w:t>
      </w:r>
      <w:r w:rsidRPr="005A685F">
        <w:rPr>
          <w:spacing w:val="-3"/>
          <w:lang w:val="pt-PT"/>
        </w:rPr>
        <w:t xml:space="preserve">a </w:t>
      </w:r>
      <w:r w:rsidR="005D7203" w:rsidRPr="005A685F">
        <w:rPr>
          <w:spacing w:val="-3"/>
          <w:lang w:val="pt-PT"/>
        </w:rPr>
        <w:t>territorios de uso restringido.</w:t>
      </w:r>
    </w:p>
    <w:p w14:paraId="375358BB" w14:textId="77777777" w:rsidR="005D7203" w:rsidRPr="005A685F" w:rsidRDefault="005D7203">
      <w:pPr>
        <w:tabs>
          <w:tab w:val="left" w:pos="-2268"/>
        </w:tabs>
        <w:suppressAutoHyphens/>
        <w:rPr>
          <w:spacing w:val="-3"/>
          <w:lang w:val="pt-PT"/>
        </w:rPr>
      </w:pPr>
    </w:p>
    <w:p w14:paraId="137FD89A" w14:textId="356D768E" w:rsidR="005D7203" w:rsidRPr="005A685F" w:rsidRDefault="00467EDB" w:rsidP="00C86DA5">
      <w:pPr>
        <w:numPr>
          <w:ilvl w:val="0"/>
          <w:numId w:val="56"/>
        </w:numPr>
        <w:tabs>
          <w:tab w:val="left" w:pos="-2268"/>
        </w:tabs>
        <w:suppressAutoHyphens/>
        <w:ind w:left="567" w:hanging="567"/>
        <w:rPr>
          <w:spacing w:val="-3"/>
          <w:lang w:val="pt-PT"/>
        </w:rPr>
      </w:pPr>
      <w:r w:rsidRPr="005A685F">
        <w:rPr>
          <w:spacing w:val="-3"/>
          <w:lang w:val="pt-PT"/>
        </w:rPr>
        <w:t xml:space="preserve">Impacto potencial a </w:t>
      </w:r>
      <w:r w:rsidR="00ED5601" w:rsidRPr="005A685F">
        <w:rPr>
          <w:spacing w:val="-3"/>
          <w:lang w:val="pt-PT"/>
        </w:rPr>
        <w:t xml:space="preserve">reservas campesinas, </w:t>
      </w:r>
      <w:r w:rsidR="005D7203" w:rsidRPr="005A685F">
        <w:rPr>
          <w:spacing w:val="-3"/>
          <w:lang w:val="pt-PT"/>
        </w:rPr>
        <w:t xml:space="preserve">territorios </w:t>
      </w:r>
      <w:r w:rsidR="005A65FD" w:rsidRPr="005A685F">
        <w:rPr>
          <w:spacing w:val="-3"/>
          <w:lang w:val="pt-PT"/>
        </w:rPr>
        <w:t>de comunidades negras</w:t>
      </w:r>
      <w:r w:rsidR="005D7203" w:rsidRPr="005A685F">
        <w:rPr>
          <w:spacing w:val="-3"/>
          <w:lang w:val="pt-PT"/>
        </w:rPr>
        <w:t xml:space="preserve"> </w:t>
      </w:r>
      <w:r w:rsidR="00ED5601" w:rsidRPr="005A685F">
        <w:rPr>
          <w:spacing w:val="-3"/>
          <w:lang w:val="pt-PT"/>
        </w:rPr>
        <w:t>o resguardos indígenas constituidos o en proceso de constitución o ampliación</w:t>
      </w:r>
      <w:r w:rsidR="005D7203" w:rsidRPr="005A685F">
        <w:rPr>
          <w:spacing w:val="-3"/>
          <w:lang w:val="pt-PT"/>
        </w:rPr>
        <w:t>.</w:t>
      </w:r>
    </w:p>
    <w:p w14:paraId="2AA5372E" w14:textId="77777777" w:rsidR="005D7203" w:rsidRPr="005A685F" w:rsidRDefault="005D7203">
      <w:pPr>
        <w:tabs>
          <w:tab w:val="left" w:pos="-2268"/>
        </w:tabs>
        <w:suppressAutoHyphens/>
        <w:rPr>
          <w:spacing w:val="-3"/>
          <w:lang w:val="pt-PT"/>
        </w:rPr>
      </w:pPr>
    </w:p>
    <w:p w14:paraId="1F42B222" w14:textId="1ED058A8" w:rsidR="005D7203" w:rsidRPr="005A685F" w:rsidRDefault="00E268E7" w:rsidP="00C86DA5">
      <w:pPr>
        <w:numPr>
          <w:ilvl w:val="0"/>
          <w:numId w:val="56"/>
        </w:numPr>
        <w:tabs>
          <w:tab w:val="left" w:pos="-2268"/>
        </w:tabs>
        <w:suppressAutoHyphens/>
        <w:ind w:left="567" w:hanging="567"/>
        <w:rPr>
          <w:spacing w:val="-3"/>
          <w:lang w:val="pt-PT"/>
        </w:rPr>
      </w:pPr>
      <w:r w:rsidRPr="005A685F">
        <w:rPr>
          <w:spacing w:val="-3"/>
          <w:lang w:val="pt-PT"/>
        </w:rPr>
        <w:t>Impacto potencial a z</w:t>
      </w:r>
      <w:r w:rsidR="005D7203" w:rsidRPr="005A685F">
        <w:rPr>
          <w:spacing w:val="-3"/>
          <w:lang w:val="pt-PT"/>
        </w:rPr>
        <w:t>onas de concesiones especiales (</w:t>
      </w:r>
      <w:r w:rsidR="00041844" w:rsidRPr="005A685F">
        <w:rPr>
          <w:spacing w:val="-3"/>
          <w:lang w:val="pt-PT"/>
        </w:rPr>
        <w:t>p. ej.</w:t>
      </w:r>
      <w:r w:rsidR="005D7203" w:rsidRPr="005A685F">
        <w:rPr>
          <w:spacing w:val="-3"/>
          <w:lang w:val="pt-PT"/>
        </w:rPr>
        <w:t xml:space="preserve"> áreas de playa para turismo)</w:t>
      </w:r>
      <w:r w:rsidRPr="005A685F">
        <w:rPr>
          <w:spacing w:val="-3"/>
          <w:lang w:val="pt-PT"/>
        </w:rPr>
        <w:t>, considerando los usos definidos para éstas</w:t>
      </w:r>
      <w:r w:rsidR="005D7203" w:rsidRPr="005A685F">
        <w:rPr>
          <w:spacing w:val="-3"/>
          <w:lang w:val="pt-PT"/>
        </w:rPr>
        <w:t>.</w:t>
      </w:r>
    </w:p>
    <w:p w14:paraId="5CB894B2" w14:textId="77777777" w:rsidR="005D7203" w:rsidRPr="005A685F" w:rsidRDefault="005D7203">
      <w:pPr>
        <w:tabs>
          <w:tab w:val="left" w:pos="-2268"/>
        </w:tabs>
        <w:suppressAutoHyphens/>
        <w:rPr>
          <w:spacing w:val="-3"/>
          <w:lang w:val="pt-PT"/>
        </w:rPr>
      </w:pPr>
    </w:p>
    <w:p w14:paraId="2D5334EA" w14:textId="5C2E7946" w:rsidR="00514ED9" w:rsidRPr="00BD1319" w:rsidRDefault="00B457B3" w:rsidP="00514ED9">
      <w:pPr>
        <w:pStyle w:val="Prrafodelista"/>
        <w:numPr>
          <w:ilvl w:val="0"/>
          <w:numId w:val="56"/>
        </w:numPr>
        <w:ind w:left="567" w:hanging="567"/>
        <w:rPr>
          <w:rFonts w:cs="Arial"/>
          <w:spacing w:val="-3"/>
          <w:lang w:val="es-CO"/>
        </w:rPr>
      </w:pPr>
      <w:r w:rsidRPr="00BD1319">
        <w:rPr>
          <w:rFonts w:cs="Arial"/>
          <w:spacing w:val="-3"/>
          <w:lang w:val="es-CO"/>
        </w:rPr>
        <w:t>Impacto p</w:t>
      </w:r>
      <w:r w:rsidR="00514ED9" w:rsidRPr="00BD1319">
        <w:rPr>
          <w:rFonts w:cs="Arial"/>
          <w:spacing w:val="-3"/>
          <w:lang w:val="es-CO"/>
        </w:rPr>
        <w:t>otencial a infraestructura para el desarrollo de las actividades económicas (agropecuarias, mineras, piscícolas, forestales, pesqueras, de conducción y explotación de hidrocarburos, industriales, entre otras) y la prestación de servicios públicos (transmisión de energía eléctrica; transporte aéreo, carretero, férreo y fluvial; manejo de residuos sólidos en rellenos sanitarios; acueductos; alcantarillados; de educación y salud; entre otras).</w:t>
      </w:r>
    </w:p>
    <w:p w14:paraId="7CC4483B" w14:textId="77777777" w:rsidR="00514ED9" w:rsidRPr="00BD1319" w:rsidRDefault="00514ED9">
      <w:pPr>
        <w:tabs>
          <w:tab w:val="left" w:pos="-2268"/>
        </w:tabs>
        <w:suppressAutoHyphens/>
        <w:rPr>
          <w:spacing w:val="-3"/>
        </w:rPr>
      </w:pPr>
    </w:p>
    <w:p w14:paraId="302D6268" w14:textId="39285048" w:rsidR="005D7203" w:rsidRPr="00BD1319" w:rsidRDefault="005D7203" w:rsidP="00216955">
      <w:pPr>
        <w:pStyle w:val="Ttulo3"/>
      </w:pPr>
      <w:bookmarkStart w:id="2491" w:name="_Toc42779209"/>
      <w:bookmarkStart w:id="2492" w:name="_Toc175326737"/>
      <w:r w:rsidRPr="00BD1319">
        <w:t xml:space="preserve">Criterios </w:t>
      </w:r>
      <w:bookmarkEnd w:id="2491"/>
      <w:r w:rsidR="005F1E0B" w:rsidRPr="00BD1319">
        <w:t>de tipo general</w:t>
      </w:r>
      <w:bookmarkEnd w:id="2492"/>
    </w:p>
    <w:p w14:paraId="5824FF47" w14:textId="77777777" w:rsidR="005D7203" w:rsidRPr="00BD1319" w:rsidRDefault="005D7203">
      <w:pPr>
        <w:numPr>
          <w:ilvl w:val="12"/>
          <w:numId w:val="0"/>
        </w:numPr>
        <w:tabs>
          <w:tab w:val="left" w:pos="-2268"/>
        </w:tabs>
        <w:suppressAutoHyphens/>
        <w:rPr>
          <w:spacing w:val="-3"/>
        </w:rPr>
      </w:pPr>
    </w:p>
    <w:p w14:paraId="1E623C48" w14:textId="41651FD6" w:rsidR="005D7203" w:rsidRPr="00BD1319" w:rsidRDefault="0037720E">
      <w:pPr>
        <w:numPr>
          <w:ilvl w:val="12"/>
          <w:numId w:val="0"/>
        </w:numPr>
        <w:tabs>
          <w:tab w:val="left" w:pos="-2268"/>
        </w:tabs>
        <w:suppressAutoHyphens/>
        <w:rPr>
          <w:spacing w:val="-3"/>
        </w:rPr>
      </w:pPr>
      <w:r w:rsidRPr="00BD1319">
        <w:rPr>
          <w:spacing w:val="-3"/>
        </w:rPr>
        <w:t xml:space="preserve">Adicional a los criterios particulares a </w:t>
      </w:r>
      <w:r w:rsidR="005D7203" w:rsidRPr="00BD1319">
        <w:rPr>
          <w:spacing w:val="-3"/>
        </w:rPr>
        <w:t>los medios abiótico, biótico y socioeconómico</w:t>
      </w:r>
      <w:r w:rsidRPr="00BD1319">
        <w:rPr>
          <w:spacing w:val="-3"/>
        </w:rPr>
        <w:t xml:space="preserve">, la evaluación y comparación de alternativas </w:t>
      </w:r>
      <w:r w:rsidR="00021143" w:rsidRPr="00BD1319">
        <w:rPr>
          <w:spacing w:val="-3"/>
        </w:rPr>
        <w:t xml:space="preserve">puede </w:t>
      </w:r>
      <w:r w:rsidRPr="00BD1319">
        <w:rPr>
          <w:spacing w:val="-3"/>
        </w:rPr>
        <w:t xml:space="preserve">considerar </w:t>
      </w:r>
      <w:r w:rsidR="005D7203" w:rsidRPr="00BD1319">
        <w:rPr>
          <w:spacing w:val="-3"/>
        </w:rPr>
        <w:t>los siguientes criterios</w:t>
      </w:r>
      <w:r w:rsidRPr="00BD1319">
        <w:rPr>
          <w:spacing w:val="-3"/>
        </w:rPr>
        <w:t xml:space="preserve"> de carácter general</w:t>
      </w:r>
      <w:r w:rsidR="005D7203" w:rsidRPr="00BD1319">
        <w:rPr>
          <w:spacing w:val="-3"/>
        </w:rPr>
        <w:t>:</w:t>
      </w:r>
    </w:p>
    <w:p w14:paraId="39AF68CE" w14:textId="77777777" w:rsidR="005D7203" w:rsidRPr="00BD1319" w:rsidRDefault="005D7203">
      <w:pPr>
        <w:numPr>
          <w:ilvl w:val="12"/>
          <w:numId w:val="0"/>
        </w:numPr>
        <w:tabs>
          <w:tab w:val="left" w:pos="-2268"/>
        </w:tabs>
        <w:suppressAutoHyphens/>
        <w:rPr>
          <w:spacing w:val="-3"/>
        </w:rPr>
      </w:pPr>
    </w:p>
    <w:p w14:paraId="6476947C" w14:textId="05A6C734" w:rsidR="0037720E" w:rsidRPr="00BD1319" w:rsidRDefault="0037720E" w:rsidP="0037720E">
      <w:pPr>
        <w:numPr>
          <w:ilvl w:val="0"/>
          <w:numId w:val="56"/>
        </w:numPr>
        <w:tabs>
          <w:tab w:val="left" w:pos="-2268"/>
        </w:tabs>
        <w:suppressAutoHyphens/>
        <w:ind w:left="567" w:hanging="567"/>
        <w:rPr>
          <w:spacing w:val="-3"/>
        </w:rPr>
      </w:pPr>
      <w:r w:rsidRPr="00BD1319">
        <w:rPr>
          <w:spacing w:val="-3"/>
        </w:rPr>
        <w:t xml:space="preserve">Incorporación de elementos tecnológicos, constructivos y de diseño para la prevención y </w:t>
      </w:r>
      <w:r w:rsidR="009B3DA0" w:rsidRPr="00BD1319">
        <w:rPr>
          <w:spacing w:val="-3"/>
        </w:rPr>
        <w:t xml:space="preserve">mitigación </w:t>
      </w:r>
      <w:r w:rsidRPr="00BD1319">
        <w:rPr>
          <w:spacing w:val="-3"/>
        </w:rPr>
        <w:t>de impactos ambientales potenciales.</w:t>
      </w:r>
    </w:p>
    <w:p w14:paraId="2CB986D6" w14:textId="77777777" w:rsidR="0037720E" w:rsidRPr="00BD1319" w:rsidRDefault="0037720E">
      <w:pPr>
        <w:numPr>
          <w:ilvl w:val="12"/>
          <w:numId w:val="0"/>
        </w:numPr>
        <w:tabs>
          <w:tab w:val="left" w:pos="-2268"/>
        </w:tabs>
        <w:suppressAutoHyphens/>
        <w:rPr>
          <w:spacing w:val="-3"/>
        </w:rPr>
      </w:pPr>
    </w:p>
    <w:p w14:paraId="2B653005" w14:textId="6A34D01C" w:rsidR="0037720E" w:rsidRPr="00BD1319" w:rsidRDefault="0037720E" w:rsidP="0037720E">
      <w:pPr>
        <w:numPr>
          <w:ilvl w:val="0"/>
          <w:numId w:val="56"/>
        </w:numPr>
        <w:tabs>
          <w:tab w:val="left" w:pos="-2268"/>
        </w:tabs>
        <w:suppressAutoHyphens/>
        <w:ind w:left="567" w:hanging="567"/>
        <w:rPr>
          <w:spacing w:val="-3"/>
        </w:rPr>
      </w:pPr>
      <w:r w:rsidRPr="00BD1319">
        <w:rPr>
          <w:spacing w:val="-3"/>
        </w:rPr>
        <w:lastRenderedPageBreak/>
        <w:t>Consonancia con los usos del suelo establecidos en los instrumentos de ordenamiento territorial y con los usos del agua señalados en los instrumentos de planificación del recurso hídrico.</w:t>
      </w:r>
    </w:p>
    <w:p w14:paraId="63EFF101" w14:textId="77777777" w:rsidR="0037720E" w:rsidRPr="00BD1319" w:rsidRDefault="0037720E" w:rsidP="0037720E">
      <w:pPr>
        <w:tabs>
          <w:tab w:val="left" w:pos="-2268"/>
        </w:tabs>
        <w:suppressAutoHyphens/>
        <w:rPr>
          <w:spacing w:val="-3"/>
        </w:rPr>
      </w:pPr>
    </w:p>
    <w:p w14:paraId="69CD992B" w14:textId="7AEB7F31" w:rsidR="0037720E" w:rsidRPr="00BD1319" w:rsidRDefault="000E098F" w:rsidP="0037720E">
      <w:pPr>
        <w:numPr>
          <w:ilvl w:val="0"/>
          <w:numId w:val="56"/>
        </w:numPr>
        <w:tabs>
          <w:tab w:val="left" w:pos="-2268"/>
        </w:tabs>
        <w:suppressAutoHyphens/>
        <w:ind w:left="567" w:hanging="567"/>
        <w:rPr>
          <w:spacing w:val="-3"/>
        </w:rPr>
      </w:pPr>
      <w:r w:rsidRPr="00BD1319">
        <w:rPr>
          <w:spacing w:val="-3"/>
        </w:rPr>
        <w:t xml:space="preserve">Impactos </w:t>
      </w:r>
      <w:r w:rsidR="0037720E" w:rsidRPr="00BD1319">
        <w:rPr>
          <w:spacing w:val="-3"/>
        </w:rPr>
        <w:t>potencial</w:t>
      </w:r>
      <w:r w:rsidRPr="00BD1319">
        <w:rPr>
          <w:spacing w:val="-3"/>
        </w:rPr>
        <w:t>es</w:t>
      </w:r>
      <w:r w:rsidR="0037720E" w:rsidRPr="00BD1319">
        <w:rPr>
          <w:spacing w:val="-3"/>
        </w:rPr>
        <w:t xml:space="preserve"> </w:t>
      </w:r>
      <w:r w:rsidRPr="00BD1319">
        <w:rPr>
          <w:spacing w:val="-3"/>
        </w:rPr>
        <w:t>a</w:t>
      </w:r>
      <w:r w:rsidR="0037720E" w:rsidRPr="00BD1319">
        <w:rPr>
          <w:spacing w:val="-3"/>
        </w:rPr>
        <w:t xml:space="preserve">l paisaje </w:t>
      </w:r>
      <w:r w:rsidRPr="00BD1319">
        <w:rPr>
          <w:spacing w:val="-3"/>
        </w:rPr>
        <w:t xml:space="preserve">relacionados con la </w:t>
      </w:r>
      <w:r w:rsidR="00B74D90" w:rsidRPr="00BD1319">
        <w:rPr>
          <w:spacing w:val="-3"/>
        </w:rPr>
        <w:t>visibilidad</w:t>
      </w:r>
      <w:r w:rsidRPr="00BD1319">
        <w:rPr>
          <w:spacing w:val="-3"/>
        </w:rPr>
        <w:t xml:space="preserve"> y la </w:t>
      </w:r>
      <w:r w:rsidR="00B74D90" w:rsidRPr="00BD1319">
        <w:rPr>
          <w:spacing w:val="-3"/>
        </w:rPr>
        <w:t>calidad y fragilidad visual</w:t>
      </w:r>
      <w:r w:rsidR="0037720E" w:rsidRPr="00BD1319">
        <w:rPr>
          <w:spacing w:val="-3"/>
        </w:rPr>
        <w:t>.</w:t>
      </w:r>
    </w:p>
    <w:p w14:paraId="575322A6" w14:textId="77777777" w:rsidR="0037720E" w:rsidRPr="00BD1319" w:rsidRDefault="0037720E">
      <w:pPr>
        <w:numPr>
          <w:ilvl w:val="12"/>
          <w:numId w:val="0"/>
        </w:numPr>
        <w:tabs>
          <w:tab w:val="left" w:pos="-2268"/>
        </w:tabs>
        <w:suppressAutoHyphens/>
        <w:rPr>
          <w:spacing w:val="-3"/>
        </w:rPr>
      </w:pPr>
    </w:p>
    <w:p w14:paraId="195467BA" w14:textId="114E46D1" w:rsidR="005D7203" w:rsidRPr="00BD1319" w:rsidRDefault="00A84FF4" w:rsidP="00C86DA5">
      <w:pPr>
        <w:numPr>
          <w:ilvl w:val="0"/>
          <w:numId w:val="56"/>
        </w:numPr>
        <w:tabs>
          <w:tab w:val="left" w:pos="-2268"/>
        </w:tabs>
        <w:suppressAutoHyphens/>
        <w:ind w:left="567" w:hanging="567"/>
        <w:rPr>
          <w:spacing w:val="-3"/>
        </w:rPr>
      </w:pPr>
      <w:r w:rsidRPr="00BD1319">
        <w:rPr>
          <w:spacing w:val="-3"/>
        </w:rPr>
        <w:t>P</w:t>
      </w:r>
      <w:r w:rsidR="00E341BD" w:rsidRPr="00BD1319">
        <w:rPr>
          <w:spacing w:val="-3"/>
        </w:rPr>
        <w:t>otencial superficie a intervenir con condiciones de riesgo alto.</w:t>
      </w:r>
    </w:p>
    <w:p w14:paraId="561C0996" w14:textId="77777777" w:rsidR="005D7203" w:rsidRPr="00BD1319" w:rsidRDefault="005D7203">
      <w:pPr>
        <w:tabs>
          <w:tab w:val="left" w:pos="-2268"/>
        </w:tabs>
        <w:suppressAutoHyphens/>
        <w:rPr>
          <w:spacing w:val="-3"/>
        </w:rPr>
      </w:pPr>
    </w:p>
    <w:p w14:paraId="0CA8901E" w14:textId="02FF8863" w:rsidR="005D7203" w:rsidRPr="00BD1319" w:rsidRDefault="00E525DD" w:rsidP="00C86DA5">
      <w:pPr>
        <w:numPr>
          <w:ilvl w:val="0"/>
          <w:numId w:val="56"/>
        </w:numPr>
        <w:tabs>
          <w:tab w:val="left" w:pos="-2268"/>
        </w:tabs>
        <w:suppressAutoHyphens/>
        <w:ind w:left="567" w:hanging="567"/>
        <w:rPr>
          <w:spacing w:val="-3"/>
        </w:rPr>
      </w:pPr>
      <w:r w:rsidRPr="00BD1319">
        <w:rPr>
          <w:spacing w:val="-3"/>
        </w:rPr>
        <w:t>Resultados de la z</w:t>
      </w:r>
      <w:r w:rsidR="005D7203" w:rsidRPr="00BD1319">
        <w:rPr>
          <w:spacing w:val="-3"/>
        </w:rPr>
        <w:t>onificación ambiental.</w:t>
      </w:r>
      <w:r w:rsidR="006E79BC" w:rsidRPr="00BD1319">
        <w:rPr>
          <w:spacing w:val="-3"/>
        </w:rPr>
        <w:t xml:space="preserve"> Por ejemplo, proporción del área de estudio </w:t>
      </w:r>
      <w:r w:rsidR="00D86D4D" w:rsidRPr="00BD1319">
        <w:rPr>
          <w:spacing w:val="-3"/>
        </w:rPr>
        <w:t>con categoría “</w:t>
      </w:r>
      <w:r w:rsidR="006E79BC" w:rsidRPr="00BD1319">
        <w:rPr>
          <w:rFonts w:cs="Arial"/>
          <w:spacing w:val="-3"/>
        </w:rPr>
        <w:t>alta” y “muy alta</w:t>
      </w:r>
      <w:r w:rsidR="00D86D4D" w:rsidRPr="00BD1319">
        <w:rPr>
          <w:rFonts w:cs="Arial"/>
          <w:spacing w:val="-3"/>
        </w:rPr>
        <w:t xml:space="preserve">” potencialmente </w:t>
      </w:r>
      <w:r w:rsidRPr="00BD1319">
        <w:rPr>
          <w:rFonts w:cs="Arial"/>
          <w:spacing w:val="-3"/>
        </w:rPr>
        <w:t>ocupada por áreas a intervenir</w:t>
      </w:r>
      <w:r w:rsidR="00D86D4D" w:rsidRPr="00BD1319">
        <w:rPr>
          <w:rFonts w:cs="Arial"/>
          <w:spacing w:val="-3"/>
        </w:rPr>
        <w:t>.</w:t>
      </w:r>
    </w:p>
    <w:p w14:paraId="39AD9375" w14:textId="77777777" w:rsidR="005D7203" w:rsidRPr="00BD1319" w:rsidRDefault="005D7203">
      <w:pPr>
        <w:tabs>
          <w:tab w:val="left" w:pos="-2268"/>
        </w:tabs>
        <w:suppressAutoHyphens/>
        <w:rPr>
          <w:spacing w:val="-3"/>
        </w:rPr>
      </w:pPr>
    </w:p>
    <w:p w14:paraId="52FED10F" w14:textId="5EB024ED" w:rsidR="005D7203" w:rsidRPr="00BD1319" w:rsidRDefault="00DD62C9" w:rsidP="009420F5">
      <w:pPr>
        <w:numPr>
          <w:ilvl w:val="0"/>
          <w:numId w:val="56"/>
        </w:numPr>
        <w:tabs>
          <w:tab w:val="left" w:pos="-2268"/>
        </w:tabs>
        <w:suppressAutoHyphens/>
        <w:ind w:left="567" w:hanging="567"/>
        <w:rPr>
          <w:spacing w:val="-3"/>
        </w:rPr>
      </w:pPr>
      <w:r w:rsidRPr="00BD1319">
        <w:rPr>
          <w:spacing w:val="-3"/>
        </w:rPr>
        <w:t xml:space="preserve">Resultado de la </w:t>
      </w:r>
      <w:r w:rsidR="000404AA" w:rsidRPr="00BD1319">
        <w:rPr>
          <w:spacing w:val="-3"/>
        </w:rPr>
        <w:t xml:space="preserve">determinación </w:t>
      </w:r>
      <w:r w:rsidRPr="00BD1319">
        <w:rPr>
          <w:spacing w:val="-3"/>
        </w:rPr>
        <w:t xml:space="preserve">y evaluación </w:t>
      </w:r>
      <w:r w:rsidR="005D7203" w:rsidRPr="00BD1319">
        <w:rPr>
          <w:spacing w:val="-3"/>
        </w:rPr>
        <w:t xml:space="preserve">de impactos </w:t>
      </w:r>
      <w:r w:rsidR="002546D8" w:rsidRPr="00BD1319">
        <w:rPr>
          <w:spacing w:val="-3"/>
        </w:rPr>
        <w:t xml:space="preserve">ambientales </w:t>
      </w:r>
      <w:r w:rsidR="005D7203" w:rsidRPr="00BD1319">
        <w:rPr>
          <w:spacing w:val="-3"/>
        </w:rPr>
        <w:t>potenciales</w:t>
      </w:r>
      <w:r w:rsidR="005D7203" w:rsidRPr="00BD1319">
        <w:rPr>
          <w:rFonts w:cs="Arial"/>
          <w:spacing w:val="-3"/>
        </w:rPr>
        <w:t>.</w:t>
      </w:r>
      <w:r w:rsidR="000C7252" w:rsidRPr="00BD1319">
        <w:rPr>
          <w:rFonts w:cs="Arial"/>
          <w:spacing w:val="-3"/>
        </w:rPr>
        <w:t xml:space="preserve"> Por ejemplo, cantidad</w:t>
      </w:r>
      <w:r w:rsidR="00091B7F" w:rsidRPr="00BD1319">
        <w:rPr>
          <w:rFonts w:cs="Arial"/>
          <w:spacing w:val="-3"/>
        </w:rPr>
        <w:t xml:space="preserve"> o</w:t>
      </w:r>
      <w:r w:rsidR="000C7252" w:rsidRPr="00BD1319">
        <w:rPr>
          <w:rFonts w:cs="Arial"/>
          <w:spacing w:val="-3"/>
        </w:rPr>
        <w:t xml:space="preserve"> proporción de impacto</w:t>
      </w:r>
      <w:r w:rsidR="00773C63" w:rsidRPr="00BD1319">
        <w:rPr>
          <w:rFonts w:cs="Arial"/>
          <w:spacing w:val="-3"/>
        </w:rPr>
        <w:t>s</w:t>
      </w:r>
      <w:r w:rsidR="000C7252" w:rsidRPr="00BD1319">
        <w:rPr>
          <w:rFonts w:cs="Arial"/>
          <w:spacing w:val="-3"/>
        </w:rPr>
        <w:t xml:space="preserve"> en cada categoría de </w:t>
      </w:r>
      <w:r w:rsidR="00773C63" w:rsidRPr="00BD1319">
        <w:rPr>
          <w:rFonts w:cs="Arial"/>
          <w:spacing w:val="-3"/>
        </w:rPr>
        <w:t>Potencial normalizado de modificación de las condiciones ambientales</w:t>
      </w:r>
      <w:r w:rsidR="00607BB2" w:rsidRPr="00BD1319">
        <w:rPr>
          <w:rFonts w:cs="Arial"/>
          <w:spacing w:val="-3"/>
        </w:rPr>
        <w:t xml:space="preserve"> o bien, características de los impactos ambientales potenciales residuales (al considerar las posibles medidas de manejo)</w:t>
      </w:r>
      <w:r w:rsidR="000C7252" w:rsidRPr="00BD1319">
        <w:rPr>
          <w:rFonts w:cs="Arial"/>
          <w:spacing w:val="-3"/>
        </w:rPr>
        <w:t>.</w:t>
      </w:r>
    </w:p>
    <w:p w14:paraId="14A71953" w14:textId="77777777" w:rsidR="005D7203" w:rsidRPr="00BD1319" w:rsidRDefault="005D7203">
      <w:pPr>
        <w:tabs>
          <w:tab w:val="left" w:pos="-2268"/>
        </w:tabs>
        <w:suppressAutoHyphens/>
        <w:rPr>
          <w:spacing w:val="-3"/>
        </w:rPr>
      </w:pPr>
    </w:p>
    <w:p w14:paraId="698335B4" w14:textId="26858366" w:rsidR="005D7203" w:rsidRPr="00BD1319" w:rsidRDefault="005D7203" w:rsidP="00C86DA5">
      <w:pPr>
        <w:numPr>
          <w:ilvl w:val="0"/>
          <w:numId w:val="56"/>
        </w:numPr>
        <w:tabs>
          <w:tab w:val="left" w:pos="-2268"/>
        </w:tabs>
        <w:suppressAutoHyphens/>
        <w:ind w:left="567" w:hanging="567"/>
        <w:rPr>
          <w:spacing w:val="-3"/>
        </w:rPr>
      </w:pPr>
      <w:r w:rsidRPr="00BD1319">
        <w:rPr>
          <w:spacing w:val="-3"/>
        </w:rPr>
        <w:t>Resultado del análisis costo-beneficio ambiental.</w:t>
      </w:r>
    </w:p>
    <w:p w14:paraId="5C125843" w14:textId="77777777" w:rsidR="00021143" w:rsidRPr="00BD1319" w:rsidRDefault="00021143" w:rsidP="000D6E21">
      <w:pPr>
        <w:rPr>
          <w:spacing w:val="-3"/>
        </w:rPr>
      </w:pPr>
    </w:p>
    <w:p w14:paraId="02CD7599" w14:textId="61B918BF" w:rsidR="00021143" w:rsidRPr="00BD1319" w:rsidRDefault="00021143" w:rsidP="00C86DA5">
      <w:pPr>
        <w:numPr>
          <w:ilvl w:val="0"/>
          <w:numId w:val="56"/>
        </w:numPr>
        <w:tabs>
          <w:tab w:val="left" w:pos="-2268"/>
        </w:tabs>
        <w:suppressAutoHyphens/>
        <w:ind w:left="567" w:hanging="567"/>
        <w:rPr>
          <w:spacing w:val="-3"/>
        </w:rPr>
      </w:pPr>
      <w:r w:rsidRPr="00BD1319">
        <w:rPr>
          <w:spacing w:val="-3"/>
        </w:rPr>
        <w:t>Impactos ambientales potenciales ocasionados por el riesgo por cambio climático.</w:t>
      </w:r>
    </w:p>
    <w:p w14:paraId="4D5BD360" w14:textId="68FC4AA7" w:rsidR="00891B13" w:rsidRPr="00BD1319" w:rsidRDefault="00891B13">
      <w:pPr>
        <w:numPr>
          <w:ilvl w:val="12"/>
          <w:numId w:val="0"/>
        </w:numPr>
        <w:tabs>
          <w:tab w:val="left" w:pos="-2268"/>
        </w:tabs>
        <w:suppressAutoHyphens/>
        <w:rPr>
          <w:spacing w:val="-3"/>
        </w:rPr>
      </w:pPr>
      <w:r w:rsidRPr="00BD1319">
        <w:rPr>
          <w:spacing w:val="-3"/>
        </w:rPr>
        <w:br w:type="page"/>
      </w:r>
    </w:p>
    <w:p w14:paraId="749CC6FE" w14:textId="77777777" w:rsidR="001B4589" w:rsidRPr="00BD1319" w:rsidRDefault="001B4589" w:rsidP="000D6E21">
      <w:pPr>
        <w:numPr>
          <w:ilvl w:val="12"/>
          <w:numId w:val="0"/>
        </w:numPr>
        <w:tabs>
          <w:tab w:val="left" w:pos="-2268"/>
        </w:tabs>
        <w:suppressAutoHyphens/>
        <w:rPr>
          <w:spacing w:val="-3"/>
        </w:rPr>
      </w:pPr>
      <w:bookmarkStart w:id="2493" w:name="_Toc43485676"/>
      <w:bookmarkStart w:id="2494" w:name="_Toc437936008"/>
      <w:bookmarkStart w:id="2495" w:name="_Ref26471352"/>
      <w:bookmarkStart w:id="2496" w:name="_Ref26471439"/>
      <w:bookmarkEnd w:id="2493"/>
    </w:p>
    <w:p w14:paraId="79CBA770" w14:textId="1E17080E" w:rsidR="00BF79FC" w:rsidRPr="00BD1319" w:rsidRDefault="00BF79FC" w:rsidP="001831AE">
      <w:pPr>
        <w:pStyle w:val="Captulonmero"/>
        <w:rPr>
          <w:lang w:val="es-CO"/>
        </w:rPr>
      </w:pPr>
      <w:bookmarkStart w:id="2497" w:name="_Toc175326738"/>
      <w:r w:rsidRPr="00BD1319">
        <w:rPr>
          <w:lang w:val="es-CO"/>
        </w:rPr>
        <w:t>ESPECIFICACIONES TÉCNICAS DEL ESTUDIO DE IMPACTO AMBIENTAL</w:t>
      </w:r>
      <w:bookmarkEnd w:id="2494"/>
      <w:bookmarkEnd w:id="2495"/>
      <w:bookmarkEnd w:id="2496"/>
      <w:bookmarkEnd w:id="2497"/>
    </w:p>
    <w:p w14:paraId="381DE3FC" w14:textId="77777777" w:rsidR="00F142DA" w:rsidRPr="00BD1319" w:rsidRDefault="00F142DA" w:rsidP="00BF79FC">
      <w:pPr>
        <w:numPr>
          <w:ilvl w:val="12"/>
          <w:numId w:val="0"/>
        </w:numPr>
        <w:tabs>
          <w:tab w:val="left" w:pos="-2268"/>
        </w:tabs>
        <w:suppressAutoHyphens/>
        <w:rPr>
          <w:rFonts w:cs="Arial"/>
          <w:spacing w:val="-3"/>
        </w:rPr>
      </w:pPr>
      <w:bookmarkStart w:id="2498" w:name="_Toc488244526"/>
      <w:bookmarkStart w:id="2499" w:name="_Toc488247646"/>
      <w:bookmarkStart w:id="2500" w:name="_Toc488248290"/>
      <w:bookmarkStart w:id="2501" w:name="_Toc488248906"/>
      <w:bookmarkStart w:id="2502" w:name="_Toc488249522"/>
      <w:bookmarkStart w:id="2503" w:name="_Toc488330010"/>
      <w:bookmarkStart w:id="2504" w:name="_Toc488386864"/>
      <w:bookmarkStart w:id="2505" w:name="_Toc488402323"/>
      <w:bookmarkStart w:id="2506" w:name="_Toc488403146"/>
      <w:bookmarkStart w:id="2507" w:name="_Toc488403975"/>
      <w:bookmarkStart w:id="2508" w:name="_Toc488404806"/>
      <w:bookmarkStart w:id="2509" w:name="_Toc488405629"/>
      <w:bookmarkStart w:id="2510" w:name="_Toc488406458"/>
      <w:bookmarkStart w:id="2511" w:name="_Toc491409689"/>
      <w:bookmarkStart w:id="2512" w:name="_Toc49601822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p>
    <w:p w14:paraId="15F8CA0C" w14:textId="32856CED" w:rsidR="00F142DA" w:rsidRPr="00BD1319" w:rsidRDefault="00F142DA" w:rsidP="00F142DA">
      <w:pPr>
        <w:numPr>
          <w:ilvl w:val="12"/>
          <w:numId w:val="0"/>
        </w:numPr>
        <w:tabs>
          <w:tab w:val="left" w:pos="-2268"/>
        </w:tabs>
        <w:suppressAutoHyphens/>
        <w:rPr>
          <w:rFonts w:cs="Arial"/>
          <w:spacing w:val="-3"/>
        </w:rPr>
      </w:pPr>
      <w:r w:rsidRPr="00BD1319">
        <w:rPr>
          <w:rFonts w:cs="Arial"/>
          <w:spacing w:val="-3"/>
        </w:rPr>
        <w:t>El Estudio de Impacto Ambiental (EIA) es el instrumento básico que, mediante un conjunto de información permite a las autoridades ambientales tomar decisiones sobre la viabilidad ambiental de los proyectos, obras o actividades que requieren licencia ambiental para su desarrollo. Este conjunto de información debe ser el necesario y suficiente para describir el proyecto</w:t>
      </w:r>
      <w:r w:rsidR="00BC6D6A" w:rsidRPr="00BD1319">
        <w:rPr>
          <w:spacing w:val="-3"/>
        </w:rPr>
        <w:t>, obra o actividad</w:t>
      </w:r>
      <w:r w:rsidRPr="00BD1319">
        <w:rPr>
          <w:rFonts w:cs="Arial"/>
          <w:spacing w:val="-3"/>
        </w:rPr>
        <w:t xml:space="preserve"> y caracterizar </w:t>
      </w:r>
      <w:r w:rsidR="00450907" w:rsidRPr="00BD1319">
        <w:rPr>
          <w:rFonts w:cs="Arial"/>
          <w:spacing w:val="-3"/>
        </w:rPr>
        <w:t xml:space="preserve">de forma integral </w:t>
      </w:r>
      <w:r w:rsidRPr="00BD1319">
        <w:rPr>
          <w:rFonts w:cs="Arial"/>
          <w:spacing w:val="-3"/>
        </w:rPr>
        <w:t xml:space="preserve">el área que podría sufrir deterioro con su ejecución, así como para </w:t>
      </w:r>
      <w:r w:rsidR="00271624" w:rsidRPr="00BD1319">
        <w:rPr>
          <w:rFonts w:cs="Arial"/>
          <w:spacing w:val="-3"/>
        </w:rPr>
        <w:t>determinar</w:t>
      </w:r>
      <w:r w:rsidRPr="00BD1319">
        <w:rPr>
          <w:rFonts w:cs="Arial"/>
          <w:spacing w:val="-3"/>
        </w:rPr>
        <w:t>, calificar y evaluar sus impactos, señalar cuáles no podrían ser evitados o mitigados y para establecer las medidas de manejo ambiental correspondientes y demás planes requeridos por la Ley y los reglamentos.</w:t>
      </w:r>
    </w:p>
    <w:p w14:paraId="046BF399" w14:textId="77777777" w:rsidR="00F142DA" w:rsidRPr="00BD1319" w:rsidRDefault="00F142DA" w:rsidP="00F142DA">
      <w:pPr>
        <w:numPr>
          <w:ilvl w:val="12"/>
          <w:numId w:val="0"/>
        </w:numPr>
        <w:tabs>
          <w:tab w:val="left" w:pos="-2268"/>
        </w:tabs>
        <w:suppressAutoHyphens/>
        <w:rPr>
          <w:rFonts w:cs="Arial"/>
          <w:spacing w:val="-3"/>
        </w:rPr>
      </w:pPr>
    </w:p>
    <w:p w14:paraId="3C6CE1C4" w14:textId="40C97D6A" w:rsidR="00F142DA" w:rsidRPr="00BD1319" w:rsidRDefault="00F142DA" w:rsidP="00F142DA">
      <w:pPr>
        <w:overflowPunct/>
        <w:autoSpaceDE/>
        <w:autoSpaceDN/>
        <w:adjustRightInd/>
        <w:rPr>
          <w:rFonts w:ascii="Times New Roman" w:hAnsi="Times New Roman"/>
          <w:lang w:eastAsia="es-CO"/>
        </w:rPr>
      </w:pPr>
      <w:r w:rsidRPr="00BD1319">
        <w:rPr>
          <w:rFonts w:cs="Arial"/>
          <w:spacing w:val="-3"/>
        </w:rPr>
        <w:t xml:space="preserve">Para alcanzar estos propósitos, el EIA debe </w:t>
      </w:r>
      <w:r w:rsidR="00450907" w:rsidRPr="00BD1319">
        <w:rPr>
          <w:rFonts w:cs="Arial"/>
          <w:spacing w:val="-3"/>
        </w:rPr>
        <w:t xml:space="preserve">desarrollar </w:t>
      </w:r>
      <w:r w:rsidRPr="00BD1319">
        <w:rPr>
          <w:rFonts w:cs="Arial"/>
          <w:spacing w:val="-3"/>
        </w:rPr>
        <w:t>los lineamientos</w:t>
      </w:r>
      <w:r w:rsidR="002D1A5F" w:rsidRPr="00BD1319">
        <w:rPr>
          <w:rFonts w:cs="Arial"/>
          <w:spacing w:val="-3"/>
        </w:rPr>
        <w:t xml:space="preserve"> </w:t>
      </w:r>
      <w:r w:rsidRPr="00BD1319">
        <w:rPr>
          <w:rFonts w:cs="Arial"/>
          <w:spacing w:val="-3"/>
        </w:rPr>
        <w:t xml:space="preserve">y elementos metodológicos generales que se establecen a continuación, </w:t>
      </w:r>
      <w:r w:rsidR="000A347C" w:rsidRPr="00BD1319">
        <w:rPr>
          <w:rFonts w:cs="Arial"/>
          <w:spacing w:val="-3"/>
        </w:rPr>
        <w:t xml:space="preserve">según apliquen, </w:t>
      </w:r>
      <w:r w:rsidRPr="00BD1319">
        <w:rPr>
          <w:rFonts w:cs="Arial"/>
          <w:spacing w:val="-3"/>
        </w:rPr>
        <w:t>así como las especificaciones técnicas que se indiquen en los respectivos términos de referencia.</w:t>
      </w:r>
      <w:r w:rsidR="001E4ED9" w:rsidRPr="00BD1319">
        <w:rPr>
          <w:rFonts w:cs="Arial"/>
          <w:spacing w:val="-3"/>
        </w:rPr>
        <w:t xml:space="preserve"> En todo caso, los requerimientos de información establecidos en los términos de referencia y los lineamientos metodológicos señalados en la metodología deben ser adaptados y considerados de acuerdo con las particularidades del proyecto, obra o actividad para el cual se elabora el estudio.</w:t>
      </w:r>
    </w:p>
    <w:p w14:paraId="7AB6A19A" w14:textId="278B8B8E" w:rsidR="00260078" w:rsidRPr="00BD1319" w:rsidRDefault="00260078">
      <w:pPr>
        <w:numPr>
          <w:ilvl w:val="12"/>
          <w:numId w:val="0"/>
        </w:numPr>
        <w:tabs>
          <w:tab w:val="left" w:pos="-2268"/>
        </w:tabs>
        <w:suppressAutoHyphens/>
        <w:rPr>
          <w:spacing w:val="-3"/>
        </w:rPr>
      </w:pPr>
    </w:p>
    <w:p w14:paraId="2F7597CF" w14:textId="3EB6243C" w:rsidR="0064122B" w:rsidRPr="00BD1319" w:rsidRDefault="0064122B">
      <w:pPr>
        <w:numPr>
          <w:ilvl w:val="12"/>
          <w:numId w:val="0"/>
        </w:numPr>
        <w:tabs>
          <w:tab w:val="left" w:pos="-2268"/>
        </w:tabs>
        <w:suppressAutoHyphens/>
        <w:rPr>
          <w:spacing w:val="-3"/>
        </w:rPr>
      </w:pPr>
      <w:bookmarkStart w:id="2513" w:name="_Hlk78377849"/>
      <w:r w:rsidRPr="00BD1319">
        <w:rPr>
          <w:spacing w:val="-3"/>
        </w:rPr>
        <w:t xml:space="preserve">Para los proyectos, obras o actividades </w:t>
      </w:r>
      <w:r w:rsidR="00B167EB" w:rsidRPr="00BD1319">
        <w:rPr>
          <w:spacing w:val="-3"/>
        </w:rPr>
        <w:t xml:space="preserve">a los que se refiere el artículo 2.2.2.3.1.4 del </w:t>
      </w:r>
      <w:r w:rsidR="00EB7334" w:rsidRPr="00BD1319">
        <w:rPr>
          <w:spacing w:val="-3"/>
        </w:rPr>
        <w:t>D</w:t>
      </w:r>
      <w:r w:rsidR="00B167EB" w:rsidRPr="00BD1319">
        <w:rPr>
          <w:spacing w:val="-3"/>
        </w:rPr>
        <w:t>ecreto 1076 de 2015 o aquel que lo modifique o sustituya</w:t>
      </w:r>
      <w:r w:rsidRPr="00BD1319">
        <w:rPr>
          <w:spacing w:val="-3"/>
        </w:rPr>
        <w:t xml:space="preserve">, la elaboración del </w:t>
      </w:r>
      <w:r w:rsidR="00EC20C8" w:rsidRPr="00BD1319">
        <w:rPr>
          <w:spacing w:val="-3"/>
        </w:rPr>
        <w:t xml:space="preserve">EIA </w:t>
      </w:r>
      <w:r w:rsidRPr="00BD1319">
        <w:rPr>
          <w:spacing w:val="-3"/>
        </w:rPr>
        <w:t xml:space="preserve">debe </w:t>
      </w:r>
      <w:r w:rsidR="00EB7334" w:rsidRPr="00BD1319">
        <w:rPr>
          <w:spacing w:val="-3"/>
        </w:rPr>
        <w:t xml:space="preserve">efectuarse a partir de </w:t>
      </w:r>
      <w:r w:rsidR="000B6345" w:rsidRPr="00BD1319">
        <w:rPr>
          <w:spacing w:val="-3"/>
        </w:rPr>
        <w:t xml:space="preserve">las </w:t>
      </w:r>
      <w:r w:rsidRPr="00BD1319">
        <w:rPr>
          <w:spacing w:val="-3"/>
        </w:rPr>
        <w:t>posibles localizaciones</w:t>
      </w:r>
      <w:bookmarkEnd w:id="2513"/>
      <w:r w:rsidR="000B6345" w:rsidRPr="00BD1319">
        <w:rPr>
          <w:spacing w:val="-3"/>
        </w:rPr>
        <w:t xml:space="preserve"> en las que es viable el desarrollo de </w:t>
      </w:r>
      <w:r w:rsidR="002D543B" w:rsidRPr="00BD1319">
        <w:rPr>
          <w:spacing w:val="-3"/>
        </w:rPr>
        <w:t xml:space="preserve">sus </w:t>
      </w:r>
      <w:r w:rsidR="000B6345" w:rsidRPr="00BD1319">
        <w:rPr>
          <w:spacing w:val="-3"/>
        </w:rPr>
        <w:t>actividades</w:t>
      </w:r>
      <w:r w:rsidR="005B57B0" w:rsidRPr="00BD1319">
        <w:rPr>
          <w:spacing w:val="-3"/>
        </w:rPr>
        <w:t xml:space="preserve"> y conforme con ellas, se deben </w:t>
      </w:r>
      <w:r w:rsidR="00680F40" w:rsidRPr="00BD1319">
        <w:rPr>
          <w:spacing w:val="-3"/>
        </w:rPr>
        <w:t xml:space="preserve">desarrollar los demás elementos que configuran el </w:t>
      </w:r>
      <w:r w:rsidR="00193F3B" w:rsidRPr="00BD1319">
        <w:rPr>
          <w:spacing w:val="-3"/>
        </w:rPr>
        <w:t>estudio ambiental</w:t>
      </w:r>
      <w:r w:rsidRPr="00BD1319">
        <w:rPr>
          <w:spacing w:val="-3"/>
        </w:rPr>
        <w:t>.</w:t>
      </w:r>
    </w:p>
    <w:p w14:paraId="32EEDB5F" w14:textId="0A44A6BF" w:rsidR="008B4761" w:rsidRPr="00BD1319" w:rsidRDefault="008B4761">
      <w:pPr>
        <w:numPr>
          <w:ilvl w:val="12"/>
          <w:numId w:val="0"/>
        </w:numPr>
        <w:tabs>
          <w:tab w:val="left" w:pos="-2268"/>
        </w:tabs>
        <w:suppressAutoHyphens/>
        <w:rPr>
          <w:spacing w:val="-3"/>
        </w:rPr>
      </w:pPr>
    </w:p>
    <w:p w14:paraId="06BD91BB" w14:textId="4D73A8ED" w:rsidR="00D4527F" w:rsidRPr="00BD1319" w:rsidRDefault="00D4527F">
      <w:pPr>
        <w:numPr>
          <w:ilvl w:val="12"/>
          <w:numId w:val="0"/>
        </w:numPr>
        <w:tabs>
          <w:tab w:val="left" w:pos="-2268"/>
        </w:tabs>
        <w:suppressAutoHyphens/>
        <w:rPr>
          <w:spacing w:val="-3"/>
        </w:rPr>
      </w:pPr>
      <w:r w:rsidRPr="00BD1319">
        <w:rPr>
          <w:spacing w:val="-3"/>
        </w:rPr>
        <w:t xml:space="preserve">Las especificaciones establecidas en el presente capítulo aplican también </w:t>
      </w:r>
      <w:bookmarkStart w:id="2514" w:name="_Hlk98241887"/>
      <w:r w:rsidRPr="00BD1319">
        <w:rPr>
          <w:spacing w:val="-3"/>
        </w:rPr>
        <w:t xml:space="preserve">para </w:t>
      </w:r>
      <w:r w:rsidR="002122E8" w:rsidRPr="00BD1319">
        <w:rPr>
          <w:spacing w:val="-3"/>
        </w:rPr>
        <w:t xml:space="preserve">la modificación de </w:t>
      </w:r>
      <w:r w:rsidRPr="00BD1319">
        <w:rPr>
          <w:spacing w:val="-3"/>
        </w:rPr>
        <w:t>los planes de manejo ambiental establecidos como instrumento equivalente a la licencia ambiental según lo establecido en el artículo 2.2.2.3.8.9 del Decreto 1076 de 2015</w:t>
      </w:r>
      <w:bookmarkEnd w:id="2514"/>
      <w:r w:rsidRPr="00BD1319">
        <w:rPr>
          <w:spacing w:val="-3"/>
        </w:rPr>
        <w:t xml:space="preserve">, o aquel que lo modifique o sustituya, para </w:t>
      </w:r>
      <w:r w:rsidR="00DE424A" w:rsidRPr="00BD1319">
        <w:rPr>
          <w:spacing w:val="-3"/>
        </w:rPr>
        <w:t xml:space="preserve">el complemento al EIA que se debe elaborar como requisito para la solicitud de modificación de licencia ambiental de acuerdo con lo establecido en el artículo 2.2.2.3.7.2. de dicho </w:t>
      </w:r>
      <w:r w:rsidR="00C95F82" w:rsidRPr="00BD1319">
        <w:rPr>
          <w:spacing w:val="-3"/>
        </w:rPr>
        <w:t>D</w:t>
      </w:r>
      <w:r w:rsidR="00DE424A" w:rsidRPr="00BD1319">
        <w:rPr>
          <w:spacing w:val="-3"/>
        </w:rPr>
        <w:t xml:space="preserve">ecreto, para la elaboración del plan de manejo ambiental para la construcción y operación de Proyectos Turísticos Especiales (PTE) de gran escala en suelo rural </w:t>
      </w:r>
      <w:r w:rsidRPr="00BD1319">
        <w:rPr>
          <w:spacing w:val="-3"/>
        </w:rPr>
        <w:t xml:space="preserve">a los que se refiere el artículo </w:t>
      </w:r>
      <w:r w:rsidR="00DE424A" w:rsidRPr="00BD1319">
        <w:rPr>
          <w:spacing w:val="-3"/>
        </w:rPr>
        <w:t>264</w:t>
      </w:r>
      <w:r w:rsidRPr="00BD1319">
        <w:rPr>
          <w:spacing w:val="-3"/>
        </w:rPr>
        <w:t xml:space="preserve"> de la Ley 1955 de 2019</w:t>
      </w:r>
      <w:r w:rsidR="00BF550B" w:rsidRPr="00BD1319">
        <w:rPr>
          <w:spacing w:val="-3"/>
        </w:rPr>
        <w:t xml:space="preserve">, </w:t>
      </w:r>
      <w:r w:rsidR="00EF4344" w:rsidRPr="00BD1319">
        <w:rPr>
          <w:spacing w:val="-3"/>
        </w:rPr>
        <w:t xml:space="preserve">para la elaboración del plan de manejo ambiental específico, </w:t>
      </w:r>
      <w:r w:rsidR="00BF550B" w:rsidRPr="00BD1319">
        <w:rPr>
          <w:spacing w:val="-3"/>
        </w:rPr>
        <w:t xml:space="preserve">así como para la elaboración de </w:t>
      </w:r>
      <w:r w:rsidR="00175A33" w:rsidRPr="00BD1319">
        <w:rPr>
          <w:spacing w:val="-3"/>
        </w:rPr>
        <w:t xml:space="preserve">los </w:t>
      </w:r>
      <w:r w:rsidR="00BF550B" w:rsidRPr="00BD1319">
        <w:rPr>
          <w:spacing w:val="-3"/>
        </w:rPr>
        <w:t xml:space="preserve">estudios ambientales que deban </w:t>
      </w:r>
      <w:r w:rsidR="00175A33" w:rsidRPr="00BD1319">
        <w:rPr>
          <w:spacing w:val="-3"/>
        </w:rPr>
        <w:t xml:space="preserve">elaborarse en el marco de </w:t>
      </w:r>
      <w:r w:rsidR="004B7954" w:rsidRPr="00BD1319">
        <w:rPr>
          <w:spacing w:val="-3"/>
        </w:rPr>
        <w:t>otros</w:t>
      </w:r>
      <w:r w:rsidR="00175A33" w:rsidRPr="00BD1319">
        <w:rPr>
          <w:spacing w:val="-3"/>
        </w:rPr>
        <w:t xml:space="preserve"> instrumentos de manejo y control ambiental que establezca </w:t>
      </w:r>
      <w:r w:rsidR="00BF550B" w:rsidRPr="00BD1319">
        <w:rPr>
          <w:spacing w:val="-3"/>
        </w:rPr>
        <w:t>la Ley</w:t>
      </w:r>
      <w:r w:rsidR="00DE424A" w:rsidRPr="00BD1319">
        <w:rPr>
          <w:spacing w:val="-3"/>
        </w:rPr>
        <w:t>.</w:t>
      </w:r>
    </w:p>
    <w:p w14:paraId="72CE757A" w14:textId="77777777" w:rsidR="00D4527F" w:rsidRPr="00BD1319" w:rsidRDefault="00D4527F">
      <w:pPr>
        <w:numPr>
          <w:ilvl w:val="12"/>
          <w:numId w:val="0"/>
        </w:numPr>
        <w:tabs>
          <w:tab w:val="left" w:pos="-2268"/>
        </w:tabs>
        <w:suppressAutoHyphens/>
        <w:rPr>
          <w:spacing w:val="-3"/>
        </w:rPr>
      </w:pPr>
    </w:p>
    <w:p w14:paraId="432054D7" w14:textId="77777777" w:rsidR="00DF6D4D" w:rsidRPr="00BD1319" w:rsidRDefault="00DF6D4D">
      <w:pPr>
        <w:numPr>
          <w:ilvl w:val="12"/>
          <w:numId w:val="0"/>
        </w:numPr>
        <w:tabs>
          <w:tab w:val="left" w:pos="-2268"/>
        </w:tabs>
        <w:suppressAutoHyphens/>
        <w:rPr>
          <w:spacing w:val="-3"/>
        </w:rPr>
      </w:pPr>
    </w:p>
    <w:p w14:paraId="4B627BF1" w14:textId="0CDFFD55" w:rsidR="00260078" w:rsidRPr="00BD1319" w:rsidRDefault="00260078" w:rsidP="001F5F9B">
      <w:pPr>
        <w:pStyle w:val="Ttulo1"/>
        <w:numPr>
          <w:ilvl w:val="0"/>
          <w:numId w:val="69"/>
        </w:numPr>
        <w:rPr>
          <w:lang w:val="es-CO"/>
        </w:rPr>
      </w:pPr>
      <w:bookmarkStart w:id="2515" w:name="_Ref75276177"/>
      <w:bookmarkStart w:id="2516" w:name="_Toc175326739"/>
      <w:r w:rsidRPr="00BD1319">
        <w:rPr>
          <w:lang w:val="es-CO"/>
        </w:rPr>
        <w:t>DESCRIPCIÓN DEL PROYECTO</w:t>
      </w:r>
      <w:bookmarkEnd w:id="2515"/>
      <w:bookmarkEnd w:id="2516"/>
    </w:p>
    <w:p w14:paraId="4BCF7DD5" w14:textId="6E100C26" w:rsidR="00731F02" w:rsidRPr="00BD1319" w:rsidRDefault="00731F02" w:rsidP="00C86DA5"/>
    <w:p w14:paraId="74C23929" w14:textId="5D550185" w:rsidR="00AF4046" w:rsidRPr="00BD1319" w:rsidRDefault="00FE74D2" w:rsidP="00D87119">
      <w:pPr>
        <w:numPr>
          <w:ilvl w:val="12"/>
          <w:numId w:val="0"/>
        </w:numPr>
        <w:tabs>
          <w:tab w:val="left" w:pos="-2268"/>
        </w:tabs>
        <w:suppressAutoHyphens/>
        <w:rPr>
          <w:rFonts w:cs="Arial"/>
          <w:spacing w:val="-3"/>
        </w:rPr>
      </w:pPr>
      <w:bookmarkStart w:id="2517" w:name="_Hlk144395172"/>
      <w:r w:rsidRPr="00BD1319">
        <w:rPr>
          <w:rFonts w:cs="Arial"/>
          <w:spacing w:val="-3"/>
        </w:rPr>
        <w:t xml:space="preserve">Para aquellos casos en los que el proyecto, obra o actividad no </w:t>
      </w:r>
      <w:r w:rsidR="00D87119" w:rsidRPr="00BD1319">
        <w:rPr>
          <w:rFonts w:cs="Arial"/>
          <w:spacing w:val="-3"/>
        </w:rPr>
        <w:t xml:space="preserve">haya </w:t>
      </w:r>
      <w:r w:rsidRPr="00BD1319">
        <w:rPr>
          <w:rFonts w:cs="Arial"/>
          <w:spacing w:val="-3"/>
        </w:rPr>
        <w:t>requer</w:t>
      </w:r>
      <w:r w:rsidR="00D87119" w:rsidRPr="00BD1319">
        <w:rPr>
          <w:rFonts w:cs="Arial"/>
          <w:spacing w:val="-3"/>
        </w:rPr>
        <w:t>ido</w:t>
      </w:r>
      <w:r w:rsidRPr="00BD1319">
        <w:rPr>
          <w:rFonts w:cs="Arial"/>
          <w:spacing w:val="-3"/>
        </w:rPr>
        <w:t xml:space="preserve"> la presentación de un Diagnóstico Ambiental de Alternativas</w:t>
      </w:r>
      <w:r w:rsidR="008F546C" w:rsidRPr="00BD1319">
        <w:rPr>
          <w:rFonts w:cs="Arial"/>
          <w:spacing w:val="-3"/>
        </w:rPr>
        <w:t xml:space="preserve"> (DAA)</w:t>
      </w:r>
      <w:r w:rsidRPr="00BD1319">
        <w:rPr>
          <w:rFonts w:cs="Arial"/>
          <w:spacing w:val="-3"/>
        </w:rPr>
        <w:t xml:space="preserve">, se debe presentar </w:t>
      </w:r>
      <w:r w:rsidR="00834E77" w:rsidRPr="00BD1319">
        <w:rPr>
          <w:rFonts w:cs="Arial"/>
          <w:spacing w:val="-3"/>
        </w:rPr>
        <w:t xml:space="preserve">una </w:t>
      </w:r>
      <w:r w:rsidRPr="00BD1319">
        <w:rPr>
          <w:rFonts w:cs="Arial"/>
          <w:spacing w:val="-3"/>
        </w:rPr>
        <w:t xml:space="preserve">descripción </w:t>
      </w:r>
      <w:r w:rsidR="008F546C" w:rsidRPr="00BD1319">
        <w:rPr>
          <w:rFonts w:cs="Arial"/>
          <w:spacing w:val="-3"/>
        </w:rPr>
        <w:t xml:space="preserve">general y sintética </w:t>
      </w:r>
      <w:r w:rsidR="00281C64" w:rsidRPr="00BD1319">
        <w:rPr>
          <w:rFonts w:cs="Arial"/>
          <w:spacing w:val="-3"/>
        </w:rPr>
        <w:t xml:space="preserve">de </w:t>
      </w:r>
      <w:r w:rsidR="00F90472" w:rsidRPr="00BD1319">
        <w:rPr>
          <w:rFonts w:cs="Arial"/>
          <w:spacing w:val="-3"/>
        </w:rPr>
        <w:t xml:space="preserve">los métodos y resultados de </w:t>
      </w:r>
      <w:r w:rsidR="000A1BC5" w:rsidRPr="00BD1319">
        <w:rPr>
          <w:rFonts w:cs="Arial"/>
          <w:spacing w:val="-3"/>
        </w:rPr>
        <w:t>un</w:t>
      </w:r>
      <w:r w:rsidR="00AF4046" w:rsidRPr="00BD1319">
        <w:rPr>
          <w:rFonts w:cs="Arial"/>
          <w:spacing w:val="-3"/>
        </w:rPr>
        <w:t xml:space="preserve">a evaluación de </w:t>
      </w:r>
      <w:r w:rsidR="00281C64" w:rsidRPr="00BD1319">
        <w:rPr>
          <w:rFonts w:cs="Arial"/>
          <w:spacing w:val="-3"/>
        </w:rPr>
        <w:t xml:space="preserve">opciones </w:t>
      </w:r>
      <w:r w:rsidR="00F103CF" w:rsidRPr="00BD1319">
        <w:rPr>
          <w:rFonts w:cs="Arial"/>
          <w:spacing w:val="-3"/>
        </w:rPr>
        <w:t xml:space="preserve">razonables </w:t>
      </w:r>
      <w:r w:rsidRPr="00BD1319">
        <w:rPr>
          <w:rFonts w:cs="Arial"/>
          <w:spacing w:val="-3"/>
        </w:rPr>
        <w:t xml:space="preserve">de </w:t>
      </w:r>
      <w:r w:rsidR="00AF4046" w:rsidRPr="00BD1319">
        <w:rPr>
          <w:rFonts w:cs="Arial"/>
          <w:spacing w:val="-3"/>
        </w:rPr>
        <w:t>diseño, tecnología y localización</w:t>
      </w:r>
      <w:r w:rsidR="00C026D6" w:rsidRPr="00BD1319">
        <w:rPr>
          <w:rFonts w:cs="Arial"/>
          <w:spacing w:val="-3"/>
        </w:rPr>
        <w:t xml:space="preserve"> o trazado</w:t>
      </w:r>
      <w:r w:rsidR="00AF4046" w:rsidRPr="00BD1319">
        <w:rPr>
          <w:rFonts w:cs="Arial"/>
          <w:spacing w:val="-3"/>
        </w:rPr>
        <w:t xml:space="preserve"> (esta última, en los casos en los que sea posible) para asegurar que la opción elegida para </w:t>
      </w:r>
      <w:r w:rsidR="00C9064E" w:rsidRPr="00BD1319">
        <w:rPr>
          <w:rFonts w:cs="Arial"/>
          <w:spacing w:val="-3"/>
        </w:rPr>
        <w:t xml:space="preserve">la formulación </w:t>
      </w:r>
      <w:r w:rsidR="00AF4046" w:rsidRPr="00BD1319">
        <w:rPr>
          <w:rFonts w:cs="Arial"/>
          <w:spacing w:val="-3"/>
        </w:rPr>
        <w:t>del proyecto, obra o actividad es la que causa los menores impactos ambientales</w:t>
      </w:r>
      <w:r w:rsidR="00AA51B6" w:rsidRPr="00BD1319">
        <w:rPr>
          <w:rFonts w:cs="Arial"/>
          <w:spacing w:val="-3"/>
        </w:rPr>
        <w:t xml:space="preserve">; esta evaluación </w:t>
      </w:r>
      <w:r w:rsidR="00F90472" w:rsidRPr="00BD1319">
        <w:rPr>
          <w:rFonts w:cs="Arial"/>
          <w:spacing w:val="-3"/>
        </w:rPr>
        <w:t xml:space="preserve">puede emplear múltiples criterios y ejecutarse a partir de métodos como los señalados en el numeral </w:t>
      </w:r>
      <w:r w:rsidR="00F90472" w:rsidRPr="00BD1319">
        <w:rPr>
          <w:rFonts w:cs="Arial"/>
          <w:spacing w:val="-3"/>
        </w:rPr>
        <w:fldChar w:fldCharType="begin"/>
      </w:r>
      <w:r w:rsidR="00F90472" w:rsidRPr="00BD1319">
        <w:rPr>
          <w:rFonts w:cs="Arial"/>
          <w:spacing w:val="-3"/>
        </w:rPr>
        <w:instrText xml:space="preserve"> REF _Ref150507458 \r \h </w:instrText>
      </w:r>
      <w:r w:rsidR="00BD1319">
        <w:rPr>
          <w:rFonts w:cs="Arial"/>
          <w:spacing w:val="-3"/>
        </w:rPr>
        <w:instrText xml:space="preserve"> \* MERGEFORMAT </w:instrText>
      </w:r>
      <w:r w:rsidR="00F90472" w:rsidRPr="00BD1319">
        <w:rPr>
          <w:rFonts w:cs="Arial"/>
          <w:spacing w:val="-3"/>
        </w:rPr>
      </w:r>
      <w:r w:rsidR="00F90472" w:rsidRPr="00BD1319">
        <w:rPr>
          <w:rFonts w:cs="Arial"/>
          <w:spacing w:val="-3"/>
        </w:rPr>
        <w:fldChar w:fldCharType="separate"/>
      </w:r>
      <w:r w:rsidR="00296654" w:rsidRPr="00BD1319">
        <w:rPr>
          <w:rFonts w:cs="Arial"/>
          <w:spacing w:val="-3"/>
        </w:rPr>
        <w:t>9</w:t>
      </w:r>
      <w:r w:rsidR="00F90472" w:rsidRPr="00BD1319">
        <w:rPr>
          <w:rFonts w:cs="Arial"/>
          <w:spacing w:val="-3"/>
        </w:rPr>
        <w:fldChar w:fldCharType="end"/>
      </w:r>
      <w:r w:rsidR="00F90472" w:rsidRPr="00BD1319">
        <w:rPr>
          <w:rFonts w:cs="Arial"/>
          <w:spacing w:val="-3"/>
        </w:rPr>
        <w:t xml:space="preserve"> del capítulo II de este documento</w:t>
      </w:r>
      <w:r w:rsidR="00AF4046" w:rsidRPr="00BD1319">
        <w:rPr>
          <w:rFonts w:cs="Arial"/>
          <w:spacing w:val="-3"/>
        </w:rPr>
        <w:t>.</w:t>
      </w:r>
    </w:p>
    <w:bookmarkEnd w:id="2517"/>
    <w:p w14:paraId="3331AF90" w14:textId="77777777" w:rsidR="00FE74D2" w:rsidRPr="00BD1319" w:rsidRDefault="00FE74D2" w:rsidP="00FE74D2">
      <w:pPr>
        <w:numPr>
          <w:ilvl w:val="12"/>
          <w:numId w:val="0"/>
        </w:numPr>
        <w:tabs>
          <w:tab w:val="left" w:pos="-2268"/>
        </w:tabs>
        <w:suppressAutoHyphens/>
        <w:rPr>
          <w:rFonts w:cs="Arial"/>
          <w:spacing w:val="-3"/>
        </w:rPr>
      </w:pPr>
    </w:p>
    <w:p w14:paraId="58CA83C7" w14:textId="4C5AABF8" w:rsidR="004969BC" w:rsidRPr="00BD1319" w:rsidRDefault="00907F14" w:rsidP="004969BC">
      <w:pPr>
        <w:numPr>
          <w:ilvl w:val="12"/>
          <w:numId w:val="0"/>
        </w:numPr>
        <w:tabs>
          <w:tab w:val="left" w:pos="-2268"/>
        </w:tabs>
        <w:suppressAutoHyphens/>
        <w:rPr>
          <w:rFonts w:cs="Arial"/>
          <w:spacing w:val="-3"/>
        </w:rPr>
      </w:pPr>
      <w:r w:rsidRPr="00BD1319">
        <w:rPr>
          <w:rFonts w:cs="Arial"/>
          <w:spacing w:val="-3"/>
        </w:rPr>
        <w:t xml:space="preserve">Con el propósito </w:t>
      </w:r>
      <w:r w:rsidR="00B40389" w:rsidRPr="00BD1319">
        <w:rPr>
          <w:rFonts w:cs="Arial"/>
          <w:spacing w:val="-3"/>
        </w:rPr>
        <w:t>de optimizar el desempeño ambiental</w:t>
      </w:r>
      <w:r w:rsidR="009178E9" w:rsidRPr="00BD1319">
        <w:rPr>
          <w:rFonts w:cs="Arial"/>
          <w:spacing w:val="-3"/>
        </w:rPr>
        <w:t>,</w:t>
      </w:r>
      <w:r w:rsidR="00B40389" w:rsidRPr="00BD1319">
        <w:rPr>
          <w:rFonts w:cs="Arial"/>
          <w:spacing w:val="-3"/>
        </w:rPr>
        <w:t xml:space="preserve"> de reducir el área por intervenir y la generación de impactos</w:t>
      </w:r>
      <w:r w:rsidRPr="00BD1319">
        <w:rPr>
          <w:rFonts w:cs="Arial"/>
          <w:spacing w:val="-3"/>
        </w:rPr>
        <w:t xml:space="preserve"> </w:t>
      </w:r>
      <w:r w:rsidR="009178E9" w:rsidRPr="00BD1319">
        <w:rPr>
          <w:rFonts w:cs="Arial"/>
          <w:spacing w:val="-3"/>
        </w:rPr>
        <w:t xml:space="preserve">y de incrementar la aceptación social, </w:t>
      </w:r>
      <w:r w:rsidR="00B40389" w:rsidRPr="00BD1319">
        <w:rPr>
          <w:rFonts w:cs="Arial"/>
          <w:spacing w:val="-3"/>
        </w:rPr>
        <w:t xml:space="preserve">el </w:t>
      </w:r>
      <w:r w:rsidRPr="00BD1319">
        <w:rPr>
          <w:rFonts w:cs="Arial"/>
          <w:spacing w:val="-3"/>
        </w:rPr>
        <w:t xml:space="preserve">diseño </w:t>
      </w:r>
      <w:r w:rsidR="00B40389" w:rsidRPr="00BD1319">
        <w:rPr>
          <w:rFonts w:cs="Arial"/>
          <w:spacing w:val="-3"/>
        </w:rPr>
        <w:t xml:space="preserve">del proyecto, obra o actividad </w:t>
      </w:r>
      <w:r w:rsidRPr="00BD1319">
        <w:rPr>
          <w:rFonts w:cs="Arial"/>
          <w:spacing w:val="-3"/>
        </w:rPr>
        <w:t xml:space="preserve">debe </w:t>
      </w:r>
      <w:r w:rsidR="008C33E8" w:rsidRPr="00BD1319">
        <w:rPr>
          <w:rFonts w:cs="Arial"/>
          <w:spacing w:val="-3"/>
        </w:rPr>
        <w:t xml:space="preserve">procurar </w:t>
      </w:r>
      <w:r w:rsidRPr="00BD1319">
        <w:rPr>
          <w:rFonts w:cs="Arial"/>
          <w:spacing w:val="-3"/>
        </w:rPr>
        <w:t>la recirculación de materiales, el aprovechamiento de la biomasa, el uso de fuentes renovables de energía, la prevención y mitigación de sus impactos a los ecosistemas</w:t>
      </w:r>
      <w:r w:rsidR="00BB5956" w:rsidRPr="00BD1319">
        <w:rPr>
          <w:rFonts w:cs="Arial"/>
          <w:spacing w:val="-3"/>
        </w:rPr>
        <w:t>, la consideración de la variable cambio climático</w:t>
      </w:r>
      <w:r w:rsidRPr="00BD1319">
        <w:rPr>
          <w:spacing w:val="-3"/>
        </w:rPr>
        <w:t xml:space="preserve">, </w:t>
      </w:r>
      <w:r w:rsidRPr="00BD1319">
        <w:rPr>
          <w:rFonts w:cs="Arial"/>
          <w:spacing w:val="-3"/>
        </w:rPr>
        <w:t>entre otr</w:t>
      </w:r>
      <w:r w:rsidR="003443F7" w:rsidRPr="00BD1319">
        <w:rPr>
          <w:rFonts w:cs="Arial"/>
          <w:spacing w:val="-3"/>
        </w:rPr>
        <w:t>os atributos</w:t>
      </w:r>
      <w:r w:rsidR="009178E9" w:rsidRPr="00BD1319">
        <w:rPr>
          <w:rFonts w:cs="Arial"/>
          <w:spacing w:val="-3"/>
        </w:rPr>
        <w:t>.</w:t>
      </w:r>
      <w:r w:rsidR="004969BC" w:rsidRPr="00BD1319">
        <w:rPr>
          <w:rFonts w:cs="Arial"/>
          <w:spacing w:val="-3"/>
        </w:rPr>
        <w:t xml:space="preserve"> </w:t>
      </w:r>
      <w:r w:rsidR="004969BC" w:rsidRPr="00BD1319">
        <w:rPr>
          <w:spacing w:val="-3"/>
        </w:rPr>
        <w:t>Igualmente, con el fin de afinar el proyecto, resulta preciso considerar la información que resulta de los análisis de seguridad de personas y líderes, así como de los procesos de participación con los grupos de interés.</w:t>
      </w:r>
    </w:p>
    <w:p w14:paraId="66008A7E" w14:textId="77777777" w:rsidR="009178E9" w:rsidRPr="00BD1319" w:rsidRDefault="009178E9" w:rsidP="00FE74D2">
      <w:pPr>
        <w:numPr>
          <w:ilvl w:val="12"/>
          <w:numId w:val="0"/>
        </w:numPr>
        <w:tabs>
          <w:tab w:val="left" w:pos="-2268"/>
        </w:tabs>
        <w:suppressAutoHyphens/>
        <w:rPr>
          <w:rFonts w:cs="Arial"/>
          <w:spacing w:val="-3"/>
        </w:rPr>
      </w:pPr>
    </w:p>
    <w:p w14:paraId="14290128" w14:textId="582E0D54" w:rsidR="00FE74D2" w:rsidRPr="00BD1319" w:rsidRDefault="007A36C4" w:rsidP="00FE74D2">
      <w:pPr>
        <w:numPr>
          <w:ilvl w:val="12"/>
          <w:numId w:val="0"/>
        </w:numPr>
        <w:tabs>
          <w:tab w:val="left" w:pos="-2268"/>
        </w:tabs>
        <w:suppressAutoHyphens/>
        <w:rPr>
          <w:rFonts w:cs="Arial"/>
        </w:rPr>
      </w:pPr>
      <w:r w:rsidRPr="00BD1319">
        <w:rPr>
          <w:rFonts w:cs="Arial"/>
          <w:spacing w:val="-3"/>
        </w:rPr>
        <w:t>De igual modo, l</w:t>
      </w:r>
      <w:r w:rsidR="009178E9" w:rsidRPr="00BD1319">
        <w:rPr>
          <w:rFonts w:cs="Arial"/>
          <w:spacing w:val="-3"/>
        </w:rPr>
        <w:t>a configuración específica del proyecto</w:t>
      </w:r>
      <w:r w:rsidR="00925F1F" w:rsidRPr="00BD1319">
        <w:rPr>
          <w:rFonts w:cs="Arial"/>
          <w:spacing w:val="-3"/>
        </w:rPr>
        <w:t>, en términos de diseño, tecnología y localización</w:t>
      </w:r>
      <w:r w:rsidRPr="00BD1319">
        <w:rPr>
          <w:rFonts w:cs="Arial"/>
          <w:spacing w:val="-3"/>
        </w:rPr>
        <w:t xml:space="preserve"> </w:t>
      </w:r>
      <w:r w:rsidRPr="00BD1319">
        <w:t>o trazado</w:t>
      </w:r>
      <w:r w:rsidR="00925F1F" w:rsidRPr="00BD1319">
        <w:rPr>
          <w:rFonts w:cs="Arial"/>
          <w:spacing w:val="-3"/>
        </w:rPr>
        <w:t>,</w:t>
      </w:r>
      <w:r w:rsidR="009178E9" w:rsidRPr="00BD1319">
        <w:rPr>
          <w:rFonts w:cs="Arial"/>
          <w:spacing w:val="-3"/>
        </w:rPr>
        <w:t xml:space="preserve"> debe </w:t>
      </w:r>
      <w:r w:rsidR="004969BC" w:rsidRPr="00BD1319">
        <w:rPr>
          <w:rFonts w:cs="Arial"/>
          <w:spacing w:val="-3"/>
        </w:rPr>
        <w:t xml:space="preserve">buscar la </w:t>
      </w:r>
      <w:r w:rsidR="00907F14" w:rsidRPr="00BD1319">
        <w:rPr>
          <w:rFonts w:cs="Arial"/>
        </w:rPr>
        <w:t>optimi</w:t>
      </w:r>
      <w:r w:rsidR="009178E9" w:rsidRPr="00BD1319">
        <w:rPr>
          <w:rFonts w:cs="Arial"/>
        </w:rPr>
        <w:t>za</w:t>
      </w:r>
      <w:r w:rsidR="004969BC" w:rsidRPr="00BD1319">
        <w:rPr>
          <w:rFonts w:cs="Arial"/>
        </w:rPr>
        <w:t xml:space="preserve">ción </w:t>
      </w:r>
      <w:r w:rsidRPr="00BD1319">
        <w:rPr>
          <w:rFonts w:cs="Arial"/>
        </w:rPr>
        <w:t xml:space="preserve">en el </w:t>
      </w:r>
      <w:r w:rsidR="00907F14" w:rsidRPr="00BD1319">
        <w:rPr>
          <w:rFonts w:cs="Arial"/>
        </w:rPr>
        <w:t xml:space="preserve">uso de </w:t>
      </w:r>
      <w:r w:rsidRPr="00BD1319">
        <w:rPr>
          <w:rFonts w:cs="Arial"/>
        </w:rPr>
        <w:t xml:space="preserve">los </w:t>
      </w:r>
      <w:r w:rsidR="00907F14" w:rsidRPr="00BD1319">
        <w:rPr>
          <w:rFonts w:cs="Arial"/>
        </w:rPr>
        <w:t xml:space="preserve">recursos </w:t>
      </w:r>
      <w:r w:rsidR="00B40389" w:rsidRPr="00BD1319">
        <w:rPr>
          <w:rFonts w:cs="Arial"/>
        </w:rPr>
        <w:t xml:space="preserve">naturales renovables </w:t>
      </w:r>
      <w:r w:rsidR="00907F14" w:rsidRPr="00BD1319">
        <w:rPr>
          <w:rFonts w:cs="Arial"/>
        </w:rPr>
        <w:t>e insumos</w:t>
      </w:r>
      <w:r w:rsidR="003443F7" w:rsidRPr="00BD1319">
        <w:rPr>
          <w:rFonts w:cs="Arial"/>
        </w:rPr>
        <w:t xml:space="preserve">, </w:t>
      </w:r>
      <w:r w:rsidR="00907F14" w:rsidRPr="00BD1319">
        <w:rPr>
          <w:rFonts w:cs="Arial"/>
        </w:rPr>
        <w:t xml:space="preserve">el aprovechamiento de residuos, </w:t>
      </w:r>
      <w:r w:rsidR="004969BC" w:rsidRPr="00BD1319">
        <w:rPr>
          <w:rFonts w:cs="Arial"/>
        </w:rPr>
        <w:t xml:space="preserve">la </w:t>
      </w:r>
      <w:r w:rsidR="00B40389" w:rsidRPr="00BD1319">
        <w:rPr>
          <w:rFonts w:cs="Arial"/>
        </w:rPr>
        <w:t>redu</w:t>
      </w:r>
      <w:r w:rsidR="009178E9" w:rsidRPr="00BD1319">
        <w:rPr>
          <w:rFonts w:cs="Arial"/>
        </w:rPr>
        <w:t>c</w:t>
      </w:r>
      <w:r w:rsidR="004969BC" w:rsidRPr="00BD1319">
        <w:rPr>
          <w:rFonts w:cs="Arial"/>
        </w:rPr>
        <w:t xml:space="preserve">ción en </w:t>
      </w:r>
      <w:r w:rsidR="00B40389" w:rsidRPr="00BD1319">
        <w:rPr>
          <w:rFonts w:cs="Arial"/>
        </w:rPr>
        <w:t xml:space="preserve">la aparición o exacerbación de conflictos socioambientales, </w:t>
      </w:r>
      <w:r w:rsidR="004969BC" w:rsidRPr="00BD1319">
        <w:rPr>
          <w:rFonts w:cs="Arial"/>
        </w:rPr>
        <w:t xml:space="preserve">la </w:t>
      </w:r>
      <w:r w:rsidR="003443F7" w:rsidRPr="00BD1319">
        <w:rPr>
          <w:rFonts w:cs="Arial"/>
        </w:rPr>
        <w:t>disminu</w:t>
      </w:r>
      <w:r w:rsidR="004969BC" w:rsidRPr="00BD1319">
        <w:rPr>
          <w:rFonts w:cs="Arial"/>
        </w:rPr>
        <w:t xml:space="preserve">ción de </w:t>
      </w:r>
      <w:r w:rsidR="009178E9" w:rsidRPr="00BD1319">
        <w:rPr>
          <w:rFonts w:cs="Arial"/>
        </w:rPr>
        <w:t xml:space="preserve">las </w:t>
      </w:r>
      <w:r w:rsidR="003443F7" w:rsidRPr="00BD1319">
        <w:rPr>
          <w:rFonts w:cs="Arial"/>
          <w:lang w:val="es-ES"/>
        </w:rPr>
        <w:t>situaciones de injusticia ambiental</w:t>
      </w:r>
      <w:r w:rsidR="009178E9" w:rsidRPr="00BD1319">
        <w:rPr>
          <w:rFonts w:cs="Arial"/>
          <w:lang w:val="es-ES"/>
        </w:rPr>
        <w:t xml:space="preserve">, </w:t>
      </w:r>
      <w:r w:rsidR="004969BC" w:rsidRPr="00BD1319">
        <w:rPr>
          <w:rFonts w:cs="Arial"/>
          <w:lang w:val="es-ES"/>
        </w:rPr>
        <w:t xml:space="preserve">la </w:t>
      </w:r>
      <w:r w:rsidR="001E31ED" w:rsidRPr="00BD1319">
        <w:rPr>
          <w:spacing w:val="-3"/>
        </w:rPr>
        <w:t>preven</w:t>
      </w:r>
      <w:r w:rsidR="004969BC" w:rsidRPr="00BD1319">
        <w:rPr>
          <w:spacing w:val="-3"/>
        </w:rPr>
        <w:t>ción</w:t>
      </w:r>
      <w:r w:rsidR="009178E9" w:rsidRPr="00BD1319">
        <w:rPr>
          <w:spacing w:val="-3"/>
        </w:rPr>
        <w:t xml:space="preserve"> </w:t>
      </w:r>
      <w:r w:rsidR="001E31ED" w:rsidRPr="00BD1319">
        <w:rPr>
          <w:spacing w:val="-3"/>
        </w:rPr>
        <w:t>y mitig</w:t>
      </w:r>
      <w:r w:rsidR="009178E9" w:rsidRPr="00BD1319">
        <w:rPr>
          <w:spacing w:val="-3"/>
        </w:rPr>
        <w:t>a</w:t>
      </w:r>
      <w:r w:rsidR="004969BC" w:rsidRPr="00BD1319">
        <w:rPr>
          <w:spacing w:val="-3"/>
        </w:rPr>
        <w:t>ción de</w:t>
      </w:r>
      <w:r w:rsidR="001E31ED" w:rsidRPr="00BD1319">
        <w:rPr>
          <w:spacing w:val="-3"/>
        </w:rPr>
        <w:t xml:space="preserve"> los impactos a los derechos humanos</w:t>
      </w:r>
      <w:r w:rsidR="001E31ED" w:rsidRPr="00BD1319">
        <w:rPr>
          <w:rFonts w:cs="Arial"/>
        </w:rPr>
        <w:t xml:space="preserve"> </w:t>
      </w:r>
      <w:r w:rsidR="004969BC" w:rsidRPr="00BD1319">
        <w:rPr>
          <w:rFonts w:cs="Arial"/>
        </w:rPr>
        <w:t>y, adicionalmente,</w:t>
      </w:r>
      <w:r w:rsidR="009178E9" w:rsidRPr="00BD1319">
        <w:rPr>
          <w:rFonts w:cs="Arial"/>
        </w:rPr>
        <w:t xml:space="preserve"> </w:t>
      </w:r>
      <w:r w:rsidR="00907F14" w:rsidRPr="00BD1319">
        <w:rPr>
          <w:rFonts w:cs="Arial"/>
        </w:rPr>
        <w:t>implementa</w:t>
      </w:r>
      <w:r w:rsidR="009178E9" w:rsidRPr="00BD1319">
        <w:rPr>
          <w:rFonts w:cs="Arial"/>
        </w:rPr>
        <w:t xml:space="preserve">r </w:t>
      </w:r>
      <w:r w:rsidR="00907F14" w:rsidRPr="00BD1319">
        <w:rPr>
          <w:rFonts w:cs="Arial"/>
        </w:rPr>
        <w:t>buenas prácticas, tecnologías más limpias, encadenamientos productivos</w:t>
      </w:r>
      <w:r w:rsidR="00907F14" w:rsidRPr="00BD1319">
        <w:rPr>
          <w:rStyle w:val="Refdenotaalpie"/>
          <w:rFonts w:cs="Arial"/>
          <w:lang w:val="es-CO"/>
        </w:rPr>
        <w:footnoteReference w:id="66"/>
      </w:r>
      <w:r w:rsidR="00907F14" w:rsidRPr="00BD1319">
        <w:rPr>
          <w:rFonts w:cs="Arial"/>
        </w:rPr>
        <w:t xml:space="preserve">, así como </w:t>
      </w:r>
      <w:r w:rsidR="009178E9" w:rsidRPr="00BD1319">
        <w:rPr>
          <w:rFonts w:cs="Arial"/>
        </w:rPr>
        <w:t xml:space="preserve">opciones de </w:t>
      </w:r>
      <w:r w:rsidR="00907F14" w:rsidRPr="00BD1319">
        <w:rPr>
          <w:rFonts w:cs="Arial"/>
        </w:rPr>
        <w:t>infraestructura verde</w:t>
      </w:r>
      <w:r w:rsidR="00907F14" w:rsidRPr="00BD1319">
        <w:rPr>
          <w:rStyle w:val="Refdenotaalpie"/>
          <w:spacing w:val="-3"/>
          <w:lang w:val="es-CO"/>
        </w:rPr>
        <w:footnoteReference w:id="67"/>
      </w:r>
      <w:r w:rsidR="00907F14" w:rsidRPr="00BD1319">
        <w:rPr>
          <w:rFonts w:cs="Arial"/>
        </w:rPr>
        <w:t>.</w:t>
      </w:r>
    </w:p>
    <w:p w14:paraId="0DA62FF0" w14:textId="77777777" w:rsidR="001E31ED" w:rsidRPr="00BD1319" w:rsidRDefault="001E31ED" w:rsidP="00FE74D2">
      <w:pPr>
        <w:numPr>
          <w:ilvl w:val="12"/>
          <w:numId w:val="0"/>
        </w:numPr>
        <w:tabs>
          <w:tab w:val="left" w:pos="-2268"/>
        </w:tabs>
        <w:suppressAutoHyphens/>
        <w:rPr>
          <w:rFonts w:cs="Arial"/>
          <w:spacing w:val="-3"/>
        </w:rPr>
      </w:pPr>
    </w:p>
    <w:p w14:paraId="2412A9AB" w14:textId="21284215" w:rsidR="00E52B84" w:rsidRPr="00BD1319" w:rsidRDefault="007A36C4" w:rsidP="00BB5956">
      <w:pPr>
        <w:rPr>
          <w:lang w:val="es-ES"/>
        </w:rPr>
      </w:pPr>
      <w:r w:rsidRPr="00BD1319">
        <w:t>Por otra parte</w:t>
      </w:r>
      <w:r w:rsidR="00BB5956" w:rsidRPr="00BD1319">
        <w:t>, la configuración en términos de diseño, tecnología y localización o trazado del proyecto, obra o actividad debe incorpor</w:t>
      </w:r>
      <w:r w:rsidR="008C0A3B" w:rsidRPr="00BD1319">
        <w:t>ar</w:t>
      </w:r>
      <w:r w:rsidR="00BB5956" w:rsidRPr="00BD1319">
        <w:t xml:space="preserve"> soluciones de adaptación al cambio climático y mitigación de gases de efecto invernadero </w:t>
      </w:r>
      <w:r w:rsidR="000311B5" w:rsidRPr="00BD1319">
        <w:t xml:space="preserve">(GEI) </w:t>
      </w:r>
      <w:r w:rsidR="007C6160" w:rsidRPr="00BD1319">
        <w:t xml:space="preserve">para </w:t>
      </w:r>
      <w:r w:rsidR="00BB5956" w:rsidRPr="00BD1319">
        <w:t>que</w:t>
      </w:r>
      <w:r w:rsidR="005673FF" w:rsidRPr="00BD1319">
        <w:t xml:space="preserve"> </w:t>
      </w:r>
      <w:r w:rsidR="007C6160" w:rsidRPr="00BD1319">
        <w:t xml:space="preserve">se </w:t>
      </w:r>
      <w:r w:rsidR="00161595" w:rsidRPr="00BD1319">
        <w:rPr>
          <w:lang w:val="es-ES"/>
        </w:rPr>
        <w:t xml:space="preserve">procure limitar los riesgos derivados del cambio del clima </w:t>
      </w:r>
      <w:r w:rsidR="00155D0B" w:rsidRPr="00BD1319">
        <w:rPr>
          <w:lang w:val="es-ES"/>
        </w:rPr>
        <w:t>(según los resultados del numeral</w:t>
      </w:r>
      <w:r w:rsidR="001943B1" w:rsidRPr="00BD1319">
        <w:rPr>
          <w:lang w:val="es-ES"/>
        </w:rPr>
        <w:t xml:space="preserve"> </w:t>
      </w:r>
      <w:r w:rsidR="001943B1" w:rsidRPr="00BD1319">
        <w:rPr>
          <w:lang w:val="es-ES"/>
        </w:rPr>
        <w:fldChar w:fldCharType="begin"/>
      </w:r>
      <w:r w:rsidR="001943B1" w:rsidRPr="00BD1319">
        <w:rPr>
          <w:lang w:val="es-ES"/>
        </w:rPr>
        <w:instrText xml:space="preserve"> REF _Ref175323999 \r \h </w:instrText>
      </w:r>
      <w:r w:rsidR="00BD1319">
        <w:rPr>
          <w:lang w:val="es-ES"/>
        </w:rPr>
        <w:instrText xml:space="preserve"> \* MERGEFORMAT </w:instrText>
      </w:r>
      <w:r w:rsidR="001943B1" w:rsidRPr="00BD1319">
        <w:rPr>
          <w:lang w:val="es-ES"/>
        </w:rPr>
      </w:r>
      <w:r w:rsidR="001943B1" w:rsidRPr="00BD1319">
        <w:rPr>
          <w:lang w:val="es-ES"/>
        </w:rPr>
        <w:fldChar w:fldCharType="separate"/>
      </w:r>
      <w:r w:rsidR="00296654" w:rsidRPr="00BD1319">
        <w:rPr>
          <w:lang w:val="es-ES"/>
        </w:rPr>
        <w:t>10.7.2.2</w:t>
      </w:r>
      <w:r w:rsidR="001943B1" w:rsidRPr="00BD1319">
        <w:rPr>
          <w:lang w:val="es-ES"/>
        </w:rPr>
        <w:fldChar w:fldCharType="end"/>
      </w:r>
      <w:r w:rsidR="00155D0B" w:rsidRPr="00BD1319">
        <w:rPr>
          <w:lang w:val="es-ES"/>
        </w:rPr>
        <w:t xml:space="preserve">) </w:t>
      </w:r>
      <w:r w:rsidR="00161595" w:rsidRPr="00BD1319">
        <w:rPr>
          <w:lang w:val="es-ES"/>
        </w:rPr>
        <w:t xml:space="preserve">reduciendo la vulnerabilidad y la exposición de los elementos del </w:t>
      </w:r>
      <w:r w:rsidR="00161595" w:rsidRPr="00BD1319">
        <w:rPr>
          <w:lang w:val="es-ES"/>
        </w:rPr>
        <w:lastRenderedPageBreak/>
        <w:t>proyecto y del entorn</w:t>
      </w:r>
      <w:r w:rsidR="000311B5" w:rsidRPr="00BD1319">
        <w:rPr>
          <w:lang w:val="es-ES"/>
        </w:rPr>
        <w:t>o</w:t>
      </w:r>
      <w:r w:rsidR="00161595" w:rsidRPr="00BD1319">
        <w:rPr>
          <w:lang w:val="es-ES"/>
        </w:rPr>
        <w:t xml:space="preserve"> que pueden ser impactados por el proyecto y, </w:t>
      </w:r>
      <w:r w:rsidR="007C6160" w:rsidRPr="00BD1319">
        <w:rPr>
          <w:lang w:val="es-ES"/>
        </w:rPr>
        <w:t xml:space="preserve">se busque </w:t>
      </w:r>
      <w:r w:rsidR="00161595" w:rsidRPr="00BD1319">
        <w:rPr>
          <w:lang w:val="es-ES"/>
        </w:rPr>
        <w:t xml:space="preserve">reducir las emisiones netas </w:t>
      </w:r>
      <w:r w:rsidR="00C6668D" w:rsidRPr="00BD1319">
        <w:rPr>
          <w:lang w:val="es-ES"/>
        </w:rPr>
        <w:t xml:space="preserve">de GEI </w:t>
      </w:r>
      <w:r w:rsidR="00161595" w:rsidRPr="00BD1319">
        <w:rPr>
          <w:lang w:val="es-ES"/>
        </w:rPr>
        <w:t>a la atmósfera</w:t>
      </w:r>
      <w:r w:rsidR="000D6EE6" w:rsidRPr="00BD1319">
        <w:rPr>
          <w:rStyle w:val="Refdenotaalpie"/>
        </w:rPr>
        <w:footnoteReference w:id="68"/>
      </w:r>
      <w:r w:rsidR="008C0A3B" w:rsidRPr="00BD1319">
        <w:rPr>
          <w:lang w:val="es-ES"/>
        </w:rPr>
        <w:t>.</w:t>
      </w:r>
    </w:p>
    <w:p w14:paraId="2CC58F1B" w14:textId="77777777" w:rsidR="00E52B84" w:rsidRPr="00BD1319" w:rsidRDefault="00E52B84" w:rsidP="00BB5956">
      <w:pPr>
        <w:rPr>
          <w:lang w:val="es-ES"/>
        </w:rPr>
      </w:pPr>
    </w:p>
    <w:p w14:paraId="3D07850F" w14:textId="3F067CB7" w:rsidR="00E52B84" w:rsidRPr="00BD1319" w:rsidRDefault="00096F02" w:rsidP="00E52B84">
      <w:pPr>
        <w:numPr>
          <w:ilvl w:val="12"/>
          <w:numId w:val="0"/>
        </w:numPr>
        <w:tabs>
          <w:tab w:val="left" w:pos="-2268"/>
        </w:tabs>
        <w:suppressAutoHyphens/>
        <w:rPr>
          <w:rFonts w:cs="Arial"/>
          <w:spacing w:val="-3"/>
        </w:rPr>
      </w:pPr>
      <w:r w:rsidRPr="00BD1319">
        <w:t xml:space="preserve">La descripción del proyecto </w:t>
      </w:r>
      <w:r w:rsidR="006B4F04" w:rsidRPr="00BD1319">
        <w:t xml:space="preserve">debe hacer evidente </w:t>
      </w:r>
      <w:r w:rsidR="00F575AD" w:rsidRPr="00BD1319">
        <w:t xml:space="preserve">y de </w:t>
      </w:r>
      <w:r w:rsidR="00E52B84" w:rsidRPr="00BD1319">
        <w:t>forma concreta</w:t>
      </w:r>
      <w:r w:rsidR="00F575AD" w:rsidRPr="00BD1319">
        <w:t>,</w:t>
      </w:r>
      <w:r w:rsidR="00E52B84" w:rsidRPr="00BD1319">
        <w:t xml:space="preserve"> </w:t>
      </w:r>
      <w:r w:rsidR="006B4F04" w:rsidRPr="00BD1319">
        <w:t xml:space="preserve">cómo la configuración </w:t>
      </w:r>
      <w:r w:rsidR="00D7100A" w:rsidRPr="00BD1319">
        <w:t xml:space="preserve">específica de </w:t>
      </w:r>
      <w:r w:rsidR="00D7100A" w:rsidRPr="00BD1319">
        <w:rPr>
          <w:rFonts w:cs="Arial"/>
          <w:spacing w:val="-3"/>
        </w:rPr>
        <w:t xml:space="preserve">diseño, tecnología y localización o trazado </w:t>
      </w:r>
      <w:r w:rsidR="006B4F04" w:rsidRPr="00BD1319">
        <w:t xml:space="preserve">del proyecto </w:t>
      </w:r>
      <w:r w:rsidR="000E0090" w:rsidRPr="00BD1319">
        <w:t xml:space="preserve">involucra </w:t>
      </w:r>
      <w:r w:rsidR="006B4F04" w:rsidRPr="00BD1319">
        <w:t>la adaptación al cambio climático y la mitigación de GEI</w:t>
      </w:r>
      <w:r w:rsidR="00F575AD" w:rsidRPr="00BD1319">
        <w:t xml:space="preserve">, mencionado </w:t>
      </w:r>
      <w:r w:rsidR="00886D21" w:rsidRPr="00BD1319">
        <w:t xml:space="preserve">además </w:t>
      </w:r>
      <w:r w:rsidR="00F575AD" w:rsidRPr="00BD1319">
        <w:t xml:space="preserve">cómo </w:t>
      </w:r>
      <w:r w:rsidR="00E52B84" w:rsidRPr="00BD1319">
        <w:t xml:space="preserve">se </w:t>
      </w:r>
      <w:r w:rsidR="00E52B84" w:rsidRPr="00BD1319">
        <w:rPr>
          <w:lang w:val="es-ES"/>
        </w:rPr>
        <w:t xml:space="preserve">priorizan las posibles opciones </w:t>
      </w:r>
      <w:r w:rsidR="00F575AD" w:rsidRPr="00BD1319">
        <w:rPr>
          <w:lang w:val="es-ES"/>
        </w:rPr>
        <w:t xml:space="preserve">de </w:t>
      </w:r>
      <w:r w:rsidR="00886D21" w:rsidRPr="00BD1319">
        <w:rPr>
          <w:lang w:val="es-ES"/>
        </w:rPr>
        <w:t xml:space="preserve">adaptación y mitigación </w:t>
      </w:r>
      <w:r w:rsidR="009E38F9" w:rsidRPr="00BD1319">
        <w:rPr>
          <w:lang w:val="es-ES"/>
        </w:rPr>
        <w:t xml:space="preserve">de </w:t>
      </w:r>
      <w:r w:rsidR="00F575AD" w:rsidRPr="00BD1319">
        <w:rPr>
          <w:lang w:val="es-ES"/>
        </w:rPr>
        <w:t xml:space="preserve">acuerdo con </w:t>
      </w:r>
      <w:r w:rsidR="00E52B84" w:rsidRPr="00BD1319">
        <w:rPr>
          <w:lang w:val="es-ES"/>
        </w:rPr>
        <w:t>la</w:t>
      </w:r>
      <w:r w:rsidR="003D7CB7" w:rsidRPr="00BD1319">
        <w:rPr>
          <w:lang w:val="es-ES"/>
        </w:rPr>
        <w:t xml:space="preserve">s </w:t>
      </w:r>
      <w:r w:rsidR="00E52B84" w:rsidRPr="00BD1319">
        <w:rPr>
          <w:lang w:val="es-ES"/>
        </w:rPr>
        <w:t>fases de ejecución</w:t>
      </w:r>
      <w:r w:rsidR="003D7CB7" w:rsidRPr="00BD1319">
        <w:rPr>
          <w:lang w:val="es-ES"/>
        </w:rPr>
        <w:t>, duración</w:t>
      </w:r>
      <w:r w:rsidR="00E52B84" w:rsidRPr="00BD1319">
        <w:rPr>
          <w:lang w:val="es-ES"/>
        </w:rPr>
        <w:t xml:space="preserve"> </w:t>
      </w:r>
      <w:r w:rsidR="003D7CB7" w:rsidRPr="00BD1319">
        <w:rPr>
          <w:lang w:val="es-ES"/>
        </w:rPr>
        <w:t>y momentos de construcción del proyecto</w:t>
      </w:r>
      <w:r w:rsidR="003D7CB7" w:rsidRPr="00BD1319">
        <w:rPr>
          <w:rStyle w:val="Refdenotaalpie"/>
        </w:rPr>
        <w:footnoteReference w:id="69"/>
      </w:r>
      <w:r w:rsidR="00E52B84" w:rsidRPr="00BD1319">
        <w:rPr>
          <w:lang w:val="es-ES"/>
        </w:rPr>
        <w:t>.</w:t>
      </w:r>
    </w:p>
    <w:p w14:paraId="79F7AAF2" w14:textId="77777777" w:rsidR="00707832" w:rsidRPr="00BD1319" w:rsidRDefault="00707832" w:rsidP="00FE74D2">
      <w:pPr>
        <w:numPr>
          <w:ilvl w:val="12"/>
          <w:numId w:val="0"/>
        </w:numPr>
        <w:tabs>
          <w:tab w:val="left" w:pos="-2268"/>
        </w:tabs>
        <w:suppressAutoHyphens/>
        <w:rPr>
          <w:rFonts w:cs="Arial"/>
          <w:spacing w:val="-3"/>
        </w:rPr>
      </w:pPr>
    </w:p>
    <w:p w14:paraId="0EF93F80" w14:textId="29E4A04C" w:rsidR="00FE74D2" w:rsidRPr="00BD1319" w:rsidRDefault="00EC106D">
      <w:pPr>
        <w:numPr>
          <w:ilvl w:val="12"/>
          <w:numId w:val="0"/>
        </w:numPr>
        <w:tabs>
          <w:tab w:val="left" w:pos="-2268"/>
        </w:tabs>
        <w:suppressAutoHyphens/>
        <w:rPr>
          <w:spacing w:val="-3"/>
        </w:rPr>
      </w:pPr>
      <w:r w:rsidRPr="00BD1319">
        <w:rPr>
          <w:spacing w:val="-3"/>
        </w:rPr>
        <w:t>Por otra parte, l</w:t>
      </w:r>
      <w:r w:rsidR="00C26181" w:rsidRPr="00BD1319">
        <w:rPr>
          <w:spacing w:val="-3"/>
        </w:rPr>
        <w:t>a</w:t>
      </w:r>
      <w:r w:rsidR="00FE74D2" w:rsidRPr="00BD1319">
        <w:rPr>
          <w:spacing w:val="-3"/>
        </w:rPr>
        <w:t xml:space="preserve"> descripción del proyecto</w:t>
      </w:r>
      <w:r w:rsidR="00C26181" w:rsidRPr="00BD1319">
        <w:rPr>
          <w:spacing w:val="-3"/>
        </w:rPr>
        <w:t xml:space="preserve"> debe ser detallada</w:t>
      </w:r>
      <w:r w:rsidR="00FE74D2" w:rsidRPr="00BD1319">
        <w:rPr>
          <w:spacing w:val="-3"/>
        </w:rPr>
        <w:t>, señalando su objetivo, localización</w:t>
      </w:r>
      <w:r w:rsidR="00C22947" w:rsidRPr="00BD1319">
        <w:rPr>
          <w:rStyle w:val="Refdenotaalpie"/>
          <w:rFonts w:cs="Arial"/>
          <w:spacing w:val="-3"/>
          <w:lang w:val="es-CO"/>
        </w:rPr>
        <w:footnoteReference w:id="70"/>
      </w:r>
      <w:r w:rsidR="00FE74D2" w:rsidRPr="00BD1319">
        <w:rPr>
          <w:spacing w:val="-3"/>
        </w:rPr>
        <w:t xml:space="preserve">, diseño y características técnicas, especificando entre otras, </w:t>
      </w:r>
      <w:r w:rsidR="00FE74D2" w:rsidRPr="00BD1319">
        <w:rPr>
          <w:rFonts w:cs="Arial"/>
          <w:spacing w:val="-3"/>
        </w:rPr>
        <w:t xml:space="preserve">las fases del proyecto, </w:t>
      </w:r>
      <w:r w:rsidR="00FE74D2" w:rsidRPr="00BD1319">
        <w:rPr>
          <w:spacing w:val="-3"/>
        </w:rPr>
        <w:t xml:space="preserve">la duración </w:t>
      </w:r>
      <w:r w:rsidR="00FE74D2" w:rsidRPr="00BD1319">
        <w:rPr>
          <w:rFonts w:cs="Arial"/>
          <w:spacing w:val="-3"/>
        </w:rPr>
        <w:t>de cada una de ellas</w:t>
      </w:r>
      <w:r w:rsidR="00FE74D2" w:rsidRPr="00BD1319">
        <w:rPr>
          <w:spacing w:val="-3"/>
        </w:rPr>
        <w:t xml:space="preserve"> y el cronograma estimado para el desarrollo de sus actividades, las particularidades de cada una de sus fases </w:t>
      </w:r>
      <w:r w:rsidR="00395CF0" w:rsidRPr="00BD1319">
        <w:rPr>
          <w:spacing w:val="-3"/>
        </w:rPr>
        <w:t xml:space="preserve">señalando las actividades, </w:t>
      </w:r>
      <w:r w:rsidR="00FE74D2" w:rsidRPr="00BD1319">
        <w:rPr>
          <w:spacing w:val="-3"/>
        </w:rPr>
        <w:t>la infraestructura existente</w:t>
      </w:r>
      <w:r w:rsidR="00710437" w:rsidRPr="00BD1319">
        <w:rPr>
          <w:spacing w:val="-3"/>
        </w:rPr>
        <w:t xml:space="preserve"> a emplear</w:t>
      </w:r>
      <w:r w:rsidR="00FE74D2" w:rsidRPr="00BD1319">
        <w:rPr>
          <w:spacing w:val="-3"/>
        </w:rPr>
        <w:t xml:space="preserve">, </w:t>
      </w:r>
      <w:bookmarkStart w:id="2519" w:name="_Toc341355802"/>
      <w:r w:rsidR="00FE74D2" w:rsidRPr="00BD1319">
        <w:rPr>
          <w:spacing w:val="-3"/>
        </w:rPr>
        <w:t>los insumos que requiere, el manejo y forma de disposición de los residuos peligrosos y no peligrosos así como de los materiales que genere</w:t>
      </w:r>
      <w:r w:rsidR="00CA6616" w:rsidRPr="00BD1319">
        <w:rPr>
          <w:rStyle w:val="Refdenotaalpie"/>
          <w:spacing w:val="-3"/>
          <w:lang w:val="es-CO"/>
        </w:rPr>
        <w:footnoteReference w:id="71"/>
      </w:r>
      <w:r w:rsidR="00FE74D2" w:rsidRPr="00BD1319">
        <w:rPr>
          <w:spacing w:val="-3"/>
        </w:rPr>
        <w:t>,</w:t>
      </w:r>
      <w:bookmarkEnd w:id="2519"/>
      <w:r w:rsidR="00FE74D2" w:rsidRPr="00BD1319">
        <w:rPr>
          <w:spacing w:val="-3"/>
        </w:rPr>
        <w:t xml:space="preserve"> </w:t>
      </w:r>
      <w:r w:rsidR="00CA6616" w:rsidRPr="00BD1319">
        <w:rPr>
          <w:spacing w:val="-3"/>
        </w:rPr>
        <w:t>y</w:t>
      </w:r>
      <w:r w:rsidR="00710437" w:rsidRPr="00BD1319">
        <w:rPr>
          <w:spacing w:val="-3"/>
        </w:rPr>
        <w:t xml:space="preserve"> </w:t>
      </w:r>
      <w:r w:rsidR="00FE74D2" w:rsidRPr="00BD1319">
        <w:rPr>
          <w:spacing w:val="-3"/>
        </w:rPr>
        <w:t>los costos estimados para su ejecución.</w:t>
      </w:r>
    </w:p>
    <w:p w14:paraId="0B05B95E" w14:textId="77777777" w:rsidR="00FE74D2" w:rsidRPr="00BD1319" w:rsidRDefault="00FE74D2">
      <w:pPr>
        <w:numPr>
          <w:ilvl w:val="12"/>
          <w:numId w:val="0"/>
        </w:numPr>
        <w:tabs>
          <w:tab w:val="left" w:pos="-2268"/>
        </w:tabs>
        <w:suppressAutoHyphens/>
        <w:rPr>
          <w:spacing w:val="-3"/>
        </w:rPr>
      </w:pPr>
    </w:p>
    <w:p w14:paraId="03126658" w14:textId="16858587" w:rsidR="007374D4" w:rsidRPr="00BD1319" w:rsidRDefault="007374D4">
      <w:pPr>
        <w:numPr>
          <w:ilvl w:val="12"/>
          <w:numId w:val="0"/>
        </w:numPr>
        <w:tabs>
          <w:tab w:val="left" w:pos="-2268"/>
        </w:tabs>
        <w:suppressAutoHyphens/>
        <w:rPr>
          <w:spacing w:val="-3"/>
        </w:rPr>
      </w:pPr>
      <w:r w:rsidRPr="00BD1319">
        <w:t xml:space="preserve">Se deben describir las actividades de desmantelamiento y </w:t>
      </w:r>
      <w:r w:rsidR="005D3173" w:rsidRPr="00BD1319">
        <w:t xml:space="preserve">cierre ambiental </w:t>
      </w:r>
      <w:r w:rsidRPr="00BD1319">
        <w:t xml:space="preserve">de obras e infraestructura temporales, así como las actividades requeridas para el desmantelamiento y </w:t>
      </w:r>
      <w:r w:rsidR="005D3173" w:rsidRPr="00BD1319">
        <w:t xml:space="preserve">cierre ambiental </w:t>
      </w:r>
      <w:r w:rsidRPr="00BD1319">
        <w:t xml:space="preserve">progresivo de obras, infraestructura o frentes </w:t>
      </w:r>
      <w:r w:rsidRPr="00BD1319">
        <w:lastRenderedPageBreak/>
        <w:t>de explotación</w:t>
      </w:r>
      <w:r w:rsidR="003F44B2" w:rsidRPr="00BD1319">
        <w:t>,</w:t>
      </w:r>
      <w:r w:rsidRPr="00BD1319">
        <w:t xml:space="preserve"> </w:t>
      </w:r>
      <w:r w:rsidR="000B248C" w:rsidRPr="00BD1319">
        <w:t>en caso de aplicar</w:t>
      </w:r>
      <w:r w:rsidRPr="00BD1319">
        <w:t>.</w:t>
      </w:r>
      <w:r w:rsidR="001B2658" w:rsidRPr="00BD1319">
        <w:t xml:space="preserve"> Las particularidades para la descripción de estas actividades, de acuerdo con cada tipo de proyecto, obra o actividad, se establecen en los términos de referencia.</w:t>
      </w:r>
    </w:p>
    <w:p w14:paraId="73ECEF32" w14:textId="77777777" w:rsidR="007374D4" w:rsidRPr="00BD1319" w:rsidRDefault="007374D4">
      <w:pPr>
        <w:numPr>
          <w:ilvl w:val="12"/>
          <w:numId w:val="0"/>
        </w:numPr>
        <w:tabs>
          <w:tab w:val="left" w:pos="-2268"/>
        </w:tabs>
        <w:suppressAutoHyphens/>
        <w:rPr>
          <w:spacing w:val="-3"/>
        </w:rPr>
      </w:pPr>
    </w:p>
    <w:p w14:paraId="75A4F089" w14:textId="1B6042F8" w:rsidR="00FE74D2" w:rsidRPr="00BD1319" w:rsidRDefault="00FE74D2">
      <w:pPr>
        <w:numPr>
          <w:ilvl w:val="12"/>
          <w:numId w:val="0"/>
        </w:numPr>
        <w:tabs>
          <w:tab w:val="left" w:pos="-2268"/>
        </w:tabs>
        <w:suppressAutoHyphens/>
        <w:rPr>
          <w:spacing w:val="-3"/>
        </w:rPr>
      </w:pPr>
      <w:r w:rsidRPr="00BD1319">
        <w:rPr>
          <w:spacing w:val="-3"/>
        </w:rPr>
        <w:t xml:space="preserve">Es obligación de quien </w:t>
      </w:r>
      <w:r w:rsidRPr="00BD1319">
        <w:rPr>
          <w:rFonts w:cs="Arial"/>
          <w:spacing w:val="-3"/>
        </w:rPr>
        <w:t>presenta</w:t>
      </w:r>
      <w:r w:rsidRPr="00BD1319">
        <w:rPr>
          <w:spacing w:val="-3"/>
        </w:rPr>
        <w:t xml:space="preserve"> el EIA brindar información que permita a las autoridades ambientales conocer todas las particularidades del proyecto, </w:t>
      </w:r>
      <w:r w:rsidR="00402D2D" w:rsidRPr="00BD1319">
        <w:rPr>
          <w:spacing w:val="-3"/>
        </w:rPr>
        <w:t xml:space="preserve">obra o actividad </w:t>
      </w:r>
      <w:r w:rsidRPr="00BD1319">
        <w:rPr>
          <w:spacing w:val="-3"/>
        </w:rPr>
        <w:t xml:space="preserve">de forma que más adelante, y de acuerdo </w:t>
      </w:r>
      <w:r w:rsidR="00467CE5" w:rsidRPr="00BD1319">
        <w:rPr>
          <w:spacing w:val="-3"/>
        </w:rPr>
        <w:t>con</w:t>
      </w:r>
      <w:r w:rsidRPr="00BD1319">
        <w:rPr>
          <w:spacing w:val="-3"/>
        </w:rPr>
        <w:t xml:space="preserve"> las características ambientales del lugar en el que se plantea su desarrollo, tengan total claridad y puedan verificar la </w:t>
      </w:r>
      <w:r w:rsidR="000404AA" w:rsidRPr="00BD1319">
        <w:rPr>
          <w:spacing w:val="-3"/>
        </w:rPr>
        <w:t xml:space="preserve">determinación </w:t>
      </w:r>
      <w:r w:rsidRPr="00BD1319">
        <w:rPr>
          <w:spacing w:val="-3"/>
        </w:rPr>
        <w:t xml:space="preserve">y valoración de impactos ambientales, la </w:t>
      </w:r>
      <w:r w:rsidR="00D527F5" w:rsidRPr="00BD1319">
        <w:rPr>
          <w:spacing w:val="-3"/>
        </w:rPr>
        <w:t xml:space="preserve">delimitación </w:t>
      </w:r>
      <w:r w:rsidRPr="00BD1319">
        <w:rPr>
          <w:spacing w:val="-3"/>
        </w:rPr>
        <w:t>del área de influencia, el uso y aprovechamiento de recursos naturales, la formulación de planes y demás componentes del EIA; es decir, se debe proporcionar la información necesaria y suficiente a fin de que las autoridades ambientales tomen una decisión informada sobre la viabilidad ambiental del proyecto. Las particularidades que se deben tener en cuenta para la descripción de cada tipo de proyecto</w:t>
      </w:r>
      <w:r w:rsidR="00BC6D6A" w:rsidRPr="00BD1319">
        <w:rPr>
          <w:spacing w:val="-3"/>
        </w:rPr>
        <w:t>, obra o actividad</w:t>
      </w:r>
      <w:r w:rsidRPr="00BD1319">
        <w:rPr>
          <w:spacing w:val="-3"/>
        </w:rPr>
        <w:t xml:space="preserve"> se establecen en los términos de referencia.</w:t>
      </w:r>
    </w:p>
    <w:p w14:paraId="4967D320" w14:textId="77777777" w:rsidR="00BE576B" w:rsidRPr="00BD1319" w:rsidRDefault="00BE576B">
      <w:pPr>
        <w:numPr>
          <w:ilvl w:val="12"/>
          <w:numId w:val="0"/>
        </w:numPr>
        <w:tabs>
          <w:tab w:val="left" w:pos="-2268"/>
        </w:tabs>
        <w:suppressAutoHyphens/>
        <w:rPr>
          <w:spacing w:val="-3"/>
        </w:rPr>
      </w:pPr>
    </w:p>
    <w:p w14:paraId="5647D02E" w14:textId="312DA445" w:rsidR="00F10E2F" w:rsidRPr="00BD1319" w:rsidRDefault="00652148" w:rsidP="009871FB">
      <w:pPr>
        <w:numPr>
          <w:ilvl w:val="12"/>
          <w:numId w:val="0"/>
        </w:numPr>
        <w:tabs>
          <w:tab w:val="left" w:pos="-2268"/>
        </w:tabs>
        <w:suppressAutoHyphens/>
        <w:rPr>
          <w:rFonts w:cs="Arial"/>
        </w:rPr>
      </w:pPr>
      <w:r w:rsidRPr="00BD1319">
        <w:rPr>
          <w:spacing w:val="-3"/>
        </w:rPr>
        <w:t xml:space="preserve">En caso de que se plantee suplir la demanda </w:t>
      </w:r>
      <w:r w:rsidR="009871FB" w:rsidRPr="00BD1319">
        <w:rPr>
          <w:rFonts w:cs="Arial"/>
        </w:rPr>
        <w:t>de materiales de construcción para la ejecución de las obras civiles</w:t>
      </w:r>
      <w:r w:rsidRPr="00BD1319">
        <w:rPr>
          <w:rFonts w:cs="Arial"/>
        </w:rPr>
        <w:t xml:space="preserve"> </w:t>
      </w:r>
      <w:r w:rsidR="00380449" w:rsidRPr="00BD1319">
        <w:rPr>
          <w:rFonts w:cs="Arial"/>
        </w:rPr>
        <w:t>asociadas a</w:t>
      </w:r>
      <w:r w:rsidRPr="00BD1319">
        <w:rPr>
          <w:rFonts w:cs="Arial"/>
        </w:rPr>
        <w:t xml:space="preserve">l proyecto, obra o actividad </w:t>
      </w:r>
      <w:r w:rsidR="00F10E2F" w:rsidRPr="00BD1319">
        <w:rPr>
          <w:spacing w:val="-3"/>
        </w:rPr>
        <w:t xml:space="preserve">mediante un tercero, </w:t>
      </w:r>
      <w:r w:rsidR="000B248C" w:rsidRPr="00BD1319">
        <w:rPr>
          <w:spacing w:val="-3"/>
        </w:rPr>
        <w:t xml:space="preserve">éste debe </w:t>
      </w:r>
      <w:r w:rsidR="000B248C" w:rsidRPr="00BD1319">
        <w:rPr>
          <w:rFonts w:cs="Arial"/>
        </w:rPr>
        <w:t xml:space="preserve">contar </w:t>
      </w:r>
      <w:r w:rsidR="009871FB" w:rsidRPr="00BD1319">
        <w:rPr>
          <w:rFonts w:cs="Arial"/>
        </w:rPr>
        <w:t xml:space="preserve">con </w:t>
      </w:r>
      <w:r w:rsidRPr="00BD1319">
        <w:rPr>
          <w:rFonts w:cs="Arial"/>
        </w:rPr>
        <w:t xml:space="preserve">título minero </w:t>
      </w:r>
      <w:r w:rsidR="001C0A9D" w:rsidRPr="00BD1319">
        <w:rPr>
          <w:rFonts w:cs="Arial"/>
        </w:rPr>
        <w:t xml:space="preserve">otorgado </w:t>
      </w:r>
      <w:r w:rsidR="00762B14" w:rsidRPr="00BD1319">
        <w:rPr>
          <w:rFonts w:cs="Arial"/>
        </w:rPr>
        <w:t xml:space="preserve">por </w:t>
      </w:r>
      <w:r w:rsidR="009871FB" w:rsidRPr="00BD1319">
        <w:rPr>
          <w:rFonts w:cs="Arial"/>
        </w:rPr>
        <w:t xml:space="preserve">la Agencia Nacional Minera (ANM) o la entidad que haga sus veces, así como </w:t>
      </w:r>
      <w:r w:rsidRPr="00BD1319">
        <w:rPr>
          <w:rFonts w:cs="Arial"/>
        </w:rPr>
        <w:t xml:space="preserve">con </w:t>
      </w:r>
      <w:r w:rsidR="00AB1AAE" w:rsidRPr="00BD1319">
        <w:rPr>
          <w:rFonts w:cs="Arial"/>
        </w:rPr>
        <w:t xml:space="preserve">licencia ambiental otorgada </w:t>
      </w:r>
      <w:r w:rsidR="009871FB" w:rsidRPr="00BD1319">
        <w:rPr>
          <w:rFonts w:cs="Arial"/>
        </w:rPr>
        <w:t>por la autoridad ambiental competente</w:t>
      </w:r>
      <w:r w:rsidR="00AB1AAE" w:rsidRPr="00BD1319">
        <w:rPr>
          <w:rFonts w:cs="Arial"/>
        </w:rPr>
        <w:t>.</w:t>
      </w:r>
      <w:r w:rsidR="00E25DFC" w:rsidRPr="00BD1319">
        <w:rPr>
          <w:rFonts w:cs="Arial"/>
        </w:rPr>
        <w:t xml:space="preserve"> Si </w:t>
      </w:r>
      <w:r w:rsidR="000B248C" w:rsidRPr="00BD1319">
        <w:rPr>
          <w:rFonts w:cs="Arial"/>
        </w:rPr>
        <w:t xml:space="preserve">se busca suplir la demanda a partir de </w:t>
      </w:r>
      <w:r w:rsidR="00E25DFC" w:rsidRPr="00BD1319">
        <w:rPr>
          <w:rFonts w:cs="Arial"/>
        </w:rPr>
        <w:t>una fuente secundaria o de Residuos de Construcción y Demolición (RCD),</w:t>
      </w:r>
      <w:r w:rsidR="00F14D1D" w:rsidRPr="00BD1319">
        <w:rPr>
          <w:rFonts w:cs="Arial"/>
        </w:rPr>
        <w:t xml:space="preserve"> se debe </w:t>
      </w:r>
      <w:r w:rsidR="00F14D1D" w:rsidRPr="00BD1319">
        <w:rPr>
          <w:spacing w:val="-3"/>
        </w:rPr>
        <w:t xml:space="preserve">suministrar </w:t>
      </w:r>
      <w:r w:rsidR="00F14D1D" w:rsidRPr="00BD1319">
        <w:rPr>
          <w:rFonts w:cs="Arial"/>
        </w:rPr>
        <w:t xml:space="preserve">la inscripción o permiso </w:t>
      </w:r>
      <w:r w:rsidR="00CA6616" w:rsidRPr="00BD1319">
        <w:rPr>
          <w:rFonts w:cs="Arial"/>
        </w:rPr>
        <w:t xml:space="preserve">para su aprovechamiento que </w:t>
      </w:r>
      <w:r w:rsidR="00F14D1D" w:rsidRPr="00BD1319">
        <w:rPr>
          <w:rFonts w:cs="Arial"/>
        </w:rPr>
        <w:t>la autoridad ambiental competente</w:t>
      </w:r>
      <w:r w:rsidR="00E33983" w:rsidRPr="00BD1319">
        <w:rPr>
          <w:rFonts w:cs="Arial"/>
        </w:rPr>
        <w:t xml:space="preserve"> haya otorgado al proveedor</w:t>
      </w:r>
      <w:r w:rsidR="00F14D1D" w:rsidRPr="00BD1319">
        <w:rPr>
          <w:rFonts w:cs="Arial"/>
        </w:rPr>
        <w:t xml:space="preserve">, o los documentos que defina la reglamentación vigente para </w:t>
      </w:r>
      <w:r w:rsidR="007455CA" w:rsidRPr="00BD1319">
        <w:rPr>
          <w:rFonts w:cs="Arial"/>
        </w:rPr>
        <w:t xml:space="preserve">el </w:t>
      </w:r>
      <w:r w:rsidR="00F14D1D" w:rsidRPr="00BD1319">
        <w:rPr>
          <w:rFonts w:cs="Arial"/>
        </w:rPr>
        <w:t>aprovechamiento de este tipo de residuos.</w:t>
      </w:r>
    </w:p>
    <w:p w14:paraId="514C3637" w14:textId="6ECA48FC" w:rsidR="00F10E2F" w:rsidRPr="00BD1319" w:rsidRDefault="00F10E2F" w:rsidP="009871FB">
      <w:pPr>
        <w:numPr>
          <w:ilvl w:val="12"/>
          <w:numId w:val="0"/>
        </w:numPr>
        <w:tabs>
          <w:tab w:val="left" w:pos="-2268"/>
        </w:tabs>
        <w:suppressAutoHyphens/>
        <w:rPr>
          <w:rFonts w:cs="Arial"/>
        </w:rPr>
      </w:pPr>
    </w:p>
    <w:p w14:paraId="121848FA" w14:textId="07FA1451" w:rsidR="00FF659F" w:rsidRPr="00BD1319" w:rsidRDefault="00F10E2F" w:rsidP="00FF659F">
      <w:pPr>
        <w:rPr>
          <w:rFonts w:cs="Arial"/>
          <w:bCs/>
          <w:spacing w:val="-3"/>
        </w:rPr>
      </w:pPr>
      <w:r w:rsidRPr="00BD1319">
        <w:rPr>
          <w:rFonts w:cs="Arial"/>
          <w:bCs/>
          <w:spacing w:val="-3"/>
        </w:rPr>
        <w:t xml:space="preserve">Si el proyecto, obra o actividad contempla el desarrollo de actividades </w:t>
      </w:r>
      <w:r w:rsidR="003113AD" w:rsidRPr="00BD1319">
        <w:rPr>
          <w:rFonts w:cs="Arial"/>
          <w:bCs/>
          <w:spacing w:val="-3"/>
        </w:rPr>
        <w:t>de</w:t>
      </w:r>
      <w:r w:rsidRPr="00BD1319">
        <w:rPr>
          <w:rFonts w:cs="Arial"/>
          <w:bCs/>
          <w:spacing w:val="-3"/>
        </w:rPr>
        <w:t xml:space="preserve"> explota</w:t>
      </w:r>
      <w:r w:rsidR="003113AD" w:rsidRPr="00BD1319">
        <w:rPr>
          <w:rFonts w:cs="Arial"/>
          <w:bCs/>
          <w:spacing w:val="-3"/>
        </w:rPr>
        <w:t>ción de</w:t>
      </w:r>
      <w:r w:rsidRPr="00BD1319">
        <w:rPr>
          <w:rFonts w:cs="Arial"/>
          <w:bCs/>
          <w:spacing w:val="-3"/>
        </w:rPr>
        <w:t xml:space="preserve"> </w:t>
      </w:r>
      <w:r w:rsidR="003113AD" w:rsidRPr="00BD1319">
        <w:rPr>
          <w:rFonts w:cs="Arial"/>
        </w:rPr>
        <w:t xml:space="preserve">materiales de construcción </w:t>
      </w:r>
      <w:r w:rsidR="001C0A9D" w:rsidRPr="00BD1319">
        <w:rPr>
          <w:rFonts w:cs="Arial"/>
          <w:bCs/>
          <w:spacing w:val="-3"/>
        </w:rPr>
        <w:t>a fin de suplir su</w:t>
      </w:r>
      <w:r w:rsidR="00762B14" w:rsidRPr="00BD1319">
        <w:rPr>
          <w:rFonts w:cs="Arial"/>
          <w:bCs/>
          <w:spacing w:val="-3"/>
        </w:rPr>
        <w:t>s</w:t>
      </w:r>
      <w:r w:rsidR="001C0A9D" w:rsidRPr="00BD1319">
        <w:rPr>
          <w:rFonts w:cs="Arial"/>
          <w:bCs/>
          <w:spacing w:val="-3"/>
        </w:rPr>
        <w:t xml:space="preserve"> </w:t>
      </w:r>
      <w:r w:rsidR="00762B14" w:rsidRPr="00BD1319">
        <w:rPr>
          <w:rFonts w:cs="Arial"/>
          <w:bCs/>
          <w:spacing w:val="-3"/>
        </w:rPr>
        <w:t>necesidades</w:t>
      </w:r>
      <w:r w:rsidRPr="00BD1319">
        <w:rPr>
          <w:rFonts w:cs="Arial"/>
          <w:bCs/>
          <w:spacing w:val="-3"/>
        </w:rPr>
        <w:t xml:space="preserve">, </w:t>
      </w:r>
      <w:r w:rsidR="00762B14" w:rsidRPr="00BD1319">
        <w:rPr>
          <w:rFonts w:cs="Arial"/>
          <w:bCs/>
          <w:spacing w:val="-3"/>
        </w:rPr>
        <w:t xml:space="preserve">se deben </w:t>
      </w:r>
      <w:r w:rsidRPr="00BD1319">
        <w:rPr>
          <w:rFonts w:cs="Arial"/>
          <w:bCs/>
          <w:spacing w:val="-3"/>
        </w:rPr>
        <w:t xml:space="preserve">describir detalladamente </w:t>
      </w:r>
      <w:r w:rsidR="00402D2D" w:rsidRPr="00BD1319">
        <w:rPr>
          <w:rFonts w:cs="Arial"/>
          <w:bCs/>
          <w:spacing w:val="-3"/>
        </w:rPr>
        <w:t xml:space="preserve">dichas </w:t>
      </w:r>
      <w:r w:rsidRPr="00BD1319">
        <w:rPr>
          <w:rFonts w:cs="Arial"/>
          <w:bCs/>
          <w:spacing w:val="-3"/>
        </w:rPr>
        <w:t>actividades de explotación</w:t>
      </w:r>
      <w:r w:rsidR="00652148" w:rsidRPr="00BD1319">
        <w:rPr>
          <w:rStyle w:val="Refdenotaalpie"/>
          <w:rFonts w:cs="Arial"/>
          <w:bCs/>
          <w:spacing w:val="-3"/>
          <w:lang w:val="es-CO"/>
        </w:rPr>
        <w:footnoteReference w:id="72"/>
      </w:r>
      <w:r w:rsidRPr="00BD1319">
        <w:rPr>
          <w:rFonts w:cs="Arial"/>
          <w:bCs/>
          <w:spacing w:val="-3"/>
        </w:rPr>
        <w:t xml:space="preserve">, </w:t>
      </w:r>
      <w:r w:rsidR="006D6481" w:rsidRPr="00BD1319">
        <w:rPr>
          <w:rFonts w:cs="Arial"/>
          <w:bCs/>
          <w:spacing w:val="-3"/>
        </w:rPr>
        <w:t>de forma que la autoridad ambiental pueda conocer</w:t>
      </w:r>
      <w:r w:rsidR="000B248C" w:rsidRPr="00BD1319">
        <w:rPr>
          <w:rFonts w:cs="Arial"/>
          <w:bCs/>
          <w:spacing w:val="-3"/>
        </w:rPr>
        <w:t xml:space="preserve"> todas sus particularidades.</w:t>
      </w:r>
      <w:r w:rsidR="00AB1AAE" w:rsidRPr="00BD1319">
        <w:rPr>
          <w:rFonts w:cs="Arial"/>
          <w:bCs/>
          <w:spacing w:val="-3"/>
        </w:rPr>
        <w:t xml:space="preserve"> </w:t>
      </w:r>
      <w:r w:rsidR="0089273A" w:rsidRPr="00BD1319">
        <w:rPr>
          <w:rFonts w:cs="Arial"/>
          <w:bCs/>
          <w:spacing w:val="-3"/>
        </w:rPr>
        <w:t xml:space="preserve">En este caso </w:t>
      </w:r>
      <w:r w:rsidR="00AB1AAE" w:rsidRPr="00BD1319">
        <w:rPr>
          <w:rFonts w:cs="Arial"/>
          <w:bCs/>
          <w:spacing w:val="-3"/>
        </w:rPr>
        <w:t xml:space="preserve">se debe </w:t>
      </w:r>
      <w:r w:rsidR="00FF659F" w:rsidRPr="00BD1319">
        <w:rPr>
          <w:rFonts w:cs="Arial"/>
          <w:bCs/>
          <w:spacing w:val="-3"/>
        </w:rPr>
        <w:t>contar con título minero o autorización temporal vigente de la ANM.</w:t>
      </w:r>
    </w:p>
    <w:p w14:paraId="47D35C82" w14:textId="77777777" w:rsidR="009E38F9" w:rsidRPr="00BD1319" w:rsidRDefault="009E38F9" w:rsidP="00FF659F">
      <w:pPr>
        <w:rPr>
          <w:rFonts w:cs="Arial"/>
          <w:bCs/>
          <w:spacing w:val="-3"/>
        </w:rPr>
      </w:pPr>
    </w:p>
    <w:p w14:paraId="7262657B" w14:textId="273F5E13" w:rsidR="006D0627" w:rsidRPr="00BD1319" w:rsidRDefault="006D0627" w:rsidP="006D0627">
      <w:pPr>
        <w:rPr>
          <w:rFonts w:cs="Arial"/>
          <w:bCs/>
          <w:spacing w:val="-3"/>
        </w:rPr>
      </w:pPr>
      <w:r w:rsidRPr="00BD1319">
        <w:rPr>
          <w:rFonts w:cs="Arial"/>
          <w:bCs/>
          <w:spacing w:val="-3"/>
        </w:rPr>
        <w:t xml:space="preserve">Si </w:t>
      </w:r>
      <w:r w:rsidR="00B2092A" w:rsidRPr="00BD1319">
        <w:rPr>
          <w:rFonts w:cs="Arial"/>
          <w:bCs/>
          <w:spacing w:val="-3"/>
        </w:rPr>
        <w:t xml:space="preserve">como consecuencia de la ejecución del proyecto </w:t>
      </w:r>
      <w:r w:rsidRPr="00BD1319">
        <w:rPr>
          <w:rFonts w:cs="Arial"/>
          <w:bCs/>
          <w:spacing w:val="-3"/>
        </w:rPr>
        <w:t xml:space="preserve">se tiene prevista </w:t>
      </w:r>
      <w:r w:rsidR="00455697" w:rsidRPr="00BD1319">
        <w:rPr>
          <w:rFonts w:cs="Arial"/>
          <w:bCs/>
          <w:spacing w:val="-3"/>
        </w:rPr>
        <w:t xml:space="preserve">la </w:t>
      </w:r>
      <w:r w:rsidR="008265B9" w:rsidRPr="00BD1319">
        <w:rPr>
          <w:rFonts w:cs="Arial"/>
          <w:bCs/>
          <w:spacing w:val="-3"/>
        </w:rPr>
        <w:t xml:space="preserve">generación de Residuos de Construcción y Demolición (RCD), es necesario hacer efectiva la jerarquía en la gestión integral de RCD, describir todas las actividades que se </w:t>
      </w:r>
      <w:r w:rsidR="008265B9" w:rsidRPr="00BD1319">
        <w:rPr>
          <w:rFonts w:cs="Arial"/>
          <w:bCs/>
          <w:spacing w:val="-3"/>
        </w:rPr>
        <w:lastRenderedPageBreak/>
        <w:t>requieran para su almacenamiento temporal o para su disposición final</w:t>
      </w:r>
      <w:r w:rsidR="008265B9" w:rsidRPr="00BD1319">
        <w:rPr>
          <w:rStyle w:val="Refdenotaalpie"/>
          <w:rFonts w:cs="Arial"/>
          <w:bCs/>
          <w:spacing w:val="-3"/>
        </w:rPr>
        <w:footnoteReference w:id="73"/>
      </w:r>
      <w:r w:rsidR="008265B9" w:rsidRPr="00BD1319">
        <w:rPr>
          <w:rFonts w:cs="Arial"/>
          <w:bCs/>
          <w:spacing w:val="-3"/>
        </w:rPr>
        <w:t>, así como señalar la localización de los lugares de almacenamiento o disposición. E</w:t>
      </w:r>
      <w:r w:rsidRPr="00BD1319">
        <w:rPr>
          <w:rFonts w:cs="Arial"/>
          <w:bCs/>
          <w:spacing w:val="-3"/>
        </w:rPr>
        <w:t>n caso de clasificar como gran generador</w:t>
      </w:r>
      <w:r w:rsidR="008265B9" w:rsidRPr="00BD1319">
        <w:rPr>
          <w:rFonts w:cs="Arial"/>
          <w:bCs/>
          <w:spacing w:val="-3"/>
        </w:rPr>
        <w:t xml:space="preserve"> de RCD</w:t>
      </w:r>
      <w:r w:rsidRPr="00BD1319">
        <w:rPr>
          <w:rFonts w:cs="Arial"/>
          <w:bCs/>
          <w:spacing w:val="-3"/>
        </w:rPr>
        <w:t xml:space="preserve">, </w:t>
      </w:r>
      <w:r w:rsidR="008265B9" w:rsidRPr="00BD1319">
        <w:rPr>
          <w:rFonts w:cs="Arial"/>
          <w:bCs/>
          <w:spacing w:val="-3"/>
        </w:rPr>
        <w:t xml:space="preserve">se debe </w:t>
      </w:r>
      <w:r w:rsidRPr="00BD1319">
        <w:rPr>
          <w:rFonts w:cs="Arial"/>
          <w:bCs/>
          <w:spacing w:val="-3"/>
        </w:rPr>
        <w:t xml:space="preserve">incluir en este numeral </w:t>
      </w:r>
      <w:r w:rsidR="00455697" w:rsidRPr="00BD1319">
        <w:rPr>
          <w:rFonts w:cs="Arial"/>
          <w:bCs/>
          <w:spacing w:val="-3"/>
        </w:rPr>
        <w:t xml:space="preserve">del EIA </w:t>
      </w:r>
      <w:r w:rsidRPr="00BD1319">
        <w:rPr>
          <w:rFonts w:cs="Arial"/>
          <w:bCs/>
          <w:spacing w:val="-3"/>
        </w:rPr>
        <w:t xml:space="preserve">la información del Programa de Manejo Ambiental de RCD que </w:t>
      </w:r>
      <w:r w:rsidR="00855DF9" w:rsidRPr="00BD1319">
        <w:rPr>
          <w:rFonts w:cs="Arial"/>
          <w:bCs/>
          <w:spacing w:val="-3"/>
        </w:rPr>
        <w:t xml:space="preserve">se asocie </w:t>
      </w:r>
      <w:r w:rsidRPr="00BD1319">
        <w:rPr>
          <w:rFonts w:cs="Arial"/>
          <w:bCs/>
          <w:spacing w:val="-3"/>
        </w:rPr>
        <w:t>a la descripción del proyecto</w:t>
      </w:r>
      <w:r w:rsidR="004C37CC" w:rsidRPr="00BD1319">
        <w:rPr>
          <w:rStyle w:val="Refdenotaalpie"/>
          <w:rFonts w:cs="Arial"/>
          <w:bCs/>
          <w:spacing w:val="-3"/>
        </w:rPr>
        <w:footnoteReference w:id="74"/>
      </w:r>
      <w:r w:rsidRPr="00BD1319">
        <w:rPr>
          <w:rFonts w:cs="Arial"/>
          <w:bCs/>
          <w:spacing w:val="-3"/>
        </w:rPr>
        <w:t>. Igualmente, se debe</w:t>
      </w:r>
      <w:r w:rsidR="00855DF9" w:rsidRPr="00BD1319">
        <w:rPr>
          <w:rFonts w:cs="Arial"/>
          <w:bCs/>
          <w:spacing w:val="-3"/>
        </w:rPr>
        <w:t>n</w:t>
      </w:r>
      <w:r w:rsidRPr="00BD1319">
        <w:rPr>
          <w:rFonts w:cs="Arial"/>
          <w:bCs/>
          <w:spacing w:val="-3"/>
        </w:rPr>
        <w:t xml:space="preserve"> describir las actividades </w:t>
      </w:r>
      <w:r w:rsidR="000E56E9" w:rsidRPr="00BD1319">
        <w:rPr>
          <w:rFonts w:cs="Arial"/>
          <w:bCs/>
          <w:spacing w:val="-3"/>
        </w:rPr>
        <w:t>que se tenga previsto ejecutar</w:t>
      </w:r>
      <w:r w:rsidRPr="00BD1319">
        <w:rPr>
          <w:rFonts w:cs="Arial"/>
          <w:bCs/>
          <w:spacing w:val="-3"/>
        </w:rPr>
        <w:t xml:space="preserve"> en caso de que se quiera actuar como receptor de RCD </w:t>
      </w:r>
      <w:r w:rsidR="00855DF9" w:rsidRPr="00BD1319">
        <w:rPr>
          <w:rFonts w:cs="Arial"/>
          <w:bCs/>
          <w:spacing w:val="-3"/>
        </w:rPr>
        <w:t>con el</w:t>
      </w:r>
      <w:r w:rsidRPr="00BD1319">
        <w:rPr>
          <w:rFonts w:cs="Arial"/>
          <w:bCs/>
          <w:spacing w:val="-3"/>
        </w:rPr>
        <w:t xml:space="preserve"> fin de emplear este tipo de materiales para el desarrollo de las actividades del proyecto</w:t>
      </w:r>
      <w:r w:rsidR="0040172B" w:rsidRPr="00BD1319">
        <w:rPr>
          <w:rFonts w:cs="Arial"/>
          <w:bCs/>
          <w:spacing w:val="-3"/>
        </w:rPr>
        <w:t>, obra o actividad</w:t>
      </w:r>
      <w:r w:rsidRPr="00BD1319">
        <w:rPr>
          <w:rFonts w:cs="Arial"/>
          <w:bCs/>
          <w:spacing w:val="-3"/>
        </w:rPr>
        <w:t>.</w:t>
      </w:r>
    </w:p>
    <w:p w14:paraId="60560888" w14:textId="3F8DC994" w:rsidR="009871FB" w:rsidRPr="00BD1319" w:rsidRDefault="009871FB" w:rsidP="000D6E21">
      <w:pPr>
        <w:rPr>
          <w:rFonts w:cs="Arial"/>
          <w:spacing w:val="-3"/>
        </w:rPr>
      </w:pPr>
    </w:p>
    <w:p w14:paraId="69E60350" w14:textId="7C7A0910" w:rsidR="005D3173" w:rsidRPr="00BD1319" w:rsidRDefault="005D3173" w:rsidP="005D3173">
      <w:pPr>
        <w:numPr>
          <w:ilvl w:val="12"/>
          <w:numId w:val="0"/>
        </w:numPr>
        <w:tabs>
          <w:tab w:val="left" w:pos="-2268"/>
        </w:tabs>
        <w:suppressAutoHyphens/>
        <w:rPr>
          <w:rFonts w:cs="Arial"/>
          <w:spacing w:val="-3"/>
        </w:rPr>
      </w:pPr>
      <w:r w:rsidRPr="00BD1319">
        <w:rPr>
          <w:rFonts w:cs="Arial"/>
          <w:spacing w:val="-3"/>
        </w:rPr>
        <w:t>Para aquellos proyectos, obras o actividades que durante su vida útil emiten dióxido de carbono (CO2), óxido nitroso (N2O), metano (CH4), hidrofluorocarbonos (HFC), perfluorocarbonos (PFC) o hexafluoruro de azufre (SF6), entre otros GEI, se deben determinar sus fuentes de emisión de GEI considerando entre otras, la quema de combustibles, emisiones de proceso, emisiones fugitivas, emisiones asociadas a residuos y a cambios de uso del suelo.</w:t>
      </w:r>
    </w:p>
    <w:p w14:paraId="381A097A" w14:textId="77777777" w:rsidR="005D3173" w:rsidRPr="00BD1319" w:rsidRDefault="005D3173" w:rsidP="005D3173">
      <w:pPr>
        <w:numPr>
          <w:ilvl w:val="12"/>
          <w:numId w:val="0"/>
        </w:numPr>
        <w:tabs>
          <w:tab w:val="left" w:pos="-2268"/>
        </w:tabs>
        <w:suppressAutoHyphens/>
        <w:rPr>
          <w:rFonts w:cs="Arial"/>
          <w:spacing w:val="-3"/>
        </w:rPr>
      </w:pPr>
    </w:p>
    <w:p w14:paraId="59EA58FF" w14:textId="3529252E" w:rsidR="005D3173" w:rsidRPr="00BD1319" w:rsidRDefault="00F9177C" w:rsidP="005D3173">
      <w:pPr>
        <w:numPr>
          <w:ilvl w:val="12"/>
          <w:numId w:val="0"/>
        </w:numPr>
        <w:tabs>
          <w:tab w:val="left" w:pos="-2268"/>
        </w:tabs>
        <w:suppressAutoHyphens/>
        <w:rPr>
          <w:rFonts w:cs="Arial"/>
          <w:spacing w:val="-3"/>
        </w:rPr>
      </w:pPr>
      <w:r w:rsidRPr="00BD1319">
        <w:rPr>
          <w:rFonts w:cs="Arial"/>
          <w:spacing w:val="-3"/>
        </w:rPr>
        <w:t>Considerando las fuentes de emisión, se deben estimar las emisiones directas (alcance uno o categoría uno) y las emisiones indirectas asociadas a energía (alcance dos o categoría dos)</w:t>
      </w:r>
      <w:r w:rsidRPr="00BD1319">
        <w:rPr>
          <w:rFonts w:cs="Arial"/>
          <w:spacing w:val="-3"/>
          <w:vertAlign w:val="superscript"/>
          <w:lang w:val="en-US"/>
        </w:rPr>
        <w:footnoteReference w:id="75"/>
      </w:r>
      <w:r w:rsidR="005D3173" w:rsidRPr="00BD1319">
        <w:rPr>
          <w:rFonts w:cs="Arial"/>
          <w:spacing w:val="-3"/>
        </w:rPr>
        <w:t>, año a año de cada uno de los GEI aplicables durante la vida útil del proyecto, obra o actividad indicando a su vez el total de emisiones expresado en toneladas de CO</w:t>
      </w:r>
      <w:r w:rsidR="005D3173" w:rsidRPr="00BD1319">
        <w:rPr>
          <w:rFonts w:cs="Arial"/>
          <w:spacing w:val="-3"/>
          <w:vertAlign w:val="subscript"/>
        </w:rPr>
        <w:t>2eq</w:t>
      </w:r>
      <w:r w:rsidR="005D3173" w:rsidRPr="00BD1319">
        <w:rPr>
          <w:rFonts w:cs="Arial"/>
          <w:spacing w:val="-3"/>
        </w:rPr>
        <w:t xml:space="preserve"> y especificando el método de cuantificación empleado. En caso de que esta estimación no aplique, se debe suministrar el soporte técnico basado en las actividades que desarrollará el proyecto, obra o actividad. Esta información constituye la base para </w:t>
      </w:r>
      <w:r w:rsidR="004529A3" w:rsidRPr="00BD1319">
        <w:rPr>
          <w:rFonts w:cs="Arial"/>
          <w:spacing w:val="-3"/>
        </w:rPr>
        <w:t>incorporar la mitigación de GEI a la elaboración del EIA</w:t>
      </w:r>
      <w:r w:rsidR="005D3173" w:rsidRPr="00BD1319">
        <w:rPr>
          <w:rFonts w:cs="Arial"/>
          <w:spacing w:val="-3"/>
        </w:rPr>
        <w:t>.</w:t>
      </w:r>
    </w:p>
    <w:p w14:paraId="0E651A03" w14:textId="77777777" w:rsidR="005D3173" w:rsidRPr="00BD1319" w:rsidRDefault="005D3173" w:rsidP="005D3173">
      <w:pPr>
        <w:numPr>
          <w:ilvl w:val="12"/>
          <w:numId w:val="0"/>
        </w:numPr>
        <w:tabs>
          <w:tab w:val="left" w:pos="-2268"/>
        </w:tabs>
        <w:suppressAutoHyphens/>
        <w:rPr>
          <w:rFonts w:cs="Arial"/>
          <w:spacing w:val="-3"/>
        </w:rPr>
      </w:pPr>
    </w:p>
    <w:p w14:paraId="1BF9B436" w14:textId="1FA41CF2" w:rsidR="00863535" w:rsidRPr="00BD1319" w:rsidRDefault="005D3173" w:rsidP="005D3173">
      <w:pPr>
        <w:rPr>
          <w:rFonts w:cs="Arial"/>
          <w:b/>
          <w:spacing w:val="-3"/>
          <w:sz w:val="20"/>
        </w:rPr>
      </w:pPr>
      <w:r w:rsidRPr="00BD1319">
        <w:rPr>
          <w:rFonts w:cs="Arial"/>
          <w:spacing w:val="-3"/>
        </w:rPr>
        <w:t xml:space="preserve">Se deben anexar los archivos en formato Excel </w:t>
      </w:r>
      <w:r w:rsidR="00F86032" w:rsidRPr="00BD1319">
        <w:rPr>
          <w:rFonts w:cs="Arial"/>
          <w:spacing w:val="-3"/>
        </w:rPr>
        <w:t xml:space="preserve">asociados a las estimaciones de gases de efecto invernadero, </w:t>
      </w:r>
      <w:r w:rsidRPr="00BD1319">
        <w:rPr>
          <w:rFonts w:cs="Arial"/>
          <w:spacing w:val="-3"/>
        </w:rPr>
        <w:t xml:space="preserve">formulados y sin protección de ningún tipo, incluyendo </w:t>
      </w:r>
      <w:r w:rsidR="00F86032" w:rsidRPr="00BD1319">
        <w:rPr>
          <w:rFonts w:cs="Arial"/>
          <w:spacing w:val="-3"/>
        </w:rPr>
        <w:t xml:space="preserve">en ellos </w:t>
      </w:r>
      <w:r w:rsidRPr="00BD1319">
        <w:rPr>
          <w:rFonts w:cs="Arial"/>
          <w:spacing w:val="-3"/>
        </w:rPr>
        <w:t>como mínimo los datos de actividad, factores de emisión, suposiciones empleadas, fuentes de información y emisiones calculadas.</w:t>
      </w:r>
    </w:p>
    <w:p w14:paraId="38BAADC4" w14:textId="77777777" w:rsidR="00747AB5" w:rsidRPr="00BD1319" w:rsidRDefault="00747AB5" w:rsidP="009420F5"/>
    <w:p w14:paraId="7CAE598F" w14:textId="77777777" w:rsidR="00921605" w:rsidRPr="00BD1319" w:rsidRDefault="00921605" w:rsidP="009420F5"/>
    <w:p w14:paraId="2FCE5DBF" w14:textId="4588A8D0" w:rsidR="00BF79FC" w:rsidRPr="00BD1319" w:rsidRDefault="00BF79FC" w:rsidP="00317B09">
      <w:pPr>
        <w:pStyle w:val="Ttulo1"/>
        <w:numPr>
          <w:ilvl w:val="0"/>
          <w:numId w:val="7"/>
        </w:numPr>
        <w:rPr>
          <w:lang w:val="es-CO"/>
        </w:rPr>
      </w:pPr>
      <w:bookmarkStart w:id="2520" w:name="_Ref415492844"/>
      <w:bookmarkStart w:id="2521" w:name="_Ref415492899"/>
      <w:bookmarkStart w:id="2522" w:name="_Toc437936009"/>
      <w:bookmarkStart w:id="2523" w:name="_Toc175326740"/>
      <w:bookmarkStart w:id="2524" w:name="_Hlk153184728"/>
      <w:r w:rsidRPr="00BD1319">
        <w:rPr>
          <w:lang w:val="es-CO"/>
        </w:rPr>
        <w:t>ÁREA DE INFLUENCIA</w:t>
      </w:r>
      <w:bookmarkEnd w:id="2520"/>
      <w:bookmarkEnd w:id="2521"/>
      <w:bookmarkEnd w:id="2522"/>
      <w:bookmarkEnd w:id="2523"/>
    </w:p>
    <w:bookmarkEnd w:id="2524"/>
    <w:p w14:paraId="4B038B0D" w14:textId="5A458F6B" w:rsidR="005957C7" w:rsidRPr="00BD1319" w:rsidRDefault="005957C7" w:rsidP="00C86DA5">
      <w:pPr>
        <w:rPr>
          <w:rFonts w:cs="Arial"/>
        </w:rPr>
      </w:pPr>
    </w:p>
    <w:p w14:paraId="3E1A6909" w14:textId="05DCD85C" w:rsidR="00077E48" w:rsidRPr="00BD1319" w:rsidRDefault="00077E48" w:rsidP="00077E48">
      <w:pPr>
        <w:numPr>
          <w:ilvl w:val="12"/>
          <w:numId w:val="0"/>
        </w:numPr>
        <w:tabs>
          <w:tab w:val="left" w:pos="-2268"/>
        </w:tabs>
        <w:suppressAutoHyphens/>
        <w:rPr>
          <w:rFonts w:cs="Arial"/>
        </w:rPr>
      </w:pPr>
      <w:r w:rsidRPr="00BD1319">
        <w:rPr>
          <w:rFonts w:cs="Arial"/>
        </w:rPr>
        <w:lastRenderedPageBreak/>
        <w:t xml:space="preserve">El área de influencia se define como el área en la cual se manifiestan de manera objetiva y en lo posible cuantificable, los impactos ambientales significativos </w:t>
      </w:r>
      <w:r w:rsidR="007F4556" w:rsidRPr="00BD1319">
        <w:rPr>
          <w:rFonts w:cs="Arial"/>
        </w:rPr>
        <w:t xml:space="preserve">negativos </w:t>
      </w:r>
      <w:r w:rsidRPr="00BD1319">
        <w:rPr>
          <w:rFonts w:cs="Arial"/>
        </w:rPr>
        <w:t>ocasionados por la ejecución de un proyecto, obra o actividad, sobre los medios abiótico, biótico y socioeconómico, en cada uno de los componentes de dichos medios. Debido a que las áreas de los impactos pueden variar dependiendo del componente que se analice, el área de influencia podrá corresponder a varios polígonos distintos que se entrecrucen entre sí</w:t>
      </w:r>
      <w:r w:rsidRPr="00BD1319">
        <w:rPr>
          <w:rStyle w:val="Refdenotaalpie"/>
          <w:rFonts w:cs="Arial"/>
          <w:lang w:val="es-CO"/>
        </w:rPr>
        <w:footnoteReference w:id="76"/>
      </w:r>
      <w:r w:rsidRPr="00BD1319">
        <w:rPr>
          <w:rFonts w:cs="Arial"/>
        </w:rPr>
        <w:t>.</w:t>
      </w:r>
    </w:p>
    <w:p w14:paraId="163C411C" w14:textId="77777777" w:rsidR="00077E48" w:rsidRPr="00BD1319" w:rsidRDefault="00077E48" w:rsidP="00077E48">
      <w:pPr>
        <w:numPr>
          <w:ilvl w:val="12"/>
          <w:numId w:val="0"/>
        </w:numPr>
        <w:tabs>
          <w:tab w:val="left" w:pos="-2268"/>
        </w:tabs>
        <w:suppressAutoHyphens/>
        <w:rPr>
          <w:rFonts w:cs="Arial"/>
        </w:rPr>
      </w:pPr>
    </w:p>
    <w:p w14:paraId="209A838D" w14:textId="77777777" w:rsidR="00077E48" w:rsidRPr="00BD1319" w:rsidRDefault="00077E48" w:rsidP="00077E48">
      <w:pPr>
        <w:numPr>
          <w:ilvl w:val="12"/>
          <w:numId w:val="0"/>
        </w:numPr>
        <w:tabs>
          <w:tab w:val="left" w:pos="-2268"/>
        </w:tabs>
        <w:suppressAutoHyphens/>
        <w:rPr>
          <w:rFonts w:cs="Arial"/>
        </w:rPr>
      </w:pPr>
      <w:r w:rsidRPr="00BD1319">
        <w:rPr>
          <w:rFonts w:cs="Arial"/>
        </w:rPr>
        <w:t>Partiendo de esta definición y con el propósito de orientar el ejercicio de delimitación del área de influencia de un proyecto, obra o actividad, se señalan los conceptos de ambiente y de impacto ambiental significativo:</w:t>
      </w:r>
    </w:p>
    <w:p w14:paraId="62B56A6C" w14:textId="77777777" w:rsidR="00077E48" w:rsidRPr="00BD1319" w:rsidRDefault="00077E48" w:rsidP="00077E48">
      <w:pPr>
        <w:numPr>
          <w:ilvl w:val="12"/>
          <w:numId w:val="0"/>
        </w:numPr>
        <w:tabs>
          <w:tab w:val="left" w:pos="-2268"/>
        </w:tabs>
        <w:suppressAutoHyphens/>
        <w:rPr>
          <w:rFonts w:cs="Arial"/>
        </w:rPr>
      </w:pPr>
    </w:p>
    <w:p w14:paraId="64C0A5E5" w14:textId="77777777" w:rsidR="00077E48" w:rsidRPr="00BD1319" w:rsidRDefault="00077E48" w:rsidP="00077E48">
      <w:pPr>
        <w:pStyle w:val="Prrafodelista"/>
        <w:numPr>
          <w:ilvl w:val="0"/>
          <w:numId w:val="546"/>
        </w:numPr>
        <w:ind w:left="567" w:hanging="567"/>
        <w:rPr>
          <w:rFonts w:cs="Arial"/>
          <w:lang w:val="es-CO"/>
        </w:rPr>
      </w:pPr>
      <w:r w:rsidRPr="00BD1319">
        <w:rPr>
          <w:rFonts w:cs="Arial"/>
          <w:b/>
          <w:lang w:val="es-CO"/>
        </w:rPr>
        <w:t>Ambiente</w:t>
      </w:r>
      <w:r w:rsidRPr="00BD1319">
        <w:rPr>
          <w:rFonts w:cs="Arial"/>
          <w:lang w:val="es-CO"/>
        </w:rPr>
        <w:t>:</w:t>
      </w:r>
      <w:r w:rsidRPr="00BD1319">
        <w:rPr>
          <w:lang w:val="es-CO"/>
        </w:rPr>
        <w:t xml:space="preserve"> </w:t>
      </w:r>
      <w:r w:rsidRPr="00BD1319">
        <w:rPr>
          <w:rFonts w:cs="Arial"/>
          <w:lang w:val="es-CO"/>
        </w:rPr>
        <w:t>comprende los elementos naturales, tanto físicos como biológicos, los elementos artificiales, sociales y culturales, y las interacciones de éstos entre sí.</w:t>
      </w:r>
    </w:p>
    <w:p w14:paraId="4DA93B46" w14:textId="77777777" w:rsidR="00077E48" w:rsidRPr="00BD1319" w:rsidRDefault="00077E48" w:rsidP="00077E48">
      <w:pPr>
        <w:tabs>
          <w:tab w:val="left" w:pos="-2268"/>
        </w:tabs>
        <w:suppressAutoHyphens/>
        <w:rPr>
          <w:rFonts w:cs="Arial"/>
        </w:rPr>
      </w:pPr>
    </w:p>
    <w:p w14:paraId="7053DAA6" w14:textId="75F737C4" w:rsidR="00077E48" w:rsidRPr="00BD1319" w:rsidRDefault="00077E48" w:rsidP="00077E48">
      <w:pPr>
        <w:pStyle w:val="Prrafodelista"/>
        <w:numPr>
          <w:ilvl w:val="0"/>
          <w:numId w:val="546"/>
        </w:numPr>
        <w:ind w:left="567" w:hanging="567"/>
        <w:rPr>
          <w:rFonts w:cs="Arial"/>
          <w:lang w:val="es-CO"/>
        </w:rPr>
      </w:pPr>
      <w:r w:rsidRPr="00BD1319">
        <w:rPr>
          <w:rFonts w:cs="Arial"/>
          <w:b/>
          <w:lang w:val="es-CO"/>
        </w:rPr>
        <w:t>Impacto ambiental significativo</w:t>
      </w:r>
      <w:r w:rsidR="007F4556" w:rsidRPr="00BD1319">
        <w:rPr>
          <w:rFonts w:cs="Arial"/>
          <w:b/>
          <w:lang w:val="es-CO"/>
        </w:rPr>
        <w:t xml:space="preserve"> negativo</w:t>
      </w:r>
      <w:r w:rsidRPr="00BD1319">
        <w:rPr>
          <w:rFonts w:cs="Arial"/>
          <w:lang w:val="es-CO"/>
        </w:rPr>
        <w:t xml:space="preserve">: </w:t>
      </w:r>
      <w:r w:rsidR="007F4556" w:rsidRPr="00BD1319">
        <w:rPr>
          <w:rFonts w:cs="Arial"/>
        </w:rPr>
        <w:t>impacto que dada la sensibilidad ambiental del área geográfica en la que se manifiesta, genera una alteración de las condiciones ambientales que afecta su integridad y pone en riesgo su sostenibilidad ambiental</w:t>
      </w:r>
      <w:r w:rsidRPr="00BD1319">
        <w:rPr>
          <w:rFonts w:cs="Arial"/>
          <w:lang w:val="es-CO"/>
        </w:rPr>
        <w:t>.</w:t>
      </w:r>
    </w:p>
    <w:p w14:paraId="5BF7F38F" w14:textId="77777777" w:rsidR="00077E48" w:rsidRPr="00BD1319" w:rsidRDefault="00077E48" w:rsidP="00077E48">
      <w:pPr>
        <w:rPr>
          <w:rFonts w:cs="Arial"/>
        </w:rPr>
      </w:pPr>
    </w:p>
    <w:p w14:paraId="5247AC4F" w14:textId="4085698B" w:rsidR="00077E48" w:rsidRPr="00BD1319" w:rsidRDefault="00077E48" w:rsidP="00077E48">
      <w:pPr>
        <w:rPr>
          <w:rFonts w:cs="Arial"/>
        </w:rPr>
      </w:pPr>
      <w:r w:rsidRPr="00BD1319">
        <w:rPr>
          <w:rFonts w:cs="Arial"/>
        </w:rPr>
        <w:t xml:space="preserve">La correcta delimitación del área de influencia de un proyecto, obra o actividad permite </w:t>
      </w:r>
      <w:r w:rsidR="00271624" w:rsidRPr="00BD1319">
        <w:rPr>
          <w:rFonts w:cs="Arial"/>
        </w:rPr>
        <w:t>establ</w:t>
      </w:r>
      <w:r w:rsidR="000404AA" w:rsidRPr="00BD1319">
        <w:rPr>
          <w:rFonts w:cs="Arial"/>
        </w:rPr>
        <w:t>e</w:t>
      </w:r>
      <w:r w:rsidR="00271624" w:rsidRPr="00BD1319">
        <w:rPr>
          <w:rFonts w:cs="Arial"/>
        </w:rPr>
        <w:t xml:space="preserve">cer </w:t>
      </w:r>
      <w:r w:rsidRPr="00BD1319">
        <w:rPr>
          <w:rFonts w:cs="Arial"/>
        </w:rPr>
        <w:t xml:space="preserve">el alcance geográfico de los impactos </w:t>
      </w:r>
      <w:r w:rsidR="001002B6" w:rsidRPr="00BD1319">
        <w:rPr>
          <w:rFonts w:cs="Arial"/>
        </w:rPr>
        <w:t xml:space="preserve">ambientales </w:t>
      </w:r>
      <w:r w:rsidRPr="00BD1319">
        <w:rPr>
          <w:rFonts w:cs="Arial"/>
        </w:rPr>
        <w:t xml:space="preserve">significativos </w:t>
      </w:r>
      <w:r w:rsidR="001002B6" w:rsidRPr="00BD1319">
        <w:rPr>
          <w:rFonts w:cs="Arial"/>
        </w:rPr>
        <w:t xml:space="preserve">negativos </w:t>
      </w:r>
      <w:r w:rsidRPr="00BD1319">
        <w:rPr>
          <w:rFonts w:cs="Arial"/>
        </w:rPr>
        <w:t>que éste genera en condiciones normales de desarrollo</w:t>
      </w:r>
      <w:r w:rsidRPr="00BD1319">
        <w:rPr>
          <w:rStyle w:val="Refdenotaalpie"/>
          <w:rFonts w:cs="Arial"/>
          <w:lang w:val="es-CO"/>
        </w:rPr>
        <w:footnoteReference w:id="77"/>
      </w:r>
      <w:r w:rsidRPr="00BD1319">
        <w:rPr>
          <w:rFonts w:cs="Arial"/>
        </w:rPr>
        <w:t xml:space="preserve">, facilita su evaluación y la subsecuente calificación de viabilidad ambiental, y en caso de ejecutarse, circunscribe el territorio sobre el que debe concentrarse el seguimiento ambiental del mismo. Dicho proceso de </w:t>
      </w:r>
      <w:r w:rsidR="00A51056" w:rsidRPr="00BD1319">
        <w:rPr>
          <w:rFonts w:cs="Arial"/>
        </w:rPr>
        <w:t xml:space="preserve">delimitación </w:t>
      </w:r>
      <w:r w:rsidRPr="00BD1319">
        <w:rPr>
          <w:rFonts w:cs="Arial"/>
        </w:rPr>
        <w:t xml:space="preserve">del área de influencia requiere de un estudio integral del estado </w:t>
      </w:r>
      <w:r w:rsidR="00D22615" w:rsidRPr="00BD1319">
        <w:rPr>
          <w:rFonts w:cs="Arial"/>
        </w:rPr>
        <w:t xml:space="preserve">de las condiciones </w:t>
      </w:r>
      <w:r w:rsidRPr="00BD1319">
        <w:rPr>
          <w:rFonts w:cs="Arial"/>
        </w:rPr>
        <w:t>del ambiente previas a la ejecución del proyecto.</w:t>
      </w:r>
    </w:p>
    <w:p w14:paraId="22AA3A1A" w14:textId="77777777" w:rsidR="00077E48" w:rsidRPr="00BD1319" w:rsidRDefault="00077E48" w:rsidP="00077E48">
      <w:pPr>
        <w:rPr>
          <w:rFonts w:cs="Arial"/>
        </w:rPr>
      </w:pPr>
    </w:p>
    <w:p w14:paraId="7783C465" w14:textId="325BE8A5" w:rsidR="00077E48" w:rsidRPr="00BD1319" w:rsidRDefault="00077E48" w:rsidP="00077E48">
      <w:pPr>
        <w:numPr>
          <w:ilvl w:val="12"/>
          <w:numId w:val="0"/>
        </w:numPr>
        <w:tabs>
          <w:tab w:val="left" w:pos="-2268"/>
        </w:tabs>
        <w:suppressAutoHyphens/>
        <w:rPr>
          <w:rFonts w:cs="Arial"/>
          <w:spacing w:val="-3"/>
        </w:rPr>
      </w:pPr>
      <w:r w:rsidRPr="00BD1319">
        <w:rPr>
          <w:rFonts w:cs="Arial"/>
        </w:rPr>
        <w:t xml:space="preserve">La importancia de una adecuada delimitación del área de </w:t>
      </w:r>
      <w:r w:rsidR="008B4E79" w:rsidRPr="00BD1319">
        <w:rPr>
          <w:rFonts w:cs="Arial"/>
        </w:rPr>
        <w:t>influencia</w:t>
      </w:r>
      <w:r w:rsidRPr="00BD1319">
        <w:rPr>
          <w:rFonts w:cs="Arial"/>
        </w:rPr>
        <w:t xml:space="preserve"> también radica en la estrecha relación que guarda con la </w:t>
      </w:r>
      <w:proofErr w:type="gramStart"/>
      <w:r w:rsidRPr="00BD1319">
        <w:rPr>
          <w:rFonts w:cs="Arial"/>
        </w:rPr>
        <w:t xml:space="preserve">caracterización ambiental y la </w:t>
      </w:r>
      <w:r w:rsidRPr="00BD1319">
        <w:rPr>
          <w:rFonts w:cs="Arial"/>
          <w:spacing w:val="-3"/>
        </w:rPr>
        <w:t>evaluación ambiental</w:t>
      </w:r>
      <w:proofErr w:type="gramEnd"/>
      <w:r w:rsidRPr="00BD1319">
        <w:rPr>
          <w:rFonts w:cs="Arial"/>
          <w:spacing w:val="-3"/>
        </w:rPr>
        <w:t xml:space="preserve">, </w:t>
      </w:r>
      <w:r w:rsidRPr="00BD1319">
        <w:rPr>
          <w:rFonts w:cs="Arial"/>
        </w:rPr>
        <w:t>procesos que d</w:t>
      </w:r>
      <w:r w:rsidRPr="00BD1319">
        <w:rPr>
          <w:rFonts w:cs="Arial"/>
          <w:spacing w:val="-3"/>
        </w:rPr>
        <w:t>ependen los unos de los otros y que han de realizarse de forma conjunta e iterativa hasta determinar una superficie que cumpla con la definición de área de influencia.</w:t>
      </w:r>
    </w:p>
    <w:p w14:paraId="15124570" w14:textId="77777777" w:rsidR="00077E48" w:rsidRPr="00BD1319" w:rsidRDefault="00077E48" w:rsidP="00077E48">
      <w:pPr>
        <w:numPr>
          <w:ilvl w:val="12"/>
          <w:numId w:val="0"/>
        </w:numPr>
        <w:tabs>
          <w:tab w:val="left" w:pos="-2268"/>
        </w:tabs>
        <w:suppressAutoHyphens/>
        <w:rPr>
          <w:rFonts w:cs="Arial"/>
          <w:spacing w:val="-3"/>
        </w:rPr>
      </w:pPr>
    </w:p>
    <w:p w14:paraId="78FE9EFE" w14:textId="0B4EE430" w:rsidR="00077E48" w:rsidRPr="00BD1319" w:rsidRDefault="00077E48" w:rsidP="00077E48">
      <w:pPr>
        <w:numPr>
          <w:ilvl w:val="12"/>
          <w:numId w:val="0"/>
        </w:numPr>
        <w:tabs>
          <w:tab w:val="left" w:pos="-2268"/>
        </w:tabs>
        <w:suppressAutoHyphens/>
        <w:rPr>
          <w:rFonts w:cs="Arial"/>
        </w:rPr>
      </w:pPr>
      <w:r w:rsidRPr="00BD1319">
        <w:rPr>
          <w:rFonts w:cs="Arial"/>
        </w:rPr>
        <w:t xml:space="preserve">Con el objeto de emprender los procesos de caracterización, zonificación y evaluación ambiental, así como el </w:t>
      </w:r>
      <w:r w:rsidR="00EC6AE2" w:rsidRPr="00BD1319">
        <w:rPr>
          <w:rFonts w:cs="Arial"/>
        </w:rPr>
        <w:t xml:space="preserve">de </w:t>
      </w:r>
      <w:r w:rsidRPr="00BD1319">
        <w:rPr>
          <w:rFonts w:cs="Arial"/>
        </w:rPr>
        <w:t xml:space="preserve">manejo y seguimiento ambiental del proyecto, obra o actividad durante su fase de ejecución de forma precisa y eficiente, se ha previsto que la delimitación del área de influencia deba realizarse para cada una de </w:t>
      </w:r>
      <w:r w:rsidRPr="00BD1319">
        <w:rPr>
          <w:rFonts w:cs="Arial"/>
        </w:rPr>
        <w:lastRenderedPageBreak/>
        <w:t>las subdivisiones que conforman el ambiente, es decir, los componentes, grupos de componentes y medios.</w:t>
      </w:r>
    </w:p>
    <w:p w14:paraId="5B267726" w14:textId="77777777" w:rsidR="00077E48" w:rsidRPr="00BD1319" w:rsidRDefault="00077E48" w:rsidP="00077E48">
      <w:pPr>
        <w:numPr>
          <w:ilvl w:val="12"/>
          <w:numId w:val="0"/>
        </w:numPr>
        <w:tabs>
          <w:tab w:val="left" w:pos="-2268"/>
        </w:tabs>
        <w:suppressAutoHyphens/>
        <w:rPr>
          <w:rFonts w:cs="Arial"/>
        </w:rPr>
      </w:pPr>
    </w:p>
    <w:p w14:paraId="6DB5D6D3" w14:textId="77777777" w:rsidR="00077E48" w:rsidRPr="00BD1319" w:rsidRDefault="00077E48" w:rsidP="00077E48">
      <w:pPr>
        <w:numPr>
          <w:ilvl w:val="12"/>
          <w:numId w:val="0"/>
        </w:numPr>
        <w:tabs>
          <w:tab w:val="left" w:pos="-2268"/>
        </w:tabs>
        <w:suppressAutoHyphens/>
        <w:rPr>
          <w:rFonts w:cs="Arial"/>
        </w:rPr>
      </w:pPr>
      <w:r w:rsidRPr="00BD1319">
        <w:rPr>
          <w:rFonts w:cs="Arial"/>
        </w:rPr>
        <w:t>Esta decisión tiene la virtud de facilitar que la caracterización, zonificación y evaluación ambiental, así como la formulación de medidas de manejo y, más adelante, en el escenario de ejecución del proyecto, la realización de actividades de manejo y de seguimiento ambiental, se enfoquen en las áreas de influencia de los componentes en las que específicamente apliquen.</w:t>
      </w:r>
    </w:p>
    <w:p w14:paraId="73FF5DAD" w14:textId="77777777" w:rsidR="00077E48" w:rsidRPr="00BD1319" w:rsidRDefault="00077E48" w:rsidP="00077E48">
      <w:pPr>
        <w:numPr>
          <w:ilvl w:val="12"/>
          <w:numId w:val="0"/>
        </w:numPr>
        <w:tabs>
          <w:tab w:val="left" w:pos="-2268"/>
        </w:tabs>
        <w:suppressAutoHyphens/>
        <w:rPr>
          <w:rFonts w:cs="Arial"/>
        </w:rPr>
      </w:pPr>
    </w:p>
    <w:p w14:paraId="26B9ADCF" w14:textId="07D5875E" w:rsidR="00077E48" w:rsidRPr="00BD1319" w:rsidRDefault="00077E48" w:rsidP="00077E48">
      <w:pPr>
        <w:numPr>
          <w:ilvl w:val="12"/>
          <w:numId w:val="0"/>
        </w:numPr>
        <w:tabs>
          <w:tab w:val="left" w:pos="-2268"/>
        </w:tabs>
        <w:suppressAutoHyphens/>
        <w:rPr>
          <w:rFonts w:cs="Arial"/>
          <w:spacing w:val="-3"/>
        </w:rPr>
      </w:pPr>
      <w:r w:rsidRPr="00BD1319">
        <w:rPr>
          <w:rFonts w:cs="Arial"/>
        </w:rPr>
        <w:t xml:space="preserve">En todo caso, es importante tener presente que el área de </w:t>
      </w:r>
      <w:r w:rsidRPr="00BD1319">
        <w:rPr>
          <w:rFonts w:cs="Arial"/>
          <w:i/>
        </w:rPr>
        <w:t>influencia del proyecto, obra o actividad</w:t>
      </w:r>
      <w:r w:rsidRPr="00BD1319">
        <w:rPr>
          <w:rFonts w:cs="Arial"/>
        </w:rPr>
        <w:t xml:space="preserve">, es decir, el área en la que se manifiestan los impactos ambientales significativos que ocasionan las actividades que se desarrollan durante todas sus fases de </w:t>
      </w:r>
      <w:r w:rsidR="000B248C" w:rsidRPr="00BD1319">
        <w:rPr>
          <w:rFonts w:cs="Arial"/>
        </w:rPr>
        <w:t>ejecución</w:t>
      </w:r>
      <w:r w:rsidRPr="00BD1319">
        <w:rPr>
          <w:rFonts w:cs="Arial"/>
        </w:rPr>
        <w:t>, espacialmente corresponde a la integración</w:t>
      </w:r>
      <w:r w:rsidRPr="00BD1319">
        <w:rPr>
          <w:rStyle w:val="Refdenotaalpie"/>
          <w:rFonts w:cs="Arial"/>
          <w:lang w:val="es-CO"/>
        </w:rPr>
        <w:footnoteReference w:id="78"/>
      </w:r>
      <w:r w:rsidRPr="00BD1319" w:rsidDel="008117A5">
        <w:rPr>
          <w:rFonts w:cs="Arial"/>
        </w:rPr>
        <w:t xml:space="preserve"> </w:t>
      </w:r>
      <w:r w:rsidRPr="00BD1319">
        <w:rPr>
          <w:rFonts w:cs="Arial"/>
        </w:rPr>
        <w:t xml:space="preserve">de las áreas de influencia de los componentes, grupos de componentes y medios que se identifiquen en cada caso. De </w:t>
      </w:r>
      <w:r w:rsidR="00ED1027" w:rsidRPr="00BD1319">
        <w:rPr>
          <w:rFonts w:cs="Arial"/>
        </w:rPr>
        <w:t xml:space="preserve">esta </w:t>
      </w:r>
      <w:r w:rsidRPr="00BD1319">
        <w:rPr>
          <w:rFonts w:cs="Arial"/>
        </w:rPr>
        <w:t>forma</w:t>
      </w:r>
      <w:r w:rsidR="00ED1027" w:rsidRPr="00BD1319">
        <w:rPr>
          <w:rFonts w:cs="Arial"/>
        </w:rPr>
        <w:t>,</w:t>
      </w:r>
      <w:r w:rsidRPr="00BD1319">
        <w:rPr>
          <w:rFonts w:cs="Arial"/>
        </w:rPr>
        <w:t xml:space="preserve"> el área de influencia del proyecto</w:t>
      </w:r>
      <w:r w:rsidR="00BC2EE3" w:rsidRPr="00BD1319">
        <w:rPr>
          <w:rFonts w:cs="Arial"/>
        </w:rPr>
        <w:t>, obra o actividad</w:t>
      </w:r>
      <w:r w:rsidRPr="00BD1319">
        <w:rPr>
          <w:rFonts w:cs="Arial"/>
        </w:rPr>
        <w:t xml:space="preserve"> es una única área </w:t>
      </w:r>
      <w:r w:rsidRPr="00BD1319">
        <w:rPr>
          <w:rFonts w:cs="Arial"/>
          <w:spacing w:val="-3"/>
        </w:rPr>
        <w:t>que se obtiene al integrar las áreas de influencia de todos los componentes ambientales, razón por la cual puede corresponder a un área discontinua conformada por varios polígonos</w:t>
      </w:r>
      <w:r w:rsidR="0070090D" w:rsidRPr="00BD1319">
        <w:rPr>
          <w:rFonts w:cs="Arial"/>
          <w:spacing w:val="-3"/>
        </w:rPr>
        <w:t xml:space="preserve"> que incluso puede abarcar zonas fuera de los límites territoriales del país</w:t>
      </w:r>
      <w:r w:rsidRPr="00BD1319">
        <w:rPr>
          <w:rFonts w:cs="Arial"/>
          <w:spacing w:val="-3"/>
        </w:rPr>
        <w:t>.</w:t>
      </w:r>
    </w:p>
    <w:p w14:paraId="3C4DB0B2" w14:textId="77777777" w:rsidR="00077E48" w:rsidRPr="00BD1319" w:rsidRDefault="00077E48" w:rsidP="00077E48">
      <w:pPr>
        <w:numPr>
          <w:ilvl w:val="12"/>
          <w:numId w:val="0"/>
        </w:numPr>
        <w:tabs>
          <w:tab w:val="left" w:pos="-2268"/>
        </w:tabs>
        <w:suppressAutoHyphens/>
        <w:rPr>
          <w:rFonts w:cs="Arial"/>
        </w:rPr>
      </w:pPr>
    </w:p>
    <w:p w14:paraId="0B8075FB" w14:textId="5E9ABE60" w:rsidR="00077E48" w:rsidRPr="00BD1319" w:rsidRDefault="00077E48" w:rsidP="00077E48">
      <w:pPr>
        <w:numPr>
          <w:ilvl w:val="12"/>
          <w:numId w:val="0"/>
        </w:numPr>
        <w:tabs>
          <w:tab w:val="left" w:pos="-2268"/>
        </w:tabs>
        <w:suppressAutoHyphens/>
        <w:rPr>
          <w:rFonts w:cs="Arial"/>
          <w:spacing w:val="-3"/>
        </w:rPr>
      </w:pPr>
      <w:r w:rsidRPr="00BD1319">
        <w:rPr>
          <w:rFonts w:cs="Arial"/>
        </w:rPr>
        <w:t>En l</w:t>
      </w:r>
      <w:r w:rsidRPr="00BD1319">
        <w:rPr>
          <w:rFonts w:cs="Arial"/>
          <w:spacing w:val="-3"/>
        </w:rPr>
        <w:t xml:space="preserve">a </w:t>
      </w:r>
      <w:r w:rsidRPr="00BD1319">
        <w:rPr>
          <w:rFonts w:cs="Arial"/>
          <w:spacing w:val="-3"/>
        </w:rPr>
        <w:fldChar w:fldCharType="begin"/>
      </w:r>
      <w:r w:rsidRPr="00BD1319">
        <w:rPr>
          <w:rFonts w:cs="Arial"/>
          <w:spacing w:val="-3"/>
        </w:rPr>
        <w:instrText xml:space="preserve"> REF _Ref38259738 \h  \* MERGEFORMAT </w:instrText>
      </w:r>
      <w:r w:rsidRPr="00BD1319">
        <w:rPr>
          <w:rFonts w:cs="Arial"/>
          <w:spacing w:val="-3"/>
        </w:rPr>
      </w:r>
      <w:r w:rsidRPr="00BD1319">
        <w:rPr>
          <w:rFonts w:cs="Arial"/>
          <w:spacing w:val="-3"/>
        </w:rPr>
        <w:fldChar w:fldCharType="separate"/>
      </w:r>
      <w:r w:rsidR="00296654" w:rsidRPr="00BD1319">
        <w:rPr>
          <w:rFonts w:cs="Arial"/>
          <w:szCs w:val="22"/>
        </w:rPr>
        <w:t>Figura 5</w:t>
      </w:r>
      <w:r w:rsidRPr="00BD1319">
        <w:rPr>
          <w:rFonts w:cs="Arial"/>
          <w:spacing w:val="-3"/>
        </w:rPr>
        <w:fldChar w:fldCharType="end"/>
      </w:r>
      <w:r w:rsidRPr="00BD1319">
        <w:rPr>
          <w:rFonts w:cs="Arial"/>
          <w:spacing w:val="-3"/>
        </w:rPr>
        <w:t xml:space="preserve"> se ilustra de forma esquemática, la manera en que se integran espacialmente las áreas de influencia de tres componentes para conformar el área de influencia de un medio.</w:t>
      </w:r>
    </w:p>
    <w:p w14:paraId="54ADBB8E" w14:textId="28012B1A" w:rsidR="008A5763" w:rsidRPr="00BD1319" w:rsidRDefault="008A5763" w:rsidP="00077E48">
      <w:pPr>
        <w:numPr>
          <w:ilvl w:val="12"/>
          <w:numId w:val="0"/>
        </w:numPr>
        <w:tabs>
          <w:tab w:val="left" w:pos="-2268"/>
        </w:tabs>
        <w:suppressAutoHyphens/>
        <w:rPr>
          <w:rFonts w:cs="Arial"/>
          <w:spacing w:val="-3"/>
        </w:rPr>
      </w:pPr>
    </w:p>
    <w:p w14:paraId="5A3AE570" w14:textId="7138E37A" w:rsidR="00077E48" w:rsidRPr="00BD1319" w:rsidRDefault="008A5763" w:rsidP="008E4BFC">
      <w:pPr>
        <w:numPr>
          <w:ilvl w:val="12"/>
          <w:numId w:val="0"/>
        </w:numPr>
        <w:tabs>
          <w:tab w:val="left" w:pos="-2268"/>
        </w:tabs>
        <w:suppressAutoHyphens/>
        <w:rPr>
          <w:rFonts w:cs="Arial"/>
        </w:rPr>
      </w:pPr>
      <w:r w:rsidRPr="00BD1319">
        <w:rPr>
          <w:rFonts w:cs="Arial"/>
          <w:spacing w:val="-3"/>
        </w:rPr>
        <w:t>La delimitación del área de influencia es un proceso iterativo que inicia delimitando un área de influencia del proyecto, obra o actividad preliminar</w:t>
      </w:r>
      <w:r w:rsidRPr="00BD1319">
        <w:rPr>
          <w:rStyle w:val="Refdenotaalpie"/>
          <w:rFonts w:cs="Arial"/>
          <w:lang w:val="es-CO"/>
        </w:rPr>
        <w:footnoteReference w:id="79"/>
      </w:r>
      <w:r w:rsidRPr="00BD1319">
        <w:rPr>
          <w:rFonts w:cs="Arial"/>
          <w:spacing w:val="-3"/>
        </w:rPr>
        <w:t>, soportada en una evaluación ambiental también preliminar, que toma como fundamento la información primaria y secundaria, de tipo cualitativo o cuantitativo, que en esta instancia esté disponible.</w:t>
      </w:r>
      <w:r w:rsidR="00077E48" w:rsidRPr="00BD1319">
        <w:rPr>
          <w:rFonts w:cs="Arial"/>
        </w:rPr>
        <w:br w:type="page"/>
      </w:r>
    </w:p>
    <w:p w14:paraId="2080EFED" w14:textId="77777777" w:rsidR="00077E48" w:rsidRPr="00BD1319" w:rsidRDefault="00077E48" w:rsidP="00077E48">
      <w:pPr>
        <w:numPr>
          <w:ilvl w:val="12"/>
          <w:numId w:val="0"/>
        </w:numPr>
        <w:tabs>
          <w:tab w:val="left" w:pos="-2268"/>
        </w:tabs>
        <w:suppressAutoHyphens/>
        <w:rPr>
          <w:rFonts w:cs="Arial"/>
        </w:rPr>
      </w:pPr>
    </w:p>
    <w:bookmarkStart w:id="2525" w:name="_Ref38259738"/>
    <w:p w14:paraId="0D8122B4" w14:textId="11F81DF3" w:rsidR="00077E48" w:rsidRPr="00BD1319" w:rsidRDefault="000B248C" w:rsidP="00077E48">
      <w:pPr>
        <w:pStyle w:val="Descripcin"/>
        <w:keepNext/>
        <w:jc w:val="center"/>
        <w:rPr>
          <w:rFonts w:cs="Arial"/>
          <w:b w:val="0"/>
          <w:szCs w:val="22"/>
          <w:lang w:eastAsia="es-CO"/>
        </w:rPr>
      </w:pPr>
      <w:r w:rsidRPr="00BD1319">
        <w:rPr>
          <w:rFonts w:cs="Arial"/>
          <w:noProof/>
          <w:lang w:eastAsia="es-CO"/>
        </w:rPr>
        <mc:AlternateContent>
          <mc:Choice Requires="wpg">
            <w:drawing>
              <wp:anchor distT="0" distB="0" distL="114300" distR="114300" simplePos="0" relativeHeight="251649536" behindDoc="0" locked="0" layoutInCell="1" allowOverlap="1" wp14:anchorId="610F6BDD" wp14:editId="32D4140E">
                <wp:simplePos x="0" y="0"/>
                <wp:positionH relativeFrom="column">
                  <wp:posOffset>777240</wp:posOffset>
                </wp:positionH>
                <wp:positionV relativeFrom="paragraph">
                  <wp:posOffset>184785</wp:posOffset>
                </wp:positionV>
                <wp:extent cx="4591050" cy="5759450"/>
                <wp:effectExtent l="0" t="0" r="19050" b="12700"/>
                <wp:wrapTopAndBottom/>
                <wp:docPr id="2817" name="2817 Grupo"/>
                <wp:cNvGraphicFramePr/>
                <a:graphic xmlns:a="http://schemas.openxmlformats.org/drawingml/2006/main">
                  <a:graphicData uri="http://schemas.microsoft.com/office/word/2010/wordprocessingGroup">
                    <wpg:wgp>
                      <wpg:cNvGrpSpPr/>
                      <wpg:grpSpPr>
                        <a:xfrm>
                          <a:off x="0" y="0"/>
                          <a:ext cx="4591050" cy="5759450"/>
                          <a:chOff x="0" y="0"/>
                          <a:chExt cx="4591050" cy="6607175"/>
                        </a:xfrm>
                      </wpg:grpSpPr>
                      <wpg:grpSp>
                        <wpg:cNvPr id="2818" name="2818 Grupo"/>
                        <wpg:cNvGrpSpPr/>
                        <wpg:grpSpPr>
                          <a:xfrm>
                            <a:off x="0" y="3305175"/>
                            <a:ext cx="4591050" cy="3302000"/>
                            <a:chOff x="0" y="0"/>
                            <a:chExt cx="4591050" cy="3302000"/>
                          </a:xfrm>
                        </wpg:grpSpPr>
                        <wpg:grpSp>
                          <wpg:cNvPr id="2819" name="2819 Grupo"/>
                          <wpg:cNvGrpSpPr/>
                          <wpg:grpSpPr>
                            <a:xfrm>
                              <a:off x="0" y="0"/>
                              <a:ext cx="4591050" cy="3302000"/>
                              <a:chOff x="0" y="47625"/>
                              <a:chExt cx="4591050" cy="3302000"/>
                            </a:xfrm>
                          </wpg:grpSpPr>
                          <wps:wsp>
                            <wps:cNvPr id="2820" name="2820 Rectángulo"/>
                            <wps:cNvSpPr/>
                            <wps:spPr>
                              <a:xfrm>
                                <a:off x="0" y="47625"/>
                                <a:ext cx="4591050" cy="3302000"/>
                              </a:xfrm>
                              <a:prstGeom prst="rect">
                                <a:avLst/>
                              </a:prstGeom>
                              <a:noFill/>
                              <a:ln w="3175">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2821" name="2821 Grupo"/>
                            <wpg:cNvGrpSpPr/>
                            <wpg:grpSpPr>
                              <a:xfrm>
                                <a:off x="104775" y="161925"/>
                                <a:ext cx="4450080" cy="3072639"/>
                                <a:chOff x="0" y="0"/>
                                <a:chExt cx="4450080" cy="3072639"/>
                              </a:xfrm>
                            </wpg:grpSpPr>
                            <wpg:grpSp>
                              <wpg:cNvPr id="2822" name="2658 Grupo"/>
                              <wpg:cNvGrpSpPr/>
                              <wpg:grpSpPr>
                                <a:xfrm>
                                  <a:off x="1289050" y="1130300"/>
                                  <a:ext cx="2206326" cy="677081"/>
                                  <a:chOff x="0" y="0"/>
                                  <a:chExt cx="2450927" cy="752417"/>
                                </a:xfrm>
                              </wpg:grpSpPr>
                              <wps:wsp>
                                <wps:cNvPr id="2823" name="2659 Flecha derecha"/>
                                <wps:cNvSpPr/>
                                <wps:spPr>
                                  <a:xfrm rot="5400000">
                                    <a:off x="866574" y="262572"/>
                                    <a:ext cx="707390" cy="182245"/>
                                  </a:xfrm>
                                  <a:prstGeom prst="rightArrow">
                                    <a:avLst>
                                      <a:gd name="adj1" fmla="val 50000"/>
                                      <a:gd name="adj2" fmla="val 121365"/>
                                    </a:avLst>
                                  </a:prstGeom>
                                  <a:solidFill>
                                    <a:schemeClr val="bg2">
                                      <a:lumMod val="50000"/>
                                    </a:schemeClr>
                                  </a:solidFill>
                                  <a:ln>
                                    <a:solidFill>
                                      <a:schemeClr val="bg2">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24" name="2660 Flecha derecha"/>
                                <wps:cNvSpPr/>
                                <wps:spPr>
                                  <a:xfrm rot="8047803">
                                    <a:off x="2006110" y="307599"/>
                                    <a:ext cx="707390" cy="182245"/>
                                  </a:xfrm>
                                  <a:prstGeom prst="rightArrow">
                                    <a:avLst>
                                      <a:gd name="adj1" fmla="val 50000"/>
                                      <a:gd name="adj2" fmla="val 121365"/>
                                    </a:avLst>
                                  </a:prstGeom>
                                  <a:solidFill>
                                    <a:schemeClr val="bg2">
                                      <a:lumMod val="50000"/>
                                    </a:schemeClr>
                                  </a:solidFill>
                                  <a:ln>
                                    <a:solidFill>
                                      <a:schemeClr val="bg2">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25" name="2661 Flecha derecha"/>
                                <wps:cNvSpPr/>
                                <wps:spPr>
                                  <a:xfrm rot="2919613">
                                    <a:off x="-262572" y="304136"/>
                                    <a:ext cx="707390" cy="182245"/>
                                  </a:xfrm>
                                  <a:prstGeom prst="rightArrow">
                                    <a:avLst>
                                      <a:gd name="adj1" fmla="val 50000"/>
                                      <a:gd name="adj2" fmla="val 121365"/>
                                    </a:avLst>
                                  </a:prstGeom>
                                  <a:solidFill>
                                    <a:schemeClr val="bg2">
                                      <a:lumMod val="50000"/>
                                    </a:schemeClr>
                                  </a:solidFill>
                                  <a:ln>
                                    <a:solidFill>
                                      <a:schemeClr val="bg2">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2826" name="2826 Grupo"/>
                              <wpg:cNvGrpSpPr/>
                              <wpg:grpSpPr>
                                <a:xfrm>
                                  <a:off x="101600" y="0"/>
                                  <a:ext cx="4348480" cy="130175"/>
                                  <a:chOff x="0" y="0"/>
                                  <a:chExt cx="4348480" cy="130175"/>
                                </a:xfrm>
                              </wpg:grpSpPr>
                              <wps:wsp>
                                <wps:cNvPr id="2827" name="2669 Rectángulo"/>
                                <wps:cNvSpPr/>
                                <wps:spPr>
                                  <a:xfrm>
                                    <a:off x="1841500" y="0"/>
                                    <a:ext cx="900430" cy="13017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337811E" w14:textId="77777777" w:rsidR="00D55F13" w:rsidRPr="00394D50" w:rsidRDefault="00D55F13" w:rsidP="00077E48">
                                      <w:pPr>
                                        <w:jc w:val="left"/>
                                        <w:rPr>
                                          <w:rFonts w:cs="Arial"/>
                                          <w:b/>
                                          <w:color w:val="365F91" w:themeColor="accent1" w:themeShade="BF"/>
                                          <w:sz w:val="16"/>
                                        </w:rPr>
                                      </w:pPr>
                                      <w:r w:rsidRPr="00394D50">
                                        <w:rPr>
                                          <w:rFonts w:cs="Arial"/>
                                          <w:b/>
                                          <w:color w:val="365F91" w:themeColor="accent1" w:themeShade="BF"/>
                                          <w:sz w:val="16"/>
                                        </w:rPr>
                                        <w:t>Componente B</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2828" name="2672 Rectángulo"/>
                                <wps:cNvSpPr/>
                                <wps:spPr>
                                  <a:xfrm>
                                    <a:off x="3448050" y="0"/>
                                    <a:ext cx="900430" cy="13017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2A80D3A" w14:textId="77777777" w:rsidR="00D55F13" w:rsidRPr="00394D50" w:rsidRDefault="00D55F13" w:rsidP="00077E48">
                                      <w:pPr>
                                        <w:jc w:val="left"/>
                                        <w:rPr>
                                          <w:rFonts w:cs="Arial"/>
                                          <w:b/>
                                          <w:color w:val="FF0000"/>
                                          <w:sz w:val="16"/>
                                        </w:rPr>
                                      </w:pPr>
                                      <w:r w:rsidRPr="00394D50">
                                        <w:rPr>
                                          <w:rFonts w:cs="Arial"/>
                                          <w:b/>
                                          <w:color w:val="FF0000"/>
                                          <w:sz w:val="16"/>
                                        </w:rPr>
                                        <w:t>Componente C</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2829" name="2675 Rectángulo"/>
                                <wps:cNvSpPr/>
                                <wps:spPr>
                                  <a:xfrm>
                                    <a:off x="0" y="0"/>
                                    <a:ext cx="900430" cy="13017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6A6D3EC" w14:textId="77777777" w:rsidR="00D55F13" w:rsidRPr="00394D50" w:rsidRDefault="00D55F13" w:rsidP="00077E48">
                                      <w:pPr>
                                        <w:jc w:val="left"/>
                                        <w:rPr>
                                          <w:rFonts w:cs="Arial"/>
                                          <w:b/>
                                          <w:color w:val="00B050"/>
                                          <w:sz w:val="16"/>
                                        </w:rPr>
                                      </w:pPr>
                                      <w:r w:rsidRPr="00394D50">
                                        <w:rPr>
                                          <w:rFonts w:cs="Arial"/>
                                          <w:b/>
                                          <w:color w:val="00B050"/>
                                          <w:sz w:val="16"/>
                                        </w:rPr>
                                        <w:t>Componente A</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g:grpSp>
                            <wpg:grpSp>
                              <wpg:cNvPr id="2830" name="2830 Grupo"/>
                              <wpg:cNvGrpSpPr/>
                              <wpg:grpSpPr>
                                <a:xfrm>
                                  <a:off x="0" y="190500"/>
                                  <a:ext cx="4362913" cy="966272"/>
                                  <a:chOff x="0" y="0"/>
                                  <a:chExt cx="4362913" cy="966272"/>
                                </a:xfrm>
                              </wpg:grpSpPr>
                              <wpg:grpSp>
                                <wpg:cNvPr id="2831" name="2601 Grupo"/>
                                <wpg:cNvGrpSpPr/>
                                <wpg:grpSpPr>
                                  <a:xfrm>
                                    <a:off x="0" y="0"/>
                                    <a:ext cx="816610" cy="878205"/>
                                    <a:chOff x="146512" y="0"/>
                                    <a:chExt cx="909656" cy="976095"/>
                                  </a:xfrm>
                                </wpg:grpSpPr>
                                <wpg:grpSp>
                                  <wpg:cNvPr id="2832" name="2602 Grupo"/>
                                  <wpg:cNvGrpSpPr/>
                                  <wpg:grpSpPr>
                                    <a:xfrm>
                                      <a:off x="146512" y="0"/>
                                      <a:ext cx="909656" cy="976095"/>
                                      <a:chOff x="146512" y="0"/>
                                      <a:chExt cx="909656" cy="976095"/>
                                    </a:xfrm>
                                  </wpg:grpSpPr>
                                  <wps:wsp>
                                    <wps:cNvPr id="2833" name="2603 Forma libre"/>
                                    <wps:cNvSpPr/>
                                    <wps:spPr>
                                      <a:xfrm>
                                        <a:off x="146512" y="0"/>
                                        <a:ext cx="909656" cy="976095"/>
                                      </a:xfrm>
                                      <a:custGeom>
                                        <a:avLst/>
                                        <a:gdLst>
                                          <a:gd name="connsiteX0" fmla="*/ 465128 w 1585665"/>
                                          <a:gd name="connsiteY0" fmla="*/ 0 h 1215676"/>
                                          <a:gd name="connsiteX1" fmla="*/ 1318744 w 1585665"/>
                                          <a:gd name="connsiteY1" fmla="*/ 594624 h 1215676"/>
                                          <a:gd name="connsiteX2" fmla="*/ 1297602 w 1585665"/>
                                          <a:gd name="connsiteY2" fmla="*/ 652765 h 1215676"/>
                                          <a:gd name="connsiteX3" fmla="*/ 1585665 w 1585665"/>
                                          <a:gd name="connsiteY3" fmla="*/ 924971 h 1215676"/>
                                          <a:gd name="connsiteX4" fmla="*/ 1220962 w 1585665"/>
                                          <a:gd name="connsiteY4" fmla="*/ 1154892 h 1215676"/>
                                          <a:gd name="connsiteX5" fmla="*/ 816617 w 1585665"/>
                                          <a:gd name="connsiteY5" fmla="*/ 1025396 h 1215676"/>
                                          <a:gd name="connsiteX6" fmla="*/ 636909 w 1585665"/>
                                          <a:gd name="connsiteY6" fmla="*/ 1020111 h 1215676"/>
                                          <a:gd name="connsiteX7" fmla="*/ 570839 w 1585665"/>
                                          <a:gd name="connsiteY7" fmla="*/ 1215676 h 1215676"/>
                                          <a:gd name="connsiteX8" fmla="*/ 132139 w 1585665"/>
                                          <a:gd name="connsiteY8" fmla="*/ 1057109 h 1215676"/>
                                          <a:gd name="connsiteX9" fmla="*/ 0 w 1585665"/>
                                          <a:gd name="connsiteY9" fmla="*/ 658050 h 1215676"/>
                                          <a:gd name="connsiteX10" fmla="*/ 195565 w 1585665"/>
                                          <a:gd name="connsiteY10" fmla="*/ 190279 h 1215676"/>
                                          <a:gd name="connsiteX11" fmla="*/ 465128 w 1585665"/>
                                          <a:gd name="connsiteY11" fmla="*/ 0 h 1215676"/>
                                          <a:gd name="connsiteX0" fmla="*/ 465128 w 1585665"/>
                                          <a:gd name="connsiteY0" fmla="*/ 0 h 1215676"/>
                                          <a:gd name="connsiteX1" fmla="*/ 1318744 w 1585665"/>
                                          <a:gd name="connsiteY1" fmla="*/ 594624 h 1215676"/>
                                          <a:gd name="connsiteX2" fmla="*/ 1297602 w 1585665"/>
                                          <a:gd name="connsiteY2" fmla="*/ 652765 h 1215676"/>
                                          <a:gd name="connsiteX3" fmla="*/ 1585665 w 1585665"/>
                                          <a:gd name="connsiteY3" fmla="*/ 924971 h 1215676"/>
                                          <a:gd name="connsiteX4" fmla="*/ 1220962 w 1585665"/>
                                          <a:gd name="connsiteY4" fmla="*/ 1154892 h 1215676"/>
                                          <a:gd name="connsiteX5" fmla="*/ 816617 w 1585665"/>
                                          <a:gd name="connsiteY5" fmla="*/ 1025396 h 1215676"/>
                                          <a:gd name="connsiteX6" fmla="*/ 636937 w 1585665"/>
                                          <a:gd name="connsiteY6" fmla="*/ 1029588 h 1215676"/>
                                          <a:gd name="connsiteX7" fmla="*/ 570839 w 1585665"/>
                                          <a:gd name="connsiteY7" fmla="*/ 1215676 h 1215676"/>
                                          <a:gd name="connsiteX8" fmla="*/ 132139 w 1585665"/>
                                          <a:gd name="connsiteY8" fmla="*/ 1057109 h 1215676"/>
                                          <a:gd name="connsiteX9" fmla="*/ 0 w 1585665"/>
                                          <a:gd name="connsiteY9" fmla="*/ 658050 h 1215676"/>
                                          <a:gd name="connsiteX10" fmla="*/ 195565 w 1585665"/>
                                          <a:gd name="connsiteY10" fmla="*/ 190279 h 1215676"/>
                                          <a:gd name="connsiteX11" fmla="*/ 465128 w 1585665"/>
                                          <a:gd name="connsiteY11" fmla="*/ 0 h 1215676"/>
                                          <a:gd name="connsiteX0" fmla="*/ 430836 w 1551373"/>
                                          <a:gd name="connsiteY0" fmla="*/ 0 h 1215676"/>
                                          <a:gd name="connsiteX1" fmla="*/ 1284452 w 1551373"/>
                                          <a:gd name="connsiteY1" fmla="*/ 594624 h 1215676"/>
                                          <a:gd name="connsiteX2" fmla="*/ 1263310 w 1551373"/>
                                          <a:gd name="connsiteY2" fmla="*/ 652765 h 1215676"/>
                                          <a:gd name="connsiteX3" fmla="*/ 1551373 w 1551373"/>
                                          <a:gd name="connsiteY3" fmla="*/ 924971 h 1215676"/>
                                          <a:gd name="connsiteX4" fmla="*/ 1186670 w 1551373"/>
                                          <a:gd name="connsiteY4" fmla="*/ 1154892 h 1215676"/>
                                          <a:gd name="connsiteX5" fmla="*/ 782325 w 1551373"/>
                                          <a:gd name="connsiteY5" fmla="*/ 1025396 h 1215676"/>
                                          <a:gd name="connsiteX6" fmla="*/ 602645 w 1551373"/>
                                          <a:gd name="connsiteY6" fmla="*/ 1029588 h 1215676"/>
                                          <a:gd name="connsiteX7" fmla="*/ 536547 w 1551373"/>
                                          <a:gd name="connsiteY7" fmla="*/ 1215676 h 1215676"/>
                                          <a:gd name="connsiteX8" fmla="*/ 97847 w 1551373"/>
                                          <a:gd name="connsiteY8" fmla="*/ 1057109 h 1215676"/>
                                          <a:gd name="connsiteX9" fmla="*/ 0 w 1551373"/>
                                          <a:gd name="connsiteY9" fmla="*/ 648008 h 1215676"/>
                                          <a:gd name="connsiteX10" fmla="*/ 161273 w 1551373"/>
                                          <a:gd name="connsiteY10" fmla="*/ 190279 h 1215676"/>
                                          <a:gd name="connsiteX11" fmla="*/ 430836 w 1551373"/>
                                          <a:gd name="connsiteY11" fmla="*/ 0 h 1215676"/>
                                          <a:gd name="connsiteX0" fmla="*/ 470843 w 1591380"/>
                                          <a:gd name="connsiteY0" fmla="*/ 0 h 1215676"/>
                                          <a:gd name="connsiteX1" fmla="*/ 1324459 w 1591380"/>
                                          <a:gd name="connsiteY1" fmla="*/ 594624 h 1215676"/>
                                          <a:gd name="connsiteX2" fmla="*/ 1303317 w 1591380"/>
                                          <a:gd name="connsiteY2" fmla="*/ 652765 h 1215676"/>
                                          <a:gd name="connsiteX3" fmla="*/ 1591380 w 1591380"/>
                                          <a:gd name="connsiteY3" fmla="*/ 924971 h 1215676"/>
                                          <a:gd name="connsiteX4" fmla="*/ 1226677 w 1591380"/>
                                          <a:gd name="connsiteY4" fmla="*/ 1154892 h 1215676"/>
                                          <a:gd name="connsiteX5" fmla="*/ 822332 w 1591380"/>
                                          <a:gd name="connsiteY5" fmla="*/ 1025396 h 1215676"/>
                                          <a:gd name="connsiteX6" fmla="*/ 642652 w 1591380"/>
                                          <a:gd name="connsiteY6" fmla="*/ 1029588 h 1215676"/>
                                          <a:gd name="connsiteX7" fmla="*/ 576554 w 1591380"/>
                                          <a:gd name="connsiteY7" fmla="*/ 1215676 h 1215676"/>
                                          <a:gd name="connsiteX8" fmla="*/ 137854 w 1591380"/>
                                          <a:gd name="connsiteY8" fmla="*/ 1057109 h 1215676"/>
                                          <a:gd name="connsiteX9" fmla="*/ 0 w 1591380"/>
                                          <a:gd name="connsiteY9" fmla="*/ 659593 h 1215676"/>
                                          <a:gd name="connsiteX10" fmla="*/ 201280 w 1591380"/>
                                          <a:gd name="connsiteY10" fmla="*/ 190279 h 1215676"/>
                                          <a:gd name="connsiteX11" fmla="*/ 470843 w 1591380"/>
                                          <a:gd name="connsiteY11" fmla="*/ 0 h 1215676"/>
                                          <a:gd name="connsiteX0" fmla="*/ 470843 w 1591380"/>
                                          <a:gd name="connsiteY0" fmla="*/ 0 h 1215676"/>
                                          <a:gd name="connsiteX1" fmla="*/ 1324459 w 1591380"/>
                                          <a:gd name="connsiteY1" fmla="*/ 594624 h 1215676"/>
                                          <a:gd name="connsiteX2" fmla="*/ 1303317 w 1591380"/>
                                          <a:gd name="connsiteY2" fmla="*/ 652765 h 1215676"/>
                                          <a:gd name="connsiteX3" fmla="*/ 1591380 w 1591380"/>
                                          <a:gd name="connsiteY3" fmla="*/ 924971 h 1215676"/>
                                          <a:gd name="connsiteX4" fmla="*/ 1226677 w 1591380"/>
                                          <a:gd name="connsiteY4" fmla="*/ 1154892 h 1215676"/>
                                          <a:gd name="connsiteX5" fmla="*/ 822332 w 1591380"/>
                                          <a:gd name="connsiteY5" fmla="*/ 1025396 h 1215676"/>
                                          <a:gd name="connsiteX6" fmla="*/ 642652 w 1591380"/>
                                          <a:gd name="connsiteY6" fmla="*/ 1029588 h 1215676"/>
                                          <a:gd name="connsiteX7" fmla="*/ 576554 w 1591380"/>
                                          <a:gd name="connsiteY7" fmla="*/ 1215676 h 1215676"/>
                                          <a:gd name="connsiteX8" fmla="*/ 166436 w 1591380"/>
                                          <a:gd name="connsiteY8" fmla="*/ 1020997 h 1215676"/>
                                          <a:gd name="connsiteX9" fmla="*/ 0 w 1591380"/>
                                          <a:gd name="connsiteY9" fmla="*/ 659593 h 1215676"/>
                                          <a:gd name="connsiteX10" fmla="*/ 201280 w 1591380"/>
                                          <a:gd name="connsiteY10" fmla="*/ 190279 h 1215676"/>
                                          <a:gd name="connsiteX11" fmla="*/ 470843 w 1591380"/>
                                          <a:gd name="connsiteY11" fmla="*/ 0 h 1215676"/>
                                          <a:gd name="connsiteX0" fmla="*/ 470843 w 1591380"/>
                                          <a:gd name="connsiteY0" fmla="*/ 0 h 1215676"/>
                                          <a:gd name="connsiteX1" fmla="*/ 1324459 w 1591380"/>
                                          <a:gd name="connsiteY1" fmla="*/ 594624 h 1215676"/>
                                          <a:gd name="connsiteX2" fmla="*/ 1303317 w 1591380"/>
                                          <a:gd name="connsiteY2" fmla="*/ 652765 h 1215676"/>
                                          <a:gd name="connsiteX3" fmla="*/ 1591380 w 1591380"/>
                                          <a:gd name="connsiteY3" fmla="*/ 924971 h 1215676"/>
                                          <a:gd name="connsiteX4" fmla="*/ 1226677 w 1591380"/>
                                          <a:gd name="connsiteY4" fmla="*/ 1154892 h 1215676"/>
                                          <a:gd name="connsiteX5" fmla="*/ 822332 w 1591380"/>
                                          <a:gd name="connsiteY5" fmla="*/ 1025396 h 1215676"/>
                                          <a:gd name="connsiteX6" fmla="*/ 642652 w 1591380"/>
                                          <a:gd name="connsiteY6" fmla="*/ 1029588 h 1215676"/>
                                          <a:gd name="connsiteX7" fmla="*/ 576554 w 1591380"/>
                                          <a:gd name="connsiteY7" fmla="*/ 1215676 h 1215676"/>
                                          <a:gd name="connsiteX8" fmla="*/ 130247 w 1591380"/>
                                          <a:gd name="connsiteY8" fmla="*/ 1059346 h 1215676"/>
                                          <a:gd name="connsiteX9" fmla="*/ 0 w 1591380"/>
                                          <a:gd name="connsiteY9" fmla="*/ 659593 h 1215676"/>
                                          <a:gd name="connsiteX10" fmla="*/ 201280 w 1591380"/>
                                          <a:gd name="connsiteY10" fmla="*/ 190279 h 1215676"/>
                                          <a:gd name="connsiteX11" fmla="*/ 470843 w 1591380"/>
                                          <a:gd name="connsiteY11" fmla="*/ 0 h 1215676"/>
                                          <a:gd name="connsiteX0" fmla="*/ 467054 w 1591380"/>
                                          <a:gd name="connsiteY0" fmla="*/ 0 h 1215676"/>
                                          <a:gd name="connsiteX1" fmla="*/ 1324459 w 1591380"/>
                                          <a:gd name="connsiteY1" fmla="*/ 594624 h 1215676"/>
                                          <a:gd name="connsiteX2" fmla="*/ 1303317 w 1591380"/>
                                          <a:gd name="connsiteY2" fmla="*/ 652765 h 1215676"/>
                                          <a:gd name="connsiteX3" fmla="*/ 1591380 w 1591380"/>
                                          <a:gd name="connsiteY3" fmla="*/ 924971 h 1215676"/>
                                          <a:gd name="connsiteX4" fmla="*/ 1226677 w 1591380"/>
                                          <a:gd name="connsiteY4" fmla="*/ 1154892 h 1215676"/>
                                          <a:gd name="connsiteX5" fmla="*/ 822332 w 1591380"/>
                                          <a:gd name="connsiteY5" fmla="*/ 1025396 h 1215676"/>
                                          <a:gd name="connsiteX6" fmla="*/ 642652 w 1591380"/>
                                          <a:gd name="connsiteY6" fmla="*/ 1029588 h 1215676"/>
                                          <a:gd name="connsiteX7" fmla="*/ 576554 w 1591380"/>
                                          <a:gd name="connsiteY7" fmla="*/ 1215676 h 1215676"/>
                                          <a:gd name="connsiteX8" fmla="*/ 130247 w 1591380"/>
                                          <a:gd name="connsiteY8" fmla="*/ 1059346 h 1215676"/>
                                          <a:gd name="connsiteX9" fmla="*/ 0 w 1591380"/>
                                          <a:gd name="connsiteY9" fmla="*/ 659593 h 1215676"/>
                                          <a:gd name="connsiteX10" fmla="*/ 201280 w 1591380"/>
                                          <a:gd name="connsiteY10" fmla="*/ 190279 h 1215676"/>
                                          <a:gd name="connsiteX11" fmla="*/ 467054 w 1591380"/>
                                          <a:gd name="connsiteY11" fmla="*/ 0 h 1215676"/>
                                          <a:gd name="connsiteX0" fmla="*/ 467054 w 1591380"/>
                                          <a:gd name="connsiteY0" fmla="*/ 0 h 1215676"/>
                                          <a:gd name="connsiteX1" fmla="*/ 1324459 w 1591380"/>
                                          <a:gd name="connsiteY1" fmla="*/ 594624 h 1215676"/>
                                          <a:gd name="connsiteX2" fmla="*/ 1303317 w 1591380"/>
                                          <a:gd name="connsiteY2" fmla="*/ 652765 h 1215676"/>
                                          <a:gd name="connsiteX3" fmla="*/ 1591380 w 1591380"/>
                                          <a:gd name="connsiteY3" fmla="*/ 924971 h 1215676"/>
                                          <a:gd name="connsiteX4" fmla="*/ 1226677 w 1591380"/>
                                          <a:gd name="connsiteY4" fmla="*/ 1154892 h 1215676"/>
                                          <a:gd name="connsiteX5" fmla="*/ 822332 w 1591380"/>
                                          <a:gd name="connsiteY5" fmla="*/ 1025396 h 1215676"/>
                                          <a:gd name="connsiteX6" fmla="*/ 642652 w 1591380"/>
                                          <a:gd name="connsiteY6" fmla="*/ 1029588 h 1215676"/>
                                          <a:gd name="connsiteX7" fmla="*/ 576554 w 1591380"/>
                                          <a:gd name="connsiteY7" fmla="*/ 1215676 h 1215676"/>
                                          <a:gd name="connsiteX8" fmla="*/ 130247 w 1591380"/>
                                          <a:gd name="connsiteY8" fmla="*/ 1059346 h 1215676"/>
                                          <a:gd name="connsiteX9" fmla="*/ 0 w 1591380"/>
                                          <a:gd name="connsiteY9" fmla="*/ 659593 h 1215676"/>
                                          <a:gd name="connsiteX10" fmla="*/ 264157 w 1591380"/>
                                          <a:gd name="connsiteY10" fmla="*/ 234149 h 1215676"/>
                                          <a:gd name="connsiteX11" fmla="*/ 467054 w 1591380"/>
                                          <a:gd name="connsiteY11" fmla="*/ 0 h 1215676"/>
                                          <a:gd name="connsiteX0" fmla="*/ 467054 w 1591380"/>
                                          <a:gd name="connsiteY0" fmla="*/ 0 h 1215676"/>
                                          <a:gd name="connsiteX1" fmla="*/ 1324459 w 1591380"/>
                                          <a:gd name="connsiteY1" fmla="*/ 594624 h 1215676"/>
                                          <a:gd name="connsiteX2" fmla="*/ 1303317 w 1591380"/>
                                          <a:gd name="connsiteY2" fmla="*/ 652765 h 1215676"/>
                                          <a:gd name="connsiteX3" fmla="*/ 1591380 w 1591380"/>
                                          <a:gd name="connsiteY3" fmla="*/ 924971 h 1215676"/>
                                          <a:gd name="connsiteX4" fmla="*/ 1226677 w 1591380"/>
                                          <a:gd name="connsiteY4" fmla="*/ 1154892 h 1215676"/>
                                          <a:gd name="connsiteX5" fmla="*/ 822332 w 1591380"/>
                                          <a:gd name="connsiteY5" fmla="*/ 1025396 h 1215676"/>
                                          <a:gd name="connsiteX6" fmla="*/ 642652 w 1591380"/>
                                          <a:gd name="connsiteY6" fmla="*/ 1029588 h 1215676"/>
                                          <a:gd name="connsiteX7" fmla="*/ 576554 w 1591380"/>
                                          <a:gd name="connsiteY7" fmla="*/ 1215676 h 1215676"/>
                                          <a:gd name="connsiteX8" fmla="*/ 130247 w 1591380"/>
                                          <a:gd name="connsiteY8" fmla="*/ 1059346 h 1215676"/>
                                          <a:gd name="connsiteX9" fmla="*/ 0 w 1591380"/>
                                          <a:gd name="connsiteY9" fmla="*/ 659593 h 1215676"/>
                                          <a:gd name="connsiteX10" fmla="*/ 197491 w 1591380"/>
                                          <a:gd name="connsiteY10" fmla="*/ 188473 h 1215676"/>
                                          <a:gd name="connsiteX11" fmla="*/ 467054 w 1591380"/>
                                          <a:gd name="connsiteY11" fmla="*/ 0 h 1215676"/>
                                          <a:gd name="connsiteX0" fmla="*/ 467054 w 1324459"/>
                                          <a:gd name="connsiteY0" fmla="*/ 0 h 1215676"/>
                                          <a:gd name="connsiteX1" fmla="*/ 1324459 w 1324459"/>
                                          <a:gd name="connsiteY1" fmla="*/ 594624 h 1215676"/>
                                          <a:gd name="connsiteX2" fmla="*/ 1303317 w 1324459"/>
                                          <a:gd name="connsiteY2" fmla="*/ 652765 h 1215676"/>
                                          <a:gd name="connsiteX3" fmla="*/ 637769 w 1324459"/>
                                          <a:gd name="connsiteY3" fmla="*/ 626294 h 1215676"/>
                                          <a:gd name="connsiteX4" fmla="*/ 1226677 w 1324459"/>
                                          <a:gd name="connsiteY4" fmla="*/ 1154892 h 1215676"/>
                                          <a:gd name="connsiteX5" fmla="*/ 822332 w 1324459"/>
                                          <a:gd name="connsiteY5" fmla="*/ 1025396 h 1215676"/>
                                          <a:gd name="connsiteX6" fmla="*/ 642652 w 1324459"/>
                                          <a:gd name="connsiteY6" fmla="*/ 1029588 h 1215676"/>
                                          <a:gd name="connsiteX7" fmla="*/ 576554 w 1324459"/>
                                          <a:gd name="connsiteY7" fmla="*/ 1215676 h 1215676"/>
                                          <a:gd name="connsiteX8" fmla="*/ 130247 w 1324459"/>
                                          <a:gd name="connsiteY8" fmla="*/ 1059346 h 1215676"/>
                                          <a:gd name="connsiteX9" fmla="*/ 0 w 1324459"/>
                                          <a:gd name="connsiteY9" fmla="*/ 659593 h 1215676"/>
                                          <a:gd name="connsiteX10" fmla="*/ 197491 w 1324459"/>
                                          <a:gd name="connsiteY10" fmla="*/ 188473 h 1215676"/>
                                          <a:gd name="connsiteX11" fmla="*/ 467054 w 1324459"/>
                                          <a:gd name="connsiteY11" fmla="*/ 0 h 1215676"/>
                                          <a:gd name="connsiteX0" fmla="*/ 467054 w 1324459"/>
                                          <a:gd name="connsiteY0" fmla="*/ 0 h 1215676"/>
                                          <a:gd name="connsiteX1" fmla="*/ 1324459 w 1324459"/>
                                          <a:gd name="connsiteY1" fmla="*/ 594624 h 1215676"/>
                                          <a:gd name="connsiteX2" fmla="*/ 1264956 w 1324459"/>
                                          <a:gd name="connsiteY2" fmla="*/ 733954 h 1215676"/>
                                          <a:gd name="connsiteX3" fmla="*/ 637769 w 1324459"/>
                                          <a:gd name="connsiteY3" fmla="*/ 626294 h 1215676"/>
                                          <a:gd name="connsiteX4" fmla="*/ 1226677 w 1324459"/>
                                          <a:gd name="connsiteY4" fmla="*/ 1154892 h 1215676"/>
                                          <a:gd name="connsiteX5" fmla="*/ 822332 w 1324459"/>
                                          <a:gd name="connsiteY5" fmla="*/ 1025396 h 1215676"/>
                                          <a:gd name="connsiteX6" fmla="*/ 642652 w 1324459"/>
                                          <a:gd name="connsiteY6" fmla="*/ 1029588 h 1215676"/>
                                          <a:gd name="connsiteX7" fmla="*/ 576554 w 1324459"/>
                                          <a:gd name="connsiteY7" fmla="*/ 1215676 h 1215676"/>
                                          <a:gd name="connsiteX8" fmla="*/ 130247 w 1324459"/>
                                          <a:gd name="connsiteY8" fmla="*/ 1059346 h 1215676"/>
                                          <a:gd name="connsiteX9" fmla="*/ 0 w 1324459"/>
                                          <a:gd name="connsiteY9" fmla="*/ 659593 h 1215676"/>
                                          <a:gd name="connsiteX10" fmla="*/ 197491 w 1324459"/>
                                          <a:gd name="connsiteY10" fmla="*/ 188473 h 1215676"/>
                                          <a:gd name="connsiteX11" fmla="*/ 467054 w 1324459"/>
                                          <a:gd name="connsiteY11" fmla="*/ 0 h 1215676"/>
                                          <a:gd name="connsiteX0" fmla="*/ 467054 w 1324459"/>
                                          <a:gd name="connsiteY0" fmla="*/ 0 h 1215676"/>
                                          <a:gd name="connsiteX1" fmla="*/ 1324459 w 1324459"/>
                                          <a:gd name="connsiteY1" fmla="*/ 594624 h 1215676"/>
                                          <a:gd name="connsiteX2" fmla="*/ 1264956 w 1324459"/>
                                          <a:gd name="connsiteY2" fmla="*/ 733954 h 1215676"/>
                                          <a:gd name="connsiteX3" fmla="*/ 637769 w 1324459"/>
                                          <a:gd name="connsiteY3" fmla="*/ 626294 h 1215676"/>
                                          <a:gd name="connsiteX4" fmla="*/ 1226678 w 1324459"/>
                                          <a:gd name="connsiteY4" fmla="*/ 1165367 h 1215676"/>
                                          <a:gd name="connsiteX5" fmla="*/ 822332 w 1324459"/>
                                          <a:gd name="connsiteY5" fmla="*/ 1025396 h 1215676"/>
                                          <a:gd name="connsiteX6" fmla="*/ 642652 w 1324459"/>
                                          <a:gd name="connsiteY6" fmla="*/ 1029588 h 1215676"/>
                                          <a:gd name="connsiteX7" fmla="*/ 576554 w 1324459"/>
                                          <a:gd name="connsiteY7" fmla="*/ 1215676 h 1215676"/>
                                          <a:gd name="connsiteX8" fmla="*/ 130247 w 1324459"/>
                                          <a:gd name="connsiteY8" fmla="*/ 1059346 h 1215676"/>
                                          <a:gd name="connsiteX9" fmla="*/ 0 w 1324459"/>
                                          <a:gd name="connsiteY9" fmla="*/ 659593 h 1215676"/>
                                          <a:gd name="connsiteX10" fmla="*/ 197491 w 1324459"/>
                                          <a:gd name="connsiteY10" fmla="*/ 188473 h 1215676"/>
                                          <a:gd name="connsiteX11" fmla="*/ 467054 w 1324459"/>
                                          <a:gd name="connsiteY11" fmla="*/ 0 h 1215676"/>
                                          <a:gd name="connsiteX0" fmla="*/ 467054 w 1324459"/>
                                          <a:gd name="connsiteY0" fmla="*/ 0 h 1215676"/>
                                          <a:gd name="connsiteX1" fmla="*/ 1324459 w 1324459"/>
                                          <a:gd name="connsiteY1" fmla="*/ 594624 h 1215676"/>
                                          <a:gd name="connsiteX2" fmla="*/ 1264956 w 1324459"/>
                                          <a:gd name="connsiteY2" fmla="*/ 733954 h 1215676"/>
                                          <a:gd name="connsiteX3" fmla="*/ 637769 w 1324459"/>
                                          <a:gd name="connsiteY3" fmla="*/ 626294 h 1215676"/>
                                          <a:gd name="connsiteX4" fmla="*/ 822332 w 1324459"/>
                                          <a:gd name="connsiteY4" fmla="*/ 1025396 h 1215676"/>
                                          <a:gd name="connsiteX5" fmla="*/ 642652 w 1324459"/>
                                          <a:gd name="connsiteY5" fmla="*/ 1029588 h 1215676"/>
                                          <a:gd name="connsiteX6" fmla="*/ 576554 w 1324459"/>
                                          <a:gd name="connsiteY6" fmla="*/ 1215676 h 1215676"/>
                                          <a:gd name="connsiteX7" fmla="*/ 130247 w 1324459"/>
                                          <a:gd name="connsiteY7" fmla="*/ 1059346 h 1215676"/>
                                          <a:gd name="connsiteX8" fmla="*/ 0 w 1324459"/>
                                          <a:gd name="connsiteY8" fmla="*/ 659593 h 1215676"/>
                                          <a:gd name="connsiteX9" fmla="*/ 197491 w 1324459"/>
                                          <a:gd name="connsiteY9" fmla="*/ 188473 h 1215676"/>
                                          <a:gd name="connsiteX10" fmla="*/ 467054 w 1324459"/>
                                          <a:gd name="connsiteY10" fmla="*/ 0 h 1215676"/>
                                          <a:gd name="connsiteX0" fmla="*/ 467054 w 1324459"/>
                                          <a:gd name="connsiteY0" fmla="*/ 0 h 1215676"/>
                                          <a:gd name="connsiteX1" fmla="*/ 1324459 w 1324459"/>
                                          <a:gd name="connsiteY1" fmla="*/ 594624 h 1215676"/>
                                          <a:gd name="connsiteX2" fmla="*/ 1264956 w 1324459"/>
                                          <a:gd name="connsiteY2" fmla="*/ 733954 h 1215676"/>
                                          <a:gd name="connsiteX3" fmla="*/ 637769 w 1324459"/>
                                          <a:gd name="connsiteY3" fmla="*/ 626294 h 1215676"/>
                                          <a:gd name="connsiteX4" fmla="*/ 642652 w 1324459"/>
                                          <a:gd name="connsiteY4" fmla="*/ 1029588 h 1215676"/>
                                          <a:gd name="connsiteX5" fmla="*/ 576554 w 1324459"/>
                                          <a:gd name="connsiteY5" fmla="*/ 1215676 h 1215676"/>
                                          <a:gd name="connsiteX6" fmla="*/ 130247 w 1324459"/>
                                          <a:gd name="connsiteY6" fmla="*/ 1059346 h 1215676"/>
                                          <a:gd name="connsiteX7" fmla="*/ 0 w 1324459"/>
                                          <a:gd name="connsiteY7" fmla="*/ 659593 h 1215676"/>
                                          <a:gd name="connsiteX8" fmla="*/ 197491 w 1324459"/>
                                          <a:gd name="connsiteY8" fmla="*/ 188473 h 1215676"/>
                                          <a:gd name="connsiteX9" fmla="*/ 467054 w 1324459"/>
                                          <a:gd name="connsiteY9" fmla="*/ 0 h 1215676"/>
                                          <a:gd name="connsiteX0" fmla="*/ 467054 w 1324459"/>
                                          <a:gd name="connsiteY0" fmla="*/ 0 h 1131156"/>
                                          <a:gd name="connsiteX1" fmla="*/ 1324459 w 1324459"/>
                                          <a:gd name="connsiteY1" fmla="*/ 594624 h 1131156"/>
                                          <a:gd name="connsiteX2" fmla="*/ 1264956 w 1324459"/>
                                          <a:gd name="connsiteY2" fmla="*/ 733954 h 1131156"/>
                                          <a:gd name="connsiteX3" fmla="*/ 637769 w 1324459"/>
                                          <a:gd name="connsiteY3" fmla="*/ 626294 h 1131156"/>
                                          <a:gd name="connsiteX4" fmla="*/ 642652 w 1324459"/>
                                          <a:gd name="connsiteY4" fmla="*/ 1029588 h 1131156"/>
                                          <a:gd name="connsiteX5" fmla="*/ 356599 w 1324459"/>
                                          <a:gd name="connsiteY5" fmla="*/ 1131156 h 1131156"/>
                                          <a:gd name="connsiteX6" fmla="*/ 130247 w 1324459"/>
                                          <a:gd name="connsiteY6" fmla="*/ 1059346 h 1131156"/>
                                          <a:gd name="connsiteX7" fmla="*/ 0 w 1324459"/>
                                          <a:gd name="connsiteY7" fmla="*/ 659593 h 1131156"/>
                                          <a:gd name="connsiteX8" fmla="*/ 197491 w 1324459"/>
                                          <a:gd name="connsiteY8" fmla="*/ 188473 h 1131156"/>
                                          <a:gd name="connsiteX9" fmla="*/ 467054 w 1324459"/>
                                          <a:gd name="connsiteY9" fmla="*/ 0 h 1131156"/>
                                          <a:gd name="connsiteX0" fmla="*/ 467054 w 1264956"/>
                                          <a:gd name="connsiteY0" fmla="*/ 0 h 1131156"/>
                                          <a:gd name="connsiteX1" fmla="*/ 986882 w 1264956"/>
                                          <a:gd name="connsiteY1" fmla="*/ 357214 h 1131156"/>
                                          <a:gd name="connsiteX2" fmla="*/ 1264956 w 1264956"/>
                                          <a:gd name="connsiteY2" fmla="*/ 733954 h 1131156"/>
                                          <a:gd name="connsiteX3" fmla="*/ 637769 w 1264956"/>
                                          <a:gd name="connsiteY3" fmla="*/ 626294 h 1131156"/>
                                          <a:gd name="connsiteX4" fmla="*/ 642652 w 1264956"/>
                                          <a:gd name="connsiteY4" fmla="*/ 1029588 h 1131156"/>
                                          <a:gd name="connsiteX5" fmla="*/ 356599 w 1264956"/>
                                          <a:gd name="connsiteY5" fmla="*/ 1131156 h 1131156"/>
                                          <a:gd name="connsiteX6" fmla="*/ 130247 w 1264956"/>
                                          <a:gd name="connsiteY6" fmla="*/ 1059346 h 1131156"/>
                                          <a:gd name="connsiteX7" fmla="*/ 0 w 1264956"/>
                                          <a:gd name="connsiteY7" fmla="*/ 659593 h 1131156"/>
                                          <a:gd name="connsiteX8" fmla="*/ 197491 w 1264956"/>
                                          <a:gd name="connsiteY8" fmla="*/ 188473 h 1131156"/>
                                          <a:gd name="connsiteX9" fmla="*/ 467054 w 1264956"/>
                                          <a:gd name="connsiteY9" fmla="*/ 0 h 1131156"/>
                                          <a:gd name="connsiteX0" fmla="*/ 467054 w 986883"/>
                                          <a:gd name="connsiteY0" fmla="*/ 0 h 1131156"/>
                                          <a:gd name="connsiteX1" fmla="*/ 986882 w 986883"/>
                                          <a:gd name="connsiteY1" fmla="*/ 357214 h 1131156"/>
                                          <a:gd name="connsiteX2" fmla="*/ 927379 w 986883"/>
                                          <a:gd name="connsiteY2" fmla="*/ 542495 h 1131156"/>
                                          <a:gd name="connsiteX3" fmla="*/ 637769 w 986883"/>
                                          <a:gd name="connsiteY3" fmla="*/ 626294 h 1131156"/>
                                          <a:gd name="connsiteX4" fmla="*/ 642652 w 986883"/>
                                          <a:gd name="connsiteY4" fmla="*/ 1029588 h 1131156"/>
                                          <a:gd name="connsiteX5" fmla="*/ 356599 w 986883"/>
                                          <a:gd name="connsiteY5" fmla="*/ 1131156 h 1131156"/>
                                          <a:gd name="connsiteX6" fmla="*/ 130247 w 986883"/>
                                          <a:gd name="connsiteY6" fmla="*/ 1059346 h 1131156"/>
                                          <a:gd name="connsiteX7" fmla="*/ 0 w 986883"/>
                                          <a:gd name="connsiteY7" fmla="*/ 659593 h 1131156"/>
                                          <a:gd name="connsiteX8" fmla="*/ 197491 w 986883"/>
                                          <a:gd name="connsiteY8" fmla="*/ 188473 h 1131156"/>
                                          <a:gd name="connsiteX9" fmla="*/ 467054 w 986883"/>
                                          <a:gd name="connsiteY9" fmla="*/ 0 h 1131156"/>
                                          <a:gd name="connsiteX0" fmla="*/ 467054 w 986882"/>
                                          <a:gd name="connsiteY0" fmla="*/ 0 h 1131156"/>
                                          <a:gd name="connsiteX1" fmla="*/ 986882 w 986882"/>
                                          <a:gd name="connsiteY1" fmla="*/ 357214 h 1131156"/>
                                          <a:gd name="connsiteX2" fmla="*/ 927379 w 986882"/>
                                          <a:gd name="connsiteY2" fmla="*/ 542495 h 1131156"/>
                                          <a:gd name="connsiteX3" fmla="*/ 637769 w 986882"/>
                                          <a:gd name="connsiteY3" fmla="*/ 626294 h 1131156"/>
                                          <a:gd name="connsiteX4" fmla="*/ 356599 w 986882"/>
                                          <a:gd name="connsiteY4" fmla="*/ 1131156 h 1131156"/>
                                          <a:gd name="connsiteX5" fmla="*/ 130247 w 986882"/>
                                          <a:gd name="connsiteY5" fmla="*/ 1059346 h 1131156"/>
                                          <a:gd name="connsiteX6" fmla="*/ 0 w 986882"/>
                                          <a:gd name="connsiteY6" fmla="*/ 659593 h 1131156"/>
                                          <a:gd name="connsiteX7" fmla="*/ 197491 w 986882"/>
                                          <a:gd name="connsiteY7" fmla="*/ 188473 h 1131156"/>
                                          <a:gd name="connsiteX8" fmla="*/ 467054 w 986882"/>
                                          <a:gd name="connsiteY8" fmla="*/ 0 h 1131156"/>
                                          <a:gd name="connsiteX0" fmla="*/ 467054 w 986882"/>
                                          <a:gd name="connsiteY0" fmla="*/ 0 h 1131156"/>
                                          <a:gd name="connsiteX1" fmla="*/ 986882 w 986882"/>
                                          <a:gd name="connsiteY1" fmla="*/ 357214 h 1131156"/>
                                          <a:gd name="connsiteX2" fmla="*/ 927379 w 986882"/>
                                          <a:gd name="connsiteY2" fmla="*/ 542495 h 1131156"/>
                                          <a:gd name="connsiteX3" fmla="*/ 637769 w 986882"/>
                                          <a:gd name="connsiteY3" fmla="*/ 626294 h 1131156"/>
                                          <a:gd name="connsiteX4" fmla="*/ 356601 w 986882"/>
                                          <a:gd name="connsiteY4" fmla="*/ 1131156 h 1131156"/>
                                          <a:gd name="connsiteX5" fmla="*/ 130247 w 986882"/>
                                          <a:gd name="connsiteY5" fmla="*/ 1059346 h 1131156"/>
                                          <a:gd name="connsiteX6" fmla="*/ 0 w 986882"/>
                                          <a:gd name="connsiteY6" fmla="*/ 659593 h 1131156"/>
                                          <a:gd name="connsiteX7" fmla="*/ 197491 w 986882"/>
                                          <a:gd name="connsiteY7" fmla="*/ 188473 h 1131156"/>
                                          <a:gd name="connsiteX8" fmla="*/ 467054 w 986882"/>
                                          <a:gd name="connsiteY8" fmla="*/ 0 h 1131156"/>
                                          <a:gd name="connsiteX0" fmla="*/ 467054 w 986882"/>
                                          <a:gd name="connsiteY0" fmla="*/ 0 h 1059346"/>
                                          <a:gd name="connsiteX1" fmla="*/ 986882 w 986882"/>
                                          <a:gd name="connsiteY1" fmla="*/ 357214 h 1059346"/>
                                          <a:gd name="connsiteX2" fmla="*/ 927379 w 986882"/>
                                          <a:gd name="connsiteY2" fmla="*/ 542495 h 1059346"/>
                                          <a:gd name="connsiteX3" fmla="*/ 637769 w 986882"/>
                                          <a:gd name="connsiteY3" fmla="*/ 626294 h 1059346"/>
                                          <a:gd name="connsiteX4" fmla="*/ 130247 w 986882"/>
                                          <a:gd name="connsiteY4" fmla="*/ 1059346 h 1059346"/>
                                          <a:gd name="connsiteX5" fmla="*/ 0 w 986882"/>
                                          <a:gd name="connsiteY5" fmla="*/ 659593 h 1059346"/>
                                          <a:gd name="connsiteX6" fmla="*/ 197491 w 986882"/>
                                          <a:gd name="connsiteY6" fmla="*/ 188473 h 1059346"/>
                                          <a:gd name="connsiteX7" fmla="*/ 467054 w 986882"/>
                                          <a:gd name="connsiteY7" fmla="*/ 0 h 105934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986882" h="1059346">
                                            <a:moveTo>
                                              <a:pt x="467054" y="0"/>
                                            </a:moveTo>
                                            <a:lnTo>
                                              <a:pt x="986882" y="357214"/>
                                            </a:lnTo>
                                            <a:lnTo>
                                              <a:pt x="927379" y="542495"/>
                                            </a:lnTo>
                                            <a:lnTo>
                                              <a:pt x="637769" y="626294"/>
                                            </a:lnTo>
                                            <a:cubicBezTo>
                                              <a:pt x="504914" y="712436"/>
                                              <a:pt x="236542" y="1053796"/>
                                              <a:pt x="130247" y="1059346"/>
                                            </a:cubicBezTo>
                                            <a:lnTo>
                                              <a:pt x="0" y="659593"/>
                                            </a:lnTo>
                                            <a:lnTo>
                                              <a:pt x="197491" y="188473"/>
                                            </a:lnTo>
                                            <a:lnTo>
                                              <a:pt x="467054" y="0"/>
                                            </a:lnTo>
                                            <a:close/>
                                          </a:path>
                                        </a:pathLst>
                                      </a:custGeom>
                                      <a:noFill/>
                                      <a:ln w="19050">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85BDA0C" w14:textId="77777777" w:rsidR="00D55F13" w:rsidRPr="00394D50" w:rsidRDefault="00D55F13" w:rsidP="00077E48">
                                          <w:pPr>
                                            <w:rPr>
                                              <w:color w:val="0D0D0D" w:themeColor="text1" w:themeTint="F2"/>
                                              <w:sz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34" name="2604 Cuadro de texto"/>
                                    <wps:cNvSpPr txBox="1"/>
                                    <wps:spPr>
                                      <a:xfrm>
                                        <a:off x="664107" y="694854"/>
                                        <a:ext cx="70267" cy="190466"/>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72E33BF" w14:textId="77777777" w:rsidR="00D55F13" w:rsidRPr="00394D50" w:rsidRDefault="00D55F13" w:rsidP="00077E48">
                                          <w:pPr>
                                            <w:rPr>
                                              <w:i/>
                                            </w:rPr>
                                          </w:pPr>
                                          <w:r w:rsidRPr="00394D50">
                                            <w:rPr>
                                              <w:i/>
                                            </w:rPr>
                                            <w:t>i</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g:grpSp>
                                <wps:wsp>
                                  <wps:cNvPr id="2835" name="2605 Conector"/>
                                  <wps:cNvSpPr/>
                                  <wps:spPr>
                                    <a:xfrm>
                                      <a:off x="762000" y="685800"/>
                                      <a:ext cx="50382" cy="50372"/>
                                    </a:xfrm>
                                    <a:prstGeom prst="flowChartConnector">
                                      <a:avLst/>
                                    </a:prstGeom>
                                    <a:solidFill>
                                      <a:schemeClr val="tx1">
                                        <a:lumMod val="95000"/>
                                        <a:lumOff val="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2836" name="2611 Grupo"/>
                                <wpg:cNvGrpSpPr/>
                                <wpg:grpSpPr>
                                  <a:xfrm>
                                    <a:off x="3517900" y="0"/>
                                    <a:ext cx="845013" cy="966272"/>
                                    <a:chOff x="-102453" y="0"/>
                                    <a:chExt cx="941070" cy="1073785"/>
                                  </a:xfrm>
                                </wpg:grpSpPr>
                                <wpg:grpSp>
                                  <wpg:cNvPr id="2837" name="2612 Grupo"/>
                                  <wpg:cNvGrpSpPr/>
                                  <wpg:grpSpPr>
                                    <a:xfrm>
                                      <a:off x="-102453" y="0"/>
                                      <a:ext cx="941070" cy="1073785"/>
                                      <a:chOff x="-146464" y="0"/>
                                      <a:chExt cx="1345325" cy="1536065"/>
                                    </a:xfrm>
                                  </wpg:grpSpPr>
                                  <wps:wsp>
                                    <wps:cNvPr id="2838" name="2613 Forma libre"/>
                                    <wps:cNvSpPr/>
                                    <wps:spPr>
                                      <a:xfrm>
                                        <a:off x="-146464" y="0"/>
                                        <a:ext cx="1345325" cy="1536065"/>
                                      </a:xfrm>
                                      <a:custGeom>
                                        <a:avLst/>
                                        <a:gdLst>
                                          <a:gd name="connsiteX0" fmla="*/ 0 w 1345997"/>
                                          <a:gd name="connsiteY0" fmla="*/ 885139 h 1587398"/>
                                          <a:gd name="connsiteX1" fmla="*/ 0 w 1345997"/>
                                          <a:gd name="connsiteY1" fmla="*/ 1221638 h 1587398"/>
                                          <a:gd name="connsiteX2" fmla="*/ 182880 w 1345997"/>
                                          <a:gd name="connsiteY2" fmla="*/ 1338682 h 1587398"/>
                                          <a:gd name="connsiteX3" fmla="*/ 299924 w 1345997"/>
                                          <a:gd name="connsiteY3" fmla="*/ 1514246 h 1587398"/>
                                          <a:gd name="connsiteX4" fmla="*/ 570586 w 1345997"/>
                                          <a:gd name="connsiteY4" fmla="*/ 1587398 h 1587398"/>
                                          <a:gd name="connsiteX5" fmla="*/ 1243584 w 1345997"/>
                                          <a:gd name="connsiteY5" fmla="*/ 1353312 h 1587398"/>
                                          <a:gd name="connsiteX6" fmla="*/ 1345997 w 1345997"/>
                                          <a:gd name="connsiteY6" fmla="*/ 1111910 h 1587398"/>
                                          <a:gd name="connsiteX7" fmla="*/ 1243584 w 1345997"/>
                                          <a:gd name="connsiteY7" fmla="*/ 768096 h 1587398"/>
                                          <a:gd name="connsiteX8" fmla="*/ 1089965 w 1345997"/>
                                          <a:gd name="connsiteY8" fmla="*/ 526694 h 1587398"/>
                                          <a:gd name="connsiteX9" fmla="*/ 1038759 w 1345997"/>
                                          <a:gd name="connsiteY9" fmla="*/ 51206 h 1587398"/>
                                          <a:gd name="connsiteX10" fmla="*/ 519380 w 1345997"/>
                                          <a:gd name="connsiteY10" fmla="*/ 0 h 1587398"/>
                                          <a:gd name="connsiteX11" fmla="*/ 490119 w 1345997"/>
                                          <a:gd name="connsiteY11" fmla="*/ 526694 h 1587398"/>
                                          <a:gd name="connsiteX12" fmla="*/ 482804 w 1345997"/>
                                          <a:gd name="connsiteY12" fmla="*/ 819302 h 1587398"/>
                                          <a:gd name="connsiteX13" fmla="*/ 219456 w 1345997"/>
                                          <a:gd name="connsiteY13" fmla="*/ 768096 h 1587398"/>
                                          <a:gd name="connsiteX14" fmla="*/ 0 w 1345997"/>
                                          <a:gd name="connsiteY14" fmla="*/ 885139 h 1587398"/>
                                          <a:gd name="connsiteX0" fmla="*/ 0 w 1345997"/>
                                          <a:gd name="connsiteY0" fmla="*/ 885139 h 1587398"/>
                                          <a:gd name="connsiteX1" fmla="*/ 0 w 1345997"/>
                                          <a:gd name="connsiteY1" fmla="*/ 1221638 h 1587398"/>
                                          <a:gd name="connsiteX2" fmla="*/ 182880 w 1345997"/>
                                          <a:gd name="connsiteY2" fmla="*/ 1338682 h 1587398"/>
                                          <a:gd name="connsiteX3" fmla="*/ 299924 w 1345997"/>
                                          <a:gd name="connsiteY3" fmla="*/ 1514246 h 1587398"/>
                                          <a:gd name="connsiteX4" fmla="*/ 570586 w 1345997"/>
                                          <a:gd name="connsiteY4" fmla="*/ 1587398 h 1587398"/>
                                          <a:gd name="connsiteX5" fmla="*/ 1243584 w 1345997"/>
                                          <a:gd name="connsiteY5" fmla="*/ 1353312 h 1587398"/>
                                          <a:gd name="connsiteX6" fmla="*/ 1345997 w 1345997"/>
                                          <a:gd name="connsiteY6" fmla="*/ 1111910 h 1587398"/>
                                          <a:gd name="connsiteX7" fmla="*/ 1243584 w 1345997"/>
                                          <a:gd name="connsiteY7" fmla="*/ 768096 h 1587398"/>
                                          <a:gd name="connsiteX8" fmla="*/ 1089965 w 1345997"/>
                                          <a:gd name="connsiteY8" fmla="*/ 526694 h 1587398"/>
                                          <a:gd name="connsiteX9" fmla="*/ 1038759 w 1345997"/>
                                          <a:gd name="connsiteY9" fmla="*/ 51206 h 1587398"/>
                                          <a:gd name="connsiteX10" fmla="*/ 519380 w 1345997"/>
                                          <a:gd name="connsiteY10" fmla="*/ 0 h 1587398"/>
                                          <a:gd name="connsiteX11" fmla="*/ 380513 w 1345997"/>
                                          <a:gd name="connsiteY11" fmla="*/ 380518 h 1587398"/>
                                          <a:gd name="connsiteX12" fmla="*/ 482804 w 1345997"/>
                                          <a:gd name="connsiteY12" fmla="*/ 819302 h 1587398"/>
                                          <a:gd name="connsiteX13" fmla="*/ 219456 w 1345997"/>
                                          <a:gd name="connsiteY13" fmla="*/ 768096 h 1587398"/>
                                          <a:gd name="connsiteX14" fmla="*/ 0 w 1345997"/>
                                          <a:gd name="connsiteY14" fmla="*/ 885139 h 1587398"/>
                                          <a:gd name="connsiteX0" fmla="*/ 0 w 1345997"/>
                                          <a:gd name="connsiteY0" fmla="*/ 833933 h 1536192"/>
                                          <a:gd name="connsiteX1" fmla="*/ 0 w 1345997"/>
                                          <a:gd name="connsiteY1" fmla="*/ 1170432 h 1536192"/>
                                          <a:gd name="connsiteX2" fmla="*/ 182880 w 1345997"/>
                                          <a:gd name="connsiteY2" fmla="*/ 1287476 h 1536192"/>
                                          <a:gd name="connsiteX3" fmla="*/ 299924 w 1345997"/>
                                          <a:gd name="connsiteY3" fmla="*/ 1463040 h 1536192"/>
                                          <a:gd name="connsiteX4" fmla="*/ 570586 w 1345997"/>
                                          <a:gd name="connsiteY4" fmla="*/ 1536192 h 1536192"/>
                                          <a:gd name="connsiteX5" fmla="*/ 1243584 w 1345997"/>
                                          <a:gd name="connsiteY5" fmla="*/ 1302106 h 1536192"/>
                                          <a:gd name="connsiteX6" fmla="*/ 1345997 w 1345997"/>
                                          <a:gd name="connsiteY6" fmla="*/ 1060704 h 1536192"/>
                                          <a:gd name="connsiteX7" fmla="*/ 1243584 w 1345997"/>
                                          <a:gd name="connsiteY7" fmla="*/ 716890 h 1536192"/>
                                          <a:gd name="connsiteX8" fmla="*/ 1089965 w 1345997"/>
                                          <a:gd name="connsiteY8" fmla="*/ 475488 h 1536192"/>
                                          <a:gd name="connsiteX9" fmla="*/ 1038759 w 1345997"/>
                                          <a:gd name="connsiteY9" fmla="*/ 0 h 1536192"/>
                                          <a:gd name="connsiteX10" fmla="*/ 680532 w 1345997"/>
                                          <a:gd name="connsiteY10" fmla="*/ 29288 h 1536192"/>
                                          <a:gd name="connsiteX11" fmla="*/ 380513 w 1345997"/>
                                          <a:gd name="connsiteY11" fmla="*/ 329312 h 1536192"/>
                                          <a:gd name="connsiteX12" fmla="*/ 482804 w 1345997"/>
                                          <a:gd name="connsiteY12" fmla="*/ 768096 h 1536192"/>
                                          <a:gd name="connsiteX13" fmla="*/ 219456 w 1345997"/>
                                          <a:gd name="connsiteY13" fmla="*/ 716890 h 1536192"/>
                                          <a:gd name="connsiteX14" fmla="*/ 0 w 1345997"/>
                                          <a:gd name="connsiteY14" fmla="*/ 833933 h 1536192"/>
                                          <a:gd name="connsiteX0" fmla="*/ 0 w 1345997"/>
                                          <a:gd name="connsiteY0" fmla="*/ 833933 h 1536192"/>
                                          <a:gd name="connsiteX1" fmla="*/ 0 w 1345997"/>
                                          <a:gd name="connsiteY1" fmla="*/ 1170432 h 1536192"/>
                                          <a:gd name="connsiteX2" fmla="*/ 182880 w 1345997"/>
                                          <a:gd name="connsiteY2" fmla="*/ 1287476 h 1536192"/>
                                          <a:gd name="connsiteX3" fmla="*/ 299924 w 1345997"/>
                                          <a:gd name="connsiteY3" fmla="*/ 1463040 h 1536192"/>
                                          <a:gd name="connsiteX4" fmla="*/ 570586 w 1345997"/>
                                          <a:gd name="connsiteY4" fmla="*/ 1536192 h 1536192"/>
                                          <a:gd name="connsiteX5" fmla="*/ 1243584 w 1345997"/>
                                          <a:gd name="connsiteY5" fmla="*/ 1302106 h 1536192"/>
                                          <a:gd name="connsiteX6" fmla="*/ 1345997 w 1345997"/>
                                          <a:gd name="connsiteY6" fmla="*/ 1060704 h 1536192"/>
                                          <a:gd name="connsiteX7" fmla="*/ 1243584 w 1345997"/>
                                          <a:gd name="connsiteY7" fmla="*/ 716890 h 1536192"/>
                                          <a:gd name="connsiteX8" fmla="*/ 1089965 w 1345997"/>
                                          <a:gd name="connsiteY8" fmla="*/ 475488 h 1536192"/>
                                          <a:gd name="connsiteX9" fmla="*/ 1038759 w 1345997"/>
                                          <a:gd name="connsiteY9" fmla="*/ 0 h 1536192"/>
                                          <a:gd name="connsiteX10" fmla="*/ 680532 w 1345997"/>
                                          <a:gd name="connsiteY10" fmla="*/ 29288 h 1536192"/>
                                          <a:gd name="connsiteX11" fmla="*/ 380513 w 1345997"/>
                                          <a:gd name="connsiteY11" fmla="*/ 329312 h 1536192"/>
                                          <a:gd name="connsiteX12" fmla="*/ 446371 w 1345997"/>
                                          <a:gd name="connsiteY12" fmla="*/ 563317 h 1536192"/>
                                          <a:gd name="connsiteX13" fmla="*/ 219456 w 1345997"/>
                                          <a:gd name="connsiteY13" fmla="*/ 716890 h 1536192"/>
                                          <a:gd name="connsiteX14" fmla="*/ 0 w 1345997"/>
                                          <a:gd name="connsiteY14" fmla="*/ 833933 h 153619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Lst>
                                        <a:rect l="l" t="t" r="r" b="b"/>
                                        <a:pathLst>
                                          <a:path w="1345997" h="1536192">
                                            <a:moveTo>
                                              <a:pt x="0" y="833933"/>
                                            </a:moveTo>
                                            <a:lnTo>
                                              <a:pt x="0" y="1170432"/>
                                            </a:lnTo>
                                            <a:lnTo>
                                              <a:pt x="182880" y="1287476"/>
                                            </a:lnTo>
                                            <a:lnTo>
                                              <a:pt x="299924" y="1463040"/>
                                            </a:lnTo>
                                            <a:lnTo>
                                              <a:pt x="570586" y="1536192"/>
                                            </a:lnTo>
                                            <a:lnTo>
                                              <a:pt x="1243584" y="1302106"/>
                                            </a:lnTo>
                                            <a:lnTo>
                                              <a:pt x="1345997" y="1060704"/>
                                            </a:lnTo>
                                            <a:lnTo>
                                              <a:pt x="1243584" y="716890"/>
                                            </a:lnTo>
                                            <a:lnTo>
                                              <a:pt x="1089965" y="475488"/>
                                            </a:lnTo>
                                            <a:lnTo>
                                              <a:pt x="1038759" y="0"/>
                                            </a:lnTo>
                                            <a:lnTo>
                                              <a:pt x="680532" y="29288"/>
                                            </a:lnTo>
                                            <a:lnTo>
                                              <a:pt x="380513" y="329312"/>
                                            </a:lnTo>
                                            <a:lnTo>
                                              <a:pt x="446371" y="563317"/>
                                            </a:lnTo>
                                            <a:lnTo>
                                              <a:pt x="219456" y="716890"/>
                                            </a:lnTo>
                                            <a:lnTo>
                                              <a:pt x="0" y="833933"/>
                                            </a:lnTo>
                                            <a:close/>
                                          </a:path>
                                        </a:pathLst>
                                      </a:custGeom>
                                      <a:noFill/>
                                      <a:ln w="19050">
                                        <a:solidFill>
                                          <a:srgbClr val="FF33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9C7E83F" w14:textId="77777777" w:rsidR="00D55F13" w:rsidRPr="00394D50" w:rsidRDefault="00D55F13" w:rsidP="00077E48">
                                          <w:pPr>
                                            <w:jc w:val="center"/>
                                            <w:rPr>
                                              <w:color w:val="0D0D0D" w:themeColor="text1" w:themeTint="F2"/>
                                              <w:sz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39" name="2614 Cuadro de texto"/>
                                    <wps:cNvSpPr txBox="1"/>
                                    <wps:spPr>
                                      <a:xfrm>
                                        <a:off x="582964" y="998825"/>
                                        <a:ext cx="94783" cy="33786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E49B1ED" w14:textId="77777777" w:rsidR="00D55F13" w:rsidRPr="00394D50" w:rsidRDefault="00D55F13" w:rsidP="00077E48">
                                          <w:pPr>
                                            <w:rPr>
                                              <w:i/>
                                            </w:rPr>
                                          </w:pPr>
                                          <w:r w:rsidRPr="00394D50">
                                            <w:rPr>
                                              <w:i/>
                                            </w:rPr>
                                            <w:t>i</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g:grpSp>
                                <wps:wsp>
                                  <wps:cNvPr id="2840" name="2615 Conector"/>
                                  <wps:cNvSpPr/>
                                  <wps:spPr>
                                    <a:xfrm>
                                      <a:off x="495300" y="676275"/>
                                      <a:ext cx="50165" cy="50165"/>
                                    </a:xfrm>
                                    <a:prstGeom prst="flowChartConnector">
                                      <a:avLst/>
                                    </a:prstGeom>
                                    <a:solidFill>
                                      <a:schemeClr val="tx1">
                                        <a:lumMod val="95000"/>
                                        <a:lumOff val="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2841" name="2841 Grupo"/>
                                <wpg:cNvGrpSpPr/>
                                <wpg:grpSpPr>
                                  <a:xfrm>
                                    <a:off x="1993900" y="209550"/>
                                    <a:ext cx="1216660" cy="607060"/>
                                    <a:chOff x="0" y="0"/>
                                    <a:chExt cx="1217141" cy="607444"/>
                                  </a:xfrm>
                                </wpg:grpSpPr>
                                <wpg:grpSp>
                                  <wpg:cNvPr id="2842" name="2606 Grupo"/>
                                  <wpg:cNvGrpSpPr/>
                                  <wpg:grpSpPr>
                                    <a:xfrm>
                                      <a:off x="0" y="82550"/>
                                      <a:ext cx="742239" cy="524894"/>
                                      <a:chOff x="87863" y="214901"/>
                                      <a:chExt cx="826707" cy="583302"/>
                                    </a:xfrm>
                                  </wpg:grpSpPr>
                                  <wpg:grpSp>
                                    <wpg:cNvPr id="2843" name="2607 Grupo"/>
                                    <wpg:cNvGrpSpPr/>
                                    <wpg:grpSpPr>
                                      <a:xfrm>
                                        <a:off x="87863" y="214901"/>
                                        <a:ext cx="826707" cy="583302"/>
                                        <a:chOff x="87863" y="214901"/>
                                        <a:chExt cx="826707" cy="583302"/>
                                      </a:xfrm>
                                    </wpg:grpSpPr>
                                    <wps:wsp>
                                      <wps:cNvPr id="2844" name="2608 Forma libre"/>
                                      <wps:cNvSpPr/>
                                      <wps:spPr>
                                        <a:xfrm>
                                          <a:off x="87863" y="214901"/>
                                          <a:ext cx="826707" cy="583302"/>
                                        </a:xfrm>
                                        <a:custGeom>
                                          <a:avLst/>
                                          <a:gdLst>
                                            <a:gd name="connsiteX0" fmla="*/ 153620 w 1675181"/>
                                            <a:gd name="connsiteY0" fmla="*/ 526694 h 1141171"/>
                                            <a:gd name="connsiteX1" fmla="*/ 292608 w 1675181"/>
                                            <a:gd name="connsiteY1" fmla="*/ 307238 h 1141171"/>
                                            <a:gd name="connsiteX2" fmla="*/ 446228 w 1675181"/>
                                            <a:gd name="connsiteY2" fmla="*/ 424282 h 1141171"/>
                                            <a:gd name="connsiteX3" fmla="*/ 651053 w 1675181"/>
                                            <a:gd name="connsiteY3" fmla="*/ 285293 h 1141171"/>
                                            <a:gd name="connsiteX4" fmla="*/ 811988 w 1675181"/>
                                            <a:gd name="connsiteY4" fmla="*/ 80467 h 1141171"/>
                                            <a:gd name="connsiteX5" fmla="*/ 1272845 w 1675181"/>
                                            <a:gd name="connsiteY5" fmla="*/ 0 h 1141171"/>
                                            <a:gd name="connsiteX6" fmla="*/ 1558138 w 1675181"/>
                                            <a:gd name="connsiteY6" fmla="*/ 29261 h 1141171"/>
                                            <a:gd name="connsiteX7" fmla="*/ 1675181 w 1675181"/>
                                            <a:gd name="connsiteY7" fmla="*/ 248717 h 1141171"/>
                                            <a:gd name="connsiteX8" fmla="*/ 1492301 w 1675181"/>
                                            <a:gd name="connsiteY8" fmla="*/ 321869 h 1141171"/>
                                            <a:gd name="connsiteX9" fmla="*/ 1463040 w 1675181"/>
                                            <a:gd name="connsiteY9" fmla="*/ 504749 h 1141171"/>
                                            <a:gd name="connsiteX10" fmla="*/ 1558138 w 1675181"/>
                                            <a:gd name="connsiteY10" fmla="*/ 746150 h 1141171"/>
                                            <a:gd name="connsiteX11" fmla="*/ 1331367 w 1675181"/>
                                            <a:gd name="connsiteY11" fmla="*/ 892454 h 1141171"/>
                                            <a:gd name="connsiteX12" fmla="*/ 848564 w 1675181"/>
                                            <a:gd name="connsiteY12" fmla="*/ 987552 h 1141171"/>
                                            <a:gd name="connsiteX13" fmla="*/ 548640 w 1675181"/>
                                            <a:gd name="connsiteY13" fmla="*/ 1133856 h 1141171"/>
                                            <a:gd name="connsiteX14" fmla="*/ 58522 w 1675181"/>
                                            <a:gd name="connsiteY14" fmla="*/ 1141171 h 1141171"/>
                                            <a:gd name="connsiteX15" fmla="*/ 0 w 1675181"/>
                                            <a:gd name="connsiteY15" fmla="*/ 716890 h 1141171"/>
                                            <a:gd name="connsiteX16" fmla="*/ 153620 w 1675181"/>
                                            <a:gd name="connsiteY16" fmla="*/ 526694 h 1141171"/>
                                            <a:gd name="connsiteX0" fmla="*/ 153620 w 1675181"/>
                                            <a:gd name="connsiteY0" fmla="*/ 526694 h 1141171"/>
                                            <a:gd name="connsiteX1" fmla="*/ 292608 w 1675181"/>
                                            <a:gd name="connsiteY1" fmla="*/ 307238 h 1141171"/>
                                            <a:gd name="connsiteX2" fmla="*/ 446228 w 1675181"/>
                                            <a:gd name="connsiteY2" fmla="*/ 424282 h 1141171"/>
                                            <a:gd name="connsiteX3" fmla="*/ 651053 w 1675181"/>
                                            <a:gd name="connsiteY3" fmla="*/ 285293 h 1141171"/>
                                            <a:gd name="connsiteX4" fmla="*/ 811988 w 1675181"/>
                                            <a:gd name="connsiteY4" fmla="*/ 80467 h 1141171"/>
                                            <a:gd name="connsiteX5" fmla="*/ 1272845 w 1675181"/>
                                            <a:gd name="connsiteY5" fmla="*/ 0 h 1141171"/>
                                            <a:gd name="connsiteX6" fmla="*/ 1558138 w 1675181"/>
                                            <a:gd name="connsiteY6" fmla="*/ 29261 h 1141171"/>
                                            <a:gd name="connsiteX7" fmla="*/ 1675181 w 1675181"/>
                                            <a:gd name="connsiteY7" fmla="*/ 248717 h 1141171"/>
                                            <a:gd name="connsiteX8" fmla="*/ 1492301 w 1675181"/>
                                            <a:gd name="connsiteY8" fmla="*/ 321869 h 1141171"/>
                                            <a:gd name="connsiteX9" fmla="*/ 1463040 w 1675181"/>
                                            <a:gd name="connsiteY9" fmla="*/ 504749 h 1141171"/>
                                            <a:gd name="connsiteX10" fmla="*/ 1234564 w 1675181"/>
                                            <a:gd name="connsiteY10" fmla="*/ 614998 h 1141171"/>
                                            <a:gd name="connsiteX11" fmla="*/ 1331367 w 1675181"/>
                                            <a:gd name="connsiteY11" fmla="*/ 892454 h 1141171"/>
                                            <a:gd name="connsiteX12" fmla="*/ 848564 w 1675181"/>
                                            <a:gd name="connsiteY12" fmla="*/ 987552 h 1141171"/>
                                            <a:gd name="connsiteX13" fmla="*/ 548640 w 1675181"/>
                                            <a:gd name="connsiteY13" fmla="*/ 1133856 h 1141171"/>
                                            <a:gd name="connsiteX14" fmla="*/ 58522 w 1675181"/>
                                            <a:gd name="connsiteY14" fmla="*/ 1141171 h 1141171"/>
                                            <a:gd name="connsiteX15" fmla="*/ 0 w 1675181"/>
                                            <a:gd name="connsiteY15" fmla="*/ 716890 h 1141171"/>
                                            <a:gd name="connsiteX16" fmla="*/ 153620 w 1675181"/>
                                            <a:gd name="connsiteY16" fmla="*/ 526694 h 1141171"/>
                                            <a:gd name="connsiteX0" fmla="*/ 153620 w 1675181"/>
                                            <a:gd name="connsiteY0" fmla="*/ 526694 h 1141171"/>
                                            <a:gd name="connsiteX1" fmla="*/ 292608 w 1675181"/>
                                            <a:gd name="connsiteY1" fmla="*/ 307238 h 1141171"/>
                                            <a:gd name="connsiteX2" fmla="*/ 446228 w 1675181"/>
                                            <a:gd name="connsiteY2" fmla="*/ 424282 h 1141171"/>
                                            <a:gd name="connsiteX3" fmla="*/ 651053 w 1675181"/>
                                            <a:gd name="connsiteY3" fmla="*/ 285293 h 1141171"/>
                                            <a:gd name="connsiteX4" fmla="*/ 811988 w 1675181"/>
                                            <a:gd name="connsiteY4" fmla="*/ 80467 h 1141171"/>
                                            <a:gd name="connsiteX5" fmla="*/ 1272845 w 1675181"/>
                                            <a:gd name="connsiteY5" fmla="*/ 0 h 1141171"/>
                                            <a:gd name="connsiteX6" fmla="*/ 1558138 w 1675181"/>
                                            <a:gd name="connsiteY6" fmla="*/ 29261 h 1141171"/>
                                            <a:gd name="connsiteX7" fmla="*/ 1675181 w 1675181"/>
                                            <a:gd name="connsiteY7" fmla="*/ 248717 h 1141171"/>
                                            <a:gd name="connsiteX8" fmla="*/ 1492301 w 1675181"/>
                                            <a:gd name="connsiteY8" fmla="*/ 321869 h 1141171"/>
                                            <a:gd name="connsiteX9" fmla="*/ 1119243 w 1675181"/>
                                            <a:gd name="connsiteY9" fmla="*/ 403862 h 1141171"/>
                                            <a:gd name="connsiteX10" fmla="*/ 1234564 w 1675181"/>
                                            <a:gd name="connsiteY10" fmla="*/ 614998 h 1141171"/>
                                            <a:gd name="connsiteX11" fmla="*/ 1331367 w 1675181"/>
                                            <a:gd name="connsiteY11" fmla="*/ 892454 h 1141171"/>
                                            <a:gd name="connsiteX12" fmla="*/ 848564 w 1675181"/>
                                            <a:gd name="connsiteY12" fmla="*/ 987552 h 1141171"/>
                                            <a:gd name="connsiteX13" fmla="*/ 548640 w 1675181"/>
                                            <a:gd name="connsiteY13" fmla="*/ 1133856 h 1141171"/>
                                            <a:gd name="connsiteX14" fmla="*/ 58522 w 1675181"/>
                                            <a:gd name="connsiteY14" fmla="*/ 1141171 h 1141171"/>
                                            <a:gd name="connsiteX15" fmla="*/ 0 w 1675181"/>
                                            <a:gd name="connsiteY15" fmla="*/ 716890 h 1141171"/>
                                            <a:gd name="connsiteX16" fmla="*/ 153620 w 1675181"/>
                                            <a:gd name="connsiteY16" fmla="*/ 526694 h 1141171"/>
                                            <a:gd name="connsiteX0" fmla="*/ 153620 w 1558138"/>
                                            <a:gd name="connsiteY0" fmla="*/ 526694 h 1141171"/>
                                            <a:gd name="connsiteX1" fmla="*/ 292608 w 1558138"/>
                                            <a:gd name="connsiteY1" fmla="*/ 307238 h 1141171"/>
                                            <a:gd name="connsiteX2" fmla="*/ 446228 w 1558138"/>
                                            <a:gd name="connsiteY2" fmla="*/ 424282 h 1141171"/>
                                            <a:gd name="connsiteX3" fmla="*/ 651053 w 1558138"/>
                                            <a:gd name="connsiteY3" fmla="*/ 285293 h 1141171"/>
                                            <a:gd name="connsiteX4" fmla="*/ 811988 w 1558138"/>
                                            <a:gd name="connsiteY4" fmla="*/ 80467 h 1141171"/>
                                            <a:gd name="connsiteX5" fmla="*/ 1272845 w 1558138"/>
                                            <a:gd name="connsiteY5" fmla="*/ 0 h 1141171"/>
                                            <a:gd name="connsiteX6" fmla="*/ 1558138 w 1558138"/>
                                            <a:gd name="connsiteY6" fmla="*/ 29261 h 1141171"/>
                                            <a:gd name="connsiteX7" fmla="*/ 1492301 w 1558138"/>
                                            <a:gd name="connsiteY7" fmla="*/ 321869 h 1141171"/>
                                            <a:gd name="connsiteX8" fmla="*/ 1119243 w 1558138"/>
                                            <a:gd name="connsiteY8" fmla="*/ 403862 h 1141171"/>
                                            <a:gd name="connsiteX9" fmla="*/ 1234564 w 1558138"/>
                                            <a:gd name="connsiteY9" fmla="*/ 614998 h 1141171"/>
                                            <a:gd name="connsiteX10" fmla="*/ 1331367 w 1558138"/>
                                            <a:gd name="connsiteY10" fmla="*/ 892454 h 1141171"/>
                                            <a:gd name="connsiteX11" fmla="*/ 848564 w 1558138"/>
                                            <a:gd name="connsiteY11" fmla="*/ 987552 h 1141171"/>
                                            <a:gd name="connsiteX12" fmla="*/ 548640 w 1558138"/>
                                            <a:gd name="connsiteY12" fmla="*/ 1133856 h 1141171"/>
                                            <a:gd name="connsiteX13" fmla="*/ 58522 w 1558138"/>
                                            <a:gd name="connsiteY13" fmla="*/ 1141171 h 1141171"/>
                                            <a:gd name="connsiteX14" fmla="*/ 0 w 1558138"/>
                                            <a:gd name="connsiteY14" fmla="*/ 716890 h 1141171"/>
                                            <a:gd name="connsiteX15" fmla="*/ 153620 w 1558138"/>
                                            <a:gd name="connsiteY15" fmla="*/ 526694 h 1141171"/>
                                            <a:gd name="connsiteX0" fmla="*/ 153620 w 1492300"/>
                                            <a:gd name="connsiteY0" fmla="*/ 526694 h 1141171"/>
                                            <a:gd name="connsiteX1" fmla="*/ 292608 w 1492300"/>
                                            <a:gd name="connsiteY1" fmla="*/ 307238 h 1141171"/>
                                            <a:gd name="connsiteX2" fmla="*/ 446228 w 1492300"/>
                                            <a:gd name="connsiteY2" fmla="*/ 424282 h 1141171"/>
                                            <a:gd name="connsiteX3" fmla="*/ 651053 w 1492300"/>
                                            <a:gd name="connsiteY3" fmla="*/ 285293 h 1141171"/>
                                            <a:gd name="connsiteX4" fmla="*/ 811988 w 1492300"/>
                                            <a:gd name="connsiteY4" fmla="*/ 80467 h 1141171"/>
                                            <a:gd name="connsiteX5" fmla="*/ 1272845 w 1492300"/>
                                            <a:gd name="connsiteY5" fmla="*/ 0 h 1141171"/>
                                            <a:gd name="connsiteX6" fmla="*/ 1492301 w 1492300"/>
                                            <a:gd name="connsiteY6" fmla="*/ 321869 h 1141171"/>
                                            <a:gd name="connsiteX7" fmla="*/ 1119243 w 1492300"/>
                                            <a:gd name="connsiteY7" fmla="*/ 403862 h 1141171"/>
                                            <a:gd name="connsiteX8" fmla="*/ 1234564 w 1492300"/>
                                            <a:gd name="connsiteY8" fmla="*/ 614998 h 1141171"/>
                                            <a:gd name="connsiteX9" fmla="*/ 1331367 w 1492300"/>
                                            <a:gd name="connsiteY9" fmla="*/ 892454 h 1141171"/>
                                            <a:gd name="connsiteX10" fmla="*/ 848564 w 1492300"/>
                                            <a:gd name="connsiteY10" fmla="*/ 987552 h 1141171"/>
                                            <a:gd name="connsiteX11" fmla="*/ 548640 w 1492300"/>
                                            <a:gd name="connsiteY11" fmla="*/ 1133856 h 1141171"/>
                                            <a:gd name="connsiteX12" fmla="*/ 58522 w 1492300"/>
                                            <a:gd name="connsiteY12" fmla="*/ 1141171 h 1141171"/>
                                            <a:gd name="connsiteX13" fmla="*/ 0 w 1492300"/>
                                            <a:gd name="connsiteY13" fmla="*/ 716890 h 1141171"/>
                                            <a:gd name="connsiteX14" fmla="*/ 153620 w 1492300"/>
                                            <a:gd name="connsiteY14" fmla="*/ 526694 h 1141171"/>
                                            <a:gd name="connsiteX0" fmla="*/ 153620 w 1331366"/>
                                            <a:gd name="connsiteY0" fmla="*/ 526694 h 1141171"/>
                                            <a:gd name="connsiteX1" fmla="*/ 292608 w 1331366"/>
                                            <a:gd name="connsiteY1" fmla="*/ 307238 h 1141171"/>
                                            <a:gd name="connsiteX2" fmla="*/ 446228 w 1331366"/>
                                            <a:gd name="connsiteY2" fmla="*/ 424282 h 1141171"/>
                                            <a:gd name="connsiteX3" fmla="*/ 651053 w 1331366"/>
                                            <a:gd name="connsiteY3" fmla="*/ 285293 h 1141171"/>
                                            <a:gd name="connsiteX4" fmla="*/ 811988 w 1331366"/>
                                            <a:gd name="connsiteY4" fmla="*/ 80467 h 1141171"/>
                                            <a:gd name="connsiteX5" fmla="*/ 1272845 w 1331366"/>
                                            <a:gd name="connsiteY5" fmla="*/ 0 h 1141171"/>
                                            <a:gd name="connsiteX6" fmla="*/ 1119243 w 1331366"/>
                                            <a:gd name="connsiteY6" fmla="*/ 403862 h 1141171"/>
                                            <a:gd name="connsiteX7" fmla="*/ 1234564 w 1331366"/>
                                            <a:gd name="connsiteY7" fmla="*/ 614998 h 1141171"/>
                                            <a:gd name="connsiteX8" fmla="*/ 1331367 w 1331366"/>
                                            <a:gd name="connsiteY8" fmla="*/ 892454 h 1141171"/>
                                            <a:gd name="connsiteX9" fmla="*/ 848564 w 1331366"/>
                                            <a:gd name="connsiteY9" fmla="*/ 987552 h 1141171"/>
                                            <a:gd name="connsiteX10" fmla="*/ 548640 w 1331366"/>
                                            <a:gd name="connsiteY10" fmla="*/ 1133856 h 1141171"/>
                                            <a:gd name="connsiteX11" fmla="*/ 58522 w 1331366"/>
                                            <a:gd name="connsiteY11" fmla="*/ 1141171 h 1141171"/>
                                            <a:gd name="connsiteX12" fmla="*/ 0 w 1331366"/>
                                            <a:gd name="connsiteY12" fmla="*/ 716890 h 1141171"/>
                                            <a:gd name="connsiteX13" fmla="*/ 153620 w 1331366"/>
                                            <a:gd name="connsiteY13" fmla="*/ 526694 h 1141171"/>
                                            <a:gd name="connsiteX0" fmla="*/ 153620 w 1331368"/>
                                            <a:gd name="connsiteY0" fmla="*/ 446226 h 1060703"/>
                                            <a:gd name="connsiteX1" fmla="*/ 292608 w 1331368"/>
                                            <a:gd name="connsiteY1" fmla="*/ 226770 h 1060703"/>
                                            <a:gd name="connsiteX2" fmla="*/ 446228 w 1331368"/>
                                            <a:gd name="connsiteY2" fmla="*/ 343814 h 1060703"/>
                                            <a:gd name="connsiteX3" fmla="*/ 651053 w 1331368"/>
                                            <a:gd name="connsiteY3" fmla="*/ 204825 h 1060703"/>
                                            <a:gd name="connsiteX4" fmla="*/ 811988 w 1331368"/>
                                            <a:gd name="connsiteY4" fmla="*/ -1 h 1060703"/>
                                            <a:gd name="connsiteX5" fmla="*/ 1119243 w 1331368"/>
                                            <a:gd name="connsiteY5" fmla="*/ 323394 h 1060703"/>
                                            <a:gd name="connsiteX6" fmla="*/ 1234564 w 1331368"/>
                                            <a:gd name="connsiteY6" fmla="*/ 534530 h 1060703"/>
                                            <a:gd name="connsiteX7" fmla="*/ 1331367 w 1331368"/>
                                            <a:gd name="connsiteY7" fmla="*/ 811986 h 1060703"/>
                                            <a:gd name="connsiteX8" fmla="*/ 848564 w 1331368"/>
                                            <a:gd name="connsiteY8" fmla="*/ 907084 h 1060703"/>
                                            <a:gd name="connsiteX9" fmla="*/ 548640 w 1331368"/>
                                            <a:gd name="connsiteY9" fmla="*/ 1053388 h 1060703"/>
                                            <a:gd name="connsiteX10" fmla="*/ 58522 w 1331368"/>
                                            <a:gd name="connsiteY10" fmla="*/ 1060703 h 1060703"/>
                                            <a:gd name="connsiteX11" fmla="*/ 0 w 1331368"/>
                                            <a:gd name="connsiteY11" fmla="*/ 636422 h 1060703"/>
                                            <a:gd name="connsiteX12" fmla="*/ 153620 w 1331368"/>
                                            <a:gd name="connsiteY12" fmla="*/ 446226 h 1060703"/>
                                            <a:gd name="connsiteX0" fmla="*/ 153620 w 1331366"/>
                                            <a:gd name="connsiteY0" fmla="*/ 446228 h 1060705"/>
                                            <a:gd name="connsiteX1" fmla="*/ 292608 w 1331366"/>
                                            <a:gd name="connsiteY1" fmla="*/ 226772 h 1060705"/>
                                            <a:gd name="connsiteX2" fmla="*/ 446228 w 1331366"/>
                                            <a:gd name="connsiteY2" fmla="*/ 343816 h 1060705"/>
                                            <a:gd name="connsiteX3" fmla="*/ 651053 w 1331366"/>
                                            <a:gd name="connsiteY3" fmla="*/ 204827 h 1060705"/>
                                            <a:gd name="connsiteX4" fmla="*/ 811988 w 1331366"/>
                                            <a:gd name="connsiteY4" fmla="*/ 1 h 1060705"/>
                                            <a:gd name="connsiteX5" fmla="*/ 1181935 w 1331366"/>
                                            <a:gd name="connsiteY5" fmla="*/ 101445 h 1060705"/>
                                            <a:gd name="connsiteX6" fmla="*/ 1234564 w 1331366"/>
                                            <a:gd name="connsiteY6" fmla="*/ 534532 h 1060705"/>
                                            <a:gd name="connsiteX7" fmla="*/ 1331367 w 1331366"/>
                                            <a:gd name="connsiteY7" fmla="*/ 811988 h 1060705"/>
                                            <a:gd name="connsiteX8" fmla="*/ 848564 w 1331366"/>
                                            <a:gd name="connsiteY8" fmla="*/ 907086 h 1060705"/>
                                            <a:gd name="connsiteX9" fmla="*/ 548640 w 1331366"/>
                                            <a:gd name="connsiteY9" fmla="*/ 1053390 h 1060705"/>
                                            <a:gd name="connsiteX10" fmla="*/ 58522 w 1331366"/>
                                            <a:gd name="connsiteY10" fmla="*/ 1060705 h 1060705"/>
                                            <a:gd name="connsiteX11" fmla="*/ 0 w 1331366"/>
                                            <a:gd name="connsiteY11" fmla="*/ 636424 h 1060705"/>
                                            <a:gd name="connsiteX12" fmla="*/ 153620 w 1331366"/>
                                            <a:gd name="connsiteY12" fmla="*/ 446228 h 1060705"/>
                                            <a:gd name="connsiteX0" fmla="*/ 153620 w 1234564"/>
                                            <a:gd name="connsiteY0" fmla="*/ 446226 h 1060703"/>
                                            <a:gd name="connsiteX1" fmla="*/ 292608 w 1234564"/>
                                            <a:gd name="connsiteY1" fmla="*/ 226770 h 1060703"/>
                                            <a:gd name="connsiteX2" fmla="*/ 446228 w 1234564"/>
                                            <a:gd name="connsiteY2" fmla="*/ 343814 h 1060703"/>
                                            <a:gd name="connsiteX3" fmla="*/ 651053 w 1234564"/>
                                            <a:gd name="connsiteY3" fmla="*/ 204825 h 1060703"/>
                                            <a:gd name="connsiteX4" fmla="*/ 811988 w 1234564"/>
                                            <a:gd name="connsiteY4" fmla="*/ -1 h 1060703"/>
                                            <a:gd name="connsiteX5" fmla="*/ 1181935 w 1234564"/>
                                            <a:gd name="connsiteY5" fmla="*/ 101443 h 1060703"/>
                                            <a:gd name="connsiteX6" fmla="*/ 1234564 w 1234564"/>
                                            <a:gd name="connsiteY6" fmla="*/ 534530 h 1060703"/>
                                            <a:gd name="connsiteX7" fmla="*/ 1181936 w 1234564"/>
                                            <a:gd name="connsiteY7" fmla="*/ 763828 h 1060703"/>
                                            <a:gd name="connsiteX8" fmla="*/ 848564 w 1234564"/>
                                            <a:gd name="connsiteY8" fmla="*/ 907084 h 1060703"/>
                                            <a:gd name="connsiteX9" fmla="*/ 548640 w 1234564"/>
                                            <a:gd name="connsiteY9" fmla="*/ 1053388 h 1060703"/>
                                            <a:gd name="connsiteX10" fmla="*/ 58522 w 1234564"/>
                                            <a:gd name="connsiteY10" fmla="*/ 1060703 h 1060703"/>
                                            <a:gd name="connsiteX11" fmla="*/ 0 w 1234564"/>
                                            <a:gd name="connsiteY11" fmla="*/ 636422 h 1060703"/>
                                            <a:gd name="connsiteX12" fmla="*/ 153620 w 1234564"/>
                                            <a:gd name="connsiteY12" fmla="*/ 446226 h 1060703"/>
                                            <a:gd name="connsiteX0" fmla="*/ 153620 w 1234564"/>
                                            <a:gd name="connsiteY0" fmla="*/ 344783 h 959260"/>
                                            <a:gd name="connsiteX1" fmla="*/ 292608 w 1234564"/>
                                            <a:gd name="connsiteY1" fmla="*/ 125327 h 959260"/>
                                            <a:gd name="connsiteX2" fmla="*/ 446228 w 1234564"/>
                                            <a:gd name="connsiteY2" fmla="*/ 242371 h 959260"/>
                                            <a:gd name="connsiteX3" fmla="*/ 651053 w 1234564"/>
                                            <a:gd name="connsiteY3" fmla="*/ 103382 h 959260"/>
                                            <a:gd name="connsiteX4" fmla="*/ 1181935 w 1234564"/>
                                            <a:gd name="connsiteY4" fmla="*/ 0 h 959260"/>
                                            <a:gd name="connsiteX5" fmla="*/ 1234564 w 1234564"/>
                                            <a:gd name="connsiteY5" fmla="*/ 433087 h 959260"/>
                                            <a:gd name="connsiteX6" fmla="*/ 1181936 w 1234564"/>
                                            <a:gd name="connsiteY6" fmla="*/ 662385 h 959260"/>
                                            <a:gd name="connsiteX7" fmla="*/ 848564 w 1234564"/>
                                            <a:gd name="connsiteY7" fmla="*/ 805641 h 959260"/>
                                            <a:gd name="connsiteX8" fmla="*/ 548640 w 1234564"/>
                                            <a:gd name="connsiteY8" fmla="*/ 951945 h 959260"/>
                                            <a:gd name="connsiteX9" fmla="*/ 58522 w 1234564"/>
                                            <a:gd name="connsiteY9" fmla="*/ 959260 h 959260"/>
                                            <a:gd name="connsiteX10" fmla="*/ 0 w 1234564"/>
                                            <a:gd name="connsiteY10" fmla="*/ 534979 h 959260"/>
                                            <a:gd name="connsiteX11" fmla="*/ 153620 w 1234564"/>
                                            <a:gd name="connsiteY11" fmla="*/ 344783 h 959260"/>
                                            <a:gd name="connsiteX0" fmla="*/ 153620 w 1234564"/>
                                            <a:gd name="connsiteY0" fmla="*/ 241400 h 855877"/>
                                            <a:gd name="connsiteX1" fmla="*/ 292608 w 1234564"/>
                                            <a:gd name="connsiteY1" fmla="*/ 21944 h 855877"/>
                                            <a:gd name="connsiteX2" fmla="*/ 446228 w 1234564"/>
                                            <a:gd name="connsiteY2" fmla="*/ 138988 h 855877"/>
                                            <a:gd name="connsiteX3" fmla="*/ 651053 w 1234564"/>
                                            <a:gd name="connsiteY3" fmla="*/ -1 h 855877"/>
                                            <a:gd name="connsiteX4" fmla="*/ 919032 w 1234564"/>
                                            <a:gd name="connsiteY4" fmla="*/ 290075 h 855877"/>
                                            <a:gd name="connsiteX5" fmla="*/ 1234564 w 1234564"/>
                                            <a:gd name="connsiteY5" fmla="*/ 329704 h 855877"/>
                                            <a:gd name="connsiteX6" fmla="*/ 1181936 w 1234564"/>
                                            <a:gd name="connsiteY6" fmla="*/ 559002 h 855877"/>
                                            <a:gd name="connsiteX7" fmla="*/ 848564 w 1234564"/>
                                            <a:gd name="connsiteY7" fmla="*/ 702258 h 855877"/>
                                            <a:gd name="connsiteX8" fmla="*/ 548640 w 1234564"/>
                                            <a:gd name="connsiteY8" fmla="*/ 848562 h 855877"/>
                                            <a:gd name="connsiteX9" fmla="*/ 58522 w 1234564"/>
                                            <a:gd name="connsiteY9" fmla="*/ 855877 h 855877"/>
                                            <a:gd name="connsiteX10" fmla="*/ 0 w 1234564"/>
                                            <a:gd name="connsiteY10" fmla="*/ 431596 h 855877"/>
                                            <a:gd name="connsiteX11" fmla="*/ 153620 w 1234564"/>
                                            <a:gd name="connsiteY11" fmla="*/ 241400 h 855877"/>
                                            <a:gd name="connsiteX0" fmla="*/ 153620 w 1181936"/>
                                            <a:gd name="connsiteY0" fmla="*/ 241402 h 855879"/>
                                            <a:gd name="connsiteX1" fmla="*/ 292608 w 1181936"/>
                                            <a:gd name="connsiteY1" fmla="*/ 21946 h 855879"/>
                                            <a:gd name="connsiteX2" fmla="*/ 446228 w 1181936"/>
                                            <a:gd name="connsiteY2" fmla="*/ 138990 h 855879"/>
                                            <a:gd name="connsiteX3" fmla="*/ 651053 w 1181936"/>
                                            <a:gd name="connsiteY3" fmla="*/ 1 h 855879"/>
                                            <a:gd name="connsiteX4" fmla="*/ 919032 w 1181936"/>
                                            <a:gd name="connsiteY4" fmla="*/ 290077 h 855879"/>
                                            <a:gd name="connsiteX5" fmla="*/ 1181936 w 1181936"/>
                                            <a:gd name="connsiteY5" fmla="*/ 559004 h 855879"/>
                                            <a:gd name="connsiteX6" fmla="*/ 848564 w 1181936"/>
                                            <a:gd name="connsiteY6" fmla="*/ 702260 h 855879"/>
                                            <a:gd name="connsiteX7" fmla="*/ 548640 w 1181936"/>
                                            <a:gd name="connsiteY7" fmla="*/ 848564 h 855879"/>
                                            <a:gd name="connsiteX8" fmla="*/ 58522 w 1181936"/>
                                            <a:gd name="connsiteY8" fmla="*/ 855879 h 855879"/>
                                            <a:gd name="connsiteX9" fmla="*/ 0 w 1181936"/>
                                            <a:gd name="connsiteY9" fmla="*/ 431598 h 855879"/>
                                            <a:gd name="connsiteX10" fmla="*/ 153620 w 1181936"/>
                                            <a:gd name="connsiteY10" fmla="*/ 241402 h 855879"/>
                                            <a:gd name="connsiteX0" fmla="*/ 153620 w 1181936"/>
                                            <a:gd name="connsiteY0" fmla="*/ 219456 h 833933"/>
                                            <a:gd name="connsiteX1" fmla="*/ 292608 w 1181936"/>
                                            <a:gd name="connsiteY1" fmla="*/ 0 h 833933"/>
                                            <a:gd name="connsiteX2" fmla="*/ 446228 w 1181936"/>
                                            <a:gd name="connsiteY2" fmla="*/ 117044 h 833933"/>
                                            <a:gd name="connsiteX3" fmla="*/ 919032 w 1181936"/>
                                            <a:gd name="connsiteY3" fmla="*/ 268131 h 833933"/>
                                            <a:gd name="connsiteX4" fmla="*/ 1181936 w 1181936"/>
                                            <a:gd name="connsiteY4" fmla="*/ 537058 h 833933"/>
                                            <a:gd name="connsiteX5" fmla="*/ 848564 w 1181936"/>
                                            <a:gd name="connsiteY5" fmla="*/ 680314 h 833933"/>
                                            <a:gd name="connsiteX6" fmla="*/ 548640 w 1181936"/>
                                            <a:gd name="connsiteY6" fmla="*/ 826618 h 833933"/>
                                            <a:gd name="connsiteX7" fmla="*/ 58522 w 1181936"/>
                                            <a:gd name="connsiteY7" fmla="*/ 833933 h 833933"/>
                                            <a:gd name="connsiteX8" fmla="*/ 0 w 1181936"/>
                                            <a:gd name="connsiteY8" fmla="*/ 409652 h 833933"/>
                                            <a:gd name="connsiteX9" fmla="*/ 153620 w 1181936"/>
                                            <a:gd name="connsiteY9" fmla="*/ 219456 h 83393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181936" h="833933">
                                              <a:moveTo>
                                                <a:pt x="153620" y="219456"/>
                                              </a:moveTo>
                                              <a:lnTo>
                                                <a:pt x="292608" y="0"/>
                                              </a:lnTo>
                                              <a:lnTo>
                                                <a:pt x="446228" y="117044"/>
                                              </a:lnTo>
                                              <a:lnTo>
                                                <a:pt x="919032" y="268131"/>
                                              </a:lnTo>
                                              <a:lnTo>
                                                <a:pt x="1181936" y="537058"/>
                                              </a:lnTo>
                                              <a:lnTo>
                                                <a:pt x="848564" y="680314"/>
                                              </a:lnTo>
                                              <a:lnTo>
                                                <a:pt x="548640" y="826618"/>
                                              </a:lnTo>
                                              <a:lnTo>
                                                <a:pt x="58522" y="833933"/>
                                              </a:lnTo>
                                              <a:lnTo>
                                                <a:pt x="0" y="409652"/>
                                              </a:lnTo>
                                              <a:lnTo>
                                                <a:pt x="153620" y="219456"/>
                                              </a:lnTo>
                                              <a:close/>
                                            </a:path>
                                          </a:pathLst>
                                        </a:custGeom>
                                        <a:noFill/>
                                        <a:ln w="19050">
                                          <a:solidFill>
                                            <a:schemeClr val="accent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F4EF7E8" w14:textId="77777777" w:rsidR="00D55F13" w:rsidRPr="00394D50" w:rsidRDefault="00D55F13" w:rsidP="00077E48">
                                            <w:pPr>
                                              <w:jc w:val="center"/>
                                              <w:rPr>
                                                <w:color w:val="0D0D0D" w:themeColor="text1" w:themeTint="F2"/>
                                                <w:sz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45" name="2609 Cuadro de texto"/>
                                      <wps:cNvSpPr txBox="1"/>
                                      <wps:spPr>
                                        <a:xfrm>
                                          <a:off x="285750" y="590550"/>
                                          <a:ext cx="92119" cy="17562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85D7E39" w14:textId="77777777" w:rsidR="00D55F13" w:rsidRPr="00394D50" w:rsidRDefault="00D55F13" w:rsidP="00077E48">
                                            <w:pPr>
                                              <w:rPr>
                                                <w:i/>
                                              </w:rPr>
                                            </w:pPr>
                                            <w:r w:rsidRPr="00394D50">
                                              <w:rPr>
                                                <w:i/>
                                              </w:rPr>
                                              <w:t>i</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g:grpSp>
                                  <wps:wsp>
                                    <wps:cNvPr id="2846" name="2610 Conector"/>
                                    <wps:cNvSpPr/>
                                    <wps:spPr>
                                      <a:xfrm>
                                        <a:off x="381000" y="571500"/>
                                        <a:ext cx="50367" cy="50367"/>
                                      </a:xfrm>
                                      <a:prstGeom prst="flowChartConnector">
                                        <a:avLst/>
                                      </a:prstGeom>
                                      <a:solidFill>
                                        <a:schemeClr val="tx1">
                                          <a:lumMod val="95000"/>
                                          <a:lumOff val="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2847" name="2608 Forma libre"/>
                                  <wps:cNvSpPr/>
                                  <wps:spPr>
                                    <a:xfrm>
                                      <a:off x="774700" y="0"/>
                                      <a:ext cx="442441" cy="357289"/>
                                    </a:xfrm>
                                    <a:custGeom>
                                      <a:avLst/>
                                      <a:gdLst>
                                        <a:gd name="connsiteX0" fmla="*/ 153620 w 1675181"/>
                                        <a:gd name="connsiteY0" fmla="*/ 526694 h 1141171"/>
                                        <a:gd name="connsiteX1" fmla="*/ 292608 w 1675181"/>
                                        <a:gd name="connsiteY1" fmla="*/ 307238 h 1141171"/>
                                        <a:gd name="connsiteX2" fmla="*/ 446228 w 1675181"/>
                                        <a:gd name="connsiteY2" fmla="*/ 424282 h 1141171"/>
                                        <a:gd name="connsiteX3" fmla="*/ 651053 w 1675181"/>
                                        <a:gd name="connsiteY3" fmla="*/ 285293 h 1141171"/>
                                        <a:gd name="connsiteX4" fmla="*/ 811988 w 1675181"/>
                                        <a:gd name="connsiteY4" fmla="*/ 80467 h 1141171"/>
                                        <a:gd name="connsiteX5" fmla="*/ 1272845 w 1675181"/>
                                        <a:gd name="connsiteY5" fmla="*/ 0 h 1141171"/>
                                        <a:gd name="connsiteX6" fmla="*/ 1558138 w 1675181"/>
                                        <a:gd name="connsiteY6" fmla="*/ 29261 h 1141171"/>
                                        <a:gd name="connsiteX7" fmla="*/ 1675181 w 1675181"/>
                                        <a:gd name="connsiteY7" fmla="*/ 248717 h 1141171"/>
                                        <a:gd name="connsiteX8" fmla="*/ 1492301 w 1675181"/>
                                        <a:gd name="connsiteY8" fmla="*/ 321869 h 1141171"/>
                                        <a:gd name="connsiteX9" fmla="*/ 1463040 w 1675181"/>
                                        <a:gd name="connsiteY9" fmla="*/ 504749 h 1141171"/>
                                        <a:gd name="connsiteX10" fmla="*/ 1558138 w 1675181"/>
                                        <a:gd name="connsiteY10" fmla="*/ 746150 h 1141171"/>
                                        <a:gd name="connsiteX11" fmla="*/ 1331367 w 1675181"/>
                                        <a:gd name="connsiteY11" fmla="*/ 892454 h 1141171"/>
                                        <a:gd name="connsiteX12" fmla="*/ 848564 w 1675181"/>
                                        <a:gd name="connsiteY12" fmla="*/ 987552 h 1141171"/>
                                        <a:gd name="connsiteX13" fmla="*/ 548640 w 1675181"/>
                                        <a:gd name="connsiteY13" fmla="*/ 1133856 h 1141171"/>
                                        <a:gd name="connsiteX14" fmla="*/ 58522 w 1675181"/>
                                        <a:gd name="connsiteY14" fmla="*/ 1141171 h 1141171"/>
                                        <a:gd name="connsiteX15" fmla="*/ 0 w 1675181"/>
                                        <a:gd name="connsiteY15" fmla="*/ 716890 h 1141171"/>
                                        <a:gd name="connsiteX16" fmla="*/ 153620 w 1675181"/>
                                        <a:gd name="connsiteY16" fmla="*/ 526694 h 1141171"/>
                                        <a:gd name="connsiteX0" fmla="*/ 153620 w 1675181"/>
                                        <a:gd name="connsiteY0" fmla="*/ 526694 h 1141171"/>
                                        <a:gd name="connsiteX1" fmla="*/ 292608 w 1675181"/>
                                        <a:gd name="connsiteY1" fmla="*/ 307238 h 1141171"/>
                                        <a:gd name="connsiteX2" fmla="*/ 446228 w 1675181"/>
                                        <a:gd name="connsiteY2" fmla="*/ 424282 h 1141171"/>
                                        <a:gd name="connsiteX3" fmla="*/ 651053 w 1675181"/>
                                        <a:gd name="connsiteY3" fmla="*/ 285293 h 1141171"/>
                                        <a:gd name="connsiteX4" fmla="*/ 811988 w 1675181"/>
                                        <a:gd name="connsiteY4" fmla="*/ 80467 h 1141171"/>
                                        <a:gd name="connsiteX5" fmla="*/ 1272845 w 1675181"/>
                                        <a:gd name="connsiteY5" fmla="*/ 0 h 1141171"/>
                                        <a:gd name="connsiteX6" fmla="*/ 1558138 w 1675181"/>
                                        <a:gd name="connsiteY6" fmla="*/ 29261 h 1141171"/>
                                        <a:gd name="connsiteX7" fmla="*/ 1675181 w 1675181"/>
                                        <a:gd name="connsiteY7" fmla="*/ 248717 h 1141171"/>
                                        <a:gd name="connsiteX8" fmla="*/ 1492301 w 1675181"/>
                                        <a:gd name="connsiteY8" fmla="*/ 321869 h 1141171"/>
                                        <a:gd name="connsiteX9" fmla="*/ 1463040 w 1675181"/>
                                        <a:gd name="connsiteY9" fmla="*/ 504749 h 1141171"/>
                                        <a:gd name="connsiteX10" fmla="*/ 1234564 w 1675181"/>
                                        <a:gd name="connsiteY10" fmla="*/ 614998 h 1141171"/>
                                        <a:gd name="connsiteX11" fmla="*/ 1331367 w 1675181"/>
                                        <a:gd name="connsiteY11" fmla="*/ 892454 h 1141171"/>
                                        <a:gd name="connsiteX12" fmla="*/ 848564 w 1675181"/>
                                        <a:gd name="connsiteY12" fmla="*/ 987552 h 1141171"/>
                                        <a:gd name="connsiteX13" fmla="*/ 548640 w 1675181"/>
                                        <a:gd name="connsiteY13" fmla="*/ 1133856 h 1141171"/>
                                        <a:gd name="connsiteX14" fmla="*/ 58522 w 1675181"/>
                                        <a:gd name="connsiteY14" fmla="*/ 1141171 h 1141171"/>
                                        <a:gd name="connsiteX15" fmla="*/ 0 w 1675181"/>
                                        <a:gd name="connsiteY15" fmla="*/ 716890 h 1141171"/>
                                        <a:gd name="connsiteX16" fmla="*/ 153620 w 1675181"/>
                                        <a:gd name="connsiteY16" fmla="*/ 526694 h 1141171"/>
                                        <a:gd name="connsiteX0" fmla="*/ 153620 w 1675181"/>
                                        <a:gd name="connsiteY0" fmla="*/ 526694 h 1141171"/>
                                        <a:gd name="connsiteX1" fmla="*/ 292608 w 1675181"/>
                                        <a:gd name="connsiteY1" fmla="*/ 307238 h 1141171"/>
                                        <a:gd name="connsiteX2" fmla="*/ 446228 w 1675181"/>
                                        <a:gd name="connsiteY2" fmla="*/ 424282 h 1141171"/>
                                        <a:gd name="connsiteX3" fmla="*/ 651053 w 1675181"/>
                                        <a:gd name="connsiteY3" fmla="*/ 285293 h 1141171"/>
                                        <a:gd name="connsiteX4" fmla="*/ 811988 w 1675181"/>
                                        <a:gd name="connsiteY4" fmla="*/ 80467 h 1141171"/>
                                        <a:gd name="connsiteX5" fmla="*/ 1272845 w 1675181"/>
                                        <a:gd name="connsiteY5" fmla="*/ 0 h 1141171"/>
                                        <a:gd name="connsiteX6" fmla="*/ 1558138 w 1675181"/>
                                        <a:gd name="connsiteY6" fmla="*/ 29261 h 1141171"/>
                                        <a:gd name="connsiteX7" fmla="*/ 1675181 w 1675181"/>
                                        <a:gd name="connsiteY7" fmla="*/ 248717 h 1141171"/>
                                        <a:gd name="connsiteX8" fmla="*/ 1492301 w 1675181"/>
                                        <a:gd name="connsiteY8" fmla="*/ 321869 h 1141171"/>
                                        <a:gd name="connsiteX9" fmla="*/ 1119243 w 1675181"/>
                                        <a:gd name="connsiteY9" fmla="*/ 403862 h 1141171"/>
                                        <a:gd name="connsiteX10" fmla="*/ 1234564 w 1675181"/>
                                        <a:gd name="connsiteY10" fmla="*/ 614998 h 1141171"/>
                                        <a:gd name="connsiteX11" fmla="*/ 1331367 w 1675181"/>
                                        <a:gd name="connsiteY11" fmla="*/ 892454 h 1141171"/>
                                        <a:gd name="connsiteX12" fmla="*/ 848564 w 1675181"/>
                                        <a:gd name="connsiteY12" fmla="*/ 987552 h 1141171"/>
                                        <a:gd name="connsiteX13" fmla="*/ 548640 w 1675181"/>
                                        <a:gd name="connsiteY13" fmla="*/ 1133856 h 1141171"/>
                                        <a:gd name="connsiteX14" fmla="*/ 58522 w 1675181"/>
                                        <a:gd name="connsiteY14" fmla="*/ 1141171 h 1141171"/>
                                        <a:gd name="connsiteX15" fmla="*/ 0 w 1675181"/>
                                        <a:gd name="connsiteY15" fmla="*/ 716890 h 1141171"/>
                                        <a:gd name="connsiteX16" fmla="*/ 153620 w 1675181"/>
                                        <a:gd name="connsiteY16" fmla="*/ 526694 h 1141171"/>
                                        <a:gd name="connsiteX0" fmla="*/ 153620 w 1558138"/>
                                        <a:gd name="connsiteY0" fmla="*/ 526694 h 1141171"/>
                                        <a:gd name="connsiteX1" fmla="*/ 292608 w 1558138"/>
                                        <a:gd name="connsiteY1" fmla="*/ 307238 h 1141171"/>
                                        <a:gd name="connsiteX2" fmla="*/ 446228 w 1558138"/>
                                        <a:gd name="connsiteY2" fmla="*/ 424282 h 1141171"/>
                                        <a:gd name="connsiteX3" fmla="*/ 651053 w 1558138"/>
                                        <a:gd name="connsiteY3" fmla="*/ 285293 h 1141171"/>
                                        <a:gd name="connsiteX4" fmla="*/ 811988 w 1558138"/>
                                        <a:gd name="connsiteY4" fmla="*/ 80467 h 1141171"/>
                                        <a:gd name="connsiteX5" fmla="*/ 1272845 w 1558138"/>
                                        <a:gd name="connsiteY5" fmla="*/ 0 h 1141171"/>
                                        <a:gd name="connsiteX6" fmla="*/ 1558138 w 1558138"/>
                                        <a:gd name="connsiteY6" fmla="*/ 29261 h 1141171"/>
                                        <a:gd name="connsiteX7" fmla="*/ 1492301 w 1558138"/>
                                        <a:gd name="connsiteY7" fmla="*/ 321869 h 1141171"/>
                                        <a:gd name="connsiteX8" fmla="*/ 1119243 w 1558138"/>
                                        <a:gd name="connsiteY8" fmla="*/ 403862 h 1141171"/>
                                        <a:gd name="connsiteX9" fmla="*/ 1234564 w 1558138"/>
                                        <a:gd name="connsiteY9" fmla="*/ 614998 h 1141171"/>
                                        <a:gd name="connsiteX10" fmla="*/ 1331367 w 1558138"/>
                                        <a:gd name="connsiteY10" fmla="*/ 892454 h 1141171"/>
                                        <a:gd name="connsiteX11" fmla="*/ 848564 w 1558138"/>
                                        <a:gd name="connsiteY11" fmla="*/ 987552 h 1141171"/>
                                        <a:gd name="connsiteX12" fmla="*/ 548640 w 1558138"/>
                                        <a:gd name="connsiteY12" fmla="*/ 1133856 h 1141171"/>
                                        <a:gd name="connsiteX13" fmla="*/ 58522 w 1558138"/>
                                        <a:gd name="connsiteY13" fmla="*/ 1141171 h 1141171"/>
                                        <a:gd name="connsiteX14" fmla="*/ 0 w 1558138"/>
                                        <a:gd name="connsiteY14" fmla="*/ 716890 h 1141171"/>
                                        <a:gd name="connsiteX15" fmla="*/ 153620 w 1558138"/>
                                        <a:gd name="connsiteY15" fmla="*/ 526694 h 1141171"/>
                                        <a:gd name="connsiteX0" fmla="*/ 153620 w 1492300"/>
                                        <a:gd name="connsiteY0" fmla="*/ 526694 h 1141171"/>
                                        <a:gd name="connsiteX1" fmla="*/ 292608 w 1492300"/>
                                        <a:gd name="connsiteY1" fmla="*/ 307238 h 1141171"/>
                                        <a:gd name="connsiteX2" fmla="*/ 446228 w 1492300"/>
                                        <a:gd name="connsiteY2" fmla="*/ 424282 h 1141171"/>
                                        <a:gd name="connsiteX3" fmla="*/ 651053 w 1492300"/>
                                        <a:gd name="connsiteY3" fmla="*/ 285293 h 1141171"/>
                                        <a:gd name="connsiteX4" fmla="*/ 811988 w 1492300"/>
                                        <a:gd name="connsiteY4" fmla="*/ 80467 h 1141171"/>
                                        <a:gd name="connsiteX5" fmla="*/ 1272845 w 1492300"/>
                                        <a:gd name="connsiteY5" fmla="*/ 0 h 1141171"/>
                                        <a:gd name="connsiteX6" fmla="*/ 1492301 w 1492300"/>
                                        <a:gd name="connsiteY6" fmla="*/ 321869 h 1141171"/>
                                        <a:gd name="connsiteX7" fmla="*/ 1119243 w 1492300"/>
                                        <a:gd name="connsiteY7" fmla="*/ 403862 h 1141171"/>
                                        <a:gd name="connsiteX8" fmla="*/ 1234564 w 1492300"/>
                                        <a:gd name="connsiteY8" fmla="*/ 614998 h 1141171"/>
                                        <a:gd name="connsiteX9" fmla="*/ 1331367 w 1492300"/>
                                        <a:gd name="connsiteY9" fmla="*/ 892454 h 1141171"/>
                                        <a:gd name="connsiteX10" fmla="*/ 848564 w 1492300"/>
                                        <a:gd name="connsiteY10" fmla="*/ 987552 h 1141171"/>
                                        <a:gd name="connsiteX11" fmla="*/ 548640 w 1492300"/>
                                        <a:gd name="connsiteY11" fmla="*/ 1133856 h 1141171"/>
                                        <a:gd name="connsiteX12" fmla="*/ 58522 w 1492300"/>
                                        <a:gd name="connsiteY12" fmla="*/ 1141171 h 1141171"/>
                                        <a:gd name="connsiteX13" fmla="*/ 0 w 1492300"/>
                                        <a:gd name="connsiteY13" fmla="*/ 716890 h 1141171"/>
                                        <a:gd name="connsiteX14" fmla="*/ 153620 w 1492300"/>
                                        <a:gd name="connsiteY14" fmla="*/ 526694 h 1141171"/>
                                        <a:gd name="connsiteX0" fmla="*/ 153620 w 1331366"/>
                                        <a:gd name="connsiteY0" fmla="*/ 526694 h 1141171"/>
                                        <a:gd name="connsiteX1" fmla="*/ 292608 w 1331366"/>
                                        <a:gd name="connsiteY1" fmla="*/ 307238 h 1141171"/>
                                        <a:gd name="connsiteX2" fmla="*/ 446228 w 1331366"/>
                                        <a:gd name="connsiteY2" fmla="*/ 424282 h 1141171"/>
                                        <a:gd name="connsiteX3" fmla="*/ 651053 w 1331366"/>
                                        <a:gd name="connsiteY3" fmla="*/ 285293 h 1141171"/>
                                        <a:gd name="connsiteX4" fmla="*/ 811988 w 1331366"/>
                                        <a:gd name="connsiteY4" fmla="*/ 80467 h 1141171"/>
                                        <a:gd name="connsiteX5" fmla="*/ 1272845 w 1331366"/>
                                        <a:gd name="connsiteY5" fmla="*/ 0 h 1141171"/>
                                        <a:gd name="connsiteX6" fmla="*/ 1119243 w 1331366"/>
                                        <a:gd name="connsiteY6" fmla="*/ 403862 h 1141171"/>
                                        <a:gd name="connsiteX7" fmla="*/ 1234564 w 1331366"/>
                                        <a:gd name="connsiteY7" fmla="*/ 614998 h 1141171"/>
                                        <a:gd name="connsiteX8" fmla="*/ 1331367 w 1331366"/>
                                        <a:gd name="connsiteY8" fmla="*/ 892454 h 1141171"/>
                                        <a:gd name="connsiteX9" fmla="*/ 848564 w 1331366"/>
                                        <a:gd name="connsiteY9" fmla="*/ 987552 h 1141171"/>
                                        <a:gd name="connsiteX10" fmla="*/ 548640 w 1331366"/>
                                        <a:gd name="connsiteY10" fmla="*/ 1133856 h 1141171"/>
                                        <a:gd name="connsiteX11" fmla="*/ 58522 w 1331366"/>
                                        <a:gd name="connsiteY11" fmla="*/ 1141171 h 1141171"/>
                                        <a:gd name="connsiteX12" fmla="*/ 0 w 1331366"/>
                                        <a:gd name="connsiteY12" fmla="*/ 716890 h 1141171"/>
                                        <a:gd name="connsiteX13" fmla="*/ 153620 w 1331366"/>
                                        <a:gd name="connsiteY13" fmla="*/ 526694 h 1141171"/>
                                        <a:gd name="connsiteX0" fmla="*/ 153620 w 1331368"/>
                                        <a:gd name="connsiteY0" fmla="*/ 446226 h 1060703"/>
                                        <a:gd name="connsiteX1" fmla="*/ 292608 w 1331368"/>
                                        <a:gd name="connsiteY1" fmla="*/ 226770 h 1060703"/>
                                        <a:gd name="connsiteX2" fmla="*/ 446228 w 1331368"/>
                                        <a:gd name="connsiteY2" fmla="*/ 343814 h 1060703"/>
                                        <a:gd name="connsiteX3" fmla="*/ 651053 w 1331368"/>
                                        <a:gd name="connsiteY3" fmla="*/ 204825 h 1060703"/>
                                        <a:gd name="connsiteX4" fmla="*/ 811988 w 1331368"/>
                                        <a:gd name="connsiteY4" fmla="*/ -1 h 1060703"/>
                                        <a:gd name="connsiteX5" fmla="*/ 1119243 w 1331368"/>
                                        <a:gd name="connsiteY5" fmla="*/ 323394 h 1060703"/>
                                        <a:gd name="connsiteX6" fmla="*/ 1234564 w 1331368"/>
                                        <a:gd name="connsiteY6" fmla="*/ 534530 h 1060703"/>
                                        <a:gd name="connsiteX7" fmla="*/ 1331367 w 1331368"/>
                                        <a:gd name="connsiteY7" fmla="*/ 811986 h 1060703"/>
                                        <a:gd name="connsiteX8" fmla="*/ 848564 w 1331368"/>
                                        <a:gd name="connsiteY8" fmla="*/ 907084 h 1060703"/>
                                        <a:gd name="connsiteX9" fmla="*/ 548640 w 1331368"/>
                                        <a:gd name="connsiteY9" fmla="*/ 1053388 h 1060703"/>
                                        <a:gd name="connsiteX10" fmla="*/ 58522 w 1331368"/>
                                        <a:gd name="connsiteY10" fmla="*/ 1060703 h 1060703"/>
                                        <a:gd name="connsiteX11" fmla="*/ 0 w 1331368"/>
                                        <a:gd name="connsiteY11" fmla="*/ 636422 h 1060703"/>
                                        <a:gd name="connsiteX12" fmla="*/ 153620 w 1331368"/>
                                        <a:gd name="connsiteY12" fmla="*/ 446226 h 1060703"/>
                                        <a:gd name="connsiteX0" fmla="*/ 153620 w 1331366"/>
                                        <a:gd name="connsiteY0" fmla="*/ 446228 h 1060705"/>
                                        <a:gd name="connsiteX1" fmla="*/ 292608 w 1331366"/>
                                        <a:gd name="connsiteY1" fmla="*/ 226772 h 1060705"/>
                                        <a:gd name="connsiteX2" fmla="*/ 446228 w 1331366"/>
                                        <a:gd name="connsiteY2" fmla="*/ 343816 h 1060705"/>
                                        <a:gd name="connsiteX3" fmla="*/ 651053 w 1331366"/>
                                        <a:gd name="connsiteY3" fmla="*/ 204827 h 1060705"/>
                                        <a:gd name="connsiteX4" fmla="*/ 811988 w 1331366"/>
                                        <a:gd name="connsiteY4" fmla="*/ 1 h 1060705"/>
                                        <a:gd name="connsiteX5" fmla="*/ 1181935 w 1331366"/>
                                        <a:gd name="connsiteY5" fmla="*/ 101445 h 1060705"/>
                                        <a:gd name="connsiteX6" fmla="*/ 1234564 w 1331366"/>
                                        <a:gd name="connsiteY6" fmla="*/ 534532 h 1060705"/>
                                        <a:gd name="connsiteX7" fmla="*/ 1331367 w 1331366"/>
                                        <a:gd name="connsiteY7" fmla="*/ 811988 h 1060705"/>
                                        <a:gd name="connsiteX8" fmla="*/ 848564 w 1331366"/>
                                        <a:gd name="connsiteY8" fmla="*/ 907086 h 1060705"/>
                                        <a:gd name="connsiteX9" fmla="*/ 548640 w 1331366"/>
                                        <a:gd name="connsiteY9" fmla="*/ 1053390 h 1060705"/>
                                        <a:gd name="connsiteX10" fmla="*/ 58522 w 1331366"/>
                                        <a:gd name="connsiteY10" fmla="*/ 1060705 h 1060705"/>
                                        <a:gd name="connsiteX11" fmla="*/ 0 w 1331366"/>
                                        <a:gd name="connsiteY11" fmla="*/ 636424 h 1060705"/>
                                        <a:gd name="connsiteX12" fmla="*/ 153620 w 1331366"/>
                                        <a:gd name="connsiteY12" fmla="*/ 446228 h 1060705"/>
                                        <a:gd name="connsiteX0" fmla="*/ 153620 w 1234564"/>
                                        <a:gd name="connsiteY0" fmla="*/ 446226 h 1060703"/>
                                        <a:gd name="connsiteX1" fmla="*/ 292608 w 1234564"/>
                                        <a:gd name="connsiteY1" fmla="*/ 226770 h 1060703"/>
                                        <a:gd name="connsiteX2" fmla="*/ 446228 w 1234564"/>
                                        <a:gd name="connsiteY2" fmla="*/ 343814 h 1060703"/>
                                        <a:gd name="connsiteX3" fmla="*/ 651053 w 1234564"/>
                                        <a:gd name="connsiteY3" fmla="*/ 204825 h 1060703"/>
                                        <a:gd name="connsiteX4" fmla="*/ 811988 w 1234564"/>
                                        <a:gd name="connsiteY4" fmla="*/ -1 h 1060703"/>
                                        <a:gd name="connsiteX5" fmla="*/ 1181935 w 1234564"/>
                                        <a:gd name="connsiteY5" fmla="*/ 101443 h 1060703"/>
                                        <a:gd name="connsiteX6" fmla="*/ 1234564 w 1234564"/>
                                        <a:gd name="connsiteY6" fmla="*/ 534530 h 1060703"/>
                                        <a:gd name="connsiteX7" fmla="*/ 1181936 w 1234564"/>
                                        <a:gd name="connsiteY7" fmla="*/ 763828 h 1060703"/>
                                        <a:gd name="connsiteX8" fmla="*/ 848564 w 1234564"/>
                                        <a:gd name="connsiteY8" fmla="*/ 907084 h 1060703"/>
                                        <a:gd name="connsiteX9" fmla="*/ 548640 w 1234564"/>
                                        <a:gd name="connsiteY9" fmla="*/ 1053388 h 1060703"/>
                                        <a:gd name="connsiteX10" fmla="*/ 58522 w 1234564"/>
                                        <a:gd name="connsiteY10" fmla="*/ 1060703 h 1060703"/>
                                        <a:gd name="connsiteX11" fmla="*/ 0 w 1234564"/>
                                        <a:gd name="connsiteY11" fmla="*/ 636422 h 1060703"/>
                                        <a:gd name="connsiteX12" fmla="*/ 153620 w 1234564"/>
                                        <a:gd name="connsiteY12" fmla="*/ 446226 h 1060703"/>
                                        <a:gd name="connsiteX0" fmla="*/ 153620 w 1234564"/>
                                        <a:gd name="connsiteY0" fmla="*/ 344783 h 959260"/>
                                        <a:gd name="connsiteX1" fmla="*/ 292608 w 1234564"/>
                                        <a:gd name="connsiteY1" fmla="*/ 125327 h 959260"/>
                                        <a:gd name="connsiteX2" fmla="*/ 446228 w 1234564"/>
                                        <a:gd name="connsiteY2" fmla="*/ 242371 h 959260"/>
                                        <a:gd name="connsiteX3" fmla="*/ 651053 w 1234564"/>
                                        <a:gd name="connsiteY3" fmla="*/ 103382 h 959260"/>
                                        <a:gd name="connsiteX4" fmla="*/ 1181935 w 1234564"/>
                                        <a:gd name="connsiteY4" fmla="*/ 0 h 959260"/>
                                        <a:gd name="connsiteX5" fmla="*/ 1234564 w 1234564"/>
                                        <a:gd name="connsiteY5" fmla="*/ 433087 h 959260"/>
                                        <a:gd name="connsiteX6" fmla="*/ 1181936 w 1234564"/>
                                        <a:gd name="connsiteY6" fmla="*/ 662385 h 959260"/>
                                        <a:gd name="connsiteX7" fmla="*/ 848564 w 1234564"/>
                                        <a:gd name="connsiteY7" fmla="*/ 805641 h 959260"/>
                                        <a:gd name="connsiteX8" fmla="*/ 548640 w 1234564"/>
                                        <a:gd name="connsiteY8" fmla="*/ 951945 h 959260"/>
                                        <a:gd name="connsiteX9" fmla="*/ 58522 w 1234564"/>
                                        <a:gd name="connsiteY9" fmla="*/ 959260 h 959260"/>
                                        <a:gd name="connsiteX10" fmla="*/ 0 w 1234564"/>
                                        <a:gd name="connsiteY10" fmla="*/ 534979 h 959260"/>
                                        <a:gd name="connsiteX11" fmla="*/ 153620 w 1234564"/>
                                        <a:gd name="connsiteY11" fmla="*/ 344783 h 959260"/>
                                        <a:gd name="connsiteX0" fmla="*/ 153620 w 1234564"/>
                                        <a:gd name="connsiteY0" fmla="*/ 241400 h 855877"/>
                                        <a:gd name="connsiteX1" fmla="*/ 292608 w 1234564"/>
                                        <a:gd name="connsiteY1" fmla="*/ 21944 h 855877"/>
                                        <a:gd name="connsiteX2" fmla="*/ 446228 w 1234564"/>
                                        <a:gd name="connsiteY2" fmla="*/ 138988 h 855877"/>
                                        <a:gd name="connsiteX3" fmla="*/ 651053 w 1234564"/>
                                        <a:gd name="connsiteY3" fmla="*/ -1 h 855877"/>
                                        <a:gd name="connsiteX4" fmla="*/ 919032 w 1234564"/>
                                        <a:gd name="connsiteY4" fmla="*/ 290075 h 855877"/>
                                        <a:gd name="connsiteX5" fmla="*/ 1234564 w 1234564"/>
                                        <a:gd name="connsiteY5" fmla="*/ 329704 h 855877"/>
                                        <a:gd name="connsiteX6" fmla="*/ 1181936 w 1234564"/>
                                        <a:gd name="connsiteY6" fmla="*/ 559002 h 855877"/>
                                        <a:gd name="connsiteX7" fmla="*/ 848564 w 1234564"/>
                                        <a:gd name="connsiteY7" fmla="*/ 702258 h 855877"/>
                                        <a:gd name="connsiteX8" fmla="*/ 548640 w 1234564"/>
                                        <a:gd name="connsiteY8" fmla="*/ 848562 h 855877"/>
                                        <a:gd name="connsiteX9" fmla="*/ 58522 w 1234564"/>
                                        <a:gd name="connsiteY9" fmla="*/ 855877 h 855877"/>
                                        <a:gd name="connsiteX10" fmla="*/ 0 w 1234564"/>
                                        <a:gd name="connsiteY10" fmla="*/ 431596 h 855877"/>
                                        <a:gd name="connsiteX11" fmla="*/ 153620 w 1234564"/>
                                        <a:gd name="connsiteY11" fmla="*/ 241400 h 855877"/>
                                        <a:gd name="connsiteX0" fmla="*/ 153620 w 1181936"/>
                                        <a:gd name="connsiteY0" fmla="*/ 241402 h 855879"/>
                                        <a:gd name="connsiteX1" fmla="*/ 292608 w 1181936"/>
                                        <a:gd name="connsiteY1" fmla="*/ 21946 h 855879"/>
                                        <a:gd name="connsiteX2" fmla="*/ 446228 w 1181936"/>
                                        <a:gd name="connsiteY2" fmla="*/ 138990 h 855879"/>
                                        <a:gd name="connsiteX3" fmla="*/ 651053 w 1181936"/>
                                        <a:gd name="connsiteY3" fmla="*/ 1 h 855879"/>
                                        <a:gd name="connsiteX4" fmla="*/ 919032 w 1181936"/>
                                        <a:gd name="connsiteY4" fmla="*/ 290077 h 855879"/>
                                        <a:gd name="connsiteX5" fmla="*/ 1181936 w 1181936"/>
                                        <a:gd name="connsiteY5" fmla="*/ 559004 h 855879"/>
                                        <a:gd name="connsiteX6" fmla="*/ 848564 w 1181936"/>
                                        <a:gd name="connsiteY6" fmla="*/ 702260 h 855879"/>
                                        <a:gd name="connsiteX7" fmla="*/ 548640 w 1181936"/>
                                        <a:gd name="connsiteY7" fmla="*/ 848564 h 855879"/>
                                        <a:gd name="connsiteX8" fmla="*/ 58522 w 1181936"/>
                                        <a:gd name="connsiteY8" fmla="*/ 855879 h 855879"/>
                                        <a:gd name="connsiteX9" fmla="*/ 0 w 1181936"/>
                                        <a:gd name="connsiteY9" fmla="*/ 431598 h 855879"/>
                                        <a:gd name="connsiteX10" fmla="*/ 153620 w 1181936"/>
                                        <a:gd name="connsiteY10" fmla="*/ 241402 h 855879"/>
                                        <a:gd name="connsiteX0" fmla="*/ 153620 w 1181936"/>
                                        <a:gd name="connsiteY0" fmla="*/ 219456 h 833933"/>
                                        <a:gd name="connsiteX1" fmla="*/ 292608 w 1181936"/>
                                        <a:gd name="connsiteY1" fmla="*/ 0 h 833933"/>
                                        <a:gd name="connsiteX2" fmla="*/ 446228 w 1181936"/>
                                        <a:gd name="connsiteY2" fmla="*/ 117044 h 833933"/>
                                        <a:gd name="connsiteX3" fmla="*/ 919032 w 1181936"/>
                                        <a:gd name="connsiteY3" fmla="*/ 268131 h 833933"/>
                                        <a:gd name="connsiteX4" fmla="*/ 1181936 w 1181936"/>
                                        <a:gd name="connsiteY4" fmla="*/ 537058 h 833933"/>
                                        <a:gd name="connsiteX5" fmla="*/ 848564 w 1181936"/>
                                        <a:gd name="connsiteY5" fmla="*/ 680314 h 833933"/>
                                        <a:gd name="connsiteX6" fmla="*/ 548640 w 1181936"/>
                                        <a:gd name="connsiteY6" fmla="*/ 826618 h 833933"/>
                                        <a:gd name="connsiteX7" fmla="*/ 58522 w 1181936"/>
                                        <a:gd name="connsiteY7" fmla="*/ 833933 h 833933"/>
                                        <a:gd name="connsiteX8" fmla="*/ 0 w 1181936"/>
                                        <a:gd name="connsiteY8" fmla="*/ 409652 h 833933"/>
                                        <a:gd name="connsiteX9" fmla="*/ 153620 w 1181936"/>
                                        <a:gd name="connsiteY9" fmla="*/ 219456 h 833933"/>
                                        <a:gd name="connsiteX0" fmla="*/ 153620 w 919031"/>
                                        <a:gd name="connsiteY0" fmla="*/ 219456 h 833933"/>
                                        <a:gd name="connsiteX1" fmla="*/ 292608 w 919031"/>
                                        <a:gd name="connsiteY1" fmla="*/ 0 h 833933"/>
                                        <a:gd name="connsiteX2" fmla="*/ 446228 w 919031"/>
                                        <a:gd name="connsiteY2" fmla="*/ 117044 h 833933"/>
                                        <a:gd name="connsiteX3" fmla="*/ 919032 w 919031"/>
                                        <a:gd name="connsiteY3" fmla="*/ 268131 h 833933"/>
                                        <a:gd name="connsiteX4" fmla="*/ 655679 w 919031"/>
                                        <a:gd name="connsiteY4" fmla="*/ 426002 h 833933"/>
                                        <a:gd name="connsiteX5" fmla="*/ 848564 w 919031"/>
                                        <a:gd name="connsiteY5" fmla="*/ 680314 h 833933"/>
                                        <a:gd name="connsiteX6" fmla="*/ 548640 w 919031"/>
                                        <a:gd name="connsiteY6" fmla="*/ 826618 h 833933"/>
                                        <a:gd name="connsiteX7" fmla="*/ 58522 w 919031"/>
                                        <a:gd name="connsiteY7" fmla="*/ 833933 h 833933"/>
                                        <a:gd name="connsiteX8" fmla="*/ 0 w 919031"/>
                                        <a:gd name="connsiteY8" fmla="*/ 409652 h 833933"/>
                                        <a:gd name="connsiteX9" fmla="*/ 153620 w 919031"/>
                                        <a:gd name="connsiteY9" fmla="*/ 219456 h 833933"/>
                                        <a:gd name="connsiteX0" fmla="*/ 153620 w 848564"/>
                                        <a:gd name="connsiteY0" fmla="*/ 219456 h 833933"/>
                                        <a:gd name="connsiteX1" fmla="*/ 292608 w 848564"/>
                                        <a:gd name="connsiteY1" fmla="*/ 0 h 833933"/>
                                        <a:gd name="connsiteX2" fmla="*/ 446228 w 848564"/>
                                        <a:gd name="connsiteY2" fmla="*/ 117044 h 833933"/>
                                        <a:gd name="connsiteX3" fmla="*/ 504052 w 848564"/>
                                        <a:gd name="connsiteY3" fmla="*/ 318612 h 833933"/>
                                        <a:gd name="connsiteX4" fmla="*/ 655679 w 848564"/>
                                        <a:gd name="connsiteY4" fmla="*/ 426002 h 833933"/>
                                        <a:gd name="connsiteX5" fmla="*/ 848564 w 848564"/>
                                        <a:gd name="connsiteY5" fmla="*/ 680314 h 833933"/>
                                        <a:gd name="connsiteX6" fmla="*/ 548640 w 848564"/>
                                        <a:gd name="connsiteY6" fmla="*/ 826618 h 833933"/>
                                        <a:gd name="connsiteX7" fmla="*/ 58522 w 848564"/>
                                        <a:gd name="connsiteY7" fmla="*/ 833933 h 833933"/>
                                        <a:gd name="connsiteX8" fmla="*/ 0 w 848564"/>
                                        <a:gd name="connsiteY8" fmla="*/ 409652 h 833933"/>
                                        <a:gd name="connsiteX9" fmla="*/ 153620 w 848564"/>
                                        <a:gd name="connsiteY9" fmla="*/ 219456 h 833933"/>
                                        <a:gd name="connsiteX0" fmla="*/ 153620 w 848564"/>
                                        <a:gd name="connsiteY0" fmla="*/ 219456 h 833933"/>
                                        <a:gd name="connsiteX1" fmla="*/ 292608 w 848564"/>
                                        <a:gd name="connsiteY1" fmla="*/ 0 h 833933"/>
                                        <a:gd name="connsiteX2" fmla="*/ 446228 w 848564"/>
                                        <a:gd name="connsiteY2" fmla="*/ 117044 h 833933"/>
                                        <a:gd name="connsiteX3" fmla="*/ 655679 w 848564"/>
                                        <a:gd name="connsiteY3" fmla="*/ 426002 h 833933"/>
                                        <a:gd name="connsiteX4" fmla="*/ 848564 w 848564"/>
                                        <a:gd name="connsiteY4" fmla="*/ 680314 h 833933"/>
                                        <a:gd name="connsiteX5" fmla="*/ 548640 w 848564"/>
                                        <a:gd name="connsiteY5" fmla="*/ 826618 h 833933"/>
                                        <a:gd name="connsiteX6" fmla="*/ 58522 w 848564"/>
                                        <a:gd name="connsiteY6" fmla="*/ 833933 h 833933"/>
                                        <a:gd name="connsiteX7" fmla="*/ 0 w 848564"/>
                                        <a:gd name="connsiteY7" fmla="*/ 409652 h 833933"/>
                                        <a:gd name="connsiteX8" fmla="*/ 153620 w 848564"/>
                                        <a:gd name="connsiteY8" fmla="*/ 219456 h 833933"/>
                                        <a:gd name="connsiteX0" fmla="*/ 153620 w 848564"/>
                                        <a:gd name="connsiteY0" fmla="*/ 102412 h 716889"/>
                                        <a:gd name="connsiteX1" fmla="*/ 446228 w 848564"/>
                                        <a:gd name="connsiteY1" fmla="*/ 0 h 716889"/>
                                        <a:gd name="connsiteX2" fmla="*/ 655679 w 848564"/>
                                        <a:gd name="connsiteY2" fmla="*/ 308958 h 716889"/>
                                        <a:gd name="connsiteX3" fmla="*/ 848564 w 848564"/>
                                        <a:gd name="connsiteY3" fmla="*/ 563270 h 716889"/>
                                        <a:gd name="connsiteX4" fmla="*/ 548640 w 848564"/>
                                        <a:gd name="connsiteY4" fmla="*/ 709574 h 716889"/>
                                        <a:gd name="connsiteX5" fmla="*/ 58522 w 848564"/>
                                        <a:gd name="connsiteY5" fmla="*/ 716889 h 716889"/>
                                        <a:gd name="connsiteX6" fmla="*/ 0 w 848564"/>
                                        <a:gd name="connsiteY6" fmla="*/ 292608 h 716889"/>
                                        <a:gd name="connsiteX7" fmla="*/ 153620 w 848564"/>
                                        <a:gd name="connsiteY7" fmla="*/ 102412 h 716889"/>
                                        <a:gd name="connsiteX0" fmla="*/ 153620 w 848564"/>
                                        <a:gd name="connsiteY0" fmla="*/ 102412 h 709574"/>
                                        <a:gd name="connsiteX1" fmla="*/ 446228 w 848564"/>
                                        <a:gd name="connsiteY1" fmla="*/ 0 h 709574"/>
                                        <a:gd name="connsiteX2" fmla="*/ 655679 w 848564"/>
                                        <a:gd name="connsiteY2" fmla="*/ 308958 h 709574"/>
                                        <a:gd name="connsiteX3" fmla="*/ 848564 w 848564"/>
                                        <a:gd name="connsiteY3" fmla="*/ 563270 h 709574"/>
                                        <a:gd name="connsiteX4" fmla="*/ 548640 w 848564"/>
                                        <a:gd name="connsiteY4" fmla="*/ 709574 h 709574"/>
                                        <a:gd name="connsiteX5" fmla="*/ 99027 w 848564"/>
                                        <a:gd name="connsiteY5" fmla="*/ 565434 h 709574"/>
                                        <a:gd name="connsiteX6" fmla="*/ 0 w 848564"/>
                                        <a:gd name="connsiteY6" fmla="*/ 292608 h 709574"/>
                                        <a:gd name="connsiteX7" fmla="*/ 153620 w 848564"/>
                                        <a:gd name="connsiteY7" fmla="*/ 102412 h 709574"/>
                                        <a:gd name="connsiteX0" fmla="*/ 386519 w 1081463"/>
                                        <a:gd name="connsiteY0" fmla="*/ 102412 h 709574"/>
                                        <a:gd name="connsiteX1" fmla="*/ 679127 w 1081463"/>
                                        <a:gd name="connsiteY1" fmla="*/ 0 h 709574"/>
                                        <a:gd name="connsiteX2" fmla="*/ 888578 w 1081463"/>
                                        <a:gd name="connsiteY2" fmla="*/ 308958 h 709574"/>
                                        <a:gd name="connsiteX3" fmla="*/ 1081463 w 1081463"/>
                                        <a:gd name="connsiteY3" fmla="*/ 563270 h 709574"/>
                                        <a:gd name="connsiteX4" fmla="*/ 781539 w 1081463"/>
                                        <a:gd name="connsiteY4" fmla="*/ 709574 h 709574"/>
                                        <a:gd name="connsiteX5" fmla="*/ 331926 w 1081463"/>
                                        <a:gd name="connsiteY5" fmla="*/ 565434 h 709574"/>
                                        <a:gd name="connsiteX6" fmla="*/ 0 w 1081463"/>
                                        <a:gd name="connsiteY6" fmla="*/ 343148 h 709574"/>
                                        <a:gd name="connsiteX7" fmla="*/ 386519 w 1081463"/>
                                        <a:gd name="connsiteY7" fmla="*/ 102412 h 709574"/>
                                        <a:gd name="connsiteX0" fmla="*/ 386519 w 1081463"/>
                                        <a:gd name="connsiteY0" fmla="*/ 0 h 607162"/>
                                        <a:gd name="connsiteX1" fmla="*/ 587992 w 1081463"/>
                                        <a:gd name="connsiteY1" fmla="*/ 59314 h 607162"/>
                                        <a:gd name="connsiteX2" fmla="*/ 888578 w 1081463"/>
                                        <a:gd name="connsiteY2" fmla="*/ 206546 h 607162"/>
                                        <a:gd name="connsiteX3" fmla="*/ 1081463 w 1081463"/>
                                        <a:gd name="connsiteY3" fmla="*/ 460858 h 607162"/>
                                        <a:gd name="connsiteX4" fmla="*/ 781539 w 1081463"/>
                                        <a:gd name="connsiteY4" fmla="*/ 607162 h 607162"/>
                                        <a:gd name="connsiteX5" fmla="*/ 331926 w 1081463"/>
                                        <a:gd name="connsiteY5" fmla="*/ 463022 h 607162"/>
                                        <a:gd name="connsiteX6" fmla="*/ 0 w 1081463"/>
                                        <a:gd name="connsiteY6" fmla="*/ 240736 h 607162"/>
                                        <a:gd name="connsiteX7" fmla="*/ 386519 w 1081463"/>
                                        <a:gd name="connsiteY7" fmla="*/ 0 h 607162"/>
                                        <a:gd name="connsiteX0" fmla="*/ 275132 w 1081463"/>
                                        <a:gd name="connsiteY0" fmla="*/ 82121 h 547848"/>
                                        <a:gd name="connsiteX1" fmla="*/ 587992 w 1081463"/>
                                        <a:gd name="connsiteY1" fmla="*/ 0 h 547848"/>
                                        <a:gd name="connsiteX2" fmla="*/ 888578 w 1081463"/>
                                        <a:gd name="connsiteY2" fmla="*/ 147232 h 547848"/>
                                        <a:gd name="connsiteX3" fmla="*/ 1081463 w 1081463"/>
                                        <a:gd name="connsiteY3" fmla="*/ 401544 h 547848"/>
                                        <a:gd name="connsiteX4" fmla="*/ 781539 w 1081463"/>
                                        <a:gd name="connsiteY4" fmla="*/ 547848 h 547848"/>
                                        <a:gd name="connsiteX5" fmla="*/ 331926 w 1081463"/>
                                        <a:gd name="connsiteY5" fmla="*/ 403708 h 547848"/>
                                        <a:gd name="connsiteX6" fmla="*/ 0 w 1081463"/>
                                        <a:gd name="connsiteY6" fmla="*/ 181422 h 547848"/>
                                        <a:gd name="connsiteX7" fmla="*/ 275132 w 1081463"/>
                                        <a:gd name="connsiteY7" fmla="*/ 82121 h 547848"/>
                                        <a:gd name="connsiteX0" fmla="*/ 376393 w 1081463"/>
                                        <a:gd name="connsiteY0" fmla="*/ 173092 h 547848"/>
                                        <a:gd name="connsiteX1" fmla="*/ 587992 w 1081463"/>
                                        <a:gd name="connsiteY1" fmla="*/ 0 h 547848"/>
                                        <a:gd name="connsiteX2" fmla="*/ 888578 w 1081463"/>
                                        <a:gd name="connsiteY2" fmla="*/ 147232 h 547848"/>
                                        <a:gd name="connsiteX3" fmla="*/ 1081463 w 1081463"/>
                                        <a:gd name="connsiteY3" fmla="*/ 401544 h 547848"/>
                                        <a:gd name="connsiteX4" fmla="*/ 781539 w 1081463"/>
                                        <a:gd name="connsiteY4" fmla="*/ 547848 h 547848"/>
                                        <a:gd name="connsiteX5" fmla="*/ 331926 w 1081463"/>
                                        <a:gd name="connsiteY5" fmla="*/ 403708 h 547848"/>
                                        <a:gd name="connsiteX6" fmla="*/ 0 w 1081463"/>
                                        <a:gd name="connsiteY6" fmla="*/ 181422 h 547848"/>
                                        <a:gd name="connsiteX7" fmla="*/ 376393 w 1081463"/>
                                        <a:gd name="connsiteY7" fmla="*/ 173092 h 547848"/>
                                        <a:gd name="connsiteX0" fmla="*/ 376393 w 1081463"/>
                                        <a:gd name="connsiteY0" fmla="*/ 31580 h 406336"/>
                                        <a:gd name="connsiteX1" fmla="*/ 669001 w 1081463"/>
                                        <a:gd name="connsiteY1" fmla="*/ -1 h 406336"/>
                                        <a:gd name="connsiteX2" fmla="*/ 888578 w 1081463"/>
                                        <a:gd name="connsiteY2" fmla="*/ 5720 h 406336"/>
                                        <a:gd name="connsiteX3" fmla="*/ 1081463 w 1081463"/>
                                        <a:gd name="connsiteY3" fmla="*/ 260032 h 406336"/>
                                        <a:gd name="connsiteX4" fmla="*/ 781539 w 1081463"/>
                                        <a:gd name="connsiteY4" fmla="*/ 406336 h 406336"/>
                                        <a:gd name="connsiteX5" fmla="*/ 331926 w 1081463"/>
                                        <a:gd name="connsiteY5" fmla="*/ 262196 h 406336"/>
                                        <a:gd name="connsiteX6" fmla="*/ 0 w 1081463"/>
                                        <a:gd name="connsiteY6" fmla="*/ 39910 h 406336"/>
                                        <a:gd name="connsiteX7" fmla="*/ 376393 w 1081463"/>
                                        <a:gd name="connsiteY7" fmla="*/ 31580 h 406336"/>
                                        <a:gd name="connsiteX0" fmla="*/ 376393 w 1081463"/>
                                        <a:gd name="connsiteY0" fmla="*/ 31582 h 406338"/>
                                        <a:gd name="connsiteX1" fmla="*/ 669001 w 1081463"/>
                                        <a:gd name="connsiteY1" fmla="*/ 1 h 406338"/>
                                        <a:gd name="connsiteX2" fmla="*/ 888578 w 1081463"/>
                                        <a:gd name="connsiteY2" fmla="*/ 5722 h 406338"/>
                                        <a:gd name="connsiteX3" fmla="*/ 1081463 w 1081463"/>
                                        <a:gd name="connsiteY3" fmla="*/ 260034 h 406338"/>
                                        <a:gd name="connsiteX4" fmla="*/ 781539 w 1081463"/>
                                        <a:gd name="connsiteY4" fmla="*/ 406338 h 406338"/>
                                        <a:gd name="connsiteX5" fmla="*/ 626586 w 1081463"/>
                                        <a:gd name="connsiteY5" fmla="*/ 282414 h 406338"/>
                                        <a:gd name="connsiteX6" fmla="*/ 0 w 1081463"/>
                                        <a:gd name="connsiteY6" fmla="*/ 39912 h 406338"/>
                                        <a:gd name="connsiteX7" fmla="*/ 376393 w 1081463"/>
                                        <a:gd name="connsiteY7" fmla="*/ 31582 h 406338"/>
                                        <a:gd name="connsiteX0" fmla="*/ 376393 w 1081463"/>
                                        <a:gd name="connsiteY0" fmla="*/ 31580 h 568064"/>
                                        <a:gd name="connsiteX1" fmla="*/ 669001 w 1081463"/>
                                        <a:gd name="connsiteY1" fmla="*/ -1 h 568064"/>
                                        <a:gd name="connsiteX2" fmla="*/ 888578 w 1081463"/>
                                        <a:gd name="connsiteY2" fmla="*/ 5720 h 568064"/>
                                        <a:gd name="connsiteX3" fmla="*/ 1081463 w 1081463"/>
                                        <a:gd name="connsiteY3" fmla="*/ 260032 h 568064"/>
                                        <a:gd name="connsiteX4" fmla="*/ 770478 w 1081463"/>
                                        <a:gd name="connsiteY4" fmla="*/ 568063 h 568064"/>
                                        <a:gd name="connsiteX5" fmla="*/ 626586 w 1081463"/>
                                        <a:gd name="connsiteY5" fmla="*/ 282412 h 568064"/>
                                        <a:gd name="connsiteX6" fmla="*/ 0 w 1081463"/>
                                        <a:gd name="connsiteY6" fmla="*/ 39910 h 568064"/>
                                        <a:gd name="connsiteX7" fmla="*/ 376393 w 1081463"/>
                                        <a:gd name="connsiteY7" fmla="*/ 31580 h 568064"/>
                                        <a:gd name="connsiteX0" fmla="*/ 1 w 705071"/>
                                        <a:gd name="connsiteY0" fmla="*/ 31582 h 568064"/>
                                        <a:gd name="connsiteX1" fmla="*/ 292609 w 705071"/>
                                        <a:gd name="connsiteY1" fmla="*/ 1 h 568064"/>
                                        <a:gd name="connsiteX2" fmla="*/ 512186 w 705071"/>
                                        <a:gd name="connsiteY2" fmla="*/ 5722 h 568064"/>
                                        <a:gd name="connsiteX3" fmla="*/ 705071 w 705071"/>
                                        <a:gd name="connsiteY3" fmla="*/ 260034 h 568064"/>
                                        <a:gd name="connsiteX4" fmla="*/ 394086 w 705071"/>
                                        <a:gd name="connsiteY4" fmla="*/ 568065 h 568064"/>
                                        <a:gd name="connsiteX5" fmla="*/ 250194 w 705071"/>
                                        <a:gd name="connsiteY5" fmla="*/ 282414 h 568064"/>
                                        <a:gd name="connsiteX6" fmla="*/ 1 w 705071"/>
                                        <a:gd name="connsiteY6" fmla="*/ 31582 h 56806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705071" h="568064">
                                          <a:moveTo>
                                            <a:pt x="1" y="31582"/>
                                          </a:moveTo>
                                          <a:lnTo>
                                            <a:pt x="292609" y="1"/>
                                          </a:lnTo>
                                          <a:lnTo>
                                            <a:pt x="512186" y="5722"/>
                                          </a:lnTo>
                                          <a:lnTo>
                                            <a:pt x="705071" y="260034"/>
                                          </a:lnTo>
                                          <a:lnTo>
                                            <a:pt x="394086" y="568065"/>
                                          </a:lnTo>
                                          <a:lnTo>
                                            <a:pt x="250194" y="282414"/>
                                          </a:lnTo>
                                          <a:lnTo>
                                            <a:pt x="1" y="31582"/>
                                          </a:lnTo>
                                          <a:close/>
                                        </a:path>
                                      </a:pathLst>
                                    </a:custGeom>
                                    <a:noFill/>
                                    <a:ln w="19050">
                                      <a:solidFill>
                                        <a:schemeClr val="accent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BA266B4" w14:textId="77777777" w:rsidR="00D55F13" w:rsidRPr="00394D50" w:rsidRDefault="00D55F13" w:rsidP="00077E48">
                                        <w:pPr>
                                          <w:jc w:val="center"/>
                                          <w:rPr>
                                            <w:color w:val="0D0D0D" w:themeColor="text1" w:themeTint="F2"/>
                                            <w:sz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grpSp>
                              <wpg:cNvPr id="2848" name="132 Grupo"/>
                              <wpg:cNvGrpSpPr/>
                              <wpg:grpSpPr>
                                <a:xfrm>
                                  <a:off x="1441450" y="1885950"/>
                                  <a:ext cx="2203450" cy="161558"/>
                                  <a:chOff x="-86685" y="0"/>
                                  <a:chExt cx="2448422" cy="179705"/>
                                </a:xfrm>
                              </wpg:grpSpPr>
                              <wps:wsp>
                                <wps:cNvPr id="2849" name="133 Rectángulo redondeado"/>
                                <wps:cNvSpPr/>
                                <wps:spPr>
                                  <a:xfrm>
                                    <a:off x="-86685" y="0"/>
                                    <a:ext cx="359407" cy="179705"/>
                                  </a:xfrm>
                                  <a:prstGeom prst="roundRect">
                                    <a:avLst/>
                                  </a:prstGeom>
                                  <a:noFill/>
                                  <a:ln w="28575">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D5FEECA" w14:textId="77777777" w:rsidR="00D55F13" w:rsidRPr="00394D50" w:rsidRDefault="00D55F13" w:rsidP="00077E48">
                                      <w:pPr>
                                        <w:rPr>
                                          <w:color w:val="0D0D0D" w:themeColor="text1" w:themeTint="F2"/>
                                          <w14:textOutline w14:w="12700"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50" name="134 Rectángulo"/>
                                <wps:cNvSpPr/>
                                <wps:spPr>
                                  <a:xfrm>
                                    <a:off x="387130" y="25232"/>
                                    <a:ext cx="1974607" cy="14605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1B2A7CC" w14:textId="77777777" w:rsidR="00D55F13" w:rsidRPr="00394D50" w:rsidRDefault="00D55F13" w:rsidP="00077E48">
                                      <w:pPr>
                                        <w:jc w:val="left"/>
                                        <w:rPr>
                                          <w:rFonts w:cs="Arial"/>
                                          <w:b/>
                                          <w:color w:val="000000" w:themeColor="text1"/>
                                          <w:sz w:val="16"/>
                                        </w:rPr>
                                      </w:pPr>
                                      <w:r w:rsidRPr="00394D50">
                                        <w:rPr>
                                          <w:rFonts w:cs="Arial"/>
                                          <w:b/>
                                          <w:color w:val="000000" w:themeColor="text1"/>
                                          <w:sz w:val="16"/>
                                        </w:rPr>
                                        <w:t>Área de influencia de un medio</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g:grpSp>
                            <wpg:grpSp>
                              <wpg:cNvPr id="2851" name="2851 Grupo"/>
                              <wpg:cNvGrpSpPr/>
                              <wpg:grpSpPr>
                                <a:xfrm>
                                  <a:off x="1771650" y="2108200"/>
                                  <a:ext cx="1496060" cy="964439"/>
                                  <a:chOff x="349250" y="0"/>
                                  <a:chExt cx="1496060" cy="964439"/>
                                </a:xfrm>
                              </wpg:grpSpPr>
                              <wpg:grpSp>
                                <wpg:cNvPr id="2852" name="2852 Grupo"/>
                                <wpg:cNvGrpSpPr/>
                                <wpg:grpSpPr>
                                  <a:xfrm>
                                    <a:off x="349250" y="0"/>
                                    <a:ext cx="1496060" cy="964439"/>
                                    <a:chOff x="349250" y="0"/>
                                    <a:chExt cx="1496060" cy="964439"/>
                                  </a:xfrm>
                                </wpg:grpSpPr>
                                <wps:wsp>
                                  <wps:cNvPr id="2853" name="2853 Forma libre"/>
                                  <wps:cNvSpPr/>
                                  <wps:spPr>
                                    <a:xfrm>
                                      <a:off x="1403350" y="222250"/>
                                      <a:ext cx="441960" cy="356870"/>
                                    </a:xfrm>
                                    <a:custGeom>
                                      <a:avLst/>
                                      <a:gdLst>
                                        <a:gd name="connsiteX0" fmla="*/ 614477 w 2275027"/>
                                        <a:gd name="connsiteY0" fmla="*/ 0 h 1598371"/>
                                        <a:gd name="connsiteX1" fmla="*/ 903427 w 2275027"/>
                                        <a:gd name="connsiteY1" fmla="*/ 197510 h 1598371"/>
                                        <a:gd name="connsiteX2" fmla="*/ 1075334 w 2275027"/>
                                        <a:gd name="connsiteY2" fmla="*/ 25603 h 1598371"/>
                                        <a:gd name="connsiteX3" fmla="*/ 1433779 w 2275027"/>
                                        <a:gd name="connsiteY3" fmla="*/ 0 h 1598371"/>
                                        <a:gd name="connsiteX4" fmla="*/ 1455725 w 2275027"/>
                                        <a:gd name="connsiteY4" fmla="*/ 197510 h 1598371"/>
                                        <a:gd name="connsiteX5" fmla="*/ 1880006 w 2275027"/>
                                        <a:gd name="connsiteY5" fmla="*/ 128016 h 1598371"/>
                                        <a:gd name="connsiteX6" fmla="*/ 2157984 w 2275027"/>
                                        <a:gd name="connsiteY6" fmla="*/ 157277 h 1598371"/>
                                        <a:gd name="connsiteX7" fmla="*/ 2275027 w 2275027"/>
                                        <a:gd name="connsiteY7" fmla="*/ 376733 h 1598371"/>
                                        <a:gd name="connsiteX8" fmla="*/ 2095805 w 2275027"/>
                                        <a:gd name="connsiteY8" fmla="*/ 446227 h 1598371"/>
                                        <a:gd name="connsiteX9" fmla="*/ 2062886 w 2275027"/>
                                        <a:gd name="connsiteY9" fmla="*/ 643737 h 1598371"/>
                                        <a:gd name="connsiteX10" fmla="*/ 2157984 w 2275027"/>
                                        <a:gd name="connsiteY10" fmla="*/ 877824 h 1598371"/>
                                        <a:gd name="connsiteX11" fmla="*/ 1923897 w 2275027"/>
                                        <a:gd name="connsiteY11" fmla="*/ 1024128 h 1598371"/>
                                        <a:gd name="connsiteX12" fmla="*/ 1923897 w 2275027"/>
                                        <a:gd name="connsiteY12" fmla="*/ 1024128 h 1598371"/>
                                        <a:gd name="connsiteX13" fmla="*/ 1880006 w 2275027"/>
                                        <a:gd name="connsiteY13" fmla="*/ 1031443 h 1598371"/>
                                        <a:gd name="connsiteX14" fmla="*/ 2095805 w 2275027"/>
                                        <a:gd name="connsiteY14" fmla="*/ 1221638 h 1598371"/>
                                        <a:gd name="connsiteX15" fmla="*/ 1609344 w 2275027"/>
                                        <a:gd name="connsiteY15" fmla="*/ 1517904 h 1598371"/>
                                        <a:gd name="connsiteX16" fmla="*/ 1294790 w 2275027"/>
                                        <a:gd name="connsiteY16" fmla="*/ 1415491 h 1598371"/>
                                        <a:gd name="connsiteX17" fmla="*/ 965606 w 2275027"/>
                                        <a:gd name="connsiteY17" fmla="*/ 1536192 h 1598371"/>
                                        <a:gd name="connsiteX18" fmla="*/ 797357 w 2275027"/>
                                        <a:gd name="connsiteY18" fmla="*/ 1488643 h 1598371"/>
                                        <a:gd name="connsiteX19" fmla="*/ 757123 w 2275027"/>
                                        <a:gd name="connsiteY19" fmla="*/ 1598371 h 1598371"/>
                                        <a:gd name="connsiteX20" fmla="*/ 171907 w 2275027"/>
                                        <a:gd name="connsiteY20" fmla="*/ 1397203 h 1598371"/>
                                        <a:gd name="connsiteX21" fmla="*/ 0 w 2275027"/>
                                        <a:gd name="connsiteY21" fmla="*/ 870509 h 1598371"/>
                                        <a:gd name="connsiteX22" fmla="*/ 259689 w 2275027"/>
                                        <a:gd name="connsiteY22" fmla="*/ 245059 h 1598371"/>
                                        <a:gd name="connsiteX23" fmla="*/ 614477 w 2275027"/>
                                        <a:gd name="connsiteY23" fmla="*/ 0 h 1598371"/>
                                        <a:gd name="connsiteX0" fmla="*/ 614477 w 2275027"/>
                                        <a:gd name="connsiteY0" fmla="*/ 0 h 1598371"/>
                                        <a:gd name="connsiteX1" fmla="*/ 903427 w 2275027"/>
                                        <a:gd name="connsiteY1" fmla="*/ 197510 h 1598371"/>
                                        <a:gd name="connsiteX2" fmla="*/ 1075334 w 2275027"/>
                                        <a:gd name="connsiteY2" fmla="*/ 25603 h 1598371"/>
                                        <a:gd name="connsiteX3" fmla="*/ 1433779 w 2275027"/>
                                        <a:gd name="connsiteY3" fmla="*/ 0 h 1598371"/>
                                        <a:gd name="connsiteX4" fmla="*/ 1455725 w 2275027"/>
                                        <a:gd name="connsiteY4" fmla="*/ 197510 h 1598371"/>
                                        <a:gd name="connsiteX5" fmla="*/ 1874668 w 2275027"/>
                                        <a:gd name="connsiteY5" fmla="*/ 125965 h 1598371"/>
                                        <a:gd name="connsiteX6" fmla="*/ 2157984 w 2275027"/>
                                        <a:gd name="connsiteY6" fmla="*/ 157277 h 1598371"/>
                                        <a:gd name="connsiteX7" fmla="*/ 2275027 w 2275027"/>
                                        <a:gd name="connsiteY7" fmla="*/ 376733 h 1598371"/>
                                        <a:gd name="connsiteX8" fmla="*/ 2095805 w 2275027"/>
                                        <a:gd name="connsiteY8" fmla="*/ 446227 h 1598371"/>
                                        <a:gd name="connsiteX9" fmla="*/ 2062886 w 2275027"/>
                                        <a:gd name="connsiteY9" fmla="*/ 643737 h 1598371"/>
                                        <a:gd name="connsiteX10" fmla="*/ 2157984 w 2275027"/>
                                        <a:gd name="connsiteY10" fmla="*/ 877824 h 1598371"/>
                                        <a:gd name="connsiteX11" fmla="*/ 1923897 w 2275027"/>
                                        <a:gd name="connsiteY11" fmla="*/ 1024128 h 1598371"/>
                                        <a:gd name="connsiteX12" fmla="*/ 1923897 w 2275027"/>
                                        <a:gd name="connsiteY12" fmla="*/ 1024128 h 1598371"/>
                                        <a:gd name="connsiteX13" fmla="*/ 1880006 w 2275027"/>
                                        <a:gd name="connsiteY13" fmla="*/ 1031443 h 1598371"/>
                                        <a:gd name="connsiteX14" fmla="*/ 2095805 w 2275027"/>
                                        <a:gd name="connsiteY14" fmla="*/ 1221638 h 1598371"/>
                                        <a:gd name="connsiteX15" fmla="*/ 1609344 w 2275027"/>
                                        <a:gd name="connsiteY15" fmla="*/ 1517904 h 1598371"/>
                                        <a:gd name="connsiteX16" fmla="*/ 1294790 w 2275027"/>
                                        <a:gd name="connsiteY16" fmla="*/ 1415491 h 1598371"/>
                                        <a:gd name="connsiteX17" fmla="*/ 965606 w 2275027"/>
                                        <a:gd name="connsiteY17" fmla="*/ 1536192 h 1598371"/>
                                        <a:gd name="connsiteX18" fmla="*/ 797357 w 2275027"/>
                                        <a:gd name="connsiteY18" fmla="*/ 1488643 h 1598371"/>
                                        <a:gd name="connsiteX19" fmla="*/ 757123 w 2275027"/>
                                        <a:gd name="connsiteY19" fmla="*/ 1598371 h 1598371"/>
                                        <a:gd name="connsiteX20" fmla="*/ 171907 w 2275027"/>
                                        <a:gd name="connsiteY20" fmla="*/ 1397203 h 1598371"/>
                                        <a:gd name="connsiteX21" fmla="*/ 0 w 2275027"/>
                                        <a:gd name="connsiteY21" fmla="*/ 870509 h 1598371"/>
                                        <a:gd name="connsiteX22" fmla="*/ 259689 w 2275027"/>
                                        <a:gd name="connsiteY22" fmla="*/ 245059 h 1598371"/>
                                        <a:gd name="connsiteX23" fmla="*/ 614477 w 2275027"/>
                                        <a:gd name="connsiteY23" fmla="*/ 0 h 1598371"/>
                                        <a:gd name="connsiteX0" fmla="*/ 614477 w 2275027"/>
                                        <a:gd name="connsiteY0" fmla="*/ 0 h 1598371"/>
                                        <a:gd name="connsiteX1" fmla="*/ 903427 w 2275027"/>
                                        <a:gd name="connsiteY1" fmla="*/ 197510 h 1598371"/>
                                        <a:gd name="connsiteX2" fmla="*/ 1075334 w 2275027"/>
                                        <a:gd name="connsiteY2" fmla="*/ 25603 h 1598371"/>
                                        <a:gd name="connsiteX3" fmla="*/ 1433779 w 2275027"/>
                                        <a:gd name="connsiteY3" fmla="*/ 0 h 1598371"/>
                                        <a:gd name="connsiteX4" fmla="*/ 1455725 w 2275027"/>
                                        <a:gd name="connsiteY4" fmla="*/ 197510 h 1598371"/>
                                        <a:gd name="connsiteX5" fmla="*/ 1874668 w 2275027"/>
                                        <a:gd name="connsiteY5" fmla="*/ 125965 h 1598371"/>
                                        <a:gd name="connsiteX6" fmla="*/ 2157984 w 2275027"/>
                                        <a:gd name="connsiteY6" fmla="*/ 157277 h 1598371"/>
                                        <a:gd name="connsiteX7" fmla="*/ 2275027 w 2275027"/>
                                        <a:gd name="connsiteY7" fmla="*/ 376733 h 1598371"/>
                                        <a:gd name="connsiteX8" fmla="*/ 2093006 w 2275027"/>
                                        <a:gd name="connsiteY8" fmla="*/ 450058 h 1598371"/>
                                        <a:gd name="connsiteX9" fmla="*/ 2062886 w 2275027"/>
                                        <a:gd name="connsiteY9" fmla="*/ 643737 h 1598371"/>
                                        <a:gd name="connsiteX10" fmla="*/ 2157984 w 2275027"/>
                                        <a:gd name="connsiteY10" fmla="*/ 877824 h 1598371"/>
                                        <a:gd name="connsiteX11" fmla="*/ 1923897 w 2275027"/>
                                        <a:gd name="connsiteY11" fmla="*/ 1024128 h 1598371"/>
                                        <a:gd name="connsiteX12" fmla="*/ 1923897 w 2275027"/>
                                        <a:gd name="connsiteY12" fmla="*/ 1024128 h 1598371"/>
                                        <a:gd name="connsiteX13" fmla="*/ 1880006 w 2275027"/>
                                        <a:gd name="connsiteY13" fmla="*/ 1031443 h 1598371"/>
                                        <a:gd name="connsiteX14" fmla="*/ 2095805 w 2275027"/>
                                        <a:gd name="connsiteY14" fmla="*/ 1221638 h 1598371"/>
                                        <a:gd name="connsiteX15" fmla="*/ 1609344 w 2275027"/>
                                        <a:gd name="connsiteY15" fmla="*/ 1517904 h 1598371"/>
                                        <a:gd name="connsiteX16" fmla="*/ 1294790 w 2275027"/>
                                        <a:gd name="connsiteY16" fmla="*/ 1415491 h 1598371"/>
                                        <a:gd name="connsiteX17" fmla="*/ 965606 w 2275027"/>
                                        <a:gd name="connsiteY17" fmla="*/ 1536192 h 1598371"/>
                                        <a:gd name="connsiteX18" fmla="*/ 797357 w 2275027"/>
                                        <a:gd name="connsiteY18" fmla="*/ 1488643 h 1598371"/>
                                        <a:gd name="connsiteX19" fmla="*/ 757123 w 2275027"/>
                                        <a:gd name="connsiteY19" fmla="*/ 1598371 h 1598371"/>
                                        <a:gd name="connsiteX20" fmla="*/ 171907 w 2275027"/>
                                        <a:gd name="connsiteY20" fmla="*/ 1397203 h 1598371"/>
                                        <a:gd name="connsiteX21" fmla="*/ 0 w 2275027"/>
                                        <a:gd name="connsiteY21" fmla="*/ 870509 h 1598371"/>
                                        <a:gd name="connsiteX22" fmla="*/ 259689 w 2275027"/>
                                        <a:gd name="connsiteY22" fmla="*/ 245059 h 1598371"/>
                                        <a:gd name="connsiteX23" fmla="*/ 614477 w 2275027"/>
                                        <a:gd name="connsiteY23" fmla="*/ 0 h 1598371"/>
                                        <a:gd name="connsiteX0" fmla="*/ 614477 w 2275027"/>
                                        <a:gd name="connsiteY0" fmla="*/ 0 h 1598371"/>
                                        <a:gd name="connsiteX1" fmla="*/ 903427 w 2275027"/>
                                        <a:gd name="connsiteY1" fmla="*/ 197510 h 1598371"/>
                                        <a:gd name="connsiteX2" fmla="*/ 1075334 w 2275027"/>
                                        <a:gd name="connsiteY2" fmla="*/ 25603 h 1598371"/>
                                        <a:gd name="connsiteX3" fmla="*/ 1433779 w 2275027"/>
                                        <a:gd name="connsiteY3" fmla="*/ 0 h 1598371"/>
                                        <a:gd name="connsiteX4" fmla="*/ 1455725 w 2275027"/>
                                        <a:gd name="connsiteY4" fmla="*/ 197510 h 1598371"/>
                                        <a:gd name="connsiteX5" fmla="*/ 1874668 w 2275027"/>
                                        <a:gd name="connsiteY5" fmla="*/ 125965 h 1598371"/>
                                        <a:gd name="connsiteX6" fmla="*/ 2157984 w 2275027"/>
                                        <a:gd name="connsiteY6" fmla="*/ 157277 h 1598371"/>
                                        <a:gd name="connsiteX7" fmla="*/ 2275027 w 2275027"/>
                                        <a:gd name="connsiteY7" fmla="*/ 376733 h 1598371"/>
                                        <a:gd name="connsiteX8" fmla="*/ 2093006 w 2275027"/>
                                        <a:gd name="connsiteY8" fmla="*/ 450058 h 1598371"/>
                                        <a:gd name="connsiteX9" fmla="*/ 2057584 w 2275027"/>
                                        <a:gd name="connsiteY9" fmla="*/ 626622 h 1598371"/>
                                        <a:gd name="connsiteX10" fmla="*/ 2157984 w 2275027"/>
                                        <a:gd name="connsiteY10" fmla="*/ 877824 h 1598371"/>
                                        <a:gd name="connsiteX11" fmla="*/ 1923897 w 2275027"/>
                                        <a:gd name="connsiteY11" fmla="*/ 1024128 h 1598371"/>
                                        <a:gd name="connsiteX12" fmla="*/ 1923897 w 2275027"/>
                                        <a:gd name="connsiteY12" fmla="*/ 1024128 h 1598371"/>
                                        <a:gd name="connsiteX13" fmla="*/ 1880006 w 2275027"/>
                                        <a:gd name="connsiteY13" fmla="*/ 1031443 h 1598371"/>
                                        <a:gd name="connsiteX14" fmla="*/ 2095805 w 2275027"/>
                                        <a:gd name="connsiteY14" fmla="*/ 1221638 h 1598371"/>
                                        <a:gd name="connsiteX15" fmla="*/ 1609344 w 2275027"/>
                                        <a:gd name="connsiteY15" fmla="*/ 1517904 h 1598371"/>
                                        <a:gd name="connsiteX16" fmla="*/ 1294790 w 2275027"/>
                                        <a:gd name="connsiteY16" fmla="*/ 1415491 h 1598371"/>
                                        <a:gd name="connsiteX17" fmla="*/ 965606 w 2275027"/>
                                        <a:gd name="connsiteY17" fmla="*/ 1536192 h 1598371"/>
                                        <a:gd name="connsiteX18" fmla="*/ 797357 w 2275027"/>
                                        <a:gd name="connsiteY18" fmla="*/ 1488643 h 1598371"/>
                                        <a:gd name="connsiteX19" fmla="*/ 757123 w 2275027"/>
                                        <a:gd name="connsiteY19" fmla="*/ 1598371 h 1598371"/>
                                        <a:gd name="connsiteX20" fmla="*/ 171907 w 2275027"/>
                                        <a:gd name="connsiteY20" fmla="*/ 1397203 h 1598371"/>
                                        <a:gd name="connsiteX21" fmla="*/ 0 w 2275027"/>
                                        <a:gd name="connsiteY21" fmla="*/ 870509 h 1598371"/>
                                        <a:gd name="connsiteX22" fmla="*/ 259689 w 2275027"/>
                                        <a:gd name="connsiteY22" fmla="*/ 245059 h 1598371"/>
                                        <a:gd name="connsiteX23" fmla="*/ 614477 w 2275027"/>
                                        <a:gd name="connsiteY23" fmla="*/ 0 h 1598371"/>
                                        <a:gd name="connsiteX0" fmla="*/ 614477 w 2275027"/>
                                        <a:gd name="connsiteY0" fmla="*/ 0 h 1598371"/>
                                        <a:gd name="connsiteX1" fmla="*/ 903427 w 2275027"/>
                                        <a:gd name="connsiteY1" fmla="*/ 197510 h 1598371"/>
                                        <a:gd name="connsiteX2" fmla="*/ 1075334 w 2275027"/>
                                        <a:gd name="connsiteY2" fmla="*/ 25603 h 1598371"/>
                                        <a:gd name="connsiteX3" fmla="*/ 1433779 w 2275027"/>
                                        <a:gd name="connsiteY3" fmla="*/ 0 h 1598371"/>
                                        <a:gd name="connsiteX4" fmla="*/ 1455725 w 2275027"/>
                                        <a:gd name="connsiteY4" fmla="*/ 197510 h 1598371"/>
                                        <a:gd name="connsiteX5" fmla="*/ 1874668 w 2275027"/>
                                        <a:gd name="connsiteY5" fmla="*/ 125965 h 1598371"/>
                                        <a:gd name="connsiteX6" fmla="*/ 2157984 w 2275027"/>
                                        <a:gd name="connsiteY6" fmla="*/ 157277 h 1598371"/>
                                        <a:gd name="connsiteX7" fmla="*/ 2275027 w 2275027"/>
                                        <a:gd name="connsiteY7" fmla="*/ 376733 h 1598371"/>
                                        <a:gd name="connsiteX8" fmla="*/ 2093006 w 2275027"/>
                                        <a:gd name="connsiteY8" fmla="*/ 450058 h 1598371"/>
                                        <a:gd name="connsiteX9" fmla="*/ 2057584 w 2275027"/>
                                        <a:gd name="connsiteY9" fmla="*/ 626622 h 1598371"/>
                                        <a:gd name="connsiteX10" fmla="*/ 2154607 w 2275027"/>
                                        <a:gd name="connsiteY10" fmla="*/ 874056 h 1598371"/>
                                        <a:gd name="connsiteX11" fmla="*/ 1923897 w 2275027"/>
                                        <a:gd name="connsiteY11" fmla="*/ 1024128 h 1598371"/>
                                        <a:gd name="connsiteX12" fmla="*/ 1923897 w 2275027"/>
                                        <a:gd name="connsiteY12" fmla="*/ 1024128 h 1598371"/>
                                        <a:gd name="connsiteX13" fmla="*/ 1880006 w 2275027"/>
                                        <a:gd name="connsiteY13" fmla="*/ 1031443 h 1598371"/>
                                        <a:gd name="connsiteX14" fmla="*/ 2095805 w 2275027"/>
                                        <a:gd name="connsiteY14" fmla="*/ 1221638 h 1598371"/>
                                        <a:gd name="connsiteX15" fmla="*/ 1609344 w 2275027"/>
                                        <a:gd name="connsiteY15" fmla="*/ 1517904 h 1598371"/>
                                        <a:gd name="connsiteX16" fmla="*/ 1294790 w 2275027"/>
                                        <a:gd name="connsiteY16" fmla="*/ 1415491 h 1598371"/>
                                        <a:gd name="connsiteX17" fmla="*/ 965606 w 2275027"/>
                                        <a:gd name="connsiteY17" fmla="*/ 1536192 h 1598371"/>
                                        <a:gd name="connsiteX18" fmla="*/ 797357 w 2275027"/>
                                        <a:gd name="connsiteY18" fmla="*/ 1488643 h 1598371"/>
                                        <a:gd name="connsiteX19" fmla="*/ 757123 w 2275027"/>
                                        <a:gd name="connsiteY19" fmla="*/ 1598371 h 1598371"/>
                                        <a:gd name="connsiteX20" fmla="*/ 171907 w 2275027"/>
                                        <a:gd name="connsiteY20" fmla="*/ 1397203 h 1598371"/>
                                        <a:gd name="connsiteX21" fmla="*/ 0 w 2275027"/>
                                        <a:gd name="connsiteY21" fmla="*/ 870509 h 1598371"/>
                                        <a:gd name="connsiteX22" fmla="*/ 259689 w 2275027"/>
                                        <a:gd name="connsiteY22" fmla="*/ 245059 h 1598371"/>
                                        <a:gd name="connsiteX23" fmla="*/ 614477 w 2275027"/>
                                        <a:gd name="connsiteY23" fmla="*/ 0 h 1598371"/>
                                        <a:gd name="connsiteX0" fmla="*/ 614477 w 2275027"/>
                                        <a:gd name="connsiteY0" fmla="*/ 1905 h 1600276"/>
                                        <a:gd name="connsiteX1" fmla="*/ 903427 w 2275027"/>
                                        <a:gd name="connsiteY1" fmla="*/ 199415 h 1600276"/>
                                        <a:gd name="connsiteX2" fmla="*/ 1075334 w 2275027"/>
                                        <a:gd name="connsiteY2" fmla="*/ 27508 h 1600276"/>
                                        <a:gd name="connsiteX3" fmla="*/ 1430256 w 2275027"/>
                                        <a:gd name="connsiteY3" fmla="*/ 0 h 1600276"/>
                                        <a:gd name="connsiteX4" fmla="*/ 1455725 w 2275027"/>
                                        <a:gd name="connsiteY4" fmla="*/ 199415 h 1600276"/>
                                        <a:gd name="connsiteX5" fmla="*/ 1874668 w 2275027"/>
                                        <a:gd name="connsiteY5" fmla="*/ 127870 h 1600276"/>
                                        <a:gd name="connsiteX6" fmla="*/ 2157984 w 2275027"/>
                                        <a:gd name="connsiteY6" fmla="*/ 159182 h 1600276"/>
                                        <a:gd name="connsiteX7" fmla="*/ 2275027 w 2275027"/>
                                        <a:gd name="connsiteY7" fmla="*/ 378638 h 1600276"/>
                                        <a:gd name="connsiteX8" fmla="*/ 2093006 w 2275027"/>
                                        <a:gd name="connsiteY8" fmla="*/ 451963 h 1600276"/>
                                        <a:gd name="connsiteX9" fmla="*/ 2057584 w 2275027"/>
                                        <a:gd name="connsiteY9" fmla="*/ 628527 h 1600276"/>
                                        <a:gd name="connsiteX10" fmla="*/ 2154607 w 2275027"/>
                                        <a:gd name="connsiteY10" fmla="*/ 875961 h 1600276"/>
                                        <a:gd name="connsiteX11" fmla="*/ 1923897 w 2275027"/>
                                        <a:gd name="connsiteY11" fmla="*/ 1026033 h 1600276"/>
                                        <a:gd name="connsiteX12" fmla="*/ 1923897 w 2275027"/>
                                        <a:gd name="connsiteY12" fmla="*/ 1026033 h 1600276"/>
                                        <a:gd name="connsiteX13" fmla="*/ 1880006 w 2275027"/>
                                        <a:gd name="connsiteY13" fmla="*/ 1033348 h 1600276"/>
                                        <a:gd name="connsiteX14" fmla="*/ 2095805 w 2275027"/>
                                        <a:gd name="connsiteY14" fmla="*/ 1223543 h 1600276"/>
                                        <a:gd name="connsiteX15" fmla="*/ 1609344 w 2275027"/>
                                        <a:gd name="connsiteY15" fmla="*/ 1519809 h 1600276"/>
                                        <a:gd name="connsiteX16" fmla="*/ 1294790 w 2275027"/>
                                        <a:gd name="connsiteY16" fmla="*/ 1417396 h 1600276"/>
                                        <a:gd name="connsiteX17" fmla="*/ 965606 w 2275027"/>
                                        <a:gd name="connsiteY17" fmla="*/ 1538097 h 1600276"/>
                                        <a:gd name="connsiteX18" fmla="*/ 797357 w 2275027"/>
                                        <a:gd name="connsiteY18" fmla="*/ 1490548 h 1600276"/>
                                        <a:gd name="connsiteX19" fmla="*/ 757123 w 2275027"/>
                                        <a:gd name="connsiteY19" fmla="*/ 1600276 h 1600276"/>
                                        <a:gd name="connsiteX20" fmla="*/ 171907 w 2275027"/>
                                        <a:gd name="connsiteY20" fmla="*/ 1399108 h 1600276"/>
                                        <a:gd name="connsiteX21" fmla="*/ 0 w 2275027"/>
                                        <a:gd name="connsiteY21" fmla="*/ 872414 h 1600276"/>
                                        <a:gd name="connsiteX22" fmla="*/ 259689 w 2275027"/>
                                        <a:gd name="connsiteY22" fmla="*/ 246964 h 1600276"/>
                                        <a:gd name="connsiteX23" fmla="*/ 614477 w 2275027"/>
                                        <a:gd name="connsiteY23" fmla="*/ 1905 h 1600276"/>
                                        <a:gd name="connsiteX0" fmla="*/ 614477 w 2275027"/>
                                        <a:gd name="connsiteY0" fmla="*/ 1905 h 1600276"/>
                                        <a:gd name="connsiteX1" fmla="*/ 903427 w 2275027"/>
                                        <a:gd name="connsiteY1" fmla="*/ 199415 h 1600276"/>
                                        <a:gd name="connsiteX2" fmla="*/ 1075334 w 2275027"/>
                                        <a:gd name="connsiteY2" fmla="*/ 27508 h 1600276"/>
                                        <a:gd name="connsiteX3" fmla="*/ 1430256 w 2275027"/>
                                        <a:gd name="connsiteY3" fmla="*/ 0 h 1600276"/>
                                        <a:gd name="connsiteX4" fmla="*/ 1455725 w 2275027"/>
                                        <a:gd name="connsiteY4" fmla="*/ 199415 h 1600276"/>
                                        <a:gd name="connsiteX5" fmla="*/ 1874668 w 2275027"/>
                                        <a:gd name="connsiteY5" fmla="*/ 127870 h 1600276"/>
                                        <a:gd name="connsiteX6" fmla="*/ 2157984 w 2275027"/>
                                        <a:gd name="connsiteY6" fmla="*/ 159182 h 1600276"/>
                                        <a:gd name="connsiteX7" fmla="*/ 2275027 w 2275027"/>
                                        <a:gd name="connsiteY7" fmla="*/ 378638 h 1600276"/>
                                        <a:gd name="connsiteX8" fmla="*/ 2093006 w 2275027"/>
                                        <a:gd name="connsiteY8" fmla="*/ 451963 h 1600276"/>
                                        <a:gd name="connsiteX9" fmla="*/ 2057584 w 2275027"/>
                                        <a:gd name="connsiteY9" fmla="*/ 628527 h 1600276"/>
                                        <a:gd name="connsiteX10" fmla="*/ 2154607 w 2275027"/>
                                        <a:gd name="connsiteY10" fmla="*/ 875961 h 1600276"/>
                                        <a:gd name="connsiteX11" fmla="*/ 1923897 w 2275027"/>
                                        <a:gd name="connsiteY11" fmla="*/ 1026033 h 1600276"/>
                                        <a:gd name="connsiteX12" fmla="*/ 1931905 w 2275027"/>
                                        <a:gd name="connsiteY12" fmla="*/ 1022272 h 1600276"/>
                                        <a:gd name="connsiteX13" fmla="*/ 1880006 w 2275027"/>
                                        <a:gd name="connsiteY13" fmla="*/ 1033348 h 1600276"/>
                                        <a:gd name="connsiteX14" fmla="*/ 2095805 w 2275027"/>
                                        <a:gd name="connsiteY14" fmla="*/ 1223543 h 1600276"/>
                                        <a:gd name="connsiteX15" fmla="*/ 1609344 w 2275027"/>
                                        <a:gd name="connsiteY15" fmla="*/ 1519809 h 1600276"/>
                                        <a:gd name="connsiteX16" fmla="*/ 1294790 w 2275027"/>
                                        <a:gd name="connsiteY16" fmla="*/ 1417396 h 1600276"/>
                                        <a:gd name="connsiteX17" fmla="*/ 965606 w 2275027"/>
                                        <a:gd name="connsiteY17" fmla="*/ 1538097 h 1600276"/>
                                        <a:gd name="connsiteX18" fmla="*/ 797357 w 2275027"/>
                                        <a:gd name="connsiteY18" fmla="*/ 1490548 h 1600276"/>
                                        <a:gd name="connsiteX19" fmla="*/ 757123 w 2275027"/>
                                        <a:gd name="connsiteY19" fmla="*/ 1600276 h 1600276"/>
                                        <a:gd name="connsiteX20" fmla="*/ 171907 w 2275027"/>
                                        <a:gd name="connsiteY20" fmla="*/ 1399108 h 1600276"/>
                                        <a:gd name="connsiteX21" fmla="*/ 0 w 2275027"/>
                                        <a:gd name="connsiteY21" fmla="*/ 872414 h 1600276"/>
                                        <a:gd name="connsiteX22" fmla="*/ 259689 w 2275027"/>
                                        <a:gd name="connsiteY22" fmla="*/ 246964 h 1600276"/>
                                        <a:gd name="connsiteX23" fmla="*/ 614477 w 2275027"/>
                                        <a:gd name="connsiteY23" fmla="*/ 1905 h 1600276"/>
                                        <a:gd name="connsiteX0" fmla="*/ 614477 w 2275027"/>
                                        <a:gd name="connsiteY0" fmla="*/ 1905 h 1600276"/>
                                        <a:gd name="connsiteX1" fmla="*/ 903427 w 2275027"/>
                                        <a:gd name="connsiteY1" fmla="*/ 199415 h 1600276"/>
                                        <a:gd name="connsiteX2" fmla="*/ 1075334 w 2275027"/>
                                        <a:gd name="connsiteY2" fmla="*/ 27508 h 1600276"/>
                                        <a:gd name="connsiteX3" fmla="*/ 1430256 w 2275027"/>
                                        <a:gd name="connsiteY3" fmla="*/ 0 h 1600276"/>
                                        <a:gd name="connsiteX4" fmla="*/ 1455725 w 2275027"/>
                                        <a:gd name="connsiteY4" fmla="*/ 199415 h 1600276"/>
                                        <a:gd name="connsiteX5" fmla="*/ 1874668 w 2275027"/>
                                        <a:gd name="connsiteY5" fmla="*/ 127870 h 1600276"/>
                                        <a:gd name="connsiteX6" fmla="*/ 2157984 w 2275027"/>
                                        <a:gd name="connsiteY6" fmla="*/ 159182 h 1600276"/>
                                        <a:gd name="connsiteX7" fmla="*/ 2275027 w 2275027"/>
                                        <a:gd name="connsiteY7" fmla="*/ 378638 h 1600276"/>
                                        <a:gd name="connsiteX8" fmla="*/ 2093006 w 2275027"/>
                                        <a:gd name="connsiteY8" fmla="*/ 451963 h 1600276"/>
                                        <a:gd name="connsiteX9" fmla="*/ 2057584 w 2275027"/>
                                        <a:gd name="connsiteY9" fmla="*/ 628527 h 1600276"/>
                                        <a:gd name="connsiteX10" fmla="*/ 2154607 w 2275027"/>
                                        <a:gd name="connsiteY10" fmla="*/ 875961 h 1600276"/>
                                        <a:gd name="connsiteX11" fmla="*/ 1923897 w 2275027"/>
                                        <a:gd name="connsiteY11" fmla="*/ 1026033 h 1600276"/>
                                        <a:gd name="connsiteX12" fmla="*/ 1931905 w 2275027"/>
                                        <a:gd name="connsiteY12" fmla="*/ 1022272 h 1600276"/>
                                        <a:gd name="connsiteX13" fmla="*/ 1889911 w 2275027"/>
                                        <a:gd name="connsiteY13" fmla="*/ 1029587 h 1600276"/>
                                        <a:gd name="connsiteX14" fmla="*/ 2095805 w 2275027"/>
                                        <a:gd name="connsiteY14" fmla="*/ 1223543 h 1600276"/>
                                        <a:gd name="connsiteX15" fmla="*/ 1609344 w 2275027"/>
                                        <a:gd name="connsiteY15" fmla="*/ 1519809 h 1600276"/>
                                        <a:gd name="connsiteX16" fmla="*/ 1294790 w 2275027"/>
                                        <a:gd name="connsiteY16" fmla="*/ 1417396 h 1600276"/>
                                        <a:gd name="connsiteX17" fmla="*/ 965606 w 2275027"/>
                                        <a:gd name="connsiteY17" fmla="*/ 1538097 h 1600276"/>
                                        <a:gd name="connsiteX18" fmla="*/ 797357 w 2275027"/>
                                        <a:gd name="connsiteY18" fmla="*/ 1490548 h 1600276"/>
                                        <a:gd name="connsiteX19" fmla="*/ 757123 w 2275027"/>
                                        <a:gd name="connsiteY19" fmla="*/ 1600276 h 1600276"/>
                                        <a:gd name="connsiteX20" fmla="*/ 171907 w 2275027"/>
                                        <a:gd name="connsiteY20" fmla="*/ 1399108 h 1600276"/>
                                        <a:gd name="connsiteX21" fmla="*/ 0 w 2275027"/>
                                        <a:gd name="connsiteY21" fmla="*/ 872414 h 1600276"/>
                                        <a:gd name="connsiteX22" fmla="*/ 259689 w 2275027"/>
                                        <a:gd name="connsiteY22" fmla="*/ 246964 h 1600276"/>
                                        <a:gd name="connsiteX23" fmla="*/ 614477 w 2275027"/>
                                        <a:gd name="connsiteY23" fmla="*/ 1905 h 1600276"/>
                                        <a:gd name="connsiteX0" fmla="*/ 614477 w 2275027"/>
                                        <a:gd name="connsiteY0" fmla="*/ 1905 h 1600276"/>
                                        <a:gd name="connsiteX1" fmla="*/ 903427 w 2275027"/>
                                        <a:gd name="connsiteY1" fmla="*/ 199415 h 1600276"/>
                                        <a:gd name="connsiteX2" fmla="*/ 1075334 w 2275027"/>
                                        <a:gd name="connsiteY2" fmla="*/ 27508 h 1600276"/>
                                        <a:gd name="connsiteX3" fmla="*/ 1430256 w 2275027"/>
                                        <a:gd name="connsiteY3" fmla="*/ 0 h 1600276"/>
                                        <a:gd name="connsiteX4" fmla="*/ 1455725 w 2275027"/>
                                        <a:gd name="connsiteY4" fmla="*/ 199415 h 1600276"/>
                                        <a:gd name="connsiteX5" fmla="*/ 1874668 w 2275027"/>
                                        <a:gd name="connsiteY5" fmla="*/ 127870 h 1600276"/>
                                        <a:gd name="connsiteX6" fmla="*/ 2157984 w 2275027"/>
                                        <a:gd name="connsiteY6" fmla="*/ 159182 h 1600276"/>
                                        <a:gd name="connsiteX7" fmla="*/ 2275027 w 2275027"/>
                                        <a:gd name="connsiteY7" fmla="*/ 378638 h 1600276"/>
                                        <a:gd name="connsiteX8" fmla="*/ 2093006 w 2275027"/>
                                        <a:gd name="connsiteY8" fmla="*/ 451963 h 1600276"/>
                                        <a:gd name="connsiteX9" fmla="*/ 2057584 w 2275027"/>
                                        <a:gd name="connsiteY9" fmla="*/ 628527 h 1600276"/>
                                        <a:gd name="connsiteX10" fmla="*/ 2154607 w 2275027"/>
                                        <a:gd name="connsiteY10" fmla="*/ 875961 h 1600276"/>
                                        <a:gd name="connsiteX11" fmla="*/ 1923897 w 2275027"/>
                                        <a:gd name="connsiteY11" fmla="*/ 1026033 h 1600276"/>
                                        <a:gd name="connsiteX12" fmla="*/ 1931905 w 2275027"/>
                                        <a:gd name="connsiteY12" fmla="*/ 1022272 h 1600276"/>
                                        <a:gd name="connsiteX13" fmla="*/ 1894101 w 2275027"/>
                                        <a:gd name="connsiteY13" fmla="*/ 1025826 h 1600276"/>
                                        <a:gd name="connsiteX14" fmla="*/ 2095805 w 2275027"/>
                                        <a:gd name="connsiteY14" fmla="*/ 1223543 h 1600276"/>
                                        <a:gd name="connsiteX15" fmla="*/ 1609344 w 2275027"/>
                                        <a:gd name="connsiteY15" fmla="*/ 1519809 h 1600276"/>
                                        <a:gd name="connsiteX16" fmla="*/ 1294790 w 2275027"/>
                                        <a:gd name="connsiteY16" fmla="*/ 1417396 h 1600276"/>
                                        <a:gd name="connsiteX17" fmla="*/ 965606 w 2275027"/>
                                        <a:gd name="connsiteY17" fmla="*/ 1538097 h 1600276"/>
                                        <a:gd name="connsiteX18" fmla="*/ 797357 w 2275027"/>
                                        <a:gd name="connsiteY18" fmla="*/ 1490548 h 1600276"/>
                                        <a:gd name="connsiteX19" fmla="*/ 757123 w 2275027"/>
                                        <a:gd name="connsiteY19" fmla="*/ 1600276 h 1600276"/>
                                        <a:gd name="connsiteX20" fmla="*/ 171907 w 2275027"/>
                                        <a:gd name="connsiteY20" fmla="*/ 1399108 h 1600276"/>
                                        <a:gd name="connsiteX21" fmla="*/ 0 w 2275027"/>
                                        <a:gd name="connsiteY21" fmla="*/ 872414 h 1600276"/>
                                        <a:gd name="connsiteX22" fmla="*/ 259689 w 2275027"/>
                                        <a:gd name="connsiteY22" fmla="*/ 246964 h 1600276"/>
                                        <a:gd name="connsiteX23" fmla="*/ 614477 w 2275027"/>
                                        <a:gd name="connsiteY23" fmla="*/ 1905 h 1600276"/>
                                        <a:gd name="connsiteX0" fmla="*/ 614477 w 2275027"/>
                                        <a:gd name="connsiteY0" fmla="*/ 1905 h 1600276"/>
                                        <a:gd name="connsiteX1" fmla="*/ 903427 w 2275027"/>
                                        <a:gd name="connsiteY1" fmla="*/ 199415 h 1600276"/>
                                        <a:gd name="connsiteX2" fmla="*/ 1075334 w 2275027"/>
                                        <a:gd name="connsiteY2" fmla="*/ 27508 h 1600276"/>
                                        <a:gd name="connsiteX3" fmla="*/ 1430256 w 2275027"/>
                                        <a:gd name="connsiteY3" fmla="*/ 0 h 1600276"/>
                                        <a:gd name="connsiteX4" fmla="*/ 1455725 w 2275027"/>
                                        <a:gd name="connsiteY4" fmla="*/ 199415 h 1600276"/>
                                        <a:gd name="connsiteX5" fmla="*/ 1874668 w 2275027"/>
                                        <a:gd name="connsiteY5" fmla="*/ 127870 h 1600276"/>
                                        <a:gd name="connsiteX6" fmla="*/ 2157984 w 2275027"/>
                                        <a:gd name="connsiteY6" fmla="*/ 159182 h 1600276"/>
                                        <a:gd name="connsiteX7" fmla="*/ 2275027 w 2275027"/>
                                        <a:gd name="connsiteY7" fmla="*/ 378638 h 1600276"/>
                                        <a:gd name="connsiteX8" fmla="*/ 2093006 w 2275027"/>
                                        <a:gd name="connsiteY8" fmla="*/ 451963 h 1600276"/>
                                        <a:gd name="connsiteX9" fmla="*/ 2057584 w 2275027"/>
                                        <a:gd name="connsiteY9" fmla="*/ 628527 h 1600276"/>
                                        <a:gd name="connsiteX10" fmla="*/ 2154607 w 2275027"/>
                                        <a:gd name="connsiteY10" fmla="*/ 875961 h 1600276"/>
                                        <a:gd name="connsiteX11" fmla="*/ 1923897 w 2275027"/>
                                        <a:gd name="connsiteY11" fmla="*/ 1026033 h 1600276"/>
                                        <a:gd name="connsiteX12" fmla="*/ 1931905 w 2275027"/>
                                        <a:gd name="connsiteY12" fmla="*/ 1022272 h 1600276"/>
                                        <a:gd name="connsiteX13" fmla="*/ 1894101 w 2275027"/>
                                        <a:gd name="connsiteY13" fmla="*/ 1025826 h 1600276"/>
                                        <a:gd name="connsiteX14" fmla="*/ 2093006 w 2275027"/>
                                        <a:gd name="connsiteY14" fmla="*/ 1215981 h 1600276"/>
                                        <a:gd name="connsiteX15" fmla="*/ 1609344 w 2275027"/>
                                        <a:gd name="connsiteY15" fmla="*/ 1519809 h 1600276"/>
                                        <a:gd name="connsiteX16" fmla="*/ 1294790 w 2275027"/>
                                        <a:gd name="connsiteY16" fmla="*/ 1417396 h 1600276"/>
                                        <a:gd name="connsiteX17" fmla="*/ 965606 w 2275027"/>
                                        <a:gd name="connsiteY17" fmla="*/ 1538097 h 1600276"/>
                                        <a:gd name="connsiteX18" fmla="*/ 797357 w 2275027"/>
                                        <a:gd name="connsiteY18" fmla="*/ 1490548 h 1600276"/>
                                        <a:gd name="connsiteX19" fmla="*/ 757123 w 2275027"/>
                                        <a:gd name="connsiteY19" fmla="*/ 1600276 h 1600276"/>
                                        <a:gd name="connsiteX20" fmla="*/ 171907 w 2275027"/>
                                        <a:gd name="connsiteY20" fmla="*/ 1399108 h 1600276"/>
                                        <a:gd name="connsiteX21" fmla="*/ 0 w 2275027"/>
                                        <a:gd name="connsiteY21" fmla="*/ 872414 h 1600276"/>
                                        <a:gd name="connsiteX22" fmla="*/ 259689 w 2275027"/>
                                        <a:gd name="connsiteY22" fmla="*/ 246964 h 1600276"/>
                                        <a:gd name="connsiteX23" fmla="*/ 614477 w 2275027"/>
                                        <a:gd name="connsiteY23" fmla="*/ 1905 h 1600276"/>
                                        <a:gd name="connsiteX0" fmla="*/ 614477 w 2275027"/>
                                        <a:gd name="connsiteY0" fmla="*/ 1905 h 1600276"/>
                                        <a:gd name="connsiteX1" fmla="*/ 903427 w 2275027"/>
                                        <a:gd name="connsiteY1" fmla="*/ 199415 h 1600276"/>
                                        <a:gd name="connsiteX2" fmla="*/ 1075334 w 2275027"/>
                                        <a:gd name="connsiteY2" fmla="*/ 27508 h 1600276"/>
                                        <a:gd name="connsiteX3" fmla="*/ 1430256 w 2275027"/>
                                        <a:gd name="connsiteY3" fmla="*/ 0 h 1600276"/>
                                        <a:gd name="connsiteX4" fmla="*/ 1455725 w 2275027"/>
                                        <a:gd name="connsiteY4" fmla="*/ 199415 h 1600276"/>
                                        <a:gd name="connsiteX5" fmla="*/ 1874668 w 2275027"/>
                                        <a:gd name="connsiteY5" fmla="*/ 127870 h 1600276"/>
                                        <a:gd name="connsiteX6" fmla="*/ 2157984 w 2275027"/>
                                        <a:gd name="connsiteY6" fmla="*/ 159182 h 1600276"/>
                                        <a:gd name="connsiteX7" fmla="*/ 2275027 w 2275027"/>
                                        <a:gd name="connsiteY7" fmla="*/ 378638 h 1600276"/>
                                        <a:gd name="connsiteX8" fmla="*/ 2093006 w 2275027"/>
                                        <a:gd name="connsiteY8" fmla="*/ 451963 h 1600276"/>
                                        <a:gd name="connsiteX9" fmla="*/ 2057584 w 2275027"/>
                                        <a:gd name="connsiteY9" fmla="*/ 628527 h 1600276"/>
                                        <a:gd name="connsiteX10" fmla="*/ 2154607 w 2275027"/>
                                        <a:gd name="connsiteY10" fmla="*/ 875961 h 1600276"/>
                                        <a:gd name="connsiteX11" fmla="*/ 1923897 w 2275027"/>
                                        <a:gd name="connsiteY11" fmla="*/ 1026033 h 1600276"/>
                                        <a:gd name="connsiteX12" fmla="*/ 1931905 w 2275027"/>
                                        <a:gd name="connsiteY12" fmla="*/ 1022272 h 1600276"/>
                                        <a:gd name="connsiteX13" fmla="*/ 1894101 w 2275027"/>
                                        <a:gd name="connsiteY13" fmla="*/ 1025826 h 1600276"/>
                                        <a:gd name="connsiteX14" fmla="*/ 2093006 w 2275027"/>
                                        <a:gd name="connsiteY14" fmla="*/ 1215981 h 1600276"/>
                                        <a:gd name="connsiteX15" fmla="*/ 1609344 w 2275027"/>
                                        <a:gd name="connsiteY15" fmla="*/ 1519809 h 1600276"/>
                                        <a:gd name="connsiteX16" fmla="*/ 1294790 w 2275027"/>
                                        <a:gd name="connsiteY16" fmla="*/ 1417396 h 1600276"/>
                                        <a:gd name="connsiteX17" fmla="*/ 965800 w 2275027"/>
                                        <a:gd name="connsiteY17" fmla="*/ 1534233 h 1600276"/>
                                        <a:gd name="connsiteX18" fmla="*/ 797357 w 2275027"/>
                                        <a:gd name="connsiteY18" fmla="*/ 1490548 h 1600276"/>
                                        <a:gd name="connsiteX19" fmla="*/ 757123 w 2275027"/>
                                        <a:gd name="connsiteY19" fmla="*/ 1600276 h 1600276"/>
                                        <a:gd name="connsiteX20" fmla="*/ 171907 w 2275027"/>
                                        <a:gd name="connsiteY20" fmla="*/ 1399108 h 1600276"/>
                                        <a:gd name="connsiteX21" fmla="*/ 0 w 2275027"/>
                                        <a:gd name="connsiteY21" fmla="*/ 872414 h 1600276"/>
                                        <a:gd name="connsiteX22" fmla="*/ 259689 w 2275027"/>
                                        <a:gd name="connsiteY22" fmla="*/ 246964 h 1600276"/>
                                        <a:gd name="connsiteX23" fmla="*/ 614477 w 2275027"/>
                                        <a:gd name="connsiteY23" fmla="*/ 1905 h 1600276"/>
                                        <a:gd name="connsiteX0" fmla="*/ 616382 w 2276932"/>
                                        <a:gd name="connsiteY0" fmla="*/ 1905 h 1600276"/>
                                        <a:gd name="connsiteX1" fmla="*/ 905332 w 2276932"/>
                                        <a:gd name="connsiteY1" fmla="*/ 199415 h 1600276"/>
                                        <a:gd name="connsiteX2" fmla="*/ 1077239 w 2276932"/>
                                        <a:gd name="connsiteY2" fmla="*/ 27508 h 1600276"/>
                                        <a:gd name="connsiteX3" fmla="*/ 1432161 w 2276932"/>
                                        <a:gd name="connsiteY3" fmla="*/ 0 h 1600276"/>
                                        <a:gd name="connsiteX4" fmla="*/ 1457630 w 2276932"/>
                                        <a:gd name="connsiteY4" fmla="*/ 199415 h 1600276"/>
                                        <a:gd name="connsiteX5" fmla="*/ 1876573 w 2276932"/>
                                        <a:gd name="connsiteY5" fmla="*/ 127870 h 1600276"/>
                                        <a:gd name="connsiteX6" fmla="*/ 2159889 w 2276932"/>
                                        <a:gd name="connsiteY6" fmla="*/ 159182 h 1600276"/>
                                        <a:gd name="connsiteX7" fmla="*/ 2276932 w 2276932"/>
                                        <a:gd name="connsiteY7" fmla="*/ 378638 h 1600276"/>
                                        <a:gd name="connsiteX8" fmla="*/ 2094911 w 2276932"/>
                                        <a:gd name="connsiteY8" fmla="*/ 451963 h 1600276"/>
                                        <a:gd name="connsiteX9" fmla="*/ 2059489 w 2276932"/>
                                        <a:gd name="connsiteY9" fmla="*/ 628527 h 1600276"/>
                                        <a:gd name="connsiteX10" fmla="*/ 2156512 w 2276932"/>
                                        <a:gd name="connsiteY10" fmla="*/ 875961 h 1600276"/>
                                        <a:gd name="connsiteX11" fmla="*/ 1925802 w 2276932"/>
                                        <a:gd name="connsiteY11" fmla="*/ 1026033 h 1600276"/>
                                        <a:gd name="connsiteX12" fmla="*/ 1933810 w 2276932"/>
                                        <a:gd name="connsiteY12" fmla="*/ 1022272 h 1600276"/>
                                        <a:gd name="connsiteX13" fmla="*/ 1896006 w 2276932"/>
                                        <a:gd name="connsiteY13" fmla="*/ 1025826 h 1600276"/>
                                        <a:gd name="connsiteX14" fmla="*/ 2094911 w 2276932"/>
                                        <a:gd name="connsiteY14" fmla="*/ 1215981 h 1600276"/>
                                        <a:gd name="connsiteX15" fmla="*/ 1611249 w 2276932"/>
                                        <a:gd name="connsiteY15" fmla="*/ 1519809 h 1600276"/>
                                        <a:gd name="connsiteX16" fmla="*/ 1296695 w 2276932"/>
                                        <a:gd name="connsiteY16" fmla="*/ 1417396 h 1600276"/>
                                        <a:gd name="connsiteX17" fmla="*/ 967705 w 2276932"/>
                                        <a:gd name="connsiteY17" fmla="*/ 1534233 h 1600276"/>
                                        <a:gd name="connsiteX18" fmla="*/ 799262 w 2276932"/>
                                        <a:gd name="connsiteY18" fmla="*/ 1490548 h 1600276"/>
                                        <a:gd name="connsiteX19" fmla="*/ 759028 w 2276932"/>
                                        <a:gd name="connsiteY19" fmla="*/ 1600276 h 1600276"/>
                                        <a:gd name="connsiteX20" fmla="*/ 173812 w 2276932"/>
                                        <a:gd name="connsiteY20" fmla="*/ 1399108 h 1600276"/>
                                        <a:gd name="connsiteX21" fmla="*/ 0 w 2276932"/>
                                        <a:gd name="connsiteY21" fmla="*/ 870550 h 1600276"/>
                                        <a:gd name="connsiteX22" fmla="*/ 261594 w 2276932"/>
                                        <a:gd name="connsiteY22" fmla="*/ 246964 h 1600276"/>
                                        <a:gd name="connsiteX23" fmla="*/ 616382 w 2276932"/>
                                        <a:gd name="connsiteY23" fmla="*/ 1905 h 1600276"/>
                                        <a:gd name="connsiteX0" fmla="*/ 616382 w 2276932"/>
                                        <a:gd name="connsiteY0" fmla="*/ 1905 h 1600276"/>
                                        <a:gd name="connsiteX1" fmla="*/ 766329 w 2276932"/>
                                        <a:gd name="connsiteY1" fmla="*/ 104129 h 1600276"/>
                                        <a:gd name="connsiteX2" fmla="*/ 1077239 w 2276932"/>
                                        <a:gd name="connsiteY2" fmla="*/ 27508 h 1600276"/>
                                        <a:gd name="connsiteX3" fmla="*/ 1432161 w 2276932"/>
                                        <a:gd name="connsiteY3" fmla="*/ 0 h 1600276"/>
                                        <a:gd name="connsiteX4" fmla="*/ 1457630 w 2276932"/>
                                        <a:gd name="connsiteY4" fmla="*/ 199415 h 1600276"/>
                                        <a:gd name="connsiteX5" fmla="*/ 1876573 w 2276932"/>
                                        <a:gd name="connsiteY5" fmla="*/ 127870 h 1600276"/>
                                        <a:gd name="connsiteX6" fmla="*/ 2159889 w 2276932"/>
                                        <a:gd name="connsiteY6" fmla="*/ 159182 h 1600276"/>
                                        <a:gd name="connsiteX7" fmla="*/ 2276932 w 2276932"/>
                                        <a:gd name="connsiteY7" fmla="*/ 378638 h 1600276"/>
                                        <a:gd name="connsiteX8" fmla="*/ 2094911 w 2276932"/>
                                        <a:gd name="connsiteY8" fmla="*/ 451963 h 1600276"/>
                                        <a:gd name="connsiteX9" fmla="*/ 2059489 w 2276932"/>
                                        <a:gd name="connsiteY9" fmla="*/ 628527 h 1600276"/>
                                        <a:gd name="connsiteX10" fmla="*/ 2156512 w 2276932"/>
                                        <a:gd name="connsiteY10" fmla="*/ 875961 h 1600276"/>
                                        <a:gd name="connsiteX11" fmla="*/ 1925802 w 2276932"/>
                                        <a:gd name="connsiteY11" fmla="*/ 1026033 h 1600276"/>
                                        <a:gd name="connsiteX12" fmla="*/ 1933810 w 2276932"/>
                                        <a:gd name="connsiteY12" fmla="*/ 1022272 h 1600276"/>
                                        <a:gd name="connsiteX13" fmla="*/ 1896006 w 2276932"/>
                                        <a:gd name="connsiteY13" fmla="*/ 1025826 h 1600276"/>
                                        <a:gd name="connsiteX14" fmla="*/ 2094911 w 2276932"/>
                                        <a:gd name="connsiteY14" fmla="*/ 1215981 h 1600276"/>
                                        <a:gd name="connsiteX15" fmla="*/ 1611249 w 2276932"/>
                                        <a:gd name="connsiteY15" fmla="*/ 1519809 h 1600276"/>
                                        <a:gd name="connsiteX16" fmla="*/ 1296695 w 2276932"/>
                                        <a:gd name="connsiteY16" fmla="*/ 1417396 h 1600276"/>
                                        <a:gd name="connsiteX17" fmla="*/ 967705 w 2276932"/>
                                        <a:gd name="connsiteY17" fmla="*/ 1534233 h 1600276"/>
                                        <a:gd name="connsiteX18" fmla="*/ 799262 w 2276932"/>
                                        <a:gd name="connsiteY18" fmla="*/ 1490548 h 1600276"/>
                                        <a:gd name="connsiteX19" fmla="*/ 759028 w 2276932"/>
                                        <a:gd name="connsiteY19" fmla="*/ 1600276 h 1600276"/>
                                        <a:gd name="connsiteX20" fmla="*/ 173812 w 2276932"/>
                                        <a:gd name="connsiteY20" fmla="*/ 1399108 h 1600276"/>
                                        <a:gd name="connsiteX21" fmla="*/ 0 w 2276932"/>
                                        <a:gd name="connsiteY21" fmla="*/ 870550 h 1600276"/>
                                        <a:gd name="connsiteX22" fmla="*/ 261594 w 2276932"/>
                                        <a:gd name="connsiteY22" fmla="*/ 246964 h 1600276"/>
                                        <a:gd name="connsiteX23" fmla="*/ 616382 w 2276932"/>
                                        <a:gd name="connsiteY23" fmla="*/ 1905 h 1600276"/>
                                        <a:gd name="connsiteX0" fmla="*/ 616382 w 2276932"/>
                                        <a:gd name="connsiteY0" fmla="*/ 1905 h 1600276"/>
                                        <a:gd name="connsiteX1" fmla="*/ 766329 w 2276932"/>
                                        <a:gd name="connsiteY1" fmla="*/ 104129 h 1600276"/>
                                        <a:gd name="connsiteX2" fmla="*/ 872873 w 2276932"/>
                                        <a:gd name="connsiteY2" fmla="*/ 0 h 1600276"/>
                                        <a:gd name="connsiteX3" fmla="*/ 1432161 w 2276932"/>
                                        <a:gd name="connsiteY3" fmla="*/ 0 h 1600276"/>
                                        <a:gd name="connsiteX4" fmla="*/ 1457630 w 2276932"/>
                                        <a:gd name="connsiteY4" fmla="*/ 199415 h 1600276"/>
                                        <a:gd name="connsiteX5" fmla="*/ 1876573 w 2276932"/>
                                        <a:gd name="connsiteY5" fmla="*/ 127870 h 1600276"/>
                                        <a:gd name="connsiteX6" fmla="*/ 2159889 w 2276932"/>
                                        <a:gd name="connsiteY6" fmla="*/ 159182 h 1600276"/>
                                        <a:gd name="connsiteX7" fmla="*/ 2276932 w 2276932"/>
                                        <a:gd name="connsiteY7" fmla="*/ 378638 h 1600276"/>
                                        <a:gd name="connsiteX8" fmla="*/ 2094911 w 2276932"/>
                                        <a:gd name="connsiteY8" fmla="*/ 451963 h 1600276"/>
                                        <a:gd name="connsiteX9" fmla="*/ 2059489 w 2276932"/>
                                        <a:gd name="connsiteY9" fmla="*/ 628527 h 1600276"/>
                                        <a:gd name="connsiteX10" fmla="*/ 2156512 w 2276932"/>
                                        <a:gd name="connsiteY10" fmla="*/ 875961 h 1600276"/>
                                        <a:gd name="connsiteX11" fmla="*/ 1925802 w 2276932"/>
                                        <a:gd name="connsiteY11" fmla="*/ 1026033 h 1600276"/>
                                        <a:gd name="connsiteX12" fmla="*/ 1933810 w 2276932"/>
                                        <a:gd name="connsiteY12" fmla="*/ 1022272 h 1600276"/>
                                        <a:gd name="connsiteX13" fmla="*/ 1896006 w 2276932"/>
                                        <a:gd name="connsiteY13" fmla="*/ 1025826 h 1600276"/>
                                        <a:gd name="connsiteX14" fmla="*/ 2094911 w 2276932"/>
                                        <a:gd name="connsiteY14" fmla="*/ 1215981 h 1600276"/>
                                        <a:gd name="connsiteX15" fmla="*/ 1611249 w 2276932"/>
                                        <a:gd name="connsiteY15" fmla="*/ 1519809 h 1600276"/>
                                        <a:gd name="connsiteX16" fmla="*/ 1296695 w 2276932"/>
                                        <a:gd name="connsiteY16" fmla="*/ 1417396 h 1600276"/>
                                        <a:gd name="connsiteX17" fmla="*/ 967705 w 2276932"/>
                                        <a:gd name="connsiteY17" fmla="*/ 1534233 h 1600276"/>
                                        <a:gd name="connsiteX18" fmla="*/ 799262 w 2276932"/>
                                        <a:gd name="connsiteY18" fmla="*/ 1490548 h 1600276"/>
                                        <a:gd name="connsiteX19" fmla="*/ 759028 w 2276932"/>
                                        <a:gd name="connsiteY19" fmla="*/ 1600276 h 1600276"/>
                                        <a:gd name="connsiteX20" fmla="*/ 173812 w 2276932"/>
                                        <a:gd name="connsiteY20" fmla="*/ 1399108 h 1600276"/>
                                        <a:gd name="connsiteX21" fmla="*/ 0 w 2276932"/>
                                        <a:gd name="connsiteY21" fmla="*/ 870550 h 1600276"/>
                                        <a:gd name="connsiteX22" fmla="*/ 261594 w 2276932"/>
                                        <a:gd name="connsiteY22" fmla="*/ 246964 h 1600276"/>
                                        <a:gd name="connsiteX23" fmla="*/ 616382 w 2276932"/>
                                        <a:gd name="connsiteY23" fmla="*/ 1905 h 1600276"/>
                                        <a:gd name="connsiteX0" fmla="*/ 616382 w 2276932"/>
                                        <a:gd name="connsiteY0" fmla="*/ 18135 h 1616506"/>
                                        <a:gd name="connsiteX1" fmla="*/ 766329 w 2276932"/>
                                        <a:gd name="connsiteY1" fmla="*/ 120359 h 1616506"/>
                                        <a:gd name="connsiteX2" fmla="*/ 872873 w 2276932"/>
                                        <a:gd name="connsiteY2" fmla="*/ 16230 h 1616506"/>
                                        <a:gd name="connsiteX3" fmla="*/ 1224658 w 2276932"/>
                                        <a:gd name="connsiteY3" fmla="*/ 0 h 1616506"/>
                                        <a:gd name="connsiteX4" fmla="*/ 1457630 w 2276932"/>
                                        <a:gd name="connsiteY4" fmla="*/ 215645 h 1616506"/>
                                        <a:gd name="connsiteX5" fmla="*/ 1876573 w 2276932"/>
                                        <a:gd name="connsiteY5" fmla="*/ 144100 h 1616506"/>
                                        <a:gd name="connsiteX6" fmla="*/ 2159889 w 2276932"/>
                                        <a:gd name="connsiteY6" fmla="*/ 175412 h 1616506"/>
                                        <a:gd name="connsiteX7" fmla="*/ 2276932 w 2276932"/>
                                        <a:gd name="connsiteY7" fmla="*/ 394868 h 1616506"/>
                                        <a:gd name="connsiteX8" fmla="*/ 2094911 w 2276932"/>
                                        <a:gd name="connsiteY8" fmla="*/ 468193 h 1616506"/>
                                        <a:gd name="connsiteX9" fmla="*/ 2059489 w 2276932"/>
                                        <a:gd name="connsiteY9" fmla="*/ 644757 h 1616506"/>
                                        <a:gd name="connsiteX10" fmla="*/ 2156512 w 2276932"/>
                                        <a:gd name="connsiteY10" fmla="*/ 892191 h 1616506"/>
                                        <a:gd name="connsiteX11" fmla="*/ 1925802 w 2276932"/>
                                        <a:gd name="connsiteY11" fmla="*/ 1042263 h 1616506"/>
                                        <a:gd name="connsiteX12" fmla="*/ 1933810 w 2276932"/>
                                        <a:gd name="connsiteY12" fmla="*/ 1038502 h 1616506"/>
                                        <a:gd name="connsiteX13" fmla="*/ 1896006 w 2276932"/>
                                        <a:gd name="connsiteY13" fmla="*/ 1042056 h 1616506"/>
                                        <a:gd name="connsiteX14" fmla="*/ 2094911 w 2276932"/>
                                        <a:gd name="connsiteY14" fmla="*/ 1232211 h 1616506"/>
                                        <a:gd name="connsiteX15" fmla="*/ 1611249 w 2276932"/>
                                        <a:gd name="connsiteY15" fmla="*/ 1536039 h 1616506"/>
                                        <a:gd name="connsiteX16" fmla="*/ 1296695 w 2276932"/>
                                        <a:gd name="connsiteY16" fmla="*/ 1433626 h 1616506"/>
                                        <a:gd name="connsiteX17" fmla="*/ 967705 w 2276932"/>
                                        <a:gd name="connsiteY17" fmla="*/ 1550463 h 1616506"/>
                                        <a:gd name="connsiteX18" fmla="*/ 799262 w 2276932"/>
                                        <a:gd name="connsiteY18" fmla="*/ 1506778 h 1616506"/>
                                        <a:gd name="connsiteX19" fmla="*/ 759028 w 2276932"/>
                                        <a:gd name="connsiteY19" fmla="*/ 1616506 h 1616506"/>
                                        <a:gd name="connsiteX20" fmla="*/ 173812 w 2276932"/>
                                        <a:gd name="connsiteY20" fmla="*/ 1415338 h 1616506"/>
                                        <a:gd name="connsiteX21" fmla="*/ 0 w 2276932"/>
                                        <a:gd name="connsiteY21" fmla="*/ 886780 h 1616506"/>
                                        <a:gd name="connsiteX22" fmla="*/ 261594 w 2276932"/>
                                        <a:gd name="connsiteY22" fmla="*/ 263194 h 1616506"/>
                                        <a:gd name="connsiteX23" fmla="*/ 616382 w 2276932"/>
                                        <a:gd name="connsiteY23" fmla="*/ 18135 h 1616506"/>
                                        <a:gd name="connsiteX0" fmla="*/ 616382 w 2276932"/>
                                        <a:gd name="connsiteY0" fmla="*/ 18135 h 1616506"/>
                                        <a:gd name="connsiteX1" fmla="*/ 766329 w 2276932"/>
                                        <a:gd name="connsiteY1" fmla="*/ 120359 h 1616506"/>
                                        <a:gd name="connsiteX2" fmla="*/ 872873 w 2276932"/>
                                        <a:gd name="connsiteY2" fmla="*/ 16230 h 1616506"/>
                                        <a:gd name="connsiteX3" fmla="*/ 1224658 w 2276932"/>
                                        <a:gd name="connsiteY3" fmla="*/ 0 h 1616506"/>
                                        <a:gd name="connsiteX4" fmla="*/ 1266952 w 2276932"/>
                                        <a:gd name="connsiteY4" fmla="*/ 470986 h 1616506"/>
                                        <a:gd name="connsiteX5" fmla="*/ 1876573 w 2276932"/>
                                        <a:gd name="connsiteY5" fmla="*/ 144100 h 1616506"/>
                                        <a:gd name="connsiteX6" fmla="*/ 2159889 w 2276932"/>
                                        <a:gd name="connsiteY6" fmla="*/ 175412 h 1616506"/>
                                        <a:gd name="connsiteX7" fmla="*/ 2276932 w 2276932"/>
                                        <a:gd name="connsiteY7" fmla="*/ 394868 h 1616506"/>
                                        <a:gd name="connsiteX8" fmla="*/ 2094911 w 2276932"/>
                                        <a:gd name="connsiteY8" fmla="*/ 468193 h 1616506"/>
                                        <a:gd name="connsiteX9" fmla="*/ 2059489 w 2276932"/>
                                        <a:gd name="connsiteY9" fmla="*/ 644757 h 1616506"/>
                                        <a:gd name="connsiteX10" fmla="*/ 2156512 w 2276932"/>
                                        <a:gd name="connsiteY10" fmla="*/ 892191 h 1616506"/>
                                        <a:gd name="connsiteX11" fmla="*/ 1925802 w 2276932"/>
                                        <a:gd name="connsiteY11" fmla="*/ 1042263 h 1616506"/>
                                        <a:gd name="connsiteX12" fmla="*/ 1933810 w 2276932"/>
                                        <a:gd name="connsiteY12" fmla="*/ 1038502 h 1616506"/>
                                        <a:gd name="connsiteX13" fmla="*/ 1896006 w 2276932"/>
                                        <a:gd name="connsiteY13" fmla="*/ 1042056 h 1616506"/>
                                        <a:gd name="connsiteX14" fmla="*/ 2094911 w 2276932"/>
                                        <a:gd name="connsiteY14" fmla="*/ 1232211 h 1616506"/>
                                        <a:gd name="connsiteX15" fmla="*/ 1611249 w 2276932"/>
                                        <a:gd name="connsiteY15" fmla="*/ 1536039 h 1616506"/>
                                        <a:gd name="connsiteX16" fmla="*/ 1296695 w 2276932"/>
                                        <a:gd name="connsiteY16" fmla="*/ 1433626 h 1616506"/>
                                        <a:gd name="connsiteX17" fmla="*/ 967705 w 2276932"/>
                                        <a:gd name="connsiteY17" fmla="*/ 1550463 h 1616506"/>
                                        <a:gd name="connsiteX18" fmla="*/ 799262 w 2276932"/>
                                        <a:gd name="connsiteY18" fmla="*/ 1506778 h 1616506"/>
                                        <a:gd name="connsiteX19" fmla="*/ 759028 w 2276932"/>
                                        <a:gd name="connsiteY19" fmla="*/ 1616506 h 1616506"/>
                                        <a:gd name="connsiteX20" fmla="*/ 173812 w 2276932"/>
                                        <a:gd name="connsiteY20" fmla="*/ 1415338 h 1616506"/>
                                        <a:gd name="connsiteX21" fmla="*/ 0 w 2276932"/>
                                        <a:gd name="connsiteY21" fmla="*/ 886780 h 1616506"/>
                                        <a:gd name="connsiteX22" fmla="*/ 261594 w 2276932"/>
                                        <a:gd name="connsiteY22" fmla="*/ 263194 h 1616506"/>
                                        <a:gd name="connsiteX23" fmla="*/ 616382 w 2276932"/>
                                        <a:gd name="connsiteY23" fmla="*/ 18135 h 1616506"/>
                                        <a:gd name="connsiteX0" fmla="*/ 616382 w 2276932"/>
                                        <a:gd name="connsiteY0" fmla="*/ 18135 h 1616506"/>
                                        <a:gd name="connsiteX1" fmla="*/ 766329 w 2276932"/>
                                        <a:gd name="connsiteY1" fmla="*/ 120359 h 1616506"/>
                                        <a:gd name="connsiteX2" fmla="*/ 872873 w 2276932"/>
                                        <a:gd name="connsiteY2" fmla="*/ 16230 h 1616506"/>
                                        <a:gd name="connsiteX3" fmla="*/ 1224658 w 2276932"/>
                                        <a:gd name="connsiteY3" fmla="*/ 0 h 1616506"/>
                                        <a:gd name="connsiteX4" fmla="*/ 1266952 w 2276932"/>
                                        <a:gd name="connsiteY4" fmla="*/ 470986 h 1616506"/>
                                        <a:gd name="connsiteX5" fmla="*/ 1296753 w 2276932"/>
                                        <a:gd name="connsiteY5" fmla="*/ 470986 h 1616506"/>
                                        <a:gd name="connsiteX6" fmla="*/ 2159889 w 2276932"/>
                                        <a:gd name="connsiteY6" fmla="*/ 175412 h 1616506"/>
                                        <a:gd name="connsiteX7" fmla="*/ 2276932 w 2276932"/>
                                        <a:gd name="connsiteY7" fmla="*/ 394868 h 1616506"/>
                                        <a:gd name="connsiteX8" fmla="*/ 2094911 w 2276932"/>
                                        <a:gd name="connsiteY8" fmla="*/ 468193 h 1616506"/>
                                        <a:gd name="connsiteX9" fmla="*/ 2059489 w 2276932"/>
                                        <a:gd name="connsiteY9" fmla="*/ 644757 h 1616506"/>
                                        <a:gd name="connsiteX10" fmla="*/ 2156512 w 2276932"/>
                                        <a:gd name="connsiteY10" fmla="*/ 892191 h 1616506"/>
                                        <a:gd name="connsiteX11" fmla="*/ 1925802 w 2276932"/>
                                        <a:gd name="connsiteY11" fmla="*/ 1042263 h 1616506"/>
                                        <a:gd name="connsiteX12" fmla="*/ 1933810 w 2276932"/>
                                        <a:gd name="connsiteY12" fmla="*/ 1038502 h 1616506"/>
                                        <a:gd name="connsiteX13" fmla="*/ 1896006 w 2276932"/>
                                        <a:gd name="connsiteY13" fmla="*/ 1042056 h 1616506"/>
                                        <a:gd name="connsiteX14" fmla="*/ 2094911 w 2276932"/>
                                        <a:gd name="connsiteY14" fmla="*/ 1232211 h 1616506"/>
                                        <a:gd name="connsiteX15" fmla="*/ 1611249 w 2276932"/>
                                        <a:gd name="connsiteY15" fmla="*/ 1536039 h 1616506"/>
                                        <a:gd name="connsiteX16" fmla="*/ 1296695 w 2276932"/>
                                        <a:gd name="connsiteY16" fmla="*/ 1433626 h 1616506"/>
                                        <a:gd name="connsiteX17" fmla="*/ 967705 w 2276932"/>
                                        <a:gd name="connsiteY17" fmla="*/ 1550463 h 1616506"/>
                                        <a:gd name="connsiteX18" fmla="*/ 799262 w 2276932"/>
                                        <a:gd name="connsiteY18" fmla="*/ 1506778 h 1616506"/>
                                        <a:gd name="connsiteX19" fmla="*/ 759028 w 2276932"/>
                                        <a:gd name="connsiteY19" fmla="*/ 1616506 h 1616506"/>
                                        <a:gd name="connsiteX20" fmla="*/ 173812 w 2276932"/>
                                        <a:gd name="connsiteY20" fmla="*/ 1415338 h 1616506"/>
                                        <a:gd name="connsiteX21" fmla="*/ 0 w 2276932"/>
                                        <a:gd name="connsiteY21" fmla="*/ 886780 h 1616506"/>
                                        <a:gd name="connsiteX22" fmla="*/ 261594 w 2276932"/>
                                        <a:gd name="connsiteY22" fmla="*/ 263194 h 1616506"/>
                                        <a:gd name="connsiteX23" fmla="*/ 616382 w 2276932"/>
                                        <a:gd name="connsiteY23" fmla="*/ 18135 h 1616506"/>
                                        <a:gd name="connsiteX0" fmla="*/ 616382 w 2276932"/>
                                        <a:gd name="connsiteY0" fmla="*/ 18135 h 1616506"/>
                                        <a:gd name="connsiteX1" fmla="*/ 766329 w 2276932"/>
                                        <a:gd name="connsiteY1" fmla="*/ 120359 h 1616506"/>
                                        <a:gd name="connsiteX2" fmla="*/ 872873 w 2276932"/>
                                        <a:gd name="connsiteY2" fmla="*/ 16230 h 1616506"/>
                                        <a:gd name="connsiteX3" fmla="*/ 1224658 w 2276932"/>
                                        <a:gd name="connsiteY3" fmla="*/ 0 h 1616506"/>
                                        <a:gd name="connsiteX4" fmla="*/ 1266952 w 2276932"/>
                                        <a:gd name="connsiteY4" fmla="*/ 470986 h 1616506"/>
                                        <a:gd name="connsiteX5" fmla="*/ 1296753 w 2276932"/>
                                        <a:gd name="connsiteY5" fmla="*/ 470986 h 1616506"/>
                                        <a:gd name="connsiteX6" fmla="*/ 1442039 w 2276932"/>
                                        <a:gd name="connsiteY6" fmla="*/ 719379 h 1616506"/>
                                        <a:gd name="connsiteX7" fmla="*/ 2276932 w 2276932"/>
                                        <a:gd name="connsiteY7" fmla="*/ 394868 h 1616506"/>
                                        <a:gd name="connsiteX8" fmla="*/ 2094911 w 2276932"/>
                                        <a:gd name="connsiteY8" fmla="*/ 468193 h 1616506"/>
                                        <a:gd name="connsiteX9" fmla="*/ 2059489 w 2276932"/>
                                        <a:gd name="connsiteY9" fmla="*/ 644757 h 1616506"/>
                                        <a:gd name="connsiteX10" fmla="*/ 2156512 w 2276932"/>
                                        <a:gd name="connsiteY10" fmla="*/ 892191 h 1616506"/>
                                        <a:gd name="connsiteX11" fmla="*/ 1925802 w 2276932"/>
                                        <a:gd name="connsiteY11" fmla="*/ 1042263 h 1616506"/>
                                        <a:gd name="connsiteX12" fmla="*/ 1933810 w 2276932"/>
                                        <a:gd name="connsiteY12" fmla="*/ 1038502 h 1616506"/>
                                        <a:gd name="connsiteX13" fmla="*/ 1896006 w 2276932"/>
                                        <a:gd name="connsiteY13" fmla="*/ 1042056 h 1616506"/>
                                        <a:gd name="connsiteX14" fmla="*/ 2094911 w 2276932"/>
                                        <a:gd name="connsiteY14" fmla="*/ 1232211 h 1616506"/>
                                        <a:gd name="connsiteX15" fmla="*/ 1611249 w 2276932"/>
                                        <a:gd name="connsiteY15" fmla="*/ 1536039 h 1616506"/>
                                        <a:gd name="connsiteX16" fmla="*/ 1296695 w 2276932"/>
                                        <a:gd name="connsiteY16" fmla="*/ 1433626 h 1616506"/>
                                        <a:gd name="connsiteX17" fmla="*/ 967705 w 2276932"/>
                                        <a:gd name="connsiteY17" fmla="*/ 1550463 h 1616506"/>
                                        <a:gd name="connsiteX18" fmla="*/ 799262 w 2276932"/>
                                        <a:gd name="connsiteY18" fmla="*/ 1506778 h 1616506"/>
                                        <a:gd name="connsiteX19" fmla="*/ 759028 w 2276932"/>
                                        <a:gd name="connsiteY19" fmla="*/ 1616506 h 1616506"/>
                                        <a:gd name="connsiteX20" fmla="*/ 173812 w 2276932"/>
                                        <a:gd name="connsiteY20" fmla="*/ 1415338 h 1616506"/>
                                        <a:gd name="connsiteX21" fmla="*/ 0 w 2276932"/>
                                        <a:gd name="connsiteY21" fmla="*/ 886780 h 1616506"/>
                                        <a:gd name="connsiteX22" fmla="*/ 261594 w 2276932"/>
                                        <a:gd name="connsiteY22" fmla="*/ 263194 h 1616506"/>
                                        <a:gd name="connsiteX23" fmla="*/ 616382 w 2276932"/>
                                        <a:gd name="connsiteY23" fmla="*/ 18135 h 1616506"/>
                                        <a:gd name="connsiteX0" fmla="*/ 616382 w 2156511"/>
                                        <a:gd name="connsiteY0" fmla="*/ 18135 h 1616506"/>
                                        <a:gd name="connsiteX1" fmla="*/ 766329 w 2156511"/>
                                        <a:gd name="connsiteY1" fmla="*/ 120359 h 1616506"/>
                                        <a:gd name="connsiteX2" fmla="*/ 872873 w 2156511"/>
                                        <a:gd name="connsiteY2" fmla="*/ 16230 h 1616506"/>
                                        <a:gd name="connsiteX3" fmla="*/ 1224658 w 2156511"/>
                                        <a:gd name="connsiteY3" fmla="*/ 0 h 1616506"/>
                                        <a:gd name="connsiteX4" fmla="*/ 1266952 w 2156511"/>
                                        <a:gd name="connsiteY4" fmla="*/ 470986 h 1616506"/>
                                        <a:gd name="connsiteX5" fmla="*/ 1296753 w 2156511"/>
                                        <a:gd name="connsiteY5" fmla="*/ 470986 h 1616506"/>
                                        <a:gd name="connsiteX6" fmla="*/ 1442039 w 2156511"/>
                                        <a:gd name="connsiteY6" fmla="*/ 719379 h 1616506"/>
                                        <a:gd name="connsiteX7" fmla="*/ 1486177 w 2156511"/>
                                        <a:gd name="connsiteY7" fmla="*/ 871539 h 1616506"/>
                                        <a:gd name="connsiteX8" fmla="*/ 2094911 w 2156511"/>
                                        <a:gd name="connsiteY8" fmla="*/ 468193 h 1616506"/>
                                        <a:gd name="connsiteX9" fmla="*/ 2059489 w 2156511"/>
                                        <a:gd name="connsiteY9" fmla="*/ 644757 h 1616506"/>
                                        <a:gd name="connsiteX10" fmla="*/ 2156512 w 2156511"/>
                                        <a:gd name="connsiteY10" fmla="*/ 892191 h 1616506"/>
                                        <a:gd name="connsiteX11" fmla="*/ 1925802 w 2156511"/>
                                        <a:gd name="connsiteY11" fmla="*/ 1042263 h 1616506"/>
                                        <a:gd name="connsiteX12" fmla="*/ 1933810 w 2156511"/>
                                        <a:gd name="connsiteY12" fmla="*/ 1038502 h 1616506"/>
                                        <a:gd name="connsiteX13" fmla="*/ 1896006 w 2156511"/>
                                        <a:gd name="connsiteY13" fmla="*/ 1042056 h 1616506"/>
                                        <a:gd name="connsiteX14" fmla="*/ 2094911 w 2156511"/>
                                        <a:gd name="connsiteY14" fmla="*/ 1232211 h 1616506"/>
                                        <a:gd name="connsiteX15" fmla="*/ 1611249 w 2156511"/>
                                        <a:gd name="connsiteY15" fmla="*/ 1536039 h 1616506"/>
                                        <a:gd name="connsiteX16" fmla="*/ 1296695 w 2156511"/>
                                        <a:gd name="connsiteY16" fmla="*/ 1433626 h 1616506"/>
                                        <a:gd name="connsiteX17" fmla="*/ 967705 w 2156511"/>
                                        <a:gd name="connsiteY17" fmla="*/ 1550463 h 1616506"/>
                                        <a:gd name="connsiteX18" fmla="*/ 799262 w 2156511"/>
                                        <a:gd name="connsiteY18" fmla="*/ 1506778 h 1616506"/>
                                        <a:gd name="connsiteX19" fmla="*/ 759028 w 2156511"/>
                                        <a:gd name="connsiteY19" fmla="*/ 1616506 h 1616506"/>
                                        <a:gd name="connsiteX20" fmla="*/ 173812 w 2156511"/>
                                        <a:gd name="connsiteY20" fmla="*/ 1415338 h 1616506"/>
                                        <a:gd name="connsiteX21" fmla="*/ 0 w 2156511"/>
                                        <a:gd name="connsiteY21" fmla="*/ 886780 h 1616506"/>
                                        <a:gd name="connsiteX22" fmla="*/ 261594 w 2156511"/>
                                        <a:gd name="connsiteY22" fmla="*/ 263194 h 1616506"/>
                                        <a:gd name="connsiteX23" fmla="*/ 616382 w 2156511"/>
                                        <a:gd name="connsiteY23" fmla="*/ 18135 h 1616506"/>
                                        <a:gd name="connsiteX0" fmla="*/ 616382 w 2156513"/>
                                        <a:gd name="connsiteY0" fmla="*/ 18135 h 1616506"/>
                                        <a:gd name="connsiteX1" fmla="*/ 766329 w 2156513"/>
                                        <a:gd name="connsiteY1" fmla="*/ 120359 h 1616506"/>
                                        <a:gd name="connsiteX2" fmla="*/ 872873 w 2156513"/>
                                        <a:gd name="connsiteY2" fmla="*/ 16230 h 1616506"/>
                                        <a:gd name="connsiteX3" fmla="*/ 1224658 w 2156513"/>
                                        <a:gd name="connsiteY3" fmla="*/ 0 h 1616506"/>
                                        <a:gd name="connsiteX4" fmla="*/ 1266952 w 2156513"/>
                                        <a:gd name="connsiteY4" fmla="*/ 470986 h 1616506"/>
                                        <a:gd name="connsiteX5" fmla="*/ 1296753 w 2156513"/>
                                        <a:gd name="connsiteY5" fmla="*/ 470986 h 1616506"/>
                                        <a:gd name="connsiteX6" fmla="*/ 1442039 w 2156513"/>
                                        <a:gd name="connsiteY6" fmla="*/ 719379 h 1616506"/>
                                        <a:gd name="connsiteX7" fmla="*/ 1486177 w 2156513"/>
                                        <a:gd name="connsiteY7" fmla="*/ 871539 h 1616506"/>
                                        <a:gd name="connsiteX8" fmla="*/ 1620775 w 2156513"/>
                                        <a:gd name="connsiteY8" fmla="*/ 1009098 h 1616506"/>
                                        <a:gd name="connsiteX9" fmla="*/ 2059489 w 2156513"/>
                                        <a:gd name="connsiteY9" fmla="*/ 644757 h 1616506"/>
                                        <a:gd name="connsiteX10" fmla="*/ 2156512 w 2156513"/>
                                        <a:gd name="connsiteY10" fmla="*/ 892191 h 1616506"/>
                                        <a:gd name="connsiteX11" fmla="*/ 1925802 w 2156513"/>
                                        <a:gd name="connsiteY11" fmla="*/ 1042263 h 1616506"/>
                                        <a:gd name="connsiteX12" fmla="*/ 1933810 w 2156513"/>
                                        <a:gd name="connsiteY12" fmla="*/ 1038502 h 1616506"/>
                                        <a:gd name="connsiteX13" fmla="*/ 1896006 w 2156513"/>
                                        <a:gd name="connsiteY13" fmla="*/ 1042056 h 1616506"/>
                                        <a:gd name="connsiteX14" fmla="*/ 2094911 w 2156513"/>
                                        <a:gd name="connsiteY14" fmla="*/ 1232211 h 1616506"/>
                                        <a:gd name="connsiteX15" fmla="*/ 1611249 w 2156513"/>
                                        <a:gd name="connsiteY15" fmla="*/ 1536039 h 1616506"/>
                                        <a:gd name="connsiteX16" fmla="*/ 1296695 w 2156513"/>
                                        <a:gd name="connsiteY16" fmla="*/ 1433626 h 1616506"/>
                                        <a:gd name="connsiteX17" fmla="*/ 967705 w 2156513"/>
                                        <a:gd name="connsiteY17" fmla="*/ 1550463 h 1616506"/>
                                        <a:gd name="connsiteX18" fmla="*/ 799262 w 2156513"/>
                                        <a:gd name="connsiteY18" fmla="*/ 1506778 h 1616506"/>
                                        <a:gd name="connsiteX19" fmla="*/ 759028 w 2156513"/>
                                        <a:gd name="connsiteY19" fmla="*/ 1616506 h 1616506"/>
                                        <a:gd name="connsiteX20" fmla="*/ 173812 w 2156513"/>
                                        <a:gd name="connsiteY20" fmla="*/ 1415338 h 1616506"/>
                                        <a:gd name="connsiteX21" fmla="*/ 0 w 2156513"/>
                                        <a:gd name="connsiteY21" fmla="*/ 886780 h 1616506"/>
                                        <a:gd name="connsiteX22" fmla="*/ 261594 w 2156513"/>
                                        <a:gd name="connsiteY22" fmla="*/ 263194 h 1616506"/>
                                        <a:gd name="connsiteX23" fmla="*/ 616382 w 2156513"/>
                                        <a:gd name="connsiteY23" fmla="*/ 18135 h 1616506"/>
                                        <a:gd name="connsiteX0" fmla="*/ 616382 w 2156511"/>
                                        <a:gd name="connsiteY0" fmla="*/ 18135 h 1616506"/>
                                        <a:gd name="connsiteX1" fmla="*/ 766329 w 2156511"/>
                                        <a:gd name="connsiteY1" fmla="*/ 120359 h 1616506"/>
                                        <a:gd name="connsiteX2" fmla="*/ 872873 w 2156511"/>
                                        <a:gd name="connsiteY2" fmla="*/ 16230 h 1616506"/>
                                        <a:gd name="connsiteX3" fmla="*/ 1224658 w 2156511"/>
                                        <a:gd name="connsiteY3" fmla="*/ 0 h 1616506"/>
                                        <a:gd name="connsiteX4" fmla="*/ 1266952 w 2156511"/>
                                        <a:gd name="connsiteY4" fmla="*/ 470986 h 1616506"/>
                                        <a:gd name="connsiteX5" fmla="*/ 1296753 w 2156511"/>
                                        <a:gd name="connsiteY5" fmla="*/ 470986 h 1616506"/>
                                        <a:gd name="connsiteX6" fmla="*/ 1442039 w 2156511"/>
                                        <a:gd name="connsiteY6" fmla="*/ 719379 h 1616506"/>
                                        <a:gd name="connsiteX7" fmla="*/ 1486177 w 2156511"/>
                                        <a:gd name="connsiteY7" fmla="*/ 871539 h 1616506"/>
                                        <a:gd name="connsiteX8" fmla="*/ 1620775 w 2156511"/>
                                        <a:gd name="connsiteY8" fmla="*/ 1009098 h 1616506"/>
                                        <a:gd name="connsiteX9" fmla="*/ 2059489 w 2156511"/>
                                        <a:gd name="connsiteY9" fmla="*/ 644757 h 1616506"/>
                                        <a:gd name="connsiteX10" fmla="*/ 1531467 w 2156511"/>
                                        <a:gd name="connsiteY10" fmla="*/ 1052752 h 1616506"/>
                                        <a:gd name="connsiteX11" fmla="*/ 2156512 w 2156511"/>
                                        <a:gd name="connsiteY11" fmla="*/ 892191 h 1616506"/>
                                        <a:gd name="connsiteX12" fmla="*/ 1925802 w 2156511"/>
                                        <a:gd name="connsiteY12" fmla="*/ 1042263 h 1616506"/>
                                        <a:gd name="connsiteX13" fmla="*/ 1933810 w 2156511"/>
                                        <a:gd name="connsiteY13" fmla="*/ 1038502 h 1616506"/>
                                        <a:gd name="connsiteX14" fmla="*/ 1896006 w 2156511"/>
                                        <a:gd name="connsiteY14" fmla="*/ 1042056 h 1616506"/>
                                        <a:gd name="connsiteX15" fmla="*/ 2094911 w 2156511"/>
                                        <a:gd name="connsiteY15" fmla="*/ 1232211 h 1616506"/>
                                        <a:gd name="connsiteX16" fmla="*/ 1611249 w 2156511"/>
                                        <a:gd name="connsiteY16" fmla="*/ 1536039 h 1616506"/>
                                        <a:gd name="connsiteX17" fmla="*/ 1296695 w 2156511"/>
                                        <a:gd name="connsiteY17" fmla="*/ 1433626 h 1616506"/>
                                        <a:gd name="connsiteX18" fmla="*/ 967705 w 2156511"/>
                                        <a:gd name="connsiteY18" fmla="*/ 1550463 h 1616506"/>
                                        <a:gd name="connsiteX19" fmla="*/ 799262 w 2156511"/>
                                        <a:gd name="connsiteY19" fmla="*/ 1506778 h 1616506"/>
                                        <a:gd name="connsiteX20" fmla="*/ 759028 w 2156511"/>
                                        <a:gd name="connsiteY20" fmla="*/ 1616506 h 1616506"/>
                                        <a:gd name="connsiteX21" fmla="*/ 173812 w 2156511"/>
                                        <a:gd name="connsiteY21" fmla="*/ 1415338 h 1616506"/>
                                        <a:gd name="connsiteX22" fmla="*/ 0 w 2156511"/>
                                        <a:gd name="connsiteY22" fmla="*/ 886780 h 1616506"/>
                                        <a:gd name="connsiteX23" fmla="*/ 261594 w 2156511"/>
                                        <a:gd name="connsiteY23" fmla="*/ 263194 h 1616506"/>
                                        <a:gd name="connsiteX24" fmla="*/ 616382 w 2156511"/>
                                        <a:gd name="connsiteY24" fmla="*/ 18135 h 1616506"/>
                                        <a:gd name="connsiteX0" fmla="*/ 616382 w 2156513"/>
                                        <a:gd name="connsiteY0" fmla="*/ 18135 h 1616506"/>
                                        <a:gd name="connsiteX1" fmla="*/ 766329 w 2156513"/>
                                        <a:gd name="connsiteY1" fmla="*/ 120359 h 1616506"/>
                                        <a:gd name="connsiteX2" fmla="*/ 872873 w 2156513"/>
                                        <a:gd name="connsiteY2" fmla="*/ 16230 h 1616506"/>
                                        <a:gd name="connsiteX3" fmla="*/ 1224658 w 2156513"/>
                                        <a:gd name="connsiteY3" fmla="*/ 0 h 1616506"/>
                                        <a:gd name="connsiteX4" fmla="*/ 1266952 w 2156513"/>
                                        <a:gd name="connsiteY4" fmla="*/ 470986 h 1616506"/>
                                        <a:gd name="connsiteX5" fmla="*/ 1296753 w 2156513"/>
                                        <a:gd name="connsiteY5" fmla="*/ 470986 h 1616506"/>
                                        <a:gd name="connsiteX6" fmla="*/ 1442039 w 2156513"/>
                                        <a:gd name="connsiteY6" fmla="*/ 719379 h 1616506"/>
                                        <a:gd name="connsiteX7" fmla="*/ 1486177 w 2156513"/>
                                        <a:gd name="connsiteY7" fmla="*/ 871539 h 1616506"/>
                                        <a:gd name="connsiteX8" fmla="*/ 1620775 w 2156513"/>
                                        <a:gd name="connsiteY8" fmla="*/ 1009098 h 1616506"/>
                                        <a:gd name="connsiteX9" fmla="*/ 1531467 w 2156513"/>
                                        <a:gd name="connsiteY9" fmla="*/ 1052752 h 1616506"/>
                                        <a:gd name="connsiteX10" fmla="*/ 2156512 w 2156513"/>
                                        <a:gd name="connsiteY10" fmla="*/ 892191 h 1616506"/>
                                        <a:gd name="connsiteX11" fmla="*/ 1925802 w 2156513"/>
                                        <a:gd name="connsiteY11" fmla="*/ 1042263 h 1616506"/>
                                        <a:gd name="connsiteX12" fmla="*/ 1933810 w 2156513"/>
                                        <a:gd name="connsiteY12" fmla="*/ 1038502 h 1616506"/>
                                        <a:gd name="connsiteX13" fmla="*/ 1896006 w 2156513"/>
                                        <a:gd name="connsiteY13" fmla="*/ 1042056 h 1616506"/>
                                        <a:gd name="connsiteX14" fmla="*/ 2094911 w 2156513"/>
                                        <a:gd name="connsiteY14" fmla="*/ 1232211 h 1616506"/>
                                        <a:gd name="connsiteX15" fmla="*/ 1611249 w 2156513"/>
                                        <a:gd name="connsiteY15" fmla="*/ 1536039 h 1616506"/>
                                        <a:gd name="connsiteX16" fmla="*/ 1296695 w 2156513"/>
                                        <a:gd name="connsiteY16" fmla="*/ 1433626 h 1616506"/>
                                        <a:gd name="connsiteX17" fmla="*/ 967705 w 2156513"/>
                                        <a:gd name="connsiteY17" fmla="*/ 1550463 h 1616506"/>
                                        <a:gd name="connsiteX18" fmla="*/ 799262 w 2156513"/>
                                        <a:gd name="connsiteY18" fmla="*/ 1506778 h 1616506"/>
                                        <a:gd name="connsiteX19" fmla="*/ 759028 w 2156513"/>
                                        <a:gd name="connsiteY19" fmla="*/ 1616506 h 1616506"/>
                                        <a:gd name="connsiteX20" fmla="*/ 173812 w 2156513"/>
                                        <a:gd name="connsiteY20" fmla="*/ 1415338 h 1616506"/>
                                        <a:gd name="connsiteX21" fmla="*/ 0 w 2156513"/>
                                        <a:gd name="connsiteY21" fmla="*/ 886780 h 1616506"/>
                                        <a:gd name="connsiteX22" fmla="*/ 261594 w 2156513"/>
                                        <a:gd name="connsiteY22" fmla="*/ 263194 h 1616506"/>
                                        <a:gd name="connsiteX23" fmla="*/ 616382 w 2156513"/>
                                        <a:gd name="connsiteY23" fmla="*/ 18135 h 1616506"/>
                                        <a:gd name="connsiteX0" fmla="*/ 616382 w 2094911"/>
                                        <a:gd name="connsiteY0" fmla="*/ 18135 h 1616506"/>
                                        <a:gd name="connsiteX1" fmla="*/ 766329 w 2094911"/>
                                        <a:gd name="connsiteY1" fmla="*/ 120359 h 1616506"/>
                                        <a:gd name="connsiteX2" fmla="*/ 872873 w 2094911"/>
                                        <a:gd name="connsiteY2" fmla="*/ 16230 h 1616506"/>
                                        <a:gd name="connsiteX3" fmla="*/ 1224658 w 2094911"/>
                                        <a:gd name="connsiteY3" fmla="*/ 0 h 1616506"/>
                                        <a:gd name="connsiteX4" fmla="*/ 1266952 w 2094911"/>
                                        <a:gd name="connsiteY4" fmla="*/ 470986 h 1616506"/>
                                        <a:gd name="connsiteX5" fmla="*/ 1296753 w 2094911"/>
                                        <a:gd name="connsiteY5" fmla="*/ 470986 h 1616506"/>
                                        <a:gd name="connsiteX6" fmla="*/ 1442039 w 2094911"/>
                                        <a:gd name="connsiteY6" fmla="*/ 719379 h 1616506"/>
                                        <a:gd name="connsiteX7" fmla="*/ 1486177 w 2094911"/>
                                        <a:gd name="connsiteY7" fmla="*/ 871539 h 1616506"/>
                                        <a:gd name="connsiteX8" fmla="*/ 1620775 w 2094911"/>
                                        <a:gd name="connsiteY8" fmla="*/ 1009098 h 1616506"/>
                                        <a:gd name="connsiteX9" fmla="*/ 1531467 w 2094911"/>
                                        <a:gd name="connsiteY9" fmla="*/ 1052752 h 1616506"/>
                                        <a:gd name="connsiteX10" fmla="*/ 1438663 w 2094911"/>
                                        <a:gd name="connsiteY10" fmla="*/ 1304125 h 1616506"/>
                                        <a:gd name="connsiteX11" fmla="*/ 1925802 w 2094911"/>
                                        <a:gd name="connsiteY11" fmla="*/ 1042263 h 1616506"/>
                                        <a:gd name="connsiteX12" fmla="*/ 1933810 w 2094911"/>
                                        <a:gd name="connsiteY12" fmla="*/ 1038502 h 1616506"/>
                                        <a:gd name="connsiteX13" fmla="*/ 1896006 w 2094911"/>
                                        <a:gd name="connsiteY13" fmla="*/ 1042056 h 1616506"/>
                                        <a:gd name="connsiteX14" fmla="*/ 2094911 w 2094911"/>
                                        <a:gd name="connsiteY14" fmla="*/ 1232211 h 1616506"/>
                                        <a:gd name="connsiteX15" fmla="*/ 1611249 w 2094911"/>
                                        <a:gd name="connsiteY15" fmla="*/ 1536039 h 1616506"/>
                                        <a:gd name="connsiteX16" fmla="*/ 1296695 w 2094911"/>
                                        <a:gd name="connsiteY16" fmla="*/ 1433626 h 1616506"/>
                                        <a:gd name="connsiteX17" fmla="*/ 967705 w 2094911"/>
                                        <a:gd name="connsiteY17" fmla="*/ 1550463 h 1616506"/>
                                        <a:gd name="connsiteX18" fmla="*/ 799262 w 2094911"/>
                                        <a:gd name="connsiteY18" fmla="*/ 1506778 h 1616506"/>
                                        <a:gd name="connsiteX19" fmla="*/ 759028 w 2094911"/>
                                        <a:gd name="connsiteY19" fmla="*/ 1616506 h 1616506"/>
                                        <a:gd name="connsiteX20" fmla="*/ 173812 w 2094911"/>
                                        <a:gd name="connsiteY20" fmla="*/ 1415338 h 1616506"/>
                                        <a:gd name="connsiteX21" fmla="*/ 0 w 2094911"/>
                                        <a:gd name="connsiteY21" fmla="*/ 886780 h 1616506"/>
                                        <a:gd name="connsiteX22" fmla="*/ 261594 w 2094911"/>
                                        <a:gd name="connsiteY22" fmla="*/ 263194 h 1616506"/>
                                        <a:gd name="connsiteX23" fmla="*/ 616382 w 2094911"/>
                                        <a:gd name="connsiteY23" fmla="*/ 18135 h 1616506"/>
                                        <a:gd name="connsiteX0" fmla="*/ 616382 w 2104579"/>
                                        <a:gd name="connsiteY0" fmla="*/ 18135 h 1616506"/>
                                        <a:gd name="connsiteX1" fmla="*/ 766329 w 2104579"/>
                                        <a:gd name="connsiteY1" fmla="*/ 120359 h 1616506"/>
                                        <a:gd name="connsiteX2" fmla="*/ 872873 w 2104579"/>
                                        <a:gd name="connsiteY2" fmla="*/ 16230 h 1616506"/>
                                        <a:gd name="connsiteX3" fmla="*/ 1224658 w 2104579"/>
                                        <a:gd name="connsiteY3" fmla="*/ 0 h 1616506"/>
                                        <a:gd name="connsiteX4" fmla="*/ 1266952 w 2104579"/>
                                        <a:gd name="connsiteY4" fmla="*/ 470986 h 1616506"/>
                                        <a:gd name="connsiteX5" fmla="*/ 1296753 w 2104579"/>
                                        <a:gd name="connsiteY5" fmla="*/ 470986 h 1616506"/>
                                        <a:gd name="connsiteX6" fmla="*/ 1442039 w 2104579"/>
                                        <a:gd name="connsiteY6" fmla="*/ 719379 h 1616506"/>
                                        <a:gd name="connsiteX7" fmla="*/ 1486177 w 2104579"/>
                                        <a:gd name="connsiteY7" fmla="*/ 871539 h 1616506"/>
                                        <a:gd name="connsiteX8" fmla="*/ 1620775 w 2104579"/>
                                        <a:gd name="connsiteY8" fmla="*/ 1009098 h 1616506"/>
                                        <a:gd name="connsiteX9" fmla="*/ 1531467 w 2104579"/>
                                        <a:gd name="connsiteY9" fmla="*/ 1052752 h 1616506"/>
                                        <a:gd name="connsiteX10" fmla="*/ 1438663 w 2104579"/>
                                        <a:gd name="connsiteY10" fmla="*/ 1304125 h 1616506"/>
                                        <a:gd name="connsiteX11" fmla="*/ 1925802 w 2104579"/>
                                        <a:gd name="connsiteY11" fmla="*/ 1042263 h 1616506"/>
                                        <a:gd name="connsiteX12" fmla="*/ 1933810 w 2104579"/>
                                        <a:gd name="connsiteY12" fmla="*/ 1038502 h 1616506"/>
                                        <a:gd name="connsiteX13" fmla="*/ 2094911 w 2104579"/>
                                        <a:gd name="connsiteY13" fmla="*/ 1232211 h 1616506"/>
                                        <a:gd name="connsiteX14" fmla="*/ 1611249 w 2104579"/>
                                        <a:gd name="connsiteY14" fmla="*/ 1536039 h 1616506"/>
                                        <a:gd name="connsiteX15" fmla="*/ 1296695 w 2104579"/>
                                        <a:gd name="connsiteY15" fmla="*/ 1433626 h 1616506"/>
                                        <a:gd name="connsiteX16" fmla="*/ 967705 w 2104579"/>
                                        <a:gd name="connsiteY16" fmla="*/ 1550463 h 1616506"/>
                                        <a:gd name="connsiteX17" fmla="*/ 799262 w 2104579"/>
                                        <a:gd name="connsiteY17" fmla="*/ 1506778 h 1616506"/>
                                        <a:gd name="connsiteX18" fmla="*/ 759028 w 2104579"/>
                                        <a:gd name="connsiteY18" fmla="*/ 1616506 h 1616506"/>
                                        <a:gd name="connsiteX19" fmla="*/ 173812 w 2104579"/>
                                        <a:gd name="connsiteY19" fmla="*/ 1415338 h 1616506"/>
                                        <a:gd name="connsiteX20" fmla="*/ 0 w 2104579"/>
                                        <a:gd name="connsiteY20" fmla="*/ 886780 h 1616506"/>
                                        <a:gd name="connsiteX21" fmla="*/ 261594 w 2104579"/>
                                        <a:gd name="connsiteY21" fmla="*/ 263194 h 1616506"/>
                                        <a:gd name="connsiteX22" fmla="*/ 616382 w 2104579"/>
                                        <a:gd name="connsiteY22" fmla="*/ 18135 h 1616506"/>
                                        <a:gd name="connsiteX0" fmla="*/ 616382 w 1949666"/>
                                        <a:gd name="connsiteY0" fmla="*/ 18135 h 1616506"/>
                                        <a:gd name="connsiteX1" fmla="*/ 766329 w 1949666"/>
                                        <a:gd name="connsiteY1" fmla="*/ 120359 h 1616506"/>
                                        <a:gd name="connsiteX2" fmla="*/ 872873 w 1949666"/>
                                        <a:gd name="connsiteY2" fmla="*/ 16230 h 1616506"/>
                                        <a:gd name="connsiteX3" fmla="*/ 1224658 w 1949666"/>
                                        <a:gd name="connsiteY3" fmla="*/ 0 h 1616506"/>
                                        <a:gd name="connsiteX4" fmla="*/ 1266952 w 1949666"/>
                                        <a:gd name="connsiteY4" fmla="*/ 470986 h 1616506"/>
                                        <a:gd name="connsiteX5" fmla="*/ 1296753 w 1949666"/>
                                        <a:gd name="connsiteY5" fmla="*/ 470986 h 1616506"/>
                                        <a:gd name="connsiteX6" fmla="*/ 1442039 w 1949666"/>
                                        <a:gd name="connsiteY6" fmla="*/ 719379 h 1616506"/>
                                        <a:gd name="connsiteX7" fmla="*/ 1486177 w 1949666"/>
                                        <a:gd name="connsiteY7" fmla="*/ 871539 h 1616506"/>
                                        <a:gd name="connsiteX8" fmla="*/ 1620775 w 1949666"/>
                                        <a:gd name="connsiteY8" fmla="*/ 1009098 h 1616506"/>
                                        <a:gd name="connsiteX9" fmla="*/ 1531467 w 1949666"/>
                                        <a:gd name="connsiteY9" fmla="*/ 1052752 h 1616506"/>
                                        <a:gd name="connsiteX10" fmla="*/ 1438663 w 1949666"/>
                                        <a:gd name="connsiteY10" fmla="*/ 1304125 h 1616506"/>
                                        <a:gd name="connsiteX11" fmla="*/ 1925802 w 1949666"/>
                                        <a:gd name="connsiteY11" fmla="*/ 1042263 h 1616506"/>
                                        <a:gd name="connsiteX12" fmla="*/ 1933810 w 1949666"/>
                                        <a:gd name="connsiteY12" fmla="*/ 1038502 h 1616506"/>
                                        <a:gd name="connsiteX13" fmla="*/ 1611249 w 1949666"/>
                                        <a:gd name="connsiteY13" fmla="*/ 1536039 h 1616506"/>
                                        <a:gd name="connsiteX14" fmla="*/ 1296695 w 1949666"/>
                                        <a:gd name="connsiteY14" fmla="*/ 1433626 h 1616506"/>
                                        <a:gd name="connsiteX15" fmla="*/ 967705 w 1949666"/>
                                        <a:gd name="connsiteY15" fmla="*/ 1550463 h 1616506"/>
                                        <a:gd name="connsiteX16" fmla="*/ 799262 w 1949666"/>
                                        <a:gd name="connsiteY16" fmla="*/ 1506778 h 1616506"/>
                                        <a:gd name="connsiteX17" fmla="*/ 759028 w 1949666"/>
                                        <a:gd name="connsiteY17" fmla="*/ 1616506 h 1616506"/>
                                        <a:gd name="connsiteX18" fmla="*/ 173812 w 1949666"/>
                                        <a:gd name="connsiteY18" fmla="*/ 1415338 h 1616506"/>
                                        <a:gd name="connsiteX19" fmla="*/ 0 w 1949666"/>
                                        <a:gd name="connsiteY19" fmla="*/ 886780 h 1616506"/>
                                        <a:gd name="connsiteX20" fmla="*/ 261594 w 1949666"/>
                                        <a:gd name="connsiteY20" fmla="*/ 263194 h 1616506"/>
                                        <a:gd name="connsiteX21" fmla="*/ 616382 w 1949666"/>
                                        <a:gd name="connsiteY21" fmla="*/ 18135 h 1616506"/>
                                        <a:gd name="connsiteX0" fmla="*/ 616382 w 1971708"/>
                                        <a:gd name="connsiteY0" fmla="*/ 18135 h 1616506"/>
                                        <a:gd name="connsiteX1" fmla="*/ 766329 w 1971708"/>
                                        <a:gd name="connsiteY1" fmla="*/ 120359 h 1616506"/>
                                        <a:gd name="connsiteX2" fmla="*/ 872873 w 1971708"/>
                                        <a:gd name="connsiteY2" fmla="*/ 16230 h 1616506"/>
                                        <a:gd name="connsiteX3" fmla="*/ 1224658 w 1971708"/>
                                        <a:gd name="connsiteY3" fmla="*/ 0 h 1616506"/>
                                        <a:gd name="connsiteX4" fmla="*/ 1266952 w 1971708"/>
                                        <a:gd name="connsiteY4" fmla="*/ 470986 h 1616506"/>
                                        <a:gd name="connsiteX5" fmla="*/ 1296753 w 1971708"/>
                                        <a:gd name="connsiteY5" fmla="*/ 470986 h 1616506"/>
                                        <a:gd name="connsiteX6" fmla="*/ 1442039 w 1971708"/>
                                        <a:gd name="connsiteY6" fmla="*/ 719379 h 1616506"/>
                                        <a:gd name="connsiteX7" fmla="*/ 1486177 w 1971708"/>
                                        <a:gd name="connsiteY7" fmla="*/ 871539 h 1616506"/>
                                        <a:gd name="connsiteX8" fmla="*/ 1620775 w 1971708"/>
                                        <a:gd name="connsiteY8" fmla="*/ 1009098 h 1616506"/>
                                        <a:gd name="connsiteX9" fmla="*/ 1531467 w 1971708"/>
                                        <a:gd name="connsiteY9" fmla="*/ 1052752 h 1616506"/>
                                        <a:gd name="connsiteX10" fmla="*/ 1438663 w 1971708"/>
                                        <a:gd name="connsiteY10" fmla="*/ 1304125 h 1616506"/>
                                        <a:gd name="connsiteX11" fmla="*/ 1925802 w 1971708"/>
                                        <a:gd name="connsiteY11" fmla="*/ 1042263 h 1616506"/>
                                        <a:gd name="connsiteX12" fmla="*/ 1933810 w 1971708"/>
                                        <a:gd name="connsiteY12" fmla="*/ 1038502 h 1616506"/>
                                        <a:gd name="connsiteX13" fmla="*/ 1296695 w 1971708"/>
                                        <a:gd name="connsiteY13" fmla="*/ 1433626 h 1616506"/>
                                        <a:gd name="connsiteX14" fmla="*/ 967705 w 1971708"/>
                                        <a:gd name="connsiteY14" fmla="*/ 1550463 h 1616506"/>
                                        <a:gd name="connsiteX15" fmla="*/ 799262 w 1971708"/>
                                        <a:gd name="connsiteY15" fmla="*/ 1506778 h 1616506"/>
                                        <a:gd name="connsiteX16" fmla="*/ 759028 w 1971708"/>
                                        <a:gd name="connsiteY16" fmla="*/ 1616506 h 1616506"/>
                                        <a:gd name="connsiteX17" fmla="*/ 173812 w 1971708"/>
                                        <a:gd name="connsiteY17" fmla="*/ 1415338 h 1616506"/>
                                        <a:gd name="connsiteX18" fmla="*/ 0 w 1971708"/>
                                        <a:gd name="connsiteY18" fmla="*/ 886780 h 1616506"/>
                                        <a:gd name="connsiteX19" fmla="*/ 261594 w 1971708"/>
                                        <a:gd name="connsiteY19" fmla="*/ 263194 h 1616506"/>
                                        <a:gd name="connsiteX20" fmla="*/ 616382 w 1971708"/>
                                        <a:gd name="connsiteY20" fmla="*/ 18135 h 1616506"/>
                                        <a:gd name="connsiteX0" fmla="*/ 616382 w 1925802"/>
                                        <a:gd name="connsiteY0" fmla="*/ 18135 h 1616506"/>
                                        <a:gd name="connsiteX1" fmla="*/ 766329 w 1925802"/>
                                        <a:gd name="connsiteY1" fmla="*/ 120359 h 1616506"/>
                                        <a:gd name="connsiteX2" fmla="*/ 872873 w 1925802"/>
                                        <a:gd name="connsiteY2" fmla="*/ 16230 h 1616506"/>
                                        <a:gd name="connsiteX3" fmla="*/ 1224658 w 1925802"/>
                                        <a:gd name="connsiteY3" fmla="*/ 0 h 1616506"/>
                                        <a:gd name="connsiteX4" fmla="*/ 1266952 w 1925802"/>
                                        <a:gd name="connsiteY4" fmla="*/ 470986 h 1616506"/>
                                        <a:gd name="connsiteX5" fmla="*/ 1296753 w 1925802"/>
                                        <a:gd name="connsiteY5" fmla="*/ 470986 h 1616506"/>
                                        <a:gd name="connsiteX6" fmla="*/ 1442039 w 1925802"/>
                                        <a:gd name="connsiteY6" fmla="*/ 719379 h 1616506"/>
                                        <a:gd name="connsiteX7" fmla="*/ 1486177 w 1925802"/>
                                        <a:gd name="connsiteY7" fmla="*/ 871539 h 1616506"/>
                                        <a:gd name="connsiteX8" fmla="*/ 1620775 w 1925802"/>
                                        <a:gd name="connsiteY8" fmla="*/ 1009098 h 1616506"/>
                                        <a:gd name="connsiteX9" fmla="*/ 1531467 w 1925802"/>
                                        <a:gd name="connsiteY9" fmla="*/ 1052752 h 1616506"/>
                                        <a:gd name="connsiteX10" fmla="*/ 1438663 w 1925802"/>
                                        <a:gd name="connsiteY10" fmla="*/ 1304125 h 1616506"/>
                                        <a:gd name="connsiteX11" fmla="*/ 1925802 w 1925802"/>
                                        <a:gd name="connsiteY11" fmla="*/ 1042263 h 1616506"/>
                                        <a:gd name="connsiteX12" fmla="*/ 1296695 w 1925802"/>
                                        <a:gd name="connsiteY12" fmla="*/ 1433626 h 1616506"/>
                                        <a:gd name="connsiteX13" fmla="*/ 967705 w 1925802"/>
                                        <a:gd name="connsiteY13" fmla="*/ 1550463 h 1616506"/>
                                        <a:gd name="connsiteX14" fmla="*/ 799262 w 1925802"/>
                                        <a:gd name="connsiteY14" fmla="*/ 1506778 h 1616506"/>
                                        <a:gd name="connsiteX15" fmla="*/ 759028 w 1925802"/>
                                        <a:gd name="connsiteY15" fmla="*/ 1616506 h 1616506"/>
                                        <a:gd name="connsiteX16" fmla="*/ 173812 w 1925802"/>
                                        <a:gd name="connsiteY16" fmla="*/ 1415338 h 1616506"/>
                                        <a:gd name="connsiteX17" fmla="*/ 0 w 1925802"/>
                                        <a:gd name="connsiteY17" fmla="*/ 886780 h 1616506"/>
                                        <a:gd name="connsiteX18" fmla="*/ 261594 w 1925802"/>
                                        <a:gd name="connsiteY18" fmla="*/ 263194 h 1616506"/>
                                        <a:gd name="connsiteX19" fmla="*/ 616382 w 1925802"/>
                                        <a:gd name="connsiteY19" fmla="*/ 18135 h 1616506"/>
                                        <a:gd name="connsiteX0" fmla="*/ 616382 w 1620776"/>
                                        <a:gd name="connsiteY0" fmla="*/ 18135 h 1616506"/>
                                        <a:gd name="connsiteX1" fmla="*/ 766329 w 1620776"/>
                                        <a:gd name="connsiteY1" fmla="*/ 120359 h 1616506"/>
                                        <a:gd name="connsiteX2" fmla="*/ 872873 w 1620776"/>
                                        <a:gd name="connsiteY2" fmla="*/ 16230 h 1616506"/>
                                        <a:gd name="connsiteX3" fmla="*/ 1224658 w 1620776"/>
                                        <a:gd name="connsiteY3" fmla="*/ 0 h 1616506"/>
                                        <a:gd name="connsiteX4" fmla="*/ 1266952 w 1620776"/>
                                        <a:gd name="connsiteY4" fmla="*/ 470986 h 1616506"/>
                                        <a:gd name="connsiteX5" fmla="*/ 1296753 w 1620776"/>
                                        <a:gd name="connsiteY5" fmla="*/ 470986 h 1616506"/>
                                        <a:gd name="connsiteX6" fmla="*/ 1442039 w 1620776"/>
                                        <a:gd name="connsiteY6" fmla="*/ 719379 h 1616506"/>
                                        <a:gd name="connsiteX7" fmla="*/ 1486177 w 1620776"/>
                                        <a:gd name="connsiteY7" fmla="*/ 871539 h 1616506"/>
                                        <a:gd name="connsiteX8" fmla="*/ 1620775 w 1620776"/>
                                        <a:gd name="connsiteY8" fmla="*/ 1009098 h 1616506"/>
                                        <a:gd name="connsiteX9" fmla="*/ 1531467 w 1620776"/>
                                        <a:gd name="connsiteY9" fmla="*/ 1052752 h 1616506"/>
                                        <a:gd name="connsiteX10" fmla="*/ 1438663 w 1620776"/>
                                        <a:gd name="connsiteY10" fmla="*/ 1304125 h 1616506"/>
                                        <a:gd name="connsiteX11" fmla="*/ 1296695 w 1620776"/>
                                        <a:gd name="connsiteY11" fmla="*/ 1433626 h 1616506"/>
                                        <a:gd name="connsiteX12" fmla="*/ 967705 w 1620776"/>
                                        <a:gd name="connsiteY12" fmla="*/ 1550463 h 1616506"/>
                                        <a:gd name="connsiteX13" fmla="*/ 799262 w 1620776"/>
                                        <a:gd name="connsiteY13" fmla="*/ 1506778 h 1616506"/>
                                        <a:gd name="connsiteX14" fmla="*/ 759028 w 1620776"/>
                                        <a:gd name="connsiteY14" fmla="*/ 1616506 h 1616506"/>
                                        <a:gd name="connsiteX15" fmla="*/ 173812 w 1620776"/>
                                        <a:gd name="connsiteY15" fmla="*/ 1415338 h 1616506"/>
                                        <a:gd name="connsiteX16" fmla="*/ 0 w 1620776"/>
                                        <a:gd name="connsiteY16" fmla="*/ 886780 h 1616506"/>
                                        <a:gd name="connsiteX17" fmla="*/ 261594 w 1620776"/>
                                        <a:gd name="connsiteY17" fmla="*/ 263194 h 1616506"/>
                                        <a:gd name="connsiteX18" fmla="*/ 616382 w 1620776"/>
                                        <a:gd name="connsiteY18" fmla="*/ 18135 h 1616506"/>
                                        <a:gd name="connsiteX0" fmla="*/ 616382 w 1620774"/>
                                        <a:gd name="connsiteY0" fmla="*/ 18135 h 1616506"/>
                                        <a:gd name="connsiteX1" fmla="*/ 766329 w 1620774"/>
                                        <a:gd name="connsiteY1" fmla="*/ 120359 h 1616506"/>
                                        <a:gd name="connsiteX2" fmla="*/ 872873 w 1620774"/>
                                        <a:gd name="connsiteY2" fmla="*/ 16230 h 1616506"/>
                                        <a:gd name="connsiteX3" fmla="*/ 1224658 w 1620774"/>
                                        <a:gd name="connsiteY3" fmla="*/ 0 h 1616506"/>
                                        <a:gd name="connsiteX4" fmla="*/ 1266952 w 1620774"/>
                                        <a:gd name="connsiteY4" fmla="*/ 470986 h 1616506"/>
                                        <a:gd name="connsiteX5" fmla="*/ 1296753 w 1620774"/>
                                        <a:gd name="connsiteY5" fmla="*/ 470986 h 1616506"/>
                                        <a:gd name="connsiteX6" fmla="*/ 1442039 w 1620774"/>
                                        <a:gd name="connsiteY6" fmla="*/ 719379 h 1616506"/>
                                        <a:gd name="connsiteX7" fmla="*/ 1486177 w 1620774"/>
                                        <a:gd name="connsiteY7" fmla="*/ 871539 h 1616506"/>
                                        <a:gd name="connsiteX8" fmla="*/ 1620775 w 1620774"/>
                                        <a:gd name="connsiteY8" fmla="*/ 1009098 h 1616506"/>
                                        <a:gd name="connsiteX9" fmla="*/ 1531467 w 1620774"/>
                                        <a:gd name="connsiteY9" fmla="*/ 1052752 h 1616506"/>
                                        <a:gd name="connsiteX10" fmla="*/ 1438663 w 1620774"/>
                                        <a:gd name="connsiteY10" fmla="*/ 1304125 h 1616506"/>
                                        <a:gd name="connsiteX11" fmla="*/ 967705 w 1620774"/>
                                        <a:gd name="connsiteY11" fmla="*/ 1550463 h 1616506"/>
                                        <a:gd name="connsiteX12" fmla="*/ 799262 w 1620774"/>
                                        <a:gd name="connsiteY12" fmla="*/ 1506778 h 1616506"/>
                                        <a:gd name="connsiteX13" fmla="*/ 759028 w 1620774"/>
                                        <a:gd name="connsiteY13" fmla="*/ 1616506 h 1616506"/>
                                        <a:gd name="connsiteX14" fmla="*/ 173812 w 1620774"/>
                                        <a:gd name="connsiteY14" fmla="*/ 1415338 h 1616506"/>
                                        <a:gd name="connsiteX15" fmla="*/ 0 w 1620774"/>
                                        <a:gd name="connsiteY15" fmla="*/ 886780 h 1616506"/>
                                        <a:gd name="connsiteX16" fmla="*/ 261594 w 1620774"/>
                                        <a:gd name="connsiteY16" fmla="*/ 263194 h 1616506"/>
                                        <a:gd name="connsiteX17" fmla="*/ 616382 w 1620774"/>
                                        <a:gd name="connsiteY17" fmla="*/ 18135 h 1616506"/>
                                        <a:gd name="connsiteX0" fmla="*/ 616382 w 1620776"/>
                                        <a:gd name="connsiteY0" fmla="*/ 18135 h 1616506"/>
                                        <a:gd name="connsiteX1" fmla="*/ 766329 w 1620776"/>
                                        <a:gd name="connsiteY1" fmla="*/ 120359 h 1616506"/>
                                        <a:gd name="connsiteX2" fmla="*/ 872873 w 1620776"/>
                                        <a:gd name="connsiteY2" fmla="*/ 16230 h 1616506"/>
                                        <a:gd name="connsiteX3" fmla="*/ 1224658 w 1620776"/>
                                        <a:gd name="connsiteY3" fmla="*/ 0 h 1616506"/>
                                        <a:gd name="connsiteX4" fmla="*/ 1266952 w 1620776"/>
                                        <a:gd name="connsiteY4" fmla="*/ 470986 h 1616506"/>
                                        <a:gd name="connsiteX5" fmla="*/ 1296753 w 1620776"/>
                                        <a:gd name="connsiteY5" fmla="*/ 470986 h 1616506"/>
                                        <a:gd name="connsiteX6" fmla="*/ 1442039 w 1620776"/>
                                        <a:gd name="connsiteY6" fmla="*/ 719379 h 1616506"/>
                                        <a:gd name="connsiteX7" fmla="*/ 1486177 w 1620776"/>
                                        <a:gd name="connsiteY7" fmla="*/ 871539 h 1616506"/>
                                        <a:gd name="connsiteX8" fmla="*/ 1620775 w 1620776"/>
                                        <a:gd name="connsiteY8" fmla="*/ 1009098 h 1616506"/>
                                        <a:gd name="connsiteX9" fmla="*/ 1531467 w 1620776"/>
                                        <a:gd name="connsiteY9" fmla="*/ 1052752 h 1616506"/>
                                        <a:gd name="connsiteX10" fmla="*/ 1438663 w 1620776"/>
                                        <a:gd name="connsiteY10" fmla="*/ 1304125 h 1616506"/>
                                        <a:gd name="connsiteX11" fmla="*/ 799262 w 1620776"/>
                                        <a:gd name="connsiteY11" fmla="*/ 1506778 h 1616506"/>
                                        <a:gd name="connsiteX12" fmla="*/ 759028 w 1620776"/>
                                        <a:gd name="connsiteY12" fmla="*/ 1616506 h 1616506"/>
                                        <a:gd name="connsiteX13" fmla="*/ 173812 w 1620776"/>
                                        <a:gd name="connsiteY13" fmla="*/ 1415338 h 1616506"/>
                                        <a:gd name="connsiteX14" fmla="*/ 0 w 1620776"/>
                                        <a:gd name="connsiteY14" fmla="*/ 886780 h 1616506"/>
                                        <a:gd name="connsiteX15" fmla="*/ 261594 w 1620776"/>
                                        <a:gd name="connsiteY15" fmla="*/ 263194 h 1616506"/>
                                        <a:gd name="connsiteX16" fmla="*/ 616382 w 1620776"/>
                                        <a:gd name="connsiteY16" fmla="*/ 18135 h 1616506"/>
                                        <a:gd name="connsiteX0" fmla="*/ 616382 w 1620774"/>
                                        <a:gd name="connsiteY0" fmla="*/ 18135 h 1506779"/>
                                        <a:gd name="connsiteX1" fmla="*/ 766329 w 1620774"/>
                                        <a:gd name="connsiteY1" fmla="*/ 120359 h 1506779"/>
                                        <a:gd name="connsiteX2" fmla="*/ 872873 w 1620774"/>
                                        <a:gd name="connsiteY2" fmla="*/ 16230 h 1506779"/>
                                        <a:gd name="connsiteX3" fmla="*/ 1224658 w 1620774"/>
                                        <a:gd name="connsiteY3" fmla="*/ 0 h 1506779"/>
                                        <a:gd name="connsiteX4" fmla="*/ 1266952 w 1620774"/>
                                        <a:gd name="connsiteY4" fmla="*/ 470986 h 1506779"/>
                                        <a:gd name="connsiteX5" fmla="*/ 1296753 w 1620774"/>
                                        <a:gd name="connsiteY5" fmla="*/ 470986 h 1506779"/>
                                        <a:gd name="connsiteX6" fmla="*/ 1442039 w 1620774"/>
                                        <a:gd name="connsiteY6" fmla="*/ 719379 h 1506779"/>
                                        <a:gd name="connsiteX7" fmla="*/ 1486177 w 1620774"/>
                                        <a:gd name="connsiteY7" fmla="*/ 871539 h 1506779"/>
                                        <a:gd name="connsiteX8" fmla="*/ 1620775 w 1620774"/>
                                        <a:gd name="connsiteY8" fmla="*/ 1009098 h 1506779"/>
                                        <a:gd name="connsiteX9" fmla="*/ 1531467 w 1620774"/>
                                        <a:gd name="connsiteY9" fmla="*/ 1052752 h 1506779"/>
                                        <a:gd name="connsiteX10" fmla="*/ 1438663 w 1620774"/>
                                        <a:gd name="connsiteY10" fmla="*/ 1304125 h 1506779"/>
                                        <a:gd name="connsiteX11" fmla="*/ 799262 w 1620774"/>
                                        <a:gd name="connsiteY11" fmla="*/ 1506778 h 1506779"/>
                                        <a:gd name="connsiteX12" fmla="*/ 473720 w 1620774"/>
                                        <a:gd name="connsiteY12" fmla="*/ 1465094 h 1506779"/>
                                        <a:gd name="connsiteX13" fmla="*/ 173812 w 1620774"/>
                                        <a:gd name="connsiteY13" fmla="*/ 1415338 h 1506779"/>
                                        <a:gd name="connsiteX14" fmla="*/ 0 w 1620774"/>
                                        <a:gd name="connsiteY14" fmla="*/ 886780 h 1506779"/>
                                        <a:gd name="connsiteX15" fmla="*/ 261594 w 1620774"/>
                                        <a:gd name="connsiteY15" fmla="*/ 263194 h 1506779"/>
                                        <a:gd name="connsiteX16" fmla="*/ 616382 w 1620774"/>
                                        <a:gd name="connsiteY16" fmla="*/ 18135 h 1506779"/>
                                        <a:gd name="connsiteX0" fmla="*/ 616382 w 1620776"/>
                                        <a:gd name="connsiteY0" fmla="*/ 18135 h 1532570"/>
                                        <a:gd name="connsiteX1" fmla="*/ 766329 w 1620776"/>
                                        <a:gd name="connsiteY1" fmla="*/ 120359 h 1532570"/>
                                        <a:gd name="connsiteX2" fmla="*/ 872873 w 1620776"/>
                                        <a:gd name="connsiteY2" fmla="*/ 16230 h 1532570"/>
                                        <a:gd name="connsiteX3" fmla="*/ 1224658 w 1620776"/>
                                        <a:gd name="connsiteY3" fmla="*/ 0 h 1532570"/>
                                        <a:gd name="connsiteX4" fmla="*/ 1266952 w 1620776"/>
                                        <a:gd name="connsiteY4" fmla="*/ 470986 h 1532570"/>
                                        <a:gd name="connsiteX5" fmla="*/ 1296753 w 1620776"/>
                                        <a:gd name="connsiteY5" fmla="*/ 470986 h 1532570"/>
                                        <a:gd name="connsiteX6" fmla="*/ 1442039 w 1620776"/>
                                        <a:gd name="connsiteY6" fmla="*/ 719379 h 1532570"/>
                                        <a:gd name="connsiteX7" fmla="*/ 1486177 w 1620776"/>
                                        <a:gd name="connsiteY7" fmla="*/ 871539 h 1532570"/>
                                        <a:gd name="connsiteX8" fmla="*/ 1620775 w 1620776"/>
                                        <a:gd name="connsiteY8" fmla="*/ 1009098 h 1532570"/>
                                        <a:gd name="connsiteX9" fmla="*/ 1531467 w 1620776"/>
                                        <a:gd name="connsiteY9" fmla="*/ 1052752 h 1532570"/>
                                        <a:gd name="connsiteX10" fmla="*/ 1438663 w 1620776"/>
                                        <a:gd name="connsiteY10" fmla="*/ 1304125 h 1532570"/>
                                        <a:gd name="connsiteX11" fmla="*/ 771506 w 1620776"/>
                                        <a:gd name="connsiteY11" fmla="*/ 1532569 h 1532570"/>
                                        <a:gd name="connsiteX12" fmla="*/ 473720 w 1620776"/>
                                        <a:gd name="connsiteY12" fmla="*/ 1465094 h 1532570"/>
                                        <a:gd name="connsiteX13" fmla="*/ 173812 w 1620776"/>
                                        <a:gd name="connsiteY13" fmla="*/ 1415338 h 1532570"/>
                                        <a:gd name="connsiteX14" fmla="*/ 0 w 1620776"/>
                                        <a:gd name="connsiteY14" fmla="*/ 886780 h 1532570"/>
                                        <a:gd name="connsiteX15" fmla="*/ 261594 w 1620776"/>
                                        <a:gd name="connsiteY15" fmla="*/ 263194 h 1532570"/>
                                        <a:gd name="connsiteX16" fmla="*/ 616382 w 1620776"/>
                                        <a:gd name="connsiteY16" fmla="*/ 18135 h 1532570"/>
                                        <a:gd name="connsiteX0" fmla="*/ 616382 w 1620774"/>
                                        <a:gd name="connsiteY0" fmla="*/ 18135 h 1532568"/>
                                        <a:gd name="connsiteX1" fmla="*/ 766329 w 1620774"/>
                                        <a:gd name="connsiteY1" fmla="*/ 120359 h 1532568"/>
                                        <a:gd name="connsiteX2" fmla="*/ 872873 w 1620774"/>
                                        <a:gd name="connsiteY2" fmla="*/ 16230 h 1532568"/>
                                        <a:gd name="connsiteX3" fmla="*/ 1224658 w 1620774"/>
                                        <a:gd name="connsiteY3" fmla="*/ 0 h 1532568"/>
                                        <a:gd name="connsiteX4" fmla="*/ 1266952 w 1620774"/>
                                        <a:gd name="connsiteY4" fmla="*/ 470986 h 1532568"/>
                                        <a:gd name="connsiteX5" fmla="*/ 1296753 w 1620774"/>
                                        <a:gd name="connsiteY5" fmla="*/ 470986 h 1532568"/>
                                        <a:gd name="connsiteX6" fmla="*/ 1442039 w 1620774"/>
                                        <a:gd name="connsiteY6" fmla="*/ 719379 h 1532568"/>
                                        <a:gd name="connsiteX7" fmla="*/ 1486177 w 1620774"/>
                                        <a:gd name="connsiteY7" fmla="*/ 871539 h 1532568"/>
                                        <a:gd name="connsiteX8" fmla="*/ 1620775 w 1620774"/>
                                        <a:gd name="connsiteY8" fmla="*/ 1009098 h 1532568"/>
                                        <a:gd name="connsiteX9" fmla="*/ 1531467 w 1620774"/>
                                        <a:gd name="connsiteY9" fmla="*/ 1052752 h 1532568"/>
                                        <a:gd name="connsiteX10" fmla="*/ 1438663 w 1620774"/>
                                        <a:gd name="connsiteY10" fmla="*/ 1304125 h 1532568"/>
                                        <a:gd name="connsiteX11" fmla="*/ 771506 w 1620774"/>
                                        <a:gd name="connsiteY11" fmla="*/ 1532569 h 1532568"/>
                                        <a:gd name="connsiteX12" fmla="*/ 473720 w 1620774"/>
                                        <a:gd name="connsiteY12" fmla="*/ 1465094 h 1532568"/>
                                        <a:gd name="connsiteX13" fmla="*/ 324846 w 1620774"/>
                                        <a:gd name="connsiteY13" fmla="*/ 1440376 h 1532568"/>
                                        <a:gd name="connsiteX14" fmla="*/ 173812 w 1620774"/>
                                        <a:gd name="connsiteY14" fmla="*/ 1415338 h 1532568"/>
                                        <a:gd name="connsiteX15" fmla="*/ 0 w 1620774"/>
                                        <a:gd name="connsiteY15" fmla="*/ 886780 h 1532568"/>
                                        <a:gd name="connsiteX16" fmla="*/ 261594 w 1620774"/>
                                        <a:gd name="connsiteY16" fmla="*/ 263194 h 1532568"/>
                                        <a:gd name="connsiteX17" fmla="*/ 616382 w 1620774"/>
                                        <a:gd name="connsiteY17" fmla="*/ 18135 h 1532568"/>
                                        <a:gd name="connsiteX0" fmla="*/ 616382 w 1620776"/>
                                        <a:gd name="connsiteY0" fmla="*/ 18135 h 1532570"/>
                                        <a:gd name="connsiteX1" fmla="*/ 766329 w 1620776"/>
                                        <a:gd name="connsiteY1" fmla="*/ 120359 h 1532570"/>
                                        <a:gd name="connsiteX2" fmla="*/ 872873 w 1620776"/>
                                        <a:gd name="connsiteY2" fmla="*/ 16230 h 1532570"/>
                                        <a:gd name="connsiteX3" fmla="*/ 1224658 w 1620776"/>
                                        <a:gd name="connsiteY3" fmla="*/ 0 h 1532570"/>
                                        <a:gd name="connsiteX4" fmla="*/ 1266952 w 1620776"/>
                                        <a:gd name="connsiteY4" fmla="*/ 470986 h 1532570"/>
                                        <a:gd name="connsiteX5" fmla="*/ 1296753 w 1620776"/>
                                        <a:gd name="connsiteY5" fmla="*/ 470986 h 1532570"/>
                                        <a:gd name="connsiteX6" fmla="*/ 1442039 w 1620776"/>
                                        <a:gd name="connsiteY6" fmla="*/ 719379 h 1532570"/>
                                        <a:gd name="connsiteX7" fmla="*/ 1486177 w 1620776"/>
                                        <a:gd name="connsiteY7" fmla="*/ 871539 h 1532570"/>
                                        <a:gd name="connsiteX8" fmla="*/ 1620775 w 1620776"/>
                                        <a:gd name="connsiteY8" fmla="*/ 1009098 h 1532570"/>
                                        <a:gd name="connsiteX9" fmla="*/ 1531467 w 1620776"/>
                                        <a:gd name="connsiteY9" fmla="*/ 1052752 h 1532570"/>
                                        <a:gd name="connsiteX10" fmla="*/ 1438663 w 1620776"/>
                                        <a:gd name="connsiteY10" fmla="*/ 1304125 h 1532570"/>
                                        <a:gd name="connsiteX11" fmla="*/ 771506 w 1620776"/>
                                        <a:gd name="connsiteY11" fmla="*/ 1532569 h 1532570"/>
                                        <a:gd name="connsiteX12" fmla="*/ 473720 w 1620776"/>
                                        <a:gd name="connsiteY12" fmla="*/ 1465094 h 1532570"/>
                                        <a:gd name="connsiteX13" fmla="*/ 379262 w 1620776"/>
                                        <a:gd name="connsiteY13" fmla="*/ 1283003 h 1532570"/>
                                        <a:gd name="connsiteX14" fmla="*/ 173812 w 1620776"/>
                                        <a:gd name="connsiteY14" fmla="*/ 1415338 h 1532570"/>
                                        <a:gd name="connsiteX15" fmla="*/ 0 w 1620776"/>
                                        <a:gd name="connsiteY15" fmla="*/ 886780 h 1532570"/>
                                        <a:gd name="connsiteX16" fmla="*/ 261594 w 1620776"/>
                                        <a:gd name="connsiteY16" fmla="*/ 263194 h 1532570"/>
                                        <a:gd name="connsiteX17" fmla="*/ 616382 w 1620776"/>
                                        <a:gd name="connsiteY17" fmla="*/ 18135 h 1532570"/>
                                        <a:gd name="connsiteX0" fmla="*/ 616382 w 1620774"/>
                                        <a:gd name="connsiteY0" fmla="*/ 18135 h 1532568"/>
                                        <a:gd name="connsiteX1" fmla="*/ 766329 w 1620774"/>
                                        <a:gd name="connsiteY1" fmla="*/ 120359 h 1532568"/>
                                        <a:gd name="connsiteX2" fmla="*/ 872873 w 1620774"/>
                                        <a:gd name="connsiteY2" fmla="*/ 16230 h 1532568"/>
                                        <a:gd name="connsiteX3" fmla="*/ 1224658 w 1620774"/>
                                        <a:gd name="connsiteY3" fmla="*/ 0 h 1532568"/>
                                        <a:gd name="connsiteX4" fmla="*/ 1266952 w 1620774"/>
                                        <a:gd name="connsiteY4" fmla="*/ 470986 h 1532568"/>
                                        <a:gd name="connsiteX5" fmla="*/ 1296753 w 1620774"/>
                                        <a:gd name="connsiteY5" fmla="*/ 470986 h 1532568"/>
                                        <a:gd name="connsiteX6" fmla="*/ 1442039 w 1620774"/>
                                        <a:gd name="connsiteY6" fmla="*/ 719379 h 1532568"/>
                                        <a:gd name="connsiteX7" fmla="*/ 1486177 w 1620774"/>
                                        <a:gd name="connsiteY7" fmla="*/ 871539 h 1532568"/>
                                        <a:gd name="connsiteX8" fmla="*/ 1620775 w 1620774"/>
                                        <a:gd name="connsiteY8" fmla="*/ 1009098 h 1532568"/>
                                        <a:gd name="connsiteX9" fmla="*/ 1531467 w 1620774"/>
                                        <a:gd name="connsiteY9" fmla="*/ 1052752 h 1532568"/>
                                        <a:gd name="connsiteX10" fmla="*/ 1438663 w 1620774"/>
                                        <a:gd name="connsiteY10" fmla="*/ 1304125 h 1532568"/>
                                        <a:gd name="connsiteX11" fmla="*/ 771506 w 1620774"/>
                                        <a:gd name="connsiteY11" fmla="*/ 1532569 h 1532568"/>
                                        <a:gd name="connsiteX12" fmla="*/ 473720 w 1620774"/>
                                        <a:gd name="connsiteY12" fmla="*/ 1465094 h 1532568"/>
                                        <a:gd name="connsiteX13" fmla="*/ 379262 w 1620774"/>
                                        <a:gd name="connsiteY13" fmla="*/ 1283003 h 1532568"/>
                                        <a:gd name="connsiteX14" fmla="*/ 173812 w 1620774"/>
                                        <a:gd name="connsiteY14" fmla="*/ 1415338 h 1532568"/>
                                        <a:gd name="connsiteX15" fmla="*/ 0 w 1620774"/>
                                        <a:gd name="connsiteY15" fmla="*/ 886780 h 1532568"/>
                                        <a:gd name="connsiteX16" fmla="*/ 261594 w 1620774"/>
                                        <a:gd name="connsiteY16" fmla="*/ 263194 h 1532568"/>
                                        <a:gd name="connsiteX17" fmla="*/ 616382 w 1620774"/>
                                        <a:gd name="connsiteY17" fmla="*/ 18135 h 1532568"/>
                                        <a:gd name="connsiteX0" fmla="*/ 616382 w 1620776"/>
                                        <a:gd name="connsiteY0" fmla="*/ 18135 h 1532570"/>
                                        <a:gd name="connsiteX1" fmla="*/ 766329 w 1620776"/>
                                        <a:gd name="connsiteY1" fmla="*/ 120359 h 1532570"/>
                                        <a:gd name="connsiteX2" fmla="*/ 872873 w 1620776"/>
                                        <a:gd name="connsiteY2" fmla="*/ 16230 h 1532570"/>
                                        <a:gd name="connsiteX3" fmla="*/ 1224658 w 1620776"/>
                                        <a:gd name="connsiteY3" fmla="*/ 0 h 1532570"/>
                                        <a:gd name="connsiteX4" fmla="*/ 1266952 w 1620776"/>
                                        <a:gd name="connsiteY4" fmla="*/ 470986 h 1532570"/>
                                        <a:gd name="connsiteX5" fmla="*/ 1296753 w 1620776"/>
                                        <a:gd name="connsiteY5" fmla="*/ 470986 h 1532570"/>
                                        <a:gd name="connsiteX6" fmla="*/ 1442039 w 1620776"/>
                                        <a:gd name="connsiteY6" fmla="*/ 719379 h 1532570"/>
                                        <a:gd name="connsiteX7" fmla="*/ 1486177 w 1620776"/>
                                        <a:gd name="connsiteY7" fmla="*/ 871539 h 1532570"/>
                                        <a:gd name="connsiteX8" fmla="*/ 1620775 w 1620776"/>
                                        <a:gd name="connsiteY8" fmla="*/ 1009098 h 1532570"/>
                                        <a:gd name="connsiteX9" fmla="*/ 1531467 w 1620776"/>
                                        <a:gd name="connsiteY9" fmla="*/ 1052752 h 1532570"/>
                                        <a:gd name="connsiteX10" fmla="*/ 1438663 w 1620776"/>
                                        <a:gd name="connsiteY10" fmla="*/ 1304125 h 1532570"/>
                                        <a:gd name="connsiteX11" fmla="*/ 771506 w 1620776"/>
                                        <a:gd name="connsiteY11" fmla="*/ 1532569 h 1532570"/>
                                        <a:gd name="connsiteX12" fmla="*/ 473720 w 1620776"/>
                                        <a:gd name="connsiteY12" fmla="*/ 1465094 h 1532570"/>
                                        <a:gd name="connsiteX13" fmla="*/ 379262 w 1620776"/>
                                        <a:gd name="connsiteY13" fmla="*/ 1283003 h 1532570"/>
                                        <a:gd name="connsiteX14" fmla="*/ 173812 w 1620776"/>
                                        <a:gd name="connsiteY14" fmla="*/ 1415338 h 1532570"/>
                                        <a:gd name="connsiteX15" fmla="*/ 0 w 1620776"/>
                                        <a:gd name="connsiteY15" fmla="*/ 886780 h 1532570"/>
                                        <a:gd name="connsiteX16" fmla="*/ 261594 w 1620776"/>
                                        <a:gd name="connsiteY16" fmla="*/ 263194 h 1532570"/>
                                        <a:gd name="connsiteX17" fmla="*/ 616382 w 1620776"/>
                                        <a:gd name="connsiteY17" fmla="*/ 18135 h 1532570"/>
                                        <a:gd name="connsiteX0" fmla="*/ 616382 w 1620774"/>
                                        <a:gd name="connsiteY0" fmla="*/ 18135 h 1532568"/>
                                        <a:gd name="connsiteX1" fmla="*/ 766329 w 1620774"/>
                                        <a:gd name="connsiteY1" fmla="*/ 120359 h 1532568"/>
                                        <a:gd name="connsiteX2" fmla="*/ 872873 w 1620774"/>
                                        <a:gd name="connsiteY2" fmla="*/ 16230 h 1532568"/>
                                        <a:gd name="connsiteX3" fmla="*/ 1224658 w 1620774"/>
                                        <a:gd name="connsiteY3" fmla="*/ 0 h 1532568"/>
                                        <a:gd name="connsiteX4" fmla="*/ 1266952 w 1620774"/>
                                        <a:gd name="connsiteY4" fmla="*/ 470986 h 1532568"/>
                                        <a:gd name="connsiteX5" fmla="*/ 1296753 w 1620774"/>
                                        <a:gd name="connsiteY5" fmla="*/ 470986 h 1532568"/>
                                        <a:gd name="connsiteX6" fmla="*/ 1442039 w 1620774"/>
                                        <a:gd name="connsiteY6" fmla="*/ 719379 h 1532568"/>
                                        <a:gd name="connsiteX7" fmla="*/ 1486177 w 1620774"/>
                                        <a:gd name="connsiteY7" fmla="*/ 871539 h 1532568"/>
                                        <a:gd name="connsiteX8" fmla="*/ 1620775 w 1620774"/>
                                        <a:gd name="connsiteY8" fmla="*/ 1009098 h 1532568"/>
                                        <a:gd name="connsiteX9" fmla="*/ 1531467 w 1620774"/>
                                        <a:gd name="connsiteY9" fmla="*/ 1052752 h 1532568"/>
                                        <a:gd name="connsiteX10" fmla="*/ 1438663 w 1620774"/>
                                        <a:gd name="connsiteY10" fmla="*/ 1304125 h 1532568"/>
                                        <a:gd name="connsiteX11" fmla="*/ 771506 w 1620774"/>
                                        <a:gd name="connsiteY11" fmla="*/ 1532569 h 1532568"/>
                                        <a:gd name="connsiteX12" fmla="*/ 473720 w 1620774"/>
                                        <a:gd name="connsiteY12" fmla="*/ 1465094 h 1532568"/>
                                        <a:gd name="connsiteX13" fmla="*/ 379262 w 1620774"/>
                                        <a:gd name="connsiteY13" fmla="*/ 1283003 h 1532568"/>
                                        <a:gd name="connsiteX14" fmla="*/ 173812 w 1620774"/>
                                        <a:gd name="connsiteY14" fmla="*/ 1415338 h 1532568"/>
                                        <a:gd name="connsiteX15" fmla="*/ 0 w 1620774"/>
                                        <a:gd name="connsiteY15" fmla="*/ 886780 h 1532568"/>
                                        <a:gd name="connsiteX16" fmla="*/ 261594 w 1620774"/>
                                        <a:gd name="connsiteY16" fmla="*/ 263194 h 1532568"/>
                                        <a:gd name="connsiteX17" fmla="*/ 616382 w 1620774"/>
                                        <a:gd name="connsiteY17" fmla="*/ 18135 h 1532568"/>
                                        <a:gd name="connsiteX0" fmla="*/ 616382 w 1620776"/>
                                        <a:gd name="connsiteY0" fmla="*/ 18135 h 1532570"/>
                                        <a:gd name="connsiteX1" fmla="*/ 766329 w 1620776"/>
                                        <a:gd name="connsiteY1" fmla="*/ 120359 h 1532570"/>
                                        <a:gd name="connsiteX2" fmla="*/ 872873 w 1620776"/>
                                        <a:gd name="connsiteY2" fmla="*/ 16230 h 1532570"/>
                                        <a:gd name="connsiteX3" fmla="*/ 1224658 w 1620776"/>
                                        <a:gd name="connsiteY3" fmla="*/ 0 h 1532570"/>
                                        <a:gd name="connsiteX4" fmla="*/ 1266952 w 1620776"/>
                                        <a:gd name="connsiteY4" fmla="*/ 470986 h 1532570"/>
                                        <a:gd name="connsiteX5" fmla="*/ 1296753 w 1620776"/>
                                        <a:gd name="connsiteY5" fmla="*/ 470986 h 1532570"/>
                                        <a:gd name="connsiteX6" fmla="*/ 1442039 w 1620776"/>
                                        <a:gd name="connsiteY6" fmla="*/ 719379 h 1532570"/>
                                        <a:gd name="connsiteX7" fmla="*/ 1486177 w 1620776"/>
                                        <a:gd name="connsiteY7" fmla="*/ 871539 h 1532570"/>
                                        <a:gd name="connsiteX8" fmla="*/ 1620775 w 1620776"/>
                                        <a:gd name="connsiteY8" fmla="*/ 1009098 h 1532570"/>
                                        <a:gd name="connsiteX9" fmla="*/ 1531467 w 1620776"/>
                                        <a:gd name="connsiteY9" fmla="*/ 1052752 h 1532570"/>
                                        <a:gd name="connsiteX10" fmla="*/ 1438663 w 1620776"/>
                                        <a:gd name="connsiteY10" fmla="*/ 1304125 h 1532570"/>
                                        <a:gd name="connsiteX11" fmla="*/ 771506 w 1620776"/>
                                        <a:gd name="connsiteY11" fmla="*/ 1532569 h 1532570"/>
                                        <a:gd name="connsiteX12" fmla="*/ 492633 w 1620776"/>
                                        <a:gd name="connsiteY12" fmla="*/ 1457529 h 1532570"/>
                                        <a:gd name="connsiteX13" fmla="*/ 379262 w 1620776"/>
                                        <a:gd name="connsiteY13" fmla="*/ 1283003 h 1532570"/>
                                        <a:gd name="connsiteX14" fmla="*/ 173812 w 1620776"/>
                                        <a:gd name="connsiteY14" fmla="*/ 1415338 h 1532570"/>
                                        <a:gd name="connsiteX15" fmla="*/ 0 w 1620776"/>
                                        <a:gd name="connsiteY15" fmla="*/ 886780 h 1532570"/>
                                        <a:gd name="connsiteX16" fmla="*/ 261594 w 1620776"/>
                                        <a:gd name="connsiteY16" fmla="*/ 263194 h 1532570"/>
                                        <a:gd name="connsiteX17" fmla="*/ 616382 w 1620776"/>
                                        <a:gd name="connsiteY17" fmla="*/ 18135 h 1532570"/>
                                        <a:gd name="connsiteX0" fmla="*/ 616382 w 1620774"/>
                                        <a:gd name="connsiteY0" fmla="*/ 18135 h 1532568"/>
                                        <a:gd name="connsiteX1" fmla="*/ 766329 w 1620774"/>
                                        <a:gd name="connsiteY1" fmla="*/ 120359 h 1532568"/>
                                        <a:gd name="connsiteX2" fmla="*/ 872873 w 1620774"/>
                                        <a:gd name="connsiteY2" fmla="*/ 16230 h 1532568"/>
                                        <a:gd name="connsiteX3" fmla="*/ 1224658 w 1620774"/>
                                        <a:gd name="connsiteY3" fmla="*/ 0 h 1532568"/>
                                        <a:gd name="connsiteX4" fmla="*/ 1266952 w 1620774"/>
                                        <a:gd name="connsiteY4" fmla="*/ 470986 h 1532568"/>
                                        <a:gd name="connsiteX5" fmla="*/ 1417796 w 1620774"/>
                                        <a:gd name="connsiteY5" fmla="*/ 505026 h 1532568"/>
                                        <a:gd name="connsiteX6" fmla="*/ 1442039 w 1620774"/>
                                        <a:gd name="connsiteY6" fmla="*/ 719379 h 1532568"/>
                                        <a:gd name="connsiteX7" fmla="*/ 1486177 w 1620774"/>
                                        <a:gd name="connsiteY7" fmla="*/ 871539 h 1532568"/>
                                        <a:gd name="connsiteX8" fmla="*/ 1620775 w 1620774"/>
                                        <a:gd name="connsiteY8" fmla="*/ 1009098 h 1532568"/>
                                        <a:gd name="connsiteX9" fmla="*/ 1531467 w 1620774"/>
                                        <a:gd name="connsiteY9" fmla="*/ 1052752 h 1532568"/>
                                        <a:gd name="connsiteX10" fmla="*/ 1438663 w 1620774"/>
                                        <a:gd name="connsiteY10" fmla="*/ 1304125 h 1532568"/>
                                        <a:gd name="connsiteX11" fmla="*/ 771506 w 1620774"/>
                                        <a:gd name="connsiteY11" fmla="*/ 1532569 h 1532568"/>
                                        <a:gd name="connsiteX12" fmla="*/ 492633 w 1620774"/>
                                        <a:gd name="connsiteY12" fmla="*/ 1457529 h 1532568"/>
                                        <a:gd name="connsiteX13" fmla="*/ 379262 w 1620774"/>
                                        <a:gd name="connsiteY13" fmla="*/ 1283003 h 1532568"/>
                                        <a:gd name="connsiteX14" fmla="*/ 173812 w 1620774"/>
                                        <a:gd name="connsiteY14" fmla="*/ 1415338 h 1532568"/>
                                        <a:gd name="connsiteX15" fmla="*/ 0 w 1620774"/>
                                        <a:gd name="connsiteY15" fmla="*/ 886780 h 1532568"/>
                                        <a:gd name="connsiteX16" fmla="*/ 261594 w 1620774"/>
                                        <a:gd name="connsiteY16" fmla="*/ 263194 h 1532568"/>
                                        <a:gd name="connsiteX17" fmla="*/ 616382 w 1620774"/>
                                        <a:gd name="connsiteY17" fmla="*/ 18135 h 1532568"/>
                                        <a:gd name="connsiteX0" fmla="*/ 616382 w 1620776"/>
                                        <a:gd name="connsiteY0" fmla="*/ 18135 h 1532570"/>
                                        <a:gd name="connsiteX1" fmla="*/ 766329 w 1620776"/>
                                        <a:gd name="connsiteY1" fmla="*/ 120359 h 1532570"/>
                                        <a:gd name="connsiteX2" fmla="*/ 872873 w 1620776"/>
                                        <a:gd name="connsiteY2" fmla="*/ 16230 h 1532570"/>
                                        <a:gd name="connsiteX3" fmla="*/ 1224658 w 1620776"/>
                                        <a:gd name="connsiteY3" fmla="*/ 0 h 1532570"/>
                                        <a:gd name="connsiteX4" fmla="*/ 1376647 w 1620776"/>
                                        <a:gd name="connsiteY4" fmla="*/ 406693 h 1532570"/>
                                        <a:gd name="connsiteX5" fmla="*/ 1417796 w 1620776"/>
                                        <a:gd name="connsiteY5" fmla="*/ 505026 h 1532570"/>
                                        <a:gd name="connsiteX6" fmla="*/ 1442039 w 1620776"/>
                                        <a:gd name="connsiteY6" fmla="*/ 719379 h 1532570"/>
                                        <a:gd name="connsiteX7" fmla="*/ 1486177 w 1620776"/>
                                        <a:gd name="connsiteY7" fmla="*/ 871539 h 1532570"/>
                                        <a:gd name="connsiteX8" fmla="*/ 1620775 w 1620776"/>
                                        <a:gd name="connsiteY8" fmla="*/ 1009098 h 1532570"/>
                                        <a:gd name="connsiteX9" fmla="*/ 1531467 w 1620776"/>
                                        <a:gd name="connsiteY9" fmla="*/ 1052752 h 1532570"/>
                                        <a:gd name="connsiteX10" fmla="*/ 1438663 w 1620776"/>
                                        <a:gd name="connsiteY10" fmla="*/ 1304125 h 1532570"/>
                                        <a:gd name="connsiteX11" fmla="*/ 771506 w 1620776"/>
                                        <a:gd name="connsiteY11" fmla="*/ 1532569 h 1532570"/>
                                        <a:gd name="connsiteX12" fmla="*/ 492633 w 1620776"/>
                                        <a:gd name="connsiteY12" fmla="*/ 1457529 h 1532570"/>
                                        <a:gd name="connsiteX13" fmla="*/ 379262 w 1620776"/>
                                        <a:gd name="connsiteY13" fmla="*/ 1283003 h 1532570"/>
                                        <a:gd name="connsiteX14" fmla="*/ 173812 w 1620776"/>
                                        <a:gd name="connsiteY14" fmla="*/ 1415338 h 1532570"/>
                                        <a:gd name="connsiteX15" fmla="*/ 0 w 1620776"/>
                                        <a:gd name="connsiteY15" fmla="*/ 886780 h 1532570"/>
                                        <a:gd name="connsiteX16" fmla="*/ 261594 w 1620776"/>
                                        <a:gd name="connsiteY16" fmla="*/ 263194 h 1532570"/>
                                        <a:gd name="connsiteX17" fmla="*/ 616382 w 1620776"/>
                                        <a:gd name="connsiteY17" fmla="*/ 18135 h 1532570"/>
                                        <a:gd name="connsiteX0" fmla="*/ 616382 w 1620774"/>
                                        <a:gd name="connsiteY0" fmla="*/ 18135 h 1532568"/>
                                        <a:gd name="connsiteX1" fmla="*/ 766329 w 1620774"/>
                                        <a:gd name="connsiteY1" fmla="*/ 120359 h 1532568"/>
                                        <a:gd name="connsiteX2" fmla="*/ 872873 w 1620774"/>
                                        <a:gd name="connsiteY2" fmla="*/ 16230 h 1532568"/>
                                        <a:gd name="connsiteX3" fmla="*/ 1224658 w 1620774"/>
                                        <a:gd name="connsiteY3" fmla="*/ 0 h 1532568"/>
                                        <a:gd name="connsiteX4" fmla="*/ 1270735 w 1620774"/>
                                        <a:gd name="connsiteY4" fmla="*/ 471096 h 1532568"/>
                                        <a:gd name="connsiteX5" fmla="*/ 1417796 w 1620774"/>
                                        <a:gd name="connsiteY5" fmla="*/ 505026 h 1532568"/>
                                        <a:gd name="connsiteX6" fmla="*/ 1442039 w 1620774"/>
                                        <a:gd name="connsiteY6" fmla="*/ 719379 h 1532568"/>
                                        <a:gd name="connsiteX7" fmla="*/ 1486177 w 1620774"/>
                                        <a:gd name="connsiteY7" fmla="*/ 871539 h 1532568"/>
                                        <a:gd name="connsiteX8" fmla="*/ 1620775 w 1620774"/>
                                        <a:gd name="connsiteY8" fmla="*/ 1009098 h 1532568"/>
                                        <a:gd name="connsiteX9" fmla="*/ 1531467 w 1620774"/>
                                        <a:gd name="connsiteY9" fmla="*/ 1052752 h 1532568"/>
                                        <a:gd name="connsiteX10" fmla="*/ 1438663 w 1620774"/>
                                        <a:gd name="connsiteY10" fmla="*/ 1304125 h 1532568"/>
                                        <a:gd name="connsiteX11" fmla="*/ 771506 w 1620774"/>
                                        <a:gd name="connsiteY11" fmla="*/ 1532569 h 1532568"/>
                                        <a:gd name="connsiteX12" fmla="*/ 492633 w 1620774"/>
                                        <a:gd name="connsiteY12" fmla="*/ 1457529 h 1532568"/>
                                        <a:gd name="connsiteX13" fmla="*/ 379262 w 1620774"/>
                                        <a:gd name="connsiteY13" fmla="*/ 1283003 h 1532568"/>
                                        <a:gd name="connsiteX14" fmla="*/ 173812 w 1620774"/>
                                        <a:gd name="connsiteY14" fmla="*/ 1415338 h 1532568"/>
                                        <a:gd name="connsiteX15" fmla="*/ 0 w 1620774"/>
                                        <a:gd name="connsiteY15" fmla="*/ 886780 h 1532568"/>
                                        <a:gd name="connsiteX16" fmla="*/ 261594 w 1620774"/>
                                        <a:gd name="connsiteY16" fmla="*/ 263194 h 1532568"/>
                                        <a:gd name="connsiteX17" fmla="*/ 616382 w 1620774"/>
                                        <a:gd name="connsiteY17" fmla="*/ 18135 h 1532568"/>
                                        <a:gd name="connsiteX0" fmla="*/ 616382 w 1620776"/>
                                        <a:gd name="connsiteY0" fmla="*/ 18135 h 1532570"/>
                                        <a:gd name="connsiteX1" fmla="*/ 766329 w 1620776"/>
                                        <a:gd name="connsiteY1" fmla="*/ 120359 h 1532570"/>
                                        <a:gd name="connsiteX2" fmla="*/ 872873 w 1620776"/>
                                        <a:gd name="connsiteY2" fmla="*/ 16230 h 1532570"/>
                                        <a:gd name="connsiteX3" fmla="*/ 1224658 w 1620776"/>
                                        <a:gd name="connsiteY3" fmla="*/ 0 h 1532570"/>
                                        <a:gd name="connsiteX4" fmla="*/ 1274517 w 1620776"/>
                                        <a:gd name="connsiteY4" fmla="*/ 471096 h 1532570"/>
                                        <a:gd name="connsiteX5" fmla="*/ 1417796 w 1620776"/>
                                        <a:gd name="connsiteY5" fmla="*/ 505026 h 1532570"/>
                                        <a:gd name="connsiteX6" fmla="*/ 1442039 w 1620776"/>
                                        <a:gd name="connsiteY6" fmla="*/ 719379 h 1532570"/>
                                        <a:gd name="connsiteX7" fmla="*/ 1486177 w 1620776"/>
                                        <a:gd name="connsiteY7" fmla="*/ 871539 h 1532570"/>
                                        <a:gd name="connsiteX8" fmla="*/ 1620775 w 1620776"/>
                                        <a:gd name="connsiteY8" fmla="*/ 1009098 h 1532570"/>
                                        <a:gd name="connsiteX9" fmla="*/ 1531467 w 1620776"/>
                                        <a:gd name="connsiteY9" fmla="*/ 1052752 h 1532570"/>
                                        <a:gd name="connsiteX10" fmla="*/ 1438663 w 1620776"/>
                                        <a:gd name="connsiteY10" fmla="*/ 1304125 h 1532570"/>
                                        <a:gd name="connsiteX11" fmla="*/ 771506 w 1620776"/>
                                        <a:gd name="connsiteY11" fmla="*/ 1532569 h 1532570"/>
                                        <a:gd name="connsiteX12" fmla="*/ 492633 w 1620776"/>
                                        <a:gd name="connsiteY12" fmla="*/ 1457529 h 1532570"/>
                                        <a:gd name="connsiteX13" fmla="*/ 379262 w 1620776"/>
                                        <a:gd name="connsiteY13" fmla="*/ 1283003 h 1532570"/>
                                        <a:gd name="connsiteX14" fmla="*/ 173812 w 1620776"/>
                                        <a:gd name="connsiteY14" fmla="*/ 1415338 h 1532570"/>
                                        <a:gd name="connsiteX15" fmla="*/ 0 w 1620776"/>
                                        <a:gd name="connsiteY15" fmla="*/ 886780 h 1532570"/>
                                        <a:gd name="connsiteX16" fmla="*/ 261594 w 1620776"/>
                                        <a:gd name="connsiteY16" fmla="*/ 263194 h 1532570"/>
                                        <a:gd name="connsiteX17" fmla="*/ 616382 w 1620776"/>
                                        <a:gd name="connsiteY17" fmla="*/ 18135 h 1532570"/>
                                        <a:gd name="connsiteX0" fmla="*/ 616382 w 1620774"/>
                                        <a:gd name="connsiteY0" fmla="*/ 18135 h 1532568"/>
                                        <a:gd name="connsiteX1" fmla="*/ 766329 w 1620774"/>
                                        <a:gd name="connsiteY1" fmla="*/ 120359 h 1532568"/>
                                        <a:gd name="connsiteX2" fmla="*/ 872873 w 1620774"/>
                                        <a:gd name="connsiteY2" fmla="*/ 16230 h 1532568"/>
                                        <a:gd name="connsiteX3" fmla="*/ 1224658 w 1620774"/>
                                        <a:gd name="connsiteY3" fmla="*/ 0 h 1532568"/>
                                        <a:gd name="connsiteX4" fmla="*/ 1295485 w 1620774"/>
                                        <a:gd name="connsiteY4" fmla="*/ 471096 h 1532568"/>
                                        <a:gd name="connsiteX5" fmla="*/ 1417796 w 1620774"/>
                                        <a:gd name="connsiteY5" fmla="*/ 505026 h 1532568"/>
                                        <a:gd name="connsiteX6" fmla="*/ 1442039 w 1620774"/>
                                        <a:gd name="connsiteY6" fmla="*/ 719379 h 1532568"/>
                                        <a:gd name="connsiteX7" fmla="*/ 1486177 w 1620774"/>
                                        <a:gd name="connsiteY7" fmla="*/ 871539 h 1532568"/>
                                        <a:gd name="connsiteX8" fmla="*/ 1620775 w 1620774"/>
                                        <a:gd name="connsiteY8" fmla="*/ 1009098 h 1532568"/>
                                        <a:gd name="connsiteX9" fmla="*/ 1531467 w 1620774"/>
                                        <a:gd name="connsiteY9" fmla="*/ 1052752 h 1532568"/>
                                        <a:gd name="connsiteX10" fmla="*/ 1438663 w 1620774"/>
                                        <a:gd name="connsiteY10" fmla="*/ 1304125 h 1532568"/>
                                        <a:gd name="connsiteX11" fmla="*/ 771506 w 1620774"/>
                                        <a:gd name="connsiteY11" fmla="*/ 1532569 h 1532568"/>
                                        <a:gd name="connsiteX12" fmla="*/ 492633 w 1620774"/>
                                        <a:gd name="connsiteY12" fmla="*/ 1457529 h 1532568"/>
                                        <a:gd name="connsiteX13" fmla="*/ 379262 w 1620774"/>
                                        <a:gd name="connsiteY13" fmla="*/ 1283003 h 1532568"/>
                                        <a:gd name="connsiteX14" fmla="*/ 173812 w 1620774"/>
                                        <a:gd name="connsiteY14" fmla="*/ 1415338 h 1532568"/>
                                        <a:gd name="connsiteX15" fmla="*/ 0 w 1620774"/>
                                        <a:gd name="connsiteY15" fmla="*/ 886780 h 1532568"/>
                                        <a:gd name="connsiteX16" fmla="*/ 261594 w 1620774"/>
                                        <a:gd name="connsiteY16" fmla="*/ 263194 h 1532568"/>
                                        <a:gd name="connsiteX17" fmla="*/ 616382 w 1620774"/>
                                        <a:gd name="connsiteY17" fmla="*/ 18135 h 1532568"/>
                                        <a:gd name="connsiteX0" fmla="*/ 616382 w 1620776"/>
                                        <a:gd name="connsiteY0" fmla="*/ 18135 h 1532570"/>
                                        <a:gd name="connsiteX1" fmla="*/ 766329 w 1620776"/>
                                        <a:gd name="connsiteY1" fmla="*/ 120359 h 1532570"/>
                                        <a:gd name="connsiteX2" fmla="*/ 872873 w 1620776"/>
                                        <a:gd name="connsiteY2" fmla="*/ 16230 h 1532570"/>
                                        <a:gd name="connsiteX3" fmla="*/ 1224658 w 1620776"/>
                                        <a:gd name="connsiteY3" fmla="*/ 0 h 1532570"/>
                                        <a:gd name="connsiteX4" fmla="*/ 1295486 w 1620776"/>
                                        <a:gd name="connsiteY4" fmla="*/ 471096 h 1532570"/>
                                        <a:gd name="connsiteX5" fmla="*/ 1417796 w 1620776"/>
                                        <a:gd name="connsiteY5" fmla="*/ 505026 h 1532570"/>
                                        <a:gd name="connsiteX6" fmla="*/ 1442039 w 1620776"/>
                                        <a:gd name="connsiteY6" fmla="*/ 719379 h 1532570"/>
                                        <a:gd name="connsiteX7" fmla="*/ 1486177 w 1620776"/>
                                        <a:gd name="connsiteY7" fmla="*/ 871539 h 1532570"/>
                                        <a:gd name="connsiteX8" fmla="*/ 1620775 w 1620776"/>
                                        <a:gd name="connsiteY8" fmla="*/ 1009098 h 1532570"/>
                                        <a:gd name="connsiteX9" fmla="*/ 1531467 w 1620776"/>
                                        <a:gd name="connsiteY9" fmla="*/ 1052752 h 1532570"/>
                                        <a:gd name="connsiteX10" fmla="*/ 1438663 w 1620776"/>
                                        <a:gd name="connsiteY10" fmla="*/ 1304125 h 1532570"/>
                                        <a:gd name="connsiteX11" fmla="*/ 771506 w 1620776"/>
                                        <a:gd name="connsiteY11" fmla="*/ 1532569 h 1532570"/>
                                        <a:gd name="connsiteX12" fmla="*/ 492633 w 1620776"/>
                                        <a:gd name="connsiteY12" fmla="*/ 1457529 h 1532570"/>
                                        <a:gd name="connsiteX13" fmla="*/ 379262 w 1620776"/>
                                        <a:gd name="connsiteY13" fmla="*/ 1283003 h 1532570"/>
                                        <a:gd name="connsiteX14" fmla="*/ 173812 w 1620776"/>
                                        <a:gd name="connsiteY14" fmla="*/ 1415338 h 1532570"/>
                                        <a:gd name="connsiteX15" fmla="*/ 0 w 1620776"/>
                                        <a:gd name="connsiteY15" fmla="*/ 886780 h 1532570"/>
                                        <a:gd name="connsiteX16" fmla="*/ 261594 w 1620776"/>
                                        <a:gd name="connsiteY16" fmla="*/ 263194 h 1532570"/>
                                        <a:gd name="connsiteX17" fmla="*/ 616382 w 1620776"/>
                                        <a:gd name="connsiteY17" fmla="*/ 18135 h 1532570"/>
                                        <a:gd name="connsiteX0" fmla="*/ 616382 w 1620774"/>
                                        <a:gd name="connsiteY0" fmla="*/ 18135 h 1532568"/>
                                        <a:gd name="connsiteX1" fmla="*/ 766329 w 1620774"/>
                                        <a:gd name="connsiteY1" fmla="*/ 120359 h 1532568"/>
                                        <a:gd name="connsiteX2" fmla="*/ 872873 w 1620774"/>
                                        <a:gd name="connsiteY2" fmla="*/ 16230 h 1532568"/>
                                        <a:gd name="connsiteX3" fmla="*/ 1224658 w 1620774"/>
                                        <a:gd name="connsiteY3" fmla="*/ 0 h 1532568"/>
                                        <a:gd name="connsiteX4" fmla="*/ 1276572 w 1620774"/>
                                        <a:gd name="connsiteY4" fmla="*/ 471096 h 1532568"/>
                                        <a:gd name="connsiteX5" fmla="*/ 1417796 w 1620774"/>
                                        <a:gd name="connsiteY5" fmla="*/ 505026 h 1532568"/>
                                        <a:gd name="connsiteX6" fmla="*/ 1442039 w 1620774"/>
                                        <a:gd name="connsiteY6" fmla="*/ 719379 h 1532568"/>
                                        <a:gd name="connsiteX7" fmla="*/ 1486177 w 1620774"/>
                                        <a:gd name="connsiteY7" fmla="*/ 871539 h 1532568"/>
                                        <a:gd name="connsiteX8" fmla="*/ 1620775 w 1620774"/>
                                        <a:gd name="connsiteY8" fmla="*/ 1009098 h 1532568"/>
                                        <a:gd name="connsiteX9" fmla="*/ 1531467 w 1620774"/>
                                        <a:gd name="connsiteY9" fmla="*/ 1052752 h 1532568"/>
                                        <a:gd name="connsiteX10" fmla="*/ 1438663 w 1620774"/>
                                        <a:gd name="connsiteY10" fmla="*/ 1304125 h 1532568"/>
                                        <a:gd name="connsiteX11" fmla="*/ 771506 w 1620774"/>
                                        <a:gd name="connsiteY11" fmla="*/ 1532569 h 1532568"/>
                                        <a:gd name="connsiteX12" fmla="*/ 492633 w 1620774"/>
                                        <a:gd name="connsiteY12" fmla="*/ 1457529 h 1532568"/>
                                        <a:gd name="connsiteX13" fmla="*/ 379262 w 1620774"/>
                                        <a:gd name="connsiteY13" fmla="*/ 1283003 h 1532568"/>
                                        <a:gd name="connsiteX14" fmla="*/ 173812 w 1620774"/>
                                        <a:gd name="connsiteY14" fmla="*/ 1415338 h 1532568"/>
                                        <a:gd name="connsiteX15" fmla="*/ 0 w 1620774"/>
                                        <a:gd name="connsiteY15" fmla="*/ 886780 h 1532568"/>
                                        <a:gd name="connsiteX16" fmla="*/ 261594 w 1620774"/>
                                        <a:gd name="connsiteY16" fmla="*/ 263194 h 1532568"/>
                                        <a:gd name="connsiteX17" fmla="*/ 616382 w 1620774"/>
                                        <a:gd name="connsiteY17" fmla="*/ 18135 h 1532568"/>
                                        <a:gd name="connsiteX0" fmla="*/ 616382 w 1620776"/>
                                        <a:gd name="connsiteY0" fmla="*/ 18135 h 1532570"/>
                                        <a:gd name="connsiteX1" fmla="*/ 766329 w 1620776"/>
                                        <a:gd name="connsiteY1" fmla="*/ 120359 h 1532570"/>
                                        <a:gd name="connsiteX2" fmla="*/ 872873 w 1620776"/>
                                        <a:gd name="connsiteY2" fmla="*/ 16230 h 1532570"/>
                                        <a:gd name="connsiteX3" fmla="*/ 1224658 w 1620776"/>
                                        <a:gd name="connsiteY3" fmla="*/ 0 h 1532570"/>
                                        <a:gd name="connsiteX4" fmla="*/ 1276572 w 1620776"/>
                                        <a:gd name="connsiteY4" fmla="*/ 471096 h 1532570"/>
                                        <a:gd name="connsiteX5" fmla="*/ 1295486 w 1620776"/>
                                        <a:gd name="connsiteY5" fmla="*/ 471096 h 1532570"/>
                                        <a:gd name="connsiteX6" fmla="*/ 1442039 w 1620776"/>
                                        <a:gd name="connsiteY6" fmla="*/ 719379 h 1532570"/>
                                        <a:gd name="connsiteX7" fmla="*/ 1486177 w 1620776"/>
                                        <a:gd name="connsiteY7" fmla="*/ 871539 h 1532570"/>
                                        <a:gd name="connsiteX8" fmla="*/ 1620775 w 1620776"/>
                                        <a:gd name="connsiteY8" fmla="*/ 1009098 h 1532570"/>
                                        <a:gd name="connsiteX9" fmla="*/ 1531467 w 1620776"/>
                                        <a:gd name="connsiteY9" fmla="*/ 1052752 h 1532570"/>
                                        <a:gd name="connsiteX10" fmla="*/ 1438663 w 1620776"/>
                                        <a:gd name="connsiteY10" fmla="*/ 1304125 h 1532570"/>
                                        <a:gd name="connsiteX11" fmla="*/ 771506 w 1620776"/>
                                        <a:gd name="connsiteY11" fmla="*/ 1532569 h 1532570"/>
                                        <a:gd name="connsiteX12" fmla="*/ 492633 w 1620776"/>
                                        <a:gd name="connsiteY12" fmla="*/ 1457529 h 1532570"/>
                                        <a:gd name="connsiteX13" fmla="*/ 379262 w 1620776"/>
                                        <a:gd name="connsiteY13" fmla="*/ 1283003 h 1532570"/>
                                        <a:gd name="connsiteX14" fmla="*/ 173812 w 1620776"/>
                                        <a:gd name="connsiteY14" fmla="*/ 1415338 h 1532570"/>
                                        <a:gd name="connsiteX15" fmla="*/ 0 w 1620776"/>
                                        <a:gd name="connsiteY15" fmla="*/ 886780 h 1532570"/>
                                        <a:gd name="connsiteX16" fmla="*/ 261594 w 1620776"/>
                                        <a:gd name="connsiteY16" fmla="*/ 263194 h 1532570"/>
                                        <a:gd name="connsiteX17" fmla="*/ 616382 w 1620776"/>
                                        <a:gd name="connsiteY17" fmla="*/ 18135 h 1532570"/>
                                        <a:gd name="connsiteX0" fmla="*/ 616382 w 1620774"/>
                                        <a:gd name="connsiteY0" fmla="*/ 18135 h 1532568"/>
                                        <a:gd name="connsiteX1" fmla="*/ 766329 w 1620774"/>
                                        <a:gd name="connsiteY1" fmla="*/ 120359 h 1532568"/>
                                        <a:gd name="connsiteX2" fmla="*/ 872873 w 1620774"/>
                                        <a:gd name="connsiteY2" fmla="*/ 16230 h 1532568"/>
                                        <a:gd name="connsiteX3" fmla="*/ 1224658 w 1620774"/>
                                        <a:gd name="connsiteY3" fmla="*/ 0 h 1532568"/>
                                        <a:gd name="connsiteX4" fmla="*/ 1276572 w 1620774"/>
                                        <a:gd name="connsiteY4" fmla="*/ 471096 h 1532568"/>
                                        <a:gd name="connsiteX5" fmla="*/ 1295486 w 1620774"/>
                                        <a:gd name="connsiteY5" fmla="*/ 471096 h 1532568"/>
                                        <a:gd name="connsiteX6" fmla="*/ 1337347 w 1620774"/>
                                        <a:gd name="connsiteY6" fmla="*/ 542740 h 1532568"/>
                                        <a:gd name="connsiteX7" fmla="*/ 1442039 w 1620774"/>
                                        <a:gd name="connsiteY7" fmla="*/ 719379 h 1532568"/>
                                        <a:gd name="connsiteX8" fmla="*/ 1486177 w 1620774"/>
                                        <a:gd name="connsiteY8" fmla="*/ 871539 h 1532568"/>
                                        <a:gd name="connsiteX9" fmla="*/ 1620775 w 1620774"/>
                                        <a:gd name="connsiteY9" fmla="*/ 1009098 h 1532568"/>
                                        <a:gd name="connsiteX10" fmla="*/ 1531467 w 1620774"/>
                                        <a:gd name="connsiteY10" fmla="*/ 1052752 h 1532568"/>
                                        <a:gd name="connsiteX11" fmla="*/ 1438663 w 1620774"/>
                                        <a:gd name="connsiteY11" fmla="*/ 1304125 h 1532568"/>
                                        <a:gd name="connsiteX12" fmla="*/ 771506 w 1620774"/>
                                        <a:gd name="connsiteY12" fmla="*/ 1532569 h 1532568"/>
                                        <a:gd name="connsiteX13" fmla="*/ 492633 w 1620774"/>
                                        <a:gd name="connsiteY13" fmla="*/ 1457529 h 1532568"/>
                                        <a:gd name="connsiteX14" fmla="*/ 379262 w 1620774"/>
                                        <a:gd name="connsiteY14" fmla="*/ 1283003 h 1532568"/>
                                        <a:gd name="connsiteX15" fmla="*/ 173812 w 1620774"/>
                                        <a:gd name="connsiteY15" fmla="*/ 1415338 h 1532568"/>
                                        <a:gd name="connsiteX16" fmla="*/ 0 w 1620774"/>
                                        <a:gd name="connsiteY16" fmla="*/ 886780 h 1532568"/>
                                        <a:gd name="connsiteX17" fmla="*/ 261594 w 1620774"/>
                                        <a:gd name="connsiteY17" fmla="*/ 263194 h 1532568"/>
                                        <a:gd name="connsiteX18" fmla="*/ 616382 w 1620774"/>
                                        <a:gd name="connsiteY18" fmla="*/ 18135 h 1532568"/>
                                        <a:gd name="connsiteX0" fmla="*/ 616382 w 1620776"/>
                                        <a:gd name="connsiteY0" fmla="*/ 18135 h 1532570"/>
                                        <a:gd name="connsiteX1" fmla="*/ 766329 w 1620776"/>
                                        <a:gd name="connsiteY1" fmla="*/ 120359 h 1532570"/>
                                        <a:gd name="connsiteX2" fmla="*/ 872873 w 1620776"/>
                                        <a:gd name="connsiteY2" fmla="*/ 16230 h 1532570"/>
                                        <a:gd name="connsiteX3" fmla="*/ 1224658 w 1620776"/>
                                        <a:gd name="connsiteY3" fmla="*/ 0 h 1532570"/>
                                        <a:gd name="connsiteX4" fmla="*/ 1276572 w 1620776"/>
                                        <a:gd name="connsiteY4" fmla="*/ 471096 h 1532570"/>
                                        <a:gd name="connsiteX5" fmla="*/ 1295486 w 1620776"/>
                                        <a:gd name="connsiteY5" fmla="*/ 471096 h 1532570"/>
                                        <a:gd name="connsiteX6" fmla="*/ 1295486 w 1620776"/>
                                        <a:gd name="connsiteY6" fmla="*/ 508703 h 1532570"/>
                                        <a:gd name="connsiteX7" fmla="*/ 1442039 w 1620776"/>
                                        <a:gd name="connsiteY7" fmla="*/ 719379 h 1532570"/>
                                        <a:gd name="connsiteX8" fmla="*/ 1486177 w 1620776"/>
                                        <a:gd name="connsiteY8" fmla="*/ 871539 h 1532570"/>
                                        <a:gd name="connsiteX9" fmla="*/ 1620775 w 1620776"/>
                                        <a:gd name="connsiteY9" fmla="*/ 1009098 h 1532570"/>
                                        <a:gd name="connsiteX10" fmla="*/ 1531467 w 1620776"/>
                                        <a:gd name="connsiteY10" fmla="*/ 1052752 h 1532570"/>
                                        <a:gd name="connsiteX11" fmla="*/ 1438663 w 1620776"/>
                                        <a:gd name="connsiteY11" fmla="*/ 1304125 h 1532570"/>
                                        <a:gd name="connsiteX12" fmla="*/ 771506 w 1620776"/>
                                        <a:gd name="connsiteY12" fmla="*/ 1532569 h 1532570"/>
                                        <a:gd name="connsiteX13" fmla="*/ 492633 w 1620776"/>
                                        <a:gd name="connsiteY13" fmla="*/ 1457529 h 1532570"/>
                                        <a:gd name="connsiteX14" fmla="*/ 379262 w 1620776"/>
                                        <a:gd name="connsiteY14" fmla="*/ 1283003 h 1532570"/>
                                        <a:gd name="connsiteX15" fmla="*/ 173812 w 1620776"/>
                                        <a:gd name="connsiteY15" fmla="*/ 1415338 h 1532570"/>
                                        <a:gd name="connsiteX16" fmla="*/ 0 w 1620776"/>
                                        <a:gd name="connsiteY16" fmla="*/ 886780 h 1532570"/>
                                        <a:gd name="connsiteX17" fmla="*/ 261594 w 1620776"/>
                                        <a:gd name="connsiteY17" fmla="*/ 263194 h 1532570"/>
                                        <a:gd name="connsiteX18" fmla="*/ 616382 w 1620776"/>
                                        <a:gd name="connsiteY18" fmla="*/ 18135 h 1532570"/>
                                        <a:gd name="connsiteX0" fmla="*/ 616382 w 1620774"/>
                                        <a:gd name="connsiteY0" fmla="*/ 18135 h 1532568"/>
                                        <a:gd name="connsiteX1" fmla="*/ 766329 w 1620774"/>
                                        <a:gd name="connsiteY1" fmla="*/ 120359 h 1532568"/>
                                        <a:gd name="connsiteX2" fmla="*/ 872873 w 1620774"/>
                                        <a:gd name="connsiteY2" fmla="*/ 16230 h 1532568"/>
                                        <a:gd name="connsiteX3" fmla="*/ 1224658 w 1620774"/>
                                        <a:gd name="connsiteY3" fmla="*/ 0 h 1532568"/>
                                        <a:gd name="connsiteX4" fmla="*/ 1276572 w 1620774"/>
                                        <a:gd name="connsiteY4" fmla="*/ 471096 h 1532568"/>
                                        <a:gd name="connsiteX5" fmla="*/ 1295486 w 1620774"/>
                                        <a:gd name="connsiteY5" fmla="*/ 471096 h 1532568"/>
                                        <a:gd name="connsiteX6" fmla="*/ 1295485 w 1620774"/>
                                        <a:gd name="connsiteY6" fmla="*/ 501138 h 1532568"/>
                                        <a:gd name="connsiteX7" fmla="*/ 1442039 w 1620774"/>
                                        <a:gd name="connsiteY7" fmla="*/ 719379 h 1532568"/>
                                        <a:gd name="connsiteX8" fmla="*/ 1486177 w 1620774"/>
                                        <a:gd name="connsiteY8" fmla="*/ 871539 h 1532568"/>
                                        <a:gd name="connsiteX9" fmla="*/ 1620775 w 1620774"/>
                                        <a:gd name="connsiteY9" fmla="*/ 1009098 h 1532568"/>
                                        <a:gd name="connsiteX10" fmla="*/ 1531467 w 1620774"/>
                                        <a:gd name="connsiteY10" fmla="*/ 1052752 h 1532568"/>
                                        <a:gd name="connsiteX11" fmla="*/ 1438663 w 1620774"/>
                                        <a:gd name="connsiteY11" fmla="*/ 1304125 h 1532568"/>
                                        <a:gd name="connsiteX12" fmla="*/ 771506 w 1620774"/>
                                        <a:gd name="connsiteY12" fmla="*/ 1532569 h 1532568"/>
                                        <a:gd name="connsiteX13" fmla="*/ 492633 w 1620774"/>
                                        <a:gd name="connsiteY13" fmla="*/ 1457529 h 1532568"/>
                                        <a:gd name="connsiteX14" fmla="*/ 379262 w 1620774"/>
                                        <a:gd name="connsiteY14" fmla="*/ 1283003 h 1532568"/>
                                        <a:gd name="connsiteX15" fmla="*/ 173812 w 1620774"/>
                                        <a:gd name="connsiteY15" fmla="*/ 1415338 h 1532568"/>
                                        <a:gd name="connsiteX16" fmla="*/ 0 w 1620774"/>
                                        <a:gd name="connsiteY16" fmla="*/ 886780 h 1532568"/>
                                        <a:gd name="connsiteX17" fmla="*/ 261594 w 1620774"/>
                                        <a:gd name="connsiteY17" fmla="*/ 263194 h 1532568"/>
                                        <a:gd name="connsiteX18" fmla="*/ 616382 w 1620774"/>
                                        <a:gd name="connsiteY18" fmla="*/ 18135 h 1532568"/>
                                        <a:gd name="connsiteX0" fmla="*/ 616382 w 1620776"/>
                                        <a:gd name="connsiteY0" fmla="*/ 18135 h 1532570"/>
                                        <a:gd name="connsiteX1" fmla="*/ 766329 w 1620776"/>
                                        <a:gd name="connsiteY1" fmla="*/ 120359 h 1532570"/>
                                        <a:gd name="connsiteX2" fmla="*/ 872873 w 1620776"/>
                                        <a:gd name="connsiteY2" fmla="*/ 16230 h 1532570"/>
                                        <a:gd name="connsiteX3" fmla="*/ 1224658 w 1620776"/>
                                        <a:gd name="connsiteY3" fmla="*/ 0 h 1532570"/>
                                        <a:gd name="connsiteX4" fmla="*/ 1276572 w 1620776"/>
                                        <a:gd name="connsiteY4" fmla="*/ 471096 h 1532570"/>
                                        <a:gd name="connsiteX5" fmla="*/ 1295486 w 1620776"/>
                                        <a:gd name="connsiteY5" fmla="*/ 471096 h 1532570"/>
                                        <a:gd name="connsiteX6" fmla="*/ 1295485 w 1620776"/>
                                        <a:gd name="connsiteY6" fmla="*/ 501138 h 1532570"/>
                                        <a:gd name="connsiteX7" fmla="*/ 1442039 w 1620776"/>
                                        <a:gd name="connsiteY7" fmla="*/ 719379 h 1532570"/>
                                        <a:gd name="connsiteX8" fmla="*/ 1486177 w 1620776"/>
                                        <a:gd name="connsiteY8" fmla="*/ 871539 h 1532570"/>
                                        <a:gd name="connsiteX9" fmla="*/ 1620775 w 1620776"/>
                                        <a:gd name="connsiteY9" fmla="*/ 1009098 h 1532570"/>
                                        <a:gd name="connsiteX10" fmla="*/ 1537097 w 1620776"/>
                                        <a:gd name="connsiteY10" fmla="*/ 1052753 h 1532570"/>
                                        <a:gd name="connsiteX11" fmla="*/ 1438663 w 1620776"/>
                                        <a:gd name="connsiteY11" fmla="*/ 1304125 h 1532570"/>
                                        <a:gd name="connsiteX12" fmla="*/ 771506 w 1620776"/>
                                        <a:gd name="connsiteY12" fmla="*/ 1532569 h 1532570"/>
                                        <a:gd name="connsiteX13" fmla="*/ 492633 w 1620776"/>
                                        <a:gd name="connsiteY13" fmla="*/ 1457529 h 1532570"/>
                                        <a:gd name="connsiteX14" fmla="*/ 379262 w 1620776"/>
                                        <a:gd name="connsiteY14" fmla="*/ 1283003 h 1532570"/>
                                        <a:gd name="connsiteX15" fmla="*/ 173812 w 1620776"/>
                                        <a:gd name="connsiteY15" fmla="*/ 1415338 h 1532570"/>
                                        <a:gd name="connsiteX16" fmla="*/ 0 w 1620776"/>
                                        <a:gd name="connsiteY16" fmla="*/ 886780 h 1532570"/>
                                        <a:gd name="connsiteX17" fmla="*/ 261594 w 1620776"/>
                                        <a:gd name="connsiteY17" fmla="*/ 263194 h 1532570"/>
                                        <a:gd name="connsiteX18" fmla="*/ 616382 w 1620776"/>
                                        <a:gd name="connsiteY18" fmla="*/ 18135 h 1532570"/>
                                        <a:gd name="connsiteX0" fmla="*/ 616382 w 1620774"/>
                                        <a:gd name="connsiteY0" fmla="*/ 18135 h 1532568"/>
                                        <a:gd name="connsiteX1" fmla="*/ 766329 w 1620774"/>
                                        <a:gd name="connsiteY1" fmla="*/ 120359 h 1532568"/>
                                        <a:gd name="connsiteX2" fmla="*/ 872873 w 1620774"/>
                                        <a:gd name="connsiteY2" fmla="*/ 17259 h 1532568"/>
                                        <a:gd name="connsiteX3" fmla="*/ 1224658 w 1620774"/>
                                        <a:gd name="connsiteY3" fmla="*/ 0 h 1532568"/>
                                        <a:gd name="connsiteX4" fmla="*/ 1276572 w 1620774"/>
                                        <a:gd name="connsiteY4" fmla="*/ 471096 h 1532568"/>
                                        <a:gd name="connsiteX5" fmla="*/ 1295486 w 1620774"/>
                                        <a:gd name="connsiteY5" fmla="*/ 471096 h 1532568"/>
                                        <a:gd name="connsiteX6" fmla="*/ 1295485 w 1620774"/>
                                        <a:gd name="connsiteY6" fmla="*/ 501138 h 1532568"/>
                                        <a:gd name="connsiteX7" fmla="*/ 1442039 w 1620774"/>
                                        <a:gd name="connsiteY7" fmla="*/ 719379 h 1532568"/>
                                        <a:gd name="connsiteX8" fmla="*/ 1486177 w 1620774"/>
                                        <a:gd name="connsiteY8" fmla="*/ 871539 h 1532568"/>
                                        <a:gd name="connsiteX9" fmla="*/ 1620775 w 1620774"/>
                                        <a:gd name="connsiteY9" fmla="*/ 1009098 h 1532568"/>
                                        <a:gd name="connsiteX10" fmla="*/ 1537097 w 1620774"/>
                                        <a:gd name="connsiteY10" fmla="*/ 1052753 h 1532568"/>
                                        <a:gd name="connsiteX11" fmla="*/ 1438663 w 1620774"/>
                                        <a:gd name="connsiteY11" fmla="*/ 1304125 h 1532568"/>
                                        <a:gd name="connsiteX12" fmla="*/ 771506 w 1620774"/>
                                        <a:gd name="connsiteY12" fmla="*/ 1532569 h 1532568"/>
                                        <a:gd name="connsiteX13" fmla="*/ 492633 w 1620774"/>
                                        <a:gd name="connsiteY13" fmla="*/ 1457529 h 1532568"/>
                                        <a:gd name="connsiteX14" fmla="*/ 379262 w 1620774"/>
                                        <a:gd name="connsiteY14" fmla="*/ 1283003 h 1532568"/>
                                        <a:gd name="connsiteX15" fmla="*/ 173812 w 1620774"/>
                                        <a:gd name="connsiteY15" fmla="*/ 1415338 h 1532568"/>
                                        <a:gd name="connsiteX16" fmla="*/ 0 w 1620774"/>
                                        <a:gd name="connsiteY16" fmla="*/ 886780 h 1532568"/>
                                        <a:gd name="connsiteX17" fmla="*/ 261594 w 1620774"/>
                                        <a:gd name="connsiteY17" fmla="*/ 263194 h 1532568"/>
                                        <a:gd name="connsiteX18" fmla="*/ 616382 w 1620774"/>
                                        <a:gd name="connsiteY18" fmla="*/ 18135 h 1532568"/>
                                        <a:gd name="connsiteX0" fmla="*/ 616382 w 1620776"/>
                                        <a:gd name="connsiteY0" fmla="*/ 18135 h 1532570"/>
                                        <a:gd name="connsiteX1" fmla="*/ 766329 w 1620776"/>
                                        <a:gd name="connsiteY1" fmla="*/ 120359 h 1532570"/>
                                        <a:gd name="connsiteX2" fmla="*/ 872875 w 1620776"/>
                                        <a:gd name="connsiteY2" fmla="*/ 17259 h 1532570"/>
                                        <a:gd name="connsiteX3" fmla="*/ 1224658 w 1620776"/>
                                        <a:gd name="connsiteY3" fmla="*/ 0 h 1532570"/>
                                        <a:gd name="connsiteX4" fmla="*/ 1276572 w 1620776"/>
                                        <a:gd name="connsiteY4" fmla="*/ 471096 h 1532570"/>
                                        <a:gd name="connsiteX5" fmla="*/ 1295486 w 1620776"/>
                                        <a:gd name="connsiteY5" fmla="*/ 471096 h 1532570"/>
                                        <a:gd name="connsiteX6" fmla="*/ 1295485 w 1620776"/>
                                        <a:gd name="connsiteY6" fmla="*/ 501138 h 1532570"/>
                                        <a:gd name="connsiteX7" fmla="*/ 1442039 w 1620776"/>
                                        <a:gd name="connsiteY7" fmla="*/ 719379 h 1532570"/>
                                        <a:gd name="connsiteX8" fmla="*/ 1486177 w 1620776"/>
                                        <a:gd name="connsiteY8" fmla="*/ 871539 h 1532570"/>
                                        <a:gd name="connsiteX9" fmla="*/ 1620775 w 1620776"/>
                                        <a:gd name="connsiteY9" fmla="*/ 1009098 h 1532570"/>
                                        <a:gd name="connsiteX10" fmla="*/ 1537097 w 1620776"/>
                                        <a:gd name="connsiteY10" fmla="*/ 1052753 h 1532570"/>
                                        <a:gd name="connsiteX11" fmla="*/ 1438663 w 1620776"/>
                                        <a:gd name="connsiteY11" fmla="*/ 1304125 h 1532570"/>
                                        <a:gd name="connsiteX12" fmla="*/ 771506 w 1620776"/>
                                        <a:gd name="connsiteY12" fmla="*/ 1532569 h 1532570"/>
                                        <a:gd name="connsiteX13" fmla="*/ 492633 w 1620776"/>
                                        <a:gd name="connsiteY13" fmla="*/ 1457529 h 1532570"/>
                                        <a:gd name="connsiteX14" fmla="*/ 379262 w 1620776"/>
                                        <a:gd name="connsiteY14" fmla="*/ 1283003 h 1532570"/>
                                        <a:gd name="connsiteX15" fmla="*/ 173812 w 1620776"/>
                                        <a:gd name="connsiteY15" fmla="*/ 1415338 h 1532570"/>
                                        <a:gd name="connsiteX16" fmla="*/ 0 w 1620776"/>
                                        <a:gd name="connsiteY16" fmla="*/ 886780 h 1532570"/>
                                        <a:gd name="connsiteX17" fmla="*/ 261594 w 1620776"/>
                                        <a:gd name="connsiteY17" fmla="*/ 263194 h 1532570"/>
                                        <a:gd name="connsiteX18" fmla="*/ 616382 w 1620776"/>
                                        <a:gd name="connsiteY18" fmla="*/ 18135 h 1532570"/>
                                        <a:gd name="connsiteX0" fmla="*/ 616382 w 1620774"/>
                                        <a:gd name="connsiteY0" fmla="*/ 18135 h 1532568"/>
                                        <a:gd name="connsiteX1" fmla="*/ 766329 w 1620774"/>
                                        <a:gd name="connsiteY1" fmla="*/ 120359 h 1532568"/>
                                        <a:gd name="connsiteX2" fmla="*/ 872873 w 1620774"/>
                                        <a:gd name="connsiteY2" fmla="*/ 17259 h 1532568"/>
                                        <a:gd name="connsiteX3" fmla="*/ 1224658 w 1620774"/>
                                        <a:gd name="connsiteY3" fmla="*/ 0 h 1532568"/>
                                        <a:gd name="connsiteX4" fmla="*/ 1276572 w 1620774"/>
                                        <a:gd name="connsiteY4" fmla="*/ 471096 h 1532568"/>
                                        <a:gd name="connsiteX5" fmla="*/ 1295486 w 1620774"/>
                                        <a:gd name="connsiteY5" fmla="*/ 471096 h 1532568"/>
                                        <a:gd name="connsiteX6" fmla="*/ 1295485 w 1620774"/>
                                        <a:gd name="connsiteY6" fmla="*/ 501138 h 1532568"/>
                                        <a:gd name="connsiteX7" fmla="*/ 1442039 w 1620774"/>
                                        <a:gd name="connsiteY7" fmla="*/ 719379 h 1532568"/>
                                        <a:gd name="connsiteX8" fmla="*/ 1486177 w 1620774"/>
                                        <a:gd name="connsiteY8" fmla="*/ 871539 h 1532568"/>
                                        <a:gd name="connsiteX9" fmla="*/ 1620775 w 1620774"/>
                                        <a:gd name="connsiteY9" fmla="*/ 1009098 h 1532568"/>
                                        <a:gd name="connsiteX10" fmla="*/ 1537097 w 1620774"/>
                                        <a:gd name="connsiteY10" fmla="*/ 1052753 h 1532568"/>
                                        <a:gd name="connsiteX11" fmla="*/ 1438663 w 1620774"/>
                                        <a:gd name="connsiteY11" fmla="*/ 1304125 h 1532568"/>
                                        <a:gd name="connsiteX12" fmla="*/ 771506 w 1620774"/>
                                        <a:gd name="connsiteY12" fmla="*/ 1532569 h 1532568"/>
                                        <a:gd name="connsiteX13" fmla="*/ 492633 w 1620774"/>
                                        <a:gd name="connsiteY13" fmla="*/ 1457529 h 1532568"/>
                                        <a:gd name="connsiteX14" fmla="*/ 379262 w 1620774"/>
                                        <a:gd name="connsiteY14" fmla="*/ 1283003 h 1532568"/>
                                        <a:gd name="connsiteX15" fmla="*/ 173812 w 1620774"/>
                                        <a:gd name="connsiteY15" fmla="*/ 1415338 h 1532568"/>
                                        <a:gd name="connsiteX16" fmla="*/ 0 w 1620774"/>
                                        <a:gd name="connsiteY16" fmla="*/ 886780 h 1532568"/>
                                        <a:gd name="connsiteX17" fmla="*/ 261594 w 1620774"/>
                                        <a:gd name="connsiteY17" fmla="*/ 263194 h 1532568"/>
                                        <a:gd name="connsiteX18" fmla="*/ 616382 w 1620774"/>
                                        <a:gd name="connsiteY18" fmla="*/ 18135 h 1532568"/>
                                        <a:gd name="connsiteX0" fmla="*/ 616382 w 1620776"/>
                                        <a:gd name="connsiteY0" fmla="*/ 18135 h 1532570"/>
                                        <a:gd name="connsiteX1" fmla="*/ 766329 w 1620776"/>
                                        <a:gd name="connsiteY1" fmla="*/ 120359 h 1532570"/>
                                        <a:gd name="connsiteX2" fmla="*/ 872875 w 1620776"/>
                                        <a:gd name="connsiteY2" fmla="*/ 36169 h 1532570"/>
                                        <a:gd name="connsiteX3" fmla="*/ 1224658 w 1620776"/>
                                        <a:gd name="connsiteY3" fmla="*/ 0 h 1532570"/>
                                        <a:gd name="connsiteX4" fmla="*/ 1276572 w 1620776"/>
                                        <a:gd name="connsiteY4" fmla="*/ 471096 h 1532570"/>
                                        <a:gd name="connsiteX5" fmla="*/ 1295486 w 1620776"/>
                                        <a:gd name="connsiteY5" fmla="*/ 471096 h 1532570"/>
                                        <a:gd name="connsiteX6" fmla="*/ 1295485 w 1620776"/>
                                        <a:gd name="connsiteY6" fmla="*/ 501138 h 1532570"/>
                                        <a:gd name="connsiteX7" fmla="*/ 1442039 w 1620776"/>
                                        <a:gd name="connsiteY7" fmla="*/ 719379 h 1532570"/>
                                        <a:gd name="connsiteX8" fmla="*/ 1486177 w 1620776"/>
                                        <a:gd name="connsiteY8" fmla="*/ 871539 h 1532570"/>
                                        <a:gd name="connsiteX9" fmla="*/ 1620775 w 1620776"/>
                                        <a:gd name="connsiteY9" fmla="*/ 1009098 h 1532570"/>
                                        <a:gd name="connsiteX10" fmla="*/ 1537097 w 1620776"/>
                                        <a:gd name="connsiteY10" fmla="*/ 1052753 h 1532570"/>
                                        <a:gd name="connsiteX11" fmla="*/ 1438663 w 1620776"/>
                                        <a:gd name="connsiteY11" fmla="*/ 1304125 h 1532570"/>
                                        <a:gd name="connsiteX12" fmla="*/ 771506 w 1620776"/>
                                        <a:gd name="connsiteY12" fmla="*/ 1532569 h 1532570"/>
                                        <a:gd name="connsiteX13" fmla="*/ 492633 w 1620776"/>
                                        <a:gd name="connsiteY13" fmla="*/ 1457529 h 1532570"/>
                                        <a:gd name="connsiteX14" fmla="*/ 379262 w 1620776"/>
                                        <a:gd name="connsiteY14" fmla="*/ 1283003 h 1532570"/>
                                        <a:gd name="connsiteX15" fmla="*/ 173812 w 1620776"/>
                                        <a:gd name="connsiteY15" fmla="*/ 1415338 h 1532570"/>
                                        <a:gd name="connsiteX16" fmla="*/ 0 w 1620776"/>
                                        <a:gd name="connsiteY16" fmla="*/ 886780 h 1532570"/>
                                        <a:gd name="connsiteX17" fmla="*/ 261594 w 1620776"/>
                                        <a:gd name="connsiteY17" fmla="*/ 263194 h 1532570"/>
                                        <a:gd name="connsiteX18" fmla="*/ 616382 w 1620776"/>
                                        <a:gd name="connsiteY18" fmla="*/ 18135 h 1532570"/>
                                        <a:gd name="connsiteX0" fmla="*/ 616382 w 1620774"/>
                                        <a:gd name="connsiteY0" fmla="*/ 18135 h 1532568"/>
                                        <a:gd name="connsiteX1" fmla="*/ 766329 w 1620774"/>
                                        <a:gd name="connsiteY1" fmla="*/ 120359 h 1532568"/>
                                        <a:gd name="connsiteX2" fmla="*/ 865387 w 1620774"/>
                                        <a:gd name="connsiteY2" fmla="*/ 17259 h 1532568"/>
                                        <a:gd name="connsiteX3" fmla="*/ 1224658 w 1620774"/>
                                        <a:gd name="connsiteY3" fmla="*/ 0 h 1532568"/>
                                        <a:gd name="connsiteX4" fmla="*/ 1276572 w 1620774"/>
                                        <a:gd name="connsiteY4" fmla="*/ 471096 h 1532568"/>
                                        <a:gd name="connsiteX5" fmla="*/ 1295486 w 1620774"/>
                                        <a:gd name="connsiteY5" fmla="*/ 471096 h 1532568"/>
                                        <a:gd name="connsiteX6" fmla="*/ 1295485 w 1620774"/>
                                        <a:gd name="connsiteY6" fmla="*/ 501138 h 1532568"/>
                                        <a:gd name="connsiteX7" fmla="*/ 1442039 w 1620774"/>
                                        <a:gd name="connsiteY7" fmla="*/ 719379 h 1532568"/>
                                        <a:gd name="connsiteX8" fmla="*/ 1486177 w 1620774"/>
                                        <a:gd name="connsiteY8" fmla="*/ 871539 h 1532568"/>
                                        <a:gd name="connsiteX9" fmla="*/ 1620775 w 1620774"/>
                                        <a:gd name="connsiteY9" fmla="*/ 1009098 h 1532568"/>
                                        <a:gd name="connsiteX10" fmla="*/ 1537097 w 1620774"/>
                                        <a:gd name="connsiteY10" fmla="*/ 1052753 h 1532568"/>
                                        <a:gd name="connsiteX11" fmla="*/ 1438663 w 1620774"/>
                                        <a:gd name="connsiteY11" fmla="*/ 1304125 h 1532568"/>
                                        <a:gd name="connsiteX12" fmla="*/ 771506 w 1620774"/>
                                        <a:gd name="connsiteY12" fmla="*/ 1532569 h 1532568"/>
                                        <a:gd name="connsiteX13" fmla="*/ 492633 w 1620774"/>
                                        <a:gd name="connsiteY13" fmla="*/ 1457529 h 1532568"/>
                                        <a:gd name="connsiteX14" fmla="*/ 379262 w 1620774"/>
                                        <a:gd name="connsiteY14" fmla="*/ 1283003 h 1532568"/>
                                        <a:gd name="connsiteX15" fmla="*/ 173812 w 1620774"/>
                                        <a:gd name="connsiteY15" fmla="*/ 1415338 h 1532568"/>
                                        <a:gd name="connsiteX16" fmla="*/ 0 w 1620774"/>
                                        <a:gd name="connsiteY16" fmla="*/ 886780 h 1532568"/>
                                        <a:gd name="connsiteX17" fmla="*/ 261594 w 1620774"/>
                                        <a:gd name="connsiteY17" fmla="*/ 263194 h 1532568"/>
                                        <a:gd name="connsiteX18" fmla="*/ 616382 w 1620774"/>
                                        <a:gd name="connsiteY18" fmla="*/ 18135 h 1532568"/>
                                        <a:gd name="connsiteX0" fmla="*/ 616382 w 1620776"/>
                                        <a:gd name="connsiteY0" fmla="*/ 18135 h 1532570"/>
                                        <a:gd name="connsiteX1" fmla="*/ 766329 w 1620776"/>
                                        <a:gd name="connsiteY1" fmla="*/ 120359 h 1532570"/>
                                        <a:gd name="connsiteX2" fmla="*/ 867876 w 1620776"/>
                                        <a:gd name="connsiteY2" fmla="*/ 36170 h 1532570"/>
                                        <a:gd name="connsiteX3" fmla="*/ 1224658 w 1620776"/>
                                        <a:gd name="connsiteY3" fmla="*/ 0 h 1532570"/>
                                        <a:gd name="connsiteX4" fmla="*/ 1276572 w 1620776"/>
                                        <a:gd name="connsiteY4" fmla="*/ 471096 h 1532570"/>
                                        <a:gd name="connsiteX5" fmla="*/ 1295486 w 1620776"/>
                                        <a:gd name="connsiteY5" fmla="*/ 471096 h 1532570"/>
                                        <a:gd name="connsiteX6" fmla="*/ 1295485 w 1620776"/>
                                        <a:gd name="connsiteY6" fmla="*/ 501138 h 1532570"/>
                                        <a:gd name="connsiteX7" fmla="*/ 1442039 w 1620776"/>
                                        <a:gd name="connsiteY7" fmla="*/ 719379 h 1532570"/>
                                        <a:gd name="connsiteX8" fmla="*/ 1486177 w 1620776"/>
                                        <a:gd name="connsiteY8" fmla="*/ 871539 h 1532570"/>
                                        <a:gd name="connsiteX9" fmla="*/ 1620775 w 1620776"/>
                                        <a:gd name="connsiteY9" fmla="*/ 1009098 h 1532570"/>
                                        <a:gd name="connsiteX10" fmla="*/ 1537097 w 1620776"/>
                                        <a:gd name="connsiteY10" fmla="*/ 1052753 h 1532570"/>
                                        <a:gd name="connsiteX11" fmla="*/ 1438663 w 1620776"/>
                                        <a:gd name="connsiteY11" fmla="*/ 1304125 h 1532570"/>
                                        <a:gd name="connsiteX12" fmla="*/ 771506 w 1620776"/>
                                        <a:gd name="connsiteY12" fmla="*/ 1532569 h 1532570"/>
                                        <a:gd name="connsiteX13" fmla="*/ 492633 w 1620776"/>
                                        <a:gd name="connsiteY13" fmla="*/ 1457529 h 1532570"/>
                                        <a:gd name="connsiteX14" fmla="*/ 379262 w 1620776"/>
                                        <a:gd name="connsiteY14" fmla="*/ 1283003 h 1532570"/>
                                        <a:gd name="connsiteX15" fmla="*/ 173812 w 1620776"/>
                                        <a:gd name="connsiteY15" fmla="*/ 1415338 h 1532570"/>
                                        <a:gd name="connsiteX16" fmla="*/ 0 w 1620776"/>
                                        <a:gd name="connsiteY16" fmla="*/ 886780 h 1532570"/>
                                        <a:gd name="connsiteX17" fmla="*/ 261594 w 1620776"/>
                                        <a:gd name="connsiteY17" fmla="*/ 263194 h 1532570"/>
                                        <a:gd name="connsiteX18" fmla="*/ 616382 w 1620776"/>
                                        <a:gd name="connsiteY18" fmla="*/ 18135 h 1532570"/>
                                        <a:gd name="connsiteX0" fmla="*/ 616382 w 1620774"/>
                                        <a:gd name="connsiteY0" fmla="*/ 18135 h 1532568"/>
                                        <a:gd name="connsiteX1" fmla="*/ 771141 w 1620774"/>
                                        <a:gd name="connsiteY1" fmla="*/ 131706 h 1532568"/>
                                        <a:gd name="connsiteX2" fmla="*/ 867876 w 1620774"/>
                                        <a:gd name="connsiteY2" fmla="*/ 36170 h 1532568"/>
                                        <a:gd name="connsiteX3" fmla="*/ 1224658 w 1620774"/>
                                        <a:gd name="connsiteY3" fmla="*/ 0 h 1532568"/>
                                        <a:gd name="connsiteX4" fmla="*/ 1276572 w 1620774"/>
                                        <a:gd name="connsiteY4" fmla="*/ 471096 h 1532568"/>
                                        <a:gd name="connsiteX5" fmla="*/ 1295486 w 1620774"/>
                                        <a:gd name="connsiteY5" fmla="*/ 471096 h 1532568"/>
                                        <a:gd name="connsiteX6" fmla="*/ 1295485 w 1620774"/>
                                        <a:gd name="connsiteY6" fmla="*/ 501138 h 1532568"/>
                                        <a:gd name="connsiteX7" fmla="*/ 1442039 w 1620774"/>
                                        <a:gd name="connsiteY7" fmla="*/ 719379 h 1532568"/>
                                        <a:gd name="connsiteX8" fmla="*/ 1486177 w 1620774"/>
                                        <a:gd name="connsiteY8" fmla="*/ 871539 h 1532568"/>
                                        <a:gd name="connsiteX9" fmla="*/ 1620775 w 1620774"/>
                                        <a:gd name="connsiteY9" fmla="*/ 1009098 h 1532568"/>
                                        <a:gd name="connsiteX10" fmla="*/ 1537097 w 1620774"/>
                                        <a:gd name="connsiteY10" fmla="*/ 1052753 h 1532568"/>
                                        <a:gd name="connsiteX11" fmla="*/ 1438663 w 1620774"/>
                                        <a:gd name="connsiteY11" fmla="*/ 1304125 h 1532568"/>
                                        <a:gd name="connsiteX12" fmla="*/ 771506 w 1620774"/>
                                        <a:gd name="connsiteY12" fmla="*/ 1532569 h 1532568"/>
                                        <a:gd name="connsiteX13" fmla="*/ 492633 w 1620774"/>
                                        <a:gd name="connsiteY13" fmla="*/ 1457529 h 1532568"/>
                                        <a:gd name="connsiteX14" fmla="*/ 379262 w 1620774"/>
                                        <a:gd name="connsiteY14" fmla="*/ 1283003 h 1532568"/>
                                        <a:gd name="connsiteX15" fmla="*/ 173812 w 1620774"/>
                                        <a:gd name="connsiteY15" fmla="*/ 1415338 h 1532568"/>
                                        <a:gd name="connsiteX16" fmla="*/ 0 w 1620774"/>
                                        <a:gd name="connsiteY16" fmla="*/ 886780 h 1532568"/>
                                        <a:gd name="connsiteX17" fmla="*/ 261594 w 1620774"/>
                                        <a:gd name="connsiteY17" fmla="*/ 263194 h 1532568"/>
                                        <a:gd name="connsiteX18" fmla="*/ 616382 w 1620774"/>
                                        <a:gd name="connsiteY18" fmla="*/ 18135 h 1532568"/>
                                        <a:gd name="connsiteX0" fmla="*/ 616382 w 1620776"/>
                                        <a:gd name="connsiteY0" fmla="*/ 18135 h 1532570"/>
                                        <a:gd name="connsiteX1" fmla="*/ 771141 w 1620776"/>
                                        <a:gd name="connsiteY1" fmla="*/ 131706 h 1532570"/>
                                        <a:gd name="connsiteX2" fmla="*/ 872875 w 1620776"/>
                                        <a:gd name="connsiteY2" fmla="*/ 17259 h 1532570"/>
                                        <a:gd name="connsiteX3" fmla="*/ 1224658 w 1620776"/>
                                        <a:gd name="connsiteY3" fmla="*/ 0 h 1532570"/>
                                        <a:gd name="connsiteX4" fmla="*/ 1276572 w 1620776"/>
                                        <a:gd name="connsiteY4" fmla="*/ 471096 h 1532570"/>
                                        <a:gd name="connsiteX5" fmla="*/ 1295486 w 1620776"/>
                                        <a:gd name="connsiteY5" fmla="*/ 471096 h 1532570"/>
                                        <a:gd name="connsiteX6" fmla="*/ 1295485 w 1620776"/>
                                        <a:gd name="connsiteY6" fmla="*/ 501138 h 1532570"/>
                                        <a:gd name="connsiteX7" fmla="*/ 1442039 w 1620776"/>
                                        <a:gd name="connsiteY7" fmla="*/ 719379 h 1532570"/>
                                        <a:gd name="connsiteX8" fmla="*/ 1486177 w 1620776"/>
                                        <a:gd name="connsiteY8" fmla="*/ 871539 h 1532570"/>
                                        <a:gd name="connsiteX9" fmla="*/ 1620775 w 1620776"/>
                                        <a:gd name="connsiteY9" fmla="*/ 1009098 h 1532570"/>
                                        <a:gd name="connsiteX10" fmla="*/ 1537097 w 1620776"/>
                                        <a:gd name="connsiteY10" fmla="*/ 1052753 h 1532570"/>
                                        <a:gd name="connsiteX11" fmla="*/ 1438663 w 1620776"/>
                                        <a:gd name="connsiteY11" fmla="*/ 1304125 h 1532570"/>
                                        <a:gd name="connsiteX12" fmla="*/ 771506 w 1620776"/>
                                        <a:gd name="connsiteY12" fmla="*/ 1532569 h 1532570"/>
                                        <a:gd name="connsiteX13" fmla="*/ 492633 w 1620776"/>
                                        <a:gd name="connsiteY13" fmla="*/ 1457529 h 1532570"/>
                                        <a:gd name="connsiteX14" fmla="*/ 379262 w 1620776"/>
                                        <a:gd name="connsiteY14" fmla="*/ 1283003 h 1532570"/>
                                        <a:gd name="connsiteX15" fmla="*/ 173812 w 1620776"/>
                                        <a:gd name="connsiteY15" fmla="*/ 1415338 h 1532570"/>
                                        <a:gd name="connsiteX16" fmla="*/ 0 w 1620776"/>
                                        <a:gd name="connsiteY16" fmla="*/ 886780 h 1532570"/>
                                        <a:gd name="connsiteX17" fmla="*/ 261594 w 1620776"/>
                                        <a:gd name="connsiteY17" fmla="*/ 263194 h 1532570"/>
                                        <a:gd name="connsiteX18" fmla="*/ 616382 w 1620776"/>
                                        <a:gd name="connsiteY18" fmla="*/ 18135 h 1532570"/>
                                        <a:gd name="connsiteX0" fmla="*/ 616382 w 1620774"/>
                                        <a:gd name="connsiteY0" fmla="*/ 18135 h 1532568"/>
                                        <a:gd name="connsiteX1" fmla="*/ 771141 w 1620774"/>
                                        <a:gd name="connsiteY1" fmla="*/ 131706 h 1532568"/>
                                        <a:gd name="connsiteX2" fmla="*/ 872873 w 1620774"/>
                                        <a:gd name="connsiteY2" fmla="*/ 17259 h 1532568"/>
                                        <a:gd name="connsiteX3" fmla="*/ 1224658 w 1620774"/>
                                        <a:gd name="connsiteY3" fmla="*/ 0 h 1532568"/>
                                        <a:gd name="connsiteX4" fmla="*/ 1276572 w 1620774"/>
                                        <a:gd name="connsiteY4" fmla="*/ 471096 h 1532568"/>
                                        <a:gd name="connsiteX5" fmla="*/ 1295486 w 1620774"/>
                                        <a:gd name="connsiteY5" fmla="*/ 471096 h 1532568"/>
                                        <a:gd name="connsiteX6" fmla="*/ 1295485 w 1620774"/>
                                        <a:gd name="connsiteY6" fmla="*/ 501138 h 1532568"/>
                                        <a:gd name="connsiteX7" fmla="*/ 1442039 w 1620774"/>
                                        <a:gd name="connsiteY7" fmla="*/ 719379 h 1532568"/>
                                        <a:gd name="connsiteX8" fmla="*/ 1486177 w 1620774"/>
                                        <a:gd name="connsiteY8" fmla="*/ 871539 h 1532568"/>
                                        <a:gd name="connsiteX9" fmla="*/ 1620775 w 1620774"/>
                                        <a:gd name="connsiteY9" fmla="*/ 1009098 h 1532568"/>
                                        <a:gd name="connsiteX10" fmla="*/ 1537097 w 1620774"/>
                                        <a:gd name="connsiteY10" fmla="*/ 1052753 h 1532568"/>
                                        <a:gd name="connsiteX11" fmla="*/ 1438663 w 1620774"/>
                                        <a:gd name="connsiteY11" fmla="*/ 1304125 h 1532568"/>
                                        <a:gd name="connsiteX12" fmla="*/ 771506 w 1620774"/>
                                        <a:gd name="connsiteY12" fmla="*/ 1532569 h 1532568"/>
                                        <a:gd name="connsiteX13" fmla="*/ 492633 w 1620774"/>
                                        <a:gd name="connsiteY13" fmla="*/ 1457529 h 1532568"/>
                                        <a:gd name="connsiteX14" fmla="*/ 379262 w 1620774"/>
                                        <a:gd name="connsiteY14" fmla="*/ 1283003 h 1532568"/>
                                        <a:gd name="connsiteX15" fmla="*/ 173812 w 1620774"/>
                                        <a:gd name="connsiteY15" fmla="*/ 1415338 h 1532568"/>
                                        <a:gd name="connsiteX16" fmla="*/ 0 w 1620774"/>
                                        <a:gd name="connsiteY16" fmla="*/ 886780 h 1532568"/>
                                        <a:gd name="connsiteX17" fmla="*/ 261594 w 1620774"/>
                                        <a:gd name="connsiteY17" fmla="*/ 263194 h 1532568"/>
                                        <a:gd name="connsiteX18" fmla="*/ 616382 w 1620774"/>
                                        <a:gd name="connsiteY18" fmla="*/ 18135 h 1532568"/>
                                        <a:gd name="connsiteX0" fmla="*/ 616382 w 1620776"/>
                                        <a:gd name="connsiteY0" fmla="*/ 18135 h 1532570"/>
                                        <a:gd name="connsiteX1" fmla="*/ 771141 w 1620776"/>
                                        <a:gd name="connsiteY1" fmla="*/ 131706 h 1532570"/>
                                        <a:gd name="connsiteX2" fmla="*/ 865388 w 1620776"/>
                                        <a:gd name="connsiteY2" fmla="*/ 17259 h 1532570"/>
                                        <a:gd name="connsiteX3" fmla="*/ 1224658 w 1620776"/>
                                        <a:gd name="connsiteY3" fmla="*/ 0 h 1532570"/>
                                        <a:gd name="connsiteX4" fmla="*/ 1276572 w 1620776"/>
                                        <a:gd name="connsiteY4" fmla="*/ 471096 h 1532570"/>
                                        <a:gd name="connsiteX5" fmla="*/ 1295486 w 1620776"/>
                                        <a:gd name="connsiteY5" fmla="*/ 471096 h 1532570"/>
                                        <a:gd name="connsiteX6" fmla="*/ 1295485 w 1620776"/>
                                        <a:gd name="connsiteY6" fmla="*/ 501138 h 1532570"/>
                                        <a:gd name="connsiteX7" fmla="*/ 1442039 w 1620776"/>
                                        <a:gd name="connsiteY7" fmla="*/ 719379 h 1532570"/>
                                        <a:gd name="connsiteX8" fmla="*/ 1486177 w 1620776"/>
                                        <a:gd name="connsiteY8" fmla="*/ 871539 h 1532570"/>
                                        <a:gd name="connsiteX9" fmla="*/ 1620775 w 1620776"/>
                                        <a:gd name="connsiteY9" fmla="*/ 1009098 h 1532570"/>
                                        <a:gd name="connsiteX10" fmla="*/ 1537097 w 1620776"/>
                                        <a:gd name="connsiteY10" fmla="*/ 1052753 h 1532570"/>
                                        <a:gd name="connsiteX11" fmla="*/ 1438663 w 1620776"/>
                                        <a:gd name="connsiteY11" fmla="*/ 1304125 h 1532570"/>
                                        <a:gd name="connsiteX12" fmla="*/ 771506 w 1620776"/>
                                        <a:gd name="connsiteY12" fmla="*/ 1532569 h 1532570"/>
                                        <a:gd name="connsiteX13" fmla="*/ 492633 w 1620776"/>
                                        <a:gd name="connsiteY13" fmla="*/ 1457529 h 1532570"/>
                                        <a:gd name="connsiteX14" fmla="*/ 379262 w 1620776"/>
                                        <a:gd name="connsiteY14" fmla="*/ 1283003 h 1532570"/>
                                        <a:gd name="connsiteX15" fmla="*/ 173812 w 1620776"/>
                                        <a:gd name="connsiteY15" fmla="*/ 1415338 h 1532570"/>
                                        <a:gd name="connsiteX16" fmla="*/ 0 w 1620776"/>
                                        <a:gd name="connsiteY16" fmla="*/ 886780 h 1532570"/>
                                        <a:gd name="connsiteX17" fmla="*/ 261594 w 1620776"/>
                                        <a:gd name="connsiteY17" fmla="*/ 263194 h 1532570"/>
                                        <a:gd name="connsiteX18" fmla="*/ 616382 w 1620776"/>
                                        <a:gd name="connsiteY18" fmla="*/ 18135 h 1532570"/>
                                        <a:gd name="connsiteX0" fmla="*/ 616382 w 1620774"/>
                                        <a:gd name="connsiteY0" fmla="*/ 18135 h 1532568"/>
                                        <a:gd name="connsiteX1" fmla="*/ 771141 w 1620774"/>
                                        <a:gd name="connsiteY1" fmla="*/ 131706 h 1532568"/>
                                        <a:gd name="connsiteX2" fmla="*/ 872873 w 1620774"/>
                                        <a:gd name="connsiteY2" fmla="*/ 15207 h 1532568"/>
                                        <a:gd name="connsiteX3" fmla="*/ 1224658 w 1620774"/>
                                        <a:gd name="connsiteY3" fmla="*/ 0 h 1532568"/>
                                        <a:gd name="connsiteX4" fmla="*/ 1276572 w 1620774"/>
                                        <a:gd name="connsiteY4" fmla="*/ 471096 h 1532568"/>
                                        <a:gd name="connsiteX5" fmla="*/ 1295486 w 1620774"/>
                                        <a:gd name="connsiteY5" fmla="*/ 471096 h 1532568"/>
                                        <a:gd name="connsiteX6" fmla="*/ 1295485 w 1620774"/>
                                        <a:gd name="connsiteY6" fmla="*/ 501138 h 1532568"/>
                                        <a:gd name="connsiteX7" fmla="*/ 1442039 w 1620774"/>
                                        <a:gd name="connsiteY7" fmla="*/ 719379 h 1532568"/>
                                        <a:gd name="connsiteX8" fmla="*/ 1486177 w 1620774"/>
                                        <a:gd name="connsiteY8" fmla="*/ 871539 h 1532568"/>
                                        <a:gd name="connsiteX9" fmla="*/ 1620775 w 1620774"/>
                                        <a:gd name="connsiteY9" fmla="*/ 1009098 h 1532568"/>
                                        <a:gd name="connsiteX10" fmla="*/ 1537097 w 1620774"/>
                                        <a:gd name="connsiteY10" fmla="*/ 1052753 h 1532568"/>
                                        <a:gd name="connsiteX11" fmla="*/ 1438663 w 1620774"/>
                                        <a:gd name="connsiteY11" fmla="*/ 1304125 h 1532568"/>
                                        <a:gd name="connsiteX12" fmla="*/ 771506 w 1620774"/>
                                        <a:gd name="connsiteY12" fmla="*/ 1532569 h 1532568"/>
                                        <a:gd name="connsiteX13" fmla="*/ 492633 w 1620774"/>
                                        <a:gd name="connsiteY13" fmla="*/ 1457529 h 1532568"/>
                                        <a:gd name="connsiteX14" fmla="*/ 379262 w 1620774"/>
                                        <a:gd name="connsiteY14" fmla="*/ 1283003 h 1532568"/>
                                        <a:gd name="connsiteX15" fmla="*/ 173812 w 1620774"/>
                                        <a:gd name="connsiteY15" fmla="*/ 1415338 h 1532568"/>
                                        <a:gd name="connsiteX16" fmla="*/ 0 w 1620774"/>
                                        <a:gd name="connsiteY16" fmla="*/ 886780 h 1532568"/>
                                        <a:gd name="connsiteX17" fmla="*/ 261594 w 1620774"/>
                                        <a:gd name="connsiteY17" fmla="*/ 263194 h 1532568"/>
                                        <a:gd name="connsiteX18" fmla="*/ 616382 w 1620774"/>
                                        <a:gd name="connsiteY18" fmla="*/ 18135 h 1532568"/>
                                        <a:gd name="connsiteX0" fmla="*/ 616382 w 1620776"/>
                                        <a:gd name="connsiteY0" fmla="*/ 18135 h 1532570"/>
                                        <a:gd name="connsiteX1" fmla="*/ 771141 w 1620776"/>
                                        <a:gd name="connsiteY1" fmla="*/ 131706 h 1532570"/>
                                        <a:gd name="connsiteX2" fmla="*/ 872875 w 1620776"/>
                                        <a:gd name="connsiteY2" fmla="*/ 15207 h 1532570"/>
                                        <a:gd name="connsiteX3" fmla="*/ 1224658 w 1620776"/>
                                        <a:gd name="connsiteY3" fmla="*/ 0 h 1532570"/>
                                        <a:gd name="connsiteX4" fmla="*/ 1276572 w 1620776"/>
                                        <a:gd name="connsiteY4" fmla="*/ 471096 h 1532570"/>
                                        <a:gd name="connsiteX5" fmla="*/ 1295486 w 1620776"/>
                                        <a:gd name="connsiteY5" fmla="*/ 471096 h 1532570"/>
                                        <a:gd name="connsiteX6" fmla="*/ 1295485 w 1620776"/>
                                        <a:gd name="connsiteY6" fmla="*/ 501138 h 1532570"/>
                                        <a:gd name="connsiteX7" fmla="*/ 1442039 w 1620776"/>
                                        <a:gd name="connsiteY7" fmla="*/ 719379 h 1532570"/>
                                        <a:gd name="connsiteX8" fmla="*/ 1486177 w 1620776"/>
                                        <a:gd name="connsiteY8" fmla="*/ 871539 h 1532570"/>
                                        <a:gd name="connsiteX9" fmla="*/ 1620775 w 1620776"/>
                                        <a:gd name="connsiteY9" fmla="*/ 1009098 h 1532570"/>
                                        <a:gd name="connsiteX10" fmla="*/ 1537097 w 1620776"/>
                                        <a:gd name="connsiteY10" fmla="*/ 1052753 h 1532570"/>
                                        <a:gd name="connsiteX11" fmla="*/ 1438663 w 1620776"/>
                                        <a:gd name="connsiteY11" fmla="*/ 1304125 h 1532570"/>
                                        <a:gd name="connsiteX12" fmla="*/ 771506 w 1620776"/>
                                        <a:gd name="connsiteY12" fmla="*/ 1532569 h 1532570"/>
                                        <a:gd name="connsiteX13" fmla="*/ 492633 w 1620776"/>
                                        <a:gd name="connsiteY13" fmla="*/ 1457529 h 1532570"/>
                                        <a:gd name="connsiteX14" fmla="*/ 379262 w 1620776"/>
                                        <a:gd name="connsiteY14" fmla="*/ 1283003 h 1532570"/>
                                        <a:gd name="connsiteX15" fmla="*/ 173812 w 1620776"/>
                                        <a:gd name="connsiteY15" fmla="*/ 1415338 h 1532570"/>
                                        <a:gd name="connsiteX16" fmla="*/ 0 w 1620776"/>
                                        <a:gd name="connsiteY16" fmla="*/ 886780 h 1532570"/>
                                        <a:gd name="connsiteX17" fmla="*/ 261594 w 1620776"/>
                                        <a:gd name="connsiteY17" fmla="*/ 263194 h 1532570"/>
                                        <a:gd name="connsiteX18" fmla="*/ 616382 w 1620776"/>
                                        <a:gd name="connsiteY18" fmla="*/ 18135 h 1532570"/>
                                        <a:gd name="connsiteX0" fmla="*/ 616382 w 1620774"/>
                                        <a:gd name="connsiteY0" fmla="*/ 18135 h 1532568"/>
                                        <a:gd name="connsiteX1" fmla="*/ 771141 w 1620774"/>
                                        <a:gd name="connsiteY1" fmla="*/ 131706 h 1532568"/>
                                        <a:gd name="connsiteX2" fmla="*/ 872873 w 1620774"/>
                                        <a:gd name="connsiteY2" fmla="*/ 30959 h 1532568"/>
                                        <a:gd name="connsiteX3" fmla="*/ 1224658 w 1620774"/>
                                        <a:gd name="connsiteY3" fmla="*/ 0 h 1532568"/>
                                        <a:gd name="connsiteX4" fmla="*/ 1276572 w 1620774"/>
                                        <a:gd name="connsiteY4" fmla="*/ 471096 h 1532568"/>
                                        <a:gd name="connsiteX5" fmla="*/ 1295486 w 1620774"/>
                                        <a:gd name="connsiteY5" fmla="*/ 471096 h 1532568"/>
                                        <a:gd name="connsiteX6" fmla="*/ 1295485 w 1620774"/>
                                        <a:gd name="connsiteY6" fmla="*/ 501138 h 1532568"/>
                                        <a:gd name="connsiteX7" fmla="*/ 1442039 w 1620774"/>
                                        <a:gd name="connsiteY7" fmla="*/ 719379 h 1532568"/>
                                        <a:gd name="connsiteX8" fmla="*/ 1486177 w 1620774"/>
                                        <a:gd name="connsiteY8" fmla="*/ 871539 h 1532568"/>
                                        <a:gd name="connsiteX9" fmla="*/ 1620775 w 1620774"/>
                                        <a:gd name="connsiteY9" fmla="*/ 1009098 h 1532568"/>
                                        <a:gd name="connsiteX10" fmla="*/ 1537097 w 1620774"/>
                                        <a:gd name="connsiteY10" fmla="*/ 1052753 h 1532568"/>
                                        <a:gd name="connsiteX11" fmla="*/ 1438663 w 1620774"/>
                                        <a:gd name="connsiteY11" fmla="*/ 1304125 h 1532568"/>
                                        <a:gd name="connsiteX12" fmla="*/ 771506 w 1620774"/>
                                        <a:gd name="connsiteY12" fmla="*/ 1532569 h 1532568"/>
                                        <a:gd name="connsiteX13" fmla="*/ 492633 w 1620774"/>
                                        <a:gd name="connsiteY13" fmla="*/ 1457529 h 1532568"/>
                                        <a:gd name="connsiteX14" fmla="*/ 379262 w 1620774"/>
                                        <a:gd name="connsiteY14" fmla="*/ 1283003 h 1532568"/>
                                        <a:gd name="connsiteX15" fmla="*/ 173812 w 1620774"/>
                                        <a:gd name="connsiteY15" fmla="*/ 1415338 h 1532568"/>
                                        <a:gd name="connsiteX16" fmla="*/ 0 w 1620774"/>
                                        <a:gd name="connsiteY16" fmla="*/ 886780 h 1532568"/>
                                        <a:gd name="connsiteX17" fmla="*/ 261594 w 1620774"/>
                                        <a:gd name="connsiteY17" fmla="*/ 263194 h 1532568"/>
                                        <a:gd name="connsiteX18" fmla="*/ 616382 w 1620774"/>
                                        <a:gd name="connsiteY18" fmla="*/ 18135 h 1532568"/>
                                        <a:gd name="connsiteX0" fmla="*/ 616382 w 1620776"/>
                                        <a:gd name="connsiteY0" fmla="*/ 18135 h 1532570"/>
                                        <a:gd name="connsiteX1" fmla="*/ 771141 w 1620776"/>
                                        <a:gd name="connsiteY1" fmla="*/ 131706 h 1532570"/>
                                        <a:gd name="connsiteX2" fmla="*/ 872873 w 1620776"/>
                                        <a:gd name="connsiteY2" fmla="*/ 30959 h 1532570"/>
                                        <a:gd name="connsiteX3" fmla="*/ 1224658 w 1620776"/>
                                        <a:gd name="connsiteY3" fmla="*/ 0 h 1532570"/>
                                        <a:gd name="connsiteX4" fmla="*/ 1276572 w 1620776"/>
                                        <a:gd name="connsiteY4" fmla="*/ 471096 h 1532570"/>
                                        <a:gd name="connsiteX5" fmla="*/ 1295486 w 1620776"/>
                                        <a:gd name="connsiteY5" fmla="*/ 471096 h 1532570"/>
                                        <a:gd name="connsiteX6" fmla="*/ 1295485 w 1620776"/>
                                        <a:gd name="connsiteY6" fmla="*/ 501138 h 1532570"/>
                                        <a:gd name="connsiteX7" fmla="*/ 1442039 w 1620776"/>
                                        <a:gd name="connsiteY7" fmla="*/ 719379 h 1532570"/>
                                        <a:gd name="connsiteX8" fmla="*/ 1486177 w 1620776"/>
                                        <a:gd name="connsiteY8" fmla="*/ 871539 h 1532570"/>
                                        <a:gd name="connsiteX9" fmla="*/ 1620775 w 1620776"/>
                                        <a:gd name="connsiteY9" fmla="*/ 1009098 h 1532570"/>
                                        <a:gd name="connsiteX10" fmla="*/ 1537097 w 1620776"/>
                                        <a:gd name="connsiteY10" fmla="*/ 1052753 h 1532570"/>
                                        <a:gd name="connsiteX11" fmla="*/ 1438663 w 1620776"/>
                                        <a:gd name="connsiteY11" fmla="*/ 1304125 h 1532570"/>
                                        <a:gd name="connsiteX12" fmla="*/ 771506 w 1620776"/>
                                        <a:gd name="connsiteY12" fmla="*/ 1532569 h 1532570"/>
                                        <a:gd name="connsiteX13" fmla="*/ 492633 w 1620776"/>
                                        <a:gd name="connsiteY13" fmla="*/ 1457529 h 1532570"/>
                                        <a:gd name="connsiteX14" fmla="*/ 379262 w 1620776"/>
                                        <a:gd name="connsiteY14" fmla="*/ 1283003 h 1532570"/>
                                        <a:gd name="connsiteX15" fmla="*/ 173812 w 1620776"/>
                                        <a:gd name="connsiteY15" fmla="*/ 1415338 h 1532570"/>
                                        <a:gd name="connsiteX16" fmla="*/ 295192 w 1620776"/>
                                        <a:gd name="connsiteY16" fmla="*/ 662112 h 1532570"/>
                                        <a:gd name="connsiteX17" fmla="*/ 0 w 1620776"/>
                                        <a:gd name="connsiteY17" fmla="*/ 886780 h 1532570"/>
                                        <a:gd name="connsiteX18" fmla="*/ 261594 w 1620776"/>
                                        <a:gd name="connsiteY18" fmla="*/ 263194 h 1532570"/>
                                        <a:gd name="connsiteX19" fmla="*/ 616382 w 1620776"/>
                                        <a:gd name="connsiteY19" fmla="*/ 18135 h 1532570"/>
                                        <a:gd name="connsiteX0" fmla="*/ 616382 w 1620774"/>
                                        <a:gd name="connsiteY0" fmla="*/ 18135 h 1532568"/>
                                        <a:gd name="connsiteX1" fmla="*/ 771141 w 1620774"/>
                                        <a:gd name="connsiteY1" fmla="*/ 131706 h 1532568"/>
                                        <a:gd name="connsiteX2" fmla="*/ 872873 w 1620774"/>
                                        <a:gd name="connsiteY2" fmla="*/ 30959 h 1532568"/>
                                        <a:gd name="connsiteX3" fmla="*/ 1224658 w 1620774"/>
                                        <a:gd name="connsiteY3" fmla="*/ 0 h 1532568"/>
                                        <a:gd name="connsiteX4" fmla="*/ 1276572 w 1620774"/>
                                        <a:gd name="connsiteY4" fmla="*/ 471096 h 1532568"/>
                                        <a:gd name="connsiteX5" fmla="*/ 1295486 w 1620774"/>
                                        <a:gd name="connsiteY5" fmla="*/ 471096 h 1532568"/>
                                        <a:gd name="connsiteX6" fmla="*/ 1295485 w 1620774"/>
                                        <a:gd name="connsiteY6" fmla="*/ 501138 h 1532568"/>
                                        <a:gd name="connsiteX7" fmla="*/ 1442039 w 1620774"/>
                                        <a:gd name="connsiteY7" fmla="*/ 719379 h 1532568"/>
                                        <a:gd name="connsiteX8" fmla="*/ 1486177 w 1620774"/>
                                        <a:gd name="connsiteY8" fmla="*/ 871539 h 1532568"/>
                                        <a:gd name="connsiteX9" fmla="*/ 1620775 w 1620774"/>
                                        <a:gd name="connsiteY9" fmla="*/ 1009098 h 1532568"/>
                                        <a:gd name="connsiteX10" fmla="*/ 1537097 w 1620774"/>
                                        <a:gd name="connsiteY10" fmla="*/ 1052753 h 1532568"/>
                                        <a:gd name="connsiteX11" fmla="*/ 1438663 w 1620774"/>
                                        <a:gd name="connsiteY11" fmla="*/ 1304125 h 1532568"/>
                                        <a:gd name="connsiteX12" fmla="*/ 771506 w 1620774"/>
                                        <a:gd name="connsiteY12" fmla="*/ 1532569 h 1532568"/>
                                        <a:gd name="connsiteX13" fmla="*/ 492633 w 1620774"/>
                                        <a:gd name="connsiteY13" fmla="*/ 1457529 h 1532568"/>
                                        <a:gd name="connsiteX14" fmla="*/ 379262 w 1620774"/>
                                        <a:gd name="connsiteY14" fmla="*/ 1283003 h 1532568"/>
                                        <a:gd name="connsiteX15" fmla="*/ 295192 w 1620774"/>
                                        <a:gd name="connsiteY15" fmla="*/ 662112 h 1532568"/>
                                        <a:gd name="connsiteX16" fmla="*/ 0 w 1620774"/>
                                        <a:gd name="connsiteY16" fmla="*/ 886780 h 1532568"/>
                                        <a:gd name="connsiteX17" fmla="*/ 261594 w 1620774"/>
                                        <a:gd name="connsiteY17" fmla="*/ 263194 h 1532568"/>
                                        <a:gd name="connsiteX18" fmla="*/ 616382 w 1620774"/>
                                        <a:gd name="connsiteY18" fmla="*/ 18135 h 1532568"/>
                                        <a:gd name="connsiteX0" fmla="*/ 616382 w 1620776"/>
                                        <a:gd name="connsiteY0" fmla="*/ 18135 h 1532570"/>
                                        <a:gd name="connsiteX1" fmla="*/ 771141 w 1620776"/>
                                        <a:gd name="connsiteY1" fmla="*/ 131706 h 1532570"/>
                                        <a:gd name="connsiteX2" fmla="*/ 872873 w 1620776"/>
                                        <a:gd name="connsiteY2" fmla="*/ 30959 h 1532570"/>
                                        <a:gd name="connsiteX3" fmla="*/ 1224658 w 1620776"/>
                                        <a:gd name="connsiteY3" fmla="*/ 0 h 1532570"/>
                                        <a:gd name="connsiteX4" fmla="*/ 1276572 w 1620776"/>
                                        <a:gd name="connsiteY4" fmla="*/ 471096 h 1532570"/>
                                        <a:gd name="connsiteX5" fmla="*/ 1295486 w 1620776"/>
                                        <a:gd name="connsiteY5" fmla="*/ 471096 h 1532570"/>
                                        <a:gd name="connsiteX6" fmla="*/ 1295485 w 1620776"/>
                                        <a:gd name="connsiteY6" fmla="*/ 501138 h 1532570"/>
                                        <a:gd name="connsiteX7" fmla="*/ 1442039 w 1620776"/>
                                        <a:gd name="connsiteY7" fmla="*/ 719379 h 1532570"/>
                                        <a:gd name="connsiteX8" fmla="*/ 1486177 w 1620776"/>
                                        <a:gd name="connsiteY8" fmla="*/ 871539 h 1532570"/>
                                        <a:gd name="connsiteX9" fmla="*/ 1620775 w 1620776"/>
                                        <a:gd name="connsiteY9" fmla="*/ 1009098 h 1532570"/>
                                        <a:gd name="connsiteX10" fmla="*/ 1537097 w 1620776"/>
                                        <a:gd name="connsiteY10" fmla="*/ 1052753 h 1532570"/>
                                        <a:gd name="connsiteX11" fmla="*/ 1438663 w 1620776"/>
                                        <a:gd name="connsiteY11" fmla="*/ 1304125 h 1532570"/>
                                        <a:gd name="connsiteX12" fmla="*/ 771506 w 1620776"/>
                                        <a:gd name="connsiteY12" fmla="*/ 1532569 h 1532570"/>
                                        <a:gd name="connsiteX13" fmla="*/ 492633 w 1620776"/>
                                        <a:gd name="connsiteY13" fmla="*/ 1457529 h 1532570"/>
                                        <a:gd name="connsiteX14" fmla="*/ 295192 w 1620776"/>
                                        <a:gd name="connsiteY14" fmla="*/ 662112 h 1532570"/>
                                        <a:gd name="connsiteX15" fmla="*/ 0 w 1620776"/>
                                        <a:gd name="connsiteY15" fmla="*/ 886780 h 1532570"/>
                                        <a:gd name="connsiteX16" fmla="*/ 261594 w 1620776"/>
                                        <a:gd name="connsiteY16" fmla="*/ 263194 h 1532570"/>
                                        <a:gd name="connsiteX17" fmla="*/ 616382 w 1620776"/>
                                        <a:gd name="connsiteY17" fmla="*/ 18135 h 1532570"/>
                                        <a:gd name="connsiteX0" fmla="*/ 616382 w 1620774"/>
                                        <a:gd name="connsiteY0" fmla="*/ 18135 h 1532568"/>
                                        <a:gd name="connsiteX1" fmla="*/ 771141 w 1620774"/>
                                        <a:gd name="connsiteY1" fmla="*/ 131706 h 1532568"/>
                                        <a:gd name="connsiteX2" fmla="*/ 872873 w 1620774"/>
                                        <a:gd name="connsiteY2" fmla="*/ 30959 h 1532568"/>
                                        <a:gd name="connsiteX3" fmla="*/ 1224658 w 1620774"/>
                                        <a:gd name="connsiteY3" fmla="*/ 0 h 1532568"/>
                                        <a:gd name="connsiteX4" fmla="*/ 1276572 w 1620774"/>
                                        <a:gd name="connsiteY4" fmla="*/ 471096 h 1532568"/>
                                        <a:gd name="connsiteX5" fmla="*/ 1295486 w 1620774"/>
                                        <a:gd name="connsiteY5" fmla="*/ 471096 h 1532568"/>
                                        <a:gd name="connsiteX6" fmla="*/ 1295485 w 1620774"/>
                                        <a:gd name="connsiteY6" fmla="*/ 501138 h 1532568"/>
                                        <a:gd name="connsiteX7" fmla="*/ 1442039 w 1620774"/>
                                        <a:gd name="connsiteY7" fmla="*/ 719379 h 1532568"/>
                                        <a:gd name="connsiteX8" fmla="*/ 1486177 w 1620774"/>
                                        <a:gd name="connsiteY8" fmla="*/ 871539 h 1532568"/>
                                        <a:gd name="connsiteX9" fmla="*/ 1620775 w 1620774"/>
                                        <a:gd name="connsiteY9" fmla="*/ 1009098 h 1532568"/>
                                        <a:gd name="connsiteX10" fmla="*/ 1537097 w 1620774"/>
                                        <a:gd name="connsiteY10" fmla="*/ 1052753 h 1532568"/>
                                        <a:gd name="connsiteX11" fmla="*/ 1438663 w 1620774"/>
                                        <a:gd name="connsiteY11" fmla="*/ 1304125 h 1532568"/>
                                        <a:gd name="connsiteX12" fmla="*/ 771506 w 1620774"/>
                                        <a:gd name="connsiteY12" fmla="*/ 1532569 h 1532568"/>
                                        <a:gd name="connsiteX13" fmla="*/ 549401 w 1620774"/>
                                        <a:gd name="connsiteY13" fmla="*/ 912705 h 1532568"/>
                                        <a:gd name="connsiteX14" fmla="*/ 295192 w 1620774"/>
                                        <a:gd name="connsiteY14" fmla="*/ 662112 h 1532568"/>
                                        <a:gd name="connsiteX15" fmla="*/ 0 w 1620774"/>
                                        <a:gd name="connsiteY15" fmla="*/ 886780 h 1532568"/>
                                        <a:gd name="connsiteX16" fmla="*/ 261594 w 1620774"/>
                                        <a:gd name="connsiteY16" fmla="*/ 263194 h 1532568"/>
                                        <a:gd name="connsiteX17" fmla="*/ 616382 w 1620774"/>
                                        <a:gd name="connsiteY17" fmla="*/ 18135 h 1532568"/>
                                        <a:gd name="connsiteX0" fmla="*/ 616382 w 1620776"/>
                                        <a:gd name="connsiteY0" fmla="*/ 18135 h 1304125"/>
                                        <a:gd name="connsiteX1" fmla="*/ 771141 w 1620776"/>
                                        <a:gd name="connsiteY1" fmla="*/ 131706 h 1304125"/>
                                        <a:gd name="connsiteX2" fmla="*/ 872873 w 1620776"/>
                                        <a:gd name="connsiteY2" fmla="*/ 30959 h 1304125"/>
                                        <a:gd name="connsiteX3" fmla="*/ 1224658 w 1620776"/>
                                        <a:gd name="connsiteY3" fmla="*/ 0 h 1304125"/>
                                        <a:gd name="connsiteX4" fmla="*/ 1276572 w 1620776"/>
                                        <a:gd name="connsiteY4" fmla="*/ 471096 h 1304125"/>
                                        <a:gd name="connsiteX5" fmla="*/ 1295486 w 1620776"/>
                                        <a:gd name="connsiteY5" fmla="*/ 471096 h 1304125"/>
                                        <a:gd name="connsiteX6" fmla="*/ 1295485 w 1620776"/>
                                        <a:gd name="connsiteY6" fmla="*/ 501138 h 1304125"/>
                                        <a:gd name="connsiteX7" fmla="*/ 1442039 w 1620776"/>
                                        <a:gd name="connsiteY7" fmla="*/ 719379 h 1304125"/>
                                        <a:gd name="connsiteX8" fmla="*/ 1486177 w 1620776"/>
                                        <a:gd name="connsiteY8" fmla="*/ 871539 h 1304125"/>
                                        <a:gd name="connsiteX9" fmla="*/ 1620775 w 1620776"/>
                                        <a:gd name="connsiteY9" fmla="*/ 1009098 h 1304125"/>
                                        <a:gd name="connsiteX10" fmla="*/ 1537097 w 1620776"/>
                                        <a:gd name="connsiteY10" fmla="*/ 1052753 h 1304125"/>
                                        <a:gd name="connsiteX11" fmla="*/ 1438663 w 1620776"/>
                                        <a:gd name="connsiteY11" fmla="*/ 1304125 h 1304125"/>
                                        <a:gd name="connsiteX12" fmla="*/ 681531 w 1620776"/>
                                        <a:gd name="connsiteY12" fmla="*/ 1202647 h 1304125"/>
                                        <a:gd name="connsiteX13" fmla="*/ 549401 w 1620776"/>
                                        <a:gd name="connsiteY13" fmla="*/ 912705 h 1304125"/>
                                        <a:gd name="connsiteX14" fmla="*/ 295192 w 1620776"/>
                                        <a:gd name="connsiteY14" fmla="*/ 662112 h 1304125"/>
                                        <a:gd name="connsiteX15" fmla="*/ 0 w 1620776"/>
                                        <a:gd name="connsiteY15" fmla="*/ 886780 h 1304125"/>
                                        <a:gd name="connsiteX16" fmla="*/ 261594 w 1620776"/>
                                        <a:gd name="connsiteY16" fmla="*/ 263194 h 1304125"/>
                                        <a:gd name="connsiteX17" fmla="*/ 616382 w 1620776"/>
                                        <a:gd name="connsiteY17" fmla="*/ 18135 h 1304125"/>
                                        <a:gd name="connsiteX0" fmla="*/ 616382 w 1620774"/>
                                        <a:gd name="connsiteY0" fmla="*/ 18135 h 1202647"/>
                                        <a:gd name="connsiteX1" fmla="*/ 771141 w 1620774"/>
                                        <a:gd name="connsiteY1" fmla="*/ 131706 h 1202647"/>
                                        <a:gd name="connsiteX2" fmla="*/ 872873 w 1620774"/>
                                        <a:gd name="connsiteY2" fmla="*/ 30959 h 1202647"/>
                                        <a:gd name="connsiteX3" fmla="*/ 1224658 w 1620774"/>
                                        <a:gd name="connsiteY3" fmla="*/ 0 h 1202647"/>
                                        <a:gd name="connsiteX4" fmla="*/ 1276572 w 1620774"/>
                                        <a:gd name="connsiteY4" fmla="*/ 471096 h 1202647"/>
                                        <a:gd name="connsiteX5" fmla="*/ 1295486 w 1620774"/>
                                        <a:gd name="connsiteY5" fmla="*/ 471096 h 1202647"/>
                                        <a:gd name="connsiteX6" fmla="*/ 1295485 w 1620774"/>
                                        <a:gd name="connsiteY6" fmla="*/ 501138 h 1202647"/>
                                        <a:gd name="connsiteX7" fmla="*/ 1442039 w 1620774"/>
                                        <a:gd name="connsiteY7" fmla="*/ 719379 h 1202647"/>
                                        <a:gd name="connsiteX8" fmla="*/ 1486177 w 1620774"/>
                                        <a:gd name="connsiteY8" fmla="*/ 871539 h 1202647"/>
                                        <a:gd name="connsiteX9" fmla="*/ 1620775 w 1620774"/>
                                        <a:gd name="connsiteY9" fmla="*/ 1009098 h 1202647"/>
                                        <a:gd name="connsiteX10" fmla="*/ 1537097 w 1620774"/>
                                        <a:gd name="connsiteY10" fmla="*/ 1052753 h 1202647"/>
                                        <a:gd name="connsiteX11" fmla="*/ 997595 w 1620774"/>
                                        <a:gd name="connsiteY11" fmla="*/ 884293 h 1202647"/>
                                        <a:gd name="connsiteX12" fmla="*/ 681531 w 1620774"/>
                                        <a:gd name="connsiteY12" fmla="*/ 1202647 h 1202647"/>
                                        <a:gd name="connsiteX13" fmla="*/ 549401 w 1620774"/>
                                        <a:gd name="connsiteY13" fmla="*/ 912705 h 1202647"/>
                                        <a:gd name="connsiteX14" fmla="*/ 295192 w 1620774"/>
                                        <a:gd name="connsiteY14" fmla="*/ 662112 h 1202647"/>
                                        <a:gd name="connsiteX15" fmla="*/ 0 w 1620774"/>
                                        <a:gd name="connsiteY15" fmla="*/ 886780 h 1202647"/>
                                        <a:gd name="connsiteX16" fmla="*/ 261594 w 1620774"/>
                                        <a:gd name="connsiteY16" fmla="*/ 263194 h 1202647"/>
                                        <a:gd name="connsiteX17" fmla="*/ 616382 w 1620774"/>
                                        <a:gd name="connsiteY17" fmla="*/ 18135 h 1202647"/>
                                        <a:gd name="connsiteX0" fmla="*/ 616382 w 1620776"/>
                                        <a:gd name="connsiteY0" fmla="*/ 18135 h 1202647"/>
                                        <a:gd name="connsiteX1" fmla="*/ 771141 w 1620776"/>
                                        <a:gd name="connsiteY1" fmla="*/ 131706 h 1202647"/>
                                        <a:gd name="connsiteX2" fmla="*/ 872873 w 1620776"/>
                                        <a:gd name="connsiteY2" fmla="*/ 30959 h 1202647"/>
                                        <a:gd name="connsiteX3" fmla="*/ 1224658 w 1620776"/>
                                        <a:gd name="connsiteY3" fmla="*/ 0 h 1202647"/>
                                        <a:gd name="connsiteX4" fmla="*/ 1276572 w 1620776"/>
                                        <a:gd name="connsiteY4" fmla="*/ 471096 h 1202647"/>
                                        <a:gd name="connsiteX5" fmla="*/ 1295486 w 1620776"/>
                                        <a:gd name="connsiteY5" fmla="*/ 471096 h 1202647"/>
                                        <a:gd name="connsiteX6" fmla="*/ 1295485 w 1620776"/>
                                        <a:gd name="connsiteY6" fmla="*/ 501138 h 1202647"/>
                                        <a:gd name="connsiteX7" fmla="*/ 1442039 w 1620776"/>
                                        <a:gd name="connsiteY7" fmla="*/ 719379 h 1202647"/>
                                        <a:gd name="connsiteX8" fmla="*/ 1486177 w 1620776"/>
                                        <a:gd name="connsiteY8" fmla="*/ 871539 h 1202647"/>
                                        <a:gd name="connsiteX9" fmla="*/ 1620775 w 1620776"/>
                                        <a:gd name="connsiteY9" fmla="*/ 1009098 h 1202647"/>
                                        <a:gd name="connsiteX10" fmla="*/ 997595 w 1620776"/>
                                        <a:gd name="connsiteY10" fmla="*/ 884293 h 1202647"/>
                                        <a:gd name="connsiteX11" fmla="*/ 681531 w 1620776"/>
                                        <a:gd name="connsiteY11" fmla="*/ 1202647 h 1202647"/>
                                        <a:gd name="connsiteX12" fmla="*/ 549401 w 1620776"/>
                                        <a:gd name="connsiteY12" fmla="*/ 912705 h 1202647"/>
                                        <a:gd name="connsiteX13" fmla="*/ 295192 w 1620776"/>
                                        <a:gd name="connsiteY13" fmla="*/ 662112 h 1202647"/>
                                        <a:gd name="connsiteX14" fmla="*/ 0 w 1620776"/>
                                        <a:gd name="connsiteY14" fmla="*/ 886780 h 1202647"/>
                                        <a:gd name="connsiteX15" fmla="*/ 261594 w 1620776"/>
                                        <a:gd name="connsiteY15" fmla="*/ 263194 h 1202647"/>
                                        <a:gd name="connsiteX16" fmla="*/ 616382 w 1620776"/>
                                        <a:gd name="connsiteY16" fmla="*/ 18135 h 1202647"/>
                                        <a:gd name="connsiteX0" fmla="*/ 616382 w 1486176"/>
                                        <a:gd name="connsiteY0" fmla="*/ 18135 h 1202647"/>
                                        <a:gd name="connsiteX1" fmla="*/ 771141 w 1486176"/>
                                        <a:gd name="connsiteY1" fmla="*/ 131706 h 1202647"/>
                                        <a:gd name="connsiteX2" fmla="*/ 872873 w 1486176"/>
                                        <a:gd name="connsiteY2" fmla="*/ 30959 h 1202647"/>
                                        <a:gd name="connsiteX3" fmla="*/ 1224658 w 1486176"/>
                                        <a:gd name="connsiteY3" fmla="*/ 0 h 1202647"/>
                                        <a:gd name="connsiteX4" fmla="*/ 1276572 w 1486176"/>
                                        <a:gd name="connsiteY4" fmla="*/ 471096 h 1202647"/>
                                        <a:gd name="connsiteX5" fmla="*/ 1295486 w 1486176"/>
                                        <a:gd name="connsiteY5" fmla="*/ 471096 h 1202647"/>
                                        <a:gd name="connsiteX6" fmla="*/ 1295485 w 1486176"/>
                                        <a:gd name="connsiteY6" fmla="*/ 501138 h 1202647"/>
                                        <a:gd name="connsiteX7" fmla="*/ 1442039 w 1486176"/>
                                        <a:gd name="connsiteY7" fmla="*/ 719379 h 1202647"/>
                                        <a:gd name="connsiteX8" fmla="*/ 1486177 w 1486176"/>
                                        <a:gd name="connsiteY8" fmla="*/ 871539 h 1202647"/>
                                        <a:gd name="connsiteX9" fmla="*/ 997595 w 1486176"/>
                                        <a:gd name="connsiteY9" fmla="*/ 884293 h 1202647"/>
                                        <a:gd name="connsiteX10" fmla="*/ 681531 w 1486176"/>
                                        <a:gd name="connsiteY10" fmla="*/ 1202647 h 1202647"/>
                                        <a:gd name="connsiteX11" fmla="*/ 549401 w 1486176"/>
                                        <a:gd name="connsiteY11" fmla="*/ 912705 h 1202647"/>
                                        <a:gd name="connsiteX12" fmla="*/ 295192 w 1486176"/>
                                        <a:gd name="connsiteY12" fmla="*/ 662112 h 1202647"/>
                                        <a:gd name="connsiteX13" fmla="*/ 0 w 1486176"/>
                                        <a:gd name="connsiteY13" fmla="*/ 886780 h 1202647"/>
                                        <a:gd name="connsiteX14" fmla="*/ 261594 w 1486176"/>
                                        <a:gd name="connsiteY14" fmla="*/ 263194 h 1202647"/>
                                        <a:gd name="connsiteX15" fmla="*/ 616382 w 1486176"/>
                                        <a:gd name="connsiteY15" fmla="*/ 18135 h 1202647"/>
                                        <a:gd name="connsiteX0" fmla="*/ 616382 w 1442040"/>
                                        <a:gd name="connsiteY0" fmla="*/ 18135 h 1202647"/>
                                        <a:gd name="connsiteX1" fmla="*/ 771141 w 1442040"/>
                                        <a:gd name="connsiteY1" fmla="*/ 131706 h 1202647"/>
                                        <a:gd name="connsiteX2" fmla="*/ 872873 w 1442040"/>
                                        <a:gd name="connsiteY2" fmla="*/ 30959 h 1202647"/>
                                        <a:gd name="connsiteX3" fmla="*/ 1224658 w 1442040"/>
                                        <a:gd name="connsiteY3" fmla="*/ 0 h 1202647"/>
                                        <a:gd name="connsiteX4" fmla="*/ 1276572 w 1442040"/>
                                        <a:gd name="connsiteY4" fmla="*/ 471096 h 1202647"/>
                                        <a:gd name="connsiteX5" fmla="*/ 1295486 w 1442040"/>
                                        <a:gd name="connsiteY5" fmla="*/ 471096 h 1202647"/>
                                        <a:gd name="connsiteX6" fmla="*/ 1295485 w 1442040"/>
                                        <a:gd name="connsiteY6" fmla="*/ 501138 h 1202647"/>
                                        <a:gd name="connsiteX7" fmla="*/ 1442039 w 1442040"/>
                                        <a:gd name="connsiteY7" fmla="*/ 719379 h 1202647"/>
                                        <a:gd name="connsiteX8" fmla="*/ 997595 w 1442040"/>
                                        <a:gd name="connsiteY8" fmla="*/ 884293 h 1202647"/>
                                        <a:gd name="connsiteX9" fmla="*/ 681531 w 1442040"/>
                                        <a:gd name="connsiteY9" fmla="*/ 1202647 h 1202647"/>
                                        <a:gd name="connsiteX10" fmla="*/ 549401 w 1442040"/>
                                        <a:gd name="connsiteY10" fmla="*/ 912705 h 1202647"/>
                                        <a:gd name="connsiteX11" fmla="*/ 295192 w 1442040"/>
                                        <a:gd name="connsiteY11" fmla="*/ 662112 h 1202647"/>
                                        <a:gd name="connsiteX12" fmla="*/ 0 w 1442040"/>
                                        <a:gd name="connsiteY12" fmla="*/ 886780 h 1202647"/>
                                        <a:gd name="connsiteX13" fmla="*/ 261594 w 1442040"/>
                                        <a:gd name="connsiteY13" fmla="*/ 263194 h 1202647"/>
                                        <a:gd name="connsiteX14" fmla="*/ 616382 w 1442040"/>
                                        <a:gd name="connsiteY14" fmla="*/ 18135 h 1202647"/>
                                        <a:gd name="connsiteX0" fmla="*/ 616382 w 1295487"/>
                                        <a:gd name="connsiteY0" fmla="*/ 18135 h 1202647"/>
                                        <a:gd name="connsiteX1" fmla="*/ 771141 w 1295487"/>
                                        <a:gd name="connsiteY1" fmla="*/ 131706 h 1202647"/>
                                        <a:gd name="connsiteX2" fmla="*/ 872873 w 1295487"/>
                                        <a:gd name="connsiteY2" fmla="*/ 30959 h 1202647"/>
                                        <a:gd name="connsiteX3" fmla="*/ 1224658 w 1295487"/>
                                        <a:gd name="connsiteY3" fmla="*/ 0 h 1202647"/>
                                        <a:gd name="connsiteX4" fmla="*/ 1276572 w 1295487"/>
                                        <a:gd name="connsiteY4" fmla="*/ 471096 h 1202647"/>
                                        <a:gd name="connsiteX5" fmla="*/ 1295486 w 1295487"/>
                                        <a:gd name="connsiteY5" fmla="*/ 471096 h 1202647"/>
                                        <a:gd name="connsiteX6" fmla="*/ 1295485 w 1295487"/>
                                        <a:gd name="connsiteY6" fmla="*/ 501138 h 1202647"/>
                                        <a:gd name="connsiteX7" fmla="*/ 997595 w 1295487"/>
                                        <a:gd name="connsiteY7" fmla="*/ 884293 h 1202647"/>
                                        <a:gd name="connsiteX8" fmla="*/ 681531 w 1295487"/>
                                        <a:gd name="connsiteY8" fmla="*/ 1202647 h 1202647"/>
                                        <a:gd name="connsiteX9" fmla="*/ 549401 w 1295487"/>
                                        <a:gd name="connsiteY9" fmla="*/ 912705 h 1202647"/>
                                        <a:gd name="connsiteX10" fmla="*/ 295192 w 1295487"/>
                                        <a:gd name="connsiteY10" fmla="*/ 662112 h 1202647"/>
                                        <a:gd name="connsiteX11" fmla="*/ 0 w 1295487"/>
                                        <a:gd name="connsiteY11" fmla="*/ 886780 h 1202647"/>
                                        <a:gd name="connsiteX12" fmla="*/ 261594 w 1295487"/>
                                        <a:gd name="connsiteY12" fmla="*/ 263194 h 1202647"/>
                                        <a:gd name="connsiteX13" fmla="*/ 616382 w 1295487"/>
                                        <a:gd name="connsiteY13" fmla="*/ 18135 h 1202647"/>
                                        <a:gd name="connsiteX0" fmla="*/ 616382 w 1295485"/>
                                        <a:gd name="connsiteY0" fmla="*/ 18135 h 1202647"/>
                                        <a:gd name="connsiteX1" fmla="*/ 771141 w 1295485"/>
                                        <a:gd name="connsiteY1" fmla="*/ 131706 h 1202647"/>
                                        <a:gd name="connsiteX2" fmla="*/ 872873 w 1295485"/>
                                        <a:gd name="connsiteY2" fmla="*/ 30959 h 1202647"/>
                                        <a:gd name="connsiteX3" fmla="*/ 1224658 w 1295485"/>
                                        <a:gd name="connsiteY3" fmla="*/ 0 h 1202647"/>
                                        <a:gd name="connsiteX4" fmla="*/ 1276572 w 1295485"/>
                                        <a:gd name="connsiteY4" fmla="*/ 471096 h 1202647"/>
                                        <a:gd name="connsiteX5" fmla="*/ 1295486 w 1295485"/>
                                        <a:gd name="connsiteY5" fmla="*/ 471096 h 1202647"/>
                                        <a:gd name="connsiteX6" fmla="*/ 997595 w 1295485"/>
                                        <a:gd name="connsiteY6" fmla="*/ 884293 h 1202647"/>
                                        <a:gd name="connsiteX7" fmla="*/ 681531 w 1295485"/>
                                        <a:gd name="connsiteY7" fmla="*/ 1202647 h 1202647"/>
                                        <a:gd name="connsiteX8" fmla="*/ 549401 w 1295485"/>
                                        <a:gd name="connsiteY8" fmla="*/ 912705 h 1202647"/>
                                        <a:gd name="connsiteX9" fmla="*/ 295192 w 1295485"/>
                                        <a:gd name="connsiteY9" fmla="*/ 662112 h 1202647"/>
                                        <a:gd name="connsiteX10" fmla="*/ 0 w 1295485"/>
                                        <a:gd name="connsiteY10" fmla="*/ 886780 h 1202647"/>
                                        <a:gd name="connsiteX11" fmla="*/ 261594 w 1295485"/>
                                        <a:gd name="connsiteY11" fmla="*/ 263194 h 1202647"/>
                                        <a:gd name="connsiteX12" fmla="*/ 616382 w 1295485"/>
                                        <a:gd name="connsiteY12" fmla="*/ 18135 h 1202647"/>
                                        <a:gd name="connsiteX0" fmla="*/ 616382 w 1276572"/>
                                        <a:gd name="connsiteY0" fmla="*/ 18135 h 1202647"/>
                                        <a:gd name="connsiteX1" fmla="*/ 771141 w 1276572"/>
                                        <a:gd name="connsiteY1" fmla="*/ 131706 h 1202647"/>
                                        <a:gd name="connsiteX2" fmla="*/ 872873 w 1276572"/>
                                        <a:gd name="connsiteY2" fmla="*/ 30959 h 1202647"/>
                                        <a:gd name="connsiteX3" fmla="*/ 1224658 w 1276572"/>
                                        <a:gd name="connsiteY3" fmla="*/ 0 h 1202647"/>
                                        <a:gd name="connsiteX4" fmla="*/ 1276572 w 1276572"/>
                                        <a:gd name="connsiteY4" fmla="*/ 471096 h 1202647"/>
                                        <a:gd name="connsiteX5" fmla="*/ 997595 w 1276572"/>
                                        <a:gd name="connsiteY5" fmla="*/ 884293 h 1202647"/>
                                        <a:gd name="connsiteX6" fmla="*/ 681531 w 1276572"/>
                                        <a:gd name="connsiteY6" fmla="*/ 1202647 h 1202647"/>
                                        <a:gd name="connsiteX7" fmla="*/ 549401 w 1276572"/>
                                        <a:gd name="connsiteY7" fmla="*/ 912705 h 1202647"/>
                                        <a:gd name="connsiteX8" fmla="*/ 295192 w 1276572"/>
                                        <a:gd name="connsiteY8" fmla="*/ 662112 h 1202647"/>
                                        <a:gd name="connsiteX9" fmla="*/ 0 w 1276572"/>
                                        <a:gd name="connsiteY9" fmla="*/ 886780 h 1202647"/>
                                        <a:gd name="connsiteX10" fmla="*/ 261594 w 1276572"/>
                                        <a:gd name="connsiteY10" fmla="*/ 263194 h 1202647"/>
                                        <a:gd name="connsiteX11" fmla="*/ 616382 w 1276572"/>
                                        <a:gd name="connsiteY11" fmla="*/ 18135 h 1202647"/>
                                        <a:gd name="connsiteX0" fmla="*/ 616382 w 1224658"/>
                                        <a:gd name="connsiteY0" fmla="*/ 18135 h 1202647"/>
                                        <a:gd name="connsiteX1" fmla="*/ 771141 w 1224658"/>
                                        <a:gd name="connsiteY1" fmla="*/ 131706 h 1202647"/>
                                        <a:gd name="connsiteX2" fmla="*/ 872873 w 1224658"/>
                                        <a:gd name="connsiteY2" fmla="*/ 30959 h 1202647"/>
                                        <a:gd name="connsiteX3" fmla="*/ 1224658 w 1224658"/>
                                        <a:gd name="connsiteY3" fmla="*/ 0 h 1202647"/>
                                        <a:gd name="connsiteX4" fmla="*/ 997595 w 1224658"/>
                                        <a:gd name="connsiteY4" fmla="*/ 884293 h 1202647"/>
                                        <a:gd name="connsiteX5" fmla="*/ 681531 w 1224658"/>
                                        <a:gd name="connsiteY5" fmla="*/ 1202647 h 1202647"/>
                                        <a:gd name="connsiteX6" fmla="*/ 549401 w 1224658"/>
                                        <a:gd name="connsiteY6" fmla="*/ 912705 h 1202647"/>
                                        <a:gd name="connsiteX7" fmla="*/ 295192 w 1224658"/>
                                        <a:gd name="connsiteY7" fmla="*/ 662112 h 1202647"/>
                                        <a:gd name="connsiteX8" fmla="*/ 0 w 1224658"/>
                                        <a:gd name="connsiteY8" fmla="*/ 886780 h 1202647"/>
                                        <a:gd name="connsiteX9" fmla="*/ 261594 w 1224658"/>
                                        <a:gd name="connsiteY9" fmla="*/ 263194 h 1202647"/>
                                        <a:gd name="connsiteX10" fmla="*/ 616382 w 1224658"/>
                                        <a:gd name="connsiteY10" fmla="*/ 18135 h 1202647"/>
                                        <a:gd name="connsiteX0" fmla="*/ 616382 w 997595"/>
                                        <a:gd name="connsiteY0" fmla="*/ 1 h 1184513"/>
                                        <a:gd name="connsiteX1" fmla="*/ 771141 w 997595"/>
                                        <a:gd name="connsiteY1" fmla="*/ 113572 h 1184513"/>
                                        <a:gd name="connsiteX2" fmla="*/ 872873 w 997595"/>
                                        <a:gd name="connsiteY2" fmla="*/ 12825 h 1184513"/>
                                        <a:gd name="connsiteX3" fmla="*/ 804753 w 997595"/>
                                        <a:gd name="connsiteY3" fmla="*/ 617493 h 1184513"/>
                                        <a:gd name="connsiteX4" fmla="*/ 997595 w 997595"/>
                                        <a:gd name="connsiteY4" fmla="*/ 866159 h 1184513"/>
                                        <a:gd name="connsiteX5" fmla="*/ 681531 w 997595"/>
                                        <a:gd name="connsiteY5" fmla="*/ 1184513 h 1184513"/>
                                        <a:gd name="connsiteX6" fmla="*/ 549401 w 997595"/>
                                        <a:gd name="connsiteY6" fmla="*/ 894571 h 1184513"/>
                                        <a:gd name="connsiteX7" fmla="*/ 295192 w 997595"/>
                                        <a:gd name="connsiteY7" fmla="*/ 643978 h 1184513"/>
                                        <a:gd name="connsiteX8" fmla="*/ 0 w 997595"/>
                                        <a:gd name="connsiteY8" fmla="*/ 868646 h 1184513"/>
                                        <a:gd name="connsiteX9" fmla="*/ 261594 w 997595"/>
                                        <a:gd name="connsiteY9" fmla="*/ 245060 h 1184513"/>
                                        <a:gd name="connsiteX10" fmla="*/ 616382 w 997595"/>
                                        <a:gd name="connsiteY10" fmla="*/ 1 h 1184513"/>
                                        <a:gd name="connsiteX0" fmla="*/ 616382 w 997595"/>
                                        <a:gd name="connsiteY0" fmla="*/ -1 h 1184511"/>
                                        <a:gd name="connsiteX1" fmla="*/ 771141 w 997595"/>
                                        <a:gd name="connsiteY1" fmla="*/ 113570 h 1184511"/>
                                        <a:gd name="connsiteX2" fmla="*/ 804753 w 997595"/>
                                        <a:gd name="connsiteY2" fmla="*/ 617491 h 1184511"/>
                                        <a:gd name="connsiteX3" fmla="*/ 997595 w 997595"/>
                                        <a:gd name="connsiteY3" fmla="*/ 866157 h 1184511"/>
                                        <a:gd name="connsiteX4" fmla="*/ 681531 w 997595"/>
                                        <a:gd name="connsiteY4" fmla="*/ 1184511 h 1184511"/>
                                        <a:gd name="connsiteX5" fmla="*/ 549401 w 997595"/>
                                        <a:gd name="connsiteY5" fmla="*/ 894569 h 1184511"/>
                                        <a:gd name="connsiteX6" fmla="*/ 295192 w 997595"/>
                                        <a:gd name="connsiteY6" fmla="*/ 643976 h 1184511"/>
                                        <a:gd name="connsiteX7" fmla="*/ 0 w 997595"/>
                                        <a:gd name="connsiteY7" fmla="*/ 868644 h 1184511"/>
                                        <a:gd name="connsiteX8" fmla="*/ 261594 w 997595"/>
                                        <a:gd name="connsiteY8" fmla="*/ 245058 h 1184511"/>
                                        <a:gd name="connsiteX9" fmla="*/ 616382 w 997595"/>
                                        <a:gd name="connsiteY9" fmla="*/ -1 h 1184511"/>
                                        <a:gd name="connsiteX0" fmla="*/ 616382 w 997595"/>
                                        <a:gd name="connsiteY0" fmla="*/ 1 h 1184513"/>
                                        <a:gd name="connsiteX1" fmla="*/ 585607 w 997595"/>
                                        <a:gd name="connsiteY1" fmla="*/ 616725 h 1184513"/>
                                        <a:gd name="connsiteX2" fmla="*/ 804753 w 997595"/>
                                        <a:gd name="connsiteY2" fmla="*/ 617493 h 1184513"/>
                                        <a:gd name="connsiteX3" fmla="*/ 997595 w 997595"/>
                                        <a:gd name="connsiteY3" fmla="*/ 866159 h 1184513"/>
                                        <a:gd name="connsiteX4" fmla="*/ 681531 w 997595"/>
                                        <a:gd name="connsiteY4" fmla="*/ 1184513 h 1184513"/>
                                        <a:gd name="connsiteX5" fmla="*/ 549401 w 997595"/>
                                        <a:gd name="connsiteY5" fmla="*/ 894571 h 1184513"/>
                                        <a:gd name="connsiteX6" fmla="*/ 295192 w 997595"/>
                                        <a:gd name="connsiteY6" fmla="*/ 643978 h 1184513"/>
                                        <a:gd name="connsiteX7" fmla="*/ 0 w 997595"/>
                                        <a:gd name="connsiteY7" fmla="*/ 868646 h 1184513"/>
                                        <a:gd name="connsiteX8" fmla="*/ 261594 w 997595"/>
                                        <a:gd name="connsiteY8" fmla="*/ 245060 h 1184513"/>
                                        <a:gd name="connsiteX9" fmla="*/ 616382 w 997595"/>
                                        <a:gd name="connsiteY9" fmla="*/ 1 h 1184513"/>
                                        <a:gd name="connsiteX0" fmla="*/ 261594 w 997595"/>
                                        <a:gd name="connsiteY0" fmla="*/ -1 h 939452"/>
                                        <a:gd name="connsiteX1" fmla="*/ 585607 w 997595"/>
                                        <a:gd name="connsiteY1" fmla="*/ 371664 h 939452"/>
                                        <a:gd name="connsiteX2" fmla="*/ 804753 w 997595"/>
                                        <a:gd name="connsiteY2" fmla="*/ 372432 h 939452"/>
                                        <a:gd name="connsiteX3" fmla="*/ 997595 w 997595"/>
                                        <a:gd name="connsiteY3" fmla="*/ 621098 h 939452"/>
                                        <a:gd name="connsiteX4" fmla="*/ 681531 w 997595"/>
                                        <a:gd name="connsiteY4" fmla="*/ 939452 h 939452"/>
                                        <a:gd name="connsiteX5" fmla="*/ 549401 w 997595"/>
                                        <a:gd name="connsiteY5" fmla="*/ 649510 h 939452"/>
                                        <a:gd name="connsiteX6" fmla="*/ 295192 w 997595"/>
                                        <a:gd name="connsiteY6" fmla="*/ 398917 h 939452"/>
                                        <a:gd name="connsiteX7" fmla="*/ 0 w 997595"/>
                                        <a:gd name="connsiteY7" fmla="*/ 623585 h 939452"/>
                                        <a:gd name="connsiteX8" fmla="*/ 261594 w 997595"/>
                                        <a:gd name="connsiteY8" fmla="*/ -1 h 939452"/>
                                        <a:gd name="connsiteX0" fmla="*/ 60138 w 796139"/>
                                        <a:gd name="connsiteY0" fmla="*/ 1 h 939454"/>
                                        <a:gd name="connsiteX1" fmla="*/ 384151 w 796139"/>
                                        <a:gd name="connsiteY1" fmla="*/ 371666 h 939454"/>
                                        <a:gd name="connsiteX2" fmla="*/ 603297 w 796139"/>
                                        <a:gd name="connsiteY2" fmla="*/ 372434 h 939454"/>
                                        <a:gd name="connsiteX3" fmla="*/ 796139 w 796139"/>
                                        <a:gd name="connsiteY3" fmla="*/ 621100 h 939454"/>
                                        <a:gd name="connsiteX4" fmla="*/ 480075 w 796139"/>
                                        <a:gd name="connsiteY4" fmla="*/ 939454 h 939454"/>
                                        <a:gd name="connsiteX5" fmla="*/ 347945 w 796139"/>
                                        <a:gd name="connsiteY5" fmla="*/ 649512 h 939454"/>
                                        <a:gd name="connsiteX6" fmla="*/ 93736 w 796139"/>
                                        <a:gd name="connsiteY6" fmla="*/ 398919 h 939454"/>
                                        <a:gd name="connsiteX7" fmla="*/ 0 w 796139"/>
                                        <a:gd name="connsiteY7" fmla="*/ 252750 h 939454"/>
                                        <a:gd name="connsiteX8" fmla="*/ 60138 w 796139"/>
                                        <a:gd name="connsiteY8" fmla="*/ 1 h 939454"/>
                                        <a:gd name="connsiteX0" fmla="*/ 1 w 736002"/>
                                        <a:gd name="connsiteY0" fmla="*/ -1 h 939452"/>
                                        <a:gd name="connsiteX1" fmla="*/ 324014 w 736002"/>
                                        <a:gd name="connsiteY1" fmla="*/ 371664 h 939452"/>
                                        <a:gd name="connsiteX2" fmla="*/ 543160 w 736002"/>
                                        <a:gd name="connsiteY2" fmla="*/ 372432 h 939452"/>
                                        <a:gd name="connsiteX3" fmla="*/ 736002 w 736002"/>
                                        <a:gd name="connsiteY3" fmla="*/ 621098 h 939452"/>
                                        <a:gd name="connsiteX4" fmla="*/ 419938 w 736002"/>
                                        <a:gd name="connsiteY4" fmla="*/ 939452 h 939452"/>
                                        <a:gd name="connsiteX5" fmla="*/ 287808 w 736002"/>
                                        <a:gd name="connsiteY5" fmla="*/ 649510 h 939452"/>
                                        <a:gd name="connsiteX6" fmla="*/ 33599 w 736002"/>
                                        <a:gd name="connsiteY6" fmla="*/ 398917 h 939452"/>
                                        <a:gd name="connsiteX7" fmla="*/ 1 w 736002"/>
                                        <a:gd name="connsiteY7" fmla="*/ -1 h 939452"/>
                                        <a:gd name="connsiteX0" fmla="*/ 1 w 702404"/>
                                        <a:gd name="connsiteY0" fmla="*/ 27252 h 567787"/>
                                        <a:gd name="connsiteX1" fmla="*/ 290416 w 702404"/>
                                        <a:gd name="connsiteY1" fmla="*/ -1 h 567787"/>
                                        <a:gd name="connsiteX2" fmla="*/ 509562 w 702404"/>
                                        <a:gd name="connsiteY2" fmla="*/ 767 h 567787"/>
                                        <a:gd name="connsiteX3" fmla="*/ 702404 w 702404"/>
                                        <a:gd name="connsiteY3" fmla="*/ 249433 h 567787"/>
                                        <a:gd name="connsiteX4" fmla="*/ 386340 w 702404"/>
                                        <a:gd name="connsiteY4" fmla="*/ 567787 h 567787"/>
                                        <a:gd name="connsiteX5" fmla="*/ 254210 w 702404"/>
                                        <a:gd name="connsiteY5" fmla="*/ 277845 h 567787"/>
                                        <a:gd name="connsiteX6" fmla="*/ 1 w 702404"/>
                                        <a:gd name="connsiteY6" fmla="*/ 27252 h 567787"/>
                                        <a:gd name="connsiteX0" fmla="*/ -1 w 702402"/>
                                        <a:gd name="connsiteY0" fmla="*/ 27254 h 567789"/>
                                        <a:gd name="connsiteX1" fmla="*/ 290414 w 702402"/>
                                        <a:gd name="connsiteY1" fmla="*/ 1 h 567789"/>
                                        <a:gd name="connsiteX2" fmla="*/ 509560 w 702402"/>
                                        <a:gd name="connsiteY2" fmla="*/ 769 h 567789"/>
                                        <a:gd name="connsiteX3" fmla="*/ 702402 w 702402"/>
                                        <a:gd name="connsiteY3" fmla="*/ 267794 h 567789"/>
                                        <a:gd name="connsiteX4" fmla="*/ 386338 w 702402"/>
                                        <a:gd name="connsiteY4" fmla="*/ 567789 h 567789"/>
                                        <a:gd name="connsiteX5" fmla="*/ 254208 w 702402"/>
                                        <a:gd name="connsiteY5" fmla="*/ 277847 h 567789"/>
                                        <a:gd name="connsiteX6" fmla="*/ -1 w 702402"/>
                                        <a:gd name="connsiteY6" fmla="*/ 27254 h 56778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702402" h="567789">
                                          <a:moveTo>
                                            <a:pt x="-1" y="27254"/>
                                          </a:moveTo>
                                          <a:lnTo>
                                            <a:pt x="290414" y="1"/>
                                          </a:lnTo>
                                          <a:lnTo>
                                            <a:pt x="509560" y="769"/>
                                          </a:lnTo>
                                          <a:lnTo>
                                            <a:pt x="702402" y="267794"/>
                                          </a:lnTo>
                                          <a:lnTo>
                                            <a:pt x="386338" y="567789"/>
                                          </a:lnTo>
                                          <a:lnTo>
                                            <a:pt x="254208" y="277847"/>
                                          </a:lnTo>
                                          <a:lnTo>
                                            <a:pt x="-1" y="27254"/>
                                          </a:lnTo>
                                          <a:close/>
                                        </a:path>
                                      </a:pathLst>
                                    </a:custGeom>
                                    <a:noFill/>
                                    <a:ln w="28575">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54" name="2620 Forma libre"/>
                                  <wps:cNvSpPr/>
                                  <wps:spPr>
                                    <a:xfrm>
                                      <a:off x="457200" y="0"/>
                                      <a:ext cx="847090" cy="963930"/>
                                    </a:xfrm>
                                    <a:custGeom>
                                      <a:avLst/>
                                      <a:gdLst>
                                        <a:gd name="connsiteX0" fmla="*/ 0 w 1345997"/>
                                        <a:gd name="connsiteY0" fmla="*/ 885139 h 1587398"/>
                                        <a:gd name="connsiteX1" fmla="*/ 0 w 1345997"/>
                                        <a:gd name="connsiteY1" fmla="*/ 1221638 h 1587398"/>
                                        <a:gd name="connsiteX2" fmla="*/ 182880 w 1345997"/>
                                        <a:gd name="connsiteY2" fmla="*/ 1338682 h 1587398"/>
                                        <a:gd name="connsiteX3" fmla="*/ 299924 w 1345997"/>
                                        <a:gd name="connsiteY3" fmla="*/ 1514246 h 1587398"/>
                                        <a:gd name="connsiteX4" fmla="*/ 570586 w 1345997"/>
                                        <a:gd name="connsiteY4" fmla="*/ 1587398 h 1587398"/>
                                        <a:gd name="connsiteX5" fmla="*/ 1243584 w 1345997"/>
                                        <a:gd name="connsiteY5" fmla="*/ 1353312 h 1587398"/>
                                        <a:gd name="connsiteX6" fmla="*/ 1345997 w 1345997"/>
                                        <a:gd name="connsiteY6" fmla="*/ 1111910 h 1587398"/>
                                        <a:gd name="connsiteX7" fmla="*/ 1243584 w 1345997"/>
                                        <a:gd name="connsiteY7" fmla="*/ 768096 h 1587398"/>
                                        <a:gd name="connsiteX8" fmla="*/ 1089965 w 1345997"/>
                                        <a:gd name="connsiteY8" fmla="*/ 526694 h 1587398"/>
                                        <a:gd name="connsiteX9" fmla="*/ 1038759 w 1345997"/>
                                        <a:gd name="connsiteY9" fmla="*/ 51206 h 1587398"/>
                                        <a:gd name="connsiteX10" fmla="*/ 519380 w 1345997"/>
                                        <a:gd name="connsiteY10" fmla="*/ 0 h 1587398"/>
                                        <a:gd name="connsiteX11" fmla="*/ 490119 w 1345997"/>
                                        <a:gd name="connsiteY11" fmla="*/ 526694 h 1587398"/>
                                        <a:gd name="connsiteX12" fmla="*/ 482804 w 1345997"/>
                                        <a:gd name="connsiteY12" fmla="*/ 819302 h 1587398"/>
                                        <a:gd name="connsiteX13" fmla="*/ 219456 w 1345997"/>
                                        <a:gd name="connsiteY13" fmla="*/ 768096 h 1587398"/>
                                        <a:gd name="connsiteX14" fmla="*/ 0 w 1345997"/>
                                        <a:gd name="connsiteY14" fmla="*/ 885139 h 1587398"/>
                                        <a:gd name="connsiteX0" fmla="*/ 0 w 1345997"/>
                                        <a:gd name="connsiteY0" fmla="*/ 885139 h 1587398"/>
                                        <a:gd name="connsiteX1" fmla="*/ 0 w 1345997"/>
                                        <a:gd name="connsiteY1" fmla="*/ 1221638 h 1587398"/>
                                        <a:gd name="connsiteX2" fmla="*/ 182880 w 1345997"/>
                                        <a:gd name="connsiteY2" fmla="*/ 1338682 h 1587398"/>
                                        <a:gd name="connsiteX3" fmla="*/ 299924 w 1345997"/>
                                        <a:gd name="connsiteY3" fmla="*/ 1514246 h 1587398"/>
                                        <a:gd name="connsiteX4" fmla="*/ 570586 w 1345997"/>
                                        <a:gd name="connsiteY4" fmla="*/ 1587398 h 1587398"/>
                                        <a:gd name="connsiteX5" fmla="*/ 1243584 w 1345997"/>
                                        <a:gd name="connsiteY5" fmla="*/ 1353312 h 1587398"/>
                                        <a:gd name="connsiteX6" fmla="*/ 1345997 w 1345997"/>
                                        <a:gd name="connsiteY6" fmla="*/ 1111910 h 1587398"/>
                                        <a:gd name="connsiteX7" fmla="*/ 1243584 w 1345997"/>
                                        <a:gd name="connsiteY7" fmla="*/ 768096 h 1587398"/>
                                        <a:gd name="connsiteX8" fmla="*/ 1089965 w 1345997"/>
                                        <a:gd name="connsiteY8" fmla="*/ 526694 h 1587398"/>
                                        <a:gd name="connsiteX9" fmla="*/ 1038759 w 1345997"/>
                                        <a:gd name="connsiteY9" fmla="*/ 51206 h 1587398"/>
                                        <a:gd name="connsiteX10" fmla="*/ 519380 w 1345997"/>
                                        <a:gd name="connsiteY10" fmla="*/ 0 h 1587398"/>
                                        <a:gd name="connsiteX11" fmla="*/ 380513 w 1345997"/>
                                        <a:gd name="connsiteY11" fmla="*/ 380518 h 1587398"/>
                                        <a:gd name="connsiteX12" fmla="*/ 482804 w 1345997"/>
                                        <a:gd name="connsiteY12" fmla="*/ 819302 h 1587398"/>
                                        <a:gd name="connsiteX13" fmla="*/ 219456 w 1345997"/>
                                        <a:gd name="connsiteY13" fmla="*/ 768096 h 1587398"/>
                                        <a:gd name="connsiteX14" fmla="*/ 0 w 1345997"/>
                                        <a:gd name="connsiteY14" fmla="*/ 885139 h 1587398"/>
                                        <a:gd name="connsiteX0" fmla="*/ 0 w 1345997"/>
                                        <a:gd name="connsiteY0" fmla="*/ 833933 h 1536192"/>
                                        <a:gd name="connsiteX1" fmla="*/ 0 w 1345997"/>
                                        <a:gd name="connsiteY1" fmla="*/ 1170432 h 1536192"/>
                                        <a:gd name="connsiteX2" fmla="*/ 182880 w 1345997"/>
                                        <a:gd name="connsiteY2" fmla="*/ 1287476 h 1536192"/>
                                        <a:gd name="connsiteX3" fmla="*/ 299924 w 1345997"/>
                                        <a:gd name="connsiteY3" fmla="*/ 1463040 h 1536192"/>
                                        <a:gd name="connsiteX4" fmla="*/ 570586 w 1345997"/>
                                        <a:gd name="connsiteY4" fmla="*/ 1536192 h 1536192"/>
                                        <a:gd name="connsiteX5" fmla="*/ 1243584 w 1345997"/>
                                        <a:gd name="connsiteY5" fmla="*/ 1302106 h 1536192"/>
                                        <a:gd name="connsiteX6" fmla="*/ 1345997 w 1345997"/>
                                        <a:gd name="connsiteY6" fmla="*/ 1060704 h 1536192"/>
                                        <a:gd name="connsiteX7" fmla="*/ 1243584 w 1345997"/>
                                        <a:gd name="connsiteY7" fmla="*/ 716890 h 1536192"/>
                                        <a:gd name="connsiteX8" fmla="*/ 1089965 w 1345997"/>
                                        <a:gd name="connsiteY8" fmla="*/ 475488 h 1536192"/>
                                        <a:gd name="connsiteX9" fmla="*/ 1038759 w 1345997"/>
                                        <a:gd name="connsiteY9" fmla="*/ 0 h 1536192"/>
                                        <a:gd name="connsiteX10" fmla="*/ 680532 w 1345997"/>
                                        <a:gd name="connsiteY10" fmla="*/ 29288 h 1536192"/>
                                        <a:gd name="connsiteX11" fmla="*/ 380513 w 1345997"/>
                                        <a:gd name="connsiteY11" fmla="*/ 329312 h 1536192"/>
                                        <a:gd name="connsiteX12" fmla="*/ 482804 w 1345997"/>
                                        <a:gd name="connsiteY12" fmla="*/ 768096 h 1536192"/>
                                        <a:gd name="connsiteX13" fmla="*/ 219456 w 1345997"/>
                                        <a:gd name="connsiteY13" fmla="*/ 716890 h 1536192"/>
                                        <a:gd name="connsiteX14" fmla="*/ 0 w 1345997"/>
                                        <a:gd name="connsiteY14" fmla="*/ 833933 h 1536192"/>
                                        <a:gd name="connsiteX0" fmla="*/ 0 w 1345997"/>
                                        <a:gd name="connsiteY0" fmla="*/ 833933 h 1536192"/>
                                        <a:gd name="connsiteX1" fmla="*/ 0 w 1345997"/>
                                        <a:gd name="connsiteY1" fmla="*/ 1170432 h 1536192"/>
                                        <a:gd name="connsiteX2" fmla="*/ 182880 w 1345997"/>
                                        <a:gd name="connsiteY2" fmla="*/ 1287476 h 1536192"/>
                                        <a:gd name="connsiteX3" fmla="*/ 299924 w 1345997"/>
                                        <a:gd name="connsiteY3" fmla="*/ 1463040 h 1536192"/>
                                        <a:gd name="connsiteX4" fmla="*/ 570586 w 1345997"/>
                                        <a:gd name="connsiteY4" fmla="*/ 1536192 h 1536192"/>
                                        <a:gd name="connsiteX5" fmla="*/ 1243584 w 1345997"/>
                                        <a:gd name="connsiteY5" fmla="*/ 1302106 h 1536192"/>
                                        <a:gd name="connsiteX6" fmla="*/ 1345997 w 1345997"/>
                                        <a:gd name="connsiteY6" fmla="*/ 1060704 h 1536192"/>
                                        <a:gd name="connsiteX7" fmla="*/ 1243584 w 1345997"/>
                                        <a:gd name="connsiteY7" fmla="*/ 716890 h 1536192"/>
                                        <a:gd name="connsiteX8" fmla="*/ 1089965 w 1345997"/>
                                        <a:gd name="connsiteY8" fmla="*/ 475488 h 1536192"/>
                                        <a:gd name="connsiteX9" fmla="*/ 1038759 w 1345997"/>
                                        <a:gd name="connsiteY9" fmla="*/ 0 h 1536192"/>
                                        <a:gd name="connsiteX10" fmla="*/ 680532 w 1345997"/>
                                        <a:gd name="connsiteY10" fmla="*/ 29288 h 1536192"/>
                                        <a:gd name="connsiteX11" fmla="*/ 380513 w 1345997"/>
                                        <a:gd name="connsiteY11" fmla="*/ 329312 h 1536192"/>
                                        <a:gd name="connsiteX12" fmla="*/ 446371 w 1345997"/>
                                        <a:gd name="connsiteY12" fmla="*/ 563317 h 1536192"/>
                                        <a:gd name="connsiteX13" fmla="*/ 219456 w 1345997"/>
                                        <a:gd name="connsiteY13" fmla="*/ 716890 h 1536192"/>
                                        <a:gd name="connsiteX14" fmla="*/ 0 w 1345997"/>
                                        <a:gd name="connsiteY14" fmla="*/ 833933 h 153619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Lst>
                                      <a:rect l="l" t="t" r="r" b="b"/>
                                      <a:pathLst>
                                        <a:path w="1345997" h="1536192">
                                          <a:moveTo>
                                            <a:pt x="0" y="833933"/>
                                          </a:moveTo>
                                          <a:lnTo>
                                            <a:pt x="0" y="1170432"/>
                                          </a:lnTo>
                                          <a:lnTo>
                                            <a:pt x="182880" y="1287476"/>
                                          </a:lnTo>
                                          <a:lnTo>
                                            <a:pt x="299924" y="1463040"/>
                                          </a:lnTo>
                                          <a:lnTo>
                                            <a:pt x="570586" y="1536192"/>
                                          </a:lnTo>
                                          <a:lnTo>
                                            <a:pt x="1243584" y="1302106"/>
                                          </a:lnTo>
                                          <a:lnTo>
                                            <a:pt x="1345997" y="1060704"/>
                                          </a:lnTo>
                                          <a:lnTo>
                                            <a:pt x="1243584" y="716890"/>
                                          </a:lnTo>
                                          <a:lnTo>
                                            <a:pt x="1089965" y="475488"/>
                                          </a:lnTo>
                                          <a:lnTo>
                                            <a:pt x="1038759" y="0"/>
                                          </a:lnTo>
                                          <a:lnTo>
                                            <a:pt x="680532" y="29288"/>
                                          </a:lnTo>
                                          <a:lnTo>
                                            <a:pt x="380513" y="329312"/>
                                          </a:lnTo>
                                          <a:lnTo>
                                            <a:pt x="446371" y="563317"/>
                                          </a:lnTo>
                                          <a:lnTo>
                                            <a:pt x="219456" y="716890"/>
                                          </a:lnTo>
                                          <a:lnTo>
                                            <a:pt x="0" y="833933"/>
                                          </a:lnTo>
                                          <a:close/>
                                        </a:path>
                                      </a:pathLst>
                                    </a:custGeom>
                                    <a:noFill/>
                                    <a:ln w="19050">
                                      <a:solidFill>
                                        <a:srgbClr val="FF33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0B0EB36" w14:textId="77777777" w:rsidR="00D55F13" w:rsidRPr="00394D50" w:rsidRDefault="00D55F13" w:rsidP="00077E48">
                                        <w:pPr>
                                          <w:jc w:val="center"/>
                                          <w:rPr>
                                            <w:color w:val="0D0D0D" w:themeColor="text1" w:themeTint="F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55" name="2603 Forma libre"/>
                                  <wps:cNvSpPr/>
                                  <wps:spPr>
                                    <a:xfrm>
                                      <a:off x="349250" y="19050"/>
                                      <a:ext cx="816610" cy="878205"/>
                                    </a:xfrm>
                                    <a:custGeom>
                                      <a:avLst/>
                                      <a:gdLst>
                                        <a:gd name="connsiteX0" fmla="*/ 465128 w 1585665"/>
                                        <a:gd name="connsiteY0" fmla="*/ 0 h 1215676"/>
                                        <a:gd name="connsiteX1" fmla="*/ 1318744 w 1585665"/>
                                        <a:gd name="connsiteY1" fmla="*/ 594624 h 1215676"/>
                                        <a:gd name="connsiteX2" fmla="*/ 1297602 w 1585665"/>
                                        <a:gd name="connsiteY2" fmla="*/ 652765 h 1215676"/>
                                        <a:gd name="connsiteX3" fmla="*/ 1585665 w 1585665"/>
                                        <a:gd name="connsiteY3" fmla="*/ 924971 h 1215676"/>
                                        <a:gd name="connsiteX4" fmla="*/ 1220962 w 1585665"/>
                                        <a:gd name="connsiteY4" fmla="*/ 1154892 h 1215676"/>
                                        <a:gd name="connsiteX5" fmla="*/ 816617 w 1585665"/>
                                        <a:gd name="connsiteY5" fmla="*/ 1025396 h 1215676"/>
                                        <a:gd name="connsiteX6" fmla="*/ 636909 w 1585665"/>
                                        <a:gd name="connsiteY6" fmla="*/ 1020111 h 1215676"/>
                                        <a:gd name="connsiteX7" fmla="*/ 570839 w 1585665"/>
                                        <a:gd name="connsiteY7" fmla="*/ 1215676 h 1215676"/>
                                        <a:gd name="connsiteX8" fmla="*/ 132139 w 1585665"/>
                                        <a:gd name="connsiteY8" fmla="*/ 1057109 h 1215676"/>
                                        <a:gd name="connsiteX9" fmla="*/ 0 w 1585665"/>
                                        <a:gd name="connsiteY9" fmla="*/ 658050 h 1215676"/>
                                        <a:gd name="connsiteX10" fmla="*/ 195565 w 1585665"/>
                                        <a:gd name="connsiteY10" fmla="*/ 190279 h 1215676"/>
                                        <a:gd name="connsiteX11" fmla="*/ 465128 w 1585665"/>
                                        <a:gd name="connsiteY11" fmla="*/ 0 h 1215676"/>
                                        <a:gd name="connsiteX0" fmla="*/ 465128 w 1585665"/>
                                        <a:gd name="connsiteY0" fmla="*/ 0 h 1215676"/>
                                        <a:gd name="connsiteX1" fmla="*/ 1318744 w 1585665"/>
                                        <a:gd name="connsiteY1" fmla="*/ 594624 h 1215676"/>
                                        <a:gd name="connsiteX2" fmla="*/ 1297602 w 1585665"/>
                                        <a:gd name="connsiteY2" fmla="*/ 652765 h 1215676"/>
                                        <a:gd name="connsiteX3" fmla="*/ 1585665 w 1585665"/>
                                        <a:gd name="connsiteY3" fmla="*/ 924971 h 1215676"/>
                                        <a:gd name="connsiteX4" fmla="*/ 1220962 w 1585665"/>
                                        <a:gd name="connsiteY4" fmla="*/ 1154892 h 1215676"/>
                                        <a:gd name="connsiteX5" fmla="*/ 816617 w 1585665"/>
                                        <a:gd name="connsiteY5" fmla="*/ 1025396 h 1215676"/>
                                        <a:gd name="connsiteX6" fmla="*/ 636937 w 1585665"/>
                                        <a:gd name="connsiteY6" fmla="*/ 1029588 h 1215676"/>
                                        <a:gd name="connsiteX7" fmla="*/ 570839 w 1585665"/>
                                        <a:gd name="connsiteY7" fmla="*/ 1215676 h 1215676"/>
                                        <a:gd name="connsiteX8" fmla="*/ 132139 w 1585665"/>
                                        <a:gd name="connsiteY8" fmla="*/ 1057109 h 1215676"/>
                                        <a:gd name="connsiteX9" fmla="*/ 0 w 1585665"/>
                                        <a:gd name="connsiteY9" fmla="*/ 658050 h 1215676"/>
                                        <a:gd name="connsiteX10" fmla="*/ 195565 w 1585665"/>
                                        <a:gd name="connsiteY10" fmla="*/ 190279 h 1215676"/>
                                        <a:gd name="connsiteX11" fmla="*/ 465128 w 1585665"/>
                                        <a:gd name="connsiteY11" fmla="*/ 0 h 1215676"/>
                                        <a:gd name="connsiteX0" fmla="*/ 430836 w 1551373"/>
                                        <a:gd name="connsiteY0" fmla="*/ 0 h 1215676"/>
                                        <a:gd name="connsiteX1" fmla="*/ 1284452 w 1551373"/>
                                        <a:gd name="connsiteY1" fmla="*/ 594624 h 1215676"/>
                                        <a:gd name="connsiteX2" fmla="*/ 1263310 w 1551373"/>
                                        <a:gd name="connsiteY2" fmla="*/ 652765 h 1215676"/>
                                        <a:gd name="connsiteX3" fmla="*/ 1551373 w 1551373"/>
                                        <a:gd name="connsiteY3" fmla="*/ 924971 h 1215676"/>
                                        <a:gd name="connsiteX4" fmla="*/ 1186670 w 1551373"/>
                                        <a:gd name="connsiteY4" fmla="*/ 1154892 h 1215676"/>
                                        <a:gd name="connsiteX5" fmla="*/ 782325 w 1551373"/>
                                        <a:gd name="connsiteY5" fmla="*/ 1025396 h 1215676"/>
                                        <a:gd name="connsiteX6" fmla="*/ 602645 w 1551373"/>
                                        <a:gd name="connsiteY6" fmla="*/ 1029588 h 1215676"/>
                                        <a:gd name="connsiteX7" fmla="*/ 536547 w 1551373"/>
                                        <a:gd name="connsiteY7" fmla="*/ 1215676 h 1215676"/>
                                        <a:gd name="connsiteX8" fmla="*/ 97847 w 1551373"/>
                                        <a:gd name="connsiteY8" fmla="*/ 1057109 h 1215676"/>
                                        <a:gd name="connsiteX9" fmla="*/ 0 w 1551373"/>
                                        <a:gd name="connsiteY9" fmla="*/ 648008 h 1215676"/>
                                        <a:gd name="connsiteX10" fmla="*/ 161273 w 1551373"/>
                                        <a:gd name="connsiteY10" fmla="*/ 190279 h 1215676"/>
                                        <a:gd name="connsiteX11" fmla="*/ 430836 w 1551373"/>
                                        <a:gd name="connsiteY11" fmla="*/ 0 h 1215676"/>
                                        <a:gd name="connsiteX0" fmla="*/ 470843 w 1591380"/>
                                        <a:gd name="connsiteY0" fmla="*/ 0 h 1215676"/>
                                        <a:gd name="connsiteX1" fmla="*/ 1324459 w 1591380"/>
                                        <a:gd name="connsiteY1" fmla="*/ 594624 h 1215676"/>
                                        <a:gd name="connsiteX2" fmla="*/ 1303317 w 1591380"/>
                                        <a:gd name="connsiteY2" fmla="*/ 652765 h 1215676"/>
                                        <a:gd name="connsiteX3" fmla="*/ 1591380 w 1591380"/>
                                        <a:gd name="connsiteY3" fmla="*/ 924971 h 1215676"/>
                                        <a:gd name="connsiteX4" fmla="*/ 1226677 w 1591380"/>
                                        <a:gd name="connsiteY4" fmla="*/ 1154892 h 1215676"/>
                                        <a:gd name="connsiteX5" fmla="*/ 822332 w 1591380"/>
                                        <a:gd name="connsiteY5" fmla="*/ 1025396 h 1215676"/>
                                        <a:gd name="connsiteX6" fmla="*/ 642652 w 1591380"/>
                                        <a:gd name="connsiteY6" fmla="*/ 1029588 h 1215676"/>
                                        <a:gd name="connsiteX7" fmla="*/ 576554 w 1591380"/>
                                        <a:gd name="connsiteY7" fmla="*/ 1215676 h 1215676"/>
                                        <a:gd name="connsiteX8" fmla="*/ 137854 w 1591380"/>
                                        <a:gd name="connsiteY8" fmla="*/ 1057109 h 1215676"/>
                                        <a:gd name="connsiteX9" fmla="*/ 0 w 1591380"/>
                                        <a:gd name="connsiteY9" fmla="*/ 659593 h 1215676"/>
                                        <a:gd name="connsiteX10" fmla="*/ 201280 w 1591380"/>
                                        <a:gd name="connsiteY10" fmla="*/ 190279 h 1215676"/>
                                        <a:gd name="connsiteX11" fmla="*/ 470843 w 1591380"/>
                                        <a:gd name="connsiteY11" fmla="*/ 0 h 1215676"/>
                                        <a:gd name="connsiteX0" fmla="*/ 470843 w 1591380"/>
                                        <a:gd name="connsiteY0" fmla="*/ 0 h 1215676"/>
                                        <a:gd name="connsiteX1" fmla="*/ 1324459 w 1591380"/>
                                        <a:gd name="connsiteY1" fmla="*/ 594624 h 1215676"/>
                                        <a:gd name="connsiteX2" fmla="*/ 1303317 w 1591380"/>
                                        <a:gd name="connsiteY2" fmla="*/ 652765 h 1215676"/>
                                        <a:gd name="connsiteX3" fmla="*/ 1591380 w 1591380"/>
                                        <a:gd name="connsiteY3" fmla="*/ 924971 h 1215676"/>
                                        <a:gd name="connsiteX4" fmla="*/ 1226677 w 1591380"/>
                                        <a:gd name="connsiteY4" fmla="*/ 1154892 h 1215676"/>
                                        <a:gd name="connsiteX5" fmla="*/ 822332 w 1591380"/>
                                        <a:gd name="connsiteY5" fmla="*/ 1025396 h 1215676"/>
                                        <a:gd name="connsiteX6" fmla="*/ 642652 w 1591380"/>
                                        <a:gd name="connsiteY6" fmla="*/ 1029588 h 1215676"/>
                                        <a:gd name="connsiteX7" fmla="*/ 576554 w 1591380"/>
                                        <a:gd name="connsiteY7" fmla="*/ 1215676 h 1215676"/>
                                        <a:gd name="connsiteX8" fmla="*/ 166436 w 1591380"/>
                                        <a:gd name="connsiteY8" fmla="*/ 1020997 h 1215676"/>
                                        <a:gd name="connsiteX9" fmla="*/ 0 w 1591380"/>
                                        <a:gd name="connsiteY9" fmla="*/ 659593 h 1215676"/>
                                        <a:gd name="connsiteX10" fmla="*/ 201280 w 1591380"/>
                                        <a:gd name="connsiteY10" fmla="*/ 190279 h 1215676"/>
                                        <a:gd name="connsiteX11" fmla="*/ 470843 w 1591380"/>
                                        <a:gd name="connsiteY11" fmla="*/ 0 h 1215676"/>
                                        <a:gd name="connsiteX0" fmla="*/ 470843 w 1591380"/>
                                        <a:gd name="connsiteY0" fmla="*/ 0 h 1215676"/>
                                        <a:gd name="connsiteX1" fmla="*/ 1324459 w 1591380"/>
                                        <a:gd name="connsiteY1" fmla="*/ 594624 h 1215676"/>
                                        <a:gd name="connsiteX2" fmla="*/ 1303317 w 1591380"/>
                                        <a:gd name="connsiteY2" fmla="*/ 652765 h 1215676"/>
                                        <a:gd name="connsiteX3" fmla="*/ 1591380 w 1591380"/>
                                        <a:gd name="connsiteY3" fmla="*/ 924971 h 1215676"/>
                                        <a:gd name="connsiteX4" fmla="*/ 1226677 w 1591380"/>
                                        <a:gd name="connsiteY4" fmla="*/ 1154892 h 1215676"/>
                                        <a:gd name="connsiteX5" fmla="*/ 822332 w 1591380"/>
                                        <a:gd name="connsiteY5" fmla="*/ 1025396 h 1215676"/>
                                        <a:gd name="connsiteX6" fmla="*/ 642652 w 1591380"/>
                                        <a:gd name="connsiteY6" fmla="*/ 1029588 h 1215676"/>
                                        <a:gd name="connsiteX7" fmla="*/ 576554 w 1591380"/>
                                        <a:gd name="connsiteY7" fmla="*/ 1215676 h 1215676"/>
                                        <a:gd name="connsiteX8" fmla="*/ 130247 w 1591380"/>
                                        <a:gd name="connsiteY8" fmla="*/ 1059346 h 1215676"/>
                                        <a:gd name="connsiteX9" fmla="*/ 0 w 1591380"/>
                                        <a:gd name="connsiteY9" fmla="*/ 659593 h 1215676"/>
                                        <a:gd name="connsiteX10" fmla="*/ 201280 w 1591380"/>
                                        <a:gd name="connsiteY10" fmla="*/ 190279 h 1215676"/>
                                        <a:gd name="connsiteX11" fmla="*/ 470843 w 1591380"/>
                                        <a:gd name="connsiteY11" fmla="*/ 0 h 1215676"/>
                                        <a:gd name="connsiteX0" fmla="*/ 467054 w 1591380"/>
                                        <a:gd name="connsiteY0" fmla="*/ 0 h 1215676"/>
                                        <a:gd name="connsiteX1" fmla="*/ 1324459 w 1591380"/>
                                        <a:gd name="connsiteY1" fmla="*/ 594624 h 1215676"/>
                                        <a:gd name="connsiteX2" fmla="*/ 1303317 w 1591380"/>
                                        <a:gd name="connsiteY2" fmla="*/ 652765 h 1215676"/>
                                        <a:gd name="connsiteX3" fmla="*/ 1591380 w 1591380"/>
                                        <a:gd name="connsiteY3" fmla="*/ 924971 h 1215676"/>
                                        <a:gd name="connsiteX4" fmla="*/ 1226677 w 1591380"/>
                                        <a:gd name="connsiteY4" fmla="*/ 1154892 h 1215676"/>
                                        <a:gd name="connsiteX5" fmla="*/ 822332 w 1591380"/>
                                        <a:gd name="connsiteY5" fmla="*/ 1025396 h 1215676"/>
                                        <a:gd name="connsiteX6" fmla="*/ 642652 w 1591380"/>
                                        <a:gd name="connsiteY6" fmla="*/ 1029588 h 1215676"/>
                                        <a:gd name="connsiteX7" fmla="*/ 576554 w 1591380"/>
                                        <a:gd name="connsiteY7" fmla="*/ 1215676 h 1215676"/>
                                        <a:gd name="connsiteX8" fmla="*/ 130247 w 1591380"/>
                                        <a:gd name="connsiteY8" fmla="*/ 1059346 h 1215676"/>
                                        <a:gd name="connsiteX9" fmla="*/ 0 w 1591380"/>
                                        <a:gd name="connsiteY9" fmla="*/ 659593 h 1215676"/>
                                        <a:gd name="connsiteX10" fmla="*/ 201280 w 1591380"/>
                                        <a:gd name="connsiteY10" fmla="*/ 190279 h 1215676"/>
                                        <a:gd name="connsiteX11" fmla="*/ 467054 w 1591380"/>
                                        <a:gd name="connsiteY11" fmla="*/ 0 h 1215676"/>
                                        <a:gd name="connsiteX0" fmla="*/ 467054 w 1591380"/>
                                        <a:gd name="connsiteY0" fmla="*/ 0 h 1215676"/>
                                        <a:gd name="connsiteX1" fmla="*/ 1324459 w 1591380"/>
                                        <a:gd name="connsiteY1" fmla="*/ 594624 h 1215676"/>
                                        <a:gd name="connsiteX2" fmla="*/ 1303317 w 1591380"/>
                                        <a:gd name="connsiteY2" fmla="*/ 652765 h 1215676"/>
                                        <a:gd name="connsiteX3" fmla="*/ 1591380 w 1591380"/>
                                        <a:gd name="connsiteY3" fmla="*/ 924971 h 1215676"/>
                                        <a:gd name="connsiteX4" fmla="*/ 1226677 w 1591380"/>
                                        <a:gd name="connsiteY4" fmla="*/ 1154892 h 1215676"/>
                                        <a:gd name="connsiteX5" fmla="*/ 822332 w 1591380"/>
                                        <a:gd name="connsiteY5" fmla="*/ 1025396 h 1215676"/>
                                        <a:gd name="connsiteX6" fmla="*/ 642652 w 1591380"/>
                                        <a:gd name="connsiteY6" fmla="*/ 1029588 h 1215676"/>
                                        <a:gd name="connsiteX7" fmla="*/ 576554 w 1591380"/>
                                        <a:gd name="connsiteY7" fmla="*/ 1215676 h 1215676"/>
                                        <a:gd name="connsiteX8" fmla="*/ 130247 w 1591380"/>
                                        <a:gd name="connsiteY8" fmla="*/ 1059346 h 1215676"/>
                                        <a:gd name="connsiteX9" fmla="*/ 0 w 1591380"/>
                                        <a:gd name="connsiteY9" fmla="*/ 659593 h 1215676"/>
                                        <a:gd name="connsiteX10" fmla="*/ 264157 w 1591380"/>
                                        <a:gd name="connsiteY10" fmla="*/ 234149 h 1215676"/>
                                        <a:gd name="connsiteX11" fmla="*/ 467054 w 1591380"/>
                                        <a:gd name="connsiteY11" fmla="*/ 0 h 1215676"/>
                                        <a:gd name="connsiteX0" fmla="*/ 467054 w 1591380"/>
                                        <a:gd name="connsiteY0" fmla="*/ 0 h 1215676"/>
                                        <a:gd name="connsiteX1" fmla="*/ 1324459 w 1591380"/>
                                        <a:gd name="connsiteY1" fmla="*/ 594624 h 1215676"/>
                                        <a:gd name="connsiteX2" fmla="*/ 1303317 w 1591380"/>
                                        <a:gd name="connsiteY2" fmla="*/ 652765 h 1215676"/>
                                        <a:gd name="connsiteX3" fmla="*/ 1591380 w 1591380"/>
                                        <a:gd name="connsiteY3" fmla="*/ 924971 h 1215676"/>
                                        <a:gd name="connsiteX4" fmla="*/ 1226677 w 1591380"/>
                                        <a:gd name="connsiteY4" fmla="*/ 1154892 h 1215676"/>
                                        <a:gd name="connsiteX5" fmla="*/ 822332 w 1591380"/>
                                        <a:gd name="connsiteY5" fmla="*/ 1025396 h 1215676"/>
                                        <a:gd name="connsiteX6" fmla="*/ 642652 w 1591380"/>
                                        <a:gd name="connsiteY6" fmla="*/ 1029588 h 1215676"/>
                                        <a:gd name="connsiteX7" fmla="*/ 576554 w 1591380"/>
                                        <a:gd name="connsiteY7" fmla="*/ 1215676 h 1215676"/>
                                        <a:gd name="connsiteX8" fmla="*/ 130247 w 1591380"/>
                                        <a:gd name="connsiteY8" fmla="*/ 1059346 h 1215676"/>
                                        <a:gd name="connsiteX9" fmla="*/ 0 w 1591380"/>
                                        <a:gd name="connsiteY9" fmla="*/ 659593 h 1215676"/>
                                        <a:gd name="connsiteX10" fmla="*/ 197491 w 1591380"/>
                                        <a:gd name="connsiteY10" fmla="*/ 188473 h 1215676"/>
                                        <a:gd name="connsiteX11" fmla="*/ 467054 w 1591380"/>
                                        <a:gd name="connsiteY11" fmla="*/ 0 h 1215676"/>
                                        <a:gd name="connsiteX0" fmla="*/ 467054 w 1324459"/>
                                        <a:gd name="connsiteY0" fmla="*/ 0 h 1215676"/>
                                        <a:gd name="connsiteX1" fmla="*/ 1324459 w 1324459"/>
                                        <a:gd name="connsiteY1" fmla="*/ 594624 h 1215676"/>
                                        <a:gd name="connsiteX2" fmla="*/ 1303317 w 1324459"/>
                                        <a:gd name="connsiteY2" fmla="*/ 652765 h 1215676"/>
                                        <a:gd name="connsiteX3" fmla="*/ 637769 w 1324459"/>
                                        <a:gd name="connsiteY3" fmla="*/ 626294 h 1215676"/>
                                        <a:gd name="connsiteX4" fmla="*/ 1226677 w 1324459"/>
                                        <a:gd name="connsiteY4" fmla="*/ 1154892 h 1215676"/>
                                        <a:gd name="connsiteX5" fmla="*/ 822332 w 1324459"/>
                                        <a:gd name="connsiteY5" fmla="*/ 1025396 h 1215676"/>
                                        <a:gd name="connsiteX6" fmla="*/ 642652 w 1324459"/>
                                        <a:gd name="connsiteY6" fmla="*/ 1029588 h 1215676"/>
                                        <a:gd name="connsiteX7" fmla="*/ 576554 w 1324459"/>
                                        <a:gd name="connsiteY7" fmla="*/ 1215676 h 1215676"/>
                                        <a:gd name="connsiteX8" fmla="*/ 130247 w 1324459"/>
                                        <a:gd name="connsiteY8" fmla="*/ 1059346 h 1215676"/>
                                        <a:gd name="connsiteX9" fmla="*/ 0 w 1324459"/>
                                        <a:gd name="connsiteY9" fmla="*/ 659593 h 1215676"/>
                                        <a:gd name="connsiteX10" fmla="*/ 197491 w 1324459"/>
                                        <a:gd name="connsiteY10" fmla="*/ 188473 h 1215676"/>
                                        <a:gd name="connsiteX11" fmla="*/ 467054 w 1324459"/>
                                        <a:gd name="connsiteY11" fmla="*/ 0 h 1215676"/>
                                        <a:gd name="connsiteX0" fmla="*/ 467054 w 1324459"/>
                                        <a:gd name="connsiteY0" fmla="*/ 0 h 1215676"/>
                                        <a:gd name="connsiteX1" fmla="*/ 1324459 w 1324459"/>
                                        <a:gd name="connsiteY1" fmla="*/ 594624 h 1215676"/>
                                        <a:gd name="connsiteX2" fmla="*/ 1264956 w 1324459"/>
                                        <a:gd name="connsiteY2" fmla="*/ 733954 h 1215676"/>
                                        <a:gd name="connsiteX3" fmla="*/ 637769 w 1324459"/>
                                        <a:gd name="connsiteY3" fmla="*/ 626294 h 1215676"/>
                                        <a:gd name="connsiteX4" fmla="*/ 1226677 w 1324459"/>
                                        <a:gd name="connsiteY4" fmla="*/ 1154892 h 1215676"/>
                                        <a:gd name="connsiteX5" fmla="*/ 822332 w 1324459"/>
                                        <a:gd name="connsiteY5" fmla="*/ 1025396 h 1215676"/>
                                        <a:gd name="connsiteX6" fmla="*/ 642652 w 1324459"/>
                                        <a:gd name="connsiteY6" fmla="*/ 1029588 h 1215676"/>
                                        <a:gd name="connsiteX7" fmla="*/ 576554 w 1324459"/>
                                        <a:gd name="connsiteY7" fmla="*/ 1215676 h 1215676"/>
                                        <a:gd name="connsiteX8" fmla="*/ 130247 w 1324459"/>
                                        <a:gd name="connsiteY8" fmla="*/ 1059346 h 1215676"/>
                                        <a:gd name="connsiteX9" fmla="*/ 0 w 1324459"/>
                                        <a:gd name="connsiteY9" fmla="*/ 659593 h 1215676"/>
                                        <a:gd name="connsiteX10" fmla="*/ 197491 w 1324459"/>
                                        <a:gd name="connsiteY10" fmla="*/ 188473 h 1215676"/>
                                        <a:gd name="connsiteX11" fmla="*/ 467054 w 1324459"/>
                                        <a:gd name="connsiteY11" fmla="*/ 0 h 1215676"/>
                                        <a:gd name="connsiteX0" fmla="*/ 467054 w 1324459"/>
                                        <a:gd name="connsiteY0" fmla="*/ 0 h 1215676"/>
                                        <a:gd name="connsiteX1" fmla="*/ 1324459 w 1324459"/>
                                        <a:gd name="connsiteY1" fmla="*/ 594624 h 1215676"/>
                                        <a:gd name="connsiteX2" fmla="*/ 1264956 w 1324459"/>
                                        <a:gd name="connsiteY2" fmla="*/ 733954 h 1215676"/>
                                        <a:gd name="connsiteX3" fmla="*/ 637769 w 1324459"/>
                                        <a:gd name="connsiteY3" fmla="*/ 626294 h 1215676"/>
                                        <a:gd name="connsiteX4" fmla="*/ 1226678 w 1324459"/>
                                        <a:gd name="connsiteY4" fmla="*/ 1165367 h 1215676"/>
                                        <a:gd name="connsiteX5" fmla="*/ 822332 w 1324459"/>
                                        <a:gd name="connsiteY5" fmla="*/ 1025396 h 1215676"/>
                                        <a:gd name="connsiteX6" fmla="*/ 642652 w 1324459"/>
                                        <a:gd name="connsiteY6" fmla="*/ 1029588 h 1215676"/>
                                        <a:gd name="connsiteX7" fmla="*/ 576554 w 1324459"/>
                                        <a:gd name="connsiteY7" fmla="*/ 1215676 h 1215676"/>
                                        <a:gd name="connsiteX8" fmla="*/ 130247 w 1324459"/>
                                        <a:gd name="connsiteY8" fmla="*/ 1059346 h 1215676"/>
                                        <a:gd name="connsiteX9" fmla="*/ 0 w 1324459"/>
                                        <a:gd name="connsiteY9" fmla="*/ 659593 h 1215676"/>
                                        <a:gd name="connsiteX10" fmla="*/ 197491 w 1324459"/>
                                        <a:gd name="connsiteY10" fmla="*/ 188473 h 1215676"/>
                                        <a:gd name="connsiteX11" fmla="*/ 467054 w 1324459"/>
                                        <a:gd name="connsiteY11" fmla="*/ 0 h 1215676"/>
                                        <a:gd name="connsiteX0" fmla="*/ 467054 w 1324459"/>
                                        <a:gd name="connsiteY0" fmla="*/ 0 h 1215676"/>
                                        <a:gd name="connsiteX1" fmla="*/ 1324459 w 1324459"/>
                                        <a:gd name="connsiteY1" fmla="*/ 594624 h 1215676"/>
                                        <a:gd name="connsiteX2" fmla="*/ 1264956 w 1324459"/>
                                        <a:gd name="connsiteY2" fmla="*/ 733954 h 1215676"/>
                                        <a:gd name="connsiteX3" fmla="*/ 637769 w 1324459"/>
                                        <a:gd name="connsiteY3" fmla="*/ 626294 h 1215676"/>
                                        <a:gd name="connsiteX4" fmla="*/ 822332 w 1324459"/>
                                        <a:gd name="connsiteY4" fmla="*/ 1025396 h 1215676"/>
                                        <a:gd name="connsiteX5" fmla="*/ 642652 w 1324459"/>
                                        <a:gd name="connsiteY5" fmla="*/ 1029588 h 1215676"/>
                                        <a:gd name="connsiteX6" fmla="*/ 576554 w 1324459"/>
                                        <a:gd name="connsiteY6" fmla="*/ 1215676 h 1215676"/>
                                        <a:gd name="connsiteX7" fmla="*/ 130247 w 1324459"/>
                                        <a:gd name="connsiteY7" fmla="*/ 1059346 h 1215676"/>
                                        <a:gd name="connsiteX8" fmla="*/ 0 w 1324459"/>
                                        <a:gd name="connsiteY8" fmla="*/ 659593 h 1215676"/>
                                        <a:gd name="connsiteX9" fmla="*/ 197491 w 1324459"/>
                                        <a:gd name="connsiteY9" fmla="*/ 188473 h 1215676"/>
                                        <a:gd name="connsiteX10" fmla="*/ 467054 w 1324459"/>
                                        <a:gd name="connsiteY10" fmla="*/ 0 h 1215676"/>
                                        <a:gd name="connsiteX0" fmla="*/ 467054 w 1324459"/>
                                        <a:gd name="connsiteY0" fmla="*/ 0 h 1215676"/>
                                        <a:gd name="connsiteX1" fmla="*/ 1324459 w 1324459"/>
                                        <a:gd name="connsiteY1" fmla="*/ 594624 h 1215676"/>
                                        <a:gd name="connsiteX2" fmla="*/ 1264956 w 1324459"/>
                                        <a:gd name="connsiteY2" fmla="*/ 733954 h 1215676"/>
                                        <a:gd name="connsiteX3" fmla="*/ 637769 w 1324459"/>
                                        <a:gd name="connsiteY3" fmla="*/ 626294 h 1215676"/>
                                        <a:gd name="connsiteX4" fmla="*/ 642652 w 1324459"/>
                                        <a:gd name="connsiteY4" fmla="*/ 1029588 h 1215676"/>
                                        <a:gd name="connsiteX5" fmla="*/ 576554 w 1324459"/>
                                        <a:gd name="connsiteY5" fmla="*/ 1215676 h 1215676"/>
                                        <a:gd name="connsiteX6" fmla="*/ 130247 w 1324459"/>
                                        <a:gd name="connsiteY6" fmla="*/ 1059346 h 1215676"/>
                                        <a:gd name="connsiteX7" fmla="*/ 0 w 1324459"/>
                                        <a:gd name="connsiteY7" fmla="*/ 659593 h 1215676"/>
                                        <a:gd name="connsiteX8" fmla="*/ 197491 w 1324459"/>
                                        <a:gd name="connsiteY8" fmla="*/ 188473 h 1215676"/>
                                        <a:gd name="connsiteX9" fmla="*/ 467054 w 1324459"/>
                                        <a:gd name="connsiteY9" fmla="*/ 0 h 1215676"/>
                                        <a:gd name="connsiteX0" fmla="*/ 467054 w 1324459"/>
                                        <a:gd name="connsiteY0" fmla="*/ 0 h 1131156"/>
                                        <a:gd name="connsiteX1" fmla="*/ 1324459 w 1324459"/>
                                        <a:gd name="connsiteY1" fmla="*/ 594624 h 1131156"/>
                                        <a:gd name="connsiteX2" fmla="*/ 1264956 w 1324459"/>
                                        <a:gd name="connsiteY2" fmla="*/ 733954 h 1131156"/>
                                        <a:gd name="connsiteX3" fmla="*/ 637769 w 1324459"/>
                                        <a:gd name="connsiteY3" fmla="*/ 626294 h 1131156"/>
                                        <a:gd name="connsiteX4" fmla="*/ 642652 w 1324459"/>
                                        <a:gd name="connsiteY4" fmla="*/ 1029588 h 1131156"/>
                                        <a:gd name="connsiteX5" fmla="*/ 356599 w 1324459"/>
                                        <a:gd name="connsiteY5" fmla="*/ 1131156 h 1131156"/>
                                        <a:gd name="connsiteX6" fmla="*/ 130247 w 1324459"/>
                                        <a:gd name="connsiteY6" fmla="*/ 1059346 h 1131156"/>
                                        <a:gd name="connsiteX7" fmla="*/ 0 w 1324459"/>
                                        <a:gd name="connsiteY7" fmla="*/ 659593 h 1131156"/>
                                        <a:gd name="connsiteX8" fmla="*/ 197491 w 1324459"/>
                                        <a:gd name="connsiteY8" fmla="*/ 188473 h 1131156"/>
                                        <a:gd name="connsiteX9" fmla="*/ 467054 w 1324459"/>
                                        <a:gd name="connsiteY9" fmla="*/ 0 h 1131156"/>
                                        <a:gd name="connsiteX0" fmla="*/ 467054 w 1264956"/>
                                        <a:gd name="connsiteY0" fmla="*/ 0 h 1131156"/>
                                        <a:gd name="connsiteX1" fmla="*/ 986882 w 1264956"/>
                                        <a:gd name="connsiteY1" fmla="*/ 357214 h 1131156"/>
                                        <a:gd name="connsiteX2" fmla="*/ 1264956 w 1264956"/>
                                        <a:gd name="connsiteY2" fmla="*/ 733954 h 1131156"/>
                                        <a:gd name="connsiteX3" fmla="*/ 637769 w 1264956"/>
                                        <a:gd name="connsiteY3" fmla="*/ 626294 h 1131156"/>
                                        <a:gd name="connsiteX4" fmla="*/ 642652 w 1264956"/>
                                        <a:gd name="connsiteY4" fmla="*/ 1029588 h 1131156"/>
                                        <a:gd name="connsiteX5" fmla="*/ 356599 w 1264956"/>
                                        <a:gd name="connsiteY5" fmla="*/ 1131156 h 1131156"/>
                                        <a:gd name="connsiteX6" fmla="*/ 130247 w 1264956"/>
                                        <a:gd name="connsiteY6" fmla="*/ 1059346 h 1131156"/>
                                        <a:gd name="connsiteX7" fmla="*/ 0 w 1264956"/>
                                        <a:gd name="connsiteY7" fmla="*/ 659593 h 1131156"/>
                                        <a:gd name="connsiteX8" fmla="*/ 197491 w 1264956"/>
                                        <a:gd name="connsiteY8" fmla="*/ 188473 h 1131156"/>
                                        <a:gd name="connsiteX9" fmla="*/ 467054 w 1264956"/>
                                        <a:gd name="connsiteY9" fmla="*/ 0 h 1131156"/>
                                        <a:gd name="connsiteX0" fmla="*/ 467054 w 986883"/>
                                        <a:gd name="connsiteY0" fmla="*/ 0 h 1131156"/>
                                        <a:gd name="connsiteX1" fmla="*/ 986882 w 986883"/>
                                        <a:gd name="connsiteY1" fmla="*/ 357214 h 1131156"/>
                                        <a:gd name="connsiteX2" fmla="*/ 927379 w 986883"/>
                                        <a:gd name="connsiteY2" fmla="*/ 542495 h 1131156"/>
                                        <a:gd name="connsiteX3" fmla="*/ 637769 w 986883"/>
                                        <a:gd name="connsiteY3" fmla="*/ 626294 h 1131156"/>
                                        <a:gd name="connsiteX4" fmla="*/ 642652 w 986883"/>
                                        <a:gd name="connsiteY4" fmla="*/ 1029588 h 1131156"/>
                                        <a:gd name="connsiteX5" fmla="*/ 356599 w 986883"/>
                                        <a:gd name="connsiteY5" fmla="*/ 1131156 h 1131156"/>
                                        <a:gd name="connsiteX6" fmla="*/ 130247 w 986883"/>
                                        <a:gd name="connsiteY6" fmla="*/ 1059346 h 1131156"/>
                                        <a:gd name="connsiteX7" fmla="*/ 0 w 986883"/>
                                        <a:gd name="connsiteY7" fmla="*/ 659593 h 1131156"/>
                                        <a:gd name="connsiteX8" fmla="*/ 197491 w 986883"/>
                                        <a:gd name="connsiteY8" fmla="*/ 188473 h 1131156"/>
                                        <a:gd name="connsiteX9" fmla="*/ 467054 w 986883"/>
                                        <a:gd name="connsiteY9" fmla="*/ 0 h 1131156"/>
                                        <a:gd name="connsiteX0" fmla="*/ 467054 w 986882"/>
                                        <a:gd name="connsiteY0" fmla="*/ 0 h 1131156"/>
                                        <a:gd name="connsiteX1" fmla="*/ 986882 w 986882"/>
                                        <a:gd name="connsiteY1" fmla="*/ 357214 h 1131156"/>
                                        <a:gd name="connsiteX2" fmla="*/ 927379 w 986882"/>
                                        <a:gd name="connsiteY2" fmla="*/ 542495 h 1131156"/>
                                        <a:gd name="connsiteX3" fmla="*/ 637769 w 986882"/>
                                        <a:gd name="connsiteY3" fmla="*/ 626294 h 1131156"/>
                                        <a:gd name="connsiteX4" fmla="*/ 356599 w 986882"/>
                                        <a:gd name="connsiteY4" fmla="*/ 1131156 h 1131156"/>
                                        <a:gd name="connsiteX5" fmla="*/ 130247 w 986882"/>
                                        <a:gd name="connsiteY5" fmla="*/ 1059346 h 1131156"/>
                                        <a:gd name="connsiteX6" fmla="*/ 0 w 986882"/>
                                        <a:gd name="connsiteY6" fmla="*/ 659593 h 1131156"/>
                                        <a:gd name="connsiteX7" fmla="*/ 197491 w 986882"/>
                                        <a:gd name="connsiteY7" fmla="*/ 188473 h 1131156"/>
                                        <a:gd name="connsiteX8" fmla="*/ 467054 w 986882"/>
                                        <a:gd name="connsiteY8" fmla="*/ 0 h 1131156"/>
                                        <a:gd name="connsiteX0" fmla="*/ 467054 w 986882"/>
                                        <a:gd name="connsiteY0" fmla="*/ 0 h 1131156"/>
                                        <a:gd name="connsiteX1" fmla="*/ 986882 w 986882"/>
                                        <a:gd name="connsiteY1" fmla="*/ 357214 h 1131156"/>
                                        <a:gd name="connsiteX2" fmla="*/ 927379 w 986882"/>
                                        <a:gd name="connsiteY2" fmla="*/ 542495 h 1131156"/>
                                        <a:gd name="connsiteX3" fmla="*/ 637769 w 986882"/>
                                        <a:gd name="connsiteY3" fmla="*/ 626294 h 1131156"/>
                                        <a:gd name="connsiteX4" fmla="*/ 356601 w 986882"/>
                                        <a:gd name="connsiteY4" fmla="*/ 1131156 h 1131156"/>
                                        <a:gd name="connsiteX5" fmla="*/ 130247 w 986882"/>
                                        <a:gd name="connsiteY5" fmla="*/ 1059346 h 1131156"/>
                                        <a:gd name="connsiteX6" fmla="*/ 0 w 986882"/>
                                        <a:gd name="connsiteY6" fmla="*/ 659593 h 1131156"/>
                                        <a:gd name="connsiteX7" fmla="*/ 197491 w 986882"/>
                                        <a:gd name="connsiteY7" fmla="*/ 188473 h 1131156"/>
                                        <a:gd name="connsiteX8" fmla="*/ 467054 w 986882"/>
                                        <a:gd name="connsiteY8" fmla="*/ 0 h 1131156"/>
                                        <a:gd name="connsiteX0" fmla="*/ 467054 w 986882"/>
                                        <a:gd name="connsiteY0" fmla="*/ 0 h 1059346"/>
                                        <a:gd name="connsiteX1" fmla="*/ 986882 w 986882"/>
                                        <a:gd name="connsiteY1" fmla="*/ 357214 h 1059346"/>
                                        <a:gd name="connsiteX2" fmla="*/ 927379 w 986882"/>
                                        <a:gd name="connsiteY2" fmla="*/ 542495 h 1059346"/>
                                        <a:gd name="connsiteX3" fmla="*/ 637769 w 986882"/>
                                        <a:gd name="connsiteY3" fmla="*/ 626294 h 1059346"/>
                                        <a:gd name="connsiteX4" fmla="*/ 130247 w 986882"/>
                                        <a:gd name="connsiteY4" fmla="*/ 1059346 h 1059346"/>
                                        <a:gd name="connsiteX5" fmla="*/ 0 w 986882"/>
                                        <a:gd name="connsiteY5" fmla="*/ 659593 h 1059346"/>
                                        <a:gd name="connsiteX6" fmla="*/ 197491 w 986882"/>
                                        <a:gd name="connsiteY6" fmla="*/ 188473 h 1059346"/>
                                        <a:gd name="connsiteX7" fmla="*/ 467054 w 986882"/>
                                        <a:gd name="connsiteY7" fmla="*/ 0 h 105934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986882" h="1059346">
                                          <a:moveTo>
                                            <a:pt x="467054" y="0"/>
                                          </a:moveTo>
                                          <a:lnTo>
                                            <a:pt x="986882" y="357214"/>
                                          </a:lnTo>
                                          <a:lnTo>
                                            <a:pt x="927379" y="542495"/>
                                          </a:lnTo>
                                          <a:lnTo>
                                            <a:pt x="637769" y="626294"/>
                                          </a:lnTo>
                                          <a:cubicBezTo>
                                            <a:pt x="504914" y="712436"/>
                                            <a:pt x="236542" y="1053796"/>
                                            <a:pt x="130247" y="1059346"/>
                                          </a:cubicBezTo>
                                          <a:lnTo>
                                            <a:pt x="0" y="659593"/>
                                          </a:lnTo>
                                          <a:lnTo>
                                            <a:pt x="197491" y="188473"/>
                                          </a:lnTo>
                                          <a:lnTo>
                                            <a:pt x="467054" y="0"/>
                                          </a:lnTo>
                                          <a:close/>
                                        </a:path>
                                      </a:pathLst>
                                    </a:custGeom>
                                    <a:noFill/>
                                    <a:ln w="19050">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3AC3D77" w14:textId="77777777" w:rsidR="00D55F13" w:rsidRPr="00394D50" w:rsidRDefault="00D55F13" w:rsidP="00077E48">
                                        <w:pPr>
                                          <w:rPr>
                                            <w:color w:val="0D0D0D" w:themeColor="text1" w:themeTint="F2"/>
                                            <w:sz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56" name="2608 Forma libre"/>
                                  <wps:cNvSpPr/>
                                  <wps:spPr>
                                    <a:xfrm>
                                      <a:off x="628650" y="304800"/>
                                      <a:ext cx="742239" cy="524894"/>
                                    </a:xfrm>
                                    <a:custGeom>
                                      <a:avLst/>
                                      <a:gdLst>
                                        <a:gd name="connsiteX0" fmla="*/ 153620 w 1675181"/>
                                        <a:gd name="connsiteY0" fmla="*/ 526694 h 1141171"/>
                                        <a:gd name="connsiteX1" fmla="*/ 292608 w 1675181"/>
                                        <a:gd name="connsiteY1" fmla="*/ 307238 h 1141171"/>
                                        <a:gd name="connsiteX2" fmla="*/ 446228 w 1675181"/>
                                        <a:gd name="connsiteY2" fmla="*/ 424282 h 1141171"/>
                                        <a:gd name="connsiteX3" fmla="*/ 651053 w 1675181"/>
                                        <a:gd name="connsiteY3" fmla="*/ 285293 h 1141171"/>
                                        <a:gd name="connsiteX4" fmla="*/ 811988 w 1675181"/>
                                        <a:gd name="connsiteY4" fmla="*/ 80467 h 1141171"/>
                                        <a:gd name="connsiteX5" fmla="*/ 1272845 w 1675181"/>
                                        <a:gd name="connsiteY5" fmla="*/ 0 h 1141171"/>
                                        <a:gd name="connsiteX6" fmla="*/ 1558138 w 1675181"/>
                                        <a:gd name="connsiteY6" fmla="*/ 29261 h 1141171"/>
                                        <a:gd name="connsiteX7" fmla="*/ 1675181 w 1675181"/>
                                        <a:gd name="connsiteY7" fmla="*/ 248717 h 1141171"/>
                                        <a:gd name="connsiteX8" fmla="*/ 1492301 w 1675181"/>
                                        <a:gd name="connsiteY8" fmla="*/ 321869 h 1141171"/>
                                        <a:gd name="connsiteX9" fmla="*/ 1463040 w 1675181"/>
                                        <a:gd name="connsiteY9" fmla="*/ 504749 h 1141171"/>
                                        <a:gd name="connsiteX10" fmla="*/ 1558138 w 1675181"/>
                                        <a:gd name="connsiteY10" fmla="*/ 746150 h 1141171"/>
                                        <a:gd name="connsiteX11" fmla="*/ 1331367 w 1675181"/>
                                        <a:gd name="connsiteY11" fmla="*/ 892454 h 1141171"/>
                                        <a:gd name="connsiteX12" fmla="*/ 848564 w 1675181"/>
                                        <a:gd name="connsiteY12" fmla="*/ 987552 h 1141171"/>
                                        <a:gd name="connsiteX13" fmla="*/ 548640 w 1675181"/>
                                        <a:gd name="connsiteY13" fmla="*/ 1133856 h 1141171"/>
                                        <a:gd name="connsiteX14" fmla="*/ 58522 w 1675181"/>
                                        <a:gd name="connsiteY14" fmla="*/ 1141171 h 1141171"/>
                                        <a:gd name="connsiteX15" fmla="*/ 0 w 1675181"/>
                                        <a:gd name="connsiteY15" fmla="*/ 716890 h 1141171"/>
                                        <a:gd name="connsiteX16" fmla="*/ 153620 w 1675181"/>
                                        <a:gd name="connsiteY16" fmla="*/ 526694 h 1141171"/>
                                        <a:gd name="connsiteX0" fmla="*/ 153620 w 1675181"/>
                                        <a:gd name="connsiteY0" fmla="*/ 526694 h 1141171"/>
                                        <a:gd name="connsiteX1" fmla="*/ 292608 w 1675181"/>
                                        <a:gd name="connsiteY1" fmla="*/ 307238 h 1141171"/>
                                        <a:gd name="connsiteX2" fmla="*/ 446228 w 1675181"/>
                                        <a:gd name="connsiteY2" fmla="*/ 424282 h 1141171"/>
                                        <a:gd name="connsiteX3" fmla="*/ 651053 w 1675181"/>
                                        <a:gd name="connsiteY3" fmla="*/ 285293 h 1141171"/>
                                        <a:gd name="connsiteX4" fmla="*/ 811988 w 1675181"/>
                                        <a:gd name="connsiteY4" fmla="*/ 80467 h 1141171"/>
                                        <a:gd name="connsiteX5" fmla="*/ 1272845 w 1675181"/>
                                        <a:gd name="connsiteY5" fmla="*/ 0 h 1141171"/>
                                        <a:gd name="connsiteX6" fmla="*/ 1558138 w 1675181"/>
                                        <a:gd name="connsiteY6" fmla="*/ 29261 h 1141171"/>
                                        <a:gd name="connsiteX7" fmla="*/ 1675181 w 1675181"/>
                                        <a:gd name="connsiteY7" fmla="*/ 248717 h 1141171"/>
                                        <a:gd name="connsiteX8" fmla="*/ 1492301 w 1675181"/>
                                        <a:gd name="connsiteY8" fmla="*/ 321869 h 1141171"/>
                                        <a:gd name="connsiteX9" fmla="*/ 1463040 w 1675181"/>
                                        <a:gd name="connsiteY9" fmla="*/ 504749 h 1141171"/>
                                        <a:gd name="connsiteX10" fmla="*/ 1234564 w 1675181"/>
                                        <a:gd name="connsiteY10" fmla="*/ 614998 h 1141171"/>
                                        <a:gd name="connsiteX11" fmla="*/ 1331367 w 1675181"/>
                                        <a:gd name="connsiteY11" fmla="*/ 892454 h 1141171"/>
                                        <a:gd name="connsiteX12" fmla="*/ 848564 w 1675181"/>
                                        <a:gd name="connsiteY12" fmla="*/ 987552 h 1141171"/>
                                        <a:gd name="connsiteX13" fmla="*/ 548640 w 1675181"/>
                                        <a:gd name="connsiteY13" fmla="*/ 1133856 h 1141171"/>
                                        <a:gd name="connsiteX14" fmla="*/ 58522 w 1675181"/>
                                        <a:gd name="connsiteY14" fmla="*/ 1141171 h 1141171"/>
                                        <a:gd name="connsiteX15" fmla="*/ 0 w 1675181"/>
                                        <a:gd name="connsiteY15" fmla="*/ 716890 h 1141171"/>
                                        <a:gd name="connsiteX16" fmla="*/ 153620 w 1675181"/>
                                        <a:gd name="connsiteY16" fmla="*/ 526694 h 1141171"/>
                                        <a:gd name="connsiteX0" fmla="*/ 153620 w 1675181"/>
                                        <a:gd name="connsiteY0" fmla="*/ 526694 h 1141171"/>
                                        <a:gd name="connsiteX1" fmla="*/ 292608 w 1675181"/>
                                        <a:gd name="connsiteY1" fmla="*/ 307238 h 1141171"/>
                                        <a:gd name="connsiteX2" fmla="*/ 446228 w 1675181"/>
                                        <a:gd name="connsiteY2" fmla="*/ 424282 h 1141171"/>
                                        <a:gd name="connsiteX3" fmla="*/ 651053 w 1675181"/>
                                        <a:gd name="connsiteY3" fmla="*/ 285293 h 1141171"/>
                                        <a:gd name="connsiteX4" fmla="*/ 811988 w 1675181"/>
                                        <a:gd name="connsiteY4" fmla="*/ 80467 h 1141171"/>
                                        <a:gd name="connsiteX5" fmla="*/ 1272845 w 1675181"/>
                                        <a:gd name="connsiteY5" fmla="*/ 0 h 1141171"/>
                                        <a:gd name="connsiteX6" fmla="*/ 1558138 w 1675181"/>
                                        <a:gd name="connsiteY6" fmla="*/ 29261 h 1141171"/>
                                        <a:gd name="connsiteX7" fmla="*/ 1675181 w 1675181"/>
                                        <a:gd name="connsiteY7" fmla="*/ 248717 h 1141171"/>
                                        <a:gd name="connsiteX8" fmla="*/ 1492301 w 1675181"/>
                                        <a:gd name="connsiteY8" fmla="*/ 321869 h 1141171"/>
                                        <a:gd name="connsiteX9" fmla="*/ 1119243 w 1675181"/>
                                        <a:gd name="connsiteY9" fmla="*/ 403862 h 1141171"/>
                                        <a:gd name="connsiteX10" fmla="*/ 1234564 w 1675181"/>
                                        <a:gd name="connsiteY10" fmla="*/ 614998 h 1141171"/>
                                        <a:gd name="connsiteX11" fmla="*/ 1331367 w 1675181"/>
                                        <a:gd name="connsiteY11" fmla="*/ 892454 h 1141171"/>
                                        <a:gd name="connsiteX12" fmla="*/ 848564 w 1675181"/>
                                        <a:gd name="connsiteY12" fmla="*/ 987552 h 1141171"/>
                                        <a:gd name="connsiteX13" fmla="*/ 548640 w 1675181"/>
                                        <a:gd name="connsiteY13" fmla="*/ 1133856 h 1141171"/>
                                        <a:gd name="connsiteX14" fmla="*/ 58522 w 1675181"/>
                                        <a:gd name="connsiteY14" fmla="*/ 1141171 h 1141171"/>
                                        <a:gd name="connsiteX15" fmla="*/ 0 w 1675181"/>
                                        <a:gd name="connsiteY15" fmla="*/ 716890 h 1141171"/>
                                        <a:gd name="connsiteX16" fmla="*/ 153620 w 1675181"/>
                                        <a:gd name="connsiteY16" fmla="*/ 526694 h 1141171"/>
                                        <a:gd name="connsiteX0" fmla="*/ 153620 w 1558138"/>
                                        <a:gd name="connsiteY0" fmla="*/ 526694 h 1141171"/>
                                        <a:gd name="connsiteX1" fmla="*/ 292608 w 1558138"/>
                                        <a:gd name="connsiteY1" fmla="*/ 307238 h 1141171"/>
                                        <a:gd name="connsiteX2" fmla="*/ 446228 w 1558138"/>
                                        <a:gd name="connsiteY2" fmla="*/ 424282 h 1141171"/>
                                        <a:gd name="connsiteX3" fmla="*/ 651053 w 1558138"/>
                                        <a:gd name="connsiteY3" fmla="*/ 285293 h 1141171"/>
                                        <a:gd name="connsiteX4" fmla="*/ 811988 w 1558138"/>
                                        <a:gd name="connsiteY4" fmla="*/ 80467 h 1141171"/>
                                        <a:gd name="connsiteX5" fmla="*/ 1272845 w 1558138"/>
                                        <a:gd name="connsiteY5" fmla="*/ 0 h 1141171"/>
                                        <a:gd name="connsiteX6" fmla="*/ 1558138 w 1558138"/>
                                        <a:gd name="connsiteY6" fmla="*/ 29261 h 1141171"/>
                                        <a:gd name="connsiteX7" fmla="*/ 1492301 w 1558138"/>
                                        <a:gd name="connsiteY7" fmla="*/ 321869 h 1141171"/>
                                        <a:gd name="connsiteX8" fmla="*/ 1119243 w 1558138"/>
                                        <a:gd name="connsiteY8" fmla="*/ 403862 h 1141171"/>
                                        <a:gd name="connsiteX9" fmla="*/ 1234564 w 1558138"/>
                                        <a:gd name="connsiteY9" fmla="*/ 614998 h 1141171"/>
                                        <a:gd name="connsiteX10" fmla="*/ 1331367 w 1558138"/>
                                        <a:gd name="connsiteY10" fmla="*/ 892454 h 1141171"/>
                                        <a:gd name="connsiteX11" fmla="*/ 848564 w 1558138"/>
                                        <a:gd name="connsiteY11" fmla="*/ 987552 h 1141171"/>
                                        <a:gd name="connsiteX12" fmla="*/ 548640 w 1558138"/>
                                        <a:gd name="connsiteY12" fmla="*/ 1133856 h 1141171"/>
                                        <a:gd name="connsiteX13" fmla="*/ 58522 w 1558138"/>
                                        <a:gd name="connsiteY13" fmla="*/ 1141171 h 1141171"/>
                                        <a:gd name="connsiteX14" fmla="*/ 0 w 1558138"/>
                                        <a:gd name="connsiteY14" fmla="*/ 716890 h 1141171"/>
                                        <a:gd name="connsiteX15" fmla="*/ 153620 w 1558138"/>
                                        <a:gd name="connsiteY15" fmla="*/ 526694 h 1141171"/>
                                        <a:gd name="connsiteX0" fmla="*/ 153620 w 1492300"/>
                                        <a:gd name="connsiteY0" fmla="*/ 526694 h 1141171"/>
                                        <a:gd name="connsiteX1" fmla="*/ 292608 w 1492300"/>
                                        <a:gd name="connsiteY1" fmla="*/ 307238 h 1141171"/>
                                        <a:gd name="connsiteX2" fmla="*/ 446228 w 1492300"/>
                                        <a:gd name="connsiteY2" fmla="*/ 424282 h 1141171"/>
                                        <a:gd name="connsiteX3" fmla="*/ 651053 w 1492300"/>
                                        <a:gd name="connsiteY3" fmla="*/ 285293 h 1141171"/>
                                        <a:gd name="connsiteX4" fmla="*/ 811988 w 1492300"/>
                                        <a:gd name="connsiteY4" fmla="*/ 80467 h 1141171"/>
                                        <a:gd name="connsiteX5" fmla="*/ 1272845 w 1492300"/>
                                        <a:gd name="connsiteY5" fmla="*/ 0 h 1141171"/>
                                        <a:gd name="connsiteX6" fmla="*/ 1492301 w 1492300"/>
                                        <a:gd name="connsiteY6" fmla="*/ 321869 h 1141171"/>
                                        <a:gd name="connsiteX7" fmla="*/ 1119243 w 1492300"/>
                                        <a:gd name="connsiteY7" fmla="*/ 403862 h 1141171"/>
                                        <a:gd name="connsiteX8" fmla="*/ 1234564 w 1492300"/>
                                        <a:gd name="connsiteY8" fmla="*/ 614998 h 1141171"/>
                                        <a:gd name="connsiteX9" fmla="*/ 1331367 w 1492300"/>
                                        <a:gd name="connsiteY9" fmla="*/ 892454 h 1141171"/>
                                        <a:gd name="connsiteX10" fmla="*/ 848564 w 1492300"/>
                                        <a:gd name="connsiteY10" fmla="*/ 987552 h 1141171"/>
                                        <a:gd name="connsiteX11" fmla="*/ 548640 w 1492300"/>
                                        <a:gd name="connsiteY11" fmla="*/ 1133856 h 1141171"/>
                                        <a:gd name="connsiteX12" fmla="*/ 58522 w 1492300"/>
                                        <a:gd name="connsiteY12" fmla="*/ 1141171 h 1141171"/>
                                        <a:gd name="connsiteX13" fmla="*/ 0 w 1492300"/>
                                        <a:gd name="connsiteY13" fmla="*/ 716890 h 1141171"/>
                                        <a:gd name="connsiteX14" fmla="*/ 153620 w 1492300"/>
                                        <a:gd name="connsiteY14" fmla="*/ 526694 h 1141171"/>
                                        <a:gd name="connsiteX0" fmla="*/ 153620 w 1331366"/>
                                        <a:gd name="connsiteY0" fmla="*/ 526694 h 1141171"/>
                                        <a:gd name="connsiteX1" fmla="*/ 292608 w 1331366"/>
                                        <a:gd name="connsiteY1" fmla="*/ 307238 h 1141171"/>
                                        <a:gd name="connsiteX2" fmla="*/ 446228 w 1331366"/>
                                        <a:gd name="connsiteY2" fmla="*/ 424282 h 1141171"/>
                                        <a:gd name="connsiteX3" fmla="*/ 651053 w 1331366"/>
                                        <a:gd name="connsiteY3" fmla="*/ 285293 h 1141171"/>
                                        <a:gd name="connsiteX4" fmla="*/ 811988 w 1331366"/>
                                        <a:gd name="connsiteY4" fmla="*/ 80467 h 1141171"/>
                                        <a:gd name="connsiteX5" fmla="*/ 1272845 w 1331366"/>
                                        <a:gd name="connsiteY5" fmla="*/ 0 h 1141171"/>
                                        <a:gd name="connsiteX6" fmla="*/ 1119243 w 1331366"/>
                                        <a:gd name="connsiteY6" fmla="*/ 403862 h 1141171"/>
                                        <a:gd name="connsiteX7" fmla="*/ 1234564 w 1331366"/>
                                        <a:gd name="connsiteY7" fmla="*/ 614998 h 1141171"/>
                                        <a:gd name="connsiteX8" fmla="*/ 1331367 w 1331366"/>
                                        <a:gd name="connsiteY8" fmla="*/ 892454 h 1141171"/>
                                        <a:gd name="connsiteX9" fmla="*/ 848564 w 1331366"/>
                                        <a:gd name="connsiteY9" fmla="*/ 987552 h 1141171"/>
                                        <a:gd name="connsiteX10" fmla="*/ 548640 w 1331366"/>
                                        <a:gd name="connsiteY10" fmla="*/ 1133856 h 1141171"/>
                                        <a:gd name="connsiteX11" fmla="*/ 58522 w 1331366"/>
                                        <a:gd name="connsiteY11" fmla="*/ 1141171 h 1141171"/>
                                        <a:gd name="connsiteX12" fmla="*/ 0 w 1331366"/>
                                        <a:gd name="connsiteY12" fmla="*/ 716890 h 1141171"/>
                                        <a:gd name="connsiteX13" fmla="*/ 153620 w 1331366"/>
                                        <a:gd name="connsiteY13" fmla="*/ 526694 h 1141171"/>
                                        <a:gd name="connsiteX0" fmla="*/ 153620 w 1331368"/>
                                        <a:gd name="connsiteY0" fmla="*/ 446226 h 1060703"/>
                                        <a:gd name="connsiteX1" fmla="*/ 292608 w 1331368"/>
                                        <a:gd name="connsiteY1" fmla="*/ 226770 h 1060703"/>
                                        <a:gd name="connsiteX2" fmla="*/ 446228 w 1331368"/>
                                        <a:gd name="connsiteY2" fmla="*/ 343814 h 1060703"/>
                                        <a:gd name="connsiteX3" fmla="*/ 651053 w 1331368"/>
                                        <a:gd name="connsiteY3" fmla="*/ 204825 h 1060703"/>
                                        <a:gd name="connsiteX4" fmla="*/ 811988 w 1331368"/>
                                        <a:gd name="connsiteY4" fmla="*/ -1 h 1060703"/>
                                        <a:gd name="connsiteX5" fmla="*/ 1119243 w 1331368"/>
                                        <a:gd name="connsiteY5" fmla="*/ 323394 h 1060703"/>
                                        <a:gd name="connsiteX6" fmla="*/ 1234564 w 1331368"/>
                                        <a:gd name="connsiteY6" fmla="*/ 534530 h 1060703"/>
                                        <a:gd name="connsiteX7" fmla="*/ 1331367 w 1331368"/>
                                        <a:gd name="connsiteY7" fmla="*/ 811986 h 1060703"/>
                                        <a:gd name="connsiteX8" fmla="*/ 848564 w 1331368"/>
                                        <a:gd name="connsiteY8" fmla="*/ 907084 h 1060703"/>
                                        <a:gd name="connsiteX9" fmla="*/ 548640 w 1331368"/>
                                        <a:gd name="connsiteY9" fmla="*/ 1053388 h 1060703"/>
                                        <a:gd name="connsiteX10" fmla="*/ 58522 w 1331368"/>
                                        <a:gd name="connsiteY10" fmla="*/ 1060703 h 1060703"/>
                                        <a:gd name="connsiteX11" fmla="*/ 0 w 1331368"/>
                                        <a:gd name="connsiteY11" fmla="*/ 636422 h 1060703"/>
                                        <a:gd name="connsiteX12" fmla="*/ 153620 w 1331368"/>
                                        <a:gd name="connsiteY12" fmla="*/ 446226 h 1060703"/>
                                        <a:gd name="connsiteX0" fmla="*/ 153620 w 1331366"/>
                                        <a:gd name="connsiteY0" fmla="*/ 446228 h 1060705"/>
                                        <a:gd name="connsiteX1" fmla="*/ 292608 w 1331366"/>
                                        <a:gd name="connsiteY1" fmla="*/ 226772 h 1060705"/>
                                        <a:gd name="connsiteX2" fmla="*/ 446228 w 1331366"/>
                                        <a:gd name="connsiteY2" fmla="*/ 343816 h 1060705"/>
                                        <a:gd name="connsiteX3" fmla="*/ 651053 w 1331366"/>
                                        <a:gd name="connsiteY3" fmla="*/ 204827 h 1060705"/>
                                        <a:gd name="connsiteX4" fmla="*/ 811988 w 1331366"/>
                                        <a:gd name="connsiteY4" fmla="*/ 1 h 1060705"/>
                                        <a:gd name="connsiteX5" fmla="*/ 1181935 w 1331366"/>
                                        <a:gd name="connsiteY5" fmla="*/ 101445 h 1060705"/>
                                        <a:gd name="connsiteX6" fmla="*/ 1234564 w 1331366"/>
                                        <a:gd name="connsiteY6" fmla="*/ 534532 h 1060705"/>
                                        <a:gd name="connsiteX7" fmla="*/ 1331367 w 1331366"/>
                                        <a:gd name="connsiteY7" fmla="*/ 811988 h 1060705"/>
                                        <a:gd name="connsiteX8" fmla="*/ 848564 w 1331366"/>
                                        <a:gd name="connsiteY8" fmla="*/ 907086 h 1060705"/>
                                        <a:gd name="connsiteX9" fmla="*/ 548640 w 1331366"/>
                                        <a:gd name="connsiteY9" fmla="*/ 1053390 h 1060705"/>
                                        <a:gd name="connsiteX10" fmla="*/ 58522 w 1331366"/>
                                        <a:gd name="connsiteY10" fmla="*/ 1060705 h 1060705"/>
                                        <a:gd name="connsiteX11" fmla="*/ 0 w 1331366"/>
                                        <a:gd name="connsiteY11" fmla="*/ 636424 h 1060705"/>
                                        <a:gd name="connsiteX12" fmla="*/ 153620 w 1331366"/>
                                        <a:gd name="connsiteY12" fmla="*/ 446228 h 1060705"/>
                                        <a:gd name="connsiteX0" fmla="*/ 153620 w 1234564"/>
                                        <a:gd name="connsiteY0" fmla="*/ 446226 h 1060703"/>
                                        <a:gd name="connsiteX1" fmla="*/ 292608 w 1234564"/>
                                        <a:gd name="connsiteY1" fmla="*/ 226770 h 1060703"/>
                                        <a:gd name="connsiteX2" fmla="*/ 446228 w 1234564"/>
                                        <a:gd name="connsiteY2" fmla="*/ 343814 h 1060703"/>
                                        <a:gd name="connsiteX3" fmla="*/ 651053 w 1234564"/>
                                        <a:gd name="connsiteY3" fmla="*/ 204825 h 1060703"/>
                                        <a:gd name="connsiteX4" fmla="*/ 811988 w 1234564"/>
                                        <a:gd name="connsiteY4" fmla="*/ -1 h 1060703"/>
                                        <a:gd name="connsiteX5" fmla="*/ 1181935 w 1234564"/>
                                        <a:gd name="connsiteY5" fmla="*/ 101443 h 1060703"/>
                                        <a:gd name="connsiteX6" fmla="*/ 1234564 w 1234564"/>
                                        <a:gd name="connsiteY6" fmla="*/ 534530 h 1060703"/>
                                        <a:gd name="connsiteX7" fmla="*/ 1181936 w 1234564"/>
                                        <a:gd name="connsiteY7" fmla="*/ 763828 h 1060703"/>
                                        <a:gd name="connsiteX8" fmla="*/ 848564 w 1234564"/>
                                        <a:gd name="connsiteY8" fmla="*/ 907084 h 1060703"/>
                                        <a:gd name="connsiteX9" fmla="*/ 548640 w 1234564"/>
                                        <a:gd name="connsiteY9" fmla="*/ 1053388 h 1060703"/>
                                        <a:gd name="connsiteX10" fmla="*/ 58522 w 1234564"/>
                                        <a:gd name="connsiteY10" fmla="*/ 1060703 h 1060703"/>
                                        <a:gd name="connsiteX11" fmla="*/ 0 w 1234564"/>
                                        <a:gd name="connsiteY11" fmla="*/ 636422 h 1060703"/>
                                        <a:gd name="connsiteX12" fmla="*/ 153620 w 1234564"/>
                                        <a:gd name="connsiteY12" fmla="*/ 446226 h 1060703"/>
                                        <a:gd name="connsiteX0" fmla="*/ 153620 w 1234564"/>
                                        <a:gd name="connsiteY0" fmla="*/ 344783 h 959260"/>
                                        <a:gd name="connsiteX1" fmla="*/ 292608 w 1234564"/>
                                        <a:gd name="connsiteY1" fmla="*/ 125327 h 959260"/>
                                        <a:gd name="connsiteX2" fmla="*/ 446228 w 1234564"/>
                                        <a:gd name="connsiteY2" fmla="*/ 242371 h 959260"/>
                                        <a:gd name="connsiteX3" fmla="*/ 651053 w 1234564"/>
                                        <a:gd name="connsiteY3" fmla="*/ 103382 h 959260"/>
                                        <a:gd name="connsiteX4" fmla="*/ 1181935 w 1234564"/>
                                        <a:gd name="connsiteY4" fmla="*/ 0 h 959260"/>
                                        <a:gd name="connsiteX5" fmla="*/ 1234564 w 1234564"/>
                                        <a:gd name="connsiteY5" fmla="*/ 433087 h 959260"/>
                                        <a:gd name="connsiteX6" fmla="*/ 1181936 w 1234564"/>
                                        <a:gd name="connsiteY6" fmla="*/ 662385 h 959260"/>
                                        <a:gd name="connsiteX7" fmla="*/ 848564 w 1234564"/>
                                        <a:gd name="connsiteY7" fmla="*/ 805641 h 959260"/>
                                        <a:gd name="connsiteX8" fmla="*/ 548640 w 1234564"/>
                                        <a:gd name="connsiteY8" fmla="*/ 951945 h 959260"/>
                                        <a:gd name="connsiteX9" fmla="*/ 58522 w 1234564"/>
                                        <a:gd name="connsiteY9" fmla="*/ 959260 h 959260"/>
                                        <a:gd name="connsiteX10" fmla="*/ 0 w 1234564"/>
                                        <a:gd name="connsiteY10" fmla="*/ 534979 h 959260"/>
                                        <a:gd name="connsiteX11" fmla="*/ 153620 w 1234564"/>
                                        <a:gd name="connsiteY11" fmla="*/ 344783 h 959260"/>
                                        <a:gd name="connsiteX0" fmla="*/ 153620 w 1234564"/>
                                        <a:gd name="connsiteY0" fmla="*/ 241400 h 855877"/>
                                        <a:gd name="connsiteX1" fmla="*/ 292608 w 1234564"/>
                                        <a:gd name="connsiteY1" fmla="*/ 21944 h 855877"/>
                                        <a:gd name="connsiteX2" fmla="*/ 446228 w 1234564"/>
                                        <a:gd name="connsiteY2" fmla="*/ 138988 h 855877"/>
                                        <a:gd name="connsiteX3" fmla="*/ 651053 w 1234564"/>
                                        <a:gd name="connsiteY3" fmla="*/ -1 h 855877"/>
                                        <a:gd name="connsiteX4" fmla="*/ 919032 w 1234564"/>
                                        <a:gd name="connsiteY4" fmla="*/ 290075 h 855877"/>
                                        <a:gd name="connsiteX5" fmla="*/ 1234564 w 1234564"/>
                                        <a:gd name="connsiteY5" fmla="*/ 329704 h 855877"/>
                                        <a:gd name="connsiteX6" fmla="*/ 1181936 w 1234564"/>
                                        <a:gd name="connsiteY6" fmla="*/ 559002 h 855877"/>
                                        <a:gd name="connsiteX7" fmla="*/ 848564 w 1234564"/>
                                        <a:gd name="connsiteY7" fmla="*/ 702258 h 855877"/>
                                        <a:gd name="connsiteX8" fmla="*/ 548640 w 1234564"/>
                                        <a:gd name="connsiteY8" fmla="*/ 848562 h 855877"/>
                                        <a:gd name="connsiteX9" fmla="*/ 58522 w 1234564"/>
                                        <a:gd name="connsiteY9" fmla="*/ 855877 h 855877"/>
                                        <a:gd name="connsiteX10" fmla="*/ 0 w 1234564"/>
                                        <a:gd name="connsiteY10" fmla="*/ 431596 h 855877"/>
                                        <a:gd name="connsiteX11" fmla="*/ 153620 w 1234564"/>
                                        <a:gd name="connsiteY11" fmla="*/ 241400 h 855877"/>
                                        <a:gd name="connsiteX0" fmla="*/ 153620 w 1181936"/>
                                        <a:gd name="connsiteY0" fmla="*/ 241402 h 855879"/>
                                        <a:gd name="connsiteX1" fmla="*/ 292608 w 1181936"/>
                                        <a:gd name="connsiteY1" fmla="*/ 21946 h 855879"/>
                                        <a:gd name="connsiteX2" fmla="*/ 446228 w 1181936"/>
                                        <a:gd name="connsiteY2" fmla="*/ 138990 h 855879"/>
                                        <a:gd name="connsiteX3" fmla="*/ 651053 w 1181936"/>
                                        <a:gd name="connsiteY3" fmla="*/ 1 h 855879"/>
                                        <a:gd name="connsiteX4" fmla="*/ 919032 w 1181936"/>
                                        <a:gd name="connsiteY4" fmla="*/ 290077 h 855879"/>
                                        <a:gd name="connsiteX5" fmla="*/ 1181936 w 1181936"/>
                                        <a:gd name="connsiteY5" fmla="*/ 559004 h 855879"/>
                                        <a:gd name="connsiteX6" fmla="*/ 848564 w 1181936"/>
                                        <a:gd name="connsiteY6" fmla="*/ 702260 h 855879"/>
                                        <a:gd name="connsiteX7" fmla="*/ 548640 w 1181936"/>
                                        <a:gd name="connsiteY7" fmla="*/ 848564 h 855879"/>
                                        <a:gd name="connsiteX8" fmla="*/ 58522 w 1181936"/>
                                        <a:gd name="connsiteY8" fmla="*/ 855879 h 855879"/>
                                        <a:gd name="connsiteX9" fmla="*/ 0 w 1181936"/>
                                        <a:gd name="connsiteY9" fmla="*/ 431598 h 855879"/>
                                        <a:gd name="connsiteX10" fmla="*/ 153620 w 1181936"/>
                                        <a:gd name="connsiteY10" fmla="*/ 241402 h 855879"/>
                                        <a:gd name="connsiteX0" fmla="*/ 153620 w 1181936"/>
                                        <a:gd name="connsiteY0" fmla="*/ 219456 h 833933"/>
                                        <a:gd name="connsiteX1" fmla="*/ 292608 w 1181936"/>
                                        <a:gd name="connsiteY1" fmla="*/ 0 h 833933"/>
                                        <a:gd name="connsiteX2" fmla="*/ 446228 w 1181936"/>
                                        <a:gd name="connsiteY2" fmla="*/ 117044 h 833933"/>
                                        <a:gd name="connsiteX3" fmla="*/ 919032 w 1181936"/>
                                        <a:gd name="connsiteY3" fmla="*/ 268131 h 833933"/>
                                        <a:gd name="connsiteX4" fmla="*/ 1181936 w 1181936"/>
                                        <a:gd name="connsiteY4" fmla="*/ 537058 h 833933"/>
                                        <a:gd name="connsiteX5" fmla="*/ 848564 w 1181936"/>
                                        <a:gd name="connsiteY5" fmla="*/ 680314 h 833933"/>
                                        <a:gd name="connsiteX6" fmla="*/ 548640 w 1181936"/>
                                        <a:gd name="connsiteY6" fmla="*/ 826618 h 833933"/>
                                        <a:gd name="connsiteX7" fmla="*/ 58522 w 1181936"/>
                                        <a:gd name="connsiteY7" fmla="*/ 833933 h 833933"/>
                                        <a:gd name="connsiteX8" fmla="*/ 0 w 1181936"/>
                                        <a:gd name="connsiteY8" fmla="*/ 409652 h 833933"/>
                                        <a:gd name="connsiteX9" fmla="*/ 153620 w 1181936"/>
                                        <a:gd name="connsiteY9" fmla="*/ 219456 h 83393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181936" h="833933">
                                          <a:moveTo>
                                            <a:pt x="153620" y="219456"/>
                                          </a:moveTo>
                                          <a:lnTo>
                                            <a:pt x="292608" y="0"/>
                                          </a:lnTo>
                                          <a:lnTo>
                                            <a:pt x="446228" y="117044"/>
                                          </a:lnTo>
                                          <a:lnTo>
                                            <a:pt x="919032" y="268131"/>
                                          </a:lnTo>
                                          <a:lnTo>
                                            <a:pt x="1181936" y="537058"/>
                                          </a:lnTo>
                                          <a:lnTo>
                                            <a:pt x="848564" y="680314"/>
                                          </a:lnTo>
                                          <a:lnTo>
                                            <a:pt x="548640" y="826618"/>
                                          </a:lnTo>
                                          <a:lnTo>
                                            <a:pt x="58522" y="833933"/>
                                          </a:lnTo>
                                          <a:lnTo>
                                            <a:pt x="0" y="409652"/>
                                          </a:lnTo>
                                          <a:lnTo>
                                            <a:pt x="153620" y="219456"/>
                                          </a:lnTo>
                                          <a:close/>
                                        </a:path>
                                      </a:pathLst>
                                    </a:custGeom>
                                    <a:noFill/>
                                    <a:ln w="19050">
                                      <a:solidFill>
                                        <a:schemeClr val="accent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E64AF75" w14:textId="77777777" w:rsidR="00D55F13" w:rsidRPr="00394D50" w:rsidRDefault="00D55F13" w:rsidP="00077E48">
                                        <w:pPr>
                                          <w:jc w:val="center"/>
                                          <w:rPr>
                                            <w:color w:val="0D0D0D" w:themeColor="text1" w:themeTint="F2"/>
                                            <w:sz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57" name="158 Forma libre"/>
                                  <wps:cNvSpPr/>
                                  <wps:spPr>
                                    <a:xfrm>
                                      <a:off x="349250" y="0"/>
                                      <a:ext cx="1021480" cy="964439"/>
                                    </a:xfrm>
                                    <a:custGeom>
                                      <a:avLst/>
                                      <a:gdLst>
                                        <a:gd name="connsiteX0" fmla="*/ 614477 w 2275027"/>
                                        <a:gd name="connsiteY0" fmla="*/ 0 h 1598371"/>
                                        <a:gd name="connsiteX1" fmla="*/ 903427 w 2275027"/>
                                        <a:gd name="connsiteY1" fmla="*/ 197510 h 1598371"/>
                                        <a:gd name="connsiteX2" fmla="*/ 1075334 w 2275027"/>
                                        <a:gd name="connsiteY2" fmla="*/ 25603 h 1598371"/>
                                        <a:gd name="connsiteX3" fmla="*/ 1433779 w 2275027"/>
                                        <a:gd name="connsiteY3" fmla="*/ 0 h 1598371"/>
                                        <a:gd name="connsiteX4" fmla="*/ 1455725 w 2275027"/>
                                        <a:gd name="connsiteY4" fmla="*/ 197510 h 1598371"/>
                                        <a:gd name="connsiteX5" fmla="*/ 1880006 w 2275027"/>
                                        <a:gd name="connsiteY5" fmla="*/ 128016 h 1598371"/>
                                        <a:gd name="connsiteX6" fmla="*/ 2157984 w 2275027"/>
                                        <a:gd name="connsiteY6" fmla="*/ 157277 h 1598371"/>
                                        <a:gd name="connsiteX7" fmla="*/ 2275027 w 2275027"/>
                                        <a:gd name="connsiteY7" fmla="*/ 376733 h 1598371"/>
                                        <a:gd name="connsiteX8" fmla="*/ 2095805 w 2275027"/>
                                        <a:gd name="connsiteY8" fmla="*/ 446227 h 1598371"/>
                                        <a:gd name="connsiteX9" fmla="*/ 2062886 w 2275027"/>
                                        <a:gd name="connsiteY9" fmla="*/ 643737 h 1598371"/>
                                        <a:gd name="connsiteX10" fmla="*/ 2157984 w 2275027"/>
                                        <a:gd name="connsiteY10" fmla="*/ 877824 h 1598371"/>
                                        <a:gd name="connsiteX11" fmla="*/ 1923897 w 2275027"/>
                                        <a:gd name="connsiteY11" fmla="*/ 1024128 h 1598371"/>
                                        <a:gd name="connsiteX12" fmla="*/ 1923897 w 2275027"/>
                                        <a:gd name="connsiteY12" fmla="*/ 1024128 h 1598371"/>
                                        <a:gd name="connsiteX13" fmla="*/ 1880006 w 2275027"/>
                                        <a:gd name="connsiteY13" fmla="*/ 1031443 h 1598371"/>
                                        <a:gd name="connsiteX14" fmla="*/ 2095805 w 2275027"/>
                                        <a:gd name="connsiteY14" fmla="*/ 1221638 h 1598371"/>
                                        <a:gd name="connsiteX15" fmla="*/ 1609344 w 2275027"/>
                                        <a:gd name="connsiteY15" fmla="*/ 1517904 h 1598371"/>
                                        <a:gd name="connsiteX16" fmla="*/ 1294790 w 2275027"/>
                                        <a:gd name="connsiteY16" fmla="*/ 1415491 h 1598371"/>
                                        <a:gd name="connsiteX17" fmla="*/ 965606 w 2275027"/>
                                        <a:gd name="connsiteY17" fmla="*/ 1536192 h 1598371"/>
                                        <a:gd name="connsiteX18" fmla="*/ 797357 w 2275027"/>
                                        <a:gd name="connsiteY18" fmla="*/ 1488643 h 1598371"/>
                                        <a:gd name="connsiteX19" fmla="*/ 757123 w 2275027"/>
                                        <a:gd name="connsiteY19" fmla="*/ 1598371 h 1598371"/>
                                        <a:gd name="connsiteX20" fmla="*/ 171907 w 2275027"/>
                                        <a:gd name="connsiteY20" fmla="*/ 1397203 h 1598371"/>
                                        <a:gd name="connsiteX21" fmla="*/ 0 w 2275027"/>
                                        <a:gd name="connsiteY21" fmla="*/ 870509 h 1598371"/>
                                        <a:gd name="connsiteX22" fmla="*/ 259689 w 2275027"/>
                                        <a:gd name="connsiteY22" fmla="*/ 245059 h 1598371"/>
                                        <a:gd name="connsiteX23" fmla="*/ 614477 w 2275027"/>
                                        <a:gd name="connsiteY23" fmla="*/ 0 h 1598371"/>
                                        <a:gd name="connsiteX0" fmla="*/ 614477 w 2275027"/>
                                        <a:gd name="connsiteY0" fmla="*/ 0 h 1598371"/>
                                        <a:gd name="connsiteX1" fmla="*/ 903427 w 2275027"/>
                                        <a:gd name="connsiteY1" fmla="*/ 197510 h 1598371"/>
                                        <a:gd name="connsiteX2" fmla="*/ 1075334 w 2275027"/>
                                        <a:gd name="connsiteY2" fmla="*/ 25603 h 1598371"/>
                                        <a:gd name="connsiteX3" fmla="*/ 1433779 w 2275027"/>
                                        <a:gd name="connsiteY3" fmla="*/ 0 h 1598371"/>
                                        <a:gd name="connsiteX4" fmla="*/ 1455725 w 2275027"/>
                                        <a:gd name="connsiteY4" fmla="*/ 197510 h 1598371"/>
                                        <a:gd name="connsiteX5" fmla="*/ 1874668 w 2275027"/>
                                        <a:gd name="connsiteY5" fmla="*/ 125965 h 1598371"/>
                                        <a:gd name="connsiteX6" fmla="*/ 2157984 w 2275027"/>
                                        <a:gd name="connsiteY6" fmla="*/ 157277 h 1598371"/>
                                        <a:gd name="connsiteX7" fmla="*/ 2275027 w 2275027"/>
                                        <a:gd name="connsiteY7" fmla="*/ 376733 h 1598371"/>
                                        <a:gd name="connsiteX8" fmla="*/ 2095805 w 2275027"/>
                                        <a:gd name="connsiteY8" fmla="*/ 446227 h 1598371"/>
                                        <a:gd name="connsiteX9" fmla="*/ 2062886 w 2275027"/>
                                        <a:gd name="connsiteY9" fmla="*/ 643737 h 1598371"/>
                                        <a:gd name="connsiteX10" fmla="*/ 2157984 w 2275027"/>
                                        <a:gd name="connsiteY10" fmla="*/ 877824 h 1598371"/>
                                        <a:gd name="connsiteX11" fmla="*/ 1923897 w 2275027"/>
                                        <a:gd name="connsiteY11" fmla="*/ 1024128 h 1598371"/>
                                        <a:gd name="connsiteX12" fmla="*/ 1923897 w 2275027"/>
                                        <a:gd name="connsiteY12" fmla="*/ 1024128 h 1598371"/>
                                        <a:gd name="connsiteX13" fmla="*/ 1880006 w 2275027"/>
                                        <a:gd name="connsiteY13" fmla="*/ 1031443 h 1598371"/>
                                        <a:gd name="connsiteX14" fmla="*/ 2095805 w 2275027"/>
                                        <a:gd name="connsiteY14" fmla="*/ 1221638 h 1598371"/>
                                        <a:gd name="connsiteX15" fmla="*/ 1609344 w 2275027"/>
                                        <a:gd name="connsiteY15" fmla="*/ 1517904 h 1598371"/>
                                        <a:gd name="connsiteX16" fmla="*/ 1294790 w 2275027"/>
                                        <a:gd name="connsiteY16" fmla="*/ 1415491 h 1598371"/>
                                        <a:gd name="connsiteX17" fmla="*/ 965606 w 2275027"/>
                                        <a:gd name="connsiteY17" fmla="*/ 1536192 h 1598371"/>
                                        <a:gd name="connsiteX18" fmla="*/ 797357 w 2275027"/>
                                        <a:gd name="connsiteY18" fmla="*/ 1488643 h 1598371"/>
                                        <a:gd name="connsiteX19" fmla="*/ 757123 w 2275027"/>
                                        <a:gd name="connsiteY19" fmla="*/ 1598371 h 1598371"/>
                                        <a:gd name="connsiteX20" fmla="*/ 171907 w 2275027"/>
                                        <a:gd name="connsiteY20" fmla="*/ 1397203 h 1598371"/>
                                        <a:gd name="connsiteX21" fmla="*/ 0 w 2275027"/>
                                        <a:gd name="connsiteY21" fmla="*/ 870509 h 1598371"/>
                                        <a:gd name="connsiteX22" fmla="*/ 259689 w 2275027"/>
                                        <a:gd name="connsiteY22" fmla="*/ 245059 h 1598371"/>
                                        <a:gd name="connsiteX23" fmla="*/ 614477 w 2275027"/>
                                        <a:gd name="connsiteY23" fmla="*/ 0 h 1598371"/>
                                        <a:gd name="connsiteX0" fmla="*/ 614477 w 2275027"/>
                                        <a:gd name="connsiteY0" fmla="*/ 0 h 1598371"/>
                                        <a:gd name="connsiteX1" fmla="*/ 903427 w 2275027"/>
                                        <a:gd name="connsiteY1" fmla="*/ 197510 h 1598371"/>
                                        <a:gd name="connsiteX2" fmla="*/ 1075334 w 2275027"/>
                                        <a:gd name="connsiteY2" fmla="*/ 25603 h 1598371"/>
                                        <a:gd name="connsiteX3" fmla="*/ 1433779 w 2275027"/>
                                        <a:gd name="connsiteY3" fmla="*/ 0 h 1598371"/>
                                        <a:gd name="connsiteX4" fmla="*/ 1455725 w 2275027"/>
                                        <a:gd name="connsiteY4" fmla="*/ 197510 h 1598371"/>
                                        <a:gd name="connsiteX5" fmla="*/ 1874668 w 2275027"/>
                                        <a:gd name="connsiteY5" fmla="*/ 125965 h 1598371"/>
                                        <a:gd name="connsiteX6" fmla="*/ 2157984 w 2275027"/>
                                        <a:gd name="connsiteY6" fmla="*/ 157277 h 1598371"/>
                                        <a:gd name="connsiteX7" fmla="*/ 2275027 w 2275027"/>
                                        <a:gd name="connsiteY7" fmla="*/ 376733 h 1598371"/>
                                        <a:gd name="connsiteX8" fmla="*/ 2093006 w 2275027"/>
                                        <a:gd name="connsiteY8" fmla="*/ 450058 h 1598371"/>
                                        <a:gd name="connsiteX9" fmla="*/ 2062886 w 2275027"/>
                                        <a:gd name="connsiteY9" fmla="*/ 643737 h 1598371"/>
                                        <a:gd name="connsiteX10" fmla="*/ 2157984 w 2275027"/>
                                        <a:gd name="connsiteY10" fmla="*/ 877824 h 1598371"/>
                                        <a:gd name="connsiteX11" fmla="*/ 1923897 w 2275027"/>
                                        <a:gd name="connsiteY11" fmla="*/ 1024128 h 1598371"/>
                                        <a:gd name="connsiteX12" fmla="*/ 1923897 w 2275027"/>
                                        <a:gd name="connsiteY12" fmla="*/ 1024128 h 1598371"/>
                                        <a:gd name="connsiteX13" fmla="*/ 1880006 w 2275027"/>
                                        <a:gd name="connsiteY13" fmla="*/ 1031443 h 1598371"/>
                                        <a:gd name="connsiteX14" fmla="*/ 2095805 w 2275027"/>
                                        <a:gd name="connsiteY14" fmla="*/ 1221638 h 1598371"/>
                                        <a:gd name="connsiteX15" fmla="*/ 1609344 w 2275027"/>
                                        <a:gd name="connsiteY15" fmla="*/ 1517904 h 1598371"/>
                                        <a:gd name="connsiteX16" fmla="*/ 1294790 w 2275027"/>
                                        <a:gd name="connsiteY16" fmla="*/ 1415491 h 1598371"/>
                                        <a:gd name="connsiteX17" fmla="*/ 965606 w 2275027"/>
                                        <a:gd name="connsiteY17" fmla="*/ 1536192 h 1598371"/>
                                        <a:gd name="connsiteX18" fmla="*/ 797357 w 2275027"/>
                                        <a:gd name="connsiteY18" fmla="*/ 1488643 h 1598371"/>
                                        <a:gd name="connsiteX19" fmla="*/ 757123 w 2275027"/>
                                        <a:gd name="connsiteY19" fmla="*/ 1598371 h 1598371"/>
                                        <a:gd name="connsiteX20" fmla="*/ 171907 w 2275027"/>
                                        <a:gd name="connsiteY20" fmla="*/ 1397203 h 1598371"/>
                                        <a:gd name="connsiteX21" fmla="*/ 0 w 2275027"/>
                                        <a:gd name="connsiteY21" fmla="*/ 870509 h 1598371"/>
                                        <a:gd name="connsiteX22" fmla="*/ 259689 w 2275027"/>
                                        <a:gd name="connsiteY22" fmla="*/ 245059 h 1598371"/>
                                        <a:gd name="connsiteX23" fmla="*/ 614477 w 2275027"/>
                                        <a:gd name="connsiteY23" fmla="*/ 0 h 1598371"/>
                                        <a:gd name="connsiteX0" fmla="*/ 614477 w 2275027"/>
                                        <a:gd name="connsiteY0" fmla="*/ 0 h 1598371"/>
                                        <a:gd name="connsiteX1" fmla="*/ 903427 w 2275027"/>
                                        <a:gd name="connsiteY1" fmla="*/ 197510 h 1598371"/>
                                        <a:gd name="connsiteX2" fmla="*/ 1075334 w 2275027"/>
                                        <a:gd name="connsiteY2" fmla="*/ 25603 h 1598371"/>
                                        <a:gd name="connsiteX3" fmla="*/ 1433779 w 2275027"/>
                                        <a:gd name="connsiteY3" fmla="*/ 0 h 1598371"/>
                                        <a:gd name="connsiteX4" fmla="*/ 1455725 w 2275027"/>
                                        <a:gd name="connsiteY4" fmla="*/ 197510 h 1598371"/>
                                        <a:gd name="connsiteX5" fmla="*/ 1874668 w 2275027"/>
                                        <a:gd name="connsiteY5" fmla="*/ 125965 h 1598371"/>
                                        <a:gd name="connsiteX6" fmla="*/ 2157984 w 2275027"/>
                                        <a:gd name="connsiteY6" fmla="*/ 157277 h 1598371"/>
                                        <a:gd name="connsiteX7" fmla="*/ 2275027 w 2275027"/>
                                        <a:gd name="connsiteY7" fmla="*/ 376733 h 1598371"/>
                                        <a:gd name="connsiteX8" fmla="*/ 2093006 w 2275027"/>
                                        <a:gd name="connsiteY8" fmla="*/ 450058 h 1598371"/>
                                        <a:gd name="connsiteX9" fmla="*/ 2057584 w 2275027"/>
                                        <a:gd name="connsiteY9" fmla="*/ 626622 h 1598371"/>
                                        <a:gd name="connsiteX10" fmla="*/ 2157984 w 2275027"/>
                                        <a:gd name="connsiteY10" fmla="*/ 877824 h 1598371"/>
                                        <a:gd name="connsiteX11" fmla="*/ 1923897 w 2275027"/>
                                        <a:gd name="connsiteY11" fmla="*/ 1024128 h 1598371"/>
                                        <a:gd name="connsiteX12" fmla="*/ 1923897 w 2275027"/>
                                        <a:gd name="connsiteY12" fmla="*/ 1024128 h 1598371"/>
                                        <a:gd name="connsiteX13" fmla="*/ 1880006 w 2275027"/>
                                        <a:gd name="connsiteY13" fmla="*/ 1031443 h 1598371"/>
                                        <a:gd name="connsiteX14" fmla="*/ 2095805 w 2275027"/>
                                        <a:gd name="connsiteY14" fmla="*/ 1221638 h 1598371"/>
                                        <a:gd name="connsiteX15" fmla="*/ 1609344 w 2275027"/>
                                        <a:gd name="connsiteY15" fmla="*/ 1517904 h 1598371"/>
                                        <a:gd name="connsiteX16" fmla="*/ 1294790 w 2275027"/>
                                        <a:gd name="connsiteY16" fmla="*/ 1415491 h 1598371"/>
                                        <a:gd name="connsiteX17" fmla="*/ 965606 w 2275027"/>
                                        <a:gd name="connsiteY17" fmla="*/ 1536192 h 1598371"/>
                                        <a:gd name="connsiteX18" fmla="*/ 797357 w 2275027"/>
                                        <a:gd name="connsiteY18" fmla="*/ 1488643 h 1598371"/>
                                        <a:gd name="connsiteX19" fmla="*/ 757123 w 2275027"/>
                                        <a:gd name="connsiteY19" fmla="*/ 1598371 h 1598371"/>
                                        <a:gd name="connsiteX20" fmla="*/ 171907 w 2275027"/>
                                        <a:gd name="connsiteY20" fmla="*/ 1397203 h 1598371"/>
                                        <a:gd name="connsiteX21" fmla="*/ 0 w 2275027"/>
                                        <a:gd name="connsiteY21" fmla="*/ 870509 h 1598371"/>
                                        <a:gd name="connsiteX22" fmla="*/ 259689 w 2275027"/>
                                        <a:gd name="connsiteY22" fmla="*/ 245059 h 1598371"/>
                                        <a:gd name="connsiteX23" fmla="*/ 614477 w 2275027"/>
                                        <a:gd name="connsiteY23" fmla="*/ 0 h 1598371"/>
                                        <a:gd name="connsiteX0" fmla="*/ 614477 w 2275027"/>
                                        <a:gd name="connsiteY0" fmla="*/ 0 h 1598371"/>
                                        <a:gd name="connsiteX1" fmla="*/ 903427 w 2275027"/>
                                        <a:gd name="connsiteY1" fmla="*/ 197510 h 1598371"/>
                                        <a:gd name="connsiteX2" fmla="*/ 1075334 w 2275027"/>
                                        <a:gd name="connsiteY2" fmla="*/ 25603 h 1598371"/>
                                        <a:gd name="connsiteX3" fmla="*/ 1433779 w 2275027"/>
                                        <a:gd name="connsiteY3" fmla="*/ 0 h 1598371"/>
                                        <a:gd name="connsiteX4" fmla="*/ 1455725 w 2275027"/>
                                        <a:gd name="connsiteY4" fmla="*/ 197510 h 1598371"/>
                                        <a:gd name="connsiteX5" fmla="*/ 1874668 w 2275027"/>
                                        <a:gd name="connsiteY5" fmla="*/ 125965 h 1598371"/>
                                        <a:gd name="connsiteX6" fmla="*/ 2157984 w 2275027"/>
                                        <a:gd name="connsiteY6" fmla="*/ 157277 h 1598371"/>
                                        <a:gd name="connsiteX7" fmla="*/ 2275027 w 2275027"/>
                                        <a:gd name="connsiteY7" fmla="*/ 376733 h 1598371"/>
                                        <a:gd name="connsiteX8" fmla="*/ 2093006 w 2275027"/>
                                        <a:gd name="connsiteY8" fmla="*/ 450058 h 1598371"/>
                                        <a:gd name="connsiteX9" fmla="*/ 2057584 w 2275027"/>
                                        <a:gd name="connsiteY9" fmla="*/ 626622 h 1598371"/>
                                        <a:gd name="connsiteX10" fmla="*/ 2154607 w 2275027"/>
                                        <a:gd name="connsiteY10" fmla="*/ 874056 h 1598371"/>
                                        <a:gd name="connsiteX11" fmla="*/ 1923897 w 2275027"/>
                                        <a:gd name="connsiteY11" fmla="*/ 1024128 h 1598371"/>
                                        <a:gd name="connsiteX12" fmla="*/ 1923897 w 2275027"/>
                                        <a:gd name="connsiteY12" fmla="*/ 1024128 h 1598371"/>
                                        <a:gd name="connsiteX13" fmla="*/ 1880006 w 2275027"/>
                                        <a:gd name="connsiteY13" fmla="*/ 1031443 h 1598371"/>
                                        <a:gd name="connsiteX14" fmla="*/ 2095805 w 2275027"/>
                                        <a:gd name="connsiteY14" fmla="*/ 1221638 h 1598371"/>
                                        <a:gd name="connsiteX15" fmla="*/ 1609344 w 2275027"/>
                                        <a:gd name="connsiteY15" fmla="*/ 1517904 h 1598371"/>
                                        <a:gd name="connsiteX16" fmla="*/ 1294790 w 2275027"/>
                                        <a:gd name="connsiteY16" fmla="*/ 1415491 h 1598371"/>
                                        <a:gd name="connsiteX17" fmla="*/ 965606 w 2275027"/>
                                        <a:gd name="connsiteY17" fmla="*/ 1536192 h 1598371"/>
                                        <a:gd name="connsiteX18" fmla="*/ 797357 w 2275027"/>
                                        <a:gd name="connsiteY18" fmla="*/ 1488643 h 1598371"/>
                                        <a:gd name="connsiteX19" fmla="*/ 757123 w 2275027"/>
                                        <a:gd name="connsiteY19" fmla="*/ 1598371 h 1598371"/>
                                        <a:gd name="connsiteX20" fmla="*/ 171907 w 2275027"/>
                                        <a:gd name="connsiteY20" fmla="*/ 1397203 h 1598371"/>
                                        <a:gd name="connsiteX21" fmla="*/ 0 w 2275027"/>
                                        <a:gd name="connsiteY21" fmla="*/ 870509 h 1598371"/>
                                        <a:gd name="connsiteX22" fmla="*/ 259689 w 2275027"/>
                                        <a:gd name="connsiteY22" fmla="*/ 245059 h 1598371"/>
                                        <a:gd name="connsiteX23" fmla="*/ 614477 w 2275027"/>
                                        <a:gd name="connsiteY23" fmla="*/ 0 h 1598371"/>
                                        <a:gd name="connsiteX0" fmla="*/ 614477 w 2275027"/>
                                        <a:gd name="connsiteY0" fmla="*/ 1905 h 1600276"/>
                                        <a:gd name="connsiteX1" fmla="*/ 903427 w 2275027"/>
                                        <a:gd name="connsiteY1" fmla="*/ 199415 h 1600276"/>
                                        <a:gd name="connsiteX2" fmla="*/ 1075334 w 2275027"/>
                                        <a:gd name="connsiteY2" fmla="*/ 27508 h 1600276"/>
                                        <a:gd name="connsiteX3" fmla="*/ 1430256 w 2275027"/>
                                        <a:gd name="connsiteY3" fmla="*/ 0 h 1600276"/>
                                        <a:gd name="connsiteX4" fmla="*/ 1455725 w 2275027"/>
                                        <a:gd name="connsiteY4" fmla="*/ 199415 h 1600276"/>
                                        <a:gd name="connsiteX5" fmla="*/ 1874668 w 2275027"/>
                                        <a:gd name="connsiteY5" fmla="*/ 127870 h 1600276"/>
                                        <a:gd name="connsiteX6" fmla="*/ 2157984 w 2275027"/>
                                        <a:gd name="connsiteY6" fmla="*/ 159182 h 1600276"/>
                                        <a:gd name="connsiteX7" fmla="*/ 2275027 w 2275027"/>
                                        <a:gd name="connsiteY7" fmla="*/ 378638 h 1600276"/>
                                        <a:gd name="connsiteX8" fmla="*/ 2093006 w 2275027"/>
                                        <a:gd name="connsiteY8" fmla="*/ 451963 h 1600276"/>
                                        <a:gd name="connsiteX9" fmla="*/ 2057584 w 2275027"/>
                                        <a:gd name="connsiteY9" fmla="*/ 628527 h 1600276"/>
                                        <a:gd name="connsiteX10" fmla="*/ 2154607 w 2275027"/>
                                        <a:gd name="connsiteY10" fmla="*/ 875961 h 1600276"/>
                                        <a:gd name="connsiteX11" fmla="*/ 1923897 w 2275027"/>
                                        <a:gd name="connsiteY11" fmla="*/ 1026033 h 1600276"/>
                                        <a:gd name="connsiteX12" fmla="*/ 1923897 w 2275027"/>
                                        <a:gd name="connsiteY12" fmla="*/ 1026033 h 1600276"/>
                                        <a:gd name="connsiteX13" fmla="*/ 1880006 w 2275027"/>
                                        <a:gd name="connsiteY13" fmla="*/ 1033348 h 1600276"/>
                                        <a:gd name="connsiteX14" fmla="*/ 2095805 w 2275027"/>
                                        <a:gd name="connsiteY14" fmla="*/ 1223543 h 1600276"/>
                                        <a:gd name="connsiteX15" fmla="*/ 1609344 w 2275027"/>
                                        <a:gd name="connsiteY15" fmla="*/ 1519809 h 1600276"/>
                                        <a:gd name="connsiteX16" fmla="*/ 1294790 w 2275027"/>
                                        <a:gd name="connsiteY16" fmla="*/ 1417396 h 1600276"/>
                                        <a:gd name="connsiteX17" fmla="*/ 965606 w 2275027"/>
                                        <a:gd name="connsiteY17" fmla="*/ 1538097 h 1600276"/>
                                        <a:gd name="connsiteX18" fmla="*/ 797357 w 2275027"/>
                                        <a:gd name="connsiteY18" fmla="*/ 1490548 h 1600276"/>
                                        <a:gd name="connsiteX19" fmla="*/ 757123 w 2275027"/>
                                        <a:gd name="connsiteY19" fmla="*/ 1600276 h 1600276"/>
                                        <a:gd name="connsiteX20" fmla="*/ 171907 w 2275027"/>
                                        <a:gd name="connsiteY20" fmla="*/ 1399108 h 1600276"/>
                                        <a:gd name="connsiteX21" fmla="*/ 0 w 2275027"/>
                                        <a:gd name="connsiteY21" fmla="*/ 872414 h 1600276"/>
                                        <a:gd name="connsiteX22" fmla="*/ 259689 w 2275027"/>
                                        <a:gd name="connsiteY22" fmla="*/ 246964 h 1600276"/>
                                        <a:gd name="connsiteX23" fmla="*/ 614477 w 2275027"/>
                                        <a:gd name="connsiteY23" fmla="*/ 1905 h 1600276"/>
                                        <a:gd name="connsiteX0" fmla="*/ 614477 w 2275027"/>
                                        <a:gd name="connsiteY0" fmla="*/ 1905 h 1600276"/>
                                        <a:gd name="connsiteX1" fmla="*/ 903427 w 2275027"/>
                                        <a:gd name="connsiteY1" fmla="*/ 199415 h 1600276"/>
                                        <a:gd name="connsiteX2" fmla="*/ 1075334 w 2275027"/>
                                        <a:gd name="connsiteY2" fmla="*/ 27508 h 1600276"/>
                                        <a:gd name="connsiteX3" fmla="*/ 1430256 w 2275027"/>
                                        <a:gd name="connsiteY3" fmla="*/ 0 h 1600276"/>
                                        <a:gd name="connsiteX4" fmla="*/ 1455725 w 2275027"/>
                                        <a:gd name="connsiteY4" fmla="*/ 199415 h 1600276"/>
                                        <a:gd name="connsiteX5" fmla="*/ 1874668 w 2275027"/>
                                        <a:gd name="connsiteY5" fmla="*/ 127870 h 1600276"/>
                                        <a:gd name="connsiteX6" fmla="*/ 2157984 w 2275027"/>
                                        <a:gd name="connsiteY6" fmla="*/ 159182 h 1600276"/>
                                        <a:gd name="connsiteX7" fmla="*/ 2275027 w 2275027"/>
                                        <a:gd name="connsiteY7" fmla="*/ 378638 h 1600276"/>
                                        <a:gd name="connsiteX8" fmla="*/ 2093006 w 2275027"/>
                                        <a:gd name="connsiteY8" fmla="*/ 451963 h 1600276"/>
                                        <a:gd name="connsiteX9" fmla="*/ 2057584 w 2275027"/>
                                        <a:gd name="connsiteY9" fmla="*/ 628527 h 1600276"/>
                                        <a:gd name="connsiteX10" fmla="*/ 2154607 w 2275027"/>
                                        <a:gd name="connsiteY10" fmla="*/ 875961 h 1600276"/>
                                        <a:gd name="connsiteX11" fmla="*/ 1923897 w 2275027"/>
                                        <a:gd name="connsiteY11" fmla="*/ 1026033 h 1600276"/>
                                        <a:gd name="connsiteX12" fmla="*/ 1931905 w 2275027"/>
                                        <a:gd name="connsiteY12" fmla="*/ 1022272 h 1600276"/>
                                        <a:gd name="connsiteX13" fmla="*/ 1880006 w 2275027"/>
                                        <a:gd name="connsiteY13" fmla="*/ 1033348 h 1600276"/>
                                        <a:gd name="connsiteX14" fmla="*/ 2095805 w 2275027"/>
                                        <a:gd name="connsiteY14" fmla="*/ 1223543 h 1600276"/>
                                        <a:gd name="connsiteX15" fmla="*/ 1609344 w 2275027"/>
                                        <a:gd name="connsiteY15" fmla="*/ 1519809 h 1600276"/>
                                        <a:gd name="connsiteX16" fmla="*/ 1294790 w 2275027"/>
                                        <a:gd name="connsiteY16" fmla="*/ 1417396 h 1600276"/>
                                        <a:gd name="connsiteX17" fmla="*/ 965606 w 2275027"/>
                                        <a:gd name="connsiteY17" fmla="*/ 1538097 h 1600276"/>
                                        <a:gd name="connsiteX18" fmla="*/ 797357 w 2275027"/>
                                        <a:gd name="connsiteY18" fmla="*/ 1490548 h 1600276"/>
                                        <a:gd name="connsiteX19" fmla="*/ 757123 w 2275027"/>
                                        <a:gd name="connsiteY19" fmla="*/ 1600276 h 1600276"/>
                                        <a:gd name="connsiteX20" fmla="*/ 171907 w 2275027"/>
                                        <a:gd name="connsiteY20" fmla="*/ 1399108 h 1600276"/>
                                        <a:gd name="connsiteX21" fmla="*/ 0 w 2275027"/>
                                        <a:gd name="connsiteY21" fmla="*/ 872414 h 1600276"/>
                                        <a:gd name="connsiteX22" fmla="*/ 259689 w 2275027"/>
                                        <a:gd name="connsiteY22" fmla="*/ 246964 h 1600276"/>
                                        <a:gd name="connsiteX23" fmla="*/ 614477 w 2275027"/>
                                        <a:gd name="connsiteY23" fmla="*/ 1905 h 1600276"/>
                                        <a:gd name="connsiteX0" fmla="*/ 614477 w 2275027"/>
                                        <a:gd name="connsiteY0" fmla="*/ 1905 h 1600276"/>
                                        <a:gd name="connsiteX1" fmla="*/ 903427 w 2275027"/>
                                        <a:gd name="connsiteY1" fmla="*/ 199415 h 1600276"/>
                                        <a:gd name="connsiteX2" fmla="*/ 1075334 w 2275027"/>
                                        <a:gd name="connsiteY2" fmla="*/ 27508 h 1600276"/>
                                        <a:gd name="connsiteX3" fmla="*/ 1430256 w 2275027"/>
                                        <a:gd name="connsiteY3" fmla="*/ 0 h 1600276"/>
                                        <a:gd name="connsiteX4" fmla="*/ 1455725 w 2275027"/>
                                        <a:gd name="connsiteY4" fmla="*/ 199415 h 1600276"/>
                                        <a:gd name="connsiteX5" fmla="*/ 1874668 w 2275027"/>
                                        <a:gd name="connsiteY5" fmla="*/ 127870 h 1600276"/>
                                        <a:gd name="connsiteX6" fmla="*/ 2157984 w 2275027"/>
                                        <a:gd name="connsiteY6" fmla="*/ 159182 h 1600276"/>
                                        <a:gd name="connsiteX7" fmla="*/ 2275027 w 2275027"/>
                                        <a:gd name="connsiteY7" fmla="*/ 378638 h 1600276"/>
                                        <a:gd name="connsiteX8" fmla="*/ 2093006 w 2275027"/>
                                        <a:gd name="connsiteY8" fmla="*/ 451963 h 1600276"/>
                                        <a:gd name="connsiteX9" fmla="*/ 2057584 w 2275027"/>
                                        <a:gd name="connsiteY9" fmla="*/ 628527 h 1600276"/>
                                        <a:gd name="connsiteX10" fmla="*/ 2154607 w 2275027"/>
                                        <a:gd name="connsiteY10" fmla="*/ 875961 h 1600276"/>
                                        <a:gd name="connsiteX11" fmla="*/ 1923897 w 2275027"/>
                                        <a:gd name="connsiteY11" fmla="*/ 1026033 h 1600276"/>
                                        <a:gd name="connsiteX12" fmla="*/ 1931905 w 2275027"/>
                                        <a:gd name="connsiteY12" fmla="*/ 1022272 h 1600276"/>
                                        <a:gd name="connsiteX13" fmla="*/ 1889911 w 2275027"/>
                                        <a:gd name="connsiteY13" fmla="*/ 1029587 h 1600276"/>
                                        <a:gd name="connsiteX14" fmla="*/ 2095805 w 2275027"/>
                                        <a:gd name="connsiteY14" fmla="*/ 1223543 h 1600276"/>
                                        <a:gd name="connsiteX15" fmla="*/ 1609344 w 2275027"/>
                                        <a:gd name="connsiteY15" fmla="*/ 1519809 h 1600276"/>
                                        <a:gd name="connsiteX16" fmla="*/ 1294790 w 2275027"/>
                                        <a:gd name="connsiteY16" fmla="*/ 1417396 h 1600276"/>
                                        <a:gd name="connsiteX17" fmla="*/ 965606 w 2275027"/>
                                        <a:gd name="connsiteY17" fmla="*/ 1538097 h 1600276"/>
                                        <a:gd name="connsiteX18" fmla="*/ 797357 w 2275027"/>
                                        <a:gd name="connsiteY18" fmla="*/ 1490548 h 1600276"/>
                                        <a:gd name="connsiteX19" fmla="*/ 757123 w 2275027"/>
                                        <a:gd name="connsiteY19" fmla="*/ 1600276 h 1600276"/>
                                        <a:gd name="connsiteX20" fmla="*/ 171907 w 2275027"/>
                                        <a:gd name="connsiteY20" fmla="*/ 1399108 h 1600276"/>
                                        <a:gd name="connsiteX21" fmla="*/ 0 w 2275027"/>
                                        <a:gd name="connsiteY21" fmla="*/ 872414 h 1600276"/>
                                        <a:gd name="connsiteX22" fmla="*/ 259689 w 2275027"/>
                                        <a:gd name="connsiteY22" fmla="*/ 246964 h 1600276"/>
                                        <a:gd name="connsiteX23" fmla="*/ 614477 w 2275027"/>
                                        <a:gd name="connsiteY23" fmla="*/ 1905 h 1600276"/>
                                        <a:gd name="connsiteX0" fmla="*/ 614477 w 2275027"/>
                                        <a:gd name="connsiteY0" fmla="*/ 1905 h 1600276"/>
                                        <a:gd name="connsiteX1" fmla="*/ 903427 w 2275027"/>
                                        <a:gd name="connsiteY1" fmla="*/ 199415 h 1600276"/>
                                        <a:gd name="connsiteX2" fmla="*/ 1075334 w 2275027"/>
                                        <a:gd name="connsiteY2" fmla="*/ 27508 h 1600276"/>
                                        <a:gd name="connsiteX3" fmla="*/ 1430256 w 2275027"/>
                                        <a:gd name="connsiteY3" fmla="*/ 0 h 1600276"/>
                                        <a:gd name="connsiteX4" fmla="*/ 1455725 w 2275027"/>
                                        <a:gd name="connsiteY4" fmla="*/ 199415 h 1600276"/>
                                        <a:gd name="connsiteX5" fmla="*/ 1874668 w 2275027"/>
                                        <a:gd name="connsiteY5" fmla="*/ 127870 h 1600276"/>
                                        <a:gd name="connsiteX6" fmla="*/ 2157984 w 2275027"/>
                                        <a:gd name="connsiteY6" fmla="*/ 159182 h 1600276"/>
                                        <a:gd name="connsiteX7" fmla="*/ 2275027 w 2275027"/>
                                        <a:gd name="connsiteY7" fmla="*/ 378638 h 1600276"/>
                                        <a:gd name="connsiteX8" fmla="*/ 2093006 w 2275027"/>
                                        <a:gd name="connsiteY8" fmla="*/ 451963 h 1600276"/>
                                        <a:gd name="connsiteX9" fmla="*/ 2057584 w 2275027"/>
                                        <a:gd name="connsiteY9" fmla="*/ 628527 h 1600276"/>
                                        <a:gd name="connsiteX10" fmla="*/ 2154607 w 2275027"/>
                                        <a:gd name="connsiteY10" fmla="*/ 875961 h 1600276"/>
                                        <a:gd name="connsiteX11" fmla="*/ 1923897 w 2275027"/>
                                        <a:gd name="connsiteY11" fmla="*/ 1026033 h 1600276"/>
                                        <a:gd name="connsiteX12" fmla="*/ 1931905 w 2275027"/>
                                        <a:gd name="connsiteY12" fmla="*/ 1022272 h 1600276"/>
                                        <a:gd name="connsiteX13" fmla="*/ 1894101 w 2275027"/>
                                        <a:gd name="connsiteY13" fmla="*/ 1025826 h 1600276"/>
                                        <a:gd name="connsiteX14" fmla="*/ 2095805 w 2275027"/>
                                        <a:gd name="connsiteY14" fmla="*/ 1223543 h 1600276"/>
                                        <a:gd name="connsiteX15" fmla="*/ 1609344 w 2275027"/>
                                        <a:gd name="connsiteY15" fmla="*/ 1519809 h 1600276"/>
                                        <a:gd name="connsiteX16" fmla="*/ 1294790 w 2275027"/>
                                        <a:gd name="connsiteY16" fmla="*/ 1417396 h 1600276"/>
                                        <a:gd name="connsiteX17" fmla="*/ 965606 w 2275027"/>
                                        <a:gd name="connsiteY17" fmla="*/ 1538097 h 1600276"/>
                                        <a:gd name="connsiteX18" fmla="*/ 797357 w 2275027"/>
                                        <a:gd name="connsiteY18" fmla="*/ 1490548 h 1600276"/>
                                        <a:gd name="connsiteX19" fmla="*/ 757123 w 2275027"/>
                                        <a:gd name="connsiteY19" fmla="*/ 1600276 h 1600276"/>
                                        <a:gd name="connsiteX20" fmla="*/ 171907 w 2275027"/>
                                        <a:gd name="connsiteY20" fmla="*/ 1399108 h 1600276"/>
                                        <a:gd name="connsiteX21" fmla="*/ 0 w 2275027"/>
                                        <a:gd name="connsiteY21" fmla="*/ 872414 h 1600276"/>
                                        <a:gd name="connsiteX22" fmla="*/ 259689 w 2275027"/>
                                        <a:gd name="connsiteY22" fmla="*/ 246964 h 1600276"/>
                                        <a:gd name="connsiteX23" fmla="*/ 614477 w 2275027"/>
                                        <a:gd name="connsiteY23" fmla="*/ 1905 h 1600276"/>
                                        <a:gd name="connsiteX0" fmla="*/ 614477 w 2275027"/>
                                        <a:gd name="connsiteY0" fmla="*/ 1905 h 1600276"/>
                                        <a:gd name="connsiteX1" fmla="*/ 903427 w 2275027"/>
                                        <a:gd name="connsiteY1" fmla="*/ 199415 h 1600276"/>
                                        <a:gd name="connsiteX2" fmla="*/ 1075334 w 2275027"/>
                                        <a:gd name="connsiteY2" fmla="*/ 27508 h 1600276"/>
                                        <a:gd name="connsiteX3" fmla="*/ 1430256 w 2275027"/>
                                        <a:gd name="connsiteY3" fmla="*/ 0 h 1600276"/>
                                        <a:gd name="connsiteX4" fmla="*/ 1455725 w 2275027"/>
                                        <a:gd name="connsiteY4" fmla="*/ 199415 h 1600276"/>
                                        <a:gd name="connsiteX5" fmla="*/ 1874668 w 2275027"/>
                                        <a:gd name="connsiteY5" fmla="*/ 127870 h 1600276"/>
                                        <a:gd name="connsiteX6" fmla="*/ 2157984 w 2275027"/>
                                        <a:gd name="connsiteY6" fmla="*/ 159182 h 1600276"/>
                                        <a:gd name="connsiteX7" fmla="*/ 2275027 w 2275027"/>
                                        <a:gd name="connsiteY7" fmla="*/ 378638 h 1600276"/>
                                        <a:gd name="connsiteX8" fmla="*/ 2093006 w 2275027"/>
                                        <a:gd name="connsiteY8" fmla="*/ 451963 h 1600276"/>
                                        <a:gd name="connsiteX9" fmla="*/ 2057584 w 2275027"/>
                                        <a:gd name="connsiteY9" fmla="*/ 628527 h 1600276"/>
                                        <a:gd name="connsiteX10" fmla="*/ 2154607 w 2275027"/>
                                        <a:gd name="connsiteY10" fmla="*/ 875961 h 1600276"/>
                                        <a:gd name="connsiteX11" fmla="*/ 1923897 w 2275027"/>
                                        <a:gd name="connsiteY11" fmla="*/ 1026033 h 1600276"/>
                                        <a:gd name="connsiteX12" fmla="*/ 1931905 w 2275027"/>
                                        <a:gd name="connsiteY12" fmla="*/ 1022272 h 1600276"/>
                                        <a:gd name="connsiteX13" fmla="*/ 1894101 w 2275027"/>
                                        <a:gd name="connsiteY13" fmla="*/ 1025826 h 1600276"/>
                                        <a:gd name="connsiteX14" fmla="*/ 2093006 w 2275027"/>
                                        <a:gd name="connsiteY14" fmla="*/ 1215981 h 1600276"/>
                                        <a:gd name="connsiteX15" fmla="*/ 1609344 w 2275027"/>
                                        <a:gd name="connsiteY15" fmla="*/ 1519809 h 1600276"/>
                                        <a:gd name="connsiteX16" fmla="*/ 1294790 w 2275027"/>
                                        <a:gd name="connsiteY16" fmla="*/ 1417396 h 1600276"/>
                                        <a:gd name="connsiteX17" fmla="*/ 965606 w 2275027"/>
                                        <a:gd name="connsiteY17" fmla="*/ 1538097 h 1600276"/>
                                        <a:gd name="connsiteX18" fmla="*/ 797357 w 2275027"/>
                                        <a:gd name="connsiteY18" fmla="*/ 1490548 h 1600276"/>
                                        <a:gd name="connsiteX19" fmla="*/ 757123 w 2275027"/>
                                        <a:gd name="connsiteY19" fmla="*/ 1600276 h 1600276"/>
                                        <a:gd name="connsiteX20" fmla="*/ 171907 w 2275027"/>
                                        <a:gd name="connsiteY20" fmla="*/ 1399108 h 1600276"/>
                                        <a:gd name="connsiteX21" fmla="*/ 0 w 2275027"/>
                                        <a:gd name="connsiteY21" fmla="*/ 872414 h 1600276"/>
                                        <a:gd name="connsiteX22" fmla="*/ 259689 w 2275027"/>
                                        <a:gd name="connsiteY22" fmla="*/ 246964 h 1600276"/>
                                        <a:gd name="connsiteX23" fmla="*/ 614477 w 2275027"/>
                                        <a:gd name="connsiteY23" fmla="*/ 1905 h 1600276"/>
                                        <a:gd name="connsiteX0" fmla="*/ 614477 w 2275027"/>
                                        <a:gd name="connsiteY0" fmla="*/ 1905 h 1600276"/>
                                        <a:gd name="connsiteX1" fmla="*/ 903427 w 2275027"/>
                                        <a:gd name="connsiteY1" fmla="*/ 199415 h 1600276"/>
                                        <a:gd name="connsiteX2" fmla="*/ 1075334 w 2275027"/>
                                        <a:gd name="connsiteY2" fmla="*/ 27508 h 1600276"/>
                                        <a:gd name="connsiteX3" fmla="*/ 1430256 w 2275027"/>
                                        <a:gd name="connsiteY3" fmla="*/ 0 h 1600276"/>
                                        <a:gd name="connsiteX4" fmla="*/ 1455725 w 2275027"/>
                                        <a:gd name="connsiteY4" fmla="*/ 199415 h 1600276"/>
                                        <a:gd name="connsiteX5" fmla="*/ 1874668 w 2275027"/>
                                        <a:gd name="connsiteY5" fmla="*/ 127870 h 1600276"/>
                                        <a:gd name="connsiteX6" fmla="*/ 2157984 w 2275027"/>
                                        <a:gd name="connsiteY6" fmla="*/ 159182 h 1600276"/>
                                        <a:gd name="connsiteX7" fmla="*/ 2275027 w 2275027"/>
                                        <a:gd name="connsiteY7" fmla="*/ 378638 h 1600276"/>
                                        <a:gd name="connsiteX8" fmla="*/ 2093006 w 2275027"/>
                                        <a:gd name="connsiteY8" fmla="*/ 451963 h 1600276"/>
                                        <a:gd name="connsiteX9" fmla="*/ 2057584 w 2275027"/>
                                        <a:gd name="connsiteY9" fmla="*/ 628527 h 1600276"/>
                                        <a:gd name="connsiteX10" fmla="*/ 2154607 w 2275027"/>
                                        <a:gd name="connsiteY10" fmla="*/ 875961 h 1600276"/>
                                        <a:gd name="connsiteX11" fmla="*/ 1923897 w 2275027"/>
                                        <a:gd name="connsiteY11" fmla="*/ 1026033 h 1600276"/>
                                        <a:gd name="connsiteX12" fmla="*/ 1931905 w 2275027"/>
                                        <a:gd name="connsiteY12" fmla="*/ 1022272 h 1600276"/>
                                        <a:gd name="connsiteX13" fmla="*/ 1894101 w 2275027"/>
                                        <a:gd name="connsiteY13" fmla="*/ 1025826 h 1600276"/>
                                        <a:gd name="connsiteX14" fmla="*/ 2093006 w 2275027"/>
                                        <a:gd name="connsiteY14" fmla="*/ 1215981 h 1600276"/>
                                        <a:gd name="connsiteX15" fmla="*/ 1609344 w 2275027"/>
                                        <a:gd name="connsiteY15" fmla="*/ 1519809 h 1600276"/>
                                        <a:gd name="connsiteX16" fmla="*/ 1294790 w 2275027"/>
                                        <a:gd name="connsiteY16" fmla="*/ 1417396 h 1600276"/>
                                        <a:gd name="connsiteX17" fmla="*/ 965800 w 2275027"/>
                                        <a:gd name="connsiteY17" fmla="*/ 1534233 h 1600276"/>
                                        <a:gd name="connsiteX18" fmla="*/ 797357 w 2275027"/>
                                        <a:gd name="connsiteY18" fmla="*/ 1490548 h 1600276"/>
                                        <a:gd name="connsiteX19" fmla="*/ 757123 w 2275027"/>
                                        <a:gd name="connsiteY19" fmla="*/ 1600276 h 1600276"/>
                                        <a:gd name="connsiteX20" fmla="*/ 171907 w 2275027"/>
                                        <a:gd name="connsiteY20" fmla="*/ 1399108 h 1600276"/>
                                        <a:gd name="connsiteX21" fmla="*/ 0 w 2275027"/>
                                        <a:gd name="connsiteY21" fmla="*/ 872414 h 1600276"/>
                                        <a:gd name="connsiteX22" fmla="*/ 259689 w 2275027"/>
                                        <a:gd name="connsiteY22" fmla="*/ 246964 h 1600276"/>
                                        <a:gd name="connsiteX23" fmla="*/ 614477 w 2275027"/>
                                        <a:gd name="connsiteY23" fmla="*/ 1905 h 1600276"/>
                                        <a:gd name="connsiteX0" fmla="*/ 616382 w 2276932"/>
                                        <a:gd name="connsiteY0" fmla="*/ 1905 h 1600276"/>
                                        <a:gd name="connsiteX1" fmla="*/ 905332 w 2276932"/>
                                        <a:gd name="connsiteY1" fmla="*/ 199415 h 1600276"/>
                                        <a:gd name="connsiteX2" fmla="*/ 1077239 w 2276932"/>
                                        <a:gd name="connsiteY2" fmla="*/ 27508 h 1600276"/>
                                        <a:gd name="connsiteX3" fmla="*/ 1432161 w 2276932"/>
                                        <a:gd name="connsiteY3" fmla="*/ 0 h 1600276"/>
                                        <a:gd name="connsiteX4" fmla="*/ 1457630 w 2276932"/>
                                        <a:gd name="connsiteY4" fmla="*/ 199415 h 1600276"/>
                                        <a:gd name="connsiteX5" fmla="*/ 1876573 w 2276932"/>
                                        <a:gd name="connsiteY5" fmla="*/ 127870 h 1600276"/>
                                        <a:gd name="connsiteX6" fmla="*/ 2159889 w 2276932"/>
                                        <a:gd name="connsiteY6" fmla="*/ 159182 h 1600276"/>
                                        <a:gd name="connsiteX7" fmla="*/ 2276932 w 2276932"/>
                                        <a:gd name="connsiteY7" fmla="*/ 378638 h 1600276"/>
                                        <a:gd name="connsiteX8" fmla="*/ 2094911 w 2276932"/>
                                        <a:gd name="connsiteY8" fmla="*/ 451963 h 1600276"/>
                                        <a:gd name="connsiteX9" fmla="*/ 2059489 w 2276932"/>
                                        <a:gd name="connsiteY9" fmla="*/ 628527 h 1600276"/>
                                        <a:gd name="connsiteX10" fmla="*/ 2156512 w 2276932"/>
                                        <a:gd name="connsiteY10" fmla="*/ 875961 h 1600276"/>
                                        <a:gd name="connsiteX11" fmla="*/ 1925802 w 2276932"/>
                                        <a:gd name="connsiteY11" fmla="*/ 1026033 h 1600276"/>
                                        <a:gd name="connsiteX12" fmla="*/ 1933810 w 2276932"/>
                                        <a:gd name="connsiteY12" fmla="*/ 1022272 h 1600276"/>
                                        <a:gd name="connsiteX13" fmla="*/ 1896006 w 2276932"/>
                                        <a:gd name="connsiteY13" fmla="*/ 1025826 h 1600276"/>
                                        <a:gd name="connsiteX14" fmla="*/ 2094911 w 2276932"/>
                                        <a:gd name="connsiteY14" fmla="*/ 1215981 h 1600276"/>
                                        <a:gd name="connsiteX15" fmla="*/ 1611249 w 2276932"/>
                                        <a:gd name="connsiteY15" fmla="*/ 1519809 h 1600276"/>
                                        <a:gd name="connsiteX16" fmla="*/ 1296695 w 2276932"/>
                                        <a:gd name="connsiteY16" fmla="*/ 1417396 h 1600276"/>
                                        <a:gd name="connsiteX17" fmla="*/ 967705 w 2276932"/>
                                        <a:gd name="connsiteY17" fmla="*/ 1534233 h 1600276"/>
                                        <a:gd name="connsiteX18" fmla="*/ 799262 w 2276932"/>
                                        <a:gd name="connsiteY18" fmla="*/ 1490548 h 1600276"/>
                                        <a:gd name="connsiteX19" fmla="*/ 759028 w 2276932"/>
                                        <a:gd name="connsiteY19" fmla="*/ 1600276 h 1600276"/>
                                        <a:gd name="connsiteX20" fmla="*/ 173812 w 2276932"/>
                                        <a:gd name="connsiteY20" fmla="*/ 1399108 h 1600276"/>
                                        <a:gd name="connsiteX21" fmla="*/ 0 w 2276932"/>
                                        <a:gd name="connsiteY21" fmla="*/ 870550 h 1600276"/>
                                        <a:gd name="connsiteX22" fmla="*/ 261594 w 2276932"/>
                                        <a:gd name="connsiteY22" fmla="*/ 246964 h 1600276"/>
                                        <a:gd name="connsiteX23" fmla="*/ 616382 w 2276932"/>
                                        <a:gd name="connsiteY23" fmla="*/ 1905 h 1600276"/>
                                        <a:gd name="connsiteX0" fmla="*/ 616382 w 2276932"/>
                                        <a:gd name="connsiteY0" fmla="*/ 1905 h 1600276"/>
                                        <a:gd name="connsiteX1" fmla="*/ 766329 w 2276932"/>
                                        <a:gd name="connsiteY1" fmla="*/ 104129 h 1600276"/>
                                        <a:gd name="connsiteX2" fmla="*/ 1077239 w 2276932"/>
                                        <a:gd name="connsiteY2" fmla="*/ 27508 h 1600276"/>
                                        <a:gd name="connsiteX3" fmla="*/ 1432161 w 2276932"/>
                                        <a:gd name="connsiteY3" fmla="*/ 0 h 1600276"/>
                                        <a:gd name="connsiteX4" fmla="*/ 1457630 w 2276932"/>
                                        <a:gd name="connsiteY4" fmla="*/ 199415 h 1600276"/>
                                        <a:gd name="connsiteX5" fmla="*/ 1876573 w 2276932"/>
                                        <a:gd name="connsiteY5" fmla="*/ 127870 h 1600276"/>
                                        <a:gd name="connsiteX6" fmla="*/ 2159889 w 2276932"/>
                                        <a:gd name="connsiteY6" fmla="*/ 159182 h 1600276"/>
                                        <a:gd name="connsiteX7" fmla="*/ 2276932 w 2276932"/>
                                        <a:gd name="connsiteY7" fmla="*/ 378638 h 1600276"/>
                                        <a:gd name="connsiteX8" fmla="*/ 2094911 w 2276932"/>
                                        <a:gd name="connsiteY8" fmla="*/ 451963 h 1600276"/>
                                        <a:gd name="connsiteX9" fmla="*/ 2059489 w 2276932"/>
                                        <a:gd name="connsiteY9" fmla="*/ 628527 h 1600276"/>
                                        <a:gd name="connsiteX10" fmla="*/ 2156512 w 2276932"/>
                                        <a:gd name="connsiteY10" fmla="*/ 875961 h 1600276"/>
                                        <a:gd name="connsiteX11" fmla="*/ 1925802 w 2276932"/>
                                        <a:gd name="connsiteY11" fmla="*/ 1026033 h 1600276"/>
                                        <a:gd name="connsiteX12" fmla="*/ 1933810 w 2276932"/>
                                        <a:gd name="connsiteY12" fmla="*/ 1022272 h 1600276"/>
                                        <a:gd name="connsiteX13" fmla="*/ 1896006 w 2276932"/>
                                        <a:gd name="connsiteY13" fmla="*/ 1025826 h 1600276"/>
                                        <a:gd name="connsiteX14" fmla="*/ 2094911 w 2276932"/>
                                        <a:gd name="connsiteY14" fmla="*/ 1215981 h 1600276"/>
                                        <a:gd name="connsiteX15" fmla="*/ 1611249 w 2276932"/>
                                        <a:gd name="connsiteY15" fmla="*/ 1519809 h 1600276"/>
                                        <a:gd name="connsiteX16" fmla="*/ 1296695 w 2276932"/>
                                        <a:gd name="connsiteY16" fmla="*/ 1417396 h 1600276"/>
                                        <a:gd name="connsiteX17" fmla="*/ 967705 w 2276932"/>
                                        <a:gd name="connsiteY17" fmla="*/ 1534233 h 1600276"/>
                                        <a:gd name="connsiteX18" fmla="*/ 799262 w 2276932"/>
                                        <a:gd name="connsiteY18" fmla="*/ 1490548 h 1600276"/>
                                        <a:gd name="connsiteX19" fmla="*/ 759028 w 2276932"/>
                                        <a:gd name="connsiteY19" fmla="*/ 1600276 h 1600276"/>
                                        <a:gd name="connsiteX20" fmla="*/ 173812 w 2276932"/>
                                        <a:gd name="connsiteY20" fmla="*/ 1399108 h 1600276"/>
                                        <a:gd name="connsiteX21" fmla="*/ 0 w 2276932"/>
                                        <a:gd name="connsiteY21" fmla="*/ 870550 h 1600276"/>
                                        <a:gd name="connsiteX22" fmla="*/ 261594 w 2276932"/>
                                        <a:gd name="connsiteY22" fmla="*/ 246964 h 1600276"/>
                                        <a:gd name="connsiteX23" fmla="*/ 616382 w 2276932"/>
                                        <a:gd name="connsiteY23" fmla="*/ 1905 h 1600276"/>
                                        <a:gd name="connsiteX0" fmla="*/ 616382 w 2276932"/>
                                        <a:gd name="connsiteY0" fmla="*/ 1905 h 1600276"/>
                                        <a:gd name="connsiteX1" fmla="*/ 766329 w 2276932"/>
                                        <a:gd name="connsiteY1" fmla="*/ 104129 h 1600276"/>
                                        <a:gd name="connsiteX2" fmla="*/ 872873 w 2276932"/>
                                        <a:gd name="connsiteY2" fmla="*/ 0 h 1600276"/>
                                        <a:gd name="connsiteX3" fmla="*/ 1432161 w 2276932"/>
                                        <a:gd name="connsiteY3" fmla="*/ 0 h 1600276"/>
                                        <a:gd name="connsiteX4" fmla="*/ 1457630 w 2276932"/>
                                        <a:gd name="connsiteY4" fmla="*/ 199415 h 1600276"/>
                                        <a:gd name="connsiteX5" fmla="*/ 1876573 w 2276932"/>
                                        <a:gd name="connsiteY5" fmla="*/ 127870 h 1600276"/>
                                        <a:gd name="connsiteX6" fmla="*/ 2159889 w 2276932"/>
                                        <a:gd name="connsiteY6" fmla="*/ 159182 h 1600276"/>
                                        <a:gd name="connsiteX7" fmla="*/ 2276932 w 2276932"/>
                                        <a:gd name="connsiteY7" fmla="*/ 378638 h 1600276"/>
                                        <a:gd name="connsiteX8" fmla="*/ 2094911 w 2276932"/>
                                        <a:gd name="connsiteY8" fmla="*/ 451963 h 1600276"/>
                                        <a:gd name="connsiteX9" fmla="*/ 2059489 w 2276932"/>
                                        <a:gd name="connsiteY9" fmla="*/ 628527 h 1600276"/>
                                        <a:gd name="connsiteX10" fmla="*/ 2156512 w 2276932"/>
                                        <a:gd name="connsiteY10" fmla="*/ 875961 h 1600276"/>
                                        <a:gd name="connsiteX11" fmla="*/ 1925802 w 2276932"/>
                                        <a:gd name="connsiteY11" fmla="*/ 1026033 h 1600276"/>
                                        <a:gd name="connsiteX12" fmla="*/ 1933810 w 2276932"/>
                                        <a:gd name="connsiteY12" fmla="*/ 1022272 h 1600276"/>
                                        <a:gd name="connsiteX13" fmla="*/ 1896006 w 2276932"/>
                                        <a:gd name="connsiteY13" fmla="*/ 1025826 h 1600276"/>
                                        <a:gd name="connsiteX14" fmla="*/ 2094911 w 2276932"/>
                                        <a:gd name="connsiteY14" fmla="*/ 1215981 h 1600276"/>
                                        <a:gd name="connsiteX15" fmla="*/ 1611249 w 2276932"/>
                                        <a:gd name="connsiteY15" fmla="*/ 1519809 h 1600276"/>
                                        <a:gd name="connsiteX16" fmla="*/ 1296695 w 2276932"/>
                                        <a:gd name="connsiteY16" fmla="*/ 1417396 h 1600276"/>
                                        <a:gd name="connsiteX17" fmla="*/ 967705 w 2276932"/>
                                        <a:gd name="connsiteY17" fmla="*/ 1534233 h 1600276"/>
                                        <a:gd name="connsiteX18" fmla="*/ 799262 w 2276932"/>
                                        <a:gd name="connsiteY18" fmla="*/ 1490548 h 1600276"/>
                                        <a:gd name="connsiteX19" fmla="*/ 759028 w 2276932"/>
                                        <a:gd name="connsiteY19" fmla="*/ 1600276 h 1600276"/>
                                        <a:gd name="connsiteX20" fmla="*/ 173812 w 2276932"/>
                                        <a:gd name="connsiteY20" fmla="*/ 1399108 h 1600276"/>
                                        <a:gd name="connsiteX21" fmla="*/ 0 w 2276932"/>
                                        <a:gd name="connsiteY21" fmla="*/ 870550 h 1600276"/>
                                        <a:gd name="connsiteX22" fmla="*/ 261594 w 2276932"/>
                                        <a:gd name="connsiteY22" fmla="*/ 246964 h 1600276"/>
                                        <a:gd name="connsiteX23" fmla="*/ 616382 w 2276932"/>
                                        <a:gd name="connsiteY23" fmla="*/ 1905 h 1600276"/>
                                        <a:gd name="connsiteX0" fmla="*/ 616382 w 2276932"/>
                                        <a:gd name="connsiteY0" fmla="*/ 18135 h 1616506"/>
                                        <a:gd name="connsiteX1" fmla="*/ 766329 w 2276932"/>
                                        <a:gd name="connsiteY1" fmla="*/ 120359 h 1616506"/>
                                        <a:gd name="connsiteX2" fmla="*/ 872873 w 2276932"/>
                                        <a:gd name="connsiteY2" fmla="*/ 16230 h 1616506"/>
                                        <a:gd name="connsiteX3" fmla="*/ 1224658 w 2276932"/>
                                        <a:gd name="connsiteY3" fmla="*/ 0 h 1616506"/>
                                        <a:gd name="connsiteX4" fmla="*/ 1457630 w 2276932"/>
                                        <a:gd name="connsiteY4" fmla="*/ 215645 h 1616506"/>
                                        <a:gd name="connsiteX5" fmla="*/ 1876573 w 2276932"/>
                                        <a:gd name="connsiteY5" fmla="*/ 144100 h 1616506"/>
                                        <a:gd name="connsiteX6" fmla="*/ 2159889 w 2276932"/>
                                        <a:gd name="connsiteY6" fmla="*/ 175412 h 1616506"/>
                                        <a:gd name="connsiteX7" fmla="*/ 2276932 w 2276932"/>
                                        <a:gd name="connsiteY7" fmla="*/ 394868 h 1616506"/>
                                        <a:gd name="connsiteX8" fmla="*/ 2094911 w 2276932"/>
                                        <a:gd name="connsiteY8" fmla="*/ 468193 h 1616506"/>
                                        <a:gd name="connsiteX9" fmla="*/ 2059489 w 2276932"/>
                                        <a:gd name="connsiteY9" fmla="*/ 644757 h 1616506"/>
                                        <a:gd name="connsiteX10" fmla="*/ 2156512 w 2276932"/>
                                        <a:gd name="connsiteY10" fmla="*/ 892191 h 1616506"/>
                                        <a:gd name="connsiteX11" fmla="*/ 1925802 w 2276932"/>
                                        <a:gd name="connsiteY11" fmla="*/ 1042263 h 1616506"/>
                                        <a:gd name="connsiteX12" fmla="*/ 1933810 w 2276932"/>
                                        <a:gd name="connsiteY12" fmla="*/ 1038502 h 1616506"/>
                                        <a:gd name="connsiteX13" fmla="*/ 1896006 w 2276932"/>
                                        <a:gd name="connsiteY13" fmla="*/ 1042056 h 1616506"/>
                                        <a:gd name="connsiteX14" fmla="*/ 2094911 w 2276932"/>
                                        <a:gd name="connsiteY14" fmla="*/ 1232211 h 1616506"/>
                                        <a:gd name="connsiteX15" fmla="*/ 1611249 w 2276932"/>
                                        <a:gd name="connsiteY15" fmla="*/ 1536039 h 1616506"/>
                                        <a:gd name="connsiteX16" fmla="*/ 1296695 w 2276932"/>
                                        <a:gd name="connsiteY16" fmla="*/ 1433626 h 1616506"/>
                                        <a:gd name="connsiteX17" fmla="*/ 967705 w 2276932"/>
                                        <a:gd name="connsiteY17" fmla="*/ 1550463 h 1616506"/>
                                        <a:gd name="connsiteX18" fmla="*/ 799262 w 2276932"/>
                                        <a:gd name="connsiteY18" fmla="*/ 1506778 h 1616506"/>
                                        <a:gd name="connsiteX19" fmla="*/ 759028 w 2276932"/>
                                        <a:gd name="connsiteY19" fmla="*/ 1616506 h 1616506"/>
                                        <a:gd name="connsiteX20" fmla="*/ 173812 w 2276932"/>
                                        <a:gd name="connsiteY20" fmla="*/ 1415338 h 1616506"/>
                                        <a:gd name="connsiteX21" fmla="*/ 0 w 2276932"/>
                                        <a:gd name="connsiteY21" fmla="*/ 886780 h 1616506"/>
                                        <a:gd name="connsiteX22" fmla="*/ 261594 w 2276932"/>
                                        <a:gd name="connsiteY22" fmla="*/ 263194 h 1616506"/>
                                        <a:gd name="connsiteX23" fmla="*/ 616382 w 2276932"/>
                                        <a:gd name="connsiteY23" fmla="*/ 18135 h 1616506"/>
                                        <a:gd name="connsiteX0" fmla="*/ 616382 w 2276932"/>
                                        <a:gd name="connsiteY0" fmla="*/ 18135 h 1616506"/>
                                        <a:gd name="connsiteX1" fmla="*/ 766329 w 2276932"/>
                                        <a:gd name="connsiteY1" fmla="*/ 120359 h 1616506"/>
                                        <a:gd name="connsiteX2" fmla="*/ 872873 w 2276932"/>
                                        <a:gd name="connsiteY2" fmla="*/ 16230 h 1616506"/>
                                        <a:gd name="connsiteX3" fmla="*/ 1224658 w 2276932"/>
                                        <a:gd name="connsiteY3" fmla="*/ 0 h 1616506"/>
                                        <a:gd name="connsiteX4" fmla="*/ 1266952 w 2276932"/>
                                        <a:gd name="connsiteY4" fmla="*/ 470986 h 1616506"/>
                                        <a:gd name="connsiteX5" fmla="*/ 1876573 w 2276932"/>
                                        <a:gd name="connsiteY5" fmla="*/ 144100 h 1616506"/>
                                        <a:gd name="connsiteX6" fmla="*/ 2159889 w 2276932"/>
                                        <a:gd name="connsiteY6" fmla="*/ 175412 h 1616506"/>
                                        <a:gd name="connsiteX7" fmla="*/ 2276932 w 2276932"/>
                                        <a:gd name="connsiteY7" fmla="*/ 394868 h 1616506"/>
                                        <a:gd name="connsiteX8" fmla="*/ 2094911 w 2276932"/>
                                        <a:gd name="connsiteY8" fmla="*/ 468193 h 1616506"/>
                                        <a:gd name="connsiteX9" fmla="*/ 2059489 w 2276932"/>
                                        <a:gd name="connsiteY9" fmla="*/ 644757 h 1616506"/>
                                        <a:gd name="connsiteX10" fmla="*/ 2156512 w 2276932"/>
                                        <a:gd name="connsiteY10" fmla="*/ 892191 h 1616506"/>
                                        <a:gd name="connsiteX11" fmla="*/ 1925802 w 2276932"/>
                                        <a:gd name="connsiteY11" fmla="*/ 1042263 h 1616506"/>
                                        <a:gd name="connsiteX12" fmla="*/ 1933810 w 2276932"/>
                                        <a:gd name="connsiteY12" fmla="*/ 1038502 h 1616506"/>
                                        <a:gd name="connsiteX13" fmla="*/ 1896006 w 2276932"/>
                                        <a:gd name="connsiteY13" fmla="*/ 1042056 h 1616506"/>
                                        <a:gd name="connsiteX14" fmla="*/ 2094911 w 2276932"/>
                                        <a:gd name="connsiteY14" fmla="*/ 1232211 h 1616506"/>
                                        <a:gd name="connsiteX15" fmla="*/ 1611249 w 2276932"/>
                                        <a:gd name="connsiteY15" fmla="*/ 1536039 h 1616506"/>
                                        <a:gd name="connsiteX16" fmla="*/ 1296695 w 2276932"/>
                                        <a:gd name="connsiteY16" fmla="*/ 1433626 h 1616506"/>
                                        <a:gd name="connsiteX17" fmla="*/ 967705 w 2276932"/>
                                        <a:gd name="connsiteY17" fmla="*/ 1550463 h 1616506"/>
                                        <a:gd name="connsiteX18" fmla="*/ 799262 w 2276932"/>
                                        <a:gd name="connsiteY18" fmla="*/ 1506778 h 1616506"/>
                                        <a:gd name="connsiteX19" fmla="*/ 759028 w 2276932"/>
                                        <a:gd name="connsiteY19" fmla="*/ 1616506 h 1616506"/>
                                        <a:gd name="connsiteX20" fmla="*/ 173812 w 2276932"/>
                                        <a:gd name="connsiteY20" fmla="*/ 1415338 h 1616506"/>
                                        <a:gd name="connsiteX21" fmla="*/ 0 w 2276932"/>
                                        <a:gd name="connsiteY21" fmla="*/ 886780 h 1616506"/>
                                        <a:gd name="connsiteX22" fmla="*/ 261594 w 2276932"/>
                                        <a:gd name="connsiteY22" fmla="*/ 263194 h 1616506"/>
                                        <a:gd name="connsiteX23" fmla="*/ 616382 w 2276932"/>
                                        <a:gd name="connsiteY23" fmla="*/ 18135 h 1616506"/>
                                        <a:gd name="connsiteX0" fmla="*/ 616382 w 2276932"/>
                                        <a:gd name="connsiteY0" fmla="*/ 18135 h 1616506"/>
                                        <a:gd name="connsiteX1" fmla="*/ 766329 w 2276932"/>
                                        <a:gd name="connsiteY1" fmla="*/ 120359 h 1616506"/>
                                        <a:gd name="connsiteX2" fmla="*/ 872873 w 2276932"/>
                                        <a:gd name="connsiteY2" fmla="*/ 16230 h 1616506"/>
                                        <a:gd name="connsiteX3" fmla="*/ 1224658 w 2276932"/>
                                        <a:gd name="connsiteY3" fmla="*/ 0 h 1616506"/>
                                        <a:gd name="connsiteX4" fmla="*/ 1266952 w 2276932"/>
                                        <a:gd name="connsiteY4" fmla="*/ 470986 h 1616506"/>
                                        <a:gd name="connsiteX5" fmla="*/ 1296753 w 2276932"/>
                                        <a:gd name="connsiteY5" fmla="*/ 470986 h 1616506"/>
                                        <a:gd name="connsiteX6" fmla="*/ 2159889 w 2276932"/>
                                        <a:gd name="connsiteY6" fmla="*/ 175412 h 1616506"/>
                                        <a:gd name="connsiteX7" fmla="*/ 2276932 w 2276932"/>
                                        <a:gd name="connsiteY7" fmla="*/ 394868 h 1616506"/>
                                        <a:gd name="connsiteX8" fmla="*/ 2094911 w 2276932"/>
                                        <a:gd name="connsiteY8" fmla="*/ 468193 h 1616506"/>
                                        <a:gd name="connsiteX9" fmla="*/ 2059489 w 2276932"/>
                                        <a:gd name="connsiteY9" fmla="*/ 644757 h 1616506"/>
                                        <a:gd name="connsiteX10" fmla="*/ 2156512 w 2276932"/>
                                        <a:gd name="connsiteY10" fmla="*/ 892191 h 1616506"/>
                                        <a:gd name="connsiteX11" fmla="*/ 1925802 w 2276932"/>
                                        <a:gd name="connsiteY11" fmla="*/ 1042263 h 1616506"/>
                                        <a:gd name="connsiteX12" fmla="*/ 1933810 w 2276932"/>
                                        <a:gd name="connsiteY12" fmla="*/ 1038502 h 1616506"/>
                                        <a:gd name="connsiteX13" fmla="*/ 1896006 w 2276932"/>
                                        <a:gd name="connsiteY13" fmla="*/ 1042056 h 1616506"/>
                                        <a:gd name="connsiteX14" fmla="*/ 2094911 w 2276932"/>
                                        <a:gd name="connsiteY14" fmla="*/ 1232211 h 1616506"/>
                                        <a:gd name="connsiteX15" fmla="*/ 1611249 w 2276932"/>
                                        <a:gd name="connsiteY15" fmla="*/ 1536039 h 1616506"/>
                                        <a:gd name="connsiteX16" fmla="*/ 1296695 w 2276932"/>
                                        <a:gd name="connsiteY16" fmla="*/ 1433626 h 1616506"/>
                                        <a:gd name="connsiteX17" fmla="*/ 967705 w 2276932"/>
                                        <a:gd name="connsiteY17" fmla="*/ 1550463 h 1616506"/>
                                        <a:gd name="connsiteX18" fmla="*/ 799262 w 2276932"/>
                                        <a:gd name="connsiteY18" fmla="*/ 1506778 h 1616506"/>
                                        <a:gd name="connsiteX19" fmla="*/ 759028 w 2276932"/>
                                        <a:gd name="connsiteY19" fmla="*/ 1616506 h 1616506"/>
                                        <a:gd name="connsiteX20" fmla="*/ 173812 w 2276932"/>
                                        <a:gd name="connsiteY20" fmla="*/ 1415338 h 1616506"/>
                                        <a:gd name="connsiteX21" fmla="*/ 0 w 2276932"/>
                                        <a:gd name="connsiteY21" fmla="*/ 886780 h 1616506"/>
                                        <a:gd name="connsiteX22" fmla="*/ 261594 w 2276932"/>
                                        <a:gd name="connsiteY22" fmla="*/ 263194 h 1616506"/>
                                        <a:gd name="connsiteX23" fmla="*/ 616382 w 2276932"/>
                                        <a:gd name="connsiteY23" fmla="*/ 18135 h 1616506"/>
                                        <a:gd name="connsiteX0" fmla="*/ 616382 w 2276932"/>
                                        <a:gd name="connsiteY0" fmla="*/ 18135 h 1616506"/>
                                        <a:gd name="connsiteX1" fmla="*/ 766329 w 2276932"/>
                                        <a:gd name="connsiteY1" fmla="*/ 120359 h 1616506"/>
                                        <a:gd name="connsiteX2" fmla="*/ 872873 w 2276932"/>
                                        <a:gd name="connsiteY2" fmla="*/ 16230 h 1616506"/>
                                        <a:gd name="connsiteX3" fmla="*/ 1224658 w 2276932"/>
                                        <a:gd name="connsiteY3" fmla="*/ 0 h 1616506"/>
                                        <a:gd name="connsiteX4" fmla="*/ 1266952 w 2276932"/>
                                        <a:gd name="connsiteY4" fmla="*/ 470986 h 1616506"/>
                                        <a:gd name="connsiteX5" fmla="*/ 1296753 w 2276932"/>
                                        <a:gd name="connsiteY5" fmla="*/ 470986 h 1616506"/>
                                        <a:gd name="connsiteX6" fmla="*/ 1442039 w 2276932"/>
                                        <a:gd name="connsiteY6" fmla="*/ 719379 h 1616506"/>
                                        <a:gd name="connsiteX7" fmla="*/ 2276932 w 2276932"/>
                                        <a:gd name="connsiteY7" fmla="*/ 394868 h 1616506"/>
                                        <a:gd name="connsiteX8" fmla="*/ 2094911 w 2276932"/>
                                        <a:gd name="connsiteY8" fmla="*/ 468193 h 1616506"/>
                                        <a:gd name="connsiteX9" fmla="*/ 2059489 w 2276932"/>
                                        <a:gd name="connsiteY9" fmla="*/ 644757 h 1616506"/>
                                        <a:gd name="connsiteX10" fmla="*/ 2156512 w 2276932"/>
                                        <a:gd name="connsiteY10" fmla="*/ 892191 h 1616506"/>
                                        <a:gd name="connsiteX11" fmla="*/ 1925802 w 2276932"/>
                                        <a:gd name="connsiteY11" fmla="*/ 1042263 h 1616506"/>
                                        <a:gd name="connsiteX12" fmla="*/ 1933810 w 2276932"/>
                                        <a:gd name="connsiteY12" fmla="*/ 1038502 h 1616506"/>
                                        <a:gd name="connsiteX13" fmla="*/ 1896006 w 2276932"/>
                                        <a:gd name="connsiteY13" fmla="*/ 1042056 h 1616506"/>
                                        <a:gd name="connsiteX14" fmla="*/ 2094911 w 2276932"/>
                                        <a:gd name="connsiteY14" fmla="*/ 1232211 h 1616506"/>
                                        <a:gd name="connsiteX15" fmla="*/ 1611249 w 2276932"/>
                                        <a:gd name="connsiteY15" fmla="*/ 1536039 h 1616506"/>
                                        <a:gd name="connsiteX16" fmla="*/ 1296695 w 2276932"/>
                                        <a:gd name="connsiteY16" fmla="*/ 1433626 h 1616506"/>
                                        <a:gd name="connsiteX17" fmla="*/ 967705 w 2276932"/>
                                        <a:gd name="connsiteY17" fmla="*/ 1550463 h 1616506"/>
                                        <a:gd name="connsiteX18" fmla="*/ 799262 w 2276932"/>
                                        <a:gd name="connsiteY18" fmla="*/ 1506778 h 1616506"/>
                                        <a:gd name="connsiteX19" fmla="*/ 759028 w 2276932"/>
                                        <a:gd name="connsiteY19" fmla="*/ 1616506 h 1616506"/>
                                        <a:gd name="connsiteX20" fmla="*/ 173812 w 2276932"/>
                                        <a:gd name="connsiteY20" fmla="*/ 1415338 h 1616506"/>
                                        <a:gd name="connsiteX21" fmla="*/ 0 w 2276932"/>
                                        <a:gd name="connsiteY21" fmla="*/ 886780 h 1616506"/>
                                        <a:gd name="connsiteX22" fmla="*/ 261594 w 2276932"/>
                                        <a:gd name="connsiteY22" fmla="*/ 263194 h 1616506"/>
                                        <a:gd name="connsiteX23" fmla="*/ 616382 w 2276932"/>
                                        <a:gd name="connsiteY23" fmla="*/ 18135 h 1616506"/>
                                        <a:gd name="connsiteX0" fmla="*/ 616382 w 2156511"/>
                                        <a:gd name="connsiteY0" fmla="*/ 18135 h 1616506"/>
                                        <a:gd name="connsiteX1" fmla="*/ 766329 w 2156511"/>
                                        <a:gd name="connsiteY1" fmla="*/ 120359 h 1616506"/>
                                        <a:gd name="connsiteX2" fmla="*/ 872873 w 2156511"/>
                                        <a:gd name="connsiteY2" fmla="*/ 16230 h 1616506"/>
                                        <a:gd name="connsiteX3" fmla="*/ 1224658 w 2156511"/>
                                        <a:gd name="connsiteY3" fmla="*/ 0 h 1616506"/>
                                        <a:gd name="connsiteX4" fmla="*/ 1266952 w 2156511"/>
                                        <a:gd name="connsiteY4" fmla="*/ 470986 h 1616506"/>
                                        <a:gd name="connsiteX5" fmla="*/ 1296753 w 2156511"/>
                                        <a:gd name="connsiteY5" fmla="*/ 470986 h 1616506"/>
                                        <a:gd name="connsiteX6" fmla="*/ 1442039 w 2156511"/>
                                        <a:gd name="connsiteY6" fmla="*/ 719379 h 1616506"/>
                                        <a:gd name="connsiteX7" fmla="*/ 1486177 w 2156511"/>
                                        <a:gd name="connsiteY7" fmla="*/ 871539 h 1616506"/>
                                        <a:gd name="connsiteX8" fmla="*/ 2094911 w 2156511"/>
                                        <a:gd name="connsiteY8" fmla="*/ 468193 h 1616506"/>
                                        <a:gd name="connsiteX9" fmla="*/ 2059489 w 2156511"/>
                                        <a:gd name="connsiteY9" fmla="*/ 644757 h 1616506"/>
                                        <a:gd name="connsiteX10" fmla="*/ 2156512 w 2156511"/>
                                        <a:gd name="connsiteY10" fmla="*/ 892191 h 1616506"/>
                                        <a:gd name="connsiteX11" fmla="*/ 1925802 w 2156511"/>
                                        <a:gd name="connsiteY11" fmla="*/ 1042263 h 1616506"/>
                                        <a:gd name="connsiteX12" fmla="*/ 1933810 w 2156511"/>
                                        <a:gd name="connsiteY12" fmla="*/ 1038502 h 1616506"/>
                                        <a:gd name="connsiteX13" fmla="*/ 1896006 w 2156511"/>
                                        <a:gd name="connsiteY13" fmla="*/ 1042056 h 1616506"/>
                                        <a:gd name="connsiteX14" fmla="*/ 2094911 w 2156511"/>
                                        <a:gd name="connsiteY14" fmla="*/ 1232211 h 1616506"/>
                                        <a:gd name="connsiteX15" fmla="*/ 1611249 w 2156511"/>
                                        <a:gd name="connsiteY15" fmla="*/ 1536039 h 1616506"/>
                                        <a:gd name="connsiteX16" fmla="*/ 1296695 w 2156511"/>
                                        <a:gd name="connsiteY16" fmla="*/ 1433626 h 1616506"/>
                                        <a:gd name="connsiteX17" fmla="*/ 967705 w 2156511"/>
                                        <a:gd name="connsiteY17" fmla="*/ 1550463 h 1616506"/>
                                        <a:gd name="connsiteX18" fmla="*/ 799262 w 2156511"/>
                                        <a:gd name="connsiteY18" fmla="*/ 1506778 h 1616506"/>
                                        <a:gd name="connsiteX19" fmla="*/ 759028 w 2156511"/>
                                        <a:gd name="connsiteY19" fmla="*/ 1616506 h 1616506"/>
                                        <a:gd name="connsiteX20" fmla="*/ 173812 w 2156511"/>
                                        <a:gd name="connsiteY20" fmla="*/ 1415338 h 1616506"/>
                                        <a:gd name="connsiteX21" fmla="*/ 0 w 2156511"/>
                                        <a:gd name="connsiteY21" fmla="*/ 886780 h 1616506"/>
                                        <a:gd name="connsiteX22" fmla="*/ 261594 w 2156511"/>
                                        <a:gd name="connsiteY22" fmla="*/ 263194 h 1616506"/>
                                        <a:gd name="connsiteX23" fmla="*/ 616382 w 2156511"/>
                                        <a:gd name="connsiteY23" fmla="*/ 18135 h 1616506"/>
                                        <a:gd name="connsiteX0" fmla="*/ 616382 w 2156513"/>
                                        <a:gd name="connsiteY0" fmla="*/ 18135 h 1616506"/>
                                        <a:gd name="connsiteX1" fmla="*/ 766329 w 2156513"/>
                                        <a:gd name="connsiteY1" fmla="*/ 120359 h 1616506"/>
                                        <a:gd name="connsiteX2" fmla="*/ 872873 w 2156513"/>
                                        <a:gd name="connsiteY2" fmla="*/ 16230 h 1616506"/>
                                        <a:gd name="connsiteX3" fmla="*/ 1224658 w 2156513"/>
                                        <a:gd name="connsiteY3" fmla="*/ 0 h 1616506"/>
                                        <a:gd name="connsiteX4" fmla="*/ 1266952 w 2156513"/>
                                        <a:gd name="connsiteY4" fmla="*/ 470986 h 1616506"/>
                                        <a:gd name="connsiteX5" fmla="*/ 1296753 w 2156513"/>
                                        <a:gd name="connsiteY5" fmla="*/ 470986 h 1616506"/>
                                        <a:gd name="connsiteX6" fmla="*/ 1442039 w 2156513"/>
                                        <a:gd name="connsiteY6" fmla="*/ 719379 h 1616506"/>
                                        <a:gd name="connsiteX7" fmla="*/ 1486177 w 2156513"/>
                                        <a:gd name="connsiteY7" fmla="*/ 871539 h 1616506"/>
                                        <a:gd name="connsiteX8" fmla="*/ 1620775 w 2156513"/>
                                        <a:gd name="connsiteY8" fmla="*/ 1009098 h 1616506"/>
                                        <a:gd name="connsiteX9" fmla="*/ 2059489 w 2156513"/>
                                        <a:gd name="connsiteY9" fmla="*/ 644757 h 1616506"/>
                                        <a:gd name="connsiteX10" fmla="*/ 2156512 w 2156513"/>
                                        <a:gd name="connsiteY10" fmla="*/ 892191 h 1616506"/>
                                        <a:gd name="connsiteX11" fmla="*/ 1925802 w 2156513"/>
                                        <a:gd name="connsiteY11" fmla="*/ 1042263 h 1616506"/>
                                        <a:gd name="connsiteX12" fmla="*/ 1933810 w 2156513"/>
                                        <a:gd name="connsiteY12" fmla="*/ 1038502 h 1616506"/>
                                        <a:gd name="connsiteX13" fmla="*/ 1896006 w 2156513"/>
                                        <a:gd name="connsiteY13" fmla="*/ 1042056 h 1616506"/>
                                        <a:gd name="connsiteX14" fmla="*/ 2094911 w 2156513"/>
                                        <a:gd name="connsiteY14" fmla="*/ 1232211 h 1616506"/>
                                        <a:gd name="connsiteX15" fmla="*/ 1611249 w 2156513"/>
                                        <a:gd name="connsiteY15" fmla="*/ 1536039 h 1616506"/>
                                        <a:gd name="connsiteX16" fmla="*/ 1296695 w 2156513"/>
                                        <a:gd name="connsiteY16" fmla="*/ 1433626 h 1616506"/>
                                        <a:gd name="connsiteX17" fmla="*/ 967705 w 2156513"/>
                                        <a:gd name="connsiteY17" fmla="*/ 1550463 h 1616506"/>
                                        <a:gd name="connsiteX18" fmla="*/ 799262 w 2156513"/>
                                        <a:gd name="connsiteY18" fmla="*/ 1506778 h 1616506"/>
                                        <a:gd name="connsiteX19" fmla="*/ 759028 w 2156513"/>
                                        <a:gd name="connsiteY19" fmla="*/ 1616506 h 1616506"/>
                                        <a:gd name="connsiteX20" fmla="*/ 173812 w 2156513"/>
                                        <a:gd name="connsiteY20" fmla="*/ 1415338 h 1616506"/>
                                        <a:gd name="connsiteX21" fmla="*/ 0 w 2156513"/>
                                        <a:gd name="connsiteY21" fmla="*/ 886780 h 1616506"/>
                                        <a:gd name="connsiteX22" fmla="*/ 261594 w 2156513"/>
                                        <a:gd name="connsiteY22" fmla="*/ 263194 h 1616506"/>
                                        <a:gd name="connsiteX23" fmla="*/ 616382 w 2156513"/>
                                        <a:gd name="connsiteY23" fmla="*/ 18135 h 1616506"/>
                                        <a:gd name="connsiteX0" fmla="*/ 616382 w 2156511"/>
                                        <a:gd name="connsiteY0" fmla="*/ 18135 h 1616506"/>
                                        <a:gd name="connsiteX1" fmla="*/ 766329 w 2156511"/>
                                        <a:gd name="connsiteY1" fmla="*/ 120359 h 1616506"/>
                                        <a:gd name="connsiteX2" fmla="*/ 872873 w 2156511"/>
                                        <a:gd name="connsiteY2" fmla="*/ 16230 h 1616506"/>
                                        <a:gd name="connsiteX3" fmla="*/ 1224658 w 2156511"/>
                                        <a:gd name="connsiteY3" fmla="*/ 0 h 1616506"/>
                                        <a:gd name="connsiteX4" fmla="*/ 1266952 w 2156511"/>
                                        <a:gd name="connsiteY4" fmla="*/ 470986 h 1616506"/>
                                        <a:gd name="connsiteX5" fmla="*/ 1296753 w 2156511"/>
                                        <a:gd name="connsiteY5" fmla="*/ 470986 h 1616506"/>
                                        <a:gd name="connsiteX6" fmla="*/ 1442039 w 2156511"/>
                                        <a:gd name="connsiteY6" fmla="*/ 719379 h 1616506"/>
                                        <a:gd name="connsiteX7" fmla="*/ 1486177 w 2156511"/>
                                        <a:gd name="connsiteY7" fmla="*/ 871539 h 1616506"/>
                                        <a:gd name="connsiteX8" fmla="*/ 1620775 w 2156511"/>
                                        <a:gd name="connsiteY8" fmla="*/ 1009098 h 1616506"/>
                                        <a:gd name="connsiteX9" fmla="*/ 2059489 w 2156511"/>
                                        <a:gd name="connsiteY9" fmla="*/ 644757 h 1616506"/>
                                        <a:gd name="connsiteX10" fmla="*/ 1531467 w 2156511"/>
                                        <a:gd name="connsiteY10" fmla="*/ 1052752 h 1616506"/>
                                        <a:gd name="connsiteX11" fmla="*/ 2156512 w 2156511"/>
                                        <a:gd name="connsiteY11" fmla="*/ 892191 h 1616506"/>
                                        <a:gd name="connsiteX12" fmla="*/ 1925802 w 2156511"/>
                                        <a:gd name="connsiteY12" fmla="*/ 1042263 h 1616506"/>
                                        <a:gd name="connsiteX13" fmla="*/ 1933810 w 2156511"/>
                                        <a:gd name="connsiteY13" fmla="*/ 1038502 h 1616506"/>
                                        <a:gd name="connsiteX14" fmla="*/ 1896006 w 2156511"/>
                                        <a:gd name="connsiteY14" fmla="*/ 1042056 h 1616506"/>
                                        <a:gd name="connsiteX15" fmla="*/ 2094911 w 2156511"/>
                                        <a:gd name="connsiteY15" fmla="*/ 1232211 h 1616506"/>
                                        <a:gd name="connsiteX16" fmla="*/ 1611249 w 2156511"/>
                                        <a:gd name="connsiteY16" fmla="*/ 1536039 h 1616506"/>
                                        <a:gd name="connsiteX17" fmla="*/ 1296695 w 2156511"/>
                                        <a:gd name="connsiteY17" fmla="*/ 1433626 h 1616506"/>
                                        <a:gd name="connsiteX18" fmla="*/ 967705 w 2156511"/>
                                        <a:gd name="connsiteY18" fmla="*/ 1550463 h 1616506"/>
                                        <a:gd name="connsiteX19" fmla="*/ 799262 w 2156511"/>
                                        <a:gd name="connsiteY19" fmla="*/ 1506778 h 1616506"/>
                                        <a:gd name="connsiteX20" fmla="*/ 759028 w 2156511"/>
                                        <a:gd name="connsiteY20" fmla="*/ 1616506 h 1616506"/>
                                        <a:gd name="connsiteX21" fmla="*/ 173812 w 2156511"/>
                                        <a:gd name="connsiteY21" fmla="*/ 1415338 h 1616506"/>
                                        <a:gd name="connsiteX22" fmla="*/ 0 w 2156511"/>
                                        <a:gd name="connsiteY22" fmla="*/ 886780 h 1616506"/>
                                        <a:gd name="connsiteX23" fmla="*/ 261594 w 2156511"/>
                                        <a:gd name="connsiteY23" fmla="*/ 263194 h 1616506"/>
                                        <a:gd name="connsiteX24" fmla="*/ 616382 w 2156511"/>
                                        <a:gd name="connsiteY24" fmla="*/ 18135 h 1616506"/>
                                        <a:gd name="connsiteX0" fmla="*/ 616382 w 2156513"/>
                                        <a:gd name="connsiteY0" fmla="*/ 18135 h 1616506"/>
                                        <a:gd name="connsiteX1" fmla="*/ 766329 w 2156513"/>
                                        <a:gd name="connsiteY1" fmla="*/ 120359 h 1616506"/>
                                        <a:gd name="connsiteX2" fmla="*/ 872873 w 2156513"/>
                                        <a:gd name="connsiteY2" fmla="*/ 16230 h 1616506"/>
                                        <a:gd name="connsiteX3" fmla="*/ 1224658 w 2156513"/>
                                        <a:gd name="connsiteY3" fmla="*/ 0 h 1616506"/>
                                        <a:gd name="connsiteX4" fmla="*/ 1266952 w 2156513"/>
                                        <a:gd name="connsiteY4" fmla="*/ 470986 h 1616506"/>
                                        <a:gd name="connsiteX5" fmla="*/ 1296753 w 2156513"/>
                                        <a:gd name="connsiteY5" fmla="*/ 470986 h 1616506"/>
                                        <a:gd name="connsiteX6" fmla="*/ 1442039 w 2156513"/>
                                        <a:gd name="connsiteY6" fmla="*/ 719379 h 1616506"/>
                                        <a:gd name="connsiteX7" fmla="*/ 1486177 w 2156513"/>
                                        <a:gd name="connsiteY7" fmla="*/ 871539 h 1616506"/>
                                        <a:gd name="connsiteX8" fmla="*/ 1620775 w 2156513"/>
                                        <a:gd name="connsiteY8" fmla="*/ 1009098 h 1616506"/>
                                        <a:gd name="connsiteX9" fmla="*/ 1531467 w 2156513"/>
                                        <a:gd name="connsiteY9" fmla="*/ 1052752 h 1616506"/>
                                        <a:gd name="connsiteX10" fmla="*/ 2156512 w 2156513"/>
                                        <a:gd name="connsiteY10" fmla="*/ 892191 h 1616506"/>
                                        <a:gd name="connsiteX11" fmla="*/ 1925802 w 2156513"/>
                                        <a:gd name="connsiteY11" fmla="*/ 1042263 h 1616506"/>
                                        <a:gd name="connsiteX12" fmla="*/ 1933810 w 2156513"/>
                                        <a:gd name="connsiteY12" fmla="*/ 1038502 h 1616506"/>
                                        <a:gd name="connsiteX13" fmla="*/ 1896006 w 2156513"/>
                                        <a:gd name="connsiteY13" fmla="*/ 1042056 h 1616506"/>
                                        <a:gd name="connsiteX14" fmla="*/ 2094911 w 2156513"/>
                                        <a:gd name="connsiteY14" fmla="*/ 1232211 h 1616506"/>
                                        <a:gd name="connsiteX15" fmla="*/ 1611249 w 2156513"/>
                                        <a:gd name="connsiteY15" fmla="*/ 1536039 h 1616506"/>
                                        <a:gd name="connsiteX16" fmla="*/ 1296695 w 2156513"/>
                                        <a:gd name="connsiteY16" fmla="*/ 1433626 h 1616506"/>
                                        <a:gd name="connsiteX17" fmla="*/ 967705 w 2156513"/>
                                        <a:gd name="connsiteY17" fmla="*/ 1550463 h 1616506"/>
                                        <a:gd name="connsiteX18" fmla="*/ 799262 w 2156513"/>
                                        <a:gd name="connsiteY18" fmla="*/ 1506778 h 1616506"/>
                                        <a:gd name="connsiteX19" fmla="*/ 759028 w 2156513"/>
                                        <a:gd name="connsiteY19" fmla="*/ 1616506 h 1616506"/>
                                        <a:gd name="connsiteX20" fmla="*/ 173812 w 2156513"/>
                                        <a:gd name="connsiteY20" fmla="*/ 1415338 h 1616506"/>
                                        <a:gd name="connsiteX21" fmla="*/ 0 w 2156513"/>
                                        <a:gd name="connsiteY21" fmla="*/ 886780 h 1616506"/>
                                        <a:gd name="connsiteX22" fmla="*/ 261594 w 2156513"/>
                                        <a:gd name="connsiteY22" fmla="*/ 263194 h 1616506"/>
                                        <a:gd name="connsiteX23" fmla="*/ 616382 w 2156513"/>
                                        <a:gd name="connsiteY23" fmla="*/ 18135 h 1616506"/>
                                        <a:gd name="connsiteX0" fmla="*/ 616382 w 2094911"/>
                                        <a:gd name="connsiteY0" fmla="*/ 18135 h 1616506"/>
                                        <a:gd name="connsiteX1" fmla="*/ 766329 w 2094911"/>
                                        <a:gd name="connsiteY1" fmla="*/ 120359 h 1616506"/>
                                        <a:gd name="connsiteX2" fmla="*/ 872873 w 2094911"/>
                                        <a:gd name="connsiteY2" fmla="*/ 16230 h 1616506"/>
                                        <a:gd name="connsiteX3" fmla="*/ 1224658 w 2094911"/>
                                        <a:gd name="connsiteY3" fmla="*/ 0 h 1616506"/>
                                        <a:gd name="connsiteX4" fmla="*/ 1266952 w 2094911"/>
                                        <a:gd name="connsiteY4" fmla="*/ 470986 h 1616506"/>
                                        <a:gd name="connsiteX5" fmla="*/ 1296753 w 2094911"/>
                                        <a:gd name="connsiteY5" fmla="*/ 470986 h 1616506"/>
                                        <a:gd name="connsiteX6" fmla="*/ 1442039 w 2094911"/>
                                        <a:gd name="connsiteY6" fmla="*/ 719379 h 1616506"/>
                                        <a:gd name="connsiteX7" fmla="*/ 1486177 w 2094911"/>
                                        <a:gd name="connsiteY7" fmla="*/ 871539 h 1616506"/>
                                        <a:gd name="connsiteX8" fmla="*/ 1620775 w 2094911"/>
                                        <a:gd name="connsiteY8" fmla="*/ 1009098 h 1616506"/>
                                        <a:gd name="connsiteX9" fmla="*/ 1531467 w 2094911"/>
                                        <a:gd name="connsiteY9" fmla="*/ 1052752 h 1616506"/>
                                        <a:gd name="connsiteX10" fmla="*/ 1438663 w 2094911"/>
                                        <a:gd name="connsiteY10" fmla="*/ 1304125 h 1616506"/>
                                        <a:gd name="connsiteX11" fmla="*/ 1925802 w 2094911"/>
                                        <a:gd name="connsiteY11" fmla="*/ 1042263 h 1616506"/>
                                        <a:gd name="connsiteX12" fmla="*/ 1933810 w 2094911"/>
                                        <a:gd name="connsiteY12" fmla="*/ 1038502 h 1616506"/>
                                        <a:gd name="connsiteX13" fmla="*/ 1896006 w 2094911"/>
                                        <a:gd name="connsiteY13" fmla="*/ 1042056 h 1616506"/>
                                        <a:gd name="connsiteX14" fmla="*/ 2094911 w 2094911"/>
                                        <a:gd name="connsiteY14" fmla="*/ 1232211 h 1616506"/>
                                        <a:gd name="connsiteX15" fmla="*/ 1611249 w 2094911"/>
                                        <a:gd name="connsiteY15" fmla="*/ 1536039 h 1616506"/>
                                        <a:gd name="connsiteX16" fmla="*/ 1296695 w 2094911"/>
                                        <a:gd name="connsiteY16" fmla="*/ 1433626 h 1616506"/>
                                        <a:gd name="connsiteX17" fmla="*/ 967705 w 2094911"/>
                                        <a:gd name="connsiteY17" fmla="*/ 1550463 h 1616506"/>
                                        <a:gd name="connsiteX18" fmla="*/ 799262 w 2094911"/>
                                        <a:gd name="connsiteY18" fmla="*/ 1506778 h 1616506"/>
                                        <a:gd name="connsiteX19" fmla="*/ 759028 w 2094911"/>
                                        <a:gd name="connsiteY19" fmla="*/ 1616506 h 1616506"/>
                                        <a:gd name="connsiteX20" fmla="*/ 173812 w 2094911"/>
                                        <a:gd name="connsiteY20" fmla="*/ 1415338 h 1616506"/>
                                        <a:gd name="connsiteX21" fmla="*/ 0 w 2094911"/>
                                        <a:gd name="connsiteY21" fmla="*/ 886780 h 1616506"/>
                                        <a:gd name="connsiteX22" fmla="*/ 261594 w 2094911"/>
                                        <a:gd name="connsiteY22" fmla="*/ 263194 h 1616506"/>
                                        <a:gd name="connsiteX23" fmla="*/ 616382 w 2094911"/>
                                        <a:gd name="connsiteY23" fmla="*/ 18135 h 1616506"/>
                                        <a:gd name="connsiteX0" fmla="*/ 616382 w 2104579"/>
                                        <a:gd name="connsiteY0" fmla="*/ 18135 h 1616506"/>
                                        <a:gd name="connsiteX1" fmla="*/ 766329 w 2104579"/>
                                        <a:gd name="connsiteY1" fmla="*/ 120359 h 1616506"/>
                                        <a:gd name="connsiteX2" fmla="*/ 872873 w 2104579"/>
                                        <a:gd name="connsiteY2" fmla="*/ 16230 h 1616506"/>
                                        <a:gd name="connsiteX3" fmla="*/ 1224658 w 2104579"/>
                                        <a:gd name="connsiteY3" fmla="*/ 0 h 1616506"/>
                                        <a:gd name="connsiteX4" fmla="*/ 1266952 w 2104579"/>
                                        <a:gd name="connsiteY4" fmla="*/ 470986 h 1616506"/>
                                        <a:gd name="connsiteX5" fmla="*/ 1296753 w 2104579"/>
                                        <a:gd name="connsiteY5" fmla="*/ 470986 h 1616506"/>
                                        <a:gd name="connsiteX6" fmla="*/ 1442039 w 2104579"/>
                                        <a:gd name="connsiteY6" fmla="*/ 719379 h 1616506"/>
                                        <a:gd name="connsiteX7" fmla="*/ 1486177 w 2104579"/>
                                        <a:gd name="connsiteY7" fmla="*/ 871539 h 1616506"/>
                                        <a:gd name="connsiteX8" fmla="*/ 1620775 w 2104579"/>
                                        <a:gd name="connsiteY8" fmla="*/ 1009098 h 1616506"/>
                                        <a:gd name="connsiteX9" fmla="*/ 1531467 w 2104579"/>
                                        <a:gd name="connsiteY9" fmla="*/ 1052752 h 1616506"/>
                                        <a:gd name="connsiteX10" fmla="*/ 1438663 w 2104579"/>
                                        <a:gd name="connsiteY10" fmla="*/ 1304125 h 1616506"/>
                                        <a:gd name="connsiteX11" fmla="*/ 1925802 w 2104579"/>
                                        <a:gd name="connsiteY11" fmla="*/ 1042263 h 1616506"/>
                                        <a:gd name="connsiteX12" fmla="*/ 1933810 w 2104579"/>
                                        <a:gd name="connsiteY12" fmla="*/ 1038502 h 1616506"/>
                                        <a:gd name="connsiteX13" fmla="*/ 2094911 w 2104579"/>
                                        <a:gd name="connsiteY13" fmla="*/ 1232211 h 1616506"/>
                                        <a:gd name="connsiteX14" fmla="*/ 1611249 w 2104579"/>
                                        <a:gd name="connsiteY14" fmla="*/ 1536039 h 1616506"/>
                                        <a:gd name="connsiteX15" fmla="*/ 1296695 w 2104579"/>
                                        <a:gd name="connsiteY15" fmla="*/ 1433626 h 1616506"/>
                                        <a:gd name="connsiteX16" fmla="*/ 967705 w 2104579"/>
                                        <a:gd name="connsiteY16" fmla="*/ 1550463 h 1616506"/>
                                        <a:gd name="connsiteX17" fmla="*/ 799262 w 2104579"/>
                                        <a:gd name="connsiteY17" fmla="*/ 1506778 h 1616506"/>
                                        <a:gd name="connsiteX18" fmla="*/ 759028 w 2104579"/>
                                        <a:gd name="connsiteY18" fmla="*/ 1616506 h 1616506"/>
                                        <a:gd name="connsiteX19" fmla="*/ 173812 w 2104579"/>
                                        <a:gd name="connsiteY19" fmla="*/ 1415338 h 1616506"/>
                                        <a:gd name="connsiteX20" fmla="*/ 0 w 2104579"/>
                                        <a:gd name="connsiteY20" fmla="*/ 886780 h 1616506"/>
                                        <a:gd name="connsiteX21" fmla="*/ 261594 w 2104579"/>
                                        <a:gd name="connsiteY21" fmla="*/ 263194 h 1616506"/>
                                        <a:gd name="connsiteX22" fmla="*/ 616382 w 2104579"/>
                                        <a:gd name="connsiteY22" fmla="*/ 18135 h 1616506"/>
                                        <a:gd name="connsiteX0" fmla="*/ 616382 w 1949666"/>
                                        <a:gd name="connsiteY0" fmla="*/ 18135 h 1616506"/>
                                        <a:gd name="connsiteX1" fmla="*/ 766329 w 1949666"/>
                                        <a:gd name="connsiteY1" fmla="*/ 120359 h 1616506"/>
                                        <a:gd name="connsiteX2" fmla="*/ 872873 w 1949666"/>
                                        <a:gd name="connsiteY2" fmla="*/ 16230 h 1616506"/>
                                        <a:gd name="connsiteX3" fmla="*/ 1224658 w 1949666"/>
                                        <a:gd name="connsiteY3" fmla="*/ 0 h 1616506"/>
                                        <a:gd name="connsiteX4" fmla="*/ 1266952 w 1949666"/>
                                        <a:gd name="connsiteY4" fmla="*/ 470986 h 1616506"/>
                                        <a:gd name="connsiteX5" fmla="*/ 1296753 w 1949666"/>
                                        <a:gd name="connsiteY5" fmla="*/ 470986 h 1616506"/>
                                        <a:gd name="connsiteX6" fmla="*/ 1442039 w 1949666"/>
                                        <a:gd name="connsiteY6" fmla="*/ 719379 h 1616506"/>
                                        <a:gd name="connsiteX7" fmla="*/ 1486177 w 1949666"/>
                                        <a:gd name="connsiteY7" fmla="*/ 871539 h 1616506"/>
                                        <a:gd name="connsiteX8" fmla="*/ 1620775 w 1949666"/>
                                        <a:gd name="connsiteY8" fmla="*/ 1009098 h 1616506"/>
                                        <a:gd name="connsiteX9" fmla="*/ 1531467 w 1949666"/>
                                        <a:gd name="connsiteY9" fmla="*/ 1052752 h 1616506"/>
                                        <a:gd name="connsiteX10" fmla="*/ 1438663 w 1949666"/>
                                        <a:gd name="connsiteY10" fmla="*/ 1304125 h 1616506"/>
                                        <a:gd name="connsiteX11" fmla="*/ 1925802 w 1949666"/>
                                        <a:gd name="connsiteY11" fmla="*/ 1042263 h 1616506"/>
                                        <a:gd name="connsiteX12" fmla="*/ 1933810 w 1949666"/>
                                        <a:gd name="connsiteY12" fmla="*/ 1038502 h 1616506"/>
                                        <a:gd name="connsiteX13" fmla="*/ 1611249 w 1949666"/>
                                        <a:gd name="connsiteY13" fmla="*/ 1536039 h 1616506"/>
                                        <a:gd name="connsiteX14" fmla="*/ 1296695 w 1949666"/>
                                        <a:gd name="connsiteY14" fmla="*/ 1433626 h 1616506"/>
                                        <a:gd name="connsiteX15" fmla="*/ 967705 w 1949666"/>
                                        <a:gd name="connsiteY15" fmla="*/ 1550463 h 1616506"/>
                                        <a:gd name="connsiteX16" fmla="*/ 799262 w 1949666"/>
                                        <a:gd name="connsiteY16" fmla="*/ 1506778 h 1616506"/>
                                        <a:gd name="connsiteX17" fmla="*/ 759028 w 1949666"/>
                                        <a:gd name="connsiteY17" fmla="*/ 1616506 h 1616506"/>
                                        <a:gd name="connsiteX18" fmla="*/ 173812 w 1949666"/>
                                        <a:gd name="connsiteY18" fmla="*/ 1415338 h 1616506"/>
                                        <a:gd name="connsiteX19" fmla="*/ 0 w 1949666"/>
                                        <a:gd name="connsiteY19" fmla="*/ 886780 h 1616506"/>
                                        <a:gd name="connsiteX20" fmla="*/ 261594 w 1949666"/>
                                        <a:gd name="connsiteY20" fmla="*/ 263194 h 1616506"/>
                                        <a:gd name="connsiteX21" fmla="*/ 616382 w 1949666"/>
                                        <a:gd name="connsiteY21" fmla="*/ 18135 h 1616506"/>
                                        <a:gd name="connsiteX0" fmla="*/ 616382 w 1971708"/>
                                        <a:gd name="connsiteY0" fmla="*/ 18135 h 1616506"/>
                                        <a:gd name="connsiteX1" fmla="*/ 766329 w 1971708"/>
                                        <a:gd name="connsiteY1" fmla="*/ 120359 h 1616506"/>
                                        <a:gd name="connsiteX2" fmla="*/ 872873 w 1971708"/>
                                        <a:gd name="connsiteY2" fmla="*/ 16230 h 1616506"/>
                                        <a:gd name="connsiteX3" fmla="*/ 1224658 w 1971708"/>
                                        <a:gd name="connsiteY3" fmla="*/ 0 h 1616506"/>
                                        <a:gd name="connsiteX4" fmla="*/ 1266952 w 1971708"/>
                                        <a:gd name="connsiteY4" fmla="*/ 470986 h 1616506"/>
                                        <a:gd name="connsiteX5" fmla="*/ 1296753 w 1971708"/>
                                        <a:gd name="connsiteY5" fmla="*/ 470986 h 1616506"/>
                                        <a:gd name="connsiteX6" fmla="*/ 1442039 w 1971708"/>
                                        <a:gd name="connsiteY6" fmla="*/ 719379 h 1616506"/>
                                        <a:gd name="connsiteX7" fmla="*/ 1486177 w 1971708"/>
                                        <a:gd name="connsiteY7" fmla="*/ 871539 h 1616506"/>
                                        <a:gd name="connsiteX8" fmla="*/ 1620775 w 1971708"/>
                                        <a:gd name="connsiteY8" fmla="*/ 1009098 h 1616506"/>
                                        <a:gd name="connsiteX9" fmla="*/ 1531467 w 1971708"/>
                                        <a:gd name="connsiteY9" fmla="*/ 1052752 h 1616506"/>
                                        <a:gd name="connsiteX10" fmla="*/ 1438663 w 1971708"/>
                                        <a:gd name="connsiteY10" fmla="*/ 1304125 h 1616506"/>
                                        <a:gd name="connsiteX11" fmla="*/ 1925802 w 1971708"/>
                                        <a:gd name="connsiteY11" fmla="*/ 1042263 h 1616506"/>
                                        <a:gd name="connsiteX12" fmla="*/ 1933810 w 1971708"/>
                                        <a:gd name="connsiteY12" fmla="*/ 1038502 h 1616506"/>
                                        <a:gd name="connsiteX13" fmla="*/ 1296695 w 1971708"/>
                                        <a:gd name="connsiteY13" fmla="*/ 1433626 h 1616506"/>
                                        <a:gd name="connsiteX14" fmla="*/ 967705 w 1971708"/>
                                        <a:gd name="connsiteY14" fmla="*/ 1550463 h 1616506"/>
                                        <a:gd name="connsiteX15" fmla="*/ 799262 w 1971708"/>
                                        <a:gd name="connsiteY15" fmla="*/ 1506778 h 1616506"/>
                                        <a:gd name="connsiteX16" fmla="*/ 759028 w 1971708"/>
                                        <a:gd name="connsiteY16" fmla="*/ 1616506 h 1616506"/>
                                        <a:gd name="connsiteX17" fmla="*/ 173812 w 1971708"/>
                                        <a:gd name="connsiteY17" fmla="*/ 1415338 h 1616506"/>
                                        <a:gd name="connsiteX18" fmla="*/ 0 w 1971708"/>
                                        <a:gd name="connsiteY18" fmla="*/ 886780 h 1616506"/>
                                        <a:gd name="connsiteX19" fmla="*/ 261594 w 1971708"/>
                                        <a:gd name="connsiteY19" fmla="*/ 263194 h 1616506"/>
                                        <a:gd name="connsiteX20" fmla="*/ 616382 w 1971708"/>
                                        <a:gd name="connsiteY20" fmla="*/ 18135 h 1616506"/>
                                        <a:gd name="connsiteX0" fmla="*/ 616382 w 1925802"/>
                                        <a:gd name="connsiteY0" fmla="*/ 18135 h 1616506"/>
                                        <a:gd name="connsiteX1" fmla="*/ 766329 w 1925802"/>
                                        <a:gd name="connsiteY1" fmla="*/ 120359 h 1616506"/>
                                        <a:gd name="connsiteX2" fmla="*/ 872873 w 1925802"/>
                                        <a:gd name="connsiteY2" fmla="*/ 16230 h 1616506"/>
                                        <a:gd name="connsiteX3" fmla="*/ 1224658 w 1925802"/>
                                        <a:gd name="connsiteY3" fmla="*/ 0 h 1616506"/>
                                        <a:gd name="connsiteX4" fmla="*/ 1266952 w 1925802"/>
                                        <a:gd name="connsiteY4" fmla="*/ 470986 h 1616506"/>
                                        <a:gd name="connsiteX5" fmla="*/ 1296753 w 1925802"/>
                                        <a:gd name="connsiteY5" fmla="*/ 470986 h 1616506"/>
                                        <a:gd name="connsiteX6" fmla="*/ 1442039 w 1925802"/>
                                        <a:gd name="connsiteY6" fmla="*/ 719379 h 1616506"/>
                                        <a:gd name="connsiteX7" fmla="*/ 1486177 w 1925802"/>
                                        <a:gd name="connsiteY7" fmla="*/ 871539 h 1616506"/>
                                        <a:gd name="connsiteX8" fmla="*/ 1620775 w 1925802"/>
                                        <a:gd name="connsiteY8" fmla="*/ 1009098 h 1616506"/>
                                        <a:gd name="connsiteX9" fmla="*/ 1531467 w 1925802"/>
                                        <a:gd name="connsiteY9" fmla="*/ 1052752 h 1616506"/>
                                        <a:gd name="connsiteX10" fmla="*/ 1438663 w 1925802"/>
                                        <a:gd name="connsiteY10" fmla="*/ 1304125 h 1616506"/>
                                        <a:gd name="connsiteX11" fmla="*/ 1925802 w 1925802"/>
                                        <a:gd name="connsiteY11" fmla="*/ 1042263 h 1616506"/>
                                        <a:gd name="connsiteX12" fmla="*/ 1296695 w 1925802"/>
                                        <a:gd name="connsiteY12" fmla="*/ 1433626 h 1616506"/>
                                        <a:gd name="connsiteX13" fmla="*/ 967705 w 1925802"/>
                                        <a:gd name="connsiteY13" fmla="*/ 1550463 h 1616506"/>
                                        <a:gd name="connsiteX14" fmla="*/ 799262 w 1925802"/>
                                        <a:gd name="connsiteY14" fmla="*/ 1506778 h 1616506"/>
                                        <a:gd name="connsiteX15" fmla="*/ 759028 w 1925802"/>
                                        <a:gd name="connsiteY15" fmla="*/ 1616506 h 1616506"/>
                                        <a:gd name="connsiteX16" fmla="*/ 173812 w 1925802"/>
                                        <a:gd name="connsiteY16" fmla="*/ 1415338 h 1616506"/>
                                        <a:gd name="connsiteX17" fmla="*/ 0 w 1925802"/>
                                        <a:gd name="connsiteY17" fmla="*/ 886780 h 1616506"/>
                                        <a:gd name="connsiteX18" fmla="*/ 261594 w 1925802"/>
                                        <a:gd name="connsiteY18" fmla="*/ 263194 h 1616506"/>
                                        <a:gd name="connsiteX19" fmla="*/ 616382 w 1925802"/>
                                        <a:gd name="connsiteY19" fmla="*/ 18135 h 1616506"/>
                                        <a:gd name="connsiteX0" fmla="*/ 616382 w 1620776"/>
                                        <a:gd name="connsiteY0" fmla="*/ 18135 h 1616506"/>
                                        <a:gd name="connsiteX1" fmla="*/ 766329 w 1620776"/>
                                        <a:gd name="connsiteY1" fmla="*/ 120359 h 1616506"/>
                                        <a:gd name="connsiteX2" fmla="*/ 872873 w 1620776"/>
                                        <a:gd name="connsiteY2" fmla="*/ 16230 h 1616506"/>
                                        <a:gd name="connsiteX3" fmla="*/ 1224658 w 1620776"/>
                                        <a:gd name="connsiteY3" fmla="*/ 0 h 1616506"/>
                                        <a:gd name="connsiteX4" fmla="*/ 1266952 w 1620776"/>
                                        <a:gd name="connsiteY4" fmla="*/ 470986 h 1616506"/>
                                        <a:gd name="connsiteX5" fmla="*/ 1296753 w 1620776"/>
                                        <a:gd name="connsiteY5" fmla="*/ 470986 h 1616506"/>
                                        <a:gd name="connsiteX6" fmla="*/ 1442039 w 1620776"/>
                                        <a:gd name="connsiteY6" fmla="*/ 719379 h 1616506"/>
                                        <a:gd name="connsiteX7" fmla="*/ 1486177 w 1620776"/>
                                        <a:gd name="connsiteY7" fmla="*/ 871539 h 1616506"/>
                                        <a:gd name="connsiteX8" fmla="*/ 1620775 w 1620776"/>
                                        <a:gd name="connsiteY8" fmla="*/ 1009098 h 1616506"/>
                                        <a:gd name="connsiteX9" fmla="*/ 1531467 w 1620776"/>
                                        <a:gd name="connsiteY9" fmla="*/ 1052752 h 1616506"/>
                                        <a:gd name="connsiteX10" fmla="*/ 1438663 w 1620776"/>
                                        <a:gd name="connsiteY10" fmla="*/ 1304125 h 1616506"/>
                                        <a:gd name="connsiteX11" fmla="*/ 1296695 w 1620776"/>
                                        <a:gd name="connsiteY11" fmla="*/ 1433626 h 1616506"/>
                                        <a:gd name="connsiteX12" fmla="*/ 967705 w 1620776"/>
                                        <a:gd name="connsiteY12" fmla="*/ 1550463 h 1616506"/>
                                        <a:gd name="connsiteX13" fmla="*/ 799262 w 1620776"/>
                                        <a:gd name="connsiteY13" fmla="*/ 1506778 h 1616506"/>
                                        <a:gd name="connsiteX14" fmla="*/ 759028 w 1620776"/>
                                        <a:gd name="connsiteY14" fmla="*/ 1616506 h 1616506"/>
                                        <a:gd name="connsiteX15" fmla="*/ 173812 w 1620776"/>
                                        <a:gd name="connsiteY15" fmla="*/ 1415338 h 1616506"/>
                                        <a:gd name="connsiteX16" fmla="*/ 0 w 1620776"/>
                                        <a:gd name="connsiteY16" fmla="*/ 886780 h 1616506"/>
                                        <a:gd name="connsiteX17" fmla="*/ 261594 w 1620776"/>
                                        <a:gd name="connsiteY17" fmla="*/ 263194 h 1616506"/>
                                        <a:gd name="connsiteX18" fmla="*/ 616382 w 1620776"/>
                                        <a:gd name="connsiteY18" fmla="*/ 18135 h 1616506"/>
                                        <a:gd name="connsiteX0" fmla="*/ 616382 w 1620774"/>
                                        <a:gd name="connsiteY0" fmla="*/ 18135 h 1616506"/>
                                        <a:gd name="connsiteX1" fmla="*/ 766329 w 1620774"/>
                                        <a:gd name="connsiteY1" fmla="*/ 120359 h 1616506"/>
                                        <a:gd name="connsiteX2" fmla="*/ 872873 w 1620774"/>
                                        <a:gd name="connsiteY2" fmla="*/ 16230 h 1616506"/>
                                        <a:gd name="connsiteX3" fmla="*/ 1224658 w 1620774"/>
                                        <a:gd name="connsiteY3" fmla="*/ 0 h 1616506"/>
                                        <a:gd name="connsiteX4" fmla="*/ 1266952 w 1620774"/>
                                        <a:gd name="connsiteY4" fmla="*/ 470986 h 1616506"/>
                                        <a:gd name="connsiteX5" fmla="*/ 1296753 w 1620774"/>
                                        <a:gd name="connsiteY5" fmla="*/ 470986 h 1616506"/>
                                        <a:gd name="connsiteX6" fmla="*/ 1442039 w 1620774"/>
                                        <a:gd name="connsiteY6" fmla="*/ 719379 h 1616506"/>
                                        <a:gd name="connsiteX7" fmla="*/ 1486177 w 1620774"/>
                                        <a:gd name="connsiteY7" fmla="*/ 871539 h 1616506"/>
                                        <a:gd name="connsiteX8" fmla="*/ 1620775 w 1620774"/>
                                        <a:gd name="connsiteY8" fmla="*/ 1009098 h 1616506"/>
                                        <a:gd name="connsiteX9" fmla="*/ 1531467 w 1620774"/>
                                        <a:gd name="connsiteY9" fmla="*/ 1052752 h 1616506"/>
                                        <a:gd name="connsiteX10" fmla="*/ 1438663 w 1620774"/>
                                        <a:gd name="connsiteY10" fmla="*/ 1304125 h 1616506"/>
                                        <a:gd name="connsiteX11" fmla="*/ 967705 w 1620774"/>
                                        <a:gd name="connsiteY11" fmla="*/ 1550463 h 1616506"/>
                                        <a:gd name="connsiteX12" fmla="*/ 799262 w 1620774"/>
                                        <a:gd name="connsiteY12" fmla="*/ 1506778 h 1616506"/>
                                        <a:gd name="connsiteX13" fmla="*/ 759028 w 1620774"/>
                                        <a:gd name="connsiteY13" fmla="*/ 1616506 h 1616506"/>
                                        <a:gd name="connsiteX14" fmla="*/ 173812 w 1620774"/>
                                        <a:gd name="connsiteY14" fmla="*/ 1415338 h 1616506"/>
                                        <a:gd name="connsiteX15" fmla="*/ 0 w 1620774"/>
                                        <a:gd name="connsiteY15" fmla="*/ 886780 h 1616506"/>
                                        <a:gd name="connsiteX16" fmla="*/ 261594 w 1620774"/>
                                        <a:gd name="connsiteY16" fmla="*/ 263194 h 1616506"/>
                                        <a:gd name="connsiteX17" fmla="*/ 616382 w 1620774"/>
                                        <a:gd name="connsiteY17" fmla="*/ 18135 h 1616506"/>
                                        <a:gd name="connsiteX0" fmla="*/ 616382 w 1620776"/>
                                        <a:gd name="connsiteY0" fmla="*/ 18135 h 1616506"/>
                                        <a:gd name="connsiteX1" fmla="*/ 766329 w 1620776"/>
                                        <a:gd name="connsiteY1" fmla="*/ 120359 h 1616506"/>
                                        <a:gd name="connsiteX2" fmla="*/ 872873 w 1620776"/>
                                        <a:gd name="connsiteY2" fmla="*/ 16230 h 1616506"/>
                                        <a:gd name="connsiteX3" fmla="*/ 1224658 w 1620776"/>
                                        <a:gd name="connsiteY3" fmla="*/ 0 h 1616506"/>
                                        <a:gd name="connsiteX4" fmla="*/ 1266952 w 1620776"/>
                                        <a:gd name="connsiteY4" fmla="*/ 470986 h 1616506"/>
                                        <a:gd name="connsiteX5" fmla="*/ 1296753 w 1620776"/>
                                        <a:gd name="connsiteY5" fmla="*/ 470986 h 1616506"/>
                                        <a:gd name="connsiteX6" fmla="*/ 1442039 w 1620776"/>
                                        <a:gd name="connsiteY6" fmla="*/ 719379 h 1616506"/>
                                        <a:gd name="connsiteX7" fmla="*/ 1486177 w 1620776"/>
                                        <a:gd name="connsiteY7" fmla="*/ 871539 h 1616506"/>
                                        <a:gd name="connsiteX8" fmla="*/ 1620775 w 1620776"/>
                                        <a:gd name="connsiteY8" fmla="*/ 1009098 h 1616506"/>
                                        <a:gd name="connsiteX9" fmla="*/ 1531467 w 1620776"/>
                                        <a:gd name="connsiteY9" fmla="*/ 1052752 h 1616506"/>
                                        <a:gd name="connsiteX10" fmla="*/ 1438663 w 1620776"/>
                                        <a:gd name="connsiteY10" fmla="*/ 1304125 h 1616506"/>
                                        <a:gd name="connsiteX11" fmla="*/ 799262 w 1620776"/>
                                        <a:gd name="connsiteY11" fmla="*/ 1506778 h 1616506"/>
                                        <a:gd name="connsiteX12" fmla="*/ 759028 w 1620776"/>
                                        <a:gd name="connsiteY12" fmla="*/ 1616506 h 1616506"/>
                                        <a:gd name="connsiteX13" fmla="*/ 173812 w 1620776"/>
                                        <a:gd name="connsiteY13" fmla="*/ 1415338 h 1616506"/>
                                        <a:gd name="connsiteX14" fmla="*/ 0 w 1620776"/>
                                        <a:gd name="connsiteY14" fmla="*/ 886780 h 1616506"/>
                                        <a:gd name="connsiteX15" fmla="*/ 261594 w 1620776"/>
                                        <a:gd name="connsiteY15" fmla="*/ 263194 h 1616506"/>
                                        <a:gd name="connsiteX16" fmla="*/ 616382 w 1620776"/>
                                        <a:gd name="connsiteY16" fmla="*/ 18135 h 1616506"/>
                                        <a:gd name="connsiteX0" fmla="*/ 616382 w 1620774"/>
                                        <a:gd name="connsiteY0" fmla="*/ 18135 h 1506779"/>
                                        <a:gd name="connsiteX1" fmla="*/ 766329 w 1620774"/>
                                        <a:gd name="connsiteY1" fmla="*/ 120359 h 1506779"/>
                                        <a:gd name="connsiteX2" fmla="*/ 872873 w 1620774"/>
                                        <a:gd name="connsiteY2" fmla="*/ 16230 h 1506779"/>
                                        <a:gd name="connsiteX3" fmla="*/ 1224658 w 1620774"/>
                                        <a:gd name="connsiteY3" fmla="*/ 0 h 1506779"/>
                                        <a:gd name="connsiteX4" fmla="*/ 1266952 w 1620774"/>
                                        <a:gd name="connsiteY4" fmla="*/ 470986 h 1506779"/>
                                        <a:gd name="connsiteX5" fmla="*/ 1296753 w 1620774"/>
                                        <a:gd name="connsiteY5" fmla="*/ 470986 h 1506779"/>
                                        <a:gd name="connsiteX6" fmla="*/ 1442039 w 1620774"/>
                                        <a:gd name="connsiteY6" fmla="*/ 719379 h 1506779"/>
                                        <a:gd name="connsiteX7" fmla="*/ 1486177 w 1620774"/>
                                        <a:gd name="connsiteY7" fmla="*/ 871539 h 1506779"/>
                                        <a:gd name="connsiteX8" fmla="*/ 1620775 w 1620774"/>
                                        <a:gd name="connsiteY8" fmla="*/ 1009098 h 1506779"/>
                                        <a:gd name="connsiteX9" fmla="*/ 1531467 w 1620774"/>
                                        <a:gd name="connsiteY9" fmla="*/ 1052752 h 1506779"/>
                                        <a:gd name="connsiteX10" fmla="*/ 1438663 w 1620774"/>
                                        <a:gd name="connsiteY10" fmla="*/ 1304125 h 1506779"/>
                                        <a:gd name="connsiteX11" fmla="*/ 799262 w 1620774"/>
                                        <a:gd name="connsiteY11" fmla="*/ 1506778 h 1506779"/>
                                        <a:gd name="connsiteX12" fmla="*/ 473720 w 1620774"/>
                                        <a:gd name="connsiteY12" fmla="*/ 1465094 h 1506779"/>
                                        <a:gd name="connsiteX13" fmla="*/ 173812 w 1620774"/>
                                        <a:gd name="connsiteY13" fmla="*/ 1415338 h 1506779"/>
                                        <a:gd name="connsiteX14" fmla="*/ 0 w 1620774"/>
                                        <a:gd name="connsiteY14" fmla="*/ 886780 h 1506779"/>
                                        <a:gd name="connsiteX15" fmla="*/ 261594 w 1620774"/>
                                        <a:gd name="connsiteY15" fmla="*/ 263194 h 1506779"/>
                                        <a:gd name="connsiteX16" fmla="*/ 616382 w 1620774"/>
                                        <a:gd name="connsiteY16" fmla="*/ 18135 h 1506779"/>
                                        <a:gd name="connsiteX0" fmla="*/ 616382 w 1620776"/>
                                        <a:gd name="connsiteY0" fmla="*/ 18135 h 1532570"/>
                                        <a:gd name="connsiteX1" fmla="*/ 766329 w 1620776"/>
                                        <a:gd name="connsiteY1" fmla="*/ 120359 h 1532570"/>
                                        <a:gd name="connsiteX2" fmla="*/ 872873 w 1620776"/>
                                        <a:gd name="connsiteY2" fmla="*/ 16230 h 1532570"/>
                                        <a:gd name="connsiteX3" fmla="*/ 1224658 w 1620776"/>
                                        <a:gd name="connsiteY3" fmla="*/ 0 h 1532570"/>
                                        <a:gd name="connsiteX4" fmla="*/ 1266952 w 1620776"/>
                                        <a:gd name="connsiteY4" fmla="*/ 470986 h 1532570"/>
                                        <a:gd name="connsiteX5" fmla="*/ 1296753 w 1620776"/>
                                        <a:gd name="connsiteY5" fmla="*/ 470986 h 1532570"/>
                                        <a:gd name="connsiteX6" fmla="*/ 1442039 w 1620776"/>
                                        <a:gd name="connsiteY6" fmla="*/ 719379 h 1532570"/>
                                        <a:gd name="connsiteX7" fmla="*/ 1486177 w 1620776"/>
                                        <a:gd name="connsiteY7" fmla="*/ 871539 h 1532570"/>
                                        <a:gd name="connsiteX8" fmla="*/ 1620775 w 1620776"/>
                                        <a:gd name="connsiteY8" fmla="*/ 1009098 h 1532570"/>
                                        <a:gd name="connsiteX9" fmla="*/ 1531467 w 1620776"/>
                                        <a:gd name="connsiteY9" fmla="*/ 1052752 h 1532570"/>
                                        <a:gd name="connsiteX10" fmla="*/ 1438663 w 1620776"/>
                                        <a:gd name="connsiteY10" fmla="*/ 1304125 h 1532570"/>
                                        <a:gd name="connsiteX11" fmla="*/ 771506 w 1620776"/>
                                        <a:gd name="connsiteY11" fmla="*/ 1532569 h 1532570"/>
                                        <a:gd name="connsiteX12" fmla="*/ 473720 w 1620776"/>
                                        <a:gd name="connsiteY12" fmla="*/ 1465094 h 1532570"/>
                                        <a:gd name="connsiteX13" fmla="*/ 173812 w 1620776"/>
                                        <a:gd name="connsiteY13" fmla="*/ 1415338 h 1532570"/>
                                        <a:gd name="connsiteX14" fmla="*/ 0 w 1620776"/>
                                        <a:gd name="connsiteY14" fmla="*/ 886780 h 1532570"/>
                                        <a:gd name="connsiteX15" fmla="*/ 261594 w 1620776"/>
                                        <a:gd name="connsiteY15" fmla="*/ 263194 h 1532570"/>
                                        <a:gd name="connsiteX16" fmla="*/ 616382 w 1620776"/>
                                        <a:gd name="connsiteY16" fmla="*/ 18135 h 1532570"/>
                                        <a:gd name="connsiteX0" fmla="*/ 616382 w 1620774"/>
                                        <a:gd name="connsiteY0" fmla="*/ 18135 h 1532568"/>
                                        <a:gd name="connsiteX1" fmla="*/ 766329 w 1620774"/>
                                        <a:gd name="connsiteY1" fmla="*/ 120359 h 1532568"/>
                                        <a:gd name="connsiteX2" fmla="*/ 872873 w 1620774"/>
                                        <a:gd name="connsiteY2" fmla="*/ 16230 h 1532568"/>
                                        <a:gd name="connsiteX3" fmla="*/ 1224658 w 1620774"/>
                                        <a:gd name="connsiteY3" fmla="*/ 0 h 1532568"/>
                                        <a:gd name="connsiteX4" fmla="*/ 1266952 w 1620774"/>
                                        <a:gd name="connsiteY4" fmla="*/ 470986 h 1532568"/>
                                        <a:gd name="connsiteX5" fmla="*/ 1296753 w 1620774"/>
                                        <a:gd name="connsiteY5" fmla="*/ 470986 h 1532568"/>
                                        <a:gd name="connsiteX6" fmla="*/ 1442039 w 1620774"/>
                                        <a:gd name="connsiteY6" fmla="*/ 719379 h 1532568"/>
                                        <a:gd name="connsiteX7" fmla="*/ 1486177 w 1620774"/>
                                        <a:gd name="connsiteY7" fmla="*/ 871539 h 1532568"/>
                                        <a:gd name="connsiteX8" fmla="*/ 1620775 w 1620774"/>
                                        <a:gd name="connsiteY8" fmla="*/ 1009098 h 1532568"/>
                                        <a:gd name="connsiteX9" fmla="*/ 1531467 w 1620774"/>
                                        <a:gd name="connsiteY9" fmla="*/ 1052752 h 1532568"/>
                                        <a:gd name="connsiteX10" fmla="*/ 1438663 w 1620774"/>
                                        <a:gd name="connsiteY10" fmla="*/ 1304125 h 1532568"/>
                                        <a:gd name="connsiteX11" fmla="*/ 771506 w 1620774"/>
                                        <a:gd name="connsiteY11" fmla="*/ 1532569 h 1532568"/>
                                        <a:gd name="connsiteX12" fmla="*/ 473720 w 1620774"/>
                                        <a:gd name="connsiteY12" fmla="*/ 1465094 h 1532568"/>
                                        <a:gd name="connsiteX13" fmla="*/ 324846 w 1620774"/>
                                        <a:gd name="connsiteY13" fmla="*/ 1440376 h 1532568"/>
                                        <a:gd name="connsiteX14" fmla="*/ 173812 w 1620774"/>
                                        <a:gd name="connsiteY14" fmla="*/ 1415338 h 1532568"/>
                                        <a:gd name="connsiteX15" fmla="*/ 0 w 1620774"/>
                                        <a:gd name="connsiteY15" fmla="*/ 886780 h 1532568"/>
                                        <a:gd name="connsiteX16" fmla="*/ 261594 w 1620774"/>
                                        <a:gd name="connsiteY16" fmla="*/ 263194 h 1532568"/>
                                        <a:gd name="connsiteX17" fmla="*/ 616382 w 1620774"/>
                                        <a:gd name="connsiteY17" fmla="*/ 18135 h 1532568"/>
                                        <a:gd name="connsiteX0" fmla="*/ 616382 w 1620776"/>
                                        <a:gd name="connsiteY0" fmla="*/ 18135 h 1532570"/>
                                        <a:gd name="connsiteX1" fmla="*/ 766329 w 1620776"/>
                                        <a:gd name="connsiteY1" fmla="*/ 120359 h 1532570"/>
                                        <a:gd name="connsiteX2" fmla="*/ 872873 w 1620776"/>
                                        <a:gd name="connsiteY2" fmla="*/ 16230 h 1532570"/>
                                        <a:gd name="connsiteX3" fmla="*/ 1224658 w 1620776"/>
                                        <a:gd name="connsiteY3" fmla="*/ 0 h 1532570"/>
                                        <a:gd name="connsiteX4" fmla="*/ 1266952 w 1620776"/>
                                        <a:gd name="connsiteY4" fmla="*/ 470986 h 1532570"/>
                                        <a:gd name="connsiteX5" fmla="*/ 1296753 w 1620776"/>
                                        <a:gd name="connsiteY5" fmla="*/ 470986 h 1532570"/>
                                        <a:gd name="connsiteX6" fmla="*/ 1442039 w 1620776"/>
                                        <a:gd name="connsiteY6" fmla="*/ 719379 h 1532570"/>
                                        <a:gd name="connsiteX7" fmla="*/ 1486177 w 1620776"/>
                                        <a:gd name="connsiteY7" fmla="*/ 871539 h 1532570"/>
                                        <a:gd name="connsiteX8" fmla="*/ 1620775 w 1620776"/>
                                        <a:gd name="connsiteY8" fmla="*/ 1009098 h 1532570"/>
                                        <a:gd name="connsiteX9" fmla="*/ 1531467 w 1620776"/>
                                        <a:gd name="connsiteY9" fmla="*/ 1052752 h 1532570"/>
                                        <a:gd name="connsiteX10" fmla="*/ 1438663 w 1620776"/>
                                        <a:gd name="connsiteY10" fmla="*/ 1304125 h 1532570"/>
                                        <a:gd name="connsiteX11" fmla="*/ 771506 w 1620776"/>
                                        <a:gd name="connsiteY11" fmla="*/ 1532569 h 1532570"/>
                                        <a:gd name="connsiteX12" fmla="*/ 473720 w 1620776"/>
                                        <a:gd name="connsiteY12" fmla="*/ 1465094 h 1532570"/>
                                        <a:gd name="connsiteX13" fmla="*/ 379262 w 1620776"/>
                                        <a:gd name="connsiteY13" fmla="*/ 1283003 h 1532570"/>
                                        <a:gd name="connsiteX14" fmla="*/ 173812 w 1620776"/>
                                        <a:gd name="connsiteY14" fmla="*/ 1415338 h 1532570"/>
                                        <a:gd name="connsiteX15" fmla="*/ 0 w 1620776"/>
                                        <a:gd name="connsiteY15" fmla="*/ 886780 h 1532570"/>
                                        <a:gd name="connsiteX16" fmla="*/ 261594 w 1620776"/>
                                        <a:gd name="connsiteY16" fmla="*/ 263194 h 1532570"/>
                                        <a:gd name="connsiteX17" fmla="*/ 616382 w 1620776"/>
                                        <a:gd name="connsiteY17" fmla="*/ 18135 h 1532570"/>
                                        <a:gd name="connsiteX0" fmla="*/ 616382 w 1620774"/>
                                        <a:gd name="connsiteY0" fmla="*/ 18135 h 1532568"/>
                                        <a:gd name="connsiteX1" fmla="*/ 766329 w 1620774"/>
                                        <a:gd name="connsiteY1" fmla="*/ 120359 h 1532568"/>
                                        <a:gd name="connsiteX2" fmla="*/ 872873 w 1620774"/>
                                        <a:gd name="connsiteY2" fmla="*/ 16230 h 1532568"/>
                                        <a:gd name="connsiteX3" fmla="*/ 1224658 w 1620774"/>
                                        <a:gd name="connsiteY3" fmla="*/ 0 h 1532568"/>
                                        <a:gd name="connsiteX4" fmla="*/ 1266952 w 1620774"/>
                                        <a:gd name="connsiteY4" fmla="*/ 470986 h 1532568"/>
                                        <a:gd name="connsiteX5" fmla="*/ 1296753 w 1620774"/>
                                        <a:gd name="connsiteY5" fmla="*/ 470986 h 1532568"/>
                                        <a:gd name="connsiteX6" fmla="*/ 1442039 w 1620774"/>
                                        <a:gd name="connsiteY6" fmla="*/ 719379 h 1532568"/>
                                        <a:gd name="connsiteX7" fmla="*/ 1486177 w 1620774"/>
                                        <a:gd name="connsiteY7" fmla="*/ 871539 h 1532568"/>
                                        <a:gd name="connsiteX8" fmla="*/ 1620775 w 1620774"/>
                                        <a:gd name="connsiteY8" fmla="*/ 1009098 h 1532568"/>
                                        <a:gd name="connsiteX9" fmla="*/ 1531467 w 1620774"/>
                                        <a:gd name="connsiteY9" fmla="*/ 1052752 h 1532568"/>
                                        <a:gd name="connsiteX10" fmla="*/ 1438663 w 1620774"/>
                                        <a:gd name="connsiteY10" fmla="*/ 1304125 h 1532568"/>
                                        <a:gd name="connsiteX11" fmla="*/ 771506 w 1620774"/>
                                        <a:gd name="connsiteY11" fmla="*/ 1532569 h 1532568"/>
                                        <a:gd name="connsiteX12" fmla="*/ 473720 w 1620774"/>
                                        <a:gd name="connsiteY12" fmla="*/ 1465094 h 1532568"/>
                                        <a:gd name="connsiteX13" fmla="*/ 379262 w 1620774"/>
                                        <a:gd name="connsiteY13" fmla="*/ 1283003 h 1532568"/>
                                        <a:gd name="connsiteX14" fmla="*/ 173812 w 1620774"/>
                                        <a:gd name="connsiteY14" fmla="*/ 1415338 h 1532568"/>
                                        <a:gd name="connsiteX15" fmla="*/ 0 w 1620774"/>
                                        <a:gd name="connsiteY15" fmla="*/ 886780 h 1532568"/>
                                        <a:gd name="connsiteX16" fmla="*/ 261594 w 1620774"/>
                                        <a:gd name="connsiteY16" fmla="*/ 263194 h 1532568"/>
                                        <a:gd name="connsiteX17" fmla="*/ 616382 w 1620774"/>
                                        <a:gd name="connsiteY17" fmla="*/ 18135 h 1532568"/>
                                        <a:gd name="connsiteX0" fmla="*/ 616382 w 1620776"/>
                                        <a:gd name="connsiteY0" fmla="*/ 18135 h 1532570"/>
                                        <a:gd name="connsiteX1" fmla="*/ 766329 w 1620776"/>
                                        <a:gd name="connsiteY1" fmla="*/ 120359 h 1532570"/>
                                        <a:gd name="connsiteX2" fmla="*/ 872873 w 1620776"/>
                                        <a:gd name="connsiteY2" fmla="*/ 16230 h 1532570"/>
                                        <a:gd name="connsiteX3" fmla="*/ 1224658 w 1620776"/>
                                        <a:gd name="connsiteY3" fmla="*/ 0 h 1532570"/>
                                        <a:gd name="connsiteX4" fmla="*/ 1266952 w 1620776"/>
                                        <a:gd name="connsiteY4" fmla="*/ 470986 h 1532570"/>
                                        <a:gd name="connsiteX5" fmla="*/ 1296753 w 1620776"/>
                                        <a:gd name="connsiteY5" fmla="*/ 470986 h 1532570"/>
                                        <a:gd name="connsiteX6" fmla="*/ 1442039 w 1620776"/>
                                        <a:gd name="connsiteY6" fmla="*/ 719379 h 1532570"/>
                                        <a:gd name="connsiteX7" fmla="*/ 1486177 w 1620776"/>
                                        <a:gd name="connsiteY7" fmla="*/ 871539 h 1532570"/>
                                        <a:gd name="connsiteX8" fmla="*/ 1620775 w 1620776"/>
                                        <a:gd name="connsiteY8" fmla="*/ 1009098 h 1532570"/>
                                        <a:gd name="connsiteX9" fmla="*/ 1531467 w 1620776"/>
                                        <a:gd name="connsiteY9" fmla="*/ 1052752 h 1532570"/>
                                        <a:gd name="connsiteX10" fmla="*/ 1438663 w 1620776"/>
                                        <a:gd name="connsiteY10" fmla="*/ 1304125 h 1532570"/>
                                        <a:gd name="connsiteX11" fmla="*/ 771506 w 1620776"/>
                                        <a:gd name="connsiteY11" fmla="*/ 1532569 h 1532570"/>
                                        <a:gd name="connsiteX12" fmla="*/ 473720 w 1620776"/>
                                        <a:gd name="connsiteY12" fmla="*/ 1465094 h 1532570"/>
                                        <a:gd name="connsiteX13" fmla="*/ 379262 w 1620776"/>
                                        <a:gd name="connsiteY13" fmla="*/ 1283003 h 1532570"/>
                                        <a:gd name="connsiteX14" fmla="*/ 173812 w 1620776"/>
                                        <a:gd name="connsiteY14" fmla="*/ 1415338 h 1532570"/>
                                        <a:gd name="connsiteX15" fmla="*/ 0 w 1620776"/>
                                        <a:gd name="connsiteY15" fmla="*/ 886780 h 1532570"/>
                                        <a:gd name="connsiteX16" fmla="*/ 261594 w 1620776"/>
                                        <a:gd name="connsiteY16" fmla="*/ 263194 h 1532570"/>
                                        <a:gd name="connsiteX17" fmla="*/ 616382 w 1620776"/>
                                        <a:gd name="connsiteY17" fmla="*/ 18135 h 1532570"/>
                                        <a:gd name="connsiteX0" fmla="*/ 616382 w 1620774"/>
                                        <a:gd name="connsiteY0" fmla="*/ 18135 h 1532568"/>
                                        <a:gd name="connsiteX1" fmla="*/ 766329 w 1620774"/>
                                        <a:gd name="connsiteY1" fmla="*/ 120359 h 1532568"/>
                                        <a:gd name="connsiteX2" fmla="*/ 872873 w 1620774"/>
                                        <a:gd name="connsiteY2" fmla="*/ 16230 h 1532568"/>
                                        <a:gd name="connsiteX3" fmla="*/ 1224658 w 1620774"/>
                                        <a:gd name="connsiteY3" fmla="*/ 0 h 1532568"/>
                                        <a:gd name="connsiteX4" fmla="*/ 1266952 w 1620774"/>
                                        <a:gd name="connsiteY4" fmla="*/ 470986 h 1532568"/>
                                        <a:gd name="connsiteX5" fmla="*/ 1296753 w 1620774"/>
                                        <a:gd name="connsiteY5" fmla="*/ 470986 h 1532568"/>
                                        <a:gd name="connsiteX6" fmla="*/ 1442039 w 1620774"/>
                                        <a:gd name="connsiteY6" fmla="*/ 719379 h 1532568"/>
                                        <a:gd name="connsiteX7" fmla="*/ 1486177 w 1620774"/>
                                        <a:gd name="connsiteY7" fmla="*/ 871539 h 1532568"/>
                                        <a:gd name="connsiteX8" fmla="*/ 1620775 w 1620774"/>
                                        <a:gd name="connsiteY8" fmla="*/ 1009098 h 1532568"/>
                                        <a:gd name="connsiteX9" fmla="*/ 1531467 w 1620774"/>
                                        <a:gd name="connsiteY9" fmla="*/ 1052752 h 1532568"/>
                                        <a:gd name="connsiteX10" fmla="*/ 1438663 w 1620774"/>
                                        <a:gd name="connsiteY10" fmla="*/ 1304125 h 1532568"/>
                                        <a:gd name="connsiteX11" fmla="*/ 771506 w 1620774"/>
                                        <a:gd name="connsiteY11" fmla="*/ 1532569 h 1532568"/>
                                        <a:gd name="connsiteX12" fmla="*/ 473720 w 1620774"/>
                                        <a:gd name="connsiteY12" fmla="*/ 1465094 h 1532568"/>
                                        <a:gd name="connsiteX13" fmla="*/ 379262 w 1620774"/>
                                        <a:gd name="connsiteY13" fmla="*/ 1283003 h 1532568"/>
                                        <a:gd name="connsiteX14" fmla="*/ 173812 w 1620774"/>
                                        <a:gd name="connsiteY14" fmla="*/ 1415338 h 1532568"/>
                                        <a:gd name="connsiteX15" fmla="*/ 0 w 1620774"/>
                                        <a:gd name="connsiteY15" fmla="*/ 886780 h 1532568"/>
                                        <a:gd name="connsiteX16" fmla="*/ 261594 w 1620774"/>
                                        <a:gd name="connsiteY16" fmla="*/ 263194 h 1532568"/>
                                        <a:gd name="connsiteX17" fmla="*/ 616382 w 1620774"/>
                                        <a:gd name="connsiteY17" fmla="*/ 18135 h 1532568"/>
                                        <a:gd name="connsiteX0" fmla="*/ 616382 w 1620776"/>
                                        <a:gd name="connsiteY0" fmla="*/ 18135 h 1532570"/>
                                        <a:gd name="connsiteX1" fmla="*/ 766329 w 1620776"/>
                                        <a:gd name="connsiteY1" fmla="*/ 120359 h 1532570"/>
                                        <a:gd name="connsiteX2" fmla="*/ 872873 w 1620776"/>
                                        <a:gd name="connsiteY2" fmla="*/ 16230 h 1532570"/>
                                        <a:gd name="connsiteX3" fmla="*/ 1224658 w 1620776"/>
                                        <a:gd name="connsiteY3" fmla="*/ 0 h 1532570"/>
                                        <a:gd name="connsiteX4" fmla="*/ 1266952 w 1620776"/>
                                        <a:gd name="connsiteY4" fmla="*/ 470986 h 1532570"/>
                                        <a:gd name="connsiteX5" fmla="*/ 1296753 w 1620776"/>
                                        <a:gd name="connsiteY5" fmla="*/ 470986 h 1532570"/>
                                        <a:gd name="connsiteX6" fmla="*/ 1442039 w 1620776"/>
                                        <a:gd name="connsiteY6" fmla="*/ 719379 h 1532570"/>
                                        <a:gd name="connsiteX7" fmla="*/ 1486177 w 1620776"/>
                                        <a:gd name="connsiteY7" fmla="*/ 871539 h 1532570"/>
                                        <a:gd name="connsiteX8" fmla="*/ 1620775 w 1620776"/>
                                        <a:gd name="connsiteY8" fmla="*/ 1009098 h 1532570"/>
                                        <a:gd name="connsiteX9" fmla="*/ 1531467 w 1620776"/>
                                        <a:gd name="connsiteY9" fmla="*/ 1052752 h 1532570"/>
                                        <a:gd name="connsiteX10" fmla="*/ 1438663 w 1620776"/>
                                        <a:gd name="connsiteY10" fmla="*/ 1304125 h 1532570"/>
                                        <a:gd name="connsiteX11" fmla="*/ 771506 w 1620776"/>
                                        <a:gd name="connsiteY11" fmla="*/ 1532569 h 1532570"/>
                                        <a:gd name="connsiteX12" fmla="*/ 492633 w 1620776"/>
                                        <a:gd name="connsiteY12" fmla="*/ 1457529 h 1532570"/>
                                        <a:gd name="connsiteX13" fmla="*/ 379262 w 1620776"/>
                                        <a:gd name="connsiteY13" fmla="*/ 1283003 h 1532570"/>
                                        <a:gd name="connsiteX14" fmla="*/ 173812 w 1620776"/>
                                        <a:gd name="connsiteY14" fmla="*/ 1415338 h 1532570"/>
                                        <a:gd name="connsiteX15" fmla="*/ 0 w 1620776"/>
                                        <a:gd name="connsiteY15" fmla="*/ 886780 h 1532570"/>
                                        <a:gd name="connsiteX16" fmla="*/ 261594 w 1620776"/>
                                        <a:gd name="connsiteY16" fmla="*/ 263194 h 1532570"/>
                                        <a:gd name="connsiteX17" fmla="*/ 616382 w 1620776"/>
                                        <a:gd name="connsiteY17" fmla="*/ 18135 h 1532570"/>
                                        <a:gd name="connsiteX0" fmla="*/ 616382 w 1620774"/>
                                        <a:gd name="connsiteY0" fmla="*/ 18135 h 1532568"/>
                                        <a:gd name="connsiteX1" fmla="*/ 766329 w 1620774"/>
                                        <a:gd name="connsiteY1" fmla="*/ 120359 h 1532568"/>
                                        <a:gd name="connsiteX2" fmla="*/ 872873 w 1620774"/>
                                        <a:gd name="connsiteY2" fmla="*/ 16230 h 1532568"/>
                                        <a:gd name="connsiteX3" fmla="*/ 1224658 w 1620774"/>
                                        <a:gd name="connsiteY3" fmla="*/ 0 h 1532568"/>
                                        <a:gd name="connsiteX4" fmla="*/ 1266952 w 1620774"/>
                                        <a:gd name="connsiteY4" fmla="*/ 470986 h 1532568"/>
                                        <a:gd name="connsiteX5" fmla="*/ 1417796 w 1620774"/>
                                        <a:gd name="connsiteY5" fmla="*/ 505026 h 1532568"/>
                                        <a:gd name="connsiteX6" fmla="*/ 1442039 w 1620774"/>
                                        <a:gd name="connsiteY6" fmla="*/ 719379 h 1532568"/>
                                        <a:gd name="connsiteX7" fmla="*/ 1486177 w 1620774"/>
                                        <a:gd name="connsiteY7" fmla="*/ 871539 h 1532568"/>
                                        <a:gd name="connsiteX8" fmla="*/ 1620775 w 1620774"/>
                                        <a:gd name="connsiteY8" fmla="*/ 1009098 h 1532568"/>
                                        <a:gd name="connsiteX9" fmla="*/ 1531467 w 1620774"/>
                                        <a:gd name="connsiteY9" fmla="*/ 1052752 h 1532568"/>
                                        <a:gd name="connsiteX10" fmla="*/ 1438663 w 1620774"/>
                                        <a:gd name="connsiteY10" fmla="*/ 1304125 h 1532568"/>
                                        <a:gd name="connsiteX11" fmla="*/ 771506 w 1620774"/>
                                        <a:gd name="connsiteY11" fmla="*/ 1532569 h 1532568"/>
                                        <a:gd name="connsiteX12" fmla="*/ 492633 w 1620774"/>
                                        <a:gd name="connsiteY12" fmla="*/ 1457529 h 1532568"/>
                                        <a:gd name="connsiteX13" fmla="*/ 379262 w 1620774"/>
                                        <a:gd name="connsiteY13" fmla="*/ 1283003 h 1532568"/>
                                        <a:gd name="connsiteX14" fmla="*/ 173812 w 1620774"/>
                                        <a:gd name="connsiteY14" fmla="*/ 1415338 h 1532568"/>
                                        <a:gd name="connsiteX15" fmla="*/ 0 w 1620774"/>
                                        <a:gd name="connsiteY15" fmla="*/ 886780 h 1532568"/>
                                        <a:gd name="connsiteX16" fmla="*/ 261594 w 1620774"/>
                                        <a:gd name="connsiteY16" fmla="*/ 263194 h 1532568"/>
                                        <a:gd name="connsiteX17" fmla="*/ 616382 w 1620774"/>
                                        <a:gd name="connsiteY17" fmla="*/ 18135 h 1532568"/>
                                        <a:gd name="connsiteX0" fmla="*/ 616382 w 1620776"/>
                                        <a:gd name="connsiteY0" fmla="*/ 18135 h 1532570"/>
                                        <a:gd name="connsiteX1" fmla="*/ 766329 w 1620776"/>
                                        <a:gd name="connsiteY1" fmla="*/ 120359 h 1532570"/>
                                        <a:gd name="connsiteX2" fmla="*/ 872873 w 1620776"/>
                                        <a:gd name="connsiteY2" fmla="*/ 16230 h 1532570"/>
                                        <a:gd name="connsiteX3" fmla="*/ 1224658 w 1620776"/>
                                        <a:gd name="connsiteY3" fmla="*/ 0 h 1532570"/>
                                        <a:gd name="connsiteX4" fmla="*/ 1376647 w 1620776"/>
                                        <a:gd name="connsiteY4" fmla="*/ 406693 h 1532570"/>
                                        <a:gd name="connsiteX5" fmla="*/ 1417796 w 1620776"/>
                                        <a:gd name="connsiteY5" fmla="*/ 505026 h 1532570"/>
                                        <a:gd name="connsiteX6" fmla="*/ 1442039 w 1620776"/>
                                        <a:gd name="connsiteY6" fmla="*/ 719379 h 1532570"/>
                                        <a:gd name="connsiteX7" fmla="*/ 1486177 w 1620776"/>
                                        <a:gd name="connsiteY7" fmla="*/ 871539 h 1532570"/>
                                        <a:gd name="connsiteX8" fmla="*/ 1620775 w 1620776"/>
                                        <a:gd name="connsiteY8" fmla="*/ 1009098 h 1532570"/>
                                        <a:gd name="connsiteX9" fmla="*/ 1531467 w 1620776"/>
                                        <a:gd name="connsiteY9" fmla="*/ 1052752 h 1532570"/>
                                        <a:gd name="connsiteX10" fmla="*/ 1438663 w 1620776"/>
                                        <a:gd name="connsiteY10" fmla="*/ 1304125 h 1532570"/>
                                        <a:gd name="connsiteX11" fmla="*/ 771506 w 1620776"/>
                                        <a:gd name="connsiteY11" fmla="*/ 1532569 h 1532570"/>
                                        <a:gd name="connsiteX12" fmla="*/ 492633 w 1620776"/>
                                        <a:gd name="connsiteY12" fmla="*/ 1457529 h 1532570"/>
                                        <a:gd name="connsiteX13" fmla="*/ 379262 w 1620776"/>
                                        <a:gd name="connsiteY13" fmla="*/ 1283003 h 1532570"/>
                                        <a:gd name="connsiteX14" fmla="*/ 173812 w 1620776"/>
                                        <a:gd name="connsiteY14" fmla="*/ 1415338 h 1532570"/>
                                        <a:gd name="connsiteX15" fmla="*/ 0 w 1620776"/>
                                        <a:gd name="connsiteY15" fmla="*/ 886780 h 1532570"/>
                                        <a:gd name="connsiteX16" fmla="*/ 261594 w 1620776"/>
                                        <a:gd name="connsiteY16" fmla="*/ 263194 h 1532570"/>
                                        <a:gd name="connsiteX17" fmla="*/ 616382 w 1620776"/>
                                        <a:gd name="connsiteY17" fmla="*/ 18135 h 1532570"/>
                                        <a:gd name="connsiteX0" fmla="*/ 616382 w 1620774"/>
                                        <a:gd name="connsiteY0" fmla="*/ 18135 h 1532568"/>
                                        <a:gd name="connsiteX1" fmla="*/ 766329 w 1620774"/>
                                        <a:gd name="connsiteY1" fmla="*/ 120359 h 1532568"/>
                                        <a:gd name="connsiteX2" fmla="*/ 872873 w 1620774"/>
                                        <a:gd name="connsiteY2" fmla="*/ 16230 h 1532568"/>
                                        <a:gd name="connsiteX3" fmla="*/ 1224658 w 1620774"/>
                                        <a:gd name="connsiteY3" fmla="*/ 0 h 1532568"/>
                                        <a:gd name="connsiteX4" fmla="*/ 1270735 w 1620774"/>
                                        <a:gd name="connsiteY4" fmla="*/ 471096 h 1532568"/>
                                        <a:gd name="connsiteX5" fmla="*/ 1417796 w 1620774"/>
                                        <a:gd name="connsiteY5" fmla="*/ 505026 h 1532568"/>
                                        <a:gd name="connsiteX6" fmla="*/ 1442039 w 1620774"/>
                                        <a:gd name="connsiteY6" fmla="*/ 719379 h 1532568"/>
                                        <a:gd name="connsiteX7" fmla="*/ 1486177 w 1620774"/>
                                        <a:gd name="connsiteY7" fmla="*/ 871539 h 1532568"/>
                                        <a:gd name="connsiteX8" fmla="*/ 1620775 w 1620774"/>
                                        <a:gd name="connsiteY8" fmla="*/ 1009098 h 1532568"/>
                                        <a:gd name="connsiteX9" fmla="*/ 1531467 w 1620774"/>
                                        <a:gd name="connsiteY9" fmla="*/ 1052752 h 1532568"/>
                                        <a:gd name="connsiteX10" fmla="*/ 1438663 w 1620774"/>
                                        <a:gd name="connsiteY10" fmla="*/ 1304125 h 1532568"/>
                                        <a:gd name="connsiteX11" fmla="*/ 771506 w 1620774"/>
                                        <a:gd name="connsiteY11" fmla="*/ 1532569 h 1532568"/>
                                        <a:gd name="connsiteX12" fmla="*/ 492633 w 1620774"/>
                                        <a:gd name="connsiteY12" fmla="*/ 1457529 h 1532568"/>
                                        <a:gd name="connsiteX13" fmla="*/ 379262 w 1620774"/>
                                        <a:gd name="connsiteY13" fmla="*/ 1283003 h 1532568"/>
                                        <a:gd name="connsiteX14" fmla="*/ 173812 w 1620774"/>
                                        <a:gd name="connsiteY14" fmla="*/ 1415338 h 1532568"/>
                                        <a:gd name="connsiteX15" fmla="*/ 0 w 1620774"/>
                                        <a:gd name="connsiteY15" fmla="*/ 886780 h 1532568"/>
                                        <a:gd name="connsiteX16" fmla="*/ 261594 w 1620774"/>
                                        <a:gd name="connsiteY16" fmla="*/ 263194 h 1532568"/>
                                        <a:gd name="connsiteX17" fmla="*/ 616382 w 1620774"/>
                                        <a:gd name="connsiteY17" fmla="*/ 18135 h 1532568"/>
                                        <a:gd name="connsiteX0" fmla="*/ 616382 w 1620776"/>
                                        <a:gd name="connsiteY0" fmla="*/ 18135 h 1532570"/>
                                        <a:gd name="connsiteX1" fmla="*/ 766329 w 1620776"/>
                                        <a:gd name="connsiteY1" fmla="*/ 120359 h 1532570"/>
                                        <a:gd name="connsiteX2" fmla="*/ 872873 w 1620776"/>
                                        <a:gd name="connsiteY2" fmla="*/ 16230 h 1532570"/>
                                        <a:gd name="connsiteX3" fmla="*/ 1224658 w 1620776"/>
                                        <a:gd name="connsiteY3" fmla="*/ 0 h 1532570"/>
                                        <a:gd name="connsiteX4" fmla="*/ 1274517 w 1620776"/>
                                        <a:gd name="connsiteY4" fmla="*/ 471096 h 1532570"/>
                                        <a:gd name="connsiteX5" fmla="*/ 1417796 w 1620776"/>
                                        <a:gd name="connsiteY5" fmla="*/ 505026 h 1532570"/>
                                        <a:gd name="connsiteX6" fmla="*/ 1442039 w 1620776"/>
                                        <a:gd name="connsiteY6" fmla="*/ 719379 h 1532570"/>
                                        <a:gd name="connsiteX7" fmla="*/ 1486177 w 1620776"/>
                                        <a:gd name="connsiteY7" fmla="*/ 871539 h 1532570"/>
                                        <a:gd name="connsiteX8" fmla="*/ 1620775 w 1620776"/>
                                        <a:gd name="connsiteY8" fmla="*/ 1009098 h 1532570"/>
                                        <a:gd name="connsiteX9" fmla="*/ 1531467 w 1620776"/>
                                        <a:gd name="connsiteY9" fmla="*/ 1052752 h 1532570"/>
                                        <a:gd name="connsiteX10" fmla="*/ 1438663 w 1620776"/>
                                        <a:gd name="connsiteY10" fmla="*/ 1304125 h 1532570"/>
                                        <a:gd name="connsiteX11" fmla="*/ 771506 w 1620776"/>
                                        <a:gd name="connsiteY11" fmla="*/ 1532569 h 1532570"/>
                                        <a:gd name="connsiteX12" fmla="*/ 492633 w 1620776"/>
                                        <a:gd name="connsiteY12" fmla="*/ 1457529 h 1532570"/>
                                        <a:gd name="connsiteX13" fmla="*/ 379262 w 1620776"/>
                                        <a:gd name="connsiteY13" fmla="*/ 1283003 h 1532570"/>
                                        <a:gd name="connsiteX14" fmla="*/ 173812 w 1620776"/>
                                        <a:gd name="connsiteY14" fmla="*/ 1415338 h 1532570"/>
                                        <a:gd name="connsiteX15" fmla="*/ 0 w 1620776"/>
                                        <a:gd name="connsiteY15" fmla="*/ 886780 h 1532570"/>
                                        <a:gd name="connsiteX16" fmla="*/ 261594 w 1620776"/>
                                        <a:gd name="connsiteY16" fmla="*/ 263194 h 1532570"/>
                                        <a:gd name="connsiteX17" fmla="*/ 616382 w 1620776"/>
                                        <a:gd name="connsiteY17" fmla="*/ 18135 h 1532570"/>
                                        <a:gd name="connsiteX0" fmla="*/ 616382 w 1620774"/>
                                        <a:gd name="connsiteY0" fmla="*/ 18135 h 1532568"/>
                                        <a:gd name="connsiteX1" fmla="*/ 766329 w 1620774"/>
                                        <a:gd name="connsiteY1" fmla="*/ 120359 h 1532568"/>
                                        <a:gd name="connsiteX2" fmla="*/ 872873 w 1620774"/>
                                        <a:gd name="connsiteY2" fmla="*/ 16230 h 1532568"/>
                                        <a:gd name="connsiteX3" fmla="*/ 1224658 w 1620774"/>
                                        <a:gd name="connsiteY3" fmla="*/ 0 h 1532568"/>
                                        <a:gd name="connsiteX4" fmla="*/ 1295485 w 1620774"/>
                                        <a:gd name="connsiteY4" fmla="*/ 471096 h 1532568"/>
                                        <a:gd name="connsiteX5" fmla="*/ 1417796 w 1620774"/>
                                        <a:gd name="connsiteY5" fmla="*/ 505026 h 1532568"/>
                                        <a:gd name="connsiteX6" fmla="*/ 1442039 w 1620774"/>
                                        <a:gd name="connsiteY6" fmla="*/ 719379 h 1532568"/>
                                        <a:gd name="connsiteX7" fmla="*/ 1486177 w 1620774"/>
                                        <a:gd name="connsiteY7" fmla="*/ 871539 h 1532568"/>
                                        <a:gd name="connsiteX8" fmla="*/ 1620775 w 1620774"/>
                                        <a:gd name="connsiteY8" fmla="*/ 1009098 h 1532568"/>
                                        <a:gd name="connsiteX9" fmla="*/ 1531467 w 1620774"/>
                                        <a:gd name="connsiteY9" fmla="*/ 1052752 h 1532568"/>
                                        <a:gd name="connsiteX10" fmla="*/ 1438663 w 1620774"/>
                                        <a:gd name="connsiteY10" fmla="*/ 1304125 h 1532568"/>
                                        <a:gd name="connsiteX11" fmla="*/ 771506 w 1620774"/>
                                        <a:gd name="connsiteY11" fmla="*/ 1532569 h 1532568"/>
                                        <a:gd name="connsiteX12" fmla="*/ 492633 w 1620774"/>
                                        <a:gd name="connsiteY12" fmla="*/ 1457529 h 1532568"/>
                                        <a:gd name="connsiteX13" fmla="*/ 379262 w 1620774"/>
                                        <a:gd name="connsiteY13" fmla="*/ 1283003 h 1532568"/>
                                        <a:gd name="connsiteX14" fmla="*/ 173812 w 1620774"/>
                                        <a:gd name="connsiteY14" fmla="*/ 1415338 h 1532568"/>
                                        <a:gd name="connsiteX15" fmla="*/ 0 w 1620774"/>
                                        <a:gd name="connsiteY15" fmla="*/ 886780 h 1532568"/>
                                        <a:gd name="connsiteX16" fmla="*/ 261594 w 1620774"/>
                                        <a:gd name="connsiteY16" fmla="*/ 263194 h 1532568"/>
                                        <a:gd name="connsiteX17" fmla="*/ 616382 w 1620774"/>
                                        <a:gd name="connsiteY17" fmla="*/ 18135 h 1532568"/>
                                        <a:gd name="connsiteX0" fmla="*/ 616382 w 1620776"/>
                                        <a:gd name="connsiteY0" fmla="*/ 18135 h 1532570"/>
                                        <a:gd name="connsiteX1" fmla="*/ 766329 w 1620776"/>
                                        <a:gd name="connsiteY1" fmla="*/ 120359 h 1532570"/>
                                        <a:gd name="connsiteX2" fmla="*/ 872873 w 1620776"/>
                                        <a:gd name="connsiteY2" fmla="*/ 16230 h 1532570"/>
                                        <a:gd name="connsiteX3" fmla="*/ 1224658 w 1620776"/>
                                        <a:gd name="connsiteY3" fmla="*/ 0 h 1532570"/>
                                        <a:gd name="connsiteX4" fmla="*/ 1295486 w 1620776"/>
                                        <a:gd name="connsiteY4" fmla="*/ 471096 h 1532570"/>
                                        <a:gd name="connsiteX5" fmla="*/ 1417796 w 1620776"/>
                                        <a:gd name="connsiteY5" fmla="*/ 505026 h 1532570"/>
                                        <a:gd name="connsiteX6" fmla="*/ 1442039 w 1620776"/>
                                        <a:gd name="connsiteY6" fmla="*/ 719379 h 1532570"/>
                                        <a:gd name="connsiteX7" fmla="*/ 1486177 w 1620776"/>
                                        <a:gd name="connsiteY7" fmla="*/ 871539 h 1532570"/>
                                        <a:gd name="connsiteX8" fmla="*/ 1620775 w 1620776"/>
                                        <a:gd name="connsiteY8" fmla="*/ 1009098 h 1532570"/>
                                        <a:gd name="connsiteX9" fmla="*/ 1531467 w 1620776"/>
                                        <a:gd name="connsiteY9" fmla="*/ 1052752 h 1532570"/>
                                        <a:gd name="connsiteX10" fmla="*/ 1438663 w 1620776"/>
                                        <a:gd name="connsiteY10" fmla="*/ 1304125 h 1532570"/>
                                        <a:gd name="connsiteX11" fmla="*/ 771506 w 1620776"/>
                                        <a:gd name="connsiteY11" fmla="*/ 1532569 h 1532570"/>
                                        <a:gd name="connsiteX12" fmla="*/ 492633 w 1620776"/>
                                        <a:gd name="connsiteY12" fmla="*/ 1457529 h 1532570"/>
                                        <a:gd name="connsiteX13" fmla="*/ 379262 w 1620776"/>
                                        <a:gd name="connsiteY13" fmla="*/ 1283003 h 1532570"/>
                                        <a:gd name="connsiteX14" fmla="*/ 173812 w 1620776"/>
                                        <a:gd name="connsiteY14" fmla="*/ 1415338 h 1532570"/>
                                        <a:gd name="connsiteX15" fmla="*/ 0 w 1620776"/>
                                        <a:gd name="connsiteY15" fmla="*/ 886780 h 1532570"/>
                                        <a:gd name="connsiteX16" fmla="*/ 261594 w 1620776"/>
                                        <a:gd name="connsiteY16" fmla="*/ 263194 h 1532570"/>
                                        <a:gd name="connsiteX17" fmla="*/ 616382 w 1620776"/>
                                        <a:gd name="connsiteY17" fmla="*/ 18135 h 1532570"/>
                                        <a:gd name="connsiteX0" fmla="*/ 616382 w 1620774"/>
                                        <a:gd name="connsiteY0" fmla="*/ 18135 h 1532568"/>
                                        <a:gd name="connsiteX1" fmla="*/ 766329 w 1620774"/>
                                        <a:gd name="connsiteY1" fmla="*/ 120359 h 1532568"/>
                                        <a:gd name="connsiteX2" fmla="*/ 872873 w 1620774"/>
                                        <a:gd name="connsiteY2" fmla="*/ 16230 h 1532568"/>
                                        <a:gd name="connsiteX3" fmla="*/ 1224658 w 1620774"/>
                                        <a:gd name="connsiteY3" fmla="*/ 0 h 1532568"/>
                                        <a:gd name="connsiteX4" fmla="*/ 1276572 w 1620774"/>
                                        <a:gd name="connsiteY4" fmla="*/ 471096 h 1532568"/>
                                        <a:gd name="connsiteX5" fmla="*/ 1417796 w 1620774"/>
                                        <a:gd name="connsiteY5" fmla="*/ 505026 h 1532568"/>
                                        <a:gd name="connsiteX6" fmla="*/ 1442039 w 1620774"/>
                                        <a:gd name="connsiteY6" fmla="*/ 719379 h 1532568"/>
                                        <a:gd name="connsiteX7" fmla="*/ 1486177 w 1620774"/>
                                        <a:gd name="connsiteY7" fmla="*/ 871539 h 1532568"/>
                                        <a:gd name="connsiteX8" fmla="*/ 1620775 w 1620774"/>
                                        <a:gd name="connsiteY8" fmla="*/ 1009098 h 1532568"/>
                                        <a:gd name="connsiteX9" fmla="*/ 1531467 w 1620774"/>
                                        <a:gd name="connsiteY9" fmla="*/ 1052752 h 1532568"/>
                                        <a:gd name="connsiteX10" fmla="*/ 1438663 w 1620774"/>
                                        <a:gd name="connsiteY10" fmla="*/ 1304125 h 1532568"/>
                                        <a:gd name="connsiteX11" fmla="*/ 771506 w 1620774"/>
                                        <a:gd name="connsiteY11" fmla="*/ 1532569 h 1532568"/>
                                        <a:gd name="connsiteX12" fmla="*/ 492633 w 1620774"/>
                                        <a:gd name="connsiteY12" fmla="*/ 1457529 h 1532568"/>
                                        <a:gd name="connsiteX13" fmla="*/ 379262 w 1620774"/>
                                        <a:gd name="connsiteY13" fmla="*/ 1283003 h 1532568"/>
                                        <a:gd name="connsiteX14" fmla="*/ 173812 w 1620774"/>
                                        <a:gd name="connsiteY14" fmla="*/ 1415338 h 1532568"/>
                                        <a:gd name="connsiteX15" fmla="*/ 0 w 1620774"/>
                                        <a:gd name="connsiteY15" fmla="*/ 886780 h 1532568"/>
                                        <a:gd name="connsiteX16" fmla="*/ 261594 w 1620774"/>
                                        <a:gd name="connsiteY16" fmla="*/ 263194 h 1532568"/>
                                        <a:gd name="connsiteX17" fmla="*/ 616382 w 1620774"/>
                                        <a:gd name="connsiteY17" fmla="*/ 18135 h 1532568"/>
                                        <a:gd name="connsiteX0" fmla="*/ 616382 w 1620776"/>
                                        <a:gd name="connsiteY0" fmla="*/ 18135 h 1532570"/>
                                        <a:gd name="connsiteX1" fmla="*/ 766329 w 1620776"/>
                                        <a:gd name="connsiteY1" fmla="*/ 120359 h 1532570"/>
                                        <a:gd name="connsiteX2" fmla="*/ 872873 w 1620776"/>
                                        <a:gd name="connsiteY2" fmla="*/ 16230 h 1532570"/>
                                        <a:gd name="connsiteX3" fmla="*/ 1224658 w 1620776"/>
                                        <a:gd name="connsiteY3" fmla="*/ 0 h 1532570"/>
                                        <a:gd name="connsiteX4" fmla="*/ 1276572 w 1620776"/>
                                        <a:gd name="connsiteY4" fmla="*/ 471096 h 1532570"/>
                                        <a:gd name="connsiteX5" fmla="*/ 1295486 w 1620776"/>
                                        <a:gd name="connsiteY5" fmla="*/ 471096 h 1532570"/>
                                        <a:gd name="connsiteX6" fmla="*/ 1442039 w 1620776"/>
                                        <a:gd name="connsiteY6" fmla="*/ 719379 h 1532570"/>
                                        <a:gd name="connsiteX7" fmla="*/ 1486177 w 1620776"/>
                                        <a:gd name="connsiteY7" fmla="*/ 871539 h 1532570"/>
                                        <a:gd name="connsiteX8" fmla="*/ 1620775 w 1620776"/>
                                        <a:gd name="connsiteY8" fmla="*/ 1009098 h 1532570"/>
                                        <a:gd name="connsiteX9" fmla="*/ 1531467 w 1620776"/>
                                        <a:gd name="connsiteY9" fmla="*/ 1052752 h 1532570"/>
                                        <a:gd name="connsiteX10" fmla="*/ 1438663 w 1620776"/>
                                        <a:gd name="connsiteY10" fmla="*/ 1304125 h 1532570"/>
                                        <a:gd name="connsiteX11" fmla="*/ 771506 w 1620776"/>
                                        <a:gd name="connsiteY11" fmla="*/ 1532569 h 1532570"/>
                                        <a:gd name="connsiteX12" fmla="*/ 492633 w 1620776"/>
                                        <a:gd name="connsiteY12" fmla="*/ 1457529 h 1532570"/>
                                        <a:gd name="connsiteX13" fmla="*/ 379262 w 1620776"/>
                                        <a:gd name="connsiteY13" fmla="*/ 1283003 h 1532570"/>
                                        <a:gd name="connsiteX14" fmla="*/ 173812 w 1620776"/>
                                        <a:gd name="connsiteY14" fmla="*/ 1415338 h 1532570"/>
                                        <a:gd name="connsiteX15" fmla="*/ 0 w 1620776"/>
                                        <a:gd name="connsiteY15" fmla="*/ 886780 h 1532570"/>
                                        <a:gd name="connsiteX16" fmla="*/ 261594 w 1620776"/>
                                        <a:gd name="connsiteY16" fmla="*/ 263194 h 1532570"/>
                                        <a:gd name="connsiteX17" fmla="*/ 616382 w 1620776"/>
                                        <a:gd name="connsiteY17" fmla="*/ 18135 h 1532570"/>
                                        <a:gd name="connsiteX0" fmla="*/ 616382 w 1620774"/>
                                        <a:gd name="connsiteY0" fmla="*/ 18135 h 1532568"/>
                                        <a:gd name="connsiteX1" fmla="*/ 766329 w 1620774"/>
                                        <a:gd name="connsiteY1" fmla="*/ 120359 h 1532568"/>
                                        <a:gd name="connsiteX2" fmla="*/ 872873 w 1620774"/>
                                        <a:gd name="connsiteY2" fmla="*/ 16230 h 1532568"/>
                                        <a:gd name="connsiteX3" fmla="*/ 1224658 w 1620774"/>
                                        <a:gd name="connsiteY3" fmla="*/ 0 h 1532568"/>
                                        <a:gd name="connsiteX4" fmla="*/ 1276572 w 1620774"/>
                                        <a:gd name="connsiteY4" fmla="*/ 471096 h 1532568"/>
                                        <a:gd name="connsiteX5" fmla="*/ 1295486 w 1620774"/>
                                        <a:gd name="connsiteY5" fmla="*/ 471096 h 1532568"/>
                                        <a:gd name="connsiteX6" fmla="*/ 1337347 w 1620774"/>
                                        <a:gd name="connsiteY6" fmla="*/ 542740 h 1532568"/>
                                        <a:gd name="connsiteX7" fmla="*/ 1442039 w 1620774"/>
                                        <a:gd name="connsiteY7" fmla="*/ 719379 h 1532568"/>
                                        <a:gd name="connsiteX8" fmla="*/ 1486177 w 1620774"/>
                                        <a:gd name="connsiteY8" fmla="*/ 871539 h 1532568"/>
                                        <a:gd name="connsiteX9" fmla="*/ 1620775 w 1620774"/>
                                        <a:gd name="connsiteY9" fmla="*/ 1009098 h 1532568"/>
                                        <a:gd name="connsiteX10" fmla="*/ 1531467 w 1620774"/>
                                        <a:gd name="connsiteY10" fmla="*/ 1052752 h 1532568"/>
                                        <a:gd name="connsiteX11" fmla="*/ 1438663 w 1620774"/>
                                        <a:gd name="connsiteY11" fmla="*/ 1304125 h 1532568"/>
                                        <a:gd name="connsiteX12" fmla="*/ 771506 w 1620774"/>
                                        <a:gd name="connsiteY12" fmla="*/ 1532569 h 1532568"/>
                                        <a:gd name="connsiteX13" fmla="*/ 492633 w 1620774"/>
                                        <a:gd name="connsiteY13" fmla="*/ 1457529 h 1532568"/>
                                        <a:gd name="connsiteX14" fmla="*/ 379262 w 1620774"/>
                                        <a:gd name="connsiteY14" fmla="*/ 1283003 h 1532568"/>
                                        <a:gd name="connsiteX15" fmla="*/ 173812 w 1620774"/>
                                        <a:gd name="connsiteY15" fmla="*/ 1415338 h 1532568"/>
                                        <a:gd name="connsiteX16" fmla="*/ 0 w 1620774"/>
                                        <a:gd name="connsiteY16" fmla="*/ 886780 h 1532568"/>
                                        <a:gd name="connsiteX17" fmla="*/ 261594 w 1620774"/>
                                        <a:gd name="connsiteY17" fmla="*/ 263194 h 1532568"/>
                                        <a:gd name="connsiteX18" fmla="*/ 616382 w 1620774"/>
                                        <a:gd name="connsiteY18" fmla="*/ 18135 h 1532568"/>
                                        <a:gd name="connsiteX0" fmla="*/ 616382 w 1620776"/>
                                        <a:gd name="connsiteY0" fmla="*/ 18135 h 1532570"/>
                                        <a:gd name="connsiteX1" fmla="*/ 766329 w 1620776"/>
                                        <a:gd name="connsiteY1" fmla="*/ 120359 h 1532570"/>
                                        <a:gd name="connsiteX2" fmla="*/ 872873 w 1620776"/>
                                        <a:gd name="connsiteY2" fmla="*/ 16230 h 1532570"/>
                                        <a:gd name="connsiteX3" fmla="*/ 1224658 w 1620776"/>
                                        <a:gd name="connsiteY3" fmla="*/ 0 h 1532570"/>
                                        <a:gd name="connsiteX4" fmla="*/ 1276572 w 1620776"/>
                                        <a:gd name="connsiteY4" fmla="*/ 471096 h 1532570"/>
                                        <a:gd name="connsiteX5" fmla="*/ 1295486 w 1620776"/>
                                        <a:gd name="connsiteY5" fmla="*/ 471096 h 1532570"/>
                                        <a:gd name="connsiteX6" fmla="*/ 1295486 w 1620776"/>
                                        <a:gd name="connsiteY6" fmla="*/ 508703 h 1532570"/>
                                        <a:gd name="connsiteX7" fmla="*/ 1442039 w 1620776"/>
                                        <a:gd name="connsiteY7" fmla="*/ 719379 h 1532570"/>
                                        <a:gd name="connsiteX8" fmla="*/ 1486177 w 1620776"/>
                                        <a:gd name="connsiteY8" fmla="*/ 871539 h 1532570"/>
                                        <a:gd name="connsiteX9" fmla="*/ 1620775 w 1620776"/>
                                        <a:gd name="connsiteY9" fmla="*/ 1009098 h 1532570"/>
                                        <a:gd name="connsiteX10" fmla="*/ 1531467 w 1620776"/>
                                        <a:gd name="connsiteY10" fmla="*/ 1052752 h 1532570"/>
                                        <a:gd name="connsiteX11" fmla="*/ 1438663 w 1620776"/>
                                        <a:gd name="connsiteY11" fmla="*/ 1304125 h 1532570"/>
                                        <a:gd name="connsiteX12" fmla="*/ 771506 w 1620776"/>
                                        <a:gd name="connsiteY12" fmla="*/ 1532569 h 1532570"/>
                                        <a:gd name="connsiteX13" fmla="*/ 492633 w 1620776"/>
                                        <a:gd name="connsiteY13" fmla="*/ 1457529 h 1532570"/>
                                        <a:gd name="connsiteX14" fmla="*/ 379262 w 1620776"/>
                                        <a:gd name="connsiteY14" fmla="*/ 1283003 h 1532570"/>
                                        <a:gd name="connsiteX15" fmla="*/ 173812 w 1620776"/>
                                        <a:gd name="connsiteY15" fmla="*/ 1415338 h 1532570"/>
                                        <a:gd name="connsiteX16" fmla="*/ 0 w 1620776"/>
                                        <a:gd name="connsiteY16" fmla="*/ 886780 h 1532570"/>
                                        <a:gd name="connsiteX17" fmla="*/ 261594 w 1620776"/>
                                        <a:gd name="connsiteY17" fmla="*/ 263194 h 1532570"/>
                                        <a:gd name="connsiteX18" fmla="*/ 616382 w 1620776"/>
                                        <a:gd name="connsiteY18" fmla="*/ 18135 h 1532570"/>
                                        <a:gd name="connsiteX0" fmla="*/ 616382 w 1620774"/>
                                        <a:gd name="connsiteY0" fmla="*/ 18135 h 1532568"/>
                                        <a:gd name="connsiteX1" fmla="*/ 766329 w 1620774"/>
                                        <a:gd name="connsiteY1" fmla="*/ 120359 h 1532568"/>
                                        <a:gd name="connsiteX2" fmla="*/ 872873 w 1620774"/>
                                        <a:gd name="connsiteY2" fmla="*/ 16230 h 1532568"/>
                                        <a:gd name="connsiteX3" fmla="*/ 1224658 w 1620774"/>
                                        <a:gd name="connsiteY3" fmla="*/ 0 h 1532568"/>
                                        <a:gd name="connsiteX4" fmla="*/ 1276572 w 1620774"/>
                                        <a:gd name="connsiteY4" fmla="*/ 471096 h 1532568"/>
                                        <a:gd name="connsiteX5" fmla="*/ 1295486 w 1620774"/>
                                        <a:gd name="connsiteY5" fmla="*/ 471096 h 1532568"/>
                                        <a:gd name="connsiteX6" fmla="*/ 1295485 w 1620774"/>
                                        <a:gd name="connsiteY6" fmla="*/ 501138 h 1532568"/>
                                        <a:gd name="connsiteX7" fmla="*/ 1442039 w 1620774"/>
                                        <a:gd name="connsiteY7" fmla="*/ 719379 h 1532568"/>
                                        <a:gd name="connsiteX8" fmla="*/ 1486177 w 1620774"/>
                                        <a:gd name="connsiteY8" fmla="*/ 871539 h 1532568"/>
                                        <a:gd name="connsiteX9" fmla="*/ 1620775 w 1620774"/>
                                        <a:gd name="connsiteY9" fmla="*/ 1009098 h 1532568"/>
                                        <a:gd name="connsiteX10" fmla="*/ 1531467 w 1620774"/>
                                        <a:gd name="connsiteY10" fmla="*/ 1052752 h 1532568"/>
                                        <a:gd name="connsiteX11" fmla="*/ 1438663 w 1620774"/>
                                        <a:gd name="connsiteY11" fmla="*/ 1304125 h 1532568"/>
                                        <a:gd name="connsiteX12" fmla="*/ 771506 w 1620774"/>
                                        <a:gd name="connsiteY12" fmla="*/ 1532569 h 1532568"/>
                                        <a:gd name="connsiteX13" fmla="*/ 492633 w 1620774"/>
                                        <a:gd name="connsiteY13" fmla="*/ 1457529 h 1532568"/>
                                        <a:gd name="connsiteX14" fmla="*/ 379262 w 1620774"/>
                                        <a:gd name="connsiteY14" fmla="*/ 1283003 h 1532568"/>
                                        <a:gd name="connsiteX15" fmla="*/ 173812 w 1620774"/>
                                        <a:gd name="connsiteY15" fmla="*/ 1415338 h 1532568"/>
                                        <a:gd name="connsiteX16" fmla="*/ 0 w 1620774"/>
                                        <a:gd name="connsiteY16" fmla="*/ 886780 h 1532568"/>
                                        <a:gd name="connsiteX17" fmla="*/ 261594 w 1620774"/>
                                        <a:gd name="connsiteY17" fmla="*/ 263194 h 1532568"/>
                                        <a:gd name="connsiteX18" fmla="*/ 616382 w 1620774"/>
                                        <a:gd name="connsiteY18" fmla="*/ 18135 h 1532568"/>
                                        <a:gd name="connsiteX0" fmla="*/ 616382 w 1620776"/>
                                        <a:gd name="connsiteY0" fmla="*/ 18135 h 1532570"/>
                                        <a:gd name="connsiteX1" fmla="*/ 766329 w 1620776"/>
                                        <a:gd name="connsiteY1" fmla="*/ 120359 h 1532570"/>
                                        <a:gd name="connsiteX2" fmla="*/ 872873 w 1620776"/>
                                        <a:gd name="connsiteY2" fmla="*/ 16230 h 1532570"/>
                                        <a:gd name="connsiteX3" fmla="*/ 1224658 w 1620776"/>
                                        <a:gd name="connsiteY3" fmla="*/ 0 h 1532570"/>
                                        <a:gd name="connsiteX4" fmla="*/ 1276572 w 1620776"/>
                                        <a:gd name="connsiteY4" fmla="*/ 471096 h 1532570"/>
                                        <a:gd name="connsiteX5" fmla="*/ 1295486 w 1620776"/>
                                        <a:gd name="connsiteY5" fmla="*/ 471096 h 1532570"/>
                                        <a:gd name="connsiteX6" fmla="*/ 1295485 w 1620776"/>
                                        <a:gd name="connsiteY6" fmla="*/ 501138 h 1532570"/>
                                        <a:gd name="connsiteX7" fmla="*/ 1442039 w 1620776"/>
                                        <a:gd name="connsiteY7" fmla="*/ 719379 h 1532570"/>
                                        <a:gd name="connsiteX8" fmla="*/ 1486177 w 1620776"/>
                                        <a:gd name="connsiteY8" fmla="*/ 871539 h 1532570"/>
                                        <a:gd name="connsiteX9" fmla="*/ 1620775 w 1620776"/>
                                        <a:gd name="connsiteY9" fmla="*/ 1009098 h 1532570"/>
                                        <a:gd name="connsiteX10" fmla="*/ 1537097 w 1620776"/>
                                        <a:gd name="connsiteY10" fmla="*/ 1052753 h 1532570"/>
                                        <a:gd name="connsiteX11" fmla="*/ 1438663 w 1620776"/>
                                        <a:gd name="connsiteY11" fmla="*/ 1304125 h 1532570"/>
                                        <a:gd name="connsiteX12" fmla="*/ 771506 w 1620776"/>
                                        <a:gd name="connsiteY12" fmla="*/ 1532569 h 1532570"/>
                                        <a:gd name="connsiteX13" fmla="*/ 492633 w 1620776"/>
                                        <a:gd name="connsiteY13" fmla="*/ 1457529 h 1532570"/>
                                        <a:gd name="connsiteX14" fmla="*/ 379262 w 1620776"/>
                                        <a:gd name="connsiteY14" fmla="*/ 1283003 h 1532570"/>
                                        <a:gd name="connsiteX15" fmla="*/ 173812 w 1620776"/>
                                        <a:gd name="connsiteY15" fmla="*/ 1415338 h 1532570"/>
                                        <a:gd name="connsiteX16" fmla="*/ 0 w 1620776"/>
                                        <a:gd name="connsiteY16" fmla="*/ 886780 h 1532570"/>
                                        <a:gd name="connsiteX17" fmla="*/ 261594 w 1620776"/>
                                        <a:gd name="connsiteY17" fmla="*/ 263194 h 1532570"/>
                                        <a:gd name="connsiteX18" fmla="*/ 616382 w 1620776"/>
                                        <a:gd name="connsiteY18" fmla="*/ 18135 h 1532570"/>
                                        <a:gd name="connsiteX0" fmla="*/ 616382 w 1620774"/>
                                        <a:gd name="connsiteY0" fmla="*/ 18135 h 1532568"/>
                                        <a:gd name="connsiteX1" fmla="*/ 766329 w 1620774"/>
                                        <a:gd name="connsiteY1" fmla="*/ 120359 h 1532568"/>
                                        <a:gd name="connsiteX2" fmla="*/ 872873 w 1620774"/>
                                        <a:gd name="connsiteY2" fmla="*/ 17259 h 1532568"/>
                                        <a:gd name="connsiteX3" fmla="*/ 1224658 w 1620774"/>
                                        <a:gd name="connsiteY3" fmla="*/ 0 h 1532568"/>
                                        <a:gd name="connsiteX4" fmla="*/ 1276572 w 1620774"/>
                                        <a:gd name="connsiteY4" fmla="*/ 471096 h 1532568"/>
                                        <a:gd name="connsiteX5" fmla="*/ 1295486 w 1620774"/>
                                        <a:gd name="connsiteY5" fmla="*/ 471096 h 1532568"/>
                                        <a:gd name="connsiteX6" fmla="*/ 1295485 w 1620774"/>
                                        <a:gd name="connsiteY6" fmla="*/ 501138 h 1532568"/>
                                        <a:gd name="connsiteX7" fmla="*/ 1442039 w 1620774"/>
                                        <a:gd name="connsiteY7" fmla="*/ 719379 h 1532568"/>
                                        <a:gd name="connsiteX8" fmla="*/ 1486177 w 1620774"/>
                                        <a:gd name="connsiteY8" fmla="*/ 871539 h 1532568"/>
                                        <a:gd name="connsiteX9" fmla="*/ 1620775 w 1620774"/>
                                        <a:gd name="connsiteY9" fmla="*/ 1009098 h 1532568"/>
                                        <a:gd name="connsiteX10" fmla="*/ 1537097 w 1620774"/>
                                        <a:gd name="connsiteY10" fmla="*/ 1052753 h 1532568"/>
                                        <a:gd name="connsiteX11" fmla="*/ 1438663 w 1620774"/>
                                        <a:gd name="connsiteY11" fmla="*/ 1304125 h 1532568"/>
                                        <a:gd name="connsiteX12" fmla="*/ 771506 w 1620774"/>
                                        <a:gd name="connsiteY12" fmla="*/ 1532569 h 1532568"/>
                                        <a:gd name="connsiteX13" fmla="*/ 492633 w 1620774"/>
                                        <a:gd name="connsiteY13" fmla="*/ 1457529 h 1532568"/>
                                        <a:gd name="connsiteX14" fmla="*/ 379262 w 1620774"/>
                                        <a:gd name="connsiteY14" fmla="*/ 1283003 h 1532568"/>
                                        <a:gd name="connsiteX15" fmla="*/ 173812 w 1620774"/>
                                        <a:gd name="connsiteY15" fmla="*/ 1415338 h 1532568"/>
                                        <a:gd name="connsiteX16" fmla="*/ 0 w 1620774"/>
                                        <a:gd name="connsiteY16" fmla="*/ 886780 h 1532568"/>
                                        <a:gd name="connsiteX17" fmla="*/ 261594 w 1620774"/>
                                        <a:gd name="connsiteY17" fmla="*/ 263194 h 1532568"/>
                                        <a:gd name="connsiteX18" fmla="*/ 616382 w 1620774"/>
                                        <a:gd name="connsiteY18" fmla="*/ 18135 h 1532568"/>
                                        <a:gd name="connsiteX0" fmla="*/ 616382 w 1620776"/>
                                        <a:gd name="connsiteY0" fmla="*/ 18135 h 1532570"/>
                                        <a:gd name="connsiteX1" fmla="*/ 766329 w 1620776"/>
                                        <a:gd name="connsiteY1" fmla="*/ 120359 h 1532570"/>
                                        <a:gd name="connsiteX2" fmla="*/ 872875 w 1620776"/>
                                        <a:gd name="connsiteY2" fmla="*/ 17259 h 1532570"/>
                                        <a:gd name="connsiteX3" fmla="*/ 1224658 w 1620776"/>
                                        <a:gd name="connsiteY3" fmla="*/ 0 h 1532570"/>
                                        <a:gd name="connsiteX4" fmla="*/ 1276572 w 1620776"/>
                                        <a:gd name="connsiteY4" fmla="*/ 471096 h 1532570"/>
                                        <a:gd name="connsiteX5" fmla="*/ 1295486 w 1620776"/>
                                        <a:gd name="connsiteY5" fmla="*/ 471096 h 1532570"/>
                                        <a:gd name="connsiteX6" fmla="*/ 1295485 w 1620776"/>
                                        <a:gd name="connsiteY6" fmla="*/ 501138 h 1532570"/>
                                        <a:gd name="connsiteX7" fmla="*/ 1442039 w 1620776"/>
                                        <a:gd name="connsiteY7" fmla="*/ 719379 h 1532570"/>
                                        <a:gd name="connsiteX8" fmla="*/ 1486177 w 1620776"/>
                                        <a:gd name="connsiteY8" fmla="*/ 871539 h 1532570"/>
                                        <a:gd name="connsiteX9" fmla="*/ 1620775 w 1620776"/>
                                        <a:gd name="connsiteY9" fmla="*/ 1009098 h 1532570"/>
                                        <a:gd name="connsiteX10" fmla="*/ 1537097 w 1620776"/>
                                        <a:gd name="connsiteY10" fmla="*/ 1052753 h 1532570"/>
                                        <a:gd name="connsiteX11" fmla="*/ 1438663 w 1620776"/>
                                        <a:gd name="connsiteY11" fmla="*/ 1304125 h 1532570"/>
                                        <a:gd name="connsiteX12" fmla="*/ 771506 w 1620776"/>
                                        <a:gd name="connsiteY12" fmla="*/ 1532569 h 1532570"/>
                                        <a:gd name="connsiteX13" fmla="*/ 492633 w 1620776"/>
                                        <a:gd name="connsiteY13" fmla="*/ 1457529 h 1532570"/>
                                        <a:gd name="connsiteX14" fmla="*/ 379262 w 1620776"/>
                                        <a:gd name="connsiteY14" fmla="*/ 1283003 h 1532570"/>
                                        <a:gd name="connsiteX15" fmla="*/ 173812 w 1620776"/>
                                        <a:gd name="connsiteY15" fmla="*/ 1415338 h 1532570"/>
                                        <a:gd name="connsiteX16" fmla="*/ 0 w 1620776"/>
                                        <a:gd name="connsiteY16" fmla="*/ 886780 h 1532570"/>
                                        <a:gd name="connsiteX17" fmla="*/ 261594 w 1620776"/>
                                        <a:gd name="connsiteY17" fmla="*/ 263194 h 1532570"/>
                                        <a:gd name="connsiteX18" fmla="*/ 616382 w 1620776"/>
                                        <a:gd name="connsiteY18" fmla="*/ 18135 h 1532570"/>
                                        <a:gd name="connsiteX0" fmla="*/ 616382 w 1620774"/>
                                        <a:gd name="connsiteY0" fmla="*/ 18135 h 1532568"/>
                                        <a:gd name="connsiteX1" fmla="*/ 766329 w 1620774"/>
                                        <a:gd name="connsiteY1" fmla="*/ 120359 h 1532568"/>
                                        <a:gd name="connsiteX2" fmla="*/ 872873 w 1620774"/>
                                        <a:gd name="connsiteY2" fmla="*/ 17259 h 1532568"/>
                                        <a:gd name="connsiteX3" fmla="*/ 1224658 w 1620774"/>
                                        <a:gd name="connsiteY3" fmla="*/ 0 h 1532568"/>
                                        <a:gd name="connsiteX4" fmla="*/ 1276572 w 1620774"/>
                                        <a:gd name="connsiteY4" fmla="*/ 471096 h 1532568"/>
                                        <a:gd name="connsiteX5" fmla="*/ 1295486 w 1620774"/>
                                        <a:gd name="connsiteY5" fmla="*/ 471096 h 1532568"/>
                                        <a:gd name="connsiteX6" fmla="*/ 1295485 w 1620774"/>
                                        <a:gd name="connsiteY6" fmla="*/ 501138 h 1532568"/>
                                        <a:gd name="connsiteX7" fmla="*/ 1442039 w 1620774"/>
                                        <a:gd name="connsiteY7" fmla="*/ 719379 h 1532568"/>
                                        <a:gd name="connsiteX8" fmla="*/ 1486177 w 1620774"/>
                                        <a:gd name="connsiteY8" fmla="*/ 871539 h 1532568"/>
                                        <a:gd name="connsiteX9" fmla="*/ 1620775 w 1620774"/>
                                        <a:gd name="connsiteY9" fmla="*/ 1009098 h 1532568"/>
                                        <a:gd name="connsiteX10" fmla="*/ 1537097 w 1620774"/>
                                        <a:gd name="connsiteY10" fmla="*/ 1052753 h 1532568"/>
                                        <a:gd name="connsiteX11" fmla="*/ 1438663 w 1620774"/>
                                        <a:gd name="connsiteY11" fmla="*/ 1304125 h 1532568"/>
                                        <a:gd name="connsiteX12" fmla="*/ 771506 w 1620774"/>
                                        <a:gd name="connsiteY12" fmla="*/ 1532569 h 1532568"/>
                                        <a:gd name="connsiteX13" fmla="*/ 492633 w 1620774"/>
                                        <a:gd name="connsiteY13" fmla="*/ 1457529 h 1532568"/>
                                        <a:gd name="connsiteX14" fmla="*/ 379262 w 1620774"/>
                                        <a:gd name="connsiteY14" fmla="*/ 1283003 h 1532568"/>
                                        <a:gd name="connsiteX15" fmla="*/ 173812 w 1620774"/>
                                        <a:gd name="connsiteY15" fmla="*/ 1415338 h 1532568"/>
                                        <a:gd name="connsiteX16" fmla="*/ 0 w 1620774"/>
                                        <a:gd name="connsiteY16" fmla="*/ 886780 h 1532568"/>
                                        <a:gd name="connsiteX17" fmla="*/ 261594 w 1620774"/>
                                        <a:gd name="connsiteY17" fmla="*/ 263194 h 1532568"/>
                                        <a:gd name="connsiteX18" fmla="*/ 616382 w 1620774"/>
                                        <a:gd name="connsiteY18" fmla="*/ 18135 h 1532568"/>
                                        <a:gd name="connsiteX0" fmla="*/ 616382 w 1620776"/>
                                        <a:gd name="connsiteY0" fmla="*/ 18135 h 1532570"/>
                                        <a:gd name="connsiteX1" fmla="*/ 766329 w 1620776"/>
                                        <a:gd name="connsiteY1" fmla="*/ 120359 h 1532570"/>
                                        <a:gd name="connsiteX2" fmla="*/ 872875 w 1620776"/>
                                        <a:gd name="connsiteY2" fmla="*/ 36169 h 1532570"/>
                                        <a:gd name="connsiteX3" fmla="*/ 1224658 w 1620776"/>
                                        <a:gd name="connsiteY3" fmla="*/ 0 h 1532570"/>
                                        <a:gd name="connsiteX4" fmla="*/ 1276572 w 1620776"/>
                                        <a:gd name="connsiteY4" fmla="*/ 471096 h 1532570"/>
                                        <a:gd name="connsiteX5" fmla="*/ 1295486 w 1620776"/>
                                        <a:gd name="connsiteY5" fmla="*/ 471096 h 1532570"/>
                                        <a:gd name="connsiteX6" fmla="*/ 1295485 w 1620776"/>
                                        <a:gd name="connsiteY6" fmla="*/ 501138 h 1532570"/>
                                        <a:gd name="connsiteX7" fmla="*/ 1442039 w 1620776"/>
                                        <a:gd name="connsiteY7" fmla="*/ 719379 h 1532570"/>
                                        <a:gd name="connsiteX8" fmla="*/ 1486177 w 1620776"/>
                                        <a:gd name="connsiteY8" fmla="*/ 871539 h 1532570"/>
                                        <a:gd name="connsiteX9" fmla="*/ 1620775 w 1620776"/>
                                        <a:gd name="connsiteY9" fmla="*/ 1009098 h 1532570"/>
                                        <a:gd name="connsiteX10" fmla="*/ 1537097 w 1620776"/>
                                        <a:gd name="connsiteY10" fmla="*/ 1052753 h 1532570"/>
                                        <a:gd name="connsiteX11" fmla="*/ 1438663 w 1620776"/>
                                        <a:gd name="connsiteY11" fmla="*/ 1304125 h 1532570"/>
                                        <a:gd name="connsiteX12" fmla="*/ 771506 w 1620776"/>
                                        <a:gd name="connsiteY12" fmla="*/ 1532569 h 1532570"/>
                                        <a:gd name="connsiteX13" fmla="*/ 492633 w 1620776"/>
                                        <a:gd name="connsiteY13" fmla="*/ 1457529 h 1532570"/>
                                        <a:gd name="connsiteX14" fmla="*/ 379262 w 1620776"/>
                                        <a:gd name="connsiteY14" fmla="*/ 1283003 h 1532570"/>
                                        <a:gd name="connsiteX15" fmla="*/ 173812 w 1620776"/>
                                        <a:gd name="connsiteY15" fmla="*/ 1415338 h 1532570"/>
                                        <a:gd name="connsiteX16" fmla="*/ 0 w 1620776"/>
                                        <a:gd name="connsiteY16" fmla="*/ 886780 h 1532570"/>
                                        <a:gd name="connsiteX17" fmla="*/ 261594 w 1620776"/>
                                        <a:gd name="connsiteY17" fmla="*/ 263194 h 1532570"/>
                                        <a:gd name="connsiteX18" fmla="*/ 616382 w 1620776"/>
                                        <a:gd name="connsiteY18" fmla="*/ 18135 h 1532570"/>
                                        <a:gd name="connsiteX0" fmla="*/ 616382 w 1620774"/>
                                        <a:gd name="connsiteY0" fmla="*/ 18135 h 1532568"/>
                                        <a:gd name="connsiteX1" fmla="*/ 766329 w 1620774"/>
                                        <a:gd name="connsiteY1" fmla="*/ 120359 h 1532568"/>
                                        <a:gd name="connsiteX2" fmla="*/ 865387 w 1620774"/>
                                        <a:gd name="connsiteY2" fmla="*/ 17259 h 1532568"/>
                                        <a:gd name="connsiteX3" fmla="*/ 1224658 w 1620774"/>
                                        <a:gd name="connsiteY3" fmla="*/ 0 h 1532568"/>
                                        <a:gd name="connsiteX4" fmla="*/ 1276572 w 1620774"/>
                                        <a:gd name="connsiteY4" fmla="*/ 471096 h 1532568"/>
                                        <a:gd name="connsiteX5" fmla="*/ 1295486 w 1620774"/>
                                        <a:gd name="connsiteY5" fmla="*/ 471096 h 1532568"/>
                                        <a:gd name="connsiteX6" fmla="*/ 1295485 w 1620774"/>
                                        <a:gd name="connsiteY6" fmla="*/ 501138 h 1532568"/>
                                        <a:gd name="connsiteX7" fmla="*/ 1442039 w 1620774"/>
                                        <a:gd name="connsiteY7" fmla="*/ 719379 h 1532568"/>
                                        <a:gd name="connsiteX8" fmla="*/ 1486177 w 1620774"/>
                                        <a:gd name="connsiteY8" fmla="*/ 871539 h 1532568"/>
                                        <a:gd name="connsiteX9" fmla="*/ 1620775 w 1620774"/>
                                        <a:gd name="connsiteY9" fmla="*/ 1009098 h 1532568"/>
                                        <a:gd name="connsiteX10" fmla="*/ 1537097 w 1620774"/>
                                        <a:gd name="connsiteY10" fmla="*/ 1052753 h 1532568"/>
                                        <a:gd name="connsiteX11" fmla="*/ 1438663 w 1620774"/>
                                        <a:gd name="connsiteY11" fmla="*/ 1304125 h 1532568"/>
                                        <a:gd name="connsiteX12" fmla="*/ 771506 w 1620774"/>
                                        <a:gd name="connsiteY12" fmla="*/ 1532569 h 1532568"/>
                                        <a:gd name="connsiteX13" fmla="*/ 492633 w 1620774"/>
                                        <a:gd name="connsiteY13" fmla="*/ 1457529 h 1532568"/>
                                        <a:gd name="connsiteX14" fmla="*/ 379262 w 1620774"/>
                                        <a:gd name="connsiteY14" fmla="*/ 1283003 h 1532568"/>
                                        <a:gd name="connsiteX15" fmla="*/ 173812 w 1620774"/>
                                        <a:gd name="connsiteY15" fmla="*/ 1415338 h 1532568"/>
                                        <a:gd name="connsiteX16" fmla="*/ 0 w 1620774"/>
                                        <a:gd name="connsiteY16" fmla="*/ 886780 h 1532568"/>
                                        <a:gd name="connsiteX17" fmla="*/ 261594 w 1620774"/>
                                        <a:gd name="connsiteY17" fmla="*/ 263194 h 1532568"/>
                                        <a:gd name="connsiteX18" fmla="*/ 616382 w 1620774"/>
                                        <a:gd name="connsiteY18" fmla="*/ 18135 h 1532568"/>
                                        <a:gd name="connsiteX0" fmla="*/ 616382 w 1620776"/>
                                        <a:gd name="connsiteY0" fmla="*/ 18135 h 1532570"/>
                                        <a:gd name="connsiteX1" fmla="*/ 766329 w 1620776"/>
                                        <a:gd name="connsiteY1" fmla="*/ 120359 h 1532570"/>
                                        <a:gd name="connsiteX2" fmla="*/ 867876 w 1620776"/>
                                        <a:gd name="connsiteY2" fmla="*/ 36170 h 1532570"/>
                                        <a:gd name="connsiteX3" fmla="*/ 1224658 w 1620776"/>
                                        <a:gd name="connsiteY3" fmla="*/ 0 h 1532570"/>
                                        <a:gd name="connsiteX4" fmla="*/ 1276572 w 1620776"/>
                                        <a:gd name="connsiteY4" fmla="*/ 471096 h 1532570"/>
                                        <a:gd name="connsiteX5" fmla="*/ 1295486 w 1620776"/>
                                        <a:gd name="connsiteY5" fmla="*/ 471096 h 1532570"/>
                                        <a:gd name="connsiteX6" fmla="*/ 1295485 w 1620776"/>
                                        <a:gd name="connsiteY6" fmla="*/ 501138 h 1532570"/>
                                        <a:gd name="connsiteX7" fmla="*/ 1442039 w 1620776"/>
                                        <a:gd name="connsiteY7" fmla="*/ 719379 h 1532570"/>
                                        <a:gd name="connsiteX8" fmla="*/ 1486177 w 1620776"/>
                                        <a:gd name="connsiteY8" fmla="*/ 871539 h 1532570"/>
                                        <a:gd name="connsiteX9" fmla="*/ 1620775 w 1620776"/>
                                        <a:gd name="connsiteY9" fmla="*/ 1009098 h 1532570"/>
                                        <a:gd name="connsiteX10" fmla="*/ 1537097 w 1620776"/>
                                        <a:gd name="connsiteY10" fmla="*/ 1052753 h 1532570"/>
                                        <a:gd name="connsiteX11" fmla="*/ 1438663 w 1620776"/>
                                        <a:gd name="connsiteY11" fmla="*/ 1304125 h 1532570"/>
                                        <a:gd name="connsiteX12" fmla="*/ 771506 w 1620776"/>
                                        <a:gd name="connsiteY12" fmla="*/ 1532569 h 1532570"/>
                                        <a:gd name="connsiteX13" fmla="*/ 492633 w 1620776"/>
                                        <a:gd name="connsiteY13" fmla="*/ 1457529 h 1532570"/>
                                        <a:gd name="connsiteX14" fmla="*/ 379262 w 1620776"/>
                                        <a:gd name="connsiteY14" fmla="*/ 1283003 h 1532570"/>
                                        <a:gd name="connsiteX15" fmla="*/ 173812 w 1620776"/>
                                        <a:gd name="connsiteY15" fmla="*/ 1415338 h 1532570"/>
                                        <a:gd name="connsiteX16" fmla="*/ 0 w 1620776"/>
                                        <a:gd name="connsiteY16" fmla="*/ 886780 h 1532570"/>
                                        <a:gd name="connsiteX17" fmla="*/ 261594 w 1620776"/>
                                        <a:gd name="connsiteY17" fmla="*/ 263194 h 1532570"/>
                                        <a:gd name="connsiteX18" fmla="*/ 616382 w 1620776"/>
                                        <a:gd name="connsiteY18" fmla="*/ 18135 h 1532570"/>
                                        <a:gd name="connsiteX0" fmla="*/ 616382 w 1620774"/>
                                        <a:gd name="connsiteY0" fmla="*/ 18135 h 1532568"/>
                                        <a:gd name="connsiteX1" fmla="*/ 771141 w 1620774"/>
                                        <a:gd name="connsiteY1" fmla="*/ 131706 h 1532568"/>
                                        <a:gd name="connsiteX2" fmla="*/ 867876 w 1620774"/>
                                        <a:gd name="connsiteY2" fmla="*/ 36170 h 1532568"/>
                                        <a:gd name="connsiteX3" fmla="*/ 1224658 w 1620774"/>
                                        <a:gd name="connsiteY3" fmla="*/ 0 h 1532568"/>
                                        <a:gd name="connsiteX4" fmla="*/ 1276572 w 1620774"/>
                                        <a:gd name="connsiteY4" fmla="*/ 471096 h 1532568"/>
                                        <a:gd name="connsiteX5" fmla="*/ 1295486 w 1620774"/>
                                        <a:gd name="connsiteY5" fmla="*/ 471096 h 1532568"/>
                                        <a:gd name="connsiteX6" fmla="*/ 1295485 w 1620774"/>
                                        <a:gd name="connsiteY6" fmla="*/ 501138 h 1532568"/>
                                        <a:gd name="connsiteX7" fmla="*/ 1442039 w 1620774"/>
                                        <a:gd name="connsiteY7" fmla="*/ 719379 h 1532568"/>
                                        <a:gd name="connsiteX8" fmla="*/ 1486177 w 1620774"/>
                                        <a:gd name="connsiteY8" fmla="*/ 871539 h 1532568"/>
                                        <a:gd name="connsiteX9" fmla="*/ 1620775 w 1620774"/>
                                        <a:gd name="connsiteY9" fmla="*/ 1009098 h 1532568"/>
                                        <a:gd name="connsiteX10" fmla="*/ 1537097 w 1620774"/>
                                        <a:gd name="connsiteY10" fmla="*/ 1052753 h 1532568"/>
                                        <a:gd name="connsiteX11" fmla="*/ 1438663 w 1620774"/>
                                        <a:gd name="connsiteY11" fmla="*/ 1304125 h 1532568"/>
                                        <a:gd name="connsiteX12" fmla="*/ 771506 w 1620774"/>
                                        <a:gd name="connsiteY12" fmla="*/ 1532569 h 1532568"/>
                                        <a:gd name="connsiteX13" fmla="*/ 492633 w 1620774"/>
                                        <a:gd name="connsiteY13" fmla="*/ 1457529 h 1532568"/>
                                        <a:gd name="connsiteX14" fmla="*/ 379262 w 1620774"/>
                                        <a:gd name="connsiteY14" fmla="*/ 1283003 h 1532568"/>
                                        <a:gd name="connsiteX15" fmla="*/ 173812 w 1620774"/>
                                        <a:gd name="connsiteY15" fmla="*/ 1415338 h 1532568"/>
                                        <a:gd name="connsiteX16" fmla="*/ 0 w 1620774"/>
                                        <a:gd name="connsiteY16" fmla="*/ 886780 h 1532568"/>
                                        <a:gd name="connsiteX17" fmla="*/ 261594 w 1620774"/>
                                        <a:gd name="connsiteY17" fmla="*/ 263194 h 1532568"/>
                                        <a:gd name="connsiteX18" fmla="*/ 616382 w 1620774"/>
                                        <a:gd name="connsiteY18" fmla="*/ 18135 h 1532568"/>
                                        <a:gd name="connsiteX0" fmla="*/ 616382 w 1620776"/>
                                        <a:gd name="connsiteY0" fmla="*/ 18135 h 1532570"/>
                                        <a:gd name="connsiteX1" fmla="*/ 771141 w 1620776"/>
                                        <a:gd name="connsiteY1" fmla="*/ 131706 h 1532570"/>
                                        <a:gd name="connsiteX2" fmla="*/ 872875 w 1620776"/>
                                        <a:gd name="connsiteY2" fmla="*/ 17259 h 1532570"/>
                                        <a:gd name="connsiteX3" fmla="*/ 1224658 w 1620776"/>
                                        <a:gd name="connsiteY3" fmla="*/ 0 h 1532570"/>
                                        <a:gd name="connsiteX4" fmla="*/ 1276572 w 1620776"/>
                                        <a:gd name="connsiteY4" fmla="*/ 471096 h 1532570"/>
                                        <a:gd name="connsiteX5" fmla="*/ 1295486 w 1620776"/>
                                        <a:gd name="connsiteY5" fmla="*/ 471096 h 1532570"/>
                                        <a:gd name="connsiteX6" fmla="*/ 1295485 w 1620776"/>
                                        <a:gd name="connsiteY6" fmla="*/ 501138 h 1532570"/>
                                        <a:gd name="connsiteX7" fmla="*/ 1442039 w 1620776"/>
                                        <a:gd name="connsiteY7" fmla="*/ 719379 h 1532570"/>
                                        <a:gd name="connsiteX8" fmla="*/ 1486177 w 1620776"/>
                                        <a:gd name="connsiteY8" fmla="*/ 871539 h 1532570"/>
                                        <a:gd name="connsiteX9" fmla="*/ 1620775 w 1620776"/>
                                        <a:gd name="connsiteY9" fmla="*/ 1009098 h 1532570"/>
                                        <a:gd name="connsiteX10" fmla="*/ 1537097 w 1620776"/>
                                        <a:gd name="connsiteY10" fmla="*/ 1052753 h 1532570"/>
                                        <a:gd name="connsiteX11" fmla="*/ 1438663 w 1620776"/>
                                        <a:gd name="connsiteY11" fmla="*/ 1304125 h 1532570"/>
                                        <a:gd name="connsiteX12" fmla="*/ 771506 w 1620776"/>
                                        <a:gd name="connsiteY12" fmla="*/ 1532569 h 1532570"/>
                                        <a:gd name="connsiteX13" fmla="*/ 492633 w 1620776"/>
                                        <a:gd name="connsiteY13" fmla="*/ 1457529 h 1532570"/>
                                        <a:gd name="connsiteX14" fmla="*/ 379262 w 1620776"/>
                                        <a:gd name="connsiteY14" fmla="*/ 1283003 h 1532570"/>
                                        <a:gd name="connsiteX15" fmla="*/ 173812 w 1620776"/>
                                        <a:gd name="connsiteY15" fmla="*/ 1415338 h 1532570"/>
                                        <a:gd name="connsiteX16" fmla="*/ 0 w 1620776"/>
                                        <a:gd name="connsiteY16" fmla="*/ 886780 h 1532570"/>
                                        <a:gd name="connsiteX17" fmla="*/ 261594 w 1620776"/>
                                        <a:gd name="connsiteY17" fmla="*/ 263194 h 1532570"/>
                                        <a:gd name="connsiteX18" fmla="*/ 616382 w 1620776"/>
                                        <a:gd name="connsiteY18" fmla="*/ 18135 h 1532570"/>
                                        <a:gd name="connsiteX0" fmla="*/ 616382 w 1620774"/>
                                        <a:gd name="connsiteY0" fmla="*/ 18135 h 1532568"/>
                                        <a:gd name="connsiteX1" fmla="*/ 771141 w 1620774"/>
                                        <a:gd name="connsiteY1" fmla="*/ 131706 h 1532568"/>
                                        <a:gd name="connsiteX2" fmla="*/ 872873 w 1620774"/>
                                        <a:gd name="connsiteY2" fmla="*/ 17259 h 1532568"/>
                                        <a:gd name="connsiteX3" fmla="*/ 1224658 w 1620774"/>
                                        <a:gd name="connsiteY3" fmla="*/ 0 h 1532568"/>
                                        <a:gd name="connsiteX4" fmla="*/ 1276572 w 1620774"/>
                                        <a:gd name="connsiteY4" fmla="*/ 471096 h 1532568"/>
                                        <a:gd name="connsiteX5" fmla="*/ 1295486 w 1620774"/>
                                        <a:gd name="connsiteY5" fmla="*/ 471096 h 1532568"/>
                                        <a:gd name="connsiteX6" fmla="*/ 1295485 w 1620774"/>
                                        <a:gd name="connsiteY6" fmla="*/ 501138 h 1532568"/>
                                        <a:gd name="connsiteX7" fmla="*/ 1442039 w 1620774"/>
                                        <a:gd name="connsiteY7" fmla="*/ 719379 h 1532568"/>
                                        <a:gd name="connsiteX8" fmla="*/ 1486177 w 1620774"/>
                                        <a:gd name="connsiteY8" fmla="*/ 871539 h 1532568"/>
                                        <a:gd name="connsiteX9" fmla="*/ 1620775 w 1620774"/>
                                        <a:gd name="connsiteY9" fmla="*/ 1009098 h 1532568"/>
                                        <a:gd name="connsiteX10" fmla="*/ 1537097 w 1620774"/>
                                        <a:gd name="connsiteY10" fmla="*/ 1052753 h 1532568"/>
                                        <a:gd name="connsiteX11" fmla="*/ 1438663 w 1620774"/>
                                        <a:gd name="connsiteY11" fmla="*/ 1304125 h 1532568"/>
                                        <a:gd name="connsiteX12" fmla="*/ 771506 w 1620774"/>
                                        <a:gd name="connsiteY12" fmla="*/ 1532569 h 1532568"/>
                                        <a:gd name="connsiteX13" fmla="*/ 492633 w 1620774"/>
                                        <a:gd name="connsiteY13" fmla="*/ 1457529 h 1532568"/>
                                        <a:gd name="connsiteX14" fmla="*/ 379262 w 1620774"/>
                                        <a:gd name="connsiteY14" fmla="*/ 1283003 h 1532568"/>
                                        <a:gd name="connsiteX15" fmla="*/ 173812 w 1620774"/>
                                        <a:gd name="connsiteY15" fmla="*/ 1415338 h 1532568"/>
                                        <a:gd name="connsiteX16" fmla="*/ 0 w 1620774"/>
                                        <a:gd name="connsiteY16" fmla="*/ 886780 h 1532568"/>
                                        <a:gd name="connsiteX17" fmla="*/ 261594 w 1620774"/>
                                        <a:gd name="connsiteY17" fmla="*/ 263194 h 1532568"/>
                                        <a:gd name="connsiteX18" fmla="*/ 616382 w 1620774"/>
                                        <a:gd name="connsiteY18" fmla="*/ 18135 h 1532568"/>
                                        <a:gd name="connsiteX0" fmla="*/ 616382 w 1620776"/>
                                        <a:gd name="connsiteY0" fmla="*/ 18135 h 1532570"/>
                                        <a:gd name="connsiteX1" fmla="*/ 771141 w 1620776"/>
                                        <a:gd name="connsiteY1" fmla="*/ 131706 h 1532570"/>
                                        <a:gd name="connsiteX2" fmla="*/ 865388 w 1620776"/>
                                        <a:gd name="connsiteY2" fmla="*/ 17259 h 1532570"/>
                                        <a:gd name="connsiteX3" fmla="*/ 1224658 w 1620776"/>
                                        <a:gd name="connsiteY3" fmla="*/ 0 h 1532570"/>
                                        <a:gd name="connsiteX4" fmla="*/ 1276572 w 1620776"/>
                                        <a:gd name="connsiteY4" fmla="*/ 471096 h 1532570"/>
                                        <a:gd name="connsiteX5" fmla="*/ 1295486 w 1620776"/>
                                        <a:gd name="connsiteY5" fmla="*/ 471096 h 1532570"/>
                                        <a:gd name="connsiteX6" fmla="*/ 1295485 w 1620776"/>
                                        <a:gd name="connsiteY6" fmla="*/ 501138 h 1532570"/>
                                        <a:gd name="connsiteX7" fmla="*/ 1442039 w 1620776"/>
                                        <a:gd name="connsiteY7" fmla="*/ 719379 h 1532570"/>
                                        <a:gd name="connsiteX8" fmla="*/ 1486177 w 1620776"/>
                                        <a:gd name="connsiteY8" fmla="*/ 871539 h 1532570"/>
                                        <a:gd name="connsiteX9" fmla="*/ 1620775 w 1620776"/>
                                        <a:gd name="connsiteY9" fmla="*/ 1009098 h 1532570"/>
                                        <a:gd name="connsiteX10" fmla="*/ 1537097 w 1620776"/>
                                        <a:gd name="connsiteY10" fmla="*/ 1052753 h 1532570"/>
                                        <a:gd name="connsiteX11" fmla="*/ 1438663 w 1620776"/>
                                        <a:gd name="connsiteY11" fmla="*/ 1304125 h 1532570"/>
                                        <a:gd name="connsiteX12" fmla="*/ 771506 w 1620776"/>
                                        <a:gd name="connsiteY12" fmla="*/ 1532569 h 1532570"/>
                                        <a:gd name="connsiteX13" fmla="*/ 492633 w 1620776"/>
                                        <a:gd name="connsiteY13" fmla="*/ 1457529 h 1532570"/>
                                        <a:gd name="connsiteX14" fmla="*/ 379262 w 1620776"/>
                                        <a:gd name="connsiteY14" fmla="*/ 1283003 h 1532570"/>
                                        <a:gd name="connsiteX15" fmla="*/ 173812 w 1620776"/>
                                        <a:gd name="connsiteY15" fmla="*/ 1415338 h 1532570"/>
                                        <a:gd name="connsiteX16" fmla="*/ 0 w 1620776"/>
                                        <a:gd name="connsiteY16" fmla="*/ 886780 h 1532570"/>
                                        <a:gd name="connsiteX17" fmla="*/ 261594 w 1620776"/>
                                        <a:gd name="connsiteY17" fmla="*/ 263194 h 1532570"/>
                                        <a:gd name="connsiteX18" fmla="*/ 616382 w 1620776"/>
                                        <a:gd name="connsiteY18" fmla="*/ 18135 h 1532570"/>
                                        <a:gd name="connsiteX0" fmla="*/ 616382 w 1620774"/>
                                        <a:gd name="connsiteY0" fmla="*/ 18135 h 1532568"/>
                                        <a:gd name="connsiteX1" fmla="*/ 771141 w 1620774"/>
                                        <a:gd name="connsiteY1" fmla="*/ 131706 h 1532568"/>
                                        <a:gd name="connsiteX2" fmla="*/ 872873 w 1620774"/>
                                        <a:gd name="connsiteY2" fmla="*/ 15207 h 1532568"/>
                                        <a:gd name="connsiteX3" fmla="*/ 1224658 w 1620774"/>
                                        <a:gd name="connsiteY3" fmla="*/ 0 h 1532568"/>
                                        <a:gd name="connsiteX4" fmla="*/ 1276572 w 1620774"/>
                                        <a:gd name="connsiteY4" fmla="*/ 471096 h 1532568"/>
                                        <a:gd name="connsiteX5" fmla="*/ 1295486 w 1620774"/>
                                        <a:gd name="connsiteY5" fmla="*/ 471096 h 1532568"/>
                                        <a:gd name="connsiteX6" fmla="*/ 1295485 w 1620774"/>
                                        <a:gd name="connsiteY6" fmla="*/ 501138 h 1532568"/>
                                        <a:gd name="connsiteX7" fmla="*/ 1442039 w 1620774"/>
                                        <a:gd name="connsiteY7" fmla="*/ 719379 h 1532568"/>
                                        <a:gd name="connsiteX8" fmla="*/ 1486177 w 1620774"/>
                                        <a:gd name="connsiteY8" fmla="*/ 871539 h 1532568"/>
                                        <a:gd name="connsiteX9" fmla="*/ 1620775 w 1620774"/>
                                        <a:gd name="connsiteY9" fmla="*/ 1009098 h 1532568"/>
                                        <a:gd name="connsiteX10" fmla="*/ 1537097 w 1620774"/>
                                        <a:gd name="connsiteY10" fmla="*/ 1052753 h 1532568"/>
                                        <a:gd name="connsiteX11" fmla="*/ 1438663 w 1620774"/>
                                        <a:gd name="connsiteY11" fmla="*/ 1304125 h 1532568"/>
                                        <a:gd name="connsiteX12" fmla="*/ 771506 w 1620774"/>
                                        <a:gd name="connsiteY12" fmla="*/ 1532569 h 1532568"/>
                                        <a:gd name="connsiteX13" fmla="*/ 492633 w 1620774"/>
                                        <a:gd name="connsiteY13" fmla="*/ 1457529 h 1532568"/>
                                        <a:gd name="connsiteX14" fmla="*/ 379262 w 1620774"/>
                                        <a:gd name="connsiteY14" fmla="*/ 1283003 h 1532568"/>
                                        <a:gd name="connsiteX15" fmla="*/ 173812 w 1620774"/>
                                        <a:gd name="connsiteY15" fmla="*/ 1415338 h 1532568"/>
                                        <a:gd name="connsiteX16" fmla="*/ 0 w 1620774"/>
                                        <a:gd name="connsiteY16" fmla="*/ 886780 h 1532568"/>
                                        <a:gd name="connsiteX17" fmla="*/ 261594 w 1620774"/>
                                        <a:gd name="connsiteY17" fmla="*/ 263194 h 1532568"/>
                                        <a:gd name="connsiteX18" fmla="*/ 616382 w 1620774"/>
                                        <a:gd name="connsiteY18" fmla="*/ 18135 h 1532568"/>
                                        <a:gd name="connsiteX0" fmla="*/ 616382 w 1620776"/>
                                        <a:gd name="connsiteY0" fmla="*/ 18135 h 1532570"/>
                                        <a:gd name="connsiteX1" fmla="*/ 771141 w 1620776"/>
                                        <a:gd name="connsiteY1" fmla="*/ 131706 h 1532570"/>
                                        <a:gd name="connsiteX2" fmla="*/ 872875 w 1620776"/>
                                        <a:gd name="connsiteY2" fmla="*/ 15207 h 1532570"/>
                                        <a:gd name="connsiteX3" fmla="*/ 1224658 w 1620776"/>
                                        <a:gd name="connsiteY3" fmla="*/ 0 h 1532570"/>
                                        <a:gd name="connsiteX4" fmla="*/ 1276572 w 1620776"/>
                                        <a:gd name="connsiteY4" fmla="*/ 471096 h 1532570"/>
                                        <a:gd name="connsiteX5" fmla="*/ 1295486 w 1620776"/>
                                        <a:gd name="connsiteY5" fmla="*/ 471096 h 1532570"/>
                                        <a:gd name="connsiteX6" fmla="*/ 1295485 w 1620776"/>
                                        <a:gd name="connsiteY6" fmla="*/ 501138 h 1532570"/>
                                        <a:gd name="connsiteX7" fmla="*/ 1442039 w 1620776"/>
                                        <a:gd name="connsiteY7" fmla="*/ 719379 h 1532570"/>
                                        <a:gd name="connsiteX8" fmla="*/ 1486177 w 1620776"/>
                                        <a:gd name="connsiteY8" fmla="*/ 871539 h 1532570"/>
                                        <a:gd name="connsiteX9" fmla="*/ 1620775 w 1620776"/>
                                        <a:gd name="connsiteY9" fmla="*/ 1009098 h 1532570"/>
                                        <a:gd name="connsiteX10" fmla="*/ 1537097 w 1620776"/>
                                        <a:gd name="connsiteY10" fmla="*/ 1052753 h 1532570"/>
                                        <a:gd name="connsiteX11" fmla="*/ 1438663 w 1620776"/>
                                        <a:gd name="connsiteY11" fmla="*/ 1304125 h 1532570"/>
                                        <a:gd name="connsiteX12" fmla="*/ 771506 w 1620776"/>
                                        <a:gd name="connsiteY12" fmla="*/ 1532569 h 1532570"/>
                                        <a:gd name="connsiteX13" fmla="*/ 492633 w 1620776"/>
                                        <a:gd name="connsiteY13" fmla="*/ 1457529 h 1532570"/>
                                        <a:gd name="connsiteX14" fmla="*/ 379262 w 1620776"/>
                                        <a:gd name="connsiteY14" fmla="*/ 1283003 h 1532570"/>
                                        <a:gd name="connsiteX15" fmla="*/ 173812 w 1620776"/>
                                        <a:gd name="connsiteY15" fmla="*/ 1415338 h 1532570"/>
                                        <a:gd name="connsiteX16" fmla="*/ 0 w 1620776"/>
                                        <a:gd name="connsiteY16" fmla="*/ 886780 h 1532570"/>
                                        <a:gd name="connsiteX17" fmla="*/ 261594 w 1620776"/>
                                        <a:gd name="connsiteY17" fmla="*/ 263194 h 1532570"/>
                                        <a:gd name="connsiteX18" fmla="*/ 616382 w 1620776"/>
                                        <a:gd name="connsiteY18" fmla="*/ 18135 h 1532570"/>
                                        <a:gd name="connsiteX0" fmla="*/ 616382 w 1620774"/>
                                        <a:gd name="connsiteY0" fmla="*/ 18135 h 1532568"/>
                                        <a:gd name="connsiteX1" fmla="*/ 771141 w 1620774"/>
                                        <a:gd name="connsiteY1" fmla="*/ 131706 h 1532568"/>
                                        <a:gd name="connsiteX2" fmla="*/ 872873 w 1620774"/>
                                        <a:gd name="connsiteY2" fmla="*/ 30959 h 1532568"/>
                                        <a:gd name="connsiteX3" fmla="*/ 1224658 w 1620774"/>
                                        <a:gd name="connsiteY3" fmla="*/ 0 h 1532568"/>
                                        <a:gd name="connsiteX4" fmla="*/ 1276572 w 1620774"/>
                                        <a:gd name="connsiteY4" fmla="*/ 471096 h 1532568"/>
                                        <a:gd name="connsiteX5" fmla="*/ 1295486 w 1620774"/>
                                        <a:gd name="connsiteY5" fmla="*/ 471096 h 1532568"/>
                                        <a:gd name="connsiteX6" fmla="*/ 1295485 w 1620774"/>
                                        <a:gd name="connsiteY6" fmla="*/ 501138 h 1532568"/>
                                        <a:gd name="connsiteX7" fmla="*/ 1442039 w 1620774"/>
                                        <a:gd name="connsiteY7" fmla="*/ 719379 h 1532568"/>
                                        <a:gd name="connsiteX8" fmla="*/ 1486177 w 1620774"/>
                                        <a:gd name="connsiteY8" fmla="*/ 871539 h 1532568"/>
                                        <a:gd name="connsiteX9" fmla="*/ 1620775 w 1620774"/>
                                        <a:gd name="connsiteY9" fmla="*/ 1009098 h 1532568"/>
                                        <a:gd name="connsiteX10" fmla="*/ 1537097 w 1620774"/>
                                        <a:gd name="connsiteY10" fmla="*/ 1052753 h 1532568"/>
                                        <a:gd name="connsiteX11" fmla="*/ 1438663 w 1620774"/>
                                        <a:gd name="connsiteY11" fmla="*/ 1304125 h 1532568"/>
                                        <a:gd name="connsiteX12" fmla="*/ 771506 w 1620774"/>
                                        <a:gd name="connsiteY12" fmla="*/ 1532569 h 1532568"/>
                                        <a:gd name="connsiteX13" fmla="*/ 492633 w 1620774"/>
                                        <a:gd name="connsiteY13" fmla="*/ 1457529 h 1532568"/>
                                        <a:gd name="connsiteX14" fmla="*/ 379262 w 1620774"/>
                                        <a:gd name="connsiteY14" fmla="*/ 1283003 h 1532568"/>
                                        <a:gd name="connsiteX15" fmla="*/ 173812 w 1620774"/>
                                        <a:gd name="connsiteY15" fmla="*/ 1415338 h 1532568"/>
                                        <a:gd name="connsiteX16" fmla="*/ 0 w 1620774"/>
                                        <a:gd name="connsiteY16" fmla="*/ 886780 h 1532568"/>
                                        <a:gd name="connsiteX17" fmla="*/ 261594 w 1620774"/>
                                        <a:gd name="connsiteY17" fmla="*/ 263194 h 1532568"/>
                                        <a:gd name="connsiteX18" fmla="*/ 616382 w 1620774"/>
                                        <a:gd name="connsiteY18" fmla="*/ 18135 h 1532568"/>
                                        <a:gd name="connsiteX0" fmla="*/ 596332 w 1600725"/>
                                        <a:gd name="connsiteY0" fmla="*/ 18135 h 1532570"/>
                                        <a:gd name="connsiteX1" fmla="*/ 751091 w 1600725"/>
                                        <a:gd name="connsiteY1" fmla="*/ 131706 h 1532570"/>
                                        <a:gd name="connsiteX2" fmla="*/ 852823 w 1600725"/>
                                        <a:gd name="connsiteY2" fmla="*/ 30959 h 1532570"/>
                                        <a:gd name="connsiteX3" fmla="*/ 1204608 w 1600725"/>
                                        <a:gd name="connsiteY3" fmla="*/ 0 h 1532570"/>
                                        <a:gd name="connsiteX4" fmla="*/ 1256522 w 1600725"/>
                                        <a:gd name="connsiteY4" fmla="*/ 471096 h 1532570"/>
                                        <a:gd name="connsiteX5" fmla="*/ 1275436 w 1600725"/>
                                        <a:gd name="connsiteY5" fmla="*/ 471096 h 1532570"/>
                                        <a:gd name="connsiteX6" fmla="*/ 1275435 w 1600725"/>
                                        <a:gd name="connsiteY6" fmla="*/ 501138 h 1532570"/>
                                        <a:gd name="connsiteX7" fmla="*/ 1421989 w 1600725"/>
                                        <a:gd name="connsiteY7" fmla="*/ 719379 h 1532570"/>
                                        <a:gd name="connsiteX8" fmla="*/ 1466127 w 1600725"/>
                                        <a:gd name="connsiteY8" fmla="*/ 871539 h 1532570"/>
                                        <a:gd name="connsiteX9" fmla="*/ 1600725 w 1600725"/>
                                        <a:gd name="connsiteY9" fmla="*/ 1009098 h 1532570"/>
                                        <a:gd name="connsiteX10" fmla="*/ 1517047 w 1600725"/>
                                        <a:gd name="connsiteY10" fmla="*/ 1052753 h 1532570"/>
                                        <a:gd name="connsiteX11" fmla="*/ 1418613 w 1600725"/>
                                        <a:gd name="connsiteY11" fmla="*/ 1304125 h 1532570"/>
                                        <a:gd name="connsiteX12" fmla="*/ 751456 w 1600725"/>
                                        <a:gd name="connsiteY12" fmla="*/ 1532569 h 1532570"/>
                                        <a:gd name="connsiteX13" fmla="*/ 472583 w 1600725"/>
                                        <a:gd name="connsiteY13" fmla="*/ 1457529 h 1532570"/>
                                        <a:gd name="connsiteX14" fmla="*/ 359212 w 1600725"/>
                                        <a:gd name="connsiteY14" fmla="*/ 1283003 h 1532570"/>
                                        <a:gd name="connsiteX15" fmla="*/ 153762 w 1600725"/>
                                        <a:gd name="connsiteY15" fmla="*/ 1415338 h 1532570"/>
                                        <a:gd name="connsiteX16" fmla="*/ 0 w 1600725"/>
                                        <a:gd name="connsiteY16" fmla="*/ 886780 h 1532570"/>
                                        <a:gd name="connsiteX17" fmla="*/ 241544 w 1600725"/>
                                        <a:gd name="connsiteY17" fmla="*/ 263194 h 1532570"/>
                                        <a:gd name="connsiteX18" fmla="*/ 596332 w 1600725"/>
                                        <a:gd name="connsiteY18" fmla="*/ 18135 h 1532570"/>
                                        <a:gd name="connsiteX0" fmla="*/ 596332 w 1600725"/>
                                        <a:gd name="connsiteY0" fmla="*/ 18135 h 1532568"/>
                                        <a:gd name="connsiteX1" fmla="*/ 751091 w 1600725"/>
                                        <a:gd name="connsiteY1" fmla="*/ 131706 h 1532568"/>
                                        <a:gd name="connsiteX2" fmla="*/ 852823 w 1600725"/>
                                        <a:gd name="connsiteY2" fmla="*/ 30959 h 1532568"/>
                                        <a:gd name="connsiteX3" fmla="*/ 1204608 w 1600725"/>
                                        <a:gd name="connsiteY3" fmla="*/ 0 h 1532568"/>
                                        <a:gd name="connsiteX4" fmla="*/ 1256522 w 1600725"/>
                                        <a:gd name="connsiteY4" fmla="*/ 471096 h 1532568"/>
                                        <a:gd name="connsiteX5" fmla="*/ 1275436 w 1600725"/>
                                        <a:gd name="connsiteY5" fmla="*/ 471096 h 1532568"/>
                                        <a:gd name="connsiteX6" fmla="*/ 1275435 w 1600725"/>
                                        <a:gd name="connsiteY6" fmla="*/ 501138 h 1532568"/>
                                        <a:gd name="connsiteX7" fmla="*/ 1421989 w 1600725"/>
                                        <a:gd name="connsiteY7" fmla="*/ 719379 h 1532568"/>
                                        <a:gd name="connsiteX8" fmla="*/ 1466127 w 1600725"/>
                                        <a:gd name="connsiteY8" fmla="*/ 871539 h 1532568"/>
                                        <a:gd name="connsiteX9" fmla="*/ 1600725 w 1600725"/>
                                        <a:gd name="connsiteY9" fmla="*/ 1009098 h 1532568"/>
                                        <a:gd name="connsiteX10" fmla="*/ 1517047 w 1600725"/>
                                        <a:gd name="connsiteY10" fmla="*/ 1052753 h 1532568"/>
                                        <a:gd name="connsiteX11" fmla="*/ 1418613 w 1600725"/>
                                        <a:gd name="connsiteY11" fmla="*/ 1304125 h 1532568"/>
                                        <a:gd name="connsiteX12" fmla="*/ 751456 w 1600725"/>
                                        <a:gd name="connsiteY12" fmla="*/ 1532569 h 1532568"/>
                                        <a:gd name="connsiteX13" fmla="*/ 472583 w 1600725"/>
                                        <a:gd name="connsiteY13" fmla="*/ 1457529 h 1532568"/>
                                        <a:gd name="connsiteX14" fmla="*/ 359212 w 1600725"/>
                                        <a:gd name="connsiteY14" fmla="*/ 1283003 h 1532568"/>
                                        <a:gd name="connsiteX15" fmla="*/ 153762 w 1600725"/>
                                        <a:gd name="connsiteY15" fmla="*/ 1415338 h 1532568"/>
                                        <a:gd name="connsiteX16" fmla="*/ 0 w 1600725"/>
                                        <a:gd name="connsiteY16" fmla="*/ 886780 h 1532568"/>
                                        <a:gd name="connsiteX17" fmla="*/ 255294 w 1600725"/>
                                        <a:gd name="connsiteY17" fmla="*/ 272356 h 1532568"/>
                                        <a:gd name="connsiteX18" fmla="*/ 596332 w 1600725"/>
                                        <a:gd name="connsiteY18" fmla="*/ 18135 h 1532568"/>
                                        <a:gd name="connsiteX0" fmla="*/ 605499 w 1600725"/>
                                        <a:gd name="connsiteY0" fmla="*/ 0 h 1532570"/>
                                        <a:gd name="connsiteX1" fmla="*/ 751091 w 1600725"/>
                                        <a:gd name="connsiteY1" fmla="*/ 131706 h 1532570"/>
                                        <a:gd name="connsiteX2" fmla="*/ 852823 w 1600725"/>
                                        <a:gd name="connsiteY2" fmla="*/ 30959 h 1532570"/>
                                        <a:gd name="connsiteX3" fmla="*/ 1204608 w 1600725"/>
                                        <a:gd name="connsiteY3" fmla="*/ 0 h 1532570"/>
                                        <a:gd name="connsiteX4" fmla="*/ 1256522 w 1600725"/>
                                        <a:gd name="connsiteY4" fmla="*/ 471096 h 1532570"/>
                                        <a:gd name="connsiteX5" fmla="*/ 1275436 w 1600725"/>
                                        <a:gd name="connsiteY5" fmla="*/ 471096 h 1532570"/>
                                        <a:gd name="connsiteX6" fmla="*/ 1275435 w 1600725"/>
                                        <a:gd name="connsiteY6" fmla="*/ 501138 h 1532570"/>
                                        <a:gd name="connsiteX7" fmla="*/ 1421989 w 1600725"/>
                                        <a:gd name="connsiteY7" fmla="*/ 719379 h 1532570"/>
                                        <a:gd name="connsiteX8" fmla="*/ 1466127 w 1600725"/>
                                        <a:gd name="connsiteY8" fmla="*/ 871539 h 1532570"/>
                                        <a:gd name="connsiteX9" fmla="*/ 1600725 w 1600725"/>
                                        <a:gd name="connsiteY9" fmla="*/ 1009098 h 1532570"/>
                                        <a:gd name="connsiteX10" fmla="*/ 1517047 w 1600725"/>
                                        <a:gd name="connsiteY10" fmla="*/ 1052753 h 1532570"/>
                                        <a:gd name="connsiteX11" fmla="*/ 1418613 w 1600725"/>
                                        <a:gd name="connsiteY11" fmla="*/ 1304125 h 1532570"/>
                                        <a:gd name="connsiteX12" fmla="*/ 751456 w 1600725"/>
                                        <a:gd name="connsiteY12" fmla="*/ 1532569 h 1532570"/>
                                        <a:gd name="connsiteX13" fmla="*/ 472583 w 1600725"/>
                                        <a:gd name="connsiteY13" fmla="*/ 1457529 h 1532570"/>
                                        <a:gd name="connsiteX14" fmla="*/ 359212 w 1600725"/>
                                        <a:gd name="connsiteY14" fmla="*/ 1283003 h 1532570"/>
                                        <a:gd name="connsiteX15" fmla="*/ 153762 w 1600725"/>
                                        <a:gd name="connsiteY15" fmla="*/ 1415338 h 1532570"/>
                                        <a:gd name="connsiteX16" fmla="*/ 0 w 1600725"/>
                                        <a:gd name="connsiteY16" fmla="*/ 886780 h 1532570"/>
                                        <a:gd name="connsiteX17" fmla="*/ 255294 w 1600725"/>
                                        <a:gd name="connsiteY17" fmla="*/ 272356 h 1532570"/>
                                        <a:gd name="connsiteX18" fmla="*/ 605499 w 1600725"/>
                                        <a:gd name="connsiteY18" fmla="*/ 0 h 1532570"/>
                                        <a:gd name="connsiteX0" fmla="*/ 635097 w 1600725"/>
                                        <a:gd name="connsiteY0" fmla="*/ 17712 h 1532568"/>
                                        <a:gd name="connsiteX1" fmla="*/ 751091 w 1600725"/>
                                        <a:gd name="connsiteY1" fmla="*/ 131706 h 1532568"/>
                                        <a:gd name="connsiteX2" fmla="*/ 852823 w 1600725"/>
                                        <a:gd name="connsiteY2" fmla="*/ 30959 h 1532568"/>
                                        <a:gd name="connsiteX3" fmla="*/ 1204608 w 1600725"/>
                                        <a:gd name="connsiteY3" fmla="*/ 0 h 1532568"/>
                                        <a:gd name="connsiteX4" fmla="*/ 1256522 w 1600725"/>
                                        <a:gd name="connsiteY4" fmla="*/ 471096 h 1532568"/>
                                        <a:gd name="connsiteX5" fmla="*/ 1275436 w 1600725"/>
                                        <a:gd name="connsiteY5" fmla="*/ 471096 h 1532568"/>
                                        <a:gd name="connsiteX6" fmla="*/ 1275435 w 1600725"/>
                                        <a:gd name="connsiteY6" fmla="*/ 501138 h 1532568"/>
                                        <a:gd name="connsiteX7" fmla="*/ 1421989 w 1600725"/>
                                        <a:gd name="connsiteY7" fmla="*/ 719379 h 1532568"/>
                                        <a:gd name="connsiteX8" fmla="*/ 1466127 w 1600725"/>
                                        <a:gd name="connsiteY8" fmla="*/ 871539 h 1532568"/>
                                        <a:gd name="connsiteX9" fmla="*/ 1600725 w 1600725"/>
                                        <a:gd name="connsiteY9" fmla="*/ 1009098 h 1532568"/>
                                        <a:gd name="connsiteX10" fmla="*/ 1517047 w 1600725"/>
                                        <a:gd name="connsiteY10" fmla="*/ 1052753 h 1532568"/>
                                        <a:gd name="connsiteX11" fmla="*/ 1418613 w 1600725"/>
                                        <a:gd name="connsiteY11" fmla="*/ 1304125 h 1532568"/>
                                        <a:gd name="connsiteX12" fmla="*/ 751456 w 1600725"/>
                                        <a:gd name="connsiteY12" fmla="*/ 1532569 h 1532568"/>
                                        <a:gd name="connsiteX13" fmla="*/ 472583 w 1600725"/>
                                        <a:gd name="connsiteY13" fmla="*/ 1457529 h 1532568"/>
                                        <a:gd name="connsiteX14" fmla="*/ 359212 w 1600725"/>
                                        <a:gd name="connsiteY14" fmla="*/ 1283003 h 1532568"/>
                                        <a:gd name="connsiteX15" fmla="*/ 153762 w 1600725"/>
                                        <a:gd name="connsiteY15" fmla="*/ 1415338 h 1532568"/>
                                        <a:gd name="connsiteX16" fmla="*/ 0 w 1600725"/>
                                        <a:gd name="connsiteY16" fmla="*/ 886780 h 1532568"/>
                                        <a:gd name="connsiteX17" fmla="*/ 255294 w 1600725"/>
                                        <a:gd name="connsiteY17" fmla="*/ 272356 h 1532568"/>
                                        <a:gd name="connsiteX18" fmla="*/ 635097 w 1600725"/>
                                        <a:gd name="connsiteY18" fmla="*/ 17712 h 1532568"/>
                                        <a:gd name="connsiteX0" fmla="*/ 635097 w 1600725"/>
                                        <a:gd name="connsiteY0" fmla="*/ 17712 h 1532570"/>
                                        <a:gd name="connsiteX1" fmla="*/ 751091 w 1600725"/>
                                        <a:gd name="connsiteY1" fmla="*/ 131706 h 1532570"/>
                                        <a:gd name="connsiteX2" fmla="*/ 852823 w 1600725"/>
                                        <a:gd name="connsiteY2" fmla="*/ 30959 h 1532570"/>
                                        <a:gd name="connsiteX3" fmla="*/ 1204608 w 1600725"/>
                                        <a:gd name="connsiteY3" fmla="*/ 0 h 1532570"/>
                                        <a:gd name="connsiteX4" fmla="*/ 1256522 w 1600725"/>
                                        <a:gd name="connsiteY4" fmla="*/ 471096 h 1532570"/>
                                        <a:gd name="connsiteX5" fmla="*/ 1275436 w 1600725"/>
                                        <a:gd name="connsiteY5" fmla="*/ 471096 h 1532570"/>
                                        <a:gd name="connsiteX6" fmla="*/ 1275435 w 1600725"/>
                                        <a:gd name="connsiteY6" fmla="*/ 501138 h 1532570"/>
                                        <a:gd name="connsiteX7" fmla="*/ 1421989 w 1600725"/>
                                        <a:gd name="connsiteY7" fmla="*/ 719379 h 1532570"/>
                                        <a:gd name="connsiteX8" fmla="*/ 1466127 w 1600725"/>
                                        <a:gd name="connsiteY8" fmla="*/ 871539 h 1532570"/>
                                        <a:gd name="connsiteX9" fmla="*/ 1600725 w 1600725"/>
                                        <a:gd name="connsiteY9" fmla="*/ 1009098 h 1532570"/>
                                        <a:gd name="connsiteX10" fmla="*/ 1517047 w 1600725"/>
                                        <a:gd name="connsiteY10" fmla="*/ 1052753 h 1532570"/>
                                        <a:gd name="connsiteX11" fmla="*/ 1418613 w 1600725"/>
                                        <a:gd name="connsiteY11" fmla="*/ 1304125 h 1532570"/>
                                        <a:gd name="connsiteX12" fmla="*/ 751456 w 1600725"/>
                                        <a:gd name="connsiteY12" fmla="*/ 1532569 h 1532570"/>
                                        <a:gd name="connsiteX13" fmla="*/ 472583 w 1600725"/>
                                        <a:gd name="connsiteY13" fmla="*/ 1457529 h 1532570"/>
                                        <a:gd name="connsiteX14" fmla="*/ 359212 w 1600725"/>
                                        <a:gd name="connsiteY14" fmla="*/ 1283003 h 1532570"/>
                                        <a:gd name="connsiteX15" fmla="*/ 188325 w 1600725"/>
                                        <a:gd name="connsiteY15" fmla="*/ 1413449 h 1532570"/>
                                        <a:gd name="connsiteX16" fmla="*/ 0 w 1600725"/>
                                        <a:gd name="connsiteY16" fmla="*/ 886780 h 1532570"/>
                                        <a:gd name="connsiteX17" fmla="*/ 255294 w 1600725"/>
                                        <a:gd name="connsiteY17" fmla="*/ 272356 h 1532570"/>
                                        <a:gd name="connsiteX18" fmla="*/ 635097 w 1600725"/>
                                        <a:gd name="connsiteY18" fmla="*/ 17712 h 1532570"/>
                                        <a:gd name="connsiteX0" fmla="*/ 635097 w 1600725"/>
                                        <a:gd name="connsiteY0" fmla="*/ 17712 h 1532568"/>
                                        <a:gd name="connsiteX1" fmla="*/ 751091 w 1600725"/>
                                        <a:gd name="connsiteY1" fmla="*/ 131706 h 1532568"/>
                                        <a:gd name="connsiteX2" fmla="*/ 852823 w 1600725"/>
                                        <a:gd name="connsiteY2" fmla="*/ 30959 h 1532568"/>
                                        <a:gd name="connsiteX3" fmla="*/ 1204608 w 1600725"/>
                                        <a:gd name="connsiteY3" fmla="*/ 0 h 1532568"/>
                                        <a:gd name="connsiteX4" fmla="*/ 1256522 w 1600725"/>
                                        <a:gd name="connsiteY4" fmla="*/ 471096 h 1532568"/>
                                        <a:gd name="connsiteX5" fmla="*/ 1275436 w 1600725"/>
                                        <a:gd name="connsiteY5" fmla="*/ 471096 h 1532568"/>
                                        <a:gd name="connsiteX6" fmla="*/ 1275435 w 1600725"/>
                                        <a:gd name="connsiteY6" fmla="*/ 501138 h 1532568"/>
                                        <a:gd name="connsiteX7" fmla="*/ 1421989 w 1600725"/>
                                        <a:gd name="connsiteY7" fmla="*/ 719379 h 1532568"/>
                                        <a:gd name="connsiteX8" fmla="*/ 1466127 w 1600725"/>
                                        <a:gd name="connsiteY8" fmla="*/ 871539 h 1532568"/>
                                        <a:gd name="connsiteX9" fmla="*/ 1600725 w 1600725"/>
                                        <a:gd name="connsiteY9" fmla="*/ 1009098 h 1532568"/>
                                        <a:gd name="connsiteX10" fmla="*/ 1517047 w 1600725"/>
                                        <a:gd name="connsiteY10" fmla="*/ 1052753 h 1532568"/>
                                        <a:gd name="connsiteX11" fmla="*/ 1418613 w 1600725"/>
                                        <a:gd name="connsiteY11" fmla="*/ 1304125 h 1532568"/>
                                        <a:gd name="connsiteX12" fmla="*/ 751456 w 1600725"/>
                                        <a:gd name="connsiteY12" fmla="*/ 1532569 h 1532568"/>
                                        <a:gd name="connsiteX13" fmla="*/ 472583 w 1600725"/>
                                        <a:gd name="connsiteY13" fmla="*/ 1457529 h 1532568"/>
                                        <a:gd name="connsiteX14" fmla="*/ 359212 w 1600725"/>
                                        <a:gd name="connsiteY14" fmla="*/ 1283003 h 1532568"/>
                                        <a:gd name="connsiteX15" fmla="*/ 163923 w 1600725"/>
                                        <a:gd name="connsiteY15" fmla="*/ 1412504 h 1532568"/>
                                        <a:gd name="connsiteX16" fmla="*/ 0 w 1600725"/>
                                        <a:gd name="connsiteY16" fmla="*/ 886780 h 1532568"/>
                                        <a:gd name="connsiteX17" fmla="*/ 255294 w 1600725"/>
                                        <a:gd name="connsiteY17" fmla="*/ 272356 h 1532568"/>
                                        <a:gd name="connsiteX18" fmla="*/ 635097 w 1600725"/>
                                        <a:gd name="connsiteY18" fmla="*/ 17712 h 1532568"/>
                                        <a:gd name="connsiteX0" fmla="*/ 635097 w 1600725"/>
                                        <a:gd name="connsiteY0" fmla="*/ 17712 h 1532570"/>
                                        <a:gd name="connsiteX1" fmla="*/ 751091 w 1600725"/>
                                        <a:gd name="connsiteY1" fmla="*/ 131706 h 1532570"/>
                                        <a:gd name="connsiteX2" fmla="*/ 852823 w 1600725"/>
                                        <a:gd name="connsiteY2" fmla="*/ 30959 h 1532570"/>
                                        <a:gd name="connsiteX3" fmla="*/ 1204608 w 1600725"/>
                                        <a:gd name="connsiteY3" fmla="*/ 0 h 1532570"/>
                                        <a:gd name="connsiteX4" fmla="*/ 1256522 w 1600725"/>
                                        <a:gd name="connsiteY4" fmla="*/ 471096 h 1532570"/>
                                        <a:gd name="connsiteX5" fmla="*/ 1275436 w 1600725"/>
                                        <a:gd name="connsiteY5" fmla="*/ 471096 h 1532570"/>
                                        <a:gd name="connsiteX6" fmla="*/ 1275435 w 1600725"/>
                                        <a:gd name="connsiteY6" fmla="*/ 501138 h 1532570"/>
                                        <a:gd name="connsiteX7" fmla="*/ 1421989 w 1600725"/>
                                        <a:gd name="connsiteY7" fmla="*/ 719379 h 1532570"/>
                                        <a:gd name="connsiteX8" fmla="*/ 1466127 w 1600725"/>
                                        <a:gd name="connsiteY8" fmla="*/ 871539 h 1532570"/>
                                        <a:gd name="connsiteX9" fmla="*/ 1600725 w 1600725"/>
                                        <a:gd name="connsiteY9" fmla="*/ 1009098 h 1532570"/>
                                        <a:gd name="connsiteX10" fmla="*/ 1517047 w 1600725"/>
                                        <a:gd name="connsiteY10" fmla="*/ 1052753 h 1532570"/>
                                        <a:gd name="connsiteX11" fmla="*/ 1418613 w 1600725"/>
                                        <a:gd name="connsiteY11" fmla="*/ 1304125 h 1532570"/>
                                        <a:gd name="connsiteX12" fmla="*/ 751456 w 1600725"/>
                                        <a:gd name="connsiteY12" fmla="*/ 1532569 h 1532570"/>
                                        <a:gd name="connsiteX13" fmla="*/ 472583 w 1600725"/>
                                        <a:gd name="connsiteY13" fmla="*/ 1457529 h 1532570"/>
                                        <a:gd name="connsiteX14" fmla="*/ 359212 w 1600725"/>
                                        <a:gd name="connsiteY14" fmla="*/ 1283003 h 1532570"/>
                                        <a:gd name="connsiteX15" fmla="*/ 174850 w 1600725"/>
                                        <a:gd name="connsiteY15" fmla="*/ 1440006 h 1532570"/>
                                        <a:gd name="connsiteX16" fmla="*/ 0 w 1600725"/>
                                        <a:gd name="connsiteY16" fmla="*/ 886780 h 1532570"/>
                                        <a:gd name="connsiteX17" fmla="*/ 255294 w 1600725"/>
                                        <a:gd name="connsiteY17" fmla="*/ 272356 h 1532570"/>
                                        <a:gd name="connsiteX18" fmla="*/ 635097 w 1600725"/>
                                        <a:gd name="connsiteY18" fmla="*/ 17712 h 1532570"/>
                                        <a:gd name="connsiteX0" fmla="*/ 635097 w 1600725"/>
                                        <a:gd name="connsiteY0" fmla="*/ 17712 h 1532568"/>
                                        <a:gd name="connsiteX1" fmla="*/ 751091 w 1600725"/>
                                        <a:gd name="connsiteY1" fmla="*/ 131706 h 1532568"/>
                                        <a:gd name="connsiteX2" fmla="*/ 852823 w 1600725"/>
                                        <a:gd name="connsiteY2" fmla="*/ 30959 h 1532568"/>
                                        <a:gd name="connsiteX3" fmla="*/ 1204608 w 1600725"/>
                                        <a:gd name="connsiteY3" fmla="*/ 0 h 1532568"/>
                                        <a:gd name="connsiteX4" fmla="*/ 1256522 w 1600725"/>
                                        <a:gd name="connsiteY4" fmla="*/ 471096 h 1532568"/>
                                        <a:gd name="connsiteX5" fmla="*/ 1325852 w 1600725"/>
                                        <a:gd name="connsiteY5" fmla="*/ 471262 h 1532568"/>
                                        <a:gd name="connsiteX6" fmla="*/ 1275435 w 1600725"/>
                                        <a:gd name="connsiteY6" fmla="*/ 501138 h 1532568"/>
                                        <a:gd name="connsiteX7" fmla="*/ 1421989 w 1600725"/>
                                        <a:gd name="connsiteY7" fmla="*/ 719379 h 1532568"/>
                                        <a:gd name="connsiteX8" fmla="*/ 1466127 w 1600725"/>
                                        <a:gd name="connsiteY8" fmla="*/ 871539 h 1532568"/>
                                        <a:gd name="connsiteX9" fmla="*/ 1600725 w 1600725"/>
                                        <a:gd name="connsiteY9" fmla="*/ 1009098 h 1532568"/>
                                        <a:gd name="connsiteX10" fmla="*/ 1517047 w 1600725"/>
                                        <a:gd name="connsiteY10" fmla="*/ 1052753 h 1532568"/>
                                        <a:gd name="connsiteX11" fmla="*/ 1418613 w 1600725"/>
                                        <a:gd name="connsiteY11" fmla="*/ 1304125 h 1532568"/>
                                        <a:gd name="connsiteX12" fmla="*/ 751456 w 1600725"/>
                                        <a:gd name="connsiteY12" fmla="*/ 1532569 h 1532568"/>
                                        <a:gd name="connsiteX13" fmla="*/ 472583 w 1600725"/>
                                        <a:gd name="connsiteY13" fmla="*/ 1457529 h 1532568"/>
                                        <a:gd name="connsiteX14" fmla="*/ 359212 w 1600725"/>
                                        <a:gd name="connsiteY14" fmla="*/ 1283003 h 1532568"/>
                                        <a:gd name="connsiteX15" fmla="*/ 174850 w 1600725"/>
                                        <a:gd name="connsiteY15" fmla="*/ 1440006 h 1532568"/>
                                        <a:gd name="connsiteX16" fmla="*/ 0 w 1600725"/>
                                        <a:gd name="connsiteY16" fmla="*/ 886780 h 1532568"/>
                                        <a:gd name="connsiteX17" fmla="*/ 255294 w 1600725"/>
                                        <a:gd name="connsiteY17" fmla="*/ 272356 h 1532568"/>
                                        <a:gd name="connsiteX18" fmla="*/ 635097 w 1600725"/>
                                        <a:gd name="connsiteY18" fmla="*/ 17712 h 1532568"/>
                                        <a:gd name="connsiteX0" fmla="*/ 635097 w 1600725"/>
                                        <a:gd name="connsiteY0" fmla="*/ 17712 h 1532570"/>
                                        <a:gd name="connsiteX1" fmla="*/ 751091 w 1600725"/>
                                        <a:gd name="connsiteY1" fmla="*/ 131706 h 1532570"/>
                                        <a:gd name="connsiteX2" fmla="*/ 852823 w 1600725"/>
                                        <a:gd name="connsiteY2" fmla="*/ 30959 h 1532570"/>
                                        <a:gd name="connsiteX3" fmla="*/ 1204608 w 1600725"/>
                                        <a:gd name="connsiteY3" fmla="*/ 0 h 1532570"/>
                                        <a:gd name="connsiteX4" fmla="*/ 1256522 w 1600725"/>
                                        <a:gd name="connsiteY4" fmla="*/ 471096 h 1532570"/>
                                        <a:gd name="connsiteX5" fmla="*/ 1325852 w 1600725"/>
                                        <a:gd name="connsiteY5" fmla="*/ 471262 h 1532570"/>
                                        <a:gd name="connsiteX6" fmla="*/ 1275435 w 1600725"/>
                                        <a:gd name="connsiteY6" fmla="*/ 501138 h 1532570"/>
                                        <a:gd name="connsiteX7" fmla="*/ 1421989 w 1600725"/>
                                        <a:gd name="connsiteY7" fmla="*/ 719379 h 1532570"/>
                                        <a:gd name="connsiteX8" fmla="*/ 1470711 w 1600725"/>
                                        <a:gd name="connsiteY8" fmla="*/ 848621 h 1532570"/>
                                        <a:gd name="connsiteX9" fmla="*/ 1600725 w 1600725"/>
                                        <a:gd name="connsiteY9" fmla="*/ 1009098 h 1532570"/>
                                        <a:gd name="connsiteX10" fmla="*/ 1517047 w 1600725"/>
                                        <a:gd name="connsiteY10" fmla="*/ 1052753 h 1532570"/>
                                        <a:gd name="connsiteX11" fmla="*/ 1418613 w 1600725"/>
                                        <a:gd name="connsiteY11" fmla="*/ 1304125 h 1532570"/>
                                        <a:gd name="connsiteX12" fmla="*/ 751456 w 1600725"/>
                                        <a:gd name="connsiteY12" fmla="*/ 1532569 h 1532570"/>
                                        <a:gd name="connsiteX13" fmla="*/ 472583 w 1600725"/>
                                        <a:gd name="connsiteY13" fmla="*/ 1457529 h 1532570"/>
                                        <a:gd name="connsiteX14" fmla="*/ 359212 w 1600725"/>
                                        <a:gd name="connsiteY14" fmla="*/ 1283003 h 1532570"/>
                                        <a:gd name="connsiteX15" fmla="*/ 174850 w 1600725"/>
                                        <a:gd name="connsiteY15" fmla="*/ 1440006 h 1532570"/>
                                        <a:gd name="connsiteX16" fmla="*/ 0 w 1600725"/>
                                        <a:gd name="connsiteY16" fmla="*/ 886780 h 1532570"/>
                                        <a:gd name="connsiteX17" fmla="*/ 255294 w 1600725"/>
                                        <a:gd name="connsiteY17" fmla="*/ 272356 h 1532570"/>
                                        <a:gd name="connsiteX18" fmla="*/ 635097 w 1600725"/>
                                        <a:gd name="connsiteY18" fmla="*/ 17712 h 1532570"/>
                                        <a:gd name="connsiteX0" fmla="*/ 635097 w 1623036"/>
                                        <a:gd name="connsiteY0" fmla="*/ 17712 h 1532568"/>
                                        <a:gd name="connsiteX1" fmla="*/ 751091 w 1623036"/>
                                        <a:gd name="connsiteY1" fmla="*/ 131706 h 1532568"/>
                                        <a:gd name="connsiteX2" fmla="*/ 852823 w 1623036"/>
                                        <a:gd name="connsiteY2" fmla="*/ 30959 h 1532568"/>
                                        <a:gd name="connsiteX3" fmla="*/ 1204608 w 1623036"/>
                                        <a:gd name="connsiteY3" fmla="*/ 0 h 1532568"/>
                                        <a:gd name="connsiteX4" fmla="*/ 1256522 w 1623036"/>
                                        <a:gd name="connsiteY4" fmla="*/ 471096 h 1532568"/>
                                        <a:gd name="connsiteX5" fmla="*/ 1325852 w 1623036"/>
                                        <a:gd name="connsiteY5" fmla="*/ 471262 h 1532568"/>
                                        <a:gd name="connsiteX6" fmla="*/ 1275435 w 1623036"/>
                                        <a:gd name="connsiteY6" fmla="*/ 501138 h 1532568"/>
                                        <a:gd name="connsiteX7" fmla="*/ 1421989 w 1623036"/>
                                        <a:gd name="connsiteY7" fmla="*/ 719379 h 1532568"/>
                                        <a:gd name="connsiteX8" fmla="*/ 1470711 w 1623036"/>
                                        <a:gd name="connsiteY8" fmla="*/ 848621 h 1532568"/>
                                        <a:gd name="connsiteX9" fmla="*/ 1623036 w 1623036"/>
                                        <a:gd name="connsiteY9" fmla="*/ 1009100 h 1532568"/>
                                        <a:gd name="connsiteX10" fmla="*/ 1517047 w 1623036"/>
                                        <a:gd name="connsiteY10" fmla="*/ 1052753 h 1532568"/>
                                        <a:gd name="connsiteX11" fmla="*/ 1418613 w 1623036"/>
                                        <a:gd name="connsiteY11" fmla="*/ 1304125 h 1532568"/>
                                        <a:gd name="connsiteX12" fmla="*/ 751456 w 1623036"/>
                                        <a:gd name="connsiteY12" fmla="*/ 1532569 h 1532568"/>
                                        <a:gd name="connsiteX13" fmla="*/ 472583 w 1623036"/>
                                        <a:gd name="connsiteY13" fmla="*/ 1457529 h 1532568"/>
                                        <a:gd name="connsiteX14" fmla="*/ 359212 w 1623036"/>
                                        <a:gd name="connsiteY14" fmla="*/ 1283003 h 1532568"/>
                                        <a:gd name="connsiteX15" fmla="*/ 174850 w 1623036"/>
                                        <a:gd name="connsiteY15" fmla="*/ 1440006 h 1532568"/>
                                        <a:gd name="connsiteX16" fmla="*/ 0 w 1623036"/>
                                        <a:gd name="connsiteY16" fmla="*/ 886780 h 1532568"/>
                                        <a:gd name="connsiteX17" fmla="*/ 255294 w 1623036"/>
                                        <a:gd name="connsiteY17" fmla="*/ 272356 h 1532568"/>
                                        <a:gd name="connsiteX18" fmla="*/ 635097 w 1623036"/>
                                        <a:gd name="connsiteY18" fmla="*/ 17712 h 1532568"/>
                                        <a:gd name="connsiteX0" fmla="*/ 635097 w 1623036"/>
                                        <a:gd name="connsiteY0" fmla="*/ 17712 h 1532570"/>
                                        <a:gd name="connsiteX1" fmla="*/ 766458 w 1623036"/>
                                        <a:gd name="connsiteY1" fmla="*/ 108788 h 1532570"/>
                                        <a:gd name="connsiteX2" fmla="*/ 852823 w 1623036"/>
                                        <a:gd name="connsiteY2" fmla="*/ 30959 h 1532570"/>
                                        <a:gd name="connsiteX3" fmla="*/ 1204608 w 1623036"/>
                                        <a:gd name="connsiteY3" fmla="*/ 0 h 1532570"/>
                                        <a:gd name="connsiteX4" fmla="*/ 1256522 w 1623036"/>
                                        <a:gd name="connsiteY4" fmla="*/ 471096 h 1532570"/>
                                        <a:gd name="connsiteX5" fmla="*/ 1325852 w 1623036"/>
                                        <a:gd name="connsiteY5" fmla="*/ 471262 h 1532570"/>
                                        <a:gd name="connsiteX6" fmla="*/ 1275435 w 1623036"/>
                                        <a:gd name="connsiteY6" fmla="*/ 501138 h 1532570"/>
                                        <a:gd name="connsiteX7" fmla="*/ 1421989 w 1623036"/>
                                        <a:gd name="connsiteY7" fmla="*/ 719379 h 1532570"/>
                                        <a:gd name="connsiteX8" fmla="*/ 1470711 w 1623036"/>
                                        <a:gd name="connsiteY8" fmla="*/ 848621 h 1532570"/>
                                        <a:gd name="connsiteX9" fmla="*/ 1623036 w 1623036"/>
                                        <a:gd name="connsiteY9" fmla="*/ 1009100 h 1532570"/>
                                        <a:gd name="connsiteX10" fmla="*/ 1517047 w 1623036"/>
                                        <a:gd name="connsiteY10" fmla="*/ 1052753 h 1532570"/>
                                        <a:gd name="connsiteX11" fmla="*/ 1418613 w 1623036"/>
                                        <a:gd name="connsiteY11" fmla="*/ 1304125 h 1532570"/>
                                        <a:gd name="connsiteX12" fmla="*/ 751456 w 1623036"/>
                                        <a:gd name="connsiteY12" fmla="*/ 1532569 h 1532570"/>
                                        <a:gd name="connsiteX13" fmla="*/ 472583 w 1623036"/>
                                        <a:gd name="connsiteY13" fmla="*/ 1457529 h 1532570"/>
                                        <a:gd name="connsiteX14" fmla="*/ 359212 w 1623036"/>
                                        <a:gd name="connsiteY14" fmla="*/ 1283003 h 1532570"/>
                                        <a:gd name="connsiteX15" fmla="*/ 174850 w 1623036"/>
                                        <a:gd name="connsiteY15" fmla="*/ 1440006 h 1532570"/>
                                        <a:gd name="connsiteX16" fmla="*/ 0 w 1623036"/>
                                        <a:gd name="connsiteY16" fmla="*/ 886780 h 1532570"/>
                                        <a:gd name="connsiteX17" fmla="*/ 255294 w 1623036"/>
                                        <a:gd name="connsiteY17" fmla="*/ 272356 h 1532570"/>
                                        <a:gd name="connsiteX18" fmla="*/ 635097 w 1623036"/>
                                        <a:gd name="connsiteY18" fmla="*/ 17712 h 1532570"/>
                                        <a:gd name="connsiteX0" fmla="*/ 635097 w 1623036"/>
                                        <a:gd name="connsiteY0" fmla="*/ 17712 h 1532568"/>
                                        <a:gd name="connsiteX1" fmla="*/ 766458 w 1623036"/>
                                        <a:gd name="connsiteY1" fmla="*/ 122532 h 1532568"/>
                                        <a:gd name="connsiteX2" fmla="*/ 852823 w 1623036"/>
                                        <a:gd name="connsiteY2" fmla="*/ 30959 h 1532568"/>
                                        <a:gd name="connsiteX3" fmla="*/ 1204608 w 1623036"/>
                                        <a:gd name="connsiteY3" fmla="*/ 0 h 1532568"/>
                                        <a:gd name="connsiteX4" fmla="*/ 1256522 w 1623036"/>
                                        <a:gd name="connsiteY4" fmla="*/ 471096 h 1532568"/>
                                        <a:gd name="connsiteX5" fmla="*/ 1325852 w 1623036"/>
                                        <a:gd name="connsiteY5" fmla="*/ 471262 h 1532568"/>
                                        <a:gd name="connsiteX6" fmla="*/ 1275435 w 1623036"/>
                                        <a:gd name="connsiteY6" fmla="*/ 501138 h 1532568"/>
                                        <a:gd name="connsiteX7" fmla="*/ 1421989 w 1623036"/>
                                        <a:gd name="connsiteY7" fmla="*/ 719379 h 1532568"/>
                                        <a:gd name="connsiteX8" fmla="*/ 1470711 w 1623036"/>
                                        <a:gd name="connsiteY8" fmla="*/ 848621 h 1532568"/>
                                        <a:gd name="connsiteX9" fmla="*/ 1623036 w 1623036"/>
                                        <a:gd name="connsiteY9" fmla="*/ 1009100 h 1532568"/>
                                        <a:gd name="connsiteX10" fmla="*/ 1517047 w 1623036"/>
                                        <a:gd name="connsiteY10" fmla="*/ 1052753 h 1532568"/>
                                        <a:gd name="connsiteX11" fmla="*/ 1418613 w 1623036"/>
                                        <a:gd name="connsiteY11" fmla="*/ 1304125 h 1532568"/>
                                        <a:gd name="connsiteX12" fmla="*/ 751456 w 1623036"/>
                                        <a:gd name="connsiteY12" fmla="*/ 1532569 h 1532568"/>
                                        <a:gd name="connsiteX13" fmla="*/ 472583 w 1623036"/>
                                        <a:gd name="connsiteY13" fmla="*/ 1457529 h 1532568"/>
                                        <a:gd name="connsiteX14" fmla="*/ 359212 w 1623036"/>
                                        <a:gd name="connsiteY14" fmla="*/ 1283003 h 1532568"/>
                                        <a:gd name="connsiteX15" fmla="*/ 174850 w 1623036"/>
                                        <a:gd name="connsiteY15" fmla="*/ 1440006 h 1532568"/>
                                        <a:gd name="connsiteX16" fmla="*/ 0 w 1623036"/>
                                        <a:gd name="connsiteY16" fmla="*/ 886780 h 1532568"/>
                                        <a:gd name="connsiteX17" fmla="*/ 255294 w 1623036"/>
                                        <a:gd name="connsiteY17" fmla="*/ 272356 h 1532568"/>
                                        <a:gd name="connsiteX18" fmla="*/ 635097 w 1623036"/>
                                        <a:gd name="connsiteY18" fmla="*/ 17712 h 1532568"/>
                                        <a:gd name="connsiteX0" fmla="*/ 635097 w 1623036"/>
                                        <a:gd name="connsiteY0" fmla="*/ 17912 h 1532570"/>
                                        <a:gd name="connsiteX1" fmla="*/ 766458 w 1623036"/>
                                        <a:gd name="connsiteY1" fmla="*/ 122532 h 1532570"/>
                                        <a:gd name="connsiteX2" fmla="*/ 852823 w 1623036"/>
                                        <a:gd name="connsiteY2" fmla="*/ 30959 h 1532570"/>
                                        <a:gd name="connsiteX3" fmla="*/ 1204608 w 1623036"/>
                                        <a:gd name="connsiteY3" fmla="*/ 0 h 1532570"/>
                                        <a:gd name="connsiteX4" fmla="*/ 1256522 w 1623036"/>
                                        <a:gd name="connsiteY4" fmla="*/ 471096 h 1532570"/>
                                        <a:gd name="connsiteX5" fmla="*/ 1325852 w 1623036"/>
                                        <a:gd name="connsiteY5" fmla="*/ 471262 h 1532570"/>
                                        <a:gd name="connsiteX6" fmla="*/ 1275435 w 1623036"/>
                                        <a:gd name="connsiteY6" fmla="*/ 501138 h 1532570"/>
                                        <a:gd name="connsiteX7" fmla="*/ 1421989 w 1623036"/>
                                        <a:gd name="connsiteY7" fmla="*/ 719379 h 1532570"/>
                                        <a:gd name="connsiteX8" fmla="*/ 1470711 w 1623036"/>
                                        <a:gd name="connsiteY8" fmla="*/ 848621 h 1532570"/>
                                        <a:gd name="connsiteX9" fmla="*/ 1623036 w 1623036"/>
                                        <a:gd name="connsiteY9" fmla="*/ 1009100 h 1532570"/>
                                        <a:gd name="connsiteX10" fmla="*/ 1517047 w 1623036"/>
                                        <a:gd name="connsiteY10" fmla="*/ 1052753 h 1532570"/>
                                        <a:gd name="connsiteX11" fmla="*/ 1418613 w 1623036"/>
                                        <a:gd name="connsiteY11" fmla="*/ 1304125 h 1532570"/>
                                        <a:gd name="connsiteX12" fmla="*/ 751456 w 1623036"/>
                                        <a:gd name="connsiteY12" fmla="*/ 1532569 h 1532570"/>
                                        <a:gd name="connsiteX13" fmla="*/ 472583 w 1623036"/>
                                        <a:gd name="connsiteY13" fmla="*/ 1457529 h 1532570"/>
                                        <a:gd name="connsiteX14" fmla="*/ 359212 w 1623036"/>
                                        <a:gd name="connsiteY14" fmla="*/ 1283003 h 1532570"/>
                                        <a:gd name="connsiteX15" fmla="*/ 174850 w 1623036"/>
                                        <a:gd name="connsiteY15" fmla="*/ 1440006 h 1532570"/>
                                        <a:gd name="connsiteX16" fmla="*/ 0 w 1623036"/>
                                        <a:gd name="connsiteY16" fmla="*/ 886780 h 1532570"/>
                                        <a:gd name="connsiteX17" fmla="*/ 255294 w 1623036"/>
                                        <a:gd name="connsiteY17" fmla="*/ 272356 h 1532570"/>
                                        <a:gd name="connsiteX18" fmla="*/ 635097 w 1623036"/>
                                        <a:gd name="connsiteY18" fmla="*/ 17912 h 1532570"/>
                                        <a:gd name="connsiteX0" fmla="*/ 635097 w 1623036"/>
                                        <a:gd name="connsiteY0" fmla="*/ 17712 h 1532568"/>
                                        <a:gd name="connsiteX1" fmla="*/ 766458 w 1623036"/>
                                        <a:gd name="connsiteY1" fmla="*/ 122532 h 1532568"/>
                                        <a:gd name="connsiteX2" fmla="*/ 852823 w 1623036"/>
                                        <a:gd name="connsiteY2" fmla="*/ 30959 h 1532568"/>
                                        <a:gd name="connsiteX3" fmla="*/ 1204608 w 1623036"/>
                                        <a:gd name="connsiteY3" fmla="*/ 0 h 1532568"/>
                                        <a:gd name="connsiteX4" fmla="*/ 1256522 w 1623036"/>
                                        <a:gd name="connsiteY4" fmla="*/ 471096 h 1532568"/>
                                        <a:gd name="connsiteX5" fmla="*/ 1325852 w 1623036"/>
                                        <a:gd name="connsiteY5" fmla="*/ 471262 h 1532568"/>
                                        <a:gd name="connsiteX6" fmla="*/ 1275435 w 1623036"/>
                                        <a:gd name="connsiteY6" fmla="*/ 501138 h 1532568"/>
                                        <a:gd name="connsiteX7" fmla="*/ 1421989 w 1623036"/>
                                        <a:gd name="connsiteY7" fmla="*/ 719379 h 1532568"/>
                                        <a:gd name="connsiteX8" fmla="*/ 1470711 w 1623036"/>
                                        <a:gd name="connsiteY8" fmla="*/ 848621 h 1532568"/>
                                        <a:gd name="connsiteX9" fmla="*/ 1623036 w 1623036"/>
                                        <a:gd name="connsiteY9" fmla="*/ 1009100 h 1532568"/>
                                        <a:gd name="connsiteX10" fmla="*/ 1517047 w 1623036"/>
                                        <a:gd name="connsiteY10" fmla="*/ 1052753 h 1532568"/>
                                        <a:gd name="connsiteX11" fmla="*/ 1418613 w 1623036"/>
                                        <a:gd name="connsiteY11" fmla="*/ 1304125 h 1532568"/>
                                        <a:gd name="connsiteX12" fmla="*/ 751456 w 1623036"/>
                                        <a:gd name="connsiteY12" fmla="*/ 1532569 h 1532568"/>
                                        <a:gd name="connsiteX13" fmla="*/ 472583 w 1623036"/>
                                        <a:gd name="connsiteY13" fmla="*/ 1457529 h 1532568"/>
                                        <a:gd name="connsiteX14" fmla="*/ 359212 w 1623036"/>
                                        <a:gd name="connsiteY14" fmla="*/ 1283003 h 1532568"/>
                                        <a:gd name="connsiteX15" fmla="*/ 174850 w 1623036"/>
                                        <a:gd name="connsiteY15" fmla="*/ 1440006 h 1532568"/>
                                        <a:gd name="connsiteX16" fmla="*/ 0 w 1623036"/>
                                        <a:gd name="connsiteY16" fmla="*/ 886780 h 1532568"/>
                                        <a:gd name="connsiteX17" fmla="*/ 255294 w 1623036"/>
                                        <a:gd name="connsiteY17" fmla="*/ 272356 h 1532568"/>
                                        <a:gd name="connsiteX18" fmla="*/ 635097 w 1623036"/>
                                        <a:gd name="connsiteY18" fmla="*/ 17712 h 1532568"/>
                                        <a:gd name="connsiteX0" fmla="*/ 635097 w 1623036"/>
                                        <a:gd name="connsiteY0" fmla="*/ 17912 h 1532570"/>
                                        <a:gd name="connsiteX1" fmla="*/ 766458 w 1623036"/>
                                        <a:gd name="connsiteY1" fmla="*/ 122532 h 1532570"/>
                                        <a:gd name="connsiteX2" fmla="*/ 852823 w 1623036"/>
                                        <a:gd name="connsiteY2" fmla="*/ 30959 h 1532570"/>
                                        <a:gd name="connsiteX3" fmla="*/ 1204608 w 1623036"/>
                                        <a:gd name="connsiteY3" fmla="*/ 0 h 1532570"/>
                                        <a:gd name="connsiteX4" fmla="*/ 1256522 w 1623036"/>
                                        <a:gd name="connsiteY4" fmla="*/ 471096 h 1532570"/>
                                        <a:gd name="connsiteX5" fmla="*/ 1325852 w 1623036"/>
                                        <a:gd name="connsiteY5" fmla="*/ 471262 h 1532570"/>
                                        <a:gd name="connsiteX6" fmla="*/ 1275435 w 1623036"/>
                                        <a:gd name="connsiteY6" fmla="*/ 501138 h 1532570"/>
                                        <a:gd name="connsiteX7" fmla="*/ 1421989 w 1623036"/>
                                        <a:gd name="connsiteY7" fmla="*/ 719379 h 1532570"/>
                                        <a:gd name="connsiteX8" fmla="*/ 1470711 w 1623036"/>
                                        <a:gd name="connsiteY8" fmla="*/ 848621 h 1532570"/>
                                        <a:gd name="connsiteX9" fmla="*/ 1623036 w 1623036"/>
                                        <a:gd name="connsiteY9" fmla="*/ 1009100 h 1532570"/>
                                        <a:gd name="connsiteX10" fmla="*/ 1517047 w 1623036"/>
                                        <a:gd name="connsiteY10" fmla="*/ 1052753 h 1532570"/>
                                        <a:gd name="connsiteX11" fmla="*/ 1418613 w 1623036"/>
                                        <a:gd name="connsiteY11" fmla="*/ 1304125 h 1532570"/>
                                        <a:gd name="connsiteX12" fmla="*/ 751456 w 1623036"/>
                                        <a:gd name="connsiteY12" fmla="*/ 1532569 h 1532570"/>
                                        <a:gd name="connsiteX13" fmla="*/ 472583 w 1623036"/>
                                        <a:gd name="connsiteY13" fmla="*/ 1457529 h 1532570"/>
                                        <a:gd name="connsiteX14" fmla="*/ 359212 w 1623036"/>
                                        <a:gd name="connsiteY14" fmla="*/ 1283003 h 1532570"/>
                                        <a:gd name="connsiteX15" fmla="*/ 174850 w 1623036"/>
                                        <a:gd name="connsiteY15" fmla="*/ 1440006 h 1532570"/>
                                        <a:gd name="connsiteX16" fmla="*/ 0 w 1623036"/>
                                        <a:gd name="connsiteY16" fmla="*/ 886780 h 1532570"/>
                                        <a:gd name="connsiteX17" fmla="*/ 255294 w 1623036"/>
                                        <a:gd name="connsiteY17" fmla="*/ 272356 h 1532570"/>
                                        <a:gd name="connsiteX18" fmla="*/ 635097 w 1623036"/>
                                        <a:gd name="connsiteY18" fmla="*/ 17912 h 1532570"/>
                                        <a:gd name="connsiteX0" fmla="*/ 635097 w 1623036"/>
                                        <a:gd name="connsiteY0" fmla="*/ 17912 h 1532568"/>
                                        <a:gd name="connsiteX1" fmla="*/ 766458 w 1623036"/>
                                        <a:gd name="connsiteY1" fmla="*/ 122532 h 1532568"/>
                                        <a:gd name="connsiteX2" fmla="*/ 852823 w 1623036"/>
                                        <a:gd name="connsiteY2" fmla="*/ 30959 h 1532568"/>
                                        <a:gd name="connsiteX3" fmla="*/ 1204608 w 1623036"/>
                                        <a:gd name="connsiteY3" fmla="*/ 0 h 1532568"/>
                                        <a:gd name="connsiteX4" fmla="*/ 1256522 w 1623036"/>
                                        <a:gd name="connsiteY4" fmla="*/ 471096 h 1532568"/>
                                        <a:gd name="connsiteX5" fmla="*/ 1325852 w 1623036"/>
                                        <a:gd name="connsiteY5" fmla="*/ 471262 h 1532568"/>
                                        <a:gd name="connsiteX6" fmla="*/ 1275435 w 1623036"/>
                                        <a:gd name="connsiteY6" fmla="*/ 501138 h 1532568"/>
                                        <a:gd name="connsiteX7" fmla="*/ 1421989 w 1623036"/>
                                        <a:gd name="connsiteY7" fmla="*/ 719379 h 1532568"/>
                                        <a:gd name="connsiteX8" fmla="*/ 1470711 w 1623036"/>
                                        <a:gd name="connsiteY8" fmla="*/ 848621 h 1532568"/>
                                        <a:gd name="connsiteX9" fmla="*/ 1623036 w 1623036"/>
                                        <a:gd name="connsiteY9" fmla="*/ 1009100 h 1532568"/>
                                        <a:gd name="connsiteX10" fmla="*/ 1517047 w 1623036"/>
                                        <a:gd name="connsiteY10" fmla="*/ 1052753 h 1532568"/>
                                        <a:gd name="connsiteX11" fmla="*/ 1418613 w 1623036"/>
                                        <a:gd name="connsiteY11" fmla="*/ 1304125 h 1532568"/>
                                        <a:gd name="connsiteX12" fmla="*/ 751456 w 1623036"/>
                                        <a:gd name="connsiteY12" fmla="*/ 1532569 h 1532568"/>
                                        <a:gd name="connsiteX13" fmla="*/ 472583 w 1623036"/>
                                        <a:gd name="connsiteY13" fmla="*/ 1457529 h 1532568"/>
                                        <a:gd name="connsiteX14" fmla="*/ 359212 w 1623036"/>
                                        <a:gd name="connsiteY14" fmla="*/ 1283003 h 1532568"/>
                                        <a:gd name="connsiteX15" fmla="*/ 174850 w 1623036"/>
                                        <a:gd name="connsiteY15" fmla="*/ 1412504 h 1532568"/>
                                        <a:gd name="connsiteX16" fmla="*/ 0 w 1623036"/>
                                        <a:gd name="connsiteY16" fmla="*/ 886780 h 1532568"/>
                                        <a:gd name="connsiteX17" fmla="*/ 255294 w 1623036"/>
                                        <a:gd name="connsiteY17" fmla="*/ 272356 h 1532568"/>
                                        <a:gd name="connsiteX18" fmla="*/ 635097 w 1623036"/>
                                        <a:gd name="connsiteY18" fmla="*/ 17912 h 1532568"/>
                                        <a:gd name="connsiteX0" fmla="*/ 635097 w 1623036"/>
                                        <a:gd name="connsiteY0" fmla="*/ 17912 h 1532570"/>
                                        <a:gd name="connsiteX1" fmla="*/ 766458 w 1623036"/>
                                        <a:gd name="connsiteY1" fmla="*/ 122532 h 1532570"/>
                                        <a:gd name="connsiteX2" fmla="*/ 852823 w 1623036"/>
                                        <a:gd name="connsiteY2" fmla="*/ 30959 h 1532570"/>
                                        <a:gd name="connsiteX3" fmla="*/ 1204608 w 1623036"/>
                                        <a:gd name="connsiteY3" fmla="*/ 0 h 1532570"/>
                                        <a:gd name="connsiteX4" fmla="*/ 1256522 w 1623036"/>
                                        <a:gd name="connsiteY4" fmla="*/ 471096 h 1532570"/>
                                        <a:gd name="connsiteX5" fmla="*/ 1325852 w 1623036"/>
                                        <a:gd name="connsiteY5" fmla="*/ 471262 h 1532570"/>
                                        <a:gd name="connsiteX6" fmla="*/ 1275435 w 1623036"/>
                                        <a:gd name="connsiteY6" fmla="*/ 501138 h 1532570"/>
                                        <a:gd name="connsiteX7" fmla="*/ 1421989 w 1623036"/>
                                        <a:gd name="connsiteY7" fmla="*/ 719379 h 1532570"/>
                                        <a:gd name="connsiteX8" fmla="*/ 1470711 w 1623036"/>
                                        <a:gd name="connsiteY8" fmla="*/ 848621 h 1532570"/>
                                        <a:gd name="connsiteX9" fmla="*/ 1623036 w 1623036"/>
                                        <a:gd name="connsiteY9" fmla="*/ 1009100 h 1532570"/>
                                        <a:gd name="connsiteX10" fmla="*/ 1517047 w 1623036"/>
                                        <a:gd name="connsiteY10" fmla="*/ 1052753 h 1532570"/>
                                        <a:gd name="connsiteX11" fmla="*/ 1418613 w 1623036"/>
                                        <a:gd name="connsiteY11" fmla="*/ 1304125 h 1532570"/>
                                        <a:gd name="connsiteX12" fmla="*/ 751456 w 1623036"/>
                                        <a:gd name="connsiteY12" fmla="*/ 1532569 h 1532570"/>
                                        <a:gd name="connsiteX13" fmla="*/ 472583 w 1623036"/>
                                        <a:gd name="connsiteY13" fmla="*/ 1457529 h 1532570"/>
                                        <a:gd name="connsiteX14" fmla="*/ 359212 w 1623036"/>
                                        <a:gd name="connsiteY14" fmla="*/ 1283003 h 1532570"/>
                                        <a:gd name="connsiteX15" fmla="*/ 174850 w 1623036"/>
                                        <a:gd name="connsiteY15" fmla="*/ 1412504 h 1532570"/>
                                        <a:gd name="connsiteX16" fmla="*/ 0 w 1623036"/>
                                        <a:gd name="connsiteY16" fmla="*/ 886780 h 1532570"/>
                                        <a:gd name="connsiteX17" fmla="*/ 255294 w 1623036"/>
                                        <a:gd name="connsiteY17" fmla="*/ 272356 h 1532570"/>
                                        <a:gd name="connsiteX18" fmla="*/ 635097 w 1623036"/>
                                        <a:gd name="connsiteY18" fmla="*/ 17912 h 1532570"/>
                                        <a:gd name="connsiteX0" fmla="*/ 635097 w 1623036"/>
                                        <a:gd name="connsiteY0" fmla="*/ 17912 h 1532568"/>
                                        <a:gd name="connsiteX1" fmla="*/ 766458 w 1623036"/>
                                        <a:gd name="connsiteY1" fmla="*/ 122532 h 1532568"/>
                                        <a:gd name="connsiteX2" fmla="*/ 852823 w 1623036"/>
                                        <a:gd name="connsiteY2" fmla="*/ 30959 h 1532568"/>
                                        <a:gd name="connsiteX3" fmla="*/ 1204608 w 1623036"/>
                                        <a:gd name="connsiteY3" fmla="*/ 0 h 1532568"/>
                                        <a:gd name="connsiteX4" fmla="*/ 1256522 w 1623036"/>
                                        <a:gd name="connsiteY4" fmla="*/ 471096 h 1532568"/>
                                        <a:gd name="connsiteX5" fmla="*/ 1325852 w 1623036"/>
                                        <a:gd name="connsiteY5" fmla="*/ 471262 h 1532568"/>
                                        <a:gd name="connsiteX6" fmla="*/ 1275435 w 1623036"/>
                                        <a:gd name="connsiteY6" fmla="*/ 501138 h 1532568"/>
                                        <a:gd name="connsiteX7" fmla="*/ 1421989 w 1623036"/>
                                        <a:gd name="connsiteY7" fmla="*/ 719379 h 1532568"/>
                                        <a:gd name="connsiteX8" fmla="*/ 1470711 w 1623036"/>
                                        <a:gd name="connsiteY8" fmla="*/ 848621 h 1532568"/>
                                        <a:gd name="connsiteX9" fmla="*/ 1623036 w 1623036"/>
                                        <a:gd name="connsiteY9" fmla="*/ 1009100 h 1532568"/>
                                        <a:gd name="connsiteX10" fmla="*/ 1517047 w 1623036"/>
                                        <a:gd name="connsiteY10" fmla="*/ 1052753 h 1532568"/>
                                        <a:gd name="connsiteX11" fmla="*/ 1418613 w 1623036"/>
                                        <a:gd name="connsiteY11" fmla="*/ 1304125 h 1532568"/>
                                        <a:gd name="connsiteX12" fmla="*/ 751456 w 1623036"/>
                                        <a:gd name="connsiteY12" fmla="*/ 1532569 h 1532568"/>
                                        <a:gd name="connsiteX13" fmla="*/ 472583 w 1623036"/>
                                        <a:gd name="connsiteY13" fmla="*/ 1457529 h 1532568"/>
                                        <a:gd name="connsiteX14" fmla="*/ 355600 w 1623036"/>
                                        <a:gd name="connsiteY14" fmla="*/ 1283003 h 1532568"/>
                                        <a:gd name="connsiteX15" fmla="*/ 174850 w 1623036"/>
                                        <a:gd name="connsiteY15" fmla="*/ 1412504 h 1532568"/>
                                        <a:gd name="connsiteX16" fmla="*/ 0 w 1623036"/>
                                        <a:gd name="connsiteY16" fmla="*/ 886780 h 1532568"/>
                                        <a:gd name="connsiteX17" fmla="*/ 255294 w 1623036"/>
                                        <a:gd name="connsiteY17" fmla="*/ 272356 h 1532568"/>
                                        <a:gd name="connsiteX18" fmla="*/ 635097 w 1623036"/>
                                        <a:gd name="connsiteY18" fmla="*/ 17912 h 1532568"/>
                                        <a:gd name="connsiteX0" fmla="*/ 635097 w 1623036"/>
                                        <a:gd name="connsiteY0" fmla="*/ 17912 h 1532570"/>
                                        <a:gd name="connsiteX1" fmla="*/ 766458 w 1623036"/>
                                        <a:gd name="connsiteY1" fmla="*/ 122532 h 1532570"/>
                                        <a:gd name="connsiteX2" fmla="*/ 852823 w 1623036"/>
                                        <a:gd name="connsiteY2" fmla="*/ 30959 h 1532570"/>
                                        <a:gd name="connsiteX3" fmla="*/ 1204608 w 1623036"/>
                                        <a:gd name="connsiteY3" fmla="*/ 0 h 1532570"/>
                                        <a:gd name="connsiteX4" fmla="*/ 1256522 w 1623036"/>
                                        <a:gd name="connsiteY4" fmla="*/ 471096 h 1532570"/>
                                        <a:gd name="connsiteX5" fmla="*/ 1325852 w 1623036"/>
                                        <a:gd name="connsiteY5" fmla="*/ 471262 h 1532570"/>
                                        <a:gd name="connsiteX6" fmla="*/ 1275435 w 1623036"/>
                                        <a:gd name="connsiteY6" fmla="*/ 501138 h 1532570"/>
                                        <a:gd name="connsiteX7" fmla="*/ 1421989 w 1623036"/>
                                        <a:gd name="connsiteY7" fmla="*/ 719379 h 1532570"/>
                                        <a:gd name="connsiteX8" fmla="*/ 1470711 w 1623036"/>
                                        <a:gd name="connsiteY8" fmla="*/ 848621 h 1532570"/>
                                        <a:gd name="connsiteX9" fmla="*/ 1623036 w 1623036"/>
                                        <a:gd name="connsiteY9" fmla="*/ 1009100 h 1532570"/>
                                        <a:gd name="connsiteX10" fmla="*/ 1517047 w 1623036"/>
                                        <a:gd name="connsiteY10" fmla="*/ 1052753 h 1532570"/>
                                        <a:gd name="connsiteX11" fmla="*/ 1418613 w 1623036"/>
                                        <a:gd name="connsiteY11" fmla="*/ 1304125 h 1532570"/>
                                        <a:gd name="connsiteX12" fmla="*/ 751456 w 1623036"/>
                                        <a:gd name="connsiteY12" fmla="*/ 1532569 h 1532570"/>
                                        <a:gd name="connsiteX13" fmla="*/ 472583 w 1623036"/>
                                        <a:gd name="connsiteY13" fmla="*/ 1457529 h 1532570"/>
                                        <a:gd name="connsiteX14" fmla="*/ 381430 w 1623036"/>
                                        <a:gd name="connsiteY14" fmla="*/ 1283005 h 1532570"/>
                                        <a:gd name="connsiteX15" fmla="*/ 174850 w 1623036"/>
                                        <a:gd name="connsiteY15" fmla="*/ 1412504 h 1532570"/>
                                        <a:gd name="connsiteX16" fmla="*/ 0 w 1623036"/>
                                        <a:gd name="connsiteY16" fmla="*/ 886780 h 1532570"/>
                                        <a:gd name="connsiteX17" fmla="*/ 255294 w 1623036"/>
                                        <a:gd name="connsiteY17" fmla="*/ 272356 h 1532570"/>
                                        <a:gd name="connsiteX18" fmla="*/ 635097 w 1623036"/>
                                        <a:gd name="connsiteY18" fmla="*/ 17912 h 1532570"/>
                                        <a:gd name="connsiteX0" fmla="*/ 635097 w 1623036"/>
                                        <a:gd name="connsiteY0" fmla="*/ 17912 h 1532568"/>
                                        <a:gd name="connsiteX1" fmla="*/ 766458 w 1623036"/>
                                        <a:gd name="connsiteY1" fmla="*/ 122532 h 1532568"/>
                                        <a:gd name="connsiteX2" fmla="*/ 852823 w 1623036"/>
                                        <a:gd name="connsiteY2" fmla="*/ 30959 h 1532568"/>
                                        <a:gd name="connsiteX3" fmla="*/ 1204608 w 1623036"/>
                                        <a:gd name="connsiteY3" fmla="*/ 0 h 1532568"/>
                                        <a:gd name="connsiteX4" fmla="*/ 1256522 w 1623036"/>
                                        <a:gd name="connsiteY4" fmla="*/ 471096 h 1532568"/>
                                        <a:gd name="connsiteX5" fmla="*/ 1325852 w 1623036"/>
                                        <a:gd name="connsiteY5" fmla="*/ 471262 h 1532568"/>
                                        <a:gd name="connsiteX6" fmla="*/ 1275435 w 1623036"/>
                                        <a:gd name="connsiteY6" fmla="*/ 501138 h 1532568"/>
                                        <a:gd name="connsiteX7" fmla="*/ 1421989 w 1623036"/>
                                        <a:gd name="connsiteY7" fmla="*/ 719379 h 1532568"/>
                                        <a:gd name="connsiteX8" fmla="*/ 1470711 w 1623036"/>
                                        <a:gd name="connsiteY8" fmla="*/ 848621 h 1532568"/>
                                        <a:gd name="connsiteX9" fmla="*/ 1623036 w 1623036"/>
                                        <a:gd name="connsiteY9" fmla="*/ 1009100 h 1532568"/>
                                        <a:gd name="connsiteX10" fmla="*/ 1517047 w 1623036"/>
                                        <a:gd name="connsiteY10" fmla="*/ 1052753 h 1532568"/>
                                        <a:gd name="connsiteX11" fmla="*/ 1418613 w 1623036"/>
                                        <a:gd name="connsiteY11" fmla="*/ 1304125 h 1532568"/>
                                        <a:gd name="connsiteX12" fmla="*/ 751456 w 1623036"/>
                                        <a:gd name="connsiteY12" fmla="*/ 1532569 h 1532568"/>
                                        <a:gd name="connsiteX13" fmla="*/ 472583 w 1623036"/>
                                        <a:gd name="connsiteY13" fmla="*/ 1457529 h 1532568"/>
                                        <a:gd name="connsiteX14" fmla="*/ 352910 w 1623036"/>
                                        <a:gd name="connsiteY14" fmla="*/ 1304305 h 1532568"/>
                                        <a:gd name="connsiteX15" fmla="*/ 174850 w 1623036"/>
                                        <a:gd name="connsiteY15" fmla="*/ 1412504 h 1532568"/>
                                        <a:gd name="connsiteX16" fmla="*/ 0 w 1623036"/>
                                        <a:gd name="connsiteY16" fmla="*/ 886780 h 1532568"/>
                                        <a:gd name="connsiteX17" fmla="*/ 255294 w 1623036"/>
                                        <a:gd name="connsiteY17" fmla="*/ 272356 h 1532568"/>
                                        <a:gd name="connsiteX18" fmla="*/ 635097 w 1623036"/>
                                        <a:gd name="connsiteY18" fmla="*/ 17912 h 1532568"/>
                                        <a:gd name="connsiteX0" fmla="*/ 635097 w 1623036"/>
                                        <a:gd name="connsiteY0" fmla="*/ 17912 h 1532570"/>
                                        <a:gd name="connsiteX1" fmla="*/ 766458 w 1623036"/>
                                        <a:gd name="connsiteY1" fmla="*/ 122532 h 1532570"/>
                                        <a:gd name="connsiteX2" fmla="*/ 852823 w 1623036"/>
                                        <a:gd name="connsiteY2" fmla="*/ 30959 h 1532570"/>
                                        <a:gd name="connsiteX3" fmla="*/ 1204608 w 1623036"/>
                                        <a:gd name="connsiteY3" fmla="*/ 0 h 1532570"/>
                                        <a:gd name="connsiteX4" fmla="*/ 1256522 w 1623036"/>
                                        <a:gd name="connsiteY4" fmla="*/ 471096 h 1532570"/>
                                        <a:gd name="connsiteX5" fmla="*/ 1325852 w 1623036"/>
                                        <a:gd name="connsiteY5" fmla="*/ 471262 h 1532570"/>
                                        <a:gd name="connsiteX6" fmla="*/ 1275435 w 1623036"/>
                                        <a:gd name="connsiteY6" fmla="*/ 501138 h 1532570"/>
                                        <a:gd name="connsiteX7" fmla="*/ 1421989 w 1623036"/>
                                        <a:gd name="connsiteY7" fmla="*/ 719379 h 1532570"/>
                                        <a:gd name="connsiteX8" fmla="*/ 1470711 w 1623036"/>
                                        <a:gd name="connsiteY8" fmla="*/ 848621 h 1532570"/>
                                        <a:gd name="connsiteX9" fmla="*/ 1623036 w 1623036"/>
                                        <a:gd name="connsiteY9" fmla="*/ 1009100 h 1532570"/>
                                        <a:gd name="connsiteX10" fmla="*/ 1517047 w 1623036"/>
                                        <a:gd name="connsiteY10" fmla="*/ 1052753 h 1532570"/>
                                        <a:gd name="connsiteX11" fmla="*/ 1418613 w 1623036"/>
                                        <a:gd name="connsiteY11" fmla="*/ 1304125 h 1532570"/>
                                        <a:gd name="connsiteX12" fmla="*/ 751456 w 1623036"/>
                                        <a:gd name="connsiteY12" fmla="*/ 1532569 h 1532570"/>
                                        <a:gd name="connsiteX13" fmla="*/ 472583 w 1623036"/>
                                        <a:gd name="connsiteY13" fmla="*/ 1457529 h 1532570"/>
                                        <a:gd name="connsiteX14" fmla="*/ 352910 w 1623036"/>
                                        <a:gd name="connsiteY14" fmla="*/ 1304305 h 1532570"/>
                                        <a:gd name="connsiteX15" fmla="*/ 174850 w 1623036"/>
                                        <a:gd name="connsiteY15" fmla="*/ 1412504 h 1532570"/>
                                        <a:gd name="connsiteX16" fmla="*/ 0 w 1623036"/>
                                        <a:gd name="connsiteY16" fmla="*/ 886780 h 1532570"/>
                                        <a:gd name="connsiteX17" fmla="*/ 255294 w 1623036"/>
                                        <a:gd name="connsiteY17" fmla="*/ 272356 h 1532570"/>
                                        <a:gd name="connsiteX18" fmla="*/ 635097 w 1623036"/>
                                        <a:gd name="connsiteY18" fmla="*/ 17912 h 1532570"/>
                                        <a:gd name="connsiteX0" fmla="*/ 635097 w 1623036"/>
                                        <a:gd name="connsiteY0" fmla="*/ 17712 h 1532568"/>
                                        <a:gd name="connsiteX1" fmla="*/ 766458 w 1623036"/>
                                        <a:gd name="connsiteY1" fmla="*/ 122532 h 1532568"/>
                                        <a:gd name="connsiteX2" fmla="*/ 852823 w 1623036"/>
                                        <a:gd name="connsiteY2" fmla="*/ 30959 h 1532568"/>
                                        <a:gd name="connsiteX3" fmla="*/ 1204608 w 1623036"/>
                                        <a:gd name="connsiteY3" fmla="*/ 0 h 1532568"/>
                                        <a:gd name="connsiteX4" fmla="*/ 1256522 w 1623036"/>
                                        <a:gd name="connsiteY4" fmla="*/ 471096 h 1532568"/>
                                        <a:gd name="connsiteX5" fmla="*/ 1325852 w 1623036"/>
                                        <a:gd name="connsiteY5" fmla="*/ 471262 h 1532568"/>
                                        <a:gd name="connsiteX6" fmla="*/ 1275435 w 1623036"/>
                                        <a:gd name="connsiteY6" fmla="*/ 501138 h 1532568"/>
                                        <a:gd name="connsiteX7" fmla="*/ 1421989 w 1623036"/>
                                        <a:gd name="connsiteY7" fmla="*/ 719379 h 1532568"/>
                                        <a:gd name="connsiteX8" fmla="*/ 1470711 w 1623036"/>
                                        <a:gd name="connsiteY8" fmla="*/ 848621 h 1532568"/>
                                        <a:gd name="connsiteX9" fmla="*/ 1623036 w 1623036"/>
                                        <a:gd name="connsiteY9" fmla="*/ 1009100 h 1532568"/>
                                        <a:gd name="connsiteX10" fmla="*/ 1517047 w 1623036"/>
                                        <a:gd name="connsiteY10" fmla="*/ 1052753 h 1532568"/>
                                        <a:gd name="connsiteX11" fmla="*/ 1418613 w 1623036"/>
                                        <a:gd name="connsiteY11" fmla="*/ 1304125 h 1532568"/>
                                        <a:gd name="connsiteX12" fmla="*/ 751456 w 1623036"/>
                                        <a:gd name="connsiteY12" fmla="*/ 1532569 h 1532568"/>
                                        <a:gd name="connsiteX13" fmla="*/ 472583 w 1623036"/>
                                        <a:gd name="connsiteY13" fmla="*/ 1457529 h 1532568"/>
                                        <a:gd name="connsiteX14" fmla="*/ 352910 w 1623036"/>
                                        <a:gd name="connsiteY14" fmla="*/ 1304305 h 1532568"/>
                                        <a:gd name="connsiteX15" fmla="*/ 174850 w 1623036"/>
                                        <a:gd name="connsiteY15" fmla="*/ 1412504 h 1532568"/>
                                        <a:gd name="connsiteX16" fmla="*/ 0 w 1623036"/>
                                        <a:gd name="connsiteY16" fmla="*/ 886780 h 1532568"/>
                                        <a:gd name="connsiteX17" fmla="*/ 255294 w 1623036"/>
                                        <a:gd name="connsiteY17" fmla="*/ 272356 h 1532568"/>
                                        <a:gd name="connsiteX18" fmla="*/ 635097 w 1623036"/>
                                        <a:gd name="connsiteY18" fmla="*/ 17712 h 1532568"/>
                                        <a:gd name="connsiteX0" fmla="*/ 635097 w 1623036"/>
                                        <a:gd name="connsiteY0" fmla="*/ 17912 h 1532570"/>
                                        <a:gd name="connsiteX1" fmla="*/ 766458 w 1623036"/>
                                        <a:gd name="connsiteY1" fmla="*/ 122532 h 1532570"/>
                                        <a:gd name="connsiteX2" fmla="*/ 852823 w 1623036"/>
                                        <a:gd name="connsiteY2" fmla="*/ 30959 h 1532570"/>
                                        <a:gd name="connsiteX3" fmla="*/ 1204608 w 1623036"/>
                                        <a:gd name="connsiteY3" fmla="*/ 0 h 1532570"/>
                                        <a:gd name="connsiteX4" fmla="*/ 1256522 w 1623036"/>
                                        <a:gd name="connsiteY4" fmla="*/ 471096 h 1532570"/>
                                        <a:gd name="connsiteX5" fmla="*/ 1325852 w 1623036"/>
                                        <a:gd name="connsiteY5" fmla="*/ 471262 h 1532570"/>
                                        <a:gd name="connsiteX6" fmla="*/ 1275435 w 1623036"/>
                                        <a:gd name="connsiteY6" fmla="*/ 501138 h 1532570"/>
                                        <a:gd name="connsiteX7" fmla="*/ 1421989 w 1623036"/>
                                        <a:gd name="connsiteY7" fmla="*/ 719379 h 1532570"/>
                                        <a:gd name="connsiteX8" fmla="*/ 1470711 w 1623036"/>
                                        <a:gd name="connsiteY8" fmla="*/ 848621 h 1532570"/>
                                        <a:gd name="connsiteX9" fmla="*/ 1623036 w 1623036"/>
                                        <a:gd name="connsiteY9" fmla="*/ 1009100 h 1532570"/>
                                        <a:gd name="connsiteX10" fmla="*/ 1517047 w 1623036"/>
                                        <a:gd name="connsiteY10" fmla="*/ 1052753 h 1532570"/>
                                        <a:gd name="connsiteX11" fmla="*/ 1418613 w 1623036"/>
                                        <a:gd name="connsiteY11" fmla="*/ 1304125 h 1532570"/>
                                        <a:gd name="connsiteX12" fmla="*/ 751456 w 1623036"/>
                                        <a:gd name="connsiteY12" fmla="*/ 1532569 h 1532570"/>
                                        <a:gd name="connsiteX13" fmla="*/ 472583 w 1623036"/>
                                        <a:gd name="connsiteY13" fmla="*/ 1457529 h 1532570"/>
                                        <a:gd name="connsiteX14" fmla="*/ 352910 w 1623036"/>
                                        <a:gd name="connsiteY14" fmla="*/ 1304305 h 1532570"/>
                                        <a:gd name="connsiteX15" fmla="*/ 174850 w 1623036"/>
                                        <a:gd name="connsiteY15" fmla="*/ 1412504 h 1532570"/>
                                        <a:gd name="connsiteX16" fmla="*/ 0 w 1623036"/>
                                        <a:gd name="connsiteY16" fmla="*/ 886780 h 1532570"/>
                                        <a:gd name="connsiteX17" fmla="*/ 255294 w 1623036"/>
                                        <a:gd name="connsiteY17" fmla="*/ 272356 h 1532570"/>
                                        <a:gd name="connsiteX18" fmla="*/ 635097 w 1623036"/>
                                        <a:gd name="connsiteY18" fmla="*/ 17912 h 1532570"/>
                                        <a:gd name="connsiteX0" fmla="*/ 635097 w 1623036"/>
                                        <a:gd name="connsiteY0" fmla="*/ 95794 h 1532568"/>
                                        <a:gd name="connsiteX1" fmla="*/ 766458 w 1623036"/>
                                        <a:gd name="connsiteY1" fmla="*/ 122532 h 1532568"/>
                                        <a:gd name="connsiteX2" fmla="*/ 852823 w 1623036"/>
                                        <a:gd name="connsiteY2" fmla="*/ 30959 h 1532568"/>
                                        <a:gd name="connsiteX3" fmla="*/ 1204608 w 1623036"/>
                                        <a:gd name="connsiteY3" fmla="*/ 0 h 1532568"/>
                                        <a:gd name="connsiteX4" fmla="*/ 1256522 w 1623036"/>
                                        <a:gd name="connsiteY4" fmla="*/ 471096 h 1532568"/>
                                        <a:gd name="connsiteX5" fmla="*/ 1325852 w 1623036"/>
                                        <a:gd name="connsiteY5" fmla="*/ 471262 h 1532568"/>
                                        <a:gd name="connsiteX6" fmla="*/ 1275435 w 1623036"/>
                                        <a:gd name="connsiteY6" fmla="*/ 501138 h 1532568"/>
                                        <a:gd name="connsiteX7" fmla="*/ 1421989 w 1623036"/>
                                        <a:gd name="connsiteY7" fmla="*/ 719379 h 1532568"/>
                                        <a:gd name="connsiteX8" fmla="*/ 1470711 w 1623036"/>
                                        <a:gd name="connsiteY8" fmla="*/ 848621 h 1532568"/>
                                        <a:gd name="connsiteX9" fmla="*/ 1623036 w 1623036"/>
                                        <a:gd name="connsiteY9" fmla="*/ 1009100 h 1532568"/>
                                        <a:gd name="connsiteX10" fmla="*/ 1517047 w 1623036"/>
                                        <a:gd name="connsiteY10" fmla="*/ 1052753 h 1532568"/>
                                        <a:gd name="connsiteX11" fmla="*/ 1418613 w 1623036"/>
                                        <a:gd name="connsiteY11" fmla="*/ 1304125 h 1532568"/>
                                        <a:gd name="connsiteX12" fmla="*/ 751456 w 1623036"/>
                                        <a:gd name="connsiteY12" fmla="*/ 1532569 h 1532568"/>
                                        <a:gd name="connsiteX13" fmla="*/ 472583 w 1623036"/>
                                        <a:gd name="connsiteY13" fmla="*/ 1457529 h 1532568"/>
                                        <a:gd name="connsiteX14" fmla="*/ 352910 w 1623036"/>
                                        <a:gd name="connsiteY14" fmla="*/ 1304305 h 1532568"/>
                                        <a:gd name="connsiteX15" fmla="*/ 174850 w 1623036"/>
                                        <a:gd name="connsiteY15" fmla="*/ 1412504 h 1532568"/>
                                        <a:gd name="connsiteX16" fmla="*/ 0 w 1623036"/>
                                        <a:gd name="connsiteY16" fmla="*/ 886780 h 1532568"/>
                                        <a:gd name="connsiteX17" fmla="*/ 255294 w 1623036"/>
                                        <a:gd name="connsiteY17" fmla="*/ 272356 h 1532568"/>
                                        <a:gd name="connsiteX18" fmla="*/ 635097 w 1623036"/>
                                        <a:gd name="connsiteY18" fmla="*/ 95794 h 1532568"/>
                                        <a:gd name="connsiteX0" fmla="*/ 635097 w 1623036"/>
                                        <a:gd name="connsiteY0" fmla="*/ 17912 h 1532570"/>
                                        <a:gd name="connsiteX1" fmla="*/ 766458 w 1623036"/>
                                        <a:gd name="connsiteY1" fmla="*/ 122532 h 1532570"/>
                                        <a:gd name="connsiteX2" fmla="*/ 852823 w 1623036"/>
                                        <a:gd name="connsiteY2" fmla="*/ 30959 h 1532570"/>
                                        <a:gd name="connsiteX3" fmla="*/ 1204608 w 1623036"/>
                                        <a:gd name="connsiteY3" fmla="*/ 0 h 1532570"/>
                                        <a:gd name="connsiteX4" fmla="*/ 1256522 w 1623036"/>
                                        <a:gd name="connsiteY4" fmla="*/ 471096 h 1532570"/>
                                        <a:gd name="connsiteX5" fmla="*/ 1325852 w 1623036"/>
                                        <a:gd name="connsiteY5" fmla="*/ 471262 h 1532570"/>
                                        <a:gd name="connsiteX6" fmla="*/ 1275435 w 1623036"/>
                                        <a:gd name="connsiteY6" fmla="*/ 501138 h 1532570"/>
                                        <a:gd name="connsiteX7" fmla="*/ 1421989 w 1623036"/>
                                        <a:gd name="connsiteY7" fmla="*/ 719379 h 1532570"/>
                                        <a:gd name="connsiteX8" fmla="*/ 1470711 w 1623036"/>
                                        <a:gd name="connsiteY8" fmla="*/ 848621 h 1532570"/>
                                        <a:gd name="connsiteX9" fmla="*/ 1623036 w 1623036"/>
                                        <a:gd name="connsiteY9" fmla="*/ 1009100 h 1532570"/>
                                        <a:gd name="connsiteX10" fmla="*/ 1517047 w 1623036"/>
                                        <a:gd name="connsiteY10" fmla="*/ 1052753 h 1532570"/>
                                        <a:gd name="connsiteX11" fmla="*/ 1418613 w 1623036"/>
                                        <a:gd name="connsiteY11" fmla="*/ 1304125 h 1532570"/>
                                        <a:gd name="connsiteX12" fmla="*/ 751456 w 1623036"/>
                                        <a:gd name="connsiteY12" fmla="*/ 1532569 h 1532570"/>
                                        <a:gd name="connsiteX13" fmla="*/ 472583 w 1623036"/>
                                        <a:gd name="connsiteY13" fmla="*/ 1457529 h 1532570"/>
                                        <a:gd name="connsiteX14" fmla="*/ 352910 w 1623036"/>
                                        <a:gd name="connsiteY14" fmla="*/ 1304305 h 1532570"/>
                                        <a:gd name="connsiteX15" fmla="*/ 174850 w 1623036"/>
                                        <a:gd name="connsiteY15" fmla="*/ 1412504 h 1532570"/>
                                        <a:gd name="connsiteX16" fmla="*/ 0 w 1623036"/>
                                        <a:gd name="connsiteY16" fmla="*/ 886780 h 1532570"/>
                                        <a:gd name="connsiteX17" fmla="*/ 255294 w 1623036"/>
                                        <a:gd name="connsiteY17" fmla="*/ 272356 h 1532570"/>
                                        <a:gd name="connsiteX18" fmla="*/ 635097 w 1623036"/>
                                        <a:gd name="connsiteY18" fmla="*/ 17912 h 1532570"/>
                                        <a:gd name="connsiteX0" fmla="*/ 635097 w 1623036"/>
                                        <a:gd name="connsiteY0" fmla="*/ 17712 h 1532568"/>
                                        <a:gd name="connsiteX1" fmla="*/ 766458 w 1623036"/>
                                        <a:gd name="connsiteY1" fmla="*/ 122532 h 1532568"/>
                                        <a:gd name="connsiteX2" fmla="*/ 852823 w 1623036"/>
                                        <a:gd name="connsiteY2" fmla="*/ 30959 h 1532568"/>
                                        <a:gd name="connsiteX3" fmla="*/ 1204608 w 1623036"/>
                                        <a:gd name="connsiteY3" fmla="*/ 0 h 1532568"/>
                                        <a:gd name="connsiteX4" fmla="*/ 1256522 w 1623036"/>
                                        <a:gd name="connsiteY4" fmla="*/ 471096 h 1532568"/>
                                        <a:gd name="connsiteX5" fmla="*/ 1325852 w 1623036"/>
                                        <a:gd name="connsiteY5" fmla="*/ 471262 h 1532568"/>
                                        <a:gd name="connsiteX6" fmla="*/ 1275435 w 1623036"/>
                                        <a:gd name="connsiteY6" fmla="*/ 501138 h 1532568"/>
                                        <a:gd name="connsiteX7" fmla="*/ 1421989 w 1623036"/>
                                        <a:gd name="connsiteY7" fmla="*/ 719379 h 1532568"/>
                                        <a:gd name="connsiteX8" fmla="*/ 1470711 w 1623036"/>
                                        <a:gd name="connsiteY8" fmla="*/ 848621 h 1532568"/>
                                        <a:gd name="connsiteX9" fmla="*/ 1623036 w 1623036"/>
                                        <a:gd name="connsiteY9" fmla="*/ 1009100 h 1532568"/>
                                        <a:gd name="connsiteX10" fmla="*/ 1517047 w 1623036"/>
                                        <a:gd name="connsiteY10" fmla="*/ 1052753 h 1532568"/>
                                        <a:gd name="connsiteX11" fmla="*/ 1418613 w 1623036"/>
                                        <a:gd name="connsiteY11" fmla="*/ 1304125 h 1532568"/>
                                        <a:gd name="connsiteX12" fmla="*/ 751456 w 1623036"/>
                                        <a:gd name="connsiteY12" fmla="*/ 1532569 h 1532568"/>
                                        <a:gd name="connsiteX13" fmla="*/ 472583 w 1623036"/>
                                        <a:gd name="connsiteY13" fmla="*/ 1457529 h 1532568"/>
                                        <a:gd name="connsiteX14" fmla="*/ 352910 w 1623036"/>
                                        <a:gd name="connsiteY14" fmla="*/ 1304305 h 1532568"/>
                                        <a:gd name="connsiteX15" fmla="*/ 174850 w 1623036"/>
                                        <a:gd name="connsiteY15" fmla="*/ 1412504 h 1532568"/>
                                        <a:gd name="connsiteX16" fmla="*/ 0 w 1623036"/>
                                        <a:gd name="connsiteY16" fmla="*/ 886780 h 1532568"/>
                                        <a:gd name="connsiteX17" fmla="*/ 255294 w 1623036"/>
                                        <a:gd name="connsiteY17" fmla="*/ 272356 h 1532568"/>
                                        <a:gd name="connsiteX18" fmla="*/ 635097 w 1623036"/>
                                        <a:gd name="connsiteY18" fmla="*/ 17712 h 1532568"/>
                                        <a:gd name="connsiteX0" fmla="*/ 635097 w 1623036"/>
                                        <a:gd name="connsiteY0" fmla="*/ 17912 h 1532570"/>
                                        <a:gd name="connsiteX1" fmla="*/ 766458 w 1623036"/>
                                        <a:gd name="connsiteY1" fmla="*/ 122532 h 1532570"/>
                                        <a:gd name="connsiteX2" fmla="*/ 852823 w 1623036"/>
                                        <a:gd name="connsiteY2" fmla="*/ 30959 h 1532570"/>
                                        <a:gd name="connsiteX3" fmla="*/ 1204608 w 1623036"/>
                                        <a:gd name="connsiteY3" fmla="*/ 0 h 1532570"/>
                                        <a:gd name="connsiteX4" fmla="*/ 1256522 w 1623036"/>
                                        <a:gd name="connsiteY4" fmla="*/ 471096 h 1532570"/>
                                        <a:gd name="connsiteX5" fmla="*/ 1325852 w 1623036"/>
                                        <a:gd name="connsiteY5" fmla="*/ 471262 h 1532570"/>
                                        <a:gd name="connsiteX6" fmla="*/ 1275435 w 1623036"/>
                                        <a:gd name="connsiteY6" fmla="*/ 501138 h 1532570"/>
                                        <a:gd name="connsiteX7" fmla="*/ 1421989 w 1623036"/>
                                        <a:gd name="connsiteY7" fmla="*/ 719379 h 1532570"/>
                                        <a:gd name="connsiteX8" fmla="*/ 1470711 w 1623036"/>
                                        <a:gd name="connsiteY8" fmla="*/ 848621 h 1532570"/>
                                        <a:gd name="connsiteX9" fmla="*/ 1623036 w 1623036"/>
                                        <a:gd name="connsiteY9" fmla="*/ 1009100 h 1532570"/>
                                        <a:gd name="connsiteX10" fmla="*/ 1517047 w 1623036"/>
                                        <a:gd name="connsiteY10" fmla="*/ 1052753 h 1532570"/>
                                        <a:gd name="connsiteX11" fmla="*/ 1418613 w 1623036"/>
                                        <a:gd name="connsiteY11" fmla="*/ 1304125 h 1532570"/>
                                        <a:gd name="connsiteX12" fmla="*/ 751456 w 1623036"/>
                                        <a:gd name="connsiteY12" fmla="*/ 1532569 h 1532570"/>
                                        <a:gd name="connsiteX13" fmla="*/ 472583 w 1623036"/>
                                        <a:gd name="connsiteY13" fmla="*/ 1457529 h 1532570"/>
                                        <a:gd name="connsiteX14" fmla="*/ 352910 w 1623036"/>
                                        <a:gd name="connsiteY14" fmla="*/ 1304305 h 1532570"/>
                                        <a:gd name="connsiteX15" fmla="*/ 174850 w 1623036"/>
                                        <a:gd name="connsiteY15" fmla="*/ 1412504 h 1532570"/>
                                        <a:gd name="connsiteX16" fmla="*/ 0 w 1623036"/>
                                        <a:gd name="connsiteY16" fmla="*/ 886780 h 1532570"/>
                                        <a:gd name="connsiteX17" fmla="*/ 255294 w 1623036"/>
                                        <a:gd name="connsiteY17" fmla="*/ 272356 h 1532570"/>
                                        <a:gd name="connsiteX18" fmla="*/ 635097 w 1623036"/>
                                        <a:gd name="connsiteY18" fmla="*/ 17912 h 1532570"/>
                                        <a:gd name="connsiteX0" fmla="*/ 635097 w 1623036"/>
                                        <a:gd name="connsiteY0" fmla="*/ 17712 h 1532568"/>
                                        <a:gd name="connsiteX1" fmla="*/ 766458 w 1623036"/>
                                        <a:gd name="connsiteY1" fmla="*/ 122532 h 1532568"/>
                                        <a:gd name="connsiteX2" fmla="*/ 852823 w 1623036"/>
                                        <a:gd name="connsiteY2" fmla="*/ 30959 h 1532568"/>
                                        <a:gd name="connsiteX3" fmla="*/ 1204608 w 1623036"/>
                                        <a:gd name="connsiteY3" fmla="*/ 0 h 1532568"/>
                                        <a:gd name="connsiteX4" fmla="*/ 1256522 w 1623036"/>
                                        <a:gd name="connsiteY4" fmla="*/ 471096 h 1532568"/>
                                        <a:gd name="connsiteX5" fmla="*/ 1325852 w 1623036"/>
                                        <a:gd name="connsiteY5" fmla="*/ 471262 h 1532568"/>
                                        <a:gd name="connsiteX6" fmla="*/ 1275435 w 1623036"/>
                                        <a:gd name="connsiteY6" fmla="*/ 501138 h 1532568"/>
                                        <a:gd name="connsiteX7" fmla="*/ 1421989 w 1623036"/>
                                        <a:gd name="connsiteY7" fmla="*/ 719379 h 1532568"/>
                                        <a:gd name="connsiteX8" fmla="*/ 1470711 w 1623036"/>
                                        <a:gd name="connsiteY8" fmla="*/ 848621 h 1532568"/>
                                        <a:gd name="connsiteX9" fmla="*/ 1623036 w 1623036"/>
                                        <a:gd name="connsiteY9" fmla="*/ 1009100 h 1532568"/>
                                        <a:gd name="connsiteX10" fmla="*/ 1517047 w 1623036"/>
                                        <a:gd name="connsiteY10" fmla="*/ 1052753 h 1532568"/>
                                        <a:gd name="connsiteX11" fmla="*/ 1418613 w 1623036"/>
                                        <a:gd name="connsiteY11" fmla="*/ 1304125 h 1532568"/>
                                        <a:gd name="connsiteX12" fmla="*/ 751456 w 1623036"/>
                                        <a:gd name="connsiteY12" fmla="*/ 1532569 h 1532568"/>
                                        <a:gd name="connsiteX13" fmla="*/ 472583 w 1623036"/>
                                        <a:gd name="connsiteY13" fmla="*/ 1457529 h 1532568"/>
                                        <a:gd name="connsiteX14" fmla="*/ 352910 w 1623036"/>
                                        <a:gd name="connsiteY14" fmla="*/ 1304305 h 1532568"/>
                                        <a:gd name="connsiteX15" fmla="*/ 174850 w 1623036"/>
                                        <a:gd name="connsiteY15" fmla="*/ 1412504 h 1532568"/>
                                        <a:gd name="connsiteX16" fmla="*/ 0 w 1623036"/>
                                        <a:gd name="connsiteY16" fmla="*/ 886780 h 1532568"/>
                                        <a:gd name="connsiteX17" fmla="*/ 255294 w 1623036"/>
                                        <a:gd name="connsiteY17" fmla="*/ 272356 h 1532568"/>
                                        <a:gd name="connsiteX18" fmla="*/ 635097 w 1623036"/>
                                        <a:gd name="connsiteY18" fmla="*/ 17712 h 1532568"/>
                                        <a:gd name="connsiteX0" fmla="*/ 635097 w 1623036"/>
                                        <a:gd name="connsiteY0" fmla="*/ 17912 h 1532570"/>
                                        <a:gd name="connsiteX1" fmla="*/ 766458 w 1623036"/>
                                        <a:gd name="connsiteY1" fmla="*/ 122532 h 1532570"/>
                                        <a:gd name="connsiteX2" fmla="*/ 852823 w 1623036"/>
                                        <a:gd name="connsiteY2" fmla="*/ 30959 h 1532570"/>
                                        <a:gd name="connsiteX3" fmla="*/ 1204608 w 1623036"/>
                                        <a:gd name="connsiteY3" fmla="*/ 0 h 1532570"/>
                                        <a:gd name="connsiteX4" fmla="*/ 1256522 w 1623036"/>
                                        <a:gd name="connsiteY4" fmla="*/ 471096 h 1532570"/>
                                        <a:gd name="connsiteX5" fmla="*/ 1325852 w 1623036"/>
                                        <a:gd name="connsiteY5" fmla="*/ 471262 h 1532570"/>
                                        <a:gd name="connsiteX6" fmla="*/ 1275435 w 1623036"/>
                                        <a:gd name="connsiteY6" fmla="*/ 501138 h 1532570"/>
                                        <a:gd name="connsiteX7" fmla="*/ 1421989 w 1623036"/>
                                        <a:gd name="connsiteY7" fmla="*/ 719379 h 1532570"/>
                                        <a:gd name="connsiteX8" fmla="*/ 1470711 w 1623036"/>
                                        <a:gd name="connsiteY8" fmla="*/ 848621 h 1532570"/>
                                        <a:gd name="connsiteX9" fmla="*/ 1623036 w 1623036"/>
                                        <a:gd name="connsiteY9" fmla="*/ 1009100 h 1532570"/>
                                        <a:gd name="connsiteX10" fmla="*/ 1517047 w 1623036"/>
                                        <a:gd name="connsiteY10" fmla="*/ 1052753 h 1532570"/>
                                        <a:gd name="connsiteX11" fmla="*/ 1418613 w 1623036"/>
                                        <a:gd name="connsiteY11" fmla="*/ 1304125 h 1532570"/>
                                        <a:gd name="connsiteX12" fmla="*/ 751456 w 1623036"/>
                                        <a:gd name="connsiteY12" fmla="*/ 1532569 h 1532570"/>
                                        <a:gd name="connsiteX13" fmla="*/ 472583 w 1623036"/>
                                        <a:gd name="connsiteY13" fmla="*/ 1457529 h 1532570"/>
                                        <a:gd name="connsiteX14" fmla="*/ 352910 w 1623036"/>
                                        <a:gd name="connsiteY14" fmla="*/ 1304305 h 1532570"/>
                                        <a:gd name="connsiteX15" fmla="*/ 174850 w 1623036"/>
                                        <a:gd name="connsiteY15" fmla="*/ 1412504 h 1532570"/>
                                        <a:gd name="connsiteX16" fmla="*/ 0 w 1623036"/>
                                        <a:gd name="connsiteY16" fmla="*/ 886780 h 1532570"/>
                                        <a:gd name="connsiteX17" fmla="*/ 255294 w 1623036"/>
                                        <a:gd name="connsiteY17" fmla="*/ 272356 h 1532570"/>
                                        <a:gd name="connsiteX18" fmla="*/ 635097 w 1623036"/>
                                        <a:gd name="connsiteY18" fmla="*/ 17912 h 1532570"/>
                                        <a:gd name="connsiteX0" fmla="*/ 612180 w 1623036"/>
                                        <a:gd name="connsiteY0" fmla="*/ 77469 h 1532568"/>
                                        <a:gd name="connsiteX1" fmla="*/ 766458 w 1623036"/>
                                        <a:gd name="connsiteY1" fmla="*/ 122532 h 1532568"/>
                                        <a:gd name="connsiteX2" fmla="*/ 852823 w 1623036"/>
                                        <a:gd name="connsiteY2" fmla="*/ 30959 h 1532568"/>
                                        <a:gd name="connsiteX3" fmla="*/ 1204608 w 1623036"/>
                                        <a:gd name="connsiteY3" fmla="*/ 0 h 1532568"/>
                                        <a:gd name="connsiteX4" fmla="*/ 1256522 w 1623036"/>
                                        <a:gd name="connsiteY4" fmla="*/ 471096 h 1532568"/>
                                        <a:gd name="connsiteX5" fmla="*/ 1325852 w 1623036"/>
                                        <a:gd name="connsiteY5" fmla="*/ 471262 h 1532568"/>
                                        <a:gd name="connsiteX6" fmla="*/ 1275435 w 1623036"/>
                                        <a:gd name="connsiteY6" fmla="*/ 501138 h 1532568"/>
                                        <a:gd name="connsiteX7" fmla="*/ 1421989 w 1623036"/>
                                        <a:gd name="connsiteY7" fmla="*/ 719379 h 1532568"/>
                                        <a:gd name="connsiteX8" fmla="*/ 1470711 w 1623036"/>
                                        <a:gd name="connsiteY8" fmla="*/ 848621 h 1532568"/>
                                        <a:gd name="connsiteX9" fmla="*/ 1623036 w 1623036"/>
                                        <a:gd name="connsiteY9" fmla="*/ 1009100 h 1532568"/>
                                        <a:gd name="connsiteX10" fmla="*/ 1517047 w 1623036"/>
                                        <a:gd name="connsiteY10" fmla="*/ 1052753 h 1532568"/>
                                        <a:gd name="connsiteX11" fmla="*/ 1418613 w 1623036"/>
                                        <a:gd name="connsiteY11" fmla="*/ 1304125 h 1532568"/>
                                        <a:gd name="connsiteX12" fmla="*/ 751456 w 1623036"/>
                                        <a:gd name="connsiteY12" fmla="*/ 1532569 h 1532568"/>
                                        <a:gd name="connsiteX13" fmla="*/ 472583 w 1623036"/>
                                        <a:gd name="connsiteY13" fmla="*/ 1457529 h 1532568"/>
                                        <a:gd name="connsiteX14" fmla="*/ 352910 w 1623036"/>
                                        <a:gd name="connsiteY14" fmla="*/ 1304305 h 1532568"/>
                                        <a:gd name="connsiteX15" fmla="*/ 174850 w 1623036"/>
                                        <a:gd name="connsiteY15" fmla="*/ 1412504 h 1532568"/>
                                        <a:gd name="connsiteX16" fmla="*/ 0 w 1623036"/>
                                        <a:gd name="connsiteY16" fmla="*/ 886780 h 1532568"/>
                                        <a:gd name="connsiteX17" fmla="*/ 255294 w 1623036"/>
                                        <a:gd name="connsiteY17" fmla="*/ 272356 h 1532568"/>
                                        <a:gd name="connsiteX18" fmla="*/ 612180 w 1623036"/>
                                        <a:gd name="connsiteY18" fmla="*/ 77469 h 1532568"/>
                                        <a:gd name="connsiteX0" fmla="*/ 472464 w 1623036"/>
                                        <a:gd name="connsiteY0" fmla="*/ 0 h 1532570"/>
                                        <a:gd name="connsiteX1" fmla="*/ 766458 w 1623036"/>
                                        <a:gd name="connsiteY1" fmla="*/ 122532 h 1532570"/>
                                        <a:gd name="connsiteX2" fmla="*/ 852823 w 1623036"/>
                                        <a:gd name="connsiteY2" fmla="*/ 30959 h 1532570"/>
                                        <a:gd name="connsiteX3" fmla="*/ 1204608 w 1623036"/>
                                        <a:gd name="connsiteY3" fmla="*/ 0 h 1532570"/>
                                        <a:gd name="connsiteX4" fmla="*/ 1256522 w 1623036"/>
                                        <a:gd name="connsiteY4" fmla="*/ 471096 h 1532570"/>
                                        <a:gd name="connsiteX5" fmla="*/ 1325852 w 1623036"/>
                                        <a:gd name="connsiteY5" fmla="*/ 471262 h 1532570"/>
                                        <a:gd name="connsiteX6" fmla="*/ 1275435 w 1623036"/>
                                        <a:gd name="connsiteY6" fmla="*/ 501138 h 1532570"/>
                                        <a:gd name="connsiteX7" fmla="*/ 1421989 w 1623036"/>
                                        <a:gd name="connsiteY7" fmla="*/ 719379 h 1532570"/>
                                        <a:gd name="connsiteX8" fmla="*/ 1470711 w 1623036"/>
                                        <a:gd name="connsiteY8" fmla="*/ 848621 h 1532570"/>
                                        <a:gd name="connsiteX9" fmla="*/ 1623036 w 1623036"/>
                                        <a:gd name="connsiteY9" fmla="*/ 1009100 h 1532570"/>
                                        <a:gd name="connsiteX10" fmla="*/ 1517047 w 1623036"/>
                                        <a:gd name="connsiteY10" fmla="*/ 1052753 h 1532570"/>
                                        <a:gd name="connsiteX11" fmla="*/ 1418613 w 1623036"/>
                                        <a:gd name="connsiteY11" fmla="*/ 1304125 h 1532570"/>
                                        <a:gd name="connsiteX12" fmla="*/ 751456 w 1623036"/>
                                        <a:gd name="connsiteY12" fmla="*/ 1532569 h 1532570"/>
                                        <a:gd name="connsiteX13" fmla="*/ 472583 w 1623036"/>
                                        <a:gd name="connsiteY13" fmla="*/ 1457529 h 1532570"/>
                                        <a:gd name="connsiteX14" fmla="*/ 352910 w 1623036"/>
                                        <a:gd name="connsiteY14" fmla="*/ 1304305 h 1532570"/>
                                        <a:gd name="connsiteX15" fmla="*/ 174850 w 1623036"/>
                                        <a:gd name="connsiteY15" fmla="*/ 1412504 h 1532570"/>
                                        <a:gd name="connsiteX16" fmla="*/ 0 w 1623036"/>
                                        <a:gd name="connsiteY16" fmla="*/ 886780 h 1532570"/>
                                        <a:gd name="connsiteX17" fmla="*/ 255294 w 1623036"/>
                                        <a:gd name="connsiteY17" fmla="*/ 272356 h 1532570"/>
                                        <a:gd name="connsiteX18" fmla="*/ 472464 w 1623036"/>
                                        <a:gd name="connsiteY18" fmla="*/ 0 h 1532570"/>
                                        <a:gd name="connsiteX0" fmla="*/ 605380 w 1623036"/>
                                        <a:gd name="connsiteY0" fmla="*/ 3 h 1532568"/>
                                        <a:gd name="connsiteX1" fmla="*/ 766458 w 1623036"/>
                                        <a:gd name="connsiteY1" fmla="*/ 122532 h 1532568"/>
                                        <a:gd name="connsiteX2" fmla="*/ 852823 w 1623036"/>
                                        <a:gd name="connsiteY2" fmla="*/ 30959 h 1532568"/>
                                        <a:gd name="connsiteX3" fmla="*/ 1204608 w 1623036"/>
                                        <a:gd name="connsiteY3" fmla="*/ 0 h 1532568"/>
                                        <a:gd name="connsiteX4" fmla="*/ 1256522 w 1623036"/>
                                        <a:gd name="connsiteY4" fmla="*/ 471096 h 1532568"/>
                                        <a:gd name="connsiteX5" fmla="*/ 1325852 w 1623036"/>
                                        <a:gd name="connsiteY5" fmla="*/ 471262 h 1532568"/>
                                        <a:gd name="connsiteX6" fmla="*/ 1275435 w 1623036"/>
                                        <a:gd name="connsiteY6" fmla="*/ 501138 h 1532568"/>
                                        <a:gd name="connsiteX7" fmla="*/ 1421989 w 1623036"/>
                                        <a:gd name="connsiteY7" fmla="*/ 719379 h 1532568"/>
                                        <a:gd name="connsiteX8" fmla="*/ 1470711 w 1623036"/>
                                        <a:gd name="connsiteY8" fmla="*/ 848621 h 1532568"/>
                                        <a:gd name="connsiteX9" fmla="*/ 1623036 w 1623036"/>
                                        <a:gd name="connsiteY9" fmla="*/ 1009100 h 1532568"/>
                                        <a:gd name="connsiteX10" fmla="*/ 1517047 w 1623036"/>
                                        <a:gd name="connsiteY10" fmla="*/ 1052753 h 1532568"/>
                                        <a:gd name="connsiteX11" fmla="*/ 1418613 w 1623036"/>
                                        <a:gd name="connsiteY11" fmla="*/ 1304125 h 1532568"/>
                                        <a:gd name="connsiteX12" fmla="*/ 751456 w 1623036"/>
                                        <a:gd name="connsiteY12" fmla="*/ 1532569 h 1532568"/>
                                        <a:gd name="connsiteX13" fmla="*/ 472583 w 1623036"/>
                                        <a:gd name="connsiteY13" fmla="*/ 1457529 h 1532568"/>
                                        <a:gd name="connsiteX14" fmla="*/ 352910 w 1623036"/>
                                        <a:gd name="connsiteY14" fmla="*/ 1304305 h 1532568"/>
                                        <a:gd name="connsiteX15" fmla="*/ 174850 w 1623036"/>
                                        <a:gd name="connsiteY15" fmla="*/ 1412504 h 1532568"/>
                                        <a:gd name="connsiteX16" fmla="*/ 0 w 1623036"/>
                                        <a:gd name="connsiteY16" fmla="*/ 886780 h 1532568"/>
                                        <a:gd name="connsiteX17" fmla="*/ 255294 w 1623036"/>
                                        <a:gd name="connsiteY17" fmla="*/ 272356 h 1532568"/>
                                        <a:gd name="connsiteX18" fmla="*/ 605380 w 1623036"/>
                                        <a:gd name="connsiteY18" fmla="*/ 3 h 1532568"/>
                                        <a:gd name="connsiteX0" fmla="*/ 609964 w 1623036"/>
                                        <a:gd name="connsiteY0" fmla="*/ 17912 h 1532570"/>
                                        <a:gd name="connsiteX1" fmla="*/ 766458 w 1623036"/>
                                        <a:gd name="connsiteY1" fmla="*/ 122532 h 1532570"/>
                                        <a:gd name="connsiteX2" fmla="*/ 852823 w 1623036"/>
                                        <a:gd name="connsiteY2" fmla="*/ 30959 h 1532570"/>
                                        <a:gd name="connsiteX3" fmla="*/ 1204608 w 1623036"/>
                                        <a:gd name="connsiteY3" fmla="*/ 0 h 1532570"/>
                                        <a:gd name="connsiteX4" fmla="*/ 1256522 w 1623036"/>
                                        <a:gd name="connsiteY4" fmla="*/ 471096 h 1532570"/>
                                        <a:gd name="connsiteX5" fmla="*/ 1325852 w 1623036"/>
                                        <a:gd name="connsiteY5" fmla="*/ 471262 h 1532570"/>
                                        <a:gd name="connsiteX6" fmla="*/ 1275435 w 1623036"/>
                                        <a:gd name="connsiteY6" fmla="*/ 501138 h 1532570"/>
                                        <a:gd name="connsiteX7" fmla="*/ 1421989 w 1623036"/>
                                        <a:gd name="connsiteY7" fmla="*/ 719379 h 1532570"/>
                                        <a:gd name="connsiteX8" fmla="*/ 1470711 w 1623036"/>
                                        <a:gd name="connsiteY8" fmla="*/ 848621 h 1532570"/>
                                        <a:gd name="connsiteX9" fmla="*/ 1623036 w 1623036"/>
                                        <a:gd name="connsiteY9" fmla="*/ 1009100 h 1532570"/>
                                        <a:gd name="connsiteX10" fmla="*/ 1517047 w 1623036"/>
                                        <a:gd name="connsiteY10" fmla="*/ 1052753 h 1532570"/>
                                        <a:gd name="connsiteX11" fmla="*/ 1418613 w 1623036"/>
                                        <a:gd name="connsiteY11" fmla="*/ 1304125 h 1532570"/>
                                        <a:gd name="connsiteX12" fmla="*/ 751456 w 1623036"/>
                                        <a:gd name="connsiteY12" fmla="*/ 1532569 h 1532570"/>
                                        <a:gd name="connsiteX13" fmla="*/ 472583 w 1623036"/>
                                        <a:gd name="connsiteY13" fmla="*/ 1457529 h 1532570"/>
                                        <a:gd name="connsiteX14" fmla="*/ 352910 w 1623036"/>
                                        <a:gd name="connsiteY14" fmla="*/ 1304305 h 1532570"/>
                                        <a:gd name="connsiteX15" fmla="*/ 174850 w 1623036"/>
                                        <a:gd name="connsiteY15" fmla="*/ 1412504 h 1532570"/>
                                        <a:gd name="connsiteX16" fmla="*/ 0 w 1623036"/>
                                        <a:gd name="connsiteY16" fmla="*/ 886780 h 1532570"/>
                                        <a:gd name="connsiteX17" fmla="*/ 255294 w 1623036"/>
                                        <a:gd name="connsiteY17" fmla="*/ 272356 h 1532570"/>
                                        <a:gd name="connsiteX18" fmla="*/ 609964 w 1623036"/>
                                        <a:gd name="connsiteY18" fmla="*/ 17912 h 153257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Lst>
                                      <a:rect l="l" t="t" r="r" b="b"/>
                                      <a:pathLst>
                                        <a:path w="1623036" h="1532570">
                                          <a:moveTo>
                                            <a:pt x="609964" y="17912"/>
                                          </a:moveTo>
                                          <a:lnTo>
                                            <a:pt x="766458" y="122532"/>
                                          </a:lnTo>
                                          <a:lnTo>
                                            <a:pt x="852823" y="30959"/>
                                          </a:lnTo>
                                          <a:lnTo>
                                            <a:pt x="1204608" y="0"/>
                                          </a:lnTo>
                                          <a:lnTo>
                                            <a:pt x="1256522" y="471096"/>
                                          </a:lnTo>
                                          <a:lnTo>
                                            <a:pt x="1325852" y="471262"/>
                                          </a:lnTo>
                                          <a:cubicBezTo>
                                            <a:pt x="1325852" y="481276"/>
                                            <a:pt x="1275435" y="491124"/>
                                            <a:pt x="1275435" y="501138"/>
                                          </a:cubicBezTo>
                                          <a:lnTo>
                                            <a:pt x="1421989" y="719379"/>
                                          </a:lnTo>
                                          <a:lnTo>
                                            <a:pt x="1470711" y="848621"/>
                                          </a:lnTo>
                                          <a:lnTo>
                                            <a:pt x="1623036" y="1009100"/>
                                          </a:lnTo>
                                          <a:lnTo>
                                            <a:pt x="1517047" y="1052753"/>
                                          </a:lnTo>
                                          <a:lnTo>
                                            <a:pt x="1418613" y="1304125"/>
                                          </a:lnTo>
                                          <a:lnTo>
                                            <a:pt x="751456" y="1532569"/>
                                          </a:lnTo>
                                          <a:lnTo>
                                            <a:pt x="472583" y="1457529"/>
                                          </a:lnTo>
                                          <a:lnTo>
                                            <a:pt x="352910" y="1304305"/>
                                          </a:lnTo>
                                          <a:cubicBezTo>
                                            <a:pt x="186079" y="1439184"/>
                                            <a:pt x="266250" y="1386727"/>
                                            <a:pt x="174850" y="1412504"/>
                                          </a:cubicBezTo>
                                          <a:lnTo>
                                            <a:pt x="0" y="886780"/>
                                          </a:lnTo>
                                          <a:lnTo>
                                            <a:pt x="255294" y="272356"/>
                                          </a:lnTo>
                                          <a:lnTo>
                                            <a:pt x="609964" y="17912"/>
                                          </a:lnTo>
                                          <a:close/>
                                        </a:path>
                                      </a:pathLst>
                                    </a:custGeom>
                                    <a:noFill/>
                                    <a:ln w="28575">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2858" name="2621 Grupo"/>
                                <wpg:cNvGrpSpPr/>
                                <wpg:grpSpPr>
                                  <a:xfrm>
                                    <a:off x="800100" y="622300"/>
                                    <a:ext cx="120018" cy="189796"/>
                                    <a:chOff x="-48441" y="0"/>
                                    <a:chExt cx="195737" cy="304328"/>
                                  </a:xfrm>
                                </wpg:grpSpPr>
                                <wps:wsp>
                                  <wps:cNvPr id="2859" name="2622 Conector"/>
                                  <wps:cNvSpPr/>
                                  <wps:spPr>
                                    <a:xfrm>
                                      <a:off x="75304" y="0"/>
                                      <a:ext cx="71992" cy="71996"/>
                                    </a:xfrm>
                                    <a:prstGeom prst="flowChartConnector">
                                      <a:avLst/>
                                    </a:prstGeom>
                                    <a:solidFill>
                                      <a:schemeClr val="tx1">
                                        <a:lumMod val="95000"/>
                                        <a:lumOff val="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60" name="2623 Cuadro de texto"/>
                                  <wps:cNvSpPr txBox="1"/>
                                  <wps:spPr>
                                    <a:xfrm>
                                      <a:off x="-48441" y="27947"/>
                                      <a:ext cx="131430" cy="27638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3D03BB4" w14:textId="77777777" w:rsidR="00D55F13" w:rsidRPr="00394D50" w:rsidRDefault="00D55F13" w:rsidP="00077E48">
                                        <w:pPr>
                                          <w:rPr>
                                            <w:i/>
                                            <w:color w:val="0D0D0D" w:themeColor="text1" w:themeTint="F2"/>
                                          </w:rPr>
                                        </w:pPr>
                                        <w:r w:rsidRPr="00394D50">
                                          <w:rPr>
                                            <w:i/>
                                            <w:color w:val="0D0D0D" w:themeColor="text1" w:themeTint="F2"/>
                                          </w:rPr>
                                          <w:t>i</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g:grpSp>
                            </wpg:grpSp>
                          </wpg:grpSp>
                        </wpg:grpSp>
                        <wps:wsp>
                          <wps:cNvPr id="2861" name="134 Rectángulo"/>
                          <wps:cNvSpPr/>
                          <wps:spPr>
                            <a:xfrm>
                              <a:off x="149860" y="2847975"/>
                              <a:ext cx="697864" cy="33896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D8B6A08" w14:textId="6A9EAE63" w:rsidR="00D55F13" w:rsidRPr="00394D50" w:rsidRDefault="00D55F13" w:rsidP="00077E48">
                                <w:pPr>
                                  <w:jc w:val="center"/>
                                  <w:rPr>
                                    <w:rFonts w:cs="Arial"/>
                                    <w:b/>
                                    <w:color w:val="000000" w:themeColor="text1"/>
                                    <w:sz w:val="20"/>
                                  </w:rPr>
                                </w:pPr>
                                <w:r w:rsidRPr="00394D50">
                                  <w:rPr>
                                    <w:rFonts w:cs="Arial"/>
                                    <w:b/>
                                    <w:color w:val="000000" w:themeColor="text1"/>
                                    <w:sz w:val="20"/>
                                  </w:rPr>
                                  <w:t>Escenario 2</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g:grpSp>
                      <wpg:grpSp>
                        <wpg:cNvPr id="2862" name="2862 Grupo"/>
                        <wpg:cNvGrpSpPr/>
                        <wpg:grpSpPr>
                          <a:xfrm>
                            <a:off x="0" y="0"/>
                            <a:ext cx="4591050" cy="3302000"/>
                            <a:chOff x="0" y="0"/>
                            <a:chExt cx="4591050" cy="3302000"/>
                          </a:xfrm>
                        </wpg:grpSpPr>
                        <wpg:grpSp>
                          <wpg:cNvPr id="2863" name="2863 Grupo"/>
                          <wpg:cNvGrpSpPr/>
                          <wpg:grpSpPr>
                            <a:xfrm>
                              <a:off x="0" y="0"/>
                              <a:ext cx="4591050" cy="3302000"/>
                              <a:chOff x="0" y="0"/>
                              <a:chExt cx="4591050" cy="3302000"/>
                            </a:xfrm>
                          </wpg:grpSpPr>
                          <wps:wsp>
                            <wps:cNvPr id="2864" name="2864 Rectángulo"/>
                            <wps:cNvSpPr/>
                            <wps:spPr>
                              <a:xfrm>
                                <a:off x="0" y="0"/>
                                <a:ext cx="4591050" cy="3302000"/>
                              </a:xfrm>
                              <a:prstGeom prst="rect">
                                <a:avLst/>
                              </a:prstGeom>
                              <a:noFill/>
                              <a:ln w="3175">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2865" name="2865 Grupo"/>
                            <wpg:cNvGrpSpPr/>
                            <wpg:grpSpPr>
                              <a:xfrm>
                                <a:off x="112816" y="71252"/>
                                <a:ext cx="4449420" cy="3133428"/>
                                <a:chOff x="0" y="0"/>
                                <a:chExt cx="4449420" cy="3133428"/>
                              </a:xfrm>
                            </wpg:grpSpPr>
                            <wpg:grpSp>
                              <wpg:cNvPr id="2866" name="2866 Grupo"/>
                              <wpg:cNvGrpSpPr/>
                              <wpg:grpSpPr>
                                <a:xfrm>
                                  <a:off x="1626919" y="2119746"/>
                                  <a:ext cx="1433195" cy="1013682"/>
                                  <a:chOff x="0" y="0"/>
                                  <a:chExt cx="1433195" cy="1013682"/>
                                </a:xfrm>
                              </wpg:grpSpPr>
                              <wpg:grpSp>
                                <wpg:cNvPr id="2867" name="2867 Grupo"/>
                                <wpg:cNvGrpSpPr/>
                                <wpg:grpSpPr>
                                  <a:xfrm>
                                    <a:off x="0" y="0"/>
                                    <a:ext cx="1429167" cy="1012397"/>
                                    <a:chOff x="190005" y="0"/>
                                    <a:chExt cx="1429167" cy="1012397"/>
                                  </a:xfrm>
                                </wpg:grpSpPr>
                                <wps:wsp>
                                  <wps:cNvPr id="2868" name="2619 Forma libre"/>
                                  <wps:cNvSpPr/>
                                  <wps:spPr>
                                    <a:xfrm>
                                      <a:off x="564078" y="89065"/>
                                      <a:ext cx="1055094" cy="717133"/>
                                    </a:xfrm>
                                    <a:custGeom>
                                      <a:avLst/>
                                      <a:gdLst>
                                        <a:gd name="connsiteX0" fmla="*/ 153620 w 1675181"/>
                                        <a:gd name="connsiteY0" fmla="*/ 526694 h 1141171"/>
                                        <a:gd name="connsiteX1" fmla="*/ 292608 w 1675181"/>
                                        <a:gd name="connsiteY1" fmla="*/ 307238 h 1141171"/>
                                        <a:gd name="connsiteX2" fmla="*/ 446228 w 1675181"/>
                                        <a:gd name="connsiteY2" fmla="*/ 424282 h 1141171"/>
                                        <a:gd name="connsiteX3" fmla="*/ 651053 w 1675181"/>
                                        <a:gd name="connsiteY3" fmla="*/ 285293 h 1141171"/>
                                        <a:gd name="connsiteX4" fmla="*/ 811988 w 1675181"/>
                                        <a:gd name="connsiteY4" fmla="*/ 80467 h 1141171"/>
                                        <a:gd name="connsiteX5" fmla="*/ 1272845 w 1675181"/>
                                        <a:gd name="connsiteY5" fmla="*/ 0 h 1141171"/>
                                        <a:gd name="connsiteX6" fmla="*/ 1558138 w 1675181"/>
                                        <a:gd name="connsiteY6" fmla="*/ 29261 h 1141171"/>
                                        <a:gd name="connsiteX7" fmla="*/ 1675181 w 1675181"/>
                                        <a:gd name="connsiteY7" fmla="*/ 248717 h 1141171"/>
                                        <a:gd name="connsiteX8" fmla="*/ 1492301 w 1675181"/>
                                        <a:gd name="connsiteY8" fmla="*/ 321869 h 1141171"/>
                                        <a:gd name="connsiteX9" fmla="*/ 1463040 w 1675181"/>
                                        <a:gd name="connsiteY9" fmla="*/ 504749 h 1141171"/>
                                        <a:gd name="connsiteX10" fmla="*/ 1558138 w 1675181"/>
                                        <a:gd name="connsiteY10" fmla="*/ 746150 h 1141171"/>
                                        <a:gd name="connsiteX11" fmla="*/ 1331367 w 1675181"/>
                                        <a:gd name="connsiteY11" fmla="*/ 892454 h 1141171"/>
                                        <a:gd name="connsiteX12" fmla="*/ 848564 w 1675181"/>
                                        <a:gd name="connsiteY12" fmla="*/ 987552 h 1141171"/>
                                        <a:gd name="connsiteX13" fmla="*/ 548640 w 1675181"/>
                                        <a:gd name="connsiteY13" fmla="*/ 1133856 h 1141171"/>
                                        <a:gd name="connsiteX14" fmla="*/ 58522 w 1675181"/>
                                        <a:gd name="connsiteY14" fmla="*/ 1141171 h 1141171"/>
                                        <a:gd name="connsiteX15" fmla="*/ 0 w 1675181"/>
                                        <a:gd name="connsiteY15" fmla="*/ 716890 h 1141171"/>
                                        <a:gd name="connsiteX16" fmla="*/ 153620 w 1675181"/>
                                        <a:gd name="connsiteY16" fmla="*/ 526694 h 114117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1675181" h="1141171">
                                          <a:moveTo>
                                            <a:pt x="153620" y="526694"/>
                                          </a:moveTo>
                                          <a:lnTo>
                                            <a:pt x="292608" y="307238"/>
                                          </a:lnTo>
                                          <a:lnTo>
                                            <a:pt x="446228" y="424282"/>
                                          </a:lnTo>
                                          <a:lnTo>
                                            <a:pt x="651053" y="285293"/>
                                          </a:lnTo>
                                          <a:lnTo>
                                            <a:pt x="811988" y="80467"/>
                                          </a:lnTo>
                                          <a:lnTo>
                                            <a:pt x="1272845" y="0"/>
                                          </a:lnTo>
                                          <a:lnTo>
                                            <a:pt x="1558138" y="29261"/>
                                          </a:lnTo>
                                          <a:lnTo>
                                            <a:pt x="1675181" y="248717"/>
                                          </a:lnTo>
                                          <a:lnTo>
                                            <a:pt x="1492301" y="321869"/>
                                          </a:lnTo>
                                          <a:lnTo>
                                            <a:pt x="1463040" y="504749"/>
                                          </a:lnTo>
                                          <a:lnTo>
                                            <a:pt x="1558138" y="746150"/>
                                          </a:lnTo>
                                          <a:lnTo>
                                            <a:pt x="1331367" y="892454"/>
                                          </a:lnTo>
                                          <a:lnTo>
                                            <a:pt x="848564" y="987552"/>
                                          </a:lnTo>
                                          <a:lnTo>
                                            <a:pt x="548640" y="1133856"/>
                                          </a:lnTo>
                                          <a:lnTo>
                                            <a:pt x="58522" y="1141171"/>
                                          </a:lnTo>
                                          <a:lnTo>
                                            <a:pt x="0" y="716890"/>
                                          </a:lnTo>
                                          <a:lnTo>
                                            <a:pt x="153620" y="526694"/>
                                          </a:lnTo>
                                          <a:close/>
                                        </a:path>
                                      </a:pathLst>
                                    </a:custGeom>
                                    <a:noFill/>
                                    <a:ln w="19050">
                                      <a:solidFill>
                                        <a:schemeClr val="accent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C9E51B8" w14:textId="77777777" w:rsidR="00D55F13" w:rsidRPr="00394D50" w:rsidRDefault="00D55F13" w:rsidP="00077E48">
                                        <w:pPr>
                                          <w:jc w:val="center"/>
                                          <w:rPr>
                                            <w:color w:val="0D0D0D" w:themeColor="text1" w:themeTint="F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69" name="2620 Forma libre"/>
                                  <wps:cNvSpPr/>
                                  <wps:spPr>
                                    <a:xfrm>
                                      <a:off x="439412" y="0"/>
                                      <a:ext cx="847090" cy="965200"/>
                                    </a:xfrm>
                                    <a:custGeom>
                                      <a:avLst/>
                                      <a:gdLst>
                                        <a:gd name="connsiteX0" fmla="*/ 0 w 1345997"/>
                                        <a:gd name="connsiteY0" fmla="*/ 885139 h 1587398"/>
                                        <a:gd name="connsiteX1" fmla="*/ 0 w 1345997"/>
                                        <a:gd name="connsiteY1" fmla="*/ 1221638 h 1587398"/>
                                        <a:gd name="connsiteX2" fmla="*/ 182880 w 1345997"/>
                                        <a:gd name="connsiteY2" fmla="*/ 1338682 h 1587398"/>
                                        <a:gd name="connsiteX3" fmla="*/ 299924 w 1345997"/>
                                        <a:gd name="connsiteY3" fmla="*/ 1514246 h 1587398"/>
                                        <a:gd name="connsiteX4" fmla="*/ 570586 w 1345997"/>
                                        <a:gd name="connsiteY4" fmla="*/ 1587398 h 1587398"/>
                                        <a:gd name="connsiteX5" fmla="*/ 1243584 w 1345997"/>
                                        <a:gd name="connsiteY5" fmla="*/ 1353312 h 1587398"/>
                                        <a:gd name="connsiteX6" fmla="*/ 1345997 w 1345997"/>
                                        <a:gd name="connsiteY6" fmla="*/ 1111910 h 1587398"/>
                                        <a:gd name="connsiteX7" fmla="*/ 1243584 w 1345997"/>
                                        <a:gd name="connsiteY7" fmla="*/ 768096 h 1587398"/>
                                        <a:gd name="connsiteX8" fmla="*/ 1089965 w 1345997"/>
                                        <a:gd name="connsiteY8" fmla="*/ 526694 h 1587398"/>
                                        <a:gd name="connsiteX9" fmla="*/ 1038759 w 1345997"/>
                                        <a:gd name="connsiteY9" fmla="*/ 51206 h 1587398"/>
                                        <a:gd name="connsiteX10" fmla="*/ 519380 w 1345997"/>
                                        <a:gd name="connsiteY10" fmla="*/ 0 h 1587398"/>
                                        <a:gd name="connsiteX11" fmla="*/ 490119 w 1345997"/>
                                        <a:gd name="connsiteY11" fmla="*/ 526694 h 1587398"/>
                                        <a:gd name="connsiteX12" fmla="*/ 482804 w 1345997"/>
                                        <a:gd name="connsiteY12" fmla="*/ 819302 h 1587398"/>
                                        <a:gd name="connsiteX13" fmla="*/ 219456 w 1345997"/>
                                        <a:gd name="connsiteY13" fmla="*/ 768096 h 1587398"/>
                                        <a:gd name="connsiteX14" fmla="*/ 0 w 1345997"/>
                                        <a:gd name="connsiteY14" fmla="*/ 885139 h 1587398"/>
                                        <a:gd name="connsiteX0" fmla="*/ 0 w 1345997"/>
                                        <a:gd name="connsiteY0" fmla="*/ 885139 h 1587398"/>
                                        <a:gd name="connsiteX1" fmla="*/ 0 w 1345997"/>
                                        <a:gd name="connsiteY1" fmla="*/ 1221638 h 1587398"/>
                                        <a:gd name="connsiteX2" fmla="*/ 182880 w 1345997"/>
                                        <a:gd name="connsiteY2" fmla="*/ 1338682 h 1587398"/>
                                        <a:gd name="connsiteX3" fmla="*/ 299924 w 1345997"/>
                                        <a:gd name="connsiteY3" fmla="*/ 1514246 h 1587398"/>
                                        <a:gd name="connsiteX4" fmla="*/ 570586 w 1345997"/>
                                        <a:gd name="connsiteY4" fmla="*/ 1587398 h 1587398"/>
                                        <a:gd name="connsiteX5" fmla="*/ 1243584 w 1345997"/>
                                        <a:gd name="connsiteY5" fmla="*/ 1353312 h 1587398"/>
                                        <a:gd name="connsiteX6" fmla="*/ 1345997 w 1345997"/>
                                        <a:gd name="connsiteY6" fmla="*/ 1111910 h 1587398"/>
                                        <a:gd name="connsiteX7" fmla="*/ 1243584 w 1345997"/>
                                        <a:gd name="connsiteY7" fmla="*/ 768096 h 1587398"/>
                                        <a:gd name="connsiteX8" fmla="*/ 1089965 w 1345997"/>
                                        <a:gd name="connsiteY8" fmla="*/ 526694 h 1587398"/>
                                        <a:gd name="connsiteX9" fmla="*/ 1038759 w 1345997"/>
                                        <a:gd name="connsiteY9" fmla="*/ 51206 h 1587398"/>
                                        <a:gd name="connsiteX10" fmla="*/ 519380 w 1345997"/>
                                        <a:gd name="connsiteY10" fmla="*/ 0 h 1587398"/>
                                        <a:gd name="connsiteX11" fmla="*/ 380513 w 1345997"/>
                                        <a:gd name="connsiteY11" fmla="*/ 380518 h 1587398"/>
                                        <a:gd name="connsiteX12" fmla="*/ 482804 w 1345997"/>
                                        <a:gd name="connsiteY12" fmla="*/ 819302 h 1587398"/>
                                        <a:gd name="connsiteX13" fmla="*/ 219456 w 1345997"/>
                                        <a:gd name="connsiteY13" fmla="*/ 768096 h 1587398"/>
                                        <a:gd name="connsiteX14" fmla="*/ 0 w 1345997"/>
                                        <a:gd name="connsiteY14" fmla="*/ 885139 h 1587398"/>
                                        <a:gd name="connsiteX0" fmla="*/ 0 w 1345997"/>
                                        <a:gd name="connsiteY0" fmla="*/ 833933 h 1536192"/>
                                        <a:gd name="connsiteX1" fmla="*/ 0 w 1345997"/>
                                        <a:gd name="connsiteY1" fmla="*/ 1170432 h 1536192"/>
                                        <a:gd name="connsiteX2" fmla="*/ 182880 w 1345997"/>
                                        <a:gd name="connsiteY2" fmla="*/ 1287476 h 1536192"/>
                                        <a:gd name="connsiteX3" fmla="*/ 299924 w 1345997"/>
                                        <a:gd name="connsiteY3" fmla="*/ 1463040 h 1536192"/>
                                        <a:gd name="connsiteX4" fmla="*/ 570586 w 1345997"/>
                                        <a:gd name="connsiteY4" fmla="*/ 1536192 h 1536192"/>
                                        <a:gd name="connsiteX5" fmla="*/ 1243584 w 1345997"/>
                                        <a:gd name="connsiteY5" fmla="*/ 1302106 h 1536192"/>
                                        <a:gd name="connsiteX6" fmla="*/ 1345997 w 1345997"/>
                                        <a:gd name="connsiteY6" fmla="*/ 1060704 h 1536192"/>
                                        <a:gd name="connsiteX7" fmla="*/ 1243584 w 1345997"/>
                                        <a:gd name="connsiteY7" fmla="*/ 716890 h 1536192"/>
                                        <a:gd name="connsiteX8" fmla="*/ 1089965 w 1345997"/>
                                        <a:gd name="connsiteY8" fmla="*/ 475488 h 1536192"/>
                                        <a:gd name="connsiteX9" fmla="*/ 1038759 w 1345997"/>
                                        <a:gd name="connsiteY9" fmla="*/ 0 h 1536192"/>
                                        <a:gd name="connsiteX10" fmla="*/ 680532 w 1345997"/>
                                        <a:gd name="connsiteY10" fmla="*/ 29288 h 1536192"/>
                                        <a:gd name="connsiteX11" fmla="*/ 380513 w 1345997"/>
                                        <a:gd name="connsiteY11" fmla="*/ 329312 h 1536192"/>
                                        <a:gd name="connsiteX12" fmla="*/ 482804 w 1345997"/>
                                        <a:gd name="connsiteY12" fmla="*/ 768096 h 1536192"/>
                                        <a:gd name="connsiteX13" fmla="*/ 219456 w 1345997"/>
                                        <a:gd name="connsiteY13" fmla="*/ 716890 h 1536192"/>
                                        <a:gd name="connsiteX14" fmla="*/ 0 w 1345997"/>
                                        <a:gd name="connsiteY14" fmla="*/ 833933 h 1536192"/>
                                        <a:gd name="connsiteX0" fmla="*/ 0 w 1345997"/>
                                        <a:gd name="connsiteY0" fmla="*/ 833933 h 1536192"/>
                                        <a:gd name="connsiteX1" fmla="*/ 0 w 1345997"/>
                                        <a:gd name="connsiteY1" fmla="*/ 1170432 h 1536192"/>
                                        <a:gd name="connsiteX2" fmla="*/ 182880 w 1345997"/>
                                        <a:gd name="connsiteY2" fmla="*/ 1287476 h 1536192"/>
                                        <a:gd name="connsiteX3" fmla="*/ 299924 w 1345997"/>
                                        <a:gd name="connsiteY3" fmla="*/ 1463040 h 1536192"/>
                                        <a:gd name="connsiteX4" fmla="*/ 570586 w 1345997"/>
                                        <a:gd name="connsiteY4" fmla="*/ 1536192 h 1536192"/>
                                        <a:gd name="connsiteX5" fmla="*/ 1243584 w 1345997"/>
                                        <a:gd name="connsiteY5" fmla="*/ 1302106 h 1536192"/>
                                        <a:gd name="connsiteX6" fmla="*/ 1345997 w 1345997"/>
                                        <a:gd name="connsiteY6" fmla="*/ 1060704 h 1536192"/>
                                        <a:gd name="connsiteX7" fmla="*/ 1243584 w 1345997"/>
                                        <a:gd name="connsiteY7" fmla="*/ 716890 h 1536192"/>
                                        <a:gd name="connsiteX8" fmla="*/ 1089965 w 1345997"/>
                                        <a:gd name="connsiteY8" fmla="*/ 475488 h 1536192"/>
                                        <a:gd name="connsiteX9" fmla="*/ 1038759 w 1345997"/>
                                        <a:gd name="connsiteY9" fmla="*/ 0 h 1536192"/>
                                        <a:gd name="connsiteX10" fmla="*/ 680532 w 1345997"/>
                                        <a:gd name="connsiteY10" fmla="*/ 29288 h 1536192"/>
                                        <a:gd name="connsiteX11" fmla="*/ 380513 w 1345997"/>
                                        <a:gd name="connsiteY11" fmla="*/ 329312 h 1536192"/>
                                        <a:gd name="connsiteX12" fmla="*/ 446371 w 1345997"/>
                                        <a:gd name="connsiteY12" fmla="*/ 563317 h 1536192"/>
                                        <a:gd name="connsiteX13" fmla="*/ 219456 w 1345997"/>
                                        <a:gd name="connsiteY13" fmla="*/ 716890 h 1536192"/>
                                        <a:gd name="connsiteX14" fmla="*/ 0 w 1345997"/>
                                        <a:gd name="connsiteY14" fmla="*/ 833933 h 153619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Lst>
                                      <a:rect l="l" t="t" r="r" b="b"/>
                                      <a:pathLst>
                                        <a:path w="1345997" h="1536192">
                                          <a:moveTo>
                                            <a:pt x="0" y="833933"/>
                                          </a:moveTo>
                                          <a:lnTo>
                                            <a:pt x="0" y="1170432"/>
                                          </a:lnTo>
                                          <a:lnTo>
                                            <a:pt x="182880" y="1287476"/>
                                          </a:lnTo>
                                          <a:lnTo>
                                            <a:pt x="299924" y="1463040"/>
                                          </a:lnTo>
                                          <a:lnTo>
                                            <a:pt x="570586" y="1536192"/>
                                          </a:lnTo>
                                          <a:lnTo>
                                            <a:pt x="1243584" y="1302106"/>
                                          </a:lnTo>
                                          <a:lnTo>
                                            <a:pt x="1345997" y="1060704"/>
                                          </a:lnTo>
                                          <a:lnTo>
                                            <a:pt x="1243584" y="716890"/>
                                          </a:lnTo>
                                          <a:lnTo>
                                            <a:pt x="1089965" y="475488"/>
                                          </a:lnTo>
                                          <a:lnTo>
                                            <a:pt x="1038759" y="0"/>
                                          </a:lnTo>
                                          <a:lnTo>
                                            <a:pt x="680532" y="29288"/>
                                          </a:lnTo>
                                          <a:lnTo>
                                            <a:pt x="380513" y="329312"/>
                                          </a:lnTo>
                                          <a:lnTo>
                                            <a:pt x="446371" y="563317"/>
                                          </a:lnTo>
                                          <a:lnTo>
                                            <a:pt x="219456" y="716890"/>
                                          </a:lnTo>
                                          <a:lnTo>
                                            <a:pt x="0" y="833933"/>
                                          </a:lnTo>
                                          <a:close/>
                                        </a:path>
                                      </a:pathLst>
                                    </a:custGeom>
                                    <a:noFill/>
                                    <a:ln w="19050">
                                      <a:solidFill>
                                        <a:srgbClr val="FF33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37CEECB" w14:textId="77777777" w:rsidR="00D55F13" w:rsidRPr="00394D50" w:rsidRDefault="00D55F13" w:rsidP="00077E48">
                                        <w:pPr>
                                          <w:jc w:val="center"/>
                                          <w:rPr>
                                            <w:color w:val="0D0D0D" w:themeColor="text1" w:themeTint="F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70" name="2618 Forma libre"/>
                                  <wps:cNvSpPr/>
                                  <wps:spPr>
                                    <a:xfrm>
                                      <a:off x="190005" y="5937"/>
                                      <a:ext cx="1320666" cy="1006460"/>
                                    </a:xfrm>
                                    <a:custGeom>
                                      <a:avLst/>
                                      <a:gdLst>
                                        <a:gd name="connsiteX0" fmla="*/ 465128 w 1585665"/>
                                        <a:gd name="connsiteY0" fmla="*/ 0 h 1215676"/>
                                        <a:gd name="connsiteX1" fmla="*/ 1318744 w 1585665"/>
                                        <a:gd name="connsiteY1" fmla="*/ 594624 h 1215676"/>
                                        <a:gd name="connsiteX2" fmla="*/ 1297602 w 1585665"/>
                                        <a:gd name="connsiteY2" fmla="*/ 652765 h 1215676"/>
                                        <a:gd name="connsiteX3" fmla="*/ 1585665 w 1585665"/>
                                        <a:gd name="connsiteY3" fmla="*/ 924971 h 1215676"/>
                                        <a:gd name="connsiteX4" fmla="*/ 1220962 w 1585665"/>
                                        <a:gd name="connsiteY4" fmla="*/ 1154892 h 1215676"/>
                                        <a:gd name="connsiteX5" fmla="*/ 816617 w 1585665"/>
                                        <a:gd name="connsiteY5" fmla="*/ 1025396 h 1215676"/>
                                        <a:gd name="connsiteX6" fmla="*/ 636909 w 1585665"/>
                                        <a:gd name="connsiteY6" fmla="*/ 1020111 h 1215676"/>
                                        <a:gd name="connsiteX7" fmla="*/ 570839 w 1585665"/>
                                        <a:gd name="connsiteY7" fmla="*/ 1215676 h 1215676"/>
                                        <a:gd name="connsiteX8" fmla="*/ 132139 w 1585665"/>
                                        <a:gd name="connsiteY8" fmla="*/ 1057109 h 1215676"/>
                                        <a:gd name="connsiteX9" fmla="*/ 0 w 1585665"/>
                                        <a:gd name="connsiteY9" fmla="*/ 658050 h 1215676"/>
                                        <a:gd name="connsiteX10" fmla="*/ 195565 w 1585665"/>
                                        <a:gd name="connsiteY10" fmla="*/ 190279 h 1215676"/>
                                        <a:gd name="connsiteX11" fmla="*/ 465128 w 1585665"/>
                                        <a:gd name="connsiteY11" fmla="*/ 0 h 1215676"/>
                                        <a:gd name="connsiteX0" fmla="*/ 465128 w 1585665"/>
                                        <a:gd name="connsiteY0" fmla="*/ 0 h 1215676"/>
                                        <a:gd name="connsiteX1" fmla="*/ 1318744 w 1585665"/>
                                        <a:gd name="connsiteY1" fmla="*/ 594624 h 1215676"/>
                                        <a:gd name="connsiteX2" fmla="*/ 1297602 w 1585665"/>
                                        <a:gd name="connsiteY2" fmla="*/ 652765 h 1215676"/>
                                        <a:gd name="connsiteX3" fmla="*/ 1585665 w 1585665"/>
                                        <a:gd name="connsiteY3" fmla="*/ 924971 h 1215676"/>
                                        <a:gd name="connsiteX4" fmla="*/ 1220962 w 1585665"/>
                                        <a:gd name="connsiteY4" fmla="*/ 1154892 h 1215676"/>
                                        <a:gd name="connsiteX5" fmla="*/ 816617 w 1585665"/>
                                        <a:gd name="connsiteY5" fmla="*/ 1025396 h 1215676"/>
                                        <a:gd name="connsiteX6" fmla="*/ 636937 w 1585665"/>
                                        <a:gd name="connsiteY6" fmla="*/ 1029588 h 1215676"/>
                                        <a:gd name="connsiteX7" fmla="*/ 570839 w 1585665"/>
                                        <a:gd name="connsiteY7" fmla="*/ 1215676 h 1215676"/>
                                        <a:gd name="connsiteX8" fmla="*/ 132139 w 1585665"/>
                                        <a:gd name="connsiteY8" fmla="*/ 1057109 h 1215676"/>
                                        <a:gd name="connsiteX9" fmla="*/ 0 w 1585665"/>
                                        <a:gd name="connsiteY9" fmla="*/ 658050 h 1215676"/>
                                        <a:gd name="connsiteX10" fmla="*/ 195565 w 1585665"/>
                                        <a:gd name="connsiteY10" fmla="*/ 190279 h 1215676"/>
                                        <a:gd name="connsiteX11" fmla="*/ 465128 w 1585665"/>
                                        <a:gd name="connsiteY11" fmla="*/ 0 h 1215676"/>
                                        <a:gd name="connsiteX0" fmla="*/ 430836 w 1551373"/>
                                        <a:gd name="connsiteY0" fmla="*/ 0 h 1215676"/>
                                        <a:gd name="connsiteX1" fmla="*/ 1284452 w 1551373"/>
                                        <a:gd name="connsiteY1" fmla="*/ 594624 h 1215676"/>
                                        <a:gd name="connsiteX2" fmla="*/ 1263310 w 1551373"/>
                                        <a:gd name="connsiteY2" fmla="*/ 652765 h 1215676"/>
                                        <a:gd name="connsiteX3" fmla="*/ 1551373 w 1551373"/>
                                        <a:gd name="connsiteY3" fmla="*/ 924971 h 1215676"/>
                                        <a:gd name="connsiteX4" fmla="*/ 1186670 w 1551373"/>
                                        <a:gd name="connsiteY4" fmla="*/ 1154892 h 1215676"/>
                                        <a:gd name="connsiteX5" fmla="*/ 782325 w 1551373"/>
                                        <a:gd name="connsiteY5" fmla="*/ 1025396 h 1215676"/>
                                        <a:gd name="connsiteX6" fmla="*/ 602645 w 1551373"/>
                                        <a:gd name="connsiteY6" fmla="*/ 1029588 h 1215676"/>
                                        <a:gd name="connsiteX7" fmla="*/ 536547 w 1551373"/>
                                        <a:gd name="connsiteY7" fmla="*/ 1215676 h 1215676"/>
                                        <a:gd name="connsiteX8" fmla="*/ 97847 w 1551373"/>
                                        <a:gd name="connsiteY8" fmla="*/ 1057109 h 1215676"/>
                                        <a:gd name="connsiteX9" fmla="*/ 0 w 1551373"/>
                                        <a:gd name="connsiteY9" fmla="*/ 648008 h 1215676"/>
                                        <a:gd name="connsiteX10" fmla="*/ 161273 w 1551373"/>
                                        <a:gd name="connsiteY10" fmla="*/ 190279 h 1215676"/>
                                        <a:gd name="connsiteX11" fmla="*/ 430836 w 1551373"/>
                                        <a:gd name="connsiteY11" fmla="*/ 0 h 1215676"/>
                                        <a:gd name="connsiteX0" fmla="*/ 470843 w 1591380"/>
                                        <a:gd name="connsiteY0" fmla="*/ 0 h 1215676"/>
                                        <a:gd name="connsiteX1" fmla="*/ 1324459 w 1591380"/>
                                        <a:gd name="connsiteY1" fmla="*/ 594624 h 1215676"/>
                                        <a:gd name="connsiteX2" fmla="*/ 1303317 w 1591380"/>
                                        <a:gd name="connsiteY2" fmla="*/ 652765 h 1215676"/>
                                        <a:gd name="connsiteX3" fmla="*/ 1591380 w 1591380"/>
                                        <a:gd name="connsiteY3" fmla="*/ 924971 h 1215676"/>
                                        <a:gd name="connsiteX4" fmla="*/ 1226677 w 1591380"/>
                                        <a:gd name="connsiteY4" fmla="*/ 1154892 h 1215676"/>
                                        <a:gd name="connsiteX5" fmla="*/ 822332 w 1591380"/>
                                        <a:gd name="connsiteY5" fmla="*/ 1025396 h 1215676"/>
                                        <a:gd name="connsiteX6" fmla="*/ 642652 w 1591380"/>
                                        <a:gd name="connsiteY6" fmla="*/ 1029588 h 1215676"/>
                                        <a:gd name="connsiteX7" fmla="*/ 576554 w 1591380"/>
                                        <a:gd name="connsiteY7" fmla="*/ 1215676 h 1215676"/>
                                        <a:gd name="connsiteX8" fmla="*/ 137854 w 1591380"/>
                                        <a:gd name="connsiteY8" fmla="*/ 1057109 h 1215676"/>
                                        <a:gd name="connsiteX9" fmla="*/ 0 w 1591380"/>
                                        <a:gd name="connsiteY9" fmla="*/ 659593 h 1215676"/>
                                        <a:gd name="connsiteX10" fmla="*/ 201280 w 1591380"/>
                                        <a:gd name="connsiteY10" fmla="*/ 190279 h 1215676"/>
                                        <a:gd name="connsiteX11" fmla="*/ 470843 w 1591380"/>
                                        <a:gd name="connsiteY11" fmla="*/ 0 h 1215676"/>
                                        <a:gd name="connsiteX0" fmla="*/ 470843 w 1591380"/>
                                        <a:gd name="connsiteY0" fmla="*/ 0 h 1215676"/>
                                        <a:gd name="connsiteX1" fmla="*/ 1324459 w 1591380"/>
                                        <a:gd name="connsiteY1" fmla="*/ 594624 h 1215676"/>
                                        <a:gd name="connsiteX2" fmla="*/ 1303317 w 1591380"/>
                                        <a:gd name="connsiteY2" fmla="*/ 652765 h 1215676"/>
                                        <a:gd name="connsiteX3" fmla="*/ 1591380 w 1591380"/>
                                        <a:gd name="connsiteY3" fmla="*/ 924971 h 1215676"/>
                                        <a:gd name="connsiteX4" fmla="*/ 1226677 w 1591380"/>
                                        <a:gd name="connsiteY4" fmla="*/ 1154892 h 1215676"/>
                                        <a:gd name="connsiteX5" fmla="*/ 822332 w 1591380"/>
                                        <a:gd name="connsiteY5" fmla="*/ 1025396 h 1215676"/>
                                        <a:gd name="connsiteX6" fmla="*/ 642652 w 1591380"/>
                                        <a:gd name="connsiteY6" fmla="*/ 1029588 h 1215676"/>
                                        <a:gd name="connsiteX7" fmla="*/ 576554 w 1591380"/>
                                        <a:gd name="connsiteY7" fmla="*/ 1215676 h 1215676"/>
                                        <a:gd name="connsiteX8" fmla="*/ 166436 w 1591380"/>
                                        <a:gd name="connsiteY8" fmla="*/ 1020997 h 1215676"/>
                                        <a:gd name="connsiteX9" fmla="*/ 0 w 1591380"/>
                                        <a:gd name="connsiteY9" fmla="*/ 659593 h 1215676"/>
                                        <a:gd name="connsiteX10" fmla="*/ 201280 w 1591380"/>
                                        <a:gd name="connsiteY10" fmla="*/ 190279 h 1215676"/>
                                        <a:gd name="connsiteX11" fmla="*/ 470843 w 1591380"/>
                                        <a:gd name="connsiteY11" fmla="*/ 0 h 1215676"/>
                                        <a:gd name="connsiteX0" fmla="*/ 470843 w 1591380"/>
                                        <a:gd name="connsiteY0" fmla="*/ 0 h 1215676"/>
                                        <a:gd name="connsiteX1" fmla="*/ 1324459 w 1591380"/>
                                        <a:gd name="connsiteY1" fmla="*/ 594624 h 1215676"/>
                                        <a:gd name="connsiteX2" fmla="*/ 1303317 w 1591380"/>
                                        <a:gd name="connsiteY2" fmla="*/ 652765 h 1215676"/>
                                        <a:gd name="connsiteX3" fmla="*/ 1591380 w 1591380"/>
                                        <a:gd name="connsiteY3" fmla="*/ 924971 h 1215676"/>
                                        <a:gd name="connsiteX4" fmla="*/ 1226677 w 1591380"/>
                                        <a:gd name="connsiteY4" fmla="*/ 1154892 h 1215676"/>
                                        <a:gd name="connsiteX5" fmla="*/ 822332 w 1591380"/>
                                        <a:gd name="connsiteY5" fmla="*/ 1025396 h 1215676"/>
                                        <a:gd name="connsiteX6" fmla="*/ 642652 w 1591380"/>
                                        <a:gd name="connsiteY6" fmla="*/ 1029588 h 1215676"/>
                                        <a:gd name="connsiteX7" fmla="*/ 576554 w 1591380"/>
                                        <a:gd name="connsiteY7" fmla="*/ 1215676 h 1215676"/>
                                        <a:gd name="connsiteX8" fmla="*/ 130247 w 1591380"/>
                                        <a:gd name="connsiteY8" fmla="*/ 1059346 h 1215676"/>
                                        <a:gd name="connsiteX9" fmla="*/ 0 w 1591380"/>
                                        <a:gd name="connsiteY9" fmla="*/ 659593 h 1215676"/>
                                        <a:gd name="connsiteX10" fmla="*/ 201280 w 1591380"/>
                                        <a:gd name="connsiteY10" fmla="*/ 190279 h 1215676"/>
                                        <a:gd name="connsiteX11" fmla="*/ 470843 w 1591380"/>
                                        <a:gd name="connsiteY11" fmla="*/ 0 h 1215676"/>
                                        <a:gd name="connsiteX0" fmla="*/ 467054 w 1591380"/>
                                        <a:gd name="connsiteY0" fmla="*/ 0 h 1215676"/>
                                        <a:gd name="connsiteX1" fmla="*/ 1324459 w 1591380"/>
                                        <a:gd name="connsiteY1" fmla="*/ 594624 h 1215676"/>
                                        <a:gd name="connsiteX2" fmla="*/ 1303317 w 1591380"/>
                                        <a:gd name="connsiteY2" fmla="*/ 652765 h 1215676"/>
                                        <a:gd name="connsiteX3" fmla="*/ 1591380 w 1591380"/>
                                        <a:gd name="connsiteY3" fmla="*/ 924971 h 1215676"/>
                                        <a:gd name="connsiteX4" fmla="*/ 1226677 w 1591380"/>
                                        <a:gd name="connsiteY4" fmla="*/ 1154892 h 1215676"/>
                                        <a:gd name="connsiteX5" fmla="*/ 822332 w 1591380"/>
                                        <a:gd name="connsiteY5" fmla="*/ 1025396 h 1215676"/>
                                        <a:gd name="connsiteX6" fmla="*/ 642652 w 1591380"/>
                                        <a:gd name="connsiteY6" fmla="*/ 1029588 h 1215676"/>
                                        <a:gd name="connsiteX7" fmla="*/ 576554 w 1591380"/>
                                        <a:gd name="connsiteY7" fmla="*/ 1215676 h 1215676"/>
                                        <a:gd name="connsiteX8" fmla="*/ 130247 w 1591380"/>
                                        <a:gd name="connsiteY8" fmla="*/ 1059346 h 1215676"/>
                                        <a:gd name="connsiteX9" fmla="*/ 0 w 1591380"/>
                                        <a:gd name="connsiteY9" fmla="*/ 659593 h 1215676"/>
                                        <a:gd name="connsiteX10" fmla="*/ 201280 w 1591380"/>
                                        <a:gd name="connsiteY10" fmla="*/ 190279 h 1215676"/>
                                        <a:gd name="connsiteX11" fmla="*/ 467054 w 1591380"/>
                                        <a:gd name="connsiteY11" fmla="*/ 0 h 1215676"/>
                                        <a:gd name="connsiteX0" fmla="*/ 467054 w 1591380"/>
                                        <a:gd name="connsiteY0" fmla="*/ 0 h 1215676"/>
                                        <a:gd name="connsiteX1" fmla="*/ 1324459 w 1591380"/>
                                        <a:gd name="connsiteY1" fmla="*/ 594624 h 1215676"/>
                                        <a:gd name="connsiteX2" fmla="*/ 1303317 w 1591380"/>
                                        <a:gd name="connsiteY2" fmla="*/ 652765 h 1215676"/>
                                        <a:gd name="connsiteX3" fmla="*/ 1591380 w 1591380"/>
                                        <a:gd name="connsiteY3" fmla="*/ 924971 h 1215676"/>
                                        <a:gd name="connsiteX4" fmla="*/ 1226677 w 1591380"/>
                                        <a:gd name="connsiteY4" fmla="*/ 1154892 h 1215676"/>
                                        <a:gd name="connsiteX5" fmla="*/ 822332 w 1591380"/>
                                        <a:gd name="connsiteY5" fmla="*/ 1025396 h 1215676"/>
                                        <a:gd name="connsiteX6" fmla="*/ 642652 w 1591380"/>
                                        <a:gd name="connsiteY6" fmla="*/ 1029588 h 1215676"/>
                                        <a:gd name="connsiteX7" fmla="*/ 576554 w 1591380"/>
                                        <a:gd name="connsiteY7" fmla="*/ 1215676 h 1215676"/>
                                        <a:gd name="connsiteX8" fmla="*/ 130247 w 1591380"/>
                                        <a:gd name="connsiteY8" fmla="*/ 1059346 h 1215676"/>
                                        <a:gd name="connsiteX9" fmla="*/ 0 w 1591380"/>
                                        <a:gd name="connsiteY9" fmla="*/ 659593 h 1215676"/>
                                        <a:gd name="connsiteX10" fmla="*/ 264157 w 1591380"/>
                                        <a:gd name="connsiteY10" fmla="*/ 234149 h 1215676"/>
                                        <a:gd name="connsiteX11" fmla="*/ 467054 w 1591380"/>
                                        <a:gd name="connsiteY11" fmla="*/ 0 h 1215676"/>
                                        <a:gd name="connsiteX0" fmla="*/ 467054 w 1591380"/>
                                        <a:gd name="connsiteY0" fmla="*/ 0 h 1215676"/>
                                        <a:gd name="connsiteX1" fmla="*/ 1324459 w 1591380"/>
                                        <a:gd name="connsiteY1" fmla="*/ 594624 h 1215676"/>
                                        <a:gd name="connsiteX2" fmla="*/ 1303317 w 1591380"/>
                                        <a:gd name="connsiteY2" fmla="*/ 652765 h 1215676"/>
                                        <a:gd name="connsiteX3" fmla="*/ 1591380 w 1591380"/>
                                        <a:gd name="connsiteY3" fmla="*/ 924971 h 1215676"/>
                                        <a:gd name="connsiteX4" fmla="*/ 1226677 w 1591380"/>
                                        <a:gd name="connsiteY4" fmla="*/ 1154892 h 1215676"/>
                                        <a:gd name="connsiteX5" fmla="*/ 822332 w 1591380"/>
                                        <a:gd name="connsiteY5" fmla="*/ 1025396 h 1215676"/>
                                        <a:gd name="connsiteX6" fmla="*/ 642652 w 1591380"/>
                                        <a:gd name="connsiteY6" fmla="*/ 1029588 h 1215676"/>
                                        <a:gd name="connsiteX7" fmla="*/ 576554 w 1591380"/>
                                        <a:gd name="connsiteY7" fmla="*/ 1215676 h 1215676"/>
                                        <a:gd name="connsiteX8" fmla="*/ 130247 w 1591380"/>
                                        <a:gd name="connsiteY8" fmla="*/ 1059346 h 1215676"/>
                                        <a:gd name="connsiteX9" fmla="*/ 0 w 1591380"/>
                                        <a:gd name="connsiteY9" fmla="*/ 659593 h 1215676"/>
                                        <a:gd name="connsiteX10" fmla="*/ 197491 w 1591380"/>
                                        <a:gd name="connsiteY10" fmla="*/ 188473 h 1215676"/>
                                        <a:gd name="connsiteX11" fmla="*/ 467054 w 1591380"/>
                                        <a:gd name="connsiteY11" fmla="*/ 0 h 121567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1591380" h="1215676">
                                          <a:moveTo>
                                            <a:pt x="467054" y="0"/>
                                          </a:moveTo>
                                          <a:lnTo>
                                            <a:pt x="1324459" y="594624"/>
                                          </a:lnTo>
                                          <a:lnTo>
                                            <a:pt x="1303317" y="652765"/>
                                          </a:lnTo>
                                          <a:lnTo>
                                            <a:pt x="1591380" y="924971"/>
                                          </a:lnTo>
                                          <a:lnTo>
                                            <a:pt x="1226677" y="1154892"/>
                                          </a:lnTo>
                                          <a:lnTo>
                                            <a:pt x="822332" y="1025396"/>
                                          </a:lnTo>
                                          <a:lnTo>
                                            <a:pt x="642652" y="1029588"/>
                                          </a:lnTo>
                                          <a:lnTo>
                                            <a:pt x="576554" y="1215676"/>
                                          </a:lnTo>
                                          <a:lnTo>
                                            <a:pt x="130247" y="1059346"/>
                                          </a:lnTo>
                                          <a:lnTo>
                                            <a:pt x="0" y="659593"/>
                                          </a:lnTo>
                                          <a:lnTo>
                                            <a:pt x="197491" y="188473"/>
                                          </a:lnTo>
                                          <a:lnTo>
                                            <a:pt x="467054" y="0"/>
                                          </a:lnTo>
                                          <a:close/>
                                        </a:path>
                                      </a:pathLst>
                                    </a:custGeom>
                                    <a:noFill/>
                                    <a:ln w="19050">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8327F64" w14:textId="77777777" w:rsidR="00D55F13" w:rsidRPr="00394D50" w:rsidRDefault="00D55F13" w:rsidP="00077E48">
                                        <w:pPr>
                                          <w:rPr>
                                            <w:color w:val="0D0D0D" w:themeColor="text1" w:themeTint="F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2871" name="2871 Grupo"/>
                                  <wpg:cNvGrpSpPr/>
                                  <wpg:grpSpPr>
                                    <a:xfrm>
                                      <a:off x="789709" y="623454"/>
                                      <a:ext cx="121345" cy="190344"/>
                                      <a:chOff x="0" y="0"/>
                                      <a:chExt cx="121345" cy="190344"/>
                                    </a:xfrm>
                                  </wpg:grpSpPr>
                                  <wps:wsp>
                                    <wps:cNvPr id="2872" name="2622 Conector"/>
                                    <wps:cNvSpPr/>
                                    <wps:spPr>
                                      <a:xfrm>
                                        <a:off x="77190" y="0"/>
                                        <a:ext cx="44155" cy="44944"/>
                                      </a:xfrm>
                                      <a:prstGeom prst="flowChartConnector">
                                        <a:avLst/>
                                      </a:prstGeom>
                                      <a:solidFill>
                                        <a:schemeClr val="tx1">
                                          <a:lumMod val="95000"/>
                                          <a:lumOff val="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73" name="2623 Cuadro de texto"/>
                                    <wps:cNvSpPr txBox="1"/>
                                    <wps:spPr>
                                      <a:xfrm>
                                        <a:off x="0" y="17813"/>
                                        <a:ext cx="80610" cy="17253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FC12841" w14:textId="77777777" w:rsidR="00D55F13" w:rsidRPr="00394D50" w:rsidRDefault="00D55F13" w:rsidP="00077E48">
                                          <w:pPr>
                                            <w:rPr>
                                              <w:i/>
                                              <w:color w:val="0D0D0D" w:themeColor="text1" w:themeTint="F2"/>
                                            </w:rPr>
                                          </w:pPr>
                                          <w:r w:rsidRPr="00394D50">
                                            <w:rPr>
                                              <w:i/>
                                              <w:color w:val="0D0D0D" w:themeColor="text1" w:themeTint="F2"/>
                                            </w:rPr>
                                            <w:t>i</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g:grpSp>
                              </wpg:grpSp>
                              <wps:wsp>
                                <wps:cNvPr id="2874" name="158 Forma libre"/>
                                <wps:cNvSpPr/>
                                <wps:spPr>
                                  <a:xfrm>
                                    <a:off x="0" y="5938"/>
                                    <a:ext cx="1433195" cy="1007744"/>
                                  </a:xfrm>
                                  <a:custGeom>
                                    <a:avLst/>
                                    <a:gdLst>
                                      <a:gd name="connsiteX0" fmla="*/ 614477 w 2275027"/>
                                      <a:gd name="connsiteY0" fmla="*/ 0 h 1598371"/>
                                      <a:gd name="connsiteX1" fmla="*/ 903427 w 2275027"/>
                                      <a:gd name="connsiteY1" fmla="*/ 197510 h 1598371"/>
                                      <a:gd name="connsiteX2" fmla="*/ 1075334 w 2275027"/>
                                      <a:gd name="connsiteY2" fmla="*/ 25603 h 1598371"/>
                                      <a:gd name="connsiteX3" fmla="*/ 1433779 w 2275027"/>
                                      <a:gd name="connsiteY3" fmla="*/ 0 h 1598371"/>
                                      <a:gd name="connsiteX4" fmla="*/ 1455725 w 2275027"/>
                                      <a:gd name="connsiteY4" fmla="*/ 197510 h 1598371"/>
                                      <a:gd name="connsiteX5" fmla="*/ 1880006 w 2275027"/>
                                      <a:gd name="connsiteY5" fmla="*/ 128016 h 1598371"/>
                                      <a:gd name="connsiteX6" fmla="*/ 2157984 w 2275027"/>
                                      <a:gd name="connsiteY6" fmla="*/ 157277 h 1598371"/>
                                      <a:gd name="connsiteX7" fmla="*/ 2275027 w 2275027"/>
                                      <a:gd name="connsiteY7" fmla="*/ 376733 h 1598371"/>
                                      <a:gd name="connsiteX8" fmla="*/ 2095805 w 2275027"/>
                                      <a:gd name="connsiteY8" fmla="*/ 446227 h 1598371"/>
                                      <a:gd name="connsiteX9" fmla="*/ 2062886 w 2275027"/>
                                      <a:gd name="connsiteY9" fmla="*/ 643737 h 1598371"/>
                                      <a:gd name="connsiteX10" fmla="*/ 2157984 w 2275027"/>
                                      <a:gd name="connsiteY10" fmla="*/ 877824 h 1598371"/>
                                      <a:gd name="connsiteX11" fmla="*/ 1923897 w 2275027"/>
                                      <a:gd name="connsiteY11" fmla="*/ 1024128 h 1598371"/>
                                      <a:gd name="connsiteX12" fmla="*/ 1923897 w 2275027"/>
                                      <a:gd name="connsiteY12" fmla="*/ 1024128 h 1598371"/>
                                      <a:gd name="connsiteX13" fmla="*/ 1880006 w 2275027"/>
                                      <a:gd name="connsiteY13" fmla="*/ 1031443 h 1598371"/>
                                      <a:gd name="connsiteX14" fmla="*/ 2095805 w 2275027"/>
                                      <a:gd name="connsiteY14" fmla="*/ 1221638 h 1598371"/>
                                      <a:gd name="connsiteX15" fmla="*/ 1609344 w 2275027"/>
                                      <a:gd name="connsiteY15" fmla="*/ 1517904 h 1598371"/>
                                      <a:gd name="connsiteX16" fmla="*/ 1294790 w 2275027"/>
                                      <a:gd name="connsiteY16" fmla="*/ 1415491 h 1598371"/>
                                      <a:gd name="connsiteX17" fmla="*/ 965606 w 2275027"/>
                                      <a:gd name="connsiteY17" fmla="*/ 1536192 h 1598371"/>
                                      <a:gd name="connsiteX18" fmla="*/ 797357 w 2275027"/>
                                      <a:gd name="connsiteY18" fmla="*/ 1488643 h 1598371"/>
                                      <a:gd name="connsiteX19" fmla="*/ 757123 w 2275027"/>
                                      <a:gd name="connsiteY19" fmla="*/ 1598371 h 1598371"/>
                                      <a:gd name="connsiteX20" fmla="*/ 171907 w 2275027"/>
                                      <a:gd name="connsiteY20" fmla="*/ 1397203 h 1598371"/>
                                      <a:gd name="connsiteX21" fmla="*/ 0 w 2275027"/>
                                      <a:gd name="connsiteY21" fmla="*/ 870509 h 1598371"/>
                                      <a:gd name="connsiteX22" fmla="*/ 259689 w 2275027"/>
                                      <a:gd name="connsiteY22" fmla="*/ 245059 h 1598371"/>
                                      <a:gd name="connsiteX23" fmla="*/ 614477 w 2275027"/>
                                      <a:gd name="connsiteY23" fmla="*/ 0 h 1598371"/>
                                      <a:gd name="connsiteX0" fmla="*/ 614477 w 2275027"/>
                                      <a:gd name="connsiteY0" fmla="*/ 0 h 1598371"/>
                                      <a:gd name="connsiteX1" fmla="*/ 903427 w 2275027"/>
                                      <a:gd name="connsiteY1" fmla="*/ 197510 h 1598371"/>
                                      <a:gd name="connsiteX2" fmla="*/ 1075334 w 2275027"/>
                                      <a:gd name="connsiteY2" fmla="*/ 25603 h 1598371"/>
                                      <a:gd name="connsiteX3" fmla="*/ 1433779 w 2275027"/>
                                      <a:gd name="connsiteY3" fmla="*/ 0 h 1598371"/>
                                      <a:gd name="connsiteX4" fmla="*/ 1455725 w 2275027"/>
                                      <a:gd name="connsiteY4" fmla="*/ 197510 h 1598371"/>
                                      <a:gd name="connsiteX5" fmla="*/ 1874668 w 2275027"/>
                                      <a:gd name="connsiteY5" fmla="*/ 125965 h 1598371"/>
                                      <a:gd name="connsiteX6" fmla="*/ 2157984 w 2275027"/>
                                      <a:gd name="connsiteY6" fmla="*/ 157277 h 1598371"/>
                                      <a:gd name="connsiteX7" fmla="*/ 2275027 w 2275027"/>
                                      <a:gd name="connsiteY7" fmla="*/ 376733 h 1598371"/>
                                      <a:gd name="connsiteX8" fmla="*/ 2095805 w 2275027"/>
                                      <a:gd name="connsiteY8" fmla="*/ 446227 h 1598371"/>
                                      <a:gd name="connsiteX9" fmla="*/ 2062886 w 2275027"/>
                                      <a:gd name="connsiteY9" fmla="*/ 643737 h 1598371"/>
                                      <a:gd name="connsiteX10" fmla="*/ 2157984 w 2275027"/>
                                      <a:gd name="connsiteY10" fmla="*/ 877824 h 1598371"/>
                                      <a:gd name="connsiteX11" fmla="*/ 1923897 w 2275027"/>
                                      <a:gd name="connsiteY11" fmla="*/ 1024128 h 1598371"/>
                                      <a:gd name="connsiteX12" fmla="*/ 1923897 w 2275027"/>
                                      <a:gd name="connsiteY12" fmla="*/ 1024128 h 1598371"/>
                                      <a:gd name="connsiteX13" fmla="*/ 1880006 w 2275027"/>
                                      <a:gd name="connsiteY13" fmla="*/ 1031443 h 1598371"/>
                                      <a:gd name="connsiteX14" fmla="*/ 2095805 w 2275027"/>
                                      <a:gd name="connsiteY14" fmla="*/ 1221638 h 1598371"/>
                                      <a:gd name="connsiteX15" fmla="*/ 1609344 w 2275027"/>
                                      <a:gd name="connsiteY15" fmla="*/ 1517904 h 1598371"/>
                                      <a:gd name="connsiteX16" fmla="*/ 1294790 w 2275027"/>
                                      <a:gd name="connsiteY16" fmla="*/ 1415491 h 1598371"/>
                                      <a:gd name="connsiteX17" fmla="*/ 965606 w 2275027"/>
                                      <a:gd name="connsiteY17" fmla="*/ 1536192 h 1598371"/>
                                      <a:gd name="connsiteX18" fmla="*/ 797357 w 2275027"/>
                                      <a:gd name="connsiteY18" fmla="*/ 1488643 h 1598371"/>
                                      <a:gd name="connsiteX19" fmla="*/ 757123 w 2275027"/>
                                      <a:gd name="connsiteY19" fmla="*/ 1598371 h 1598371"/>
                                      <a:gd name="connsiteX20" fmla="*/ 171907 w 2275027"/>
                                      <a:gd name="connsiteY20" fmla="*/ 1397203 h 1598371"/>
                                      <a:gd name="connsiteX21" fmla="*/ 0 w 2275027"/>
                                      <a:gd name="connsiteY21" fmla="*/ 870509 h 1598371"/>
                                      <a:gd name="connsiteX22" fmla="*/ 259689 w 2275027"/>
                                      <a:gd name="connsiteY22" fmla="*/ 245059 h 1598371"/>
                                      <a:gd name="connsiteX23" fmla="*/ 614477 w 2275027"/>
                                      <a:gd name="connsiteY23" fmla="*/ 0 h 1598371"/>
                                      <a:gd name="connsiteX0" fmla="*/ 614477 w 2275027"/>
                                      <a:gd name="connsiteY0" fmla="*/ 0 h 1598371"/>
                                      <a:gd name="connsiteX1" fmla="*/ 903427 w 2275027"/>
                                      <a:gd name="connsiteY1" fmla="*/ 197510 h 1598371"/>
                                      <a:gd name="connsiteX2" fmla="*/ 1075334 w 2275027"/>
                                      <a:gd name="connsiteY2" fmla="*/ 25603 h 1598371"/>
                                      <a:gd name="connsiteX3" fmla="*/ 1433779 w 2275027"/>
                                      <a:gd name="connsiteY3" fmla="*/ 0 h 1598371"/>
                                      <a:gd name="connsiteX4" fmla="*/ 1455725 w 2275027"/>
                                      <a:gd name="connsiteY4" fmla="*/ 197510 h 1598371"/>
                                      <a:gd name="connsiteX5" fmla="*/ 1874668 w 2275027"/>
                                      <a:gd name="connsiteY5" fmla="*/ 125965 h 1598371"/>
                                      <a:gd name="connsiteX6" fmla="*/ 2157984 w 2275027"/>
                                      <a:gd name="connsiteY6" fmla="*/ 157277 h 1598371"/>
                                      <a:gd name="connsiteX7" fmla="*/ 2275027 w 2275027"/>
                                      <a:gd name="connsiteY7" fmla="*/ 376733 h 1598371"/>
                                      <a:gd name="connsiteX8" fmla="*/ 2093006 w 2275027"/>
                                      <a:gd name="connsiteY8" fmla="*/ 450058 h 1598371"/>
                                      <a:gd name="connsiteX9" fmla="*/ 2062886 w 2275027"/>
                                      <a:gd name="connsiteY9" fmla="*/ 643737 h 1598371"/>
                                      <a:gd name="connsiteX10" fmla="*/ 2157984 w 2275027"/>
                                      <a:gd name="connsiteY10" fmla="*/ 877824 h 1598371"/>
                                      <a:gd name="connsiteX11" fmla="*/ 1923897 w 2275027"/>
                                      <a:gd name="connsiteY11" fmla="*/ 1024128 h 1598371"/>
                                      <a:gd name="connsiteX12" fmla="*/ 1923897 w 2275027"/>
                                      <a:gd name="connsiteY12" fmla="*/ 1024128 h 1598371"/>
                                      <a:gd name="connsiteX13" fmla="*/ 1880006 w 2275027"/>
                                      <a:gd name="connsiteY13" fmla="*/ 1031443 h 1598371"/>
                                      <a:gd name="connsiteX14" fmla="*/ 2095805 w 2275027"/>
                                      <a:gd name="connsiteY14" fmla="*/ 1221638 h 1598371"/>
                                      <a:gd name="connsiteX15" fmla="*/ 1609344 w 2275027"/>
                                      <a:gd name="connsiteY15" fmla="*/ 1517904 h 1598371"/>
                                      <a:gd name="connsiteX16" fmla="*/ 1294790 w 2275027"/>
                                      <a:gd name="connsiteY16" fmla="*/ 1415491 h 1598371"/>
                                      <a:gd name="connsiteX17" fmla="*/ 965606 w 2275027"/>
                                      <a:gd name="connsiteY17" fmla="*/ 1536192 h 1598371"/>
                                      <a:gd name="connsiteX18" fmla="*/ 797357 w 2275027"/>
                                      <a:gd name="connsiteY18" fmla="*/ 1488643 h 1598371"/>
                                      <a:gd name="connsiteX19" fmla="*/ 757123 w 2275027"/>
                                      <a:gd name="connsiteY19" fmla="*/ 1598371 h 1598371"/>
                                      <a:gd name="connsiteX20" fmla="*/ 171907 w 2275027"/>
                                      <a:gd name="connsiteY20" fmla="*/ 1397203 h 1598371"/>
                                      <a:gd name="connsiteX21" fmla="*/ 0 w 2275027"/>
                                      <a:gd name="connsiteY21" fmla="*/ 870509 h 1598371"/>
                                      <a:gd name="connsiteX22" fmla="*/ 259689 w 2275027"/>
                                      <a:gd name="connsiteY22" fmla="*/ 245059 h 1598371"/>
                                      <a:gd name="connsiteX23" fmla="*/ 614477 w 2275027"/>
                                      <a:gd name="connsiteY23" fmla="*/ 0 h 1598371"/>
                                      <a:gd name="connsiteX0" fmla="*/ 614477 w 2275027"/>
                                      <a:gd name="connsiteY0" fmla="*/ 0 h 1598371"/>
                                      <a:gd name="connsiteX1" fmla="*/ 903427 w 2275027"/>
                                      <a:gd name="connsiteY1" fmla="*/ 197510 h 1598371"/>
                                      <a:gd name="connsiteX2" fmla="*/ 1075334 w 2275027"/>
                                      <a:gd name="connsiteY2" fmla="*/ 25603 h 1598371"/>
                                      <a:gd name="connsiteX3" fmla="*/ 1433779 w 2275027"/>
                                      <a:gd name="connsiteY3" fmla="*/ 0 h 1598371"/>
                                      <a:gd name="connsiteX4" fmla="*/ 1455725 w 2275027"/>
                                      <a:gd name="connsiteY4" fmla="*/ 197510 h 1598371"/>
                                      <a:gd name="connsiteX5" fmla="*/ 1874668 w 2275027"/>
                                      <a:gd name="connsiteY5" fmla="*/ 125965 h 1598371"/>
                                      <a:gd name="connsiteX6" fmla="*/ 2157984 w 2275027"/>
                                      <a:gd name="connsiteY6" fmla="*/ 157277 h 1598371"/>
                                      <a:gd name="connsiteX7" fmla="*/ 2275027 w 2275027"/>
                                      <a:gd name="connsiteY7" fmla="*/ 376733 h 1598371"/>
                                      <a:gd name="connsiteX8" fmla="*/ 2093006 w 2275027"/>
                                      <a:gd name="connsiteY8" fmla="*/ 450058 h 1598371"/>
                                      <a:gd name="connsiteX9" fmla="*/ 2057584 w 2275027"/>
                                      <a:gd name="connsiteY9" fmla="*/ 626622 h 1598371"/>
                                      <a:gd name="connsiteX10" fmla="*/ 2157984 w 2275027"/>
                                      <a:gd name="connsiteY10" fmla="*/ 877824 h 1598371"/>
                                      <a:gd name="connsiteX11" fmla="*/ 1923897 w 2275027"/>
                                      <a:gd name="connsiteY11" fmla="*/ 1024128 h 1598371"/>
                                      <a:gd name="connsiteX12" fmla="*/ 1923897 w 2275027"/>
                                      <a:gd name="connsiteY12" fmla="*/ 1024128 h 1598371"/>
                                      <a:gd name="connsiteX13" fmla="*/ 1880006 w 2275027"/>
                                      <a:gd name="connsiteY13" fmla="*/ 1031443 h 1598371"/>
                                      <a:gd name="connsiteX14" fmla="*/ 2095805 w 2275027"/>
                                      <a:gd name="connsiteY14" fmla="*/ 1221638 h 1598371"/>
                                      <a:gd name="connsiteX15" fmla="*/ 1609344 w 2275027"/>
                                      <a:gd name="connsiteY15" fmla="*/ 1517904 h 1598371"/>
                                      <a:gd name="connsiteX16" fmla="*/ 1294790 w 2275027"/>
                                      <a:gd name="connsiteY16" fmla="*/ 1415491 h 1598371"/>
                                      <a:gd name="connsiteX17" fmla="*/ 965606 w 2275027"/>
                                      <a:gd name="connsiteY17" fmla="*/ 1536192 h 1598371"/>
                                      <a:gd name="connsiteX18" fmla="*/ 797357 w 2275027"/>
                                      <a:gd name="connsiteY18" fmla="*/ 1488643 h 1598371"/>
                                      <a:gd name="connsiteX19" fmla="*/ 757123 w 2275027"/>
                                      <a:gd name="connsiteY19" fmla="*/ 1598371 h 1598371"/>
                                      <a:gd name="connsiteX20" fmla="*/ 171907 w 2275027"/>
                                      <a:gd name="connsiteY20" fmla="*/ 1397203 h 1598371"/>
                                      <a:gd name="connsiteX21" fmla="*/ 0 w 2275027"/>
                                      <a:gd name="connsiteY21" fmla="*/ 870509 h 1598371"/>
                                      <a:gd name="connsiteX22" fmla="*/ 259689 w 2275027"/>
                                      <a:gd name="connsiteY22" fmla="*/ 245059 h 1598371"/>
                                      <a:gd name="connsiteX23" fmla="*/ 614477 w 2275027"/>
                                      <a:gd name="connsiteY23" fmla="*/ 0 h 1598371"/>
                                      <a:gd name="connsiteX0" fmla="*/ 614477 w 2275027"/>
                                      <a:gd name="connsiteY0" fmla="*/ 0 h 1598371"/>
                                      <a:gd name="connsiteX1" fmla="*/ 903427 w 2275027"/>
                                      <a:gd name="connsiteY1" fmla="*/ 197510 h 1598371"/>
                                      <a:gd name="connsiteX2" fmla="*/ 1075334 w 2275027"/>
                                      <a:gd name="connsiteY2" fmla="*/ 25603 h 1598371"/>
                                      <a:gd name="connsiteX3" fmla="*/ 1433779 w 2275027"/>
                                      <a:gd name="connsiteY3" fmla="*/ 0 h 1598371"/>
                                      <a:gd name="connsiteX4" fmla="*/ 1455725 w 2275027"/>
                                      <a:gd name="connsiteY4" fmla="*/ 197510 h 1598371"/>
                                      <a:gd name="connsiteX5" fmla="*/ 1874668 w 2275027"/>
                                      <a:gd name="connsiteY5" fmla="*/ 125965 h 1598371"/>
                                      <a:gd name="connsiteX6" fmla="*/ 2157984 w 2275027"/>
                                      <a:gd name="connsiteY6" fmla="*/ 157277 h 1598371"/>
                                      <a:gd name="connsiteX7" fmla="*/ 2275027 w 2275027"/>
                                      <a:gd name="connsiteY7" fmla="*/ 376733 h 1598371"/>
                                      <a:gd name="connsiteX8" fmla="*/ 2093006 w 2275027"/>
                                      <a:gd name="connsiteY8" fmla="*/ 450058 h 1598371"/>
                                      <a:gd name="connsiteX9" fmla="*/ 2057584 w 2275027"/>
                                      <a:gd name="connsiteY9" fmla="*/ 626622 h 1598371"/>
                                      <a:gd name="connsiteX10" fmla="*/ 2154607 w 2275027"/>
                                      <a:gd name="connsiteY10" fmla="*/ 874056 h 1598371"/>
                                      <a:gd name="connsiteX11" fmla="*/ 1923897 w 2275027"/>
                                      <a:gd name="connsiteY11" fmla="*/ 1024128 h 1598371"/>
                                      <a:gd name="connsiteX12" fmla="*/ 1923897 w 2275027"/>
                                      <a:gd name="connsiteY12" fmla="*/ 1024128 h 1598371"/>
                                      <a:gd name="connsiteX13" fmla="*/ 1880006 w 2275027"/>
                                      <a:gd name="connsiteY13" fmla="*/ 1031443 h 1598371"/>
                                      <a:gd name="connsiteX14" fmla="*/ 2095805 w 2275027"/>
                                      <a:gd name="connsiteY14" fmla="*/ 1221638 h 1598371"/>
                                      <a:gd name="connsiteX15" fmla="*/ 1609344 w 2275027"/>
                                      <a:gd name="connsiteY15" fmla="*/ 1517904 h 1598371"/>
                                      <a:gd name="connsiteX16" fmla="*/ 1294790 w 2275027"/>
                                      <a:gd name="connsiteY16" fmla="*/ 1415491 h 1598371"/>
                                      <a:gd name="connsiteX17" fmla="*/ 965606 w 2275027"/>
                                      <a:gd name="connsiteY17" fmla="*/ 1536192 h 1598371"/>
                                      <a:gd name="connsiteX18" fmla="*/ 797357 w 2275027"/>
                                      <a:gd name="connsiteY18" fmla="*/ 1488643 h 1598371"/>
                                      <a:gd name="connsiteX19" fmla="*/ 757123 w 2275027"/>
                                      <a:gd name="connsiteY19" fmla="*/ 1598371 h 1598371"/>
                                      <a:gd name="connsiteX20" fmla="*/ 171907 w 2275027"/>
                                      <a:gd name="connsiteY20" fmla="*/ 1397203 h 1598371"/>
                                      <a:gd name="connsiteX21" fmla="*/ 0 w 2275027"/>
                                      <a:gd name="connsiteY21" fmla="*/ 870509 h 1598371"/>
                                      <a:gd name="connsiteX22" fmla="*/ 259689 w 2275027"/>
                                      <a:gd name="connsiteY22" fmla="*/ 245059 h 1598371"/>
                                      <a:gd name="connsiteX23" fmla="*/ 614477 w 2275027"/>
                                      <a:gd name="connsiteY23" fmla="*/ 0 h 1598371"/>
                                      <a:gd name="connsiteX0" fmla="*/ 614477 w 2275027"/>
                                      <a:gd name="connsiteY0" fmla="*/ 1905 h 1600276"/>
                                      <a:gd name="connsiteX1" fmla="*/ 903427 w 2275027"/>
                                      <a:gd name="connsiteY1" fmla="*/ 199415 h 1600276"/>
                                      <a:gd name="connsiteX2" fmla="*/ 1075334 w 2275027"/>
                                      <a:gd name="connsiteY2" fmla="*/ 27508 h 1600276"/>
                                      <a:gd name="connsiteX3" fmla="*/ 1430256 w 2275027"/>
                                      <a:gd name="connsiteY3" fmla="*/ 0 h 1600276"/>
                                      <a:gd name="connsiteX4" fmla="*/ 1455725 w 2275027"/>
                                      <a:gd name="connsiteY4" fmla="*/ 199415 h 1600276"/>
                                      <a:gd name="connsiteX5" fmla="*/ 1874668 w 2275027"/>
                                      <a:gd name="connsiteY5" fmla="*/ 127870 h 1600276"/>
                                      <a:gd name="connsiteX6" fmla="*/ 2157984 w 2275027"/>
                                      <a:gd name="connsiteY6" fmla="*/ 159182 h 1600276"/>
                                      <a:gd name="connsiteX7" fmla="*/ 2275027 w 2275027"/>
                                      <a:gd name="connsiteY7" fmla="*/ 378638 h 1600276"/>
                                      <a:gd name="connsiteX8" fmla="*/ 2093006 w 2275027"/>
                                      <a:gd name="connsiteY8" fmla="*/ 451963 h 1600276"/>
                                      <a:gd name="connsiteX9" fmla="*/ 2057584 w 2275027"/>
                                      <a:gd name="connsiteY9" fmla="*/ 628527 h 1600276"/>
                                      <a:gd name="connsiteX10" fmla="*/ 2154607 w 2275027"/>
                                      <a:gd name="connsiteY10" fmla="*/ 875961 h 1600276"/>
                                      <a:gd name="connsiteX11" fmla="*/ 1923897 w 2275027"/>
                                      <a:gd name="connsiteY11" fmla="*/ 1026033 h 1600276"/>
                                      <a:gd name="connsiteX12" fmla="*/ 1923897 w 2275027"/>
                                      <a:gd name="connsiteY12" fmla="*/ 1026033 h 1600276"/>
                                      <a:gd name="connsiteX13" fmla="*/ 1880006 w 2275027"/>
                                      <a:gd name="connsiteY13" fmla="*/ 1033348 h 1600276"/>
                                      <a:gd name="connsiteX14" fmla="*/ 2095805 w 2275027"/>
                                      <a:gd name="connsiteY14" fmla="*/ 1223543 h 1600276"/>
                                      <a:gd name="connsiteX15" fmla="*/ 1609344 w 2275027"/>
                                      <a:gd name="connsiteY15" fmla="*/ 1519809 h 1600276"/>
                                      <a:gd name="connsiteX16" fmla="*/ 1294790 w 2275027"/>
                                      <a:gd name="connsiteY16" fmla="*/ 1417396 h 1600276"/>
                                      <a:gd name="connsiteX17" fmla="*/ 965606 w 2275027"/>
                                      <a:gd name="connsiteY17" fmla="*/ 1538097 h 1600276"/>
                                      <a:gd name="connsiteX18" fmla="*/ 797357 w 2275027"/>
                                      <a:gd name="connsiteY18" fmla="*/ 1490548 h 1600276"/>
                                      <a:gd name="connsiteX19" fmla="*/ 757123 w 2275027"/>
                                      <a:gd name="connsiteY19" fmla="*/ 1600276 h 1600276"/>
                                      <a:gd name="connsiteX20" fmla="*/ 171907 w 2275027"/>
                                      <a:gd name="connsiteY20" fmla="*/ 1399108 h 1600276"/>
                                      <a:gd name="connsiteX21" fmla="*/ 0 w 2275027"/>
                                      <a:gd name="connsiteY21" fmla="*/ 872414 h 1600276"/>
                                      <a:gd name="connsiteX22" fmla="*/ 259689 w 2275027"/>
                                      <a:gd name="connsiteY22" fmla="*/ 246964 h 1600276"/>
                                      <a:gd name="connsiteX23" fmla="*/ 614477 w 2275027"/>
                                      <a:gd name="connsiteY23" fmla="*/ 1905 h 1600276"/>
                                      <a:gd name="connsiteX0" fmla="*/ 614477 w 2275027"/>
                                      <a:gd name="connsiteY0" fmla="*/ 1905 h 1600276"/>
                                      <a:gd name="connsiteX1" fmla="*/ 903427 w 2275027"/>
                                      <a:gd name="connsiteY1" fmla="*/ 199415 h 1600276"/>
                                      <a:gd name="connsiteX2" fmla="*/ 1075334 w 2275027"/>
                                      <a:gd name="connsiteY2" fmla="*/ 27508 h 1600276"/>
                                      <a:gd name="connsiteX3" fmla="*/ 1430256 w 2275027"/>
                                      <a:gd name="connsiteY3" fmla="*/ 0 h 1600276"/>
                                      <a:gd name="connsiteX4" fmla="*/ 1455725 w 2275027"/>
                                      <a:gd name="connsiteY4" fmla="*/ 199415 h 1600276"/>
                                      <a:gd name="connsiteX5" fmla="*/ 1874668 w 2275027"/>
                                      <a:gd name="connsiteY5" fmla="*/ 127870 h 1600276"/>
                                      <a:gd name="connsiteX6" fmla="*/ 2157984 w 2275027"/>
                                      <a:gd name="connsiteY6" fmla="*/ 159182 h 1600276"/>
                                      <a:gd name="connsiteX7" fmla="*/ 2275027 w 2275027"/>
                                      <a:gd name="connsiteY7" fmla="*/ 378638 h 1600276"/>
                                      <a:gd name="connsiteX8" fmla="*/ 2093006 w 2275027"/>
                                      <a:gd name="connsiteY8" fmla="*/ 451963 h 1600276"/>
                                      <a:gd name="connsiteX9" fmla="*/ 2057584 w 2275027"/>
                                      <a:gd name="connsiteY9" fmla="*/ 628527 h 1600276"/>
                                      <a:gd name="connsiteX10" fmla="*/ 2154607 w 2275027"/>
                                      <a:gd name="connsiteY10" fmla="*/ 875961 h 1600276"/>
                                      <a:gd name="connsiteX11" fmla="*/ 1923897 w 2275027"/>
                                      <a:gd name="connsiteY11" fmla="*/ 1026033 h 1600276"/>
                                      <a:gd name="connsiteX12" fmla="*/ 1931905 w 2275027"/>
                                      <a:gd name="connsiteY12" fmla="*/ 1022272 h 1600276"/>
                                      <a:gd name="connsiteX13" fmla="*/ 1880006 w 2275027"/>
                                      <a:gd name="connsiteY13" fmla="*/ 1033348 h 1600276"/>
                                      <a:gd name="connsiteX14" fmla="*/ 2095805 w 2275027"/>
                                      <a:gd name="connsiteY14" fmla="*/ 1223543 h 1600276"/>
                                      <a:gd name="connsiteX15" fmla="*/ 1609344 w 2275027"/>
                                      <a:gd name="connsiteY15" fmla="*/ 1519809 h 1600276"/>
                                      <a:gd name="connsiteX16" fmla="*/ 1294790 w 2275027"/>
                                      <a:gd name="connsiteY16" fmla="*/ 1417396 h 1600276"/>
                                      <a:gd name="connsiteX17" fmla="*/ 965606 w 2275027"/>
                                      <a:gd name="connsiteY17" fmla="*/ 1538097 h 1600276"/>
                                      <a:gd name="connsiteX18" fmla="*/ 797357 w 2275027"/>
                                      <a:gd name="connsiteY18" fmla="*/ 1490548 h 1600276"/>
                                      <a:gd name="connsiteX19" fmla="*/ 757123 w 2275027"/>
                                      <a:gd name="connsiteY19" fmla="*/ 1600276 h 1600276"/>
                                      <a:gd name="connsiteX20" fmla="*/ 171907 w 2275027"/>
                                      <a:gd name="connsiteY20" fmla="*/ 1399108 h 1600276"/>
                                      <a:gd name="connsiteX21" fmla="*/ 0 w 2275027"/>
                                      <a:gd name="connsiteY21" fmla="*/ 872414 h 1600276"/>
                                      <a:gd name="connsiteX22" fmla="*/ 259689 w 2275027"/>
                                      <a:gd name="connsiteY22" fmla="*/ 246964 h 1600276"/>
                                      <a:gd name="connsiteX23" fmla="*/ 614477 w 2275027"/>
                                      <a:gd name="connsiteY23" fmla="*/ 1905 h 1600276"/>
                                      <a:gd name="connsiteX0" fmla="*/ 614477 w 2275027"/>
                                      <a:gd name="connsiteY0" fmla="*/ 1905 h 1600276"/>
                                      <a:gd name="connsiteX1" fmla="*/ 903427 w 2275027"/>
                                      <a:gd name="connsiteY1" fmla="*/ 199415 h 1600276"/>
                                      <a:gd name="connsiteX2" fmla="*/ 1075334 w 2275027"/>
                                      <a:gd name="connsiteY2" fmla="*/ 27508 h 1600276"/>
                                      <a:gd name="connsiteX3" fmla="*/ 1430256 w 2275027"/>
                                      <a:gd name="connsiteY3" fmla="*/ 0 h 1600276"/>
                                      <a:gd name="connsiteX4" fmla="*/ 1455725 w 2275027"/>
                                      <a:gd name="connsiteY4" fmla="*/ 199415 h 1600276"/>
                                      <a:gd name="connsiteX5" fmla="*/ 1874668 w 2275027"/>
                                      <a:gd name="connsiteY5" fmla="*/ 127870 h 1600276"/>
                                      <a:gd name="connsiteX6" fmla="*/ 2157984 w 2275027"/>
                                      <a:gd name="connsiteY6" fmla="*/ 159182 h 1600276"/>
                                      <a:gd name="connsiteX7" fmla="*/ 2275027 w 2275027"/>
                                      <a:gd name="connsiteY7" fmla="*/ 378638 h 1600276"/>
                                      <a:gd name="connsiteX8" fmla="*/ 2093006 w 2275027"/>
                                      <a:gd name="connsiteY8" fmla="*/ 451963 h 1600276"/>
                                      <a:gd name="connsiteX9" fmla="*/ 2057584 w 2275027"/>
                                      <a:gd name="connsiteY9" fmla="*/ 628527 h 1600276"/>
                                      <a:gd name="connsiteX10" fmla="*/ 2154607 w 2275027"/>
                                      <a:gd name="connsiteY10" fmla="*/ 875961 h 1600276"/>
                                      <a:gd name="connsiteX11" fmla="*/ 1923897 w 2275027"/>
                                      <a:gd name="connsiteY11" fmla="*/ 1026033 h 1600276"/>
                                      <a:gd name="connsiteX12" fmla="*/ 1931905 w 2275027"/>
                                      <a:gd name="connsiteY12" fmla="*/ 1022272 h 1600276"/>
                                      <a:gd name="connsiteX13" fmla="*/ 1889911 w 2275027"/>
                                      <a:gd name="connsiteY13" fmla="*/ 1029587 h 1600276"/>
                                      <a:gd name="connsiteX14" fmla="*/ 2095805 w 2275027"/>
                                      <a:gd name="connsiteY14" fmla="*/ 1223543 h 1600276"/>
                                      <a:gd name="connsiteX15" fmla="*/ 1609344 w 2275027"/>
                                      <a:gd name="connsiteY15" fmla="*/ 1519809 h 1600276"/>
                                      <a:gd name="connsiteX16" fmla="*/ 1294790 w 2275027"/>
                                      <a:gd name="connsiteY16" fmla="*/ 1417396 h 1600276"/>
                                      <a:gd name="connsiteX17" fmla="*/ 965606 w 2275027"/>
                                      <a:gd name="connsiteY17" fmla="*/ 1538097 h 1600276"/>
                                      <a:gd name="connsiteX18" fmla="*/ 797357 w 2275027"/>
                                      <a:gd name="connsiteY18" fmla="*/ 1490548 h 1600276"/>
                                      <a:gd name="connsiteX19" fmla="*/ 757123 w 2275027"/>
                                      <a:gd name="connsiteY19" fmla="*/ 1600276 h 1600276"/>
                                      <a:gd name="connsiteX20" fmla="*/ 171907 w 2275027"/>
                                      <a:gd name="connsiteY20" fmla="*/ 1399108 h 1600276"/>
                                      <a:gd name="connsiteX21" fmla="*/ 0 w 2275027"/>
                                      <a:gd name="connsiteY21" fmla="*/ 872414 h 1600276"/>
                                      <a:gd name="connsiteX22" fmla="*/ 259689 w 2275027"/>
                                      <a:gd name="connsiteY22" fmla="*/ 246964 h 1600276"/>
                                      <a:gd name="connsiteX23" fmla="*/ 614477 w 2275027"/>
                                      <a:gd name="connsiteY23" fmla="*/ 1905 h 1600276"/>
                                      <a:gd name="connsiteX0" fmla="*/ 614477 w 2275027"/>
                                      <a:gd name="connsiteY0" fmla="*/ 1905 h 1600276"/>
                                      <a:gd name="connsiteX1" fmla="*/ 903427 w 2275027"/>
                                      <a:gd name="connsiteY1" fmla="*/ 199415 h 1600276"/>
                                      <a:gd name="connsiteX2" fmla="*/ 1075334 w 2275027"/>
                                      <a:gd name="connsiteY2" fmla="*/ 27508 h 1600276"/>
                                      <a:gd name="connsiteX3" fmla="*/ 1430256 w 2275027"/>
                                      <a:gd name="connsiteY3" fmla="*/ 0 h 1600276"/>
                                      <a:gd name="connsiteX4" fmla="*/ 1455725 w 2275027"/>
                                      <a:gd name="connsiteY4" fmla="*/ 199415 h 1600276"/>
                                      <a:gd name="connsiteX5" fmla="*/ 1874668 w 2275027"/>
                                      <a:gd name="connsiteY5" fmla="*/ 127870 h 1600276"/>
                                      <a:gd name="connsiteX6" fmla="*/ 2157984 w 2275027"/>
                                      <a:gd name="connsiteY6" fmla="*/ 159182 h 1600276"/>
                                      <a:gd name="connsiteX7" fmla="*/ 2275027 w 2275027"/>
                                      <a:gd name="connsiteY7" fmla="*/ 378638 h 1600276"/>
                                      <a:gd name="connsiteX8" fmla="*/ 2093006 w 2275027"/>
                                      <a:gd name="connsiteY8" fmla="*/ 451963 h 1600276"/>
                                      <a:gd name="connsiteX9" fmla="*/ 2057584 w 2275027"/>
                                      <a:gd name="connsiteY9" fmla="*/ 628527 h 1600276"/>
                                      <a:gd name="connsiteX10" fmla="*/ 2154607 w 2275027"/>
                                      <a:gd name="connsiteY10" fmla="*/ 875961 h 1600276"/>
                                      <a:gd name="connsiteX11" fmla="*/ 1923897 w 2275027"/>
                                      <a:gd name="connsiteY11" fmla="*/ 1026033 h 1600276"/>
                                      <a:gd name="connsiteX12" fmla="*/ 1931905 w 2275027"/>
                                      <a:gd name="connsiteY12" fmla="*/ 1022272 h 1600276"/>
                                      <a:gd name="connsiteX13" fmla="*/ 1894101 w 2275027"/>
                                      <a:gd name="connsiteY13" fmla="*/ 1025826 h 1600276"/>
                                      <a:gd name="connsiteX14" fmla="*/ 2095805 w 2275027"/>
                                      <a:gd name="connsiteY14" fmla="*/ 1223543 h 1600276"/>
                                      <a:gd name="connsiteX15" fmla="*/ 1609344 w 2275027"/>
                                      <a:gd name="connsiteY15" fmla="*/ 1519809 h 1600276"/>
                                      <a:gd name="connsiteX16" fmla="*/ 1294790 w 2275027"/>
                                      <a:gd name="connsiteY16" fmla="*/ 1417396 h 1600276"/>
                                      <a:gd name="connsiteX17" fmla="*/ 965606 w 2275027"/>
                                      <a:gd name="connsiteY17" fmla="*/ 1538097 h 1600276"/>
                                      <a:gd name="connsiteX18" fmla="*/ 797357 w 2275027"/>
                                      <a:gd name="connsiteY18" fmla="*/ 1490548 h 1600276"/>
                                      <a:gd name="connsiteX19" fmla="*/ 757123 w 2275027"/>
                                      <a:gd name="connsiteY19" fmla="*/ 1600276 h 1600276"/>
                                      <a:gd name="connsiteX20" fmla="*/ 171907 w 2275027"/>
                                      <a:gd name="connsiteY20" fmla="*/ 1399108 h 1600276"/>
                                      <a:gd name="connsiteX21" fmla="*/ 0 w 2275027"/>
                                      <a:gd name="connsiteY21" fmla="*/ 872414 h 1600276"/>
                                      <a:gd name="connsiteX22" fmla="*/ 259689 w 2275027"/>
                                      <a:gd name="connsiteY22" fmla="*/ 246964 h 1600276"/>
                                      <a:gd name="connsiteX23" fmla="*/ 614477 w 2275027"/>
                                      <a:gd name="connsiteY23" fmla="*/ 1905 h 1600276"/>
                                      <a:gd name="connsiteX0" fmla="*/ 614477 w 2275027"/>
                                      <a:gd name="connsiteY0" fmla="*/ 1905 h 1600276"/>
                                      <a:gd name="connsiteX1" fmla="*/ 903427 w 2275027"/>
                                      <a:gd name="connsiteY1" fmla="*/ 199415 h 1600276"/>
                                      <a:gd name="connsiteX2" fmla="*/ 1075334 w 2275027"/>
                                      <a:gd name="connsiteY2" fmla="*/ 27508 h 1600276"/>
                                      <a:gd name="connsiteX3" fmla="*/ 1430256 w 2275027"/>
                                      <a:gd name="connsiteY3" fmla="*/ 0 h 1600276"/>
                                      <a:gd name="connsiteX4" fmla="*/ 1455725 w 2275027"/>
                                      <a:gd name="connsiteY4" fmla="*/ 199415 h 1600276"/>
                                      <a:gd name="connsiteX5" fmla="*/ 1874668 w 2275027"/>
                                      <a:gd name="connsiteY5" fmla="*/ 127870 h 1600276"/>
                                      <a:gd name="connsiteX6" fmla="*/ 2157984 w 2275027"/>
                                      <a:gd name="connsiteY6" fmla="*/ 159182 h 1600276"/>
                                      <a:gd name="connsiteX7" fmla="*/ 2275027 w 2275027"/>
                                      <a:gd name="connsiteY7" fmla="*/ 378638 h 1600276"/>
                                      <a:gd name="connsiteX8" fmla="*/ 2093006 w 2275027"/>
                                      <a:gd name="connsiteY8" fmla="*/ 451963 h 1600276"/>
                                      <a:gd name="connsiteX9" fmla="*/ 2057584 w 2275027"/>
                                      <a:gd name="connsiteY9" fmla="*/ 628527 h 1600276"/>
                                      <a:gd name="connsiteX10" fmla="*/ 2154607 w 2275027"/>
                                      <a:gd name="connsiteY10" fmla="*/ 875961 h 1600276"/>
                                      <a:gd name="connsiteX11" fmla="*/ 1923897 w 2275027"/>
                                      <a:gd name="connsiteY11" fmla="*/ 1026033 h 1600276"/>
                                      <a:gd name="connsiteX12" fmla="*/ 1931905 w 2275027"/>
                                      <a:gd name="connsiteY12" fmla="*/ 1022272 h 1600276"/>
                                      <a:gd name="connsiteX13" fmla="*/ 1894101 w 2275027"/>
                                      <a:gd name="connsiteY13" fmla="*/ 1025826 h 1600276"/>
                                      <a:gd name="connsiteX14" fmla="*/ 2093006 w 2275027"/>
                                      <a:gd name="connsiteY14" fmla="*/ 1215981 h 1600276"/>
                                      <a:gd name="connsiteX15" fmla="*/ 1609344 w 2275027"/>
                                      <a:gd name="connsiteY15" fmla="*/ 1519809 h 1600276"/>
                                      <a:gd name="connsiteX16" fmla="*/ 1294790 w 2275027"/>
                                      <a:gd name="connsiteY16" fmla="*/ 1417396 h 1600276"/>
                                      <a:gd name="connsiteX17" fmla="*/ 965606 w 2275027"/>
                                      <a:gd name="connsiteY17" fmla="*/ 1538097 h 1600276"/>
                                      <a:gd name="connsiteX18" fmla="*/ 797357 w 2275027"/>
                                      <a:gd name="connsiteY18" fmla="*/ 1490548 h 1600276"/>
                                      <a:gd name="connsiteX19" fmla="*/ 757123 w 2275027"/>
                                      <a:gd name="connsiteY19" fmla="*/ 1600276 h 1600276"/>
                                      <a:gd name="connsiteX20" fmla="*/ 171907 w 2275027"/>
                                      <a:gd name="connsiteY20" fmla="*/ 1399108 h 1600276"/>
                                      <a:gd name="connsiteX21" fmla="*/ 0 w 2275027"/>
                                      <a:gd name="connsiteY21" fmla="*/ 872414 h 1600276"/>
                                      <a:gd name="connsiteX22" fmla="*/ 259689 w 2275027"/>
                                      <a:gd name="connsiteY22" fmla="*/ 246964 h 1600276"/>
                                      <a:gd name="connsiteX23" fmla="*/ 614477 w 2275027"/>
                                      <a:gd name="connsiteY23" fmla="*/ 1905 h 1600276"/>
                                      <a:gd name="connsiteX0" fmla="*/ 614477 w 2275027"/>
                                      <a:gd name="connsiteY0" fmla="*/ 1905 h 1600276"/>
                                      <a:gd name="connsiteX1" fmla="*/ 903427 w 2275027"/>
                                      <a:gd name="connsiteY1" fmla="*/ 199415 h 1600276"/>
                                      <a:gd name="connsiteX2" fmla="*/ 1075334 w 2275027"/>
                                      <a:gd name="connsiteY2" fmla="*/ 27508 h 1600276"/>
                                      <a:gd name="connsiteX3" fmla="*/ 1430256 w 2275027"/>
                                      <a:gd name="connsiteY3" fmla="*/ 0 h 1600276"/>
                                      <a:gd name="connsiteX4" fmla="*/ 1455725 w 2275027"/>
                                      <a:gd name="connsiteY4" fmla="*/ 199415 h 1600276"/>
                                      <a:gd name="connsiteX5" fmla="*/ 1874668 w 2275027"/>
                                      <a:gd name="connsiteY5" fmla="*/ 127870 h 1600276"/>
                                      <a:gd name="connsiteX6" fmla="*/ 2157984 w 2275027"/>
                                      <a:gd name="connsiteY6" fmla="*/ 159182 h 1600276"/>
                                      <a:gd name="connsiteX7" fmla="*/ 2275027 w 2275027"/>
                                      <a:gd name="connsiteY7" fmla="*/ 378638 h 1600276"/>
                                      <a:gd name="connsiteX8" fmla="*/ 2093006 w 2275027"/>
                                      <a:gd name="connsiteY8" fmla="*/ 451963 h 1600276"/>
                                      <a:gd name="connsiteX9" fmla="*/ 2057584 w 2275027"/>
                                      <a:gd name="connsiteY9" fmla="*/ 628527 h 1600276"/>
                                      <a:gd name="connsiteX10" fmla="*/ 2154607 w 2275027"/>
                                      <a:gd name="connsiteY10" fmla="*/ 875961 h 1600276"/>
                                      <a:gd name="connsiteX11" fmla="*/ 1923897 w 2275027"/>
                                      <a:gd name="connsiteY11" fmla="*/ 1026033 h 1600276"/>
                                      <a:gd name="connsiteX12" fmla="*/ 1931905 w 2275027"/>
                                      <a:gd name="connsiteY12" fmla="*/ 1022272 h 1600276"/>
                                      <a:gd name="connsiteX13" fmla="*/ 1894101 w 2275027"/>
                                      <a:gd name="connsiteY13" fmla="*/ 1025826 h 1600276"/>
                                      <a:gd name="connsiteX14" fmla="*/ 2093006 w 2275027"/>
                                      <a:gd name="connsiteY14" fmla="*/ 1215981 h 1600276"/>
                                      <a:gd name="connsiteX15" fmla="*/ 1609344 w 2275027"/>
                                      <a:gd name="connsiteY15" fmla="*/ 1519809 h 1600276"/>
                                      <a:gd name="connsiteX16" fmla="*/ 1294790 w 2275027"/>
                                      <a:gd name="connsiteY16" fmla="*/ 1417396 h 1600276"/>
                                      <a:gd name="connsiteX17" fmla="*/ 965800 w 2275027"/>
                                      <a:gd name="connsiteY17" fmla="*/ 1534233 h 1600276"/>
                                      <a:gd name="connsiteX18" fmla="*/ 797357 w 2275027"/>
                                      <a:gd name="connsiteY18" fmla="*/ 1490548 h 1600276"/>
                                      <a:gd name="connsiteX19" fmla="*/ 757123 w 2275027"/>
                                      <a:gd name="connsiteY19" fmla="*/ 1600276 h 1600276"/>
                                      <a:gd name="connsiteX20" fmla="*/ 171907 w 2275027"/>
                                      <a:gd name="connsiteY20" fmla="*/ 1399108 h 1600276"/>
                                      <a:gd name="connsiteX21" fmla="*/ 0 w 2275027"/>
                                      <a:gd name="connsiteY21" fmla="*/ 872414 h 1600276"/>
                                      <a:gd name="connsiteX22" fmla="*/ 259689 w 2275027"/>
                                      <a:gd name="connsiteY22" fmla="*/ 246964 h 1600276"/>
                                      <a:gd name="connsiteX23" fmla="*/ 614477 w 2275027"/>
                                      <a:gd name="connsiteY23" fmla="*/ 1905 h 1600276"/>
                                      <a:gd name="connsiteX0" fmla="*/ 616382 w 2276932"/>
                                      <a:gd name="connsiteY0" fmla="*/ 1905 h 1600276"/>
                                      <a:gd name="connsiteX1" fmla="*/ 905332 w 2276932"/>
                                      <a:gd name="connsiteY1" fmla="*/ 199415 h 1600276"/>
                                      <a:gd name="connsiteX2" fmla="*/ 1077239 w 2276932"/>
                                      <a:gd name="connsiteY2" fmla="*/ 27508 h 1600276"/>
                                      <a:gd name="connsiteX3" fmla="*/ 1432161 w 2276932"/>
                                      <a:gd name="connsiteY3" fmla="*/ 0 h 1600276"/>
                                      <a:gd name="connsiteX4" fmla="*/ 1457630 w 2276932"/>
                                      <a:gd name="connsiteY4" fmla="*/ 199415 h 1600276"/>
                                      <a:gd name="connsiteX5" fmla="*/ 1876573 w 2276932"/>
                                      <a:gd name="connsiteY5" fmla="*/ 127870 h 1600276"/>
                                      <a:gd name="connsiteX6" fmla="*/ 2159889 w 2276932"/>
                                      <a:gd name="connsiteY6" fmla="*/ 159182 h 1600276"/>
                                      <a:gd name="connsiteX7" fmla="*/ 2276932 w 2276932"/>
                                      <a:gd name="connsiteY7" fmla="*/ 378638 h 1600276"/>
                                      <a:gd name="connsiteX8" fmla="*/ 2094911 w 2276932"/>
                                      <a:gd name="connsiteY8" fmla="*/ 451963 h 1600276"/>
                                      <a:gd name="connsiteX9" fmla="*/ 2059489 w 2276932"/>
                                      <a:gd name="connsiteY9" fmla="*/ 628527 h 1600276"/>
                                      <a:gd name="connsiteX10" fmla="*/ 2156512 w 2276932"/>
                                      <a:gd name="connsiteY10" fmla="*/ 875961 h 1600276"/>
                                      <a:gd name="connsiteX11" fmla="*/ 1925802 w 2276932"/>
                                      <a:gd name="connsiteY11" fmla="*/ 1026033 h 1600276"/>
                                      <a:gd name="connsiteX12" fmla="*/ 1933810 w 2276932"/>
                                      <a:gd name="connsiteY12" fmla="*/ 1022272 h 1600276"/>
                                      <a:gd name="connsiteX13" fmla="*/ 1896006 w 2276932"/>
                                      <a:gd name="connsiteY13" fmla="*/ 1025826 h 1600276"/>
                                      <a:gd name="connsiteX14" fmla="*/ 2094911 w 2276932"/>
                                      <a:gd name="connsiteY14" fmla="*/ 1215981 h 1600276"/>
                                      <a:gd name="connsiteX15" fmla="*/ 1611249 w 2276932"/>
                                      <a:gd name="connsiteY15" fmla="*/ 1519809 h 1600276"/>
                                      <a:gd name="connsiteX16" fmla="*/ 1296695 w 2276932"/>
                                      <a:gd name="connsiteY16" fmla="*/ 1417396 h 1600276"/>
                                      <a:gd name="connsiteX17" fmla="*/ 967705 w 2276932"/>
                                      <a:gd name="connsiteY17" fmla="*/ 1534233 h 1600276"/>
                                      <a:gd name="connsiteX18" fmla="*/ 799262 w 2276932"/>
                                      <a:gd name="connsiteY18" fmla="*/ 1490548 h 1600276"/>
                                      <a:gd name="connsiteX19" fmla="*/ 759028 w 2276932"/>
                                      <a:gd name="connsiteY19" fmla="*/ 1600276 h 1600276"/>
                                      <a:gd name="connsiteX20" fmla="*/ 173812 w 2276932"/>
                                      <a:gd name="connsiteY20" fmla="*/ 1399108 h 1600276"/>
                                      <a:gd name="connsiteX21" fmla="*/ 0 w 2276932"/>
                                      <a:gd name="connsiteY21" fmla="*/ 870550 h 1600276"/>
                                      <a:gd name="connsiteX22" fmla="*/ 261594 w 2276932"/>
                                      <a:gd name="connsiteY22" fmla="*/ 246964 h 1600276"/>
                                      <a:gd name="connsiteX23" fmla="*/ 616382 w 2276932"/>
                                      <a:gd name="connsiteY23" fmla="*/ 1905 h 160027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Lst>
                                    <a:rect l="l" t="t" r="r" b="b"/>
                                    <a:pathLst>
                                      <a:path w="2276932" h="1600276">
                                        <a:moveTo>
                                          <a:pt x="616382" y="1905"/>
                                        </a:moveTo>
                                        <a:lnTo>
                                          <a:pt x="905332" y="199415"/>
                                        </a:lnTo>
                                        <a:lnTo>
                                          <a:pt x="1077239" y="27508"/>
                                        </a:lnTo>
                                        <a:lnTo>
                                          <a:pt x="1432161" y="0"/>
                                        </a:lnTo>
                                        <a:lnTo>
                                          <a:pt x="1457630" y="199415"/>
                                        </a:lnTo>
                                        <a:lnTo>
                                          <a:pt x="1876573" y="127870"/>
                                        </a:lnTo>
                                        <a:lnTo>
                                          <a:pt x="2159889" y="159182"/>
                                        </a:lnTo>
                                        <a:lnTo>
                                          <a:pt x="2276932" y="378638"/>
                                        </a:lnTo>
                                        <a:lnTo>
                                          <a:pt x="2094911" y="451963"/>
                                        </a:lnTo>
                                        <a:lnTo>
                                          <a:pt x="2059489" y="628527"/>
                                        </a:lnTo>
                                        <a:lnTo>
                                          <a:pt x="2156512" y="875961"/>
                                        </a:lnTo>
                                        <a:lnTo>
                                          <a:pt x="1925802" y="1026033"/>
                                        </a:lnTo>
                                        <a:cubicBezTo>
                                          <a:pt x="1888685" y="1050418"/>
                                          <a:pt x="1938776" y="1022307"/>
                                          <a:pt x="1933810" y="1022272"/>
                                        </a:cubicBezTo>
                                        <a:cubicBezTo>
                                          <a:pt x="1928844" y="1022238"/>
                                          <a:pt x="1910004" y="1023388"/>
                                          <a:pt x="1896006" y="1025826"/>
                                        </a:cubicBezTo>
                                        <a:lnTo>
                                          <a:pt x="2094911" y="1215981"/>
                                        </a:lnTo>
                                        <a:lnTo>
                                          <a:pt x="1611249" y="1519809"/>
                                        </a:lnTo>
                                        <a:lnTo>
                                          <a:pt x="1296695" y="1417396"/>
                                        </a:lnTo>
                                        <a:lnTo>
                                          <a:pt x="967705" y="1534233"/>
                                        </a:lnTo>
                                        <a:lnTo>
                                          <a:pt x="799262" y="1490548"/>
                                        </a:lnTo>
                                        <a:lnTo>
                                          <a:pt x="759028" y="1600276"/>
                                        </a:lnTo>
                                        <a:lnTo>
                                          <a:pt x="173812" y="1399108"/>
                                        </a:lnTo>
                                        <a:lnTo>
                                          <a:pt x="0" y="870550"/>
                                        </a:lnTo>
                                        <a:lnTo>
                                          <a:pt x="261594" y="246964"/>
                                        </a:lnTo>
                                        <a:lnTo>
                                          <a:pt x="616382" y="1905"/>
                                        </a:lnTo>
                                        <a:close/>
                                      </a:path>
                                    </a:pathLst>
                                  </a:custGeom>
                                  <a:noFill/>
                                  <a:ln w="28575">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2875" name="2875 Grupo"/>
                              <wpg:cNvGrpSpPr/>
                              <wpg:grpSpPr>
                                <a:xfrm>
                                  <a:off x="0" y="201881"/>
                                  <a:ext cx="4366047" cy="1007985"/>
                                  <a:chOff x="0" y="0"/>
                                  <a:chExt cx="4366047" cy="1007985"/>
                                </a:xfrm>
                              </wpg:grpSpPr>
                              <wpg:grpSp>
                                <wpg:cNvPr id="2876" name="2876 Grupo"/>
                                <wpg:cNvGrpSpPr/>
                                <wpg:grpSpPr>
                                  <a:xfrm>
                                    <a:off x="0" y="0"/>
                                    <a:ext cx="1317125" cy="1007985"/>
                                    <a:chOff x="0" y="0"/>
                                    <a:chExt cx="1317125" cy="1007985"/>
                                  </a:xfrm>
                                </wpg:grpSpPr>
                                <wps:wsp>
                                  <wps:cNvPr id="2877" name="2603 Forma libre"/>
                                  <wps:cNvSpPr/>
                                  <wps:spPr>
                                    <a:xfrm>
                                      <a:off x="0" y="0"/>
                                      <a:ext cx="1317125" cy="1007985"/>
                                    </a:xfrm>
                                    <a:custGeom>
                                      <a:avLst/>
                                      <a:gdLst>
                                        <a:gd name="connsiteX0" fmla="*/ 465128 w 1585665"/>
                                        <a:gd name="connsiteY0" fmla="*/ 0 h 1215676"/>
                                        <a:gd name="connsiteX1" fmla="*/ 1318744 w 1585665"/>
                                        <a:gd name="connsiteY1" fmla="*/ 594624 h 1215676"/>
                                        <a:gd name="connsiteX2" fmla="*/ 1297602 w 1585665"/>
                                        <a:gd name="connsiteY2" fmla="*/ 652765 h 1215676"/>
                                        <a:gd name="connsiteX3" fmla="*/ 1585665 w 1585665"/>
                                        <a:gd name="connsiteY3" fmla="*/ 924971 h 1215676"/>
                                        <a:gd name="connsiteX4" fmla="*/ 1220962 w 1585665"/>
                                        <a:gd name="connsiteY4" fmla="*/ 1154892 h 1215676"/>
                                        <a:gd name="connsiteX5" fmla="*/ 816617 w 1585665"/>
                                        <a:gd name="connsiteY5" fmla="*/ 1025396 h 1215676"/>
                                        <a:gd name="connsiteX6" fmla="*/ 636909 w 1585665"/>
                                        <a:gd name="connsiteY6" fmla="*/ 1020111 h 1215676"/>
                                        <a:gd name="connsiteX7" fmla="*/ 570839 w 1585665"/>
                                        <a:gd name="connsiteY7" fmla="*/ 1215676 h 1215676"/>
                                        <a:gd name="connsiteX8" fmla="*/ 132139 w 1585665"/>
                                        <a:gd name="connsiteY8" fmla="*/ 1057109 h 1215676"/>
                                        <a:gd name="connsiteX9" fmla="*/ 0 w 1585665"/>
                                        <a:gd name="connsiteY9" fmla="*/ 658050 h 1215676"/>
                                        <a:gd name="connsiteX10" fmla="*/ 195565 w 1585665"/>
                                        <a:gd name="connsiteY10" fmla="*/ 190279 h 1215676"/>
                                        <a:gd name="connsiteX11" fmla="*/ 465128 w 1585665"/>
                                        <a:gd name="connsiteY11" fmla="*/ 0 h 1215676"/>
                                        <a:gd name="connsiteX0" fmla="*/ 465128 w 1585665"/>
                                        <a:gd name="connsiteY0" fmla="*/ 0 h 1215676"/>
                                        <a:gd name="connsiteX1" fmla="*/ 1318744 w 1585665"/>
                                        <a:gd name="connsiteY1" fmla="*/ 594624 h 1215676"/>
                                        <a:gd name="connsiteX2" fmla="*/ 1297602 w 1585665"/>
                                        <a:gd name="connsiteY2" fmla="*/ 652765 h 1215676"/>
                                        <a:gd name="connsiteX3" fmla="*/ 1585665 w 1585665"/>
                                        <a:gd name="connsiteY3" fmla="*/ 924971 h 1215676"/>
                                        <a:gd name="connsiteX4" fmla="*/ 1220962 w 1585665"/>
                                        <a:gd name="connsiteY4" fmla="*/ 1154892 h 1215676"/>
                                        <a:gd name="connsiteX5" fmla="*/ 816617 w 1585665"/>
                                        <a:gd name="connsiteY5" fmla="*/ 1025396 h 1215676"/>
                                        <a:gd name="connsiteX6" fmla="*/ 636937 w 1585665"/>
                                        <a:gd name="connsiteY6" fmla="*/ 1029588 h 1215676"/>
                                        <a:gd name="connsiteX7" fmla="*/ 570839 w 1585665"/>
                                        <a:gd name="connsiteY7" fmla="*/ 1215676 h 1215676"/>
                                        <a:gd name="connsiteX8" fmla="*/ 132139 w 1585665"/>
                                        <a:gd name="connsiteY8" fmla="*/ 1057109 h 1215676"/>
                                        <a:gd name="connsiteX9" fmla="*/ 0 w 1585665"/>
                                        <a:gd name="connsiteY9" fmla="*/ 658050 h 1215676"/>
                                        <a:gd name="connsiteX10" fmla="*/ 195565 w 1585665"/>
                                        <a:gd name="connsiteY10" fmla="*/ 190279 h 1215676"/>
                                        <a:gd name="connsiteX11" fmla="*/ 465128 w 1585665"/>
                                        <a:gd name="connsiteY11" fmla="*/ 0 h 1215676"/>
                                        <a:gd name="connsiteX0" fmla="*/ 430836 w 1551373"/>
                                        <a:gd name="connsiteY0" fmla="*/ 0 h 1215676"/>
                                        <a:gd name="connsiteX1" fmla="*/ 1284452 w 1551373"/>
                                        <a:gd name="connsiteY1" fmla="*/ 594624 h 1215676"/>
                                        <a:gd name="connsiteX2" fmla="*/ 1263310 w 1551373"/>
                                        <a:gd name="connsiteY2" fmla="*/ 652765 h 1215676"/>
                                        <a:gd name="connsiteX3" fmla="*/ 1551373 w 1551373"/>
                                        <a:gd name="connsiteY3" fmla="*/ 924971 h 1215676"/>
                                        <a:gd name="connsiteX4" fmla="*/ 1186670 w 1551373"/>
                                        <a:gd name="connsiteY4" fmla="*/ 1154892 h 1215676"/>
                                        <a:gd name="connsiteX5" fmla="*/ 782325 w 1551373"/>
                                        <a:gd name="connsiteY5" fmla="*/ 1025396 h 1215676"/>
                                        <a:gd name="connsiteX6" fmla="*/ 602645 w 1551373"/>
                                        <a:gd name="connsiteY6" fmla="*/ 1029588 h 1215676"/>
                                        <a:gd name="connsiteX7" fmla="*/ 536547 w 1551373"/>
                                        <a:gd name="connsiteY7" fmla="*/ 1215676 h 1215676"/>
                                        <a:gd name="connsiteX8" fmla="*/ 97847 w 1551373"/>
                                        <a:gd name="connsiteY8" fmla="*/ 1057109 h 1215676"/>
                                        <a:gd name="connsiteX9" fmla="*/ 0 w 1551373"/>
                                        <a:gd name="connsiteY9" fmla="*/ 648008 h 1215676"/>
                                        <a:gd name="connsiteX10" fmla="*/ 161273 w 1551373"/>
                                        <a:gd name="connsiteY10" fmla="*/ 190279 h 1215676"/>
                                        <a:gd name="connsiteX11" fmla="*/ 430836 w 1551373"/>
                                        <a:gd name="connsiteY11" fmla="*/ 0 h 1215676"/>
                                        <a:gd name="connsiteX0" fmla="*/ 470843 w 1591380"/>
                                        <a:gd name="connsiteY0" fmla="*/ 0 h 1215676"/>
                                        <a:gd name="connsiteX1" fmla="*/ 1324459 w 1591380"/>
                                        <a:gd name="connsiteY1" fmla="*/ 594624 h 1215676"/>
                                        <a:gd name="connsiteX2" fmla="*/ 1303317 w 1591380"/>
                                        <a:gd name="connsiteY2" fmla="*/ 652765 h 1215676"/>
                                        <a:gd name="connsiteX3" fmla="*/ 1591380 w 1591380"/>
                                        <a:gd name="connsiteY3" fmla="*/ 924971 h 1215676"/>
                                        <a:gd name="connsiteX4" fmla="*/ 1226677 w 1591380"/>
                                        <a:gd name="connsiteY4" fmla="*/ 1154892 h 1215676"/>
                                        <a:gd name="connsiteX5" fmla="*/ 822332 w 1591380"/>
                                        <a:gd name="connsiteY5" fmla="*/ 1025396 h 1215676"/>
                                        <a:gd name="connsiteX6" fmla="*/ 642652 w 1591380"/>
                                        <a:gd name="connsiteY6" fmla="*/ 1029588 h 1215676"/>
                                        <a:gd name="connsiteX7" fmla="*/ 576554 w 1591380"/>
                                        <a:gd name="connsiteY7" fmla="*/ 1215676 h 1215676"/>
                                        <a:gd name="connsiteX8" fmla="*/ 137854 w 1591380"/>
                                        <a:gd name="connsiteY8" fmla="*/ 1057109 h 1215676"/>
                                        <a:gd name="connsiteX9" fmla="*/ 0 w 1591380"/>
                                        <a:gd name="connsiteY9" fmla="*/ 659593 h 1215676"/>
                                        <a:gd name="connsiteX10" fmla="*/ 201280 w 1591380"/>
                                        <a:gd name="connsiteY10" fmla="*/ 190279 h 1215676"/>
                                        <a:gd name="connsiteX11" fmla="*/ 470843 w 1591380"/>
                                        <a:gd name="connsiteY11" fmla="*/ 0 h 1215676"/>
                                        <a:gd name="connsiteX0" fmla="*/ 470843 w 1591380"/>
                                        <a:gd name="connsiteY0" fmla="*/ 0 h 1215676"/>
                                        <a:gd name="connsiteX1" fmla="*/ 1324459 w 1591380"/>
                                        <a:gd name="connsiteY1" fmla="*/ 594624 h 1215676"/>
                                        <a:gd name="connsiteX2" fmla="*/ 1303317 w 1591380"/>
                                        <a:gd name="connsiteY2" fmla="*/ 652765 h 1215676"/>
                                        <a:gd name="connsiteX3" fmla="*/ 1591380 w 1591380"/>
                                        <a:gd name="connsiteY3" fmla="*/ 924971 h 1215676"/>
                                        <a:gd name="connsiteX4" fmla="*/ 1226677 w 1591380"/>
                                        <a:gd name="connsiteY4" fmla="*/ 1154892 h 1215676"/>
                                        <a:gd name="connsiteX5" fmla="*/ 822332 w 1591380"/>
                                        <a:gd name="connsiteY5" fmla="*/ 1025396 h 1215676"/>
                                        <a:gd name="connsiteX6" fmla="*/ 642652 w 1591380"/>
                                        <a:gd name="connsiteY6" fmla="*/ 1029588 h 1215676"/>
                                        <a:gd name="connsiteX7" fmla="*/ 576554 w 1591380"/>
                                        <a:gd name="connsiteY7" fmla="*/ 1215676 h 1215676"/>
                                        <a:gd name="connsiteX8" fmla="*/ 166436 w 1591380"/>
                                        <a:gd name="connsiteY8" fmla="*/ 1020997 h 1215676"/>
                                        <a:gd name="connsiteX9" fmla="*/ 0 w 1591380"/>
                                        <a:gd name="connsiteY9" fmla="*/ 659593 h 1215676"/>
                                        <a:gd name="connsiteX10" fmla="*/ 201280 w 1591380"/>
                                        <a:gd name="connsiteY10" fmla="*/ 190279 h 1215676"/>
                                        <a:gd name="connsiteX11" fmla="*/ 470843 w 1591380"/>
                                        <a:gd name="connsiteY11" fmla="*/ 0 h 1215676"/>
                                        <a:gd name="connsiteX0" fmla="*/ 470843 w 1591380"/>
                                        <a:gd name="connsiteY0" fmla="*/ 0 h 1215676"/>
                                        <a:gd name="connsiteX1" fmla="*/ 1324459 w 1591380"/>
                                        <a:gd name="connsiteY1" fmla="*/ 594624 h 1215676"/>
                                        <a:gd name="connsiteX2" fmla="*/ 1303317 w 1591380"/>
                                        <a:gd name="connsiteY2" fmla="*/ 652765 h 1215676"/>
                                        <a:gd name="connsiteX3" fmla="*/ 1591380 w 1591380"/>
                                        <a:gd name="connsiteY3" fmla="*/ 924971 h 1215676"/>
                                        <a:gd name="connsiteX4" fmla="*/ 1226677 w 1591380"/>
                                        <a:gd name="connsiteY4" fmla="*/ 1154892 h 1215676"/>
                                        <a:gd name="connsiteX5" fmla="*/ 822332 w 1591380"/>
                                        <a:gd name="connsiteY5" fmla="*/ 1025396 h 1215676"/>
                                        <a:gd name="connsiteX6" fmla="*/ 642652 w 1591380"/>
                                        <a:gd name="connsiteY6" fmla="*/ 1029588 h 1215676"/>
                                        <a:gd name="connsiteX7" fmla="*/ 576554 w 1591380"/>
                                        <a:gd name="connsiteY7" fmla="*/ 1215676 h 1215676"/>
                                        <a:gd name="connsiteX8" fmla="*/ 130247 w 1591380"/>
                                        <a:gd name="connsiteY8" fmla="*/ 1059346 h 1215676"/>
                                        <a:gd name="connsiteX9" fmla="*/ 0 w 1591380"/>
                                        <a:gd name="connsiteY9" fmla="*/ 659593 h 1215676"/>
                                        <a:gd name="connsiteX10" fmla="*/ 201280 w 1591380"/>
                                        <a:gd name="connsiteY10" fmla="*/ 190279 h 1215676"/>
                                        <a:gd name="connsiteX11" fmla="*/ 470843 w 1591380"/>
                                        <a:gd name="connsiteY11" fmla="*/ 0 h 1215676"/>
                                        <a:gd name="connsiteX0" fmla="*/ 467054 w 1591380"/>
                                        <a:gd name="connsiteY0" fmla="*/ 0 h 1215676"/>
                                        <a:gd name="connsiteX1" fmla="*/ 1324459 w 1591380"/>
                                        <a:gd name="connsiteY1" fmla="*/ 594624 h 1215676"/>
                                        <a:gd name="connsiteX2" fmla="*/ 1303317 w 1591380"/>
                                        <a:gd name="connsiteY2" fmla="*/ 652765 h 1215676"/>
                                        <a:gd name="connsiteX3" fmla="*/ 1591380 w 1591380"/>
                                        <a:gd name="connsiteY3" fmla="*/ 924971 h 1215676"/>
                                        <a:gd name="connsiteX4" fmla="*/ 1226677 w 1591380"/>
                                        <a:gd name="connsiteY4" fmla="*/ 1154892 h 1215676"/>
                                        <a:gd name="connsiteX5" fmla="*/ 822332 w 1591380"/>
                                        <a:gd name="connsiteY5" fmla="*/ 1025396 h 1215676"/>
                                        <a:gd name="connsiteX6" fmla="*/ 642652 w 1591380"/>
                                        <a:gd name="connsiteY6" fmla="*/ 1029588 h 1215676"/>
                                        <a:gd name="connsiteX7" fmla="*/ 576554 w 1591380"/>
                                        <a:gd name="connsiteY7" fmla="*/ 1215676 h 1215676"/>
                                        <a:gd name="connsiteX8" fmla="*/ 130247 w 1591380"/>
                                        <a:gd name="connsiteY8" fmla="*/ 1059346 h 1215676"/>
                                        <a:gd name="connsiteX9" fmla="*/ 0 w 1591380"/>
                                        <a:gd name="connsiteY9" fmla="*/ 659593 h 1215676"/>
                                        <a:gd name="connsiteX10" fmla="*/ 201280 w 1591380"/>
                                        <a:gd name="connsiteY10" fmla="*/ 190279 h 1215676"/>
                                        <a:gd name="connsiteX11" fmla="*/ 467054 w 1591380"/>
                                        <a:gd name="connsiteY11" fmla="*/ 0 h 1215676"/>
                                        <a:gd name="connsiteX0" fmla="*/ 467054 w 1591380"/>
                                        <a:gd name="connsiteY0" fmla="*/ 0 h 1215676"/>
                                        <a:gd name="connsiteX1" fmla="*/ 1324459 w 1591380"/>
                                        <a:gd name="connsiteY1" fmla="*/ 594624 h 1215676"/>
                                        <a:gd name="connsiteX2" fmla="*/ 1303317 w 1591380"/>
                                        <a:gd name="connsiteY2" fmla="*/ 652765 h 1215676"/>
                                        <a:gd name="connsiteX3" fmla="*/ 1591380 w 1591380"/>
                                        <a:gd name="connsiteY3" fmla="*/ 924971 h 1215676"/>
                                        <a:gd name="connsiteX4" fmla="*/ 1226677 w 1591380"/>
                                        <a:gd name="connsiteY4" fmla="*/ 1154892 h 1215676"/>
                                        <a:gd name="connsiteX5" fmla="*/ 822332 w 1591380"/>
                                        <a:gd name="connsiteY5" fmla="*/ 1025396 h 1215676"/>
                                        <a:gd name="connsiteX6" fmla="*/ 642652 w 1591380"/>
                                        <a:gd name="connsiteY6" fmla="*/ 1029588 h 1215676"/>
                                        <a:gd name="connsiteX7" fmla="*/ 576554 w 1591380"/>
                                        <a:gd name="connsiteY7" fmla="*/ 1215676 h 1215676"/>
                                        <a:gd name="connsiteX8" fmla="*/ 130247 w 1591380"/>
                                        <a:gd name="connsiteY8" fmla="*/ 1059346 h 1215676"/>
                                        <a:gd name="connsiteX9" fmla="*/ 0 w 1591380"/>
                                        <a:gd name="connsiteY9" fmla="*/ 659593 h 1215676"/>
                                        <a:gd name="connsiteX10" fmla="*/ 264157 w 1591380"/>
                                        <a:gd name="connsiteY10" fmla="*/ 234149 h 1215676"/>
                                        <a:gd name="connsiteX11" fmla="*/ 467054 w 1591380"/>
                                        <a:gd name="connsiteY11" fmla="*/ 0 h 1215676"/>
                                        <a:gd name="connsiteX0" fmla="*/ 467054 w 1591380"/>
                                        <a:gd name="connsiteY0" fmla="*/ 0 h 1215676"/>
                                        <a:gd name="connsiteX1" fmla="*/ 1324459 w 1591380"/>
                                        <a:gd name="connsiteY1" fmla="*/ 594624 h 1215676"/>
                                        <a:gd name="connsiteX2" fmla="*/ 1303317 w 1591380"/>
                                        <a:gd name="connsiteY2" fmla="*/ 652765 h 1215676"/>
                                        <a:gd name="connsiteX3" fmla="*/ 1591380 w 1591380"/>
                                        <a:gd name="connsiteY3" fmla="*/ 924971 h 1215676"/>
                                        <a:gd name="connsiteX4" fmla="*/ 1226677 w 1591380"/>
                                        <a:gd name="connsiteY4" fmla="*/ 1154892 h 1215676"/>
                                        <a:gd name="connsiteX5" fmla="*/ 822332 w 1591380"/>
                                        <a:gd name="connsiteY5" fmla="*/ 1025396 h 1215676"/>
                                        <a:gd name="connsiteX6" fmla="*/ 642652 w 1591380"/>
                                        <a:gd name="connsiteY6" fmla="*/ 1029588 h 1215676"/>
                                        <a:gd name="connsiteX7" fmla="*/ 576554 w 1591380"/>
                                        <a:gd name="connsiteY7" fmla="*/ 1215676 h 1215676"/>
                                        <a:gd name="connsiteX8" fmla="*/ 130247 w 1591380"/>
                                        <a:gd name="connsiteY8" fmla="*/ 1059346 h 1215676"/>
                                        <a:gd name="connsiteX9" fmla="*/ 0 w 1591380"/>
                                        <a:gd name="connsiteY9" fmla="*/ 659593 h 1215676"/>
                                        <a:gd name="connsiteX10" fmla="*/ 197491 w 1591380"/>
                                        <a:gd name="connsiteY10" fmla="*/ 188473 h 1215676"/>
                                        <a:gd name="connsiteX11" fmla="*/ 467054 w 1591380"/>
                                        <a:gd name="connsiteY11" fmla="*/ 0 h 121567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1591380" h="1215676">
                                          <a:moveTo>
                                            <a:pt x="467054" y="0"/>
                                          </a:moveTo>
                                          <a:lnTo>
                                            <a:pt x="1324459" y="594624"/>
                                          </a:lnTo>
                                          <a:lnTo>
                                            <a:pt x="1303317" y="652765"/>
                                          </a:lnTo>
                                          <a:lnTo>
                                            <a:pt x="1591380" y="924971"/>
                                          </a:lnTo>
                                          <a:lnTo>
                                            <a:pt x="1226677" y="1154892"/>
                                          </a:lnTo>
                                          <a:lnTo>
                                            <a:pt x="822332" y="1025396"/>
                                          </a:lnTo>
                                          <a:lnTo>
                                            <a:pt x="642652" y="1029588"/>
                                          </a:lnTo>
                                          <a:lnTo>
                                            <a:pt x="576554" y="1215676"/>
                                          </a:lnTo>
                                          <a:lnTo>
                                            <a:pt x="130247" y="1059346"/>
                                          </a:lnTo>
                                          <a:lnTo>
                                            <a:pt x="0" y="659593"/>
                                          </a:lnTo>
                                          <a:lnTo>
                                            <a:pt x="197491" y="188473"/>
                                          </a:lnTo>
                                          <a:lnTo>
                                            <a:pt x="467054" y="0"/>
                                          </a:lnTo>
                                          <a:close/>
                                        </a:path>
                                      </a:pathLst>
                                    </a:custGeom>
                                    <a:noFill/>
                                    <a:ln w="19050">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1C48AA9" w14:textId="77777777" w:rsidR="00D55F13" w:rsidRPr="00394D50" w:rsidRDefault="00D55F13" w:rsidP="00077E48">
                                        <w:pPr>
                                          <w:rPr>
                                            <w:color w:val="0D0D0D" w:themeColor="text1" w:themeTint="F2"/>
                                            <w:sz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78" name="2604 Cuadro de texto"/>
                                  <wps:cNvSpPr txBox="1"/>
                                  <wps:spPr>
                                    <a:xfrm>
                                      <a:off x="463138" y="623454"/>
                                      <a:ext cx="63095" cy="1713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290081C" w14:textId="77777777" w:rsidR="00D55F13" w:rsidRPr="00394D50" w:rsidRDefault="00D55F13" w:rsidP="00077E48">
                                        <w:pPr>
                                          <w:rPr>
                                            <w:i/>
                                          </w:rPr>
                                        </w:pPr>
                                        <w:r w:rsidRPr="00394D50">
                                          <w:rPr>
                                            <w:i/>
                                          </w:rPr>
                                          <w:t>i</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2879" name="2605 Conector"/>
                                  <wps:cNvSpPr/>
                                  <wps:spPr>
                                    <a:xfrm>
                                      <a:off x="552202" y="617517"/>
                                      <a:ext cx="45239" cy="45328"/>
                                    </a:xfrm>
                                    <a:prstGeom prst="flowChartConnector">
                                      <a:avLst/>
                                    </a:prstGeom>
                                    <a:solidFill>
                                      <a:schemeClr val="tx1">
                                        <a:lumMod val="95000"/>
                                        <a:lumOff val="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2880" name="2880 Grupo"/>
                                <wpg:cNvGrpSpPr/>
                                <wpg:grpSpPr>
                                  <a:xfrm>
                                    <a:off x="1989117" y="100940"/>
                                    <a:ext cx="1051560" cy="718185"/>
                                    <a:chOff x="0" y="0"/>
                                    <a:chExt cx="1051560" cy="718185"/>
                                  </a:xfrm>
                                </wpg:grpSpPr>
                                <wps:wsp>
                                  <wps:cNvPr id="2881" name="2608 Forma libre"/>
                                  <wps:cNvSpPr/>
                                  <wps:spPr>
                                    <a:xfrm>
                                      <a:off x="0" y="0"/>
                                      <a:ext cx="1051560" cy="718185"/>
                                    </a:xfrm>
                                    <a:custGeom>
                                      <a:avLst/>
                                      <a:gdLst>
                                        <a:gd name="connsiteX0" fmla="*/ 153620 w 1675181"/>
                                        <a:gd name="connsiteY0" fmla="*/ 526694 h 1141171"/>
                                        <a:gd name="connsiteX1" fmla="*/ 292608 w 1675181"/>
                                        <a:gd name="connsiteY1" fmla="*/ 307238 h 1141171"/>
                                        <a:gd name="connsiteX2" fmla="*/ 446228 w 1675181"/>
                                        <a:gd name="connsiteY2" fmla="*/ 424282 h 1141171"/>
                                        <a:gd name="connsiteX3" fmla="*/ 651053 w 1675181"/>
                                        <a:gd name="connsiteY3" fmla="*/ 285293 h 1141171"/>
                                        <a:gd name="connsiteX4" fmla="*/ 811988 w 1675181"/>
                                        <a:gd name="connsiteY4" fmla="*/ 80467 h 1141171"/>
                                        <a:gd name="connsiteX5" fmla="*/ 1272845 w 1675181"/>
                                        <a:gd name="connsiteY5" fmla="*/ 0 h 1141171"/>
                                        <a:gd name="connsiteX6" fmla="*/ 1558138 w 1675181"/>
                                        <a:gd name="connsiteY6" fmla="*/ 29261 h 1141171"/>
                                        <a:gd name="connsiteX7" fmla="*/ 1675181 w 1675181"/>
                                        <a:gd name="connsiteY7" fmla="*/ 248717 h 1141171"/>
                                        <a:gd name="connsiteX8" fmla="*/ 1492301 w 1675181"/>
                                        <a:gd name="connsiteY8" fmla="*/ 321869 h 1141171"/>
                                        <a:gd name="connsiteX9" fmla="*/ 1463040 w 1675181"/>
                                        <a:gd name="connsiteY9" fmla="*/ 504749 h 1141171"/>
                                        <a:gd name="connsiteX10" fmla="*/ 1558138 w 1675181"/>
                                        <a:gd name="connsiteY10" fmla="*/ 746150 h 1141171"/>
                                        <a:gd name="connsiteX11" fmla="*/ 1331367 w 1675181"/>
                                        <a:gd name="connsiteY11" fmla="*/ 892454 h 1141171"/>
                                        <a:gd name="connsiteX12" fmla="*/ 848564 w 1675181"/>
                                        <a:gd name="connsiteY12" fmla="*/ 987552 h 1141171"/>
                                        <a:gd name="connsiteX13" fmla="*/ 548640 w 1675181"/>
                                        <a:gd name="connsiteY13" fmla="*/ 1133856 h 1141171"/>
                                        <a:gd name="connsiteX14" fmla="*/ 58522 w 1675181"/>
                                        <a:gd name="connsiteY14" fmla="*/ 1141171 h 1141171"/>
                                        <a:gd name="connsiteX15" fmla="*/ 0 w 1675181"/>
                                        <a:gd name="connsiteY15" fmla="*/ 716890 h 1141171"/>
                                        <a:gd name="connsiteX16" fmla="*/ 153620 w 1675181"/>
                                        <a:gd name="connsiteY16" fmla="*/ 526694 h 114117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1675181" h="1141171">
                                          <a:moveTo>
                                            <a:pt x="153620" y="526694"/>
                                          </a:moveTo>
                                          <a:lnTo>
                                            <a:pt x="292608" y="307238"/>
                                          </a:lnTo>
                                          <a:lnTo>
                                            <a:pt x="446228" y="424282"/>
                                          </a:lnTo>
                                          <a:lnTo>
                                            <a:pt x="651053" y="285293"/>
                                          </a:lnTo>
                                          <a:lnTo>
                                            <a:pt x="811988" y="80467"/>
                                          </a:lnTo>
                                          <a:lnTo>
                                            <a:pt x="1272845" y="0"/>
                                          </a:lnTo>
                                          <a:lnTo>
                                            <a:pt x="1558138" y="29261"/>
                                          </a:lnTo>
                                          <a:lnTo>
                                            <a:pt x="1675181" y="248717"/>
                                          </a:lnTo>
                                          <a:lnTo>
                                            <a:pt x="1492301" y="321869"/>
                                          </a:lnTo>
                                          <a:lnTo>
                                            <a:pt x="1463040" y="504749"/>
                                          </a:lnTo>
                                          <a:lnTo>
                                            <a:pt x="1558138" y="746150"/>
                                          </a:lnTo>
                                          <a:lnTo>
                                            <a:pt x="1331367" y="892454"/>
                                          </a:lnTo>
                                          <a:lnTo>
                                            <a:pt x="848564" y="987552"/>
                                          </a:lnTo>
                                          <a:lnTo>
                                            <a:pt x="548640" y="1133856"/>
                                          </a:lnTo>
                                          <a:lnTo>
                                            <a:pt x="58522" y="1141171"/>
                                          </a:lnTo>
                                          <a:lnTo>
                                            <a:pt x="0" y="716890"/>
                                          </a:lnTo>
                                          <a:lnTo>
                                            <a:pt x="153620" y="526694"/>
                                          </a:lnTo>
                                          <a:close/>
                                        </a:path>
                                      </a:pathLst>
                                    </a:custGeom>
                                    <a:noFill/>
                                    <a:ln w="19050">
                                      <a:solidFill>
                                        <a:schemeClr val="accent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264F510" w14:textId="77777777" w:rsidR="00D55F13" w:rsidRPr="00394D50" w:rsidRDefault="00D55F13" w:rsidP="00077E48">
                                        <w:pPr>
                                          <w:jc w:val="center"/>
                                          <w:rPr>
                                            <w:color w:val="0D0D0D" w:themeColor="text1" w:themeTint="F2"/>
                                            <w:sz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2882" name="2882 Grupo"/>
                                  <wpg:cNvGrpSpPr/>
                                  <wpg:grpSpPr>
                                    <a:xfrm>
                                      <a:off x="184067" y="510639"/>
                                      <a:ext cx="128349" cy="175851"/>
                                      <a:chOff x="0" y="0"/>
                                      <a:chExt cx="128349" cy="175851"/>
                                    </a:xfrm>
                                  </wpg:grpSpPr>
                                  <wps:wsp>
                                    <wps:cNvPr id="2883" name="2609 Cuadro de texto"/>
                                    <wps:cNvSpPr txBox="1"/>
                                    <wps:spPr>
                                      <a:xfrm>
                                        <a:off x="0" y="17813"/>
                                        <a:ext cx="82707" cy="15803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A4B8007" w14:textId="77777777" w:rsidR="00D55F13" w:rsidRPr="00394D50" w:rsidRDefault="00D55F13" w:rsidP="00077E48">
                                          <w:pPr>
                                            <w:rPr>
                                              <w:i/>
                                            </w:rPr>
                                          </w:pPr>
                                          <w:r w:rsidRPr="00394D50">
                                            <w:rPr>
                                              <w:i/>
                                            </w:rPr>
                                            <w:t>i</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2884" name="2610 Conector"/>
                                    <wps:cNvSpPr/>
                                    <wps:spPr>
                                      <a:xfrm>
                                        <a:off x="83128" y="0"/>
                                        <a:ext cx="45221" cy="45324"/>
                                      </a:xfrm>
                                      <a:prstGeom prst="flowChartConnector">
                                        <a:avLst/>
                                      </a:prstGeom>
                                      <a:solidFill>
                                        <a:schemeClr val="tx1">
                                          <a:lumMod val="95000"/>
                                          <a:lumOff val="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grpSp>
                                <wpg:cNvPr id="2885" name="2885 Grupo"/>
                                <wpg:cNvGrpSpPr/>
                                <wpg:grpSpPr>
                                  <a:xfrm>
                                    <a:off x="3521034" y="0"/>
                                    <a:ext cx="845013" cy="966271"/>
                                    <a:chOff x="0" y="0"/>
                                    <a:chExt cx="845013" cy="966271"/>
                                  </a:xfrm>
                                </wpg:grpSpPr>
                                <wps:wsp>
                                  <wps:cNvPr id="2886" name="2613 Forma libre"/>
                                  <wps:cNvSpPr/>
                                  <wps:spPr>
                                    <a:xfrm>
                                      <a:off x="0" y="0"/>
                                      <a:ext cx="845013" cy="966271"/>
                                    </a:xfrm>
                                    <a:custGeom>
                                      <a:avLst/>
                                      <a:gdLst>
                                        <a:gd name="connsiteX0" fmla="*/ 0 w 1345997"/>
                                        <a:gd name="connsiteY0" fmla="*/ 885139 h 1587398"/>
                                        <a:gd name="connsiteX1" fmla="*/ 0 w 1345997"/>
                                        <a:gd name="connsiteY1" fmla="*/ 1221638 h 1587398"/>
                                        <a:gd name="connsiteX2" fmla="*/ 182880 w 1345997"/>
                                        <a:gd name="connsiteY2" fmla="*/ 1338682 h 1587398"/>
                                        <a:gd name="connsiteX3" fmla="*/ 299924 w 1345997"/>
                                        <a:gd name="connsiteY3" fmla="*/ 1514246 h 1587398"/>
                                        <a:gd name="connsiteX4" fmla="*/ 570586 w 1345997"/>
                                        <a:gd name="connsiteY4" fmla="*/ 1587398 h 1587398"/>
                                        <a:gd name="connsiteX5" fmla="*/ 1243584 w 1345997"/>
                                        <a:gd name="connsiteY5" fmla="*/ 1353312 h 1587398"/>
                                        <a:gd name="connsiteX6" fmla="*/ 1345997 w 1345997"/>
                                        <a:gd name="connsiteY6" fmla="*/ 1111910 h 1587398"/>
                                        <a:gd name="connsiteX7" fmla="*/ 1243584 w 1345997"/>
                                        <a:gd name="connsiteY7" fmla="*/ 768096 h 1587398"/>
                                        <a:gd name="connsiteX8" fmla="*/ 1089965 w 1345997"/>
                                        <a:gd name="connsiteY8" fmla="*/ 526694 h 1587398"/>
                                        <a:gd name="connsiteX9" fmla="*/ 1038759 w 1345997"/>
                                        <a:gd name="connsiteY9" fmla="*/ 51206 h 1587398"/>
                                        <a:gd name="connsiteX10" fmla="*/ 519380 w 1345997"/>
                                        <a:gd name="connsiteY10" fmla="*/ 0 h 1587398"/>
                                        <a:gd name="connsiteX11" fmla="*/ 490119 w 1345997"/>
                                        <a:gd name="connsiteY11" fmla="*/ 526694 h 1587398"/>
                                        <a:gd name="connsiteX12" fmla="*/ 482804 w 1345997"/>
                                        <a:gd name="connsiteY12" fmla="*/ 819302 h 1587398"/>
                                        <a:gd name="connsiteX13" fmla="*/ 219456 w 1345997"/>
                                        <a:gd name="connsiteY13" fmla="*/ 768096 h 1587398"/>
                                        <a:gd name="connsiteX14" fmla="*/ 0 w 1345997"/>
                                        <a:gd name="connsiteY14" fmla="*/ 885139 h 1587398"/>
                                        <a:gd name="connsiteX0" fmla="*/ 0 w 1345997"/>
                                        <a:gd name="connsiteY0" fmla="*/ 885139 h 1587398"/>
                                        <a:gd name="connsiteX1" fmla="*/ 0 w 1345997"/>
                                        <a:gd name="connsiteY1" fmla="*/ 1221638 h 1587398"/>
                                        <a:gd name="connsiteX2" fmla="*/ 182880 w 1345997"/>
                                        <a:gd name="connsiteY2" fmla="*/ 1338682 h 1587398"/>
                                        <a:gd name="connsiteX3" fmla="*/ 299924 w 1345997"/>
                                        <a:gd name="connsiteY3" fmla="*/ 1514246 h 1587398"/>
                                        <a:gd name="connsiteX4" fmla="*/ 570586 w 1345997"/>
                                        <a:gd name="connsiteY4" fmla="*/ 1587398 h 1587398"/>
                                        <a:gd name="connsiteX5" fmla="*/ 1243584 w 1345997"/>
                                        <a:gd name="connsiteY5" fmla="*/ 1353312 h 1587398"/>
                                        <a:gd name="connsiteX6" fmla="*/ 1345997 w 1345997"/>
                                        <a:gd name="connsiteY6" fmla="*/ 1111910 h 1587398"/>
                                        <a:gd name="connsiteX7" fmla="*/ 1243584 w 1345997"/>
                                        <a:gd name="connsiteY7" fmla="*/ 768096 h 1587398"/>
                                        <a:gd name="connsiteX8" fmla="*/ 1089965 w 1345997"/>
                                        <a:gd name="connsiteY8" fmla="*/ 526694 h 1587398"/>
                                        <a:gd name="connsiteX9" fmla="*/ 1038759 w 1345997"/>
                                        <a:gd name="connsiteY9" fmla="*/ 51206 h 1587398"/>
                                        <a:gd name="connsiteX10" fmla="*/ 519380 w 1345997"/>
                                        <a:gd name="connsiteY10" fmla="*/ 0 h 1587398"/>
                                        <a:gd name="connsiteX11" fmla="*/ 380513 w 1345997"/>
                                        <a:gd name="connsiteY11" fmla="*/ 380518 h 1587398"/>
                                        <a:gd name="connsiteX12" fmla="*/ 482804 w 1345997"/>
                                        <a:gd name="connsiteY12" fmla="*/ 819302 h 1587398"/>
                                        <a:gd name="connsiteX13" fmla="*/ 219456 w 1345997"/>
                                        <a:gd name="connsiteY13" fmla="*/ 768096 h 1587398"/>
                                        <a:gd name="connsiteX14" fmla="*/ 0 w 1345997"/>
                                        <a:gd name="connsiteY14" fmla="*/ 885139 h 1587398"/>
                                        <a:gd name="connsiteX0" fmla="*/ 0 w 1345997"/>
                                        <a:gd name="connsiteY0" fmla="*/ 833933 h 1536192"/>
                                        <a:gd name="connsiteX1" fmla="*/ 0 w 1345997"/>
                                        <a:gd name="connsiteY1" fmla="*/ 1170432 h 1536192"/>
                                        <a:gd name="connsiteX2" fmla="*/ 182880 w 1345997"/>
                                        <a:gd name="connsiteY2" fmla="*/ 1287476 h 1536192"/>
                                        <a:gd name="connsiteX3" fmla="*/ 299924 w 1345997"/>
                                        <a:gd name="connsiteY3" fmla="*/ 1463040 h 1536192"/>
                                        <a:gd name="connsiteX4" fmla="*/ 570586 w 1345997"/>
                                        <a:gd name="connsiteY4" fmla="*/ 1536192 h 1536192"/>
                                        <a:gd name="connsiteX5" fmla="*/ 1243584 w 1345997"/>
                                        <a:gd name="connsiteY5" fmla="*/ 1302106 h 1536192"/>
                                        <a:gd name="connsiteX6" fmla="*/ 1345997 w 1345997"/>
                                        <a:gd name="connsiteY6" fmla="*/ 1060704 h 1536192"/>
                                        <a:gd name="connsiteX7" fmla="*/ 1243584 w 1345997"/>
                                        <a:gd name="connsiteY7" fmla="*/ 716890 h 1536192"/>
                                        <a:gd name="connsiteX8" fmla="*/ 1089965 w 1345997"/>
                                        <a:gd name="connsiteY8" fmla="*/ 475488 h 1536192"/>
                                        <a:gd name="connsiteX9" fmla="*/ 1038759 w 1345997"/>
                                        <a:gd name="connsiteY9" fmla="*/ 0 h 1536192"/>
                                        <a:gd name="connsiteX10" fmla="*/ 680532 w 1345997"/>
                                        <a:gd name="connsiteY10" fmla="*/ 29288 h 1536192"/>
                                        <a:gd name="connsiteX11" fmla="*/ 380513 w 1345997"/>
                                        <a:gd name="connsiteY11" fmla="*/ 329312 h 1536192"/>
                                        <a:gd name="connsiteX12" fmla="*/ 482804 w 1345997"/>
                                        <a:gd name="connsiteY12" fmla="*/ 768096 h 1536192"/>
                                        <a:gd name="connsiteX13" fmla="*/ 219456 w 1345997"/>
                                        <a:gd name="connsiteY13" fmla="*/ 716890 h 1536192"/>
                                        <a:gd name="connsiteX14" fmla="*/ 0 w 1345997"/>
                                        <a:gd name="connsiteY14" fmla="*/ 833933 h 1536192"/>
                                        <a:gd name="connsiteX0" fmla="*/ 0 w 1345997"/>
                                        <a:gd name="connsiteY0" fmla="*/ 833933 h 1536192"/>
                                        <a:gd name="connsiteX1" fmla="*/ 0 w 1345997"/>
                                        <a:gd name="connsiteY1" fmla="*/ 1170432 h 1536192"/>
                                        <a:gd name="connsiteX2" fmla="*/ 182880 w 1345997"/>
                                        <a:gd name="connsiteY2" fmla="*/ 1287476 h 1536192"/>
                                        <a:gd name="connsiteX3" fmla="*/ 299924 w 1345997"/>
                                        <a:gd name="connsiteY3" fmla="*/ 1463040 h 1536192"/>
                                        <a:gd name="connsiteX4" fmla="*/ 570586 w 1345997"/>
                                        <a:gd name="connsiteY4" fmla="*/ 1536192 h 1536192"/>
                                        <a:gd name="connsiteX5" fmla="*/ 1243584 w 1345997"/>
                                        <a:gd name="connsiteY5" fmla="*/ 1302106 h 1536192"/>
                                        <a:gd name="connsiteX6" fmla="*/ 1345997 w 1345997"/>
                                        <a:gd name="connsiteY6" fmla="*/ 1060704 h 1536192"/>
                                        <a:gd name="connsiteX7" fmla="*/ 1243584 w 1345997"/>
                                        <a:gd name="connsiteY7" fmla="*/ 716890 h 1536192"/>
                                        <a:gd name="connsiteX8" fmla="*/ 1089965 w 1345997"/>
                                        <a:gd name="connsiteY8" fmla="*/ 475488 h 1536192"/>
                                        <a:gd name="connsiteX9" fmla="*/ 1038759 w 1345997"/>
                                        <a:gd name="connsiteY9" fmla="*/ 0 h 1536192"/>
                                        <a:gd name="connsiteX10" fmla="*/ 680532 w 1345997"/>
                                        <a:gd name="connsiteY10" fmla="*/ 29288 h 1536192"/>
                                        <a:gd name="connsiteX11" fmla="*/ 380513 w 1345997"/>
                                        <a:gd name="connsiteY11" fmla="*/ 329312 h 1536192"/>
                                        <a:gd name="connsiteX12" fmla="*/ 446371 w 1345997"/>
                                        <a:gd name="connsiteY12" fmla="*/ 563317 h 1536192"/>
                                        <a:gd name="connsiteX13" fmla="*/ 219456 w 1345997"/>
                                        <a:gd name="connsiteY13" fmla="*/ 716890 h 1536192"/>
                                        <a:gd name="connsiteX14" fmla="*/ 0 w 1345997"/>
                                        <a:gd name="connsiteY14" fmla="*/ 833933 h 153619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Lst>
                                      <a:rect l="l" t="t" r="r" b="b"/>
                                      <a:pathLst>
                                        <a:path w="1345997" h="1536192">
                                          <a:moveTo>
                                            <a:pt x="0" y="833933"/>
                                          </a:moveTo>
                                          <a:lnTo>
                                            <a:pt x="0" y="1170432"/>
                                          </a:lnTo>
                                          <a:lnTo>
                                            <a:pt x="182880" y="1287476"/>
                                          </a:lnTo>
                                          <a:lnTo>
                                            <a:pt x="299924" y="1463040"/>
                                          </a:lnTo>
                                          <a:lnTo>
                                            <a:pt x="570586" y="1536192"/>
                                          </a:lnTo>
                                          <a:lnTo>
                                            <a:pt x="1243584" y="1302106"/>
                                          </a:lnTo>
                                          <a:lnTo>
                                            <a:pt x="1345997" y="1060704"/>
                                          </a:lnTo>
                                          <a:lnTo>
                                            <a:pt x="1243584" y="716890"/>
                                          </a:lnTo>
                                          <a:lnTo>
                                            <a:pt x="1089965" y="475488"/>
                                          </a:lnTo>
                                          <a:lnTo>
                                            <a:pt x="1038759" y="0"/>
                                          </a:lnTo>
                                          <a:lnTo>
                                            <a:pt x="680532" y="29288"/>
                                          </a:lnTo>
                                          <a:lnTo>
                                            <a:pt x="380513" y="329312"/>
                                          </a:lnTo>
                                          <a:lnTo>
                                            <a:pt x="446371" y="563317"/>
                                          </a:lnTo>
                                          <a:lnTo>
                                            <a:pt x="219456" y="716890"/>
                                          </a:lnTo>
                                          <a:lnTo>
                                            <a:pt x="0" y="833933"/>
                                          </a:lnTo>
                                          <a:close/>
                                        </a:path>
                                      </a:pathLst>
                                    </a:custGeom>
                                    <a:noFill/>
                                    <a:ln w="19050">
                                      <a:solidFill>
                                        <a:srgbClr val="FF33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0E2DCFC" w14:textId="77777777" w:rsidR="00D55F13" w:rsidRPr="00394D50" w:rsidRDefault="00D55F13" w:rsidP="00077E48">
                                        <w:pPr>
                                          <w:jc w:val="center"/>
                                          <w:rPr>
                                            <w:color w:val="0D0D0D" w:themeColor="text1" w:themeTint="F2"/>
                                            <w:sz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87" name="2615 Conector"/>
                                  <wps:cNvSpPr/>
                                  <wps:spPr>
                                    <a:xfrm>
                                      <a:off x="534390" y="605641"/>
                                      <a:ext cx="45045" cy="45142"/>
                                    </a:xfrm>
                                    <a:prstGeom prst="flowChartConnector">
                                      <a:avLst/>
                                    </a:prstGeom>
                                    <a:solidFill>
                                      <a:schemeClr val="tx1">
                                        <a:lumMod val="95000"/>
                                        <a:lumOff val="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88" name="2614 Cuadro de texto"/>
                                  <wps:cNvSpPr txBox="1"/>
                                  <wps:spPr>
                                    <a:xfrm>
                                      <a:off x="457200" y="629392"/>
                                      <a:ext cx="59534" cy="21253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EBF9606" w14:textId="77777777" w:rsidR="00D55F13" w:rsidRPr="00394D50" w:rsidRDefault="00D55F13" w:rsidP="00077E48">
                                        <w:pPr>
                                          <w:rPr>
                                            <w:i/>
                                          </w:rPr>
                                        </w:pPr>
                                        <w:r w:rsidRPr="00394D50">
                                          <w:rPr>
                                            <w:i/>
                                          </w:rPr>
                                          <w:t>i</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g:grpSp>
                            </wpg:grpSp>
                            <wpg:grpSp>
                              <wpg:cNvPr id="2889" name="2889 Grupo"/>
                              <wpg:cNvGrpSpPr/>
                              <wpg:grpSpPr>
                                <a:xfrm>
                                  <a:off x="1288473" y="1140032"/>
                                  <a:ext cx="2203644" cy="675157"/>
                                  <a:chOff x="0" y="0"/>
                                  <a:chExt cx="2203644" cy="675157"/>
                                </a:xfrm>
                              </wpg:grpSpPr>
                              <wps:wsp>
                                <wps:cNvPr id="2890" name="2659 Flecha derecha"/>
                                <wps:cNvSpPr/>
                                <wps:spPr>
                                  <a:xfrm rot="5400000">
                                    <a:off x="773151" y="236252"/>
                                    <a:ext cx="636562" cy="164057"/>
                                  </a:xfrm>
                                  <a:prstGeom prst="rightArrow">
                                    <a:avLst>
                                      <a:gd name="adj1" fmla="val 50000"/>
                                      <a:gd name="adj2" fmla="val 121365"/>
                                    </a:avLst>
                                  </a:prstGeom>
                                  <a:solidFill>
                                    <a:schemeClr val="bg2">
                                      <a:lumMod val="50000"/>
                                    </a:schemeClr>
                                  </a:solidFill>
                                  <a:ln>
                                    <a:solidFill>
                                      <a:schemeClr val="bg2">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91" name="2660 Flecha derecha"/>
                                <wps:cNvSpPr/>
                                <wps:spPr>
                                  <a:xfrm rot="8047803">
                                    <a:off x="1803335" y="274847"/>
                                    <a:ext cx="636562" cy="164057"/>
                                  </a:xfrm>
                                  <a:prstGeom prst="rightArrow">
                                    <a:avLst>
                                      <a:gd name="adj1" fmla="val 50000"/>
                                      <a:gd name="adj2" fmla="val 121365"/>
                                    </a:avLst>
                                  </a:prstGeom>
                                  <a:solidFill>
                                    <a:schemeClr val="bg2">
                                      <a:lumMod val="50000"/>
                                    </a:schemeClr>
                                  </a:solidFill>
                                  <a:ln>
                                    <a:solidFill>
                                      <a:schemeClr val="bg2">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92" name="2661 Flecha derecha"/>
                                <wps:cNvSpPr/>
                                <wps:spPr>
                                  <a:xfrm rot="2919613">
                                    <a:off x="-236252" y="271879"/>
                                    <a:ext cx="636562" cy="164057"/>
                                  </a:xfrm>
                                  <a:prstGeom prst="rightArrow">
                                    <a:avLst>
                                      <a:gd name="adj1" fmla="val 50000"/>
                                      <a:gd name="adj2" fmla="val 121365"/>
                                    </a:avLst>
                                  </a:prstGeom>
                                  <a:solidFill>
                                    <a:schemeClr val="bg2">
                                      <a:lumMod val="50000"/>
                                    </a:schemeClr>
                                  </a:solidFill>
                                  <a:ln>
                                    <a:solidFill>
                                      <a:schemeClr val="bg2">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2893" name="2893 Grupo"/>
                              <wpg:cNvGrpSpPr/>
                              <wpg:grpSpPr>
                                <a:xfrm>
                                  <a:off x="1436914" y="1900052"/>
                                  <a:ext cx="2216932" cy="161712"/>
                                  <a:chOff x="0" y="0"/>
                                  <a:chExt cx="2216932" cy="161712"/>
                                </a:xfrm>
                              </wpg:grpSpPr>
                              <wps:wsp>
                                <wps:cNvPr id="2894" name="133 Rectángulo redondeado"/>
                                <wps:cNvSpPr/>
                                <wps:spPr>
                                  <a:xfrm>
                                    <a:off x="0" y="0"/>
                                    <a:ext cx="323541" cy="161712"/>
                                  </a:xfrm>
                                  <a:prstGeom prst="roundRect">
                                    <a:avLst/>
                                  </a:prstGeom>
                                  <a:noFill/>
                                  <a:ln w="28575">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7C73DD6" w14:textId="77777777" w:rsidR="00D55F13" w:rsidRPr="00394D50" w:rsidRDefault="00D55F13" w:rsidP="00077E48">
                                      <w:pPr>
                                        <w:rPr>
                                          <w:color w:val="0D0D0D" w:themeColor="text1" w:themeTint="F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95" name="134 Rectángulo"/>
                                <wps:cNvSpPr/>
                                <wps:spPr>
                                  <a:xfrm>
                                    <a:off x="439387" y="23751"/>
                                    <a:ext cx="1777545" cy="131427"/>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98F83AA" w14:textId="77777777" w:rsidR="00D55F13" w:rsidRPr="00394D50" w:rsidRDefault="00D55F13" w:rsidP="00077E48">
                                      <w:pPr>
                                        <w:jc w:val="left"/>
                                        <w:rPr>
                                          <w:rFonts w:cs="Arial"/>
                                          <w:b/>
                                          <w:color w:val="000000" w:themeColor="text1"/>
                                          <w:sz w:val="16"/>
                                        </w:rPr>
                                      </w:pPr>
                                      <w:r w:rsidRPr="00394D50">
                                        <w:rPr>
                                          <w:rFonts w:cs="Arial"/>
                                          <w:b/>
                                          <w:color w:val="000000" w:themeColor="text1"/>
                                          <w:sz w:val="16"/>
                                        </w:rPr>
                                        <w:t>Área de influencia de un medio</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g:grpSp>
                            <wpg:grpSp>
                              <wpg:cNvPr id="2896" name="2896 Grupo"/>
                              <wpg:cNvGrpSpPr/>
                              <wpg:grpSpPr>
                                <a:xfrm>
                                  <a:off x="100940" y="0"/>
                                  <a:ext cx="4348480" cy="130175"/>
                                  <a:chOff x="0" y="0"/>
                                  <a:chExt cx="4348480" cy="130175"/>
                                </a:xfrm>
                              </wpg:grpSpPr>
                              <wps:wsp>
                                <wps:cNvPr id="2897" name="2669 Rectángulo"/>
                                <wps:cNvSpPr/>
                                <wps:spPr>
                                  <a:xfrm>
                                    <a:off x="1841500" y="0"/>
                                    <a:ext cx="900430" cy="13017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D7E6208" w14:textId="77777777" w:rsidR="00D55F13" w:rsidRPr="00394D50" w:rsidRDefault="00D55F13" w:rsidP="00077E48">
                                      <w:pPr>
                                        <w:jc w:val="left"/>
                                        <w:rPr>
                                          <w:rFonts w:cs="Arial"/>
                                          <w:b/>
                                          <w:color w:val="365F91" w:themeColor="accent1" w:themeShade="BF"/>
                                          <w:sz w:val="16"/>
                                        </w:rPr>
                                      </w:pPr>
                                      <w:r w:rsidRPr="00394D50">
                                        <w:rPr>
                                          <w:rFonts w:cs="Arial"/>
                                          <w:b/>
                                          <w:color w:val="365F91" w:themeColor="accent1" w:themeShade="BF"/>
                                          <w:sz w:val="16"/>
                                        </w:rPr>
                                        <w:t>Componente B</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2898" name="2672 Rectángulo"/>
                                <wps:cNvSpPr/>
                                <wps:spPr>
                                  <a:xfrm>
                                    <a:off x="3448050" y="0"/>
                                    <a:ext cx="900430" cy="13017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AA0938C" w14:textId="77777777" w:rsidR="00D55F13" w:rsidRPr="00394D50" w:rsidRDefault="00D55F13" w:rsidP="00077E48">
                                      <w:pPr>
                                        <w:jc w:val="left"/>
                                        <w:rPr>
                                          <w:rFonts w:cs="Arial"/>
                                          <w:b/>
                                          <w:color w:val="FF0000"/>
                                          <w:sz w:val="16"/>
                                        </w:rPr>
                                      </w:pPr>
                                      <w:r w:rsidRPr="00394D50">
                                        <w:rPr>
                                          <w:rFonts w:cs="Arial"/>
                                          <w:b/>
                                          <w:color w:val="FF0000"/>
                                          <w:sz w:val="16"/>
                                        </w:rPr>
                                        <w:t>Componente C</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2899" name="2675 Rectángulo"/>
                                <wps:cNvSpPr/>
                                <wps:spPr>
                                  <a:xfrm>
                                    <a:off x="0" y="0"/>
                                    <a:ext cx="900430" cy="13017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FF99760" w14:textId="77777777" w:rsidR="00D55F13" w:rsidRPr="00394D50" w:rsidRDefault="00D55F13" w:rsidP="00077E48">
                                      <w:pPr>
                                        <w:jc w:val="left"/>
                                        <w:rPr>
                                          <w:rFonts w:cs="Arial"/>
                                          <w:b/>
                                          <w:color w:val="00B050"/>
                                          <w:sz w:val="16"/>
                                        </w:rPr>
                                      </w:pPr>
                                      <w:r w:rsidRPr="00394D50">
                                        <w:rPr>
                                          <w:rFonts w:cs="Arial"/>
                                          <w:b/>
                                          <w:color w:val="00B050"/>
                                          <w:sz w:val="16"/>
                                        </w:rPr>
                                        <w:t>Componente A</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g:grpSp>
                          </wpg:grpSp>
                        </wpg:grpSp>
                        <wps:wsp>
                          <wps:cNvPr id="2900" name="134 Rectángulo"/>
                          <wps:cNvSpPr/>
                          <wps:spPr>
                            <a:xfrm>
                              <a:off x="169965" y="2818171"/>
                              <a:ext cx="677759" cy="33896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A10DA81" w14:textId="64950113" w:rsidR="00D55F13" w:rsidRPr="00394D50" w:rsidRDefault="00D55F13" w:rsidP="00077E48">
                                <w:pPr>
                                  <w:jc w:val="center"/>
                                  <w:rPr>
                                    <w:rFonts w:cs="Arial"/>
                                    <w:b/>
                                    <w:color w:val="000000" w:themeColor="text1"/>
                                    <w:sz w:val="20"/>
                                  </w:rPr>
                                </w:pPr>
                                <w:r w:rsidRPr="00394D50">
                                  <w:rPr>
                                    <w:rFonts w:cs="Arial"/>
                                    <w:b/>
                                    <w:color w:val="000000" w:themeColor="text1"/>
                                    <w:sz w:val="20"/>
                                  </w:rPr>
                                  <w:t>Escenario 1</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g:grpSp>
                    </wpg:wgp>
                  </a:graphicData>
                </a:graphic>
                <wp14:sizeRelH relativeFrom="page">
                  <wp14:pctWidth>0</wp14:pctWidth>
                </wp14:sizeRelH>
                <wp14:sizeRelV relativeFrom="page">
                  <wp14:pctHeight>0</wp14:pctHeight>
                </wp14:sizeRelV>
              </wp:anchor>
            </w:drawing>
          </mc:Choice>
          <mc:Fallback>
            <w:pict>
              <v:group w14:anchorId="610F6BDD" id="2817 Grupo" o:spid="_x0000_s1125" style="position:absolute;left:0;text-align:left;margin-left:61.2pt;margin-top:14.55pt;width:361.5pt;height:453.5pt;z-index:251649536;mso-position-horizontal-relative:text;mso-position-vertical-relative:text" coordsize="45910,660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">
                <v:group id="2818 Grupo" o:spid="_x0000_s1126" style="position:absolute;top:33051;width:45910;height:33020" coordsize="45910,33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">
                  <v:group id="2819 Grupo" o:spid="_x0000_s1127" style="position:absolute;width:45910;height:33020" coordorigin=",476" coordsize="45910,33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">
                    <v:rect id="2820 Rectángulo" o:spid="_x0000_s1128" style="position:absolute;top:476;width:45910;height:330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" filled="f" strokecolor="black [3213]" strokeweight=".25pt"/>
                    <v:group id="2821 Grupo" o:spid="_x0000_s1129" style="position:absolute;left:1047;top:1619;width:44501;height:30726" coordsize="44500,307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">
                      <v:group id="2658 Grupo" o:spid="_x0000_s1130" style="position:absolute;left:12890;top:11303;width:22063;height:6770" coordsize="24509,75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">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2659 Flecha derecha" o:spid="_x0000_s1131" type="#_x0000_t13" style="position:absolute;left:8665;top:2626;width:7073;height:182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" adj="14846" fillcolor="#938953 [1614]" strokecolor="#938953 [1614]" strokeweight="2pt"/>
                        <v:shape id="2660 Flecha derecha" o:spid="_x0000_s1132" type="#_x0000_t13" style="position:absolute;left:20061;top:3075;width:7074;height:1823;rotation:8790347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" adj="14846" fillcolor="#938953 [1614]" strokecolor="#938953 [1614]" strokeweight="2pt"/>
                        <v:shape id="2661 Flecha derecha" o:spid="_x0000_s1133" type="#_x0000_t13" style="position:absolute;left:-2626;top:3041;width:7074;height:1822;rotation:318899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" adj="14846" fillcolor="#938953 [1614]" strokecolor="#938953 [1614]" strokeweight="2pt"/>
                      </v:group>
                      <v:group id="2826 Grupo" o:spid="_x0000_s1134" style="position:absolute;left:1016;width:43484;height:1301" coordsize="43484,13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">
                        <v:rect id="2669 Rectángulo" o:spid="_x0000_s1135" style="position:absolute;left:18415;width:9004;height:13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" filled="f" stroked="f" strokeweight="2pt">
                          <v:textbox inset="0,0,0,0">
                            <w:txbxContent>
                              <w:p w14:paraId="4337811E" w14:textId="77777777" w:rsidR="00D55F13" w:rsidRPr="00394D50" w:rsidRDefault="00D55F13" w:rsidP="00077E48">
                                <w:pPr>
                                  <w:jc w:val="left"/>
                                  <w:rPr>
                                    <w:rFonts w:cs="Arial"/>
                                    <w:b/>
                                    <w:color w:val="365F91" w:themeColor="accent1" w:themeShade="BF"/>
                                    <w:sz w:val="16"/>
                                  </w:rPr>
                                </w:pPr>
                                <w:r w:rsidRPr="00394D50">
                                  <w:rPr>
                                    <w:rFonts w:cs="Arial"/>
                                    <w:b/>
                                    <w:color w:val="365F91" w:themeColor="accent1" w:themeShade="BF"/>
                                    <w:sz w:val="16"/>
                                  </w:rPr>
                                  <w:t>Componente B</w:t>
                                </w:r>
                              </w:p>
                            </w:txbxContent>
                          </v:textbox>
                        </v:rect>
                        <v:rect id="2672 Rectángulo" o:spid="_x0000_s1136" style="position:absolute;left:34480;width:9004;height:13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" filled="f" stroked="f" strokeweight="2pt">
                          <v:textbox inset="0,0,0,0">
                            <w:txbxContent>
                              <w:p w14:paraId="02A80D3A" w14:textId="77777777" w:rsidR="00D55F13" w:rsidRPr="00394D50" w:rsidRDefault="00D55F13" w:rsidP="00077E48">
                                <w:pPr>
                                  <w:jc w:val="left"/>
                                  <w:rPr>
                                    <w:rFonts w:cs="Arial"/>
                                    <w:b/>
                                    <w:color w:val="FF0000"/>
                                    <w:sz w:val="16"/>
                                  </w:rPr>
                                </w:pPr>
                                <w:r w:rsidRPr="00394D50">
                                  <w:rPr>
                                    <w:rFonts w:cs="Arial"/>
                                    <w:b/>
                                    <w:color w:val="FF0000"/>
                                    <w:sz w:val="16"/>
                                  </w:rPr>
                                  <w:t>Componente C</w:t>
                                </w:r>
                              </w:p>
                            </w:txbxContent>
                          </v:textbox>
                        </v:rect>
                        <v:rect id="2675 Rectángulo" o:spid="_x0000_s1137" style="position:absolute;width:9004;height:13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" filled="f" stroked="f" strokeweight="2pt">
                          <v:textbox inset="0,0,0,0">
                            <w:txbxContent>
                              <w:p w14:paraId="76A6D3EC" w14:textId="77777777" w:rsidR="00D55F13" w:rsidRPr="00394D50" w:rsidRDefault="00D55F13" w:rsidP="00077E48">
                                <w:pPr>
                                  <w:jc w:val="left"/>
                                  <w:rPr>
                                    <w:rFonts w:cs="Arial"/>
                                    <w:b/>
                                    <w:color w:val="00B050"/>
                                    <w:sz w:val="16"/>
                                  </w:rPr>
                                </w:pPr>
                                <w:r w:rsidRPr="00394D50">
                                  <w:rPr>
                                    <w:rFonts w:cs="Arial"/>
                                    <w:b/>
                                    <w:color w:val="00B050"/>
                                    <w:sz w:val="16"/>
                                  </w:rPr>
                                  <w:t>Componente A</w:t>
                                </w:r>
                              </w:p>
                            </w:txbxContent>
                          </v:textbox>
                        </v:rect>
                      </v:group>
                      <v:group id="2830 Grupo" o:spid="_x0000_s1138" style="position:absolute;top:1905;width:43629;height:9662" coordsize="43629,96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">
                        <v:group id="2601 Grupo" o:spid="_x0000_s1139" style="position:absolute;width:8166;height:8782" coordorigin="1465" coordsize="9096,97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">
                          <v:group id="2602 Grupo" o:spid="_x0000_s1140" style="position:absolute;left:1465;width:9096;height:9760" coordorigin="1465" coordsize="9096,97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">
                            <v:shape id="2603 Forma libre" o:spid="_x0000_s1141" style="position:absolute;left:1465;width:9096;height:9760;visibility:visible;mso-wrap-style:square;v-text-anchor:middle" coordsize="986882,105934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" adj="-11796480,,5400" path="m467054,l986882,357214,927379,542495,637769,626294c504914,712436,236542,1053796,130247,1059346l,659593,197491,188473,467054,xe" filled="f" strokecolor="#00b050" strokeweight="1.5pt">
                              <v:stroke joinstyle="miter"/>
                              <v:formulas/>
                              <v:path arrowok="t" o:connecttype="custom" o:connectlocs="430506,0;909656,329142;854809,499862;587862,577075;120055,976095;0,607757;182037,173661;430506,0" o:connectangles="0,0,0,0,0,0,0,0" textboxrect="0,0,986882,1059346"/>
                              <v:textbox>
                                <w:txbxContent>
                                  <w:p w14:paraId="685BDA0C" w14:textId="77777777" w:rsidR="00D55F13" w:rsidRPr="00394D50" w:rsidRDefault="00D55F13" w:rsidP="00077E48">
                                    <w:pPr>
                                      <w:rPr>
                                        <w:color w:val="0D0D0D" w:themeColor="text1" w:themeTint="F2"/>
                                        <w:sz w:val="18"/>
                                      </w:rPr>
                                    </w:pPr>
                                  </w:p>
                                </w:txbxContent>
                              </v:textbox>
                            </v:shape>
                            <v:shape id="2604 Cuadro de texto" o:spid="_x0000_s1142" type="#_x0000_t202" style="position:absolute;left:6641;top:6948;width:702;height:19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" filled="f" stroked="f" strokeweight=".5pt">
                              <v:textbox inset="0,0,0,0">
                                <w:txbxContent>
                                  <w:p w14:paraId="072E33BF" w14:textId="77777777" w:rsidR="00D55F13" w:rsidRPr="00394D50" w:rsidRDefault="00D55F13" w:rsidP="00077E48">
                                    <w:pPr>
                                      <w:rPr>
                                        <w:i/>
                                      </w:rPr>
                                    </w:pPr>
                                    <w:r w:rsidRPr="00394D50">
                                      <w:rPr>
                                        <w:i/>
                                      </w:rPr>
                                      <w:t>i</w:t>
                                    </w:r>
                                  </w:p>
                                </w:txbxContent>
                              </v:textbox>
                            </v:shape>
                          </v:group>
                          <v:shapetype id="_x0000_t120" coordsize="21600,21600" o:spt="120" path="m10800,qx,10800,10800,21600,21600,10800,10800,xe">
                            <v:path gradientshapeok="t" o:connecttype="custom" o:connectlocs="10800,0;3163,3163;0,10800;3163,18437;10800,21600;18437,18437;21600,10800;18437,3163" textboxrect="3163,3163,18437,18437"/>
                          </v:shapetype>
                          <v:shape id="2605 Conector" o:spid="_x0000_s1143" type="#_x0000_t120" style="position:absolute;left:7620;top:6858;width:503;height:5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" fillcolor="#0d0d0d [3069]" stroked="f" strokeweight="2pt"/>
                        </v:group>
                        <v:group id="2611 Grupo" o:spid="_x0000_s1144" style="position:absolute;left:35179;width:8450;height:9662" coordorigin="-1024" coordsize="9410,107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">
                          <v:group id="2612 Grupo" o:spid="_x0000_s1145" style="position:absolute;left:-1024;width:9410;height:10737" coordorigin="-1464" coordsize="13453,15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">
                            <v:shape id="2613 Forma libre" o:spid="_x0000_s1146" style="position:absolute;left:-1464;width:13452;height:15360;visibility:visible;mso-wrap-style:square;v-text-anchor:middle" coordsize="1345997,153619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" adj="-11796480,,5400" path="m,833933r,336499l182880,1287476r117044,175564l570586,1536192r672998,-234086l1345997,1060704,1243584,716890,1089965,475488,1038759,,680532,29288,380513,329312r65858,234005l219456,716890,,833933xe" filled="f" strokecolor="#f30" strokeweight="1.5pt">
                              <v:stroke joinstyle="miter"/>
                              <v:formulas/>
                              <v:path arrowok="t" o:connecttype="custom" o:connectlocs="0,833864;0,1170335;182789,1287370;299774,1462919;570301,1536065;1242963,1301998;1345325,1060616;1242963,716831;1089421,475449;1038240,0;680192,29286;380323,329285;446148,563270;219346,716831;0,833864" o:connectangles="0,0,0,0,0,0,0,0,0,0,0,0,0,0,0" textboxrect="0,0,1345997,1536192"/>
                              <v:textbox>
                                <w:txbxContent>
                                  <w:p w14:paraId="69C7E83F" w14:textId="77777777" w:rsidR="00D55F13" w:rsidRPr="00394D50" w:rsidRDefault="00D55F13" w:rsidP="00077E48">
                                    <w:pPr>
                                      <w:jc w:val="center"/>
                                      <w:rPr>
                                        <w:color w:val="0D0D0D" w:themeColor="text1" w:themeTint="F2"/>
                                        <w:sz w:val="18"/>
                                      </w:rPr>
                                    </w:pPr>
                                  </w:p>
                                </w:txbxContent>
                              </v:textbox>
                            </v:shape>
                            <v:shape id="2614 Cuadro de texto" o:spid="_x0000_s1147" type="#_x0000_t202" style="position:absolute;left:5829;top:9988;width:948;height:33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" filled="f" stroked="f" strokeweight=".5pt">
                              <v:textbox inset="0,0,0,0">
                                <w:txbxContent>
                                  <w:p w14:paraId="7E49B1ED" w14:textId="77777777" w:rsidR="00D55F13" w:rsidRPr="00394D50" w:rsidRDefault="00D55F13" w:rsidP="00077E48">
                                    <w:pPr>
                                      <w:rPr>
                                        <w:i/>
                                      </w:rPr>
                                    </w:pPr>
                                    <w:r w:rsidRPr="00394D50">
                                      <w:rPr>
                                        <w:i/>
                                      </w:rPr>
                                      <w:t>i</w:t>
                                    </w:r>
                                  </w:p>
                                </w:txbxContent>
                              </v:textbox>
                            </v:shape>
                          </v:group>
                          <v:shape id="2615 Conector" o:spid="_x0000_s1148" type="#_x0000_t120" style="position:absolute;left:4953;top:6762;width:501;height:5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" fillcolor="#0d0d0d [3069]" stroked="f" strokeweight="2pt"/>
                        </v:group>
                        <v:group id="2841 Grupo" o:spid="_x0000_s1149" style="position:absolute;left:19939;top:2095;width:12166;height:6071" coordsize="12171,60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">
                          <v:group id="2606 Grupo" o:spid="_x0000_s1150" style="position:absolute;top:825;width:7422;height:5249" coordorigin="878,2149" coordsize="8267,5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">
                            <v:group id="2607 Grupo" o:spid="_x0000_s1151" style="position:absolute;left:878;top:2149;width:8267;height:5833" coordorigin="878,2149" coordsize="8267,5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">
                              <v:shape id="2608 Forma libre" o:spid="_x0000_s1152" style="position:absolute;left:878;top:2149;width:8267;height:5833;visibility:visible;mso-wrap-style:square;v-text-anchor:middle" coordsize="1181936,83393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" adj="-11796480,,5400" path="m153620,219456l292608,,446228,117044,919032,268131r262904,268927l848564,680314,548640,826618,58522,833933,,409652,153620,219456xe" filled="f" strokecolor="#365f91 [2404]" strokeweight="1.5pt">
                                <v:stroke joinstyle="miter"/>
                                <v:formulas/>
                                <v:path arrowok="t" o:connecttype="custom" o:connectlocs="107450,153500;204665,0;312115,81867;642818,187547;826707,375650;593529,475852;383747,578185;40933,583302;0,286535;107450,153500" o:connectangles="0,0,0,0,0,0,0,0,0,0" textboxrect="0,0,1181936,833933"/>
                                <v:textbox>
                                  <w:txbxContent>
                                    <w:p w14:paraId="4F4EF7E8" w14:textId="77777777" w:rsidR="00D55F13" w:rsidRPr="00394D50" w:rsidRDefault="00D55F13" w:rsidP="00077E48">
                                      <w:pPr>
                                        <w:jc w:val="center"/>
                                        <w:rPr>
                                          <w:color w:val="0D0D0D" w:themeColor="text1" w:themeTint="F2"/>
                                          <w:sz w:val="18"/>
                                        </w:rPr>
                                      </w:pPr>
                                    </w:p>
                                  </w:txbxContent>
                                </v:textbox>
                              </v:shape>
                              <v:shape id="2609 Cuadro de texto" o:spid="_x0000_s1153" type="#_x0000_t202" style="position:absolute;left:2857;top:5905;width:921;height:17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" filled="f" stroked="f" strokeweight=".5pt">
                                <v:textbox inset="0,0,0,0">
                                  <w:txbxContent>
                                    <w:p w14:paraId="685D7E39" w14:textId="77777777" w:rsidR="00D55F13" w:rsidRPr="00394D50" w:rsidRDefault="00D55F13" w:rsidP="00077E48">
                                      <w:pPr>
                                        <w:rPr>
                                          <w:i/>
                                        </w:rPr>
                                      </w:pPr>
                                      <w:r w:rsidRPr="00394D50">
                                        <w:rPr>
                                          <w:i/>
                                        </w:rPr>
                                        <w:t>i</w:t>
                                      </w:r>
                                    </w:p>
                                  </w:txbxContent>
                                </v:textbox>
                              </v:shape>
                            </v:group>
                            <v:shape id="2610 Conector" o:spid="_x0000_s1154" type="#_x0000_t120" style="position:absolute;left:3810;top:5715;width:503;height:5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" fillcolor="#0d0d0d [3069]" stroked="f" strokeweight="2pt"/>
                          </v:group>
                          <v:shape id="2608 Forma libre" o:spid="_x0000_s1155" style="position:absolute;left:7747;width:4424;height:3572;visibility:visible;mso-wrap-style:square;v-text-anchor:middle" coordsize="705071,56806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" adj="-11796480,,5400" path="m1,31582l292609,1,512186,5722,705071,260034,394086,568065,250194,282414,1,31582xe" filled="f" strokecolor="#365f91 [2404]" strokeweight="1.5pt">
                            <v:stroke joinstyle="miter"/>
                            <v:formulas/>
                            <v:path arrowok="t" o:connecttype="custom" o:connectlocs="1,19864;183616,1;321403,3599;442441,163551;247294,357290;157000,177627;1,19864" o:connectangles="0,0,0,0,0,0,0" textboxrect="0,0,705071,568064"/>
                            <v:textbox>
                              <w:txbxContent>
                                <w:p w14:paraId="1BA266B4" w14:textId="77777777" w:rsidR="00D55F13" w:rsidRPr="00394D50" w:rsidRDefault="00D55F13" w:rsidP="00077E48">
                                  <w:pPr>
                                    <w:jc w:val="center"/>
                                    <w:rPr>
                                      <w:color w:val="0D0D0D" w:themeColor="text1" w:themeTint="F2"/>
                                      <w:sz w:val="18"/>
                                    </w:rPr>
                                  </w:pPr>
                                </w:p>
                              </w:txbxContent>
                            </v:textbox>
                          </v:shape>
                        </v:group>
                      </v:group>
                      <v:group id="132 Grupo" o:spid="_x0000_s1156" style="position:absolute;left:14414;top:18859;width:22035;height:1616" coordorigin="-866" coordsize="24484,17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">
                        <v:roundrect id="133 Rectángulo redondeado" o:spid="_x0000_s1157" style="position:absolute;left:-866;width:3593;height:179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" filled="f" strokecolor="#ffc000" strokeweight="2.25pt">
                          <v:textbox>
                            <w:txbxContent>
                              <w:p w14:paraId="0D5FEECA" w14:textId="77777777" w:rsidR="00D55F13" w:rsidRPr="00394D50" w:rsidRDefault="00D55F13" w:rsidP="00077E48">
                                <w:pPr>
                                  <w:rPr>
                                    <w:color w:val="0D0D0D" w:themeColor="text1" w:themeTint="F2"/>
                                    <w14:textOutline w14:w="12700" w14:cap="rnd" w14:cmpd="sng" w14:algn="ctr">
                                      <w14:solidFill>
                                        <w14:srgbClr w14:val="000000"/>
                                      </w14:solidFill>
                                      <w14:prstDash w14:val="solid"/>
                                      <w14:bevel/>
                                    </w14:textOutline>
                                  </w:rPr>
                                </w:pPr>
                              </w:p>
                            </w:txbxContent>
                          </v:textbox>
                        </v:roundrect>
                        <v:rect id="134 Rectángulo" o:spid="_x0000_s1158" style="position:absolute;left:3871;top:252;width:19746;height:14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" filled="f" stroked="f" strokeweight="2pt">
                          <v:textbox inset="0,0,0,0">
                            <w:txbxContent>
                              <w:p w14:paraId="41B2A7CC" w14:textId="77777777" w:rsidR="00D55F13" w:rsidRPr="00394D50" w:rsidRDefault="00D55F13" w:rsidP="00077E48">
                                <w:pPr>
                                  <w:jc w:val="left"/>
                                  <w:rPr>
                                    <w:rFonts w:cs="Arial"/>
                                    <w:b/>
                                    <w:color w:val="000000" w:themeColor="text1"/>
                                    <w:sz w:val="16"/>
                                  </w:rPr>
                                </w:pPr>
                                <w:r w:rsidRPr="00394D50">
                                  <w:rPr>
                                    <w:rFonts w:cs="Arial"/>
                                    <w:b/>
                                    <w:color w:val="000000" w:themeColor="text1"/>
                                    <w:sz w:val="16"/>
                                  </w:rPr>
                                  <w:t>Área de influencia de un medio</w:t>
                                </w:r>
                              </w:p>
                            </w:txbxContent>
                          </v:textbox>
                        </v:rect>
                      </v:group>
                      <v:group id="2851 Grupo" o:spid="_x0000_s1159" style="position:absolute;left:17716;top:21082;width:14961;height:9644" coordorigin="3492" coordsize="14960,96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">
                        <v:group id="2852 Grupo" o:spid="_x0000_s1160" style="position:absolute;left:3492;width:14961;height:9644" coordorigin="3492" coordsize="14960,96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">
                          <v:shape id="2853 Forma libre" o:spid="_x0000_s1161" style="position:absolute;left:14033;top:2222;width:4420;height:3569;visibility:visible;mso-wrap-style:square;v-text-anchor:middle" coordsize="702402,5677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" path="m-1,27254l290414,1,509560,769,702402,267794,386338,567789,254208,277847,-1,27254xe" filled="f" strokecolor="#ffc000" strokeweight="2.25pt">
                            <v:path arrowok="t" o:connecttype="custom" o:connectlocs="-1,17130;182732,1;320621,483;441960,168315;243089,356870;159951,174634;-1,17130" o:connectangles="0,0,0,0,0,0,0"/>
                          </v:shape>
                          <v:shape id="2620 Forma libre" o:spid="_x0000_s1162" style="position:absolute;left:4572;width:8470;height:9639;visibility:visible;mso-wrap-style:square;v-text-anchor:middle" coordsize="1345997,153619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" adj="-11796480,,5400" path="m,833933r,336499l182880,1287476r117044,175564l570586,1536192r672998,-234086l1345997,1060704,1243584,716890,1089965,475488,1038759,,680532,29288,380513,329312r65858,234005l219456,716890,,833933xe" filled="f" strokecolor="#f30" strokeweight="1.5pt">
                            <v:stroke joinstyle="miter"/>
                            <v:formulas/>
                            <v:path arrowok="t" o:connecttype="custom" o:connectlocs="0,523276;0,734423;115094,807866;188754,918029;359093,963930;782637,817046;847090,665571;782637,449834;685959,298359;653733,0;428286,18378;239472,206637;280919,353470;138112,449834;0,523276" o:connectangles="0,0,0,0,0,0,0,0,0,0,0,0,0,0,0" textboxrect="0,0,1345997,1536192"/>
                            <v:textbox>
                              <w:txbxContent>
                                <w:p w14:paraId="00B0EB36" w14:textId="77777777" w:rsidR="00D55F13" w:rsidRPr="00394D50" w:rsidRDefault="00D55F13" w:rsidP="00077E48">
                                  <w:pPr>
                                    <w:jc w:val="center"/>
                                    <w:rPr>
                                      <w:color w:val="0D0D0D" w:themeColor="text1" w:themeTint="F2"/>
                                    </w:rPr>
                                  </w:pPr>
                                </w:p>
                              </w:txbxContent>
                            </v:textbox>
                          </v:shape>
                          <v:shape id="2603 Forma libre" o:spid="_x0000_s1163" style="position:absolute;left:3492;top:190;width:8166;height:8782;visibility:visible;mso-wrap-style:square;v-text-anchor:middle" coordsize="986882,105934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" adj="-11796480,,5400" path="m467054,l986882,357214,927379,542495,637769,626294c504914,712436,236542,1053796,130247,1059346l,659593,197491,188473,467054,xe" filled="f" strokecolor="#00b050" strokeweight="1.5pt">
                            <v:stroke joinstyle="miter"/>
                            <v:formulas/>
                            <v:path arrowok="t" o:connecttype="custom" o:connectlocs="386471,0;816610,296133;767373,449732;527731,519202;107775,878205;0,546807;163417,156245;386471,0" o:connectangles="0,0,0,0,0,0,0,0" textboxrect="0,0,986882,1059346"/>
                            <v:textbox>
                              <w:txbxContent>
                                <w:p w14:paraId="03AC3D77" w14:textId="77777777" w:rsidR="00D55F13" w:rsidRPr="00394D50" w:rsidRDefault="00D55F13" w:rsidP="00077E48">
                                  <w:pPr>
                                    <w:rPr>
                                      <w:color w:val="0D0D0D" w:themeColor="text1" w:themeTint="F2"/>
                                      <w:sz w:val="18"/>
                                    </w:rPr>
                                  </w:pPr>
                                </w:p>
                              </w:txbxContent>
                            </v:textbox>
                          </v:shape>
                          <v:shape id="2608 Forma libre" o:spid="_x0000_s1164" style="position:absolute;left:6286;top:3048;width:7422;height:5248;visibility:visible;mso-wrap-style:square;v-text-anchor:middle" coordsize="1181936,83393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" adj="-11796480,,5400" path="m153620,219456l292608,,446228,117044,919032,268131r262904,268927l848564,680314,548640,826618,58522,833933,,409652,153620,219456xe" filled="f" strokecolor="#365f91 [2404]" strokeweight="1.5pt">
                            <v:stroke joinstyle="miter"/>
                            <v:formulas/>
                            <v:path arrowok="t" o:connecttype="custom" o:connectlocs="96471,138130;183754,0;280225,73670;577139,168767;742239,338035;532886,428203;344538,520290;36751,524894;0,257843;96471,138130" o:connectangles="0,0,0,0,0,0,0,0,0,0" textboxrect="0,0,1181936,833933"/>
                            <v:textbox>
                              <w:txbxContent>
                                <w:p w14:paraId="0E64AF75" w14:textId="77777777" w:rsidR="00D55F13" w:rsidRPr="00394D50" w:rsidRDefault="00D55F13" w:rsidP="00077E48">
                                  <w:pPr>
                                    <w:jc w:val="center"/>
                                    <w:rPr>
                                      <w:color w:val="0D0D0D" w:themeColor="text1" w:themeTint="F2"/>
                                      <w:sz w:val="18"/>
                                    </w:rPr>
                                  </w:pPr>
                                </w:p>
                              </w:txbxContent>
                            </v:textbox>
                          </v:shape>
                          <v:shape id="158 Forma libre" o:spid="_x0000_s1165" style="position:absolute;left:3492;width:10215;height:9644;visibility:visible;mso-wrap-style:square;v-text-anchor:middle" coordsize="1623036,15325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" path="m609964,17912l766458,122532,852823,30959,1204608,r51914,471096l1325852,471262v,10014,-50417,19862,-50417,29876l1421989,719379r48722,129242l1623036,1009100r-105989,43653l1418613,1304125,751456,1532569,472583,1457529,352910,1304305v-166831,134879,-86660,82422,-178060,108199l,886780,255294,272356,609964,17912xe" filled="f" strokecolor="#ffc000" strokeweight="2.25pt">
                            <v:path arrowok="t" o:connecttype="custom" o:connectlocs="383889,11272;482381,77109;536736,19482;758137,0;790809,296458;834443,296563;802713,315364;894948,452702;925612,534033;1021480,635022;954774,662492;892824,820680;472939,964438;297427,917216;222109,820793;110044,888882;0,558046;160673,171392;383889,11272" o:connectangles="0,0,0,0,0,0,0,0,0,0,0,0,0,0,0,0,0,0,0"/>
                          </v:shape>
                        </v:group>
                        <v:group id="2621 Grupo" o:spid="_x0000_s1166" style="position:absolute;left:8001;top:6223;width:1200;height:1897" coordorigin="-48441" coordsize="195737,3043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">
                          <v:shape id="2622 Conector" o:spid="_x0000_s1167" type="#_x0000_t120" style="position:absolute;left:75304;width:71992;height:719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" fillcolor="#0d0d0d [3069]" stroked="f" strokeweight="2pt"/>
                          <v:shape id="2623 Cuadro de texto" o:spid="_x0000_s1168" type="#_x0000_t202" style="position:absolute;left:-48441;top:27947;width:131430;height:2763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" filled="f" stroked="f" strokeweight=".5pt">
                            <v:textbox inset="0,0,0,0">
                              <w:txbxContent>
                                <w:p w14:paraId="23D03BB4" w14:textId="77777777" w:rsidR="00D55F13" w:rsidRPr="00394D50" w:rsidRDefault="00D55F13" w:rsidP="00077E48">
                                  <w:pPr>
                                    <w:rPr>
                                      <w:i/>
                                      <w:color w:val="0D0D0D" w:themeColor="text1" w:themeTint="F2"/>
                                    </w:rPr>
                                  </w:pPr>
                                  <w:r w:rsidRPr="00394D50">
                                    <w:rPr>
                                      <w:i/>
                                      <w:color w:val="0D0D0D" w:themeColor="text1" w:themeTint="F2"/>
                                    </w:rPr>
                                    <w:t>i</w:t>
                                  </w:r>
                                </w:p>
                              </w:txbxContent>
                            </v:textbox>
                          </v:shape>
                        </v:group>
                      </v:group>
                    </v:group>
                  </v:group>
                  <v:rect id="134 Rectángulo" o:spid="_x0000_s1169" style="position:absolute;left:1498;top:28479;width:6979;height:33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" filled="f" stroked="f" strokeweight="2pt">
                    <v:textbox inset="0,0,0,0">
                      <w:txbxContent>
                        <w:p w14:paraId="3D8B6A08" w14:textId="6A9EAE63" w:rsidR="00D55F13" w:rsidRPr="00394D50" w:rsidRDefault="00D55F13" w:rsidP="00077E48">
                          <w:pPr>
                            <w:jc w:val="center"/>
                            <w:rPr>
                              <w:rFonts w:cs="Arial"/>
                              <w:b/>
                              <w:color w:val="000000" w:themeColor="text1"/>
                              <w:sz w:val="20"/>
                            </w:rPr>
                          </w:pPr>
                          <w:r w:rsidRPr="00394D50">
                            <w:rPr>
                              <w:rFonts w:cs="Arial"/>
                              <w:b/>
                              <w:color w:val="000000" w:themeColor="text1"/>
                              <w:sz w:val="20"/>
                            </w:rPr>
                            <w:t>Escenario 2</w:t>
                          </w:r>
                        </w:p>
                      </w:txbxContent>
                    </v:textbox>
                  </v:rect>
                </v:group>
                <v:group id="2862 Grupo" o:spid="_x0000_s1170" style="position:absolute;width:45910;height:33020" coordsize="45910,33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">
                  <v:group id="2863 Grupo" o:spid="_x0000_s1171" style="position:absolute;width:45910;height:33020" coordsize="45910,33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">
                    <v:rect id="2864 Rectángulo" o:spid="_x0000_s1172" style="position:absolute;width:45910;height:330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" filled="f" strokecolor="black [3213]" strokeweight=".25pt"/>
                    <v:group id="2865 Grupo" o:spid="_x0000_s1173" style="position:absolute;left:1128;top:712;width:44494;height:31334" coordsize="44494,31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">
                      <v:group id="2866 Grupo" o:spid="_x0000_s1174" style="position:absolute;left:16269;top:21197;width:14332;height:10137" coordsize="14331,10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">
                        <v:group id="2867 Grupo" o:spid="_x0000_s1175" style="position:absolute;width:14291;height:10123" coordorigin="1900" coordsize="14291,101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">
                          <v:shape id="2619 Forma libre" o:spid="_x0000_s1176" style="position:absolute;left:5640;top:890;width:10551;height:7171;visibility:visible;mso-wrap-style:square;v-text-anchor:middle" coordsize="1675181,114117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" adj="-11796480,,5400" path="m153620,526694l292608,307238,446228,424282,651053,285293,811988,80467,1272845,r285293,29261l1675181,248717r-182880,73152l1463040,504749r95098,241401l1331367,892454,848564,987552,548640,1133856r-490118,7315l,716890,153620,526694xe" filled="f" strokecolor="#365f91 [2404]" strokeweight="1.5pt">
                            <v:stroke joinstyle="miter"/>
                            <v:formulas/>
                            <v:path arrowok="t" o:connecttype="custom" o:connectlocs="96756,330984;184296,193074;281052,266627;410058,179283;511422,50567;801687,0;981376,18388;1055094,156298;939909,202268;921479,317194;981376,468894;838547,560835;534459,620596;345555,712536;36859,717133;0,450507;96756,330984" o:connectangles="0,0,0,0,0,0,0,0,0,0,0,0,0,0,0,0,0" textboxrect="0,0,1675181,1141171"/>
                            <v:textbox>
                              <w:txbxContent>
                                <w:p w14:paraId="5C9E51B8" w14:textId="77777777" w:rsidR="00D55F13" w:rsidRPr="00394D50" w:rsidRDefault="00D55F13" w:rsidP="00077E48">
                                  <w:pPr>
                                    <w:jc w:val="center"/>
                                    <w:rPr>
                                      <w:color w:val="0D0D0D" w:themeColor="text1" w:themeTint="F2"/>
                                    </w:rPr>
                                  </w:pPr>
                                </w:p>
                              </w:txbxContent>
                            </v:textbox>
                          </v:shape>
                          <v:shape id="2620 Forma libre" o:spid="_x0000_s1177" style="position:absolute;left:4394;width:8471;height:9652;visibility:visible;mso-wrap-style:square;v-text-anchor:middle" coordsize="1345997,153619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" adj="-11796480,,5400" path="m,833933r,336499l182880,1287476r117044,175564l570586,1536192r672998,-234086l1345997,1060704,1243584,716890,1089965,475488,1038759,,680532,29288,380513,329312r65858,234005l219456,716890,,833933xe" filled="f" strokecolor="#f30" strokeweight="1.5pt">
                            <v:stroke joinstyle="miter"/>
                            <v:formulas/>
                            <v:path arrowok="t" o:connecttype="custom" o:connectlocs="0,523966;0,735390;115094,808930;188754,919238;359093,965200;782637,818122;847090,666448;782637,450427;685959,298752;653733,0;428286,18402;239472,206909;280919,353936;138112,450427;0,523966" o:connectangles="0,0,0,0,0,0,0,0,0,0,0,0,0,0,0" textboxrect="0,0,1345997,1536192"/>
                            <v:textbox>
                              <w:txbxContent>
                                <w:p w14:paraId="037CEECB" w14:textId="77777777" w:rsidR="00D55F13" w:rsidRPr="00394D50" w:rsidRDefault="00D55F13" w:rsidP="00077E48">
                                  <w:pPr>
                                    <w:jc w:val="center"/>
                                    <w:rPr>
                                      <w:color w:val="0D0D0D" w:themeColor="text1" w:themeTint="F2"/>
                                    </w:rPr>
                                  </w:pPr>
                                </w:p>
                              </w:txbxContent>
                            </v:textbox>
                          </v:shape>
                          <v:shape id="2618 Forma libre" o:spid="_x0000_s1178" style="position:absolute;left:1900;top:59;width:13206;height:10064;visibility:visible;mso-wrap-style:square;v-text-anchor:middle" coordsize="1591380,121567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" adj="-11796480,,5400" path="m467054,r857405,594624l1303317,652765r288063,272206l1226677,1154892,822332,1025396r-179680,4192l576554,1215676,130247,1059346,,659593,197491,188473,467054,xe" filled="f" strokecolor="#00b050" strokeweight="1.5pt">
                            <v:stroke joinstyle="miter"/>
                            <v:formulas/>
                            <v:path arrowok="t" o:connecttype="custom" o:connectlocs="387602,0;1099152,492290;1081606,540425;1320666,765785;1018004,956137;682443,848927;533329,852397;478475,1006460;108090,877034;0,546078;163895,156037;387602,0" o:connectangles="0,0,0,0,0,0,0,0,0,0,0,0" textboxrect="0,0,1591380,1215676"/>
                            <v:textbox>
                              <w:txbxContent>
                                <w:p w14:paraId="68327F64" w14:textId="77777777" w:rsidR="00D55F13" w:rsidRPr="00394D50" w:rsidRDefault="00D55F13" w:rsidP="00077E48">
                                  <w:pPr>
                                    <w:rPr>
                                      <w:color w:val="0D0D0D" w:themeColor="text1" w:themeTint="F2"/>
                                    </w:rPr>
                                  </w:pPr>
                                </w:p>
                              </w:txbxContent>
                            </v:textbox>
                          </v:shape>
                          <v:group id="2871 Grupo" o:spid="_x0000_s1179" style="position:absolute;left:7897;top:6234;width:1213;height:1903" coordsize="121345,190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">
                            <v:shape id="2622 Conector" o:spid="_x0000_s1180" type="#_x0000_t120" style="position:absolute;left:77190;width:44155;height:449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" fillcolor="#0d0d0d [3069]" stroked="f" strokeweight="2pt"/>
                            <v:shape id="2623 Cuadro de texto" o:spid="_x0000_s1181" type="#_x0000_t202" style="position:absolute;top:17813;width:80610;height:1725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" filled="f" stroked="f" strokeweight=".5pt">
                              <v:textbox inset="0,0,0,0">
                                <w:txbxContent>
                                  <w:p w14:paraId="6FC12841" w14:textId="77777777" w:rsidR="00D55F13" w:rsidRPr="00394D50" w:rsidRDefault="00D55F13" w:rsidP="00077E48">
                                    <w:pPr>
                                      <w:rPr>
                                        <w:i/>
                                        <w:color w:val="0D0D0D" w:themeColor="text1" w:themeTint="F2"/>
                                      </w:rPr>
                                    </w:pPr>
                                    <w:r w:rsidRPr="00394D50">
                                      <w:rPr>
                                        <w:i/>
                                        <w:color w:val="0D0D0D" w:themeColor="text1" w:themeTint="F2"/>
                                      </w:rPr>
                                      <w:t>i</w:t>
                                    </w:r>
                                  </w:p>
                                </w:txbxContent>
                              </v:textbox>
                            </v:shape>
                          </v:group>
                        </v:group>
                        <v:shape id="158 Forma libre" o:spid="_x0000_s1182" style="position:absolute;top:59;width:14331;height:10077;visibility:visible;mso-wrap-style:square;v-text-anchor:middle" coordsize="2276932,16002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" path="m616382,1905l905332,199415,1077239,27508,1432161,r25469,199415l1876573,127870r283316,31312l2276932,378638r-182021,73325l2059489,628527r97023,247434l1925802,1026033v-37117,24385,12974,-3726,8008,-3761c1928844,1022238,1910004,1023388,1896006,1025826r198905,190155l1611249,1519809,1296695,1417396,967705,1534233,799262,1490548r-40234,109728l173812,1399108,,870550,261594,246964,616382,1905xe" filled="f" strokecolor="#ffc000" strokeweight="2.25pt">
                          <v:path arrowok="t" o:connecttype="custom" o:connectlocs="387976,1200;569853,125578;678059,17323;901461,0;917492,125578;1181193,80524;1359523,100242;1433195,238440;1318623,284615;1296327,395803;1357398,551620;1212179,646125;1217220,643757;1193424,645995;1318623,765741;1014187,957071;816193,892579;609113,966155;503088,938645;477764,1007744;109404,881062;0,548213;164658,155521;387976,1200" o:connectangles="0,0,0,0,0,0,0,0,0,0,0,0,0,0,0,0,0,0,0,0,0,0,0,0"/>
                        </v:shape>
                      </v:group>
                      <v:group id="2875 Grupo" o:spid="_x0000_s1183" style="position:absolute;top:2018;width:43660;height:10080" coordsize="43660,100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">
                        <v:group id="2876 Grupo" o:spid="_x0000_s1184" style="position:absolute;width:13171;height:10079" coordsize="13171,100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">
                          <v:shape id="2603 Forma libre" o:spid="_x0000_s1185" style="position:absolute;width:13171;height:10079;visibility:visible;mso-wrap-style:square;v-text-anchor:middle" coordsize="1591380,121567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" adj="-11796480,,5400" path="m467054,r857405,594624l1303317,652765r288063,272206l1226677,1154892,822332,1025396r-179680,4192l576554,1215676,130247,1059346,,659593,197491,188473,467054,xe" filled="f" strokecolor="#00b050" strokeweight="1.5pt">
                            <v:stroke joinstyle="miter"/>
                            <v:formulas/>
                            <v:path arrowok="t" o:connecttype="custom" o:connectlocs="386563,0;1096205,493036;1078706,541244;1317125,766945;1015274,957586;680613,850213;531899,853689;477192,1007985;107801,878363;0,546905;163456,156274;386563,0" o:connectangles="0,0,0,0,0,0,0,0,0,0,0,0" textboxrect="0,0,1591380,1215676"/>
                            <v:textbox>
                              <w:txbxContent>
                                <w:p w14:paraId="01C48AA9" w14:textId="77777777" w:rsidR="00D55F13" w:rsidRPr="00394D50" w:rsidRDefault="00D55F13" w:rsidP="00077E48">
                                  <w:pPr>
                                    <w:rPr>
                                      <w:color w:val="0D0D0D" w:themeColor="text1" w:themeTint="F2"/>
                                      <w:sz w:val="18"/>
                                    </w:rPr>
                                  </w:pPr>
                                </w:p>
                              </w:txbxContent>
                            </v:textbox>
                          </v:shape>
                          <v:shape id="2604 Cuadro de texto" o:spid="_x0000_s1186" type="#_x0000_t202" style="position:absolute;left:4631;top:6234;width:631;height:17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" filled="f" stroked="f" strokeweight=".5pt">
                            <v:textbox inset="0,0,0,0">
                              <w:txbxContent>
                                <w:p w14:paraId="1290081C" w14:textId="77777777" w:rsidR="00D55F13" w:rsidRPr="00394D50" w:rsidRDefault="00D55F13" w:rsidP="00077E48">
                                  <w:pPr>
                                    <w:rPr>
                                      <w:i/>
                                    </w:rPr>
                                  </w:pPr>
                                  <w:r w:rsidRPr="00394D50">
                                    <w:rPr>
                                      <w:i/>
                                    </w:rPr>
                                    <w:t>i</w:t>
                                  </w:r>
                                </w:p>
                              </w:txbxContent>
                            </v:textbox>
                          </v:shape>
                          <v:shape id="2605 Conector" o:spid="_x0000_s1187" type="#_x0000_t120" style="position:absolute;left:5522;top:6175;width:452;height:4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" fillcolor="#0d0d0d [3069]" stroked="f" strokeweight="2pt"/>
                        </v:group>
                        <v:group id="2880 Grupo" o:spid="_x0000_s1188" style="position:absolute;left:19891;top:1009;width:10515;height:7182" coordsize="10515,71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">
                          <v:shape id="2608 Forma libre" o:spid="_x0000_s1189" style="position:absolute;width:10515;height:7181;visibility:visible;mso-wrap-style:square;v-text-anchor:middle" coordsize="1675181,114117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" adj="-11796480,,5400" path="m153620,526694l292608,307238,446228,424282,651053,285293,811988,80467,1272845,r285293,29261l1675181,248717r-182880,73152l1463040,504749r95098,241401l1331367,892454,848564,987552,548640,1133856r-490118,7315l,716890,153620,526694xe" filled="f" strokecolor="#365f91 [2404]" strokeweight="1.5pt">
                            <v:stroke joinstyle="miter"/>
                            <v:formulas/>
                            <v:path arrowok="t" o:connecttype="custom" o:connectlocs="96432,331470;183679,193357;280110,267018;408685,179546;509709,50641;799002,0;978089,18415;1051560,156528;936761,202565;918393,317659;978089,469582;835738,561657;532668,621506;344397,713581;36736,718185;0,451168;96432,331470" o:connectangles="0,0,0,0,0,0,0,0,0,0,0,0,0,0,0,0,0" textboxrect="0,0,1675181,1141171"/>
                            <v:textbox>
                              <w:txbxContent>
                                <w:p w14:paraId="5264F510" w14:textId="77777777" w:rsidR="00D55F13" w:rsidRPr="00394D50" w:rsidRDefault="00D55F13" w:rsidP="00077E48">
                                  <w:pPr>
                                    <w:jc w:val="center"/>
                                    <w:rPr>
                                      <w:color w:val="0D0D0D" w:themeColor="text1" w:themeTint="F2"/>
                                      <w:sz w:val="18"/>
                                    </w:rPr>
                                  </w:pPr>
                                </w:p>
                              </w:txbxContent>
                            </v:textbox>
                          </v:shape>
                          <v:group id="2882 Grupo" o:spid="_x0000_s1190" style="position:absolute;left:1840;top:5106;width:1284;height:1758" coordsize="128349,1758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">
                            <v:shape id="2609 Cuadro de texto" o:spid="_x0000_s1191" type="#_x0000_t202" style="position:absolute;top:17813;width:82707;height:1580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" filled="f" stroked="f" strokeweight=".5pt">
                              <v:textbox inset="0,0,0,0">
                                <w:txbxContent>
                                  <w:p w14:paraId="3A4B8007" w14:textId="77777777" w:rsidR="00D55F13" w:rsidRPr="00394D50" w:rsidRDefault="00D55F13" w:rsidP="00077E48">
                                    <w:pPr>
                                      <w:rPr>
                                        <w:i/>
                                      </w:rPr>
                                    </w:pPr>
                                    <w:r w:rsidRPr="00394D50">
                                      <w:rPr>
                                        <w:i/>
                                      </w:rPr>
                                      <w:t>i</w:t>
                                    </w:r>
                                  </w:p>
                                </w:txbxContent>
                              </v:textbox>
                            </v:shape>
                            <v:shape id="2610 Conector" o:spid="_x0000_s1192" type="#_x0000_t120" style="position:absolute;left:83128;width:45221;height:453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" fillcolor="#0d0d0d [3069]" stroked="f" strokeweight="2pt"/>
                          </v:group>
                        </v:group>
                        <v:group id="2885 Grupo" o:spid="_x0000_s1193" style="position:absolute;left:35210;width:8450;height:9662" coordsize="8450,96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">
                          <v:shape id="2613 Forma libre" o:spid="_x0000_s1194" style="position:absolute;width:8450;height:9662;visibility:visible;mso-wrap-style:square;v-text-anchor:middle" coordsize="1345997,153619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" adj="-11796480,,5400" path="m,833933r,336499l182880,1287476r117044,175564l570586,1536192r672998,-234086l1345997,1060704,1243584,716890,1089965,475488,1038759,,680532,29288,380513,329312r65858,234005l219456,716890,,833933xe" filled="f" strokecolor="#f30" strokeweight="1.5pt">
                            <v:stroke joinstyle="miter"/>
                            <v:formulas/>
                            <v:path arrowok="t" o:connecttype="custom" o:connectlocs="0,524547;0,736206;114812,809828;188291,920258;358212,966271;780718,819030;845013,667187;780718,450927;684277,299084;652130,0;427236,18422;238885,207139;280230,354329;137774,450927;0,524547" o:connectangles="0,0,0,0,0,0,0,0,0,0,0,0,0,0,0" textboxrect="0,0,1345997,1536192"/>
                            <v:textbox>
                              <w:txbxContent>
                                <w:p w14:paraId="00E2DCFC" w14:textId="77777777" w:rsidR="00D55F13" w:rsidRPr="00394D50" w:rsidRDefault="00D55F13" w:rsidP="00077E48">
                                  <w:pPr>
                                    <w:jc w:val="center"/>
                                    <w:rPr>
                                      <w:color w:val="0D0D0D" w:themeColor="text1" w:themeTint="F2"/>
                                      <w:sz w:val="18"/>
                                    </w:rPr>
                                  </w:pPr>
                                </w:p>
                              </w:txbxContent>
                            </v:textbox>
                          </v:shape>
                          <v:shape id="2615 Conector" o:spid="_x0000_s1195" type="#_x0000_t120" style="position:absolute;left:5343;top:6056;width:451;height:4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" fillcolor="#0d0d0d [3069]" stroked="f" strokeweight="2pt"/>
                          <v:shape id="2614 Cuadro de texto" o:spid="_x0000_s1196" type="#_x0000_t202" style="position:absolute;left:4572;top:6293;width:595;height:21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" filled="f" stroked="f" strokeweight=".5pt">
                            <v:textbox inset="0,0,0,0">
                              <w:txbxContent>
                                <w:p w14:paraId="4EBF9606" w14:textId="77777777" w:rsidR="00D55F13" w:rsidRPr="00394D50" w:rsidRDefault="00D55F13" w:rsidP="00077E48">
                                  <w:pPr>
                                    <w:rPr>
                                      <w:i/>
                                    </w:rPr>
                                  </w:pPr>
                                  <w:r w:rsidRPr="00394D50">
                                    <w:rPr>
                                      <w:i/>
                                    </w:rPr>
                                    <w:t>i</w:t>
                                  </w:r>
                                </w:p>
                              </w:txbxContent>
                            </v:textbox>
                          </v:shape>
                        </v:group>
                      </v:group>
                      <v:group id="2889 Grupo" o:spid="_x0000_s1197" style="position:absolute;left:12884;top:11400;width:22037;height:6751" coordsize="22036,6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">
                        <v:shape id="2659 Flecha derecha" o:spid="_x0000_s1198" type="#_x0000_t13" style="position:absolute;left:7731;top:2363;width:6365;height:164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" adj="14844" fillcolor="#938953 [1614]" strokecolor="#938953 [1614]" strokeweight="2pt"/>
                        <v:shape id="2660 Flecha derecha" o:spid="_x0000_s1199" type="#_x0000_t13" style="position:absolute;left:18033;top:2747;width:6366;height:1641;rotation:8790347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" adj="14844" fillcolor="#938953 [1614]" strokecolor="#938953 [1614]" strokeweight="2pt"/>
                        <v:shape id="2661 Flecha derecha" o:spid="_x0000_s1200" type="#_x0000_t13" style="position:absolute;left:-2363;top:2719;width:6365;height:1640;rotation:318899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" adj="14844" fillcolor="#938953 [1614]" strokecolor="#938953 [1614]" strokeweight="2pt"/>
                      </v:group>
                      <v:group id="2893 Grupo" o:spid="_x0000_s1201" style="position:absolute;left:14369;top:19000;width:22169;height:1617" coordsize="22169,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">
                        <v:roundrect id="133 Rectángulo redondeado" o:spid="_x0000_s1202" style="position:absolute;width:3235;height:161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" filled="f" strokecolor="#ffc000" strokeweight="2.25pt">
                          <v:textbox>
                            <w:txbxContent>
                              <w:p w14:paraId="27C73DD6" w14:textId="77777777" w:rsidR="00D55F13" w:rsidRPr="00394D50" w:rsidRDefault="00D55F13" w:rsidP="00077E48">
                                <w:pPr>
                                  <w:rPr>
                                    <w:color w:val="0D0D0D" w:themeColor="text1" w:themeTint="F2"/>
                                  </w:rPr>
                                </w:pPr>
                              </w:p>
                            </w:txbxContent>
                          </v:textbox>
                        </v:roundrect>
                        <v:rect id="134 Rectángulo" o:spid="_x0000_s1203" style="position:absolute;left:4393;top:237;width:17776;height:13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" filled="f" stroked="f" strokeweight="2pt">
                          <v:textbox inset="0,0,0,0">
                            <w:txbxContent>
                              <w:p w14:paraId="798F83AA" w14:textId="77777777" w:rsidR="00D55F13" w:rsidRPr="00394D50" w:rsidRDefault="00D55F13" w:rsidP="00077E48">
                                <w:pPr>
                                  <w:jc w:val="left"/>
                                  <w:rPr>
                                    <w:rFonts w:cs="Arial"/>
                                    <w:b/>
                                    <w:color w:val="000000" w:themeColor="text1"/>
                                    <w:sz w:val="16"/>
                                  </w:rPr>
                                </w:pPr>
                                <w:r w:rsidRPr="00394D50">
                                  <w:rPr>
                                    <w:rFonts w:cs="Arial"/>
                                    <w:b/>
                                    <w:color w:val="000000" w:themeColor="text1"/>
                                    <w:sz w:val="16"/>
                                  </w:rPr>
                                  <w:t>Área de influencia de un medio</w:t>
                                </w:r>
                              </w:p>
                            </w:txbxContent>
                          </v:textbox>
                        </v:rect>
                      </v:group>
                      <v:group id="2896 Grupo" o:spid="_x0000_s1204" style="position:absolute;left:1009;width:43485;height:1301" coordsize="43484,13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">
                        <v:rect id="2669 Rectángulo" o:spid="_x0000_s1205" style="position:absolute;left:18415;width:9004;height:13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" filled="f" stroked="f" strokeweight="2pt">
                          <v:textbox inset="0,0,0,0">
                            <w:txbxContent>
                              <w:p w14:paraId="4D7E6208" w14:textId="77777777" w:rsidR="00D55F13" w:rsidRPr="00394D50" w:rsidRDefault="00D55F13" w:rsidP="00077E48">
                                <w:pPr>
                                  <w:jc w:val="left"/>
                                  <w:rPr>
                                    <w:rFonts w:cs="Arial"/>
                                    <w:b/>
                                    <w:color w:val="365F91" w:themeColor="accent1" w:themeShade="BF"/>
                                    <w:sz w:val="16"/>
                                  </w:rPr>
                                </w:pPr>
                                <w:r w:rsidRPr="00394D50">
                                  <w:rPr>
                                    <w:rFonts w:cs="Arial"/>
                                    <w:b/>
                                    <w:color w:val="365F91" w:themeColor="accent1" w:themeShade="BF"/>
                                    <w:sz w:val="16"/>
                                  </w:rPr>
                                  <w:t>Componente B</w:t>
                                </w:r>
                              </w:p>
                            </w:txbxContent>
                          </v:textbox>
                        </v:rect>
                        <v:rect id="2672 Rectángulo" o:spid="_x0000_s1206" style="position:absolute;left:34480;width:9004;height:13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" filled="f" stroked="f" strokeweight="2pt">
                          <v:textbox inset="0,0,0,0">
                            <w:txbxContent>
                              <w:p w14:paraId="4AA0938C" w14:textId="77777777" w:rsidR="00D55F13" w:rsidRPr="00394D50" w:rsidRDefault="00D55F13" w:rsidP="00077E48">
                                <w:pPr>
                                  <w:jc w:val="left"/>
                                  <w:rPr>
                                    <w:rFonts w:cs="Arial"/>
                                    <w:b/>
                                    <w:color w:val="FF0000"/>
                                    <w:sz w:val="16"/>
                                  </w:rPr>
                                </w:pPr>
                                <w:r w:rsidRPr="00394D50">
                                  <w:rPr>
                                    <w:rFonts w:cs="Arial"/>
                                    <w:b/>
                                    <w:color w:val="FF0000"/>
                                    <w:sz w:val="16"/>
                                  </w:rPr>
                                  <w:t>Componente C</w:t>
                                </w:r>
                              </w:p>
                            </w:txbxContent>
                          </v:textbox>
                        </v:rect>
                        <v:rect id="2675 Rectángulo" o:spid="_x0000_s1207" style="position:absolute;width:9004;height:13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" filled="f" stroked="f" strokeweight="2pt">
                          <v:textbox inset="0,0,0,0">
                            <w:txbxContent>
                              <w:p w14:paraId="4FF99760" w14:textId="77777777" w:rsidR="00D55F13" w:rsidRPr="00394D50" w:rsidRDefault="00D55F13" w:rsidP="00077E48">
                                <w:pPr>
                                  <w:jc w:val="left"/>
                                  <w:rPr>
                                    <w:rFonts w:cs="Arial"/>
                                    <w:b/>
                                    <w:color w:val="00B050"/>
                                    <w:sz w:val="16"/>
                                  </w:rPr>
                                </w:pPr>
                                <w:r w:rsidRPr="00394D50">
                                  <w:rPr>
                                    <w:rFonts w:cs="Arial"/>
                                    <w:b/>
                                    <w:color w:val="00B050"/>
                                    <w:sz w:val="16"/>
                                  </w:rPr>
                                  <w:t>Componente A</w:t>
                                </w:r>
                              </w:p>
                            </w:txbxContent>
                          </v:textbox>
                        </v:rect>
                      </v:group>
                    </v:group>
                  </v:group>
                  <v:rect id="134 Rectángulo" o:spid="_x0000_s1208" style="position:absolute;left:1699;top:28181;width:6778;height:33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" filled="f" stroked="f" strokeweight="2pt">
                    <v:textbox inset="0,0,0,0">
                      <w:txbxContent>
                        <w:p w14:paraId="3A10DA81" w14:textId="64950113" w:rsidR="00D55F13" w:rsidRPr="00394D50" w:rsidRDefault="00D55F13" w:rsidP="00077E48">
                          <w:pPr>
                            <w:jc w:val="center"/>
                            <w:rPr>
                              <w:rFonts w:cs="Arial"/>
                              <w:b/>
                              <w:color w:val="000000" w:themeColor="text1"/>
                              <w:sz w:val="20"/>
                            </w:rPr>
                          </w:pPr>
                          <w:r w:rsidRPr="00394D50">
                            <w:rPr>
                              <w:rFonts w:cs="Arial"/>
                              <w:b/>
                              <w:color w:val="000000" w:themeColor="text1"/>
                              <w:sz w:val="20"/>
                            </w:rPr>
                            <w:t>Escenario 1</w:t>
                          </w:r>
                        </w:p>
                      </w:txbxContent>
                    </v:textbox>
                  </v:rect>
                </v:group>
                <w10:wrap type="topAndBottom"/>
              </v:group>
            </w:pict>
          </mc:Fallback>
        </mc:AlternateContent>
      </w:r>
      <w:r w:rsidR="00077E48" w:rsidRPr="00BD1319">
        <w:rPr>
          <w:rFonts w:cs="Arial"/>
          <w:szCs w:val="22"/>
        </w:rPr>
        <w:t xml:space="preserve">Figura </w:t>
      </w:r>
      <w:r w:rsidR="00752A78" w:rsidRPr="00BD1319">
        <w:rPr>
          <w:rFonts w:cs="Arial"/>
          <w:szCs w:val="22"/>
        </w:rPr>
        <w:fldChar w:fldCharType="begin"/>
      </w:r>
      <w:r w:rsidR="00752A78" w:rsidRPr="00BD1319">
        <w:rPr>
          <w:rFonts w:cs="Arial"/>
          <w:szCs w:val="22"/>
        </w:rPr>
        <w:instrText xml:space="preserve"> SEQ Figura \* ARABIC </w:instrText>
      </w:r>
      <w:r w:rsidR="00752A78" w:rsidRPr="00BD1319">
        <w:rPr>
          <w:rFonts w:cs="Arial"/>
          <w:szCs w:val="22"/>
        </w:rPr>
        <w:fldChar w:fldCharType="separate"/>
      </w:r>
      <w:r w:rsidR="00296654" w:rsidRPr="00BD1319">
        <w:rPr>
          <w:rFonts w:cs="Arial"/>
          <w:noProof/>
          <w:szCs w:val="22"/>
        </w:rPr>
        <w:t>5</w:t>
      </w:r>
      <w:r w:rsidR="00752A78" w:rsidRPr="00BD1319">
        <w:rPr>
          <w:rFonts w:cs="Arial"/>
          <w:szCs w:val="22"/>
        </w:rPr>
        <w:fldChar w:fldCharType="end"/>
      </w:r>
      <w:bookmarkEnd w:id="2525"/>
      <w:r w:rsidR="00077E48" w:rsidRPr="00BD1319">
        <w:rPr>
          <w:rFonts w:cs="Arial"/>
          <w:szCs w:val="22"/>
        </w:rPr>
        <w:t>.</w:t>
      </w:r>
      <w:r w:rsidR="00077E48" w:rsidRPr="00BD1319">
        <w:rPr>
          <w:rFonts w:cs="Arial"/>
          <w:b w:val="0"/>
          <w:szCs w:val="22"/>
        </w:rPr>
        <w:t xml:space="preserve"> </w:t>
      </w:r>
      <w:r w:rsidR="00077E48" w:rsidRPr="00BD1319">
        <w:rPr>
          <w:rFonts w:cs="Arial"/>
          <w:b w:val="0"/>
          <w:szCs w:val="22"/>
          <w:lang w:eastAsia="es-CO"/>
        </w:rPr>
        <w:t>Área de influencia de un medio</w:t>
      </w:r>
    </w:p>
    <w:p w14:paraId="2E1D116F" w14:textId="6FC58CCF" w:rsidR="00077E48" w:rsidRPr="00BD1319" w:rsidRDefault="00077E48" w:rsidP="00077E48">
      <w:pPr>
        <w:ind w:left="1134" w:right="902"/>
        <w:rPr>
          <w:sz w:val="20"/>
          <w:szCs w:val="20"/>
        </w:rPr>
      </w:pPr>
      <w:r w:rsidRPr="00BD1319">
        <w:rPr>
          <w:sz w:val="20"/>
          <w:szCs w:val="20"/>
        </w:rPr>
        <w:t>En l</w:t>
      </w:r>
      <w:r w:rsidR="000B248C" w:rsidRPr="00BD1319">
        <w:rPr>
          <w:sz w:val="20"/>
          <w:szCs w:val="20"/>
        </w:rPr>
        <w:t>o</w:t>
      </w:r>
      <w:r w:rsidRPr="00BD1319">
        <w:rPr>
          <w:sz w:val="20"/>
          <w:szCs w:val="20"/>
        </w:rPr>
        <w:t xml:space="preserve">s dos </w:t>
      </w:r>
      <w:r w:rsidR="000B248C" w:rsidRPr="00BD1319">
        <w:rPr>
          <w:sz w:val="20"/>
          <w:szCs w:val="20"/>
        </w:rPr>
        <w:t>escenarios</w:t>
      </w:r>
      <w:r w:rsidRPr="00BD1319">
        <w:rPr>
          <w:sz w:val="20"/>
          <w:szCs w:val="20"/>
        </w:rPr>
        <w:t xml:space="preserve">, la ejecución del proyecto ubicado en el punto </w:t>
      </w:r>
      <w:r w:rsidRPr="00BD1319">
        <w:rPr>
          <w:i/>
          <w:sz w:val="20"/>
          <w:szCs w:val="20"/>
        </w:rPr>
        <w:t>i</w:t>
      </w:r>
      <w:r w:rsidRPr="00BD1319">
        <w:rPr>
          <w:sz w:val="20"/>
          <w:szCs w:val="20"/>
        </w:rPr>
        <w:t xml:space="preserve"> genera impactos ambientales significativos en los componentes A, B y C, que se manifiestan, respectivamente, en las áreas de influencia delimitadas con los colores verde, azul y rojo. El área de influencia del medio conformado por tales componentes está dada por la integración de dichas áreas de influencia, que en la figura se delimita con color amarillo. De forma análoga, la delimitación del área de influencia de un proyecto está dada por la integración de las áreas de influencia de los medios abiótico, biótico y socioeconómico.</w:t>
      </w:r>
    </w:p>
    <w:p w14:paraId="4C1DFA87" w14:textId="77777777" w:rsidR="00077E48" w:rsidRPr="00BD1319" w:rsidRDefault="00077E48" w:rsidP="00077E48">
      <w:pPr>
        <w:numPr>
          <w:ilvl w:val="12"/>
          <w:numId w:val="0"/>
        </w:numPr>
        <w:tabs>
          <w:tab w:val="left" w:pos="-2268"/>
        </w:tabs>
        <w:suppressAutoHyphens/>
        <w:rPr>
          <w:rFonts w:cs="Arial"/>
          <w:spacing w:val="-3"/>
        </w:rPr>
      </w:pPr>
    </w:p>
    <w:p w14:paraId="3520DAF8" w14:textId="5A2C33BC" w:rsidR="00077E48" w:rsidRPr="00BD1319" w:rsidRDefault="00077E48" w:rsidP="00077E48">
      <w:pPr>
        <w:numPr>
          <w:ilvl w:val="12"/>
          <w:numId w:val="0"/>
        </w:numPr>
        <w:tabs>
          <w:tab w:val="left" w:pos="-2268"/>
        </w:tabs>
        <w:suppressAutoHyphens/>
        <w:rPr>
          <w:rFonts w:cs="Arial"/>
          <w:spacing w:val="-3"/>
        </w:rPr>
      </w:pPr>
      <w:r w:rsidRPr="00BD1319">
        <w:rPr>
          <w:rFonts w:cs="Arial"/>
          <w:spacing w:val="-3"/>
        </w:rPr>
        <w:lastRenderedPageBreak/>
        <w:t xml:space="preserve">El proceso continúa con la incorporación de información más detallada y precisa, y con el ajuste de las características de ubicación, trazado, ingeniería, tecnología y diseño del proyecto a fin de evitar la generación de ciertos impactos, verificando de forma simultánea la manifestación espacial de los impactos ambientales significativos </w:t>
      </w:r>
      <w:r w:rsidR="00ED1027" w:rsidRPr="00BD1319">
        <w:rPr>
          <w:rFonts w:cs="Arial"/>
          <w:spacing w:val="-3"/>
        </w:rPr>
        <w:t xml:space="preserve">previstos </w:t>
      </w:r>
      <w:r w:rsidRPr="00BD1319">
        <w:rPr>
          <w:rFonts w:cs="Arial"/>
          <w:spacing w:val="-3"/>
        </w:rPr>
        <w:t xml:space="preserve">en cada uno de los escenarios </w:t>
      </w:r>
      <w:r w:rsidR="0069169A" w:rsidRPr="00BD1319">
        <w:rPr>
          <w:rFonts w:cs="Arial"/>
          <w:spacing w:val="-3"/>
        </w:rPr>
        <w:t xml:space="preserve">contemplados </w:t>
      </w:r>
      <w:r w:rsidRPr="00BD1319">
        <w:rPr>
          <w:rFonts w:cs="Arial"/>
          <w:spacing w:val="-3"/>
        </w:rPr>
        <w:t>en el proceso iterativo, afinando gradualmente, la delimitación del área de influencia. Durante este proceso iterativo se ratifica la significancia de los impactos identificados previamente, se descartan impactos que finalmente no tienen la significancia inicialmente considerada y se identifican nuevos impactos significativos que no fueron contemplados en instancias previas, y resultado de ello, se ajusta la ubicación, extensión y forma del área de influencia que se delimitó de manera preliminar.</w:t>
      </w:r>
    </w:p>
    <w:p w14:paraId="487D3256" w14:textId="77777777" w:rsidR="00077E48" w:rsidRPr="00BD1319" w:rsidRDefault="00077E48" w:rsidP="00077E48">
      <w:pPr>
        <w:numPr>
          <w:ilvl w:val="12"/>
          <w:numId w:val="0"/>
        </w:numPr>
        <w:tabs>
          <w:tab w:val="left" w:pos="-2268"/>
        </w:tabs>
        <w:suppressAutoHyphens/>
        <w:rPr>
          <w:rFonts w:cs="Arial"/>
          <w:spacing w:val="-3"/>
        </w:rPr>
      </w:pPr>
    </w:p>
    <w:p w14:paraId="0600E9B5" w14:textId="1ACF3665" w:rsidR="00077E48" w:rsidRPr="00BD1319" w:rsidRDefault="00077E48" w:rsidP="00077E48">
      <w:pPr>
        <w:numPr>
          <w:ilvl w:val="12"/>
          <w:numId w:val="0"/>
        </w:numPr>
        <w:tabs>
          <w:tab w:val="left" w:pos="-2268"/>
        </w:tabs>
        <w:suppressAutoHyphens/>
        <w:rPr>
          <w:rFonts w:cs="Arial"/>
          <w:spacing w:val="-3"/>
        </w:rPr>
      </w:pPr>
      <w:r w:rsidRPr="00BD1319">
        <w:rPr>
          <w:rFonts w:cs="Arial"/>
          <w:spacing w:val="-3"/>
        </w:rPr>
        <w:t xml:space="preserve">Esta sucesión de eventos de delimitación, caracterización y evaluación culmina cuando se delimita una única superficie que satisface tanto la definición de área de influencia de un proyecto, obra o actividad, como el objetivo del proyecto en estructuración, en la medida en que </w:t>
      </w:r>
      <w:r w:rsidR="0069169A" w:rsidRPr="00BD1319">
        <w:rPr>
          <w:rFonts w:cs="Arial"/>
          <w:spacing w:val="-3"/>
        </w:rPr>
        <w:t xml:space="preserve">el área de influencia </w:t>
      </w:r>
      <w:r w:rsidRPr="00BD1319">
        <w:rPr>
          <w:rFonts w:cs="Arial"/>
          <w:spacing w:val="-3"/>
        </w:rPr>
        <w:t>depende de las características propias de éste y de las condiciones ambientales específicas de la zona en la que se plantea su ejecución.</w:t>
      </w:r>
    </w:p>
    <w:p w14:paraId="6C127DC6" w14:textId="77777777" w:rsidR="00077E48" w:rsidRPr="00BD1319" w:rsidRDefault="00077E48" w:rsidP="00077E48">
      <w:pPr>
        <w:numPr>
          <w:ilvl w:val="12"/>
          <w:numId w:val="0"/>
        </w:numPr>
        <w:tabs>
          <w:tab w:val="left" w:pos="-2268"/>
        </w:tabs>
        <w:suppressAutoHyphens/>
        <w:rPr>
          <w:rFonts w:cs="Arial"/>
          <w:spacing w:val="-3"/>
        </w:rPr>
      </w:pPr>
    </w:p>
    <w:p w14:paraId="1C6FF78A" w14:textId="602DDB14" w:rsidR="00077E48" w:rsidRPr="00BD1319" w:rsidRDefault="00077E48" w:rsidP="00077E48">
      <w:pPr>
        <w:numPr>
          <w:ilvl w:val="12"/>
          <w:numId w:val="0"/>
        </w:numPr>
        <w:tabs>
          <w:tab w:val="left" w:pos="-2268"/>
        </w:tabs>
        <w:suppressAutoHyphens/>
        <w:rPr>
          <w:rFonts w:cs="Arial"/>
          <w:spacing w:val="-3"/>
        </w:rPr>
      </w:pPr>
      <w:r w:rsidRPr="00BD1319">
        <w:rPr>
          <w:rFonts w:cs="Arial"/>
          <w:spacing w:val="-3"/>
        </w:rPr>
        <w:t xml:space="preserve">Con el propósito de orientar la obtención de una primera aproximación a la delimitación del área de influencia, en la </w:t>
      </w:r>
      <w:r w:rsidR="004F3A8E" w:rsidRPr="00BD1319">
        <w:rPr>
          <w:rFonts w:cs="Arial"/>
          <w:spacing w:val="-3"/>
        </w:rPr>
        <w:fldChar w:fldCharType="begin"/>
      </w:r>
      <w:r w:rsidR="004F3A8E" w:rsidRPr="00BD1319">
        <w:rPr>
          <w:rFonts w:cs="Arial"/>
          <w:spacing w:val="-3"/>
        </w:rPr>
        <w:instrText xml:space="preserve"> REF _Ref79429661 \h </w:instrText>
      </w:r>
      <w:r w:rsidR="006A4128" w:rsidRPr="00BD1319">
        <w:rPr>
          <w:rFonts w:cs="Arial"/>
          <w:spacing w:val="-3"/>
        </w:rPr>
        <w:instrText xml:space="preserve"> \* MERGEFORMAT </w:instrText>
      </w:r>
      <w:r w:rsidR="004F3A8E" w:rsidRPr="00BD1319">
        <w:rPr>
          <w:rFonts w:cs="Arial"/>
          <w:spacing w:val="-3"/>
        </w:rPr>
      </w:r>
      <w:r w:rsidR="004F3A8E" w:rsidRPr="00BD1319">
        <w:rPr>
          <w:rFonts w:cs="Arial"/>
          <w:spacing w:val="-3"/>
        </w:rPr>
        <w:fldChar w:fldCharType="separate"/>
      </w:r>
      <w:r w:rsidR="00296654" w:rsidRPr="00BD1319">
        <w:t>Tabla 16</w:t>
      </w:r>
      <w:r w:rsidR="004F3A8E" w:rsidRPr="00BD1319">
        <w:rPr>
          <w:rFonts w:cs="Arial"/>
          <w:spacing w:val="-3"/>
        </w:rPr>
        <w:fldChar w:fldCharType="end"/>
      </w:r>
      <w:r w:rsidR="00B923F5" w:rsidRPr="00BD1319">
        <w:rPr>
          <w:rFonts w:cs="Arial"/>
          <w:spacing w:val="-3"/>
        </w:rPr>
        <w:t xml:space="preserve"> </w:t>
      </w:r>
      <w:r w:rsidRPr="00BD1319">
        <w:rPr>
          <w:rFonts w:cs="Arial"/>
          <w:spacing w:val="-3"/>
        </w:rPr>
        <w:t>se relacionan algunas fuentes de información secundaria oficial, de uso generalizado para dicho fin, las cuales están clasificadas según el medio o el componente con el cual están relacionadas. Este listado de información no es exhaustivo, de manera que es posible emplear otras fuentes de información oficial que se consideren pertinentes para cada caso particular.</w:t>
      </w:r>
    </w:p>
    <w:p w14:paraId="0E781E1C" w14:textId="77777777" w:rsidR="00077E48" w:rsidRPr="00BD1319" w:rsidRDefault="00077E48" w:rsidP="00077E48">
      <w:pPr>
        <w:numPr>
          <w:ilvl w:val="12"/>
          <w:numId w:val="0"/>
        </w:numPr>
        <w:tabs>
          <w:tab w:val="left" w:pos="-2268"/>
        </w:tabs>
        <w:suppressAutoHyphens/>
        <w:rPr>
          <w:rFonts w:cs="Arial"/>
          <w:spacing w:val="-3"/>
        </w:rPr>
      </w:pPr>
    </w:p>
    <w:p w14:paraId="3127DBC2" w14:textId="20E4523F" w:rsidR="00077E48" w:rsidRPr="00BD1319" w:rsidRDefault="00077E48" w:rsidP="00077E48">
      <w:pPr>
        <w:pStyle w:val="Descripcin"/>
        <w:jc w:val="center"/>
        <w:rPr>
          <w:b w:val="0"/>
        </w:rPr>
      </w:pPr>
      <w:bookmarkStart w:id="2526" w:name="_Ref79429661"/>
      <w:r w:rsidRPr="00BD1319">
        <w:t xml:space="preserve">Tabla </w:t>
      </w:r>
      <w:fldSimple w:instr=" SEQ Tabla \* ARABIC ">
        <w:r w:rsidR="00296654" w:rsidRPr="00BD1319">
          <w:rPr>
            <w:noProof/>
          </w:rPr>
          <w:t>16</w:t>
        </w:r>
      </w:fldSimple>
      <w:bookmarkEnd w:id="2526"/>
      <w:r w:rsidR="004F3A8E" w:rsidRPr="00BD1319">
        <w:t>.</w:t>
      </w:r>
      <w:r w:rsidRPr="00BD1319">
        <w:rPr>
          <w:b w:val="0"/>
        </w:rPr>
        <w:t xml:space="preserve"> Fuentes de información secundaria por medio o componente</w:t>
      </w:r>
    </w:p>
    <w:tbl>
      <w:tblPr>
        <w:tblStyle w:val="Tablaconcuadrcula"/>
        <w:tblW w:w="0" w:type="auto"/>
        <w:jc w:val="center"/>
        <w:tblLook w:val="04A0" w:firstRow="1" w:lastRow="0" w:firstColumn="1" w:lastColumn="0" w:noHBand="0" w:noVBand="1"/>
      </w:tblPr>
      <w:tblGrid>
        <w:gridCol w:w="2830"/>
        <w:gridCol w:w="5991"/>
      </w:tblGrid>
      <w:tr w:rsidR="00077E48" w:rsidRPr="00BD1319" w14:paraId="49F74170" w14:textId="77777777" w:rsidTr="007F45D3">
        <w:trPr>
          <w:trHeight w:val="661"/>
          <w:tblHeader/>
          <w:jc w:val="center"/>
        </w:trPr>
        <w:tc>
          <w:tcPr>
            <w:tcW w:w="2830" w:type="dxa"/>
            <w:shd w:val="clear" w:color="auto" w:fill="auto"/>
            <w:vAlign w:val="center"/>
          </w:tcPr>
          <w:p w14:paraId="6126752B" w14:textId="77777777" w:rsidR="00077E48" w:rsidRPr="00BD1319" w:rsidRDefault="00077E48" w:rsidP="007F45D3">
            <w:pPr>
              <w:numPr>
                <w:ilvl w:val="12"/>
                <w:numId w:val="0"/>
              </w:numPr>
              <w:tabs>
                <w:tab w:val="left" w:pos="-2268"/>
              </w:tabs>
              <w:suppressAutoHyphens/>
              <w:jc w:val="center"/>
              <w:rPr>
                <w:rFonts w:cs="Arial"/>
                <w:b/>
                <w:spacing w:val="-3"/>
                <w:sz w:val="20"/>
                <w:szCs w:val="20"/>
              </w:rPr>
            </w:pPr>
            <w:r w:rsidRPr="00BD1319">
              <w:rPr>
                <w:rFonts w:cs="Arial"/>
                <w:b/>
                <w:spacing w:val="-3"/>
                <w:sz w:val="20"/>
                <w:szCs w:val="20"/>
              </w:rPr>
              <w:t>Medio o componente</w:t>
            </w:r>
          </w:p>
        </w:tc>
        <w:tc>
          <w:tcPr>
            <w:tcW w:w="5991" w:type="dxa"/>
            <w:shd w:val="clear" w:color="auto" w:fill="auto"/>
            <w:vAlign w:val="center"/>
          </w:tcPr>
          <w:p w14:paraId="1B69EEB4" w14:textId="77777777" w:rsidR="00077E48" w:rsidRPr="00BD1319" w:rsidRDefault="00077E48" w:rsidP="007F45D3">
            <w:pPr>
              <w:numPr>
                <w:ilvl w:val="12"/>
                <w:numId w:val="0"/>
              </w:numPr>
              <w:tabs>
                <w:tab w:val="left" w:pos="-2268"/>
              </w:tabs>
              <w:suppressAutoHyphens/>
              <w:jc w:val="center"/>
              <w:rPr>
                <w:rFonts w:cs="Arial"/>
                <w:b/>
                <w:spacing w:val="-3"/>
                <w:sz w:val="20"/>
                <w:szCs w:val="20"/>
              </w:rPr>
            </w:pPr>
            <w:r w:rsidRPr="00BD1319">
              <w:rPr>
                <w:rFonts w:cs="Arial"/>
                <w:b/>
                <w:spacing w:val="-3"/>
                <w:sz w:val="20"/>
                <w:szCs w:val="20"/>
              </w:rPr>
              <w:t>Fuente de información secundaria</w:t>
            </w:r>
          </w:p>
        </w:tc>
      </w:tr>
      <w:tr w:rsidR="00077E48" w:rsidRPr="00BD1319" w14:paraId="41D82CAA" w14:textId="77777777" w:rsidTr="007F45D3">
        <w:trPr>
          <w:trHeight w:hRule="exact" w:val="567"/>
          <w:jc w:val="center"/>
        </w:trPr>
        <w:tc>
          <w:tcPr>
            <w:tcW w:w="2830" w:type="dxa"/>
            <w:shd w:val="clear" w:color="auto" w:fill="auto"/>
            <w:vAlign w:val="center"/>
          </w:tcPr>
          <w:p w14:paraId="2D963B8F" w14:textId="77777777" w:rsidR="00077E48" w:rsidRPr="00BD1319" w:rsidRDefault="00077E48" w:rsidP="007F45D3">
            <w:pPr>
              <w:numPr>
                <w:ilvl w:val="12"/>
                <w:numId w:val="0"/>
              </w:numPr>
              <w:tabs>
                <w:tab w:val="left" w:pos="-2268"/>
              </w:tabs>
              <w:suppressAutoHyphens/>
              <w:jc w:val="center"/>
              <w:rPr>
                <w:rFonts w:cs="Arial"/>
                <w:spacing w:val="-3"/>
                <w:sz w:val="20"/>
                <w:szCs w:val="20"/>
              </w:rPr>
            </w:pPr>
            <w:r w:rsidRPr="00BD1319">
              <w:rPr>
                <w:rFonts w:cs="Arial"/>
                <w:spacing w:val="-3"/>
                <w:sz w:val="20"/>
                <w:szCs w:val="20"/>
              </w:rPr>
              <w:t>Geológico</w:t>
            </w:r>
          </w:p>
        </w:tc>
        <w:tc>
          <w:tcPr>
            <w:tcW w:w="5991" w:type="dxa"/>
            <w:shd w:val="clear" w:color="auto" w:fill="auto"/>
            <w:vAlign w:val="center"/>
          </w:tcPr>
          <w:p w14:paraId="77779691" w14:textId="77777777" w:rsidR="00077E48" w:rsidRPr="00BD1319" w:rsidRDefault="00077E48" w:rsidP="007F45D3">
            <w:pPr>
              <w:numPr>
                <w:ilvl w:val="12"/>
                <w:numId w:val="0"/>
              </w:numPr>
              <w:tabs>
                <w:tab w:val="left" w:pos="-2268"/>
              </w:tabs>
              <w:suppressAutoHyphens/>
              <w:rPr>
                <w:rFonts w:cs="Arial"/>
                <w:spacing w:val="-3"/>
                <w:sz w:val="20"/>
                <w:szCs w:val="20"/>
              </w:rPr>
            </w:pPr>
            <w:r w:rsidRPr="00BD1319">
              <w:rPr>
                <w:rFonts w:cs="Arial"/>
                <w:spacing w:val="-3"/>
                <w:sz w:val="20"/>
                <w:szCs w:val="20"/>
              </w:rPr>
              <w:t>Mapa Geológico Colombia. Escala 1:100.000. Servicio Geológico Colombiano (SGC).</w:t>
            </w:r>
          </w:p>
        </w:tc>
      </w:tr>
      <w:tr w:rsidR="00077E48" w:rsidRPr="00BD1319" w14:paraId="5FB20EF1" w14:textId="77777777" w:rsidTr="007F45D3">
        <w:trPr>
          <w:trHeight w:hRule="exact" w:val="1138"/>
          <w:jc w:val="center"/>
        </w:trPr>
        <w:tc>
          <w:tcPr>
            <w:tcW w:w="2830" w:type="dxa"/>
            <w:shd w:val="clear" w:color="auto" w:fill="auto"/>
            <w:vAlign w:val="center"/>
          </w:tcPr>
          <w:p w14:paraId="1D36567E" w14:textId="77777777" w:rsidR="00077E48" w:rsidRPr="00BD1319" w:rsidRDefault="00077E48" w:rsidP="007F45D3">
            <w:pPr>
              <w:numPr>
                <w:ilvl w:val="12"/>
                <w:numId w:val="0"/>
              </w:numPr>
              <w:tabs>
                <w:tab w:val="left" w:pos="-2268"/>
              </w:tabs>
              <w:suppressAutoHyphens/>
              <w:jc w:val="center"/>
              <w:rPr>
                <w:rFonts w:cs="Arial"/>
                <w:spacing w:val="-3"/>
                <w:sz w:val="20"/>
                <w:szCs w:val="20"/>
              </w:rPr>
            </w:pPr>
            <w:r w:rsidRPr="00BD1319">
              <w:rPr>
                <w:rFonts w:cs="Arial"/>
                <w:spacing w:val="-3"/>
                <w:sz w:val="20"/>
                <w:szCs w:val="20"/>
              </w:rPr>
              <w:t>Geomorfológico</w:t>
            </w:r>
          </w:p>
        </w:tc>
        <w:tc>
          <w:tcPr>
            <w:tcW w:w="5991" w:type="dxa"/>
            <w:shd w:val="clear" w:color="auto" w:fill="auto"/>
            <w:vAlign w:val="center"/>
          </w:tcPr>
          <w:p w14:paraId="48A0E65B" w14:textId="77777777" w:rsidR="00077E48" w:rsidRPr="00BD1319" w:rsidRDefault="00077E48" w:rsidP="007F45D3">
            <w:pPr>
              <w:numPr>
                <w:ilvl w:val="12"/>
                <w:numId w:val="0"/>
              </w:numPr>
              <w:tabs>
                <w:tab w:val="left" w:pos="-2268"/>
              </w:tabs>
              <w:suppressAutoHyphens/>
              <w:rPr>
                <w:rFonts w:cs="Arial"/>
                <w:spacing w:val="-3"/>
                <w:sz w:val="20"/>
                <w:szCs w:val="20"/>
              </w:rPr>
            </w:pPr>
            <w:r w:rsidRPr="00BD1319">
              <w:rPr>
                <w:rFonts w:cs="Arial"/>
                <w:spacing w:val="-3"/>
                <w:sz w:val="20"/>
                <w:szCs w:val="20"/>
              </w:rPr>
              <w:t>Mapa de Geomorfología de Colombia. Instituto Geográfico Agustín Codazzi (IGAC). Disponible en el Sistema de Información Geográfica para la Planeación y el Ordenamiento Territorial Nacional (SIGOT).</w:t>
            </w:r>
          </w:p>
        </w:tc>
      </w:tr>
      <w:tr w:rsidR="00077E48" w:rsidRPr="00BD1319" w14:paraId="42D60D0B" w14:textId="77777777" w:rsidTr="007F45D3">
        <w:trPr>
          <w:trHeight w:hRule="exact" w:val="884"/>
          <w:jc w:val="center"/>
        </w:trPr>
        <w:tc>
          <w:tcPr>
            <w:tcW w:w="2830" w:type="dxa"/>
            <w:shd w:val="clear" w:color="auto" w:fill="auto"/>
            <w:vAlign w:val="center"/>
          </w:tcPr>
          <w:p w14:paraId="4CF4243E" w14:textId="77777777" w:rsidR="00077E48" w:rsidRPr="00BD1319" w:rsidRDefault="00077E48" w:rsidP="007F45D3">
            <w:pPr>
              <w:numPr>
                <w:ilvl w:val="12"/>
                <w:numId w:val="0"/>
              </w:numPr>
              <w:tabs>
                <w:tab w:val="left" w:pos="-2268"/>
              </w:tabs>
              <w:suppressAutoHyphens/>
              <w:jc w:val="center"/>
              <w:rPr>
                <w:rFonts w:cs="Arial"/>
                <w:spacing w:val="-3"/>
                <w:sz w:val="20"/>
                <w:szCs w:val="20"/>
              </w:rPr>
            </w:pPr>
            <w:r w:rsidRPr="00BD1319">
              <w:rPr>
                <w:rFonts w:cs="Arial"/>
                <w:spacing w:val="-3"/>
                <w:sz w:val="20"/>
                <w:szCs w:val="20"/>
              </w:rPr>
              <w:t>Edafológico</w:t>
            </w:r>
          </w:p>
        </w:tc>
        <w:tc>
          <w:tcPr>
            <w:tcW w:w="5991" w:type="dxa"/>
            <w:shd w:val="clear" w:color="auto" w:fill="auto"/>
            <w:vAlign w:val="center"/>
          </w:tcPr>
          <w:p w14:paraId="4D1F3F8E" w14:textId="77777777" w:rsidR="00077E48" w:rsidRPr="00BD1319" w:rsidRDefault="00077E48" w:rsidP="007F45D3">
            <w:pPr>
              <w:numPr>
                <w:ilvl w:val="12"/>
                <w:numId w:val="0"/>
              </w:numPr>
              <w:tabs>
                <w:tab w:val="left" w:pos="-2268"/>
              </w:tabs>
              <w:suppressAutoHyphens/>
              <w:rPr>
                <w:rFonts w:cs="Arial"/>
                <w:spacing w:val="-3"/>
                <w:sz w:val="20"/>
                <w:szCs w:val="20"/>
              </w:rPr>
            </w:pPr>
            <w:r w:rsidRPr="00BD1319">
              <w:rPr>
                <w:rFonts w:cs="Arial"/>
                <w:spacing w:val="-3"/>
                <w:sz w:val="20"/>
                <w:szCs w:val="20"/>
              </w:rPr>
              <w:t>Mapa de Suelos del Territorio Colombiano. Escala 1:100.000, 1:25.000 y 1:10.000. Instituto Geográfico Agustín Codazzi (IGAC).</w:t>
            </w:r>
          </w:p>
        </w:tc>
      </w:tr>
      <w:tr w:rsidR="00077E48" w:rsidRPr="00BD1319" w14:paraId="14EF810D" w14:textId="77777777" w:rsidTr="007F45D3">
        <w:trPr>
          <w:trHeight w:hRule="exact" w:val="794"/>
          <w:jc w:val="center"/>
        </w:trPr>
        <w:tc>
          <w:tcPr>
            <w:tcW w:w="2830" w:type="dxa"/>
            <w:shd w:val="clear" w:color="auto" w:fill="auto"/>
            <w:vAlign w:val="center"/>
          </w:tcPr>
          <w:p w14:paraId="28BF2C66" w14:textId="77777777" w:rsidR="00077E48" w:rsidRPr="00BD1319" w:rsidRDefault="00077E48" w:rsidP="007F45D3">
            <w:pPr>
              <w:numPr>
                <w:ilvl w:val="12"/>
                <w:numId w:val="0"/>
              </w:numPr>
              <w:tabs>
                <w:tab w:val="left" w:pos="-2268"/>
              </w:tabs>
              <w:suppressAutoHyphens/>
              <w:jc w:val="center"/>
              <w:rPr>
                <w:rFonts w:cs="Arial"/>
                <w:spacing w:val="-3"/>
                <w:sz w:val="20"/>
                <w:szCs w:val="20"/>
              </w:rPr>
            </w:pPr>
            <w:r w:rsidRPr="00BD1319">
              <w:rPr>
                <w:rFonts w:cs="Arial"/>
                <w:spacing w:val="-3"/>
                <w:sz w:val="20"/>
                <w:szCs w:val="20"/>
              </w:rPr>
              <w:t>Hidrológico</w:t>
            </w:r>
          </w:p>
        </w:tc>
        <w:tc>
          <w:tcPr>
            <w:tcW w:w="5991" w:type="dxa"/>
            <w:shd w:val="clear" w:color="auto" w:fill="auto"/>
            <w:vAlign w:val="center"/>
          </w:tcPr>
          <w:p w14:paraId="491710E2" w14:textId="0FA9FF26" w:rsidR="00077E48" w:rsidRPr="00BD1319" w:rsidRDefault="00077E48" w:rsidP="007F45D3">
            <w:pPr>
              <w:numPr>
                <w:ilvl w:val="12"/>
                <w:numId w:val="0"/>
              </w:numPr>
              <w:tabs>
                <w:tab w:val="left" w:pos="-2268"/>
              </w:tabs>
              <w:suppressAutoHyphens/>
              <w:rPr>
                <w:rFonts w:cs="Arial"/>
                <w:spacing w:val="-3"/>
                <w:sz w:val="20"/>
                <w:szCs w:val="20"/>
              </w:rPr>
            </w:pPr>
            <w:r w:rsidRPr="00BD1319">
              <w:rPr>
                <w:rFonts w:cs="Arial"/>
                <w:spacing w:val="-3"/>
                <w:sz w:val="20"/>
                <w:szCs w:val="20"/>
              </w:rPr>
              <w:t>Zonificación y codificación de cuencas hidrográficas e hidrogeológicas de Colombia. Escala 1:100.000. Instituto de Hidrología, Meteorología y Estudios Ambientales (</w:t>
            </w:r>
            <w:proofErr w:type="spellStart"/>
            <w:r w:rsidR="00A92356" w:rsidRPr="00BD1319">
              <w:rPr>
                <w:rFonts w:cs="Arial"/>
                <w:spacing w:val="-3"/>
                <w:sz w:val="20"/>
                <w:szCs w:val="20"/>
              </w:rPr>
              <w:t>Ideam</w:t>
            </w:r>
            <w:proofErr w:type="spellEnd"/>
            <w:r w:rsidRPr="00BD1319">
              <w:rPr>
                <w:rFonts w:cs="Arial"/>
                <w:spacing w:val="-3"/>
                <w:sz w:val="20"/>
                <w:szCs w:val="20"/>
              </w:rPr>
              <w:t>).</w:t>
            </w:r>
          </w:p>
        </w:tc>
      </w:tr>
      <w:tr w:rsidR="00077E48" w:rsidRPr="00BD1319" w14:paraId="38FFBFBA" w14:textId="77777777" w:rsidTr="007F45D3">
        <w:trPr>
          <w:trHeight w:hRule="exact" w:val="1496"/>
          <w:jc w:val="center"/>
        </w:trPr>
        <w:tc>
          <w:tcPr>
            <w:tcW w:w="2830" w:type="dxa"/>
            <w:shd w:val="clear" w:color="auto" w:fill="auto"/>
            <w:vAlign w:val="center"/>
          </w:tcPr>
          <w:p w14:paraId="4336861F" w14:textId="77777777" w:rsidR="00077E48" w:rsidRPr="00BD1319" w:rsidRDefault="00077E48" w:rsidP="007F45D3">
            <w:pPr>
              <w:numPr>
                <w:ilvl w:val="12"/>
                <w:numId w:val="0"/>
              </w:numPr>
              <w:tabs>
                <w:tab w:val="left" w:pos="-2268"/>
              </w:tabs>
              <w:suppressAutoHyphens/>
              <w:jc w:val="center"/>
              <w:rPr>
                <w:rFonts w:cs="Arial"/>
                <w:spacing w:val="-3"/>
                <w:sz w:val="20"/>
                <w:szCs w:val="20"/>
              </w:rPr>
            </w:pPr>
            <w:r w:rsidRPr="00BD1319">
              <w:rPr>
                <w:rFonts w:cs="Arial"/>
                <w:spacing w:val="-3"/>
                <w:sz w:val="20"/>
                <w:szCs w:val="20"/>
              </w:rPr>
              <w:lastRenderedPageBreak/>
              <w:t>Hidrogeológico</w:t>
            </w:r>
          </w:p>
        </w:tc>
        <w:tc>
          <w:tcPr>
            <w:tcW w:w="5991" w:type="dxa"/>
            <w:shd w:val="clear" w:color="auto" w:fill="auto"/>
            <w:vAlign w:val="center"/>
          </w:tcPr>
          <w:p w14:paraId="1DC42828" w14:textId="07AE1AB7" w:rsidR="00077E48" w:rsidRPr="00BD1319" w:rsidRDefault="00077E48" w:rsidP="007F45D3">
            <w:pPr>
              <w:numPr>
                <w:ilvl w:val="12"/>
                <w:numId w:val="0"/>
              </w:numPr>
              <w:tabs>
                <w:tab w:val="left" w:pos="-2268"/>
              </w:tabs>
              <w:suppressAutoHyphens/>
              <w:rPr>
                <w:rFonts w:cs="Arial"/>
                <w:spacing w:val="-3"/>
                <w:sz w:val="20"/>
                <w:szCs w:val="20"/>
              </w:rPr>
            </w:pPr>
            <w:r w:rsidRPr="00BD1319">
              <w:rPr>
                <w:rFonts w:cs="Arial"/>
                <w:spacing w:val="-3"/>
                <w:sz w:val="20"/>
                <w:szCs w:val="20"/>
              </w:rPr>
              <w:t>Estudio Nacional del Agua. Escala 1:100.000. Instituto de Hidrología, Meteorología y Estudios Ambientales (</w:t>
            </w:r>
            <w:proofErr w:type="spellStart"/>
            <w:r w:rsidR="00A92356" w:rsidRPr="00BD1319">
              <w:rPr>
                <w:rFonts w:cs="Arial"/>
                <w:spacing w:val="-3"/>
                <w:sz w:val="20"/>
                <w:szCs w:val="20"/>
              </w:rPr>
              <w:t>Ideam</w:t>
            </w:r>
            <w:proofErr w:type="spellEnd"/>
            <w:r w:rsidRPr="00BD1319">
              <w:rPr>
                <w:rFonts w:cs="Arial"/>
                <w:spacing w:val="-3"/>
                <w:sz w:val="20"/>
                <w:szCs w:val="20"/>
              </w:rPr>
              <w:t>).</w:t>
            </w:r>
          </w:p>
          <w:p w14:paraId="094558A8" w14:textId="77777777" w:rsidR="00077E48" w:rsidRPr="00BD1319" w:rsidRDefault="00077E48" w:rsidP="007F45D3">
            <w:pPr>
              <w:numPr>
                <w:ilvl w:val="12"/>
                <w:numId w:val="0"/>
              </w:numPr>
              <w:tabs>
                <w:tab w:val="left" w:pos="-2268"/>
              </w:tabs>
              <w:suppressAutoHyphens/>
              <w:rPr>
                <w:rFonts w:cs="Arial"/>
                <w:spacing w:val="-3"/>
                <w:sz w:val="20"/>
                <w:szCs w:val="20"/>
              </w:rPr>
            </w:pPr>
          </w:p>
          <w:p w14:paraId="4466DB81" w14:textId="3D43A404" w:rsidR="00077E48" w:rsidRPr="00BD1319" w:rsidRDefault="00077E48" w:rsidP="007F45D3">
            <w:pPr>
              <w:numPr>
                <w:ilvl w:val="12"/>
                <w:numId w:val="0"/>
              </w:numPr>
              <w:tabs>
                <w:tab w:val="left" w:pos="-2268"/>
              </w:tabs>
              <w:suppressAutoHyphens/>
              <w:rPr>
                <w:rFonts w:cs="Arial"/>
                <w:spacing w:val="-3"/>
                <w:sz w:val="20"/>
                <w:szCs w:val="20"/>
              </w:rPr>
            </w:pPr>
            <w:r w:rsidRPr="00BD1319">
              <w:rPr>
                <w:rFonts w:cs="Arial"/>
                <w:spacing w:val="-3"/>
                <w:sz w:val="20"/>
                <w:szCs w:val="20"/>
              </w:rPr>
              <w:t>Zonificación y codificación de unidades hidrográficas e hidrogeológicas de Colombia. Instituto de Hidrología, Meteorología y Estudios Ambientales (</w:t>
            </w:r>
            <w:proofErr w:type="spellStart"/>
            <w:r w:rsidR="00A92356" w:rsidRPr="00BD1319">
              <w:rPr>
                <w:rFonts w:cs="Arial"/>
                <w:spacing w:val="-3"/>
                <w:sz w:val="20"/>
                <w:szCs w:val="20"/>
              </w:rPr>
              <w:t>Ideam</w:t>
            </w:r>
            <w:proofErr w:type="spellEnd"/>
            <w:r w:rsidRPr="00BD1319">
              <w:rPr>
                <w:rFonts w:cs="Arial"/>
                <w:spacing w:val="-3"/>
                <w:sz w:val="20"/>
                <w:szCs w:val="20"/>
              </w:rPr>
              <w:t>).</w:t>
            </w:r>
          </w:p>
        </w:tc>
      </w:tr>
      <w:tr w:rsidR="00077E48" w:rsidRPr="00BD1319" w14:paraId="388FD31F" w14:textId="77777777" w:rsidTr="001A59FB">
        <w:trPr>
          <w:trHeight w:hRule="exact" w:val="2296"/>
          <w:jc w:val="center"/>
        </w:trPr>
        <w:tc>
          <w:tcPr>
            <w:tcW w:w="2830" w:type="dxa"/>
            <w:shd w:val="clear" w:color="auto" w:fill="auto"/>
            <w:vAlign w:val="center"/>
          </w:tcPr>
          <w:p w14:paraId="466B1092" w14:textId="77777777" w:rsidR="00077E48" w:rsidRPr="00BD1319" w:rsidRDefault="00077E48" w:rsidP="007F45D3">
            <w:pPr>
              <w:numPr>
                <w:ilvl w:val="12"/>
                <w:numId w:val="0"/>
              </w:numPr>
              <w:tabs>
                <w:tab w:val="left" w:pos="-2268"/>
              </w:tabs>
              <w:suppressAutoHyphens/>
              <w:jc w:val="center"/>
              <w:rPr>
                <w:rFonts w:cs="Arial"/>
                <w:spacing w:val="-3"/>
                <w:sz w:val="20"/>
                <w:szCs w:val="20"/>
              </w:rPr>
            </w:pPr>
            <w:r w:rsidRPr="00BD1319">
              <w:rPr>
                <w:rFonts w:cs="Arial"/>
                <w:spacing w:val="-3"/>
                <w:sz w:val="20"/>
                <w:szCs w:val="20"/>
              </w:rPr>
              <w:t>Medio biótico</w:t>
            </w:r>
          </w:p>
        </w:tc>
        <w:tc>
          <w:tcPr>
            <w:tcW w:w="5991" w:type="dxa"/>
            <w:shd w:val="clear" w:color="auto" w:fill="auto"/>
            <w:vAlign w:val="center"/>
          </w:tcPr>
          <w:p w14:paraId="14678E41" w14:textId="66F7F682" w:rsidR="00077E48" w:rsidRPr="00BD1319" w:rsidRDefault="00077E48" w:rsidP="007F45D3">
            <w:pPr>
              <w:numPr>
                <w:ilvl w:val="12"/>
                <w:numId w:val="0"/>
              </w:numPr>
              <w:tabs>
                <w:tab w:val="left" w:pos="-2268"/>
              </w:tabs>
              <w:suppressAutoHyphens/>
              <w:rPr>
                <w:rFonts w:cs="Arial"/>
                <w:spacing w:val="-3"/>
                <w:sz w:val="20"/>
                <w:szCs w:val="20"/>
              </w:rPr>
            </w:pPr>
            <w:r w:rsidRPr="00BD1319">
              <w:rPr>
                <w:rFonts w:cs="Arial"/>
                <w:spacing w:val="-3"/>
                <w:sz w:val="20"/>
                <w:szCs w:val="20"/>
              </w:rPr>
              <w:t xml:space="preserve">Mapa de Ecosistemas Continentales, Costeros y Marinos de Colombia (MEC) [mapa], Versión 2.1, escala 1:100.000, 2017. </w:t>
            </w:r>
            <w:proofErr w:type="spellStart"/>
            <w:r w:rsidR="00A92356" w:rsidRPr="00BD1319">
              <w:rPr>
                <w:rFonts w:cs="Arial"/>
                <w:spacing w:val="-3"/>
                <w:sz w:val="20"/>
                <w:szCs w:val="20"/>
              </w:rPr>
              <w:t>Ideam</w:t>
            </w:r>
            <w:proofErr w:type="spellEnd"/>
            <w:r w:rsidRPr="00BD1319">
              <w:rPr>
                <w:rFonts w:cs="Arial"/>
                <w:spacing w:val="-3"/>
                <w:sz w:val="20"/>
                <w:szCs w:val="20"/>
              </w:rPr>
              <w:t xml:space="preserve">, Instituto Humboldt, IGAC, </w:t>
            </w:r>
            <w:proofErr w:type="spellStart"/>
            <w:r w:rsidRPr="00BD1319">
              <w:rPr>
                <w:rFonts w:cs="Arial"/>
                <w:spacing w:val="-3"/>
                <w:sz w:val="20"/>
                <w:szCs w:val="20"/>
              </w:rPr>
              <w:t>Invemar</w:t>
            </w:r>
            <w:proofErr w:type="spellEnd"/>
            <w:r w:rsidRPr="00BD1319">
              <w:rPr>
                <w:rFonts w:cs="Arial"/>
                <w:spacing w:val="-3"/>
                <w:sz w:val="20"/>
                <w:szCs w:val="20"/>
              </w:rPr>
              <w:t>, Sinchi, IIAP, PNN &amp; Minambiente.</w:t>
            </w:r>
          </w:p>
          <w:p w14:paraId="63C90597" w14:textId="77777777" w:rsidR="00077E48" w:rsidRPr="00BD1319" w:rsidRDefault="00077E48" w:rsidP="007F45D3">
            <w:pPr>
              <w:numPr>
                <w:ilvl w:val="12"/>
                <w:numId w:val="0"/>
              </w:numPr>
              <w:tabs>
                <w:tab w:val="left" w:pos="-2268"/>
              </w:tabs>
              <w:suppressAutoHyphens/>
              <w:rPr>
                <w:rFonts w:cs="Arial"/>
                <w:spacing w:val="-3"/>
                <w:sz w:val="20"/>
                <w:szCs w:val="20"/>
              </w:rPr>
            </w:pPr>
          </w:p>
          <w:p w14:paraId="0323F700" w14:textId="77777777" w:rsidR="00077E48" w:rsidRPr="00BD1319" w:rsidRDefault="00077E48" w:rsidP="007F45D3">
            <w:pPr>
              <w:numPr>
                <w:ilvl w:val="12"/>
                <w:numId w:val="0"/>
              </w:numPr>
              <w:tabs>
                <w:tab w:val="left" w:pos="-2268"/>
              </w:tabs>
              <w:suppressAutoHyphens/>
              <w:rPr>
                <w:rFonts w:cs="Arial"/>
                <w:spacing w:val="-3"/>
                <w:sz w:val="20"/>
                <w:szCs w:val="20"/>
              </w:rPr>
            </w:pPr>
            <w:r w:rsidRPr="00BD1319">
              <w:rPr>
                <w:rFonts w:cs="Arial"/>
                <w:spacing w:val="-3"/>
                <w:sz w:val="20"/>
                <w:szCs w:val="20"/>
              </w:rPr>
              <w:t xml:space="preserve">Sistema de Información Ambiental Marina (SIAM). </w:t>
            </w:r>
            <w:proofErr w:type="spellStart"/>
            <w:r w:rsidRPr="00BD1319">
              <w:rPr>
                <w:rFonts w:cs="Arial"/>
                <w:spacing w:val="-3"/>
                <w:sz w:val="20"/>
                <w:szCs w:val="20"/>
              </w:rPr>
              <w:t>Invemar</w:t>
            </w:r>
            <w:proofErr w:type="spellEnd"/>
            <w:r w:rsidRPr="00BD1319">
              <w:rPr>
                <w:rFonts w:cs="Arial"/>
                <w:spacing w:val="-3"/>
                <w:sz w:val="20"/>
                <w:szCs w:val="20"/>
              </w:rPr>
              <w:t>.</w:t>
            </w:r>
          </w:p>
          <w:p w14:paraId="1B5098A6" w14:textId="77777777" w:rsidR="001A59FB" w:rsidRPr="00BD1319" w:rsidRDefault="001A59FB" w:rsidP="007F45D3">
            <w:pPr>
              <w:numPr>
                <w:ilvl w:val="12"/>
                <w:numId w:val="0"/>
              </w:numPr>
              <w:tabs>
                <w:tab w:val="left" w:pos="-2268"/>
              </w:tabs>
              <w:suppressAutoHyphens/>
              <w:rPr>
                <w:rFonts w:cs="Arial"/>
                <w:spacing w:val="-3"/>
                <w:sz w:val="20"/>
                <w:szCs w:val="20"/>
              </w:rPr>
            </w:pPr>
          </w:p>
          <w:p w14:paraId="31E8519D" w14:textId="7E3C2FC6" w:rsidR="001A59FB" w:rsidRPr="00BD1319" w:rsidRDefault="001A59FB" w:rsidP="007F45D3">
            <w:pPr>
              <w:numPr>
                <w:ilvl w:val="12"/>
                <w:numId w:val="0"/>
              </w:numPr>
              <w:tabs>
                <w:tab w:val="left" w:pos="-2268"/>
              </w:tabs>
              <w:suppressAutoHyphens/>
              <w:rPr>
                <w:rFonts w:cs="Arial"/>
                <w:spacing w:val="-3"/>
                <w:sz w:val="20"/>
                <w:szCs w:val="20"/>
              </w:rPr>
            </w:pPr>
            <w:r w:rsidRPr="00BD1319">
              <w:rPr>
                <w:rFonts w:cs="Arial"/>
                <w:spacing w:val="-3"/>
                <w:sz w:val="20"/>
                <w:szCs w:val="20"/>
              </w:rPr>
              <w:t xml:space="preserve">Mapa de coberturas de la tierra. Escala 1:100.000. </w:t>
            </w:r>
            <w:proofErr w:type="spellStart"/>
            <w:r w:rsidRPr="00BD1319">
              <w:rPr>
                <w:rFonts w:cs="Arial"/>
                <w:spacing w:val="-3"/>
                <w:sz w:val="20"/>
                <w:szCs w:val="20"/>
              </w:rPr>
              <w:t>Ideam</w:t>
            </w:r>
            <w:proofErr w:type="spellEnd"/>
            <w:r w:rsidRPr="00BD1319">
              <w:rPr>
                <w:rFonts w:cs="Arial"/>
                <w:spacing w:val="-3"/>
                <w:sz w:val="20"/>
                <w:szCs w:val="20"/>
              </w:rPr>
              <w:t>, Sinchi, PNN, IGAC, Minambiente.</w:t>
            </w:r>
          </w:p>
        </w:tc>
      </w:tr>
      <w:tr w:rsidR="00077E48" w:rsidRPr="00BD1319" w14:paraId="60FE7F0F" w14:textId="77777777" w:rsidTr="000D6E21">
        <w:trPr>
          <w:trHeight w:hRule="exact" w:val="3715"/>
          <w:jc w:val="center"/>
        </w:trPr>
        <w:tc>
          <w:tcPr>
            <w:tcW w:w="2830" w:type="dxa"/>
            <w:shd w:val="clear" w:color="auto" w:fill="auto"/>
            <w:vAlign w:val="center"/>
          </w:tcPr>
          <w:p w14:paraId="258B71E8" w14:textId="77777777" w:rsidR="00077E48" w:rsidRPr="00BD1319" w:rsidRDefault="00077E48" w:rsidP="007F45D3">
            <w:pPr>
              <w:numPr>
                <w:ilvl w:val="12"/>
                <w:numId w:val="0"/>
              </w:numPr>
              <w:tabs>
                <w:tab w:val="left" w:pos="-2268"/>
              </w:tabs>
              <w:suppressAutoHyphens/>
              <w:jc w:val="center"/>
              <w:rPr>
                <w:rFonts w:cs="Arial"/>
                <w:spacing w:val="-3"/>
                <w:sz w:val="20"/>
                <w:szCs w:val="20"/>
              </w:rPr>
            </w:pPr>
            <w:r w:rsidRPr="00BD1319">
              <w:rPr>
                <w:rFonts w:cs="Arial"/>
                <w:spacing w:val="-3"/>
                <w:sz w:val="20"/>
                <w:szCs w:val="20"/>
              </w:rPr>
              <w:t>Medio socioeconómico (aplica también para la información de contexto)</w:t>
            </w:r>
          </w:p>
        </w:tc>
        <w:tc>
          <w:tcPr>
            <w:tcW w:w="5991" w:type="dxa"/>
            <w:shd w:val="clear" w:color="auto" w:fill="auto"/>
            <w:vAlign w:val="center"/>
          </w:tcPr>
          <w:p w14:paraId="719D9504" w14:textId="364CFE41" w:rsidR="00077E48" w:rsidRPr="00BD1319" w:rsidRDefault="00077E48" w:rsidP="007F45D3">
            <w:pPr>
              <w:numPr>
                <w:ilvl w:val="12"/>
                <w:numId w:val="0"/>
              </w:numPr>
              <w:tabs>
                <w:tab w:val="left" w:pos="-2268"/>
              </w:tabs>
              <w:suppressAutoHyphens/>
              <w:rPr>
                <w:rFonts w:cs="Arial"/>
                <w:spacing w:val="-3"/>
                <w:sz w:val="20"/>
                <w:szCs w:val="20"/>
              </w:rPr>
            </w:pPr>
            <w:r w:rsidRPr="00BD1319">
              <w:rPr>
                <w:rFonts w:cs="Arial"/>
                <w:spacing w:val="-3"/>
                <w:sz w:val="20"/>
                <w:szCs w:val="20"/>
              </w:rPr>
              <w:t xml:space="preserve">Instrumentos de ordenamiento territorial, ordenamiento y gestión ambiental (EOT, PBOT, POT, </w:t>
            </w:r>
            <w:proofErr w:type="spellStart"/>
            <w:r w:rsidR="003C70CD" w:rsidRPr="00BD1319">
              <w:rPr>
                <w:rFonts w:cs="Arial"/>
                <w:spacing w:val="-3"/>
                <w:sz w:val="20"/>
                <w:szCs w:val="20"/>
              </w:rPr>
              <w:t>Pomca</w:t>
            </w:r>
            <w:proofErr w:type="spellEnd"/>
            <w:r w:rsidRPr="00BD1319">
              <w:rPr>
                <w:rFonts w:cs="Arial"/>
                <w:spacing w:val="-3"/>
                <w:sz w:val="20"/>
                <w:szCs w:val="20"/>
              </w:rPr>
              <w:t xml:space="preserve">, </w:t>
            </w:r>
            <w:proofErr w:type="spellStart"/>
            <w:r w:rsidR="0069169A" w:rsidRPr="00BD1319">
              <w:rPr>
                <w:rFonts w:cs="Arial"/>
                <w:spacing w:val="-3"/>
                <w:sz w:val="20"/>
                <w:szCs w:val="20"/>
              </w:rPr>
              <w:t>Pomiuac</w:t>
            </w:r>
            <w:proofErr w:type="spellEnd"/>
            <w:r w:rsidRPr="00BD1319">
              <w:rPr>
                <w:rFonts w:cs="Arial"/>
                <w:spacing w:val="-3"/>
                <w:sz w:val="20"/>
                <w:szCs w:val="20"/>
              </w:rPr>
              <w:t>, entre otros).</w:t>
            </w:r>
          </w:p>
          <w:p w14:paraId="456A9C16" w14:textId="77777777" w:rsidR="00077E48" w:rsidRPr="00BD1319" w:rsidRDefault="00077E48" w:rsidP="007F45D3">
            <w:pPr>
              <w:numPr>
                <w:ilvl w:val="12"/>
                <w:numId w:val="0"/>
              </w:numPr>
              <w:tabs>
                <w:tab w:val="left" w:pos="-2268"/>
              </w:tabs>
              <w:suppressAutoHyphens/>
              <w:rPr>
                <w:rFonts w:cs="Arial"/>
                <w:spacing w:val="-3"/>
                <w:sz w:val="20"/>
                <w:szCs w:val="20"/>
              </w:rPr>
            </w:pPr>
          </w:p>
          <w:p w14:paraId="25F2C58B" w14:textId="77777777" w:rsidR="00077E48" w:rsidRPr="00BD1319" w:rsidRDefault="00077E48" w:rsidP="007F45D3">
            <w:pPr>
              <w:numPr>
                <w:ilvl w:val="12"/>
                <w:numId w:val="0"/>
              </w:numPr>
              <w:tabs>
                <w:tab w:val="left" w:pos="-2268"/>
              </w:tabs>
              <w:suppressAutoHyphens/>
              <w:rPr>
                <w:rFonts w:cs="Arial"/>
                <w:spacing w:val="-3"/>
                <w:sz w:val="20"/>
                <w:szCs w:val="20"/>
              </w:rPr>
            </w:pPr>
            <w:r w:rsidRPr="00BD1319">
              <w:rPr>
                <w:rFonts w:cs="Arial"/>
                <w:spacing w:val="-3"/>
                <w:sz w:val="20"/>
                <w:szCs w:val="20"/>
              </w:rPr>
              <w:t>Sistema de estadísticas territoriales. Departamento Nacional de Planeación (DNP).</w:t>
            </w:r>
          </w:p>
          <w:p w14:paraId="6D913F42" w14:textId="77777777" w:rsidR="00077E48" w:rsidRPr="00BD1319" w:rsidRDefault="00077E48" w:rsidP="007F45D3">
            <w:pPr>
              <w:numPr>
                <w:ilvl w:val="12"/>
                <w:numId w:val="0"/>
              </w:numPr>
              <w:tabs>
                <w:tab w:val="left" w:pos="-2268"/>
              </w:tabs>
              <w:suppressAutoHyphens/>
              <w:rPr>
                <w:rFonts w:cs="Arial"/>
                <w:spacing w:val="-3"/>
                <w:sz w:val="20"/>
                <w:szCs w:val="20"/>
              </w:rPr>
            </w:pPr>
          </w:p>
          <w:p w14:paraId="7834B80A" w14:textId="77777777" w:rsidR="00077E48" w:rsidRPr="00BD1319" w:rsidRDefault="00077E48" w:rsidP="007F45D3">
            <w:pPr>
              <w:numPr>
                <w:ilvl w:val="12"/>
                <w:numId w:val="0"/>
              </w:numPr>
              <w:tabs>
                <w:tab w:val="left" w:pos="-2268"/>
              </w:tabs>
              <w:suppressAutoHyphens/>
              <w:rPr>
                <w:rFonts w:cs="Arial"/>
                <w:spacing w:val="-3"/>
                <w:sz w:val="20"/>
                <w:szCs w:val="20"/>
              </w:rPr>
            </w:pPr>
            <w:r w:rsidRPr="00BD1319">
              <w:rPr>
                <w:rFonts w:cs="Arial"/>
                <w:spacing w:val="-3"/>
                <w:sz w:val="20"/>
                <w:szCs w:val="20"/>
              </w:rPr>
              <w:t>Bases de datos de información socioeconómica. Departamento Administrativo Nacional de Estadística (DANE).</w:t>
            </w:r>
          </w:p>
          <w:p w14:paraId="19855B96" w14:textId="77777777" w:rsidR="00077E48" w:rsidRPr="00BD1319" w:rsidRDefault="00077E48" w:rsidP="007F45D3">
            <w:pPr>
              <w:numPr>
                <w:ilvl w:val="12"/>
                <w:numId w:val="0"/>
              </w:numPr>
              <w:tabs>
                <w:tab w:val="left" w:pos="-2268"/>
              </w:tabs>
              <w:suppressAutoHyphens/>
              <w:rPr>
                <w:rFonts w:cs="Arial"/>
                <w:spacing w:val="-3"/>
                <w:sz w:val="20"/>
                <w:szCs w:val="20"/>
              </w:rPr>
            </w:pPr>
          </w:p>
          <w:p w14:paraId="2C173806" w14:textId="42C2CAA5" w:rsidR="00077E48" w:rsidRPr="00BD1319" w:rsidRDefault="00077E48" w:rsidP="007F45D3">
            <w:pPr>
              <w:numPr>
                <w:ilvl w:val="12"/>
                <w:numId w:val="0"/>
              </w:numPr>
              <w:tabs>
                <w:tab w:val="left" w:pos="-2268"/>
              </w:tabs>
              <w:suppressAutoHyphens/>
              <w:rPr>
                <w:rFonts w:cs="Arial"/>
                <w:spacing w:val="-3"/>
                <w:sz w:val="20"/>
                <w:szCs w:val="20"/>
              </w:rPr>
            </w:pPr>
            <w:r w:rsidRPr="00BD1319">
              <w:rPr>
                <w:rFonts w:cs="Arial"/>
                <w:spacing w:val="-3"/>
                <w:sz w:val="20"/>
                <w:szCs w:val="20"/>
              </w:rPr>
              <w:t xml:space="preserve">Planes de manejo de áreas protegidas del </w:t>
            </w:r>
            <w:proofErr w:type="spellStart"/>
            <w:r w:rsidR="00830E19" w:rsidRPr="00BD1319">
              <w:rPr>
                <w:rFonts w:cs="Arial"/>
                <w:spacing w:val="-3"/>
                <w:sz w:val="20"/>
                <w:szCs w:val="20"/>
              </w:rPr>
              <w:t>Sinap</w:t>
            </w:r>
            <w:proofErr w:type="spellEnd"/>
            <w:r w:rsidRPr="00BD1319">
              <w:rPr>
                <w:rFonts w:cs="Arial"/>
                <w:spacing w:val="-3"/>
                <w:sz w:val="20"/>
                <w:szCs w:val="20"/>
              </w:rPr>
              <w:t>.</w:t>
            </w:r>
          </w:p>
          <w:p w14:paraId="11CD104E" w14:textId="77777777" w:rsidR="00077E48" w:rsidRPr="00BD1319" w:rsidRDefault="00077E48" w:rsidP="007F45D3">
            <w:pPr>
              <w:numPr>
                <w:ilvl w:val="12"/>
                <w:numId w:val="0"/>
              </w:numPr>
              <w:tabs>
                <w:tab w:val="left" w:pos="-2268"/>
              </w:tabs>
              <w:suppressAutoHyphens/>
              <w:rPr>
                <w:rFonts w:cs="Arial"/>
                <w:spacing w:val="-3"/>
                <w:sz w:val="20"/>
                <w:szCs w:val="20"/>
              </w:rPr>
            </w:pPr>
          </w:p>
          <w:p w14:paraId="12D0A105" w14:textId="77777777" w:rsidR="00077E48" w:rsidRPr="00BD1319" w:rsidRDefault="00077E48" w:rsidP="007F45D3">
            <w:pPr>
              <w:numPr>
                <w:ilvl w:val="12"/>
                <w:numId w:val="0"/>
              </w:numPr>
              <w:tabs>
                <w:tab w:val="left" w:pos="-2268"/>
              </w:tabs>
              <w:suppressAutoHyphens/>
              <w:rPr>
                <w:rFonts w:cs="Arial"/>
                <w:spacing w:val="-3"/>
                <w:sz w:val="20"/>
                <w:szCs w:val="20"/>
              </w:rPr>
            </w:pPr>
            <w:r w:rsidRPr="00BD1319">
              <w:rPr>
                <w:rFonts w:cs="Arial"/>
                <w:spacing w:val="-3"/>
                <w:sz w:val="20"/>
                <w:szCs w:val="20"/>
              </w:rPr>
              <w:t>Planes de manejo de ecosistemas estratégicos.</w:t>
            </w:r>
          </w:p>
          <w:p w14:paraId="4FC56718" w14:textId="77777777" w:rsidR="005D2471" w:rsidRPr="00BD1319" w:rsidRDefault="005D2471" w:rsidP="007F45D3">
            <w:pPr>
              <w:numPr>
                <w:ilvl w:val="12"/>
                <w:numId w:val="0"/>
              </w:numPr>
              <w:tabs>
                <w:tab w:val="left" w:pos="-2268"/>
              </w:tabs>
              <w:suppressAutoHyphens/>
              <w:rPr>
                <w:rFonts w:cs="Arial"/>
                <w:spacing w:val="-3"/>
                <w:sz w:val="20"/>
                <w:szCs w:val="20"/>
              </w:rPr>
            </w:pPr>
          </w:p>
          <w:p w14:paraId="02F736D0" w14:textId="43371A29" w:rsidR="005D2471" w:rsidRPr="00BD1319" w:rsidRDefault="005D2471" w:rsidP="005D2471">
            <w:pPr>
              <w:numPr>
                <w:ilvl w:val="12"/>
                <w:numId w:val="0"/>
              </w:numPr>
              <w:tabs>
                <w:tab w:val="left" w:pos="-2268"/>
              </w:tabs>
              <w:suppressAutoHyphens/>
              <w:rPr>
                <w:rFonts w:cs="Arial"/>
                <w:spacing w:val="-3"/>
                <w:sz w:val="20"/>
                <w:szCs w:val="20"/>
              </w:rPr>
            </w:pPr>
            <w:r w:rsidRPr="00BD1319">
              <w:rPr>
                <w:rFonts w:cs="Arial"/>
                <w:spacing w:val="-3"/>
                <w:sz w:val="20"/>
                <w:szCs w:val="20"/>
              </w:rPr>
              <w:t>Documentos y bases de datos de organizaciones internacionales como OCDE, CEPAL y ONU.</w:t>
            </w:r>
          </w:p>
        </w:tc>
      </w:tr>
    </w:tbl>
    <w:p w14:paraId="1E5D56D1" w14:textId="77777777" w:rsidR="00077E48" w:rsidRPr="00BD1319" w:rsidRDefault="00077E48" w:rsidP="00077E48">
      <w:pPr>
        <w:numPr>
          <w:ilvl w:val="12"/>
          <w:numId w:val="0"/>
        </w:numPr>
        <w:tabs>
          <w:tab w:val="left" w:pos="-2268"/>
        </w:tabs>
        <w:suppressAutoHyphens/>
        <w:rPr>
          <w:rFonts w:cs="Arial"/>
          <w:spacing w:val="-3"/>
        </w:rPr>
      </w:pPr>
    </w:p>
    <w:p w14:paraId="5ECCE5B9" w14:textId="6EC8C8F4" w:rsidR="00077E48" w:rsidRPr="00BD1319" w:rsidRDefault="00967E10" w:rsidP="009420F5">
      <w:pPr>
        <w:pStyle w:val="Ttulo2"/>
        <w:rPr>
          <w:lang w:val="es-CO"/>
        </w:rPr>
      </w:pPr>
      <w:bookmarkStart w:id="2527" w:name="_Toc175326741"/>
      <w:r w:rsidRPr="00BD1319">
        <w:rPr>
          <w:lang w:val="es-CO"/>
        </w:rPr>
        <w:t>PROCEDIMIENTO GENERAL PARA LA DELIMITACIÓN DEL ÁREA DE INFLUENCIA</w:t>
      </w:r>
      <w:bookmarkEnd w:id="2527"/>
    </w:p>
    <w:p w14:paraId="763DCB52" w14:textId="77777777" w:rsidR="003D26C3" w:rsidRPr="00BD1319" w:rsidRDefault="003D26C3" w:rsidP="00077E48">
      <w:pPr>
        <w:numPr>
          <w:ilvl w:val="12"/>
          <w:numId w:val="0"/>
        </w:numPr>
        <w:tabs>
          <w:tab w:val="left" w:pos="-2268"/>
        </w:tabs>
        <w:suppressAutoHyphens/>
        <w:rPr>
          <w:rFonts w:cs="Arial"/>
          <w:spacing w:val="-3"/>
        </w:rPr>
      </w:pPr>
    </w:p>
    <w:p w14:paraId="7DD85DC6" w14:textId="45E4FD46" w:rsidR="00077E48" w:rsidRPr="00BD1319" w:rsidRDefault="00077E48" w:rsidP="00077E48">
      <w:pPr>
        <w:numPr>
          <w:ilvl w:val="12"/>
          <w:numId w:val="0"/>
        </w:numPr>
        <w:tabs>
          <w:tab w:val="left" w:pos="-2268"/>
        </w:tabs>
        <w:suppressAutoHyphens/>
        <w:rPr>
          <w:rFonts w:cs="Arial"/>
        </w:rPr>
      </w:pPr>
      <w:r w:rsidRPr="00BD1319">
        <w:rPr>
          <w:rFonts w:cs="Arial"/>
        </w:rPr>
        <w:t>A continuación</w:t>
      </w:r>
      <w:r w:rsidR="003012E7" w:rsidRPr="00BD1319">
        <w:rPr>
          <w:rFonts w:cs="Arial"/>
        </w:rPr>
        <w:t>,</w:t>
      </w:r>
      <w:r w:rsidRPr="00BD1319">
        <w:rPr>
          <w:rFonts w:cs="Arial"/>
        </w:rPr>
        <w:t xml:space="preserve"> se presentan los detalles del procedimiento general para delimitar el área de influencia del proyecto, obra o actividad; es importante señalar que es posible emplear cualquier otro procedimiento que se considere conveniente dadas las condiciones particulares del proyecto que se está estructurando y del ambiente que se vería afectado con su ejecución.</w:t>
      </w:r>
    </w:p>
    <w:p w14:paraId="70926A91" w14:textId="77777777" w:rsidR="00077E48" w:rsidRPr="00BD1319" w:rsidRDefault="00077E48" w:rsidP="00077E48">
      <w:pPr>
        <w:numPr>
          <w:ilvl w:val="12"/>
          <w:numId w:val="0"/>
        </w:numPr>
        <w:tabs>
          <w:tab w:val="left" w:pos="-2268"/>
        </w:tabs>
        <w:suppressAutoHyphens/>
        <w:rPr>
          <w:rFonts w:cs="Arial"/>
        </w:rPr>
      </w:pPr>
    </w:p>
    <w:p w14:paraId="3C0F1D42" w14:textId="235EEA5C" w:rsidR="00077E48" w:rsidRPr="00BD1319" w:rsidRDefault="00077E48" w:rsidP="00077E48">
      <w:pPr>
        <w:pStyle w:val="Prrafodelista"/>
        <w:numPr>
          <w:ilvl w:val="0"/>
          <w:numId w:val="17"/>
        </w:numPr>
        <w:ind w:left="567" w:hanging="567"/>
        <w:contextualSpacing/>
        <w:rPr>
          <w:rFonts w:cs="Arial"/>
          <w:lang w:val="es-CO"/>
        </w:rPr>
      </w:pPr>
      <w:r w:rsidRPr="00BD1319">
        <w:rPr>
          <w:rFonts w:cs="Arial"/>
          <w:lang w:val="es-CO"/>
        </w:rPr>
        <w:lastRenderedPageBreak/>
        <w:t xml:space="preserve">Localizar espacialmente el área </w:t>
      </w:r>
      <w:r w:rsidR="00F53A6E" w:rsidRPr="00BD1319">
        <w:rPr>
          <w:rFonts w:cs="Arial"/>
          <w:lang w:val="es-CO"/>
        </w:rPr>
        <w:t>por</w:t>
      </w:r>
      <w:r w:rsidRPr="00BD1319">
        <w:rPr>
          <w:rFonts w:cs="Arial"/>
          <w:lang w:val="es-CO"/>
        </w:rPr>
        <w:t xml:space="preserve"> intervenir</w:t>
      </w:r>
      <w:r w:rsidRPr="00BD1319">
        <w:rPr>
          <w:rStyle w:val="Refdenotaalpie"/>
          <w:rFonts w:cs="Arial"/>
          <w:spacing w:val="-3"/>
          <w:lang w:val="es-CO"/>
        </w:rPr>
        <w:footnoteReference w:id="80"/>
      </w:r>
      <w:r w:rsidRPr="00BD1319">
        <w:rPr>
          <w:rFonts w:cs="Arial"/>
          <w:lang w:val="es-CO"/>
        </w:rPr>
        <w:t>.</w:t>
      </w:r>
    </w:p>
    <w:p w14:paraId="2AE24C10" w14:textId="77777777" w:rsidR="00077E48" w:rsidRPr="00BD1319" w:rsidRDefault="00077E48" w:rsidP="00077E48">
      <w:pPr>
        <w:contextualSpacing/>
        <w:rPr>
          <w:rFonts w:cs="Arial"/>
        </w:rPr>
      </w:pPr>
    </w:p>
    <w:p w14:paraId="468CC88B" w14:textId="0B517E87" w:rsidR="00077E48" w:rsidRPr="00BD1319" w:rsidRDefault="00271624" w:rsidP="00077E48">
      <w:pPr>
        <w:pStyle w:val="Prrafodelista"/>
        <w:numPr>
          <w:ilvl w:val="0"/>
          <w:numId w:val="18"/>
        </w:numPr>
        <w:ind w:left="1134" w:hanging="567"/>
        <w:contextualSpacing/>
        <w:rPr>
          <w:lang w:val="es-CO"/>
        </w:rPr>
      </w:pPr>
      <w:r w:rsidRPr="00BD1319">
        <w:rPr>
          <w:rFonts w:cs="Arial"/>
          <w:lang w:val="es-CO"/>
        </w:rPr>
        <w:t>L</w:t>
      </w:r>
      <w:r w:rsidR="00077E48" w:rsidRPr="00BD1319">
        <w:rPr>
          <w:rFonts w:cs="Arial"/>
          <w:lang w:val="es-CO"/>
        </w:rPr>
        <w:t>ocalizar espacialmente toda la infraestructura, obras y actividades asociadas y relacionadas c</w:t>
      </w:r>
      <w:r w:rsidR="00077E48" w:rsidRPr="00BD1319">
        <w:rPr>
          <w:rFonts w:cs="Arial"/>
          <w:spacing w:val="-3"/>
          <w:lang w:val="es-CO"/>
        </w:rPr>
        <w:t>on la planeación, emplazamiento, instalación, construcción, montaje, operación, mantenimiento, desmantelamiento, abandono, y terminación del proyecto, uso del espacio y remoción de la infraestructura permanente y temporal</w:t>
      </w:r>
      <w:r w:rsidR="00077E48" w:rsidRPr="00BD1319">
        <w:rPr>
          <w:rFonts w:cs="Arial"/>
          <w:lang w:val="es-CO"/>
        </w:rPr>
        <w:t>.</w:t>
      </w:r>
    </w:p>
    <w:p w14:paraId="21F66852" w14:textId="77777777" w:rsidR="00077E48" w:rsidRPr="00BD1319" w:rsidRDefault="00077E48" w:rsidP="00077E48">
      <w:pPr>
        <w:contextualSpacing/>
      </w:pPr>
    </w:p>
    <w:p w14:paraId="050CD3E1" w14:textId="506FAFDF" w:rsidR="00077E48" w:rsidRPr="00BD1319" w:rsidRDefault="00271624" w:rsidP="00077E48">
      <w:pPr>
        <w:pStyle w:val="Prrafodelista"/>
        <w:numPr>
          <w:ilvl w:val="0"/>
          <w:numId w:val="18"/>
        </w:numPr>
        <w:ind w:left="1134" w:hanging="567"/>
        <w:contextualSpacing/>
        <w:rPr>
          <w:rFonts w:cs="Arial"/>
          <w:lang w:val="es-CO"/>
        </w:rPr>
      </w:pPr>
      <w:r w:rsidRPr="00BD1319">
        <w:rPr>
          <w:rFonts w:cs="Arial"/>
          <w:lang w:val="es-CO"/>
        </w:rPr>
        <w:t>L</w:t>
      </w:r>
      <w:r w:rsidR="00077E48" w:rsidRPr="00BD1319">
        <w:rPr>
          <w:rFonts w:cs="Arial"/>
          <w:lang w:val="es-CO"/>
        </w:rPr>
        <w:t xml:space="preserve">ocalizar espacialmente, </w:t>
      </w:r>
      <w:r w:rsidR="00467CE5" w:rsidRPr="00BD1319">
        <w:rPr>
          <w:rFonts w:cs="Arial"/>
          <w:lang w:val="es-CO"/>
        </w:rPr>
        <w:t>de acuerdo con</w:t>
      </w:r>
      <w:r w:rsidR="00077E48" w:rsidRPr="00BD1319">
        <w:rPr>
          <w:rFonts w:cs="Arial"/>
          <w:lang w:val="es-CO"/>
        </w:rPr>
        <w:t xml:space="preserve"> la demanda de recursos naturales renovables del proyecto, obra o actividad, los lugares de emplazamiento de infraestructura y otras obras y de la ejecución de todas las actividades asociadas con el uso y aprovechamiento de </w:t>
      </w:r>
      <w:r w:rsidR="004A21E7" w:rsidRPr="00BD1319">
        <w:rPr>
          <w:rFonts w:cs="Arial"/>
          <w:lang w:val="es-CO"/>
        </w:rPr>
        <w:t>estos</w:t>
      </w:r>
      <w:r w:rsidR="00077E48" w:rsidRPr="00BD1319">
        <w:rPr>
          <w:rFonts w:cs="Arial"/>
          <w:lang w:val="es-CO"/>
        </w:rPr>
        <w:t>, de acuerdo con los permisos, concesiones y autorizaciones ambientales que resulte necesario solicitar a la autoridad ambiental.</w:t>
      </w:r>
    </w:p>
    <w:p w14:paraId="6B56E9A8" w14:textId="77777777" w:rsidR="007C139A" w:rsidRPr="00BD1319" w:rsidRDefault="007C139A" w:rsidP="00077E48">
      <w:pPr>
        <w:numPr>
          <w:ilvl w:val="12"/>
          <w:numId w:val="0"/>
        </w:numPr>
        <w:tabs>
          <w:tab w:val="left" w:pos="-2268"/>
        </w:tabs>
        <w:suppressAutoHyphens/>
        <w:rPr>
          <w:rFonts w:cs="Arial"/>
        </w:rPr>
      </w:pPr>
    </w:p>
    <w:p w14:paraId="3BDD4BF2" w14:textId="63ABD342" w:rsidR="00077E48" w:rsidRPr="00BD1319" w:rsidRDefault="00271624" w:rsidP="00077E48">
      <w:pPr>
        <w:pStyle w:val="Prrafodelista"/>
        <w:numPr>
          <w:ilvl w:val="0"/>
          <w:numId w:val="17"/>
        </w:numPr>
        <w:ind w:left="567" w:hanging="567"/>
        <w:contextualSpacing/>
        <w:rPr>
          <w:rFonts w:cs="Arial"/>
          <w:lang w:val="es-CO"/>
        </w:rPr>
      </w:pPr>
      <w:r w:rsidRPr="00BD1319">
        <w:rPr>
          <w:rFonts w:cs="Arial"/>
          <w:lang w:val="es-CO"/>
        </w:rPr>
        <w:t xml:space="preserve">Determinar </w:t>
      </w:r>
      <w:r w:rsidR="00077E48" w:rsidRPr="00BD1319">
        <w:rPr>
          <w:rFonts w:cs="Arial"/>
          <w:lang w:val="es-CO"/>
        </w:rPr>
        <w:t>para cada componente impactado, el tipo de unidad de análisis</w:t>
      </w:r>
      <w:r w:rsidR="00077E48" w:rsidRPr="00BD1319">
        <w:rPr>
          <w:rStyle w:val="Refdenotaalpie"/>
          <w:rFonts w:cs="Arial"/>
          <w:lang w:val="es-CO"/>
        </w:rPr>
        <w:footnoteReference w:id="81"/>
      </w:r>
      <w:r w:rsidR="00077E48" w:rsidRPr="00BD1319">
        <w:rPr>
          <w:rFonts w:cs="Arial"/>
          <w:lang w:val="es-CO"/>
        </w:rPr>
        <w:t xml:space="preserve"> en el que se verificará la manifestación de los impactos del proyecto, obra o actividad. El tipo de unidad de análisis que se emplee depende del detalle de la información disponible; para el caso del componente hidrológico, son ejemplos de tipo de unidad de análisis, las áreas hidrográficas, las zonas hidrográficas</w:t>
      </w:r>
      <w:r w:rsidR="003012E7" w:rsidRPr="00BD1319">
        <w:rPr>
          <w:rFonts w:cs="Arial"/>
          <w:lang w:val="es-CO"/>
        </w:rPr>
        <w:t>,</w:t>
      </w:r>
      <w:r w:rsidR="00077E48" w:rsidRPr="00BD1319">
        <w:rPr>
          <w:rFonts w:cs="Arial"/>
          <w:lang w:val="es-CO"/>
        </w:rPr>
        <w:t xml:space="preserve"> las subzonas hidrográficas</w:t>
      </w:r>
      <w:r w:rsidR="003012E7" w:rsidRPr="00BD1319">
        <w:rPr>
          <w:rFonts w:cs="Arial"/>
          <w:lang w:val="es-CO"/>
        </w:rPr>
        <w:t>, las cuencas, las subcuencas y las microcuencas</w:t>
      </w:r>
      <w:r w:rsidR="00077E48" w:rsidRPr="00BD1319">
        <w:rPr>
          <w:rFonts w:cs="Arial"/>
          <w:lang w:val="es-CO"/>
        </w:rPr>
        <w:t xml:space="preserve"> (ver </w:t>
      </w:r>
      <w:r w:rsidR="00077E48" w:rsidRPr="00BD1319">
        <w:rPr>
          <w:rFonts w:cs="Arial"/>
          <w:lang w:val="es-CO"/>
        </w:rPr>
        <w:fldChar w:fldCharType="begin"/>
      </w:r>
      <w:r w:rsidR="00077E48" w:rsidRPr="00BD1319">
        <w:rPr>
          <w:rFonts w:cs="Arial"/>
          <w:lang w:val="es-CO"/>
        </w:rPr>
        <w:instrText xml:space="preserve"> REF _Ref68274180 \h </w:instrText>
      </w:r>
      <w:r w:rsidR="006A4128" w:rsidRPr="00BD1319">
        <w:rPr>
          <w:rFonts w:cs="Arial"/>
          <w:lang w:val="es-CO"/>
        </w:rPr>
        <w:instrText xml:space="preserve"> \* MERGEFORMAT </w:instrText>
      </w:r>
      <w:r w:rsidR="00077E48" w:rsidRPr="00BD1319">
        <w:rPr>
          <w:rFonts w:cs="Arial"/>
          <w:lang w:val="es-CO"/>
        </w:rPr>
      </w:r>
      <w:r w:rsidR="00077E48" w:rsidRPr="00BD1319">
        <w:rPr>
          <w:rFonts w:cs="Arial"/>
          <w:lang w:val="es-CO"/>
        </w:rPr>
        <w:fldChar w:fldCharType="separate"/>
      </w:r>
      <w:r w:rsidR="00296654" w:rsidRPr="00BD1319">
        <w:rPr>
          <w:rFonts w:cs="Arial"/>
          <w:szCs w:val="22"/>
          <w:lang w:val="es-CO"/>
        </w:rPr>
        <w:t>Figura 6</w:t>
      </w:r>
      <w:r w:rsidR="00077E48" w:rsidRPr="00BD1319">
        <w:rPr>
          <w:rFonts w:cs="Arial"/>
          <w:lang w:val="es-CO"/>
        </w:rPr>
        <w:fldChar w:fldCharType="end"/>
      </w:r>
      <w:r w:rsidR="00077E48" w:rsidRPr="00BD1319">
        <w:rPr>
          <w:rFonts w:cs="Arial"/>
          <w:lang w:val="es-CO"/>
        </w:rPr>
        <w:t>).</w:t>
      </w:r>
    </w:p>
    <w:p w14:paraId="59275C8B" w14:textId="77777777" w:rsidR="003012E7" w:rsidRPr="00BD1319" w:rsidRDefault="003012E7" w:rsidP="003012E7">
      <w:pPr>
        <w:contextualSpacing/>
        <w:rPr>
          <w:rFonts w:cs="Arial"/>
        </w:rPr>
      </w:pPr>
    </w:p>
    <w:p w14:paraId="7A23A9E8" w14:textId="797CDDD2" w:rsidR="003012E7" w:rsidRPr="00BD1319" w:rsidRDefault="003012E7" w:rsidP="003012E7">
      <w:pPr>
        <w:pStyle w:val="Descripcin"/>
        <w:keepNext/>
        <w:jc w:val="center"/>
        <w:rPr>
          <w:rFonts w:cs="Arial"/>
        </w:rPr>
      </w:pPr>
      <w:bookmarkStart w:id="2528" w:name="_Ref68274180"/>
      <w:r w:rsidRPr="00BD1319">
        <w:rPr>
          <w:rFonts w:cs="Arial"/>
          <w:szCs w:val="22"/>
        </w:rPr>
        <w:lastRenderedPageBreak/>
        <w:t xml:space="preserve">Figura </w:t>
      </w:r>
      <w:r w:rsidR="00752A78" w:rsidRPr="00BD1319">
        <w:rPr>
          <w:rFonts w:cs="Arial"/>
          <w:szCs w:val="22"/>
        </w:rPr>
        <w:fldChar w:fldCharType="begin"/>
      </w:r>
      <w:r w:rsidR="00752A78" w:rsidRPr="00BD1319">
        <w:rPr>
          <w:rFonts w:cs="Arial"/>
          <w:szCs w:val="22"/>
        </w:rPr>
        <w:instrText xml:space="preserve"> SEQ Figura \* ARABIC </w:instrText>
      </w:r>
      <w:r w:rsidR="00752A78" w:rsidRPr="00BD1319">
        <w:rPr>
          <w:rFonts w:cs="Arial"/>
          <w:szCs w:val="22"/>
        </w:rPr>
        <w:fldChar w:fldCharType="separate"/>
      </w:r>
      <w:r w:rsidR="00296654" w:rsidRPr="00BD1319">
        <w:rPr>
          <w:rFonts w:cs="Arial"/>
          <w:noProof/>
          <w:szCs w:val="22"/>
        </w:rPr>
        <w:t>6</w:t>
      </w:r>
      <w:r w:rsidR="00752A78" w:rsidRPr="00BD1319">
        <w:rPr>
          <w:rFonts w:cs="Arial"/>
          <w:szCs w:val="22"/>
        </w:rPr>
        <w:fldChar w:fldCharType="end"/>
      </w:r>
      <w:bookmarkEnd w:id="2528"/>
      <w:r w:rsidRPr="00BD1319">
        <w:rPr>
          <w:rFonts w:cs="Arial"/>
          <w:szCs w:val="22"/>
        </w:rPr>
        <w:t xml:space="preserve">. </w:t>
      </w:r>
      <w:r w:rsidRPr="00BD1319">
        <w:rPr>
          <w:rFonts w:cs="Arial"/>
          <w:b w:val="0"/>
          <w:bCs w:val="0"/>
          <w:noProof/>
          <w:lang w:eastAsia="es-CO"/>
        </w:rPr>
        <mc:AlternateContent>
          <mc:Choice Requires="wpg">
            <w:drawing>
              <wp:anchor distT="0" distB="0" distL="114300" distR="114300" simplePos="0" relativeHeight="251655680" behindDoc="0" locked="0" layoutInCell="1" allowOverlap="1" wp14:anchorId="453A2DFB" wp14:editId="0CDAEA68">
                <wp:simplePos x="0" y="0"/>
                <wp:positionH relativeFrom="column">
                  <wp:posOffset>450850</wp:posOffset>
                </wp:positionH>
                <wp:positionV relativeFrom="paragraph">
                  <wp:posOffset>201295</wp:posOffset>
                </wp:positionV>
                <wp:extent cx="5304790" cy="2743200"/>
                <wp:effectExtent l="0" t="0" r="10160" b="19050"/>
                <wp:wrapTopAndBottom/>
                <wp:docPr id="2776" name="2776 Grupo"/>
                <wp:cNvGraphicFramePr/>
                <a:graphic xmlns:a="http://schemas.openxmlformats.org/drawingml/2006/main">
                  <a:graphicData uri="http://schemas.microsoft.com/office/word/2010/wordprocessingGroup">
                    <wpg:wgp>
                      <wpg:cNvGrpSpPr/>
                      <wpg:grpSpPr>
                        <a:xfrm>
                          <a:off x="0" y="0"/>
                          <a:ext cx="5304790" cy="2743200"/>
                          <a:chOff x="0" y="0"/>
                          <a:chExt cx="5304790" cy="2743200"/>
                        </a:xfrm>
                      </wpg:grpSpPr>
                      <wpg:grpSp>
                        <wpg:cNvPr id="2777" name="2777 Grupo"/>
                        <wpg:cNvGrpSpPr/>
                        <wpg:grpSpPr>
                          <a:xfrm>
                            <a:off x="0" y="0"/>
                            <a:ext cx="5304790" cy="2743200"/>
                            <a:chOff x="0" y="0"/>
                            <a:chExt cx="5304790" cy="2743200"/>
                          </a:xfrm>
                        </wpg:grpSpPr>
                        <wpg:grpSp>
                          <wpg:cNvPr id="2778" name="Grupo 145"/>
                          <wpg:cNvGrpSpPr>
                            <a:grpSpLocks noChangeAspect="1"/>
                          </wpg:cNvGrpSpPr>
                          <wpg:grpSpPr bwMode="auto">
                            <a:xfrm>
                              <a:off x="74427" y="10632"/>
                              <a:ext cx="5151600" cy="2174400"/>
                              <a:chOff x="2191" y="1997"/>
                              <a:chExt cx="7080" cy="2989"/>
                            </a:xfrm>
                          </wpg:grpSpPr>
                          <pic:pic xmlns:pic="http://schemas.openxmlformats.org/drawingml/2006/picture">
                            <pic:nvPicPr>
                              <pic:cNvPr id="2779" name="Picture 3" descr="C:\Users\CAMILO\AppData\Local\Microsoft\Windows\INetCache\Content.Word\AH.JPG"/>
                              <pic:cNvPicPr>
                                <a:picLocks noChangeAspect="1" noChangeArrowheads="1"/>
                              </pic:cNvPicPr>
                            </pic:nvPicPr>
                            <pic:blipFill>
                              <a:blip r:embed="rId41">
                                <a:extLst>
                                  <a:ext uri="{28A0092B-C50C-407E-A947-70E740481C1C}">
                                    <a14:useLocalDpi xmlns:a14="http://schemas.microsoft.com/office/drawing/2010/main" val="0"/>
                                  </a:ext>
                                </a:extLst>
                              </a:blip>
                              <a:srcRect l="28741" r="21695"/>
                              <a:stretch>
                                <a:fillRect/>
                              </a:stretch>
                            </pic:blipFill>
                            <pic:spPr bwMode="auto">
                              <a:xfrm>
                                <a:off x="2191" y="1999"/>
                                <a:ext cx="2194" cy="2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780" name="Picture 4" descr="C:\Users\CAMILO\AppData\Local\Microsoft\Windows\INetCache\Content.Word\SZH.JPG"/>
                              <pic:cNvPicPr>
                                <a:picLocks noChangeAspect="1" noChangeArrowheads="1"/>
                              </pic:cNvPicPr>
                            </pic:nvPicPr>
                            <pic:blipFill>
                              <a:blip r:embed="rId42">
                                <a:extLst>
                                  <a:ext uri="{28A0092B-C50C-407E-A947-70E740481C1C}">
                                    <a14:useLocalDpi xmlns:a14="http://schemas.microsoft.com/office/drawing/2010/main" val="0"/>
                                  </a:ext>
                                </a:extLst>
                              </a:blip>
                              <a:srcRect l="28741" r="21695"/>
                              <a:stretch>
                                <a:fillRect/>
                              </a:stretch>
                            </pic:blipFill>
                            <pic:spPr bwMode="auto">
                              <a:xfrm>
                                <a:off x="7084" y="1997"/>
                                <a:ext cx="2187" cy="29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781" name="Picture 5" descr="C:\Users\CAMILO\AppData\Local\Microsoft\Windows\INetCache\Content.Word\ZH.JPG"/>
                              <pic:cNvPicPr>
                                <a:picLocks noChangeAspect="1" noChangeArrowheads="1"/>
                              </pic:cNvPicPr>
                            </pic:nvPicPr>
                            <pic:blipFill>
                              <a:blip r:embed="rId43">
                                <a:extLst>
                                  <a:ext uri="{28A0092B-C50C-407E-A947-70E740481C1C}">
                                    <a14:useLocalDpi xmlns:a14="http://schemas.microsoft.com/office/drawing/2010/main" val="0"/>
                                  </a:ext>
                                </a:extLst>
                              </a:blip>
                              <a:srcRect l="28741" t="3514" r="21695"/>
                              <a:stretch>
                                <a:fillRect/>
                              </a:stretch>
                            </pic:blipFill>
                            <pic:spPr bwMode="auto">
                              <a:xfrm>
                                <a:off x="4641" y="2051"/>
                                <a:ext cx="2187" cy="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s:wsp>
                          <wps:cNvPr id="2782" name="2782 Rectángulo"/>
                          <wps:cNvSpPr/>
                          <wps:spPr>
                            <a:xfrm>
                              <a:off x="0" y="0"/>
                              <a:ext cx="5304790" cy="2743200"/>
                            </a:xfrm>
                            <a:prstGeom prst="rect">
                              <a:avLst/>
                            </a:prstGeom>
                            <a:noFill/>
                            <a:ln w="3175">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2783" name="2783 Cuadro de texto"/>
                        <wps:cNvSpPr txBox="1"/>
                        <wps:spPr>
                          <a:xfrm>
                            <a:off x="395786" y="2320120"/>
                            <a:ext cx="829310" cy="34801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F9B8BB3" w14:textId="77777777" w:rsidR="00D55F13" w:rsidRPr="00394D50" w:rsidRDefault="00D55F13" w:rsidP="003012E7">
                              <w:pPr>
                                <w:jc w:val="center"/>
                                <w:rPr>
                                  <w:b/>
                                  <w:sz w:val="20"/>
                                  <w:szCs w:val="20"/>
                                </w:rPr>
                              </w:pPr>
                              <w:r w:rsidRPr="00394D50">
                                <w:rPr>
                                  <w:b/>
                                  <w:sz w:val="20"/>
                                  <w:szCs w:val="20"/>
                                </w:rPr>
                                <w:t>Área hidrográfica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0" name="40 Cuadro de texto"/>
                        <wps:cNvSpPr txBox="1"/>
                        <wps:spPr>
                          <a:xfrm>
                            <a:off x="2197290" y="2320120"/>
                            <a:ext cx="829310" cy="34801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D4B4617" w14:textId="77777777" w:rsidR="00D55F13" w:rsidRPr="00394D50" w:rsidRDefault="00D55F13" w:rsidP="003012E7">
                              <w:pPr>
                                <w:jc w:val="center"/>
                                <w:rPr>
                                  <w:b/>
                                  <w:sz w:val="20"/>
                                  <w:szCs w:val="20"/>
                                </w:rPr>
                              </w:pPr>
                              <w:r w:rsidRPr="00394D50">
                                <w:rPr>
                                  <w:b/>
                                  <w:sz w:val="20"/>
                                  <w:szCs w:val="20"/>
                                </w:rPr>
                                <w:t>Zona hidrográfica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3" name="43 Cuadro de texto"/>
                        <wps:cNvSpPr txBox="1"/>
                        <wps:spPr>
                          <a:xfrm>
                            <a:off x="4005618" y="2320120"/>
                            <a:ext cx="829310" cy="34801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BCCC80E" w14:textId="6EF59342" w:rsidR="00D55F13" w:rsidRPr="00394D50" w:rsidRDefault="00D55F13" w:rsidP="003012E7">
                              <w:pPr>
                                <w:jc w:val="center"/>
                                <w:rPr>
                                  <w:b/>
                                  <w:sz w:val="20"/>
                                  <w:szCs w:val="20"/>
                                </w:rPr>
                              </w:pPr>
                              <w:r w:rsidRPr="00394D50">
                                <w:rPr>
                                  <w:b/>
                                  <w:sz w:val="20"/>
                                  <w:szCs w:val="20"/>
                                </w:rPr>
                                <w:t>Subzona hidrográfica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453A2DFB" id="2776 Grupo" o:spid="_x0000_s1209" style="position:absolute;left:0;text-align:left;margin-left:35.5pt;margin-top:15.85pt;width:417.7pt;height:3in;z-index:251655680;mso-position-horizontal-relative:text;mso-position-vertical-relative:text" coordsize="53047,2743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v4o&#10;oooAKKKKACiiigAooooAKKKKACiiigAooooAKKKKACiiigAooooAKKKKACvP/il8J/hZ8cfAmu/C&#10;341/DT4f/GD4ZeKP7M/4SX4dfFLwb4c+IHgTxF/Ymsaf4i0b+3fCPizTdX8P6v8A2R4g0jStd0z+&#10;0NPuPsGsaZp+p2vlXtlbTx+gUUAc/wCE/CfhXwF4V8NeBfAvhrw/4L8E+C/D+jeE/B3g7wno2neH&#10;PCvhPwr4c0620fw94a8NeHtHtrPSNC8P6FpFnaaXo2jaXaWunaXp1rbWNjbQW0EUS9B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9lQSwMECgAAAAAAAAAhAGlZFERTDAIAUwwCABUA&#10;AABkcnMvbWVkaWEvaW1hZ2UyLmpwZWf/2P/gABBKRklGAAEBAQBgAGAAAP/bAEMAAQEBAQEBAQEB&#10;AQEBAQEBAQEBAQEBAQEBAQEBAQEBAQEBAQEBAQEBAQEBAQEBAQEBAQEBAQEBAQEBAQEBAQEBAf/b&#10;AEMBAQEBAQEBAQEBAQEBAQEBAQEBAQEBAQEBAQEBAQEBAQEBAQEBAQEBAQEBAQEBAQEBAQEBAQEB&#10;AQEBAQEBAQEBAf/AABEIAlUDdQ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">
                <v:group id="2777 Grupo" o:spid="_x0000_s1210" style="position:absolute;width:53047;height:27432" coordsize="53047,27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">
                  <v:group id="Grupo 145" o:spid="_x0000_s1211" style="position:absolute;left:744;top:106;width:51516;height:21744" coordorigin="2191,1997" coordsize="7080,29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&#1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212" type="#_x0000_t75" style="position:absolute;left:2191;top:1999;width:2194;height:29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">
                      <v:imagedata r:id="rId44" o:title="AH" cropleft="18836f" cropright="14218f"/>
                    </v:shape>
                    <v:shape id="Picture 4" o:spid="_x0000_s1213" type="#_x0000_t75" style="position:absolute;left:7084;top:1997;width:2187;height:29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">
                      <v:imagedata r:id="rId45" o:title="SZH" cropleft="18836f" cropright="14218f"/>
                    </v:shape>
                    <v:shape id="Picture 5" o:spid="_x0000_s1214" type="#_x0000_t75" style="position:absolute;left:4641;top:2051;width:2187;height:28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">
                      <v:imagedata r:id="rId46" o:title="ZH" croptop="2303f" cropleft="18836f" cropright="14218f"/>
                    </v:shape>
                  </v:group>
                  <v:rect id="2782 Rectángulo" o:spid="_x0000_s1215" style="position:absolute;width:53047;height:274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" filled="f" strokecolor="black [3213]" strokeweight=".25pt"/>
                </v:group>
                <v:shape id="2783 Cuadro de texto" o:spid="_x0000_s1216" type="#_x0000_t202" style="position:absolute;left:3957;top:23201;width:8293;height:3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" filled="f" stroked="f" strokeweight=".5pt">
                  <v:textbox inset="0,0,0,0">
                    <w:txbxContent>
                      <w:p w14:paraId="5F9B8BB3" w14:textId="77777777" w:rsidR="00D55F13" w:rsidRPr="00394D50" w:rsidRDefault="00D55F13" w:rsidP="003012E7">
                        <w:pPr>
                          <w:jc w:val="center"/>
                          <w:rPr>
                            <w:b/>
                            <w:sz w:val="20"/>
                            <w:szCs w:val="20"/>
                          </w:rPr>
                        </w:pPr>
                        <w:r w:rsidRPr="00394D50">
                          <w:rPr>
                            <w:b/>
                            <w:sz w:val="20"/>
                            <w:szCs w:val="20"/>
                          </w:rPr>
                          <w:t>Área hidrográfica</w:t>
                        </w:r>
                      </w:p>
                    </w:txbxContent>
                  </v:textbox>
                </v:shape>
                <v:shape id="40 Cuadro de texto" o:spid="_x0000_s1217" type="#_x0000_t202" style="position:absolute;left:21972;top:23201;width:8294;height:3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" filled="f" stroked="f" strokeweight=".5pt">
                  <v:textbox inset="0,0,0,0">
                    <w:txbxContent>
                      <w:p w14:paraId="6D4B4617" w14:textId="77777777" w:rsidR="00D55F13" w:rsidRPr="00394D50" w:rsidRDefault="00D55F13" w:rsidP="003012E7">
                        <w:pPr>
                          <w:jc w:val="center"/>
                          <w:rPr>
                            <w:b/>
                            <w:sz w:val="20"/>
                            <w:szCs w:val="20"/>
                          </w:rPr>
                        </w:pPr>
                        <w:r w:rsidRPr="00394D50">
                          <w:rPr>
                            <w:b/>
                            <w:sz w:val="20"/>
                            <w:szCs w:val="20"/>
                          </w:rPr>
                          <w:t>Zona hidrográfica</w:t>
                        </w:r>
                      </w:p>
                    </w:txbxContent>
                  </v:textbox>
                </v:shape>
                <v:shape id="43 Cuadro de texto" o:spid="_x0000_s1218" type="#_x0000_t202" style="position:absolute;left:40056;top:23201;width:8293;height:3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" filled="f" stroked="f" strokeweight=".5pt">
                  <v:textbox inset="0,0,0,0">
                    <w:txbxContent>
                      <w:p w14:paraId="7BCCC80E" w14:textId="6EF59342" w:rsidR="00D55F13" w:rsidRPr="00394D50" w:rsidRDefault="00D55F13" w:rsidP="003012E7">
                        <w:pPr>
                          <w:jc w:val="center"/>
                          <w:rPr>
                            <w:b/>
                            <w:sz w:val="20"/>
                            <w:szCs w:val="20"/>
                          </w:rPr>
                        </w:pPr>
                        <w:r w:rsidRPr="00394D50">
                          <w:rPr>
                            <w:b/>
                            <w:sz w:val="20"/>
                            <w:szCs w:val="20"/>
                          </w:rPr>
                          <w:t>Subzona hidrográfica</w:t>
                        </w:r>
                      </w:p>
                    </w:txbxContent>
                  </v:textbox>
                </v:shape>
                <w10:wrap type="topAndBottom"/>
              </v:group>
            </w:pict>
          </mc:Fallback>
        </mc:AlternateContent>
      </w:r>
      <w:r w:rsidRPr="00BD1319">
        <w:rPr>
          <w:rFonts w:cs="Arial"/>
          <w:b w:val="0"/>
          <w:bCs w:val="0"/>
          <w:szCs w:val="22"/>
          <w:lang w:eastAsia="es-CO"/>
        </w:rPr>
        <w:t>Ejemplo de tipos de unidad de análisis</w:t>
      </w:r>
    </w:p>
    <w:p w14:paraId="1BD6A775" w14:textId="37EA0659" w:rsidR="00077E48" w:rsidRPr="00BD1319" w:rsidRDefault="00077E48" w:rsidP="00A5705F">
      <w:pPr>
        <w:contextualSpacing/>
        <w:rPr>
          <w:rFonts w:cs="Arial"/>
        </w:rPr>
      </w:pPr>
    </w:p>
    <w:p w14:paraId="7B70EBD9" w14:textId="2E9C0FFB" w:rsidR="00E93324" w:rsidRPr="00BD1319" w:rsidRDefault="00E93324" w:rsidP="00E93324">
      <w:pPr>
        <w:pStyle w:val="Prrafodelista"/>
        <w:ind w:left="567"/>
        <w:contextualSpacing/>
        <w:rPr>
          <w:rFonts w:cs="Arial"/>
          <w:lang w:val="es-CO"/>
        </w:rPr>
      </w:pPr>
      <w:r w:rsidRPr="00BD1319">
        <w:rPr>
          <w:rFonts w:cs="Arial"/>
          <w:lang w:val="es-CO"/>
        </w:rPr>
        <w:t xml:space="preserve">Adicionalmente, para el tipo de unidad de análisis seleccionado, se deben </w:t>
      </w:r>
      <w:r w:rsidR="005040A0" w:rsidRPr="00BD1319">
        <w:rPr>
          <w:rFonts w:cs="Arial"/>
          <w:lang w:val="es-CO"/>
        </w:rPr>
        <w:t xml:space="preserve">determinar </w:t>
      </w:r>
      <w:r w:rsidRPr="00BD1319">
        <w:rPr>
          <w:rFonts w:cs="Arial"/>
          <w:lang w:val="es-CO"/>
        </w:rPr>
        <w:t xml:space="preserve">las unidades que conforman el componente y que harán parte del procedimiento de delimitación del área de influencia (ver </w:t>
      </w:r>
      <w:r w:rsidRPr="00BD1319">
        <w:rPr>
          <w:rFonts w:cs="Arial"/>
          <w:lang w:val="es-CO"/>
        </w:rPr>
        <w:fldChar w:fldCharType="begin"/>
      </w:r>
      <w:r w:rsidRPr="00BD1319">
        <w:rPr>
          <w:rFonts w:cs="Arial"/>
          <w:lang w:val="es-CO"/>
        </w:rPr>
        <w:instrText xml:space="preserve"> REF _Ref37426624 \h  \* MERGEFORMAT </w:instrText>
      </w:r>
      <w:r w:rsidRPr="00BD1319">
        <w:rPr>
          <w:rFonts w:cs="Arial"/>
          <w:lang w:val="es-CO"/>
        </w:rPr>
      </w:r>
      <w:r w:rsidRPr="00BD1319">
        <w:rPr>
          <w:rFonts w:cs="Arial"/>
          <w:lang w:val="es-CO"/>
        </w:rPr>
        <w:fldChar w:fldCharType="separate"/>
      </w:r>
      <w:r w:rsidR="00296654" w:rsidRPr="00BD1319">
        <w:rPr>
          <w:rFonts w:eastAsiaTheme="minorHAnsi" w:cs="Arial"/>
          <w:bCs/>
          <w:szCs w:val="22"/>
          <w:lang w:val="es-CO" w:eastAsia="en-US"/>
        </w:rPr>
        <w:t>Figura 7</w:t>
      </w:r>
      <w:r w:rsidRPr="00BD1319">
        <w:rPr>
          <w:rFonts w:cs="Arial"/>
          <w:lang w:val="es-CO"/>
        </w:rPr>
        <w:fldChar w:fldCharType="end"/>
      </w:r>
      <w:r w:rsidRPr="00BD1319">
        <w:rPr>
          <w:rFonts w:cs="Arial"/>
          <w:lang w:val="es-CO"/>
        </w:rPr>
        <w:t>, recuadro 1).</w:t>
      </w:r>
    </w:p>
    <w:p w14:paraId="3614CD42" w14:textId="77777777" w:rsidR="00E93324" w:rsidRPr="00BD1319" w:rsidRDefault="00E93324" w:rsidP="00E93324">
      <w:pPr>
        <w:contextualSpacing/>
        <w:rPr>
          <w:rFonts w:cs="Arial"/>
        </w:rPr>
      </w:pPr>
    </w:p>
    <w:p w14:paraId="57132655" w14:textId="2D095351" w:rsidR="00E93324" w:rsidRPr="00BD1319" w:rsidRDefault="00E93324" w:rsidP="00E93324">
      <w:pPr>
        <w:pStyle w:val="Prrafodelista"/>
        <w:ind w:left="567"/>
        <w:contextualSpacing/>
        <w:rPr>
          <w:rFonts w:cs="Arial"/>
          <w:lang w:val="es-CO"/>
        </w:rPr>
      </w:pPr>
      <w:r w:rsidRPr="00BD1319">
        <w:rPr>
          <w:rFonts w:cs="Arial"/>
          <w:lang w:val="es-CO"/>
        </w:rPr>
        <w:t xml:space="preserve">En la </w:t>
      </w:r>
      <w:r w:rsidRPr="00BD1319">
        <w:rPr>
          <w:rFonts w:cs="Arial"/>
          <w:lang w:val="es-CO"/>
        </w:rPr>
        <w:fldChar w:fldCharType="begin"/>
      </w:r>
      <w:r w:rsidRPr="00BD1319">
        <w:rPr>
          <w:rFonts w:cs="Arial"/>
          <w:lang w:val="es-CO"/>
        </w:rPr>
        <w:instrText xml:space="preserve"> REF _Ref68252303 \h  \* MERGEFORMAT </w:instrText>
      </w:r>
      <w:r w:rsidRPr="00BD1319">
        <w:rPr>
          <w:rFonts w:cs="Arial"/>
          <w:lang w:val="es-CO"/>
        </w:rPr>
      </w:r>
      <w:r w:rsidRPr="00BD1319">
        <w:rPr>
          <w:rFonts w:cs="Arial"/>
          <w:lang w:val="es-CO"/>
        </w:rPr>
        <w:fldChar w:fldCharType="separate"/>
      </w:r>
      <w:r w:rsidR="00296654" w:rsidRPr="00BD1319">
        <w:rPr>
          <w:lang w:val="es-CO"/>
        </w:rPr>
        <w:t>Tabla 17</w:t>
      </w:r>
      <w:r w:rsidRPr="00BD1319">
        <w:rPr>
          <w:rFonts w:cs="Arial"/>
          <w:lang w:val="es-CO"/>
        </w:rPr>
        <w:fldChar w:fldCharType="end"/>
      </w:r>
      <w:r w:rsidRPr="00BD1319">
        <w:rPr>
          <w:rFonts w:cs="Arial"/>
          <w:lang w:val="es-CO"/>
        </w:rPr>
        <w:t xml:space="preserve"> se mencionan ejemplos de tipos de unidades de análisis para diferentes componentes, y sus posibles fuentes de información secundaria.</w:t>
      </w:r>
    </w:p>
    <w:p w14:paraId="28024DD7" w14:textId="77777777" w:rsidR="00E93324" w:rsidRPr="00BD1319" w:rsidRDefault="00E93324" w:rsidP="00A5705F">
      <w:pPr>
        <w:contextualSpacing/>
        <w:rPr>
          <w:rFonts w:cs="Arial"/>
        </w:rPr>
      </w:pPr>
    </w:p>
    <w:p w14:paraId="14E2F5D2" w14:textId="73F02193" w:rsidR="00077E48" w:rsidRPr="00BD1319" w:rsidRDefault="00271624" w:rsidP="00077E48">
      <w:pPr>
        <w:pStyle w:val="Prrafodelista"/>
        <w:numPr>
          <w:ilvl w:val="0"/>
          <w:numId w:val="17"/>
        </w:numPr>
        <w:ind w:left="567" w:hanging="567"/>
        <w:contextualSpacing/>
        <w:rPr>
          <w:rFonts w:cs="Arial"/>
          <w:lang w:val="es-CO"/>
        </w:rPr>
      </w:pPr>
      <w:r w:rsidRPr="00BD1319">
        <w:rPr>
          <w:rFonts w:cs="Arial"/>
          <w:lang w:val="es-CO"/>
        </w:rPr>
        <w:t xml:space="preserve">Establecer </w:t>
      </w:r>
      <w:r w:rsidR="00077E48" w:rsidRPr="00BD1319">
        <w:rPr>
          <w:rFonts w:cs="Arial"/>
          <w:lang w:val="es-CO"/>
        </w:rPr>
        <w:t xml:space="preserve">criterios válidos </w:t>
      </w:r>
      <w:r w:rsidR="00077E48" w:rsidRPr="00BD1319">
        <w:rPr>
          <w:rFonts w:cs="Arial"/>
          <w:bCs/>
          <w:lang w:val="es-CO"/>
        </w:rPr>
        <w:t xml:space="preserve">para conformar unidades de análisis de menor tamaño. La obtención y procesamiento de información secundaria y primaria de mayor detalle faculta la posibilidad de </w:t>
      </w:r>
      <w:r w:rsidR="00077E48" w:rsidRPr="00BD1319">
        <w:rPr>
          <w:rFonts w:cs="Arial"/>
          <w:lang w:val="es-CO"/>
        </w:rPr>
        <w:t>delimitar unidades de análisis más precisas en las que sea posible verificar la manifestación de los impactos del proyecto, obra o actividad.</w:t>
      </w:r>
    </w:p>
    <w:p w14:paraId="61FD233F" w14:textId="77777777" w:rsidR="00077E48" w:rsidRPr="00BD1319" w:rsidRDefault="00077E48" w:rsidP="00A5705F">
      <w:pPr>
        <w:contextualSpacing/>
        <w:rPr>
          <w:rFonts w:cs="Arial"/>
        </w:rPr>
      </w:pPr>
    </w:p>
    <w:p w14:paraId="473E1D4D" w14:textId="56422782" w:rsidR="00077E48" w:rsidRPr="00BD1319" w:rsidRDefault="00077E48" w:rsidP="00077E48">
      <w:pPr>
        <w:pStyle w:val="Prrafodelista"/>
        <w:ind w:left="567"/>
        <w:contextualSpacing/>
        <w:rPr>
          <w:rFonts w:cs="Arial"/>
          <w:lang w:val="es-CO"/>
        </w:rPr>
      </w:pPr>
      <w:r w:rsidRPr="00BD1319">
        <w:rPr>
          <w:rFonts w:cs="Arial"/>
          <w:lang w:val="es-CO"/>
        </w:rPr>
        <w:t xml:space="preserve">En la </w:t>
      </w:r>
      <w:r w:rsidRPr="00BD1319">
        <w:rPr>
          <w:rFonts w:cs="Arial"/>
          <w:lang w:val="es-CO"/>
        </w:rPr>
        <w:fldChar w:fldCharType="begin"/>
      </w:r>
      <w:r w:rsidRPr="00BD1319">
        <w:rPr>
          <w:rFonts w:cs="Arial"/>
          <w:lang w:val="es-CO"/>
        </w:rPr>
        <w:instrText xml:space="preserve"> REF _Ref68252303 \h </w:instrText>
      </w:r>
      <w:r w:rsidR="006A4128" w:rsidRPr="00BD1319">
        <w:rPr>
          <w:rFonts w:cs="Arial"/>
          <w:lang w:val="es-CO"/>
        </w:rPr>
        <w:instrText xml:space="preserve"> \* MERGEFORMAT </w:instrText>
      </w:r>
      <w:r w:rsidRPr="00BD1319">
        <w:rPr>
          <w:rFonts w:cs="Arial"/>
          <w:lang w:val="es-CO"/>
        </w:rPr>
      </w:r>
      <w:r w:rsidRPr="00BD1319">
        <w:rPr>
          <w:rFonts w:cs="Arial"/>
          <w:lang w:val="es-CO"/>
        </w:rPr>
        <w:fldChar w:fldCharType="separate"/>
      </w:r>
      <w:r w:rsidR="00296654" w:rsidRPr="00BD1319">
        <w:rPr>
          <w:lang w:val="es-CO"/>
        </w:rPr>
        <w:t>Tabla 17</w:t>
      </w:r>
      <w:r w:rsidRPr="00BD1319">
        <w:rPr>
          <w:rFonts w:cs="Arial"/>
          <w:lang w:val="es-CO"/>
        </w:rPr>
        <w:fldChar w:fldCharType="end"/>
      </w:r>
      <w:r w:rsidRPr="00BD1319">
        <w:rPr>
          <w:rFonts w:cs="Arial"/>
          <w:lang w:val="es-CO"/>
        </w:rPr>
        <w:t xml:space="preserve"> se mencionan ejemplos de criterios que pueden, de forma consistente, soportar la conformación de nuevas unidades de análisis más precisas.</w:t>
      </w:r>
    </w:p>
    <w:p w14:paraId="34F6DEA7" w14:textId="77777777" w:rsidR="00077E48" w:rsidRPr="00BD1319" w:rsidRDefault="00077E48" w:rsidP="00A5705F">
      <w:pPr>
        <w:contextualSpacing/>
        <w:rPr>
          <w:rFonts w:cs="Arial"/>
        </w:rPr>
      </w:pPr>
    </w:p>
    <w:p w14:paraId="7DC871AC" w14:textId="041E70C7" w:rsidR="00077E48" w:rsidRPr="00BD1319" w:rsidRDefault="00077E48" w:rsidP="00077E48">
      <w:pPr>
        <w:pStyle w:val="Prrafodelista"/>
        <w:numPr>
          <w:ilvl w:val="0"/>
          <w:numId w:val="17"/>
        </w:numPr>
        <w:ind w:left="567" w:hanging="567"/>
        <w:contextualSpacing/>
        <w:rPr>
          <w:rFonts w:cs="Arial"/>
          <w:lang w:val="es-CO"/>
        </w:rPr>
      </w:pPr>
      <w:r w:rsidRPr="00BD1319">
        <w:rPr>
          <w:rFonts w:cs="Arial"/>
          <w:lang w:val="es-CO"/>
        </w:rPr>
        <w:t xml:space="preserve">Conformar, en caso de que ello resulte posible, unidades de análisis de menor tamaño que puedan representar con la mayor precisión posible, el área en la cual se manifiestan los impactos ambientales significativos ocasionados por la ejecución del proyecto, obra o actividad. El éxito del procedimiento no se refleja en la reducción del área </w:t>
      </w:r>
      <w:r w:rsidRPr="00BD1319">
        <w:rPr>
          <w:rFonts w:cs="Arial"/>
          <w:i/>
          <w:lang w:val="es-CO"/>
        </w:rPr>
        <w:t>per se</w:t>
      </w:r>
      <w:r w:rsidRPr="00BD1319">
        <w:rPr>
          <w:rFonts w:cs="Arial"/>
          <w:lang w:val="es-CO"/>
        </w:rPr>
        <w:t xml:space="preserve">, sino en el grado de precisión que se logre alcanzar en la representación de la manifestación de los impactos (ver </w:t>
      </w:r>
      <w:r w:rsidRPr="00BD1319">
        <w:rPr>
          <w:rFonts w:cs="Arial"/>
          <w:lang w:val="es-CO"/>
        </w:rPr>
        <w:fldChar w:fldCharType="begin"/>
      </w:r>
      <w:r w:rsidRPr="00BD1319">
        <w:rPr>
          <w:rFonts w:cs="Arial"/>
          <w:lang w:val="es-CO"/>
        </w:rPr>
        <w:instrText xml:space="preserve"> REF _Ref37426624 \h  \* MERGEFORMAT </w:instrText>
      </w:r>
      <w:r w:rsidRPr="00BD1319">
        <w:rPr>
          <w:rFonts w:cs="Arial"/>
          <w:lang w:val="es-CO"/>
        </w:rPr>
      </w:r>
      <w:r w:rsidRPr="00BD1319">
        <w:rPr>
          <w:rFonts w:cs="Arial"/>
          <w:lang w:val="es-CO"/>
        </w:rPr>
        <w:fldChar w:fldCharType="separate"/>
      </w:r>
      <w:r w:rsidR="00296654" w:rsidRPr="00BD1319">
        <w:rPr>
          <w:rFonts w:eastAsiaTheme="minorHAnsi" w:cs="Arial"/>
          <w:bCs/>
          <w:szCs w:val="22"/>
          <w:lang w:val="es-CO" w:eastAsia="en-US"/>
        </w:rPr>
        <w:t>Figura 7</w:t>
      </w:r>
      <w:r w:rsidRPr="00BD1319">
        <w:rPr>
          <w:rFonts w:cs="Arial"/>
          <w:lang w:val="es-CO"/>
        </w:rPr>
        <w:fldChar w:fldCharType="end"/>
      </w:r>
      <w:r w:rsidRPr="00BD1319">
        <w:rPr>
          <w:rFonts w:cs="Arial"/>
          <w:lang w:val="es-CO"/>
        </w:rPr>
        <w:t>, recuadro 2).</w:t>
      </w:r>
    </w:p>
    <w:p w14:paraId="0DBDDEDB" w14:textId="77777777" w:rsidR="00077E48" w:rsidRPr="00BD1319" w:rsidRDefault="00077E48" w:rsidP="00A5705F">
      <w:pPr>
        <w:contextualSpacing/>
        <w:rPr>
          <w:rFonts w:cs="Arial"/>
        </w:rPr>
      </w:pPr>
    </w:p>
    <w:p w14:paraId="481B2557" w14:textId="667855B9" w:rsidR="00077E48" w:rsidRPr="00BD1319" w:rsidRDefault="00271624" w:rsidP="00077E48">
      <w:pPr>
        <w:pStyle w:val="Prrafodelista"/>
        <w:numPr>
          <w:ilvl w:val="0"/>
          <w:numId w:val="17"/>
        </w:numPr>
        <w:ind w:left="567" w:hanging="567"/>
        <w:contextualSpacing/>
        <w:rPr>
          <w:rFonts w:cs="Arial"/>
          <w:lang w:val="es-CO"/>
        </w:rPr>
      </w:pPr>
      <w:r w:rsidRPr="00BD1319">
        <w:rPr>
          <w:rFonts w:cs="Arial"/>
          <w:lang w:val="es-CO"/>
        </w:rPr>
        <w:lastRenderedPageBreak/>
        <w:t xml:space="preserve">Determinar </w:t>
      </w:r>
      <w:r w:rsidR="00077E48" w:rsidRPr="00BD1319">
        <w:rPr>
          <w:rFonts w:cs="Arial"/>
          <w:lang w:val="es-CO"/>
        </w:rPr>
        <w:t xml:space="preserve">el conjunto de unidades de análisis en el que se manifiestan los impactos ambientales significativos, teniendo en cuenta los resultados de la evaluación ambiental (ver </w:t>
      </w:r>
      <w:r w:rsidR="00077E48" w:rsidRPr="00BD1319">
        <w:rPr>
          <w:rFonts w:cs="Arial"/>
          <w:lang w:val="es-CO"/>
        </w:rPr>
        <w:fldChar w:fldCharType="begin"/>
      </w:r>
      <w:r w:rsidR="00077E48" w:rsidRPr="00BD1319">
        <w:rPr>
          <w:rFonts w:cs="Arial"/>
          <w:lang w:val="es-CO"/>
        </w:rPr>
        <w:instrText xml:space="preserve"> REF _Ref37426624 \h  \* MERGEFORMAT </w:instrText>
      </w:r>
      <w:r w:rsidR="00077E48" w:rsidRPr="00BD1319">
        <w:rPr>
          <w:rFonts w:cs="Arial"/>
          <w:lang w:val="es-CO"/>
        </w:rPr>
      </w:r>
      <w:r w:rsidR="00077E48" w:rsidRPr="00BD1319">
        <w:rPr>
          <w:rFonts w:cs="Arial"/>
          <w:lang w:val="es-CO"/>
        </w:rPr>
        <w:fldChar w:fldCharType="separate"/>
      </w:r>
      <w:r w:rsidR="00296654" w:rsidRPr="00BD1319">
        <w:rPr>
          <w:rFonts w:eastAsiaTheme="minorHAnsi" w:cs="Arial"/>
          <w:bCs/>
          <w:szCs w:val="22"/>
          <w:lang w:val="es-CO" w:eastAsia="en-US"/>
        </w:rPr>
        <w:t>Figura 7</w:t>
      </w:r>
      <w:r w:rsidR="00077E48" w:rsidRPr="00BD1319">
        <w:rPr>
          <w:rFonts w:cs="Arial"/>
          <w:lang w:val="es-CO"/>
        </w:rPr>
        <w:fldChar w:fldCharType="end"/>
      </w:r>
      <w:r w:rsidR="00077E48" w:rsidRPr="00BD1319">
        <w:rPr>
          <w:rFonts w:cs="Arial"/>
          <w:lang w:val="es-CO"/>
        </w:rPr>
        <w:t>, recuadro 3). En este punto resulta especialmente importante tener presente, que la manifestación de los impactos depende de la sensibilidad ambiental de cada unidad y de las características de las presiones (</w:t>
      </w:r>
      <w:r w:rsidR="00E41568" w:rsidRPr="00BD1319">
        <w:rPr>
          <w:rFonts w:cs="Arial"/>
          <w:lang w:val="es-CO"/>
        </w:rPr>
        <w:t xml:space="preserve">aspectos </w:t>
      </w:r>
      <w:r w:rsidR="00077E48" w:rsidRPr="00BD1319">
        <w:rPr>
          <w:rFonts w:cs="Arial"/>
          <w:lang w:val="es-CO"/>
        </w:rPr>
        <w:t>ambientales) que se ejercen sobre ellas.</w:t>
      </w:r>
      <w:r w:rsidR="00077E48" w:rsidRPr="00BD1319">
        <w:rPr>
          <w:rFonts w:cs="Arial"/>
          <w:spacing w:val="-3"/>
          <w:lang w:val="es-CO"/>
        </w:rPr>
        <w:t xml:space="preserve"> La manifestación de los impactos ambientales significativos no se limita exclusivamente al área </w:t>
      </w:r>
      <w:r w:rsidR="00F53A6E" w:rsidRPr="00BD1319">
        <w:rPr>
          <w:rFonts w:cs="Arial"/>
          <w:spacing w:val="-3"/>
          <w:lang w:val="es-CO"/>
        </w:rPr>
        <w:t>por</w:t>
      </w:r>
      <w:r w:rsidR="00077E48" w:rsidRPr="00BD1319">
        <w:rPr>
          <w:rFonts w:cs="Arial"/>
          <w:spacing w:val="-3"/>
          <w:lang w:val="es-CO"/>
        </w:rPr>
        <w:t xml:space="preserve"> intervenir, donde los impactos pueden evidenciarse de modo directo e inmediato, sino que ésta generalmente trasciende a otras áreas, actuando de manera indirecta, acumulativa y sinérgica, y </w:t>
      </w:r>
      <w:r w:rsidR="003012E7" w:rsidRPr="00BD1319">
        <w:rPr>
          <w:rFonts w:cs="Arial"/>
          <w:spacing w:val="-3"/>
          <w:lang w:val="es-CO"/>
        </w:rPr>
        <w:t xml:space="preserve">prolongada </w:t>
      </w:r>
      <w:r w:rsidR="00077E48" w:rsidRPr="00BD1319">
        <w:rPr>
          <w:rFonts w:cs="Arial"/>
          <w:spacing w:val="-3"/>
          <w:lang w:val="es-CO"/>
        </w:rPr>
        <w:t>en el tiempo.</w:t>
      </w:r>
    </w:p>
    <w:p w14:paraId="62174B5D" w14:textId="77777777" w:rsidR="00077E48" w:rsidRPr="00BD1319" w:rsidRDefault="00077E48" w:rsidP="00077E48"/>
    <w:bookmarkStart w:id="2529" w:name="_Ref37426624"/>
    <w:p w14:paraId="46F58063" w14:textId="468FCA60" w:rsidR="00077E48" w:rsidRPr="00BD1319" w:rsidRDefault="0065023A" w:rsidP="00077E48">
      <w:pPr>
        <w:keepNext/>
        <w:overflowPunct/>
        <w:autoSpaceDE/>
        <w:autoSpaceDN/>
        <w:adjustRightInd/>
        <w:jc w:val="center"/>
        <w:textAlignment w:val="auto"/>
        <w:rPr>
          <w:rFonts w:eastAsiaTheme="minorHAnsi" w:cs="Arial"/>
          <w:b/>
          <w:bCs/>
          <w:szCs w:val="22"/>
          <w:lang w:eastAsia="en-US"/>
        </w:rPr>
      </w:pPr>
      <w:r w:rsidRPr="00BD1319">
        <w:rPr>
          <w:noProof/>
          <w:lang w:eastAsia="es-CO"/>
        </w:rPr>
        <mc:AlternateContent>
          <mc:Choice Requires="wpg">
            <w:drawing>
              <wp:anchor distT="0" distB="0" distL="114300" distR="114300" simplePos="0" relativeHeight="251652608" behindDoc="0" locked="0" layoutInCell="1" allowOverlap="1" wp14:anchorId="3E6CAE89" wp14:editId="0D1229D1">
                <wp:simplePos x="0" y="0"/>
                <wp:positionH relativeFrom="column">
                  <wp:posOffset>443230</wp:posOffset>
                </wp:positionH>
                <wp:positionV relativeFrom="paragraph">
                  <wp:posOffset>235585</wp:posOffset>
                </wp:positionV>
                <wp:extent cx="5200650" cy="4044315"/>
                <wp:effectExtent l="0" t="0" r="19050" b="13335"/>
                <wp:wrapTopAndBottom/>
                <wp:docPr id="2675" name="2675 Grupo"/>
                <wp:cNvGraphicFramePr/>
                <a:graphic xmlns:a="http://schemas.openxmlformats.org/drawingml/2006/main">
                  <a:graphicData uri="http://schemas.microsoft.com/office/word/2010/wordprocessingGroup">
                    <wpg:wgp>
                      <wpg:cNvGrpSpPr/>
                      <wpg:grpSpPr>
                        <a:xfrm>
                          <a:off x="0" y="0"/>
                          <a:ext cx="5200650" cy="4044315"/>
                          <a:chOff x="0" y="0"/>
                          <a:chExt cx="5201213" cy="4044553"/>
                        </a:xfrm>
                      </wpg:grpSpPr>
                      <wpg:grpSp>
                        <wpg:cNvPr id="2676" name="2676 Grupo"/>
                        <wpg:cNvGrpSpPr/>
                        <wpg:grpSpPr>
                          <a:xfrm>
                            <a:off x="0" y="0"/>
                            <a:ext cx="5201213" cy="4044553"/>
                            <a:chOff x="0" y="0"/>
                            <a:chExt cx="5201213" cy="4044553"/>
                          </a:xfrm>
                        </wpg:grpSpPr>
                        <wpg:grpSp>
                          <wpg:cNvPr id="2677" name="2677 Grupo"/>
                          <wpg:cNvGrpSpPr/>
                          <wpg:grpSpPr>
                            <a:xfrm>
                              <a:off x="0" y="0"/>
                              <a:ext cx="5201213" cy="4044553"/>
                              <a:chOff x="0" y="0"/>
                              <a:chExt cx="5201213" cy="4044553"/>
                            </a:xfrm>
                          </wpg:grpSpPr>
                          <wpg:grpSp>
                            <wpg:cNvPr id="2678" name="2678 Grupo"/>
                            <wpg:cNvGrpSpPr/>
                            <wpg:grpSpPr>
                              <a:xfrm>
                                <a:off x="0" y="0"/>
                                <a:ext cx="5201213" cy="4044553"/>
                                <a:chOff x="0" y="0"/>
                                <a:chExt cx="5201213" cy="4044553"/>
                              </a:xfrm>
                            </wpg:grpSpPr>
                            <wpg:grpSp>
                              <wpg:cNvPr id="2679" name="2679 Grupo"/>
                              <wpg:cNvGrpSpPr/>
                              <wpg:grpSpPr>
                                <a:xfrm>
                                  <a:off x="0" y="0"/>
                                  <a:ext cx="5201213" cy="4044553"/>
                                  <a:chOff x="0" y="0"/>
                                  <a:chExt cx="5201213" cy="4044553"/>
                                </a:xfrm>
                              </wpg:grpSpPr>
                              <wpg:grpSp>
                                <wpg:cNvPr id="2680" name="2680 Grupo"/>
                                <wpg:cNvGrpSpPr/>
                                <wpg:grpSpPr>
                                  <a:xfrm>
                                    <a:off x="0" y="0"/>
                                    <a:ext cx="5201213" cy="4044553"/>
                                    <a:chOff x="0" y="0"/>
                                    <a:chExt cx="5201213" cy="4044553"/>
                                  </a:xfrm>
                                </wpg:grpSpPr>
                                <wpg:grpSp>
                                  <wpg:cNvPr id="2681" name="2681 Grupo"/>
                                  <wpg:cNvGrpSpPr/>
                                  <wpg:grpSpPr>
                                    <a:xfrm>
                                      <a:off x="0" y="0"/>
                                      <a:ext cx="5201213" cy="4044553"/>
                                      <a:chOff x="0" y="0"/>
                                      <a:chExt cx="5201213" cy="4044553"/>
                                    </a:xfrm>
                                  </wpg:grpSpPr>
                                  <wps:wsp>
                                    <wps:cNvPr id="2682" name="2682 Rectángulo"/>
                                    <wps:cNvSpPr/>
                                    <wps:spPr>
                                      <a:xfrm>
                                        <a:off x="0" y="2085975"/>
                                        <a:ext cx="2552748" cy="1958578"/>
                                      </a:xfrm>
                                      <a:prstGeom prst="rect">
                                        <a:avLst/>
                                      </a:prstGeom>
                                      <a:noFill/>
                                      <a:ln w="6350" cap="flat" cmpd="sng" algn="ctr">
                                        <a:solidFill>
                                          <a:sysClr val="windowText" lastClr="000000">
                                            <a:lumMod val="95000"/>
                                            <a:lumOff val="5000"/>
                                          </a:sysClr>
                                        </a:solidFill>
                                        <a:prstDash val="solid"/>
                                      </a:ln>
                                      <a:effectLst/>
                                    </wps:spPr>
                                    <wps:txbx>
                                      <w:txbxContent>
                                        <w:p w14:paraId="45511191" w14:textId="77777777" w:rsidR="00D55F13" w:rsidRPr="00394D50" w:rsidRDefault="00D55F13" w:rsidP="0065023A">
                                          <w:pPr>
                                            <w:rPr>
                                              <w:b/>
                                              <w:color w:val="0D0D0D" w:themeColor="text1" w:themeTint="F2"/>
                                            </w:rPr>
                                          </w:pPr>
                                          <w:r w:rsidRPr="00394D50">
                                            <w:rPr>
                                              <w:color w:val="0D0D0D" w:themeColor="text1" w:themeTint="F2"/>
                                            </w:rPr>
                                            <w:t xml:space="preserve">  </w:t>
                                          </w:r>
                                          <w:r w:rsidRPr="00394D50">
                                            <w:rPr>
                                              <w:b/>
                                              <w:color w:val="0D0D0D" w:themeColor="text1" w:themeTint="F2"/>
                                            </w:rPr>
                                            <w:t>3</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wps:wsp>
                                    <wps:cNvPr id="2683" name="2683 Rectángulo"/>
                                    <wps:cNvSpPr/>
                                    <wps:spPr>
                                      <a:xfrm>
                                        <a:off x="2647950" y="2085975"/>
                                        <a:ext cx="2552748" cy="1958578"/>
                                      </a:xfrm>
                                      <a:prstGeom prst="rect">
                                        <a:avLst/>
                                      </a:prstGeom>
                                      <a:noFill/>
                                      <a:ln w="6350" cap="flat" cmpd="sng" algn="ctr">
                                        <a:solidFill>
                                          <a:sysClr val="windowText" lastClr="000000">
                                            <a:lumMod val="95000"/>
                                            <a:lumOff val="5000"/>
                                          </a:sysClr>
                                        </a:solidFill>
                                        <a:prstDash val="solid"/>
                                      </a:ln>
                                      <a:effectLst/>
                                    </wps:spPr>
                                    <wps:txbx>
                                      <w:txbxContent>
                                        <w:p w14:paraId="521BD1B3" w14:textId="77777777" w:rsidR="00D55F13" w:rsidRPr="00394D50" w:rsidRDefault="00D55F13" w:rsidP="0065023A">
                                          <w:pPr>
                                            <w:rPr>
                                              <w:b/>
                                              <w:color w:val="0D0D0D" w:themeColor="text1" w:themeTint="F2"/>
                                            </w:rPr>
                                          </w:pPr>
                                          <w:r w:rsidRPr="00394D50">
                                            <w:rPr>
                                              <w:color w:val="0D0D0D" w:themeColor="text1" w:themeTint="F2"/>
                                            </w:rPr>
                                            <w:t xml:space="preserve">  </w:t>
                                          </w:r>
                                          <w:r w:rsidRPr="00394D50">
                                            <w:rPr>
                                              <w:b/>
                                              <w:color w:val="0D0D0D" w:themeColor="text1" w:themeTint="F2"/>
                                            </w:rPr>
                                            <w:t>4</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wpg:grpSp>
                                    <wpg:cNvPr id="2684" name="2684 Grupo"/>
                                    <wpg:cNvGrpSpPr/>
                                    <wpg:grpSpPr>
                                      <a:xfrm>
                                        <a:off x="0" y="0"/>
                                        <a:ext cx="5201213" cy="1959292"/>
                                        <a:chOff x="0" y="0"/>
                                        <a:chExt cx="5201213" cy="1959292"/>
                                      </a:xfrm>
                                    </wpg:grpSpPr>
                                    <wpg:grpSp>
                                      <wpg:cNvPr id="2685" name="2685 Grupo"/>
                                      <wpg:cNvGrpSpPr/>
                                      <wpg:grpSpPr>
                                        <a:xfrm>
                                          <a:off x="0" y="0"/>
                                          <a:ext cx="2553263" cy="1959292"/>
                                          <a:chOff x="0" y="0"/>
                                          <a:chExt cx="2554681" cy="1960962"/>
                                        </a:xfrm>
                                      </wpg:grpSpPr>
                                      <wps:wsp>
                                        <wps:cNvPr id="2686" name="2686 Rectángulo"/>
                                        <wps:cNvSpPr/>
                                        <wps:spPr>
                                          <a:xfrm>
                                            <a:off x="0" y="0"/>
                                            <a:ext cx="2554681" cy="1960962"/>
                                          </a:xfrm>
                                          <a:prstGeom prst="rect">
                                            <a:avLst/>
                                          </a:prstGeom>
                                          <a:noFill/>
                                          <a:ln w="6350" cap="flat" cmpd="sng" algn="ctr">
                                            <a:solidFill>
                                              <a:sysClr val="windowText" lastClr="000000">
                                                <a:lumMod val="95000"/>
                                                <a:lumOff val="5000"/>
                                              </a:sysClr>
                                            </a:solidFill>
                                            <a:prstDash val="solid"/>
                                          </a:ln>
                                          <a:effectLst/>
                                        </wps:spPr>
                                        <wps:txbx>
                                          <w:txbxContent>
                                            <w:p w14:paraId="10489AB2" w14:textId="77777777" w:rsidR="00D55F13" w:rsidRPr="00394D50" w:rsidRDefault="00D55F13" w:rsidP="0065023A">
                                              <w:pPr>
                                                <w:rPr>
                                                  <w:b/>
                                                  <w:color w:val="0D0D0D" w:themeColor="text1" w:themeTint="F2"/>
                                                </w:rPr>
                                              </w:pPr>
                                              <w:r w:rsidRPr="00394D50">
                                                <w:rPr>
                                                  <w:color w:val="0D0D0D" w:themeColor="text1" w:themeTint="F2"/>
                                                </w:rPr>
                                                <w:t xml:space="preserve">  </w:t>
                                              </w:r>
                                              <w:r w:rsidRPr="00394D50">
                                                <w:rPr>
                                                  <w:b/>
                                                  <w:color w:val="0D0D0D" w:themeColor="text1" w:themeTint="F2"/>
                                                </w:rPr>
                                                <w:t>1</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wpg:grpSp>
                                        <wpg:cNvPr id="2687" name="2687 Grupo"/>
                                        <wpg:cNvGrpSpPr/>
                                        <wpg:grpSpPr>
                                          <a:xfrm>
                                            <a:off x="54591" y="47768"/>
                                            <a:ext cx="2457861" cy="1724850"/>
                                            <a:chOff x="0" y="0"/>
                                            <a:chExt cx="1863725" cy="1307826"/>
                                          </a:xfrm>
                                        </wpg:grpSpPr>
                                        <wps:wsp>
                                          <wps:cNvPr id="2752" name="2752 Forma libre"/>
                                          <wps:cNvSpPr/>
                                          <wps:spPr>
                                            <a:xfrm>
                                              <a:off x="600186" y="374234"/>
                                              <a:ext cx="771525" cy="600075"/>
                                            </a:xfrm>
                                            <a:custGeom>
                                              <a:avLst/>
                                              <a:gdLst>
                                                <a:gd name="connsiteX0" fmla="*/ 0 w 771525"/>
                                                <a:gd name="connsiteY0" fmla="*/ 0 h 600075"/>
                                                <a:gd name="connsiteX1" fmla="*/ 365760 w 771525"/>
                                                <a:gd name="connsiteY1" fmla="*/ 171450 h 600075"/>
                                                <a:gd name="connsiteX2" fmla="*/ 771525 w 771525"/>
                                                <a:gd name="connsiteY2" fmla="*/ 129540 h 600075"/>
                                                <a:gd name="connsiteX3" fmla="*/ 706755 w 771525"/>
                                                <a:gd name="connsiteY3" fmla="*/ 365760 h 600075"/>
                                                <a:gd name="connsiteX4" fmla="*/ 93345 w 771525"/>
                                                <a:gd name="connsiteY4" fmla="*/ 600075 h 600075"/>
                                                <a:gd name="connsiteX5" fmla="*/ 0 w 771525"/>
                                                <a:gd name="connsiteY5" fmla="*/ 0 h 6000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771525" h="600075">
                                                  <a:moveTo>
                                                    <a:pt x="0" y="0"/>
                                                  </a:moveTo>
                                                  <a:lnTo>
                                                    <a:pt x="365760" y="171450"/>
                                                  </a:lnTo>
                                                  <a:lnTo>
                                                    <a:pt x="771525" y="129540"/>
                                                  </a:lnTo>
                                                  <a:lnTo>
                                                    <a:pt x="706755" y="365760"/>
                                                  </a:lnTo>
                                                  <a:lnTo>
                                                    <a:pt x="93345" y="600075"/>
                                                  </a:lnTo>
                                                  <a:lnTo>
                                                    <a:pt x="0" y="0"/>
                                                  </a:lnTo>
                                                  <a:close/>
                                                </a:path>
                                              </a:pathLst>
                                            </a:custGeom>
                                            <a:solidFill>
                                              <a:srgbClr val="00B0F0"/>
                                            </a:solidFill>
                                            <a:ln w="25400" cap="flat" cmpd="sng" algn="ctr">
                                              <a:noFill/>
                                              <a:prstDash val="solid"/>
                                            </a:ln>
                                            <a:effectLst/>
                                          </wps:spPr>
                                          <wps:txbx>
                                            <w:txbxContent>
                                              <w:p w14:paraId="4C6349E6" w14:textId="77777777" w:rsidR="00D55F13" w:rsidRPr="00394D50" w:rsidRDefault="00D55F13" w:rsidP="0065023A">
                                                <w:pPr>
                                                  <w:jc w:val="center"/>
                                                  <w:rPr>
                                                    <w:color w:val="0D0D0D" w:themeColor="text1" w:themeTint="F2"/>
                                                    <w:sz w:val="20"/>
                                                    <w:szCs w:val="16"/>
                                                  </w:rPr>
                                                </w:pPr>
                                                <w:r w:rsidRPr="00394D50">
                                                  <w:rPr>
                                                    <w:color w:val="0D0D0D" w:themeColor="text1" w:themeTint="F2"/>
                                                    <w:sz w:val="20"/>
                                                    <w:szCs w:val="16"/>
                                                  </w:rPr>
                                                  <w:t>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2753" name="2753 Grupo"/>
                                          <wpg:cNvGrpSpPr/>
                                          <wpg:grpSpPr>
                                            <a:xfrm>
                                              <a:off x="0" y="0"/>
                                              <a:ext cx="1863725" cy="1307826"/>
                                              <a:chOff x="0" y="0"/>
                                              <a:chExt cx="1863725" cy="1307826"/>
                                            </a:xfrm>
                                          </wpg:grpSpPr>
                                          <wpg:grpSp>
                                            <wpg:cNvPr id="2754" name="2754 Grupo"/>
                                            <wpg:cNvGrpSpPr/>
                                            <wpg:grpSpPr>
                                              <a:xfrm>
                                                <a:off x="0" y="0"/>
                                                <a:ext cx="1863725" cy="1307465"/>
                                                <a:chOff x="0" y="0"/>
                                                <a:chExt cx="1864287" cy="1307467"/>
                                              </a:xfrm>
                                            </wpg:grpSpPr>
                                            <wps:wsp>
                                              <wps:cNvPr id="2755" name="2755 Forma libre"/>
                                              <wps:cNvSpPr/>
                                              <wps:spPr>
                                                <a:xfrm>
                                                  <a:off x="574895" y="1"/>
                                                  <a:ext cx="1086259" cy="547408"/>
                                                </a:xfrm>
                                                <a:custGeom>
                                                  <a:avLst/>
                                                  <a:gdLst>
                                                    <a:gd name="connsiteX0" fmla="*/ 0 w 1050939"/>
                                                    <a:gd name="connsiteY0" fmla="*/ 372380 h 537882"/>
                                                    <a:gd name="connsiteX1" fmla="*/ 351692 w 1050939"/>
                                                    <a:gd name="connsiteY1" fmla="*/ 537882 h 537882"/>
                                                    <a:gd name="connsiteX2" fmla="*/ 761310 w 1050939"/>
                                                    <a:gd name="connsiteY2" fmla="*/ 504782 h 537882"/>
                                                    <a:gd name="connsiteX3" fmla="*/ 798548 w 1050939"/>
                                                    <a:gd name="connsiteY3" fmla="*/ 206877 h 537882"/>
                                                    <a:gd name="connsiteX4" fmla="*/ 1050939 w 1050939"/>
                                                    <a:gd name="connsiteY4" fmla="*/ 99301 h 537882"/>
                                                    <a:gd name="connsiteX5" fmla="*/ 384793 w 1050939"/>
                                                    <a:gd name="connsiteY5" fmla="*/ 0 h 537882"/>
                                                    <a:gd name="connsiteX6" fmla="*/ 0 w 1050939"/>
                                                    <a:gd name="connsiteY6" fmla="*/ 372380 h 537882"/>
                                                    <a:gd name="connsiteX0" fmla="*/ 0 w 1063639"/>
                                                    <a:gd name="connsiteY0" fmla="*/ 368171 h 537882"/>
                                                    <a:gd name="connsiteX1" fmla="*/ 364392 w 1063639"/>
                                                    <a:gd name="connsiteY1" fmla="*/ 537882 h 537882"/>
                                                    <a:gd name="connsiteX2" fmla="*/ 774010 w 1063639"/>
                                                    <a:gd name="connsiteY2" fmla="*/ 504782 h 537882"/>
                                                    <a:gd name="connsiteX3" fmla="*/ 811248 w 1063639"/>
                                                    <a:gd name="connsiteY3" fmla="*/ 206877 h 537882"/>
                                                    <a:gd name="connsiteX4" fmla="*/ 1063639 w 1063639"/>
                                                    <a:gd name="connsiteY4" fmla="*/ 99301 h 537882"/>
                                                    <a:gd name="connsiteX5" fmla="*/ 397493 w 1063639"/>
                                                    <a:gd name="connsiteY5" fmla="*/ 0 h 537882"/>
                                                    <a:gd name="connsiteX6" fmla="*/ 0 w 1063639"/>
                                                    <a:gd name="connsiteY6" fmla="*/ 368171 h 537882"/>
                                                    <a:gd name="connsiteX0" fmla="*/ 0 w 1063639"/>
                                                    <a:gd name="connsiteY0" fmla="*/ 371501 h 537882"/>
                                                    <a:gd name="connsiteX1" fmla="*/ 364392 w 1063639"/>
                                                    <a:gd name="connsiteY1" fmla="*/ 537882 h 537882"/>
                                                    <a:gd name="connsiteX2" fmla="*/ 774010 w 1063639"/>
                                                    <a:gd name="connsiteY2" fmla="*/ 504782 h 537882"/>
                                                    <a:gd name="connsiteX3" fmla="*/ 811248 w 1063639"/>
                                                    <a:gd name="connsiteY3" fmla="*/ 206877 h 537882"/>
                                                    <a:gd name="connsiteX4" fmla="*/ 1063639 w 1063639"/>
                                                    <a:gd name="connsiteY4" fmla="*/ 99301 h 537882"/>
                                                    <a:gd name="connsiteX5" fmla="*/ 397493 w 1063639"/>
                                                    <a:gd name="connsiteY5" fmla="*/ 0 h 537882"/>
                                                    <a:gd name="connsiteX6" fmla="*/ 0 w 1063639"/>
                                                    <a:gd name="connsiteY6" fmla="*/ 371501 h 537882"/>
                                                    <a:gd name="connsiteX0" fmla="*/ 0 w 1063639"/>
                                                    <a:gd name="connsiteY0" fmla="*/ 371501 h 537882"/>
                                                    <a:gd name="connsiteX1" fmla="*/ 364507 w 1063639"/>
                                                    <a:gd name="connsiteY1" fmla="*/ 537882 h 537882"/>
                                                    <a:gd name="connsiteX2" fmla="*/ 774010 w 1063639"/>
                                                    <a:gd name="connsiteY2" fmla="*/ 504782 h 537882"/>
                                                    <a:gd name="connsiteX3" fmla="*/ 811248 w 1063639"/>
                                                    <a:gd name="connsiteY3" fmla="*/ 206877 h 537882"/>
                                                    <a:gd name="connsiteX4" fmla="*/ 1063639 w 1063639"/>
                                                    <a:gd name="connsiteY4" fmla="*/ 99301 h 537882"/>
                                                    <a:gd name="connsiteX5" fmla="*/ 397493 w 1063639"/>
                                                    <a:gd name="connsiteY5" fmla="*/ 0 h 537882"/>
                                                    <a:gd name="connsiteX6" fmla="*/ 0 w 1063639"/>
                                                    <a:gd name="connsiteY6" fmla="*/ 371501 h 537882"/>
                                                    <a:gd name="connsiteX0" fmla="*/ 0 w 1063639"/>
                                                    <a:gd name="connsiteY0" fmla="*/ 371501 h 537882"/>
                                                    <a:gd name="connsiteX1" fmla="*/ 364622 w 1063639"/>
                                                    <a:gd name="connsiteY1" fmla="*/ 537882 h 537882"/>
                                                    <a:gd name="connsiteX2" fmla="*/ 774010 w 1063639"/>
                                                    <a:gd name="connsiteY2" fmla="*/ 504782 h 537882"/>
                                                    <a:gd name="connsiteX3" fmla="*/ 811248 w 1063639"/>
                                                    <a:gd name="connsiteY3" fmla="*/ 206877 h 537882"/>
                                                    <a:gd name="connsiteX4" fmla="*/ 1063639 w 1063639"/>
                                                    <a:gd name="connsiteY4" fmla="*/ 99301 h 537882"/>
                                                    <a:gd name="connsiteX5" fmla="*/ 397493 w 1063639"/>
                                                    <a:gd name="connsiteY5" fmla="*/ 0 h 537882"/>
                                                    <a:gd name="connsiteX6" fmla="*/ 0 w 1063639"/>
                                                    <a:gd name="connsiteY6" fmla="*/ 371501 h 537882"/>
                                                    <a:gd name="connsiteX0" fmla="*/ 0 w 1063639"/>
                                                    <a:gd name="connsiteY0" fmla="*/ 371501 h 547446"/>
                                                    <a:gd name="connsiteX1" fmla="*/ 362831 w 1063639"/>
                                                    <a:gd name="connsiteY1" fmla="*/ 547446 h 547446"/>
                                                    <a:gd name="connsiteX2" fmla="*/ 774010 w 1063639"/>
                                                    <a:gd name="connsiteY2" fmla="*/ 504782 h 547446"/>
                                                    <a:gd name="connsiteX3" fmla="*/ 811248 w 1063639"/>
                                                    <a:gd name="connsiteY3" fmla="*/ 206877 h 547446"/>
                                                    <a:gd name="connsiteX4" fmla="*/ 1063639 w 1063639"/>
                                                    <a:gd name="connsiteY4" fmla="*/ 99301 h 547446"/>
                                                    <a:gd name="connsiteX5" fmla="*/ 397493 w 1063639"/>
                                                    <a:gd name="connsiteY5" fmla="*/ 0 h 547446"/>
                                                    <a:gd name="connsiteX6" fmla="*/ 0 w 1063639"/>
                                                    <a:gd name="connsiteY6" fmla="*/ 371501 h 547446"/>
                                                    <a:gd name="connsiteX0" fmla="*/ 0 w 1086273"/>
                                                    <a:gd name="connsiteY0" fmla="*/ 371216 h 547446"/>
                                                    <a:gd name="connsiteX1" fmla="*/ 385465 w 1086273"/>
                                                    <a:gd name="connsiteY1" fmla="*/ 547446 h 547446"/>
                                                    <a:gd name="connsiteX2" fmla="*/ 796644 w 1086273"/>
                                                    <a:gd name="connsiteY2" fmla="*/ 504782 h 547446"/>
                                                    <a:gd name="connsiteX3" fmla="*/ 833882 w 1086273"/>
                                                    <a:gd name="connsiteY3" fmla="*/ 206877 h 547446"/>
                                                    <a:gd name="connsiteX4" fmla="*/ 1086273 w 1086273"/>
                                                    <a:gd name="connsiteY4" fmla="*/ 99301 h 547446"/>
                                                    <a:gd name="connsiteX5" fmla="*/ 420127 w 1086273"/>
                                                    <a:gd name="connsiteY5" fmla="*/ 0 h 547446"/>
                                                    <a:gd name="connsiteX6" fmla="*/ 0 w 1086273"/>
                                                    <a:gd name="connsiteY6" fmla="*/ 371216 h 54744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086273" h="547446">
                                                      <a:moveTo>
                                                        <a:pt x="0" y="371216"/>
                                                      </a:moveTo>
                                                      <a:lnTo>
                                                        <a:pt x="385465" y="547446"/>
                                                      </a:lnTo>
                                                      <a:lnTo>
                                                        <a:pt x="796644" y="504782"/>
                                                      </a:lnTo>
                                                      <a:lnTo>
                                                        <a:pt x="833882" y="206877"/>
                                                      </a:lnTo>
                                                      <a:lnTo>
                                                        <a:pt x="1086273" y="99301"/>
                                                      </a:lnTo>
                                                      <a:lnTo>
                                                        <a:pt x="420127" y="0"/>
                                                      </a:lnTo>
                                                      <a:lnTo>
                                                        <a:pt x="0" y="371216"/>
                                                      </a:lnTo>
                                                      <a:close/>
                                                    </a:path>
                                                  </a:pathLst>
                                                </a:custGeom>
                                                <a:solidFill>
                                                  <a:srgbClr val="FFC000"/>
                                                </a:solidFill>
                                                <a:ln w="25400" cap="flat" cmpd="sng" algn="ctr">
                                                  <a:noFill/>
                                                  <a:prstDash val="solid"/>
                                                </a:ln>
                                                <a:effectLst/>
                                              </wps:spPr>
                                              <wps:txbx>
                                                <w:txbxContent>
                                                  <w:p w14:paraId="1816CEFB" w14:textId="77777777" w:rsidR="00D55F13" w:rsidRPr="00394D50" w:rsidRDefault="00D55F13" w:rsidP="0065023A">
                                                    <w:pPr>
                                                      <w:rPr>
                                                        <w:color w:val="0D0D0D" w:themeColor="text1" w:themeTint="F2"/>
                                                        <w:sz w:val="20"/>
                                                        <w:szCs w:val="16"/>
                                                      </w:rPr>
                                                    </w:pPr>
                                                    <w:r w:rsidRPr="00394D50">
                                                      <w:rPr>
                                                        <w:color w:val="0D0D0D" w:themeColor="text1" w:themeTint="F2"/>
                                                        <w:sz w:val="20"/>
                                                        <w:szCs w:val="16"/>
                                                      </w:rPr>
                                                      <w:t xml:space="preserve">           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56" name="2756 Forma libre"/>
                                              <wps:cNvSpPr/>
                                              <wps:spPr>
                                                <a:xfrm>
                                                  <a:off x="0" y="0"/>
                                                  <a:ext cx="993014" cy="1307467"/>
                                                </a:xfrm>
                                                <a:custGeom>
                                                  <a:avLst/>
                                                  <a:gdLst>
                                                    <a:gd name="connsiteX0" fmla="*/ 471682 w 993014"/>
                                                    <a:gd name="connsiteY0" fmla="*/ 86888 h 1307467"/>
                                                    <a:gd name="connsiteX1" fmla="*/ 198603 w 993014"/>
                                                    <a:gd name="connsiteY1" fmla="*/ 281353 h 1307467"/>
                                                    <a:gd name="connsiteX2" fmla="*/ 0 w 993014"/>
                                                    <a:gd name="connsiteY2" fmla="*/ 753035 h 1307467"/>
                                                    <a:gd name="connsiteX3" fmla="*/ 132402 w 993014"/>
                                                    <a:gd name="connsiteY3" fmla="*/ 1150240 h 1307467"/>
                                                    <a:gd name="connsiteX4" fmla="*/ 575121 w 993014"/>
                                                    <a:gd name="connsiteY4" fmla="*/ 1307467 h 1307467"/>
                                                    <a:gd name="connsiteX5" fmla="*/ 695110 w 993014"/>
                                                    <a:gd name="connsiteY5" fmla="*/ 976463 h 1307467"/>
                                                    <a:gd name="connsiteX6" fmla="*/ 599946 w 993014"/>
                                                    <a:gd name="connsiteY6" fmla="*/ 368242 h 1307467"/>
                                                    <a:gd name="connsiteX7" fmla="*/ 993014 w 993014"/>
                                                    <a:gd name="connsiteY7" fmla="*/ 0 h 1307467"/>
                                                    <a:gd name="connsiteX8" fmla="*/ 471682 w 993014"/>
                                                    <a:gd name="connsiteY8" fmla="*/ 86888 h 13074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993014" h="1307467">
                                                      <a:moveTo>
                                                        <a:pt x="471682" y="86888"/>
                                                      </a:moveTo>
                                                      <a:lnTo>
                                                        <a:pt x="198603" y="281353"/>
                                                      </a:lnTo>
                                                      <a:lnTo>
                                                        <a:pt x="0" y="753035"/>
                                                      </a:lnTo>
                                                      <a:lnTo>
                                                        <a:pt x="132402" y="1150240"/>
                                                      </a:lnTo>
                                                      <a:lnTo>
                                                        <a:pt x="575121" y="1307467"/>
                                                      </a:lnTo>
                                                      <a:lnTo>
                                                        <a:pt x="695110" y="976463"/>
                                                      </a:lnTo>
                                                      <a:lnTo>
                                                        <a:pt x="599946" y="368242"/>
                                                      </a:lnTo>
                                                      <a:lnTo>
                                                        <a:pt x="993014" y="0"/>
                                                      </a:lnTo>
                                                      <a:lnTo>
                                                        <a:pt x="471682" y="86888"/>
                                                      </a:lnTo>
                                                      <a:close/>
                                                    </a:path>
                                                  </a:pathLst>
                                                </a:custGeom>
                                                <a:solidFill>
                                                  <a:srgbClr val="FF3300"/>
                                                </a:solidFill>
                                                <a:ln w="25400" cap="flat" cmpd="sng" algn="ctr">
                                                  <a:noFill/>
                                                  <a:prstDash val="solid"/>
                                                </a:ln>
                                                <a:effectLst/>
                                              </wps:spPr>
                                              <wps:txbx>
                                                <w:txbxContent>
                                                  <w:p w14:paraId="3E0F1F2B" w14:textId="77777777" w:rsidR="00D55F13" w:rsidRPr="00394D50" w:rsidRDefault="00D55F13" w:rsidP="0065023A">
                                                    <w:pPr>
                                                      <w:rPr>
                                                        <w:color w:val="0D0D0D" w:themeColor="text1" w:themeTint="F2"/>
                                                        <w:sz w:val="20"/>
                                                        <w:szCs w:val="16"/>
                                                      </w:rPr>
                                                    </w:pPr>
                                                    <w:r w:rsidRPr="00394D50">
                                                      <w:rPr>
                                                        <w:color w:val="0D0D0D" w:themeColor="text1" w:themeTint="F2"/>
                                                        <w:sz w:val="20"/>
                                                        <w:szCs w:val="16"/>
                                                      </w:rPr>
                                                      <w:t xml:space="preserve">      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57" name="2757 Forma libre"/>
                                              <wps:cNvSpPr/>
                                              <wps:spPr>
                                                <a:xfrm>
                                                  <a:off x="1303084" y="95061"/>
                                                  <a:ext cx="561203" cy="929372"/>
                                                </a:xfrm>
                                                <a:custGeom>
                                                  <a:avLst/>
                                                  <a:gdLst>
                                                    <a:gd name="connsiteX0" fmla="*/ 345621 w 547007"/>
                                                    <a:gd name="connsiteY0" fmla="*/ 0 h 919843"/>
                                                    <a:gd name="connsiteX1" fmla="*/ 547007 w 547007"/>
                                                    <a:gd name="connsiteY1" fmla="*/ 462643 h 919843"/>
                                                    <a:gd name="connsiteX2" fmla="*/ 277586 w 547007"/>
                                                    <a:gd name="connsiteY2" fmla="*/ 919843 h 919843"/>
                                                    <a:gd name="connsiteX3" fmla="*/ 0 w 547007"/>
                                                    <a:gd name="connsiteY3" fmla="*/ 636814 h 919843"/>
                                                    <a:gd name="connsiteX4" fmla="*/ 51707 w 547007"/>
                                                    <a:gd name="connsiteY4" fmla="*/ 400050 h 919843"/>
                                                    <a:gd name="connsiteX5" fmla="*/ 89807 w 547007"/>
                                                    <a:gd name="connsiteY5" fmla="*/ 106136 h 919843"/>
                                                    <a:gd name="connsiteX6" fmla="*/ 345621 w 547007"/>
                                                    <a:gd name="connsiteY6" fmla="*/ 0 h 919843"/>
                                                    <a:gd name="connsiteX0" fmla="*/ 343706 w 547007"/>
                                                    <a:gd name="connsiteY0" fmla="*/ 0 h 919843"/>
                                                    <a:gd name="connsiteX1" fmla="*/ 547007 w 547007"/>
                                                    <a:gd name="connsiteY1" fmla="*/ 462643 h 919843"/>
                                                    <a:gd name="connsiteX2" fmla="*/ 277586 w 547007"/>
                                                    <a:gd name="connsiteY2" fmla="*/ 919843 h 919843"/>
                                                    <a:gd name="connsiteX3" fmla="*/ 0 w 547007"/>
                                                    <a:gd name="connsiteY3" fmla="*/ 636814 h 919843"/>
                                                    <a:gd name="connsiteX4" fmla="*/ 51707 w 547007"/>
                                                    <a:gd name="connsiteY4" fmla="*/ 400050 h 919843"/>
                                                    <a:gd name="connsiteX5" fmla="*/ 89807 w 547007"/>
                                                    <a:gd name="connsiteY5" fmla="*/ 106136 h 919843"/>
                                                    <a:gd name="connsiteX6" fmla="*/ 343706 w 547007"/>
                                                    <a:gd name="connsiteY6" fmla="*/ 0 h 919843"/>
                                                    <a:gd name="connsiteX0" fmla="*/ 343706 w 547007"/>
                                                    <a:gd name="connsiteY0" fmla="*/ 0 h 929372"/>
                                                    <a:gd name="connsiteX1" fmla="*/ 547007 w 547007"/>
                                                    <a:gd name="connsiteY1" fmla="*/ 472172 h 929372"/>
                                                    <a:gd name="connsiteX2" fmla="*/ 277586 w 547007"/>
                                                    <a:gd name="connsiteY2" fmla="*/ 929372 h 929372"/>
                                                    <a:gd name="connsiteX3" fmla="*/ 0 w 547007"/>
                                                    <a:gd name="connsiteY3" fmla="*/ 646343 h 929372"/>
                                                    <a:gd name="connsiteX4" fmla="*/ 51707 w 547007"/>
                                                    <a:gd name="connsiteY4" fmla="*/ 409579 h 929372"/>
                                                    <a:gd name="connsiteX5" fmla="*/ 89807 w 547007"/>
                                                    <a:gd name="connsiteY5" fmla="*/ 115665 h 929372"/>
                                                    <a:gd name="connsiteX6" fmla="*/ 343706 w 547007"/>
                                                    <a:gd name="connsiteY6" fmla="*/ 0 h 929372"/>
                                                    <a:gd name="connsiteX0" fmla="*/ 343706 w 547007"/>
                                                    <a:gd name="connsiteY0" fmla="*/ 0 h 929372"/>
                                                    <a:gd name="connsiteX1" fmla="*/ 547007 w 547007"/>
                                                    <a:gd name="connsiteY1" fmla="*/ 472172 h 929372"/>
                                                    <a:gd name="connsiteX2" fmla="*/ 277586 w 547007"/>
                                                    <a:gd name="connsiteY2" fmla="*/ 929372 h 929372"/>
                                                    <a:gd name="connsiteX3" fmla="*/ 0 w 547007"/>
                                                    <a:gd name="connsiteY3" fmla="*/ 646343 h 929372"/>
                                                    <a:gd name="connsiteX4" fmla="*/ 51707 w 547007"/>
                                                    <a:gd name="connsiteY4" fmla="*/ 409579 h 929372"/>
                                                    <a:gd name="connsiteX5" fmla="*/ 89834 w 547007"/>
                                                    <a:gd name="connsiteY5" fmla="*/ 105528 h 929372"/>
                                                    <a:gd name="connsiteX6" fmla="*/ 343706 w 547007"/>
                                                    <a:gd name="connsiteY6" fmla="*/ 0 h 929372"/>
                                                    <a:gd name="connsiteX0" fmla="*/ 357902 w 561203"/>
                                                    <a:gd name="connsiteY0" fmla="*/ 0 h 929372"/>
                                                    <a:gd name="connsiteX1" fmla="*/ 561203 w 561203"/>
                                                    <a:gd name="connsiteY1" fmla="*/ 472172 h 929372"/>
                                                    <a:gd name="connsiteX2" fmla="*/ 291782 w 561203"/>
                                                    <a:gd name="connsiteY2" fmla="*/ 929372 h 929372"/>
                                                    <a:gd name="connsiteX3" fmla="*/ 0 w 561203"/>
                                                    <a:gd name="connsiteY3" fmla="*/ 644317 h 929372"/>
                                                    <a:gd name="connsiteX4" fmla="*/ 65903 w 561203"/>
                                                    <a:gd name="connsiteY4" fmla="*/ 409579 h 929372"/>
                                                    <a:gd name="connsiteX5" fmla="*/ 104030 w 561203"/>
                                                    <a:gd name="connsiteY5" fmla="*/ 105528 h 929372"/>
                                                    <a:gd name="connsiteX6" fmla="*/ 357902 w 561203"/>
                                                    <a:gd name="connsiteY6" fmla="*/ 0 h 9293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561203" h="929372">
                                                      <a:moveTo>
                                                        <a:pt x="357902" y="0"/>
                                                      </a:moveTo>
                                                      <a:lnTo>
                                                        <a:pt x="561203" y="472172"/>
                                                      </a:lnTo>
                                                      <a:lnTo>
                                                        <a:pt x="291782" y="929372"/>
                                                      </a:lnTo>
                                                      <a:lnTo>
                                                        <a:pt x="0" y="644317"/>
                                                      </a:lnTo>
                                                      <a:lnTo>
                                                        <a:pt x="65903" y="409579"/>
                                                      </a:lnTo>
                                                      <a:lnTo>
                                                        <a:pt x="104030" y="105528"/>
                                                      </a:lnTo>
                                                      <a:lnTo>
                                                        <a:pt x="357902" y="0"/>
                                                      </a:lnTo>
                                                      <a:close/>
                                                    </a:path>
                                                  </a:pathLst>
                                                </a:custGeom>
                                                <a:solidFill>
                                                  <a:srgbClr val="D60093"/>
                                                </a:solidFill>
                                                <a:ln w="25400" cap="flat" cmpd="sng" algn="ctr">
                                                  <a:noFill/>
                                                  <a:prstDash val="solid"/>
                                                </a:ln>
                                                <a:effectLst/>
                                              </wps:spPr>
                                              <wps:txbx>
                                                <w:txbxContent>
                                                  <w:p w14:paraId="652B7FFF" w14:textId="77777777" w:rsidR="00D55F13" w:rsidRPr="00394D50" w:rsidRDefault="00D55F13" w:rsidP="0065023A">
                                                    <w:pPr>
                                                      <w:jc w:val="center"/>
                                                      <w:rPr>
                                                        <w:color w:val="0D0D0D" w:themeColor="text1" w:themeTint="F2"/>
                                                        <w:sz w:val="20"/>
                                                        <w:szCs w:val="16"/>
                                                      </w:rPr>
                                                    </w:pPr>
                                                    <w:r w:rsidRPr="00394D50">
                                                      <w:rPr>
                                                        <w:color w:val="0D0D0D" w:themeColor="text1" w:themeTint="F2"/>
                                                        <w:sz w:val="20"/>
                                                        <w:szCs w:val="16"/>
                                                      </w:rPr>
                                                      <w:t>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2758" name="2758 Forma libre"/>
                                            <wps:cNvSpPr/>
                                            <wps:spPr>
                                              <a:xfrm>
                                                <a:off x="571941" y="741406"/>
                                                <a:ext cx="1019763" cy="566420"/>
                                              </a:xfrm>
                                              <a:custGeom>
                                                <a:avLst/>
                                                <a:gdLst>
                                                  <a:gd name="connsiteX0" fmla="*/ 0 w 1017270"/>
                                                  <a:gd name="connsiteY0" fmla="*/ 567690 h 567690"/>
                                                  <a:gd name="connsiteX1" fmla="*/ 120015 w 1017270"/>
                                                  <a:gd name="connsiteY1" fmla="*/ 230505 h 567690"/>
                                                  <a:gd name="connsiteX2" fmla="*/ 729615 w 1017270"/>
                                                  <a:gd name="connsiteY2" fmla="*/ 0 h 567690"/>
                                                  <a:gd name="connsiteX3" fmla="*/ 1017270 w 1017270"/>
                                                  <a:gd name="connsiteY3" fmla="*/ 281940 h 567690"/>
                                                  <a:gd name="connsiteX4" fmla="*/ 575310 w 1017270"/>
                                                  <a:gd name="connsiteY4" fmla="*/ 550545 h 567690"/>
                                                  <a:gd name="connsiteX5" fmla="*/ 0 w 1017270"/>
                                                  <a:gd name="connsiteY5" fmla="*/ 567690 h 567690"/>
                                                  <a:gd name="connsiteX0" fmla="*/ 0 w 1019763"/>
                                                  <a:gd name="connsiteY0" fmla="*/ 566420 h 566420"/>
                                                  <a:gd name="connsiteX1" fmla="*/ 122508 w 1019763"/>
                                                  <a:gd name="connsiteY1" fmla="*/ 230505 h 566420"/>
                                                  <a:gd name="connsiteX2" fmla="*/ 732108 w 1019763"/>
                                                  <a:gd name="connsiteY2" fmla="*/ 0 h 566420"/>
                                                  <a:gd name="connsiteX3" fmla="*/ 1019763 w 1019763"/>
                                                  <a:gd name="connsiteY3" fmla="*/ 281940 h 566420"/>
                                                  <a:gd name="connsiteX4" fmla="*/ 577803 w 1019763"/>
                                                  <a:gd name="connsiteY4" fmla="*/ 550545 h 566420"/>
                                                  <a:gd name="connsiteX5" fmla="*/ 0 w 1019763"/>
                                                  <a:gd name="connsiteY5" fmla="*/ 566420 h 56642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1019763" h="566420">
                                                    <a:moveTo>
                                                      <a:pt x="0" y="566420"/>
                                                    </a:moveTo>
                                                    <a:lnTo>
                                                      <a:pt x="122508" y="230505"/>
                                                    </a:lnTo>
                                                    <a:lnTo>
                                                      <a:pt x="732108" y="0"/>
                                                    </a:lnTo>
                                                    <a:lnTo>
                                                      <a:pt x="1019763" y="281940"/>
                                                    </a:lnTo>
                                                    <a:lnTo>
                                                      <a:pt x="577803" y="550545"/>
                                                    </a:lnTo>
                                                    <a:lnTo>
                                                      <a:pt x="0" y="566420"/>
                                                    </a:lnTo>
                                                    <a:close/>
                                                  </a:path>
                                                </a:pathLst>
                                              </a:custGeom>
                                              <a:solidFill>
                                                <a:srgbClr val="92D050"/>
                                              </a:solidFill>
                                              <a:ln w="25400" cap="flat" cmpd="sng" algn="ctr">
                                                <a:noFill/>
                                                <a:prstDash val="solid"/>
                                              </a:ln>
                                              <a:effectLst/>
                                            </wps:spPr>
                                            <wps:txbx>
                                              <w:txbxContent>
                                                <w:p w14:paraId="50DA4F80" w14:textId="77777777" w:rsidR="00D55F13" w:rsidRPr="00394D50" w:rsidRDefault="00D55F13" w:rsidP="0065023A">
                                                  <w:pPr>
                                                    <w:jc w:val="center"/>
                                                    <w:rPr>
                                                      <w:color w:val="0D0D0D" w:themeColor="text1" w:themeTint="F2"/>
                                                      <w:sz w:val="20"/>
                                                      <w:szCs w:val="16"/>
                                                    </w:rPr>
                                                  </w:pPr>
                                                  <w:r w:rsidRPr="00394D50">
                                                    <w:rPr>
                                                      <w:color w:val="0D0D0D" w:themeColor="text1" w:themeTint="F2"/>
                                                      <w:sz w:val="20"/>
                                                      <w:szCs w:val="16"/>
                                                    </w:rPr>
                                                    <w: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grpSp>
                                    <wpg:grpSp>
                                      <wpg:cNvPr id="2759" name="2759 Grupo"/>
                                      <wpg:cNvGrpSpPr/>
                                      <wpg:grpSpPr>
                                        <a:xfrm>
                                          <a:off x="2647950" y="0"/>
                                          <a:ext cx="2553263" cy="1959292"/>
                                          <a:chOff x="0" y="0"/>
                                          <a:chExt cx="2554681" cy="1960962"/>
                                        </a:xfrm>
                                      </wpg:grpSpPr>
                                      <wps:wsp>
                                        <wps:cNvPr id="2760" name="2760 Rectángulo"/>
                                        <wps:cNvSpPr/>
                                        <wps:spPr>
                                          <a:xfrm>
                                            <a:off x="0" y="0"/>
                                            <a:ext cx="2554681" cy="1960962"/>
                                          </a:xfrm>
                                          <a:prstGeom prst="rect">
                                            <a:avLst/>
                                          </a:prstGeom>
                                          <a:noFill/>
                                          <a:ln w="6350" cap="flat" cmpd="sng" algn="ctr">
                                            <a:solidFill>
                                              <a:sysClr val="windowText" lastClr="000000">
                                                <a:lumMod val="95000"/>
                                                <a:lumOff val="5000"/>
                                              </a:sysClr>
                                            </a:solidFill>
                                            <a:prstDash val="solid"/>
                                          </a:ln>
                                          <a:effectLst/>
                                        </wps:spPr>
                                        <wps:txbx>
                                          <w:txbxContent>
                                            <w:p w14:paraId="6228B09F" w14:textId="77777777" w:rsidR="00D55F13" w:rsidRPr="00394D50" w:rsidRDefault="00D55F13" w:rsidP="0065023A">
                                              <w:pPr>
                                                <w:rPr>
                                                  <w:b/>
                                                  <w:color w:val="0D0D0D" w:themeColor="text1" w:themeTint="F2"/>
                                                </w:rPr>
                                              </w:pPr>
                                              <w:r w:rsidRPr="00394D50">
                                                <w:rPr>
                                                  <w:color w:val="0D0D0D" w:themeColor="text1" w:themeTint="F2"/>
                                                </w:rPr>
                                                <w:t xml:space="preserve">  </w:t>
                                              </w:r>
                                              <w:r w:rsidRPr="00394D50">
                                                <w:rPr>
                                                  <w:b/>
                                                  <w:color w:val="0D0D0D" w:themeColor="text1" w:themeTint="F2"/>
                                                </w:rPr>
                                                <w:t>2</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wpg:grpSp>
                                        <wpg:cNvPr id="2761" name="2761 Grupo"/>
                                        <wpg:cNvGrpSpPr/>
                                        <wpg:grpSpPr>
                                          <a:xfrm>
                                            <a:off x="54429" y="54428"/>
                                            <a:ext cx="2457861" cy="1724850"/>
                                            <a:chOff x="0" y="0"/>
                                            <a:chExt cx="2457861" cy="1724850"/>
                                          </a:xfrm>
                                        </wpg:grpSpPr>
                                        <wpg:grpSp>
                                          <wpg:cNvPr id="2762" name="2762 Grupo"/>
                                          <wpg:cNvGrpSpPr/>
                                          <wpg:grpSpPr>
                                            <a:xfrm>
                                              <a:off x="0" y="0"/>
                                              <a:ext cx="2457861" cy="1724850"/>
                                              <a:chOff x="0" y="0"/>
                                              <a:chExt cx="1863725" cy="1307465"/>
                                            </a:xfrm>
                                          </wpg:grpSpPr>
                                          <wpg:grpSp>
                                            <wpg:cNvPr id="2763" name="2763 Grupo"/>
                                            <wpg:cNvGrpSpPr/>
                                            <wpg:grpSpPr>
                                              <a:xfrm>
                                                <a:off x="0" y="0"/>
                                                <a:ext cx="1863725" cy="1307465"/>
                                                <a:chOff x="0" y="0"/>
                                                <a:chExt cx="1863725" cy="1307826"/>
                                              </a:xfrm>
                                            </wpg:grpSpPr>
                                            <wps:wsp>
                                              <wps:cNvPr id="2764" name="2764 Forma libre"/>
                                              <wps:cNvSpPr/>
                                              <wps:spPr>
                                                <a:xfrm>
                                                  <a:off x="600186" y="374234"/>
                                                  <a:ext cx="771525" cy="600075"/>
                                                </a:xfrm>
                                                <a:custGeom>
                                                  <a:avLst/>
                                                  <a:gdLst>
                                                    <a:gd name="connsiteX0" fmla="*/ 0 w 771525"/>
                                                    <a:gd name="connsiteY0" fmla="*/ 0 h 600075"/>
                                                    <a:gd name="connsiteX1" fmla="*/ 365760 w 771525"/>
                                                    <a:gd name="connsiteY1" fmla="*/ 171450 h 600075"/>
                                                    <a:gd name="connsiteX2" fmla="*/ 771525 w 771525"/>
                                                    <a:gd name="connsiteY2" fmla="*/ 129540 h 600075"/>
                                                    <a:gd name="connsiteX3" fmla="*/ 706755 w 771525"/>
                                                    <a:gd name="connsiteY3" fmla="*/ 365760 h 600075"/>
                                                    <a:gd name="connsiteX4" fmla="*/ 93345 w 771525"/>
                                                    <a:gd name="connsiteY4" fmla="*/ 600075 h 600075"/>
                                                    <a:gd name="connsiteX5" fmla="*/ 0 w 771525"/>
                                                    <a:gd name="connsiteY5" fmla="*/ 0 h 6000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771525" h="600075">
                                                      <a:moveTo>
                                                        <a:pt x="0" y="0"/>
                                                      </a:moveTo>
                                                      <a:lnTo>
                                                        <a:pt x="365760" y="171450"/>
                                                      </a:lnTo>
                                                      <a:lnTo>
                                                        <a:pt x="771525" y="129540"/>
                                                      </a:lnTo>
                                                      <a:lnTo>
                                                        <a:pt x="706755" y="365760"/>
                                                      </a:lnTo>
                                                      <a:lnTo>
                                                        <a:pt x="93345" y="600075"/>
                                                      </a:lnTo>
                                                      <a:lnTo>
                                                        <a:pt x="0" y="0"/>
                                                      </a:lnTo>
                                                      <a:close/>
                                                    </a:path>
                                                  </a:pathLst>
                                                </a:custGeom>
                                                <a:solidFill>
                                                  <a:srgbClr val="00B0F0"/>
                                                </a:solidFill>
                                                <a:ln w="25400" cap="flat" cmpd="sng" algn="ctr">
                                                  <a:noFill/>
                                                  <a:prstDash val="solid"/>
                                                </a:ln>
                                                <a:effectLst/>
                                              </wps:spPr>
                                              <wps:txbx>
                                                <w:txbxContent>
                                                  <w:p w14:paraId="4E0CBCC5" w14:textId="77777777" w:rsidR="00D55F13" w:rsidRPr="00394D50" w:rsidRDefault="00D55F13" w:rsidP="0065023A">
                                                    <w:pPr>
                                                      <w:jc w:val="center"/>
                                                      <w:rPr>
                                                        <w:color w:val="0D0D0D" w:themeColor="text1" w:themeTint="F2"/>
                                                        <w:sz w:val="20"/>
                                                        <w:szCs w:val="20"/>
                                                      </w:rPr>
                                                    </w:pPr>
                                                    <w:r w:rsidRPr="00394D50">
                                                      <w:rPr>
                                                        <w:color w:val="0D0D0D" w:themeColor="text1" w:themeTint="F2"/>
                                                        <w:sz w:val="20"/>
                                                        <w:szCs w:val="20"/>
                                                      </w:rPr>
                                                      <w:t>D</w:t>
                                                    </w:r>
                                                    <w:r w:rsidRPr="00394D50">
                                                      <w:rPr>
                                                        <w:color w:val="0D0D0D" w:themeColor="text1" w:themeTint="F2"/>
                                                        <w:sz w:val="20"/>
                                                        <w:szCs w:val="20"/>
                                                        <w:vertAlign w:val="subscript"/>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2765" name="2765 Grupo"/>
                                              <wpg:cNvGrpSpPr/>
                                              <wpg:grpSpPr>
                                                <a:xfrm>
                                                  <a:off x="0" y="0"/>
                                                  <a:ext cx="1863725" cy="1307826"/>
                                                  <a:chOff x="0" y="0"/>
                                                  <a:chExt cx="1863725" cy="1307826"/>
                                                </a:xfrm>
                                              </wpg:grpSpPr>
                                              <wpg:grpSp>
                                                <wpg:cNvPr id="2766" name="2766 Grupo"/>
                                                <wpg:cNvGrpSpPr/>
                                                <wpg:grpSpPr>
                                                  <a:xfrm>
                                                    <a:off x="0" y="0"/>
                                                    <a:ext cx="1863725" cy="1307465"/>
                                                    <a:chOff x="0" y="0"/>
                                                    <a:chExt cx="1864287" cy="1307467"/>
                                                  </a:xfrm>
                                                </wpg:grpSpPr>
                                                <wps:wsp>
                                                  <wps:cNvPr id="2767" name="2767 Forma libre"/>
                                                  <wps:cNvSpPr/>
                                                  <wps:spPr>
                                                    <a:xfrm>
                                                      <a:off x="1303084" y="95061"/>
                                                      <a:ext cx="561203" cy="929372"/>
                                                    </a:xfrm>
                                                    <a:custGeom>
                                                      <a:avLst/>
                                                      <a:gdLst>
                                                        <a:gd name="connsiteX0" fmla="*/ 345621 w 547007"/>
                                                        <a:gd name="connsiteY0" fmla="*/ 0 h 919843"/>
                                                        <a:gd name="connsiteX1" fmla="*/ 547007 w 547007"/>
                                                        <a:gd name="connsiteY1" fmla="*/ 462643 h 919843"/>
                                                        <a:gd name="connsiteX2" fmla="*/ 277586 w 547007"/>
                                                        <a:gd name="connsiteY2" fmla="*/ 919843 h 919843"/>
                                                        <a:gd name="connsiteX3" fmla="*/ 0 w 547007"/>
                                                        <a:gd name="connsiteY3" fmla="*/ 636814 h 919843"/>
                                                        <a:gd name="connsiteX4" fmla="*/ 51707 w 547007"/>
                                                        <a:gd name="connsiteY4" fmla="*/ 400050 h 919843"/>
                                                        <a:gd name="connsiteX5" fmla="*/ 89807 w 547007"/>
                                                        <a:gd name="connsiteY5" fmla="*/ 106136 h 919843"/>
                                                        <a:gd name="connsiteX6" fmla="*/ 345621 w 547007"/>
                                                        <a:gd name="connsiteY6" fmla="*/ 0 h 919843"/>
                                                        <a:gd name="connsiteX0" fmla="*/ 343706 w 547007"/>
                                                        <a:gd name="connsiteY0" fmla="*/ 0 h 919843"/>
                                                        <a:gd name="connsiteX1" fmla="*/ 547007 w 547007"/>
                                                        <a:gd name="connsiteY1" fmla="*/ 462643 h 919843"/>
                                                        <a:gd name="connsiteX2" fmla="*/ 277586 w 547007"/>
                                                        <a:gd name="connsiteY2" fmla="*/ 919843 h 919843"/>
                                                        <a:gd name="connsiteX3" fmla="*/ 0 w 547007"/>
                                                        <a:gd name="connsiteY3" fmla="*/ 636814 h 919843"/>
                                                        <a:gd name="connsiteX4" fmla="*/ 51707 w 547007"/>
                                                        <a:gd name="connsiteY4" fmla="*/ 400050 h 919843"/>
                                                        <a:gd name="connsiteX5" fmla="*/ 89807 w 547007"/>
                                                        <a:gd name="connsiteY5" fmla="*/ 106136 h 919843"/>
                                                        <a:gd name="connsiteX6" fmla="*/ 343706 w 547007"/>
                                                        <a:gd name="connsiteY6" fmla="*/ 0 h 919843"/>
                                                        <a:gd name="connsiteX0" fmla="*/ 343706 w 547007"/>
                                                        <a:gd name="connsiteY0" fmla="*/ 0 h 929372"/>
                                                        <a:gd name="connsiteX1" fmla="*/ 547007 w 547007"/>
                                                        <a:gd name="connsiteY1" fmla="*/ 472172 h 929372"/>
                                                        <a:gd name="connsiteX2" fmla="*/ 277586 w 547007"/>
                                                        <a:gd name="connsiteY2" fmla="*/ 929372 h 929372"/>
                                                        <a:gd name="connsiteX3" fmla="*/ 0 w 547007"/>
                                                        <a:gd name="connsiteY3" fmla="*/ 646343 h 929372"/>
                                                        <a:gd name="connsiteX4" fmla="*/ 51707 w 547007"/>
                                                        <a:gd name="connsiteY4" fmla="*/ 409579 h 929372"/>
                                                        <a:gd name="connsiteX5" fmla="*/ 89807 w 547007"/>
                                                        <a:gd name="connsiteY5" fmla="*/ 115665 h 929372"/>
                                                        <a:gd name="connsiteX6" fmla="*/ 343706 w 547007"/>
                                                        <a:gd name="connsiteY6" fmla="*/ 0 h 929372"/>
                                                        <a:gd name="connsiteX0" fmla="*/ 343706 w 547007"/>
                                                        <a:gd name="connsiteY0" fmla="*/ 0 h 929372"/>
                                                        <a:gd name="connsiteX1" fmla="*/ 547007 w 547007"/>
                                                        <a:gd name="connsiteY1" fmla="*/ 472172 h 929372"/>
                                                        <a:gd name="connsiteX2" fmla="*/ 277586 w 547007"/>
                                                        <a:gd name="connsiteY2" fmla="*/ 929372 h 929372"/>
                                                        <a:gd name="connsiteX3" fmla="*/ 0 w 547007"/>
                                                        <a:gd name="connsiteY3" fmla="*/ 646343 h 929372"/>
                                                        <a:gd name="connsiteX4" fmla="*/ 51707 w 547007"/>
                                                        <a:gd name="connsiteY4" fmla="*/ 409579 h 929372"/>
                                                        <a:gd name="connsiteX5" fmla="*/ 89834 w 547007"/>
                                                        <a:gd name="connsiteY5" fmla="*/ 105528 h 929372"/>
                                                        <a:gd name="connsiteX6" fmla="*/ 343706 w 547007"/>
                                                        <a:gd name="connsiteY6" fmla="*/ 0 h 929372"/>
                                                        <a:gd name="connsiteX0" fmla="*/ 357902 w 561203"/>
                                                        <a:gd name="connsiteY0" fmla="*/ 0 h 929372"/>
                                                        <a:gd name="connsiteX1" fmla="*/ 561203 w 561203"/>
                                                        <a:gd name="connsiteY1" fmla="*/ 472172 h 929372"/>
                                                        <a:gd name="connsiteX2" fmla="*/ 291782 w 561203"/>
                                                        <a:gd name="connsiteY2" fmla="*/ 929372 h 929372"/>
                                                        <a:gd name="connsiteX3" fmla="*/ 0 w 561203"/>
                                                        <a:gd name="connsiteY3" fmla="*/ 644317 h 929372"/>
                                                        <a:gd name="connsiteX4" fmla="*/ 65903 w 561203"/>
                                                        <a:gd name="connsiteY4" fmla="*/ 409579 h 929372"/>
                                                        <a:gd name="connsiteX5" fmla="*/ 104030 w 561203"/>
                                                        <a:gd name="connsiteY5" fmla="*/ 105528 h 929372"/>
                                                        <a:gd name="connsiteX6" fmla="*/ 357902 w 561203"/>
                                                        <a:gd name="connsiteY6" fmla="*/ 0 h 9293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561203" h="929372">
                                                          <a:moveTo>
                                                            <a:pt x="357902" y="0"/>
                                                          </a:moveTo>
                                                          <a:lnTo>
                                                            <a:pt x="561203" y="472172"/>
                                                          </a:lnTo>
                                                          <a:lnTo>
                                                            <a:pt x="291782" y="929372"/>
                                                          </a:lnTo>
                                                          <a:lnTo>
                                                            <a:pt x="0" y="644317"/>
                                                          </a:lnTo>
                                                          <a:lnTo>
                                                            <a:pt x="65903" y="409579"/>
                                                          </a:lnTo>
                                                          <a:lnTo>
                                                            <a:pt x="104030" y="105528"/>
                                                          </a:lnTo>
                                                          <a:lnTo>
                                                            <a:pt x="357902" y="0"/>
                                                          </a:lnTo>
                                                          <a:close/>
                                                        </a:path>
                                                      </a:pathLst>
                                                    </a:custGeom>
                                                    <a:solidFill>
                                                      <a:srgbClr val="D60093"/>
                                                    </a:solidFill>
                                                    <a:ln w="25400" cap="flat" cmpd="sng" algn="ctr">
                                                      <a:noFill/>
                                                      <a:prstDash val="solid"/>
                                                    </a:ln>
                                                    <a:effectLst/>
                                                  </wps:spPr>
                                                  <wps:txbx>
                                                    <w:txbxContent>
                                                      <w:p w14:paraId="59B2B8D1" w14:textId="77777777" w:rsidR="00D55F13" w:rsidRPr="00394D50" w:rsidRDefault="00D55F13" w:rsidP="0065023A">
                                                        <w:pPr>
                                                          <w:jc w:val="center"/>
                                                          <w:rPr>
                                                            <w:color w:val="0D0D0D" w:themeColor="text1" w:themeTint="F2"/>
                                                            <w:sz w:val="20"/>
                                                            <w:szCs w:val="20"/>
                                                          </w:rPr>
                                                        </w:pPr>
                                                        <w:r w:rsidRPr="00394D50">
                                                          <w:rPr>
                                                            <w:color w:val="0D0D0D" w:themeColor="text1" w:themeTint="F2"/>
                                                            <w:sz w:val="20"/>
                                                            <w:szCs w:val="20"/>
                                                          </w:rPr>
                                                          <w:t>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68" name="2768 Forma libre"/>
                                                  <wps:cNvSpPr/>
                                                  <wps:spPr>
                                                    <a:xfrm>
                                                      <a:off x="574895" y="1"/>
                                                      <a:ext cx="1086259" cy="547408"/>
                                                    </a:xfrm>
                                                    <a:custGeom>
                                                      <a:avLst/>
                                                      <a:gdLst>
                                                        <a:gd name="connsiteX0" fmla="*/ 0 w 1050939"/>
                                                        <a:gd name="connsiteY0" fmla="*/ 372380 h 537882"/>
                                                        <a:gd name="connsiteX1" fmla="*/ 351692 w 1050939"/>
                                                        <a:gd name="connsiteY1" fmla="*/ 537882 h 537882"/>
                                                        <a:gd name="connsiteX2" fmla="*/ 761310 w 1050939"/>
                                                        <a:gd name="connsiteY2" fmla="*/ 504782 h 537882"/>
                                                        <a:gd name="connsiteX3" fmla="*/ 798548 w 1050939"/>
                                                        <a:gd name="connsiteY3" fmla="*/ 206877 h 537882"/>
                                                        <a:gd name="connsiteX4" fmla="*/ 1050939 w 1050939"/>
                                                        <a:gd name="connsiteY4" fmla="*/ 99301 h 537882"/>
                                                        <a:gd name="connsiteX5" fmla="*/ 384793 w 1050939"/>
                                                        <a:gd name="connsiteY5" fmla="*/ 0 h 537882"/>
                                                        <a:gd name="connsiteX6" fmla="*/ 0 w 1050939"/>
                                                        <a:gd name="connsiteY6" fmla="*/ 372380 h 537882"/>
                                                        <a:gd name="connsiteX0" fmla="*/ 0 w 1063639"/>
                                                        <a:gd name="connsiteY0" fmla="*/ 368171 h 537882"/>
                                                        <a:gd name="connsiteX1" fmla="*/ 364392 w 1063639"/>
                                                        <a:gd name="connsiteY1" fmla="*/ 537882 h 537882"/>
                                                        <a:gd name="connsiteX2" fmla="*/ 774010 w 1063639"/>
                                                        <a:gd name="connsiteY2" fmla="*/ 504782 h 537882"/>
                                                        <a:gd name="connsiteX3" fmla="*/ 811248 w 1063639"/>
                                                        <a:gd name="connsiteY3" fmla="*/ 206877 h 537882"/>
                                                        <a:gd name="connsiteX4" fmla="*/ 1063639 w 1063639"/>
                                                        <a:gd name="connsiteY4" fmla="*/ 99301 h 537882"/>
                                                        <a:gd name="connsiteX5" fmla="*/ 397493 w 1063639"/>
                                                        <a:gd name="connsiteY5" fmla="*/ 0 h 537882"/>
                                                        <a:gd name="connsiteX6" fmla="*/ 0 w 1063639"/>
                                                        <a:gd name="connsiteY6" fmla="*/ 368171 h 537882"/>
                                                        <a:gd name="connsiteX0" fmla="*/ 0 w 1063639"/>
                                                        <a:gd name="connsiteY0" fmla="*/ 371501 h 537882"/>
                                                        <a:gd name="connsiteX1" fmla="*/ 364392 w 1063639"/>
                                                        <a:gd name="connsiteY1" fmla="*/ 537882 h 537882"/>
                                                        <a:gd name="connsiteX2" fmla="*/ 774010 w 1063639"/>
                                                        <a:gd name="connsiteY2" fmla="*/ 504782 h 537882"/>
                                                        <a:gd name="connsiteX3" fmla="*/ 811248 w 1063639"/>
                                                        <a:gd name="connsiteY3" fmla="*/ 206877 h 537882"/>
                                                        <a:gd name="connsiteX4" fmla="*/ 1063639 w 1063639"/>
                                                        <a:gd name="connsiteY4" fmla="*/ 99301 h 537882"/>
                                                        <a:gd name="connsiteX5" fmla="*/ 397493 w 1063639"/>
                                                        <a:gd name="connsiteY5" fmla="*/ 0 h 537882"/>
                                                        <a:gd name="connsiteX6" fmla="*/ 0 w 1063639"/>
                                                        <a:gd name="connsiteY6" fmla="*/ 371501 h 537882"/>
                                                        <a:gd name="connsiteX0" fmla="*/ 0 w 1063639"/>
                                                        <a:gd name="connsiteY0" fmla="*/ 371501 h 537882"/>
                                                        <a:gd name="connsiteX1" fmla="*/ 364507 w 1063639"/>
                                                        <a:gd name="connsiteY1" fmla="*/ 537882 h 537882"/>
                                                        <a:gd name="connsiteX2" fmla="*/ 774010 w 1063639"/>
                                                        <a:gd name="connsiteY2" fmla="*/ 504782 h 537882"/>
                                                        <a:gd name="connsiteX3" fmla="*/ 811248 w 1063639"/>
                                                        <a:gd name="connsiteY3" fmla="*/ 206877 h 537882"/>
                                                        <a:gd name="connsiteX4" fmla="*/ 1063639 w 1063639"/>
                                                        <a:gd name="connsiteY4" fmla="*/ 99301 h 537882"/>
                                                        <a:gd name="connsiteX5" fmla="*/ 397493 w 1063639"/>
                                                        <a:gd name="connsiteY5" fmla="*/ 0 h 537882"/>
                                                        <a:gd name="connsiteX6" fmla="*/ 0 w 1063639"/>
                                                        <a:gd name="connsiteY6" fmla="*/ 371501 h 537882"/>
                                                        <a:gd name="connsiteX0" fmla="*/ 0 w 1063639"/>
                                                        <a:gd name="connsiteY0" fmla="*/ 371501 h 537882"/>
                                                        <a:gd name="connsiteX1" fmla="*/ 364622 w 1063639"/>
                                                        <a:gd name="connsiteY1" fmla="*/ 537882 h 537882"/>
                                                        <a:gd name="connsiteX2" fmla="*/ 774010 w 1063639"/>
                                                        <a:gd name="connsiteY2" fmla="*/ 504782 h 537882"/>
                                                        <a:gd name="connsiteX3" fmla="*/ 811248 w 1063639"/>
                                                        <a:gd name="connsiteY3" fmla="*/ 206877 h 537882"/>
                                                        <a:gd name="connsiteX4" fmla="*/ 1063639 w 1063639"/>
                                                        <a:gd name="connsiteY4" fmla="*/ 99301 h 537882"/>
                                                        <a:gd name="connsiteX5" fmla="*/ 397493 w 1063639"/>
                                                        <a:gd name="connsiteY5" fmla="*/ 0 h 537882"/>
                                                        <a:gd name="connsiteX6" fmla="*/ 0 w 1063639"/>
                                                        <a:gd name="connsiteY6" fmla="*/ 371501 h 537882"/>
                                                        <a:gd name="connsiteX0" fmla="*/ 0 w 1063639"/>
                                                        <a:gd name="connsiteY0" fmla="*/ 371501 h 547446"/>
                                                        <a:gd name="connsiteX1" fmla="*/ 362831 w 1063639"/>
                                                        <a:gd name="connsiteY1" fmla="*/ 547446 h 547446"/>
                                                        <a:gd name="connsiteX2" fmla="*/ 774010 w 1063639"/>
                                                        <a:gd name="connsiteY2" fmla="*/ 504782 h 547446"/>
                                                        <a:gd name="connsiteX3" fmla="*/ 811248 w 1063639"/>
                                                        <a:gd name="connsiteY3" fmla="*/ 206877 h 547446"/>
                                                        <a:gd name="connsiteX4" fmla="*/ 1063639 w 1063639"/>
                                                        <a:gd name="connsiteY4" fmla="*/ 99301 h 547446"/>
                                                        <a:gd name="connsiteX5" fmla="*/ 397493 w 1063639"/>
                                                        <a:gd name="connsiteY5" fmla="*/ 0 h 547446"/>
                                                        <a:gd name="connsiteX6" fmla="*/ 0 w 1063639"/>
                                                        <a:gd name="connsiteY6" fmla="*/ 371501 h 547446"/>
                                                        <a:gd name="connsiteX0" fmla="*/ 0 w 1086273"/>
                                                        <a:gd name="connsiteY0" fmla="*/ 371216 h 547446"/>
                                                        <a:gd name="connsiteX1" fmla="*/ 385465 w 1086273"/>
                                                        <a:gd name="connsiteY1" fmla="*/ 547446 h 547446"/>
                                                        <a:gd name="connsiteX2" fmla="*/ 796644 w 1086273"/>
                                                        <a:gd name="connsiteY2" fmla="*/ 504782 h 547446"/>
                                                        <a:gd name="connsiteX3" fmla="*/ 833882 w 1086273"/>
                                                        <a:gd name="connsiteY3" fmla="*/ 206877 h 547446"/>
                                                        <a:gd name="connsiteX4" fmla="*/ 1086273 w 1086273"/>
                                                        <a:gd name="connsiteY4" fmla="*/ 99301 h 547446"/>
                                                        <a:gd name="connsiteX5" fmla="*/ 420127 w 1086273"/>
                                                        <a:gd name="connsiteY5" fmla="*/ 0 h 547446"/>
                                                        <a:gd name="connsiteX6" fmla="*/ 0 w 1086273"/>
                                                        <a:gd name="connsiteY6" fmla="*/ 371216 h 54744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086273" h="547446">
                                                          <a:moveTo>
                                                            <a:pt x="0" y="371216"/>
                                                          </a:moveTo>
                                                          <a:lnTo>
                                                            <a:pt x="385465" y="547446"/>
                                                          </a:lnTo>
                                                          <a:lnTo>
                                                            <a:pt x="796644" y="504782"/>
                                                          </a:lnTo>
                                                          <a:lnTo>
                                                            <a:pt x="833882" y="206877"/>
                                                          </a:lnTo>
                                                          <a:lnTo>
                                                            <a:pt x="1086273" y="99301"/>
                                                          </a:lnTo>
                                                          <a:lnTo>
                                                            <a:pt x="420127" y="0"/>
                                                          </a:lnTo>
                                                          <a:lnTo>
                                                            <a:pt x="0" y="371216"/>
                                                          </a:lnTo>
                                                          <a:close/>
                                                        </a:path>
                                                      </a:pathLst>
                                                    </a:custGeom>
                                                    <a:solidFill>
                                                      <a:srgbClr val="FFC000"/>
                                                    </a:solidFill>
                                                    <a:ln w="25400" cap="flat" cmpd="sng" algn="ctr">
                                                      <a:noFill/>
                                                      <a:prstDash val="solid"/>
                                                    </a:ln>
                                                    <a:effectLst/>
                                                  </wps:spPr>
                                                  <wps:txbx>
                                                    <w:txbxContent>
                                                      <w:p w14:paraId="38690F4E" w14:textId="77777777" w:rsidR="00D55F13" w:rsidRPr="00394D50" w:rsidRDefault="00D55F13" w:rsidP="0065023A">
                                                        <w:pPr>
                                                          <w:rPr>
                                                            <w:color w:val="0D0D0D" w:themeColor="text1" w:themeTint="F2"/>
                                                            <w:sz w:val="20"/>
                                                            <w:szCs w:val="20"/>
                                                          </w:rPr>
                                                        </w:pPr>
                                                        <w:r w:rsidRPr="00394D50">
                                                          <w:rPr>
                                                            <w:color w:val="0D0D0D" w:themeColor="text1" w:themeTint="F2"/>
                                                            <w:sz w:val="20"/>
                                                            <w:szCs w:val="20"/>
                                                          </w:rPr>
                                                          <w:t xml:space="preserve">           B</w:t>
                                                        </w:r>
                                                        <w:r w:rsidRPr="00394D50">
                                                          <w:rPr>
                                                            <w:color w:val="0D0D0D" w:themeColor="text1" w:themeTint="F2"/>
                                                            <w:sz w:val="20"/>
                                                            <w:szCs w:val="20"/>
                                                            <w:vertAlign w:val="subscript"/>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69" name="2769 Forma libre"/>
                                                  <wps:cNvSpPr/>
                                                  <wps:spPr>
                                                    <a:xfrm>
                                                      <a:off x="0" y="0"/>
                                                      <a:ext cx="993014" cy="1307467"/>
                                                    </a:xfrm>
                                                    <a:custGeom>
                                                      <a:avLst/>
                                                      <a:gdLst>
                                                        <a:gd name="connsiteX0" fmla="*/ 471682 w 993014"/>
                                                        <a:gd name="connsiteY0" fmla="*/ 86888 h 1307467"/>
                                                        <a:gd name="connsiteX1" fmla="*/ 198603 w 993014"/>
                                                        <a:gd name="connsiteY1" fmla="*/ 281353 h 1307467"/>
                                                        <a:gd name="connsiteX2" fmla="*/ 0 w 993014"/>
                                                        <a:gd name="connsiteY2" fmla="*/ 753035 h 1307467"/>
                                                        <a:gd name="connsiteX3" fmla="*/ 132402 w 993014"/>
                                                        <a:gd name="connsiteY3" fmla="*/ 1150240 h 1307467"/>
                                                        <a:gd name="connsiteX4" fmla="*/ 575121 w 993014"/>
                                                        <a:gd name="connsiteY4" fmla="*/ 1307467 h 1307467"/>
                                                        <a:gd name="connsiteX5" fmla="*/ 695110 w 993014"/>
                                                        <a:gd name="connsiteY5" fmla="*/ 976463 h 1307467"/>
                                                        <a:gd name="connsiteX6" fmla="*/ 599946 w 993014"/>
                                                        <a:gd name="connsiteY6" fmla="*/ 368242 h 1307467"/>
                                                        <a:gd name="connsiteX7" fmla="*/ 993014 w 993014"/>
                                                        <a:gd name="connsiteY7" fmla="*/ 0 h 1307467"/>
                                                        <a:gd name="connsiteX8" fmla="*/ 471682 w 993014"/>
                                                        <a:gd name="connsiteY8" fmla="*/ 86888 h 13074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993014" h="1307467">
                                                          <a:moveTo>
                                                            <a:pt x="471682" y="86888"/>
                                                          </a:moveTo>
                                                          <a:lnTo>
                                                            <a:pt x="198603" y="281353"/>
                                                          </a:lnTo>
                                                          <a:lnTo>
                                                            <a:pt x="0" y="753035"/>
                                                          </a:lnTo>
                                                          <a:lnTo>
                                                            <a:pt x="132402" y="1150240"/>
                                                          </a:lnTo>
                                                          <a:lnTo>
                                                            <a:pt x="575121" y="1307467"/>
                                                          </a:lnTo>
                                                          <a:lnTo>
                                                            <a:pt x="695110" y="976463"/>
                                                          </a:lnTo>
                                                          <a:lnTo>
                                                            <a:pt x="599946" y="368242"/>
                                                          </a:lnTo>
                                                          <a:lnTo>
                                                            <a:pt x="993014" y="0"/>
                                                          </a:lnTo>
                                                          <a:lnTo>
                                                            <a:pt x="471682" y="86888"/>
                                                          </a:lnTo>
                                                          <a:close/>
                                                        </a:path>
                                                      </a:pathLst>
                                                    </a:custGeom>
                                                    <a:solidFill>
                                                      <a:srgbClr val="FF3300"/>
                                                    </a:solidFill>
                                                    <a:ln w="25400" cap="flat" cmpd="sng" algn="ctr">
                                                      <a:noFill/>
                                                      <a:prstDash val="solid"/>
                                                    </a:ln>
                                                    <a:effectLst/>
                                                  </wps:spPr>
                                                  <wps:txbx>
                                                    <w:txbxContent>
                                                      <w:p w14:paraId="317CF3F6" w14:textId="77777777" w:rsidR="00D55F13" w:rsidRPr="00394D50" w:rsidRDefault="00D55F13" w:rsidP="0065023A">
                                                        <w:pPr>
                                                          <w:rPr>
                                                            <w:color w:val="0D0D0D" w:themeColor="text1" w:themeTint="F2"/>
                                                            <w:sz w:val="20"/>
                                                            <w:szCs w:val="20"/>
                                                          </w:rPr>
                                                        </w:pPr>
                                                        <w:r w:rsidRPr="00394D50">
                                                          <w:rPr>
                                                            <w:color w:val="0D0D0D" w:themeColor="text1" w:themeTint="F2"/>
                                                            <w:sz w:val="20"/>
                                                            <w:szCs w:val="20"/>
                                                          </w:rPr>
                                                          <w:t xml:space="preserve">      A</w:t>
                                                        </w:r>
                                                        <w:r w:rsidRPr="00394D50">
                                                          <w:rPr>
                                                            <w:color w:val="0D0D0D" w:themeColor="text1" w:themeTint="F2"/>
                                                            <w:sz w:val="20"/>
                                                            <w:szCs w:val="20"/>
                                                            <w:vertAlign w:val="subscript"/>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2770" name="2770 Forma libre"/>
                                                <wps:cNvSpPr/>
                                                <wps:spPr>
                                                  <a:xfrm>
                                                    <a:off x="571941" y="741406"/>
                                                    <a:ext cx="1019763" cy="566420"/>
                                                  </a:xfrm>
                                                  <a:custGeom>
                                                    <a:avLst/>
                                                    <a:gdLst>
                                                      <a:gd name="connsiteX0" fmla="*/ 0 w 1017270"/>
                                                      <a:gd name="connsiteY0" fmla="*/ 567690 h 567690"/>
                                                      <a:gd name="connsiteX1" fmla="*/ 120015 w 1017270"/>
                                                      <a:gd name="connsiteY1" fmla="*/ 230505 h 567690"/>
                                                      <a:gd name="connsiteX2" fmla="*/ 729615 w 1017270"/>
                                                      <a:gd name="connsiteY2" fmla="*/ 0 h 567690"/>
                                                      <a:gd name="connsiteX3" fmla="*/ 1017270 w 1017270"/>
                                                      <a:gd name="connsiteY3" fmla="*/ 281940 h 567690"/>
                                                      <a:gd name="connsiteX4" fmla="*/ 575310 w 1017270"/>
                                                      <a:gd name="connsiteY4" fmla="*/ 550545 h 567690"/>
                                                      <a:gd name="connsiteX5" fmla="*/ 0 w 1017270"/>
                                                      <a:gd name="connsiteY5" fmla="*/ 567690 h 567690"/>
                                                      <a:gd name="connsiteX0" fmla="*/ 0 w 1019763"/>
                                                      <a:gd name="connsiteY0" fmla="*/ 566420 h 566420"/>
                                                      <a:gd name="connsiteX1" fmla="*/ 122508 w 1019763"/>
                                                      <a:gd name="connsiteY1" fmla="*/ 230505 h 566420"/>
                                                      <a:gd name="connsiteX2" fmla="*/ 732108 w 1019763"/>
                                                      <a:gd name="connsiteY2" fmla="*/ 0 h 566420"/>
                                                      <a:gd name="connsiteX3" fmla="*/ 1019763 w 1019763"/>
                                                      <a:gd name="connsiteY3" fmla="*/ 281940 h 566420"/>
                                                      <a:gd name="connsiteX4" fmla="*/ 577803 w 1019763"/>
                                                      <a:gd name="connsiteY4" fmla="*/ 550545 h 566420"/>
                                                      <a:gd name="connsiteX5" fmla="*/ 0 w 1019763"/>
                                                      <a:gd name="connsiteY5" fmla="*/ 566420 h 56642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1019763" h="566420">
                                                        <a:moveTo>
                                                          <a:pt x="0" y="566420"/>
                                                        </a:moveTo>
                                                        <a:lnTo>
                                                          <a:pt x="122508" y="230505"/>
                                                        </a:lnTo>
                                                        <a:lnTo>
                                                          <a:pt x="732108" y="0"/>
                                                        </a:lnTo>
                                                        <a:lnTo>
                                                          <a:pt x="1019763" y="281940"/>
                                                        </a:lnTo>
                                                        <a:lnTo>
                                                          <a:pt x="577803" y="550545"/>
                                                        </a:lnTo>
                                                        <a:lnTo>
                                                          <a:pt x="0" y="566420"/>
                                                        </a:lnTo>
                                                        <a:close/>
                                                      </a:path>
                                                    </a:pathLst>
                                                  </a:custGeom>
                                                  <a:solidFill>
                                                    <a:srgbClr val="92D050"/>
                                                  </a:solidFill>
                                                  <a:ln w="25400" cap="flat" cmpd="sng" algn="ctr">
                                                    <a:noFill/>
                                                    <a:prstDash val="solid"/>
                                                  </a:ln>
                                                  <a:effectLst/>
                                                </wps:spPr>
                                                <wps:txbx>
                                                  <w:txbxContent>
                                                    <w:p w14:paraId="21A7E8EE" w14:textId="77777777" w:rsidR="00D55F13" w:rsidRPr="00394D50" w:rsidRDefault="00D55F13" w:rsidP="0065023A">
                                                      <w:pPr>
                                                        <w:jc w:val="center"/>
                                                        <w:rPr>
                                                          <w:color w:val="0D0D0D" w:themeColor="text1" w:themeTint="F2"/>
                                                          <w:sz w:val="20"/>
                                                          <w:szCs w:val="20"/>
                                                        </w:rPr>
                                                      </w:pPr>
                                                      <w:r w:rsidRPr="00394D50">
                                                        <w:rPr>
                                                          <w:color w:val="0D0D0D" w:themeColor="text1" w:themeTint="F2"/>
                                                          <w:sz w:val="20"/>
                                                          <w:szCs w:val="20"/>
                                                        </w:rPr>
                                                        <w:t>E</w:t>
                                                      </w:r>
                                                      <w:r w:rsidRPr="00394D50">
                                                        <w:rPr>
                                                          <w:color w:val="0D0D0D" w:themeColor="text1" w:themeTint="F2"/>
                                                          <w:sz w:val="20"/>
                                                          <w:szCs w:val="20"/>
                                                          <w:vertAlign w:val="subscript"/>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grpSp>
                                            <wpg:cNvPr id="2771" name="2771 Grupo"/>
                                            <wpg:cNvGrpSpPr/>
                                            <wpg:grpSpPr>
                                              <a:xfrm>
                                                <a:off x="420364" y="60671"/>
                                                <a:ext cx="1046242" cy="1238250"/>
                                                <a:chOff x="23813" y="0"/>
                                                <a:chExt cx="904557" cy="1137740"/>
                                              </a:xfrm>
                                            </wpg:grpSpPr>
                                            <wps:wsp>
                                              <wps:cNvPr id="2772" name="2772 Cuadro de texto"/>
                                              <wps:cNvSpPr txBox="1"/>
                                              <wps:spPr>
                                                <a:xfrm>
                                                  <a:off x="286603" y="975815"/>
                                                  <a:ext cx="152400" cy="161925"/>
                                                </a:xfrm>
                                                <a:prstGeom prst="rect">
                                                  <a:avLst/>
                                                </a:prstGeom>
                                                <a:noFill/>
                                                <a:ln w="6350">
                                                  <a:noFill/>
                                                </a:ln>
                                                <a:effectLst/>
                                              </wps:spPr>
                                              <wps:txbx>
                                                <w:txbxContent>
                                                  <w:p w14:paraId="419FADA8" w14:textId="77777777" w:rsidR="00D55F13" w:rsidRPr="00394D50" w:rsidRDefault="00D55F13" w:rsidP="0065023A">
                                                    <w:pPr>
                                                      <w:jc w:val="center"/>
                                                      <w:rPr>
                                                        <w:sz w:val="20"/>
                                                        <w:szCs w:val="20"/>
                                                      </w:rPr>
                                                    </w:pPr>
                                                    <w:r w:rsidRPr="00394D50">
                                                      <w:rPr>
                                                        <w:sz w:val="20"/>
                                                        <w:szCs w:val="20"/>
                                                      </w:rPr>
                                                      <w:t>E</w:t>
                                                    </w:r>
                                                    <w:r w:rsidRPr="00394D50">
                                                      <w:rPr>
                                                        <w:sz w:val="20"/>
                                                        <w:szCs w:val="20"/>
                                                        <w:vertAlign w:val="subscript"/>
                                                      </w:rPr>
                                                      <w:t>2</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g:grpSp>
                                              <wpg:cNvPr id="2773" name="2773 Grupo"/>
                                              <wpg:cNvGrpSpPr/>
                                              <wpg:grpSpPr>
                                                <a:xfrm>
                                                  <a:off x="23813" y="0"/>
                                                  <a:ext cx="904557" cy="1106013"/>
                                                  <a:chOff x="23813" y="0"/>
                                                  <a:chExt cx="904557" cy="1106013"/>
                                                </a:xfrm>
                                              </wpg:grpSpPr>
                                              <wpg:grpSp>
                                                <wpg:cNvPr id="2774" name="2774 Grupo"/>
                                                <wpg:cNvGrpSpPr/>
                                                <wpg:grpSpPr>
                                                  <a:xfrm>
                                                    <a:off x="23813" y="0"/>
                                                    <a:ext cx="904557" cy="1106013"/>
                                                    <a:chOff x="23813" y="0"/>
                                                    <a:chExt cx="904557" cy="1106013"/>
                                                  </a:xfrm>
                                                </wpg:grpSpPr>
                                                <wpg:grpSp>
                                                  <wpg:cNvPr id="2775" name="2775 Grupo"/>
                                                  <wpg:cNvGrpSpPr/>
                                                  <wpg:grpSpPr>
                                                    <a:xfrm>
                                                      <a:off x="23813" y="0"/>
                                                      <a:ext cx="904557" cy="1106013"/>
                                                      <a:chOff x="0" y="-162470"/>
                                                      <a:chExt cx="905057" cy="1106473"/>
                                                    </a:xfrm>
                                                  </wpg:grpSpPr>
                                                  <wps:wsp>
                                                    <wps:cNvPr id="1724092572" name="1724092572 Conector recto"/>
                                                    <wps:cNvCnPr/>
                                                    <wps:spPr>
                                                      <a:xfrm>
                                                        <a:off x="0" y="-162470"/>
                                                        <a:ext cx="905057" cy="666739"/>
                                                      </a:xfrm>
                                                      <a:prstGeom prst="line">
                                                        <a:avLst/>
                                                      </a:prstGeom>
                                                      <a:noFill/>
                                                      <a:ln w="9525" cap="flat" cmpd="sng" algn="ctr">
                                                        <a:solidFill>
                                                          <a:sysClr val="windowText" lastClr="000000"/>
                                                        </a:solidFill>
                                                        <a:prstDash val="sysDash"/>
                                                      </a:ln>
                                                      <a:effectLst/>
                                                    </wps:spPr>
                                                    <wps:bodyPr/>
                                                  </wps:wsp>
                                                  <wps:wsp>
                                                    <wps:cNvPr id="1025908669" name="1025908669 Forma libre"/>
                                                    <wps:cNvSpPr/>
                                                    <wps:spPr>
                                                      <a:xfrm>
                                                        <a:off x="0" y="805856"/>
                                                        <a:ext cx="726915" cy="138147"/>
                                                      </a:xfrm>
                                                      <a:custGeom>
                                                        <a:avLst/>
                                                        <a:gdLst>
                                                          <a:gd name="connsiteX0" fmla="*/ 0 w 726915"/>
                                                          <a:gd name="connsiteY0" fmla="*/ 3289 h 138147"/>
                                                          <a:gd name="connsiteX1" fmla="*/ 348656 w 726915"/>
                                                          <a:gd name="connsiteY1" fmla="*/ 0 h 138147"/>
                                                          <a:gd name="connsiteX2" fmla="*/ 621660 w 726915"/>
                                                          <a:gd name="connsiteY2" fmla="*/ 88808 h 138147"/>
                                                          <a:gd name="connsiteX3" fmla="*/ 726915 w 726915"/>
                                                          <a:gd name="connsiteY3" fmla="*/ 138147 h 138147"/>
                                                        </a:gdLst>
                                                        <a:ahLst/>
                                                        <a:cxnLst>
                                                          <a:cxn ang="0">
                                                            <a:pos x="connsiteX0" y="connsiteY0"/>
                                                          </a:cxn>
                                                          <a:cxn ang="0">
                                                            <a:pos x="connsiteX1" y="connsiteY1"/>
                                                          </a:cxn>
                                                          <a:cxn ang="0">
                                                            <a:pos x="connsiteX2" y="connsiteY2"/>
                                                          </a:cxn>
                                                          <a:cxn ang="0">
                                                            <a:pos x="connsiteX3" y="connsiteY3"/>
                                                          </a:cxn>
                                                        </a:cxnLst>
                                                        <a:rect l="l" t="t" r="r" b="b"/>
                                                        <a:pathLst>
                                                          <a:path w="726915" h="138147">
                                                            <a:moveTo>
                                                              <a:pt x="0" y="3289"/>
                                                            </a:moveTo>
                                                            <a:lnTo>
                                                              <a:pt x="348656" y="0"/>
                                                            </a:lnTo>
                                                            <a:lnTo>
                                                              <a:pt x="621660" y="88808"/>
                                                            </a:lnTo>
                                                            <a:lnTo>
                                                              <a:pt x="726915" y="138147"/>
                                                            </a:lnTo>
                                                          </a:path>
                                                        </a:pathLst>
                                                      </a:custGeom>
                                                      <a:noFill/>
                                                      <a:ln w="9525" cap="flat" cmpd="sng" algn="ctr">
                                                        <a:solidFill>
                                                          <a:sysClr val="windowText" lastClr="000000"/>
                                                        </a:solidFill>
                                                        <a:prstDash val="lgDashDot"/>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714449728" name="714449728 Cuadro de texto"/>
                                                  <wps:cNvSpPr txBox="1"/>
                                                  <wps:spPr>
                                                    <a:xfrm>
                                                      <a:off x="254700" y="221352"/>
                                                      <a:ext cx="152400" cy="161925"/>
                                                    </a:xfrm>
                                                    <a:prstGeom prst="rect">
                                                      <a:avLst/>
                                                    </a:prstGeom>
                                                    <a:noFill/>
                                                    <a:ln w="6350">
                                                      <a:noFill/>
                                                    </a:ln>
                                                    <a:effectLst/>
                                                  </wps:spPr>
                                                  <wps:txbx>
                                                    <w:txbxContent>
                                                      <w:p w14:paraId="25D5CC8A" w14:textId="77777777" w:rsidR="00D55F13" w:rsidRPr="00394D50" w:rsidRDefault="00D55F13" w:rsidP="0065023A">
                                                        <w:pPr>
                                                          <w:jc w:val="center"/>
                                                          <w:rPr>
                                                            <w:sz w:val="20"/>
                                                            <w:szCs w:val="20"/>
                                                          </w:rPr>
                                                        </w:pPr>
                                                        <w:r w:rsidRPr="00394D50">
                                                          <w:rPr>
                                                            <w:sz w:val="20"/>
                                                            <w:szCs w:val="20"/>
                                                          </w:rPr>
                                                          <w:t>B</w:t>
                                                        </w:r>
                                                        <w:r w:rsidRPr="00394D50">
                                                          <w:rPr>
                                                            <w:sz w:val="20"/>
                                                            <w:szCs w:val="20"/>
                                                            <w:vertAlign w:val="subscript"/>
                                                          </w:rPr>
                                                          <w:t>2</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g:grpSp>
                                              <wps:wsp>
                                                <wps:cNvPr id="714449729" name="714449729 Cuadro de texto"/>
                                                <wps:cNvSpPr txBox="1"/>
                                                <wps:spPr>
                                                  <a:xfrm>
                                                    <a:off x="688912" y="387818"/>
                                                    <a:ext cx="152400" cy="161925"/>
                                                  </a:xfrm>
                                                  <a:prstGeom prst="rect">
                                                    <a:avLst/>
                                                  </a:prstGeom>
                                                  <a:noFill/>
                                                  <a:ln w="6350">
                                                    <a:noFill/>
                                                  </a:ln>
                                                  <a:effectLst/>
                                                </wps:spPr>
                                                <wps:txbx>
                                                  <w:txbxContent>
                                                    <w:p w14:paraId="1614A10D" w14:textId="77777777" w:rsidR="00D55F13" w:rsidRPr="00394D50" w:rsidRDefault="00D55F13" w:rsidP="0065023A">
                                                      <w:pPr>
                                                        <w:jc w:val="center"/>
                                                        <w:rPr>
                                                          <w:sz w:val="20"/>
                                                          <w:szCs w:val="20"/>
                                                        </w:rPr>
                                                      </w:pPr>
                                                      <w:r w:rsidRPr="00394D50">
                                                        <w:rPr>
                                                          <w:sz w:val="20"/>
                                                          <w:szCs w:val="20"/>
                                                        </w:rPr>
                                                        <w:t>D</w:t>
                                                      </w:r>
                                                      <w:r w:rsidRPr="00394D50">
                                                        <w:rPr>
                                                          <w:sz w:val="20"/>
                                                          <w:szCs w:val="20"/>
                                                          <w:vertAlign w:val="subscript"/>
                                                        </w:rPr>
                                                        <w:t>2</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g:grpSp>
                                          </wpg:grpSp>
                                        </wpg:grpSp>
                                        <wps:wsp>
                                          <wps:cNvPr id="714449748" name="714449748 Cuadro de texto"/>
                                          <wps:cNvSpPr txBox="1"/>
                                          <wps:spPr>
                                            <a:xfrm>
                                              <a:off x="856342" y="61686"/>
                                              <a:ext cx="231968" cy="232046"/>
                                            </a:xfrm>
                                            <a:prstGeom prst="rect">
                                              <a:avLst/>
                                            </a:prstGeom>
                                            <a:noFill/>
                                            <a:ln w="6350">
                                              <a:noFill/>
                                            </a:ln>
                                            <a:effectLst/>
                                          </wps:spPr>
                                          <wps:txbx>
                                            <w:txbxContent>
                                              <w:p w14:paraId="30733E2D" w14:textId="77777777" w:rsidR="00D55F13" w:rsidRPr="00394D50" w:rsidRDefault="00D55F13" w:rsidP="0065023A">
                                                <w:pPr>
                                                  <w:jc w:val="center"/>
                                                  <w:rPr>
                                                    <w:sz w:val="20"/>
                                                    <w:szCs w:val="20"/>
                                                  </w:rPr>
                                                </w:pPr>
                                                <w:r w:rsidRPr="00394D50">
                                                  <w:rPr>
                                                    <w:sz w:val="20"/>
                                                    <w:szCs w:val="20"/>
                                                  </w:rPr>
                                                  <w:t>A</w:t>
                                                </w:r>
                                                <w:r w:rsidRPr="00394D50">
                                                  <w:rPr>
                                                    <w:sz w:val="20"/>
                                                    <w:szCs w:val="20"/>
                                                    <w:vertAlign w:val="subscript"/>
                                                  </w:rPr>
                                                  <w:t>2</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g:grpSp>
                                    </wpg:grpSp>
                                  </wpg:grpSp>
                                </wpg:grpSp>
                                <wpg:grpSp>
                                  <wpg:cNvPr id="568110921" name="568110921 Grupo"/>
                                  <wpg:cNvGrpSpPr/>
                                  <wpg:grpSpPr>
                                    <a:xfrm>
                                      <a:off x="47625" y="2114550"/>
                                      <a:ext cx="5104130" cy="1732280"/>
                                      <a:chOff x="0" y="0"/>
                                      <a:chExt cx="5104130" cy="1732280"/>
                                    </a:xfrm>
                                  </wpg:grpSpPr>
                                  <wpg:grpSp>
                                    <wpg:cNvPr id="568110925" name="568110925 Grupo"/>
                                    <wpg:cNvGrpSpPr/>
                                    <wpg:grpSpPr>
                                      <a:xfrm>
                                        <a:off x="0" y="9525"/>
                                        <a:ext cx="2456180" cy="1722755"/>
                                        <a:chOff x="0" y="0"/>
                                        <a:chExt cx="2456180" cy="1722755"/>
                                      </a:xfrm>
                                    </wpg:grpSpPr>
                                    <wpg:grpSp>
                                      <wpg:cNvPr id="568110926" name="568110926 Grupo"/>
                                      <wpg:cNvGrpSpPr/>
                                      <wpg:grpSpPr>
                                        <a:xfrm>
                                          <a:off x="0" y="0"/>
                                          <a:ext cx="2456180" cy="1722755"/>
                                          <a:chOff x="0" y="0"/>
                                          <a:chExt cx="1863725" cy="1307464"/>
                                        </a:xfrm>
                                      </wpg:grpSpPr>
                                      <wpg:grpSp>
                                        <wpg:cNvPr id="568110927" name="568110927 Grupo"/>
                                        <wpg:cNvGrpSpPr/>
                                        <wpg:grpSpPr>
                                          <a:xfrm>
                                            <a:off x="0" y="0"/>
                                            <a:ext cx="1863725" cy="1307464"/>
                                            <a:chOff x="0" y="0"/>
                                            <a:chExt cx="1863725" cy="1307825"/>
                                          </a:xfrm>
                                        </wpg:grpSpPr>
                                        <wps:wsp>
                                          <wps:cNvPr id="568110928" name="568110928 Forma libre"/>
                                          <wps:cNvSpPr/>
                                          <wps:spPr>
                                            <a:xfrm>
                                              <a:off x="600186" y="374234"/>
                                              <a:ext cx="771525" cy="600075"/>
                                            </a:xfrm>
                                            <a:custGeom>
                                              <a:avLst/>
                                              <a:gdLst>
                                                <a:gd name="connsiteX0" fmla="*/ 0 w 771525"/>
                                                <a:gd name="connsiteY0" fmla="*/ 0 h 600075"/>
                                                <a:gd name="connsiteX1" fmla="*/ 365760 w 771525"/>
                                                <a:gd name="connsiteY1" fmla="*/ 171450 h 600075"/>
                                                <a:gd name="connsiteX2" fmla="*/ 771525 w 771525"/>
                                                <a:gd name="connsiteY2" fmla="*/ 129540 h 600075"/>
                                                <a:gd name="connsiteX3" fmla="*/ 706755 w 771525"/>
                                                <a:gd name="connsiteY3" fmla="*/ 365760 h 600075"/>
                                                <a:gd name="connsiteX4" fmla="*/ 93345 w 771525"/>
                                                <a:gd name="connsiteY4" fmla="*/ 600075 h 600075"/>
                                                <a:gd name="connsiteX5" fmla="*/ 0 w 771525"/>
                                                <a:gd name="connsiteY5" fmla="*/ 0 h 6000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771525" h="600075">
                                                  <a:moveTo>
                                                    <a:pt x="0" y="0"/>
                                                  </a:moveTo>
                                                  <a:lnTo>
                                                    <a:pt x="365760" y="171450"/>
                                                  </a:lnTo>
                                                  <a:lnTo>
                                                    <a:pt x="771525" y="129540"/>
                                                  </a:lnTo>
                                                  <a:lnTo>
                                                    <a:pt x="706755" y="365760"/>
                                                  </a:lnTo>
                                                  <a:lnTo>
                                                    <a:pt x="93345" y="600075"/>
                                                  </a:lnTo>
                                                  <a:lnTo>
                                                    <a:pt x="0" y="0"/>
                                                  </a:lnTo>
                                                  <a:close/>
                                                </a:path>
                                              </a:pathLst>
                                            </a:custGeom>
                                            <a:solidFill>
                                              <a:srgbClr val="00B0F0"/>
                                            </a:solidFill>
                                            <a:ln w="25400" cap="flat" cmpd="sng" algn="ctr">
                                              <a:noFill/>
                                              <a:prstDash val="solid"/>
                                            </a:ln>
                                            <a:effectLst/>
                                          </wps:spPr>
                                          <wps:txbx>
                                            <w:txbxContent>
                                              <w:p w14:paraId="5024FEA4" w14:textId="77777777" w:rsidR="00D55F13" w:rsidRPr="00394D50" w:rsidRDefault="00D55F13" w:rsidP="0065023A">
                                                <w:pPr>
                                                  <w:jc w:val="center"/>
                                                  <w:rPr>
                                                    <w:color w:val="0D0D0D" w:themeColor="text1" w:themeTint="F2"/>
                                                    <w:sz w:val="20"/>
                                                    <w:szCs w:val="20"/>
                                                  </w:rPr>
                                                </w:pPr>
                                                <w:r w:rsidRPr="00394D50">
                                                  <w:rPr>
                                                    <w:color w:val="0D0D0D" w:themeColor="text1" w:themeTint="F2"/>
                                                    <w:sz w:val="20"/>
                                                    <w:szCs w:val="20"/>
                                                  </w:rPr>
                                                  <w:t>D</w:t>
                                                </w:r>
                                                <w:r w:rsidRPr="00394D50">
                                                  <w:rPr>
                                                    <w:color w:val="0D0D0D" w:themeColor="text1" w:themeTint="F2"/>
                                                    <w:sz w:val="20"/>
                                                    <w:szCs w:val="20"/>
                                                    <w:vertAlign w:val="subscript"/>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568110929" name="568110929 Grupo"/>
                                          <wpg:cNvGrpSpPr/>
                                          <wpg:grpSpPr>
                                            <a:xfrm>
                                              <a:off x="0" y="0"/>
                                              <a:ext cx="1863725" cy="1307825"/>
                                              <a:chOff x="0" y="0"/>
                                              <a:chExt cx="1863725" cy="1307825"/>
                                            </a:xfrm>
                                          </wpg:grpSpPr>
                                          <wps:wsp>
                                            <wps:cNvPr id="568110930" name="568110930 Forma libre"/>
                                            <wps:cNvSpPr/>
                                            <wps:spPr>
                                              <a:xfrm>
                                                <a:off x="571941" y="741405"/>
                                                <a:ext cx="1019763" cy="566420"/>
                                              </a:xfrm>
                                              <a:custGeom>
                                                <a:avLst/>
                                                <a:gdLst>
                                                  <a:gd name="connsiteX0" fmla="*/ 0 w 1017270"/>
                                                  <a:gd name="connsiteY0" fmla="*/ 567690 h 567690"/>
                                                  <a:gd name="connsiteX1" fmla="*/ 120015 w 1017270"/>
                                                  <a:gd name="connsiteY1" fmla="*/ 230505 h 567690"/>
                                                  <a:gd name="connsiteX2" fmla="*/ 729615 w 1017270"/>
                                                  <a:gd name="connsiteY2" fmla="*/ 0 h 567690"/>
                                                  <a:gd name="connsiteX3" fmla="*/ 1017270 w 1017270"/>
                                                  <a:gd name="connsiteY3" fmla="*/ 281940 h 567690"/>
                                                  <a:gd name="connsiteX4" fmla="*/ 575310 w 1017270"/>
                                                  <a:gd name="connsiteY4" fmla="*/ 550545 h 567690"/>
                                                  <a:gd name="connsiteX5" fmla="*/ 0 w 1017270"/>
                                                  <a:gd name="connsiteY5" fmla="*/ 567690 h 567690"/>
                                                  <a:gd name="connsiteX0" fmla="*/ 0 w 1019763"/>
                                                  <a:gd name="connsiteY0" fmla="*/ 566420 h 566420"/>
                                                  <a:gd name="connsiteX1" fmla="*/ 122508 w 1019763"/>
                                                  <a:gd name="connsiteY1" fmla="*/ 230505 h 566420"/>
                                                  <a:gd name="connsiteX2" fmla="*/ 732108 w 1019763"/>
                                                  <a:gd name="connsiteY2" fmla="*/ 0 h 566420"/>
                                                  <a:gd name="connsiteX3" fmla="*/ 1019763 w 1019763"/>
                                                  <a:gd name="connsiteY3" fmla="*/ 281940 h 566420"/>
                                                  <a:gd name="connsiteX4" fmla="*/ 577803 w 1019763"/>
                                                  <a:gd name="connsiteY4" fmla="*/ 550545 h 566420"/>
                                                  <a:gd name="connsiteX5" fmla="*/ 0 w 1019763"/>
                                                  <a:gd name="connsiteY5" fmla="*/ 566420 h 56642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1019763" h="566420">
                                                    <a:moveTo>
                                                      <a:pt x="0" y="566420"/>
                                                    </a:moveTo>
                                                    <a:lnTo>
                                                      <a:pt x="122508" y="230505"/>
                                                    </a:lnTo>
                                                    <a:lnTo>
                                                      <a:pt x="732108" y="0"/>
                                                    </a:lnTo>
                                                    <a:lnTo>
                                                      <a:pt x="1019763" y="281940"/>
                                                    </a:lnTo>
                                                    <a:lnTo>
                                                      <a:pt x="577803" y="550545"/>
                                                    </a:lnTo>
                                                    <a:lnTo>
                                                      <a:pt x="0" y="566420"/>
                                                    </a:lnTo>
                                                    <a:close/>
                                                  </a:path>
                                                </a:pathLst>
                                              </a:custGeom>
                                              <a:solidFill>
                                                <a:srgbClr val="92D050"/>
                                              </a:solidFill>
                                              <a:ln w="25400" cap="flat" cmpd="sng" algn="ctr">
                                                <a:noFill/>
                                                <a:prstDash val="solid"/>
                                              </a:ln>
                                              <a:effectLst/>
                                            </wps:spPr>
                                            <wps:txbx>
                                              <w:txbxContent>
                                                <w:p w14:paraId="3649BF8E" w14:textId="77777777" w:rsidR="00D55F13" w:rsidRPr="00394D50" w:rsidRDefault="00D55F13" w:rsidP="0065023A">
                                                  <w:pPr>
                                                    <w:jc w:val="center"/>
                                                    <w:rPr>
                                                      <w:color w:val="0D0D0D" w:themeColor="text1" w:themeTint="F2"/>
                                                      <w:sz w:val="20"/>
                                                      <w:szCs w:val="20"/>
                                                    </w:rPr>
                                                  </w:pPr>
                                                  <w:r w:rsidRPr="00394D50">
                                                    <w:rPr>
                                                      <w:color w:val="0D0D0D" w:themeColor="text1" w:themeTint="F2"/>
                                                      <w:sz w:val="20"/>
                                                      <w:szCs w:val="20"/>
                                                    </w:rPr>
                                                    <w:t>E</w:t>
                                                  </w:r>
                                                  <w:r w:rsidRPr="00394D50">
                                                    <w:rPr>
                                                      <w:color w:val="0D0D0D" w:themeColor="text1" w:themeTint="F2"/>
                                                      <w:sz w:val="20"/>
                                                      <w:szCs w:val="20"/>
                                                      <w:vertAlign w:val="subscript"/>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568110941" name="568110941 Grupo"/>
                                            <wpg:cNvGrpSpPr/>
                                            <wpg:grpSpPr>
                                              <a:xfrm>
                                                <a:off x="0" y="0"/>
                                                <a:ext cx="1863725" cy="1307465"/>
                                                <a:chOff x="0" y="0"/>
                                                <a:chExt cx="1864287" cy="1307467"/>
                                              </a:xfrm>
                                            </wpg:grpSpPr>
                                            <wps:wsp>
                                              <wps:cNvPr id="568110942" name="568110942 Forma libre"/>
                                              <wps:cNvSpPr/>
                                              <wps:spPr>
                                                <a:xfrm>
                                                  <a:off x="1303084" y="95061"/>
                                                  <a:ext cx="561203" cy="929372"/>
                                                </a:xfrm>
                                                <a:custGeom>
                                                  <a:avLst/>
                                                  <a:gdLst>
                                                    <a:gd name="connsiteX0" fmla="*/ 345621 w 547007"/>
                                                    <a:gd name="connsiteY0" fmla="*/ 0 h 919843"/>
                                                    <a:gd name="connsiteX1" fmla="*/ 547007 w 547007"/>
                                                    <a:gd name="connsiteY1" fmla="*/ 462643 h 919843"/>
                                                    <a:gd name="connsiteX2" fmla="*/ 277586 w 547007"/>
                                                    <a:gd name="connsiteY2" fmla="*/ 919843 h 919843"/>
                                                    <a:gd name="connsiteX3" fmla="*/ 0 w 547007"/>
                                                    <a:gd name="connsiteY3" fmla="*/ 636814 h 919843"/>
                                                    <a:gd name="connsiteX4" fmla="*/ 51707 w 547007"/>
                                                    <a:gd name="connsiteY4" fmla="*/ 400050 h 919843"/>
                                                    <a:gd name="connsiteX5" fmla="*/ 89807 w 547007"/>
                                                    <a:gd name="connsiteY5" fmla="*/ 106136 h 919843"/>
                                                    <a:gd name="connsiteX6" fmla="*/ 345621 w 547007"/>
                                                    <a:gd name="connsiteY6" fmla="*/ 0 h 919843"/>
                                                    <a:gd name="connsiteX0" fmla="*/ 343706 w 547007"/>
                                                    <a:gd name="connsiteY0" fmla="*/ 0 h 919843"/>
                                                    <a:gd name="connsiteX1" fmla="*/ 547007 w 547007"/>
                                                    <a:gd name="connsiteY1" fmla="*/ 462643 h 919843"/>
                                                    <a:gd name="connsiteX2" fmla="*/ 277586 w 547007"/>
                                                    <a:gd name="connsiteY2" fmla="*/ 919843 h 919843"/>
                                                    <a:gd name="connsiteX3" fmla="*/ 0 w 547007"/>
                                                    <a:gd name="connsiteY3" fmla="*/ 636814 h 919843"/>
                                                    <a:gd name="connsiteX4" fmla="*/ 51707 w 547007"/>
                                                    <a:gd name="connsiteY4" fmla="*/ 400050 h 919843"/>
                                                    <a:gd name="connsiteX5" fmla="*/ 89807 w 547007"/>
                                                    <a:gd name="connsiteY5" fmla="*/ 106136 h 919843"/>
                                                    <a:gd name="connsiteX6" fmla="*/ 343706 w 547007"/>
                                                    <a:gd name="connsiteY6" fmla="*/ 0 h 919843"/>
                                                    <a:gd name="connsiteX0" fmla="*/ 343706 w 547007"/>
                                                    <a:gd name="connsiteY0" fmla="*/ 0 h 929372"/>
                                                    <a:gd name="connsiteX1" fmla="*/ 547007 w 547007"/>
                                                    <a:gd name="connsiteY1" fmla="*/ 472172 h 929372"/>
                                                    <a:gd name="connsiteX2" fmla="*/ 277586 w 547007"/>
                                                    <a:gd name="connsiteY2" fmla="*/ 929372 h 929372"/>
                                                    <a:gd name="connsiteX3" fmla="*/ 0 w 547007"/>
                                                    <a:gd name="connsiteY3" fmla="*/ 646343 h 929372"/>
                                                    <a:gd name="connsiteX4" fmla="*/ 51707 w 547007"/>
                                                    <a:gd name="connsiteY4" fmla="*/ 409579 h 929372"/>
                                                    <a:gd name="connsiteX5" fmla="*/ 89807 w 547007"/>
                                                    <a:gd name="connsiteY5" fmla="*/ 115665 h 929372"/>
                                                    <a:gd name="connsiteX6" fmla="*/ 343706 w 547007"/>
                                                    <a:gd name="connsiteY6" fmla="*/ 0 h 929372"/>
                                                    <a:gd name="connsiteX0" fmla="*/ 343706 w 547007"/>
                                                    <a:gd name="connsiteY0" fmla="*/ 0 h 929372"/>
                                                    <a:gd name="connsiteX1" fmla="*/ 547007 w 547007"/>
                                                    <a:gd name="connsiteY1" fmla="*/ 472172 h 929372"/>
                                                    <a:gd name="connsiteX2" fmla="*/ 277586 w 547007"/>
                                                    <a:gd name="connsiteY2" fmla="*/ 929372 h 929372"/>
                                                    <a:gd name="connsiteX3" fmla="*/ 0 w 547007"/>
                                                    <a:gd name="connsiteY3" fmla="*/ 646343 h 929372"/>
                                                    <a:gd name="connsiteX4" fmla="*/ 51707 w 547007"/>
                                                    <a:gd name="connsiteY4" fmla="*/ 409579 h 929372"/>
                                                    <a:gd name="connsiteX5" fmla="*/ 89834 w 547007"/>
                                                    <a:gd name="connsiteY5" fmla="*/ 105528 h 929372"/>
                                                    <a:gd name="connsiteX6" fmla="*/ 343706 w 547007"/>
                                                    <a:gd name="connsiteY6" fmla="*/ 0 h 929372"/>
                                                    <a:gd name="connsiteX0" fmla="*/ 357902 w 561203"/>
                                                    <a:gd name="connsiteY0" fmla="*/ 0 h 929372"/>
                                                    <a:gd name="connsiteX1" fmla="*/ 561203 w 561203"/>
                                                    <a:gd name="connsiteY1" fmla="*/ 472172 h 929372"/>
                                                    <a:gd name="connsiteX2" fmla="*/ 291782 w 561203"/>
                                                    <a:gd name="connsiteY2" fmla="*/ 929372 h 929372"/>
                                                    <a:gd name="connsiteX3" fmla="*/ 0 w 561203"/>
                                                    <a:gd name="connsiteY3" fmla="*/ 644317 h 929372"/>
                                                    <a:gd name="connsiteX4" fmla="*/ 65903 w 561203"/>
                                                    <a:gd name="connsiteY4" fmla="*/ 409579 h 929372"/>
                                                    <a:gd name="connsiteX5" fmla="*/ 104030 w 561203"/>
                                                    <a:gd name="connsiteY5" fmla="*/ 105528 h 929372"/>
                                                    <a:gd name="connsiteX6" fmla="*/ 357902 w 561203"/>
                                                    <a:gd name="connsiteY6" fmla="*/ 0 h 9293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561203" h="929372">
                                                      <a:moveTo>
                                                        <a:pt x="357902" y="0"/>
                                                      </a:moveTo>
                                                      <a:lnTo>
                                                        <a:pt x="561203" y="472172"/>
                                                      </a:lnTo>
                                                      <a:lnTo>
                                                        <a:pt x="291782" y="929372"/>
                                                      </a:lnTo>
                                                      <a:lnTo>
                                                        <a:pt x="0" y="644317"/>
                                                      </a:lnTo>
                                                      <a:lnTo>
                                                        <a:pt x="65903" y="409579"/>
                                                      </a:lnTo>
                                                      <a:lnTo>
                                                        <a:pt x="104030" y="105528"/>
                                                      </a:lnTo>
                                                      <a:lnTo>
                                                        <a:pt x="357902" y="0"/>
                                                      </a:lnTo>
                                                      <a:close/>
                                                    </a:path>
                                                  </a:pathLst>
                                                </a:custGeom>
                                                <a:solidFill>
                                                  <a:srgbClr val="D60093"/>
                                                </a:solidFill>
                                                <a:ln w="25400" cap="flat" cmpd="sng" algn="ctr">
                                                  <a:noFill/>
                                                  <a:prstDash val="solid"/>
                                                </a:ln>
                                                <a:effectLst/>
                                              </wps:spPr>
                                              <wps:txbx>
                                                <w:txbxContent>
                                                  <w:p w14:paraId="46468C98" w14:textId="77777777" w:rsidR="00D55F13" w:rsidRPr="00394D50" w:rsidRDefault="00D55F13" w:rsidP="0065023A">
                                                    <w:pPr>
                                                      <w:jc w:val="center"/>
                                                      <w:rPr>
                                                        <w:color w:val="0D0D0D" w:themeColor="text1" w:themeTint="F2"/>
                                                        <w:sz w:val="20"/>
                                                        <w:szCs w:val="20"/>
                                                      </w:rPr>
                                                    </w:pPr>
                                                    <w:r w:rsidRPr="00394D50">
                                                      <w:rPr>
                                                        <w:color w:val="0D0D0D" w:themeColor="text1" w:themeTint="F2"/>
                                                        <w:sz w:val="20"/>
                                                        <w:szCs w:val="20"/>
                                                      </w:rPr>
                                                      <w:t>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8110943" name="568110943 Forma libre"/>
                                              <wps:cNvSpPr/>
                                              <wps:spPr>
                                                <a:xfrm>
                                                  <a:off x="574895" y="1"/>
                                                  <a:ext cx="1086259" cy="547408"/>
                                                </a:xfrm>
                                                <a:custGeom>
                                                  <a:avLst/>
                                                  <a:gdLst>
                                                    <a:gd name="connsiteX0" fmla="*/ 0 w 1050939"/>
                                                    <a:gd name="connsiteY0" fmla="*/ 372380 h 537882"/>
                                                    <a:gd name="connsiteX1" fmla="*/ 351692 w 1050939"/>
                                                    <a:gd name="connsiteY1" fmla="*/ 537882 h 537882"/>
                                                    <a:gd name="connsiteX2" fmla="*/ 761310 w 1050939"/>
                                                    <a:gd name="connsiteY2" fmla="*/ 504782 h 537882"/>
                                                    <a:gd name="connsiteX3" fmla="*/ 798548 w 1050939"/>
                                                    <a:gd name="connsiteY3" fmla="*/ 206877 h 537882"/>
                                                    <a:gd name="connsiteX4" fmla="*/ 1050939 w 1050939"/>
                                                    <a:gd name="connsiteY4" fmla="*/ 99301 h 537882"/>
                                                    <a:gd name="connsiteX5" fmla="*/ 384793 w 1050939"/>
                                                    <a:gd name="connsiteY5" fmla="*/ 0 h 537882"/>
                                                    <a:gd name="connsiteX6" fmla="*/ 0 w 1050939"/>
                                                    <a:gd name="connsiteY6" fmla="*/ 372380 h 537882"/>
                                                    <a:gd name="connsiteX0" fmla="*/ 0 w 1063639"/>
                                                    <a:gd name="connsiteY0" fmla="*/ 368171 h 537882"/>
                                                    <a:gd name="connsiteX1" fmla="*/ 364392 w 1063639"/>
                                                    <a:gd name="connsiteY1" fmla="*/ 537882 h 537882"/>
                                                    <a:gd name="connsiteX2" fmla="*/ 774010 w 1063639"/>
                                                    <a:gd name="connsiteY2" fmla="*/ 504782 h 537882"/>
                                                    <a:gd name="connsiteX3" fmla="*/ 811248 w 1063639"/>
                                                    <a:gd name="connsiteY3" fmla="*/ 206877 h 537882"/>
                                                    <a:gd name="connsiteX4" fmla="*/ 1063639 w 1063639"/>
                                                    <a:gd name="connsiteY4" fmla="*/ 99301 h 537882"/>
                                                    <a:gd name="connsiteX5" fmla="*/ 397493 w 1063639"/>
                                                    <a:gd name="connsiteY5" fmla="*/ 0 h 537882"/>
                                                    <a:gd name="connsiteX6" fmla="*/ 0 w 1063639"/>
                                                    <a:gd name="connsiteY6" fmla="*/ 368171 h 537882"/>
                                                    <a:gd name="connsiteX0" fmla="*/ 0 w 1063639"/>
                                                    <a:gd name="connsiteY0" fmla="*/ 371501 h 537882"/>
                                                    <a:gd name="connsiteX1" fmla="*/ 364392 w 1063639"/>
                                                    <a:gd name="connsiteY1" fmla="*/ 537882 h 537882"/>
                                                    <a:gd name="connsiteX2" fmla="*/ 774010 w 1063639"/>
                                                    <a:gd name="connsiteY2" fmla="*/ 504782 h 537882"/>
                                                    <a:gd name="connsiteX3" fmla="*/ 811248 w 1063639"/>
                                                    <a:gd name="connsiteY3" fmla="*/ 206877 h 537882"/>
                                                    <a:gd name="connsiteX4" fmla="*/ 1063639 w 1063639"/>
                                                    <a:gd name="connsiteY4" fmla="*/ 99301 h 537882"/>
                                                    <a:gd name="connsiteX5" fmla="*/ 397493 w 1063639"/>
                                                    <a:gd name="connsiteY5" fmla="*/ 0 h 537882"/>
                                                    <a:gd name="connsiteX6" fmla="*/ 0 w 1063639"/>
                                                    <a:gd name="connsiteY6" fmla="*/ 371501 h 537882"/>
                                                    <a:gd name="connsiteX0" fmla="*/ 0 w 1063639"/>
                                                    <a:gd name="connsiteY0" fmla="*/ 371501 h 537882"/>
                                                    <a:gd name="connsiteX1" fmla="*/ 364507 w 1063639"/>
                                                    <a:gd name="connsiteY1" fmla="*/ 537882 h 537882"/>
                                                    <a:gd name="connsiteX2" fmla="*/ 774010 w 1063639"/>
                                                    <a:gd name="connsiteY2" fmla="*/ 504782 h 537882"/>
                                                    <a:gd name="connsiteX3" fmla="*/ 811248 w 1063639"/>
                                                    <a:gd name="connsiteY3" fmla="*/ 206877 h 537882"/>
                                                    <a:gd name="connsiteX4" fmla="*/ 1063639 w 1063639"/>
                                                    <a:gd name="connsiteY4" fmla="*/ 99301 h 537882"/>
                                                    <a:gd name="connsiteX5" fmla="*/ 397493 w 1063639"/>
                                                    <a:gd name="connsiteY5" fmla="*/ 0 h 537882"/>
                                                    <a:gd name="connsiteX6" fmla="*/ 0 w 1063639"/>
                                                    <a:gd name="connsiteY6" fmla="*/ 371501 h 537882"/>
                                                    <a:gd name="connsiteX0" fmla="*/ 0 w 1063639"/>
                                                    <a:gd name="connsiteY0" fmla="*/ 371501 h 537882"/>
                                                    <a:gd name="connsiteX1" fmla="*/ 364622 w 1063639"/>
                                                    <a:gd name="connsiteY1" fmla="*/ 537882 h 537882"/>
                                                    <a:gd name="connsiteX2" fmla="*/ 774010 w 1063639"/>
                                                    <a:gd name="connsiteY2" fmla="*/ 504782 h 537882"/>
                                                    <a:gd name="connsiteX3" fmla="*/ 811248 w 1063639"/>
                                                    <a:gd name="connsiteY3" fmla="*/ 206877 h 537882"/>
                                                    <a:gd name="connsiteX4" fmla="*/ 1063639 w 1063639"/>
                                                    <a:gd name="connsiteY4" fmla="*/ 99301 h 537882"/>
                                                    <a:gd name="connsiteX5" fmla="*/ 397493 w 1063639"/>
                                                    <a:gd name="connsiteY5" fmla="*/ 0 h 537882"/>
                                                    <a:gd name="connsiteX6" fmla="*/ 0 w 1063639"/>
                                                    <a:gd name="connsiteY6" fmla="*/ 371501 h 537882"/>
                                                    <a:gd name="connsiteX0" fmla="*/ 0 w 1063639"/>
                                                    <a:gd name="connsiteY0" fmla="*/ 371501 h 547446"/>
                                                    <a:gd name="connsiteX1" fmla="*/ 362831 w 1063639"/>
                                                    <a:gd name="connsiteY1" fmla="*/ 547446 h 547446"/>
                                                    <a:gd name="connsiteX2" fmla="*/ 774010 w 1063639"/>
                                                    <a:gd name="connsiteY2" fmla="*/ 504782 h 547446"/>
                                                    <a:gd name="connsiteX3" fmla="*/ 811248 w 1063639"/>
                                                    <a:gd name="connsiteY3" fmla="*/ 206877 h 547446"/>
                                                    <a:gd name="connsiteX4" fmla="*/ 1063639 w 1063639"/>
                                                    <a:gd name="connsiteY4" fmla="*/ 99301 h 547446"/>
                                                    <a:gd name="connsiteX5" fmla="*/ 397493 w 1063639"/>
                                                    <a:gd name="connsiteY5" fmla="*/ 0 h 547446"/>
                                                    <a:gd name="connsiteX6" fmla="*/ 0 w 1063639"/>
                                                    <a:gd name="connsiteY6" fmla="*/ 371501 h 547446"/>
                                                    <a:gd name="connsiteX0" fmla="*/ 0 w 1086273"/>
                                                    <a:gd name="connsiteY0" fmla="*/ 371216 h 547446"/>
                                                    <a:gd name="connsiteX1" fmla="*/ 385465 w 1086273"/>
                                                    <a:gd name="connsiteY1" fmla="*/ 547446 h 547446"/>
                                                    <a:gd name="connsiteX2" fmla="*/ 796644 w 1086273"/>
                                                    <a:gd name="connsiteY2" fmla="*/ 504782 h 547446"/>
                                                    <a:gd name="connsiteX3" fmla="*/ 833882 w 1086273"/>
                                                    <a:gd name="connsiteY3" fmla="*/ 206877 h 547446"/>
                                                    <a:gd name="connsiteX4" fmla="*/ 1086273 w 1086273"/>
                                                    <a:gd name="connsiteY4" fmla="*/ 99301 h 547446"/>
                                                    <a:gd name="connsiteX5" fmla="*/ 420127 w 1086273"/>
                                                    <a:gd name="connsiteY5" fmla="*/ 0 h 547446"/>
                                                    <a:gd name="connsiteX6" fmla="*/ 0 w 1086273"/>
                                                    <a:gd name="connsiteY6" fmla="*/ 371216 h 54744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086273" h="547446">
                                                      <a:moveTo>
                                                        <a:pt x="0" y="371216"/>
                                                      </a:moveTo>
                                                      <a:lnTo>
                                                        <a:pt x="385465" y="547446"/>
                                                      </a:lnTo>
                                                      <a:lnTo>
                                                        <a:pt x="796644" y="504782"/>
                                                      </a:lnTo>
                                                      <a:lnTo>
                                                        <a:pt x="833882" y="206877"/>
                                                      </a:lnTo>
                                                      <a:lnTo>
                                                        <a:pt x="1086273" y="99301"/>
                                                      </a:lnTo>
                                                      <a:lnTo>
                                                        <a:pt x="420127" y="0"/>
                                                      </a:lnTo>
                                                      <a:lnTo>
                                                        <a:pt x="0" y="371216"/>
                                                      </a:lnTo>
                                                      <a:close/>
                                                    </a:path>
                                                  </a:pathLst>
                                                </a:custGeom>
                                                <a:solidFill>
                                                  <a:srgbClr val="FFC000"/>
                                                </a:solidFill>
                                                <a:ln w="25400" cap="flat" cmpd="sng" algn="ctr">
                                                  <a:noFill/>
                                                  <a:prstDash val="solid"/>
                                                </a:ln>
                                                <a:effectLst/>
                                              </wps:spPr>
                                              <wps:txbx>
                                                <w:txbxContent>
                                                  <w:p w14:paraId="1B8C6D2D" w14:textId="77777777" w:rsidR="00D55F13" w:rsidRPr="00394D50" w:rsidRDefault="00D55F13" w:rsidP="0065023A">
                                                    <w:pPr>
                                                      <w:rPr>
                                                        <w:color w:val="0D0D0D" w:themeColor="text1" w:themeTint="F2"/>
                                                        <w:sz w:val="20"/>
                                                        <w:szCs w:val="20"/>
                                                      </w:rPr>
                                                    </w:pPr>
                                                    <w:r w:rsidRPr="00394D50">
                                                      <w:rPr>
                                                        <w:color w:val="0D0D0D" w:themeColor="text1" w:themeTint="F2"/>
                                                        <w:sz w:val="20"/>
                                                        <w:szCs w:val="20"/>
                                                      </w:rPr>
                                                      <w:t xml:space="preserve">           B</w:t>
                                                    </w:r>
                                                    <w:r w:rsidRPr="00394D50">
                                                      <w:rPr>
                                                        <w:color w:val="0D0D0D" w:themeColor="text1" w:themeTint="F2"/>
                                                        <w:sz w:val="20"/>
                                                        <w:szCs w:val="20"/>
                                                        <w:vertAlign w:val="subscript"/>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78634880" name="2078634880 Forma libre"/>
                                              <wps:cNvSpPr/>
                                              <wps:spPr>
                                                <a:xfrm>
                                                  <a:off x="0" y="0"/>
                                                  <a:ext cx="993014" cy="1307467"/>
                                                </a:xfrm>
                                                <a:custGeom>
                                                  <a:avLst/>
                                                  <a:gdLst>
                                                    <a:gd name="connsiteX0" fmla="*/ 471682 w 993014"/>
                                                    <a:gd name="connsiteY0" fmla="*/ 86888 h 1307467"/>
                                                    <a:gd name="connsiteX1" fmla="*/ 198603 w 993014"/>
                                                    <a:gd name="connsiteY1" fmla="*/ 281353 h 1307467"/>
                                                    <a:gd name="connsiteX2" fmla="*/ 0 w 993014"/>
                                                    <a:gd name="connsiteY2" fmla="*/ 753035 h 1307467"/>
                                                    <a:gd name="connsiteX3" fmla="*/ 132402 w 993014"/>
                                                    <a:gd name="connsiteY3" fmla="*/ 1150240 h 1307467"/>
                                                    <a:gd name="connsiteX4" fmla="*/ 575121 w 993014"/>
                                                    <a:gd name="connsiteY4" fmla="*/ 1307467 h 1307467"/>
                                                    <a:gd name="connsiteX5" fmla="*/ 695110 w 993014"/>
                                                    <a:gd name="connsiteY5" fmla="*/ 976463 h 1307467"/>
                                                    <a:gd name="connsiteX6" fmla="*/ 599946 w 993014"/>
                                                    <a:gd name="connsiteY6" fmla="*/ 368242 h 1307467"/>
                                                    <a:gd name="connsiteX7" fmla="*/ 993014 w 993014"/>
                                                    <a:gd name="connsiteY7" fmla="*/ 0 h 1307467"/>
                                                    <a:gd name="connsiteX8" fmla="*/ 471682 w 993014"/>
                                                    <a:gd name="connsiteY8" fmla="*/ 86888 h 13074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993014" h="1307467">
                                                      <a:moveTo>
                                                        <a:pt x="471682" y="86888"/>
                                                      </a:moveTo>
                                                      <a:lnTo>
                                                        <a:pt x="198603" y="281353"/>
                                                      </a:lnTo>
                                                      <a:lnTo>
                                                        <a:pt x="0" y="753035"/>
                                                      </a:lnTo>
                                                      <a:lnTo>
                                                        <a:pt x="132402" y="1150240"/>
                                                      </a:lnTo>
                                                      <a:lnTo>
                                                        <a:pt x="575121" y="1307467"/>
                                                      </a:lnTo>
                                                      <a:lnTo>
                                                        <a:pt x="695110" y="976463"/>
                                                      </a:lnTo>
                                                      <a:lnTo>
                                                        <a:pt x="599946" y="368242"/>
                                                      </a:lnTo>
                                                      <a:lnTo>
                                                        <a:pt x="993014" y="0"/>
                                                      </a:lnTo>
                                                      <a:lnTo>
                                                        <a:pt x="471682" y="86888"/>
                                                      </a:lnTo>
                                                      <a:close/>
                                                    </a:path>
                                                  </a:pathLst>
                                                </a:custGeom>
                                                <a:solidFill>
                                                  <a:srgbClr val="FF3300"/>
                                                </a:solidFill>
                                                <a:ln w="25400" cap="flat" cmpd="sng" algn="ctr">
                                                  <a:noFill/>
                                                  <a:prstDash val="solid"/>
                                                </a:ln>
                                                <a:effectLst/>
                                              </wps:spPr>
                                              <wps:txbx>
                                                <w:txbxContent>
                                                  <w:p w14:paraId="75451589" w14:textId="77777777" w:rsidR="00D55F13" w:rsidRPr="00394D50" w:rsidRDefault="00D55F13" w:rsidP="0065023A">
                                                    <w:pPr>
                                                      <w:rPr>
                                                        <w:color w:val="0D0D0D" w:themeColor="text1" w:themeTint="F2"/>
                                                        <w:sz w:val="20"/>
                                                        <w:szCs w:val="20"/>
                                                      </w:rPr>
                                                    </w:pPr>
                                                    <w:r w:rsidRPr="00394D50">
                                                      <w:rPr>
                                                        <w:color w:val="0D0D0D" w:themeColor="text1" w:themeTint="F2"/>
                                                        <w:sz w:val="20"/>
                                                        <w:szCs w:val="20"/>
                                                      </w:rPr>
                                                      <w:t xml:space="preserve">      A</w:t>
                                                    </w:r>
                                                    <w:r w:rsidRPr="00394D50">
                                                      <w:rPr>
                                                        <w:color w:val="0D0D0D" w:themeColor="text1" w:themeTint="F2"/>
                                                        <w:sz w:val="20"/>
                                                        <w:szCs w:val="20"/>
                                                        <w:vertAlign w:val="subscript"/>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grpSp>
                                      <wpg:grpSp>
                                        <wpg:cNvPr id="2078634881" name="2078634881 Grupo"/>
                                        <wpg:cNvGrpSpPr/>
                                        <wpg:grpSpPr>
                                          <a:xfrm>
                                            <a:off x="420364" y="60671"/>
                                            <a:ext cx="1046242" cy="1238250"/>
                                            <a:chOff x="23813" y="0"/>
                                            <a:chExt cx="904557" cy="1137740"/>
                                          </a:xfrm>
                                        </wpg:grpSpPr>
                                        <wps:wsp>
                                          <wps:cNvPr id="2078634882" name="2078634882 Cuadro de texto"/>
                                          <wps:cNvSpPr txBox="1"/>
                                          <wps:spPr>
                                            <a:xfrm>
                                              <a:off x="286603" y="975815"/>
                                              <a:ext cx="152400" cy="161925"/>
                                            </a:xfrm>
                                            <a:prstGeom prst="rect">
                                              <a:avLst/>
                                            </a:prstGeom>
                                            <a:noFill/>
                                            <a:ln w="6350">
                                              <a:noFill/>
                                            </a:ln>
                                            <a:effectLst/>
                                          </wps:spPr>
                                          <wps:txbx>
                                            <w:txbxContent>
                                              <w:p w14:paraId="76581FD4" w14:textId="77777777" w:rsidR="00D55F13" w:rsidRPr="00394D50" w:rsidRDefault="00D55F13" w:rsidP="0065023A">
                                                <w:pPr>
                                                  <w:jc w:val="center"/>
                                                  <w:rPr>
                                                    <w:sz w:val="20"/>
                                                    <w:szCs w:val="20"/>
                                                  </w:rPr>
                                                </w:pPr>
                                                <w:r w:rsidRPr="00394D50">
                                                  <w:rPr>
                                                    <w:sz w:val="20"/>
                                                    <w:szCs w:val="20"/>
                                                  </w:rPr>
                                                  <w:t>E</w:t>
                                                </w:r>
                                                <w:r w:rsidRPr="00394D50">
                                                  <w:rPr>
                                                    <w:sz w:val="20"/>
                                                    <w:szCs w:val="20"/>
                                                    <w:vertAlign w:val="subscript"/>
                                                  </w:rPr>
                                                  <w:t>2</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g:grpSp>
                                          <wpg:cNvPr id="2078634883" name="2078634883 Grupo"/>
                                          <wpg:cNvGrpSpPr/>
                                          <wpg:grpSpPr>
                                            <a:xfrm>
                                              <a:off x="23813" y="0"/>
                                              <a:ext cx="904557" cy="1106013"/>
                                              <a:chOff x="23813" y="0"/>
                                              <a:chExt cx="904557" cy="1106013"/>
                                            </a:xfrm>
                                          </wpg:grpSpPr>
                                          <wpg:grpSp>
                                            <wpg:cNvPr id="2078634884" name="2078634884 Grupo"/>
                                            <wpg:cNvGrpSpPr/>
                                            <wpg:grpSpPr>
                                              <a:xfrm>
                                                <a:off x="23813" y="0"/>
                                                <a:ext cx="904557" cy="1106013"/>
                                                <a:chOff x="23813" y="0"/>
                                                <a:chExt cx="904557" cy="1106013"/>
                                              </a:xfrm>
                                            </wpg:grpSpPr>
                                            <wpg:grpSp>
                                              <wpg:cNvPr id="2078634885" name="2078634885 Grupo"/>
                                              <wpg:cNvGrpSpPr/>
                                              <wpg:grpSpPr>
                                                <a:xfrm>
                                                  <a:off x="23813" y="0"/>
                                                  <a:ext cx="904557" cy="1106013"/>
                                                  <a:chOff x="0" y="-162470"/>
                                                  <a:chExt cx="905057" cy="1106473"/>
                                                </a:xfrm>
                                              </wpg:grpSpPr>
                                              <wps:wsp>
                                                <wps:cNvPr id="2078634886" name="2078634886 Conector recto"/>
                                                <wps:cNvCnPr/>
                                                <wps:spPr>
                                                  <a:xfrm>
                                                    <a:off x="0" y="-162470"/>
                                                    <a:ext cx="905057" cy="666739"/>
                                                  </a:xfrm>
                                                  <a:prstGeom prst="line">
                                                    <a:avLst/>
                                                  </a:prstGeom>
                                                  <a:noFill/>
                                                  <a:ln w="9525" cap="flat" cmpd="sng" algn="ctr">
                                                    <a:solidFill>
                                                      <a:sysClr val="windowText" lastClr="000000"/>
                                                    </a:solidFill>
                                                    <a:prstDash val="sysDash"/>
                                                  </a:ln>
                                                  <a:effectLst/>
                                                </wps:spPr>
                                                <wps:bodyPr/>
                                              </wps:wsp>
                                              <wps:wsp>
                                                <wps:cNvPr id="2078634887" name="2078634887 Forma libre"/>
                                                <wps:cNvSpPr/>
                                                <wps:spPr>
                                                  <a:xfrm>
                                                    <a:off x="0" y="805856"/>
                                                    <a:ext cx="726915" cy="138147"/>
                                                  </a:xfrm>
                                                  <a:custGeom>
                                                    <a:avLst/>
                                                    <a:gdLst>
                                                      <a:gd name="connsiteX0" fmla="*/ 0 w 726915"/>
                                                      <a:gd name="connsiteY0" fmla="*/ 3289 h 138147"/>
                                                      <a:gd name="connsiteX1" fmla="*/ 348656 w 726915"/>
                                                      <a:gd name="connsiteY1" fmla="*/ 0 h 138147"/>
                                                      <a:gd name="connsiteX2" fmla="*/ 621660 w 726915"/>
                                                      <a:gd name="connsiteY2" fmla="*/ 88808 h 138147"/>
                                                      <a:gd name="connsiteX3" fmla="*/ 726915 w 726915"/>
                                                      <a:gd name="connsiteY3" fmla="*/ 138147 h 138147"/>
                                                    </a:gdLst>
                                                    <a:ahLst/>
                                                    <a:cxnLst>
                                                      <a:cxn ang="0">
                                                        <a:pos x="connsiteX0" y="connsiteY0"/>
                                                      </a:cxn>
                                                      <a:cxn ang="0">
                                                        <a:pos x="connsiteX1" y="connsiteY1"/>
                                                      </a:cxn>
                                                      <a:cxn ang="0">
                                                        <a:pos x="connsiteX2" y="connsiteY2"/>
                                                      </a:cxn>
                                                      <a:cxn ang="0">
                                                        <a:pos x="connsiteX3" y="connsiteY3"/>
                                                      </a:cxn>
                                                    </a:cxnLst>
                                                    <a:rect l="l" t="t" r="r" b="b"/>
                                                    <a:pathLst>
                                                      <a:path w="726915" h="138147">
                                                        <a:moveTo>
                                                          <a:pt x="0" y="3289"/>
                                                        </a:moveTo>
                                                        <a:lnTo>
                                                          <a:pt x="348656" y="0"/>
                                                        </a:lnTo>
                                                        <a:lnTo>
                                                          <a:pt x="621660" y="88808"/>
                                                        </a:lnTo>
                                                        <a:lnTo>
                                                          <a:pt x="726915" y="138147"/>
                                                        </a:lnTo>
                                                      </a:path>
                                                    </a:pathLst>
                                                  </a:custGeom>
                                                  <a:noFill/>
                                                  <a:ln w="9525" cap="flat" cmpd="sng" algn="ctr">
                                                    <a:solidFill>
                                                      <a:sysClr val="windowText" lastClr="000000"/>
                                                    </a:solidFill>
                                                    <a:prstDash val="lgDashDot"/>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2078634888" name="2078634888 Cuadro de texto"/>
                                              <wps:cNvSpPr txBox="1"/>
                                              <wps:spPr>
                                                <a:xfrm>
                                                  <a:off x="254700" y="221352"/>
                                                  <a:ext cx="152400" cy="161925"/>
                                                </a:xfrm>
                                                <a:prstGeom prst="rect">
                                                  <a:avLst/>
                                                </a:prstGeom>
                                                <a:noFill/>
                                                <a:ln w="6350">
                                                  <a:noFill/>
                                                </a:ln>
                                                <a:effectLst/>
                                              </wps:spPr>
                                              <wps:txbx>
                                                <w:txbxContent>
                                                  <w:p w14:paraId="2DC9F9FC" w14:textId="77777777" w:rsidR="00D55F13" w:rsidRPr="00394D50" w:rsidRDefault="00D55F13" w:rsidP="0065023A">
                                                    <w:pPr>
                                                      <w:jc w:val="center"/>
                                                      <w:rPr>
                                                        <w:sz w:val="20"/>
                                                        <w:szCs w:val="20"/>
                                                      </w:rPr>
                                                    </w:pPr>
                                                    <w:r w:rsidRPr="00394D50">
                                                      <w:rPr>
                                                        <w:sz w:val="20"/>
                                                        <w:szCs w:val="20"/>
                                                      </w:rPr>
                                                      <w:t>B</w:t>
                                                    </w:r>
                                                    <w:r w:rsidRPr="00394D50">
                                                      <w:rPr>
                                                        <w:sz w:val="20"/>
                                                        <w:szCs w:val="20"/>
                                                        <w:vertAlign w:val="subscript"/>
                                                      </w:rPr>
                                                      <w:t>2</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g:grpSp>
                                          <wps:wsp>
                                            <wps:cNvPr id="2078634889" name="2078634889 Cuadro de texto"/>
                                            <wps:cNvSpPr txBox="1"/>
                                            <wps:spPr>
                                              <a:xfrm>
                                                <a:off x="688912" y="387818"/>
                                                <a:ext cx="152400" cy="161925"/>
                                              </a:xfrm>
                                              <a:prstGeom prst="rect">
                                                <a:avLst/>
                                              </a:prstGeom>
                                              <a:noFill/>
                                              <a:ln w="6350">
                                                <a:noFill/>
                                              </a:ln>
                                              <a:effectLst/>
                                            </wps:spPr>
                                            <wps:txbx>
                                              <w:txbxContent>
                                                <w:p w14:paraId="3887F6AA" w14:textId="77777777" w:rsidR="00D55F13" w:rsidRPr="00394D50" w:rsidRDefault="00D55F13" w:rsidP="0065023A">
                                                  <w:pPr>
                                                    <w:jc w:val="center"/>
                                                    <w:rPr>
                                                      <w:sz w:val="20"/>
                                                      <w:szCs w:val="20"/>
                                                    </w:rPr>
                                                  </w:pPr>
                                                  <w:r w:rsidRPr="00394D50">
                                                    <w:rPr>
                                                      <w:sz w:val="20"/>
                                                      <w:szCs w:val="20"/>
                                                    </w:rPr>
                                                    <w:t>D</w:t>
                                                  </w:r>
                                                  <w:r w:rsidRPr="00394D50">
                                                    <w:rPr>
                                                      <w:sz w:val="20"/>
                                                      <w:szCs w:val="20"/>
                                                      <w:vertAlign w:val="subscript"/>
                                                    </w:rPr>
                                                    <w:t>2</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g:grpSp>
                                      </wpg:grpSp>
                                    </wpg:grpSp>
                                    <wps:wsp>
                                      <wps:cNvPr id="2078634890" name="2078634890 Cuadro de texto"/>
                                      <wps:cNvSpPr txBox="1"/>
                                      <wps:spPr>
                                        <a:xfrm>
                                          <a:off x="852692" y="61708"/>
                                          <a:ext cx="231775" cy="231775"/>
                                        </a:xfrm>
                                        <a:prstGeom prst="rect">
                                          <a:avLst/>
                                        </a:prstGeom>
                                        <a:noFill/>
                                        <a:ln w="6350">
                                          <a:noFill/>
                                        </a:ln>
                                        <a:effectLst/>
                                      </wps:spPr>
                                      <wps:txbx>
                                        <w:txbxContent>
                                          <w:p w14:paraId="530EA17D" w14:textId="77777777" w:rsidR="00D55F13" w:rsidRPr="00394D50" w:rsidRDefault="00D55F13" w:rsidP="0065023A">
                                            <w:pPr>
                                              <w:jc w:val="center"/>
                                              <w:rPr>
                                                <w:sz w:val="20"/>
                                                <w:szCs w:val="20"/>
                                              </w:rPr>
                                            </w:pPr>
                                            <w:r w:rsidRPr="00394D50">
                                              <w:rPr>
                                                <w:sz w:val="20"/>
                                                <w:szCs w:val="20"/>
                                              </w:rPr>
                                              <w:t>A</w:t>
                                            </w:r>
                                            <w:r w:rsidRPr="00394D50">
                                              <w:rPr>
                                                <w:sz w:val="20"/>
                                                <w:szCs w:val="20"/>
                                                <w:vertAlign w:val="subscript"/>
                                              </w:rPr>
                                              <w:t>2</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2078634891" name="2078634891 Conector"/>
                                      <wps:cNvSpPr>
                                        <a:spLocks noChangeAspect="1"/>
                                      </wps:cNvSpPr>
                                      <wps:spPr>
                                        <a:xfrm>
                                          <a:off x="1077084" y="1088304"/>
                                          <a:ext cx="66040" cy="66040"/>
                                        </a:xfrm>
                                        <a:prstGeom prst="flowChartConnector">
                                          <a:avLst/>
                                        </a:prstGeom>
                                        <a:solidFill>
                                          <a:sysClr val="windowText" lastClr="000000">
                                            <a:lumMod val="95000"/>
                                            <a:lumOff val="5000"/>
                                          </a:sys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78634892" name="2078634892 Conector recto de flecha"/>
                                      <wps:cNvCnPr/>
                                      <wps:spPr>
                                        <a:xfrm flipV="1">
                                          <a:off x="1116353" y="572201"/>
                                          <a:ext cx="0" cy="495935"/>
                                        </a:xfrm>
                                        <a:prstGeom prst="straightConnector1">
                                          <a:avLst/>
                                        </a:prstGeom>
                                        <a:noFill/>
                                        <a:ln w="12700" cap="flat" cmpd="sng" algn="ctr">
                                          <a:solidFill>
                                            <a:sysClr val="windowText" lastClr="000000">
                                              <a:lumMod val="65000"/>
                                              <a:lumOff val="35000"/>
                                            </a:sysClr>
                                          </a:solidFill>
                                          <a:prstDash val="solid"/>
                                          <a:headEnd type="none" w="med" len="med"/>
                                          <a:tailEnd type="triangle" w="med" len="sm"/>
                                        </a:ln>
                                        <a:effectLst/>
                                      </wps:spPr>
                                      <wps:bodyPr/>
                                    </wps:wsp>
                                    <wps:wsp>
                                      <wps:cNvPr id="2078634893" name="2078634893 Conector recto de flecha"/>
                                      <wps:cNvCnPr/>
                                      <wps:spPr>
                                        <a:xfrm flipV="1">
                                          <a:off x="1172451" y="931229"/>
                                          <a:ext cx="401320" cy="165100"/>
                                        </a:xfrm>
                                        <a:prstGeom prst="straightConnector1">
                                          <a:avLst/>
                                        </a:prstGeom>
                                        <a:noFill/>
                                        <a:ln w="12700" cap="flat" cmpd="sng" algn="ctr">
                                          <a:solidFill>
                                            <a:sysClr val="windowText" lastClr="000000">
                                              <a:lumMod val="65000"/>
                                              <a:lumOff val="35000"/>
                                            </a:sysClr>
                                          </a:solidFill>
                                          <a:prstDash val="solid"/>
                                          <a:headEnd type="none" w="med" len="med"/>
                                          <a:tailEnd type="triangle" w="med" len="sm"/>
                                        </a:ln>
                                        <a:effectLst/>
                                      </wps:spPr>
                                      <wps:bodyPr/>
                                    </wps:wsp>
                                    <wps:wsp>
                                      <wps:cNvPr id="2078634894" name="2078634894 Conector recto de flecha"/>
                                      <wps:cNvCnPr/>
                                      <wps:spPr>
                                        <a:xfrm>
                                          <a:off x="1144402" y="1172451"/>
                                          <a:ext cx="128905" cy="448310"/>
                                        </a:xfrm>
                                        <a:prstGeom prst="straightConnector1">
                                          <a:avLst/>
                                        </a:prstGeom>
                                        <a:noFill/>
                                        <a:ln w="12700" cap="flat" cmpd="sng" algn="ctr">
                                          <a:solidFill>
                                            <a:sysClr val="windowText" lastClr="000000">
                                              <a:lumMod val="65000"/>
                                              <a:lumOff val="35000"/>
                                            </a:sysClr>
                                          </a:solidFill>
                                          <a:prstDash val="solid"/>
                                          <a:headEnd type="none" w="med" len="med"/>
                                          <a:tailEnd type="triangle" w="med" len="sm"/>
                                        </a:ln>
                                        <a:effectLst/>
                                      </wps:spPr>
                                      <wps:bodyPr/>
                                    </wps:wsp>
                                    <wps:wsp>
                                      <wps:cNvPr id="2078634895" name="2078634895 Conector recto de flecha"/>
                                      <wps:cNvCnPr/>
                                      <wps:spPr>
                                        <a:xfrm flipH="1" flipV="1">
                                          <a:off x="420736" y="1088304"/>
                                          <a:ext cx="637540" cy="32385"/>
                                        </a:xfrm>
                                        <a:prstGeom prst="straightConnector1">
                                          <a:avLst/>
                                        </a:prstGeom>
                                        <a:noFill/>
                                        <a:ln w="12700" cap="flat" cmpd="sng" algn="ctr">
                                          <a:solidFill>
                                            <a:sysClr val="windowText" lastClr="000000">
                                              <a:lumMod val="65000"/>
                                              <a:lumOff val="35000"/>
                                            </a:sysClr>
                                          </a:solidFill>
                                          <a:prstDash val="solid"/>
                                          <a:headEnd type="none" w="med" len="med"/>
                                          <a:tailEnd type="triangle" w="med" len="sm"/>
                                        </a:ln>
                                        <a:effectLst/>
                                      </wps:spPr>
                                      <wps:bodyPr/>
                                    </wps:wsp>
                                  </wpg:grpSp>
                                  <wpg:grpSp>
                                    <wpg:cNvPr id="2078634896" name="2078634896 Grupo"/>
                                    <wpg:cNvGrpSpPr/>
                                    <wpg:grpSpPr>
                                      <a:xfrm>
                                        <a:off x="2647950" y="0"/>
                                        <a:ext cx="2456180" cy="1724660"/>
                                        <a:chOff x="0" y="0"/>
                                        <a:chExt cx="1863725" cy="1308942"/>
                                      </a:xfrm>
                                    </wpg:grpSpPr>
                                    <wpg:grpSp>
                                      <wpg:cNvPr id="2078634897" name="2078634897 Grupo"/>
                                      <wpg:cNvGrpSpPr/>
                                      <wpg:grpSpPr>
                                        <a:xfrm>
                                          <a:off x="0" y="0"/>
                                          <a:ext cx="1863725" cy="1307465"/>
                                          <a:chOff x="0" y="0"/>
                                          <a:chExt cx="1863725" cy="1307465"/>
                                        </a:xfrm>
                                      </wpg:grpSpPr>
                                      <wpg:grpSp>
                                        <wpg:cNvPr id="2078634898" name="2078634898 Grupo"/>
                                        <wpg:cNvGrpSpPr/>
                                        <wpg:grpSpPr>
                                          <a:xfrm>
                                            <a:off x="0" y="0"/>
                                            <a:ext cx="1863725" cy="1307465"/>
                                            <a:chOff x="0" y="0"/>
                                            <a:chExt cx="1863725" cy="1307465"/>
                                          </a:xfrm>
                                        </wpg:grpSpPr>
                                        <wpg:grpSp>
                                          <wpg:cNvPr id="2078634899" name="2078634899 Grupo"/>
                                          <wpg:cNvGrpSpPr/>
                                          <wpg:grpSpPr>
                                            <a:xfrm>
                                              <a:off x="0" y="0"/>
                                              <a:ext cx="1863725" cy="1307465"/>
                                              <a:chOff x="0" y="0"/>
                                              <a:chExt cx="1863725" cy="1307826"/>
                                            </a:xfrm>
                                          </wpg:grpSpPr>
                                          <wps:wsp>
                                            <wps:cNvPr id="2078634900" name="2078634900 Forma libre"/>
                                            <wps:cNvSpPr/>
                                            <wps:spPr>
                                              <a:xfrm>
                                                <a:off x="600186" y="374234"/>
                                                <a:ext cx="771525" cy="600074"/>
                                              </a:xfrm>
                                              <a:custGeom>
                                                <a:avLst/>
                                                <a:gdLst>
                                                  <a:gd name="connsiteX0" fmla="*/ 0 w 771525"/>
                                                  <a:gd name="connsiteY0" fmla="*/ 0 h 600075"/>
                                                  <a:gd name="connsiteX1" fmla="*/ 365760 w 771525"/>
                                                  <a:gd name="connsiteY1" fmla="*/ 171450 h 600075"/>
                                                  <a:gd name="connsiteX2" fmla="*/ 771525 w 771525"/>
                                                  <a:gd name="connsiteY2" fmla="*/ 129540 h 600075"/>
                                                  <a:gd name="connsiteX3" fmla="*/ 706755 w 771525"/>
                                                  <a:gd name="connsiteY3" fmla="*/ 365760 h 600075"/>
                                                  <a:gd name="connsiteX4" fmla="*/ 93345 w 771525"/>
                                                  <a:gd name="connsiteY4" fmla="*/ 600075 h 600075"/>
                                                  <a:gd name="connsiteX5" fmla="*/ 0 w 771525"/>
                                                  <a:gd name="connsiteY5" fmla="*/ 0 h 6000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771525" h="600075">
                                                    <a:moveTo>
                                                      <a:pt x="0" y="0"/>
                                                    </a:moveTo>
                                                    <a:lnTo>
                                                      <a:pt x="365760" y="171450"/>
                                                    </a:lnTo>
                                                    <a:lnTo>
                                                      <a:pt x="771525" y="129540"/>
                                                    </a:lnTo>
                                                    <a:lnTo>
                                                      <a:pt x="706755" y="365760"/>
                                                    </a:lnTo>
                                                    <a:lnTo>
                                                      <a:pt x="93345" y="600075"/>
                                                    </a:lnTo>
                                                    <a:lnTo>
                                                      <a:pt x="0" y="0"/>
                                                    </a:lnTo>
                                                    <a:close/>
                                                  </a:path>
                                                </a:pathLst>
                                              </a:custGeom>
                                              <a:solidFill>
                                                <a:srgbClr val="00B0F0"/>
                                              </a:solidFill>
                                              <a:ln w="25400" cap="flat" cmpd="sng" algn="ctr">
                                                <a:noFill/>
                                                <a:prstDash val="solid"/>
                                              </a:ln>
                                              <a:effectLst/>
                                            </wps:spPr>
                                            <wps:txbx>
                                              <w:txbxContent>
                                                <w:p w14:paraId="7356080E" w14:textId="77777777" w:rsidR="00D55F13" w:rsidRPr="00394D50" w:rsidRDefault="00D55F13" w:rsidP="0065023A">
                                                  <w:pPr>
                                                    <w:jc w:val="center"/>
                                                    <w:rPr>
                                                      <w:color w:val="0D0D0D" w:themeColor="text1" w:themeTint="F2"/>
                                                      <w:sz w:val="20"/>
                                                      <w:szCs w:val="20"/>
                                                    </w:rPr>
                                                  </w:pPr>
                                                  <w:r w:rsidRPr="00394D50">
                                                    <w:rPr>
                                                      <w:color w:val="0D0D0D" w:themeColor="text1" w:themeTint="F2"/>
                                                      <w:sz w:val="20"/>
                                                      <w:szCs w:val="20"/>
                                                    </w:rPr>
                                                    <w:t>D</w:t>
                                                  </w:r>
                                                  <w:r w:rsidRPr="00394D50">
                                                    <w:rPr>
                                                      <w:color w:val="0D0D0D" w:themeColor="text1" w:themeTint="F2"/>
                                                      <w:sz w:val="20"/>
                                                      <w:szCs w:val="20"/>
                                                      <w:vertAlign w:val="subscript"/>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2078634901" name="2078634901 Grupo"/>
                                            <wpg:cNvGrpSpPr/>
                                            <wpg:grpSpPr>
                                              <a:xfrm>
                                                <a:off x="0" y="0"/>
                                                <a:ext cx="1863725" cy="1307826"/>
                                                <a:chOff x="0" y="0"/>
                                                <a:chExt cx="1863725" cy="1307826"/>
                                              </a:xfrm>
                                            </wpg:grpSpPr>
                                            <wps:wsp>
                                              <wps:cNvPr id="2078634902" name="2078634902 Forma libre"/>
                                              <wps:cNvSpPr/>
                                              <wps:spPr>
                                                <a:xfrm>
                                                  <a:off x="571941" y="741406"/>
                                                  <a:ext cx="1019763" cy="566420"/>
                                                </a:xfrm>
                                                <a:custGeom>
                                                  <a:avLst/>
                                                  <a:gdLst>
                                                    <a:gd name="connsiteX0" fmla="*/ 0 w 1017270"/>
                                                    <a:gd name="connsiteY0" fmla="*/ 567690 h 567690"/>
                                                    <a:gd name="connsiteX1" fmla="*/ 120015 w 1017270"/>
                                                    <a:gd name="connsiteY1" fmla="*/ 230505 h 567690"/>
                                                    <a:gd name="connsiteX2" fmla="*/ 729615 w 1017270"/>
                                                    <a:gd name="connsiteY2" fmla="*/ 0 h 567690"/>
                                                    <a:gd name="connsiteX3" fmla="*/ 1017270 w 1017270"/>
                                                    <a:gd name="connsiteY3" fmla="*/ 281940 h 567690"/>
                                                    <a:gd name="connsiteX4" fmla="*/ 575310 w 1017270"/>
                                                    <a:gd name="connsiteY4" fmla="*/ 550545 h 567690"/>
                                                    <a:gd name="connsiteX5" fmla="*/ 0 w 1017270"/>
                                                    <a:gd name="connsiteY5" fmla="*/ 567690 h 567690"/>
                                                    <a:gd name="connsiteX0" fmla="*/ 0 w 1019763"/>
                                                    <a:gd name="connsiteY0" fmla="*/ 566420 h 566420"/>
                                                    <a:gd name="connsiteX1" fmla="*/ 122508 w 1019763"/>
                                                    <a:gd name="connsiteY1" fmla="*/ 230505 h 566420"/>
                                                    <a:gd name="connsiteX2" fmla="*/ 732108 w 1019763"/>
                                                    <a:gd name="connsiteY2" fmla="*/ 0 h 566420"/>
                                                    <a:gd name="connsiteX3" fmla="*/ 1019763 w 1019763"/>
                                                    <a:gd name="connsiteY3" fmla="*/ 281940 h 566420"/>
                                                    <a:gd name="connsiteX4" fmla="*/ 577803 w 1019763"/>
                                                    <a:gd name="connsiteY4" fmla="*/ 550545 h 566420"/>
                                                    <a:gd name="connsiteX5" fmla="*/ 0 w 1019763"/>
                                                    <a:gd name="connsiteY5" fmla="*/ 566420 h 56642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1019763" h="566420">
                                                      <a:moveTo>
                                                        <a:pt x="0" y="566420"/>
                                                      </a:moveTo>
                                                      <a:lnTo>
                                                        <a:pt x="122508" y="230505"/>
                                                      </a:lnTo>
                                                      <a:lnTo>
                                                        <a:pt x="732108" y="0"/>
                                                      </a:lnTo>
                                                      <a:lnTo>
                                                        <a:pt x="1019763" y="281940"/>
                                                      </a:lnTo>
                                                      <a:lnTo>
                                                        <a:pt x="577803" y="550545"/>
                                                      </a:lnTo>
                                                      <a:lnTo>
                                                        <a:pt x="0" y="566420"/>
                                                      </a:lnTo>
                                                      <a:close/>
                                                    </a:path>
                                                  </a:pathLst>
                                                </a:custGeom>
                                                <a:solidFill>
                                                  <a:srgbClr val="92D050"/>
                                                </a:solidFill>
                                                <a:ln w="25400" cap="flat" cmpd="sng" algn="ctr">
                                                  <a:noFill/>
                                                  <a:prstDash val="solid"/>
                                                </a:ln>
                                                <a:effectLst/>
                                              </wps:spPr>
                                              <wps:txbx>
                                                <w:txbxContent>
                                                  <w:p w14:paraId="46800483" w14:textId="77777777" w:rsidR="00D55F13" w:rsidRPr="00394D50" w:rsidRDefault="00D55F13" w:rsidP="0065023A">
                                                    <w:pPr>
                                                      <w:jc w:val="center"/>
                                                      <w:rPr>
                                                        <w:color w:val="0D0D0D" w:themeColor="text1" w:themeTint="F2"/>
                                                        <w:sz w:val="20"/>
                                                        <w:szCs w:val="20"/>
                                                      </w:rPr>
                                                    </w:pPr>
                                                    <w:r w:rsidRPr="00394D50">
                                                      <w:rPr>
                                                        <w:color w:val="0D0D0D" w:themeColor="text1" w:themeTint="F2"/>
                                                        <w:sz w:val="20"/>
                                                        <w:szCs w:val="20"/>
                                                      </w:rPr>
                                                      <w:t>E</w:t>
                                                    </w:r>
                                                    <w:r w:rsidRPr="00394D50">
                                                      <w:rPr>
                                                        <w:color w:val="0D0D0D" w:themeColor="text1" w:themeTint="F2"/>
                                                        <w:sz w:val="20"/>
                                                        <w:szCs w:val="20"/>
                                                        <w:vertAlign w:val="subscript"/>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2078634903" name="2078634903 Grupo"/>
                                              <wpg:cNvGrpSpPr/>
                                              <wpg:grpSpPr>
                                                <a:xfrm>
                                                  <a:off x="0" y="0"/>
                                                  <a:ext cx="1863725" cy="1307465"/>
                                                  <a:chOff x="0" y="0"/>
                                                  <a:chExt cx="1864287" cy="1307467"/>
                                                </a:xfrm>
                                              </wpg:grpSpPr>
                                              <wps:wsp>
                                                <wps:cNvPr id="2078634904" name="2078634904 Forma libre"/>
                                                <wps:cNvSpPr/>
                                                <wps:spPr>
                                                  <a:xfrm>
                                                    <a:off x="1303084" y="95061"/>
                                                    <a:ext cx="561203" cy="929372"/>
                                                  </a:xfrm>
                                                  <a:custGeom>
                                                    <a:avLst/>
                                                    <a:gdLst>
                                                      <a:gd name="connsiteX0" fmla="*/ 345621 w 547007"/>
                                                      <a:gd name="connsiteY0" fmla="*/ 0 h 919843"/>
                                                      <a:gd name="connsiteX1" fmla="*/ 547007 w 547007"/>
                                                      <a:gd name="connsiteY1" fmla="*/ 462643 h 919843"/>
                                                      <a:gd name="connsiteX2" fmla="*/ 277586 w 547007"/>
                                                      <a:gd name="connsiteY2" fmla="*/ 919843 h 919843"/>
                                                      <a:gd name="connsiteX3" fmla="*/ 0 w 547007"/>
                                                      <a:gd name="connsiteY3" fmla="*/ 636814 h 919843"/>
                                                      <a:gd name="connsiteX4" fmla="*/ 51707 w 547007"/>
                                                      <a:gd name="connsiteY4" fmla="*/ 400050 h 919843"/>
                                                      <a:gd name="connsiteX5" fmla="*/ 89807 w 547007"/>
                                                      <a:gd name="connsiteY5" fmla="*/ 106136 h 919843"/>
                                                      <a:gd name="connsiteX6" fmla="*/ 345621 w 547007"/>
                                                      <a:gd name="connsiteY6" fmla="*/ 0 h 919843"/>
                                                      <a:gd name="connsiteX0" fmla="*/ 343706 w 547007"/>
                                                      <a:gd name="connsiteY0" fmla="*/ 0 h 919843"/>
                                                      <a:gd name="connsiteX1" fmla="*/ 547007 w 547007"/>
                                                      <a:gd name="connsiteY1" fmla="*/ 462643 h 919843"/>
                                                      <a:gd name="connsiteX2" fmla="*/ 277586 w 547007"/>
                                                      <a:gd name="connsiteY2" fmla="*/ 919843 h 919843"/>
                                                      <a:gd name="connsiteX3" fmla="*/ 0 w 547007"/>
                                                      <a:gd name="connsiteY3" fmla="*/ 636814 h 919843"/>
                                                      <a:gd name="connsiteX4" fmla="*/ 51707 w 547007"/>
                                                      <a:gd name="connsiteY4" fmla="*/ 400050 h 919843"/>
                                                      <a:gd name="connsiteX5" fmla="*/ 89807 w 547007"/>
                                                      <a:gd name="connsiteY5" fmla="*/ 106136 h 919843"/>
                                                      <a:gd name="connsiteX6" fmla="*/ 343706 w 547007"/>
                                                      <a:gd name="connsiteY6" fmla="*/ 0 h 919843"/>
                                                      <a:gd name="connsiteX0" fmla="*/ 343706 w 547007"/>
                                                      <a:gd name="connsiteY0" fmla="*/ 0 h 929372"/>
                                                      <a:gd name="connsiteX1" fmla="*/ 547007 w 547007"/>
                                                      <a:gd name="connsiteY1" fmla="*/ 472172 h 929372"/>
                                                      <a:gd name="connsiteX2" fmla="*/ 277586 w 547007"/>
                                                      <a:gd name="connsiteY2" fmla="*/ 929372 h 929372"/>
                                                      <a:gd name="connsiteX3" fmla="*/ 0 w 547007"/>
                                                      <a:gd name="connsiteY3" fmla="*/ 646343 h 929372"/>
                                                      <a:gd name="connsiteX4" fmla="*/ 51707 w 547007"/>
                                                      <a:gd name="connsiteY4" fmla="*/ 409579 h 929372"/>
                                                      <a:gd name="connsiteX5" fmla="*/ 89807 w 547007"/>
                                                      <a:gd name="connsiteY5" fmla="*/ 115665 h 929372"/>
                                                      <a:gd name="connsiteX6" fmla="*/ 343706 w 547007"/>
                                                      <a:gd name="connsiteY6" fmla="*/ 0 h 929372"/>
                                                      <a:gd name="connsiteX0" fmla="*/ 343706 w 547007"/>
                                                      <a:gd name="connsiteY0" fmla="*/ 0 h 929372"/>
                                                      <a:gd name="connsiteX1" fmla="*/ 547007 w 547007"/>
                                                      <a:gd name="connsiteY1" fmla="*/ 472172 h 929372"/>
                                                      <a:gd name="connsiteX2" fmla="*/ 277586 w 547007"/>
                                                      <a:gd name="connsiteY2" fmla="*/ 929372 h 929372"/>
                                                      <a:gd name="connsiteX3" fmla="*/ 0 w 547007"/>
                                                      <a:gd name="connsiteY3" fmla="*/ 646343 h 929372"/>
                                                      <a:gd name="connsiteX4" fmla="*/ 51707 w 547007"/>
                                                      <a:gd name="connsiteY4" fmla="*/ 409579 h 929372"/>
                                                      <a:gd name="connsiteX5" fmla="*/ 89834 w 547007"/>
                                                      <a:gd name="connsiteY5" fmla="*/ 105528 h 929372"/>
                                                      <a:gd name="connsiteX6" fmla="*/ 343706 w 547007"/>
                                                      <a:gd name="connsiteY6" fmla="*/ 0 h 929372"/>
                                                      <a:gd name="connsiteX0" fmla="*/ 357902 w 561203"/>
                                                      <a:gd name="connsiteY0" fmla="*/ 0 h 929372"/>
                                                      <a:gd name="connsiteX1" fmla="*/ 561203 w 561203"/>
                                                      <a:gd name="connsiteY1" fmla="*/ 472172 h 929372"/>
                                                      <a:gd name="connsiteX2" fmla="*/ 291782 w 561203"/>
                                                      <a:gd name="connsiteY2" fmla="*/ 929372 h 929372"/>
                                                      <a:gd name="connsiteX3" fmla="*/ 0 w 561203"/>
                                                      <a:gd name="connsiteY3" fmla="*/ 644317 h 929372"/>
                                                      <a:gd name="connsiteX4" fmla="*/ 65903 w 561203"/>
                                                      <a:gd name="connsiteY4" fmla="*/ 409579 h 929372"/>
                                                      <a:gd name="connsiteX5" fmla="*/ 104030 w 561203"/>
                                                      <a:gd name="connsiteY5" fmla="*/ 105528 h 929372"/>
                                                      <a:gd name="connsiteX6" fmla="*/ 357902 w 561203"/>
                                                      <a:gd name="connsiteY6" fmla="*/ 0 h 9293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561203" h="929372">
                                                        <a:moveTo>
                                                          <a:pt x="357902" y="0"/>
                                                        </a:moveTo>
                                                        <a:lnTo>
                                                          <a:pt x="561203" y="472172"/>
                                                        </a:lnTo>
                                                        <a:lnTo>
                                                          <a:pt x="291782" y="929372"/>
                                                        </a:lnTo>
                                                        <a:lnTo>
                                                          <a:pt x="0" y="644317"/>
                                                        </a:lnTo>
                                                        <a:lnTo>
                                                          <a:pt x="65903" y="409579"/>
                                                        </a:lnTo>
                                                        <a:lnTo>
                                                          <a:pt x="104030" y="105528"/>
                                                        </a:lnTo>
                                                        <a:lnTo>
                                                          <a:pt x="357902" y="0"/>
                                                        </a:lnTo>
                                                        <a:close/>
                                                      </a:path>
                                                    </a:pathLst>
                                                  </a:custGeom>
                                                  <a:solidFill>
                                                    <a:srgbClr val="D60093"/>
                                                  </a:solidFill>
                                                  <a:ln w="25400" cap="flat" cmpd="sng" algn="ctr">
                                                    <a:noFill/>
                                                    <a:prstDash val="solid"/>
                                                  </a:ln>
                                                  <a:effectLst/>
                                                </wps:spPr>
                                                <wps:txbx>
                                                  <w:txbxContent>
                                                    <w:p w14:paraId="3839DFFF" w14:textId="77777777" w:rsidR="00D55F13" w:rsidRPr="00394D50" w:rsidRDefault="00D55F13" w:rsidP="0065023A">
                                                      <w:pPr>
                                                        <w:jc w:val="center"/>
                                                        <w:rPr>
                                                          <w:color w:val="0D0D0D" w:themeColor="text1" w:themeTint="F2"/>
                                                          <w:sz w:val="20"/>
                                                          <w:szCs w:val="20"/>
                                                        </w:rPr>
                                                      </w:pPr>
                                                      <w:r w:rsidRPr="00394D50">
                                                        <w:rPr>
                                                          <w:color w:val="0D0D0D" w:themeColor="text1" w:themeTint="F2"/>
                                                          <w:sz w:val="20"/>
                                                          <w:szCs w:val="20"/>
                                                        </w:rPr>
                                                        <w:t>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78634905" name="2078634905 Forma libre"/>
                                                <wps:cNvSpPr/>
                                                <wps:spPr>
                                                  <a:xfrm>
                                                    <a:off x="574895" y="1"/>
                                                    <a:ext cx="1086259" cy="547408"/>
                                                  </a:xfrm>
                                                  <a:custGeom>
                                                    <a:avLst/>
                                                    <a:gdLst>
                                                      <a:gd name="connsiteX0" fmla="*/ 0 w 1050939"/>
                                                      <a:gd name="connsiteY0" fmla="*/ 372380 h 537882"/>
                                                      <a:gd name="connsiteX1" fmla="*/ 351692 w 1050939"/>
                                                      <a:gd name="connsiteY1" fmla="*/ 537882 h 537882"/>
                                                      <a:gd name="connsiteX2" fmla="*/ 761310 w 1050939"/>
                                                      <a:gd name="connsiteY2" fmla="*/ 504782 h 537882"/>
                                                      <a:gd name="connsiteX3" fmla="*/ 798548 w 1050939"/>
                                                      <a:gd name="connsiteY3" fmla="*/ 206877 h 537882"/>
                                                      <a:gd name="connsiteX4" fmla="*/ 1050939 w 1050939"/>
                                                      <a:gd name="connsiteY4" fmla="*/ 99301 h 537882"/>
                                                      <a:gd name="connsiteX5" fmla="*/ 384793 w 1050939"/>
                                                      <a:gd name="connsiteY5" fmla="*/ 0 h 537882"/>
                                                      <a:gd name="connsiteX6" fmla="*/ 0 w 1050939"/>
                                                      <a:gd name="connsiteY6" fmla="*/ 372380 h 537882"/>
                                                      <a:gd name="connsiteX0" fmla="*/ 0 w 1063639"/>
                                                      <a:gd name="connsiteY0" fmla="*/ 368171 h 537882"/>
                                                      <a:gd name="connsiteX1" fmla="*/ 364392 w 1063639"/>
                                                      <a:gd name="connsiteY1" fmla="*/ 537882 h 537882"/>
                                                      <a:gd name="connsiteX2" fmla="*/ 774010 w 1063639"/>
                                                      <a:gd name="connsiteY2" fmla="*/ 504782 h 537882"/>
                                                      <a:gd name="connsiteX3" fmla="*/ 811248 w 1063639"/>
                                                      <a:gd name="connsiteY3" fmla="*/ 206877 h 537882"/>
                                                      <a:gd name="connsiteX4" fmla="*/ 1063639 w 1063639"/>
                                                      <a:gd name="connsiteY4" fmla="*/ 99301 h 537882"/>
                                                      <a:gd name="connsiteX5" fmla="*/ 397493 w 1063639"/>
                                                      <a:gd name="connsiteY5" fmla="*/ 0 h 537882"/>
                                                      <a:gd name="connsiteX6" fmla="*/ 0 w 1063639"/>
                                                      <a:gd name="connsiteY6" fmla="*/ 368171 h 537882"/>
                                                      <a:gd name="connsiteX0" fmla="*/ 0 w 1063639"/>
                                                      <a:gd name="connsiteY0" fmla="*/ 371501 h 537882"/>
                                                      <a:gd name="connsiteX1" fmla="*/ 364392 w 1063639"/>
                                                      <a:gd name="connsiteY1" fmla="*/ 537882 h 537882"/>
                                                      <a:gd name="connsiteX2" fmla="*/ 774010 w 1063639"/>
                                                      <a:gd name="connsiteY2" fmla="*/ 504782 h 537882"/>
                                                      <a:gd name="connsiteX3" fmla="*/ 811248 w 1063639"/>
                                                      <a:gd name="connsiteY3" fmla="*/ 206877 h 537882"/>
                                                      <a:gd name="connsiteX4" fmla="*/ 1063639 w 1063639"/>
                                                      <a:gd name="connsiteY4" fmla="*/ 99301 h 537882"/>
                                                      <a:gd name="connsiteX5" fmla="*/ 397493 w 1063639"/>
                                                      <a:gd name="connsiteY5" fmla="*/ 0 h 537882"/>
                                                      <a:gd name="connsiteX6" fmla="*/ 0 w 1063639"/>
                                                      <a:gd name="connsiteY6" fmla="*/ 371501 h 537882"/>
                                                      <a:gd name="connsiteX0" fmla="*/ 0 w 1063639"/>
                                                      <a:gd name="connsiteY0" fmla="*/ 371501 h 537882"/>
                                                      <a:gd name="connsiteX1" fmla="*/ 364507 w 1063639"/>
                                                      <a:gd name="connsiteY1" fmla="*/ 537882 h 537882"/>
                                                      <a:gd name="connsiteX2" fmla="*/ 774010 w 1063639"/>
                                                      <a:gd name="connsiteY2" fmla="*/ 504782 h 537882"/>
                                                      <a:gd name="connsiteX3" fmla="*/ 811248 w 1063639"/>
                                                      <a:gd name="connsiteY3" fmla="*/ 206877 h 537882"/>
                                                      <a:gd name="connsiteX4" fmla="*/ 1063639 w 1063639"/>
                                                      <a:gd name="connsiteY4" fmla="*/ 99301 h 537882"/>
                                                      <a:gd name="connsiteX5" fmla="*/ 397493 w 1063639"/>
                                                      <a:gd name="connsiteY5" fmla="*/ 0 h 537882"/>
                                                      <a:gd name="connsiteX6" fmla="*/ 0 w 1063639"/>
                                                      <a:gd name="connsiteY6" fmla="*/ 371501 h 537882"/>
                                                      <a:gd name="connsiteX0" fmla="*/ 0 w 1063639"/>
                                                      <a:gd name="connsiteY0" fmla="*/ 371501 h 537882"/>
                                                      <a:gd name="connsiteX1" fmla="*/ 364622 w 1063639"/>
                                                      <a:gd name="connsiteY1" fmla="*/ 537882 h 537882"/>
                                                      <a:gd name="connsiteX2" fmla="*/ 774010 w 1063639"/>
                                                      <a:gd name="connsiteY2" fmla="*/ 504782 h 537882"/>
                                                      <a:gd name="connsiteX3" fmla="*/ 811248 w 1063639"/>
                                                      <a:gd name="connsiteY3" fmla="*/ 206877 h 537882"/>
                                                      <a:gd name="connsiteX4" fmla="*/ 1063639 w 1063639"/>
                                                      <a:gd name="connsiteY4" fmla="*/ 99301 h 537882"/>
                                                      <a:gd name="connsiteX5" fmla="*/ 397493 w 1063639"/>
                                                      <a:gd name="connsiteY5" fmla="*/ 0 h 537882"/>
                                                      <a:gd name="connsiteX6" fmla="*/ 0 w 1063639"/>
                                                      <a:gd name="connsiteY6" fmla="*/ 371501 h 537882"/>
                                                      <a:gd name="connsiteX0" fmla="*/ 0 w 1063639"/>
                                                      <a:gd name="connsiteY0" fmla="*/ 371501 h 547446"/>
                                                      <a:gd name="connsiteX1" fmla="*/ 362831 w 1063639"/>
                                                      <a:gd name="connsiteY1" fmla="*/ 547446 h 547446"/>
                                                      <a:gd name="connsiteX2" fmla="*/ 774010 w 1063639"/>
                                                      <a:gd name="connsiteY2" fmla="*/ 504782 h 547446"/>
                                                      <a:gd name="connsiteX3" fmla="*/ 811248 w 1063639"/>
                                                      <a:gd name="connsiteY3" fmla="*/ 206877 h 547446"/>
                                                      <a:gd name="connsiteX4" fmla="*/ 1063639 w 1063639"/>
                                                      <a:gd name="connsiteY4" fmla="*/ 99301 h 547446"/>
                                                      <a:gd name="connsiteX5" fmla="*/ 397493 w 1063639"/>
                                                      <a:gd name="connsiteY5" fmla="*/ 0 h 547446"/>
                                                      <a:gd name="connsiteX6" fmla="*/ 0 w 1063639"/>
                                                      <a:gd name="connsiteY6" fmla="*/ 371501 h 547446"/>
                                                      <a:gd name="connsiteX0" fmla="*/ 0 w 1086273"/>
                                                      <a:gd name="connsiteY0" fmla="*/ 371216 h 547446"/>
                                                      <a:gd name="connsiteX1" fmla="*/ 385465 w 1086273"/>
                                                      <a:gd name="connsiteY1" fmla="*/ 547446 h 547446"/>
                                                      <a:gd name="connsiteX2" fmla="*/ 796644 w 1086273"/>
                                                      <a:gd name="connsiteY2" fmla="*/ 504782 h 547446"/>
                                                      <a:gd name="connsiteX3" fmla="*/ 833882 w 1086273"/>
                                                      <a:gd name="connsiteY3" fmla="*/ 206877 h 547446"/>
                                                      <a:gd name="connsiteX4" fmla="*/ 1086273 w 1086273"/>
                                                      <a:gd name="connsiteY4" fmla="*/ 99301 h 547446"/>
                                                      <a:gd name="connsiteX5" fmla="*/ 420127 w 1086273"/>
                                                      <a:gd name="connsiteY5" fmla="*/ 0 h 547446"/>
                                                      <a:gd name="connsiteX6" fmla="*/ 0 w 1086273"/>
                                                      <a:gd name="connsiteY6" fmla="*/ 371216 h 54744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086273" h="547446">
                                                        <a:moveTo>
                                                          <a:pt x="0" y="371216"/>
                                                        </a:moveTo>
                                                        <a:lnTo>
                                                          <a:pt x="385465" y="547446"/>
                                                        </a:lnTo>
                                                        <a:lnTo>
                                                          <a:pt x="796644" y="504782"/>
                                                        </a:lnTo>
                                                        <a:lnTo>
                                                          <a:pt x="833882" y="206877"/>
                                                        </a:lnTo>
                                                        <a:lnTo>
                                                          <a:pt x="1086273" y="99301"/>
                                                        </a:lnTo>
                                                        <a:lnTo>
                                                          <a:pt x="420127" y="0"/>
                                                        </a:lnTo>
                                                        <a:lnTo>
                                                          <a:pt x="0" y="371216"/>
                                                        </a:lnTo>
                                                        <a:close/>
                                                      </a:path>
                                                    </a:pathLst>
                                                  </a:custGeom>
                                                  <a:solidFill>
                                                    <a:srgbClr val="FFC000"/>
                                                  </a:solidFill>
                                                  <a:ln w="25400" cap="flat" cmpd="sng" algn="ctr">
                                                    <a:noFill/>
                                                    <a:prstDash val="solid"/>
                                                  </a:ln>
                                                  <a:effectLst/>
                                                </wps:spPr>
                                                <wps:txbx>
                                                  <w:txbxContent>
                                                    <w:p w14:paraId="1F52FB47" w14:textId="77777777" w:rsidR="00D55F13" w:rsidRPr="00394D50" w:rsidRDefault="00D55F13" w:rsidP="0065023A">
                                                      <w:pPr>
                                                        <w:rPr>
                                                          <w:color w:val="0D0D0D" w:themeColor="text1" w:themeTint="F2"/>
                                                          <w:sz w:val="20"/>
                                                          <w:szCs w:val="20"/>
                                                        </w:rPr>
                                                      </w:pPr>
                                                      <w:r w:rsidRPr="00394D50">
                                                        <w:rPr>
                                                          <w:color w:val="0D0D0D" w:themeColor="text1" w:themeTint="F2"/>
                                                          <w:sz w:val="20"/>
                                                          <w:szCs w:val="20"/>
                                                        </w:rPr>
                                                        <w:t xml:space="preserve">           B</w:t>
                                                      </w:r>
                                                      <w:r w:rsidRPr="00394D50">
                                                        <w:rPr>
                                                          <w:color w:val="0D0D0D" w:themeColor="text1" w:themeTint="F2"/>
                                                          <w:sz w:val="20"/>
                                                          <w:szCs w:val="20"/>
                                                          <w:vertAlign w:val="subscript"/>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78634906" name="2078634906 Forma libre"/>
                                                <wps:cNvSpPr/>
                                                <wps:spPr>
                                                  <a:xfrm>
                                                    <a:off x="0" y="0"/>
                                                    <a:ext cx="993014" cy="1307467"/>
                                                  </a:xfrm>
                                                  <a:custGeom>
                                                    <a:avLst/>
                                                    <a:gdLst>
                                                      <a:gd name="connsiteX0" fmla="*/ 471682 w 993014"/>
                                                      <a:gd name="connsiteY0" fmla="*/ 86888 h 1307467"/>
                                                      <a:gd name="connsiteX1" fmla="*/ 198603 w 993014"/>
                                                      <a:gd name="connsiteY1" fmla="*/ 281353 h 1307467"/>
                                                      <a:gd name="connsiteX2" fmla="*/ 0 w 993014"/>
                                                      <a:gd name="connsiteY2" fmla="*/ 753035 h 1307467"/>
                                                      <a:gd name="connsiteX3" fmla="*/ 132402 w 993014"/>
                                                      <a:gd name="connsiteY3" fmla="*/ 1150240 h 1307467"/>
                                                      <a:gd name="connsiteX4" fmla="*/ 575121 w 993014"/>
                                                      <a:gd name="connsiteY4" fmla="*/ 1307467 h 1307467"/>
                                                      <a:gd name="connsiteX5" fmla="*/ 695110 w 993014"/>
                                                      <a:gd name="connsiteY5" fmla="*/ 976463 h 1307467"/>
                                                      <a:gd name="connsiteX6" fmla="*/ 599946 w 993014"/>
                                                      <a:gd name="connsiteY6" fmla="*/ 368242 h 1307467"/>
                                                      <a:gd name="connsiteX7" fmla="*/ 993014 w 993014"/>
                                                      <a:gd name="connsiteY7" fmla="*/ 0 h 1307467"/>
                                                      <a:gd name="connsiteX8" fmla="*/ 471682 w 993014"/>
                                                      <a:gd name="connsiteY8" fmla="*/ 86888 h 13074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993014" h="1307467">
                                                        <a:moveTo>
                                                          <a:pt x="471682" y="86888"/>
                                                        </a:moveTo>
                                                        <a:lnTo>
                                                          <a:pt x="198603" y="281353"/>
                                                        </a:lnTo>
                                                        <a:lnTo>
                                                          <a:pt x="0" y="753035"/>
                                                        </a:lnTo>
                                                        <a:lnTo>
                                                          <a:pt x="132402" y="1150240"/>
                                                        </a:lnTo>
                                                        <a:lnTo>
                                                          <a:pt x="575121" y="1307467"/>
                                                        </a:lnTo>
                                                        <a:lnTo>
                                                          <a:pt x="695110" y="976463"/>
                                                        </a:lnTo>
                                                        <a:lnTo>
                                                          <a:pt x="599946" y="368242"/>
                                                        </a:lnTo>
                                                        <a:lnTo>
                                                          <a:pt x="993014" y="0"/>
                                                        </a:lnTo>
                                                        <a:lnTo>
                                                          <a:pt x="471682" y="86888"/>
                                                        </a:lnTo>
                                                        <a:close/>
                                                      </a:path>
                                                    </a:pathLst>
                                                  </a:custGeom>
                                                  <a:solidFill>
                                                    <a:srgbClr val="FF3300"/>
                                                  </a:solidFill>
                                                  <a:ln w="25400" cap="flat" cmpd="sng" algn="ctr">
                                                    <a:noFill/>
                                                    <a:prstDash val="solid"/>
                                                  </a:ln>
                                                  <a:effectLst/>
                                                </wps:spPr>
                                                <wps:txbx>
                                                  <w:txbxContent>
                                                    <w:p w14:paraId="4D7E8AC4" w14:textId="77777777" w:rsidR="00D55F13" w:rsidRPr="00394D50" w:rsidRDefault="00D55F13" w:rsidP="0065023A">
                                                      <w:pPr>
                                                        <w:rPr>
                                                          <w:color w:val="0D0D0D" w:themeColor="text1" w:themeTint="F2"/>
                                                          <w:sz w:val="20"/>
                                                          <w:szCs w:val="20"/>
                                                        </w:rPr>
                                                      </w:pPr>
                                                      <w:r w:rsidRPr="00394D50">
                                                        <w:rPr>
                                                          <w:color w:val="0D0D0D" w:themeColor="text1" w:themeTint="F2"/>
                                                          <w:sz w:val="20"/>
                                                          <w:szCs w:val="20"/>
                                                        </w:rPr>
                                                        <w:t xml:space="preserve">      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grpSp>
                                        <wpg:grpSp>
                                          <wpg:cNvPr id="2078634907" name="2078634907 Grupo"/>
                                          <wpg:cNvGrpSpPr/>
                                          <wpg:grpSpPr>
                                            <a:xfrm>
                                              <a:off x="420364" y="60671"/>
                                              <a:ext cx="1046242" cy="1238250"/>
                                              <a:chOff x="23813" y="0"/>
                                              <a:chExt cx="904557" cy="1137740"/>
                                            </a:xfrm>
                                          </wpg:grpSpPr>
                                          <wps:wsp>
                                            <wps:cNvPr id="2078634908" name="2078634908 Cuadro de texto"/>
                                            <wps:cNvSpPr txBox="1"/>
                                            <wps:spPr>
                                              <a:xfrm>
                                                <a:off x="286603" y="975815"/>
                                                <a:ext cx="152400" cy="161925"/>
                                              </a:xfrm>
                                              <a:prstGeom prst="rect">
                                                <a:avLst/>
                                              </a:prstGeom>
                                              <a:noFill/>
                                              <a:ln w="6350">
                                                <a:noFill/>
                                              </a:ln>
                                              <a:effectLst/>
                                            </wps:spPr>
                                            <wps:txbx>
                                              <w:txbxContent>
                                                <w:p w14:paraId="0A9E4EFB" w14:textId="77777777" w:rsidR="00D55F13" w:rsidRPr="00394D50" w:rsidRDefault="00D55F13" w:rsidP="0065023A">
                                                  <w:pPr>
                                                    <w:jc w:val="center"/>
                                                    <w:rPr>
                                                      <w:sz w:val="20"/>
                                                      <w:szCs w:val="20"/>
                                                    </w:rPr>
                                                  </w:pPr>
                                                  <w:r w:rsidRPr="00394D50">
                                                    <w:rPr>
                                                      <w:sz w:val="20"/>
                                                      <w:szCs w:val="20"/>
                                                    </w:rPr>
                                                    <w:t>E</w:t>
                                                  </w:r>
                                                  <w:r w:rsidRPr="00394D50">
                                                    <w:rPr>
                                                      <w:sz w:val="20"/>
                                                      <w:szCs w:val="20"/>
                                                      <w:vertAlign w:val="subscript"/>
                                                    </w:rPr>
                                                    <w:t>2</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g:grpSp>
                                            <wpg:cNvPr id="2078634909" name="2078634909 Grupo"/>
                                            <wpg:cNvGrpSpPr/>
                                            <wpg:grpSpPr>
                                              <a:xfrm>
                                                <a:off x="23813" y="0"/>
                                                <a:ext cx="904557" cy="1106013"/>
                                                <a:chOff x="23813" y="0"/>
                                                <a:chExt cx="904557" cy="1106013"/>
                                              </a:xfrm>
                                            </wpg:grpSpPr>
                                            <wpg:grpSp>
                                              <wpg:cNvPr id="2078634910" name="2078634910 Grupo"/>
                                              <wpg:cNvGrpSpPr/>
                                              <wpg:grpSpPr>
                                                <a:xfrm>
                                                  <a:off x="23813" y="0"/>
                                                  <a:ext cx="904557" cy="1106013"/>
                                                  <a:chOff x="23813" y="0"/>
                                                  <a:chExt cx="904557" cy="1106013"/>
                                                </a:xfrm>
                                              </wpg:grpSpPr>
                                              <wpg:grpSp>
                                                <wpg:cNvPr id="2078634911" name="2078634911 Grupo"/>
                                                <wpg:cNvGrpSpPr/>
                                                <wpg:grpSpPr>
                                                  <a:xfrm>
                                                    <a:off x="23813" y="0"/>
                                                    <a:ext cx="904557" cy="1106013"/>
                                                    <a:chOff x="0" y="-162470"/>
                                                    <a:chExt cx="905057" cy="1106473"/>
                                                  </a:xfrm>
                                                </wpg:grpSpPr>
                                                <wps:wsp>
                                                  <wps:cNvPr id="2078634912" name="2078634912 Conector recto"/>
                                                  <wps:cNvCnPr/>
                                                  <wps:spPr>
                                                    <a:xfrm>
                                                      <a:off x="0" y="-162470"/>
                                                      <a:ext cx="905057" cy="666739"/>
                                                    </a:xfrm>
                                                    <a:prstGeom prst="line">
                                                      <a:avLst/>
                                                    </a:prstGeom>
                                                    <a:noFill/>
                                                    <a:ln w="9525" cap="flat" cmpd="sng" algn="ctr">
                                                      <a:solidFill>
                                                        <a:sysClr val="windowText" lastClr="000000"/>
                                                      </a:solidFill>
                                                      <a:prstDash val="sysDash"/>
                                                    </a:ln>
                                                    <a:effectLst/>
                                                  </wps:spPr>
                                                  <wps:bodyPr/>
                                                </wps:wsp>
                                                <wps:wsp>
                                                  <wps:cNvPr id="2078634913" name="2078634913 Forma libre"/>
                                                  <wps:cNvSpPr/>
                                                  <wps:spPr>
                                                    <a:xfrm>
                                                      <a:off x="0" y="805856"/>
                                                      <a:ext cx="726915" cy="138147"/>
                                                    </a:xfrm>
                                                    <a:custGeom>
                                                      <a:avLst/>
                                                      <a:gdLst>
                                                        <a:gd name="connsiteX0" fmla="*/ 0 w 726915"/>
                                                        <a:gd name="connsiteY0" fmla="*/ 3289 h 138147"/>
                                                        <a:gd name="connsiteX1" fmla="*/ 348656 w 726915"/>
                                                        <a:gd name="connsiteY1" fmla="*/ 0 h 138147"/>
                                                        <a:gd name="connsiteX2" fmla="*/ 621660 w 726915"/>
                                                        <a:gd name="connsiteY2" fmla="*/ 88808 h 138147"/>
                                                        <a:gd name="connsiteX3" fmla="*/ 726915 w 726915"/>
                                                        <a:gd name="connsiteY3" fmla="*/ 138147 h 138147"/>
                                                      </a:gdLst>
                                                      <a:ahLst/>
                                                      <a:cxnLst>
                                                        <a:cxn ang="0">
                                                          <a:pos x="connsiteX0" y="connsiteY0"/>
                                                        </a:cxn>
                                                        <a:cxn ang="0">
                                                          <a:pos x="connsiteX1" y="connsiteY1"/>
                                                        </a:cxn>
                                                        <a:cxn ang="0">
                                                          <a:pos x="connsiteX2" y="connsiteY2"/>
                                                        </a:cxn>
                                                        <a:cxn ang="0">
                                                          <a:pos x="connsiteX3" y="connsiteY3"/>
                                                        </a:cxn>
                                                      </a:cxnLst>
                                                      <a:rect l="l" t="t" r="r" b="b"/>
                                                      <a:pathLst>
                                                        <a:path w="726915" h="138147">
                                                          <a:moveTo>
                                                            <a:pt x="0" y="3289"/>
                                                          </a:moveTo>
                                                          <a:lnTo>
                                                            <a:pt x="348656" y="0"/>
                                                          </a:lnTo>
                                                          <a:lnTo>
                                                            <a:pt x="621660" y="88808"/>
                                                          </a:lnTo>
                                                          <a:lnTo>
                                                            <a:pt x="726915" y="138147"/>
                                                          </a:lnTo>
                                                        </a:path>
                                                      </a:pathLst>
                                                    </a:custGeom>
                                                    <a:noFill/>
                                                    <a:ln w="9525" cap="flat" cmpd="sng" algn="ctr">
                                                      <a:solidFill>
                                                        <a:sysClr val="windowText" lastClr="000000"/>
                                                      </a:solidFill>
                                                      <a:prstDash val="lgDashDot"/>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2078634914" name="2078634914 Cuadro de texto"/>
                                                <wps:cNvSpPr txBox="1"/>
                                                <wps:spPr>
                                                  <a:xfrm>
                                                    <a:off x="254700" y="221352"/>
                                                    <a:ext cx="152400" cy="161925"/>
                                                  </a:xfrm>
                                                  <a:prstGeom prst="rect">
                                                    <a:avLst/>
                                                  </a:prstGeom>
                                                  <a:noFill/>
                                                  <a:ln w="6350">
                                                    <a:noFill/>
                                                  </a:ln>
                                                  <a:effectLst/>
                                                </wps:spPr>
                                                <wps:txbx>
                                                  <w:txbxContent>
                                                    <w:p w14:paraId="7648BB7D" w14:textId="77777777" w:rsidR="00D55F13" w:rsidRPr="00394D50" w:rsidRDefault="00D55F13" w:rsidP="0065023A">
                                                      <w:pPr>
                                                        <w:jc w:val="center"/>
                                                        <w:rPr>
                                                          <w:sz w:val="20"/>
                                                          <w:szCs w:val="20"/>
                                                        </w:rPr>
                                                      </w:pPr>
                                                      <w:r w:rsidRPr="00394D50">
                                                        <w:rPr>
                                                          <w:sz w:val="20"/>
                                                          <w:szCs w:val="20"/>
                                                        </w:rPr>
                                                        <w:t>B</w:t>
                                                      </w:r>
                                                      <w:r w:rsidRPr="00394D50">
                                                        <w:rPr>
                                                          <w:sz w:val="20"/>
                                                          <w:szCs w:val="20"/>
                                                          <w:vertAlign w:val="subscript"/>
                                                        </w:rPr>
                                                        <w:t>2</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g:grpSp>
                                            <wps:wsp>
                                              <wps:cNvPr id="2078634915" name="2078634915 Cuadro de texto"/>
                                              <wps:cNvSpPr txBox="1"/>
                                              <wps:spPr>
                                                <a:xfrm>
                                                  <a:off x="688912" y="387818"/>
                                                  <a:ext cx="152400" cy="161925"/>
                                                </a:xfrm>
                                                <a:prstGeom prst="rect">
                                                  <a:avLst/>
                                                </a:prstGeom>
                                                <a:noFill/>
                                                <a:ln w="6350">
                                                  <a:noFill/>
                                                </a:ln>
                                                <a:effectLst/>
                                              </wps:spPr>
                                              <wps:txbx>
                                                <w:txbxContent>
                                                  <w:p w14:paraId="5F4D8F1D" w14:textId="77777777" w:rsidR="00D55F13" w:rsidRPr="00394D50" w:rsidRDefault="00D55F13" w:rsidP="0065023A">
                                                    <w:pPr>
                                                      <w:jc w:val="center"/>
                                                      <w:rPr>
                                                        <w:sz w:val="20"/>
                                                        <w:szCs w:val="20"/>
                                                      </w:rPr>
                                                    </w:pPr>
                                                    <w:r w:rsidRPr="00394D50">
                                                      <w:rPr>
                                                        <w:sz w:val="20"/>
                                                        <w:szCs w:val="20"/>
                                                      </w:rPr>
                                                      <w:t>D</w:t>
                                                    </w:r>
                                                    <w:r w:rsidRPr="00394D50">
                                                      <w:rPr>
                                                        <w:sz w:val="20"/>
                                                        <w:szCs w:val="20"/>
                                                        <w:vertAlign w:val="subscript"/>
                                                      </w:rPr>
                                                      <w:t>2</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g:grpSp>
                                        </wpg:grpSp>
                                      </wpg:grpSp>
                                      <wps:wsp>
                                        <wps:cNvPr id="2078634916" name="2078634916 Cuadro de texto"/>
                                        <wps:cNvSpPr txBox="1"/>
                                        <wps:spPr>
                                          <a:xfrm>
                                            <a:off x="645714" y="47670"/>
                                            <a:ext cx="175895" cy="175895"/>
                                          </a:xfrm>
                                          <a:prstGeom prst="rect">
                                            <a:avLst/>
                                          </a:prstGeom>
                                          <a:noFill/>
                                          <a:ln w="6350">
                                            <a:noFill/>
                                          </a:ln>
                                          <a:effectLst/>
                                        </wps:spPr>
                                        <wps:txbx>
                                          <w:txbxContent>
                                            <w:p w14:paraId="3D782A2C" w14:textId="77777777" w:rsidR="00D55F13" w:rsidRPr="00394D50" w:rsidRDefault="00D55F13" w:rsidP="0065023A">
                                              <w:pPr>
                                                <w:jc w:val="center"/>
                                                <w:rPr>
                                                  <w:sz w:val="20"/>
                                                  <w:szCs w:val="20"/>
                                                </w:rPr>
                                              </w:pPr>
                                              <w:r w:rsidRPr="00394D50">
                                                <w:rPr>
                                                  <w:sz w:val="20"/>
                                                  <w:szCs w:val="20"/>
                                                </w:rPr>
                                                <w:t>A</w:t>
                                              </w:r>
                                              <w:r w:rsidRPr="00394D50">
                                                <w:rPr>
                                                  <w:sz w:val="20"/>
                                                  <w:szCs w:val="20"/>
                                                  <w:vertAlign w:val="subscript"/>
                                                </w:rPr>
                                                <w:t>2</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g:grpSp>
                                    <wpg:grpSp>
                                      <wpg:cNvPr id="2078634917" name="2078634917 Grupo"/>
                                      <wpg:cNvGrpSpPr/>
                                      <wpg:grpSpPr>
                                        <a:xfrm>
                                          <a:off x="0" y="93552"/>
                                          <a:ext cx="1591310" cy="1215390"/>
                                          <a:chOff x="0" y="0"/>
                                          <a:chExt cx="1591380" cy="1215676"/>
                                        </a:xfrm>
                                      </wpg:grpSpPr>
                                      <wps:wsp>
                                        <wps:cNvPr id="2078634918" name="2078634918 Forma libre"/>
                                        <wps:cNvSpPr/>
                                        <wps:spPr>
                                          <a:xfrm>
                                            <a:off x="0" y="0"/>
                                            <a:ext cx="1591380" cy="1215676"/>
                                          </a:xfrm>
                                          <a:custGeom>
                                            <a:avLst/>
                                            <a:gdLst>
                                              <a:gd name="connsiteX0" fmla="*/ 465128 w 1585665"/>
                                              <a:gd name="connsiteY0" fmla="*/ 0 h 1215676"/>
                                              <a:gd name="connsiteX1" fmla="*/ 1318744 w 1585665"/>
                                              <a:gd name="connsiteY1" fmla="*/ 594624 h 1215676"/>
                                              <a:gd name="connsiteX2" fmla="*/ 1297602 w 1585665"/>
                                              <a:gd name="connsiteY2" fmla="*/ 652765 h 1215676"/>
                                              <a:gd name="connsiteX3" fmla="*/ 1585665 w 1585665"/>
                                              <a:gd name="connsiteY3" fmla="*/ 924971 h 1215676"/>
                                              <a:gd name="connsiteX4" fmla="*/ 1220962 w 1585665"/>
                                              <a:gd name="connsiteY4" fmla="*/ 1154892 h 1215676"/>
                                              <a:gd name="connsiteX5" fmla="*/ 816617 w 1585665"/>
                                              <a:gd name="connsiteY5" fmla="*/ 1025396 h 1215676"/>
                                              <a:gd name="connsiteX6" fmla="*/ 636909 w 1585665"/>
                                              <a:gd name="connsiteY6" fmla="*/ 1020111 h 1215676"/>
                                              <a:gd name="connsiteX7" fmla="*/ 570839 w 1585665"/>
                                              <a:gd name="connsiteY7" fmla="*/ 1215676 h 1215676"/>
                                              <a:gd name="connsiteX8" fmla="*/ 132139 w 1585665"/>
                                              <a:gd name="connsiteY8" fmla="*/ 1057109 h 1215676"/>
                                              <a:gd name="connsiteX9" fmla="*/ 0 w 1585665"/>
                                              <a:gd name="connsiteY9" fmla="*/ 658050 h 1215676"/>
                                              <a:gd name="connsiteX10" fmla="*/ 195565 w 1585665"/>
                                              <a:gd name="connsiteY10" fmla="*/ 190279 h 1215676"/>
                                              <a:gd name="connsiteX11" fmla="*/ 465128 w 1585665"/>
                                              <a:gd name="connsiteY11" fmla="*/ 0 h 1215676"/>
                                              <a:gd name="connsiteX0" fmla="*/ 465128 w 1585665"/>
                                              <a:gd name="connsiteY0" fmla="*/ 0 h 1215676"/>
                                              <a:gd name="connsiteX1" fmla="*/ 1318744 w 1585665"/>
                                              <a:gd name="connsiteY1" fmla="*/ 594624 h 1215676"/>
                                              <a:gd name="connsiteX2" fmla="*/ 1297602 w 1585665"/>
                                              <a:gd name="connsiteY2" fmla="*/ 652765 h 1215676"/>
                                              <a:gd name="connsiteX3" fmla="*/ 1585665 w 1585665"/>
                                              <a:gd name="connsiteY3" fmla="*/ 924971 h 1215676"/>
                                              <a:gd name="connsiteX4" fmla="*/ 1220962 w 1585665"/>
                                              <a:gd name="connsiteY4" fmla="*/ 1154892 h 1215676"/>
                                              <a:gd name="connsiteX5" fmla="*/ 816617 w 1585665"/>
                                              <a:gd name="connsiteY5" fmla="*/ 1025396 h 1215676"/>
                                              <a:gd name="connsiteX6" fmla="*/ 636937 w 1585665"/>
                                              <a:gd name="connsiteY6" fmla="*/ 1029588 h 1215676"/>
                                              <a:gd name="connsiteX7" fmla="*/ 570839 w 1585665"/>
                                              <a:gd name="connsiteY7" fmla="*/ 1215676 h 1215676"/>
                                              <a:gd name="connsiteX8" fmla="*/ 132139 w 1585665"/>
                                              <a:gd name="connsiteY8" fmla="*/ 1057109 h 1215676"/>
                                              <a:gd name="connsiteX9" fmla="*/ 0 w 1585665"/>
                                              <a:gd name="connsiteY9" fmla="*/ 658050 h 1215676"/>
                                              <a:gd name="connsiteX10" fmla="*/ 195565 w 1585665"/>
                                              <a:gd name="connsiteY10" fmla="*/ 190279 h 1215676"/>
                                              <a:gd name="connsiteX11" fmla="*/ 465128 w 1585665"/>
                                              <a:gd name="connsiteY11" fmla="*/ 0 h 1215676"/>
                                              <a:gd name="connsiteX0" fmla="*/ 430836 w 1551373"/>
                                              <a:gd name="connsiteY0" fmla="*/ 0 h 1215676"/>
                                              <a:gd name="connsiteX1" fmla="*/ 1284452 w 1551373"/>
                                              <a:gd name="connsiteY1" fmla="*/ 594624 h 1215676"/>
                                              <a:gd name="connsiteX2" fmla="*/ 1263310 w 1551373"/>
                                              <a:gd name="connsiteY2" fmla="*/ 652765 h 1215676"/>
                                              <a:gd name="connsiteX3" fmla="*/ 1551373 w 1551373"/>
                                              <a:gd name="connsiteY3" fmla="*/ 924971 h 1215676"/>
                                              <a:gd name="connsiteX4" fmla="*/ 1186670 w 1551373"/>
                                              <a:gd name="connsiteY4" fmla="*/ 1154892 h 1215676"/>
                                              <a:gd name="connsiteX5" fmla="*/ 782325 w 1551373"/>
                                              <a:gd name="connsiteY5" fmla="*/ 1025396 h 1215676"/>
                                              <a:gd name="connsiteX6" fmla="*/ 602645 w 1551373"/>
                                              <a:gd name="connsiteY6" fmla="*/ 1029588 h 1215676"/>
                                              <a:gd name="connsiteX7" fmla="*/ 536547 w 1551373"/>
                                              <a:gd name="connsiteY7" fmla="*/ 1215676 h 1215676"/>
                                              <a:gd name="connsiteX8" fmla="*/ 97847 w 1551373"/>
                                              <a:gd name="connsiteY8" fmla="*/ 1057109 h 1215676"/>
                                              <a:gd name="connsiteX9" fmla="*/ 0 w 1551373"/>
                                              <a:gd name="connsiteY9" fmla="*/ 648008 h 1215676"/>
                                              <a:gd name="connsiteX10" fmla="*/ 161273 w 1551373"/>
                                              <a:gd name="connsiteY10" fmla="*/ 190279 h 1215676"/>
                                              <a:gd name="connsiteX11" fmla="*/ 430836 w 1551373"/>
                                              <a:gd name="connsiteY11" fmla="*/ 0 h 1215676"/>
                                              <a:gd name="connsiteX0" fmla="*/ 470843 w 1591380"/>
                                              <a:gd name="connsiteY0" fmla="*/ 0 h 1215676"/>
                                              <a:gd name="connsiteX1" fmla="*/ 1324459 w 1591380"/>
                                              <a:gd name="connsiteY1" fmla="*/ 594624 h 1215676"/>
                                              <a:gd name="connsiteX2" fmla="*/ 1303317 w 1591380"/>
                                              <a:gd name="connsiteY2" fmla="*/ 652765 h 1215676"/>
                                              <a:gd name="connsiteX3" fmla="*/ 1591380 w 1591380"/>
                                              <a:gd name="connsiteY3" fmla="*/ 924971 h 1215676"/>
                                              <a:gd name="connsiteX4" fmla="*/ 1226677 w 1591380"/>
                                              <a:gd name="connsiteY4" fmla="*/ 1154892 h 1215676"/>
                                              <a:gd name="connsiteX5" fmla="*/ 822332 w 1591380"/>
                                              <a:gd name="connsiteY5" fmla="*/ 1025396 h 1215676"/>
                                              <a:gd name="connsiteX6" fmla="*/ 642652 w 1591380"/>
                                              <a:gd name="connsiteY6" fmla="*/ 1029588 h 1215676"/>
                                              <a:gd name="connsiteX7" fmla="*/ 576554 w 1591380"/>
                                              <a:gd name="connsiteY7" fmla="*/ 1215676 h 1215676"/>
                                              <a:gd name="connsiteX8" fmla="*/ 137854 w 1591380"/>
                                              <a:gd name="connsiteY8" fmla="*/ 1057109 h 1215676"/>
                                              <a:gd name="connsiteX9" fmla="*/ 0 w 1591380"/>
                                              <a:gd name="connsiteY9" fmla="*/ 659593 h 1215676"/>
                                              <a:gd name="connsiteX10" fmla="*/ 201280 w 1591380"/>
                                              <a:gd name="connsiteY10" fmla="*/ 190279 h 1215676"/>
                                              <a:gd name="connsiteX11" fmla="*/ 470843 w 1591380"/>
                                              <a:gd name="connsiteY11" fmla="*/ 0 h 1215676"/>
                                              <a:gd name="connsiteX0" fmla="*/ 470843 w 1591380"/>
                                              <a:gd name="connsiteY0" fmla="*/ 0 h 1215676"/>
                                              <a:gd name="connsiteX1" fmla="*/ 1324459 w 1591380"/>
                                              <a:gd name="connsiteY1" fmla="*/ 594624 h 1215676"/>
                                              <a:gd name="connsiteX2" fmla="*/ 1303317 w 1591380"/>
                                              <a:gd name="connsiteY2" fmla="*/ 652765 h 1215676"/>
                                              <a:gd name="connsiteX3" fmla="*/ 1591380 w 1591380"/>
                                              <a:gd name="connsiteY3" fmla="*/ 924971 h 1215676"/>
                                              <a:gd name="connsiteX4" fmla="*/ 1226677 w 1591380"/>
                                              <a:gd name="connsiteY4" fmla="*/ 1154892 h 1215676"/>
                                              <a:gd name="connsiteX5" fmla="*/ 822332 w 1591380"/>
                                              <a:gd name="connsiteY5" fmla="*/ 1025396 h 1215676"/>
                                              <a:gd name="connsiteX6" fmla="*/ 642652 w 1591380"/>
                                              <a:gd name="connsiteY6" fmla="*/ 1029588 h 1215676"/>
                                              <a:gd name="connsiteX7" fmla="*/ 576554 w 1591380"/>
                                              <a:gd name="connsiteY7" fmla="*/ 1215676 h 1215676"/>
                                              <a:gd name="connsiteX8" fmla="*/ 166436 w 1591380"/>
                                              <a:gd name="connsiteY8" fmla="*/ 1020997 h 1215676"/>
                                              <a:gd name="connsiteX9" fmla="*/ 0 w 1591380"/>
                                              <a:gd name="connsiteY9" fmla="*/ 659593 h 1215676"/>
                                              <a:gd name="connsiteX10" fmla="*/ 201280 w 1591380"/>
                                              <a:gd name="connsiteY10" fmla="*/ 190279 h 1215676"/>
                                              <a:gd name="connsiteX11" fmla="*/ 470843 w 1591380"/>
                                              <a:gd name="connsiteY11" fmla="*/ 0 h 1215676"/>
                                              <a:gd name="connsiteX0" fmla="*/ 470843 w 1591380"/>
                                              <a:gd name="connsiteY0" fmla="*/ 0 h 1215676"/>
                                              <a:gd name="connsiteX1" fmla="*/ 1324459 w 1591380"/>
                                              <a:gd name="connsiteY1" fmla="*/ 594624 h 1215676"/>
                                              <a:gd name="connsiteX2" fmla="*/ 1303317 w 1591380"/>
                                              <a:gd name="connsiteY2" fmla="*/ 652765 h 1215676"/>
                                              <a:gd name="connsiteX3" fmla="*/ 1591380 w 1591380"/>
                                              <a:gd name="connsiteY3" fmla="*/ 924971 h 1215676"/>
                                              <a:gd name="connsiteX4" fmla="*/ 1226677 w 1591380"/>
                                              <a:gd name="connsiteY4" fmla="*/ 1154892 h 1215676"/>
                                              <a:gd name="connsiteX5" fmla="*/ 822332 w 1591380"/>
                                              <a:gd name="connsiteY5" fmla="*/ 1025396 h 1215676"/>
                                              <a:gd name="connsiteX6" fmla="*/ 642652 w 1591380"/>
                                              <a:gd name="connsiteY6" fmla="*/ 1029588 h 1215676"/>
                                              <a:gd name="connsiteX7" fmla="*/ 576554 w 1591380"/>
                                              <a:gd name="connsiteY7" fmla="*/ 1215676 h 1215676"/>
                                              <a:gd name="connsiteX8" fmla="*/ 130247 w 1591380"/>
                                              <a:gd name="connsiteY8" fmla="*/ 1059346 h 1215676"/>
                                              <a:gd name="connsiteX9" fmla="*/ 0 w 1591380"/>
                                              <a:gd name="connsiteY9" fmla="*/ 659593 h 1215676"/>
                                              <a:gd name="connsiteX10" fmla="*/ 201280 w 1591380"/>
                                              <a:gd name="connsiteY10" fmla="*/ 190279 h 1215676"/>
                                              <a:gd name="connsiteX11" fmla="*/ 470843 w 1591380"/>
                                              <a:gd name="connsiteY11" fmla="*/ 0 h 1215676"/>
                                              <a:gd name="connsiteX0" fmla="*/ 467054 w 1591380"/>
                                              <a:gd name="connsiteY0" fmla="*/ 0 h 1215676"/>
                                              <a:gd name="connsiteX1" fmla="*/ 1324459 w 1591380"/>
                                              <a:gd name="connsiteY1" fmla="*/ 594624 h 1215676"/>
                                              <a:gd name="connsiteX2" fmla="*/ 1303317 w 1591380"/>
                                              <a:gd name="connsiteY2" fmla="*/ 652765 h 1215676"/>
                                              <a:gd name="connsiteX3" fmla="*/ 1591380 w 1591380"/>
                                              <a:gd name="connsiteY3" fmla="*/ 924971 h 1215676"/>
                                              <a:gd name="connsiteX4" fmla="*/ 1226677 w 1591380"/>
                                              <a:gd name="connsiteY4" fmla="*/ 1154892 h 1215676"/>
                                              <a:gd name="connsiteX5" fmla="*/ 822332 w 1591380"/>
                                              <a:gd name="connsiteY5" fmla="*/ 1025396 h 1215676"/>
                                              <a:gd name="connsiteX6" fmla="*/ 642652 w 1591380"/>
                                              <a:gd name="connsiteY6" fmla="*/ 1029588 h 1215676"/>
                                              <a:gd name="connsiteX7" fmla="*/ 576554 w 1591380"/>
                                              <a:gd name="connsiteY7" fmla="*/ 1215676 h 1215676"/>
                                              <a:gd name="connsiteX8" fmla="*/ 130247 w 1591380"/>
                                              <a:gd name="connsiteY8" fmla="*/ 1059346 h 1215676"/>
                                              <a:gd name="connsiteX9" fmla="*/ 0 w 1591380"/>
                                              <a:gd name="connsiteY9" fmla="*/ 659593 h 1215676"/>
                                              <a:gd name="connsiteX10" fmla="*/ 201280 w 1591380"/>
                                              <a:gd name="connsiteY10" fmla="*/ 190279 h 1215676"/>
                                              <a:gd name="connsiteX11" fmla="*/ 467054 w 1591380"/>
                                              <a:gd name="connsiteY11" fmla="*/ 0 h 1215676"/>
                                              <a:gd name="connsiteX0" fmla="*/ 467054 w 1591380"/>
                                              <a:gd name="connsiteY0" fmla="*/ 0 h 1215676"/>
                                              <a:gd name="connsiteX1" fmla="*/ 1324459 w 1591380"/>
                                              <a:gd name="connsiteY1" fmla="*/ 594624 h 1215676"/>
                                              <a:gd name="connsiteX2" fmla="*/ 1303317 w 1591380"/>
                                              <a:gd name="connsiteY2" fmla="*/ 652765 h 1215676"/>
                                              <a:gd name="connsiteX3" fmla="*/ 1591380 w 1591380"/>
                                              <a:gd name="connsiteY3" fmla="*/ 924971 h 1215676"/>
                                              <a:gd name="connsiteX4" fmla="*/ 1226677 w 1591380"/>
                                              <a:gd name="connsiteY4" fmla="*/ 1154892 h 1215676"/>
                                              <a:gd name="connsiteX5" fmla="*/ 822332 w 1591380"/>
                                              <a:gd name="connsiteY5" fmla="*/ 1025396 h 1215676"/>
                                              <a:gd name="connsiteX6" fmla="*/ 642652 w 1591380"/>
                                              <a:gd name="connsiteY6" fmla="*/ 1029588 h 1215676"/>
                                              <a:gd name="connsiteX7" fmla="*/ 576554 w 1591380"/>
                                              <a:gd name="connsiteY7" fmla="*/ 1215676 h 1215676"/>
                                              <a:gd name="connsiteX8" fmla="*/ 130247 w 1591380"/>
                                              <a:gd name="connsiteY8" fmla="*/ 1059346 h 1215676"/>
                                              <a:gd name="connsiteX9" fmla="*/ 0 w 1591380"/>
                                              <a:gd name="connsiteY9" fmla="*/ 659593 h 1215676"/>
                                              <a:gd name="connsiteX10" fmla="*/ 264157 w 1591380"/>
                                              <a:gd name="connsiteY10" fmla="*/ 234149 h 1215676"/>
                                              <a:gd name="connsiteX11" fmla="*/ 467054 w 1591380"/>
                                              <a:gd name="connsiteY11" fmla="*/ 0 h 1215676"/>
                                              <a:gd name="connsiteX0" fmla="*/ 467054 w 1591380"/>
                                              <a:gd name="connsiteY0" fmla="*/ 0 h 1215676"/>
                                              <a:gd name="connsiteX1" fmla="*/ 1324459 w 1591380"/>
                                              <a:gd name="connsiteY1" fmla="*/ 594624 h 1215676"/>
                                              <a:gd name="connsiteX2" fmla="*/ 1303317 w 1591380"/>
                                              <a:gd name="connsiteY2" fmla="*/ 652765 h 1215676"/>
                                              <a:gd name="connsiteX3" fmla="*/ 1591380 w 1591380"/>
                                              <a:gd name="connsiteY3" fmla="*/ 924971 h 1215676"/>
                                              <a:gd name="connsiteX4" fmla="*/ 1226677 w 1591380"/>
                                              <a:gd name="connsiteY4" fmla="*/ 1154892 h 1215676"/>
                                              <a:gd name="connsiteX5" fmla="*/ 822332 w 1591380"/>
                                              <a:gd name="connsiteY5" fmla="*/ 1025396 h 1215676"/>
                                              <a:gd name="connsiteX6" fmla="*/ 642652 w 1591380"/>
                                              <a:gd name="connsiteY6" fmla="*/ 1029588 h 1215676"/>
                                              <a:gd name="connsiteX7" fmla="*/ 576554 w 1591380"/>
                                              <a:gd name="connsiteY7" fmla="*/ 1215676 h 1215676"/>
                                              <a:gd name="connsiteX8" fmla="*/ 130247 w 1591380"/>
                                              <a:gd name="connsiteY8" fmla="*/ 1059346 h 1215676"/>
                                              <a:gd name="connsiteX9" fmla="*/ 0 w 1591380"/>
                                              <a:gd name="connsiteY9" fmla="*/ 659593 h 1215676"/>
                                              <a:gd name="connsiteX10" fmla="*/ 197491 w 1591380"/>
                                              <a:gd name="connsiteY10" fmla="*/ 188473 h 1215676"/>
                                              <a:gd name="connsiteX11" fmla="*/ 467054 w 1591380"/>
                                              <a:gd name="connsiteY11" fmla="*/ 0 h 1215676"/>
                                              <a:gd name="connsiteX0" fmla="*/ 467054 w 1591380"/>
                                              <a:gd name="connsiteY0" fmla="*/ 0 h 1215676"/>
                                              <a:gd name="connsiteX1" fmla="*/ 1324459 w 1591380"/>
                                              <a:gd name="connsiteY1" fmla="*/ 594624 h 1215676"/>
                                              <a:gd name="connsiteX2" fmla="*/ 1303317 w 1591380"/>
                                              <a:gd name="connsiteY2" fmla="*/ 652765 h 1215676"/>
                                              <a:gd name="connsiteX3" fmla="*/ 1591380 w 1591380"/>
                                              <a:gd name="connsiteY3" fmla="*/ 924971 h 1215676"/>
                                              <a:gd name="connsiteX4" fmla="*/ 1226677 w 1591380"/>
                                              <a:gd name="connsiteY4" fmla="*/ 1154892 h 1215676"/>
                                              <a:gd name="connsiteX5" fmla="*/ 822332 w 1591380"/>
                                              <a:gd name="connsiteY5" fmla="*/ 1025396 h 1215676"/>
                                              <a:gd name="connsiteX6" fmla="*/ 576554 w 1591380"/>
                                              <a:gd name="connsiteY6" fmla="*/ 1215676 h 1215676"/>
                                              <a:gd name="connsiteX7" fmla="*/ 130247 w 1591380"/>
                                              <a:gd name="connsiteY7" fmla="*/ 1059346 h 1215676"/>
                                              <a:gd name="connsiteX8" fmla="*/ 0 w 1591380"/>
                                              <a:gd name="connsiteY8" fmla="*/ 659593 h 1215676"/>
                                              <a:gd name="connsiteX9" fmla="*/ 197491 w 1591380"/>
                                              <a:gd name="connsiteY9" fmla="*/ 188473 h 1215676"/>
                                              <a:gd name="connsiteX10" fmla="*/ 467054 w 1591380"/>
                                              <a:gd name="connsiteY10" fmla="*/ 0 h 1215676"/>
                                              <a:gd name="connsiteX0" fmla="*/ 467054 w 1591380"/>
                                              <a:gd name="connsiteY0" fmla="*/ 0 h 1215676"/>
                                              <a:gd name="connsiteX1" fmla="*/ 1324459 w 1591380"/>
                                              <a:gd name="connsiteY1" fmla="*/ 594624 h 1215676"/>
                                              <a:gd name="connsiteX2" fmla="*/ 1303317 w 1591380"/>
                                              <a:gd name="connsiteY2" fmla="*/ 652765 h 1215676"/>
                                              <a:gd name="connsiteX3" fmla="*/ 1591380 w 1591380"/>
                                              <a:gd name="connsiteY3" fmla="*/ 924971 h 1215676"/>
                                              <a:gd name="connsiteX4" fmla="*/ 1226677 w 1591380"/>
                                              <a:gd name="connsiteY4" fmla="*/ 1154892 h 1215676"/>
                                              <a:gd name="connsiteX5" fmla="*/ 1152745 w 1591380"/>
                                              <a:gd name="connsiteY5" fmla="*/ 1194802 h 1215676"/>
                                              <a:gd name="connsiteX6" fmla="*/ 576554 w 1591380"/>
                                              <a:gd name="connsiteY6" fmla="*/ 1215676 h 1215676"/>
                                              <a:gd name="connsiteX7" fmla="*/ 130247 w 1591380"/>
                                              <a:gd name="connsiteY7" fmla="*/ 1059346 h 1215676"/>
                                              <a:gd name="connsiteX8" fmla="*/ 0 w 1591380"/>
                                              <a:gd name="connsiteY8" fmla="*/ 659593 h 1215676"/>
                                              <a:gd name="connsiteX9" fmla="*/ 197491 w 1591380"/>
                                              <a:gd name="connsiteY9" fmla="*/ 188473 h 1215676"/>
                                              <a:gd name="connsiteX10" fmla="*/ 467054 w 1591380"/>
                                              <a:gd name="connsiteY10" fmla="*/ 0 h 121567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1591380" h="1215676">
                                                <a:moveTo>
                                                  <a:pt x="467054" y="0"/>
                                                </a:moveTo>
                                                <a:lnTo>
                                                  <a:pt x="1324459" y="594624"/>
                                                </a:lnTo>
                                                <a:lnTo>
                                                  <a:pt x="1303317" y="652765"/>
                                                </a:lnTo>
                                                <a:lnTo>
                                                  <a:pt x="1591380" y="924971"/>
                                                </a:lnTo>
                                                <a:lnTo>
                                                  <a:pt x="1226677" y="1154892"/>
                                                </a:lnTo>
                                                <a:lnTo>
                                                  <a:pt x="1152745" y="1194802"/>
                                                </a:lnTo>
                                                <a:lnTo>
                                                  <a:pt x="576554" y="1215676"/>
                                                </a:lnTo>
                                                <a:lnTo>
                                                  <a:pt x="130247" y="1059346"/>
                                                </a:lnTo>
                                                <a:lnTo>
                                                  <a:pt x="0" y="659593"/>
                                                </a:lnTo>
                                                <a:lnTo>
                                                  <a:pt x="197491" y="188473"/>
                                                </a:lnTo>
                                                <a:lnTo>
                                                  <a:pt x="467054" y="0"/>
                                                </a:lnTo>
                                                <a:close/>
                                              </a:path>
                                            </a:pathLst>
                                          </a:custGeom>
                                          <a:pattFill prst="pct20">
                                            <a:fgClr>
                                              <a:sysClr val="windowText" lastClr="000000">
                                                <a:lumMod val="50000"/>
                                                <a:lumOff val="50000"/>
                                              </a:sysClr>
                                            </a:fgClr>
                                            <a:bgClr>
                                              <a:srgbClr val="FFFFFF"/>
                                            </a:bgClr>
                                          </a:pattFill>
                                          <a:ln w="127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2078634919" name="2078634919 Grupo"/>
                                        <wpg:cNvGrpSpPr/>
                                        <wpg:grpSpPr>
                                          <a:xfrm>
                                            <a:off x="178130" y="201881"/>
                                            <a:ext cx="987635" cy="810936"/>
                                            <a:chOff x="-93345" y="-51142"/>
                                            <a:chExt cx="987635" cy="810936"/>
                                          </a:xfrm>
                                        </wpg:grpSpPr>
                                        <wps:wsp>
                                          <wps:cNvPr id="2078634920" name="2078634920 Cuadro de texto"/>
                                          <wps:cNvSpPr txBox="1"/>
                                          <wps:spPr>
                                            <a:xfrm>
                                              <a:off x="-93345" y="216217"/>
                                              <a:ext cx="175895" cy="175895"/>
                                            </a:xfrm>
                                            <a:prstGeom prst="rect">
                                              <a:avLst/>
                                            </a:prstGeom>
                                            <a:noFill/>
                                            <a:ln w="6350">
                                              <a:noFill/>
                                            </a:ln>
                                            <a:effectLst/>
                                          </wps:spPr>
                                          <wps:txbx>
                                            <w:txbxContent>
                                              <w:p w14:paraId="45F69D45" w14:textId="77777777" w:rsidR="00D55F13" w:rsidRPr="00394D50" w:rsidRDefault="00D55F13" w:rsidP="0065023A">
                                                <w:pPr>
                                                  <w:jc w:val="center"/>
                                                  <w:rPr>
                                                    <w:color w:val="0D0D0D" w:themeColor="text1" w:themeTint="F2"/>
                                                    <w:sz w:val="20"/>
                                                    <w:szCs w:val="20"/>
                                                  </w:rPr>
                                                </w:pPr>
                                                <w:r w:rsidRPr="00394D50">
                                                  <w:rPr>
                                                    <w:color w:val="0D0D0D" w:themeColor="text1" w:themeTint="F2"/>
                                                    <w:sz w:val="20"/>
                                                    <w:szCs w:val="20"/>
                                                  </w:rPr>
                                                  <w:t>A</w:t>
                                                </w:r>
                                                <w:r w:rsidRPr="00394D50">
                                                  <w:rPr>
                                                    <w:color w:val="0D0D0D" w:themeColor="text1" w:themeTint="F2"/>
                                                    <w:sz w:val="20"/>
                                                    <w:szCs w:val="20"/>
                                                    <w:vertAlign w:val="subscript"/>
                                                  </w:rPr>
                                                  <w:t>1</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g:grpSp>
                                          <wpg:cNvPr id="2078634921" name="2078634921 Grupo"/>
                                          <wpg:cNvGrpSpPr/>
                                          <wpg:grpSpPr>
                                            <a:xfrm>
                                              <a:off x="622935" y="235267"/>
                                              <a:ext cx="271355" cy="524527"/>
                                              <a:chOff x="241935" y="-26670"/>
                                              <a:chExt cx="271355" cy="524527"/>
                                            </a:xfrm>
                                          </wpg:grpSpPr>
                                          <wps:wsp>
                                            <wps:cNvPr id="2078634922" name="2078634922 Cuadro de texto"/>
                                            <wps:cNvSpPr txBox="1"/>
                                            <wps:spPr>
                                              <a:xfrm>
                                                <a:off x="337395" y="321962"/>
                                                <a:ext cx="175895" cy="175895"/>
                                              </a:xfrm>
                                              <a:prstGeom prst="rect">
                                                <a:avLst/>
                                              </a:prstGeom>
                                              <a:noFill/>
                                              <a:ln w="6350">
                                                <a:noFill/>
                                              </a:ln>
                                              <a:effectLst/>
                                            </wps:spPr>
                                            <wps:txbx>
                                              <w:txbxContent>
                                                <w:p w14:paraId="20FC3E41" w14:textId="77777777" w:rsidR="00D55F13" w:rsidRPr="00394D50" w:rsidRDefault="00D55F13" w:rsidP="0065023A">
                                                  <w:pPr>
                                                    <w:jc w:val="center"/>
                                                    <w:rPr>
                                                      <w:color w:val="0D0D0D" w:themeColor="text1" w:themeTint="F2"/>
                                                      <w:sz w:val="20"/>
                                                      <w:szCs w:val="20"/>
                                                    </w:rPr>
                                                  </w:pPr>
                                                  <w:r w:rsidRPr="00394D50">
                                                    <w:rPr>
                                                      <w:color w:val="0D0D0D" w:themeColor="text1" w:themeTint="F2"/>
                                                      <w:sz w:val="20"/>
                                                      <w:szCs w:val="20"/>
                                                    </w:rPr>
                                                    <w:t>E</w:t>
                                                  </w:r>
                                                  <w:r w:rsidRPr="00394D50">
                                                    <w:rPr>
                                                      <w:color w:val="0D0D0D" w:themeColor="text1" w:themeTint="F2"/>
                                                      <w:sz w:val="20"/>
                                                      <w:szCs w:val="20"/>
                                                      <w:vertAlign w:val="subscript"/>
                                                    </w:rPr>
                                                    <w:t>1</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2078634923" name="2078634923 Cuadro de texto"/>
                                            <wps:cNvSpPr txBox="1"/>
                                            <wps:spPr>
                                              <a:xfrm>
                                                <a:off x="241935" y="-26670"/>
                                                <a:ext cx="175895" cy="175895"/>
                                              </a:xfrm>
                                              <a:prstGeom prst="rect">
                                                <a:avLst/>
                                              </a:prstGeom>
                                              <a:noFill/>
                                              <a:ln w="6350">
                                                <a:noFill/>
                                              </a:ln>
                                              <a:effectLst/>
                                            </wps:spPr>
                                            <wps:txbx>
                                              <w:txbxContent>
                                                <w:p w14:paraId="07ED0375" w14:textId="77777777" w:rsidR="00D55F13" w:rsidRPr="00394D50" w:rsidRDefault="00D55F13" w:rsidP="0065023A">
                                                  <w:pPr>
                                                    <w:jc w:val="center"/>
                                                    <w:rPr>
                                                      <w:color w:val="0D0D0D" w:themeColor="text1" w:themeTint="F2"/>
                                                      <w:sz w:val="20"/>
                                                      <w:szCs w:val="20"/>
                                                    </w:rPr>
                                                  </w:pPr>
                                                  <w:r w:rsidRPr="00394D50">
                                                    <w:rPr>
                                                      <w:color w:val="0D0D0D" w:themeColor="text1" w:themeTint="F2"/>
                                                      <w:sz w:val="20"/>
                                                      <w:szCs w:val="20"/>
                                                    </w:rPr>
                                                    <w:t>D</w:t>
                                                  </w:r>
                                                  <w:r w:rsidRPr="00394D50">
                                                    <w:rPr>
                                                      <w:color w:val="0D0D0D" w:themeColor="text1" w:themeTint="F2"/>
                                                      <w:sz w:val="20"/>
                                                      <w:szCs w:val="20"/>
                                                      <w:vertAlign w:val="subscript"/>
                                                    </w:rPr>
                                                    <w:t>1</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g:grpSp>
                                        <wps:wsp>
                                          <wps:cNvPr id="2078634924" name="2078634924 Cuadro de texto"/>
                                          <wps:cNvSpPr txBox="1"/>
                                          <wps:spPr>
                                            <a:xfrm>
                                              <a:off x="412356" y="-51142"/>
                                              <a:ext cx="175895" cy="175895"/>
                                            </a:xfrm>
                                            <a:prstGeom prst="rect">
                                              <a:avLst/>
                                            </a:prstGeom>
                                            <a:noFill/>
                                            <a:ln w="6350">
                                              <a:noFill/>
                                            </a:ln>
                                            <a:effectLst/>
                                          </wps:spPr>
                                          <wps:txbx>
                                            <w:txbxContent>
                                              <w:p w14:paraId="2AAA49B1" w14:textId="77777777" w:rsidR="00D55F13" w:rsidRPr="00394D50" w:rsidRDefault="00D55F13" w:rsidP="0065023A">
                                                <w:pPr>
                                                  <w:jc w:val="center"/>
                                                  <w:rPr>
                                                    <w:color w:val="0D0D0D" w:themeColor="text1" w:themeTint="F2"/>
                                                    <w:sz w:val="20"/>
                                                    <w:szCs w:val="20"/>
                                                  </w:rPr>
                                                </w:pPr>
                                                <w:r w:rsidRPr="00394D50">
                                                  <w:rPr>
                                                    <w:color w:val="0D0D0D" w:themeColor="text1" w:themeTint="F2"/>
                                                    <w:sz w:val="20"/>
                                                    <w:szCs w:val="20"/>
                                                  </w:rPr>
                                                  <w:t>B</w:t>
                                                </w:r>
                                                <w:r w:rsidRPr="00394D50">
                                                  <w:rPr>
                                                    <w:color w:val="0D0D0D" w:themeColor="text1" w:themeTint="F2"/>
                                                    <w:sz w:val="20"/>
                                                    <w:szCs w:val="20"/>
                                                    <w:vertAlign w:val="subscript"/>
                                                  </w:rPr>
                                                  <w:t>2</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g:grpSp>
                                    </wpg:grpSp>
                                  </wpg:grpSp>
                                </wpg:grpSp>
                              </wpg:grpSp>
                              <wpg:grpSp>
                                <wpg:cNvPr id="2078634925" name="2078634925 Grupo"/>
                                <wpg:cNvGrpSpPr/>
                                <wpg:grpSpPr>
                                  <a:xfrm>
                                    <a:off x="1063256" y="956931"/>
                                    <a:ext cx="137287" cy="210380"/>
                                    <a:chOff x="0" y="0"/>
                                    <a:chExt cx="137287" cy="210439"/>
                                  </a:xfrm>
                                </wpg:grpSpPr>
                                <wps:wsp>
                                  <wps:cNvPr id="2078634926" name="2605 Conector"/>
                                  <wps:cNvSpPr/>
                                  <wps:spPr>
                                    <a:xfrm>
                                      <a:off x="73152" y="146304"/>
                                      <a:ext cx="64135" cy="64135"/>
                                    </a:xfrm>
                                    <a:prstGeom prst="flowChartConnector">
                                      <a:avLst/>
                                    </a:prstGeom>
                                    <a:solidFill>
                                      <a:schemeClr val="tx1">
                                        <a:lumMod val="95000"/>
                                        <a:lumOff val="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78634927" name="2604 Cuadro de texto"/>
                                  <wps:cNvSpPr txBox="1"/>
                                  <wps:spPr>
                                    <a:xfrm>
                                      <a:off x="0" y="0"/>
                                      <a:ext cx="62865" cy="14859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1D9C8E4" w14:textId="77777777" w:rsidR="00D55F13" w:rsidRPr="00394D50" w:rsidRDefault="00D55F13" w:rsidP="0065023A">
                                        <w:pPr>
                                          <w:rPr>
                                            <w:i/>
                                          </w:rPr>
                                        </w:pPr>
                                        <w:r w:rsidRPr="00394D50">
                                          <w:rPr>
                                            <w:i/>
                                          </w:rPr>
                                          <w:t>i</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g:grpSp>
                            </wpg:grpSp>
                            <wpg:grpSp>
                              <wpg:cNvPr id="2078634928" name="2078634928 Grupo"/>
                              <wpg:cNvGrpSpPr/>
                              <wpg:grpSpPr>
                                <a:xfrm>
                                  <a:off x="3700130" y="988828"/>
                                  <a:ext cx="137287" cy="210380"/>
                                  <a:chOff x="0" y="0"/>
                                  <a:chExt cx="137287" cy="210439"/>
                                </a:xfrm>
                              </wpg:grpSpPr>
                              <wps:wsp>
                                <wps:cNvPr id="2078634929" name="2605 Conector"/>
                                <wps:cNvSpPr/>
                                <wps:spPr>
                                  <a:xfrm>
                                    <a:off x="73152" y="146304"/>
                                    <a:ext cx="64135" cy="64135"/>
                                  </a:xfrm>
                                  <a:prstGeom prst="flowChartConnector">
                                    <a:avLst/>
                                  </a:prstGeom>
                                  <a:solidFill>
                                    <a:schemeClr val="tx1">
                                      <a:lumMod val="95000"/>
                                      <a:lumOff val="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78634930" name="2604 Cuadro de texto"/>
                                <wps:cNvSpPr txBox="1"/>
                                <wps:spPr>
                                  <a:xfrm>
                                    <a:off x="0" y="0"/>
                                    <a:ext cx="62865" cy="14859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AFCB881" w14:textId="77777777" w:rsidR="00D55F13" w:rsidRPr="00394D50" w:rsidRDefault="00D55F13" w:rsidP="0065023A">
                                      <w:pPr>
                                        <w:rPr>
                                          <w:i/>
                                        </w:rPr>
                                      </w:pPr>
                                      <w:r w:rsidRPr="00394D50">
                                        <w:rPr>
                                          <w:i/>
                                        </w:rPr>
                                        <w:t>i</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g:grpSp>
                          </wpg:grpSp>
                          <wpg:grpSp>
                            <wpg:cNvPr id="2078634931" name="2078634931 Grupo"/>
                            <wpg:cNvGrpSpPr/>
                            <wpg:grpSpPr>
                              <a:xfrm>
                                <a:off x="3657600" y="3083442"/>
                                <a:ext cx="137287" cy="203067"/>
                                <a:chOff x="0" y="0"/>
                                <a:chExt cx="137287" cy="203124"/>
                              </a:xfrm>
                            </wpg:grpSpPr>
                            <wps:wsp>
                              <wps:cNvPr id="2078634932" name="2605 Conector"/>
                              <wps:cNvSpPr/>
                              <wps:spPr>
                                <a:xfrm>
                                  <a:off x="73152" y="138989"/>
                                  <a:ext cx="64135" cy="64135"/>
                                </a:xfrm>
                                <a:prstGeom prst="flowChartConnector">
                                  <a:avLst/>
                                </a:prstGeom>
                                <a:solidFill>
                                  <a:schemeClr val="tx1">
                                    <a:lumMod val="95000"/>
                                    <a:lumOff val="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78634933" name="2604 Cuadro de texto"/>
                              <wps:cNvSpPr txBox="1"/>
                              <wps:spPr>
                                <a:xfrm>
                                  <a:off x="0" y="0"/>
                                  <a:ext cx="62865" cy="14859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C3F195C" w14:textId="77777777" w:rsidR="00D55F13" w:rsidRPr="00394D50" w:rsidRDefault="00D55F13" w:rsidP="0065023A">
                                    <w:pPr>
                                      <w:rPr>
                                        <w:i/>
                                      </w:rPr>
                                    </w:pPr>
                                    <w:r w:rsidRPr="00394D50">
                                      <w:rPr>
                                        <w:i/>
                                      </w:rPr>
                                      <w:t>i</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g:grpSp>
                        </wpg:grpSp>
                        <wps:wsp>
                          <wps:cNvPr id="2078634934" name="2078634934 Cuadro de texto"/>
                          <wps:cNvSpPr txBox="1"/>
                          <wps:spPr>
                            <a:xfrm>
                              <a:off x="978196" y="3062177"/>
                              <a:ext cx="212725" cy="171396"/>
                            </a:xfrm>
                            <a:prstGeom prst="rect">
                              <a:avLst/>
                            </a:prstGeom>
                            <a:noFill/>
                            <a:ln w="6350">
                              <a:noFill/>
                            </a:ln>
                            <a:effectLst/>
                          </wps:spPr>
                          <wps:txbx>
                            <w:txbxContent>
                              <w:p w14:paraId="2BBCB8DD" w14:textId="77777777" w:rsidR="00D55F13" w:rsidRPr="00394D50" w:rsidRDefault="00D55F13" w:rsidP="0065023A">
                                <w:pPr>
                                  <w:jc w:val="center"/>
                                  <w:rPr>
                                    <w:i/>
                                  </w:rPr>
                                </w:pPr>
                                <w:r w:rsidRPr="00394D50">
                                  <w:rPr>
                                    <w:i/>
                                  </w:rPr>
                                  <w:t>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s:wsp>
                        <wps:cNvPr id="2078634935" name="2078634935 Cuadro de texto"/>
                        <wps:cNvSpPr txBox="1"/>
                        <wps:spPr>
                          <a:xfrm>
                            <a:off x="3625703" y="3583172"/>
                            <a:ext cx="231800" cy="231705"/>
                          </a:xfrm>
                          <a:prstGeom prst="rect">
                            <a:avLst/>
                          </a:prstGeom>
                          <a:noFill/>
                          <a:ln w="6350">
                            <a:noFill/>
                          </a:ln>
                          <a:effectLst/>
                        </wps:spPr>
                        <wps:txbx>
                          <w:txbxContent>
                            <w:p w14:paraId="020CB2FB" w14:textId="77777777" w:rsidR="00D55F13" w:rsidRPr="00394D50" w:rsidRDefault="00D55F13" w:rsidP="0065023A">
                              <w:pPr>
                                <w:jc w:val="center"/>
                                <w:rPr>
                                  <w:color w:val="0D0D0D" w:themeColor="text1" w:themeTint="F2"/>
                                  <w:sz w:val="20"/>
                                  <w:szCs w:val="20"/>
                                </w:rPr>
                              </w:pPr>
                              <w:r w:rsidRPr="00394D50">
                                <w:rPr>
                                  <w:color w:val="0D0D0D" w:themeColor="text1" w:themeTint="F2"/>
                                  <w:sz w:val="20"/>
                                  <w:szCs w:val="20"/>
                                </w:rPr>
                                <w:t>E</w:t>
                              </w:r>
                              <w:r w:rsidRPr="00394D50">
                                <w:rPr>
                                  <w:color w:val="0D0D0D" w:themeColor="text1" w:themeTint="F2"/>
                                  <w:sz w:val="20"/>
                                  <w:szCs w:val="20"/>
                                  <w:vertAlign w:val="subscript"/>
                                </w:rPr>
                                <w:t>2</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g:wgp>
                  </a:graphicData>
                </a:graphic>
              </wp:anchor>
            </w:drawing>
          </mc:Choice>
          <mc:Fallback>
            <w:pict>
              <v:group w14:anchorId="3E6CAE89" id="2675 Grupo" o:spid="_x0000_s1219" style="position:absolute;left:0;text-align:left;margin-left:34.9pt;margin-top:18.55pt;width:409.5pt;height:318.45pt;z-index:251652608;mso-position-horizontal-relative:text;mso-position-vertical-relative:text" coordsize="52012,404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">
                <v:group id="2676 Grupo" o:spid="_x0000_s1220" style="position:absolute;width:52012;height:40445" coordsize="52012,404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">
                  <v:group id="2677 Grupo" o:spid="_x0000_s1221" style="position:absolute;width:52012;height:40445" coordsize="52012,404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">
                    <v:group id="2678 Grupo" o:spid="_x0000_s1222" style="position:absolute;width:52012;height:40445" coordsize="52012,404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">
                      <v:group id="2679 Grupo" o:spid="_x0000_s1223" style="position:absolute;width:52012;height:40445" coordsize="52012,404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">
                        <v:group id="2680 Grupo" o:spid="_x0000_s1224" style="position:absolute;width:52012;height:40445" coordsize="52012,404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">
                          <v:group id="2681 Grupo" o:spid="_x0000_s1225" style="position:absolute;width:52012;height:40445" coordsize="52012,404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">
                            <v:rect id="2682 Rectángulo" o:spid="_x0000_s1226" style="position:absolute;top:20859;width:25527;height:19586;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" filled="f" strokecolor="#0d0d0d" strokeweight=".5pt">
                              <v:textbox inset="0,0,0,0">
                                <w:txbxContent>
                                  <w:p w14:paraId="45511191" w14:textId="77777777" w:rsidR="00D55F13" w:rsidRPr="00394D50" w:rsidRDefault="00D55F13" w:rsidP="0065023A">
                                    <w:pPr>
                                      <w:rPr>
                                        <w:b/>
                                        <w:color w:val="0D0D0D" w:themeColor="text1" w:themeTint="F2"/>
                                      </w:rPr>
                                    </w:pPr>
                                    <w:r w:rsidRPr="00394D50">
                                      <w:rPr>
                                        <w:color w:val="0D0D0D" w:themeColor="text1" w:themeTint="F2"/>
                                      </w:rPr>
                                      <w:t xml:space="preserve">  </w:t>
                                    </w:r>
                                    <w:r w:rsidRPr="00394D50">
                                      <w:rPr>
                                        <w:b/>
                                        <w:color w:val="0D0D0D" w:themeColor="text1" w:themeTint="F2"/>
                                      </w:rPr>
                                      <w:t>3</w:t>
                                    </w:r>
                                  </w:p>
                                </w:txbxContent>
                              </v:textbox>
                            </v:rect>
                            <v:rect id="2683 Rectángulo" o:spid="_x0000_s1227" style="position:absolute;left:26479;top:20859;width:25527;height:19586;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" filled="f" strokecolor="#0d0d0d" strokeweight=".5pt">
                              <v:textbox inset="0,0,0,0">
                                <w:txbxContent>
                                  <w:p w14:paraId="521BD1B3" w14:textId="77777777" w:rsidR="00D55F13" w:rsidRPr="00394D50" w:rsidRDefault="00D55F13" w:rsidP="0065023A">
                                    <w:pPr>
                                      <w:rPr>
                                        <w:b/>
                                        <w:color w:val="0D0D0D" w:themeColor="text1" w:themeTint="F2"/>
                                      </w:rPr>
                                    </w:pPr>
                                    <w:r w:rsidRPr="00394D50">
                                      <w:rPr>
                                        <w:color w:val="0D0D0D" w:themeColor="text1" w:themeTint="F2"/>
                                      </w:rPr>
                                      <w:t xml:space="preserve">  </w:t>
                                    </w:r>
                                    <w:r w:rsidRPr="00394D50">
                                      <w:rPr>
                                        <w:b/>
                                        <w:color w:val="0D0D0D" w:themeColor="text1" w:themeTint="F2"/>
                                      </w:rPr>
                                      <w:t>4</w:t>
                                    </w:r>
                                  </w:p>
                                </w:txbxContent>
                              </v:textbox>
                            </v:rect>
                            <v:group id="2684 Grupo" o:spid="_x0000_s1228" style="position:absolute;width:52012;height:19592" coordsize="52012,195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">
                              <v:group id="2685 Grupo" o:spid="_x0000_s1229" style="position:absolute;width:25532;height:19592" coordsize="25546,196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">
                                <v:rect id="2686 Rectángulo" o:spid="_x0000_s1230" style="position:absolute;width:25546;height:19609;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" filled="f" strokecolor="#0d0d0d" strokeweight=".5pt">
                                  <v:textbox inset="0,0,0,0">
                                    <w:txbxContent>
                                      <w:p w14:paraId="10489AB2" w14:textId="77777777" w:rsidR="00D55F13" w:rsidRPr="00394D50" w:rsidRDefault="00D55F13" w:rsidP="0065023A">
                                        <w:pPr>
                                          <w:rPr>
                                            <w:b/>
                                            <w:color w:val="0D0D0D" w:themeColor="text1" w:themeTint="F2"/>
                                          </w:rPr>
                                        </w:pPr>
                                        <w:r w:rsidRPr="00394D50">
                                          <w:rPr>
                                            <w:color w:val="0D0D0D" w:themeColor="text1" w:themeTint="F2"/>
                                          </w:rPr>
                                          <w:t xml:space="preserve">  </w:t>
                                        </w:r>
                                        <w:r w:rsidRPr="00394D50">
                                          <w:rPr>
                                            <w:b/>
                                            <w:color w:val="0D0D0D" w:themeColor="text1" w:themeTint="F2"/>
                                          </w:rPr>
                                          <w:t>1</w:t>
                                        </w:r>
                                      </w:p>
                                    </w:txbxContent>
                                  </v:textbox>
                                </v:rect>
                                <v:group id="2687 Grupo" o:spid="_x0000_s1231" style="position:absolute;left:545;top:477;width:24579;height:17249" coordsize="18637,13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">
                                  <v:shape id="2752 Forma libre" o:spid="_x0000_s1232" style="position:absolute;left:6001;top:3742;width:7716;height:6001;visibility:visible;mso-wrap-style:square;v-text-anchor:middle" coordsize="771525,6000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" adj="-11796480,,5400" path="m,l365760,171450,771525,129540,706755,365760,93345,600075,,xe" fillcolor="#00b0f0" stroked="f" strokeweight="2pt">
                                    <v:stroke joinstyle="miter"/>
                                    <v:formulas/>
                                    <v:path arrowok="t" o:connecttype="custom" o:connectlocs="0,0;365760,171450;771525,129540;706755,365760;93345,600075;0,0" o:connectangles="0,0,0,0,0,0" textboxrect="0,0,771525,600075"/>
                                    <v:textbox>
                                      <w:txbxContent>
                                        <w:p w14:paraId="4C6349E6" w14:textId="77777777" w:rsidR="00D55F13" w:rsidRPr="00394D50" w:rsidRDefault="00D55F13" w:rsidP="0065023A">
                                          <w:pPr>
                                            <w:jc w:val="center"/>
                                            <w:rPr>
                                              <w:color w:val="0D0D0D" w:themeColor="text1" w:themeTint="F2"/>
                                              <w:sz w:val="20"/>
                                              <w:szCs w:val="16"/>
                                            </w:rPr>
                                          </w:pPr>
                                          <w:r w:rsidRPr="00394D50">
                                            <w:rPr>
                                              <w:color w:val="0D0D0D" w:themeColor="text1" w:themeTint="F2"/>
                                              <w:sz w:val="20"/>
                                              <w:szCs w:val="16"/>
                                            </w:rPr>
                                            <w:t>D</w:t>
                                          </w:r>
                                        </w:p>
                                      </w:txbxContent>
                                    </v:textbox>
                                  </v:shape>
                                  <v:group id="2753 Grupo" o:spid="_x0000_s1233" style="position:absolute;width:18637;height:13078" coordsize="18637,13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">
                                    <v:group id="2754 Grupo" o:spid="_x0000_s1234" style="position:absolute;width:18637;height:13074" coordsize="18642,130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">
                                      <v:shape id="2755 Forma libre" o:spid="_x0000_s1235" style="position:absolute;left:5748;width:10863;height:5474;visibility:visible;mso-wrap-style:square;v-text-anchor:middle" coordsize="1086273,54744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" adj="-11796480,,5400" path="m,371216l385465,547446,796644,504782,833882,206877,1086273,99301,420127,,,371216xe" fillcolor="#ffc000" stroked="f" strokeweight="2pt">
                                        <v:stroke joinstyle="miter"/>
                                        <v:formulas/>
                                        <v:path arrowok="t" o:connecttype="custom" o:connectlocs="0,371190;385460,547408;796634,504747;833871,206863;1086259,99294;420122,0;0,371190" o:connectangles="0,0,0,0,0,0,0" textboxrect="0,0,1086273,547446"/>
                                        <v:textbox>
                                          <w:txbxContent>
                                            <w:p w14:paraId="1816CEFB" w14:textId="77777777" w:rsidR="00D55F13" w:rsidRPr="00394D50" w:rsidRDefault="00D55F13" w:rsidP="0065023A">
                                              <w:pPr>
                                                <w:rPr>
                                                  <w:color w:val="0D0D0D" w:themeColor="text1" w:themeTint="F2"/>
                                                  <w:sz w:val="20"/>
                                                  <w:szCs w:val="16"/>
                                                </w:rPr>
                                              </w:pPr>
                                              <w:r w:rsidRPr="00394D50">
                                                <w:rPr>
                                                  <w:color w:val="0D0D0D" w:themeColor="text1" w:themeTint="F2"/>
                                                  <w:sz w:val="20"/>
                                                  <w:szCs w:val="16"/>
                                                </w:rPr>
                                                <w:t xml:space="preserve">           B</w:t>
                                              </w:r>
                                            </w:p>
                                          </w:txbxContent>
                                        </v:textbox>
                                      </v:shape>
                                      <v:shape id="2756 Forma libre" o:spid="_x0000_s1236" style="position:absolute;width:9930;height:13074;visibility:visible;mso-wrap-style:square;v-text-anchor:middle" coordsize="993014,130746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" adj="-11796480,,5400" path="m471682,86888l198603,281353,,753035r132402,397205l575121,1307467,695110,976463,599946,368242,993014,,471682,86888xe" fillcolor="#f30" stroked="f" strokeweight="2pt">
                                        <v:stroke joinstyle="miter"/>
                                        <v:formulas/>
                                        <v:path arrowok="t" o:connecttype="custom" o:connectlocs="471682,86888;198603,281353;0,753035;132402,1150240;575121,1307467;695110,976463;599946,368242;993014,0;471682,86888" o:connectangles="0,0,0,0,0,0,0,0,0" textboxrect="0,0,993014,1307467"/>
                                        <v:textbox>
                                          <w:txbxContent>
                                            <w:p w14:paraId="3E0F1F2B" w14:textId="77777777" w:rsidR="00D55F13" w:rsidRPr="00394D50" w:rsidRDefault="00D55F13" w:rsidP="0065023A">
                                              <w:pPr>
                                                <w:rPr>
                                                  <w:color w:val="0D0D0D" w:themeColor="text1" w:themeTint="F2"/>
                                                  <w:sz w:val="20"/>
                                                  <w:szCs w:val="16"/>
                                                </w:rPr>
                                              </w:pPr>
                                              <w:r w:rsidRPr="00394D50">
                                                <w:rPr>
                                                  <w:color w:val="0D0D0D" w:themeColor="text1" w:themeTint="F2"/>
                                                  <w:sz w:val="20"/>
                                                  <w:szCs w:val="16"/>
                                                </w:rPr>
                                                <w:t xml:space="preserve">      A</w:t>
                                              </w:r>
                                            </w:p>
                                          </w:txbxContent>
                                        </v:textbox>
                                      </v:shape>
                                      <v:shape id="2757 Forma libre" o:spid="_x0000_s1237" style="position:absolute;left:13030;top:950;width:5612;height:9294;visibility:visible;mso-wrap-style:square;v-text-anchor:middle" coordsize="561203,92937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" adj="-11796480,,5400" path="m357902,l561203,472172,291782,929372,,644317,65903,409579,104030,105528,357902,xe" fillcolor="#d60093" stroked="f" strokeweight="2pt">
                                        <v:stroke joinstyle="miter"/>
                                        <v:formulas/>
                                        <v:path arrowok="t" o:connecttype="custom" o:connectlocs="357902,0;561203,472172;291782,929372;0,644317;65903,409579;104030,105528;357902,0" o:connectangles="0,0,0,0,0,0,0" textboxrect="0,0,561203,929372"/>
                                        <v:textbox>
                                          <w:txbxContent>
                                            <w:p w14:paraId="652B7FFF" w14:textId="77777777" w:rsidR="00D55F13" w:rsidRPr="00394D50" w:rsidRDefault="00D55F13" w:rsidP="0065023A">
                                              <w:pPr>
                                                <w:jc w:val="center"/>
                                                <w:rPr>
                                                  <w:color w:val="0D0D0D" w:themeColor="text1" w:themeTint="F2"/>
                                                  <w:sz w:val="20"/>
                                                  <w:szCs w:val="16"/>
                                                </w:rPr>
                                              </w:pPr>
                                              <w:r w:rsidRPr="00394D50">
                                                <w:rPr>
                                                  <w:color w:val="0D0D0D" w:themeColor="text1" w:themeTint="F2"/>
                                                  <w:sz w:val="20"/>
                                                  <w:szCs w:val="16"/>
                                                </w:rPr>
                                                <w:t>C</w:t>
                                              </w:r>
                                            </w:p>
                                          </w:txbxContent>
                                        </v:textbox>
                                      </v:shape>
                                    </v:group>
                                    <v:shape id="2758 Forma libre" o:spid="_x0000_s1238" style="position:absolute;left:5719;top:7414;width:10198;height:5664;visibility:visible;mso-wrap-style:square;v-text-anchor:middle" coordsize="1019763,5664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" adj="-11796480,,5400" path="m,566420l122508,230505,732108,r287655,281940l577803,550545,,566420xe" fillcolor="#92d050" stroked="f" strokeweight="2pt">
                                      <v:stroke joinstyle="miter"/>
                                      <v:formulas/>
                                      <v:path arrowok="t" o:connecttype="custom" o:connectlocs="0,566420;122508,230505;732108,0;1019763,281940;577803,550545;0,566420" o:connectangles="0,0,0,0,0,0" textboxrect="0,0,1019763,566420"/>
                                      <v:textbox>
                                        <w:txbxContent>
                                          <w:p w14:paraId="50DA4F80" w14:textId="77777777" w:rsidR="00D55F13" w:rsidRPr="00394D50" w:rsidRDefault="00D55F13" w:rsidP="0065023A">
                                            <w:pPr>
                                              <w:jc w:val="center"/>
                                              <w:rPr>
                                                <w:color w:val="0D0D0D" w:themeColor="text1" w:themeTint="F2"/>
                                                <w:sz w:val="20"/>
                                                <w:szCs w:val="16"/>
                                              </w:rPr>
                                            </w:pPr>
                                            <w:r w:rsidRPr="00394D50">
                                              <w:rPr>
                                                <w:color w:val="0D0D0D" w:themeColor="text1" w:themeTint="F2"/>
                                                <w:sz w:val="20"/>
                                                <w:szCs w:val="16"/>
                                              </w:rPr>
                                              <w:t>E</w:t>
                                            </w:r>
                                          </w:p>
                                        </w:txbxContent>
                                      </v:textbox>
                                    </v:shape>
                                  </v:group>
                                </v:group>
                              </v:group>
                              <v:group id="2759 Grupo" o:spid="_x0000_s1239" style="position:absolute;left:26479;width:25533;height:19592" coordsize="25546,196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">
                                <v:rect id="2760 Rectángulo" o:spid="_x0000_s1240" style="position:absolute;width:25546;height:19609;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" filled="f" strokecolor="#0d0d0d" strokeweight=".5pt">
                                  <v:textbox inset="0,0,0,0">
                                    <w:txbxContent>
                                      <w:p w14:paraId="6228B09F" w14:textId="77777777" w:rsidR="00D55F13" w:rsidRPr="00394D50" w:rsidRDefault="00D55F13" w:rsidP="0065023A">
                                        <w:pPr>
                                          <w:rPr>
                                            <w:b/>
                                            <w:color w:val="0D0D0D" w:themeColor="text1" w:themeTint="F2"/>
                                          </w:rPr>
                                        </w:pPr>
                                        <w:r w:rsidRPr="00394D50">
                                          <w:rPr>
                                            <w:color w:val="0D0D0D" w:themeColor="text1" w:themeTint="F2"/>
                                          </w:rPr>
                                          <w:t xml:space="preserve">  </w:t>
                                        </w:r>
                                        <w:r w:rsidRPr="00394D50">
                                          <w:rPr>
                                            <w:b/>
                                            <w:color w:val="0D0D0D" w:themeColor="text1" w:themeTint="F2"/>
                                          </w:rPr>
                                          <w:t>2</w:t>
                                        </w:r>
                                      </w:p>
                                    </w:txbxContent>
                                  </v:textbox>
                                </v:rect>
                                <v:group id="2761 Grupo" o:spid="_x0000_s1241" style="position:absolute;left:544;top:544;width:24578;height:17248" coordsize="24578,172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">
                                  <v:group id="2762 Grupo" o:spid="_x0000_s1242" style="position:absolute;width:24578;height:17248" coordsize="18637,130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">
                                    <v:group id="2763 Grupo" o:spid="_x0000_s1243" style="position:absolute;width:18637;height:13074" coordsize="18637,13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">
                                      <v:shape id="2764 Forma libre" o:spid="_x0000_s1244" style="position:absolute;left:6001;top:3742;width:7716;height:6001;visibility:visible;mso-wrap-style:square;v-text-anchor:middle" coordsize="771525,6000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" adj="-11796480,,5400" path="m,l365760,171450,771525,129540,706755,365760,93345,600075,,xe" fillcolor="#00b0f0" stroked="f" strokeweight="2pt">
                                        <v:stroke joinstyle="miter"/>
                                        <v:formulas/>
                                        <v:path arrowok="t" o:connecttype="custom" o:connectlocs="0,0;365760,171450;771525,129540;706755,365760;93345,600075;0,0" o:connectangles="0,0,0,0,0,0" textboxrect="0,0,771525,600075"/>
                                        <v:textbox>
                                          <w:txbxContent>
                                            <w:p w14:paraId="4E0CBCC5" w14:textId="77777777" w:rsidR="00D55F13" w:rsidRPr="00394D50" w:rsidRDefault="00D55F13" w:rsidP="0065023A">
                                              <w:pPr>
                                                <w:jc w:val="center"/>
                                                <w:rPr>
                                                  <w:color w:val="0D0D0D" w:themeColor="text1" w:themeTint="F2"/>
                                                  <w:sz w:val="20"/>
                                                  <w:szCs w:val="20"/>
                                                </w:rPr>
                                              </w:pPr>
                                              <w:r w:rsidRPr="00394D50">
                                                <w:rPr>
                                                  <w:color w:val="0D0D0D" w:themeColor="text1" w:themeTint="F2"/>
                                                  <w:sz w:val="20"/>
                                                  <w:szCs w:val="20"/>
                                                </w:rPr>
                                                <w:t>D</w:t>
                                              </w:r>
                                              <w:r w:rsidRPr="00394D50">
                                                <w:rPr>
                                                  <w:color w:val="0D0D0D" w:themeColor="text1" w:themeTint="F2"/>
                                                  <w:sz w:val="20"/>
                                                  <w:szCs w:val="20"/>
                                                  <w:vertAlign w:val="subscript"/>
                                                </w:rPr>
                                                <w:t>1</w:t>
                                              </w:r>
                                            </w:p>
                                          </w:txbxContent>
                                        </v:textbox>
                                      </v:shape>
                                      <v:group id="2765 Grupo" o:spid="_x0000_s1245" style="position:absolute;width:18637;height:13078" coordsize="18637,13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">
                                        <v:group id="2766 Grupo" o:spid="_x0000_s1246" style="position:absolute;width:18637;height:13074" coordsize="18642,130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">
                                          <v:shape id="2767 Forma libre" o:spid="_x0000_s1247" style="position:absolute;left:13030;top:950;width:5612;height:9294;visibility:visible;mso-wrap-style:square;v-text-anchor:middle" coordsize="561203,92937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" adj="-11796480,,5400" path="m357902,l561203,472172,291782,929372,,644317,65903,409579,104030,105528,357902,xe" fillcolor="#d60093" stroked="f" strokeweight="2pt">
                                            <v:stroke joinstyle="miter"/>
                                            <v:formulas/>
                                            <v:path arrowok="t" o:connecttype="custom" o:connectlocs="357902,0;561203,472172;291782,929372;0,644317;65903,409579;104030,105528;357902,0" o:connectangles="0,0,0,0,0,0,0" textboxrect="0,0,561203,929372"/>
                                            <v:textbox>
                                              <w:txbxContent>
                                                <w:p w14:paraId="59B2B8D1" w14:textId="77777777" w:rsidR="00D55F13" w:rsidRPr="00394D50" w:rsidRDefault="00D55F13" w:rsidP="0065023A">
                                                  <w:pPr>
                                                    <w:jc w:val="center"/>
                                                    <w:rPr>
                                                      <w:color w:val="0D0D0D" w:themeColor="text1" w:themeTint="F2"/>
                                                      <w:sz w:val="20"/>
                                                      <w:szCs w:val="20"/>
                                                    </w:rPr>
                                                  </w:pPr>
                                                  <w:r w:rsidRPr="00394D50">
                                                    <w:rPr>
                                                      <w:color w:val="0D0D0D" w:themeColor="text1" w:themeTint="F2"/>
                                                      <w:sz w:val="20"/>
                                                      <w:szCs w:val="20"/>
                                                    </w:rPr>
                                                    <w:t>C</w:t>
                                                  </w:r>
                                                </w:p>
                                              </w:txbxContent>
                                            </v:textbox>
                                          </v:shape>
                                          <v:shape id="2768 Forma libre" o:spid="_x0000_s1248" style="position:absolute;left:5748;width:10863;height:5474;visibility:visible;mso-wrap-style:square;v-text-anchor:middle" coordsize="1086273,54744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" adj="-11796480,,5400" path="m,371216l385465,547446,796644,504782,833882,206877,1086273,99301,420127,,,371216xe" fillcolor="#ffc000" stroked="f" strokeweight="2pt">
                                            <v:stroke joinstyle="miter"/>
                                            <v:formulas/>
                                            <v:path arrowok="t" o:connecttype="custom" o:connectlocs="0,371190;385460,547408;796634,504747;833871,206863;1086259,99294;420122,0;0,371190" o:connectangles="0,0,0,0,0,0,0" textboxrect="0,0,1086273,547446"/>
                                            <v:textbox>
                                              <w:txbxContent>
                                                <w:p w14:paraId="38690F4E" w14:textId="77777777" w:rsidR="00D55F13" w:rsidRPr="00394D50" w:rsidRDefault="00D55F13" w:rsidP="0065023A">
                                                  <w:pPr>
                                                    <w:rPr>
                                                      <w:color w:val="0D0D0D" w:themeColor="text1" w:themeTint="F2"/>
                                                      <w:sz w:val="20"/>
                                                      <w:szCs w:val="20"/>
                                                    </w:rPr>
                                                  </w:pPr>
                                                  <w:r w:rsidRPr="00394D50">
                                                    <w:rPr>
                                                      <w:color w:val="0D0D0D" w:themeColor="text1" w:themeTint="F2"/>
                                                      <w:sz w:val="20"/>
                                                      <w:szCs w:val="20"/>
                                                    </w:rPr>
                                                    <w:t xml:space="preserve">           B</w:t>
                                                  </w:r>
                                                  <w:r w:rsidRPr="00394D50">
                                                    <w:rPr>
                                                      <w:color w:val="0D0D0D" w:themeColor="text1" w:themeTint="F2"/>
                                                      <w:sz w:val="20"/>
                                                      <w:szCs w:val="20"/>
                                                      <w:vertAlign w:val="subscript"/>
                                                    </w:rPr>
                                                    <w:t>1</w:t>
                                                  </w:r>
                                                </w:p>
                                              </w:txbxContent>
                                            </v:textbox>
                                          </v:shape>
                                          <v:shape id="2769 Forma libre" o:spid="_x0000_s1249" style="position:absolute;width:9930;height:13074;visibility:visible;mso-wrap-style:square;v-text-anchor:middle" coordsize="993014,130746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" adj="-11796480,,5400" path="m471682,86888l198603,281353,,753035r132402,397205l575121,1307467,695110,976463,599946,368242,993014,,471682,86888xe" fillcolor="#f30" stroked="f" strokeweight="2pt">
                                            <v:stroke joinstyle="miter"/>
                                            <v:formulas/>
                                            <v:path arrowok="t" o:connecttype="custom" o:connectlocs="471682,86888;198603,281353;0,753035;132402,1150240;575121,1307467;695110,976463;599946,368242;993014,0;471682,86888" o:connectangles="0,0,0,0,0,0,0,0,0" textboxrect="0,0,993014,1307467"/>
                                            <v:textbox>
                                              <w:txbxContent>
                                                <w:p w14:paraId="317CF3F6" w14:textId="77777777" w:rsidR="00D55F13" w:rsidRPr="00394D50" w:rsidRDefault="00D55F13" w:rsidP="0065023A">
                                                  <w:pPr>
                                                    <w:rPr>
                                                      <w:color w:val="0D0D0D" w:themeColor="text1" w:themeTint="F2"/>
                                                      <w:sz w:val="20"/>
                                                      <w:szCs w:val="20"/>
                                                    </w:rPr>
                                                  </w:pPr>
                                                  <w:r w:rsidRPr="00394D50">
                                                    <w:rPr>
                                                      <w:color w:val="0D0D0D" w:themeColor="text1" w:themeTint="F2"/>
                                                      <w:sz w:val="20"/>
                                                      <w:szCs w:val="20"/>
                                                    </w:rPr>
                                                    <w:t xml:space="preserve">      A</w:t>
                                                  </w:r>
                                                  <w:r w:rsidRPr="00394D50">
                                                    <w:rPr>
                                                      <w:color w:val="0D0D0D" w:themeColor="text1" w:themeTint="F2"/>
                                                      <w:sz w:val="20"/>
                                                      <w:szCs w:val="20"/>
                                                      <w:vertAlign w:val="subscript"/>
                                                    </w:rPr>
                                                    <w:t>1</w:t>
                                                  </w:r>
                                                </w:p>
                                              </w:txbxContent>
                                            </v:textbox>
                                          </v:shape>
                                        </v:group>
                                        <v:shape id="2770 Forma libre" o:spid="_x0000_s1250" style="position:absolute;left:5719;top:7414;width:10198;height:5664;visibility:visible;mso-wrap-style:square;v-text-anchor:middle" coordsize="1019763,5664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" adj="-11796480,,5400" path="m,566420l122508,230505,732108,r287655,281940l577803,550545,,566420xe" fillcolor="#92d050" stroked="f" strokeweight="2pt">
                                          <v:stroke joinstyle="miter"/>
                                          <v:formulas/>
                                          <v:path arrowok="t" o:connecttype="custom" o:connectlocs="0,566420;122508,230505;732108,0;1019763,281940;577803,550545;0,566420" o:connectangles="0,0,0,0,0,0" textboxrect="0,0,1019763,566420"/>
                                          <v:textbox>
                                            <w:txbxContent>
                                              <w:p w14:paraId="21A7E8EE" w14:textId="77777777" w:rsidR="00D55F13" w:rsidRPr="00394D50" w:rsidRDefault="00D55F13" w:rsidP="0065023A">
                                                <w:pPr>
                                                  <w:jc w:val="center"/>
                                                  <w:rPr>
                                                    <w:color w:val="0D0D0D" w:themeColor="text1" w:themeTint="F2"/>
                                                    <w:sz w:val="20"/>
                                                    <w:szCs w:val="20"/>
                                                  </w:rPr>
                                                </w:pPr>
                                                <w:r w:rsidRPr="00394D50">
                                                  <w:rPr>
                                                    <w:color w:val="0D0D0D" w:themeColor="text1" w:themeTint="F2"/>
                                                    <w:sz w:val="20"/>
                                                    <w:szCs w:val="20"/>
                                                  </w:rPr>
                                                  <w:t>E</w:t>
                                                </w:r>
                                                <w:r w:rsidRPr="00394D50">
                                                  <w:rPr>
                                                    <w:color w:val="0D0D0D" w:themeColor="text1" w:themeTint="F2"/>
                                                    <w:sz w:val="20"/>
                                                    <w:szCs w:val="20"/>
                                                    <w:vertAlign w:val="subscript"/>
                                                  </w:rPr>
                                                  <w:t>1</w:t>
                                                </w:r>
                                              </w:p>
                                            </w:txbxContent>
                                          </v:textbox>
                                        </v:shape>
                                      </v:group>
                                    </v:group>
                                    <v:group id="2771 Grupo" o:spid="_x0000_s1251" style="position:absolute;left:4203;top:606;width:10463;height:12383" coordorigin="238" coordsize="9045,113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">
                                      <v:shape id="2772 Cuadro de texto" o:spid="_x0000_s1252" type="#_x0000_t202" style="position:absolute;left:2866;top:9758;width:1524;height:1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" filled="f" stroked="f" strokeweight=".5pt">
                                        <v:textbox inset="0,0,0,0">
                                          <w:txbxContent>
                                            <w:p w14:paraId="419FADA8" w14:textId="77777777" w:rsidR="00D55F13" w:rsidRPr="00394D50" w:rsidRDefault="00D55F13" w:rsidP="0065023A">
                                              <w:pPr>
                                                <w:jc w:val="center"/>
                                                <w:rPr>
                                                  <w:sz w:val="20"/>
                                                  <w:szCs w:val="20"/>
                                                </w:rPr>
                                              </w:pPr>
                                              <w:r w:rsidRPr="00394D50">
                                                <w:rPr>
                                                  <w:sz w:val="20"/>
                                                  <w:szCs w:val="20"/>
                                                </w:rPr>
                                                <w:t>E</w:t>
                                              </w:r>
                                              <w:r w:rsidRPr="00394D50">
                                                <w:rPr>
                                                  <w:sz w:val="20"/>
                                                  <w:szCs w:val="20"/>
                                                  <w:vertAlign w:val="subscript"/>
                                                </w:rPr>
                                                <w:t>2</w:t>
                                              </w:r>
                                            </w:p>
                                          </w:txbxContent>
                                        </v:textbox>
                                      </v:shape>
                                      <v:group id="2773 Grupo" o:spid="_x0000_s1253" style="position:absolute;left:238;width:9045;height:11060" coordorigin="238" coordsize="9045,11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">
                                        <v:group id="2774 Grupo" o:spid="_x0000_s1254" style="position:absolute;left:238;width:9045;height:11060" coordorigin="238" coordsize="9045,11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">
                                          <v:group id="2775 Grupo" o:spid="_x0000_s1255" style="position:absolute;left:238;width:9045;height:11060" coordorigin=",-1624" coordsize="9050,110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">
                                            <v:line id="1724092572 Conector recto" o:spid="_x0000_s1256" style="position:absolute;visibility:visible;mso-wrap-style:square" from="0,-1624" to="9050,50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" strokecolor="windowText">
                                              <v:stroke dashstyle="3 1"/>
                                            </v:line>
                                            <v:shape id="1025908669 Forma libre" o:spid="_x0000_s1257" style="position:absolute;top:8058;width:7269;height:1382;visibility:visible;mso-wrap-style:square;v-text-anchor:middle" coordsize="726915,138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" path="m,3289l348656,,621660,88808r105255,49339e" filled="f" strokecolor="windowText">
                                              <v:stroke dashstyle="longDashDot"/>
                                              <v:path arrowok="t" o:connecttype="custom" o:connectlocs="0,3289;348656,0;621660,88808;726915,138147" o:connectangles="0,0,0,0"/>
                                            </v:shape>
                                          </v:group>
                                          <v:shape id="714449728 Cuadro de texto" o:spid="_x0000_s1258" type="#_x0000_t202" style="position:absolute;left:2547;top:2213;width:1524;height:1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" filled="f" stroked="f" strokeweight=".5pt">
                                            <v:textbox inset="0,0,0,0">
                                              <w:txbxContent>
                                                <w:p w14:paraId="25D5CC8A" w14:textId="77777777" w:rsidR="00D55F13" w:rsidRPr="00394D50" w:rsidRDefault="00D55F13" w:rsidP="0065023A">
                                                  <w:pPr>
                                                    <w:jc w:val="center"/>
                                                    <w:rPr>
                                                      <w:sz w:val="20"/>
                                                      <w:szCs w:val="20"/>
                                                    </w:rPr>
                                                  </w:pPr>
                                                  <w:r w:rsidRPr="00394D50">
                                                    <w:rPr>
                                                      <w:sz w:val="20"/>
                                                      <w:szCs w:val="20"/>
                                                    </w:rPr>
                                                    <w:t>B</w:t>
                                                  </w:r>
                                                  <w:r w:rsidRPr="00394D50">
                                                    <w:rPr>
                                                      <w:sz w:val="20"/>
                                                      <w:szCs w:val="20"/>
                                                      <w:vertAlign w:val="subscript"/>
                                                    </w:rPr>
                                                    <w:t>2</w:t>
                                                  </w:r>
                                                </w:p>
                                              </w:txbxContent>
                                            </v:textbox>
                                          </v:shape>
                                        </v:group>
                                        <v:shape id="714449729 Cuadro de texto" o:spid="_x0000_s1259" type="#_x0000_t202" style="position:absolute;left:6889;top:3878;width:1524;height:1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" filled="f" stroked="f" strokeweight=".5pt">
                                          <v:textbox inset="0,0,0,0">
                                            <w:txbxContent>
                                              <w:p w14:paraId="1614A10D" w14:textId="77777777" w:rsidR="00D55F13" w:rsidRPr="00394D50" w:rsidRDefault="00D55F13" w:rsidP="0065023A">
                                                <w:pPr>
                                                  <w:jc w:val="center"/>
                                                  <w:rPr>
                                                    <w:sz w:val="20"/>
                                                    <w:szCs w:val="20"/>
                                                  </w:rPr>
                                                </w:pPr>
                                                <w:r w:rsidRPr="00394D50">
                                                  <w:rPr>
                                                    <w:sz w:val="20"/>
                                                    <w:szCs w:val="20"/>
                                                  </w:rPr>
                                                  <w:t>D</w:t>
                                                </w:r>
                                                <w:r w:rsidRPr="00394D50">
                                                  <w:rPr>
                                                    <w:sz w:val="20"/>
                                                    <w:szCs w:val="20"/>
                                                    <w:vertAlign w:val="subscript"/>
                                                  </w:rPr>
                                                  <w:t>2</w:t>
                                                </w:r>
                                              </w:p>
                                            </w:txbxContent>
                                          </v:textbox>
                                        </v:shape>
                                      </v:group>
                                    </v:group>
                                  </v:group>
                                  <v:shape id="714449748 Cuadro de texto" o:spid="_x0000_s1260" type="#_x0000_t202" style="position:absolute;left:8563;top:616;width:2320;height:2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" filled="f" stroked="f" strokeweight=".5pt">
                                    <v:textbox inset="0,0,0,0">
                                      <w:txbxContent>
                                        <w:p w14:paraId="30733E2D" w14:textId="77777777" w:rsidR="00D55F13" w:rsidRPr="00394D50" w:rsidRDefault="00D55F13" w:rsidP="0065023A">
                                          <w:pPr>
                                            <w:jc w:val="center"/>
                                            <w:rPr>
                                              <w:sz w:val="20"/>
                                              <w:szCs w:val="20"/>
                                            </w:rPr>
                                          </w:pPr>
                                          <w:r w:rsidRPr="00394D50">
                                            <w:rPr>
                                              <w:sz w:val="20"/>
                                              <w:szCs w:val="20"/>
                                            </w:rPr>
                                            <w:t>A</w:t>
                                          </w:r>
                                          <w:r w:rsidRPr="00394D50">
                                            <w:rPr>
                                              <w:sz w:val="20"/>
                                              <w:szCs w:val="20"/>
                                              <w:vertAlign w:val="subscript"/>
                                            </w:rPr>
                                            <w:t>2</w:t>
                                          </w:r>
                                        </w:p>
                                      </w:txbxContent>
                                    </v:textbox>
                                  </v:shape>
                                </v:group>
                              </v:group>
                            </v:group>
                          </v:group>
                          <v:group id="568110921 Grupo" o:spid="_x0000_s1261" style="position:absolute;left:476;top:21145;width:51041;height:17323" coordsize="51041,17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">
                            <v:group id="568110925 Grupo" o:spid="_x0000_s1262" style="position:absolute;top:95;width:24561;height:17227" coordsize="24561,1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">
                              <v:group id="568110926 Grupo" o:spid="_x0000_s1263" style="position:absolute;width:24561;height:17227" coordsize="18637,130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">
                                <v:group id="568110927 Grupo" o:spid="_x0000_s1264" style="position:absolute;width:18637;height:13074" coordsize="18637,13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">
                                  <v:shape id="568110928 Forma libre" o:spid="_x0000_s1265" style="position:absolute;left:6001;top:3742;width:7716;height:6001;visibility:visible;mso-wrap-style:square;v-text-anchor:middle" coordsize="771525,6000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" adj="-11796480,,5400" path="m,l365760,171450,771525,129540,706755,365760,93345,600075,,xe" fillcolor="#00b0f0" stroked="f" strokeweight="2pt">
                                    <v:stroke joinstyle="miter"/>
                                    <v:formulas/>
                                    <v:path arrowok="t" o:connecttype="custom" o:connectlocs="0,0;365760,171450;771525,129540;706755,365760;93345,600075;0,0" o:connectangles="0,0,0,0,0,0" textboxrect="0,0,771525,600075"/>
                                    <v:textbox>
                                      <w:txbxContent>
                                        <w:p w14:paraId="5024FEA4" w14:textId="77777777" w:rsidR="00D55F13" w:rsidRPr="00394D50" w:rsidRDefault="00D55F13" w:rsidP="0065023A">
                                          <w:pPr>
                                            <w:jc w:val="center"/>
                                            <w:rPr>
                                              <w:color w:val="0D0D0D" w:themeColor="text1" w:themeTint="F2"/>
                                              <w:sz w:val="20"/>
                                              <w:szCs w:val="20"/>
                                            </w:rPr>
                                          </w:pPr>
                                          <w:r w:rsidRPr="00394D50">
                                            <w:rPr>
                                              <w:color w:val="0D0D0D" w:themeColor="text1" w:themeTint="F2"/>
                                              <w:sz w:val="20"/>
                                              <w:szCs w:val="20"/>
                                            </w:rPr>
                                            <w:t>D</w:t>
                                          </w:r>
                                          <w:r w:rsidRPr="00394D50">
                                            <w:rPr>
                                              <w:color w:val="0D0D0D" w:themeColor="text1" w:themeTint="F2"/>
                                              <w:sz w:val="20"/>
                                              <w:szCs w:val="20"/>
                                              <w:vertAlign w:val="subscript"/>
                                            </w:rPr>
                                            <w:t>1</w:t>
                                          </w:r>
                                        </w:p>
                                      </w:txbxContent>
                                    </v:textbox>
                                  </v:shape>
                                  <v:group id="568110929 Grupo" o:spid="_x0000_s1266" style="position:absolute;width:18637;height:13078" coordsize="18637,13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">
                                    <v:shape id="568110930 Forma libre" o:spid="_x0000_s1267" style="position:absolute;left:5719;top:7414;width:10198;height:5664;visibility:visible;mso-wrap-style:square;v-text-anchor:middle" coordsize="1019763,5664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" adj="-11796480,,5400" path="m,566420l122508,230505,732108,r287655,281940l577803,550545,,566420xe" fillcolor="#92d050" stroked="f" strokeweight="2pt">
                                      <v:stroke joinstyle="miter"/>
                                      <v:formulas/>
                                      <v:path arrowok="t" o:connecttype="custom" o:connectlocs="0,566420;122508,230505;732108,0;1019763,281940;577803,550545;0,566420" o:connectangles="0,0,0,0,0,0" textboxrect="0,0,1019763,566420"/>
                                      <v:textbox>
                                        <w:txbxContent>
                                          <w:p w14:paraId="3649BF8E" w14:textId="77777777" w:rsidR="00D55F13" w:rsidRPr="00394D50" w:rsidRDefault="00D55F13" w:rsidP="0065023A">
                                            <w:pPr>
                                              <w:jc w:val="center"/>
                                              <w:rPr>
                                                <w:color w:val="0D0D0D" w:themeColor="text1" w:themeTint="F2"/>
                                                <w:sz w:val="20"/>
                                                <w:szCs w:val="20"/>
                                              </w:rPr>
                                            </w:pPr>
                                            <w:r w:rsidRPr="00394D50">
                                              <w:rPr>
                                                <w:color w:val="0D0D0D" w:themeColor="text1" w:themeTint="F2"/>
                                                <w:sz w:val="20"/>
                                                <w:szCs w:val="20"/>
                                              </w:rPr>
                                              <w:t>E</w:t>
                                            </w:r>
                                            <w:r w:rsidRPr="00394D50">
                                              <w:rPr>
                                                <w:color w:val="0D0D0D" w:themeColor="text1" w:themeTint="F2"/>
                                                <w:sz w:val="20"/>
                                                <w:szCs w:val="20"/>
                                                <w:vertAlign w:val="subscript"/>
                                              </w:rPr>
                                              <w:t>1</w:t>
                                            </w:r>
                                          </w:p>
                                        </w:txbxContent>
                                      </v:textbox>
                                    </v:shape>
                                    <v:group id="568110941 Grupo" o:spid="_x0000_s1268" style="position:absolute;width:18637;height:13074" coordsize="18642,130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">
                                      <v:shape id="568110942 Forma libre" o:spid="_x0000_s1269" style="position:absolute;left:13030;top:950;width:5612;height:9294;visibility:visible;mso-wrap-style:square;v-text-anchor:middle" coordsize="561203,92937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" adj="-11796480,,5400" path="m357902,l561203,472172,291782,929372,,644317,65903,409579,104030,105528,357902,xe" fillcolor="#d60093" stroked="f" strokeweight="2pt">
                                        <v:stroke joinstyle="miter"/>
                                        <v:formulas/>
                                        <v:path arrowok="t" o:connecttype="custom" o:connectlocs="357902,0;561203,472172;291782,929372;0,644317;65903,409579;104030,105528;357902,0" o:connectangles="0,0,0,0,0,0,0" textboxrect="0,0,561203,929372"/>
                                        <v:textbox>
                                          <w:txbxContent>
                                            <w:p w14:paraId="46468C98" w14:textId="77777777" w:rsidR="00D55F13" w:rsidRPr="00394D50" w:rsidRDefault="00D55F13" w:rsidP="0065023A">
                                              <w:pPr>
                                                <w:jc w:val="center"/>
                                                <w:rPr>
                                                  <w:color w:val="0D0D0D" w:themeColor="text1" w:themeTint="F2"/>
                                                  <w:sz w:val="20"/>
                                                  <w:szCs w:val="20"/>
                                                </w:rPr>
                                              </w:pPr>
                                              <w:r w:rsidRPr="00394D50">
                                                <w:rPr>
                                                  <w:color w:val="0D0D0D" w:themeColor="text1" w:themeTint="F2"/>
                                                  <w:sz w:val="20"/>
                                                  <w:szCs w:val="20"/>
                                                </w:rPr>
                                                <w:t>C</w:t>
                                              </w:r>
                                            </w:p>
                                          </w:txbxContent>
                                        </v:textbox>
                                      </v:shape>
                                      <v:shape id="568110943 Forma libre" o:spid="_x0000_s1270" style="position:absolute;left:5748;width:10863;height:5474;visibility:visible;mso-wrap-style:square;v-text-anchor:middle" coordsize="1086273,54744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" adj="-11796480,,5400" path="m,371216l385465,547446,796644,504782,833882,206877,1086273,99301,420127,,,371216xe" fillcolor="#ffc000" stroked="f" strokeweight="2pt">
                                        <v:stroke joinstyle="miter"/>
                                        <v:formulas/>
                                        <v:path arrowok="t" o:connecttype="custom" o:connectlocs="0,371190;385460,547408;796634,504747;833871,206863;1086259,99294;420122,0;0,371190" o:connectangles="0,0,0,0,0,0,0" textboxrect="0,0,1086273,547446"/>
                                        <v:textbox>
                                          <w:txbxContent>
                                            <w:p w14:paraId="1B8C6D2D" w14:textId="77777777" w:rsidR="00D55F13" w:rsidRPr="00394D50" w:rsidRDefault="00D55F13" w:rsidP="0065023A">
                                              <w:pPr>
                                                <w:rPr>
                                                  <w:color w:val="0D0D0D" w:themeColor="text1" w:themeTint="F2"/>
                                                  <w:sz w:val="20"/>
                                                  <w:szCs w:val="20"/>
                                                </w:rPr>
                                              </w:pPr>
                                              <w:r w:rsidRPr="00394D50">
                                                <w:rPr>
                                                  <w:color w:val="0D0D0D" w:themeColor="text1" w:themeTint="F2"/>
                                                  <w:sz w:val="20"/>
                                                  <w:szCs w:val="20"/>
                                                </w:rPr>
                                                <w:t xml:space="preserve">           B</w:t>
                                              </w:r>
                                              <w:r w:rsidRPr="00394D50">
                                                <w:rPr>
                                                  <w:color w:val="0D0D0D" w:themeColor="text1" w:themeTint="F2"/>
                                                  <w:sz w:val="20"/>
                                                  <w:szCs w:val="20"/>
                                                  <w:vertAlign w:val="subscript"/>
                                                </w:rPr>
                                                <w:t>1</w:t>
                                              </w:r>
                                            </w:p>
                                          </w:txbxContent>
                                        </v:textbox>
                                      </v:shape>
                                      <v:shape id="2078634880 Forma libre" o:spid="_x0000_s1271" style="position:absolute;width:9930;height:13074;visibility:visible;mso-wrap-style:square;v-text-anchor:middle" coordsize="993014,130746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" adj="-11796480,,5400" path="m471682,86888l198603,281353,,753035r132402,397205l575121,1307467,695110,976463,599946,368242,993014,,471682,86888xe" fillcolor="#f30" stroked="f" strokeweight="2pt">
                                        <v:stroke joinstyle="miter"/>
                                        <v:formulas/>
                                        <v:path arrowok="t" o:connecttype="custom" o:connectlocs="471682,86888;198603,281353;0,753035;132402,1150240;575121,1307467;695110,976463;599946,368242;993014,0;471682,86888" o:connectangles="0,0,0,0,0,0,0,0,0" textboxrect="0,0,993014,1307467"/>
                                        <v:textbox>
                                          <w:txbxContent>
                                            <w:p w14:paraId="75451589" w14:textId="77777777" w:rsidR="00D55F13" w:rsidRPr="00394D50" w:rsidRDefault="00D55F13" w:rsidP="0065023A">
                                              <w:pPr>
                                                <w:rPr>
                                                  <w:color w:val="0D0D0D" w:themeColor="text1" w:themeTint="F2"/>
                                                  <w:sz w:val="20"/>
                                                  <w:szCs w:val="20"/>
                                                </w:rPr>
                                              </w:pPr>
                                              <w:r w:rsidRPr="00394D50">
                                                <w:rPr>
                                                  <w:color w:val="0D0D0D" w:themeColor="text1" w:themeTint="F2"/>
                                                  <w:sz w:val="20"/>
                                                  <w:szCs w:val="20"/>
                                                </w:rPr>
                                                <w:t xml:space="preserve">      A</w:t>
                                              </w:r>
                                              <w:r w:rsidRPr="00394D50">
                                                <w:rPr>
                                                  <w:color w:val="0D0D0D" w:themeColor="text1" w:themeTint="F2"/>
                                                  <w:sz w:val="20"/>
                                                  <w:szCs w:val="20"/>
                                                  <w:vertAlign w:val="subscript"/>
                                                </w:rPr>
                                                <w:t>1</w:t>
                                              </w:r>
                                            </w:p>
                                          </w:txbxContent>
                                        </v:textbox>
                                      </v:shape>
                                    </v:group>
                                  </v:group>
                                </v:group>
                                <v:group id="2078634881 Grupo" o:spid="_x0000_s1272" style="position:absolute;left:4203;top:606;width:10463;height:12383" coordorigin="238" coordsize="9045,113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">
                                  <v:shape id="2078634882 Cuadro de texto" o:spid="_x0000_s1273" type="#_x0000_t202" style="position:absolute;left:2866;top:9758;width:1524;height:1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" filled="f" stroked="f" strokeweight=".5pt">
                                    <v:textbox inset="0,0,0,0">
                                      <w:txbxContent>
                                        <w:p w14:paraId="76581FD4" w14:textId="77777777" w:rsidR="00D55F13" w:rsidRPr="00394D50" w:rsidRDefault="00D55F13" w:rsidP="0065023A">
                                          <w:pPr>
                                            <w:jc w:val="center"/>
                                            <w:rPr>
                                              <w:sz w:val="20"/>
                                              <w:szCs w:val="20"/>
                                            </w:rPr>
                                          </w:pPr>
                                          <w:r w:rsidRPr="00394D50">
                                            <w:rPr>
                                              <w:sz w:val="20"/>
                                              <w:szCs w:val="20"/>
                                            </w:rPr>
                                            <w:t>E</w:t>
                                          </w:r>
                                          <w:r w:rsidRPr="00394D50">
                                            <w:rPr>
                                              <w:sz w:val="20"/>
                                              <w:szCs w:val="20"/>
                                              <w:vertAlign w:val="subscript"/>
                                            </w:rPr>
                                            <w:t>2</w:t>
                                          </w:r>
                                        </w:p>
                                      </w:txbxContent>
                                    </v:textbox>
                                  </v:shape>
                                  <v:group id="2078634883 Grupo" o:spid="_x0000_s1274" style="position:absolute;left:238;width:9045;height:11060" coordorigin="238" coordsize="9045,11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">
                                    <v:group id="2078634884 Grupo" o:spid="_x0000_s1275" style="position:absolute;left:238;width:9045;height:11060" coordorigin="238" coordsize="9045,11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">
                                      <v:group id="2078634885 Grupo" o:spid="_x0000_s1276" style="position:absolute;left:238;width:9045;height:11060" coordorigin=",-1624" coordsize="9050,110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">
                                        <v:line id="2078634886 Conector recto" o:spid="_x0000_s1277" style="position:absolute;visibility:visible;mso-wrap-style:square" from="0,-1624" to="9050,50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" strokecolor="windowText">
                                          <v:stroke dashstyle="3 1"/>
                                        </v:line>
                                        <v:shape id="2078634887 Forma libre" o:spid="_x0000_s1278" style="position:absolute;top:8058;width:7269;height:1382;visibility:visible;mso-wrap-style:square;v-text-anchor:middle" coordsize="726915,138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" path="m,3289l348656,,621660,88808r105255,49339e" filled="f" strokecolor="windowText">
                                          <v:stroke dashstyle="longDashDot"/>
                                          <v:path arrowok="t" o:connecttype="custom" o:connectlocs="0,3289;348656,0;621660,88808;726915,138147" o:connectangles="0,0,0,0"/>
                                        </v:shape>
                                      </v:group>
                                      <v:shape id="2078634888 Cuadro de texto" o:spid="_x0000_s1279" type="#_x0000_t202" style="position:absolute;left:2547;top:2213;width:1524;height:1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" filled="f" stroked="f" strokeweight=".5pt">
                                        <v:textbox inset="0,0,0,0">
                                          <w:txbxContent>
                                            <w:p w14:paraId="2DC9F9FC" w14:textId="77777777" w:rsidR="00D55F13" w:rsidRPr="00394D50" w:rsidRDefault="00D55F13" w:rsidP="0065023A">
                                              <w:pPr>
                                                <w:jc w:val="center"/>
                                                <w:rPr>
                                                  <w:sz w:val="20"/>
                                                  <w:szCs w:val="20"/>
                                                </w:rPr>
                                              </w:pPr>
                                              <w:r w:rsidRPr="00394D50">
                                                <w:rPr>
                                                  <w:sz w:val="20"/>
                                                  <w:szCs w:val="20"/>
                                                </w:rPr>
                                                <w:t>B</w:t>
                                              </w:r>
                                              <w:r w:rsidRPr="00394D50">
                                                <w:rPr>
                                                  <w:sz w:val="20"/>
                                                  <w:szCs w:val="20"/>
                                                  <w:vertAlign w:val="subscript"/>
                                                </w:rPr>
                                                <w:t>2</w:t>
                                              </w:r>
                                            </w:p>
                                          </w:txbxContent>
                                        </v:textbox>
                                      </v:shape>
                                    </v:group>
                                    <v:shape id="2078634889 Cuadro de texto" o:spid="_x0000_s1280" type="#_x0000_t202" style="position:absolute;left:6889;top:3878;width:1524;height:1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" filled="f" stroked="f" strokeweight=".5pt">
                                      <v:textbox inset="0,0,0,0">
                                        <w:txbxContent>
                                          <w:p w14:paraId="3887F6AA" w14:textId="77777777" w:rsidR="00D55F13" w:rsidRPr="00394D50" w:rsidRDefault="00D55F13" w:rsidP="0065023A">
                                            <w:pPr>
                                              <w:jc w:val="center"/>
                                              <w:rPr>
                                                <w:sz w:val="20"/>
                                                <w:szCs w:val="20"/>
                                              </w:rPr>
                                            </w:pPr>
                                            <w:r w:rsidRPr="00394D50">
                                              <w:rPr>
                                                <w:sz w:val="20"/>
                                                <w:szCs w:val="20"/>
                                              </w:rPr>
                                              <w:t>D</w:t>
                                            </w:r>
                                            <w:r w:rsidRPr="00394D50">
                                              <w:rPr>
                                                <w:sz w:val="20"/>
                                                <w:szCs w:val="20"/>
                                                <w:vertAlign w:val="subscript"/>
                                              </w:rPr>
                                              <w:t>2</w:t>
                                            </w:r>
                                          </w:p>
                                        </w:txbxContent>
                                      </v:textbox>
                                    </v:shape>
                                  </v:group>
                                </v:group>
                              </v:group>
                              <v:shape id="2078634890 Cuadro de texto" o:spid="_x0000_s1281" type="#_x0000_t202" style="position:absolute;left:8526;top:617;width:2318;height:2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" filled="f" stroked="f" strokeweight=".5pt">
                                <v:textbox inset="0,0,0,0">
                                  <w:txbxContent>
                                    <w:p w14:paraId="530EA17D" w14:textId="77777777" w:rsidR="00D55F13" w:rsidRPr="00394D50" w:rsidRDefault="00D55F13" w:rsidP="0065023A">
                                      <w:pPr>
                                        <w:jc w:val="center"/>
                                        <w:rPr>
                                          <w:sz w:val="20"/>
                                          <w:szCs w:val="20"/>
                                        </w:rPr>
                                      </w:pPr>
                                      <w:r w:rsidRPr="00394D50">
                                        <w:rPr>
                                          <w:sz w:val="20"/>
                                          <w:szCs w:val="20"/>
                                        </w:rPr>
                                        <w:t>A</w:t>
                                      </w:r>
                                      <w:r w:rsidRPr="00394D50">
                                        <w:rPr>
                                          <w:sz w:val="20"/>
                                          <w:szCs w:val="20"/>
                                          <w:vertAlign w:val="subscript"/>
                                        </w:rPr>
                                        <w:t>2</w:t>
                                      </w:r>
                                    </w:p>
                                  </w:txbxContent>
                                </v:textbox>
                              </v:shape>
                              <v:shape id="2078634891 Conector" o:spid="_x0000_s1282" type="#_x0000_t120" style="position:absolute;left:10770;top:10883;width:661;height:6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" fillcolor="#0d0d0d" stroked="f" strokeweight="2pt">
                                <o:lock v:ext="edit" aspectratio="t"/>
                              </v:shape>
                              <v:shape id="2078634892 Conector recto de flecha" o:spid="_x0000_s1283" type="#_x0000_t32" style="position:absolute;left:11163;top:5722;width:0;height:495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" strokecolor="#595959" strokeweight="1pt">
                                <v:stroke endarrow="block" endarrowlength="short"/>
                              </v:shape>
                              <v:shape id="2078634893 Conector recto de flecha" o:spid="_x0000_s1284" type="#_x0000_t32" style="position:absolute;left:11724;top:9312;width:4013;height:165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" strokecolor="#595959" strokeweight="1pt">
                                <v:stroke endarrow="block" endarrowlength="short"/>
                              </v:shape>
                              <v:shape id="2078634894 Conector recto de flecha" o:spid="_x0000_s1285" type="#_x0000_t32" style="position:absolute;left:11444;top:11724;width:1289;height:448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" strokecolor="#595959" strokeweight="1pt">
                                <v:stroke endarrow="block" endarrowlength="short"/>
                              </v:shape>
                              <v:shape id="2078634895 Conector recto de flecha" o:spid="_x0000_s1286" type="#_x0000_t32" style="position:absolute;left:4207;top:10883;width:6375;height:32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" strokecolor="#595959" strokeweight="1pt">
                                <v:stroke endarrow="block" endarrowlength="short"/>
                              </v:shape>
                            </v:group>
                            <v:group id="2078634896 Grupo" o:spid="_x0000_s1287" style="position:absolute;left:26479;width:24562;height:17246" coordsize="18637,130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">
                              <v:group id="2078634897 Grupo" o:spid="_x0000_s1288" style="position:absolute;width:18637;height:13074" coordsize="18637,130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">
                                <v:group id="2078634898 Grupo" o:spid="_x0000_s1289" style="position:absolute;width:18637;height:13074" coordsize="18637,130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">
                                  <v:group id="2078634899 Grupo" o:spid="_x0000_s1290" style="position:absolute;width:18637;height:13074" coordsize="18637,13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">
                                    <v:shape id="2078634900 Forma libre" o:spid="_x0000_s1291" style="position:absolute;left:6001;top:3742;width:7716;height:6001;visibility:visible;mso-wrap-style:square;v-text-anchor:middle" coordsize="771525,6000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" adj="-11796480,,5400" path="m,l365760,171450,771525,129540,706755,365760,93345,600075,,xe" fillcolor="#00b0f0" stroked="f" strokeweight="2pt">
                                      <v:stroke joinstyle="miter"/>
                                      <v:formulas/>
                                      <v:path arrowok="t" o:connecttype="custom" o:connectlocs="0,0;365760,171450;771525,129540;706755,365759;93345,600074;0,0" o:connectangles="0,0,0,0,0,0" textboxrect="0,0,771525,600075"/>
                                      <v:textbox>
                                        <w:txbxContent>
                                          <w:p w14:paraId="7356080E" w14:textId="77777777" w:rsidR="00D55F13" w:rsidRPr="00394D50" w:rsidRDefault="00D55F13" w:rsidP="0065023A">
                                            <w:pPr>
                                              <w:jc w:val="center"/>
                                              <w:rPr>
                                                <w:color w:val="0D0D0D" w:themeColor="text1" w:themeTint="F2"/>
                                                <w:sz w:val="20"/>
                                                <w:szCs w:val="20"/>
                                              </w:rPr>
                                            </w:pPr>
                                            <w:r w:rsidRPr="00394D50">
                                              <w:rPr>
                                                <w:color w:val="0D0D0D" w:themeColor="text1" w:themeTint="F2"/>
                                                <w:sz w:val="20"/>
                                                <w:szCs w:val="20"/>
                                              </w:rPr>
                                              <w:t>D</w:t>
                                            </w:r>
                                            <w:r w:rsidRPr="00394D50">
                                              <w:rPr>
                                                <w:color w:val="0D0D0D" w:themeColor="text1" w:themeTint="F2"/>
                                                <w:sz w:val="20"/>
                                                <w:szCs w:val="20"/>
                                                <w:vertAlign w:val="subscript"/>
                                              </w:rPr>
                                              <w:t>1</w:t>
                                            </w:r>
                                          </w:p>
                                        </w:txbxContent>
                                      </v:textbox>
                                    </v:shape>
                                    <v:group id="2078634901 Grupo" o:spid="_x0000_s1292" style="position:absolute;width:18637;height:13078" coordsize="18637,13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">
                                      <v:shape id="2078634902 Forma libre" o:spid="_x0000_s1293" style="position:absolute;left:5719;top:7414;width:10198;height:5664;visibility:visible;mso-wrap-style:square;v-text-anchor:middle" coordsize="1019763,5664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" adj="-11796480,,5400" path="m,566420l122508,230505,732108,r287655,281940l577803,550545,,566420xe" fillcolor="#92d050" stroked="f" strokeweight="2pt">
                                        <v:stroke joinstyle="miter"/>
                                        <v:formulas/>
                                        <v:path arrowok="t" o:connecttype="custom" o:connectlocs="0,566420;122508,230505;732108,0;1019763,281940;577803,550545;0,566420" o:connectangles="0,0,0,0,0,0" textboxrect="0,0,1019763,566420"/>
                                        <v:textbox>
                                          <w:txbxContent>
                                            <w:p w14:paraId="46800483" w14:textId="77777777" w:rsidR="00D55F13" w:rsidRPr="00394D50" w:rsidRDefault="00D55F13" w:rsidP="0065023A">
                                              <w:pPr>
                                                <w:jc w:val="center"/>
                                                <w:rPr>
                                                  <w:color w:val="0D0D0D" w:themeColor="text1" w:themeTint="F2"/>
                                                  <w:sz w:val="20"/>
                                                  <w:szCs w:val="20"/>
                                                </w:rPr>
                                              </w:pPr>
                                              <w:r w:rsidRPr="00394D50">
                                                <w:rPr>
                                                  <w:color w:val="0D0D0D" w:themeColor="text1" w:themeTint="F2"/>
                                                  <w:sz w:val="20"/>
                                                  <w:szCs w:val="20"/>
                                                </w:rPr>
                                                <w:t>E</w:t>
                                              </w:r>
                                              <w:r w:rsidRPr="00394D50">
                                                <w:rPr>
                                                  <w:color w:val="0D0D0D" w:themeColor="text1" w:themeTint="F2"/>
                                                  <w:sz w:val="20"/>
                                                  <w:szCs w:val="20"/>
                                                  <w:vertAlign w:val="subscript"/>
                                                </w:rPr>
                                                <w:t>1</w:t>
                                              </w:r>
                                            </w:p>
                                          </w:txbxContent>
                                        </v:textbox>
                                      </v:shape>
                                      <v:group id="2078634903 Grupo" o:spid="_x0000_s1294" style="position:absolute;width:18637;height:13074" coordsize="18642,130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">
                                        <v:shape id="2078634904 Forma libre" o:spid="_x0000_s1295" style="position:absolute;left:13030;top:950;width:5612;height:9294;visibility:visible;mso-wrap-style:square;v-text-anchor:middle" coordsize="561203,92937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" adj="-11796480,,5400" path="m357902,l561203,472172,291782,929372,,644317,65903,409579,104030,105528,357902,xe" fillcolor="#d60093" stroked="f" strokeweight="2pt">
                                          <v:stroke joinstyle="miter"/>
                                          <v:formulas/>
                                          <v:path arrowok="t" o:connecttype="custom" o:connectlocs="357902,0;561203,472172;291782,929372;0,644317;65903,409579;104030,105528;357902,0" o:connectangles="0,0,0,0,0,0,0" textboxrect="0,0,561203,929372"/>
                                          <v:textbox>
                                            <w:txbxContent>
                                              <w:p w14:paraId="3839DFFF" w14:textId="77777777" w:rsidR="00D55F13" w:rsidRPr="00394D50" w:rsidRDefault="00D55F13" w:rsidP="0065023A">
                                                <w:pPr>
                                                  <w:jc w:val="center"/>
                                                  <w:rPr>
                                                    <w:color w:val="0D0D0D" w:themeColor="text1" w:themeTint="F2"/>
                                                    <w:sz w:val="20"/>
                                                    <w:szCs w:val="20"/>
                                                  </w:rPr>
                                                </w:pPr>
                                                <w:r w:rsidRPr="00394D50">
                                                  <w:rPr>
                                                    <w:color w:val="0D0D0D" w:themeColor="text1" w:themeTint="F2"/>
                                                    <w:sz w:val="20"/>
                                                    <w:szCs w:val="20"/>
                                                  </w:rPr>
                                                  <w:t>C</w:t>
                                                </w:r>
                                              </w:p>
                                            </w:txbxContent>
                                          </v:textbox>
                                        </v:shape>
                                        <v:shape id="2078634905 Forma libre" o:spid="_x0000_s1296" style="position:absolute;left:5748;width:10863;height:5474;visibility:visible;mso-wrap-style:square;v-text-anchor:middle" coordsize="1086273,54744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" adj="-11796480,,5400" path="m,371216l385465,547446,796644,504782,833882,206877,1086273,99301,420127,,,371216xe" fillcolor="#ffc000" stroked="f" strokeweight="2pt">
                                          <v:stroke joinstyle="miter"/>
                                          <v:formulas/>
                                          <v:path arrowok="t" o:connecttype="custom" o:connectlocs="0,371190;385460,547408;796634,504747;833871,206863;1086259,99294;420122,0;0,371190" o:connectangles="0,0,0,0,0,0,0" textboxrect="0,0,1086273,547446"/>
                                          <v:textbox>
                                            <w:txbxContent>
                                              <w:p w14:paraId="1F52FB47" w14:textId="77777777" w:rsidR="00D55F13" w:rsidRPr="00394D50" w:rsidRDefault="00D55F13" w:rsidP="0065023A">
                                                <w:pPr>
                                                  <w:rPr>
                                                    <w:color w:val="0D0D0D" w:themeColor="text1" w:themeTint="F2"/>
                                                    <w:sz w:val="20"/>
                                                    <w:szCs w:val="20"/>
                                                  </w:rPr>
                                                </w:pPr>
                                                <w:r w:rsidRPr="00394D50">
                                                  <w:rPr>
                                                    <w:color w:val="0D0D0D" w:themeColor="text1" w:themeTint="F2"/>
                                                    <w:sz w:val="20"/>
                                                    <w:szCs w:val="20"/>
                                                  </w:rPr>
                                                  <w:t xml:space="preserve">           B</w:t>
                                                </w:r>
                                                <w:r w:rsidRPr="00394D50">
                                                  <w:rPr>
                                                    <w:color w:val="0D0D0D" w:themeColor="text1" w:themeTint="F2"/>
                                                    <w:sz w:val="20"/>
                                                    <w:szCs w:val="20"/>
                                                    <w:vertAlign w:val="subscript"/>
                                                  </w:rPr>
                                                  <w:t>1</w:t>
                                                </w:r>
                                              </w:p>
                                            </w:txbxContent>
                                          </v:textbox>
                                        </v:shape>
                                        <v:shape id="2078634906 Forma libre" o:spid="_x0000_s1297" style="position:absolute;width:9930;height:13074;visibility:visible;mso-wrap-style:square;v-text-anchor:middle" coordsize="993014,130746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" adj="-11796480,,5400" path="m471682,86888l198603,281353,,753035r132402,397205l575121,1307467,695110,976463,599946,368242,993014,,471682,86888xe" fillcolor="#f30" stroked="f" strokeweight="2pt">
                                          <v:stroke joinstyle="miter"/>
                                          <v:formulas/>
                                          <v:path arrowok="t" o:connecttype="custom" o:connectlocs="471682,86888;198603,281353;0,753035;132402,1150240;575121,1307467;695110,976463;599946,368242;993014,0;471682,86888" o:connectangles="0,0,0,0,0,0,0,0,0" textboxrect="0,0,993014,1307467"/>
                                          <v:textbox>
                                            <w:txbxContent>
                                              <w:p w14:paraId="4D7E8AC4" w14:textId="77777777" w:rsidR="00D55F13" w:rsidRPr="00394D50" w:rsidRDefault="00D55F13" w:rsidP="0065023A">
                                                <w:pPr>
                                                  <w:rPr>
                                                    <w:color w:val="0D0D0D" w:themeColor="text1" w:themeTint="F2"/>
                                                    <w:sz w:val="20"/>
                                                    <w:szCs w:val="20"/>
                                                  </w:rPr>
                                                </w:pPr>
                                                <w:r w:rsidRPr="00394D50">
                                                  <w:rPr>
                                                    <w:color w:val="0D0D0D" w:themeColor="text1" w:themeTint="F2"/>
                                                    <w:sz w:val="20"/>
                                                    <w:szCs w:val="20"/>
                                                  </w:rPr>
                                                  <w:t xml:space="preserve">      A</w:t>
                                                </w:r>
                                              </w:p>
                                            </w:txbxContent>
                                          </v:textbox>
                                        </v:shape>
                                      </v:group>
                                    </v:group>
                                  </v:group>
                                  <v:group id="2078634907 Grupo" o:spid="_x0000_s1298" style="position:absolute;left:4203;top:606;width:10463;height:12383" coordorigin="238" coordsize="9045,113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">
                                    <v:shape id="2078634908 Cuadro de texto" o:spid="_x0000_s1299" type="#_x0000_t202" style="position:absolute;left:2866;top:9758;width:1524;height:1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" filled="f" stroked="f" strokeweight=".5pt">
                                      <v:textbox inset="0,0,0,0">
                                        <w:txbxContent>
                                          <w:p w14:paraId="0A9E4EFB" w14:textId="77777777" w:rsidR="00D55F13" w:rsidRPr="00394D50" w:rsidRDefault="00D55F13" w:rsidP="0065023A">
                                            <w:pPr>
                                              <w:jc w:val="center"/>
                                              <w:rPr>
                                                <w:sz w:val="20"/>
                                                <w:szCs w:val="20"/>
                                              </w:rPr>
                                            </w:pPr>
                                            <w:r w:rsidRPr="00394D50">
                                              <w:rPr>
                                                <w:sz w:val="20"/>
                                                <w:szCs w:val="20"/>
                                              </w:rPr>
                                              <w:t>E</w:t>
                                            </w:r>
                                            <w:r w:rsidRPr="00394D50">
                                              <w:rPr>
                                                <w:sz w:val="20"/>
                                                <w:szCs w:val="20"/>
                                                <w:vertAlign w:val="subscript"/>
                                              </w:rPr>
                                              <w:t>2</w:t>
                                            </w:r>
                                          </w:p>
                                        </w:txbxContent>
                                      </v:textbox>
                                    </v:shape>
                                    <v:group id="2078634909 Grupo" o:spid="_x0000_s1300" style="position:absolute;left:238;width:9045;height:11060" coordorigin="238" coordsize="9045,11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">
                                      <v:group id="2078634910 Grupo" o:spid="_x0000_s1301" style="position:absolute;left:238;width:9045;height:11060" coordorigin="238" coordsize="9045,11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">
                                        <v:group id="2078634911 Grupo" o:spid="_x0000_s1302" style="position:absolute;left:238;width:9045;height:11060" coordorigin=",-1624" coordsize="9050,110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">
                                          <v:line id="2078634912 Conector recto" o:spid="_x0000_s1303" style="position:absolute;visibility:visible;mso-wrap-style:square" from="0,-1624" to="9050,50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" strokecolor="windowText">
                                            <v:stroke dashstyle="3 1"/>
                                          </v:line>
                                          <v:shape id="2078634913 Forma libre" o:spid="_x0000_s1304" style="position:absolute;top:8058;width:7269;height:1382;visibility:visible;mso-wrap-style:square;v-text-anchor:middle" coordsize="726915,138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" path="m,3289l348656,,621660,88808r105255,49339e" filled="f" strokecolor="windowText">
                                            <v:stroke dashstyle="longDashDot"/>
                                            <v:path arrowok="t" o:connecttype="custom" o:connectlocs="0,3289;348656,0;621660,88808;726915,138147" o:connectangles="0,0,0,0"/>
                                          </v:shape>
                                        </v:group>
                                        <v:shape id="2078634914 Cuadro de texto" o:spid="_x0000_s1305" type="#_x0000_t202" style="position:absolute;left:2547;top:2213;width:1524;height:1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" filled="f" stroked="f" strokeweight=".5pt">
                                          <v:textbox inset="0,0,0,0">
                                            <w:txbxContent>
                                              <w:p w14:paraId="7648BB7D" w14:textId="77777777" w:rsidR="00D55F13" w:rsidRPr="00394D50" w:rsidRDefault="00D55F13" w:rsidP="0065023A">
                                                <w:pPr>
                                                  <w:jc w:val="center"/>
                                                  <w:rPr>
                                                    <w:sz w:val="20"/>
                                                    <w:szCs w:val="20"/>
                                                  </w:rPr>
                                                </w:pPr>
                                                <w:r w:rsidRPr="00394D50">
                                                  <w:rPr>
                                                    <w:sz w:val="20"/>
                                                    <w:szCs w:val="20"/>
                                                  </w:rPr>
                                                  <w:t>B</w:t>
                                                </w:r>
                                                <w:r w:rsidRPr="00394D50">
                                                  <w:rPr>
                                                    <w:sz w:val="20"/>
                                                    <w:szCs w:val="20"/>
                                                    <w:vertAlign w:val="subscript"/>
                                                  </w:rPr>
                                                  <w:t>2</w:t>
                                                </w:r>
                                              </w:p>
                                            </w:txbxContent>
                                          </v:textbox>
                                        </v:shape>
                                      </v:group>
                                      <v:shape id="2078634915 Cuadro de texto" o:spid="_x0000_s1306" type="#_x0000_t202" style="position:absolute;left:6889;top:3878;width:1524;height:1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" filled="f" stroked="f" strokeweight=".5pt">
                                        <v:textbox inset="0,0,0,0">
                                          <w:txbxContent>
                                            <w:p w14:paraId="5F4D8F1D" w14:textId="77777777" w:rsidR="00D55F13" w:rsidRPr="00394D50" w:rsidRDefault="00D55F13" w:rsidP="0065023A">
                                              <w:pPr>
                                                <w:jc w:val="center"/>
                                                <w:rPr>
                                                  <w:sz w:val="20"/>
                                                  <w:szCs w:val="20"/>
                                                </w:rPr>
                                              </w:pPr>
                                              <w:r w:rsidRPr="00394D50">
                                                <w:rPr>
                                                  <w:sz w:val="20"/>
                                                  <w:szCs w:val="20"/>
                                                </w:rPr>
                                                <w:t>D</w:t>
                                              </w:r>
                                              <w:r w:rsidRPr="00394D50">
                                                <w:rPr>
                                                  <w:sz w:val="20"/>
                                                  <w:szCs w:val="20"/>
                                                  <w:vertAlign w:val="subscript"/>
                                                </w:rPr>
                                                <w:t>2</w:t>
                                              </w:r>
                                            </w:p>
                                          </w:txbxContent>
                                        </v:textbox>
                                      </v:shape>
                                    </v:group>
                                  </v:group>
                                </v:group>
                                <v:shape id="2078634916 Cuadro de texto" o:spid="_x0000_s1307" type="#_x0000_t202" style="position:absolute;left:6457;top:476;width:1759;height:17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" filled="f" stroked="f" strokeweight=".5pt">
                                  <v:textbox inset="0,0,0,0">
                                    <w:txbxContent>
                                      <w:p w14:paraId="3D782A2C" w14:textId="77777777" w:rsidR="00D55F13" w:rsidRPr="00394D50" w:rsidRDefault="00D55F13" w:rsidP="0065023A">
                                        <w:pPr>
                                          <w:jc w:val="center"/>
                                          <w:rPr>
                                            <w:sz w:val="20"/>
                                            <w:szCs w:val="20"/>
                                          </w:rPr>
                                        </w:pPr>
                                        <w:r w:rsidRPr="00394D50">
                                          <w:rPr>
                                            <w:sz w:val="20"/>
                                            <w:szCs w:val="20"/>
                                          </w:rPr>
                                          <w:t>A</w:t>
                                        </w:r>
                                        <w:r w:rsidRPr="00394D50">
                                          <w:rPr>
                                            <w:sz w:val="20"/>
                                            <w:szCs w:val="20"/>
                                            <w:vertAlign w:val="subscript"/>
                                          </w:rPr>
                                          <w:t>2</w:t>
                                        </w:r>
                                      </w:p>
                                    </w:txbxContent>
                                  </v:textbox>
                                </v:shape>
                              </v:group>
                              <v:group id="2078634917 Grupo" o:spid="_x0000_s1308" style="position:absolute;top:935;width:15913;height:12154" coordsize="15913,121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">
                                <v:shape id="2078634918 Forma libre" o:spid="_x0000_s1309" style="position:absolute;width:15913;height:12156;visibility:visible;mso-wrap-style:square;v-text-anchor:middle" coordsize="1591380,1215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" path="m467054,r857405,594624l1303317,652765r288063,272206l1226677,1154892r-73932,39910l576554,1215676,130247,1059346,,659593,197491,188473,467054,xe" fillcolor="#7f7f7f" strokecolor="windowText" strokeweight="1pt">
                                  <v:fill r:id="rId47" o:title="" type="pattern"/>
                                  <v:path arrowok="t" o:connecttype="custom" o:connectlocs="467054,0;1324459,594624;1303317,652765;1591380,924971;1226677,1154892;1152745,1194802;576554,1215676;130247,1059346;0,659593;197491,188473;467054,0" o:connectangles="0,0,0,0,0,0,0,0,0,0,0"/>
                                </v:shape>
                                <v:group id="2078634919 Grupo" o:spid="_x0000_s1310" style="position:absolute;left:1781;top:2018;width:9876;height:8110" coordorigin="-933,-511" coordsize="9876,81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">
                                  <v:shape id="2078634920 Cuadro de texto" o:spid="_x0000_s1311" type="#_x0000_t202" style="position:absolute;left:-933;top:2162;width:1758;height:17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" filled="f" stroked="f" strokeweight=".5pt">
                                    <v:textbox inset="0,0,0,0">
                                      <w:txbxContent>
                                        <w:p w14:paraId="45F69D45" w14:textId="77777777" w:rsidR="00D55F13" w:rsidRPr="00394D50" w:rsidRDefault="00D55F13" w:rsidP="0065023A">
                                          <w:pPr>
                                            <w:jc w:val="center"/>
                                            <w:rPr>
                                              <w:color w:val="0D0D0D" w:themeColor="text1" w:themeTint="F2"/>
                                              <w:sz w:val="20"/>
                                              <w:szCs w:val="20"/>
                                            </w:rPr>
                                          </w:pPr>
                                          <w:r w:rsidRPr="00394D50">
                                            <w:rPr>
                                              <w:color w:val="0D0D0D" w:themeColor="text1" w:themeTint="F2"/>
                                              <w:sz w:val="20"/>
                                              <w:szCs w:val="20"/>
                                            </w:rPr>
                                            <w:t>A</w:t>
                                          </w:r>
                                          <w:r w:rsidRPr="00394D50">
                                            <w:rPr>
                                              <w:color w:val="0D0D0D" w:themeColor="text1" w:themeTint="F2"/>
                                              <w:sz w:val="20"/>
                                              <w:szCs w:val="20"/>
                                              <w:vertAlign w:val="subscript"/>
                                            </w:rPr>
                                            <w:t>1</w:t>
                                          </w:r>
                                        </w:p>
                                      </w:txbxContent>
                                    </v:textbox>
                                  </v:shape>
                                  <v:group id="2078634921 Grupo" o:spid="_x0000_s1312" style="position:absolute;left:6229;top:2352;width:2713;height:5245" coordorigin="2419,-266" coordsize="2713,5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">
                                    <v:shape id="2078634922 Cuadro de texto" o:spid="_x0000_s1313" type="#_x0000_t202" style="position:absolute;left:3373;top:3219;width:1759;height:17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" filled="f" stroked="f" strokeweight=".5pt">
                                      <v:textbox inset="0,0,0,0">
                                        <w:txbxContent>
                                          <w:p w14:paraId="20FC3E41" w14:textId="77777777" w:rsidR="00D55F13" w:rsidRPr="00394D50" w:rsidRDefault="00D55F13" w:rsidP="0065023A">
                                            <w:pPr>
                                              <w:jc w:val="center"/>
                                              <w:rPr>
                                                <w:color w:val="0D0D0D" w:themeColor="text1" w:themeTint="F2"/>
                                                <w:sz w:val="20"/>
                                                <w:szCs w:val="20"/>
                                              </w:rPr>
                                            </w:pPr>
                                            <w:r w:rsidRPr="00394D50">
                                              <w:rPr>
                                                <w:color w:val="0D0D0D" w:themeColor="text1" w:themeTint="F2"/>
                                                <w:sz w:val="20"/>
                                                <w:szCs w:val="20"/>
                                              </w:rPr>
                                              <w:t>E</w:t>
                                            </w:r>
                                            <w:r w:rsidRPr="00394D50">
                                              <w:rPr>
                                                <w:color w:val="0D0D0D" w:themeColor="text1" w:themeTint="F2"/>
                                                <w:sz w:val="20"/>
                                                <w:szCs w:val="20"/>
                                                <w:vertAlign w:val="subscript"/>
                                              </w:rPr>
                                              <w:t>1</w:t>
                                            </w:r>
                                          </w:p>
                                        </w:txbxContent>
                                      </v:textbox>
                                    </v:shape>
                                    <v:shape id="2078634923 Cuadro de texto" o:spid="_x0000_s1314" type="#_x0000_t202" style="position:absolute;left:2419;top:-266;width:1759;height:17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" filled="f" stroked="f" strokeweight=".5pt">
                                      <v:textbox inset="0,0,0,0">
                                        <w:txbxContent>
                                          <w:p w14:paraId="07ED0375" w14:textId="77777777" w:rsidR="00D55F13" w:rsidRPr="00394D50" w:rsidRDefault="00D55F13" w:rsidP="0065023A">
                                            <w:pPr>
                                              <w:jc w:val="center"/>
                                              <w:rPr>
                                                <w:color w:val="0D0D0D" w:themeColor="text1" w:themeTint="F2"/>
                                                <w:sz w:val="20"/>
                                                <w:szCs w:val="20"/>
                                              </w:rPr>
                                            </w:pPr>
                                            <w:r w:rsidRPr="00394D50">
                                              <w:rPr>
                                                <w:color w:val="0D0D0D" w:themeColor="text1" w:themeTint="F2"/>
                                                <w:sz w:val="20"/>
                                                <w:szCs w:val="20"/>
                                              </w:rPr>
                                              <w:t>D</w:t>
                                            </w:r>
                                            <w:r w:rsidRPr="00394D50">
                                              <w:rPr>
                                                <w:color w:val="0D0D0D" w:themeColor="text1" w:themeTint="F2"/>
                                                <w:sz w:val="20"/>
                                                <w:szCs w:val="20"/>
                                                <w:vertAlign w:val="subscript"/>
                                              </w:rPr>
                                              <w:t>1</w:t>
                                            </w:r>
                                          </w:p>
                                        </w:txbxContent>
                                      </v:textbox>
                                    </v:shape>
                                  </v:group>
                                  <v:shape id="2078634924 Cuadro de texto" o:spid="_x0000_s1315" type="#_x0000_t202" style="position:absolute;left:4123;top:-511;width:1759;height:17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" filled="f" stroked="f" strokeweight=".5pt">
                                    <v:textbox inset="0,0,0,0">
                                      <w:txbxContent>
                                        <w:p w14:paraId="2AAA49B1" w14:textId="77777777" w:rsidR="00D55F13" w:rsidRPr="00394D50" w:rsidRDefault="00D55F13" w:rsidP="0065023A">
                                          <w:pPr>
                                            <w:jc w:val="center"/>
                                            <w:rPr>
                                              <w:color w:val="0D0D0D" w:themeColor="text1" w:themeTint="F2"/>
                                              <w:sz w:val="20"/>
                                              <w:szCs w:val="20"/>
                                            </w:rPr>
                                          </w:pPr>
                                          <w:r w:rsidRPr="00394D50">
                                            <w:rPr>
                                              <w:color w:val="0D0D0D" w:themeColor="text1" w:themeTint="F2"/>
                                              <w:sz w:val="20"/>
                                              <w:szCs w:val="20"/>
                                            </w:rPr>
                                            <w:t>B</w:t>
                                          </w:r>
                                          <w:r w:rsidRPr="00394D50">
                                            <w:rPr>
                                              <w:color w:val="0D0D0D" w:themeColor="text1" w:themeTint="F2"/>
                                              <w:sz w:val="20"/>
                                              <w:szCs w:val="20"/>
                                              <w:vertAlign w:val="subscript"/>
                                            </w:rPr>
                                            <w:t>2</w:t>
                                          </w:r>
                                        </w:p>
                                      </w:txbxContent>
                                    </v:textbox>
                                  </v:shape>
                                </v:group>
                              </v:group>
                            </v:group>
                          </v:group>
                        </v:group>
                        <v:group id="2078634925 Grupo" o:spid="_x0000_s1316" style="position:absolute;left:10632;top:9569;width:1373;height:2104" coordsize="137287,2104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">
                          <v:shape id="2605 Conector" o:spid="_x0000_s1317" type="#_x0000_t120" style="position:absolute;left:73152;top:146304;width:64135;height:641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" fillcolor="#0d0d0d [3069]" stroked="f" strokeweight="2pt"/>
                          <v:shape id="2604 Cuadro de texto" o:spid="_x0000_s1318" type="#_x0000_t202" style="position:absolute;width:62865;height:1485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" filled="f" stroked="f" strokeweight=".5pt">
                            <v:textbox inset="0,0,0,0">
                              <w:txbxContent>
                                <w:p w14:paraId="61D9C8E4" w14:textId="77777777" w:rsidR="00D55F13" w:rsidRPr="00394D50" w:rsidRDefault="00D55F13" w:rsidP="0065023A">
                                  <w:pPr>
                                    <w:rPr>
                                      <w:i/>
                                    </w:rPr>
                                  </w:pPr>
                                  <w:r w:rsidRPr="00394D50">
                                    <w:rPr>
                                      <w:i/>
                                    </w:rPr>
                                    <w:t>i</w:t>
                                  </w:r>
                                </w:p>
                              </w:txbxContent>
                            </v:textbox>
                          </v:shape>
                        </v:group>
                      </v:group>
                      <v:group id="2078634928 Grupo" o:spid="_x0000_s1319" style="position:absolute;left:37001;top:9888;width:1373;height:2104" coordsize="137287,2104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">
                        <v:shape id="2605 Conector" o:spid="_x0000_s1320" type="#_x0000_t120" style="position:absolute;left:73152;top:146304;width:64135;height:641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" fillcolor="#0d0d0d [3069]" stroked="f" strokeweight="2pt"/>
                        <v:shape id="2604 Cuadro de texto" o:spid="_x0000_s1321" type="#_x0000_t202" style="position:absolute;width:62865;height:1485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" filled="f" stroked="f" strokeweight=".5pt">
                          <v:textbox inset="0,0,0,0">
                            <w:txbxContent>
                              <w:p w14:paraId="7AFCB881" w14:textId="77777777" w:rsidR="00D55F13" w:rsidRPr="00394D50" w:rsidRDefault="00D55F13" w:rsidP="0065023A">
                                <w:pPr>
                                  <w:rPr>
                                    <w:i/>
                                  </w:rPr>
                                </w:pPr>
                                <w:r w:rsidRPr="00394D50">
                                  <w:rPr>
                                    <w:i/>
                                  </w:rPr>
                                  <w:t>i</w:t>
                                </w:r>
                              </w:p>
                            </w:txbxContent>
                          </v:textbox>
                        </v:shape>
                      </v:group>
                    </v:group>
                    <v:group id="2078634931 Grupo" o:spid="_x0000_s1322" style="position:absolute;left:36576;top:30834;width:1372;height:2031" coordsize="137287,203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">
                      <v:shape id="2605 Conector" o:spid="_x0000_s1323" type="#_x0000_t120" style="position:absolute;left:73152;top:138989;width:64135;height:641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" fillcolor="#0d0d0d [3069]" stroked="f" strokeweight="2pt"/>
                      <v:shape id="2604 Cuadro de texto" o:spid="_x0000_s1324" type="#_x0000_t202" style="position:absolute;width:62865;height:1485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" filled="f" stroked="f" strokeweight=".5pt">
                        <v:textbox inset="0,0,0,0">
                          <w:txbxContent>
                            <w:p w14:paraId="4C3F195C" w14:textId="77777777" w:rsidR="00D55F13" w:rsidRPr="00394D50" w:rsidRDefault="00D55F13" w:rsidP="0065023A">
                              <w:pPr>
                                <w:rPr>
                                  <w:i/>
                                </w:rPr>
                              </w:pPr>
                              <w:r w:rsidRPr="00394D50">
                                <w:rPr>
                                  <w:i/>
                                </w:rPr>
                                <w:t>i</w:t>
                              </w:r>
                            </w:p>
                          </w:txbxContent>
                        </v:textbox>
                      </v:shape>
                    </v:group>
                  </v:group>
                  <v:shape id="2078634934 Cuadro de texto" o:spid="_x0000_s1325" type="#_x0000_t202" style="position:absolute;left:9781;top:30621;width:2128;height:1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" filled="f" stroked="f" strokeweight=".5pt">
                    <v:textbox inset="0,0,0,0">
                      <w:txbxContent>
                        <w:p w14:paraId="2BBCB8DD" w14:textId="77777777" w:rsidR="00D55F13" w:rsidRPr="00394D50" w:rsidRDefault="00D55F13" w:rsidP="0065023A">
                          <w:pPr>
                            <w:jc w:val="center"/>
                            <w:rPr>
                              <w:i/>
                            </w:rPr>
                          </w:pPr>
                          <w:r w:rsidRPr="00394D50">
                            <w:rPr>
                              <w:i/>
                            </w:rPr>
                            <w:t>i</w:t>
                          </w:r>
                        </w:p>
                      </w:txbxContent>
                    </v:textbox>
                  </v:shape>
                </v:group>
                <v:shape id="2078634935 Cuadro de texto" o:spid="_x0000_s1326" type="#_x0000_t202" style="position:absolute;left:36257;top:35831;width:2318;height:2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" filled="f" stroked="f" strokeweight=".5pt">
                  <v:textbox inset="0,0,0,0">
                    <w:txbxContent>
                      <w:p w14:paraId="020CB2FB" w14:textId="77777777" w:rsidR="00D55F13" w:rsidRPr="00394D50" w:rsidRDefault="00D55F13" w:rsidP="0065023A">
                        <w:pPr>
                          <w:jc w:val="center"/>
                          <w:rPr>
                            <w:color w:val="0D0D0D" w:themeColor="text1" w:themeTint="F2"/>
                            <w:sz w:val="20"/>
                            <w:szCs w:val="20"/>
                          </w:rPr>
                        </w:pPr>
                        <w:r w:rsidRPr="00394D50">
                          <w:rPr>
                            <w:color w:val="0D0D0D" w:themeColor="text1" w:themeTint="F2"/>
                            <w:sz w:val="20"/>
                            <w:szCs w:val="20"/>
                          </w:rPr>
                          <w:t>E</w:t>
                        </w:r>
                        <w:r w:rsidRPr="00394D50">
                          <w:rPr>
                            <w:color w:val="0D0D0D" w:themeColor="text1" w:themeTint="F2"/>
                            <w:sz w:val="20"/>
                            <w:szCs w:val="20"/>
                            <w:vertAlign w:val="subscript"/>
                          </w:rPr>
                          <w:t>2</w:t>
                        </w:r>
                      </w:p>
                    </w:txbxContent>
                  </v:textbox>
                </v:shape>
                <w10:wrap type="topAndBottom"/>
              </v:group>
            </w:pict>
          </mc:Fallback>
        </mc:AlternateContent>
      </w:r>
      <w:r w:rsidR="00077E48" w:rsidRPr="00BD1319">
        <w:rPr>
          <w:rFonts w:eastAsiaTheme="minorHAnsi" w:cs="Arial"/>
          <w:b/>
          <w:bCs/>
          <w:szCs w:val="22"/>
          <w:lang w:eastAsia="en-US"/>
        </w:rPr>
        <w:t xml:space="preserve">Figura </w:t>
      </w:r>
      <w:r w:rsidR="00752A78" w:rsidRPr="00BD1319">
        <w:rPr>
          <w:rFonts w:eastAsiaTheme="minorHAnsi" w:cs="Arial"/>
          <w:b/>
          <w:bCs/>
          <w:szCs w:val="22"/>
          <w:lang w:eastAsia="en-US"/>
        </w:rPr>
        <w:fldChar w:fldCharType="begin"/>
      </w:r>
      <w:r w:rsidR="00752A78" w:rsidRPr="00BD1319">
        <w:rPr>
          <w:rFonts w:eastAsiaTheme="minorHAnsi" w:cs="Arial"/>
          <w:b/>
          <w:bCs/>
          <w:szCs w:val="22"/>
          <w:lang w:eastAsia="en-US"/>
        </w:rPr>
        <w:instrText xml:space="preserve"> SEQ Figura \* ARABIC </w:instrText>
      </w:r>
      <w:r w:rsidR="00752A78" w:rsidRPr="00BD1319">
        <w:rPr>
          <w:rFonts w:eastAsiaTheme="minorHAnsi" w:cs="Arial"/>
          <w:b/>
          <w:bCs/>
          <w:szCs w:val="22"/>
          <w:lang w:eastAsia="en-US"/>
        </w:rPr>
        <w:fldChar w:fldCharType="separate"/>
      </w:r>
      <w:r w:rsidR="00296654" w:rsidRPr="00BD1319">
        <w:rPr>
          <w:rFonts w:eastAsiaTheme="minorHAnsi" w:cs="Arial"/>
          <w:b/>
          <w:bCs/>
          <w:noProof/>
          <w:szCs w:val="22"/>
          <w:lang w:eastAsia="en-US"/>
        </w:rPr>
        <w:t>7</w:t>
      </w:r>
      <w:r w:rsidR="00752A78" w:rsidRPr="00BD1319">
        <w:rPr>
          <w:rFonts w:eastAsiaTheme="minorHAnsi" w:cs="Arial"/>
          <w:b/>
          <w:bCs/>
          <w:szCs w:val="22"/>
          <w:lang w:eastAsia="en-US"/>
        </w:rPr>
        <w:fldChar w:fldCharType="end"/>
      </w:r>
      <w:bookmarkEnd w:id="2529"/>
      <w:r w:rsidR="00077E48" w:rsidRPr="00BD1319">
        <w:rPr>
          <w:rFonts w:eastAsiaTheme="minorHAnsi" w:cs="Arial"/>
          <w:b/>
          <w:bCs/>
          <w:szCs w:val="22"/>
          <w:lang w:eastAsia="en-US"/>
        </w:rPr>
        <w:t xml:space="preserve">. </w:t>
      </w:r>
      <w:r w:rsidR="00077E48" w:rsidRPr="00BD1319">
        <w:rPr>
          <w:rFonts w:eastAsiaTheme="minorHAnsi" w:cs="Arial"/>
          <w:szCs w:val="22"/>
          <w:lang w:eastAsia="es-CO"/>
        </w:rPr>
        <w:t>Delimitación del área de influencia de un componente</w:t>
      </w:r>
    </w:p>
    <w:p w14:paraId="534B25FD" w14:textId="488EB837" w:rsidR="00077E48" w:rsidRPr="00BD1319" w:rsidRDefault="00077E48" w:rsidP="0065023A">
      <w:pPr>
        <w:overflowPunct/>
        <w:autoSpaceDE/>
        <w:autoSpaceDN/>
        <w:adjustRightInd/>
        <w:ind w:left="709" w:right="476"/>
        <w:textAlignment w:val="auto"/>
        <w:rPr>
          <w:rFonts w:eastAsiaTheme="minorHAnsi" w:cs="Arial"/>
          <w:sz w:val="20"/>
          <w:szCs w:val="20"/>
          <w:lang w:eastAsia="es-CO"/>
        </w:rPr>
      </w:pPr>
      <w:r w:rsidRPr="00BD1319">
        <w:rPr>
          <w:rFonts w:eastAsiaTheme="minorHAnsi" w:cs="Arial"/>
          <w:b/>
          <w:sz w:val="20"/>
          <w:szCs w:val="20"/>
          <w:lang w:eastAsia="es-CO"/>
        </w:rPr>
        <w:t>1.</w:t>
      </w:r>
      <w:r w:rsidRPr="00BD1319">
        <w:rPr>
          <w:rFonts w:eastAsiaTheme="minorHAnsi" w:cs="Arial"/>
          <w:sz w:val="20"/>
          <w:szCs w:val="20"/>
          <w:lang w:eastAsia="es-CO"/>
        </w:rPr>
        <w:t xml:space="preserve"> Unidades de análisis (A, B, C, D y E) de un componente; </w:t>
      </w:r>
      <w:r w:rsidRPr="00BD1319">
        <w:rPr>
          <w:rFonts w:eastAsiaTheme="minorHAnsi" w:cs="Arial"/>
          <w:b/>
          <w:sz w:val="20"/>
          <w:szCs w:val="20"/>
          <w:lang w:eastAsia="es-CO"/>
        </w:rPr>
        <w:t>2.</w:t>
      </w:r>
      <w:r w:rsidRPr="00BD1319">
        <w:rPr>
          <w:rFonts w:eastAsiaTheme="minorHAnsi" w:cs="Arial"/>
          <w:sz w:val="20"/>
          <w:szCs w:val="20"/>
          <w:lang w:eastAsia="es-CO"/>
        </w:rPr>
        <w:t xml:space="preserve"> Unidades de análisis divididas de forma objetiva en las unidades de análisis A</w:t>
      </w:r>
      <w:r w:rsidRPr="00BD1319">
        <w:rPr>
          <w:rFonts w:eastAsiaTheme="minorHAnsi" w:cs="Arial"/>
          <w:sz w:val="20"/>
          <w:szCs w:val="20"/>
          <w:vertAlign w:val="subscript"/>
          <w:lang w:eastAsia="es-CO"/>
        </w:rPr>
        <w:t>1</w:t>
      </w:r>
      <w:r w:rsidRPr="00BD1319">
        <w:rPr>
          <w:rFonts w:eastAsiaTheme="minorHAnsi" w:cs="Arial"/>
          <w:sz w:val="20"/>
          <w:szCs w:val="20"/>
          <w:lang w:eastAsia="es-CO"/>
        </w:rPr>
        <w:t>, A</w:t>
      </w:r>
      <w:r w:rsidRPr="00BD1319">
        <w:rPr>
          <w:rFonts w:eastAsiaTheme="minorHAnsi" w:cs="Arial"/>
          <w:sz w:val="20"/>
          <w:szCs w:val="20"/>
          <w:vertAlign w:val="subscript"/>
          <w:lang w:eastAsia="es-CO"/>
        </w:rPr>
        <w:t>2</w:t>
      </w:r>
      <w:r w:rsidRPr="00BD1319">
        <w:rPr>
          <w:rFonts w:eastAsiaTheme="minorHAnsi" w:cs="Arial"/>
          <w:sz w:val="20"/>
          <w:szCs w:val="20"/>
          <w:lang w:eastAsia="es-CO"/>
        </w:rPr>
        <w:t>, B</w:t>
      </w:r>
      <w:r w:rsidRPr="00BD1319">
        <w:rPr>
          <w:rFonts w:eastAsiaTheme="minorHAnsi" w:cs="Arial"/>
          <w:sz w:val="20"/>
          <w:szCs w:val="20"/>
          <w:vertAlign w:val="subscript"/>
          <w:lang w:eastAsia="es-CO"/>
        </w:rPr>
        <w:t>1</w:t>
      </w:r>
      <w:r w:rsidRPr="00BD1319">
        <w:rPr>
          <w:rFonts w:eastAsiaTheme="minorHAnsi" w:cs="Arial"/>
          <w:sz w:val="20"/>
          <w:szCs w:val="20"/>
          <w:lang w:eastAsia="es-CO"/>
        </w:rPr>
        <w:t>, B</w:t>
      </w:r>
      <w:r w:rsidRPr="00BD1319">
        <w:rPr>
          <w:rFonts w:eastAsiaTheme="minorHAnsi" w:cs="Arial"/>
          <w:sz w:val="20"/>
          <w:szCs w:val="20"/>
          <w:vertAlign w:val="subscript"/>
          <w:lang w:eastAsia="es-CO"/>
        </w:rPr>
        <w:t>2</w:t>
      </w:r>
      <w:r w:rsidRPr="00BD1319">
        <w:rPr>
          <w:rFonts w:eastAsiaTheme="minorHAnsi" w:cs="Arial"/>
          <w:sz w:val="20"/>
          <w:szCs w:val="20"/>
          <w:lang w:eastAsia="es-CO"/>
        </w:rPr>
        <w:t>, C, D</w:t>
      </w:r>
      <w:r w:rsidRPr="00BD1319">
        <w:rPr>
          <w:rFonts w:eastAsiaTheme="minorHAnsi" w:cs="Arial"/>
          <w:sz w:val="20"/>
          <w:szCs w:val="20"/>
          <w:vertAlign w:val="subscript"/>
          <w:lang w:eastAsia="es-CO"/>
        </w:rPr>
        <w:t>1</w:t>
      </w:r>
      <w:r w:rsidRPr="00BD1319">
        <w:rPr>
          <w:rFonts w:eastAsiaTheme="minorHAnsi" w:cs="Arial"/>
          <w:sz w:val="20"/>
          <w:szCs w:val="20"/>
          <w:lang w:eastAsia="es-CO"/>
        </w:rPr>
        <w:t>, D</w:t>
      </w:r>
      <w:r w:rsidRPr="00BD1319">
        <w:rPr>
          <w:rFonts w:eastAsiaTheme="minorHAnsi" w:cs="Arial"/>
          <w:sz w:val="20"/>
          <w:szCs w:val="20"/>
          <w:vertAlign w:val="subscript"/>
          <w:lang w:eastAsia="es-CO"/>
        </w:rPr>
        <w:t>2</w:t>
      </w:r>
      <w:r w:rsidRPr="00BD1319">
        <w:rPr>
          <w:rFonts w:eastAsiaTheme="minorHAnsi" w:cs="Arial"/>
          <w:sz w:val="20"/>
          <w:szCs w:val="20"/>
          <w:lang w:eastAsia="es-CO"/>
        </w:rPr>
        <w:t>, E</w:t>
      </w:r>
      <w:r w:rsidRPr="00BD1319">
        <w:rPr>
          <w:rFonts w:eastAsiaTheme="minorHAnsi" w:cs="Arial"/>
          <w:sz w:val="20"/>
          <w:szCs w:val="20"/>
          <w:vertAlign w:val="subscript"/>
          <w:lang w:eastAsia="es-CO"/>
        </w:rPr>
        <w:t>1</w:t>
      </w:r>
      <w:r w:rsidRPr="00BD1319">
        <w:rPr>
          <w:rFonts w:eastAsiaTheme="minorHAnsi" w:cs="Arial"/>
          <w:sz w:val="20"/>
          <w:szCs w:val="20"/>
          <w:lang w:eastAsia="es-CO"/>
        </w:rPr>
        <w:t xml:space="preserve"> y E</w:t>
      </w:r>
      <w:r w:rsidRPr="00BD1319">
        <w:rPr>
          <w:rFonts w:eastAsiaTheme="minorHAnsi" w:cs="Arial"/>
          <w:sz w:val="20"/>
          <w:szCs w:val="20"/>
          <w:vertAlign w:val="subscript"/>
          <w:lang w:eastAsia="es-CO"/>
        </w:rPr>
        <w:t xml:space="preserve">2 </w:t>
      </w:r>
      <w:r w:rsidRPr="00BD1319">
        <w:rPr>
          <w:rFonts w:eastAsiaTheme="minorHAnsi" w:cs="Arial"/>
          <w:sz w:val="20"/>
          <w:szCs w:val="20"/>
          <w:lang w:eastAsia="es-CO"/>
        </w:rPr>
        <w:t xml:space="preserve">mediante diversos criterios de conformación (líneas discontinuas); </w:t>
      </w:r>
      <w:r w:rsidRPr="00BD1319">
        <w:rPr>
          <w:rFonts w:eastAsiaTheme="minorHAnsi" w:cs="Arial"/>
          <w:b/>
          <w:sz w:val="20"/>
          <w:szCs w:val="20"/>
          <w:lang w:eastAsia="es-CO"/>
        </w:rPr>
        <w:t>3.</w:t>
      </w:r>
      <w:r w:rsidRPr="00BD1319">
        <w:rPr>
          <w:rFonts w:eastAsiaTheme="minorHAnsi" w:cs="Arial"/>
          <w:sz w:val="20"/>
          <w:szCs w:val="20"/>
          <w:lang w:eastAsia="es-CO"/>
        </w:rPr>
        <w:t xml:space="preserve"> </w:t>
      </w:r>
      <w:r w:rsidR="00A51056" w:rsidRPr="00BD1319">
        <w:rPr>
          <w:rFonts w:eastAsiaTheme="minorHAnsi" w:cs="Arial"/>
          <w:sz w:val="20"/>
          <w:szCs w:val="20"/>
          <w:lang w:eastAsia="es-CO"/>
        </w:rPr>
        <w:t xml:space="preserve">Determinación </w:t>
      </w:r>
      <w:r w:rsidRPr="00BD1319">
        <w:rPr>
          <w:rFonts w:eastAsiaTheme="minorHAnsi" w:cs="Arial"/>
          <w:sz w:val="20"/>
          <w:szCs w:val="20"/>
          <w:lang w:eastAsia="es-CO"/>
        </w:rPr>
        <w:t xml:space="preserve">de las unidades de análisis en las que se manifiestan los impactos ambientales significativos de un proyecto, obra o actividad localizado en el punto </w:t>
      </w:r>
      <w:r w:rsidRPr="00BD1319">
        <w:rPr>
          <w:rFonts w:eastAsiaTheme="minorHAnsi" w:cs="Arial"/>
          <w:i/>
          <w:sz w:val="20"/>
          <w:szCs w:val="20"/>
          <w:lang w:eastAsia="es-CO"/>
        </w:rPr>
        <w:t>i</w:t>
      </w:r>
      <w:r w:rsidRPr="00BD1319">
        <w:rPr>
          <w:rFonts w:eastAsiaTheme="minorHAnsi" w:cs="Arial"/>
          <w:sz w:val="20"/>
          <w:szCs w:val="20"/>
          <w:lang w:eastAsia="es-CO"/>
        </w:rPr>
        <w:t xml:space="preserve">; </w:t>
      </w:r>
      <w:r w:rsidRPr="00BD1319">
        <w:rPr>
          <w:rFonts w:eastAsiaTheme="minorHAnsi" w:cs="Arial"/>
          <w:b/>
          <w:sz w:val="20"/>
          <w:szCs w:val="20"/>
          <w:lang w:eastAsia="es-CO"/>
        </w:rPr>
        <w:t>4.</w:t>
      </w:r>
      <w:r w:rsidRPr="00BD1319">
        <w:rPr>
          <w:rFonts w:eastAsiaTheme="minorHAnsi" w:cs="Arial"/>
          <w:sz w:val="20"/>
          <w:szCs w:val="20"/>
          <w:lang w:eastAsia="es-CO"/>
        </w:rPr>
        <w:t xml:space="preserve"> Representación cartográfica de las unidades de análisis en las cuales se manifiestan </w:t>
      </w:r>
      <w:r w:rsidRPr="00BD1319">
        <w:rPr>
          <w:rFonts w:eastAsiaTheme="minorHAnsi" w:cs="Arial"/>
          <w:sz w:val="20"/>
          <w:szCs w:val="20"/>
          <w:lang w:eastAsia="es-CO"/>
        </w:rPr>
        <w:lastRenderedPageBreak/>
        <w:t>los impactos ambientales significativos (A</w:t>
      </w:r>
      <w:r w:rsidRPr="00BD1319">
        <w:rPr>
          <w:rFonts w:eastAsiaTheme="minorHAnsi" w:cs="Arial"/>
          <w:sz w:val="20"/>
          <w:szCs w:val="20"/>
          <w:vertAlign w:val="subscript"/>
          <w:lang w:eastAsia="es-CO"/>
        </w:rPr>
        <w:t>1</w:t>
      </w:r>
      <w:r w:rsidRPr="00BD1319">
        <w:rPr>
          <w:rFonts w:eastAsiaTheme="minorHAnsi" w:cs="Arial"/>
          <w:sz w:val="20"/>
          <w:szCs w:val="20"/>
          <w:lang w:eastAsia="es-CO"/>
        </w:rPr>
        <w:t>, B</w:t>
      </w:r>
      <w:r w:rsidRPr="00BD1319">
        <w:rPr>
          <w:rFonts w:eastAsiaTheme="minorHAnsi" w:cs="Arial"/>
          <w:sz w:val="20"/>
          <w:szCs w:val="20"/>
          <w:vertAlign w:val="subscript"/>
          <w:lang w:eastAsia="es-CO"/>
        </w:rPr>
        <w:t>2</w:t>
      </w:r>
      <w:r w:rsidRPr="00BD1319">
        <w:rPr>
          <w:rFonts w:eastAsiaTheme="minorHAnsi" w:cs="Arial"/>
          <w:sz w:val="20"/>
          <w:szCs w:val="20"/>
          <w:lang w:eastAsia="es-CO"/>
        </w:rPr>
        <w:t>, D</w:t>
      </w:r>
      <w:r w:rsidRPr="00BD1319">
        <w:rPr>
          <w:rFonts w:eastAsiaTheme="minorHAnsi" w:cs="Arial"/>
          <w:sz w:val="20"/>
          <w:szCs w:val="20"/>
          <w:vertAlign w:val="subscript"/>
          <w:lang w:eastAsia="es-CO"/>
        </w:rPr>
        <w:t>1</w:t>
      </w:r>
      <w:r w:rsidR="0065023A" w:rsidRPr="00BD1319">
        <w:rPr>
          <w:rFonts w:eastAsiaTheme="minorHAnsi" w:cs="Arial"/>
          <w:sz w:val="20"/>
          <w:szCs w:val="20"/>
          <w:vertAlign w:val="subscript"/>
          <w:lang w:eastAsia="es-CO"/>
        </w:rPr>
        <w:t>,</w:t>
      </w:r>
      <w:r w:rsidRPr="00BD1319">
        <w:rPr>
          <w:rFonts w:eastAsiaTheme="minorHAnsi" w:cs="Arial"/>
          <w:sz w:val="20"/>
          <w:szCs w:val="20"/>
          <w:lang w:eastAsia="es-CO"/>
        </w:rPr>
        <w:t xml:space="preserve"> E</w:t>
      </w:r>
      <w:r w:rsidRPr="00BD1319">
        <w:rPr>
          <w:rFonts w:eastAsiaTheme="minorHAnsi" w:cs="Arial"/>
          <w:sz w:val="20"/>
          <w:szCs w:val="20"/>
          <w:vertAlign w:val="subscript"/>
          <w:lang w:eastAsia="es-CO"/>
        </w:rPr>
        <w:t>1</w:t>
      </w:r>
      <w:r w:rsidR="0065023A" w:rsidRPr="00BD1319">
        <w:rPr>
          <w:rFonts w:eastAsiaTheme="minorHAnsi" w:cs="Arial"/>
          <w:sz w:val="20"/>
          <w:szCs w:val="20"/>
          <w:lang w:eastAsia="es-CO"/>
        </w:rPr>
        <w:t xml:space="preserve"> y E</w:t>
      </w:r>
      <w:r w:rsidR="0065023A" w:rsidRPr="00BD1319">
        <w:rPr>
          <w:rFonts w:eastAsiaTheme="minorHAnsi" w:cs="Arial"/>
          <w:sz w:val="20"/>
          <w:szCs w:val="20"/>
          <w:vertAlign w:val="subscript"/>
          <w:lang w:eastAsia="es-CO"/>
        </w:rPr>
        <w:t>2</w:t>
      </w:r>
      <w:r w:rsidRPr="00BD1319">
        <w:rPr>
          <w:rFonts w:eastAsiaTheme="minorHAnsi" w:cs="Arial"/>
          <w:sz w:val="20"/>
          <w:szCs w:val="20"/>
          <w:lang w:eastAsia="es-CO"/>
        </w:rPr>
        <w:t>), es decir, del área de influencia del componente.</w:t>
      </w:r>
    </w:p>
    <w:p w14:paraId="04FD3474" w14:textId="77777777" w:rsidR="00077E48" w:rsidRPr="00BD1319" w:rsidRDefault="00077E48" w:rsidP="00077E48">
      <w:pPr>
        <w:rPr>
          <w:rFonts w:cs="Arial"/>
        </w:rPr>
      </w:pPr>
    </w:p>
    <w:p w14:paraId="7FD08F4F" w14:textId="7F7414D8" w:rsidR="007C139A" w:rsidRPr="00BD1319" w:rsidRDefault="007C139A" w:rsidP="007C139A">
      <w:pPr>
        <w:pStyle w:val="Prrafodelista"/>
        <w:ind w:left="567"/>
        <w:contextualSpacing/>
        <w:rPr>
          <w:rFonts w:cs="Arial"/>
          <w:lang w:val="es-CO"/>
        </w:rPr>
      </w:pPr>
      <w:r w:rsidRPr="00BD1319">
        <w:rPr>
          <w:rFonts w:cs="Arial"/>
          <w:spacing w:val="-3"/>
          <w:lang w:val="es-CO"/>
        </w:rPr>
        <w:t xml:space="preserve">Resulta necesario verificar </w:t>
      </w:r>
      <w:r w:rsidRPr="00BD1319">
        <w:rPr>
          <w:rFonts w:cs="Arial"/>
          <w:lang w:val="es-CO"/>
        </w:rPr>
        <w:t>que los límites de las unidades de análisis constituyan una barrera y que circunscriban a un entorno limitado, la manifestación de los impactos ambientales significativos, recordando que tales unidades pudieron ser conformadas por criterios que señalan la existencia de elementos o fenómenos que tienen la posibilidad de conformar obstáculos a la difusión de dichos impactos. Por ejemplo, un río empleado como criterio para afinar las unidades de análisis de un componente del medio biótico, puede limitar la manifestación de impactos en tal medio, pero podría no impedir la manifestación de cierto impacto soci</w:t>
      </w:r>
      <w:r w:rsidR="003012E7" w:rsidRPr="00BD1319">
        <w:rPr>
          <w:rFonts w:cs="Arial"/>
          <w:lang w:val="es-CO"/>
        </w:rPr>
        <w:t>o</w:t>
      </w:r>
      <w:r w:rsidRPr="00BD1319">
        <w:rPr>
          <w:rFonts w:cs="Arial"/>
          <w:lang w:val="es-CO"/>
        </w:rPr>
        <w:t>económico en ambos costados de su corriente, a pesar de que tal río separe dos sectores de una misma vereda.</w:t>
      </w:r>
    </w:p>
    <w:p w14:paraId="432CF4EB" w14:textId="77777777" w:rsidR="007C139A" w:rsidRPr="00BD1319" w:rsidRDefault="007C139A" w:rsidP="00077E48">
      <w:pPr>
        <w:rPr>
          <w:rFonts w:cs="Arial"/>
        </w:rPr>
      </w:pPr>
    </w:p>
    <w:p w14:paraId="5D66A9AE" w14:textId="39514439" w:rsidR="007C139A" w:rsidRPr="00BD1319" w:rsidRDefault="007C139A" w:rsidP="007C139A">
      <w:pPr>
        <w:pStyle w:val="Prrafodelista"/>
        <w:numPr>
          <w:ilvl w:val="0"/>
          <w:numId w:val="17"/>
        </w:numPr>
        <w:ind w:left="567" w:hanging="567"/>
        <w:contextualSpacing/>
        <w:rPr>
          <w:rFonts w:cs="Arial"/>
          <w:lang w:val="es-CO"/>
        </w:rPr>
      </w:pPr>
      <w:r w:rsidRPr="00BD1319">
        <w:rPr>
          <w:rFonts w:cs="Arial"/>
          <w:lang w:val="es-CO"/>
        </w:rPr>
        <w:t>Representar cartográficamente</w:t>
      </w:r>
      <w:r w:rsidRPr="00BD1319">
        <w:rPr>
          <w:rStyle w:val="Refdenotaalpie"/>
          <w:rFonts w:cs="Arial"/>
          <w:lang w:val="es-CO"/>
        </w:rPr>
        <w:footnoteReference w:id="82"/>
      </w:r>
      <w:r w:rsidRPr="00BD1319">
        <w:rPr>
          <w:rFonts w:cs="Arial"/>
          <w:lang w:val="es-CO"/>
        </w:rPr>
        <w:t xml:space="preserve"> el área en la que se manifiestan los impactos ambientales significativos de cada componente, integrando las superficies de las unidades de análisis en las que se identificó la manifestación de dichos impactos (ver </w:t>
      </w:r>
      <w:r w:rsidRPr="00BD1319">
        <w:rPr>
          <w:rFonts w:cs="Arial"/>
          <w:lang w:val="es-CO"/>
        </w:rPr>
        <w:fldChar w:fldCharType="begin"/>
      </w:r>
      <w:r w:rsidRPr="00BD1319">
        <w:rPr>
          <w:rFonts w:cs="Arial"/>
          <w:lang w:val="es-CO"/>
        </w:rPr>
        <w:instrText xml:space="preserve"> REF _Ref37426624 \h  \* MERGEFORMAT </w:instrText>
      </w:r>
      <w:r w:rsidRPr="00BD1319">
        <w:rPr>
          <w:rFonts w:cs="Arial"/>
          <w:lang w:val="es-CO"/>
        </w:rPr>
      </w:r>
      <w:r w:rsidRPr="00BD1319">
        <w:rPr>
          <w:rFonts w:cs="Arial"/>
          <w:lang w:val="es-CO"/>
        </w:rPr>
        <w:fldChar w:fldCharType="separate"/>
      </w:r>
      <w:r w:rsidR="00296654" w:rsidRPr="00BD1319">
        <w:rPr>
          <w:rFonts w:eastAsiaTheme="minorHAnsi" w:cs="Arial"/>
          <w:bCs/>
          <w:szCs w:val="22"/>
          <w:lang w:val="es-CO" w:eastAsia="en-US"/>
        </w:rPr>
        <w:t>Figura 7</w:t>
      </w:r>
      <w:r w:rsidRPr="00BD1319">
        <w:rPr>
          <w:rFonts w:cs="Arial"/>
          <w:lang w:val="es-CO"/>
        </w:rPr>
        <w:fldChar w:fldCharType="end"/>
      </w:r>
      <w:r w:rsidRPr="00BD1319">
        <w:rPr>
          <w:rFonts w:cs="Arial"/>
          <w:lang w:val="es-CO"/>
        </w:rPr>
        <w:t xml:space="preserve">, recuadro 4). En caso de que para un componente se haya seleccionado más de un tipo de unidad de análisis, se debe asegurar que la delimitación contemple todas las unidades de análisis en las que se identificó </w:t>
      </w:r>
      <w:r w:rsidR="00B71AF3" w:rsidRPr="00BD1319">
        <w:rPr>
          <w:rFonts w:cs="Arial"/>
          <w:lang w:val="es-CO"/>
        </w:rPr>
        <w:t>l</w:t>
      </w:r>
      <w:r w:rsidRPr="00BD1319">
        <w:rPr>
          <w:rFonts w:cs="Arial"/>
          <w:lang w:val="es-CO"/>
        </w:rPr>
        <w:t>a manifestación de impactos significativos.</w:t>
      </w:r>
    </w:p>
    <w:p w14:paraId="47713763" w14:textId="77777777" w:rsidR="007C139A" w:rsidRPr="00BD1319" w:rsidRDefault="007C139A" w:rsidP="00077E48">
      <w:pPr>
        <w:rPr>
          <w:rFonts w:cs="Arial"/>
        </w:rPr>
      </w:pPr>
    </w:p>
    <w:p w14:paraId="00D1FBF1" w14:textId="4D142545" w:rsidR="00077E48" w:rsidRPr="00BD1319" w:rsidRDefault="00077E48" w:rsidP="00077E48">
      <w:pPr>
        <w:pStyle w:val="Prrafodelista"/>
        <w:numPr>
          <w:ilvl w:val="0"/>
          <w:numId w:val="17"/>
        </w:numPr>
        <w:ind w:left="567" w:hanging="567"/>
        <w:contextualSpacing/>
        <w:rPr>
          <w:rFonts w:cs="Arial"/>
          <w:lang w:val="es-CO"/>
        </w:rPr>
      </w:pPr>
      <w:r w:rsidRPr="00BD1319">
        <w:rPr>
          <w:rFonts w:cs="Arial"/>
          <w:lang w:val="es-CO"/>
        </w:rPr>
        <w:t xml:space="preserve">Representar cartográficamente el área de influencia de cada uno de los medios, integrando las superficies de las áreas de influencia de todos los componentes que apliquen a cada caso (ver </w:t>
      </w:r>
      <w:r w:rsidRPr="00BD1319">
        <w:rPr>
          <w:rFonts w:cs="Arial"/>
          <w:lang w:val="es-CO"/>
        </w:rPr>
        <w:fldChar w:fldCharType="begin"/>
      </w:r>
      <w:r w:rsidRPr="00BD1319">
        <w:rPr>
          <w:rFonts w:cs="Arial"/>
          <w:lang w:val="es-CO"/>
        </w:rPr>
        <w:instrText xml:space="preserve"> REF _Ref38259738 \h </w:instrText>
      </w:r>
      <w:r w:rsidR="006A4128" w:rsidRPr="00BD1319">
        <w:rPr>
          <w:rFonts w:cs="Arial"/>
          <w:lang w:val="es-CO"/>
        </w:rPr>
        <w:instrText xml:space="preserve"> \* MERGEFORMAT </w:instrText>
      </w:r>
      <w:r w:rsidRPr="00BD1319">
        <w:rPr>
          <w:rFonts w:cs="Arial"/>
          <w:lang w:val="es-CO"/>
        </w:rPr>
      </w:r>
      <w:r w:rsidRPr="00BD1319">
        <w:rPr>
          <w:rFonts w:cs="Arial"/>
          <w:lang w:val="es-CO"/>
        </w:rPr>
        <w:fldChar w:fldCharType="separate"/>
      </w:r>
      <w:r w:rsidR="00296654" w:rsidRPr="00BD1319">
        <w:rPr>
          <w:rFonts w:cs="Arial"/>
          <w:szCs w:val="22"/>
          <w:lang w:val="es-CO"/>
        </w:rPr>
        <w:t>Figura 5</w:t>
      </w:r>
      <w:r w:rsidRPr="00BD1319">
        <w:rPr>
          <w:rFonts w:cs="Arial"/>
          <w:lang w:val="es-CO"/>
        </w:rPr>
        <w:fldChar w:fldCharType="end"/>
      </w:r>
      <w:r w:rsidRPr="00BD1319">
        <w:rPr>
          <w:rFonts w:cs="Arial"/>
          <w:lang w:val="es-CO"/>
        </w:rPr>
        <w:t>).</w:t>
      </w:r>
    </w:p>
    <w:p w14:paraId="12BB1010" w14:textId="77777777" w:rsidR="00077E48" w:rsidRPr="00BD1319" w:rsidRDefault="00077E48" w:rsidP="00E93324">
      <w:pPr>
        <w:contextualSpacing/>
        <w:rPr>
          <w:rFonts w:cs="Arial"/>
        </w:rPr>
      </w:pPr>
    </w:p>
    <w:p w14:paraId="2D64028B" w14:textId="5AFE3031" w:rsidR="00077E48" w:rsidRPr="00BD1319" w:rsidRDefault="00077E48" w:rsidP="00077E48">
      <w:pPr>
        <w:pStyle w:val="Prrafodelista"/>
        <w:numPr>
          <w:ilvl w:val="0"/>
          <w:numId w:val="17"/>
        </w:numPr>
        <w:ind w:left="567" w:hanging="567"/>
        <w:contextualSpacing/>
        <w:rPr>
          <w:rFonts w:cs="Arial"/>
          <w:lang w:val="es-CO"/>
        </w:rPr>
      </w:pPr>
      <w:r w:rsidRPr="00BD1319">
        <w:rPr>
          <w:rFonts w:cs="Arial"/>
          <w:lang w:val="es-CO"/>
        </w:rPr>
        <w:t xml:space="preserve">Representar cartográficamente el área de influencia del proyecto, </w:t>
      </w:r>
      <w:r w:rsidR="00BC2EE3" w:rsidRPr="00BD1319">
        <w:rPr>
          <w:rFonts w:cs="Arial"/>
          <w:lang w:val="es-CO"/>
        </w:rPr>
        <w:t xml:space="preserve">obra o actividad, </w:t>
      </w:r>
      <w:r w:rsidRPr="00BD1319">
        <w:rPr>
          <w:rFonts w:cs="Arial"/>
          <w:lang w:val="es-CO"/>
        </w:rPr>
        <w:t>integrando las superficies de las áreas de influencia de los medios abiótico, biótico y socioeconómico.</w:t>
      </w:r>
    </w:p>
    <w:p w14:paraId="70C24D78" w14:textId="77777777" w:rsidR="00077E48" w:rsidRPr="00BD1319" w:rsidRDefault="00077E48" w:rsidP="00077E48"/>
    <w:p w14:paraId="6922FB46" w14:textId="288A3159" w:rsidR="00077E48" w:rsidRPr="00BD1319" w:rsidRDefault="00077E48" w:rsidP="00077E48">
      <w:pPr>
        <w:numPr>
          <w:ilvl w:val="12"/>
          <w:numId w:val="0"/>
        </w:numPr>
        <w:tabs>
          <w:tab w:val="left" w:pos="-2268"/>
        </w:tabs>
        <w:suppressAutoHyphens/>
        <w:rPr>
          <w:rFonts w:cs="Arial"/>
          <w:spacing w:val="-3"/>
        </w:rPr>
      </w:pPr>
      <w:r w:rsidRPr="00BD1319">
        <w:rPr>
          <w:rFonts w:cs="Arial"/>
          <w:spacing w:val="-3"/>
        </w:rPr>
        <w:t>El proceso de delimitación del área de influencia debe estar apoyado en el uso de software de procesamiento geoespacial, la model</w:t>
      </w:r>
      <w:r w:rsidR="00C74BBB" w:rsidRPr="00BD1319">
        <w:rPr>
          <w:rFonts w:cs="Arial"/>
          <w:spacing w:val="-3"/>
        </w:rPr>
        <w:t>iz</w:t>
      </w:r>
      <w:r w:rsidRPr="00BD1319">
        <w:rPr>
          <w:rFonts w:cs="Arial"/>
          <w:spacing w:val="-3"/>
        </w:rPr>
        <w:t>ación de sistemas, la validación de dichos modelos, los estudios de caso y el conocimiento de expertos, entre otras herramientas. En el estudio ambiental, se debe describir de forma clara y concisa el método empleado para delimitar el área de influencia, indicando los cálculos, funciones, ponderaciones y otras consideraciones o procesos de transformación de información geográfica que se utilizaron.</w:t>
      </w:r>
    </w:p>
    <w:p w14:paraId="7E0EACA1" w14:textId="77777777" w:rsidR="00077E48" w:rsidRPr="00BD1319" w:rsidRDefault="00077E48" w:rsidP="00077E48">
      <w:pPr>
        <w:numPr>
          <w:ilvl w:val="12"/>
          <w:numId w:val="0"/>
        </w:numPr>
        <w:tabs>
          <w:tab w:val="left" w:pos="-2268"/>
        </w:tabs>
        <w:suppressAutoHyphens/>
        <w:rPr>
          <w:rFonts w:cs="Arial"/>
          <w:spacing w:val="-3"/>
        </w:rPr>
      </w:pPr>
    </w:p>
    <w:p w14:paraId="14019487" w14:textId="02E90752" w:rsidR="00077E48" w:rsidRPr="00BD1319" w:rsidRDefault="00077E48" w:rsidP="00077E48">
      <w:pPr>
        <w:numPr>
          <w:ilvl w:val="12"/>
          <w:numId w:val="0"/>
        </w:numPr>
        <w:tabs>
          <w:tab w:val="left" w:pos="-2268"/>
        </w:tabs>
        <w:suppressAutoHyphens/>
        <w:rPr>
          <w:spacing w:val="-3"/>
        </w:rPr>
      </w:pPr>
      <w:r w:rsidRPr="00BD1319">
        <w:rPr>
          <w:spacing w:val="-3"/>
        </w:rPr>
        <w:lastRenderedPageBreak/>
        <w:t xml:space="preserve">Para sintetizar mapas con diferentes unidades de análisis es posible aplicar operaciones espaciales como agregación, desagregación y estadística espacial, </w:t>
      </w:r>
      <w:r w:rsidR="003012E7" w:rsidRPr="00BD1319">
        <w:rPr>
          <w:spacing w:val="-3"/>
        </w:rPr>
        <w:t xml:space="preserve">así como </w:t>
      </w:r>
      <w:r w:rsidRPr="00BD1319">
        <w:rPr>
          <w:spacing w:val="-3"/>
        </w:rPr>
        <w:t>otras herramientas que permitan integrar información cuantitativa y cualitativa.</w:t>
      </w:r>
    </w:p>
    <w:p w14:paraId="1BABB212" w14:textId="77777777" w:rsidR="00077E48" w:rsidRPr="00BD1319" w:rsidRDefault="00077E48" w:rsidP="00077E48">
      <w:pPr>
        <w:numPr>
          <w:ilvl w:val="12"/>
          <w:numId w:val="0"/>
        </w:numPr>
        <w:tabs>
          <w:tab w:val="left" w:pos="-2268"/>
        </w:tabs>
        <w:suppressAutoHyphens/>
        <w:rPr>
          <w:rFonts w:cs="Arial"/>
          <w:spacing w:val="-3"/>
        </w:rPr>
      </w:pPr>
    </w:p>
    <w:p w14:paraId="24DB2AC4" w14:textId="616CF3B8" w:rsidR="00077E48" w:rsidRPr="00BD1319" w:rsidRDefault="00077E48" w:rsidP="00077E48">
      <w:pPr>
        <w:numPr>
          <w:ilvl w:val="12"/>
          <w:numId w:val="0"/>
        </w:numPr>
        <w:tabs>
          <w:tab w:val="left" w:pos="-2268"/>
        </w:tabs>
        <w:suppressAutoHyphens/>
      </w:pPr>
      <w:r w:rsidRPr="00BD1319">
        <w:rPr>
          <w:rFonts w:cs="Arial"/>
          <w:spacing w:val="-3"/>
        </w:rPr>
        <w:t>El estudio ambiental debe presentar, además del área de influencia</w:t>
      </w:r>
      <w:r w:rsidRPr="00BD1319">
        <w:rPr>
          <w:rFonts w:cs="Arial"/>
          <w:i/>
          <w:spacing w:val="-3"/>
        </w:rPr>
        <w:t xml:space="preserve"> </w:t>
      </w:r>
      <w:r w:rsidRPr="00BD1319">
        <w:rPr>
          <w:rFonts w:cs="Arial"/>
          <w:spacing w:val="-3"/>
        </w:rPr>
        <w:t>del proyecto, obra o actividad, el área de influencia de cada componente, grupo de componentes</w:t>
      </w:r>
      <w:r w:rsidR="003012E7" w:rsidRPr="00BD1319">
        <w:rPr>
          <w:rFonts w:cs="Arial"/>
          <w:spacing w:val="-3"/>
        </w:rPr>
        <w:t xml:space="preserve"> (si aplica)</w:t>
      </w:r>
      <w:r w:rsidRPr="00BD1319">
        <w:rPr>
          <w:rFonts w:cs="Arial"/>
          <w:spacing w:val="-3"/>
        </w:rPr>
        <w:t xml:space="preserve"> y medio; tales áreas deben estar debidamente sustentadas y cartografiadas a partir del procedimiento que se ejecute para su delimitación.</w:t>
      </w:r>
    </w:p>
    <w:p w14:paraId="07046CF6" w14:textId="77777777" w:rsidR="00077E48" w:rsidRPr="00BD1319" w:rsidRDefault="00077E48" w:rsidP="00077E48">
      <w:pPr>
        <w:numPr>
          <w:ilvl w:val="12"/>
          <w:numId w:val="0"/>
        </w:numPr>
        <w:tabs>
          <w:tab w:val="left" w:pos="-2268"/>
        </w:tabs>
        <w:suppressAutoHyphens/>
      </w:pPr>
    </w:p>
    <w:p w14:paraId="4FD4BEFB" w14:textId="40CA7F80" w:rsidR="00077E48" w:rsidRPr="00BD1319" w:rsidRDefault="00077E48" w:rsidP="00077E48">
      <w:pPr>
        <w:numPr>
          <w:ilvl w:val="12"/>
          <w:numId w:val="0"/>
        </w:numPr>
        <w:tabs>
          <w:tab w:val="left" w:pos="-2268"/>
        </w:tabs>
        <w:suppressAutoHyphens/>
        <w:rPr>
          <w:rFonts w:cs="Arial"/>
          <w:spacing w:val="-3"/>
        </w:rPr>
      </w:pPr>
      <w:r w:rsidRPr="00BD1319">
        <w:rPr>
          <w:rFonts w:cs="Arial"/>
          <w:spacing w:val="-3"/>
        </w:rPr>
        <w:t xml:space="preserve">En el estudio ambiental y en el </w:t>
      </w:r>
      <w:r w:rsidR="007A2FC3" w:rsidRPr="00BD1319">
        <w:rPr>
          <w:rFonts w:cs="Arial"/>
          <w:spacing w:val="-3"/>
        </w:rPr>
        <w:t xml:space="preserve">MAG </w:t>
      </w:r>
      <w:r w:rsidRPr="00BD1319">
        <w:rPr>
          <w:rFonts w:cs="Arial"/>
          <w:spacing w:val="-3"/>
        </w:rPr>
        <w:t>que se presenten ante la autoridad ambiental, no se debe incorporar la información preliminar que se utilice, analice o genere durante el proceso de delimitación del área de influencia; en dicho documento y modelo, se debe estructurar únicamente la información referida al área de influencia definitiva</w:t>
      </w:r>
      <w:r w:rsidR="007A2FC3" w:rsidRPr="00BD1319">
        <w:rPr>
          <w:rFonts w:cs="Arial"/>
          <w:spacing w:val="-3"/>
        </w:rPr>
        <w:t xml:space="preserve"> de cada componente, grupo de componentes (si aplica), medio y proyecto, obra o actividad</w:t>
      </w:r>
      <w:r w:rsidRPr="00BD1319">
        <w:rPr>
          <w:rFonts w:cs="Arial"/>
          <w:spacing w:val="-3"/>
        </w:rPr>
        <w:t>.</w:t>
      </w:r>
    </w:p>
    <w:p w14:paraId="2FAF8411" w14:textId="77777777" w:rsidR="00077E48" w:rsidRPr="00BD1319" w:rsidRDefault="00077E48" w:rsidP="00077E48">
      <w:pPr>
        <w:numPr>
          <w:ilvl w:val="12"/>
          <w:numId w:val="0"/>
        </w:numPr>
        <w:tabs>
          <w:tab w:val="left" w:pos="-2268"/>
        </w:tabs>
        <w:suppressAutoHyphens/>
        <w:rPr>
          <w:rFonts w:cs="Arial"/>
          <w:spacing w:val="-3"/>
        </w:rPr>
      </w:pPr>
    </w:p>
    <w:p w14:paraId="7B6A54B1" w14:textId="338A1982" w:rsidR="00077E48" w:rsidRPr="00BD1319" w:rsidRDefault="00077E48" w:rsidP="00077E48">
      <w:pPr>
        <w:numPr>
          <w:ilvl w:val="12"/>
          <w:numId w:val="0"/>
        </w:numPr>
        <w:tabs>
          <w:tab w:val="left" w:pos="-2268"/>
        </w:tabs>
        <w:suppressAutoHyphens/>
        <w:rPr>
          <w:rFonts w:cs="Arial"/>
          <w:spacing w:val="-3"/>
        </w:rPr>
      </w:pPr>
      <w:r w:rsidRPr="00BD1319">
        <w:rPr>
          <w:rFonts w:cs="Arial"/>
          <w:spacing w:val="-3"/>
        </w:rPr>
        <w:t>En la siguiente tabla se señalan algunos tipos de unidades de análisis clasificados por componente y medio, ejemplos de criterios que pueden ser empleados para conformar unidades de análisis de menor tamaño y las fuentes de información secundaria o métodos a los que se puede abocar para delimitar el área de influencia.</w:t>
      </w:r>
    </w:p>
    <w:p w14:paraId="3940064F" w14:textId="77777777" w:rsidR="00077E48" w:rsidRPr="00BD1319" w:rsidRDefault="00077E48" w:rsidP="00077E48">
      <w:pPr>
        <w:numPr>
          <w:ilvl w:val="12"/>
          <w:numId w:val="0"/>
        </w:numPr>
        <w:tabs>
          <w:tab w:val="left" w:pos="-2268"/>
        </w:tabs>
        <w:suppressAutoHyphens/>
        <w:rPr>
          <w:rFonts w:cs="Arial"/>
          <w:spacing w:val="-3"/>
        </w:rPr>
      </w:pPr>
    </w:p>
    <w:p w14:paraId="683ECFDA" w14:textId="16CDA168" w:rsidR="00077E48" w:rsidRPr="00BD1319" w:rsidRDefault="00077E48" w:rsidP="00077E48">
      <w:pPr>
        <w:pStyle w:val="Descripcin"/>
        <w:jc w:val="center"/>
        <w:rPr>
          <w:b w:val="0"/>
        </w:rPr>
      </w:pPr>
      <w:bookmarkStart w:id="2530" w:name="_Ref68252303"/>
      <w:r w:rsidRPr="00BD1319">
        <w:t xml:space="preserve">Tabla </w:t>
      </w:r>
      <w:fldSimple w:instr=" SEQ Tabla \* ARABIC ">
        <w:r w:rsidR="00296654" w:rsidRPr="00BD1319">
          <w:rPr>
            <w:noProof/>
          </w:rPr>
          <w:t>17</w:t>
        </w:r>
      </w:fldSimple>
      <w:bookmarkEnd w:id="2530"/>
      <w:r w:rsidRPr="00BD1319">
        <w:t>.</w:t>
      </w:r>
      <w:r w:rsidRPr="00BD1319">
        <w:rPr>
          <w:b w:val="0"/>
        </w:rPr>
        <w:t xml:space="preserve"> Tipos de unidades de análisis, criterios de conformación y fuentes de información secundaria y métodos de definición</w:t>
      </w:r>
    </w:p>
    <w:tbl>
      <w:tblPr>
        <w:tblW w:w="10565" w:type="dxa"/>
        <w:jc w:val="center"/>
        <w:tblLayout w:type="fixed"/>
        <w:tblCellMar>
          <w:left w:w="70" w:type="dxa"/>
          <w:right w:w="70" w:type="dxa"/>
        </w:tblCellMar>
        <w:tblLook w:val="04A0" w:firstRow="1" w:lastRow="0" w:firstColumn="1" w:lastColumn="0" w:noHBand="0" w:noVBand="1"/>
      </w:tblPr>
      <w:tblGrid>
        <w:gridCol w:w="993"/>
        <w:gridCol w:w="1617"/>
        <w:gridCol w:w="2630"/>
        <w:gridCol w:w="2873"/>
        <w:gridCol w:w="2452"/>
      </w:tblGrid>
      <w:tr w:rsidR="00077E48" w:rsidRPr="00BD1319" w14:paraId="4895C573" w14:textId="77777777" w:rsidTr="007F45D3">
        <w:trPr>
          <w:trHeight w:val="900"/>
          <w:tblHeader/>
          <w:jc w:val="center"/>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B8BF27" w14:textId="77777777" w:rsidR="00077E48" w:rsidRPr="00BD1319" w:rsidRDefault="00077E48" w:rsidP="007F45D3">
            <w:pPr>
              <w:overflowPunct/>
              <w:autoSpaceDE/>
              <w:autoSpaceDN/>
              <w:adjustRightInd/>
              <w:jc w:val="center"/>
              <w:textAlignment w:val="auto"/>
              <w:rPr>
                <w:rFonts w:cs="Arial"/>
                <w:b/>
                <w:bCs/>
                <w:color w:val="000000"/>
                <w:sz w:val="20"/>
                <w:szCs w:val="20"/>
                <w:lang w:eastAsia="es-CO"/>
              </w:rPr>
            </w:pPr>
            <w:r w:rsidRPr="00BD1319">
              <w:rPr>
                <w:rFonts w:cs="Arial"/>
                <w:b/>
                <w:bCs/>
                <w:color w:val="000000"/>
                <w:sz w:val="20"/>
                <w:szCs w:val="20"/>
                <w:lang w:eastAsia="es-CO"/>
              </w:rPr>
              <w:t>Medio</w:t>
            </w:r>
          </w:p>
        </w:tc>
        <w:tc>
          <w:tcPr>
            <w:tcW w:w="1617" w:type="dxa"/>
            <w:tcBorders>
              <w:top w:val="single" w:sz="4" w:space="0" w:color="auto"/>
              <w:left w:val="nil"/>
              <w:bottom w:val="single" w:sz="4" w:space="0" w:color="auto"/>
              <w:right w:val="single" w:sz="4" w:space="0" w:color="auto"/>
            </w:tcBorders>
            <w:shd w:val="clear" w:color="auto" w:fill="auto"/>
            <w:vAlign w:val="center"/>
            <w:hideMark/>
          </w:tcPr>
          <w:p w14:paraId="668A16A7" w14:textId="77777777" w:rsidR="00077E48" w:rsidRPr="00BD1319" w:rsidRDefault="00077E48" w:rsidP="007F45D3">
            <w:pPr>
              <w:overflowPunct/>
              <w:autoSpaceDE/>
              <w:autoSpaceDN/>
              <w:adjustRightInd/>
              <w:jc w:val="center"/>
              <w:textAlignment w:val="auto"/>
              <w:rPr>
                <w:rFonts w:cs="Arial"/>
                <w:b/>
                <w:bCs/>
                <w:color w:val="000000"/>
                <w:sz w:val="20"/>
                <w:szCs w:val="20"/>
                <w:lang w:eastAsia="es-CO"/>
              </w:rPr>
            </w:pPr>
            <w:r w:rsidRPr="00BD1319">
              <w:rPr>
                <w:rFonts w:cs="Arial"/>
                <w:b/>
                <w:bCs/>
                <w:color w:val="000000"/>
                <w:sz w:val="20"/>
                <w:szCs w:val="20"/>
                <w:lang w:eastAsia="es-CO"/>
              </w:rPr>
              <w:t>Componente</w:t>
            </w:r>
          </w:p>
        </w:tc>
        <w:tc>
          <w:tcPr>
            <w:tcW w:w="2630" w:type="dxa"/>
            <w:tcBorders>
              <w:top w:val="single" w:sz="4" w:space="0" w:color="auto"/>
              <w:left w:val="nil"/>
              <w:bottom w:val="single" w:sz="4" w:space="0" w:color="auto"/>
              <w:right w:val="single" w:sz="4" w:space="0" w:color="auto"/>
            </w:tcBorders>
            <w:shd w:val="clear" w:color="auto" w:fill="auto"/>
            <w:vAlign w:val="center"/>
            <w:hideMark/>
          </w:tcPr>
          <w:p w14:paraId="5A93FC8D" w14:textId="77777777" w:rsidR="00077E48" w:rsidRPr="00BD1319" w:rsidRDefault="00077E48" w:rsidP="00AC1C93">
            <w:pPr>
              <w:overflowPunct/>
              <w:autoSpaceDE/>
              <w:autoSpaceDN/>
              <w:adjustRightInd/>
              <w:jc w:val="center"/>
              <w:textAlignment w:val="auto"/>
              <w:rPr>
                <w:rFonts w:cs="Arial"/>
                <w:b/>
                <w:bCs/>
                <w:color w:val="000000"/>
                <w:sz w:val="20"/>
                <w:szCs w:val="20"/>
                <w:lang w:eastAsia="es-CO"/>
              </w:rPr>
            </w:pPr>
            <w:r w:rsidRPr="00BD1319">
              <w:rPr>
                <w:rFonts w:cs="Arial"/>
                <w:b/>
                <w:bCs/>
                <w:color w:val="000000"/>
                <w:sz w:val="20"/>
                <w:szCs w:val="20"/>
                <w:lang w:eastAsia="es-CO"/>
              </w:rPr>
              <w:t>Tipo de unidad de análisis</w:t>
            </w:r>
          </w:p>
        </w:tc>
        <w:tc>
          <w:tcPr>
            <w:tcW w:w="2873" w:type="dxa"/>
            <w:tcBorders>
              <w:top w:val="single" w:sz="4" w:space="0" w:color="auto"/>
              <w:left w:val="nil"/>
              <w:bottom w:val="single" w:sz="4" w:space="0" w:color="auto"/>
              <w:right w:val="single" w:sz="4" w:space="0" w:color="auto"/>
            </w:tcBorders>
            <w:shd w:val="clear" w:color="auto" w:fill="auto"/>
            <w:vAlign w:val="center"/>
            <w:hideMark/>
          </w:tcPr>
          <w:p w14:paraId="7A4C9F09" w14:textId="77777777" w:rsidR="00077E48" w:rsidRPr="00BD1319" w:rsidRDefault="00077E48" w:rsidP="005B57B0">
            <w:pPr>
              <w:overflowPunct/>
              <w:autoSpaceDE/>
              <w:autoSpaceDN/>
              <w:adjustRightInd/>
              <w:jc w:val="center"/>
              <w:textAlignment w:val="auto"/>
              <w:rPr>
                <w:rFonts w:cs="Arial"/>
                <w:b/>
                <w:bCs/>
                <w:color w:val="000000"/>
                <w:sz w:val="20"/>
                <w:szCs w:val="20"/>
                <w:lang w:eastAsia="es-CO"/>
              </w:rPr>
            </w:pPr>
            <w:r w:rsidRPr="00BD1319">
              <w:rPr>
                <w:rFonts w:cs="Arial"/>
                <w:b/>
                <w:bCs/>
                <w:color w:val="000000"/>
                <w:sz w:val="20"/>
                <w:szCs w:val="20"/>
                <w:lang w:eastAsia="es-CO"/>
              </w:rPr>
              <w:t>Criterios para conformar unidades de análisis de menor tamaño</w:t>
            </w:r>
          </w:p>
        </w:tc>
        <w:tc>
          <w:tcPr>
            <w:tcW w:w="2452" w:type="dxa"/>
            <w:tcBorders>
              <w:top w:val="single" w:sz="4" w:space="0" w:color="auto"/>
              <w:left w:val="nil"/>
              <w:bottom w:val="single" w:sz="4" w:space="0" w:color="auto"/>
              <w:right w:val="single" w:sz="4" w:space="0" w:color="auto"/>
            </w:tcBorders>
            <w:shd w:val="clear" w:color="000000" w:fill="auto"/>
            <w:vAlign w:val="center"/>
            <w:hideMark/>
          </w:tcPr>
          <w:p w14:paraId="687E1919" w14:textId="77777777" w:rsidR="00077E48" w:rsidRPr="00BD1319" w:rsidRDefault="00077E48">
            <w:pPr>
              <w:overflowPunct/>
              <w:autoSpaceDE/>
              <w:autoSpaceDN/>
              <w:adjustRightInd/>
              <w:jc w:val="center"/>
              <w:textAlignment w:val="auto"/>
              <w:rPr>
                <w:rFonts w:cs="Arial"/>
                <w:b/>
                <w:bCs/>
                <w:color w:val="000000"/>
                <w:sz w:val="20"/>
                <w:szCs w:val="20"/>
                <w:lang w:eastAsia="es-CO"/>
              </w:rPr>
            </w:pPr>
            <w:r w:rsidRPr="00BD1319">
              <w:rPr>
                <w:rFonts w:cs="Arial"/>
                <w:b/>
                <w:bCs/>
                <w:color w:val="000000"/>
                <w:sz w:val="20"/>
                <w:szCs w:val="20"/>
                <w:lang w:eastAsia="es-CO"/>
              </w:rPr>
              <w:t>Fuentes de información secundaria / métodos de definición</w:t>
            </w:r>
          </w:p>
        </w:tc>
      </w:tr>
      <w:tr w:rsidR="00077E48" w:rsidRPr="00BD1319" w14:paraId="42D074CB" w14:textId="77777777" w:rsidTr="007F45D3">
        <w:trPr>
          <w:trHeight w:val="600"/>
          <w:jc w:val="center"/>
        </w:trPr>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34C49FCD" w14:textId="77777777" w:rsidR="00077E48" w:rsidRPr="00BD1319" w:rsidRDefault="00077E48" w:rsidP="007F45D3">
            <w:pPr>
              <w:overflowPunct/>
              <w:autoSpaceDE/>
              <w:autoSpaceDN/>
              <w:adjustRightInd/>
              <w:jc w:val="center"/>
              <w:textAlignment w:val="auto"/>
              <w:rPr>
                <w:rFonts w:cs="Arial"/>
                <w:color w:val="000000"/>
                <w:sz w:val="20"/>
                <w:szCs w:val="20"/>
                <w:lang w:eastAsia="es-CO"/>
              </w:rPr>
            </w:pPr>
            <w:r w:rsidRPr="00BD1319">
              <w:rPr>
                <w:rFonts w:cs="Arial"/>
                <w:color w:val="000000"/>
                <w:sz w:val="20"/>
                <w:szCs w:val="20"/>
                <w:lang w:eastAsia="es-CO"/>
              </w:rPr>
              <w:t>Abiótico</w:t>
            </w:r>
          </w:p>
        </w:tc>
        <w:tc>
          <w:tcPr>
            <w:tcW w:w="1617" w:type="dxa"/>
            <w:tcBorders>
              <w:top w:val="nil"/>
              <w:left w:val="nil"/>
              <w:bottom w:val="dashed" w:sz="4" w:space="0" w:color="auto"/>
              <w:right w:val="single" w:sz="4" w:space="0" w:color="auto"/>
            </w:tcBorders>
            <w:shd w:val="clear" w:color="auto" w:fill="auto"/>
            <w:vAlign w:val="center"/>
            <w:hideMark/>
          </w:tcPr>
          <w:p w14:paraId="763338D6" w14:textId="77777777" w:rsidR="00077E48" w:rsidRPr="00BD1319" w:rsidRDefault="00077E48" w:rsidP="007F45D3">
            <w:pPr>
              <w:overflowPunct/>
              <w:autoSpaceDE/>
              <w:autoSpaceDN/>
              <w:adjustRightInd/>
              <w:jc w:val="left"/>
              <w:textAlignment w:val="auto"/>
              <w:rPr>
                <w:rFonts w:cs="Arial"/>
                <w:color w:val="000000"/>
                <w:sz w:val="20"/>
                <w:szCs w:val="20"/>
                <w:lang w:eastAsia="es-CO"/>
              </w:rPr>
            </w:pPr>
            <w:r w:rsidRPr="00BD1319">
              <w:rPr>
                <w:rFonts w:cs="Arial"/>
                <w:color w:val="000000"/>
                <w:sz w:val="20"/>
                <w:szCs w:val="20"/>
                <w:lang w:eastAsia="es-CO"/>
              </w:rPr>
              <w:t>Geológico</w:t>
            </w:r>
          </w:p>
        </w:tc>
        <w:tc>
          <w:tcPr>
            <w:tcW w:w="2630" w:type="dxa"/>
            <w:tcBorders>
              <w:top w:val="nil"/>
              <w:left w:val="nil"/>
              <w:bottom w:val="dashed" w:sz="4" w:space="0" w:color="auto"/>
              <w:right w:val="single" w:sz="4" w:space="0" w:color="auto"/>
            </w:tcBorders>
            <w:shd w:val="clear" w:color="auto" w:fill="auto"/>
            <w:vAlign w:val="center"/>
            <w:hideMark/>
          </w:tcPr>
          <w:p w14:paraId="261860E1" w14:textId="77777777" w:rsidR="00077E48" w:rsidRPr="00BD1319" w:rsidRDefault="00077E48" w:rsidP="0082127E">
            <w:pPr>
              <w:overflowPunct/>
              <w:autoSpaceDE/>
              <w:autoSpaceDN/>
              <w:adjustRightInd/>
              <w:textAlignment w:val="auto"/>
              <w:rPr>
                <w:rFonts w:cs="Arial"/>
                <w:color w:val="000000"/>
                <w:sz w:val="20"/>
                <w:szCs w:val="20"/>
                <w:lang w:eastAsia="es-CO"/>
              </w:rPr>
            </w:pPr>
            <w:r w:rsidRPr="00BD1319">
              <w:rPr>
                <w:rFonts w:cs="Arial"/>
                <w:color w:val="000000"/>
                <w:sz w:val="20"/>
                <w:szCs w:val="20"/>
                <w:lang w:eastAsia="es-CO"/>
              </w:rPr>
              <w:t>Unidad geológica</w:t>
            </w:r>
          </w:p>
        </w:tc>
        <w:tc>
          <w:tcPr>
            <w:tcW w:w="2873" w:type="dxa"/>
            <w:tcBorders>
              <w:top w:val="nil"/>
              <w:left w:val="nil"/>
              <w:bottom w:val="dashed" w:sz="4" w:space="0" w:color="auto"/>
              <w:right w:val="single" w:sz="4" w:space="0" w:color="auto"/>
            </w:tcBorders>
            <w:shd w:val="clear" w:color="auto" w:fill="auto"/>
            <w:vAlign w:val="center"/>
            <w:hideMark/>
          </w:tcPr>
          <w:p w14:paraId="10496A3D" w14:textId="77777777" w:rsidR="00077E48" w:rsidRPr="00BD1319" w:rsidRDefault="00077E48" w:rsidP="0082127E">
            <w:pPr>
              <w:overflowPunct/>
              <w:autoSpaceDE/>
              <w:autoSpaceDN/>
              <w:adjustRightInd/>
              <w:textAlignment w:val="auto"/>
              <w:rPr>
                <w:rFonts w:cs="Arial"/>
                <w:color w:val="000000"/>
                <w:sz w:val="20"/>
                <w:szCs w:val="20"/>
                <w:lang w:eastAsia="es-CO"/>
              </w:rPr>
            </w:pPr>
            <w:r w:rsidRPr="00BD1319">
              <w:rPr>
                <w:rFonts w:cs="Arial"/>
                <w:color w:val="000000"/>
                <w:sz w:val="20"/>
                <w:szCs w:val="20"/>
                <w:lang w:eastAsia="es-CO"/>
              </w:rPr>
              <w:t>Presencia de fallas geológicas, contactos, pliegues.</w:t>
            </w:r>
          </w:p>
        </w:tc>
        <w:tc>
          <w:tcPr>
            <w:tcW w:w="2452" w:type="dxa"/>
            <w:tcBorders>
              <w:top w:val="nil"/>
              <w:left w:val="nil"/>
              <w:bottom w:val="dashed" w:sz="4" w:space="0" w:color="auto"/>
              <w:right w:val="single" w:sz="4" w:space="0" w:color="auto"/>
            </w:tcBorders>
            <w:shd w:val="clear" w:color="auto" w:fill="auto"/>
            <w:vAlign w:val="center"/>
            <w:hideMark/>
          </w:tcPr>
          <w:p w14:paraId="6B7D591C" w14:textId="77777777" w:rsidR="00077E48" w:rsidRPr="00BD1319" w:rsidRDefault="00077E48" w:rsidP="0082127E">
            <w:pPr>
              <w:overflowPunct/>
              <w:autoSpaceDE/>
              <w:autoSpaceDN/>
              <w:adjustRightInd/>
              <w:textAlignment w:val="auto"/>
              <w:rPr>
                <w:rFonts w:cs="Arial"/>
                <w:color w:val="000000"/>
                <w:sz w:val="20"/>
                <w:szCs w:val="20"/>
                <w:lang w:eastAsia="es-CO"/>
              </w:rPr>
            </w:pPr>
            <w:r w:rsidRPr="00BD1319">
              <w:rPr>
                <w:rFonts w:cs="Arial"/>
                <w:color w:val="000000"/>
                <w:sz w:val="20"/>
                <w:szCs w:val="20"/>
                <w:lang w:eastAsia="es-CO"/>
              </w:rPr>
              <w:t>SGC</w:t>
            </w:r>
          </w:p>
        </w:tc>
      </w:tr>
      <w:tr w:rsidR="00077E48" w:rsidRPr="00BD1319" w14:paraId="34F939CA" w14:textId="77777777" w:rsidTr="007F45D3">
        <w:trPr>
          <w:trHeight w:val="600"/>
          <w:jc w:val="center"/>
        </w:trPr>
        <w:tc>
          <w:tcPr>
            <w:tcW w:w="993" w:type="dxa"/>
            <w:vMerge/>
            <w:tcBorders>
              <w:top w:val="nil"/>
              <w:left w:val="single" w:sz="4" w:space="0" w:color="auto"/>
              <w:bottom w:val="single" w:sz="4" w:space="0" w:color="000000"/>
              <w:right w:val="single" w:sz="4" w:space="0" w:color="auto"/>
            </w:tcBorders>
            <w:vAlign w:val="center"/>
            <w:hideMark/>
          </w:tcPr>
          <w:p w14:paraId="521D5FB2" w14:textId="77777777" w:rsidR="00077E48" w:rsidRPr="00BD1319" w:rsidRDefault="00077E48" w:rsidP="007F45D3">
            <w:pPr>
              <w:overflowPunct/>
              <w:autoSpaceDE/>
              <w:autoSpaceDN/>
              <w:adjustRightInd/>
              <w:jc w:val="left"/>
              <w:textAlignment w:val="auto"/>
              <w:rPr>
                <w:rFonts w:cs="Arial"/>
                <w:color w:val="000000"/>
                <w:sz w:val="20"/>
                <w:szCs w:val="20"/>
                <w:lang w:eastAsia="es-CO"/>
              </w:rPr>
            </w:pPr>
          </w:p>
        </w:tc>
        <w:tc>
          <w:tcPr>
            <w:tcW w:w="1617" w:type="dxa"/>
            <w:tcBorders>
              <w:top w:val="dashed" w:sz="4" w:space="0" w:color="auto"/>
              <w:left w:val="nil"/>
              <w:bottom w:val="single" w:sz="4" w:space="0" w:color="auto"/>
              <w:right w:val="single" w:sz="4" w:space="0" w:color="auto"/>
            </w:tcBorders>
            <w:shd w:val="clear" w:color="auto" w:fill="auto"/>
            <w:vAlign w:val="center"/>
            <w:hideMark/>
          </w:tcPr>
          <w:p w14:paraId="4BED023C" w14:textId="77777777" w:rsidR="00077E48" w:rsidRPr="00BD1319" w:rsidRDefault="00077E48" w:rsidP="007F45D3">
            <w:pPr>
              <w:overflowPunct/>
              <w:autoSpaceDE/>
              <w:autoSpaceDN/>
              <w:adjustRightInd/>
              <w:ind w:firstLineChars="65" w:firstLine="130"/>
              <w:jc w:val="left"/>
              <w:textAlignment w:val="auto"/>
              <w:rPr>
                <w:rFonts w:cs="Arial"/>
                <w:color w:val="000000"/>
                <w:sz w:val="20"/>
                <w:szCs w:val="20"/>
                <w:lang w:eastAsia="es-CO"/>
              </w:rPr>
            </w:pPr>
            <w:r w:rsidRPr="00BD1319">
              <w:rPr>
                <w:rFonts w:cs="Arial"/>
                <w:color w:val="000000"/>
                <w:sz w:val="20"/>
                <w:szCs w:val="20"/>
                <w:lang w:eastAsia="es-CO"/>
              </w:rPr>
              <w:t>Geomorfología</w:t>
            </w:r>
          </w:p>
        </w:tc>
        <w:tc>
          <w:tcPr>
            <w:tcW w:w="2630" w:type="dxa"/>
            <w:tcBorders>
              <w:top w:val="dashed" w:sz="4" w:space="0" w:color="auto"/>
              <w:left w:val="nil"/>
              <w:bottom w:val="single" w:sz="4" w:space="0" w:color="auto"/>
              <w:right w:val="single" w:sz="4" w:space="0" w:color="auto"/>
            </w:tcBorders>
            <w:shd w:val="clear" w:color="auto" w:fill="auto"/>
            <w:vAlign w:val="center"/>
            <w:hideMark/>
          </w:tcPr>
          <w:p w14:paraId="5E7B9814" w14:textId="77777777" w:rsidR="00077E48" w:rsidRPr="00BD1319" w:rsidRDefault="00077E48" w:rsidP="0082127E">
            <w:pPr>
              <w:overflowPunct/>
              <w:autoSpaceDE/>
              <w:autoSpaceDN/>
              <w:adjustRightInd/>
              <w:textAlignment w:val="auto"/>
              <w:rPr>
                <w:rFonts w:cs="Arial"/>
                <w:color w:val="000000"/>
                <w:sz w:val="20"/>
                <w:szCs w:val="20"/>
                <w:lang w:eastAsia="es-CO"/>
              </w:rPr>
            </w:pPr>
            <w:r w:rsidRPr="00BD1319">
              <w:rPr>
                <w:rFonts w:cs="Arial"/>
                <w:color w:val="000000"/>
                <w:sz w:val="20"/>
                <w:szCs w:val="20"/>
                <w:lang w:eastAsia="es-CO"/>
              </w:rPr>
              <w:t>Geoformas, Unidades geomorfológicas</w:t>
            </w:r>
          </w:p>
        </w:tc>
        <w:tc>
          <w:tcPr>
            <w:tcW w:w="2873" w:type="dxa"/>
            <w:tcBorders>
              <w:top w:val="dashed" w:sz="4" w:space="0" w:color="auto"/>
              <w:left w:val="nil"/>
              <w:bottom w:val="single" w:sz="4" w:space="0" w:color="auto"/>
              <w:right w:val="single" w:sz="4" w:space="0" w:color="auto"/>
            </w:tcBorders>
            <w:shd w:val="clear" w:color="auto" w:fill="auto"/>
            <w:vAlign w:val="center"/>
            <w:hideMark/>
          </w:tcPr>
          <w:p w14:paraId="468620C4" w14:textId="5401700F" w:rsidR="00077E48" w:rsidRPr="00BD1319" w:rsidRDefault="00077E48" w:rsidP="0082127E">
            <w:pPr>
              <w:overflowPunct/>
              <w:autoSpaceDE/>
              <w:autoSpaceDN/>
              <w:adjustRightInd/>
              <w:textAlignment w:val="auto"/>
              <w:rPr>
                <w:rFonts w:cs="Arial"/>
                <w:color w:val="000000"/>
                <w:sz w:val="20"/>
                <w:szCs w:val="20"/>
                <w:lang w:eastAsia="es-CO"/>
              </w:rPr>
            </w:pPr>
            <w:r w:rsidRPr="00BD1319">
              <w:rPr>
                <w:rFonts w:cs="Arial"/>
                <w:color w:val="000000"/>
                <w:sz w:val="20"/>
                <w:szCs w:val="20"/>
                <w:lang w:eastAsia="es-CO"/>
              </w:rPr>
              <w:t>Presencia de cuerpos de agua, vías, tejido urbano.</w:t>
            </w:r>
          </w:p>
        </w:tc>
        <w:tc>
          <w:tcPr>
            <w:tcW w:w="2452" w:type="dxa"/>
            <w:tcBorders>
              <w:top w:val="dashed" w:sz="4" w:space="0" w:color="auto"/>
              <w:left w:val="nil"/>
              <w:bottom w:val="single" w:sz="4" w:space="0" w:color="auto"/>
              <w:right w:val="single" w:sz="4" w:space="0" w:color="auto"/>
            </w:tcBorders>
            <w:shd w:val="clear" w:color="auto" w:fill="auto"/>
            <w:vAlign w:val="center"/>
            <w:hideMark/>
          </w:tcPr>
          <w:p w14:paraId="22A3CF74" w14:textId="5634D580" w:rsidR="00077E48" w:rsidRPr="00BD1319" w:rsidRDefault="00077E48" w:rsidP="0082127E">
            <w:pPr>
              <w:overflowPunct/>
              <w:autoSpaceDE/>
              <w:autoSpaceDN/>
              <w:adjustRightInd/>
              <w:textAlignment w:val="auto"/>
              <w:rPr>
                <w:rFonts w:cs="Arial"/>
                <w:sz w:val="20"/>
                <w:szCs w:val="20"/>
                <w:lang w:eastAsia="es-CO"/>
              </w:rPr>
            </w:pPr>
            <w:r w:rsidRPr="00BD1319">
              <w:rPr>
                <w:rFonts w:cs="Arial"/>
                <w:sz w:val="20"/>
                <w:szCs w:val="20"/>
                <w:lang w:eastAsia="es-CO"/>
              </w:rPr>
              <w:t xml:space="preserve">IGAC, SGC, </w:t>
            </w:r>
            <w:proofErr w:type="spellStart"/>
            <w:r w:rsidR="00A92356" w:rsidRPr="00BD1319">
              <w:rPr>
                <w:rFonts w:cs="Arial"/>
                <w:sz w:val="20"/>
                <w:szCs w:val="20"/>
                <w:lang w:eastAsia="es-CO"/>
              </w:rPr>
              <w:t>Ideam</w:t>
            </w:r>
            <w:proofErr w:type="spellEnd"/>
          </w:p>
          <w:p w14:paraId="015A5D3A" w14:textId="77777777" w:rsidR="00077E48" w:rsidRPr="00BD1319" w:rsidRDefault="00077E48" w:rsidP="0082127E">
            <w:pPr>
              <w:overflowPunct/>
              <w:autoSpaceDE/>
              <w:autoSpaceDN/>
              <w:adjustRightInd/>
              <w:textAlignment w:val="auto"/>
              <w:rPr>
                <w:rFonts w:cs="Arial"/>
                <w:sz w:val="20"/>
                <w:szCs w:val="20"/>
                <w:lang w:eastAsia="es-CO"/>
              </w:rPr>
            </w:pPr>
          </w:p>
          <w:p w14:paraId="02B72382" w14:textId="3CEC23FC" w:rsidR="00077E48" w:rsidRPr="00BD1319" w:rsidRDefault="00077E48" w:rsidP="0082127E">
            <w:pPr>
              <w:overflowPunct/>
              <w:autoSpaceDE/>
              <w:autoSpaceDN/>
              <w:adjustRightInd/>
              <w:textAlignment w:val="auto"/>
              <w:rPr>
                <w:rFonts w:cs="Arial"/>
                <w:sz w:val="20"/>
                <w:szCs w:val="20"/>
                <w:lang w:eastAsia="es-CO"/>
              </w:rPr>
            </w:pPr>
            <w:r w:rsidRPr="00BD1319">
              <w:rPr>
                <w:rFonts w:cs="Arial"/>
                <w:sz w:val="20"/>
                <w:szCs w:val="20"/>
                <w:lang w:eastAsia="es-CO"/>
              </w:rPr>
              <w:t>M</w:t>
            </w:r>
            <w:r w:rsidR="00F62C9A" w:rsidRPr="00BD1319">
              <w:rPr>
                <w:rFonts w:cs="Arial"/>
                <w:sz w:val="20"/>
                <w:szCs w:val="20"/>
                <w:lang w:eastAsia="es-CO"/>
              </w:rPr>
              <w:t xml:space="preserve">étodos </w:t>
            </w:r>
            <w:r w:rsidRPr="00BD1319">
              <w:rPr>
                <w:rFonts w:cs="Arial"/>
                <w:sz w:val="20"/>
                <w:szCs w:val="20"/>
                <w:lang w:eastAsia="es-CO"/>
              </w:rPr>
              <w:t>de identificación y clasificación geo</w:t>
            </w:r>
            <w:r w:rsidR="00F62C9A" w:rsidRPr="00BD1319">
              <w:rPr>
                <w:rFonts w:cs="Arial"/>
                <w:sz w:val="20"/>
                <w:szCs w:val="20"/>
                <w:lang w:eastAsia="es-CO"/>
              </w:rPr>
              <w:t xml:space="preserve">morfológica </w:t>
            </w:r>
            <w:r w:rsidR="00A842D9" w:rsidRPr="00BD1319">
              <w:rPr>
                <w:rFonts w:cs="Arial"/>
                <w:sz w:val="20"/>
                <w:szCs w:val="20"/>
                <w:lang w:eastAsia="es-CO"/>
              </w:rPr>
              <w:t>–</w:t>
            </w:r>
            <w:r w:rsidRPr="00BD1319">
              <w:rPr>
                <w:rFonts w:cs="Arial"/>
                <w:sz w:val="20"/>
                <w:szCs w:val="20"/>
                <w:lang w:eastAsia="es-CO"/>
              </w:rPr>
              <w:t>IGAC</w:t>
            </w:r>
          </w:p>
          <w:p w14:paraId="46D9F6DD" w14:textId="77777777" w:rsidR="00077E48" w:rsidRPr="00BD1319" w:rsidRDefault="00077E48" w:rsidP="0082127E">
            <w:pPr>
              <w:overflowPunct/>
              <w:autoSpaceDE/>
              <w:autoSpaceDN/>
              <w:adjustRightInd/>
              <w:textAlignment w:val="auto"/>
              <w:rPr>
                <w:rFonts w:cs="Arial"/>
                <w:sz w:val="20"/>
                <w:szCs w:val="20"/>
                <w:lang w:eastAsia="es-CO"/>
              </w:rPr>
            </w:pPr>
          </w:p>
          <w:p w14:paraId="32E049F2" w14:textId="3D0C8838" w:rsidR="00077E48" w:rsidRPr="00BD1319" w:rsidRDefault="00A842D9" w:rsidP="0082127E">
            <w:pPr>
              <w:overflowPunct/>
              <w:autoSpaceDE/>
              <w:autoSpaceDN/>
              <w:adjustRightInd/>
              <w:textAlignment w:val="auto"/>
              <w:rPr>
                <w:rFonts w:cs="Arial"/>
                <w:sz w:val="20"/>
                <w:szCs w:val="20"/>
                <w:lang w:eastAsia="es-CO"/>
              </w:rPr>
            </w:pPr>
            <w:r w:rsidRPr="00BD1319">
              <w:rPr>
                <w:rFonts w:cs="Arial"/>
                <w:sz w:val="20"/>
                <w:szCs w:val="20"/>
                <w:lang w:eastAsia="es-CO"/>
              </w:rPr>
              <w:t>Propuesta de estandarización de la cartografía geomorfológica en Colombia</w:t>
            </w:r>
            <w:r w:rsidR="00077E48" w:rsidRPr="00BD1319">
              <w:rPr>
                <w:rFonts w:cs="Arial"/>
                <w:sz w:val="20"/>
                <w:szCs w:val="20"/>
                <w:lang w:eastAsia="es-CO"/>
              </w:rPr>
              <w:t xml:space="preserve"> </w:t>
            </w:r>
            <w:r w:rsidRPr="00BD1319">
              <w:rPr>
                <w:rFonts w:cs="Arial"/>
                <w:sz w:val="20"/>
                <w:szCs w:val="20"/>
                <w:lang w:eastAsia="es-CO"/>
              </w:rPr>
              <w:t>–Carvajal (</w:t>
            </w:r>
            <w:r w:rsidR="00077E48" w:rsidRPr="00BD1319">
              <w:rPr>
                <w:rFonts w:cs="Arial"/>
                <w:sz w:val="20"/>
                <w:szCs w:val="20"/>
                <w:lang w:eastAsia="es-CO"/>
              </w:rPr>
              <w:t>2012)</w:t>
            </w:r>
          </w:p>
          <w:p w14:paraId="6181A958" w14:textId="77777777" w:rsidR="00077E48" w:rsidRPr="00BD1319" w:rsidRDefault="00077E48" w:rsidP="0082127E">
            <w:pPr>
              <w:overflowPunct/>
              <w:autoSpaceDE/>
              <w:autoSpaceDN/>
              <w:adjustRightInd/>
              <w:textAlignment w:val="auto"/>
              <w:rPr>
                <w:rFonts w:cs="Arial"/>
                <w:sz w:val="20"/>
                <w:szCs w:val="20"/>
                <w:lang w:eastAsia="es-CO"/>
              </w:rPr>
            </w:pPr>
          </w:p>
          <w:p w14:paraId="464A8C68" w14:textId="04AA95F9" w:rsidR="00077E48" w:rsidRPr="00BD1319" w:rsidRDefault="00A842D9" w:rsidP="0082127E">
            <w:pPr>
              <w:overflowPunct/>
              <w:autoSpaceDE/>
              <w:autoSpaceDN/>
              <w:adjustRightInd/>
              <w:textAlignment w:val="auto"/>
              <w:rPr>
                <w:rFonts w:cs="Arial"/>
                <w:sz w:val="20"/>
                <w:szCs w:val="20"/>
                <w:lang w:eastAsia="es-CO"/>
              </w:rPr>
            </w:pPr>
            <w:r w:rsidRPr="00BD1319">
              <w:rPr>
                <w:rFonts w:cs="Arial"/>
                <w:sz w:val="20"/>
                <w:szCs w:val="20"/>
                <w:lang w:eastAsia="es-CO"/>
              </w:rPr>
              <w:t>Guía metodológica para la elaboración de mapas</w:t>
            </w:r>
            <w:r w:rsidR="00453F6A" w:rsidRPr="00BD1319">
              <w:rPr>
                <w:rFonts w:cs="Arial"/>
                <w:sz w:val="20"/>
                <w:szCs w:val="20"/>
                <w:lang w:eastAsia="es-CO"/>
              </w:rPr>
              <w:t xml:space="preserve"> </w:t>
            </w:r>
            <w:r w:rsidRPr="00BD1319">
              <w:rPr>
                <w:rFonts w:cs="Arial"/>
                <w:sz w:val="20"/>
                <w:szCs w:val="20"/>
                <w:lang w:eastAsia="es-CO"/>
              </w:rPr>
              <w:t xml:space="preserve">geomorfológicos </w:t>
            </w:r>
            <w:r w:rsidR="00453F6A" w:rsidRPr="00BD1319">
              <w:rPr>
                <w:rFonts w:cs="Arial"/>
                <w:sz w:val="20"/>
                <w:szCs w:val="20"/>
                <w:lang w:eastAsia="es-CO"/>
              </w:rPr>
              <w:t>–</w:t>
            </w:r>
            <w:proofErr w:type="spellStart"/>
            <w:r w:rsidR="00A92356" w:rsidRPr="00BD1319">
              <w:rPr>
                <w:rFonts w:cs="Arial"/>
                <w:sz w:val="20"/>
                <w:szCs w:val="20"/>
                <w:lang w:eastAsia="es-CO"/>
              </w:rPr>
              <w:t>Ideam</w:t>
            </w:r>
            <w:proofErr w:type="spellEnd"/>
            <w:r w:rsidR="006F4FD7" w:rsidRPr="00BD1319">
              <w:rPr>
                <w:rFonts w:cs="Arial"/>
                <w:sz w:val="20"/>
                <w:szCs w:val="20"/>
                <w:lang w:eastAsia="es-CO"/>
              </w:rPr>
              <w:t xml:space="preserve"> </w:t>
            </w:r>
            <w:r w:rsidR="00F62C9A" w:rsidRPr="00BD1319">
              <w:rPr>
                <w:rFonts w:cs="Arial"/>
                <w:sz w:val="20"/>
                <w:szCs w:val="20"/>
                <w:lang w:eastAsia="es-CO"/>
              </w:rPr>
              <w:t>(2013)</w:t>
            </w:r>
          </w:p>
        </w:tc>
      </w:tr>
      <w:tr w:rsidR="00077E48" w:rsidRPr="00BD1319" w14:paraId="75ECF602" w14:textId="77777777" w:rsidTr="007F45D3">
        <w:trPr>
          <w:trHeight w:val="600"/>
          <w:jc w:val="center"/>
        </w:trPr>
        <w:tc>
          <w:tcPr>
            <w:tcW w:w="993" w:type="dxa"/>
            <w:vMerge/>
            <w:tcBorders>
              <w:top w:val="nil"/>
              <w:left w:val="single" w:sz="4" w:space="0" w:color="auto"/>
              <w:bottom w:val="single" w:sz="4" w:space="0" w:color="000000"/>
              <w:right w:val="single" w:sz="4" w:space="0" w:color="auto"/>
            </w:tcBorders>
            <w:vAlign w:val="center"/>
            <w:hideMark/>
          </w:tcPr>
          <w:p w14:paraId="582AC336" w14:textId="77777777" w:rsidR="00077E48" w:rsidRPr="00BD1319" w:rsidRDefault="00077E48" w:rsidP="007F45D3">
            <w:pPr>
              <w:overflowPunct/>
              <w:autoSpaceDE/>
              <w:autoSpaceDN/>
              <w:adjustRightInd/>
              <w:jc w:val="left"/>
              <w:textAlignment w:val="auto"/>
              <w:rPr>
                <w:rFonts w:cs="Arial"/>
                <w:color w:val="000000"/>
                <w:sz w:val="20"/>
                <w:szCs w:val="20"/>
                <w:lang w:eastAsia="es-CO"/>
              </w:rPr>
            </w:pPr>
          </w:p>
        </w:tc>
        <w:tc>
          <w:tcPr>
            <w:tcW w:w="1617" w:type="dxa"/>
            <w:tcBorders>
              <w:top w:val="nil"/>
              <w:left w:val="nil"/>
              <w:bottom w:val="single" w:sz="4" w:space="0" w:color="auto"/>
              <w:right w:val="single" w:sz="4" w:space="0" w:color="auto"/>
            </w:tcBorders>
            <w:shd w:val="clear" w:color="auto" w:fill="auto"/>
            <w:vAlign w:val="center"/>
            <w:hideMark/>
          </w:tcPr>
          <w:p w14:paraId="7B8FDDBC" w14:textId="77777777" w:rsidR="00077E48" w:rsidRPr="00BD1319" w:rsidRDefault="00077E48" w:rsidP="007F45D3">
            <w:pPr>
              <w:overflowPunct/>
              <w:autoSpaceDE/>
              <w:autoSpaceDN/>
              <w:adjustRightInd/>
              <w:jc w:val="left"/>
              <w:textAlignment w:val="auto"/>
              <w:rPr>
                <w:rFonts w:cs="Arial"/>
                <w:color w:val="000000"/>
                <w:sz w:val="20"/>
                <w:szCs w:val="20"/>
                <w:lang w:eastAsia="es-CO"/>
              </w:rPr>
            </w:pPr>
            <w:r w:rsidRPr="00BD1319">
              <w:rPr>
                <w:rFonts w:cs="Arial"/>
                <w:color w:val="000000"/>
                <w:sz w:val="20"/>
                <w:szCs w:val="20"/>
                <w:lang w:eastAsia="es-CO"/>
              </w:rPr>
              <w:t>Suelos y uso de las tierras</w:t>
            </w:r>
          </w:p>
        </w:tc>
        <w:tc>
          <w:tcPr>
            <w:tcW w:w="2630" w:type="dxa"/>
            <w:tcBorders>
              <w:top w:val="nil"/>
              <w:left w:val="nil"/>
              <w:bottom w:val="single" w:sz="4" w:space="0" w:color="auto"/>
              <w:right w:val="single" w:sz="4" w:space="0" w:color="auto"/>
            </w:tcBorders>
            <w:shd w:val="clear" w:color="auto" w:fill="auto"/>
            <w:vAlign w:val="center"/>
            <w:hideMark/>
          </w:tcPr>
          <w:p w14:paraId="593A5D72" w14:textId="77777777" w:rsidR="00077E48" w:rsidRPr="00BD1319" w:rsidRDefault="00077E48" w:rsidP="0082127E">
            <w:pPr>
              <w:overflowPunct/>
              <w:autoSpaceDE/>
              <w:autoSpaceDN/>
              <w:adjustRightInd/>
              <w:textAlignment w:val="auto"/>
              <w:rPr>
                <w:rFonts w:cs="Arial"/>
                <w:color w:val="0070C0"/>
                <w:sz w:val="20"/>
                <w:szCs w:val="20"/>
                <w:lang w:eastAsia="es-CO"/>
              </w:rPr>
            </w:pPr>
            <w:r w:rsidRPr="00BD1319">
              <w:rPr>
                <w:rFonts w:cs="Arial"/>
                <w:sz w:val="20"/>
                <w:szCs w:val="20"/>
                <w:lang w:eastAsia="es-CO"/>
              </w:rPr>
              <w:t>Unidades cartográficas de suelos.</w:t>
            </w:r>
          </w:p>
        </w:tc>
        <w:tc>
          <w:tcPr>
            <w:tcW w:w="2873" w:type="dxa"/>
            <w:tcBorders>
              <w:top w:val="nil"/>
              <w:left w:val="nil"/>
              <w:bottom w:val="single" w:sz="4" w:space="0" w:color="auto"/>
              <w:right w:val="single" w:sz="4" w:space="0" w:color="auto"/>
            </w:tcBorders>
            <w:shd w:val="clear" w:color="auto" w:fill="auto"/>
            <w:vAlign w:val="center"/>
            <w:hideMark/>
          </w:tcPr>
          <w:p w14:paraId="2F1FCAB0" w14:textId="77777777" w:rsidR="00077E48" w:rsidRPr="00BD1319" w:rsidRDefault="00077E48" w:rsidP="0082127E">
            <w:pPr>
              <w:overflowPunct/>
              <w:autoSpaceDE/>
              <w:autoSpaceDN/>
              <w:adjustRightInd/>
              <w:textAlignment w:val="auto"/>
              <w:rPr>
                <w:rFonts w:cs="Arial"/>
                <w:color w:val="000000"/>
                <w:sz w:val="20"/>
                <w:szCs w:val="20"/>
                <w:lang w:eastAsia="es-CO"/>
              </w:rPr>
            </w:pPr>
            <w:r w:rsidRPr="00BD1319">
              <w:rPr>
                <w:rFonts w:cs="Arial"/>
                <w:color w:val="000000"/>
                <w:sz w:val="20"/>
                <w:szCs w:val="20"/>
                <w:lang w:eastAsia="es-CO"/>
              </w:rPr>
              <w:t>Cambios en el tipo de suelo asociado con la degradación, vocación, uso permitido y conflictos de uso.</w:t>
            </w:r>
          </w:p>
        </w:tc>
        <w:tc>
          <w:tcPr>
            <w:tcW w:w="2452" w:type="dxa"/>
            <w:tcBorders>
              <w:top w:val="nil"/>
              <w:left w:val="nil"/>
              <w:bottom w:val="single" w:sz="4" w:space="0" w:color="auto"/>
              <w:right w:val="single" w:sz="4" w:space="0" w:color="auto"/>
            </w:tcBorders>
            <w:shd w:val="clear" w:color="auto" w:fill="auto"/>
            <w:vAlign w:val="center"/>
            <w:hideMark/>
          </w:tcPr>
          <w:p w14:paraId="71AF8778" w14:textId="77777777" w:rsidR="00077E48" w:rsidRPr="00BD1319" w:rsidRDefault="00077E48" w:rsidP="0082127E">
            <w:pPr>
              <w:overflowPunct/>
              <w:autoSpaceDE/>
              <w:autoSpaceDN/>
              <w:adjustRightInd/>
              <w:textAlignment w:val="auto"/>
              <w:rPr>
                <w:rFonts w:cs="Arial"/>
                <w:color w:val="000000"/>
                <w:sz w:val="20"/>
                <w:szCs w:val="20"/>
                <w:lang w:eastAsia="es-CO"/>
              </w:rPr>
            </w:pPr>
            <w:r w:rsidRPr="00BD1319">
              <w:rPr>
                <w:rFonts w:cs="Arial"/>
                <w:color w:val="000000"/>
                <w:sz w:val="20"/>
                <w:szCs w:val="20"/>
                <w:lang w:eastAsia="es-CO"/>
              </w:rPr>
              <w:t>IGAC</w:t>
            </w:r>
          </w:p>
        </w:tc>
      </w:tr>
      <w:tr w:rsidR="00077E48" w:rsidRPr="00BD1319" w14:paraId="1B9F8516" w14:textId="77777777" w:rsidTr="007F45D3">
        <w:trPr>
          <w:trHeight w:val="600"/>
          <w:jc w:val="center"/>
        </w:trPr>
        <w:tc>
          <w:tcPr>
            <w:tcW w:w="993" w:type="dxa"/>
            <w:vMerge/>
            <w:tcBorders>
              <w:top w:val="nil"/>
              <w:left w:val="single" w:sz="4" w:space="0" w:color="auto"/>
              <w:bottom w:val="single" w:sz="4" w:space="0" w:color="000000"/>
              <w:right w:val="single" w:sz="4" w:space="0" w:color="auto"/>
            </w:tcBorders>
            <w:vAlign w:val="center"/>
            <w:hideMark/>
          </w:tcPr>
          <w:p w14:paraId="1EA6AED4" w14:textId="77777777" w:rsidR="00077E48" w:rsidRPr="00BD1319" w:rsidRDefault="00077E48" w:rsidP="007F45D3">
            <w:pPr>
              <w:overflowPunct/>
              <w:autoSpaceDE/>
              <w:autoSpaceDN/>
              <w:adjustRightInd/>
              <w:jc w:val="left"/>
              <w:textAlignment w:val="auto"/>
              <w:rPr>
                <w:rFonts w:cs="Arial"/>
                <w:color w:val="000000"/>
                <w:sz w:val="20"/>
                <w:szCs w:val="20"/>
                <w:lang w:eastAsia="es-CO"/>
              </w:rPr>
            </w:pPr>
          </w:p>
        </w:tc>
        <w:tc>
          <w:tcPr>
            <w:tcW w:w="1617" w:type="dxa"/>
            <w:tcBorders>
              <w:top w:val="nil"/>
              <w:left w:val="nil"/>
              <w:bottom w:val="single" w:sz="4" w:space="0" w:color="auto"/>
              <w:right w:val="single" w:sz="4" w:space="0" w:color="auto"/>
            </w:tcBorders>
            <w:shd w:val="clear" w:color="auto" w:fill="auto"/>
            <w:vAlign w:val="center"/>
            <w:hideMark/>
          </w:tcPr>
          <w:p w14:paraId="7B8DB77B" w14:textId="77777777" w:rsidR="00077E48" w:rsidRPr="00BD1319" w:rsidRDefault="00077E48" w:rsidP="007F45D3">
            <w:pPr>
              <w:overflowPunct/>
              <w:autoSpaceDE/>
              <w:autoSpaceDN/>
              <w:adjustRightInd/>
              <w:jc w:val="left"/>
              <w:textAlignment w:val="auto"/>
              <w:rPr>
                <w:rFonts w:cs="Arial"/>
                <w:color w:val="000000"/>
                <w:sz w:val="20"/>
                <w:szCs w:val="20"/>
                <w:lang w:eastAsia="es-CO"/>
              </w:rPr>
            </w:pPr>
            <w:r w:rsidRPr="00BD1319">
              <w:rPr>
                <w:rFonts w:cs="Arial"/>
                <w:color w:val="000000"/>
                <w:sz w:val="20"/>
                <w:szCs w:val="20"/>
                <w:lang w:eastAsia="es-CO"/>
              </w:rPr>
              <w:t>Hidrológico</w:t>
            </w:r>
          </w:p>
        </w:tc>
        <w:tc>
          <w:tcPr>
            <w:tcW w:w="2630" w:type="dxa"/>
            <w:tcBorders>
              <w:top w:val="nil"/>
              <w:left w:val="nil"/>
              <w:bottom w:val="single" w:sz="4" w:space="0" w:color="auto"/>
              <w:right w:val="single" w:sz="4" w:space="0" w:color="auto"/>
            </w:tcBorders>
            <w:shd w:val="clear" w:color="auto" w:fill="auto"/>
            <w:vAlign w:val="center"/>
            <w:hideMark/>
          </w:tcPr>
          <w:p w14:paraId="06C4D9EE" w14:textId="77777777" w:rsidR="00077E48" w:rsidRPr="00BD1319" w:rsidRDefault="00077E48" w:rsidP="0082127E">
            <w:pPr>
              <w:overflowPunct/>
              <w:autoSpaceDE/>
              <w:autoSpaceDN/>
              <w:adjustRightInd/>
              <w:textAlignment w:val="auto"/>
              <w:rPr>
                <w:rFonts w:cs="Arial"/>
                <w:color w:val="000000"/>
                <w:sz w:val="20"/>
                <w:szCs w:val="20"/>
                <w:lang w:eastAsia="es-CO"/>
              </w:rPr>
            </w:pPr>
            <w:r w:rsidRPr="00BD1319">
              <w:rPr>
                <w:rFonts w:cs="Arial"/>
                <w:color w:val="000000"/>
                <w:sz w:val="20"/>
                <w:szCs w:val="20"/>
                <w:lang w:eastAsia="es-CO"/>
              </w:rPr>
              <w:t>Áreas hidrográficas, Zonas hidrográficas, Subzonas hidrográficas, otras unidades hidrológicas más detalladas.</w:t>
            </w:r>
          </w:p>
        </w:tc>
        <w:tc>
          <w:tcPr>
            <w:tcW w:w="2873" w:type="dxa"/>
            <w:tcBorders>
              <w:top w:val="nil"/>
              <w:left w:val="nil"/>
              <w:bottom w:val="single" w:sz="4" w:space="0" w:color="auto"/>
              <w:right w:val="single" w:sz="4" w:space="0" w:color="auto"/>
            </w:tcBorders>
            <w:shd w:val="clear" w:color="auto" w:fill="auto"/>
            <w:vAlign w:val="center"/>
            <w:hideMark/>
          </w:tcPr>
          <w:p w14:paraId="3A1B475C" w14:textId="7934CFF5" w:rsidR="007A2FC3" w:rsidRPr="00BD1319" w:rsidRDefault="00077E48" w:rsidP="0082127E">
            <w:pPr>
              <w:overflowPunct/>
              <w:autoSpaceDE/>
              <w:autoSpaceDN/>
              <w:adjustRightInd/>
              <w:textAlignment w:val="auto"/>
              <w:rPr>
                <w:rFonts w:cs="Arial"/>
                <w:sz w:val="20"/>
                <w:szCs w:val="20"/>
                <w:lang w:eastAsia="es-CO"/>
              </w:rPr>
            </w:pPr>
            <w:r w:rsidRPr="00BD1319">
              <w:rPr>
                <w:rFonts w:cs="Arial"/>
                <w:sz w:val="20"/>
                <w:szCs w:val="20"/>
                <w:lang w:eastAsia="es-CO"/>
              </w:rPr>
              <w:t>Comportamiento de la pluma de dilución.</w:t>
            </w:r>
          </w:p>
          <w:p w14:paraId="438D6A37" w14:textId="77777777" w:rsidR="007A2FC3" w:rsidRPr="00BD1319" w:rsidRDefault="007A2FC3" w:rsidP="0082127E">
            <w:pPr>
              <w:overflowPunct/>
              <w:autoSpaceDE/>
              <w:autoSpaceDN/>
              <w:adjustRightInd/>
              <w:textAlignment w:val="auto"/>
              <w:rPr>
                <w:rFonts w:cs="Arial"/>
                <w:sz w:val="20"/>
                <w:szCs w:val="20"/>
                <w:lang w:eastAsia="es-CO"/>
              </w:rPr>
            </w:pPr>
            <w:r w:rsidRPr="00BD1319">
              <w:rPr>
                <w:rFonts w:cs="Arial"/>
                <w:sz w:val="20"/>
                <w:szCs w:val="20"/>
                <w:lang w:eastAsia="es-CO"/>
              </w:rPr>
              <w:t>Cuerpos de agua aferentes.</w:t>
            </w:r>
          </w:p>
          <w:p w14:paraId="48E936AF" w14:textId="233098FF" w:rsidR="00077E48" w:rsidRPr="00BD1319" w:rsidRDefault="007A2FC3" w:rsidP="0082127E">
            <w:pPr>
              <w:overflowPunct/>
              <w:autoSpaceDE/>
              <w:autoSpaceDN/>
              <w:adjustRightInd/>
              <w:textAlignment w:val="auto"/>
              <w:rPr>
                <w:rFonts w:cs="Arial"/>
                <w:color w:val="000000"/>
                <w:sz w:val="20"/>
                <w:szCs w:val="20"/>
                <w:lang w:eastAsia="es-CO"/>
              </w:rPr>
            </w:pPr>
            <w:r w:rsidRPr="00BD1319">
              <w:rPr>
                <w:rFonts w:cs="Arial"/>
                <w:sz w:val="20"/>
                <w:szCs w:val="20"/>
                <w:lang w:eastAsia="es-CO"/>
              </w:rPr>
              <w:t>Divisorias de aguas.</w:t>
            </w:r>
          </w:p>
        </w:tc>
        <w:tc>
          <w:tcPr>
            <w:tcW w:w="2452" w:type="dxa"/>
            <w:tcBorders>
              <w:top w:val="nil"/>
              <w:left w:val="nil"/>
              <w:bottom w:val="single" w:sz="4" w:space="0" w:color="auto"/>
              <w:right w:val="single" w:sz="4" w:space="0" w:color="auto"/>
            </w:tcBorders>
            <w:shd w:val="clear" w:color="auto" w:fill="auto"/>
            <w:vAlign w:val="center"/>
            <w:hideMark/>
          </w:tcPr>
          <w:p w14:paraId="35E3AC65" w14:textId="642F29A6" w:rsidR="00077E48" w:rsidRPr="00BD1319" w:rsidRDefault="00A92356" w:rsidP="0082127E">
            <w:pPr>
              <w:overflowPunct/>
              <w:autoSpaceDE/>
              <w:autoSpaceDN/>
              <w:adjustRightInd/>
              <w:textAlignment w:val="auto"/>
              <w:rPr>
                <w:rFonts w:cs="Arial"/>
                <w:color w:val="000000"/>
                <w:sz w:val="20"/>
                <w:szCs w:val="20"/>
                <w:lang w:eastAsia="es-CO"/>
              </w:rPr>
            </w:pPr>
            <w:proofErr w:type="spellStart"/>
            <w:r w:rsidRPr="00BD1319">
              <w:rPr>
                <w:rFonts w:cs="Arial"/>
                <w:color w:val="000000"/>
                <w:sz w:val="20"/>
                <w:szCs w:val="20"/>
                <w:lang w:eastAsia="es-CO"/>
              </w:rPr>
              <w:t>Ideam</w:t>
            </w:r>
            <w:proofErr w:type="spellEnd"/>
          </w:p>
          <w:p w14:paraId="7A5969D7" w14:textId="77777777" w:rsidR="00077E48" w:rsidRPr="00BD1319" w:rsidRDefault="00077E48" w:rsidP="0082127E">
            <w:pPr>
              <w:overflowPunct/>
              <w:autoSpaceDE/>
              <w:autoSpaceDN/>
              <w:adjustRightInd/>
              <w:textAlignment w:val="auto"/>
              <w:rPr>
                <w:rFonts w:cs="Arial"/>
                <w:color w:val="000000"/>
                <w:sz w:val="20"/>
                <w:szCs w:val="20"/>
                <w:lang w:eastAsia="es-CO"/>
              </w:rPr>
            </w:pPr>
          </w:p>
          <w:p w14:paraId="533E646D" w14:textId="77777777" w:rsidR="00077E48" w:rsidRPr="00BD1319" w:rsidRDefault="00077E48" w:rsidP="0082127E">
            <w:pPr>
              <w:overflowPunct/>
              <w:autoSpaceDE/>
              <w:autoSpaceDN/>
              <w:adjustRightInd/>
              <w:textAlignment w:val="auto"/>
              <w:rPr>
                <w:rFonts w:cs="Arial"/>
                <w:color w:val="000000"/>
                <w:sz w:val="20"/>
                <w:szCs w:val="20"/>
                <w:lang w:eastAsia="es-CO"/>
              </w:rPr>
            </w:pPr>
            <w:r w:rsidRPr="00BD1319">
              <w:rPr>
                <w:rFonts w:cs="Arial"/>
                <w:color w:val="000000"/>
                <w:sz w:val="20"/>
                <w:szCs w:val="20"/>
                <w:lang w:eastAsia="es-CO"/>
              </w:rPr>
              <w:t>Procedimiento de delimitación de unidades hidrológicas</w:t>
            </w:r>
          </w:p>
        </w:tc>
      </w:tr>
      <w:tr w:rsidR="00077E48" w:rsidRPr="00BD1319" w14:paraId="162A6196" w14:textId="77777777" w:rsidTr="007F45D3">
        <w:trPr>
          <w:trHeight w:val="600"/>
          <w:jc w:val="center"/>
        </w:trPr>
        <w:tc>
          <w:tcPr>
            <w:tcW w:w="993" w:type="dxa"/>
            <w:vMerge/>
            <w:tcBorders>
              <w:top w:val="nil"/>
              <w:left w:val="single" w:sz="4" w:space="0" w:color="auto"/>
              <w:bottom w:val="single" w:sz="4" w:space="0" w:color="000000"/>
              <w:right w:val="single" w:sz="4" w:space="0" w:color="auto"/>
            </w:tcBorders>
            <w:vAlign w:val="center"/>
            <w:hideMark/>
          </w:tcPr>
          <w:p w14:paraId="51C16E83" w14:textId="77777777" w:rsidR="00077E48" w:rsidRPr="00BD1319" w:rsidRDefault="00077E48" w:rsidP="007F45D3">
            <w:pPr>
              <w:overflowPunct/>
              <w:autoSpaceDE/>
              <w:autoSpaceDN/>
              <w:adjustRightInd/>
              <w:jc w:val="left"/>
              <w:textAlignment w:val="auto"/>
              <w:rPr>
                <w:rFonts w:cs="Arial"/>
                <w:color w:val="000000"/>
                <w:sz w:val="20"/>
                <w:szCs w:val="20"/>
                <w:lang w:eastAsia="es-CO"/>
              </w:rPr>
            </w:pPr>
          </w:p>
        </w:tc>
        <w:tc>
          <w:tcPr>
            <w:tcW w:w="1617" w:type="dxa"/>
            <w:tcBorders>
              <w:top w:val="nil"/>
              <w:left w:val="nil"/>
              <w:bottom w:val="single" w:sz="4" w:space="0" w:color="auto"/>
              <w:right w:val="single" w:sz="4" w:space="0" w:color="auto"/>
            </w:tcBorders>
            <w:shd w:val="clear" w:color="auto" w:fill="auto"/>
            <w:vAlign w:val="center"/>
            <w:hideMark/>
          </w:tcPr>
          <w:p w14:paraId="04B98969" w14:textId="77777777" w:rsidR="00077E48" w:rsidRPr="00BD1319" w:rsidRDefault="00077E48" w:rsidP="007F45D3">
            <w:pPr>
              <w:overflowPunct/>
              <w:autoSpaceDE/>
              <w:autoSpaceDN/>
              <w:adjustRightInd/>
              <w:jc w:val="left"/>
              <w:textAlignment w:val="auto"/>
              <w:rPr>
                <w:rFonts w:cs="Arial"/>
                <w:color w:val="000000"/>
                <w:sz w:val="20"/>
                <w:szCs w:val="20"/>
                <w:lang w:eastAsia="es-CO"/>
              </w:rPr>
            </w:pPr>
            <w:r w:rsidRPr="00BD1319">
              <w:rPr>
                <w:rFonts w:cs="Arial"/>
                <w:color w:val="000000"/>
                <w:sz w:val="20"/>
                <w:szCs w:val="20"/>
                <w:lang w:eastAsia="es-CO"/>
              </w:rPr>
              <w:t>Hidrogeológico</w:t>
            </w:r>
          </w:p>
        </w:tc>
        <w:tc>
          <w:tcPr>
            <w:tcW w:w="2630" w:type="dxa"/>
            <w:tcBorders>
              <w:top w:val="nil"/>
              <w:left w:val="nil"/>
              <w:bottom w:val="single" w:sz="4" w:space="0" w:color="auto"/>
              <w:right w:val="single" w:sz="4" w:space="0" w:color="auto"/>
            </w:tcBorders>
            <w:shd w:val="clear" w:color="auto" w:fill="auto"/>
            <w:vAlign w:val="center"/>
            <w:hideMark/>
          </w:tcPr>
          <w:p w14:paraId="5CD9313F" w14:textId="77777777" w:rsidR="00077E48" w:rsidRPr="00BD1319" w:rsidRDefault="00077E48" w:rsidP="0082127E">
            <w:pPr>
              <w:overflowPunct/>
              <w:autoSpaceDE/>
              <w:autoSpaceDN/>
              <w:adjustRightInd/>
              <w:textAlignment w:val="auto"/>
              <w:rPr>
                <w:rFonts w:cs="Arial"/>
                <w:color w:val="000000"/>
                <w:sz w:val="20"/>
                <w:szCs w:val="20"/>
                <w:lang w:eastAsia="es-CO"/>
              </w:rPr>
            </w:pPr>
            <w:r w:rsidRPr="00BD1319">
              <w:rPr>
                <w:rFonts w:cs="Arial"/>
                <w:color w:val="000000"/>
                <w:sz w:val="20"/>
                <w:szCs w:val="20"/>
                <w:lang w:eastAsia="es-CO"/>
              </w:rPr>
              <w:t>Provincias hidrogeológicas, acuíferos hidrogeológicos.</w:t>
            </w:r>
          </w:p>
        </w:tc>
        <w:tc>
          <w:tcPr>
            <w:tcW w:w="2873" w:type="dxa"/>
            <w:tcBorders>
              <w:top w:val="nil"/>
              <w:left w:val="nil"/>
              <w:bottom w:val="single" w:sz="4" w:space="0" w:color="auto"/>
              <w:right w:val="single" w:sz="4" w:space="0" w:color="auto"/>
            </w:tcBorders>
            <w:shd w:val="clear" w:color="auto" w:fill="auto"/>
            <w:vAlign w:val="center"/>
            <w:hideMark/>
          </w:tcPr>
          <w:p w14:paraId="13432F42" w14:textId="22F41D03" w:rsidR="00077E48" w:rsidRPr="00BD1319" w:rsidRDefault="007A2FC3" w:rsidP="0082127E">
            <w:pPr>
              <w:overflowPunct/>
              <w:autoSpaceDE/>
              <w:autoSpaceDN/>
              <w:adjustRightInd/>
              <w:textAlignment w:val="auto"/>
              <w:rPr>
                <w:rFonts w:cs="Arial"/>
                <w:color w:val="000000"/>
                <w:sz w:val="20"/>
                <w:szCs w:val="20"/>
                <w:lang w:eastAsia="es-CO"/>
              </w:rPr>
            </w:pPr>
            <w:r w:rsidRPr="00BD1319">
              <w:rPr>
                <w:rFonts w:cs="Arial"/>
                <w:color w:val="000000"/>
                <w:sz w:val="20"/>
                <w:szCs w:val="20"/>
                <w:lang w:eastAsia="es-CO"/>
              </w:rPr>
              <w:t xml:space="preserve">Divisorias </w:t>
            </w:r>
            <w:r w:rsidR="00077E48" w:rsidRPr="00BD1319">
              <w:rPr>
                <w:rFonts w:cs="Arial"/>
                <w:color w:val="000000"/>
                <w:sz w:val="20"/>
                <w:szCs w:val="20"/>
                <w:lang w:eastAsia="es-CO"/>
              </w:rPr>
              <w:t>de aguas subterráneas, cuerpos de agua lóticos, litología y geología estructural (fallas geológicas y pliegues), y resultados de procesos de model</w:t>
            </w:r>
            <w:r w:rsidR="00C74BBB" w:rsidRPr="00BD1319">
              <w:rPr>
                <w:rFonts w:cs="Arial"/>
                <w:color w:val="000000"/>
                <w:sz w:val="20"/>
                <w:szCs w:val="20"/>
                <w:lang w:eastAsia="es-CO"/>
              </w:rPr>
              <w:t>iz</w:t>
            </w:r>
            <w:r w:rsidR="00077E48" w:rsidRPr="00BD1319">
              <w:rPr>
                <w:rFonts w:cs="Arial"/>
                <w:color w:val="000000"/>
                <w:sz w:val="20"/>
                <w:szCs w:val="20"/>
                <w:lang w:eastAsia="es-CO"/>
              </w:rPr>
              <w:t>ación numérica.</w:t>
            </w:r>
          </w:p>
        </w:tc>
        <w:tc>
          <w:tcPr>
            <w:tcW w:w="2452" w:type="dxa"/>
            <w:tcBorders>
              <w:top w:val="nil"/>
              <w:left w:val="nil"/>
              <w:bottom w:val="single" w:sz="4" w:space="0" w:color="auto"/>
              <w:right w:val="single" w:sz="4" w:space="0" w:color="auto"/>
            </w:tcBorders>
            <w:shd w:val="clear" w:color="auto" w:fill="auto"/>
            <w:vAlign w:val="center"/>
            <w:hideMark/>
          </w:tcPr>
          <w:p w14:paraId="1378A3A3" w14:textId="0A09BF4E" w:rsidR="00077E48" w:rsidRPr="00BD1319" w:rsidRDefault="00A92356" w:rsidP="0082127E">
            <w:pPr>
              <w:overflowPunct/>
              <w:autoSpaceDE/>
              <w:autoSpaceDN/>
              <w:adjustRightInd/>
              <w:textAlignment w:val="auto"/>
              <w:rPr>
                <w:rFonts w:cs="Arial"/>
                <w:color w:val="000000"/>
                <w:sz w:val="20"/>
                <w:szCs w:val="20"/>
                <w:lang w:eastAsia="es-CO"/>
              </w:rPr>
            </w:pPr>
            <w:proofErr w:type="spellStart"/>
            <w:r w:rsidRPr="00BD1319">
              <w:rPr>
                <w:rFonts w:cs="Arial"/>
                <w:color w:val="000000"/>
                <w:sz w:val="20"/>
                <w:szCs w:val="20"/>
                <w:lang w:eastAsia="es-CO"/>
              </w:rPr>
              <w:t>Ideam</w:t>
            </w:r>
            <w:proofErr w:type="spellEnd"/>
          </w:p>
        </w:tc>
      </w:tr>
      <w:tr w:rsidR="00077E48" w:rsidRPr="00BD1319" w14:paraId="5229CD1F" w14:textId="77777777" w:rsidTr="009420F5">
        <w:trPr>
          <w:trHeight w:val="600"/>
          <w:jc w:val="center"/>
        </w:trPr>
        <w:tc>
          <w:tcPr>
            <w:tcW w:w="993" w:type="dxa"/>
            <w:vMerge/>
            <w:tcBorders>
              <w:top w:val="nil"/>
              <w:left w:val="single" w:sz="4" w:space="0" w:color="auto"/>
              <w:bottom w:val="single" w:sz="4" w:space="0" w:color="000000"/>
              <w:right w:val="single" w:sz="4" w:space="0" w:color="auto"/>
            </w:tcBorders>
            <w:vAlign w:val="center"/>
            <w:hideMark/>
          </w:tcPr>
          <w:p w14:paraId="72EE61E6" w14:textId="77777777" w:rsidR="00077E48" w:rsidRPr="00BD1319" w:rsidRDefault="00077E48" w:rsidP="007F45D3">
            <w:pPr>
              <w:overflowPunct/>
              <w:autoSpaceDE/>
              <w:autoSpaceDN/>
              <w:adjustRightInd/>
              <w:jc w:val="left"/>
              <w:textAlignment w:val="auto"/>
              <w:rPr>
                <w:rFonts w:cs="Arial"/>
                <w:color w:val="000000"/>
                <w:sz w:val="20"/>
                <w:szCs w:val="20"/>
                <w:lang w:eastAsia="es-CO"/>
              </w:rPr>
            </w:pPr>
          </w:p>
        </w:tc>
        <w:tc>
          <w:tcPr>
            <w:tcW w:w="1617" w:type="dxa"/>
            <w:tcBorders>
              <w:top w:val="nil"/>
              <w:left w:val="nil"/>
              <w:bottom w:val="single" w:sz="4" w:space="0" w:color="auto"/>
              <w:right w:val="single" w:sz="4" w:space="0" w:color="auto"/>
            </w:tcBorders>
            <w:shd w:val="clear" w:color="auto" w:fill="auto"/>
            <w:vAlign w:val="center"/>
            <w:hideMark/>
          </w:tcPr>
          <w:p w14:paraId="3E2EAD6A" w14:textId="77777777" w:rsidR="00077E48" w:rsidRPr="00BD1319" w:rsidRDefault="00077E48" w:rsidP="007F45D3">
            <w:pPr>
              <w:overflowPunct/>
              <w:autoSpaceDE/>
              <w:autoSpaceDN/>
              <w:adjustRightInd/>
              <w:jc w:val="left"/>
              <w:textAlignment w:val="auto"/>
              <w:rPr>
                <w:rFonts w:cs="Arial"/>
                <w:color w:val="000000"/>
                <w:sz w:val="20"/>
                <w:szCs w:val="20"/>
                <w:lang w:eastAsia="es-CO"/>
              </w:rPr>
            </w:pPr>
            <w:r w:rsidRPr="00BD1319">
              <w:rPr>
                <w:rFonts w:cs="Arial"/>
                <w:color w:val="000000"/>
                <w:sz w:val="20"/>
                <w:szCs w:val="20"/>
                <w:lang w:eastAsia="es-CO"/>
              </w:rPr>
              <w:t>Oceanográfico</w:t>
            </w:r>
          </w:p>
        </w:tc>
        <w:tc>
          <w:tcPr>
            <w:tcW w:w="2630" w:type="dxa"/>
            <w:tcBorders>
              <w:top w:val="nil"/>
              <w:left w:val="nil"/>
              <w:bottom w:val="single" w:sz="4" w:space="0" w:color="auto"/>
              <w:right w:val="single" w:sz="4" w:space="0" w:color="auto"/>
            </w:tcBorders>
            <w:shd w:val="clear" w:color="auto" w:fill="auto"/>
            <w:vAlign w:val="center"/>
            <w:hideMark/>
          </w:tcPr>
          <w:p w14:paraId="1FBF94E6" w14:textId="77777777" w:rsidR="00077E48" w:rsidRPr="00BD1319" w:rsidRDefault="00077E48" w:rsidP="0082127E">
            <w:pPr>
              <w:overflowPunct/>
              <w:autoSpaceDE/>
              <w:autoSpaceDN/>
              <w:adjustRightInd/>
              <w:textAlignment w:val="auto"/>
              <w:rPr>
                <w:rFonts w:cs="Arial"/>
                <w:color w:val="000000"/>
                <w:sz w:val="20"/>
                <w:szCs w:val="20"/>
                <w:lang w:eastAsia="es-CO"/>
              </w:rPr>
            </w:pPr>
            <w:r w:rsidRPr="00BD1319">
              <w:rPr>
                <w:rFonts w:cs="Arial"/>
                <w:color w:val="000000"/>
                <w:sz w:val="20"/>
                <w:szCs w:val="20"/>
                <w:lang w:eastAsia="es-CO"/>
              </w:rPr>
              <w:t>Determinadas a partir de modelización (no sólo en superficie -línea de marea- sino también en la columna de agua y sustrato marino).</w:t>
            </w:r>
          </w:p>
        </w:tc>
        <w:tc>
          <w:tcPr>
            <w:tcW w:w="2873" w:type="dxa"/>
            <w:tcBorders>
              <w:top w:val="nil"/>
              <w:left w:val="nil"/>
              <w:bottom w:val="single" w:sz="4" w:space="0" w:color="auto"/>
              <w:right w:val="single" w:sz="4" w:space="0" w:color="auto"/>
            </w:tcBorders>
            <w:shd w:val="clear" w:color="auto" w:fill="auto"/>
            <w:vAlign w:val="center"/>
            <w:hideMark/>
          </w:tcPr>
          <w:p w14:paraId="13C009C8" w14:textId="2CD4D1A9" w:rsidR="00077E48" w:rsidRPr="00BD1319" w:rsidRDefault="00340B64" w:rsidP="0082127E">
            <w:pPr>
              <w:overflowPunct/>
              <w:autoSpaceDE/>
              <w:autoSpaceDN/>
              <w:adjustRightInd/>
              <w:textAlignment w:val="auto"/>
              <w:rPr>
                <w:rFonts w:cs="Arial"/>
                <w:color w:val="000000"/>
                <w:sz w:val="20"/>
                <w:szCs w:val="20"/>
                <w:lang w:eastAsia="es-CO"/>
              </w:rPr>
            </w:pPr>
            <w:r w:rsidRPr="00BD1319">
              <w:rPr>
                <w:rFonts w:cs="Arial"/>
                <w:color w:val="000000"/>
                <w:sz w:val="20"/>
                <w:szCs w:val="20"/>
                <w:lang w:eastAsia="es-CO"/>
              </w:rPr>
              <w:t>Oleaje, c</w:t>
            </w:r>
            <w:r w:rsidR="00077E48" w:rsidRPr="00BD1319">
              <w:rPr>
                <w:rFonts w:cs="Arial"/>
                <w:color w:val="000000"/>
                <w:sz w:val="20"/>
                <w:szCs w:val="20"/>
                <w:lang w:eastAsia="es-CO"/>
              </w:rPr>
              <w:t>orrientes marinas</w:t>
            </w:r>
            <w:r w:rsidRPr="00BD1319">
              <w:rPr>
                <w:rFonts w:cs="Arial"/>
                <w:color w:val="000000"/>
                <w:sz w:val="20"/>
                <w:szCs w:val="20"/>
                <w:lang w:eastAsia="es-CO"/>
              </w:rPr>
              <w:t xml:space="preserve"> y </w:t>
            </w:r>
            <w:r w:rsidR="00077E48" w:rsidRPr="00BD1319">
              <w:rPr>
                <w:rFonts w:cs="Arial"/>
                <w:color w:val="000000"/>
                <w:sz w:val="20"/>
                <w:szCs w:val="20"/>
                <w:lang w:eastAsia="es-CO"/>
              </w:rPr>
              <w:t>mareas.</w:t>
            </w:r>
          </w:p>
        </w:tc>
        <w:tc>
          <w:tcPr>
            <w:tcW w:w="2452" w:type="dxa"/>
            <w:tcBorders>
              <w:top w:val="nil"/>
              <w:left w:val="nil"/>
              <w:bottom w:val="single" w:sz="4" w:space="0" w:color="auto"/>
              <w:right w:val="single" w:sz="4" w:space="0" w:color="auto"/>
            </w:tcBorders>
            <w:shd w:val="clear" w:color="auto" w:fill="auto"/>
            <w:vAlign w:val="center"/>
            <w:hideMark/>
          </w:tcPr>
          <w:p w14:paraId="49440969" w14:textId="63A53CF3" w:rsidR="00077E48" w:rsidRPr="00BD1319" w:rsidRDefault="00340B64" w:rsidP="0082127E">
            <w:pPr>
              <w:overflowPunct/>
              <w:autoSpaceDE/>
              <w:autoSpaceDN/>
              <w:adjustRightInd/>
              <w:textAlignment w:val="auto"/>
              <w:rPr>
                <w:rFonts w:cs="Arial"/>
                <w:color w:val="000000"/>
                <w:sz w:val="20"/>
                <w:szCs w:val="20"/>
                <w:lang w:eastAsia="es-CO"/>
              </w:rPr>
            </w:pPr>
            <w:r w:rsidRPr="00BD1319">
              <w:rPr>
                <w:rFonts w:cs="Arial"/>
                <w:color w:val="000000"/>
                <w:sz w:val="20"/>
                <w:szCs w:val="20"/>
                <w:lang w:eastAsia="es-CO"/>
              </w:rPr>
              <w:t>Dimar (CIOH y CCCP), NO</w:t>
            </w:r>
            <w:r w:rsidR="00EE0C69" w:rsidRPr="00BD1319">
              <w:rPr>
                <w:rFonts w:cs="Arial"/>
                <w:color w:val="000000"/>
                <w:sz w:val="20"/>
                <w:szCs w:val="20"/>
                <w:lang w:eastAsia="es-CO"/>
              </w:rPr>
              <w:t>A</w:t>
            </w:r>
            <w:r w:rsidRPr="00BD1319">
              <w:rPr>
                <w:rFonts w:cs="Arial"/>
                <w:color w:val="000000"/>
                <w:sz w:val="20"/>
                <w:szCs w:val="20"/>
                <w:lang w:eastAsia="es-CO"/>
              </w:rPr>
              <w:t>A</w:t>
            </w:r>
            <w:r w:rsidR="00EE0C69" w:rsidRPr="00BD1319">
              <w:rPr>
                <w:rFonts w:cs="Arial"/>
                <w:color w:val="000000"/>
                <w:sz w:val="20"/>
                <w:szCs w:val="20"/>
                <w:lang w:eastAsia="es-CO"/>
              </w:rPr>
              <w:t>, NASA.</w:t>
            </w:r>
          </w:p>
        </w:tc>
      </w:tr>
      <w:tr w:rsidR="00077E48" w:rsidRPr="00BD1319" w14:paraId="56C34E48" w14:textId="77777777" w:rsidTr="009420F5">
        <w:trPr>
          <w:trHeight w:val="600"/>
          <w:jc w:val="center"/>
        </w:trPr>
        <w:tc>
          <w:tcPr>
            <w:tcW w:w="993" w:type="dxa"/>
            <w:vMerge/>
            <w:tcBorders>
              <w:top w:val="nil"/>
              <w:left w:val="single" w:sz="4" w:space="0" w:color="auto"/>
              <w:bottom w:val="single" w:sz="4" w:space="0" w:color="000000"/>
              <w:right w:val="single" w:sz="4" w:space="0" w:color="auto"/>
            </w:tcBorders>
            <w:vAlign w:val="center"/>
            <w:hideMark/>
          </w:tcPr>
          <w:p w14:paraId="28AEFF25" w14:textId="77777777" w:rsidR="00077E48" w:rsidRPr="00BD1319" w:rsidRDefault="00077E48" w:rsidP="007F45D3">
            <w:pPr>
              <w:overflowPunct/>
              <w:autoSpaceDE/>
              <w:autoSpaceDN/>
              <w:adjustRightInd/>
              <w:jc w:val="left"/>
              <w:textAlignment w:val="auto"/>
              <w:rPr>
                <w:rFonts w:cs="Arial"/>
                <w:color w:val="000000"/>
                <w:sz w:val="20"/>
                <w:szCs w:val="20"/>
                <w:lang w:eastAsia="es-CO"/>
              </w:rPr>
            </w:pPr>
          </w:p>
        </w:tc>
        <w:tc>
          <w:tcPr>
            <w:tcW w:w="1617" w:type="dxa"/>
            <w:tcBorders>
              <w:top w:val="nil"/>
              <w:left w:val="nil"/>
              <w:bottom w:val="single" w:sz="4" w:space="0" w:color="auto"/>
              <w:right w:val="single" w:sz="4" w:space="0" w:color="auto"/>
            </w:tcBorders>
            <w:shd w:val="clear" w:color="auto" w:fill="auto"/>
            <w:vAlign w:val="center"/>
            <w:hideMark/>
          </w:tcPr>
          <w:p w14:paraId="5C7F02F6" w14:textId="77777777" w:rsidR="00077E48" w:rsidRPr="00BD1319" w:rsidRDefault="00077E48" w:rsidP="007F45D3">
            <w:pPr>
              <w:overflowPunct/>
              <w:autoSpaceDE/>
              <w:autoSpaceDN/>
              <w:adjustRightInd/>
              <w:jc w:val="left"/>
              <w:textAlignment w:val="auto"/>
              <w:rPr>
                <w:rFonts w:cs="Arial"/>
                <w:color w:val="000000"/>
                <w:sz w:val="20"/>
                <w:szCs w:val="20"/>
                <w:lang w:eastAsia="es-CO"/>
              </w:rPr>
            </w:pPr>
            <w:r w:rsidRPr="00BD1319">
              <w:rPr>
                <w:rFonts w:cs="Arial"/>
                <w:color w:val="000000"/>
                <w:sz w:val="20"/>
                <w:szCs w:val="20"/>
                <w:lang w:eastAsia="es-CO"/>
              </w:rPr>
              <w:t>Atmosférico</w:t>
            </w:r>
          </w:p>
        </w:tc>
        <w:tc>
          <w:tcPr>
            <w:tcW w:w="2630" w:type="dxa"/>
            <w:tcBorders>
              <w:top w:val="nil"/>
              <w:left w:val="nil"/>
              <w:bottom w:val="single" w:sz="4" w:space="0" w:color="auto"/>
              <w:right w:val="single" w:sz="4" w:space="0" w:color="auto"/>
            </w:tcBorders>
            <w:shd w:val="clear" w:color="auto" w:fill="auto"/>
            <w:vAlign w:val="center"/>
            <w:hideMark/>
          </w:tcPr>
          <w:p w14:paraId="0FA16D03" w14:textId="77777777" w:rsidR="00077E48" w:rsidRPr="00BD1319" w:rsidRDefault="00077E48" w:rsidP="0082127E">
            <w:pPr>
              <w:overflowPunct/>
              <w:autoSpaceDE/>
              <w:autoSpaceDN/>
              <w:adjustRightInd/>
              <w:textAlignment w:val="auto"/>
              <w:rPr>
                <w:rFonts w:cs="Arial"/>
                <w:color w:val="000000"/>
                <w:sz w:val="20"/>
                <w:szCs w:val="20"/>
                <w:lang w:eastAsia="es-CO"/>
              </w:rPr>
            </w:pPr>
            <w:r w:rsidRPr="00BD1319">
              <w:rPr>
                <w:rFonts w:cs="Arial"/>
                <w:color w:val="000000"/>
                <w:sz w:val="20"/>
                <w:szCs w:val="20"/>
                <w:lang w:eastAsia="es-CO"/>
              </w:rPr>
              <w:t>Determinadas a partir de modelización.</w:t>
            </w:r>
          </w:p>
        </w:tc>
        <w:tc>
          <w:tcPr>
            <w:tcW w:w="2873" w:type="dxa"/>
            <w:tcBorders>
              <w:top w:val="nil"/>
              <w:left w:val="nil"/>
              <w:bottom w:val="single" w:sz="4" w:space="0" w:color="auto"/>
              <w:right w:val="single" w:sz="4" w:space="0" w:color="auto"/>
            </w:tcBorders>
            <w:shd w:val="clear" w:color="auto" w:fill="auto"/>
            <w:vAlign w:val="center"/>
            <w:hideMark/>
          </w:tcPr>
          <w:p w14:paraId="57281B56" w14:textId="6E819071" w:rsidR="00F62C9A" w:rsidRPr="00BD1319" w:rsidRDefault="00711336" w:rsidP="0082127E">
            <w:pPr>
              <w:overflowPunct/>
              <w:autoSpaceDE/>
              <w:autoSpaceDN/>
              <w:adjustRightInd/>
              <w:textAlignment w:val="auto"/>
              <w:rPr>
                <w:rFonts w:cs="Arial"/>
                <w:sz w:val="20"/>
                <w:szCs w:val="20"/>
                <w:lang w:eastAsia="es-CO"/>
              </w:rPr>
            </w:pPr>
            <w:r w:rsidRPr="00BD1319">
              <w:rPr>
                <w:rFonts w:cs="Arial"/>
                <w:sz w:val="20"/>
                <w:szCs w:val="20"/>
                <w:lang w:eastAsia="es-CO"/>
              </w:rPr>
              <w:t xml:space="preserve">Calidad del aire: </w:t>
            </w:r>
            <w:r w:rsidR="00F20A7A" w:rsidRPr="00BD1319">
              <w:rPr>
                <w:rFonts w:cs="Arial"/>
                <w:sz w:val="20"/>
                <w:szCs w:val="20"/>
                <w:lang w:eastAsia="es-CO"/>
              </w:rPr>
              <w:t>c</w:t>
            </w:r>
            <w:r w:rsidR="00F62C9A" w:rsidRPr="00BD1319">
              <w:rPr>
                <w:rFonts w:cs="Arial"/>
                <w:sz w:val="20"/>
                <w:szCs w:val="20"/>
                <w:lang w:eastAsia="es-CO"/>
              </w:rPr>
              <w:t>ondiciones meteorológicas, características de la emisión, receptores sensibles, condiciones iniciales del entorno y de frontera: concentración de fondo, topografía, usos del suelo y coberturas, entre otros.</w:t>
            </w:r>
          </w:p>
          <w:p w14:paraId="38AD8437" w14:textId="77777777" w:rsidR="00711336" w:rsidRPr="00BD1319" w:rsidRDefault="00711336" w:rsidP="0082127E">
            <w:pPr>
              <w:overflowPunct/>
              <w:autoSpaceDE/>
              <w:autoSpaceDN/>
              <w:adjustRightInd/>
              <w:textAlignment w:val="auto"/>
              <w:rPr>
                <w:rFonts w:cs="Arial"/>
                <w:sz w:val="20"/>
                <w:szCs w:val="20"/>
                <w:lang w:eastAsia="es-CO"/>
              </w:rPr>
            </w:pPr>
          </w:p>
          <w:p w14:paraId="3EDFD72B" w14:textId="660E5B25" w:rsidR="00711336" w:rsidRPr="00BD1319" w:rsidRDefault="00711336" w:rsidP="0082127E">
            <w:pPr>
              <w:overflowPunct/>
              <w:autoSpaceDE/>
              <w:autoSpaceDN/>
              <w:adjustRightInd/>
              <w:textAlignment w:val="auto"/>
              <w:rPr>
                <w:rFonts w:cs="Arial"/>
                <w:sz w:val="20"/>
                <w:szCs w:val="20"/>
                <w:lang w:eastAsia="es-CO"/>
              </w:rPr>
            </w:pPr>
            <w:r w:rsidRPr="00BD1319">
              <w:rPr>
                <w:rFonts w:cs="Arial"/>
                <w:sz w:val="20"/>
                <w:szCs w:val="20"/>
                <w:lang w:eastAsia="es-CO"/>
              </w:rPr>
              <w:t>Ruido: cantidad, tipo y ubicación de fuentes, sus principales características, potencia sonora, meteorología, topografía, inventario de fuentes, receptores de interés, entre otros</w:t>
            </w:r>
            <w:r w:rsidR="005D091E" w:rsidRPr="00BD1319">
              <w:rPr>
                <w:rFonts w:cs="Arial"/>
                <w:sz w:val="20"/>
                <w:szCs w:val="20"/>
                <w:lang w:eastAsia="es-CO"/>
              </w:rPr>
              <w:t>.</w:t>
            </w:r>
          </w:p>
        </w:tc>
        <w:tc>
          <w:tcPr>
            <w:tcW w:w="2452" w:type="dxa"/>
            <w:tcBorders>
              <w:top w:val="nil"/>
              <w:left w:val="nil"/>
              <w:bottom w:val="single" w:sz="4" w:space="0" w:color="auto"/>
              <w:right w:val="single" w:sz="4" w:space="0" w:color="auto"/>
            </w:tcBorders>
            <w:shd w:val="clear" w:color="auto" w:fill="auto"/>
            <w:vAlign w:val="center"/>
            <w:hideMark/>
          </w:tcPr>
          <w:p w14:paraId="2C4E669D" w14:textId="32FCD294" w:rsidR="00077E48" w:rsidRPr="00BD1319" w:rsidRDefault="00077E48" w:rsidP="0082127E">
            <w:pPr>
              <w:overflowPunct/>
              <w:autoSpaceDE/>
              <w:autoSpaceDN/>
              <w:adjustRightInd/>
              <w:textAlignment w:val="auto"/>
              <w:rPr>
                <w:rFonts w:cs="Arial"/>
                <w:color w:val="000000"/>
                <w:sz w:val="20"/>
                <w:szCs w:val="20"/>
                <w:lang w:eastAsia="es-CO"/>
              </w:rPr>
            </w:pPr>
            <w:r w:rsidRPr="00BD1319">
              <w:rPr>
                <w:rFonts w:cs="Arial"/>
                <w:color w:val="000000"/>
                <w:sz w:val="20"/>
                <w:szCs w:val="20"/>
                <w:lang w:eastAsia="es-CO"/>
              </w:rPr>
              <w:t xml:space="preserve">Redes de monitoreo, CAR, </w:t>
            </w:r>
            <w:proofErr w:type="spellStart"/>
            <w:r w:rsidR="00A92356" w:rsidRPr="00BD1319">
              <w:rPr>
                <w:rFonts w:cs="Arial"/>
                <w:color w:val="000000"/>
                <w:sz w:val="20"/>
                <w:szCs w:val="20"/>
                <w:lang w:eastAsia="es-CO"/>
              </w:rPr>
              <w:t>Ideam</w:t>
            </w:r>
            <w:proofErr w:type="spellEnd"/>
            <w:r w:rsidRPr="00BD1319">
              <w:rPr>
                <w:rFonts w:cs="Arial"/>
                <w:color w:val="000000"/>
                <w:sz w:val="20"/>
                <w:szCs w:val="20"/>
                <w:lang w:eastAsia="es-CO"/>
              </w:rPr>
              <w:t>, I</w:t>
            </w:r>
            <w:r w:rsidR="00F20A7A" w:rsidRPr="00BD1319">
              <w:rPr>
                <w:rFonts w:cs="Arial"/>
                <w:color w:val="000000"/>
                <w:sz w:val="20"/>
                <w:szCs w:val="20"/>
                <w:lang w:eastAsia="es-CO"/>
              </w:rPr>
              <w:t xml:space="preserve">nformes de Cumplimiento Ambiental (ICA) </w:t>
            </w:r>
            <w:r w:rsidRPr="00BD1319">
              <w:rPr>
                <w:rFonts w:cs="Arial"/>
                <w:color w:val="000000"/>
                <w:sz w:val="20"/>
                <w:szCs w:val="20"/>
                <w:lang w:eastAsia="es-CO"/>
              </w:rPr>
              <w:t>de proyectos licenciados</w:t>
            </w:r>
          </w:p>
        </w:tc>
      </w:tr>
      <w:tr w:rsidR="00077E48" w:rsidRPr="00E002E9" w14:paraId="34732CD1" w14:textId="77777777" w:rsidTr="007F45D3">
        <w:trPr>
          <w:trHeight w:val="855"/>
          <w:jc w:val="center"/>
        </w:trPr>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1D9EF14E" w14:textId="77777777" w:rsidR="00077E48" w:rsidRPr="00BD1319" w:rsidRDefault="00077E48" w:rsidP="007F45D3">
            <w:pPr>
              <w:overflowPunct/>
              <w:autoSpaceDE/>
              <w:autoSpaceDN/>
              <w:adjustRightInd/>
              <w:jc w:val="center"/>
              <w:textAlignment w:val="auto"/>
              <w:rPr>
                <w:rFonts w:cs="Arial"/>
                <w:color w:val="000000"/>
                <w:sz w:val="20"/>
                <w:szCs w:val="20"/>
                <w:lang w:eastAsia="es-CO"/>
              </w:rPr>
            </w:pPr>
            <w:r w:rsidRPr="00BD1319">
              <w:rPr>
                <w:rFonts w:cs="Arial"/>
                <w:color w:val="000000"/>
                <w:sz w:val="20"/>
                <w:szCs w:val="20"/>
                <w:lang w:eastAsia="es-CO"/>
              </w:rPr>
              <w:t>Biótico</w:t>
            </w:r>
          </w:p>
        </w:tc>
        <w:tc>
          <w:tcPr>
            <w:tcW w:w="1617" w:type="dxa"/>
            <w:tcBorders>
              <w:top w:val="nil"/>
              <w:left w:val="nil"/>
              <w:bottom w:val="single" w:sz="4" w:space="0" w:color="auto"/>
              <w:right w:val="single" w:sz="4" w:space="0" w:color="auto"/>
            </w:tcBorders>
            <w:shd w:val="clear" w:color="auto" w:fill="auto"/>
            <w:vAlign w:val="center"/>
            <w:hideMark/>
          </w:tcPr>
          <w:p w14:paraId="759C0C4F" w14:textId="77777777" w:rsidR="00077E48" w:rsidRPr="00BD1319" w:rsidRDefault="00077E48" w:rsidP="007F45D3">
            <w:pPr>
              <w:overflowPunct/>
              <w:autoSpaceDE/>
              <w:autoSpaceDN/>
              <w:adjustRightInd/>
              <w:jc w:val="left"/>
              <w:textAlignment w:val="auto"/>
              <w:rPr>
                <w:rFonts w:cs="Arial"/>
                <w:color w:val="000000"/>
                <w:sz w:val="20"/>
                <w:szCs w:val="20"/>
                <w:lang w:eastAsia="es-CO"/>
              </w:rPr>
            </w:pPr>
            <w:r w:rsidRPr="00BD1319">
              <w:rPr>
                <w:rFonts w:cs="Arial"/>
                <w:color w:val="000000"/>
                <w:sz w:val="20"/>
                <w:szCs w:val="20"/>
                <w:lang w:eastAsia="es-CO"/>
              </w:rPr>
              <w:t>Ecosistemas terrestres</w:t>
            </w:r>
          </w:p>
        </w:tc>
        <w:tc>
          <w:tcPr>
            <w:tcW w:w="2630" w:type="dxa"/>
            <w:tcBorders>
              <w:top w:val="nil"/>
              <w:left w:val="nil"/>
              <w:bottom w:val="single" w:sz="4" w:space="0" w:color="auto"/>
              <w:right w:val="single" w:sz="4" w:space="0" w:color="auto"/>
            </w:tcBorders>
            <w:shd w:val="clear" w:color="auto" w:fill="auto"/>
            <w:vAlign w:val="center"/>
            <w:hideMark/>
          </w:tcPr>
          <w:p w14:paraId="7E911DC5" w14:textId="6169902C" w:rsidR="00077E48" w:rsidRPr="00BD1319" w:rsidRDefault="00077E48" w:rsidP="0082127E">
            <w:pPr>
              <w:overflowPunct/>
              <w:autoSpaceDE/>
              <w:autoSpaceDN/>
              <w:adjustRightInd/>
              <w:textAlignment w:val="auto"/>
              <w:rPr>
                <w:rFonts w:cs="Arial"/>
                <w:color w:val="000000"/>
                <w:sz w:val="20"/>
                <w:szCs w:val="20"/>
                <w:lang w:eastAsia="es-CO"/>
              </w:rPr>
            </w:pPr>
            <w:r w:rsidRPr="00BD1319">
              <w:rPr>
                <w:rFonts w:cs="Arial"/>
                <w:color w:val="000000"/>
                <w:sz w:val="20"/>
                <w:szCs w:val="20"/>
                <w:lang w:eastAsia="es-CO"/>
              </w:rPr>
              <w:t>Biomas, ecosistemas, coberturas de la tierra.</w:t>
            </w:r>
          </w:p>
        </w:tc>
        <w:tc>
          <w:tcPr>
            <w:tcW w:w="2873" w:type="dxa"/>
            <w:tcBorders>
              <w:top w:val="nil"/>
              <w:left w:val="nil"/>
              <w:bottom w:val="single" w:sz="4" w:space="0" w:color="auto"/>
              <w:right w:val="single" w:sz="4" w:space="0" w:color="auto"/>
            </w:tcBorders>
            <w:shd w:val="clear" w:color="auto" w:fill="auto"/>
            <w:vAlign w:val="center"/>
            <w:hideMark/>
          </w:tcPr>
          <w:p w14:paraId="202FFE23" w14:textId="77777777" w:rsidR="00077E48" w:rsidRPr="00BD1319" w:rsidRDefault="00077E48" w:rsidP="0082127E">
            <w:pPr>
              <w:overflowPunct/>
              <w:autoSpaceDE/>
              <w:autoSpaceDN/>
              <w:adjustRightInd/>
              <w:textAlignment w:val="auto"/>
              <w:rPr>
                <w:rFonts w:cs="Arial"/>
                <w:sz w:val="20"/>
                <w:szCs w:val="20"/>
                <w:lang w:eastAsia="es-CO"/>
              </w:rPr>
            </w:pPr>
            <w:r w:rsidRPr="00BD1319">
              <w:rPr>
                <w:rFonts w:cs="Arial"/>
                <w:sz w:val="20"/>
                <w:szCs w:val="20"/>
                <w:lang w:eastAsia="es-CO"/>
              </w:rPr>
              <w:t>Vías, caminos, cercas vivas, cercas, mallas o estructuras similares.</w:t>
            </w:r>
          </w:p>
          <w:p w14:paraId="6C354A05" w14:textId="77777777" w:rsidR="00077E48" w:rsidRPr="00BD1319" w:rsidRDefault="00077E48" w:rsidP="0082127E">
            <w:pPr>
              <w:overflowPunct/>
              <w:autoSpaceDE/>
              <w:autoSpaceDN/>
              <w:adjustRightInd/>
              <w:textAlignment w:val="auto"/>
              <w:rPr>
                <w:rFonts w:cs="Arial"/>
                <w:sz w:val="20"/>
                <w:szCs w:val="20"/>
                <w:lang w:eastAsia="es-CO"/>
              </w:rPr>
            </w:pPr>
          </w:p>
          <w:p w14:paraId="5365A2B1" w14:textId="282736EF" w:rsidR="00077E48" w:rsidRPr="00BD1319" w:rsidRDefault="00077E48" w:rsidP="0082127E">
            <w:pPr>
              <w:overflowPunct/>
              <w:autoSpaceDE/>
              <w:autoSpaceDN/>
              <w:adjustRightInd/>
              <w:textAlignment w:val="auto"/>
              <w:rPr>
                <w:rFonts w:cs="Arial"/>
                <w:sz w:val="20"/>
                <w:szCs w:val="20"/>
                <w:lang w:eastAsia="es-CO"/>
              </w:rPr>
            </w:pPr>
            <w:r w:rsidRPr="00BD1319">
              <w:rPr>
                <w:rFonts w:cs="Arial"/>
                <w:sz w:val="20"/>
                <w:szCs w:val="20"/>
                <w:lang w:eastAsia="es-CO"/>
              </w:rPr>
              <w:t>Cuerpos de agua</w:t>
            </w:r>
            <w:r w:rsidR="007A2FC3" w:rsidRPr="00BD1319">
              <w:rPr>
                <w:rFonts w:cs="Arial"/>
                <w:sz w:val="20"/>
                <w:szCs w:val="20"/>
                <w:lang w:eastAsia="es-CO"/>
              </w:rPr>
              <w:t>.</w:t>
            </w:r>
          </w:p>
        </w:tc>
        <w:tc>
          <w:tcPr>
            <w:tcW w:w="2452" w:type="dxa"/>
            <w:tcBorders>
              <w:top w:val="nil"/>
              <w:left w:val="nil"/>
              <w:bottom w:val="single" w:sz="4" w:space="0" w:color="auto"/>
              <w:right w:val="single" w:sz="4" w:space="0" w:color="auto"/>
            </w:tcBorders>
            <w:shd w:val="clear" w:color="auto" w:fill="auto"/>
            <w:vAlign w:val="center"/>
            <w:hideMark/>
          </w:tcPr>
          <w:p w14:paraId="7D1F4A52" w14:textId="03732706" w:rsidR="00077E48" w:rsidRPr="00BD1319" w:rsidRDefault="00A92356" w:rsidP="0082127E">
            <w:pPr>
              <w:overflowPunct/>
              <w:autoSpaceDE/>
              <w:autoSpaceDN/>
              <w:adjustRightInd/>
              <w:textAlignment w:val="auto"/>
              <w:rPr>
                <w:rFonts w:cs="Arial"/>
                <w:color w:val="000000"/>
                <w:sz w:val="20"/>
                <w:szCs w:val="20"/>
                <w:lang w:val="en-US" w:eastAsia="es-CO"/>
              </w:rPr>
            </w:pPr>
            <w:proofErr w:type="spellStart"/>
            <w:r w:rsidRPr="00BD1319">
              <w:rPr>
                <w:rFonts w:cs="Arial"/>
                <w:color w:val="000000"/>
                <w:sz w:val="20"/>
                <w:szCs w:val="20"/>
                <w:lang w:val="en-US" w:eastAsia="es-CO"/>
              </w:rPr>
              <w:t>Ideam</w:t>
            </w:r>
            <w:proofErr w:type="spellEnd"/>
            <w:r w:rsidR="00077E48" w:rsidRPr="00BD1319">
              <w:rPr>
                <w:rFonts w:cs="Arial"/>
                <w:color w:val="000000"/>
                <w:sz w:val="20"/>
                <w:szCs w:val="20"/>
                <w:lang w:val="en-US" w:eastAsia="es-CO"/>
              </w:rPr>
              <w:t>, Instituto Humboldt, CAR, IGAC</w:t>
            </w:r>
          </w:p>
        </w:tc>
      </w:tr>
      <w:tr w:rsidR="00077E48" w:rsidRPr="00BD1319" w14:paraId="6BAAF5BF" w14:textId="77777777" w:rsidTr="007F45D3">
        <w:trPr>
          <w:trHeight w:val="600"/>
          <w:jc w:val="center"/>
        </w:trPr>
        <w:tc>
          <w:tcPr>
            <w:tcW w:w="993" w:type="dxa"/>
            <w:vMerge/>
            <w:tcBorders>
              <w:top w:val="nil"/>
              <w:left w:val="single" w:sz="4" w:space="0" w:color="auto"/>
              <w:bottom w:val="single" w:sz="4" w:space="0" w:color="000000"/>
              <w:right w:val="single" w:sz="4" w:space="0" w:color="auto"/>
            </w:tcBorders>
            <w:vAlign w:val="center"/>
            <w:hideMark/>
          </w:tcPr>
          <w:p w14:paraId="418B1F86" w14:textId="77777777" w:rsidR="00077E48" w:rsidRPr="00BD1319" w:rsidRDefault="00077E48" w:rsidP="007F45D3">
            <w:pPr>
              <w:overflowPunct/>
              <w:autoSpaceDE/>
              <w:autoSpaceDN/>
              <w:adjustRightInd/>
              <w:jc w:val="left"/>
              <w:textAlignment w:val="auto"/>
              <w:rPr>
                <w:rFonts w:cs="Arial"/>
                <w:color w:val="000000"/>
                <w:sz w:val="20"/>
                <w:szCs w:val="20"/>
                <w:lang w:val="en-US" w:eastAsia="es-CO"/>
              </w:rPr>
            </w:pPr>
          </w:p>
        </w:tc>
        <w:tc>
          <w:tcPr>
            <w:tcW w:w="1617" w:type="dxa"/>
            <w:tcBorders>
              <w:top w:val="nil"/>
              <w:left w:val="nil"/>
              <w:bottom w:val="single" w:sz="4" w:space="0" w:color="auto"/>
              <w:right w:val="single" w:sz="4" w:space="0" w:color="auto"/>
            </w:tcBorders>
            <w:shd w:val="clear" w:color="auto" w:fill="auto"/>
            <w:vAlign w:val="center"/>
            <w:hideMark/>
          </w:tcPr>
          <w:p w14:paraId="11452A1B" w14:textId="77777777" w:rsidR="00077E48" w:rsidRPr="00BD1319" w:rsidRDefault="00077E48" w:rsidP="007F45D3">
            <w:pPr>
              <w:overflowPunct/>
              <w:autoSpaceDE/>
              <w:autoSpaceDN/>
              <w:adjustRightInd/>
              <w:jc w:val="left"/>
              <w:textAlignment w:val="auto"/>
              <w:rPr>
                <w:rFonts w:cs="Arial"/>
                <w:color w:val="000000"/>
                <w:sz w:val="20"/>
                <w:szCs w:val="20"/>
                <w:lang w:eastAsia="es-CO"/>
              </w:rPr>
            </w:pPr>
            <w:r w:rsidRPr="00BD1319">
              <w:rPr>
                <w:rFonts w:cs="Arial"/>
                <w:color w:val="000000"/>
                <w:sz w:val="20"/>
                <w:szCs w:val="20"/>
                <w:lang w:eastAsia="es-CO"/>
              </w:rPr>
              <w:t>Ecosistemas acuáticos continentales y marino-costeros</w:t>
            </w:r>
          </w:p>
        </w:tc>
        <w:tc>
          <w:tcPr>
            <w:tcW w:w="2630" w:type="dxa"/>
            <w:tcBorders>
              <w:top w:val="nil"/>
              <w:left w:val="nil"/>
              <w:bottom w:val="single" w:sz="4" w:space="0" w:color="auto"/>
              <w:right w:val="single" w:sz="4" w:space="0" w:color="auto"/>
            </w:tcBorders>
            <w:shd w:val="clear" w:color="auto" w:fill="auto"/>
            <w:vAlign w:val="center"/>
            <w:hideMark/>
          </w:tcPr>
          <w:p w14:paraId="256CF9CB" w14:textId="18DC2ED9" w:rsidR="00077E48" w:rsidRPr="00BD1319" w:rsidRDefault="00077E48" w:rsidP="0082127E">
            <w:pPr>
              <w:overflowPunct/>
              <w:autoSpaceDE/>
              <w:autoSpaceDN/>
              <w:adjustRightInd/>
              <w:textAlignment w:val="auto"/>
              <w:rPr>
                <w:rFonts w:cs="Arial"/>
                <w:color w:val="000000"/>
                <w:sz w:val="20"/>
                <w:szCs w:val="20"/>
                <w:lang w:eastAsia="es-CO"/>
              </w:rPr>
            </w:pPr>
            <w:r w:rsidRPr="00BD1319">
              <w:rPr>
                <w:rFonts w:cs="Arial"/>
                <w:color w:val="000000"/>
                <w:sz w:val="20"/>
                <w:szCs w:val="20"/>
                <w:lang w:eastAsia="es-CO"/>
              </w:rPr>
              <w:t>Ecosistemas, niveles de coberturas de la tierra, otras unidades d</w:t>
            </w:r>
            <w:r w:rsidRPr="00BD1319">
              <w:rPr>
                <w:rFonts w:cs="Arial"/>
                <w:sz w:val="20"/>
                <w:szCs w:val="20"/>
                <w:lang w:eastAsia="es-CO"/>
              </w:rPr>
              <w:t>eterminadas a partir de modelización</w:t>
            </w:r>
          </w:p>
        </w:tc>
        <w:tc>
          <w:tcPr>
            <w:tcW w:w="2873" w:type="dxa"/>
            <w:tcBorders>
              <w:top w:val="nil"/>
              <w:left w:val="nil"/>
              <w:bottom w:val="single" w:sz="4" w:space="0" w:color="auto"/>
              <w:right w:val="single" w:sz="4" w:space="0" w:color="auto"/>
            </w:tcBorders>
            <w:shd w:val="clear" w:color="auto" w:fill="auto"/>
            <w:vAlign w:val="center"/>
            <w:hideMark/>
          </w:tcPr>
          <w:p w14:paraId="60B7AC1F" w14:textId="77777777" w:rsidR="00077E48" w:rsidRPr="00BD1319" w:rsidRDefault="00077E48" w:rsidP="0082127E">
            <w:pPr>
              <w:overflowPunct/>
              <w:autoSpaceDE/>
              <w:autoSpaceDN/>
              <w:adjustRightInd/>
              <w:textAlignment w:val="auto"/>
              <w:rPr>
                <w:rFonts w:cs="Arial"/>
                <w:color w:val="000000"/>
                <w:sz w:val="20"/>
                <w:szCs w:val="20"/>
                <w:lang w:eastAsia="es-CO"/>
              </w:rPr>
            </w:pPr>
          </w:p>
        </w:tc>
        <w:tc>
          <w:tcPr>
            <w:tcW w:w="2452" w:type="dxa"/>
            <w:tcBorders>
              <w:top w:val="nil"/>
              <w:left w:val="nil"/>
              <w:bottom w:val="single" w:sz="4" w:space="0" w:color="auto"/>
              <w:right w:val="single" w:sz="4" w:space="0" w:color="auto"/>
            </w:tcBorders>
            <w:shd w:val="clear" w:color="auto" w:fill="auto"/>
            <w:vAlign w:val="center"/>
            <w:hideMark/>
          </w:tcPr>
          <w:p w14:paraId="01531721" w14:textId="47546371" w:rsidR="00077E48" w:rsidRPr="00BD1319" w:rsidRDefault="00A92356" w:rsidP="0082127E">
            <w:pPr>
              <w:overflowPunct/>
              <w:autoSpaceDE/>
              <w:autoSpaceDN/>
              <w:adjustRightInd/>
              <w:textAlignment w:val="auto"/>
              <w:rPr>
                <w:rFonts w:cs="Arial"/>
                <w:color w:val="000000"/>
                <w:sz w:val="20"/>
                <w:szCs w:val="20"/>
                <w:lang w:eastAsia="es-CO"/>
              </w:rPr>
            </w:pPr>
            <w:proofErr w:type="spellStart"/>
            <w:r w:rsidRPr="00BD1319">
              <w:rPr>
                <w:rFonts w:cs="Arial"/>
                <w:color w:val="000000"/>
                <w:sz w:val="20"/>
                <w:szCs w:val="20"/>
                <w:lang w:eastAsia="es-CO"/>
              </w:rPr>
              <w:t>Ideam</w:t>
            </w:r>
            <w:proofErr w:type="spellEnd"/>
            <w:r w:rsidR="00077E48" w:rsidRPr="00BD1319">
              <w:rPr>
                <w:rFonts w:cs="Arial"/>
                <w:color w:val="000000"/>
                <w:sz w:val="20"/>
                <w:szCs w:val="20"/>
                <w:lang w:eastAsia="es-CO"/>
              </w:rPr>
              <w:t xml:space="preserve">, Instituto Humboldt, </w:t>
            </w:r>
            <w:r w:rsidR="000F6349" w:rsidRPr="00BD1319">
              <w:rPr>
                <w:rFonts w:cs="Arial"/>
                <w:color w:val="000000"/>
                <w:sz w:val="20"/>
                <w:szCs w:val="20"/>
                <w:lang w:eastAsia="es-CO"/>
              </w:rPr>
              <w:t>Dimar</w:t>
            </w:r>
            <w:r w:rsidR="00077E48" w:rsidRPr="00BD1319">
              <w:rPr>
                <w:rFonts w:cs="Arial"/>
                <w:color w:val="000000"/>
                <w:sz w:val="20"/>
                <w:szCs w:val="20"/>
                <w:lang w:eastAsia="es-CO"/>
              </w:rPr>
              <w:t>, CAR, IGAC</w:t>
            </w:r>
          </w:p>
        </w:tc>
      </w:tr>
      <w:tr w:rsidR="00077E48" w:rsidRPr="00BD1319" w14:paraId="6743253C" w14:textId="77777777" w:rsidTr="007F45D3">
        <w:trPr>
          <w:trHeight w:val="600"/>
          <w:jc w:val="center"/>
        </w:trPr>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18A29966" w14:textId="77777777" w:rsidR="00077E48" w:rsidRPr="00BD1319" w:rsidRDefault="00077E48" w:rsidP="007F45D3">
            <w:pPr>
              <w:overflowPunct/>
              <w:autoSpaceDE/>
              <w:autoSpaceDN/>
              <w:adjustRightInd/>
              <w:jc w:val="center"/>
              <w:textAlignment w:val="auto"/>
              <w:rPr>
                <w:rFonts w:cs="Arial"/>
                <w:color w:val="000000"/>
                <w:sz w:val="20"/>
                <w:szCs w:val="20"/>
                <w:lang w:eastAsia="es-CO"/>
              </w:rPr>
            </w:pPr>
            <w:r w:rsidRPr="00BD1319">
              <w:rPr>
                <w:rFonts w:cs="Arial"/>
                <w:color w:val="000000"/>
                <w:sz w:val="20"/>
                <w:szCs w:val="20"/>
                <w:lang w:eastAsia="es-CO"/>
              </w:rPr>
              <w:lastRenderedPageBreak/>
              <w:t>Socioeconómico</w:t>
            </w:r>
          </w:p>
        </w:tc>
        <w:tc>
          <w:tcPr>
            <w:tcW w:w="1617" w:type="dxa"/>
            <w:tcBorders>
              <w:top w:val="nil"/>
              <w:left w:val="nil"/>
              <w:bottom w:val="single" w:sz="4" w:space="0" w:color="auto"/>
              <w:right w:val="single" w:sz="4" w:space="0" w:color="auto"/>
            </w:tcBorders>
            <w:shd w:val="clear" w:color="auto" w:fill="auto"/>
            <w:vAlign w:val="center"/>
            <w:hideMark/>
          </w:tcPr>
          <w:p w14:paraId="30E3AA68" w14:textId="77777777" w:rsidR="00077E48" w:rsidRPr="00BD1319" w:rsidRDefault="00077E48" w:rsidP="007F45D3">
            <w:pPr>
              <w:overflowPunct/>
              <w:autoSpaceDE/>
              <w:autoSpaceDN/>
              <w:adjustRightInd/>
              <w:jc w:val="left"/>
              <w:textAlignment w:val="auto"/>
              <w:rPr>
                <w:rFonts w:cs="Arial"/>
                <w:color w:val="000000"/>
                <w:sz w:val="20"/>
                <w:szCs w:val="20"/>
                <w:lang w:eastAsia="es-CO"/>
              </w:rPr>
            </w:pPr>
            <w:r w:rsidRPr="00BD1319">
              <w:rPr>
                <w:rFonts w:cs="Arial"/>
                <w:color w:val="000000"/>
                <w:sz w:val="20"/>
                <w:szCs w:val="20"/>
                <w:lang w:eastAsia="es-CO"/>
              </w:rPr>
              <w:t>Demográfico</w:t>
            </w:r>
          </w:p>
        </w:tc>
        <w:tc>
          <w:tcPr>
            <w:tcW w:w="2630" w:type="dxa"/>
            <w:vMerge w:val="restart"/>
            <w:tcBorders>
              <w:top w:val="nil"/>
              <w:left w:val="single" w:sz="4" w:space="0" w:color="auto"/>
              <w:bottom w:val="single" w:sz="4" w:space="0" w:color="000000"/>
              <w:right w:val="single" w:sz="4" w:space="0" w:color="auto"/>
            </w:tcBorders>
            <w:shd w:val="clear" w:color="auto" w:fill="auto"/>
            <w:vAlign w:val="center"/>
            <w:hideMark/>
          </w:tcPr>
          <w:p w14:paraId="290D3525" w14:textId="0DD54AD0" w:rsidR="00077E48" w:rsidRPr="00BD1319" w:rsidRDefault="00077E48" w:rsidP="0082127E">
            <w:pPr>
              <w:overflowPunct/>
              <w:autoSpaceDE/>
              <w:autoSpaceDN/>
              <w:adjustRightInd/>
              <w:textAlignment w:val="auto"/>
              <w:rPr>
                <w:rFonts w:cs="Arial"/>
                <w:color w:val="000000"/>
                <w:sz w:val="20"/>
                <w:szCs w:val="20"/>
                <w:lang w:eastAsia="es-CO"/>
              </w:rPr>
            </w:pPr>
            <w:r w:rsidRPr="00BD1319">
              <w:rPr>
                <w:rFonts w:cs="Arial"/>
                <w:color w:val="000000"/>
                <w:sz w:val="20"/>
                <w:szCs w:val="20"/>
                <w:lang w:eastAsia="es-CO"/>
              </w:rPr>
              <w:t>Unidades territoriales (municipios, corregimientos, veredas, sectores de vereda, barrios, inspecciones de policía, resguardos indígenas, territorios colectivos u otras unidades reconocidas administrativa o socialmente)</w:t>
            </w:r>
          </w:p>
        </w:tc>
        <w:tc>
          <w:tcPr>
            <w:tcW w:w="2873" w:type="dxa"/>
            <w:vMerge w:val="restart"/>
            <w:tcBorders>
              <w:top w:val="nil"/>
              <w:left w:val="single" w:sz="4" w:space="0" w:color="auto"/>
              <w:bottom w:val="single" w:sz="4" w:space="0" w:color="000000"/>
              <w:right w:val="single" w:sz="4" w:space="0" w:color="auto"/>
            </w:tcBorders>
            <w:shd w:val="clear" w:color="auto" w:fill="auto"/>
            <w:vAlign w:val="center"/>
            <w:hideMark/>
          </w:tcPr>
          <w:p w14:paraId="67C71746" w14:textId="77777777" w:rsidR="00077E48" w:rsidRPr="00BD1319" w:rsidRDefault="00077E48" w:rsidP="0082127E">
            <w:pPr>
              <w:overflowPunct/>
              <w:autoSpaceDE/>
              <w:autoSpaceDN/>
              <w:adjustRightInd/>
              <w:textAlignment w:val="auto"/>
              <w:rPr>
                <w:rFonts w:cs="Arial"/>
                <w:sz w:val="20"/>
                <w:szCs w:val="20"/>
                <w:lang w:eastAsia="es-CO"/>
              </w:rPr>
            </w:pPr>
            <w:r w:rsidRPr="00BD1319">
              <w:rPr>
                <w:rFonts w:cs="Arial"/>
                <w:sz w:val="20"/>
                <w:szCs w:val="20"/>
                <w:lang w:eastAsia="es-CO"/>
              </w:rPr>
              <w:t>Fisiografía (ríos, divisorias de aguas), vías principales.</w:t>
            </w:r>
          </w:p>
          <w:p w14:paraId="7ABC8C5A" w14:textId="39E4E240" w:rsidR="007A2FC3" w:rsidRPr="00BD1319" w:rsidRDefault="007A2FC3" w:rsidP="0082127E">
            <w:pPr>
              <w:overflowPunct/>
              <w:autoSpaceDE/>
              <w:autoSpaceDN/>
              <w:adjustRightInd/>
              <w:textAlignment w:val="auto"/>
              <w:rPr>
                <w:rFonts w:cs="Arial"/>
                <w:color w:val="000000"/>
                <w:sz w:val="20"/>
                <w:szCs w:val="20"/>
                <w:lang w:eastAsia="es-CO"/>
              </w:rPr>
            </w:pPr>
            <w:r w:rsidRPr="00BD1319">
              <w:rPr>
                <w:rFonts w:cs="Arial"/>
                <w:color w:val="000000"/>
                <w:sz w:val="20"/>
                <w:szCs w:val="20"/>
                <w:lang w:eastAsia="es-CO"/>
              </w:rPr>
              <w:t>Organizaciones sociales preexistentes, legalmente reconocidas y con reconocimiento social (para definir sectores de vereda).</w:t>
            </w:r>
          </w:p>
        </w:tc>
        <w:tc>
          <w:tcPr>
            <w:tcW w:w="2452" w:type="dxa"/>
            <w:vMerge w:val="restart"/>
            <w:tcBorders>
              <w:top w:val="nil"/>
              <w:left w:val="single" w:sz="4" w:space="0" w:color="auto"/>
              <w:bottom w:val="single" w:sz="4" w:space="0" w:color="000000"/>
              <w:right w:val="single" w:sz="4" w:space="0" w:color="auto"/>
            </w:tcBorders>
            <w:shd w:val="clear" w:color="auto" w:fill="auto"/>
            <w:vAlign w:val="center"/>
            <w:hideMark/>
          </w:tcPr>
          <w:p w14:paraId="2E615694" w14:textId="060C3B80" w:rsidR="00077E48" w:rsidRPr="00BD1319" w:rsidRDefault="00077E48" w:rsidP="0082127E">
            <w:pPr>
              <w:overflowPunct/>
              <w:autoSpaceDE/>
              <w:autoSpaceDN/>
              <w:adjustRightInd/>
              <w:textAlignment w:val="auto"/>
              <w:rPr>
                <w:rFonts w:cs="Arial"/>
                <w:color w:val="0070C0"/>
                <w:sz w:val="20"/>
                <w:szCs w:val="20"/>
                <w:lang w:eastAsia="es-CO"/>
              </w:rPr>
            </w:pPr>
            <w:r w:rsidRPr="00BD1319">
              <w:rPr>
                <w:rFonts w:cs="Arial"/>
                <w:sz w:val="20"/>
                <w:szCs w:val="20"/>
                <w:lang w:eastAsia="es-CO"/>
              </w:rPr>
              <w:t xml:space="preserve">DANE, IGAC, </w:t>
            </w:r>
            <w:proofErr w:type="spellStart"/>
            <w:r w:rsidRPr="00BD1319">
              <w:rPr>
                <w:rFonts w:cs="Arial"/>
                <w:sz w:val="20"/>
                <w:szCs w:val="20"/>
                <w:lang w:eastAsia="es-CO"/>
              </w:rPr>
              <w:t>Mininterior</w:t>
            </w:r>
            <w:proofErr w:type="spellEnd"/>
            <w:r w:rsidR="00C457F9" w:rsidRPr="00BD1319">
              <w:rPr>
                <w:rFonts w:cs="Arial"/>
                <w:sz w:val="20"/>
                <w:szCs w:val="20"/>
                <w:lang w:eastAsia="es-CO"/>
              </w:rPr>
              <w:t xml:space="preserve">, Planes de desarrollo (municipal y departamental), POT, </w:t>
            </w:r>
            <w:proofErr w:type="spellStart"/>
            <w:r w:rsidR="003C70CD" w:rsidRPr="00BD1319">
              <w:rPr>
                <w:rFonts w:cs="Arial"/>
                <w:sz w:val="20"/>
                <w:szCs w:val="20"/>
                <w:lang w:eastAsia="es-CO"/>
              </w:rPr>
              <w:t>Pomca</w:t>
            </w:r>
            <w:proofErr w:type="spellEnd"/>
            <w:r w:rsidR="00C457F9" w:rsidRPr="00BD1319">
              <w:rPr>
                <w:rFonts w:cs="Arial"/>
                <w:sz w:val="20"/>
                <w:szCs w:val="20"/>
                <w:lang w:eastAsia="es-CO"/>
              </w:rPr>
              <w:t xml:space="preserve">, </w:t>
            </w:r>
            <w:proofErr w:type="spellStart"/>
            <w:r w:rsidR="00733FEA" w:rsidRPr="00BD1319">
              <w:rPr>
                <w:rFonts w:cs="Arial"/>
                <w:sz w:val="20"/>
                <w:szCs w:val="20"/>
                <w:lang w:eastAsia="es-CO"/>
              </w:rPr>
              <w:t>Pomiuac</w:t>
            </w:r>
            <w:proofErr w:type="spellEnd"/>
            <w:r w:rsidR="00C457F9" w:rsidRPr="00BD1319">
              <w:rPr>
                <w:rFonts w:cs="Arial"/>
                <w:sz w:val="20"/>
                <w:szCs w:val="20"/>
                <w:lang w:eastAsia="es-CO"/>
              </w:rPr>
              <w:t>, cartografía social.</w:t>
            </w:r>
          </w:p>
        </w:tc>
      </w:tr>
      <w:tr w:rsidR="00077E48" w:rsidRPr="00BD1319" w14:paraId="64786187" w14:textId="77777777" w:rsidTr="007F45D3">
        <w:trPr>
          <w:trHeight w:val="600"/>
          <w:jc w:val="center"/>
        </w:trPr>
        <w:tc>
          <w:tcPr>
            <w:tcW w:w="993" w:type="dxa"/>
            <w:vMerge/>
            <w:tcBorders>
              <w:top w:val="nil"/>
              <w:left w:val="single" w:sz="4" w:space="0" w:color="auto"/>
              <w:bottom w:val="single" w:sz="4" w:space="0" w:color="000000"/>
              <w:right w:val="single" w:sz="4" w:space="0" w:color="auto"/>
            </w:tcBorders>
            <w:vAlign w:val="center"/>
            <w:hideMark/>
          </w:tcPr>
          <w:p w14:paraId="15F854DA" w14:textId="77777777" w:rsidR="00077E48" w:rsidRPr="00BD1319" w:rsidRDefault="00077E48" w:rsidP="007F45D3">
            <w:pPr>
              <w:overflowPunct/>
              <w:autoSpaceDE/>
              <w:autoSpaceDN/>
              <w:adjustRightInd/>
              <w:jc w:val="left"/>
              <w:textAlignment w:val="auto"/>
              <w:rPr>
                <w:rFonts w:cs="Arial"/>
                <w:color w:val="000000"/>
                <w:sz w:val="20"/>
                <w:szCs w:val="20"/>
                <w:lang w:eastAsia="es-CO"/>
              </w:rPr>
            </w:pPr>
          </w:p>
        </w:tc>
        <w:tc>
          <w:tcPr>
            <w:tcW w:w="1617" w:type="dxa"/>
            <w:tcBorders>
              <w:top w:val="nil"/>
              <w:left w:val="nil"/>
              <w:bottom w:val="single" w:sz="4" w:space="0" w:color="auto"/>
              <w:right w:val="single" w:sz="4" w:space="0" w:color="auto"/>
            </w:tcBorders>
            <w:shd w:val="clear" w:color="auto" w:fill="auto"/>
            <w:vAlign w:val="center"/>
            <w:hideMark/>
          </w:tcPr>
          <w:p w14:paraId="72DBF1CE" w14:textId="77777777" w:rsidR="00077E48" w:rsidRPr="00BD1319" w:rsidRDefault="00077E48" w:rsidP="007F45D3">
            <w:pPr>
              <w:overflowPunct/>
              <w:autoSpaceDE/>
              <w:autoSpaceDN/>
              <w:adjustRightInd/>
              <w:jc w:val="left"/>
              <w:textAlignment w:val="auto"/>
              <w:rPr>
                <w:rFonts w:cs="Arial"/>
                <w:color w:val="000000"/>
                <w:sz w:val="20"/>
                <w:szCs w:val="20"/>
                <w:lang w:eastAsia="es-CO"/>
              </w:rPr>
            </w:pPr>
            <w:r w:rsidRPr="00BD1319">
              <w:rPr>
                <w:rFonts w:cs="Arial"/>
                <w:color w:val="000000"/>
                <w:sz w:val="20"/>
                <w:szCs w:val="20"/>
                <w:lang w:eastAsia="es-CO"/>
              </w:rPr>
              <w:t>Espacial</w:t>
            </w:r>
          </w:p>
        </w:tc>
        <w:tc>
          <w:tcPr>
            <w:tcW w:w="2630" w:type="dxa"/>
            <w:vMerge/>
            <w:tcBorders>
              <w:top w:val="nil"/>
              <w:left w:val="single" w:sz="4" w:space="0" w:color="auto"/>
              <w:bottom w:val="single" w:sz="4" w:space="0" w:color="000000"/>
              <w:right w:val="single" w:sz="4" w:space="0" w:color="auto"/>
            </w:tcBorders>
            <w:vAlign w:val="center"/>
            <w:hideMark/>
          </w:tcPr>
          <w:p w14:paraId="7AD85807" w14:textId="77777777" w:rsidR="00077E48" w:rsidRPr="00BD1319" w:rsidRDefault="00077E48" w:rsidP="0082127E">
            <w:pPr>
              <w:overflowPunct/>
              <w:autoSpaceDE/>
              <w:autoSpaceDN/>
              <w:adjustRightInd/>
              <w:textAlignment w:val="auto"/>
              <w:rPr>
                <w:rFonts w:cs="Arial"/>
                <w:color w:val="000000"/>
                <w:sz w:val="20"/>
                <w:szCs w:val="20"/>
                <w:lang w:eastAsia="es-CO"/>
              </w:rPr>
            </w:pPr>
          </w:p>
        </w:tc>
        <w:tc>
          <w:tcPr>
            <w:tcW w:w="2873" w:type="dxa"/>
            <w:vMerge/>
            <w:tcBorders>
              <w:top w:val="nil"/>
              <w:left w:val="single" w:sz="4" w:space="0" w:color="auto"/>
              <w:bottom w:val="single" w:sz="4" w:space="0" w:color="000000"/>
              <w:right w:val="single" w:sz="4" w:space="0" w:color="auto"/>
            </w:tcBorders>
            <w:vAlign w:val="center"/>
            <w:hideMark/>
          </w:tcPr>
          <w:p w14:paraId="58B60FD5" w14:textId="77777777" w:rsidR="00077E48" w:rsidRPr="00BD1319" w:rsidRDefault="00077E48" w:rsidP="0082127E">
            <w:pPr>
              <w:overflowPunct/>
              <w:autoSpaceDE/>
              <w:autoSpaceDN/>
              <w:adjustRightInd/>
              <w:textAlignment w:val="auto"/>
              <w:rPr>
                <w:rFonts w:cs="Arial"/>
                <w:color w:val="000000"/>
                <w:sz w:val="20"/>
                <w:szCs w:val="20"/>
                <w:lang w:eastAsia="es-CO"/>
              </w:rPr>
            </w:pPr>
          </w:p>
        </w:tc>
        <w:tc>
          <w:tcPr>
            <w:tcW w:w="2452" w:type="dxa"/>
            <w:vMerge/>
            <w:tcBorders>
              <w:top w:val="nil"/>
              <w:left w:val="single" w:sz="4" w:space="0" w:color="auto"/>
              <w:bottom w:val="single" w:sz="4" w:space="0" w:color="000000"/>
              <w:right w:val="single" w:sz="4" w:space="0" w:color="auto"/>
            </w:tcBorders>
            <w:vAlign w:val="center"/>
            <w:hideMark/>
          </w:tcPr>
          <w:p w14:paraId="5B8A51FE" w14:textId="77777777" w:rsidR="00077E48" w:rsidRPr="00BD1319" w:rsidRDefault="00077E48" w:rsidP="0082127E">
            <w:pPr>
              <w:overflowPunct/>
              <w:autoSpaceDE/>
              <w:autoSpaceDN/>
              <w:adjustRightInd/>
              <w:textAlignment w:val="auto"/>
              <w:rPr>
                <w:rFonts w:cs="Arial"/>
                <w:color w:val="0070C0"/>
                <w:sz w:val="20"/>
                <w:szCs w:val="20"/>
                <w:lang w:eastAsia="es-CO"/>
              </w:rPr>
            </w:pPr>
          </w:p>
        </w:tc>
      </w:tr>
      <w:tr w:rsidR="00077E48" w:rsidRPr="00BD1319" w14:paraId="76683BC2" w14:textId="77777777" w:rsidTr="007F45D3">
        <w:trPr>
          <w:trHeight w:val="600"/>
          <w:jc w:val="center"/>
        </w:trPr>
        <w:tc>
          <w:tcPr>
            <w:tcW w:w="993" w:type="dxa"/>
            <w:vMerge/>
            <w:tcBorders>
              <w:top w:val="nil"/>
              <w:left w:val="single" w:sz="4" w:space="0" w:color="auto"/>
              <w:bottom w:val="single" w:sz="4" w:space="0" w:color="000000"/>
              <w:right w:val="single" w:sz="4" w:space="0" w:color="auto"/>
            </w:tcBorders>
            <w:vAlign w:val="center"/>
            <w:hideMark/>
          </w:tcPr>
          <w:p w14:paraId="7942533A" w14:textId="77777777" w:rsidR="00077E48" w:rsidRPr="00BD1319" w:rsidRDefault="00077E48" w:rsidP="007F45D3">
            <w:pPr>
              <w:overflowPunct/>
              <w:autoSpaceDE/>
              <w:autoSpaceDN/>
              <w:adjustRightInd/>
              <w:jc w:val="left"/>
              <w:textAlignment w:val="auto"/>
              <w:rPr>
                <w:rFonts w:cs="Arial"/>
                <w:color w:val="000000"/>
                <w:sz w:val="20"/>
                <w:szCs w:val="20"/>
                <w:lang w:eastAsia="es-CO"/>
              </w:rPr>
            </w:pPr>
          </w:p>
        </w:tc>
        <w:tc>
          <w:tcPr>
            <w:tcW w:w="1617" w:type="dxa"/>
            <w:tcBorders>
              <w:top w:val="nil"/>
              <w:left w:val="nil"/>
              <w:bottom w:val="single" w:sz="4" w:space="0" w:color="auto"/>
              <w:right w:val="single" w:sz="4" w:space="0" w:color="auto"/>
            </w:tcBorders>
            <w:shd w:val="clear" w:color="auto" w:fill="auto"/>
            <w:vAlign w:val="center"/>
            <w:hideMark/>
          </w:tcPr>
          <w:p w14:paraId="007FDA73" w14:textId="77777777" w:rsidR="00077E48" w:rsidRPr="00BD1319" w:rsidRDefault="00077E48" w:rsidP="007F45D3">
            <w:pPr>
              <w:overflowPunct/>
              <w:autoSpaceDE/>
              <w:autoSpaceDN/>
              <w:adjustRightInd/>
              <w:jc w:val="left"/>
              <w:textAlignment w:val="auto"/>
              <w:rPr>
                <w:rFonts w:cs="Arial"/>
                <w:color w:val="000000"/>
                <w:sz w:val="20"/>
                <w:szCs w:val="20"/>
                <w:lang w:eastAsia="es-CO"/>
              </w:rPr>
            </w:pPr>
            <w:r w:rsidRPr="00BD1319">
              <w:rPr>
                <w:rFonts w:cs="Arial"/>
                <w:color w:val="000000"/>
                <w:sz w:val="20"/>
                <w:szCs w:val="20"/>
                <w:lang w:eastAsia="es-CO"/>
              </w:rPr>
              <w:t>Económico</w:t>
            </w:r>
          </w:p>
        </w:tc>
        <w:tc>
          <w:tcPr>
            <w:tcW w:w="2630" w:type="dxa"/>
            <w:vMerge/>
            <w:tcBorders>
              <w:top w:val="nil"/>
              <w:left w:val="single" w:sz="4" w:space="0" w:color="auto"/>
              <w:bottom w:val="single" w:sz="4" w:space="0" w:color="000000"/>
              <w:right w:val="single" w:sz="4" w:space="0" w:color="auto"/>
            </w:tcBorders>
            <w:vAlign w:val="center"/>
            <w:hideMark/>
          </w:tcPr>
          <w:p w14:paraId="43EC235A" w14:textId="77777777" w:rsidR="00077E48" w:rsidRPr="00BD1319" w:rsidRDefault="00077E48" w:rsidP="0082127E">
            <w:pPr>
              <w:overflowPunct/>
              <w:autoSpaceDE/>
              <w:autoSpaceDN/>
              <w:adjustRightInd/>
              <w:textAlignment w:val="auto"/>
              <w:rPr>
                <w:rFonts w:cs="Arial"/>
                <w:color w:val="000000"/>
                <w:sz w:val="20"/>
                <w:szCs w:val="20"/>
                <w:lang w:eastAsia="es-CO"/>
              </w:rPr>
            </w:pPr>
          </w:p>
        </w:tc>
        <w:tc>
          <w:tcPr>
            <w:tcW w:w="2873" w:type="dxa"/>
            <w:vMerge/>
            <w:tcBorders>
              <w:top w:val="nil"/>
              <w:left w:val="single" w:sz="4" w:space="0" w:color="auto"/>
              <w:bottom w:val="single" w:sz="4" w:space="0" w:color="000000"/>
              <w:right w:val="single" w:sz="4" w:space="0" w:color="auto"/>
            </w:tcBorders>
            <w:vAlign w:val="center"/>
            <w:hideMark/>
          </w:tcPr>
          <w:p w14:paraId="551508AA" w14:textId="77777777" w:rsidR="00077E48" w:rsidRPr="00BD1319" w:rsidRDefault="00077E48" w:rsidP="0082127E">
            <w:pPr>
              <w:overflowPunct/>
              <w:autoSpaceDE/>
              <w:autoSpaceDN/>
              <w:adjustRightInd/>
              <w:textAlignment w:val="auto"/>
              <w:rPr>
                <w:rFonts w:cs="Arial"/>
                <w:color w:val="000000"/>
                <w:sz w:val="20"/>
                <w:szCs w:val="20"/>
                <w:lang w:eastAsia="es-CO"/>
              </w:rPr>
            </w:pPr>
          </w:p>
        </w:tc>
        <w:tc>
          <w:tcPr>
            <w:tcW w:w="2452" w:type="dxa"/>
            <w:vMerge/>
            <w:tcBorders>
              <w:top w:val="nil"/>
              <w:left w:val="single" w:sz="4" w:space="0" w:color="auto"/>
              <w:bottom w:val="single" w:sz="4" w:space="0" w:color="000000"/>
              <w:right w:val="single" w:sz="4" w:space="0" w:color="auto"/>
            </w:tcBorders>
            <w:vAlign w:val="center"/>
            <w:hideMark/>
          </w:tcPr>
          <w:p w14:paraId="22FA4650" w14:textId="77777777" w:rsidR="00077E48" w:rsidRPr="00BD1319" w:rsidRDefault="00077E48" w:rsidP="0082127E">
            <w:pPr>
              <w:overflowPunct/>
              <w:autoSpaceDE/>
              <w:autoSpaceDN/>
              <w:adjustRightInd/>
              <w:textAlignment w:val="auto"/>
              <w:rPr>
                <w:rFonts w:cs="Arial"/>
                <w:color w:val="0070C0"/>
                <w:sz w:val="20"/>
                <w:szCs w:val="20"/>
                <w:lang w:eastAsia="es-CO"/>
              </w:rPr>
            </w:pPr>
          </w:p>
        </w:tc>
      </w:tr>
      <w:tr w:rsidR="00077E48" w:rsidRPr="00BD1319" w14:paraId="2C1CDFF6" w14:textId="77777777" w:rsidTr="007F45D3">
        <w:trPr>
          <w:trHeight w:val="600"/>
          <w:jc w:val="center"/>
        </w:trPr>
        <w:tc>
          <w:tcPr>
            <w:tcW w:w="993" w:type="dxa"/>
            <w:vMerge/>
            <w:tcBorders>
              <w:top w:val="nil"/>
              <w:left w:val="single" w:sz="4" w:space="0" w:color="auto"/>
              <w:bottom w:val="single" w:sz="4" w:space="0" w:color="000000"/>
              <w:right w:val="single" w:sz="4" w:space="0" w:color="auto"/>
            </w:tcBorders>
            <w:vAlign w:val="center"/>
            <w:hideMark/>
          </w:tcPr>
          <w:p w14:paraId="17C9735F" w14:textId="77777777" w:rsidR="00077E48" w:rsidRPr="00BD1319" w:rsidRDefault="00077E48" w:rsidP="007F45D3">
            <w:pPr>
              <w:overflowPunct/>
              <w:autoSpaceDE/>
              <w:autoSpaceDN/>
              <w:adjustRightInd/>
              <w:jc w:val="left"/>
              <w:textAlignment w:val="auto"/>
              <w:rPr>
                <w:rFonts w:cs="Arial"/>
                <w:color w:val="000000"/>
                <w:sz w:val="20"/>
                <w:szCs w:val="20"/>
                <w:lang w:eastAsia="es-CO"/>
              </w:rPr>
            </w:pPr>
          </w:p>
        </w:tc>
        <w:tc>
          <w:tcPr>
            <w:tcW w:w="1617" w:type="dxa"/>
            <w:tcBorders>
              <w:top w:val="nil"/>
              <w:left w:val="nil"/>
              <w:bottom w:val="single" w:sz="4" w:space="0" w:color="auto"/>
              <w:right w:val="single" w:sz="4" w:space="0" w:color="auto"/>
            </w:tcBorders>
            <w:shd w:val="clear" w:color="auto" w:fill="auto"/>
            <w:vAlign w:val="center"/>
            <w:hideMark/>
          </w:tcPr>
          <w:p w14:paraId="265BBA96" w14:textId="77777777" w:rsidR="00077E48" w:rsidRPr="00BD1319" w:rsidRDefault="00077E48" w:rsidP="007F45D3">
            <w:pPr>
              <w:overflowPunct/>
              <w:autoSpaceDE/>
              <w:autoSpaceDN/>
              <w:adjustRightInd/>
              <w:jc w:val="left"/>
              <w:textAlignment w:val="auto"/>
              <w:rPr>
                <w:rFonts w:cs="Arial"/>
                <w:color w:val="000000"/>
                <w:sz w:val="20"/>
                <w:szCs w:val="20"/>
                <w:lang w:eastAsia="es-CO"/>
              </w:rPr>
            </w:pPr>
            <w:r w:rsidRPr="00BD1319">
              <w:rPr>
                <w:rFonts w:cs="Arial"/>
                <w:color w:val="000000"/>
                <w:sz w:val="20"/>
                <w:szCs w:val="20"/>
                <w:lang w:eastAsia="es-CO"/>
              </w:rPr>
              <w:t>Cultural</w:t>
            </w:r>
          </w:p>
        </w:tc>
        <w:tc>
          <w:tcPr>
            <w:tcW w:w="2630" w:type="dxa"/>
            <w:vMerge/>
            <w:tcBorders>
              <w:top w:val="nil"/>
              <w:left w:val="single" w:sz="4" w:space="0" w:color="auto"/>
              <w:bottom w:val="single" w:sz="4" w:space="0" w:color="000000"/>
              <w:right w:val="single" w:sz="4" w:space="0" w:color="auto"/>
            </w:tcBorders>
            <w:vAlign w:val="center"/>
            <w:hideMark/>
          </w:tcPr>
          <w:p w14:paraId="2811D360" w14:textId="77777777" w:rsidR="00077E48" w:rsidRPr="00BD1319" w:rsidRDefault="00077E48" w:rsidP="0082127E">
            <w:pPr>
              <w:overflowPunct/>
              <w:autoSpaceDE/>
              <w:autoSpaceDN/>
              <w:adjustRightInd/>
              <w:textAlignment w:val="auto"/>
              <w:rPr>
                <w:rFonts w:cs="Arial"/>
                <w:color w:val="000000"/>
                <w:sz w:val="20"/>
                <w:szCs w:val="20"/>
                <w:lang w:eastAsia="es-CO"/>
              </w:rPr>
            </w:pPr>
          </w:p>
        </w:tc>
        <w:tc>
          <w:tcPr>
            <w:tcW w:w="2873" w:type="dxa"/>
            <w:vMerge/>
            <w:tcBorders>
              <w:top w:val="nil"/>
              <w:left w:val="single" w:sz="4" w:space="0" w:color="auto"/>
              <w:bottom w:val="single" w:sz="4" w:space="0" w:color="000000"/>
              <w:right w:val="single" w:sz="4" w:space="0" w:color="auto"/>
            </w:tcBorders>
            <w:vAlign w:val="center"/>
            <w:hideMark/>
          </w:tcPr>
          <w:p w14:paraId="4EE6DD45" w14:textId="77777777" w:rsidR="00077E48" w:rsidRPr="00BD1319" w:rsidRDefault="00077E48" w:rsidP="0082127E">
            <w:pPr>
              <w:overflowPunct/>
              <w:autoSpaceDE/>
              <w:autoSpaceDN/>
              <w:adjustRightInd/>
              <w:textAlignment w:val="auto"/>
              <w:rPr>
                <w:rFonts w:cs="Arial"/>
                <w:color w:val="000000"/>
                <w:sz w:val="20"/>
                <w:szCs w:val="20"/>
                <w:lang w:eastAsia="es-CO"/>
              </w:rPr>
            </w:pPr>
          </w:p>
        </w:tc>
        <w:tc>
          <w:tcPr>
            <w:tcW w:w="2452" w:type="dxa"/>
            <w:vMerge/>
            <w:tcBorders>
              <w:top w:val="nil"/>
              <w:left w:val="single" w:sz="4" w:space="0" w:color="auto"/>
              <w:bottom w:val="single" w:sz="4" w:space="0" w:color="000000"/>
              <w:right w:val="single" w:sz="4" w:space="0" w:color="auto"/>
            </w:tcBorders>
            <w:vAlign w:val="center"/>
            <w:hideMark/>
          </w:tcPr>
          <w:p w14:paraId="09C38047" w14:textId="77777777" w:rsidR="00077E48" w:rsidRPr="00BD1319" w:rsidRDefault="00077E48" w:rsidP="0082127E">
            <w:pPr>
              <w:overflowPunct/>
              <w:autoSpaceDE/>
              <w:autoSpaceDN/>
              <w:adjustRightInd/>
              <w:textAlignment w:val="auto"/>
              <w:rPr>
                <w:rFonts w:cs="Arial"/>
                <w:color w:val="0070C0"/>
                <w:sz w:val="20"/>
                <w:szCs w:val="20"/>
                <w:lang w:eastAsia="es-CO"/>
              </w:rPr>
            </w:pPr>
          </w:p>
        </w:tc>
      </w:tr>
      <w:tr w:rsidR="00077E48" w:rsidRPr="00BD1319" w14:paraId="0518801C" w14:textId="77777777" w:rsidTr="007F45D3">
        <w:trPr>
          <w:trHeight w:val="600"/>
          <w:jc w:val="center"/>
        </w:trPr>
        <w:tc>
          <w:tcPr>
            <w:tcW w:w="993" w:type="dxa"/>
            <w:vMerge/>
            <w:tcBorders>
              <w:top w:val="nil"/>
              <w:left w:val="single" w:sz="4" w:space="0" w:color="auto"/>
              <w:bottom w:val="single" w:sz="4" w:space="0" w:color="000000"/>
              <w:right w:val="single" w:sz="4" w:space="0" w:color="auto"/>
            </w:tcBorders>
            <w:vAlign w:val="center"/>
            <w:hideMark/>
          </w:tcPr>
          <w:p w14:paraId="6AC8B4BC" w14:textId="77777777" w:rsidR="00077E48" w:rsidRPr="00BD1319" w:rsidRDefault="00077E48" w:rsidP="007F45D3">
            <w:pPr>
              <w:overflowPunct/>
              <w:autoSpaceDE/>
              <w:autoSpaceDN/>
              <w:adjustRightInd/>
              <w:jc w:val="left"/>
              <w:textAlignment w:val="auto"/>
              <w:rPr>
                <w:rFonts w:cs="Arial"/>
                <w:color w:val="000000"/>
                <w:sz w:val="20"/>
                <w:szCs w:val="20"/>
                <w:lang w:eastAsia="es-CO"/>
              </w:rPr>
            </w:pPr>
          </w:p>
        </w:tc>
        <w:tc>
          <w:tcPr>
            <w:tcW w:w="1617" w:type="dxa"/>
            <w:tcBorders>
              <w:top w:val="nil"/>
              <w:left w:val="nil"/>
              <w:bottom w:val="single" w:sz="4" w:space="0" w:color="auto"/>
              <w:right w:val="single" w:sz="4" w:space="0" w:color="auto"/>
            </w:tcBorders>
            <w:shd w:val="clear" w:color="auto" w:fill="auto"/>
            <w:vAlign w:val="center"/>
            <w:hideMark/>
          </w:tcPr>
          <w:p w14:paraId="30CA7E5E" w14:textId="77777777" w:rsidR="00077E48" w:rsidRPr="00BD1319" w:rsidRDefault="00077E48" w:rsidP="007F45D3">
            <w:pPr>
              <w:overflowPunct/>
              <w:autoSpaceDE/>
              <w:autoSpaceDN/>
              <w:adjustRightInd/>
              <w:jc w:val="left"/>
              <w:textAlignment w:val="auto"/>
              <w:rPr>
                <w:rFonts w:cs="Arial"/>
                <w:color w:val="000000"/>
                <w:sz w:val="20"/>
                <w:szCs w:val="20"/>
                <w:lang w:eastAsia="es-CO"/>
              </w:rPr>
            </w:pPr>
            <w:r w:rsidRPr="00BD1319">
              <w:rPr>
                <w:rFonts w:cs="Arial"/>
                <w:color w:val="000000"/>
                <w:sz w:val="20"/>
                <w:szCs w:val="20"/>
                <w:lang w:eastAsia="es-CO"/>
              </w:rPr>
              <w:t>Tendencias del desarrollo</w:t>
            </w:r>
          </w:p>
        </w:tc>
        <w:tc>
          <w:tcPr>
            <w:tcW w:w="2630" w:type="dxa"/>
            <w:vMerge/>
            <w:tcBorders>
              <w:top w:val="nil"/>
              <w:left w:val="single" w:sz="4" w:space="0" w:color="auto"/>
              <w:bottom w:val="single" w:sz="4" w:space="0" w:color="000000"/>
              <w:right w:val="single" w:sz="4" w:space="0" w:color="auto"/>
            </w:tcBorders>
            <w:vAlign w:val="center"/>
            <w:hideMark/>
          </w:tcPr>
          <w:p w14:paraId="635EAF8B" w14:textId="77777777" w:rsidR="00077E48" w:rsidRPr="00BD1319" w:rsidRDefault="00077E48" w:rsidP="0082127E">
            <w:pPr>
              <w:overflowPunct/>
              <w:autoSpaceDE/>
              <w:autoSpaceDN/>
              <w:adjustRightInd/>
              <w:textAlignment w:val="auto"/>
              <w:rPr>
                <w:rFonts w:cs="Arial"/>
                <w:color w:val="000000"/>
                <w:sz w:val="20"/>
                <w:szCs w:val="20"/>
                <w:lang w:eastAsia="es-CO"/>
              </w:rPr>
            </w:pPr>
          </w:p>
        </w:tc>
        <w:tc>
          <w:tcPr>
            <w:tcW w:w="2873" w:type="dxa"/>
            <w:vMerge/>
            <w:tcBorders>
              <w:top w:val="nil"/>
              <w:left w:val="single" w:sz="4" w:space="0" w:color="auto"/>
              <w:bottom w:val="single" w:sz="4" w:space="0" w:color="000000"/>
              <w:right w:val="single" w:sz="4" w:space="0" w:color="auto"/>
            </w:tcBorders>
            <w:vAlign w:val="center"/>
            <w:hideMark/>
          </w:tcPr>
          <w:p w14:paraId="428147B4" w14:textId="77777777" w:rsidR="00077E48" w:rsidRPr="00BD1319" w:rsidRDefault="00077E48" w:rsidP="0082127E">
            <w:pPr>
              <w:overflowPunct/>
              <w:autoSpaceDE/>
              <w:autoSpaceDN/>
              <w:adjustRightInd/>
              <w:textAlignment w:val="auto"/>
              <w:rPr>
                <w:rFonts w:cs="Arial"/>
                <w:color w:val="000000"/>
                <w:sz w:val="20"/>
                <w:szCs w:val="20"/>
                <w:lang w:eastAsia="es-CO"/>
              </w:rPr>
            </w:pPr>
          </w:p>
        </w:tc>
        <w:tc>
          <w:tcPr>
            <w:tcW w:w="2452" w:type="dxa"/>
            <w:vMerge/>
            <w:tcBorders>
              <w:top w:val="nil"/>
              <w:left w:val="single" w:sz="4" w:space="0" w:color="auto"/>
              <w:bottom w:val="single" w:sz="4" w:space="0" w:color="000000"/>
              <w:right w:val="single" w:sz="4" w:space="0" w:color="auto"/>
            </w:tcBorders>
            <w:vAlign w:val="center"/>
            <w:hideMark/>
          </w:tcPr>
          <w:p w14:paraId="74A8A6EB" w14:textId="77777777" w:rsidR="00077E48" w:rsidRPr="00BD1319" w:rsidRDefault="00077E48" w:rsidP="0082127E">
            <w:pPr>
              <w:overflowPunct/>
              <w:autoSpaceDE/>
              <w:autoSpaceDN/>
              <w:adjustRightInd/>
              <w:textAlignment w:val="auto"/>
              <w:rPr>
                <w:rFonts w:cs="Arial"/>
                <w:color w:val="0070C0"/>
                <w:sz w:val="20"/>
                <w:szCs w:val="20"/>
                <w:lang w:eastAsia="es-CO"/>
              </w:rPr>
            </w:pPr>
          </w:p>
        </w:tc>
      </w:tr>
    </w:tbl>
    <w:p w14:paraId="17F75385" w14:textId="1E534EE1" w:rsidR="00077E48" w:rsidRPr="00BD1319" w:rsidRDefault="00077E48" w:rsidP="00077E48">
      <w:pPr>
        <w:numPr>
          <w:ilvl w:val="12"/>
          <w:numId w:val="0"/>
        </w:numPr>
        <w:tabs>
          <w:tab w:val="left" w:pos="-2268"/>
        </w:tabs>
        <w:suppressAutoHyphens/>
        <w:rPr>
          <w:rFonts w:cs="Arial"/>
          <w:spacing w:val="-3"/>
          <w:sz w:val="20"/>
          <w:szCs w:val="20"/>
        </w:rPr>
      </w:pPr>
      <w:r w:rsidRPr="00BD1319">
        <w:rPr>
          <w:rFonts w:cs="Arial"/>
          <w:spacing w:val="-3"/>
          <w:sz w:val="20"/>
          <w:szCs w:val="20"/>
        </w:rPr>
        <w:t>Las fuentes de información secundaria pueden emplearse para delimitar el área de influencia preliminar o para delimitar el</w:t>
      </w:r>
      <w:r w:rsidR="0072054C" w:rsidRPr="00BD1319">
        <w:rPr>
          <w:rFonts w:cs="Arial"/>
          <w:spacing w:val="-3"/>
          <w:sz w:val="20"/>
          <w:szCs w:val="20"/>
        </w:rPr>
        <w:t xml:space="preserve"> </w:t>
      </w:r>
      <w:r w:rsidRPr="00BD1319">
        <w:rPr>
          <w:rFonts w:cs="Arial"/>
          <w:spacing w:val="-3"/>
          <w:sz w:val="20"/>
          <w:szCs w:val="20"/>
        </w:rPr>
        <w:t>área de influencia definitiva en caso de que su información presente la calidad requerida en los términos de referencia. En todo caso, las unidades de análisis y criterios de conformación (elementos espaciales que permiten conformar unidades de análisis) también deben ser establecidos mediante información primaria revisada, procesada y verificada.</w:t>
      </w:r>
    </w:p>
    <w:p w14:paraId="064BC247" w14:textId="77777777" w:rsidR="00077E48" w:rsidRPr="00BD1319" w:rsidRDefault="00077E48" w:rsidP="00077E48">
      <w:pPr>
        <w:numPr>
          <w:ilvl w:val="12"/>
          <w:numId w:val="0"/>
        </w:numPr>
        <w:tabs>
          <w:tab w:val="left" w:pos="-2268"/>
        </w:tabs>
        <w:suppressAutoHyphens/>
        <w:rPr>
          <w:rFonts w:cs="Arial"/>
          <w:spacing w:val="-3"/>
        </w:rPr>
      </w:pPr>
    </w:p>
    <w:p w14:paraId="2368D0AC" w14:textId="29CCCE1D" w:rsidR="00077E48" w:rsidRPr="00BD1319" w:rsidRDefault="00077E48" w:rsidP="00077E48">
      <w:pPr>
        <w:numPr>
          <w:ilvl w:val="12"/>
          <w:numId w:val="0"/>
        </w:numPr>
        <w:tabs>
          <w:tab w:val="left" w:pos="-2268"/>
        </w:tabs>
        <w:suppressAutoHyphens/>
        <w:rPr>
          <w:rFonts w:cs="Arial"/>
        </w:rPr>
      </w:pPr>
      <w:r w:rsidRPr="00BD1319">
        <w:rPr>
          <w:rFonts w:cs="Arial"/>
          <w:spacing w:val="-3"/>
        </w:rPr>
        <w:t xml:space="preserve">En los numerales que siguen a continuación, se presentan lineamientos que orientan la </w:t>
      </w:r>
      <w:r w:rsidR="00A51056" w:rsidRPr="00BD1319">
        <w:rPr>
          <w:rFonts w:cs="Arial"/>
          <w:spacing w:val="-3"/>
        </w:rPr>
        <w:t xml:space="preserve">determinación </w:t>
      </w:r>
      <w:r w:rsidRPr="00BD1319">
        <w:rPr>
          <w:rFonts w:cs="Arial"/>
          <w:spacing w:val="-3"/>
        </w:rPr>
        <w:t xml:space="preserve">de las unidades de análisis de algunos de los componentes de los medios abiótico, biótico y socioeconómico en las que se presentan impactos ambientales significativos, teniendo en cuenta que siempre se debe tomar como punto de referencia los escenarios más críticos de manifestación y trascendencia de los impactos ambientales significativos asociados </w:t>
      </w:r>
      <w:r w:rsidR="00733FEA" w:rsidRPr="00BD1319">
        <w:rPr>
          <w:rFonts w:cs="Arial"/>
          <w:spacing w:val="-3"/>
        </w:rPr>
        <w:t>a</w:t>
      </w:r>
      <w:r w:rsidRPr="00BD1319">
        <w:rPr>
          <w:rFonts w:cs="Arial"/>
          <w:spacing w:val="-3"/>
        </w:rPr>
        <w:t>l proyecto, obra o actividad.</w:t>
      </w:r>
    </w:p>
    <w:p w14:paraId="274544EA" w14:textId="77777777" w:rsidR="006C337B" w:rsidRPr="00BD1319" w:rsidRDefault="006C337B" w:rsidP="009420F5">
      <w:pPr>
        <w:numPr>
          <w:ilvl w:val="12"/>
          <w:numId w:val="0"/>
        </w:numPr>
        <w:tabs>
          <w:tab w:val="left" w:pos="-2268"/>
        </w:tabs>
        <w:suppressAutoHyphens/>
        <w:rPr>
          <w:rFonts w:cs="Arial"/>
          <w:spacing w:val="-3"/>
        </w:rPr>
      </w:pPr>
    </w:p>
    <w:p w14:paraId="0833B854" w14:textId="710101E1" w:rsidR="00077E48" w:rsidRPr="00BD1319" w:rsidRDefault="007F45D3" w:rsidP="009420F5">
      <w:pPr>
        <w:pStyle w:val="Ttulo2"/>
        <w:rPr>
          <w:lang w:val="es-CO"/>
        </w:rPr>
      </w:pPr>
      <w:bookmarkStart w:id="2531" w:name="_Toc175326742"/>
      <w:r w:rsidRPr="00BD1319">
        <w:rPr>
          <w:lang w:val="es-CO"/>
        </w:rPr>
        <w:t xml:space="preserve">LINEAMIENTOS PARA LA DELIMITACIÓN DEL ÁREA DE INFLUENCIA DEL </w:t>
      </w:r>
      <w:r w:rsidR="00077E48" w:rsidRPr="00BD1319">
        <w:rPr>
          <w:lang w:val="es-CO"/>
        </w:rPr>
        <w:t>MEDIO ABIÓTICO</w:t>
      </w:r>
      <w:bookmarkEnd w:id="2531"/>
    </w:p>
    <w:p w14:paraId="43333014" w14:textId="77777777" w:rsidR="00077E48" w:rsidRPr="00BD1319" w:rsidRDefault="00077E48" w:rsidP="00077E48">
      <w:pPr>
        <w:numPr>
          <w:ilvl w:val="12"/>
          <w:numId w:val="0"/>
        </w:numPr>
        <w:tabs>
          <w:tab w:val="left" w:pos="-2268"/>
        </w:tabs>
        <w:suppressAutoHyphens/>
        <w:rPr>
          <w:rFonts w:cs="Arial"/>
          <w:spacing w:val="-3"/>
        </w:rPr>
      </w:pPr>
    </w:p>
    <w:p w14:paraId="1DC846A2" w14:textId="1CC87463" w:rsidR="00077E48" w:rsidRPr="00BD1319" w:rsidRDefault="00077E48" w:rsidP="00077E48">
      <w:pPr>
        <w:numPr>
          <w:ilvl w:val="12"/>
          <w:numId w:val="0"/>
        </w:numPr>
        <w:tabs>
          <w:tab w:val="left" w:pos="-2268"/>
        </w:tabs>
        <w:suppressAutoHyphens/>
        <w:rPr>
          <w:rFonts w:cs="Arial"/>
          <w:spacing w:val="-3"/>
        </w:rPr>
      </w:pPr>
      <w:r w:rsidRPr="00BD1319">
        <w:rPr>
          <w:rFonts w:cs="Arial"/>
          <w:spacing w:val="-3"/>
        </w:rPr>
        <w:t xml:space="preserve">La delimitación del área de </w:t>
      </w:r>
      <w:r w:rsidR="007A2FC3" w:rsidRPr="00BD1319">
        <w:rPr>
          <w:rFonts w:cs="Arial"/>
          <w:spacing w:val="-3"/>
        </w:rPr>
        <w:t xml:space="preserve">influencia de </w:t>
      </w:r>
      <w:r w:rsidRPr="00BD1319">
        <w:rPr>
          <w:rFonts w:cs="Arial"/>
          <w:spacing w:val="-3"/>
        </w:rPr>
        <w:t xml:space="preserve">este medio debe considerar además del análisis de la información primaria y secundaria que se deriva de la caracterización ambiental, modelos analíticos, numéricos o estocásticos para simular la magnitud, extensión y duración de los impactos que se generan en todas las fases del </w:t>
      </w:r>
      <w:r w:rsidRPr="00BD1319">
        <w:rPr>
          <w:rFonts w:cs="Arial"/>
        </w:rPr>
        <w:t>proyecto, obra o actividad</w:t>
      </w:r>
      <w:r w:rsidRPr="00BD1319">
        <w:rPr>
          <w:rFonts w:cs="Arial"/>
          <w:spacing w:val="-3"/>
        </w:rPr>
        <w:t xml:space="preserve"> sobre los diferentes componentes que hacen parte de este medio, en los casos que tales modelizaciones sean aplicables</w:t>
      </w:r>
      <w:r w:rsidRPr="00BD1319">
        <w:rPr>
          <w:rStyle w:val="Refdenotaalpie"/>
          <w:rFonts w:cs="Arial"/>
          <w:spacing w:val="-3"/>
          <w:lang w:val="es-CO"/>
        </w:rPr>
        <w:footnoteReference w:id="83"/>
      </w:r>
      <w:r w:rsidRPr="00BD1319">
        <w:rPr>
          <w:rFonts w:cs="Arial"/>
          <w:spacing w:val="-3"/>
        </w:rPr>
        <w:t>.</w:t>
      </w:r>
    </w:p>
    <w:p w14:paraId="274A86C0" w14:textId="77777777" w:rsidR="00077E48" w:rsidRPr="00BD1319" w:rsidRDefault="00077E48" w:rsidP="00077E48">
      <w:pPr>
        <w:numPr>
          <w:ilvl w:val="12"/>
          <w:numId w:val="0"/>
        </w:numPr>
        <w:tabs>
          <w:tab w:val="left" w:pos="-2268"/>
        </w:tabs>
        <w:suppressAutoHyphens/>
        <w:rPr>
          <w:rFonts w:cs="Arial"/>
          <w:spacing w:val="-3"/>
        </w:rPr>
      </w:pPr>
    </w:p>
    <w:p w14:paraId="71203BAE" w14:textId="0D46C2D5" w:rsidR="00077E48" w:rsidRPr="00BD1319" w:rsidRDefault="00077E48" w:rsidP="00077E48">
      <w:pPr>
        <w:numPr>
          <w:ilvl w:val="12"/>
          <w:numId w:val="0"/>
        </w:numPr>
        <w:tabs>
          <w:tab w:val="left" w:pos="-2268"/>
        </w:tabs>
        <w:suppressAutoHyphens/>
        <w:rPr>
          <w:rFonts w:cs="Arial"/>
          <w:spacing w:val="-3"/>
        </w:rPr>
      </w:pPr>
      <w:r w:rsidRPr="00BD1319">
        <w:rPr>
          <w:rFonts w:cs="Arial"/>
          <w:spacing w:val="-3"/>
        </w:rPr>
        <w:t>La delimitación del área de influencia se debe adelantar a partir del escenario de model</w:t>
      </w:r>
      <w:r w:rsidR="00C74BBB" w:rsidRPr="00BD1319">
        <w:rPr>
          <w:rFonts w:cs="Arial"/>
          <w:spacing w:val="-3"/>
        </w:rPr>
        <w:t>iz</w:t>
      </w:r>
      <w:r w:rsidRPr="00BD1319">
        <w:rPr>
          <w:rFonts w:cs="Arial"/>
          <w:spacing w:val="-3"/>
        </w:rPr>
        <w:t xml:space="preserve">ación más crítico para el componente analizado, es decir, de la simulación que </w:t>
      </w:r>
      <w:r w:rsidRPr="00BD1319">
        <w:rPr>
          <w:rFonts w:cs="Arial"/>
          <w:spacing w:val="-3"/>
        </w:rPr>
        <w:lastRenderedPageBreak/>
        <w:t>contenga el impacto de mayor significancia, tomando como referencia la normativa ambiental vigente</w:t>
      </w:r>
      <w:r w:rsidR="00C457F9" w:rsidRPr="00BD1319">
        <w:rPr>
          <w:rFonts w:cs="Arial"/>
          <w:spacing w:val="-3"/>
        </w:rPr>
        <w:t>.</w:t>
      </w:r>
    </w:p>
    <w:p w14:paraId="7C9E6A6F" w14:textId="77777777" w:rsidR="00077E48" w:rsidRPr="00BD1319" w:rsidRDefault="00077E48" w:rsidP="00077E48">
      <w:pPr>
        <w:numPr>
          <w:ilvl w:val="12"/>
          <w:numId w:val="0"/>
        </w:numPr>
        <w:tabs>
          <w:tab w:val="left" w:pos="-2268"/>
        </w:tabs>
        <w:suppressAutoHyphens/>
        <w:rPr>
          <w:rFonts w:cs="Arial"/>
          <w:spacing w:val="-3"/>
        </w:rPr>
      </w:pPr>
    </w:p>
    <w:p w14:paraId="646617A3" w14:textId="310BF81E" w:rsidR="00077E48" w:rsidRPr="00BD1319" w:rsidRDefault="00077E48" w:rsidP="00077E48">
      <w:pPr>
        <w:tabs>
          <w:tab w:val="left" w:pos="-2268"/>
        </w:tabs>
        <w:suppressAutoHyphens/>
        <w:rPr>
          <w:rFonts w:cs="Arial"/>
          <w:spacing w:val="-3"/>
        </w:rPr>
      </w:pPr>
      <w:r w:rsidRPr="00BD1319">
        <w:rPr>
          <w:rFonts w:cs="Arial"/>
          <w:spacing w:val="-3"/>
        </w:rPr>
        <w:t xml:space="preserve">La decisión de cuáles son </w:t>
      </w:r>
      <w:r w:rsidR="00262C6C" w:rsidRPr="00BD1319">
        <w:rPr>
          <w:rFonts w:cs="Arial"/>
          <w:spacing w:val="-3"/>
        </w:rPr>
        <w:t>los fenómenos y situaciones por modelizar</w:t>
      </w:r>
      <w:r w:rsidRPr="00BD1319">
        <w:rPr>
          <w:rFonts w:cs="Arial"/>
          <w:spacing w:val="-3"/>
        </w:rPr>
        <w:t xml:space="preserve">, está dada por la </w:t>
      </w:r>
      <w:r w:rsidR="00A51056" w:rsidRPr="00BD1319">
        <w:rPr>
          <w:rFonts w:cs="Arial"/>
          <w:spacing w:val="-3"/>
        </w:rPr>
        <w:t xml:space="preserve">determinación </w:t>
      </w:r>
      <w:r w:rsidRPr="00BD1319">
        <w:rPr>
          <w:rFonts w:cs="Arial"/>
          <w:spacing w:val="-3"/>
        </w:rPr>
        <w:t>y evaluación de los impactos ambientales; se debe argumentar por qué se realiza o no un modelo determinado. En los casos en que no exista una norma de referencia nacional como punto de comparación, la significancia del impacto se debe evaluar considerando como mínimo la extensión, magnitud y duración del impacto simulado.</w:t>
      </w:r>
    </w:p>
    <w:p w14:paraId="3BA5B709" w14:textId="77777777" w:rsidR="00077E48" w:rsidRPr="00BD1319" w:rsidRDefault="00077E48" w:rsidP="00077E48">
      <w:pPr>
        <w:numPr>
          <w:ilvl w:val="12"/>
          <w:numId w:val="0"/>
        </w:numPr>
        <w:tabs>
          <w:tab w:val="left" w:pos="-2268"/>
        </w:tabs>
        <w:suppressAutoHyphens/>
        <w:rPr>
          <w:rFonts w:cs="Arial"/>
          <w:spacing w:val="-3"/>
        </w:rPr>
      </w:pPr>
    </w:p>
    <w:p w14:paraId="5F6BA08C" w14:textId="7C8E9CB9" w:rsidR="00077E48" w:rsidRPr="00BD1319" w:rsidRDefault="00077E48" w:rsidP="00077E48">
      <w:pPr>
        <w:tabs>
          <w:tab w:val="left" w:pos="-2268"/>
        </w:tabs>
        <w:suppressAutoHyphens/>
        <w:rPr>
          <w:rFonts w:cs="Arial"/>
          <w:spacing w:val="-3"/>
        </w:rPr>
      </w:pPr>
      <w:r w:rsidRPr="00BD1319">
        <w:rPr>
          <w:rFonts w:cs="Arial"/>
          <w:spacing w:val="-3"/>
        </w:rPr>
        <w:t xml:space="preserve">Algunos ejemplos de modelizaciones numéricas aplicables al medio abiótico son, </w:t>
      </w:r>
      <w:r w:rsidR="00C74BBB" w:rsidRPr="00BD1319">
        <w:rPr>
          <w:rFonts w:cs="Arial"/>
          <w:spacing w:val="-3"/>
        </w:rPr>
        <w:t xml:space="preserve">la </w:t>
      </w:r>
      <w:r w:rsidRPr="00BD1319">
        <w:rPr>
          <w:rFonts w:cs="Arial"/>
          <w:spacing w:val="-3"/>
        </w:rPr>
        <w:t>model</w:t>
      </w:r>
      <w:r w:rsidR="00C74BBB" w:rsidRPr="00BD1319">
        <w:rPr>
          <w:rFonts w:cs="Arial"/>
          <w:spacing w:val="-3"/>
        </w:rPr>
        <w:t xml:space="preserve">ización </w:t>
      </w:r>
      <w:r w:rsidRPr="00BD1319">
        <w:rPr>
          <w:rFonts w:cs="Arial"/>
          <w:spacing w:val="-3"/>
        </w:rPr>
        <w:t xml:space="preserve">de dispersión de las emisiones generadas por las fuentes asociadas al </w:t>
      </w:r>
      <w:r w:rsidRPr="00BD1319">
        <w:rPr>
          <w:rFonts w:cs="Arial"/>
        </w:rPr>
        <w:t>proyecto, obra o actividad</w:t>
      </w:r>
      <w:r w:rsidRPr="00BD1319">
        <w:rPr>
          <w:rFonts w:cs="Arial"/>
          <w:spacing w:val="-3"/>
        </w:rPr>
        <w:t xml:space="preserve"> y </w:t>
      </w:r>
      <w:r w:rsidR="00C74BBB" w:rsidRPr="00BD1319">
        <w:rPr>
          <w:rFonts w:cs="Arial"/>
          <w:spacing w:val="-3"/>
        </w:rPr>
        <w:t xml:space="preserve">la </w:t>
      </w:r>
      <w:r w:rsidRPr="00BD1319">
        <w:rPr>
          <w:rFonts w:cs="Arial"/>
          <w:spacing w:val="-3"/>
        </w:rPr>
        <w:t>model</w:t>
      </w:r>
      <w:r w:rsidR="00C74BBB" w:rsidRPr="00BD1319">
        <w:rPr>
          <w:rFonts w:cs="Arial"/>
          <w:spacing w:val="-3"/>
        </w:rPr>
        <w:t xml:space="preserve">ización </w:t>
      </w:r>
      <w:r w:rsidRPr="00BD1319">
        <w:rPr>
          <w:rFonts w:cs="Arial"/>
          <w:spacing w:val="-3"/>
        </w:rPr>
        <w:t xml:space="preserve">de los niveles de ruido ambiental para el componente atmosférico; </w:t>
      </w:r>
      <w:r w:rsidR="00C74BBB" w:rsidRPr="00BD1319">
        <w:rPr>
          <w:rFonts w:cs="Arial"/>
          <w:spacing w:val="-3"/>
        </w:rPr>
        <w:t>la modelización</w:t>
      </w:r>
      <w:r w:rsidRPr="00BD1319">
        <w:rPr>
          <w:rFonts w:cs="Arial"/>
          <w:spacing w:val="-3"/>
        </w:rPr>
        <w:t xml:space="preserve"> de los vertimientos en agua superficial para el componente hidrológico y; </w:t>
      </w:r>
      <w:r w:rsidR="00C74BBB" w:rsidRPr="00BD1319">
        <w:rPr>
          <w:rFonts w:cs="Arial"/>
          <w:spacing w:val="-3"/>
        </w:rPr>
        <w:t xml:space="preserve">la modelización </w:t>
      </w:r>
      <w:r w:rsidRPr="00BD1319">
        <w:rPr>
          <w:rFonts w:cs="Arial"/>
          <w:spacing w:val="-3"/>
        </w:rPr>
        <w:t>para determinar el abatimiento o la calidad del agua subterránea para el componente hidrogeológico. Estos modelos deben ser formulados utilizando software especializado.</w:t>
      </w:r>
    </w:p>
    <w:p w14:paraId="3EFAF141" w14:textId="77777777" w:rsidR="00077E48" w:rsidRPr="00BD1319" w:rsidRDefault="00077E48" w:rsidP="00077E48">
      <w:pPr>
        <w:numPr>
          <w:ilvl w:val="12"/>
          <w:numId w:val="0"/>
        </w:numPr>
        <w:tabs>
          <w:tab w:val="left" w:pos="-2268"/>
        </w:tabs>
        <w:suppressAutoHyphens/>
        <w:rPr>
          <w:rFonts w:cs="Arial"/>
          <w:spacing w:val="-3"/>
        </w:rPr>
      </w:pPr>
    </w:p>
    <w:p w14:paraId="3C060EA6" w14:textId="207BDAC0" w:rsidR="00077E48" w:rsidRPr="00BD1319" w:rsidRDefault="007A2FC3" w:rsidP="00077E48">
      <w:pPr>
        <w:numPr>
          <w:ilvl w:val="12"/>
          <w:numId w:val="0"/>
        </w:numPr>
        <w:tabs>
          <w:tab w:val="left" w:pos="-2268"/>
        </w:tabs>
        <w:suppressAutoHyphens/>
        <w:rPr>
          <w:rFonts w:cs="Arial"/>
          <w:spacing w:val="-3"/>
        </w:rPr>
      </w:pPr>
      <w:r w:rsidRPr="00BD1319">
        <w:rPr>
          <w:rFonts w:cs="Arial"/>
          <w:spacing w:val="-3"/>
        </w:rPr>
        <w:t>Adicional a las unidades de análisis y criterios señalados en la</w:t>
      </w:r>
      <w:r w:rsidR="00733FEA" w:rsidRPr="00BD1319">
        <w:rPr>
          <w:rFonts w:cs="Arial"/>
          <w:spacing w:val="-3"/>
        </w:rPr>
        <w:t xml:space="preserve"> </w:t>
      </w:r>
      <w:r w:rsidRPr="00BD1319">
        <w:rPr>
          <w:rFonts w:cs="Arial"/>
          <w:spacing w:val="-3"/>
        </w:rPr>
        <w:fldChar w:fldCharType="begin"/>
      </w:r>
      <w:r w:rsidRPr="00BD1319">
        <w:rPr>
          <w:rFonts w:cs="Arial"/>
          <w:spacing w:val="-3"/>
        </w:rPr>
        <w:instrText xml:space="preserve"> REF _Ref68252303 \h </w:instrText>
      </w:r>
      <w:r w:rsidR="00BD1319">
        <w:rPr>
          <w:rFonts w:cs="Arial"/>
          <w:spacing w:val="-3"/>
        </w:rPr>
        <w:instrText xml:space="preserve"> \* MERGEFORMAT </w:instrText>
      </w:r>
      <w:r w:rsidRPr="00BD1319">
        <w:rPr>
          <w:rFonts w:cs="Arial"/>
          <w:spacing w:val="-3"/>
        </w:rPr>
      </w:r>
      <w:r w:rsidRPr="00BD1319">
        <w:rPr>
          <w:rFonts w:cs="Arial"/>
          <w:spacing w:val="-3"/>
        </w:rPr>
        <w:fldChar w:fldCharType="separate"/>
      </w:r>
      <w:r w:rsidR="00296654" w:rsidRPr="00BD1319">
        <w:t xml:space="preserve">Tabla </w:t>
      </w:r>
      <w:r w:rsidR="00296654" w:rsidRPr="00BD1319">
        <w:rPr>
          <w:noProof/>
        </w:rPr>
        <w:t>17</w:t>
      </w:r>
      <w:r w:rsidRPr="00BD1319">
        <w:rPr>
          <w:rFonts w:cs="Arial"/>
          <w:spacing w:val="-3"/>
        </w:rPr>
        <w:fldChar w:fldCharType="end"/>
      </w:r>
      <w:r w:rsidRPr="00BD1319">
        <w:rPr>
          <w:rFonts w:cs="Arial"/>
          <w:spacing w:val="-3"/>
        </w:rPr>
        <w:t xml:space="preserve"> a</w:t>
      </w:r>
      <w:r w:rsidRPr="00BD1319" w:rsidDel="007A2FC3">
        <w:rPr>
          <w:rFonts w:cs="Arial"/>
          <w:spacing w:val="-3"/>
        </w:rPr>
        <w:t xml:space="preserve"> </w:t>
      </w:r>
      <w:r w:rsidR="00077E48" w:rsidRPr="00BD1319">
        <w:rPr>
          <w:rFonts w:cs="Arial"/>
          <w:spacing w:val="-3"/>
        </w:rPr>
        <w:t>continuación</w:t>
      </w:r>
      <w:r w:rsidR="008B4E79" w:rsidRPr="00BD1319">
        <w:rPr>
          <w:rFonts w:cs="Arial"/>
          <w:spacing w:val="-3"/>
        </w:rPr>
        <w:t>,</w:t>
      </w:r>
      <w:r w:rsidR="00077E48" w:rsidRPr="00BD1319">
        <w:rPr>
          <w:rFonts w:cs="Arial"/>
          <w:spacing w:val="-3"/>
        </w:rPr>
        <w:t xml:space="preserve"> se presentan consideraciones particulares que se deben tener en cuenta para delimitar el área de influencia de algunos de los componentes del medio abiótico.</w:t>
      </w:r>
    </w:p>
    <w:p w14:paraId="4F6CCD72" w14:textId="77777777" w:rsidR="00077E48" w:rsidRPr="00BD1319" w:rsidRDefault="00077E48" w:rsidP="00077E48">
      <w:pPr>
        <w:numPr>
          <w:ilvl w:val="12"/>
          <w:numId w:val="0"/>
        </w:numPr>
        <w:tabs>
          <w:tab w:val="left" w:pos="-2268"/>
        </w:tabs>
        <w:suppressAutoHyphens/>
        <w:rPr>
          <w:rFonts w:cs="Arial"/>
          <w:spacing w:val="-3"/>
        </w:rPr>
      </w:pPr>
    </w:p>
    <w:p w14:paraId="1C1271C6" w14:textId="599AC8A2" w:rsidR="00077E48" w:rsidRPr="00BD1319" w:rsidRDefault="00077E48" w:rsidP="00216955">
      <w:pPr>
        <w:pStyle w:val="Ttulo3"/>
      </w:pPr>
      <w:bookmarkStart w:id="2532" w:name="_Toc175326743"/>
      <w:r w:rsidRPr="00BD1319">
        <w:t>Hidrológico</w:t>
      </w:r>
      <w:bookmarkEnd w:id="2532"/>
    </w:p>
    <w:p w14:paraId="0AA366DD" w14:textId="77777777" w:rsidR="00077E48" w:rsidRPr="00BD1319" w:rsidRDefault="00077E48" w:rsidP="00077E48">
      <w:pPr>
        <w:numPr>
          <w:ilvl w:val="12"/>
          <w:numId w:val="0"/>
        </w:numPr>
        <w:tabs>
          <w:tab w:val="left" w:pos="-2268"/>
        </w:tabs>
        <w:suppressAutoHyphens/>
        <w:rPr>
          <w:rFonts w:cs="Arial"/>
          <w:spacing w:val="-3"/>
        </w:rPr>
      </w:pPr>
    </w:p>
    <w:p w14:paraId="39ADED06" w14:textId="26F89CF6" w:rsidR="00077E48" w:rsidRPr="00BD1319" w:rsidRDefault="00077E48" w:rsidP="00077E48">
      <w:pPr>
        <w:rPr>
          <w:rFonts w:cs="Arial"/>
          <w:spacing w:val="-3"/>
        </w:rPr>
      </w:pPr>
      <w:r w:rsidRPr="00BD1319">
        <w:rPr>
          <w:rFonts w:cs="Arial"/>
          <w:spacing w:val="-3"/>
        </w:rPr>
        <w:t xml:space="preserve">Para el ejercicio de delimitación del área de influencia de este componente, es necesario la inclusión de la totalidad del tramo o sección afectada, es decir, que para una concesión de agua superficial, el área de influencia </w:t>
      </w:r>
      <w:r w:rsidR="003372C3" w:rsidRPr="00BD1319">
        <w:rPr>
          <w:rFonts w:cs="Arial"/>
          <w:spacing w:val="-3"/>
        </w:rPr>
        <w:t>debe considerar aquellos tributarios (aguas abajo) que incorporen un caudal igual o mayor al solicitado por la captación; asimismo, el área de influencia puede delimitarse mediante el análisis de los aportes de flujo base sumado a los aportes de otros drenajes, con el fin de establecer el tramo (aguas abajo) en el cual el cuerpo de agua recupera el caudal de interés a captar</w:t>
      </w:r>
      <w:r w:rsidR="007A2FC3" w:rsidRPr="00BD1319">
        <w:rPr>
          <w:rFonts w:cs="Arial"/>
          <w:spacing w:val="-3"/>
        </w:rPr>
        <w:t>;</w:t>
      </w:r>
      <w:r w:rsidRPr="00BD1319">
        <w:rPr>
          <w:rFonts w:cs="Arial"/>
          <w:spacing w:val="-3"/>
        </w:rPr>
        <w:t xml:space="preserve"> </w:t>
      </w:r>
      <w:r w:rsidR="007A2FC3" w:rsidRPr="00BD1319">
        <w:rPr>
          <w:rFonts w:cs="Arial"/>
          <w:spacing w:val="-3"/>
        </w:rPr>
        <w:t>p</w:t>
      </w:r>
      <w:r w:rsidRPr="00BD1319">
        <w:rPr>
          <w:rFonts w:cs="Arial"/>
          <w:spacing w:val="-3"/>
        </w:rPr>
        <w:t>ara lo cual se debe tener como criterio, la variación de la curva de duración de caudales del cuerpo de agua, en su condición sin y con aprovechamiento aguas abajo de la concesión proyectada.</w:t>
      </w:r>
    </w:p>
    <w:p w14:paraId="606AD69F" w14:textId="77777777" w:rsidR="00077E48" w:rsidRPr="00BD1319" w:rsidRDefault="00077E48" w:rsidP="00077E48">
      <w:pPr>
        <w:numPr>
          <w:ilvl w:val="12"/>
          <w:numId w:val="0"/>
        </w:numPr>
        <w:tabs>
          <w:tab w:val="left" w:pos="-2268"/>
        </w:tabs>
        <w:suppressAutoHyphens/>
        <w:rPr>
          <w:rFonts w:cs="Arial"/>
          <w:spacing w:val="-3"/>
        </w:rPr>
      </w:pPr>
    </w:p>
    <w:p w14:paraId="7DB86AA0" w14:textId="77777777" w:rsidR="00077E48" w:rsidRPr="00BD1319" w:rsidRDefault="00077E48" w:rsidP="00077E48">
      <w:pPr>
        <w:numPr>
          <w:ilvl w:val="12"/>
          <w:numId w:val="0"/>
        </w:numPr>
        <w:tabs>
          <w:tab w:val="left" w:pos="-2268"/>
        </w:tabs>
        <w:suppressAutoHyphens/>
        <w:rPr>
          <w:rFonts w:cs="Arial"/>
          <w:spacing w:val="-3"/>
        </w:rPr>
      </w:pPr>
      <w:r w:rsidRPr="00BD1319">
        <w:rPr>
          <w:rFonts w:cs="Arial"/>
          <w:spacing w:val="-3"/>
        </w:rPr>
        <w:t>En el caso de un punto o franja de vertimiento, se debe incluir el punto de la descarga, además de la zona de dispersión del contaminante derivado por las actividades del proyecto, obra o actividad, reconociendo que las intervenciones afectan potencialmente la sección de ambos costados. En todo caso, para actividades de vertimiento, el área de influencia corresponde a la pluma de dilución definida mediante procesos de modelización, es decir, hasta donde el cuerpo de agua asimile completamente el vertimiento.</w:t>
      </w:r>
    </w:p>
    <w:p w14:paraId="26DF664D" w14:textId="77777777" w:rsidR="00077E48" w:rsidRPr="00BD1319" w:rsidRDefault="00077E48" w:rsidP="00077E48">
      <w:pPr>
        <w:numPr>
          <w:ilvl w:val="12"/>
          <w:numId w:val="0"/>
        </w:numPr>
        <w:tabs>
          <w:tab w:val="left" w:pos="-2268"/>
        </w:tabs>
        <w:suppressAutoHyphens/>
        <w:rPr>
          <w:rFonts w:cs="Arial"/>
          <w:spacing w:val="-3"/>
        </w:rPr>
      </w:pPr>
    </w:p>
    <w:p w14:paraId="63645A48" w14:textId="3EF552C0" w:rsidR="00077E48" w:rsidRPr="00BD1319" w:rsidRDefault="00077E48" w:rsidP="00216955">
      <w:pPr>
        <w:pStyle w:val="Ttulo3"/>
      </w:pPr>
      <w:bookmarkStart w:id="2533" w:name="_Toc175326744"/>
      <w:r w:rsidRPr="00BD1319">
        <w:lastRenderedPageBreak/>
        <w:t>Atmosférico</w:t>
      </w:r>
      <w:bookmarkEnd w:id="2533"/>
    </w:p>
    <w:p w14:paraId="1BE872D8" w14:textId="77777777" w:rsidR="00077E48" w:rsidRPr="00BD1319" w:rsidRDefault="00077E48" w:rsidP="00077E48">
      <w:pPr>
        <w:tabs>
          <w:tab w:val="left" w:pos="-2268"/>
        </w:tabs>
        <w:suppressAutoHyphens/>
        <w:rPr>
          <w:rFonts w:cs="Arial"/>
          <w:spacing w:val="-3"/>
        </w:rPr>
      </w:pPr>
    </w:p>
    <w:p w14:paraId="3F8A9785" w14:textId="4A83B74A" w:rsidR="00077E48" w:rsidRPr="00BD1319" w:rsidRDefault="00077E48" w:rsidP="00077E48">
      <w:pPr>
        <w:rPr>
          <w:rFonts w:cs="Arial"/>
        </w:rPr>
      </w:pPr>
      <w:r w:rsidRPr="00BD1319">
        <w:t xml:space="preserve">El área de influencia para el </w:t>
      </w:r>
      <w:r w:rsidRPr="00BD1319">
        <w:rPr>
          <w:rFonts w:cs="Arial"/>
        </w:rPr>
        <w:t xml:space="preserve">factor de calidad de aire corresponde al área </w:t>
      </w:r>
      <w:r w:rsidR="00F53A6E" w:rsidRPr="00BD1319">
        <w:rPr>
          <w:rFonts w:cs="Arial"/>
        </w:rPr>
        <w:t>por</w:t>
      </w:r>
      <w:r w:rsidR="000259C6" w:rsidRPr="00BD1319">
        <w:rPr>
          <w:rFonts w:cs="Arial"/>
        </w:rPr>
        <w:t xml:space="preserve"> intervenir </w:t>
      </w:r>
      <w:r w:rsidRPr="00BD1319">
        <w:rPr>
          <w:rFonts w:cs="Arial"/>
        </w:rPr>
        <w:t>del proyecto, obra o actividad en el cual se localizan las fuentes de emisión (fuentes fijas puntuales, dispersas de área y/o lineales), unida al área o región que debido al desarrollo de sus actividades pueda presentar excedencia de los niveles máximos permisibles definidos en la norma de calidad del aire (ver</w:t>
      </w:r>
      <w:r w:rsidR="00611009" w:rsidRPr="00BD1319">
        <w:rPr>
          <w:rFonts w:cs="Arial"/>
        </w:rPr>
        <w:t xml:space="preserve"> </w:t>
      </w:r>
      <w:r w:rsidR="00B15A67" w:rsidRPr="00BD1319">
        <w:rPr>
          <w:rFonts w:cs="Arial"/>
        </w:rPr>
        <w:fldChar w:fldCharType="begin"/>
      </w:r>
      <w:r w:rsidR="00B15A67" w:rsidRPr="00BD1319">
        <w:rPr>
          <w:rFonts w:cs="Arial"/>
        </w:rPr>
        <w:instrText xml:space="preserve"> REF _Ref81910468 \h </w:instrText>
      </w:r>
      <w:r w:rsidR="00BD1319">
        <w:rPr>
          <w:rFonts w:cs="Arial"/>
        </w:rPr>
        <w:instrText xml:space="preserve"> \* MERGEFORMAT </w:instrText>
      </w:r>
      <w:r w:rsidR="00B15A67" w:rsidRPr="00BD1319">
        <w:rPr>
          <w:rFonts w:cs="Arial"/>
        </w:rPr>
      </w:r>
      <w:r w:rsidR="00B15A67" w:rsidRPr="00BD1319">
        <w:rPr>
          <w:rFonts w:cs="Arial"/>
        </w:rPr>
        <w:fldChar w:fldCharType="separate"/>
      </w:r>
      <w:r w:rsidR="00296654" w:rsidRPr="00BD1319">
        <w:rPr>
          <w:rFonts w:cs="Arial"/>
        </w:rPr>
        <w:t xml:space="preserve">Figura </w:t>
      </w:r>
      <w:r w:rsidR="00296654" w:rsidRPr="00BD1319">
        <w:rPr>
          <w:rFonts w:cs="Arial"/>
          <w:noProof/>
        </w:rPr>
        <w:t>8</w:t>
      </w:r>
      <w:r w:rsidR="00B15A67" w:rsidRPr="00BD1319">
        <w:rPr>
          <w:rFonts w:cs="Arial"/>
        </w:rPr>
        <w:fldChar w:fldCharType="end"/>
      </w:r>
      <w:r w:rsidRPr="00BD1319">
        <w:rPr>
          <w:rFonts w:cs="Arial"/>
        </w:rPr>
        <w:t>).</w:t>
      </w:r>
    </w:p>
    <w:p w14:paraId="42E394FE" w14:textId="77777777" w:rsidR="00077E48" w:rsidRPr="00BD1319" w:rsidRDefault="00077E48" w:rsidP="00077E48"/>
    <w:p w14:paraId="2FD7BFA6" w14:textId="77777777" w:rsidR="00077E48" w:rsidRPr="00BD1319" w:rsidRDefault="00077E48" w:rsidP="00077E48">
      <w:pPr>
        <w:rPr>
          <w:rFonts w:cs="Arial"/>
        </w:rPr>
      </w:pPr>
      <w:r w:rsidRPr="00BD1319">
        <w:rPr>
          <w:rFonts w:cs="Arial"/>
        </w:rPr>
        <w:t>El área o región de potencial excedencia se debe determinar mediante un modelo de dispersión de emisiones de las fuentes a ser emplazadas durante las diferentes fases de ejecución del proyecto sin medidas de control, considerando el escenario más crítico, bien sea por mayor operación, por condiciones meteorológicas adversas u otros que se identifiquen.</w:t>
      </w:r>
    </w:p>
    <w:p w14:paraId="02E001F3" w14:textId="77777777" w:rsidR="00077E48" w:rsidRPr="00BD1319" w:rsidRDefault="00077E48" w:rsidP="00077E48">
      <w:pPr>
        <w:rPr>
          <w:rFonts w:cs="Arial"/>
        </w:rPr>
      </w:pPr>
    </w:p>
    <w:p w14:paraId="66B7750E" w14:textId="6681E905" w:rsidR="00077E48" w:rsidRPr="00BD1319" w:rsidRDefault="00077E48" w:rsidP="00077E48">
      <w:bookmarkStart w:id="2534" w:name="_Hlk72341092"/>
      <w:r w:rsidRPr="00BD1319">
        <w:rPr>
          <w:rFonts w:cs="Arial"/>
        </w:rPr>
        <w:t xml:space="preserve">La delimitación del área o región de potencial excedencia corresponde al área que resulte de la </w:t>
      </w:r>
      <w:proofErr w:type="spellStart"/>
      <w:r w:rsidRPr="00BD1319">
        <w:rPr>
          <w:rFonts w:cs="Arial"/>
        </w:rPr>
        <w:t>isopleta</w:t>
      </w:r>
      <w:proofErr w:type="spellEnd"/>
      <w:r w:rsidRPr="00BD1319">
        <w:rPr>
          <w:rFonts w:cs="Arial"/>
        </w:rPr>
        <w:t xml:space="preserve"> (isolínea de concentración) de mayor extensión entre los contaminantes model</w:t>
      </w:r>
      <w:r w:rsidR="00C74BBB" w:rsidRPr="00BD1319">
        <w:rPr>
          <w:rFonts w:cs="Arial"/>
        </w:rPr>
        <w:t>iz</w:t>
      </w:r>
      <w:r w:rsidRPr="00BD1319">
        <w:rPr>
          <w:rFonts w:cs="Arial"/>
        </w:rPr>
        <w:t>ados que iguale el nivel máximo permisible vigente (</w:t>
      </w:r>
      <w:bookmarkStart w:id="2535" w:name="_Hlk72337832"/>
      <w:r w:rsidRPr="00BD1319">
        <w:rPr>
          <w:rFonts w:cs="Arial"/>
        </w:rPr>
        <w:t xml:space="preserve">Resolución 2254 de 2017 y Resolución 1541 de 2013, </w:t>
      </w:r>
      <w:bookmarkEnd w:id="2535"/>
      <w:r w:rsidRPr="00BD1319">
        <w:rPr>
          <w:rFonts w:cs="Arial"/>
        </w:rPr>
        <w:t>o aquellas que la</w:t>
      </w:r>
      <w:r w:rsidR="00CE574E" w:rsidRPr="00BD1319">
        <w:rPr>
          <w:rFonts w:cs="Arial"/>
        </w:rPr>
        <w:t>s</w:t>
      </w:r>
      <w:r w:rsidRPr="00BD1319">
        <w:rPr>
          <w:rFonts w:cs="Arial"/>
        </w:rPr>
        <w:t xml:space="preserve"> modifiquen</w:t>
      </w:r>
      <w:r w:rsidR="00CE574E" w:rsidRPr="00BD1319">
        <w:rPr>
          <w:rFonts w:cs="Arial"/>
        </w:rPr>
        <w:t xml:space="preserve"> o </w:t>
      </w:r>
      <w:r w:rsidRPr="00BD1319">
        <w:rPr>
          <w:rFonts w:cs="Arial"/>
        </w:rPr>
        <w:t>sustituyan), incluyendo la concentración de fondo para los periodos de exposición anual o de mayor tiempo de exposición</w:t>
      </w:r>
      <w:bookmarkEnd w:id="2534"/>
      <w:r w:rsidRPr="00BD1319">
        <w:rPr>
          <w:rFonts w:cs="Arial"/>
        </w:rPr>
        <w:t>. Los contaminantes que se deben considerar en la modelización son PM</w:t>
      </w:r>
      <w:r w:rsidRPr="00BD1319">
        <w:rPr>
          <w:rFonts w:cs="Arial"/>
          <w:vertAlign w:val="subscript"/>
        </w:rPr>
        <w:t>10</w:t>
      </w:r>
      <w:r w:rsidRPr="00BD1319">
        <w:rPr>
          <w:rFonts w:cs="Arial"/>
        </w:rPr>
        <w:t>, PM</w:t>
      </w:r>
      <w:r w:rsidRPr="00BD1319">
        <w:rPr>
          <w:rFonts w:cs="Arial"/>
          <w:vertAlign w:val="subscript"/>
        </w:rPr>
        <w:t>2.5</w:t>
      </w:r>
      <w:r w:rsidRPr="00BD1319">
        <w:rPr>
          <w:rFonts w:cs="Arial"/>
        </w:rPr>
        <w:t>, NO</w:t>
      </w:r>
      <w:r w:rsidRPr="00BD1319">
        <w:rPr>
          <w:rFonts w:cs="Arial"/>
          <w:vertAlign w:val="subscript"/>
        </w:rPr>
        <w:t>2</w:t>
      </w:r>
      <w:r w:rsidRPr="00BD1319">
        <w:rPr>
          <w:rFonts w:cs="Arial"/>
        </w:rPr>
        <w:t>, metales</w:t>
      </w:r>
      <w:r w:rsidR="007A2FC3" w:rsidRPr="00BD1319">
        <w:rPr>
          <w:rFonts w:cs="Arial"/>
        </w:rPr>
        <w:t>, las sustancias o mezclas de sustancias establecidas en la Resolución 1541 de 2013,</w:t>
      </w:r>
      <w:r w:rsidRPr="00BD1319">
        <w:rPr>
          <w:rFonts w:cs="Arial"/>
        </w:rPr>
        <w:t xml:space="preserve"> </w:t>
      </w:r>
      <w:r w:rsidR="007C7BA3" w:rsidRPr="00BD1319">
        <w:rPr>
          <w:rFonts w:cs="Arial"/>
        </w:rPr>
        <w:t xml:space="preserve">modificada por la Resolución 672 de 2014, </w:t>
      </w:r>
      <w:r w:rsidRPr="00BD1319">
        <w:rPr>
          <w:rFonts w:cs="Arial"/>
        </w:rPr>
        <w:t>u otros contaminantes emitidos por las fuentes del proyecto en cada una de sus fases.</w:t>
      </w:r>
    </w:p>
    <w:p w14:paraId="19B4A70B" w14:textId="77777777" w:rsidR="00077E48" w:rsidRPr="00BD1319" w:rsidRDefault="00077E48" w:rsidP="00077E48"/>
    <w:p w14:paraId="42790FA3" w14:textId="2310955E" w:rsidR="00077E48" w:rsidRPr="00BD1319" w:rsidRDefault="00077E48" w:rsidP="00077E48">
      <w:pPr>
        <w:pStyle w:val="Descripcin"/>
        <w:jc w:val="center"/>
        <w:rPr>
          <w:rFonts w:cs="Arial"/>
          <w:b w:val="0"/>
          <w:spacing w:val="-3"/>
        </w:rPr>
      </w:pPr>
      <w:bookmarkStart w:id="2536" w:name="_Ref81910468"/>
      <w:r w:rsidRPr="00BD1319">
        <w:rPr>
          <w:rFonts w:cs="Arial"/>
        </w:rPr>
        <w:t xml:space="preserve">Figura </w:t>
      </w:r>
      <w:r w:rsidR="00752A78" w:rsidRPr="00BD1319">
        <w:rPr>
          <w:rFonts w:cs="Arial"/>
        </w:rPr>
        <w:fldChar w:fldCharType="begin"/>
      </w:r>
      <w:r w:rsidR="00752A78" w:rsidRPr="00BD1319">
        <w:rPr>
          <w:rFonts w:cs="Arial"/>
        </w:rPr>
        <w:instrText xml:space="preserve"> SEQ Figura \* ARABIC </w:instrText>
      </w:r>
      <w:r w:rsidR="00752A78" w:rsidRPr="00BD1319">
        <w:rPr>
          <w:rFonts w:cs="Arial"/>
        </w:rPr>
        <w:fldChar w:fldCharType="separate"/>
      </w:r>
      <w:r w:rsidR="00296654" w:rsidRPr="00BD1319">
        <w:rPr>
          <w:rFonts w:cs="Arial"/>
          <w:noProof/>
        </w:rPr>
        <w:t>8</w:t>
      </w:r>
      <w:r w:rsidR="00752A78" w:rsidRPr="00BD1319">
        <w:rPr>
          <w:rFonts w:cs="Arial"/>
        </w:rPr>
        <w:fldChar w:fldCharType="end"/>
      </w:r>
      <w:bookmarkEnd w:id="2536"/>
      <w:r w:rsidRPr="00BD1319">
        <w:rPr>
          <w:rFonts w:cs="Arial"/>
        </w:rPr>
        <w:t>.</w:t>
      </w:r>
      <w:r w:rsidRPr="00BD1319">
        <w:rPr>
          <w:rFonts w:cs="Arial"/>
          <w:b w:val="0"/>
        </w:rPr>
        <w:t xml:space="preserve"> Delimitación del área de influencia para calidad</w:t>
      </w:r>
      <w:r w:rsidRPr="00BD1319">
        <w:rPr>
          <w:b w:val="0"/>
        </w:rPr>
        <w:t xml:space="preserve"> del </w:t>
      </w:r>
      <w:r w:rsidRPr="00BD1319">
        <w:rPr>
          <w:rFonts w:cs="Arial"/>
          <w:b w:val="0"/>
        </w:rPr>
        <w:t>aire</w:t>
      </w:r>
    </w:p>
    <w:p w14:paraId="3959B45C" w14:textId="2F260B6A" w:rsidR="00077E48" w:rsidRPr="00BD1319" w:rsidRDefault="00077E48" w:rsidP="00077E48">
      <w:pPr>
        <w:tabs>
          <w:tab w:val="left" w:pos="-2268"/>
        </w:tabs>
        <w:suppressAutoHyphens/>
        <w:jc w:val="center"/>
        <w:rPr>
          <w:rFonts w:cs="Arial"/>
          <w:spacing w:val="-3"/>
        </w:rPr>
      </w:pPr>
      <w:r w:rsidRPr="00BD1319">
        <w:rPr>
          <w:rFonts w:cs="Arial"/>
          <w:noProof/>
          <w:spacing w:val="-3"/>
          <w:lang w:eastAsia="es-CO"/>
        </w:rPr>
        <w:drawing>
          <wp:inline distT="0" distB="0" distL="0" distR="0" wp14:anchorId="14B696C5" wp14:editId="5A20AB8E">
            <wp:extent cx="5249334" cy="2821412"/>
            <wp:effectExtent l="0" t="0" r="8890" b="0"/>
            <wp:docPr id="568110920" name="Imagen 568110920" descr="Diagram,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iagram, map&#10;&#10;Description automatically generated"/>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280647" cy="2838242"/>
                    </a:xfrm>
                    <a:prstGeom prst="rect">
                      <a:avLst/>
                    </a:prstGeom>
                    <a:noFill/>
                    <a:ln>
                      <a:noFill/>
                    </a:ln>
                  </pic:spPr>
                </pic:pic>
              </a:graphicData>
            </a:graphic>
          </wp:inline>
        </w:drawing>
      </w:r>
    </w:p>
    <w:p w14:paraId="41690696" w14:textId="77777777" w:rsidR="00077E48" w:rsidRPr="00BD1319" w:rsidRDefault="00077E48" w:rsidP="00077E48">
      <w:pPr>
        <w:numPr>
          <w:ilvl w:val="12"/>
          <w:numId w:val="0"/>
        </w:numPr>
        <w:tabs>
          <w:tab w:val="left" w:pos="-2268"/>
        </w:tabs>
        <w:suppressAutoHyphens/>
        <w:jc w:val="center"/>
        <w:rPr>
          <w:rFonts w:cs="Arial"/>
          <w:spacing w:val="-3"/>
          <w:sz w:val="20"/>
          <w:szCs w:val="28"/>
        </w:rPr>
      </w:pPr>
      <w:r w:rsidRPr="00BD1319">
        <w:rPr>
          <w:rFonts w:cs="Arial"/>
          <w:b/>
          <w:spacing w:val="-3"/>
          <w:sz w:val="20"/>
          <w:szCs w:val="28"/>
        </w:rPr>
        <w:t>Fuente:</w:t>
      </w:r>
      <w:r w:rsidRPr="00BD1319">
        <w:rPr>
          <w:rFonts w:cs="Arial"/>
          <w:spacing w:val="-3"/>
          <w:sz w:val="20"/>
          <w:szCs w:val="28"/>
        </w:rPr>
        <w:t xml:space="preserve"> Minambiente -2021.</w:t>
      </w:r>
    </w:p>
    <w:p w14:paraId="752E882C" w14:textId="77777777" w:rsidR="00077E48" w:rsidRPr="00BD1319" w:rsidRDefault="00077E48" w:rsidP="0082127E">
      <w:pPr>
        <w:numPr>
          <w:ilvl w:val="12"/>
          <w:numId w:val="0"/>
        </w:numPr>
        <w:tabs>
          <w:tab w:val="left" w:pos="-2268"/>
        </w:tabs>
        <w:suppressAutoHyphens/>
        <w:rPr>
          <w:rFonts w:cs="Arial"/>
          <w:spacing w:val="-3"/>
        </w:rPr>
      </w:pPr>
    </w:p>
    <w:p w14:paraId="3B0F6C66" w14:textId="6BBA9A0B" w:rsidR="00077E48" w:rsidRPr="00BD1319" w:rsidRDefault="00077E48" w:rsidP="00077E48">
      <w:pPr>
        <w:pStyle w:val="Descripcin"/>
        <w:jc w:val="center"/>
        <w:rPr>
          <w:rFonts w:cs="Arial"/>
          <w:b w:val="0"/>
          <w:spacing w:val="-3"/>
        </w:rPr>
      </w:pPr>
      <w:bookmarkStart w:id="2537" w:name="_Ref79396375"/>
      <w:r w:rsidRPr="00BD1319">
        <w:t xml:space="preserve">Figura </w:t>
      </w:r>
      <w:fldSimple w:instr=" SEQ Figura \* ARABIC ">
        <w:r w:rsidR="00296654" w:rsidRPr="00BD1319">
          <w:rPr>
            <w:noProof/>
          </w:rPr>
          <w:t>9</w:t>
        </w:r>
      </w:fldSimple>
      <w:bookmarkEnd w:id="2537"/>
      <w:r w:rsidR="00C75DF7" w:rsidRPr="00BD1319">
        <w:t>.</w:t>
      </w:r>
      <w:r w:rsidRPr="00BD1319">
        <w:rPr>
          <w:b w:val="0"/>
        </w:rPr>
        <w:t xml:space="preserve"> </w:t>
      </w:r>
      <w:r w:rsidRPr="00BD1319">
        <w:rPr>
          <w:rFonts w:cs="Arial"/>
          <w:b w:val="0"/>
        </w:rPr>
        <w:t>Determinación del área de influencia para ruido</w:t>
      </w:r>
    </w:p>
    <w:p w14:paraId="59BE5E98" w14:textId="34CDE893" w:rsidR="00077E48" w:rsidRPr="00BD1319" w:rsidRDefault="00077E48" w:rsidP="00077E48">
      <w:pPr>
        <w:numPr>
          <w:ilvl w:val="12"/>
          <w:numId w:val="0"/>
        </w:numPr>
        <w:tabs>
          <w:tab w:val="left" w:pos="-2268"/>
        </w:tabs>
        <w:suppressAutoHyphens/>
        <w:ind w:left="567"/>
        <w:jc w:val="center"/>
        <w:rPr>
          <w:rFonts w:cs="Arial"/>
          <w:spacing w:val="-3"/>
        </w:rPr>
      </w:pPr>
      <w:r w:rsidRPr="00BD1319">
        <w:rPr>
          <w:rFonts w:cs="Arial"/>
          <w:noProof/>
          <w:spacing w:val="-3"/>
          <w:lang w:eastAsia="es-CO"/>
        </w:rPr>
        <w:drawing>
          <wp:inline distT="0" distB="0" distL="0" distR="0" wp14:anchorId="3A61D6BC" wp14:editId="2B082042">
            <wp:extent cx="4004733" cy="3094566"/>
            <wp:effectExtent l="0" t="0" r="0" b="0"/>
            <wp:docPr id="1025908640" name="Imagen 1025908640" descr="C:\Users\jaime\AppData\Local\Microsoft\Windows\INetCache\Content.Outlook\I2X45UVY\Ruid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aime\AppData\Local\Microsoft\Windows\INetCache\Content.Outlook\I2X45UVY\Ruido.p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027671" cy="3112291"/>
                    </a:xfrm>
                    <a:prstGeom prst="rect">
                      <a:avLst/>
                    </a:prstGeom>
                    <a:noFill/>
                    <a:ln>
                      <a:noFill/>
                    </a:ln>
                  </pic:spPr>
                </pic:pic>
              </a:graphicData>
            </a:graphic>
          </wp:inline>
        </w:drawing>
      </w:r>
    </w:p>
    <w:p w14:paraId="773FC961" w14:textId="7708FCBF" w:rsidR="00077E48" w:rsidRPr="00BD1319" w:rsidRDefault="00077E48" w:rsidP="00077E48">
      <w:pPr>
        <w:numPr>
          <w:ilvl w:val="12"/>
          <w:numId w:val="0"/>
        </w:numPr>
        <w:tabs>
          <w:tab w:val="left" w:pos="-2268"/>
        </w:tabs>
        <w:suppressAutoHyphens/>
        <w:jc w:val="center"/>
        <w:rPr>
          <w:rFonts w:cs="Arial"/>
          <w:spacing w:val="-3"/>
          <w:sz w:val="20"/>
          <w:szCs w:val="28"/>
        </w:rPr>
      </w:pPr>
      <w:r w:rsidRPr="00BD1319">
        <w:rPr>
          <w:rFonts w:cs="Arial"/>
          <w:b/>
          <w:spacing w:val="-3"/>
          <w:sz w:val="20"/>
          <w:szCs w:val="28"/>
        </w:rPr>
        <w:t>Fuente:</w:t>
      </w:r>
      <w:r w:rsidRPr="00BD1319">
        <w:rPr>
          <w:rFonts w:cs="Arial"/>
          <w:spacing w:val="-3"/>
          <w:sz w:val="20"/>
          <w:szCs w:val="28"/>
        </w:rPr>
        <w:t xml:space="preserve"> </w:t>
      </w:r>
      <w:r w:rsidR="00067514" w:rsidRPr="00BD1319">
        <w:rPr>
          <w:rFonts w:cs="Arial"/>
          <w:spacing w:val="-3"/>
          <w:sz w:val="20"/>
          <w:szCs w:val="28"/>
        </w:rPr>
        <w:t>Minambiente -2021</w:t>
      </w:r>
      <w:r w:rsidRPr="00BD1319">
        <w:rPr>
          <w:rFonts w:cs="Arial"/>
          <w:spacing w:val="-3"/>
          <w:sz w:val="20"/>
          <w:szCs w:val="28"/>
        </w:rPr>
        <w:t>.</w:t>
      </w:r>
    </w:p>
    <w:p w14:paraId="6B4DA26A" w14:textId="77777777" w:rsidR="00AF0B7F" w:rsidRPr="00BD1319" w:rsidRDefault="00AF0B7F" w:rsidP="00AF0B7F">
      <w:pPr>
        <w:numPr>
          <w:ilvl w:val="12"/>
          <w:numId w:val="0"/>
        </w:numPr>
        <w:tabs>
          <w:tab w:val="left" w:pos="-2268"/>
        </w:tabs>
        <w:suppressAutoHyphens/>
        <w:rPr>
          <w:rFonts w:cs="Arial"/>
          <w:spacing w:val="-3"/>
        </w:rPr>
      </w:pPr>
    </w:p>
    <w:p w14:paraId="008412F2" w14:textId="56A2435A" w:rsidR="00AF0B7F" w:rsidRPr="00BD1319" w:rsidRDefault="00AF0B7F" w:rsidP="00AF0B7F">
      <w:pPr>
        <w:numPr>
          <w:ilvl w:val="12"/>
          <w:numId w:val="0"/>
        </w:numPr>
        <w:tabs>
          <w:tab w:val="left" w:pos="-2268"/>
        </w:tabs>
        <w:suppressAutoHyphens/>
        <w:rPr>
          <w:rFonts w:cs="Arial"/>
          <w:spacing w:val="-3"/>
        </w:rPr>
      </w:pPr>
      <w:r w:rsidRPr="00BD1319">
        <w:rPr>
          <w:rFonts w:cs="Arial"/>
          <w:spacing w:val="-3"/>
        </w:rPr>
        <w:t xml:space="preserve">Por su parte, la delimitación del área de influencia del factor ambiental ruido se debe basar en modelos de emisiones sonoras formulados a partir de las fuentes involucradas en el proyecto, obra o actividad de acuerdo con lo establecido en el numeral </w:t>
      </w:r>
      <w:r w:rsidRPr="00BD1319">
        <w:rPr>
          <w:rFonts w:cs="Arial"/>
          <w:spacing w:val="-3"/>
        </w:rPr>
        <w:fldChar w:fldCharType="begin"/>
      </w:r>
      <w:r w:rsidRPr="00BD1319">
        <w:rPr>
          <w:rFonts w:cs="Arial"/>
          <w:spacing w:val="-3"/>
        </w:rPr>
        <w:instrText xml:space="preserve"> REF _Ref79430805 \r \h  \* MERGEFORMAT </w:instrText>
      </w:r>
      <w:r w:rsidRPr="00BD1319">
        <w:rPr>
          <w:rFonts w:cs="Arial"/>
          <w:spacing w:val="-3"/>
        </w:rPr>
      </w:r>
      <w:r w:rsidRPr="00BD1319">
        <w:rPr>
          <w:rFonts w:cs="Arial"/>
          <w:spacing w:val="-3"/>
        </w:rPr>
        <w:fldChar w:fldCharType="separate"/>
      </w:r>
      <w:r w:rsidR="00296654" w:rsidRPr="00BD1319">
        <w:rPr>
          <w:rFonts w:cs="Arial"/>
          <w:spacing w:val="-3"/>
        </w:rPr>
        <w:t>7.4</w:t>
      </w:r>
      <w:r w:rsidRPr="00BD1319">
        <w:rPr>
          <w:rFonts w:cs="Arial"/>
          <w:spacing w:val="-3"/>
        </w:rPr>
        <w:fldChar w:fldCharType="end"/>
      </w:r>
      <w:r w:rsidRPr="00BD1319">
        <w:rPr>
          <w:rFonts w:cs="Arial"/>
          <w:spacing w:val="-3"/>
        </w:rPr>
        <w:t xml:space="preserve"> de este capítulo.</w:t>
      </w:r>
    </w:p>
    <w:p w14:paraId="65D77EFD" w14:textId="77777777" w:rsidR="00AF0B7F" w:rsidRPr="00BD1319" w:rsidRDefault="00AF0B7F" w:rsidP="00AF0B7F">
      <w:pPr>
        <w:numPr>
          <w:ilvl w:val="12"/>
          <w:numId w:val="0"/>
        </w:numPr>
        <w:tabs>
          <w:tab w:val="left" w:pos="-2268"/>
        </w:tabs>
        <w:suppressAutoHyphens/>
        <w:rPr>
          <w:rFonts w:cs="Arial"/>
          <w:spacing w:val="-3"/>
        </w:rPr>
      </w:pPr>
    </w:p>
    <w:p w14:paraId="172FAF24" w14:textId="5E740A1A" w:rsidR="00AF0B7F" w:rsidRPr="00BD1319" w:rsidRDefault="00AF0B7F" w:rsidP="00AF0B7F">
      <w:pPr>
        <w:numPr>
          <w:ilvl w:val="12"/>
          <w:numId w:val="0"/>
        </w:numPr>
        <w:tabs>
          <w:tab w:val="left" w:pos="-2268"/>
        </w:tabs>
        <w:suppressAutoHyphens/>
        <w:rPr>
          <w:rFonts w:cs="Arial"/>
          <w:spacing w:val="-3"/>
        </w:rPr>
      </w:pPr>
      <w:r w:rsidRPr="00BD1319">
        <w:rPr>
          <w:rFonts w:cs="Arial"/>
          <w:spacing w:val="-3"/>
        </w:rPr>
        <w:t xml:space="preserve">La delimitación del área de influencia del factor ruido, corresponde a la isófona generada </w:t>
      </w:r>
      <w:r w:rsidR="008B6834" w:rsidRPr="00BD1319">
        <w:rPr>
          <w:rFonts w:cs="Arial"/>
          <w:spacing w:val="-3"/>
        </w:rPr>
        <w:t xml:space="preserve">para los indicadores </w:t>
      </w:r>
      <w:proofErr w:type="spellStart"/>
      <w:proofErr w:type="gramStart"/>
      <w:r w:rsidR="008B6834" w:rsidRPr="00BD1319">
        <w:rPr>
          <w:rFonts w:cs="Arial"/>
          <w:spacing w:val="-3"/>
        </w:rPr>
        <w:t>LAeq,día</w:t>
      </w:r>
      <w:proofErr w:type="spellEnd"/>
      <w:proofErr w:type="gramEnd"/>
      <w:r w:rsidR="008B6834" w:rsidRPr="00BD1319">
        <w:rPr>
          <w:rFonts w:cs="Arial"/>
          <w:spacing w:val="-3"/>
        </w:rPr>
        <w:t xml:space="preserve"> y </w:t>
      </w:r>
      <w:proofErr w:type="spellStart"/>
      <w:r w:rsidR="008B6834" w:rsidRPr="00BD1319">
        <w:rPr>
          <w:rFonts w:cs="Arial"/>
          <w:spacing w:val="-3"/>
        </w:rPr>
        <w:t>LAeq,noche</w:t>
      </w:r>
      <w:proofErr w:type="spellEnd"/>
      <w:r w:rsidR="008B6834" w:rsidRPr="00BD1319">
        <w:rPr>
          <w:rFonts w:cs="Arial"/>
          <w:spacing w:val="-3"/>
        </w:rPr>
        <w:t xml:space="preserve"> </w:t>
      </w:r>
      <w:r w:rsidRPr="00BD1319">
        <w:rPr>
          <w:rFonts w:cs="Arial"/>
          <w:spacing w:val="-3"/>
        </w:rPr>
        <w:t xml:space="preserve">para el escenario crítico del proyecto que represente el estándar máximo permisible más estricto menos 10 dB(A) en relación con el uso de suelo oficial donde se plantea emplazar el proyecto, obra o actividad. Por ejemplo, para un límite máximo de 75 dB(A), la isófona que delimita el área de influencia debe ser la asociada a la de 65 dB(A); la </w:t>
      </w:r>
      <w:r w:rsidRPr="00BD1319">
        <w:rPr>
          <w:rFonts w:cs="Arial"/>
          <w:spacing w:val="-3"/>
        </w:rPr>
        <w:fldChar w:fldCharType="begin"/>
      </w:r>
      <w:r w:rsidRPr="00BD1319">
        <w:rPr>
          <w:rFonts w:cs="Arial"/>
          <w:spacing w:val="-3"/>
        </w:rPr>
        <w:instrText xml:space="preserve"> REF _Ref79396375 \h  \* MERGEFORMAT </w:instrText>
      </w:r>
      <w:r w:rsidRPr="00BD1319">
        <w:rPr>
          <w:rFonts w:cs="Arial"/>
          <w:spacing w:val="-3"/>
        </w:rPr>
      </w:r>
      <w:r w:rsidRPr="00BD1319">
        <w:rPr>
          <w:rFonts w:cs="Arial"/>
          <w:spacing w:val="-3"/>
        </w:rPr>
        <w:fldChar w:fldCharType="separate"/>
      </w:r>
      <w:r w:rsidR="00296654" w:rsidRPr="00BD1319">
        <w:t>Figura 9</w:t>
      </w:r>
      <w:r w:rsidRPr="00BD1319">
        <w:rPr>
          <w:rFonts w:cs="Arial"/>
          <w:spacing w:val="-3"/>
        </w:rPr>
        <w:fldChar w:fldCharType="end"/>
      </w:r>
      <w:r w:rsidRPr="00BD1319">
        <w:rPr>
          <w:rFonts w:cs="Arial"/>
          <w:spacing w:val="-3"/>
        </w:rPr>
        <w:t xml:space="preserve"> ejemplifica dicha situación. Lo anterior teniendo en cuenta que, para un límite máximo establecido, un nivel de ruido igual o superior a éste ya presenta un aporte de energía sonora en el entorno, reflejado en la manifestación de un impacto ambiental.</w:t>
      </w:r>
    </w:p>
    <w:p w14:paraId="1B5EC75B" w14:textId="77777777" w:rsidR="00AF0B7F" w:rsidRPr="00BD1319" w:rsidRDefault="00AF0B7F" w:rsidP="00AF0B7F">
      <w:pPr>
        <w:numPr>
          <w:ilvl w:val="12"/>
          <w:numId w:val="0"/>
        </w:numPr>
        <w:tabs>
          <w:tab w:val="left" w:pos="-2268"/>
        </w:tabs>
        <w:suppressAutoHyphens/>
        <w:rPr>
          <w:rFonts w:cs="Arial"/>
          <w:spacing w:val="-3"/>
        </w:rPr>
      </w:pPr>
    </w:p>
    <w:p w14:paraId="3695BD56" w14:textId="4EB830BF" w:rsidR="00077E48" w:rsidRPr="00BD1319" w:rsidRDefault="007F45D3" w:rsidP="009420F5">
      <w:pPr>
        <w:pStyle w:val="Ttulo2"/>
        <w:rPr>
          <w:lang w:val="es-CO"/>
        </w:rPr>
      </w:pPr>
      <w:bookmarkStart w:id="2538" w:name="_Toc175326745"/>
      <w:bookmarkStart w:id="2539" w:name="_Hlk153184690"/>
      <w:r w:rsidRPr="00BD1319">
        <w:rPr>
          <w:lang w:val="es-CO"/>
        </w:rPr>
        <w:t xml:space="preserve">LINEAMIENTOS PARA LA DELIMITACIÓN DEL ÁREA DE INFLUENCIA DEL </w:t>
      </w:r>
      <w:r w:rsidR="00077E48" w:rsidRPr="00BD1319">
        <w:rPr>
          <w:lang w:val="es-CO"/>
        </w:rPr>
        <w:t>MEDIO BIÓTICO</w:t>
      </w:r>
      <w:bookmarkEnd w:id="2538"/>
    </w:p>
    <w:bookmarkEnd w:id="2539"/>
    <w:p w14:paraId="298D6D0D" w14:textId="77777777" w:rsidR="00077E48" w:rsidRPr="00BD1319" w:rsidRDefault="00077E48" w:rsidP="00077E48">
      <w:pPr>
        <w:numPr>
          <w:ilvl w:val="12"/>
          <w:numId w:val="0"/>
        </w:numPr>
        <w:tabs>
          <w:tab w:val="left" w:pos="-2268"/>
        </w:tabs>
        <w:suppressAutoHyphens/>
        <w:rPr>
          <w:rFonts w:cs="Arial"/>
          <w:spacing w:val="-3"/>
        </w:rPr>
      </w:pPr>
    </w:p>
    <w:p w14:paraId="2FD6359E" w14:textId="0B49A7DD" w:rsidR="00AD5499" w:rsidRPr="00BD1319" w:rsidRDefault="00077E48" w:rsidP="00077E48">
      <w:pPr>
        <w:numPr>
          <w:ilvl w:val="12"/>
          <w:numId w:val="0"/>
        </w:numPr>
        <w:tabs>
          <w:tab w:val="left" w:pos="-2268"/>
        </w:tabs>
        <w:suppressAutoHyphens/>
        <w:rPr>
          <w:rFonts w:cs="Arial"/>
          <w:spacing w:val="-3"/>
        </w:rPr>
      </w:pPr>
      <w:bookmarkStart w:id="2540" w:name="_Hlk153184761"/>
      <w:r w:rsidRPr="00BD1319">
        <w:rPr>
          <w:rFonts w:cs="Arial"/>
          <w:spacing w:val="-3"/>
        </w:rPr>
        <w:t xml:space="preserve">Este numeral brinda orientaciones para </w:t>
      </w:r>
      <w:r w:rsidR="00574400" w:rsidRPr="00BD1319">
        <w:rPr>
          <w:rFonts w:cs="Arial"/>
          <w:spacing w:val="-3"/>
        </w:rPr>
        <w:t xml:space="preserve">determinar </w:t>
      </w:r>
      <w:r w:rsidRPr="00BD1319">
        <w:rPr>
          <w:rFonts w:cs="Arial"/>
          <w:spacing w:val="-3"/>
        </w:rPr>
        <w:t>las unidades de análisis de los componentes del medio biótico que pueden ser impactadas de forma significativa por un proyecto, obra o actividad.</w:t>
      </w:r>
    </w:p>
    <w:p w14:paraId="15874192" w14:textId="77777777" w:rsidR="00AD5499" w:rsidRPr="00BD1319" w:rsidRDefault="00AD5499" w:rsidP="00077E48">
      <w:pPr>
        <w:numPr>
          <w:ilvl w:val="12"/>
          <w:numId w:val="0"/>
        </w:numPr>
        <w:tabs>
          <w:tab w:val="left" w:pos="-2268"/>
        </w:tabs>
        <w:suppressAutoHyphens/>
        <w:rPr>
          <w:rFonts w:cs="Arial"/>
          <w:spacing w:val="-3"/>
        </w:rPr>
      </w:pPr>
    </w:p>
    <w:p w14:paraId="319D5946" w14:textId="78667BCC" w:rsidR="00077E48" w:rsidRPr="00BD1319" w:rsidRDefault="00077E48" w:rsidP="00077E48">
      <w:pPr>
        <w:numPr>
          <w:ilvl w:val="12"/>
          <w:numId w:val="0"/>
        </w:numPr>
        <w:tabs>
          <w:tab w:val="left" w:pos="-2268"/>
        </w:tabs>
        <w:suppressAutoHyphens/>
        <w:rPr>
          <w:rFonts w:cs="Arial"/>
          <w:spacing w:val="-3"/>
          <w:lang w:val="es-ES_tradnl"/>
        </w:rPr>
      </w:pPr>
      <w:r w:rsidRPr="00BD1319">
        <w:rPr>
          <w:rFonts w:cs="Arial"/>
          <w:spacing w:val="-3"/>
        </w:rPr>
        <w:t xml:space="preserve">Tales orientaciones, ordenadas procedimentalmente, corresponden a: i) verificación de la posibilidad de que una unidad de análisis sea impactada dadas sus condiciones intrínsecas, </w:t>
      </w:r>
      <w:proofErr w:type="spellStart"/>
      <w:r w:rsidRPr="00BD1319">
        <w:rPr>
          <w:rFonts w:cs="Arial"/>
          <w:spacing w:val="-3"/>
        </w:rPr>
        <w:t>ii</w:t>
      </w:r>
      <w:proofErr w:type="spellEnd"/>
      <w:r w:rsidRPr="00BD1319">
        <w:rPr>
          <w:rFonts w:cs="Arial"/>
          <w:spacing w:val="-3"/>
        </w:rPr>
        <w:t xml:space="preserve">) </w:t>
      </w:r>
      <w:r w:rsidR="00AD5499" w:rsidRPr="00BD1319">
        <w:rPr>
          <w:rFonts w:cs="Arial"/>
          <w:spacing w:val="-3"/>
        </w:rPr>
        <w:t>determinación del alcance de la manifestación de los impactos</w:t>
      </w:r>
      <w:r w:rsidR="003D3805" w:rsidRPr="00BD1319">
        <w:rPr>
          <w:rFonts w:cs="Arial"/>
          <w:spacing w:val="-3"/>
        </w:rPr>
        <w:t xml:space="preserve"> y</w:t>
      </w:r>
      <w:r w:rsidRPr="00BD1319">
        <w:rPr>
          <w:rFonts w:cs="Arial"/>
          <w:spacing w:val="-3"/>
        </w:rPr>
        <w:t xml:space="preserve">, </w:t>
      </w:r>
      <w:proofErr w:type="spellStart"/>
      <w:r w:rsidRPr="00BD1319">
        <w:rPr>
          <w:rFonts w:cs="Arial"/>
          <w:spacing w:val="-3"/>
        </w:rPr>
        <w:t>iii</w:t>
      </w:r>
      <w:proofErr w:type="spellEnd"/>
      <w:r w:rsidRPr="00BD1319">
        <w:rPr>
          <w:rFonts w:cs="Arial"/>
          <w:spacing w:val="-3"/>
        </w:rPr>
        <w:t xml:space="preserve">) consideración de </w:t>
      </w:r>
      <w:r w:rsidRPr="00BD1319">
        <w:rPr>
          <w:rFonts w:cs="Arial"/>
        </w:rPr>
        <w:t xml:space="preserve">la conectividad ecológica como elemento para </w:t>
      </w:r>
      <w:r w:rsidR="00A51056" w:rsidRPr="00BD1319">
        <w:rPr>
          <w:rFonts w:cs="Arial"/>
        </w:rPr>
        <w:t xml:space="preserve">determinar </w:t>
      </w:r>
      <w:r w:rsidRPr="00BD1319">
        <w:rPr>
          <w:rFonts w:cs="Arial"/>
        </w:rPr>
        <w:t>impactos significativos</w:t>
      </w:r>
      <w:r w:rsidR="006D6296" w:rsidRPr="00BD1319">
        <w:rPr>
          <w:rFonts w:cs="Arial"/>
        </w:rPr>
        <w:t>.</w:t>
      </w:r>
    </w:p>
    <w:p w14:paraId="7C76AC31" w14:textId="77777777" w:rsidR="00077E48" w:rsidRPr="00BD1319" w:rsidRDefault="00077E48" w:rsidP="00077E48">
      <w:pPr>
        <w:numPr>
          <w:ilvl w:val="12"/>
          <w:numId w:val="0"/>
        </w:numPr>
        <w:tabs>
          <w:tab w:val="left" w:pos="-2268"/>
        </w:tabs>
        <w:suppressAutoHyphens/>
        <w:rPr>
          <w:rFonts w:cs="Arial"/>
          <w:spacing w:val="-3"/>
        </w:rPr>
      </w:pPr>
    </w:p>
    <w:p w14:paraId="6FB8C4DD" w14:textId="6637DEBE" w:rsidR="00077E48" w:rsidRPr="00BD1319" w:rsidRDefault="00077E48" w:rsidP="00077E48">
      <w:pPr>
        <w:numPr>
          <w:ilvl w:val="12"/>
          <w:numId w:val="0"/>
        </w:numPr>
        <w:tabs>
          <w:tab w:val="left" w:pos="-2268"/>
        </w:tabs>
        <w:suppressAutoHyphens/>
        <w:rPr>
          <w:rFonts w:cs="Arial"/>
          <w:spacing w:val="-3"/>
        </w:rPr>
      </w:pPr>
      <w:r w:rsidRPr="00BD1319">
        <w:rPr>
          <w:rFonts w:cs="Arial"/>
          <w:spacing w:val="-3"/>
        </w:rPr>
        <w:t>Antes de mencionar estas orientaciones</w:t>
      </w:r>
      <w:r w:rsidR="00CC511D" w:rsidRPr="00BD1319">
        <w:rPr>
          <w:rFonts w:cs="Arial"/>
          <w:spacing w:val="-3"/>
        </w:rPr>
        <w:t>,</w:t>
      </w:r>
      <w:r w:rsidRPr="00BD1319">
        <w:rPr>
          <w:rFonts w:cs="Arial"/>
          <w:spacing w:val="-3"/>
        </w:rPr>
        <w:t xml:space="preserve"> es importante reconocer que los impactos que un proyecto, obra o actividad puede </w:t>
      </w:r>
      <w:r w:rsidR="00BD4398" w:rsidRPr="00BD1319">
        <w:rPr>
          <w:rFonts w:cs="Arial"/>
          <w:spacing w:val="-3"/>
        </w:rPr>
        <w:t xml:space="preserve">generar </w:t>
      </w:r>
      <w:r w:rsidRPr="00BD1319">
        <w:rPr>
          <w:rFonts w:cs="Arial"/>
          <w:spacing w:val="-3"/>
        </w:rPr>
        <w:t xml:space="preserve">sobre un ecosistema no son solamente los que se evidencian de manera inmediata por la intervención o cambio de una cobertura vegetal en el área </w:t>
      </w:r>
      <w:r w:rsidR="00F53A6E" w:rsidRPr="00BD1319">
        <w:rPr>
          <w:rFonts w:cs="Arial"/>
          <w:spacing w:val="-3"/>
        </w:rPr>
        <w:t>por</w:t>
      </w:r>
      <w:r w:rsidRPr="00BD1319">
        <w:rPr>
          <w:rFonts w:cs="Arial"/>
          <w:spacing w:val="-3"/>
        </w:rPr>
        <w:t xml:space="preserve"> intervenir, sino que dadas las relaciones </w:t>
      </w:r>
      <w:r w:rsidR="00A7560A" w:rsidRPr="00BD1319">
        <w:rPr>
          <w:rFonts w:cs="Arial"/>
          <w:spacing w:val="-3"/>
        </w:rPr>
        <w:t xml:space="preserve">complejas de sus elementos </w:t>
      </w:r>
      <w:r w:rsidRPr="00BD1319">
        <w:rPr>
          <w:rFonts w:cs="Arial"/>
          <w:spacing w:val="-3"/>
        </w:rPr>
        <w:t xml:space="preserve">y procesos ecológicos, </w:t>
      </w:r>
      <w:r w:rsidR="00A7560A" w:rsidRPr="00BD1319">
        <w:rPr>
          <w:rFonts w:cs="Arial"/>
          <w:spacing w:val="-3"/>
        </w:rPr>
        <w:t xml:space="preserve">los impactos </w:t>
      </w:r>
      <w:r w:rsidRPr="00BD1319">
        <w:rPr>
          <w:rFonts w:cs="Arial"/>
          <w:spacing w:val="-3"/>
        </w:rPr>
        <w:t xml:space="preserve">también pueden ser indirectos </w:t>
      </w:r>
      <w:r w:rsidR="007B5EC5" w:rsidRPr="00BD1319">
        <w:rPr>
          <w:rFonts w:cs="Arial"/>
          <w:spacing w:val="-3"/>
        </w:rPr>
        <w:t xml:space="preserve">y sinérgicos </w:t>
      </w:r>
      <w:r w:rsidRPr="00BD1319">
        <w:rPr>
          <w:rFonts w:cs="Arial"/>
          <w:spacing w:val="-3"/>
        </w:rPr>
        <w:t>y alterar por ejemplo, la conectividad ecológica, la distribución de especies de fauna silvestre en áreas aledañas y en general, el flujo de materia e información a través de los ecosistemas.</w:t>
      </w:r>
    </w:p>
    <w:p w14:paraId="1E65563C" w14:textId="77777777" w:rsidR="00077E48" w:rsidRPr="00BD1319" w:rsidRDefault="00077E48" w:rsidP="00077E48"/>
    <w:p w14:paraId="30AA10B1" w14:textId="0AA8E8C0" w:rsidR="00077E48" w:rsidRPr="00BD1319" w:rsidRDefault="00077E48" w:rsidP="00077E48">
      <w:pPr>
        <w:rPr>
          <w:rFonts w:cs="Arial"/>
          <w:spacing w:val="-3"/>
        </w:rPr>
      </w:pPr>
      <w:r w:rsidRPr="00BD1319">
        <w:rPr>
          <w:rFonts w:cs="Arial"/>
          <w:spacing w:val="-3"/>
        </w:rPr>
        <w:t xml:space="preserve">Por lo anterior, resulta fundamental que las unidades de análisis que se seleccionen para la delimitación del área de </w:t>
      </w:r>
      <w:r w:rsidR="008B4E79" w:rsidRPr="00BD1319">
        <w:rPr>
          <w:rFonts w:cs="Arial"/>
          <w:spacing w:val="-3"/>
        </w:rPr>
        <w:t>influencia</w:t>
      </w:r>
      <w:r w:rsidRPr="00BD1319">
        <w:rPr>
          <w:rFonts w:cs="Arial"/>
          <w:spacing w:val="-3"/>
        </w:rPr>
        <w:t xml:space="preserve"> permitan evidenciar las características de composición, estructura y función de los </w:t>
      </w:r>
      <w:r w:rsidR="00B35779" w:rsidRPr="00BD1319">
        <w:rPr>
          <w:rFonts w:cs="Arial"/>
          <w:spacing w:val="-3"/>
        </w:rPr>
        <w:t>ecosistemas</w:t>
      </w:r>
      <w:r w:rsidRPr="00BD1319">
        <w:rPr>
          <w:rFonts w:cs="Arial"/>
          <w:spacing w:val="-3"/>
        </w:rPr>
        <w:t xml:space="preserve">, especialmente de elementos </w:t>
      </w:r>
      <w:r w:rsidR="00B35779" w:rsidRPr="00BD1319">
        <w:rPr>
          <w:rFonts w:cs="Arial"/>
          <w:spacing w:val="-3"/>
        </w:rPr>
        <w:t xml:space="preserve">que los hacen </w:t>
      </w:r>
      <w:r w:rsidRPr="00BD1319">
        <w:rPr>
          <w:rFonts w:cs="Arial"/>
          <w:spacing w:val="-3"/>
        </w:rPr>
        <w:t xml:space="preserve">sensibles como las especies con distribución restringida o hábitats </w:t>
      </w:r>
      <w:r w:rsidR="00B35779" w:rsidRPr="00BD1319">
        <w:rPr>
          <w:rFonts w:cs="Arial"/>
          <w:spacing w:val="-3"/>
        </w:rPr>
        <w:t xml:space="preserve">con condiciones muy peculiares </w:t>
      </w:r>
      <w:r w:rsidRPr="00BD1319">
        <w:rPr>
          <w:rFonts w:cs="Arial"/>
          <w:spacing w:val="-3"/>
        </w:rPr>
        <w:t>que puedan resultar impactad</w:t>
      </w:r>
      <w:r w:rsidR="00B35779" w:rsidRPr="00BD1319">
        <w:rPr>
          <w:rFonts w:cs="Arial"/>
          <w:spacing w:val="-3"/>
        </w:rPr>
        <w:t>o</w:t>
      </w:r>
      <w:r w:rsidRPr="00BD1319">
        <w:rPr>
          <w:rFonts w:cs="Arial"/>
          <w:spacing w:val="-3"/>
        </w:rPr>
        <w:t>s.</w:t>
      </w:r>
    </w:p>
    <w:p w14:paraId="074F286D" w14:textId="77777777" w:rsidR="00077E48" w:rsidRPr="00BD1319" w:rsidRDefault="00077E48" w:rsidP="00077E48">
      <w:pPr>
        <w:rPr>
          <w:rFonts w:cs="Arial"/>
          <w:spacing w:val="-3"/>
        </w:rPr>
      </w:pPr>
    </w:p>
    <w:p w14:paraId="02CE9413" w14:textId="0CF5C247" w:rsidR="00077E48" w:rsidRPr="00BD1319" w:rsidRDefault="00077E48" w:rsidP="00077E48">
      <w:pPr>
        <w:numPr>
          <w:ilvl w:val="12"/>
          <w:numId w:val="0"/>
        </w:numPr>
        <w:tabs>
          <w:tab w:val="left" w:pos="-2268"/>
        </w:tabs>
        <w:suppressAutoHyphens/>
        <w:rPr>
          <w:rFonts w:cs="Arial"/>
          <w:spacing w:val="-3"/>
        </w:rPr>
      </w:pPr>
      <w:r w:rsidRPr="00BD1319">
        <w:rPr>
          <w:rFonts w:cs="Arial"/>
          <w:spacing w:val="-3"/>
        </w:rPr>
        <w:t xml:space="preserve">A este respecto, es importante tener en cuenta que las comunidades faunísticas se relacionan con las coberturas de la tierra y los ecosistemas </w:t>
      </w:r>
      <w:r w:rsidR="007B5EC5" w:rsidRPr="00BD1319">
        <w:rPr>
          <w:rFonts w:cs="Arial"/>
          <w:spacing w:val="-3"/>
        </w:rPr>
        <w:t xml:space="preserve">terrestres y acuáticos </w:t>
      </w:r>
      <w:r w:rsidRPr="00BD1319">
        <w:rPr>
          <w:rFonts w:cs="Arial"/>
          <w:spacing w:val="-3"/>
        </w:rPr>
        <w:t xml:space="preserve">de acuerdo con la oferta de alimento y la posibilidad de desplazamiento que éstas proveen y que son esenciales para su subsistencia; por ello, la delimitación del área de influencia del medio biótico debe considerar las relaciones entre la continuidad de las coberturas y ecosistemas presentes, los rangos de hogar de las especies de fauna </w:t>
      </w:r>
      <w:r w:rsidRPr="00BD1319">
        <w:rPr>
          <w:rFonts w:cs="Arial"/>
        </w:rPr>
        <w:t xml:space="preserve">silvestre </w:t>
      </w:r>
      <w:r w:rsidR="007B5EC5" w:rsidRPr="00BD1319">
        <w:rPr>
          <w:rFonts w:cs="Arial"/>
          <w:spacing w:val="-3"/>
        </w:rPr>
        <w:t xml:space="preserve">terrestre y acuática </w:t>
      </w:r>
      <w:r w:rsidRPr="00BD1319">
        <w:rPr>
          <w:rFonts w:cs="Arial"/>
        </w:rPr>
        <w:t>de mayor importancia</w:t>
      </w:r>
      <w:r w:rsidRPr="00BD1319">
        <w:rPr>
          <w:rFonts w:cs="Arial"/>
          <w:spacing w:val="-3"/>
        </w:rPr>
        <w:t xml:space="preserve"> y la existencia de corredores de movilidad para las especies.</w:t>
      </w:r>
    </w:p>
    <w:p w14:paraId="4A135267" w14:textId="77777777" w:rsidR="00077E48" w:rsidRPr="00BD1319" w:rsidRDefault="00077E48" w:rsidP="00077E48">
      <w:pPr>
        <w:rPr>
          <w:rFonts w:cs="Arial"/>
          <w:spacing w:val="-3"/>
        </w:rPr>
      </w:pPr>
    </w:p>
    <w:p w14:paraId="624D076B" w14:textId="0A222ADB" w:rsidR="00077E48" w:rsidRPr="00BD1319" w:rsidRDefault="00077E48" w:rsidP="00077E48">
      <w:pPr>
        <w:rPr>
          <w:rFonts w:cs="Arial"/>
          <w:spacing w:val="-3"/>
        </w:rPr>
      </w:pPr>
      <w:r w:rsidRPr="00BD1319">
        <w:rPr>
          <w:rFonts w:cs="Arial"/>
          <w:spacing w:val="-3"/>
        </w:rPr>
        <w:t>A continuación</w:t>
      </w:r>
      <w:r w:rsidR="00C07B4E" w:rsidRPr="00BD1319">
        <w:rPr>
          <w:rFonts w:cs="Arial"/>
          <w:spacing w:val="-3"/>
        </w:rPr>
        <w:t>,</w:t>
      </w:r>
      <w:r w:rsidRPr="00BD1319">
        <w:rPr>
          <w:rFonts w:cs="Arial"/>
          <w:spacing w:val="-3"/>
        </w:rPr>
        <w:t xml:space="preserve"> se </w:t>
      </w:r>
      <w:r w:rsidR="00CC511D" w:rsidRPr="00BD1319">
        <w:rPr>
          <w:rFonts w:cs="Arial"/>
          <w:spacing w:val="-3"/>
        </w:rPr>
        <w:t xml:space="preserve">señalan </w:t>
      </w:r>
      <w:r w:rsidRPr="00BD1319">
        <w:rPr>
          <w:rFonts w:cs="Arial"/>
          <w:spacing w:val="-3"/>
        </w:rPr>
        <w:t>las orientaciones que se deben tener en cuenta para seleccionar las unidades de análisis que harán parte del área de influencia:</w:t>
      </w:r>
    </w:p>
    <w:bookmarkEnd w:id="2540"/>
    <w:p w14:paraId="40228816" w14:textId="77777777" w:rsidR="00077E48" w:rsidRPr="00BD1319" w:rsidRDefault="00077E48" w:rsidP="00077E48">
      <w:pPr>
        <w:rPr>
          <w:rFonts w:cs="Arial"/>
          <w:spacing w:val="-3"/>
        </w:rPr>
      </w:pPr>
    </w:p>
    <w:p w14:paraId="07CB8345" w14:textId="69B825E0" w:rsidR="00077E48" w:rsidRPr="00BD1319" w:rsidRDefault="00077E48" w:rsidP="00216955">
      <w:pPr>
        <w:pStyle w:val="Ttulo3"/>
      </w:pPr>
      <w:bookmarkStart w:id="2541" w:name="_Toc175326746"/>
      <w:r w:rsidRPr="00BD1319">
        <w:t>Verificación de la posibilidad de que una unidad de análisis sea impactada</w:t>
      </w:r>
      <w:bookmarkEnd w:id="2541"/>
    </w:p>
    <w:p w14:paraId="2577A84A" w14:textId="77777777" w:rsidR="00077E48" w:rsidRPr="00BD1319" w:rsidRDefault="00077E48" w:rsidP="00077E48">
      <w:pPr>
        <w:rPr>
          <w:rFonts w:cs="Arial"/>
          <w:spacing w:val="-3"/>
        </w:rPr>
      </w:pPr>
    </w:p>
    <w:p w14:paraId="7A7FD786" w14:textId="5786EBD1" w:rsidR="00077E48" w:rsidRPr="00BD1319" w:rsidRDefault="00077E48" w:rsidP="00077E48">
      <w:pPr>
        <w:rPr>
          <w:rFonts w:cs="Arial"/>
        </w:rPr>
      </w:pPr>
      <w:r w:rsidRPr="00BD1319">
        <w:rPr>
          <w:rFonts w:cs="Arial"/>
          <w:spacing w:val="-3"/>
        </w:rPr>
        <w:t>Una vez se seleccionan y dividen</w:t>
      </w:r>
      <w:r w:rsidR="009A5D47" w:rsidRPr="00BD1319">
        <w:rPr>
          <w:rFonts w:cs="Arial"/>
          <w:spacing w:val="-3"/>
        </w:rPr>
        <w:t xml:space="preserve"> </w:t>
      </w:r>
      <w:r w:rsidRPr="00BD1319">
        <w:rPr>
          <w:rFonts w:cs="Arial"/>
          <w:spacing w:val="-3"/>
        </w:rPr>
        <w:t>las unidades de análisis (que como se m</w:t>
      </w:r>
      <w:r w:rsidR="0020169D" w:rsidRPr="00BD1319">
        <w:rPr>
          <w:rFonts w:cs="Arial"/>
          <w:spacing w:val="-3"/>
        </w:rPr>
        <w:t xml:space="preserve">uestra </w:t>
      </w:r>
      <w:r w:rsidRPr="00BD1319">
        <w:rPr>
          <w:rFonts w:cs="Arial"/>
          <w:spacing w:val="-3"/>
        </w:rPr>
        <w:t xml:space="preserve">en la </w:t>
      </w:r>
      <w:r w:rsidR="00F20A7A" w:rsidRPr="00BD1319">
        <w:rPr>
          <w:rFonts w:cs="Arial"/>
          <w:spacing w:val="-3"/>
        </w:rPr>
        <w:fldChar w:fldCharType="begin"/>
      </w:r>
      <w:r w:rsidR="00F20A7A" w:rsidRPr="00BD1319">
        <w:rPr>
          <w:rFonts w:cs="Arial"/>
          <w:spacing w:val="-3"/>
        </w:rPr>
        <w:instrText xml:space="preserve"> REF _Ref68252303 \h </w:instrText>
      </w:r>
      <w:r w:rsidR="00063E02" w:rsidRPr="00BD1319">
        <w:rPr>
          <w:rFonts w:cs="Arial"/>
          <w:spacing w:val="-3"/>
        </w:rPr>
        <w:instrText xml:space="preserve"> \* MERGEFORMAT </w:instrText>
      </w:r>
      <w:r w:rsidR="00F20A7A" w:rsidRPr="00BD1319">
        <w:rPr>
          <w:rFonts w:cs="Arial"/>
          <w:spacing w:val="-3"/>
        </w:rPr>
      </w:r>
      <w:r w:rsidR="00F20A7A" w:rsidRPr="00BD1319">
        <w:rPr>
          <w:rFonts w:cs="Arial"/>
          <w:spacing w:val="-3"/>
        </w:rPr>
        <w:fldChar w:fldCharType="separate"/>
      </w:r>
      <w:r w:rsidR="00296654" w:rsidRPr="00BD1319">
        <w:t>Tabla 17</w:t>
      </w:r>
      <w:r w:rsidR="00F20A7A" w:rsidRPr="00BD1319">
        <w:rPr>
          <w:rFonts w:cs="Arial"/>
          <w:spacing w:val="-3"/>
        </w:rPr>
        <w:fldChar w:fldCharType="end"/>
      </w:r>
      <w:r w:rsidR="00F20A7A" w:rsidRPr="00BD1319">
        <w:rPr>
          <w:rFonts w:cs="Arial"/>
          <w:spacing w:val="-3"/>
        </w:rPr>
        <w:t xml:space="preserve"> </w:t>
      </w:r>
      <w:r w:rsidRPr="00BD1319">
        <w:rPr>
          <w:rFonts w:cs="Arial"/>
          <w:spacing w:val="-3"/>
        </w:rPr>
        <w:t>pueden se</w:t>
      </w:r>
      <w:r w:rsidR="00C07B4E" w:rsidRPr="00BD1319">
        <w:rPr>
          <w:rFonts w:cs="Arial"/>
          <w:spacing w:val="-3"/>
        </w:rPr>
        <w:t>r</w:t>
      </w:r>
      <w:r w:rsidRPr="00BD1319">
        <w:rPr>
          <w:rFonts w:cs="Arial"/>
          <w:spacing w:val="-3"/>
        </w:rPr>
        <w:t xml:space="preserve"> ecosistemas o unidades de cobertura de la tierra) en unidades más pequeñas</w:t>
      </w:r>
      <w:r w:rsidRPr="00BD1319">
        <w:rPr>
          <w:rFonts w:cs="Arial"/>
        </w:rPr>
        <w:t xml:space="preserve">, </w:t>
      </w:r>
      <w:r w:rsidR="009A5D47" w:rsidRPr="00BD1319">
        <w:rPr>
          <w:rFonts w:cs="Arial"/>
          <w:spacing w:val="-3"/>
        </w:rPr>
        <w:t xml:space="preserve">si ello es posible, </w:t>
      </w:r>
      <w:r w:rsidRPr="00BD1319">
        <w:rPr>
          <w:rFonts w:cs="Arial"/>
        </w:rPr>
        <w:t xml:space="preserve">se debe </w:t>
      </w:r>
      <w:r w:rsidR="00574400" w:rsidRPr="00BD1319">
        <w:rPr>
          <w:rFonts w:cs="Arial"/>
        </w:rPr>
        <w:t xml:space="preserve">determinar </w:t>
      </w:r>
      <w:r w:rsidRPr="00BD1319">
        <w:rPr>
          <w:rFonts w:cs="Arial"/>
        </w:rPr>
        <w:t xml:space="preserve">si dada la naturaleza de tales unidades es posible que en ellas se presente el impacto ambiental objeto de estudio; por ejemplo, una alteración en la distribución de cierta especie silvestre </w:t>
      </w:r>
      <w:r w:rsidR="009A5D47" w:rsidRPr="00BD1319">
        <w:rPr>
          <w:rFonts w:cs="Arial"/>
        </w:rPr>
        <w:t xml:space="preserve">podría </w:t>
      </w:r>
      <w:r w:rsidRPr="00BD1319">
        <w:rPr>
          <w:rFonts w:cs="Arial"/>
        </w:rPr>
        <w:lastRenderedPageBreak/>
        <w:t>presentarse en áreas con coberturas naturales o poco intervenidas, pero no en áreas urbanas o muy alteradas.</w:t>
      </w:r>
    </w:p>
    <w:p w14:paraId="157C3C2C" w14:textId="77777777" w:rsidR="00077E48" w:rsidRPr="00BD1319" w:rsidRDefault="00077E48" w:rsidP="00077E48">
      <w:pPr>
        <w:rPr>
          <w:rFonts w:cs="Arial"/>
        </w:rPr>
      </w:pPr>
    </w:p>
    <w:p w14:paraId="5A1D2DA3" w14:textId="4EF4CE67" w:rsidR="00077E48" w:rsidRPr="00BD1319" w:rsidRDefault="00D534E3" w:rsidP="00216955">
      <w:pPr>
        <w:pStyle w:val="Ttulo3"/>
      </w:pPr>
      <w:bookmarkStart w:id="2542" w:name="_Toc175326747"/>
      <w:r w:rsidRPr="00BD1319">
        <w:t xml:space="preserve">Determinación </w:t>
      </w:r>
      <w:r w:rsidR="00077E48" w:rsidRPr="00BD1319">
        <w:t>de</w:t>
      </w:r>
      <w:r w:rsidR="00B825F5" w:rsidRPr="00BD1319">
        <w:t>l</w:t>
      </w:r>
      <w:r w:rsidR="00077E48" w:rsidRPr="00BD1319">
        <w:t xml:space="preserve"> </w:t>
      </w:r>
      <w:r w:rsidR="00B825F5" w:rsidRPr="00BD1319">
        <w:t xml:space="preserve">alcance de la manifestación de </w:t>
      </w:r>
      <w:r w:rsidR="00077E48" w:rsidRPr="00BD1319">
        <w:t>los impactos</w:t>
      </w:r>
      <w:bookmarkEnd w:id="2542"/>
    </w:p>
    <w:p w14:paraId="2C6CB543" w14:textId="77777777" w:rsidR="00077E48" w:rsidRPr="00BD1319" w:rsidRDefault="00077E48" w:rsidP="00077E48">
      <w:pPr>
        <w:rPr>
          <w:rFonts w:cs="Arial"/>
        </w:rPr>
      </w:pPr>
    </w:p>
    <w:p w14:paraId="61728628" w14:textId="20AB504A" w:rsidR="00077E48" w:rsidRPr="00BD1319" w:rsidRDefault="00077E48" w:rsidP="00077E48">
      <w:pPr>
        <w:rPr>
          <w:rFonts w:cs="Arial"/>
        </w:rPr>
      </w:pPr>
      <w:r w:rsidRPr="00BD1319">
        <w:rPr>
          <w:rFonts w:cs="Arial"/>
        </w:rPr>
        <w:t>Es necesario verificar que en las unidades de análisis que por su naturaleza pueden ser impactadas, efectivamente se presente el impacto que genera el proyecto, obra o actividad evaluando la capacidad del impacto de trascender de una unidad a otra</w:t>
      </w:r>
      <w:r w:rsidR="00B825F5" w:rsidRPr="00BD1319">
        <w:rPr>
          <w:rFonts w:cs="Arial"/>
        </w:rPr>
        <w:t>,</w:t>
      </w:r>
      <w:r w:rsidRPr="00BD1319">
        <w:rPr>
          <w:rFonts w:cs="Arial"/>
        </w:rPr>
        <w:t xml:space="preserve"> </w:t>
      </w:r>
      <w:r w:rsidR="00135EFD" w:rsidRPr="00BD1319">
        <w:rPr>
          <w:rFonts w:cs="Arial"/>
        </w:rPr>
        <w:t xml:space="preserve">considerando para ello </w:t>
      </w:r>
      <w:r w:rsidRPr="00BD1319">
        <w:rPr>
          <w:rFonts w:cs="Arial"/>
        </w:rPr>
        <w:t>las barreras que pueden impedir su manifestación</w:t>
      </w:r>
      <w:r w:rsidR="00B825F5" w:rsidRPr="00BD1319">
        <w:rPr>
          <w:rFonts w:cs="Arial"/>
        </w:rPr>
        <w:t xml:space="preserve"> y la forma en que se d</w:t>
      </w:r>
      <w:r w:rsidR="00B825F5" w:rsidRPr="00BD1319">
        <w:t>ispersan o absorben</w:t>
      </w:r>
      <w:r w:rsidRPr="00BD1319">
        <w:rPr>
          <w:rFonts w:cs="Arial"/>
        </w:rPr>
        <w:t>.</w:t>
      </w:r>
    </w:p>
    <w:p w14:paraId="01919CEE" w14:textId="77777777" w:rsidR="00077E48" w:rsidRPr="00BD1319" w:rsidRDefault="00077E48" w:rsidP="00077E48">
      <w:pPr>
        <w:rPr>
          <w:rFonts w:cs="Arial"/>
        </w:rPr>
      </w:pPr>
    </w:p>
    <w:p w14:paraId="4A3DF542" w14:textId="3041CCE4" w:rsidR="00077E48" w:rsidRPr="00BD1319" w:rsidRDefault="00077E48" w:rsidP="00077E48">
      <w:pPr>
        <w:rPr>
          <w:rFonts w:cs="Arial"/>
        </w:rPr>
      </w:pPr>
      <w:r w:rsidRPr="00BD1319">
        <w:rPr>
          <w:rFonts w:cs="Arial"/>
        </w:rPr>
        <w:t>Tales barreras que limitan la manifestación de los impactos pueden ser unidades de análisis que no pueden ser alteradas por tales impactos</w:t>
      </w:r>
      <w:r w:rsidRPr="00BD1319">
        <w:rPr>
          <w:rStyle w:val="Refdenotaalpie"/>
          <w:rFonts w:cs="Arial"/>
          <w:lang w:val="es-CO"/>
        </w:rPr>
        <w:footnoteReference w:id="84"/>
      </w:r>
      <w:r w:rsidR="00A928E6" w:rsidRPr="00BD1319">
        <w:rPr>
          <w:rFonts w:cs="Arial"/>
        </w:rPr>
        <w:t xml:space="preserve"> </w:t>
      </w:r>
      <w:r w:rsidRPr="00BD1319">
        <w:rPr>
          <w:rFonts w:cs="Arial"/>
        </w:rPr>
        <w:t>o elementos calificados como criterios de conformación (</w:t>
      </w:r>
      <w:r w:rsidR="00A928E6" w:rsidRPr="00BD1319">
        <w:rPr>
          <w:rFonts w:cs="Arial"/>
        </w:rPr>
        <w:t xml:space="preserve">elementos que tienen la capacidad de </w:t>
      </w:r>
      <w:r w:rsidRPr="00BD1319">
        <w:rPr>
          <w:rFonts w:cs="Arial"/>
        </w:rPr>
        <w:t>divid</w:t>
      </w:r>
      <w:r w:rsidR="00A928E6" w:rsidRPr="00BD1319">
        <w:rPr>
          <w:rFonts w:cs="Arial"/>
        </w:rPr>
        <w:t xml:space="preserve">ir </w:t>
      </w:r>
      <w:r w:rsidRPr="00BD1319">
        <w:rPr>
          <w:rFonts w:cs="Arial"/>
        </w:rPr>
        <w:t xml:space="preserve">unidades de análisis y </w:t>
      </w:r>
      <w:r w:rsidR="00A928E6" w:rsidRPr="00BD1319">
        <w:rPr>
          <w:rFonts w:cs="Arial"/>
        </w:rPr>
        <w:t>de esta forma re</w:t>
      </w:r>
      <w:r w:rsidRPr="00BD1319">
        <w:rPr>
          <w:rFonts w:cs="Arial"/>
        </w:rPr>
        <w:t>conf</w:t>
      </w:r>
      <w:r w:rsidR="00A928E6" w:rsidRPr="00BD1319">
        <w:rPr>
          <w:rFonts w:cs="Arial"/>
        </w:rPr>
        <w:t>igurarlas</w:t>
      </w:r>
      <w:r w:rsidRPr="00BD1319">
        <w:rPr>
          <w:rFonts w:cs="Arial"/>
        </w:rPr>
        <w:t>, por ejemplo vías, su infraestructura asociada, o drenajes permanentes)</w:t>
      </w:r>
      <w:r w:rsidR="00A928E6" w:rsidRPr="00BD1319">
        <w:rPr>
          <w:rFonts w:cs="Arial"/>
        </w:rPr>
        <w:t>,</w:t>
      </w:r>
      <w:r w:rsidRPr="00BD1319">
        <w:rPr>
          <w:rFonts w:cs="Arial"/>
        </w:rPr>
        <w:t xml:space="preserve"> que dada su ubicación</w:t>
      </w:r>
      <w:r w:rsidR="00C07B4E" w:rsidRPr="00BD1319">
        <w:rPr>
          <w:rFonts w:cs="Arial"/>
        </w:rPr>
        <w:t xml:space="preserve"> y características</w:t>
      </w:r>
      <w:r w:rsidRPr="00BD1319">
        <w:rPr>
          <w:rFonts w:cs="Arial"/>
        </w:rPr>
        <w:t xml:space="preserve">, actúan como obstáculos y pueden impedir la manifestación del impacto en unidades de análisis </w:t>
      </w:r>
      <w:r w:rsidR="00A928E6" w:rsidRPr="00BD1319">
        <w:rPr>
          <w:rFonts w:cs="Arial"/>
        </w:rPr>
        <w:t xml:space="preserve">adyacentes </w:t>
      </w:r>
      <w:r w:rsidRPr="00BD1319">
        <w:rPr>
          <w:rFonts w:cs="Arial"/>
        </w:rPr>
        <w:t>(</w:t>
      </w:r>
      <w:r w:rsidR="00B90900" w:rsidRPr="00BD1319">
        <w:rPr>
          <w:rFonts w:cs="Arial"/>
        </w:rPr>
        <w:t xml:space="preserve">ver </w:t>
      </w:r>
      <w:r w:rsidRPr="00BD1319">
        <w:rPr>
          <w:rFonts w:cs="Arial"/>
        </w:rPr>
        <w:fldChar w:fldCharType="begin"/>
      </w:r>
      <w:r w:rsidRPr="00BD1319">
        <w:rPr>
          <w:rFonts w:cs="Arial"/>
        </w:rPr>
        <w:instrText xml:space="preserve"> REF _Ref78954423 \h </w:instrText>
      </w:r>
      <w:r w:rsidR="006A4128" w:rsidRPr="00BD1319">
        <w:rPr>
          <w:rFonts w:cs="Arial"/>
        </w:rPr>
        <w:instrText xml:space="preserve"> \* MERGEFORMAT </w:instrText>
      </w:r>
      <w:r w:rsidRPr="00BD1319">
        <w:rPr>
          <w:rFonts w:cs="Arial"/>
        </w:rPr>
      </w:r>
      <w:r w:rsidRPr="00BD1319">
        <w:rPr>
          <w:rFonts w:cs="Arial"/>
        </w:rPr>
        <w:fldChar w:fldCharType="separate"/>
      </w:r>
      <w:r w:rsidR="00296654" w:rsidRPr="00BD1319">
        <w:t>Figura 10</w:t>
      </w:r>
      <w:r w:rsidRPr="00BD1319">
        <w:rPr>
          <w:rFonts w:cs="Arial"/>
        </w:rPr>
        <w:fldChar w:fldCharType="end"/>
      </w:r>
      <w:r w:rsidR="00A53510" w:rsidRPr="00BD1319">
        <w:rPr>
          <w:rFonts w:cs="Arial"/>
        </w:rPr>
        <w:t xml:space="preserve"> y </w:t>
      </w:r>
      <w:r w:rsidR="00A53510" w:rsidRPr="00BD1319">
        <w:rPr>
          <w:rFonts w:cs="Arial"/>
          <w:spacing w:val="-3"/>
        </w:rPr>
        <w:fldChar w:fldCharType="begin"/>
      </w:r>
      <w:r w:rsidR="00A53510" w:rsidRPr="00BD1319">
        <w:rPr>
          <w:rFonts w:cs="Arial"/>
          <w:spacing w:val="-3"/>
        </w:rPr>
        <w:instrText xml:space="preserve"> REF _Ref78960243 \h  \* MERGEFORMAT </w:instrText>
      </w:r>
      <w:r w:rsidR="00A53510" w:rsidRPr="00BD1319">
        <w:rPr>
          <w:rFonts w:cs="Arial"/>
          <w:spacing w:val="-3"/>
        </w:rPr>
      </w:r>
      <w:r w:rsidR="00A53510" w:rsidRPr="00BD1319">
        <w:rPr>
          <w:rFonts w:cs="Arial"/>
          <w:spacing w:val="-3"/>
        </w:rPr>
        <w:fldChar w:fldCharType="separate"/>
      </w:r>
      <w:r w:rsidR="00296654" w:rsidRPr="00BD1319">
        <w:t>Figura 11</w:t>
      </w:r>
      <w:r w:rsidR="00A53510" w:rsidRPr="00BD1319">
        <w:rPr>
          <w:rFonts w:cs="Arial"/>
          <w:spacing w:val="-3"/>
        </w:rPr>
        <w:fldChar w:fldCharType="end"/>
      </w:r>
      <w:r w:rsidRPr="00BD1319">
        <w:rPr>
          <w:rFonts w:cs="Arial"/>
        </w:rPr>
        <w:t>).</w:t>
      </w:r>
    </w:p>
    <w:p w14:paraId="45F6B18E" w14:textId="77777777" w:rsidR="00077E48" w:rsidRPr="00BD1319" w:rsidRDefault="00077E48" w:rsidP="00077E48">
      <w:pPr>
        <w:rPr>
          <w:rFonts w:cs="Arial"/>
        </w:rPr>
      </w:pPr>
    </w:p>
    <w:p w14:paraId="24066BF4" w14:textId="541E79B9" w:rsidR="00077E48" w:rsidRPr="00BD1319" w:rsidRDefault="00077E48" w:rsidP="0082127E">
      <w:pPr>
        <w:pStyle w:val="Descripcin"/>
        <w:keepNext/>
        <w:jc w:val="center"/>
        <w:rPr>
          <w:b w:val="0"/>
          <w:bCs w:val="0"/>
        </w:rPr>
      </w:pPr>
      <w:bookmarkStart w:id="2543" w:name="_Ref78954423"/>
      <w:r w:rsidRPr="00BD1319">
        <w:lastRenderedPageBreak/>
        <w:t xml:space="preserve">Figura </w:t>
      </w:r>
      <w:fldSimple w:instr=" SEQ Figura \* ARABIC ">
        <w:r w:rsidR="00296654" w:rsidRPr="00BD1319">
          <w:rPr>
            <w:noProof/>
          </w:rPr>
          <w:t>10</w:t>
        </w:r>
      </w:fldSimple>
      <w:bookmarkEnd w:id="2543"/>
      <w:r w:rsidRPr="00BD1319">
        <w:t>.</w:t>
      </w:r>
      <w:r w:rsidRPr="00BD1319">
        <w:rPr>
          <w:b w:val="0"/>
        </w:rPr>
        <w:t xml:space="preserve"> </w:t>
      </w:r>
      <w:r w:rsidRPr="00BD1319">
        <w:rPr>
          <w:b w:val="0"/>
          <w:bCs w:val="0"/>
        </w:rPr>
        <w:t>Cambios de cobertura de la tierra que interrumpen la manifestación de un impacto ambiental</w:t>
      </w:r>
    </w:p>
    <w:p w14:paraId="2568418A" w14:textId="183E6A69" w:rsidR="00077E48" w:rsidRPr="00BD1319" w:rsidRDefault="00077E48" w:rsidP="0082127E">
      <w:pPr>
        <w:jc w:val="center"/>
        <w:rPr>
          <w:rFonts w:cs="Arial"/>
        </w:rPr>
      </w:pPr>
      <w:r w:rsidRPr="00BD1319">
        <w:rPr>
          <w:noProof/>
          <w:lang w:eastAsia="es-CO"/>
        </w:rPr>
        <w:drawing>
          <wp:inline distT="0" distB="0" distL="0" distR="0" wp14:anchorId="4A70129D" wp14:editId="4886E362">
            <wp:extent cx="5612130" cy="3219447"/>
            <wp:effectExtent l="0" t="0" r="7620" b="635"/>
            <wp:docPr id="2789" name="Imagen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a:stretch>
                      <a:fillRect/>
                    </a:stretch>
                  </pic:blipFill>
                  <pic:spPr bwMode="auto">
                    <a:xfrm>
                      <a:off x="0" y="0"/>
                      <a:ext cx="5612130" cy="3219447"/>
                    </a:xfrm>
                    <a:prstGeom prst="rect">
                      <a:avLst/>
                    </a:prstGeom>
                    <a:noFill/>
                    <a:ln>
                      <a:noFill/>
                    </a:ln>
                  </pic:spPr>
                </pic:pic>
              </a:graphicData>
            </a:graphic>
          </wp:inline>
        </w:drawing>
      </w:r>
    </w:p>
    <w:p w14:paraId="2BA71311" w14:textId="39C02AA6" w:rsidR="00077E48" w:rsidRPr="00BD1319" w:rsidRDefault="00077E48" w:rsidP="00077E48">
      <w:pPr>
        <w:numPr>
          <w:ilvl w:val="12"/>
          <w:numId w:val="0"/>
        </w:numPr>
        <w:tabs>
          <w:tab w:val="left" w:pos="-2268"/>
        </w:tabs>
        <w:suppressAutoHyphens/>
        <w:jc w:val="center"/>
        <w:rPr>
          <w:rFonts w:cs="Arial"/>
          <w:spacing w:val="-3"/>
          <w:sz w:val="20"/>
          <w:szCs w:val="28"/>
        </w:rPr>
      </w:pPr>
      <w:r w:rsidRPr="00BD1319">
        <w:rPr>
          <w:rFonts w:cs="Arial"/>
          <w:b/>
          <w:spacing w:val="-3"/>
          <w:sz w:val="20"/>
          <w:szCs w:val="28"/>
        </w:rPr>
        <w:t>Fuente:</w:t>
      </w:r>
      <w:r w:rsidRPr="00BD1319">
        <w:rPr>
          <w:rFonts w:cs="Arial"/>
          <w:spacing w:val="-3"/>
          <w:sz w:val="20"/>
          <w:szCs w:val="28"/>
        </w:rPr>
        <w:t xml:space="preserve"> ANLA</w:t>
      </w:r>
      <w:r w:rsidR="00067514" w:rsidRPr="00BD1319">
        <w:rPr>
          <w:rFonts w:cs="Arial"/>
          <w:spacing w:val="-3"/>
          <w:sz w:val="20"/>
          <w:szCs w:val="28"/>
        </w:rPr>
        <w:t xml:space="preserve">. </w:t>
      </w:r>
      <w:r w:rsidR="00067514" w:rsidRPr="00BD1319">
        <w:rPr>
          <w:rFonts w:cs="Arial"/>
          <w:spacing w:val="-3"/>
          <w:sz w:val="20"/>
        </w:rPr>
        <w:t>Subdirección de Instrumentos, Permisos y Trámites Ambientales</w:t>
      </w:r>
      <w:r w:rsidRPr="00BD1319">
        <w:rPr>
          <w:rFonts w:cs="Arial"/>
          <w:spacing w:val="-3"/>
          <w:sz w:val="20"/>
          <w:szCs w:val="28"/>
        </w:rPr>
        <w:t xml:space="preserve"> –</w:t>
      </w:r>
      <w:r w:rsidR="00067514" w:rsidRPr="00BD1319">
        <w:rPr>
          <w:rFonts w:cs="Arial"/>
          <w:spacing w:val="-3"/>
          <w:sz w:val="20"/>
          <w:szCs w:val="28"/>
        </w:rPr>
        <w:t xml:space="preserve"> </w:t>
      </w:r>
      <w:r w:rsidRPr="00BD1319">
        <w:rPr>
          <w:rFonts w:cs="Arial"/>
          <w:spacing w:val="-3"/>
          <w:sz w:val="20"/>
          <w:szCs w:val="28"/>
        </w:rPr>
        <w:t>2020.</w:t>
      </w:r>
    </w:p>
    <w:p w14:paraId="4393350A" w14:textId="77777777" w:rsidR="00077E48" w:rsidRPr="00BD1319" w:rsidRDefault="00077E48" w:rsidP="00077E48">
      <w:pPr>
        <w:rPr>
          <w:rFonts w:cs="Arial"/>
        </w:rPr>
      </w:pPr>
    </w:p>
    <w:p w14:paraId="01668D83" w14:textId="7D581538" w:rsidR="00077E48" w:rsidRPr="00BD1319" w:rsidRDefault="00077E48" w:rsidP="00077E48">
      <w:pPr>
        <w:rPr>
          <w:rFonts w:cs="Arial"/>
        </w:rPr>
      </w:pPr>
      <w:r w:rsidRPr="00BD1319">
        <w:rPr>
          <w:rFonts w:cs="Arial"/>
        </w:rPr>
        <w:t xml:space="preserve">Siempre se debe evaluar que el cambio de una unidad de análisis a otra implique realmente una interrupción del impacto ambiental, pues a pesar de que exista un cambio de coberturas o ecosistemas, </w:t>
      </w:r>
      <w:r w:rsidR="009A5D47" w:rsidRPr="00BD1319">
        <w:rPr>
          <w:rFonts w:cs="Arial"/>
        </w:rPr>
        <w:t xml:space="preserve">es posible que </w:t>
      </w:r>
      <w:r w:rsidRPr="00BD1319">
        <w:rPr>
          <w:rFonts w:cs="Arial"/>
        </w:rPr>
        <w:t xml:space="preserve">el impacto ambiental se </w:t>
      </w:r>
      <w:r w:rsidR="00254640" w:rsidRPr="00BD1319">
        <w:rPr>
          <w:rFonts w:cs="Arial"/>
        </w:rPr>
        <w:t xml:space="preserve">manifieste </w:t>
      </w:r>
      <w:r w:rsidRPr="00BD1319">
        <w:rPr>
          <w:rFonts w:cs="Arial"/>
        </w:rPr>
        <w:t>en ambas unidades. De allí la importancia de estudiar</w:t>
      </w:r>
      <w:r w:rsidR="00254640" w:rsidRPr="00BD1319">
        <w:rPr>
          <w:rFonts w:cs="Arial"/>
        </w:rPr>
        <w:t xml:space="preserve"> en cada </w:t>
      </w:r>
      <w:r w:rsidRPr="00BD1319">
        <w:rPr>
          <w:rFonts w:cs="Arial"/>
        </w:rPr>
        <w:t xml:space="preserve">unidad las relaciones que </w:t>
      </w:r>
      <w:r w:rsidR="00254640" w:rsidRPr="00BD1319">
        <w:rPr>
          <w:rFonts w:cs="Arial"/>
        </w:rPr>
        <w:t xml:space="preserve">existen </w:t>
      </w:r>
      <w:r w:rsidRPr="00BD1319">
        <w:rPr>
          <w:rFonts w:cs="Arial"/>
        </w:rPr>
        <w:t>entre sus condiciones ambientales y las presiones que generan las actividades impactantes (aspectos ambientales)</w:t>
      </w:r>
      <w:r w:rsidR="00254640" w:rsidRPr="00BD1319">
        <w:rPr>
          <w:rFonts w:cs="Arial"/>
        </w:rPr>
        <w:t xml:space="preserve">; es necesario argumentar </w:t>
      </w:r>
      <w:r w:rsidRPr="00BD1319">
        <w:rPr>
          <w:rFonts w:cs="Arial"/>
        </w:rPr>
        <w:t xml:space="preserve">las razones por las cuales se </w:t>
      </w:r>
      <w:r w:rsidR="00EE4EF9" w:rsidRPr="00BD1319">
        <w:rPr>
          <w:rFonts w:cs="Arial"/>
        </w:rPr>
        <w:t xml:space="preserve">determinó </w:t>
      </w:r>
      <w:r w:rsidRPr="00BD1319">
        <w:rPr>
          <w:rFonts w:cs="Arial"/>
        </w:rPr>
        <w:t xml:space="preserve">que cierta unidad </w:t>
      </w:r>
      <w:r w:rsidR="00254640" w:rsidRPr="00BD1319">
        <w:rPr>
          <w:rFonts w:cs="Arial"/>
        </w:rPr>
        <w:t xml:space="preserve">de análisis </w:t>
      </w:r>
      <w:r w:rsidRPr="00BD1319">
        <w:rPr>
          <w:rFonts w:cs="Arial"/>
        </w:rPr>
        <w:t xml:space="preserve">no es impactada dada una interrupción </w:t>
      </w:r>
      <w:r w:rsidR="00254640" w:rsidRPr="00BD1319">
        <w:rPr>
          <w:rFonts w:cs="Arial"/>
        </w:rPr>
        <w:t xml:space="preserve">generada </w:t>
      </w:r>
      <w:r w:rsidRPr="00BD1319">
        <w:rPr>
          <w:rFonts w:cs="Arial"/>
        </w:rPr>
        <w:t>por un cambio de unidad o por la presencia de un criterio de conformación.</w:t>
      </w:r>
    </w:p>
    <w:p w14:paraId="564F9C00" w14:textId="77777777" w:rsidR="00077E48" w:rsidRPr="00BD1319" w:rsidRDefault="00077E48" w:rsidP="00077E48">
      <w:pPr>
        <w:numPr>
          <w:ilvl w:val="12"/>
          <w:numId w:val="0"/>
        </w:numPr>
        <w:tabs>
          <w:tab w:val="left" w:pos="-2268"/>
        </w:tabs>
        <w:suppressAutoHyphens/>
        <w:rPr>
          <w:rFonts w:cs="Arial"/>
          <w:spacing w:val="-3"/>
        </w:rPr>
      </w:pPr>
    </w:p>
    <w:p w14:paraId="0DD3072E" w14:textId="1C64EFCD" w:rsidR="00A53510" w:rsidRPr="00BD1319" w:rsidRDefault="00D663F1" w:rsidP="00A53510">
      <w:pPr>
        <w:numPr>
          <w:ilvl w:val="12"/>
          <w:numId w:val="0"/>
        </w:numPr>
        <w:tabs>
          <w:tab w:val="left" w:pos="-2268"/>
        </w:tabs>
        <w:suppressAutoHyphens/>
        <w:rPr>
          <w:rFonts w:cs="Arial"/>
          <w:spacing w:val="-3"/>
        </w:rPr>
      </w:pPr>
      <w:r w:rsidRPr="00BD1319">
        <w:rPr>
          <w:rFonts w:cs="Arial"/>
          <w:spacing w:val="-3"/>
        </w:rPr>
        <w:t>Asimismo, a</w:t>
      </w:r>
      <w:r w:rsidR="00A53510" w:rsidRPr="00BD1319">
        <w:rPr>
          <w:rFonts w:cs="Arial"/>
          <w:spacing w:val="-3"/>
        </w:rPr>
        <w:t xml:space="preserve">l estudiar el alcance de manifestación de los impactos es importante establecer la forma en que una misma cobertura o ecosistema se comporta como un filtro que dispersa o absorbe los impactos ocasionados por un proyecto, obra o actividad, y definir cómo dicha propiedad de reducción progresiva del impacto se conjuga con cambios de coberturas o ecosistemas y con la presencia de criterios de conformación, para </w:t>
      </w:r>
      <w:r w:rsidRPr="00BD1319">
        <w:rPr>
          <w:rFonts w:cs="Arial"/>
          <w:spacing w:val="-3"/>
        </w:rPr>
        <w:t xml:space="preserve">acotar </w:t>
      </w:r>
      <w:r w:rsidR="00A53510" w:rsidRPr="00BD1319">
        <w:rPr>
          <w:rFonts w:cs="Arial"/>
          <w:spacing w:val="-3"/>
        </w:rPr>
        <w:t xml:space="preserve">la manifestación de impactos o reducir su significancia (ver </w:t>
      </w:r>
      <w:r w:rsidR="00A53510" w:rsidRPr="00BD1319">
        <w:rPr>
          <w:rFonts w:cs="Arial"/>
          <w:spacing w:val="-3"/>
        </w:rPr>
        <w:fldChar w:fldCharType="begin"/>
      </w:r>
      <w:r w:rsidR="00A53510" w:rsidRPr="00BD1319">
        <w:rPr>
          <w:rFonts w:cs="Arial"/>
          <w:spacing w:val="-3"/>
        </w:rPr>
        <w:instrText xml:space="preserve"> REF _Ref78960243 \h  \* MERGEFORMAT </w:instrText>
      </w:r>
      <w:r w:rsidR="00A53510" w:rsidRPr="00BD1319">
        <w:rPr>
          <w:rFonts w:cs="Arial"/>
          <w:spacing w:val="-3"/>
        </w:rPr>
      </w:r>
      <w:r w:rsidR="00A53510" w:rsidRPr="00BD1319">
        <w:rPr>
          <w:rFonts w:cs="Arial"/>
          <w:spacing w:val="-3"/>
        </w:rPr>
        <w:fldChar w:fldCharType="separate"/>
      </w:r>
      <w:r w:rsidR="00296654" w:rsidRPr="00BD1319">
        <w:t>Figura 11</w:t>
      </w:r>
      <w:r w:rsidR="00A53510" w:rsidRPr="00BD1319">
        <w:rPr>
          <w:rFonts w:cs="Arial"/>
          <w:spacing w:val="-3"/>
        </w:rPr>
        <w:fldChar w:fldCharType="end"/>
      </w:r>
      <w:r w:rsidR="00A53510" w:rsidRPr="00BD1319">
        <w:rPr>
          <w:rFonts w:cs="Arial"/>
          <w:spacing w:val="-3"/>
        </w:rPr>
        <w:t>).</w:t>
      </w:r>
    </w:p>
    <w:p w14:paraId="48BCCB60" w14:textId="77777777" w:rsidR="00A53510" w:rsidRPr="00BD1319" w:rsidRDefault="00A53510" w:rsidP="00077E48">
      <w:pPr>
        <w:numPr>
          <w:ilvl w:val="12"/>
          <w:numId w:val="0"/>
        </w:numPr>
        <w:tabs>
          <w:tab w:val="left" w:pos="-2268"/>
        </w:tabs>
        <w:suppressAutoHyphens/>
        <w:rPr>
          <w:rFonts w:cs="Arial"/>
          <w:spacing w:val="-3"/>
        </w:rPr>
      </w:pPr>
    </w:p>
    <w:p w14:paraId="47209BCB" w14:textId="1E18E075" w:rsidR="00077E48" w:rsidRPr="00BD1319" w:rsidRDefault="00077E48" w:rsidP="00077E48">
      <w:pPr>
        <w:rPr>
          <w:rFonts w:cs="Arial"/>
        </w:rPr>
      </w:pPr>
      <w:r w:rsidRPr="00BD1319">
        <w:rPr>
          <w:rFonts w:cs="Arial"/>
        </w:rPr>
        <w:t xml:space="preserve">Tanto para unidades de coberturas como para </w:t>
      </w:r>
      <w:r w:rsidR="0088357D" w:rsidRPr="00BD1319">
        <w:rPr>
          <w:rFonts w:cs="Arial"/>
        </w:rPr>
        <w:t xml:space="preserve">unidades de </w:t>
      </w:r>
      <w:r w:rsidRPr="00BD1319">
        <w:rPr>
          <w:rFonts w:cs="Arial"/>
        </w:rPr>
        <w:t>ecosist</w:t>
      </w:r>
      <w:r w:rsidR="0088357D" w:rsidRPr="00BD1319">
        <w:rPr>
          <w:rFonts w:cs="Arial"/>
        </w:rPr>
        <w:t>emas</w:t>
      </w:r>
      <w:r w:rsidRPr="00BD1319">
        <w:rPr>
          <w:rFonts w:cs="Arial"/>
        </w:rPr>
        <w:t xml:space="preserve">, las cuales pueden ser terrestres o acuáticas (continentales, marinas o marino-costeras), es </w:t>
      </w:r>
      <w:r w:rsidRPr="00BD1319">
        <w:rPr>
          <w:rFonts w:cs="Arial"/>
        </w:rPr>
        <w:lastRenderedPageBreak/>
        <w:t xml:space="preserve">posible </w:t>
      </w:r>
      <w:r w:rsidR="00E26C2E" w:rsidRPr="00BD1319">
        <w:rPr>
          <w:rFonts w:cs="Arial"/>
        </w:rPr>
        <w:t xml:space="preserve">iniciar </w:t>
      </w:r>
      <w:r w:rsidRPr="00BD1319">
        <w:rPr>
          <w:rFonts w:cs="Arial"/>
        </w:rPr>
        <w:t xml:space="preserve">el </w:t>
      </w:r>
      <w:r w:rsidR="00E26C2E" w:rsidRPr="00BD1319">
        <w:rPr>
          <w:rFonts w:cs="Arial"/>
        </w:rPr>
        <w:t xml:space="preserve">proceso </w:t>
      </w:r>
      <w:r w:rsidR="00D757A5" w:rsidRPr="00BD1319">
        <w:rPr>
          <w:rFonts w:cs="Arial"/>
        </w:rPr>
        <w:t xml:space="preserve">estudiando </w:t>
      </w:r>
      <w:r w:rsidRPr="00BD1319">
        <w:rPr>
          <w:rFonts w:cs="Arial"/>
        </w:rPr>
        <w:t xml:space="preserve">las unidades de análisis localizadas en el área </w:t>
      </w:r>
      <w:r w:rsidR="00F53A6E" w:rsidRPr="00BD1319">
        <w:rPr>
          <w:rFonts w:cs="Arial"/>
        </w:rPr>
        <w:t>por</w:t>
      </w:r>
      <w:r w:rsidRPr="00BD1319">
        <w:rPr>
          <w:rFonts w:cs="Arial"/>
        </w:rPr>
        <w:t xml:space="preserve"> intervenir, </w:t>
      </w:r>
      <w:r w:rsidR="00D757A5" w:rsidRPr="00BD1319">
        <w:rPr>
          <w:rFonts w:cs="Arial"/>
        </w:rPr>
        <w:t xml:space="preserve">la cual </w:t>
      </w:r>
      <w:r w:rsidRPr="00BD1319">
        <w:rPr>
          <w:rFonts w:cs="Arial"/>
        </w:rPr>
        <w:t xml:space="preserve">corresponde a la zona en la que ocurre el disturbio de forma directa, y a partir de allí </w:t>
      </w:r>
      <w:r w:rsidR="00D757A5" w:rsidRPr="00BD1319">
        <w:rPr>
          <w:rFonts w:cs="Arial"/>
        </w:rPr>
        <w:t xml:space="preserve">establecer </w:t>
      </w:r>
      <w:r w:rsidRPr="00BD1319">
        <w:rPr>
          <w:rFonts w:cs="Arial"/>
        </w:rPr>
        <w:t xml:space="preserve">la continuidad de las diferentes unidades que conforman </w:t>
      </w:r>
      <w:r w:rsidR="00063E02" w:rsidRPr="00BD1319">
        <w:rPr>
          <w:rFonts w:cs="Arial"/>
        </w:rPr>
        <w:t>los</w:t>
      </w:r>
      <w:r w:rsidRPr="00BD1319">
        <w:rPr>
          <w:rFonts w:cs="Arial"/>
        </w:rPr>
        <w:t xml:space="preserve"> componente</w:t>
      </w:r>
      <w:r w:rsidR="00063E02" w:rsidRPr="00BD1319">
        <w:rPr>
          <w:rFonts w:cs="Arial"/>
        </w:rPr>
        <w:t>s del medio</w:t>
      </w:r>
      <w:r w:rsidR="00D757A5" w:rsidRPr="00BD1319">
        <w:rPr>
          <w:rFonts w:cs="Arial"/>
        </w:rPr>
        <w:t xml:space="preserve"> y determinar </w:t>
      </w:r>
      <w:r w:rsidRPr="00BD1319">
        <w:rPr>
          <w:rFonts w:cs="Arial"/>
        </w:rPr>
        <w:t>cuáles de ellas efectivamente se impactan</w:t>
      </w:r>
      <w:r w:rsidR="00D757A5" w:rsidRPr="00BD1319">
        <w:rPr>
          <w:rFonts w:cs="Arial"/>
        </w:rPr>
        <w:t xml:space="preserve"> considerando sus características y las del proyecto, obra o actividad</w:t>
      </w:r>
      <w:r w:rsidRPr="00BD1319">
        <w:rPr>
          <w:rFonts w:cs="Arial"/>
        </w:rPr>
        <w:t>; en otras palabras, definiendo el alcance espacial de los impactos ambientales</w:t>
      </w:r>
      <w:r w:rsidR="00EE4EF9" w:rsidRPr="00BD1319">
        <w:rPr>
          <w:rFonts w:cs="Arial"/>
        </w:rPr>
        <w:t>.</w:t>
      </w:r>
    </w:p>
    <w:p w14:paraId="4905A059" w14:textId="77777777" w:rsidR="00077E48" w:rsidRPr="00BD1319" w:rsidRDefault="00077E48" w:rsidP="00077E48">
      <w:pPr>
        <w:rPr>
          <w:rFonts w:cs="Arial"/>
        </w:rPr>
      </w:pPr>
    </w:p>
    <w:bookmarkStart w:id="2544" w:name="_Ref78960243"/>
    <w:p w14:paraId="0B4FB430" w14:textId="47E3988A" w:rsidR="00077E48" w:rsidRPr="00BD1319" w:rsidRDefault="007D108E" w:rsidP="0082127E">
      <w:pPr>
        <w:pStyle w:val="Descripcin"/>
        <w:keepNext/>
        <w:jc w:val="center"/>
        <w:rPr>
          <w:b w:val="0"/>
          <w:bCs w:val="0"/>
        </w:rPr>
      </w:pPr>
      <w:r w:rsidRPr="00BD1319">
        <w:rPr>
          <w:noProof/>
          <w:lang w:eastAsia="es-CO"/>
        </w:rPr>
        <mc:AlternateContent>
          <mc:Choice Requires="wpg">
            <w:drawing>
              <wp:anchor distT="0" distB="0" distL="114300" distR="114300" simplePos="0" relativeHeight="251661824" behindDoc="0" locked="0" layoutInCell="1" allowOverlap="1" wp14:anchorId="62A0D32D" wp14:editId="729DA2BE">
                <wp:simplePos x="0" y="0"/>
                <wp:positionH relativeFrom="column">
                  <wp:posOffset>243840</wp:posOffset>
                </wp:positionH>
                <wp:positionV relativeFrom="paragraph">
                  <wp:posOffset>369570</wp:posOffset>
                </wp:positionV>
                <wp:extent cx="5486400" cy="3592195"/>
                <wp:effectExtent l="0" t="0" r="0" b="8255"/>
                <wp:wrapTopAndBottom/>
                <wp:docPr id="32" name="32 Grupo"/>
                <wp:cNvGraphicFramePr/>
                <a:graphic xmlns:a="http://schemas.openxmlformats.org/drawingml/2006/main">
                  <a:graphicData uri="http://schemas.microsoft.com/office/word/2010/wordprocessingGroup">
                    <wpg:wgp>
                      <wpg:cNvGrpSpPr/>
                      <wpg:grpSpPr>
                        <a:xfrm>
                          <a:off x="0" y="0"/>
                          <a:ext cx="5486400" cy="3592195"/>
                          <a:chOff x="0" y="0"/>
                          <a:chExt cx="5486400" cy="3592800"/>
                        </a:xfrm>
                      </wpg:grpSpPr>
                      <wpg:grpSp>
                        <wpg:cNvPr id="28" name="28 Grupo"/>
                        <wpg:cNvGrpSpPr/>
                        <wpg:grpSpPr>
                          <a:xfrm>
                            <a:off x="0" y="0"/>
                            <a:ext cx="5486400" cy="3592800"/>
                            <a:chOff x="0" y="0"/>
                            <a:chExt cx="5486400" cy="3592800"/>
                          </a:xfrm>
                        </wpg:grpSpPr>
                        <wpg:grpSp>
                          <wpg:cNvPr id="568110917" name="568110917 Grupo"/>
                          <wpg:cNvGrpSpPr/>
                          <wpg:grpSpPr>
                            <a:xfrm>
                              <a:off x="0" y="0"/>
                              <a:ext cx="5486400" cy="3592800"/>
                              <a:chOff x="0" y="0"/>
                              <a:chExt cx="5486400" cy="3593805"/>
                            </a:xfrm>
                          </wpg:grpSpPr>
                          <pic:pic xmlns:pic="http://schemas.openxmlformats.org/drawingml/2006/picture">
                            <pic:nvPicPr>
                              <pic:cNvPr id="568110918" name="Imagen 2526"/>
                              <pic:cNvPicPr>
                                <a:picLocks noChangeAspect="1"/>
                              </pic:cNvPicPr>
                            </pic:nvPicPr>
                            <pic:blipFill rotWithShape="1">
                              <a:blip r:embed="rId51">
                                <a:extLst>
                                  <a:ext uri="{28A0092B-C50C-407E-A947-70E740481C1C}">
                                    <a14:useLocalDpi xmlns:a14="http://schemas.microsoft.com/office/drawing/2010/main" val="0"/>
                                  </a:ext>
                                </a:extLst>
                              </a:blip>
                              <a:srcRect l="30134" t="28969" r="11132" b="31132"/>
                              <a:stretch/>
                            </pic:blipFill>
                            <pic:spPr bwMode="auto">
                              <a:xfrm>
                                <a:off x="0" y="0"/>
                                <a:ext cx="4710224" cy="1796902"/>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568110919" name="Imagen 30"/>
                              <pic:cNvPicPr>
                                <a:picLocks noChangeAspect="1"/>
                              </pic:cNvPicPr>
                            </pic:nvPicPr>
                            <pic:blipFill rotWithShape="1">
                              <a:blip r:embed="rId52">
                                <a:extLst>
                                  <a:ext uri="{28A0092B-C50C-407E-A947-70E740481C1C}">
                                    <a14:useLocalDpi xmlns:a14="http://schemas.microsoft.com/office/drawing/2010/main" val="0"/>
                                  </a:ext>
                                </a:extLst>
                              </a:blip>
                              <a:srcRect l="21981" t="29521" r="11924" b="31929"/>
                              <a:stretch/>
                            </pic:blipFill>
                            <pic:spPr bwMode="auto">
                              <a:xfrm>
                                <a:off x="0" y="1796902"/>
                                <a:ext cx="5486400" cy="1796903"/>
                              </a:xfrm>
                              <a:prstGeom prst="rect">
                                <a:avLst/>
                              </a:prstGeom>
                              <a:ln>
                                <a:noFill/>
                              </a:ln>
                              <a:extLst>
                                <a:ext uri="{53640926-AAD7-44D8-BBD7-CCE9431645EC}">
                                  <a14:shadowObscured xmlns:a14="http://schemas.microsoft.com/office/drawing/2010/main"/>
                                </a:ext>
                              </a:extLst>
                            </pic:spPr>
                          </pic:pic>
                        </wpg:grpSp>
                        <wps:wsp>
                          <wps:cNvPr id="307" name="Cuadro de texto 2"/>
                          <wps:cNvSpPr txBox="1">
                            <a:spLocks noChangeArrowheads="1"/>
                          </wps:cNvSpPr>
                          <wps:spPr bwMode="auto">
                            <a:xfrm>
                              <a:off x="1362075" y="165763"/>
                              <a:ext cx="820800" cy="241241"/>
                            </a:xfrm>
                            <a:prstGeom prst="rect">
                              <a:avLst/>
                            </a:prstGeom>
                            <a:solidFill>
                              <a:srgbClr val="FFFFFF"/>
                            </a:solidFill>
                            <a:ln w="9525">
                              <a:noFill/>
                              <a:miter lim="800000"/>
                              <a:headEnd/>
                              <a:tailEnd/>
                            </a:ln>
                          </wps:spPr>
                          <wps:txbx>
                            <w:txbxContent>
                              <w:p w14:paraId="3B9B1D18" w14:textId="2ED47B88" w:rsidR="00D55F13" w:rsidRPr="00394D50" w:rsidRDefault="00D55F13">
                                <w:pPr>
                                  <w:rPr>
                                    <w:rFonts w:asciiTheme="minorHAnsi" w:hAnsiTheme="minorHAnsi" w:cstheme="minorHAnsi"/>
                                    <w:b/>
                                    <w:color w:val="7F7F7F" w:themeColor="text1" w:themeTint="80"/>
                                    <w:sz w:val="18"/>
                                    <w:szCs w:val="17"/>
                                  </w:rPr>
                                </w:pPr>
                                <w:r w:rsidRPr="00394D50">
                                  <w:rPr>
                                    <w:rFonts w:asciiTheme="minorHAnsi" w:hAnsiTheme="minorHAnsi" w:cstheme="minorHAnsi"/>
                                    <w:b/>
                                    <w:color w:val="7F7F7F" w:themeColor="text1" w:themeTint="80"/>
                                    <w:sz w:val="18"/>
                                    <w:szCs w:val="17"/>
                                  </w:rPr>
                                  <w:t>del impacto</w:t>
                                </w:r>
                              </w:p>
                            </w:txbxContent>
                          </wps:txbx>
                          <wps:bodyPr rot="0" vert="horz" wrap="square" lIns="0" tIns="45720" rIns="0" bIns="45720" anchor="t" anchorCtr="0">
                            <a:spAutoFit/>
                          </wps:bodyPr>
                        </wps:wsp>
                      </wpg:grpSp>
                      <wps:wsp>
                        <wps:cNvPr id="30" name="30 Rectángulo"/>
                        <wps:cNvSpPr/>
                        <wps:spPr>
                          <a:xfrm>
                            <a:off x="819150" y="371475"/>
                            <a:ext cx="600075" cy="10223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62A0D32D" id="32 Grupo" o:spid="_x0000_s1327" style="position:absolute;left:0;text-align:left;margin-left:19.2pt;margin-top:29.1pt;width:6in;height:282.85pt;z-index:251661824;mso-position-horizontal-relative:text;mso-position-vertical-relative:text" coordsize="54864,359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">
                <v:group id="28 Grupo" o:spid="_x0000_s1328" style="position:absolute;width:54864;height:35928" coordsize="54864,359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group id="568110917 Grupo" o:spid="_x0000_s1329" style="position:absolute;width:54864;height:35928" coordsize="54864,35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">
                    <v:shape id="Imagen 2526" o:spid="_x0000_s1330" type="#_x0000_t75" style="position:absolute;width:47102;height:179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">
                      <v:imagedata r:id="rId53" o:title="" croptop="18985f" cropbottom="20403f" cropleft="19749f" cropright="7295f"/>
                    </v:shape>
                    <v:shape id="Imagen 30" o:spid="_x0000_s1331" type="#_x0000_t75" style="position:absolute;top:17969;width:54864;height:179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">
                      <v:imagedata r:id="rId54" o:title="" croptop="19347f" cropbottom="20925f" cropleft="14405f" cropright="7815f"/>
                    </v:shape>
                  </v:group>
                  <v:shape id="Cuadro de texto 2" o:spid="_x0000_s1332" type="#_x0000_t202" style="position:absolute;left:13620;top:1657;width:8208;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" stroked="f">
                    <v:textbox style="mso-fit-shape-to-text:t" inset="0,,0">
                      <w:txbxContent>
                        <w:p w14:paraId="3B9B1D18" w14:textId="2ED47B88" w:rsidR="00D55F13" w:rsidRPr="00394D50" w:rsidRDefault="00D55F13">
                          <w:pPr>
                            <w:rPr>
                              <w:rFonts w:asciiTheme="minorHAnsi" w:hAnsiTheme="minorHAnsi" w:cstheme="minorHAnsi"/>
                              <w:b/>
                              <w:color w:val="7F7F7F" w:themeColor="text1" w:themeTint="80"/>
                              <w:sz w:val="18"/>
                              <w:szCs w:val="17"/>
                            </w:rPr>
                          </w:pPr>
                          <w:r w:rsidRPr="00394D50">
                            <w:rPr>
                              <w:rFonts w:asciiTheme="minorHAnsi" w:hAnsiTheme="minorHAnsi" w:cstheme="minorHAnsi"/>
                              <w:b/>
                              <w:color w:val="7F7F7F" w:themeColor="text1" w:themeTint="80"/>
                              <w:sz w:val="18"/>
                              <w:szCs w:val="17"/>
                            </w:rPr>
                            <w:t>del impacto</w:t>
                          </w:r>
                        </w:p>
                      </w:txbxContent>
                    </v:textbox>
                  </v:shape>
                </v:group>
                <v:rect id="30 Rectángulo" o:spid="_x0000_s1333" style="position:absolute;left:8191;top:3714;width:6001;height:1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" fillcolor="white [3212]" stroked="f" strokeweight="2pt"/>
                <w10:wrap type="topAndBottom"/>
              </v:group>
            </w:pict>
          </mc:Fallback>
        </mc:AlternateContent>
      </w:r>
      <w:r w:rsidR="00077E48" w:rsidRPr="00BD1319">
        <w:t xml:space="preserve">Figura </w:t>
      </w:r>
      <w:fldSimple w:instr=" SEQ Figura \* ARABIC ">
        <w:r w:rsidR="00296654" w:rsidRPr="00BD1319">
          <w:rPr>
            <w:noProof/>
          </w:rPr>
          <w:t>11</w:t>
        </w:r>
      </w:fldSimple>
      <w:bookmarkEnd w:id="2544"/>
      <w:r w:rsidR="00077E48" w:rsidRPr="00BD1319">
        <w:t xml:space="preserve">. </w:t>
      </w:r>
      <w:r w:rsidR="00077E48" w:rsidRPr="00BD1319">
        <w:rPr>
          <w:b w:val="0"/>
          <w:bCs w:val="0"/>
        </w:rPr>
        <w:t>Dispersión</w:t>
      </w:r>
      <w:r w:rsidRPr="00BD1319">
        <w:rPr>
          <w:b w:val="0"/>
          <w:bCs w:val="0"/>
        </w:rPr>
        <w:t xml:space="preserve"> y</w:t>
      </w:r>
      <w:r w:rsidR="00077E48" w:rsidRPr="00BD1319">
        <w:rPr>
          <w:b w:val="0"/>
          <w:bCs w:val="0"/>
        </w:rPr>
        <w:t xml:space="preserve"> absorción de impactos</w:t>
      </w:r>
      <w:r w:rsidR="00EE4EF9" w:rsidRPr="00BD1319">
        <w:rPr>
          <w:b w:val="0"/>
          <w:bCs w:val="0"/>
        </w:rPr>
        <w:t>,</w:t>
      </w:r>
      <w:r w:rsidR="00077E48" w:rsidRPr="00BD1319">
        <w:rPr>
          <w:b w:val="0"/>
          <w:bCs w:val="0"/>
        </w:rPr>
        <w:t xml:space="preserve"> y </w:t>
      </w:r>
      <w:r w:rsidR="00A53510" w:rsidRPr="00BD1319">
        <w:rPr>
          <w:b w:val="0"/>
          <w:bCs w:val="0"/>
        </w:rPr>
        <w:t>C</w:t>
      </w:r>
      <w:r w:rsidR="00077E48" w:rsidRPr="00BD1319">
        <w:rPr>
          <w:b w:val="0"/>
          <w:bCs w:val="0"/>
        </w:rPr>
        <w:t>riterios de conformación que limitan la manifestación de impactos</w:t>
      </w:r>
    </w:p>
    <w:p w14:paraId="41511EE9" w14:textId="12E4A4C8" w:rsidR="00077E48" w:rsidRPr="00BD1319" w:rsidRDefault="00077E48" w:rsidP="008A5763">
      <w:pPr>
        <w:jc w:val="center"/>
        <w:rPr>
          <w:rFonts w:cs="Arial"/>
          <w:sz w:val="28"/>
          <w:szCs w:val="28"/>
        </w:rPr>
      </w:pPr>
      <w:r w:rsidRPr="00BD1319">
        <w:rPr>
          <w:rFonts w:cs="Arial"/>
          <w:b/>
          <w:spacing w:val="-3"/>
          <w:sz w:val="20"/>
          <w:szCs w:val="28"/>
        </w:rPr>
        <w:t>Fuente:</w:t>
      </w:r>
      <w:r w:rsidRPr="00BD1319">
        <w:rPr>
          <w:rFonts w:cs="Arial"/>
          <w:spacing w:val="-3"/>
          <w:sz w:val="20"/>
          <w:szCs w:val="28"/>
        </w:rPr>
        <w:t xml:space="preserve"> ANLA</w:t>
      </w:r>
      <w:r w:rsidR="00067514" w:rsidRPr="00BD1319">
        <w:rPr>
          <w:rFonts w:cs="Arial"/>
          <w:spacing w:val="-3"/>
          <w:sz w:val="20"/>
          <w:szCs w:val="28"/>
        </w:rPr>
        <w:t xml:space="preserve">. </w:t>
      </w:r>
      <w:r w:rsidR="00067514" w:rsidRPr="00BD1319">
        <w:rPr>
          <w:rFonts w:cs="Arial"/>
          <w:spacing w:val="-3"/>
          <w:sz w:val="20"/>
        </w:rPr>
        <w:t>Subdirección de Instrumentos, Permisos y Trámites Ambientales</w:t>
      </w:r>
      <w:r w:rsidRPr="00BD1319">
        <w:rPr>
          <w:rFonts w:cs="Arial"/>
          <w:spacing w:val="-3"/>
          <w:sz w:val="20"/>
          <w:szCs w:val="28"/>
        </w:rPr>
        <w:t xml:space="preserve"> –</w:t>
      </w:r>
      <w:r w:rsidR="00067514" w:rsidRPr="00BD1319">
        <w:rPr>
          <w:rFonts w:cs="Arial"/>
          <w:spacing w:val="-3"/>
          <w:sz w:val="20"/>
          <w:szCs w:val="28"/>
        </w:rPr>
        <w:t xml:space="preserve"> </w:t>
      </w:r>
      <w:r w:rsidRPr="00BD1319">
        <w:rPr>
          <w:rFonts w:cs="Arial"/>
          <w:spacing w:val="-3"/>
          <w:sz w:val="20"/>
          <w:szCs w:val="28"/>
        </w:rPr>
        <w:t>2021.</w:t>
      </w:r>
    </w:p>
    <w:p w14:paraId="0942093B" w14:textId="77777777" w:rsidR="00921605" w:rsidRPr="00BD1319" w:rsidRDefault="00921605" w:rsidP="00077E48">
      <w:pPr>
        <w:numPr>
          <w:ilvl w:val="12"/>
          <w:numId w:val="0"/>
        </w:numPr>
        <w:tabs>
          <w:tab w:val="left" w:pos="-2268"/>
        </w:tabs>
        <w:suppressAutoHyphens/>
        <w:rPr>
          <w:rFonts w:cs="Arial"/>
          <w:spacing w:val="-3"/>
        </w:rPr>
      </w:pPr>
    </w:p>
    <w:p w14:paraId="0117CDE2" w14:textId="57C33FC6" w:rsidR="00921605" w:rsidRPr="00BD1319" w:rsidRDefault="00921605" w:rsidP="00921605">
      <w:pPr>
        <w:rPr>
          <w:rFonts w:cs="Arial"/>
        </w:rPr>
      </w:pPr>
      <w:r w:rsidRPr="00BD1319">
        <w:rPr>
          <w:rFonts w:cs="Arial"/>
        </w:rPr>
        <w:t xml:space="preserve">En </w:t>
      </w:r>
      <w:r w:rsidR="00A53510" w:rsidRPr="00BD1319">
        <w:rPr>
          <w:rFonts w:cs="Arial"/>
        </w:rPr>
        <w:t xml:space="preserve">contextos </w:t>
      </w:r>
      <w:r w:rsidRPr="00BD1319">
        <w:rPr>
          <w:rFonts w:cs="Arial"/>
        </w:rPr>
        <w:t>marin</w:t>
      </w:r>
      <w:r w:rsidR="00A53510" w:rsidRPr="00BD1319">
        <w:rPr>
          <w:rFonts w:cs="Arial"/>
        </w:rPr>
        <w:t>o</w:t>
      </w:r>
      <w:r w:rsidRPr="00BD1319">
        <w:rPr>
          <w:rFonts w:cs="Arial"/>
        </w:rPr>
        <w:t xml:space="preserve">s es importante considerar la tridimensionalidad del medio, incorporando al análisis la dimensión </w:t>
      </w:r>
      <w:r w:rsidRPr="00BD1319">
        <w:rPr>
          <w:rFonts w:cs="Arial"/>
          <w:i/>
        </w:rPr>
        <w:t>profundidad</w:t>
      </w:r>
      <w:r w:rsidRPr="00BD1319">
        <w:rPr>
          <w:rFonts w:cs="Arial"/>
        </w:rPr>
        <w:t xml:space="preserve">, </w:t>
      </w:r>
      <w:r w:rsidR="00EA7940" w:rsidRPr="00BD1319">
        <w:rPr>
          <w:rFonts w:cs="Arial"/>
        </w:rPr>
        <w:t xml:space="preserve">pues además </w:t>
      </w:r>
      <w:r w:rsidR="008F0B37" w:rsidRPr="00BD1319">
        <w:rPr>
          <w:rFonts w:cs="Arial"/>
        </w:rPr>
        <w:t xml:space="preserve">de </w:t>
      </w:r>
      <w:r w:rsidR="00653922" w:rsidRPr="00BD1319">
        <w:rPr>
          <w:rFonts w:cs="Arial"/>
        </w:rPr>
        <w:t xml:space="preserve">la </w:t>
      </w:r>
      <w:r w:rsidR="008F0B37" w:rsidRPr="00BD1319">
        <w:rPr>
          <w:rFonts w:cs="Arial"/>
        </w:rPr>
        <w:t xml:space="preserve">variación </w:t>
      </w:r>
      <w:r w:rsidR="00653922" w:rsidRPr="00BD1319">
        <w:rPr>
          <w:rFonts w:cs="Arial"/>
        </w:rPr>
        <w:t>que en ella existe</w:t>
      </w:r>
      <w:r w:rsidR="008F0B37" w:rsidRPr="00BD1319">
        <w:rPr>
          <w:rFonts w:cs="Arial"/>
        </w:rPr>
        <w:t xml:space="preserve"> </w:t>
      </w:r>
      <w:r w:rsidR="00653922" w:rsidRPr="00BD1319">
        <w:rPr>
          <w:rFonts w:cs="Arial"/>
        </w:rPr>
        <w:t xml:space="preserve">de las </w:t>
      </w:r>
      <w:r w:rsidR="008F0B37" w:rsidRPr="00BD1319">
        <w:rPr>
          <w:rFonts w:cs="Arial"/>
        </w:rPr>
        <w:t>poblaciones y comunidades</w:t>
      </w:r>
      <w:r w:rsidR="00653922" w:rsidRPr="00BD1319">
        <w:rPr>
          <w:rFonts w:cs="Arial"/>
        </w:rPr>
        <w:t>,</w:t>
      </w:r>
      <w:r w:rsidR="008F0B37" w:rsidRPr="00BD1319">
        <w:rPr>
          <w:rFonts w:cs="Arial"/>
        </w:rPr>
        <w:t xml:space="preserve"> </w:t>
      </w:r>
      <w:r w:rsidR="00EA7940" w:rsidRPr="00BD1319">
        <w:rPr>
          <w:rFonts w:cs="Arial"/>
        </w:rPr>
        <w:t xml:space="preserve">en el lecho marino </w:t>
      </w:r>
      <w:r w:rsidR="00653922" w:rsidRPr="00BD1319">
        <w:rPr>
          <w:rFonts w:cs="Arial"/>
        </w:rPr>
        <w:t xml:space="preserve">pueden desarrollarse diferentes ecosistemas </w:t>
      </w:r>
      <w:r w:rsidR="00EA7940" w:rsidRPr="00BD1319">
        <w:rPr>
          <w:rFonts w:cs="Arial"/>
        </w:rPr>
        <w:t>(pastos, corales, sustratos blandos y duros)</w:t>
      </w:r>
      <w:r w:rsidR="00653922" w:rsidRPr="00BD1319">
        <w:rPr>
          <w:rFonts w:cs="Arial"/>
        </w:rPr>
        <w:t>.</w:t>
      </w:r>
      <w:r w:rsidRPr="00BD1319">
        <w:rPr>
          <w:rFonts w:cs="Arial"/>
        </w:rPr>
        <w:t xml:space="preserve"> La </w:t>
      </w:r>
      <w:r w:rsidR="00A51056" w:rsidRPr="00BD1319">
        <w:rPr>
          <w:rFonts w:cs="Arial"/>
        </w:rPr>
        <w:t xml:space="preserve">determinación </w:t>
      </w:r>
      <w:r w:rsidRPr="00BD1319">
        <w:rPr>
          <w:rFonts w:cs="Arial"/>
        </w:rPr>
        <w:t xml:space="preserve">de impactos ambientales en estos </w:t>
      </w:r>
      <w:r w:rsidR="00054945" w:rsidRPr="00BD1319">
        <w:rPr>
          <w:rFonts w:cs="Arial"/>
        </w:rPr>
        <w:t>ambientes</w:t>
      </w:r>
      <w:r w:rsidRPr="00BD1319">
        <w:rPr>
          <w:rFonts w:cs="Arial"/>
        </w:rPr>
        <w:t xml:space="preserve"> puede </w:t>
      </w:r>
      <w:r w:rsidR="00403F24" w:rsidRPr="00BD1319">
        <w:rPr>
          <w:rFonts w:cs="Arial"/>
        </w:rPr>
        <w:t>basarse,</w:t>
      </w:r>
      <w:r w:rsidRPr="00BD1319">
        <w:rPr>
          <w:rFonts w:cs="Arial"/>
        </w:rPr>
        <w:t xml:space="preserve"> por ejemplo, en modelos de dispersión de contaminantes y de </w:t>
      </w:r>
      <w:r w:rsidR="00B80946" w:rsidRPr="00BD1319">
        <w:rPr>
          <w:rFonts w:cs="Arial"/>
        </w:rPr>
        <w:t xml:space="preserve">sus </w:t>
      </w:r>
      <w:r w:rsidRPr="00BD1319">
        <w:rPr>
          <w:rFonts w:cs="Arial"/>
        </w:rPr>
        <w:t xml:space="preserve">sobre </w:t>
      </w:r>
      <w:r w:rsidR="0088357D" w:rsidRPr="00BD1319">
        <w:rPr>
          <w:rFonts w:cs="Arial"/>
        </w:rPr>
        <w:t>lo</w:t>
      </w:r>
      <w:r w:rsidRPr="00BD1319">
        <w:rPr>
          <w:rFonts w:cs="Arial"/>
        </w:rPr>
        <w:t>s ecosistemas y comunidades.</w:t>
      </w:r>
    </w:p>
    <w:p w14:paraId="57DAD485" w14:textId="77777777" w:rsidR="00921605" w:rsidRPr="00BD1319" w:rsidRDefault="00921605" w:rsidP="00077E48">
      <w:pPr>
        <w:numPr>
          <w:ilvl w:val="12"/>
          <w:numId w:val="0"/>
        </w:numPr>
        <w:tabs>
          <w:tab w:val="left" w:pos="-2268"/>
        </w:tabs>
        <w:suppressAutoHyphens/>
        <w:rPr>
          <w:rFonts w:cs="Arial"/>
          <w:spacing w:val="-3"/>
        </w:rPr>
      </w:pPr>
    </w:p>
    <w:p w14:paraId="601BA8C2" w14:textId="5DC54192" w:rsidR="00077E48" w:rsidRPr="00BD1319" w:rsidRDefault="00077E48" w:rsidP="008A4FE9">
      <w:pPr>
        <w:rPr>
          <w:rFonts w:cs="Arial"/>
          <w:spacing w:val="-3"/>
        </w:rPr>
      </w:pPr>
      <w:r w:rsidRPr="00BD1319">
        <w:rPr>
          <w:rFonts w:cs="Arial"/>
          <w:spacing w:val="-3"/>
        </w:rPr>
        <w:t xml:space="preserve">De otra parte, para </w:t>
      </w:r>
      <w:r w:rsidR="00574400" w:rsidRPr="00BD1319">
        <w:rPr>
          <w:rFonts w:cs="Arial"/>
          <w:spacing w:val="-3"/>
        </w:rPr>
        <w:t xml:space="preserve">determinar </w:t>
      </w:r>
      <w:r w:rsidRPr="00BD1319">
        <w:rPr>
          <w:rFonts w:cs="Arial"/>
          <w:spacing w:val="-3"/>
        </w:rPr>
        <w:t xml:space="preserve">las unidades de análisis en las cuales se presentan impactos ambientales significativos, además de elementos como la distribución </w:t>
      </w:r>
      <w:r w:rsidRPr="00BD1319">
        <w:rPr>
          <w:rFonts w:cs="Arial"/>
          <w:spacing w:val="-3"/>
        </w:rPr>
        <w:lastRenderedPageBreak/>
        <w:t>espacial de coberturas o ecosistemas, es importante considerar variable</w:t>
      </w:r>
      <w:r w:rsidR="00B80946" w:rsidRPr="00BD1319">
        <w:rPr>
          <w:rFonts w:cs="Arial"/>
          <w:spacing w:val="-3"/>
        </w:rPr>
        <w:t>s como</w:t>
      </w:r>
      <w:r w:rsidRPr="00BD1319">
        <w:rPr>
          <w:rFonts w:cs="Arial"/>
          <w:spacing w:val="-3"/>
        </w:rPr>
        <w:t xml:space="preserve"> </w:t>
      </w:r>
      <w:r w:rsidR="007B079C" w:rsidRPr="00BD1319">
        <w:rPr>
          <w:rFonts w:cs="Arial"/>
          <w:spacing w:val="-3"/>
        </w:rPr>
        <w:t xml:space="preserve">la </w:t>
      </w:r>
      <w:r w:rsidR="00BF790D" w:rsidRPr="00BD1319">
        <w:rPr>
          <w:rFonts w:cs="Arial"/>
          <w:spacing w:val="-3"/>
        </w:rPr>
        <w:t xml:space="preserve">conectividad ecológica </w:t>
      </w:r>
      <w:r w:rsidR="00E32358" w:rsidRPr="00BD1319">
        <w:rPr>
          <w:rFonts w:cs="Arial"/>
          <w:spacing w:val="-3"/>
        </w:rPr>
        <w:t>y los impactos por aumento de la presión sonora</w:t>
      </w:r>
      <w:r w:rsidRPr="00BD1319">
        <w:rPr>
          <w:rFonts w:cs="Arial"/>
          <w:spacing w:val="-3"/>
        </w:rPr>
        <w:t>.</w:t>
      </w:r>
    </w:p>
    <w:p w14:paraId="20260BB2" w14:textId="77777777" w:rsidR="00077E48" w:rsidRPr="00BD1319" w:rsidRDefault="00077E48" w:rsidP="00077E48">
      <w:pPr>
        <w:rPr>
          <w:rFonts w:cs="Arial"/>
          <w:spacing w:val="-3"/>
        </w:rPr>
      </w:pPr>
    </w:p>
    <w:p w14:paraId="6E9B70BF" w14:textId="19F1E347" w:rsidR="00077E48" w:rsidRPr="00BD1319" w:rsidRDefault="00E46B33" w:rsidP="00077E48">
      <w:pPr>
        <w:rPr>
          <w:rFonts w:cs="Arial"/>
        </w:rPr>
      </w:pPr>
      <w:r w:rsidRPr="00BD1319">
        <w:t>La conectividad ecológica es un elemento complementario que debe emplearse,</w:t>
      </w:r>
      <w:r w:rsidRPr="00BD1319">
        <w:rPr>
          <w:rFonts w:cs="Arial"/>
        </w:rPr>
        <w:t xml:space="preserve"> en caso de aplicar al caso de estudio, </w:t>
      </w:r>
      <w:r w:rsidRPr="00BD1319">
        <w:t xml:space="preserve">dado que señala condiciones importantes sobre la sensibilidad del área de referencia al </w:t>
      </w:r>
      <w:r w:rsidR="00B35779" w:rsidRPr="00BD1319">
        <w:rPr>
          <w:rFonts w:cs="Arial"/>
        </w:rPr>
        <w:t>incorpora</w:t>
      </w:r>
      <w:r w:rsidRPr="00BD1319">
        <w:rPr>
          <w:rFonts w:cs="Arial"/>
        </w:rPr>
        <w:t>r</w:t>
      </w:r>
      <w:r w:rsidR="00B35779" w:rsidRPr="00BD1319">
        <w:rPr>
          <w:rFonts w:cs="Arial"/>
        </w:rPr>
        <w:t xml:space="preserve"> dentro de sí elementos como la distribución potencial de las especies</w:t>
      </w:r>
      <w:r w:rsidRPr="00BD1319">
        <w:rPr>
          <w:rFonts w:cs="Arial"/>
        </w:rPr>
        <w:t xml:space="preserve"> y posibilitar la </w:t>
      </w:r>
      <w:r w:rsidR="00046B3E" w:rsidRPr="00BD1319">
        <w:rPr>
          <w:rFonts w:cs="Arial"/>
        </w:rPr>
        <w:t>determina</w:t>
      </w:r>
      <w:r w:rsidRPr="00BD1319">
        <w:rPr>
          <w:rFonts w:cs="Arial"/>
        </w:rPr>
        <w:t xml:space="preserve">ción de </w:t>
      </w:r>
      <w:r w:rsidR="00077E48" w:rsidRPr="00BD1319">
        <w:rPr>
          <w:rFonts w:cs="Arial"/>
        </w:rPr>
        <w:t>áreas de importancia para la movilidad de las especies de fauna silvestre</w:t>
      </w:r>
      <w:r w:rsidR="007B5EC5" w:rsidRPr="00BD1319">
        <w:rPr>
          <w:rFonts w:cs="Arial"/>
        </w:rPr>
        <w:t xml:space="preserve"> terrestre y acuática</w:t>
      </w:r>
      <w:r w:rsidR="00077E48" w:rsidRPr="00BD1319">
        <w:rPr>
          <w:rFonts w:cs="Arial"/>
        </w:rPr>
        <w:t>.</w:t>
      </w:r>
    </w:p>
    <w:p w14:paraId="5C413B5B" w14:textId="77777777" w:rsidR="00077E48" w:rsidRPr="00BD1319" w:rsidRDefault="00077E48" w:rsidP="00077E48">
      <w:pPr>
        <w:rPr>
          <w:rFonts w:cs="Arial"/>
        </w:rPr>
      </w:pPr>
    </w:p>
    <w:p w14:paraId="4D8F0885" w14:textId="1D2D267B" w:rsidR="00077E48" w:rsidRPr="00BD1319" w:rsidRDefault="00BE2B45" w:rsidP="00077E48">
      <w:pPr>
        <w:rPr>
          <w:rFonts w:cs="Arial"/>
        </w:rPr>
      </w:pPr>
      <w:r w:rsidRPr="00BD1319">
        <w:rPr>
          <w:rFonts w:cs="Arial"/>
        </w:rPr>
        <w:t>L</w:t>
      </w:r>
      <w:r w:rsidR="00077E48" w:rsidRPr="00BD1319">
        <w:rPr>
          <w:rFonts w:cs="Arial"/>
        </w:rPr>
        <w:t xml:space="preserve">a conectividad ecológica </w:t>
      </w:r>
      <w:r w:rsidRPr="00BD1319">
        <w:rPr>
          <w:rFonts w:cs="Arial"/>
        </w:rPr>
        <w:t xml:space="preserve">y </w:t>
      </w:r>
      <w:r w:rsidR="00077E48" w:rsidRPr="00BD1319">
        <w:rPr>
          <w:rFonts w:cs="Arial"/>
        </w:rPr>
        <w:t xml:space="preserve">los modelos de distribución potencial de </w:t>
      </w:r>
      <w:r w:rsidR="00054945" w:rsidRPr="00BD1319">
        <w:rPr>
          <w:rFonts w:cs="Arial"/>
        </w:rPr>
        <w:t>especies</w:t>
      </w:r>
      <w:r w:rsidR="00077E48" w:rsidRPr="00BD1319">
        <w:rPr>
          <w:rFonts w:cs="Arial"/>
        </w:rPr>
        <w:t xml:space="preserve"> </w:t>
      </w:r>
      <w:r w:rsidRPr="00BD1319">
        <w:rPr>
          <w:rFonts w:cs="Arial"/>
        </w:rPr>
        <w:t>que incorpora</w:t>
      </w:r>
      <w:r w:rsidR="00FD44D0" w:rsidRPr="00BD1319">
        <w:rPr>
          <w:rFonts w:cs="Arial"/>
        </w:rPr>
        <w:t>,</w:t>
      </w:r>
      <w:r w:rsidRPr="00BD1319">
        <w:rPr>
          <w:rFonts w:cs="Arial"/>
        </w:rPr>
        <w:t xml:space="preserve"> </w:t>
      </w:r>
      <w:r w:rsidR="00077E48" w:rsidRPr="00BD1319">
        <w:rPr>
          <w:rFonts w:cs="Arial"/>
        </w:rPr>
        <w:t xml:space="preserve">permiten </w:t>
      </w:r>
      <w:r w:rsidR="00046B3E" w:rsidRPr="00BD1319">
        <w:rPr>
          <w:rFonts w:cs="Arial"/>
        </w:rPr>
        <w:t xml:space="preserve">determinar </w:t>
      </w:r>
      <w:r w:rsidR="00077E48" w:rsidRPr="00BD1319">
        <w:rPr>
          <w:rFonts w:cs="Arial"/>
        </w:rPr>
        <w:t>unidades de análisis que aun cuando a primera vista pare</w:t>
      </w:r>
      <w:r w:rsidR="00FD44D0" w:rsidRPr="00BD1319">
        <w:rPr>
          <w:rFonts w:cs="Arial"/>
        </w:rPr>
        <w:t xml:space="preserve">zcan </w:t>
      </w:r>
      <w:r w:rsidR="00077E48" w:rsidRPr="00BD1319">
        <w:rPr>
          <w:rFonts w:cs="Arial"/>
        </w:rPr>
        <w:t>aisladas o inconexas, en realidad forman parte de un conjunto de unidades de análisis que funcionan como una unidad que</w:t>
      </w:r>
      <w:r w:rsidR="00403F24" w:rsidRPr="00BD1319">
        <w:rPr>
          <w:rFonts w:cs="Arial"/>
        </w:rPr>
        <w:t>,</w:t>
      </w:r>
      <w:r w:rsidR="00077E48" w:rsidRPr="00BD1319">
        <w:rPr>
          <w:rFonts w:cs="Arial"/>
        </w:rPr>
        <w:t xml:space="preserve"> si resulta impactada de forma significativa, debe incorporarse en su totalidad al área de influencia.</w:t>
      </w:r>
    </w:p>
    <w:p w14:paraId="0346B6D4" w14:textId="77777777" w:rsidR="00077E48" w:rsidRPr="00BD1319" w:rsidRDefault="00077E48" w:rsidP="00077E48">
      <w:pPr>
        <w:rPr>
          <w:rFonts w:cs="Arial"/>
        </w:rPr>
      </w:pPr>
    </w:p>
    <w:p w14:paraId="6ED2C03A" w14:textId="36017259" w:rsidR="00211736" w:rsidRPr="00BD1319" w:rsidRDefault="00077E48" w:rsidP="00077E48">
      <w:pPr>
        <w:rPr>
          <w:rFonts w:cs="Arial"/>
        </w:rPr>
      </w:pPr>
      <w:r w:rsidRPr="00BD1319">
        <w:rPr>
          <w:rFonts w:cs="Arial"/>
        </w:rPr>
        <w:t xml:space="preserve">Es decir, </w:t>
      </w:r>
      <w:r w:rsidR="00070BF8" w:rsidRPr="00BD1319">
        <w:rPr>
          <w:rFonts w:cs="Arial"/>
        </w:rPr>
        <w:t xml:space="preserve">esta variable </w:t>
      </w:r>
      <w:r w:rsidRPr="00BD1319">
        <w:rPr>
          <w:rFonts w:cs="Arial"/>
        </w:rPr>
        <w:t>constituye un tipo de información que ayuda a establecer qué unidades de coberturas de la tierra o de ecosistemas hacen parte del área de influencia, en función de especies que posiblemente habiten allí y de la importancia de tales unidades para la conectividad ecológica de la zona.</w:t>
      </w:r>
    </w:p>
    <w:p w14:paraId="4AFC14AE" w14:textId="77777777" w:rsidR="00211736" w:rsidRPr="00BD1319" w:rsidRDefault="00211736" w:rsidP="00077E48">
      <w:pPr>
        <w:rPr>
          <w:rFonts w:cs="Arial"/>
        </w:rPr>
      </w:pPr>
    </w:p>
    <w:p w14:paraId="4AE094B1" w14:textId="708C9B4B" w:rsidR="00077E48" w:rsidRPr="00BD1319" w:rsidRDefault="00211736" w:rsidP="00077E48">
      <w:pPr>
        <w:rPr>
          <w:rFonts w:cs="Arial"/>
        </w:rPr>
      </w:pPr>
      <w:r w:rsidRPr="00BD1319">
        <w:rPr>
          <w:rFonts w:cs="Arial"/>
        </w:rPr>
        <w:t xml:space="preserve">Adicionalmente, en caso de aplicar, es importante </w:t>
      </w:r>
      <w:r w:rsidR="007920B2" w:rsidRPr="00BD1319">
        <w:rPr>
          <w:rFonts w:cs="Arial"/>
        </w:rPr>
        <w:t>integrar</w:t>
      </w:r>
      <w:r w:rsidRPr="00BD1319">
        <w:rPr>
          <w:rFonts w:cs="Arial"/>
        </w:rPr>
        <w:t xml:space="preserve"> el aumento de la presión sonora como variable </w:t>
      </w:r>
      <w:r w:rsidR="007920B2" w:rsidRPr="00BD1319">
        <w:rPr>
          <w:rFonts w:cs="Arial"/>
        </w:rPr>
        <w:t xml:space="preserve">de análisis </w:t>
      </w:r>
      <w:r w:rsidRPr="00BD1319">
        <w:rPr>
          <w:rFonts w:cs="Arial"/>
        </w:rPr>
        <w:t xml:space="preserve">para determinar qué unidades de análisis (que como se vio, deben ser delimitadas teniendo en cuenta la conectividad ecológica potencial) pueden en efecto ser impactadas de forma significativa por el proyecto, obra o actividad. </w:t>
      </w:r>
      <w:r w:rsidR="00077E48" w:rsidRPr="00BD1319">
        <w:rPr>
          <w:rFonts w:cs="Arial"/>
        </w:rPr>
        <w:t>A continuación</w:t>
      </w:r>
      <w:r w:rsidR="00BF790D" w:rsidRPr="00BD1319">
        <w:rPr>
          <w:rFonts w:cs="Arial"/>
        </w:rPr>
        <w:t>,</w:t>
      </w:r>
      <w:r w:rsidR="00077E48" w:rsidRPr="00BD1319">
        <w:rPr>
          <w:rFonts w:cs="Arial"/>
        </w:rPr>
        <w:t xml:space="preserve"> se señalan algunos lineamientos generales para incorporar estas variables ambientales al proceso de delimitación del área de influencia.</w:t>
      </w:r>
    </w:p>
    <w:p w14:paraId="1BD4F1CA" w14:textId="037DEE4A" w:rsidR="00077E48" w:rsidRPr="00BD1319" w:rsidRDefault="00077E48" w:rsidP="00077E48">
      <w:pPr>
        <w:rPr>
          <w:rFonts w:cs="Arial"/>
        </w:rPr>
      </w:pPr>
    </w:p>
    <w:p w14:paraId="534C9538" w14:textId="112B3D4A" w:rsidR="00077E48" w:rsidRPr="00BD1319" w:rsidRDefault="00077E48" w:rsidP="00216955">
      <w:pPr>
        <w:pStyle w:val="Ttulo3"/>
      </w:pPr>
      <w:bookmarkStart w:id="2545" w:name="_Ref144114879"/>
      <w:bookmarkStart w:id="2546" w:name="_Toc175326748"/>
      <w:r w:rsidRPr="00BD1319">
        <w:t>Conectividad ecológica</w:t>
      </w:r>
      <w:bookmarkEnd w:id="2545"/>
      <w:bookmarkEnd w:id="2546"/>
    </w:p>
    <w:p w14:paraId="3C056015" w14:textId="77777777" w:rsidR="00077E48" w:rsidRPr="00BD1319" w:rsidRDefault="00077E48" w:rsidP="00077E48">
      <w:pPr>
        <w:rPr>
          <w:rFonts w:cs="Arial"/>
        </w:rPr>
      </w:pPr>
    </w:p>
    <w:p w14:paraId="3543DE32" w14:textId="4807FE5F" w:rsidR="00077E48" w:rsidRPr="00BD1319" w:rsidRDefault="00077E48" w:rsidP="00077E48">
      <w:pPr>
        <w:rPr>
          <w:rFonts w:cs="Arial"/>
          <w:spacing w:val="-3"/>
        </w:rPr>
      </w:pPr>
      <w:r w:rsidRPr="00BD1319">
        <w:rPr>
          <w:rFonts w:cs="Arial"/>
          <w:spacing w:val="-3"/>
        </w:rPr>
        <w:t xml:space="preserve">La conectividad ecológica es un criterio </w:t>
      </w:r>
      <w:r w:rsidR="00EC15FF" w:rsidRPr="00BD1319">
        <w:rPr>
          <w:rFonts w:cs="Arial"/>
          <w:spacing w:val="-3"/>
        </w:rPr>
        <w:t xml:space="preserve">fundamental </w:t>
      </w:r>
      <w:r w:rsidRPr="00BD1319">
        <w:rPr>
          <w:rFonts w:cs="Arial"/>
          <w:spacing w:val="-3"/>
        </w:rPr>
        <w:t>para la delimitación del área de influencia</w:t>
      </w:r>
      <w:r w:rsidR="00A714C2" w:rsidRPr="00BD1319">
        <w:rPr>
          <w:rFonts w:cs="Arial"/>
          <w:spacing w:val="-3"/>
        </w:rPr>
        <w:t>, pues</w:t>
      </w:r>
      <w:r w:rsidRPr="00BD1319">
        <w:rPr>
          <w:rFonts w:cs="Arial"/>
          <w:spacing w:val="-3"/>
        </w:rPr>
        <w:t xml:space="preserve"> permite </w:t>
      </w:r>
      <w:r w:rsidR="00046B3E" w:rsidRPr="00BD1319">
        <w:rPr>
          <w:rFonts w:cs="Arial"/>
          <w:spacing w:val="-3"/>
        </w:rPr>
        <w:t xml:space="preserve">determinar </w:t>
      </w:r>
      <w:r w:rsidRPr="00BD1319">
        <w:rPr>
          <w:rFonts w:cs="Arial"/>
          <w:spacing w:val="-3"/>
        </w:rPr>
        <w:t>zonas que se comportan como una unidad a pesar de que espacialmente</w:t>
      </w:r>
      <w:r w:rsidR="00AF08B6" w:rsidRPr="00BD1319">
        <w:rPr>
          <w:rFonts w:cs="Arial"/>
          <w:spacing w:val="-3"/>
        </w:rPr>
        <w:t>,</w:t>
      </w:r>
      <w:r w:rsidRPr="00BD1319">
        <w:rPr>
          <w:rFonts w:cs="Arial"/>
          <w:spacing w:val="-3"/>
        </w:rPr>
        <w:t xml:space="preserve"> </w:t>
      </w:r>
      <w:r w:rsidR="00AF08B6" w:rsidRPr="00BD1319">
        <w:rPr>
          <w:rFonts w:cs="Arial"/>
          <w:spacing w:val="-3"/>
        </w:rPr>
        <w:t xml:space="preserve">a simpe vista, </w:t>
      </w:r>
      <w:r w:rsidRPr="00BD1319">
        <w:rPr>
          <w:rFonts w:cs="Arial"/>
          <w:spacing w:val="-3"/>
        </w:rPr>
        <w:t>se evidenci</w:t>
      </w:r>
      <w:r w:rsidR="00054945" w:rsidRPr="00BD1319">
        <w:rPr>
          <w:rFonts w:cs="Arial"/>
          <w:spacing w:val="-3"/>
        </w:rPr>
        <w:t>e</w:t>
      </w:r>
      <w:r w:rsidRPr="00BD1319">
        <w:rPr>
          <w:rFonts w:cs="Arial"/>
          <w:spacing w:val="-3"/>
        </w:rPr>
        <w:t>n como unidades independientes</w:t>
      </w:r>
      <w:r w:rsidR="00AF08B6" w:rsidRPr="00BD1319">
        <w:rPr>
          <w:rFonts w:cs="Arial"/>
          <w:spacing w:val="-3"/>
        </w:rPr>
        <w:t>;</w:t>
      </w:r>
      <w:r w:rsidRPr="00BD1319">
        <w:rPr>
          <w:rFonts w:cs="Arial"/>
          <w:spacing w:val="-3"/>
        </w:rPr>
        <w:t xml:space="preserve"> además, facilita la </w:t>
      </w:r>
      <w:r w:rsidR="00A51056" w:rsidRPr="00BD1319">
        <w:rPr>
          <w:rFonts w:cs="Arial"/>
          <w:spacing w:val="-3"/>
        </w:rPr>
        <w:t xml:space="preserve">determinación </w:t>
      </w:r>
      <w:r w:rsidRPr="00BD1319">
        <w:rPr>
          <w:rFonts w:cs="Arial"/>
          <w:spacing w:val="-3"/>
        </w:rPr>
        <w:t xml:space="preserve">de impactos ambientales significativos al hacer evidentes áreas </w:t>
      </w:r>
      <w:r w:rsidR="00A714C2" w:rsidRPr="00BD1319">
        <w:rPr>
          <w:rFonts w:cs="Arial"/>
          <w:spacing w:val="-3"/>
        </w:rPr>
        <w:t>de importancia</w:t>
      </w:r>
      <w:r w:rsidRPr="00BD1319">
        <w:rPr>
          <w:rFonts w:cs="Arial"/>
          <w:spacing w:val="-3"/>
        </w:rPr>
        <w:t xml:space="preserve"> para la conectividad ecológica. Es decir, permite afinar la delimitación de unidades de análisis y establecer en cuáles de ellas se presentan impactos ambientales significativos dadas las características de las actividades </w:t>
      </w:r>
      <w:r w:rsidR="00AF08B6" w:rsidRPr="00BD1319">
        <w:rPr>
          <w:rFonts w:cs="Arial"/>
          <w:spacing w:val="-3"/>
        </w:rPr>
        <w:t>del proyecto</w:t>
      </w:r>
      <w:r w:rsidRPr="00BD1319">
        <w:rPr>
          <w:rFonts w:cs="Arial"/>
          <w:spacing w:val="-3"/>
        </w:rPr>
        <w:t>.</w:t>
      </w:r>
    </w:p>
    <w:p w14:paraId="339BFD13" w14:textId="77777777" w:rsidR="00EA636F" w:rsidRPr="00BD1319" w:rsidRDefault="00EA636F" w:rsidP="00077E48">
      <w:pPr>
        <w:rPr>
          <w:rFonts w:cs="Arial"/>
        </w:rPr>
      </w:pPr>
    </w:p>
    <w:p w14:paraId="03F591F5" w14:textId="5BF0E688" w:rsidR="00077E48" w:rsidRPr="00BD1319" w:rsidRDefault="00A714C2" w:rsidP="00077E48">
      <w:pPr>
        <w:rPr>
          <w:rFonts w:cs="Arial"/>
        </w:rPr>
      </w:pPr>
      <w:r w:rsidRPr="00BD1319">
        <w:rPr>
          <w:rFonts w:cs="Arial"/>
        </w:rPr>
        <w:t>Debe existir claridad en que l</w:t>
      </w:r>
      <w:r w:rsidR="007D09F8" w:rsidRPr="00BD1319">
        <w:rPr>
          <w:rFonts w:cs="Arial"/>
        </w:rPr>
        <w:t>a determinación de l</w:t>
      </w:r>
      <w:r w:rsidR="00077E48" w:rsidRPr="00BD1319">
        <w:rPr>
          <w:rFonts w:cs="Arial"/>
        </w:rPr>
        <w:t xml:space="preserve">a conectividad ecológica en el marco del licenciamiento ambiental no se desarrolla mediante estudios exhaustivos de las relaciones funcionales en los ecosistemas; </w:t>
      </w:r>
      <w:r w:rsidR="007D09F8" w:rsidRPr="00BD1319">
        <w:rPr>
          <w:rFonts w:cs="Arial"/>
        </w:rPr>
        <w:t xml:space="preserve">la aproximación propia de </w:t>
      </w:r>
      <w:r w:rsidR="00077E48" w:rsidRPr="00BD1319">
        <w:rPr>
          <w:rFonts w:cs="Arial"/>
        </w:rPr>
        <w:t xml:space="preserve">este ámbito se </w:t>
      </w:r>
      <w:r w:rsidR="00BE10A1" w:rsidRPr="00BD1319">
        <w:rPr>
          <w:rFonts w:cs="Arial"/>
        </w:rPr>
        <w:t xml:space="preserve">basa en </w:t>
      </w:r>
      <w:r w:rsidR="00077E48" w:rsidRPr="00BD1319">
        <w:rPr>
          <w:rFonts w:cs="Arial"/>
        </w:rPr>
        <w:t xml:space="preserve">información </w:t>
      </w:r>
      <w:r w:rsidR="006C3098" w:rsidRPr="00BD1319">
        <w:rPr>
          <w:rFonts w:cs="Arial"/>
        </w:rPr>
        <w:t xml:space="preserve">obtenida en la caracterización ambiental </w:t>
      </w:r>
      <w:r w:rsidR="00A32CD3" w:rsidRPr="00BD1319">
        <w:rPr>
          <w:rFonts w:cs="Arial"/>
        </w:rPr>
        <w:t xml:space="preserve">como </w:t>
      </w:r>
      <w:r w:rsidR="00BE10A1" w:rsidRPr="00BD1319">
        <w:rPr>
          <w:rFonts w:cs="Arial"/>
        </w:rPr>
        <w:t xml:space="preserve">la </w:t>
      </w:r>
      <w:r w:rsidR="00077E48" w:rsidRPr="00BD1319">
        <w:rPr>
          <w:rFonts w:cs="Arial"/>
        </w:rPr>
        <w:lastRenderedPageBreak/>
        <w:t xml:space="preserve">referida a </w:t>
      </w:r>
      <w:r w:rsidR="00EA636F" w:rsidRPr="00BD1319">
        <w:rPr>
          <w:rFonts w:cs="Arial"/>
        </w:rPr>
        <w:t xml:space="preserve">distribución de especies (modelos), </w:t>
      </w:r>
      <w:r w:rsidR="00077E48" w:rsidRPr="00BD1319">
        <w:rPr>
          <w:rFonts w:cs="Arial"/>
        </w:rPr>
        <w:t>coberturas de la tierra, presencia de especies de fauna y flora silvestre y preferencias de hábitat</w:t>
      </w:r>
      <w:r w:rsidR="00A32CD3" w:rsidRPr="00BD1319">
        <w:rPr>
          <w:rFonts w:cs="Arial"/>
        </w:rPr>
        <w:t>.</w:t>
      </w:r>
      <w:r w:rsidR="00077E48" w:rsidRPr="00BD1319">
        <w:rPr>
          <w:rFonts w:cs="Arial"/>
        </w:rPr>
        <w:t xml:space="preserve"> </w:t>
      </w:r>
      <w:r w:rsidR="00A32CD3" w:rsidRPr="00BD1319">
        <w:rPr>
          <w:rFonts w:cs="Arial"/>
        </w:rPr>
        <w:t>E</w:t>
      </w:r>
      <w:r w:rsidR="00077E48" w:rsidRPr="00BD1319">
        <w:rPr>
          <w:rFonts w:cs="Arial"/>
        </w:rPr>
        <w:t>s esta conectividad ecológica</w:t>
      </w:r>
      <w:r w:rsidR="00077E48" w:rsidRPr="00BD1319">
        <w:rPr>
          <w:rStyle w:val="Refdenotaalpie"/>
          <w:rFonts w:cs="Arial"/>
          <w:lang w:val="es-CO"/>
        </w:rPr>
        <w:footnoteReference w:id="85"/>
      </w:r>
      <w:r w:rsidR="00077E48" w:rsidRPr="00BD1319">
        <w:rPr>
          <w:rFonts w:cs="Arial"/>
        </w:rPr>
        <w:t xml:space="preserve"> </w:t>
      </w:r>
      <w:r w:rsidR="007C139A" w:rsidRPr="00BD1319">
        <w:rPr>
          <w:rFonts w:cs="Arial"/>
        </w:rPr>
        <w:t xml:space="preserve">a </w:t>
      </w:r>
      <w:r w:rsidR="00077E48" w:rsidRPr="00BD1319">
        <w:rPr>
          <w:rFonts w:cs="Arial"/>
        </w:rPr>
        <w:t xml:space="preserve">la que se </w:t>
      </w:r>
      <w:r w:rsidR="007C139A" w:rsidRPr="00BD1319">
        <w:rPr>
          <w:rFonts w:cs="Arial"/>
        </w:rPr>
        <w:t>deben referir los estudios ambientales</w:t>
      </w:r>
      <w:r w:rsidR="00077E48" w:rsidRPr="00BD1319">
        <w:rPr>
          <w:rFonts w:cs="Arial"/>
        </w:rPr>
        <w:t>.</w:t>
      </w:r>
    </w:p>
    <w:p w14:paraId="7EED057E" w14:textId="77777777" w:rsidR="00077E48" w:rsidRPr="00BD1319" w:rsidRDefault="00077E48" w:rsidP="00077E48">
      <w:pPr>
        <w:rPr>
          <w:rFonts w:cs="Arial"/>
        </w:rPr>
      </w:pPr>
    </w:p>
    <w:p w14:paraId="74D7D3E8" w14:textId="43C8E7F7" w:rsidR="00A32CD3" w:rsidRPr="00BD1319" w:rsidRDefault="00A32CD3" w:rsidP="00A32CD3">
      <w:r w:rsidRPr="00BD1319">
        <w:t xml:space="preserve">Como punto de partida, </w:t>
      </w:r>
      <w:r w:rsidR="000C0556" w:rsidRPr="00BD1319">
        <w:t xml:space="preserve">se debe </w:t>
      </w:r>
      <w:r w:rsidRPr="00BD1319">
        <w:t>desarrollar un modelo que estime las áreas en las que potencialmente puede encontrarse una especie de importancia, relacionando los registros sobre su avistamiento con información sobre la localización espacial de los hábitats que le resulten óptimos</w:t>
      </w:r>
      <w:r w:rsidRPr="00BD1319">
        <w:rPr>
          <w:rStyle w:val="Refdenotaalpie"/>
          <w:lang w:val="es-CO"/>
        </w:rPr>
        <w:footnoteReference w:id="86"/>
      </w:r>
      <w:r w:rsidRPr="00BD1319">
        <w:t>.</w:t>
      </w:r>
    </w:p>
    <w:p w14:paraId="16E970CF" w14:textId="77777777" w:rsidR="00A32CD3" w:rsidRPr="00BD1319" w:rsidRDefault="00A32CD3" w:rsidP="00A32CD3">
      <w:pPr>
        <w:rPr>
          <w:rFonts w:cs="Arial"/>
        </w:rPr>
      </w:pPr>
    </w:p>
    <w:p w14:paraId="1499739E" w14:textId="77777777" w:rsidR="00A32CD3" w:rsidRPr="00BD1319" w:rsidRDefault="00A32CD3" w:rsidP="00A32CD3">
      <w:r w:rsidRPr="00BD1319">
        <w:t>Para ello, se requiere información geográfica primaria o secundaria</w:t>
      </w:r>
      <w:r w:rsidRPr="00BD1319">
        <w:rPr>
          <w:rStyle w:val="Refdenotaalpie"/>
          <w:lang w:val="es-CO"/>
        </w:rPr>
        <w:footnoteReference w:id="87"/>
      </w:r>
      <w:r w:rsidRPr="00BD1319">
        <w:t xml:space="preserve"> sobre el avistamiento de la especie o del grupo de especies seleccionado para la elaboración del modelo, así como sobre variables ambientales que permitan localizar sus hábitats idóneos (p. ej. clima, coberturas de la tierra, topografía, conectividad ecológica, distribución de presas) y que, por tanto, puedan emplearse como predictores de su distribución.</w:t>
      </w:r>
    </w:p>
    <w:p w14:paraId="02724543" w14:textId="77777777" w:rsidR="00A32CD3" w:rsidRPr="00BD1319" w:rsidRDefault="00A32CD3" w:rsidP="00077E48">
      <w:pPr>
        <w:rPr>
          <w:rFonts w:cs="Arial"/>
        </w:rPr>
      </w:pPr>
    </w:p>
    <w:p w14:paraId="4E95B450" w14:textId="0C2CF3DB" w:rsidR="007C139A" w:rsidRPr="00BD1319" w:rsidRDefault="002364BA" w:rsidP="007C139A">
      <w:pPr>
        <w:rPr>
          <w:rFonts w:cs="Arial"/>
        </w:rPr>
      </w:pPr>
      <w:r w:rsidRPr="00BD1319">
        <w:rPr>
          <w:rFonts w:eastAsiaTheme="minorHAnsi" w:cs="Arial"/>
          <w:szCs w:val="22"/>
          <w:lang w:eastAsia="en-US"/>
        </w:rPr>
        <w:t>E</w:t>
      </w:r>
      <w:r w:rsidRPr="00BD1319">
        <w:rPr>
          <w:rFonts w:cs="Arial"/>
        </w:rPr>
        <w:t xml:space="preserve">n el numeral </w:t>
      </w:r>
      <w:r w:rsidRPr="00BD1319">
        <w:rPr>
          <w:rFonts w:cs="Arial"/>
        </w:rPr>
        <w:fldChar w:fldCharType="begin"/>
      </w:r>
      <w:r w:rsidRPr="00BD1319">
        <w:rPr>
          <w:rFonts w:cs="Arial"/>
        </w:rPr>
        <w:instrText xml:space="preserve"> REF _Ref79492801 \r \h </w:instrText>
      </w:r>
      <w:r w:rsidR="006A4128" w:rsidRPr="00BD1319">
        <w:rPr>
          <w:rFonts w:cs="Arial"/>
        </w:rPr>
        <w:instrText xml:space="preserve"> \* MERGEFORMAT </w:instrText>
      </w:r>
      <w:r w:rsidRPr="00BD1319">
        <w:rPr>
          <w:rFonts w:cs="Arial"/>
        </w:rPr>
      </w:r>
      <w:r w:rsidRPr="00BD1319">
        <w:rPr>
          <w:rFonts w:cs="Arial"/>
        </w:rPr>
        <w:fldChar w:fldCharType="separate"/>
      </w:r>
      <w:r w:rsidR="00296654" w:rsidRPr="00BD1319">
        <w:rPr>
          <w:rFonts w:cs="Arial"/>
        </w:rPr>
        <w:t>4.2.2.3.2</w:t>
      </w:r>
      <w:r w:rsidRPr="00BD1319">
        <w:rPr>
          <w:rFonts w:cs="Arial"/>
        </w:rPr>
        <w:fldChar w:fldCharType="end"/>
      </w:r>
      <w:r w:rsidRPr="00BD1319">
        <w:rPr>
          <w:rFonts w:cs="Arial"/>
        </w:rPr>
        <w:t xml:space="preserve"> del capítulo III de este documento, se desarrollan de forma detallada </w:t>
      </w:r>
      <w:r w:rsidR="004A19AD" w:rsidRPr="00BD1319">
        <w:rPr>
          <w:rFonts w:cs="Arial"/>
        </w:rPr>
        <w:t xml:space="preserve">los </w:t>
      </w:r>
      <w:r w:rsidRPr="00BD1319">
        <w:rPr>
          <w:rFonts w:cs="Arial"/>
        </w:rPr>
        <w:t xml:space="preserve">lineamientos </w:t>
      </w:r>
      <w:r w:rsidR="00A32CD3" w:rsidRPr="00BD1319">
        <w:rPr>
          <w:rFonts w:cs="Arial"/>
        </w:rPr>
        <w:t>para determinar las especies con mayor importancia, las coberturas de la tierra que resultan fundamentales para el desarrollo de los procesos ecológicos de tales especies y la permeabilidad del paisaje en relación con la movilidad de éstas</w:t>
      </w:r>
      <w:r w:rsidR="004A19AD" w:rsidRPr="00BD1319">
        <w:rPr>
          <w:rFonts w:cs="Arial"/>
        </w:rPr>
        <w:t xml:space="preserve">, así como </w:t>
      </w:r>
      <w:r w:rsidRPr="00BD1319">
        <w:rPr>
          <w:rFonts w:cs="Arial"/>
        </w:rPr>
        <w:t xml:space="preserve">el procedimiento </w:t>
      </w:r>
      <w:r w:rsidR="004A19AD" w:rsidRPr="00BD1319">
        <w:rPr>
          <w:rFonts w:cs="Arial"/>
        </w:rPr>
        <w:t xml:space="preserve">general </w:t>
      </w:r>
      <w:r w:rsidRPr="00BD1319">
        <w:rPr>
          <w:rFonts w:cs="Arial"/>
        </w:rPr>
        <w:t xml:space="preserve">para establecer la conectividad ecológica, </w:t>
      </w:r>
      <w:r w:rsidR="004A19AD" w:rsidRPr="00BD1319">
        <w:rPr>
          <w:rFonts w:cs="Arial"/>
        </w:rPr>
        <w:t xml:space="preserve">y se brindan algunos </w:t>
      </w:r>
      <w:r w:rsidRPr="00BD1319">
        <w:rPr>
          <w:rFonts w:cs="Arial"/>
        </w:rPr>
        <w:t xml:space="preserve">elementos para </w:t>
      </w:r>
      <w:r w:rsidRPr="00BD1319">
        <w:rPr>
          <w:rFonts w:eastAsiaTheme="minorHAnsi" w:cs="Arial"/>
          <w:szCs w:val="22"/>
          <w:lang w:eastAsia="en-US"/>
        </w:rPr>
        <w:t xml:space="preserve">seleccionar </w:t>
      </w:r>
      <w:r w:rsidR="00557AD3" w:rsidRPr="00BD1319">
        <w:rPr>
          <w:rFonts w:eastAsiaTheme="minorHAnsi" w:cs="Arial"/>
          <w:szCs w:val="22"/>
          <w:lang w:eastAsia="en-US"/>
        </w:rPr>
        <w:t xml:space="preserve">los </w:t>
      </w:r>
      <w:r w:rsidRPr="00BD1319">
        <w:rPr>
          <w:rFonts w:eastAsiaTheme="minorHAnsi" w:cs="Arial"/>
          <w:szCs w:val="22"/>
          <w:lang w:eastAsia="en-US"/>
        </w:rPr>
        <w:t xml:space="preserve">índices de cuantificación </w:t>
      </w:r>
      <w:r w:rsidR="004A19AD" w:rsidRPr="00BD1319">
        <w:rPr>
          <w:rFonts w:eastAsiaTheme="minorHAnsi" w:cs="Arial"/>
          <w:szCs w:val="22"/>
          <w:lang w:eastAsia="en-US"/>
        </w:rPr>
        <w:t xml:space="preserve">y </w:t>
      </w:r>
      <w:r w:rsidR="00557AD3" w:rsidRPr="00BD1319">
        <w:rPr>
          <w:rFonts w:eastAsiaTheme="minorHAnsi" w:cs="Arial"/>
          <w:szCs w:val="22"/>
          <w:lang w:eastAsia="en-US"/>
        </w:rPr>
        <w:t xml:space="preserve">para </w:t>
      </w:r>
      <w:r w:rsidRPr="00BD1319">
        <w:rPr>
          <w:rFonts w:eastAsiaTheme="minorHAnsi" w:cs="Arial"/>
          <w:szCs w:val="22"/>
          <w:lang w:eastAsia="en-US"/>
        </w:rPr>
        <w:t>interpretar espacialmente la información generada (matriz de resistencia, teoría de grafos, análisis de redes, entre otros).</w:t>
      </w:r>
    </w:p>
    <w:p w14:paraId="514D21B6" w14:textId="77777777" w:rsidR="00077E48" w:rsidRPr="00BD1319" w:rsidRDefault="00077E48" w:rsidP="00077E48">
      <w:pPr>
        <w:rPr>
          <w:rFonts w:cs="Arial"/>
        </w:rPr>
      </w:pPr>
    </w:p>
    <w:p w14:paraId="48073872" w14:textId="5BB85145" w:rsidR="00077E48" w:rsidRPr="00BD1319" w:rsidRDefault="00306730" w:rsidP="004A19AD">
      <w:pPr>
        <w:rPr>
          <w:rFonts w:cs="Arial"/>
        </w:rPr>
      </w:pPr>
      <w:r w:rsidRPr="00BD1319">
        <w:rPr>
          <w:rFonts w:cs="Arial"/>
        </w:rPr>
        <w:t>Se debe tener en cuenta que l</w:t>
      </w:r>
      <w:r w:rsidR="00987F8D" w:rsidRPr="00BD1319">
        <w:rPr>
          <w:rFonts w:cs="Arial"/>
        </w:rPr>
        <w:t xml:space="preserve">os índices que </w:t>
      </w:r>
      <w:r w:rsidR="00077E48" w:rsidRPr="00BD1319">
        <w:rPr>
          <w:rFonts w:cs="Arial"/>
        </w:rPr>
        <w:t>resultan de</w:t>
      </w:r>
      <w:r w:rsidR="00987F8D" w:rsidRPr="00BD1319">
        <w:rPr>
          <w:rFonts w:cs="Arial"/>
        </w:rPr>
        <w:t xml:space="preserve">l </w:t>
      </w:r>
      <w:r w:rsidR="00077E48" w:rsidRPr="00BD1319">
        <w:rPr>
          <w:rFonts w:cs="Arial"/>
        </w:rPr>
        <w:t xml:space="preserve">modelo de conectividad </w:t>
      </w:r>
      <w:r w:rsidR="00987F8D" w:rsidRPr="00BD1319">
        <w:rPr>
          <w:rFonts w:cs="Arial"/>
        </w:rPr>
        <w:t xml:space="preserve">ecológica </w:t>
      </w:r>
      <w:r w:rsidR="00077E48" w:rsidRPr="00BD1319">
        <w:rPr>
          <w:rFonts w:cs="Arial"/>
        </w:rPr>
        <w:t xml:space="preserve">informan </w:t>
      </w:r>
      <w:r w:rsidR="00987F8D" w:rsidRPr="00BD1319">
        <w:rPr>
          <w:rFonts w:cs="Arial"/>
        </w:rPr>
        <w:t xml:space="preserve">y permiten </w:t>
      </w:r>
      <w:r w:rsidR="00046B3E" w:rsidRPr="00BD1319">
        <w:rPr>
          <w:rFonts w:cs="Arial"/>
        </w:rPr>
        <w:t xml:space="preserve">determinar </w:t>
      </w:r>
      <w:r w:rsidR="00987F8D" w:rsidRPr="00BD1319">
        <w:rPr>
          <w:rFonts w:cs="Arial"/>
        </w:rPr>
        <w:t xml:space="preserve">espacialmente </w:t>
      </w:r>
      <w:r w:rsidR="00077E48" w:rsidRPr="00BD1319">
        <w:rPr>
          <w:rFonts w:cs="Arial"/>
        </w:rPr>
        <w:t xml:space="preserve">diferentes cualidades de las áreas o </w:t>
      </w:r>
      <w:r w:rsidR="00077E48" w:rsidRPr="00BD1319">
        <w:rPr>
          <w:rFonts w:cs="Arial"/>
          <w:spacing w:val="-3"/>
        </w:rPr>
        <w:t xml:space="preserve">parches de importancia para </w:t>
      </w:r>
      <w:r w:rsidR="004A19AD" w:rsidRPr="00BD1319">
        <w:rPr>
          <w:rFonts w:cs="Arial"/>
          <w:spacing w:val="-3"/>
        </w:rPr>
        <w:t>la</w:t>
      </w:r>
      <w:r w:rsidR="00987F8D" w:rsidRPr="00BD1319">
        <w:rPr>
          <w:rFonts w:cs="Arial"/>
          <w:spacing w:val="-3"/>
        </w:rPr>
        <w:t xml:space="preserve"> </w:t>
      </w:r>
      <w:r w:rsidR="00077E48" w:rsidRPr="00BD1319">
        <w:rPr>
          <w:rFonts w:cs="Arial"/>
          <w:spacing w:val="-3"/>
        </w:rPr>
        <w:t xml:space="preserve">conectividad, </w:t>
      </w:r>
      <w:r w:rsidR="004A19AD" w:rsidRPr="00BD1319">
        <w:rPr>
          <w:rFonts w:cs="Arial"/>
          <w:spacing w:val="-3"/>
        </w:rPr>
        <w:t xml:space="preserve">como </w:t>
      </w:r>
      <w:r w:rsidR="00077E48" w:rsidRPr="00BD1319">
        <w:rPr>
          <w:rFonts w:cs="Arial"/>
          <w:spacing w:val="-3"/>
        </w:rPr>
        <w:t>por ejemplo, si configuran un hábitat, si son receptores de fauna, o si constituyen áreas fuente o puntos de paso</w:t>
      </w:r>
      <w:r w:rsidR="004A19AD" w:rsidRPr="00BD1319">
        <w:rPr>
          <w:rFonts w:cs="Arial"/>
          <w:spacing w:val="-3"/>
        </w:rPr>
        <w:t xml:space="preserve">, y que tal </w:t>
      </w:r>
      <w:r w:rsidR="009F33EC" w:rsidRPr="00BD1319">
        <w:rPr>
          <w:rFonts w:cs="Arial"/>
        </w:rPr>
        <w:t>i</w:t>
      </w:r>
      <w:r w:rsidR="004A19AD" w:rsidRPr="00BD1319">
        <w:rPr>
          <w:rFonts w:cs="Arial"/>
        </w:rPr>
        <w:t xml:space="preserve">nformación </w:t>
      </w:r>
      <w:r w:rsidR="004A19AD" w:rsidRPr="00BD1319">
        <w:rPr>
          <w:rStyle w:val="Refdecomentario"/>
          <w:bCs/>
          <w:sz w:val="24"/>
          <w:szCs w:val="24"/>
        </w:rPr>
        <w:t xml:space="preserve">puede complementarse </w:t>
      </w:r>
      <w:r w:rsidR="004A19AD" w:rsidRPr="00BD1319">
        <w:rPr>
          <w:rFonts w:cs="Arial"/>
        </w:rPr>
        <w:t xml:space="preserve">con datos </w:t>
      </w:r>
      <w:r w:rsidR="00077E48" w:rsidRPr="00BD1319">
        <w:rPr>
          <w:rFonts w:cs="Arial"/>
        </w:rPr>
        <w:t xml:space="preserve">sobre el desplazamiento de la fauna silvestre y </w:t>
      </w:r>
      <w:r w:rsidR="004A19AD" w:rsidRPr="00BD1319">
        <w:rPr>
          <w:rFonts w:cs="Arial"/>
        </w:rPr>
        <w:t xml:space="preserve">la </w:t>
      </w:r>
      <w:r w:rsidR="00077E48" w:rsidRPr="00BD1319">
        <w:rPr>
          <w:rFonts w:cs="Arial"/>
        </w:rPr>
        <w:t>resistencia de las superficies</w:t>
      </w:r>
      <w:r w:rsidR="004A19AD" w:rsidRPr="00BD1319">
        <w:rPr>
          <w:rFonts w:cs="Arial"/>
        </w:rPr>
        <w:t>,</w:t>
      </w:r>
      <w:r w:rsidR="00077E48" w:rsidRPr="00BD1319">
        <w:rPr>
          <w:rFonts w:cs="Arial"/>
        </w:rPr>
        <w:t xml:space="preserve"> </w:t>
      </w:r>
      <w:r w:rsidR="004A19AD" w:rsidRPr="00BD1319">
        <w:rPr>
          <w:rFonts w:cs="Arial"/>
        </w:rPr>
        <w:t xml:space="preserve">a fin de </w:t>
      </w:r>
      <w:r w:rsidR="00046B3E" w:rsidRPr="00BD1319">
        <w:rPr>
          <w:rFonts w:cs="Arial"/>
        </w:rPr>
        <w:t xml:space="preserve">determinar </w:t>
      </w:r>
      <w:r w:rsidR="00C07B4E" w:rsidRPr="00BD1319">
        <w:rPr>
          <w:rFonts w:cs="Arial"/>
        </w:rPr>
        <w:t xml:space="preserve">zonas </w:t>
      </w:r>
      <w:r w:rsidR="00077E48" w:rsidRPr="00BD1319">
        <w:rPr>
          <w:rFonts w:cs="Arial"/>
        </w:rPr>
        <w:t>“embudos”</w:t>
      </w:r>
      <w:r w:rsidR="00C07B4E" w:rsidRPr="00BD1319">
        <w:rPr>
          <w:rFonts w:cs="Arial"/>
        </w:rPr>
        <w:t xml:space="preserve"> (zonas donde la movilidad se restringe por elementos </w:t>
      </w:r>
      <w:r w:rsidR="003E160E" w:rsidRPr="00BD1319">
        <w:rPr>
          <w:rFonts w:cs="Arial"/>
        </w:rPr>
        <w:t>d</w:t>
      </w:r>
      <w:r w:rsidR="00C07B4E" w:rsidRPr="00BD1319">
        <w:rPr>
          <w:rFonts w:cs="Arial"/>
        </w:rPr>
        <w:t>el paisaje)</w:t>
      </w:r>
      <w:r w:rsidR="00077E48" w:rsidRPr="00BD1319">
        <w:rPr>
          <w:rFonts w:cs="Arial"/>
        </w:rPr>
        <w:t xml:space="preserve"> </w:t>
      </w:r>
      <w:r w:rsidR="004A19AD" w:rsidRPr="00BD1319">
        <w:rPr>
          <w:rFonts w:cs="Arial"/>
        </w:rPr>
        <w:t xml:space="preserve">que </w:t>
      </w:r>
      <w:r w:rsidR="00077E48" w:rsidRPr="00BD1319">
        <w:rPr>
          <w:rFonts w:cs="Arial"/>
        </w:rPr>
        <w:t>eviden</w:t>
      </w:r>
      <w:r w:rsidR="004A19AD" w:rsidRPr="00BD1319">
        <w:rPr>
          <w:rFonts w:cs="Arial"/>
        </w:rPr>
        <w:t xml:space="preserve">cien </w:t>
      </w:r>
      <w:r w:rsidR="00077E48" w:rsidRPr="00BD1319">
        <w:rPr>
          <w:rFonts w:cs="Arial"/>
        </w:rPr>
        <w:t xml:space="preserve">las dinámicas de </w:t>
      </w:r>
      <w:r w:rsidR="00C07B4E" w:rsidRPr="00BD1319">
        <w:rPr>
          <w:rFonts w:cs="Arial"/>
        </w:rPr>
        <w:t xml:space="preserve">la </w:t>
      </w:r>
      <w:r w:rsidR="00077E48" w:rsidRPr="00BD1319">
        <w:rPr>
          <w:rFonts w:cs="Arial"/>
        </w:rPr>
        <w:t>fauna</w:t>
      </w:r>
      <w:r w:rsidR="004A19AD" w:rsidRPr="00BD1319">
        <w:rPr>
          <w:rFonts w:cs="Arial"/>
        </w:rPr>
        <w:t xml:space="preserve">, </w:t>
      </w:r>
      <w:r w:rsidR="00077E48" w:rsidRPr="00BD1319">
        <w:rPr>
          <w:rFonts w:cs="Arial"/>
        </w:rPr>
        <w:t>los lugares que pueden representar barreras para su desplazamiento</w:t>
      </w:r>
      <w:r w:rsidR="00C07B4E" w:rsidRPr="00BD1319">
        <w:rPr>
          <w:rFonts w:cs="Arial"/>
        </w:rPr>
        <w:t xml:space="preserve"> </w:t>
      </w:r>
      <w:r w:rsidR="004A19AD" w:rsidRPr="00BD1319">
        <w:rPr>
          <w:rFonts w:cs="Arial"/>
        </w:rPr>
        <w:t xml:space="preserve">y </w:t>
      </w:r>
      <w:r w:rsidR="00987F8D" w:rsidRPr="00BD1319">
        <w:rPr>
          <w:rFonts w:cs="Arial"/>
        </w:rPr>
        <w:t>los</w:t>
      </w:r>
      <w:r w:rsidR="00077E48" w:rsidRPr="00BD1319">
        <w:rPr>
          <w:rFonts w:cs="Arial"/>
        </w:rPr>
        <w:t xml:space="preserve"> corredores con mayor potencial de conectividad ecológica (ver </w:t>
      </w:r>
      <w:r w:rsidR="00077E48" w:rsidRPr="00BD1319">
        <w:rPr>
          <w:rFonts w:cs="Arial"/>
        </w:rPr>
        <w:fldChar w:fldCharType="begin"/>
      </w:r>
      <w:r w:rsidR="00077E48" w:rsidRPr="00BD1319">
        <w:rPr>
          <w:rFonts w:cs="Arial"/>
        </w:rPr>
        <w:instrText xml:space="preserve"> REF _Ref79077628 \h </w:instrText>
      </w:r>
      <w:r w:rsidR="006A4128" w:rsidRPr="00BD1319">
        <w:rPr>
          <w:rFonts w:cs="Arial"/>
        </w:rPr>
        <w:instrText xml:space="preserve"> \* MERGEFORMAT </w:instrText>
      </w:r>
      <w:r w:rsidR="00077E48" w:rsidRPr="00BD1319">
        <w:rPr>
          <w:rFonts w:cs="Arial"/>
        </w:rPr>
      </w:r>
      <w:r w:rsidR="00077E48" w:rsidRPr="00BD1319">
        <w:rPr>
          <w:rFonts w:cs="Arial"/>
        </w:rPr>
        <w:fldChar w:fldCharType="separate"/>
      </w:r>
      <w:r w:rsidR="00296654" w:rsidRPr="00BD1319">
        <w:t>Figura 12</w:t>
      </w:r>
      <w:r w:rsidR="00077E48" w:rsidRPr="00BD1319">
        <w:rPr>
          <w:rFonts w:cs="Arial"/>
        </w:rPr>
        <w:fldChar w:fldCharType="end"/>
      </w:r>
      <w:r w:rsidR="00077E48" w:rsidRPr="00BD1319">
        <w:rPr>
          <w:rFonts w:cs="Arial"/>
        </w:rPr>
        <w:t>).</w:t>
      </w:r>
    </w:p>
    <w:p w14:paraId="580D3E69" w14:textId="309F45E0" w:rsidR="00077E48" w:rsidRPr="00BD1319" w:rsidRDefault="00077E48" w:rsidP="00077E48">
      <w:pPr>
        <w:overflowPunct/>
        <w:autoSpaceDE/>
        <w:autoSpaceDN/>
        <w:adjustRightInd/>
        <w:textAlignment w:val="auto"/>
        <w:rPr>
          <w:rFonts w:cs="Arial"/>
        </w:rPr>
      </w:pPr>
    </w:p>
    <w:p w14:paraId="1C596116" w14:textId="4E352D37" w:rsidR="007D2B8F" w:rsidRPr="00BD1319" w:rsidRDefault="007D2B8F" w:rsidP="007D2B8F">
      <w:pPr>
        <w:pStyle w:val="Descripcin"/>
        <w:jc w:val="center"/>
      </w:pPr>
      <w:bookmarkStart w:id="2547" w:name="_Ref81911149"/>
      <w:bookmarkStart w:id="2548" w:name="_Ref79077628"/>
      <w:r w:rsidRPr="00BD1319">
        <w:lastRenderedPageBreak/>
        <w:t xml:space="preserve">Figura </w:t>
      </w:r>
      <w:fldSimple w:instr=" SEQ Figura \* ARABIC ">
        <w:r w:rsidR="00296654" w:rsidRPr="00BD1319">
          <w:rPr>
            <w:noProof/>
          </w:rPr>
          <w:t>12</w:t>
        </w:r>
      </w:fldSimple>
      <w:bookmarkEnd w:id="2547"/>
      <w:bookmarkEnd w:id="2548"/>
      <w:r w:rsidRPr="00BD1319">
        <w:t xml:space="preserve">. </w:t>
      </w:r>
      <w:r w:rsidRPr="00BD1319">
        <w:rPr>
          <w:b w:val="0"/>
          <w:bCs w:val="0"/>
        </w:rPr>
        <w:t>Áreas de importancia para la conectividad funcional potencial</w:t>
      </w:r>
    </w:p>
    <w:p w14:paraId="2BEE4FA7" w14:textId="4352D228" w:rsidR="007D2B8F" w:rsidRPr="00BD1319" w:rsidRDefault="007D2B8F" w:rsidP="007D2B8F">
      <w:pPr>
        <w:jc w:val="center"/>
        <w:rPr>
          <w:rFonts w:cs="Arial"/>
        </w:rPr>
      </w:pPr>
      <w:r w:rsidRPr="00BD1319">
        <w:rPr>
          <w:rFonts w:cs="Arial"/>
          <w:noProof/>
          <w:lang w:eastAsia="es-CO"/>
        </w:rPr>
        <w:drawing>
          <wp:inline distT="0" distB="0" distL="0" distR="0" wp14:anchorId="72788319" wp14:editId="23E56747">
            <wp:extent cx="4758266" cy="3108436"/>
            <wp:effectExtent l="0" t="0" r="4445" b="0"/>
            <wp:docPr id="568110922" name="Imagen 568110922"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110922" name="Imagen 568110922" descr="Diagrama&#10;&#10;Descripción generada automáticamente"/>
                    <pic:cNvPicPr>
                      <a:picLocks noChangeAspect="1" noChangeArrowheads="1"/>
                    </pic:cNvPicPr>
                  </pic:nvPicPr>
                  <pic:blipFill rotWithShape="1">
                    <a:blip r:embed="rId55">
                      <a:extLst>
                        <a:ext uri="{28A0092B-C50C-407E-A947-70E740481C1C}">
                          <a14:useLocalDpi xmlns:a14="http://schemas.microsoft.com/office/drawing/2010/main" val="0"/>
                        </a:ext>
                      </a:extLst>
                    </a:blip>
                    <a:srcRect l="3426" t="6958" r="16418"/>
                    <a:stretch/>
                  </pic:blipFill>
                  <pic:spPr bwMode="auto">
                    <a:xfrm>
                      <a:off x="0" y="0"/>
                      <a:ext cx="4794343" cy="3132004"/>
                    </a:xfrm>
                    <a:prstGeom prst="rect">
                      <a:avLst/>
                    </a:prstGeom>
                    <a:noFill/>
                    <a:ln>
                      <a:noFill/>
                    </a:ln>
                    <a:extLst>
                      <a:ext uri="{53640926-AAD7-44D8-BBD7-CCE9431645EC}">
                        <a14:shadowObscured xmlns:a14="http://schemas.microsoft.com/office/drawing/2010/main"/>
                      </a:ext>
                    </a:extLst>
                  </pic:spPr>
                </pic:pic>
              </a:graphicData>
            </a:graphic>
          </wp:inline>
        </w:drawing>
      </w:r>
    </w:p>
    <w:p w14:paraId="70727828" w14:textId="77777777" w:rsidR="007D2B8F" w:rsidRPr="00BD1319" w:rsidRDefault="007D2B8F" w:rsidP="007D2B8F">
      <w:pPr>
        <w:pStyle w:val="Prrafodelista"/>
        <w:jc w:val="center"/>
        <w:rPr>
          <w:rFonts w:cs="Arial"/>
          <w:sz w:val="28"/>
          <w:szCs w:val="28"/>
          <w:lang w:val="es-CO"/>
        </w:rPr>
      </w:pPr>
      <w:r w:rsidRPr="00BD1319">
        <w:rPr>
          <w:rFonts w:cs="Arial"/>
          <w:b/>
          <w:spacing w:val="-3"/>
          <w:sz w:val="20"/>
          <w:szCs w:val="28"/>
          <w:lang w:val="es-CO"/>
        </w:rPr>
        <w:t>Fuente:</w:t>
      </w:r>
      <w:r w:rsidRPr="00BD1319">
        <w:rPr>
          <w:rFonts w:cs="Arial"/>
          <w:spacing w:val="-3"/>
          <w:sz w:val="20"/>
          <w:szCs w:val="28"/>
          <w:lang w:val="es-CO"/>
        </w:rPr>
        <w:t xml:space="preserve"> ANLA. </w:t>
      </w:r>
      <w:r w:rsidRPr="00BD1319">
        <w:rPr>
          <w:rFonts w:cs="Arial"/>
          <w:spacing w:val="-3"/>
          <w:sz w:val="20"/>
          <w:lang w:val="es-CO"/>
        </w:rPr>
        <w:t>Subdirección de Instrumentos, Permisos y Trámites Ambientales</w:t>
      </w:r>
      <w:r w:rsidRPr="00BD1319">
        <w:rPr>
          <w:rFonts w:cs="Arial"/>
          <w:spacing w:val="-3"/>
          <w:sz w:val="20"/>
          <w:szCs w:val="28"/>
          <w:lang w:val="es-CO"/>
        </w:rPr>
        <w:t xml:space="preserve"> – 2020.</w:t>
      </w:r>
    </w:p>
    <w:p w14:paraId="69487911" w14:textId="77777777" w:rsidR="007D2B8F" w:rsidRPr="00BD1319" w:rsidRDefault="007D2B8F" w:rsidP="00077E48">
      <w:pPr>
        <w:overflowPunct/>
        <w:autoSpaceDE/>
        <w:autoSpaceDN/>
        <w:adjustRightInd/>
        <w:textAlignment w:val="auto"/>
        <w:rPr>
          <w:rFonts w:cs="Arial"/>
        </w:rPr>
      </w:pPr>
    </w:p>
    <w:p w14:paraId="232AAC6D" w14:textId="15EA1BAF" w:rsidR="008A5763" w:rsidRPr="00BD1319" w:rsidRDefault="008A5763" w:rsidP="008A5763">
      <w:pPr>
        <w:rPr>
          <w:rFonts w:cs="Arial"/>
        </w:rPr>
      </w:pPr>
      <w:r w:rsidRPr="00BD1319">
        <w:rPr>
          <w:rFonts w:cs="Arial"/>
        </w:rPr>
        <w:t xml:space="preserve">Asimismo, es necesario prever de qué manera las actividades e infraestructuras del proyecto, obra o actividad, de acuerdo con la forma en que se ejecutan y emplazan en el paisaje, alteran </w:t>
      </w:r>
      <w:r w:rsidR="009F33EC" w:rsidRPr="00BD1319">
        <w:rPr>
          <w:rFonts w:cs="Arial"/>
        </w:rPr>
        <w:t xml:space="preserve">de forma directa o indirecta </w:t>
      </w:r>
      <w:r w:rsidRPr="00BD1319">
        <w:rPr>
          <w:rFonts w:cs="Arial"/>
        </w:rPr>
        <w:t>las áreas de importancia para la conectividad ecológica, así como estimar si tales alteraciones constituyen un impacto ambiental significativo según como modifican la resistividad general del paisaje e impiden el tránsito y desarrollo normal de los procesos ecológicos de la fauna y flora silvestres.</w:t>
      </w:r>
    </w:p>
    <w:p w14:paraId="15BF2B00" w14:textId="77777777" w:rsidR="009F33EC" w:rsidRPr="00BD1319" w:rsidRDefault="009F33EC" w:rsidP="00077E48">
      <w:pPr>
        <w:overflowPunct/>
        <w:autoSpaceDE/>
        <w:autoSpaceDN/>
        <w:adjustRightInd/>
        <w:textAlignment w:val="auto"/>
        <w:rPr>
          <w:rFonts w:cs="Arial"/>
        </w:rPr>
      </w:pPr>
    </w:p>
    <w:p w14:paraId="1B0FF9EF" w14:textId="49CA4792" w:rsidR="008A5763" w:rsidRPr="00BD1319" w:rsidRDefault="008A5763" w:rsidP="008A5763">
      <w:pPr>
        <w:rPr>
          <w:rFonts w:cs="Arial"/>
        </w:rPr>
      </w:pPr>
      <w:r w:rsidRPr="00BD1319">
        <w:rPr>
          <w:rFonts w:cs="Arial"/>
        </w:rPr>
        <w:t xml:space="preserve">Si se identifica un área de importancia para la conectividad impactada de forma significativa, ésta debe ser incorporada totalmente al área de influencia, aun cuando </w:t>
      </w:r>
      <w:r w:rsidR="007C0582" w:rsidRPr="00BD1319">
        <w:rPr>
          <w:rFonts w:cs="Arial"/>
        </w:rPr>
        <w:t xml:space="preserve">en análisis preliminares basados en </w:t>
      </w:r>
      <w:r w:rsidRPr="00BD1319">
        <w:rPr>
          <w:rFonts w:cs="Arial"/>
        </w:rPr>
        <w:t xml:space="preserve">la afectación de coberturas o ecosistemas y </w:t>
      </w:r>
      <w:r w:rsidR="007C0582" w:rsidRPr="00BD1319">
        <w:rPr>
          <w:rFonts w:cs="Arial"/>
        </w:rPr>
        <w:t xml:space="preserve">en </w:t>
      </w:r>
      <w:r w:rsidRPr="00BD1319">
        <w:rPr>
          <w:rFonts w:cs="Arial"/>
        </w:rPr>
        <w:t>la verificación de barreras a los impactos</w:t>
      </w:r>
      <w:r w:rsidR="007C0582" w:rsidRPr="00BD1319">
        <w:rPr>
          <w:rFonts w:cs="Arial"/>
        </w:rPr>
        <w:t xml:space="preserve"> se haya reconocido un área diferente</w:t>
      </w:r>
      <w:r w:rsidRPr="00BD1319">
        <w:rPr>
          <w:rFonts w:cs="Arial"/>
        </w:rPr>
        <w:t>.</w:t>
      </w:r>
    </w:p>
    <w:p w14:paraId="63F208F9" w14:textId="77777777" w:rsidR="00A714C2" w:rsidRPr="00BD1319" w:rsidRDefault="00A714C2" w:rsidP="00077E48">
      <w:pPr>
        <w:rPr>
          <w:rFonts w:cs="Arial"/>
        </w:rPr>
      </w:pPr>
    </w:p>
    <w:p w14:paraId="089BCE78" w14:textId="7AA627C4" w:rsidR="007D2B8F" w:rsidRPr="00BD1319" w:rsidRDefault="007D2B8F" w:rsidP="007D2B8F">
      <w:pPr>
        <w:rPr>
          <w:rFonts w:cs="Arial"/>
          <w:spacing w:val="-3"/>
        </w:rPr>
      </w:pPr>
      <w:r w:rsidRPr="00BD1319">
        <w:rPr>
          <w:rFonts w:cs="Arial"/>
          <w:spacing w:val="-3"/>
        </w:rPr>
        <w:t xml:space="preserve">En textos especializados se pueden encontrar herramientas adicionales para la </w:t>
      </w:r>
      <w:r w:rsidR="00A51056" w:rsidRPr="00BD1319">
        <w:rPr>
          <w:rFonts w:cs="Arial"/>
          <w:spacing w:val="-3"/>
        </w:rPr>
        <w:t xml:space="preserve">determinación </w:t>
      </w:r>
      <w:r w:rsidRPr="00BD1319">
        <w:rPr>
          <w:rFonts w:cs="Arial"/>
          <w:spacing w:val="-3"/>
        </w:rPr>
        <w:t>y evaluación de impactos, tales como los modelos espaciales que estudian los efectos de borde sobre anfibios y reptiles</w:t>
      </w:r>
      <w:r w:rsidRPr="00BD1319">
        <w:rPr>
          <w:rStyle w:val="Refdenotaalpie"/>
          <w:rFonts w:cs="Arial"/>
          <w:spacing w:val="-3"/>
          <w:lang w:val="es-CO"/>
        </w:rPr>
        <w:footnoteReference w:id="88"/>
      </w:r>
      <w:r w:rsidRPr="00BD1319">
        <w:rPr>
          <w:rFonts w:cs="Arial"/>
          <w:spacing w:val="-3"/>
        </w:rPr>
        <w:t>, los efectos de la fragmentación sobre aves</w:t>
      </w:r>
      <w:r w:rsidRPr="00BD1319">
        <w:rPr>
          <w:rStyle w:val="Refdenotaalpie"/>
          <w:rFonts w:cs="Arial"/>
          <w:spacing w:val="-3"/>
          <w:lang w:val="es-CO"/>
        </w:rPr>
        <w:footnoteReference w:id="89"/>
      </w:r>
      <w:r w:rsidRPr="00BD1319">
        <w:rPr>
          <w:rFonts w:cs="Arial"/>
          <w:spacing w:val="-3"/>
        </w:rPr>
        <w:t>, los efectos de la luz sobre la fauna silvestre</w:t>
      </w:r>
      <w:r w:rsidRPr="00BD1319">
        <w:rPr>
          <w:rStyle w:val="Refdenotaalpie"/>
          <w:rFonts w:cs="Arial"/>
          <w:spacing w:val="-3"/>
          <w:lang w:val="es-CO"/>
        </w:rPr>
        <w:footnoteReference w:id="90"/>
      </w:r>
      <w:r w:rsidRPr="00BD1319">
        <w:rPr>
          <w:rFonts w:cs="Arial"/>
          <w:spacing w:val="-3"/>
        </w:rPr>
        <w:t>, entre otros.</w:t>
      </w:r>
    </w:p>
    <w:p w14:paraId="279FAB5F" w14:textId="77777777" w:rsidR="007D2B8F" w:rsidRPr="00BD1319" w:rsidRDefault="007D2B8F" w:rsidP="007D2B8F">
      <w:pPr>
        <w:overflowPunct/>
        <w:autoSpaceDE/>
        <w:autoSpaceDN/>
        <w:adjustRightInd/>
        <w:textAlignment w:val="auto"/>
        <w:rPr>
          <w:rFonts w:cs="Arial"/>
        </w:rPr>
      </w:pPr>
    </w:p>
    <w:p w14:paraId="7E99B3C9" w14:textId="492E67CF" w:rsidR="007D2B8F" w:rsidRPr="00BD1319" w:rsidRDefault="007D2B8F" w:rsidP="007D2B8F">
      <w:pPr>
        <w:rPr>
          <w:rFonts w:cs="Arial"/>
        </w:rPr>
      </w:pPr>
      <w:r w:rsidRPr="00BD1319">
        <w:rPr>
          <w:rFonts w:cs="Arial"/>
        </w:rPr>
        <w:t xml:space="preserve">En las figuras </w:t>
      </w:r>
      <w:r w:rsidRPr="00BD1319">
        <w:rPr>
          <w:rFonts w:cs="Arial"/>
        </w:rPr>
        <w:fldChar w:fldCharType="begin"/>
      </w:r>
      <w:r w:rsidRPr="00BD1319">
        <w:rPr>
          <w:rFonts w:cs="Arial"/>
        </w:rPr>
        <w:instrText xml:space="preserve"> REF _Ref81911152 \h </w:instrText>
      </w:r>
      <w:r w:rsidR="00BD1319">
        <w:rPr>
          <w:rFonts w:cs="Arial"/>
        </w:rPr>
        <w:instrText xml:space="preserve"> \* MERGEFORMAT </w:instrText>
      </w:r>
      <w:r w:rsidRPr="00BD1319">
        <w:rPr>
          <w:rFonts w:cs="Arial"/>
        </w:rPr>
      </w:r>
      <w:r w:rsidRPr="00BD1319">
        <w:rPr>
          <w:rFonts w:cs="Arial"/>
        </w:rPr>
        <w:fldChar w:fldCharType="separate"/>
      </w:r>
      <w:r w:rsidR="00296654" w:rsidRPr="00BD1319">
        <w:t xml:space="preserve">Figura </w:t>
      </w:r>
      <w:r w:rsidR="00296654" w:rsidRPr="00BD1319">
        <w:rPr>
          <w:noProof/>
        </w:rPr>
        <w:t>13</w:t>
      </w:r>
      <w:r w:rsidRPr="00BD1319">
        <w:rPr>
          <w:rFonts w:cs="Arial"/>
        </w:rPr>
        <w:fldChar w:fldCharType="end"/>
      </w:r>
      <w:r w:rsidRPr="00BD1319">
        <w:rPr>
          <w:rFonts w:cs="Arial"/>
        </w:rPr>
        <w:t xml:space="preserve"> y </w:t>
      </w:r>
      <w:r w:rsidRPr="00BD1319">
        <w:rPr>
          <w:rFonts w:cs="Arial"/>
        </w:rPr>
        <w:fldChar w:fldCharType="begin"/>
      </w:r>
      <w:r w:rsidRPr="00BD1319">
        <w:rPr>
          <w:rFonts w:cs="Arial"/>
        </w:rPr>
        <w:instrText xml:space="preserve"> REF _Ref81911307 \h </w:instrText>
      </w:r>
      <w:r w:rsidR="00BD1319">
        <w:rPr>
          <w:rFonts w:cs="Arial"/>
        </w:rPr>
        <w:instrText xml:space="preserve"> \* MERGEFORMAT </w:instrText>
      </w:r>
      <w:r w:rsidRPr="00BD1319">
        <w:rPr>
          <w:rFonts w:cs="Arial"/>
        </w:rPr>
      </w:r>
      <w:r w:rsidRPr="00BD1319">
        <w:rPr>
          <w:rFonts w:cs="Arial"/>
        </w:rPr>
        <w:fldChar w:fldCharType="separate"/>
      </w:r>
      <w:r w:rsidR="00296654" w:rsidRPr="00BD1319">
        <w:t xml:space="preserve">Figura </w:t>
      </w:r>
      <w:r w:rsidR="00296654" w:rsidRPr="00BD1319">
        <w:rPr>
          <w:noProof/>
        </w:rPr>
        <w:t>14</w:t>
      </w:r>
      <w:r w:rsidRPr="00BD1319">
        <w:rPr>
          <w:rFonts w:cs="Arial"/>
        </w:rPr>
        <w:fldChar w:fldCharType="end"/>
      </w:r>
      <w:r w:rsidRPr="00BD1319">
        <w:rPr>
          <w:rFonts w:cs="Arial"/>
        </w:rPr>
        <w:t xml:space="preserve">, es posible evidenciar cómo la </w:t>
      </w:r>
      <w:r w:rsidR="0040253F" w:rsidRPr="00BD1319">
        <w:rPr>
          <w:rFonts w:cs="Arial"/>
        </w:rPr>
        <w:t xml:space="preserve">determinación </w:t>
      </w:r>
      <w:r w:rsidRPr="00BD1319">
        <w:rPr>
          <w:rFonts w:cs="Arial"/>
        </w:rPr>
        <w:t>de áreas de importancia para la conectividad ecológica permite delimitar un área de influencia de forma más consistente con los procesos funcionales de los ecosistemas (abordados de forma aproximada), donde de no haber contemplado el criterio de conectividad ecológica potencial, una zona importante para la conectividad ecológica</w:t>
      </w:r>
      <w:r w:rsidR="007C0582" w:rsidRPr="00BD1319">
        <w:rPr>
          <w:rFonts w:cs="Arial"/>
        </w:rPr>
        <w:t xml:space="preserve"> habría quedado fuera del área de influencia</w:t>
      </w:r>
      <w:r w:rsidRPr="00BD1319">
        <w:rPr>
          <w:rFonts w:cs="Arial"/>
        </w:rPr>
        <w:t>.</w:t>
      </w:r>
    </w:p>
    <w:p w14:paraId="040AA66F" w14:textId="5881A8B5" w:rsidR="009235A2" w:rsidRPr="00BD1319" w:rsidRDefault="009235A2">
      <w:pPr>
        <w:overflowPunct/>
        <w:autoSpaceDE/>
        <w:autoSpaceDN/>
        <w:adjustRightInd/>
        <w:jc w:val="left"/>
        <w:textAlignment w:val="auto"/>
        <w:rPr>
          <w:rFonts w:cs="Arial"/>
        </w:rPr>
      </w:pPr>
    </w:p>
    <w:p w14:paraId="3A6BD77F" w14:textId="6250D1F1" w:rsidR="007D2B8F" w:rsidRPr="00BD1319" w:rsidRDefault="007D2B8F" w:rsidP="007D2B8F">
      <w:pPr>
        <w:pStyle w:val="Descripcin"/>
        <w:jc w:val="center"/>
      </w:pPr>
      <w:bookmarkStart w:id="2549" w:name="_Ref81911152"/>
      <w:r w:rsidRPr="00BD1319">
        <w:t xml:space="preserve">Figura </w:t>
      </w:r>
      <w:fldSimple w:instr=" SEQ Figura \* ARABIC ">
        <w:r w:rsidR="00296654" w:rsidRPr="00BD1319">
          <w:rPr>
            <w:noProof/>
          </w:rPr>
          <w:t>13</w:t>
        </w:r>
      </w:fldSimple>
      <w:bookmarkEnd w:id="2549"/>
      <w:r w:rsidRPr="00BD1319">
        <w:t xml:space="preserve">. </w:t>
      </w:r>
      <w:r w:rsidRPr="00BD1319">
        <w:rPr>
          <w:b w:val="0"/>
          <w:bCs w:val="0"/>
        </w:rPr>
        <w:t>Área de influencia preliminar y fragmentos de importancia para la conectividad ecológica potencial</w:t>
      </w:r>
    </w:p>
    <w:p w14:paraId="5636EC44" w14:textId="46689759" w:rsidR="007D2B8F" w:rsidRPr="00BD1319" w:rsidRDefault="007D2B8F" w:rsidP="007D2B8F">
      <w:pPr>
        <w:jc w:val="center"/>
        <w:rPr>
          <w:rFonts w:cs="Arial"/>
        </w:rPr>
      </w:pPr>
      <w:r w:rsidRPr="00BD1319">
        <w:rPr>
          <w:rFonts w:cs="Arial"/>
          <w:noProof/>
          <w:lang w:eastAsia="es-CO"/>
        </w:rPr>
        <w:drawing>
          <wp:inline distT="0" distB="0" distL="0" distR="0" wp14:anchorId="55779F44" wp14:editId="6925D183">
            <wp:extent cx="5321300" cy="2994811"/>
            <wp:effectExtent l="0" t="0" r="0" b="2540"/>
            <wp:docPr id="568110923" name="Imagen 39" descr="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110923" name="Imagen 39" descr="Mapa&#10;&#10;Descripción generada automáticamente"/>
                    <pic:cNvPicPr/>
                  </pic:nvPicPr>
                  <pic:blipFill>
                    <a:blip r:embed="rId56">
                      <a:extLst>
                        <a:ext uri="{28A0092B-C50C-407E-A947-70E740481C1C}">
                          <a14:useLocalDpi xmlns:a14="http://schemas.microsoft.com/office/drawing/2010/main" val="0"/>
                        </a:ext>
                      </a:extLst>
                    </a:blip>
                    <a:stretch>
                      <a:fillRect/>
                    </a:stretch>
                  </pic:blipFill>
                  <pic:spPr>
                    <a:xfrm>
                      <a:off x="0" y="0"/>
                      <a:ext cx="5321300" cy="2994811"/>
                    </a:xfrm>
                    <a:prstGeom prst="rect">
                      <a:avLst/>
                    </a:prstGeom>
                  </pic:spPr>
                </pic:pic>
              </a:graphicData>
            </a:graphic>
          </wp:inline>
        </w:drawing>
      </w:r>
    </w:p>
    <w:p w14:paraId="1412D156" w14:textId="77777777" w:rsidR="007D2B8F" w:rsidRPr="00BD1319" w:rsidRDefault="007D2B8F" w:rsidP="007D2B8F">
      <w:pPr>
        <w:pStyle w:val="Prrafodelista"/>
        <w:jc w:val="center"/>
        <w:rPr>
          <w:rFonts w:cs="Arial"/>
          <w:sz w:val="28"/>
          <w:szCs w:val="28"/>
          <w:lang w:val="es-CO"/>
        </w:rPr>
      </w:pPr>
      <w:r w:rsidRPr="00BD1319">
        <w:rPr>
          <w:rFonts w:cs="Arial"/>
          <w:b/>
          <w:spacing w:val="-3"/>
          <w:sz w:val="20"/>
          <w:szCs w:val="28"/>
          <w:lang w:val="es-CO"/>
        </w:rPr>
        <w:t>Fuente:</w:t>
      </w:r>
      <w:r w:rsidRPr="00BD1319">
        <w:rPr>
          <w:rFonts w:cs="Arial"/>
          <w:spacing w:val="-3"/>
          <w:sz w:val="20"/>
          <w:szCs w:val="28"/>
          <w:lang w:val="es-CO"/>
        </w:rPr>
        <w:t xml:space="preserve"> ANLA. </w:t>
      </w:r>
      <w:r w:rsidRPr="00BD1319">
        <w:rPr>
          <w:rFonts w:cs="Arial"/>
          <w:spacing w:val="-3"/>
          <w:sz w:val="20"/>
          <w:lang w:val="es-CO"/>
        </w:rPr>
        <w:t>Subdirección de Instrumentos, Permisos y Trámites Ambientales</w:t>
      </w:r>
      <w:r w:rsidRPr="00BD1319">
        <w:rPr>
          <w:rFonts w:cs="Arial"/>
          <w:spacing w:val="-3"/>
          <w:sz w:val="20"/>
          <w:szCs w:val="28"/>
          <w:lang w:val="es-CO"/>
        </w:rPr>
        <w:t xml:space="preserve"> – 2020.</w:t>
      </w:r>
    </w:p>
    <w:p w14:paraId="30F5818C" w14:textId="6F5BF877" w:rsidR="00C70AAE" w:rsidRPr="00BD1319" w:rsidRDefault="00C70AAE">
      <w:pPr>
        <w:overflowPunct/>
        <w:autoSpaceDE/>
        <w:autoSpaceDN/>
        <w:adjustRightInd/>
        <w:jc w:val="left"/>
        <w:textAlignment w:val="auto"/>
        <w:rPr>
          <w:rFonts w:cs="Arial"/>
          <w:spacing w:val="-3"/>
        </w:rPr>
      </w:pPr>
      <w:r w:rsidRPr="00BD1319">
        <w:rPr>
          <w:rFonts w:cs="Arial"/>
          <w:spacing w:val="-3"/>
        </w:rPr>
        <w:br w:type="page"/>
      </w:r>
    </w:p>
    <w:p w14:paraId="5C2D9B0A" w14:textId="2D1C7AA4" w:rsidR="00077E48" w:rsidRPr="00BD1319" w:rsidRDefault="00077E48" w:rsidP="00077E48">
      <w:pPr>
        <w:pStyle w:val="Descripcin"/>
        <w:jc w:val="center"/>
        <w:rPr>
          <w:b w:val="0"/>
          <w:bCs w:val="0"/>
        </w:rPr>
      </w:pPr>
      <w:bookmarkStart w:id="2550" w:name="_Ref81911307"/>
      <w:r w:rsidRPr="00BD1319">
        <w:lastRenderedPageBreak/>
        <w:t xml:space="preserve">Figura </w:t>
      </w:r>
      <w:fldSimple w:instr=" SEQ Figura \* ARABIC ">
        <w:r w:rsidR="00296654" w:rsidRPr="00BD1319">
          <w:rPr>
            <w:noProof/>
          </w:rPr>
          <w:t>14</w:t>
        </w:r>
      </w:fldSimple>
      <w:bookmarkEnd w:id="2550"/>
      <w:r w:rsidR="0052738C" w:rsidRPr="00BD1319">
        <w:t>.</w:t>
      </w:r>
      <w:r w:rsidRPr="00BD1319">
        <w:rPr>
          <w:b w:val="0"/>
          <w:bCs w:val="0"/>
        </w:rPr>
        <w:t xml:space="preserve"> Área de influencia resultante de la integración del criterio de conectividad ecológica potencial</w:t>
      </w:r>
    </w:p>
    <w:p w14:paraId="5CA1A792" w14:textId="7E30BB7E" w:rsidR="00077E48" w:rsidRPr="00BD1319" w:rsidRDefault="00077E48" w:rsidP="007D2B8F">
      <w:pPr>
        <w:jc w:val="center"/>
        <w:rPr>
          <w:rFonts w:cs="Arial"/>
        </w:rPr>
      </w:pPr>
      <w:r w:rsidRPr="00BD1319">
        <w:rPr>
          <w:rFonts w:cs="Arial"/>
          <w:noProof/>
          <w:lang w:eastAsia="es-CO"/>
        </w:rPr>
        <w:drawing>
          <wp:inline distT="0" distB="0" distL="0" distR="0" wp14:anchorId="659096EE" wp14:editId="0D0FDFEE">
            <wp:extent cx="4139601" cy="3196271"/>
            <wp:effectExtent l="0" t="0" r="635" b="4445"/>
            <wp:docPr id="568110924"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0"/>
                    <pic:cNvPicPr/>
                  </pic:nvPicPr>
                  <pic:blipFill>
                    <a:blip r:embed="rId57" cstate="print">
                      <a:extLst>
                        <a:ext uri="{28A0092B-C50C-407E-A947-70E740481C1C}">
                          <a14:useLocalDpi xmlns:a14="http://schemas.microsoft.com/office/drawing/2010/main" val="0"/>
                        </a:ext>
                      </a:extLst>
                    </a:blip>
                    <a:stretch>
                      <a:fillRect/>
                    </a:stretch>
                  </pic:blipFill>
                  <pic:spPr>
                    <a:xfrm>
                      <a:off x="0" y="0"/>
                      <a:ext cx="4139601" cy="3196271"/>
                    </a:xfrm>
                    <a:prstGeom prst="rect">
                      <a:avLst/>
                    </a:prstGeom>
                  </pic:spPr>
                </pic:pic>
              </a:graphicData>
            </a:graphic>
          </wp:inline>
        </w:drawing>
      </w:r>
    </w:p>
    <w:p w14:paraId="40A67D2E" w14:textId="7DF8D07D" w:rsidR="00077E48" w:rsidRPr="00BD1319" w:rsidRDefault="00077E48" w:rsidP="00077E48">
      <w:pPr>
        <w:pStyle w:val="Prrafodelista"/>
        <w:jc w:val="center"/>
        <w:rPr>
          <w:rFonts w:cs="Arial"/>
          <w:sz w:val="28"/>
          <w:szCs w:val="28"/>
          <w:lang w:val="es-CO"/>
        </w:rPr>
      </w:pPr>
      <w:r w:rsidRPr="00BD1319">
        <w:rPr>
          <w:rFonts w:cs="Arial"/>
          <w:b/>
          <w:spacing w:val="-3"/>
          <w:sz w:val="20"/>
          <w:szCs w:val="28"/>
          <w:lang w:val="es-CO"/>
        </w:rPr>
        <w:t>Fuente:</w:t>
      </w:r>
      <w:r w:rsidRPr="00BD1319">
        <w:rPr>
          <w:rFonts w:cs="Arial"/>
          <w:spacing w:val="-3"/>
          <w:sz w:val="20"/>
          <w:szCs w:val="28"/>
          <w:lang w:val="es-CO"/>
        </w:rPr>
        <w:t xml:space="preserve"> ANLA</w:t>
      </w:r>
      <w:r w:rsidR="00067514" w:rsidRPr="00BD1319">
        <w:rPr>
          <w:rFonts w:cs="Arial"/>
          <w:spacing w:val="-3"/>
          <w:sz w:val="20"/>
          <w:szCs w:val="28"/>
          <w:lang w:val="es-CO"/>
        </w:rPr>
        <w:t xml:space="preserve">. </w:t>
      </w:r>
      <w:r w:rsidR="00067514" w:rsidRPr="00BD1319">
        <w:rPr>
          <w:rFonts w:cs="Arial"/>
          <w:spacing w:val="-3"/>
          <w:sz w:val="20"/>
          <w:lang w:val="es-CO"/>
        </w:rPr>
        <w:t>Subdirección de Instrumentos, Permisos y Trámites Ambientales</w:t>
      </w:r>
      <w:r w:rsidRPr="00BD1319">
        <w:rPr>
          <w:rFonts w:cs="Arial"/>
          <w:spacing w:val="-3"/>
          <w:sz w:val="20"/>
          <w:szCs w:val="28"/>
          <w:lang w:val="es-CO"/>
        </w:rPr>
        <w:t xml:space="preserve"> – 2020</w:t>
      </w:r>
    </w:p>
    <w:p w14:paraId="340CBE23" w14:textId="77777777" w:rsidR="00B40D21" w:rsidRPr="00BD1319" w:rsidRDefault="00B40D21" w:rsidP="00B40D21">
      <w:pPr>
        <w:rPr>
          <w:rFonts w:cs="Arial"/>
        </w:rPr>
      </w:pPr>
    </w:p>
    <w:p w14:paraId="19815533" w14:textId="2ED7B285" w:rsidR="00B40D21" w:rsidRPr="00BD1319" w:rsidRDefault="00B40D21" w:rsidP="00B40D21">
      <w:pPr>
        <w:rPr>
          <w:rFonts w:cs="Arial"/>
        </w:rPr>
      </w:pPr>
      <w:r w:rsidRPr="00BD1319">
        <w:rPr>
          <w:rFonts w:cs="Arial"/>
        </w:rPr>
        <w:t>Para concluir con los lineamientos para la delimitación del área de influencia del medio biótico a continuación</w:t>
      </w:r>
      <w:r w:rsidR="00F84064" w:rsidRPr="00BD1319">
        <w:rPr>
          <w:rFonts w:cs="Arial"/>
        </w:rPr>
        <w:t>,</w:t>
      </w:r>
      <w:r w:rsidR="006F5326" w:rsidRPr="00BD1319">
        <w:rPr>
          <w:rFonts w:cs="Arial"/>
        </w:rPr>
        <w:t xml:space="preserve"> se señalan</w:t>
      </w:r>
      <w:r w:rsidRPr="00BD1319">
        <w:rPr>
          <w:rFonts w:cs="Arial"/>
        </w:rPr>
        <w:t xml:space="preserve"> algunas consideraciones adicionales que permiten corroborar los resultados del modelo de conectividad ecológica y que ilustran </w:t>
      </w:r>
      <w:r w:rsidR="006F5326" w:rsidRPr="00BD1319">
        <w:rPr>
          <w:rFonts w:cs="Arial"/>
        </w:rPr>
        <w:t>el proceso de</w:t>
      </w:r>
      <w:r w:rsidRPr="00BD1319">
        <w:rPr>
          <w:rFonts w:cs="Arial"/>
        </w:rPr>
        <w:t xml:space="preserve"> delimitación del área de influencia para el componente </w:t>
      </w:r>
      <w:proofErr w:type="spellStart"/>
      <w:r w:rsidRPr="00BD1319">
        <w:rPr>
          <w:rFonts w:cs="Arial"/>
        </w:rPr>
        <w:t>hidrobiota</w:t>
      </w:r>
      <w:proofErr w:type="spellEnd"/>
      <w:r w:rsidRPr="00BD1319">
        <w:rPr>
          <w:rFonts w:cs="Arial"/>
        </w:rPr>
        <w:t>.</w:t>
      </w:r>
    </w:p>
    <w:p w14:paraId="11AE4585" w14:textId="77777777" w:rsidR="00B40D21" w:rsidRPr="00BD1319" w:rsidRDefault="00B40D21" w:rsidP="00B40D21">
      <w:pPr>
        <w:contextualSpacing/>
        <w:rPr>
          <w:rFonts w:cs="Arial"/>
        </w:rPr>
      </w:pPr>
    </w:p>
    <w:p w14:paraId="65ADB770" w14:textId="23E85B9B" w:rsidR="00B40D21" w:rsidRPr="00BD1319" w:rsidRDefault="00B40D21" w:rsidP="00B40D21">
      <w:pPr>
        <w:overflowPunct/>
        <w:autoSpaceDE/>
        <w:autoSpaceDN/>
        <w:adjustRightInd/>
        <w:textAlignment w:val="auto"/>
        <w:rPr>
          <w:rFonts w:cs="Arial"/>
        </w:rPr>
      </w:pPr>
      <w:r w:rsidRPr="00BD1319">
        <w:rPr>
          <w:rFonts w:cs="Arial"/>
        </w:rPr>
        <w:t xml:space="preserve">Por un lado, los sitios de nidificación o alimentación de la fauna pueden ser empleados para delimitar áreas o nodos de alta importancia para la conectividad ecológica de la </w:t>
      </w:r>
      <w:proofErr w:type="spellStart"/>
      <w:r w:rsidRPr="00BD1319">
        <w:rPr>
          <w:rFonts w:cs="Arial"/>
        </w:rPr>
        <w:t>hidrobiota</w:t>
      </w:r>
      <w:proofErr w:type="spellEnd"/>
      <w:r w:rsidRPr="00BD1319">
        <w:rPr>
          <w:rFonts w:cs="Arial"/>
        </w:rPr>
        <w:t xml:space="preserve">, pues es posible que aun cuando estos lugares se encuentren aislados, configuren una </w:t>
      </w:r>
      <w:r w:rsidR="006F5326" w:rsidRPr="00BD1319">
        <w:rPr>
          <w:rFonts w:cs="Arial"/>
        </w:rPr>
        <w:t xml:space="preserve">prolongación </w:t>
      </w:r>
      <w:r w:rsidRPr="00BD1319">
        <w:rPr>
          <w:rFonts w:cs="Arial"/>
        </w:rPr>
        <w:t xml:space="preserve">de las áreas de importancia para la conectividad ecológica potencial </w:t>
      </w:r>
      <w:r w:rsidR="00054945" w:rsidRPr="00BD1319">
        <w:rPr>
          <w:rFonts w:cs="Arial"/>
        </w:rPr>
        <w:t>y,</w:t>
      </w:r>
      <w:r w:rsidRPr="00BD1319">
        <w:rPr>
          <w:rFonts w:cs="Arial"/>
        </w:rPr>
        <w:t xml:space="preserve"> por tanto, deban ser incorporados al área de influencia.</w:t>
      </w:r>
    </w:p>
    <w:p w14:paraId="54631F66" w14:textId="77777777" w:rsidR="00B40D21" w:rsidRPr="00BD1319" w:rsidRDefault="00B40D21" w:rsidP="00B40D21">
      <w:pPr>
        <w:rPr>
          <w:rFonts w:cs="Arial"/>
        </w:rPr>
      </w:pPr>
    </w:p>
    <w:p w14:paraId="79B8727A" w14:textId="240F0122" w:rsidR="00B40D21" w:rsidRPr="00BD1319" w:rsidRDefault="00B40D21" w:rsidP="00B40D21">
      <w:pPr>
        <w:rPr>
          <w:rFonts w:cs="Arial"/>
        </w:rPr>
      </w:pPr>
      <w:r w:rsidRPr="00BD1319">
        <w:rPr>
          <w:rFonts w:cs="Arial"/>
        </w:rPr>
        <w:t xml:space="preserve">De otra parte, y teniendo en cuenta que las características de la </w:t>
      </w:r>
      <w:proofErr w:type="spellStart"/>
      <w:r w:rsidRPr="00BD1319">
        <w:rPr>
          <w:rFonts w:cs="Arial"/>
        </w:rPr>
        <w:t>hidrobiota</w:t>
      </w:r>
      <w:proofErr w:type="spellEnd"/>
      <w:r w:rsidRPr="00BD1319">
        <w:rPr>
          <w:rFonts w:cs="Arial"/>
        </w:rPr>
        <w:t xml:space="preserve"> están ligadas a las condiciones de los ecosistemas acuáticos, la delimitación del área de influencia para este componente se debe realizar con base principalmente en la forma en que las actividades del proyecto, obra o </w:t>
      </w:r>
      <w:r w:rsidR="00054945" w:rsidRPr="00BD1319">
        <w:rPr>
          <w:rFonts w:cs="Arial"/>
        </w:rPr>
        <w:t>actividad</w:t>
      </w:r>
      <w:r w:rsidRPr="00BD1319">
        <w:rPr>
          <w:rFonts w:cs="Arial"/>
        </w:rPr>
        <w:t xml:space="preserve"> modifican el hábitat al generar cambios en las condiciones fisicoquímicas y la oferta hídrica para el desarrollo de las comunidades hidrobiológicas.</w:t>
      </w:r>
    </w:p>
    <w:p w14:paraId="2A920AF3" w14:textId="77777777" w:rsidR="00077E48" w:rsidRPr="00BD1319" w:rsidRDefault="00077E48" w:rsidP="00077E48">
      <w:pPr>
        <w:rPr>
          <w:rFonts w:cs="Arial"/>
        </w:rPr>
      </w:pPr>
    </w:p>
    <w:p w14:paraId="3FBADA21" w14:textId="4519E11C" w:rsidR="00077E48" w:rsidRPr="00BD1319" w:rsidRDefault="00077E48" w:rsidP="00077E48">
      <w:pPr>
        <w:rPr>
          <w:rFonts w:cs="Arial"/>
        </w:rPr>
      </w:pPr>
      <w:r w:rsidRPr="00BD1319">
        <w:rPr>
          <w:rFonts w:cs="Arial"/>
        </w:rPr>
        <w:lastRenderedPageBreak/>
        <w:t xml:space="preserve">Algunos de los parámetros determinantes para la delimitación del área de influencia de este componente corresponden a la alteración de la calidad de hábitat, alteración de calidad de aguas, </w:t>
      </w:r>
      <w:r w:rsidR="002352E1" w:rsidRPr="00BD1319">
        <w:rPr>
          <w:rFonts w:cs="Arial"/>
        </w:rPr>
        <w:t xml:space="preserve">cambio en la </w:t>
      </w:r>
      <w:r w:rsidRPr="00BD1319">
        <w:rPr>
          <w:rFonts w:cs="Arial"/>
        </w:rPr>
        <w:t>dinámica hidrológica de los cuerpos de agua (</w:t>
      </w:r>
      <w:r w:rsidR="00041844" w:rsidRPr="00BD1319">
        <w:rPr>
          <w:rFonts w:cs="Arial"/>
        </w:rPr>
        <w:t>p. ej.</w:t>
      </w:r>
      <w:r w:rsidRPr="00BD1319">
        <w:rPr>
          <w:rFonts w:cs="Arial"/>
        </w:rPr>
        <w:t xml:space="preserve"> variación de caudales o niveles de agua), cambios morfológicos, alteración de la vegetación </w:t>
      </w:r>
      <w:proofErr w:type="spellStart"/>
      <w:r w:rsidRPr="00BD1319">
        <w:rPr>
          <w:rFonts w:cs="Arial"/>
        </w:rPr>
        <w:t>riparia</w:t>
      </w:r>
      <w:proofErr w:type="spellEnd"/>
      <w:r w:rsidRPr="00BD1319">
        <w:rPr>
          <w:rFonts w:cs="Arial"/>
        </w:rPr>
        <w:t>, modificación de la</w:t>
      </w:r>
      <w:r w:rsidR="002352E1" w:rsidRPr="00BD1319">
        <w:rPr>
          <w:rFonts w:cs="Arial"/>
        </w:rPr>
        <w:t>s</w:t>
      </w:r>
      <w:r w:rsidRPr="00BD1319">
        <w:rPr>
          <w:rFonts w:cs="Arial"/>
        </w:rPr>
        <w:t xml:space="preserve"> relaci</w:t>
      </w:r>
      <w:r w:rsidR="002352E1" w:rsidRPr="00BD1319">
        <w:rPr>
          <w:rFonts w:cs="Arial"/>
        </w:rPr>
        <w:t>ones</w:t>
      </w:r>
      <w:r w:rsidRPr="00BD1319">
        <w:rPr>
          <w:rFonts w:cs="Arial"/>
        </w:rPr>
        <w:t xml:space="preserve"> con los ecosistemas aledaños, </w:t>
      </w:r>
      <w:r w:rsidR="002352E1" w:rsidRPr="00BD1319">
        <w:rPr>
          <w:rFonts w:cs="Arial"/>
        </w:rPr>
        <w:t xml:space="preserve">alteración de </w:t>
      </w:r>
      <w:r w:rsidRPr="00BD1319">
        <w:rPr>
          <w:rFonts w:cs="Arial"/>
        </w:rPr>
        <w:t>su distribución y cobertura espacial</w:t>
      </w:r>
      <w:r w:rsidR="002352E1" w:rsidRPr="00BD1319">
        <w:rPr>
          <w:rFonts w:cs="Arial"/>
        </w:rPr>
        <w:t xml:space="preserve">. Estos </w:t>
      </w:r>
      <w:r w:rsidRPr="00BD1319">
        <w:rPr>
          <w:rFonts w:cs="Arial"/>
        </w:rPr>
        <w:t xml:space="preserve">cambios </w:t>
      </w:r>
      <w:r w:rsidR="00DC7CE7" w:rsidRPr="00BD1319">
        <w:rPr>
          <w:rFonts w:cs="Arial"/>
        </w:rPr>
        <w:t xml:space="preserve">se </w:t>
      </w:r>
      <w:r w:rsidRPr="00BD1319">
        <w:rPr>
          <w:rFonts w:cs="Arial"/>
        </w:rPr>
        <w:t>evidencia</w:t>
      </w:r>
      <w:r w:rsidR="00DC7CE7" w:rsidRPr="00BD1319">
        <w:rPr>
          <w:rFonts w:cs="Arial"/>
        </w:rPr>
        <w:t xml:space="preserve">n, por ejemplo, </w:t>
      </w:r>
      <w:r w:rsidRPr="00BD1319">
        <w:rPr>
          <w:rFonts w:cs="Arial"/>
        </w:rPr>
        <w:t xml:space="preserve">mediante indicadores biológicos </w:t>
      </w:r>
      <w:r w:rsidR="002352E1" w:rsidRPr="00BD1319">
        <w:rPr>
          <w:rFonts w:cs="Arial"/>
        </w:rPr>
        <w:t xml:space="preserve">para </w:t>
      </w:r>
      <w:r w:rsidRPr="00BD1319">
        <w:rPr>
          <w:rFonts w:cs="Arial"/>
        </w:rPr>
        <w:t>el ecosistema acuático analizado.</w:t>
      </w:r>
    </w:p>
    <w:p w14:paraId="21760726" w14:textId="77777777" w:rsidR="002E43B7" w:rsidRPr="00BD1319" w:rsidRDefault="002E43B7" w:rsidP="00077E48">
      <w:pPr>
        <w:numPr>
          <w:ilvl w:val="12"/>
          <w:numId w:val="0"/>
        </w:numPr>
        <w:tabs>
          <w:tab w:val="left" w:pos="-2268"/>
        </w:tabs>
        <w:suppressAutoHyphens/>
        <w:rPr>
          <w:rFonts w:cs="Arial"/>
          <w:spacing w:val="-3"/>
          <w:lang w:val="es-ES_tradnl"/>
        </w:rPr>
      </w:pPr>
      <w:bookmarkStart w:id="2551" w:name="_Hlk153184674"/>
    </w:p>
    <w:p w14:paraId="35D731EC" w14:textId="160805F3" w:rsidR="00077E48" w:rsidRPr="00BD1319" w:rsidRDefault="007F45D3" w:rsidP="009420F5">
      <w:pPr>
        <w:pStyle w:val="Ttulo2"/>
        <w:rPr>
          <w:lang w:val="es-CO"/>
        </w:rPr>
      </w:pPr>
      <w:bookmarkStart w:id="2552" w:name="_Toc175326749"/>
      <w:bookmarkEnd w:id="2551"/>
      <w:r w:rsidRPr="00BD1319">
        <w:rPr>
          <w:lang w:val="es-CO"/>
        </w:rPr>
        <w:t xml:space="preserve">LINEAMIENTOS PARA LA DELIMITACIÓN DEL ÁREA DE INFLUENCIA DEL </w:t>
      </w:r>
      <w:r w:rsidR="00077E48" w:rsidRPr="00BD1319">
        <w:rPr>
          <w:lang w:val="es-CO"/>
        </w:rPr>
        <w:t>MEDIO SOCIOECONÓMICO</w:t>
      </w:r>
      <w:bookmarkEnd w:id="2552"/>
    </w:p>
    <w:p w14:paraId="4C6A3BFE" w14:textId="77777777" w:rsidR="00550C76" w:rsidRPr="00BD1319" w:rsidRDefault="00550C76" w:rsidP="00077E48">
      <w:pPr>
        <w:numPr>
          <w:ilvl w:val="12"/>
          <w:numId w:val="0"/>
        </w:numPr>
        <w:tabs>
          <w:tab w:val="left" w:pos="-2268"/>
        </w:tabs>
        <w:suppressAutoHyphens/>
        <w:rPr>
          <w:rFonts w:cs="Arial"/>
          <w:spacing w:val="-3"/>
        </w:rPr>
      </w:pPr>
    </w:p>
    <w:p w14:paraId="58BC8405" w14:textId="4F116442" w:rsidR="00077E48" w:rsidRPr="00BD1319" w:rsidRDefault="00077E48" w:rsidP="00077E48">
      <w:pPr>
        <w:rPr>
          <w:rFonts w:cs="Arial"/>
        </w:rPr>
      </w:pPr>
      <w:r w:rsidRPr="00BD1319">
        <w:rPr>
          <w:rFonts w:cs="Arial"/>
        </w:rPr>
        <w:t>Para la delimitación del área de influencia del medio socioeconómico, es preciso tener en cuenta que la unidad de análisis propia de este medio es la unidad de análisis territorial, y que ésta es aplicable a todos los componentes del medio (demográfico, espacial, económico, cultural</w:t>
      </w:r>
      <w:r w:rsidR="00C70AAE" w:rsidRPr="00BD1319">
        <w:rPr>
          <w:rFonts w:cs="Arial"/>
        </w:rPr>
        <w:t>, arqueológico,</w:t>
      </w:r>
      <w:r w:rsidRPr="00BD1319">
        <w:rPr>
          <w:rFonts w:cs="Arial"/>
        </w:rPr>
        <w:t xml:space="preserve"> político organizativo</w:t>
      </w:r>
      <w:r w:rsidR="00C70AAE" w:rsidRPr="00BD1319">
        <w:rPr>
          <w:rFonts w:cs="Arial"/>
        </w:rPr>
        <w:t>,</w:t>
      </w:r>
      <w:r w:rsidRPr="00BD1319">
        <w:rPr>
          <w:rFonts w:cs="Arial"/>
        </w:rPr>
        <w:t xml:space="preserve"> tendencias de desarrollo</w:t>
      </w:r>
      <w:r w:rsidR="00C70AAE" w:rsidRPr="00BD1319">
        <w:rPr>
          <w:rFonts w:cs="Arial"/>
        </w:rPr>
        <w:t xml:space="preserve"> y conflictividad socioambiental</w:t>
      </w:r>
      <w:r w:rsidRPr="00BD1319">
        <w:rPr>
          <w:rFonts w:cs="Arial"/>
        </w:rPr>
        <w:t xml:space="preserve">), de modo que </w:t>
      </w:r>
      <w:r w:rsidR="009A1F24" w:rsidRPr="00BD1319">
        <w:rPr>
          <w:rFonts w:cs="Arial"/>
        </w:rPr>
        <w:t xml:space="preserve">puede </w:t>
      </w:r>
      <w:r w:rsidRPr="00BD1319">
        <w:rPr>
          <w:rFonts w:cs="Arial"/>
        </w:rPr>
        <w:t>hab</w:t>
      </w:r>
      <w:r w:rsidR="009A1F24" w:rsidRPr="00BD1319">
        <w:rPr>
          <w:rFonts w:cs="Arial"/>
        </w:rPr>
        <w:t>e</w:t>
      </w:r>
      <w:r w:rsidRPr="00BD1319">
        <w:rPr>
          <w:rFonts w:cs="Arial"/>
        </w:rPr>
        <w:t>r coincidencia entre las áreas de influencia de sus componentes.</w:t>
      </w:r>
    </w:p>
    <w:p w14:paraId="53219FA3" w14:textId="77777777" w:rsidR="00077E48" w:rsidRPr="00BD1319" w:rsidRDefault="00077E48" w:rsidP="00077E48">
      <w:pPr>
        <w:rPr>
          <w:rFonts w:cs="Arial"/>
        </w:rPr>
      </w:pPr>
    </w:p>
    <w:p w14:paraId="4BF618AA" w14:textId="2D9B299D" w:rsidR="00077E48" w:rsidRPr="00BD1319" w:rsidRDefault="00077E48" w:rsidP="00077E48">
      <w:pPr>
        <w:rPr>
          <w:rFonts w:cs="Arial"/>
        </w:rPr>
      </w:pPr>
      <w:r w:rsidRPr="00BD1319">
        <w:rPr>
          <w:rFonts w:cs="Arial"/>
        </w:rPr>
        <w:t xml:space="preserve">Las unidades de análisis del medio socioeconómico corresponden entonces, a veredas, sectores de vereda, barrios, corregimientos municipales, resguardos indígenas, territorios colectivos, </w:t>
      </w:r>
      <w:r w:rsidRPr="00BD1319">
        <w:rPr>
          <w:rFonts w:cs="Arial"/>
          <w:color w:val="000000"/>
        </w:rPr>
        <w:t>comunidades, rancherías</w:t>
      </w:r>
      <w:r w:rsidRPr="00BD1319">
        <w:rPr>
          <w:rStyle w:val="Refdenotaalpie"/>
          <w:rFonts w:cs="Arial"/>
          <w:color w:val="000000"/>
          <w:lang w:val="es-CO"/>
        </w:rPr>
        <w:footnoteReference w:id="91"/>
      </w:r>
      <w:r w:rsidRPr="00BD1319">
        <w:rPr>
          <w:rFonts w:cs="Arial"/>
          <w:color w:val="000000"/>
        </w:rPr>
        <w:t>, parcialidades indígenas</w:t>
      </w:r>
      <w:r w:rsidRPr="00BD1319">
        <w:rPr>
          <w:rStyle w:val="Refdenotaalpie"/>
          <w:rFonts w:cs="Arial"/>
          <w:color w:val="000000"/>
          <w:lang w:val="es-CO"/>
        </w:rPr>
        <w:footnoteReference w:id="92"/>
      </w:r>
      <w:r w:rsidRPr="00BD1319">
        <w:rPr>
          <w:rFonts w:cs="Arial"/>
          <w:color w:val="000000"/>
        </w:rPr>
        <w:t xml:space="preserve"> </w:t>
      </w:r>
      <w:r w:rsidRPr="00BD1319">
        <w:rPr>
          <w:rFonts w:cs="Arial"/>
        </w:rPr>
        <w:t>u otras unidades reconocidas administrativa o socialmente</w:t>
      </w:r>
      <w:r w:rsidR="00EC0922" w:rsidRPr="00BD1319">
        <w:rPr>
          <w:rFonts w:cs="Arial"/>
        </w:rPr>
        <w:t xml:space="preserve"> (p. ej. zonas de </w:t>
      </w:r>
      <w:proofErr w:type="gramStart"/>
      <w:r w:rsidR="00EC0922" w:rsidRPr="00BD1319">
        <w:rPr>
          <w:rFonts w:cs="Arial"/>
        </w:rPr>
        <w:t>reserva campesina o territorios campesinos</w:t>
      </w:r>
      <w:proofErr w:type="gramEnd"/>
      <w:r w:rsidR="00EC0922" w:rsidRPr="00BD1319">
        <w:rPr>
          <w:rFonts w:cs="Arial"/>
        </w:rPr>
        <w:t xml:space="preserve"> agroalimentarios)</w:t>
      </w:r>
      <w:r w:rsidRPr="00BD1319">
        <w:rPr>
          <w:rFonts w:cs="Arial"/>
        </w:rPr>
        <w:t xml:space="preserve">. Asimismo, de acuerdo con las características del proyecto, obra o actividad, es posible que los impactos ambientales que éste genera sobre el medio socioeconómico se manifiesten en la totalidad del municipio, en cuyo caso es posible considerar esta entidad territorial en su totalidad como unidad de análisis para la delimitación del área de influencia. Así las cosas, el área de influencia </w:t>
      </w:r>
      <w:r w:rsidRPr="00BD1319" w:rsidDel="004C76B9">
        <w:rPr>
          <w:rFonts w:cs="Arial"/>
        </w:rPr>
        <w:t>d</w:t>
      </w:r>
      <w:r w:rsidRPr="00BD1319">
        <w:rPr>
          <w:rFonts w:cs="Arial"/>
        </w:rPr>
        <w:t>el</w:t>
      </w:r>
      <w:r w:rsidR="0072054C" w:rsidRPr="00BD1319">
        <w:rPr>
          <w:rFonts w:cs="Arial"/>
        </w:rPr>
        <w:t xml:space="preserve"> </w:t>
      </w:r>
      <w:r w:rsidRPr="00BD1319">
        <w:rPr>
          <w:rFonts w:cs="Arial"/>
        </w:rPr>
        <w:t>medio socioeconómico puede coincidir con la división político-administrativa de los entes territoriales reconocidos legalmente (veredas, sectores de vereda, barrios, corregimientos municipales o municipios</w:t>
      </w:r>
      <w:r w:rsidRPr="00BD1319">
        <w:rPr>
          <w:rStyle w:val="Refdenotaalpie"/>
          <w:rFonts w:cs="Arial"/>
          <w:lang w:val="es-CO"/>
        </w:rPr>
        <w:footnoteReference w:id="93"/>
      </w:r>
      <w:r w:rsidRPr="00BD1319">
        <w:rPr>
          <w:rFonts w:cs="Arial"/>
        </w:rPr>
        <w:t>).</w:t>
      </w:r>
    </w:p>
    <w:p w14:paraId="3B1D138A" w14:textId="77777777" w:rsidR="00077E48" w:rsidRPr="00BD1319" w:rsidRDefault="00077E48" w:rsidP="00077E48">
      <w:pPr>
        <w:rPr>
          <w:rFonts w:cs="Arial"/>
        </w:rPr>
      </w:pPr>
    </w:p>
    <w:p w14:paraId="6583708B" w14:textId="23A2BBE6" w:rsidR="00077E48" w:rsidRPr="00BD1319" w:rsidRDefault="00077E48" w:rsidP="00077E48">
      <w:pPr>
        <w:rPr>
          <w:rFonts w:cs="Arial"/>
        </w:rPr>
      </w:pPr>
      <w:r w:rsidRPr="00BD1319">
        <w:rPr>
          <w:rFonts w:cs="Arial"/>
        </w:rPr>
        <w:lastRenderedPageBreak/>
        <w:t xml:space="preserve">Con el propósito de delimitar el área de influencia de este medio de forma más precisa en </w:t>
      </w:r>
      <w:r w:rsidR="009A1F24" w:rsidRPr="00BD1319">
        <w:rPr>
          <w:rFonts w:cs="Arial"/>
        </w:rPr>
        <w:t xml:space="preserve">las </w:t>
      </w:r>
      <w:r w:rsidRPr="00BD1319">
        <w:rPr>
          <w:rFonts w:cs="Arial"/>
        </w:rPr>
        <w:t xml:space="preserve">áreas rurales, se ha previsto la posibilidad de conformar unidades de análisis territorial más pequeñas que las veredas; estas unidades se denominan sectores de veredas y se definen como aquellos </w:t>
      </w:r>
      <w:r w:rsidRPr="00BD1319">
        <w:rPr>
          <w:rFonts w:eastAsia="Calibri" w:cs="Arial"/>
          <w:lang w:eastAsia="en-US"/>
        </w:rPr>
        <w:t xml:space="preserve">espacios al interior de una vereda, conformados principalmente por la agrupación de predios delimitados por accidentes geográficos o vías principales que permiten el desarrollo de relaciones vecinales </w:t>
      </w:r>
      <w:r w:rsidRPr="00BD1319">
        <w:rPr>
          <w:rFonts w:cs="Arial"/>
        </w:rPr>
        <w:t>y</w:t>
      </w:r>
      <w:r w:rsidRPr="00BD1319">
        <w:rPr>
          <w:rFonts w:eastAsia="Calibri" w:cs="Arial"/>
          <w:lang w:eastAsia="en-US"/>
        </w:rPr>
        <w:t xml:space="preserve"> formas de organización comunitaria </w:t>
      </w:r>
      <w:r w:rsidRPr="00BD1319">
        <w:rPr>
          <w:rFonts w:eastAsia="Calibri" w:cs="Arial"/>
        </w:rPr>
        <w:t xml:space="preserve">diferentes a los de otras zonas de la </w:t>
      </w:r>
      <w:r w:rsidRPr="00BD1319">
        <w:rPr>
          <w:rFonts w:eastAsia="Calibri" w:cs="Arial"/>
          <w:lang w:eastAsia="en-US"/>
        </w:rPr>
        <w:t xml:space="preserve">vereda en la que se encuentran. </w:t>
      </w:r>
      <w:r w:rsidRPr="00BD1319">
        <w:rPr>
          <w:rFonts w:cs="Arial"/>
        </w:rPr>
        <w:t xml:space="preserve">Esta categoría puede utilizarse como unidad de análisis territorial cuando cumpla </w:t>
      </w:r>
      <w:r w:rsidR="009A1F24" w:rsidRPr="00BD1319">
        <w:rPr>
          <w:rFonts w:cs="Arial"/>
        </w:rPr>
        <w:t xml:space="preserve">con </w:t>
      </w:r>
      <w:r w:rsidRPr="00BD1319">
        <w:rPr>
          <w:rFonts w:cs="Arial"/>
        </w:rPr>
        <w:t>las siguientes condiciones:</w:t>
      </w:r>
    </w:p>
    <w:p w14:paraId="7E817569" w14:textId="77777777" w:rsidR="00077E48" w:rsidRPr="00BD1319" w:rsidRDefault="00077E48" w:rsidP="001E5D96">
      <w:pPr>
        <w:rPr>
          <w:rFonts w:cs="Arial"/>
        </w:rPr>
      </w:pPr>
    </w:p>
    <w:p w14:paraId="47823315" w14:textId="77777777" w:rsidR="00077E48" w:rsidRPr="00BD1319" w:rsidRDefault="00077E48" w:rsidP="00077E48">
      <w:pPr>
        <w:pStyle w:val="Prrafodelista"/>
        <w:numPr>
          <w:ilvl w:val="0"/>
          <w:numId w:val="550"/>
        </w:numPr>
        <w:suppressAutoHyphens/>
        <w:ind w:left="567" w:hanging="567"/>
        <w:rPr>
          <w:rFonts w:eastAsia="Calibri" w:cs="Arial"/>
          <w:lang w:val="es-CO" w:eastAsia="en-US"/>
        </w:rPr>
      </w:pPr>
      <w:r w:rsidRPr="00BD1319">
        <w:rPr>
          <w:rFonts w:eastAsia="Calibri" w:cs="Arial"/>
          <w:lang w:val="es-CO" w:eastAsia="en-US"/>
        </w:rPr>
        <w:t>Cuente con organizaciones sociales legalmente reconocidas de forma previa a la elaboración del EIA.</w:t>
      </w:r>
    </w:p>
    <w:p w14:paraId="68EE82B8" w14:textId="77777777" w:rsidR="00077E48" w:rsidRPr="00BD1319" w:rsidRDefault="00077E48" w:rsidP="00077E48">
      <w:pPr>
        <w:suppressAutoHyphens/>
        <w:rPr>
          <w:rFonts w:eastAsia="Calibri" w:cs="Arial"/>
          <w:lang w:eastAsia="en-US"/>
        </w:rPr>
      </w:pPr>
    </w:p>
    <w:p w14:paraId="2119C1BC" w14:textId="77777777" w:rsidR="00077E48" w:rsidRPr="00BD1319" w:rsidRDefault="00077E48" w:rsidP="00077E48">
      <w:pPr>
        <w:pStyle w:val="Prrafodelista"/>
        <w:numPr>
          <w:ilvl w:val="0"/>
          <w:numId w:val="550"/>
        </w:numPr>
        <w:suppressAutoHyphens/>
        <w:ind w:left="567" w:hanging="567"/>
        <w:rPr>
          <w:rFonts w:eastAsia="Calibri" w:cs="Arial"/>
          <w:lang w:val="es-CO" w:eastAsia="en-US"/>
        </w:rPr>
      </w:pPr>
      <w:r w:rsidRPr="00BD1319">
        <w:rPr>
          <w:rFonts w:eastAsia="Calibri" w:cs="Arial"/>
          <w:lang w:val="es-CO" w:eastAsia="en-US"/>
        </w:rPr>
        <w:t>Cuente con reconocimiento social de los pobladores del sector.</w:t>
      </w:r>
    </w:p>
    <w:p w14:paraId="742A0A8E" w14:textId="77777777" w:rsidR="00077E48" w:rsidRPr="00BD1319" w:rsidRDefault="00077E48" w:rsidP="00077E48">
      <w:pPr>
        <w:suppressAutoHyphens/>
        <w:rPr>
          <w:rFonts w:eastAsia="Calibri" w:cs="Arial"/>
          <w:lang w:eastAsia="en-US"/>
        </w:rPr>
      </w:pPr>
    </w:p>
    <w:p w14:paraId="0BE3F1CF" w14:textId="77777777" w:rsidR="00077E48" w:rsidRPr="00BD1319" w:rsidRDefault="00077E48" w:rsidP="00077E48">
      <w:pPr>
        <w:pStyle w:val="Prrafodelista"/>
        <w:numPr>
          <w:ilvl w:val="0"/>
          <w:numId w:val="550"/>
        </w:numPr>
        <w:suppressAutoHyphens/>
        <w:ind w:left="567" w:hanging="567"/>
        <w:rPr>
          <w:rFonts w:eastAsia="Calibri" w:cs="Arial"/>
          <w:lang w:val="es-CO" w:eastAsia="en-US"/>
        </w:rPr>
      </w:pPr>
      <w:r w:rsidRPr="00BD1319">
        <w:rPr>
          <w:rFonts w:eastAsia="Calibri" w:cs="Arial"/>
          <w:lang w:val="es-CO" w:eastAsia="en-US"/>
        </w:rPr>
        <w:t>Tenga preexistencia en el territorio.</w:t>
      </w:r>
    </w:p>
    <w:p w14:paraId="42C04E38" w14:textId="77777777" w:rsidR="00077E48" w:rsidRPr="00BD1319" w:rsidRDefault="00077E48" w:rsidP="00077E48">
      <w:pPr>
        <w:rPr>
          <w:rFonts w:cs="Arial"/>
        </w:rPr>
      </w:pPr>
    </w:p>
    <w:p w14:paraId="668580C6" w14:textId="7C16AD73" w:rsidR="00077E48" w:rsidRPr="00BD1319" w:rsidRDefault="00077E48" w:rsidP="00077E48">
      <w:pPr>
        <w:rPr>
          <w:rFonts w:cs="Arial"/>
        </w:rPr>
      </w:pPr>
      <w:r w:rsidRPr="00BD1319">
        <w:rPr>
          <w:rFonts w:cs="Arial"/>
        </w:rPr>
        <w:t>Se debe señalar que el predio no puede ser considerado como una unidad de análisis territorial, por cuanto es un inmueble perteneciente a personas naturales o jurídicas, en el que no se establecen relaciones de tipo comunitario, ni se promueven la organización y el desarrollo social</w:t>
      </w:r>
      <w:r w:rsidR="00E72C93" w:rsidRPr="00BD1319">
        <w:rPr>
          <w:rFonts w:cs="Arial"/>
        </w:rPr>
        <w:t>.</w:t>
      </w:r>
      <w:r w:rsidRPr="00BD1319">
        <w:rPr>
          <w:rFonts w:cs="Arial"/>
        </w:rPr>
        <w:t xml:space="preserve"> </w:t>
      </w:r>
      <w:r w:rsidR="00E72C93" w:rsidRPr="00BD1319">
        <w:rPr>
          <w:rFonts w:cs="Arial"/>
        </w:rPr>
        <w:t>P</w:t>
      </w:r>
      <w:r w:rsidRPr="00BD1319">
        <w:rPr>
          <w:rFonts w:cs="Arial"/>
        </w:rPr>
        <w:t xml:space="preserve">or tanto, </w:t>
      </w:r>
      <w:r w:rsidR="00E72C93" w:rsidRPr="00BD1319">
        <w:rPr>
          <w:rFonts w:cs="Arial"/>
        </w:rPr>
        <w:t xml:space="preserve">el </w:t>
      </w:r>
      <w:r w:rsidRPr="00BD1319">
        <w:rPr>
          <w:rFonts w:cs="Arial"/>
        </w:rPr>
        <w:t xml:space="preserve">estudio </w:t>
      </w:r>
      <w:r w:rsidR="00E72C93" w:rsidRPr="00BD1319">
        <w:rPr>
          <w:rFonts w:cs="Arial"/>
        </w:rPr>
        <w:t>de los predios está asociado al de la unidad de análisis territorial que los contiene y debe referirse</w:t>
      </w:r>
      <w:r w:rsidRPr="00BD1319">
        <w:rPr>
          <w:rFonts w:cs="Arial"/>
        </w:rPr>
        <w:t xml:space="preserve"> únicamente a sus características y </w:t>
      </w:r>
      <w:r w:rsidR="00E72C93" w:rsidRPr="00BD1319">
        <w:rPr>
          <w:rFonts w:cs="Arial"/>
        </w:rPr>
        <w:t xml:space="preserve">a </w:t>
      </w:r>
      <w:r w:rsidRPr="00BD1319">
        <w:rPr>
          <w:rFonts w:cs="Arial"/>
        </w:rPr>
        <w:t xml:space="preserve">las de las personas o familias que en </w:t>
      </w:r>
      <w:r w:rsidR="00E72C93" w:rsidRPr="00BD1319">
        <w:rPr>
          <w:rFonts w:cs="Arial"/>
        </w:rPr>
        <w:t>ellos</w:t>
      </w:r>
      <w:r w:rsidRPr="00BD1319">
        <w:rPr>
          <w:rFonts w:cs="Arial"/>
        </w:rPr>
        <w:t xml:space="preserve"> habiten, así como a los impactos que pueda</w:t>
      </w:r>
      <w:r w:rsidR="00E72C93" w:rsidRPr="00BD1319">
        <w:rPr>
          <w:rFonts w:cs="Arial"/>
        </w:rPr>
        <w:t>n</w:t>
      </w:r>
      <w:r w:rsidRPr="00BD1319">
        <w:rPr>
          <w:rFonts w:cs="Arial"/>
        </w:rPr>
        <w:t xml:space="preserve"> experimentar dada la ejecución del proyecto, obra o actividad.</w:t>
      </w:r>
    </w:p>
    <w:p w14:paraId="2AAA223E" w14:textId="77777777" w:rsidR="00077E48" w:rsidRPr="00BD1319" w:rsidRDefault="00077E48" w:rsidP="00077E48">
      <w:pPr>
        <w:rPr>
          <w:rFonts w:cs="Arial"/>
        </w:rPr>
      </w:pPr>
    </w:p>
    <w:p w14:paraId="5BF07718" w14:textId="0D090852" w:rsidR="00077E48" w:rsidRPr="00BD1319" w:rsidRDefault="00077E48" w:rsidP="00077E48">
      <w:pPr>
        <w:rPr>
          <w:rFonts w:cs="Arial"/>
        </w:rPr>
      </w:pPr>
      <w:r w:rsidRPr="00BD1319">
        <w:rPr>
          <w:rFonts w:cs="Arial"/>
        </w:rPr>
        <w:t xml:space="preserve">Cuando la información no tenga la claridad o calidad suficiente, es posible delimitar las unidades de análisis territorial teniendo en cuenta criterios asociados a las condiciones fisiográficas de la zona, siempre y cuando las áreas que resulten de dicha delimitación estén asociadas a </w:t>
      </w:r>
      <w:r w:rsidR="00E72C93" w:rsidRPr="00BD1319">
        <w:rPr>
          <w:rFonts w:cs="Arial"/>
        </w:rPr>
        <w:t xml:space="preserve">expresiones </w:t>
      </w:r>
      <w:r w:rsidRPr="00BD1319">
        <w:rPr>
          <w:rFonts w:cs="Arial"/>
        </w:rPr>
        <w:t>sociales, como la presencia de organizaciones orientadas al desarrollo social, económico y cultural y al mejoramiento de la calidad de vida de la población.</w:t>
      </w:r>
    </w:p>
    <w:p w14:paraId="3315B401" w14:textId="77777777" w:rsidR="00077E48" w:rsidRPr="00BD1319" w:rsidRDefault="00077E48" w:rsidP="00077E48">
      <w:pPr>
        <w:rPr>
          <w:rFonts w:cs="Arial"/>
        </w:rPr>
      </w:pPr>
    </w:p>
    <w:p w14:paraId="62A74D7F" w14:textId="2E90F719" w:rsidR="00077E48" w:rsidRPr="00BD1319" w:rsidRDefault="00077E48" w:rsidP="00077E48">
      <w:pPr>
        <w:contextualSpacing/>
        <w:rPr>
          <w:rFonts w:cs="Arial"/>
        </w:rPr>
      </w:pPr>
      <w:r w:rsidRPr="00BD1319">
        <w:rPr>
          <w:rFonts w:cs="Arial"/>
        </w:rPr>
        <w:t>Asimismo, en caso de que la información oficial esté desactualizada, o de que existan otras características de su calidad que limiten la determinación objetiva de las unidades de análisis territorial, se deben emplear estrategias participativas como la cartografía social a fin de obtener información detallada y actualizada sobre límites territoriales para la representación cartográfica del área de influencia. La cartografía social permite validar de manera colectiva y comunitaria límites territoriales, así como establecer las dinámicas poblacionales, económicas y culturales del territorio.</w:t>
      </w:r>
    </w:p>
    <w:p w14:paraId="4754F7C0" w14:textId="77777777" w:rsidR="00077E48" w:rsidRPr="00BD1319" w:rsidRDefault="00077E48" w:rsidP="00077E48">
      <w:pPr>
        <w:contextualSpacing/>
        <w:rPr>
          <w:rFonts w:cs="Arial"/>
        </w:rPr>
      </w:pPr>
    </w:p>
    <w:p w14:paraId="21B148D5" w14:textId="2AD09741" w:rsidR="00077E48" w:rsidRPr="00BD1319" w:rsidRDefault="00077E48" w:rsidP="00077E48">
      <w:pPr>
        <w:contextualSpacing/>
        <w:rPr>
          <w:rFonts w:cs="Arial"/>
        </w:rPr>
      </w:pPr>
      <w:r w:rsidRPr="00BD1319">
        <w:rPr>
          <w:rFonts w:cs="Arial"/>
        </w:rPr>
        <w:lastRenderedPageBreak/>
        <w:t xml:space="preserve">De acuerdo con </w:t>
      </w:r>
      <w:proofErr w:type="spellStart"/>
      <w:r w:rsidRPr="00BD1319">
        <w:rPr>
          <w:rFonts w:cs="Arial"/>
        </w:rPr>
        <w:t>Habe</w:t>
      </w:r>
      <w:r w:rsidR="000F4AA9" w:rsidRPr="00BD1319">
        <w:rPr>
          <w:rFonts w:cs="Arial"/>
        </w:rPr>
        <w:t>g</w:t>
      </w:r>
      <w:r w:rsidRPr="00BD1319">
        <w:rPr>
          <w:rFonts w:cs="Arial"/>
        </w:rPr>
        <w:t>ger</w:t>
      </w:r>
      <w:proofErr w:type="spellEnd"/>
      <w:r w:rsidRPr="00BD1319">
        <w:rPr>
          <w:rFonts w:cs="Arial"/>
        </w:rPr>
        <w:t xml:space="preserve"> y Mancilla (2006), la cartografía social es un </w:t>
      </w:r>
      <w:r w:rsidRPr="00BD1319">
        <w:rPr>
          <w:rFonts w:cs="Arial"/>
          <w:iCs/>
        </w:rPr>
        <w:t>mapa elaborado por la comunidad en un proceso de planificación participativa poniendo en común el saber colectivo (horizontal) y de esta forma legitimarlo</w:t>
      </w:r>
      <w:r w:rsidRPr="00BD1319">
        <w:rPr>
          <w:rFonts w:cs="Arial"/>
        </w:rPr>
        <w:t>, por tanto, se constituye en un proceso participativo y de construcción social que promueve la apropiación y el reconocimiento del territorio. La cartografía social permite entre otros aspectos:</w:t>
      </w:r>
    </w:p>
    <w:p w14:paraId="2943E32E" w14:textId="77777777" w:rsidR="00077E48" w:rsidRPr="00BD1319" w:rsidRDefault="00077E48" w:rsidP="00077E48">
      <w:pPr>
        <w:contextualSpacing/>
        <w:rPr>
          <w:rFonts w:cs="Arial"/>
        </w:rPr>
      </w:pPr>
    </w:p>
    <w:p w14:paraId="2C6F2059" w14:textId="46423EB4" w:rsidR="00077E48" w:rsidRPr="00BD1319" w:rsidRDefault="00046B3E" w:rsidP="00077E48">
      <w:pPr>
        <w:pStyle w:val="Prrafodelista"/>
        <w:numPr>
          <w:ilvl w:val="0"/>
          <w:numId w:val="417"/>
        </w:numPr>
        <w:ind w:left="567" w:hanging="567"/>
        <w:contextualSpacing/>
        <w:rPr>
          <w:rFonts w:cs="Arial"/>
          <w:lang w:val="es-CO"/>
        </w:rPr>
      </w:pPr>
      <w:r w:rsidRPr="00BD1319">
        <w:rPr>
          <w:rFonts w:cs="Arial"/>
          <w:lang w:val="es-CO"/>
        </w:rPr>
        <w:t xml:space="preserve">Determinar </w:t>
      </w:r>
      <w:r w:rsidR="00077E48" w:rsidRPr="00BD1319">
        <w:rPr>
          <w:rFonts w:cs="Arial"/>
          <w:lang w:val="es-CO"/>
        </w:rPr>
        <w:t xml:space="preserve">límites territoriales reconocidos por </w:t>
      </w:r>
      <w:r w:rsidR="00CA3333" w:rsidRPr="00BD1319">
        <w:rPr>
          <w:rFonts w:cs="Arial"/>
          <w:lang w:val="es-CO"/>
        </w:rPr>
        <w:t>los grupos de interés</w:t>
      </w:r>
      <w:r w:rsidR="00077E48" w:rsidRPr="00BD1319">
        <w:rPr>
          <w:rFonts w:cs="Arial"/>
          <w:lang w:val="es-CO"/>
        </w:rPr>
        <w:t>.</w:t>
      </w:r>
    </w:p>
    <w:p w14:paraId="3E38B87F" w14:textId="77777777" w:rsidR="00077E48" w:rsidRPr="00BD1319" w:rsidRDefault="00077E48" w:rsidP="00077E48">
      <w:pPr>
        <w:contextualSpacing/>
        <w:rPr>
          <w:rFonts w:cs="Arial"/>
        </w:rPr>
      </w:pPr>
    </w:p>
    <w:p w14:paraId="210AA287" w14:textId="766C5F4C" w:rsidR="00077E48" w:rsidRPr="00BD1319" w:rsidRDefault="00046B3E" w:rsidP="00077E48">
      <w:pPr>
        <w:pStyle w:val="Prrafodelista"/>
        <w:numPr>
          <w:ilvl w:val="0"/>
          <w:numId w:val="417"/>
        </w:numPr>
        <w:ind w:left="567" w:hanging="567"/>
        <w:contextualSpacing/>
        <w:rPr>
          <w:rFonts w:cs="Arial"/>
          <w:lang w:val="es-CO"/>
        </w:rPr>
      </w:pPr>
      <w:r w:rsidRPr="00BD1319">
        <w:rPr>
          <w:rFonts w:cs="Arial"/>
          <w:lang w:val="es-CO"/>
        </w:rPr>
        <w:t xml:space="preserve">Determinar </w:t>
      </w:r>
      <w:r w:rsidR="00E72C93" w:rsidRPr="00BD1319">
        <w:rPr>
          <w:rFonts w:cs="Arial"/>
          <w:lang w:val="es-CO"/>
        </w:rPr>
        <w:t xml:space="preserve">elementos </w:t>
      </w:r>
      <w:r w:rsidR="00077E48" w:rsidRPr="00BD1319">
        <w:rPr>
          <w:rFonts w:cs="Arial"/>
          <w:lang w:val="es-CO"/>
        </w:rPr>
        <w:t>relevantes para la planeación del territorio y el desarrollo del proyecto, obra o actividad.</w:t>
      </w:r>
    </w:p>
    <w:p w14:paraId="3009C5F9" w14:textId="77777777" w:rsidR="00077E48" w:rsidRPr="00BD1319" w:rsidRDefault="00077E48" w:rsidP="00077E48">
      <w:pPr>
        <w:contextualSpacing/>
        <w:rPr>
          <w:rFonts w:cs="Arial"/>
        </w:rPr>
      </w:pPr>
    </w:p>
    <w:p w14:paraId="01FCAC64" w14:textId="3690D3A2" w:rsidR="00077E48" w:rsidRPr="00BD1319" w:rsidRDefault="00046B3E" w:rsidP="00077E48">
      <w:pPr>
        <w:pStyle w:val="Prrafodelista"/>
        <w:numPr>
          <w:ilvl w:val="0"/>
          <w:numId w:val="417"/>
        </w:numPr>
        <w:ind w:left="567" w:hanging="567"/>
        <w:contextualSpacing/>
        <w:rPr>
          <w:rFonts w:cs="Arial"/>
          <w:lang w:val="es-CO"/>
        </w:rPr>
      </w:pPr>
      <w:r w:rsidRPr="00BD1319">
        <w:rPr>
          <w:rFonts w:cs="Arial"/>
          <w:lang w:val="es-CO"/>
        </w:rPr>
        <w:t xml:space="preserve">Determinar </w:t>
      </w:r>
      <w:r w:rsidR="00077E48" w:rsidRPr="00BD1319">
        <w:rPr>
          <w:rFonts w:cs="Arial"/>
          <w:lang w:val="es-CO"/>
        </w:rPr>
        <w:t>lugares o sitos de importancia económica, espacial, ambiental y cultural para la comunidad.</w:t>
      </w:r>
    </w:p>
    <w:p w14:paraId="556E1E04" w14:textId="77777777" w:rsidR="00077E48" w:rsidRPr="00BD1319" w:rsidRDefault="00077E48" w:rsidP="000D6E21">
      <w:pPr>
        <w:contextualSpacing/>
        <w:rPr>
          <w:rFonts w:cs="Arial"/>
        </w:rPr>
      </w:pPr>
    </w:p>
    <w:p w14:paraId="7C82674D" w14:textId="2A1D6630" w:rsidR="00077E48" w:rsidRPr="00BD1319" w:rsidRDefault="00077E48" w:rsidP="00077E48">
      <w:pPr>
        <w:pStyle w:val="Prrafodelista"/>
        <w:numPr>
          <w:ilvl w:val="0"/>
          <w:numId w:val="417"/>
        </w:numPr>
        <w:ind w:left="567" w:hanging="567"/>
        <w:contextualSpacing/>
        <w:rPr>
          <w:rFonts w:cs="Arial"/>
          <w:lang w:val="es-CO"/>
        </w:rPr>
      </w:pPr>
      <w:r w:rsidRPr="00BD1319">
        <w:rPr>
          <w:rFonts w:cs="Arial"/>
          <w:lang w:val="es-CO"/>
        </w:rPr>
        <w:t xml:space="preserve">Promocionar </w:t>
      </w:r>
      <w:r w:rsidR="00CF5805" w:rsidRPr="00BD1319">
        <w:rPr>
          <w:rFonts w:cs="Arial"/>
          <w:lang w:val="es-CO"/>
        </w:rPr>
        <w:t xml:space="preserve">en las comunidades </w:t>
      </w:r>
      <w:r w:rsidRPr="00BD1319">
        <w:rPr>
          <w:rFonts w:cs="Arial"/>
          <w:lang w:val="es-CO"/>
        </w:rPr>
        <w:t>el reconocimiento del territorio y sus condiciones ambientales.</w:t>
      </w:r>
    </w:p>
    <w:p w14:paraId="31C202BD" w14:textId="77777777" w:rsidR="00077E48" w:rsidRPr="00BD1319" w:rsidRDefault="00077E48" w:rsidP="00077E48">
      <w:pPr>
        <w:contextualSpacing/>
        <w:rPr>
          <w:rFonts w:cs="Arial"/>
        </w:rPr>
      </w:pPr>
    </w:p>
    <w:p w14:paraId="7AEFD99C" w14:textId="6D13AC6A" w:rsidR="00077E48" w:rsidRPr="00BD1319" w:rsidRDefault="00077E48" w:rsidP="00077E48">
      <w:pPr>
        <w:pStyle w:val="Prrafodelista"/>
        <w:numPr>
          <w:ilvl w:val="0"/>
          <w:numId w:val="417"/>
        </w:numPr>
        <w:ind w:left="567" w:hanging="567"/>
        <w:contextualSpacing/>
        <w:rPr>
          <w:rFonts w:cs="Arial"/>
          <w:lang w:val="es-CO"/>
        </w:rPr>
      </w:pPr>
      <w:r w:rsidRPr="00BD1319">
        <w:rPr>
          <w:rFonts w:cs="Arial"/>
          <w:lang w:val="es-CO"/>
        </w:rPr>
        <w:t xml:space="preserve">Promover la participación de </w:t>
      </w:r>
      <w:r w:rsidR="00CA3333" w:rsidRPr="00BD1319">
        <w:rPr>
          <w:rFonts w:cs="Arial"/>
          <w:lang w:val="es-CO"/>
        </w:rPr>
        <w:t xml:space="preserve">los grupos de interés </w:t>
      </w:r>
      <w:r w:rsidRPr="00BD1319">
        <w:rPr>
          <w:rFonts w:cs="Arial"/>
          <w:lang w:val="es-CO"/>
        </w:rPr>
        <w:t>en la elaboración de los estudios ambientales.</w:t>
      </w:r>
    </w:p>
    <w:p w14:paraId="5E7C246A" w14:textId="77777777" w:rsidR="00077E48" w:rsidRPr="00BD1319" w:rsidRDefault="00077E48" w:rsidP="000D6E21">
      <w:pPr>
        <w:contextualSpacing/>
        <w:rPr>
          <w:rFonts w:cs="Arial"/>
        </w:rPr>
      </w:pPr>
    </w:p>
    <w:p w14:paraId="5B8DE22E" w14:textId="26CA520D" w:rsidR="00077E48" w:rsidRPr="00BD1319" w:rsidRDefault="00077E48" w:rsidP="00077E48">
      <w:pPr>
        <w:pStyle w:val="Prrafodelista"/>
        <w:numPr>
          <w:ilvl w:val="0"/>
          <w:numId w:val="417"/>
        </w:numPr>
        <w:ind w:left="567" w:hanging="567"/>
        <w:contextualSpacing/>
        <w:rPr>
          <w:rFonts w:cs="Arial"/>
          <w:lang w:val="es-CO"/>
        </w:rPr>
      </w:pPr>
      <w:r w:rsidRPr="00BD1319">
        <w:rPr>
          <w:rFonts w:cs="Arial"/>
          <w:lang w:val="es-CO"/>
        </w:rPr>
        <w:t xml:space="preserve">Obtener información primaria de calidad para la caracterización ambiental y la </w:t>
      </w:r>
      <w:r w:rsidR="0040253F" w:rsidRPr="00BD1319">
        <w:rPr>
          <w:rFonts w:cs="Arial"/>
          <w:lang w:val="es-CO"/>
        </w:rPr>
        <w:t xml:space="preserve">determinación </w:t>
      </w:r>
      <w:r w:rsidRPr="00BD1319">
        <w:rPr>
          <w:rFonts w:cs="Arial"/>
          <w:lang w:val="es-CO"/>
        </w:rPr>
        <w:t>de impactos.</w:t>
      </w:r>
    </w:p>
    <w:p w14:paraId="6D2AD939" w14:textId="77777777" w:rsidR="00077E48" w:rsidRPr="00BD1319" w:rsidRDefault="00077E48" w:rsidP="00077E48">
      <w:pPr>
        <w:contextualSpacing/>
        <w:rPr>
          <w:rFonts w:cs="Arial"/>
        </w:rPr>
      </w:pPr>
    </w:p>
    <w:p w14:paraId="1FDC49BC" w14:textId="44E61109" w:rsidR="00077E48" w:rsidRPr="00BD1319" w:rsidRDefault="00077E48" w:rsidP="00077E48">
      <w:pPr>
        <w:rPr>
          <w:rFonts w:cs="Arial"/>
        </w:rPr>
      </w:pPr>
      <w:r w:rsidRPr="00BD1319">
        <w:rPr>
          <w:rFonts w:cs="Arial"/>
        </w:rPr>
        <w:t>En caso de emplear ejercicios de cartografía social para definir las unidades de análisis del medio socioeconómico, éstos deben estar debidamente soportados en el estudio ambiental.</w:t>
      </w:r>
    </w:p>
    <w:p w14:paraId="610565AC" w14:textId="77777777" w:rsidR="00077E48" w:rsidRPr="00BD1319" w:rsidRDefault="00077E48" w:rsidP="00077E48">
      <w:pPr>
        <w:rPr>
          <w:rFonts w:cs="Arial"/>
        </w:rPr>
      </w:pPr>
    </w:p>
    <w:p w14:paraId="271A500D" w14:textId="794D26AA" w:rsidR="00077E48" w:rsidRPr="00BD1319" w:rsidRDefault="00077E48" w:rsidP="00077E48">
      <w:pPr>
        <w:numPr>
          <w:ilvl w:val="12"/>
          <w:numId w:val="0"/>
        </w:numPr>
        <w:tabs>
          <w:tab w:val="left" w:pos="-2268"/>
        </w:tabs>
        <w:suppressAutoHyphens/>
        <w:rPr>
          <w:rFonts w:cs="Arial"/>
        </w:rPr>
      </w:pPr>
      <w:r w:rsidRPr="00BD1319">
        <w:rPr>
          <w:rFonts w:cs="Arial"/>
          <w:spacing w:val="-3"/>
        </w:rPr>
        <w:t xml:space="preserve">De otra parte y </w:t>
      </w:r>
      <w:r w:rsidR="00CE6378" w:rsidRPr="00BD1319">
        <w:rPr>
          <w:rFonts w:cs="Arial"/>
          <w:spacing w:val="-3"/>
        </w:rPr>
        <w:t xml:space="preserve">con </w:t>
      </w:r>
      <w:r w:rsidRPr="00BD1319">
        <w:rPr>
          <w:rFonts w:cs="Arial"/>
          <w:spacing w:val="-3"/>
        </w:rPr>
        <w:t xml:space="preserve">el propósito de </w:t>
      </w:r>
      <w:r w:rsidR="0063193B" w:rsidRPr="00BD1319">
        <w:rPr>
          <w:rFonts w:cs="Arial"/>
          <w:spacing w:val="-3"/>
        </w:rPr>
        <w:t xml:space="preserve">determinar </w:t>
      </w:r>
      <w:r w:rsidRPr="00BD1319">
        <w:rPr>
          <w:rFonts w:cs="Arial"/>
          <w:spacing w:val="-3"/>
        </w:rPr>
        <w:t xml:space="preserve">qué unidades de análisis territorial pueden resultar alteradas dada la ejecución de un proyecto, obra o actividad, es necesario analizar y evaluar la forma en que los impactos ambientales que éste genera en los factores o componentes de los medios abiótico, biótico y socioeconómico inciden sobre los factores o componentes socioeconómicos, así como </w:t>
      </w:r>
      <w:r w:rsidRPr="00BD1319">
        <w:rPr>
          <w:rFonts w:cs="Arial"/>
        </w:rPr>
        <w:t>tener en cuenta las relaciones existentes y dinámicas propias de los territorios que se verían alterados por las nuevas relaciones sociales, económicas y culturales que se con</w:t>
      </w:r>
      <w:r w:rsidR="00F53A6E" w:rsidRPr="00BD1319">
        <w:rPr>
          <w:rFonts w:cs="Arial"/>
        </w:rPr>
        <w:t>forma</w:t>
      </w:r>
      <w:r w:rsidRPr="00BD1319">
        <w:rPr>
          <w:rFonts w:cs="Arial"/>
        </w:rPr>
        <w:t>rían</w:t>
      </w:r>
      <w:r w:rsidR="00CF5805" w:rsidRPr="00BD1319">
        <w:rPr>
          <w:rFonts w:cs="Arial"/>
        </w:rPr>
        <w:t>.</w:t>
      </w:r>
      <w:r w:rsidRPr="00BD1319">
        <w:rPr>
          <w:rFonts w:cs="Arial"/>
        </w:rPr>
        <w:t xml:space="preserve"> </w:t>
      </w:r>
      <w:r w:rsidR="00CF5805" w:rsidRPr="00BD1319">
        <w:rPr>
          <w:rFonts w:cs="Arial"/>
        </w:rPr>
        <w:t>L</w:t>
      </w:r>
      <w:r w:rsidRPr="00BD1319">
        <w:rPr>
          <w:rFonts w:cs="Arial"/>
        </w:rPr>
        <w:t>o anterior permite desarrollar un estudio integral de las condiciones de las unidades territoriales del medio socioeconómico que pueden conformar del área de influencia.</w:t>
      </w:r>
    </w:p>
    <w:p w14:paraId="40CFBB08" w14:textId="77777777" w:rsidR="006003DF" w:rsidRPr="00BD1319" w:rsidRDefault="006003DF" w:rsidP="00077E48">
      <w:pPr>
        <w:numPr>
          <w:ilvl w:val="12"/>
          <w:numId w:val="0"/>
        </w:numPr>
        <w:tabs>
          <w:tab w:val="left" w:pos="-2268"/>
        </w:tabs>
        <w:suppressAutoHyphens/>
        <w:rPr>
          <w:rFonts w:cs="Arial"/>
        </w:rPr>
      </w:pPr>
    </w:p>
    <w:p w14:paraId="70C8A5E6" w14:textId="7DF54854" w:rsidR="00077E48" w:rsidRPr="00BD1319" w:rsidRDefault="00077E48" w:rsidP="00077E48">
      <w:pPr>
        <w:numPr>
          <w:ilvl w:val="12"/>
          <w:numId w:val="0"/>
        </w:numPr>
        <w:tabs>
          <w:tab w:val="left" w:pos="-2268"/>
        </w:tabs>
        <w:suppressAutoHyphens/>
        <w:rPr>
          <w:rFonts w:cs="Arial"/>
        </w:rPr>
      </w:pPr>
      <w:r w:rsidRPr="00BD1319">
        <w:rPr>
          <w:rFonts w:cs="Arial"/>
        </w:rPr>
        <w:t xml:space="preserve">Se debe tener en cuenta que no siempre es posible representar cartográficamente los impactos que un proyecto, obra o actividad puede generar sobre los componentes del medio socioeconómico. Es el caso de la generación de </w:t>
      </w:r>
      <w:r w:rsidRPr="00BD1319">
        <w:rPr>
          <w:rFonts w:cs="Arial"/>
        </w:rPr>
        <w:lastRenderedPageBreak/>
        <w:t xml:space="preserve">expectativas y de algunos tipos </w:t>
      </w:r>
      <w:r w:rsidR="00054945" w:rsidRPr="00BD1319">
        <w:rPr>
          <w:rFonts w:cs="Arial"/>
        </w:rPr>
        <w:t xml:space="preserve">de </w:t>
      </w:r>
      <w:r w:rsidRPr="00BD1319">
        <w:rPr>
          <w:rFonts w:cs="Arial"/>
        </w:rPr>
        <w:t>conflictos que</w:t>
      </w:r>
      <w:r w:rsidR="00054945" w:rsidRPr="00BD1319">
        <w:rPr>
          <w:rFonts w:cs="Arial"/>
        </w:rPr>
        <w:t>,</w:t>
      </w:r>
      <w:r w:rsidRPr="00BD1319">
        <w:rPr>
          <w:rFonts w:cs="Arial"/>
        </w:rPr>
        <w:t xml:space="preserve"> si bien no tienen una clara correspondencia geográfica, deben circunscri</w:t>
      </w:r>
      <w:r w:rsidR="00CF5805" w:rsidRPr="00BD1319">
        <w:rPr>
          <w:rFonts w:cs="Arial"/>
        </w:rPr>
        <w:t xml:space="preserve">birse </w:t>
      </w:r>
      <w:r w:rsidRPr="00BD1319">
        <w:rPr>
          <w:rFonts w:cs="Arial"/>
        </w:rPr>
        <w:t xml:space="preserve">a una unidad de análisis que permita </w:t>
      </w:r>
      <w:proofErr w:type="spellStart"/>
      <w:r w:rsidRPr="00BD1319">
        <w:rPr>
          <w:rFonts w:cs="Arial"/>
        </w:rPr>
        <w:t>espacializarlos</w:t>
      </w:r>
      <w:proofErr w:type="spellEnd"/>
      <w:r w:rsidRPr="00BD1319">
        <w:rPr>
          <w:rFonts w:cs="Arial"/>
        </w:rPr>
        <w:t xml:space="preserve"> en conjunto y de forma coherente con los demás impactos de este medio</w:t>
      </w:r>
      <w:r w:rsidR="00CF5805" w:rsidRPr="00BD1319">
        <w:rPr>
          <w:rFonts w:cs="Arial"/>
        </w:rPr>
        <w:t>.</w:t>
      </w:r>
    </w:p>
    <w:p w14:paraId="5C9156C6" w14:textId="77777777" w:rsidR="00077E48" w:rsidRPr="00BD1319" w:rsidRDefault="00077E48" w:rsidP="00077E48">
      <w:pPr>
        <w:numPr>
          <w:ilvl w:val="12"/>
          <w:numId w:val="0"/>
        </w:numPr>
        <w:tabs>
          <w:tab w:val="left" w:pos="-2268"/>
        </w:tabs>
        <w:suppressAutoHyphens/>
        <w:rPr>
          <w:rFonts w:cs="Arial"/>
        </w:rPr>
      </w:pPr>
    </w:p>
    <w:p w14:paraId="4EBACB43" w14:textId="1FD14E55" w:rsidR="00077E48" w:rsidRPr="00BD1319" w:rsidRDefault="00077E48" w:rsidP="00077E48">
      <w:pPr>
        <w:rPr>
          <w:rFonts w:cs="Arial"/>
        </w:rPr>
      </w:pPr>
      <w:r w:rsidRPr="00BD1319">
        <w:rPr>
          <w:rFonts w:cs="Arial"/>
        </w:rPr>
        <w:t>Una vez se identifiquen las unidades de análisis territorial que se prevea pueden ser impactadas por el proyecto, obra o actividad se debe aplicar un conjunto de consideraciones que permita establecer si los impactos que allí se manifiestan resultan ser significativos y</w:t>
      </w:r>
      <w:r w:rsidR="00054945" w:rsidRPr="00BD1319">
        <w:rPr>
          <w:rFonts w:cs="Arial"/>
        </w:rPr>
        <w:t>,</w:t>
      </w:r>
      <w:r w:rsidRPr="00BD1319">
        <w:rPr>
          <w:rFonts w:cs="Arial"/>
        </w:rPr>
        <w:t xml:space="preserve"> por tanto, definitorios del área de influencia de cada componente. A continuación, se presentan las consideraciones generales para </w:t>
      </w:r>
      <w:r w:rsidR="0063193B" w:rsidRPr="00BD1319">
        <w:rPr>
          <w:rFonts w:cs="Arial"/>
        </w:rPr>
        <w:t xml:space="preserve">determinar </w:t>
      </w:r>
      <w:r w:rsidRPr="00BD1319">
        <w:rPr>
          <w:rFonts w:cs="Arial"/>
        </w:rPr>
        <w:t>tales unidades de análisis territorial y así delimitar el área de influencia de los componentes del medio socioeconómico:</w:t>
      </w:r>
    </w:p>
    <w:p w14:paraId="6F14A14E" w14:textId="77777777" w:rsidR="00077E48" w:rsidRPr="00BD1319" w:rsidRDefault="00077E48" w:rsidP="00077E48">
      <w:pPr>
        <w:rPr>
          <w:rFonts w:cs="Arial"/>
        </w:rPr>
      </w:pPr>
    </w:p>
    <w:p w14:paraId="057D109F" w14:textId="3BB6CF0C" w:rsidR="00077E48" w:rsidRPr="00BD1319" w:rsidRDefault="00077E48" w:rsidP="00077E48">
      <w:pPr>
        <w:pStyle w:val="Prrafodelista"/>
        <w:numPr>
          <w:ilvl w:val="0"/>
          <w:numId w:val="13"/>
        </w:numPr>
        <w:ind w:left="567" w:hanging="567"/>
        <w:contextualSpacing/>
        <w:rPr>
          <w:rFonts w:cs="Arial"/>
          <w:lang w:val="es-CO"/>
        </w:rPr>
      </w:pPr>
      <w:r w:rsidRPr="00BD1319">
        <w:rPr>
          <w:rFonts w:cs="Arial"/>
          <w:lang w:val="es-CO"/>
        </w:rPr>
        <w:t>Manera en que los impactos ambientales previstos para los medios abiótico y biótico afectan a la población</w:t>
      </w:r>
      <w:r w:rsidR="00CA3333" w:rsidRPr="00BD1319">
        <w:rPr>
          <w:rFonts w:cs="Arial"/>
          <w:lang w:val="es-CO"/>
        </w:rPr>
        <w:t>,</w:t>
      </w:r>
      <w:r w:rsidRPr="00BD1319">
        <w:rPr>
          <w:rFonts w:cs="Arial"/>
          <w:lang w:val="es-CO"/>
        </w:rPr>
        <w:t xml:space="preserve"> sus relaciones económicas, sociales y culturales </w:t>
      </w:r>
      <w:r w:rsidR="00CA3333" w:rsidRPr="00BD1319">
        <w:rPr>
          <w:rFonts w:cs="Arial"/>
          <w:lang w:val="es-CO"/>
        </w:rPr>
        <w:t>y la conflictividad so</w:t>
      </w:r>
      <w:r w:rsidR="003C7E49" w:rsidRPr="00BD1319">
        <w:rPr>
          <w:rFonts w:cs="Arial"/>
          <w:lang w:val="es-CO"/>
        </w:rPr>
        <w:t xml:space="preserve">cioambiental </w:t>
      </w:r>
      <w:r w:rsidRPr="00BD1319">
        <w:rPr>
          <w:rFonts w:cs="Arial"/>
          <w:lang w:val="es-CO"/>
        </w:rPr>
        <w:t>presentes en una o varias unidades de análisis territorial, según sea el caso. Por regla general, los impactos ambientales significativos del medio abiótico y biótico están contenidos dentro de las unidades de análisis territorial identificadas para el medio socioeconómico.</w:t>
      </w:r>
    </w:p>
    <w:p w14:paraId="29F34ACD" w14:textId="77777777" w:rsidR="00077E48" w:rsidRPr="00BD1319" w:rsidRDefault="00077E48" w:rsidP="00077E48">
      <w:pPr>
        <w:rPr>
          <w:rFonts w:cs="Arial"/>
        </w:rPr>
      </w:pPr>
    </w:p>
    <w:p w14:paraId="7589664C" w14:textId="0D9AF9A5" w:rsidR="00077E48" w:rsidRPr="00BD1319" w:rsidRDefault="00077E48" w:rsidP="00077E48">
      <w:pPr>
        <w:pStyle w:val="Prrafodelista"/>
        <w:numPr>
          <w:ilvl w:val="0"/>
          <w:numId w:val="13"/>
        </w:numPr>
        <w:ind w:left="567" w:hanging="567"/>
        <w:contextualSpacing/>
        <w:rPr>
          <w:rFonts w:cs="Arial"/>
          <w:lang w:val="es-CO"/>
        </w:rPr>
      </w:pPr>
      <w:r w:rsidRPr="00BD1319">
        <w:rPr>
          <w:rFonts w:cs="Arial"/>
          <w:lang w:val="es-CO"/>
        </w:rPr>
        <w:t xml:space="preserve">Formas de división </w:t>
      </w:r>
      <w:r w:rsidR="00054945" w:rsidRPr="00BD1319">
        <w:rPr>
          <w:rFonts w:cs="Arial"/>
          <w:lang w:val="es-CO"/>
        </w:rPr>
        <w:t>político-administrativa</w:t>
      </w:r>
      <w:r w:rsidRPr="00BD1319">
        <w:rPr>
          <w:rFonts w:cs="Arial"/>
          <w:lang w:val="es-CO"/>
        </w:rPr>
        <w:t xml:space="preserve"> del territorio, así como organizaciones sociales con referencia territorial reconocida.</w:t>
      </w:r>
    </w:p>
    <w:p w14:paraId="33266AEB" w14:textId="77777777" w:rsidR="00077E48" w:rsidRPr="00BD1319" w:rsidRDefault="00077E48" w:rsidP="0082127E">
      <w:pPr>
        <w:rPr>
          <w:rFonts w:cs="Arial"/>
        </w:rPr>
      </w:pPr>
    </w:p>
    <w:p w14:paraId="63E09635" w14:textId="77777777" w:rsidR="00077E48" w:rsidRPr="00BD1319" w:rsidRDefault="00077E48" w:rsidP="00077E48">
      <w:pPr>
        <w:pStyle w:val="Prrafodelista"/>
        <w:numPr>
          <w:ilvl w:val="0"/>
          <w:numId w:val="13"/>
        </w:numPr>
        <w:ind w:left="567" w:hanging="567"/>
        <w:contextualSpacing/>
        <w:rPr>
          <w:rFonts w:cs="Arial"/>
          <w:lang w:val="es-CO"/>
        </w:rPr>
      </w:pPr>
      <w:r w:rsidRPr="00BD1319">
        <w:rPr>
          <w:rFonts w:cs="Arial"/>
          <w:lang w:val="es-CO"/>
        </w:rPr>
        <w:t>Manifestación de impactos ambientales sobre las formas de asentamiento de la población (nucleada o dispersa).</w:t>
      </w:r>
    </w:p>
    <w:p w14:paraId="39EF4B1E" w14:textId="77777777" w:rsidR="00077E48" w:rsidRPr="00BD1319" w:rsidRDefault="00077E48" w:rsidP="00077E48">
      <w:pPr>
        <w:contextualSpacing/>
        <w:rPr>
          <w:rFonts w:cs="Arial"/>
        </w:rPr>
      </w:pPr>
    </w:p>
    <w:p w14:paraId="2C218BE6" w14:textId="1D31DEB7" w:rsidR="00077E48" w:rsidRPr="00BD1319" w:rsidRDefault="00077E48" w:rsidP="00077E48">
      <w:pPr>
        <w:pStyle w:val="Prrafodelista"/>
        <w:numPr>
          <w:ilvl w:val="0"/>
          <w:numId w:val="13"/>
        </w:numPr>
        <w:ind w:left="567" w:hanging="567"/>
        <w:contextualSpacing/>
        <w:rPr>
          <w:rFonts w:cs="Arial"/>
          <w:lang w:val="es-CO"/>
        </w:rPr>
      </w:pPr>
      <w:r w:rsidRPr="00BD1319">
        <w:rPr>
          <w:rFonts w:cs="Arial"/>
          <w:lang w:val="es-CO"/>
        </w:rPr>
        <w:t xml:space="preserve">Manifestación de impactos ambientales sobre </w:t>
      </w:r>
      <w:r w:rsidR="00CF5805" w:rsidRPr="00BD1319">
        <w:rPr>
          <w:rFonts w:cs="Arial"/>
          <w:lang w:val="es-CO"/>
        </w:rPr>
        <w:t xml:space="preserve">la </w:t>
      </w:r>
      <w:r w:rsidRPr="00BD1319">
        <w:rPr>
          <w:rFonts w:cs="Arial"/>
          <w:lang w:val="es-CO"/>
        </w:rPr>
        <w:t xml:space="preserve">infraestructura socioeconómica </w:t>
      </w:r>
      <w:r w:rsidR="00CF5805" w:rsidRPr="00BD1319">
        <w:rPr>
          <w:rFonts w:cs="Arial"/>
          <w:lang w:val="es-CO"/>
        </w:rPr>
        <w:t xml:space="preserve">para la prestación </w:t>
      </w:r>
      <w:r w:rsidRPr="00BD1319">
        <w:rPr>
          <w:rFonts w:cs="Arial"/>
          <w:lang w:val="es-CO"/>
        </w:rPr>
        <w:t>de servicios públicos (abastecimiento de agua, saneamiento básico, energía), servicios sociales (educación, salud, recreación), entre otr</w:t>
      </w:r>
      <w:r w:rsidR="00CF5805" w:rsidRPr="00BD1319">
        <w:rPr>
          <w:rFonts w:cs="Arial"/>
          <w:lang w:val="es-CO"/>
        </w:rPr>
        <w:t>o</w:t>
      </w:r>
      <w:r w:rsidRPr="00BD1319">
        <w:rPr>
          <w:rFonts w:cs="Arial"/>
          <w:lang w:val="es-CO"/>
        </w:rPr>
        <w:t>s.</w:t>
      </w:r>
    </w:p>
    <w:p w14:paraId="1E00D3C5" w14:textId="77777777" w:rsidR="00077E48" w:rsidRPr="00BD1319" w:rsidRDefault="00077E48" w:rsidP="0082127E">
      <w:pPr>
        <w:contextualSpacing/>
        <w:rPr>
          <w:rFonts w:cs="Arial"/>
        </w:rPr>
      </w:pPr>
    </w:p>
    <w:p w14:paraId="20C8DE8C" w14:textId="77777777" w:rsidR="00077E48" w:rsidRPr="00BD1319" w:rsidRDefault="00077E48" w:rsidP="00077E48">
      <w:pPr>
        <w:pStyle w:val="Prrafodelista"/>
        <w:numPr>
          <w:ilvl w:val="0"/>
          <w:numId w:val="13"/>
        </w:numPr>
        <w:ind w:left="567" w:hanging="567"/>
        <w:contextualSpacing/>
        <w:rPr>
          <w:rFonts w:cs="Arial"/>
          <w:lang w:val="es-CO"/>
        </w:rPr>
      </w:pPr>
      <w:r w:rsidRPr="00BD1319">
        <w:rPr>
          <w:rFonts w:cs="Arial"/>
          <w:lang w:val="es-CO"/>
        </w:rPr>
        <w:t>Manifestación de impactos ambientales sobre sitios y prácticas de interés cultural, religioso, turístico y recreativo.</w:t>
      </w:r>
    </w:p>
    <w:p w14:paraId="550E5A41" w14:textId="77777777" w:rsidR="00077E48" w:rsidRPr="00BD1319" w:rsidRDefault="00077E48" w:rsidP="0082127E">
      <w:pPr>
        <w:contextualSpacing/>
        <w:rPr>
          <w:rFonts w:cs="Arial"/>
        </w:rPr>
      </w:pPr>
    </w:p>
    <w:p w14:paraId="22A94EB3" w14:textId="77777777" w:rsidR="00077E48" w:rsidRPr="00BD1319" w:rsidRDefault="00077E48" w:rsidP="00077E48">
      <w:pPr>
        <w:pStyle w:val="Prrafodelista"/>
        <w:numPr>
          <w:ilvl w:val="0"/>
          <w:numId w:val="13"/>
        </w:numPr>
        <w:ind w:left="567" w:hanging="567"/>
        <w:contextualSpacing/>
        <w:rPr>
          <w:rFonts w:cs="Arial"/>
          <w:lang w:val="es-CO"/>
        </w:rPr>
      </w:pPr>
      <w:r w:rsidRPr="00BD1319">
        <w:rPr>
          <w:rFonts w:cs="Arial"/>
          <w:lang w:val="es-CO"/>
        </w:rPr>
        <w:t>Manifestación de impactos ambientales sobre puntos clave para el desarrollo de actividades económicas (sitios de comercialización, provisión de insumos, servicios técnicos, entre otros).</w:t>
      </w:r>
    </w:p>
    <w:p w14:paraId="543CEFC2" w14:textId="77777777" w:rsidR="00077E48" w:rsidRPr="00BD1319" w:rsidRDefault="00077E48" w:rsidP="0082127E">
      <w:pPr>
        <w:contextualSpacing/>
        <w:rPr>
          <w:rFonts w:cs="Arial"/>
        </w:rPr>
      </w:pPr>
    </w:p>
    <w:p w14:paraId="40C6D14C" w14:textId="6F31D3BA" w:rsidR="00077E48" w:rsidRPr="00BD1319" w:rsidRDefault="00077E48" w:rsidP="00077E48">
      <w:pPr>
        <w:pStyle w:val="Prrafodelista"/>
        <w:numPr>
          <w:ilvl w:val="0"/>
          <w:numId w:val="13"/>
        </w:numPr>
        <w:ind w:left="567" w:hanging="567"/>
        <w:contextualSpacing/>
        <w:rPr>
          <w:rFonts w:cs="Arial"/>
          <w:lang w:val="es-CO"/>
        </w:rPr>
      </w:pPr>
      <w:r w:rsidRPr="00BD1319">
        <w:rPr>
          <w:rFonts w:cs="Arial"/>
          <w:lang w:val="es-CO"/>
        </w:rPr>
        <w:t xml:space="preserve">Formas de uso y aprovechamiento de los recursos naturales por parte de </w:t>
      </w:r>
      <w:r w:rsidR="00B13AB2" w:rsidRPr="00BD1319">
        <w:rPr>
          <w:rFonts w:cs="Arial"/>
          <w:lang w:val="es-CO"/>
        </w:rPr>
        <w:t>los grupos de interés,</w:t>
      </w:r>
      <w:r w:rsidRPr="00BD1319">
        <w:rPr>
          <w:rFonts w:cs="Arial"/>
          <w:lang w:val="es-CO"/>
        </w:rPr>
        <w:t xml:space="preserve"> población</w:t>
      </w:r>
      <w:r w:rsidR="00B13AB2" w:rsidRPr="00BD1319">
        <w:rPr>
          <w:rFonts w:cs="Arial"/>
          <w:lang w:val="es-CO"/>
        </w:rPr>
        <w:t xml:space="preserve"> y comunidades</w:t>
      </w:r>
      <w:r w:rsidRPr="00BD1319">
        <w:rPr>
          <w:rFonts w:cs="Arial"/>
          <w:lang w:val="es-CO"/>
        </w:rPr>
        <w:t xml:space="preserve"> y dependencia de las actividades locales a los mismos.</w:t>
      </w:r>
    </w:p>
    <w:p w14:paraId="26583910" w14:textId="77777777" w:rsidR="00077E48" w:rsidRPr="00BD1319" w:rsidRDefault="00077E48" w:rsidP="0082127E">
      <w:pPr>
        <w:contextualSpacing/>
        <w:rPr>
          <w:rFonts w:cs="Arial"/>
        </w:rPr>
      </w:pPr>
    </w:p>
    <w:p w14:paraId="2191D63C" w14:textId="53FEEB77" w:rsidR="00077E48" w:rsidRPr="00BD1319" w:rsidRDefault="00077E48" w:rsidP="00077E48">
      <w:pPr>
        <w:pStyle w:val="Prrafodelista"/>
        <w:numPr>
          <w:ilvl w:val="0"/>
          <w:numId w:val="13"/>
        </w:numPr>
        <w:ind w:left="567" w:hanging="567"/>
        <w:contextualSpacing/>
        <w:rPr>
          <w:rFonts w:cs="Arial"/>
          <w:lang w:val="es-CO"/>
        </w:rPr>
      </w:pPr>
      <w:r w:rsidRPr="00BD1319">
        <w:rPr>
          <w:rFonts w:cs="Arial"/>
          <w:lang w:val="es-CO"/>
        </w:rPr>
        <w:t xml:space="preserve">Existencia de impactos ambientales en los medios abiótico, biótico y socioeconómico que </w:t>
      </w:r>
      <w:r w:rsidR="00BF790D" w:rsidRPr="00BD1319">
        <w:rPr>
          <w:rFonts w:cs="Arial"/>
          <w:lang w:val="es-CO"/>
        </w:rPr>
        <w:t>se identifiquen en áreas con presencia de comunidades étnicas que deban ser considerados dentro de la evaluación ambiental.</w:t>
      </w:r>
    </w:p>
    <w:p w14:paraId="72D470D8" w14:textId="77777777" w:rsidR="00077E48" w:rsidRPr="00BD1319" w:rsidRDefault="00077E48" w:rsidP="0082127E">
      <w:pPr>
        <w:contextualSpacing/>
        <w:rPr>
          <w:rFonts w:cs="Arial"/>
        </w:rPr>
      </w:pPr>
    </w:p>
    <w:p w14:paraId="5AF9FF62" w14:textId="70348721" w:rsidR="00077E48" w:rsidRPr="00BD1319" w:rsidRDefault="00077E48" w:rsidP="00077E48">
      <w:pPr>
        <w:pStyle w:val="Prrafodelista"/>
        <w:numPr>
          <w:ilvl w:val="0"/>
          <w:numId w:val="13"/>
        </w:numPr>
        <w:ind w:left="567" w:hanging="567"/>
        <w:contextualSpacing/>
        <w:rPr>
          <w:rFonts w:cs="Arial"/>
          <w:lang w:val="es-CO"/>
        </w:rPr>
      </w:pPr>
      <w:r w:rsidRPr="00BD1319">
        <w:rPr>
          <w:rFonts w:cs="Arial"/>
          <w:lang w:val="es-CO"/>
        </w:rPr>
        <w:t>Rutas de navegación marítima y los lugares en los que se desarrollan actividades económicas de subsistencia relacionadas con la actividad pesquera o turística que puedan resultar impactados por proyectos, obras o actividades que involucren intervenciones en zonas marinas. En este caso, el análisis inicial para delimitar el área de influencia puede tomar como referencia la información oficial reportada por las entidades competentes (</w:t>
      </w:r>
      <w:proofErr w:type="spellStart"/>
      <w:r w:rsidR="00BF790D" w:rsidRPr="00BD1319">
        <w:rPr>
          <w:rFonts w:cs="Arial"/>
          <w:lang w:val="es-CO"/>
        </w:rPr>
        <w:t>Aunap</w:t>
      </w:r>
      <w:proofErr w:type="spellEnd"/>
      <w:r w:rsidRPr="00BD1319">
        <w:rPr>
          <w:rFonts w:cs="Arial"/>
          <w:lang w:val="es-CO"/>
        </w:rPr>
        <w:t xml:space="preserve">, </w:t>
      </w:r>
      <w:proofErr w:type="spellStart"/>
      <w:r w:rsidR="00A92356" w:rsidRPr="00BD1319">
        <w:rPr>
          <w:rFonts w:cs="Arial"/>
          <w:lang w:val="es-CO"/>
        </w:rPr>
        <w:t>Invemar</w:t>
      </w:r>
      <w:proofErr w:type="spellEnd"/>
      <w:r w:rsidRPr="00BD1319">
        <w:rPr>
          <w:rFonts w:cs="Arial"/>
          <w:lang w:val="es-CO"/>
        </w:rPr>
        <w:t xml:space="preserve">, </w:t>
      </w:r>
      <w:r w:rsidR="000F6349" w:rsidRPr="00BD1319">
        <w:rPr>
          <w:rFonts w:cs="Arial"/>
          <w:lang w:val="es-CO"/>
        </w:rPr>
        <w:t>Dimar</w:t>
      </w:r>
      <w:r w:rsidRPr="00BD1319">
        <w:rPr>
          <w:rFonts w:cs="Arial"/>
          <w:lang w:val="es-CO"/>
        </w:rPr>
        <w:t>, entre otras).</w:t>
      </w:r>
    </w:p>
    <w:p w14:paraId="43C7489D" w14:textId="77777777" w:rsidR="00077E48" w:rsidRPr="00BD1319" w:rsidRDefault="00077E48" w:rsidP="001E5D96">
      <w:pPr>
        <w:rPr>
          <w:rFonts w:cs="Arial"/>
        </w:rPr>
      </w:pPr>
    </w:p>
    <w:p w14:paraId="4F398C18" w14:textId="5108F587" w:rsidR="00077E48" w:rsidRPr="00BD1319" w:rsidRDefault="007F45D3" w:rsidP="009420F5">
      <w:pPr>
        <w:pStyle w:val="Ttulo2"/>
        <w:rPr>
          <w:lang w:val="es-CO"/>
        </w:rPr>
      </w:pPr>
      <w:bookmarkStart w:id="2553" w:name="_Toc175326750"/>
      <w:r w:rsidRPr="00BD1319">
        <w:rPr>
          <w:lang w:val="es-CO"/>
        </w:rPr>
        <w:t xml:space="preserve">LINEAMIENTOS PARA LA DELIMITACIÓN DEL ÁREA DE INFLUENCIA REFERIDA AL </w:t>
      </w:r>
      <w:r w:rsidR="00077E48" w:rsidRPr="00BD1319">
        <w:rPr>
          <w:lang w:val="es-CO"/>
        </w:rPr>
        <w:t>PAISAJE</w:t>
      </w:r>
      <w:bookmarkEnd w:id="2553"/>
    </w:p>
    <w:p w14:paraId="6DC0657C" w14:textId="77777777" w:rsidR="00077E48" w:rsidRPr="00BD1319" w:rsidRDefault="00077E48" w:rsidP="00077E48">
      <w:pPr>
        <w:pStyle w:val="Diamante"/>
        <w:numPr>
          <w:ilvl w:val="0"/>
          <w:numId w:val="0"/>
        </w:numPr>
        <w:rPr>
          <w:rFonts w:cs="Arial"/>
          <w:b w:val="0"/>
        </w:rPr>
      </w:pPr>
    </w:p>
    <w:p w14:paraId="09022E0D" w14:textId="0B4B8AFA" w:rsidR="00077E48" w:rsidRPr="00BD1319" w:rsidRDefault="00077E48" w:rsidP="00077E48">
      <w:pPr>
        <w:numPr>
          <w:ilvl w:val="12"/>
          <w:numId w:val="0"/>
        </w:numPr>
        <w:tabs>
          <w:tab w:val="left" w:pos="-2268"/>
        </w:tabs>
        <w:suppressAutoHyphens/>
        <w:rPr>
          <w:rFonts w:cs="Arial"/>
          <w:spacing w:val="-3"/>
        </w:rPr>
      </w:pPr>
      <w:r w:rsidRPr="00BD1319">
        <w:rPr>
          <w:rFonts w:cs="Arial"/>
          <w:spacing w:val="-3"/>
        </w:rPr>
        <w:t xml:space="preserve">Para la delimitación del área de influencia del paisaje, que integra elementos de los medios abiótico, biótico y socioeconómico, se debe tomar como base </w:t>
      </w:r>
      <w:r w:rsidR="000E098F" w:rsidRPr="00BD1319">
        <w:rPr>
          <w:rFonts w:cs="Arial"/>
          <w:spacing w:val="-3"/>
        </w:rPr>
        <w:t xml:space="preserve">las unidades de paisaje </w:t>
      </w:r>
      <w:r w:rsidRPr="00BD1319">
        <w:rPr>
          <w:rFonts w:cs="Arial"/>
          <w:spacing w:val="-3"/>
        </w:rPr>
        <w:t>y sobre ést</w:t>
      </w:r>
      <w:r w:rsidR="000E098F" w:rsidRPr="00BD1319">
        <w:rPr>
          <w:rFonts w:cs="Arial"/>
          <w:spacing w:val="-3"/>
        </w:rPr>
        <w:t>as</w:t>
      </w:r>
      <w:r w:rsidRPr="00BD1319">
        <w:rPr>
          <w:rFonts w:cs="Arial"/>
          <w:spacing w:val="-3"/>
        </w:rPr>
        <w:t>, integrar los demás elementos que lo conforman.</w:t>
      </w:r>
    </w:p>
    <w:p w14:paraId="33AD60B2" w14:textId="77777777" w:rsidR="00077E48" w:rsidRPr="00BD1319" w:rsidRDefault="00077E48" w:rsidP="00077E48">
      <w:pPr>
        <w:numPr>
          <w:ilvl w:val="12"/>
          <w:numId w:val="0"/>
        </w:numPr>
        <w:tabs>
          <w:tab w:val="left" w:pos="-2268"/>
        </w:tabs>
        <w:suppressAutoHyphens/>
        <w:rPr>
          <w:rFonts w:cs="Arial"/>
          <w:spacing w:val="-3"/>
        </w:rPr>
      </w:pPr>
    </w:p>
    <w:p w14:paraId="0DDA11A9" w14:textId="77777777" w:rsidR="00C70AAE" w:rsidRPr="00BD1319" w:rsidRDefault="009B46BE" w:rsidP="00077E48">
      <w:pPr>
        <w:numPr>
          <w:ilvl w:val="12"/>
          <w:numId w:val="0"/>
        </w:numPr>
        <w:tabs>
          <w:tab w:val="left" w:pos="-2268"/>
        </w:tabs>
        <w:suppressAutoHyphens/>
        <w:rPr>
          <w:rFonts w:cs="Arial"/>
          <w:spacing w:val="-3"/>
        </w:rPr>
      </w:pPr>
      <w:r w:rsidRPr="00BD1319">
        <w:rPr>
          <w:rFonts w:cs="Arial"/>
          <w:spacing w:val="-3"/>
        </w:rPr>
        <w:t>En primer lugar, se deben determinar las áreas en las que se materializan los impactos visuales a través de un análisis de visibilidad, tomando como referencia la ubicación espacial de las actividades, obras e infraestructuras asociadas al proyecto, considerando la escala visual o plano donde se pueden presentar los impactos significativos sobre el paisaje, incluyendo las modificaciones sobre las geoformas, las coberturas de la tierra y la calidad, fragilidad y atractivo escénico del paisaje.</w:t>
      </w:r>
    </w:p>
    <w:p w14:paraId="0791695C" w14:textId="71629A30" w:rsidR="00077E48" w:rsidRPr="00BD1319" w:rsidRDefault="00077E48" w:rsidP="00077E48">
      <w:pPr>
        <w:numPr>
          <w:ilvl w:val="12"/>
          <w:numId w:val="0"/>
        </w:numPr>
        <w:tabs>
          <w:tab w:val="left" w:pos="-2268"/>
        </w:tabs>
        <w:suppressAutoHyphens/>
        <w:rPr>
          <w:rFonts w:cs="Arial"/>
          <w:spacing w:val="-3"/>
        </w:rPr>
      </w:pPr>
    </w:p>
    <w:p w14:paraId="7083ACC2" w14:textId="7776479A" w:rsidR="00077E48" w:rsidRPr="00BD1319" w:rsidRDefault="009B46BE" w:rsidP="00077E48">
      <w:pPr>
        <w:numPr>
          <w:ilvl w:val="12"/>
          <w:numId w:val="0"/>
        </w:numPr>
        <w:tabs>
          <w:tab w:val="left" w:pos="-2268"/>
        </w:tabs>
        <w:suppressAutoHyphens/>
        <w:rPr>
          <w:rFonts w:cs="Arial"/>
          <w:spacing w:val="-3"/>
        </w:rPr>
      </w:pPr>
      <w:r w:rsidRPr="00BD1319">
        <w:rPr>
          <w:rFonts w:cs="Arial"/>
          <w:spacing w:val="-3"/>
        </w:rPr>
        <w:t>Posteriormente, se debe determinar el área visible desde diferentes puntos de observación, contenidos en el área definida previamente, estableciendo la localización del observador de acuerdo con la información sobre posibles sitios de tránsito de personas, sitios de interés paisajístico, entre otros</w:t>
      </w:r>
      <w:r w:rsidR="00077E48" w:rsidRPr="00BD1319">
        <w:rPr>
          <w:rFonts w:cs="Arial"/>
          <w:spacing w:val="-3"/>
        </w:rPr>
        <w:t>.</w:t>
      </w:r>
    </w:p>
    <w:p w14:paraId="0687937A" w14:textId="77777777" w:rsidR="00077E48" w:rsidRPr="00BD1319" w:rsidRDefault="00077E48" w:rsidP="00077E48">
      <w:pPr>
        <w:numPr>
          <w:ilvl w:val="12"/>
          <w:numId w:val="0"/>
        </w:numPr>
        <w:tabs>
          <w:tab w:val="left" w:pos="-2268"/>
        </w:tabs>
        <w:suppressAutoHyphens/>
        <w:rPr>
          <w:rFonts w:cs="Arial"/>
          <w:spacing w:val="-3"/>
        </w:rPr>
      </w:pPr>
    </w:p>
    <w:p w14:paraId="2FA59639" w14:textId="6C794678" w:rsidR="009B46BE" w:rsidRPr="00BD1319" w:rsidRDefault="009B46BE" w:rsidP="009B46BE">
      <w:pPr>
        <w:numPr>
          <w:ilvl w:val="12"/>
          <w:numId w:val="0"/>
        </w:numPr>
        <w:tabs>
          <w:tab w:val="left" w:pos="-2268"/>
        </w:tabs>
        <w:suppressAutoHyphens/>
        <w:rPr>
          <w:rFonts w:cs="Arial"/>
          <w:spacing w:val="-3"/>
        </w:rPr>
      </w:pPr>
      <w:r w:rsidRPr="00BD1319">
        <w:rPr>
          <w:rFonts w:cs="Arial"/>
          <w:spacing w:val="-3"/>
        </w:rPr>
        <w:t>Los modelos empleados para el análisis de visibilidad en los dos escenarios deben contemplar las condiciones físicas y bióticas del área, incluyendo como mínimo el relieve y la cobertura de la tierra.</w:t>
      </w:r>
    </w:p>
    <w:p w14:paraId="7E80DAE6" w14:textId="77777777" w:rsidR="009B46BE" w:rsidRPr="00BD1319" w:rsidRDefault="009B46BE" w:rsidP="009B46BE">
      <w:pPr>
        <w:numPr>
          <w:ilvl w:val="12"/>
          <w:numId w:val="0"/>
        </w:numPr>
        <w:tabs>
          <w:tab w:val="left" w:pos="-2268"/>
        </w:tabs>
        <w:suppressAutoHyphens/>
        <w:rPr>
          <w:rFonts w:cs="Arial"/>
          <w:spacing w:val="-3"/>
        </w:rPr>
      </w:pPr>
    </w:p>
    <w:p w14:paraId="5F147A52" w14:textId="320491FC" w:rsidR="009B46BE" w:rsidRPr="00BD1319" w:rsidRDefault="009B46BE" w:rsidP="00077E48">
      <w:pPr>
        <w:numPr>
          <w:ilvl w:val="12"/>
          <w:numId w:val="0"/>
        </w:numPr>
        <w:tabs>
          <w:tab w:val="left" w:pos="-2268"/>
        </w:tabs>
        <w:suppressAutoHyphens/>
        <w:rPr>
          <w:rFonts w:cs="Arial"/>
          <w:spacing w:val="-3"/>
        </w:rPr>
      </w:pPr>
      <w:r w:rsidRPr="00BD1319">
        <w:rPr>
          <w:rFonts w:cs="Arial"/>
          <w:spacing w:val="-3"/>
        </w:rPr>
        <w:t xml:space="preserve">Los resultados de las modelaciones deben integrarse en un análisis de </w:t>
      </w:r>
      <w:proofErr w:type="spellStart"/>
      <w:r w:rsidRPr="00BD1319">
        <w:rPr>
          <w:rFonts w:cs="Arial"/>
          <w:spacing w:val="-3"/>
        </w:rPr>
        <w:t>intervisibilidad</w:t>
      </w:r>
      <w:proofErr w:type="spellEnd"/>
      <w:r w:rsidRPr="00BD1319">
        <w:rPr>
          <w:rFonts w:cs="Arial"/>
          <w:spacing w:val="-3"/>
        </w:rPr>
        <w:t xml:space="preserve"> que identifique las áreas donde una determinada acción del proyecto, obra o actividad es visible desde los puntos de observación. Estas áreas resultantes constituyen el área de influencia del paisaje.</w:t>
      </w:r>
    </w:p>
    <w:p w14:paraId="3F205961" w14:textId="77777777" w:rsidR="009B46BE" w:rsidRPr="00BD1319" w:rsidRDefault="009B46BE" w:rsidP="00077E48">
      <w:pPr>
        <w:numPr>
          <w:ilvl w:val="12"/>
          <w:numId w:val="0"/>
        </w:numPr>
        <w:tabs>
          <w:tab w:val="left" w:pos="-2268"/>
        </w:tabs>
        <w:suppressAutoHyphens/>
        <w:rPr>
          <w:rFonts w:cs="Arial"/>
          <w:spacing w:val="-3"/>
        </w:rPr>
      </w:pPr>
    </w:p>
    <w:p w14:paraId="5AEEA42B" w14:textId="63CE5F52" w:rsidR="00086E08" w:rsidRPr="00BD1319" w:rsidRDefault="00077E48">
      <w:pPr>
        <w:rPr>
          <w:rFonts w:cs="Arial"/>
        </w:rPr>
      </w:pPr>
      <w:r w:rsidRPr="00BD1319">
        <w:rPr>
          <w:rFonts w:cs="Arial"/>
          <w:spacing w:val="-3"/>
        </w:rPr>
        <w:lastRenderedPageBreak/>
        <w:t>La modelización de todos los posibles puntos de observación desde donde una determinada acción del proyecto, obra o actividad es visible, constituye el principal insumo para la delimitación del área de influencia para el paisaje, el cual debe ser acotado a partir de los resultados de la evaluación ambiental relacionados con el grado de significancia de los impactos sobre el paisaje fisiográfico y geomorfológico, las coberturas de la tierra, la calidad y fragilidad del paisaje, el atractivo escénico del paisaje y la percepción social del paisaje</w:t>
      </w:r>
      <w:r w:rsidR="00AB190D" w:rsidRPr="00BD1319">
        <w:rPr>
          <w:rFonts w:cs="Arial"/>
          <w:spacing w:val="-3"/>
        </w:rPr>
        <w:t>.</w:t>
      </w:r>
      <w:bookmarkStart w:id="2554" w:name="_Toc43485680"/>
      <w:bookmarkStart w:id="2555" w:name="_Toc43485681"/>
      <w:bookmarkEnd w:id="2554"/>
      <w:bookmarkEnd w:id="2555"/>
    </w:p>
    <w:p w14:paraId="41023652" w14:textId="77777777" w:rsidR="00C75DF7" w:rsidRPr="00BD1319" w:rsidRDefault="00C75DF7">
      <w:pPr>
        <w:rPr>
          <w:rFonts w:cs="Arial"/>
        </w:rPr>
      </w:pPr>
    </w:p>
    <w:p w14:paraId="3E099C5D" w14:textId="77777777" w:rsidR="00C70AAE" w:rsidRPr="00BD1319" w:rsidRDefault="00C70AAE">
      <w:pPr>
        <w:rPr>
          <w:rFonts w:cs="Arial"/>
        </w:rPr>
      </w:pPr>
    </w:p>
    <w:p w14:paraId="7033DA8F" w14:textId="3025707C" w:rsidR="00D760E3" w:rsidRPr="00BD1319" w:rsidRDefault="0013627D" w:rsidP="00C86DA5">
      <w:pPr>
        <w:pStyle w:val="Ttulo1"/>
        <w:numPr>
          <w:ilvl w:val="0"/>
          <w:numId w:val="7"/>
        </w:numPr>
        <w:rPr>
          <w:lang w:val="es-CO"/>
        </w:rPr>
      </w:pPr>
      <w:bookmarkStart w:id="2556" w:name="_Toc393967324"/>
      <w:bookmarkStart w:id="2557" w:name="_Toc405366840"/>
      <w:bookmarkStart w:id="2558" w:name="_Toc405372387"/>
      <w:bookmarkStart w:id="2559" w:name="_Toc412803190"/>
      <w:bookmarkStart w:id="2560" w:name="_Toc414285587"/>
      <w:bookmarkStart w:id="2561" w:name="_Toc437936030"/>
      <w:bookmarkStart w:id="2562" w:name="_Ref75276648"/>
      <w:bookmarkStart w:id="2563" w:name="_Toc175326751"/>
      <w:r w:rsidRPr="00BD1319">
        <w:rPr>
          <w:lang w:val="es-CO"/>
        </w:rPr>
        <w:t xml:space="preserve">LINEAMIENTOS DE </w:t>
      </w:r>
      <w:r w:rsidR="00D760E3" w:rsidRPr="00BD1319">
        <w:rPr>
          <w:lang w:val="es-CO"/>
        </w:rPr>
        <w:t xml:space="preserve">PARTICIPACIÓN </w:t>
      </w:r>
      <w:r w:rsidRPr="00BD1319">
        <w:rPr>
          <w:lang w:val="es-CO"/>
        </w:rPr>
        <w:t xml:space="preserve">CON </w:t>
      </w:r>
      <w:bookmarkEnd w:id="2556"/>
      <w:bookmarkEnd w:id="2557"/>
      <w:bookmarkEnd w:id="2558"/>
      <w:r w:rsidR="00837398" w:rsidRPr="00BD1319">
        <w:rPr>
          <w:lang w:val="es-CO"/>
        </w:rPr>
        <w:t>LOS GRUPOS DE INTERÉS</w:t>
      </w:r>
      <w:bookmarkEnd w:id="2559"/>
      <w:bookmarkEnd w:id="2560"/>
      <w:bookmarkEnd w:id="2561"/>
      <w:bookmarkEnd w:id="2562"/>
      <w:bookmarkEnd w:id="2563"/>
    </w:p>
    <w:p w14:paraId="10548F39" w14:textId="3B7A7133" w:rsidR="00D760E3" w:rsidRPr="00BD1319" w:rsidRDefault="00D760E3">
      <w:pPr>
        <w:numPr>
          <w:ilvl w:val="12"/>
          <w:numId w:val="0"/>
        </w:numPr>
        <w:tabs>
          <w:tab w:val="left" w:pos="-2268"/>
        </w:tabs>
        <w:suppressAutoHyphens/>
        <w:rPr>
          <w:spacing w:val="-3"/>
        </w:rPr>
      </w:pPr>
    </w:p>
    <w:p w14:paraId="3171B683" w14:textId="64AA7C4C" w:rsidR="00533295" w:rsidRPr="00BD1319" w:rsidRDefault="00533295" w:rsidP="00533295">
      <w:pPr>
        <w:numPr>
          <w:ilvl w:val="12"/>
          <w:numId w:val="0"/>
        </w:numPr>
        <w:tabs>
          <w:tab w:val="left" w:pos="-2268"/>
        </w:tabs>
        <w:suppressAutoHyphens/>
      </w:pPr>
      <w:bookmarkStart w:id="2564" w:name="_Toc405366821"/>
      <w:bookmarkStart w:id="2565" w:name="_Toc405372367"/>
      <w:bookmarkStart w:id="2566" w:name="_Toc437936015"/>
      <w:r w:rsidRPr="00BD1319">
        <w:t xml:space="preserve">Los lineamientos de participación que se establecen en este apartado desarrollan las directrices definidas a este respecto en la Constitución </w:t>
      </w:r>
      <w:r w:rsidR="00C21ACA" w:rsidRPr="00BD1319">
        <w:t>P</w:t>
      </w:r>
      <w:r w:rsidRPr="00BD1319">
        <w:t xml:space="preserve">olítica, en los acuerdos internacionales de los que Colombia hace parte y en la normativa vigente. Fundamentalmente, los acuerdos internacionales y normas que se toman en consideración son </w:t>
      </w:r>
      <w:r w:rsidRPr="00BD1319">
        <w:rPr>
          <w:rFonts w:cs="Arial"/>
        </w:rPr>
        <w:t>la Convención Americana sobre Derechos Humanos</w:t>
      </w:r>
      <w:r w:rsidRPr="00BD1319">
        <w:rPr>
          <w:rStyle w:val="Refdenotaalpie"/>
          <w:lang w:val="es-CO"/>
        </w:rPr>
        <w:footnoteReference w:id="94"/>
      </w:r>
      <w:r w:rsidRPr="00BD1319">
        <w:rPr>
          <w:rFonts w:cs="Arial"/>
        </w:rPr>
        <w:t xml:space="preserve">, </w:t>
      </w:r>
      <w:r w:rsidRPr="00BD1319">
        <w:t>la Carta mundial de la naturaleza</w:t>
      </w:r>
      <w:r w:rsidRPr="00BD1319">
        <w:rPr>
          <w:rStyle w:val="Refdenotaalpie"/>
          <w:lang w:val="es-CO"/>
        </w:rPr>
        <w:footnoteReference w:id="95"/>
      </w:r>
      <w:r w:rsidRPr="00BD1319">
        <w:t xml:space="preserve">, el </w:t>
      </w:r>
      <w:r w:rsidRPr="00BD1319">
        <w:rPr>
          <w:rFonts w:cs="Arial"/>
        </w:rPr>
        <w:t xml:space="preserve">principio 10 de la Declaración de Río sobre el medio </w:t>
      </w:r>
      <w:r w:rsidRPr="00BD1319">
        <w:rPr>
          <w:rFonts w:cs="Arial"/>
        </w:rPr>
        <w:lastRenderedPageBreak/>
        <w:t>ambiente y el desarrollo de 1992</w:t>
      </w:r>
      <w:r w:rsidRPr="00BD1319">
        <w:rPr>
          <w:rStyle w:val="Refdenotaalpie"/>
          <w:lang w:val="es-CO"/>
        </w:rPr>
        <w:footnoteReference w:id="96"/>
      </w:r>
      <w:r w:rsidRPr="00BD1319">
        <w:rPr>
          <w:rFonts w:cs="Arial"/>
        </w:rPr>
        <w:t>, el Programa 21</w:t>
      </w:r>
      <w:r w:rsidRPr="00BD1319">
        <w:rPr>
          <w:rStyle w:val="Refdenotaalpie"/>
          <w:lang w:val="es-CO"/>
        </w:rPr>
        <w:footnoteReference w:id="97"/>
      </w:r>
      <w:r w:rsidRPr="00BD1319">
        <w:rPr>
          <w:rFonts w:cs="Arial"/>
        </w:rPr>
        <w:t xml:space="preserve">, </w:t>
      </w:r>
      <w:r w:rsidRPr="00BD1319">
        <w:t xml:space="preserve">la </w:t>
      </w:r>
      <w:r w:rsidRPr="00BD1319">
        <w:rPr>
          <w:rFonts w:cs="Arial"/>
        </w:rPr>
        <w:t>Ley 99 de 1993</w:t>
      </w:r>
      <w:r w:rsidRPr="00BD1319">
        <w:rPr>
          <w:vertAlign w:val="superscript"/>
        </w:rPr>
        <w:footnoteReference w:id="98"/>
      </w:r>
      <w:r w:rsidRPr="00BD1319">
        <w:rPr>
          <w:rFonts w:cs="Arial"/>
        </w:rPr>
        <w:t>, la Ley 1437 de 2011</w:t>
      </w:r>
      <w:r w:rsidRPr="00BD1319">
        <w:rPr>
          <w:rStyle w:val="Refdenotaalpie"/>
          <w:lang w:val="es-CO"/>
        </w:rPr>
        <w:footnoteReference w:id="99"/>
      </w:r>
      <w:r w:rsidRPr="00BD1319">
        <w:rPr>
          <w:rFonts w:cs="Arial"/>
        </w:rPr>
        <w:t>, la Ley Estatutaria 1712 de 2014</w:t>
      </w:r>
      <w:r w:rsidRPr="00BD1319">
        <w:rPr>
          <w:vertAlign w:val="superscript"/>
        </w:rPr>
        <w:footnoteReference w:id="100"/>
      </w:r>
      <w:r w:rsidRPr="00BD1319">
        <w:rPr>
          <w:rFonts w:cs="Arial"/>
        </w:rPr>
        <w:t xml:space="preserve"> y la Ley 1755 de 2015</w:t>
      </w:r>
      <w:r w:rsidRPr="00BD1319">
        <w:rPr>
          <w:vertAlign w:val="superscript"/>
        </w:rPr>
        <w:footnoteReference w:id="101"/>
      </w:r>
      <w:r w:rsidRPr="00BD1319">
        <w:t>.</w:t>
      </w:r>
    </w:p>
    <w:p w14:paraId="7273983A" w14:textId="77777777" w:rsidR="00533295" w:rsidRPr="00BD1319" w:rsidRDefault="00533295" w:rsidP="00533295">
      <w:pPr>
        <w:numPr>
          <w:ilvl w:val="12"/>
          <w:numId w:val="0"/>
        </w:numPr>
        <w:tabs>
          <w:tab w:val="left" w:pos="-2268"/>
        </w:tabs>
        <w:suppressAutoHyphens/>
        <w:rPr>
          <w:rFonts w:cs="Arial"/>
        </w:rPr>
      </w:pPr>
    </w:p>
    <w:p w14:paraId="57A3E4B3" w14:textId="2C59696C" w:rsidR="00533295" w:rsidRPr="00BD1319" w:rsidRDefault="00533295" w:rsidP="00533295">
      <w:pPr>
        <w:numPr>
          <w:ilvl w:val="12"/>
          <w:numId w:val="0"/>
        </w:numPr>
        <w:tabs>
          <w:tab w:val="left" w:pos="-2268"/>
        </w:tabs>
        <w:suppressAutoHyphens/>
        <w:rPr>
          <w:spacing w:val="-3"/>
        </w:rPr>
      </w:pPr>
      <w:r w:rsidRPr="00BD1319">
        <w:rPr>
          <w:rFonts w:cs="Arial"/>
        </w:rPr>
        <w:t xml:space="preserve">El proceso de participación pública para la elaboración de estudios ambientales desarrolla múltiples </w:t>
      </w:r>
      <w:r w:rsidRPr="00BD1319">
        <w:t xml:space="preserve">disposiciones de la Constitución </w:t>
      </w:r>
      <w:r w:rsidR="00C21ACA" w:rsidRPr="00BD1319">
        <w:t>P</w:t>
      </w:r>
      <w:r w:rsidRPr="00BD1319">
        <w:t>olítica de Colombia</w:t>
      </w:r>
      <w:r w:rsidRPr="00BD1319">
        <w:rPr>
          <w:rFonts w:cs="Arial"/>
        </w:rPr>
        <w:t>, entre ellas la que dispone que</w:t>
      </w:r>
      <w:r w:rsidRPr="00BD1319">
        <w:t xml:space="preserve"> la participación </w:t>
      </w:r>
      <w:r w:rsidRPr="00BD1319">
        <w:rPr>
          <w:rFonts w:cs="Arial"/>
        </w:rPr>
        <w:t>es</w:t>
      </w:r>
      <w:r w:rsidRPr="00BD1319">
        <w:t xml:space="preserve"> un derecho fundamental y</w:t>
      </w:r>
      <w:r w:rsidRPr="00BD1319">
        <w:rPr>
          <w:rFonts w:cs="Arial"/>
        </w:rPr>
        <w:t xml:space="preserve"> que</w:t>
      </w:r>
      <w:r w:rsidRPr="00BD1319">
        <w:t xml:space="preserve"> establece </w:t>
      </w:r>
      <w:r w:rsidRPr="00BD1319">
        <w:rPr>
          <w:rFonts w:cs="Arial"/>
          <w:spacing w:val="-3"/>
        </w:rPr>
        <w:t>que la Ley garantizará la participación de todos los colombianos en las decisiones que puedan afectar su derecho a gozar de un ambiente sano. Este</w:t>
      </w:r>
      <w:r w:rsidRPr="00BD1319">
        <w:rPr>
          <w:spacing w:val="-3"/>
        </w:rPr>
        <w:t xml:space="preserve"> mandato </w:t>
      </w:r>
      <w:r w:rsidRPr="00BD1319">
        <w:rPr>
          <w:rFonts w:cs="Arial"/>
          <w:spacing w:val="-3"/>
        </w:rPr>
        <w:t>ha sido interpretado por</w:t>
      </w:r>
      <w:r w:rsidRPr="00BD1319">
        <w:rPr>
          <w:spacing w:val="-3"/>
        </w:rPr>
        <w:t xml:space="preserve"> la </w:t>
      </w:r>
      <w:r w:rsidRPr="00BD1319">
        <w:rPr>
          <w:rFonts w:cs="Arial"/>
          <w:spacing w:val="-3"/>
        </w:rPr>
        <w:t>Corte Constitucional</w:t>
      </w:r>
      <w:r w:rsidRPr="00BD1319">
        <w:rPr>
          <w:rStyle w:val="Refdenotaalpie"/>
          <w:rFonts w:cs="Arial"/>
          <w:spacing w:val="-3"/>
        </w:rPr>
        <w:footnoteReference w:id="102"/>
      </w:r>
      <w:r w:rsidRPr="00BD1319">
        <w:rPr>
          <w:rFonts w:cs="Arial"/>
          <w:spacing w:val="-3"/>
        </w:rPr>
        <w:t xml:space="preserve"> y reglamentado en la legislación nacional, haciendo posible que </w:t>
      </w:r>
      <w:r w:rsidRPr="00BD1319">
        <w:rPr>
          <w:rFonts w:cs="Arial"/>
        </w:rPr>
        <w:t>el</w:t>
      </w:r>
      <w:r w:rsidRPr="00BD1319">
        <w:t xml:space="preserve"> derecho de acceso a la participación </w:t>
      </w:r>
      <w:r w:rsidRPr="00BD1319">
        <w:rPr>
          <w:rFonts w:cs="Arial"/>
        </w:rPr>
        <w:t>sea pleno y efectivo en todos los procesos</w:t>
      </w:r>
      <w:r w:rsidRPr="00BD1319">
        <w:t xml:space="preserve"> de toma de decisión en cuestiones ambientales</w:t>
      </w:r>
      <w:r w:rsidRPr="00BD1319">
        <w:rPr>
          <w:rFonts w:cs="Arial"/>
        </w:rPr>
        <w:t>.</w:t>
      </w:r>
      <w:r w:rsidRPr="00BD1319">
        <w:rPr>
          <w:spacing w:val="-3"/>
        </w:rPr>
        <w:t xml:space="preserve"> Adicionalmente, </w:t>
      </w:r>
      <w:r w:rsidRPr="00BD1319">
        <w:rPr>
          <w:rFonts w:cs="Arial"/>
        </w:rPr>
        <w:t>estas disposiciones permiten que el proceso de toma de decisiones del licenciamiento ambiental goce de legitimidad, se incremente la confianza entre las partes y se promueva la transparencia.</w:t>
      </w:r>
    </w:p>
    <w:p w14:paraId="45899C24" w14:textId="77777777" w:rsidR="00533295" w:rsidRPr="00BD1319" w:rsidRDefault="00533295" w:rsidP="00533295">
      <w:pPr>
        <w:numPr>
          <w:ilvl w:val="12"/>
          <w:numId w:val="0"/>
        </w:numPr>
        <w:tabs>
          <w:tab w:val="left" w:pos="-2268"/>
        </w:tabs>
        <w:suppressAutoHyphens/>
      </w:pPr>
    </w:p>
    <w:p w14:paraId="1E966C8D" w14:textId="2A64376F" w:rsidR="00533295" w:rsidRPr="00BD1319" w:rsidRDefault="00533295" w:rsidP="00533295">
      <w:pPr>
        <w:pStyle w:val="Ttulo2"/>
      </w:pPr>
      <w:bookmarkStart w:id="2567" w:name="_Toc153811817"/>
      <w:bookmarkStart w:id="2568" w:name="_Toc153812030"/>
      <w:bookmarkStart w:id="2569" w:name="_Toc153812435"/>
      <w:bookmarkStart w:id="2570" w:name="_Toc158907145"/>
      <w:bookmarkStart w:id="2571" w:name="_Toc159826145"/>
      <w:bookmarkStart w:id="2572" w:name="_Toc159826579"/>
      <w:bookmarkStart w:id="2573" w:name="_Toc175326409"/>
      <w:bookmarkStart w:id="2574" w:name="_Toc153811818"/>
      <w:bookmarkStart w:id="2575" w:name="_Toc153812031"/>
      <w:bookmarkStart w:id="2576" w:name="_Toc153812436"/>
      <w:bookmarkStart w:id="2577" w:name="_Toc158907146"/>
      <w:bookmarkStart w:id="2578" w:name="_Toc159826146"/>
      <w:bookmarkStart w:id="2579" w:name="_Toc159826580"/>
      <w:bookmarkStart w:id="2580" w:name="_Toc175326410"/>
      <w:bookmarkStart w:id="2581" w:name="_Toc175326752"/>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r w:rsidRPr="00BD1319">
        <w:rPr>
          <w:lang w:val="es-CO"/>
        </w:rPr>
        <w:t>CARACTERÍSTICAS Y ALCANCES DE LA PARTICIPACIÓN</w:t>
      </w:r>
      <w:bookmarkEnd w:id="2581"/>
    </w:p>
    <w:p w14:paraId="0BCF1619" w14:textId="77777777" w:rsidR="00533295" w:rsidRPr="00BD1319" w:rsidRDefault="00533295" w:rsidP="00533295">
      <w:pPr>
        <w:overflowPunct/>
        <w:autoSpaceDE/>
        <w:autoSpaceDN/>
        <w:adjustRightInd/>
        <w:ind w:right="57"/>
        <w:textAlignment w:val="auto"/>
        <w:rPr>
          <w:rFonts w:cs="Arial"/>
        </w:rPr>
      </w:pPr>
    </w:p>
    <w:p w14:paraId="228F6B64" w14:textId="77777777" w:rsidR="00533295" w:rsidRPr="00BD1319" w:rsidRDefault="00533295" w:rsidP="00533295">
      <w:pPr>
        <w:overflowPunct/>
        <w:autoSpaceDE/>
        <w:autoSpaceDN/>
        <w:adjustRightInd/>
        <w:ind w:right="57"/>
        <w:textAlignment w:val="auto"/>
        <w:rPr>
          <w:rFonts w:cs="Arial"/>
        </w:rPr>
      </w:pPr>
      <w:r w:rsidRPr="00BD1319">
        <w:rPr>
          <w:rFonts w:cs="Arial"/>
        </w:rPr>
        <w:lastRenderedPageBreak/>
        <w:t xml:space="preserve">La participación en el licenciamiento ambiental, incluido el proceso de elaboración de estudios ambientales, debe ser efectiva. Ello quiere decir que ésta debe ser abierta e inclusiva, debe abordarse </w:t>
      </w:r>
      <w:r w:rsidRPr="00BD1319">
        <w:t>desde las primeras etapas del proceso de toma de decisión, debe ocuparse de informar tempranamente a la ciudadanía sobre la posibilidad de participar en él y debe integrar las preocupaciones y el conocimiento y saberes del público en las decisiones sobre los proyectos que generan impactos ambientales significativos</w:t>
      </w:r>
      <w:r w:rsidRPr="00BD1319">
        <w:rPr>
          <w:rFonts w:cs="Arial"/>
        </w:rPr>
        <w:t>, es decir, debe brindar la posibilidad de que el público incida en las decisiones.</w:t>
      </w:r>
    </w:p>
    <w:p w14:paraId="7317988B" w14:textId="77777777" w:rsidR="00533295" w:rsidRPr="00BD1319" w:rsidRDefault="00533295" w:rsidP="00533295">
      <w:pPr>
        <w:overflowPunct/>
        <w:autoSpaceDE/>
        <w:autoSpaceDN/>
        <w:adjustRightInd/>
        <w:ind w:right="57"/>
        <w:textAlignment w:val="auto"/>
        <w:rPr>
          <w:rFonts w:cs="Arial"/>
        </w:rPr>
      </w:pPr>
    </w:p>
    <w:p w14:paraId="6B43F5B1" w14:textId="4EBA6761" w:rsidR="00533295" w:rsidRPr="00BD1319" w:rsidRDefault="00533295" w:rsidP="00533295">
      <w:pPr>
        <w:overflowPunct/>
        <w:autoSpaceDE/>
        <w:autoSpaceDN/>
        <w:adjustRightInd/>
        <w:ind w:right="57"/>
        <w:textAlignment w:val="auto"/>
        <w:rPr>
          <w:rFonts w:cs="Arial"/>
        </w:rPr>
      </w:pPr>
      <w:r w:rsidRPr="00BD1319">
        <w:rPr>
          <w:rFonts w:cs="Arial"/>
        </w:rPr>
        <w:t>La efectividad de la participación también depende de que se ejecute aplicando los principios de máxima publicidad y transparencia, sin discriminación, de manera clara, oportuna y equitativa y de que involucre activamente al público mediante espacios permanentes de diálogo, deliberación y concertación</w:t>
      </w:r>
      <w:r w:rsidR="005D18C9" w:rsidRPr="00BD1319">
        <w:rPr>
          <w:rFonts w:cs="Arial"/>
        </w:rPr>
        <w:t xml:space="preserve"> para garantizar que, especialmente, las personas o grupos que encuentran mayores dificultades para acceder a la información</w:t>
      </w:r>
      <w:r w:rsidR="005D18C9" w:rsidRPr="00BD1319">
        <w:rPr>
          <w:rStyle w:val="Refdenotaalpie"/>
          <w:rFonts w:cs="Arial"/>
        </w:rPr>
        <w:footnoteReference w:id="103"/>
      </w:r>
      <w:r w:rsidR="005D18C9" w:rsidRPr="00BD1319">
        <w:rPr>
          <w:rFonts w:cs="Arial"/>
        </w:rPr>
        <w:t xml:space="preserve"> puedan ejercer su derecho a la participación</w:t>
      </w:r>
      <w:r w:rsidRPr="00BD1319">
        <w:rPr>
          <w:rFonts w:cs="Arial"/>
        </w:rPr>
        <w:t>.</w:t>
      </w:r>
    </w:p>
    <w:p w14:paraId="29358867" w14:textId="77777777" w:rsidR="00533295" w:rsidRPr="00BD1319" w:rsidRDefault="00533295" w:rsidP="00533295">
      <w:pPr>
        <w:numPr>
          <w:ilvl w:val="12"/>
          <w:numId w:val="0"/>
        </w:numPr>
        <w:tabs>
          <w:tab w:val="left" w:pos="-2268"/>
        </w:tabs>
        <w:suppressAutoHyphens/>
        <w:rPr>
          <w:rFonts w:cs="Arial"/>
        </w:rPr>
      </w:pPr>
    </w:p>
    <w:p w14:paraId="05BEB010" w14:textId="14099662" w:rsidR="00533295" w:rsidRPr="00BD1319" w:rsidRDefault="00533295" w:rsidP="00533295">
      <w:pPr>
        <w:numPr>
          <w:ilvl w:val="12"/>
          <w:numId w:val="0"/>
        </w:numPr>
        <w:tabs>
          <w:tab w:val="left" w:pos="-2268"/>
        </w:tabs>
        <w:suppressAutoHyphens/>
        <w:rPr>
          <w:rFonts w:cs="Arial"/>
        </w:rPr>
      </w:pPr>
      <w:r w:rsidRPr="00BD1319">
        <w:rPr>
          <w:rFonts w:cs="Arial"/>
        </w:rPr>
        <w:t xml:space="preserve">Para </w:t>
      </w:r>
      <w:r w:rsidRPr="00BD1319">
        <w:rPr>
          <w:spacing w:val="-3"/>
        </w:rPr>
        <w:t xml:space="preserve">satisfacer y garantizar el derecho de </w:t>
      </w:r>
      <w:r w:rsidRPr="00BD1319">
        <w:rPr>
          <w:rFonts w:cs="Arial"/>
          <w:spacing w:val="-3"/>
        </w:rPr>
        <w:t>acceso a la participación de</w:t>
      </w:r>
      <w:r w:rsidR="00AC1555" w:rsidRPr="00BD1319">
        <w:rPr>
          <w:rFonts w:cs="Arial"/>
          <w:spacing w:val="-3"/>
        </w:rPr>
        <w:t xml:space="preserve"> </w:t>
      </w:r>
      <w:r w:rsidRPr="00BD1319">
        <w:rPr>
          <w:rFonts w:cs="Arial"/>
          <w:spacing w:val="-3"/>
        </w:rPr>
        <w:t>los grupos de interés</w:t>
      </w:r>
      <w:r w:rsidRPr="00BD1319">
        <w:rPr>
          <w:spacing w:val="-3"/>
        </w:rPr>
        <w:t xml:space="preserve"> del área de influencia del medio socioeconómico</w:t>
      </w:r>
      <w:r w:rsidRPr="00BD1319">
        <w:rPr>
          <w:rFonts w:cs="Arial"/>
          <w:spacing w:val="-3"/>
        </w:rPr>
        <w:t xml:space="preserve"> y </w:t>
      </w:r>
      <w:r w:rsidRPr="00BD1319">
        <w:rPr>
          <w:rFonts w:cs="Arial"/>
        </w:rPr>
        <w:t xml:space="preserve">asegurar espacios amplios y suficientes de participación, es necesario que éste se realice mediante un diálogo que contemple aspectos de tipo técnico y de un enfoque diferencial que asegure la participación de personas </w:t>
      </w:r>
      <w:r w:rsidR="002C5B64" w:rsidRPr="00BD1319">
        <w:rPr>
          <w:rFonts w:cs="Arial"/>
        </w:rPr>
        <w:t>o grupos con mayores dificultades para acceder a la información</w:t>
      </w:r>
      <w:r w:rsidR="002C5B64" w:rsidRPr="00BD1319">
        <w:rPr>
          <w:rStyle w:val="Refdenotaalpie"/>
          <w:rFonts w:cs="Arial"/>
        </w:rPr>
        <w:footnoteReference w:id="104"/>
      </w:r>
      <w:r w:rsidRPr="00BD1319">
        <w:rPr>
          <w:rFonts w:cs="Arial"/>
        </w:rPr>
        <w:t xml:space="preserve">, sujetos de especial protección </w:t>
      </w:r>
      <w:r w:rsidR="002C5B64" w:rsidRPr="00BD1319">
        <w:rPr>
          <w:rFonts w:cs="Arial"/>
        </w:rPr>
        <w:t>constitucional</w:t>
      </w:r>
      <w:r w:rsidR="00D264DF" w:rsidRPr="00BD1319">
        <w:rPr>
          <w:rStyle w:val="Refdenotaalpie"/>
          <w:rFonts w:cs="Arial"/>
          <w:spacing w:val="-3"/>
        </w:rPr>
        <w:footnoteReference w:id="105"/>
      </w:r>
      <w:r w:rsidR="002C5B64" w:rsidRPr="00BD1319">
        <w:rPr>
          <w:rFonts w:cs="Arial"/>
        </w:rPr>
        <w:t xml:space="preserve"> </w:t>
      </w:r>
      <w:r w:rsidRPr="00BD1319">
        <w:rPr>
          <w:rFonts w:cs="Arial"/>
        </w:rPr>
        <w:t xml:space="preserve">y personas u organizaciones defensoras de derechos humanos en materia ambiental, </w:t>
      </w:r>
      <w:r w:rsidR="005F12C8" w:rsidRPr="00BD1319">
        <w:rPr>
          <w:rFonts w:cs="Arial"/>
        </w:rPr>
        <w:t xml:space="preserve">así </w:t>
      </w:r>
      <w:r w:rsidRPr="00BD1319">
        <w:rPr>
          <w:rFonts w:cs="Arial"/>
        </w:rPr>
        <w:t>como también las dimensiones definidas en Prada et al. (2014):</w:t>
      </w:r>
    </w:p>
    <w:p w14:paraId="7F7504B7" w14:textId="77777777" w:rsidR="00533295" w:rsidRPr="00BD1319" w:rsidRDefault="00533295" w:rsidP="00533295">
      <w:pPr>
        <w:numPr>
          <w:ilvl w:val="12"/>
          <w:numId w:val="0"/>
        </w:numPr>
        <w:tabs>
          <w:tab w:val="left" w:pos="-2268"/>
          <w:tab w:val="left" w:pos="3315"/>
        </w:tabs>
        <w:suppressAutoHyphens/>
        <w:rPr>
          <w:rFonts w:cs="Arial"/>
        </w:rPr>
      </w:pPr>
    </w:p>
    <w:p w14:paraId="4742D572" w14:textId="77777777" w:rsidR="00533295" w:rsidRPr="00BD1319" w:rsidRDefault="00533295" w:rsidP="00533295">
      <w:pPr>
        <w:numPr>
          <w:ilvl w:val="0"/>
          <w:numId w:val="82"/>
        </w:numPr>
        <w:overflowPunct/>
        <w:autoSpaceDE/>
        <w:autoSpaceDN/>
        <w:adjustRightInd/>
        <w:ind w:left="567" w:hanging="567"/>
        <w:textAlignment w:val="auto"/>
        <w:rPr>
          <w:rFonts w:cs="Arial"/>
        </w:rPr>
      </w:pPr>
      <w:r w:rsidRPr="00BD1319">
        <w:rPr>
          <w:rFonts w:cs="Arial"/>
        </w:rPr>
        <w:t>Dimensión del contenido: generalmente es la primera (y a veces la única) en la que se piensa. Tiene que ver con los temas sobre los que versa el diálogo.</w:t>
      </w:r>
    </w:p>
    <w:p w14:paraId="6A033EB8" w14:textId="77777777" w:rsidR="00533295" w:rsidRPr="00BD1319" w:rsidRDefault="00533295" w:rsidP="00533295">
      <w:pPr>
        <w:overflowPunct/>
        <w:autoSpaceDE/>
        <w:autoSpaceDN/>
        <w:adjustRightInd/>
        <w:ind w:left="567" w:hanging="567"/>
        <w:textAlignment w:val="auto"/>
        <w:rPr>
          <w:rFonts w:cs="Arial"/>
        </w:rPr>
      </w:pPr>
    </w:p>
    <w:p w14:paraId="1989FD8D" w14:textId="4EDAE50C" w:rsidR="00533295" w:rsidRPr="00BD1319" w:rsidRDefault="00533295" w:rsidP="00533295">
      <w:pPr>
        <w:numPr>
          <w:ilvl w:val="0"/>
          <w:numId w:val="82"/>
        </w:numPr>
        <w:overflowPunct/>
        <w:autoSpaceDE/>
        <w:autoSpaceDN/>
        <w:adjustRightInd/>
        <w:ind w:left="567" w:hanging="567"/>
        <w:textAlignment w:val="auto"/>
        <w:rPr>
          <w:rFonts w:cs="Arial"/>
        </w:rPr>
      </w:pPr>
      <w:r w:rsidRPr="00BD1319">
        <w:rPr>
          <w:rFonts w:cs="Arial"/>
        </w:rPr>
        <w:t>Dimensión social: aborda las relaciones entre los actores y su entorno humano.</w:t>
      </w:r>
    </w:p>
    <w:p w14:paraId="5DD0C27E" w14:textId="77777777" w:rsidR="00533295" w:rsidRPr="00BD1319" w:rsidRDefault="00533295" w:rsidP="00533295">
      <w:pPr>
        <w:overflowPunct/>
        <w:autoSpaceDE/>
        <w:autoSpaceDN/>
        <w:adjustRightInd/>
        <w:textAlignment w:val="auto"/>
        <w:rPr>
          <w:rFonts w:cs="Arial"/>
        </w:rPr>
      </w:pPr>
    </w:p>
    <w:p w14:paraId="2CC2456C" w14:textId="77777777" w:rsidR="00533295" w:rsidRPr="00BD1319" w:rsidRDefault="00533295" w:rsidP="00533295">
      <w:pPr>
        <w:numPr>
          <w:ilvl w:val="0"/>
          <w:numId w:val="82"/>
        </w:numPr>
        <w:overflowPunct/>
        <w:autoSpaceDE/>
        <w:autoSpaceDN/>
        <w:adjustRightInd/>
        <w:ind w:left="567" w:hanging="567"/>
        <w:textAlignment w:val="auto"/>
        <w:rPr>
          <w:rFonts w:cs="Arial"/>
        </w:rPr>
      </w:pPr>
      <w:r w:rsidRPr="00BD1319">
        <w:rPr>
          <w:rFonts w:cs="Arial"/>
        </w:rPr>
        <w:t>Dimensión espacial: se refiere a los lugares, sedes y entornos físicos del diálogo.</w:t>
      </w:r>
    </w:p>
    <w:p w14:paraId="33EE1E6C" w14:textId="77777777" w:rsidR="00533295" w:rsidRPr="00BD1319" w:rsidRDefault="00533295" w:rsidP="00533295">
      <w:pPr>
        <w:overflowPunct/>
        <w:autoSpaceDE/>
        <w:autoSpaceDN/>
        <w:adjustRightInd/>
        <w:textAlignment w:val="auto"/>
        <w:rPr>
          <w:rFonts w:cs="Arial"/>
        </w:rPr>
      </w:pPr>
    </w:p>
    <w:p w14:paraId="5111D513" w14:textId="3E91E715" w:rsidR="00533295" w:rsidRPr="00BD1319" w:rsidRDefault="00533295" w:rsidP="00533295">
      <w:pPr>
        <w:numPr>
          <w:ilvl w:val="0"/>
          <w:numId w:val="82"/>
        </w:numPr>
        <w:overflowPunct/>
        <w:autoSpaceDE/>
        <w:autoSpaceDN/>
        <w:adjustRightInd/>
        <w:ind w:left="567" w:hanging="567"/>
        <w:textAlignment w:val="auto"/>
        <w:rPr>
          <w:rFonts w:cs="Arial"/>
        </w:rPr>
      </w:pPr>
      <w:r w:rsidRPr="00BD1319">
        <w:rPr>
          <w:rFonts w:cs="Arial"/>
        </w:rPr>
        <w:t>Dimensión temporal: los tiempos, momentos, horarios y cronología del diálogo.</w:t>
      </w:r>
    </w:p>
    <w:p w14:paraId="34280A74" w14:textId="77777777" w:rsidR="00533295" w:rsidRPr="00BD1319" w:rsidRDefault="00533295" w:rsidP="00533295">
      <w:pPr>
        <w:overflowPunct/>
        <w:autoSpaceDE/>
        <w:autoSpaceDN/>
        <w:adjustRightInd/>
        <w:textAlignment w:val="auto"/>
        <w:rPr>
          <w:rFonts w:cs="Arial"/>
        </w:rPr>
      </w:pPr>
    </w:p>
    <w:p w14:paraId="7F25C1BA" w14:textId="7E5AF5C7" w:rsidR="00533295" w:rsidRPr="00BD1319" w:rsidRDefault="00533295" w:rsidP="00533295">
      <w:pPr>
        <w:numPr>
          <w:ilvl w:val="0"/>
          <w:numId w:val="82"/>
        </w:numPr>
        <w:overflowPunct/>
        <w:autoSpaceDE/>
        <w:autoSpaceDN/>
        <w:adjustRightInd/>
        <w:ind w:left="567" w:hanging="567"/>
        <w:textAlignment w:val="auto"/>
        <w:rPr>
          <w:rFonts w:cs="Arial"/>
        </w:rPr>
      </w:pPr>
      <w:r w:rsidRPr="00BD1319">
        <w:rPr>
          <w:rFonts w:cs="Arial"/>
        </w:rPr>
        <w:t>Dimensión simbólica: relacionada con signos, símbolos e íconos presentes en espacios de diálogo, que pueden ayudar o dificultar el diálogo mismo.</w:t>
      </w:r>
    </w:p>
    <w:p w14:paraId="6686089C" w14:textId="77777777" w:rsidR="00533295" w:rsidRPr="00BD1319" w:rsidRDefault="00533295" w:rsidP="00533295">
      <w:pPr>
        <w:overflowPunct/>
        <w:autoSpaceDE/>
        <w:autoSpaceDN/>
        <w:adjustRightInd/>
        <w:textAlignment w:val="auto"/>
        <w:rPr>
          <w:rFonts w:cs="Arial"/>
        </w:rPr>
      </w:pPr>
    </w:p>
    <w:p w14:paraId="3F05353E" w14:textId="77777777" w:rsidR="00533295" w:rsidRPr="00BD1319" w:rsidRDefault="00533295" w:rsidP="00533295">
      <w:pPr>
        <w:numPr>
          <w:ilvl w:val="0"/>
          <w:numId w:val="82"/>
        </w:numPr>
        <w:overflowPunct/>
        <w:autoSpaceDE/>
        <w:autoSpaceDN/>
        <w:adjustRightInd/>
        <w:ind w:left="567" w:hanging="567"/>
        <w:textAlignment w:val="auto"/>
        <w:rPr>
          <w:rFonts w:cs="Arial"/>
        </w:rPr>
      </w:pPr>
      <w:r w:rsidRPr="00BD1319">
        <w:rPr>
          <w:rFonts w:cs="Arial"/>
        </w:rPr>
        <w:t>Dimensión cultural: relacionada con la anterior y enfocada en los valores, sistemas de creencias de las personas y sus implicaciones en el diálogo.</w:t>
      </w:r>
    </w:p>
    <w:p w14:paraId="45D86CEE" w14:textId="77777777" w:rsidR="00533295" w:rsidRPr="00BD1319" w:rsidRDefault="00533295" w:rsidP="00533295">
      <w:pPr>
        <w:numPr>
          <w:ilvl w:val="12"/>
          <w:numId w:val="0"/>
        </w:numPr>
        <w:tabs>
          <w:tab w:val="left" w:pos="-2268"/>
        </w:tabs>
        <w:suppressAutoHyphens/>
        <w:rPr>
          <w:rFonts w:cs="Arial"/>
          <w:spacing w:val="-3"/>
        </w:rPr>
      </w:pPr>
    </w:p>
    <w:p w14:paraId="1AD7C566" w14:textId="403BF1BD" w:rsidR="00533295" w:rsidRPr="00BD1319" w:rsidRDefault="00533295" w:rsidP="00533295">
      <w:pPr>
        <w:numPr>
          <w:ilvl w:val="12"/>
          <w:numId w:val="0"/>
        </w:numPr>
        <w:tabs>
          <w:tab w:val="left" w:pos="-2268"/>
        </w:tabs>
        <w:suppressAutoHyphens/>
        <w:rPr>
          <w:rFonts w:cs="Arial"/>
        </w:rPr>
      </w:pPr>
      <w:r w:rsidRPr="00BD1319">
        <w:rPr>
          <w:spacing w:val="-3"/>
        </w:rPr>
        <w:t xml:space="preserve">La participación no debe entenderse solamente como un proceso del que toman parte varios actores para diseñar, ejecutar y hacer seguimiento a decisiones públicas, sino como un mecanismo que permite que se reflejen las demandas sociales en términos de la exigencia de derechos (Velásquez et al., 2020). Así, </w:t>
      </w:r>
      <w:r w:rsidRPr="00BD1319">
        <w:rPr>
          <w:rFonts w:cs="Arial"/>
        </w:rPr>
        <w:t>la participación en el ámbito del licenciamiento ambiental se constituye en una forma de intervención social que involucra y permite a los grupos de interés incidir en las decisiones que se toman frente al alcance de un proyecto, obra o actividad, a la determinación y valoración de sus impactos ambientales y a la formulación de medidas de manejo, entre otros aspectos.</w:t>
      </w:r>
    </w:p>
    <w:p w14:paraId="62BC92D9" w14:textId="77777777" w:rsidR="00533295" w:rsidRPr="00BD1319" w:rsidRDefault="00533295" w:rsidP="00533295">
      <w:pPr>
        <w:numPr>
          <w:ilvl w:val="12"/>
          <w:numId w:val="0"/>
        </w:numPr>
        <w:tabs>
          <w:tab w:val="left" w:pos="-2268"/>
        </w:tabs>
        <w:suppressAutoHyphens/>
        <w:rPr>
          <w:rFonts w:cs="Arial"/>
        </w:rPr>
      </w:pPr>
    </w:p>
    <w:p w14:paraId="775A82E5" w14:textId="56B5B6F3" w:rsidR="00533295" w:rsidRPr="00BD1319" w:rsidRDefault="00533295" w:rsidP="00533295">
      <w:pPr>
        <w:numPr>
          <w:ilvl w:val="12"/>
          <w:numId w:val="0"/>
        </w:numPr>
        <w:tabs>
          <w:tab w:val="left" w:pos="-2268"/>
        </w:tabs>
        <w:suppressAutoHyphens/>
        <w:rPr>
          <w:spacing w:val="-3"/>
        </w:rPr>
      </w:pPr>
      <w:r w:rsidRPr="00BD1319">
        <w:rPr>
          <w:spacing w:val="-3"/>
        </w:rPr>
        <w:t xml:space="preserve">Por lo tanto, para </w:t>
      </w:r>
      <w:r w:rsidRPr="00BD1319">
        <w:rPr>
          <w:rFonts w:cs="Arial"/>
          <w:spacing w:val="-3"/>
        </w:rPr>
        <w:t xml:space="preserve">procurar </w:t>
      </w:r>
      <w:r w:rsidRPr="00BD1319">
        <w:rPr>
          <w:spacing w:val="-3"/>
        </w:rPr>
        <w:t xml:space="preserve">que el proceso de participación en el marco de la elaboración </w:t>
      </w:r>
      <w:r w:rsidRPr="00BD1319">
        <w:rPr>
          <w:rFonts w:cs="Arial"/>
          <w:spacing w:val="-3"/>
        </w:rPr>
        <w:t>del</w:t>
      </w:r>
      <w:r w:rsidRPr="00BD1319">
        <w:rPr>
          <w:spacing w:val="-3"/>
        </w:rPr>
        <w:t xml:space="preserve"> EIA sea efectivo es necesario que:</w:t>
      </w:r>
    </w:p>
    <w:p w14:paraId="665C72E4" w14:textId="77777777" w:rsidR="00533295" w:rsidRPr="00BD1319" w:rsidRDefault="00533295" w:rsidP="00533295">
      <w:pPr>
        <w:numPr>
          <w:ilvl w:val="12"/>
          <w:numId w:val="0"/>
        </w:numPr>
        <w:tabs>
          <w:tab w:val="left" w:pos="-2268"/>
        </w:tabs>
        <w:suppressAutoHyphens/>
        <w:rPr>
          <w:spacing w:val="-3"/>
        </w:rPr>
      </w:pPr>
    </w:p>
    <w:p w14:paraId="03B07DA8" w14:textId="14387992" w:rsidR="00533295" w:rsidRPr="00BD1319" w:rsidRDefault="00533295" w:rsidP="00533295">
      <w:pPr>
        <w:numPr>
          <w:ilvl w:val="0"/>
          <w:numId w:val="360"/>
        </w:numPr>
        <w:tabs>
          <w:tab w:val="left" w:pos="-2268"/>
        </w:tabs>
        <w:suppressAutoHyphens/>
        <w:ind w:left="567" w:hanging="567"/>
        <w:rPr>
          <w:spacing w:val="-3"/>
        </w:rPr>
      </w:pPr>
      <w:r w:rsidRPr="00BD1319">
        <w:rPr>
          <w:spacing w:val="-3"/>
        </w:rPr>
        <w:t xml:space="preserve">Se reconozca a las comunidades en la construcción del </w:t>
      </w:r>
      <w:r w:rsidRPr="00BD1319">
        <w:rPr>
          <w:rFonts w:cs="Arial"/>
          <w:spacing w:val="-3"/>
        </w:rPr>
        <w:t>EIA</w:t>
      </w:r>
      <w:r w:rsidRPr="00BD1319">
        <w:rPr>
          <w:spacing w:val="-3"/>
        </w:rPr>
        <w:t>.</w:t>
      </w:r>
    </w:p>
    <w:p w14:paraId="24D14DEE" w14:textId="77777777" w:rsidR="00533295" w:rsidRPr="00BD1319" w:rsidRDefault="00533295" w:rsidP="00533295">
      <w:pPr>
        <w:tabs>
          <w:tab w:val="left" w:pos="-2268"/>
        </w:tabs>
        <w:suppressAutoHyphens/>
        <w:rPr>
          <w:spacing w:val="-3"/>
        </w:rPr>
      </w:pPr>
    </w:p>
    <w:p w14:paraId="0CA76A46" w14:textId="16F6A5A8" w:rsidR="00533295" w:rsidRPr="00BD1319" w:rsidRDefault="00533295" w:rsidP="00533295">
      <w:pPr>
        <w:numPr>
          <w:ilvl w:val="0"/>
          <w:numId w:val="360"/>
        </w:numPr>
        <w:tabs>
          <w:tab w:val="left" w:pos="-2268"/>
        </w:tabs>
        <w:suppressAutoHyphens/>
        <w:ind w:left="567" w:hanging="567"/>
        <w:rPr>
          <w:spacing w:val="-3"/>
        </w:rPr>
      </w:pPr>
      <w:r w:rsidRPr="00BD1319">
        <w:rPr>
          <w:spacing w:val="-3"/>
        </w:rPr>
        <w:t>Se valore el conocimiento local, el diálogo y la interacción de las diferentes visiones y saberes,</w:t>
      </w:r>
      <w:r w:rsidRPr="00BD1319" w:rsidDel="0056057D">
        <w:rPr>
          <w:spacing w:val="-3"/>
        </w:rPr>
        <w:t xml:space="preserve"> </w:t>
      </w:r>
      <w:r w:rsidRPr="00BD1319">
        <w:rPr>
          <w:spacing w:val="-3"/>
        </w:rPr>
        <w:t>y se consideren indispensables los aportes del público en la caracterización ambiental del área de influencia del proyecto, obra o actividad, en la determinación y valoración de los impactos ambientales y en la definición de las medidas de manejo, así como en la toma de decisiones.</w:t>
      </w:r>
    </w:p>
    <w:p w14:paraId="0DA4A57F" w14:textId="77777777" w:rsidR="00533295" w:rsidRPr="00BD1319" w:rsidRDefault="00533295" w:rsidP="00533295">
      <w:pPr>
        <w:tabs>
          <w:tab w:val="left" w:pos="-2268"/>
        </w:tabs>
        <w:suppressAutoHyphens/>
        <w:rPr>
          <w:spacing w:val="-3"/>
        </w:rPr>
      </w:pPr>
    </w:p>
    <w:p w14:paraId="006DB71B" w14:textId="0F3DCDC4" w:rsidR="00533295" w:rsidRPr="00BD1319" w:rsidRDefault="00533295" w:rsidP="00533295">
      <w:pPr>
        <w:numPr>
          <w:ilvl w:val="0"/>
          <w:numId w:val="360"/>
        </w:numPr>
        <w:tabs>
          <w:tab w:val="left" w:pos="-2268"/>
        </w:tabs>
        <w:suppressAutoHyphens/>
        <w:ind w:left="567" w:hanging="567"/>
        <w:rPr>
          <w:spacing w:val="-3"/>
        </w:rPr>
      </w:pPr>
      <w:r w:rsidRPr="00BD1319">
        <w:rPr>
          <w:spacing w:val="-3"/>
        </w:rPr>
        <w:t xml:space="preserve">Se haga uso de estrategias comunicativas, pedagógicas y tecnológicas para facilitar el acceso </w:t>
      </w:r>
      <w:r w:rsidRPr="00BD1319">
        <w:rPr>
          <w:rFonts w:cs="Arial"/>
        </w:rPr>
        <w:t>comprensible,</w:t>
      </w:r>
      <w:r w:rsidRPr="00BD1319">
        <w:rPr>
          <w:spacing w:val="-3"/>
        </w:rPr>
        <w:t xml:space="preserve"> suficiente y oportuno de información asociada al EIA y al proyecto, obra o actividad.</w:t>
      </w:r>
    </w:p>
    <w:p w14:paraId="0C16429B" w14:textId="77777777" w:rsidR="00533295" w:rsidRPr="00BD1319" w:rsidRDefault="00533295" w:rsidP="00533295">
      <w:pPr>
        <w:numPr>
          <w:ilvl w:val="12"/>
          <w:numId w:val="0"/>
        </w:numPr>
        <w:tabs>
          <w:tab w:val="left" w:pos="-2268"/>
        </w:tabs>
        <w:suppressAutoHyphens/>
        <w:rPr>
          <w:spacing w:val="-3"/>
        </w:rPr>
      </w:pPr>
    </w:p>
    <w:p w14:paraId="4D05E5D6" w14:textId="41485769" w:rsidR="00533295" w:rsidRPr="00BD1319" w:rsidRDefault="00533295" w:rsidP="00533295">
      <w:pPr>
        <w:numPr>
          <w:ilvl w:val="12"/>
          <w:numId w:val="0"/>
        </w:numPr>
        <w:tabs>
          <w:tab w:val="left" w:pos="-2268"/>
        </w:tabs>
        <w:suppressAutoHyphens/>
        <w:rPr>
          <w:spacing w:val="-3"/>
        </w:rPr>
      </w:pPr>
      <w:r w:rsidRPr="00BD1319">
        <w:rPr>
          <w:rFonts w:cs="Arial"/>
          <w:spacing w:val="-3"/>
        </w:rPr>
        <w:t>Adicional a la efectividad del</w:t>
      </w:r>
      <w:r w:rsidRPr="00BD1319">
        <w:rPr>
          <w:spacing w:val="-3"/>
        </w:rPr>
        <w:t xml:space="preserve"> proceso de participación en la elaboración del EIA</w:t>
      </w:r>
      <w:r w:rsidRPr="00BD1319">
        <w:rPr>
          <w:rFonts w:cs="Arial"/>
          <w:spacing w:val="-3"/>
        </w:rPr>
        <w:t>, es necesario considerar que éste</w:t>
      </w:r>
      <w:r w:rsidRPr="00BD1319">
        <w:rPr>
          <w:spacing w:val="-3"/>
        </w:rPr>
        <w:t xml:space="preserve"> se dirige a diferentes </w:t>
      </w:r>
      <w:r w:rsidRPr="00BD1319">
        <w:rPr>
          <w:rFonts w:cs="Arial"/>
          <w:spacing w:val="-3"/>
        </w:rPr>
        <w:t>grupos de interés</w:t>
      </w:r>
      <w:r w:rsidRPr="00BD1319">
        <w:rPr>
          <w:spacing w:val="-3"/>
        </w:rPr>
        <w:t xml:space="preserve"> públicos o privados presentes en el área de influencia del medio socioeconómico, que actúan según sus propósitos particulares y representan algún grado de interés o incidencia frente al desarrollo del proyecto, obra </w:t>
      </w:r>
      <w:r w:rsidRPr="00BD1319">
        <w:rPr>
          <w:rFonts w:cs="Arial"/>
          <w:spacing w:val="-3"/>
        </w:rPr>
        <w:t xml:space="preserve">o </w:t>
      </w:r>
      <w:r w:rsidRPr="00BD1319">
        <w:rPr>
          <w:spacing w:val="-3"/>
        </w:rPr>
        <w:t>actividad.</w:t>
      </w:r>
    </w:p>
    <w:p w14:paraId="764F2A8D" w14:textId="77777777" w:rsidR="00533295" w:rsidRPr="00BD1319" w:rsidRDefault="00533295" w:rsidP="00533295">
      <w:pPr>
        <w:numPr>
          <w:ilvl w:val="12"/>
          <w:numId w:val="0"/>
        </w:numPr>
        <w:tabs>
          <w:tab w:val="left" w:pos="-2268"/>
        </w:tabs>
        <w:suppressAutoHyphens/>
        <w:rPr>
          <w:spacing w:val="-3"/>
        </w:rPr>
      </w:pPr>
    </w:p>
    <w:p w14:paraId="562069A5" w14:textId="49929638" w:rsidR="00533295" w:rsidRPr="00BD1319" w:rsidRDefault="00533295" w:rsidP="00533295">
      <w:pPr>
        <w:numPr>
          <w:ilvl w:val="12"/>
          <w:numId w:val="0"/>
        </w:numPr>
        <w:tabs>
          <w:tab w:val="left" w:pos="-2268"/>
        </w:tabs>
        <w:suppressAutoHyphens/>
        <w:rPr>
          <w:spacing w:val="-3"/>
        </w:rPr>
      </w:pPr>
      <w:r w:rsidRPr="00BD1319">
        <w:rPr>
          <w:spacing w:val="-3"/>
        </w:rPr>
        <w:t xml:space="preserve">De esta forma, </w:t>
      </w:r>
      <w:r w:rsidRPr="00BD1319">
        <w:rPr>
          <w:rFonts w:cs="Arial"/>
          <w:spacing w:val="-3"/>
        </w:rPr>
        <w:t xml:space="preserve">los grupos de interés que </w:t>
      </w:r>
      <w:r w:rsidRPr="00BD1319">
        <w:rPr>
          <w:spacing w:val="-3"/>
        </w:rPr>
        <w:t xml:space="preserve">involucra </w:t>
      </w:r>
      <w:r w:rsidRPr="00BD1319">
        <w:rPr>
          <w:rFonts w:cs="Arial"/>
          <w:spacing w:val="-3"/>
        </w:rPr>
        <w:t xml:space="preserve">el proceso de participación incluyen </w:t>
      </w:r>
      <w:r w:rsidRPr="00BD1319">
        <w:rPr>
          <w:spacing w:val="-3"/>
        </w:rPr>
        <w:t xml:space="preserve">a la comunidad en general, a diferentes organizaciones sociales, a instituciones </w:t>
      </w:r>
      <w:r w:rsidRPr="00BD1319">
        <w:rPr>
          <w:spacing w:val="-3"/>
        </w:rPr>
        <w:lastRenderedPageBreak/>
        <w:t xml:space="preserve">presentes en el área de influencia del medio socioeconómico, a los actores que directa o indirectamente puedan verse afectados o ver afectadas sus actividades por el desarrollo del proyecto, obra o actividad (p. </w:t>
      </w:r>
      <w:r w:rsidRPr="00BD1319">
        <w:rPr>
          <w:rFonts w:cs="Arial"/>
          <w:spacing w:val="-3"/>
        </w:rPr>
        <w:t>ej</w:t>
      </w:r>
      <w:r w:rsidRPr="00BD1319">
        <w:rPr>
          <w:spacing w:val="-3"/>
        </w:rPr>
        <w:t xml:space="preserve">. propietarios y habitantes de los predios en los que se ubica el área </w:t>
      </w:r>
      <w:r w:rsidRPr="00BD1319">
        <w:rPr>
          <w:rFonts w:cs="Arial"/>
          <w:spacing w:val="-3"/>
        </w:rPr>
        <w:t>por</w:t>
      </w:r>
      <w:r w:rsidRPr="00BD1319">
        <w:rPr>
          <w:spacing w:val="-3"/>
        </w:rPr>
        <w:t xml:space="preserve"> intervenir), así como </w:t>
      </w:r>
      <w:r w:rsidRPr="00BD1319">
        <w:rPr>
          <w:rFonts w:cs="Arial"/>
          <w:spacing w:val="-3"/>
        </w:rPr>
        <w:t xml:space="preserve">a </w:t>
      </w:r>
      <w:r w:rsidR="00AC1555" w:rsidRPr="00BD1319">
        <w:rPr>
          <w:rFonts w:cs="Arial"/>
          <w:spacing w:val="-3"/>
        </w:rPr>
        <w:t xml:space="preserve">autoridades </w:t>
      </w:r>
      <w:r w:rsidR="00D308BF" w:rsidRPr="00BD1319">
        <w:rPr>
          <w:rFonts w:cs="Arial"/>
          <w:spacing w:val="-3"/>
        </w:rPr>
        <w:t>diferentes a las ambientales con jurisdicción en el área de influencia</w:t>
      </w:r>
      <w:r w:rsidRPr="00BD1319">
        <w:rPr>
          <w:spacing w:val="-3"/>
        </w:rPr>
        <w:t>.</w:t>
      </w:r>
    </w:p>
    <w:p w14:paraId="3481B3B0" w14:textId="77777777" w:rsidR="00533295" w:rsidRPr="00BD1319" w:rsidRDefault="00533295" w:rsidP="00533295">
      <w:pPr>
        <w:numPr>
          <w:ilvl w:val="12"/>
          <w:numId w:val="0"/>
        </w:numPr>
        <w:tabs>
          <w:tab w:val="left" w:pos="-2268"/>
        </w:tabs>
        <w:suppressAutoHyphens/>
        <w:rPr>
          <w:spacing w:val="-3"/>
        </w:rPr>
      </w:pPr>
    </w:p>
    <w:p w14:paraId="6ED72B1F" w14:textId="44BB6C80" w:rsidR="00533295" w:rsidRPr="00BD1319" w:rsidRDefault="00D308BF" w:rsidP="00533295">
      <w:pPr>
        <w:numPr>
          <w:ilvl w:val="12"/>
          <w:numId w:val="0"/>
        </w:numPr>
        <w:tabs>
          <w:tab w:val="left" w:pos="-2268"/>
        </w:tabs>
        <w:suppressAutoHyphens/>
        <w:rPr>
          <w:spacing w:val="-3"/>
        </w:rPr>
      </w:pPr>
      <w:r w:rsidRPr="00BD1319">
        <w:rPr>
          <w:rFonts w:cs="Arial"/>
          <w:spacing w:val="-3"/>
        </w:rPr>
        <w:t>De igual forma</w:t>
      </w:r>
      <w:r w:rsidR="00533295" w:rsidRPr="00BD1319">
        <w:rPr>
          <w:rFonts w:cs="Arial"/>
          <w:spacing w:val="-3"/>
        </w:rPr>
        <w:t>, y de</w:t>
      </w:r>
      <w:r w:rsidR="00533295" w:rsidRPr="00BD1319">
        <w:rPr>
          <w:spacing w:val="-3"/>
        </w:rPr>
        <w:t xml:space="preserve"> acuerdo con el alcance del proyecto, obra o actividad, la participación debe contemplar a las autoridades nacionales en caso de que afecte las áreas del Sistema de Parques Nacionales Naturales (SPNN), a las autoridades regionales o departamentales en los casos en que el proyecto, obra o actividad sea considerado de interés regional o el área de influencia se circunscriba a unidades de análisis territorial que comprendan más de un departamento, y a las autoridades municipales en todos los casos</w:t>
      </w:r>
      <w:r w:rsidR="00533295" w:rsidRPr="00BD1319">
        <w:rPr>
          <w:rFonts w:cs="Arial"/>
          <w:bCs/>
          <w:spacing w:val="-3"/>
        </w:rPr>
        <w:t>, es</w:t>
      </w:r>
      <w:r w:rsidR="00533295" w:rsidRPr="00BD1319">
        <w:rPr>
          <w:spacing w:val="-3"/>
        </w:rPr>
        <w:t xml:space="preserve"> decir, a las autoridades de los municipios en los que se ubica el área de influencia del proyecto, obra o actividad.</w:t>
      </w:r>
    </w:p>
    <w:p w14:paraId="4F9E2957" w14:textId="77777777" w:rsidR="00533295" w:rsidRPr="00BD1319" w:rsidRDefault="00533295" w:rsidP="00533295">
      <w:pPr>
        <w:numPr>
          <w:ilvl w:val="12"/>
          <w:numId w:val="0"/>
        </w:numPr>
        <w:tabs>
          <w:tab w:val="left" w:pos="-2268"/>
        </w:tabs>
        <w:suppressAutoHyphens/>
        <w:rPr>
          <w:spacing w:val="-3"/>
        </w:rPr>
      </w:pPr>
    </w:p>
    <w:p w14:paraId="01A4C9CC" w14:textId="653E5412" w:rsidR="00533295" w:rsidRPr="00BD1319" w:rsidRDefault="00533295" w:rsidP="00533295">
      <w:pPr>
        <w:numPr>
          <w:ilvl w:val="12"/>
          <w:numId w:val="0"/>
        </w:numPr>
        <w:tabs>
          <w:tab w:val="left" w:pos="-2268"/>
        </w:tabs>
        <w:suppressAutoHyphens/>
        <w:rPr>
          <w:spacing w:val="-3"/>
        </w:rPr>
      </w:pPr>
      <w:r w:rsidRPr="00BD1319">
        <w:rPr>
          <w:spacing w:val="-3"/>
        </w:rPr>
        <w:t>Por otra parte, la información que se ponga a disposición de los grupos de interés durante los espacios de participación debe estar relacionada tanto con el proceso mismo de participación (señalando cuestiones sobre su metodología, alcance, condiciones de intervención, entre otras), como con las características ambientales del área de influencia, las particularidades del proyecto, obra o actividad, los impactos que supondría su ejecución y las medidas que se proponen para manejarlos, entre otros contenidos del EIA en elaboración</w:t>
      </w:r>
      <w:r w:rsidRPr="00BD1319">
        <w:rPr>
          <w:rStyle w:val="Refdenotaalpie"/>
          <w:spacing w:val="-3"/>
        </w:rPr>
        <w:footnoteReference w:id="106"/>
      </w:r>
      <w:r w:rsidRPr="00BD1319">
        <w:rPr>
          <w:spacing w:val="-3"/>
        </w:rPr>
        <w:t>.</w:t>
      </w:r>
    </w:p>
    <w:p w14:paraId="29DE4CC2" w14:textId="77777777" w:rsidR="00533295" w:rsidRPr="00BD1319" w:rsidRDefault="00533295" w:rsidP="00533295">
      <w:pPr>
        <w:numPr>
          <w:ilvl w:val="12"/>
          <w:numId w:val="0"/>
        </w:numPr>
        <w:tabs>
          <w:tab w:val="left" w:pos="-2268"/>
        </w:tabs>
        <w:suppressAutoHyphens/>
        <w:rPr>
          <w:spacing w:val="-3"/>
        </w:rPr>
      </w:pPr>
    </w:p>
    <w:p w14:paraId="50338A6A" w14:textId="232C341F" w:rsidR="00533295" w:rsidRPr="00BD1319" w:rsidRDefault="00533295" w:rsidP="00533295">
      <w:pPr>
        <w:numPr>
          <w:ilvl w:val="12"/>
          <w:numId w:val="0"/>
        </w:numPr>
        <w:tabs>
          <w:tab w:val="left" w:pos="-2268"/>
        </w:tabs>
        <w:suppressAutoHyphens/>
        <w:rPr>
          <w:spacing w:val="-3"/>
        </w:rPr>
      </w:pPr>
      <w:r w:rsidRPr="00BD1319">
        <w:rPr>
          <w:spacing w:val="-3"/>
        </w:rPr>
        <w:t>Toda la información que se comunique de forma oral, escrita o visual ya sea en los espacios de diálogo o al emplear medios de difusión electrónicos o magnéticos, debe ser transparente y tener características que permitan que los grupos de interés accedan efectivamente a ésta. Por ello, es necesario implementar enfoques y estrategias diferenciales acordes con las características sociales y culturales de los grupos de interés, bajo los cuales la información:</w:t>
      </w:r>
    </w:p>
    <w:p w14:paraId="6451E4FA" w14:textId="77777777" w:rsidR="00533295" w:rsidRPr="00BD1319" w:rsidRDefault="00533295" w:rsidP="00C70AAE">
      <w:pPr>
        <w:tabs>
          <w:tab w:val="left" w:pos="-2268"/>
        </w:tabs>
        <w:suppressAutoHyphens/>
        <w:rPr>
          <w:spacing w:val="-3"/>
        </w:rPr>
      </w:pPr>
    </w:p>
    <w:p w14:paraId="34CA3286" w14:textId="77777777" w:rsidR="00533295" w:rsidRPr="00BD1319" w:rsidRDefault="00533295" w:rsidP="00533295">
      <w:pPr>
        <w:numPr>
          <w:ilvl w:val="0"/>
          <w:numId w:val="360"/>
        </w:numPr>
        <w:tabs>
          <w:tab w:val="left" w:pos="-2268"/>
        </w:tabs>
        <w:suppressAutoHyphens/>
        <w:ind w:left="567" w:hanging="567"/>
        <w:rPr>
          <w:rFonts w:cs="Arial"/>
          <w:spacing w:val="-3"/>
        </w:rPr>
      </w:pPr>
      <w:r w:rsidRPr="00BD1319">
        <w:rPr>
          <w:rFonts w:cs="Arial"/>
          <w:spacing w:val="-3"/>
        </w:rPr>
        <w:t>Provea en un lenguaje y formato que facilite tanto su comprensión y uso (por ejemplo, haciendo uso de la lengua de señas o interpretando conceptos técnicos para que sean compresibles y puedan ser analizados), como su divulgación a través de diversos canales complementarios.</w:t>
      </w:r>
    </w:p>
    <w:p w14:paraId="4C010124" w14:textId="77777777" w:rsidR="00533295" w:rsidRPr="00BD1319" w:rsidRDefault="00533295" w:rsidP="00533295">
      <w:pPr>
        <w:tabs>
          <w:tab w:val="left" w:pos="-2268"/>
        </w:tabs>
        <w:suppressAutoHyphens/>
        <w:rPr>
          <w:spacing w:val="-3"/>
        </w:rPr>
      </w:pPr>
    </w:p>
    <w:p w14:paraId="5D95A056" w14:textId="77777777" w:rsidR="00533295" w:rsidRPr="00BD1319" w:rsidRDefault="00533295" w:rsidP="00533295">
      <w:pPr>
        <w:numPr>
          <w:ilvl w:val="0"/>
          <w:numId w:val="360"/>
        </w:numPr>
        <w:tabs>
          <w:tab w:val="left" w:pos="-2268"/>
        </w:tabs>
        <w:suppressAutoHyphens/>
        <w:ind w:left="567" w:hanging="567"/>
        <w:rPr>
          <w:rFonts w:cs="Arial"/>
          <w:spacing w:val="-3"/>
        </w:rPr>
      </w:pPr>
      <w:r w:rsidRPr="00BD1319">
        <w:rPr>
          <w:rFonts w:cs="Arial"/>
          <w:spacing w:val="-3"/>
        </w:rPr>
        <w:t>Difunda en el idioma o lengua propia de los grupos de interés para facilitar su comprensión, así como para garantizar que puedan participar de forma efectiva</w:t>
      </w:r>
    </w:p>
    <w:p w14:paraId="5034F069" w14:textId="77777777" w:rsidR="00533295" w:rsidRPr="00BD1319" w:rsidRDefault="00533295" w:rsidP="00533295">
      <w:pPr>
        <w:tabs>
          <w:tab w:val="left" w:pos="-2268"/>
        </w:tabs>
        <w:suppressAutoHyphens/>
        <w:rPr>
          <w:spacing w:val="-3"/>
        </w:rPr>
      </w:pPr>
    </w:p>
    <w:p w14:paraId="19F7DEF0" w14:textId="77777777" w:rsidR="00533295" w:rsidRPr="00BD1319" w:rsidRDefault="00533295" w:rsidP="00533295">
      <w:pPr>
        <w:numPr>
          <w:ilvl w:val="0"/>
          <w:numId w:val="360"/>
        </w:numPr>
        <w:tabs>
          <w:tab w:val="left" w:pos="-2268"/>
        </w:tabs>
        <w:suppressAutoHyphens/>
        <w:ind w:left="567" w:hanging="567"/>
        <w:rPr>
          <w:rFonts w:cs="Arial"/>
          <w:spacing w:val="-3"/>
        </w:rPr>
      </w:pPr>
      <w:r w:rsidRPr="00BD1319">
        <w:rPr>
          <w:rFonts w:cs="Arial"/>
          <w:spacing w:val="-3"/>
        </w:rPr>
        <w:lastRenderedPageBreak/>
        <w:t>Divulgue mediante piezas gráficas cortas que puedan ser publicadas constantemente a través de la página web y las redes sociales disponibles, carteleras dispuestas en lugares públicos de gran afluencia, o puntos itinerantes de información que permitan a los interesados acercarse a consultar y despejar dudas, entre otros medios.</w:t>
      </w:r>
    </w:p>
    <w:p w14:paraId="55305B27" w14:textId="77777777" w:rsidR="00533295" w:rsidRPr="00BD1319" w:rsidRDefault="00533295" w:rsidP="00533295">
      <w:pPr>
        <w:rPr>
          <w:spacing w:val="-3"/>
        </w:rPr>
      </w:pPr>
    </w:p>
    <w:p w14:paraId="3B25C953" w14:textId="77777777" w:rsidR="00533295" w:rsidRPr="00BD1319" w:rsidRDefault="00533295" w:rsidP="00533295">
      <w:pPr>
        <w:tabs>
          <w:tab w:val="left" w:pos="-2268"/>
        </w:tabs>
        <w:suppressAutoHyphens/>
        <w:rPr>
          <w:rFonts w:cs="Arial"/>
          <w:spacing w:val="-3"/>
        </w:rPr>
      </w:pPr>
      <w:r w:rsidRPr="00BD1319">
        <w:rPr>
          <w:rFonts w:cs="Arial"/>
          <w:spacing w:val="-3"/>
        </w:rPr>
        <w:t>Adicional a la estrategia para comunicar información, es necesario establecer mecanismos y medios adicionales a los espacios de diálogo que posibiliten la recepción y respuesta a inquietudes u observaciones relacionadas con el proceso de participación y con las características del área de influencia, el proyecto, obra o actividad, sus impactos ambientales y las medidas de manejo propuestas, entre otros elementos del EIA en elaboración.</w:t>
      </w:r>
    </w:p>
    <w:p w14:paraId="33A94D0B" w14:textId="77777777" w:rsidR="00533295" w:rsidRPr="00BD1319" w:rsidRDefault="00533295" w:rsidP="00533295">
      <w:pPr>
        <w:numPr>
          <w:ilvl w:val="12"/>
          <w:numId w:val="0"/>
        </w:numPr>
        <w:tabs>
          <w:tab w:val="left" w:pos="-2268"/>
        </w:tabs>
        <w:suppressAutoHyphens/>
        <w:rPr>
          <w:spacing w:val="-3"/>
        </w:rPr>
      </w:pPr>
    </w:p>
    <w:p w14:paraId="00FD7B50" w14:textId="71D84D38" w:rsidR="00533295" w:rsidRPr="00BD1319" w:rsidRDefault="00533295" w:rsidP="00533295">
      <w:pPr>
        <w:numPr>
          <w:ilvl w:val="12"/>
          <w:numId w:val="0"/>
        </w:numPr>
        <w:tabs>
          <w:tab w:val="left" w:pos="-2268"/>
        </w:tabs>
        <w:suppressAutoHyphens/>
        <w:rPr>
          <w:spacing w:val="-3"/>
        </w:rPr>
      </w:pPr>
      <w:r w:rsidRPr="00BD1319">
        <w:rPr>
          <w:rFonts w:cs="Arial"/>
          <w:spacing w:val="-3"/>
        </w:rPr>
        <w:t>Por todo lo anterior, la</w:t>
      </w:r>
      <w:r w:rsidRPr="00BD1319">
        <w:rPr>
          <w:spacing w:val="-3"/>
        </w:rPr>
        <w:t xml:space="preserve"> participación en el marco de la elaboración de los EIA debe garantizar los siguientes propósitos:</w:t>
      </w:r>
    </w:p>
    <w:p w14:paraId="17705726" w14:textId="77777777" w:rsidR="00533295" w:rsidRPr="00BD1319" w:rsidRDefault="00533295" w:rsidP="00533295">
      <w:pPr>
        <w:numPr>
          <w:ilvl w:val="12"/>
          <w:numId w:val="0"/>
        </w:numPr>
        <w:tabs>
          <w:tab w:val="left" w:pos="-2268"/>
        </w:tabs>
        <w:suppressAutoHyphens/>
        <w:rPr>
          <w:spacing w:val="-3"/>
        </w:rPr>
      </w:pPr>
    </w:p>
    <w:p w14:paraId="4BCC114A" w14:textId="121753E2" w:rsidR="00533295" w:rsidRPr="00BD1319" w:rsidRDefault="00533295" w:rsidP="000D6E21">
      <w:pPr>
        <w:numPr>
          <w:ilvl w:val="0"/>
          <w:numId w:val="360"/>
        </w:numPr>
        <w:tabs>
          <w:tab w:val="left" w:pos="-2268"/>
        </w:tabs>
        <w:suppressAutoHyphens/>
        <w:ind w:left="567" w:hanging="567"/>
        <w:rPr>
          <w:spacing w:val="-3"/>
        </w:rPr>
      </w:pPr>
      <w:r w:rsidRPr="00BD1319">
        <w:rPr>
          <w:spacing w:val="-3"/>
        </w:rPr>
        <w:t>Proporcionar información pertinente</w:t>
      </w:r>
      <w:r w:rsidRPr="00BD1319">
        <w:rPr>
          <w:rFonts w:cs="Arial"/>
          <w:spacing w:val="-3"/>
        </w:rPr>
        <w:t xml:space="preserve"> mediante enfoques diferenciales</w:t>
      </w:r>
      <w:r w:rsidRPr="00BD1319">
        <w:rPr>
          <w:spacing w:val="-3"/>
        </w:rPr>
        <w:t xml:space="preserve">, de manera equitativa, transparente, oportuna y comprensible para la participación libre y efectiva de los </w:t>
      </w:r>
      <w:r w:rsidRPr="00BD1319">
        <w:rPr>
          <w:rFonts w:cs="Arial"/>
          <w:spacing w:val="-3"/>
        </w:rPr>
        <w:t>grupos de interés</w:t>
      </w:r>
      <w:r w:rsidRPr="00BD1319">
        <w:rPr>
          <w:spacing w:val="-3"/>
        </w:rPr>
        <w:t xml:space="preserve"> del área de influencia del medio socioeconómico.</w:t>
      </w:r>
    </w:p>
    <w:p w14:paraId="6EC029F8" w14:textId="77777777" w:rsidR="00533295" w:rsidRPr="00BD1319" w:rsidRDefault="00533295" w:rsidP="000D6E21">
      <w:pPr>
        <w:tabs>
          <w:tab w:val="left" w:pos="-2268"/>
        </w:tabs>
        <w:suppressAutoHyphens/>
        <w:rPr>
          <w:spacing w:val="-3"/>
        </w:rPr>
      </w:pPr>
    </w:p>
    <w:p w14:paraId="5D170EC5" w14:textId="77777777" w:rsidR="00533295" w:rsidRPr="00BD1319" w:rsidRDefault="00533295" w:rsidP="00533295">
      <w:pPr>
        <w:numPr>
          <w:ilvl w:val="0"/>
          <w:numId w:val="360"/>
        </w:numPr>
        <w:tabs>
          <w:tab w:val="left" w:pos="-2268"/>
        </w:tabs>
        <w:suppressAutoHyphens/>
        <w:ind w:left="567" w:hanging="567"/>
        <w:rPr>
          <w:rFonts w:cs="Arial"/>
          <w:spacing w:val="-3"/>
        </w:rPr>
      </w:pPr>
      <w:r w:rsidRPr="00BD1319">
        <w:rPr>
          <w:rFonts w:cs="Arial"/>
          <w:spacing w:val="-3"/>
        </w:rPr>
        <w:t>Promover la deliberación, argumentación, formulación de aportes y definición de acuerdos entre los actores involucrados, en especial sobre la determinación y valoración de los impactos ambientales que pueden generar las actividades previstas en cada una de las fases del proyecto, obra o actividad, y sobre las medidas de manejo ambiental encaminadas a prevenir, mitigar, corregir o compensar tales impactos.</w:t>
      </w:r>
    </w:p>
    <w:p w14:paraId="589E892F" w14:textId="77777777" w:rsidR="00533295" w:rsidRPr="00BD1319" w:rsidRDefault="00533295" w:rsidP="00533295">
      <w:pPr>
        <w:tabs>
          <w:tab w:val="left" w:pos="-2268"/>
        </w:tabs>
        <w:suppressAutoHyphens/>
        <w:rPr>
          <w:rFonts w:cs="Arial"/>
          <w:spacing w:val="-3"/>
        </w:rPr>
      </w:pPr>
    </w:p>
    <w:p w14:paraId="5501C64F" w14:textId="77777777" w:rsidR="00533295" w:rsidRPr="00BD1319" w:rsidRDefault="00533295" w:rsidP="000D6E21">
      <w:pPr>
        <w:numPr>
          <w:ilvl w:val="0"/>
          <w:numId w:val="360"/>
        </w:numPr>
        <w:tabs>
          <w:tab w:val="left" w:pos="-2268"/>
        </w:tabs>
        <w:suppressAutoHyphens/>
        <w:ind w:left="567" w:hanging="567"/>
        <w:rPr>
          <w:spacing w:val="-3"/>
        </w:rPr>
      </w:pPr>
      <w:r w:rsidRPr="00BD1319">
        <w:rPr>
          <w:spacing w:val="-3"/>
        </w:rPr>
        <w:t>Informar a los actores los resultados del EIA de manera previa a la radicación ante la autoridad ambiental competente. En estos espacios se deben presentar las recomendaciones y propuestas formuladas durante el proceso de participación que se incluyeron en el estudio ambiental, las que no se consideraron pertinentes y los argumentos que llevaron a apartar estas últimas del estudio.</w:t>
      </w:r>
    </w:p>
    <w:p w14:paraId="4021B6AA" w14:textId="77777777" w:rsidR="00533295" w:rsidRPr="00BD1319" w:rsidRDefault="00533295" w:rsidP="00533295">
      <w:pPr>
        <w:numPr>
          <w:ilvl w:val="12"/>
          <w:numId w:val="0"/>
        </w:numPr>
        <w:tabs>
          <w:tab w:val="left" w:pos="-2268"/>
        </w:tabs>
        <w:suppressAutoHyphens/>
        <w:rPr>
          <w:spacing w:val="-3"/>
        </w:rPr>
      </w:pPr>
    </w:p>
    <w:p w14:paraId="68697C29" w14:textId="60FC6B44" w:rsidR="00533295" w:rsidRPr="00BD1319" w:rsidRDefault="00533295" w:rsidP="00533295">
      <w:r w:rsidRPr="00BD1319">
        <w:t>En síntesis, el proceso de participación pública ambiental debe enfocarse en dar acceso a información suficiente y permanente sobre el proyecto, obra o actividad y el EIA, en asegurar un diálogo en doble vía que permita la interacción de las partes, en asegurar que la participación sea efectiva con capacidad de incidencia en la elaboración del EIA y en informar sobre los resultados del EIA.</w:t>
      </w:r>
    </w:p>
    <w:p w14:paraId="31CD1A05" w14:textId="77777777" w:rsidR="00533295" w:rsidRPr="00BD1319" w:rsidRDefault="00533295" w:rsidP="00533295">
      <w:pPr>
        <w:numPr>
          <w:ilvl w:val="12"/>
          <w:numId w:val="0"/>
        </w:numPr>
        <w:tabs>
          <w:tab w:val="left" w:pos="-2268"/>
        </w:tabs>
        <w:suppressAutoHyphens/>
        <w:rPr>
          <w:rFonts w:cs="Arial"/>
          <w:spacing w:val="-3"/>
        </w:rPr>
      </w:pPr>
    </w:p>
    <w:p w14:paraId="4B385355" w14:textId="34CC0B6F" w:rsidR="00FB7128" w:rsidRPr="00BD1319" w:rsidRDefault="00FB7128" w:rsidP="00533295">
      <w:pPr>
        <w:numPr>
          <w:ilvl w:val="12"/>
          <w:numId w:val="0"/>
        </w:numPr>
        <w:tabs>
          <w:tab w:val="left" w:pos="-2268"/>
        </w:tabs>
        <w:suppressAutoHyphens/>
        <w:rPr>
          <w:rFonts w:cs="Arial"/>
          <w:spacing w:val="-3"/>
        </w:rPr>
      </w:pPr>
      <w:r w:rsidRPr="00BD1319">
        <w:rPr>
          <w:rFonts w:cs="Arial"/>
          <w:spacing w:val="-3"/>
        </w:rPr>
        <w:lastRenderedPageBreak/>
        <w:t xml:space="preserve">El proceso de participación constituye un </w:t>
      </w:r>
      <w:r w:rsidR="00185401" w:rsidRPr="00BD1319">
        <w:rPr>
          <w:rFonts w:cs="Arial"/>
          <w:spacing w:val="-3"/>
        </w:rPr>
        <w:t xml:space="preserve">escenario propicio para obtener información que permita implementar el principio de debida diligencia y de esta forma facilite que, a lo largo del proceso del licenciamiento ambiental, </w:t>
      </w:r>
      <w:r w:rsidR="00185401" w:rsidRPr="00BD1319">
        <w:rPr>
          <w:rFonts w:cs="Arial"/>
          <w:lang w:val="es-ES"/>
        </w:rPr>
        <w:t xml:space="preserve">se determine, prevenga, mitigue y explique la manera en que </w:t>
      </w:r>
      <w:r w:rsidR="00415D30" w:rsidRPr="00BD1319">
        <w:rPr>
          <w:rFonts w:cs="Arial"/>
          <w:lang w:val="es-ES"/>
        </w:rPr>
        <w:t xml:space="preserve">se </w:t>
      </w:r>
      <w:r w:rsidR="00185401" w:rsidRPr="00BD1319">
        <w:rPr>
          <w:rFonts w:cs="Arial"/>
          <w:lang w:val="es-ES"/>
        </w:rPr>
        <w:t>abordan los impactos a los derechos humanos</w:t>
      </w:r>
      <w:r w:rsidRPr="00BD1319">
        <w:rPr>
          <w:rFonts w:cs="Arial"/>
          <w:spacing w:val="-3"/>
        </w:rPr>
        <w:t>.</w:t>
      </w:r>
    </w:p>
    <w:p w14:paraId="52C79B8A" w14:textId="77777777" w:rsidR="00FB7128" w:rsidRPr="00BD1319" w:rsidRDefault="00FB7128" w:rsidP="00533295">
      <w:pPr>
        <w:numPr>
          <w:ilvl w:val="12"/>
          <w:numId w:val="0"/>
        </w:numPr>
        <w:tabs>
          <w:tab w:val="left" w:pos="-2268"/>
        </w:tabs>
        <w:suppressAutoHyphens/>
        <w:rPr>
          <w:rFonts w:cs="Arial"/>
          <w:spacing w:val="-3"/>
        </w:rPr>
      </w:pPr>
    </w:p>
    <w:p w14:paraId="246C0597" w14:textId="77777777" w:rsidR="00533295" w:rsidRPr="00BD1319" w:rsidRDefault="00533295" w:rsidP="00533295">
      <w:pPr>
        <w:numPr>
          <w:ilvl w:val="12"/>
          <w:numId w:val="0"/>
        </w:numPr>
        <w:tabs>
          <w:tab w:val="left" w:pos="-2268"/>
        </w:tabs>
        <w:suppressAutoHyphens/>
        <w:rPr>
          <w:rFonts w:cs="Arial"/>
          <w:spacing w:val="-3"/>
        </w:rPr>
      </w:pPr>
      <w:r w:rsidRPr="00BD1319">
        <w:rPr>
          <w:spacing w:val="-3"/>
        </w:rPr>
        <w:t>De otra parte, e</w:t>
      </w:r>
      <w:r w:rsidRPr="00BD1319">
        <w:rPr>
          <w:rFonts w:cs="Arial"/>
          <w:spacing w:val="-3"/>
        </w:rPr>
        <w:t>n caso de presentarse dificultades durante el proceso de participación, incluso cuando se emplean mecanismos virtuales, se deben especificar y soportar de manera detallada las situaciones que impiden el desarrollo de un adecuado proceso participativo de los grupos de interés, así como las acciones adelantadas para garantizar la efectividad de éste.</w:t>
      </w:r>
    </w:p>
    <w:p w14:paraId="5F1F282D" w14:textId="77777777" w:rsidR="00533295" w:rsidRPr="00BD1319" w:rsidRDefault="00533295" w:rsidP="00533295">
      <w:pPr>
        <w:numPr>
          <w:ilvl w:val="12"/>
          <w:numId w:val="0"/>
        </w:numPr>
        <w:tabs>
          <w:tab w:val="left" w:pos="-2268"/>
          <w:tab w:val="left" w:pos="1306"/>
        </w:tabs>
        <w:suppressAutoHyphens/>
        <w:rPr>
          <w:rFonts w:cs="Arial"/>
          <w:spacing w:val="-3"/>
        </w:rPr>
      </w:pPr>
    </w:p>
    <w:p w14:paraId="455645F7" w14:textId="77777777" w:rsidR="00533295" w:rsidRPr="00BD1319" w:rsidRDefault="00533295" w:rsidP="00533295">
      <w:pPr>
        <w:numPr>
          <w:ilvl w:val="12"/>
          <w:numId w:val="0"/>
        </w:numPr>
        <w:tabs>
          <w:tab w:val="left" w:pos="-2268"/>
        </w:tabs>
        <w:suppressAutoHyphens/>
        <w:rPr>
          <w:spacing w:val="-3"/>
        </w:rPr>
      </w:pPr>
      <w:r w:rsidRPr="00BD1319">
        <w:rPr>
          <w:spacing w:val="-3"/>
        </w:rPr>
        <w:t xml:space="preserve">En caso de que se determine la procedencia y oportunidad de la consulta previa, de acuerdo con </w:t>
      </w:r>
      <w:r w:rsidRPr="00BD1319">
        <w:rPr>
          <w:rFonts w:cs="Arial"/>
          <w:spacing w:val="-3"/>
        </w:rPr>
        <w:t>lo establecido por la normativa vigente, se debe dar cumplimiento a lo establecido por el Ministerio del Interior - Dirección de la Autoridad Nacional de Consulta Previa (DANCP), o quién haga sus veces</w:t>
      </w:r>
      <w:r w:rsidRPr="00BD1319">
        <w:rPr>
          <w:spacing w:val="-3"/>
        </w:rPr>
        <w:t xml:space="preserve"> para adelantar este proceso de consulta.</w:t>
      </w:r>
    </w:p>
    <w:p w14:paraId="19C6F41E" w14:textId="77777777" w:rsidR="00533295" w:rsidRPr="00BD1319" w:rsidRDefault="00533295" w:rsidP="00533295">
      <w:pPr>
        <w:numPr>
          <w:ilvl w:val="12"/>
          <w:numId w:val="0"/>
        </w:numPr>
        <w:tabs>
          <w:tab w:val="left" w:pos="-2268"/>
        </w:tabs>
        <w:suppressAutoHyphens/>
        <w:rPr>
          <w:spacing w:val="-3"/>
        </w:rPr>
      </w:pPr>
    </w:p>
    <w:p w14:paraId="008FDF25" w14:textId="77777777" w:rsidR="00533295" w:rsidRPr="00BD1319" w:rsidRDefault="00533295" w:rsidP="00533295">
      <w:pPr>
        <w:numPr>
          <w:ilvl w:val="12"/>
          <w:numId w:val="0"/>
        </w:numPr>
        <w:tabs>
          <w:tab w:val="left" w:pos="-2268"/>
        </w:tabs>
        <w:suppressAutoHyphens/>
        <w:rPr>
          <w:spacing w:val="-3"/>
        </w:rPr>
      </w:pPr>
      <w:r w:rsidRPr="00BD1319">
        <w:rPr>
          <w:spacing w:val="-3"/>
        </w:rPr>
        <w:t>Cuando se prevea la ocurrencia de impactos ambientales significativos transfronterizos, esta situación debe ser informada a la autoridad ambiental competente y presentar un procedimiento para la socialización a los grupos de interés de los países afectados; este procedimiento debe establecer los lugares y fechas para la ejecución de las reuniones y audiencias públicas que se planee convocar, e incluir información básica sobre las características del proyecto, los impactos ambientales que puede ocasionar y las medidas que se plantean para manejarlos, a fin de que la autoridad ambiental remita dicho procedimiento e información al Ministerio de relaciones exteriores.</w:t>
      </w:r>
    </w:p>
    <w:p w14:paraId="2A70436B" w14:textId="77777777" w:rsidR="00533295" w:rsidRPr="00BD1319" w:rsidRDefault="00533295" w:rsidP="00533295">
      <w:pPr>
        <w:numPr>
          <w:ilvl w:val="12"/>
          <w:numId w:val="0"/>
        </w:numPr>
        <w:tabs>
          <w:tab w:val="left" w:pos="-2268"/>
        </w:tabs>
        <w:suppressAutoHyphens/>
        <w:rPr>
          <w:spacing w:val="-3"/>
        </w:rPr>
      </w:pPr>
    </w:p>
    <w:p w14:paraId="2FD72375" w14:textId="77777777" w:rsidR="00533295" w:rsidRPr="00BD1319" w:rsidRDefault="00533295" w:rsidP="00533295">
      <w:pPr>
        <w:overflowPunct/>
        <w:autoSpaceDE/>
        <w:autoSpaceDN/>
        <w:adjustRightInd/>
        <w:ind w:right="57"/>
        <w:textAlignment w:val="auto"/>
        <w:rPr>
          <w:rFonts w:cs="Arial"/>
        </w:rPr>
      </w:pPr>
      <w:r w:rsidRPr="00BD1319">
        <w:rPr>
          <w:rFonts w:cs="Arial"/>
        </w:rPr>
        <w:t>Si bien estos lineamientos sobre participación se formulan para la elaboración de estudios ambientales, son igualmente aplicables a otras instancias del proceso de licenciamiento ambiental (evaluación de estudios ambientales, seguimiento ambiental a proyectos licenciados, entre otras), pues brindan elementos para que los grupos de interés se pronuncien y participen efectivamente respecto de la materialización de los impactos ambientales previstos y no previstos, de las medidas de manejo ambiental implementadas y de las decisiones públicas asociadas al licenciamiento ambiental, condiciones necesarias para asegurar los derechos de la población y un óptimo desempeño ambiental de los proyectos licenciados.</w:t>
      </w:r>
    </w:p>
    <w:p w14:paraId="6B781EB3" w14:textId="77777777" w:rsidR="00533295" w:rsidRPr="00BD1319" w:rsidRDefault="00533295" w:rsidP="00533295">
      <w:pPr>
        <w:overflowPunct/>
        <w:autoSpaceDE/>
        <w:autoSpaceDN/>
        <w:adjustRightInd/>
        <w:ind w:right="57"/>
        <w:textAlignment w:val="auto"/>
        <w:rPr>
          <w:rFonts w:cs="Arial"/>
        </w:rPr>
      </w:pPr>
    </w:p>
    <w:p w14:paraId="7A3E9D64" w14:textId="77777777" w:rsidR="00533295" w:rsidRPr="00BD1319" w:rsidRDefault="00533295" w:rsidP="00533295">
      <w:pPr>
        <w:numPr>
          <w:ilvl w:val="12"/>
          <w:numId w:val="0"/>
        </w:numPr>
        <w:tabs>
          <w:tab w:val="left" w:pos="-2268"/>
        </w:tabs>
        <w:suppressAutoHyphens/>
        <w:rPr>
          <w:rFonts w:cs="Arial"/>
          <w:spacing w:val="-3"/>
        </w:rPr>
      </w:pPr>
      <w:r w:rsidRPr="00BD1319">
        <w:rPr>
          <w:spacing w:val="-3"/>
        </w:rPr>
        <w:t xml:space="preserve">Para asegurar que el proceso de participación </w:t>
      </w:r>
      <w:r w:rsidRPr="00BD1319">
        <w:rPr>
          <w:rFonts w:cs="Arial"/>
          <w:spacing w:val="-3"/>
        </w:rPr>
        <w:t xml:space="preserve">con los grupos de interés del área de influencia </w:t>
      </w:r>
      <w:r w:rsidRPr="00BD1319">
        <w:rPr>
          <w:spacing w:val="-3"/>
        </w:rPr>
        <w:t xml:space="preserve">se ejecute con las características señaladas en este numeral y para </w:t>
      </w:r>
      <w:r w:rsidRPr="00BD1319">
        <w:rPr>
          <w:rFonts w:cs="Arial"/>
          <w:spacing w:val="-3"/>
        </w:rPr>
        <w:t>que cumpla con sus propósitos, es necesario desarrollar el procedimiento que se describe a continuación.</w:t>
      </w:r>
    </w:p>
    <w:p w14:paraId="4F28FE30" w14:textId="77777777" w:rsidR="00533295" w:rsidRPr="00BD1319" w:rsidRDefault="00533295" w:rsidP="00533295">
      <w:pPr>
        <w:numPr>
          <w:ilvl w:val="12"/>
          <w:numId w:val="0"/>
        </w:numPr>
        <w:tabs>
          <w:tab w:val="left" w:pos="-2268"/>
        </w:tabs>
        <w:suppressAutoHyphens/>
        <w:rPr>
          <w:spacing w:val="-3"/>
        </w:rPr>
      </w:pPr>
    </w:p>
    <w:p w14:paraId="72AC50D3" w14:textId="77777777" w:rsidR="00533295" w:rsidRPr="00BD1319" w:rsidRDefault="00533295" w:rsidP="00533295">
      <w:pPr>
        <w:pStyle w:val="Ttulo2"/>
        <w:rPr>
          <w:bCs/>
          <w:spacing w:val="-3"/>
        </w:rPr>
      </w:pPr>
      <w:bookmarkStart w:id="2582" w:name="_Toc175326753"/>
      <w:r w:rsidRPr="00BD1319">
        <w:rPr>
          <w:bCs/>
          <w:spacing w:val="-3"/>
        </w:rPr>
        <w:lastRenderedPageBreak/>
        <w:t>INSTANCIAS DEL PROCESO DE PARTICIPACIÓN</w:t>
      </w:r>
      <w:bookmarkEnd w:id="2582"/>
    </w:p>
    <w:p w14:paraId="57A5A33D" w14:textId="77777777" w:rsidR="00533295" w:rsidRPr="00BD1319" w:rsidRDefault="00533295" w:rsidP="00533295">
      <w:pPr>
        <w:numPr>
          <w:ilvl w:val="12"/>
          <w:numId w:val="0"/>
        </w:numPr>
        <w:tabs>
          <w:tab w:val="left" w:pos="-2268"/>
        </w:tabs>
        <w:suppressAutoHyphens/>
        <w:rPr>
          <w:spacing w:val="-3"/>
        </w:rPr>
      </w:pPr>
    </w:p>
    <w:p w14:paraId="08744D48" w14:textId="77777777" w:rsidR="00533295" w:rsidRPr="00BD1319" w:rsidRDefault="00533295" w:rsidP="00533295">
      <w:pPr>
        <w:numPr>
          <w:ilvl w:val="12"/>
          <w:numId w:val="0"/>
        </w:numPr>
        <w:tabs>
          <w:tab w:val="left" w:pos="-2268"/>
        </w:tabs>
        <w:suppressAutoHyphens/>
        <w:rPr>
          <w:spacing w:val="-3"/>
          <w:lang w:val="es-ES_tradnl"/>
        </w:rPr>
      </w:pPr>
      <w:r w:rsidRPr="00BD1319">
        <w:rPr>
          <w:spacing w:val="-3"/>
          <w:lang w:val="es-ES_tradnl"/>
        </w:rPr>
        <w:t>A continuación, se presentan los lineamientos que deben aplicarse para desarrollar el proceso de participación mediante tres instancias diferenciadas, a saber: planeación, ejecución de los espacios de participación y, análisis y comunicación de resultados.</w:t>
      </w:r>
    </w:p>
    <w:p w14:paraId="70C568C5" w14:textId="77777777" w:rsidR="00533295" w:rsidRPr="00BD1319" w:rsidRDefault="00533295" w:rsidP="00533295">
      <w:pPr>
        <w:numPr>
          <w:ilvl w:val="12"/>
          <w:numId w:val="0"/>
        </w:numPr>
        <w:tabs>
          <w:tab w:val="left" w:pos="-2268"/>
        </w:tabs>
        <w:suppressAutoHyphens/>
        <w:rPr>
          <w:spacing w:val="-3"/>
          <w:lang w:val="es-ES_tradnl"/>
        </w:rPr>
      </w:pPr>
    </w:p>
    <w:p w14:paraId="60512E72" w14:textId="77777777" w:rsidR="00533295" w:rsidRPr="00BD1319" w:rsidRDefault="00533295" w:rsidP="000D6E21">
      <w:pPr>
        <w:pStyle w:val="Ttulo3"/>
      </w:pPr>
      <w:bookmarkStart w:id="2583" w:name="_Toc175326754"/>
      <w:r w:rsidRPr="00BD1319">
        <w:t>Planeación</w:t>
      </w:r>
      <w:bookmarkEnd w:id="2583"/>
    </w:p>
    <w:p w14:paraId="256FC660" w14:textId="77777777" w:rsidR="00533295" w:rsidRPr="00BD1319" w:rsidRDefault="00533295" w:rsidP="00533295">
      <w:pPr>
        <w:numPr>
          <w:ilvl w:val="12"/>
          <w:numId w:val="0"/>
        </w:numPr>
        <w:tabs>
          <w:tab w:val="left" w:pos="-2268"/>
        </w:tabs>
        <w:suppressAutoHyphens/>
        <w:rPr>
          <w:spacing w:val="-3"/>
        </w:rPr>
      </w:pPr>
    </w:p>
    <w:p w14:paraId="4C1A071F" w14:textId="697C75C1" w:rsidR="00533295" w:rsidRPr="00BD1319" w:rsidRDefault="00533295" w:rsidP="00533295">
      <w:pPr>
        <w:numPr>
          <w:ilvl w:val="12"/>
          <w:numId w:val="0"/>
        </w:numPr>
        <w:tabs>
          <w:tab w:val="left" w:pos="-2268"/>
        </w:tabs>
        <w:suppressAutoHyphens/>
        <w:rPr>
          <w:spacing w:val="-3"/>
        </w:rPr>
      </w:pPr>
      <w:r w:rsidRPr="00BD1319">
        <w:rPr>
          <w:spacing w:val="-3"/>
        </w:rPr>
        <w:t>En esta instancia del proceso de participación pública ambiental se debe analizar la información recopilada en la caracterización ambiental, fundamentalmente la que señala las particularidades sociales, económicas y culturales de los grupos de interés del área de influencia con el fin de establecer estrategias con enfoque diferencial a la medida de cada situación, mecanismos, medios de comunicación y demás elementos que se deben conjugar para desarrollar un proceso de participación efectivo que garantice tanto sus características y propósitos, como la legitimidad del proceso de toma de decisión.</w:t>
      </w:r>
    </w:p>
    <w:p w14:paraId="1D901D96" w14:textId="77777777" w:rsidR="00533295" w:rsidRPr="00BD1319" w:rsidRDefault="00533295" w:rsidP="00533295">
      <w:pPr>
        <w:numPr>
          <w:ilvl w:val="12"/>
          <w:numId w:val="0"/>
        </w:numPr>
        <w:tabs>
          <w:tab w:val="left" w:pos="-2268"/>
        </w:tabs>
        <w:suppressAutoHyphens/>
        <w:rPr>
          <w:spacing w:val="-3"/>
        </w:rPr>
      </w:pPr>
    </w:p>
    <w:p w14:paraId="3CCBB77E" w14:textId="77777777" w:rsidR="00533295" w:rsidRPr="00BD1319" w:rsidRDefault="00533295" w:rsidP="00533295">
      <w:pPr>
        <w:numPr>
          <w:ilvl w:val="12"/>
          <w:numId w:val="0"/>
        </w:numPr>
        <w:tabs>
          <w:tab w:val="left" w:pos="-2268"/>
        </w:tabs>
        <w:suppressAutoHyphens/>
        <w:rPr>
          <w:spacing w:val="-3"/>
        </w:rPr>
      </w:pPr>
      <w:r w:rsidRPr="00BD1319">
        <w:rPr>
          <w:spacing w:val="-3"/>
        </w:rPr>
        <w:t>Para ello es necesario adelantar acciones de identificación de los participantes del proceso, aprestamiento para ejecutar el proceso de participación, preparación de los espacios de participación y realización de la convocatoria.</w:t>
      </w:r>
    </w:p>
    <w:p w14:paraId="6E4B38DC" w14:textId="77777777" w:rsidR="00533295" w:rsidRPr="00BD1319" w:rsidRDefault="00533295" w:rsidP="00533295">
      <w:pPr>
        <w:numPr>
          <w:ilvl w:val="12"/>
          <w:numId w:val="0"/>
        </w:numPr>
        <w:tabs>
          <w:tab w:val="left" w:pos="-2268"/>
        </w:tabs>
        <w:suppressAutoHyphens/>
        <w:rPr>
          <w:spacing w:val="-3"/>
        </w:rPr>
      </w:pPr>
    </w:p>
    <w:p w14:paraId="56D132D3" w14:textId="77777777" w:rsidR="00533295" w:rsidRPr="00BD1319" w:rsidRDefault="00533295" w:rsidP="00533295">
      <w:pPr>
        <w:pStyle w:val="Ttulo4"/>
        <w:tabs>
          <w:tab w:val="clear" w:pos="1844"/>
          <w:tab w:val="num" w:pos="1134"/>
        </w:tabs>
        <w:ind w:left="0"/>
        <w:rPr>
          <w:lang w:val="es-CO"/>
        </w:rPr>
      </w:pPr>
      <w:r w:rsidRPr="00BD1319">
        <w:rPr>
          <w:lang w:val="es-CO"/>
        </w:rPr>
        <w:t>Identificación de los participantes del proceso y de sus características</w:t>
      </w:r>
    </w:p>
    <w:p w14:paraId="3297BFDD" w14:textId="77777777" w:rsidR="00533295" w:rsidRPr="00BD1319" w:rsidRDefault="00533295" w:rsidP="00533295">
      <w:pPr>
        <w:tabs>
          <w:tab w:val="left" w:pos="-2268"/>
        </w:tabs>
        <w:suppressAutoHyphens/>
        <w:rPr>
          <w:spacing w:val="-3"/>
        </w:rPr>
      </w:pPr>
    </w:p>
    <w:p w14:paraId="02A85AC1" w14:textId="77777777" w:rsidR="00533295" w:rsidRPr="00BD1319" w:rsidRDefault="00533295" w:rsidP="00533295">
      <w:pPr>
        <w:tabs>
          <w:tab w:val="left" w:pos="-2268"/>
        </w:tabs>
        <w:suppressAutoHyphens/>
        <w:rPr>
          <w:spacing w:val="-3"/>
        </w:rPr>
      </w:pPr>
      <w:r w:rsidRPr="00BD1319">
        <w:rPr>
          <w:spacing w:val="-3"/>
        </w:rPr>
        <w:t>Se deben identificar los grupos de interés localizados en el área de influencia del proyecto, obra o actividad, y determinar tanto sus principales características sociales, económicas y culturales</w:t>
      </w:r>
      <w:r w:rsidRPr="00BD1319">
        <w:rPr>
          <w:rStyle w:val="Refdenotaalpie"/>
          <w:spacing w:val="-3"/>
        </w:rPr>
        <w:footnoteReference w:id="107"/>
      </w:r>
      <w:r w:rsidRPr="00BD1319">
        <w:rPr>
          <w:spacing w:val="-3"/>
        </w:rPr>
        <w:t>, como el contexto socioeconómico y político y la organización político-administrativa del área de influencia.</w:t>
      </w:r>
    </w:p>
    <w:p w14:paraId="0FAE4CF2" w14:textId="77777777" w:rsidR="00533295" w:rsidRPr="00BD1319" w:rsidRDefault="00533295" w:rsidP="00533295">
      <w:pPr>
        <w:tabs>
          <w:tab w:val="left" w:pos="-2268"/>
        </w:tabs>
        <w:suppressAutoHyphens/>
        <w:rPr>
          <w:spacing w:val="-3"/>
        </w:rPr>
      </w:pPr>
    </w:p>
    <w:p w14:paraId="2CCAA78D" w14:textId="77777777" w:rsidR="00533295" w:rsidRPr="00BD1319" w:rsidRDefault="00533295" w:rsidP="00533295">
      <w:pPr>
        <w:pStyle w:val="Ttulo4"/>
        <w:tabs>
          <w:tab w:val="clear" w:pos="1844"/>
          <w:tab w:val="num" w:pos="1134"/>
        </w:tabs>
        <w:ind w:left="0"/>
        <w:rPr>
          <w:lang w:val="es-CO"/>
        </w:rPr>
      </w:pPr>
      <w:r w:rsidRPr="00BD1319">
        <w:rPr>
          <w:lang w:val="es-CO"/>
        </w:rPr>
        <w:t>Aprestamiento</w:t>
      </w:r>
    </w:p>
    <w:p w14:paraId="758A8936" w14:textId="77777777" w:rsidR="00533295" w:rsidRPr="00BD1319" w:rsidRDefault="00533295" w:rsidP="00533295">
      <w:pPr>
        <w:tabs>
          <w:tab w:val="left" w:pos="-2268"/>
        </w:tabs>
        <w:suppressAutoHyphens/>
        <w:rPr>
          <w:spacing w:val="-3"/>
        </w:rPr>
      </w:pPr>
    </w:p>
    <w:p w14:paraId="5EBED746" w14:textId="77777777" w:rsidR="00533295" w:rsidRPr="00BD1319" w:rsidRDefault="00533295" w:rsidP="000D6E21">
      <w:pPr>
        <w:tabs>
          <w:tab w:val="left" w:pos="-2268"/>
        </w:tabs>
        <w:suppressAutoHyphens/>
        <w:rPr>
          <w:spacing w:val="-3"/>
        </w:rPr>
      </w:pPr>
      <w:r w:rsidRPr="00BD1319">
        <w:rPr>
          <w:rFonts w:cs="Arial"/>
          <w:spacing w:val="-3"/>
        </w:rPr>
        <w:t xml:space="preserve">Se debe elaborar y </w:t>
      </w:r>
      <w:r w:rsidRPr="00BD1319">
        <w:rPr>
          <w:spacing w:val="-3"/>
        </w:rPr>
        <w:t xml:space="preserve">publicar (en la página web del interesado o en medios de amplia circulación) </w:t>
      </w:r>
      <w:r w:rsidRPr="00BD1319">
        <w:rPr>
          <w:rFonts w:cs="Arial"/>
          <w:spacing w:val="-3"/>
        </w:rPr>
        <w:t>un resumen en lenguaje no técnico y comprensible para los grupos de interés del área de influencia, que aborde la descripción del proyecto, la caracterización de su área de influencia, los impactos ambientales que puede ocasionar y las medidas de manejo planteadas y que, además, aclare que la decisión frente a la viabilidad ambiental o no del proyecto la toma la autoridad ambiental competente mediante acto administrativo una vez evalúa la información del EIA</w:t>
      </w:r>
      <w:r w:rsidRPr="00BD1319">
        <w:rPr>
          <w:spacing w:val="-3"/>
        </w:rPr>
        <w:t>.</w:t>
      </w:r>
    </w:p>
    <w:p w14:paraId="5A557F9B" w14:textId="77777777" w:rsidR="00533295" w:rsidRPr="00BD1319" w:rsidRDefault="00533295" w:rsidP="000D6E21">
      <w:pPr>
        <w:tabs>
          <w:tab w:val="left" w:pos="-2268"/>
        </w:tabs>
        <w:suppressAutoHyphens/>
        <w:rPr>
          <w:spacing w:val="-3"/>
        </w:rPr>
      </w:pPr>
    </w:p>
    <w:p w14:paraId="1D0D3BB8" w14:textId="77777777" w:rsidR="00533295" w:rsidRPr="00BD1319" w:rsidRDefault="00533295" w:rsidP="00533295">
      <w:pPr>
        <w:tabs>
          <w:tab w:val="left" w:pos="-2268"/>
        </w:tabs>
        <w:suppressAutoHyphens/>
        <w:rPr>
          <w:spacing w:val="-3"/>
        </w:rPr>
      </w:pPr>
      <w:r w:rsidRPr="00BD1319">
        <w:rPr>
          <w:spacing w:val="-3"/>
        </w:rPr>
        <w:lastRenderedPageBreak/>
        <w:t xml:space="preserve">Con el propósito de </w:t>
      </w:r>
      <w:r w:rsidRPr="00BD1319">
        <w:rPr>
          <w:rFonts w:cs="Arial"/>
          <w:spacing w:val="-3"/>
        </w:rPr>
        <w:t xml:space="preserve">garantizar el acceso a la información de los grupos de interés del área de influencia y, por tanto, posibilitar que cuenten con elementos de tipo técnico para expresar inquietudes frente al proceso de participación y el EIA, se deben establecer mecanismos y medios eficaces para que, de forma permanente, sea posible brindarles información, recibir sus inquietudes, </w:t>
      </w:r>
      <w:r w:rsidRPr="00BD1319">
        <w:rPr>
          <w:spacing w:val="-3"/>
        </w:rPr>
        <w:t xml:space="preserve">observaciones, aportes, peticiones, quejas, reclamos, sugerencias, así como </w:t>
      </w:r>
      <w:r w:rsidRPr="00BD1319">
        <w:rPr>
          <w:rFonts w:cs="Arial"/>
          <w:spacing w:val="-3"/>
        </w:rPr>
        <w:t>dar respuesta a éstas.</w:t>
      </w:r>
    </w:p>
    <w:p w14:paraId="1FB8D697" w14:textId="77777777" w:rsidR="00533295" w:rsidRPr="00BD1319" w:rsidRDefault="00533295" w:rsidP="00533295">
      <w:pPr>
        <w:tabs>
          <w:tab w:val="left" w:pos="-2268"/>
        </w:tabs>
        <w:suppressAutoHyphens/>
        <w:rPr>
          <w:spacing w:val="-3"/>
        </w:rPr>
      </w:pPr>
    </w:p>
    <w:p w14:paraId="022A3F2A" w14:textId="2DC7B8C6" w:rsidR="00706EA8" w:rsidRPr="00BD1319" w:rsidRDefault="00DD5FC0" w:rsidP="00706EA8">
      <w:pPr>
        <w:numPr>
          <w:ilvl w:val="12"/>
          <w:numId w:val="0"/>
        </w:numPr>
        <w:tabs>
          <w:tab w:val="left" w:pos="-2268"/>
        </w:tabs>
        <w:suppressAutoHyphens/>
        <w:rPr>
          <w:spacing w:val="-3"/>
        </w:rPr>
      </w:pPr>
      <w:r w:rsidRPr="00BD1319">
        <w:rPr>
          <w:spacing w:val="-3"/>
        </w:rPr>
        <w:t>Un elemento fundamental de la planeación del proceso de participación está referido al establecimiento de estrategias y procedimientos que reduzcan los malentendidos y los impactos, por ejemplo, los de alteración de la planeación territorial y de los usos del suelo que se pueden generar por las interacciones entre los formuladores del estudio ambiental y los grupos de interés, especialmente, durante la primera interacción entre estos dos actores.</w:t>
      </w:r>
    </w:p>
    <w:p w14:paraId="29C5D4D9" w14:textId="77777777" w:rsidR="00706EA8" w:rsidRPr="00BD1319" w:rsidRDefault="00706EA8" w:rsidP="00706EA8">
      <w:pPr>
        <w:numPr>
          <w:ilvl w:val="12"/>
          <w:numId w:val="0"/>
        </w:numPr>
        <w:tabs>
          <w:tab w:val="left" w:pos="-2268"/>
        </w:tabs>
        <w:suppressAutoHyphens/>
        <w:rPr>
          <w:spacing w:val="-3"/>
        </w:rPr>
      </w:pPr>
    </w:p>
    <w:p w14:paraId="25835138" w14:textId="77777777" w:rsidR="00706EA8" w:rsidRPr="00BD1319" w:rsidRDefault="00706EA8" w:rsidP="00706EA8">
      <w:pPr>
        <w:numPr>
          <w:ilvl w:val="12"/>
          <w:numId w:val="0"/>
        </w:numPr>
        <w:tabs>
          <w:tab w:val="left" w:pos="-2268"/>
        </w:tabs>
        <w:suppressAutoHyphens/>
        <w:rPr>
          <w:spacing w:val="-3"/>
        </w:rPr>
      </w:pPr>
      <w:r w:rsidRPr="00BD1319">
        <w:rPr>
          <w:spacing w:val="-3"/>
        </w:rPr>
        <w:t>Así, de forma previa a la primera interacción y a partir de los fundamentos culturales y de los usos, costumbres y estructuras del territorio, es necesario establecer las estrategias y procedimientos para iniciar y mantener la interlocución y diálogo con cada uno de los grupos de interés. En los casos en los que el proceso de participación deba abordar comunidades étnicas, es necesario recurrir a los mecanismos de coordinación establecidos entre éstas y el Ministerio del Interior.</w:t>
      </w:r>
    </w:p>
    <w:p w14:paraId="0B5976AB" w14:textId="77777777" w:rsidR="00706EA8" w:rsidRPr="00BD1319" w:rsidRDefault="00706EA8" w:rsidP="00533295">
      <w:pPr>
        <w:tabs>
          <w:tab w:val="left" w:pos="-2268"/>
        </w:tabs>
        <w:suppressAutoHyphens/>
        <w:rPr>
          <w:spacing w:val="-3"/>
        </w:rPr>
      </w:pPr>
    </w:p>
    <w:p w14:paraId="110D230B" w14:textId="38A84132" w:rsidR="00533295" w:rsidRPr="00BD1319" w:rsidRDefault="00533295" w:rsidP="00533295">
      <w:pPr>
        <w:tabs>
          <w:tab w:val="left" w:pos="-2268"/>
        </w:tabs>
        <w:suppressAutoHyphens/>
        <w:rPr>
          <w:spacing w:val="-3"/>
        </w:rPr>
      </w:pPr>
      <w:r w:rsidRPr="00BD1319">
        <w:rPr>
          <w:spacing w:val="-3"/>
        </w:rPr>
        <w:t xml:space="preserve">De otro lado, se </w:t>
      </w:r>
      <w:r w:rsidR="00DB7D51" w:rsidRPr="00BD1319">
        <w:rPr>
          <w:spacing w:val="-3"/>
        </w:rPr>
        <w:t xml:space="preserve">deben </w:t>
      </w:r>
      <w:r w:rsidRPr="00BD1319">
        <w:rPr>
          <w:spacing w:val="-3"/>
        </w:rPr>
        <w:t>identifi</w:t>
      </w:r>
      <w:r w:rsidR="00DB7D51" w:rsidRPr="00BD1319">
        <w:rPr>
          <w:spacing w:val="-3"/>
        </w:rPr>
        <w:t xml:space="preserve">car las </w:t>
      </w:r>
      <w:r w:rsidRPr="00BD1319">
        <w:rPr>
          <w:spacing w:val="-3"/>
        </w:rPr>
        <w:t>amenazas a la vida de personas que ha</w:t>
      </w:r>
      <w:r w:rsidR="00DB7D51" w:rsidRPr="00BD1319">
        <w:rPr>
          <w:spacing w:val="-3"/>
        </w:rPr>
        <w:t>cen</w:t>
      </w:r>
      <w:r w:rsidRPr="00BD1319">
        <w:rPr>
          <w:spacing w:val="-3"/>
        </w:rPr>
        <w:t xml:space="preserve"> parte de los grupos de interés del área de influencia </w:t>
      </w:r>
      <w:r w:rsidR="00DB7D51" w:rsidRPr="00BD1319">
        <w:rPr>
          <w:spacing w:val="-3"/>
        </w:rPr>
        <w:t xml:space="preserve">que </w:t>
      </w:r>
      <w:r w:rsidRPr="00BD1319">
        <w:rPr>
          <w:spacing w:val="-3"/>
        </w:rPr>
        <w:t>resulta</w:t>
      </w:r>
      <w:r w:rsidR="00DB7D51" w:rsidRPr="00BD1319">
        <w:rPr>
          <w:spacing w:val="-3"/>
        </w:rPr>
        <w:t>n</w:t>
      </w:r>
      <w:r w:rsidRPr="00BD1319">
        <w:rPr>
          <w:spacing w:val="-3"/>
        </w:rPr>
        <w:t xml:space="preserve"> de</w:t>
      </w:r>
      <w:r w:rsidR="00D308BF" w:rsidRPr="00BD1319">
        <w:rPr>
          <w:spacing w:val="-3"/>
        </w:rPr>
        <w:t xml:space="preserve"> cualquier riesgo o tipo </w:t>
      </w:r>
      <w:r w:rsidRPr="00BD1319">
        <w:rPr>
          <w:spacing w:val="-3"/>
        </w:rPr>
        <w:t>de violencia</w:t>
      </w:r>
      <w:r w:rsidR="00DB7D51" w:rsidRPr="00BD1319">
        <w:rPr>
          <w:spacing w:val="-3"/>
        </w:rPr>
        <w:t>;</w:t>
      </w:r>
      <w:r w:rsidRPr="00BD1319">
        <w:rPr>
          <w:spacing w:val="-3"/>
        </w:rPr>
        <w:t xml:space="preserve"> esta situación y las estrategias para el desarrollo de los espacios de participación deben ser comunicados a entidades como el Ministerio Público, la Fuerza Pública y la Unidad de Protección de Víctimas para propiciar una articulación interinstitucional que garantice la protección de los derechos a la vida, la integridad y la participación durante esta fase del proceso de elaboración del EIA.</w:t>
      </w:r>
    </w:p>
    <w:p w14:paraId="33EEB5E7" w14:textId="77777777" w:rsidR="00706EA8" w:rsidRPr="00BD1319" w:rsidRDefault="00706EA8" w:rsidP="00706EA8">
      <w:pPr>
        <w:tabs>
          <w:tab w:val="left" w:pos="-2268"/>
        </w:tabs>
        <w:suppressAutoHyphens/>
        <w:rPr>
          <w:spacing w:val="-3"/>
        </w:rPr>
      </w:pPr>
    </w:p>
    <w:p w14:paraId="67C52054" w14:textId="77777777" w:rsidR="00706EA8" w:rsidRPr="00BD1319" w:rsidRDefault="00706EA8" w:rsidP="00706EA8">
      <w:pPr>
        <w:numPr>
          <w:ilvl w:val="12"/>
          <w:numId w:val="0"/>
        </w:numPr>
        <w:tabs>
          <w:tab w:val="left" w:pos="-2268"/>
        </w:tabs>
        <w:suppressAutoHyphens/>
        <w:rPr>
          <w:spacing w:val="-3"/>
        </w:rPr>
      </w:pPr>
      <w:r w:rsidRPr="00BD1319">
        <w:rPr>
          <w:spacing w:val="-3"/>
        </w:rPr>
        <w:t>En cualquier caso, se debe formular e implementar un protocolo de protección a personas y líderes empleando los lineamientos establecidos en las guías establecidas por las entidades del Ministerio Público, garantizando que las actuaciones que se aborden estén acordes con las responsabilidades propias de un formulador de un estudio ambiental y que la comunicación y alertas asociadas a situaciones o hechos que afecten la seguridad de estas personas sean expeditas, efectivas y dirigidas a las entidades competentes para garantizar y restituir derechos humanos.</w:t>
      </w:r>
    </w:p>
    <w:p w14:paraId="40061BB6" w14:textId="77777777" w:rsidR="00533295" w:rsidRPr="00BD1319" w:rsidRDefault="00533295" w:rsidP="00533295">
      <w:pPr>
        <w:tabs>
          <w:tab w:val="left" w:pos="-2268"/>
        </w:tabs>
        <w:suppressAutoHyphens/>
        <w:rPr>
          <w:spacing w:val="-3"/>
        </w:rPr>
      </w:pPr>
    </w:p>
    <w:p w14:paraId="4561F03B" w14:textId="77777777" w:rsidR="00533295" w:rsidRPr="00BD1319" w:rsidRDefault="00533295" w:rsidP="00533295">
      <w:pPr>
        <w:pStyle w:val="Ttulo4"/>
        <w:tabs>
          <w:tab w:val="clear" w:pos="1844"/>
          <w:tab w:val="num" w:pos="1134"/>
        </w:tabs>
        <w:ind w:left="0"/>
        <w:rPr>
          <w:lang w:val="es-CO"/>
        </w:rPr>
      </w:pPr>
      <w:r w:rsidRPr="00BD1319">
        <w:rPr>
          <w:lang w:val="es-CO"/>
        </w:rPr>
        <w:t>Preparación de los espacios participativos</w:t>
      </w:r>
    </w:p>
    <w:p w14:paraId="5949DC7A" w14:textId="77777777" w:rsidR="00533295" w:rsidRPr="00BD1319" w:rsidRDefault="00533295" w:rsidP="00533295">
      <w:pPr>
        <w:numPr>
          <w:ilvl w:val="12"/>
          <w:numId w:val="0"/>
        </w:numPr>
        <w:tabs>
          <w:tab w:val="left" w:pos="-2268"/>
        </w:tabs>
        <w:suppressAutoHyphens/>
        <w:rPr>
          <w:spacing w:val="-3"/>
        </w:rPr>
      </w:pPr>
    </w:p>
    <w:p w14:paraId="019C1462" w14:textId="77777777" w:rsidR="00533295" w:rsidRPr="00BD1319" w:rsidRDefault="00533295" w:rsidP="00533295">
      <w:pPr>
        <w:tabs>
          <w:tab w:val="left" w:pos="-2268"/>
        </w:tabs>
        <w:suppressAutoHyphens/>
        <w:rPr>
          <w:spacing w:val="-3"/>
        </w:rPr>
      </w:pPr>
      <w:r w:rsidRPr="00BD1319">
        <w:rPr>
          <w:rFonts w:cs="Arial"/>
          <w:spacing w:val="-3"/>
        </w:rPr>
        <w:t>Se deben preparar e</w:t>
      </w:r>
      <w:r w:rsidRPr="00BD1319">
        <w:rPr>
          <w:spacing w:val="-3"/>
        </w:rPr>
        <w:t xml:space="preserve">strategias comunicativas y procedimientos metodológicos que permitan comunicar adecuadamente la información (sobre el proceso de participación, el EIA y el licenciamiento ambiental), asegurar su comprensión y promover la participación y generación de aportes de los asistentes respecto de temas como la </w:t>
      </w:r>
      <w:r w:rsidRPr="00BD1319">
        <w:rPr>
          <w:spacing w:val="-3"/>
        </w:rPr>
        <w:lastRenderedPageBreak/>
        <w:t>caracterización ambiental, los impactos ambientales que puede generar el proyecto, obra o actividad y las medidas que se proponen para manejarlos.</w:t>
      </w:r>
    </w:p>
    <w:p w14:paraId="5BC6A1D5" w14:textId="77777777" w:rsidR="00533295" w:rsidRPr="00BD1319" w:rsidRDefault="00533295" w:rsidP="00533295">
      <w:pPr>
        <w:tabs>
          <w:tab w:val="left" w:pos="-2268"/>
        </w:tabs>
        <w:suppressAutoHyphens/>
        <w:rPr>
          <w:spacing w:val="-3"/>
        </w:rPr>
      </w:pPr>
    </w:p>
    <w:p w14:paraId="6E3B44FD" w14:textId="77777777" w:rsidR="00533295" w:rsidRPr="00BD1319" w:rsidRDefault="00533295" w:rsidP="00533295">
      <w:pPr>
        <w:rPr>
          <w:rFonts w:cs="Arial"/>
          <w:spacing w:val="-3"/>
        </w:rPr>
      </w:pPr>
      <w:r w:rsidRPr="00BD1319">
        <w:rPr>
          <w:rFonts w:cs="Arial"/>
          <w:spacing w:val="-3"/>
        </w:rPr>
        <w:t>Con el fin de preparar estos espacios participativos es necesario considerar dinámicas sociales como días y horarios con mayor disponibilidad de tiempo, vías de acceso, medios de transporte y lugares que faciliten la asistencia y movilidad de los grupos de interés.</w:t>
      </w:r>
    </w:p>
    <w:p w14:paraId="72D296B1" w14:textId="77777777" w:rsidR="00533295" w:rsidRPr="00BD1319" w:rsidRDefault="00533295" w:rsidP="00533295">
      <w:pPr>
        <w:tabs>
          <w:tab w:val="left" w:pos="-2268"/>
        </w:tabs>
        <w:suppressAutoHyphens/>
        <w:rPr>
          <w:spacing w:val="-3"/>
        </w:rPr>
      </w:pPr>
    </w:p>
    <w:p w14:paraId="13EBFD03" w14:textId="77777777" w:rsidR="00533295" w:rsidRPr="00BD1319" w:rsidRDefault="00533295" w:rsidP="00533295">
      <w:pPr>
        <w:rPr>
          <w:rFonts w:cs="Arial"/>
          <w:spacing w:val="-3"/>
        </w:rPr>
      </w:pPr>
      <w:r w:rsidRPr="00BD1319">
        <w:rPr>
          <w:spacing w:val="-3"/>
        </w:rPr>
        <w:t xml:space="preserve">Tales estrategias y procedimientos metodológicos deben establecer espacios que sean </w:t>
      </w:r>
      <w:r w:rsidRPr="00BD1319">
        <w:rPr>
          <w:rFonts w:cs="Arial"/>
          <w:spacing w:val="-3"/>
        </w:rPr>
        <w:t xml:space="preserve">suficientes y apropiados a las características de los grupos de interés del área de influencia </w:t>
      </w:r>
      <w:r w:rsidRPr="00BD1319">
        <w:rPr>
          <w:spacing w:val="-3"/>
        </w:rPr>
        <w:t>(p. ej. reuniones, talleres, entrevistas)</w:t>
      </w:r>
      <w:r w:rsidRPr="00BD1319">
        <w:rPr>
          <w:rFonts w:cs="Arial"/>
          <w:spacing w:val="-3"/>
        </w:rPr>
        <w:t xml:space="preserve">, detallando entre otras particularidades, su </w:t>
      </w:r>
      <w:r w:rsidRPr="00BD1319">
        <w:rPr>
          <w:rFonts w:cs="Arial"/>
        </w:rPr>
        <w:t>ubicación, el mobiliario y recursos de apoyo tecnológico, pedagógico y didáctico</w:t>
      </w:r>
      <w:r w:rsidRPr="00BD1319">
        <w:t xml:space="preserve"> (plegables, cartillas, audiovisuales, video, entre otros) previstos, </w:t>
      </w:r>
      <w:r w:rsidRPr="00BD1319">
        <w:rPr>
          <w:rFonts w:cs="Arial"/>
          <w:spacing w:val="-3"/>
        </w:rPr>
        <w:t xml:space="preserve">la </w:t>
      </w:r>
      <w:r w:rsidRPr="00BD1319">
        <w:rPr>
          <w:spacing w:val="-3"/>
        </w:rPr>
        <w:t xml:space="preserve">cantidad </w:t>
      </w:r>
      <w:r w:rsidRPr="00BD1319">
        <w:rPr>
          <w:rFonts w:cs="Arial"/>
          <w:spacing w:val="-3"/>
        </w:rPr>
        <w:t xml:space="preserve">de encuentros necesarios, la duración </w:t>
      </w:r>
      <w:r w:rsidRPr="00BD1319">
        <w:rPr>
          <w:spacing w:val="-3"/>
        </w:rPr>
        <w:t xml:space="preserve">de cada espacio y </w:t>
      </w:r>
      <w:r w:rsidRPr="00BD1319">
        <w:rPr>
          <w:rFonts w:cs="Arial"/>
          <w:spacing w:val="-3"/>
        </w:rPr>
        <w:t>los periodos de tiempo</w:t>
      </w:r>
      <w:r w:rsidRPr="00BD1319">
        <w:rPr>
          <w:spacing w:val="-3"/>
        </w:rPr>
        <w:t xml:space="preserve"> entre uno y otro que permitan tanto al formulador del estudio </w:t>
      </w:r>
      <w:r w:rsidRPr="00BD1319">
        <w:rPr>
          <w:rFonts w:cs="Arial"/>
          <w:spacing w:val="-3"/>
        </w:rPr>
        <w:t xml:space="preserve">informar y recopilar datos, como a los grupos de interés </w:t>
      </w:r>
      <w:r w:rsidRPr="00BD1319">
        <w:rPr>
          <w:spacing w:val="-3"/>
        </w:rPr>
        <w:t xml:space="preserve">analizar la información y </w:t>
      </w:r>
      <w:r w:rsidRPr="00BD1319">
        <w:rPr>
          <w:rFonts w:cs="Arial"/>
          <w:spacing w:val="-3"/>
        </w:rPr>
        <w:t>participar de forma efectiva.</w:t>
      </w:r>
    </w:p>
    <w:p w14:paraId="5F56278B" w14:textId="77777777" w:rsidR="00533295" w:rsidRPr="00BD1319" w:rsidRDefault="00533295" w:rsidP="00533295">
      <w:pPr>
        <w:tabs>
          <w:tab w:val="left" w:pos="-2268"/>
        </w:tabs>
        <w:suppressAutoHyphens/>
        <w:rPr>
          <w:spacing w:val="-3"/>
        </w:rPr>
      </w:pPr>
    </w:p>
    <w:p w14:paraId="0737D5F8" w14:textId="77777777" w:rsidR="00533295" w:rsidRPr="00BD1319" w:rsidRDefault="00533295" w:rsidP="00533295">
      <w:pPr>
        <w:pStyle w:val="Ttulo4"/>
        <w:tabs>
          <w:tab w:val="clear" w:pos="1844"/>
          <w:tab w:val="num" w:pos="1134"/>
        </w:tabs>
        <w:ind w:left="0"/>
        <w:rPr>
          <w:lang w:val="es-CO"/>
        </w:rPr>
      </w:pPr>
      <w:r w:rsidRPr="00BD1319">
        <w:rPr>
          <w:lang w:val="es-CO"/>
        </w:rPr>
        <w:t>Convocatoria</w:t>
      </w:r>
    </w:p>
    <w:p w14:paraId="04182FBD" w14:textId="77777777" w:rsidR="00533295" w:rsidRPr="00BD1319" w:rsidRDefault="00533295" w:rsidP="00533295">
      <w:pPr>
        <w:tabs>
          <w:tab w:val="left" w:pos="-2268"/>
        </w:tabs>
        <w:suppressAutoHyphens/>
        <w:rPr>
          <w:spacing w:val="-3"/>
        </w:rPr>
      </w:pPr>
    </w:p>
    <w:p w14:paraId="2EEC1252" w14:textId="77777777" w:rsidR="00533295" w:rsidRPr="00BD1319" w:rsidRDefault="00533295" w:rsidP="00533295">
      <w:pPr>
        <w:numPr>
          <w:ilvl w:val="12"/>
          <w:numId w:val="0"/>
        </w:numPr>
        <w:tabs>
          <w:tab w:val="left" w:pos="-2268"/>
        </w:tabs>
        <w:suppressAutoHyphens/>
        <w:rPr>
          <w:spacing w:val="-3"/>
        </w:rPr>
      </w:pPr>
      <w:r w:rsidRPr="00BD1319">
        <w:rPr>
          <w:rFonts w:cs="Arial"/>
          <w:spacing w:val="-3"/>
          <w:lang w:val="es-ES_tradnl"/>
        </w:rPr>
        <w:t>Las convocatorias a los espacios de participación deben realizarse con suficiente antelación a éstos</w:t>
      </w:r>
      <w:r w:rsidRPr="00BD1319">
        <w:rPr>
          <w:rStyle w:val="Refdenotaalpie"/>
          <w:rFonts w:cs="Arial"/>
          <w:lang w:val="es-CO"/>
        </w:rPr>
        <w:footnoteReference w:id="108"/>
      </w:r>
      <w:r w:rsidRPr="00BD1319">
        <w:rPr>
          <w:rFonts w:cs="Arial"/>
          <w:spacing w:val="-3"/>
          <w:lang w:val="es-ES_tradnl"/>
        </w:rPr>
        <w:t xml:space="preserve">, tener cobertura </w:t>
      </w:r>
      <w:r w:rsidRPr="00BD1319">
        <w:rPr>
          <w:rFonts w:cs="Arial"/>
          <w:spacing w:val="-3"/>
        </w:rPr>
        <w:t xml:space="preserve">adecuada </w:t>
      </w:r>
      <w:r w:rsidRPr="00BD1319">
        <w:rPr>
          <w:rFonts w:cs="Arial"/>
          <w:spacing w:val="-3"/>
          <w:lang w:val="es-ES_tradnl"/>
        </w:rPr>
        <w:t>y señalar su objeto</w:t>
      </w:r>
      <w:r w:rsidRPr="00BD1319">
        <w:rPr>
          <w:rFonts w:cs="Arial"/>
          <w:spacing w:val="-3"/>
        </w:rPr>
        <w:t xml:space="preserve">, </w:t>
      </w:r>
      <w:r w:rsidRPr="00BD1319">
        <w:rPr>
          <w:spacing w:val="-3"/>
        </w:rPr>
        <w:t>fecha y lugar de ejecución, así como las instancias e instrumentos de apoyo a la participación. Se deben realizar empleando medios de comunicación como correo postal o certificado, correo electrónico, internet, redes sociales, radio, televisión, volantes, afiches en lugares públicos (parroquias, alcaldías y escuelas) y medios de difusión locales.</w:t>
      </w:r>
    </w:p>
    <w:p w14:paraId="31879128" w14:textId="77777777" w:rsidR="00533295" w:rsidRPr="00BD1319" w:rsidRDefault="00533295" w:rsidP="00533295">
      <w:pPr>
        <w:tabs>
          <w:tab w:val="left" w:pos="-2268"/>
        </w:tabs>
        <w:suppressAutoHyphens/>
        <w:rPr>
          <w:rFonts w:cs="Arial"/>
          <w:spacing w:val="-3"/>
        </w:rPr>
      </w:pPr>
    </w:p>
    <w:p w14:paraId="38D87C4E" w14:textId="00755C0D" w:rsidR="00533295" w:rsidRPr="00BD1319" w:rsidRDefault="00533295" w:rsidP="00533295">
      <w:pPr>
        <w:tabs>
          <w:tab w:val="left" w:pos="-2268"/>
        </w:tabs>
        <w:suppressAutoHyphens/>
        <w:rPr>
          <w:rFonts w:cs="Arial"/>
          <w:spacing w:val="-3"/>
        </w:rPr>
      </w:pPr>
      <w:r w:rsidRPr="00BD1319">
        <w:rPr>
          <w:rFonts w:cs="Arial"/>
          <w:spacing w:val="-3"/>
        </w:rPr>
        <w:t>Durante la convocatoria</w:t>
      </w:r>
      <w:r w:rsidRPr="00BD1319">
        <w:rPr>
          <w:spacing w:val="-3"/>
        </w:rPr>
        <w:t xml:space="preserve"> se debe poner en conocimiento de los grupos de interés el resumen del EIA elaborado en el aprestamiento, publicándolo en internet y empleando medios de amplia circulación y mecanismos complementarios que se ajusten a sus características socioeconómicas y culturales, así como a sus posibilidades de acceso a la información. Asimismo, la convocatoria </w:t>
      </w:r>
      <w:r w:rsidRPr="00BD1319">
        <w:rPr>
          <w:rFonts w:cs="Arial"/>
          <w:spacing w:val="-3"/>
        </w:rPr>
        <w:t>debe informar dónde y cómo se puede consultar la información del proyecto, la cual debe estar disponible de forma gratuita.</w:t>
      </w:r>
    </w:p>
    <w:p w14:paraId="64258ED5" w14:textId="77777777" w:rsidR="00533295" w:rsidRPr="00BD1319" w:rsidRDefault="00533295" w:rsidP="00533295">
      <w:pPr>
        <w:tabs>
          <w:tab w:val="left" w:pos="-2268"/>
        </w:tabs>
        <w:suppressAutoHyphens/>
        <w:rPr>
          <w:rFonts w:cs="Arial"/>
          <w:spacing w:val="-3"/>
        </w:rPr>
      </w:pPr>
    </w:p>
    <w:p w14:paraId="0FE55AB2" w14:textId="15CBBA53" w:rsidR="00533295" w:rsidRPr="00BD1319" w:rsidRDefault="00533295" w:rsidP="00533295">
      <w:pPr>
        <w:numPr>
          <w:ilvl w:val="12"/>
          <w:numId w:val="0"/>
        </w:numPr>
        <w:tabs>
          <w:tab w:val="left" w:pos="-2268"/>
        </w:tabs>
        <w:suppressAutoHyphens/>
        <w:rPr>
          <w:spacing w:val="-3"/>
        </w:rPr>
      </w:pPr>
      <w:r w:rsidRPr="00BD1319">
        <w:rPr>
          <w:spacing w:val="-3"/>
        </w:rPr>
        <w:t>Cuando se prevea la ocurrencia de impactos ambientales significativos transfronterizos, se debe informar inmediatamente a la autoridad ambiental que el resumen del proyecto y los lugares y fechas para la ejecución de las reuniones y audiencias públicas planeadas se encuentran publicados en internet, con el fin de que ésta transmita dicha información al Ministerio de Relaciones Exteriores.</w:t>
      </w:r>
    </w:p>
    <w:p w14:paraId="6CD525EB" w14:textId="77777777" w:rsidR="00533295" w:rsidRPr="00BD1319" w:rsidRDefault="00533295" w:rsidP="00533295">
      <w:pPr>
        <w:numPr>
          <w:ilvl w:val="12"/>
          <w:numId w:val="0"/>
        </w:numPr>
        <w:tabs>
          <w:tab w:val="left" w:pos="-2268"/>
        </w:tabs>
        <w:suppressAutoHyphens/>
        <w:rPr>
          <w:spacing w:val="-3"/>
        </w:rPr>
      </w:pPr>
    </w:p>
    <w:p w14:paraId="481C9E9C" w14:textId="77777777" w:rsidR="00533295" w:rsidRPr="00BD1319" w:rsidRDefault="00533295" w:rsidP="00216955">
      <w:pPr>
        <w:pStyle w:val="Ttulo3"/>
      </w:pPr>
      <w:bookmarkStart w:id="2584" w:name="_Toc175326755"/>
      <w:r w:rsidRPr="00BD1319">
        <w:t>Ejecución de los espacios de participación</w:t>
      </w:r>
      <w:bookmarkEnd w:id="2584"/>
    </w:p>
    <w:p w14:paraId="0CFD926E" w14:textId="77777777" w:rsidR="00533295" w:rsidRPr="00BD1319" w:rsidRDefault="00533295" w:rsidP="00533295">
      <w:pPr>
        <w:numPr>
          <w:ilvl w:val="12"/>
          <w:numId w:val="0"/>
        </w:numPr>
        <w:tabs>
          <w:tab w:val="left" w:pos="-2268"/>
        </w:tabs>
        <w:suppressAutoHyphens/>
        <w:rPr>
          <w:spacing w:val="-3"/>
        </w:rPr>
      </w:pPr>
    </w:p>
    <w:p w14:paraId="76E72B92" w14:textId="77777777" w:rsidR="00533295" w:rsidRPr="00BD1319" w:rsidRDefault="00533295" w:rsidP="00533295">
      <w:pPr>
        <w:numPr>
          <w:ilvl w:val="12"/>
          <w:numId w:val="0"/>
        </w:numPr>
        <w:tabs>
          <w:tab w:val="left" w:pos="-2268"/>
        </w:tabs>
        <w:suppressAutoHyphens/>
        <w:rPr>
          <w:spacing w:val="-3"/>
        </w:rPr>
      </w:pPr>
      <w:r w:rsidRPr="00BD1319">
        <w:rPr>
          <w:spacing w:val="-3"/>
        </w:rPr>
        <w:t>Los espacios de participación deben ejecutarse según lo planeado en la instancia anterior, asegurando que la comunicación sea efectiva al permitir el suministro y recepción de información y promover la deliberación, la formulación de aportes y el establecimiento de acuerdos. Adicionalmente, estos espacios deben generar un ambiente de confianza entre las partes intervinientes y tener la capacidad de adaptarse a las situaciones o condiciones que se presenten o identifiquen durante su ejecución.</w:t>
      </w:r>
    </w:p>
    <w:p w14:paraId="1D7F8749" w14:textId="77777777" w:rsidR="00533295" w:rsidRPr="00BD1319" w:rsidRDefault="00533295" w:rsidP="00533295">
      <w:pPr>
        <w:numPr>
          <w:ilvl w:val="12"/>
          <w:numId w:val="0"/>
        </w:numPr>
        <w:tabs>
          <w:tab w:val="left" w:pos="-2268"/>
        </w:tabs>
        <w:suppressAutoHyphens/>
        <w:rPr>
          <w:spacing w:val="-3"/>
        </w:rPr>
      </w:pPr>
    </w:p>
    <w:p w14:paraId="4075D01D" w14:textId="77777777" w:rsidR="00533295" w:rsidRPr="00BD1319" w:rsidRDefault="00533295" w:rsidP="00533295">
      <w:pPr>
        <w:pStyle w:val="Ttulo4"/>
        <w:tabs>
          <w:tab w:val="clear" w:pos="1844"/>
          <w:tab w:val="num" w:pos="1134"/>
        </w:tabs>
        <w:ind w:left="0"/>
        <w:rPr>
          <w:lang w:val="es-CO"/>
        </w:rPr>
      </w:pPr>
      <w:r w:rsidRPr="00BD1319">
        <w:rPr>
          <w:lang w:val="es-CO"/>
        </w:rPr>
        <w:t>Apertura</w:t>
      </w:r>
    </w:p>
    <w:p w14:paraId="02BDC527" w14:textId="77777777" w:rsidR="00533295" w:rsidRPr="00BD1319" w:rsidRDefault="00533295" w:rsidP="00533295">
      <w:pPr>
        <w:tabs>
          <w:tab w:val="left" w:pos="-2268"/>
        </w:tabs>
        <w:suppressAutoHyphens/>
        <w:rPr>
          <w:spacing w:val="-3"/>
        </w:rPr>
      </w:pPr>
    </w:p>
    <w:p w14:paraId="454109C3" w14:textId="77777777" w:rsidR="00533295" w:rsidRPr="00BD1319" w:rsidRDefault="00533295" w:rsidP="00533295">
      <w:pPr>
        <w:rPr>
          <w:rFonts w:cs="Arial"/>
        </w:rPr>
      </w:pPr>
      <w:r w:rsidRPr="00BD1319">
        <w:rPr>
          <w:rFonts w:cs="Arial"/>
        </w:rPr>
        <w:t xml:space="preserve">Al inicio de cada espacio de diálogo se debe brindar información sobre el procedimiento previsto para ejecutar el proceso de participación en su conjunto </w:t>
      </w:r>
      <w:r w:rsidRPr="00BD1319">
        <w:rPr>
          <w:spacing w:val="-3"/>
        </w:rPr>
        <w:t>y el espacio de diálogo particular que se está ejecutando</w:t>
      </w:r>
      <w:r w:rsidRPr="00BD1319">
        <w:rPr>
          <w:rFonts w:cs="Arial"/>
        </w:rPr>
        <w:t xml:space="preserve">, </w:t>
      </w:r>
      <w:r w:rsidRPr="00BD1319">
        <w:rPr>
          <w:spacing w:val="-3"/>
        </w:rPr>
        <w:t xml:space="preserve">haciendo uso de una agenda clara y señalando los objetivos, </w:t>
      </w:r>
      <w:r w:rsidRPr="00BD1319">
        <w:rPr>
          <w:rFonts w:cs="Arial"/>
        </w:rPr>
        <w:t xml:space="preserve">fechas de inicio y de finalización del proceso, los mecanismos y </w:t>
      </w:r>
      <w:r w:rsidRPr="00BD1319">
        <w:rPr>
          <w:spacing w:val="-3"/>
        </w:rPr>
        <w:t xml:space="preserve">modalidades </w:t>
      </w:r>
      <w:r w:rsidRPr="00BD1319">
        <w:rPr>
          <w:rFonts w:cs="Arial"/>
        </w:rPr>
        <w:t xml:space="preserve">previstos para su ejecución y, cuando corresponda, los lugares y fechas de las consultas o audiencias públicas a que haya lugar. </w:t>
      </w:r>
      <w:r w:rsidRPr="00BD1319">
        <w:rPr>
          <w:spacing w:val="-3"/>
        </w:rPr>
        <w:t>Asimismo, se</w:t>
      </w:r>
      <w:r w:rsidRPr="00BD1319">
        <w:rPr>
          <w:spacing w:val="-3"/>
          <w:lang w:val="es-ES_tradnl"/>
        </w:rPr>
        <w:t xml:space="preserve"> debe dar a conocer el </w:t>
      </w:r>
      <w:r w:rsidRPr="00BD1319">
        <w:rPr>
          <w:spacing w:val="-3"/>
        </w:rPr>
        <w:t xml:space="preserve">procedimiento para la </w:t>
      </w:r>
      <w:r w:rsidRPr="00BD1319">
        <w:rPr>
          <w:spacing w:val="-3"/>
          <w:lang w:val="es-ES_tradnl"/>
        </w:rPr>
        <w:t xml:space="preserve">recolección, sistematización y análisis de los </w:t>
      </w:r>
      <w:r w:rsidRPr="00BD1319">
        <w:rPr>
          <w:spacing w:val="-3"/>
        </w:rPr>
        <w:t>aportes</w:t>
      </w:r>
      <w:r w:rsidRPr="00BD1319">
        <w:rPr>
          <w:spacing w:val="-3"/>
          <w:lang w:val="es-ES_tradnl"/>
        </w:rPr>
        <w:t xml:space="preserve"> de los grupos de interés.</w:t>
      </w:r>
    </w:p>
    <w:p w14:paraId="6B205834" w14:textId="77777777" w:rsidR="00533295" w:rsidRPr="00BD1319" w:rsidRDefault="00533295" w:rsidP="00533295">
      <w:pPr>
        <w:numPr>
          <w:ilvl w:val="12"/>
          <w:numId w:val="0"/>
        </w:numPr>
        <w:tabs>
          <w:tab w:val="left" w:pos="-2268"/>
        </w:tabs>
        <w:suppressAutoHyphens/>
      </w:pPr>
    </w:p>
    <w:p w14:paraId="52E4B5FB" w14:textId="77777777" w:rsidR="00533295" w:rsidRPr="00BD1319" w:rsidRDefault="00533295" w:rsidP="00533295">
      <w:pPr>
        <w:pStyle w:val="Prrafodelista"/>
        <w:tabs>
          <w:tab w:val="left" w:pos="-2268"/>
        </w:tabs>
        <w:suppressAutoHyphens/>
        <w:ind w:left="0"/>
        <w:rPr>
          <w:spacing w:val="-3"/>
        </w:rPr>
      </w:pPr>
      <w:r w:rsidRPr="00BD1319">
        <w:rPr>
          <w:spacing w:val="-3"/>
        </w:rPr>
        <w:t xml:space="preserve">Se debe comunicar que el EIA en elaboración debe ser socializado antes de radicarlo ante la autoridad ambiental competente, que en dicha socialización se menciona cómo se incorporaron los aportes o las razones por las cuales éstos no se consideran pertinentes y </w:t>
      </w:r>
      <w:r w:rsidRPr="00BD1319">
        <w:t>que la autoridad ambiental competente es quien decide si es posible desarrollar el proyecto, obra o actividad mediante acto administrativo y considerando entre otra información, las evidencias del proceso de participación y demás contenido del EIA.</w:t>
      </w:r>
    </w:p>
    <w:p w14:paraId="2B263806" w14:textId="77777777" w:rsidR="00533295" w:rsidRPr="00BD1319" w:rsidRDefault="00533295" w:rsidP="00533295">
      <w:pPr>
        <w:numPr>
          <w:ilvl w:val="12"/>
          <w:numId w:val="0"/>
        </w:numPr>
        <w:tabs>
          <w:tab w:val="left" w:pos="-2268"/>
        </w:tabs>
        <w:suppressAutoHyphens/>
        <w:rPr>
          <w:spacing w:val="-3"/>
        </w:rPr>
      </w:pPr>
    </w:p>
    <w:p w14:paraId="74400FD9" w14:textId="77777777" w:rsidR="00533295" w:rsidRPr="00BD1319" w:rsidRDefault="00533295" w:rsidP="00533295">
      <w:pPr>
        <w:pStyle w:val="Ttulo4"/>
        <w:tabs>
          <w:tab w:val="clear" w:pos="1844"/>
          <w:tab w:val="num" w:pos="1134"/>
        </w:tabs>
        <w:ind w:left="0"/>
        <w:rPr>
          <w:lang w:val="es-CO"/>
        </w:rPr>
      </w:pPr>
      <w:r w:rsidRPr="00BD1319">
        <w:rPr>
          <w:lang w:val="es-CO"/>
        </w:rPr>
        <w:t>Desarrollo de los espacios participativos</w:t>
      </w:r>
    </w:p>
    <w:p w14:paraId="58ACF795" w14:textId="77777777" w:rsidR="00533295" w:rsidRPr="00BD1319" w:rsidRDefault="00533295" w:rsidP="00533295">
      <w:pPr>
        <w:tabs>
          <w:tab w:val="left" w:pos="-2268"/>
        </w:tabs>
        <w:suppressAutoHyphens/>
        <w:rPr>
          <w:spacing w:val="-3"/>
        </w:rPr>
      </w:pPr>
    </w:p>
    <w:p w14:paraId="7EA303CA" w14:textId="77777777" w:rsidR="00533295" w:rsidRPr="00BD1319" w:rsidRDefault="00533295" w:rsidP="000D6E21">
      <w:pPr>
        <w:pStyle w:val="Prrafodelista"/>
        <w:tabs>
          <w:tab w:val="left" w:pos="-2268"/>
        </w:tabs>
        <w:suppressAutoHyphens/>
        <w:ind w:left="0"/>
        <w:rPr>
          <w:spacing w:val="-3"/>
        </w:rPr>
      </w:pPr>
      <w:r w:rsidRPr="00BD1319">
        <w:rPr>
          <w:spacing w:val="-3"/>
          <w:lang w:val="es-CO"/>
        </w:rPr>
        <w:t>Durante el desarrollo de los espacios de diálogo se debe promover un ambiente de confianza que además de facilitar la difusión de información, propicie la deliberación, argumentación y debate de los grupos de interés involucrados y les permita expresar con libertad sus observaciones, inquietudes y aportes.</w:t>
      </w:r>
    </w:p>
    <w:p w14:paraId="4ED55577" w14:textId="77777777" w:rsidR="00533295" w:rsidRPr="00BD1319" w:rsidRDefault="00533295" w:rsidP="000D6E21">
      <w:pPr>
        <w:tabs>
          <w:tab w:val="left" w:pos="-2268"/>
        </w:tabs>
        <w:suppressAutoHyphens/>
        <w:rPr>
          <w:spacing w:val="-3"/>
        </w:rPr>
      </w:pPr>
    </w:p>
    <w:p w14:paraId="693CA473" w14:textId="77777777" w:rsidR="00533295" w:rsidRPr="00BD1319" w:rsidRDefault="00533295" w:rsidP="00533295">
      <w:pPr>
        <w:pStyle w:val="Prrafodelista"/>
        <w:tabs>
          <w:tab w:val="left" w:pos="-2268"/>
        </w:tabs>
        <w:suppressAutoHyphens/>
        <w:ind w:left="0"/>
        <w:rPr>
          <w:spacing w:val="-3"/>
          <w:lang w:val="es-CO"/>
        </w:rPr>
      </w:pPr>
      <w:r w:rsidRPr="00BD1319">
        <w:rPr>
          <w:spacing w:val="-3"/>
          <w:lang w:val="es-CO"/>
        </w:rPr>
        <w:t>En estos espacios se debe brindar información como mínimo sobre los siguientes contenidos:</w:t>
      </w:r>
    </w:p>
    <w:p w14:paraId="567DB109" w14:textId="77777777" w:rsidR="00533295" w:rsidRPr="00BD1319" w:rsidRDefault="00533295" w:rsidP="00533295">
      <w:pPr>
        <w:numPr>
          <w:ilvl w:val="12"/>
          <w:numId w:val="0"/>
        </w:numPr>
        <w:tabs>
          <w:tab w:val="left" w:pos="-2268"/>
        </w:tabs>
        <w:suppressAutoHyphens/>
        <w:rPr>
          <w:spacing w:val="-3"/>
        </w:rPr>
      </w:pPr>
    </w:p>
    <w:p w14:paraId="2EFD7745" w14:textId="77777777" w:rsidR="00533295" w:rsidRPr="00BD1319" w:rsidRDefault="00533295" w:rsidP="000D6E21">
      <w:pPr>
        <w:numPr>
          <w:ilvl w:val="0"/>
          <w:numId w:val="40"/>
        </w:numPr>
        <w:tabs>
          <w:tab w:val="left" w:pos="-2268"/>
        </w:tabs>
        <w:suppressAutoHyphens/>
        <w:ind w:left="567" w:hanging="567"/>
        <w:rPr>
          <w:spacing w:val="-3"/>
        </w:rPr>
      </w:pPr>
      <w:r w:rsidRPr="00BD1319">
        <w:rPr>
          <w:spacing w:val="-3"/>
        </w:rPr>
        <w:t>Objetivo y alcance del EIA en elaboración.</w:t>
      </w:r>
    </w:p>
    <w:p w14:paraId="4CD5531B" w14:textId="77777777" w:rsidR="00533295" w:rsidRPr="00BD1319" w:rsidRDefault="00533295" w:rsidP="000D6E21">
      <w:pPr>
        <w:numPr>
          <w:ilvl w:val="12"/>
          <w:numId w:val="0"/>
        </w:numPr>
        <w:tabs>
          <w:tab w:val="left" w:pos="-2268"/>
        </w:tabs>
        <w:suppressAutoHyphens/>
        <w:rPr>
          <w:spacing w:val="-3"/>
        </w:rPr>
      </w:pPr>
    </w:p>
    <w:p w14:paraId="1F31E405" w14:textId="77777777" w:rsidR="00533295" w:rsidRPr="00BD1319" w:rsidRDefault="00533295" w:rsidP="000D6E21">
      <w:pPr>
        <w:numPr>
          <w:ilvl w:val="0"/>
          <w:numId w:val="40"/>
        </w:numPr>
        <w:tabs>
          <w:tab w:val="left" w:pos="-2268"/>
        </w:tabs>
        <w:suppressAutoHyphens/>
        <w:ind w:left="567" w:hanging="567"/>
        <w:rPr>
          <w:spacing w:val="-3"/>
        </w:rPr>
      </w:pPr>
      <w:r w:rsidRPr="00BD1319">
        <w:rPr>
          <w:spacing w:val="-3"/>
        </w:rPr>
        <w:lastRenderedPageBreak/>
        <w:t>Características técnicas, actividades, infraestructura planteada y alcance del proyecto</w:t>
      </w:r>
      <w:r w:rsidRPr="00BD1319">
        <w:rPr>
          <w:iCs/>
          <w:spacing w:val="-3"/>
        </w:rPr>
        <w:t>, obra o actividad</w:t>
      </w:r>
      <w:r w:rsidRPr="00BD1319">
        <w:rPr>
          <w:spacing w:val="-3"/>
        </w:rPr>
        <w:t>.</w:t>
      </w:r>
    </w:p>
    <w:p w14:paraId="580547F7" w14:textId="77777777" w:rsidR="00533295" w:rsidRPr="00BD1319" w:rsidRDefault="00533295" w:rsidP="00533295"/>
    <w:p w14:paraId="5DA6B8C1" w14:textId="77777777" w:rsidR="00533295" w:rsidRPr="00BD1319" w:rsidRDefault="00533295" w:rsidP="000D6E21">
      <w:pPr>
        <w:numPr>
          <w:ilvl w:val="0"/>
          <w:numId w:val="40"/>
        </w:numPr>
        <w:tabs>
          <w:tab w:val="left" w:pos="-2268"/>
        </w:tabs>
        <w:suppressAutoHyphens/>
        <w:ind w:left="567" w:hanging="567"/>
        <w:rPr>
          <w:spacing w:val="-3"/>
        </w:rPr>
      </w:pPr>
      <w:r w:rsidRPr="00BD1319">
        <w:rPr>
          <w:spacing w:val="-3"/>
        </w:rPr>
        <w:t>Características y diferencias de cada una de las etapas del proyecto, obra o actividad, cuando aplique.</w:t>
      </w:r>
    </w:p>
    <w:p w14:paraId="600A9EC6" w14:textId="77777777" w:rsidR="00533295" w:rsidRPr="00BD1319" w:rsidRDefault="00533295" w:rsidP="00533295">
      <w:pPr>
        <w:rPr>
          <w:rFonts w:cs="Arial"/>
        </w:rPr>
      </w:pPr>
    </w:p>
    <w:p w14:paraId="5BBB4666" w14:textId="38ECE185" w:rsidR="00533295" w:rsidRPr="00BD1319" w:rsidRDefault="00533295" w:rsidP="000D6E21">
      <w:pPr>
        <w:numPr>
          <w:ilvl w:val="0"/>
          <w:numId w:val="40"/>
        </w:numPr>
        <w:tabs>
          <w:tab w:val="left" w:pos="-2268"/>
        </w:tabs>
        <w:suppressAutoHyphens/>
        <w:ind w:left="567" w:hanging="567"/>
        <w:rPr>
          <w:spacing w:val="-3"/>
        </w:rPr>
      </w:pPr>
      <w:r w:rsidRPr="00BD1319">
        <w:rPr>
          <w:spacing w:val="-3"/>
        </w:rPr>
        <w:t xml:space="preserve">Normativa ambiental aplicable (p. </w:t>
      </w:r>
      <w:r w:rsidRPr="00BD1319">
        <w:rPr>
          <w:iCs/>
          <w:spacing w:val="-3"/>
        </w:rPr>
        <w:t>ej</w:t>
      </w:r>
      <w:r w:rsidRPr="00BD1319">
        <w:rPr>
          <w:spacing w:val="-3"/>
        </w:rPr>
        <w:t>. sobre el proceso de licenciamiento ambiental</w:t>
      </w:r>
      <w:r w:rsidRPr="00BD1319">
        <w:rPr>
          <w:iCs/>
          <w:spacing w:val="-3"/>
        </w:rPr>
        <w:t>, participación y derechos humanos</w:t>
      </w:r>
      <w:r w:rsidRPr="00BD1319">
        <w:rPr>
          <w:spacing w:val="-3"/>
        </w:rPr>
        <w:t xml:space="preserve"> y sobre el uso, aprovechamiento y afectación de los recursos naturales).</w:t>
      </w:r>
    </w:p>
    <w:p w14:paraId="3A889012" w14:textId="77777777" w:rsidR="00533295" w:rsidRPr="00BD1319" w:rsidRDefault="00533295" w:rsidP="00533295"/>
    <w:p w14:paraId="240BD44A" w14:textId="77777777" w:rsidR="00533295" w:rsidRPr="00BD1319" w:rsidRDefault="00533295" w:rsidP="000D6E21">
      <w:pPr>
        <w:numPr>
          <w:ilvl w:val="0"/>
          <w:numId w:val="40"/>
        </w:numPr>
        <w:tabs>
          <w:tab w:val="left" w:pos="-2268"/>
        </w:tabs>
        <w:suppressAutoHyphens/>
        <w:ind w:left="567" w:hanging="567"/>
        <w:rPr>
          <w:spacing w:val="-3"/>
        </w:rPr>
      </w:pPr>
      <w:r w:rsidRPr="00BD1319">
        <w:rPr>
          <w:spacing w:val="-3"/>
        </w:rPr>
        <w:t>Autoridad ambiental responsable del proceso de toma de decisiones y otras autoridades e instituciones involucradas</w:t>
      </w:r>
      <w:r w:rsidRPr="00BD1319">
        <w:rPr>
          <w:iCs/>
          <w:spacing w:val="-3"/>
        </w:rPr>
        <w:t xml:space="preserve"> (p. ej. a las que se les pueda requerir información complementaria); procedimiento para solicitar información a tales entidades</w:t>
      </w:r>
      <w:r w:rsidRPr="00BD1319">
        <w:rPr>
          <w:spacing w:val="-3"/>
        </w:rPr>
        <w:t>.</w:t>
      </w:r>
    </w:p>
    <w:p w14:paraId="74DBD4E0" w14:textId="77777777" w:rsidR="00533295" w:rsidRPr="00BD1319" w:rsidRDefault="00533295" w:rsidP="00533295"/>
    <w:p w14:paraId="59AEE1F5" w14:textId="2D98FBB4" w:rsidR="00533295" w:rsidRPr="00BD1319" w:rsidRDefault="00533295" w:rsidP="000D6E21">
      <w:r w:rsidRPr="00BD1319">
        <w:rPr>
          <w:rFonts w:cs="Arial"/>
        </w:rPr>
        <w:t>Asimismo, durante la ejecución de estos espacios se debe brindar información y propiciar</w:t>
      </w:r>
      <w:r w:rsidRPr="00BD1319">
        <w:t xml:space="preserve"> la deliberación</w:t>
      </w:r>
      <w:r w:rsidRPr="00BD1319">
        <w:rPr>
          <w:rFonts w:cs="Arial"/>
        </w:rPr>
        <w:t xml:space="preserve"> para recibir retroalimentación,</w:t>
      </w:r>
      <w:r w:rsidRPr="00BD1319">
        <w:t xml:space="preserve"> como mínimo</w:t>
      </w:r>
      <w:r w:rsidRPr="00BD1319">
        <w:rPr>
          <w:rFonts w:cs="Arial"/>
        </w:rPr>
        <w:t>, sobre</w:t>
      </w:r>
      <w:r w:rsidRPr="00BD1319">
        <w:t xml:space="preserve"> los siguientes contenidos:</w:t>
      </w:r>
    </w:p>
    <w:p w14:paraId="251F47C7" w14:textId="77777777" w:rsidR="00533295" w:rsidRPr="00BD1319" w:rsidRDefault="00533295" w:rsidP="000D6E21"/>
    <w:p w14:paraId="3C11539E" w14:textId="77777777" w:rsidR="00533295" w:rsidRPr="00BD1319" w:rsidRDefault="00533295" w:rsidP="000D6E21">
      <w:pPr>
        <w:numPr>
          <w:ilvl w:val="0"/>
          <w:numId w:val="40"/>
        </w:numPr>
        <w:tabs>
          <w:tab w:val="left" w:pos="-2268"/>
        </w:tabs>
        <w:suppressAutoHyphens/>
        <w:ind w:left="567" w:hanging="567"/>
        <w:rPr>
          <w:spacing w:val="-3"/>
        </w:rPr>
      </w:pPr>
      <w:r w:rsidRPr="00BD1319">
        <w:rPr>
          <w:spacing w:val="-3"/>
        </w:rPr>
        <w:t>Delimitación del área de influencia de cada medio y del proyecto</w:t>
      </w:r>
      <w:r w:rsidRPr="00BD1319">
        <w:rPr>
          <w:iCs/>
          <w:spacing w:val="-3"/>
        </w:rPr>
        <w:t>, obra o actividad</w:t>
      </w:r>
      <w:r w:rsidRPr="00BD1319">
        <w:rPr>
          <w:spacing w:val="-3"/>
        </w:rPr>
        <w:t>.</w:t>
      </w:r>
    </w:p>
    <w:p w14:paraId="7FC1A252" w14:textId="77777777" w:rsidR="00533295" w:rsidRPr="00BD1319" w:rsidRDefault="00533295" w:rsidP="00533295">
      <w:pPr>
        <w:rPr>
          <w:rFonts w:cs="Arial"/>
        </w:rPr>
      </w:pPr>
    </w:p>
    <w:p w14:paraId="427D2065" w14:textId="60FCFF3B" w:rsidR="00533295" w:rsidRPr="00BD1319" w:rsidRDefault="00533295" w:rsidP="000D6E21">
      <w:pPr>
        <w:numPr>
          <w:ilvl w:val="0"/>
          <w:numId w:val="40"/>
        </w:numPr>
        <w:tabs>
          <w:tab w:val="left" w:pos="-2268"/>
        </w:tabs>
        <w:suppressAutoHyphens/>
        <w:ind w:left="567" w:hanging="567"/>
        <w:rPr>
          <w:spacing w:val="-3"/>
        </w:rPr>
      </w:pPr>
      <w:r w:rsidRPr="00BD1319">
        <w:rPr>
          <w:iCs/>
          <w:spacing w:val="-3"/>
        </w:rPr>
        <w:t>Caracterización</w:t>
      </w:r>
      <w:r w:rsidRPr="00BD1319">
        <w:rPr>
          <w:spacing w:val="-3"/>
        </w:rPr>
        <w:t xml:space="preserve"> ambiental </w:t>
      </w:r>
      <w:r w:rsidRPr="00BD1319">
        <w:rPr>
          <w:iCs/>
          <w:spacing w:val="-3"/>
        </w:rPr>
        <w:t xml:space="preserve">del área de influencia </w:t>
      </w:r>
      <w:r w:rsidRPr="00BD1319">
        <w:rPr>
          <w:spacing w:val="-3"/>
        </w:rPr>
        <w:t>de cada medio</w:t>
      </w:r>
      <w:r w:rsidRPr="00BD1319">
        <w:rPr>
          <w:iCs/>
          <w:spacing w:val="-3"/>
        </w:rPr>
        <w:t xml:space="preserve"> y del área de influencia del proyecto, obra o actividad</w:t>
      </w:r>
      <w:r w:rsidRPr="00BD1319">
        <w:rPr>
          <w:spacing w:val="-3"/>
        </w:rPr>
        <w:t>.</w:t>
      </w:r>
    </w:p>
    <w:p w14:paraId="55509F3A" w14:textId="77777777" w:rsidR="00533295" w:rsidRPr="00BD1319" w:rsidRDefault="00533295" w:rsidP="00533295">
      <w:pPr>
        <w:rPr>
          <w:rFonts w:cs="Arial"/>
        </w:rPr>
      </w:pPr>
    </w:p>
    <w:p w14:paraId="10F95A6D" w14:textId="64D86847" w:rsidR="00533295" w:rsidRPr="00BD1319" w:rsidRDefault="00533295" w:rsidP="00533295">
      <w:pPr>
        <w:numPr>
          <w:ilvl w:val="0"/>
          <w:numId w:val="40"/>
        </w:numPr>
        <w:tabs>
          <w:tab w:val="left" w:pos="-2268"/>
        </w:tabs>
        <w:suppressAutoHyphens/>
        <w:ind w:left="567" w:hanging="567"/>
        <w:rPr>
          <w:iCs/>
          <w:spacing w:val="-3"/>
        </w:rPr>
      </w:pPr>
      <w:r w:rsidRPr="00BD1319">
        <w:rPr>
          <w:iCs/>
          <w:spacing w:val="-3"/>
        </w:rPr>
        <w:t>Zonificación ambiental y zonificación de manejo ambiental.</w:t>
      </w:r>
    </w:p>
    <w:p w14:paraId="490EBFB8" w14:textId="77777777" w:rsidR="00533295" w:rsidRPr="00BD1319" w:rsidRDefault="00533295" w:rsidP="00533295">
      <w:pPr>
        <w:rPr>
          <w:rFonts w:cs="Arial"/>
        </w:rPr>
      </w:pPr>
    </w:p>
    <w:p w14:paraId="55DDD18E" w14:textId="5D255092" w:rsidR="00533295" w:rsidRPr="00BD1319" w:rsidRDefault="00533295" w:rsidP="000D6E21">
      <w:pPr>
        <w:numPr>
          <w:ilvl w:val="0"/>
          <w:numId w:val="40"/>
        </w:numPr>
        <w:tabs>
          <w:tab w:val="left" w:pos="-2268"/>
        </w:tabs>
        <w:suppressAutoHyphens/>
        <w:ind w:left="567" w:hanging="567"/>
        <w:rPr>
          <w:spacing w:val="-3"/>
        </w:rPr>
      </w:pPr>
      <w:r w:rsidRPr="00BD1319">
        <w:rPr>
          <w:iCs/>
          <w:spacing w:val="-3"/>
        </w:rPr>
        <w:t>Determinación y valoración de impactos</w:t>
      </w:r>
      <w:r w:rsidRPr="00BD1319">
        <w:rPr>
          <w:spacing w:val="-3"/>
        </w:rPr>
        <w:t xml:space="preserve"> ambientales del proyecto, obra o actividad.</w:t>
      </w:r>
    </w:p>
    <w:p w14:paraId="39BD1B03" w14:textId="77777777" w:rsidR="00533295" w:rsidRPr="00BD1319" w:rsidRDefault="00533295" w:rsidP="00533295">
      <w:pPr>
        <w:rPr>
          <w:rFonts w:cs="Arial"/>
        </w:rPr>
      </w:pPr>
    </w:p>
    <w:p w14:paraId="26C2278B" w14:textId="7B90D6A3" w:rsidR="00533295" w:rsidRPr="00BD1319" w:rsidRDefault="00533295" w:rsidP="000D6E21">
      <w:pPr>
        <w:numPr>
          <w:ilvl w:val="0"/>
          <w:numId w:val="40"/>
        </w:numPr>
        <w:tabs>
          <w:tab w:val="left" w:pos="-2268"/>
        </w:tabs>
        <w:suppressAutoHyphens/>
        <w:ind w:left="567" w:hanging="567"/>
        <w:rPr>
          <w:spacing w:val="-3"/>
        </w:rPr>
      </w:pPr>
      <w:r w:rsidRPr="00BD1319">
        <w:rPr>
          <w:iCs/>
          <w:spacing w:val="-3"/>
        </w:rPr>
        <w:t>Medidas de manejo (de prevención, mitigación, corrección y compensación) de impactos del plan</w:t>
      </w:r>
      <w:r w:rsidRPr="00BD1319">
        <w:rPr>
          <w:spacing w:val="-3"/>
        </w:rPr>
        <w:t xml:space="preserve"> de manejo ambiental.</w:t>
      </w:r>
    </w:p>
    <w:p w14:paraId="0173D717" w14:textId="77777777" w:rsidR="00533295" w:rsidRPr="00BD1319" w:rsidRDefault="00533295" w:rsidP="00533295">
      <w:pPr>
        <w:rPr>
          <w:rFonts w:cs="Arial"/>
        </w:rPr>
      </w:pPr>
    </w:p>
    <w:p w14:paraId="540F4DCB" w14:textId="77777777" w:rsidR="00533295" w:rsidRPr="00BD1319" w:rsidRDefault="00533295" w:rsidP="000D6E21">
      <w:pPr>
        <w:numPr>
          <w:ilvl w:val="0"/>
          <w:numId w:val="40"/>
        </w:numPr>
        <w:tabs>
          <w:tab w:val="left" w:pos="-2268"/>
        </w:tabs>
        <w:suppressAutoHyphens/>
        <w:ind w:left="567" w:hanging="567"/>
        <w:rPr>
          <w:spacing w:val="-3"/>
        </w:rPr>
      </w:pPr>
      <w:r w:rsidRPr="00BD1319">
        <w:rPr>
          <w:spacing w:val="-3"/>
        </w:rPr>
        <w:t>Plan de seguimiento y monitoreo.</w:t>
      </w:r>
    </w:p>
    <w:p w14:paraId="6A2846AD" w14:textId="77777777" w:rsidR="00533295" w:rsidRPr="00BD1319" w:rsidRDefault="00533295" w:rsidP="00533295">
      <w:pPr>
        <w:rPr>
          <w:rFonts w:cs="Arial"/>
        </w:rPr>
      </w:pPr>
    </w:p>
    <w:p w14:paraId="0CF8E70E" w14:textId="77777777" w:rsidR="00533295" w:rsidRPr="00BD1319" w:rsidRDefault="00533295" w:rsidP="000D6E21">
      <w:pPr>
        <w:numPr>
          <w:ilvl w:val="0"/>
          <w:numId w:val="40"/>
        </w:numPr>
        <w:tabs>
          <w:tab w:val="left" w:pos="-2268"/>
        </w:tabs>
        <w:suppressAutoHyphens/>
        <w:ind w:left="567" w:hanging="567"/>
        <w:rPr>
          <w:spacing w:val="-3"/>
        </w:rPr>
      </w:pPr>
      <w:r w:rsidRPr="00BD1319">
        <w:rPr>
          <w:spacing w:val="-3"/>
        </w:rPr>
        <w:t>Permisos requeridos para el uso y aprovechamiento de los recursos naturales (captaciones, vertimientos, emisiones, aprovechamiento forestal, entre otros).</w:t>
      </w:r>
    </w:p>
    <w:p w14:paraId="43C4C3B3" w14:textId="77777777" w:rsidR="00533295" w:rsidRPr="00BD1319" w:rsidRDefault="00533295" w:rsidP="00533295">
      <w:pPr>
        <w:rPr>
          <w:rFonts w:cs="Arial"/>
        </w:rPr>
      </w:pPr>
    </w:p>
    <w:p w14:paraId="24246634" w14:textId="773FA809" w:rsidR="00533295" w:rsidRPr="00BD1319" w:rsidRDefault="00533295" w:rsidP="000D6E21">
      <w:pPr>
        <w:numPr>
          <w:ilvl w:val="0"/>
          <w:numId w:val="40"/>
        </w:numPr>
        <w:tabs>
          <w:tab w:val="left" w:pos="-2268"/>
        </w:tabs>
        <w:suppressAutoHyphens/>
        <w:ind w:left="567" w:hanging="567"/>
        <w:rPr>
          <w:spacing w:val="-3"/>
        </w:rPr>
      </w:pPr>
      <w:r w:rsidRPr="00BD1319">
        <w:rPr>
          <w:iCs/>
          <w:spacing w:val="-3"/>
        </w:rPr>
        <w:t>Componente</w:t>
      </w:r>
      <w:r w:rsidRPr="00BD1319">
        <w:rPr>
          <w:spacing w:val="-3"/>
          <w:lang w:val="es-ES_tradnl"/>
        </w:rPr>
        <w:t xml:space="preserve"> ambiental</w:t>
      </w:r>
      <w:r w:rsidRPr="00BD1319">
        <w:rPr>
          <w:iCs/>
          <w:spacing w:val="-3"/>
        </w:rPr>
        <w:t xml:space="preserve"> del plan</w:t>
      </w:r>
      <w:r w:rsidRPr="00BD1319">
        <w:rPr>
          <w:spacing w:val="-3"/>
        </w:rPr>
        <w:t xml:space="preserve"> de </w:t>
      </w:r>
      <w:r w:rsidRPr="00BD1319">
        <w:rPr>
          <w:iCs/>
          <w:spacing w:val="-3"/>
        </w:rPr>
        <w:t>gestión del riesgo</w:t>
      </w:r>
      <w:r w:rsidRPr="00BD1319">
        <w:rPr>
          <w:spacing w:val="-3"/>
        </w:rPr>
        <w:t>.</w:t>
      </w:r>
    </w:p>
    <w:p w14:paraId="23719E47" w14:textId="77777777" w:rsidR="00533295" w:rsidRPr="00BD1319" w:rsidRDefault="00533295" w:rsidP="00533295">
      <w:pPr>
        <w:rPr>
          <w:rFonts w:cs="Arial"/>
        </w:rPr>
      </w:pPr>
    </w:p>
    <w:p w14:paraId="58D1C4E9" w14:textId="77777777" w:rsidR="00533295" w:rsidRPr="00BD1319" w:rsidRDefault="00533295" w:rsidP="000D6E21">
      <w:pPr>
        <w:numPr>
          <w:ilvl w:val="0"/>
          <w:numId w:val="40"/>
        </w:numPr>
        <w:tabs>
          <w:tab w:val="left" w:pos="-2268"/>
        </w:tabs>
        <w:suppressAutoHyphens/>
        <w:ind w:left="567" w:hanging="567"/>
        <w:rPr>
          <w:spacing w:val="-3"/>
        </w:rPr>
      </w:pPr>
      <w:r w:rsidRPr="00BD1319">
        <w:rPr>
          <w:spacing w:val="-3"/>
        </w:rPr>
        <w:t>Plan de compensación por pérdida de biodiversidad.</w:t>
      </w:r>
    </w:p>
    <w:p w14:paraId="027C048D" w14:textId="77777777" w:rsidR="00533295" w:rsidRPr="00BD1319" w:rsidRDefault="00533295" w:rsidP="00533295">
      <w:pPr>
        <w:rPr>
          <w:rFonts w:cs="Arial"/>
        </w:rPr>
      </w:pPr>
    </w:p>
    <w:p w14:paraId="6AC749E5" w14:textId="77777777" w:rsidR="00533295" w:rsidRPr="00BD1319" w:rsidRDefault="00533295" w:rsidP="000D6E21">
      <w:pPr>
        <w:numPr>
          <w:ilvl w:val="0"/>
          <w:numId w:val="40"/>
        </w:numPr>
        <w:tabs>
          <w:tab w:val="left" w:pos="-2268"/>
        </w:tabs>
        <w:suppressAutoHyphens/>
        <w:ind w:left="567" w:hanging="567"/>
        <w:rPr>
          <w:spacing w:val="-3"/>
        </w:rPr>
      </w:pPr>
      <w:r w:rsidRPr="00BD1319">
        <w:rPr>
          <w:spacing w:val="-3"/>
        </w:rPr>
        <w:lastRenderedPageBreak/>
        <w:t>Plan de inversión de no menos del 1%.</w:t>
      </w:r>
    </w:p>
    <w:p w14:paraId="7A6ACAA1" w14:textId="77777777" w:rsidR="00533295" w:rsidRPr="00BD1319" w:rsidRDefault="00533295" w:rsidP="000D6E21">
      <w:pPr>
        <w:numPr>
          <w:ilvl w:val="12"/>
          <w:numId w:val="0"/>
        </w:numPr>
        <w:tabs>
          <w:tab w:val="left" w:pos="-2268"/>
        </w:tabs>
        <w:suppressAutoHyphens/>
        <w:rPr>
          <w:spacing w:val="-3"/>
        </w:rPr>
      </w:pPr>
    </w:p>
    <w:p w14:paraId="1E88F67B" w14:textId="0F4E2AD3" w:rsidR="00533295" w:rsidRPr="00BD1319" w:rsidRDefault="00533295" w:rsidP="000D6E21">
      <w:pPr>
        <w:pStyle w:val="Prrafodelista"/>
        <w:tabs>
          <w:tab w:val="left" w:pos="-2268"/>
        </w:tabs>
        <w:suppressAutoHyphens/>
        <w:ind w:left="0"/>
        <w:rPr>
          <w:spacing w:val="-3"/>
        </w:rPr>
      </w:pPr>
      <w:r w:rsidRPr="00BD1319">
        <w:rPr>
          <w:rFonts w:cs="Arial"/>
          <w:spacing w:val="-3"/>
        </w:rPr>
        <w:t>Para lograr una adecuada retroalimentación y de este modo</w:t>
      </w:r>
      <w:r w:rsidRPr="00BD1319">
        <w:rPr>
          <w:rFonts w:cs="Arial"/>
          <w:spacing w:val="-3"/>
          <w:lang w:val="es-CO"/>
        </w:rPr>
        <w:t xml:space="preserve"> enriquecer el EIA y mejorar el relacionamiento del responsable del proyecto, obra o actividad (en caso de que se otorgue la licencia) con los grupos de interés, es necesario que en estos espacios se consideren los saberes de los grupos de interés sobre el entorno.</w:t>
      </w:r>
    </w:p>
    <w:p w14:paraId="0764972B" w14:textId="77777777" w:rsidR="00533295" w:rsidRPr="00BD1319" w:rsidRDefault="00533295" w:rsidP="000D6E21">
      <w:pPr>
        <w:numPr>
          <w:ilvl w:val="12"/>
          <w:numId w:val="0"/>
        </w:numPr>
        <w:tabs>
          <w:tab w:val="left" w:pos="-2268"/>
        </w:tabs>
        <w:suppressAutoHyphens/>
        <w:rPr>
          <w:spacing w:val="-3"/>
        </w:rPr>
      </w:pPr>
    </w:p>
    <w:p w14:paraId="3907EEDD" w14:textId="77777777" w:rsidR="00533295" w:rsidRPr="00BD1319" w:rsidRDefault="00533295" w:rsidP="00533295">
      <w:pPr>
        <w:pStyle w:val="Ttulo4"/>
        <w:tabs>
          <w:tab w:val="clear" w:pos="1844"/>
          <w:tab w:val="num" w:pos="1134"/>
        </w:tabs>
        <w:ind w:left="0"/>
        <w:rPr>
          <w:lang w:val="es-CO"/>
        </w:rPr>
      </w:pPr>
      <w:r w:rsidRPr="00BD1319">
        <w:rPr>
          <w:lang w:val="es-CO"/>
        </w:rPr>
        <w:t>Cierre de los espacios participativos</w:t>
      </w:r>
    </w:p>
    <w:p w14:paraId="00636E81" w14:textId="77777777" w:rsidR="00533295" w:rsidRPr="00BD1319" w:rsidRDefault="00533295" w:rsidP="00533295">
      <w:pPr>
        <w:tabs>
          <w:tab w:val="left" w:pos="-2268"/>
        </w:tabs>
        <w:suppressAutoHyphens/>
        <w:rPr>
          <w:spacing w:val="-3"/>
        </w:rPr>
      </w:pPr>
    </w:p>
    <w:p w14:paraId="0192F2A8" w14:textId="77777777" w:rsidR="00533295" w:rsidRPr="00BD1319" w:rsidRDefault="00533295" w:rsidP="00533295">
      <w:pPr>
        <w:pStyle w:val="Prrafodelista"/>
        <w:tabs>
          <w:tab w:val="left" w:pos="-2268"/>
        </w:tabs>
        <w:suppressAutoHyphens/>
        <w:ind w:left="0"/>
        <w:rPr>
          <w:spacing w:val="-3"/>
        </w:rPr>
      </w:pPr>
      <w:r w:rsidRPr="00BD1319">
        <w:rPr>
          <w:spacing w:val="-3"/>
        </w:rPr>
        <w:t>Al finalizar cada jornada se debe dar un balance sintético de los temas abordados, de las inquietudes manifestadas y de los aportes recibidos, se debe mencionar la forma en que se incorporarán en el EIA los acuerdos alcanzados durante el espacio y se debe señalar que las demás consideraciones, observaciones y aportes son sujetos de análisis para determinar su pertinencia.</w:t>
      </w:r>
    </w:p>
    <w:p w14:paraId="7D73B573" w14:textId="77777777" w:rsidR="00533295" w:rsidRPr="00BD1319" w:rsidRDefault="00533295" w:rsidP="00533295">
      <w:pPr>
        <w:numPr>
          <w:ilvl w:val="12"/>
          <w:numId w:val="0"/>
        </w:numPr>
        <w:tabs>
          <w:tab w:val="left" w:pos="-2268"/>
        </w:tabs>
        <w:suppressAutoHyphens/>
        <w:rPr>
          <w:spacing w:val="-3"/>
        </w:rPr>
      </w:pPr>
    </w:p>
    <w:p w14:paraId="5B05019C" w14:textId="77777777" w:rsidR="00533295" w:rsidRPr="00BD1319" w:rsidRDefault="00533295" w:rsidP="00216955">
      <w:pPr>
        <w:pStyle w:val="Ttulo3"/>
      </w:pPr>
      <w:bookmarkStart w:id="2585" w:name="_Toc141714231"/>
      <w:bookmarkStart w:id="2586" w:name="_Toc175326756"/>
      <w:r w:rsidRPr="00BD1319">
        <w:t>Análisis y comunicación de resultados</w:t>
      </w:r>
      <w:bookmarkEnd w:id="2585"/>
      <w:bookmarkEnd w:id="2586"/>
    </w:p>
    <w:p w14:paraId="6A1BB46E" w14:textId="77777777" w:rsidR="00533295" w:rsidRPr="00BD1319" w:rsidRDefault="00533295" w:rsidP="00533295">
      <w:pPr>
        <w:rPr>
          <w:lang w:val="es-ES_tradnl"/>
        </w:rPr>
      </w:pPr>
    </w:p>
    <w:p w14:paraId="43E5DC58" w14:textId="77777777" w:rsidR="00533295" w:rsidRPr="00BD1319" w:rsidRDefault="00533295" w:rsidP="00533295">
      <w:pPr>
        <w:rPr>
          <w:lang w:val="es-ES_tradnl"/>
        </w:rPr>
      </w:pPr>
      <w:r w:rsidRPr="00BD1319">
        <w:rPr>
          <w:lang w:val="es-ES_tradnl"/>
        </w:rPr>
        <w:t>En esta instancia del proceso de participación, la información obtenida en los espacios de diálogo se consolida, analiza e incorpora al EIA según su pertinencia dadas las características ambientales del área de influencia y las particularidades del proyecto, obra o actividad. Asimismo, durante esta instancia se comunica el resultado del proceso de participación y el contenido final del EIA de forma previa a la radicación del estudio ante la autoridad ambiental.</w:t>
      </w:r>
    </w:p>
    <w:p w14:paraId="6442E386" w14:textId="77777777" w:rsidR="00533295" w:rsidRPr="00BD1319" w:rsidRDefault="00533295" w:rsidP="00533295">
      <w:pPr>
        <w:rPr>
          <w:lang w:val="es-ES_tradnl"/>
        </w:rPr>
      </w:pPr>
    </w:p>
    <w:p w14:paraId="751F776C" w14:textId="77777777" w:rsidR="00533295" w:rsidRPr="00BD1319" w:rsidRDefault="00533295" w:rsidP="00533295">
      <w:pPr>
        <w:pStyle w:val="Ttulo4"/>
        <w:tabs>
          <w:tab w:val="clear" w:pos="1844"/>
          <w:tab w:val="num" w:pos="1134"/>
        </w:tabs>
        <w:ind w:left="0"/>
        <w:rPr>
          <w:lang w:val="es-CO"/>
        </w:rPr>
      </w:pPr>
      <w:r w:rsidRPr="00BD1319">
        <w:rPr>
          <w:lang w:val="es-CO"/>
        </w:rPr>
        <w:t>Consolidación, análisis e incorporación de aportes al EIA</w:t>
      </w:r>
    </w:p>
    <w:p w14:paraId="53357214" w14:textId="77777777" w:rsidR="00533295" w:rsidRPr="00BD1319" w:rsidRDefault="00533295" w:rsidP="000D6E21">
      <w:pPr>
        <w:rPr>
          <w:lang w:val="es-ES_tradnl"/>
        </w:rPr>
      </w:pPr>
    </w:p>
    <w:p w14:paraId="7A42EA85" w14:textId="247CAF10" w:rsidR="00533295" w:rsidRPr="00BD1319" w:rsidRDefault="00533295" w:rsidP="00533295">
      <w:pPr>
        <w:suppressAutoHyphens/>
        <w:overflowPunct/>
        <w:autoSpaceDE/>
        <w:autoSpaceDN/>
        <w:adjustRightInd/>
        <w:textAlignment w:val="auto"/>
        <w:rPr>
          <w:spacing w:val="-3"/>
        </w:rPr>
      </w:pPr>
      <w:r w:rsidRPr="00BD1319">
        <w:rPr>
          <w:spacing w:val="-3"/>
        </w:rPr>
        <w:t>Se debe consolidar el conjunto de posiciones, puntos de vista y propuestas de los grupos de interés, procurando mantener el contenido textual de las intervenciones y señalando la forma en que tales opiniones son interpretadas por el elaborador del estudio.</w:t>
      </w:r>
    </w:p>
    <w:p w14:paraId="742BF7EF" w14:textId="77777777" w:rsidR="00533295" w:rsidRPr="00BD1319" w:rsidRDefault="00533295" w:rsidP="00533295">
      <w:pPr>
        <w:rPr>
          <w:spacing w:val="-3"/>
        </w:rPr>
      </w:pPr>
    </w:p>
    <w:p w14:paraId="55D38355" w14:textId="77777777" w:rsidR="00533295" w:rsidRPr="00BD1319" w:rsidRDefault="00533295" w:rsidP="00533295">
      <w:pPr>
        <w:suppressAutoHyphens/>
        <w:overflowPunct/>
        <w:autoSpaceDE/>
        <w:autoSpaceDN/>
        <w:adjustRightInd/>
        <w:textAlignment w:val="auto"/>
        <w:rPr>
          <w:lang w:val="es-ES_tradnl"/>
        </w:rPr>
      </w:pPr>
      <w:r w:rsidRPr="00BD1319">
        <w:rPr>
          <w:spacing w:val="-3"/>
        </w:rPr>
        <w:t>Igualmente, se debe analizar a la luz de las singularidades del proyecto, obra o actividad propuesto, de la información técnica y científica de caracterización ambiental obtenida, así como de las posiciones y puntos de vista de los grupos de interés, la pertinencia de las propuestas de éstos sobre la caracterización ambiental, los impactos y riesgos inherentes a las actividades del proyecto, las medidas para su manejo y gestión, entre otros temas abordados en los espacios de participación.</w:t>
      </w:r>
    </w:p>
    <w:p w14:paraId="2E62494B" w14:textId="77777777" w:rsidR="00533295" w:rsidRPr="00BD1319" w:rsidRDefault="00533295" w:rsidP="00C70AAE">
      <w:pPr>
        <w:rPr>
          <w:lang w:val="es-ES_tradnl"/>
        </w:rPr>
      </w:pPr>
    </w:p>
    <w:p w14:paraId="0BA28DED" w14:textId="54050986" w:rsidR="00533295" w:rsidRPr="00BD1319" w:rsidRDefault="00533295" w:rsidP="000D6E21">
      <w:pPr>
        <w:tabs>
          <w:tab w:val="left" w:pos="-2268"/>
        </w:tabs>
        <w:suppressAutoHyphens/>
        <w:overflowPunct/>
        <w:autoSpaceDE/>
        <w:autoSpaceDN/>
        <w:adjustRightInd/>
        <w:textAlignment w:val="auto"/>
        <w:rPr>
          <w:spacing w:val="-3"/>
        </w:rPr>
      </w:pPr>
      <w:r w:rsidRPr="00BD1319">
        <w:rPr>
          <w:lang w:val="es-ES_tradnl"/>
        </w:rPr>
        <w:t xml:space="preserve">Asimismo, se debe indicar cómo se incorporan al EIA los acuerdos fijados en los espacios de participación, </w:t>
      </w:r>
      <w:r w:rsidRPr="00BD1319">
        <w:rPr>
          <w:rFonts w:cs="Arial"/>
          <w:spacing w:val="-3"/>
        </w:rPr>
        <w:t>qué comentarios, aportes o sugerencias fueron acogidos en el EIA y cuáles de éstos no se incorporan al estudio, así como las razones que llevaron a tomar tal decisión.</w:t>
      </w:r>
    </w:p>
    <w:p w14:paraId="762B821B" w14:textId="77777777" w:rsidR="00533295" w:rsidRPr="00BD1319" w:rsidRDefault="00533295" w:rsidP="000D6E21"/>
    <w:p w14:paraId="7E2B2ACF" w14:textId="77777777" w:rsidR="00533295" w:rsidRPr="00BD1319" w:rsidRDefault="00533295" w:rsidP="00533295">
      <w:pPr>
        <w:pStyle w:val="Ttulo4"/>
        <w:tabs>
          <w:tab w:val="clear" w:pos="1844"/>
          <w:tab w:val="num" w:pos="1134"/>
        </w:tabs>
        <w:ind w:left="0"/>
        <w:rPr>
          <w:lang w:val="es-CO"/>
        </w:rPr>
      </w:pPr>
      <w:r w:rsidRPr="00BD1319">
        <w:rPr>
          <w:lang w:val="es-CO"/>
        </w:rPr>
        <w:t>Presentación del abordaje de los aportes en el EIA y del estudio ambiental definitivo a los grupos de interés</w:t>
      </w:r>
    </w:p>
    <w:p w14:paraId="591641B5" w14:textId="77777777" w:rsidR="00533295" w:rsidRPr="00BD1319" w:rsidRDefault="00533295" w:rsidP="00533295"/>
    <w:p w14:paraId="45E395FE" w14:textId="77777777" w:rsidR="00533295" w:rsidRPr="00BD1319" w:rsidRDefault="00533295" w:rsidP="00533295">
      <w:pPr>
        <w:pStyle w:val="Prrafodelista"/>
        <w:suppressAutoHyphens/>
        <w:ind w:left="0"/>
      </w:pPr>
      <w:r w:rsidRPr="00BD1319">
        <w:t>Una vez culminado el proceso de análisis de los insumos recibidos, así como de elaboración del EIA y de forma previa a su radicación ante la autoridad ambiental, se debe informar a los grupos de interés la forma en que se incorporaron los aportes del proceso de participación en el EIA y el contenido final del estudio.</w:t>
      </w:r>
    </w:p>
    <w:p w14:paraId="46FE17ED" w14:textId="77777777" w:rsidR="00533295" w:rsidRPr="00BD1319" w:rsidRDefault="00533295" w:rsidP="00533295"/>
    <w:p w14:paraId="1CE8B318" w14:textId="77777777" w:rsidR="00533295" w:rsidRPr="00BD1319" w:rsidRDefault="00533295" w:rsidP="00533295">
      <w:pPr>
        <w:pStyle w:val="Prrafodelista"/>
        <w:suppressAutoHyphens/>
        <w:ind w:left="0"/>
      </w:pPr>
      <w:r w:rsidRPr="00BD1319">
        <w:t>Con este fin es necesario actualizar el resumen del estudio que se elaboró en la fase de planeación a partir los aportes fruto del proceso de participación y elaborar piezas gráficas informativas sobre el estudio y un escrito que especifique tanto los aportes que se incorporaron, como las razones que justifican el no haber integrado al estudio algunos de ellos.</w:t>
      </w:r>
    </w:p>
    <w:p w14:paraId="262B6AF3" w14:textId="77777777" w:rsidR="00533295" w:rsidRPr="00BD1319" w:rsidRDefault="00533295" w:rsidP="00533295">
      <w:pPr>
        <w:pStyle w:val="Prrafodelista"/>
        <w:ind w:left="0"/>
      </w:pPr>
    </w:p>
    <w:p w14:paraId="6AB2ADD6" w14:textId="77777777" w:rsidR="00533295" w:rsidRPr="00BD1319" w:rsidRDefault="00533295" w:rsidP="00533295">
      <w:pPr>
        <w:pStyle w:val="Prrafodelista"/>
        <w:suppressAutoHyphens/>
        <w:ind w:left="0"/>
      </w:pPr>
      <w:r w:rsidRPr="00BD1319">
        <w:t>El contenido de estos documentos debe socializarse mediante espacios presenciales y complementariamente, empleando medios de comunicación masiva como redes sociales, páginas web, canales comunitarios o con cobertura en el territorio o puntos itinerantes de información.</w:t>
      </w:r>
      <w:bookmarkStart w:id="2587" w:name="_Hlk147829423"/>
      <w:r w:rsidRPr="00BD1319">
        <w:t xml:space="preserve"> En estos espacios se debe informar claramente que el contenido del EIA está sujeto a evaluación por parte de la autoridad ambiental y es ésta quien toma la decisión, mediante acto administrativo, frente a la viabilidad ambiental del proyecto y otorga o niega la licencia ambiental.</w:t>
      </w:r>
    </w:p>
    <w:bookmarkEnd w:id="2587"/>
    <w:p w14:paraId="63C3E878" w14:textId="77777777" w:rsidR="00533295" w:rsidRPr="00BD1319" w:rsidRDefault="00533295" w:rsidP="00533295">
      <w:pPr>
        <w:rPr>
          <w:lang w:val="es-ES_tradnl"/>
        </w:rPr>
      </w:pPr>
    </w:p>
    <w:p w14:paraId="6DBA3BDA" w14:textId="77777777" w:rsidR="00533295" w:rsidRPr="00BD1319" w:rsidRDefault="00533295" w:rsidP="00533295">
      <w:pPr>
        <w:rPr>
          <w:lang w:val="es-ES_tradnl"/>
        </w:rPr>
      </w:pPr>
      <w:r w:rsidRPr="00BD1319">
        <w:rPr>
          <w:lang w:val="es-ES_tradnl"/>
        </w:rPr>
        <w:t>Los resultados de cada una de las instancias del proceso participativo (planeación, ejecución y análisis y comunicación) se deben incorporar al EIA, evidenciando en ellos la información presentada a los grupos de interés, lo expuesto y manifestado por dichos grupos y la forma en que tales aportes se abordan en el estudio ambiental.</w:t>
      </w:r>
    </w:p>
    <w:p w14:paraId="1C97087E" w14:textId="77777777" w:rsidR="00533295" w:rsidRPr="00BD1319" w:rsidRDefault="00533295" w:rsidP="00533295">
      <w:pPr>
        <w:rPr>
          <w:lang w:val="es-ES_tradnl"/>
        </w:rPr>
      </w:pPr>
    </w:p>
    <w:p w14:paraId="692D8BA2" w14:textId="77777777" w:rsidR="00533295" w:rsidRPr="00BD1319" w:rsidRDefault="00533295" w:rsidP="00533295">
      <w:pPr>
        <w:pStyle w:val="Ttulo2"/>
      </w:pPr>
      <w:bookmarkStart w:id="2588" w:name="_Toc141714232"/>
      <w:bookmarkStart w:id="2589" w:name="_Toc175326757"/>
      <w:r w:rsidRPr="00BD1319">
        <w:t>SOPORTES Y EVIDENCIAS DEL PROCESO DE PARTICIPACIÓN</w:t>
      </w:r>
      <w:bookmarkEnd w:id="2588"/>
      <w:bookmarkEnd w:id="2589"/>
    </w:p>
    <w:p w14:paraId="1352B918" w14:textId="77777777" w:rsidR="00533295" w:rsidRPr="00BD1319" w:rsidRDefault="00533295" w:rsidP="00533295">
      <w:pPr>
        <w:rPr>
          <w:lang w:val="es-ES_tradnl"/>
        </w:rPr>
      </w:pPr>
    </w:p>
    <w:p w14:paraId="67938F21" w14:textId="77777777" w:rsidR="00533295" w:rsidRPr="00BD1319" w:rsidRDefault="00533295" w:rsidP="00533295">
      <w:pPr>
        <w:rPr>
          <w:lang w:val="es-ES_tradnl"/>
        </w:rPr>
      </w:pPr>
      <w:r w:rsidRPr="00BD1319">
        <w:rPr>
          <w:lang w:val="es-ES_tradnl"/>
        </w:rPr>
        <w:t xml:space="preserve">En aras de dar transparencia, trazabilidad y confianza al proceso de participación, </w:t>
      </w:r>
      <w:r w:rsidRPr="00BD1319">
        <w:rPr>
          <w:rFonts w:cs="Arial"/>
          <w:spacing w:val="-3"/>
        </w:rPr>
        <w:t>deben anexarse al EIA como mínimo los siguientes soportes.</w:t>
      </w:r>
    </w:p>
    <w:p w14:paraId="22E6D4C9" w14:textId="77777777" w:rsidR="00533295" w:rsidRPr="00BD1319" w:rsidRDefault="00533295" w:rsidP="00533295">
      <w:pPr>
        <w:rPr>
          <w:lang w:val="es-ES_tradnl"/>
        </w:rPr>
      </w:pPr>
    </w:p>
    <w:p w14:paraId="0C7DD6CC" w14:textId="77777777" w:rsidR="00533295" w:rsidRPr="00BD1319" w:rsidRDefault="00533295" w:rsidP="00533295">
      <w:pPr>
        <w:pStyle w:val="Prrafodelista"/>
        <w:numPr>
          <w:ilvl w:val="0"/>
          <w:numId w:val="680"/>
        </w:numPr>
        <w:tabs>
          <w:tab w:val="left" w:pos="-2268"/>
        </w:tabs>
        <w:suppressAutoHyphens/>
        <w:ind w:left="567" w:hanging="567"/>
        <w:rPr>
          <w:spacing w:val="-3"/>
          <w:lang w:val="es-CO"/>
        </w:rPr>
      </w:pPr>
      <w:r w:rsidRPr="00BD1319">
        <w:rPr>
          <w:spacing w:val="-3"/>
          <w:lang w:val="es-CO"/>
        </w:rPr>
        <w:t>Correspondencia u otros soportes de los mecanismos empleados para realizar las convocatorias.</w:t>
      </w:r>
    </w:p>
    <w:p w14:paraId="52A6174A" w14:textId="77777777" w:rsidR="00533295" w:rsidRPr="00BD1319" w:rsidRDefault="00533295" w:rsidP="00533295">
      <w:pPr>
        <w:tabs>
          <w:tab w:val="left" w:pos="-2268"/>
        </w:tabs>
        <w:suppressAutoHyphens/>
        <w:rPr>
          <w:spacing w:val="-3"/>
        </w:rPr>
      </w:pPr>
    </w:p>
    <w:p w14:paraId="48D86127" w14:textId="77777777" w:rsidR="00533295" w:rsidRPr="00BD1319" w:rsidRDefault="00533295" w:rsidP="00533295">
      <w:pPr>
        <w:pStyle w:val="Prrafodelista"/>
        <w:numPr>
          <w:ilvl w:val="0"/>
          <w:numId w:val="680"/>
        </w:numPr>
        <w:tabs>
          <w:tab w:val="left" w:pos="-2268"/>
        </w:tabs>
        <w:suppressAutoHyphens/>
        <w:ind w:left="567" w:hanging="567"/>
      </w:pPr>
      <w:r w:rsidRPr="00BD1319">
        <w:rPr>
          <w:spacing w:val="-3"/>
          <w:lang w:val="es-CO"/>
        </w:rPr>
        <w:t xml:space="preserve">Actas y ayudas de memoria de las reuniones, talleres y demás espacios participativos. Estos documentos </w:t>
      </w:r>
      <w:r w:rsidRPr="00BD1319">
        <w:t>deben señalar por lo menos lo siguiente:</w:t>
      </w:r>
    </w:p>
    <w:p w14:paraId="3013E4E5" w14:textId="77777777" w:rsidR="00533295" w:rsidRPr="00BD1319" w:rsidRDefault="00533295" w:rsidP="000D6E21">
      <w:pPr>
        <w:rPr>
          <w:lang w:val="es-ES_tradnl"/>
        </w:rPr>
      </w:pPr>
    </w:p>
    <w:p w14:paraId="0640E2DC" w14:textId="77777777" w:rsidR="00533295" w:rsidRPr="00BD1319" w:rsidRDefault="00533295" w:rsidP="00533295">
      <w:pPr>
        <w:pStyle w:val="Prrafodelista"/>
        <w:numPr>
          <w:ilvl w:val="0"/>
          <w:numId w:val="363"/>
        </w:numPr>
        <w:ind w:left="1134" w:hanging="567"/>
        <w:rPr>
          <w:rFonts w:cs="Arial"/>
          <w:lang w:val="es-CO"/>
        </w:rPr>
      </w:pPr>
      <w:r w:rsidRPr="00BD1319">
        <w:rPr>
          <w:lang w:val="es-CO"/>
        </w:rPr>
        <w:t xml:space="preserve">Fecha </w:t>
      </w:r>
      <w:r w:rsidRPr="00BD1319">
        <w:rPr>
          <w:rFonts w:cs="Arial"/>
          <w:lang w:val="es-CO"/>
        </w:rPr>
        <w:t>y lugar de realización del evento.</w:t>
      </w:r>
    </w:p>
    <w:p w14:paraId="024BD835" w14:textId="77777777" w:rsidR="00533295" w:rsidRPr="00BD1319" w:rsidRDefault="00533295" w:rsidP="00533295"/>
    <w:p w14:paraId="32B22B44" w14:textId="53CD56B1" w:rsidR="00533295" w:rsidRPr="00BD1319" w:rsidRDefault="00533295" w:rsidP="00533295">
      <w:pPr>
        <w:pStyle w:val="Prrafodelista"/>
        <w:numPr>
          <w:ilvl w:val="0"/>
          <w:numId w:val="363"/>
        </w:numPr>
        <w:ind w:left="1134" w:hanging="567"/>
        <w:rPr>
          <w:rFonts w:cs="Arial"/>
          <w:lang w:val="es-CO"/>
        </w:rPr>
      </w:pPr>
      <w:r w:rsidRPr="00BD1319">
        <w:rPr>
          <w:lang w:val="es-CO"/>
        </w:rPr>
        <w:lastRenderedPageBreak/>
        <w:t xml:space="preserve">Objetivo </w:t>
      </w:r>
      <w:r w:rsidRPr="00BD1319">
        <w:rPr>
          <w:rFonts w:cs="Arial"/>
          <w:lang w:val="es-CO"/>
        </w:rPr>
        <w:t>del espacio participativo.</w:t>
      </w:r>
    </w:p>
    <w:p w14:paraId="7832AA84" w14:textId="77777777" w:rsidR="00533295" w:rsidRPr="00BD1319" w:rsidRDefault="00533295" w:rsidP="00533295">
      <w:pPr>
        <w:rPr>
          <w:rFonts w:cs="Arial"/>
        </w:rPr>
      </w:pPr>
    </w:p>
    <w:p w14:paraId="4AC4807D" w14:textId="77777777" w:rsidR="00533295" w:rsidRPr="00BD1319" w:rsidRDefault="00533295" w:rsidP="00533295">
      <w:pPr>
        <w:pStyle w:val="Prrafodelista"/>
        <w:numPr>
          <w:ilvl w:val="0"/>
          <w:numId w:val="363"/>
        </w:numPr>
        <w:ind w:left="1134" w:hanging="567"/>
        <w:rPr>
          <w:rFonts w:cs="Arial"/>
          <w:lang w:val="es-CO"/>
        </w:rPr>
      </w:pPr>
      <w:r w:rsidRPr="00BD1319">
        <w:rPr>
          <w:rFonts w:cs="Arial"/>
          <w:lang w:val="es-CO"/>
        </w:rPr>
        <w:t>Temas abordados.</w:t>
      </w:r>
    </w:p>
    <w:p w14:paraId="6F822309" w14:textId="77777777" w:rsidR="00533295" w:rsidRPr="00BD1319" w:rsidRDefault="00533295" w:rsidP="00533295">
      <w:pPr>
        <w:rPr>
          <w:rFonts w:cs="Arial"/>
        </w:rPr>
      </w:pPr>
    </w:p>
    <w:p w14:paraId="6E86F220" w14:textId="77777777" w:rsidR="00533295" w:rsidRPr="00BD1319" w:rsidRDefault="00533295" w:rsidP="00533295">
      <w:pPr>
        <w:pStyle w:val="Prrafodelista"/>
        <w:numPr>
          <w:ilvl w:val="0"/>
          <w:numId w:val="363"/>
        </w:numPr>
        <w:ind w:left="1134" w:hanging="567"/>
        <w:rPr>
          <w:rFonts w:cs="Arial"/>
          <w:lang w:val="es-CO"/>
        </w:rPr>
      </w:pPr>
      <w:r w:rsidRPr="00BD1319">
        <w:rPr>
          <w:rFonts w:cs="Arial"/>
          <w:lang w:val="es-CO"/>
        </w:rPr>
        <w:t>Inquietudes, comentarios, sugerencias o aportes de los participantes, así como las respuestas o aclaraciones realizadas por el equipo elaborador del estudio.</w:t>
      </w:r>
    </w:p>
    <w:p w14:paraId="4A039828" w14:textId="77777777" w:rsidR="00533295" w:rsidRPr="00BD1319" w:rsidRDefault="00533295" w:rsidP="00533295">
      <w:pPr>
        <w:rPr>
          <w:rFonts w:cs="Arial"/>
        </w:rPr>
      </w:pPr>
    </w:p>
    <w:p w14:paraId="06F10AFB" w14:textId="77777777" w:rsidR="00533295" w:rsidRPr="00BD1319" w:rsidRDefault="00533295" w:rsidP="00533295">
      <w:pPr>
        <w:pStyle w:val="Prrafodelista"/>
        <w:numPr>
          <w:ilvl w:val="0"/>
          <w:numId w:val="363"/>
        </w:numPr>
        <w:ind w:left="1134" w:hanging="567"/>
        <w:rPr>
          <w:rFonts w:cs="Arial"/>
          <w:lang w:val="es-CO"/>
        </w:rPr>
      </w:pPr>
      <w:r w:rsidRPr="00BD1319">
        <w:rPr>
          <w:rFonts w:cs="Arial"/>
          <w:lang w:val="es-CO"/>
        </w:rPr>
        <w:t>Compromisos adquiridos y acuerdos, si hay lugar a ello.</w:t>
      </w:r>
    </w:p>
    <w:p w14:paraId="683EE77E" w14:textId="77777777" w:rsidR="00533295" w:rsidRPr="00BD1319" w:rsidRDefault="00533295" w:rsidP="00533295">
      <w:pPr>
        <w:rPr>
          <w:rFonts w:cs="Arial"/>
        </w:rPr>
      </w:pPr>
    </w:p>
    <w:p w14:paraId="5043C256" w14:textId="77777777" w:rsidR="00533295" w:rsidRPr="00BD1319" w:rsidRDefault="00533295" w:rsidP="00533295">
      <w:pPr>
        <w:pStyle w:val="Prrafodelista"/>
        <w:numPr>
          <w:ilvl w:val="0"/>
          <w:numId w:val="363"/>
        </w:numPr>
        <w:ind w:left="1134" w:hanging="567"/>
        <w:rPr>
          <w:rFonts w:cs="Arial"/>
          <w:lang w:val="es-CO"/>
        </w:rPr>
      </w:pPr>
      <w:r w:rsidRPr="00BD1319">
        <w:rPr>
          <w:rFonts w:cs="Arial"/>
          <w:lang w:val="es-CO"/>
        </w:rPr>
        <w:t>Firma de los representantes de los grupos de interés, del delegado de la autoridad municipal, del Ministerio Público (Personería, Procuraduría, Defensoría del Pueblo) y del representante de la empresa responsable del proyecto, obra o actividad.</w:t>
      </w:r>
    </w:p>
    <w:p w14:paraId="528336DB" w14:textId="77777777" w:rsidR="00533295" w:rsidRPr="00BD1319" w:rsidRDefault="00533295" w:rsidP="00533295">
      <w:pPr>
        <w:rPr>
          <w:rFonts w:cs="Arial"/>
        </w:rPr>
      </w:pPr>
    </w:p>
    <w:p w14:paraId="0EDC52B1" w14:textId="77777777" w:rsidR="00533295" w:rsidRPr="00BD1319" w:rsidRDefault="00533295" w:rsidP="00533295">
      <w:pPr>
        <w:pStyle w:val="Prrafodelista"/>
        <w:ind w:left="1134"/>
        <w:rPr>
          <w:rFonts w:cs="Arial"/>
          <w:lang w:val="es-CO"/>
        </w:rPr>
      </w:pPr>
      <w:r w:rsidRPr="00BD1319">
        <w:rPr>
          <w:rFonts w:cs="Arial"/>
          <w:lang w:val="es-CO"/>
        </w:rPr>
        <w:t xml:space="preserve">Esto </w:t>
      </w:r>
      <w:r w:rsidRPr="00BD1319">
        <w:rPr>
          <w:lang w:val="es-CO"/>
        </w:rPr>
        <w:t>no es exigible en los casos en que los representantes de los grupos de interés se abstengan de firmar o cuando no hagan presencia las autoridades señaladas. En ambos casos se dejará constancia en el acta; cuando los representantes de los grupos de interés se abstengan de firmar, es posible emplear como respaldo las firmas del representante de la autoridad municipal o del Ministerio público que asistan a la reunión.</w:t>
      </w:r>
    </w:p>
    <w:p w14:paraId="355D0FB1" w14:textId="77777777" w:rsidR="00533295" w:rsidRPr="00BD1319" w:rsidRDefault="00533295" w:rsidP="00533295">
      <w:pPr>
        <w:tabs>
          <w:tab w:val="left" w:pos="-2268"/>
        </w:tabs>
        <w:suppressAutoHyphens/>
        <w:rPr>
          <w:spacing w:val="-3"/>
        </w:rPr>
      </w:pPr>
    </w:p>
    <w:p w14:paraId="4E2FC667" w14:textId="5F3CBDEA" w:rsidR="00533295" w:rsidRPr="00BD1319" w:rsidRDefault="00533295" w:rsidP="00533295">
      <w:pPr>
        <w:numPr>
          <w:ilvl w:val="12"/>
          <w:numId w:val="0"/>
        </w:numPr>
        <w:tabs>
          <w:tab w:val="left" w:pos="-2268"/>
        </w:tabs>
        <w:suppressAutoHyphens/>
        <w:ind w:left="567"/>
        <w:rPr>
          <w:spacing w:val="-3"/>
        </w:rPr>
      </w:pPr>
      <w:r w:rsidRPr="00BD1319">
        <w:rPr>
          <w:spacing w:val="-3"/>
        </w:rPr>
        <w:t xml:space="preserve">Es necesario que las actas </w:t>
      </w:r>
      <w:r w:rsidRPr="00BD1319">
        <w:rPr>
          <w:rFonts w:cs="Arial"/>
          <w:spacing w:val="-3"/>
        </w:rPr>
        <w:t>y demás soportes</w:t>
      </w:r>
      <w:r w:rsidRPr="00BD1319">
        <w:rPr>
          <w:spacing w:val="-3"/>
        </w:rPr>
        <w:t xml:space="preserve"> sean elaborados </w:t>
      </w:r>
      <w:r w:rsidRPr="00BD1319">
        <w:rPr>
          <w:i/>
          <w:spacing w:val="-3"/>
        </w:rPr>
        <w:t>in situ</w:t>
      </w:r>
      <w:r w:rsidRPr="00BD1319">
        <w:rPr>
          <w:spacing w:val="-3"/>
        </w:rPr>
        <w:t>, con letra y redacción clara y legible, de manera que puedan ser suscritos por sus participantes y entregados a las autoridades presentes y a los representantes de los grupos de interés una vez finalicen los espacios para los cuales se elaboran.</w:t>
      </w:r>
    </w:p>
    <w:p w14:paraId="19DB33BD" w14:textId="77777777" w:rsidR="00533295" w:rsidRPr="00BD1319" w:rsidRDefault="00533295" w:rsidP="00533295">
      <w:pPr>
        <w:numPr>
          <w:ilvl w:val="12"/>
          <w:numId w:val="0"/>
        </w:numPr>
        <w:tabs>
          <w:tab w:val="left" w:pos="-2268"/>
        </w:tabs>
        <w:suppressAutoHyphens/>
        <w:rPr>
          <w:spacing w:val="-3"/>
        </w:rPr>
      </w:pPr>
    </w:p>
    <w:p w14:paraId="095C96BB" w14:textId="3948A07B" w:rsidR="00533295" w:rsidRPr="00BD1319" w:rsidRDefault="00533295" w:rsidP="00533295">
      <w:pPr>
        <w:numPr>
          <w:ilvl w:val="12"/>
          <w:numId w:val="0"/>
        </w:numPr>
        <w:tabs>
          <w:tab w:val="left" w:pos="-2268"/>
        </w:tabs>
        <w:suppressAutoHyphens/>
        <w:ind w:left="567"/>
        <w:rPr>
          <w:spacing w:val="-3"/>
        </w:rPr>
      </w:pPr>
      <w:r w:rsidRPr="00BD1319">
        <w:rPr>
          <w:spacing w:val="-3"/>
        </w:rPr>
        <w:t>Solo en caso excepcional, cuando se presente alguna situación que impida la entrega inmediata de estos soportes se tiene un plazo máximo de 2 días posterior a la reunión o actividad para su entrega, previo acuerdo entre las partes.</w:t>
      </w:r>
    </w:p>
    <w:p w14:paraId="400F38D5" w14:textId="77777777" w:rsidR="00533295" w:rsidRPr="00BD1319" w:rsidRDefault="00533295" w:rsidP="000D6E21">
      <w:pPr>
        <w:tabs>
          <w:tab w:val="left" w:pos="-2268"/>
        </w:tabs>
        <w:suppressAutoHyphens/>
        <w:rPr>
          <w:spacing w:val="-3"/>
        </w:rPr>
      </w:pPr>
    </w:p>
    <w:p w14:paraId="4FF84C81" w14:textId="271575B8" w:rsidR="00533295" w:rsidRPr="00BD1319" w:rsidRDefault="00533295" w:rsidP="000D6E21">
      <w:pPr>
        <w:pStyle w:val="Prrafodelista"/>
        <w:numPr>
          <w:ilvl w:val="0"/>
          <w:numId w:val="680"/>
        </w:numPr>
        <w:tabs>
          <w:tab w:val="left" w:pos="-2268"/>
        </w:tabs>
        <w:suppressAutoHyphens/>
        <w:ind w:left="567" w:hanging="567"/>
        <w:rPr>
          <w:spacing w:val="-3"/>
        </w:rPr>
      </w:pPr>
      <w:r w:rsidRPr="00BD1319">
        <w:rPr>
          <w:spacing w:val="-3"/>
        </w:rPr>
        <w:t>Listados de asistencia o soportes documentales pertinentes que evidencien a qué grupo de interés pertenece cada participante</w:t>
      </w:r>
      <w:r w:rsidRPr="00BD1319">
        <w:rPr>
          <w:spacing w:val="-3"/>
          <w:lang w:val="es-CO"/>
        </w:rPr>
        <w:t xml:space="preserve"> y descripción de las personas participantes con carácter de enfoque diferencial que señale los sectores sociales a los cuales pertenecen, representantes de organizaciones, instancias de participación, entre otras.</w:t>
      </w:r>
    </w:p>
    <w:p w14:paraId="039BC683" w14:textId="77777777" w:rsidR="00533295" w:rsidRPr="00BD1319" w:rsidRDefault="00533295" w:rsidP="00533295">
      <w:pPr>
        <w:tabs>
          <w:tab w:val="left" w:pos="-2268"/>
        </w:tabs>
        <w:suppressAutoHyphens/>
        <w:rPr>
          <w:spacing w:val="-3"/>
        </w:rPr>
      </w:pPr>
    </w:p>
    <w:p w14:paraId="0A1B344F" w14:textId="77777777" w:rsidR="00533295" w:rsidRPr="00BD1319" w:rsidRDefault="00533295" w:rsidP="00533295">
      <w:pPr>
        <w:pStyle w:val="Prrafodelista"/>
        <w:numPr>
          <w:ilvl w:val="0"/>
          <w:numId w:val="680"/>
        </w:numPr>
        <w:tabs>
          <w:tab w:val="left" w:pos="-2268"/>
        </w:tabs>
        <w:suppressAutoHyphens/>
        <w:ind w:left="567" w:hanging="567"/>
        <w:rPr>
          <w:spacing w:val="-3"/>
          <w:lang w:val="es-CO"/>
        </w:rPr>
      </w:pPr>
      <w:r w:rsidRPr="00BD1319">
        <w:rPr>
          <w:spacing w:val="-3"/>
          <w:lang w:val="es-CO"/>
        </w:rPr>
        <w:t>Registro fotográfico, de audio o de video, preferiblemente, que evidencie fecha y coordenadas del lugar del evento con el correcto manejo de la política de autorización, utilización y administración de datos personales (si los participantes lo permiten).</w:t>
      </w:r>
    </w:p>
    <w:p w14:paraId="50B26E53" w14:textId="77777777" w:rsidR="00533295" w:rsidRPr="00BD1319" w:rsidRDefault="00533295" w:rsidP="00533295">
      <w:pPr>
        <w:rPr>
          <w:lang w:val="es-ES_tradnl"/>
        </w:rPr>
      </w:pPr>
    </w:p>
    <w:p w14:paraId="683F45C2" w14:textId="77777777" w:rsidR="00533295" w:rsidRPr="00BD1319" w:rsidRDefault="00533295" w:rsidP="00533295">
      <w:pPr>
        <w:pStyle w:val="Ttulo2"/>
        <w:rPr>
          <w:bCs/>
          <w:spacing w:val="-3"/>
        </w:rPr>
      </w:pPr>
      <w:bookmarkStart w:id="2590" w:name="_Toc175326758"/>
      <w:r w:rsidRPr="00BD1319">
        <w:rPr>
          <w:spacing w:val="-3"/>
        </w:rPr>
        <w:lastRenderedPageBreak/>
        <w:t>MECANISMOS VIRTUALES PARA LA PARTICIPACIÓN</w:t>
      </w:r>
      <w:bookmarkEnd w:id="2590"/>
    </w:p>
    <w:p w14:paraId="5E641AFC" w14:textId="77777777" w:rsidR="00533295" w:rsidRPr="00BD1319" w:rsidRDefault="00533295" w:rsidP="00533295">
      <w:pPr>
        <w:numPr>
          <w:ilvl w:val="12"/>
          <w:numId w:val="0"/>
        </w:numPr>
        <w:tabs>
          <w:tab w:val="left" w:pos="-2268"/>
        </w:tabs>
        <w:suppressAutoHyphens/>
        <w:rPr>
          <w:spacing w:val="-3"/>
        </w:rPr>
      </w:pPr>
    </w:p>
    <w:p w14:paraId="416C2AE3" w14:textId="39E17F1A" w:rsidR="00533295" w:rsidRPr="00BD1319" w:rsidRDefault="00533295" w:rsidP="00533295">
      <w:pPr>
        <w:overflowPunct/>
        <w:autoSpaceDE/>
        <w:autoSpaceDN/>
        <w:adjustRightInd/>
      </w:pPr>
      <w:r w:rsidRPr="00BD1319">
        <w:t xml:space="preserve">De otra parte, se debe tener en cuenta que es posible ejecutar el proceso de participación </w:t>
      </w:r>
      <w:r w:rsidRPr="00BD1319">
        <w:rPr>
          <w:rFonts w:cs="Arial"/>
          <w:lang w:eastAsia="es-CO"/>
        </w:rPr>
        <w:t>empleando</w:t>
      </w:r>
      <w:r w:rsidRPr="00BD1319">
        <w:t xml:space="preserve"> mecanismos virtuales, siempre y cuando se demuestre que todas las personas o grupos </w:t>
      </w:r>
      <w:r w:rsidRPr="00BD1319">
        <w:rPr>
          <w:rFonts w:cs="Arial"/>
          <w:lang w:eastAsia="es-CO"/>
        </w:rPr>
        <w:t xml:space="preserve">de interés a los cuales se dirigen tales </w:t>
      </w:r>
      <w:proofErr w:type="gramStart"/>
      <w:r w:rsidRPr="00BD1319">
        <w:rPr>
          <w:rFonts w:cs="Arial"/>
          <w:lang w:eastAsia="es-CO"/>
        </w:rPr>
        <w:t>mecanismos,</w:t>
      </w:r>
      <w:proofErr w:type="gramEnd"/>
      <w:r w:rsidRPr="00BD1319">
        <w:t xml:space="preserve"> disponen de los medios logísticos y tecnológicos que garantizan una participación ambiental efectiva. Estos </w:t>
      </w:r>
      <w:r w:rsidRPr="00BD1319">
        <w:rPr>
          <w:rFonts w:cs="Arial"/>
          <w:lang w:eastAsia="es-CO"/>
        </w:rPr>
        <w:t>mecanismos</w:t>
      </w:r>
      <w:r w:rsidRPr="00BD1319">
        <w:t xml:space="preserve"> incluyen las tecnologías de la información y las comunicaciones (TIC), las cuales de acuerdo con la Ley 1978 de 2019 o aquella que la modifique o sustituya, comprenden el conjunto de recursos, herramientas, equipos, programas informáticos, aplicaciones, redes y medios que permiten la compilación, procesamiento, almacenamiento, transmisión de información como voz, datos, texto, video e imágenes.</w:t>
      </w:r>
    </w:p>
    <w:p w14:paraId="6DB60B2C" w14:textId="77777777" w:rsidR="00533295" w:rsidRPr="00BD1319" w:rsidRDefault="00533295" w:rsidP="00533295">
      <w:pPr>
        <w:numPr>
          <w:ilvl w:val="12"/>
          <w:numId w:val="0"/>
        </w:numPr>
        <w:tabs>
          <w:tab w:val="left" w:pos="-2268"/>
        </w:tabs>
        <w:suppressAutoHyphens/>
        <w:rPr>
          <w:spacing w:val="-3"/>
        </w:rPr>
      </w:pPr>
    </w:p>
    <w:p w14:paraId="7BD78679" w14:textId="170CA216" w:rsidR="00533295" w:rsidRPr="00BD1319" w:rsidRDefault="00533295" w:rsidP="00533295">
      <w:pPr>
        <w:numPr>
          <w:ilvl w:val="12"/>
          <w:numId w:val="0"/>
        </w:numPr>
        <w:tabs>
          <w:tab w:val="left" w:pos="-2268"/>
        </w:tabs>
        <w:suppressAutoHyphens/>
        <w:rPr>
          <w:spacing w:val="-3"/>
        </w:rPr>
      </w:pPr>
      <w:r w:rsidRPr="00BD1319">
        <w:rPr>
          <w:spacing w:val="-3"/>
        </w:rPr>
        <w:t>Si se plantea incorporar al proceso de participación pública mecanismos virtuales, además de dar cumplimiento a los propósitos de la participación y a los lineamientos que se señalaron previamente para su implementación, es necesario garantizar lo siguiente:</w:t>
      </w:r>
    </w:p>
    <w:p w14:paraId="164EDAF4" w14:textId="77777777" w:rsidR="00533295" w:rsidRPr="00BD1319" w:rsidRDefault="00533295" w:rsidP="00533295">
      <w:pPr>
        <w:numPr>
          <w:ilvl w:val="12"/>
          <w:numId w:val="0"/>
        </w:numPr>
        <w:tabs>
          <w:tab w:val="left" w:pos="-2268"/>
        </w:tabs>
        <w:suppressAutoHyphens/>
        <w:rPr>
          <w:spacing w:val="-3"/>
        </w:rPr>
      </w:pPr>
    </w:p>
    <w:p w14:paraId="6A327404" w14:textId="1CF6E39E" w:rsidR="00533295" w:rsidRPr="00BD1319" w:rsidRDefault="00533295" w:rsidP="000D6E21">
      <w:pPr>
        <w:pStyle w:val="Prrafodelista"/>
        <w:numPr>
          <w:ilvl w:val="0"/>
          <w:numId w:val="680"/>
        </w:numPr>
        <w:tabs>
          <w:tab w:val="left" w:pos="-2268"/>
        </w:tabs>
        <w:suppressAutoHyphens/>
        <w:ind w:left="567" w:hanging="567"/>
        <w:rPr>
          <w:spacing w:val="-3"/>
          <w:lang w:val="es-CO"/>
        </w:rPr>
      </w:pPr>
      <w:r w:rsidRPr="00BD1319">
        <w:rPr>
          <w:spacing w:val="-3"/>
          <w:lang w:val="es-CO"/>
        </w:rPr>
        <w:t>Disponibilidad tecnológica con acceso gratuito para los grupos de interés del área de influencia a los cuales se dirigen estos mecanismos, a plataformas digitales que tengan la capacidad de establecer comunicación visual y oral simultánea y que posibiliten la participación ambiental efectiva.</w:t>
      </w:r>
    </w:p>
    <w:p w14:paraId="2C99B231" w14:textId="77777777" w:rsidR="00533295" w:rsidRPr="00BD1319" w:rsidRDefault="00533295" w:rsidP="00533295">
      <w:pPr>
        <w:overflowPunct/>
        <w:autoSpaceDE/>
        <w:autoSpaceDN/>
        <w:adjustRightInd/>
        <w:ind w:left="567" w:hanging="567"/>
      </w:pPr>
    </w:p>
    <w:p w14:paraId="1F55DB7E" w14:textId="77777777" w:rsidR="00533295" w:rsidRPr="00BD1319" w:rsidRDefault="00533295" w:rsidP="000D6E21">
      <w:pPr>
        <w:pStyle w:val="Prrafodelista"/>
        <w:numPr>
          <w:ilvl w:val="0"/>
          <w:numId w:val="680"/>
        </w:numPr>
        <w:tabs>
          <w:tab w:val="left" w:pos="-2268"/>
        </w:tabs>
        <w:suppressAutoHyphens/>
        <w:ind w:left="567" w:hanging="567"/>
        <w:rPr>
          <w:spacing w:val="-3"/>
          <w:lang w:val="es-CO"/>
        </w:rPr>
      </w:pPr>
      <w:r w:rsidRPr="00BD1319">
        <w:rPr>
          <w:spacing w:val="-3"/>
          <w:lang w:val="es-CO"/>
        </w:rPr>
        <w:t>Aplicación de una convocatoria adecuada y oportuna que permita garantizar una participación amplia e inclusiva de conformidad con los medios tecnológicos a ser utilizados.</w:t>
      </w:r>
    </w:p>
    <w:p w14:paraId="3BD23482" w14:textId="77777777" w:rsidR="00533295" w:rsidRPr="00BD1319" w:rsidRDefault="00533295" w:rsidP="00533295">
      <w:pPr>
        <w:overflowPunct/>
        <w:autoSpaceDE/>
        <w:autoSpaceDN/>
        <w:adjustRightInd/>
        <w:ind w:left="567" w:hanging="567"/>
      </w:pPr>
    </w:p>
    <w:p w14:paraId="0A3540DD" w14:textId="6FBE841E" w:rsidR="00533295" w:rsidRPr="00BD1319" w:rsidRDefault="00533295" w:rsidP="000D6E21">
      <w:pPr>
        <w:pStyle w:val="Prrafodelista"/>
        <w:numPr>
          <w:ilvl w:val="0"/>
          <w:numId w:val="680"/>
        </w:numPr>
        <w:tabs>
          <w:tab w:val="left" w:pos="-2268"/>
        </w:tabs>
        <w:suppressAutoHyphens/>
        <w:ind w:left="567" w:hanging="567"/>
        <w:rPr>
          <w:spacing w:val="-3"/>
          <w:lang w:val="es-CO"/>
        </w:rPr>
      </w:pPr>
      <w:r w:rsidRPr="00BD1319">
        <w:rPr>
          <w:spacing w:val="-3"/>
          <w:lang w:val="es-CO"/>
        </w:rPr>
        <w:t>Acceso a la información relacionada con el proyecto, obra o actividad y con el EIA, ya sea mediante fuentes digitales o físicas, que permitan una participación informada. Adicionalmente, se deben desarrollar piezas pedagógicas que aborden con rigor técnico y lenguaje sencillo los contenidos del estudio ambiental.</w:t>
      </w:r>
    </w:p>
    <w:p w14:paraId="38060566" w14:textId="77777777" w:rsidR="00533295" w:rsidRPr="00BD1319" w:rsidRDefault="00533295" w:rsidP="00533295">
      <w:pPr>
        <w:overflowPunct/>
        <w:autoSpaceDE/>
        <w:autoSpaceDN/>
        <w:adjustRightInd/>
        <w:ind w:left="567" w:hanging="567"/>
      </w:pPr>
    </w:p>
    <w:p w14:paraId="5A09ECD9" w14:textId="7ADF59EC" w:rsidR="00533295" w:rsidRPr="00BD1319" w:rsidRDefault="00533295" w:rsidP="000D6E21">
      <w:pPr>
        <w:pStyle w:val="Prrafodelista"/>
        <w:numPr>
          <w:ilvl w:val="0"/>
          <w:numId w:val="680"/>
        </w:numPr>
        <w:tabs>
          <w:tab w:val="left" w:pos="-2268"/>
        </w:tabs>
        <w:suppressAutoHyphens/>
        <w:ind w:left="567" w:hanging="567"/>
        <w:rPr>
          <w:spacing w:val="-3"/>
          <w:lang w:val="es-CO"/>
        </w:rPr>
      </w:pPr>
      <w:r w:rsidRPr="00BD1319">
        <w:rPr>
          <w:spacing w:val="-3"/>
          <w:lang w:val="es-CO"/>
        </w:rPr>
        <w:t>Desarrollo de un diálogo genuino en doble vía con garantía de intervención de los participantes, en donde los grupos de interés del área de influencia puedan exponer sus opiniones y argumentaciones sin intermediario alguno y de manera directa, con posibilidades reales de incidir en las decisiones que se adopten y de obtener retroalimentación.</w:t>
      </w:r>
    </w:p>
    <w:p w14:paraId="53B53AF4" w14:textId="7F04D0BC" w:rsidR="00533295" w:rsidRPr="00BD1319" w:rsidRDefault="00533295" w:rsidP="00533295">
      <w:pPr>
        <w:tabs>
          <w:tab w:val="left" w:pos="-2268"/>
        </w:tabs>
        <w:suppressAutoHyphens/>
        <w:jc w:val="left"/>
        <w:rPr>
          <w:rFonts w:cs="Arial"/>
          <w:lang w:eastAsia="es-CO"/>
        </w:rPr>
      </w:pPr>
    </w:p>
    <w:p w14:paraId="5CC85ACD" w14:textId="2F437F14" w:rsidR="00533295" w:rsidRPr="00BD1319" w:rsidRDefault="00533295" w:rsidP="00533295">
      <w:pPr>
        <w:tabs>
          <w:tab w:val="left" w:pos="5685"/>
        </w:tabs>
        <w:rPr>
          <w:rFonts w:cs="Arial"/>
        </w:rPr>
      </w:pPr>
      <w:r w:rsidRPr="00BD1319">
        <w:rPr>
          <w:rFonts w:cs="Arial"/>
        </w:rPr>
        <w:t>El cumplimiento</w:t>
      </w:r>
      <w:r w:rsidRPr="00BD1319">
        <w:rPr>
          <w:lang w:val="es-ES_tradnl"/>
        </w:rPr>
        <w:t xml:space="preserve"> de </w:t>
      </w:r>
      <w:r w:rsidRPr="00BD1319">
        <w:rPr>
          <w:rFonts w:cs="Arial"/>
        </w:rPr>
        <w:t xml:space="preserve">estas condiciones y la consideración de complementariedad entre diferentes tecnologías deben permitir que la participación de los grupos de interés del área de influencia del proyecto, obra o actividad a los cuales se dirigen </w:t>
      </w:r>
      <w:r w:rsidRPr="00BD1319">
        <w:rPr>
          <w:rFonts w:cs="Arial"/>
        </w:rPr>
        <w:lastRenderedPageBreak/>
        <w:t>estos mecanismos, se materialice en la posibilidad de intervenir e incidir en la elaboración del EIA y en las decisiones que puedan afectarlos.</w:t>
      </w:r>
    </w:p>
    <w:p w14:paraId="0796FE74" w14:textId="44CD9E3E" w:rsidR="00533295" w:rsidRPr="00BD1319" w:rsidRDefault="00533295" w:rsidP="000D6E21">
      <w:pPr>
        <w:tabs>
          <w:tab w:val="left" w:pos="5685"/>
        </w:tabs>
        <w:rPr>
          <w:rFonts w:cs="Arial"/>
        </w:rPr>
      </w:pPr>
    </w:p>
    <w:p w14:paraId="46AC4ECE" w14:textId="71AEE312" w:rsidR="00533295" w:rsidRPr="00BD1319" w:rsidRDefault="00533295" w:rsidP="00533295">
      <w:pPr>
        <w:rPr>
          <w:rFonts w:cs="Century Gothic"/>
        </w:rPr>
      </w:pPr>
      <w:r w:rsidRPr="00BD1319">
        <w:t xml:space="preserve">De </w:t>
      </w:r>
      <w:r w:rsidRPr="00BD1319">
        <w:rPr>
          <w:rFonts w:cs="Arial"/>
        </w:rPr>
        <w:t>igual manera, se deben tener en cuenta las habilidades de los grupos de interés para el uso de las TIC, identificando las capacidades que requieren ser fortalecidas a fin de que puedan participar e interactuar de forma eficaz y de que se reduzca la brecha digital</w:t>
      </w:r>
      <w:r w:rsidRPr="00BD1319">
        <w:t xml:space="preserve">; por lo cual y en caso de requerirse, </w:t>
      </w:r>
      <w:r w:rsidRPr="00BD1319">
        <w:rPr>
          <w:spacing w:val="-3"/>
        </w:rPr>
        <w:t>se debe suministrar la formación para el uso de mecanismos virtuales para la participación</w:t>
      </w:r>
      <w:r w:rsidRPr="00BD1319">
        <w:rPr>
          <w:rFonts w:cs="Arial"/>
        </w:rPr>
        <w:t xml:space="preserve">. </w:t>
      </w:r>
      <w:r w:rsidRPr="00BD1319">
        <w:t>Asimismo, se debe acordar con los grupos de interés la implementación del uso de estos mecanismos virtuales</w:t>
      </w:r>
      <w:r w:rsidRPr="00BD1319">
        <w:rPr>
          <w:rFonts w:cs="Arial"/>
        </w:rPr>
        <w:t>.</w:t>
      </w:r>
    </w:p>
    <w:p w14:paraId="5B58042F" w14:textId="77777777" w:rsidR="00533295" w:rsidRPr="00BD1319" w:rsidRDefault="00533295" w:rsidP="00533295">
      <w:pPr>
        <w:rPr>
          <w:rFonts w:ascii="Times New Roman" w:hAnsi="Times New Roman"/>
          <w:lang w:eastAsia="es-CO"/>
        </w:rPr>
      </w:pPr>
    </w:p>
    <w:p w14:paraId="5AA566A0" w14:textId="5D4A16DC" w:rsidR="00533295" w:rsidRPr="00BD1319" w:rsidRDefault="00533295" w:rsidP="00533295">
      <w:pPr>
        <w:numPr>
          <w:ilvl w:val="12"/>
          <w:numId w:val="0"/>
        </w:numPr>
        <w:tabs>
          <w:tab w:val="left" w:pos="-2268"/>
        </w:tabs>
        <w:suppressAutoHyphens/>
        <w:rPr>
          <w:spacing w:val="-3"/>
        </w:rPr>
      </w:pPr>
      <w:r w:rsidRPr="00BD1319">
        <w:rPr>
          <w:spacing w:val="-3"/>
        </w:rPr>
        <w:t>A fin de documentar el proceso de participación para la elaboración del EIA, en el caso de uso de mecanismos virtuales, se deben generar e incluir las evidencias que den cuenta del proceso de participación, de acuerdo con los lineamientos señalados anteriormente sobre este aspecto.</w:t>
      </w:r>
    </w:p>
    <w:p w14:paraId="59B1A59E" w14:textId="725B0F05" w:rsidR="002568D1" w:rsidRPr="00BD1319" w:rsidRDefault="002568D1">
      <w:pPr>
        <w:numPr>
          <w:ilvl w:val="12"/>
          <w:numId w:val="0"/>
        </w:numPr>
        <w:tabs>
          <w:tab w:val="left" w:pos="-2268"/>
        </w:tabs>
        <w:suppressAutoHyphens/>
        <w:rPr>
          <w:spacing w:val="-3"/>
        </w:rPr>
      </w:pPr>
      <w:bookmarkStart w:id="2591" w:name="_Toc405366820"/>
      <w:bookmarkStart w:id="2592" w:name="_Toc405372366"/>
    </w:p>
    <w:p w14:paraId="32480CC2" w14:textId="77777777" w:rsidR="001E5D96" w:rsidRPr="00BD1319" w:rsidRDefault="001E5D96">
      <w:pPr>
        <w:numPr>
          <w:ilvl w:val="12"/>
          <w:numId w:val="0"/>
        </w:numPr>
        <w:tabs>
          <w:tab w:val="left" w:pos="-2268"/>
        </w:tabs>
        <w:suppressAutoHyphens/>
        <w:rPr>
          <w:spacing w:val="-3"/>
        </w:rPr>
      </w:pPr>
    </w:p>
    <w:p w14:paraId="1AD92E36" w14:textId="77777777" w:rsidR="00437042" w:rsidRPr="00BD1319" w:rsidRDefault="00437042" w:rsidP="00437042">
      <w:pPr>
        <w:pStyle w:val="Ttulo1"/>
        <w:numPr>
          <w:ilvl w:val="0"/>
          <w:numId w:val="7"/>
        </w:numPr>
        <w:rPr>
          <w:lang w:val="es-CO"/>
        </w:rPr>
      </w:pPr>
      <w:bookmarkStart w:id="2593" w:name="_Toc437936014"/>
      <w:bookmarkStart w:id="2594" w:name="_Ref510090213"/>
      <w:bookmarkStart w:id="2595" w:name="_Ref515428723"/>
      <w:bookmarkStart w:id="2596" w:name="_Ref515434170"/>
      <w:bookmarkStart w:id="2597" w:name="_Toc42764342"/>
      <w:bookmarkStart w:id="2598" w:name="_Toc175326759"/>
      <w:bookmarkStart w:id="2599" w:name="_Hlk78275349"/>
      <w:r w:rsidRPr="00BD1319">
        <w:rPr>
          <w:lang w:val="es-CO"/>
        </w:rPr>
        <w:t>CARACTERIZACIÓN DEL ÁREA DE INFLUENCIA</w:t>
      </w:r>
      <w:bookmarkEnd w:id="2591"/>
      <w:bookmarkEnd w:id="2592"/>
      <w:bookmarkEnd w:id="2593"/>
      <w:bookmarkEnd w:id="2594"/>
      <w:bookmarkEnd w:id="2595"/>
      <w:bookmarkEnd w:id="2596"/>
      <w:bookmarkEnd w:id="2597"/>
      <w:bookmarkEnd w:id="2598"/>
    </w:p>
    <w:bookmarkEnd w:id="2599"/>
    <w:p w14:paraId="18CE87EA" w14:textId="77777777" w:rsidR="00437042" w:rsidRPr="00BD1319" w:rsidRDefault="00437042">
      <w:pPr>
        <w:numPr>
          <w:ilvl w:val="12"/>
          <w:numId w:val="0"/>
        </w:numPr>
        <w:tabs>
          <w:tab w:val="left" w:pos="-2268"/>
        </w:tabs>
        <w:suppressAutoHyphens/>
        <w:rPr>
          <w:spacing w:val="-3"/>
        </w:rPr>
      </w:pPr>
    </w:p>
    <w:p w14:paraId="4640DB9F" w14:textId="3B9E42B6" w:rsidR="00437042" w:rsidRPr="00BD1319" w:rsidRDefault="00437042" w:rsidP="00437042">
      <w:pPr>
        <w:tabs>
          <w:tab w:val="left" w:pos="-2268"/>
          <w:tab w:val="left" w:pos="567"/>
        </w:tabs>
        <w:suppressAutoHyphens/>
        <w:rPr>
          <w:rFonts w:cs="Arial"/>
        </w:rPr>
      </w:pPr>
      <w:r w:rsidRPr="00BD1319">
        <w:rPr>
          <w:spacing w:val="-3"/>
        </w:rPr>
        <w:t>En este capítulo se</w:t>
      </w:r>
      <w:r w:rsidRPr="00BD1319" w:rsidDel="006B12D3">
        <w:rPr>
          <w:spacing w:val="-3"/>
        </w:rPr>
        <w:t xml:space="preserve"> </w:t>
      </w:r>
      <w:r w:rsidRPr="00BD1319">
        <w:rPr>
          <w:spacing w:val="-3"/>
        </w:rPr>
        <w:t xml:space="preserve">debe aportar información primaria y secundaria de carácter cuantitativo </w:t>
      </w:r>
      <w:r w:rsidR="00571B66" w:rsidRPr="00BD1319">
        <w:rPr>
          <w:spacing w:val="-3"/>
        </w:rPr>
        <w:t>y</w:t>
      </w:r>
      <w:r w:rsidRPr="00BD1319">
        <w:rPr>
          <w:spacing w:val="-3"/>
        </w:rPr>
        <w:t xml:space="preserve"> cualitativo, con el propósito de conocer las características ambientales </w:t>
      </w:r>
      <w:r w:rsidR="001F5788" w:rsidRPr="00BD1319">
        <w:rPr>
          <w:spacing w:val="-3"/>
        </w:rPr>
        <w:t xml:space="preserve">previas a </w:t>
      </w:r>
      <w:r w:rsidR="001F5788" w:rsidRPr="00BD1319">
        <w:rPr>
          <w:rFonts w:cs="Arial"/>
          <w:spacing w:val="-3"/>
        </w:rPr>
        <w:t>la</w:t>
      </w:r>
      <w:r w:rsidR="001F5788" w:rsidRPr="00BD1319">
        <w:rPr>
          <w:spacing w:val="-3"/>
        </w:rPr>
        <w:t xml:space="preserve"> ejecución</w:t>
      </w:r>
      <w:r w:rsidR="001F5788" w:rsidRPr="00BD1319">
        <w:rPr>
          <w:rFonts w:cs="Arial"/>
          <w:spacing w:val="-3"/>
        </w:rPr>
        <w:t xml:space="preserve"> del proyecto, obra o actividad,</w:t>
      </w:r>
      <w:r w:rsidR="001F5788" w:rsidRPr="00BD1319">
        <w:rPr>
          <w:spacing w:val="-3"/>
        </w:rPr>
        <w:t xml:space="preserve"> de los componentes </w:t>
      </w:r>
      <w:r w:rsidRPr="00BD1319">
        <w:rPr>
          <w:spacing w:val="-3"/>
        </w:rPr>
        <w:t xml:space="preserve">del área de influencia </w:t>
      </w:r>
      <w:r w:rsidRPr="00BD1319">
        <w:rPr>
          <w:rFonts w:cs="Arial"/>
          <w:spacing w:val="-3"/>
        </w:rPr>
        <w:t>de los medios abiótico, biótico y socioeconómico</w:t>
      </w:r>
      <w:r w:rsidR="00E336DA" w:rsidRPr="00BD1319">
        <w:rPr>
          <w:rFonts w:cs="Arial"/>
          <w:spacing w:val="-3"/>
        </w:rPr>
        <w:t xml:space="preserve"> que pueden ser impactados</w:t>
      </w:r>
      <w:r w:rsidRPr="00BD1319">
        <w:rPr>
          <w:rFonts w:cs="Arial"/>
          <w:spacing w:val="-3"/>
        </w:rPr>
        <w:t xml:space="preserve">. </w:t>
      </w:r>
      <w:r w:rsidR="001F1086" w:rsidRPr="00BD1319">
        <w:rPr>
          <w:rFonts w:cs="Arial"/>
          <w:spacing w:val="-3"/>
        </w:rPr>
        <w:t>Esta</w:t>
      </w:r>
      <w:r w:rsidR="004F44E5" w:rsidRPr="00BD1319">
        <w:rPr>
          <w:rFonts w:cs="Arial"/>
          <w:spacing w:val="-3"/>
        </w:rPr>
        <w:t xml:space="preserve"> caracterización </w:t>
      </w:r>
      <w:r w:rsidR="00064ED7" w:rsidRPr="00BD1319">
        <w:t xml:space="preserve">comprende </w:t>
      </w:r>
      <w:r w:rsidR="001F1086" w:rsidRPr="00BD1319">
        <w:t xml:space="preserve">adicionalmente, </w:t>
      </w:r>
      <w:r w:rsidR="00064ED7" w:rsidRPr="00BD1319">
        <w:t>a</w:t>
      </w:r>
      <w:r w:rsidR="004F44E5" w:rsidRPr="00BD1319">
        <w:t xml:space="preserve">l paisaje y los servicios ecosistémicos, elementos transversales que </w:t>
      </w:r>
      <w:r w:rsidR="00064ED7" w:rsidRPr="00BD1319">
        <w:t xml:space="preserve">deben </w:t>
      </w:r>
      <w:r w:rsidR="004F44E5" w:rsidRPr="00BD1319">
        <w:t>ser estudiados mediante la integración de la información de tales medios.</w:t>
      </w:r>
    </w:p>
    <w:p w14:paraId="413644C5" w14:textId="77777777" w:rsidR="00437042" w:rsidRPr="00BD1319" w:rsidRDefault="00437042" w:rsidP="00437042">
      <w:pPr>
        <w:tabs>
          <w:tab w:val="left" w:pos="-2268"/>
          <w:tab w:val="left" w:pos="567"/>
        </w:tabs>
        <w:suppressAutoHyphens/>
        <w:rPr>
          <w:rFonts w:cs="Arial"/>
        </w:rPr>
      </w:pPr>
    </w:p>
    <w:p w14:paraId="59F90385" w14:textId="7F36F2B0" w:rsidR="00437042" w:rsidRPr="00BD1319" w:rsidRDefault="00437042" w:rsidP="00C86DA5">
      <w:pPr>
        <w:tabs>
          <w:tab w:val="left" w:pos="-2268"/>
          <w:tab w:val="left" w:pos="567"/>
        </w:tabs>
        <w:suppressAutoHyphens/>
        <w:rPr>
          <w:spacing w:val="-3"/>
        </w:rPr>
      </w:pPr>
      <w:r w:rsidRPr="00BD1319">
        <w:rPr>
          <w:rFonts w:cs="Arial"/>
          <w:spacing w:val="-3"/>
        </w:rPr>
        <w:t>La</w:t>
      </w:r>
      <w:r w:rsidRPr="00BD1319">
        <w:rPr>
          <w:spacing w:val="-3"/>
        </w:rPr>
        <w:t xml:space="preserve"> caracterización ambiental brinda elementos que permiten establecer la zonificación ambiental</w:t>
      </w:r>
      <w:r w:rsidR="002A3527" w:rsidRPr="00BD1319">
        <w:rPr>
          <w:spacing w:val="-3"/>
        </w:rPr>
        <w:t xml:space="preserve"> y </w:t>
      </w:r>
      <w:r w:rsidRPr="00BD1319">
        <w:rPr>
          <w:spacing w:val="-3"/>
        </w:rPr>
        <w:t>estimar la forma en que el proyecto</w:t>
      </w:r>
      <w:r w:rsidR="00C92C16" w:rsidRPr="00BD1319">
        <w:rPr>
          <w:spacing w:val="-3"/>
        </w:rPr>
        <w:t>, obra o actividad</w:t>
      </w:r>
      <w:r w:rsidRPr="00BD1319">
        <w:rPr>
          <w:spacing w:val="-3"/>
        </w:rPr>
        <w:t xml:space="preserve"> impactaría las condiciones ambientales, </w:t>
      </w:r>
      <w:r w:rsidR="007E15A5" w:rsidRPr="00BD1319">
        <w:rPr>
          <w:spacing w:val="-3"/>
        </w:rPr>
        <w:t xml:space="preserve">elementos fundamentales del EIA </w:t>
      </w:r>
      <w:r w:rsidRPr="00BD1319">
        <w:rPr>
          <w:spacing w:val="-3"/>
        </w:rPr>
        <w:t>para que la autoridad ambiental tome una decisión respecto de la viabilidad ambiental del proyecto</w:t>
      </w:r>
      <w:r w:rsidR="002A3527" w:rsidRPr="00BD1319">
        <w:rPr>
          <w:spacing w:val="-3"/>
        </w:rPr>
        <w:t>.</w:t>
      </w:r>
      <w:r w:rsidRPr="00BD1319">
        <w:rPr>
          <w:spacing w:val="-3"/>
        </w:rPr>
        <w:t xml:space="preserve"> </w:t>
      </w:r>
      <w:r w:rsidR="002A3527" w:rsidRPr="00BD1319">
        <w:rPr>
          <w:spacing w:val="-3"/>
        </w:rPr>
        <w:t>I</w:t>
      </w:r>
      <w:r w:rsidRPr="00BD1319">
        <w:rPr>
          <w:spacing w:val="-3"/>
        </w:rPr>
        <w:t xml:space="preserve">gualmente, </w:t>
      </w:r>
      <w:r w:rsidR="002A3527" w:rsidRPr="00BD1319">
        <w:rPr>
          <w:spacing w:val="-3"/>
        </w:rPr>
        <w:t>durante la ejecución del proyecto (en caso</w:t>
      </w:r>
      <w:r w:rsidR="001C346D" w:rsidRPr="00BD1319">
        <w:rPr>
          <w:spacing w:val="-3"/>
        </w:rPr>
        <w:t xml:space="preserve"> de</w:t>
      </w:r>
      <w:r w:rsidR="002A3527" w:rsidRPr="00BD1319">
        <w:rPr>
          <w:spacing w:val="-3"/>
        </w:rPr>
        <w:t xml:space="preserve"> que se otorgue licencia ambiental), </w:t>
      </w:r>
      <w:r w:rsidRPr="00BD1319">
        <w:rPr>
          <w:spacing w:val="-3"/>
        </w:rPr>
        <w:t xml:space="preserve">esta información constituye el patrón básico de comparación que permite </w:t>
      </w:r>
      <w:r w:rsidR="00056196" w:rsidRPr="00BD1319">
        <w:rPr>
          <w:spacing w:val="-3"/>
        </w:rPr>
        <w:t xml:space="preserve">que en la etapa de control y seguimiento ambiental se </w:t>
      </w:r>
      <w:r w:rsidR="00700B13" w:rsidRPr="00BD1319">
        <w:rPr>
          <w:spacing w:val="-3"/>
        </w:rPr>
        <w:t>determine la efectividad de las medidas de manejo</w:t>
      </w:r>
      <w:r w:rsidR="00C65E5C" w:rsidRPr="00BD1319">
        <w:rPr>
          <w:spacing w:val="-3"/>
        </w:rPr>
        <w:t xml:space="preserve">, al </w:t>
      </w:r>
      <w:r w:rsidRPr="00BD1319">
        <w:rPr>
          <w:spacing w:val="-3"/>
        </w:rPr>
        <w:t>contrast</w:t>
      </w:r>
      <w:r w:rsidR="00C65E5C" w:rsidRPr="00BD1319">
        <w:rPr>
          <w:spacing w:val="-3"/>
        </w:rPr>
        <w:t>ar</w:t>
      </w:r>
      <w:r w:rsidR="00700B13" w:rsidRPr="00BD1319">
        <w:rPr>
          <w:spacing w:val="-3"/>
        </w:rPr>
        <w:t xml:space="preserve"> las condiciones ambientales de línea base</w:t>
      </w:r>
      <w:r w:rsidRPr="00BD1319">
        <w:rPr>
          <w:spacing w:val="-3"/>
        </w:rPr>
        <w:t xml:space="preserve"> con los </w:t>
      </w:r>
      <w:r w:rsidRPr="00BD1319">
        <w:rPr>
          <w:rFonts w:cs="Arial"/>
          <w:spacing w:val="-3"/>
        </w:rPr>
        <w:t>cambios</w:t>
      </w:r>
      <w:r w:rsidRPr="00BD1319">
        <w:rPr>
          <w:spacing w:val="-3"/>
        </w:rPr>
        <w:t xml:space="preserve"> que realmente experimentan los </w:t>
      </w:r>
      <w:r w:rsidRPr="00BD1319">
        <w:rPr>
          <w:rFonts w:cs="Arial"/>
          <w:spacing w:val="-3"/>
        </w:rPr>
        <w:t>componentes</w:t>
      </w:r>
      <w:r w:rsidRPr="00BD1319">
        <w:rPr>
          <w:spacing w:val="-3"/>
        </w:rPr>
        <w:t xml:space="preserve"> ambientales.</w:t>
      </w:r>
    </w:p>
    <w:p w14:paraId="4108E9DF" w14:textId="77777777" w:rsidR="00437042" w:rsidRPr="00BD1319" w:rsidRDefault="00437042">
      <w:pPr>
        <w:numPr>
          <w:ilvl w:val="12"/>
          <w:numId w:val="0"/>
        </w:numPr>
        <w:tabs>
          <w:tab w:val="left" w:pos="-2268"/>
        </w:tabs>
        <w:suppressAutoHyphens/>
        <w:rPr>
          <w:spacing w:val="-3"/>
        </w:rPr>
      </w:pPr>
    </w:p>
    <w:p w14:paraId="6131AD34" w14:textId="34033ABC" w:rsidR="00457AAE" w:rsidRPr="00BD1319" w:rsidRDefault="00457AAE" w:rsidP="001162D4">
      <w:pPr>
        <w:numPr>
          <w:ilvl w:val="12"/>
          <w:numId w:val="0"/>
        </w:numPr>
        <w:tabs>
          <w:tab w:val="left" w:pos="-2268"/>
        </w:tabs>
        <w:suppressAutoHyphens/>
        <w:rPr>
          <w:spacing w:val="-3"/>
        </w:rPr>
      </w:pPr>
      <w:r w:rsidRPr="00BD1319">
        <w:rPr>
          <w:spacing w:val="-3"/>
        </w:rPr>
        <w:t xml:space="preserve">La caracterización ambiental del EIA que se presente ante la autoridad ambiental competente debe </w:t>
      </w:r>
      <w:r w:rsidR="00B1451F" w:rsidRPr="00BD1319">
        <w:rPr>
          <w:spacing w:val="-3"/>
        </w:rPr>
        <w:t xml:space="preserve">contener información sobre </w:t>
      </w:r>
      <w:r w:rsidRPr="00BD1319">
        <w:rPr>
          <w:spacing w:val="-3"/>
        </w:rPr>
        <w:t xml:space="preserve">aquellos </w:t>
      </w:r>
      <w:r w:rsidR="00BD12D2" w:rsidRPr="00BD1319">
        <w:rPr>
          <w:spacing w:val="-3"/>
        </w:rPr>
        <w:t xml:space="preserve">parámetros </w:t>
      </w:r>
      <w:r w:rsidRPr="00BD1319">
        <w:rPr>
          <w:spacing w:val="-3"/>
        </w:rPr>
        <w:t xml:space="preserve">de los </w:t>
      </w:r>
      <w:r w:rsidR="000D18EE" w:rsidRPr="00BD1319">
        <w:rPr>
          <w:spacing w:val="-3"/>
        </w:rPr>
        <w:t xml:space="preserve">factores </w:t>
      </w:r>
      <w:r w:rsidR="001F5788" w:rsidRPr="00BD1319">
        <w:rPr>
          <w:spacing w:val="-3"/>
        </w:rPr>
        <w:t xml:space="preserve">de los </w:t>
      </w:r>
      <w:r w:rsidRPr="00BD1319">
        <w:rPr>
          <w:spacing w:val="-3"/>
        </w:rPr>
        <w:t>componentes ambientales del área de influencia que result</w:t>
      </w:r>
      <w:r w:rsidR="001F5788" w:rsidRPr="00BD1319">
        <w:rPr>
          <w:spacing w:val="-3"/>
        </w:rPr>
        <w:t xml:space="preserve">arían </w:t>
      </w:r>
      <w:r w:rsidRPr="00BD1319">
        <w:rPr>
          <w:spacing w:val="-3"/>
        </w:rPr>
        <w:t>impactados como consecuencia de la ejecución del proyecto, obra o actividad</w:t>
      </w:r>
      <w:r w:rsidR="007E5D29" w:rsidRPr="00BD1319">
        <w:rPr>
          <w:spacing w:val="-3"/>
        </w:rPr>
        <w:t>.</w:t>
      </w:r>
      <w:r w:rsidR="00340C53" w:rsidRPr="00BD1319">
        <w:rPr>
          <w:spacing w:val="-3"/>
        </w:rPr>
        <w:t xml:space="preserve"> </w:t>
      </w:r>
      <w:r w:rsidR="007E5D29" w:rsidRPr="00BD1319">
        <w:rPr>
          <w:spacing w:val="-3"/>
        </w:rPr>
        <w:t>L</w:t>
      </w:r>
      <w:r w:rsidR="001F5788" w:rsidRPr="00BD1319">
        <w:rPr>
          <w:rFonts w:cs="Arial"/>
        </w:rPr>
        <w:t xml:space="preserve">a información de un factor ambiental determinado debe </w:t>
      </w:r>
      <w:r w:rsidR="006D75A2" w:rsidRPr="00BD1319">
        <w:rPr>
          <w:rFonts w:cs="Arial"/>
        </w:rPr>
        <w:t>referirse</w:t>
      </w:r>
      <w:r w:rsidR="001F5788" w:rsidRPr="00BD1319">
        <w:rPr>
          <w:rFonts w:cs="Arial"/>
        </w:rPr>
        <w:t xml:space="preserve"> al área de influencia del componente al cual pertenece</w:t>
      </w:r>
      <w:r w:rsidR="004318F7" w:rsidRPr="00BD1319">
        <w:rPr>
          <w:spacing w:val="-3"/>
        </w:rPr>
        <w:t xml:space="preserve">; por ejemplo, si se determina que el factor Calidad del </w:t>
      </w:r>
      <w:r w:rsidR="001F5788" w:rsidRPr="00BD1319">
        <w:rPr>
          <w:spacing w:val="-3"/>
        </w:rPr>
        <w:t xml:space="preserve">aire </w:t>
      </w:r>
      <w:r w:rsidR="004318F7" w:rsidRPr="00BD1319">
        <w:rPr>
          <w:spacing w:val="-3"/>
        </w:rPr>
        <w:t xml:space="preserve">podría ser </w:t>
      </w:r>
      <w:r w:rsidR="004318F7" w:rsidRPr="00BD1319">
        <w:rPr>
          <w:spacing w:val="-3"/>
        </w:rPr>
        <w:lastRenderedPageBreak/>
        <w:t>impactado, es necesario caracterizar</w:t>
      </w:r>
      <w:r w:rsidR="00BD12D2" w:rsidRPr="00BD1319">
        <w:rPr>
          <w:spacing w:val="-3"/>
        </w:rPr>
        <w:t>lo</w:t>
      </w:r>
      <w:r w:rsidR="004318F7" w:rsidRPr="00BD1319">
        <w:rPr>
          <w:spacing w:val="-3"/>
        </w:rPr>
        <w:t xml:space="preserve"> </w:t>
      </w:r>
      <w:r w:rsidR="00CC6CFE" w:rsidRPr="00BD1319">
        <w:rPr>
          <w:spacing w:val="-3"/>
        </w:rPr>
        <w:t xml:space="preserve">mediante los parámetros afectados </w:t>
      </w:r>
      <w:r w:rsidR="004318F7" w:rsidRPr="00BD1319">
        <w:rPr>
          <w:spacing w:val="-3"/>
        </w:rPr>
        <w:t xml:space="preserve">en el área de influencia del componente </w:t>
      </w:r>
      <w:r w:rsidR="001F5788" w:rsidRPr="00BD1319">
        <w:rPr>
          <w:spacing w:val="-3"/>
        </w:rPr>
        <w:t>atmosférico</w:t>
      </w:r>
      <w:r w:rsidR="00B1451F" w:rsidRPr="00BD1319">
        <w:rPr>
          <w:spacing w:val="-3"/>
        </w:rPr>
        <w:t>.</w:t>
      </w:r>
    </w:p>
    <w:p w14:paraId="52B971A5" w14:textId="273D4144" w:rsidR="00437042" w:rsidRPr="00BD1319" w:rsidRDefault="00437042" w:rsidP="009420F5">
      <w:pPr>
        <w:tabs>
          <w:tab w:val="left" w:pos="-2268"/>
        </w:tabs>
        <w:suppressAutoHyphens/>
        <w:rPr>
          <w:spacing w:val="-3"/>
        </w:rPr>
      </w:pPr>
    </w:p>
    <w:p w14:paraId="4110D759" w14:textId="38AEB9D6" w:rsidR="00811AC1" w:rsidRPr="00BD1319" w:rsidRDefault="00811AC1" w:rsidP="009420F5">
      <w:pPr>
        <w:tabs>
          <w:tab w:val="left" w:pos="-2268"/>
        </w:tabs>
        <w:suppressAutoHyphens/>
        <w:rPr>
          <w:spacing w:val="-3"/>
        </w:rPr>
      </w:pPr>
      <w:r w:rsidRPr="00BD1319">
        <w:rPr>
          <w:spacing w:val="-3"/>
        </w:rPr>
        <w:t>Se deben incorporar los insumos, saberes, sugerencias, recomendaciones o alertas pertinentes, que resulten de los procesos de información y participación con los grupos de interés del área de influencia. Dichos aportes deben ser incorporados de manera expresa en el documento, de tal forma que se evidencie su incidencia en el resultado de este numeral y, en caso de estimarlos como no pertinentes, o de que no haya aportes por parte de los grupos de interés, se deben indicar y sustentar las razones por las cuales no se incluyen en la caracterización.</w:t>
      </w:r>
    </w:p>
    <w:p w14:paraId="75EEE93F" w14:textId="77777777" w:rsidR="00811AC1" w:rsidRPr="00BD1319" w:rsidRDefault="00811AC1" w:rsidP="009420F5">
      <w:pPr>
        <w:tabs>
          <w:tab w:val="left" w:pos="-2268"/>
        </w:tabs>
        <w:suppressAutoHyphens/>
        <w:rPr>
          <w:spacing w:val="-3"/>
        </w:rPr>
      </w:pPr>
    </w:p>
    <w:p w14:paraId="66B45589" w14:textId="501FADEC" w:rsidR="00E52053" w:rsidRPr="00BD1319" w:rsidRDefault="00340C53" w:rsidP="00E52053">
      <w:pPr>
        <w:numPr>
          <w:ilvl w:val="12"/>
          <w:numId w:val="0"/>
        </w:numPr>
        <w:tabs>
          <w:tab w:val="left" w:pos="-2268"/>
        </w:tabs>
        <w:suppressAutoHyphens/>
        <w:rPr>
          <w:spacing w:val="-3"/>
        </w:rPr>
      </w:pPr>
      <w:r w:rsidRPr="00BD1319">
        <w:rPr>
          <w:spacing w:val="-3"/>
        </w:rPr>
        <w:t xml:space="preserve">En cualquier caso, la caracterización por parámetros ambientales debe permitir un conocimiento integral del área de influencia de acuerdo con lo señalado en el literal e) del numeral 1 del capítulo I de esta metodología, </w:t>
      </w:r>
      <w:r w:rsidR="00BD12D2" w:rsidRPr="00BD1319">
        <w:rPr>
          <w:spacing w:val="-3"/>
        </w:rPr>
        <w:t xml:space="preserve">a fin </w:t>
      </w:r>
      <w:r w:rsidR="00E52053" w:rsidRPr="00BD1319">
        <w:rPr>
          <w:spacing w:val="-3"/>
        </w:rPr>
        <w:t>de reducir</w:t>
      </w:r>
      <w:r w:rsidRPr="00BD1319">
        <w:rPr>
          <w:spacing w:val="-3"/>
        </w:rPr>
        <w:t xml:space="preserve"> la incertidumbre sobre las </w:t>
      </w:r>
      <w:r w:rsidR="003F1884" w:rsidRPr="00BD1319">
        <w:rPr>
          <w:spacing w:val="-3"/>
        </w:rPr>
        <w:t xml:space="preserve">características </w:t>
      </w:r>
      <w:r w:rsidRPr="00BD1319">
        <w:rPr>
          <w:spacing w:val="-3"/>
        </w:rPr>
        <w:t xml:space="preserve">ambientales de dicha área y </w:t>
      </w:r>
      <w:r w:rsidR="00BD12D2" w:rsidRPr="00BD1319">
        <w:rPr>
          <w:spacing w:val="-3"/>
        </w:rPr>
        <w:t xml:space="preserve">de </w:t>
      </w:r>
      <w:r w:rsidRPr="00BD1319">
        <w:rPr>
          <w:spacing w:val="-3"/>
        </w:rPr>
        <w:t xml:space="preserve">los impactos ambientales que </w:t>
      </w:r>
      <w:r w:rsidR="003F1884" w:rsidRPr="00BD1319">
        <w:rPr>
          <w:spacing w:val="-3"/>
        </w:rPr>
        <w:t xml:space="preserve">se puedan generar </w:t>
      </w:r>
      <w:r w:rsidRPr="00BD1319">
        <w:rPr>
          <w:spacing w:val="-3"/>
        </w:rPr>
        <w:t>con la ejecución del proyecto, obra o actividad</w:t>
      </w:r>
      <w:r w:rsidR="00BD12D2" w:rsidRPr="00BD1319">
        <w:rPr>
          <w:spacing w:val="-3"/>
        </w:rPr>
        <w:t xml:space="preserve"> y reducir, de esta forma,</w:t>
      </w:r>
      <w:r w:rsidR="003F1884" w:rsidRPr="00BD1319">
        <w:rPr>
          <w:spacing w:val="-3"/>
        </w:rPr>
        <w:t xml:space="preserve"> </w:t>
      </w:r>
      <w:r w:rsidR="00E52053" w:rsidRPr="00BD1319">
        <w:rPr>
          <w:spacing w:val="-3"/>
        </w:rPr>
        <w:t>la posibilidad de que ante la ocurrencia de impactos no previstos, el titular de la licencia (</w:t>
      </w:r>
      <w:r w:rsidR="003F1884" w:rsidRPr="00BD1319">
        <w:rPr>
          <w:spacing w:val="-3"/>
        </w:rPr>
        <w:t xml:space="preserve">en caso de </w:t>
      </w:r>
      <w:r w:rsidR="00E52053" w:rsidRPr="00BD1319">
        <w:rPr>
          <w:spacing w:val="-3"/>
        </w:rPr>
        <w:t xml:space="preserve">que ésta </w:t>
      </w:r>
      <w:r w:rsidR="003F1884" w:rsidRPr="00BD1319">
        <w:rPr>
          <w:spacing w:val="-3"/>
        </w:rPr>
        <w:t xml:space="preserve">sea </w:t>
      </w:r>
      <w:r w:rsidR="00E52053" w:rsidRPr="00BD1319">
        <w:rPr>
          <w:spacing w:val="-3"/>
        </w:rPr>
        <w:t>otorgada) deba demostrar que tales impactos no están asociados a la ejecución de las actividades del proyecto, obra o actividad</w:t>
      </w:r>
      <w:r w:rsidR="003F1884" w:rsidRPr="00BD1319">
        <w:rPr>
          <w:spacing w:val="-3"/>
        </w:rPr>
        <w:t xml:space="preserve">, </w:t>
      </w:r>
      <w:r w:rsidR="003F1884" w:rsidRPr="00BD1319">
        <w:rPr>
          <w:rFonts w:cs="Arial"/>
          <w:shd w:val="clear" w:color="auto" w:fill="FFFFFF"/>
        </w:rPr>
        <w:t>o deba generar y presentar información adicional para evidenciar la adecuada gestión de dichos impactos</w:t>
      </w:r>
      <w:r w:rsidR="00E52053" w:rsidRPr="00BD1319">
        <w:rPr>
          <w:spacing w:val="-3"/>
        </w:rPr>
        <w:t>.</w:t>
      </w:r>
    </w:p>
    <w:p w14:paraId="0C7E782F" w14:textId="77777777" w:rsidR="00340C53" w:rsidRPr="00BD1319" w:rsidRDefault="00340C53" w:rsidP="009420F5">
      <w:pPr>
        <w:tabs>
          <w:tab w:val="left" w:pos="-2268"/>
        </w:tabs>
        <w:suppressAutoHyphens/>
        <w:rPr>
          <w:spacing w:val="-3"/>
        </w:rPr>
      </w:pPr>
    </w:p>
    <w:p w14:paraId="1CC35AAD" w14:textId="7AF1203A" w:rsidR="001F5788" w:rsidRPr="00BD1319" w:rsidRDefault="00437042">
      <w:pPr>
        <w:numPr>
          <w:ilvl w:val="12"/>
          <w:numId w:val="0"/>
        </w:numPr>
        <w:tabs>
          <w:tab w:val="left" w:pos="-2268"/>
        </w:tabs>
        <w:suppressAutoHyphens/>
        <w:rPr>
          <w:spacing w:val="-3"/>
        </w:rPr>
      </w:pPr>
      <w:r w:rsidRPr="00BD1319">
        <w:rPr>
          <w:spacing w:val="-3"/>
        </w:rPr>
        <w:t>Es importante que</w:t>
      </w:r>
      <w:r w:rsidRPr="00BD1319">
        <w:rPr>
          <w:rFonts w:cs="Arial"/>
          <w:spacing w:val="-3"/>
        </w:rPr>
        <w:t>,</w:t>
      </w:r>
      <w:r w:rsidRPr="00BD1319">
        <w:rPr>
          <w:spacing w:val="-3"/>
        </w:rPr>
        <w:t xml:space="preserve"> al adaptar los </w:t>
      </w:r>
      <w:r w:rsidR="00D64EC2" w:rsidRPr="00BD1319">
        <w:rPr>
          <w:spacing w:val="-3"/>
        </w:rPr>
        <w:t xml:space="preserve">lineamientos </w:t>
      </w:r>
      <w:r w:rsidRPr="00BD1319">
        <w:rPr>
          <w:spacing w:val="-3"/>
        </w:rPr>
        <w:t xml:space="preserve">de la metodología y los </w:t>
      </w:r>
      <w:r w:rsidR="00D64EC2" w:rsidRPr="00BD1319">
        <w:rPr>
          <w:spacing w:val="-3"/>
        </w:rPr>
        <w:t xml:space="preserve">requerimientos de información de los </w:t>
      </w:r>
      <w:r w:rsidRPr="00BD1319">
        <w:rPr>
          <w:spacing w:val="-3"/>
        </w:rPr>
        <w:t xml:space="preserve">términos de referencia a las condiciones particulares de cada proyecto, </w:t>
      </w:r>
      <w:r w:rsidR="007E5D29" w:rsidRPr="00BD1319">
        <w:rPr>
          <w:spacing w:val="-3"/>
        </w:rPr>
        <w:t xml:space="preserve">obra o actividad, </w:t>
      </w:r>
      <w:r w:rsidRPr="00BD1319">
        <w:rPr>
          <w:spacing w:val="-3"/>
        </w:rPr>
        <w:t xml:space="preserve">se incorporen parámetros e indicadores que brinden información </w:t>
      </w:r>
      <w:r w:rsidRPr="00BD1319">
        <w:rPr>
          <w:rFonts w:cs="Arial"/>
          <w:spacing w:val="-3"/>
        </w:rPr>
        <w:t>relevante</w:t>
      </w:r>
      <w:r w:rsidRPr="00BD1319">
        <w:rPr>
          <w:spacing w:val="-3"/>
        </w:rPr>
        <w:t xml:space="preserve"> sobre las características ambientales que permitan monitorear los cambios que ocasione </w:t>
      </w:r>
      <w:r w:rsidR="007E5D29" w:rsidRPr="00BD1319">
        <w:rPr>
          <w:spacing w:val="-3"/>
        </w:rPr>
        <w:t xml:space="preserve">su posible </w:t>
      </w:r>
      <w:r w:rsidRPr="00BD1319">
        <w:rPr>
          <w:spacing w:val="-3"/>
        </w:rPr>
        <w:t xml:space="preserve">ejecución sobre los </w:t>
      </w:r>
      <w:r w:rsidRPr="00BD1319">
        <w:rPr>
          <w:rFonts w:cs="Arial"/>
          <w:spacing w:val="-3"/>
        </w:rPr>
        <w:t>diversos componentes</w:t>
      </w:r>
      <w:r w:rsidRPr="00BD1319">
        <w:rPr>
          <w:spacing w:val="-3"/>
        </w:rPr>
        <w:t xml:space="preserve"> ambientales. </w:t>
      </w:r>
      <w:r w:rsidR="001F5788" w:rsidRPr="00BD1319">
        <w:rPr>
          <w:spacing w:val="-3"/>
        </w:rPr>
        <w:t xml:space="preserve">Cuando se identifique que cierto lineamiento </w:t>
      </w:r>
      <w:r w:rsidR="00D64EC2" w:rsidRPr="00BD1319">
        <w:rPr>
          <w:spacing w:val="-3"/>
        </w:rPr>
        <w:t xml:space="preserve">metodológico o requerimiento de información </w:t>
      </w:r>
      <w:r w:rsidR="001F5788" w:rsidRPr="00BD1319">
        <w:rPr>
          <w:spacing w:val="-3"/>
        </w:rPr>
        <w:t>no es aplicable al proyecto, obra o actividad, se debe justificar técnicamente las razones por las cuales no se desarrolla.</w:t>
      </w:r>
    </w:p>
    <w:p w14:paraId="2B2E87E9" w14:textId="77777777" w:rsidR="00BA762C" w:rsidRPr="00BD1319" w:rsidRDefault="00BA762C">
      <w:pPr>
        <w:numPr>
          <w:ilvl w:val="12"/>
          <w:numId w:val="0"/>
        </w:numPr>
        <w:tabs>
          <w:tab w:val="left" w:pos="-2268"/>
        </w:tabs>
        <w:suppressAutoHyphens/>
        <w:rPr>
          <w:spacing w:val="-3"/>
        </w:rPr>
      </w:pPr>
    </w:p>
    <w:p w14:paraId="2F49A461" w14:textId="67EACB76" w:rsidR="00437042" w:rsidRPr="00BD1319" w:rsidRDefault="00437042" w:rsidP="0016F5AC">
      <w:pPr>
        <w:suppressAutoHyphens/>
      </w:pPr>
      <w:r w:rsidRPr="00BD1319">
        <w:rPr>
          <w:spacing w:val="-3"/>
        </w:rPr>
        <w:t xml:space="preserve">En caso de existir, se debe </w:t>
      </w:r>
      <w:r w:rsidR="001F5788" w:rsidRPr="00BD1319">
        <w:rPr>
          <w:spacing w:val="-3"/>
        </w:rPr>
        <w:t xml:space="preserve">emplear </w:t>
      </w:r>
      <w:r w:rsidR="00BD12D2" w:rsidRPr="00BD1319">
        <w:t xml:space="preserve">la información y </w:t>
      </w:r>
      <w:r w:rsidRPr="00BD1319">
        <w:rPr>
          <w:spacing w:val="-3"/>
        </w:rPr>
        <w:t xml:space="preserve">los indicadores ambientales </w:t>
      </w:r>
      <w:r w:rsidR="00BD12D2" w:rsidRPr="00BD1319">
        <w:t>desarrollados por</w:t>
      </w:r>
      <w:r w:rsidRPr="00BD1319">
        <w:rPr>
          <w:spacing w:val="-3"/>
        </w:rPr>
        <w:t xml:space="preserve"> los institutos de investigación del SINA (</w:t>
      </w:r>
      <w:proofErr w:type="spellStart"/>
      <w:r w:rsidR="00A92356" w:rsidRPr="00BD1319">
        <w:t>Ideam</w:t>
      </w:r>
      <w:proofErr w:type="spellEnd"/>
      <w:r w:rsidRPr="00BD1319">
        <w:rPr>
          <w:spacing w:val="-3"/>
        </w:rPr>
        <w:t xml:space="preserve">, </w:t>
      </w:r>
      <w:proofErr w:type="spellStart"/>
      <w:r w:rsidR="00A92356" w:rsidRPr="00BD1319">
        <w:t>Invemar</w:t>
      </w:r>
      <w:proofErr w:type="spellEnd"/>
      <w:r w:rsidRPr="00BD1319">
        <w:rPr>
          <w:spacing w:val="-3"/>
        </w:rPr>
        <w:t xml:space="preserve">, </w:t>
      </w:r>
      <w:r w:rsidR="00831CC8" w:rsidRPr="00BD1319">
        <w:rPr>
          <w:spacing w:val="-3"/>
        </w:rPr>
        <w:t>Instituto Humboldt</w:t>
      </w:r>
      <w:r w:rsidRPr="00BD1319">
        <w:rPr>
          <w:spacing w:val="-3"/>
        </w:rPr>
        <w:t>, IIAP y Sinchi), PNN y los establecido</w:t>
      </w:r>
      <w:r w:rsidR="00BD12D2" w:rsidRPr="00BD1319">
        <w:t>s</w:t>
      </w:r>
      <w:r w:rsidRPr="00BD1319">
        <w:rPr>
          <w:spacing w:val="-3"/>
        </w:rPr>
        <w:t xml:space="preserve"> para informar sobre la línea base de los </w:t>
      </w:r>
      <w:proofErr w:type="spellStart"/>
      <w:r w:rsidR="003C70CD" w:rsidRPr="00BD1319">
        <w:t>Pomca</w:t>
      </w:r>
      <w:proofErr w:type="spellEnd"/>
      <w:r w:rsidRPr="00BD1319">
        <w:rPr>
          <w:spacing w:val="-3"/>
        </w:rPr>
        <w:t xml:space="preserve"> </w:t>
      </w:r>
      <w:r w:rsidRPr="00BD1319">
        <w:rPr>
          <w:rFonts w:cs="Arial"/>
          <w:spacing w:val="-3"/>
        </w:rPr>
        <w:t xml:space="preserve">y los </w:t>
      </w:r>
      <w:proofErr w:type="spellStart"/>
      <w:r w:rsidR="000A43B6" w:rsidRPr="00BD1319">
        <w:rPr>
          <w:rFonts w:cs="Arial"/>
          <w:spacing w:val="-3"/>
        </w:rPr>
        <w:t>Pomiuac</w:t>
      </w:r>
      <w:proofErr w:type="spellEnd"/>
      <w:r w:rsidRPr="00BD1319">
        <w:rPr>
          <w:rFonts w:cs="Arial"/>
          <w:spacing w:val="-3"/>
        </w:rPr>
        <w:t xml:space="preserve"> </w:t>
      </w:r>
      <w:r w:rsidR="00AC1C93" w:rsidRPr="00BD1319">
        <w:rPr>
          <w:rFonts w:cs="Arial"/>
          <w:spacing w:val="-3"/>
        </w:rPr>
        <w:t xml:space="preserve">referidos </w:t>
      </w:r>
      <w:r w:rsidR="00AC1C93" w:rsidRPr="00BD1319">
        <w:rPr>
          <w:spacing w:val="-3"/>
        </w:rPr>
        <w:t>a</w:t>
      </w:r>
      <w:r w:rsidRPr="00BD1319">
        <w:rPr>
          <w:spacing w:val="-3"/>
        </w:rPr>
        <w:t>l área de influencia.</w:t>
      </w:r>
    </w:p>
    <w:p w14:paraId="75FE71DA" w14:textId="2410A601" w:rsidR="00577E3F" w:rsidRPr="00BD1319" w:rsidRDefault="00577E3F">
      <w:pPr>
        <w:numPr>
          <w:ilvl w:val="12"/>
          <w:numId w:val="0"/>
        </w:numPr>
        <w:tabs>
          <w:tab w:val="left" w:pos="-2268"/>
        </w:tabs>
        <w:suppressAutoHyphens/>
        <w:rPr>
          <w:spacing w:val="-3"/>
        </w:rPr>
      </w:pPr>
    </w:p>
    <w:p w14:paraId="4E9C9E88" w14:textId="6BBD57BC" w:rsidR="00BA762C" w:rsidRPr="00BD1319" w:rsidRDefault="00BA762C" w:rsidP="00BA762C">
      <w:pPr>
        <w:numPr>
          <w:ilvl w:val="12"/>
          <w:numId w:val="0"/>
        </w:numPr>
        <w:tabs>
          <w:tab w:val="left" w:pos="-2268"/>
        </w:tabs>
        <w:suppressAutoHyphens/>
        <w:rPr>
          <w:rFonts w:cs="Arial"/>
          <w:spacing w:val="-3"/>
        </w:rPr>
      </w:pPr>
      <w:r w:rsidRPr="00BD1319">
        <w:rPr>
          <w:rFonts w:cs="Arial"/>
          <w:spacing w:val="-3"/>
        </w:rPr>
        <w:t>Asimismo, cuando la autoridad ambiental competente cuente con información de caracterización ambiental para el ámbito regional, se debe garantizar la articulación de dichos insumos en la elaboración del EIA.</w:t>
      </w:r>
    </w:p>
    <w:p w14:paraId="75A05CAF" w14:textId="77777777" w:rsidR="00BA762C" w:rsidRPr="00BD1319" w:rsidRDefault="00BA762C">
      <w:pPr>
        <w:numPr>
          <w:ilvl w:val="12"/>
          <w:numId w:val="0"/>
        </w:numPr>
        <w:tabs>
          <w:tab w:val="left" w:pos="-2268"/>
        </w:tabs>
        <w:suppressAutoHyphens/>
        <w:rPr>
          <w:spacing w:val="-3"/>
        </w:rPr>
      </w:pPr>
    </w:p>
    <w:p w14:paraId="5CC34CA8" w14:textId="7549AD57" w:rsidR="00437042" w:rsidRPr="00BD1319" w:rsidRDefault="006D75A2">
      <w:pPr>
        <w:numPr>
          <w:ilvl w:val="12"/>
          <w:numId w:val="0"/>
        </w:numPr>
        <w:tabs>
          <w:tab w:val="left" w:pos="-2268"/>
        </w:tabs>
        <w:suppressAutoHyphens/>
        <w:rPr>
          <w:spacing w:val="-3"/>
        </w:rPr>
      </w:pPr>
      <w:r w:rsidRPr="00BD1319">
        <w:rPr>
          <w:spacing w:val="-3"/>
        </w:rPr>
        <w:t>P</w:t>
      </w:r>
      <w:r w:rsidR="00437042" w:rsidRPr="00BD1319">
        <w:rPr>
          <w:spacing w:val="-3"/>
        </w:rPr>
        <w:t xml:space="preserve">ara el medio socioeconómico se debe presentar información </w:t>
      </w:r>
      <w:r w:rsidRPr="00BD1319">
        <w:rPr>
          <w:spacing w:val="-3"/>
        </w:rPr>
        <w:t xml:space="preserve">general </w:t>
      </w:r>
      <w:r w:rsidR="00437042" w:rsidRPr="00BD1319">
        <w:rPr>
          <w:spacing w:val="-3"/>
        </w:rPr>
        <w:t xml:space="preserve">de línea base </w:t>
      </w:r>
      <w:r w:rsidRPr="00BD1319">
        <w:rPr>
          <w:spacing w:val="-3"/>
        </w:rPr>
        <w:t>sobre</w:t>
      </w:r>
      <w:r w:rsidR="00437042" w:rsidRPr="00BD1319">
        <w:rPr>
          <w:spacing w:val="-3"/>
        </w:rPr>
        <w:t xml:space="preserve"> e</w:t>
      </w:r>
      <w:r w:rsidRPr="00BD1319">
        <w:rPr>
          <w:spacing w:val="-3"/>
        </w:rPr>
        <w:t>l</w:t>
      </w:r>
      <w:r w:rsidR="00437042" w:rsidRPr="00BD1319">
        <w:rPr>
          <w:spacing w:val="-3"/>
        </w:rPr>
        <w:t xml:space="preserve"> contexto de los municipios en cuya jurisdicción se ubiquen las unidades </w:t>
      </w:r>
      <w:r w:rsidRPr="00BD1319">
        <w:rPr>
          <w:spacing w:val="-3"/>
        </w:rPr>
        <w:t xml:space="preserve">de análisis </w:t>
      </w:r>
      <w:r w:rsidR="00437042" w:rsidRPr="00BD1319">
        <w:rPr>
          <w:spacing w:val="-3"/>
        </w:rPr>
        <w:t xml:space="preserve">territorial seleccionadas. </w:t>
      </w:r>
      <w:r w:rsidR="00A01691" w:rsidRPr="00BD1319">
        <w:rPr>
          <w:spacing w:val="-3"/>
        </w:rPr>
        <w:t>Si</w:t>
      </w:r>
      <w:r w:rsidR="00437042" w:rsidRPr="00BD1319">
        <w:rPr>
          <w:spacing w:val="-3"/>
        </w:rPr>
        <w:t xml:space="preserve"> se decid</w:t>
      </w:r>
      <w:r w:rsidR="00A01691" w:rsidRPr="00BD1319">
        <w:rPr>
          <w:spacing w:val="-3"/>
        </w:rPr>
        <w:t>e</w:t>
      </w:r>
      <w:r w:rsidR="00437042" w:rsidRPr="00BD1319">
        <w:rPr>
          <w:spacing w:val="-3"/>
        </w:rPr>
        <w:t xml:space="preserve"> considerar al municipio en su totalidad </w:t>
      </w:r>
      <w:r w:rsidR="00437042" w:rsidRPr="00BD1319">
        <w:rPr>
          <w:spacing w:val="-3"/>
        </w:rPr>
        <w:lastRenderedPageBreak/>
        <w:t xml:space="preserve">como unidad </w:t>
      </w:r>
      <w:r w:rsidR="00437042" w:rsidRPr="00BD1319">
        <w:rPr>
          <w:rFonts w:cs="Arial"/>
          <w:spacing w:val="-3"/>
        </w:rPr>
        <w:t xml:space="preserve">de análisis </w:t>
      </w:r>
      <w:r w:rsidR="00437042" w:rsidRPr="00BD1319">
        <w:rPr>
          <w:spacing w:val="-3"/>
        </w:rPr>
        <w:t>territorial, adicional a la información básica de contexto, se debe realizar la caracterización para el municipio según lo establecido en los numerales correspondientes a los componentes del medio socioeconómico</w:t>
      </w:r>
      <w:r w:rsidR="003C70CD" w:rsidRPr="00BD1319">
        <w:rPr>
          <w:spacing w:val="-3"/>
        </w:rPr>
        <w:t>, según aplique</w:t>
      </w:r>
      <w:r w:rsidR="00437042" w:rsidRPr="00BD1319">
        <w:rPr>
          <w:spacing w:val="-3"/>
        </w:rPr>
        <w:t>.</w:t>
      </w:r>
    </w:p>
    <w:p w14:paraId="5582DD31" w14:textId="77777777" w:rsidR="00973C7F" w:rsidRPr="00BD1319" w:rsidRDefault="00973C7F">
      <w:pPr>
        <w:numPr>
          <w:ilvl w:val="12"/>
          <w:numId w:val="0"/>
        </w:numPr>
        <w:tabs>
          <w:tab w:val="left" w:pos="-2268"/>
        </w:tabs>
        <w:suppressAutoHyphens/>
        <w:rPr>
          <w:spacing w:val="-3"/>
        </w:rPr>
      </w:pPr>
    </w:p>
    <w:p w14:paraId="024A0DA3" w14:textId="77777777" w:rsidR="00973C7F" w:rsidRPr="00BD1319" w:rsidRDefault="00973C7F" w:rsidP="00973C7F">
      <w:pPr>
        <w:numPr>
          <w:ilvl w:val="12"/>
          <w:numId w:val="0"/>
        </w:numPr>
        <w:tabs>
          <w:tab w:val="left" w:pos="-2268"/>
        </w:tabs>
        <w:suppressAutoHyphens/>
        <w:rPr>
          <w:spacing w:val="-3"/>
        </w:rPr>
      </w:pPr>
      <w:r w:rsidRPr="00BD1319">
        <w:rPr>
          <w:spacing w:val="-3"/>
        </w:rPr>
        <w:t xml:space="preserve">Toda la información geográfica de caracterización ambiental debe ser almacenada y presentada de acuerdo con el Modelo de </w:t>
      </w:r>
      <w:r w:rsidRPr="00BD1319">
        <w:rPr>
          <w:rFonts w:cs="Arial"/>
          <w:spacing w:val="-3"/>
        </w:rPr>
        <w:t xml:space="preserve">Almacenamiento Geográfico (MAG) </w:t>
      </w:r>
      <w:r w:rsidRPr="00BD1319">
        <w:rPr>
          <w:spacing w:val="-3"/>
        </w:rPr>
        <w:t>adoptado por Minambiente; los datos espaciales deben tener la estructura de capas geográficas, tablas asociadas, dominios, definiciones, clasificaciones o categorías, estándares, entre otros lineamientos definidos en la Resolución 2182 de 2016 o aquella que la modifique</w:t>
      </w:r>
      <w:r w:rsidRPr="00BD1319">
        <w:rPr>
          <w:rFonts w:cs="Arial"/>
          <w:spacing w:val="-3"/>
        </w:rPr>
        <w:t xml:space="preserve"> o</w:t>
      </w:r>
      <w:r w:rsidRPr="00BD1319">
        <w:rPr>
          <w:spacing w:val="-3"/>
        </w:rPr>
        <w:t xml:space="preserve"> sustituya.</w:t>
      </w:r>
    </w:p>
    <w:p w14:paraId="5143E9A0" w14:textId="77777777" w:rsidR="00330ADD" w:rsidRPr="00BD1319" w:rsidRDefault="00330ADD" w:rsidP="00973C7F">
      <w:pPr>
        <w:numPr>
          <w:ilvl w:val="12"/>
          <w:numId w:val="0"/>
        </w:numPr>
        <w:tabs>
          <w:tab w:val="left" w:pos="-2268"/>
        </w:tabs>
        <w:suppressAutoHyphens/>
        <w:rPr>
          <w:spacing w:val="-3"/>
        </w:rPr>
      </w:pPr>
    </w:p>
    <w:p w14:paraId="369D5484" w14:textId="7DC353A5" w:rsidR="00330ADD" w:rsidRPr="00BD1319" w:rsidRDefault="00330ADD" w:rsidP="00973C7F">
      <w:pPr>
        <w:numPr>
          <w:ilvl w:val="12"/>
          <w:numId w:val="0"/>
        </w:numPr>
        <w:tabs>
          <w:tab w:val="left" w:pos="-2268"/>
        </w:tabs>
        <w:suppressAutoHyphens/>
        <w:rPr>
          <w:spacing w:val="-3"/>
        </w:rPr>
      </w:pPr>
      <w:r w:rsidRPr="00BD1319">
        <w:rPr>
          <w:rFonts w:cs="Arial"/>
          <w:spacing w:val="-3"/>
        </w:rPr>
        <w:t xml:space="preserve">Previo a la obtención de cualquier tipo de información primaria, sea que ésta sea obtenida por expertos o recopilada mediante la consulta a los grupos de interés, es necesario implementar la estrategia y procedimientos de interlocución a que hace referencia en el numeral </w:t>
      </w:r>
      <w:r w:rsidRPr="00BD1319">
        <w:rPr>
          <w:rFonts w:cs="Arial"/>
          <w:spacing w:val="-3"/>
        </w:rPr>
        <w:fldChar w:fldCharType="begin"/>
      </w:r>
      <w:r w:rsidRPr="00BD1319">
        <w:rPr>
          <w:rFonts w:cs="Arial"/>
          <w:spacing w:val="-3"/>
        </w:rPr>
        <w:instrText xml:space="preserve"> REF _Ref161829324 \r \h  \* MERGEFORMAT </w:instrText>
      </w:r>
      <w:r w:rsidRPr="00BD1319">
        <w:rPr>
          <w:rFonts w:cs="Arial"/>
          <w:spacing w:val="-3"/>
        </w:rPr>
      </w:r>
      <w:r w:rsidRPr="00BD1319">
        <w:rPr>
          <w:rFonts w:cs="Arial"/>
          <w:spacing w:val="-3"/>
        </w:rPr>
        <w:fldChar w:fldCharType="separate"/>
      </w:r>
      <w:r w:rsidR="00296654" w:rsidRPr="00BD1319">
        <w:rPr>
          <w:rFonts w:cs="Arial"/>
          <w:spacing w:val="-3"/>
        </w:rPr>
        <w:t>3.2.1</w:t>
      </w:r>
      <w:r w:rsidRPr="00BD1319">
        <w:rPr>
          <w:rFonts w:cs="Arial"/>
          <w:spacing w:val="-3"/>
        </w:rPr>
        <w:fldChar w:fldCharType="end"/>
      </w:r>
      <w:r w:rsidRPr="00BD1319">
        <w:rPr>
          <w:rFonts w:cs="Arial"/>
          <w:spacing w:val="-3"/>
        </w:rPr>
        <w:t xml:space="preserve"> de este capítulo, a fin de evitar los malentendidos e impactos que pueden surgir con la interacción entre formuladores y grupos de interés.</w:t>
      </w:r>
    </w:p>
    <w:p w14:paraId="56496BB1" w14:textId="45451FFE" w:rsidR="00437042" w:rsidRPr="00BD1319" w:rsidRDefault="00437042" w:rsidP="00437042">
      <w:pPr>
        <w:numPr>
          <w:ilvl w:val="12"/>
          <w:numId w:val="0"/>
        </w:numPr>
        <w:tabs>
          <w:tab w:val="left" w:pos="-2268"/>
        </w:tabs>
        <w:suppressAutoHyphens/>
        <w:rPr>
          <w:rFonts w:cs="Arial"/>
          <w:spacing w:val="-3"/>
        </w:rPr>
      </w:pPr>
    </w:p>
    <w:p w14:paraId="7A552B9E" w14:textId="11E8FB2A" w:rsidR="008C2D45" w:rsidRPr="00BD1319" w:rsidRDefault="008C2D45" w:rsidP="0068149C">
      <w:pPr>
        <w:pStyle w:val="Ttulo2"/>
        <w:rPr>
          <w:lang w:val="es-CO"/>
        </w:rPr>
      </w:pPr>
      <w:bookmarkStart w:id="2600" w:name="_Toc79443047"/>
      <w:bookmarkStart w:id="2601" w:name="_Toc79443049"/>
      <w:bookmarkStart w:id="2602" w:name="_Toc79443051"/>
      <w:bookmarkStart w:id="2603" w:name="_Toc79443052"/>
      <w:bookmarkStart w:id="2604" w:name="_Toc79443053"/>
      <w:bookmarkStart w:id="2605" w:name="_Ref144301989"/>
      <w:bookmarkStart w:id="2606" w:name="_Toc175326760"/>
      <w:bookmarkEnd w:id="2600"/>
      <w:bookmarkEnd w:id="2601"/>
      <w:bookmarkEnd w:id="2602"/>
      <w:bookmarkEnd w:id="2603"/>
      <w:bookmarkEnd w:id="2604"/>
      <w:r w:rsidRPr="00BD1319">
        <w:rPr>
          <w:lang w:val="es-CO"/>
        </w:rPr>
        <w:t>MEDIO ABIÓTICO</w:t>
      </w:r>
      <w:bookmarkEnd w:id="2564"/>
      <w:bookmarkEnd w:id="2565"/>
      <w:bookmarkEnd w:id="2566"/>
      <w:bookmarkEnd w:id="2605"/>
      <w:bookmarkEnd w:id="2606"/>
    </w:p>
    <w:p w14:paraId="30773680" w14:textId="77777777" w:rsidR="008C2D45" w:rsidRPr="00BD1319" w:rsidRDefault="008C2D45">
      <w:pPr>
        <w:numPr>
          <w:ilvl w:val="12"/>
          <w:numId w:val="0"/>
        </w:numPr>
        <w:tabs>
          <w:tab w:val="left" w:pos="-2268"/>
        </w:tabs>
        <w:suppressAutoHyphens/>
        <w:rPr>
          <w:spacing w:val="-3"/>
        </w:rPr>
      </w:pPr>
    </w:p>
    <w:p w14:paraId="023D350B" w14:textId="311F3622" w:rsidR="009D132B" w:rsidRPr="00BD1319" w:rsidRDefault="009D132B">
      <w:pPr>
        <w:numPr>
          <w:ilvl w:val="12"/>
          <w:numId w:val="0"/>
        </w:numPr>
        <w:tabs>
          <w:tab w:val="left" w:pos="-2268"/>
        </w:tabs>
        <w:suppressAutoHyphens/>
        <w:rPr>
          <w:spacing w:val="-3"/>
        </w:rPr>
      </w:pPr>
      <w:bookmarkStart w:id="2607" w:name="_Toc405366834"/>
      <w:bookmarkStart w:id="2608" w:name="_Toc405372381"/>
      <w:r w:rsidRPr="00BD1319">
        <w:rPr>
          <w:spacing w:val="-3"/>
        </w:rPr>
        <w:t xml:space="preserve">La información de caracterización de este medio debe permitir conocer las condiciones </w:t>
      </w:r>
      <w:r w:rsidRPr="00BD1319">
        <w:rPr>
          <w:rFonts w:cs="Arial"/>
          <w:spacing w:val="-3"/>
        </w:rPr>
        <w:t>abióticas</w:t>
      </w:r>
      <w:r w:rsidRPr="00BD1319">
        <w:rPr>
          <w:spacing w:val="-3"/>
        </w:rPr>
        <w:t xml:space="preserve"> </w:t>
      </w:r>
      <w:r w:rsidRPr="00BD1319">
        <w:rPr>
          <w:rFonts w:cs="Arial"/>
          <w:spacing w:val="-3"/>
        </w:rPr>
        <w:t>existentes</w:t>
      </w:r>
      <w:r w:rsidRPr="00BD1319">
        <w:rPr>
          <w:spacing w:val="-3"/>
        </w:rPr>
        <w:t xml:space="preserve"> en el área de influencia </w:t>
      </w:r>
      <w:r w:rsidRPr="00BD1319">
        <w:rPr>
          <w:rFonts w:cs="Arial"/>
          <w:spacing w:val="-3"/>
        </w:rPr>
        <w:t xml:space="preserve">del medio </w:t>
      </w:r>
      <w:r w:rsidRPr="00BD1319">
        <w:rPr>
          <w:spacing w:val="-3"/>
        </w:rPr>
        <w:t>antes de la ejecución del proyecto. Para ello, se deben caracterizar los componentes</w:t>
      </w:r>
      <w:r w:rsidRPr="00BD1319">
        <w:rPr>
          <w:rFonts w:cs="Arial"/>
          <w:spacing w:val="-3"/>
        </w:rPr>
        <w:t xml:space="preserve">, </w:t>
      </w:r>
      <w:r w:rsidR="009839D1" w:rsidRPr="00BD1319">
        <w:rPr>
          <w:rFonts w:cs="Arial"/>
          <w:spacing w:val="-3"/>
        </w:rPr>
        <w:t xml:space="preserve">en caso de que el </w:t>
      </w:r>
      <w:r w:rsidR="00676DE6" w:rsidRPr="00BD1319">
        <w:rPr>
          <w:rFonts w:cs="Arial"/>
          <w:spacing w:val="-3"/>
        </w:rPr>
        <w:t>proyecto, obra o actividad</w:t>
      </w:r>
      <w:r w:rsidR="009839D1" w:rsidRPr="00BD1319">
        <w:rPr>
          <w:rFonts w:cs="Arial"/>
          <w:spacing w:val="-3"/>
        </w:rPr>
        <w:t>, produzca un impacto sobre ellos:</w:t>
      </w:r>
    </w:p>
    <w:p w14:paraId="01289BF9" w14:textId="77777777" w:rsidR="009D132B" w:rsidRPr="00BD1319" w:rsidRDefault="009D132B">
      <w:pPr>
        <w:numPr>
          <w:ilvl w:val="12"/>
          <w:numId w:val="0"/>
        </w:numPr>
        <w:tabs>
          <w:tab w:val="left" w:pos="-2268"/>
        </w:tabs>
        <w:suppressAutoHyphens/>
        <w:rPr>
          <w:spacing w:val="-3"/>
        </w:rPr>
      </w:pPr>
    </w:p>
    <w:p w14:paraId="0DF4630C" w14:textId="77777777" w:rsidR="009D132B" w:rsidRPr="00BD1319" w:rsidRDefault="009D132B" w:rsidP="00216955">
      <w:pPr>
        <w:pStyle w:val="Ttulo3"/>
      </w:pPr>
      <w:bookmarkStart w:id="2609" w:name="_Toc412812760"/>
      <w:bookmarkStart w:id="2610" w:name="_Toc437936016"/>
      <w:bookmarkStart w:id="2611" w:name="_Toc42764344"/>
      <w:bookmarkStart w:id="2612" w:name="_Ref78816980"/>
      <w:bookmarkStart w:id="2613" w:name="_Toc175326761"/>
      <w:r w:rsidRPr="00BD1319">
        <w:t>Geológico</w:t>
      </w:r>
      <w:bookmarkEnd w:id="2609"/>
      <w:bookmarkEnd w:id="2610"/>
      <w:bookmarkEnd w:id="2611"/>
      <w:bookmarkEnd w:id="2612"/>
      <w:bookmarkEnd w:id="2613"/>
    </w:p>
    <w:p w14:paraId="738887AF" w14:textId="77777777" w:rsidR="009D132B" w:rsidRPr="00BD1319" w:rsidRDefault="009D132B">
      <w:pPr>
        <w:numPr>
          <w:ilvl w:val="12"/>
          <w:numId w:val="0"/>
        </w:numPr>
        <w:tabs>
          <w:tab w:val="left" w:pos="-2268"/>
        </w:tabs>
        <w:suppressAutoHyphens/>
        <w:rPr>
          <w:spacing w:val="-3"/>
        </w:rPr>
      </w:pPr>
    </w:p>
    <w:p w14:paraId="57CA4AD3" w14:textId="7EE4D07D" w:rsidR="009D132B" w:rsidRPr="00BD1319" w:rsidRDefault="00900A47">
      <w:pPr>
        <w:numPr>
          <w:ilvl w:val="12"/>
          <w:numId w:val="0"/>
        </w:numPr>
        <w:tabs>
          <w:tab w:val="left" w:pos="-2268"/>
        </w:tabs>
        <w:suppressAutoHyphens/>
        <w:rPr>
          <w:spacing w:val="-3"/>
        </w:rPr>
      </w:pPr>
      <w:r w:rsidRPr="00BD1319">
        <w:rPr>
          <w:spacing w:val="-2"/>
        </w:rPr>
        <w:t>Determinar</w:t>
      </w:r>
      <w:r w:rsidR="009D132B" w:rsidRPr="00BD1319">
        <w:rPr>
          <w:spacing w:val="-2"/>
        </w:rPr>
        <w:t xml:space="preserve"> las unidades geológicas aflorantes y de la geología estructural del área regional (orientación de estratos, fallas, pliegues, entre otras), con base en información secundaria verificada y ajustada con control de campo</w:t>
      </w:r>
      <w:r w:rsidR="009D132B" w:rsidRPr="00BD1319">
        <w:rPr>
          <w:spacing w:val="-3"/>
        </w:rPr>
        <w:t>.</w:t>
      </w:r>
    </w:p>
    <w:p w14:paraId="06A5759F" w14:textId="77777777" w:rsidR="009D132B" w:rsidRPr="00BD1319" w:rsidRDefault="009D132B">
      <w:pPr>
        <w:numPr>
          <w:ilvl w:val="12"/>
          <w:numId w:val="0"/>
        </w:numPr>
        <w:tabs>
          <w:tab w:val="left" w:pos="-2268"/>
        </w:tabs>
        <w:suppressAutoHyphens/>
        <w:rPr>
          <w:spacing w:val="-3"/>
        </w:rPr>
      </w:pPr>
    </w:p>
    <w:p w14:paraId="149DF6A2" w14:textId="126FDB60" w:rsidR="009D132B" w:rsidRPr="00BD1319" w:rsidRDefault="009D132B">
      <w:pPr>
        <w:numPr>
          <w:ilvl w:val="12"/>
          <w:numId w:val="0"/>
        </w:numPr>
        <w:tabs>
          <w:tab w:val="left" w:pos="-2268"/>
        </w:tabs>
        <w:suppressAutoHyphens/>
        <w:rPr>
          <w:spacing w:val="-3"/>
        </w:rPr>
      </w:pPr>
      <w:r w:rsidRPr="00BD1319">
        <w:rPr>
          <w:spacing w:val="-2"/>
        </w:rPr>
        <w:t xml:space="preserve">Presentar para el área de influencia del </w:t>
      </w:r>
      <w:r w:rsidR="00F863C9" w:rsidRPr="00BD1319">
        <w:rPr>
          <w:rFonts w:cs="Arial"/>
          <w:spacing w:val="-2"/>
        </w:rPr>
        <w:t>componente</w:t>
      </w:r>
      <w:r w:rsidRPr="00BD1319">
        <w:rPr>
          <w:rFonts w:cs="Arial"/>
          <w:spacing w:val="-2"/>
        </w:rPr>
        <w:t>,</w:t>
      </w:r>
      <w:r w:rsidRPr="00BD1319">
        <w:rPr>
          <w:spacing w:val="-2"/>
        </w:rPr>
        <w:t xml:space="preserve"> la cartografía geológica con fotointerpretación y control de campo. Se debe complementar la información con planos en planta y en secciones transversales, incluyendo la cartografía de elementos geológicos de carácter local, insumos fundamentales para la formulación de los modelos geotécnicos, hidrogeológicos y </w:t>
      </w:r>
      <w:proofErr w:type="spellStart"/>
      <w:r w:rsidRPr="00BD1319">
        <w:rPr>
          <w:spacing w:val="-2"/>
        </w:rPr>
        <w:t>sismotectónicos</w:t>
      </w:r>
      <w:proofErr w:type="spellEnd"/>
      <w:r w:rsidRPr="00BD1319">
        <w:rPr>
          <w:rFonts w:cs="Arial"/>
          <w:spacing w:val="-2"/>
        </w:rPr>
        <w:t xml:space="preserve"> de acuerdo con las particularidades del proyecto</w:t>
      </w:r>
      <w:r w:rsidRPr="00BD1319">
        <w:rPr>
          <w:spacing w:val="-2"/>
        </w:rPr>
        <w:t>.</w:t>
      </w:r>
    </w:p>
    <w:p w14:paraId="0B0B5C3A" w14:textId="77777777" w:rsidR="009D132B" w:rsidRPr="00BD1319" w:rsidRDefault="009D132B">
      <w:pPr>
        <w:numPr>
          <w:ilvl w:val="12"/>
          <w:numId w:val="0"/>
        </w:numPr>
        <w:tabs>
          <w:tab w:val="left" w:pos="-2268"/>
        </w:tabs>
        <w:suppressAutoHyphens/>
        <w:rPr>
          <w:spacing w:val="-3"/>
        </w:rPr>
      </w:pPr>
    </w:p>
    <w:p w14:paraId="4DDDD976" w14:textId="5F9BFD49" w:rsidR="009D132B" w:rsidRPr="00BD1319" w:rsidRDefault="009D132B">
      <w:pPr>
        <w:numPr>
          <w:ilvl w:val="12"/>
          <w:numId w:val="0"/>
        </w:numPr>
        <w:tabs>
          <w:tab w:val="left" w:pos="-2268"/>
        </w:tabs>
        <w:suppressAutoHyphens/>
        <w:rPr>
          <w:spacing w:val="-3"/>
        </w:rPr>
      </w:pPr>
      <w:r w:rsidRPr="00BD1319">
        <w:rPr>
          <w:spacing w:val="-3"/>
        </w:rPr>
        <w:t>Ajustar esta información a partir de datos existentes utilizando técnicas disponibles cartográficas y de sensores remotos; este proceso de ajuste debe ser consistente con la nomenclatura geológica nacional, establecida por el Servicio Geológico Colombiano</w:t>
      </w:r>
      <w:r w:rsidR="00104B0D" w:rsidRPr="00BD1319">
        <w:rPr>
          <w:spacing w:val="-3"/>
        </w:rPr>
        <w:t xml:space="preserve"> (SGC)</w:t>
      </w:r>
      <w:r w:rsidRPr="00BD1319">
        <w:rPr>
          <w:spacing w:val="-3"/>
        </w:rPr>
        <w:t>.</w:t>
      </w:r>
    </w:p>
    <w:p w14:paraId="52EC6D24" w14:textId="77777777" w:rsidR="009D132B" w:rsidRPr="00BD1319" w:rsidRDefault="009D132B">
      <w:pPr>
        <w:numPr>
          <w:ilvl w:val="12"/>
          <w:numId w:val="0"/>
        </w:numPr>
        <w:tabs>
          <w:tab w:val="left" w:pos="-2268"/>
        </w:tabs>
        <w:suppressAutoHyphens/>
        <w:rPr>
          <w:spacing w:val="-3"/>
        </w:rPr>
      </w:pPr>
    </w:p>
    <w:p w14:paraId="5323DFC9" w14:textId="3D39628D" w:rsidR="009D132B" w:rsidRPr="00BD1319" w:rsidRDefault="009D132B">
      <w:pPr>
        <w:numPr>
          <w:ilvl w:val="12"/>
          <w:numId w:val="0"/>
        </w:numPr>
        <w:tabs>
          <w:tab w:val="left" w:pos="-2268"/>
        </w:tabs>
        <w:suppressAutoHyphens/>
        <w:rPr>
          <w:spacing w:val="-3"/>
        </w:rPr>
      </w:pPr>
      <w:r w:rsidRPr="00BD1319">
        <w:rPr>
          <w:spacing w:val="-3"/>
        </w:rPr>
        <w:lastRenderedPageBreak/>
        <w:t>Generar la información a la escala que establezcan los términos de referencia, o a una más detallada si el análisis lo requiere, de acuerdo con las condiciones particulares del</w:t>
      </w:r>
      <w:r w:rsidR="00104B0D" w:rsidRPr="00BD1319">
        <w:rPr>
          <w:spacing w:val="-3"/>
        </w:rPr>
        <w:t xml:space="preserve"> </w:t>
      </w:r>
      <w:r w:rsidRPr="00BD1319">
        <w:rPr>
          <w:spacing w:val="-3"/>
        </w:rPr>
        <w:t xml:space="preserve">proyecto; se debe </w:t>
      </w:r>
      <w:r w:rsidR="00293C77" w:rsidRPr="00BD1319">
        <w:rPr>
          <w:spacing w:val="-3"/>
        </w:rPr>
        <w:t xml:space="preserve">representar cartográficamente </w:t>
      </w:r>
      <w:r w:rsidR="00104B0D" w:rsidRPr="00BD1319">
        <w:rPr>
          <w:spacing w:val="-3"/>
        </w:rPr>
        <w:t xml:space="preserve">con </w:t>
      </w:r>
      <w:r w:rsidRPr="00BD1319">
        <w:rPr>
          <w:spacing w:val="-3"/>
        </w:rPr>
        <w:t>una escala de presentación que permita su lectura.</w:t>
      </w:r>
    </w:p>
    <w:p w14:paraId="224CF677" w14:textId="77777777" w:rsidR="009D132B" w:rsidRPr="00BD1319" w:rsidRDefault="009D132B">
      <w:pPr>
        <w:numPr>
          <w:ilvl w:val="12"/>
          <w:numId w:val="0"/>
        </w:numPr>
        <w:tabs>
          <w:tab w:val="left" w:pos="-2268"/>
        </w:tabs>
        <w:suppressAutoHyphens/>
        <w:rPr>
          <w:spacing w:val="-3"/>
        </w:rPr>
      </w:pPr>
    </w:p>
    <w:p w14:paraId="7D9801E7" w14:textId="6B45908A" w:rsidR="009D132B" w:rsidRPr="00BD1319" w:rsidRDefault="009D132B">
      <w:pPr>
        <w:numPr>
          <w:ilvl w:val="12"/>
          <w:numId w:val="0"/>
        </w:numPr>
        <w:tabs>
          <w:tab w:val="left" w:pos="-2268"/>
        </w:tabs>
        <w:suppressAutoHyphens/>
        <w:rPr>
          <w:spacing w:val="-3"/>
        </w:rPr>
      </w:pPr>
      <w:r w:rsidRPr="00BD1319">
        <w:rPr>
          <w:spacing w:val="-3"/>
        </w:rPr>
        <w:t xml:space="preserve">La </w:t>
      </w:r>
      <w:r w:rsidR="00900A47" w:rsidRPr="00BD1319">
        <w:rPr>
          <w:spacing w:val="-3"/>
        </w:rPr>
        <w:t xml:space="preserve">información </w:t>
      </w:r>
      <w:r w:rsidRPr="00BD1319">
        <w:rPr>
          <w:spacing w:val="-3"/>
        </w:rPr>
        <w:t xml:space="preserve">geológica debe contener </w:t>
      </w:r>
      <w:r w:rsidR="00900A47" w:rsidRPr="00BD1319">
        <w:rPr>
          <w:spacing w:val="-3"/>
        </w:rPr>
        <w:t>lo señalado en</w:t>
      </w:r>
      <w:r w:rsidR="00900A47" w:rsidRPr="00BD1319" w:rsidDel="00900A47">
        <w:rPr>
          <w:spacing w:val="-3"/>
        </w:rPr>
        <w:t xml:space="preserve"> </w:t>
      </w:r>
      <w:r w:rsidRPr="00BD1319">
        <w:rPr>
          <w:spacing w:val="-3"/>
        </w:rPr>
        <w:t>lo</w:t>
      </w:r>
      <w:r w:rsidR="00104B0D" w:rsidRPr="00BD1319">
        <w:rPr>
          <w:spacing w:val="-3"/>
        </w:rPr>
        <w:t>s</w:t>
      </w:r>
      <w:r w:rsidRPr="00BD1319">
        <w:rPr>
          <w:spacing w:val="-3"/>
        </w:rPr>
        <w:t xml:space="preserve"> siguiente</w:t>
      </w:r>
      <w:r w:rsidR="00104B0D" w:rsidRPr="00BD1319">
        <w:rPr>
          <w:spacing w:val="-3"/>
        </w:rPr>
        <w:t>s ítems</w:t>
      </w:r>
      <w:r w:rsidRPr="00BD1319">
        <w:rPr>
          <w:spacing w:val="-3"/>
        </w:rPr>
        <w:t>:</w:t>
      </w:r>
    </w:p>
    <w:p w14:paraId="4B8DF07B" w14:textId="77777777" w:rsidR="009D132B" w:rsidRPr="00BD1319" w:rsidRDefault="009D132B">
      <w:pPr>
        <w:numPr>
          <w:ilvl w:val="12"/>
          <w:numId w:val="0"/>
        </w:numPr>
        <w:tabs>
          <w:tab w:val="left" w:pos="-2268"/>
        </w:tabs>
        <w:suppressAutoHyphens/>
        <w:rPr>
          <w:spacing w:val="-3"/>
        </w:rPr>
      </w:pPr>
    </w:p>
    <w:p w14:paraId="1F4F7860" w14:textId="77777777" w:rsidR="009D132B" w:rsidRPr="00BD1319" w:rsidRDefault="009D132B" w:rsidP="009420F5">
      <w:pPr>
        <w:pStyle w:val="Ttulo4"/>
        <w:tabs>
          <w:tab w:val="clear" w:pos="1844"/>
          <w:tab w:val="num" w:pos="1134"/>
        </w:tabs>
        <w:ind w:left="0"/>
        <w:rPr>
          <w:lang w:val="es-CO"/>
        </w:rPr>
      </w:pPr>
      <w:r w:rsidRPr="00BD1319">
        <w:rPr>
          <w:lang w:val="es-CO"/>
        </w:rPr>
        <w:t>Estratigrafía</w:t>
      </w:r>
    </w:p>
    <w:p w14:paraId="46C9BE9C" w14:textId="77777777" w:rsidR="009D132B" w:rsidRPr="00BD1319" w:rsidRDefault="009D132B">
      <w:pPr>
        <w:numPr>
          <w:ilvl w:val="12"/>
          <w:numId w:val="0"/>
        </w:numPr>
        <w:tabs>
          <w:tab w:val="left" w:pos="-2268"/>
        </w:tabs>
        <w:suppressAutoHyphens/>
        <w:rPr>
          <w:spacing w:val="-3"/>
        </w:rPr>
      </w:pPr>
    </w:p>
    <w:p w14:paraId="44A2484E" w14:textId="66C6DDE4" w:rsidR="009D132B" w:rsidRPr="00BD1319" w:rsidRDefault="00900A47">
      <w:pPr>
        <w:numPr>
          <w:ilvl w:val="12"/>
          <w:numId w:val="0"/>
        </w:numPr>
        <w:tabs>
          <w:tab w:val="left" w:pos="-2268"/>
        </w:tabs>
        <w:suppressAutoHyphens/>
        <w:rPr>
          <w:spacing w:val="-3"/>
        </w:rPr>
      </w:pPr>
      <w:r w:rsidRPr="00BD1319">
        <w:rPr>
          <w:spacing w:val="-2"/>
        </w:rPr>
        <w:t xml:space="preserve">Definir </w:t>
      </w:r>
      <w:r w:rsidR="009D132B" w:rsidRPr="00BD1319">
        <w:rPr>
          <w:spacing w:val="-2"/>
        </w:rPr>
        <w:t>las unidades litológicas referenciando su edad, origen, espesor, distribución y posición en la secuencia estratigráfica.</w:t>
      </w:r>
    </w:p>
    <w:p w14:paraId="20BCA5D0" w14:textId="77777777" w:rsidR="009D132B" w:rsidRPr="00BD1319" w:rsidRDefault="009D132B">
      <w:pPr>
        <w:numPr>
          <w:ilvl w:val="12"/>
          <w:numId w:val="0"/>
        </w:numPr>
        <w:tabs>
          <w:tab w:val="left" w:pos="-2268"/>
        </w:tabs>
        <w:suppressAutoHyphens/>
        <w:rPr>
          <w:spacing w:val="-3"/>
        </w:rPr>
      </w:pPr>
    </w:p>
    <w:p w14:paraId="0031EF5D" w14:textId="3C40EC47" w:rsidR="009D132B" w:rsidRPr="00BD1319" w:rsidRDefault="009D132B">
      <w:pPr>
        <w:numPr>
          <w:ilvl w:val="12"/>
          <w:numId w:val="0"/>
        </w:numPr>
        <w:tabs>
          <w:tab w:val="left" w:pos="-2268"/>
        </w:tabs>
        <w:suppressAutoHyphens/>
        <w:rPr>
          <w:spacing w:val="-3"/>
        </w:rPr>
      </w:pPr>
      <w:r w:rsidRPr="00BD1319">
        <w:rPr>
          <w:spacing w:val="-3"/>
        </w:rPr>
        <w:t xml:space="preserve">Soportar la caracterización de las unidades geológicas superficiales </w:t>
      </w:r>
      <w:r w:rsidRPr="00BD1319">
        <w:rPr>
          <w:rFonts w:cs="Arial"/>
          <w:spacing w:val="-3"/>
        </w:rPr>
        <w:t>empleando</w:t>
      </w:r>
      <w:r w:rsidRPr="00BD1319">
        <w:rPr>
          <w:spacing w:val="-3"/>
        </w:rPr>
        <w:t xml:space="preserve"> información geológica oficial y estudios de referencia. Se deben caracterizar y cartografiar los depósitos superficiales, incluyendo información sobre porosidad y permeabilidad, espesor, textura, estado de meteorización, color, relación fragmentos/matriz, tamaño y forma de los fragmentos, textura de la matriz, humedad y demás características que permitan determinar los modelos hidrogeológicos y geotécnicos.</w:t>
      </w:r>
    </w:p>
    <w:p w14:paraId="16B86B40" w14:textId="77777777" w:rsidR="009D132B" w:rsidRPr="00BD1319" w:rsidRDefault="009D132B">
      <w:pPr>
        <w:numPr>
          <w:ilvl w:val="12"/>
          <w:numId w:val="0"/>
        </w:numPr>
        <w:tabs>
          <w:tab w:val="left" w:pos="-2268"/>
        </w:tabs>
        <w:suppressAutoHyphens/>
        <w:rPr>
          <w:spacing w:val="-3"/>
        </w:rPr>
      </w:pPr>
    </w:p>
    <w:p w14:paraId="3BF72D06" w14:textId="275F2A6D" w:rsidR="009D132B" w:rsidRPr="00BD1319" w:rsidRDefault="009D132B">
      <w:pPr>
        <w:numPr>
          <w:ilvl w:val="12"/>
          <w:numId w:val="0"/>
        </w:numPr>
        <w:tabs>
          <w:tab w:val="left" w:pos="-2268"/>
        </w:tabs>
        <w:suppressAutoHyphens/>
        <w:rPr>
          <w:spacing w:val="-3"/>
        </w:rPr>
      </w:pPr>
      <w:r w:rsidRPr="00BD1319">
        <w:rPr>
          <w:spacing w:val="-3"/>
        </w:rPr>
        <w:t xml:space="preserve">Presentar las columnas estratigráficas de las rocas sedimentarias y/o en depósitos superficiales, </w:t>
      </w:r>
      <w:r w:rsidR="0074166A" w:rsidRPr="00BD1319">
        <w:rPr>
          <w:spacing w:val="-3"/>
        </w:rPr>
        <w:t xml:space="preserve">incluyendo los aluviales, </w:t>
      </w:r>
      <w:r w:rsidRPr="00BD1319">
        <w:rPr>
          <w:spacing w:val="-3"/>
        </w:rPr>
        <w:t>en una escala cartográfica de mayor detalle que la escala del mapa geológico del proyecto.</w:t>
      </w:r>
    </w:p>
    <w:p w14:paraId="14871EEC" w14:textId="77777777" w:rsidR="009D132B" w:rsidRPr="00BD1319" w:rsidRDefault="009D132B">
      <w:pPr>
        <w:numPr>
          <w:ilvl w:val="12"/>
          <w:numId w:val="0"/>
        </w:numPr>
        <w:tabs>
          <w:tab w:val="left" w:pos="-2268"/>
        </w:tabs>
        <w:suppressAutoHyphens/>
        <w:rPr>
          <w:spacing w:val="-3"/>
        </w:rPr>
      </w:pPr>
    </w:p>
    <w:p w14:paraId="1EBA0453" w14:textId="7167D5CA" w:rsidR="009D132B" w:rsidRPr="00BD1319" w:rsidRDefault="009D132B">
      <w:pPr>
        <w:numPr>
          <w:ilvl w:val="12"/>
          <w:numId w:val="0"/>
        </w:numPr>
        <w:tabs>
          <w:tab w:val="left" w:pos="-2268"/>
        </w:tabs>
        <w:suppressAutoHyphens/>
        <w:rPr>
          <w:spacing w:val="-3"/>
        </w:rPr>
      </w:pPr>
      <w:r w:rsidRPr="00BD1319">
        <w:rPr>
          <w:rFonts w:cs="Arial"/>
          <w:spacing w:val="-3"/>
        </w:rPr>
        <w:t>En</w:t>
      </w:r>
      <w:r w:rsidRPr="00BD1319">
        <w:rPr>
          <w:spacing w:val="-3"/>
        </w:rPr>
        <w:t xml:space="preserve"> el caso de </w:t>
      </w:r>
      <w:r w:rsidRPr="00BD1319">
        <w:rPr>
          <w:rFonts w:cs="Arial"/>
          <w:spacing w:val="-3"/>
        </w:rPr>
        <w:t xml:space="preserve">evidenciar </w:t>
      </w:r>
      <w:r w:rsidRPr="00BD1319">
        <w:rPr>
          <w:spacing w:val="-3"/>
        </w:rPr>
        <w:t>la presencia de rocas sedimentarias conformadas por partículas tamaño arcilla (arcillolitas / lodolitas)</w:t>
      </w:r>
      <w:r w:rsidR="00104B0D" w:rsidRPr="00BD1319">
        <w:rPr>
          <w:spacing w:val="-3"/>
        </w:rPr>
        <w:t xml:space="preserve"> y cuando este tipo de rocas constituyan elementos estructurales de soporte,</w:t>
      </w:r>
      <w:r w:rsidRPr="00BD1319">
        <w:rPr>
          <w:spacing w:val="-3"/>
        </w:rPr>
        <w:t xml:space="preserve"> </w:t>
      </w:r>
      <w:r w:rsidRPr="00BD1319">
        <w:rPr>
          <w:rFonts w:cs="Arial"/>
          <w:spacing w:val="-3"/>
        </w:rPr>
        <w:t xml:space="preserve">se deben presentar los </w:t>
      </w:r>
      <w:r w:rsidRPr="00BD1319">
        <w:rPr>
          <w:spacing w:val="-3"/>
        </w:rPr>
        <w:t>resultados de análisis mineralógicos que identifiquen la presencia o no de arcillas con propiedades expansivas</w:t>
      </w:r>
      <w:r w:rsidR="00DF234E" w:rsidRPr="00BD1319">
        <w:rPr>
          <w:spacing w:val="-3"/>
        </w:rPr>
        <w:t xml:space="preserve">, </w:t>
      </w:r>
      <w:r w:rsidR="00104B0D" w:rsidRPr="00BD1319">
        <w:rPr>
          <w:spacing w:val="-3"/>
        </w:rPr>
        <w:t xml:space="preserve">siguiendo los lineamientos establecidos </w:t>
      </w:r>
      <w:r w:rsidR="002F020E" w:rsidRPr="00BD1319">
        <w:rPr>
          <w:spacing w:val="-3"/>
        </w:rPr>
        <w:t xml:space="preserve">en el numeral </w:t>
      </w:r>
      <w:r w:rsidR="00104B0D" w:rsidRPr="00BD1319">
        <w:rPr>
          <w:spacing w:val="-3"/>
        </w:rPr>
        <w:fldChar w:fldCharType="begin"/>
      </w:r>
      <w:r w:rsidR="00104B0D" w:rsidRPr="00BD1319">
        <w:rPr>
          <w:spacing w:val="-3"/>
        </w:rPr>
        <w:instrText xml:space="preserve"> REF _Ref76195919 \r \h </w:instrText>
      </w:r>
      <w:r w:rsidR="006A4128" w:rsidRPr="00BD1319">
        <w:rPr>
          <w:spacing w:val="-3"/>
        </w:rPr>
        <w:instrText xml:space="preserve"> \* MERGEFORMAT </w:instrText>
      </w:r>
      <w:r w:rsidR="00104B0D" w:rsidRPr="00BD1319">
        <w:rPr>
          <w:spacing w:val="-3"/>
        </w:rPr>
      </w:r>
      <w:r w:rsidR="00104B0D" w:rsidRPr="00BD1319">
        <w:rPr>
          <w:spacing w:val="-3"/>
        </w:rPr>
        <w:fldChar w:fldCharType="separate"/>
      </w:r>
      <w:r w:rsidR="00296654" w:rsidRPr="00BD1319">
        <w:rPr>
          <w:spacing w:val="-3"/>
        </w:rPr>
        <w:t>4.1.1.5</w:t>
      </w:r>
      <w:r w:rsidR="00104B0D" w:rsidRPr="00BD1319">
        <w:rPr>
          <w:spacing w:val="-3"/>
        </w:rPr>
        <w:fldChar w:fldCharType="end"/>
      </w:r>
      <w:r w:rsidR="00104B0D" w:rsidRPr="00BD1319">
        <w:rPr>
          <w:spacing w:val="-3"/>
        </w:rPr>
        <w:t xml:space="preserve"> (</w:t>
      </w:r>
      <w:r w:rsidR="002F020E" w:rsidRPr="00BD1319">
        <w:rPr>
          <w:spacing w:val="-3"/>
        </w:rPr>
        <w:t>Geotecnia</w:t>
      </w:r>
      <w:r w:rsidR="00104B0D" w:rsidRPr="00BD1319">
        <w:rPr>
          <w:spacing w:val="-3"/>
        </w:rPr>
        <w:t>)</w:t>
      </w:r>
      <w:r w:rsidR="002F020E" w:rsidRPr="00BD1319">
        <w:rPr>
          <w:spacing w:val="-3"/>
        </w:rPr>
        <w:t>.</w:t>
      </w:r>
    </w:p>
    <w:p w14:paraId="6144ADA8" w14:textId="77777777" w:rsidR="009D132B" w:rsidRPr="00BD1319" w:rsidRDefault="009D132B">
      <w:pPr>
        <w:numPr>
          <w:ilvl w:val="12"/>
          <w:numId w:val="0"/>
        </w:numPr>
        <w:tabs>
          <w:tab w:val="left" w:pos="-2268"/>
        </w:tabs>
        <w:suppressAutoHyphens/>
        <w:rPr>
          <w:spacing w:val="-3"/>
        </w:rPr>
      </w:pPr>
    </w:p>
    <w:p w14:paraId="22C6E724" w14:textId="77777777" w:rsidR="009D132B" w:rsidRPr="00BD1319" w:rsidRDefault="009D132B" w:rsidP="009420F5">
      <w:pPr>
        <w:pStyle w:val="Ttulo4"/>
        <w:tabs>
          <w:tab w:val="clear" w:pos="1844"/>
          <w:tab w:val="num" w:pos="1134"/>
        </w:tabs>
        <w:ind w:left="0"/>
        <w:rPr>
          <w:lang w:val="es-CO"/>
        </w:rPr>
      </w:pPr>
      <w:r w:rsidRPr="00BD1319">
        <w:rPr>
          <w:lang w:val="es-CO"/>
        </w:rPr>
        <w:t>Geología estructural</w:t>
      </w:r>
    </w:p>
    <w:p w14:paraId="439E1324" w14:textId="77777777" w:rsidR="009D132B" w:rsidRPr="00BD1319" w:rsidRDefault="009D132B">
      <w:pPr>
        <w:numPr>
          <w:ilvl w:val="12"/>
          <w:numId w:val="0"/>
        </w:numPr>
        <w:tabs>
          <w:tab w:val="left" w:pos="-2268"/>
        </w:tabs>
        <w:suppressAutoHyphens/>
        <w:rPr>
          <w:spacing w:val="-3"/>
        </w:rPr>
      </w:pPr>
    </w:p>
    <w:p w14:paraId="2251155C" w14:textId="763B52E9" w:rsidR="009D132B" w:rsidRPr="00BD1319" w:rsidRDefault="009D132B">
      <w:pPr>
        <w:numPr>
          <w:ilvl w:val="12"/>
          <w:numId w:val="0"/>
        </w:numPr>
        <w:tabs>
          <w:tab w:val="left" w:pos="-2268"/>
        </w:tabs>
        <w:suppressAutoHyphens/>
        <w:rPr>
          <w:spacing w:val="-3"/>
        </w:rPr>
      </w:pPr>
      <w:r w:rsidRPr="00BD1319">
        <w:rPr>
          <w:spacing w:val="-3"/>
        </w:rPr>
        <w:t xml:space="preserve">Presentar </w:t>
      </w:r>
      <w:r w:rsidR="00900A47" w:rsidRPr="00BD1319">
        <w:rPr>
          <w:spacing w:val="-3"/>
        </w:rPr>
        <w:t xml:space="preserve">la </w:t>
      </w:r>
      <w:r w:rsidRPr="00BD1319">
        <w:rPr>
          <w:spacing w:val="-3"/>
        </w:rPr>
        <w:t>caracterización de las estructuras geológicas regionales y locales, así como los lineamientos fotogeológicos y diaclasas.</w:t>
      </w:r>
    </w:p>
    <w:p w14:paraId="1BAD36A0" w14:textId="77777777" w:rsidR="009D132B" w:rsidRPr="00BD1319" w:rsidRDefault="009D132B">
      <w:pPr>
        <w:numPr>
          <w:ilvl w:val="12"/>
          <w:numId w:val="0"/>
        </w:numPr>
        <w:tabs>
          <w:tab w:val="left" w:pos="-2268"/>
        </w:tabs>
        <w:suppressAutoHyphens/>
        <w:rPr>
          <w:spacing w:val="-3"/>
        </w:rPr>
      </w:pPr>
    </w:p>
    <w:p w14:paraId="5F15678C" w14:textId="77777777" w:rsidR="009D132B" w:rsidRPr="00BD1319" w:rsidRDefault="009D132B">
      <w:pPr>
        <w:numPr>
          <w:ilvl w:val="12"/>
          <w:numId w:val="0"/>
        </w:numPr>
        <w:tabs>
          <w:tab w:val="left" w:pos="-2268"/>
        </w:tabs>
        <w:suppressAutoHyphens/>
        <w:rPr>
          <w:spacing w:val="-3"/>
        </w:rPr>
      </w:pPr>
      <w:r w:rsidRPr="00BD1319">
        <w:rPr>
          <w:spacing w:val="-3"/>
        </w:rPr>
        <w:t>Elaborar y presentar el análisis de rasgos tectónicos con base en la interpretación de imágenes de sensores remotos y fotografías aéreas, indicando las frecuencias de direcciones y las zonas de máxima densidad de lineamientos.</w:t>
      </w:r>
    </w:p>
    <w:p w14:paraId="53325461" w14:textId="77777777" w:rsidR="009D132B" w:rsidRPr="00BD1319" w:rsidRDefault="009D132B">
      <w:pPr>
        <w:numPr>
          <w:ilvl w:val="12"/>
          <w:numId w:val="0"/>
        </w:numPr>
        <w:tabs>
          <w:tab w:val="left" w:pos="-2268"/>
        </w:tabs>
        <w:suppressAutoHyphens/>
        <w:rPr>
          <w:spacing w:val="-3"/>
        </w:rPr>
      </w:pPr>
    </w:p>
    <w:p w14:paraId="4CDBE401" w14:textId="77777777" w:rsidR="009D132B" w:rsidRPr="00BD1319" w:rsidRDefault="009D132B">
      <w:pPr>
        <w:numPr>
          <w:ilvl w:val="12"/>
          <w:numId w:val="0"/>
        </w:numPr>
        <w:tabs>
          <w:tab w:val="left" w:pos="-2268"/>
        </w:tabs>
        <w:suppressAutoHyphens/>
        <w:rPr>
          <w:spacing w:val="-3"/>
        </w:rPr>
      </w:pPr>
      <w:r w:rsidRPr="00BD1319">
        <w:rPr>
          <w:spacing w:val="-3"/>
        </w:rPr>
        <w:t>Entregar la localización cartográfica y la caracterización de las fallas locales indicando su orientación, sentido, ancho de la zona de falla, presencia de brechas, entre otras características.</w:t>
      </w:r>
    </w:p>
    <w:p w14:paraId="2AC6E13E" w14:textId="77777777" w:rsidR="009D132B" w:rsidRPr="00BD1319" w:rsidRDefault="009D132B">
      <w:pPr>
        <w:numPr>
          <w:ilvl w:val="12"/>
          <w:numId w:val="0"/>
        </w:numPr>
        <w:tabs>
          <w:tab w:val="left" w:pos="-2268"/>
        </w:tabs>
        <w:suppressAutoHyphens/>
        <w:rPr>
          <w:spacing w:val="-3"/>
        </w:rPr>
      </w:pPr>
    </w:p>
    <w:p w14:paraId="2ABBCA10" w14:textId="77777777" w:rsidR="009D132B" w:rsidRPr="00BD1319" w:rsidRDefault="009D132B">
      <w:pPr>
        <w:numPr>
          <w:ilvl w:val="12"/>
          <w:numId w:val="0"/>
        </w:numPr>
        <w:tabs>
          <w:tab w:val="left" w:pos="-2268"/>
        </w:tabs>
        <w:suppressAutoHyphens/>
        <w:rPr>
          <w:spacing w:val="-3"/>
        </w:rPr>
      </w:pPr>
      <w:r w:rsidRPr="00BD1319">
        <w:rPr>
          <w:spacing w:val="-3"/>
        </w:rPr>
        <w:t xml:space="preserve">Presentar información de la caracterización de las fracturas, incluyendo datos de los planos de </w:t>
      </w:r>
      <w:proofErr w:type="spellStart"/>
      <w:r w:rsidRPr="00BD1319">
        <w:rPr>
          <w:spacing w:val="-3"/>
        </w:rPr>
        <w:t>fracturamiento</w:t>
      </w:r>
      <w:proofErr w:type="spellEnd"/>
      <w:r w:rsidRPr="00BD1319">
        <w:rPr>
          <w:spacing w:val="-3"/>
        </w:rPr>
        <w:t xml:space="preserve"> y los resultados de los diagramas de </w:t>
      </w:r>
      <w:proofErr w:type="spellStart"/>
      <w:r w:rsidRPr="00BD1319">
        <w:rPr>
          <w:spacing w:val="-3"/>
        </w:rPr>
        <w:t>paleoesfuerzos</w:t>
      </w:r>
      <w:proofErr w:type="spellEnd"/>
      <w:r w:rsidRPr="00BD1319">
        <w:rPr>
          <w:spacing w:val="-3"/>
        </w:rPr>
        <w:t xml:space="preserve">, con el fin de establecer fuentes de </w:t>
      </w:r>
      <w:proofErr w:type="spellStart"/>
      <w:r w:rsidRPr="00BD1319">
        <w:rPr>
          <w:spacing w:val="-3"/>
        </w:rPr>
        <w:t>sismogeneración</w:t>
      </w:r>
      <w:proofErr w:type="spellEnd"/>
      <w:r w:rsidRPr="00BD1319">
        <w:rPr>
          <w:spacing w:val="-3"/>
        </w:rPr>
        <w:t>.</w:t>
      </w:r>
    </w:p>
    <w:p w14:paraId="014386AE" w14:textId="77777777" w:rsidR="009D132B" w:rsidRPr="00BD1319" w:rsidRDefault="009D132B">
      <w:pPr>
        <w:numPr>
          <w:ilvl w:val="12"/>
          <w:numId w:val="0"/>
        </w:numPr>
        <w:tabs>
          <w:tab w:val="left" w:pos="-2268"/>
        </w:tabs>
        <w:suppressAutoHyphens/>
        <w:rPr>
          <w:spacing w:val="-3"/>
        </w:rPr>
      </w:pPr>
    </w:p>
    <w:p w14:paraId="169283E6" w14:textId="7482CE2E" w:rsidR="009D132B" w:rsidRPr="00BD1319" w:rsidRDefault="009D132B">
      <w:pPr>
        <w:numPr>
          <w:ilvl w:val="12"/>
          <w:numId w:val="0"/>
        </w:numPr>
        <w:tabs>
          <w:tab w:val="left" w:pos="-2268"/>
        </w:tabs>
        <w:suppressAutoHyphens/>
        <w:rPr>
          <w:spacing w:val="-3"/>
        </w:rPr>
      </w:pPr>
      <w:r w:rsidRPr="00BD1319">
        <w:rPr>
          <w:spacing w:val="-3"/>
        </w:rPr>
        <w:t xml:space="preserve">La información relacionada con las unidades estratigráficas y los rasgos estructurales, que está soportada en perfiles estratigráficos, debe tener </w:t>
      </w:r>
      <w:r w:rsidR="00104B0D" w:rsidRPr="00BD1319">
        <w:rPr>
          <w:spacing w:val="-3"/>
        </w:rPr>
        <w:t xml:space="preserve">un </w:t>
      </w:r>
      <w:r w:rsidRPr="00BD1319">
        <w:rPr>
          <w:spacing w:val="-3"/>
        </w:rPr>
        <w:t>registro fotográfico debidamente fechado, identificado y georreferenciado.</w:t>
      </w:r>
    </w:p>
    <w:p w14:paraId="0DDADB5C" w14:textId="77777777" w:rsidR="009D132B" w:rsidRPr="00BD1319" w:rsidRDefault="009D132B">
      <w:pPr>
        <w:numPr>
          <w:ilvl w:val="12"/>
          <w:numId w:val="0"/>
        </w:numPr>
        <w:tabs>
          <w:tab w:val="left" w:pos="-2268"/>
        </w:tabs>
        <w:suppressAutoHyphens/>
        <w:rPr>
          <w:spacing w:val="-3"/>
        </w:rPr>
      </w:pPr>
    </w:p>
    <w:p w14:paraId="201E1E5F" w14:textId="24FFC9B0" w:rsidR="009D132B" w:rsidRPr="00BD1319" w:rsidRDefault="00A01691">
      <w:pPr>
        <w:numPr>
          <w:ilvl w:val="12"/>
          <w:numId w:val="0"/>
        </w:numPr>
        <w:tabs>
          <w:tab w:val="left" w:pos="-2268"/>
        </w:tabs>
        <w:suppressAutoHyphens/>
        <w:rPr>
          <w:spacing w:val="-3"/>
        </w:rPr>
      </w:pPr>
      <w:r w:rsidRPr="00BD1319">
        <w:rPr>
          <w:spacing w:val="-3"/>
        </w:rPr>
        <w:t>Si</w:t>
      </w:r>
      <w:r w:rsidR="009D132B" w:rsidRPr="00BD1319">
        <w:rPr>
          <w:spacing w:val="-3"/>
        </w:rPr>
        <w:t xml:space="preserve"> </w:t>
      </w:r>
      <w:r w:rsidR="009D132B" w:rsidRPr="00BD1319">
        <w:rPr>
          <w:rFonts w:cs="Arial"/>
          <w:spacing w:val="-3"/>
        </w:rPr>
        <w:t xml:space="preserve">el </w:t>
      </w:r>
      <w:r w:rsidR="00676DE6" w:rsidRPr="00BD1319">
        <w:rPr>
          <w:rFonts w:cs="Arial"/>
          <w:spacing w:val="-3"/>
        </w:rPr>
        <w:t>proyecto, obra o actividad</w:t>
      </w:r>
      <w:r w:rsidR="009D132B" w:rsidRPr="00BD1319">
        <w:rPr>
          <w:rFonts w:cs="Arial"/>
          <w:spacing w:val="-3"/>
        </w:rPr>
        <w:t xml:space="preserve"> contempl</w:t>
      </w:r>
      <w:r w:rsidRPr="00BD1319">
        <w:rPr>
          <w:rFonts w:cs="Arial"/>
          <w:spacing w:val="-3"/>
        </w:rPr>
        <w:t>a</w:t>
      </w:r>
      <w:r w:rsidR="009D132B" w:rsidRPr="00BD1319">
        <w:rPr>
          <w:spacing w:val="-3"/>
        </w:rPr>
        <w:t xml:space="preserve"> la construcción de túneles,</w:t>
      </w:r>
      <w:r w:rsidR="009D132B" w:rsidRPr="00BD1319">
        <w:rPr>
          <w:rFonts w:cs="Arial"/>
          <w:spacing w:val="-3"/>
        </w:rPr>
        <w:t xml:space="preserve"> represas, viaductos, actividades mineras o </w:t>
      </w:r>
      <w:proofErr w:type="spellStart"/>
      <w:r w:rsidR="009D132B" w:rsidRPr="00BD1319">
        <w:rPr>
          <w:rFonts w:cs="Arial"/>
          <w:spacing w:val="-3"/>
        </w:rPr>
        <w:t>megaobras</w:t>
      </w:r>
      <w:proofErr w:type="spellEnd"/>
      <w:r w:rsidR="009D132B" w:rsidRPr="00BD1319">
        <w:rPr>
          <w:rFonts w:cs="Arial"/>
          <w:spacing w:val="-3"/>
        </w:rPr>
        <w:t>, se debe</w:t>
      </w:r>
      <w:r w:rsidR="009D132B" w:rsidRPr="00BD1319">
        <w:rPr>
          <w:spacing w:val="-3"/>
        </w:rPr>
        <w:t xml:space="preserve"> presentar el modelo geológico prospectado y técnicamente sustentado, del cual se obtenga la siguiente información:</w:t>
      </w:r>
    </w:p>
    <w:p w14:paraId="3E7FD859" w14:textId="77777777" w:rsidR="009D132B" w:rsidRPr="00BD1319" w:rsidRDefault="009D132B">
      <w:pPr>
        <w:numPr>
          <w:ilvl w:val="12"/>
          <w:numId w:val="0"/>
        </w:numPr>
        <w:tabs>
          <w:tab w:val="left" w:pos="-2268"/>
        </w:tabs>
        <w:suppressAutoHyphens/>
        <w:rPr>
          <w:spacing w:val="-3"/>
        </w:rPr>
      </w:pPr>
    </w:p>
    <w:p w14:paraId="499BA882" w14:textId="77777777" w:rsidR="009D132B" w:rsidRPr="00BD1319" w:rsidRDefault="009D132B" w:rsidP="00C86DA5">
      <w:pPr>
        <w:numPr>
          <w:ilvl w:val="0"/>
          <w:numId w:val="116"/>
        </w:numPr>
        <w:tabs>
          <w:tab w:val="clear" w:pos="360"/>
        </w:tabs>
        <w:suppressAutoHyphens/>
        <w:ind w:left="567" w:hanging="567"/>
        <w:rPr>
          <w:spacing w:val="-3"/>
        </w:rPr>
      </w:pPr>
      <w:r w:rsidRPr="00BD1319">
        <w:rPr>
          <w:spacing w:val="-3"/>
        </w:rPr>
        <w:t>Definición, localización y cuantificación de las actividades de exploración geológica directa por medio de perforaciones con recuperación de núcleo, e indirecta por medio de prospección geofísica y sus respectivos registros, realizadas sobre los corredores y áreas de las obras subterráneas a construir, tales como túneles de desviación del proyecto, casas de máquinas, pozos, entre otras.</w:t>
      </w:r>
    </w:p>
    <w:p w14:paraId="739C6109" w14:textId="77777777" w:rsidR="009D132B" w:rsidRPr="00BD1319" w:rsidRDefault="009D132B">
      <w:pPr>
        <w:suppressAutoHyphens/>
        <w:rPr>
          <w:spacing w:val="-3"/>
        </w:rPr>
      </w:pPr>
    </w:p>
    <w:p w14:paraId="51437FFE" w14:textId="5CE8A1BD" w:rsidR="009D132B" w:rsidRPr="00BD1319" w:rsidRDefault="00900A47" w:rsidP="00C86DA5">
      <w:pPr>
        <w:numPr>
          <w:ilvl w:val="0"/>
          <w:numId w:val="116"/>
        </w:numPr>
        <w:tabs>
          <w:tab w:val="clear" w:pos="360"/>
        </w:tabs>
        <w:suppressAutoHyphens/>
        <w:ind w:left="567" w:hanging="567"/>
        <w:rPr>
          <w:spacing w:val="-3"/>
        </w:rPr>
      </w:pPr>
      <w:r w:rsidRPr="00BD1319">
        <w:rPr>
          <w:spacing w:val="-3"/>
        </w:rPr>
        <w:t xml:space="preserve">Determinación </w:t>
      </w:r>
      <w:r w:rsidR="009D132B" w:rsidRPr="00BD1319">
        <w:rPr>
          <w:spacing w:val="-3"/>
        </w:rPr>
        <w:t>de las unidades litológicas y situación geológico-estructural a lo largo del corredor del túnel, que permita conocer la condición geológica del macizo rocoso. Para este propósito se requiere esquematizar el modelo en planta y perfiles longitudinales y transversales a la escala que establezcan los términos de referencia, o a una más detallada si el análisis lo requiere, dependiendo de la longitud del túnel, considerando siempre que se debe brindar la suficiente claridad e ilustración para una adecuada comprensión de las condiciones geológicas de</w:t>
      </w:r>
      <w:r w:rsidR="00AF156E" w:rsidRPr="00BD1319">
        <w:rPr>
          <w:spacing w:val="-3"/>
        </w:rPr>
        <w:t xml:space="preserve"> la zona del </w:t>
      </w:r>
      <w:r w:rsidR="009D132B" w:rsidRPr="00BD1319">
        <w:rPr>
          <w:spacing w:val="-3"/>
        </w:rPr>
        <w:t>túnel propuesto.</w:t>
      </w:r>
    </w:p>
    <w:p w14:paraId="25921881" w14:textId="77777777" w:rsidR="009D132B" w:rsidRPr="00BD1319" w:rsidRDefault="009D132B">
      <w:pPr>
        <w:suppressAutoHyphens/>
        <w:rPr>
          <w:spacing w:val="-3"/>
        </w:rPr>
      </w:pPr>
    </w:p>
    <w:p w14:paraId="70C2CF8C" w14:textId="73FADF80" w:rsidR="009D132B" w:rsidRPr="00BD1319" w:rsidRDefault="009D132B" w:rsidP="00C86DA5">
      <w:pPr>
        <w:numPr>
          <w:ilvl w:val="0"/>
          <w:numId w:val="116"/>
        </w:numPr>
        <w:tabs>
          <w:tab w:val="clear" w:pos="360"/>
        </w:tabs>
        <w:suppressAutoHyphens/>
        <w:ind w:left="567" w:hanging="567"/>
        <w:rPr>
          <w:spacing w:val="-3"/>
        </w:rPr>
      </w:pPr>
      <w:r w:rsidRPr="00BD1319">
        <w:rPr>
          <w:spacing w:val="-3"/>
        </w:rPr>
        <w:t xml:space="preserve">Caracterización del macizo rocoso, </w:t>
      </w:r>
      <w:r w:rsidR="002A6D28" w:rsidRPr="00BD1319">
        <w:rPr>
          <w:spacing w:val="-3"/>
        </w:rPr>
        <w:t xml:space="preserve">determinación </w:t>
      </w:r>
      <w:r w:rsidRPr="00BD1319">
        <w:rPr>
          <w:spacing w:val="-3"/>
        </w:rPr>
        <w:t xml:space="preserve">del estado de las discontinuidades y análisis cinemático del macizo para establecer la posibilidad de falla por la alteración del contorno del túnel. La caracterización del macizo rocoso debe diferenciar los dominios estructurales y la capacidad hidrogeológica; asimismo, se debe anexar el registro de </w:t>
      </w:r>
      <w:r w:rsidR="003C70CD" w:rsidRPr="00BD1319">
        <w:rPr>
          <w:spacing w:val="-3"/>
        </w:rPr>
        <w:t xml:space="preserve">los </w:t>
      </w:r>
      <w:r w:rsidRPr="00BD1319">
        <w:rPr>
          <w:spacing w:val="-3"/>
        </w:rPr>
        <w:t>datos</w:t>
      </w:r>
      <w:r w:rsidR="00AF156E" w:rsidRPr="00BD1319">
        <w:rPr>
          <w:spacing w:val="-3"/>
        </w:rPr>
        <w:t xml:space="preserve"> </w:t>
      </w:r>
      <w:r w:rsidRPr="00BD1319">
        <w:rPr>
          <w:spacing w:val="-3"/>
        </w:rPr>
        <w:t>estructurales levantados en campo.</w:t>
      </w:r>
    </w:p>
    <w:p w14:paraId="7CA12105" w14:textId="77777777" w:rsidR="009D132B" w:rsidRPr="00BD1319" w:rsidRDefault="009D132B">
      <w:pPr>
        <w:suppressAutoHyphens/>
        <w:rPr>
          <w:spacing w:val="-3"/>
        </w:rPr>
      </w:pPr>
    </w:p>
    <w:p w14:paraId="4C7CC410" w14:textId="607CBBC3" w:rsidR="009D132B" w:rsidRPr="00BD1319" w:rsidRDefault="00900A47" w:rsidP="00C86DA5">
      <w:pPr>
        <w:numPr>
          <w:ilvl w:val="0"/>
          <w:numId w:val="116"/>
        </w:numPr>
        <w:tabs>
          <w:tab w:val="clear" w:pos="360"/>
        </w:tabs>
        <w:suppressAutoHyphens/>
        <w:ind w:left="567" w:hanging="567"/>
        <w:rPr>
          <w:spacing w:val="-3"/>
        </w:rPr>
      </w:pPr>
      <w:r w:rsidRPr="00BD1319">
        <w:rPr>
          <w:spacing w:val="-3"/>
        </w:rPr>
        <w:t xml:space="preserve">Determinación </w:t>
      </w:r>
      <w:r w:rsidR="009D132B" w:rsidRPr="00BD1319">
        <w:rPr>
          <w:spacing w:val="-3"/>
        </w:rPr>
        <w:t>de tramos con diferentes calidades de roca y zonificación geológica a lo largo de los ejes de los túneles y en el contorno de las casas de máquinas, dependiendo del estado del macizo (roca sana, roca parcialmente meteorizada, roca fracturada, roca alterada hidrotermalmente, corredores de falla, entre otras).</w:t>
      </w:r>
    </w:p>
    <w:p w14:paraId="697A6E68" w14:textId="77777777" w:rsidR="009D132B" w:rsidRPr="00BD1319" w:rsidRDefault="009D132B">
      <w:pPr>
        <w:suppressAutoHyphens/>
        <w:rPr>
          <w:spacing w:val="-3"/>
        </w:rPr>
      </w:pPr>
    </w:p>
    <w:p w14:paraId="18EA6865" w14:textId="77777777" w:rsidR="009D132B" w:rsidRPr="00BD1319" w:rsidRDefault="009D132B" w:rsidP="00C86DA5">
      <w:pPr>
        <w:numPr>
          <w:ilvl w:val="0"/>
          <w:numId w:val="116"/>
        </w:numPr>
        <w:tabs>
          <w:tab w:val="clear" w:pos="360"/>
        </w:tabs>
        <w:suppressAutoHyphens/>
        <w:ind w:left="567" w:hanging="567"/>
        <w:rPr>
          <w:spacing w:val="-3"/>
        </w:rPr>
      </w:pPr>
      <w:r w:rsidRPr="00BD1319">
        <w:rPr>
          <w:spacing w:val="-3"/>
        </w:rPr>
        <w:lastRenderedPageBreak/>
        <w:t xml:space="preserve">Mapa de formaciones superficiales en términos del origen y estado de material aflorante y su condición como material de ingeniería, diferenciándolo entre suelo depositado, suelo residual, roca meteorizada, </w:t>
      </w:r>
      <w:proofErr w:type="spellStart"/>
      <w:r w:rsidRPr="00BD1319">
        <w:rPr>
          <w:spacing w:val="-3"/>
        </w:rPr>
        <w:t>saprolito</w:t>
      </w:r>
      <w:proofErr w:type="spellEnd"/>
      <w:r w:rsidRPr="00BD1319">
        <w:rPr>
          <w:spacing w:val="-3"/>
        </w:rPr>
        <w:t>, rellenos antrópicos, entre otros.</w:t>
      </w:r>
    </w:p>
    <w:p w14:paraId="73B3B1A5" w14:textId="77777777" w:rsidR="009D132B" w:rsidRPr="00BD1319" w:rsidRDefault="009D132B">
      <w:pPr>
        <w:numPr>
          <w:ilvl w:val="12"/>
          <w:numId w:val="0"/>
        </w:numPr>
        <w:tabs>
          <w:tab w:val="left" w:pos="-2268"/>
        </w:tabs>
        <w:suppressAutoHyphens/>
        <w:rPr>
          <w:spacing w:val="-3"/>
        </w:rPr>
      </w:pPr>
    </w:p>
    <w:p w14:paraId="4FB307AB" w14:textId="2807CD00" w:rsidR="009D132B" w:rsidRPr="00BD1319" w:rsidRDefault="009D132B">
      <w:pPr>
        <w:numPr>
          <w:ilvl w:val="12"/>
          <w:numId w:val="0"/>
        </w:numPr>
        <w:tabs>
          <w:tab w:val="left" w:pos="-2268"/>
        </w:tabs>
        <w:suppressAutoHyphens/>
        <w:rPr>
          <w:spacing w:val="-3"/>
        </w:rPr>
      </w:pPr>
      <w:r w:rsidRPr="00BD1319">
        <w:rPr>
          <w:spacing w:val="-3"/>
        </w:rPr>
        <w:t xml:space="preserve">Esta información debe ser ajustada a partir de datos existentes, utilizando las técnicas disponibles y </w:t>
      </w:r>
      <w:r w:rsidRPr="00BD1319">
        <w:rPr>
          <w:rFonts w:cs="Arial"/>
          <w:spacing w:val="-3"/>
        </w:rPr>
        <w:t xml:space="preserve">manteniendo </w:t>
      </w:r>
      <w:r w:rsidRPr="00BD1319">
        <w:rPr>
          <w:spacing w:val="-3"/>
        </w:rPr>
        <w:t xml:space="preserve">consistencia con la nomenclatura geológica nacional establecida por el SGC, así como con la establecida en los rangos de dominio </w:t>
      </w:r>
      <w:r w:rsidRPr="00BD1319">
        <w:rPr>
          <w:rFonts w:cs="Arial"/>
          <w:spacing w:val="-3"/>
        </w:rPr>
        <w:t xml:space="preserve">del Modelo </w:t>
      </w:r>
      <w:r w:rsidRPr="00BD1319">
        <w:rPr>
          <w:spacing w:val="-3"/>
        </w:rPr>
        <w:t xml:space="preserve">de </w:t>
      </w:r>
      <w:r w:rsidRPr="00BD1319">
        <w:rPr>
          <w:rFonts w:cs="Arial"/>
          <w:spacing w:val="-3"/>
        </w:rPr>
        <w:t>Almacenamiento Geográfico.</w:t>
      </w:r>
      <w:r w:rsidRPr="00BD1319">
        <w:rPr>
          <w:spacing w:val="-3"/>
        </w:rPr>
        <w:t xml:space="preserve"> La información cartográfica general del proyecto</w:t>
      </w:r>
      <w:r w:rsidR="00C92C16" w:rsidRPr="00BD1319">
        <w:rPr>
          <w:spacing w:val="-3"/>
        </w:rPr>
        <w:t>, obra o actividad</w:t>
      </w:r>
      <w:r w:rsidRPr="00BD1319">
        <w:rPr>
          <w:spacing w:val="-3"/>
        </w:rPr>
        <w:t xml:space="preserve"> debe presentarse a la escala que establezcan los términos de referencia, o a una más detallada si las características </w:t>
      </w:r>
      <w:r w:rsidR="004A21E7" w:rsidRPr="00BD1319">
        <w:rPr>
          <w:spacing w:val="-3"/>
        </w:rPr>
        <w:t>de este</w:t>
      </w:r>
      <w:r w:rsidRPr="00BD1319">
        <w:rPr>
          <w:spacing w:val="-3"/>
        </w:rPr>
        <w:t xml:space="preserve"> así lo requieren.</w:t>
      </w:r>
    </w:p>
    <w:p w14:paraId="223A075C" w14:textId="77777777" w:rsidR="009D132B" w:rsidRPr="00BD1319" w:rsidRDefault="009D132B">
      <w:pPr>
        <w:numPr>
          <w:ilvl w:val="12"/>
          <w:numId w:val="0"/>
        </w:numPr>
        <w:tabs>
          <w:tab w:val="left" w:pos="-2268"/>
        </w:tabs>
        <w:suppressAutoHyphens/>
        <w:rPr>
          <w:spacing w:val="-3"/>
        </w:rPr>
      </w:pPr>
    </w:p>
    <w:p w14:paraId="27391EE7" w14:textId="77777777" w:rsidR="009D132B" w:rsidRPr="00BD1319" w:rsidRDefault="009D132B" w:rsidP="009420F5">
      <w:pPr>
        <w:pStyle w:val="Ttulo4"/>
        <w:tabs>
          <w:tab w:val="clear" w:pos="1844"/>
          <w:tab w:val="num" w:pos="1134"/>
        </w:tabs>
        <w:ind w:left="0"/>
        <w:rPr>
          <w:lang w:val="es-CO"/>
        </w:rPr>
      </w:pPr>
      <w:r w:rsidRPr="00BD1319">
        <w:rPr>
          <w:lang w:val="es-CO"/>
        </w:rPr>
        <w:t>Sismicidad</w:t>
      </w:r>
    </w:p>
    <w:p w14:paraId="55634C86" w14:textId="77777777" w:rsidR="009D132B" w:rsidRPr="00BD1319" w:rsidRDefault="009D132B">
      <w:pPr>
        <w:numPr>
          <w:ilvl w:val="12"/>
          <w:numId w:val="0"/>
        </w:numPr>
        <w:tabs>
          <w:tab w:val="left" w:pos="-2268"/>
        </w:tabs>
        <w:suppressAutoHyphens/>
        <w:rPr>
          <w:spacing w:val="-3"/>
        </w:rPr>
      </w:pPr>
    </w:p>
    <w:p w14:paraId="5D7B8AE4" w14:textId="37689983" w:rsidR="009D132B" w:rsidRPr="00BD1319" w:rsidRDefault="009D132B">
      <w:pPr>
        <w:numPr>
          <w:ilvl w:val="12"/>
          <w:numId w:val="0"/>
        </w:numPr>
        <w:tabs>
          <w:tab w:val="left" w:pos="-2268"/>
        </w:tabs>
        <w:suppressAutoHyphens/>
        <w:rPr>
          <w:spacing w:val="-3"/>
        </w:rPr>
      </w:pPr>
      <w:r w:rsidRPr="00BD1319">
        <w:rPr>
          <w:spacing w:val="-3"/>
        </w:rPr>
        <w:t xml:space="preserve">Presentar una descripción de la sismicidad existente en el área de influencia del </w:t>
      </w:r>
      <w:r w:rsidR="00F863C9" w:rsidRPr="00BD1319">
        <w:rPr>
          <w:rFonts w:cs="Arial"/>
          <w:spacing w:val="-3"/>
        </w:rPr>
        <w:t>componente</w:t>
      </w:r>
      <w:r w:rsidRPr="00BD1319">
        <w:rPr>
          <w:spacing w:val="-3"/>
        </w:rPr>
        <w:t>, a partir de la información evaluada para definir el emplazamiento, diseño, construcción y operación del proyecto</w:t>
      </w:r>
      <w:r w:rsidR="00D6783F" w:rsidRPr="00BD1319">
        <w:rPr>
          <w:spacing w:val="-3"/>
        </w:rPr>
        <w:t>, obra o actividad</w:t>
      </w:r>
      <w:r w:rsidRPr="00BD1319">
        <w:rPr>
          <w:spacing w:val="-3"/>
        </w:rPr>
        <w:t>.</w:t>
      </w:r>
    </w:p>
    <w:p w14:paraId="678C4157" w14:textId="77777777" w:rsidR="009D132B" w:rsidRPr="00BD1319" w:rsidRDefault="009D132B">
      <w:pPr>
        <w:numPr>
          <w:ilvl w:val="12"/>
          <w:numId w:val="0"/>
        </w:numPr>
        <w:tabs>
          <w:tab w:val="left" w:pos="-2268"/>
        </w:tabs>
        <w:suppressAutoHyphens/>
        <w:rPr>
          <w:spacing w:val="-3"/>
        </w:rPr>
      </w:pPr>
    </w:p>
    <w:p w14:paraId="0AB391C2" w14:textId="3CA48B4D" w:rsidR="009D132B" w:rsidRPr="00BD1319" w:rsidRDefault="009D132B">
      <w:pPr>
        <w:numPr>
          <w:ilvl w:val="12"/>
          <w:numId w:val="0"/>
        </w:numPr>
        <w:tabs>
          <w:tab w:val="left" w:pos="-2268"/>
        </w:tabs>
        <w:suppressAutoHyphens/>
        <w:rPr>
          <w:spacing w:val="-3"/>
        </w:rPr>
      </w:pPr>
      <w:r w:rsidRPr="00BD1319">
        <w:rPr>
          <w:spacing w:val="-3"/>
        </w:rPr>
        <w:t xml:space="preserve">Presentar el análisis de la información de sismos históricos y su relación con las fallas geológicas cartografiadas, el desarrollo de deslizamientos, los flujos torrenciales, o en general con </w:t>
      </w:r>
      <w:r w:rsidR="00D6783F" w:rsidRPr="00BD1319">
        <w:rPr>
          <w:spacing w:val="-3"/>
        </w:rPr>
        <w:t xml:space="preserve">los </w:t>
      </w:r>
      <w:r w:rsidRPr="00BD1319">
        <w:rPr>
          <w:spacing w:val="-3"/>
        </w:rPr>
        <w:t>procesos denudativos o de transporte de masas.</w:t>
      </w:r>
    </w:p>
    <w:p w14:paraId="25EB6937" w14:textId="77777777" w:rsidR="009D132B" w:rsidRPr="00BD1319" w:rsidRDefault="009D132B">
      <w:pPr>
        <w:numPr>
          <w:ilvl w:val="12"/>
          <w:numId w:val="0"/>
        </w:numPr>
        <w:tabs>
          <w:tab w:val="left" w:pos="-2268"/>
        </w:tabs>
        <w:suppressAutoHyphens/>
        <w:rPr>
          <w:spacing w:val="-3"/>
        </w:rPr>
      </w:pPr>
    </w:p>
    <w:p w14:paraId="53301D20" w14:textId="1A76BB26" w:rsidR="009D132B" w:rsidRPr="00BD1319" w:rsidRDefault="009D132B">
      <w:pPr>
        <w:numPr>
          <w:ilvl w:val="12"/>
          <w:numId w:val="0"/>
        </w:numPr>
        <w:tabs>
          <w:tab w:val="left" w:pos="-2268"/>
        </w:tabs>
        <w:suppressAutoHyphens/>
        <w:rPr>
          <w:spacing w:val="-3"/>
        </w:rPr>
      </w:pPr>
      <w:r w:rsidRPr="00BD1319">
        <w:rPr>
          <w:spacing w:val="-3"/>
        </w:rPr>
        <w:t>Considerar, para la información de eventos sísmicos históricos</w:t>
      </w:r>
      <w:r w:rsidRPr="00BD1319">
        <w:rPr>
          <w:rFonts w:cs="Arial"/>
          <w:spacing w:val="-3"/>
        </w:rPr>
        <w:t xml:space="preserve"> a nivel regional</w:t>
      </w:r>
      <w:r w:rsidRPr="00BD1319">
        <w:rPr>
          <w:spacing w:val="-3"/>
        </w:rPr>
        <w:t>, el registro existente en el catálogo de la Red Sismológica Nacional de Colombia (RSNC</w:t>
      </w:r>
      <w:r w:rsidRPr="00BD1319">
        <w:rPr>
          <w:rFonts w:cs="Arial"/>
          <w:spacing w:val="-3"/>
        </w:rPr>
        <w:t>),</w:t>
      </w:r>
      <w:r w:rsidRPr="00BD1319">
        <w:rPr>
          <w:spacing w:val="-3"/>
        </w:rPr>
        <w:t xml:space="preserve"> de acuerdo con lo establecido por la Norma Colombiana de Construcción Sismo Resistente de 2010 (NSR-10).</w:t>
      </w:r>
    </w:p>
    <w:p w14:paraId="77DA2CAA" w14:textId="77777777" w:rsidR="009D132B" w:rsidRPr="00BD1319" w:rsidRDefault="009D132B">
      <w:pPr>
        <w:numPr>
          <w:ilvl w:val="12"/>
          <w:numId w:val="0"/>
        </w:numPr>
        <w:tabs>
          <w:tab w:val="left" w:pos="-2268"/>
        </w:tabs>
        <w:suppressAutoHyphens/>
        <w:rPr>
          <w:spacing w:val="-3"/>
        </w:rPr>
      </w:pPr>
    </w:p>
    <w:p w14:paraId="07F06003" w14:textId="77777777" w:rsidR="009D132B" w:rsidRPr="00BD1319" w:rsidRDefault="009D132B" w:rsidP="009420F5">
      <w:pPr>
        <w:pStyle w:val="Ttulo4"/>
        <w:tabs>
          <w:tab w:val="clear" w:pos="1844"/>
          <w:tab w:val="num" w:pos="1134"/>
        </w:tabs>
        <w:ind w:left="0"/>
        <w:rPr>
          <w:lang w:val="es-CO"/>
        </w:rPr>
      </w:pPr>
      <w:bookmarkStart w:id="2614" w:name="_Toc515793407"/>
      <w:bookmarkStart w:id="2615" w:name="_Toc515794312"/>
      <w:bookmarkStart w:id="2616" w:name="_Toc515793408"/>
      <w:bookmarkStart w:id="2617" w:name="_Toc515794313"/>
      <w:bookmarkStart w:id="2618" w:name="_Toc515793409"/>
      <w:bookmarkStart w:id="2619" w:name="_Toc515794314"/>
      <w:bookmarkStart w:id="2620" w:name="_Toc515793410"/>
      <w:bookmarkStart w:id="2621" w:name="_Toc515794315"/>
      <w:bookmarkStart w:id="2622" w:name="_Toc515793411"/>
      <w:bookmarkStart w:id="2623" w:name="_Toc515794316"/>
      <w:bookmarkStart w:id="2624" w:name="_Toc515793412"/>
      <w:bookmarkStart w:id="2625" w:name="_Toc515794317"/>
      <w:bookmarkStart w:id="2626" w:name="_Toc515793413"/>
      <w:bookmarkStart w:id="2627" w:name="_Toc515794318"/>
      <w:bookmarkStart w:id="2628" w:name="_Toc515793414"/>
      <w:bookmarkStart w:id="2629" w:name="_Toc515794319"/>
      <w:bookmarkStart w:id="2630" w:name="_Toc515793415"/>
      <w:bookmarkStart w:id="2631" w:name="_Toc515794320"/>
      <w:bookmarkStart w:id="2632" w:name="_Toc515793416"/>
      <w:bookmarkStart w:id="2633" w:name="_Toc515794321"/>
      <w:bookmarkStart w:id="2634" w:name="_Toc515793417"/>
      <w:bookmarkStart w:id="2635" w:name="_Toc515794322"/>
      <w:bookmarkStart w:id="2636" w:name="_Toc515793418"/>
      <w:bookmarkStart w:id="2637" w:name="_Toc515794323"/>
      <w:bookmarkStart w:id="2638" w:name="_Toc515793419"/>
      <w:bookmarkStart w:id="2639" w:name="_Toc515794324"/>
      <w:bookmarkStart w:id="2640" w:name="_Toc515793420"/>
      <w:bookmarkStart w:id="2641" w:name="_Toc515794325"/>
      <w:bookmarkStart w:id="2642" w:name="_Toc412812761"/>
      <w:bookmarkStart w:id="2643" w:name="_Toc437936017"/>
      <w:bookmarkStart w:id="2644" w:name="_Ref32416087"/>
      <w:bookmarkStart w:id="2645" w:name="_Ref32416090"/>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r w:rsidRPr="00BD1319">
        <w:rPr>
          <w:lang w:val="es-CO"/>
        </w:rPr>
        <w:t>Geomorfología</w:t>
      </w:r>
      <w:bookmarkEnd w:id="2642"/>
      <w:bookmarkEnd w:id="2643"/>
      <w:bookmarkEnd w:id="2644"/>
      <w:bookmarkEnd w:id="2645"/>
    </w:p>
    <w:p w14:paraId="2B9FF615" w14:textId="77777777" w:rsidR="009D132B" w:rsidRPr="00BD1319" w:rsidRDefault="009D132B">
      <w:pPr>
        <w:numPr>
          <w:ilvl w:val="12"/>
          <w:numId w:val="0"/>
        </w:numPr>
        <w:tabs>
          <w:tab w:val="left" w:pos="-2268"/>
        </w:tabs>
        <w:suppressAutoHyphens/>
        <w:rPr>
          <w:b/>
          <w:spacing w:val="-3"/>
        </w:rPr>
      </w:pPr>
    </w:p>
    <w:p w14:paraId="32B056CD" w14:textId="31B8BAD1" w:rsidR="009D132B" w:rsidRPr="00BD1319" w:rsidRDefault="009D132B">
      <w:pPr>
        <w:numPr>
          <w:ilvl w:val="12"/>
          <w:numId w:val="0"/>
        </w:numPr>
        <w:tabs>
          <w:tab w:val="left" w:pos="-2268"/>
        </w:tabs>
        <w:suppressAutoHyphens/>
        <w:rPr>
          <w:spacing w:val="-3"/>
        </w:rPr>
      </w:pPr>
      <w:r w:rsidRPr="00BD1319">
        <w:rPr>
          <w:spacing w:val="-3"/>
        </w:rPr>
        <w:t xml:space="preserve">Efectuar una caracterización de las geoformas y su </w:t>
      </w:r>
      <w:r w:rsidRPr="00BD1319">
        <w:rPr>
          <w:rFonts w:cs="Arial"/>
          <w:spacing w:val="-3"/>
        </w:rPr>
        <w:t>análisis morfodinámico</w:t>
      </w:r>
      <w:r w:rsidRPr="00BD1319">
        <w:rPr>
          <w:spacing w:val="-3"/>
        </w:rPr>
        <w:t xml:space="preserve"> en el área de influencia del </w:t>
      </w:r>
      <w:r w:rsidR="00F863C9" w:rsidRPr="00BD1319">
        <w:rPr>
          <w:rFonts w:cs="Arial"/>
          <w:spacing w:val="-3"/>
        </w:rPr>
        <w:t>componente</w:t>
      </w:r>
      <w:r w:rsidRPr="00BD1319">
        <w:rPr>
          <w:spacing w:val="-3"/>
        </w:rPr>
        <w:t>, incluyendo la génesis de las diferentes unidades y su evolución, rangos de pendientes, patrón y densidad de drenaje, entre otr</w:t>
      </w:r>
      <w:r w:rsidR="00D6783F" w:rsidRPr="00BD1319">
        <w:rPr>
          <w:spacing w:val="-3"/>
        </w:rPr>
        <w:t>a</w:t>
      </w:r>
      <w:r w:rsidRPr="00BD1319">
        <w:rPr>
          <w:spacing w:val="-3"/>
        </w:rPr>
        <w:t>s</w:t>
      </w:r>
      <w:r w:rsidR="00D6783F" w:rsidRPr="00BD1319">
        <w:rPr>
          <w:spacing w:val="-3"/>
        </w:rPr>
        <w:t xml:space="preserve"> propiedades</w:t>
      </w:r>
      <w:r w:rsidRPr="00BD1319">
        <w:rPr>
          <w:spacing w:val="-3"/>
        </w:rPr>
        <w:t>.</w:t>
      </w:r>
      <w:r w:rsidRPr="00BD1319">
        <w:rPr>
          <w:rFonts w:cs="Arial"/>
          <w:spacing w:val="-3"/>
        </w:rPr>
        <w:t xml:space="preserve"> Definir las formas del terreno, aplicando el nivel jerárquico de información </w:t>
      </w:r>
      <w:r w:rsidR="00D6783F" w:rsidRPr="00BD1319">
        <w:rPr>
          <w:rFonts w:cs="Arial"/>
          <w:spacing w:val="-3"/>
        </w:rPr>
        <w:t xml:space="preserve">establecido </w:t>
      </w:r>
      <w:r w:rsidRPr="00BD1319">
        <w:rPr>
          <w:rFonts w:cs="Arial"/>
          <w:spacing w:val="-3"/>
        </w:rPr>
        <w:t>por alguna de las metodologías vigentes (IGAC</w:t>
      </w:r>
      <w:r w:rsidR="00C817D4" w:rsidRPr="00BD1319">
        <w:rPr>
          <w:rFonts w:cs="Arial"/>
          <w:spacing w:val="-3"/>
        </w:rPr>
        <w:t xml:space="preserve"> o</w:t>
      </w:r>
      <w:r w:rsidRPr="00BD1319">
        <w:rPr>
          <w:rFonts w:cs="Arial"/>
          <w:spacing w:val="-3"/>
        </w:rPr>
        <w:t xml:space="preserve"> SGC) o aquellas que las modifiquen o sustituyan y </w:t>
      </w:r>
      <w:r w:rsidR="00D6783F" w:rsidRPr="00BD1319">
        <w:rPr>
          <w:rFonts w:cs="Arial"/>
          <w:spacing w:val="-3"/>
        </w:rPr>
        <w:t xml:space="preserve">considerando </w:t>
      </w:r>
      <w:r w:rsidRPr="00BD1319">
        <w:rPr>
          <w:rFonts w:cs="Arial"/>
          <w:spacing w:val="-3"/>
        </w:rPr>
        <w:t xml:space="preserve">su relación espacial con las actividades y manifestación de los impactos en el componente </w:t>
      </w:r>
      <w:r w:rsidR="008C36B6" w:rsidRPr="00BD1319">
        <w:rPr>
          <w:rFonts w:cs="Arial"/>
          <w:spacing w:val="-3"/>
        </w:rPr>
        <w:t>edafológico</w:t>
      </w:r>
      <w:r w:rsidRPr="00BD1319">
        <w:rPr>
          <w:rFonts w:cs="Arial"/>
          <w:spacing w:val="-3"/>
        </w:rPr>
        <w:t>. Se debe tener en cuenta la escala requerida en los términos de referencia.</w:t>
      </w:r>
    </w:p>
    <w:p w14:paraId="31FEC1C7" w14:textId="77777777" w:rsidR="009D132B" w:rsidRPr="00BD1319" w:rsidRDefault="009D132B">
      <w:pPr>
        <w:numPr>
          <w:ilvl w:val="12"/>
          <w:numId w:val="0"/>
        </w:numPr>
        <w:tabs>
          <w:tab w:val="left" w:pos="-2268"/>
        </w:tabs>
        <w:suppressAutoHyphens/>
        <w:rPr>
          <w:spacing w:val="-3"/>
        </w:rPr>
      </w:pPr>
    </w:p>
    <w:p w14:paraId="155CB7D4" w14:textId="7A5D390B" w:rsidR="009D132B" w:rsidRPr="00BD1319" w:rsidRDefault="009D132B">
      <w:pPr>
        <w:numPr>
          <w:ilvl w:val="12"/>
          <w:numId w:val="0"/>
        </w:numPr>
        <w:tabs>
          <w:tab w:val="left" w:pos="-2268"/>
        </w:tabs>
        <w:suppressAutoHyphens/>
        <w:rPr>
          <w:spacing w:val="-3"/>
        </w:rPr>
      </w:pPr>
      <w:r w:rsidRPr="00BD1319">
        <w:rPr>
          <w:spacing w:val="-3"/>
        </w:rPr>
        <w:t>Cartografiar de manera precisa los procesos erosivos y</w:t>
      </w:r>
      <w:r w:rsidRPr="00BD1319">
        <w:rPr>
          <w:rFonts w:cs="Arial"/>
          <w:spacing w:val="-3"/>
        </w:rPr>
        <w:t xml:space="preserve"> morfodinámicos (antrópicos y naturales), así como los procesos</w:t>
      </w:r>
      <w:r w:rsidRPr="00BD1319">
        <w:rPr>
          <w:spacing w:val="-3"/>
        </w:rPr>
        <w:t xml:space="preserve"> de inestabilidad por movimientos en masa e intervención antrópica (</w:t>
      </w:r>
      <w:r w:rsidR="00041844" w:rsidRPr="00BD1319">
        <w:rPr>
          <w:spacing w:val="-3"/>
        </w:rPr>
        <w:t>p. ej.</w:t>
      </w:r>
      <w:r w:rsidRPr="00BD1319">
        <w:rPr>
          <w:spacing w:val="-3"/>
        </w:rPr>
        <w:t xml:space="preserve"> vías, rellenos, adecuaciones urbanísticas), en el área </w:t>
      </w:r>
      <w:r w:rsidR="00C817D4" w:rsidRPr="00BD1319">
        <w:rPr>
          <w:rFonts w:cs="Arial"/>
          <w:spacing w:val="-3"/>
        </w:rPr>
        <w:t xml:space="preserve">de </w:t>
      </w:r>
      <w:r w:rsidR="00235986" w:rsidRPr="00BD1319">
        <w:rPr>
          <w:rFonts w:cs="Arial"/>
          <w:spacing w:val="-3"/>
        </w:rPr>
        <w:t>influencia del componente</w:t>
      </w:r>
      <w:r w:rsidRPr="00BD1319">
        <w:rPr>
          <w:rFonts w:cs="Arial"/>
          <w:spacing w:val="-3"/>
        </w:rPr>
        <w:t>; para este propósito, se</w:t>
      </w:r>
      <w:r w:rsidRPr="00BD1319">
        <w:rPr>
          <w:spacing w:val="-3"/>
        </w:rPr>
        <w:t xml:space="preserve"> debe efectuar un análisis </w:t>
      </w:r>
      <w:r w:rsidRPr="00BD1319">
        <w:rPr>
          <w:spacing w:val="-3"/>
        </w:rPr>
        <w:lastRenderedPageBreak/>
        <w:t xml:space="preserve">multitemporal con base en interpretación de fotografías aéreas e imágenes de sensores remotos que permita evaluar la dinámica de dichos procesos </w:t>
      </w:r>
      <w:r w:rsidR="00F863C9" w:rsidRPr="00BD1319">
        <w:rPr>
          <w:spacing w:val="-3"/>
        </w:rPr>
        <w:t xml:space="preserve">en el área de influencia del componente, </w:t>
      </w:r>
      <w:r w:rsidR="00F863C9" w:rsidRPr="00BD1319">
        <w:rPr>
          <w:rFonts w:cs="Arial"/>
          <w:spacing w:val="-3"/>
        </w:rPr>
        <w:t>utilizando un rango de tiempo no inferior a 50 años de acuerdo con la información disponible, para lo cual se debe presentar el soporte de la gestión adelantada frente a la autoridad competente</w:t>
      </w:r>
      <w:r w:rsidRPr="00BD1319">
        <w:rPr>
          <w:spacing w:val="-3"/>
        </w:rPr>
        <w:t>.</w:t>
      </w:r>
    </w:p>
    <w:p w14:paraId="2104ECE6" w14:textId="77777777" w:rsidR="009D132B" w:rsidRPr="00BD1319" w:rsidRDefault="009D132B">
      <w:pPr>
        <w:numPr>
          <w:ilvl w:val="12"/>
          <w:numId w:val="0"/>
        </w:numPr>
        <w:tabs>
          <w:tab w:val="left" w:pos="-2268"/>
        </w:tabs>
        <w:suppressAutoHyphens/>
        <w:rPr>
          <w:spacing w:val="-3"/>
        </w:rPr>
      </w:pPr>
    </w:p>
    <w:p w14:paraId="550105D3" w14:textId="4CD381A3" w:rsidR="009D132B" w:rsidRPr="00BD1319" w:rsidRDefault="009D132B">
      <w:pPr>
        <w:numPr>
          <w:ilvl w:val="12"/>
          <w:numId w:val="0"/>
        </w:numPr>
        <w:tabs>
          <w:tab w:val="left" w:pos="-2268"/>
        </w:tabs>
        <w:suppressAutoHyphens/>
        <w:rPr>
          <w:spacing w:val="-3"/>
        </w:rPr>
      </w:pPr>
      <w:r w:rsidRPr="00BD1319">
        <w:rPr>
          <w:rFonts w:cs="Arial"/>
          <w:spacing w:val="-3"/>
        </w:rPr>
        <w:t>En</w:t>
      </w:r>
      <w:r w:rsidRPr="00BD1319">
        <w:rPr>
          <w:spacing w:val="-3"/>
        </w:rPr>
        <w:t xml:space="preserve"> el análisis geomorfológico</w:t>
      </w:r>
      <w:r w:rsidRPr="00BD1319">
        <w:rPr>
          <w:rFonts w:cs="Arial"/>
          <w:spacing w:val="-3"/>
        </w:rPr>
        <w:t xml:space="preserve"> se deben incluir</w:t>
      </w:r>
      <w:r w:rsidRPr="00BD1319">
        <w:rPr>
          <w:spacing w:val="-3"/>
        </w:rPr>
        <w:t xml:space="preserve"> las siguientes variables:</w:t>
      </w:r>
    </w:p>
    <w:p w14:paraId="23495A6D" w14:textId="77777777" w:rsidR="009D132B" w:rsidRPr="00BD1319" w:rsidRDefault="009D132B">
      <w:pPr>
        <w:numPr>
          <w:ilvl w:val="12"/>
          <w:numId w:val="0"/>
        </w:numPr>
        <w:tabs>
          <w:tab w:val="left" w:pos="-2268"/>
        </w:tabs>
        <w:suppressAutoHyphens/>
        <w:rPr>
          <w:spacing w:val="-3"/>
        </w:rPr>
      </w:pPr>
    </w:p>
    <w:p w14:paraId="501EDB38" w14:textId="68EC6FA0" w:rsidR="009D132B" w:rsidRPr="00BD1319" w:rsidRDefault="009D132B" w:rsidP="00C86DA5">
      <w:pPr>
        <w:numPr>
          <w:ilvl w:val="0"/>
          <w:numId w:val="19"/>
        </w:numPr>
        <w:tabs>
          <w:tab w:val="left" w:pos="-2268"/>
        </w:tabs>
        <w:suppressAutoHyphens/>
        <w:ind w:left="567" w:hanging="567"/>
        <w:rPr>
          <w:spacing w:val="-3"/>
        </w:rPr>
      </w:pPr>
      <w:r w:rsidRPr="00BD1319">
        <w:rPr>
          <w:spacing w:val="-3"/>
        </w:rPr>
        <w:t xml:space="preserve">Pendientes de acuerdo con los dominios establecidos en </w:t>
      </w:r>
      <w:r w:rsidRPr="00BD1319">
        <w:rPr>
          <w:rFonts w:cs="Arial"/>
          <w:spacing w:val="-3"/>
        </w:rPr>
        <w:t xml:space="preserve">el </w:t>
      </w:r>
      <w:r w:rsidR="008904E9" w:rsidRPr="00BD1319">
        <w:rPr>
          <w:rFonts w:cs="Arial"/>
          <w:spacing w:val="-3"/>
        </w:rPr>
        <w:t>M</w:t>
      </w:r>
      <w:r w:rsidRPr="00BD1319">
        <w:rPr>
          <w:rFonts w:cs="Arial"/>
          <w:spacing w:val="-3"/>
        </w:rPr>
        <w:t xml:space="preserve">odelo de </w:t>
      </w:r>
      <w:r w:rsidR="008904E9" w:rsidRPr="00BD1319">
        <w:rPr>
          <w:rFonts w:cs="Arial"/>
          <w:spacing w:val="-3"/>
        </w:rPr>
        <w:t>Almacenamiento Geográfico (</w:t>
      </w:r>
      <w:r w:rsidRPr="00BD1319">
        <w:rPr>
          <w:rFonts w:cs="Arial"/>
          <w:spacing w:val="-3"/>
        </w:rPr>
        <w:t>MAG</w:t>
      </w:r>
      <w:r w:rsidR="008904E9" w:rsidRPr="00BD1319">
        <w:rPr>
          <w:rFonts w:cs="Arial"/>
          <w:spacing w:val="-3"/>
        </w:rPr>
        <w:t>)</w:t>
      </w:r>
      <w:r w:rsidRPr="00BD1319">
        <w:rPr>
          <w:spacing w:val="-3"/>
        </w:rPr>
        <w:t>.</w:t>
      </w:r>
    </w:p>
    <w:p w14:paraId="4ACCC218" w14:textId="77777777" w:rsidR="009D132B" w:rsidRPr="00BD1319" w:rsidRDefault="009D132B">
      <w:pPr>
        <w:tabs>
          <w:tab w:val="left" w:pos="-2268"/>
        </w:tabs>
        <w:suppressAutoHyphens/>
        <w:rPr>
          <w:spacing w:val="-3"/>
        </w:rPr>
      </w:pPr>
    </w:p>
    <w:p w14:paraId="2C3EE8E3" w14:textId="77777777" w:rsidR="009D132B" w:rsidRPr="00BD1319" w:rsidRDefault="009D132B" w:rsidP="00C86DA5">
      <w:pPr>
        <w:numPr>
          <w:ilvl w:val="0"/>
          <w:numId w:val="19"/>
        </w:numPr>
        <w:tabs>
          <w:tab w:val="left" w:pos="-2268"/>
        </w:tabs>
        <w:suppressAutoHyphens/>
        <w:ind w:left="567" w:hanging="567"/>
        <w:rPr>
          <w:spacing w:val="-3"/>
        </w:rPr>
      </w:pPr>
      <w:r w:rsidRPr="00BD1319">
        <w:rPr>
          <w:spacing w:val="-3"/>
        </w:rPr>
        <w:t>Áreas de erosión activa (erosión laminar, erosión lineal, cárcavas, cicatrices, grietas, canales, surcos, entre otros tipos).</w:t>
      </w:r>
    </w:p>
    <w:p w14:paraId="047921F6" w14:textId="77777777" w:rsidR="009D132B" w:rsidRPr="00BD1319" w:rsidRDefault="009D132B">
      <w:pPr>
        <w:tabs>
          <w:tab w:val="left" w:pos="-2268"/>
        </w:tabs>
        <w:suppressAutoHyphens/>
        <w:rPr>
          <w:spacing w:val="-3"/>
        </w:rPr>
      </w:pPr>
    </w:p>
    <w:p w14:paraId="36189782" w14:textId="77777777" w:rsidR="009D132B" w:rsidRPr="00BD1319" w:rsidRDefault="009D132B" w:rsidP="00C86DA5">
      <w:pPr>
        <w:numPr>
          <w:ilvl w:val="0"/>
          <w:numId w:val="19"/>
        </w:numPr>
        <w:tabs>
          <w:tab w:val="left" w:pos="-2268"/>
        </w:tabs>
        <w:suppressAutoHyphens/>
        <w:ind w:left="567" w:hanging="567"/>
        <w:rPr>
          <w:spacing w:val="-3"/>
        </w:rPr>
      </w:pPr>
      <w:r w:rsidRPr="00BD1319">
        <w:rPr>
          <w:spacing w:val="-3"/>
        </w:rPr>
        <w:t>Áreas de sedimentación activa (conos de talud, abanicos aluviales activos, lóbulos de sedimentación, barras de sedimentación activas, deltas y áreas en subsidencia relativa con acumulación de sedimentos).</w:t>
      </w:r>
    </w:p>
    <w:p w14:paraId="68793875" w14:textId="77777777" w:rsidR="009D132B" w:rsidRPr="00BD1319" w:rsidRDefault="009D132B">
      <w:pPr>
        <w:tabs>
          <w:tab w:val="left" w:pos="-2268"/>
        </w:tabs>
        <w:suppressAutoHyphens/>
        <w:rPr>
          <w:spacing w:val="-3"/>
        </w:rPr>
      </w:pPr>
    </w:p>
    <w:p w14:paraId="0D77BF5E" w14:textId="781A754E" w:rsidR="009D132B" w:rsidRPr="00BD1319" w:rsidRDefault="009D132B" w:rsidP="00C86DA5">
      <w:pPr>
        <w:numPr>
          <w:ilvl w:val="0"/>
          <w:numId w:val="19"/>
        </w:numPr>
        <w:tabs>
          <w:tab w:val="left" w:pos="-2268"/>
        </w:tabs>
        <w:suppressAutoHyphens/>
        <w:ind w:left="567" w:hanging="567"/>
        <w:rPr>
          <w:spacing w:val="-3"/>
        </w:rPr>
      </w:pPr>
      <w:r w:rsidRPr="00BD1319">
        <w:rPr>
          <w:spacing w:val="-3"/>
        </w:rPr>
        <w:t xml:space="preserve">Clasificación geomorfológica que contemple las formaciones superficiales, unidades geomorfológicas, unidades de paisaje y </w:t>
      </w:r>
      <w:proofErr w:type="spellStart"/>
      <w:r w:rsidR="002A4465" w:rsidRPr="00BD1319">
        <w:rPr>
          <w:spacing w:val="-3"/>
        </w:rPr>
        <w:t>sub-paisaje</w:t>
      </w:r>
      <w:proofErr w:type="spellEnd"/>
      <w:r w:rsidRPr="00BD1319">
        <w:rPr>
          <w:spacing w:val="-3"/>
        </w:rPr>
        <w:t>, formas y procesos erosivos dominantes.</w:t>
      </w:r>
    </w:p>
    <w:p w14:paraId="45F52AFA" w14:textId="77777777" w:rsidR="009D132B" w:rsidRPr="00BD1319" w:rsidRDefault="009D132B">
      <w:pPr>
        <w:numPr>
          <w:ilvl w:val="12"/>
          <w:numId w:val="0"/>
        </w:numPr>
        <w:tabs>
          <w:tab w:val="left" w:pos="-2268"/>
        </w:tabs>
        <w:suppressAutoHyphens/>
        <w:rPr>
          <w:spacing w:val="-3"/>
        </w:rPr>
      </w:pPr>
    </w:p>
    <w:p w14:paraId="697E8AA4" w14:textId="01ECE43E" w:rsidR="009D132B" w:rsidRPr="00BD1319" w:rsidRDefault="009D132B" w:rsidP="00C86DA5">
      <w:pPr>
        <w:numPr>
          <w:ilvl w:val="12"/>
          <w:numId w:val="0"/>
        </w:numPr>
        <w:tabs>
          <w:tab w:val="left" w:pos="-2268"/>
        </w:tabs>
        <w:suppressAutoHyphens/>
        <w:rPr>
          <w:spacing w:val="-3"/>
        </w:rPr>
      </w:pPr>
      <w:r w:rsidRPr="00BD1319">
        <w:rPr>
          <w:spacing w:val="-3"/>
        </w:rPr>
        <w:t xml:space="preserve">Con la anterior información se debe </w:t>
      </w:r>
      <w:r w:rsidRPr="00BD1319">
        <w:rPr>
          <w:rFonts w:cs="Arial"/>
          <w:spacing w:val="-3"/>
        </w:rPr>
        <w:t>generar la</w:t>
      </w:r>
      <w:r w:rsidRPr="00BD1319">
        <w:rPr>
          <w:spacing w:val="-3"/>
        </w:rPr>
        <w:t xml:space="preserve"> siguiente</w:t>
      </w:r>
      <w:r w:rsidRPr="00BD1319">
        <w:rPr>
          <w:rFonts w:cs="Arial"/>
          <w:spacing w:val="-3"/>
        </w:rPr>
        <w:t xml:space="preserve"> cartografía temática</w:t>
      </w:r>
      <w:r w:rsidRPr="00BD1319">
        <w:rPr>
          <w:spacing w:val="-3"/>
        </w:rPr>
        <w:t>:</w:t>
      </w:r>
    </w:p>
    <w:p w14:paraId="36999CE8" w14:textId="77777777" w:rsidR="009D132B" w:rsidRPr="00BD1319" w:rsidRDefault="009D132B" w:rsidP="00C86DA5">
      <w:pPr>
        <w:numPr>
          <w:ilvl w:val="12"/>
          <w:numId w:val="0"/>
        </w:numPr>
        <w:tabs>
          <w:tab w:val="left" w:pos="-2268"/>
        </w:tabs>
        <w:suppressAutoHyphens/>
        <w:ind w:left="567" w:hanging="567"/>
        <w:rPr>
          <w:spacing w:val="-3"/>
        </w:rPr>
      </w:pPr>
    </w:p>
    <w:p w14:paraId="3E253644" w14:textId="312FB9B8" w:rsidR="009D132B" w:rsidRPr="00BD1319" w:rsidRDefault="009D132B" w:rsidP="009D132B">
      <w:pPr>
        <w:numPr>
          <w:ilvl w:val="0"/>
          <w:numId w:val="19"/>
        </w:numPr>
        <w:tabs>
          <w:tab w:val="left" w:pos="-2268"/>
        </w:tabs>
        <w:suppressAutoHyphens/>
        <w:ind w:left="567" w:hanging="567"/>
        <w:rPr>
          <w:rFonts w:cs="Arial"/>
          <w:spacing w:val="-3"/>
        </w:rPr>
      </w:pPr>
      <w:r w:rsidRPr="00BD1319">
        <w:rPr>
          <w:rFonts w:cs="Arial"/>
          <w:spacing w:val="-3"/>
        </w:rPr>
        <w:t>Mapa de pendientes</w:t>
      </w:r>
      <w:r w:rsidR="00F863C9" w:rsidRPr="00BD1319">
        <w:rPr>
          <w:rFonts w:cs="Arial"/>
          <w:spacing w:val="-3"/>
        </w:rPr>
        <w:t xml:space="preserve"> de acuerdo con los rangos definidos</w:t>
      </w:r>
      <w:r w:rsidR="00F863C9" w:rsidRPr="00BD1319">
        <w:rPr>
          <w:spacing w:val="-3"/>
        </w:rPr>
        <w:t xml:space="preserve"> en el M</w:t>
      </w:r>
      <w:r w:rsidR="008904E9" w:rsidRPr="00BD1319">
        <w:rPr>
          <w:spacing w:val="-3"/>
        </w:rPr>
        <w:t xml:space="preserve">AG </w:t>
      </w:r>
      <w:r w:rsidR="00F863C9" w:rsidRPr="00BD1319">
        <w:rPr>
          <w:spacing w:val="-3"/>
        </w:rPr>
        <w:t>acogido por la Resolución 2182 de 2016 o aquella que la modifique o sustituya</w:t>
      </w:r>
      <w:r w:rsidRPr="00BD1319">
        <w:rPr>
          <w:rFonts w:cs="Arial"/>
          <w:spacing w:val="-3"/>
        </w:rPr>
        <w:t>.</w:t>
      </w:r>
    </w:p>
    <w:p w14:paraId="349F9B35" w14:textId="77777777" w:rsidR="009D132B" w:rsidRPr="00BD1319" w:rsidRDefault="009D132B" w:rsidP="009420F5">
      <w:pPr>
        <w:numPr>
          <w:ilvl w:val="12"/>
          <w:numId w:val="0"/>
        </w:numPr>
        <w:tabs>
          <w:tab w:val="left" w:pos="-2268"/>
        </w:tabs>
        <w:suppressAutoHyphens/>
        <w:rPr>
          <w:rFonts w:cs="Arial"/>
          <w:spacing w:val="-3"/>
        </w:rPr>
      </w:pPr>
    </w:p>
    <w:p w14:paraId="6A120530" w14:textId="06F5E070" w:rsidR="009D132B" w:rsidRPr="00BD1319" w:rsidRDefault="009D132B" w:rsidP="00C86DA5">
      <w:pPr>
        <w:numPr>
          <w:ilvl w:val="0"/>
          <w:numId w:val="19"/>
        </w:numPr>
        <w:tabs>
          <w:tab w:val="left" w:pos="-2268"/>
        </w:tabs>
        <w:suppressAutoHyphens/>
        <w:ind w:left="567" w:hanging="567"/>
        <w:rPr>
          <w:spacing w:val="-3"/>
        </w:rPr>
      </w:pPr>
      <w:r w:rsidRPr="00BD1319">
        <w:rPr>
          <w:rFonts w:cs="Arial"/>
          <w:spacing w:val="-3"/>
        </w:rPr>
        <w:t>Mapa morfodinámico que presente la</w:t>
      </w:r>
      <w:r w:rsidRPr="00BD1319">
        <w:rPr>
          <w:spacing w:val="-3"/>
        </w:rPr>
        <w:t xml:space="preserve"> caracterización de los procesos </w:t>
      </w:r>
      <w:r w:rsidRPr="00BD1319">
        <w:rPr>
          <w:rFonts w:cs="Arial"/>
          <w:spacing w:val="-3"/>
        </w:rPr>
        <w:t>erosivos y denudativos</w:t>
      </w:r>
      <w:r w:rsidRPr="00BD1319">
        <w:rPr>
          <w:spacing w:val="-3"/>
        </w:rPr>
        <w:t>: área, volumen, pendiente, material afectado (unidad geológica), descripción del material desplazado, humedad natural, presencia del nivel freático, tipo (deslizamientos, flujos, reptación), causas, fuente de la información (fotografías aéreas, im</w:t>
      </w:r>
      <w:r w:rsidR="008904E9" w:rsidRPr="00BD1319">
        <w:rPr>
          <w:spacing w:val="-3"/>
        </w:rPr>
        <w:t>á</w:t>
      </w:r>
      <w:r w:rsidRPr="00BD1319">
        <w:rPr>
          <w:spacing w:val="-3"/>
        </w:rPr>
        <w:t>gen</w:t>
      </w:r>
      <w:r w:rsidR="008904E9" w:rsidRPr="00BD1319">
        <w:rPr>
          <w:spacing w:val="-3"/>
        </w:rPr>
        <w:t>es</w:t>
      </w:r>
      <w:r w:rsidRPr="00BD1319">
        <w:rPr>
          <w:spacing w:val="-3"/>
        </w:rPr>
        <w:t xml:space="preserve"> satelital</w:t>
      </w:r>
      <w:r w:rsidR="008904E9" w:rsidRPr="00BD1319">
        <w:rPr>
          <w:spacing w:val="-3"/>
        </w:rPr>
        <w:t>es</w:t>
      </w:r>
      <w:r w:rsidRPr="00BD1319">
        <w:rPr>
          <w:spacing w:val="-3"/>
        </w:rPr>
        <w:t>, modelo</w:t>
      </w:r>
      <w:r w:rsidR="008904E9" w:rsidRPr="00BD1319">
        <w:rPr>
          <w:spacing w:val="-3"/>
        </w:rPr>
        <w:t>s</w:t>
      </w:r>
      <w:r w:rsidRPr="00BD1319">
        <w:rPr>
          <w:spacing w:val="-3"/>
        </w:rPr>
        <w:t xml:space="preserve"> de elevación digital, o información de campo), año de </w:t>
      </w:r>
      <w:r w:rsidR="002A6D28" w:rsidRPr="00BD1319">
        <w:rPr>
          <w:spacing w:val="-3"/>
        </w:rPr>
        <w:t>determinación</w:t>
      </w:r>
      <w:r w:rsidRPr="00BD1319">
        <w:rPr>
          <w:spacing w:val="-3"/>
        </w:rPr>
        <w:t xml:space="preserve">, año de ocurrencia y una calificación de acuerdo </w:t>
      </w:r>
      <w:r w:rsidRPr="00BD1319">
        <w:rPr>
          <w:rFonts w:cs="Arial"/>
          <w:spacing w:val="-3"/>
        </w:rPr>
        <w:t>con</w:t>
      </w:r>
      <w:r w:rsidRPr="00BD1319">
        <w:rPr>
          <w:spacing w:val="-3"/>
        </w:rPr>
        <w:t xml:space="preserve"> su actividad </w:t>
      </w:r>
      <w:r w:rsidR="008904E9" w:rsidRPr="00BD1319">
        <w:rPr>
          <w:spacing w:val="-3"/>
        </w:rPr>
        <w:t>(</w:t>
      </w:r>
      <w:r w:rsidRPr="00BD1319">
        <w:rPr>
          <w:spacing w:val="-3"/>
        </w:rPr>
        <w:t>antiguo o reciente</w:t>
      </w:r>
      <w:r w:rsidR="008904E9" w:rsidRPr="00BD1319">
        <w:rPr>
          <w:spacing w:val="-3"/>
        </w:rPr>
        <w:t>,</w:t>
      </w:r>
      <w:r w:rsidRPr="00BD1319">
        <w:rPr>
          <w:spacing w:val="-3"/>
        </w:rPr>
        <w:t xml:space="preserve"> activo o latente</w:t>
      </w:r>
      <w:r w:rsidR="008904E9" w:rsidRPr="00BD1319">
        <w:rPr>
          <w:spacing w:val="-3"/>
        </w:rPr>
        <w:t>)</w:t>
      </w:r>
      <w:r w:rsidRPr="00BD1319">
        <w:rPr>
          <w:spacing w:val="-3"/>
        </w:rPr>
        <w:t xml:space="preserve">. Para aquellos procesos </w:t>
      </w:r>
      <w:r w:rsidR="002A6D28" w:rsidRPr="00BD1319">
        <w:rPr>
          <w:spacing w:val="-3"/>
        </w:rPr>
        <w:t xml:space="preserve">determinados </w:t>
      </w:r>
      <w:r w:rsidRPr="00BD1319">
        <w:rPr>
          <w:spacing w:val="-3"/>
        </w:rPr>
        <w:t>únicamente en las fotografías aéreas antiguas</w:t>
      </w:r>
      <w:r w:rsidR="008904E9" w:rsidRPr="00BD1319">
        <w:rPr>
          <w:spacing w:val="-3"/>
        </w:rPr>
        <w:t>,</w:t>
      </w:r>
      <w:r w:rsidRPr="00BD1319">
        <w:rPr>
          <w:spacing w:val="-3"/>
        </w:rPr>
        <w:t xml:space="preserve"> la caracterización debe incluir al menos al área afectada.</w:t>
      </w:r>
    </w:p>
    <w:p w14:paraId="505DE079" w14:textId="77777777" w:rsidR="009D132B" w:rsidRPr="00BD1319" w:rsidRDefault="009D132B" w:rsidP="009420F5">
      <w:pPr>
        <w:numPr>
          <w:ilvl w:val="12"/>
          <w:numId w:val="0"/>
        </w:numPr>
        <w:tabs>
          <w:tab w:val="left" w:pos="-2268"/>
        </w:tabs>
        <w:suppressAutoHyphens/>
        <w:rPr>
          <w:spacing w:val="-3"/>
        </w:rPr>
      </w:pPr>
    </w:p>
    <w:p w14:paraId="3C795A39" w14:textId="2BD48D63" w:rsidR="009D132B" w:rsidRPr="00BD1319" w:rsidRDefault="009D132B" w:rsidP="00C86DA5">
      <w:pPr>
        <w:numPr>
          <w:ilvl w:val="12"/>
          <w:numId w:val="0"/>
        </w:numPr>
        <w:tabs>
          <w:tab w:val="left" w:pos="-2268"/>
        </w:tabs>
        <w:suppressAutoHyphens/>
        <w:ind w:left="567"/>
        <w:rPr>
          <w:spacing w:val="-3"/>
        </w:rPr>
      </w:pPr>
      <w:r w:rsidRPr="00BD1319">
        <w:rPr>
          <w:spacing w:val="-3"/>
        </w:rPr>
        <w:t>Un análisis de las causas de los procesos morfodinámicos</w:t>
      </w:r>
      <w:r w:rsidRPr="00BD1319">
        <w:rPr>
          <w:rFonts w:cs="Arial"/>
          <w:spacing w:val="-3"/>
        </w:rPr>
        <w:t xml:space="preserve"> y factores detonantes</w:t>
      </w:r>
      <w:r w:rsidRPr="00BD1319">
        <w:rPr>
          <w:spacing w:val="-3"/>
        </w:rPr>
        <w:t xml:space="preserve"> de </w:t>
      </w:r>
      <w:r w:rsidR="008904E9" w:rsidRPr="00BD1319">
        <w:rPr>
          <w:spacing w:val="-3"/>
        </w:rPr>
        <w:t xml:space="preserve">la </w:t>
      </w:r>
      <w:r w:rsidRPr="00BD1319">
        <w:rPr>
          <w:rFonts w:cs="Arial"/>
          <w:spacing w:val="-3"/>
        </w:rPr>
        <w:t>genera</w:t>
      </w:r>
      <w:r w:rsidR="008904E9" w:rsidRPr="00BD1319">
        <w:rPr>
          <w:rFonts w:cs="Arial"/>
          <w:spacing w:val="-3"/>
        </w:rPr>
        <w:t>ción de</w:t>
      </w:r>
      <w:r w:rsidR="008904E9" w:rsidRPr="00BD1319">
        <w:rPr>
          <w:spacing w:val="-3"/>
        </w:rPr>
        <w:t xml:space="preserve"> </w:t>
      </w:r>
      <w:r w:rsidRPr="00BD1319">
        <w:rPr>
          <w:spacing w:val="-3"/>
        </w:rPr>
        <w:t xml:space="preserve">zonas susceptibles a presentar </w:t>
      </w:r>
      <w:r w:rsidRPr="00BD1319">
        <w:rPr>
          <w:rFonts w:cs="Arial"/>
          <w:spacing w:val="-3"/>
        </w:rPr>
        <w:t>fenómenos</w:t>
      </w:r>
      <w:r w:rsidRPr="00BD1319">
        <w:rPr>
          <w:spacing w:val="-3"/>
        </w:rPr>
        <w:t xml:space="preserve"> de movimientos en masa.</w:t>
      </w:r>
      <w:r w:rsidRPr="00BD1319">
        <w:rPr>
          <w:rFonts w:cs="Arial"/>
          <w:spacing w:val="-3"/>
        </w:rPr>
        <w:t xml:space="preserve"> </w:t>
      </w:r>
    </w:p>
    <w:p w14:paraId="16871580" w14:textId="77777777" w:rsidR="009D132B" w:rsidRPr="00BD1319" w:rsidRDefault="009D132B" w:rsidP="009420F5">
      <w:pPr>
        <w:numPr>
          <w:ilvl w:val="12"/>
          <w:numId w:val="0"/>
        </w:numPr>
        <w:tabs>
          <w:tab w:val="left" w:pos="-2268"/>
        </w:tabs>
        <w:suppressAutoHyphens/>
        <w:rPr>
          <w:spacing w:val="-3"/>
        </w:rPr>
      </w:pPr>
    </w:p>
    <w:p w14:paraId="57508C57" w14:textId="0F3D0A2C" w:rsidR="009D132B" w:rsidRPr="00BD1319" w:rsidRDefault="009D132B" w:rsidP="00C86DA5">
      <w:pPr>
        <w:numPr>
          <w:ilvl w:val="12"/>
          <w:numId w:val="0"/>
        </w:numPr>
        <w:tabs>
          <w:tab w:val="left" w:pos="-2268"/>
        </w:tabs>
        <w:suppressAutoHyphens/>
        <w:ind w:left="567"/>
        <w:rPr>
          <w:spacing w:val="-3"/>
        </w:rPr>
      </w:pPr>
      <w:r w:rsidRPr="00BD1319">
        <w:rPr>
          <w:spacing w:val="-3"/>
        </w:rPr>
        <w:lastRenderedPageBreak/>
        <w:t>Un análisis, en caso de apli</w:t>
      </w:r>
      <w:r w:rsidR="00A01691" w:rsidRPr="00BD1319">
        <w:rPr>
          <w:spacing w:val="-3"/>
        </w:rPr>
        <w:t>car</w:t>
      </w:r>
      <w:r w:rsidRPr="00BD1319">
        <w:rPr>
          <w:spacing w:val="-3"/>
        </w:rPr>
        <w:t xml:space="preserve"> para el área de influencia del </w:t>
      </w:r>
      <w:r w:rsidR="00F863C9" w:rsidRPr="00BD1319">
        <w:rPr>
          <w:rFonts w:cs="Arial"/>
          <w:spacing w:val="-3"/>
        </w:rPr>
        <w:t>componente</w:t>
      </w:r>
      <w:r w:rsidRPr="00BD1319">
        <w:rPr>
          <w:spacing w:val="-3"/>
        </w:rPr>
        <w:t xml:space="preserve">, de los eventos de </w:t>
      </w:r>
      <w:proofErr w:type="spellStart"/>
      <w:r w:rsidRPr="00BD1319">
        <w:rPr>
          <w:spacing w:val="-3"/>
        </w:rPr>
        <w:t>torrencialidad</w:t>
      </w:r>
      <w:proofErr w:type="spellEnd"/>
      <w:r w:rsidRPr="00BD1319">
        <w:rPr>
          <w:spacing w:val="-3"/>
        </w:rPr>
        <w:t xml:space="preserve"> con base en la caracterización morfométrica de las unidades de análisis hidrográficas y </w:t>
      </w:r>
      <w:r w:rsidR="008904E9" w:rsidRPr="00BD1319">
        <w:rPr>
          <w:spacing w:val="-3"/>
        </w:rPr>
        <w:t xml:space="preserve">de </w:t>
      </w:r>
      <w:r w:rsidRPr="00BD1319">
        <w:rPr>
          <w:spacing w:val="-3"/>
        </w:rPr>
        <w:t xml:space="preserve">avenidas torrenciales. La caracterización debe estar relacionada con la velocidad del movimiento, </w:t>
      </w:r>
      <w:r w:rsidR="008904E9" w:rsidRPr="00BD1319">
        <w:rPr>
          <w:spacing w:val="-3"/>
        </w:rPr>
        <w:t xml:space="preserve">el </w:t>
      </w:r>
      <w:r w:rsidRPr="00BD1319">
        <w:rPr>
          <w:spacing w:val="-3"/>
        </w:rPr>
        <w:t xml:space="preserve">volumen de material removido, </w:t>
      </w:r>
      <w:r w:rsidR="008904E9" w:rsidRPr="00BD1319">
        <w:rPr>
          <w:spacing w:val="-3"/>
        </w:rPr>
        <w:t xml:space="preserve">la </w:t>
      </w:r>
      <w:r w:rsidRPr="00BD1319">
        <w:rPr>
          <w:spacing w:val="-3"/>
        </w:rPr>
        <w:t xml:space="preserve">distancia recorrida, </w:t>
      </w:r>
      <w:r w:rsidR="008904E9" w:rsidRPr="00BD1319">
        <w:rPr>
          <w:spacing w:val="-3"/>
        </w:rPr>
        <w:t xml:space="preserve">la </w:t>
      </w:r>
      <w:r w:rsidRPr="00BD1319">
        <w:rPr>
          <w:spacing w:val="-3"/>
        </w:rPr>
        <w:t>granulometría</w:t>
      </w:r>
      <w:r w:rsidRPr="00BD1319">
        <w:rPr>
          <w:rFonts w:cs="Arial"/>
          <w:spacing w:val="-3"/>
        </w:rPr>
        <w:t xml:space="preserve"> y </w:t>
      </w:r>
      <w:r w:rsidR="008904E9" w:rsidRPr="00BD1319">
        <w:rPr>
          <w:rFonts w:cs="Arial"/>
          <w:spacing w:val="-3"/>
        </w:rPr>
        <w:t xml:space="preserve">los </w:t>
      </w:r>
      <w:r w:rsidRPr="00BD1319">
        <w:rPr>
          <w:rFonts w:cs="Arial"/>
          <w:spacing w:val="-3"/>
        </w:rPr>
        <w:t>factores detonantes</w:t>
      </w:r>
      <w:r w:rsidRPr="00BD1319">
        <w:rPr>
          <w:spacing w:val="-3"/>
        </w:rPr>
        <w:t xml:space="preserve"> del material transportado.</w:t>
      </w:r>
    </w:p>
    <w:p w14:paraId="4824D254" w14:textId="77777777" w:rsidR="009D132B" w:rsidRPr="00BD1319" w:rsidRDefault="009D132B" w:rsidP="009420F5">
      <w:pPr>
        <w:numPr>
          <w:ilvl w:val="12"/>
          <w:numId w:val="0"/>
        </w:numPr>
        <w:tabs>
          <w:tab w:val="left" w:pos="-2268"/>
        </w:tabs>
        <w:suppressAutoHyphens/>
        <w:rPr>
          <w:spacing w:val="-3"/>
        </w:rPr>
      </w:pPr>
    </w:p>
    <w:p w14:paraId="47A5A97F" w14:textId="3841CD67" w:rsidR="009D132B" w:rsidRPr="00BD1319" w:rsidRDefault="009D132B" w:rsidP="00C86DA5">
      <w:pPr>
        <w:numPr>
          <w:ilvl w:val="12"/>
          <w:numId w:val="0"/>
        </w:numPr>
        <w:tabs>
          <w:tab w:val="left" w:pos="-2268"/>
        </w:tabs>
        <w:suppressAutoHyphens/>
        <w:ind w:left="567"/>
        <w:rPr>
          <w:spacing w:val="-3"/>
        </w:rPr>
      </w:pPr>
      <w:r w:rsidRPr="00BD1319">
        <w:rPr>
          <w:spacing w:val="-3"/>
        </w:rPr>
        <w:t>La presentación del mapa de procesos morfodinámicos debe realizarse para cada período analizado. Es decir</w:t>
      </w:r>
      <w:r w:rsidR="00C817D4" w:rsidRPr="00BD1319">
        <w:rPr>
          <w:spacing w:val="-3"/>
        </w:rPr>
        <w:t>,</w:t>
      </w:r>
      <w:r w:rsidRPr="00BD1319">
        <w:rPr>
          <w:spacing w:val="-3"/>
        </w:rPr>
        <w:t xml:space="preserve"> si se interpretan tres décadas, deben entregarse tres mapas de procesos morfodinámicos. </w:t>
      </w:r>
      <w:r w:rsidR="008904E9" w:rsidRPr="00BD1319">
        <w:rPr>
          <w:rFonts w:cs="Arial"/>
          <w:spacing w:val="-3"/>
        </w:rPr>
        <w:t>En todo caso</w:t>
      </w:r>
      <w:r w:rsidRPr="00BD1319">
        <w:rPr>
          <w:spacing w:val="-3"/>
        </w:rPr>
        <w:t>, se debe presentar un mapa que evidencie el estado actual.</w:t>
      </w:r>
    </w:p>
    <w:p w14:paraId="396443D4" w14:textId="77777777" w:rsidR="009D132B" w:rsidRPr="00BD1319" w:rsidRDefault="009D132B">
      <w:pPr>
        <w:numPr>
          <w:ilvl w:val="12"/>
          <w:numId w:val="0"/>
        </w:numPr>
        <w:tabs>
          <w:tab w:val="left" w:pos="-2268"/>
        </w:tabs>
        <w:suppressAutoHyphens/>
        <w:rPr>
          <w:spacing w:val="-3"/>
        </w:rPr>
      </w:pPr>
    </w:p>
    <w:p w14:paraId="568AFBEC" w14:textId="5A959655" w:rsidR="009D132B" w:rsidRPr="00BD1319" w:rsidRDefault="009D132B" w:rsidP="00C86DA5">
      <w:pPr>
        <w:numPr>
          <w:ilvl w:val="0"/>
          <w:numId w:val="115"/>
        </w:numPr>
        <w:tabs>
          <w:tab w:val="left" w:pos="-2268"/>
        </w:tabs>
        <w:suppressAutoHyphens/>
        <w:ind w:left="567" w:hanging="567"/>
        <w:rPr>
          <w:spacing w:val="-3"/>
        </w:rPr>
      </w:pPr>
      <w:r w:rsidRPr="00BD1319">
        <w:rPr>
          <w:rFonts w:cs="Arial"/>
          <w:spacing w:val="-3"/>
        </w:rPr>
        <w:t>Mapa de</w:t>
      </w:r>
      <w:r w:rsidRPr="00BD1319">
        <w:rPr>
          <w:spacing w:val="-3"/>
        </w:rPr>
        <w:t xml:space="preserve"> unidades geomorfológicas con énfasis en la morfogénesis.</w:t>
      </w:r>
    </w:p>
    <w:p w14:paraId="2CEF79C2" w14:textId="77777777" w:rsidR="009D132B" w:rsidRPr="00BD1319" w:rsidRDefault="009D132B">
      <w:pPr>
        <w:tabs>
          <w:tab w:val="left" w:pos="-2268"/>
        </w:tabs>
        <w:suppressAutoHyphens/>
        <w:rPr>
          <w:spacing w:val="-3"/>
        </w:rPr>
      </w:pPr>
    </w:p>
    <w:p w14:paraId="7A1EC5F7" w14:textId="5958E070" w:rsidR="009D132B" w:rsidRPr="00BD1319" w:rsidRDefault="009D132B" w:rsidP="00C86DA5">
      <w:pPr>
        <w:numPr>
          <w:ilvl w:val="0"/>
          <w:numId w:val="115"/>
        </w:numPr>
        <w:tabs>
          <w:tab w:val="left" w:pos="-2268"/>
        </w:tabs>
        <w:suppressAutoHyphens/>
        <w:ind w:left="567" w:hanging="567"/>
        <w:rPr>
          <w:spacing w:val="-3"/>
        </w:rPr>
      </w:pPr>
      <w:r w:rsidRPr="00BD1319">
        <w:rPr>
          <w:rFonts w:cs="Arial"/>
          <w:spacing w:val="-3"/>
        </w:rPr>
        <w:t>Mapa de</w:t>
      </w:r>
      <w:r w:rsidRPr="00BD1319">
        <w:rPr>
          <w:spacing w:val="-3"/>
        </w:rPr>
        <w:t xml:space="preserve"> susceptibilidad por la ocurrencia de procesos erosivos y de susceptibilidad ante procesos de movimientos en masa</w:t>
      </w:r>
      <w:r w:rsidR="00574A5D" w:rsidRPr="00BD1319">
        <w:rPr>
          <w:spacing w:val="-3"/>
        </w:rPr>
        <w:t xml:space="preserve"> aplicables a los resultados del análisis de procesos morfodinámicos</w:t>
      </w:r>
      <w:r w:rsidRPr="00BD1319">
        <w:rPr>
          <w:spacing w:val="-3"/>
        </w:rPr>
        <w:t>.</w:t>
      </w:r>
    </w:p>
    <w:p w14:paraId="099D814E" w14:textId="77777777" w:rsidR="009D132B" w:rsidRPr="00BD1319" w:rsidRDefault="009D132B" w:rsidP="009420F5">
      <w:pPr>
        <w:rPr>
          <w:spacing w:val="-3"/>
        </w:rPr>
      </w:pPr>
    </w:p>
    <w:p w14:paraId="7A764873" w14:textId="764A1735" w:rsidR="009D132B" w:rsidRPr="00BD1319" w:rsidRDefault="00235986" w:rsidP="00B52C49">
      <w:pPr>
        <w:numPr>
          <w:ilvl w:val="0"/>
          <w:numId w:val="115"/>
        </w:numPr>
        <w:tabs>
          <w:tab w:val="left" w:pos="-2268"/>
        </w:tabs>
        <w:suppressAutoHyphens/>
        <w:ind w:left="567" w:hanging="567"/>
        <w:rPr>
          <w:rFonts w:cs="Arial"/>
          <w:spacing w:val="-3"/>
        </w:rPr>
      </w:pPr>
      <w:r w:rsidRPr="00BD1319">
        <w:rPr>
          <w:rFonts w:cs="Arial"/>
          <w:spacing w:val="-3"/>
        </w:rPr>
        <w:t>Mapa de unidades fisiográficas y geomorfológicas d</w:t>
      </w:r>
      <w:r w:rsidR="009D132B" w:rsidRPr="00BD1319">
        <w:rPr>
          <w:rFonts w:cs="Arial"/>
          <w:spacing w:val="-3"/>
        </w:rPr>
        <w:t xml:space="preserve">el área de influencia del </w:t>
      </w:r>
      <w:r w:rsidR="00F863C9" w:rsidRPr="00BD1319">
        <w:rPr>
          <w:rFonts w:cs="Arial"/>
          <w:spacing w:val="-3"/>
        </w:rPr>
        <w:t>componente</w:t>
      </w:r>
      <w:r w:rsidRPr="00BD1319">
        <w:rPr>
          <w:rFonts w:cs="Arial"/>
          <w:spacing w:val="-3"/>
        </w:rPr>
        <w:t>.</w:t>
      </w:r>
    </w:p>
    <w:p w14:paraId="18F6F459" w14:textId="77777777" w:rsidR="009D132B" w:rsidRPr="00BD1319" w:rsidRDefault="009D132B" w:rsidP="009D132B">
      <w:pPr>
        <w:numPr>
          <w:ilvl w:val="12"/>
          <w:numId w:val="0"/>
        </w:numPr>
        <w:tabs>
          <w:tab w:val="left" w:pos="-2268"/>
        </w:tabs>
        <w:suppressAutoHyphens/>
        <w:rPr>
          <w:rFonts w:cs="Arial"/>
          <w:spacing w:val="-3"/>
        </w:rPr>
      </w:pPr>
    </w:p>
    <w:p w14:paraId="5508B826" w14:textId="4F71CA46" w:rsidR="009D132B" w:rsidRPr="00BD1319" w:rsidRDefault="009D132B">
      <w:pPr>
        <w:numPr>
          <w:ilvl w:val="12"/>
          <w:numId w:val="0"/>
        </w:numPr>
        <w:tabs>
          <w:tab w:val="left" w:pos="-2268"/>
        </w:tabs>
        <w:suppressAutoHyphens/>
        <w:rPr>
          <w:spacing w:val="-3"/>
        </w:rPr>
      </w:pPr>
      <w:r w:rsidRPr="00BD1319">
        <w:rPr>
          <w:spacing w:val="-3"/>
        </w:rPr>
        <w:t xml:space="preserve">Presentar la información a la escala que establezcan los términos de referencia, o a una más detallada si el análisis lo requiere, teniendo en cuenta los dominios establecidos en </w:t>
      </w:r>
      <w:r w:rsidRPr="00BD1319">
        <w:rPr>
          <w:rFonts w:cs="Arial"/>
          <w:spacing w:val="-3"/>
        </w:rPr>
        <w:t xml:space="preserve">el </w:t>
      </w:r>
      <w:r w:rsidR="00293C77" w:rsidRPr="00BD1319">
        <w:rPr>
          <w:rFonts w:cs="Arial"/>
          <w:spacing w:val="-3"/>
        </w:rPr>
        <w:t>MAG</w:t>
      </w:r>
      <w:r w:rsidRPr="00BD1319">
        <w:rPr>
          <w:rFonts w:cs="Arial"/>
          <w:spacing w:val="-3"/>
        </w:rPr>
        <w:t>.</w:t>
      </w:r>
      <w:r w:rsidRPr="00BD1319">
        <w:rPr>
          <w:spacing w:val="-3"/>
        </w:rPr>
        <w:t xml:space="preserve"> Esta información debe </w:t>
      </w:r>
      <w:r w:rsidR="00293C77" w:rsidRPr="00BD1319">
        <w:rPr>
          <w:spacing w:val="-3"/>
        </w:rPr>
        <w:t xml:space="preserve">representarse cartográficamente con </w:t>
      </w:r>
      <w:r w:rsidRPr="00BD1319">
        <w:rPr>
          <w:spacing w:val="-3"/>
        </w:rPr>
        <w:t xml:space="preserve">una escala de presentación que permita su lectura. </w:t>
      </w:r>
      <w:r w:rsidR="00900A47" w:rsidRPr="00BD1319">
        <w:rPr>
          <w:spacing w:val="-3"/>
        </w:rPr>
        <w:t xml:space="preserve">Se </w:t>
      </w:r>
      <w:r w:rsidRPr="00BD1319">
        <w:rPr>
          <w:spacing w:val="-3"/>
        </w:rPr>
        <w:t>debe</w:t>
      </w:r>
      <w:r w:rsidR="00900A47" w:rsidRPr="00BD1319">
        <w:rPr>
          <w:spacing w:val="-3"/>
        </w:rPr>
        <w:t>n</w:t>
      </w:r>
      <w:r w:rsidRPr="00BD1319">
        <w:rPr>
          <w:spacing w:val="-3"/>
        </w:rPr>
        <w:t xml:space="preserve"> adjuntar las imágenes interpretadas.</w:t>
      </w:r>
    </w:p>
    <w:p w14:paraId="41202344" w14:textId="77777777" w:rsidR="00293C77" w:rsidRPr="00BD1319" w:rsidRDefault="00293C77">
      <w:pPr>
        <w:numPr>
          <w:ilvl w:val="12"/>
          <w:numId w:val="0"/>
        </w:numPr>
        <w:tabs>
          <w:tab w:val="left" w:pos="-2268"/>
        </w:tabs>
        <w:suppressAutoHyphens/>
        <w:rPr>
          <w:spacing w:val="-3"/>
        </w:rPr>
      </w:pPr>
    </w:p>
    <w:p w14:paraId="2C5CEC50" w14:textId="21AFD1C0" w:rsidR="009D132B" w:rsidRPr="00BD1319" w:rsidRDefault="009D132B">
      <w:pPr>
        <w:numPr>
          <w:ilvl w:val="12"/>
          <w:numId w:val="0"/>
        </w:numPr>
        <w:tabs>
          <w:tab w:val="left" w:pos="-2268"/>
        </w:tabs>
        <w:suppressAutoHyphens/>
        <w:rPr>
          <w:spacing w:val="-3"/>
        </w:rPr>
      </w:pPr>
      <w:r w:rsidRPr="00BD1319">
        <w:rPr>
          <w:spacing w:val="-3"/>
        </w:rPr>
        <w:t xml:space="preserve">Para el caso de la geomorfología submarina, la información debe ser primaria y obtenida de datos batimétricos, </w:t>
      </w:r>
      <w:r w:rsidR="00293C77" w:rsidRPr="00BD1319">
        <w:rPr>
          <w:spacing w:val="-3"/>
        </w:rPr>
        <w:t xml:space="preserve">de forma que sea posible </w:t>
      </w:r>
      <w:r w:rsidR="0063193B" w:rsidRPr="00BD1319">
        <w:rPr>
          <w:spacing w:val="-3"/>
        </w:rPr>
        <w:t xml:space="preserve">determinar </w:t>
      </w:r>
      <w:r w:rsidRPr="00BD1319">
        <w:rPr>
          <w:spacing w:val="-3"/>
        </w:rPr>
        <w:t>las diferentes geoformas del relieve submarino teniendo en cuenta el grado de detalle establecido en los términos de referencia.</w:t>
      </w:r>
    </w:p>
    <w:p w14:paraId="03E294A1" w14:textId="77777777" w:rsidR="009D132B" w:rsidRPr="00BD1319" w:rsidRDefault="009D132B">
      <w:pPr>
        <w:numPr>
          <w:ilvl w:val="12"/>
          <w:numId w:val="0"/>
        </w:numPr>
        <w:tabs>
          <w:tab w:val="left" w:pos="-2268"/>
        </w:tabs>
        <w:suppressAutoHyphens/>
        <w:rPr>
          <w:spacing w:val="-3"/>
        </w:rPr>
      </w:pPr>
    </w:p>
    <w:p w14:paraId="266C969E" w14:textId="14D51C37" w:rsidR="009D132B" w:rsidRPr="00BD1319" w:rsidRDefault="009D132B">
      <w:pPr>
        <w:numPr>
          <w:ilvl w:val="12"/>
          <w:numId w:val="0"/>
        </w:numPr>
        <w:tabs>
          <w:tab w:val="left" w:pos="-2268"/>
        </w:tabs>
        <w:suppressAutoHyphens/>
        <w:rPr>
          <w:spacing w:val="-3"/>
        </w:rPr>
      </w:pPr>
      <w:r w:rsidRPr="00BD1319">
        <w:rPr>
          <w:spacing w:val="-3"/>
        </w:rPr>
        <w:t xml:space="preserve">Para el caso de la geomorfología costera, la información debe ser obtenida de la interpretación imágenes de sensores remotos, que permita la caracterización de las unidades y rasgos geomorfológicos costeros; asimismo, se debe realizar un levantamiento de la línea de costa </w:t>
      </w:r>
      <w:r w:rsidR="00574A5D" w:rsidRPr="00BD1319">
        <w:rPr>
          <w:spacing w:val="-3"/>
        </w:rPr>
        <w:t xml:space="preserve">mediante </w:t>
      </w:r>
      <w:r w:rsidR="00574A5D" w:rsidRPr="00BD1319">
        <w:rPr>
          <w:rFonts w:cs="Arial"/>
          <w:spacing w:val="-3"/>
        </w:rPr>
        <w:t xml:space="preserve">métodos como los recorridos de línea de costa o toma de imágenes con sensores remotos o drones, </w:t>
      </w:r>
      <w:r w:rsidR="00574A5D" w:rsidRPr="00BD1319">
        <w:rPr>
          <w:spacing w:val="-3"/>
        </w:rPr>
        <w:t xml:space="preserve">a fin de </w:t>
      </w:r>
      <w:r w:rsidRPr="00BD1319">
        <w:rPr>
          <w:spacing w:val="-3"/>
        </w:rPr>
        <w:t>desarroll</w:t>
      </w:r>
      <w:r w:rsidR="00574A5D" w:rsidRPr="00BD1319">
        <w:rPr>
          <w:spacing w:val="-3"/>
        </w:rPr>
        <w:t>ar</w:t>
      </w:r>
      <w:r w:rsidRPr="00BD1319">
        <w:rPr>
          <w:spacing w:val="-3"/>
        </w:rPr>
        <w:t xml:space="preserve"> un análisis multitemporal que utilice fotografías aéreas e imágenes de satélite para determinar tasas de erosión y acreción sedimentaria que incluya perfiles de playa.</w:t>
      </w:r>
    </w:p>
    <w:p w14:paraId="2EDAF2BB" w14:textId="071E747C" w:rsidR="009D132B" w:rsidRPr="00BD1319" w:rsidRDefault="009D132B" w:rsidP="009D132B">
      <w:pPr>
        <w:numPr>
          <w:ilvl w:val="12"/>
          <w:numId w:val="0"/>
        </w:numPr>
        <w:tabs>
          <w:tab w:val="left" w:pos="-2268"/>
        </w:tabs>
        <w:suppressAutoHyphens/>
        <w:rPr>
          <w:rFonts w:cs="Arial"/>
          <w:spacing w:val="-3"/>
        </w:rPr>
      </w:pPr>
    </w:p>
    <w:p w14:paraId="209EC6C7" w14:textId="710E7AE7" w:rsidR="009D132B" w:rsidRPr="00BD1319" w:rsidRDefault="009D132B" w:rsidP="009D132B">
      <w:pPr>
        <w:numPr>
          <w:ilvl w:val="12"/>
          <w:numId w:val="0"/>
        </w:numPr>
        <w:tabs>
          <w:tab w:val="left" w:pos="-2268"/>
        </w:tabs>
        <w:suppressAutoHyphens/>
        <w:rPr>
          <w:rFonts w:cs="Arial"/>
          <w:spacing w:val="-3"/>
        </w:rPr>
      </w:pPr>
      <w:r w:rsidRPr="00BD1319">
        <w:rPr>
          <w:rFonts w:cs="Arial"/>
          <w:spacing w:val="-3"/>
        </w:rPr>
        <w:t xml:space="preserve">Para el caso de la geomorfología fluvial </w:t>
      </w:r>
      <w:r w:rsidR="00293C77" w:rsidRPr="00BD1319">
        <w:rPr>
          <w:rFonts w:cs="Arial"/>
          <w:spacing w:val="-3"/>
        </w:rPr>
        <w:t>en</w:t>
      </w:r>
      <w:r w:rsidRPr="00BD1319">
        <w:rPr>
          <w:rFonts w:cs="Arial"/>
          <w:spacing w:val="-3"/>
        </w:rPr>
        <w:t xml:space="preserve"> proyectos</w:t>
      </w:r>
      <w:r w:rsidR="00293C77" w:rsidRPr="00BD1319">
        <w:rPr>
          <w:rFonts w:cs="Arial"/>
          <w:spacing w:val="-3"/>
        </w:rPr>
        <w:t>, obras o actividades en los</w:t>
      </w:r>
      <w:r w:rsidRPr="00BD1319">
        <w:rPr>
          <w:rFonts w:cs="Arial"/>
          <w:spacing w:val="-3"/>
        </w:rPr>
        <w:t xml:space="preserve"> que su desarrollo implique la intervención y la alteración de corrientes hídricas, es </w:t>
      </w:r>
      <w:r w:rsidRPr="00BD1319">
        <w:rPr>
          <w:rFonts w:cs="Arial"/>
          <w:spacing w:val="-3"/>
        </w:rPr>
        <w:lastRenderedPageBreak/>
        <w:t>importante la determinación y análisis completo de la dinámica fluvial, establec</w:t>
      </w:r>
      <w:r w:rsidR="00293C77" w:rsidRPr="00BD1319">
        <w:rPr>
          <w:rFonts w:cs="Arial"/>
          <w:spacing w:val="-3"/>
        </w:rPr>
        <w:t>iendo</w:t>
      </w:r>
      <w:r w:rsidRPr="00BD1319">
        <w:rPr>
          <w:rFonts w:cs="Arial"/>
          <w:spacing w:val="-3"/>
        </w:rPr>
        <w:t xml:space="preserve"> la envolvente de divagación a través de un análisis multitemporal </w:t>
      </w:r>
      <w:r w:rsidR="00293C77" w:rsidRPr="00BD1319">
        <w:rPr>
          <w:rFonts w:cs="Arial"/>
          <w:spacing w:val="-3"/>
        </w:rPr>
        <w:t xml:space="preserve">que emplee </w:t>
      </w:r>
      <w:r w:rsidRPr="00BD1319">
        <w:rPr>
          <w:rFonts w:cs="Arial"/>
          <w:spacing w:val="-3"/>
        </w:rPr>
        <w:t>imágenes e información de sensores remotos de por lo menos 5 épocas diferentes, utilizando un rango de tiempo no inferior a 50 años</w:t>
      </w:r>
      <w:r w:rsidR="005D3409" w:rsidRPr="00BD1319">
        <w:rPr>
          <w:rFonts w:cs="Arial"/>
          <w:spacing w:val="-3"/>
        </w:rPr>
        <w:t xml:space="preserve"> de acuerdo con la información disponible</w:t>
      </w:r>
      <w:r w:rsidR="00293C77" w:rsidRPr="00BD1319">
        <w:rPr>
          <w:rFonts w:cs="Arial"/>
          <w:spacing w:val="-3"/>
        </w:rPr>
        <w:t xml:space="preserve"> (</w:t>
      </w:r>
      <w:r w:rsidR="005D3409" w:rsidRPr="00BD1319">
        <w:rPr>
          <w:rFonts w:cs="Arial"/>
          <w:spacing w:val="-3"/>
        </w:rPr>
        <w:t>se debe presentar el soporte de la gestión adelantada frente a la autoridad competente</w:t>
      </w:r>
      <w:r w:rsidR="00293C77" w:rsidRPr="00BD1319">
        <w:rPr>
          <w:rFonts w:cs="Arial"/>
          <w:spacing w:val="-3"/>
        </w:rPr>
        <w:t>)</w:t>
      </w:r>
      <w:r w:rsidRPr="00BD1319">
        <w:rPr>
          <w:rFonts w:cs="Arial"/>
          <w:spacing w:val="-3"/>
        </w:rPr>
        <w:t xml:space="preserve">; </w:t>
      </w:r>
      <w:r w:rsidR="00F47D32" w:rsidRPr="00BD1319">
        <w:rPr>
          <w:rFonts w:cs="Arial"/>
          <w:spacing w:val="-3"/>
        </w:rPr>
        <w:t xml:space="preserve">asimismo, se deben </w:t>
      </w:r>
      <w:r w:rsidRPr="00BD1319">
        <w:rPr>
          <w:rFonts w:cs="Arial"/>
          <w:spacing w:val="-3"/>
        </w:rPr>
        <w:t>an</w:t>
      </w:r>
      <w:r w:rsidR="00F47D32" w:rsidRPr="00BD1319">
        <w:rPr>
          <w:rFonts w:cs="Arial"/>
          <w:spacing w:val="-3"/>
        </w:rPr>
        <w:t xml:space="preserve">alizar los </w:t>
      </w:r>
      <w:r w:rsidRPr="00BD1319">
        <w:rPr>
          <w:rFonts w:cs="Arial"/>
          <w:spacing w:val="-3"/>
        </w:rPr>
        <w:t xml:space="preserve">eventos de crecientes máximas y </w:t>
      </w:r>
      <w:r w:rsidR="00B21E31" w:rsidRPr="00BD1319">
        <w:rPr>
          <w:rFonts w:cs="Arial"/>
          <w:spacing w:val="-3"/>
        </w:rPr>
        <w:t xml:space="preserve">eventos </w:t>
      </w:r>
      <w:r w:rsidRPr="00BD1319">
        <w:rPr>
          <w:rFonts w:cs="Arial"/>
          <w:spacing w:val="-3"/>
        </w:rPr>
        <w:t>mínim</w:t>
      </w:r>
      <w:r w:rsidR="00B21E31" w:rsidRPr="00BD1319">
        <w:rPr>
          <w:rFonts w:cs="Arial"/>
          <w:spacing w:val="-3"/>
        </w:rPr>
        <w:t>o</w:t>
      </w:r>
      <w:r w:rsidRPr="00BD1319">
        <w:rPr>
          <w:rFonts w:cs="Arial"/>
          <w:spacing w:val="-3"/>
        </w:rPr>
        <w:t>s para los periodos de retorno de 5,10, 20, 50 y 100 años y presentar las inundaciones máximas en un mapa a escala detallada.</w:t>
      </w:r>
    </w:p>
    <w:p w14:paraId="063C87C7" w14:textId="77777777" w:rsidR="009D132B" w:rsidRPr="00BD1319" w:rsidRDefault="009D132B">
      <w:pPr>
        <w:numPr>
          <w:ilvl w:val="12"/>
          <w:numId w:val="0"/>
        </w:numPr>
        <w:tabs>
          <w:tab w:val="left" w:pos="-2268"/>
        </w:tabs>
        <w:suppressAutoHyphens/>
        <w:rPr>
          <w:spacing w:val="-3"/>
        </w:rPr>
      </w:pPr>
    </w:p>
    <w:p w14:paraId="1AF729A1" w14:textId="0A433452" w:rsidR="00B21E31" w:rsidRPr="00BD1319" w:rsidRDefault="00B21E31" w:rsidP="00B21E31">
      <w:pPr>
        <w:numPr>
          <w:ilvl w:val="12"/>
          <w:numId w:val="0"/>
        </w:numPr>
        <w:tabs>
          <w:tab w:val="left" w:pos="-2268"/>
        </w:tabs>
        <w:suppressAutoHyphens/>
        <w:rPr>
          <w:spacing w:val="-3"/>
          <w:lang w:val="es-ES"/>
        </w:rPr>
      </w:pPr>
      <w:r w:rsidRPr="00BD1319">
        <w:rPr>
          <w:spacing w:val="-3"/>
          <w:lang w:val="es-ES"/>
        </w:rPr>
        <w:t xml:space="preserve">Para el análisis de crecientes máximas y eventos mínimos se debe modelizar la hidrodinámica y el transporte de sedimentos para los periodos de retorno mencionados mediante paquetes informáticos que solucionen modelos en una o dos dimensiones. </w:t>
      </w:r>
      <w:r w:rsidR="00802A27" w:rsidRPr="00BD1319">
        <w:rPr>
          <w:spacing w:val="-3"/>
          <w:lang w:val="es-ES"/>
        </w:rPr>
        <w:t>Al desarrollar modelos de una dimensión se debe considerar que la mayoría de</w:t>
      </w:r>
      <w:r w:rsidRPr="00BD1319">
        <w:rPr>
          <w:spacing w:val="-3"/>
          <w:lang w:val="es-ES"/>
        </w:rPr>
        <w:t xml:space="preserve"> programas informáticos </w:t>
      </w:r>
      <w:r w:rsidR="00802A27" w:rsidRPr="00BD1319">
        <w:rPr>
          <w:spacing w:val="-3"/>
          <w:lang w:val="es-ES"/>
        </w:rPr>
        <w:t xml:space="preserve">realizan </w:t>
      </w:r>
      <w:r w:rsidRPr="00BD1319">
        <w:rPr>
          <w:spacing w:val="-3"/>
          <w:lang w:val="es-ES"/>
        </w:rPr>
        <w:t>soluciones numéricas de las ecuaciones de Saint-</w:t>
      </w:r>
      <w:proofErr w:type="spellStart"/>
      <w:r w:rsidRPr="00BD1319">
        <w:rPr>
          <w:spacing w:val="-3"/>
          <w:lang w:val="es-ES"/>
        </w:rPr>
        <w:t>Venant</w:t>
      </w:r>
      <w:proofErr w:type="spellEnd"/>
      <w:r w:rsidRPr="00BD1319">
        <w:rPr>
          <w:spacing w:val="-3"/>
          <w:lang w:val="es-ES"/>
        </w:rPr>
        <w:t xml:space="preserve"> 1D (no estacionario), flujo gradualmente variado (estacionario) y flujo gradualmente variado para diferentes condiciones hidrológicas (</w:t>
      </w:r>
      <w:proofErr w:type="spellStart"/>
      <w:r w:rsidRPr="00BD1319">
        <w:rPr>
          <w:spacing w:val="-3"/>
          <w:lang w:val="es-ES"/>
        </w:rPr>
        <w:t>cuasi-estacionario</w:t>
      </w:r>
      <w:proofErr w:type="spellEnd"/>
      <w:r w:rsidRPr="00BD1319">
        <w:rPr>
          <w:spacing w:val="-3"/>
          <w:lang w:val="es-ES"/>
        </w:rPr>
        <w:t>)</w:t>
      </w:r>
      <w:r w:rsidR="00802A27" w:rsidRPr="00BD1319">
        <w:rPr>
          <w:spacing w:val="-3"/>
          <w:lang w:val="es-ES"/>
        </w:rPr>
        <w:t>; p</w:t>
      </w:r>
      <w:r w:rsidRPr="00BD1319">
        <w:rPr>
          <w:spacing w:val="-3"/>
          <w:lang w:val="es-ES"/>
        </w:rPr>
        <w:t xml:space="preserve">or otra parte, </w:t>
      </w:r>
      <w:r w:rsidR="00D12D37" w:rsidRPr="00BD1319">
        <w:rPr>
          <w:spacing w:val="-3"/>
          <w:lang w:val="es-ES"/>
        </w:rPr>
        <w:t xml:space="preserve">para </w:t>
      </w:r>
      <w:r w:rsidRPr="00BD1319">
        <w:rPr>
          <w:spacing w:val="-3"/>
          <w:lang w:val="es-ES"/>
        </w:rPr>
        <w:t>los modelos en dos dimensiones</w:t>
      </w:r>
      <w:r w:rsidR="00D12D37" w:rsidRPr="00BD1319">
        <w:rPr>
          <w:spacing w:val="-3"/>
          <w:lang w:val="es-ES"/>
        </w:rPr>
        <w:t>, los programas</w:t>
      </w:r>
      <w:r w:rsidRPr="00BD1319">
        <w:rPr>
          <w:spacing w:val="-3"/>
          <w:lang w:val="es-ES"/>
        </w:rPr>
        <w:t xml:space="preserve"> normalmente solucionan las ecuaciones de Saint </w:t>
      </w:r>
      <w:proofErr w:type="spellStart"/>
      <w:r w:rsidRPr="00BD1319">
        <w:rPr>
          <w:spacing w:val="-3"/>
          <w:lang w:val="es-ES"/>
        </w:rPr>
        <w:t>Venant</w:t>
      </w:r>
      <w:proofErr w:type="spellEnd"/>
      <w:r w:rsidRPr="00BD1319">
        <w:rPr>
          <w:spacing w:val="-3"/>
          <w:lang w:val="es-ES"/>
        </w:rPr>
        <w:t xml:space="preserve"> 2D o </w:t>
      </w:r>
      <w:proofErr w:type="spellStart"/>
      <w:r w:rsidRPr="00BD1319">
        <w:rPr>
          <w:spacing w:val="-3"/>
          <w:lang w:val="es-ES"/>
        </w:rPr>
        <w:t>Shalow</w:t>
      </w:r>
      <w:proofErr w:type="spellEnd"/>
      <w:r w:rsidRPr="00BD1319">
        <w:rPr>
          <w:spacing w:val="-3"/>
          <w:lang w:val="es-ES"/>
        </w:rPr>
        <w:t xml:space="preserve"> </w:t>
      </w:r>
      <w:proofErr w:type="spellStart"/>
      <w:r w:rsidRPr="00BD1319">
        <w:rPr>
          <w:spacing w:val="-3"/>
          <w:lang w:val="es-ES"/>
        </w:rPr>
        <w:t>Water</w:t>
      </w:r>
      <w:proofErr w:type="spellEnd"/>
      <w:r w:rsidRPr="00BD1319">
        <w:rPr>
          <w:spacing w:val="-3"/>
          <w:lang w:val="es-ES"/>
        </w:rPr>
        <w:t xml:space="preserve"> </w:t>
      </w:r>
      <w:proofErr w:type="spellStart"/>
      <w:r w:rsidRPr="00BD1319">
        <w:rPr>
          <w:spacing w:val="-3"/>
          <w:lang w:val="es-ES"/>
        </w:rPr>
        <w:t>Equations</w:t>
      </w:r>
      <w:proofErr w:type="spellEnd"/>
      <w:r w:rsidRPr="00BD1319">
        <w:rPr>
          <w:spacing w:val="-3"/>
          <w:lang w:val="es-ES"/>
        </w:rPr>
        <w:t xml:space="preserve"> (mayor costo computacional) u onda difusiva (menor costo computacional).</w:t>
      </w:r>
    </w:p>
    <w:p w14:paraId="1704B61F" w14:textId="77777777" w:rsidR="00B21E31" w:rsidRPr="00BD1319" w:rsidRDefault="00B21E31" w:rsidP="00B21E31">
      <w:pPr>
        <w:numPr>
          <w:ilvl w:val="12"/>
          <w:numId w:val="0"/>
        </w:numPr>
        <w:tabs>
          <w:tab w:val="left" w:pos="-2268"/>
        </w:tabs>
        <w:suppressAutoHyphens/>
        <w:rPr>
          <w:spacing w:val="-3"/>
          <w:lang w:val="es-ES"/>
        </w:rPr>
      </w:pPr>
    </w:p>
    <w:p w14:paraId="2ACB7251" w14:textId="5CDB4A72" w:rsidR="00B21E31" w:rsidRPr="00BD1319" w:rsidRDefault="00B21E31" w:rsidP="004E5795">
      <w:pPr>
        <w:numPr>
          <w:ilvl w:val="12"/>
          <w:numId w:val="0"/>
        </w:numPr>
        <w:tabs>
          <w:tab w:val="left" w:pos="-2268"/>
        </w:tabs>
        <w:suppressAutoHyphens/>
        <w:jc w:val="center"/>
        <w:rPr>
          <w:spacing w:val="-3"/>
          <w:lang w:val="es-ES"/>
        </w:rPr>
      </w:pPr>
      <w:r w:rsidRPr="00BD1319">
        <w:rPr>
          <w:b/>
          <w:bCs/>
          <w:spacing w:val="-3"/>
          <w:lang w:val="es-ES"/>
        </w:rPr>
        <w:t xml:space="preserve">Tabla </w:t>
      </w:r>
      <w:r w:rsidRPr="00BD1319">
        <w:rPr>
          <w:b/>
          <w:bCs/>
          <w:spacing w:val="-3"/>
          <w:lang w:val="es-ES"/>
        </w:rPr>
        <w:fldChar w:fldCharType="begin"/>
      </w:r>
      <w:r w:rsidRPr="00BD1319">
        <w:rPr>
          <w:b/>
          <w:bCs/>
          <w:spacing w:val="-3"/>
          <w:lang w:val="es-ES"/>
        </w:rPr>
        <w:instrText xml:space="preserve"> SEQ Tabla \* ARABIC </w:instrText>
      </w:r>
      <w:r w:rsidRPr="00BD1319">
        <w:rPr>
          <w:b/>
          <w:bCs/>
          <w:spacing w:val="-3"/>
          <w:lang w:val="es-ES"/>
        </w:rPr>
        <w:fldChar w:fldCharType="separate"/>
      </w:r>
      <w:r w:rsidR="00296654" w:rsidRPr="00BD1319">
        <w:rPr>
          <w:b/>
          <w:bCs/>
          <w:noProof/>
          <w:spacing w:val="-3"/>
          <w:lang w:val="es-ES"/>
        </w:rPr>
        <w:t>18</w:t>
      </w:r>
      <w:r w:rsidRPr="00BD1319">
        <w:rPr>
          <w:b/>
          <w:bCs/>
          <w:spacing w:val="-3"/>
        </w:rPr>
        <w:fldChar w:fldCharType="end"/>
      </w:r>
      <w:r w:rsidRPr="00BD1319">
        <w:rPr>
          <w:b/>
          <w:bCs/>
          <w:spacing w:val="-3"/>
          <w:lang w:val="es-ES"/>
        </w:rPr>
        <w:t>.</w:t>
      </w:r>
      <w:r w:rsidRPr="00BD1319">
        <w:rPr>
          <w:spacing w:val="-3"/>
          <w:lang w:val="es-ES"/>
        </w:rPr>
        <w:t xml:space="preserve"> </w:t>
      </w:r>
      <w:r w:rsidR="00FD4615" w:rsidRPr="00BD1319">
        <w:rPr>
          <w:spacing w:val="-3"/>
          <w:lang w:val="es-ES"/>
        </w:rPr>
        <w:t>Ecuaciones por solucionar</w:t>
      </w:r>
      <w:r w:rsidRPr="00BD1319">
        <w:rPr>
          <w:spacing w:val="-3"/>
          <w:lang w:val="es-ES"/>
        </w:rPr>
        <w:t xml:space="preserve"> según cuerpo de agua a model</w:t>
      </w:r>
      <w:r w:rsidR="006139F2" w:rsidRPr="00BD1319">
        <w:rPr>
          <w:spacing w:val="-3"/>
          <w:lang w:val="es-ES"/>
        </w:rPr>
        <w:t>iz</w:t>
      </w:r>
      <w:r w:rsidRPr="00BD1319">
        <w:rPr>
          <w:spacing w:val="-3"/>
          <w:lang w:val="es-ES"/>
        </w:rPr>
        <w:t>ar</w:t>
      </w:r>
    </w:p>
    <w:tbl>
      <w:tblPr>
        <w:tblStyle w:val="Tablaconcuadrcula"/>
        <w:tblW w:w="0" w:type="auto"/>
        <w:jc w:val="center"/>
        <w:tblLook w:val="04A0" w:firstRow="1" w:lastRow="0" w:firstColumn="1" w:lastColumn="0" w:noHBand="0" w:noVBand="1"/>
      </w:tblPr>
      <w:tblGrid>
        <w:gridCol w:w="3064"/>
        <w:gridCol w:w="2992"/>
      </w:tblGrid>
      <w:tr w:rsidR="00B21E31" w:rsidRPr="00BD1319" w14:paraId="181AB955" w14:textId="77777777" w:rsidTr="000D6E21">
        <w:trPr>
          <w:trHeight w:val="469"/>
          <w:tblHeader/>
          <w:jc w:val="center"/>
        </w:trPr>
        <w:tc>
          <w:tcPr>
            <w:tcW w:w="0" w:type="auto"/>
            <w:shd w:val="clear" w:color="auto" w:fill="auto"/>
            <w:vAlign w:val="center"/>
          </w:tcPr>
          <w:p w14:paraId="59ED69F6" w14:textId="77777777" w:rsidR="00B21E31" w:rsidRPr="00BD1319" w:rsidRDefault="00B21E31" w:rsidP="000D6E21">
            <w:pPr>
              <w:numPr>
                <w:ilvl w:val="12"/>
                <w:numId w:val="0"/>
              </w:numPr>
              <w:tabs>
                <w:tab w:val="left" w:pos="-2268"/>
              </w:tabs>
              <w:suppressAutoHyphens/>
              <w:jc w:val="center"/>
              <w:rPr>
                <w:b/>
                <w:spacing w:val="-3"/>
                <w:sz w:val="20"/>
                <w:szCs w:val="20"/>
                <w:lang w:val="es-ES"/>
              </w:rPr>
            </w:pPr>
            <w:r w:rsidRPr="00BD1319">
              <w:rPr>
                <w:b/>
                <w:spacing w:val="-3"/>
                <w:sz w:val="20"/>
                <w:szCs w:val="20"/>
                <w:lang w:val="es-ES"/>
              </w:rPr>
              <w:t>Tipo</w:t>
            </w:r>
          </w:p>
        </w:tc>
        <w:tc>
          <w:tcPr>
            <w:tcW w:w="0" w:type="auto"/>
            <w:shd w:val="clear" w:color="auto" w:fill="auto"/>
            <w:vAlign w:val="center"/>
          </w:tcPr>
          <w:p w14:paraId="0406E8B9" w14:textId="77777777" w:rsidR="00B21E31" w:rsidRPr="00BD1319" w:rsidRDefault="00B21E31" w:rsidP="000D6E21">
            <w:pPr>
              <w:numPr>
                <w:ilvl w:val="12"/>
                <w:numId w:val="0"/>
              </w:numPr>
              <w:tabs>
                <w:tab w:val="left" w:pos="-2268"/>
              </w:tabs>
              <w:suppressAutoHyphens/>
              <w:jc w:val="center"/>
              <w:rPr>
                <w:b/>
                <w:spacing w:val="-3"/>
                <w:sz w:val="20"/>
                <w:szCs w:val="20"/>
                <w:lang w:val="es-ES"/>
              </w:rPr>
            </w:pPr>
            <w:r w:rsidRPr="00BD1319">
              <w:rPr>
                <w:b/>
                <w:spacing w:val="-3"/>
                <w:sz w:val="20"/>
                <w:szCs w:val="20"/>
                <w:lang w:val="es-ES"/>
              </w:rPr>
              <w:t>Ecuación</w:t>
            </w:r>
          </w:p>
        </w:tc>
      </w:tr>
      <w:tr w:rsidR="00B21E31" w:rsidRPr="00E002E9" w14:paraId="1893E798" w14:textId="77777777" w:rsidTr="009C6D76">
        <w:trPr>
          <w:trHeight w:val="429"/>
          <w:jc w:val="center"/>
        </w:trPr>
        <w:tc>
          <w:tcPr>
            <w:tcW w:w="0" w:type="auto"/>
            <w:shd w:val="clear" w:color="auto" w:fill="auto"/>
            <w:vAlign w:val="center"/>
          </w:tcPr>
          <w:p w14:paraId="5444A73A" w14:textId="77777777" w:rsidR="00B21E31" w:rsidRPr="00BD1319" w:rsidRDefault="00B21E31" w:rsidP="00B21E31">
            <w:pPr>
              <w:numPr>
                <w:ilvl w:val="12"/>
                <w:numId w:val="0"/>
              </w:numPr>
              <w:tabs>
                <w:tab w:val="left" w:pos="-2268"/>
              </w:tabs>
              <w:suppressAutoHyphens/>
              <w:rPr>
                <w:spacing w:val="-3"/>
                <w:sz w:val="20"/>
                <w:szCs w:val="20"/>
                <w:lang w:val="es-ES"/>
              </w:rPr>
            </w:pPr>
            <w:r w:rsidRPr="00BD1319">
              <w:rPr>
                <w:spacing w:val="-3"/>
                <w:sz w:val="20"/>
                <w:szCs w:val="20"/>
                <w:lang w:val="es-ES"/>
              </w:rPr>
              <w:t>Ríos sinuosos o meándricos</w:t>
            </w:r>
          </w:p>
        </w:tc>
        <w:tc>
          <w:tcPr>
            <w:tcW w:w="0" w:type="auto"/>
            <w:shd w:val="clear" w:color="auto" w:fill="auto"/>
            <w:vAlign w:val="center"/>
          </w:tcPr>
          <w:p w14:paraId="68D0427F" w14:textId="693E2228" w:rsidR="00B21E31" w:rsidRPr="00BD1319" w:rsidRDefault="00B21E31" w:rsidP="00B21E31">
            <w:pPr>
              <w:numPr>
                <w:ilvl w:val="12"/>
                <w:numId w:val="0"/>
              </w:numPr>
              <w:tabs>
                <w:tab w:val="left" w:pos="-2268"/>
              </w:tabs>
              <w:suppressAutoHyphens/>
              <w:rPr>
                <w:spacing w:val="-3"/>
                <w:sz w:val="20"/>
                <w:szCs w:val="20"/>
                <w:lang w:val="fr-FR"/>
              </w:rPr>
            </w:pPr>
            <w:r w:rsidRPr="00BD1319">
              <w:rPr>
                <w:spacing w:val="-3"/>
                <w:sz w:val="20"/>
                <w:szCs w:val="20"/>
                <w:lang w:val="fr-FR"/>
              </w:rPr>
              <w:t xml:space="preserve">Saint-Venant 2D u </w:t>
            </w:r>
            <w:r w:rsidR="006139F2" w:rsidRPr="00BD1319">
              <w:rPr>
                <w:spacing w:val="-3"/>
                <w:sz w:val="20"/>
                <w:szCs w:val="20"/>
                <w:lang w:val="fr-FR"/>
              </w:rPr>
              <w:t>o</w:t>
            </w:r>
            <w:r w:rsidRPr="00BD1319">
              <w:rPr>
                <w:spacing w:val="-3"/>
                <w:sz w:val="20"/>
                <w:szCs w:val="20"/>
                <w:lang w:val="fr-FR"/>
              </w:rPr>
              <w:t xml:space="preserve">nda </w:t>
            </w:r>
            <w:proofErr w:type="spellStart"/>
            <w:r w:rsidR="006139F2" w:rsidRPr="00BD1319">
              <w:rPr>
                <w:spacing w:val="-3"/>
                <w:sz w:val="20"/>
                <w:szCs w:val="20"/>
                <w:lang w:val="fr-FR"/>
              </w:rPr>
              <w:t>difusiva</w:t>
            </w:r>
            <w:proofErr w:type="spellEnd"/>
          </w:p>
        </w:tc>
      </w:tr>
      <w:tr w:rsidR="00B21E31" w:rsidRPr="00E002E9" w14:paraId="5B2E66E9" w14:textId="77777777" w:rsidTr="009C6D76">
        <w:trPr>
          <w:trHeight w:val="407"/>
          <w:jc w:val="center"/>
        </w:trPr>
        <w:tc>
          <w:tcPr>
            <w:tcW w:w="0" w:type="auto"/>
            <w:shd w:val="clear" w:color="auto" w:fill="auto"/>
            <w:vAlign w:val="center"/>
          </w:tcPr>
          <w:p w14:paraId="7D286371" w14:textId="77777777" w:rsidR="00B21E31" w:rsidRPr="00BD1319" w:rsidRDefault="00B21E31" w:rsidP="00B21E31">
            <w:pPr>
              <w:numPr>
                <w:ilvl w:val="12"/>
                <w:numId w:val="0"/>
              </w:numPr>
              <w:tabs>
                <w:tab w:val="left" w:pos="-2268"/>
              </w:tabs>
              <w:suppressAutoHyphens/>
              <w:rPr>
                <w:spacing w:val="-3"/>
                <w:sz w:val="20"/>
                <w:szCs w:val="20"/>
                <w:lang w:val="es-ES"/>
              </w:rPr>
            </w:pPr>
            <w:r w:rsidRPr="00BD1319">
              <w:rPr>
                <w:spacing w:val="-3"/>
                <w:sz w:val="20"/>
                <w:szCs w:val="20"/>
                <w:lang w:val="es-ES"/>
              </w:rPr>
              <w:t>Ríos rectilíneos</w:t>
            </w:r>
          </w:p>
        </w:tc>
        <w:tc>
          <w:tcPr>
            <w:tcW w:w="0" w:type="auto"/>
            <w:shd w:val="clear" w:color="auto" w:fill="auto"/>
            <w:vAlign w:val="center"/>
          </w:tcPr>
          <w:p w14:paraId="117BF338" w14:textId="77777777" w:rsidR="00B21E31" w:rsidRPr="00BD1319" w:rsidRDefault="00B21E31" w:rsidP="00B21E31">
            <w:pPr>
              <w:numPr>
                <w:ilvl w:val="12"/>
                <w:numId w:val="0"/>
              </w:numPr>
              <w:tabs>
                <w:tab w:val="left" w:pos="-2268"/>
              </w:tabs>
              <w:suppressAutoHyphens/>
              <w:rPr>
                <w:spacing w:val="-3"/>
                <w:sz w:val="20"/>
                <w:szCs w:val="20"/>
                <w:lang w:val="fr-FR"/>
              </w:rPr>
            </w:pPr>
            <w:r w:rsidRPr="00BD1319">
              <w:rPr>
                <w:spacing w:val="-3"/>
                <w:sz w:val="20"/>
                <w:szCs w:val="20"/>
                <w:lang w:val="fr-FR"/>
              </w:rPr>
              <w:t>Saint-Venant 1D o FGV</w:t>
            </w:r>
          </w:p>
        </w:tc>
      </w:tr>
      <w:tr w:rsidR="00B21E31" w:rsidRPr="00E002E9" w14:paraId="3B70FB9A" w14:textId="77777777" w:rsidTr="009C6D76">
        <w:trPr>
          <w:trHeight w:val="428"/>
          <w:jc w:val="center"/>
        </w:trPr>
        <w:tc>
          <w:tcPr>
            <w:tcW w:w="0" w:type="auto"/>
            <w:shd w:val="clear" w:color="auto" w:fill="auto"/>
            <w:vAlign w:val="center"/>
          </w:tcPr>
          <w:p w14:paraId="1E2EE1FF" w14:textId="77777777" w:rsidR="00B21E31" w:rsidRPr="00BD1319" w:rsidRDefault="00B21E31" w:rsidP="00B21E31">
            <w:pPr>
              <w:numPr>
                <w:ilvl w:val="12"/>
                <w:numId w:val="0"/>
              </w:numPr>
              <w:tabs>
                <w:tab w:val="left" w:pos="-2268"/>
              </w:tabs>
              <w:suppressAutoHyphens/>
              <w:rPr>
                <w:spacing w:val="-3"/>
                <w:sz w:val="20"/>
                <w:szCs w:val="20"/>
                <w:lang w:val="es-ES"/>
              </w:rPr>
            </w:pPr>
            <w:r w:rsidRPr="00BD1319">
              <w:rPr>
                <w:spacing w:val="-3"/>
                <w:sz w:val="20"/>
                <w:szCs w:val="20"/>
                <w:lang w:val="es-ES"/>
              </w:rPr>
              <w:t>Ciénagas</w:t>
            </w:r>
          </w:p>
        </w:tc>
        <w:tc>
          <w:tcPr>
            <w:tcW w:w="0" w:type="auto"/>
            <w:shd w:val="clear" w:color="auto" w:fill="auto"/>
            <w:vAlign w:val="center"/>
          </w:tcPr>
          <w:p w14:paraId="07A0B5F4" w14:textId="035AA35D" w:rsidR="00B21E31" w:rsidRPr="00BD1319" w:rsidRDefault="00B21E31" w:rsidP="00B21E31">
            <w:pPr>
              <w:numPr>
                <w:ilvl w:val="12"/>
                <w:numId w:val="0"/>
              </w:numPr>
              <w:tabs>
                <w:tab w:val="left" w:pos="-2268"/>
              </w:tabs>
              <w:suppressAutoHyphens/>
              <w:rPr>
                <w:spacing w:val="-3"/>
                <w:sz w:val="20"/>
                <w:szCs w:val="20"/>
                <w:lang w:val="fr-FR"/>
              </w:rPr>
            </w:pPr>
            <w:r w:rsidRPr="00BD1319">
              <w:rPr>
                <w:spacing w:val="-3"/>
                <w:sz w:val="20"/>
                <w:szCs w:val="20"/>
                <w:lang w:val="fr-FR"/>
              </w:rPr>
              <w:t xml:space="preserve">Saint-Venant 2D u </w:t>
            </w:r>
            <w:r w:rsidR="006139F2" w:rsidRPr="00BD1319">
              <w:rPr>
                <w:spacing w:val="-3"/>
                <w:sz w:val="20"/>
                <w:szCs w:val="20"/>
                <w:lang w:val="fr-FR"/>
              </w:rPr>
              <w:t xml:space="preserve">onda </w:t>
            </w:r>
            <w:proofErr w:type="spellStart"/>
            <w:r w:rsidR="006139F2" w:rsidRPr="00BD1319">
              <w:rPr>
                <w:spacing w:val="-3"/>
                <w:sz w:val="20"/>
                <w:szCs w:val="20"/>
                <w:lang w:val="fr-FR"/>
              </w:rPr>
              <w:t>difusiva</w:t>
            </w:r>
            <w:proofErr w:type="spellEnd"/>
          </w:p>
        </w:tc>
      </w:tr>
      <w:tr w:rsidR="00B21E31" w:rsidRPr="00E002E9" w14:paraId="483FFB96" w14:textId="77777777" w:rsidTr="009C6D76">
        <w:trPr>
          <w:trHeight w:val="406"/>
          <w:jc w:val="center"/>
        </w:trPr>
        <w:tc>
          <w:tcPr>
            <w:tcW w:w="0" w:type="auto"/>
            <w:shd w:val="clear" w:color="auto" w:fill="auto"/>
            <w:vAlign w:val="center"/>
          </w:tcPr>
          <w:p w14:paraId="787111FE" w14:textId="77777777" w:rsidR="00B21E31" w:rsidRPr="00BD1319" w:rsidRDefault="00B21E31" w:rsidP="00B21E31">
            <w:pPr>
              <w:numPr>
                <w:ilvl w:val="12"/>
                <w:numId w:val="0"/>
              </w:numPr>
              <w:tabs>
                <w:tab w:val="left" w:pos="-2268"/>
              </w:tabs>
              <w:suppressAutoHyphens/>
              <w:rPr>
                <w:spacing w:val="-3"/>
                <w:sz w:val="20"/>
                <w:szCs w:val="20"/>
                <w:lang w:val="es-ES"/>
              </w:rPr>
            </w:pPr>
            <w:r w:rsidRPr="00BD1319">
              <w:rPr>
                <w:spacing w:val="-3"/>
                <w:sz w:val="20"/>
                <w:szCs w:val="20"/>
                <w:lang w:val="es-ES"/>
              </w:rPr>
              <w:t>Zonas estuarinas</w:t>
            </w:r>
          </w:p>
        </w:tc>
        <w:tc>
          <w:tcPr>
            <w:tcW w:w="0" w:type="auto"/>
            <w:shd w:val="clear" w:color="auto" w:fill="auto"/>
            <w:vAlign w:val="center"/>
          </w:tcPr>
          <w:p w14:paraId="24CC2F51" w14:textId="3757DD33" w:rsidR="00B21E31" w:rsidRPr="00BD1319" w:rsidRDefault="00B21E31" w:rsidP="00B21E31">
            <w:pPr>
              <w:numPr>
                <w:ilvl w:val="12"/>
                <w:numId w:val="0"/>
              </w:numPr>
              <w:tabs>
                <w:tab w:val="left" w:pos="-2268"/>
              </w:tabs>
              <w:suppressAutoHyphens/>
              <w:rPr>
                <w:spacing w:val="-3"/>
                <w:sz w:val="20"/>
                <w:szCs w:val="20"/>
                <w:lang w:val="fr-FR"/>
              </w:rPr>
            </w:pPr>
            <w:r w:rsidRPr="00BD1319">
              <w:rPr>
                <w:spacing w:val="-3"/>
                <w:sz w:val="20"/>
                <w:szCs w:val="20"/>
                <w:lang w:val="fr-FR"/>
              </w:rPr>
              <w:t xml:space="preserve">Saint-Venant 2D u </w:t>
            </w:r>
            <w:r w:rsidR="006139F2" w:rsidRPr="00BD1319">
              <w:rPr>
                <w:spacing w:val="-3"/>
                <w:sz w:val="20"/>
                <w:szCs w:val="20"/>
                <w:lang w:val="fr-FR"/>
              </w:rPr>
              <w:t xml:space="preserve">onda </w:t>
            </w:r>
            <w:proofErr w:type="spellStart"/>
            <w:r w:rsidR="006139F2" w:rsidRPr="00BD1319">
              <w:rPr>
                <w:spacing w:val="-3"/>
                <w:sz w:val="20"/>
                <w:szCs w:val="20"/>
                <w:lang w:val="fr-FR"/>
              </w:rPr>
              <w:t>difusiva</w:t>
            </w:r>
            <w:proofErr w:type="spellEnd"/>
          </w:p>
        </w:tc>
      </w:tr>
      <w:tr w:rsidR="00B21E31" w:rsidRPr="00E002E9" w14:paraId="55E834F7" w14:textId="77777777" w:rsidTr="009C6D76">
        <w:trPr>
          <w:trHeight w:val="425"/>
          <w:jc w:val="center"/>
        </w:trPr>
        <w:tc>
          <w:tcPr>
            <w:tcW w:w="0" w:type="auto"/>
            <w:shd w:val="clear" w:color="auto" w:fill="auto"/>
            <w:vAlign w:val="center"/>
          </w:tcPr>
          <w:p w14:paraId="59A37611" w14:textId="77777777" w:rsidR="00B21E31" w:rsidRPr="00BD1319" w:rsidRDefault="00B21E31" w:rsidP="00B21E31">
            <w:pPr>
              <w:numPr>
                <w:ilvl w:val="12"/>
                <w:numId w:val="0"/>
              </w:numPr>
              <w:tabs>
                <w:tab w:val="left" w:pos="-2268"/>
              </w:tabs>
              <w:suppressAutoHyphens/>
              <w:rPr>
                <w:spacing w:val="-3"/>
                <w:sz w:val="20"/>
                <w:szCs w:val="20"/>
                <w:lang w:val="es-ES"/>
              </w:rPr>
            </w:pPr>
            <w:r w:rsidRPr="00BD1319">
              <w:rPr>
                <w:spacing w:val="-3"/>
                <w:sz w:val="20"/>
                <w:szCs w:val="20"/>
                <w:lang w:val="es-ES"/>
              </w:rPr>
              <w:t>Canales rectilíneos</w:t>
            </w:r>
          </w:p>
        </w:tc>
        <w:tc>
          <w:tcPr>
            <w:tcW w:w="0" w:type="auto"/>
            <w:shd w:val="clear" w:color="auto" w:fill="auto"/>
            <w:vAlign w:val="center"/>
          </w:tcPr>
          <w:p w14:paraId="6EF55C70" w14:textId="77777777" w:rsidR="00B21E31" w:rsidRPr="00BD1319" w:rsidRDefault="00B21E31" w:rsidP="00B21E31">
            <w:pPr>
              <w:numPr>
                <w:ilvl w:val="12"/>
                <w:numId w:val="0"/>
              </w:numPr>
              <w:tabs>
                <w:tab w:val="left" w:pos="-2268"/>
              </w:tabs>
              <w:suppressAutoHyphens/>
              <w:rPr>
                <w:spacing w:val="-3"/>
                <w:sz w:val="20"/>
                <w:szCs w:val="20"/>
                <w:lang w:val="fr-FR"/>
              </w:rPr>
            </w:pPr>
            <w:r w:rsidRPr="00BD1319">
              <w:rPr>
                <w:spacing w:val="-3"/>
                <w:sz w:val="20"/>
                <w:szCs w:val="20"/>
                <w:lang w:val="fr-FR"/>
              </w:rPr>
              <w:t>Saint-Venant 1D o FGV</w:t>
            </w:r>
          </w:p>
        </w:tc>
      </w:tr>
      <w:tr w:rsidR="00B21E31" w:rsidRPr="00BD1319" w14:paraId="3840B442" w14:textId="77777777" w:rsidTr="009C6D76">
        <w:trPr>
          <w:trHeight w:val="403"/>
          <w:jc w:val="center"/>
        </w:trPr>
        <w:tc>
          <w:tcPr>
            <w:tcW w:w="0" w:type="auto"/>
            <w:shd w:val="clear" w:color="auto" w:fill="auto"/>
            <w:vAlign w:val="center"/>
          </w:tcPr>
          <w:p w14:paraId="4844C05F" w14:textId="77777777" w:rsidR="00B21E31" w:rsidRPr="00BD1319" w:rsidRDefault="00B21E31" w:rsidP="00B21E31">
            <w:pPr>
              <w:numPr>
                <w:ilvl w:val="12"/>
                <w:numId w:val="0"/>
              </w:numPr>
              <w:tabs>
                <w:tab w:val="left" w:pos="-2268"/>
              </w:tabs>
              <w:suppressAutoHyphens/>
              <w:rPr>
                <w:spacing w:val="-3"/>
                <w:sz w:val="20"/>
                <w:szCs w:val="20"/>
                <w:lang w:val="es-ES"/>
              </w:rPr>
            </w:pPr>
            <w:r w:rsidRPr="00BD1319">
              <w:rPr>
                <w:spacing w:val="-3"/>
                <w:sz w:val="20"/>
                <w:szCs w:val="20"/>
                <w:lang w:val="es-ES"/>
              </w:rPr>
              <w:t>Modelos hidrológicos distribuidos</w:t>
            </w:r>
          </w:p>
        </w:tc>
        <w:tc>
          <w:tcPr>
            <w:tcW w:w="0" w:type="auto"/>
            <w:shd w:val="clear" w:color="auto" w:fill="auto"/>
            <w:vAlign w:val="center"/>
          </w:tcPr>
          <w:p w14:paraId="1094D1C9" w14:textId="5D230C8E" w:rsidR="00B21E31" w:rsidRPr="00BD1319" w:rsidRDefault="006139F2" w:rsidP="00B21E31">
            <w:pPr>
              <w:numPr>
                <w:ilvl w:val="12"/>
                <w:numId w:val="0"/>
              </w:numPr>
              <w:tabs>
                <w:tab w:val="left" w:pos="-2268"/>
              </w:tabs>
              <w:suppressAutoHyphens/>
              <w:rPr>
                <w:spacing w:val="-3"/>
                <w:sz w:val="20"/>
                <w:szCs w:val="20"/>
                <w:lang w:val="en-US"/>
              </w:rPr>
            </w:pPr>
            <w:r w:rsidRPr="00BD1319">
              <w:rPr>
                <w:spacing w:val="-3"/>
                <w:sz w:val="20"/>
                <w:szCs w:val="20"/>
                <w:lang w:val="fr-FR"/>
              </w:rPr>
              <w:t xml:space="preserve">Onda </w:t>
            </w:r>
            <w:proofErr w:type="spellStart"/>
            <w:r w:rsidRPr="00BD1319">
              <w:rPr>
                <w:spacing w:val="-3"/>
                <w:sz w:val="20"/>
                <w:szCs w:val="20"/>
                <w:lang w:val="fr-FR"/>
              </w:rPr>
              <w:t>difusiva</w:t>
            </w:r>
            <w:proofErr w:type="spellEnd"/>
          </w:p>
        </w:tc>
      </w:tr>
    </w:tbl>
    <w:p w14:paraId="0AD1EB4F" w14:textId="3517FDDE" w:rsidR="006139F2" w:rsidRPr="00BD1319" w:rsidRDefault="006139F2" w:rsidP="006139F2">
      <w:pPr>
        <w:tabs>
          <w:tab w:val="left" w:pos="-2268"/>
        </w:tabs>
        <w:suppressAutoHyphens/>
        <w:ind w:left="1701" w:right="1752"/>
        <w:jc w:val="center"/>
        <w:rPr>
          <w:rFonts w:cs="Arial"/>
          <w:spacing w:val="-3"/>
          <w:sz w:val="20"/>
        </w:rPr>
      </w:pPr>
      <w:r w:rsidRPr="00BD1319">
        <w:rPr>
          <w:rFonts w:cs="Arial"/>
          <w:b/>
          <w:spacing w:val="-3"/>
          <w:sz w:val="20"/>
        </w:rPr>
        <w:t>Fuente:</w:t>
      </w:r>
      <w:r w:rsidRPr="00BD1319">
        <w:rPr>
          <w:rFonts w:cs="Arial"/>
          <w:spacing w:val="-3"/>
          <w:sz w:val="20"/>
        </w:rPr>
        <w:t xml:space="preserve"> ANLA -2020.</w:t>
      </w:r>
    </w:p>
    <w:p w14:paraId="0C4FE559" w14:textId="77777777" w:rsidR="00B21E31" w:rsidRPr="00BD1319" w:rsidRDefault="00B21E31">
      <w:pPr>
        <w:numPr>
          <w:ilvl w:val="12"/>
          <w:numId w:val="0"/>
        </w:numPr>
        <w:tabs>
          <w:tab w:val="left" w:pos="-2268"/>
        </w:tabs>
        <w:suppressAutoHyphens/>
        <w:rPr>
          <w:spacing w:val="-3"/>
        </w:rPr>
      </w:pPr>
    </w:p>
    <w:p w14:paraId="5B319BB5" w14:textId="77777777" w:rsidR="009D132B" w:rsidRPr="00BD1319" w:rsidRDefault="009D132B" w:rsidP="009420F5">
      <w:pPr>
        <w:pStyle w:val="Ttulo4"/>
        <w:tabs>
          <w:tab w:val="clear" w:pos="1844"/>
          <w:tab w:val="num" w:pos="1134"/>
        </w:tabs>
        <w:ind w:left="0"/>
        <w:rPr>
          <w:lang w:val="es-CO"/>
        </w:rPr>
      </w:pPr>
      <w:bookmarkStart w:id="2646" w:name="_Toc488954499"/>
      <w:bookmarkStart w:id="2647" w:name="_Ref76195919"/>
      <w:r w:rsidRPr="00BD1319">
        <w:rPr>
          <w:lang w:val="es-CO"/>
        </w:rPr>
        <w:t>Geotecnia</w:t>
      </w:r>
      <w:bookmarkEnd w:id="2646"/>
      <w:bookmarkEnd w:id="2647"/>
    </w:p>
    <w:p w14:paraId="192F545C" w14:textId="77777777" w:rsidR="009D132B" w:rsidRPr="00BD1319" w:rsidRDefault="009D132B">
      <w:pPr>
        <w:numPr>
          <w:ilvl w:val="12"/>
          <w:numId w:val="0"/>
        </w:numPr>
        <w:tabs>
          <w:tab w:val="left" w:pos="-2268"/>
        </w:tabs>
        <w:suppressAutoHyphens/>
        <w:rPr>
          <w:spacing w:val="-3"/>
        </w:rPr>
      </w:pPr>
    </w:p>
    <w:p w14:paraId="47C40C96" w14:textId="7C5ABA4D" w:rsidR="009D132B" w:rsidRPr="00BD1319" w:rsidRDefault="009D132B">
      <w:pPr>
        <w:numPr>
          <w:ilvl w:val="12"/>
          <w:numId w:val="0"/>
        </w:numPr>
        <w:tabs>
          <w:tab w:val="left" w:pos="-2268"/>
        </w:tabs>
        <w:suppressAutoHyphens/>
        <w:rPr>
          <w:spacing w:val="-3"/>
        </w:rPr>
      </w:pPr>
      <w:r w:rsidRPr="00BD1319">
        <w:rPr>
          <w:spacing w:val="-3"/>
        </w:rPr>
        <w:t xml:space="preserve">Realizar una descripción y zonificación geotécnica cualitativa, incluyendo las condiciones existentes en el área de influencia del </w:t>
      </w:r>
      <w:r w:rsidR="00F863C9" w:rsidRPr="00BD1319">
        <w:rPr>
          <w:rFonts w:cs="Arial"/>
          <w:spacing w:val="-3"/>
        </w:rPr>
        <w:t>componente</w:t>
      </w:r>
      <w:r w:rsidRPr="00BD1319">
        <w:rPr>
          <w:spacing w:val="-3"/>
        </w:rPr>
        <w:t xml:space="preserve">, con base en la información geológica, geomorfológica, de pendientes, edafológica, hidrogeológica, hidrológica, de coberturas y usos del suelo, atmosférica, y de amenazas naturales (inundación, movimiento en masa, </w:t>
      </w:r>
      <w:r w:rsidR="00F47D32" w:rsidRPr="00BD1319">
        <w:rPr>
          <w:spacing w:val="-3"/>
        </w:rPr>
        <w:t xml:space="preserve">movimiento </w:t>
      </w:r>
      <w:r w:rsidRPr="00BD1319">
        <w:rPr>
          <w:spacing w:val="-3"/>
        </w:rPr>
        <w:t>sísmic</w:t>
      </w:r>
      <w:r w:rsidR="00F47D32" w:rsidRPr="00BD1319">
        <w:rPr>
          <w:spacing w:val="-3"/>
        </w:rPr>
        <w:t>o</w:t>
      </w:r>
      <w:r w:rsidRPr="00BD1319">
        <w:rPr>
          <w:spacing w:val="-3"/>
        </w:rPr>
        <w:t>, entre otras).</w:t>
      </w:r>
    </w:p>
    <w:p w14:paraId="4723B50D" w14:textId="77777777" w:rsidR="009D132B" w:rsidRPr="00BD1319" w:rsidRDefault="009D132B" w:rsidP="009D132B">
      <w:pPr>
        <w:numPr>
          <w:ilvl w:val="12"/>
          <w:numId w:val="0"/>
        </w:numPr>
        <w:tabs>
          <w:tab w:val="left" w:pos="-2268"/>
        </w:tabs>
        <w:suppressAutoHyphens/>
        <w:rPr>
          <w:rFonts w:cs="Arial"/>
          <w:spacing w:val="-3"/>
        </w:rPr>
      </w:pPr>
    </w:p>
    <w:p w14:paraId="3FE59667" w14:textId="781798C9" w:rsidR="009D132B" w:rsidRPr="00BD1319" w:rsidRDefault="00F47D32" w:rsidP="009D132B">
      <w:pPr>
        <w:numPr>
          <w:ilvl w:val="12"/>
          <w:numId w:val="0"/>
        </w:numPr>
        <w:tabs>
          <w:tab w:val="left" w:pos="-2268"/>
        </w:tabs>
        <w:suppressAutoHyphens/>
        <w:rPr>
          <w:rFonts w:cs="Arial"/>
          <w:spacing w:val="-3"/>
        </w:rPr>
      </w:pPr>
      <w:r w:rsidRPr="00BD1319">
        <w:rPr>
          <w:rFonts w:cs="Arial"/>
          <w:spacing w:val="-3"/>
        </w:rPr>
        <w:lastRenderedPageBreak/>
        <w:t xml:space="preserve">De conformidad con </w:t>
      </w:r>
      <w:r w:rsidR="009D132B" w:rsidRPr="00BD1319">
        <w:rPr>
          <w:rFonts w:cs="Arial"/>
          <w:spacing w:val="-3"/>
        </w:rPr>
        <w:t>las particularidades del proyecto</w:t>
      </w:r>
      <w:r w:rsidR="00C92C16" w:rsidRPr="00BD1319">
        <w:rPr>
          <w:spacing w:val="-3"/>
        </w:rPr>
        <w:t>, obra o actividad</w:t>
      </w:r>
      <w:r w:rsidR="009D132B" w:rsidRPr="00BD1319">
        <w:rPr>
          <w:rFonts w:cs="Arial"/>
          <w:spacing w:val="-3"/>
        </w:rPr>
        <w:t xml:space="preserve">, se debe incluir información </w:t>
      </w:r>
      <w:r w:rsidRPr="00BD1319">
        <w:rPr>
          <w:rFonts w:cs="Arial"/>
          <w:spacing w:val="-3"/>
        </w:rPr>
        <w:t xml:space="preserve">sobre las </w:t>
      </w:r>
      <w:r w:rsidR="009D132B" w:rsidRPr="00BD1319">
        <w:rPr>
          <w:rFonts w:cs="Arial"/>
          <w:spacing w:val="-3"/>
        </w:rPr>
        <w:t xml:space="preserve">propiedades físicas de los suelos como </w:t>
      </w:r>
      <w:r w:rsidR="00037008" w:rsidRPr="00BD1319">
        <w:rPr>
          <w:rFonts w:cs="Arial"/>
          <w:spacing w:val="-3"/>
        </w:rPr>
        <w:t>g</w:t>
      </w:r>
      <w:r w:rsidR="009D132B" w:rsidRPr="00BD1319">
        <w:rPr>
          <w:rFonts w:cs="Arial"/>
          <w:spacing w:val="-3"/>
        </w:rPr>
        <w:t xml:space="preserve">ranulometría, </w:t>
      </w:r>
      <w:r w:rsidR="00037008" w:rsidRPr="00BD1319">
        <w:rPr>
          <w:rFonts w:cs="Arial"/>
          <w:spacing w:val="-3"/>
        </w:rPr>
        <w:t>c</w:t>
      </w:r>
      <w:r w:rsidR="009D132B" w:rsidRPr="00BD1319">
        <w:rPr>
          <w:rFonts w:cs="Arial"/>
          <w:spacing w:val="-3"/>
        </w:rPr>
        <w:t xml:space="preserve">onductividad hidráulica, </w:t>
      </w:r>
      <w:r w:rsidR="00037008" w:rsidRPr="00BD1319">
        <w:rPr>
          <w:rFonts w:cs="Arial"/>
          <w:spacing w:val="-3"/>
        </w:rPr>
        <w:t>c</w:t>
      </w:r>
      <w:r w:rsidR="009D132B" w:rsidRPr="00BD1319">
        <w:rPr>
          <w:rFonts w:cs="Arial"/>
          <w:spacing w:val="-3"/>
        </w:rPr>
        <w:t xml:space="preserve">apacidad portante, </w:t>
      </w:r>
      <w:r w:rsidR="00037008" w:rsidRPr="00BD1319">
        <w:rPr>
          <w:rFonts w:cs="Arial"/>
          <w:spacing w:val="-3"/>
        </w:rPr>
        <w:t>c</w:t>
      </w:r>
      <w:r w:rsidR="009D132B" w:rsidRPr="00BD1319">
        <w:rPr>
          <w:rFonts w:cs="Arial"/>
          <w:spacing w:val="-3"/>
        </w:rPr>
        <w:t xml:space="preserve">urvas de retención de </w:t>
      </w:r>
      <w:r w:rsidR="00037008" w:rsidRPr="00BD1319">
        <w:rPr>
          <w:rFonts w:cs="Arial"/>
          <w:spacing w:val="-3"/>
        </w:rPr>
        <w:t>h</w:t>
      </w:r>
      <w:r w:rsidR="009D132B" w:rsidRPr="00BD1319">
        <w:rPr>
          <w:rFonts w:cs="Arial"/>
          <w:spacing w:val="-3"/>
        </w:rPr>
        <w:t xml:space="preserve">umedad, Coeficiente de Extensibilidad Lineal </w:t>
      </w:r>
      <w:r w:rsidR="00037008" w:rsidRPr="00BD1319">
        <w:rPr>
          <w:rFonts w:cs="Arial"/>
          <w:spacing w:val="-3"/>
        </w:rPr>
        <w:t>(</w:t>
      </w:r>
      <w:r w:rsidR="009D132B" w:rsidRPr="00BD1319">
        <w:rPr>
          <w:rFonts w:cs="Arial"/>
          <w:spacing w:val="-3"/>
        </w:rPr>
        <w:t>COLE</w:t>
      </w:r>
      <w:r w:rsidR="00037008" w:rsidRPr="00BD1319">
        <w:rPr>
          <w:rFonts w:cs="Arial"/>
          <w:spacing w:val="-3"/>
        </w:rPr>
        <w:t>)</w:t>
      </w:r>
      <w:r w:rsidR="009D132B" w:rsidRPr="00BD1319">
        <w:rPr>
          <w:rFonts w:cs="Arial"/>
          <w:spacing w:val="-3"/>
        </w:rPr>
        <w:t xml:space="preserve">, </w:t>
      </w:r>
      <w:r w:rsidR="00037008" w:rsidRPr="00BD1319">
        <w:rPr>
          <w:rFonts w:cs="Arial"/>
          <w:spacing w:val="-3"/>
        </w:rPr>
        <w:t>l</w:t>
      </w:r>
      <w:r w:rsidR="009D132B" w:rsidRPr="00BD1319">
        <w:rPr>
          <w:rFonts w:cs="Arial"/>
          <w:spacing w:val="-3"/>
        </w:rPr>
        <w:t xml:space="preserve">ímite de Atterberg, </w:t>
      </w:r>
      <w:r w:rsidR="00037008" w:rsidRPr="00BD1319">
        <w:rPr>
          <w:rFonts w:cs="Arial"/>
          <w:spacing w:val="-3"/>
        </w:rPr>
        <w:t>d</w:t>
      </w:r>
      <w:r w:rsidR="009D132B" w:rsidRPr="00BD1319">
        <w:rPr>
          <w:rFonts w:cs="Arial"/>
          <w:spacing w:val="-3"/>
        </w:rPr>
        <w:t>ensidad aparente y real</w:t>
      </w:r>
      <w:r w:rsidRPr="00BD1319">
        <w:rPr>
          <w:rFonts w:cs="Arial"/>
          <w:spacing w:val="-3"/>
        </w:rPr>
        <w:t>,</w:t>
      </w:r>
      <w:r w:rsidR="009D132B" w:rsidRPr="00BD1319">
        <w:rPr>
          <w:rFonts w:cs="Arial"/>
          <w:spacing w:val="-3"/>
        </w:rPr>
        <w:t xml:space="preserve"> y </w:t>
      </w:r>
      <w:r w:rsidR="00037008" w:rsidRPr="00BD1319">
        <w:rPr>
          <w:rFonts w:cs="Arial"/>
          <w:spacing w:val="-3"/>
        </w:rPr>
        <w:t>c</w:t>
      </w:r>
      <w:r w:rsidR="009D132B" w:rsidRPr="00BD1319">
        <w:rPr>
          <w:rFonts w:cs="Arial"/>
          <w:spacing w:val="-3"/>
        </w:rPr>
        <w:t xml:space="preserve">urvas de retención de humedad, </w:t>
      </w:r>
      <w:r w:rsidRPr="00BD1319">
        <w:rPr>
          <w:rFonts w:cs="Arial"/>
          <w:spacing w:val="-3"/>
        </w:rPr>
        <w:t xml:space="preserve">así como los </w:t>
      </w:r>
      <w:r w:rsidR="009D132B" w:rsidRPr="00BD1319">
        <w:rPr>
          <w:rFonts w:cs="Arial"/>
          <w:spacing w:val="-3"/>
        </w:rPr>
        <w:t xml:space="preserve">datos del </w:t>
      </w:r>
      <w:r w:rsidR="00037008" w:rsidRPr="00BD1319">
        <w:rPr>
          <w:rFonts w:cs="Arial"/>
          <w:spacing w:val="-3"/>
        </w:rPr>
        <w:t>modelo digital de elevación</w:t>
      </w:r>
      <w:r w:rsidR="009D132B" w:rsidRPr="00BD1319">
        <w:rPr>
          <w:rFonts w:cs="Arial"/>
          <w:spacing w:val="-3"/>
        </w:rPr>
        <w:t xml:space="preserve"> de pendientes (% y longitud)</w:t>
      </w:r>
      <w:r w:rsidRPr="00BD1319">
        <w:rPr>
          <w:rFonts w:cs="Arial"/>
          <w:spacing w:val="-3"/>
        </w:rPr>
        <w:t>,</w:t>
      </w:r>
      <w:r w:rsidR="009D132B" w:rsidRPr="00BD1319">
        <w:rPr>
          <w:rFonts w:cs="Arial"/>
          <w:spacing w:val="-3"/>
        </w:rPr>
        <w:t xml:space="preserve"> entre otros</w:t>
      </w:r>
      <w:r w:rsidRPr="00BD1319">
        <w:rPr>
          <w:rFonts w:cs="Arial"/>
          <w:spacing w:val="-3"/>
        </w:rPr>
        <w:t xml:space="preserve"> </w:t>
      </w:r>
      <w:r w:rsidR="009D132B" w:rsidRPr="00BD1319">
        <w:rPr>
          <w:rFonts w:cs="Arial"/>
          <w:spacing w:val="-3"/>
        </w:rPr>
        <w:t>parámetros</w:t>
      </w:r>
      <w:r w:rsidRPr="00BD1319">
        <w:rPr>
          <w:rFonts w:cs="Arial"/>
          <w:spacing w:val="-3"/>
        </w:rPr>
        <w:t>,</w:t>
      </w:r>
      <w:r w:rsidR="009D132B" w:rsidRPr="00BD1319">
        <w:rPr>
          <w:rFonts w:cs="Arial"/>
          <w:spacing w:val="-3"/>
        </w:rPr>
        <w:t xml:space="preserve"> para conocer la capacidad de saturación de agua en el perfil de los suelos, capacidad portante y procesos de licuefacción</w:t>
      </w:r>
      <w:r w:rsidR="00693F4E" w:rsidRPr="00BD1319">
        <w:rPr>
          <w:rFonts w:cs="Arial"/>
          <w:spacing w:val="-3"/>
        </w:rPr>
        <w:t xml:space="preserve">; esta </w:t>
      </w:r>
      <w:r w:rsidR="009D132B" w:rsidRPr="00BD1319">
        <w:rPr>
          <w:rFonts w:cs="Arial"/>
          <w:spacing w:val="-3"/>
        </w:rPr>
        <w:t xml:space="preserve">información </w:t>
      </w:r>
      <w:r w:rsidR="00693F4E" w:rsidRPr="00BD1319">
        <w:rPr>
          <w:rFonts w:cs="Arial"/>
          <w:spacing w:val="-3"/>
        </w:rPr>
        <w:t xml:space="preserve">sirve </w:t>
      </w:r>
      <w:r w:rsidR="009D132B" w:rsidRPr="00BD1319">
        <w:rPr>
          <w:rFonts w:cs="Arial"/>
          <w:spacing w:val="-3"/>
        </w:rPr>
        <w:t>de apoyo a los modelos y métodos para el análisis de la estabilidad de laderas, macizo</w:t>
      </w:r>
      <w:r w:rsidR="00693F4E" w:rsidRPr="00BD1319">
        <w:rPr>
          <w:rFonts w:cs="Arial"/>
          <w:spacing w:val="-3"/>
        </w:rPr>
        <w:t>s</w:t>
      </w:r>
      <w:r w:rsidR="009D132B" w:rsidRPr="00BD1319">
        <w:rPr>
          <w:rFonts w:cs="Arial"/>
          <w:spacing w:val="-3"/>
        </w:rPr>
        <w:t xml:space="preserve"> rocoso</w:t>
      </w:r>
      <w:r w:rsidR="00693F4E" w:rsidRPr="00BD1319">
        <w:rPr>
          <w:rFonts w:cs="Arial"/>
          <w:spacing w:val="-3"/>
        </w:rPr>
        <w:t>s</w:t>
      </w:r>
      <w:r w:rsidR="009D132B" w:rsidRPr="00BD1319">
        <w:rPr>
          <w:rFonts w:cs="Arial"/>
          <w:spacing w:val="-3"/>
        </w:rPr>
        <w:t xml:space="preserve"> o taludes, </w:t>
      </w:r>
      <w:r w:rsidR="00693F4E" w:rsidRPr="00BD1319">
        <w:rPr>
          <w:rFonts w:cs="Arial"/>
          <w:spacing w:val="-3"/>
        </w:rPr>
        <w:t xml:space="preserve">que </w:t>
      </w:r>
      <w:r w:rsidR="009D132B" w:rsidRPr="00BD1319">
        <w:rPr>
          <w:rFonts w:cs="Arial"/>
          <w:spacing w:val="-3"/>
        </w:rPr>
        <w:t>soporta</w:t>
      </w:r>
      <w:r w:rsidR="00693F4E" w:rsidRPr="00BD1319">
        <w:rPr>
          <w:rFonts w:cs="Arial"/>
          <w:spacing w:val="-3"/>
        </w:rPr>
        <w:t>n</w:t>
      </w:r>
      <w:r w:rsidR="009D132B" w:rsidRPr="00BD1319">
        <w:rPr>
          <w:rFonts w:cs="Arial"/>
          <w:spacing w:val="-3"/>
        </w:rPr>
        <w:t xml:space="preserve"> l</w:t>
      </w:r>
      <w:r w:rsidR="00693F4E" w:rsidRPr="00BD1319">
        <w:rPr>
          <w:rFonts w:cs="Arial"/>
          <w:spacing w:val="-3"/>
        </w:rPr>
        <w:t>os</w:t>
      </w:r>
      <w:r w:rsidR="009D132B" w:rsidRPr="00BD1319">
        <w:rPr>
          <w:rFonts w:cs="Arial"/>
          <w:spacing w:val="-3"/>
        </w:rPr>
        <w:t xml:space="preserve"> </w:t>
      </w:r>
      <w:r w:rsidR="00693F4E" w:rsidRPr="00BD1319">
        <w:rPr>
          <w:rFonts w:cs="Arial"/>
          <w:spacing w:val="-3"/>
        </w:rPr>
        <w:t xml:space="preserve">conceptos y decisiones de </w:t>
      </w:r>
      <w:r w:rsidR="009D132B" w:rsidRPr="00BD1319">
        <w:rPr>
          <w:rFonts w:cs="Arial"/>
          <w:spacing w:val="-3"/>
        </w:rPr>
        <w:t xml:space="preserve">las instituciones en materia </w:t>
      </w:r>
      <w:r w:rsidR="00693F4E" w:rsidRPr="00BD1319">
        <w:rPr>
          <w:rFonts w:cs="Arial"/>
          <w:spacing w:val="-3"/>
        </w:rPr>
        <w:t xml:space="preserve">de </w:t>
      </w:r>
      <w:r w:rsidR="009D132B" w:rsidRPr="00BD1319">
        <w:rPr>
          <w:rFonts w:cs="Arial"/>
          <w:spacing w:val="-3"/>
        </w:rPr>
        <w:t>amenazas naturales y zonificación geotécnica.</w:t>
      </w:r>
    </w:p>
    <w:p w14:paraId="65C7CFB9" w14:textId="77777777" w:rsidR="009D132B" w:rsidRPr="00BD1319" w:rsidRDefault="009D132B" w:rsidP="009D132B">
      <w:pPr>
        <w:numPr>
          <w:ilvl w:val="12"/>
          <w:numId w:val="0"/>
        </w:numPr>
        <w:tabs>
          <w:tab w:val="left" w:pos="-2268"/>
        </w:tabs>
        <w:suppressAutoHyphens/>
        <w:rPr>
          <w:rFonts w:cs="Arial"/>
          <w:spacing w:val="-3"/>
        </w:rPr>
      </w:pPr>
    </w:p>
    <w:p w14:paraId="526FF369" w14:textId="54D6D5D0" w:rsidR="00574A5D" w:rsidRPr="00BD1319" w:rsidRDefault="00574A5D" w:rsidP="009D132B">
      <w:pPr>
        <w:numPr>
          <w:ilvl w:val="12"/>
          <w:numId w:val="0"/>
        </w:numPr>
        <w:tabs>
          <w:tab w:val="left" w:pos="-2268"/>
        </w:tabs>
        <w:suppressAutoHyphens/>
        <w:rPr>
          <w:rFonts w:cs="Arial"/>
          <w:spacing w:val="-3"/>
        </w:rPr>
      </w:pPr>
      <w:r w:rsidRPr="00BD1319">
        <w:rPr>
          <w:rFonts w:cs="Arial"/>
          <w:spacing w:val="-3"/>
        </w:rPr>
        <w:t xml:space="preserve">Se deben realizar estudios geotécnicos específicos para evaluar las propiedades </w:t>
      </w:r>
      <w:r w:rsidR="00693F4E" w:rsidRPr="00BD1319">
        <w:rPr>
          <w:rFonts w:cs="Arial"/>
          <w:spacing w:val="-3"/>
        </w:rPr>
        <w:t xml:space="preserve">de las rocas, entre ellas, las </w:t>
      </w:r>
      <w:r w:rsidRPr="00BD1319">
        <w:rPr>
          <w:rFonts w:cs="Arial"/>
          <w:spacing w:val="-3"/>
        </w:rPr>
        <w:t xml:space="preserve">geomecánicas (incluida la capacidad portante). De la misma manera, se debe analizar información de proyectos o estudios existentes en el área de influencia del componente, que </w:t>
      </w:r>
      <w:r w:rsidR="00693F4E" w:rsidRPr="00BD1319">
        <w:rPr>
          <w:rFonts w:cs="Arial"/>
          <w:spacing w:val="-3"/>
        </w:rPr>
        <w:t>den</w:t>
      </w:r>
      <w:r w:rsidRPr="00BD1319">
        <w:rPr>
          <w:rFonts w:cs="Arial"/>
          <w:spacing w:val="-3"/>
        </w:rPr>
        <w:t xml:space="preserve"> mayor claridad del comportamiento de las rocas y su interacción con el proyecto</w:t>
      </w:r>
      <w:r w:rsidR="00693F4E" w:rsidRPr="00BD1319">
        <w:rPr>
          <w:rFonts w:cs="Arial"/>
          <w:spacing w:val="-3"/>
        </w:rPr>
        <w:t>, obra o actividad</w:t>
      </w:r>
      <w:r w:rsidRPr="00BD1319">
        <w:rPr>
          <w:rFonts w:cs="Arial"/>
          <w:spacing w:val="-3"/>
        </w:rPr>
        <w:t>.</w:t>
      </w:r>
    </w:p>
    <w:p w14:paraId="2D9E04F6" w14:textId="77777777" w:rsidR="00693F4E" w:rsidRPr="00BD1319" w:rsidRDefault="00693F4E" w:rsidP="009D132B">
      <w:pPr>
        <w:numPr>
          <w:ilvl w:val="12"/>
          <w:numId w:val="0"/>
        </w:numPr>
        <w:tabs>
          <w:tab w:val="left" w:pos="-2268"/>
        </w:tabs>
        <w:suppressAutoHyphens/>
        <w:rPr>
          <w:rFonts w:cs="Arial"/>
          <w:spacing w:val="-3"/>
        </w:rPr>
      </w:pPr>
    </w:p>
    <w:p w14:paraId="2ED516CE" w14:textId="270E0059" w:rsidR="009D132B" w:rsidRPr="00BD1319" w:rsidRDefault="009D132B" w:rsidP="009D132B">
      <w:pPr>
        <w:numPr>
          <w:ilvl w:val="12"/>
          <w:numId w:val="0"/>
        </w:numPr>
        <w:tabs>
          <w:tab w:val="left" w:pos="-2268"/>
        </w:tabs>
        <w:suppressAutoHyphens/>
        <w:rPr>
          <w:rFonts w:cs="Arial"/>
          <w:spacing w:val="-3"/>
        </w:rPr>
      </w:pPr>
      <w:r w:rsidRPr="00BD1319">
        <w:rPr>
          <w:rFonts w:cs="Arial"/>
          <w:spacing w:val="-3"/>
        </w:rPr>
        <w:t>Mostrar para la caracterización de las rocas y depósitos, la descripción macroscópica y petrográfica de las muestras analizadas</w:t>
      </w:r>
      <w:r w:rsidR="005D3409" w:rsidRPr="00BD1319">
        <w:rPr>
          <w:rFonts w:cs="Arial"/>
          <w:spacing w:val="-3"/>
        </w:rPr>
        <w:t xml:space="preserve"> en roca</w:t>
      </w:r>
      <w:r w:rsidRPr="00BD1319">
        <w:rPr>
          <w:rFonts w:cs="Arial"/>
          <w:spacing w:val="-3"/>
        </w:rPr>
        <w:t xml:space="preserve">, así como los resultados de ensayos geoquímicos de laboratorio con </w:t>
      </w:r>
      <w:r w:rsidR="00693F4E" w:rsidRPr="00BD1319">
        <w:rPr>
          <w:rFonts w:cs="Arial"/>
          <w:spacing w:val="-3"/>
        </w:rPr>
        <w:t xml:space="preserve">la </w:t>
      </w:r>
      <w:r w:rsidRPr="00BD1319">
        <w:rPr>
          <w:rFonts w:cs="Arial"/>
          <w:spacing w:val="-3"/>
        </w:rPr>
        <w:t>información que esté disponible, indicando la composición de los materiales y su potencial uso como fuente de materiales de construcción, en caso de se</w:t>
      </w:r>
      <w:r w:rsidR="00A01691" w:rsidRPr="00BD1319">
        <w:rPr>
          <w:rFonts w:cs="Arial"/>
          <w:spacing w:val="-3"/>
        </w:rPr>
        <w:t>r</w:t>
      </w:r>
      <w:r w:rsidRPr="00BD1319">
        <w:rPr>
          <w:rFonts w:cs="Arial"/>
          <w:spacing w:val="-3"/>
        </w:rPr>
        <w:t xml:space="preserve"> requerido por el proyecto</w:t>
      </w:r>
      <w:r w:rsidR="00693F4E" w:rsidRPr="00BD1319">
        <w:rPr>
          <w:rFonts w:cs="Arial"/>
          <w:spacing w:val="-3"/>
        </w:rPr>
        <w:t>, obra o actividad</w:t>
      </w:r>
      <w:r w:rsidRPr="00BD1319">
        <w:rPr>
          <w:rFonts w:cs="Arial"/>
          <w:spacing w:val="-3"/>
        </w:rPr>
        <w:t>.</w:t>
      </w:r>
    </w:p>
    <w:p w14:paraId="3FD89A47" w14:textId="77777777" w:rsidR="009D132B" w:rsidRPr="00BD1319" w:rsidRDefault="009D132B">
      <w:pPr>
        <w:numPr>
          <w:ilvl w:val="12"/>
          <w:numId w:val="0"/>
        </w:numPr>
        <w:tabs>
          <w:tab w:val="left" w:pos="-2268"/>
        </w:tabs>
        <w:suppressAutoHyphens/>
        <w:rPr>
          <w:spacing w:val="-3"/>
        </w:rPr>
      </w:pPr>
    </w:p>
    <w:p w14:paraId="73A36D88" w14:textId="5F302647" w:rsidR="009D132B" w:rsidRPr="00BD1319" w:rsidRDefault="009D132B">
      <w:pPr>
        <w:numPr>
          <w:ilvl w:val="12"/>
          <w:numId w:val="0"/>
        </w:numPr>
        <w:tabs>
          <w:tab w:val="left" w:pos="-2268"/>
        </w:tabs>
        <w:suppressAutoHyphens/>
        <w:rPr>
          <w:spacing w:val="-3"/>
        </w:rPr>
      </w:pPr>
      <w:r w:rsidRPr="00BD1319">
        <w:rPr>
          <w:spacing w:val="-3"/>
        </w:rPr>
        <w:t>Evaluar la presencia de depósitos no consolidados o de coberturas de suelos cuyo comportamiento geotécnico sea importante en la estabilidad de las laderas y taludes.</w:t>
      </w:r>
    </w:p>
    <w:p w14:paraId="5FADEF25" w14:textId="77777777" w:rsidR="009D132B" w:rsidRPr="00BD1319" w:rsidRDefault="009D132B">
      <w:pPr>
        <w:numPr>
          <w:ilvl w:val="12"/>
          <w:numId w:val="0"/>
        </w:numPr>
        <w:tabs>
          <w:tab w:val="left" w:pos="-2268"/>
        </w:tabs>
        <w:suppressAutoHyphens/>
        <w:rPr>
          <w:spacing w:val="-3"/>
        </w:rPr>
      </w:pPr>
    </w:p>
    <w:p w14:paraId="2EBC3848" w14:textId="68AB31B1" w:rsidR="009D132B" w:rsidRPr="00BD1319" w:rsidRDefault="009D132B">
      <w:pPr>
        <w:numPr>
          <w:ilvl w:val="12"/>
          <w:numId w:val="0"/>
        </w:numPr>
        <w:tabs>
          <w:tab w:val="left" w:pos="-2268"/>
        </w:tabs>
        <w:suppressAutoHyphens/>
        <w:rPr>
          <w:spacing w:val="-3"/>
        </w:rPr>
      </w:pPr>
      <w:r w:rsidRPr="00BD1319">
        <w:rPr>
          <w:spacing w:val="-3"/>
        </w:rPr>
        <w:t xml:space="preserve">Presentar el mapa de zonificación geotécnica con la información obtenida en planta y en perfil a la escala que establezcan los términos de referencia, o a una más detallada si el análisis lo requiere, de acuerdo con las </w:t>
      </w:r>
      <w:r w:rsidRPr="00BD1319">
        <w:rPr>
          <w:rFonts w:cs="Arial"/>
          <w:spacing w:val="-3"/>
        </w:rPr>
        <w:t>características</w:t>
      </w:r>
      <w:r w:rsidRPr="00BD1319">
        <w:rPr>
          <w:spacing w:val="-3"/>
        </w:rPr>
        <w:t xml:space="preserve"> del proyecto, </w:t>
      </w:r>
      <w:r w:rsidR="00693F4E" w:rsidRPr="00BD1319">
        <w:rPr>
          <w:spacing w:val="-3"/>
        </w:rPr>
        <w:t xml:space="preserve">obra o actividad </w:t>
      </w:r>
      <w:r w:rsidRPr="00BD1319">
        <w:rPr>
          <w:spacing w:val="-3"/>
        </w:rPr>
        <w:t>y con las condiciones particulares del área</w:t>
      </w:r>
      <w:r w:rsidR="00693F4E" w:rsidRPr="00BD1319">
        <w:rPr>
          <w:spacing w:val="-3"/>
        </w:rPr>
        <w:t xml:space="preserve"> de influencia del componente</w:t>
      </w:r>
      <w:r w:rsidRPr="00BD1319">
        <w:rPr>
          <w:spacing w:val="-3"/>
        </w:rPr>
        <w:t>.</w:t>
      </w:r>
    </w:p>
    <w:p w14:paraId="05C7F3D5" w14:textId="77777777" w:rsidR="009D132B" w:rsidRPr="00BD1319" w:rsidRDefault="009D132B">
      <w:pPr>
        <w:numPr>
          <w:ilvl w:val="12"/>
          <w:numId w:val="0"/>
        </w:numPr>
        <w:tabs>
          <w:tab w:val="left" w:pos="-2268"/>
        </w:tabs>
        <w:suppressAutoHyphens/>
        <w:rPr>
          <w:spacing w:val="-3"/>
        </w:rPr>
      </w:pPr>
    </w:p>
    <w:p w14:paraId="62E1E567" w14:textId="0A9E49EA" w:rsidR="009D132B" w:rsidRPr="00BD1319" w:rsidRDefault="00E03439" w:rsidP="00216955">
      <w:pPr>
        <w:pStyle w:val="Ttulo3"/>
      </w:pPr>
      <w:bookmarkStart w:id="2648" w:name="_Toc43485688"/>
      <w:bookmarkStart w:id="2649" w:name="_Toc43485689"/>
      <w:bookmarkStart w:id="2650" w:name="_Toc43485690"/>
      <w:bookmarkStart w:id="2651" w:name="_Toc43485691"/>
      <w:bookmarkStart w:id="2652" w:name="_Toc43485692"/>
      <w:bookmarkStart w:id="2653" w:name="_Toc43485693"/>
      <w:bookmarkStart w:id="2654" w:name="_Toc43485694"/>
      <w:bookmarkStart w:id="2655" w:name="_Toc43485695"/>
      <w:bookmarkStart w:id="2656" w:name="_Toc43485696"/>
      <w:bookmarkStart w:id="2657" w:name="_Toc43485697"/>
      <w:bookmarkStart w:id="2658" w:name="_Toc43485698"/>
      <w:bookmarkStart w:id="2659" w:name="_Toc43485699"/>
      <w:bookmarkStart w:id="2660" w:name="_Toc43485700"/>
      <w:bookmarkStart w:id="2661" w:name="_Toc43485701"/>
      <w:bookmarkStart w:id="2662" w:name="_Ref81911641"/>
      <w:bookmarkStart w:id="2663" w:name="_Toc175326762"/>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r w:rsidRPr="00BD1319">
        <w:t>Edafológico</w:t>
      </w:r>
      <w:bookmarkEnd w:id="2662"/>
      <w:bookmarkEnd w:id="2663"/>
    </w:p>
    <w:p w14:paraId="0F2A9502" w14:textId="77777777" w:rsidR="009D132B" w:rsidRPr="00BD1319" w:rsidRDefault="009D132B" w:rsidP="009D132B">
      <w:pPr>
        <w:numPr>
          <w:ilvl w:val="12"/>
          <w:numId w:val="0"/>
        </w:numPr>
        <w:tabs>
          <w:tab w:val="left" w:pos="-2268"/>
        </w:tabs>
        <w:suppressAutoHyphens/>
        <w:rPr>
          <w:rFonts w:cs="Arial"/>
          <w:spacing w:val="-3"/>
        </w:rPr>
      </w:pPr>
    </w:p>
    <w:p w14:paraId="09DDC945" w14:textId="0478CC28" w:rsidR="00F9317B" w:rsidRPr="00BD1319" w:rsidRDefault="00F9317B" w:rsidP="00F9317B">
      <w:pPr>
        <w:numPr>
          <w:ilvl w:val="12"/>
          <w:numId w:val="0"/>
        </w:numPr>
        <w:tabs>
          <w:tab w:val="left" w:pos="-2268"/>
        </w:tabs>
        <w:suppressAutoHyphens/>
        <w:rPr>
          <w:rFonts w:cs="Arial"/>
          <w:spacing w:val="-3"/>
        </w:rPr>
      </w:pPr>
      <w:r w:rsidRPr="00BD1319">
        <w:rPr>
          <w:rFonts w:cs="Arial"/>
          <w:spacing w:val="-3"/>
        </w:rPr>
        <w:t xml:space="preserve">Con el fin de caracterizar la línea base de suelos </w:t>
      </w:r>
      <w:r w:rsidR="00EF0F48" w:rsidRPr="00BD1319">
        <w:rPr>
          <w:rFonts w:cs="Arial"/>
          <w:spacing w:val="-3"/>
        </w:rPr>
        <w:t>del área de influencia de</w:t>
      </w:r>
      <w:r w:rsidR="007B3FA1" w:rsidRPr="00BD1319">
        <w:rPr>
          <w:rFonts w:cs="Arial"/>
          <w:spacing w:val="-3"/>
        </w:rPr>
        <w:t xml:space="preserve"> este componente</w:t>
      </w:r>
      <w:r w:rsidRPr="00BD1319">
        <w:rPr>
          <w:rFonts w:cs="Arial"/>
          <w:spacing w:val="-3"/>
        </w:rPr>
        <w:t xml:space="preserve">, se debe realizar la revisión de los estudios detallados o semidetallados de suelos; en caso de que </w:t>
      </w:r>
      <w:r w:rsidR="00A01691" w:rsidRPr="00BD1319">
        <w:rPr>
          <w:rFonts w:cs="Arial"/>
          <w:spacing w:val="-3"/>
        </w:rPr>
        <w:t xml:space="preserve">éstos </w:t>
      </w:r>
      <w:r w:rsidRPr="00BD1319">
        <w:rPr>
          <w:rFonts w:cs="Arial"/>
          <w:spacing w:val="-3"/>
        </w:rPr>
        <w:t xml:space="preserve">no </w:t>
      </w:r>
      <w:r w:rsidR="00A01691" w:rsidRPr="00BD1319">
        <w:rPr>
          <w:rFonts w:cs="Arial"/>
          <w:spacing w:val="-3"/>
        </w:rPr>
        <w:t>existan</w:t>
      </w:r>
      <w:r w:rsidRPr="00BD1319">
        <w:rPr>
          <w:rFonts w:cs="Arial"/>
          <w:spacing w:val="-3"/>
        </w:rPr>
        <w:t>, se debe realizar un levantamiento de suelos</w:t>
      </w:r>
      <w:r w:rsidR="007B3FA1" w:rsidRPr="00BD1319">
        <w:rPr>
          <w:rFonts w:cs="Arial"/>
          <w:spacing w:val="-3"/>
        </w:rPr>
        <w:t xml:space="preserve"> </w:t>
      </w:r>
      <w:r w:rsidR="00DA57B4" w:rsidRPr="00BD1319">
        <w:rPr>
          <w:rFonts w:cs="Arial"/>
          <w:spacing w:val="-3"/>
        </w:rPr>
        <w:t xml:space="preserve">y establecer su capacidad de uso </w:t>
      </w:r>
      <w:r w:rsidR="007B3FA1" w:rsidRPr="00BD1319">
        <w:rPr>
          <w:rFonts w:cs="Arial"/>
          <w:spacing w:val="-3"/>
        </w:rPr>
        <w:t xml:space="preserve">siguiendo </w:t>
      </w:r>
      <w:r w:rsidRPr="00BD1319">
        <w:rPr>
          <w:rFonts w:cs="Arial"/>
          <w:spacing w:val="-3"/>
        </w:rPr>
        <w:t>las metodologías oficiales del IGAC</w:t>
      </w:r>
      <w:r w:rsidR="005C4860" w:rsidRPr="00BD1319">
        <w:rPr>
          <w:rFonts w:cs="Arial"/>
          <w:spacing w:val="-3"/>
        </w:rPr>
        <w:t xml:space="preserve">, </w:t>
      </w:r>
      <w:r w:rsidR="00DA57B4" w:rsidRPr="00BD1319">
        <w:rPr>
          <w:rFonts w:cs="Arial"/>
          <w:spacing w:val="-3"/>
        </w:rPr>
        <w:t xml:space="preserve">así como </w:t>
      </w:r>
      <w:r w:rsidRPr="00BD1319">
        <w:rPr>
          <w:rFonts w:cs="Arial"/>
          <w:spacing w:val="-3"/>
        </w:rPr>
        <w:t>realizar un análisis de</w:t>
      </w:r>
      <w:r w:rsidR="005C4860" w:rsidRPr="00BD1319">
        <w:rPr>
          <w:rFonts w:cs="Arial"/>
          <w:spacing w:val="-3"/>
        </w:rPr>
        <w:t xml:space="preserve"> su</w:t>
      </w:r>
      <w:r w:rsidRPr="00BD1319">
        <w:rPr>
          <w:rFonts w:cs="Arial"/>
          <w:spacing w:val="-3"/>
        </w:rPr>
        <w:t xml:space="preserve"> estado de conservación o degradación</w:t>
      </w:r>
      <w:r w:rsidR="00927D20" w:rsidRPr="00BD1319">
        <w:rPr>
          <w:rFonts w:cs="Arial"/>
          <w:spacing w:val="-3"/>
        </w:rPr>
        <w:t xml:space="preserve"> conforme a los protocolos que para tales fines disponga el IDEAM o las instituciones responsables</w:t>
      </w:r>
      <w:r w:rsidRPr="00BD1319">
        <w:rPr>
          <w:rFonts w:cs="Arial"/>
          <w:spacing w:val="-3"/>
        </w:rPr>
        <w:t>. Est</w:t>
      </w:r>
      <w:r w:rsidR="007B1C91" w:rsidRPr="00BD1319">
        <w:rPr>
          <w:rFonts w:cs="Arial"/>
          <w:spacing w:val="-3"/>
        </w:rPr>
        <w:t>a información, que considera el sistema suelo como parte integral de los ecosistemas,</w:t>
      </w:r>
      <w:r w:rsidRPr="00BD1319">
        <w:rPr>
          <w:rFonts w:cs="Arial"/>
          <w:spacing w:val="-3"/>
        </w:rPr>
        <w:t xml:space="preserve"> </w:t>
      </w:r>
      <w:r w:rsidR="00DD7515" w:rsidRPr="00BD1319">
        <w:rPr>
          <w:rFonts w:cs="Arial"/>
          <w:spacing w:val="-3"/>
        </w:rPr>
        <w:t xml:space="preserve">además de brindar elementos para la caracterización ambiental, </w:t>
      </w:r>
      <w:r w:rsidRPr="00BD1319">
        <w:rPr>
          <w:rFonts w:cs="Arial"/>
          <w:spacing w:val="-3"/>
        </w:rPr>
        <w:t xml:space="preserve">permite </w:t>
      </w:r>
      <w:r w:rsidR="00DD7515" w:rsidRPr="00BD1319">
        <w:rPr>
          <w:rFonts w:cs="Arial"/>
          <w:spacing w:val="-3"/>
        </w:rPr>
        <w:t xml:space="preserve">el desarrollo del numeral sobre evaluación </w:t>
      </w:r>
      <w:r w:rsidRPr="00BD1319">
        <w:rPr>
          <w:rFonts w:cs="Arial"/>
          <w:spacing w:val="-3"/>
        </w:rPr>
        <w:t>ambiental.</w:t>
      </w:r>
    </w:p>
    <w:p w14:paraId="1C7F080D" w14:textId="77777777" w:rsidR="00F9317B" w:rsidRPr="00BD1319" w:rsidRDefault="00F9317B" w:rsidP="00F9317B">
      <w:pPr>
        <w:numPr>
          <w:ilvl w:val="12"/>
          <w:numId w:val="0"/>
        </w:numPr>
        <w:tabs>
          <w:tab w:val="left" w:pos="-2268"/>
        </w:tabs>
        <w:suppressAutoHyphens/>
        <w:rPr>
          <w:rFonts w:cs="Arial"/>
          <w:spacing w:val="-3"/>
        </w:rPr>
      </w:pPr>
    </w:p>
    <w:p w14:paraId="5064A61A" w14:textId="4E2C0AC4" w:rsidR="00F9317B" w:rsidRPr="00BD1319" w:rsidRDefault="00F9317B" w:rsidP="00F9317B">
      <w:pPr>
        <w:numPr>
          <w:ilvl w:val="12"/>
          <w:numId w:val="0"/>
        </w:numPr>
        <w:tabs>
          <w:tab w:val="left" w:pos="-2268"/>
        </w:tabs>
        <w:suppressAutoHyphens/>
        <w:rPr>
          <w:rFonts w:cs="Arial"/>
          <w:spacing w:val="-3"/>
        </w:rPr>
      </w:pPr>
      <w:r w:rsidRPr="00BD1319">
        <w:rPr>
          <w:rFonts w:cs="Arial"/>
          <w:spacing w:val="-3"/>
        </w:rPr>
        <w:t>Para el levantamiento de suelos se debe</w:t>
      </w:r>
      <w:r w:rsidR="00CB2B11" w:rsidRPr="00BD1319">
        <w:rPr>
          <w:rFonts w:cs="Arial"/>
          <w:spacing w:val="-3"/>
        </w:rPr>
        <w:t>n</w:t>
      </w:r>
      <w:r w:rsidRPr="00BD1319">
        <w:rPr>
          <w:rFonts w:cs="Arial"/>
          <w:spacing w:val="-3"/>
        </w:rPr>
        <w:t xml:space="preserve"> delimitar las unidades cartográficas de suelos y determinar en cada una de ellas el contenido pedológico a nivel de familia, considerando sus características físicas, químicas, biológicas y morfológicas, </w:t>
      </w:r>
      <w:r w:rsidR="00712B3A" w:rsidRPr="00BD1319">
        <w:rPr>
          <w:rFonts w:cs="Arial"/>
          <w:spacing w:val="-3"/>
        </w:rPr>
        <w:t xml:space="preserve">siguiendo </w:t>
      </w:r>
      <w:r w:rsidRPr="00BD1319">
        <w:rPr>
          <w:rFonts w:cs="Arial"/>
          <w:spacing w:val="-3"/>
        </w:rPr>
        <w:t xml:space="preserve">las metodologías de las etapas de </w:t>
      </w:r>
      <w:proofErr w:type="spellStart"/>
      <w:r w:rsidRPr="00BD1319">
        <w:rPr>
          <w:rFonts w:cs="Arial"/>
          <w:spacing w:val="-3"/>
        </w:rPr>
        <w:t>precampo</w:t>
      </w:r>
      <w:proofErr w:type="spellEnd"/>
      <w:r w:rsidRPr="00BD1319">
        <w:rPr>
          <w:rFonts w:cs="Arial"/>
          <w:spacing w:val="-3"/>
        </w:rPr>
        <w:t xml:space="preserve">, campo y </w:t>
      </w:r>
      <w:proofErr w:type="spellStart"/>
      <w:r w:rsidRPr="00BD1319">
        <w:rPr>
          <w:rFonts w:cs="Arial"/>
          <w:spacing w:val="-3"/>
        </w:rPr>
        <w:t>poscampo</w:t>
      </w:r>
      <w:proofErr w:type="spellEnd"/>
      <w:r w:rsidRPr="00BD1319">
        <w:rPr>
          <w:rFonts w:cs="Arial"/>
          <w:spacing w:val="-3"/>
        </w:rPr>
        <w:t xml:space="preserve"> del IGAC</w:t>
      </w:r>
      <w:r w:rsidR="00712B3A" w:rsidRPr="00BD1319">
        <w:rPr>
          <w:rFonts w:cs="Arial"/>
          <w:spacing w:val="-3"/>
        </w:rPr>
        <w:t xml:space="preserve"> que se encuentren vigentes</w:t>
      </w:r>
      <w:r w:rsidR="00285A5A" w:rsidRPr="00BD1319">
        <w:rPr>
          <w:rFonts w:cs="Arial"/>
          <w:spacing w:val="-3"/>
        </w:rPr>
        <w:t xml:space="preserve"> para el levantamiento de información sobre suelos</w:t>
      </w:r>
      <w:r w:rsidRPr="00BD1319">
        <w:rPr>
          <w:rFonts w:cs="Arial"/>
          <w:spacing w:val="-3"/>
        </w:rPr>
        <w:t xml:space="preserve">, </w:t>
      </w:r>
      <w:r w:rsidR="00CB2B11" w:rsidRPr="00BD1319">
        <w:rPr>
          <w:rFonts w:cs="Arial"/>
          <w:spacing w:val="-3"/>
        </w:rPr>
        <w:t xml:space="preserve">y </w:t>
      </w:r>
      <w:r w:rsidR="00D364BD" w:rsidRPr="00BD1319">
        <w:rPr>
          <w:rFonts w:cs="Arial"/>
          <w:spacing w:val="-3"/>
        </w:rPr>
        <w:t xml:space="preserve">desarrollando </w:t>
      </w:r>
      <w:r w:rsidRPr="00BD1319">
        <w:rPr>
          <w:rFonts w:cs="Arial"/>
          <w:spacing w:val="-3"/>
        </w:rPr>
        <w:t>observaciones de identificación y caracterización</w:t>
      </w:r>
      <w:r w:rsidR="00CB2B11" w:rsidRPr="00BD1319">
        <w:rPr>
          <w:rFonts w:cs="Arial"/>
          <w:spacing w:val="-3"/>
        </w:rPr>
        <w:t xml:space="preserve"> de suelos (cajuelas con barrenadas y calicatas, respectivamente)</w:t>
      </w:r>
      <w:r w:rsidR="00CE6B5F" w:rsidRPr="00BD1319">
        <w:rPr>
          <w:rFonts w:cs="Arial"/>
          <w:spacing w:val="-3"/>
        </w:rPr>
        <w:t>.</w:t>
      </w:r>
    </w:p>
    <w:p w14:paraId="404502F2" w14:textId="77777777" w:rsidR="00F9317B" w:rsidRPr="00BD1319" w:rsidRDefault="00F9317B" w:rsidP="00F9317B">
      <w:pPr>
        <w:numPr>
          <w:ilvl w:val="12"/>
          <w:numId w:val="0"/>
        </w:numPr>
        <w:tabs>
          <w:tab w:val="left" w:pos="-2268"/>
        </w:tabs>
        <w:suppressAutoHyphens/>
        <w:rPr>
          <w:rFonts w:cs="Arial"/>
          <w:spacing w:val="-3"/>
        </w:rPr>
      </w:pPr>
    </w:p>
    <w:p w14:paraId="21EF4A0C" w14:textId="1C07E1AF" w:rsidR="00F9317B" w:rsidRPr="00BD1319" w:rsidRDefault="00F9317B" w:rsidP="009420F5">
      <w:pPr>
        <w:rPr>
          <w:rFonts w:cs="Arial"/>
          <w:spacing w:val="-3"/>
        </w:rPr>
      </w:pPr>
      <w:r w:rsidRPr="00BD1319">
        <w:rPr>
          <w:rFonts w:cs="Arial"/>
          <w:spacing w:val="-3"/>
        </w:rPr>
        <w:t xml:space="preserve">La </w:t>
      </w:r>
      <w:r w:rsidRPr="00BD1319">
        <w:rPr>
          <w:rFonts w:cs="Arial"/>
          <w:spacing w:val="-3"/>
        </w:rPr>
        <w:fldChar w:fldCharType="begin"/>
      </w:r>
      <w:r w:rsidRPr="00BD1319">
        <w:rPr>
          <w:rFonts w:cs="Arial"/>
          <w:spacing w:val="-3"/>
        </w:rPr>
        <w:instrText xml:space="preserve"> REF _Ref43364703 \h  \* MERGEFORMAT </w:instrText>
      </w:r>
      <w:r w:rsidRPr="00BD1319">
        <w:rPr>
          <w:rFonts w:cs="Arial"/>
          <w:spacing w:val="-3"/>
        </w:rPr>
      </w:r>
      <w:r w:rsidRPr="00BD1319">
        <w:rPr>
          <w:rFonts w:cs="Arial"/>
          <w:spacing w:val="-3"/>
        </w:rPr>
        <w:fldChar w:fldCharType="separate"/>
      </w:r>
      <w:r w:rsidR="00296654" w:rsidRPr="00BD1319">
        <w:rPr>
          <w:rFonts w:cs="Arial"/>
          <w:bCs/>
          <w:spacing w:val="-3"/>
        </w:rPr>
        <w:t>Tabla 19</w:t>
      </w:r>
      <w:r w:rsidRPr="00BD1319">
        <w:rPr>
          <w:rFonts w:cs="Arial"/>
          <w:spacing w:val="-3"/>
        </w:rPr>
        <w:fldChar w:fldCharType="end"/>
      </w:r>
      <w:r w:rsidRPr="00BD1319">
        <w:rPr>
          <w:rFonts w:cs="Arial"/>
          <w:spacing w:val="-3"/>
        </w:rPr>
        <w:t xml:space="preserve"> señala los parámetros que </w:t>
      </w:r>
      <w:r w:rsidR="00CB2B11" w:rsidRPr="00BD1319">
        <w:rPr>
          <w:rFonts w:cs="Arial"/>
          <w:spacing w:val="-3"/>
        </w:rPr>
        <w:t xml:space="preserve">se </w:t>
      </w:r>
      <w:r w:rsidRPr="00BD1319">
        <w:rPr>
          <w:rFonts w:cs="Arial"/>
          <w:spacing w:val="-3"/>
        </w:rPr>
        <w:t xml:space="preserve">deben </w:t>
      </w:r>
      <w:r w:rsidR="00CB2B11" w:rsidRPr="00BD1319">
        <w:rPr>
          <w:rFonts w:cs="Arial"/>
          <w:spacing w:val="-3"/>
        </w:rPr>
        <w:t xml:space="preserve">considerar </w:t>
      </w:r>
      <w:r w:rsidRPr="00BD1319">
        <w:rPr>
          <w:rFonts w:cs="Arial"/>
          <w:spacing w:val="-3"/>
        </w:rPr>
        <w:t xml:space="preserve">para la caracterización </w:t>
      </w:r>
      <w:r w:rsidR="00CB2B11" w:rsidRPr="00BD1319">
        <w:rPr>
          <w:rFonts w:cs="Arial"/>
          <w:spacing w:val="-3"/>
        </w:rPr>
        <w:t xml:space="preserve">ambiental </w:t>
      </w:r>
      <w:r w:rsidRPr="00BD1319">
        <w:rPr>
          <w:rFonts w:cs="Arial"/>
          <w:spacing w:val="-3"/>
        </w:rPr>
        <w:t>de los suelos</w:t>
      </w:r>
      <w:r w:rsidR="00CB2B11" w:rsidRPr="00BD1319">
        <w:rPr>
          <w:rFonts w:cs="Arial"/>
          <w:spacing w:val="-3"/>
        </w:rPr>
        <w:t xml:space="preserve">, </w:t>
      </w:r>
      <w:r w:rsidR="005A4F4E" w:rsidRPr="00BD1319">
        <w:rPr>
          <w:rFonts w:cs="Arial"/>
          <w:spacing w:val="-3"/>
        </w:rPr>
        <w:t xml:space="preserve">los cuales </w:t>
      </w:r>
      <w:r w:rsidR="00CB2B11" w:rsidRPr="00BD1319">
        <w:rPr>
          <w:rFonts w:cs="Arial"/>
          <w:spacing w:val="-3"/>
        </w:rPr>
        <w:t xml:space="preserve">deben ser analizados en caso de que </w:t>
      </w:r>
      <w:r w:rsidR="00265D43" w:rsidRPr="00BD1319">
        <w:rPr>
          <w:rFonts w:cs="Arial"/>
          <w:spacing w:val="-3"/>
        </w:rPr>
        <w:t>el proyecto, obra o actividad</w:t>
      </w:r>
      <w:r w:rsidR="006C25C6" w:rsidRPr="00BD1319">
        <w:rPr>
          <w:rFonts w:cs="Arial"/>
          <w:spacing w:val="-3"/>
        </w:rPr>
        <w:t xml:space="preserve"> pueda </w:t>
      </w:r>
      <w:r w:rsidR="00265D43" w:rsidRPr="00BD1319">
        <w:rPr>
          <w:rFonts w:cs="Arial"/>
          <w:spacing w:val="-3"/>
        </w:rPr>
        <w:t>produ</w:t>
      </w:r>
      <w:r w:rsidR="006C25C6" w:rsidRPr="00BD1319">
        <w:rPr>
          <w:rFonts w:cs="Arial"/>
          <w:spacing w:val="-3"/>
        </w:rPr>
        <w:t>cir modificaciones</w:t>
      </w:r>
      <w:r w:rsidR="00265D43" w:rsidRPr="00BD1319">
        <w:rPr>
          <w:rFonts w:cs="Arial"/>
          <w:spacing w:val="-3"/>
        </w:rPr>
        <w:t xml:space="preserve"> en los mismos.</w:t>
      </w:r>
      <w:r w:rsidR="00A80BBD" w:rsidRPr="00BD1319">
        <w:rPr>
          <w:rFonts w:cs="Arial"/>
          <w:spacing w:val="-3"/>
        </w:rPr>
        <w:t xml:space="preserve"> Cuando exista sospecha de la presencia de sustancias que puedan afectar el suelo por el desarrollo de actividades previas, </w:t>
      </w:r>
      <w:r w:rsidR="00A80BBD" w:rsidRPr="00BD1319">
        <w:rPr>
          <w:rFonts w:cs="Arial"/>
          <w:szCs w:val="20"/>
        </w:rPr>
        <w:t>resulta conveniente medir los parámetros relacionados a fin de tener elementos que permitan probar durante la etapa de seguimiento (si es que la autoridad ambiental otorga la licencia al proyecto), que tales condiciones no son consecuencia de la ejecución del proyecto, obra o actividad</w:t>
      </w:r>
      <w:r w:rsidR="00A80BBD" w:rsidRPr="00BD1319">
        <w:rPr>
          <w:rFonts w:cs="Arial"/>
          <w:spacing w:val="-3"/>
        </w:rPr>
        <w:t>.</w:t>
      </w:r>
    </w:p>
    <w:p w14:paraId="7E92C84C" w14:textId="492988CA" w:rsidR="00757791" w:rsidRPr="00BD1319" w:rsidRDefault="00757791" w:rsidP="00F9317B">
      <w:pPr>
        <w:numPr>
          <w:ilvl w:val="12"/>
          <w:numId w:val="0"/>
        </w:numPr>
        <w:tabs>
          <w:tab w:val="left" w:pos="-2268"/>
        </w:tabs>
        <w:suppressAutoHyphens/>
        <w:rPr>
          <w:rFonts w:cs="Arial"/>
          <w:spacing w:val="-3"/>
        </w:rPr>
      </w:pPr>
    </w:p>
    <w:p w14:paraId="1C88CC80" w14:textId="4E0FD935" w:rsidR="00F9317B" w:rsidRPr="00BD1319" w:rsidRDefault="00F9317B" w:rsidP="00F9317B">
      <w:pPr>
        <w:numPr>
          <w:ilvl w:val="12"/>
          <w:numId w:val="0"/>
        </w:numPr>
        <w:tabs>
          <w:tab w:val="left" w:pos="-2268"/>
        </w:tabs>
        <w:suppressAutoHyphens/>
        <w:rPr>
          <w:rFonts w:cs="Arial"/>
          <w:bCs/>
          <w:spacing w:val="-3"/>
        </w:rPr>
      </w:pPr>
      <w:bookmarkStart w:id="2664" w:name="_Ref43364703"/>
      <w:r w:rsidRPr="00BD1319">
        <w:rPr>
          <w:rFonts w:cs="Arial"/>
          <w:b/>
          <w:bCs/>
          <w:spacing w:val="-3"/>
        </w:rPr>
        <w:t xml:space="preserve">Tabla </w:t>
      </w:r>
      <w:r w:rsidRPr="00BD1319">
        <w:rPr>
          <w:rFonts w:cs="Arial"/>
          <w:b/>
          <w:bCs/>
          <w:spacing w:val="-3"/>
        </w:rPr>
        <w:fldChar w:fldCharType="begin"/>
      </w:r>
      <w:r w:rsidRPr="00BD1319">
        <w:rPr>
          <w:rFonts w:cs="Arial"/>
          <w:b/>
          <w:bCs/>
          <w:spacing w:val="-3"/>
        </w:rPr>
        <w:instrText xml:space="preserve"> SEQ Tabla \* ARABIC </w:instrText>
      </w:r>
      <w:r w:rsidRPr="00BD1319">
        <w:rPr>
          <w:rFonts w:cs="Arial"/>
          <w:b/>
          <w:bCs/>
          <w:spacing w:val="-3"/>
        </w:rPr>
        <w:fldChar w:fldCharType="separate"/>
      </w:r>
      <w:r w:rsidR="00296654" w:rsidRPr="00BD1319">
        <w:rPr>
          <w:rFonts w:cs="Arial"/>
          <w:b/>
          <w:bCs/>
          <w:noProof/>
          <w:spacing w:val="-3"/>
        </w:rPr>
        <w:t>19</w:t>
      </w:r>
      <w:r w:rsidRPr="00BD1319">
        <w:rPr>
          <w:rFonts w:cs="Arial"/>
          <w:spacing w:val="-3"/>
        </w:rPr>
        <w:fldChar w:fldCharType="end"/>
      </w:r>
      <w:bookmarkEnd w:id="2664"/>
      <w:r w:rsidR="001D3EEA" w:rsidRPr="00BD1319">
        <w:rPr>
          <w:rFonts w:cs="Arial"/>
          <w:b/>
          <w:spacing w:val="-3"/>
        </w:rPr>
        <w:t>.</w:t>
      </w:r>
      <w:r w:rsidRPr="00BD1319">
        <w:rPr>
          <w:rFonts w:cs="Arial"/>
          <w:spacing w:val="-3"/>
        </w:rPr>
        <w:t xml:space="preserve"> Parámetros fisicoquímicos y biológicos </w:t>
      </w:r>
      <w:r w:rsidR="00262C6C" w:rsidRPr="00BD1319">
        <w:rPr>
          <w:rFonts w:cs="Arial"/>
          <w:spacing w:val="-3"/>
        </w:rPr>
        <w:t>por</w:t>
      </w:r>
      <w:r w:rsidRPr="00BD1319">
        <w:rPr>
          <w:rFonts w:cs="Arial"/>
          <w:spacing w:val="-3"/>
        </w:rPr>
        <w:t xml:space="preserve"> caracterizar en línea base de suelos</w:t>
      </w:r>
    </w:p>
    <w:tbl>
      <w:tblPr>
        <w:tblStyle w:val="Tablaconcuadrcula"/>
        <w:tblW w:w="0" w:type="auto"/>
        <w:jc w:val="center"/>
        <w:tblLook w:val="04A0" w:firstRow="1" w:lastRow="0" w:firstColumn="1" w:lastColumn="0" w:noHBand="0" w:noVBand="1"/>
      </w:tblPr>
      <w:tblGrid>
        <w:gridCol w:w="1266"/>
        <w:gridCol w:w="3196"/>
        <w:gridCol w:w="1139"/>
        <w:gridCol w:w="3229"/>
      </w:tblGrid>
      <w:tr w:rsidR="00FF1FED" w:rsidRPr="00BD1319" w14:paraId="6E9A1C39" w14:textId="77777777" w:rsidTr="00FF1FED">
        <w:trPr>
          <w:trHeight w:hRule="exact" w:val="680"/>
          <w:tblHeader/>
          <w:jc w:val="center"/>
        </w:trPr>
        <w:tc>
          <w:tcPr>
            <w:tcW w:w="1563" w:type="dxa"/>
            <w:vAlign w:val="center"/>
          </w:tcPr>
          <w:p w14:paraId="318D3FC3" w14:textId="17E14121" w:rsidR="00FF1FED" w:rsidRPr="00BD1319" w:rsidRDefault="00FF1FED" w:rsidP="00FF1FED">
            <w:pPr>
              <w:numPr>
                <w:ilvl w:val="12"/>
                <w:numId w:val="0"/>
              </w:numPr>
              <w:tabs>
                <w:tab w:val="left" w:pos="-2268"/>
              </w:tabs>
              <w:suppressAutoHyphens/>
              <w:jc w:val="center"/>
              <w:rPr>
                <w:rFonts w:cs="Arial"/>
                <w:b/>
                <w:bCs/>
                <w:spacing w:val="-3"/>
                <w:sz w:val="20"/>
                <w:szCs w:val="20"/>
              </w:rPr>
            </w:pPr>
            <w:r w:rsidRPr="00BD1319">
              <w:rPr>
                <w:rFonts w:cs="Arial"/>
                <w:b/>
                <w:bCs/>
                <w:spacing w:val="-3"/>
                <w:sz w:val="20"/>
                <w:szCs w:val="20"/>
              </w:rPr>
              <w:t>Tipo</w:t>
            </w:r>
          </w:p>
        </w:tc>
        <w:tc>
          <w:tcPr>
            <w:tcW w:w="3485" w:type="dxa"/>
            <w:noWrap/>
            <w:vAlign w:val="center"/>
            <w:hideMark/>
          </w:tcPr>
          <w:p w14:paraId="40B3A892" w14:textId="40344D7B" w:rsidR="00FF1FED" w:rsidRPr="00BD1319" w:rsidRDefault="00FF1FED" w:rsidP="00224F4F">
            <w:pPr>
              <w:numPr>
                <w:ilvl w:val="12"/>
                <w:numId w:val="0"/>
              </w:numPr>
              <w:tabs>
                <w:tab w:val="left" w:pos="-2268"/>
              </w:tabs>
              <w:suppressAutoHyphens/>
              <w:jc w:val="center"/>
              <w:rPr>
                <w:rFonts w:cs="Arial"/>
                <w:b/>
                <w:bCs/>
                <w:spacing w:val="-3"/>
                <w:sz w:val="20"/>
                <w:szCs w:val="20"/>
              </w:rPr>
            </w:pPr>
            <w:r w:rsidRPr="00BD1319">
              <w:rPr>
                <w:rFonts w:cs="Arial"/>
                <w:b/>
                <w:bCs/>
                <w:spacing w:val="-3"/>
                <w:sz w:val="20"/>
                <w:szCs w:val="20"/>
              </w:rPr>
              <w:t>Parámetro</w:t>
            </w:r>
          </w:p>
        </w:tc>
        <w:tc>
          <w:tcPr>
            <w:tcW w:w="1230" w:type="dxa"/>
            <w:vAlign w:val="center"/>
            <w:hideMark/>
          </w:tcPr>
          <w:p w14:paraId="4756C893" w14:textId="0FC9BC4E" w:rsidR="00FF1FED" w:rsidRPr="00BD1319" w:rsidRDefault="00FF1FED" w:rsidP="00B07BDF">
            <w:pPr>
              <w:numPr>
                <w:ilvl w:val="12"/>
                <w:numId w:val="0"/>
              </w:numPr>
              <w:tabs>
                <w:tab w:val="left" w:pos="-2268"/>
              </w:tabs>
              <w:suppressAutoHyphens/>
              <w:jc w:val="center"/>
              <w:rPr>
                <w:rFonts w:cs="Arial"/>
                <w:b/>
                <w:bCs/>
                <w:spacing w:val="-3"/>
                <w:sz w:val="20"/>
                <w:szCs w:val="20"/>
              </w:rPr>
            </w:pPr>
            <w:r w:rsidRPr="00BD1319">
              <w:rPr>
                <w:rFonts w:cs="Arial"/>
                <w:b/>
                <w:bCs/>
                <w:spacing w:val="-3"/>
                <w:sz w:val="20"/>
                <w:szCs w:val="20"/>
              </w:rPr>
              <w:t>Unidad</w:t>
            </w:r>
          </w:p>
        </w:tc>
        <w:tc>
          <w:tcPr>
            <w:tcW w:w="3521" w:type="dxa"/>
            <w:noWrap/>
            <w:vAlign w:val="center"/>
            <w:hideMark/>
          </w:tcPr>
          <w:p w14:paraId="67597994" w14:textId="4E26AC14" w:rsidR="00FF1FED" w:rsidRPr="00BD1319" w:rsidRDefault="00FF1FED" w:rsidP="00224F4F">
            <w:pPr>
              <w:numPr>
                <w:ilvl w:val="12"/>
                <w:numId w:val="0"/>
              </w:numPr>
              <w:tabs>
                <w:tab w:val="left" w:pos="-2268"/>
              </w:tabs>
              <w:suppressAutoHyphens/>
              <w:jc w:val="center"/>
              <w:rPr>
                <w:rFonts w:cs="Arial"/>
                <w:b/>
                <w:bCs/>
                <w:spacing w:val="-3"/>
                <w:sz w:val="20"/>
                <w:szCs w:val="20"/>
              </w:rPr>
            </w:pPr>
            <w:r w:rsidRPr="00BD1319">
              <w:rPr>
                <w:rFonts w:cs="Arial"/>
                <w:b/>
                <w:bCs/>
                <w:spacing w:val="-3"/>
                <w:sz w:val="20"/>
                <w:szCs w:val="20"/>
              </w:rPr>
              <w:t>Técnica o principio</w:t>
            </w:r>
            <w:r w:rsidR="00E82655" w:rsidRPr="00BD1319">
              <w:rPr>
                <w:rStyle w:val="Refdenotaalpie"/>
                <w:rFonts w:cs="Arial"/>
                <w:b/>
                <w:bCs/>
                <w:spacing w:val="-3"/>
                <w:szCs w:val="20"/>
                <w:lang w:val="es-CO"/>
              </w:rPr>
              <w:footnoteReference w:id="109"/>
            </w:r>
          </w:p>
        </w:tc>
      </w:tr>
      <w:tr w:rsidR="00FF1FED" w:rsidRPr="00BD1319" w14:paraId="3AD66490" w14:textId="77777777" w:rsidTr="00FF1FED">
        <w:trPr>
          <w:trHeight w:hRule="exact" w:val="680"/>
          <w:jc w:val="center"/>
        </w:trPr>
        <w:tc>
          <w:tcPr>
            <w:tcW w:w="1563" w:type="dxa"/>
            <w:vMerge w:val="restart"/>
            <w:vAlign w:val="center"/>
          </w:tcPr>
          <w:p w14:paraId="13A61A07" w14:textId="5BA673DA" w:rsidR="00FF1FED" w:rsidRPr="00BD1319" w:rsidRDefault="00FF1FED" w:rsidP="00FF1FED">
            <w:pPr>
              <w:numPr>
                <w:ilvl w:val="12"/>
                <w:numId w:val="0"/>
              </w:numPr>
              <w:tabs>
                <w:tab w:val="left" w:pos="-2268"/>
              </w:tabs>
              <w:suppressAutoHyphens/>
              <w:jc w:val="center"/>
              <w:rPr>
                <w:rFonts w:cs="Arial"/>
                <w:b/>
                <w:spacing w:val="-3"/>
                <w:sz w:val="20"/>
                <w:szCs w:val="20"/>
              </w:rPr>
            </w:pPr>
            <w:r w:rsidRPr="00BD1319">
              <w:rPr>
                <w:rFonts w:cs="Arial"/>
                <w:b/>
                <w:spacing w:val="-3"/>
                <w:sz w:val="20"/>
                <w:szCs w:val="20"/>
              </w:rPr>
              <w:t>Físico</w:t>
            </w:r>
          </w:p>
        </w:tc>
        <w:tc>
          <w:tcPr>
            <w:tcW w:w="3485" w:type="dxa"/>
            <w:vAlign w:val="center"/>
            <w:hideMark/>
          </w:tcPr>
          <w:p w14:paraId="34157832" w14:textId="2A841F94" w:rsidR="00FF1FED" w:rsidRPr="00BD1319" w:rsidRDefault="00FF1FED">
            <w:pPr>
              <w:numPr>
                <w:ilvl w:val="12"/>
                <w:numId w:val="0"/>
              </w:numPr>
              <w:tabs>
                <w:tab w:val="left" w:pos="-2268"/>
              </w:tabs>
              <w:suppressAutoHyphens/>
              <w:rPr>
                <w:rFonts w:cs="Arial"/>
                <w:spacing w:val="-3"/>
                <w:sz w:val="20"/>
                <w:szCs w:val="20"/>
              </w:rPr>
            </w:pPr>
            <w:r w:rsidRPr="00BD1319">
              <w:rPr>
                <w:rFonts w:cs="Arial"/>
                <w:spacing w:val="-3"/>
                <w:sz w:val="20"/>
                <w:szCs w:val="20"/>
              </w:rPr>
              <w:t xml:space="preserve">Color (debe establecerse </w:t>
            </w:r>
            <w:r w:rsidR="00363643" w:rsidRPr="00BD1319">
              <w:rPr>
                <w:rFonts w:cs="Arial"/>
                <w:spacing w:val="-3"/>
                <w:sz w:val="20"/>
                <w:szCs w:val="20"/>
              </w:rPr>
              <w:t>i</w:t>
            </w:r>
            <w:r w:rsidRPr="00BD1319">
              <w:rPr>
                <w:rFonts w:cs="Arial"/>
                <w:spacing w:val="-3"/>
                <w:sz w:val="20"/>
                <w:szCs w:val="20"/>
              </w:rPr>
              <w:t>n situ)</w:t>
            </w:r>
          </w:p>
        </w:tc>
        <w:tc>
          <w:tcPr>
            <w:tcW w:w="1230" w:type="dxa"/>
            <w:vAlign w:val="center"/>
            <w:hideMark/>
          </w:tcPr>
          <w:p w14:paraId="36B0EBF5" w14:textId="23AC3185" w:rsidR="00FF1FED" w:rsidRPr="00BD1319" w:rsidRDefault="00FF1FED" w:rsidP="00B07BDF">
            <w:pPr>
              <w:numPr>
                <w:ilvl w:val="12"/>
                <w:numId w:val="0"/>
              </w:numPr>
              <w:tabs>
                <w:tab w:val="left" w:pos="-2268"/>
              </w:tabs>
              <w:suppressAutoHyphens/>
              <w:jc w:val="center"/>
              <w:rPr>
                <w:rFonts w:cs="Arial"/>
                <w:spacing w:val="-3"/>
                <w:sz w:val="20"/>
                <w:szCs w:val="20"/>
              </w:rPr>
            </w:pPr>
            <w:r w:rsidRPr="00BD1319">
              <w:rPr>
                <w:rFonts w:cs="Arial"/>
                <w:spacing w:val="-3"/>
                <w:sz w:val="20"/>
                <w:szCs w:val="20"/>
              </w:rPr>
              <w:t>Intensidad, valor/croma</w:t>
            </w:r>
          </w:p>
        </w:tc>
        <w:tc>
          <w:tcPr>
            <w:tcW w:w="3521" w:type="dxa"/>
            <w:vAlign w:val="center"/>
            <w:hideMark/>
          </w:tcPr>
          <w:p w14:paraId="3C58EF05" w14:textId="29BC2AD6" w:rsidR="00FF1FED" w:rsidRPr="00BD1319" w:rsidRDefault="00FF1FED" w:rsidP="00B07BDF">
            <w:pPr>
              <w:numPr>
                <w:ilvl w:val="12"/>
                <w:numId w:val="0"/>
              </w:numPr>
              <w:tabs>
                <w:tab w:val="left" w:pos="-2268"/>
              </w:tabs>
              <w:suppressAutoHyphens/>
              <w:rPr>
                <w:rFonts w:cs="Arial"/>
                <w:spacing w:val="-3"/>
                <w:sz w:val="20"/>
                <w:szCs w:val="20"/>
              </w:rPr>
            </w:pPr>
            <w:r w:rsidRPr="00BD1319">
              <w:rPr>
                <w:rFonts w:cs="Arial"/>
                <w:spacing w:val="-3"/>
                <w:sz w:val="20"/>
                <w:szCs w:val="20"/>
              </w:rPr>
              <w:t>Tabla Munsell</w:t>
            </w:r>
          </w:p>
        </w:tc>
      </w:tr>
      <w:tr w:rsidR="00FF1FED" w:rsidRPr="00BD1319" w14:paraId="4C3FC001" w14:textId="77777777" w:rsidTr="00FF1FED">
        <w:trPr>
          <w:trHeight w:hRule="exact" w:val="680"/>
          <w:jc w:val="center"/>
        </w:trPr>
        <w:tc>
          <w:tcPr>
            <w:tcW w:w="1563" w:type="dxa"/>
            <w:vMerge/>
            <w:vAlign w:val="center"/>
          </w:tcPr>
          <w:p w14:paraId="7244CC27" w14:textId="77777777" w:rsidR="00FF1FED" w:rsidRPr="00BD1319" w:rsidRDefault="00FF1FED" w:rsidP="00FF1FED">
            <w:pPr>
              <w:numPr>
                <w:ilvl w:val="12"/>
                <w:numId w:val="0"/>
              </w:numPr>
              <w:tabs>
                <w:tab w:val="left" w:pos="-2268"/>
              </w:tabs>
              <w:suppressAutoHyphens/>
              <w:jc w:val="center"/>
              <w:rPr>
                <w:rFonts w:cs="Arial"/>
                <w:spacing w:val="-3"/>
                <w:sz w:val="20"/>
                <w:szCs w:val="20"/>
              </w:rPr>
            </w:pPr>
          </w:p>
        </w:tc>
        <w:tc>
          <w:tcPr>
            <w:tcW w:w="3485" w:type="dxa"/>
            <w:vAlign w:val="center"/>
            <w:hideMark/>
          </w:tcPr>
          <w:p w14:paraId="4DDCC8AB" w14:textId="6523DBE9" w:rsidR="00FF1FED" w:rsidRPr="00BD1319" w:rsidRDefault="00FF1FED" w:rsidP="00B07BDF">
            <w:pPr>
              <w:numPr>
                <w:ilvl w:val="12"/>
                <w:numId w:val="0"/>
              </w:numPr>
              <w:tabs>
                <w:tab w:val="left" w:pos="-2268"/>
              </w:tabs>
              <w:suppressAutoHyphens/>
              <w:rPr>
                <w:rFonts w:cs="Arial"/>
                <w:spacing w:val="-3"/>
                <w:sz w:val="20"/>
                <w:szCs w:val="20"/>
              </w:rPr>
            </w:pPr>
            <w:r w:rsidRPr="00BD1319">
              <w:rPr>
                <w:rFonts w:cs="Arial"/>
                <w:spacing w:val="-3"/>
                <w:sz w:val="20"/>
                <w:szCs w:val="20"/>
              </w:rPr>
              <w:t>Velocidad de infiltración (debe establecerse In situ)</w:t>
            </w:r>
          </w:p>
        </w:tc>
        <w:tc>
          <w:tcPr>
            <w:tcW w:w="1230" w:type="dxa"/>
            <w:vAlign w:val="center"/>
            <w:hideMark/>
          </w:tcPr>
          <w:p w14:paraId="2A0B3897" w14:textId="77777777" w:rsidR="00FF1FED" w:rsidRPr="00BD1319" w:rsidRDefault="00FF1FED" w:rsidP="00224F4F">
            <w:pPr>
              <w:numPr>
                <w:ilvl w:val="12"/>
                <w:numId w:val="0"/>
              </w:numPr>
              <w:tabs>
                <w:tab w:val="left" w:pos="-2268"/>
              </w:tabs>
              <w:suppressAutoHyphens/>
              <w:jc w:val="center"/>
              <w:rPr>
                <w:rFonts w:cs="Arial"/>
                <w:spacing w:val="-3"/>
                <w:sz w:val="20"/>
                <w:szCs w:val="20"/>
              </w:rPr>
            </w:pPr>
            <w:r w:rsidRPr="00BD1319">
              <w:rPr>
                <w:rFonts w:cs="Arial"/>
                <w:spacing w:val="-3"/>
                <w:sz w:val="20"/>
                <w:szCs w:val="20"/>
              </w:rPr>
              <w:t>cm/h</w:t>
            </w:r>
          </w:p>
        </w:tc>
        <w:tc>
          <w:tcPr>
            <w:tcW w:w="3521" w:type="dxa"/>
            <w:vAlign w:val="center"/>
            <w:hideMark/>
          </w:tcPr>
          <w:p w14:paraId="0B86C4FC" w14:textId="77777777" w:rsidR="00FF1FED" w:rsidRPr="00BD1319" w:rsidRDefault="00FF1FED" w:rsidP="00B07BDF">
            <w:pPr>
              <w:numPr>
                <w:ilvl w:val="12"/>
                <w:numId w:val="0"/>
              </w:numPr>
              <w:tabs>
                <w:tab w:val="left" w:pos="-2268"/>
              </w:tabs>
              <w:suppressAutoHyphens/>
              <w:rPr>
                <w:rFonts w:cs="Arial"/>
                <w:spacing w:val="-3"/>
                <w:sz w:val="20"/>
                <w:szCs w:val="20"/>
              </w:rPr>
            </w:pPr>
            <w:r w:rsidRPr="00BD1319">
              <w:rPr>
                <w:rFonts w:cs="Arial"/>
                <w:spacing w:val="-3"/>
                <w:sz w:val="20"/>
                <w:szCs w:val="20"/>
              </w:rPr>
              <w:t xml:space="preserve">Anillos </w:t>
            </w:r>
            <w:proofErr w:type="spellStart"/>
            <w:r w:rsidRPr="00BD1319">
              <w:rPr>
                <w:rFonts w:cs="Arial"/>
                <w:spacing w:val="-3"/>
                <w:sz w:val="20"/>
                <w:szCs w:val="20"/>
              </w:rPr>
              <w:t>infiltrómetros</w:t>
            </w:r>
            <w:proofErr w:type="spellEnd"/>
          </w:p>
        </w:tc>
      </w:tr>
      <w:tr w:rsidR="00FF1FED" w:rsidRPr="00BD1319" w14:paraId="19CFC715" w14:textId="77777777" w:rsidTr="00FF1FED">
        <w:trPr>
          <w:trHeight w:hRule="exact" w:val="680"/>
          <w:jc w:val="center"/>
        </w:trPr>
        <w:tc>
          <w:tcPr>
            <w:tcW w:w="1563" w:type="dxa"/>
            <w:vMerge/>
            <w:vAlign w:val="center"/>
          </w:tcPr>
          <w:p w14:paraId="1D530149" w14:textId="77777777" w:rsidR="00FF1FED" w:rsidRPr="00BD1319" w:rsidRDefault="00FF1FED" w:rsidP="00FF1FED">
            <w:pPr>
              <w:numPr>
                <w:ilvl w:val="12"/>
                <w:numId w:val="0"/>
              </w:numPr>
              <w:tabs>
                <w:tab w:val="left" w:pos="-2268"/>
              </w:tabs>
              <w:suppressAutoHyphens/>
              <w:jc w:val="center"/>
              <w:rPr>
                <w:rFonts w:cs="Arial"/>
                <w:spacing w:val="-3"/>
                <w:sz w:val="20"/>
                <w:szCs w:val="20"/>
              </w:rPr>
            </w:pPr>
          </w:p>
        </w:tc>
        <w:tc>
          <w:tcPr>
            <w:tcW w:w="3485" w:type="dxa"/>
            <w:vAlign w:val="center"/>
            <w:hideMark/>
          </w:tcPr>
          <w:p w14:paraId="6A71FB7D" w14:textId="0BC4F0B5" w:rsidR="00FF1FED" w:rsidRPr="00BD1319" w:rsidRDefault="00FF1FED" w:rsidP="00B07BDF">
            <w:pPr>
              <w:numPr>
                <w:ilvl w:val="12"/>
                <w:numId w:val="0"/>
              </w:numPr>
              <w:tabs>
                <w:tab w:val="left" w:pos="-2268"/>
              </w:tabs>
              <w:suppressAutoHyphens/>
              <w:rPr>
                <w:rFonts w:cs="Arial"/>
                <w:spacing w:val="-3"/>
                <w:sz w:val="20"/>
                <w:szCs w:val="20"/>
              </w:rPr>
            </w:pPr>
            <w:r w:rsidRPr="00BD1319">
              <w:rPr>
                <w:rFonts w:cs="Arial"/>
                <w:spacing w:val="-3"/>
                <w:sz w:val="20"/>
                <w:szCs w:val="20"/>
              </w:rPr>
              <w:t>Textura (porcentaje de arena, limo y arcilla)</w:t>
            </w:r>
          </w:p>
        </w:tc>
        <w:tc>
          <w:tcPr>
            <w:tcW w:w="1230" w:type="dxa"/>
            <w:vAlign w:val="center"/>
            <w:hideMark/>
          </w:tcPr>
          <w:p w14:paraId="31C9E7EB" w14:textId="77777777" w:rsidR="00FF1FED" w:rsidRPr="00BD1319" w:rsidRDefault="00FF1FED" w:rsidP="00224F4F">
            <w:pPr>
              <w:numPr>
                <w:ilvl w:val="12"/>
                <w:numId w:val="0"/>
              </w:numPr>
              <w:tabs>
                <w:tab w:val="left" w:pos="-2268"/>
              </w:tabs>
              <w:suppressAutoHyphens/>
              <w:jc w:val="center"/>
              <w:rPr>
                <w:rFonts w:cs="Arial"/>
                <w:spacing w:val="-3"/>
                <w:sz w:val="20"/>
                <w:szCs w:val="20"/>
              </w:rPr>
            </w:pPr>
            <w:r w:rsidRPr="00BD1319">
              <w:rPr>
                <w:rFonts w:cs="Arial"/>
                <w:spacing w:val="-3"/>
                <w:sz w:val="20"/>
                <w:szCs w:val="20"/>
              </w:rPr>
              <w:t>%</w:t>
            </w:r>
          </w:p>
        </w:tc>
        <w:tc>
          <w:tcPr>
            <w:tcW w:w="3521" w:type="dxa"/>
            <w:vAlign w:val="center"/>
            <w:hideMark/>
          </w:tcPr>
          <w:p w14:paraId="29D2DF5D" w14:textId="77777777" w:rsidR="00FF1FED" w:rsidRPr="00BD1319" w:rsidRDefault="00FF1FED" w:rsidP="00B07BDF">
            <w:pPr>
              <w:numPr>
                <w:ilvl w:val="12"/>
                <w:numId w:val="0"/>
              </w:numPr>
              <w:tabs>
                <w:tab w:val="left" w:pos="-2268"/>
              </w:tabs>
              <w:suppressAutoHyphens/>
              <w:rPr>
                <w:rFonts w:cs="Arial"/>
                <w:spacing w:val="-3"/>
                <w:sz w:val="20"/>
                <w:szCs w:val="20"/>
              </w:rPr>
            </w:pPr>
            <w:r w:rsidRPr="00BD1319">
              <w:rPr>
                <w:rFonts w:cs="Arial"/>
                <w:spacing w:val="-3"/>
                <w:sz w:val="20"/>
                <w:szCs w:val="20"/>
              </w:rPr>
              <w:t>Método de Bouyoucos</w:t>
            </w:r>
          </w:p>
        </w:tc>
      </w:tr>
      <w:tr w:rsidR="00FF1FED" w:rsidRPr="00BD1319" w14:paraId="47D07C04" w14:textId="77777777" w:rsidTr="00FF1FED">
        <w:trPr>
          <w:trHeight w:hRule="exact" w:val="680"/>
          <w:jc w:val="center"/>
        </w:trPr>
        <w:tc>
          <w:tcPr>
            <w:tcW w:w="1563" w:type="dxa"/>
            <w:vMerge/>
            <w:vAlign w:val="center"/>
          </w:tcPr>
          <w:p w14:paraId="0242E40B" w14:textId="77777777" w:rsidR="00FF1FED" w:rsidRPr="00BD1319" w:rsidRDefault="00FF1FED" w:rsidP="00FF1FED">
            <w:pPr>
              <w:numPr>
                <w:ilvl w:val="12"/>
                <w:numId w:val="0"/>
              </w:numPr>
              <w:tabs>
                <w:tab w:val="left" w:pos="-2268"/>
              </w:tabs>
              <w:suppressAutoHyphens/>
              <w:jc w:val="center"/>
              <w:rPr>
                <w:rFonts w:cs="Arial"/>
                <w:spacing w:val="-3"/>
                <w:sz w:val="20"/>
                <w:szCs w:val="20"/>
              </w:rPr>
            </w:pPr>
          </w:p>
        </w:tc>
        <w:tc>
          <w:tcPr>
            <w:tcW w:w="3485" w:type="dxa"/>
            <w:vAlign w:val="center"/>
            <w:hideMark/>
          </w:tcPr>
          <w:p w14:paraId="5315315E" w14:textId="033D0F00" w:rsidR="00FF1FED" w:rsidRPr="00BD1319" w:rsidRDefault="00FF1FED" w:rsidP="00B07BDF">
            <w:pPr>
              <w:numPr>
                <w:ilvl w:val="12"/>
                <w:numId w:val="0"/>
              </w:numPr>
              <w:tabs>
                <w:tab w:val="left" w:pos="-2268"/>
              </w:tabs>
              <w:suppressAutoHyphens/>
              <w:rPr>
                <w:rFonts w:cs="Arial"/>
                <w:spacing w:val="-3"/>
                <w:sz w:val="20"/>
                <w:szCs w:val="20"/>
              </w:rPr>
            </w:pPr>
            <w:r w:rsidRPr="00BD1319">
              <w:rPr>
                <w:rFonts w:cs="Arial"/>
                <w:spacing w:val="-3"/>
                <w:sz w:val="20"/>
                <w:szCs w:val="20"/>
              </w:rPr>
              <w:t>Densidad</w:t>
            </w:r>
            <w:r w:rsidR="0072054C" w:rsidRPr="00BD1319">
              <w:rPr>
                <w:rFonts w:cs="Arial"/>
                <w:spacing w:val="-3"/>
                <w:sz w:val="20"/>
                <w:szCs w:val="20"/>
              </w:rPr>
              <w:t xml:space="preserve"> </w:t>
            </w:r>
            <w:r w:rsidRPr="00BD1319">
              <w:rPr>
                <w:rFonts w:cs="Arial"/>
                <w:spacing w:val="-3"/>
                <w:sz w:val="20"/>
                <w:szCs w:val="20"/>
              </w:rPr>
              <w:t>real</w:t>
            </w:r>
          </w:p>
        </w:tc>
        <w:tc>
          <w:tcPr>
            <w:tcW w:w="1230" w:type="dxa"/>
            <w:vAlign w:val="center"/>
            <w:hideMark/>
          </w:tcPr>
          <w:p w14:paraId="6F13BA96" w14:textId="77777777" w:rsidR="00FF1FED" w:rsidRPr="00BD1319" w:rsidRDefault="00FF1FED" w:rsidP="00224F4F">
            <w:pPr>
              <w:numPr>
                <w:ilvl w:val="12"/>
                <w:numId w:val="0"/>
              </w:numPr>
              <w:tabs>
                <w:tab w:val="left" w:pos="-2268"/>
              </w:tabs>
              <w:suppressAutoHyphens/>
              <w:jc w:val="center"/>
              <w:rPr>
                <w:rFonts w:cs="Arial"/>
                <w:spacing w:val="-3"/>
                <w:sz w:val="20"/>
                <w:szCs w:val="20"/>
              </w:rPr>
            </w:pPr>
            <w:r w:rsidRPr="00BD1319">
              <w:rPr>
                <w:rFonts w:cs="Arial"/>
                <w:spacing w:val="-3"/>
                <w:sz w:val="20"/>
                <w:szCs w:val="20"/>
              </w:rPr>
              <w:t>g/</w:t>
            </w:r>
            <w:proofErr w:type="spellStart"/>
            <w:r w:rsidRPr="00BD1319">
              <w:rPr>
                <w:rFonts w:cs="Arial"/>
                <w:spacing w:val="-3"/>
                <w:sz w:val="20"/>
                <w:szCs w:val="20"/>
              </w:rPr>
              <w:t>cc</w:t>
            </w:r>
            <w:proofErr w:type="spellEnd"/>
          </w:p>
        </w:tc>
        <w:tc>
          <w:tcPr>
            <w:tcW w:w="3521" w:type="dxa"/>
            <w:vAlign w:val="center"/>
            <w:hideMark/>
          </w:tcPr>
          <w:p w14:paraId="62EA0BB8" w14:textId="238CDFCA" w:rsidR="00FF1FED" w:rsidRPr="00BD1319" w:rsidRDefault="00FF1FED" w:rsidP="00B07BDF">
            <w:pPr>
              <w:numPr>
                <w:ilvl w:val="12"/>
                <w:numId w:val="0"/>
              </w:numPr>
              <w:tabs>
                <w:tab w:val="left" w:pos="-2268"/>
              </w:tabs>
              <w:suppressAutoHyphens/>
              <w:rPr>
                <w:rFonts w:cs="Arial"/>
                <w:spacing w:val="-3"/>
                <w:sz w:val="20"/>
                <w:szCs w:val="20"/>
              </w:rPr>
            </w:pPr>
            <w:r w:rsidRPr="00BD1319">
              <w:rPr>
                <w:rFonts w:cs="Arial"/>
                <w:spacing w:val="-3"/>
                <w:sz w:val="20"/>
                <w:szCs w:val="20"/>
              </w:rPr>
              <w:t>Picn</w:t>
            </w:r>
            <w:r w:rsidR="00AE05F2" w:rsidRPr="00BD1319">
              <w:rPr>
                <w:rFonts w:cs="Arial"/>
                <w:spacing w:val="-3"/>
                <w:sz w:val="20"/>
                <w:szCs w:val="20"/>
              </w:rPr>
              <w:t>ó</w:t>
            </w:r>
            <w:r w:rsidRPr="00BD1319">
              <w:rPr>
                <w:rFonts w:cs="Arial"/>
                <w:spacing w:val="-3"/>
                <w:sz w:val="20"/>
                <w:szCs w:val="20"/>
              </w:rPr>
              <w:t>metro</w:t>
            </w:r>
          </w:p>
        </w:tc>
      </w:tr>
      <w:tr w:rsidR="00FF1FED" w:rsidRPr="00BD1319" w14:paraId="77270802" w14:textId="77777777" w:rsidTr="00FF1FED">
        <w:trPr>
          <w:trHeight w:hRule="exact" w:val="680"/>
          <w:jc w:val="center"/>
        </w:trPr>
        <w:tc>
          <w:tcPr>
            <w:tcW w:w="1563" w:type="dxa"/>
            <w:vMerge/>
            <w:vAlign w:val="center"/>
          </w:tcPr>
          <w:p w14:paraId="57F0CF46" w14:textId="77777777" w:rsidR="00FF1FED" w:rsidRPr="00BD1319" w:rsidRDefault="00FF1FED" w:rsidP="00FF1FED">
            <w:pPr>
              <w:numPr>
                <w:ilvl w:val="12"/>
                <w:numId w:val="0"/>
              </w:numPr>
              <w:tabs>
                <w:tab w:val="left" w:pos="-2268"/>
              </w:tabs>
              <w:suppressAutoHyphens/>
              <w:jc w:val="center"/>
              <w:rPr>
                <w:rFonts w:cs="Arial"/>
                <w:spacing w:val="-3"/>
                <w:sz w:val="20"/>
                <w:szCs w:val="20"/>
              </w:rPr>
            </w:pPr>
          </w:p>
        </w:tc>
        <w:tc>
          <w:tcPr>
            <w:tcW w:w="3485" w:type="dxa"/>
            <w:vAlign w:val="center"/>
            <w:hideMark/>
          </w:tcPr>
          <w:p w14:paraId="24328E0E" w14:textId="5B333E7B" w:rsidR="00FF1FED" w:rsidRPr="00BD1319" w:rsidRDefault="00FF1FED" w:rsidP="00B07BDF">
            <w:pPr>
              <w:numPr>
                <w:ilvl w:val="12"/>
                <w:numId w:val="0"/>
              </w:numPr>
              <w:tabs>
                <w:tab w:val="left" w:pos="-2268"/>
              </w:tabs>
              <w:suppressAutoHyphens/>
              <w:rPr>
                <w:rFonts w:cs="Arial"/>
                <w:spacing w:val="-3"/>
                <w:sz w:val="20"/>
                <w:szCs w:val="20"/>
              </w:rPr>
            </w:pPr>
            <w:r w:rsidRPr="00BD1319">
              <w:rPr>
                <w:rFonts w:cs="Arial"/>
                <w:spacing w:val="-3"/>
                <w:sz w:val="20"/>
                <w:szCs w:val="20"/>
              </w:rPr>
              <w:t>Densidad aparente</w:t>
            </w:r>
          </w:p>
        </w:tc>
        <w:tc>
          <w:tcPr>
            <w:tcW w:w="1230" w:type="dxa"/>
            <w:vAlign w:val="center"/>
            <w:hideMark/>
          </w:tcPr>
          <w:p w14:paraId="42807871" w14:textId="77777777" w:rsidR="00FF1FED" w:rsidRPr="00BD1319" w:rsidRDefault="00FF1FED" w:rsidP="00224F4F">
            <w:pPr>
              <w:numPr>
                <w:ilvl w:val="12"/>
                <w:numId w:val="0"/>
              </w:numPr>
              <w:tabs>
                <w:tab w:val="left" w:pos="-2268"/>
              </w:tabs>
              <w:suppressAutoHyphens/>
              <w:jc w:val="center"/>
              <w:rPr>
                <w:rFonts w:cs="Arial"/>
                <w:spacing w:val="-3"/>
                <w:sz w:val="20"/>
                <w:szCs w:val="20"/>
              </w:rPr>
            </w:pPr>
            <w:r w:rsidRPr="00BD1319">
              <w:rPr>
                <w:rFonts w:cs="Arial"/>
                <w:spacing w:val="-3"/>
                <w:sz w:val="20"/>
                <w:szCs w:val="20"/>
              </w:rPr>
              <w:t>g/</w:t>
            </w:r>
            <w:proofErr w:type="spellStart"/>
            <w:r w:rsidRPr="00BD1319">
              <w:rPr>
                <w:rFonts w:cs="Arial"/>
                <w:spacing w:val="-3"/>
                <w:sz w:val="20"/>
                <w:szCs w:val="20"/>
              </w:rPr>
              <w:t>cc</w:t>
            </w:r>
            <w:proofErr w:type="spellEnd"/>
          </w:p>
        </w:tc>
        <w:tc>
          <w:tcPr>
            <w:tcW w:w="3521" w:type="dxa"/>
            <w:vAlign w:val="center"/>
            <w:hideMark/>
          </w:tcPr>
          <w:p w14:paraId="55995A38" w14:textId="0B4BCB56" w:rsidR="00FF1FED" w:rsidRPr="00BD1319" w:rsidRDefault="00FF1FED" w:rsidP="00B07BDF">
            <w:pPr>
              <w:numPr>
                <w:ilvl w:val="12"/>
                <w:numId w:val="0"/>
              </w:numPr>
              <w:tabs>
                <w:tab w:val="left" w:pos="-2268"/>
              </w:tabs>
              <w:suppressAutoHyphens/>
              <w:rPr>
                <w:rFonts w:cs="Arial"/>
                <w:spacing w:val="-3"/>
                <w:sz w:val="20"/>
                <w:szCs w:val="20"/>
              </w:rPr>
            </w:pPr>
            <w:r w:rsidRPr="00BD1319">
              <w:rPr>
                <w:rFonts w:cs="Arial"/>
                <w:spacing w:val="-3"/>
                <w:sz w:val="20"/>
                <w:szCs w:val="20"/>
              </w:rPr>
              <w:t>Cilindro de volumen constante</w:t>
            </w:r>
            <w:r w:rsidR="00927D20" w:rsidRPr="00BD1319">
              <w:rPr>
                <w:rFonts w:cs="Arial"/>
                <w:spacing w:val="-3"/>
                <w:sz w:val="20"/>
                <w:szCs w:val="20"/>
              </w:rPr>
              <w:t xml:space="preserve"> o terrón parafinado, conforme a recomendación técnica</w:t>
            </w:r>
          </w:p>
        </w:tc>
      </w:tr>
      <w:tr w:rsidR="00FF1FED" w:rsidRPr="00BD1319" w14:paraId="52ECD569" w14:textId="77777777" w:rsidTr="00FF1FED">
        <w:trPr>
          <w:trHeight w:hRule="exact" w:val="680"/>
          <w:jc w:val="center"/>
        </w:trPr>
        <w:tc>
          <w:tcPr>
            <w:tcW w:w="1563" w:type="dxa"/>
            <w:vMerge/>
            <w:vAlign w:val="center"/>
          </w:tcPr>
          <w:p w14:paraId="308C3D4A" w14:textId="77777777" w:rsidR="00FF1FED" w:rsidRPr="00BD1319" w:rsidRDefault="00FF1FED" w:rsidP="00FF1FED">
            <w:pPr>
              <w:numPr>
                <w:ilvl w:val="12"/>
                <w:numId w:val="0"/>
              </w:numPr>
              <w:tabs>
                <w:tab w:val="left" w:pos="-2268"/>
              </w:tabs>
              <w:suppressAutoHyphens/>
              <w:jc w:val="center"/>
              <w:rPr>
                <w:rFonts w:cs="Arial"/>
                <w:spacing w:val="-3"/>
                <w:sz w:val="20"/>
                <w:szCs w:val="20"/>
              </w:rPr>
            </w:pPr>
          </w:p>
        </w:tc>
        <w:tc>
          <w:tcPr>
            <w:tcW w:w="3485" w:type="dxa"/>
            <w:vAlign w:val="center"/>
            <w:hideMark/>
          </w:tcPr>
          <w:p w14:paraId="2F6B239F" w14:textId="4C4C9210" w:rsidR="00FF1FED" w:rsidRPr="00BD1319" w:rsidRDefault="00FF1FED" w:rsidP="00B07BDF">
            <w:pPr>
              <w:numPr>
                <w:ilvl w:val="12"/>
                <w:numId w:val="0"/>
              </w:numPr>
              <w:tabs>
                <w:tab w:val="left" w:pos="-2268"/>
              </w:tabs>
              <w:suppressAutoHyphens/>
              <w:rPr>
                <w:rFonts w:cs="Arial"/>
                <w:spacing w:val="-3"/>
                <w:sz w:val="20"/>
                <w:szCs w:val="20"/>
              </w:rPr>
            </w:pPr>
            <w:r w:rsidRPr="00BD1319">
              <w:rPr>
                <w:rFonts w:cs="Arial"/>
                <w:spacing w:val="-3"/>
                <w:sz w:val="20"/>
                <w:szCs w:val="20"/>
              </w:rPr>
              <w:t>Porosidad</w:t>
            </w:r>
          </w:p>
        </w:tc>
        <w:tc>
          <w:tcPr>
            <w:tcW w:w="1230" w:type="dxa"/>
            <w:vAlign w:val="center"/>
            <w:hideMark/>
          </w:tcPr>
          <w:p w14:paraId="3C425E02" w14:textId="77777777" w:rsidR="00FF1FED" w:rsidRPr="00BD1319" w:rsidRDefault="00FF1FED" w:rsidP="00224F4F">
            <w:pPr>
              <w:numPr>
                <w:ilvl w:val="12"/>
                <w:numId w:val="0"/>
              </w:numPr>
              <w:tabs>
                <w:tab w:val="left" w:pos="-2268"/>
              </w:tabs>
              <w:suppressAutoHyphens/>
              <w:jc w:val="center"/>
              <w:rPr>
                <w:rFonts w:cs="Arial"/>
                <w:spacing w:val="-3"/>
                <w:sz w:val="20"/>
                <w:szCs w:val="20"/>
              </w:rPr>
            </w:pPr>
            <w:r w:rsidRPr="00BD1319">
              <w:rPr>
                <w:rFonts w:cs="Arial"/>
                <w:spacing w:val="-3"/>
                <w:sz w:val="20"/>
                <w:szCs w:val="20"/>
              </w:rPr>
              <w:t>%</w:t>
            </w:r>
          </w:p>
        </w:tc>
        <w:tc>
          <w:tcPr>
            <w:tcW w:w="3521" w:type="dxa"/>
            <w:vAlign w:val="center"/>
            <w:hideMark/>
          </w:tcPr>
          <w:p w14:paraId="591D44FF" w14:textId="77777777" w:rsidR="00FF1FED" w:rsidRPr="00BD1319" w:rsidRDefault="00FF1FED" w:rsidP="00B07BDF">
            <w:pPr>
              <w:numPr>
                <w:ilvl w:val="12"/>
                <w:numId w:val="0"/>
              </w:numPr>
              <w:tabs>
                <w:tab w:val="left" w:pos="-2268"/>
              </w:tabs>
              <w:suppressAutoHyphens/>
              <w:rPr>
                <w:rFonts w:cs="Arial"/>
                <w:spacing w:val="-3"/>
                <w:sz w:val="20"/>
                <w:szCs w:val="20"/>
              </w:rPr>
            </w:pPr>
            <w:r w:rsidRPr="00BD1319">
              <w:rPr>
                <w:rFonts w:cs="Arial"/>
                <w:spacing w:val="-3"/>
                <w:sz w:val="20"/>
                <w:szCs w:val="20"/>
              </w:rPr>
              <w:t>Cálculo</w:t>
            </w:r>
          </w:p>
        </w:tc>
      </w:tr>
      <w:tr w:rsidR="00FF1FED" w:rsidRPr="00BD1319" w14:paraId="2CEBEDB2" w14:textId="77777777" w:rsidTr="00FF1FED">
        <w:trPr>
          <w:trHeight w:hRule="exact" w:val="680"/>
          <w:jc w:val="center"/>
        </w:trPr>
        <w:tc>
          <w:tcPr>
            <w:tcW w:w="1563" w:type="dxa"/>
            <w:vMerge/>
            <w:vAlign w:val="center"/>
          </w:tcPr>
          <w:p w14:paraId="29916C0A" w14:textId="77777777" w:rsidR="00FF1FED" w:rsidRPr="00BD1319" w:rsidRDefault="00FF1FED" w:rsidP="00FF1FED">
            <w:pPr>
              <w:numPr>
                <w:ilvl w:val="12"/>
                <w:numId w:val="0"/>
              </w:numPr>
              <w:tabs>
                <w:tab w:val="left" w:pos="-2268"/>
              </w:tabs>
              <w:suppressAutoHyphens/>
              <w:jc w:val="center"/>
              <w:rPr>
                <w:rFonts w:cs="Arial"/>
                <w:spacing w:val="-3"/>
                <w:sz w:val="20"/>
                <w:szCs w:val="20"/>
              </w:rPr>
            </w:pPr>
          </w:p>
        </w:tc>
        <w:tc>
          <w:tcPr>
            <w:tcW w:w="3485" w:type="dxa"/>
            <w:vAlign w:val="center"/>
            <w:hideMark/>
          </w:tcPr>
          <w:p w14:paraId="1C06607A" w14:textId="0F1812AF" w:rsidR="00FF1FED" w:rsidRPr="00BD1319" w:rsidRDefault="00FF1FED" w:rsidP="00B07BDF">
            <w:pPr>
              <w:numPr>
                <w:ilvl w:val="12"/>
                <w:numId w:val="0"/>
              </w:numPr>
              <w:tabs>
                <w:tab w:val="left" w:pos="-2268"/>
              </w:tabs>
              <w:suppressAutoHyphens/>
              <w:rPr>
                <w:rFonts w:cs="Arial"/>
                <w:spacing w:val="-3"/>
                <w:sz w:val="20"/>
                <w:szCs w:val="20"/>
              </w:rPr>
            </w:pPr>
            <w:r w:rsidRPr="00BD1319">
              <w:rPr>
                <w:rFonts w:cs="Arial"/>
                <w:spacing w:val="-3"/>
                <w:sz w:val="20"/>
                <w:szCs w:val="20"/>
              </w:rPr>
              <w:t xml:space="preserve">Retención de humedad </w:t>
            </w:r>
          </w:p>
          <w:p w14:paraId="62C3F0C3" w14:textId="3BAFDF05" w:rsidR="00FF1FED" w:rsidRPr="00BD1319" w:rsidRDefault="00FF1FED" w:rsidP="00B07BDF">
            <w:pPr>
              <w:numPr>
                <w:ilvl w:val="12"/>
                <w:numId w:val="0"/>
              </w:numPr>
              <w:tabs>
                <w:tab w:val="left" w:pos="-2268"/>
              </w:tabs>
              <w:suppressAutoHyphens/>
              <w:rPr>
                <w:rFonts w:cs="Arial"/>
                <w:spacing w:val="-3"/>
                <w:sz w:val="20"/>
                <w:szCs w:val="20"/>
              </w:rPr>
            </w:pPr>
            <w:r w:rsidRPr="00BD1319">
              <w:rPr>
                <w:rFonts w:cs="Arial"/>
                <w:spacing w:val="-3"/>
                <w:sz w:val="20"/>
                <w:szCs w:val="20"/>
              </w:rPr>
              <w:t xml:space="preserve">(3 puntos/horizonte) </w:t>
            </w:r>
          </w:p>
        </w:tc>
        <w:tc>
          <w:tcPr>
            <w:tcW w:w="1230" w:type="dxa"/>
            <w:vAlign w:val="center"/>
            <w:hideMark/>
          </w:tcPr>
          <w:p w14:paraId="11F85DF5" w14:textId="77777777" w:rsidR="00FF1FED" w:rsidRPr="00BD1319" w:rsidRDefault="00FF1FED" w:rsidP="00224F4F">
            <w:pPr>
              <w:numPr>
                <w:ilvl w:val="12"/>
                <w:numId w:val="0"/>
              </w:numPr>
              <w:tabs>
                <w:tab w:val="left" w:pos="-2268"/>
              </w:tabs>
              <w:suppressAutoHyphens/>
              <w:jc w:val="center"/>
              <w:rPr>
                <w:rFonts w:cs="Arial"/>
                <w:spacing w:val="-3"/>
                <w:sz w:val="20"/>
                <w:szCs w:val="20"/>
              </w:rPr>
            </w:pPr>
            <w:r w:rsidRPr="00BD1319">
              <w:rPr>
                <w:rFonts w:cs="Arial"/>
                <w:spacing w:val="-3"/>
                <w:sz w:val="20"/>
                <w:szCs w:val="20"/>
              </w:rPr>
              <w:t>%</w:t>
            </w:r>
          </w:p>
        </w:tc>
        <w:tc>
          <w:tcPr>
            <w:tcW w:w="3521" w:type="dxa"/>
            <w:vAlign w:val="center"/>
            <w:hideMark/>
          </w:tcPr>
          <w:p w14:paraId="00392FD0" w14:textId="77777777" w:rsidR="00FF1FED" w:rsidRPr="00BD1319" w:rsidRDefault="00FF1FED" w:rsidP="00B07BDF">
            <w:pPr>
              <w:numPr>
                <w:ilvl w:val="12"/>
                <w:numId w:val="0"/>
              </w:numPr>
              <w:tabs>
                <w:tab w:val="left" w:pos="-2268"/>
              </w:tabs>
              <w:suppressAutoHyphens/>
              <w:rPr>
                <w:rFonts w:cs="Arial"/>
                <w:spacing w:val="-3"/>
                <w:sz w:val="20"/>
                <w:szCs w:val="20"/>
              </w:rPr>
            </w:pPr>
            <w:r w:rsidRPr="00BD1319">
              <w:rPr>
                <w:rFonts w:cs="Arial"/>
                <w:spacing w:val="-3"/>
                <w:sz w:val="20"/>
                <w:szCs w:val="20"/>
              </w:rPr>
              <w:t>Gravimétrico</w:t>
            </w:r>
          </w:p>
        </w:tc>
      </w:tr>
      <w:tr w:rsidR="00FF1FED" w:rsidRPr="00BD1319" w14:paraId="25F86E57" w14:textId="77777777" w:rsidTr="00FF1FED">
        <w:trPr>
          <w:trHeight w:hRule="exact" w:val="680"/>
          <w:jc w:val="center"/>
        </w:trPr>
        <w:tc>
          <w:tcPr>
            <w:tcW w:w="1563" w:type="dxa"/>
            <w:vMerge/>
            <w:vAlign w:val="center"/>
          </w:tcPr>
          <w:p w14:paraId="1F33D128" w14:textId="77777777" w:rsidR="00FF1FED" w:rsidRPr="00BD1319" w:rsidRDefault="00FF1FED" w:rsidP="00FF1FED">
            <w:pPr>
              <w:numPr>
                <w:ilvl w:val="12"/>
                <w:numId w:val="0"/>
              </w:numPr>
              <w:tabs>
                <w:tab w:val="left" w:pos="-2268"/>
              </w:tabs>
              <w:suppressAutoHyphens/>
              <w:jc w:val="center"/>
              <w:rPr>
                <w:rFonts w:cs="Arial"/>
                <w:spacing w:val="-3"/>
                <w:sz w:val="20"/>
                <w:szCs w:val="20"/>
              </w:rPr>
            </w:pPr>
          </w:p>
        </w:tc>
        <w:tc>
          <w:tcPr>
            <w:tcW w:w="3485" w:type="dxa"/>
            <w:vAlign w:val="center"/>
            <w:hideMark/>
          </w:tcPr>
          <w:p w14:paraId="720A82CE" w14:textId="4AEA7268" w:rsidR="00FF1FED" w:rsidRPr="00BD1319" w:rsidRDefault="00FF1FED" w:rsidP="00B07BDF">
            <w:pPr>
              <w:numPr>
                <w:ilvl w:val="12"/>
                <w:numId w:val="0"/>
              </w:numPr>
              <w:tabs>
                <w:tab w:val="left" w:pos="-2268"/>
              </w:tabs>
              <w:suppressAutoHyphens/>
              <w:rPr>
                <w:rFonts w:cs="Arial"/>
                <w:spacing w:val="-3"/>
                <w:sz w:val="20"/>
                <w:szCs w:val="20"/>
              </w:rPr>
            </w:pPr>
            <w:r w:rsidRPr="00BD1319">
              <w:rPr>
                <w:rFonts w:cs="Arial"/>
                <w:spacing w:val="-3"/>
                <w:sz w:val="20"/>
                <w:szCs w:val="20"/>
              </w:rPr>
              <w:t>Estabilidad estructural</w:t>
            </w:r>
          </w:p>
        </w:tc>
        <w:tc>
          <w:tcPr>
            <w:tcW w:w="1230" w:type="dxa"/>
            <w:vAlign w:val="center"/>
            <w:hideMark/>
          </w:tcPr>
          <w:p w14:paraId="18490975" w14:textId="77777777" w:rsidR="00FF1FED" w:rsidRPr="00BD1319" w:rsidRDefault="00FF1FED" w:rsidP="00224F4F">
            <w:pPr>
              <w:numPr>
                <w:ilvl w:val="12"/>
                <w:numId w:val="0"/>
              </w:numPr>
              <w:tabs>
                <w:tab w:val="left" w:pos="-2268"/>
              </w:tabs>
              <w:suppressAutoHyphens/>
              <w:jc w:val="center"/>
              <w:rPr>
                <w:rFonts w:cs="Arial"/>
                <w:spacing w:val="-3"/>
                <w:sz w:val="20"/>
                <w:szCs w:val="20"/>
              </w:rPr>
            </w:pPr>
            <w:r w:rsidRPr="00BD1319">
              <w:rPr>
                <w:rFonts w:cs="Arial"/>
                <w:spacing w:val="-3"/>
                <w:sz w:val="20"/>
                <w:szCs w:val="20"/>
              </w:rPr>
              <w:t>%</w:t>
            </w:r>
          </w:p>
        </w:tc>
        <w:tc>
          <w:tcPr>
            <w:tcW w:w="3521" w:type="dxa"/>
            <w:vAlign w:val="center"/>
            <w:hideMark/>
          </w:tcPr>
          <w:p w14:paraId="44FC8148" w14:textId="77777777" w:rsidR="00FF1FED" w:rsidRPr="00BD1319" w:rsidRDefault="00FF1FED" w:rsidP="00B07BDF">
            <w:pPr>
              <w:numPr>
                <w:ilvl w:val="12"/>
                <w:numId w:val="0"/>
              </w:numPr>
              <w:tabs>
                <w:tab w:val="left" w:pos="-2268"/>
              </w:tabs>
              <w:suppressAutoHyphens/>
              <w:rPr>
                <w:rFonts w:cs="Arial"/>
                <w:spacing w:val="-3"/>
                <w:sz w:val="20"/>
                <w:szCs w:val="20"/>
              </w:rPr>
            </w:pPr>
            <w:r w:rsidRPr="00BD1319">
              <w:rPr>
                <w:rFonts w:cs="Arial"/>
                <w:spacing w:val="-3"/>
                <w:sz w:val="20"/>
                <w:szCs w:val="20"/>
              </w:rPr>
              <w:t>Gravimétrico</w:t>
            </w:r>
          </w:p>
        </w:tc>
      </w:tr>
      <w:tr w:rsidR="00FF1FED" w:rsidRPr="00BD1319" w14:paraId="310ABD01" w14:textId="77777777" w:rsidTr="00FF1FED">
        <w:trPr>
          <w:trHeight w:hRule="exact" w:val="680"/>
          <w:jc w:val="center"/>
        </w:trPr>
        <w:tc>
          <w:tcPr>
            <w:tcW w:w="1563" w:type="dxa"/>
            <w:vMerge/>
            <w:vAlign w:val="center"/>
          </w:tcPr>
          <w:p w14:paraId="68C11011" w14:textId="77777777" w:rsidR="00FF1FED" w:rsidRPr="00BD1319" w:rsidRDefault="00FF1FED" w:rsidP="00FF1FED">
            <w:pPr>
              <w:numPr>
                <w:ilvl w:val="12"/>
                <w:numId w:val="0"/>
              </w:numPr>
              <w:tabs>
                <w:tab w:val="left" w:pos="-2268"/>
              </w:tabs>
              <w:suppressAutoHyphens/>
              <w:jc w:val="center"/>
              <w:rPr>
                <w:rFonts w:cs="Arial"/>
                <w:spacing w:val="-3"/>
                <w:sz w:val="20"/>
                <w:szCs w:val="20"/>
              </w:rPr>
            </w:pPr>
          </w:p>
        </w:tc>
        <w:tc>
          <w:tcPr>
            <w:tcW w:w="3485" w:type="dxa"/>
            <w:vAlign w:val="center"/>
            <w:hideMark/>
          </w:tcPr>
          <w:p w14:paraId="46ADC883" w14:textId="21EBA90D" w:rsidR="00FF1FED" w:rsidRPr="00BD1319" w:rsidRDefault="00FF1FED" w:rsidP="00B07BDF">
            <w:pPr>
              <w:numPr>
                <w:ilvl w:val="12"/>
                <w:numId w:val="0"/>
              </w:numPr>
              <w:tabs>
                <w:tab w:val="left" w:pos="-2268"/>
              </w:tabs>
              <w:suppressAutoHyphens/>
              <w:rPr>
                <w:rFonts w:cs="Arial"/>
                <w:spacing w:val="-3"/>
                <w:sz w:val="20"/>
                <w:szCs w:val="20"/>
              </w:rPr>
            </w:pPr>
            <w:r w:rsidRPr="00BD1319">
              <w:rPr>
                <w:rFonts w:cs="Arial"/>
                <w:spacing w:val="-3"/>
                <w:sz w:val="20"/>
                <w:szCs w:val="20"/>
              </w:rPr>
              <w:t>Resistencia a la penetración</w:t>
            </w:r>
          </w:p>
        </w:tc>
        <w:tc>
          <w:tcPr>
            <w:tcW w:w="1230" w:type="dxa"/>
            <w:vAlign w:val="center"/>
            <w:hideMark/>
          </w:tcPr>
          <w:p w14:paraId="13F21951" w14:textId="77777777" w:rsidR="00FF1FED" w:rsidRPr="00BD1319" w:rsidRDefault="00FF1FED" w:rsidP="00224F4F">
            <w:pPr>
              <w:numPr>
                <w:ilvl w:val="12"/>
                <w:numId w:val="0"/>
              </w:numPr>
              <w:tabs>
                <w:tab w:val="left" w:pos="-2268"/>
              </w:tabs>
              <w:suppressAutoHyphens/>
              <w:jc w:val="center"/>
              <w:rPr>
                <w:rFonts w:cs="Arial"/>
                <w:spacing w:val="-3"/>
                <w:sz w:val="20"/>
                <w:szCs w:val="20"/>
              </w:rPr>
            </w:pPr>
            <w:proofErr w:type="spellStart"/>
            <w:r w:rsidRPr="00BD1319">
              <w:rPr>
                <w:rFonts w:cs="Arial"/>
                <w:spacing w:val="-3"/>
                <w:sz w:val="20"/>
                <w:szCs w:val="20"/>
              </w:rPr>
              <w:t>Mpa</w:t>
            </w:r>
            <w:proofErr w:type="spellEnd"/>
          </w:p>
        </w:tc>
        <w:tc>
          <w:tcPr>
            <w:tcW w:w="3521" w:type="dxa"/>
            <w:vAlign w:val="center"/>
            <w:hideMark/>
          </w:tcPr>
          <w:p w14:paraId="49C1F617" w14:textId="77777777" w:rsidR="00FF1FED" w:rsidRPr="00BD1319" w:rsidRDefault="00FF1FED" w:rsidP="00B07BDF">
            <w:pPr>
              <w:numPr>
                <w:ilvl w:val="12"/>
                <w:numId w:val="0"/>
              </w:numPr>
              <w:tabs>
                <w:tab w:val="left" w:pos="-2268"/>
              </w:tabs>
              <w:suppressAutoHyphens/>
              <w:rPr>
                <w:rFonts w:cs="Arial"/>
                <w:spacing w:val="-3"/>
                <w:sz w:val="20"/>
                <w:szCs w:val="20"/>
              </w:rPr>
            </w:pPr>
            <w:r w:rsidRPr="00BD1319">
              <w:rPr>
                <w:rFonts w:cs="Arial"/>
                <w:spacing w:val="-3"/>
                <w:sz w:val="20"/>
                <w:szCs w:val="20"/>
              </w:rPr>
              <w:t>Penetrómetro</w:t>
            </w:r>
          </w:p>
        </w:tc>
      </w:tr>
      <w:tr w:rsidR="00FF1FED" w:rsidRPr="00BD1319" w14:paraId="1178ADE6" w14:textId="77777777" w:rsidTr="00FF1FED">
        <w:trPr>
          <w:trHeight w:hRule="exact" w:val="680"/>
          <w:jc w:val="center"/>
        </w:trPr>
        <w:tc>
          <w:tcPr>
            <w:tcW w:w="1563" w:type="dxa"/>
            <w:vMerge w:val="restart"/>
            <w:vAlign w:val="center"/>
          </w:tcPr>
          <w:p w14:paraId="4826A765" w14:textId="061A4CD9" w:rsidR="00FF1FED" w:rsidRPr="00BD1319" w:rsidRDefault="00FF1FED" w:rsidP="00FF1FED">
            <w:pPr>
              <w:numPr>
                <w:ilvl w:val="12"/>
                <w:numId w:val="0"/>
              </w:numPr>
              <w:tabs>
                <w:tab w:val="left" w:pos="-2268"/>
              </w:tabs>
              <w:suppressAutoHyphens/>
              <w:jc w:val="center"/>
              <w:rPr>
                <w:rFonts w:cs="Arial"/>
                <w:b/>
                <w:spacing w:val="-3"/>
                <w:sz w:val="20"/>
                <w:szCs w:val="20"/>
              </w:rPr>
            </w:pPr>
            <w:r w:rsidRPr="00BD1319">
              <w:rPr>
                <w:rFonts w:cs="Arial"/>
                <w:b/>
                <w:spacing w:val="-3"/>
                <w:sz w:val="20"/>
                <w:szCs w:val="20"/>
              </w:rPr>
              <w:t>Químico</w:t>
            </w:r>
          </w:p>
        </w:tc>
        <w:tc>
          <w:tcPr>
            <w:tcW w:w="3485" w:type="dxa"/>
            <w:vAlign w:val="center"/>
            <w:hideMark/>
          </w:tcPr>
          <w:p w14:paraId="7B624178" w14:textId="281BA8C7" w:rsidR="00FF1FED" w:rsidRPr="00BD1319" w:rsidRDefault="00FF1FED" w:rsidP="00B07BDF">
            <w:pPr>
              <w:numPr>
                <w:ilvl w:val="12"/>
                <w:numId w:val="0"/>
              </w:numPr>
              <w:tabs>
                <w:tab w:val="left" w:pos="-2268"/>
              </w:tabs>
              <w:suppressAutoHyphens/>
              <w:rPr>
                <w:rFonts w:cs="Arial"/>
                <w:spacing w:val="-3"/>
                <w:sz w:val="20"/>
                <w:szCs w:val="20"/>
              </w:rPr>
            </w:pPr>
            <w:r w:rsidRPr="00BD1319">
              <w:rPr>
                <w:rFonts w:cs="Arial"/>
                <w:spacing w:val="-3"/>
                <w:sz w:val="20"/>
                <w:szCs w:val="20"/>
              </w:rPr>
              <w:t>pH</w:t>
            </w:r>
          </w:p>
        </w:tc>
        <w:tc>
          <w:tcPr>
            <w:tcW w:w="1230" w:type="dxa"/>
            <w:vAlign w:val="center"/>
            <w:hideMark/>
          </w:tcPr>
          <w:p w14:paraId="03768924" w14:textId="77777777" w:rsidR="00FF1FED" w:rsidRPr="00BD1319" w:rsidRDefault="00FF1FED" w:rsidP="00224F4F">
            <w:pPr>
              <w:numPr>
                <w:ilvl w:val="12"/>
                <w:numId w:val="0"/>
              </w:numPr>
              <w:tabs>
                <w:tab w:val="left" w:pos="-2268"/>
              </w:tabs>
              <w:suppressAutoHyphens/>
              <w:jc w:val="center"/>
              <w:rPr>
                <w:rFonts w:cs="Arial"/>
                <w:spacing w:val="-3"/>
                <w:sz w:val="20"/>
                <w:szCs w:val="20"/>
              </w:rPr>
            </w:pPr>
            <w:r w:rsidRPr="00BD1319">
              <w:rPr>
                <w:rFonts w:cs="Arial"/>
                <w:spacing w:val="-3"/>
                <w:sz w:val="20"/>
                <w:szCs w:val="20"/>
              </w:rPr>
              <w:t>Unidades de pH</w:t>
            </w:r>
          </w:p>
        </w:tc>
        <w:tc>
          <w:tcPr>
            <w:tcW w:w="3521" w:type="dxa"/>
            <w:vAlign w:val="center"/>
            <w:hideMark/>
          </w:tcPr>
          <w:p w14:paraId="7577D6CF" w14:textId="77777777" w:rsidR="00FF1FED" w:rsidRPr="00BD1319" w:rsidRDefault="00FF1FED" w:rsidP="00B07BDF">
            <w:pPr>
              <w:numPr>
                <w:ilvl w:val="12"/>
                <w:numId w:val="0"/>
              </w:numPr>
              <w:tabs>
                <w:tab w:val="left" w:pos="-2268"/>
              </w:tabs>
              <w:suppressAutoHyphens/>
              <w:rPr>
                <w:rFonts w:cs="Arial"/>
                <w:spacing w:val="-3"/>
                <w:sz w:val="20"/>
                <w:szCs w:val="20"/>
              </w:rPr>
            </w:pPr>
            <w:r w:rsidRPr="00BD1319">
              <w:rPr>
                <w:rFonts w:cs="Arial"/>
                <w:spacing w:val="-3"/>
                <w:sz w:val="20"/>
                <w:szCs w:val="20"/>
              </w:rPr>
              <w:t>Electrométrico</w:t>
            </w:r>
          </w:p>
        </w:tc>
      </w:tr>
      <w:tr w:rsidR="00FF1FED" w:rsidRPr="00BD1319" w14:paraId="5498D3E3" w14:textId="77777777" w:rsidTr="00FF1FED">
        <w:trPr>
          <w:trHeight w:hRule="exact" w:val="680"/>
          <w:jc w:val="center"/>
        </w:trPr>
        <w:tc>
          <w:tcPr>
            <w:tcW w:w="1563" w:type="dxa"/>
            <w:vMerge/>
            <w:vAlign w:val="center"/>
          </w:tcPr>
          <w:p w14:paraId="63D0C428" w14:textId="77777777" w:rsidR="00FF1FED" w:rsidRPr="00BD1319" w:rsidRDefault="00FF1FED" w:rsidP="00FF1FED">
            <w:pPr>
              <w:numPr>
                <w:ilvl w:val="12"/>
                <w:numId w:val="0"/>
              </w:numPr>
              <w:tabs>
                <w:tab w:val="left" w:pos="-2268"/>
              </w:tabs>
              <w:suppressAutoHyphens/>
              <w:jc w:val="center"/>
              <w:rPr>
                <w:rFonts w:cs="Arial"/>
                <w:spacing w:val="-3"/>
                <w:sz w:val="20"/>
                <w:szCs w:val="20"/>
              </w:rPr>
            </w:pPr>
          </w:p>
        </w:tc>
        <w:tc>
          <w:tcPr>
            <w:tcW w:w="3485" w:type="dxa"/>
            <w:vAlign w:val="center"/>
            <w:hideMark/>
          </w:tcPr>
          <w:p w14:paraId="5DB41D34" w14:textId="0DF0A403" w:rsidR="00FF1FED" w:rsidRPr="00BD1319" w:rsidRDefault="00FF1FED" w:rsidP="00B07BDF">
            <w:pPr>
              <w:numPr>
                <w:ilvl w:val="12"/>
                <w:numId w:val="0"/>
              </w:numPr>
              <w:tabs>
                <w:tab w:val="left" w:pos="-2268"/>
              </w:tabs>
              <w:suppressAutoHyphens/>
              <w:rPr>
                <w:rFonts w:cs="Arial"/>
                <w:spacing w:val="-3"/>
                <w:sz w:val="20"/>
                <w:szCs w:val="20"/>
              </w:rPr>
            </w:pPr>
            <w:r w:rsidRPr="00BD1319">
              <w:rPr>
                <w:rFonts w:cs="Arial"/>
                <w:spacing w:val="-3"/>
                <w:sz w:val="20"/>
                <w:szCs w:val="20"/>
              </w:rPr>
              <w:t>Cromo hexavalente</w:t>
            </w:r>
          </w:p>
        </w:tc>
        <w:tc>
          <w:tcPr>
            <w:tcW w:w="1230" w:type="dxa"/>
            <w:vAlign w:val="center"/>
            <w:hideMark/>
          </w:tcPr>
          <w:p w14:paraId="61D14D1F" w14:textId="77777777" w:rsidR="00FF1FED" w:rsidRPr="00BD1319" w:rsidRDefault="00FF1FED" w:rsidP="00224F4F">
            <w:pPr>
              <w:numPr>
                <w:ilvl w:val="12"/>
                <w:numId w:val="0"/>
              </w:numPr>
              <w:tabs>
                <w:tab w:val="left" w:pos="-2268"/>
              </w:tabs>
              <w:suppressAutoHyphens/>
              <w:jc w:val="center"/>
              <w:rPr>
                <w:rFonts w:cs="Arial"/>
                <w:spacing w:val="-3"/>
                <w:sz w:val="20"/>
                <w:szCs w:val="20"/>
              </w:rPr>
            </w:pPr>
            <w:r w:rsidRPr="00BD1319">
              <w:rPr>
                <w:rFonts w:cs="Arial"/>
                <w:spacing w:val="-3"/>
                <w:sz w:val="20"/>
                <w:szCs w:val="20"/>
              </w:rPr>
              <w:t>mg/kg</w:t>
            </w:r>
          </w:p>
        </w:tc>
        <w:tc>
          <w:tcPr>
            <w:tcW w:w="3521" w:type="dxa"/>
            <w:vAlign w:val="center"/>
            <w:hideMark/>
          </w:tcPr>
          <w:p w14:paraId="35889A6B" w14:textId="77777777" w:rsidR="00FF1FED" w:rsidRPr="00BD1319" w:rsidRDefault="00FF1FED" w:rsidP="00B07BDF">
            <w:pPr>
              <w:numPr>
                <w:ilvl w:val="12"/>
                <w:numId w:val="0"/>
              </w:numPr>
              <w:tabs>
                <w:tab w:val="left" w:pos="-2268"/>
              </w:tabs>
              <w:suppressAutoHyphens/>
              <w:rPr>
                <w:rFonts w:cs="Arial"/>
                <w:spacing w:val="-3"/>
                <w:sz w:val="20"/>
                <w:szCs w:val="20"/>
              </w:rPr>
            </w:pPr>
            <w:r w:rsidRPr="00BD1319">
              <w:rPr>
                <w:rFonts w:cs="Arial"/>
                <w:spacing w:val="-3"/>
                <w:sz w:val="20"/>
                <w:szCs w:val="20"/>
              </w:rPr>
              <w:t>Colorimetría</w:t>
            </w:r>
          </w:p>
        </w:tc>
      </w:tr>
      <w:tr w:rsidR="00FF1FED" w:rsidRPr="00BD1319" w14:paraId="6785F039" w14:textId="77777777" w:rsidTr="00FF1FED">
        <w:trPr>
          <w:trHeight w:hRule="exact" w:val="680"/>
          <w:jc w:val="center"/>
        </w:trPr>
        <w:tc>
          <w:tcPr>
            <w:tcW w:w="1563" w:type="dxa"/>
            <w:vMerge/>
            <w:vAlign w:val="center"/>
          </w:tcPr>
          <w:p w14:paraId="78D807B9" w14:textId="77777777" w:rsidR="00FF1FED" w:rsidRPr="00BD1319" w:rsidRDefault="00FF1FED" w:rsidP="00FF1FED">
            <w:pPr>
              <w:numPr>
                <w:ilvl w:val="12"/>
                <w:numId w:val="0"/>
              </w:numPr>
              <w:tabs>
                <w:tab w:val="left" w:pos="-2268"/>
              </w:tabs>
              <w:suppressAutoHyphens/>
              <w:jc w:val="center"/>
              <w:rPr>
                <w:rFonts w:cs="Arial"/>
                <w:spacing w:val="-3"/>
                <w:sz w:val="20"/>
                <w:szCs w:val="20"/>
              </w:rPr>
            </w:pPr>
          </w:p>
        </w:tc>
        <w:tc>
          <w:tcPr>
            <w:tcW w:w="3485" w:type="dxa"/>
            <w:vAlign w:val="center"/>
            <w:hideMark/>
          </w:tcPr>
          <w:p w14:paraId="06057D37" w14:textId="5B020DCB" w:rsidR="00FF1FED" w:rsidRPr="00BD1319" w:rsidRDefault="00FF1FED" w:rsidP="00B07BDF">
            <w:pPr>
              <w:numPr>
                <w:ilvl w:val="12"/>
                <w:numId w:val="0"/>
              </w:numPr>
              <w:tabs>
                <w:tab w:val="left" w:pos="-2268"/>
              </w:tabs>
              <w:suppressAutoHyphens/>
              <w:rPr>
                <w:rFonts w:cs="Arial"/>
                <w:spacing w:val="-3"/>
                <w:sz w:val="20"/>
                <w:szCs w:val="20"/>
              </w:rPr>
            </w:pPr>
            <w:r w:rsidRPr="00BD1319">
              <w:rPr>
                <w:rFonts w:cs="Arial"/>
                <w:spacing w:val="-3"/>
                <w:sz w:val="20"/>
                <w:szCs w:val="20"/>
              </w:rPr>
              <w:t>Nitrógeno disponible</w:t>
            </w:r>
          </w:p>
        </w:tc>
        <w:tc>
          <w:tcPr>
            <w:tcW w:w="1230" w:type="dxa"/>
            <w:vAlign w:val="center"/>
            <w:hideMark/>
          </w:tcPr>
          <w:p w14:paraId="1BA160FA" w14:textId="77777777" w:rsidR="00FF1FED" w:rsidRPr="00BD1319" w:rsidRDefault="00FF1FED" w:rsidP="00224F4F">
            <w:pPr>
              <w:numPr>
                <w:ilvl w:val="12"/>
                <w:numId w:val="0"/>
              </w:numPr>
              <w:tabs>
                <w:tab w:val="left" w:pos="-2268"/>
              </w:tabs>
              <w:suppressAutoHyphens/>
              <w:jc w:val="center"/>
              <w:rPr>
                <w:rFonts w:cs="Arial"/>
                <w:spacing w:val="-3"/>
                <w:sz w:val="20"/>
                <w:szCs w:val="20"/>
              </w:rPr>
            </w:pPr>
            <w:r w:rsidRPr="00BD1319">
              <w:rPr>
                <w:rFonts w:cs="Arial"/>
                <w:spacing w:val="-3"/>
                <w:sz w:val="20"/>
                <w:szCs w:val="20"/>
              </w:rPr>
              <w:t>mg/kg</w:t>
            </w:r>
          </w:p>
        </w:tc>
        <w:tc>
          <w:tcPr>
            <w:tcW w:w="3521" w:type="dxa"/>
            <w:vAlign w:val="center"/>
            <w:hideMark/>
          </w:tcPr>
          <w:p w14:paraId="191220ED" w14:textId="77777777" w:rsidR="00FF1FED" w:rsidRPr="00BD1319" w:rsidRDefault="00FF1FED" w:rsidP="00B07BDF">
            <w:pPr>
              <w:numPr>
                <w:ilvl w:val="12"/>
                <w:numId w:val="0"/>
              </w:numPr>
              <w:tabs>
                <w:tab w:val="left" w:pos="-2268"/>
              </w:tabs>
              <w:suppressAutoHyphens/>
              <w:rPr>
                <w:rFonts w:cs="Arial"/>
                <w:spacing w:val="-3"/>
                <w:sz w:val="20"/>
                <w:szCs w:val="20"/>
              </w:rPr>
            </w:pPr>
            <w:r w:rsidRPr="00BD1319">
              <w:rPr>
                <w:rFonts w:cs="Arial"/>
                <w:spacing w:val="-3"/>
                <w:sz w:val="20"/>
                <w:szCs w:val="20"/>
              </w:rPr>
              <w:t>Volumetría</w:t>
            </w:r>
          </w:p>
        </w:tc>
      </w:tr>
      <w:tr w:rsidR="00FF1FED" w:rsidRPr="00BD1319" w14:paraId="06EA3B1D" w14:textId="77777777" w:rsidTr="00FF1FED">
        <w:trPr>
          <w:trHeight w:hRule="exact" w:val="680"/>
          <w:jc w:val="center"/>
        </w:trPr>
        <w:tc>
          <w:tcPr>
            <w:tcW w:w="1563" w:type="dxa"/>
            <w:vMerge/>
            <w:vAlign w:val="center"/>
          </w:tcPr>
          <w:p w14:paraId="1BD8A550" w14:textId="77777777" w:rsidR="00FF1FED" w:rsidRPr="00BD1319" w:rsidRDefault="00FF1FED" w:rsidP="00FF1FED">
            <w:pPr>
              <w:numPr>
                <w:ilvl w:val="12"/>
                <w:numId w:val="0"/>
              </w:numPr>
              <w:tabs>
                <w:tab w:val="left" w:pos="-2268"/>
              </w:tabs>
              <w:suppressAutoHyphens/>
              <w:jc w:val="center"/>
              <w:rPr>
                <w:rFonts w:cs="Arial"/>
                <w:spacing w:val="-3"/>
                <w:sz w:val="20"/>
                <w:szCs w:val="20"/>
              </w:rPr>
            </w:pPr>
          </w:p>
        </w:tc>
        <w:tc>
          <w:tcPr>
            <w:tcW w:w="3485" w:type="dxa"/>
            <w:vAlign w:val="center"/>
            <w:hideMark/>
          </w:tcPr>
          <w:p w14:paraId="185DA987" w14:textId="12AD4264" w:rsidR="00FF1FED" w:rsidRPr="00BD1319" w:rsidRDefault="00FF1FED" w:rsidP="00B07BDF">
            <w:pPr>
              <w:numPr>
                <w:ilvl w:val="12"/>
                <w:numId w:val="0"/>
              </w:numPr>
              <w:tabs>
                <w:tab w:val="left" w:pos="-2268"/>
              </w:tabs>
              <w:suppressAutoHyphens/>
              <w:rPr>
                <w:rFonts w:cs="Arial"/>
                <w:spacing w:val="-3"/>
                <w:sz w:val="20"/>
                <w:szCs w:val="20"/>
              </w:rPr>
            </w:pPr>
            <w:r w:rsidRPr="00BD1319">
              <w:rPr>
                <w:rFonts w:cs="Arial"/>
                <w:spacing w:val="-3"/>
                <w:sz w:val="20"/>
                <w:szCs w:val="20"/>
              </w:rPr>
              <w:t>Fósforo disponible</w:t>
            </w:r>
          </w:p>
        </w:tc>
        <w:tc>
          <w:tcPr>
            <w:tcW w:w="1230" w:type="dxa"/>
            <w:vAlign w:val="center"/>
            <w:hideMark/>
          </w:tcPr>
          <w:p w14:paraId="5C3D6C52" w14:textId="77777777" w:rsidR="00FF1FED" w:rsidRPr="00BD1319" w:rsidRDefault="00FF1FED" w:rsidP="00224F4F">
            <w:pPr>
              <w:numPr>
                <w:ilvl w:val="12"/>
                <w:numId w:val="0"/>
              </w:numPr>
              <w:tabs>
                <w:tab w:val="left" w:pos="-2268"/>
              </w:tabs>
              <w:suppressAutoHyphens/>
              <w:jc w:val="center"/>
              <w:rPr>
                <w:rFonts w:cs="Arial"/>
                <w:spacing w:val="-3"/>
                <w:sz w:val="20"/>
                <w:szCs w:val="20"/>
              </w:rPr>
            </w:pPr>
            <w:r w:rsidRPr="00BD1319">
              <w:rPr>
                <w:rFonts w:cs="Arial"/>
                <w:spacing w:val="-3"/>
                <w:sz w:val="20"/>
                <w:szCs w:val="20"/>
              </w:rPr>
              <w:t>mg/kg</w:t>
            </w:r>
          </w:p>
        </w:tc>
        <w:tc>
          <w:tcPr>
            <w:tcW w:w="3521" w:type="dxa"/>
            <w:vAlign w:val="center"/>
            <w:hideMark/>
          </w:tcPr>
          <w:p w14:paraId="3B715C2F" w14:textId="77777777" w:rsidR="00FF1FED" w:rsidRPr="00BD1319" w:rsidRDefault="00FF1FED" w:rsidP="00B07BDF">
            <w:pPr>
              <w:numPr>
                <w:ilvl w:val="12"/>
                <w:numId w:val="0"/>
              </w:numPr>
              <w:tabs>
                <w:tab w:val="left" w:pos="-2268"/>
              </w:tabs>
              <w:suppressAutoHyphens/>
              <w:rPr>
                <w:rFonts w:cs="Arial"/>
                <w:spacing w:val="-3"/>
                <w:sz w:val="20"/>
                <w:szCs w:val="20"/>
              </w:rPr>
            </w:pPr>
            <w:r w:rsidRPr="00BD1319">
              <w:rPr>
                <w:rFonts w:cs="Arial"/>
                <w:spacing w:val="-3"/>
                <w:sz w:val="20"/>
                <w:szCs w:val="20"/>
              </w:rPr>
              <w:t>Colorimetría</w:t>
            </w:r>
          </w:p>
        </w:tc>
      </w:tr>
      <w:tr w:rsidR="00FF1FED" w:rsidRPr="00BD1319" w14:paraId="0599B35D" w14:textId="77777777" w:rsidTr="00FF1FED">
        <w:trPr>
          <w:trHeight w:hRule="exact" w:val="680"/>
          <w:jc w:val="center"/>
        </w:trPr>
        <w:tc>
          <w:tcPr>
            <w:tcW w:w="1563" w:type="dxa"/>
            <w:vMerge/>
            <w:vAlign w:val="center"/>
          </w:tcPr>
          <w:p w14:paraId="0680242E" w14:textId="77777777" w:rsidR="00FF1FED" w:rsidRPr="00BD1319" w:rsidRDefault="00FF1FED" w:rsidP="00FF1FED">
            <w:pPr>
              <w:numPr>
                <w:ilvl w:val="12"/>
                <w:numId w:val="0"/>
              </w:numPr>
              <w:tabs>
                <w:tab w:val="left" w:pos="-2268"/>
              </w:tabs>
              <w:suppressAutoHyphens/>
              <w:jc w:val="center"/>
              <w:rPr>
                <w:rFonts w:cs="Arial"/>
                <w:spacing w:val="-3"/>
                <w:sz w:val="20"/>
                <w:szCs w:val="20"/>
              </w:rPr>
            </w:pPr>
          </w:p>
        </w:tc>
        <w:tc>
          <w:tcPr>
            <w:tcW w:w="3485" w:type="dxa"/>
            <w:vAlign w:val="center"/>
            <w:hideMark/>
          </w:tcPr>
          <w:p w14:paraId="62EA7850" w14:textId="614A9D44" w:rsidR="00FF1FED" w:rsidRPr="00BD1319" w:rsidRDefault="00FF1FED" w:rsidP="00B07BDF">
            <w:pPr>
              <w:numPr>
                <w:ilvl w:val="12"/>
                <w:numId w:val="0"/>
              </w:numPr>
              <w:tabs>
                <w:tab w:val="left" w:pos="-2268"/>
              </w:tabs>
              <w:suppressAutoHyphens/>
              <w:rPr>
                <w:rFonts w:cs="Arial"/>
                <w:spacing w:val="-3"/>
                <w:sz w:val="20"/>
                <w:szCs w:val="20"/>
              </w:rPr>
            </w:pPr>
            <w:r w:rsidRPr="00BD1319">
              <w:rPr>
                <w:rFonts w:cs="Arial"/>
                <w:spacing w:val="-3"/>
                <w:sz w:val="20"/>
                <w:szCs w:val="20"/>
              </w:rPr>
              <w:t>Potasio disponible</w:t>
            </w:r>
          </w:p>
        </w:tc>
        <w:tc>
          <w:tcPr>
            <w:tcW w:w="1230" w:type="dxa"/>
            <w:vAlign w:val="center"/>
            <w:hideMark/>
          </w:tcPr>
          <w:p w14:paraId="5816786B" w14:textId="77777777" w:rsidR="00FF1FED" w:rsidRPr="00BD1319" w:rsidRDefault="00FF1FED" w:rsidP="00224F4F">
            <w:pPr>
              <w:numPr>
                <w:ilvl w:val="12"/>
                <w:numId w:val="0"/>
              </w:numPr>
              <w:tabs>
                <w:tab w:val="left" w:pos="-2268"/>
              </w:tabs>
              <w:suppressAutoHyphens/>
              <w:jc w:val="center"/>
              <w:rPr>
                <w:rFonts w:cs="Arial"/>
                <w:spacing w:val="-3"/>
                <w:sz w:val="20"/>
                <w:szCs w:val="20"/>
              </w:rPr>
            </w:pPr>
            <w:r w:rsidRPr="00BD1319">
              <w:rPr>
                <w:rFonts w:cs="Arial"/>
                <w:spacing w:val="-3"/>
                <w:sz w:val="20"/>
                <w:szCs w:val="20"/>
              </w:rPr>
              <w:t>mg/kg</w:t>
            </w:r>
          </w:p>
        </w:tc>
        <w:tc>
          <w:tcPr>
            <w:tcW w:w="3521" w:type="dxa"/>
            <w:vAlign w:val="center"/>
            <w:hideMark/>
          </w:tcPr>
          <w:p w14:paraId="7116752A" w14:textId="77777777" w:rsidR="00FF1FED" w:rsidRPr="00BD1319" w:rsidRDefault="00FF1FED" w:rsidP="00B07BDF">
            <w:pPr>
              <w:numPr>
                <w:ilvl w:val="12"/>
                <w:numId w:val="0"/>
              </w:numPr>
              <w:tabs>
                <w:tab w:val="left" w:pos="-2268"/>
              </w:tabs>
              <w:suppressAutoHyphens/>
              <w:rPr>
                <w:rFonts w:cs="Arial"/>
                <w:spacing w:val="-3"/>
                <w:sz w:val="20"/>
                <w:szCs w:val="20"/>
              </w:rPr>
            </w:pPr>
            <w:r w:rsidRPr="00BD1319">
              <w:rPr>
                <w:rFonts w:cs="Arial"/>
                <w:spacing w:val="-3"/>
                <w:sz w:val="20"/>
                <w:szCs w:val="20"/>
              </w:rPr>
              <w:t>Espectrometría</w:t>
            </w:r>
          </w:p>
        </w:tc>
      </w:tr>
      <w:tr w:rsidR="00FF1FED" w:rsidRPr="00BD1319" w14:paraId="416DE06C" w14:textId="77777777" w:rsidTr="00FF1FED">
        <w:trPr>
          <w:trHeight w:hRule="exact" w:val="680"/>
          <w:jc w:val="center"/>
        </w:trPr>
        <w:tc>
          <w:tcPr>
            <w:tcW w:w="1563" w:type="dxa"/>
            <w:vMerge/>
            <w:vAlign w:val="center"/>
          </w:tcPr>
          <w:p w14:paraId="6B9657BC" w14:textId="77777777" w:rsidR="00FF1FED" w:rsidRPr="00BD1319" w:rsidRDefault="00FF1FED" w:rsidP="00FF1FED">
            <w:pPr>
              <w:numPr>
                <w:ilvl w:val="12"/>
                <w:numId w:val="0"/>
              </w:numPr>
              <w:tabs>
                <w:tab w:val="left" w:pos="-2268"/>
              </w:tabs>
              <w:suppressAutoHyphens/>
              <w:jc w:val="center"/>
              <w:rPr>
                <w:rFonts w:cs="Arial"/>
                <w:spacing w:val="-3"/>
                <w:sz w:val="20"/>
                <w:szCs w:val="20"/>
              </w:rPr>
            </w:pPr>
          </w:p>
        </w:tc>
        <w:tc>
          <w:tcPr>
            <w:tcW w:w="3485" w:type="dxa"/>
            <w:vAlign w:val="center"/>
            <w:hideMark/>
          </w:tcPr>
          <w:p w14:paraId="7482A7DC" w14:textId="7CF8B074" w:rsidR="00FF1FED" w:rsidRPr="00BD1319" w:rsidRDefault="00FF1FED" w:rsidP="00B07BDF">
            <w:pPr>
              <w:numPr>
                <w:ilvl w:val="12"/>
                <w:numId w:val="0"/>
              </w:numPr>
              <w:tabs>
                <w:tab w:val="left" w:pos="-2268"/>
              </w:tabs>
              <w:suppressAutoHyphens/>
              <w:rPr>
                <w:rFonts w:cs="Arial"/>
                <w:spacing w:val="-3"/>
                <w:sz w:val="20"/>
                <w:szCs w:val="20"/>
              </w:rPr>
            </w:pPr>
            <w:r w:rsidRPr="00BD1319">
              <w:rPr>
                <w:rFonts w:cs="Arial"/>
                <w:spacing w:val="-3"/>
                <w:sz w:val="20"/>
                <w:szCs w:val="20"/>
              </w:rPr>
              <w:t>Nitrógeno total</w:t>
            </w:r>
          </w:p>
        </w:tc>
        <w:tc>
          <w:tcPr>
            <w:tcW w:w="1230" w:type="dxa"/>
            <w:vAlign w:val="center"/>
            <w:hideMark/>
          </w:tcPr>
          <w:p w14:paraId="536EA226" w14:textId="77777777" w:rsidR="00FF1FED" w:rsidRPr="00BD1319" w:rsidRDefault="00FF1FED" w:rsidP="00224F4F">
            <w:pPr>
              <w:numPr>
                <w:ilvl w:val="12"/>
                <w:numId w:val="0"/>
              </w:numPr>
              <w:tabs>
                <w:tab w:val="left" w:pos="-2268"/>
              </w:tabs>
              <w:suppressAutoHyphens/>
              <w:jc w:val="center"/>
              <w:rPr>
                <w:rFonts w:cs="Arial"/>
                <w:spacing w:val="-3"/>
                <w:sz w:val="20"/>
                <w:szCs w:val="20"/>
              </w:rPr>
            </w:pPr>
            <w:r w:rsidRPr="00BD1319">
              <w:rPr>
                <w:rFonts w:cs="Arial"/>
                <w:spacing w:val="-3"/>
                <w:sz w:val="20"/>
                <w:szCs w:val="20"/>
              </w:rPr>
              <w:t>mg/kg</w:t>
            </w:r>
          </w:p>
        </w:tc>
        <w:tc>
          <w:tcPr>
            <w:tcW w:w="3521" w:type="dxa"/>
            <w:vAlign w:val="center"/>
            <w:hideMark/>
          </w:tcPr>
          <w:p w14:paraId="564F75FA" w14:textId="77777777" w:rsidR="00FF1FED" w:rsidRPr="00BD1319" w:rsidRDefault="00FF1FED" w:rsidP="00B07BDF">
            <w:pPr>
              <w:numPr>
                <w:ilvl w:val="12"/>
                <w:numId w:val="0"/>
              </w:numPr>
              <w:tabs>
                <w:tab w:val="left" w:pos="-2268"/>
              </w:tabs>
              <w:suppressAutoHyphens/>
              <w:rPr>
                <w:rFonts w:cs="Arial"/>
                <w:spacing w:val="-3"/>
                <w:sz w:val="20"/>
                <w:szCs w:val="20"/>
              </w:rPr>
            </w:pPr>
            <w:r w:rsidRPr="00BD1319">
              <w:rPr>
                <w:rFonts w:cs="Arial"/>
                <w:spacing w:val="-3"/>
                <w:sz w:val="20"/>
                <w:szCs w:val="20"/>
              </w:rPr>
              <w:t>Volumetría</w:t>
            </w:r>
          </w:p>
        </w:tc>
      </w:tr>
      <w:tr w:rsidR="00FF1FED" w:rsidRPr="00BD1319" w14:paraId="35BD345D" w14:textId="77777777" w:rsidTr="00FF1FED">
        <w:trPr>
          <w:trHeight w:hRule="exact" w:val="680"/>
          <w:jc w:val="center"/>
        </w:trPr>
        <w:tc>
          <w:tcPr>
            <w:tcW w:w="1563" w:type="dxa"/>
            <w:vMerge/>
            <w:vAlign w:val="center"/>
          </w:tcPr>
          <w:p w14:paraId="751ED40A" w14:textId="77777777" w:rsidR="00FF1FED" w:rsidRPr="00BD1319" w:rsidRDefault="00FF1FED" w:rsidP="00FF1FED">
            <w:pPr>
              <w:numPr>
                <w:ilvl w:val="12"/>
                <w:numId w:val="0"/>
              </w:numPr>
              <w:tabs>
                <w:tab w:val="left" w:pos="-2268"/>
              </w:tabs>
              <w:suppressAutoHyphens/>
              <w:jc w:val="center"/>
              <w:rPr>
                <w:rFonts w:cs="Arial"/>
                <w:spacing w:val="-3"/>
                <w:sz w:val="20"/>
                <w:szCs w:val="20"/>
              </w:rPr>
            </w:pPr>
          </w:p>
        </w:tc>
        <w:tc>
          <w:tcPr>
            <w:tcW w:w="3485" w:type="dxa"/>
            <w:vAlign w:val="center"/>
            <w:hideMark/>
          </w:tcPr>
          <w:p w14:paraId="2F475897" w14:textId="01B0C268" w:rsidR="00FF1FED" w:rsidRPr="00BD1319" w:rsidRDefault="00FF1FED" w:rsidP="00B07BDF">
            <w:pPr>
              <w:numPr>
                <w:ilvl w:val="12"/>
                <w:numId w:val="0"/>
              </w:numPr>
              <w:tabs>
                <w:tab w:val="left" w:pos="-2268"/>
              </w:tabs>
              <w:suppressAutoHyphens/>
              <w:rPr>
                <w:rFonts w:cs="Arial"/>
                <w:spacing w:val="-3"/>
                <w:sz w:val="20"/>
                <w:szCs w:val="20"/>
              </w:rPr>
            </w:pPr>
            <w:r w:rsidRPr="00BD1319">
              <w:rPr>
                <w:rFonts w:cs="Arial"/>
                <w:spacing w:val="-3"/>
                <w:sz w:val="20"/>
                <w:szCs w:val="20"/>
              </w:rPr>
              <w:t>Fósforo total</w:t>
            </w:r>
          </w:p>
        </w:tc>
        <w:tc>
          <w:tcPr>
            <w:tcW w:w="1230" w:type="dxa"/>
            <w:vAlign w:val="center"/>
            <w:hideMark/>
          </w:tcPr>
          <w:p w14:paraId="5F1E6C06" w14:textId="77777777" w:rsidR="00FF1FED" w:rsidRPr="00BD1319" w:rsidRDefault="00FF1FED" w:rsidP="00224F4F">
            <w:pPr>
              <w:numPr>
                <w:ilvl w:val="12"/>
                <w:numId w:val="0"/>
              </w:numPr>
              <w:tabs>
                <w:tab w:val="left" w:pos="-2268"/>
              </w:tabs>
              <w:suppressAutoHyphens/>
              <w:jc w:val="center"/>
              <w:rPr>
                <w:rFonts w:cs="Arial"/>
                <w:spacing w:val="-3"/>
                <w:sz w:val="20"/>
                <w:szCs w:val="20"/>
              </w:rPr>
            </w:pPr>
            <w:r w:rsidRPr="00BD1319">
              <w:rPr>
                <w:rFonts w:cs="Arial"/>
                <w:spacing w:val="-3"/>
                <w:sz w:val="20"/>
                <w:szCs w:val="20"/>
              </w:rPr>
              <w:t>mg/kg</w:t>
            </w:r>
          </w:p>
        </w:tc>
        <w:tc>
          <w:tcPr>
            <w:tcW w:w="3521" w:type="dxa"/>
            <w:vAlign w:val="center"/>
            <w:hideMark/>
          </w:tcPr>
          <w:p w14:paraId="2D2313D9" w14:textId="77777777" w:rsidR="00FF1FED" w:rsidRPr="00BD1319" w:rsidRDefault="00FF1FED" w:rsidP="00B07BDF">
            <w:pPr>
              <w:numPr>
                <w:ilvl w:val="12"/>
                <w:numId w:val="0"/>
              </w:numPr>
              <w:tabs>
                <w:tab w:val="left" w:pos="-2268"/>
              </w:tabs>
              <w:suppressAutoHyphens/>
              <w:rPr>
                <w:rFonts w:cs="Arial"/>
                <w:spacing w:val="-3"/>
                <w:sz w:val="20"/>
                <w:szCs w:val="20"/>
              </w:rPr>
            </w:pPr>
            <w:r w:rsidRPr="00BD1319">
              <w:rPr>
                <w:rFonts w:cs="Arial"/>
                <w:spacing w:val="-3"/>
                <w:sz w:val="20"/>
                <w:szCs w:val="20"/>
              </w:rPr>
              <w:t>Colorimetría</w:t>
            </w:r>
          </w:p>
        </w:tc>
      </w:tr>
      <w:tr w:rsidR="00FF1FED" w:rsidRPr="00BD1319" w14:paraId="57400DE1" w14:textId="77777777" w:rsidTr="00FF1FED">
        <w:trPr>
          <w:trHeight w:hRule="exact" w:val="680"/>
          <w:jc w:val="center"/>
        </w:trPr>
        <w:tc>
          <w:tcPr>
            <w:tcW w:w="1563" w:type="dxa"/>
            <w:vMerge/>
            <w:vAlign w:val="center"/>
          </w:tcPr>
          <w:p w14:paraId="76FE5421" w14:textId="77777777" w:rsidR="00FF1FED" w:rsidRPr="00BD1319" w:rsidRDefault="00FF1FED" w:rsidP="00FF1FED">
            <w:pPr>
              <w:numPr>
                <w:ilvl w:val="12"/>
                <w:numId w:val="0"/>
              </w:numPr>
              <w:tabs>
                <w:tab w:val="left" w:pos="-2268"/>
              </w:tabs>
              <w:suppressAutoHyphens/>
              <w:jc w:val="center"/>
              <w:rPr>
                <w:rFonts w:cs="Arial"/>
                <w:spacing w:val="-3"/>
                <w:sz w:val="20"/>
                <w:szCs w:val="20"/>
              </w:rPr>
            </w:pPr>
          </w:p>
        </w:tc>
        <w:tc>
          <w:tcPr>
            <w:tcW w:w="3485" w:type="dxa"/>
            <w:vAlign w:val="center"/>
            <w:hideMark/>
          </w:tcPr>
          <w:p w14:paraId="368EA708" w14:textId="3AB96FAF" w:rsidR="00FF1FED" w:rsidRPr="00BD1319" w:rsidRDefault="00FF1FED" w:rsidP="00B07BDF">
            <w:pPr>
              <w:numPr>
                <w:ilvl w:val="12"/>
                <w:numId w:val="0"/>
              </w:numPr>
              <w:tabs>
                <w:tab w:val="left" w:pos="-2268"/>
              </w:tabs>
              <w:suppressAutoHyphens/>
              <w:rPr>
                <w:rFonts w:cs="Arial"/>
                <w:spacing w:val="-3"/>
                <w:sz w:val="20"/>
                <w:szCs w:val="20"/>
              </w:rPr>
            </w:pPr>
            <w:r w:rsidRPr="00BD1319">
              <w:rPr>
                <w:rFonts w:cs="Arial"/>
                <w:spacing w:val="-3"/>
                <w:sz w:val="20"/>
                <w:szCs w:val="20"/>
              </w:rPr>
              <w:t>Cloruros</w:t>
            </w:r>
          </w:p>
        </w:tc>
        <w:tc>
          <w:tcPr>
            <w:tcW w:w="1230" w:type="dxa"/>
            <w:vAlign w:val="center"/>
            <w:hideMark/>
          </w:tcPr>
          <w:p w14:paraId="19AAB02E" w14:textId="77777777" w:rsidR="00FF1FED" w:rsidRPr="00BD1319" w:rsidRDefault="00FF1FED" w:rsidP="00224F4F">
            <w:pPr>
              <w:numPr>
                <w:ilvl w:val="12"/>
                <w:numId w:val="0"/>
              </w:numPr>
              <w:tabs>
                <w:tab w:val="left" w:pos="-2268"/>
              </w:tabs>
              <w:suppressAutoHyphens/>
              <w:jc w:val="center"/>
              <w:rPr>
                <w:rFonts w:cs="Arial"/>
                <w:spacing w:val="-3"/>
                <w:sz w:val="20"/>
                <w:szCs w:val="20"/>
              </w:rPr>
            </w:pPr>
            <w:r w:rsidRPr="00BD1319">
              <w:rPr>
                <w:rFonts w:cs="Arial"/>
                <w:spacing w:val="-3"/>
                <w:sz w:val="20"/>
                <w:szCs w:val="20"/>
              </w:rPr>
              <w:t>mg/kg</w:t>
            </w:r>
          </w:p>
        </w:tc>
        <w:tc>
          <w:tcPr>
            <w:tcW w:w="3521" w:type="dxa"/>
            <w:vAlign w:val="center"/>
            <w:hideMark/>
          </w:tcPr>
          <w:p w14:paraId="4435991F" w14:textId="77777777" w:rsidR="00FF1FED" w:rsidRPr="00BD1319" w:rsidRDefault="00FF1FED" w:rsidP="00B07BDF">
            <w:pPr>
              <w:numPr>
                <w:ilvl w:val="12"/>
                <w:numId w:val="0"/>
              </w:numPr>
              <w:tabs>
                <w:tab w:val="left" w:pos="-2268"/>
              </w:tabs>
              <w:suppressAutoHyphens/>
              <w:rPr>
                <w:rFonts w:cs="Arial"/>
                <w:spacing w:val="-3"/>
                <w:sz w:val="20"/>
                <w:szCs w:val="20"/>
              </w:rPr>
            </w:pPr>
            <w:r w:rsidRPr="00BD1319">
              <w:rPr>
                <w:rFonts w:cs="Arial"/>
                <w:spacing w:val="-3"/>
                <w:sz w:val="20"/>
                <w:szCs w:val="20"/>
              </w:rPr>
              <w:t>Colorimetría</w:t>
            </w:r>
          </w:p>
        </w:tc>
      </w:tr>
      <w:tr w:rsidR="00FF1FED" w:rsidRPr="00BD1319" w14:paraId="7DD55A4B" w14:textId="77777777" w:rsidTr="00FF1FED">
        <w:trPr>
          <w:trHeight w:hRule="exact" w:val="680"/>
          <w:jc w:val="center"/>
        </w:trPr>
        <w:tc>
          <w:tcPr>
            <w:tcW w:w="1563" w:type="dxa"/>
            <w:vMerge/>
            <w:vAlign w:val="center"/>
          </w:tcPr>
          <w:p w14:paraId="75284AC7" w14:textId="77777777" w:rsidR="00FF1FED" w:rsidRPr="00BD1319" w:rsidRDefault="00FF1FED" w:rsidP="00FF1FED">
            <w:pPr>
              <w:numPr>
                <w:ilvl w:val="12"/>
                <w:numId w:val="0"/>
              </w:numPr>
              <w:tabs>
                <w:tab w:val="left" w:pos="-2268"/>
              </w:tabs>
              <w:suppressAutoHyphens/>
              <w:jc w:val="center"/>
              <w:rPr>
                <w:rFonts w:cs="Arial"/>
                <w:spacing w:val="-3"/>
                <w:sz w:val="20"/>
                <w:szCs w:val="20"/>
              </w:rPr>
            </w:pPr>
          </w:p>
        </w:tc>
        <w:tc>
          <w:tcPr>
            <w:tcW w:w="3485" w:type="dxa"/>
            <w:vAlign w:val="center"/>
            <w:hideMark/>
          </w:tcPr>
          <w:p w14:paraId="4F6165DA" w14:textId="15EE61BD" w:rsidR="00FF1FED" w:rsidRPr="00BD1319" w:rsidRDefault="00FF1FED" w:rsidP="00B07BDF">
            <w:pPr>
              <w:numPr>
                <w:ilvl w:val="12"/>
                <w:numId w:val="0"/>
              </w:numPr>
              <w:tabs>
                <w:tab w:val="left" w:pos="-2268"/>
              </w:tabs>
              <w:suppressAutoHyphens/>
              <w:rPr>
                <w:rFonts w:cs="Arial"/>
                <w:spacing w:val="-3"/>
                <w:sz w:val="20"/>
                <w:szCs w:val="20"/>
              </w:rPr>
            </w:pPr>
            <w:r w:rsidRPr="00BD1319">
              <w:rPr>
                <w:rFonts w:cs="Arial"/>
                <w:spacing w:val="-3"/>
                <w:sz w:val="20"/>
                <w:szCs w:val="20"/>
              </w:rPr>
              <w:t>Conductividad eléctrica</w:t>
            </w:r>
          </w:p>
        </w:tc>
        <w:tc>
          <w:tcPr>
            <w:tcW w:w="1230" w:type="dxa"/>
            <w:vAlign w:val="center"/>
            <w:hideMark/>
          </w:tcPr>
          <w:p w14:paraId="668D325C" w14:textId="23C0FE02" w:rsidR="00FF1FED" w:rsidRPr="00BD1319" w:rsidRDefault="00FF1FED" w:rsidP="00C46A58">
            <w:pPr>
              <w:numPr>
                <w:ilvl w:val="12"/>
                <w:numId w:val="0"/>
              </w:numPr>
              <w:tabs>
                <w:tab w:val="left" w:pos="-2268"/>
              </w:tabs>
              <w:suppressAutoHyphens/>
              <w:jc w:val="center"/>
              <w:rPr>
                <w:rFonts w:cs="Arial"/>
                <w:spacing w:val="-3"/>
                <w:sz w:val="20"/>
                <w:szCs w:val="20"/>
              </w:rPr>
            </w:pPr>
            <w:proofErr w:type="spellStart"/>
            <w:r w:rsidRPr="00BD1319">
              <w:rPr>
                <w:rFonts w:cs="Arial"/>
                <w:spacing w:val="-3"/>
                <w:sz w:val="20"/>
                <w:szCs w:val="20"/>
              </w:rPr>
              <w:t>mS</w:t>
            </w:r>
            <w:proofErr w:type="spellEnd"/>
            <w:r w:rsidRPr="00BD1319">
              <w:rPr>
                <w:rFonts w:cs="Arial"/>
                <w:spacing w:val="-3"/>
                <w:sz w:val="20"/>
                <w:szCs w:val="20"/>
              </w:rPr>
              <w:t>/cm o µS/cm</w:t>
            </w:r>
          </w:p>
        </w:tc>
        <w:tc>
          <w:tcPr>
            <w:tcW w:w="3521" w:type="dxa"/>
            <w:vAlign w:val="center"/>
            <w:hideMark/>
          </w:tcPr>
          <w:p w14:paraId="51D1EF47" w14:textId="77777777" w:rsidR="00FF1FED" w:rsidRPr="00BD1319" w:rsidRDefault="00FF1FED" w:rsidP="00B07BDF">
            <w:pPr>
              <w:numPr>
                <w:ilvl w:val="12"/>
                <w:numId w:val="0"/>
              </w:numPr>
              <w:tabs>
                <w:tab w:val="left" w:pos="-2268"/>
              </w:tabs>
              <w:suppressAutoHyphens/>
              <w:rPr>
                <w:rFonts w:cs="Arial"/>
                <w:spacing w:val="-3"/>
                <w:sz w:val="20"/>
                <w:szCs w:val="20"/>
              </w:rPr>
            </w:pPr>
            <w:r w:rsidRPr="00BD1319">
              <w:rPr>
                <w:rFonts w:cs="Arial"/>
                <w:spacing w:val="-3"/>
                <w:sz w:val="20"/>
                <w:szCs w:val="20"/>
              </w:rPr>
              <w:t>Electrométrico</w:t>
            </w:r>
          </w:p>
        </w:tc>
      </w:tr>
      <w:tr w:rsidR="00FF1FED" w:rsidRPr="00BD1319" w14:paraId="09822153" w14:textId="77777777" w:rsidTr="00FF1FED">
        <w:trPr>
          <w:trHeight w:hRule="exact" w:val="680"/>
          <w:jc w:val="center"/>
        </w:trPr>
        <w:tc>
          <w:tcPr>
            <w:tcW w:w="1563" w:type="dxa"/>
            <w:vMerge/>
            <w:vAlign w:val="center"/>
          </w:tcPr>
          <w:p w14:paraId="422D4B34" w14:textId="77777777" w:rsidR="00FF1FED" w:rsidRPr="00BD1319" w:rsidRDefault="00FF1FED" w:rsidP="00FF1FED">
            <w:pPr>
              <w:numPr>
                <w:ilvl w:val="12"/>
                <w:numId w:val="0"/>
              </w:numPr>
              <w:tabs>
                <w:tab w:val="left" w:pos="-2268"/>
              </w:tabs>
              <w:suppressAutoHyphens/>
              <w:jc w:val="center"/>
              <w:rPr>
                <w:rFonts w:cs="Arial"/>
                <w:spacing w:val="-3"/>
                <w:sz w:val="20"/>
                <w:szCs w:val="20"/>
              </w:rPr>
            </w:pPr>
          </w:p>
        </w:tc>
        <w:tc>
          <w:tcPr>
            <w:tcW w:w="3485" w:type="dxa"/>
            <w:vAlign w:val="center"/>
            <w:hideMark/>
          </w:tcPr>
          <w:p w14:paraId="7CF5F7D6" w14:textId="25C99A33" w:rsidR="00FF1FED" w:rsidRPr="00BD1319" w:rsidRDefault="00FF1FED" w:rsidP="00B07BDF">
            <w:pPr>
              <w:numPr>
                <w:ilvl w:val="12"/>
                <w:numId w:val="0"/>
              </w:numPr>
              <w:tabs>
                <w:tab w:val="left" w:pos="-2268"/>
              </w:tabs>
              <w:suppressAutoHyphens/>
              <w:rPr>
                <w:rFonts w:cs="Arial"/>
                <w:spacing w:val="-3"/>
                <w:sz w:val="20"/>
                <w:szCs w:val="20"/>
              </w:rPr>
            </w:pPr>
            <w:r w:rsidRPr="00BD1319">
              <w:rPr>
                <w:rFonts w:cs="Arial"/>
                <w:spacing w:val="-3"/>
                <w:sz w:val="20"/>
                <w:szCs w:val="20"/>
              </w:rPr>
              <w:t>Capacidad de intercambio catiónico</w:t>
            </w:r>
          </w:p>
        </w:tc>
        <w:tc>
          <w:tcPr>
            <w:tcW w:w="1230" w:type="dxa"/>
            <w:vAlign w:val="center"/>
            <w:hideMark/>
          </w:tcPr>
          <w:p w14:paraId="0331D20B" w14:textId="77777777" w:rsidR="00FF1FED" w:rsidRPr="00BD1319" w:rsidRDefault="00FF1FED" w:rsidP="00224F4F">
            <w:pPr>
              <w:numPr>
                <w:ilvl w:val="12"/>
                <w:numId w:val="0"/>
              </w:numPr>
              <w:tabs>
                <w:tab w:val="left" w:pos="-2268"/>
              </w:tabs>
              <w:suppressAutoHyphens/>
              <w:jc w:val="center"/>
              <w:rPr>
                <w:rFonts w:cs="Arial"/>
                <w:spacing w:val="-3"/>
                <w:sz w:val="20"/>
                <w:szCs w:val="20"/>
              </w:rPr>
            </w:pPr>
            <w:proofErr w:type="spellStart"/>
            <w:r w:rsidRPr="00BD1319">
              <w:rPr>
                <w:rFonts w:cs="Arial"/>
                <w:spacing w:val="-3"/>
                <w:sz w:val="20"/>
                <w:szCs w:val="20"/>
              </w:rPr>
              <w:t>meq</w:t>
            </w:r>
            <w:proofErr w:type="spellEnd"/>
            <w:r w:rsidRPr="00BD1319">
              <w:rPr>
                <w:rFonts w:cs="Arial"/>
                <w:spacing w:val="-3"/>
                <w:sz w:val="20"/>
                <w:szCs w:val="20"/>
              </w:rPr>
              <w:t>/ 100g</w:t>
            </w:r>
          </w:p>
        </w:tc>
        <w:tc>
          <w:tcPr>
            <w:tcW w:w="3521" w:type="dxa"/>
            <w:vAlign w:val="center"/>
            <w:hideMark/>
          </w:tcPr>
          <w:p w14:paraId="2953A8DE" w14:textId="77777777" w:rsidR="00FF1FED" w:rsidRPr="00BD1319" w:rsidRDefault="00FF1FED" w:rsidP="00B07BDF">
            <w:pPr>
              <w:numPr>
                <w:ilvl w:val="12"/>
                <w:numId w:val="0"/>
              </w:numPr>
              <w:tabs>
                <w:tab w:val="left" w:pos="-2268"/>
              </w:tabs>
              <w:suppressAutoHyphens/>
              <w:rPr>
                <w:rFonts w:cs="Arial"/>
                <w:spacing w:val="-3"/>
                <w:sz w:val="20"/>
                <w:szCs w:val="20"/>
              </w:rPr>
            </w:pPr>
            <w:r w:rsidRPr="00BD1319">
              <w:rPr>
                <w:rFonts w:cs="Arial"/>
                <w:spacing w:val="-3"/>
                <w:sz w:val="20"/>
                <w:szCs w:val="20"/>
              </w:rPr>
              <w:t>Volumétrico</w:t>
            </w:r>
          </w:p>
        </w:tc>
      </w:tr>
      <w:tr w:rsidR="00FF1FED" w:rsidRPr="00BD1319" w14:paraId="325C278A" w14:textId="77777777" w:rsidTr="00FF1FED">
        <w:trPr>
          <w:trHeight w:hRule="exact" w:val="680"/>
          <w:jc w:val="center"/>
        </w:trPr>
        <w:tc>
          <w:tcPr>
            <w:tcW w:w="1563" w:type="dxa"/>
            <w:vMerge/>
            <w:vAlign w:val="center"/>
          </w:tcPr>
          <w:p w14:paraId="5B2C02E9" w14:textId="77777777" w:rsidR="00FF1FED" w:rsidRPr="00BD1319" w:rsidRDefault="00FF1FED" w:rsidP="00FF1FED">
            <w:pPr>
              <w:numPr>
                <w:ilvl w:val="12"/>
                <w:numId w:val="0"/>
              </w:numPr>
              <w:tabs>
                <w:tab w:val="left" w:pos="-2268"/>
              </w:tabs>
              <w:suppressAutoHyphens/>
              <w:jc w:val="center"/>
              <w:rPr>
                <w:rFonts w:cs="Arial"/>
                <w:spacing w:val="-3"/>
                <w:sz w:val="20"/>
                <w:szCs w:val="20"/>
              </w:rPr>
            </w:pPr>
          </w:p>
        </w:tc>
        <w:tc>
          <w:tcPr>
            <w:tcW w:w="3485" w:type="dxa"/>
            <w:vAlign w:val="center"/>
            <w:hideMark/>
          </w:tcPr>
          <w:p w14:paraId="60451B02" w14:textId="5EAAD7F7" w:rsidR="00FF1FED" w:rsidRPr="00BD1319" w:rsidRDefault="00FF1FED" w:rsidP="00B07BDF">
            <w:pPr>
              <w:numPr>
                <w:ilvl w:val="12"/>
                <w:numId w:val="0"/>
              </w:numPr>
              <w:tabs>
                <w:tab w:val="left" w:pos="-2268"/>
              </w:tabs>
              <w:suppressAutoHyphens/>
              <w:rPr>
                <w:rFonts w:cs="Arial"/>
                <w:spacing w:val="-3"/>
                <w:sz w:val="20"/>
                <w:szCs w:val="20"/>
              </w:rPr>
            </w:pPr>
            <w:r w:rsidRPr="00BD1319">
              <w:rPr>
                <w:rFonts w:cs="Arial"/>
                <w:spacing w:val="-3"/>
                <w:sz w:val="20"/>
                <w:szCs w:val="20"/>
              </w:rPr>
              <w:t>Bases intercambiables (calcio, magnesio, potasio y sodio)</w:t>
            </w:r>
          </w:p>
        </w:tc>
        <w:tc>
          <w:tcPr>
            <w:tcW w:w="1230" w:type="dxa"/>
            <w:vAlign w:val="center"/>
            <w:hideMark/>
          </w:tcPr>
          <w:p w14:paraId="5629FBDC" w14:textId="77777777" w:rsidR="00FF1FED" w:rsidRPr="00BD1319" w:rsidRDefault="00FF1FED" w:rsidP="00224F4F">
            <w:pPr>
              <w:numPr>
                <w:ilvl w:val="12"/>
                <w:numId w:val="0"/>
              </w:numPr>
              <w:tabs>
                <w:tab w:val="left" w:pos="-2268"/>
              </w:tabs>
              <w:suppressAutoHyphens/>
              <w:jc w:val="center"/>
              <w:rPr>
                <w:rFonts w:cs="Arial"/>
                <w:spacing w:val="-3"/>
                <w:sz w:val="20"/>
                <w:szCs w:val="20"/>
              </w:rPr>
            </w:pPr>
            <w:proofErr w:type="spellStart"/>
            <w:r w:rsidRPr="00BD1319">
              <w:rPr>
                <w:rFonts w:cs="Arial"/>
                <w:spacing w:val="-3"/>
                <w:sz w:val="20"/>
                <w:szCs w:val="20"/>
              </w:rPr>
              <w:t>meq</w:t>
            </w:r>
            <w:proofErr w:type="spellEnd"/>
            <w:r w:rsidRPr="00BD1319">
              <w:rPr>
                <w:rFonts w:cs="Arial"/>
                <w:spacing w:val="-3"/>
                <w:sz w:val="20"/>
                <w:szCs w:val="20"/>
              </w:rPr>
              <w:t>/100g</w:t>
            </w:r>
          </w:p>
        </w:tc>
        <w:tc>
          <w:tcPr>
            <w:tcW w:w="3521" w:type="dxa"/>
            <w:vAlign w:val="center"/>
            <w:hideMark/>
          </w:tcPr>
          <w:p w14:paraId="23B0027C" w14:textId="77777777" w:rsidR="00FF1FED" w:rsidRPr="00BD1319" w:rsidRDefault="00FF1FED" w:rsidP="00B07BDF">
            <w:pPr>
              <w:numPr>
                <w:ilvl w:val="12"/>
                <w:numId w:val="0"/>
              </w:numPr>
              <w:tabs>
                <w:tab w:val="left" w:pos="-2268"/>
              </w:tabs>
              <w:suppressAutoHyphens/>
              <w:rPr>
                <w:rFonts w:cs="Arial"/>
                <w:spacing w:val="-3"/>
                <w:sz w:val="20"/>
                <w:szCs w:val="20"/>
              </w:rPr>
            </w:pPr>
            <w:r w:rsidRPr="00BD1319">
              <w:rPr>
                <w:rFonts w:cs="Arial"/>
                <w:spacing w:val="-3"/>
                <w:sz w:val="20"/>
                <w:szCs w:val="20"/>
              </w:rPr>
              <w:t>Espectrometría</w:t>
            </w:r>
          </w:p>
        </w:tc>
      </w:tr>
      <w:tr w:rsidR="00FF1FED" w:rsidRPr="00BD1319" w14:paraId="3095E062" w14:textId="77777777" w:rsidTr="00FF1FED">
        <w:trPr>
          <w:trHeight w:hRule="exact" w:val="680"/>
          <w:jc w:val="center"/>
        </w:trPr>
        <w:tc>
          <w:tcPr>
            <w:tcW w:w="1563" w:type="dxa"/>
            <w:vMerge/>
            <w:vAlign w:val="center"/>
          </w:tcPr>
          <w:p w14:paraId="22C1966C" w14:textId="77777777" w:rsidR="00FF1FED" w:rsidRPr="00BD1319" w:rsidRDefault="00FF1FED" w:rsidP="00FF1FED">
            <w:pPr>
              <w:numPr>
                <w:ilvl w:val="12"/>
                <w:numId w:val="0"/>
              </w:numPr>
              <w:tabs>
                <w:tab w:val="left" w:pos="-2268"/>
              </w:tabs>
              <w:suppressAutoHyphens/>
              <w:jc w:val="center"/>
              <w:rPr>
                <w:rFonts w:cs="Arial"/>
                <w:spacing w:val="-3"/>
                <w:sz w:val="20"/>
                <w:szCs w:val="20"/>
              </w:rPr>
            </w:pPr>
          </w:p>
        </w:tc>
        <w:tc>
          <w:tcPr>
            <w:tcW w:w="3485" w:type="dxa"/>
            <w:vAlign w:val="center"/>
            <w:hideMark/>
          </w:tcPr>
          <w:p w14:paraId="1465A078" w14:textId="427878DD" w:rsidR="00FF1FED" w:rsidRPr="00BD1319" w:rsidRDefault="00FF1FED" w:rsidP="00B07BDF">
            <w:pPr>
              <w:numPr>
                <w:ilvl w:val="12"/>
                <w:numId w:val="0"/>
              </w:numPr>
              <w:tabs>
                <w:tab w:val="left" w:pos="-2268"/>
              </w:tabs>
              <w:suppressAutoHyphens/>
              <w:rPr>
                <w:rFonts w:cs="Arial"/>
                <w:spacing w:val="-3"/>
                <w:sz w:val="20"/>
                <w:szCs w:val="20"/>
              </w:rPr>
            </w:pPr>
            <w:r w:rsidRPr="00BD1319">
              <w:rPr>
                <w:rFonts w:cs="Arial"/>
                <w:spacing w:val="-3"/>
                <w:sz w:val="20"/>
                <w:szCs w:val="20"/>
              </w:rPr>
              <w:t>Acidez intercambiable</w:t>
            </w:r>
          </w:p>
        </w:tc>
        <w:tc>
          <w:tcPr>
            <w:tcW w:w="1230" w:type="dxa"/>
            <w:vAlign w:val="center"/>
            <w:hideMark/>
          </w:tcPr>
          <w:p w14:paraId="19C9CC13" w14:textId="77777777" w:rsidR="00FF1FED" w:rsidRPr="00BD1319" w:rsidRDefault="00FF1FED" w:rsidP="00224F4F">
            <w:pPr>
              <w:numPr>
                <w:ilvl w:val="12"/>
                <w:numId w:val="0"/>
              </w:numPr>
              <w:tabs>
                <w:tab w:val="left" w:pos="-2268"/>
              </w:tabs>
              <w:suppressAutoHyphens/>
              <w:jc w:val="center"/>
              <w:rPr>
                <w:rFonts w:cs="Arial"/>
                <w:spacing w:val="-3"/>
                <w:sz w:val="20"/>
                <w:szCs w:val="20"/>
              </w:rPr>
            </w:pPr>
            <w:proofErr w:type="spellStart"/>
            <w:r w:rsidRPr="00BD1319">
              <w:rPr>
                <w:rFonts w:cs="Arial"/>
                <w:spacing w:val="-3"/>
                <w:sz w:val="20"/>
                <w:szCs w:val="20"/>
              </w:rPr>
              <w:t>meq</w:t>
            </w:r>
            <w:proofErr w:type="spellEnd"/>
            <w:r w:rsidRPr="00BD1319">
              <w:rPr>
                <w:rFonts w:cs="Arial"/>
                <w:spacing w:val="-3"/>
                <w:sz w:val="20"/>
                <w:szCs w:val="20"/>
              </w:rPr>
              <w:t>/100g</w:t>
            </w:r>
          </w:p>
        </w:tc>
        <w:tc>
          <w:tcPr>
            <w:tcW w:w="3521" w:type="dxa"/>
            <w:vAlign w:val="center"/>
            <w:hideMark/>
          </w:tcPr>
          <w:p w14:paraId="6DA6BC62" w14:textId="77777777" w:rsidR="00FF1FED" w:rsidRPr="00BD1319" w:rsidRDefault="00FF1FED" w:rsidP="00B07BDF">
            <w:pPr>
              <w:numPr>
                <w:ilvl w:val="12"/>
                <w:numId w:val="0"/>
              </w:numPr>
              <w:tabs>
                <w:tab w:val="left" w:pos="-2268"/>
              </w:tabs>
              <w:suppressAutoHyphens/>
              <w:rPr>
                <w:rFonts w:cs="Arial"/>
                <w:spacing w:val="-3"/>
                <w:sz w:val="20"/>
                <w:szCs w:val="20"/>
              </w:rPr>
            </w:pPr>
            <w:r w:rsidRPr="00BD1319">
              <w:rPr>
                <w:rFonts w:cs="Arial"/>
                <w:spacing w:val="-3"/>
                <w:sz w:val="20"/>
                <w:szCs w:val="20"/>
              </w:rPr>
              <w:t>Volumétrico</w:t>
            </w:r>
          </w:p>
        </w:tc>
      </w:tr>
      <w:tr w:rsidR="00FF1FED" w:rsidRPr="00BD1319" w14:paraId="5D2F367E" w14:textId="77777777" w:rsidTr="00FF1FED">
        <w:trPr>
          <w:trHeight w:hRule="exact" w:val="680"/>
          <w:jc w:val="center"/>
        </w:trPr>
        <w:tc>
          <w:tcPr>
            <w:tcW w:w="1563" w:type="dxa"/>
            <w:vMerge/>
            <w:vAlign w:val="center"/>
          </w:tcPr>
          <w:p w14:paraId="5E3114D0" w14:textId="77777777" w:rsidR="00FF1FED" w:rsidRPr="00BD1319" w:rsidRDefault="00FF1FED" w:rsidP="00FF1FED">
            <w:pPr>
              <w:numPr>
                <w:ilvl w:val="12"/>
                <w:numId w:val="0"/>
              </w:numPr>
              <w:tabs>
                <w:tab w:val="left" w:pos="-2268"/>
              </w:tabs>
              <w:suppressAutoHyphens/>
              <w:jc w:val="center"/>
              <w:rPr>
                <w:rFonts w:cs="Arial"/>
                <w:spacing w:val="-3"/>
                <w:sz w:val="20"/>
                <w:szCs w:val="20"/>
              </w:rPr>
            </w:pPr>
          </w:p>
        </w:tc>
        <w:tc>
          <w:tcPr>
            <w:tcW w:w="3485" w:type="dxa"/>
            <w:vAlign w:val="center"/>
            <w:hideMark/>
          </w:tcPr>
          <w:p w14:paraId="00CDCEEC" w14:textId="77B4626E" w:rsidR="00FF1FED" w:rsidRPr="00BD1319" w:rsidRDefault="00FF1FED" w:rsidP="00B07BDF">
            <w:pPr>
              <w:numPr>
                <w:ilvl w:val="12"/>
                <w:numId w:val="0"/>
              </w:numPr>
              <w:tabs>
                <w:tab w:val="left" w:pos="-2268"/>
              </w:tabs>
              <w:suppressAutoHyphens/>
              <w:rPr>
                <w:rFonts w:cs="Arial"/>
                <w:spacing w:val="-3"/>
                <w:sz w:val="20"/>
                <w:szCs w:val="20"/>
              </w:rPr>
            </w:pPr>
            <w:r w:rsidRPr="00BD1319">
              <w:rPr>
                <w:rFonts w:cs="Arial"/>
                <w:spacing w:val="-3"/>
                <w:sz w:val="20"/>
                <w:szCs w:val="20"/>
              </w:rPr>
              <w:t>Contenido de carbono orgánico</w:t>
            </w:r>
          </w:p>
        </w:tc>
        <w:tc>
          <w:tcPr>
            <w:tcW w:w="1230" w:type="dxa"/>
            <w:vAlign w:val="center"/>
            <w:hideMark/>
          </w:tcPr>
          <w:p w14:paraId="7287D380" w14:textId="77777777" w:rsidR="00FF1FED" w:rsidRPr="00BD1319" w:rsidRDefault="00FF1FED" w:rsidP="00224F4F">
            <w:pPr>
              <w:numPr>
                <w:ilvl w:val="12"/>
                <w:numId w:val="0"/>
              </w:numPr>
              <w:tabs>
                <w:tab w:val="left" w:pos="-2268"/>
              </w:tabs>
              <w:suppressAutoHyphens/>
              <w:jc w:val="center"/>
              <w:rPr>
                <w:rFonts w:cs="Arial"/>
                <w:spacing w:val="-3"/>
                <w:sz w:val="20"/>
                <w:szCs w:val="20"/>
              </w:rPr>
            </w:pPr>
            <w:r w:rsidRPr="00BD1319">
              <w:rPr>
                <w:rFonts w:cs="Arial"/>
                <w:spacing w:val="-3"/>
                <w:sz w:val="20"/>
                <w:szCs w:val="20"/>
              </w:rPr>
              <w:t>mg/kg</w:t>
            </w:r>
          </w:p>
        </w:tc>
        <w:tc>
          <w:tcPr>
            <w:tcW w:w="3521" w:type="dxa"/>
            <w:vAlign w:val="center"/>
            <w:hideMark/>
          </w:tcPr>
          <w:p w14:paraId="5FC9D64D" w14:textId="15FF959A" w:rsidR="00FF1FED" w:rsidRPr="00BD1319" w:rsidRDefault="00FF1FED">
            <w:pPr>
              <w:numPr>
                <w:ilvl w:val="12"/>
                <w:numId w:val="0"/>
              </w:numPr>
              <w:tabs>
                <w:tab w:val="left" w:pos="-2268"/>
              </w:tabs>
              <w:suppressAutoHyphens/>
              <w:rPr>
                <w:rFonts w:cs="Arial"/>
                <w:spacing w:val="-3"/>
                <w:sz w:val="20"/>
                <w:szCs w:val="20"/>
              </w:rPr>
            </w:pPr>
            <w:r w:rsidRPr="00BD1319">
              <w:rPr>
                <w:rFonts w:cs="Arial"/>
                <w:spacing w:val="-3"/>
                <w:sz w:val="20"/>
                <w:szCs w:val="20"/>
              </w:rPr>
              <w:t>Colorimétrico</w:t>
            </w:r>
            <w:r w:rsidR="00362036" w:rsidRPr="00BD1319">
              <w:rPr>
                <w:rFonts w:cs="Arial"/>
                <w:spacing w:val="-3"/>
                <w:sz w:val="20"/>
                <w:szCs w:val="20"/>
              </w:rPr>
              <w:t xml:space="preserve">, </w:t>
            </w:r>
            <w:r w:rsidR="007B1C91" w:rsidRPr="00BD1319">
              <w:rPr>
                <w:rFonts w:cs="Arial"/>
                <w:spacing w:val="-3"/>
                <w:sz w:val="20"/>
                <w:szCs w:val="20"/>
              </w:rPr>
              <w:t>v</w:t>
            </w:r>
            <w:r w:rsidRPr="00BD1319">
              <w:rPr>
                <w:rFonts w:cs="Arial"/>
                <w:spacing w:val="-3"/>
                <w:sz w:val="20"/>
                <w:szCs w:val="20"/>
              </w:rPr>
              <w:t>olumétrico</w:t>
            </w:r>
            <w:r w:rsidR="00362036" w:rsidRPr="00BD1319">
              <w:rPr>
                <w:rFonts w:cs="Arial"/>
                <w:spacing w:val="-3"/>
                <w:sz w:val="20"/>
                <w:szCs w:val="20"/>
              </w:rPr>
              <w:t xml:space="preserve"> o </w:t>
            </w:r>
            <w:r w:rsidR="007B1C91" w:rsidRPr="00BD1319">
              <w:rPr>
                <w:rFonts w:cs="Arial"/>
                <w:spacing w:val="-3"/>
                <w:sz w:val="20"/>
                <w:szCs w:val="20"/>
              </w:rPr>
              <w:t>c</w:t>
            </w:r>
            <w:r w:rsidRPr="00BD1319">
              <w:rPr>
                <w:rFonts w:cs="Arial"/>
                <w:spacing w:val="-3"/>
                <w:sz w:val="20"/>
                <w:szCs w:val="20"/>
              </w:rPr>
              <w:t>ombustión</w:t>
            </w:r>
          </w:p>
        </w:tc>
      </w:tr>
      <w:tr w:rsidR="00FF1FED" w:rsidRPr="00BD1319" w14:paraId="71D4AB4C" w14:textId="77777777" w:rsidTr="00FF1FED">
        <w:trPr>
          <w:trHeight w:hRule="exact" w:val="680"/>
          <w:jc w:val="center"/>
        </w:trPr>
        <w:tc>
          <w:tcPr>
            <w:tcW w:w="1563" w:type="dxa"/>
            <w:vMerge/>
            <w:vAlign w:val="center"/>
          </w:tcPr>
          <w:p w14:paraId="222163B1" w14:textId="77777777" w:rsidR="00FF1FED" w:rsidRPr="00BD1319" w:rsidRDefault="00FF1FED" w:rsidP="00FF1FED">
            <w:pPr>
              <w:numPr>
                <w:ilvl w:val="12"/>
                <w:numId w:val="0"/>
              </w:numPr>
              <w:tabs>
                <w:tab w:val="left" w:pos="-2268"/>
              </w:tabs>
              <w:suppressAutoHyphens/>
              <w:jc w:val="center"/>
              <w:rPr>
                <w:rFonts w:cs="Arial"/>
                <w:spacing w:val="-3"/>
                <w:sz w:val="20"/>
                <w:szCs w:val="20"/>
              </w:rPr>
            </w:pPr>
          </w:p>
        </w:tc>
        <w:tc>
          <w:tcPr>
            <w:tcW w:w="3485" w:type="dxa"/>
            <w:vAlign w:val="center"/>
            <w:hideMark/>
          </w:tcPr>
          <w:p w14:paraId="774A568A" w14:textId="1BF85D56" w:rsidR="00FF1FED" w:rsidRPr="00BD1319" w:rsidRDefault="00FF1FED" w:rsidP="00B07BDF">
            <w:pPr>
              <w:numPr>
                <w:ilvl w:val="12"/>
                <w:numId w:val="0"/>
              </w:numPr>
              <w:tabs>
                <w:tab w:val="left" w:pos="-2268"/>
              </w:tabs>
              <w:suppressAutoHyphens/>
              <w:rPr>
                <w:rFonts w:cs="Arial"/>
                <w:spacing w:val="-3"/>
                <w:sz w:val="20"/>
                <w:szCs w:val="20"/>
              </w:rPr>
            </w:pPr>
            <w:r w:rsidRPr="00BD1319">
              <w:rPr>
                <w:rFonts w:cs="Arial"/>
                <w:spacing w:val="-3"/>
                <w:sz w:val="20"/>
                <w:szCs w:val="20"/>
              </w:rPr>
              <w:t>Grasas y aceites</w:t>
            </w:r>
          </w:p>
        </w:tc>
        <w:tc>
          <w:tcPr>
            <w:tcW w:w="1230" w:type="dxa"/>
            <w:vAlign w:val="center"/>
            <w:hideMark/>
          </w:tcPr>
          <w:p w14:paraId="79E6D302" w14:textId="77777777" w:rsidR="00FF1FED" w:rsidRPr="00BD1319" w:rsidRDefault="00FF1FED" w:rsidP="00224F4F">
            <w:pPr>
              <w:numPr>
                <w:ilvl w:val="12"/>
                <w:numId w:val="0"/>
              </w:numPr>
              <w:tabs>
                <w:tab w:val="left" w:pos="-2268"/>
              </w:tabs>
              <w:suppressAutoHyphens/>
              <w:jc w:val="center"/>
              <w:rPr>
                <w:rFonts w:cs="Arial"/>
                <w:spacing w:val="-3"/>
                <w:sz w:val="20"/>
                <w:szCs w:val="20"/>
              </w:rPr>
            </w:pPr>
            <w:r w:rsidRPr="00BD1319">
              <w:rPr>
                <w:rFonts w:cs="Arial"/>
                <w:spacing w:val="-3"/>
                <w:sz w:val="20"/>
                <w:szCs w:val="20"/>
              </w:rPr>
              <w:t>mg/kg</w:t>
            </w:r>
          </w:p>
        </w:tc>
        <w:tc>
          <w:tcPr>
            <w:tcW w:w="3521" w:type="dxa"/>
            <w:vAlign w:val="center"/>
            <w:hideMark/>
          </w:tcPr>
          <w:p w14:paraId="2739DCB4" w14:textId="6C1BFD52" w:rsidR="00FF1FED" w:rsidRPr="00BD1319" w:rsidRDefault="00FF1FED" w:rsidP="00B07BDF">
            <w:pPr>
              <w:numPr>
                <w:ilvl w:val="12"/>
                <w:numId w:val="0"/>
              </w:numPr>
              <w:tabs>
                <w:tab w:val="left" w:pos="-2268"/>
              </w:tabs>
              <w:suppressAutoHyphens/>
              <w:rPr>
                <w:rFonts w:cs="Arial"/>
                <w:spacing w:val="-3"/>
                <w:sz w:val="20"/>
                <w:szCs w:val="20"/>
              </w:rPr>
            </w:pPr>
            <w:r w:rsidRPr="00BD1319">
              <w:rPr>
                <w:rFonts w:cs="Arial"/>
                <w:spacing w:val="-3"/>
                <w:sz w:val="20"/>
                <w:szCs w:val="20"/>
              </w:rPr>
              <w:t>Gravimétrico</w:t>
            </w:r>
            <w:r w:rsidR="00362036" w:rsidRPr="00BD1319">
              <w:rPr>
                <w:rFonts w:cs="Arial"/>
                <w:spacing w:val="-3"/>
                <w:sz w:val="20"/>
                <w:szCs w:val="20"/>
              </w:rPr>
              <w:t xml:space="preserve"> o</w:t>
            </w:r>
            <w:r w:rsidR="00AE05F2" w:rsidRPr="00BD1319">
              <w:rPr>
                <w:rFonts w:cs="Arial"/>
                <w:spacing w:val="-3"/>
                <w:sz w:val="20"/>
                <w:szCs w:val="20"/>
              </w:rPr>
              <w:t xml:space="preserve"> método i</w:t>
            </w:r>
            <w:r w:rsidRPr="00BD1319">
              <w:rPr>
                <w:rFonts w:cs="Arial"/>
                <w:spacing w:val="-3"/>
                <w:sz w:val="20"/>
                <w:szCs w:val="20"/>
              </w:rPr>
              <w:t>nfrarrojo de partición</w:t>
            </w:r>
          </w:p>
        </w:tc>
      </w:tr>
      <w:tr w:rsidR="00FF1FED" w:rsidRPr="00BD1319" w14:paraId="51B562B6" w14:textId="77777777" w:rsidTr="00FF1FED">
        <w:trPr>
          <w:trHeight w:hRule="exact" w:val="680"/>
          <w:jc w:val="center"/>
        </w:trPr>
        <w:tc>
          <w:tcPr>
            <w:tcW w:w="1563" w:type="dxa"/>
            <w:vMerge/>
            <w:vAlign w:val="center"/>
          </w:tcPr>
          <w:p w14:paraId="1C8F788D" w14:textId="77777777" w:rsidR="00FF1FED" w:rsidRPr="00BD1319" w:rsidRDefault="00FF1FED" w:rsidP="00FF1FED">
            <w:pPr>
              <w:numPr>
                <w:ilvl w:val="12"/>
                <w:numId w:val="0"/>
              </w:numPr>
              <w:tabs>
                <w:tab w:val="left" w:pos="-2268"/>
              </w:tabs>
              <w:suppressAutoHyphens/>
              <w:jc w:val="center"/>
              <w:rPr>
                <w:rFonts w:cs="Arial"/>
                <w:spacing w:val="-3"/>
                <w:sz w:val="20"/>
                <w:szCs w:val="20"/>
              </w:rPr>
            </w:pPr>
          </w:p>
        </w:tc>
        <w:tc>
          <w:tcPr>
            <w:tcW w:w="3485" w:type="dxa"/>
            <w:vAlign w:val="center"/>
            <w:hideMark/>
          </w:tcPr>
          <w:p w14:paraId="06BC6E83" w14:textId="08D22AD4" w:rsidR="00FF1FED" w:rsidRPr="00BD1319" w:rsidRDefault="00FF1FED" w:rsidP="00B07BDF">
            <w:pPr>
              <w:numPr>
                <w:ilvl w:val="12"/>
                <w:numId w:val="0"/>
              </w:numPr>
              <w:tabs>
                <w:tab w:val="left" w:pos="-2268"/>
              </w:tabs>
              <w:suppressAutoHyphens/>
              <w:rPr>
                <w:rFonts w:cs="Arial"/>
                <w:spacing w:val="-3"/>
                <w:sz w:val="20"/>
                <w:szCs w:val="20"/>
              </w:rPr>
            </w:pPr>
            <w:r w:rsidRPr="00BD1319">
              <w:rPr>
                <w:rFonts w:cs="Arial"/>
                <w:spacing w:val="-3"/>
                <w:sz w:val="20"/>
                <w:szCs w:val="20"/>
              </w:rPr>
              <w:t>Relación de A</w:t>
            </w:r>
            <w:r w:rsidR="00362036" w:rsidRPr="00BD1319">
              <w:rPr>
                <w:rFonts w:cs="Arial"/>
                <w:spacing w:val="-3"/>
                <w:sz w:val="20"/>
                <w:szCs w:val="20"/>
              </w:rPr>
              <w:t>d</w:t>
            </w:r>
            <w:r w:rsidRPr="00BD1319">
              <w:rPr>
                <w:rFonts w:cs="Arial"/>
                <w:spacing w:val="-3"/>
                <w:sz w:val="20"/>
                <w:szCs w:val="20"/>
              </w:rPr>
              <w:t>sorción del Sodio (RAS)</w:t>
            </w:r>
          </w:p>
        </w:tc>
        <w:tc>
          <w:tcPr>
            <w:tcW w:w="1230" w:type="dxa"/>
            <w:vAlign w:val="center"/>
            <w:hideMark/>
          </w:tcPr>
          <w:p w14:paraId="05E83A49" w14:textId="77777777" w:rsidR="00FF1FED" w:rsidRPr="00BD1319" w:rsidRDefault="00FF1FED" w:rsidP="00224F4F">
            <w:pPr>
              <w:numPr>
                <w:ilvl w:val="12"/>
                <w:numId w:val="0"/>
              </w:numPr>
              <w:tabs>
                <w:tab w:val="left" w:pos="-2268"/>
              </w:tabs>
              <w:suppressAutoHyphens/>
              <w:jc w:val="center"/>
              <w:rPr>
                <w:rFonts w:cs="Arial"/>
                <w:spacing w:val="-3"/>
                <w:sz w:val="20"/>
                <w:szCs w:val="20"/>
              </w:rPr>
            </w:pPr>
            <w:proofErr w:type="spellStart"/>
            <w:r w:rsidRPr="00BD1319">
              <w:rPr>
                <w:rFonts w:cs="Arial"/>
                <w:spacing w:val="-3"/>
                <w:sz w:val="20"/>
                <w:szCs w:val="20"/>
              </w:rPr>
              <w:t>meq</w:t>
            </w:r>
            <w:proofErr w:type="spellEnd"/>
            <w:r w:rsidRPr="00BD1319">
              <w:rPr>
                <w:rFonts w:cs="Arial"/>
                <w:spacing w:val="-3"/>
                <w:sz w:val="20"/>
                <w:szCs w:val="20"/>
              </w:rPr>
              <w:t>/L</w:t>
            </w:r>
          </w:p>
        </w:tc>
        <w:tc>
          <w:tcPr>
            <w:tcW w:w="3521" w:type="dxa"/>
            <w:vAlign w:val="center"/>
            <w:hideMark/>
          </w:tcPr>
          <w:p w14:paraId="3910B9D1" w14:textId="4949A339" w:rsidR="00FF1FED" w:rsidRPr="00BD1319" w:rsidRDefault="00FF1FED" w:rsidP="00B07BDF">
            <w:pPr>
              <w:numPr>
                <w:ilvl w:val="12"/>
                <w:numId w:val="0"/>
              </w:numPr>
              <w:tabs>
                <w:tab w:val="left" w:pos="-2268"/>
              </w:tabs>
              <w:suppressAutoHyphens/>
              <w:rPr>
                <w:rFonts w:cs="Arial"/>
                <w:spacing w:val="-3"/>
                <w:sz w:val="20"/>
                <w:szCs w:val="20"/>
              </w:rPr>
            </w:pPr>
            <w:r w:rsidRPr="00BD1319">
              <w:rPr>
                <w:rFonts w:cs="Arial"/>
                <w:spacing w:val="-3"/>
                <w:sz w:val="20"/>
                <w:szCs w:val="20"/>
              </w:rPr>
              <w:t>Cálculo</w:t>
            </w:r>
          </w:p>
        </w:tc>
      </w:tr>
      <w:tr w:rsidR="00FF1FED" w:rsidRPr="00BD1319" w14:paraId="562D0A4E" w14:textId="77777777" w:rsidTr="00FF1FED">
        <w:trPr>
          <w:trHeight w:hRule="exact" w:val="680"/>
          <w:jc w:val="center"/>
        </w:trPr>
        <w:tc>
          <w:tcPr>
            <w:tcW w:w="1563" w:type="dxa"/>
            <w:vMerge/>
            <w:vAlign w:val="center"/>
          </w:tcPr>
          <w:p w14:paraId="5D631279" w14:textId="77777777" w:rsidR="00FF1FED" w:rsidRPr="00BD1319" w:rsidRDefault="00FF1FED" w:rsidP="00FF1FED">
            <w:pPr>
              <w:numPr>
                <w:ilvl w:val="12"/>
                <w:numId w:val="0"/>
              </w:numPr>
              <w:tabs>
                <w:tab w:val="left" w:pos="-2268"/>
              </w:tabs>
              <w:suppressAutoHyphens/>
              <w:jc w:val="center"/>
              <w:rPr>
                <w:rFonts w:cs="Arial"/>
                <w:spacing w:val="-3"/>
                <w:sz w:val="20"/>
                <w:szCs w:val="20"/>
              </w:rPr>
            </w:pPr>
          </w:p>
        </w:tc>
        <w:tc>
          <w:tcPr>
            <w:tcW w:w="3485" w:type="dxa"/>
            <w:vAlign w:val="center"/>
            <w:hideMark/>
          </w:tcPr>
          <w:p w14:paraId="3698CD83" w14:textId="471074F1" w:rsidR="00FF1FED" w:rsidRPr="00BD1319" w:rsidRDefault="00FF1FED" w:rsidP="00B07BDF">
            <w:pPr>
              <w:numPr>
                <w:ilvl w:val="12"/>
                <w:numId w:val="0"/>
              </w:numPr>
              <w:tabs>
                <w:tab w:val="left" w:pos="-2268"/>
              </w:tabs>
              <w:suppressAutoHyphens/>
              <w:rPr>
                <w:rFonts w:cs="Arial"/>
                <w:spacing w:val="-3"/>
                <w:sz w:val="20"/>
                <w:szCs w:val="20"/>
              </w:rPr>
            </w:pPr>
            <w:r w:rsidRPr="00BD1319">
              <w:rPr>
                <w:rFonts w:cs="Arial"/>
                <w:spacing w:val="-3"/>
                <w:sz w:val="20"/>
                <w:szCs w:val="20"/>
              </w:rPr>
              <w:t>Porcentaje de Sodio Intercambiable (PSI)</w:t>
            </w:r>
          </w:p>
        </w:tc>
        <w:tc>
          <w:tcPr>
            <w:tcW w:w="1230" w:type="dxa"/>
            <w:vAlign w:val="center"/>
            <w:hideMark/>
          </w:tcPr>
          <w:p w14:paraId="1F10FBED" w14:textId="77777777" w:rsidR="00FF1FED" w:rsidRPr="00BD1319" w:rsidRDefault="00FF1FED" w:rsidP="00224F4F">
            <w:pPr>
              <w:numPr>
                <w:ilvl w:val="12"/>
                <w:numId w:val="0"/>
              </w:numPr>
              <w:tabs>
                <w:tab w:val="left" w:pos="-2268"/>
              </w:tabs>
              <w:suppressAutoHyphens/>
              <w:jc w:val="center"/>
              <w:rPr>
                <w:rFonts w:cs="Arial"/>
                <w:spacing w:val="-3"/>
                <w:sz w:val="20"/>
                <w:szCs w:val="20"/>
              </w:rPr>
            </w:pPr>
            <w:r w:rsidRPr="00BD1319">
              <w:rPr>
                <w:rFonts w:cs="Arial"/>
                <w:spacing w:val="-3"/>
                <w:sz w:val="20"/>
                <w:szCs w:val="20"/>
              </w:rPr>
              <w:t>mg/kg</w:t>
            </w:r>
          </w:p>
        </w:tc>
        <w:tc>
          <w:tcPr>
            <w:tcW w:w="3521" w:type="dxa"/>
            <w:vAlign w:val="center"/>
            <w:hideMark/>
          </w:tcPr>
          <w:p w14:paraId="699D64B3" w14:textId="77777777" w:rsidR="00FF1FED" w:rsidRPr="00BD1319" w:rsidRDefault="00FF1FED" w:rsidP="00B07BDF">
            <w:pPr>
              <w:numPr>
                <w:ilvl w:val="12"/>
                <w:numId w:val="0"/>
              </w:numPr>
              <w:tabs>
                <w:tab w:val="left" w:pos="-2268"/>
              </w:tabs>
              <w:suppressAutoHyphens/>
              <w:rPr>
                <w:rFonts w:cs="Arial"/>
                <w:spacing w:val="-3"/>
                <w:sz w:val="20"/>
                <w:szCs w:val="20"/>
              </w:rPr>
            </w:pPr>
            <w:r w:rsidRPr="00BD1319">
              <w:rPr>
                <w:rFonts w:cs="Arial"/>
                <w:spacing w:val="-3"/>
                <w:sz w:val="20"/>
                <w:szCs w:val="20"/>
              </w:rPr>
              <w:t>Cálculo</w:t>
            </w:r>
          </w:p>
        </w:tc>
      </w:tr>
      <w:tr w:rsidR="00FF1FED" w:rsidRPr="00BD1319" w14:paraId="3455566F" w14:textId="77777777" w:rsidTr="00FF1FED">
        <w:trPr>
          <w:trHeight w:hRule="exact" w:val="680"/>
          <w:jc w:val="center"/>
        </w:trPr>
        <w:tc>
          <w:tcPr>
            <w:tcW w:w="1563" w:type="dxa"/>
            <w:vMerge/>
            <w:vAlign w:val="center"/>
          </w:tcPr>
          <w:p w14:paraId="74BEA966" w14:textId="77777777" w:rsidR="00FF1FED" w:rsidRPr="00BD1319" w:rsidRDefault="00FF1FED" w:rsidP="00FF1FED">
            <w:pPr>
              <w:numPr>
                <w:ilvl w:val="12"/>
                <w:numId w:val="0"/>
              </w:numPr>
              <w:tabs>
                <w:tab w:val="left" w:pos="-2268"/>
              </w:tabs>
              <w:suppressAutoHyphens/>
              <w:jc w:val="center"/>
              <w:rPr>
                <w:rFonts w:cs="Arial"/>
                <w:spacing w:val="-3"/>
                <w:sz w:val="20"/>
                <w:szCs w:val="20"/>
              </w:rPr>
            </w:pPr>
          </w:p>
        </w:tc>
        <w:tc>
          <w:tcPr>
            <w:tcW w:w="3485" w:type="dxa"/>
            <w:vAlign w:val="center"/>
            <w:hideMark/>
          </w:tcPr>
          <w:p w14:paraId="18F14607" w14:textId="3CC88C64" w:rsidR="00FF1FED" w:rsidRPr="00BD1319" w:rsidRDefault="00FF1FED" w:rsidP="00B07BDF">
            <w:pPr>
              <w:numPr>
                <w:ilvl w:val="12"/>
                <w:numId w:val="0"/>
              </w:numPr>
              <w:tabs>
                <w:tab w:val="left" w:pos="-2268"/>
              </w:tabs>
              <w:suppressAutoHyphens/>
              <w:rPr>
                <w:rFonts w:cs="Arial"/>
                <w:spacing w:val="-3"/>
                <w:sz w:val="20"/>
                <w:szCs w:val="20"/>
              </w:rPr>
            </w:pPr>
            <w:r w:rsidRPr="00BD1319">
              <w:rPr>
                <w:rFonts w:cs="Arial"/>
                <w:spacing w:val="-3"/>
                <w:sz w:val="20"/>
                <w:szCs w:val="20"/>
              </w:rPr>
              <w:t>Arsénico</w:t>
            </w:r>
          </w:p>
        </w:tc>
        <w:tc>
          <w:tcPr>
            <w:tcW w:w="1230" w:type="dxa"/>
            <w:vAlign w:val="center"/>
            <w:hideMark/>
          </w:tcPr>
          <w:p w14:paraId="7B183F66" w14:textId="77777777" w:rsidR="00FF1FED" w:rsidRPr="00BD1319" w:rsidRDefault="00FF1FED" w:rsidP="00224F4F">
            <w:pPr>
              <w:numPr>
                <w:ilvl w:val="12"/>
                <w:numId w:val="0"/>
              </w:numPr>
              <w:tabs>
                <w:tab w:val="left" w:pos="-2268"/>
              </w:tabs>
              <w:suppressAutoHyphens/>
              <w:jc w:val="center"/>
              <w:rPr>
                <w:rFonts w:cs="Arial"/>
                <w:spacing w:val="-3"/>
                <w:sz w:val="20"/>
                <w:szCs w:val="20"/>
              </w:rPr>
            </w:pPr>
            <w:r w:rsidRPr="00BD1319">
              <w:rPr>
                <w:rFonts w:cs="Arial"/>
                <w:spacing w:val="-3"/>
                <w:sz w:val="20"/>
                <w:szCs w:val="20"/>
              </w:rPr>
              <w:t>mg/kg</w:t>
            </w:r>
          </w:p>
        </w:tc>
        <w:tc>
          <w:tcPr>
            <w:tcW w:w="3521" w:type="dxa"/>
            <w:vAlign w:val="center"/>
            <w:hideMark/>
          </w:tcPr>
          <w:p w14:paraId="6C45297B" w14:textId="77777777" w:rsidR="00FF1FED" w:rsidRPr="00BD1319" w:rsidRDefault="00FF1FED" w:rsidP="00B07BDF">
            <w:pPr>
              <w:numPr>
                <w:ilvl w:val="12"/>
                <w:numId w:val="0"/>
              </w:numPr>
              <w:tabs>
                <w:tab w:val="left" w:pos="-2268"/>
              </w:tabs>
              <w:suppressAutoHyphens/>
              <w:rPr>
                <w:rFonts w:cs="Arial"/>
                <w:spacing w:val="-3"/>
                <w:sz w:val="20"/>
                <w:szCs w:val="20"/>
              </w:rPr>
            </w:pPr>
            <w:r w:rsidRPr="00BD1319">
              <w:rPr>
                <w:rFonts w:cs="Arial"/>
                <w:spacing w:val="-3"/>
                <w:sz w:val="20"/>
                <w:szCs w:val="20"/>
              </w:rPr>
              <w:t>Espectrometría</w:t>
            </w:r>
          </w:p>
        </w:tc>
      </w:tr>
      <w:tr w:rsidR="00FF1FED" w:rsidRPr="00BD1319" w14:paraId="49470AC5" w14:textId="77777777" w:rsidTr="00FF1FED">
        <w:trPr>
          <w:trHeight w:hRule="exact" w:val="680"/>
          <w:jc w:val="center"/>
        </w:trPr>
        <w:tc>
          <w:tcPr>
            <w:tcW w:w="1563" w:type="dxa"/>
            <w:vMerge/>
            <w:vAlign w:val="center"/>
          </w:tcPr>
          <w:p w14:paraId="27FECA81" w14:textId="77777777" w:rsidR="00FF1FED" w:rsidRPr="00BD1319" w:rsidRDefault="00FF1FED" w:rsidP="00FF1FED">
            <w:pPr>
              <w:numPr>
                <w:ilvl w:val="12"/>
                <w:numId w:val="0"/>
              </w:numPr>
              <w:tabs>
                <w:tab w:val="left" w:pos="-2268"/>
              </w:tabs>
              <w:suppressAutoHyphens/>
              <w:jc w:val="center"/>
              <w:rPr>
                <w:rFonts w:cs="Arial"/>
                <w:spacing w:val="-3"/>
                <w:sz w:val="20"/>
                <w:szCs w:val="20"/>
              </w:rPr>
            </w:pPr>
          </w:p>
        </w:tc>
        <w:tc>
          <w:tcPr>
            <w:tcW w:w="3485" w:type="dxa"/>
            <w:vAlign w:val="center"/>
            <w:hideMark/>
          </w:tcPr>
          <w:p w14:paraId="48E1B8D0" w14:textId="51759C6C" w:rsidR="00FF1FED" w:rsidRPr="00BD1319" w:rsidRDefault="00FF1FED" w:rsidP="00B07BDF">
            <w:pPr>
              <w:numPr>
                <w:ilvl w:val="12"/>
                <w:numId w:val="0"/>
              </w:numPr>
              <w:tabs>
                <w:tab w:val="left" w:pos="-2268"/>
              </w:tabs>
              <w:suppressAutoHyphens/>
              <w:rPr>
                <w:rFonts w:cs="Arial"/>
                <w:spacing w:val="-3"/>
                <w:sz w:val="20"/>
                <w:szCs w:val="20"/>
              </w:rPr>
            </w:pPr>
            <w:r w:rsidRPr="00BD1319">
              <w:rPr>
                <w:rFonts w:cs="Arial"/>
                <w:spacing w:val="-3"/>
                <w:sz w:val="20"/>
                <w:szCs w:val="20"/>
              </w:rPr>
              <w:t>Bario</w:t>
            </w:r>
          </w:p>
        </w:tc>
        <w:tc>
          <w:tcPr>
            <w:tcW w:w="1230" w:type="dxa"/>
            <w:vAlign w:val="center"/>
            <w:hideMark/>
          </w:tcPr>
          <w:p w14:paraId="167BF143" w14:textId="77777777" w:rsidR="00FF1FED" w:rsidRPr="00BD1319" w:rsidRDefault="00FF1FED" w:rsidP="00224F4F">
            <w:pPr>
              <w:numPr>
                <w:ilvl w:val="12"/>
                <w:numId w:val="0"/>
              </w:numPr>
              <w:tabs>
                <w:tab w:val="left" w:pos="-2268"/>
              </w:tabs>
              <w:suppressAutoHyphens/>
              <w:jc w:val="center"/>
              <w:rPr>
                <w:rFonts w:cs="Arial"/>
                <w:spacing w:val="-3"/>
                <w:sz w:val="20"/>
                <w:szCs w:val="20"/>
              </w:rPr>
            </w:pPr>
            <w:r w:rsidRPr="00BD1319">
              <w:rPr>
                <w:rFonts w:cs="Arial"/>
                <w:spacing w:val="-3"/>
                <w:sz w:val="20"/>
                <w:szCs w:val="20"/>
              </w:rPr>
              <w:t>mg/kg</w:t>
            </w:r>
          </w:p>
        </w:tc>
        <w:tc>
          <w:tcPr>
            <w:tcW w:w="3521" w:type="dxa"/>
            <w:vAlign w:val="center"/>
            <w:hideMark/>
          </w:tcPr>
          <w:p w14:paraId="2BE347D2" w14:textId="77777777" w:rsidR="00FF1FED" w:rsidRPr="00BD1319" w:rsidRDefault="00FF1FED" w:rsidP="00B07BDF">
            <w:pPr>
              <w:numPr>
                <w:ilvl w:val="12"/>
                <w:numId w:val="0"/>
              </w:numPr>
              <w:tabs>
                <w:tab w:val="left" w:pos="-2268"/>
              </w:tabs>
              <w:suppressAutoHyphens/>
              <w:rPr>
                <w:rFonts w:cs="Arial"/>
                <w:spacing w:val="-3"/>
                <w:sz w:val="20"/>
                <w:szCs w:val="20"/>
              </w:rPr>
            </w:pPr>
            <w:r w:rsidRPr="00BD1319">
              <w:rPr>
                <w:rFonts w:cs="Arial"/>
                <w:spacing w:val="-3"/>
                <w:sz w:val="20"/>
                <w:szCs w:val="20"/>
              </w:rPr>
              <w:t>Espectrometría</w:t>
            </w:r>
          </w:p>
        </w:tc>
      </w:tr>
      <w:tr w:rsidR="00FF1FED" w:rsidRPr="00BD1319" w14:paraId="04CD403D" w14:textId="77777777" w:rsidTr="00FF1FED">
        <w:trPr>
          <w:trHeight w:hRule="exact" w:val="680"/>
          <w:jc w:val="center"/>
        </w:trPr>
        <w:tc>
          <w:tcPr>
            <w:tcW w:w="1563" w:type="dxa"/>
            <w:vMerge/>
            <w:vAlign w:val="center"/>
          </w:tcPr>
          <w:p w14:paraId="73570C85" w14:textId="77777777" w:rsidR="00FF1FED" w:rsidRPr="00BD1319" w:rsidRDefault="00FF1FED" w:rsidP="00FF1FED">
            <w:pPr>
              <w:numPr>
                <w:ilvl w:val="12"/>
                <w:numId w:val="0"/>
              </w:numPr>
              <w:tabs>
                <w:tab w:val="left" w:pos="-2268"/>
              </w:tabs>
              <w:suppressAutoHyphens/>
              <w:jc w:val="center"/>
              <w:rPr>
                <w:rFonts w:cs="Arial"/>
                <w:spacing w:val="-3"/>
                <w:sz w:val="20"/>
                <w:szCs w:val="20"/>
              </w:rPr>
            </w:pPr>
          </w:p>
        </w:tc>
        <w:tc>
          <w:tcPr>
            <w:tcW w:w="3485" w:type="dxa"/>
            <w:vAlign w:val="center"/>
            <w:hideMark/>
          </w:tcPr>
          <w:p w14:paraId="45750C58" w14:textId="74AB8696" w:rsidR="00FF1FED" w:rsidRPr="00BD1319" w:rsidRDefault="00FF1FED" w:rsidP="00B07BDF">
            <w:pPr>
              <w:numPr>
                <w:ilvl w:val="12"/>
                <w:numId w:val="0"/>
              </w:numPr>
              <w:tabs>
                <w:tab w:val="left" w:pos="-2268"/>
              </w:tabs>
              <w:suppressAutoHyphens/>
              <w:rPr>
                <w:rFonts w:cs="Arial"/>
                <w:spacing w:val="-3"/>
                <w:sz w:val="20"/>
                <w:szCs w:val="20"/>
              </w:rPr>
            </w:pPr>
            <w:r w:rsidRPr="00BD1319">
              <w:rPr>
                <w:rFonts w:cs="Arial"/>
                <w:spacing w:val="-3"/>
                <w:sz w:val="20"/>
                <w:szCs w:val="20"/>
              </w:rPr>
              <w:t>Cadmio</w:t>
            </w:r>
          </w:p>
        </w:tc>
        <w:tc>
          <w:tcPr>
            <w:tcW w:w="1230" w:type="dxa"/>
            <w:vAlign w:val="center"/>
            <w:hideMark/>
          </w:tcPr>
          <w:p w14:paraId="36677193" w14:textId="77777777" w:rsidR="00FF1FED" w:rsidRPr="00BD1319" w:rsidRDefault="00FF1FED" w:rsidP="00224F4F">
            <w:pPr>
              <w:numPr>
                <w:ilvl w:val="12"/>
                <w:numId w:val="0"/>
              </w:numPr>
              <w:tabs>
                <w:tab w:val="left" w:pos="-2268"/>
              </w:tabs>
              <w:suppressAutoHyphens/>
              <w:jc w:val="center"/>
              <w:rPr>
                <w:rFonts w:cs="Arial"/>
                <w:spacing w:val="-3"/>
                <w:sz w:val="20"/>
                <w:szCs w:val="20"/>
              </w:rPr>
            </w:pPr>
            <w:r w:rsidRPr="00BD1319">
              <w:rPr>
                <w:rFonts w:cs="Arial"/>
                <w:spacing w:val="-3"/>
                <w:sz w:val="20"/>
                <w:szCs w:val="20"/>
              </w:rPr>
              <w:t>mg/kg</w:t>
            </w:r>
          </w:p>
        </w:tc>
        <w:tc>
          <w:tcPr>
            <w:tcW w:w="3521" w:type="dxa"/>
            <w:vAlign w:val="center"/>
            <w:hideMark/>
          </w:tcPr>
          <w:p w14:paraId="397CD391" w14:textId="77777777" w:rsidR="00FF1FED" w:rsidRPr="00BD1319" w:rsidRDefault="00FF1FED" w:rsidP="00B07BDF">
            <w:pPr>
              <w:numPr>
                <w:ilvl w:val="12"/>
                <w:numId w:val="0"/>
              </w:numPr>
              <w:tabs>
                <w:tab w:val="left" w:pos="-2268"/>
              </w:tabs>
              <w:suppressAutoHyphens/>
              <w:rPr>
                <w:rFonts w:cs="Arial"/>
                <w:spacing w:val="-3"/>
                <w:sz w:val="20"/>
                <w:szCs w:val="20"/>
              </w:rPr>
            </w:pPr>
            <w:r w:rsidRPr="00BD1319">
              <w:rPr>
                <w:rFonts w:cs="Arial"/>
                <w:spacing w:val="-3"/>
                <w:sz w:val="20"/>
                <w:szCs w:val="20"/>
              </w:rPr>
              <w:t>Espectrometría</w:t>
            </w:r>
          </w:p>
        </w:tc>
      </w:tr>
      <w:tr w:rsidR="00FF1FED" w:rsidRPr="00BD1319" w14:paraId="52E901B6" w14:textId="77777777" w:rsidTr="00FF1FED">
        <w:trPr>
          <w:trHeight w:hRule="exact" w:val="680"/>
          <w:jc w:val="center"/>
        </w:trPr>
        <w:tc>
          <w:tcPr>
            <w:tcW w:w="1563" w:type="dxa"/>
            <w:vMerge/>
            <w:vAlign w:val="center"/>
          </w:tcPr>
          <w:p w14:paraId="1DB443B1" w14:textId="77777777" w:rsidR="00FF1FED" w:rsidRPr="00BD1319" w:rsidRDefault="00FF1FED" w:rsidP="00FF1FED">
            <w:pPr>
              <w:numPr>
                <w:ilvl w:val="12"/>
                <w:numId w:val="0"/>
              </w:numPr>
              <w:tabs>
                <w:tab w:val="left" w:pos="-2268"/>
              </w:tabs>
              <w:suppressAutoHyphens/>
              <w:jc w:val="center"/>
              <w:rPr>
                <w:rFonts w:cs="Arial"/>
                <w:spacing w:val="-3"/>
                <w:sz w:val="20"/>
                <w:szCs w:val="20"/>
              </w:rPr>
            </w:pPr>
          </w:p>
        </w:tc>
        <w:tc>
          <w:tcPr>
            <w:tcW w:w="3485" w:type="dxa"/>
            <w:vAlign w:val="center"/>
            <w:hideMark/>
          </w:tcPr>
          <w:p w14:paraId="5126207A" w14:textId="6D883709" w:rsidR="00FF1FED" w:rsidRPr="00BD1319" w:rsidRDefault="00FF1FED" w:rsidP="00B07BDF">
            <w:pPr>
              <w:numPr>
                <w:ilvl w:val="12"/>
                <w:numId w:val="0"/>
              </w:numPr>
              <w:tabs>
                <w:tab w:val="left" w:pos="-2268"/>
              </w:tabs>
              <w:suppressAutoHyphens/>
              <w:rPr>
                <w:rFonts w:cs="Arial"/>
                <w:spacing w:val="-3"/>
                <w:sz w:val="20"/>
                <w:szCs w:val="20"/>
              </w:rPr>
            </w:pPr>
            <w:r w:rsidRPr="00BD1319">
              <w:rPr>
                <w:rFonts w:cs="Arial"/>
                <w:spacing w:val="-3"/>
                <w:sz w:val="20"/>
                <w:szCs w:val="20"/>
              </w:rPr>
              <w:t>Cromo</w:t>
            </w:r>
          </w:p>
        </w:tc>
        <w:tc>
          <w:tcPr>
            <w:tcW w:w="1230" w:type="dxa"/>
            <w:vAlign w:val="center"/>
            <w:hideMark/>
          </w:tcPr>
          <w:p w14:paraId="3EB8CAA0" w14:textId="77777777" w:rsidR="00FF1FED" w:rsidRPr="00BD1319" w:rsidRDefault="00FF1FED" w:rsidP="00224F4F">
            <w:pPr>
              <w:numPr>
                <w:ilvl w:val="12"/>
                <w:numId w:val="0"/>
              </w:numPr>
              <w:tabs>
                <w:tab w:val="left" w:pos="-2268"/>
              </w:tabs>
              <w:suppressAutoHyphens/>
              <w:jc w:val="center"/>
              <w:rPr>
                <w:rFonts w:cs="Arial"/>
                <w:spacing w:val="-3"/>
                <w:sz w:val="20"/>
                <w:szCs w:val="20"/>
              </w:rPr>
            </w:pPr>
            <w:r w:rsidRPr="00BD1319">
              <w:rPr>
                <w:rFonts w:cs="Arial"/>
                <w:spacing w:val="-3"/>
                <w:sz w:val="20"/>
                <w:szCs w:val="20"/>
              </w:rPr>
              <w:t>mg/kg</w:t>
            </w:r>
          </w:p>
        </w:tc>
        <w:tc>
          <w:tcPr>
            <w:tcW w:w="3521" w:type="dxa"/>
            <w:vAlign w:val="center"/>
            <w:hideMark/>
          </w:tcPr>
          <w:p w14:paraId="524241F4" w14:textId="77777777" w:rsidR="00FF1FED" w:rsidRPr="00BD1319" w:rsidRDefault="00FF1FED" w:rsidP="00B07BDF">
            <w:pPr>
              <w:numPr>
                <w:ilvl w:val="12"/>
                <w:numId w:val="0"/>
              </w:numPr>
              <w:tabs>
                <w:tab w:val="left" w:pos="-2268"/>
              </w:tabs>
              <w:suppressAutoHyphens/>
              <w:rPr>
                <w:rFonts w:cs="Arial"/>
                <w:spacing w:val="-3"/>
                <w:sz w:val="20"/>
                <w:szCs w:val="20"/>
              </w:rPr>
            </w:pPr>
            <w:r w:rsidRPr="00BD1319">
              <w:rPr>
                <w:rFonts w:cs="Arial"/>
                <w:spacing w:val="-3"/>
                <w:sz w:val="20"/>
                <w:szCs w:val="20"/>
              </w:rPr>
              <w:t>Espectrometría</w:t>
            </w:r>
          </w:p>
        </w:tc>
      </w:tr>
      <w:tr w:rsidR="00FF1FED" w:rsidRPr="00BD1319" w14:paraId="49151FB4" w14:textId="77777777" w:rsidTr="00FF1FED">
        <w:trPr>
          <w:trHeight w:hRule="exact" w:val="680"/>
          <w:jc w:val="center"/>
        </w:trPr>
        <w:tc>
          <w:tcPr>
            <w:tcW w:w="1563" w:type="dxa"/>
            <w:vMerge/>
            <w:vAlign w:val="center"/>
          </w:tcPr>
          <w:p w14:paraId="30756D3E" w14:textId="77777777" w:rsidR="00FF1FED" w:rsidRPr="00BD1319" w:rsidRDefault="00FF1FED" w:rsidP="00FF1FED">
            <w:pPr>
              <w:numPr>
                <w:ilvl w:val="12"/>
                <w:numId w:val="0"/>
              </w:numPr>
              <w:tabs>
                <w:tab w:val="left" w:pos="-2268"/>
              </w:tabs>
              <w:suppressAutoHyphens/>
              <w:jc w:val="center"/>
              <w:rPr>
                <w:rFonts w:cs="Arial"/>
                <w:spacing w:val="-3"/>
                <w:sz w:val="20"/>
                <w:szCs w:val="20"/>
              </w:rPr>
            </w:pPr>
          </w:p>
        </w:tc>
        <w:tc>
          <w:tcPr>
            <w:tcW w:w="3485" w:type="dxa"/>
            <w:vAlign w:val="center"/>
            <w:hideMark/>
          </w:tcPr>
          <w:p w14:paraId="4FF37550" w14:textId="279594AD" w:rsidR="00FF1FED" w:rsidRPr="00BD1319" w:rsidRDefault="00FF1FED" w:rsidP="00B07BDF">
            <w:pPr>
              <w:numPr>
                <w:ilvl w:val="12"/>
                <w:numId w:val="0"/>
              </w:numPr>
              <w:tabs>
                <w:tab w:val="left" w:pos="-2268"/>
              </w:tabs>
              <w:suppressAutoHyphens/>
              <w:rPr>
                <w:rFonts w:cs="Arial"/>
                <w:spacing w:val="-3"/>
                <w:sz w:val="20"/>
                <w:szCs w:val="20"/>
              </w:rPr>
            </w:pPr>
            <w:r w:rsidRPr="00BD1319">
              <w:rPr>
                <w:rFonts w:cs="Arial"/>
                <w:spacing w:val="-3"/>
                <w:sz w:val="20"/>
                <w:szCs w:val="20"/>
              </w:rPr>
              <w:t>Cobre</w:t>
            </w:r>
          </w:p>
        </w:tc>
        <w:tc>
          <w:tcPr>
            <w:tcW w:w="1230" w:type="dxa"/>
            <w:vAlign w:val="center"/>
            <w:hideMark/>
          </w:tcPr>
          <w:p w14:paraId="49E861DE" w14:textId="77777777" w:rsidR="00FF1FED" w:rsidRPr="00BD1319" w:rsidRDefault="00FF1FED" w:rsidP="00224F4F">
            <w:pPr>
              <w:numPr>
                <w:ilvl w:val="12"/>
                <w:numId w:val="0"/>
              </w:numPr>
              <w:tabs>
                <w:tab w:val="left" w:pos="-2268"/>
              </w:tabs>
              <w:suppressAutoHyphens/>
              <w:jc w:val="center"/>
              <w:rPr>
                <w:rFonts w:cs="Arial"/>
                <w:spacing w:val="-3"/>
                <w:sz w:val="20"/>
                <w:szCs w:val="20"/>
              </w:rPr>
            </w:pPr>
            <w:r w:rsidRPr="00BD1319">
              <w:rPr>
                <w:rFonts w:cs="Arial"/>
                <w:spacing w:val="-3"/>
                <w:sz w:val="20"/>
                <w:szCs w:val="20"/>
              </w:rPr>
              <w:t>mg/kg</w:t>
            </w:r>
          </w:p>
        </w:tc>
        <w:tc>
          <w:tcPr>
            <w:tcW w:w="3521" w:type="dxa"/>
            <w:vAlign w:val="center"/>
            <w:hideMark/>
          </w:tcPr>
          <w:p w14:paraId="72FF5963" w14:textId="77777777" w:rsidR="00FF1FED" w:rsidRPr="00BD1319" w:rsidRDefault="00FF1FED" w:rsidP="00B07BDF">
            <w:pPr>
              <w:numPr>
                <w:ilvl w:val="12"/>
                <w:numId w:val="0"/>
              </w:numPr>
              <w:tabs>
                <w:tab w:val="left" w:pos="-2268"/>
              </w:tabs>
              <w:suppressAutoHyphens/>
              <w:rPr>
                <w:rFonts w:cs="Arial"/>
                <w:spacing w:val="-3"/>
                <w:sz w:val="20"/>
                <w:szCs w:val="20"/>
              </w:rPr>
            </w:pPr>
            <w:r w:rsidRPr="00BD1319">
              <w:rPr>
                <w:rFonts w:cs="Arial"/>
                <w:spacing w:val="-3"/>
                <w:sz w:val="20"/>
                <w:szCs w:val="20"/>
              </w:rPr>
              <w:t>Espectrometría</w:t>
            </w:r>
          </w:p>
        </w:tc>
      </w:tr>
      <w:tr w:rsidR="00FF1FED" w:rsidRPr="00BD1319" w14:paraId="5BBA226C" w14:textId="77777777" w:rsidTr="00FF1FED">
        <w:trPr>
          <w:trHeight w:hRule="exact" w:val="680"/>
          <w:jc w:val="center"/>
        </w:trPr>
        <w:tc>
          <w:tcPr>
            <w:tcW w:w="1563" w:type="dxa"/>
            <w:vMerge/>
            <w:vAlign w:val="center"/>
          </w:tcPr>
          <w:p w14:paraId="48B9D208" w14:textId="77777777" w:rsidR="00FF1FED" w:rsidRPr="00BD1319" w:rsidRDefault="00FF1FED" w:rsidP="00FF1FED">
            <w:pPr>
              <w:numPr>
                <w:ilvl w:val="12"/>
                <w:numId w:val="0"/>
              </w:numPr>
              <w:tabs>
                <w:tab w:val="left" w:pos="-2268"/>
              </w:tabs>
              <w:suppressAutoHyphens/>
              <w:jc w:val="center"/>
              <w:rPr>
                <w:rFonts w:cs="Arial"/>
                <w:spacing w:val="-3"/>
                <w:sz w:val="20"/>
                <w:szCs w:val="20"/>
              </w:rPr>
            </w:pPr>
          </w:p>
        </w:tc>
        <w:tc>
          <w:tcPr>
            <w:tcW w:w="3485" w:type="dxa"/>
            <w:vAlign w:val="center"/>
            <w:hideMark/>
          </w:tcPr>
          <w:p w14:paraId="4A6E1614" w14:textId="23ECA670" w:rsidR="00FF1FED" w:rsidRPr="00BD1319" w:rsidRDefault="00FF1FED" w:rsidP="00B07BDF">
            <w:pPr>
              <w:numPr>
                <w:ilvl w:val="12"/>
                <w:numId w:val="0"/>
              </w:numPr>
              <w:tabs>
                <w:tab w:val="left" w:pos="-2268"/>
              </w:tabs>
              <w:suppressAutoHyphens/>
              <w:rPr>
                <w:rFonts w:cs="Arial"/>
                <w:spacing w:val="-3"/>
                <w:sz w:val="20"/>
                <w:szCs w:val="20"/>
              </w:rPr>
            </w:pPr>
            <w:r w:rsidRPr="00BD1319">
              <w:rPr>
                <w:rFonts w:cs="Arial"/>
                <w:spacing w:val="-3"/>
                <w:sz w:val="20"/>
                <w:szCs w:val="20"/>
              </w:rPr>
              <w:t>Hierro</w:t>
            </w:r>
          </w:p>
        </w:tc>
        <w:tc>
          <w:tcPr>
            <w:tcW w:w="1230" w:type="dxa"/>
            <w:vAlign w:val="center"/>
            <w:hideMark/>
          </w:tcPr>
          <w:p w14:paraId="7C51E75C" w14:textId="77777777" w:rsidR="00FF1FED" w:rsidRPr="00BD1319" w:rsidRDefault="00FF1FED" w:rsidP="00224F4F">
            <w:pPr>
              <w:numPr>
                <w:ilvl w:val="12"/>
                <w:numId w:val="0"/>
              </w:numPr>
              <w:tabs>
                <w:tab w:val="left" w:pos="-2268"/>
              </w:tabs>
              <w:suppressAutoHyphens/>
              <w:jc w:val="center"/>
              <w:rPr>
                <w:rFonts w:cs="Arial"/>
                <w:spacing w:val="-3"/>
                <w:sz w:val="20"/>
                <w:szCs w:val="20"/>
              </w:rPr>
            </w:pPr>
            <w:r w:rsidRPr="00BD1319">
              <w:rPr>
                <w:rFonts w:cs="Arial"/>
                <w:spacing w:val="-3"/>
                <w:sz w:val="20"/>
                <w:szCs w:val="20"/>
              </w:rPr>
              <w:t>mg/kg</w:t>
            </w:r>
          </w:p>
        </w:tc>
        <w:tc>
          <w:tcPr>
            <w:tcW w:w="3521" w:type="dxa"/>
            <w:vAlign w:val="center"/>
            <w:hideMark/>
          </w:tcPr>
          <w:p w14:paraId="6D25BC6A" w14:textId="77777777" w:rsidR="00FF1FED" w:rsidRPr="00BD1319" w:rsidRDefault="00FF1FED" w:rsidP="00B07BDF">
            <w:pPr>
              <w:numPr>
                <w:ilvl w:val="12"/>
                <w:numId w:val="0"/>
              </w:numPr>
              <w:tabs>
                <w:tab w:val="left" w:pos="-2268"/>
              </w:tabs>
              <w:suppressAutoHyphens/>
              <w:rPr>
                <w:rFonts w:cs="Arial"/>
                <w:spacing w:val="-3"/>
                <w:sz w:val="20"/>
                <w:szCs w:val="20"/>
              </w:rPr>
            </w:pPr>
            <w:r w:rsidRPr="00BD1319">
              <w:rPr>
                <w:rFonts w:cs="Arial"/>
                <w:spacing w:val="-3"/>
                <w:sz w:val="20"/>
                <w:szCs w:val="20"/>
              </w:rPr>
              <w:t>Espectrometría</w:t>
            </w:r>
          </w:p>
        </w:tc>
      </w:tr>
      <w:tr w:rsidR="00FF1FED" w:rsidRPr="00BD1319" w14:paraId="722202F8" w14:textId="77777777" w:rsidTr="00FF1FED">
        <w:trPr>
          <w:trHeight w:hRule="exact" w:val="680"/>
          <w:jc w:val="center"/>
        </w:trPr>
        <w:tc>
          <w:tcPr>
            <w:tcW w:w="1563" w:type="dxa"/>
            <w:vMerge/>
            <w:vAlign w:val="center"/>
          </w:tcPr>
          <w:p w14:paraId="7C2CB85E" w14:textId="77777777" w:rsidR="00FF1FED" w:rsidRPr="00BD1319" w:rsidRDefault="00FF1FED" w:rsidP="00FF1FED">
            <w:pPr>
              <w:numPr>
                <w:ilvl w:val="12"/>
                <w:numId w:val="0"/>
              </w:numPr>
              <w:tabs>
                <w:tab w:val="left" w:pos="-2268"/>
              </w:tabs>
              <w:suppressAutoHyphens/>
              <w:jc w:val="center"/>
              <w:rPr>
                <w:rFonts w:cs="Arial"/>
                <w:spacing w:val="-3"/>
                <w:sz w:val="20"/>
                <w:szCs w:val="20"/>
              </w:rPr>
            </w:pPr>
          </w:p>
        </w:tc>
        <w:tc>
          <w:tcPr>
            <w:tcW w:w="3485" w:type="dxa"/>
            <w:vAlign w:val="center"/>
            <w:hideMark/>
          </w:tcPr>
          <w:p w14:paraId="0EC76314" w14:textId="1BBB515A" w:rsidR="00FF1FED" w:rsidRPr="00BD1319" w:rsidRDefault="00FF1FED" w:rsidP="00B07BDF">
            <w:pPr>
              <w:numPr>
                <w:ilvl w:val="12"/>
                <w:numId w:val="0"/>
              </w:numPr>
              <w:tabs>
                <w:tab w:val="left" w:pos="-2268"/>
              </w:tabs>
              <w:suppressAutoHyphens/>
              <w:rPr>
                <w:rFonts w:cs="Arial"/>
                <w:spacing w:val="-3"/>
                <w:sz w:val="20"/>
                <w:szCs w:val="20"/>
              </w:rPr>
            </w:pPr>
            <w:r w:rsidRPr="00BD1319">
              <w:rPr>
                <w:rFonts w:cs="Arial"/>
                <w:spacing w:val="-3"/>
                <w:sz w:val="20"/>
                <w:szCs w:val="20"/>
              </w:rPr>
              <w:t>Manganeso</w:t>
            </w:r>
          </w:p>
        </w:tc>
        <w:tc>
          <w:tcPr>
            <w:tcW w:w="1230" w:type="dxa"/>
            <w:vAlign w:val="center"/>
            <w:hideMark/>
          </w:tcPr>
          <w:p w14:paraId="1230A194" w14:textId="77777777" w:rsidR="00FF1FED" w:rsidRPr="00BD1319" w:rsidRDefault="00FF1FED" w:rsidP="00224F4F">
            <w:pPr>
              <w:numPr>
                <w:ilvl w:val="12"/>
                <w:numId w:val="0"/>
              </w:numPr>
              <w:tabs>
                <w:tab w:val="left" w:pos="-2268"/>
              </w:tabs>
              <w:suppressAutoHyphens/>
              <w:jc w:val="center"/>
              <w:rPr>
                <w:rFonts w:cs="Arial"/>
                <w:spacing w:val="-3"/>
                <w:sz w:val="20"/>
                <w:szCs w:val="20"/>
              </w:rPr>
            </w:pPr>
            <w:r w:rsidRPr="00BD1319">
              <w:rPr>
                <w:rFonts w:cs="Arial"/>
                <w:spacing w:val="-3"/>
                <w:sz w:val="20"/>
                <w:szCs w:val="20"/>
              </w:rPr>
              <w:t>mg/kg</w:t>
            </w:r>
          </w:p>
        </w:tc>
        <w:tc>
          <w:tcPr>
            <w:tcW w:w="3521" w:type="dxa"/>
            <w:vAlign w:val="center"/>
            <w:hideMark/>
          </w:tcPr>
          <w:p w14:paraId="6EB35DCA" w14:textId="77777777" w:rsidR="00FF1FED" w:rsidRPr="00BD1319" w:rsidRDefault="00FF1FED" w:rsidP="00B07BDF">
            <w:pPr>
              <w:numPr>
                <w:ilvl w:val="12"/>
                <w:numId w:val="0"/>
              </w:numPr>
              <w:tabs>
                <w:tab w:val="left" w:pos="-2268"/>
              </w:tabs>
              <w:suppressAutoHyphens/>
              <w:rPr>
                <w:rFonts w:cs="Arial"/>
                <w:spacing w:val="-3"/>
                <w:sz w:val="20"/>
                <w:szCs w:val="20"/>
              </w:rPr>
            </w:pPr>
            <w:r w:rsidRPr="00BD1319">
              <w:rPr>
                <w:rFonts w:cs="Arial"/>
                <w:spacing w:val="-3"/>
                <w:sz w:val="20"/>
                <w:szCs w:val="20"/>
              </w:rPr>
              <w:t>Espectrometría</w:t>
            </w:r>
          </w:p>
        </w:tc>
      </w:tr>
      <w:tr w:rsidR="00FF1FED" w:rsidRPr="00BD1319" w14:paraId="1AA494DC" w14:textId="77777777" w:rsidTr="00FF1FED">
        <w:trPr>
          <w:trHeight w:hRule="exact" w:val="680"/>
          <w:jc w:val="center"/>
        </w:trPr>
        <w:tc>
          <w:tcPr>
            <w:tcW w:w="1563" w:type="dxa"/>
            <w:vMerge/>
            <w:vAlign w:val="center"/>
          </w:tcPr>
          <w:p w14:paraId="429196CE" w14:textId="77777777" w:rsidR="00FF1FED" w:rsidRPr="00BD1319" w:rsidRDefault="00FF1FED" w:rsidP="00FF1FED">
            <w:pPr>
              <w:numPr>
                <w:ilvl w:val="12"/>
                <w:numId w:val="0"/>
              </w:numPr>
              <w:tabs>
                <w:tab w:val="left" w:pos="-2268"/>
              </w:tabs>
              <w:suppressAutoHyphens/>
              <w:jc w:val="center"/>
              <w:rPr>
                <w:rFonts w:cs="Arial"/>
                <w:spacing w:val="-3"/>
                <w:sz w:val="20"/>
                <w:szCs w:val="20"/>
              </w:rPr>
            </w:pPr>
          </w:p>
        </w:tc>
        <w:tc>
          <w:tcPr>
            <w:tcW w:w="3485" w:type="dxa"/>
            <w:vAlign w:val="center"/>
            <w:hideMark/>
          </w:tcPr>
          <w:p w14:paraId="1DD8D636" w14:textId="5AA9E3B6" w:rsidR="00FF1FED" w:rsidRPr="00BD1319" w:rsidRDefault="00FF1FED" w:rsidP="00B07BDF">
            <w:pPr>
              <w:numPr>
                <w:ilvl w:val="12"/>
                <w:numId w:val="0"/>
              </w:numPr>
              <w:tabs>
                <w:tab w:val="left" w:pos="-2268"/>
              </w:tabs>
              <w:suppressAutoHyphens/>
              <w:rPr>
                <w:rFonts w:cs="Arial"/>
                <w:spacing w:val="-3"/>
                <w:sz w:val="20"/>
                <w:szCs w:val="20"/>
              </w:rPr>
            </w:pPr>
            <w:r w:rsidRPr="00BD1319">
              <w:rPr>
                <w:rFonts w:cs="Arial"/>
                <w:spacing w:val="-3"/>
                <w:sz w:val="20"/>
                <w:szCs w:val="20"/>
              </w:rPr>
              <w:t>Mercurio</w:t>
            </w:r>
          </w:p>
        </w:tc>
        <w:tc>
          <w:tcPr>
            <w:tcW w:w="1230" w:type="dxa"/>
            <w:vAlign w:val="center"/>
            <w:hideMark/>
          </w:tcPr>
          <w:p w14:paraId="229EA1AC" w14:textId="77777777" w:rsidR="00FF1FED" w:rsidRPr="00BD1319" w:rsidRDefault="00FF1FED" w:rsidP="00224F4F">
            <w:pPr>
              <w:numPr>
                <w:ilvl w:val="12"/>
                <w:numId w:val="0"/>
              </w:numPr>
              <w:tabs>
                <w:tab w:val="left" w:pos="-2268"/>
              </w:tabs>
              <w:suppressAutoHyphens/>
              <w:jc w:val="center"/>
              <w:rPr>
                <w:rFonts w:cs="Arial"/>
                <w:spacing w:val="-3"/>
                <w:sz w:val="20"/>
                <w:szCs w:val="20"/>
              </w:rPr>
            </w:pPr>
            <w:r w:rsidRPr="00BD1319">
              <w:rPr>
                <w:rFonts w:cs="Arial"/>
                <w:spacing w:val="-3"/>
                <w:sz w:val="20"/>
                <w:szCs w:val="20"/>
              </w:rPr>
              <w:t>mg/kg</w:t>
            </w:r>
          </w:p>
        </w:tc>
        <w:tc>
          <w:tcPr>
            <w:tcW w:w="3521" w:type="dxa"/>
            <w:vAlign w:val="center"/>
            <w:hideMark/>
          </w:tcPr>
          <w:p w14:paraId="3AAD04F9" w14:textId="77777777" w:rsidR="00FF1FED" w:rsidRPr="00BD1319" w:rsidRDefault="00FF1FED" w:rsidP="00B07BDF">
            <w:pPr>
              <w:numPr>
                <w:ilvl w:val="12"/>
                <w:numId w:val="0"/>
              </w:numPr>
              <w:tabs>
                <w:tab w:val="left" w:pos="-2268"/>
              </w:tabs>
              <w:suppressAutoHyphens/>
              <w:rPr>
                <w:rFonts w:cs="Arial"/>
                <w:spacing w:val="-3"/>
                <w:sz w:val="20"/>
                <w:szCs w:val="20"/>
              </w:rPr>
            </w:pPr>
            <w:r w:rsidRPr="00BD1319">
              <w:rPr>
                <w:rFonts w:cs="Arial"/>
                <w:spacing w:val="-3"/>
                <w:sz w:val="20"/>
                <w:szCs w:val="20"/>
              </w:rPr>
              <w:t>Espectrometría</w:t>
            </w:r>
          </w:p>
        </w:tc>
      </w:tr>
      <w:tr w:rsidR="00FF1FED" w:rsidRPr="00BD1319" w14:paraId="68C01E40" w14:textId="77777777" w:rsidTr="00FF1FED">
        <w:trPr>
          <w:trHeight w:hRule="exact" w:val="680"/>
          <w:jc w:val="center"/>
        </w:trPr>
        <w:tc>
          <w:tcPr>
            <w:tcW w:w="1563" w:type="dxa"/>
            <w:vMerge/>
            <w:vAlign w:val="center"/>
          </w:tcPr>
          <w:p w14:paraId="23D52075" w14:textId="77777777" w:rsidR="00FF1FED" w:rsidRPr="00BD1319" w:rsidRDefault="00FF1FED" w:rsidP="00FF1FED">
            <w:pPr>
              <w:numPr>
                <w:ilvl w:val="12"/>
                <w:numId w:val="0"/>
              </w:numPr>
              <w:tabs>
                <w:tab w:val="left" w:pos="-2268"/>
              </w:tabs>
              <w:suppressAutoHyphens/>
              <w:jc w:val="center"/>
              <w:rPr>
                <w:rFonts w:cs="Arial"/>
                <w:spacing w:val="-3"/>
                <w:sz w:val="20"/>
                <w:szCs w:val="20"/>
              </w:rPr>
            </w:pPr>
          </w:p>
        </w:tc>
        <w:tc>
          <w:tcPr>
            <w:tcW w:w="3485" w:type="dxa"/>
            <w:vAlign w:val="center"/>
            <w:hideMark/>
          </w:tcPr>
          <w:p w14:paraId="36EF6B94" w14:textId="665346EF" w:rsidR="00FF1FED" w:rsidRPr="00BD1319" w:rsidRDefault="00FF1FED" w:rsidP="00B07BDF">
            <w:pPr>
              <w:numPr>
                <w:ilvl w:val="12"/>
                <w:numId w:val="0"/>
              </w:numPr>
              <w:tabs>
                <w:tab w:val="left" w:pos="-2268"/>
              </w:tabs>
              <w:suppressAutoHyphens/>
              <w:rPr>
                <w:rFonts w:cs="Arial"/>
                <w:spacing w:val="-3"/>
                <w:sz w:val="20"/>
                <w:szCs w:val="20"/>
              </w:rPr>
            </w:pPr>
            <w:r w:rsidRPr="00BD1319">
              <w:rPr>
                <w:rFonts w:cs="Arial"/>
                <w:spacing w:val="-3"/>
                <w:sz w:val="20"/>
                <w:szCs w:val="20"/>
              </w:rPr>
              <w:t>Plomo</w:t>
            </w:r>
          </w:p>
        </w:tc>
        <w:tc>
          <w:tcPr>
            <w:tcW w:w="1230" w:type="dxa"/>
            <w:vAlign w:val="center"/>
            <w:hideMark/>
          </w:tcPr>
          <w:p w14:paraId="19FED453" w14:textId="77777777" w:rsidR="00FF1FED" w:rsidRPr="00BD1319" w:rsidRDefault="00FF1FED" w:rsidP="00224F4F">
            <w:pPr>
              <w:numPr>
                <w:ilvl w:val="12"/>
                <w:numId w:val="0"/>
              </w:numPr>
              <w:tabs>
                <w:tab w:val="left" w:pos="-2268"/>
              </w:tabs>
              <w:suppressAutoHyphens/>
              <w:jc w:val="center"/>
              <w:rPr>
                <w:rFonts w:cs="Arial"/>
                <w:spacing w:val="-3"/>
                <w:sz w:val="20"/>
                <w:szCs w:val="20"/>
              </w:rPr>
            </w:pPr>
            <w:r w:rsidRPr="00BD1319">
              <w:rPr>
                <w:rFonts w:cs="Arial"/>
                <w:spacing w:val="-3"/>
                <w:sz w:val="20"/>
                <w:szCs w:val="20"/>
              </w:rPr>
              <w:t>mg/kg</w:t>
            </w:r>
          </w:p>
        </w:tc>
        <w:tc>
          <w:tcPr>
            <w:tcW w:w="3521" w:type="dxa"/>
            <w:vAlign w:val="center"/>
            <w:hideMark/>
          </w:tcPr>
          <w:p w14:paraId="60243989" w14:textId="77777777" w:rsidR="00FF1FED" w:rsidRPr="00BD1319" w:rsidRDefault="00FF1FED" w:rsidP="00B07BDF">
            <w:pPr>
              <w:numPr>
                <w:ilvl w:val="12"/>
                <w:numId w:val="0"/>
              </w:numPr>
              <w:tabs>
                <w:tab w:val="left" w:pos="-2268"/>
              </w:tabs>
              <w:suppressAutoHyphens/>
              <w:rPr>
                <w:rFonts w:cs="Arial"/>
                <w:spacing w:val="-3"/>
                <w:sz w:val="20"/>
                <w:szCs w:val="20"/>
              </w:rPr>
            </w:pPr>
            <w:r w:rsidRPr="00BD1319">
              <w:rPr>
                <w:rFonts w:cs="Arial"/>
                <w:spacing w:val="-3"/>
                <w:sz w:val="20"/>
                <w:szCs w:val="20"/>
              </w:rPr>
              <w:t>Espectrometría</w:t>
            </w:r>
          </w:p>
        </w:tc>
      </w:tr>
      <w:tr w:rsidR="00FF1FED" w:rsidRPr="00BD1319" w14:paraId="53D557B2" w14:textId="77777777" w:rsidTr="00FF1FED">
        <w:trPr>
          <w:trHeight w:hRule="exact" w:val="680"/>
          <w:jc w:val="center"/>
        </w:trPr>
        <w:tc>
          <w:tcPr>
            <w:tcW w:w="1563" w:type="dxa"/>
            <w:vMerge/>
            <w:vAlign w:val="center"/>
          </w:tcPr>
          <w:p w14:paraId="50CB70FB" w14:textId="77777777" w:rsidR="00FF1FED" w:rsidRPr="00BD1319" w:rsidRDefault="00FF1FED" w:rsidP="00FF1FED">
            <w:pPr>
              <w:numPr>
                <w:ilvl w:val="12"/>
                <w:numId w:val="0"/>
              </w:numPr>
              <w:tabs>
                <w:tab w:val="left" w:pos="-2268"/>
              </w:tabs>
              <w:suppressAutoHyphens/>
              <w:jc w:val="center"/>
              <w:rPr>
                <w:rFonts w:cs="Arial"/>
                <w:spacing w:val="-3"/>
                <w:sz w:val="20"/>
                <w:szCs w:val="20"/>
              </w:rPr>
            </w:pPr>
          </w:p>
        </w:tc>
        <w:tc>
          <w:tcPr>
            <w:tcW w:w="3485" w:type="dxa"/>
            <w:vAlign w:val="center"/>
            <w:hideMark/>
          </w:tcPr>
          <w:p w14:paraId="2D556327" w14:textId="424AF5FB" w:rsidR="00FF1FED" w:rsidRPr="00BD1319" w:rsidRDefault="00FF1FED" w:rsidP="00B07BDF">
            <w:pPr>
              <w:numPr>
                <w:ilvl w:val="12"/>
                <w:numId w:val="0"/>
              </w:numPr>
              <w:tabs>
                <w:tab w:val="left" w:pos="-2268"/>
              </w:tabs>
              <w:suppressAutoHyphens/>
              <w:rPr>
                <w:rFonts w:cs="Arial"/>
                <w:spacing w:val="-3"/>
                <w:sz w:val="20"/>
                <w:szCs w:val="20"/>
              </w:rPr>
            </w:pPr>
            <w:r w:rsidRPr="00BD1319">
              <w:rPr>
                <w:rFonts w:cs="Arial"/>
                <w:spacing w:val="-3"/>
                <w:sz w:val="20"/>
                <w:szCs w:val="20"/>
              </w:rPr>
              <w:t>Selenio</w:t>
            </w:r>
          </w:p>
        </w:tc>
        <w:tc>
          <w:tcPr>
            <w:tcW w:w="1230" w:type="dxa"/>
            <w:vAlign w:val="center"/>
            <w:hideMark/>
          </w:tcPr>
          <w:p w14:paraId="3FC9AA35" w14:textId="77777777" w:rsidR="00FF1FED" w:rsidRPr="00BD1319" w:rsidRDefault="00FF1FED" w:rsidP="00224F4F">
            <w:pPr>
              <w:numPr>
                <w:ilvl w:val="12"/>
                <w:numId w:val="0"/>
              </w:numPr>
              <w:tabs>
                <w:tab w:val="left" w:pos="-2268"/>
              </w:tabs>
              <w:suppressAutoHyphens/>
              <w:jc w:val="center"/>
              <w:rPr>
                <w:rFonts w:cs="Arial"/>
                <w:spacing w:val="-3"/>
                <w:sz w:val="20"/>
                <w:szCs w:val="20"/>
              </w:rPr>
            </w:pPr>
            <w:r w:rsidRPr="00BD1319">
              <w:rPr>
                <w:rFonts w:cs="Arial"/>
                <w:spacing w:val="-3"/>
                <w:sz w:val="20"/>
                <w:szCs w:val="20"/>
              </w:rPr>
              <w:t>mg/kg</w:t>
            </w:r>
          </w:p>
        </w:tc>
        <w:tc>
          <w:tcPr>
            <w:tcW w:w="3521" w:type="dxa"/>
            <w:vAlign w:val="center"/>
            <w:hideMark/>
          </w:tcPr>
          <w:p w14:paraId="36938155" w14:textId="77777777" w:rsidR="00FF1FED" w:rsidRPr="00BD1319" w:rsidRDefault="00FF1FED" w:rsidP="00B07BDF">
            <w:pPr>
              <w:numPr>
                <w:ilvl w:val="12"/>
                <w:numId w:val="0"/>
              </w:numPr>
              <w:tabs>
                <w:tab w:val="left" w:pos="-2268"/>
              </w:tabs>
              <w:suppressAutoHyphens/>
              <w:rPr>
                <w:rFonts w:cs="Arial"/>
                <w:spacing w:val="-3"/>
                <w:sz w:val="20"/>
                <w:szCs w:val="20"/>
              </w:rPr>
            </w:pPr>
            <w:r w:rsidRPr="00BD1319">
              <w:rPr>
                <w:rFonts w:cs="Arial"/>
                <w:spacing w:val="-3"/>
                <w:sz w:val="20"/>
                <w:szCs w:val="20"/>
              </w:rPr>
              <w:t>Espectrometría</w:t>
            </w:r>
          </w:p>
        </w:tc>
      </w:tr>
      <w:tr w:rsidR="00FF1FED" w:rsidRPr="00BD1319" w14:paraId="572C2BE9" w14:textId="77777777" w:rsidTr="00FF1FED">
        <w:trPr>
          <w:trHeight w:hRule="exact" w:val="680"/>
          <w:jc w:val="center"/>
        </w:trPr>
        <w:tc>
          <w:tcPr>
            <w:tcW w:w="1563" w:type="dxa"/>
            <w:vMerge/>
            <w:vAlign w:val="center"/>
          </w:tcPr>
          <w:p w14:paraId="29D155DD" w14:textId="77777777" w:rsidR="00FF1FED" w:rsidRPr="00BD1319" w:rsidRDefault="00FF1FED" w:rsidP="00FF1FED">
            <w:pPr>
              <w:numPr>
                <w:ilvl w:val="12"/>
                <w:numId w:val="0"/>
              </w:numPr>
              <w:tabs>
                <w:tab w:val="left" w:pos="-2268"/>
              </w:tabs>
              <w:suppressAutoHyphens/>
              <w:jc w:val="center"/>
              <w:rPr>
                <w:rFonts w:cs="Arial"/>
                <w:spacing w:val="-3"/>
                <w:sz w:val="20"/>
                <w:szCs w:val="20"/>
              </w:rPr>
            </w:pPr>
          </w:p>
        </w:tc>
        <w:tc>
          <w:tcPr>
            <w:tcW w:w="3485" w:type="dxa"/>
            <w:vAlign w:val="center"/>
            <w:hideMark/>
          </w:tcPr>
          <w:p w14:paraId="3A921BE2" w14:textId="27BA1C03" w:rsidR="00FF1FED" w:rsidRPr="00BD1319" w:rsidRDefault="00FF1FED" w:rsidP="00B07BDF">
            <w:pPr>
              <w:numPr>
                <w:ilvl w:val="12"/>
                <w:numId w:val="0"/>
              </w:numPr>
              <w:tabs>
                <w:tab w:val="left" w:pos="-2268"/>
              </w:tabs>
              <w:suppressAutoHyphens/>
              <w:rPr>
                <w:rFonts w:cs="Arial"/>
                <w:spacing w:val="-3"/>
                <w:sz w:val="20"/>
                <w:szCs w:val="20"/>
              </w:rPr>
            </w:pPr>
            <w:r w:rsidRPr="00BD1319">
              <w:rPr>
                <w:rFonts w:cs="Arial"/>
                <w:spacing w:val="-3"/>
                <w:sz w:val="20"/>
                <w:szCs w:val="20"/>
              </w:rPr>
              <w:t>Silicio</w:t>
            </w:r>
          </w:p>
        </w:tc>
        <w:tc>
          <w:tcPr>
            <w:tcW w:w="1230" w:type="dxa"/>
            <w:vAlign w:val="center"/>
            <w:hideMark/>
          </w:tcPr>
          <w:p w14:paraId="12448D3D" w14:textId="77777777" w:rsidR="00FF1FED" w:rsidRPr="00BD1319" w:rsidRDefault="00FF1FED" w:rsidP="00224F4F">
            <w:pPr>
              <w:numPr>
                <w:ilvl w:val="12"/>
                <w:numId w:val="0"/>
              </w:numPr>
              <w:tabs>
                <w:tab w:val="left" w:pos="-2268"/>
              </w:tabs>
              <w:suppressAutoHyphens/>
              <w:jc w:val="center"/>
              <w:rPr>
                <w:rFonts w:cs="Arial"/>
                <w:spacing w:val="-3"/>
                <w:sz w:val="20"/>
                <w:szCs w:val="20"/>
              </w:rPr>
            </w:pPr>
            <w:r w:rsidRPr="00BD1319">
              <w:rPr>
                <w:rFonts w:cs="Arial"/>
                <w:spacing w:val="-3"/>
                <w:sz w:val="20"/>
                <w:szCs w:val="20"/>
              </w:rPr>
              <w:t>mg/kg</w:t>
            </w:r>
          </w:p>
        </w:tc>
        <w:tc>
          <w:tcPr>
            <w:tcW w:w="3521" w:type="dxa"/>
            <w:vAlign w:val="center"/>
            <w:hideMark/>
          </w:tcPr>
          <w:p w14:paraId="6AEB125B" w14:textId="77777777" w:rsidR="00FF1FED" w:rsidRPr="00BD1319" w:rsidRDefault="00FF1FED" w:rsidP="00B07BDF">
            <w:pPr>
              <w:numPr>
                <w:ilvl w:val="12"/>
                <w:numId w:val="0"/>
              </w:numPr>
              <w:tabs>
                <w:tab w:val="left" w:pos="-2268"/>
              </w:tabs>
              <w:suppressAutoHyphens/>
              <w:rPr>
                <w:rFonts w:cs="Arial"/>
                <w:spacing w:val="-3"/>
                <w:sz w:val="20"/>
                <w:szCs w:val="20"/>
              </w:rPr>
            </w:pPr>
            <w:r w:rsidRPr="00BD1319">
              <w:rPr>
                <w:rFonts w:cs="Arial"/>
                <w:spacing w:val="-3"/>
                <w:sz w:val="20"/>
                <w:szCs w:val="20"/>
              </w:rPr>
              <w:t>Espectrometría</w:t>
            </w:r>
          </w:p>
        </w:tc>
      </w:tr>
      <w:tr w:rsidR="00FF1FED" w:rsidRPr="00BD1319" w14:paraId="2F7862F6" w14:textId="77777777" w:rsidTr="00FF1FED">
        <w:trPr>
          <w:trHeight w:hRule="exact" w:val="680"/>
          <w:jc w:val="center"/>
        </w:trPr>
        <w:tc>
          <w:tcPr>
            <w:tcW w:w="1563" w:type="dxa"/>
            <w:vMerge/>
            <w:vAlign w:val="center"/>
          </w:tcPr>
          <w:p w14:paraId="186CA0EA" w14:textId="77777777" w:rsidR="00FF1FED" w:rsidRPr="00BD1319" w:rsidRDefault="00FF1FED" w:rsidP="00FF1FED">
            <w:pPr>
              <w:numPr>
                <w:ilvl w:val="12"/>
                <w:numId w:val="0"/>
              </w:numPr>
              <w:tabs>
                <w:tab w:val="left" w:pos="-2268"/>
              </w:tabs>
              <w:suppressAutoHyphens/>
              <w:jc w:val="center"/>
              <w:rPr>
                <w:rFonts w:cs="Arial"/>
                <w:spacing w:val="-3"/>
                <w:sz w:val="20"/>
                <w:szCs w:val="20"/>
              </w:rPr>
            </w:pPr>
          </w:p>
        </w:tc>
        <w:tc>
          <w:tcPr>
            <w:tcW w:w="3485" w:type="dxa"/>
            <w:vAlign w:val="center"/>
            <w:hideMark/>
          </w:tcPr>
          <w:p w14:paraId="549D776A" w14:textId="5ED7D0A8" w:rsidR="00FF1FED" w:rsidRPr="00BD1319" w:rsidRDefault="00FF1FED" w:rsidP="00B07BDF">
            <w:pPr>
              <w:numPr>
                <w:ilvl w:val="12"/>
                <w:numId w:val="0"/>
              </w:numPr>
              <w:tabs>
                <w:tab w:val="left" w:pos="-2268"/>
              </w:tabs>
              <w:suppressAutoHyphens/>
              <w:rPr>
                <w:rFonts w:cs="Arial"/>
                <w:spacing w:val="-3"/>
                <w:sz w:val="20"/>
                <w:szCs w:val="20"/>
              </w:rPr>
            </w:pPr>
            <w:r w:rsidRPr="00BD1319">
              <w:rPr>
                <w:rFonts w:cs="Arial"/>
                <w:spacing w:val="-3"/>
                <w:sz w:val="20"/>
                <w:szCs w:val="20"/>
              </w:rPr>
              <w:t>Zinc</w:t>
            </w:r>
          </w:p>
        </w:tc>
        <w:tc>
          <w:tcPr>
            <w:tcW w:w="1230" w:type="dxa"/>
            <w:vAlign w:val="center"/>
            <w:hideMark/>
          </w:tcPr>
          <w:p w14:paraId="37FAFB52" w14:textId="77777777" w:rsidR="00FF1FED" w:rsidRPr="00BD1319" w:rsidRDefault="00FF1FED" w:rsidP="00224F4F">
            <w:pPr>
              <w:numPr>
                <w:ilvl w:val="12"/>
                <w:numId w:val="0"/>
              </w:numPr>
              <w:tabs>
                <w:tab w:val="left" w:pos="-2268"/>
              </w:tabs>
              <w:suppressAutoHyphens/>
              <w:jc w:val="center"/>
              <w:rPr>
                <w:rFonts w:cs="Arial"/>
                <w:spacing w:val="-3"/>
                <w:sz w:val="20"/>
                <w:szCs w:val="20"/>
              </w:rPr>
            </w:pPr>
            <w:r w:rsidRPr="00BD1319">
              <w:rPr>
                <w:rFonts w:cs="Arial"/>
                <w:spacing w:val="-3"/>
                <w:sz w:val="20"/>
                <w:szCs w:val="20"/>
              </w:rPr>
              <w:t>mg/kg</w:t>
            </w:r>
          </w:p>
        </w:tc>
        <w:tc>
          <w:tcPr>
            <w:tcW w:w="3521" w:type="dxa"/>
            <w:vAlign w:val="center"/>
            <w:hideMark/>
          </w:tcPr>
          <w:p w14:paraId="32883C27" w14:textId="77777777" w:rsidR="00FF1FED" w:rsidRPr="00BD1319" w:rsidRDefault="00FF1FED" w:rsidP="00B07BDF">
            <w:pPr>
              <w:numPr>
                <w:ilvl w:val="12"/>
                <w:numId w:val="0"/>
              </w:numPr>
              <w:tabs>
                <w:tab w:val="left" w:pos="-2268"/>
              </w:tabs>
              <w:suppressAutoHyphens/>
              <w:rPr>
                <w:rFonts w:cs="Arial"/>
                <w:spacing w:val="-3"/>
                <w:sz w:val="20"/>
                <w:szCs w:val="20"/>
              </w:rPr>
            </w:pPr>
            <w:r w:rsidRPr="00BD1319">
              <w:rPr>
                <w:rFonts w:cs="Arial"/>
                <w:spacing w:val="-3"/>
                <w:sz w:val="20"/>
                <w:szCs w:val="20"/>
              </w:rPr>
              <w:t>Espectrometría</w:t>
            </w:r>
          </w:p>
        </w:tc>
      </w:tr>
      <w:tr w:rsidR="00FF1FED" w:rsidRPr="00BD1319" w14:paraId="33BFFEC2" w14:textId="77777777" w:rsidTr="00FF1FED">
        <w:trPr>
          <w:trHeight w:hRule="exact" w:val="680"/>
          <w:jc w:val="center"/>
        </w:trPr>
        <w:tc>
          <w:tcPr>
            <w:tcW w:w="1563" w:type="dxa"/>
            <w:vMerge w:val="restart"/>
            <w:vAlign w:val="center"/>
          </w:tcPr>
          <w:p w14:paraId="6D3FEF33" w14:textId="374507BB" w:rsidR="00FF1FED" w:rsidRPr="00BD1319" w:rsidRDefault="00FF1FED" w:rsidP="00FF1FED">
            <w:pPr>
              <w:numPr>
                <w:ilvl w:val="12"/>
                <w:numId w:val="0"/>
              </w:numPr>
              <w:tabs>
                <w:tab w:val="left" w:pos="-2268"/>
              </w:tabs>
              <w:suppressAutoHyphens/>
              <w:jc w:val="center"/>
              <w:rPr>
                <w:rFonts w:cs="Arial"/>
                <w:spacing w:val="-3"/>
                <w:sz w:val="20"/>
                <w:szCs w:val="20"/>
              </w:rPr>
            </w:pPr>
            <w:r w:rsidRPr="00BD1319">
              <w:rPr>
                <w:rFonts w:cs="Arial"/>
                <w:b/>
                <w:bCs/>
                <w:spacing w:val="-3"/>
                <w:sz w:val="20"/>
                <w:szCs w:val="20"/>
              </w:rPr>
              <w:t>Biológico</w:t>
            </w:r>
            <w:r w:rsidRPr="00BD1319">
              <w:rPr>
                <w:rStyle w:val="Refdenotaalpie"/>
                <w:rFonts w:cs="Arial"/>
                <w:b/>
                <w:bCs/>
                <w:spacing w:val="-3"/>
                <w:szCs w:val="20"/>
                <w:lang w:val="es-CO"/>
              </w:rPr>
              <w:footnoteReference w:id="110"/>
            </w:r>
          </w:p>
        </w:tc>
        <w:tc>
          <w:tcPr>
            <w:tcW w:w="3485" w:type="dxa"/>
            <w:vAlign w:val="center"/>
            <w:hideMark/>
          </w:tcPr>
          <w:p w14:paraId="33022871" w14:textId="2DE96121" w:rsidR="00FF1FED" w:rsidRPr="00BD1319" w:rsidRDefault="00FF1FED" w:rsidP="00B07BDF">
            <w:pPr>
              <w:numPr>
                <w:ilvl w:val="12"/>
                <w:numId w:val="0"/>
              </w:numPr>
              <w:tabs>
                <w:tab w:val="left" w:pos="-2268"/>
              </w:tabs>
              <w:suppressAutoHyphens/>
              <w:rPr>
                <w:rFonts w:cs="Arial"/>
                <w:spacing w:val="-3"/>
                <w:sz w:val="20"/>
                <w:szCs w:val="20"/>
              </w:rPr>
            </w:pPr>
            <w:r w:rsidRPr="00BD1319">
              <w:rPr>
                <w:rFonts w:cs="Arial"/>
                <w:spacing w:val="-3"/>
                <w:sz w:val="20"/>
                <w:szCs w:val="20"/>
              </w:rPr>
              <w:t xml:space="preserve">Cuantificación de microorganismos </w:t>
            </w:r>
            <w:proofErr w:type="spellStart"/>
            <w:r w:rsidRPr="00BD1319">
              <w:rPr>
                <w:rFonts w:cs="Arial"/>
                <w:spacing w:val="-3"/>
                <w:sz w:val="20"/>
                <w:szCs w:val="20"/>
              </w:rPr>
              <w:t>solubilizadores</w:t>
            </w:r>
            <w:proofErr w:type="spellEnd"/>
            <w:r w:rsidRPr="00BD1319">
              <w:rPr>
                <w:rFonts w:cs="Arial"/>
                <w:spacing w:val="-3"/>
                <w:sz w:val="20"/>
                <w:szCs w:val="20"/>
              </w:rPr>
              <w:t xml:space="preserve"> de fosfato</w:t>
            </w:r>
          </w:p>
        </w:tc>
        <w:tc>
          <w:tcPr>
            <w:tcW w:w="1230" w:type="dxa"/>
            <w:vAlign w:val="center"/>
            <w:hideMark/>
          </w:tcPr>
          <w:p w14:paraId="74D6481F" w14:textId="7F357B9D" w:rsidR="00FF1FED" w:rsidRPr="00BD1319" w:rsidRDefault="00FF1FED" w:rsidP="009F3226">
            <w:pPr>
              <w:numPr>
                <w:ilvl w:val="12"/>
                <w:numId w:val="0"/>
              </w:numPr>
              <w:tabs>
                <w:tab w:val="left" w:pos="-2268"/>
              </w:tabs>
              <w:suppressAutoHyphens/>
              <w:jc w:val="center"/>
              <w:rPr>
                <w:rFonts w:cs="Arial"/>
                <w:spacing w:val="-3"/>
                <w:sz w:val="20"/>
                <w:szCs w:val="20"/>
              </w:rPr>
            </w:pPr>
            <w:r w:rsidRPr="00BD1319">
              <w:rPr>
                <w:rFonts w:cs="Arial"/>
                <w:spacing w:val="-3"/>
                <w:sz w:val="20"/>
                <w:szCs w:val="20"/>
              </w:rPr>
              <w:t>UFC/g suelo seco</w:t>
            </w:r>
          </w:p>
        </w:tc>
        <w:tc>
          <w:tcPr>
            <w:tcW w:w="3521" w:type="dxa"/>
            <w:vAlign w:val="center"/>
            <w:hideMark/>
          </w:tcPr>
          <w:p w14:paraId="5B99BBA1" w14:textId="3BF3765A" w:rsidR="00FF1FED" w:rsidRPr="00BD1319" w:rsidRDefault="00FF1FED" w:rsidP="00B07BDF">
            <w:pPr>
              <w:numPr>
                <w:ilvl w:val="12"/>
                <w:numId w:val="0"/>
              </w:numPr>
              <w:tabs>
                <w:tab w:val="left" w:pos="-2268"/>
              </w:tabs>
              <w:suppressAutoHyphens/>
              <w:rPr>
                <w:rFonts w:cs="Arial"/>
                <w:spacing w:val="-3"/>
                <w:sz w:val="20"/>
                <w:szCs w:val="20"/>
              </w:rPr>
            </w:pPr>
            <w:r w:rsidRPr="00BD1319">
              <w:rPr>
                <w:rFonts w:cs="Arial"/>
                <w:spacing w:val="-3"/>
                <w:sz w:val="20"/>
                <w:szCs w:val="20"/>
              </w:rPr>
              <w:t xml:space="preserve">Recuento en placa </w:t>
            </w:r>
            <w:r w:rsidR="00362036" w:rsidRPr="00BD1319">
              <w:rPr>
                <w:rFonts w:cs="Arial"/>
                <w:spacing w:val="-3"/>
                <w:sz w:val="20"/>
                <w:szCs w:val="20"/>
              </w:rPr>
              <w:t>por s</w:t>
            </w:r>
            <w:r w:rsidRPr="00BD1319">
              <w:rPr>
                <w:rFonts w:cs="Arial"/>
                <w:spacing w:val="-3"/>
                <w:sz w:val="20"/>
                <w:szCs w:val="20"/>
              </w:rPr>
              <w:t>iembra en superficie</w:t>
            </w:r>
          </w:p>
        </w:tc>
      </w:tr>
      <w:tr w:rsidR="00FF1FED" w:rsidRPr="00BD1319" w14:paraId="331333CF" w14:textId="77777777" w:rsidTr="00FF1FED">
        <w:trPr>
          <w:trHeight w:hRule="exact" w:val="680"/>
          <w:jc w:val="center"/>
        </w:trPr>
        <w:tc>
          <w:tcPr>
            <w:tcW w:w="1563" w:type="dxa"/>
            <w:vMerge/>
            <w:vAlign w:val="center"/>
          </w:tcPr>
          <w:p w14:paraId="4BBA88B8" w14:textId="77777777" w:rsidR="00FF1FED" w:rsidRPr="00BD1319" w:rsidRDefault="00FF1FED" w:rsidP="00FF1FED">
            <w:pPr>
              <w:numPr>
                <w:ilvl w:val="12"/>
                <w:numId w:val="0"/>
              </w:numPr>
              <w:tabs>
                <w:tab w:val="left" w:pos="-2268"/>
              </w:tabs>
              <w:suppressAutoHyphens/>
              <w:jc w:val="center"/>
              <w:rPr>
                <w:rFonts w:cs="Arial"/>
                <w:spacing w:val="-3"/>
                <w:sz w:val="20"/>
                <w:szCs w:val="20"/>
              </w:rPr>
            </w:pPr>
          </w:p>
        </w:tc>
        <w:tc>
          <w:tcPr>
            <w:tcW w:w="3485" w:type="dxa"/>
            <w:vAlign w:val="center"/>
            <w:hideMark/>
          </w:tcPr>
          <w:p w14:paraId="679D2833" w14:textId="48C86AEB" w:rsidR="00FF1FED" w:rsidRPr="00BD1319" w:rsidRDefault="00FF1FED" w:rsidP="00B07BDF">
            <w:pPr>
              <w:numPr>
                <w:ilvl w:val="12"/>
                <w:numId w:val="0"/>
              </w:numPr>
              <w:tabs>
                <w:tab w:val="left" w:pos="-2268"/>
              </w:tabs>
              <w:suppressAutoHyphens/>
              <w:rPr>
                <w:rFonts w:cs="Arial"/>
                <w:spacing w:val="-3"/>
                <w:sz w:val="20"/>
                <w:szCs w:val="20"/>
              </w:rPr>
            </w:pPr>
            <w:r w:rsidRPr="00BD1319">
              <w:rPr>
                <w:rFonts w:cs="Arial"/>
                <w:spacing w:val="-3"/>
                <w:sz w:val="20"/>
                <w:szCs w:val="20"/>
              </w:rPr>
              <w:t xml:space="preserve">Cuantificación de microorganismos </w:t>
            </w:r>
            <w:proofErr w:type="spellStart"/>
            <w:r w:rsidRPr="00BD1319">
              <w:rPr>
                <w:rFonts w:cs="Arial"/>
                <w:spacing w:val="-3"/>
                <w:sz w:val="20"/>
                <w:szCs w:val="20"/>
              </w:rPr>
              <w:t>celulolíticos</w:t>
            </w:r>
            <w:proofErr w:type="spellEnd"/>
            <w:r w:rsidRPr="00BD1319">
              <w:rPr>
                <w:rFonts w:cs="Arial"/>
                <w:spacing w:val="-3"/>
                <w:sz w:val="20"/>
                <w:szCs w:val="20"/>
              </w:rPr>
              <w:t xml:space="preserve"> aerobios</w:t>
            </w:r>
          </w:p>
        </w:tc>
        <w:tc>
          <w:tcPr>
            <w:tcW w:w="1230" w:type="dxa"/>
            <w:vAlign w:val="center"/>
            <w:hideMark/>
          </w:tcPr>
          <w:p w14:paraId="131C108F" w14:textId="223157DB" w:rsidR="00FF1FED" w:rsidRPr="00BD1319" w:rsidRDefault="00FF1FED" w:rsidP="00224F4F">
            <w:pPr>
              <w:numPr>
                <w:ilvl w:val="12"/>
                <w:numId w:val="0"/>
              </w:numPr>
              <w:tabs>
                <w:tab w:val="left" w:pos="-2268"/>
              </w:tabs>
              <w:suppressAutoHyphens/>
              <w:jc w:val="center"/>
              <w:rPr>
                <w:rFonts w:cs="Arial"/>
                <w:spacing w:val="-3"/>
                <w:sz w:val="20"/>
                <w:szCs w:val="20"/>
              </w:rPr>
            </w:pPr>
            <w:r w:rsidRPr="00BD1319">
              <w:rPr>
                <w:rFonts w:cs="Arial"/>
                <w:spacing w:val="-3"/>
                <w:sz w:val="20"/>
                <w:szCs w:val="20"/>
              </w:rPr>
              <w:t>UFC/g suelo seco</w:t>
            </w:r>
          </w:p>
        </w:tc>
        <w:tc>
          <w:tcPr>
            <w:tcW w:w="3521" w:type="dxa"/>
            <w:vAlign w:val="center"/>
            <w:hideMark/>
          </w:tcPr>
          <w:p w14:paraId="36B4043C" w14:textId="0C49F7D1" w:rsidR="00FF1FED" w:rsidRPr="00BD1319" w:rsidRDefault="00FF1FED" w:rsidP="00B07BDF">
            <w:pPr>
              <w:numPr>
                <w:ilvl w:val="12"/>
                <w:numId w:val="0"/>
              </w:numPr>
              <w:tabs>
                <w:tab w:val="left" w:pos="-2268"/>
              </w:tabs>
              <w:suppressAutoHyphens/>
              <w:rPr>
                <w:rFonts w:cs="Arial"/>
                <w:spacing w:val="-3"/>
                <w:sz w:val="20"/>
                <w:szCs w:val="20"/>
              </w:rPr>
            </w:pPr>
            <w:r w:rsidRPr="00BD1319">
              <w:rPr>
                <w:rFonts w:cs="Arial"/>
                <w:spacing w:val="-3"/>
                <w:sz w:val="20"/>
                <w:szCs w:val="20"/>
              </w:rPr>
              <w:t xml:space="preserve">Recuento en placa </w:t>
            </w:r>
            <w:r w:rsidR="00AE05F2" w:rsidRPr="00BD1319">
              <w:rPr>
                <w:rFonts w:cs="Arial"/>
                <w:spacing w:val="-3"/>
                <w:sz w:val="20"/>
                <w:szCs w:val="20"/>
              </w:rPr>
              <w:t>por s</w:t>
            </w:r>
            <w:r w:rsidRPr="00BD1319">
              <w:rPr>
                <w:rFonts w:cs="Arial"/>
                <w:spacing w:val="-3"/>
                <w:sz w:val="20"/>
                <w:szCs w:val="20"/>
              </w:rPr>
              <w:t>iembra en superficie</w:t>
            </w:r>
          </w:p>
        </w:tc>
      </w:tr>
      <w:tr w:rsidR="00FF1FED" w:rsidRPr="00BD1319" w14:paraId="6898336F" w14:textId="77777777" w:rsidTr="00FF1FED">
        <w:trPr>
          <w:trHeight w:hRule="exact" w:val="680"/>
          <w:jc w:val="center"/>
        </w:trPr>
        <w:tc>
          <w:tcPr>
            <w:tcW w:w="1563" w:type="dxa"/>
            <w:vMerge/>
            <w:vAlign w:val="center"/>
          </w:tcPr>
          <w:p w14:paraId="1EC91795" w14:textId="77777777" w:rsidR="00FF1FED" w:rsidRPr="00BD1319" w:rsidRDefault="00FF1FED" w:rsidP="00FF1FED">
            <w:pPr>
              <w:numPr>
                <w:ilvl w:val="12"/>
                <w:numId w:val="0"/>
              </w:numPr>
              <w:tabs>
                <w:tab w:val="left" w:pos="-2268"/>
              </w:tabs>
              <w:suppressAutoHyphens/>
              <w:jc w:val="center"/>
              <w:rPr>
                <w:rFonts w:cs="Arial"/>
                <w:spacing w:val="-3"/>
                <w:sz w:val="20"/>
                <w:szCs w:val="20"/>
              </w:rPr>
            </w:pPr>
          </w:p>
        </w:tc>
        <w:tc>
          <w:tcPr>
            <w:tcW w:w="3485" w:type="dxa"/>
            <w:vAlign w:val="center"/>
            <w:hideMark/>
          </w:tcPr>
          <w:p w14:paraId="02B76704" w14:textId="4E1BE265" w:rsidR="00FF1FED" w:rsidRPr="00BD1319" w:rsidRDefault="00FF1FED" w:rsidP="00B07BDF">
            <w:pPr>
              <w:numPr>
                <w:ilvl w:val="12"/>
                <w:numId w:val="0"/>
              </w:numPr>
              <w:tabs>
                <w:tab w:val="left" w:pos="-2268"/>
              </w:tabs>
              <w:suppressAutoHyphens/>
              <w:rPr>
                <w:rFonts w:cs="Arial"/>
                <w:spacing w:val="-3"/>
                <w:sz w:val="20"/>
                <w:szCs w:val="20"/>
              </w:rPr>
            </w:pPr>
            <w:r w:rsidRPr="00BD1319">
              <w:rPr>
                <w:rFonts w:cs="Arial"/>
                <w:spacing w:val="-3"/>
                <w:sz w:val="20"/>
                <w:szCs w:val="20"/>
              </w:rPr>
              <w:t>Cuantificación de hongos y bacterias</w:t>
            </w:r>
          </w:p>
        </w:tc>
        <w:tc>
          <w:tcPr>
            <w:tcW w:w="1230" w:type="dxa"/>
            <w:vAlign w:val="center"/>
            <w:hideMark/>
          </w:tcPr>
          <w:p w14:paraId="50F7BD9F" w14:textId="65DEB742" w:rsidR="00FF1FED" w:rsidRPr="00BD1319" w:rsidRDefault="00FF1FED" w:rsidP="00224F4F">
            <w:pPr>
              <w:numPr>
                <w:ilvl w:val="12"/>
                <w:numId w:val="0"/>
              </w:numPr>
              <w:tabs>
                <w:tab w:val="left" w:pos="-2268"/>
              </w:tabs>
              <w:suppressAutoHyphens/>
              <w:jc w:val="center"/>
              <w:rPr>
                <w:rFonts w:cs="Arial"/>
                <w:spacing w:val="-3"/>
                <w:sz w:val="20"/>
                <w:szCs w:val="20"/>
              </w:rPr>
            </w:pPr>
            <w:r w:rsidRPr="00BD1319">
              <w:rPr>
                <w:rFonts w:cs="Arial"/>
                <w:spacing w:val="-3"/>
                <w:sz w:val="20"/>
                <w:szCs w:val="20"/>
              </w:rPr>
              <w:t>UFC/g suelo seco</w:t>
            </w:r>
          </w:p>
        </w:tc>
        <w:tc>
          <w:tcPr>
            <w:tcW w:w="3521" w:type="dxa"/>
            <w:vAlign w:val="center"/>
            <w:hideMark/>
          </w:tcPr>
          <w:p w14:paraId="4B326D4E" w14:textId="6105A2AF" w:rsidR="00FF1FED" w:rsidRPr="00BD1319" w:rsidRDefault="00AE05F2" w:rsidP="00B07BDF">
            <w:pPr>
              <w:numPr>
                <w:ilvl w:val="12"/>
                <w:numId w:val="0"/>
              </w:numPr>
              <w:tabs>
                <w:tab w:val="left" w:pos="-2268"/>
              </w:tabs>
              <w:suppressAutoHyphens/>
              <w:rPr>
                <w:rFonts w:cs="Arial"/>
                <w:spacing w:val="-3"/>
                <w:sz w:val="20"/>
                <w:szCs w:val="20"/>
              </w:rPr>
            </w:pPr>
            <w:r w:rsidRPr="00BD1319">
              <w:rPr>
                <w:rFonts w:cs="Arial"/>
                <w:spacing w:val="-3"/>
                <w:sz w:val="20"/>
                <w:szCs w:val="20"/>
              </w:rPr>
              <w:t>Recuento en placa por siembra en superficie</w:t>
            </w:r>
          </w:p>
        </w:tc>
      </w:tr>
      <w:tr w:rsidR="00FF1FED" w:rsidRPr="00BD1319" w14:paraId="0D26B083" w14:textId="77777777" w:rsidTr="00FF1FED">
        <w:trPr>
          <w:trHeight w:hRule="exact" w:val="680"/>
          <w:jc w:val="center"/>
        </w:trPr>
        <w:tc>
          <w:tcPr>
            <w:tcW w:w="1563" w:type="dxa"/>
            <w:vMerge/>
            <w:vAlign w:val="center"/>
          </w:tcPr>
          <w:p w14:paraId="76AB701F" w14:textId="77777777" w:rsidR="00FF1FED" w:rsidRPr="00BD1319" w:rsidRDefault="00FF1FED" w:rsidP="00FF1FED">
            <w:pPr>
              <w:numPr>
                <w:ilvl w:val="12"/>
                <w:numId w:val="0"/>
              </w:numPr>
              <w:tabs>
                <w:tab w:val="left" w:pos="-2268"/>
              </w:tabs>
              <w:suppressAutoHyphens/>
              <w:jc w:val="center"/>
              <w:rPr>
                <w:rFonts w:cs="Arial"/>
                <w:spacing w:val="-3"/>
                <w:sz w:val="20"/>
                <w:szCs w:val="20"/>
              </w:rPr>
            </w:pPr>
          </w:p>
        </w:tc>
        <w:tc>
          <w:tcPr>
            <w:tcW w:w="3485" w:type="dxa"/>
            <w:vAlign w:val="center"/>
            <w:hideMark/>
          </w:tcPr>
          <w:p w14:paraId="31FA0AF5" w14:textId="239A6F45" w:rsidR="00FF1FED" w:rsidRPr="00BD1319" w:rsidRDefault="00FF1FED" w:rsidP="00B07BDF">
            <w:pPr>
              <w:numPr>
                <w:ilvl w:val="12"/>
                <w:numId w:val="0"/>
              </w:numPr>
              <w:tabs>
                <w:tab w:val="left" w:pos="-2268"/>
              </w:tabs>
              <w:suppressAutoHyphens/>
              <w:rPr>
                <w:rFonts w:cs="Arial"/>
                <w:spacing w:val="-3"/>
                <w:sz w:val="20"/>
                <w:szCs w:val="20"/>
              </w:rPr>
            </w:pPr>
            <w:r w:rsidRPr="00BD1319">
              <w:rPr>
                <w:rFonts w:cs="Arial"/>
                <w:spacing w:val="-3"/>
                <w:sz w:val="20"/>
                <w:szCs w:val="20"/>
              </w:rPr>
              <w:t>Cuantificación de microorganismos del ciclo del nitrógeno (fijadores de nitrógeno)</w:t>
            </w:r>
          </w:p>
        </w:tc>
        <w:tc>
          <w:tcPr>
            <w:tcW w:w="1230" w:type="dxa"/>
            <w:vAlign w:val="center"/>
            <w:hideMark/>
          </w:tcPr>
          <w:p w14:paraId="6083267A" w14:textId="4760CAB0" w:rsidR="00FF1FED" w:rsidRPr="00BD1319" w:rsidRDefault="00FF1FED" w:rsidP="00224F4F">
            <w:pPr>
              <w:numPr>
                <w:ilvl w:val="12"/>
                <w:numId w:val="0"/>
              </w:numPr>
              <w:tabs>
                <w:tab w:val="left" w:pos="-2268"/>
              </w:tabs>
              <w:suppressAutoHyphens/>
              <w:jc w:val="center"/>
              <w:rPr>
                <w:rFonts w:cs="Arial"/>
                <w:spacing w:val="-3"/>
                <w:sz w:val="20"/>
                <w:szCs w:val="20"/>
              </w:rPr>
            </w:pPr>
            <w:r w:rsidRPr="00BD1319">
              <w:rPr>
                <w:rFonts w:cs="Arial"/>
                <w:spacing w:val="-3"/>
                <w:sz w:val="20"/>
                <w:szCs w:val="20"/>
              </w:rPr>
              <w:t>UFC/g suelo seco</w:t>
            </w:r>
          </w:p>
        </w:tc>
        <w:tc>
          <w:tcPr>
            <w:tcW w:w="3521" w:type="dxa"/>
            <w:vAlign w:val="center"/>
            <w:hideMark/>
          </w:tcPr>
          <w:p w14:paraId="22680F7B" w14:textId="5C4FFA8B" w:rsidR="00FF1FED" w:rsidRPr="00BD1319" w:rsidRDefault="00AE05F2" w:rsidP="00B07BDF">
            <w:pPr>
              <w:numPr>
                <w:ilvl w:val="12"/>
                <w:numId w:val="0"/>
              </w:numPr>
              <w:tabs>
                <w:tab w:val="left" w:pos="-2268"/>
              </w:tabs>
              <w:suppressAutoHyphens/>
              <w:rPr>
                <w:rFonts w:cs="Arial"/>
                <w:spacing w:val="-3"/>
                <w:sz w:val="20"/>
                <w:szCs w:val="20"/>
              </w:rPr>
            </w:pPr>
            <w:r w:rsidRPr="00BD1319">
              <w:rPr>
                <w:rFonts w:cs="Arial"/>
                <w:spacing w:val="-3"/>
                <w:sz w:val="20"/>
                <w:szCs w:val="20"/>
              </w:rPr>
              <w:t>Recuento en placa por siembra en superficie</w:t>
            </w:r>
          </w:p>
        </w:tc>
      </w:tr>
    </w:tbl>
    <w:p w14:paraId="2DB8E39A" w14:textId="77777777" w:rsidR="00224F4F" w:rsidRPr="00BD1319" w:rsidRDefault="00224F4F" w:rsidP="00F9317B">
      <w:pPr>
        <w:numPr>
          <w:ilvl w:val="12"/>
          <w:numId w:val="0"/>
        </w:numPr>
        <w:tabs>
          <w:tab w:val="left" w:pos="-2268"/>
        </w:tabs>
        <w:suppressAutoHyphens/>
        <w:rPr>
          <w:rFonts w:cs="Arial"/>
          <w:spacing w:val="-3"/>
        </w:rPr>
      </w:pPr>
    </w:p>
    <w:p w14:paraId="44A35220" w14:textId="0D90766C" w:rsidR="00F9317B" w:rsidRPr="00BD1319" w:rsidRDefault="00F9317B" w:rsidP="00F9317B">
      <w:pPr>
        <w:numPr>
          <w:ilvl w:val="12"/>
          <w:numId w:val="0"/>
        </w:numPr>
        <w:tabs>
          <w:tab w:val="left" w:pos="-2268"/>
        </w:tabs>
        <w:suppressAutoHyphens/>
        <w:rPr>
          <w:rFonts w:cs="Arial"/>
          <w:spacing w:val="-3"/>
        </w:rPr>
      </w:pPr>
      <w:r w:rsidRPr="00BD1319">
        <w:rPr>
          <w:rFonts w:cs="Arial"/>
          <w:spacing w:val="-3"/>
        </w:rPr>
        <w:t xml:space="preserve">En el reporte del análisis precisar para cada parámetro la técnica utilizada, </w:t>
      </w:r>
      <w:r w:rsidR="007B1C91" w:rsidRPr="00BD1319">
        <w:rPr>
          <w:rFonts w:cs="Arial"/>
          <w:spacing w:val="-3"/>
        </w:rPr>
        <w:t>su</w:t>
      </w:r>
      <w:r w:rsidRPr="00BD1319">
        <w:rPr>
          <w:rFonts w:cs="Arial"/>
          <w:spacing w:val="-3"/>
        </w:rPr>
        <w:t>s límites de detección y las observaciones pertinentes</w:t>
      </w:r>
      <w:r w:rsidR="00A242A5" w:rsidRPr="00BD1319">
        <w:rPr>
          <w:rFonts w:cs="Arial"/>
          <w:spacing w:val="-3"/>
        </w:rPr>
        <w:t>,</w:t>
      </w:r>
      <w:r w:rsidRPr="00BD1319">
        <w:rPr>
          <w:rFonts w:cs="Arial"/>
          <w:spacing w:val="-3"/>
        </w:rPr>
        <w:t xml:space="preserve"> </w:t>
      </w:r>
      <w:r w:rsidR="00A242A5" w:rsidRPr="00BD1319">
        <w:rPr>
          <w:rFonts w:cs="Arial"/>
          <w:spacing w:val="-3"/>
        </w:rPr>
        <w:t xml:space="preserve">adicionalmente, incluir los valores de referencia </w:t>
      </w:r>
      <w:r w:rsidR="005A4F4E" w:rsidRPr="00BD1319">
        <w:rPr>
          <w:rFonts w:cs="Arial"/>
          <w:spacing w:val="-3"/>
        </w:rPr>
        <w:t xml:space="preserve">vigentes </w:t>
      </w:r>
      <w:r w:rsidR="00A242A5" w:rsidRPr="00BD1319">
        <w:rPr>
          <w:rFonts w:cs="Arial"/>
          <w:spacing w:val="-3"/>
        </w:rPr>
        <w:t>EPA</w:t>
      </w:r>
      <w:r w:rsidRPr="00BD1319">
        <w:rPr>
          <w:rFonts w:cs="Arial"/>
          <w:spacing w:val="-3"/>
        </w:rPr>
        <w:t xml:space="preserve"> </w:t>
      </w:r>
      <w:r w:rsidR="005A4F4E" w:rsidRPr="00BD1319">
        <w:rPr>
          <w:rFonts w:cs="Arial"/>
          <w:spacing w:val="-3"/>
        </w:rPr>
        <w:t xml:space="preserve">de los Regional Screening </w:t>
      </w:r>
      <w:proofErr w:type="spellStart"/>
      <w:r w:rsidR="005A4F4E" w:rsidRPr="00BD1319">
        <w:rPr>
          <w:rFonts w:cs="Arial"/>
          <w:spacing w:val="-3"/>
        </w:rPr>
        <w:t>Levels</w:t>
      </w:r>
      <w:proofErr w:type="spellEnd"/>
      <w:r w:rsidR="005A4F4E" w:rsidRPr="00BD1319">
        <w:rPr>
          <w:rFonts w:cs="Arial"/>
          <w:spacing w:val="-3"/>
        </w:rPr>
        <w:t xml:space="preserve"> (</w:t>
      </w:r>
      <w:proofErr w:type="spellStart"/>
      <w:r w:rsidR="005A4F4E" w:rsidRPr="00BD1319">
        <w:rPr>
          <w:rFonts w:cs="Arial"/>
          <w:spacing w:val="-3"/>
        </w:rPr>
        <w:t>RSLs</w:t>
      </w:r>
      <w:proofErr w:type="spellEnd"/>
      <w:r w:rsidR="005A4F4E" w:rsidRPr="00BD1319">
        <w:rPr>
          <w:rFonts w:cs="Arial"/>
          <w:spacing w:val="-3"/>
        </w:rPr>
        <w:t>)</w:t>
      </w:r>
      <w:r w:rsidR="005A4F4E" w:rsidRPr="00BD1319">
        <w:rPr>
          <w:rFonts w:cs="Arial"/>
          <w:spacing w:val="-3"/>
          <w:vertAlign w:val="superscript"/>
        </w:rPr>
        <w:t xml:space="preserve"> </w:t>
      </w:r>
      <w:r w:rsidR="005A4F4E" w:rsidRPr="00BD1319">
        <w:rPr>
          <w:rFonts w:cs="Arial"/>
          <w:spacing w:val="-3"/>
          <w:vertAlign w:val="superscript"/>
        </w:rPr>
        <w:footnoteReference w:id="111"/>
      </w:r>
      <w:r w:rsidR="005A4F4E" w:rsidRPr="00BD1319">
        <w:rPr>
          <w:rFonts w:cs="Arial"/>
          <w:spacing w:val="-3"/>
        </w:rPr>
        <w:t xml:space="preserve"> </w:t>
      </w:r>
      <w:r w:rsidR="00A242A5" w:rsidRPr="00BD1319">
        <w:rPr>
          <w:rFonts w:cs="Arial"/>
          <w:spacing w:val="-3"/>
        </w:rPr>
        <w:t>para cada uno de los compuestos medidos</w:t>
      </w:r>
      <w:r w:rsidR="006C01F4" w:rsidRPr="00BD1319">
        <w:rPr>
          <w:rFonts w:cs="Arial"/>
          <w:spacing w:val="-3"/>
        </w:rPr>
        <w:t>, destacando los valores que resulten mayores a los establecidos en dicha norma</w:t>
      </w:r>
      <w:r w:rsidR="00A242A5" w:rsidRPr="00BD1319">
        <w:rPr>
          <w:rFonts w:cs="Arial"/>
          <w:spacing w:val="-3"/>
        </w:rPr>
        <w:t>.</w:t>
      </w:r>
      <w:r w:rsidRPr="00BD1319">
        <w:rPr>
          <w:rFonts w:cs="Arial"/>
          <w:spacing w:val="-3"/>
        </w:rPr>
        <w:t xml:space="preserve"> </w:t>
      </w:r>
      <w:r w:rsidR="00A242A5" w:rsidRPr="00BD1319">
        <w:rPr>
          <w:rFonts w:cs="Arial"/>
          <w:spacing w:val="-3"/>
        </w:rPr>
        <w:t>S</w:t>
      </w:r>
      <w:r w:rsidR="006C01F4" w:rsidRPr="00BD1319">
        <w:rPr>
          <w:rFonts w:cs="Arial"/>
          <w:spacing w:val="-3"/>
        </w:rPr>
        <w:t xml:space="preserve">i </w:t>
      </w:r>
      <w:r w:rsidRPr="00BD1319">
        <w:rPr>
          <w:rFonts w:cs="Arial"/>
          <w:spacing w:val="-3"/>
        </w:rPr>
        <w:t>con posterioridad a la adopción de esta metodología, Minambiente</w:t>
      </w:r>
      <w:r w:rsidR="006C01F4" w:rsidRPr="00BD1319">
        <w:rPr>
          <w:rFonts w:cs="Arial"/>
          <w:spacing w:val="-3"/>
        </w:rPr>
        <w:t xml:space="preserve"> establece una norma nacional sobre Límites Genéricos Basados en Riesgo (LGBR), la comparación de los valores de línea base deberá realizarse con los </w:t>
      </w:r>
      <w:r w:rsidR="00950540" w:rsidRPr="00BD1319">
        <w:rPr>
          <w:rFonts w:cs="Arial"/>
          <w:spacing w:val="-3"/>
        </w:rPr>
        <w:t xml:space="preserve">límites </w:t>
      </w:r>
      <w:r w:rsidR="00C549BD" w:rsidRPr="00BD1319">
        <w:rPr>
          <w:rFonts w:cs="Arial"/>
          <w:spacing w:val="-3"/>
        </w:rPr>
        <w:t xml:space="preserve">que </w:t>
      </w:r>
      <w:r w:rsidR="006C01F4" w:rsidRPr="00BD1319">
        <w:rPr>
          <w:rFonts w:cs="Arial"/>
          <w:spacing w:val="-3"/>
        </w:rPr>
        <w:t>en ella</w:t>
      </w:r>
      <w:r w:rsidR="00950540" w:rsidRPr="00BD1319">
        <w:rPr>
          <w:rFonts w:cs="Arial"/>
          <w:spacing w:val="-3"/>
        </w:rPr>
        <w:t xml:space="preserve"> </w:t>
      </w:r>
      <w:r w:rsidR="00C549BD" w:rsidRPr="00BD1319">
        <w:rPr>
          <w:rFonts w:cs="Arial"/>
          <w:spacing w:val="-3"/>
        </w:rPr>
        <w:t xml:space="preserve">se </w:t>
      </w:r>
      <w:r w:rsidR="00AC62B5" w:rsidRPr="00BD1319">
        <w:rPr>
          <w:rFonts w:cs="Arial"/>
          <w:spacing w:val="-3"/>
        </w:rPr>
        <w:t>estable</w:t>
      </w:r>
      <w:r w:rsidR="00C549BD" w:rsidRPr="00BD1319">
        <w:rPr>
          <w:rFonts w:cs="Arial"/>
          <w:spacing w:val="-3"/>
        </w:rPr>
        <w:t>zcan</w:t>
      </w:r>
      <w:r w:rsidRPr="00BD1319">
        <w:rPr>
          <w:rFonts w:cs="Arial"/>
          <w:spacing w:val="-3"/>
        </w:rPr>
        <w:t>.</w:t>
      </w:r>
    </w:p>
    <w:p w14:paraId="2F007DCA" w14:textId="77777777" w:rsidR="00F9317B" w:rsidRPr="00BD1319" w:rsidRDefault="00F9317B" w:rsidP="00F9317B">
      <w:pPr>
        <w:numPr>
          <w:ilvl w:val="12"/>
          <w:numId w:val="0"/>
        </w:numPr>
        <w:tabs>
          <w:tab w:val="left" w:pos="-2268"/>
        </w:tabs>
        <w:suppressAutoHyphens/>
        <w:rPr>
          <w:rFonts w:cs="Arial"/>
          <w:spacing w:val="-3"/>
        </w:rPr>
      </w:pPr>
    </w:p>
    <w:p w14:paraId="0C48BB79" w14:textId="7A1BB9AA" w:rsidR="00A04D65" w:rsidRPr="00BD1319" w:rsidRDefault="00F9317B" w:rsidP="00D17738">
      <w:pPr>
        <w:numPr>
          <w:ilvl w:val="12"/>
          <w:numId w:val="0"/>
        </w:numPr>
        <w:tabs>
          <w:tab w:val="left" w:pos="-2268"/>
        </w:tabs>
        <w:suppressAutoHyphens/>
        <w:rPr>
          <w:rFonts w:cs="Arial"/>
          <w:spacing w:val="-3"/>
        </w:rPr>
      </w:pPr>
      <w:r w:rsidRPr="00BD1319">
        <w:rPr>
          <w:rFonts w:cs="Arial"/>
          <w:spacing w:val="-3"/>
        </w:rPr>
        <w:t xml:space="preserve">Si los resultados analíticos </w:t>
      </w:r>
      <w:r w:rsidR="00A242A5" w:rsidRPr="00BD1319">
        <w:rPr>
          <w:rFonts w:cs="Arial"/>
          <w:spacing w:val="-3"/>
        </w:rPr>
        <w:t>arroja</w:t>
      </w:r>
      <w:r w:rsidR="00900A47" w:rsidRPr="00BD1319">
        <w:rPr>
          <w:rFonts w:cs="Arial"/>
          <w:spacing w:val="-3"/>
        </w:rPr>
        <w:t>n</w:t>
      </w:r>
      <w:r w:rsidR="00A242A5" w:rsidRPr="00BD1319">
        <w:rPr>
          <w:rFonts w:cs="Arial"/>
          <w:spacing w:val="-3"/>
        </w:rPr>
        <w:t xml:space="preserve"> valores vinculados a la presencia de sustancias </w:t>
      </w:r>
      <w:r w:rsidR="00C70AAE" w:rsidRPr="00BD1319">
        <w:rPr>
          <w:rFonts w:cs="Arial"/>
          <w:spacing w:val="-3"/>
        </w:rPr>
        <w:t xml:space="preserve">o con condiciones físicas </w:t>
      </w:r>
      <w:r w:rsidR="00A242A5" w:rsidRPr="00BD1319">
        <w:rPr>
          <w:rFonts w:cs="Arial"/>
          <w:spacing w:val="-3"/>
        </w:rPr>
        <w:t xml:space="preserve">que puedan </w:t>
      </w:r>
      <w:r w:rsidR="00C70AAE" w:rsidRPr="00BD1319">
        <w:rPr>
          <w:rFonts w:cs="Arial"/>
          <w:spacing w:val="-3"/>
        </w:rPr>
        <w:t xml:space="preserve">ser el resultado del </w:t>
      </w:r>
      <w:r w:rsidR="00A242A5" w:rsidRPr="00BD1319">
        <w:rPr>
          <w:rFonts w:cs="Arial"/>
          <w:spacing w:val="-3"/>
        </w:rPr>
        <w:t>desarrollo de actividades industriales previas</w:t>
      </w:r>
      <w:r w:rsidRPr="00BD1319">
        <w:rPr>
          <w:rFonts w:cs="Arial"/>
          <w:spacing w:val="-3"/>
        </w:rPr>
        <w:t xml:space="preserve">, esta situación debe ser informada </w:t>
      </w:r>
      <w:r w:rsidR="00D17738" w:rsidRPr="00BD1319">
        <w:rPr>
          <w:rFonts w:cs="Arial"/>
          <w:spacing w:val="-3"/>
        </w:rPr>
        <w:t xml:space="preserve">de inmediato </w:t>
      </w:r>
      <w:r w:rsidRPr="00BD1319">
        <w:rPr>
          <w:rFonts w:cs="Arial"/>
          <w:spacing w:val="-3"/>
        </w:rPr>
        <w:t xml:space="preserve">a la autoridad ambiental. </w:t>
      </w:r>
      <w:r w:rsidR="00D17738" w:rsidRPr="00BD1319">
        <w:rPr>
          <w:rFonts w:cs="Arial"/>
          <w:spacing w:val="-3"/>
        </w:rPr>
        <w:t>En todo caso, tales resultados deben ser incorporados en el estudio ambiental</w:t>
      </w:r>
      <w:r w:rsidR="00AB3AEA" w:rsidRPr="00BD1319">
        <w:rPr>
          <w:rFonts w:cs="Arial"/>
          <w:spacing w:val="-3"/>
        </w:rPr>
        <w:t>.</w:t>
      </w:r>
    </w:p>
    <w:p w14:paraId="6521DA1B" w14:textId="77777777" w:rsidR="00F9317B" w:rsidRPr="00BD1319" w:rsidRDefault="00F9317B" w:rsidP="00F9317B">
      <w:pPr>
        <w:numPr>
          <w:ilvl w:val="12"/>
          <w:numId w:val="0"/>
        </w:numPr>
        <w:tabs>
          <w:tab w:val="left" w:pos="-2268"/>
        </w:tabs>
        <w:suppressAutoHyphens/>
        <w:rPr>
          <w:rFonts w:cs="Arial"/>
          <w:spacing w:val="-3"/>
        </w:rPr>
      </w:pPr>
    </w:p>
    <w:p w14:paraId="5EB918FF" w14:textId="0E36C89A" w:rsidR="00F9317B" w:rsidRPr="00BD1319" w:rsidRDefault="00041D0A" w:rsidP="00F9317B">
      <w:pPr>
        <w:numPr>
          <w:ilvl w:val="12"/>
          <w:numId w:val="0"/>
        </w:numPr>
        <w:tabs>
          <w:tab w:val="left" w:pos="-2268"/>
        </w:tabs>
        <w:suppressAutoHyphens/>
        <w:rPr>
          <w:rFonts w:cs="Arial"/>
          <w:spacing w:val="-3"/>
        </w:rPr>
      </w:pPr>
      <w:r w:rsidRPr="00BD1319">
        <w:rPr>
          <w:rFonts w:cs="Arial"/>
          <w:spacing w:val="-3"/>
        </w:rPr>
        <w:t>E</w:t>
      </w:r>
      <w:r w:rsidR="00F9317B" w:rsidRPr="00BD1319">
        <w:rPr>
          <w:rFonts w:cs="Arial"/>
          <w:spacing w:val="-3"/>
        </w:rPr>
        <w:t xml:space="preserve">l análisis del estado actual de degradación de los suelos </w:t>
      </w:r>
      <w:r w:rsidRPr="00BD1319">
        <w:rPr>
          <w:rFonts w:cs="Arial"/>
          <w:spacing w:val="-3"/>
        </w:rPr>
        <w:t xml:space="preserve">se debe realizar </w:t>
      </w:r>
      <w:r w:rsidR="006452CA" w:rsidRPr="00BD1319">
        <w:rPr>
          <w:rFonts w:cs="Arial"/>
          <w:spacing w:val="-3"/>
        </w:rPr>
        <w:t>empleando como referencia</w:t>
      </w:r>
      <w:r w:rsidR="00F9317B" w:rsidRPr="00BD1319">
        <w:rPr>
          <w:rFonts w:cs="Arial"/>
          <w:spacing w:val="-3"/>
        </w:rPr>
        <w:t xml:space="preserve"> los protocolos de identificación y evaluación de la degradación de los suelos por erosión (</w:t>
      </w:r>
      <w:proofErr w:type="spellStart"/>
      <w:r w:rsidR="00A92356" w:rsidRPr="00BD1319">
        <w:rPr>
          <w:rFonts w:cs="Arial"/>
          <w:spacing w:val="-3"/>
        </w:rPr>
        <w:t>Ideam</w:t>
      </w:r>
      <w:proofErr w:type="spellEnd"/>
      <w:r w:rsidR="00A92356" w:rsidRPr="00BD1319">
        <w:rPr>
          <w:rFonts w:cs="Arial"/>
          <w:spacing w:val="-3"/>
        </w:rPr>
        <w:t>,</w:t>
      </w:r>
      <w:r w:rsidR="00F9317B" w:rsidRPr="00BD1319">
        <w:rPr>
          <w:rFonts w:cs="Arial"/>
          <w:spacing w:val="-3"/>
        </w:rPr>
        <w:t xml:space="preserve"> 2015), salinización (</w:t>
      </w:r>
      <w:proofErr w:type="spellStart"/>
      <w:r w:rsidR="00A92356" w:rsidRPr="00BD1319">
        <w:rPr>
          <w:rFonts w:cs="Arial"/>
          <w:spacing w:val="-3"/>
        </w:rPr>
        <w:t>Ideam</w:t>
      </w:r>
      <w:proofErr w:type="spellEnd"/>
      <w:r w:rsidR="00A92356" w:rsidRPr="00BD1319">
        <w:rPr>
          <w:rFonts w:cs="Arial"/>
          <w:spacing w:val="-3"/>
        </w:rPr>
        <w:t>,</w:t>
      </w:r>
      <w:r w:rsidR="00F9317B" w:rsidRPr="00BD1319">
        <w:rPr>
          <w:rFonts w:cs="Arial"/>
          <w:spacing w:val="-3"/>
        </w:rPr>
        <w:t xml:space="preserve"> 2017) y desertificación (en zonas secas) (</w:t>
      </w:r>
      <w:proofErr w:type="spellStart"/>
      <w:r w:rsidR="00A92356" w:rsidRPr="00BD1319">
        <w:rPr>
          <w:rFonts w:cs="Arial"/>
          <w:spacing w:val="-3"/>
        </w:rPr>
        <w:t>Ideam</w:t>
      </w:r>
      <w:proofErr w:type="spellEnd"/>
      <w:r w:rsidR="00A92356" w:rsidRPr="00BD1319">
        <w:rPr>
          <w:rFonts w:cs="Arial"/>
          <w:spacing w:val="-3"/>
        </w:rPr>
        <w:t>,</w:t>
      </w:r>
      <w:r w:rsidR="00F9317B" w:rsidRPr="00BD1319">
        <w:rPr>
          <w:rFonts w:cs="Arial"/>
          <w:spacing w:val="-3"/>
        </w:rPr>
        <w:t xml:space="preserve"> 201</w:t>
      </w:r>
      <w:r w:rsidR="00CC1729" w:rsidRPr="00BD1319">
        <w:rPr>
          <w:rFonts w:cs="Arial"/>
          <w:spacing w:val="-3"/>
        </w:rPr>
        <w:t>0</w:t>
      </w:r>
      <w:r w:rsidR="00F9317B" w:rsidRPr="00BD1319">
        <w:rPr>
          <w:rFonts w:cs="Arial"/>
          <w:spacing w:val="-3"/>
        </w:rPr>
        <w:t>), a nivel local</w:t>
      </w:r>
      <w:r w:rsidRPr="00BD1319">
        <w:rPr>
          <w:rFonts w:cs="Arial"/>
          <w:spacing w:val="-3"/>
        </w:rPr>
        <w:t xml:space="preserve">, </w:t>
      </w:r>
      <w:r w:rsidR="00F0355C" w:rsidRPr="00BD1319">
        <w:rPr>
          <w:rFonts w:cs="Arial"/>
          <w:spacing w:val="-3"/>
        </w:rPr>
        <w:t>determina</w:t>
      </w:r>
      <w:r w:rsidRPr="00BD1319">
        <w:rPr>
          <w:rFonts w:cs="Arial"/>
          <w:spacing w:val="-3"/>
        </w:rPr>
        <w:t>ndo</w:t>
      </w:r>
      <w:r w:rsidR="00F0355C" w:rsidRPr="00BD1319">
        <w:rPr>
          <w:rFonts w:cs="Arial"/>
          <w:spacing w:val="-3"/>
        </w:rPr>
        <w:t xml:space="preserve"> </w:t>
      </w:r>
      <w:r w:rsidR="00F9317B" w:rsidRPr="00BD1319">
        <w:rPr>
          <w:rFonts w:cs="Arial"/>
          <w:spacing w:val="-3"/>
        </w:rPr>
        <w:t>las zonas con diferentes grados de erosión, salinización o desertificación, las causas de la degradación y los impactos ocasionado</w:t>
      </w:r>
      <w:r w:rsidR="00A242A5" w:rsidRPr="00BD1319">
        <w:rPr>
          <w:rFonts w:cs="Arial"/>
          <w:spacing w:val="-3"/>
        </w:rPr>
        <w:t>s</w:t>
      </w:r>
      <w:r w:rsidR="00F9317B" w:rsidRPr="00BD1319">
        <w:rPr>
          <w:rFonts w:cs="Arial"/>
          <w:spacing w:val="-3"/>
        </w:rPr>
        <w:t>.</w:t>
      </w:r>
    </w:p>
    <w:p w14:paraId="2C777322" w14:textId="77777777" w:rsidR="006F1432" w:rsidRPr="00BD1319" w:rsidRDefault="006F1432" w:rsidP="009D132B">
      <w:pPr>
        <w:numPr>
          <w:ilvl w:val="12"/>
          <w:numId w:val="0"/>
        </w:numPr>
        <w:tabs>
          <w:tab w:val="left" w:pos="-2268"/>
        </w:tabs>
        <w:suppressAutoHyphens/>
        <w:rPr>
          <w:rFonts w:cs="Arial"/>
          <w:spacing w:val="-3"/>
        </w:rPr>
      </w:pPr>
    </w:p>
    <w:p w14:paraId="1D54FF6D" w14:textId="3FCE3AEF" w:rsidR="006F1432" w:rsidRPr="00BD1319" w:rsidRDefault="006F1432" w:rsidP="00216955">
      <w:pPr>
        <w:pStyle w:val="Ttulo3"/>
      </w:pPr>
      <w:bookmarkStart w:id="2665" w:name="_Toc32507263"/>
      <w:bookmarkStart w:id="2666" w:name="_Toc175326763"/>
      <w:r w:rsidRPr="00BD1319">
        <w:t>Uso de las tierras</w:t>
      </w:r>
      <w:bookmarkEnd w:id="2665"/>
      <w:bookmarkEnd w:id="2666"/>
    </w:p>
    <w:p w14:paraId="3E71584B" w14:textId="77777777" w:rsidR="006F1432" w:rsidRPr="00BD1319" w:rsidRDefault="006F1432" w:rsidP="009D132B">
      <w:pPr>
        <w:numPr>
          <w:ilvl w:val="12"/>
          <w:numId w:val="0"/>
        </w:numPr>
        <w:tabs>
          <w:tab w:val="left" w:pos="-2268"/>
        </w:tabs>
        <w:suppressAutoHyphens/>
        <w:rPr>
          <w:rFonts w:cs="Arial"/>
          <w:spacing w:val="-3"/>
        </w:rPr>
      </w:pPr>
    </w:p>
    <w:p w14:paraId="223AF395" w14:textId="3B4225E4" w:rsidR="006F1432" w:rsidRPr="00BD1319" w:rsidRDefault="00DA41B3" w:rsidP="006F1432">
      <w:pPr>
        <w:numPr>
          <w:ilvl w:val="12"/>
          <w:numId w:val="0"/>
        </w:numPr>
        <w:tabs>
          <w:tab w:val="left" w:pos="-2268"/>
        </w:tabs>
        <w:suppressAutoHyphens/>
        <w:rPr>
          <w:rFonts w:cs="Arial"/>
          <w:spacing w:val="-3"/>
        </w:rPr>
      </w:pPr>
      <w:r w:rsidRPr="00BD1319">
        <w:rPr>
          <w:rFonts w:cs="Arial"/>
          <w:spacing w:val="-3"/>
        </w:rPr>
        <w:t>La caracterización sobre uso de las tierras d</w:t>
      </w:r>
      <w:r w:rsidR="00F40399" w:rsidRPr="00BD1319">
        <w:rPr>
          <w:rFonts w:cs="Arial"/>
          <w:spacing w:val="-3"/>
        </w:rPr>
        <w:t xml:space="preserve">el área de influencia del </w:t>
      </w:r>
      <w:r w:rsidR="006452CA" w:rsidRPr="00BD1319">
        <w:rPr>
          <w:rFonts w:cs="Arial"/>
          <w:spacing w:val="-3"/>
        </w:rPr>
        <w:t>componente</w:t>
      </w:r>
      <w:r w:rsidRPr="00BD1319">
        <w:rPr>
          <w:rFonts w:cs="Arial"/>
          <w:spacing w:val="-3"/>
        </w:rPr>
        <w:t xml:space="preserve"> se debe realizar a partir de </w:t>
      </w:r>
      <w:r w:rsidR="006F1432" w:rsidRPr="00BD1319">
        <w:rPr>
          <w:rFonts w:cs="Arial"/>
          <w:spacing w:val="-3"/>
        </w:rPr>
        <w:t xml:space="preserve">la información </w:t>
      </w:r>
      <w:r w:rsidR="00F40399" w:rsidRPr="00BD1319">
        <w:rPr>
          <w:rFonts w:cs="Arial"/>
          <w:spacing w:val="-3"/>
        </w:rPr>
        <w:t>que se señala a continuación</w:t>
      </w:r>
      <w:r w:rsidRPr="00BD1319">
        <w:rPr>
          <w:rFonts w:cs="Arial"/>
          <w:spacing w:val="-3"/>
        </w:rPr>
        <w:t>,</w:t>
      </w:r>
      <w:r w:rsidR="00F40399" w:rsidRPr="00BD1319">
        <w:rPr>
          <w:rFonts w:cs="Arial"/>
          <w:spacing w:val="-3"/>
        </w:rPr>
        <w:t xml:space="preserve"> </w:t>
      </w:r>
      <w:r w:rsidR="006F1432" w:rsidRPr="00BD1319">
        <w:rPr>
          <w:rFonts w:cs="Arial"/>
          <w:spacing w:val="-3"/>
        </w:rPr>
        <w:t xml:space="preserve">a </w:t>
      </w:r>
      <w:r w:rsidR="00EE3F79" w:rsidRPr="00BD1319">
        <w:rPr>
          <w:rFonts w:cs="Arial"/>
          <w:spacing w:val="-3"/>
        </w:rPr>
        <w:t xml:space="preserve">la escala que </w:t>
      </w:r>
      <w:r w:rsidR="00900A47" w:rsidRPr="00BD1319">
        <w:rPr>
          <w:rFonts w:cs="Arial"/>
          <w:spacing w:val="-3"/>
        </w:rPr>
        <w:t>definan</w:t>
      </w:r>
      <w:r w:rsidR="00C817D4" w:rsidRPr="00BD1319">
        <w:rPr>
          <w:rFonts w:cs="Arial"/>
          <w:spacing w:val="-3"/>
        </w:rPr>
        <w:t xml:space="preserve"> los términos de referencia </w:t>
      </w:r>
      <w:r w:rsidR="00900A47" w:rsidRPr="00BD1319">
        <w:rPr>
          <w:rFonts w:cs="Arial"/>
          <w:spacing w:val="-3"/>
        </w:rPr>
        <w:t xml:space="preserve">o </w:t>
      </w:r>
      <w:r w:rsidR="00C817D4" w:rsidRPr="00BD1319">
        <w:rPr>
          <w:rFonts w:cs="Arial"/>
          <w:spacing w:val="-3"/>
        </w:rPr>
        <w:t xml:space="preserve">a una más detallada si </w:t>
      </w:r>
      <w:r w:rsidR="00EE3F79" w:rsidRPr="00BD1319">
        <w:rPr>
          <w:rFonts w:cs="Arial"/>
          <w:spacing w:val="-3"/>
        </w:rPr>
        <w:t>el análisis</w:t>
      </w:r>
      <w:r w:rsidR="00C817D4" w:rsidRPr="00BD1319">
        <w:rPr>
          <w:rFonts w:cs="Arial"/>
          <w:spacing w:val="-3"/>
        </w:rPr>
        <w:t xml:space="preserve"> así lo exige</w:t>
      </w:r>
      <w:r w:rsidR="006F1432" w:rsidRPr="00BD1319">
        <w:rPr>
          <w:rFonts w:cs="Arial"/>
          <w:spacing w:val="-3"/>
          <w:vertAlign w:val="superscript"/>
        </w:rPr>
        <w:footnoteReference w:id="112"/>
      </w:r>
      <w:r w:rsidR="00F40399" w:rsidRPr="00BD1319">
        <w:rPr>
          <w:rFonts w:cs="Arial"/>
          <w:spacing w:val="-3"/>
        </w:rPr>
        <w:t>;</w:t>
      </w:r>
      <w:r w:rsidR="006F1432" w:rsidRPr="00BD1319">
        <w:rPr>
          <w:rFonts w:cs="Arial"/>
          <w:spacing w:val="-3"/>
        </w:rPr>
        <w:t xml:space="preserve"> </w:t>
      </w:r>
      <w:r w:rsidR="00F40399" w:rsidRPr="00BD1319">
        <w:rPr>
          <w:rFonts w:cs="Arial"/>
          <w:spacing w:val="-3"/>
        </w:rPr>
        <w:lastRenderedPageBreak/>
        <w:t>si esta información no existe,</w:t>
      </w:r>
      <w:r w:rsidR="006F1432" w:rsidRPr="00BD1319">
        <w:rPr>
          <w:rFonts w:cs="Arial"/>
          <w:spacing w:val="-3"/>
        </w:rPr>
        <w:t xml:space="preserve"> </w:t>
      </w:r>
      <w:r w:rsidR="00C817D4" w:rsidRPr="00BD1319">
        <w:rPr>
          <w:rFonts w:cs="Arial"/>
          <w:spacing w:val="-3"/>
        </w:rPr>
        <w:t>es</w:t>
      </w:r>
      <w:r w:rsidR="006F1432" w:rsidRPr="00BD1319">
        <w:rPr>
          <w:rFonts w:cs="Arial"/>
          <w:spacing w:val="-3"/>
        </w:rPr>
        <w:t xml:space="preserve"> necesario levantar</w:t>
      </w:r>
      <w:r w:rsidR="00F40399" w:rsidRPr="00BD1319">
        <w:rPr>
          <w:rFonts w:cs="Arial"/>
          <w:spacing w:val="-3"/>
        </w:rPr>
        <w:t>la</w:t>
      </w:r>
      <w:r w:rsidR="006F1432" w:rsidRPr="00BD1319">
        <w:rPr>
          <w:rFonts w:cs="Arial"/>
          <w:spacing w:val="-3"/>
        </w:rPr>
        <w:t xml:space="preserve"> en campo de acuerdo con las metodologías </w:t>
      </w:r>
      <w:r w:rsidR="00F40399" w:rsidRPr="00BD1319">
        <w:rPr>
          <w:rFonts w:cs="Arial"/>
          <w:spacing w:val="-3"/>
        </w:rPr>
        <w:t>que apliquen</w:t>
      </w:r>
      <w:r w:rsidR="006F1432" w:rsidRPr="00BD1319">
        <w:rPr>
          <w:rFonts w:cs="Arial"/>
          <w:spacing w:val="-3"/>
        </w:rPr>
        <w:t xml:space="preserve"> </w:t>
      </w:r>
      <w:r w:rsidR="00F40399" w:rsidRPr="00BD1319">
        <w:rPr>
          <w:rFonts w:cs="Arial"/>
          <w:spacing w:val="-3"/>
        </w:rPr>
        <w:t>(</w:t>
      </w:r>
      <w:r w:rsidR="006F1432" w:rsidRPr="00BD1319">
        <w:rPr>
          <w:rFonts w:cs="Arial"/>
          <w:spacing w:val="-3"/>
        </w:rPr>
        <w:t xml:space="preserve">IGAC o </w:t>
      </w:r>
      <w:proofErr w:type="spellStart"/>
      <w:r w:rsidR="00A92356" w:rsidRPr="00BD1319">
        <w:rPr>
          <w:rFonts w:cs="Arial"/>
          <w:spacing w:val="-3"/>
        </w:rPr>
        <w:t>Ideam</w:t>
      </w:r>
      <w:proofErr w:type="spellEnd"/>
      <w:r w:rsidR="00F40399" w:rsidRPr="00BD1319">
        <w:rPr>
          <w:rFonts w:cs="Arial"/>
          <w:spacing w:val="-3"/>
        </w:rPr>
        <w:t>)</w:t>
      </w:r>
      <w:r w:rsidR="006F1432" w:rsidRPr="00BD1319">
        <w:rPr>
          <w:rFonts w:cs="Arial"/>
          <w:spacing w:val="-3"/>
        </w:rPr>
        <w:t>.</w:t>
      </w:r>
    </w:p>
    <w:p w14:paraId="4A9F6C6D" w14:textId="77777777" w:rsidR="006F1432" w:rsidRPr="00BD1319" w:rsidRDefault="006F1432" w:rsidP="006F1432">
      <w:pPr>
        <w:numPr>
          <w:ilvl w:val="12"/>
          <w:numId w:val="0"/>
        </w:numPr>
        <w:tabs>
          <w:tab w:val="left" w:pos="-2268"/>
        </w:tabs>
        <w:suppressAutoHyphens/>
        <w:rPr>
          <w:rFonts w:cs="Arial"/>
          <w:spacing w:val="-3"/>
        </w:rPr>
      </w:pPr>
    </w:p>
    <w:p w14:paraId="610F6E82" w14:textId="7287FC90" w:rsidR="006F1432" w:rsidRPr="00BD1319" w:rsidRDefault="006F1432" w:rsidP="006F1432">
      <w:pPr>
        <w:numPr>
          <w:ilvl w:val="0"/>
          <w:numId w:val="369"/>
        </w:numPr>
        <w:tabs>
          <w:tab w:val="left" w:pos="-2268"/>
        </w:tabs>
        <w:suppressAutoHyphens/>
        <w:ind w:left="567" w:hanging="567"/>
        <w:rPr>
          <w:rFonts w:cs="Arial"/>
          <w:spacing w:val="-3"/>
        </w:rPr>
      </w:pPr>
      <w:r w:rsidRPr="00BD1319">
        <w:rPr>
          <w:rFonts w:cs="Arial"/>
          <w:spacing w:val="-3"/>
        </w:rPr>
        <w:t xml:space="preserve">Mapa digital de capacidad de uso de la tierra (IGAC): este mapa debe elaborarse con la información obtenida en el numeral </w:t>
      </w:r>
      <w:r w:rsidR="002C01F4" w:rsidRPr="00BD1319">
        <w:rPr>
          <w:rFonts w:cs="Arial"/>
          <w:spacing w:val="-3"/>
        </w:rPr>
        <w:fldChar w:fldCharType="begin"/>
      </w:r>
      <w:r w:rsidR="002C01F4" w:rsidRPr="00BD1319">
        <w:rPr>
          <w:rFonts w:cs="Arial"/>
          <w:spacing w:val="-3"/>
        </w:rPr>
        <w:instrText xml:space="preserve"> REF _Ref81911641 \r \h </w:instrText>
      </w:r>
      <w:r w:rsidR="006E49D4" w:rsidRPr="00BD1319">
        <w:rPr>
          <w:rFonts w:cs="Arial"/>
          <w:spacing w:val="-3"/>
        </w:rPr>
        <w:instrText xml:space="preserve"> \* MERGEFORMAT </w:instrText>
      </w:r>
      <w:r w:rsidR="002C01F4" w:rsidRPr="00BD1319">
        <w:rPr>
          <w:rFonts w:cs="Arial"/>
          <w:spacing w:val="-3"/>
        </w:rPr>
      </w:r>
      <w:r w:rsidR="002C01F4" w:rsidRPr="00BD1319">
        <w:rPr>
          <w:rFonts w:cs="Arial"/>
          <w:spacing w:val="-3"/>
        </w:rPr>
        <w:fldChar w:fldCharType="separate"/>
      </w:r>
      <w:r w:rsidR="00296654" w:rsidRPr="00BD1319">
        <w:rPr>
          <w:rFonts w:cs="Arial"/>
          <w:spacing w:val="-3"/>
        </w:rPr>
        <w:t>4.1.2</w:t>
      </w:r>
      <w:r w:rsidR="002C01F4" w:rsidRPr="00BD1319">
        <w:rPr>
          <w:rFonts w:cs="Arial"/>
          <w:spacing w:val="-3"/>
        </w:rPr>
        <w:fldChar w:fldCharType="end"/>
      </w:r>
      <w:r w:rsidR="002C01F4" w:rsidRPr="00BD1319">
        <w:rPr>
          <w:rFonts w:cs="Arial"/>
          <w:spacing w:val="-3"/>
        </w:rPr>
        <w:t xml:space="preserve"> </w:t>
      </w:r>
      <w:r w:rsidRPr="00BD1319">
        <w:rPr>
          <w:rFonts w:cs="Arial"/>
          <w:spacing w:val="-3"/>
        </w:rPr>
        <w:t xml:space="preserve">de </w:t>
      </w:r>
      <w:r w:rsidR="002C01F4" w:rsidRPr="00BD1319">
        <w:rPr>
          <w:rFonts w:cs="Arial"/>
          <w:spacing w:val="-3"/>
        </w:rPr>
        <w:t>este capítulo</w:t>
      </w:r>
      <w:r w:rsidRPr="00BD1319">
        <w:rPr>
          <w:rFonts w:cs="Arial"/>
          <w:spacing w:val="-3"/>
        </w:rPr>
        <w:t xml:space="preserve">, y </w:t>
      </w:r>
      <w:r w:rsidR="00DA41B3" w:rsidRPr="00BD1319">
        <w:rPr>
          <w:rFonts w:cs="Arial"/>
          <w:spacing w:val="-3"/>
        </w:rPr>
        <w:t xml:space="preserve">en él se deben </w:t>
      </w:r>
      <w:r w:rsidRPr="00BD1319">
        <w:rPr>
          <w:rFonts w:cs="Arial"/>
          <w:spacing w:val="-3"/>
        </w:rPr>
        <w:t xml:space="preserve">establecer </w:t>
      </w:r>
      <w:r w:rsidR="00EF0F48" w:rsidRPr="00BD1319">
        <w:rPr>
          <w:rFonts w:cs="Arial"/>
          <w:spacing w:val="-3"/>
        </w:rPr>
        <w:t>unidades cartográficas de suelos</w:t>
      </w:r>
      <w:r w:rsidRPr="00BD1319">
        <w:rPr>
          <w:rFonts w:cs="Arial"/>
          <w:spacing w:val="-3"/>
        </w:rPr>
        <w:t xml:space="preserve"> que incluyan la clase, subclase y grupo de manejo, siguiendo la </w:t>
      </w:r>
      <w:r w:rsidR="006452CA" w:rsidRPr="00BD1319">
        <w:rPr>
          <w:rFonts w:cs="Arial"/>
          <w:spacing w:val="-3"/>
        </w:rPr>
        <w:t xml:space="preserve">versión vigente de la </w:t>
      </w:r>
      <w:r w:rsidRPr="00BD1319">
        <w:rPr>
          <w:rFonts w:cs="Arial"/>
          <w:spacing w:val="-3"/>
        </w:rPr>
        <w:t xml:space="preserve">Metodología para la clasificación de las tierras por su capacidad de uso del IGAC, con el fin de </w:t>
      </w:r>
      <w:r w:rsidR="00F0355C" w:rsidRPr="00BD1319">
        <w:rPr>
          <w:rFonts w:cs="Arial"/>
          <w:spacing w:val="-3"/>
        </w:rPr>
        <w:t xml:space="preserve">determinar </w:t>
      </w:r>
      <w:r w:rsidRPr="00BD1319">
        <w:rPr>
          <w:rFonts w:cs="Arial"/>
          <w:spacing w:val="-3"/>
        </w:rPr>
        <w:t>las principales limitantes del suelo que los hacen más vulnerables a la degradación.</w:t>
      </w:r>
    </w:p>
    <w:p w14:paraId="280F540F" w14:textId="77777777" w:rsidR="006F1432" w:rsidRPr="00BD1319" w:rsidRDefault="006F1432" w:rsidP="006F1432">
      <w:pPr>
        <w:numPr>
          <w:ilvl w:val="12"/>
          <w:numId w:val="0"/>
        </w:numPr>
        <w:tabs>
          <w:tab w:val="left" w:pos="-2268"/>
        </w:tabs>
        <w:suppressAutoHyphens/>
        <w:ind w:left="567" w:hanging="567"/>
        <w:rPr>
          <w:rFonts w:cs="Arial"/>
          <w:spacing w:val="-3"/>
        </w:rPr>
      </w:pPr>
    </w:p>
    <w:p w14:paraId="6F188D53" w14:textId="45B999F7" w:rsidR="006F1432" w:rsidRPr="00BD1319" w:rsidRDefault="006F1432" w:rsidP="006F1432">
      <w:pPr>
        <w:numPr>
          <w:ilvl w:val="0"/>
          <w:numId w:val="369"/>
        </w:numPr>
        <w:tabs>
          <w:tab w:val="left" w:pos="-2268"/>
        </w:tabs>
        <w:suppressAutoHyphens/>
        <w:ind w:left="567" w:hanging="567"/>
        <w:rPr>
          <w:rFonts w:cs="Arial"/>
          <w:spacing w:val="-3"/>
        </w:rPr>
      </w:pPr>
      <w:r w:rsidRPr="00BD1319">
        <w:rPr>
          <w:rFonts w:cs="Arial"/>
          <w:spacing w:val="-3"/>
        </w:rPr>
        <w:t xml:space="preserve">Mapa de uso actual: debe elaborarse </w:t>
      </w:r>
      <w:r w:rsidR="009654DC" w:rsidRPr="00BD1319">
        <w:rPr>
          <w:rFonts w:cs="Arial"/>
          <w:spacing w:val="-3"/>
        </w:rPr>
        <w:t xml:space="preserve">a partir de </w:t>
      </w:r>
      <w:r w:rsidRPr="00BD1319">
        <w:rPr>
          <w:rFonts w:cs="Arial"/>
          <w:spacing w:val="-3"/>
        </w:rPr>
        <w:t>la</w:t>
      </w:r>
      <w:r w:rsidR="00C817D4" w:rsidRPr="00BD1319">
        <w:rPr>
          <w:rFonts w:cs="Arial"/>
          <w:spacing w:val="-3"/>
        </w:rPr>
        <w:t>s coberturas de la tierra identificadas mediante la aplicación de la</w:t>
      </w:r>
      <w:r w:rsidRPr="00BD1319">
        <w:rPr>
          <w:rFonts w:cs="Arial"/>
          <w:spacing w:val="-3"/>
        </w:rPr>
        <w:t xml:space="preserve"> metodología Corine </w:t>
      </w:r>
      <w:proofErr w:type="spellStart"/>
      <w:r w:rsidRPr="00BD1319">
        <w:rPr>
          <w:rFonts w:cs="Arial"/>
          <w:spacing w:val="-3"/>
        </w:rPr>
        <w:t>Land</w:t>
      </w:r>
      <w:proofErr w:type="spellEnd"/>
      <w:r w:rsidRPr="00BD1319">
        <w:rPr>
          <w:rFonts w:cs="Arial"/>
          <w:spacing w:val="-3"/>
        </w:rPr>
        <w:t xml:space="preserve"> </w:t>
      </w:r>
      <w:proofErr w:type="spellStart"/>
      <w:r w:rsidRPr="00BD1319">
        <w:rPr>
          <w:rFonts w:cs="Arial"/>
          <w:spacing w:val="-3"/>
        </w:rPr>
        <w:t>Cover</w:t>
      </w:r>
      <w:proofErr w:type="spellEnd"/>
      <w:r w:rsidRPr="00BD1319">
        <w:rPr>
          <w:rFonts w:cs="Arial"/>
          <w:spacing w:val="-3"/>
        </w:rPr>
        <w:t xml:space="preserve"> adaptada para Colombia (</w:t>
      </w:r>
      <w:proofErr w:type="spellStart"/>
      <w:r w:rsidR="00A92356" w:rsidRPr="00BD1319">
        <w:rPr>
          <w:rFonts w:cs="Arial"/>
          <w:spacing w:val="-3"/>
        </w:rPr>
        <w:t>Ideam</w:t>
      </w:r>
      <w:proofErr w:type="spellEnd"/>
      <w:r w:rsidRPr="00BD1319">
        <w:rPr>
          <w:rFonts w:cs="Arial"/>
          <w:spacing w:val="-3"/>
        </w:rPr>
        <w:t>, 2010)</w:t>
      </w:r>
      <w:r w:rsidR="00B876CD" w:rsidRPr="00BD1319">
        <w:rPr>
          <w:rFonts w:cs="Arial"/>
          <w:spacing w:val="-3"/>
        </w:rPr>
        <w:t xml:space="preserve"> o sus versiones oficiales posteriores</w:t>
      </w:r>
      <w:r w:rsidRPr="00BD1319">
        <w:rPr>
          <w:rFonts w:cs="Arial"/>
          <w:spacing w:val="-3"/>
        </w:rPr>
        <w:t xml:space="preserve">, la fotointerpretación e interpretación de imágenes de satélite (sensores remotos) y del control de campo. Asimismo, el mapa debe </w:t>
      </w:r>
      <w:r w:rsidR="00DA41B3" w:rsidRPr="00BD1319">
        <w:rPr>
          <w:rFonts w:cs="Arial"/>
          <w:spacing w:val="-3"/>
        </w:rPr>
        <w:t xml:space="preserve">incorporar </w:t>
      </w:r>
      <w:r w:rsidRPr="00BD1319">
        <w:rPr>
          <w:rFonts w:cs="Arial"/>
          <w:spacing w:val="-3"/>
        </w:rPr>
        <w:t>información sobre el estado actual de los suelos (degradación por erosión, salinización, desertificación, entre otros) con base en información primaria y secundaria.</w:t>
      </w:r>
    </w:p>
    <w:p w14:paraId="1BF2AD1B" w14:textId="77777777" w:rsidR="006F1432" w:rsidRPr="00BD1319" w:rsidRDefault="006F1432" w:rsidP="006F1432">
      <w:pPr>
        <w:numPr>
          <w:ilvl w:val="12"/>
          <w:numId w:val="0"/>
        </w:numPr>
        <w:tabs>
          <w:tab w:val="left" w:pos="-2268"/>
        </w:tabs>
        <w:suppressAutoHyphens/>
        <w:ind w:left="567" w:hanging="567"/>
        <w:rPr>
          <w:rFonts w:cs="Arial"/>
          <w:spacing w:val="-3"/>
        </w:rPr>
      </w:pPr>
    </w:p>
    <w:p w14:paraId="47E79357" w14:textId="0705291C" w:rsidR="006F1432" w:rsidRPr="00BD1319" w:rsidRDefault="006F1432" w:rsidP="006F1432">
      <w:pPr>
        <w:numPr>
          <w:ilvl w:val="0"/>
          <w:numId w:val="369"/>
        </w:numPr>
        <w:tabs>
          <w:tab w:val="left" w:pos="-2268"/>
        </w:tabs>
        <w:suppressAutoHyphens/>
        <w:ind w:left="567" w:hanging="567"/>
        <w:rPr>
          <w:rFonts w:cs="Arial"/>
          <w:spacing w:val="-3"/>
        </w:rPr>
      </w:pPr>
      <w:r w:rsidRPr="00BD1319">
        <w:rPr>
          <w:rFonts w:cs="Arial"/>
          <w:spacing w:val="-3"/>
        </w:rPr>
        <w:t xml:space="preserve">Mapa de uso </w:t>
      </w:r>
      <w:r w:rsidR="002C3A82" w:rsidRPr="00BD1319">
        <w:rPr>
          <w:rFonts w:cs="Arial"/>
          <w:spacing w:val="-3"/>
        </w:rPr>
        <w:t>del suelo:</w:t>
      </w:r>
      <w:r w:rsidRPr="00BD1319">
        <w:rPr>
          <w:rFonts w:cs="Arial"/>
          <w:spacing w:val="-3"/>
        </w:rPr>
        <w:t xml:space="preserve"> debe</w:t>
      </w:r>
      <w:r w:rsidR="007B24D9" w:rsidRPr="00BD1319">
        <w:rPr>
          <w:rFonts w:cs="Arial"/>
          <w:spacing w:val="-3"/>
        </w:rPr>
        <w:t xml:space="preserve"> elaborarse a partir de </w:t>
      </w:r>
      <w:r w:rsidRPr="00BD1319">
        <w:rPr>
          <w:rFonts w:cs="Arial"/>
          <w:spacing w:val="-3"/>
        </w:rPr>
        <w:t xml:space="preserve">los usos </w:t>
      </w:r>
      <w:r w:rsidR="000E0F1F" w:rsidRPr="00BD1319">
        <w:rPr>
          <w:rFonts w:cs="Arial"/>
          <w:spacing w:val="-3"/>
        </w:rPr>
        <w:t xml:space="preserve">principales, compatibles, complementarios, restringidos y prohibidos del suelo </w:t>
      </w:r>
      <w:r w:rsidRPr="00BD1319">
        <w:rPr>
          <w:rFonts w:cs="Arial"/>
          <w:spacing w:val="-3"/>
        </w:rPr>
        <w:t>establecido</w:t>
      </w:r>
      <w:r w:rsidR="007B24D9" w:rsidRPr="00BD1319">
        <w:rPr>
          <w:rFonts w:cs="Arial"/>
          <w:spacing w:val="-3"/>
        </w:rPr>
        <w:t>s</w:t>
      </w:r>
      <w:r w:rsidRPr="00BD1319">
        <w:rPr>
          <w:rFonts w:cs="Arial"/>
          <w:spacing w:val="-3"/>
        </w:rPr>
        <w:t xml:space="preserve"> en los instrumentos de ordenamiento territorial (POT, PBOT</w:t>
      </w:r>
      <w:r w:rsidR="000E0F1F" w:rsidRPr="00BD1319">
        <w:rPr>
          <w:rFonts w:cs="Arial"/>
          <w:spacing w:val="-3"/>
        </w:rPr>
        <w:t xml:space="preserve"> y</w:t>
      </w:r>
      <w:r w:rsidRPr="00BD1319">
        <w:rPr>
          <w:rFonts w:cs="Arial"/>
          <w:spacing w:val="-3"/>
        </w:rPr>
        <w:t xml:space="preserve"> EOT)</w:t>
      </w:r>
      <w:r w:rsidR="000A43B6" w:rsidRPr="00BD1319">
        <w:rPr>
          <w:rFonts w:cs="Arial"/>
          <w:spacing w:val="-3"/>
        </w:rPr>
        <w:t>.</w:t>
      </w:r>
    </w:p>
    <w:p w14:paraId="053C26D6" w14:textId="77777777" w:rsidR="003C2090" w:rsidRPr="00BD1319" w:rsidRDefault="003C2090" w:rsidP="009420F5">
      <w:pPr>
        <w:rPr>
          <w:rFonts w:cs="Arial"/>
          <w:spacing w:val="-3"/>
        </w:rPr>
      </w:pPr>
    </w:p>
    <w:p w14:paraId="2AF20F5E" w14:textId="08369AAF" w:rsidR="003C2090" w:rsidRPr="00BD1319" w:rsidRDefault="003C2090" w:rsidP="009420F5">
      <w:pPr>
        <w:pStyle w:val="Prrafodelista"/>
        <w:numPr>
          <w:ilvl w:val="0"/>
          <w:numId w:val="369"/>
        </w:numPr>
        <w:ind w:left="567" w:hanging="567"/>
        <w:rPr>
          <w:rFonts w:cs="Arial"/>
          <w:spacing w:val="-3"/>
          <w:lang w:val="es-CO"/>
        </w:rPr>
      </w:pPr>
      <w:r w:rsidRPr="00BD1319">
        <w:rPr>
          <w:rFonts w:cs="Arial"/>
          <w:spacing w:val="-3"/>
          <w:lang w:val="es-CO"/>
        </w:rPr>
        <w:t>Mapa de zonificación de manejo de áreas protegidas y mapa de zonificación de manejo de ecosistemas estratégicos</w:t>
      </w:r>
      <w:r w:rsidR="009654DC" w:rsidRPr="00BD1319">
        <w:rPr>
          <w:rFonts w:cs="Arial"/>
          <w:spacing w:val="-3"/>
          <w:lang w:val="es-CO"/>
        </w:rPr>
        <w:t xml:space="preserve">, en caso de que existan para las áreas protegidas o los ecosistemas estratégicos identificados en el área de </w:t>
      </w:r>
      <w:r w:rsidR="000A6427" w:rsidRPr="00BD1319">
        <w:rPr>
          <w:rFonts w:cs="Arial"/>
          <w:spacing w:val="-3"/>
          <w:lang w:val="es-CO"/>
        </w:rPr>
        <w:t>influencia</w:t>
      </w:r>
      <w:r w:rsidR="009654DC" w:rsidRPr="00BD1319">
        <w:rPr>
          <w:rStyle w:val="Refdenotaalpie"/>
          <w:rFonts w:cs="Arial"/>
          <w:spacing w:val="-3"/>
          <w:lang w:val="es-CO"/>
        </w:rPr>
        <w:footnoteReference w:id="113"/>
      </w:r>
      <w:r w:rsidR="009654DC" w:rsidRPr="00BD1319">
        <w:rPr>
          <w:rFonts w:cs="Arial"/>
          <w:spacing w:val="-3"/>
          <w:lang w:val="es-CO"/>
        </w:rPr>
        <w:t>.</w:t>
      </w:r>
    </w:p>
    <w:p w14:paraId="5CC43263" w14:textId="77777777" w:rsidR="0099788E" w:rsidRPr="00BD1319" w:rsidRDefault="0099788E" w:rsidP="008A4FE9">
      <w:pPr>
        <w:rPr>
          <w:rFonts w:cs="Arial"/>
          <w:spacing w:val="-3"/>
        </w:rPr>
      </w:pPr>
    </w:p>
    <w:p w14:paraId="6279D2BF" w14:textId="599C4ADE" w:rsidR="00A524CE" w:rsidRPr="00BD1319" w:rsidRDefault="00A524CE" w:rsidP="00A524CE">
      <w:pPr>
        <w:pStyle w:val="Prrafodelista"/>
        <w:numPr>
          <w:ilvl w:val="0"/>
          <w:numId w:val="345"/>
        </w:numPr>
        <w:ind w:left="567" w:hanging="567"/>
        <w:rPr>
          <w:szCs w:val="23"/>
          <w:lang w:val="es-CO" w:eastAsia="es-CO"/>
        </w:rPr>
      </w:pPr>
      <w:r w:rsidRPr="00BD1319">
        <w:rPr>
          <w:szCs w:val="23"/>
          <w:lang w:val="es-CO" w:eastAsia="es-CO"/>
        </w:rPr>
        <w:t>Mapa digital de oferta ambiental: representa las áreas de oferta ambiental que resulta de la suma de los bienes, funciones y servicios provistos por los sistemas naturales, transformados y los sistemas antrópicos, determinados a partir del levantamiento general de suelos a escala 1:100.000. Contiene la clasificación de las áreas de conservación y protección ambiental, las áreas de producción agrícola, ganadera y explotación de recursos naturales, las áreas de susceptibilidad y amenazas y las áreas consideradas como de patrimonio cultural de la Nación.</w:t>
      </w:r>
    </w:p>
    <w:p w14:paraId="44EA1022" w14:textId="77777777" w:rsidR="00A524CE" w:rsidRPr="00BD1319" w:rsidRDefault="00A524CE" w:rsidP="00A524CE">
      <w:pPr>
        <w:rPr>
          <w:rFonts w:cs="Arial"/>
          <w:spacing w:val="-3"/>
        </w:rPr>
      </w:pPr>
    </w:p>
    <w:p w14:paraId="52DB9693" w14:textId="5BF100A3" w:rsidR="00A524CE" w:rsidRPr="00BD1319" w:rsidRDefault="00A524CE" w:rsidP="00A524CE">
      <w:pPr>
        <w:pStyle w:val="Prrafodelista"/>
        <w:numPr>
          <w:ilvl w:val="0"/>
          <w:numId w:val="345"/>
        </w:numPr>
        <w:ind w:left="567" w:hanging="567"/>
        <w:rPr>
          <w:szCs w:val="23"/>
          <w:lang w:val="es-CO" w:eastAsia="es-CO"/>
        </w:rPr>
      </w:pPr>
      <w:r w:rsidRPr="00BD1319">
        <w:rPr>
          <w:szCs w:val="23"/>
          <w:lang w:val="es-CO" w:eastAsia="es-CO"/>
        </w:rPr>
        <w:t xml:space="preserve">Mapa digital de conflictos de uso: representa la distribución de los tipos de conflictos de uso del territorio, generados a partir del análisis de oferta y demanda ambientales, expresados como una correspondencia entre el uso </w:t>
      </w:r>
      <w:r w:rsidRPr="00BD1319">
        <w:rPr>
          <w:szCs w:val="23"/>
          <w:lang w:val="es-CO" w:eastAsia="es-CO"/>
        </w:rPr>
        <w:lastRenderedPageBreak/>
        <w:t>actual y el potencial recomendado, o como la discrepancia entre éstos por sub o sobreutilización del medio natural.</w:t>
      </w:r>
    </w:p>
    <w:p w14:paraId="6B8E2438" w14:textId="77777777" w:rsidR="00A524CE" w:rsidRPr="00BD1319" w:rsidRDefault="00A524CE" w:rsidP="008A4FE9">
      <w:pPr>
        <w:rPr>
          <w:color w:val="000000"/>
          <w:szCs w:val="23"/>
          <w:lang w:eastAsia="es-CO"/>
        </w:rPr>
      </w:pPr>
    </w:p>
    <w:p w14:paraId="56C81C56" w14:textId="0D46AE01" w:rsidR="00A524CE" w:rsidRPr="00BD1319" w:rsidRDefault="00A524CE" w:rsidP="00A524CE">
      <w:pPr>
        <w:pStyle w:val="Prrafodelista"/>
        <w:numPr>
          <w:ilvl w:val="0"/>
          <w:numId w:val="345"/>
        </w:numPr>
        <w:ind w:left="567" w:hanging="567"/>
        <w:rPr>
          <w:color w:val="000000"/>
          <w:szCs w:val="23"/>
          <w:lang w:val="es-CO" w:eastAsia="es-CO"/>
        </w:rPr>
      </w:pPr>
      <w:r w:rsidRPr="00BD1319">
        <w:rPr>
          <w:bCs/>
          <w:color w:val="000000"/>
          <w:szCs w:val="23"/>
          <w:lang w:val="es-CO" w:eastAsia="es-CO"/>
        </w:rPr>
        <w:t xml:space="preserve">Mapa de zonificación de manejo de áreas protegidas y mapa de zonificación de manejo de ecosistemas estratégicos, </w:t>
      </w:r>
      <w:r w:rsidRPr="00BD1319">
        <w:rPr>
          <w:rFonts w:cs="Arial"/>
          <w:spacing w:val="-3"/>
          <w:lang w:val="es-CO"/>
        </w:rPr>
        <w:t>en caso de que existan para las áreas protegidas o los ecosistemas estratégicos identificados en el área de estudio</w:t>
      </w:r>
      <w:r w:rsidRPr="00BD1319">
        <w:rPr>
          <w:rStyle w:val="Refdenotaalpie"/>
          <w:rFonts w:cs="Arial"/>
          <w:spacing w:val="-3"/>
          <w:lang w:val="es-CO"/>
        </w:rPr>
        <w:footnoteReference w:id="114"/>
      </w:r>
      <w:r w:rsidRPr="00BD1319">
        <w:rPr>
          <w:color w:val="000000"/>
          <w:szCs w:val="23"/>
          <w:lang w:val="es-CO" w:eastAsia="es-CO"/>
        </w:rPr>
        <w:t>.</w:t>
      </w:r>
    </w:p>
    <w:p w14:paraId="0E28EB67" w14:textId="77777777" w:rsidR="00A524CE" w:rsidRPr="00BD1319" w:rsidRDefault="00A524CE" w:rsidP="00A524CE">
      <w:pPr>
        <w:rPr>
          <w:rFonts w:cs="Arial"/>
          <w:spacing w:val="-3"/>
        </w:rPr>
      </w:pPr>
    </w:p>
    <w:p w14:paraId="539734BC" w14:textId="55800834" w:rsidR="0099788E" w:rsidRPr="00BD1319" w:rsidRDefault="0099788E">
      <w:pPr>
        <w:numPr>
          <w:ilvl w:val="12"/>
          <w:numId w:val="0"/>
        </w:numPr>
        <w:tabs>
          <w:tab w:val="left" w:pos="-2268"/>
        </w:tabs>
        <w:suppressAutoHyphens/>
        <w:rPr>
          <w:rFonts w:cs="Arial"/>
          <w:spacing w:val="-3"/>
        </w:rPr>
      </w:pPr>
      <w:r w:rsidRPr="00BD1319">
        <w:rPr>
          <w:bCs/>
          <w:color w:val="000000"/>
          <w:szCs w:val="23"/>
          <w:lang w:eastAsia="es-CO"/>
        </w:rPr>
        <w:t xml:space="preserve">Con el objeto de que se analice la información existente es necesario elaborar un mapa de </w:t>
      </w:r>
      <w:r w:rsidRPr="00BD1319">
        <w:rPr>
          <w:bCs/>
          <w:i/>
          <w:iCs/>
          <w:color w:val="000000"/>
          <w:szCs w:val="23"/>
          <w:lang w:eastAsia="es-CO"/>
        </w:rPr>
        <w:t>conflicto ambiental en el uso de las tierras,</w:t>
      </w:r>
      <w:r w:rsidRPr="00BD1319">
        <w:rPr>
          <w:bCs/>
          <w:color w:val="000000"/>
          <w:szCs w:val="23"/>
          <w:lang w:eastAsia="es-CO"/>
        </w:rPr>
        <w:t xml:space="preserve"> a partir de la información sobre condiciones de uso, capacidad y conflicto de uso, oferta ambiental, áreas protegidas, áreas de interés por zonas con potencial de degradación por salinización o erosión, que permita obtener el porcentaje de área con conflicto ambiental en el uso de las tierras.</w:t>
      </w:r>
    </w:p>
    <w:p w14:paraId="2F90BAF7" w14:textId="3D7912A2" w:rsidR="009D132B" w:rsidRPr="00BD1319" w:rsidRDefault="009D132B" w:rsidP="009D132B">
      <w:pPr>
        <w:numPr>
          <w:ilvl w:val="12"/>
          <w:numId w:val="0"/>
        </w:numPr>
        <w:tabs>
          <w:tab w:val="left" w:pos="-2268"/>
        </w:tabs>
        <w:suppressAutoHyphens/>
        <w:rPr>
          <w:rFonts w:cs="Arial"/>
          <w:spacing w:val="-3"/>
        </w:rPr>
      </w:pPr>
    </w:p>
    <w:p w14:paraId="56A3D805" w14:textId="77777777" w:rsidR="009D132B" w:rsidRPr="00BD1319" w:rsidRDefault="009D132B" w:rsidP="00216955">
      <w:pPr>
        <w:pStyle w:val="Ttulo3"/>
      </w:pPr>
      <w:bookmarkStart w:id="2667" w:name="_Toc43485704"/>
      <w:bookmarkStart w:id="2668" w:name="_Toc412812764"/>
      <w:bookmarkStart w:id="2669" w:name="_Toc437936020"/>
      <w:bookmarkStart w:id="2670" w:name="_Toc42764346"/>
      <w:bookmarkStart w:id="2671" w:name="_Ref152580729"/>
      <w:bookmarkStart w:id="2672" w:name="_Ref152580735"/>
      <w:bookmarkStart w:id="2673" w:name="_Toc175326764"/>
      <w:bookmarkEnd w:id="2667"/>
      <w:r w:rsidRPr="00BD1319">
        <w:t>Hidrológico</w:t>
      </w:r>
      <w:bookmarkEnd w:id="2668"/>
      <w:bookmarkEnd w:id="2669"/>
      <w:bookmarkEnd w:id="2670"/>
      <w:bookmarkEnd w:id="2671"/>
      <w:bookmarkEnd w:id="2672"/>
      <w:bookmarkEnd w:id="2673"/>
    </w:p>
    <w:p w14:paraId="66A30909" w14:textId="77777777" w:rsidR="009D132B" w:rsidRPr="00BD1319" w:rsidRDefault="009D132B">
      <w:pPr>
        <w:numPr>
          <w:ilvl w:val="12"/>
          <w:numId w:val="0"/>
        </w:numPr>
        <w:tabs>
          <w:tab w:val="left" w:pos="-2268"/>
        </w:tabs>
        <w:suppressAutoHyphens/>
        <w:rPr>
          <w:spacing w:val="-3"/>
        </w:rPr>
      </w:pPr>
    </w:p>
    <w:p w14:paraId="179E9A94" w14:textId="18C168C7" w:rsidR="009D132B" w:rsidRPr="00BD1319" w:rsidRDefault="009D132B">
      <w:pPr>
        <w:tabs>
          <w:tab w:val="left" w:pos="-2268"/>
        </w:tabs>
        <w:suppressAutoHyphens/>
        <w:rPr>
          <w:spacing w:val="-3"/>
        </w:rPr>
      </w:pPr>
      <w:r w:rsidRPr="00BD1319">
        <w:rPr>
          <w:spacing w:val="-3"/>
        </w:rPr>
        <w:t xml:space="preserve">Localizar </w:t>
      </w:r>
      <w:r w:rsidR="006618FD" w:rsidRPr="00BD1319">
        <w:rPr>
          <w:spacing w:val="-3"/>
        </w:rPr>
        <w:t xml:space="preserve">en </w:t>
      </w:r>
      <w:r w:rsidRPr="00BD1319">
        <w:rPr>
          <w:spacing w:val="-3"/>
        </w:rPr>
        <w:t xml:space="preserve">el área de influencia del </w:t>
      </w:r>
      <w:r w:rsidR="001C3F22" w:rsidRPr="00BD1319">
        <w:rPr>
          <w:rFonts w:cs="Arial"/>
          <w:spacing w:val="-3"/>
        </w:rPr>
        <w:t>componente</w:t>
      </w:r>
      <w:r w:rsidRPr="00BD1319">
        <w:rPr>
          <w:rFonts w:cs="Arial"/>
          <w:spacing w:val="-3"/>
        </w:rPr>
        <w:t>,</w:t>
      </w:r>
      <w:r w:rsidRPr="00BD1319">
        <w:rPr>
          <w:spacing w:val="-3"/>
        </w:rPr>
        <w:t xml:space="preserve"> dentro de la zonificación hidrográfica nacional del </w:t>
      </w:r>
      <w:proofErr w:type="spellStart"/>
      <w:r w:rsidR="00A92356" w:rsidRPr="00BD1319">
        <w:rPr>
          <w:spacing w:val="-3"/>
        </w:rPr>
        <w:t>Ideam</w:t>
      </w:r>
      <w:proofErr w:type="spellEnd"/>
      <w:r w:rsidRPr="00BD1319">
        <w:rPr>
          <w:spacing w:val="-3"/>
        </w:rPr>
        <w:t xml:space="preserve"> y de Minambiente (área, zona</w:t>
      </w:r>
      <w:r w:rsidR="002D6507" w:rsidRPr="00BD1319">
        <w:rPr>
          <w:spacing w:val="-3"/>
        </w:rPr>
        <w:t xml:space="preserve"> y</w:t>
      </w:r>
      <w:r w:rsidRPr="00BD1319">
        <w:rPr>
          <w:spacing w:val="-3"/>
        </w:rPr>
        <w:t xml:space="preserve"> subzona), así como en los niveles subsiguientes definidos por las autoridades ambientales competentes en caso de existir, identificando los sistemas lénticos y lóticos, con su respectiva toponimia. En caso de no existir niveles subsiguientes, se deben definir unidades hidrográficas de análisis a la escala que establezcan los respectivos términos de referencia, o a una de mayor detalle utilizando la cartografía oficial disponible.</w:t>
      </w:r>
    </w:p>
    <w:p w14:paraId="3A9CE05B" w14:textId="77777777" w:rsidR="009D132B" w:rsidRPr="00BD1319" w:rsidRDefault="009D132B">
      <w:pPr>
        <w:tabs>
          <w:tab w:val="left" w:pos="-2268"/>
        </w:tabs>
        <w:suppressAutoHyphens/>
        <w:rPr>
          <w:spacing w:val="-3"/>
        </w:rPr>
      </w:pPr>
    </w:p>
    <w:p w14:paraId="2F57CC91" w14:textId="1D7E5367" w:rsidR="009D132B" w:rsidRPr="00BD1319" w:rsidRDefault="00900A47">
      <w:pPr>
        <w:tabs>
          <w:tab w:val="left" w:pos="-2268"/>
        </w:tabs>
        <w:suppressAutoHyphens/>
        <w:rPr>
          <w:spacing w:val="-3"/>
        </w:rPr>
      </w:pPr>
      <w:r w:rsidRPr="00BD1319">
        <w:rPr>
          <w:spacing w:val="-3"/>
        </w:rPr>
        <w:t>Compilar</w:t>
      </w:r>
      <w:r w:rsidR="009D132B" w:rsidRPr="00BD1319">
        <w:rPr>
          <w:spacing w:val="-3"/>
        </w:rPr>
        <w:t xml:space="preserve">, para las subzonas hidrográficas en las que se encuentra el área de influencia del </w:t>
      </w:r>
      <w:r w:rsidR="001C3F22" w:rsidRPr="00BD1319">
        <w:rPr>
          <w:rFonts w:cs="Arial"/>
          <w:spacing w:val="-3"/>
        </w:rPr>
        <w:t>componente</w:t>
      </w:r>
      <w:r w:rsidR="009D132B" w:rsidRPr="00BD1319">
        <w:rPr>
          <w:spacing w:val="-3"/>
        </w:rPr>
        <w:t xml:space="preserve">, los datos </w:t>
      </w:r>
      <w:proofErr w:type="spellStart"/>
      <w:r w:rsidR="009D132B" w:rsidRPr="00BD1319">
        <w:rPr>
          <w:spacing w:val="-3"/>
        </w:rPr>
        <w:t>hidroclimáticos</w:t>
      </w:r>
      <w:proofErr w:type="spellEnd"/>
      <w:r w:rsidR="009D132B" w:rsidRPr="00BD1319">
        <w:rPr>
          <w:spacing w:val="-3"/>
        </w:rPr>
        <w:t xml:space="preserve"> disponibles de la red nacional de referencia del </w:t>
      </w:r>
      <w:proofErr w:type="spellStart"/>
      <w:r w:rsidR="00A92356" w:rsidRPr="00BD1319">
        <w:rPr>
          <w:spacing w:val="-3"/>
        </w:rPr>
        <w:t>Ideam</w:t>
      </w:r>
      <w:proofErr w:type="spellEnd"/>
      <w:r w:rsidR="009D132B" w:rsidRPr="00BD1319">
        <w:rPr>
          <w:spacing w:val="-3"/>
        </w:rPr>
        <w:t xml:space="preserve">, así como de otras redes existentes en el ámbito regional. La escala temporal de los datos debe ser diaria y la longitud mínima de la serie debe ser de </w:t>
      </w:r>
      <w:r w:rsidR="009D132B" w:rsidRPr="00BD1319">
        <w:rPr>
          <w:rFonts w:cs="Arial"/>
          <w:spacing w:val="-3"/>
        </w:rPr>
        <w:t>quince (15</w:t>
      </w:r>
      <w:r w:rsidR="009D132B" w:rsidRPr="00BD1319">
        <w:rPr>
          <w:spacing w:val="-3"/>
        </w:rPr>
        <w:t>) años. Debe indicarse la longitud temporal de datos disponibles y el análisis de incertidumbre derivado de su uso y tratamiento con el objetivo de concluir si las series hidrológicas a utilizar son adecuadas para los objetivos del proyecto.</w:t>
      </w:r>
    </w:p>
    <w:p w14:paraId="564F916B" w14:textId="77777777" w:rsidR="009D132B" w:rsidRPr="00BD1319" w:rsidRDefault="009D132B">
      <w:pPr>
        <w:tabs>
          <w:tab w:val="left" w:pos="-2268"/>
        </w:tabs>
        <w:suppressAutoHyphens/>
        <w:rPr>
          <w:spacing w:val="-3"/>
        </w:rPr>
      </w:pPr>
    </w:p>
    <w:p w14:paraId="7B2264E1" w14:textId="12524B2C" w:rsidR="001C3F22" w:rsidRPr="00BD1319" w:rsidRDefault="001C3F22">
      <w:pPr>
        <w:tabs>
          <w:tab w:val="left" w:pos="-2268"/>
        </w:tabs>
        <w:suppressAutoHyphens/>
        <w:rPr>
          <w:rFonts w:cs="Arial"/>
          <w:lang w:eastAsia="es-CO"/>
        </w:rPr>
      </w:pPr>
      <w:r w:rsidRPr="00BD1319">
        <w:rPr>
          <w:rFonts w:cs="Arial"/>
          <w:lang w:eastAsia="es-CO"/>
        </w:rPr>
        <w:t xml:space="preserve">Cuando no exista información disponible de estaciones avaladas por el </w:t>
      </w:r>
      <w:proofErr w:type="spellStart"/>
      <w:r w:rsidR="00A92356" w:rsidRPr="00BD1319">
        <w:rPr>
          <w:rFonts w:cs="Arial"/>
          <w:lang w:eastAsia="es-CO"/>
        </w:rPr>
        <w:t>Ideam</w:t>
      </w:r>
      <w:proofErr w:type="spellEnd"/>
      <w:r w:rsidRPr="00BD1319">
        <w:rPr>
          <w:rFonts w:cs="Arial"/>
          <w:lang w:eastAsia="es-CO"/>
        </w:rPr>
        <w:t xml:space="preserve"> con adecuada representatividad sobre el área de influencia del componente, la información para la obtención de los datos </w:t>
      </w:r>
      <w:proofErr w:type="spellStart"/>
      <w:r w:rsidRPr="00BD1319">
        <w:rPr>
          <w:rFonts w:cs="Arial"/>
          <w:lang w:eastAsia="es-CO"/>
        </w:rPr>
        <w:t>hidroclimáticos</w:t>
      </w:r>
      <w:proofErr w:type="spellEnd"/>
      <w:r w:rsidRPr="00BD1319">
        <w:rPr>
          <w:rFonts w:cs="Arial"/>
          <w:lang w:eastAsia="es-CO"/>
        </w:rPr>
        <w:t xml:space="preserve"> puede ser tomada de los modelos globales o de </w:t>
      </w:r>
      <w:proofErr w:type="spellStart"/>
      <w:r w:rsidRPr="00BD1319">
        <w:rPr>
          <w:rFonts w:cs="Arial"/>
          <w:lang w:eastAsia="es-CO"/>
        </w:rPr>
        <w:t>re-análisis</w:t>
      </w:r>
      <w:proofErr w:type="spellEnd"/>
      <w:r w:rsidRPr="00BD1319">
        <w:rPr>
          <w:rFonts w:cs="Arial"/>
          <w:lang w:eastAsia="es-CO"/>
        </w:rPr>
        <w:t xml:space="preserve"> global, obtenidos de fuentes de adecuada idoneidad científica y que puedan ser validadas y procesadas para obtener una adecuada resolución sobre el área de influencia. Ejemplos de modelos de clima o tiempo son CFRS, ERA 40, CAM y WRF.</w:t>
      </w:r>
    </w:p>
    <w:p w14:paraId="188F69A5" w14:textId="77777777" w:rsidR="001C3F22" w:rsidRPr="00BD1319" w:rsidRDefault="001C3F22">
      <w:pPr>
        <w:tabs>
          <w:tab w:val="left" w:pos="-2268"/>
        </w:tabs>
        <w:suppressAutoHyphens/>
        <w:rPr>
          <w:spacing w:val="-3"/>
        </w:rPr>
      </w:pPr>
    </w:p>
    <w:p w14:paraId="458A9F4C" w14:textId="2BC799FE" w:rsidR="009D132B" w:rsidRPr="00BD1319" w:rsidRDefault="009D132B">
      <w:pPr>
        <w:tabs>
          <w:tab w:val="left" w:pos="-2268"/>
        </w:tabs>
        <w:suppressAutoHyphens/>
        <w:rPr>
          <w:spacing w:val="-3"/>
        </w:rPr>
      </w:pPr>
      <w:r w:rsidRPr="00BD1319">
        <w:rPr>
          <w:spacing w:val="-3"/>
        </w:rPr>
        <w:lastRenderedPageBreak/>
        <w:t xml:space="preserve">Efectuar un análisis objetivo de la calidad y consistencia de los datos </w:t>
      </w:r>
      <w:proofErr w:type="spellStart"/>
      <w:r w:rsidRPr="00BD1319">
        <w:rPr>
          <w:spacing w:val="-3"/>
        </w:rPr>
        <w:t>hidroclimáticos</w:t>
      </w:r>
      <w:proofErr w:type="spellEnd"/>
      <w:r w:rsidRPr="00BD1319">
        <w:rPr>
          <w:spacing w:val="-3"/>
        </w:rPr>
        <w:t xml:space="preserve"> que incluya pruebas estadísticas paramétricas y/o no paramétricas sobre homogeneidad, consistencia </w:t>
      </w:r>
      <w:r w:rsidR="002A6D28" w:rsidRPr="00BD1319">
        <w:rPr>
          <w:spacing w:val="-3"/>
        </w:rPr>
        <w:t>y determinación</w:t>
      </w:r>
      <w:r w:rsidRPr="00BD1319">
        <w:rPr>
          <w:spacing w:val="-3"/>
        </w:rPr>
        <w:t xml:space="preserve"> de datos anómalos; de ser posible, hacer el completado de las series, indicando claramente el método adoptado y efectuar la caracterización estadística básica de las series de tiempo tratadas.</w:t>
      </w:r>
    </w:p>
    <w:p w14:paraId="720DEFE3" w14:textId="77777777" w:rsidR="009D132B" w:rsidRPr="00BD1319" w:rsidRDefault="009D132B">
      <w:pPr>
        <w:tabs>
          <w:tab w:val="left" w:pos="-2268"/>
        </w:tabs>
        <w:suppressAutoHyphens/>
        <w:rPr>
          <w:spacing w:val="-3"/>
        </w:rPr>
      </w:pPr>
    </w:p>
    <w:p w14:paraId="1BB8CA08" w14:textId="236B7CB8" w:rsidR="009D132B" w:rsidRPr="00BD1319" w:rsidRDefault="009D132B">
      <w:pPr>
        <w:tabs>
          <w:tab w:val="left" w:pos="-2268"/>
        </w:tabs>
        <w:suppressAutoHyphens/>
        <w:rPr>
          <w:rFonts w:cs="Arial"/>
        </w:rPr>
      </w:pPr>
      <w:r w:rsidRPr="00BD1319">
        <w:rPr>
          <w:spacing w:val="-3"/>
        </w:rPr>
        <w:t xml:space="preserve">Realizar una correlación de las series temporales, a escala mensual, con la de indicadores de ocurrencia de fenómenos </w:t>
      </w:r>
      <w:proofErr w:type="spellStart"/>
      <w:r w:rsidRPr="00BD1319">
        <w:rPr>
          <w:spacing w:val="-3"/>
        </w:rPr>
        <w:t>macroclimáticos</w:t>
      </w:r>
      <w:proofErr w:type="spellEnd"/>
      <w:r w:rsidRPr="00BD1319">
        <w:rPr>
          <w:spacing w:val="-3"/>
        </w:rPr>
        <w:t xml:space="preserve"> con influencia en la </w:t>
      </w:r>
      <w:proofErr w:type="spellStart"/>
      <w:r w:rsidRPr="00BD1319">
        <w:rPr>
          <w:spacing w:val="-3"/>
        </w:rPr>
        <w:t>hidroclimatología</w:t>
      </w:r>
      <w:proofErr w:type="spellEnd"/>
      <w:r w:rsidRPr="00BD1319">
        <w:rPr>
          <w:spacing w:val="-3"/>
        </w:rPr>
        <w:t xml:space="preserve"> colombiana (</w:t>
      </w:r>
      <w:r w:rsidR="00041844" w:rsidRPr="00BD1319">
        <w:rPr>
          <w:spacing w:val="-3"/>
        </w:rPr>
        <w:t>p. ej.</w:t>
      </w:r>
      <w:r w:rsidRPr="00BD1319">
        <w:rPr>
          <w:spacing w:val="-3"/>
        </w:rPr>
        <w:t xml:space="preserve"> El Niño-Oscilación del Sur, Oscilación del Atlántico Norte, Oscilación </w:t>
      </w:r>
      <w:proofErr w:type="spellStart"/>
      <w:r w:rsidRPr="00BD1319">
        <w:rPr>
          <w:spacing w:val="-3"/>
        </w:rPr>
        <w:t>Quasi</w:t>
      </w:r>
      <w:proofErr w:type="spellEnd"/>
      <w:r w:rsidRPr="00BD1319">
        <w:rPr>
          <w:spacing w:val="-3"/>
        </w:rPr>
        <w:t>-Bienal, Oscilación Decadal del Pacífico). En los casos de encontrarse correlación en las variables, principalmente de precipitación y caudal, clasificar los períodos hidrológicos en húmedos, normales y seco, considerando el concepto de año hidrológico</w:t>
      </w:r>
      <w:r w:rsidRPr="00BD1319">
        <w:rPr>
          <w:rFonts w:cs="Arial"/>
          <w:spacing w:val="-3"/>
        </w:rPr>
        <w:t>.</w:t>
      </w:r>
    </w:p>
    <w:p w14:paraId="21108A5C" w14:textId="77777777" w:rsidR="009C2865" w:rsidRPr="00BD1319" w:rsidRDefault="009C2865">
      <w:pPr>
        <w:tabs>
          <w:tab w:val="left" w:pos="-2268"/>
        </w:tabs>
        <w:suppressAutoHyphens/>
        <w:rPr>
          <w:rFonts w:cs="Arial"/>
        </w:rPr>
      </w:pPr>
    </w:p>
    <w:p w14:paraId="1298BFCB" w14:textId="6686AAD0" w:rsidR="009C2865" w:rsidRPr="00BD1319" w:rsidRDefault="00900A47">
      <w:pPr>
        <w:tabs>
          <w:tab w:val="left" w:pos="-2268"/>
        </w:tabs>
        <w:suppressAutoHyphens/>
        <w:rPr>
          <w:spacing w:val="-3"/>
        </w:rPr>
      </w:pPr>
      <w:r w:rsidRPr="00BD1319">
        <w:rPr>
          <w:spacing w:val="-3"/>
        </w:rPr>
        <w:t xml:space="preserve">Dicha información debe </w:t>
      </w:r>
      <w:r w:rsidR="009C2865" w:rsidRPr="00BD1319">
        <w:rPr>
          <w:spacing w:val="-3"/>
        </w:rPr>
        <w:t xml:space="preserve">complementarse con el análisis de tasa de cambio de la precipitación, temperatura y caudales superficiales teniendo en cuenta el efecto de los escenarios de cambio climático generados por el </w:t>
      </w:r>
      <w:proofErr w:type="spellStart"/>
      <w:r w:rsidR="00A92356" w:rsidRPr="00BD1319">
        <w:rPr>
          <w:spacing w:val="-3"/>
        </w:rPr>
        <w:t>Ideam</w:t>
      </w:r>
      <w:proofErr w:type="spellEnd"/>
      <w:r w:rsidR="009C2865" w:rsidRPr="00BD1319">
        <w:rPr>
          <w:spacing w:val="-3"/>
        </w:rPr>
        <w:t xml:space="preserve"> o cualquier información de Trayectorias de Concen</w:t>
      </w:r>
      <w:r w:rsidR="001D3EEA" w:rsidRPr="00BD1319">
        <w:rPr>
          <w:spacing w:val="-3"/>
        </w:rPr>
        <w:t xml:space="preserve">tración Representativas (RCP son </w:t>
      </w:r>
      <w:r w:rsidR="009C2865" w:rsidRPr="00BD1319">
        <w:rPr>
          <w:spacing w:val="-3"/>
        </w:rPr>
        <w:t xml:space="preserve">sus siglas en </w:t>
      </w:r>
      <w:r w:rsidR="001D3EEA" w:rsidRPr="00BD1319">
        <w:rPr>
          <w:spacing w:val="-3"/>
        </w:rPr>
        <w:t>inglés</w:t>
      </w:r>
      <w:r w:rsidR="009C2865" w:rsidRPr="00BD1319">
        <w:rPr>
          <w:spacing w:val="-3"/>
        </w:rPr>
        <w:t>) definidas técnica o científicamente por una entidad con conocimientos climatológicos, usando al menos el valor máximo y mínimo de cada variable para el período 2011-2040</w:t>
      </w:r>
      <w:r w:rsidR="001E341F" w:rsidRPr="00BD1319">
        <w:rPr>
          <w:rStyle w:val="Refdenotaalpie"/>
          <w:spacing w:val="-3"/>
          <w:lang w:val="es-CO"/>
        </w:rPr>
        <w:footnoteReference w:id="115"/>
      </w:r>
      <w:r w:rsidR="009C2865" w:rsidRPr="00BD1319">
        <w:rPr>
          <w:spacing w:val="-3"/>
        </w:rPr>
        <w:t xml:space="preserve"> o 2012 al 2099. El análisis permite asociar los posibles efectos en la oferta hídrica, incidencia en la ocurrencia de eventos de amenaza y con ello en la planificación de aprovechamiento del recurso o la inclusión de medidas manejo ante posibles contingencias.</w:t>
      </w:r>
    </w:p>
    <w:p w14:paraId="1B2B6468" w14:textId="77777777" w:rsidR="009D132B" w:rsidRPr="00BD1319" w:rsidRDefault="009D132B">
      <w:pPr>
        <w:tabs>
          <w:tab w:val="left" w:pos="-2268"/>
        </w:tabs>
        <w:suppressAutoHyphens/>
        <w:rPr>
          <w:spacing w:val="-3"/>
        </w:rPr>
      </w:pPr>
    </w:p>
    <w:p w14:paraId="6AB7B8E7" w14:textId="490C12ED" w:rsidR="009D132B" w:rsidRPr="00BD1319" w:rsidRDefault="009D132B">
      <w:pPr>
        <w:tabs>
          <w:tab w:val="left" w:pos="-2268"/>
        </w:tabs>
        <w:suppressAutoHyphens/>
        <w:rPr>
          <w:spacing w:val="-3"/>
        </w:rPr>
      </w:pPr>
      <w:r w:rsidRPr="00BD1319">
        <w:rPr>
          <w:spacing w:val="-3"/>
        </w:rPr>
        <w:t>Presentar las principales características morfométricas (área, perímetro, pendiente media, índice de compacidad, factor de forma, tiempos de concentración, índice de sinuosidad, densidad de drenaje y corrientes, patrones de drenaje regionales y locales) de las unidades de análisis hidrográficas asociadas a los puntos de intervención por captación, vertimiento u ocupación de cauce</w:t>
      </w:r>
      <w:r w:rsidR="00064ED7" w:rsidRPr="00BD1319">
        <w:rPr>
          <w:spacing w:val="-3"/>
        </w:rPr>
        <w:t xml:space="preserve">, </w:t>
      </w:r>
      <w:r w:rsidRPr="00BD1319">
        <w:rPr>
          <w:spacing w:val="-3"/>
        </w:rPr>
        <w:t xml:space="preserve">así como de la unidad hidrográfica de análisis (como mínimo niveles subsiguientes de las subzonas en la que se encuentra localizada el área de influencia del </w:t>
      </w:r>
      <w:r w:rsidR="001C3F22" w:rsidRPr="00BD1319">
        <w:rPr>
          <w:rFonts w:cs="Arial"/>
          <w:spacing w:val="-3"/>
        </w:rPr>
        <w:t>componente</w:t>
      </w:r>
      <w:r w:rsidRPr="00BD1319">
        <w:rPr>
          <w:spacing w:val="-3"/>
        </w:rPr>
        <w:t>).</w:t>
      </w:r>
    </w:p>
    <w:p w14:paraId="253D6EEE" w14:textId="77777777" w:rsidR="009D132B" w:rsidRPr="00BD1319" w:rsidRDefault="009D132B">
      <w:pPr>
        <w:tabs>
          <w:tab w:val="left" w:pos="-2268"/>
        </w:tabs>
        <w:suppressAutoHyphens/>
        <w:rPr>
          <w:spacing w:val="-3"/>
        </w:rPr>
      </w:pPr>
    </w:p>
    <w:p w14:paraId="40D56159" w14:textId="68D9ED91" w:rsidR="009D132B" w:rsidRPr="00BD1319" w:rsidRDefault="009D132B">
      <w:pPr>
        <w:tabs>
          <w:tab w:val="left" w:pos="-2268"/>
        </w:tabs>
        <w:suppressAutoHyphens/>
        <w:rPr>
          <w:spacing w:val="-3"/>
        </w:rPr>
      </w:pPr>
      <w:r w:rsidRPr="00BD1319">
        <w:rPr>
          <w:spacing w:val="-3"/>
        </w:rPr>
        <w:t xml:space="preserve">Caracterizar </w:t>
      </w:r>
      <w:r w:rsidRPr="00BD1319">
        <w:rPr>
          <w:rFonts w:cs="Arial"/>
          <w:spacing w:val="-3"/>
        </w:rPr>
        <w:t>el</w:t>
      </w:r>
      <w:r w:rsidRPr="00BD1319">
        <w:rPr>
          <w:spacing w:val="-3"/>
        </w:rPr>
        <w:t xml:space="preserve"> régimen hidrológico</w:t>
      </w:r>
      <w:r w:rsidR="006D0002" w:rsidRPr="00BD1319">
        <w:t xml:space="preserve"> </w:t>
      </w:r>
      <w:r w:rsidR="006D0002" w:rsidRPr="00BD1319">
        <w:rPr>
          <w:spacing w:val="-3"/>
        </w:rPr>
        <w:t>de las unidades de análisis hidrográficas asociadas a los puntos de intervención por captación, vertimiento u ocupación de cauce</w:t>
      </w:r>
      <w:r w:rsidRPr="00BD1319">
        <w:rPr>
          <w:spacing w:val="-3"/>
        </w:rPr>
        <w:t xml:space="preserve">, en los casos que la información hidrológica lo permita, considerando en el análisis los valores normales (anuales, mensuales y diarios), así como los extremos (máximos y mínimos), frecuencia de presentación, duración, momento de ocurrencia, tasa de cambio. Para el análisis de eventos extremos (máximos y mínimos) se deben considerar los efectos de la variabilidad climática en el régimen, por tanto, se deben </w:t>
      </w:r>
      <w:r w:rsidRPr="00BD1319">
        <w:rPr>
          <w:spacing w:val="-3"/>
        </w:rPr>
        <w:lastRenderedPageBreak/>
        <w:t>realizar análisis no estacionarios (los períodos de retorno mínimos a considerar deben ser: en caudales máximos, 2, 5, 10, 15, 25, 50 y 100 años; en caudales mínimos, 2, 5, 10, 15 y 20 años).</w:t>
      </w:r>
    </w:p>
    <w:p w14:paraId="550478B6" w14:textId="77777777" w:rsidR="009D132B" w:rsidRPr="00BD1319" w:rsidRDefault="009D132B">
      <w:pPr>
        <w:tabs>
          <w:tab w:val="left" w:pos="-2268"/>
        </w:tabs>
        <w:suppressAutoHyphens/>
        <w:rPr>
          <w:spacing w:val="-3"/>
        </w:rPr>
      </w:pPr>
    </w:p>
    <w:p w14:paraId="2797AEBE" w14:textId="6A2E9893" w:rsidR="009D132B" w:rsidRPr="00BD1319" w:rsidRDefault="009D132B">
      <w:pPr>
        <w:tabs>
          <w:tab w:val="left" w:pos="-2268"/>
        </w:tabs>
        <w:suppressAutoHyphens/>
        <w:rPr>
          <w:spacing w:val="-3"/>
        </w:rPr>
      </w:pPr>
      <w:r w:rsidRPr="00BD1319">
        <w:rPr>
          <w:spacing w:val="-3"/>
        </w:rPr>
        <w:t xml:space="preserve">Generar series sintéticas a escala diaria en los cauces susceptibles de intervención con ausencia de información (series de datos con periodos temporales inferiores a 10 años o con series cuyo análisis indique una incertidumbre importante en los resultados obtenidos), a partir de metodologías de transformación de la lluvia en escorrentía que consideren la variabilidad de las características fisiográficas y climáticas de la cuenca hidrográfica y sus unidades hidrográficas de análisis, considerando igualmente cuando aplique: interacciones agua superficial – agua subterránea (incluidos cambios en el nivel freático y alteración en acuíferos) y las de los sistemas léntico–lótico, y las principales características de dichas interacciones (caudales, sedimentos, recursos hidrobiológicos). Se debe establecer claramente el modelo conceptual, sus parámetros, la información utilizada, la metodología de implementación, y la estrategia de calibración y validación en función de la información utilizada, considerando la representatividad de los procesos hidrológicos predominantes en la </w:t>
      </w:r>
      <w:r w:rsidRPr="00BD1319">
        <w:rPr>
          <w:rFonts w:cs="Arial"/>
          <w:spacing w:val="-3"/>
        </w:rPr>
        <w:t>unidad</w:t>
      </w:r>
      <w:r w:rsidRPr="00BD1319">
        <w:rPr>
          <w:spacing w:val="-3"/>
        </w:rPr>
        <w:t xml:space="preserve"> hidrográfica </w:t>
      </w:r>
      <w:r w:rsidRPr="00BD1319">
        <w:rPr>
          <w:rFonts w:cs="Arial"/>
          <w:spacing w:val="-3"/>
        </w:rPr>
        <w:t>analizada</w:t>
      </w:r>
      <w:r w:rsidRPr="00BD1319">
        <w:rPr>
          <w:spacing w:val="-3"/>
        </w:rPr>
        <w:t>.</w:t>
      </w:r>
    </w:p>
    <w:p w14:paraId="01177396" w14:textId="77777777" w:rsidR="009D132B" w:rsidRPr="00BD1319" w:rsidRDefault="009D132B">
      <w:pPr>
        <w:tabs>
          <w:tab w:val="left" w:pos="-2268"/>
        </w:tabs>
        <w:suppressAutoHyphens/>
        <w:rPr>
          <w:spacing w:val="-3"/>
        </w:rPr>
      </w:pPr>
    </w:p>
    <w:p w14:paraId="5C4F46C1" w14:textId="0F1EE176" w:rsidR="00FC4E99" w:rsidRPr="00BD1319" w:rsidRDefault="00FC4E99" w:rsidP="00FC4E99">
      <w:pPr>
        <w:tabs>
          <w:tab w:val="left" w:pos="-2268"/>
        </w:tabs>
        <w:suppressAutoHyphens/>
        <w:rPr>
          <w:rFonts w:cs="Arial"/>
          <w:spacing w:val="-3"/>
        </w:rPr>
      </w:pPr>
      <w:r w:rsidRPr="00BD1319">
        <w:rPr>
          <w:rFonts w:cs="Arial"/>
          <w:spacing w:val="-3"/>
        </w:rPr>
        <w:t>Conforme a lo mencionado, la calibración y validación se debe realizar mediante pruebas de bondad de ajuste, como mínimo, empleando pruebas de coeficiente de correlación y de Nash-</w:t>
      </w:r>
      <w:proofErr w:type="spellStart"/>
      <w:r w:rsidRPr="00BD1319">
        <w:rPr>
          <w:rFonts w:cs="Arial"/>
          <w:spacing w:val="-3"/>
        </w:rPr>
        <w:t>Sutcliffe</w:t>
      </w:r>
      <w:proofErr w:type="spellEnd"/>
      <w:r w:rsidRPr="00BD1319">
        <w:rPr>
          <w:rFonts w:cs="Arial"/>
          <w:spacing w:val="-3"/>
        </w:rPr>
        <w:t xml:space="preserve"> para la serie de caudales medios diarios o mensuales en caso de que no haya disponibilidad de información diaria, según las recomendaciones de Molnar (2011). Es posible emplear datos cuya prueba de calibración y validación haya resultado como mínimo en la categoría “buenos” conforme a los rangos de ajuste que se presentan en las Tablas </w:t>
      </w:r>
      <w:r w:rsidR="007824C6" w:rsidRPr="00BD1319">
        <w:rPr>
          <w:rFonts w:cs="Arial"/>
          <w:spacing w:val="-3"/>
        </w:rPr>
        <w:fldChar w:fldCharType="begin"/>
      </w:r>
      <w:r w:rsidR="007824C6" w:rsidRPr="00BD1319">
        <w:rPr>
          <w:rFonts w:cs="Arial"/>
          <w:spacing w:val="-3"/>
        </w:rPr>
        <w:instrText xml:space="preserve"> REF _Ref145062422 \h </w:instrText>
      </w:r>
      <w:r w:rsidR="00BD1319">
        <w:rPr>
          <w:rFonts w:cs="Arial"/>
          <w:spacing w:val="-3"/>
        </w:rPr>
        <w:instrText xml:space="preserve"> \* MERGEFORMAT </w:instrText>
      </w:r>
      <w:r w:rsidR="007824C6" w:rsidRPr="00BD1319">
        <w:rPr>
          <w:rFonts w:cs="Arial"/>
          <w:spacing w:val="-3"/>
        </w:rPr>
      </w:r>
      <w:r w:rsidR="007824C6" w:rsidRPr="00BD1319">
        <w:rPr>
          <w:rFonts w:cs="Arial"/>
          <w:spacing w:val="-3"/>
        </w:rPr>
        <w:fldChar w:fldCharType="separate"/>
      </w:r>
      <w:r w:rsidR="00296654" w:rsidRPr="00BD1319">
        <w:t xml:space="preserve">Tabla </w:t>
      </w:r>
      <w:r w:rsidR="00296654" w:rsidRPr="00BD1319">
        <w:rPr>
          <w:noProof/>
        </w:rPr>
        <w:t>20</w:t>
      </w:r>
      <w:r w:rsidR="007824C6" w:rsidRPr="00BD1319">
        <w:rPr>
          <w:rFonts w:cs="Arial"/>
          <w:spacing w:val="-3"/>
        </w:rPr>
        <w:fldChar w:fldCharType="end"/>
      </w:r>
      <w:r w:rsidR="007824C6" w:rsidRPr="00BD1319">
        <w:rPr>
          <w:rFonts w:cs="Arial"/>
          <w:spacing w:val="-3"/>
        </w:rPr>
        <w:t xml:space="preserve"> y </w:t>
      </w:r>
      <w:r w:rsidR="007824C6" w:rsidRPr="00BD1319">
        <w:rPr>
          <w:rFonts w:cs="Arial"/>
          <w:spacing w:val="-3"/>
        </w:rPr>
        <w:fldChar w:fldCharType="begin"/>
      </w:r>
      <w:r w:rsidR="007824C6" w:rsidRPr="00BD1319">
        <w:rPr>
          <w:rFonts w:cs="Arial"/>
          <w:spacing w:val="-3"/>
        </w:rPr>
        <w:instrText xml:space="preserve"> REF _Ref145062427 \h </w:instrText>
      </w:r>
      <w:r w:rsidR="00BD1319">
        <w:rPr>
          <w:rFonts w:cs="Arial"/>
          <w:spacing w:val="-3"/>
        </w:rPr>
        <w:instrText xml:space="preserve"> \* MERGEFORMAT </w:instrText>
      </w:r>
      <w:r w:rsidR="007824C6" w:rsidRPr="00BD1319">
        <w:rPr>
          <w:rFonts w:cs="Arial"/>
          <w:spacing w:val="-3"/>
        </w:rPr>
      </w:r>
      <w:r w:rsidR="007824C6" w:rsidRPr="00BD1319">
        <w:rPr>
          <w:rFonts w:cs="Arial"/>
          <w:spacing w:val="-3"/>
        </w:rPr>
        <w:fldChar w:fldCharType="separate"/>
      </w:r>
      <w:r w:rsidR="00296654" w:rsidRPr="00BD1319">
        <w:t xml:space="preserve">Tabla </w:t>
      </w:r>
      <w:r w:rsidR="00296654" w:rsidRPr="00BD1319">
        <w:rPr>
          <w:noProof/>
        </w:rPr>
        <w:t>21</w:t>
      </w:r>
      <w:r w:rsidR="007824C6" w:rsidRPr="00BD1319">
        <w:rPr>
          <w:rFonts w:cs="Arial"/>
          <w:spacing w:val="-3"/>
        </w:rPr>
        <w:fldChar w:fldCharType="end"/>
      </w:r>
      <w:r w:rsidRPr="00BD1319">
        <w:rPr>
          <w:rFonts w:cs="Arial"/>
          <w:spacing w:val="-3"/>
        </w:rPr>
        <w:t>.</w:t>
      </w:r>
    </w:p>
    <w:p w14:paraId="685A2FFB" w14:textId="77777777" w:rsidR="00FC4E99" w:rsidRPr="00BD1319" w:rsidRDefault="00FC4E99" w:rsidP="00FC4E99">
      <w:pPr>
        <w:tabs>
          <w:tab w:val="left" w:pos="-2268"/>
        </w:tabs>
        <w:suppressAutoHyphens/>
        <w:rPr>
          <w:rFonts w:cs="Arial"/>
          <w:spacing w:val="-3"/>
        </w:rPr>
      </w:pPr>
    </w:p>
    <w:p w14:paraId="66EF902A" w14:textId="7E20D65F" w:rsidR="00FC4E99" w:rsidRPr="00BD1319" w:rsidRDefault="00FC4E99" w:rsidP="00FC4E99">
      <w:pPr>
        <w:pStyle w:val="Descripcin"/>
        <w:jc w:val="center"/>
        <w:rPr>
          <w:rFonts w:cs="Arial"/>
          <w:spacing w:val="-3"/>
        </w:rPr>
      </w:pPr>
      <w:bookmarkStart w:id="2674" w:name="_Ref145062422"/>
      <w:r w:rsidRPr="00BD1319">
        <w:t xml:space="preserve">Tabla </w:t>
      </w:r>
      <w:fldSimple w:instr=" SEQ Tabla \* ARABIC ">
        <w:r w:rsidR="00296654" w:rsidRPr="00BD1319">
          <w:rPr>
            <w:noProof/>
          </w:rPr>
          <w:t>20</w:t>
        </w:r>
      </w:fldSimple>
      <w:bookmarkEnd w:id="2674"/>
      <w:r w:rsidRPr="00BD1319">
        <w:rPr>
          <w:rFonts w:cs="Arial"/>
          <w:spacing w:val="-3"/>
        </w:rPr>
        <w:t>.</w:t>
      </w:r>
      <w:r w:rsidRPr="00BD1319">
        <w:rPr>
          <w:rFonts w:cs="Arial"/>
          <w:b w:val="0"/>
          <w:bCs w:val="0"/>
          <w:spacing w:val="-3"/>
        </w:rPr>
        <w:t xml:space="preserve"> Coeficiente de correlación</w:t>
      </w:r>
    </w:p>
    <w:tbl>
      <w:tblPr>
        <w:tblW w:w="0" w:type="auto"/>
        <w:jc w:val="center"/>
        <w:tblBorders>
          <w:insideH w:val="nil"/>
          <w:insideV w:val="nil"/>
        </w:tblBorders>
        <w:tblLook w:val="0600" w:firstRow="0" w:lastRow="0" w:firstColumn="0" w:lastColumn="0" w:noHBand="1" w:noVBand="1"/>
      </w:tblPr>
      <w:tblGrid>
        <w:gridCol w:w="2860"/>
        <w:gridCol w:w="2668"/>
      </w:tblGrid>
      <w:tr w:rsidR="00FC4E99" w:rsidRPr="00BD1319" w14:paraId="16134E59" w14:textId="77777777" w:rsidTr="009C6D76">
        <w:trPr>
          <w:trHeight w:hRule="exact" w:val="397"/>
          <w:jc w:val="center"/>
        </w:trPr>
        <w:tc>
          <w:tcPr>
            <w:tcW w:w="2860"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0F7A8F40" w14:textId="77777777" w:rsidR="00FC4E99" w:rsidRPr="00BD1319" w:rsidRDefault="00FC4E99" w:rsidP="009C6D76">
            <w:pPr>
              <w:tabs>
                <w:tab w:val="left" w:pos="-2268"/>
              </w:tabs>
              <w:suppressAutoHyphens/>
              <w:jc w:val="center"/>
              <w:rPr>
                <w:rFonts w:cs="Arial"/>
                <w:b/>
                <w:bCs/>
                <w:spacing w:val="-3"/>
                <w:sz w:val="22"/>
                <w:szCs w:val="22"/>
                <w:lang w:val="es-ES"/>
              </w:rPr>
            </w:pPr>
            <w:r w:rsidRPr="00BD1319">
              <w:rPr>
                <w:rFonts w:cs="Arial"/>
                <w:b/>
                <w:bCs/>
                <w:spacing w:val="-3"/>
                <w:sz w:val="22"/>
                <w:szCs w:val="22"/>
                <w:lang w:val="es-ES"/>
              </w:rPr>
              <w:t>Coeficiente de correlación</w:t>
            </w:r>
          </w:p>
        </w:tc>
        <w:tc>
          <w:tcPr>
            <w:tcW w:w="2668"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6BD6449E" w14:textId="77777777" w:rsidR="00FC4E99" w:rsidRPr="00BD1319" w:rsidRDefault="00FC4E99" w:rsidP="009C6D76">
            <w:pPr>
              <w:tabs>
                <w:tab w:val="left" w:pos="-2268"/>
              </w:tabs>
              <w:suppressAutoHyphens/>
              <w:jc w:val="center"/>
              <w:rPr>
                <w:rFonts w:cs="Arial"/>
                <w:b/>
                <w:bCs/>
                <w:spacing w:val="-3"/>
                <w:sz w:val="22"/>
                <w:szCs w:val="22"/>
                <w:lang w:val="es-ES"/>
              </w:rPr>
            </w:pPr>
            <w:r w:rsidRPr="00BD1319">
              <w:rPr>
                <w:rFonts w:cs="Arial"/>
                <w:b/>
                <w:bCs/>
                <w:spacing w:val="-3"/>
                <w:sz w:val="22"/>
                <w:szCs w:val="22"/>
                <w:lang w:val="es-ES"/>
              </w:rPr>
              <w:t>Categoría</w:t>
            </w:r>
          </w:p>
        </w:tc>
      </w:tr>
      <w:tr w:rsidR="00FC4E99" w:rsidRPr="00BD1319" w14:paraId="1FACC36E" w14:textId="77777777" w:rsidTr="009C6D76">
        <w:trPr>
          <w:trHeight w:hRule="exact" w:val="397"/>
          <w:jc w:val="center"/>
        </w:trPr>
        <w:tc>
          <w:tcPr>
            <w:tcW w:w="2860"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7DB16400" w14:textId="77777777" w:rsidR="00FC4E99" w:rsidRPr="00BD1319" w:rsidRDefault="00FC4E99" w:rsidP="009C6D76">
            <w:pPr>
              <w:tabs>
                <w:tab w:val="left" w:pos="-2268"/>
              </w:tabs>
              <w:suppressAutoHyphens/>
              <w:jc w:val="center"/>
              <w:rPr>
                <w:rFonts w:cs="Arial"/>
                <w:spacing w:val="-3"/>
                <w:sz w:val="22"/>
                <w:szCs w:val="22"/>
                <w:lang w:val="es-ES"/>
              </w:rPr>
            </w:pPr>
            <w:r w:rsidRPr="00BD1319">
              <w:rPr>
                <w:rFonts w:cs="Arial"/>
                <w:spacing w:val="-3"/>
                <w:sz w:val="22"/>
                <w:szCs w:val="22"/>
                <w:lang w:val="es-ES"/>
              </w:rPr>
              <w:t>R &lt; 0,5</w:t>
            </w:r>
          </w:p>
        </w:tc>
        <w:tc>
          <w:tcPr>
            <w:tcW w:w="2668"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195652A2" w14:textId="77777777" w:rsidR="00FC4E99" w:rsidRPr="00BD1319" w:rsidRDefault="00FC4E99" w:rsidP="009C6D76">
            <w:pPr>
              <w:tabs>
                <w:tab w:val="left" w:pos="-2268"/>
              </w:tabs>
              <w:suppressAutoHyphens/>
              <w:jc w:val="center"/>
              <w:rPr>
                <w:rFonts w:cs="Arial"/>
                <w:spacing w:val="-3"/>
                <w:sz w:val="22"/>
                <w:szCs w:val="22"/>
                <w:lang w:val="es-ES"/>
              </w:rPr>
            </w:pPr>
            <w:r w:rsidRPr="00BD1319">
              <w:rPr>
                <w:rFonts w:cs="Arial"/>
                <w:spacing w:val="-3"/>
                <w:sz w:val="22"/>
                <w:szCs w:val="22"/>
                <w:lang w:val="es-ES"/>
              </w:rPr>
              <w:t>Malo</w:t>
            </w:r>
          </w:p>
        </w:tc>
      </w:tr>
      <w:tr w:rsidR="00FC4E99" w:rsidRPr="00BD1319" w14:paraId="0796EED0" w14:textId="77777777" w:rsidTr="009C6D76">
        <w:trPr>
          <w:trHeight w:hRule="exact" w:val="397"/>
          <w:jc w:val="center"/>
        </w:trPr>
        <w:tc>
          <w:tcPr>
            <w:tcW w:w="2860"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hideMark/>
          </w:tcPr>
          <w:p w14:paraId="41D21DBD" w14:textId="77777777" w:rsidR="00FC4E99" w:rsidRPr="00BD1319" w:rsidRDefault="00FC4E99" w:rsidP="009C6D76">
            <w:pPr>
              <w:tabs>
                <w:tab w:val="left" w:pos="-2268"/>
              </w:tabs>
              <w:suppressAutoHyphens/>
              <w:jc w:val="center"/>
              <w:rPr>
                <w:rFonts w:cs="Arial"/>
                <w:spacing w:val="-3"/>
                <w:sz w:val="22"/>
                <w:szCs w:val="22"/>
                <w:lang w:val="es-ES"/>
              </w:rPr>
            </w:pPr>
            <w:r w:rsidRPr="00BD1319">
              <w:rPr>
                <w:rFonts w:cs="Arial"/>
                <w:spacing w:val="-3"/>
                <w:sz w:val="22"/>
                <w:szCs w:val="22"/>
                <w:lang w:val="es-ES"/>
              </w:rPr>
              <w:t>0,5 ≤ R &lt; 0,7</w:t>
            </w:r>
          </w:p>
        </w:tc>
        <w:tc>
          <w:tcPr>
            <w:tcW w:w="2668"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hideMark/>
          </w:tcPr>
          <w:p w14:paraId="34CBC024" w14:textId="77777777" w:rsidR="00FC4E99" w:rsidRPr="00BD1319" w:rsidRDefault="00FC4E99" w:rsidP="009C6D76">
            <w:pPr>
              <w:tabs>
                <w:tab w:val="left" w:pos="-2268"/>
              </w:tabs>
              <w:suppressAutoHyphens/>
              <w:jc w:val="center"/>
              <w:rPr>
                <w:rFonts w:cs="Arial"/>
                <w:spacing w:val="-3"/>
                <w:sz w:val="22"/>
                <w:szCs w:val="22"/>
                <w:lang w:val="es-ES"/>
              </w:rPr>
            </w:pPr>
            <w:r w:rsidRPr="00BD1319">
              <w:rPr>
                <w:rFonts w:cs="Arial"/>
                <w:spacing w:val="-3"/>
                <w:sz w:val="22"/>
                <w:szCs w:val="22"/>
                <w:lang w:val="es-ES"/>
              </w:rPr>
              <w:t>Regular</w:t>
            </w:r>
          </w:p>
        </w:tc>
      </w:tr>
      <w:tr w:rsidR="00FC4E99" w:rsidRPr="00BD1319" w14:paraId="4DE17298" w14:textId="77777777" w:rsidTr="009C6D76">
        <w:trPr>
          <w:trHeight w:hRule="exact" w:val="397"/>
          <w:jc w:val="center"/>
        </w:trPr>
        <w:tc>
          <w:tcPr>
            <w:tcW w:w="2860"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hideMark/>
          </w:tcPr>
          <w:p w14:paraId="44544AD9" w14:textId="77777777" w:rsidR="00FC4E99" w:rsidRPr="00BD1319" w:rsidRDefault="00FC4E99" w:rsidP="009C6D76">
            <w:pPr>
              <w:tabs>
                <w:tab w:val="left" w:pos="-2268"/>
              </w:tabs>
              <w:suppressAutoHyphens/>
              <w:jc w:val="center"/>
              <w:rPr>
                <w:rFonts w:cs="Arial"/>
                <w:spacing w:val="-3"/>
                <w:sz w:val="22"/>
                <w:szCs w:val="22"/>
                <w:lang w:val="es-ES"/>
              </w:rPr>
            </w:pPr>
            <w:r w:rsidRPr="00BD1319">
              <w:rPr>
                <w:rFonts w:cs="Arial"/>
                <w:spacing w:val="-3"/>
                <w:sz w:val="22"/>
                <w:szCs w:val="22"/>
                <w:lang w:val="es-ES"/>
              </w:rPr>
              <w:t>0,7 ≤ R &lt; 0,8</w:t>
            </w:r>
          </w:p>
        </w:tc>
        <w:tc>
          <w:tcPr>
            <w:tcW w:w="2668"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hideMark/>
          </w:tcPr>
          <w:p w14:paraId="70C843E4" w14:textId="77777777" w:rsidR="00FC4E99" w:rsidRPr="00BD1319" w:rsidRDefault="00FC4E99" w:rsidP="009C6D76">
            <w:pPr>
              <w:tabs>
                <w:tab w:val="left" w:pos="-2268"/>
              </w:tabs>
              <w:suppressAutoHyphens/>
              <w:jc w:val="center"/>
              <w:rPr>
                <w:rFonts w:cs="Arial"/>
                <w:spacing w:val="-3"/>
                <w:sz w:val="22"/>
                <w:szCs w:val="22"/>
                <w:lang w:val="es-ES"/>
              </w:rPr>
            </w:pPr>
            <w:r w:rsidRPr="00BD1319">
              <w:rPr>
                <w:rFonts w:cs="Arial"/>
                <w:spacing w:val="-3"/>
                <w:sz w:val="22"/>
                <w:szCs w:val="22"/>
                <w:lang w:val="es-ES"/>
              </w:rPr>
              <w:t>Bueno</w:t>
            </w:r>
          </w:p>
        </w:tc>
      </w:tr>
      <w:tr w:rsidR="00FC4E99" w:rsidRPr="00BD1319" w14:paraId="5CA0E5E0" w14:textId="77777777" w:rsidTr="009C6D76">
        <w:trPr>
          <w:trHeight w:hRule="exact" w:val="397"/>
          <w:jc w:val="center"/>
        </w:trPr>
        <w:tc>
          <w:tcPr>
            <w:tcW w:w="2860"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hideMark/>
          </w:tcPr>
          <w:p w14:paraId="5CF6194B" w14:textId="77777777" w:rsidR="00FC4E99" w:rsidRPr="00BD1319" w:rsidRDefault="00FC4E99" w:rsidP="009C6D76">
            <w:pPr>
              <w:tabs>
                <w:tab w:val="left" w:pos="-2268"/>
              </w:tabs>
              <w:suppressAutoHyphens/>
              <w:jc w:val="center"/>
              <w:rPr>
                <w:rFonts w:cs="Arial"/>
                <w:spacing w:val="-3"/>
                <w:sz w:val="22"/>
                <w:szCs w:val="22"/>
                <w:lang w:val="es-ES"/>
              </w:rPr>
            </w:pPr>
            <w:r w:rsidRPr="00BD1319">
              <w:rPr>
                <w:rFonts w:cs="Arial"/>
                <w:spacing w:val="-3"/>
                <w:sz w:val="22"/>
                <w:szCs w:val="22"/>
                <w:lang w:val="es-ES"/>
              </w:rPr>
              <w:t>0,8 ≤ R &lt; 1,0</w:t>
            </w:r>
          </w:p>
        </w:tc>
        <w:tc>
          <w:tcPr>
            <w:tcW w:w="2668"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hideMark/>
          </w:tcPr>
          <w:p w14:paraId="6835378C" w14:textId="77777777" w:rsidR="00FC4E99" w:rsidRPr="00BD1319" w:rsidRDefault="00FC4E99" w:rsidP="009C6D76">
            <w:pPr>
              <w:tabs>
                <w:tab w:val="left" w:pos="-2268"/>
              </w:tabs>
              <w:suppressAutoHyphens/>
              <w:jc w:val="center"/>
              <w:rPr>
                <w:rFonts w:cs="Arial"/>
                <w:spacing w:val="-3"/>
                <w:sz w:val="22"/>
                <w:szCs w:val="22"/>
                <w:lang w:val="es-ES"/>
              </w:rPr>
            </w:pPr>
            <w:r w:rsidRPr="00BD1319">
              <w:rPr>
                <w:rFonts w:cs="Arial"/>
                <w:spacing w:val="-3"/>
                <w:sz w:val="22"/>
                <w:szCs w:val="22"/>
                <w:lang w:val="es-ES"/>
              </w:rPr>
              <w:t>Excelente</w:t>
            </w:r>
          </w:p>
        </w:tc>
      </w:tr>
      <w:tr w:rsidR="00FC4E99" w:rsidRPr="00BD1319" w14:paraId="2C5ADE1E" w14:textId="77777777" w:rsidTr="009C6D76">
        <w:trPr>
          <w:trHeight w:hRule="exact" w:val="397"/>
          <w:jc w:val="center"/>
        </w:trPr>
        <w:tc>
          <w:tcPr>
            <w:tcW w:w="2860"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hideMark/>
          </w:tcPr>
          <w:p w14:paraId="239FB16C" w14:textId="77777777" w:rsidR="00FC4E99" w:rsidRPr="00BD1319" w:rsidRDefault="00FC4E99" w:rsidP="009C6D76">
            <w:pPr>
              <w:tabs>
                <w:tab w:val="left" w:pos="-2268"/>
              </w:tabs>
              <w:suppressAutoHyphens/>
              <w:jc w:val="center"/>
              <w:rPr>
                <w:rFonts w:cs="Arial"/>
                <w:spacing w:val="-3"/>
                <w:sz w:val="22"/>
                <w:szCs w:val="22"/>
                <w:lang w:val="es-ES"/>
              </w:rPr>
            </w:pPr>
            <w:r w:rsidRPr="00BD1319">
              <w:rPr>
                <w:rFonts w:cs="Arial"/>
                <w:spacing w:val="-3"/>
                <w:sz w:val="22"/>
                <w:szCs w:val="22"/>
                <w:lang w:val="es-ES"/>
              </w:rPr>
              <w:t>R = 1,0</w:t>
            </w:r>
          </w:p>
        </w:tc>
        <w:tc>
          <w:tcPr>
            <w:tcW w:w="2668"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hideMark/>
          </w:tcPr>
          <w:p w14:paraId="4066370E" w14:textId="77777777" w:rsidR="00FC4E99" w:rsidRPr="00BD1319" w:rsidRDefault="00FC4E99" w:rsidP="009C6D76">
            <w:pPr>
              <w:tabs>
                <w:tab w:val="left" w:pos="-2268"/>
              </w:tabs>
              <w:suppressAutoHyphens/>
              <w:jc w:val="center"/>
              <w:rPr>
                <w:rFonts w:cs="Arial"/>
                <w:spacing w:val="-3"/>
                <w:sz w:val="22"/>
                <w:szCs w:val="22"/>
                <w:lang w:val="es-ES"/>
              </w:rPr>
            </w:pPr>
            <w:r w:rsidRPr="00BD1319">
              <w:rPr>
                <w:rFonts w:cs="Arial"/>
                <w:spacing w:val="-3"/>
                <w:sz w:val="22"/>
                <w:szCs w:val="22"/>
                <w:lang w:val="es-ES"/>
              </w:rPr>
              <w:t>Perfecto</w:t>
            </w:r>
          </w:p>
        </w:tc>
      </w:tr>
    </w:tbl>
    <w:p w14:paraId="3507EA0F" w14:textId="3F5F4D57" w:rsidR="00FC4E99" w:rsidRPr="00BD1319" w:rsidRDefault="00FC4E99" w:rsidP="00FC4E99">
      <w:pPr>
        <w:tabs>
          <w:tab w:val="left" w:pos="-2268"/>
        </w:tabs>
        <w:suppressAutoHyphens/>
        <w:jc w:val="center"/>
        <w:rPr>
          <w:rFonts w:cs="Arial"/>
          <w:spacing w:val="-3"/>
          <w:sz w:val="20"/>
          <w:szCs w:val="20"/>
          <w:lang w:val="es-ES"/>
        </w:rPr>
      </w:pPr>
      <w:r w:rsidRPr="00BD1319">
        <w:rPr>
          <w:rFonts w:cs="Arial"/>
          <w:b/>
          <w:bCs/>
          <w:spacing w:val="-3"/>
          <w:sz w:val="20"/>
          <w:szCs w:val="20"/>
          <w:lang w:val="es-ES"/>
        </w:rPr>
        <w:t>Fuente:</w:t>
      </w:r>
      <w:r w:rsidRPr="00BD1319">
        <w:rPr>
          <w:rFonts w:cs="Arial"/>
          <w:spacing w:val="-3"/>
          <w:sz w:val="20"/>
          <w:szCs w:val="20"/>
          <w:lang w:val="es-ES"/>
        </w:rPr>
        <w:t xml:space="preserve"> Molnar (2011).</w:t>
      </w:r>
    </w:p>
    <w:p w14:paraId="0BAB0E08" w14:textId="77777777" w:rsidR="00FC4E99" w:rsidRPr="00BD1319" w:rsidRDefault="00FC4E99" w:rsidP="00FC4E99">
      <w:pPr>
        <w:tabs>
          <w:tab w:val="left" w:pos="-2268"/>
        </w:tabs>
        <w:suppressAutoHyphens/>
        <w:rPr>
          <w:rFonts w:cs="Arial"/>
          <w:b/>
          <w:bCs/>
          <w:spacing w:val="-3"/>
          <w:lang w:val="es-ES"/>
        </w:rPr>
      </w:pPr>
    </w:p>
    <w:p w14:paraId="3C45EE72" w14:textId="1DFD0C62" w:rsidR="00FC4E99" w:rsidRPr="00BD1319" w:rsidRDefault="00FC4E99" w:rsidP="00FC4E99">
      <w:pPr>
        <w:pStyle w:val="Descripcin"/>
        <w:jc w:val="center"/>
        <w:rPr>
          <w:rFonts w:cs="Arial"/>
          <w:spacing w:val="-3"/>
        </w:rPr>
      </w:pPr>
      <w:bookmarkStart w:id="2675" w:name="_Ref145062427"/>
      <w:r w:rsidRPr="00BD1319">
        <w:t xml:space="preserve">Tabla </w:t>
      </w:r>
      <w:fldSimple w:instr=" SEQ Tabla \* ARABIC ">
        <w:r w:rsidR="00296654" w:rsidRPr="00BD1319">
          <w:rPr>
            <w:noProof/>
          </w:rPr>
          <w:t>21</w:t>
        </w:r>
      </w:fldSimple>
      <w:bookmarkEnd w:id="2675"/>
      <w:r w:rsidRPr="00BD1319">
        <w:rPr>
          <w:rFonts w:cs="Arial"/>
          <w:spacing w:val="-3"/>
        </w:rPr>
        <w:t>.</w:t>
      </w:r>
      <w:r w:rsidRPr="00BD1319">
        <w:rPr>
          <w:rFonts w:cs="Arial"/>
          <w:b w:val="0"/>
          <w:bCs w:val="0"/>
          <w:spacing w:val="-3"/>
        </w:rPr>
        <w:t xml:space="preserve"> Nash-</w:t>
      </w:r>
      <w:proofErr w:type="spellStart"/>
      <w:r w:rsidRPr="00BD1319">
        <w:rPr>
          <w:rFonts w:cs="Arial"/>
          <w:b w:val="0"/>
          <w:bCs w:val="0"/>
          <w:spacing w:val="-3"/>
        </w:rPr>
        <w:t>Sutcliffe</w:t>
      </w:r>
      <w:proofErr w:type="spellEnd"/>
    </w:p>
    <w:tbl>
      <w:tblPr>
        <w:tblStyle w:val="Tablaconcuadrcula"/>
        <w:tblW w:w="0" w:type="auto"/>
        <w:tblInd w:w="1838" w:type="dxa"/>
        <w:tblLook w:val="0600" w:firstRow="0" w:lastRow="0" w:firstColumn="0" w:lastColumn="0" w:noHBand="1" w:noVBand="1"/>
      </w:tblPr>
      <w:tblGrid>
        <w:gridCol w:w="2860"/>
        <w:gridCol w:w="2668"/>
      </w:tblGrid>
      <w:tr w:rsidR="00FC4E99" w:rsidRPr="00BD1319" w14:paraId="680B73CC" w14:textId="77777777" w:rsidTr="009C6D76">
        <w:trPr>
          <w:trHeight w:hRule="exact" w:val="397"/>
        </w:trPr>
        <w:tc>
          <w:tcPr>
            <w:tcW w:w="2860" w:type="dxa"/>
          </w:tcPr>
          <w:p w14:paraId="61D96554" w14:textId="77777777" w:rsidR="00FC4E99" w:rsidRPr="00BD1319" w:rsidRDefault="00FC4E99" w:rsidP="009C6D76">
            <w:pPr>
              <w:tabs>
                <w:tab w:val="left" w:pos="-2268"/>
              </w:tabs>
              <w:suppressAutoHyphens/>
              <w:jc w:val="center"/>
              <w:rPr>
                <w:rFonts w:cs="Arial"/>
                <w:b/>
                <w:bCs/>
                <w:spacing w:val="-3"/>
                <w:sz w:val="22"/>
                <w:szCs w:val="22"/>
                <w:lang w:val="es-ES"/>
              </w:rPr>
            </w:pPr>
            <w:r w:rsidRPr="00BD1319">
              <w:rPr>
                <w:rFonts w:cs="Arial"/>
                <w:b/>
                <w:bCs/>
                <w:spacing w:val="-3"/>
                <w:sz w:val="22"/>
                <w:szCs w:val="22"/>
                <w:lang w:val="es-ES"/>
              </w:rPr>
              <w:t>Nash-</w:t>
            </w:r>
            <w:proofErr w:type="spellStart"/>
            <w:r w:rsidRPr="00BD1319">
              <w:rPr>
                <w:rFonts w:cs="Arial"/>
                <w:b/>
                <w:bCs/>
                <w:spacing w:val="-3"/>
                <w:sz w:val="22"/>
                <w:szCs w:val="22"/>
                <w:lang w:val="es-ES"/>
              </w:rPr>
              <w:t>Sutcliffe</w:t>
            </w:r>
            <w:proofErr w:type="spellEnd"/>
          </w:p>
        </w:tc>
        <w:tc>
          <w:tcPr>
            <w:tcW w:w="2668" w:type="dxa"/>
          </w:tcPr>
          <w:p w14:paraId="6C112027" w14:textId="77777777" w:rsidR="00FC4E99" w:rsidRPr="00BD1319" w:rsidRDefault="00FC4E99" w:rsidP="009C6D76">
            <w:pPr>
              <w:tabs>
                <w:tab w:val="left" w:pos="-2268"/>
              </w:tabs>
              <w:suppressAutoHyphens/>
              <w:jc w:val="center"/>
              <w:rPr>
                <w:rFonts w:cs="Arial"/>
                <w:b/>
                <w:bCs/>
                <w:spacing w:val="-3"/>
                <w:sz w:val="22"/>
                <w:szCs w:val="22"/>
                <w:lang w:val="es-ES"/>
              </w:rPr>
            </w:pPr>
            <w:r w:rsidRPr="00BD1319">
              <w:rPr>
                <w:rFonts w:cs="Arial"/>
                <w:b/>
                <w:bCs/>
                <w:spacing w:val="-3"/>
                <w:sz w:val="22"/>
                <w:szCs w:val="22"/>
                <w:lang w:val="es-ES"/>
              </w:rPr>
              <w:t>Categoría</w:t>
            </w:r>
          </w:p>
        </w:tc>
      </w:tr>
      <w:tr w:rsidR="00FC4E99" w:rsidRPr="00BD1319" w14:paraId="121B84DF" w14:textId="77777777" w:rsidTr="009C6D76">
        <w:trPr>
          <w:trHeight w:hRule="exact" w:val="397"/>
        </w:trPr>
        <w:tc>
          <w:tcPr>
            <w:tcW w:w="2860" w:type="dxa"/>
          </w:tcPr>
          <w:p w14:paraId="1A664E3A" w14:textId="77777777" w:rsidR="00FC4E99" w:rsidRPr="00BD1319" w:rsidRDefault="00FC4E99" w:rsidP="009C6D76">
            <w:pPr>
              <w:tabs>
                <w:tab w:val="left" w:pos="-2268"/>
              </w:tabs>
              <w:suppressAutoHyphens/>
              <w:jc w:val="center"/>
              <w:rPr>
                <w:rFonts w:cs="Arial"/>
                <w:spacing w:val="-3"/>
                <w:sz w:val="22"/>
                <w:szCs w:val="22"/>
                <w:lang w:val="es-ES"/>
              </w:rPr>
            </w:pPr>
            <w:r w:rsidRPr="00BD1319">
              <w:rPr>
                <w:rFonts w:cs="Arial"/>
                <w:spacing w:val="-3"/>
                <w:sz w:val="22"/>
                <w:szCs w:val="22"/>
                <w:lang w:val="es-ES"/>
              </w:rPr>
              <w:lastRenderedPageBreak/>
              <w:t>N-S &lt; 0,2</w:t>
            </w:r>
          </w:p>
        </w:tc>
        <w:tc>
          <w:tcPr>
            <w:tcW w:w="2668" w:type="dxa"/>
          </w:tcPr>
          <w:p w14:paraId="61D3B6DF" w14:textId="77777777" w:rsidR="00FC4E99" w:rsidRPr="00BD1319" w:rsidRDefault="00FC4E99" w:rsidP="009C6D76">
            <w:pPr>
              <w:tabs>
                <w:tab w:val="left" w:pos="-2268"/>
              </w:tabs>
              <w:suppressAutoHyphens/>
              <w:jc w:val="center"/>
              <w:rPr>
                <w:rFonts w:cs="Arial"/>
                <w:spacing w:val="-3"/>
                <w:sz w:val="22"/>
                <w:szCs w:val="22"/>
                <w:lang w:val="es-ES"/>
              </w:rPr>
            </w:pPr>
            <w:r w:rsidRPr="00BD1319">
              <w:rPr>
                <w:rFonts w:cs="Arial"/>
                <w:spacing w:val="-3"/>
                <w:sz w:val="22"/>
                <w:szCs w:val="22"/>
                <w:lang w:val="es-ES"/>
              </w:rPr>
              <w:t>Insuficiente</w:t>
            </w:r>
          </w:p>
        </w:tc>
      </w:tr>
      <w:tr w:rsidR="00FC4E99" w:rsidRPr="00BD1319" w14:paraId="20F4B5EB" w14:textId="77777777" w:rsidTr="009C6D76">
        <w:trPr>
          <w:trHeight w:hRule="exact" w:val="397"/>
        </w:trPr>
        <w:tc>
          <w:tcPr>
            <w:tcW w:w="2860" w:type="dxa"/>
            <w:hideMark/>
          </w:tcPr>
          <w:p w14:paraId="44C51C27" w14:textId="77777777" w:rsidR="00FC4E99" w:rsidRPr="00BD1319" w:rsidRDefault="00FC4E99" w:rsidP="009C6D76">
            <w:pPr>
              <w:tabs>
                <w:tab w:val="left" w:pos="-2268"/>
              </w:tabs>
              <w:suppressAutoHyphens/>
              <w:jc w:val="center"/>
              <w:rPr>
                <w:rFonts w:cs="Arial"/>
                <w:spacing w:val="-3"/>
                <w:sz w:val="22"/>
                <w:szCs w:val="22"/>
                <w:lang w:val="es-ES"/>
              </w:rPr>
            </w:pPr>
            <w:r w:rsidRPr="00BD1319">
              <w:rPr>
                <w:rFonts w:cs="Arial"/>
                <w:spacing w:val="-3"/>
                <w:sz w:val="22"/>
                <w:szCs w:val="22"/>
                <w:lang w:val="es-ES"/>
              </w:rPr>
              <w:t>0,2 ≤ N-S &lt; 0,4</w:t>
            </w:r>
          </w:p>
        </w:tc>
        <w:tc>
          <w:tcPr>
            <w:tcW w:w="2668" w:type="dxa"/>
            <w:hideMark/>
          </w:tcPr>
          <w:p w14:paraId="58D5E666" w14:textId="77777777" w:rsidR="00FC4E99" w:rsidRPr="00BD1319" w:rsidRDefault="00FC4E99" w:rsidP="009C6D76">
            <w:pPr>
              <w:tabs>
                <w:tab w:val="left" w:pos="-2268"/>
              </w:tabs>
              <w:suppressAutoHyphens/>
              <w:jc w:val="center"/>
              <w:rPr>
                <w:rFonts w:cs="Arial"/>
                <w:spacing w:val="-3"/>
                <w:sz w:val="22"/>
                <w:szCs w:val="22"/>
                <w:lang w:val="es-ES"/>
              </w:rPr>
            </w:pPr>
            <w:r w:rsidRPr="00BD1319">
              <w:rPr>
                <w:rFonts w:cs="Arial"/>
                <w:spacing w:val="-3"/>
                <w:sz w:val="22"/>
                <w:szCs w:val="22"/>
                <w:lang w:val="es-ES"/>
              </w:rPr>
              <w:t>Satisfactorio</w:t>
            </w:r>
          </w:p>
        </w:tc>
      </w:tr>
      <w:tr w:rsidR="00FC4E99" w:rsidRPr="00BD1319" w14:paraId="0ADF95A9" w14:textId="77777777" w:rsidTr="009C6D76">
        <w:trPr>
          <w:trHeight w:hRule="exact" w:val="397"/>
        </w:trPr>
        <w:tc>
          <w:tcPr>
            <w:tcW w:w="2860" w:type="dxa"/>
            <w:hideMark/>
          </w:tcPr>
          <w:p w14:paraId="66F3AA32" w14:textId="77777777" w:rsidR="00FC4E99" w:rsidRPr="00BD1319" w:rsidRDefault="00FC4E99" w:rsidP="009C6D76">
            <w:pPr>
              <w:tabs>
                <w:tab w:val="left" w:pos="-2268"/>
              </w:tabs>
              <w:suppressAutoHyphens/>
              <w:jc w:val="center"/>
              <w:rPr>
                <w:rFonts w:cs="Arial"/>
                <w:spacing w:val="-3"/>
                <w:sz w:val="22"/>
                <w:szCs w:val="22"/>
                <w:lang w:val="es-ES"/>
              </w:rPr>
            </w:pPr>
            <w:r w:rsidRPr="00BD1319">
              <w:rPr>
                <w:rFonts w:cs="Arial"/>
                <w:spacing w:val="-3"/>
                <w:sz w:val="22"/>
                <w:szCs w:val="22"/>
                <w:lang w:val="es-ES"/>
              </w:rPr>
              <w:t>0,4 ≤ N-S &lt; 0,6</w:t>
            </w:r>
          </w:p>
        </w:tc>
        <w:tc>
          <w:tcPr>
            <w:tcW w:w="2668" w:type="dxa"/>
            <w:hideMark/>
          </w:tcPr>
          <w:p w14:paraId="2CD5385A" w14:textId="77777777" w:rsidR="00FC4E99" w:rsidRPr="00BD1319" w:rsidRDefault="00FC4E99" w:rsidP="009C6D76">
            <w:pPr>
              <w:tabs>
                <w:tab w:val="left" w:pos="-2268"/>
              </w:tabs>
              <w:suppressAutoHyphens/>
              <w:jc w:val="center"/>
              <w:rPr>
                <w:rFonts w:cs="Arial"/>
                <w:spacing w:val="-3"/>
                <w:sz w:val="22"/>
                <w:szCs w:val="22"/>
                <w:lang w:val="es-ES"/>
              </w:rPr>
            </w:pPr>
            <w:r w:rsidRPr="00BD1319">
              <w:rPr>
                <w:rFonts w:cs="Arial"/>
                <w:spacing w:val="-3"/>
                <w:sz w:val="22"/>
                <w:szCs w:val="22"/>
                <w:lang w:val="es-ES"/>
              </w:rPr>
              <w:t>Bueno</w:t>
            </w:r>
          </w:p>
        </w:tc>
      </w:tr>
      <w:tr w:rsidR="00FC4E99" w:rsidRPr="00BD1319" w14:paraId="4CD9A8F5" w14:textId="77777777" w:rsidTr="009C6D76">
        <w:trPr>
          <w:trHeight w:hRule="exact" w:val="397"/>
        </w:trPr>
        <w:tc>
          <w:tcPr>
            <w:tcW w:w="2860" w:type="dxa"/>
            <w:hideMark/>
          </w:tcPr>
          <w:p w14:paraId="3E7D3A61" w14:textId="77777777" w:rsidR="00FC4E99" w:rsidRPr="00BD1319" w:rsidRDefault="00FC4E99" w:rsidP="009C6D76">
            <w:pPr>
              <w:tabs>
                <w:tab w:val="left" w:pos="-2268"/>
              </w:tabs>
              <w:suppressAutoHyphens/>
              <w:jc w:val="center"/>
              <w:rPr>
                <w:rFonts w:cs="Arial"/>
                <w:spacing w:val="-3"/>
                <w:sz w:val="22"/>
                <w:szCs w:val="22"/>
                <w:lang w:val="es-ES"/>
              </w:rPr>
            </w:pPr>
            <w:r w:rsidRPr="00BD1319">
              <w:rPr>
                <w:rFonts w:cs="Arial"/>
                <w:spacing w:val="-3"/>
                <w:sz w:val="22"/>
                <w:szCs w:val="22"/>
                <w:lang w:val="es-ES"/>
              </w:rPr>
              <w:t>0,6 ≤ N-S &lt; 0,8</w:t>
            </w:r>
          </w:p>
        </w:tc>
        <w:tc>
          <w:tcPr>
            <w:tcW w:w="2668" w:type="dxa"/>
            <w:hideMark/>
          </w:tcPr>
          <w:p w14:paraId="653567BD" w14:textId="77777777" w:rsidR="00FC4E99" w:rsidRPr="00BD1319" w:rsidRDefault="00FC4E99" w:rsidP="009C6D76">
            <w:pPr>
              <w:tabs>
                <w:tab w:val="left" w:pos="-2268"/>
              </w:tabs>
              <w:suppressAutoHyphens/>
              <w:jc w:val="center"/>
              <w:rPr>
                <w:rFonts w:cs="Arial"/>
                <w:spacing w:val="-3"/>
                <w:sz w:val="22"/>
                <w:szCs w:val="22"/>
                <w:lang w:val="es-ES"/>
              </w:rPr>
            </w:pPr>
            <w:r w:rsidRPr="00BD1319">
              <w:rPr>
                <w:rFonts w:cs="Arial"/>
                <w:spacing w:val="-3"/>
                <w:sz w:val="22"/>
                <w:szCs w:val="22"/>
                <w:lang w:val="es-ES"/>
              </w:rPr>
              <w:t>Muy bueno</w:t>
            </w:r>
          </w:p>
        </w:tc>
      </w:tr>
      <w:tr w:rsidR="00FC4E99" w:rsidRPr="00BD1319" w14:paraId="33BE3059" w14:textId="77777777" w:rsidTr="009C6D76">
        <w:trPr>
          <w:trHeight w:hRule="exact" w:val="397"/>
        </w:trPr>
        <w:tc>
          <w:tcPr>
            <w:tcW w:w="2860" w:type="dxa"/>
            <w:hideMark/>
          </w:tcPr>
          <w:p w14:paraId="55339D0A" w14:textId="77777777" w:rsidR="00FC4E99" w:rsidRPr="00BD1319" w:rsidRDefault="00FC4E99" w:rsidP="009C6D76">
            <w:pPr>
              <w:tabs>
                <w:tab w:val="left" w:pos="-2268"/>
              </w:tabs>
              <w:suppressAutoHyphens/>
              <w:jc w:val="center"/>
              <w:rPr>
                <w:rFonts w:cs="Arial"/>
                <w:spacing w:val="-3"/>
                <w:sz w:val="22"/>
                <w:szCs w:val="22"/>
                <w:lang w:val="es-ES"/>
              </w:rPr>
            </w:pPr>
            <w:r w:rsidRPr="00BD1319">
              <w:rPr>
                <w:rFonts w:cs="Arial"/>
                <w:spacing w:val="-3"/>
                <w:sz w:val="22"/>
                <w:szCs w:val="22"/>
                <w:lang w:val="es-ES"/>
              </w:rPr>
              <w:t>N-S ≥ 0,8</w:t>
            </w:r>
          </w:p>
        </w:tc>
        <w:tc>
          <w:tcPr>
            <w:tcW w:w="2668" w:type="dxa"/>
            <w:hideMark/>
          </w:tcPr>
          <w:p w14:paraId="381C60E6" w14:textId="77777777" w:rsidR="00FC4E99" w:rsidRPr="00BD1319" w:rsidRDefault="00FC4E99" w:rsidP="009C6D76">
            <w:pPr>
              <w:tabs>
                <w:tab w:val="left" w:pos="-2268"/>
              </w:tabs>
              <w:suppressAutoHyphens/>
              <w:jc w:val="center"/>
              <w:rPr>
                <w:rFonts w:cs="Arial"/>
                <w:spacing w:val="-3"/>
                <w:sz w:val="22"/>
                <w:szCs w:val="22"/>
                <w:lang w:val="es-ES"/>
              </w:rPr>
            </w:pPr>
            <w:r w:rsidRPr="00BD1319">
              <w:rPr>
                <w:rFonts w:cs="Arial"/>
                <w:spacing w:val="-3"/>
                <w:sz w:val="22"/>
                <w:szCs w:val="22"/>
                <w:lang w:val="es-ES"/>
              </w:rPr>
              <w:t>Excelente</w:t>
            </w:r>
          </w:p>
        </w:tc>
      </w:tr>
    </w:tbl>
    <w:p w14:paraId="2251832D" w14:textId="4626C79D" w:rsidR="00FC4E99" w:rsidRPr="00BD1319" w:rsidRDefault="00FC4E99" w:rsidP="00FC4E99">
      <w:pPr>
        <w:tabs>
          <w:tab w:val="left" w:pos="-2268"/>
        </w:tabs>
        <w:suppressAutoHyphens/>
        <w:jc w:val="center"/>
        <w:rPr>
          <w:rFonts w:cs="Arial"/>
          <w:spacing w:val="-3"/>
          <w:sz w:val="20"/>
          <w:szCs w:val="20"/>
          <w:lang w:val="es-ES"/>
        </w:rPr>
      </w:pPr>
      <w:r w:rsidRPr="00BD1319">
        <w:rPr>
          <w:rFonts w:cs="Arial"/>
          <w:b/>
          <w:bCs/>
          <w:spacing w:val="-3"/>
          <w:sz w:val="20"/>
          <w:szCs w:val="20"/>
          <w:lang w:val="es-ES"/>
        </w:rPr>
        <w:t>Fuente:</w:t>
      </w:r>
      <w:r w:rsidRPr="00BD1319">
        <w:rPr>
          <w:rFonts w:cs="Arial"/>
          <w:spacing w:val="-3"/>
          <w:sz w:val="20"/>
          <w:szCs w:val="20"/>
          <w:lang w:val="es-ES"/>
        </w:rPr>
        <w:t xml:space="preserve"> Molnar (2011).</w:t>
      </w:r>
    </w:p>
    <w:p w14:paraId="18A2C2BC" w14:textId="77777777" w:rsidR="006E47E7" w:rsidRPr="00BD1319" w:rsidRDefault="006E47E7">
      <w:pPr>
        <w:tabs>
          <w:tab w:val="left" w:pos="-2268"/>
        </w:tabs>
        <w:suppressAutoHyphens/>
        <w:rPr>
          <w:spacing w:val="-3"/>
        </w:rPr>
      </w:pPr>
    </w:p>
    <w:p w14:paraId="7BB9FCAF" w14:textId="73FEE1E5" w:rsidR="009D132B" w:rsidRPr="00BD1319" w:rsidRDefault="009D132B">
      <w:pPr>
        <w:tabs>
          <w:tab w:val="left" w:pos="-2268"/>
        </w:tabs>
        <w:suppressAutoHyphens/>
        <w:rPr>
          <w:spacing w:val="-3"/>
        </w:rPr>
      </w:pPr>
      <w:r w:rsidRPr="00BD1319">
        <w:rPr>
          <w:spacing w:val="-3"/>
        </w:rPr>
        <w:t>Construir, para las series de caudal observadas o generadas sintéticamente, las respectivas Curvas de Duración de Caudales medios diarios y mensuales en cada uno de los puntos susceptibles de intervención por captación, vertimiento u ocupación de cauce. Igualmente, se debe presentar un resumen gráfico de las series diarias, mensuales y anuales de caudal utilizando diagramas de cajas y bigotes (</w:t>
      </w:r>
      <w:proofErr w:type="spellStart"/>
      <w:r w:rsidRPr="00BD1319">
        <w:rPr>
          <w:spacing w:val="-3"/>
        </w:rPr>
        <w:t>boxplots</w:t>
      </w:r>
      <w:proofErr w:type="spellEnd"/>
      <w:r w:rsidRPr="00BD1319">
        <w:rPr>
          <w:spacing w:val="-3"/>
        </w:rPr>
        <w:t>), en donde se indiquen los valores máximos, medios y mínimos, y los cuartiles.</w:t>
      </w:r>
      <w:r w:rsidRPr="00BD1319">
        <w:rPr>
          <w:rFonts w:cs="Arial"/>
          <w:spacing w:val="-3"/>
        </w:rPr>
        <w:t xml:space="preserve"> Estimar la oferta hídrica superficial total y disponible para las unidades hidrográficas de interés involucradas en el área de influencia del </w:t>
      </w:r>
      <w:r w:rsidR="00BC2EE3" w:rsidRPr="00BD1319">
        <w:rPr>
          <w:rFonts w:cs="Arial"/>
          <w:spacing w:val="-3"/>
        </w:rPr>
        <w:t>componente</w:t>
      </w:r>
      <w:r w:rsidRPr="00BD1319">
        <w:rPr>
          <w:rFonts w:cs="Arial"/>
          <w:spacing w:val="-3"/>
        </w:rPr>
        <w:t>, y cuando aplique, para los puntos de captación de este.</w:t>
      </w:r>
    </w:p>
    <w:p w14:paraId="291FB273" w14:textId="77777777" w:rsidR="009D132B" w:rsidRPr="00BD1319" w:rsidRDefault="009D132B">
      <w:pPr>
        <w:tabs>
          <w:tab w:val="left" w:pos="-2268"/>
        </w:tabs>
        <w:suppressAutoHyphens/>
        <w:rPr>
          <w:spacing w:val="-3"/>
        </w:rPr>
      </w:pPr>
    </w:p>
    <w:p w14:paraId="400DA1F2" w14:textId="6F3EFB6A" w:rsidR="009D132B" w:rsidRPr="00BD1319" w:rsidRDefault="009D132B">
      <w:pPr>
        <w:tabs>
          <w:tab w:val="left" w:pos="-2268"/>
        </w:tabs>
        <w:suppressAutoHyphens/>
        <w:rPr>
          <w:spacing w:val="-3"/>
        </w:rPr>
      </w:pPr>
      <w:r w:rsidRPr="00BD1319">
        <w:rPr>
          <w:spacing w:val="-3"/>
        </w:rPr>
        <w:t xml:space="preserve">Estimar el índice de aridez (IA) y el índice de retención y regulación hídrica (IRH) para las unidades de análisis hidrológico definidas, de acuerdo con la propuesta metodológica del </w:t>
      </w:r>
      <w:proofErr w:type="spellStart"/>
      <w:r w:rsidR="00A92356" w:rsidRPr="00BD1319">
        <w:rPr>
          <w:spacing w:val="-3"/>
        </w:rPr>
        <w:t>Ideam</w:t>
      </w:r>
      <w:proofErr w:type="spellEnd"/>
      <w:r w:rsidRPr="00BD1319">
        <w:rPr>
          <w:spacing w:val="-3"/>
        </w:rPr>
        <w:t xml:space="preserve"> para la escala de trabajo (Evaluaciones Regionales del Agua), respecto a su estimación y representación espacial.</w:t>
      </w:r>
    </w:p>
    <w:p w14:paraId="660A9548" w14:textId="77777777" w:rsidR="009D132B" w:rsidRPr="00BD1319" w:rsidRDefault="009D132B">
      <w:pPr>
        <w:tabs>
          <w:tab w:val="left" w:pos="-2268"/>
        </w:tabs>
        <w:suppressAutoHyphens/>
        <w:rPr>
          <w:spacing w:val="-3"/>
        </w:rPr>
      </w:pPr>
    </w:p>
    <w:p w14:paraId="475DA846" w14:textId="4A2A6DFA" w:rsidR="00B55470" w:rsidRPr="00BD1319" w:rsidRDefault="00B55470" w:rsidP="00B55470">
      <w:pPr>
        <w:tabs>
          <w:tab w:val="left" w:pos="-2268"/>
        </w:tabs>
        <w:suppressAutoHyphens/>
        <w:rPr>
          <w:rFonts w:cs="Arial"/>
          <w:spacing w:val="-3"/>
        </w:rPr>
      </w:pPr>
      <w:r w:rsidRPr="00BD1319">
        <w:rPr>
          <w:rFonts w:cs="Arial"/>
          <w:spacing w:val="-3"/>
        </w:rPr>
        <w:t>A partir de la información primaria y secundaria disponible, estimar la oferta hídrica superficial total y disponible a escala mensual para el cuerpo de agua principal con intervención, las unidades hidrográficas de interés en el área de influencia del componente según sitios estratégicos por intervención o afectación y cuando aplique, en cada uno de los puntos susceptibles de intervención por captación o vertimiento en aguas superficiales, en caso de estar definidos. Lo anterior teniendo en cuenta que la oferta hídrica disponible es la oferta hídrica total menos el caudal ambiental.</w:t>
      </w:r>
    </w:p>
    <w:p w14:paraId="6F0D6C27" w14:textId="77777777" w:rsidR="00B55470" w:rsidRPr="00BD1319" w:rsidRDefault="00B55470" w:rsidP="00B55470">
      <w:pPr>
        <w:tabs>
          <w:tab w:val="left" w:pos="-2268"/>
        </w:tabs>
        <w:suppressAutoHyphens/>
        <w:rPr>
          <w:rFonts w:cs="Arial"/>
          <w:spacing w:val="-3"/>
        </w:rPr>
      </w:pPr>
    </w:p>
    <w:p w14:paraId="70FB157E" w14:textId="3F35EB94" w:rsidR="00B55470" w:rsidRPr="00BD1319" w:rsidRDefault="00B55470" w:rsidP="00B55470">
      <w:pPr>
        <w:tabs>
          <w:tab w:val="left" w:pos="-2268"/>
        </w:tabs>
        <w:suppressAutoHyphens/>
        <w:rPr>
          <w:rFonts w:cs="Arial"/>
          <w:spacing w:val="-3"/>
        </w:rPr>
      </w:pPr>
      <w:r w:rsidRPr="00BD1319">
        <w:rPr>
          <w:rFonts w:cs="Arial"/>
          <w:spacing w:val="-3"/>
        </w:rPr>
        <w:t>Estimar el caudal ambiental</w:t>
      </w:r>
      <w:r w:rsidRPr="00BD1319">
        <w:rPr>
          <w:rFonts w:cs="Arial"/>
          <w:spacing w:val="-3"/>
          <w:vertAlign w:val="superscript"/>
        </w:rPr>
        <w:footnoteReference w:id="116"/>
      </w:r>
      <w:r w:rsidRPr="00BD1319">
        <w:rPr>
          <w:rFonts w:cs="Arial"/>
          <w:spacing w:val="-3"/>
        </w:rPr>
        <w:t xml:space="preserve"> para el cuerpo de agua principal con intervención, en las unidades hidrográficas de interés del área de influencia del componente, en sitios estratégicos que sean de interés por intervención o posible afectación y en cada uno de los puntos susceptibles de intervención por captación o vertimiento en aguas superficiales a escala mensual, en caso de estar definidos. Se debe implementar una metodología o conjunto de métodos técnicamente válidos que describan el régimen.</w:t>
      </w:r>
    </w:p>
    <w:p w14:paraId="6B747064" w14:textId="77777777" w:rsidR="00B55470" w:rsidRPr="00BD1319" w:rsidRDefault="00B55470" w:rsidP="00B55470">
      <w:pPr>
        <w:tabs>
          <w:tab w:val="left" w:pos="-2268"/>
        </w:tabs>
        <w:suppressAutoHyphens/>
        <w:rPr>
          <w:rFonts w:cs="Arial"/>
          <w:spacing w:val="-3"/>
        </w:rPr>
      </w:pPr>
    </w:p>
    <w:p w14:paraId="6D08A2A3" w14:textId="77777777" w:rsidR="00B55470" w:rsidRPr="00BD1319" w:rsidRDefault="00B55470" w:rsidP="00B55470">
      <w:pPr>
        <w:tabs>
          <w:tab w:val="left" w:pos="-2268"/>
        </w:tabs>
        <w:suppressAutoHyphens/>
        <w:rPr>
          <w:rFonts w:cs="Arial"/>
          <w:spacing w:val="-3"/>
        </w:rPr>
      </w:pPr>
      <w:r w:rsidRPr="00BD1319">
        <w:rPr>
          <w:rFonts w:cs="Arial"/>
          <w:spacing w:val="-3"/>
        </w:rPr>
        <w:t>Se debe evaluar integralmente la alteración del régimen dada la intervención propuesta (considerando los atributos del régimen tales como magnitud, duración, frecuencia, momento de ocurrencia, tasa de cambio) y considerando factores como la calidad del agua, hidrobiología, usos y usuarios actuales y potenciales (de acuerdo con los instrumentos de planificación desarrollados por la autoridad ambiental</w:t>
      </w:r>
      <w:r w:rsidRPr="00BD1319">
        <w:rPr>
          <w:rStyle w:val="Refdenotaalpie"/>
          <w:rFonts w:cs="Arial"/>
          <w:spacing w:val="-3"/>
        </w:rPr>
        <w:footnoteReference w:id="117"/>
      </w:r>
      <w:r w:rsidRPr="00BD1319">
        <w:rPr>
          <w:rFonts w:cs="Arial"/>
          <w:spacing w:val="-3"/>
        </w:rPr>
        <w:t>) en los puntos de interés del análisis, definiendo y sustentando el tramo o longitud de los cuerpos de agua susceptible de intervención o afectación; la evaluación de la alteración del régimen por parte de la intervención propuesta debe conducir a que, el caudal ambiental (y por ende la oferta hídrica disponible) propenda por la funcionalidad de los servicios ecosistémicos (regulación, soporte, aprovisionamiento o culturales) en los ecosistemas dulceacuícolas y conexos.</w:t>
      </w:r>
    </w:p>
    <w:p w14:paraId="7F544038" w14:textId="77777777" w:rsidR="00B55470" w:rsidRPr="00BD1319" w:rsidRDefault="00B55470" w:rsidP="00B55470">
      <w:pPr>
        <w:tabs>
          <w:tab w:val="left" w:pos="-2268"/>
        </w:tabs>
        <w:suppressAutoHyphens/>
        <w:rPr>
          <w:rFonts w:cs="Arial"/>
          <w:spacing w:val="-3"/>
        </w:rPr>
      </w:pPr>
    </w:p>
    <w:p w14:paraId="5E30B208" w14:textId="77777777" w:rsidR="00B55470" w:rsidRPr="00BD1319" w:rsidRDefault="00B55470" w:rsidP="00B55470">
      <w:pPr>
        <w:tabs>
          <w:tab w:val="left" w:pos="-2268"/>
        </w:tabs>
        <w:suppressAutoHyphens/>
        <w:rPr>
          <w:rFonts w:cs="Arial"/>
          <w:spacing w:val="-3"/>
        </w:rPr>
      </w:pPr>
      <w:r w:rsidRPr="00BD1319">
        <w:rPr>
          <w:rFonts w:cs="Arial"/>
          <w:spacing w:val="-3"/>
        </w:rPr>
        <w:t xml:space="preserve">Es posible emplear los métodos descritos en la Resolución 2130 de 2019 de Minambiente, </w:t>
      </w:r>
      <w:proofErr w:type="spellStart"/>
      <w:r w:rsidRPr="00BD1319">
        <w:rPr>
          <w:rFonts w:cs="Arial"/>
          <w:spacing w:val="-3"/>
        </w:rPr>
        <w:t>Gopal</w:t>
      </w:r>
      <w:proofErr w:type="spellEnd"/>
      <w:r w:rsidRPr="00BD1319">
        <w:rPr>
          <w:rFonts w:cs="Arial"/>
          <w:spacing w:val="-3"/>
        </w:rPr>
        <w:t xml:space="preserve"> (2016), </w:t>
      </w:r>
      <w:proofErr w:type="spellStart"/>
      <w:r w:rsidRPr="00BD1319">
        <w:rPr>
          <w:rFonts w:cs="Arial"/>
          <w:spacing w:val="-3"/>
        </w:rPr>
        <w:t>Poff</w:t>
      </w:r>
      <w:proofErr w:type="spellEnd"/>
      <w:r w:rsidRPr="00BD1319">
        <w:rPr>
          <w:rFonts w:cs="Arial"/>
          <w:spacing w:val="-3"/>
        </w:rPr>
        <w:t xml:space="preserve"> et al. (2017) y para la evaluación del régimen los indicadores de alteración hidrológica (IHA por sus siglas en inglés en Richter et al., 1996), o establecer y sustentar una metodología particular considerando la información disponible, siempre y cuando su rigor técnico y metodológico permita detallar el régimen hidrológico del tramo o longitud de los cuerpos de agua susceptibles de afectación</w:t>
      </w:r>
      <w:r w:rsidRPr="00BD1319">
        <w:rPr>
          <w:rStyle w:val="Refdenotaalpie"/>
          <w:rFonts w:cs="Arial"/>
          <w:spacing w:val="-3"/>
        </w:rPr>
        <w:footnoteReference w:id="118"/>
      </w:r>
      <w:r w:rsidRPr="00BD1319">
        <w:rPr>
          <w:rFonts w:cs="Arial"/>
          <w:spacing w:val="-3"/>
        </w:rPr>
        <w:t>.</w:t>
      </w:r>
    </w:p>
    <w:p w14:paraId="2002E354" w14:textId="3DE418CC" w:rsidR="009D132B" w:rsidRPr="00BD1319" w:rsidRDefault="009D132B">
      <w:pPr>
        <w:tabs>
          <w:tab w:val="left" w:pos="-2268"/>
        </w:tabs>
        <w:suppressAutoHyphens/>
        <w:rPr>
          <w:spacing w:val="-3"/>
        </w:rPr>
      </w:pPr>
    </w:p>
    <w:p w14:paraId="29D7E183" w14:textId="77777777" w:rsidR="009D132B" w:rsidRPr="00BD1319" w:rsidRDefault="009D132B" w:rsidP="009420F5">
      <w:pPr>
        <w:pStyle w:val="Ttulo4"/>
        <w:tabs>
          <w:tab w:val="clear" w:pos="1844"/>
          <w:tab w:val="num" w:pos="1134"/>
        </w:tabs>
        <w:ind w:left="0"/>
        <w:rPr>
          <w:lang w:val="es-CO"/>
        </w:rPr>
      </w:pPr>
      <w:bookmarkStart w:id="2676" w:name="_Ref508262271"/>
      <w:r w:rsidRPr="00BD1319">
        <w:rPr>
          <w:lang w:val="es-CO"/>
        </w:rPr>
        <w:t>Clima</w:t>
      </w:r>
    </w:p>
    <w:p w14:paraId="59F329D1" w14:textId="77777777" w:rsidR="009D132B" w:rsidRPr="00BD1319" w:rsidRDefault="009D132B" w:rsidP="009D132B">
      <w:pPr>
        <w:rPr>
          <w:rFonts w:cs="Arial"/>
        </w:rPr>
      </w:pPr>
    </w:p>
    <w:p w14:paraId="60981EDA" w14:textId="5ECA7BC0" w:rsidR="009D132B" w:rsidRPr="00BD1319" w:rsidRDefault="009D132B">
      <w:pPr>
        <w:numPr>
          <w:ilvl w:val="12"/>
          <w:numId w:val="0"/>
        </w:numPr>
        <w:tabs>
          <w:tab w:val="left" w:pos="-2268"/>
        </w:tabs>
        <w:suppressAutoHyphens/>
        <w:rPr>
          <w:spacing w:val="-3"/>
        </w:rPr>
      </w:pPr>
      <w:r w:rsidRPr="00BD1319">
        <w:rPr>
          <w:rFonts w:cs="Arial"/>
          <w:spacing w:val="-3"/>
        </w:rPr>
        <w:t xml:space="preserve">Describir y analizar las condiciones meteorológicas mensuales multianuales a nivel regional representativas para el área de influencia del </w:t>
      </w:r>
      <w:r w:rsidR="00096EF3" w:rsidRPr="00BD1319">
        <w:rPr>
          <w:rFonts w:cs="Arial"/>
          <w:spacing w:val="-3"/>
        </w:rPr>
        <w:t>componente</w:t>
      </w:r>
      <w:r w:rsidRPr="00BD1319">
        <w:rPr>
          <w:rFonts w:cs="Arial"/>
          <w:spacing w:val="-3"/>
        </w:rPr>
        <w:t>, durante un período mínimo de quince (15) años con el fin de incluir en los análisis los fenómenos de variabilidad climática (</w:t>
      </w:r>
      <w:r w:rsidR="00041844" w:rsidRPr="00BD1319">
        <w:rPr>
          <w:rFonts w:cs="Arial"/>
          <w:spacing w:val="-3"/>
        </w:rPr>
        <w:t>p. ej.</w:t>
      </w:r>
      <w:r w:rsidRPr="00BD1319">
        <w:rPr>
          <w:rFonts w:cs="Arial"/>
          <w:spacing w:val="-3"/>
        </w:rPr>
        <w:t xml:space="preserve"> Niña y Niño), con base en información de las estaciones meteorológicas existentes de entidades públicas en la región avaladas por el </w:t>
      </w:r>
      <w:proofErr w:type="spellStart"/>
      <w:r w:rsidR="00A92356" w:rsidRPr="00BD1319">
        <w:rPr>
          <w:rFonts w:cs="Arial"/>
          <w:spacing w:val="-3"/>
        </w:rPr>
        <w:t>Ideam</w:t>
      </w:r>
      <w:proofErr w:type="spellEnd"/>
      <w:r w:rsidRPr="00BD1319">
        <w:rPr>
          <w:rFonts w:cs="Arial"/>
          <w:spacing w:val="-3"/>
        </w:rPr>
        <w:t>, las cuales deben estar debidamente georreferenciadas</w:t>
      </w:r>
      <w:r w:rsidRPr="00BD1319">
        <w:rPr>
          <w:spacing w:val="-3"/>
        </w:rPr>
        <w:t>.</w:t>
      </w:r>
    </w:p>
    <w:p w14:paraId="46E46890" w14:textId="77777777" w:rsidR="009D132B" w:rsidRPr="00BD1319" w:rsidRDefault="009D132B">
      <w:pPr>
        <w:numPr>
          <w:ilvl w:val="12"/>
          <w:numId w:val="0"/>
        </w:numPr>
        <w:tabs>
          <w:tab w:val="left" w:pos="-2268"/>
        </w:tabs>
        <w:suppressAutoHyphens/>
        <w:rPr>
          <w:spacing w:val="-3"/>
        </w:rPr>
      </w:pPr>
    </w:p>
    <w:p w14:paraId="438C2E36" w14:textId="735BF592" w:rsidR="009D132B" w:rsidRPr="00BD1319" w:rsidRDefault="009D132B" w:rsidP="009D132B">
      <w:pPr>
        <w:rPr>
          <w:rFonts w:cs="Arial"/>
          <w:spacing w:val="-3"/>
        </w:rPr>
      </w:pPr>
      <w:r w:rsidRPr="00BD1319">
        <w:rPr>
          <w:spacing w:val="-3"/>
        </w:rPr>
        <w:t xml:space="preserve">Para </w:t>
      </w:r>
      <w:r w:rsidRPr="00BD1319">
        <w:rPr>
          <w:rFonts w:cs="Arial"/>
          <w:spacing w:val="-3"/>
        </w:rPr>
        <w:t xml:space="preserve">este análisis deben ser </w:t>
      </w:r>
      <w:r w:rsidR="00900A47" w:rsidRPr="00BD1319">
        <w:rPr>
          <w:rFonts w:cs="Arial"/>
          <w:spacing w:val="-3"/>
        </w:rPr>
        <w:t>especificadas</w:t>
      </w:r>
      <w:r w:rsidR="00103345" w:rsidRPr="00BD1319">
        <w:rPr>
          <w:rFonts w:cs="Arial"/>
          <w:spacing w:val="-3"/>
        </w:rPr>
        <w:t>,</w:t>
      </w:r>
      <w:r w:rsidRPr="00BD1319">
        <w:rPr>
          <w:rFonts w:cs="Arial"/>
          <w:spacing w:val="-3"/>
        </w:rPr>
        <w:t xml:space="preserve"> como mínimo</w:t>
      </w:r>
      <w:r w:rsidR="00103345" w:rsidRPr="00BD1319">
        <w:rPr>
          <w:rFonts w:cs="Arial"/>
          <w:spacing w:val="-3"/>
        </w:rPr>
        <w:t>,</w:t>
      </w:r>
      <w:r w:rsidRPr="00BD1319">
        <w:rPr>
          <w:rFonts w:cs="Arial"/>
          <w:spacing w:val="-3"/>
        </w:rPr>
        <w:t xml:space="preserve"> las siguientes variables climáticas:</w:t>
      </w:r>
    </w:p>
    <w:p w14:paraId="73D5958C" w14:textId="77777777" w:rsidR="009D132B" w:rsidRPr="00BD1319" w:rsidRDefault="009D132B" w:rsidP="009D132B">
      <w:pPr>
        <w:rPr>
          <w:rFonts w:cs="Arial"/>
          <w:spacing w:val="-3"/>
        </w:rPr>
      </w:pPr>
    </w:p>
    <w:p w14:paraId="63D70415" w14:textId="77777777" w:rsidR="009D132B" w:rsidRPr="00BD1319" w:rsidRDefault="009D132B" w:rsidP="009D132B">
      <w:pPr>
        <w:numPr>
          <w:ilvl w:val="0"/>
          <w:numId w:val="59"/>
        </w:numPr>
        <w:tabs>
          <w:tab w:val="left" w:pos="-2268"/>
        </w:tabs>
        <w:suppressAutoHyphens/>
        <w:ind w:left="567" w:hanging="567"/>
        <w:rPr>
          <w:rFonts w:cs="Arial"/>
          <w:spacing w:val="-3"/>
        </w:rPr>
      </w:pPr>
      <w:r w:rsidRPr="00BD1319">
        <w:rPr>
          <w:rFonts w:cs="Arial"/>
          <w:spacing w:val="-3"/>
        </w:rPr>
        <w:t>Temperatura superficial: promedio, mínimo y máximo de temperatura registrada diaria, mensual y anual.</w:t>
      </w:r>
    </w:p>
    <w:p w14:paraId="4AC48CF1" w14:textId="77777777" w:rsidR="009D132B" w:rsidRPr="00BD1319" w:rsidRDefault="009D132B" w:rsidP="009D132B">
      <w:pPr>
        <w:tabs>
          <w:tab w:val="left" w:pos="-2268"/>
        </w:tabs>
        <w:suppressAutoHyphens/>
        <w:rPr>
          <w:rFonts w:cs="Arial"/>
          <w:spacing w:val="-3"/>
        </w:rPr>
      </w:pPr>
    </w:p>
    <w:p w14:paraId="715FE84B" w14:textId="77777777" w:rsidR="009D132B" w:rsidRPr="00BD1319" w:rsidRDefault="009D132B" w:rsidP="009D132B">
      <w:pPr>
        <w:numPr>
          <w:ilvl w:val="0"/>
          <w:numId w:val="59"/>
        </w:numPr>
        <w:tabs>
          <w:tab w:val="left" w:pos="-2268"/>
        </w:tabs>
        <w:suppressAutoHyphens/>
        <w:ind w:left="567" w:hanging="567"/>
        <w:rPr>
          <w:rFonts w:cs="Arial"/>
          <w:spacing w:val="-3"/>
        </w:rPr>
      </w:pPr>
      <w:r w:rsidRPr="00BD1319">
        <w:rPr>
          <w:rFonts w:cs="Arial"/>
          <w:spacing w:val="-3"/>
        </w:rPr>
        <w:t>Presión atmosférica promedio mensual.</w:t>
      </w:r>
    </w:p>
    <w:p w14:paraId="075F70EC" w14:textId="77777777" w:rsidR="009D132B" w:rsidRPr="00BD1319" w:rsidRDefault="009D132B" w:rsidP="009D132B">
      <w:pPr>
        <w:tabs>
          <w:tab w:val="left" w:pos="-2268"/>
        </w:tabs>
        <w:suppressAutoHyphens/>
        <w:rPr>
          <w:rFonts w:cs="Arial"/>
          <w:spacing w:val="-3"/>
        </w:rPr>
      </w:pPr>
    </w:p>
    <w:p w14:paraId="737BC1F5" w14:textId="375B5646" w:rsidR="009D132B" w:rsidRPr="00BD1319" w:rsidRDefault="009D132B" w:rsidP="009D132B">
      <w:pPr>
        <w:numPr>
          <w:ilvl w:val="0"/>
          <w:numId w:val="59"/>
        </w:numPr>
        <w:tabs>
          <w:tab w:val="left" w:pos="-2268"/>
        </w:tabs>
        <w:suppressAutoHyphens/>
        <w:ind w:left="567" w:hanging="567"/>
        <w:rPr>
          <w:rFonts w:cs="Arial"/>
          <w:spacing w:val="-3"/>
        </w:rPr>
      </w:pPr>
      <w:r w:rsidRPr="00BD1319">
        <w:rPr>
          <w:rFonts w:cs="Arial"/>
          <w:spacing w:val="-3"/>
        </w:rPr>
        <w:t xml:space="preserve">Precipitación: media diaria, mensual y anual, y su distribución en el área de influencia del </w:t>
      </w:r>
      <w:r w:rsidR="00096EF3" w:rsidRPr="00BD1319">
        <w:rPr>
          <w:rFonts w:cs="Arial"/>
          <w:spacing w:val="-3"/>
        </w:rPr>
        <w:t>componente</w:t>
      </w:r>
      <w:r w:rsidRPr="00BD1319">
        <w:rPr>
          <w:rFonts w:cs="Arial"/>
          <w:spacing w:val="-3"/>
        </w:rPr>
        <w:t>.</w:t>
      </w:r>
    </w:p>
    <w:p w14:paraId="6DCCC4FE" w14:textId="77777777" w:rsidR="009D132B" w:rsidRPr="00BD1319" w:rsidRDefault="009D132B" w:rsidP="009D132B">
      <w:pPr>
        <w:tabs>
          <w:tab w:val="left" w:pos="-2268"/>
        </w:tabs>
        <w:suppressAutoHyphens/>
        <w:rPr>
          <w:rFonts w:cs="Arial"/>
          <w:spacing w:val="-3"/>
        </w:rPr>
      </w:pPr>
    </w:p>
    <w:p w14:paraId="63AE412D" w14:textId="77777777" w:rsidR="009D132B" w:rsidRPr="00BD1319" w:rsidRDefault="009D132B" w:rsidP="009D132B">
      <w:pPr>
        <w:numPr>
          <w:ilvl w:val="0"/>
          <w:numId w:val="59"/>
        </w:numPr>
        <w:tabs>
          <w:tab w:val="left" w:pos="-2268"/>
        </w:tabs>
        <w:suppressAutoHyphens/>
        <w:ind w:left="567" w:hanging="567"/>
        <w:rPr>
          <w:rFonts w:cs="Arial"/>
          <w:spacing w:val="-3"/>
        </w:rPr>
      </w:pPr>
      <w:r w:rsidRPr="00BD1319">
        <w:rPr>
          <w:rFonts w:cs="Arial"/>
          <w:spacing w:val="-3"/>
        </w:rPr>
        <w:t>Humedad relativa: promedio, mínimo y máximo registrada diaria, mensual y anual.</w:t>
      </w:r>
    </w:p>
    <w:p w14:paraId="2F0753C2" w14:textId="77777777" w:rsidR="009D132B" w:rsidRPr="00BD1319" w:rsidRDefault="009D132B" w:rsidP="009D132B">
      <w:pPr>
        <w:rPr>
          <w:rFonts w:cs="Arial"/>
          <w:spacing w:val="-3"/>
        </w:rPr>
      </w:pPr>
    </w:p>
    <w:p w14:paraId="47250F58" w14:textId="77777777" w:rsidR="009D132B" w:rsidRPr="00BD1319" w:rsidRDefault="009D132B" w:rsidP="009D132B">
      <w:pPr>
        <w:numPr>
          <w:ilvl w:val="0"/>
          <w:numId w:val="59"/>
        </w:numPr>
        <w:tabs>
          <w:tab w:val="left" w:pos="-2268"/>
        </w:tabs>
        <w:suppressAutoHyphens/>
        <w:ind w:left="567" w:hanging="567"/>
        <w:rPr>
          <w:rFonts w:cs="Arial"/>
          <w:spacing w:val="-3"/>
        </w:rPr>
      </w:pPr>
      <w:r w:rsidRPr="00BD1319">
        <w:rPr>
          <w:rFonts w:cs="Arial"/>
          <w:spacing w:val="-3"/>
        </w:rPr>
        <w:t>Dirección y velocidad del viento.</w:t>
      </w:r>
    </w:p>
    <w:p w14:paraId="73CA82F3" w14:textId="77777777" w:rsidR="009D132B" w:rsidRPr="00BD1319" w:rsidRDefault="009D132B" w:rsidP="009D132B">
      <w:pPr>
        <w:tabs>
          <w:tab w:val="left" w:pos="-2268"/>
        </w:tabs>
        <w:suppressAutoHyphens/>
        <w:rPr>
          <w:rFonts w:cs="Arial"/>
          <w:spacing w:val="-3"/>
        </w:rPr>
      </w:pPr>
    </w:p>
    <w:p w14:paraId="3B0E9844" w14:textId="77777777" w:rsidR="009D132B" w:rsidRPr="00BD1319" w:rsidRDefault="009D132B" w:rsidP="009D132B">
      <w:pPr>
        <w:numPr>
          <w:ilvl w:val="1"/>
          <w:numId w:val="87"/>
        </w:numPr>
        <w:tabs>
          <w:tab w:val="left" w:pos="-2268"/>
        </w:tabs>
        <w:suppressAutoHyphens/>
        <w:ind w:left="1134" w:hanging="567"/>
        <w:rPr>
          <w:rFonts w:cs="Arial"/>
          <w:spacing w:val="-3"/>
        </w:rPr>
      </w:pPr>
      <w:r w:rsidRPr="00BD1319">
        <w:rPr>
          <w:rFonts w:cs="Arial"/>
          <w:spacing w:val="-3"/>
        </w:rPr>
        <w:t>Rosas de viento diurna y nocturna.</w:t>
      </w:r>
    </w:p>
    <w:p w14:paraId="39F44970" w14:textId="77777777" w:rsidR="009D132B" w:rsidRPr="00BD1319" w:rsidRDefault="009D132B" w:rsidP="009D132B">
      <w:pPr>
        <w:tabs>
          <w:tab w:val="left" w:pos="-2268"/>
        </w:tabs>
        <w:suppressAutoHyphens/>
        <w:rPr>
          <w:rFonts w:cs="Arial"/>
          <w:spacing w:val="-3"/>
        </w:rPr>
      </w:pPr>
    </w:p>
    <w:p w14:paraId="6BB21445" w14:textId="77777777" w:rsidR="009D132B" w:rsidRPr="00BD1319" w:rsidRDefault="009D132B" w:rsidP="009D132B">
      <w:pPr>
        <w:numPr>
          <w:ilvl w:val="1"/>
          <w:numId w:val="87"/>
        </w:numPr>
        <w:tabs>
          <w:tab w:val="left" w:pos="-2268"/>
        </w:tabs>
        <w:suppressAutoHyphens/>
        <w:ind w:left="1134" w:hanging="567"/>
        <w:rPr>
          <w:rFonts w:cs="Arial"/>
          <w:spacing w:val="-3"/>
        </w:rPr>
      </w:pPr>
      <w:r w:rsidRPr="00BD1319">
        <w:rPr>
          <w:rFonts w:cs="Arial"/>
          <w:spacing w:val="-3"/>
        </w:rPr>
        <w:t>Variaciones mensuales de las rosas de vientos.</w:t>
      </w:r>
    </w:p>
    <w:p w14:paraId="29C078F4" w14:textId="77777777" w:rsidR="009D132B" w:rsidRPr="00BD1319" w:rsidRDefault="009D132B" w:rsidP="009D132B">
      <w:pPr>
        <w:tabs>
          <w:tab w:val="left" w:pos="-2268"/>
        </w:tabs>
        <w:suppressAutoHyphens/>
        <w:rPr>
          <w:rFonts w:cs="Arial"/>
          <w:spacing w:val="-3"/>
        </w:rPr>
      </w:pPr>
    </w:p>
    <w:p w14:paraId="57ECF30B" w14:textId="77777777" w:rsidR="009D132B" w:rsidRPr="00BD1319" w:rsidRDefault="009D132B" w:rsidP="009D132B">
      <w:pPr>
        <w:numPr>
          <w:ilvl w:val="0"/>
          <w:numId w:val="59"/>
        </w:numPr>
        <w:tabs>
          <w:tab w:val="left" w:pos="-2268"/>
        </w:tabs>
        <w:suppressAutoHyphens/>
        <w:ind w:left="567" w:hanging="567"/>
        <w:rPr>
          <w:rFonts w:cs="Arial"/>
          <w:spacing w:val="-3"/>
        </w:rPr>
      </w:pPr>
      <w:r w:rsidRPr="00BD1319">
        <w:rPr>
          <w:rFonts w:cs="Arial"/>
          <w:spacing w:val="-3"/>
        </w:rPr>
        <w:t>Radiación solar: media diaria, mensual y anual.</w:t>
      </w:r>
    </w:p>
    <w:p w14:paraId="3834D4FF" w14:textId="77777777" w:rsidR="009D132B" w:rsidRPr="00BD1319" w:rsidRDefault="009D132B" w:rsidP="009D132B">
      <w:pPr>
        <w:rPr>
          <w:rFonts w:cs="Arial"/>
          <w:spacing w:val="-3"/>
        </w:rPr>
      </w:pPr>
    </w:p>
    <w:p w14:paraId="0445841B" w14:textId="46099D83" w:rsidR="009D132B" w:rsidRPr="00BD1319" w:rsidRDefault="009D132B" w:rsidP="009420F5">
      <w:pPr>
        <w:rPr>
          <w:rFonts w:cs="Arial"/>
          <w:spacing w:val="-3"/>
        </w:rPr>
      </w:pPr>
      <w:r w:rsidRPr="00BD1319">
        <w:rPr>
          <w:rFonts w:cs="Arial"/>
          <w:spacing w:val="-3"/>
        </w:rPr>
        <w:t>Para el caso del análisis de vientos se deben incluir aspectos de dirección, velocidad y frecuencias con las que se presentan, elaborando la rosa de los vientos diurna y nocturna, así como una tabla de variabilidad en la velocidad de éstos, la cual tiene como finalidad indicar el comportamiento de los vientos en una jornada de 24 horas para un periodo específico (mensual o anual).</w:t>
      </w:r>
    </w:p>
    <w:p w14:paraId="79E9BE25" w14:textId="77777777" w:rsidR="009D132B" w:rsidRPr="00BD1319" w:rsidRDefault="009D132B" w:rsidP="009D132B">
      <w:pPr>
        <w:numPr>
          <w:ilvl w:val="12"/>
          <w:numId w:val="0"/>
        </w:numPr>
        <w:tabs>
          <w:tab w:val="left" w:pos="-2268"/>
        </w:tabs>
        <w:suppressAutoHyphens/>
        <w:rPr>
          <w:rFonts w:cs="Arial"/>
          <w:spacing w:val="-3"/>
        </w:rPr>
      </w:pPr>
    </w:p>
    <w:p w14:paraId="17309671" w14:textId="18FA521D" w:rsidR="009D132B" w:rsidRPr="00BD1319" w:rsidRDefault="009D132B" w:rsidP="009D132B">
      <w:pPr>
        <w:numPr>
          <w:ilvl w:val="12"/>
          <w:numId w:val="0"/>
        </w:numPr>
        <w:tabs>
          <w:tab w:val="left" w:pos="-2268"/>
        </w:tabs>
        <w:suppressAutoHyphens/>
        <w:rPr>
          <w:rFonts w:cs="Arial"/>
          <w:spacing w:val="-3"/>
        </w:rPr>
      </w:pPr>
      <w:r w:rsidRPr="00BD1319">
        <w:rPr>
          <w:rFonts w:cs="Arial"/>
          <w:spacing w:val="-3"/>
        </w:rPr>
        <w:t xml:space="preserve">Los datos se deben presentar en tablas con sus respectivas unidades de medida. Se debe presentar información meteorológica para el área de influencia del </w:t>
      </w:r>
      <w:r w:rsidR="00096EF3" w:rsidRPr="00BD1319">
        <w:rPr>
          <w:rFonts w:cs="Arial"/>
          <w:spacing w:val="-3"/>
        </w:rPr>
        <w:t>componente</w:t>
      </w:r>
      <w:r w:rsidRPr="00BD1319">
        <w:rPr>
          <w:rFonts w:cs="Arial"/>
          <w:spacing w:val="-3"/>
        </w:rPr>
        <w:t>.</w:t>
      </w:r>
    </w:p>
    <w:p w14:paraId="3E083069" w14:textId="77777777" w:rsidR="009D132B" w:rsidRPr="00BD1319" w:rsidRDefault="009D132B" w:rsidP="009D132B">
      <w:pPr>
        <w:numPr>
          <w:ilvl w:val="12"/>
          <w:numId w:val="0"/>
        </w:numPr>
        <w:tabs>
          <w:tab w:val="left" w:pos="-2268"/>
        </w:tabs>
        <w:suppressAutoHyphens/>
        <w:rPr>
          <w:rFonts w:cs="Arial"/>
          <w:spacing w:val="-3"/>
        </w:rPr>
      </w:pPr>
    </w:p>
    <w:p w14:paraId="35A16688" w14:textId="29E8E1F1" w:rsidR="00302B12" w:rsidRPr="00BD1319" w:rsidRDefault="009D132B" w:rsidP="009D132B">
      <w:pPr>
        <w:numPr>
          <w:ilvl w:val="12"/>
          <w:numId w:val="0"/>
        </w:numPr>
        <w:tabs>
          <w:tab w:val="left" w:pos="-2268"/>
        </w:tabs>
        <w:suppressAutoHyphens/>
        <w:rPr>
          <w:rFonts w:cs="Arial"/>
          <w:spacing w:val="-3"/>
        </w:rPr>
      </w:pPr>
      <w:r w:rsidRPr="00BD1319">
        <w:rPr>
          <w:rFonts w:cs="Arial"/>
          <w:spacing w:val="-3"/>
        </w:rPr>
        <w:t xml:space="preserve">Cuando no exista información disponible de estaciones meteorológicas avaladas por el </w:t>
      </w:r>
      <w:proofErr w:type="spellStart"/>
      <w:r w:rsidR="00A92356" w:rsidRPr="00BD1319">
        <w:rPr>
          <w:rFonts w:cs="Arial"/>
          <w:spacing w:val="-3"/>
        </w:rPr>
        <w:t>Ideam</w:t>
      </w:r>
      <w:proofErr w:type="spellEnd"/>
      <w:r w:rsidRPr="00BD1319">
        <w:rPr>
          <w:rFonts w:cs="Arial"/>
          <w:spacing w:val="-3"/>
        </w:rPr>
        <w:t xml:space="preserve">, la información meteorológica puede ser tomada de los datos de </w:t>
      </w:r>
      <w:proofErr w:type="spellStart"/>
      <w:r w:rsidRPr="00BD1319">
        <w:rPr>
          <w:rFonts w:cs="Arial"/>
          <w:spacing w:val="-3"/>
        </w:rPr>
        <w:t>re-análisis</w:t>
      </w:r>
      <w:proofErr w:type="spellEnd"/>
      <w:r w:rsidRPr="00BD1319">
        <w:rPr>
          <w:rFonts w:cs="Arial"/>
          <w:spacing w:val="-3"/>
        </w:rPr>
        <w:t xml:space="preserve"> global, obtenidos directamente de internet, de fuentes de adecuada idoneidad científica y que puedan ser validadas, como por ejemplo modelos de clima o tiempo (CFRS, ERA 40, CAM, MM5, entre otros), model</w:t>
      </w:r>
      <w:r w:rsidR="00C74BBB" w:rsidRPr="00BD1319">
        <w:rPr>
          <w:rFonts w:cs="Arial"/>
          <w:spacing w:val="-3"/>
        </w:rPr>
        <w:t>iz</w:t>
      </w:r>
      <w:r w:rsidRPr="00BD1319">
        <w:rPr>
          <w:rFonts w:cs="Arial"/>
          <w:spacing w:val="-3"/>
        </w:rPr>
        <w:t xml:space="preserve">ando el año más reciente. Como paso previo a la selección de la fuente de datos se debe realizar un análisis estadístico del error mediante el proceso de </w:t>
      </w:r>
      <w:proofErr w:type="spellStart"/>
      <w:r w:rsidRPr="00BD1319">
        <w:rPr>
          <w:rFonts w:cs="Arial"/>
          <w:spacing w:val="-3"/>
        </w:rPr>
        <w:t>re-análisis</w:t>
      </w:r>
      <w:proofErr w:type="spellEnd"/>
      <w:r w:rsidRPr="00BD1319">
        <w:rPr>
          <w:rFonts w:cs="Arial"/>
          <w:spacing w:val="-3"/>
        </w:rPr>
        <w:t xml:space="preserve">, comparando los resultados obtenidos con los datos de algunas estaciones localizadas en el área de influencia del </w:t>
      </w:r>
      <w:r w:rsidR="00302B12" w:rsidRPr="00BD1319">
        <w:rPr>
          <w:rFonts w:cs="Arial"/>
          <w:spacing w:val="-3"/>
        </w:rPr>
        <w:t xml:space="preserve">componente </w:t>
      </w:r>
      <w:r w:rsidR="001476A0" w:rsidRPr="00BD1319">
        <w:rPr>
          <w:rFonts w:cs="Arial"/>
          <w:spacing w:val="-3"/>
        </w:rPr>
        <w:t xml:space="preserve">o </w:t>
      </w:r>
      <w:r w:rsidR="00302B12" w:rsidRPr="00BD1319">
        <w:rPr>
          <w:rFonts w:cs="Arial"/>
          <w:spacing w:val="-3"/>
        </w:rPr>
        <w:t xml:space="preserve">de </w:t>
      </w:r>
      <w:r w:rsidR="001476A0" w:rsidRPr="00BD1319">
        <w:rPr>
          <w:rFonts w:cs="Arial"/>
          <w:spacing w:val="-3"/>
        </w:rPr>
        <w:t>las más cercanas a la misma</w:t>
      </w:r>
      <w:r w:rsidR="00302B12" w:rsidRPr="00BD1319">
        <w:rPr>
          <w:rFonts w:cs="Arial"/>
          <w:spacing w:val="-3"/>
        </w:rPr>
        <w:t>, si no existen estaciones dentro de tal área</w:t>
      </w:r>
      <w:r w:rsidR="001476A0" w:rsidRPr="00BD1319">
        <w:rPr>
          <w:rFonts w:cs="Arial"/>
          <w:spacing w:val="-3"/>
        </w:rPr>
        <w:t>.</w:t>
      </w:r>
    </w:p>
    <w:p w14:paraId="4122FC61" w14:textId="77777777" w:rsidR="00302B12" w:rsidRPr="00BD1319" w:rsidRDefault="00302B12" w:rsidP="009D132B">
      <w:pPr>
        <w:numPr>
          <w:ilvl w:val="12"/>
          <w:numId w:val="0"/>
        </w:numPr>
        <w:tabs>
          <w:tab w:val="left" w:pos="-2268"/>
        </w:tabs>
        <w:suppressAutoHyphens/>
        <w:rPr>
          <w:rFonts w:cs="Arial"/>
          <w:spacing w:val="-3"/>
        </w:rPr>
      </w:pPr>
    </w:p>
    <w:p w14:paraId="5B36114C" w14:textId="174AB066" w:rsidR="009D132B" w:rsidRPr="00BD1319" w:rsidRDefault="009D132B" w:rsidP="009D132B">
      <w:pPr>
        <w:numPr>
          <w:ilvl w:val="12"/>
          <w:numId w:val="0"/>
        </w:numPr>
        <w:tabs>
          <w:tab w:val="left" w:pos="-2268"/>
        </w:tabs>
        <w:suppressAutoHyphens/>
        <w:rPr>
          <w:rFonts w:cs="Arial"/>
          <w:spacing w:val="-3"/>
        </w:rPr>
      </w:pPr>
      <w:r w:rsidRPr="00BD1319">
        <w:rPr>
          <w:rFonts w:cs="Arial"/>
          <w:spacing w:val="-3"/>
        </w:rPr>
        <w:t>Para este caso se requiere que</w:t>
      </w:r>
      <w:r w:rsidR="002D6507" w:rsidRPr="00BD1319">
        <w:rPr>
          <w:rFonts w:cs="Arial"/>
          <w:spacing w:val="-3"/>
        </w:rPr>
        <w:t>,</w:t>
      </w:r>
      <w:r w:rsidRPr="00BD1319">
        <w:rPr>
          <w:rFonts w:cs="Arial"/>
          <w:spacing w:val="-3"/>
        </w:rPr>
        <w:t xml:space="preserve"> en el documento, se establezca claramente la fuente de la información, mencionando el periodo que se analiza, la resolución de la información, el tipo de dato procesado y las variables contenidas en un formato de texto de fácil manipulación y visualización.</w:t>
      </w:r>
    </w:p>
    <w:p w14:paraId="039F8825" w14:textId="098E046C" w:rsidR="009D132B" w:rsidRPr="00BD1319" w:rsidRDefault="009D132B" w:rsidP="00C86DA5"/>
    <w:p w14:paraId="1A369E27" w14:textId="77777777" w:rsidR="009D132B" w:rsidRPr="00BD1319" w:rsidRDefault="009D132B" w:rsidP="009420F5">
      <w:pPr>
        <w:pStyle w:val="Ttulo4"/>
        <w:tabs>
          <w:tab w:val="clear" w:pos="1844"/>
          <w:tab w:val="num" w:pos="1134"/>
        </w:tabs>
        <w:ind w:left="0"/>
        <w:rPr>
          <w:lang w:val="es-CO"/>
        </w:rPr>
      </w:pPr>
      <w:r w:rsidRPr="00BD1319">
        <w:rPr>
          <w:lang w:val="es-CO"/>
        </w:rPr>
        <w:t>Calidad del agua</w:t>
      </w:r>
      <w:bookmarkEnd w:id="2676"/>
    </w:p>
    <w:p w14:paraId="3C5E062D" w14:textId="77777777" w:rsidR="009D132B" w:rsidRPr="00BD1319" w:rsidRDefault="009D132B">
      <w:pPr>
        <w:numPr>
          <w:ilvl w:val="12"/>
          <w:numId w:val="0"/>
        </w:numPr>
        <w:tabs>
          <w:tab w:val="left" w:pos="-2268"/>
        </w:tabs>
        <w:suppressAutoHyphens/>
        <w:rPr>
          <w:spacing w:val="-3"/>
        </w:rPr>
      </w:pPr>
    </w:p>
    <w:p w14:paraId="7E1FB52D" w14:textId="6630B6C9" w:rsidR="009D132B" w:rsidRPr="00BD1319" w:rsidRDefault="009D132B" w:rsidP="009D132B">
      <w:pPr>
        <w:tabs>
          <w:tab w:val="left" w:pos="-2268"/>
        </w:tabs>
        <w:suppressAutoHyphens/>
        <w:rPr>
          <w:rFonts w:cs="Arial"/>
        </w:rPr>
      </w:pPr>
      <w:r w:rsidRPr="00BD1319">
        <w:rPr>
          <w:spacing w:val="-3"/>
        </w:rPr>
        <w:lastRenderedPageBreak/>
        <w:t xml:space="preserve">Realizar la evaluación de la calidad del agua continental en los cuerpos de agua </w:t>
      </w:r>
      <w:r w:rsidRPr="00BD1319">
        <w:rPr>
          <w:rFonts w:cs="Arial"/>
          <w:spacing w:val="-3"/>
        </w:rPr>
        <w:t>susceptibles de</w:t>
      </w:r>
      <w:r w:rsidRPr="00BD1319">
        <w:rPr>
          <w:spacing w:val="-3"/>
        </w:rPr>
        <w:t xml:space="preserve"> intervención o de ser impactados; asimismo, debe evaluarse la calidad del agua en líneas de costa, zonas marino-costeras y oceánicas cuando los proyectos, obras o actividades puedan afectarlas. Todas las actividades y la determinación de criterios sobre las campañas de monitoreo, definición de puntos, muestreos y reporte de resultados deben realizarse con base en los protocolos y manuales para el seguimiento y monitoreo del recurso hídrico superficial y subterráneo definidos por el </w:t>
      </w:r>
      <w:proofErr w:type="spellStart"/>
      <w:r w:rsidR="00A92356" w:rsidRPr="00BD1319">
        <w:rPr>
          <w:spacing w:val="-3"/>
        </w:rPr>
        <w:t>Ideam</w:t>
      </w:r>
      <w:proofErr w:type="spellEnd"/>
      <w:r w:rsidRPr="00BD1319">
        <w:rPr>
          <w:spacing w:val="-3"/>
        </w:rPr>
        <w:t xml:space="preserve">. </w:t>
      </w:r>
    </w:p>
    <w:p w14:paraId="21766E78" w14:textId="77777777" w:rsidR="009D132B" w:rsidRPr="00BD1319" w:rsidRDefault="009D132B" w:rsidP="009D132B">
      <w:pPr>
        <w:tabs>
          <w:tab w:val="left" w:pos="-2268"/>
        </w:tabs>
        <w:suppressAutoHyphens/>
        <w:rPr>
          <w:rFonts w:cs="Arial"/>
        </w:rPr>
      </w:pPr>
    </w:p>
    <w:p w14:paraId="5778B374" w14:textId="5AA93FE4" w:rsidR="009D132B" w:rsidRPr="00BD1319" w:rsidRDefault="009D132B" w:rsidP="00C86DA5">
      <w:pPr>
        <w:tabs>
          <w:tab w:val="left" w:pos="-2268"/>
        </w:tabs>
        <w:suppressAutoHyphens/>
        <w:rPr>
          <w:spacing w:val="-3"/>
        </w:rPr>
      </w:pPr>
      <w:r w:rsidRPr="00BD1319">
        <w:rPr>
          <w:spacing w:val="-3"/>
        </w:rPr>
        <w:t>Asimismo, los puntos de monitoreo deben ser representativos y consecuentes con el área de influencia</w:t>
      </w:r>
      <w:r w:rsidRPr="00BD1319">
        <w:rPr>
          <w:rFonts w:cs="Arial"/>
          <w:spacing w:val="-3"/>
        </w:rPr>
        <w:t xml:space="preserve"> del </w:t>
      </w:r>
      <w:r w:rsidR="00064ED7" w:rsidRPr="00BD1319">
        <w:rPr>
          <w:rFonts w:cs="Arial"/>
          <w:spacing w:val="-3"/>
        </w:rPr>
        <w:t>componente</w:t>
      </w:r>
      <w:r w:rsidRPr="00BD1319">
        <w:rPr>
          <w:spacing w:val="-3"/>
        </w:rPr>
        <w:t>, considerando los patrones de drenaje aguas arriba y aguas abajo de los sitios intervenidos y a lo largo del área de influencia</w:t>
      </w:r>
      <w:r w:rsidRPr="00BD1319">
        <w:rPr>
          <w:rFonts w:cs="Arial"/>
          <w:spacing w:val="-3"/>
        </w:rPr>
        <w:t xml:space="preserve"> del </w:t>
      </w:r>
      <w:r w:rsidR="00064ED7" w:rsidRPr="00BD1319">
        <w:rPr>
          <w:rFonts w:cs="Arial"/>
          <w:spacing w:val="-3"/>
        </w:rPr>
        <w:t>componente</w:t>
      </w:r>
      <w:r w:rsidRPr="00BD1319">
        <w:rPr>
          <w:spacing w:val="-3"/>
        </w:rPr>
        <w:t xml:space="preserve">. Se deben considerar como mínimo dos (2) periodos </w:t>
      </w:r>
      <w:r w:rsidR="00064ED7" w:rsidRPr="00BD1319">
        <w:rPr>
          <w:spacing w:val="-3"/>
        </w:rPr>
        <w:t>climáticos (un periodo seco y un segundo periodo que puede corresponder a una condición hidrológica húmeda o de transición, o viceversa</w:t>
      </w:r>
      <w:r w:rsidR="002D6507" w:rsidRPr="00BD1319">
        <w:rPr>
          <w:spacing w:val="-3"/>
        </w:rPr>
        <w:t>)</w:t>
      </w:r>
      <w:r w:rsidR="00064ED7" w:rsidRPr="00BD1319">
        <w:rPr>
          <w:spacing w:val="-3"/>
        </w:rPr>
        <w:t>,</w:t>
      </w:r>
      <w:r w:rsidR="00064ED7" w:rsidRPr="00BD1319" w:rsidDel="00064ED7">
        <w:rPr>
          <w:spacing w:val="-3"/>
        </w:rPr>
        <w:t xml:space="preserve"> </w:t>
      </w:r>
      <w:r w:rsidRPr="00BD1319">
        <w:rPr>
          <w:spacing w:val="-3"/>
        </w:rPr>
        <w:t xml:space="preserve">siguiendo el Protocolo para el monitoreo y seguimiento del agua, elaborado por el </w:t>
      </w:r>
      <w:proofErr w:type="spellStart"/>
      <w:r w:rsidR="00A92356" w:rsidRPr="00BD1319">
        <w:rPr>
          <w:spacing w:val="-3"/>
        </w:rPr>
        <w:t>Ideam</w:t>
      </w:r>
      <w:proofErr w:type="spellEnd"/>
      <w:r w:rsidRPr="00BD1319">
        <w:rPr>
          <w:spacing w:val="-3"/>
        </w:rPr>
        <w:t xml:space="preserve"> (</w:t>
      </w:r>
      <w:r w:rsidRPr="00BD1319">
        <w:rPr>
          <w:rFonts w:cs="Arial"/>
          <w:spacing w:val="-3"/>
        </w:rPr>
        <w:t>2017),</w:t>
      </w:r>
      <w:r w:rsidRPr="00BD1319">
        <w:rPr>
          <w:spacing w:val="-3"/>
        </w:rPr>
        <w:t xml:space="preserve"> o aquel que lo modifique</w:t>
      </w:r>
      <w:r w:rsidRPr="00BD1319">
        <w:rPr>
          <w:rFonts w:cs="Arial"/>
          <w:spacing w:val="-3"/>
        </w:rPr>
        <w:t xml:space="preserve"> o</w:t>
      </w:r>
      <w:r w:rsidRPr="00BD1319">
        <w:rPr>
          <w:spacing w:val="-3"/>
        </w:rPr>
        <w:t xml:space="preserve"> sustituya</w:t>
      </w:r>
      <w:r w:rsidRPr="00BD1319">
        <w:rPr>
          <w:rFonts w:cs="Arial"/>
          <w:spacing w:val="-3"/>
        </w:rPr>
        <w:t>, buscando contar con información representativa del comportamiento del (los) cuerpos de agua, bajo condiciones diversas</w:t>
      </w:r>
      <w:r w:rsidRPr="00BD1319">
        <w:rPr>
          <w:spacing w:val="-3"/>
        </w:rPr>
        <w:t>.</w:t>
      </w:r>
    </w:p>
    <w:p w14:paraId="4C895C61" w14:textId="77777777" w:rsidR="009D132B" w:rsidRPr="00BD1319" w:rsidRDefault="009D132B">
      <w:pPr>
        <w:numPr>
          <w:ilvl w:val="12"/>
          <w:numId w:val="0"/>
        </w:numPr>
        <w:tabs>
          <w:tab w:val="left" w:pos="-2268"/>
        </w:tabs>
        <w:suppressAutoHyphens/>
        <w:rPr>
          <w:spacing w:val="-3"/>
        </w:rPr>
      </w:pPr>
    </w:p>
    <w:p w14:paraId="4CA9DD03" w14:textId="77777777" w:rsidR="009D132B" w:rsidRPr="00BD1319" w:rsidRDefault="009D132B">
      <w:pPr>
        <w:numPr>
          <w:ilvl w:val="12"/>
          <w:numId w:val="0"/>
        </w:numPr>
        <w:tabs>
          <w:tab w:val="left" w:pos="-2268"/>
        </w:tabs>
        <w:suppressAutoHyphens/>
        <w:rPr>
          <w:spacing w:val="-3"/>
        </w:rPr>
      </w:pPr>
      <w:r w:rsidRPr="00BD1319">
        <w:rPr>
          <w:spacing w:val="-3"/>
        </w:rPr>
        <w:t>Realizar, para</w:t>
      </w:r>
      <w:r w:rsidRPr="00BD1319">
        <w:rPr>
          <w:rFonts w:cs="Arial"/>
          <w:spacing w:val="-3"/>
        </w:rPr>
        <w:t xml:space="preserve"> cada</w:t>
      </w:r>
      <w:r w:rsidRPr="00BD1319">
        <w:rPr>
          <w:spacing w:val="-3"/>
        </w:rPr>
        <w:t xml:space="preserve"> punto de muestreo en cuerpos lóticos, el aforo de caudal presentando la sección mojada y hacer entrega del formato de medición de caudal, reportando allí las velocidades, el ancho superficial, el área mojada, el perímetro mojado, la velocidad media, la profundidad media, la velocidad máxima y el caudal.</w:t>
      </w:r>
    </w:p>
    <w:p w14:paraId="2B90ABE2" w14:textId="77777777" w:rsidR="009D132B" w:rsidRPr="00BD1319" w:rsidRDefault="009D132B">
      <w:pPr>
        <w:numPr>
          <w:ilvl w:val="12"/>
          <w:numId w:val="0"/>
        </w:numPr>
        <w:tabs>
          <w:tab w:val="left" w:pos="-2268"/>
        </w:tabs>
        <w:suppressAutoHyphens/>
        <w:rPr>
          <w:spacing w:val="-3"/>
        </w:rPr>
      </w:pPr>
    </w:p>
    <w:p w14:paraId="073CAF8F" w14:textId="2A04E81E" w:rsidR="003E6064" w:rsidRPr="00BD1319" w:rsidRDefault="009D132B">
      <w:pPr>
        <w:numPr>
          <w:ilvl w:val="12"/>
          <w:numId w:val="0"/>
        </w:numPr>
        <w:tabs>
          <w:tab w:val="left" w:pos="-2268"/>
        </w:tabs>
        <w:suppressAutoHyphens/>
        <w:rPr>
          <w:spacing w:val="-3"/>
        </w:rPr>
      </w:pPr>
      <w:r w:rsidRPr="00BD1319">
        <w:rPr>
          <w:spacing w:val="-3"/>
        </w:rPr>
        <w:t xml:space="preserve">Anexar el informe sobre la toma de muestras, el cual debe presentar los protocolos de monitoreo, toma, preservación, transporte y análisis de muestras, con su respectivo registro fotográfico y copia </w:t>
      </w:r>
      <w:r w:rsidR="00BF65F8" w:rsidRPr="00BD1319">
        <w:rPr>
          <w:spacing w:val="-3"/>
        </w:rPr>
        <w:t xml:space="preserve">del registro </w:t>
      </w:r>
      <w:r w:rsidRPr="00BD1319">
        <w:rPr>
          <w:spacing w:val="-3"/>
        </w:rPr>
        <w:t xml:space="preserve">de la cadena de custodia. </w:t>
      </w:r>
      <w:r w:rsidR="00523ACE" w:rsidRPr="00BD1319">
        <w:rPr>
          <w:spacing w:val="-3"/>
        </w:rPr>
        <w:t>E</w:t>
      </w:r>
      <w:r w:rsidRPr="00BD1319">
        <w:rPr>
          <w:spacing w:val="-3"/>
        </w:rPr>
        <w:t xml:space="preserve">l laboratorio debe contar con </w:t>
      </w:r>
      <w:r w:rsidR="00523ACE" w:rsidRPr="00BD1319">
        <w:rPr>
          <w:spacing w:val="-3"/>
        </w:rPr>
        <w:t xml:space="preserve">la </w:t>
      </w:r>
      <w:r w:rsidRPr="00BD1319">
        <w:rPr>
          <w:spacing w:val="-3"/>
        </w:rPr>
        <w:t xml:space="preserve">certificación vigente </w:t>
      </w:r>
      <w:r w:rsidRPr="00BD1319">
        <w:rPr>
          <w:rFonts w:cs="Arial"/>
          <w:spacing w:val="-3"/>
        </w:rPr>
        <w:t>de análisis acreditada</w:t>
      </w:r>
      <w:r w:rsidRPr="00BD1319">
        <w:rPr>
          <w:spacing w:val="-3"/>
        </w:rPr>
        <w:t xml:space="preserve"> por el </w:t>
      </w:r>
      <w:proofErr w:type="spellStart"/>
      <w:r w:rsidR="00A92356" w:rsidRPr="00BD1319">
        <w:rPr>
          <w:spacing w:val="-3"/>
        </w:rPr>
        <w:t>Ideam</w:t>
      </w:r>
      <w:proofErr w:type="spellEnd"/>
      <w:r w:rsidRPr="00BD1319">
        <w:rPr>
          <w:rFonts w:cs="Arial"/>
          <w:spacing w:val="-3"/>
        </w:rPr>
        <w:t xml:space="preserve">, en el caso en el que un laboratorio sea subcontratado por otro, este </w:t>
      </w:r>
      <w:r w:rsidR="00103345" w:rsidRPr="00BD1319">
        <w:rPr>
          <w:rFonts w:cs="Arial"/>
          <w:spacing w:val="-3"/>
        </w:rPr>
        <w:t>debe</w:t>
      </w:r>
      <w:r w:rsidRPr="00BD1319">
        <w:rPr>
          <w:rFonts w:cs="Arial"/>
          <w:spacing w:val="-3"/>
        </w:rPr>
        <w:t xml:space="preserve"> anexar de igual manera, su certificación correspondiente.</w:t>
      </w:r>
    </w:p>
    <w:p w14:paraId="5CB310F0" w14:textId="77777777" w:rsidR="00BF65F8" w:rsidRPr="00BD1319" w:rsidRDefault="00BF65F8">
      <w:pPr>
        <w:numPr>
          <w:ilvl w:val="12"/>
          <w:numId w:val="0"/>
        </w:numPr>
        <w:tabs>
          <w:tab w:val="left" w:pos="-2268"/>
        </w:tabs>
        <w:suppressAutoHyphens/>
        <w:rPr>
          <w:spacing w:val="-3"/>
        </w:rPr>
      </w:pPr>
    </w:p>
    <w:p w14:paraId="681ED73D" w14:textId="19499C05" w:rsidR="009D132B" w:rsidRPr="00BD1319" w:rsidRDefault="009D132B">
      <w:pPr>
        <w:numPr>
          <w:ilvl w:val="12"/>
          <w:numId w:val="0"/>
        </w:numPr>
        <w:tabs>
          <w:tab w:val="left" w:pos="-2268"/>
        </w:tabs>
        <w:suppressAutoHyphens/>
        <w:rPr>
          <w:spacing w:val="-3"/>
        </w:rPr>
      </w:pPr>
      <w:r w:rsidRPr="00BD1319">
        <w:rPr>
          <w:spacing w:val="-3"/>
        </w:rPr>
        <w:t xml:space="preserve">Los parámetros </w:t>
      </w:r>
      <w:r w:rsidRPr="00BD1319">
        <w:rPr>
          <w:rFonts w:cs="Arial"/>
          <w:spacing w:val="-3"/>
        </w:rPr>
        <w:t>para monitoreo</w:t>
      </w:r>
      <w:r w:rsidRPr="00BD1319">
        <w:rPr>
          <w:spacing w:val="-3"/>
        </w:rPr>
        <w:t xml:space="preserve"> son establecidos en los respectivos términos de referencia.</w:t>
      </w:r>
    </w:p>
    <w:p w14:paraId="02342CB6" w14:textId="77777777" w:rsidR="009D132B" w:rsidRPr="00BD1319" w:rsidRDefault="009D132B">
      <w:pPr>
        <w:numPr>
          <w:ilvl w:val="12"/>
          <w:numId w:val="0"/>
        </w:numPr>
        <w:tabs>
          <w:tab w:val="left" w:pos="-2268"/>
        </w:tabs>
        <w:suppressAutoHyphens/>
        <w:rPr>
          <w:spacing w:val="-3"/>
        </w:rPr>
      </w:pPr>
    </w:p>
    <w:p w14:paraId="26A3E4A9" w14:textId="71A793C0" w:rsidR="009D132B" w:rsidRPr="00BD1319" w:rsidRDefault="002D6507">
      <w:pPr>
        <w:numPr>
          <w:ilvl w:val="12"/>
          <w:numId w:val="0"/>
        </w:numPr>
        <w:tabs>
          <w:tab w:val="left" w:pos="-2268"/>
        </w:tabs>
        <w:suppressAutoHyphens/>
        <w:rPr>
          <w:spacing w:val="-3"/>
        </w:rPr>
      </w:pPr>
      <w:r w:rsidRPr="00BD1319">
        <w:rPr>
          <w:spacing w:val="-3"/>
        </w:rPr>
        <w:t>En caso de que no se cuente con la capacidad analítica en el país, se aceptan los resultados de análisis que provengan de laboratorios extranjeros acreditados en la norma ISO 17025 (versión vigente).</w:t>
      </w:r>
    </w:p>
    <w:p w14:paraId="7887F71E" w14:textId="77777777" w:rsidR="009D132B" w:rsidRPr="00BD1319" w:rsidRDefault="009D132B">
      <w:pPr>
        <w:numPr>
          <w:ilvl w:val="12"/>
          <w:numId w:val="0"/>
        </w:numPr>
        <w:tabs>
          <w:tab w:val="left" w:pos="-2268"/>
        </w:tabs>
        <w:suppressAutoHyphens/>
        <w:rPr>
          <w:spacing w:val="-3"/>
        </w:rPr>
      </w:pPr>
    </w:p>
    <w:p w14:paraId="132034EF" w14:textId="5B35E366" w:rsidR="009D132B" w:rsidRPr="00BD1319" w:rsidRDefault="009D132B">
      <w:pPr>
        <w:numPr>
          <w:ilvl w:val="12"/>
          <w:numId w:val="0"/>
        </w:numPr>
        <w:tabs>
          <w:tab w:val="left" w:pos="-2268"/>
        </w:tabs>
        <w:suppressAutoHyphens/>
        <w:rPr>
          <w:spacing w:val="-3"/>
        </w:rPr>
      </w:pPr>
      <w:r w:rsidRPr="00BD1319">
        <w:rPr>
          <w:spacing w:val="-3"/>
        </w:rPr>
        <w:t xml:space="preserve">Adicionalmente, para la ejecución y diseño del muestreo, </w:t>
      </w:r>
      <w:r w:rsidR="00252BC9" w:rsidRPr="00BD1319">
        <w:rPr>
          <w:spacing w:val="-3"/>
        </w:rPr>
        <w:t xml:space="preserve">es posible seguir </w:t>
      </w:r>
      <w:r w:rsidRPr="00BD1319">
        <w:rPr>
          <w:spacing w:val="-3"/>
        </w:rPr>
        <w:t>las siguientes normas establecidas por</w:t>
      </w:r>
      <w:r w:rsidRPr="00BD1319" w:rsidDel="00304703">
        <w:rPr>
          <w:spacing w:val="-3"/>
        </w:rPr>
        <w:t xml:space="preserve"> </w:t>
      </w:r>
      <w:r w:rsidRPr="00BD1319">
        <w:rPr>
          <w:spacing w:val="-3"/>
        </w:rPr>
        <w:t xml:space="preserve">Instituto Colombiano de Normas Técnicas y Normalización ICONTEC o las que las </w:t>
      </w:r>
      <w:r w:rsidR="0024221F" w:rsidRPr="00BD1319">
        <w:rPr>
          <w:spacing w:val="-3"/>
        </w:rPr>
        <w:t>actualicen o complementen</w:t>
      </w:r>
      <w:r w:rsidRPr="00BD1319">
        <w:rPr>
          <w:spacing w:val="-3"/>
        </w:rPr>
        <w:t xml:space="preserve">: NTC-ISO 5667-10, NTC-ISO 5667-11, NTC-ISO 5667-13, NTC-ISO 5667-2, NTC-ISO 5667-4, NTC-ISO 5667-9, NTC 3945, NTC-ISO 5667-12, NTC-ISO 5667-15, NTC-ISO 5667-19, </w:t>
      </w:r>
      <w:r w:rsidRPr="00BD1319">
        <w:rPr>
          <w:spacing w:val="-3"/>
        </w:rPr>
        <w:lastRenderedPageBreak/>
        <w:t>NTC-ISO 5667-1, NTC-ISO 5667-14, NTC-ISO 5667-18, NTC-ISO 5667-16, NTC-ISO 5667-3, NTC-ISO 5667-6 y NTC 3948.</w:t>
      </w:r>
    </w:p>
    <w:p w14:paraId="559B7231" w14:textId="77777777" w:rsidR="009D132B" w:rsidRPr="00BD1319" w:rsidRDefault="009D132B">
      <w:pPr>
        <w:numPr>
          <w:ilvl w:val="12"/>
          <w:numId w:val="0"/>
        </w:numPr>
        <w:tabs>
          <w:tab w:val="left" w:pos="-2268"/>
        </w:tabs>
        <w:suppressAutoHyphens/>
        <w:rPr>
          <w:spacing w:val="-3"/>
        </w:rPr>
      </w:pPr>
    </w:p>
    <w:p w14:paraId="47789293" w14:textId="120794C7" w:rsidR="009D132B" w:rsidRPr="00BD1319" w:rsidRDefault="009D132B" w:rsidP="00C86DA5">
      <w:pPr>
        <w:tabs>
          <w:tab w:val="left" w:pos="-2268"/>
        </w:tabs>
        <w:suppressAutoHyphens/>
      </w:pPr>
      <w:r w:rsidRPr="00BD1319">
        <w:rPr>
          <w:spacing w:val="-3"/>
        </w:rPr>
        <w:t xml:space="preserve">Realizar el análisis de los resultados de los monitoreos realizados, calculando índices de calidad del agua (ICA, ICOMO, ICOMI, ICOSUS e ICOTRO), incluyendo el análisis de variación de la calidad aguas arriba y aguas abajo de los sitios </w:t>
      </w:r>
      <w:r w:rsidRPr="00BD1319">
        <w:rPr>
          <w:rFonts w:cs="Arial"/>
          <w:spacing w:val="-3"/>
        </w:rPr>
        <w:t>susceptibles de intervención</w:t>
      </w:r>
      <w:r w:rsidRPr="00BD1319">
        <w:rPr>
          <w:spacing w:val="-3"/>
        </w:rPr>
        <w:t xml:space="preserve"> (dentro del área de influencia del </w:t>
      </w:r>
      <w:r w:rsidR="00096EF3" w:rsidRPr="00BD1319">
        <w:rPr>
          <w:rFonts w:cs="Arial"/>
          <w:spacing w:val="-3"/>
        </w:rPr>
        <w:t>componente</w:t>
      </w:r>
      <w:r w:rsidRPr="00BD1319">
        <w:rPr>
          <w:spacing w:val="-3"/>
        </w:rPr>
        <w:t>), para las dos (2) condiciones hidrológicas</w:t>
      </w:r>
      <w:r w:rsidR="00913441" w:rsidRPr="00BD1319">
        <w:rPr>
          <w:spacing w:val="-3"/>
        </w:rPr>
        <w:t>,</w:t>
      </w:r>
      <w:r w:rsidRPr="00BD1319">
        <w:rPr>
          <w:rFonts w:cs="Arial"/>
          <w:spacing w:val="-3"/>
        </w:rPr>
        <w:t xml:space="preserve"> buscando contar con información representativa del comportamiento del (los) cuerpos de agua, bajo condiciones diversas.</w:t>
      </w:r>
      <w:r w:rsidRPr="00BD1319">
        <w:rPr>
          <w:spacing w:val="-3"/>
        </w:rPr>
        <w:t xml:space="preserve"> Es posible </w:t>
      </w:r>
      <w:r w:rsidRPr="00BD1319">
        <w:t>presentar índices diferentes a los mencionados anteriormente, siempre y cuando se justifique el cambio, y el grado de análisis y representatividad sea el mismo o superior al de los índices sugeridos.</w:t>
      </w:r>
      <w:r w:rsidR="00AA451B" w:rsidRPr="00BD1319">
        <w:t xml:space="preserve"> </w:t>
      </w:r>
      <w:r w:rsidR="00C26E19" w:rsidRPr="00BD1319">
        <w:t>Los análisis anteriormente descritos se deben complementar con el índice de toxicidad de agua (ATI) para aquellos proyectos, obras o actividades que requieran la caracterización de metales de acuerdo con los términos de referencia respectivos</w:t>
      </w:r>
      <w:r w:rsidR="00AA451B" w:rsidRPr="00BD1319">
        <w:t>.</w:t>
      </w:r>
    </w:p>
    <w:p w14:paraId="779BE3E5" w14:textId="77777777" w:rsidR="009D132B" w:rsidRPr="00BD1319" w:rsidRDefault="009D132B" w:rsidP="00C86DA5">
      <w:pPr>
        <w:tabs>
          <w:tab w:val="left" w:pos="-2268"/>
        </w:tabs>
        <w:suppressAutoHyphens/>
        <w:rPr>
          <w:spacing w:val="-3"/>
        </w:rPr>
      </w:pPr>
    </w:p>
    <w:p w14:paraId="3282C7DF" w14:textId="77777777" w:rsidR="009D132B" w:rsidRPr="00BD1319" w:rsidRDefault="009D132B" w:rsidP="009420F5">
      <w:pPr>
        <w:pStyle w:val="Ttulo4"/>
        <w:tabs>
          <w:tab w:val="clear" w:pos="1844"/>
          <w:tab w:val="num" w:pos="1134"/>
        </w:tabs>
        <w:ind w:left="0"/>
        <w:rPr>
          <w:lang w:val="es-CO"/>
        </w:rPr>
      </w:pPr>
      <w:r w:rsidRPr="00BD1319">
        <w:rPr>
          <w:lang w:val="es-CO"/>
        </w:rPr>
        <w:t>Usos del agua</w:t>
      </w:r>
    </w:p>
    <w:p w14:paraId="5E3A7D44" w14:textId="77777777" w:rsidR="009D132B" w:rsidRPr="00BD1319" w:rsidRDefault="009D132B">
      <w:pPr>
        <w:numPr>
          <w:ilvl w:val="12"/>
          <w:numId w:val="0"/>
        </w:numPr>
        <w:tabs>
          <w:tab w:val="left" w:pos="-2268"/>
        </w:tabs>
        <w:suppressAutoHyphens/>
        <w:rPr>
          <w:spacing w:val="-3"/>
        </w:rPr>
      </w:pPr>
    </w:p>
    <w:p w14:paraId="04E48FF2" w14:textId="4AB3010C" w:rsidR="009D132B" w:rsidRPr="00BD1319" w:rsidRDefault="00590B9E">
      <w:pPr>
        <w:numPr>
          <w:ilvl w:val="12"/>
          <w:numId w:val="0"/>
        </w:numPr>
        <w:tabs>
          <w:tab w:val="left" w:pos="-2268"/>
        </w:tabs>
        <w:suppressAutoHyphens/>
        <w:rPr>
          <w:spacing w:val="-3"/>
        </w:rPr>
      </w:pPr>
      <w:r w:rsidRPr="00BD1319">
        <w:rPr>
          <w:spacing w:val="-3"/>
        </w:rPr>
        <w:t xml:space="preserve">Determinar </w:t>
      </w:r>
      <w:r w:rsidR="009D132B" w:rsidRPr="00BD1319">
        <w:rPr>
          <w:spacing w:val="-3"/>
        </w:rPr>
        <w:t xml:space="preserve">los usos actuales y potenciales de los cuerpos de agua </w:t>
      </w:r>
      <w:r w:rsidR="009D132B" w:rsidRPr="00BD1319">
        <w:rPr>
          <w:rFonts w:cs="Arial"/>
          <w:spacing w:val="-3"/>
        </w:rPr>
        <w:t xml:space="preserve">susceptibles </w:t>
      </w:r>
      <w:r w:rsidR="009D132B" w:rsidRPr="00BD1319">
        <w:rPr>
          <w:spacing w:val="-3"/>
        </w:rPr>
        <w:t xml:space="preserve">de intervención por el uso y aprovechamiento del recurso y de aquellos presentes en el área de influencia </w:t>
      </w:r>
      <w:r w:rsidR="009D132B" w:rsidRPr="00BD1319">
        <w:rPr>
          <w:rFonts w:cs="Arial"/>
          <w:spacing w:val="-3"/>
        </w:rPr>
        <w:t xml:space="preserve">del </w:t>
      </w:r>
      <w:r w:rsidR="00096EF3" w:rsidRPr="00BD1319">
        <w:rPr>
          <w:rFonts w:cs="Arial"/>
          <w:spacing w:val="-3"/>
        </w:rPr>
        <w:t>componente</w:t>
      </w:r>
      <w:r w:rsidR="009D132B" w:rsidRPr="00BD1319">
        <w:rPr>
          <w:rFonts w:cs="Arial"/>
          <w:spacing w:val="-3"/>
        </w:rPr>
        <w:t>,</w:t>
      </w:r>
      <w:r w:rsidR="009D132B" w:rsidRPr="00BD1319">
        <w:rPr>
          <w:spacing w:val="-3"/>
        </w:rPr>
        <w:t xml:space="preserve"> que estén expuestos a los posibles impactos por el desarrollo del proyecto, para lo cual se deben tener en cuenta los inventarios de usos y usuarios de recurso hídrico realizados por las autoridades ambientales regionales, los Planes de Ordenación y Manejo de la Cuenca (</w:t>
      </w:r>
      <w:proofErr w:type="spellStart"/>
      <w:r w:rsidR="003C70CD" w:rsidRPr="00BD1319">
        <w:rPr>
          <w:spacing w:val="-3"/>
        </w:rPr>
        <w:t>Pomca</w:t>
      </w:r>
      <w:proofErr w:type="spellEnd"/>
      <w:r w:rsidR="009D132B" w:rsidRPr="00BD1319">
        <w:rPr>
          <w:spacing w:val="-3"/>
        </w:rPr>
        <w:t>), objetivos de calidad, registros de concesiones, y Planes de Ordenamiento del Recurso Hídrico (PORH), Sistema de Información del Recurso Hídrico (SIRH) y demás reglamentaciones o fuentes de información existentes, en caso de que existan dichos instrumentos.</w:t>
      </w:r>
    </w:p>
    <w:p w14:paraId="4F72DC27" w14:textId="77777777" w:rsidR="009D132B" w:rsidRPr="00BD1319" w:rsidRDefault="009D132B">
      <w:pPr>
        <w:numPr>
          <w:ilvl w:val="12"/>
          <w:numId w:val="0"/>
        </w:numPr>
        <w:tabs>
          <w:tab w:val="left" w:pos="-2268"/>
        </w:tabs>
        <w:suppressAutoHyphens/>
        <w:rPr>
          <w:spacing w:val="-3"/>
        </w:rPr>
      </w:pPr>
    </w:p>
    <w:p w14:paraId="0474A893" w14:textId="6F98666D" w:rsidR="009D132B" w:rsidRPr="00BD1319" w:rsidRDefault="00590B9E">
      <w:pPr>
        <w:numPr>
          <w:ilvl w:val="12"/>
          <w:numId w:val="0"/>
        </w:numPr>
        <w:tabs>
          <w:tab w:val="left" w:pos="-2268"/>
        </w:tabs>
        <w:suppressAutoHyphens/>
        <w:rPr>
          <w:spacing w:val="-3"/>
        </w:rPr>
      </w:pPr>
      <w:r w:rsidRPr="00BD1319">
        <w:rPr>
          <w:spacing w:val="-3"/>
        </w:rPr>
        <w:t xml:space="preserve">Señalar </w:t>
      </w:r>
      <w:r w:rsidR="009D132B" w:rsidRPr="00BD1319">
        <w:rPr>
          <w:spacing w:val="-3"/>
        </w:rPr>
        <w:t>los usos establecidos en el Decreto 1076 de 2015 (artículo 2.2.3.3.2.1) o aquel que lo modifique</w:t>
      </w:r>
      <w:r w:rsidR="009D132B" w:rsidRPr="00BD1319">
        <w:rPr>
          <w:rFonts w:cs="Arial"/>
          <w:spacing w:val="-3"/>
        </w:rPr>
        <w:t xml:space="preserve"> o</w:t>
      </w:r>
      <w:r w:rsidR="009D132B" w:rsidRPr="00BD1319">
        <w:rPr>
          <w:spacing w:val="-3"/>
        </w:rPr>
        <w:t xml:space="preserve"> sustituya, cuantificando la demanda por uso en el área de influencia del </w:t>
      </w:r>
      <w:r w:rsidR="00096EF3" w:rsidRPr="00BD1319">
        <w:rPr>
          <w:rFonts w:cs="Arial"/>
          <w:spacing w:val="-3"/>
        </w:rPr>
        <w:t>componente</w:t>
      </w:r>
      <w:r w:rsidR="009D132B" w:rsidRPr="00BD1319">
        <w:rPr>
          <w:spacing w:val="-3"/>
        </w:rPr>
        <w:t>, utilizando información presuntiva, primaria y/o secundaria (aquella que esté disponible en la autoridad ambiental competente).</w:t>
      </w:r>
    </w:p>
    <w:p w14:paraId="0A73D22B" w14:textId="77777777" w:rsidR="009D132B" w:rsidRPr="00BD1319" w:rsidRDefault="009D132B">
      <w:pPr>
        <w:numPr>
          <w:ilvl w:val="12"/>
          <w:numId w:val="0"/>
        </w:numPr>
        <w:tabs>
          <w:tab w:val="left" w:pos="-2268"/>
        </w:tabs>
        <w:suppressAutoHyphens/>
        <w:rPr>
          <w:spacing w:val="-3"/>
        </w:rPr>
      </w:pPr>
    </w:p>
    <w:p w14:paraId="18526908" w14:textId="29172FEB" w:rsidR="009D132B" w:rsidRPr="00BD1319" w:rsidRDefault="009D132B">
      <w:pPr>
        <w:numPr>
          <w:ilvl w:val="12"/>
          <w:numId w:val="0"/>
        </w:numPr>
        <w:tabs>
          <w:tab w:val="left" w:pos="-2268"/>
        </w:tabs>
        <w:suppressAutoHyphens/>
        <w:rPr>
          <w:spacing w:val="-3"/>
        </w:rPr>
      </w:pPr>
      <w:r w:rsidRPr="00BD1319">
        <w:rPr>
          <w:spacing w:val="-3"/>
        </w:rPr>
        <w:t xml:space="preserve">Finalmente, se deben </w:t>
      </w:r>
      <w:r w:rsidR="00590B9E" w:rsidRPr="00BD1319">
        <w:rPr>
          <w:spacing w:val="-3"/>
        </w:rPr>
        <w:t xml:space="preserve">determinar </w:t>
      </w:r>
      <w:r w:rsidRPr="00BD1319">
        <w:rPr>
          <w:spacing w:val="-3"/>
        </w:rPr>
        <w:t xml:space="preserve">los conflictos por el uso del agua actuales en relación </w:t>
      </w:r>
      <w:r w:rsidRPr="00BD1319">
        <w:rPr>
          <w:rFonts w:cs="Arial"/>
          <w:spacing w:val="-3"/>
        </w:rPr>
        <w:t>con</w:t>
      </w:r>
      <w:r w:rsidRPr="00BD1319">
        <w:rPr>
          <w:spacing w:val="-3"/>
        </w:rPr>
        <w:t xml:space="preserve"> la disponibilidad y calidad del recurso, de acuerdo </w:t>
      </w:r>
      <w:r w:rsidRPr="00BD1319">
        <w:rPr>
          <w:rFonts w:cs="Arial"/>
          <w:spacing w:val="-3"/>
        </w:rPr>
        <w:t>con el</w:t>
      </w:r>
      <w:r w:rsidRPr="00BD1319">
        <w:rPr>
          <w:spacing w:val="-3"/>
        </w:rPr>
        <w:t xml:space="preserve"> inventario de usos y usuarios y al análisis de la dinámica hidrológica</w:t>
      </w:r>
      <w:r w:rsidRPr="00BD1319">
        <w:rPr>
          <w:rFonts w:cs="Arial"/>
          <w:spacing w:val="-3"/>
        </w:rPr>
        <w:t xml:space="preserve"> en el área de influencia del </w:t>
      </w:r>
      <w:r w:rsidR="00096EF3" w:rsidRPr="00BD1319">
        <w:rPr>
          <w:rFonts w:cs="Arial"/>
          <w:spacing w:val="-3"/>
        </w:rPr>
        <w:t>componente</w:t>
      </w:r>
      <w:r w:rsidRPr="00BD1319">
        <w:rPr>
          <w:spacing w:val="-3"/>
        </w:rPr>
        <w:t>.</w:t>
      </w:r>
    </w:p>
    <w:p w14:paraId="6A5C6062" w14:textId="77777777" w:rsidR="008002C8" w:rsidRPr="00BD1319" w:rsidRDefault="008002C8">
      <w:pPr>
        <w:numPr>
          <w:ilvl w:val="12"/>
          <w:numId w:val="0"/>
        </w:numPr>
        <w:tabs>
          <w:tab w:val="left" w:pos="-2268"/>
        </w:tabs>
        <w:suppressAutoHyphens/>
        <w:rPr>
          <w:spacing w:val="-3"/>
        </w:rPr>
      </w:pPr>
    </w:p>
    <w:p w14:paraId="46F2BB5C" w14:textId="77777777" w:rsidR="009D132B" w:rsidRPr="00BD1319" w:rsidRDefault="009D132B" w:rsidP="00216955">
      <w:pPr>
        <w:pStyle w:val="Ttulo3"/>
      </w:pPr>
      <w:bookmarkStart w:id="2677" w:name="_Ref516121352"/>
      <w:bookmarkStart w:id="2678" w:name="_Toc412812765"/>
      <w:bookmarkStart w:id="2679" w:name="_Toc437936021"/>
      <w:bookmarkStart w:id="2680" w:name="_Ref495932385"/>
      <w:bookmarkStart w:id="2681" w:name="_Toc42764347"/>
      <w:bookmarkStart w:id="2682" w:name="_Toc175326765"/>
      <w:r w:rsidRPr="00BD1319">
        <w:t>Hidrogeológico</w:t>
      </w:r>
      <w:bookmarkEnd w:id="2677"/>
      <w:bookmarkEnd w:id="2678"/>
      <w:bookmarkEnd w:id="2679"/>
      <w:bookmarkEnd w:id="2680"/>
      <w:bookmarkEnd w:id="2681"/>
      <w:bookmarkEnd w:id="2682"/>
    </w:p>
    <w:p w14:paraId="690A8EAA" w14:textId="77777777" w:rsidR="009D132B" w:rsidRPr="00BD1319" w:rsidRDefault="009D132B">
      <w:pPr>
        <w:numPr>
          <w:ilvl w:val="12"/>
          <w:numId w:val="0"/>
        </w:numPr>
        <w:tabs>
          <w:tab w:val="left" w:pos="-2268"/>
        </w:tabs>
        <w:suppressAutoHyphens/>
        <w:rPr>
          <w:spacing w:val="-3"/>
        </w:rPr>
      </w:pPr>
    </w:p>
    <w:p w14:paraId="7E44F6E5" w14:textId="79960736" w:rsidR="00E449AA" w:rsidRPr="00BD1319" w:rsidRDefault="00E449AA" w:rsidP="00E449AA">
      <w:pPr>
        <w:numPr>
          <w:ilvl w:val="12"/>
          <w:numId w:val="0"/>
        </w:numPr>
        <w:tabs>
          <w:tab w:val="left" w:pos="-2268"/>
        </w:tabs>
        <w:suppressAutoHyphens/>
        <w:rPr>
          <w:spacing w:val="-3"/>
        </w:rPr>
      </w:pPr>
      <w:r w:rsidRPr="00BD1319">
        <w:rPr>
          <w:spacing w:val="-3"/>
        </w:rPr>
        <w:t xml:space="preserve">El </w:t>
      </w:r>
      <w:r w:rsidR="00B3248C" w:rsidRPr="00BD1319">
        <w:rPr>
          <w:spacing w:val="-3"/>
        </w:rPr>
        <w:t xml:space="preserve">propósito de la información que debe incluir </w:t>
      </w:r>
      <w:r w:rsidRPr="00BD1319">
        <w:rPr>
          <w:spacing w:val="-3"/>
        </w:rPr>
        <w:t xml:space="preserve">este componente </w:t>
      </w:r>
      <w:r w:rsidR="00B3248C" w:rsidRPr="00BD1319">
        <w:rPr>
          <w:spacing w:val="-3"/>
        </w:rPr>
        <w:t>es</w:t>
      </w:r>
      <w:r w:rsidRPr="00BD1319">
        <w:rPr>
          <w:spacing w:val="-3"/>
        </w:rPr>
        <w:t xml:space="preserve"> </w:t>
      </w:r>
      <w:r w:rsidR="00590B9E" w:rsidRPr="00BD1319">
        <w:rPr>
          <w:spacing w:val="-3"/>
        </w:rPr>
        <w:t xml:space="preserve">definir y </w:t>
      </w:r>
      <w:r w:rsidRPr="00BD1319">
        <w:rPr>
          <w:spacing w:val="-3"/>
        </w:rPr>
        <w:t xml:space="preserve">caracterizar las unidades hidrogeológicas existentes </w:t>
      </w:r>
      <w:r w:rsidR="00B3248C" w:rsidRPr="00BD1319">
        <w:rPr>
          <w:spacing w:val="-3"/>
        </w:rPr>
        <w:t xml:space="preserve">en </w:t>
      </w:r>
      <w:r w:rsidRPr="00BD1319">
        <w:rPr>
          <w:spacing w:val="-3"/>
        </w:rPr>
        <w:t xml:space="preserve">el área de influencia del </w:t>
      </w:r>
      <w:r w:rsidR="00BC2EE3" w:rsidRPr="00BD1319">
        <w:rPr>
          <w:spacing w:val="-3"/>
        </w:rPr>
        <w:lastRenderedPageBreak/>
        <w:t>componente</w:t>
      </w:r>
      <w:r w:rsidRPr="00BD1319">
        <w:rPr>
          <w:spacing w:val="-3"/>
        </w:rPr>
        <w:t xml:space="preserve">, </w:t>
      </w:r>
      <w:r w:rsidR="00B3248C" w:rsidRPr="00BD1319">
        <w:rPr>
          <w:spacing w:val="-3"/>
        </w:rPr>
        <w:t>obra o actividad, a fin de establecer una línea base que brinde elementos para determinar su viabilidad, formular las medidas de protección a que haya lugar y definir un punto de referencia para el posterior monitoreo en términos de calidad y cantidad del agua subterránea y de sus ecosistemas conexos</w:t>
      </w:r>
      <w:r w:rsidRPr="00BD1319">
        <w:rPr>
          <w:spacing w:val="-3"/>
        </w:rPr>
        <w:t>.</w:t>
      </w:r>
    </w:p>
    <w:p w14:paraId="36C0A9A0" w14:textId="77777777" w:rsidR="00E449AA" w:rsidRPr="00BD1319" w:rsidRDefault="00E449AA" w:rsidP="00E449AA">
      <w:pPr>
        <w:numPr>
          <w:ilvl w:val="12"/>
          <w:numId w:val="0"/>
        </w:numPr>
        <w:tabs>
          <w:tab w:val="left" w:pos="-2268"/>
        </w:tabs>
        <w:suppressAutoHyphens/>
        <w:rPr>
          <w:spacing w:val="-3"/>
        </w:rPr>
      </w:pPr>
    </w:p>
    <w:p w14:paraId="18383153" w14:textId="0B9F8F57" w:rsidR="00E449AA" w:rsidRPr="00BD1319" w:rsidRDefault="00E449AA" w:rsidP="00E449AA">
      <w:pPr>
        <w:numPr>
          <w:ilvl w:val="12"/>
          <w:numId w:val="0"/>
        </w:numPr>
        <w:tabs>
          <w:tab w:val="left" w:pos="-2268"/>
        </w:tabs>
        <w:suppressAutoHyphens/>
        <w:rPr>
          <w:spacing w:val="-3"/>
        </w:rPr>
      </w:pPr>
      <w:r w:rsidRPr="00BD1319">
        <w:rPr>
          <w:spacing w:val="-3"/>
        </w:rPr>
        <w:t xml:space="preserve">Para el área de influencia del componente hidrogeológico, se deben </w:t>
      </w:r>
      <w:r w:rsidR="00590B9E" w:rsidRPr="00BD1319">
        <w:rPr>
          <w:spacing w:val="-3"/>
        </w:rPr>
        <w:t xml:space="preserve">determinar </w:t>
      </w:r>
      <w:r w:rsidRPr="00BD1319">
        <w:rPr>
          <w:spacing w:val="-3"/>
        </w:rPr>
        <w:t xml:space="preserve">los diferentes niveles acuíferos de carácter regional, intermedio y local, sus zonas de recarga, tránsito y descarga, dirección y movimiento del flujo, el tipo de acuífero, calidades y tipos de usos actuales y potenciales, considerando además las investigaciones hidrogeológicas realizadas en la zona por diferentes instituciones, así como los planes de manejo ambiental de acuíferos y </w:t>
      </w:r>
      <w:r w:rsidR="00B3248C" w:rsidRPr="00BD1319">
        <w:rPr>
          <w:spacing w:val="-3"/>
        </w:rPr>
        <w:t xml:space="preserve">la </w:t>
      </w:r>
      <w:r w:rsidRPr="00BD1319">
        <w:rPr>
          <w:spacing w:val="-3"/>
        </w:rPr>
        <w:t>reglamentación aplicable que posea la autoridad ambiental competente.</w:t>
      </w:r>
    </w:p>
    <w:p w14:paraId="3EC8FA98" w14:textId="77777777" w:rsidR="00E449AA" w:rsidRPr="00BD1319" w:rsidRDefault="00E449AA" w:rsidP="00E449AA">
      <w:pPr>
        <w:numPr>
          <w:ilvl w:val="12"/>
          <w:numId w:val="0"/>
        </w:numPr>
        <w:tabs>
          <w:tab w:val="left" w:pos="-2268"/>
        </w:tabs>
        <w:suppressAutoHyphens/>
        <w:rPr>
          <w:spacing w:val="-3"/>
        </w:rPr>
      </w:pPr>
    </w:p>
    <w:p w14:paraId="3F4270F6" w14:textId="668DC20E" w:rsidR="00E449AA" w:rsidRPr="00BD1319" w:rsidRDefault="00E449AA" w:rsidP="00E449AA">
      <w:pPr>
        <w:numPr>
          <w:ilvl w:val="12"/>
          <w:numId w:val="0"/>
        </w:numPr>
        <w:tabs>
          <w:tab w:val="left" w:pos="-2268"/>
        </w:tabs>
        <w:suppressAutoHyphens/>
        <w:rPr>
          <w:spacing w:val="-3"/>
        </w:rPr>
      </w:pPr>
      <w:r w:rsidRPr="00BD1319">
        <w:rPr>
          <w:spacing w:val="-3"/>
        </w:rPr>
        <w:t>Como guía para el abordaje de las diferentes fases solicitadas en este componente pueden utilizarse los Lineamientos conceptuales y metodológicos de la Evaluación Regional del Agua – ERA (</w:t>
      </w:r>
      <w:proofErr w:type="spellStart"/>
      <w:r w:rsidR="00A92356" w:rsidRPr="00BD1319">
        <w:rPr>
          <w:spacing w:val="-3"/>
        </w:rPr>
        <w:t>Ideam</w:t>
      </w:r>
      <w:proofErr w:type="spellEnd"/>
      <w:r w:rsidRPr="00BD1319">
        <w:rPr>
          <w:spacing w:val="-3"/>
        </w:rPr>
        <w:t>, 2013), el Estudio Nacional del Agua 2018, la Guía metodológica para la formulación de planes de manejo ambiental de acuíferos (Minambiente, 2014) y los lineamientos vigentes para la presentación de mapas hidrogeológicos del Servicio Geológico Colombiano (SGC).</w:t>
      </w:r>
    </w:p>
    <w:p w14:paraId="72F45BBD" w14:textId="77777777" w:rsidR="00E449AA" w:rsidRPr="00BD1319" w:rsidRDefault="00E449AA" w:rsidP="00E449AA">
      <w:pPr>
        <w:numPr>
          <w:ilvl w:val="12"/>
          <w:numId w:val="0"/>
        </w:numPr>
        <w:tabs>
          <w:tab w:val="left" w:pos="-2268"/>
        </w:tabs>
        <w:suppressAutoHyphens/>
        <w:rPr>
          <w:spacing w:val="-3"/>
        </w:rPr>
      </w:pPr>
    </w:p>
    <w:p w14:paraId="29616D4B" w14:textId="135C656A" w:rsidR="00E449AA" w:rsidRPr="00BD1319" w:rsidRDefault="00E449AA" w:rsidP="00E449AA">
      <w:pPr>
        <w:numPr>
          <w:ilvl w:val="12"/>
          <w:numId w:val="0"/>
        </w:numPr>
        <w:tabs>
          <w:tab w:val="left" w:pos="-2268"/>
        </w:tabs>
        <w:suppressAutoHyphens/>
        <w:rPr>
          <w:spacing w:val="-3"/>
        </w:rPr>
      </w:pPr>
      <w:r w:rsidRPr="00BD1319">
        <w:rPr>
          <w:spacing w:val="-3"/>
        </w:rPr>
        <w:t xml:space="preserve">El resultado de la caracterización del componente hidrogeológico es un </w:t>
      </w:r>
      <w:r w:rsidR="00B3248C" w:rsidRPr="00BD1319">
        <w:rPr>
          <w:spacing w:val="-3"/>
        </w:rPr>
        <w:t>M</w:t>
      </w:r>
      <w:r w:rsidRPr="00BD1319">
        <w:rPr>
          <w:spacing w:val="-3"/>
        </w:rPr>
        <w:t xml:space="preserve">odelo </w:t>
      </w:r>
      <w:r w:rsidR="00B3248C" w:rsidRPr="00BD1319">
        <w:rPr>
          <w:spacing w:val="-3"/>
        </w:rPr>
        <w:t>H</w:t>
      </w:r>
      <w:r w:rsidRPr="00BD1319">
        <w:rPr>
          <w:spacing w:val="-3"/>
        </w:rPr>
        <w:t xml:space="preserve">idrogeológico </w:t>
      </w:r>
      <w:r w:rsidR="00B3248C" w:rsidRPr="00BD1319">
        <w:rPr>
          <w:spacing w:val="-3"/>
        </w:rPr>
        <w:t>C</w:t>
      </w:r>
      <w:r w:rsidRPr="00BD1319">
        <w:rPr>
          <w:spacing w:val="-3"/>
        </w:rPr>
        <w:t xml:space="preserve">onceptual (MHC) orientado a </w:t>
      </w:r>
      <w:r w:rsidR="00B3248C" w:rsidRPr="00BD1319">
        <w:rPr>
          <w:spacing w:val="-3"/>
        </w:rPr>
        <w:t>representar</w:t>
      </w:r>
      <w:r w:rsidRPr="00BD1319">
        <w:rPr>
          <w:spacing w:val="-3"/>
        </w:rPr>
        <w:t xml:space="preserve"> el conocimiento sobre el funcionamiento de las unidades hidrogeológicas susceptibles </w:t>
      </w:r>
      <w:r w:rsidR="002D6507" w:rsidRPr="00BD1319">
        <w:rPr>
          <w:spacing w:val="-3"/>
        </w:rPr>
        <w:t xml:space="preserve">de </w:t>
      </w:r>
      <w:r w:rsidRPr="00BD1319">
        <w:rPr>
          <w:spacing w:val="-3"/>
        </w:rPr>
        <w:t xml:space="preserve">intervención o afectación por el proyecto, </w:t>
      </w:r>
      <w:r w:rsidR="00B3248C" w:rsidRPr="00BD1319">
        <w:rPr>
          <w:spacing w:val="-3"/>
        </w:rPr>
        <w:t xml:space="preserve">obra o actividad; </w:t>
      </w:r>
      <w:r w:rsidRPr="00BD1319">
        <w:rPr>
          <w:spacing w:val="-3"/>
        </w:rPr>
        <w:t xml:space="preserve">para </w:t>
      </w:r>
      <w:r w:rsidR="00B3248C" w:rsidRPr="00BD1319">
        <w:rPr>
          <w:spacing w:val="-3"/>
        </w:rPr>
        <w:t xml:space="preserve">su formulación, </w:t>
      </w:r>
      <w:r w:rsidRPr="00BD1319">
        <w:rPr>
          <w:spacing w:val="-3"/>
        </w:rPr>
        <w:t>se debe realizar la caracterización de cada uno de lo</w:t>
      </w:r>
      <w:r w:rsidR="00B3248C" w:rsidRPr="00BD1319">
        <w:rPr>
          <w:spacing w:val="-3"/>
        </w:rPr>
        <w:t>s</w:t>
      </w:r>
      <w:r w:rsidRPr="00BD1319">
        <w:rPr>
          <w:spacing w:val="-3"/>
        </w:rPr>
        <w:t xml:space="preserve"> siguiente</w:t>
      </w:r>
      <w:r w:rsidR="00B3248C" w:rsidRPr="00BD1319">
        <w:rPr>
          <w:spacing w:val="-3"/>
        </w:rPr>
        <w:t>s elementos</w:t>
      </w:r>
      <w:r w:rsidRPr="00BD1319">
        <w:rPr>
          <w:spacing w:val="-3"/>
        </w:rPr>
        <w:t>:</w:t>
      </w:r>
    </w:p>
    <w:p w14:paraId="19AA987C" w14:textId="77777777" w:rsidR="00E449AA" w:rsidRPr="00BD1319" w:rsidRDefault="00E449AA" w:rsidP="00E449AA">
      <w:pPr>
        <w:numPr>
          <w:ilvl w:val="12"/>
          <w:numId w:val="0"/>
        </w:numPr>
        <w:tabs>
          <w:tab w:val="left" w:pos="-2268"/>
        </w:tabs>
        <w:suppressAutoHyphens/>
        <w:rPr>
          <w:spacing w:val="-3"/>
        </w:rPr>
      </w:pPr>
    </w:p>
    <w:p w14:paraId="40A89667" w14:textId="2EA8DF47" w:rsidR="00E449AA" w:rsidRPr="00BD1319" w:rsidRDefault="00E449AA" w:rsidP="009420F5">
      <w:pPr>
        <w:pStyle w:val="Prrafodelista"/>
        <w:numPr>
          <w:ilvl w:val="0"/>
          <w:numId w:val="59"/>
        </w:numPr>
        <w:tabs>
          <w:tab w:val="left" w:pos="-2268"/>
        </w:tabs>
        <w:suppressAutoHyphens/>
        <w:ind w:left="567" w:hanging="567"/>
        <w:rPr>
          <w:spacing w:val="-3"/>
          <w:lang w:val="es-CO"/>
        </w:rPr>
      </w:pPr>
      <w:r w:rsidRPr="00BD1319">
        <w:rPr>
          <w:bCs/>
          <w:spacing w:val="-3"/>
          <w:lang w:val="es-CO"/>
        </w:rPr>
        <w:t>Geol</w:t>
      </w:r>
      <w:r w:rsidR="001540A3" w:rsidRPr="00BD1319">
        <w:rPr>
          <w:bCs/>
          <w:spacing w:val="-3"/>
          <w:lang w:val="es-CO"/>
        </w:rPr>
        <w:t>ógicos.</w:t>
      </w:r>
      <w:r w:rsidRPr="00BD1319">
        <w:rPr>
          <w:spacing w:val="-3"/>
          <w:lang w:val="es-CO"/>
        </w:rPr>
        <w:t xml:space="preserve"> </w:t>
      </w:r>
      <w:r w:rsidR="001540A3" w:rsidRPr="00BD1319">
        <w:rPr>
          <w:spacing w:val="-3"/>
          <w:lang w:val="es-CO"/>
        </w:rPr>
        <w:t>A</w:t>
      </w:r>
      <w:r w:rsidRPr="00BD1319">
        <w:rPr>
          <w:spacing w:val="-3"/>
          <w:lang w:val="es-CO"/>
        </w:rPr>
        <w:t xml:space="preserve"> partir de la información consignada y analizada en la sección </w:t>
      </w:r>
      <w:r w:rsidR="00B3248C" w:rsidRPr="00BD1319">
        <w:rPr>
          <w:spacing w:val="-3"/>
          <w:lang w:val="es-CO"/>
        </w:rPr>
        <w:fldChar w:fldCharType="begin"/>
      </w:r>
      <w:r w:rsidR="00B3248C" w:rsidRPr="00BD1319">
        <w:rPr>
          <w:spacing w:val="-3"/>
          <w:lang w:val="es-CO"/>
        </w:rPr>
        <w:instrText xml:space="preserve"> REF _Ref78816980 \r \h </w:instrText>
      </w:r>
      <w:r w:rsidR="001540A3" w:rsidRPr="00BD1319">
        <w:rPr>
          <w:spacing w:val="-3"/>
          <w:lang w:val="es-CO"/>
        </w:rPr>
        <w:instrText xml:space="preserve"> \* MERGEFORMAT </w:instrText>
      </w:r>
      <w:r w:rsidR="00B3248C" w:rsidRPr="00BD1319">
        <w:rPr>
          <w:spacing w:val="-3"/>
          <w:lang w:val="es-CO"/>
        </w:rPr>
      </w:r>
      <w:r w:rsidR="00B3248C" w:rsidRPr="00BD1319">
        <w:rPr>
          <w:spacing w:val="-3"/>
          <w:lang w:val="es-CO"/>
        </w:rPr>
        <w:fldChar w:fldCharType="separate"/>
      </w:r>
      <w:r w:rsidR="00296654" w:rsidRPr="00BD1319">
        <w:rPr>
          <w:spacing w:val="-3"/>
          <w:lang w:val="es-CO"/>
        </w:rPr>
        <w:t>4.1.1</w:t>
      </w:r>
      <w:r w:rsidR="00B3248C" w:rsidRPr="00BD1319">
        <w:rPr>
          <w:spacing w:val="-3"/>
          <w:lang w:val="es-CO"/>
        </w:rPr>
        <w:fldChar w:fldCharType="end"/>
      </w:r>
      <w:r w:rsidR="00B3248C" w:rsidRPr="00BD1319">
        <w:rPr>
          <w:spacing w:val="-3"/>
          <w:lang w:val="es-CO"/>
        </w:rPr>
        <w:t xml:space="preserve"> del capítulo III </w:t>
      </w:r>
      <w:r w:rsidRPr="00BD1319">
        <w:rPr>
          <w:spacing w:val="-3"/>
          <w:lang w:val="es-CO"/>
        </w:rPr>
        <w:t xml:space="preserve">de la presente metodología, se debe establecer el comportamiento hidrogeológico de cada una de las unidades geológicas identificadas. Para los medios fracturados identificados se debe determinar y caracterizar lineamientos, fallas y fracturas, indicando buzamiento y orientación, espesor, permeabilidad, presencia de brechas, entre otras características, </w:t>
      </w:r>
      <w:r w:rsidR="001540A3" w:rsidRPr="00BD1319">
        <w:rPr>
          <w:spacing w:val="-3"/>
          <w:lang w:val="es-CO"/>
        </w:rPr>
        <w:t xml:space="preserve">y </w:t>
      </w:r>
      <w:r w:rsidR="00590B9E" w:rsidRPr="00BD1319">
        <w:rPr>
          <w:spacing w:val="-3"/>
          <w:lang w:val="es-CO"/>
        </w:rPr>
        <w:t xml:space="preserve">establecer </w:t>
      </w:r>
      <w:r w:rsidRPr="00BD1319">
        <w:rPr>
          <w:spacing w:val="-3"/>
          <w:lang w:val="es-CO"/>
        </w:rPr>
        <w:t>su comportamiento como barrera de baja o alta permeabilidad o c</w:t>
      </w:r>
      <w:r w:rsidR="00B3248C" w:rsidRPr="00BD1319">
        <w:rPr>
          <w:spacing w:val="-3"/>
          <w:lang w:val="es-CO"/>
        </w:rPr>
        <w:t>ondición preferencial de flujo.</w:t>
      </w:r>
    </w:p>
    <w:p w14:paraId="7F083E78" w14:textId="77777777" w:rsidR="00B3248C" w:rsidRPr="00BD1319" w:rsidRDefault="00B3248C" w:rsidP="00E449AA">
      <w:pPr>
        <w:numPr>
          <w:ilvl w:val="12"/>
          <w:numId w:val="0"/>
        </w:numPr>
        <w:tabs>
          <w:tab w:val="left" w:pos="-2268"/>
        </w:tabs>
        <w:suppressAutoHyphens/>
        <w:rPr>
          <w:spacing w:val="-3"/>
        </w:rPr>
      </w:pPr>
    </w:p>
    <w:p w14:paraId="1E9EC097" w14:textId="6E53EE94" w:rsidR="00E449AA" w:rsidRPr="00BD1319" w:rsidRDefault="00E449AA" w:rsidP="009420F5">
      <w:pPr>
        <w:pStyle w:val="Prrafodelista"/>
        <w:numPr>
          <w:ilvl w:val="0"/>
          <w:numId w:val="59"/>
        </w:numPr>
        <w:tabs>
          <w:tab w:val="left" w:pos="-2268"/>
        </w:tabs>
        <w:suppressAutoHyphens/>
        <w:ind w:left="567" w:hanging="567"/>
        <w:rPr>
          <w:bCs/>
          <w:spacing w:val="-3"/>
          <w:lang w:val="es-CO"/>
        </w:rPr>
      </w:pPr>
      <w:r w:rsidRPr="00BD1319">
        <w:rPr>
          <w:bCs/>
          <w:spacing w:val="-3"/>
          <w:lang w:val="es-CO"/>
        </w:rPr>
        <w:t>Geofísic</w:t>
      </w:r>
      <w:r w:rsidR="001540A3" w:rsidRPr="00BD1319">
        <w:rPr>
          <w:bCs/>
          <w:spacing w:val="-3"/>
          <w:lang w:val="es-CO"/>
        </w:rPr>
        <w:t>os.</w:t>
      </w:r>
      <w:r w:rsidRPr="00BD1319">
        <w:rPr>
          <w:bCs/>
          <w:spacing w:val="-3"/>
          <w:lang w:val="es-CO"/>
        </w:rPr>
        <w:t xml:space="preserve"> </w:t>
      </w:r>
      <w:r w:rsidR="001540A3" w:rsidRPr="00BD1319">
        <w:rPr>
          <w:bCs/>
          <w:spacing w:val="-3"/>
          <w:lang w:val="es-CO"/>
        </w:rPr>
        <w:t>Se</w:t>
      </w:r>
      <w:r w:rsidRPr="00BD1319">
        <w:rPr>
          <w:bCs/>
          <w:spacing w:val="-3"/>
          <w:lang w:val="es-CO"/>
        </w:rPr>
        <w:t xml:space="preserve"> debe efectuar un estudio geofísico representativo del área de influencia del </w:t>
      </w:r>
      <w:r w:rsidR="001540A3" w:rsidRPr="00BD1319">
        <w:rPr>
          <w:bCs/>
          <w:spacing w:val="-3"/>
          <w:lang w:val="es-CO"/>
        </w:rPr>
        <w:t>componente</w:t>
      </w:r>
      <w:r w:rsidRPr="00BD1319">
        <w:rPr>
          <w:bCs/>
          <w:spacing w:val="-3"/>
          <w:lang w:val="es-CO"/>
        </w:rPr>
        <w:t xml:space="preserve">, incluyendo los parámetros de adquisición, la descripción del método geofísico empleado, justificando su selección de acuerdo con las condiciones geológicas-estructurales particulares del área. Se debe realizar </w:t>
      </w:r>
      <w:r w:rsidR="001540A3" w:rsidRPr="00BD1319">
        <w:rPr>
          <w:bCs/>
          <w:spacing w:val="-3"/>
          <w:lang w:val="es-CO"/>
        </w:rPr>
        <w:t xml:space="preserve">la </w:t>
      </w:r>
      <w:r w:rsidRPr="00BD1319">
        <w:rPr>
          <w:bCs/>
          <w:spacing w:val="-3"/>
          <w:lang w:val="es-CO"/>
        </w:rPr>
        <w:t xml:space="preserve">interpretación y correlación de las unidades litológicas con sus valores geofísicos obtenidos respecto a las unidades litológicas presentes. Adicionalmente, </w:t>
      </w:r>
      <w:r w:rsidR="001540A3" w:rsidRPr="00BD1319">
        <w:rPr>
          <w:bCs/>
          <w:spacing w:val="-3"/>
          <w:lang w:val="es-CO"/>
        </w:rPr>
        <w:t xml:space="preserve">se debe </w:t>
      </w:r>
      <w:r w:rsidRPr="00BD1319">
        <w:rPr>
          <w:bCs/>
          <w:spacing w:val="-3"/>
          <w:lang w:val="es-CO"/>
        </w:rPr>
        <w:t xml:space="preserve">presentar un mapa y perfiles con la distribución espacial </w:t>
      </w:r>
      <w:r w:rsidRPr="00BD1319">
        <w:rPr>
          <w:bCs/>
          <w:spacing w:val="-3"/>
          <w:lang w:val="es-CO"/>
        </w:rPr>
        <w:lastRenderedPageBreak/>
        <w:t>de los puntos de medición y captura de datos geofísicos. Se debe suministrar tanto los datos de campo, como la interpretación de estos incluyendo un análisi</w:t>
      </w:r>
      <w:r w:rsidR="001540A3" w:rsidRPr="00BD1319">
        <w:rPr>
          <w:bCs/>
          <w:spacing w:val="-3"/>
          <w:lang w:val="es-CO"/>
        </w:rPr>
        <w:t>s de certidumbre de resultados.</w:t>
      </w:r>
    </w:p>
    <w:p w14:paraId="71CF3811" w14:textId="77777777" w:rsidR="001540A3" w:rsidRPr="00BD1319" w:rsidRDefault="001540A3" w:rsidP="00E449AA">
      <w:pPr>
        <w:numPr>
          <w:ilvl w:val="12"/>
          <w:numId w:val="0"/>
        </w:numPr>
        <w:tabs>
          <w:tab w:val="left" w:pos="-2268"/>
        </w:tabs>
        <w:suppressAutoHyphens/>
        <w:rPr>
          <w:spacing w:val="-3"/>
        </w:rPr>
      </w:pPr>
    </w:p>
    <w:p w14:paraId="4B4F2C28" w14:textId="58C901E4" w:rsidR="00E449AA" w:rsidRPr="00BD1319" w:rsidRDefault="00E449AA" w:rsidP="009420F5">
      <w:pPr>
        <w:pStyle w:val="Prrafodelista"/>
        <w:numPr>
          <w:ilvl w:val="0"/>
          <w:numId w:val="59"/>
        </w:numPr>
        <w:tabs>
          <w:tab w:val="left" w:pos="-2268"/>
        </w:tabs>
        <w:suppressAutoHyphens/>
        <w:ind w:left="567" w:hanging="567"/>
        <w:rPr>
          <w:bCs/>
          <w:spacing w:val="-3"/>
          <w:lang w:val="es-CO"/>
        </w:rPr>
      </w:pPr>
      <w:r w:rsidRPr="00BD1319">
        <w:rPr>
          <w:bCs/>
          <w:spacing w:val="-3"/>
          <w:lang w:val="es-CO"/>
        </w:rPr>
        <w:t xml:space="preserve">Modelo </w:t>
      </w:r>
      <w:r w:rsidR="001540A3" w:rsidRPr="00BD1319">
        <w:rPr>
          <w:bCs/>
          <w:spacing w:val="-3"/>
          <w:lang w:val="es-CO"/>
        </w:rPr>
        <w:t>g</w:t>
      </w:r>
      <w:r w:rsidRPr="00BD1319">
        <w:rPr>
          <w:bCs/>
          <w:spacing w:val="-3"/>
          <w:lang w:val="es-CO"/>
        </w:rPr>
        <w:t>eológico-</w:t>
      </w:r>
      <w:r w:rsidR="001540A3" w:rsidRPr="00BD1319">
        <w:rPr>
          <w:bCs/>
          <w:spacing w:val="-3"/>
          <w:lang w:val="es-CO"/>
        </w:rPr>
        <w:t>g</w:t>
      </w:r>
      <w:r w:rsidRPr="00BD1319">
        <w:rPr>
          <w:bCs/>
          <w:spacing w:val="-3"/>
          <w:lang w:val="es-CO"/>
        </w:rPr>
        <w:t>eofísico</w:t>
      </w:r>
      <w:r w:rsidR="001540A3" w:rsidRPr="00BD1319">
        <w:rPr>
          <w:bCs/>
          <w:spacing w:val="-3"/>
          <w:lang w:val="es-CO"/>
        </w:rPr>
        <w:t>.</w:t>
      </w:r>
      <w:r w:rsidRPr="00BD1319">
        <w:rPr>
          <w:bCs/>
          <w:spacing w:val="-3"/>
          <w:lang w:val="es-CO"/>
        </w:rPr>
        <w:t xml:space="preserve"> </w:t>
      </w:r>
      <w:r w:rsidR="001540A3" w:rsidRPr="00BD1319">
        <w:rPr>
          <w:bCs/>
          <w:spacing w:val="-3"/>
          <w:lang w:val="es-CO"/>
        </w:rPr>
        <w:t>C</w:t>
      </w:r>
      <w:r w:rsidRPr="00BD1319">
        <w:rPr>
          <w:bCs/>
          <w:spacing w:val="-3"/>
          <w:lang w:val="es-CO"/>
        </w:rPr>
        <w:t xml:space="preserve">on base en la información geológica </w:t>
      </w:r>
      <w:r w:rsidR="00DF2731" w:rsidRPr="00BD1319">
        <w:rPr>
          <w:bCs/>
          <w:spacing w:val="-3"/>
          <w:lang w:val="es-CO"/>
        </w:rPr>
        <w:t xml:space="preserve">(p. ej. pozos, perforaciones, columnas estratigráficas) </w:t>
      </w:r>
      <w:r w:rsidRPr="00BD1319">
        <w:rPr>
          <w:bCs/>
          <w:spacing w:val="-3"/>
          <w:lang w:val="es-CO"/>
        </w:rPr>
        <w:t xml:space="preserve">y </w:t>
      </w:r>
      <w:r w:rsidR="00DF2731" w:rsidRPr="00BD1319">
        <w:rPr>
          <w:bCs/>
          <w:spacing w:val="-3"/>
          <w:lang w:val="es-CO"/>
        </w:rPr>
        <w:t>los resultados de los métodos geofísicos</w:t>
      </w:r>
      <w:r w:rsidRPr="00BD1319">
        <w:rPr>
          <w:bCs/>
          <w:spacing w:val="-3"/>
          <w:lang w:val="es-CO"/>
        </w:rPr>
        <w:t>, se debe construir un modelo tridimensional con sus respectivos perfiles, en el cual, se determine la geometría de cada una de las unidades geológicas, la profundidad del techo y base, sus espesores promedio, total y saturado, continuidad y extensión lateral y sus fronteras permeables, impermeables y semipermeables, identificando las discontinuidades geológicas y estructurales (fallas, zonas fracturadas, karst), propiedades de las formaciones geológicas, porosidad y estructura del subsuelo.</w:t>
      </w:r>
    </w:p>
    <w:p w14:paraId="24F49D73" w14:textId="77777777" w:rsidR="001540A3" w:rsidRPr="00BD1319" w:rsidRDefault="001540A3" w:rsidP="00E449AA">
      <w:pPr>
        <w:numPr>
          <w:ilvl w:val="12"/>
          <w:numId w:val="0"/>
        </w:numPr>
        <w:tabs>
          <w:tab w:val="left" w:pos="-2268"/>
        </w:tabs>
        <w:suppressAutoHyphens/>
        <w:rPr>
          <w:spacing w:val="-3"/>
        </w:rPr>
      </w:pPr>
    </w:p>
    <w:p w14:paraId="375DE96D" w14:textId="3D61AC40" w:rsidR="00E449AA" w:rsidRPr="00BD1319" w:rsidRDefault="001540A3" w:rsidP="009420F5">
      <w:pPr>
        <w:pStyle w:val="Prrafodelista"/>
        <w:numPr>
          <w:ilvl w:val="0"/>
          <w:numId w:val="59"/>
        </w:numPr>
        <w:tabs>
          <w:tab w:val="left" w:pos="-2268"/>
        </w:tabs>
        <w:suppressAutoHyphens/>
        <w:ind w:left="567" w:hanging="567"/>
        <w:rPr>
          <w:bCs/>
          <w:spacing w:val="-3"/>
          <w:lang w:val="es-CO"/>
        </w:rPr>
      </w:pPr>
      <w:r w:rsidRPr="00BD1319">
        <w:rPr>
          <w:bCs/>
          <w:spacing w:val="-3"/>
          <w:lang w:val="es-CO"/>
        </w:rPr>
        <w:t>U</w:t>
      </w:r>
      <w:r w:rsidR="00E449AA" w:rsidRPr="00BD1319">
        <w:rPr>
          <w:bCs/>
          <w:spacing w:val="-3"/>
          <w:lang w:val="es-CO"/>
        </w:rPr>
        <w:t>nidades hidrogeológicas</w:t>
      </w:r>
      <w:r w:rsidRPr="00BD1319">
        <w:rPr>
          <w:bCs/>
          <w:spacing w:val="-3"/>
          <w:lang w:val="es-CO"/>
        </w:rPr>
        <w:t>.</w:t>
      </w:r>
      <w:r w:rsidR="00E449AA" w:rsidRPr="00BD1319">
        <w:rPr>
          <w:bCs/>
          <w:spacing w:val="-3"/>
          <w:lang w:val="es-CO"/>
        </w:rPr>
        <w:t xml:space="preserve"> </w:t>
      </w:r>
      <w:r w:rsidRPr="00BD1319">
        <w:rPr>
          <w:bCs/>
          <w:spacing w:val="-3"/>
          <w:lang w:val="es-CO"/>
        </w:rPr>
        <w:t>S</w:t>
      </w:r>
      <w:r w:rsidR="00E449AA" w:rsidRPr="00BD1319">
        <w:rPr>
          <w:bCs/>
          <w:spacing w:val="-3"/>
          <w:lang w:val="es-CO"/>
        </w:rPr>
        <w:t xml:space="preserve">e deben </w:t>
      </w:r>
      <w:r w:rsidR="00F0355C" w:rsidRPr="00BD1319">
        <w:rPr>
          <w:bCs/>
          <w:spacing w:val="-3"/>
          <w:lang w:val="es-CO"/>
        </w:rPr>
        <w:t xml:space="preserve">determinar </w:t>
      </w:r>
      <w:r w:rsidR="00E449AA" w:rsidRPr="00BD1319">
        <w:rPr>
          <w:bCs/>
          <w:spacing w:val="-3"/>
          <w:lang w:val="es-CO"/>
        </w:rPr>
        <w:t xml:space="preserve">y clasificar las unidades hidrogeológicas </w:t>
      </w:r>
      <w:r w:rsidR="00DF2731" w:rsidRPr="00BD1319">
        <w:rPr>
          <w:bCs/>
          <w:spacing w:val="-3"/>
          <w:lang w:val="es-CO"/>
        </w:rPr>
        <w:t xml:space="preserve">definidas en el modelo geológico-geofísico para </w:t>
      </w:r>
      <w:r w:rsidR="00E449AA" w:rsidRPr="00BD1319">
        <w:rPr>
          <w:bCs/>
          <w:spacing w:val="-3"/>
          <w:lang w:val="es-CO"/>
        </w:rPr>
        <w:t xml:space="preserve">el área de influencia del </w:t>
      </w:r>
      <w:r w:rsidRPr="00BD1319">
        <w:rPr>
          <w:bCs/>
          <w:spacing w:val="-3"/>
          <w:lang w:val="es-CO"/>
        </w:rPr>
        <w:t>componente</w:t>
      </w:r>
      <w:r w:rsidR="00E449AA" w:rsidRPr="00BD1319">
        <w:rPr>
          <w:bCs/>
          <w:spacing w:val="-3"/>
          <w:lang w:val="es-CO"/>
        </w:rPr>
        <w:t xml:space="preserve">, indicando el nombre de la formación o formaciones geológicas que la conforman y sus características litológicas, texturales y estructurales que condicionan y describen el comportamiento hidrogeológico. La nomenclatura de las unidades hidrogeológicas debe realizarse según la metodología de la Asociación Internacional de Hidrogeólogos (IAH) </w:t>
      </w:r>
      <w:r w:rsidR="00BC79DF" w:rsidRPr="00BD1319">
        <w:rPr>
          <w:bCs/>
          <w:spacing w:val="-3"/>
          <w:lang w:val="es-CO"/>
        </w:rPr>
        <w:t xml:space="preserve">señalada en el documento de </w:t>
      </w:r>
      <w:proofErr w:type="spellStart"/>
      <w:r w:rsidR="00595D9D" w:rsidRPr="00BD1319">
        <w:rPr>
          <w:bCs/>
          <w:spacing w:val="-3"/>
          <w:lang w:val="es-CO"/>
        </w:rPr>
        <w:t>Struckmeier</w:t>
      </w:r>
      <w:proofErr w:type="spellEnd"/>
      <w:r w:rsidR="00595D9D" w:rsidRPr="00BD1319">
        <w:rPr>
          <w:bCs/>
          <w:spacing w:val="-3"/>
          <w:lang w:val="es-CO"/>
        </w:rPr>
        <w:t xml:space="preserve"> &amp; </w:t>
      </w:r>
      <w:proofErr w:type="spellStart"/>
      <w:r w:rsidR="00595D9D" w:rsidRPr="00BD1319">
        <w:rPr>
          <w:bCs/>
          <w:spacing w:val="-3"/>
          <w:lang w:val="es-CO"/>
        </w:rPr>
        <w:t>Margat</w:t>
      </w:r>
      <w:proofErr w:type="spellEnd"/>
      <w:r w:rsidR="00E449AA" w:rsidRPr="00BD1319">
        <w:rPr>
          <w:bCs/>
          <w:spacing w:val="-3"/>
          <w:lang w:val="es-CO"/>
        </w:rPr>
        <w:t xml:space="preserve"> </w:t>
      </w:r>
      <w:r w:rsidR="00BC79DF" w:rsidRPr="00BD1319">
        <w:rPr>
          <w:bCs/>
          <w:spacing w:val="-3"/>
          <w:lang w:val="es-CO"/>
        </w:rPr>
        <w:t>(</w:t>
      </w:r>
      <w:r w:rsidR="00E449AA" w:rsidRPr="00BD1319">
        <w:rPr>
          <w:bCs/>
          <w:spacing w:val="-3"/>
          <w:lang w:val="es-CO"/>
        </w:rPr>
        <w:t>1995) o aquella que la modifique o sustituya.</w:t>
      </w:r>
    </w:p>
    <w:p w14:paraId="32C0B599" w14:textId="77777777" w:rsidR="001540A3" w:rsidRPr="00BD1319" w:rsidRDefault="001540A3" w:rsidP="00E449AA">
      <w:pPr>
        <w:numPr>
          <w:ilvl w:val="12"/>
          <w:numId w:val="0"/>
        </w:numPr>
        <w:tabs>
          <w:tab w:val="left" w:pos="-2268"/>
        </w:tabs>
        <w:suppressAutoHyphens/>
        <w:rPr>
          <w:spacing w:val="-3"/>
        </w:rPr>
      </w:pPr>
    </w:p>
    <w:p w14:paraId="28D0CDD8" w14:textId="6A52C9E3" w:rsidR="00E449AA" w:rsidRPr="00BD1319" w:rsidRDefault="00E449AA" w:rsidP="009420F5">
      <w:pPr>
        <w:pStyle w:val="Prrafodelista"/>
        <w:numPr>
          <w:ilvl w:val="0"/>
          <w:numId w:val="59"/>
        </w:numPr>
        <w:tabs>
          <w:tab w:val="left" w:pos="-2268"/>
        </w:tabs>
        <w:suppressAutoHyphens/>
        <w:ind w:left="567" w:hanging="567"/>
        <w:rPr>
          <w:bCs/>
          <w:spacing w:val="-3"/>
          <w:lang w:val="es-CO"/>
        </w:rPr>
      </w:pPr>
      <w:r w:rsidRPr="00BD1319">
        <w:rPr>
          <w:bCs/>
          <w:spacing w:val="-3"/>
          <w:lang w:val="es-CO"/>
        </w:rPr>
        <w:t xml:space="preserve">Interconexión </w:t>
      </w:r>
      <w:r w:rsidR="001540A3" w:rsidRPr="00BD1319">
        <w:rPr>
          <w:bCs/>
          <w:spacing w:val="-3"/>
          <w:lang w:val="es-CO"/>
        </w:rPr>
        <w:t>a</w:t>
      </w:r>
      <w:r w:rsidRPr="00BD1319">
        <w:rPr>
          <w:bCs/>
          <w:spacing w:val="-3"/>
          <w:lang w:val="es-CO"/>
        </w:rPr>
        <w:t xml:space="preserve">gua </w:t>
      </w:r>
      <w:r w:rsidR="001540A3" w:rsidRPr="00BD1319">
        <w:rPr>
          <w:bCs/>
          <w:spacing w:val="-3"/>
          <w:lang w:val="es-CO"/>
        </w:rPr>
        <w:t>s</w:t>
      </w:r>
      <w:r w:rsidRPr="00BD1319">
        <w:rPr>
          <w:bCs/>
          <w:spacing w:val="-3"/>
          <w:lang w:val="es-CO"/>
        </w:rPr>
        <w:t xml:space="preserve">uperficial y </w:t>
      </w:r>
      <w:r w:rsidR="001540A3" w:rsidRPr="00BD1319">
        <w:rPr>
          <w:bCs/>
          <w:spacing w:val="-3"/>
          <w:lang w:val="es-CO"/>
        </w:rPr>
        <w:t>s</w:t>
      </w:r>
      <w:r w:rsidRPr="00BD1319">
        <w:rPr>
          <w:bCs/>
          <w:spacing w:val="-3"/>
          <w:lang w:val="es-CO"/>
        </w:rPr>
        <w:t>ubterránea</w:t>
      </w:r>
      <w:r w:rsidR="001540A3" w:rsidRPr="00BD1319">
        <w:rPr>
          <w:bCs/>
          <w:spacing w:val="-3"/>
          <w:lang w:val="es-CO"/>
        </w:rPr>
        <w:t>.</w:t>
      </w:r>
      <w:r w:rsidRPr="00BD1319">
        <w:rPr>
          <w:bCs/>
          <w:spacing w:val="-3"/>
          <w:lang w:val="es-CO"/>
        </w:rPr>
        <w:t xml:space="preserve"> </w:t>
      </w:r>
      <w:r w:rsidR="001540A3" w:rsidRPr="00BD1319">
        <w:rPr>
          <w:bCs/>
          <w:spacing w:val="-3"/>
          <w:lang w:val="es-CO"/>
        </w:rPr>
        <w:t>S</w:t>
      </w:r>
      <w:r w:rsidRPr="00BD1319">
        <w:rPr>
          <w:bCs/>
          <w:spacing w:val="-3"/>
          <w:lang w:val="es-CO"/>
        </w:rPr>
        <w:t xml:space="preserve">e debe establecer la conexión hidráulica </w:t>
      </w:r>
      <w:r w:rsidR="007443E1" w:rsidRPr="00BD1319">
        <w:rPr>
          <w:bCs/>
          <w:spacing w:val="-3"/>
          <w:lang w:val="es-CO"/>
        </w:rPr>
        <w:t xml:space="preserve">entre todos los cuerpos de agua superficial y </w:t>
      </w:r>
      <w:r w:rsidRPr="00BD1319">
        <w:rPr>
          <w:bCs/>
          <w:spacing w:val="-3"/>
          <w:lang w:val="es-CO"/>
        </w:rPr>
        <w:t>los diferentes niveles acuíferos calculando el f</w:t>
      </w:r>
      <w:r w:rsidR="001540A3" w:rsidRPr="00BD1319">
        <w:rPr>
          <w:bCs/>
          <w:spacing w:val="-3"/>
          <w:lang w:val="es-CO"/>
        </w:rPr>
        <w:t>l</w:t>
      </w:r>
      <w:r w:rsidRPr="00BD1319">
        <w:rPr>
          <w:bCs/>
          <w:spacing w:val="-3"/>
          <w:lang w:val="es-CO"/>
        </w:rPr>
        <w:t>ujo base para cada uno, realizando mediciones representativas de conductancia en el lecho, así como las fluctuaciones estacionales que puede</w:t>
      </w:r>
      <w:r w:rsidR="001540A3" w:rsidRPr="00BD1319">
        <w:rPr>
          <w:bCs/>
          <w:spacing w:val="-3"/>
          <w:lang w:val="es-CO"/>
        </w:rPr>
        <w:t>n</w:t>
      </w:r>
      <w:r w:rsidRPr="00BD1319">
        <w:rPr>
          <w:bCs/>
          <w:spacing w:val="-3"/>
          <w:lang w:val="es-CO"/>
        </w:rPr>
        <w:t xml:space="preserve"> presentarse en dicha conexión. Para la validación de este requerimiento se debe utilizar la información de niveles freáticos y piezométricos, </w:t>
      </w:r>
      <w:proofErr w:type="spellStart"/>
      <w:r w:rsidRPr="00BD1319">
        <w:rPr>
          <w:bCs/>
          <w:spacing w:val="-3"/>
          <w:lang w:val="es-CO"/>
        </w:rPr>
        <w:t>hidrogeoquímicos</w:t>
      </w:r>
      <w:proofErr w:type="spellEnd"/>
      <w:r w:rsidRPr="00BD1319">
        <w:rPr>
          <w:bCs/>
          <w:spacing w:val="-3"/>
          <w:lang w:val="es-CO"/>
        </w:rPr>
        <w:t xml:space="preserve"> </w:t>
      </w:r>
      <w:r w:rsidR="001540A3" w:rsidRPr="00BD1319">
        <w:rPr>
          <w:bCs/>
          <w:spacing w:val="-3"/>
          <w:lang w:val="es-CO"/>
        </w:rPr>
        <w:t xml:space="preserve">señalados </w:t>
      </w:r>
      <w:r w:rsidRPr="00BD1319">
        <w:rPr>
          <w:bCs/>
          <w:spacing w:val="-3"/>
          <w:lang w:val="es-CO"/>
        </w:rPr>
        <w:t>más adelante.</w:t>
      </w:r>
    </w:p>
    <w:p w14:paraId="1B1DBA67" w14:textId="77777777" w:rsidR="001540A3" w:rsidRPr="00BD1319" w:rsidRDefault="001540A3" w:rsidP="00E449AA">
      <w:pPr>
        <w:numPr>
          <w:ilvl w:val="12"/>
          <w:numId w:val="0"/>
        </w:numPr>
        <w:tabs>
          <w:tab w:val="left" w:pos="-2268"/>
        </w:tabs>
        <w:suppressAutoHyphens/>
        <w:rPr>
          <w:spacing w:val="-3"/>
        </w:rPr>
      </w:pPr>
    </w:p>
    <w:p w14:paraId="6D75A9BD" w14:textId="005FD243" w:rsidR="00E449AA" w:rsidRPr="00BD1319" w:rsidRDefault="00775601" w:rsidP="009420F5">
      <w:pPr>
        <w:pStyle w:val="Prrafodelista"/>
        <w:numPr>
          <w:ilvl w:val="0"/>
          <w:numId w:val="59"/>
        </w:numPr>
        <w:tabs>
          <w:tab w:val="left" w:pos="-2268"/>
        </w:tabs>
        <w:suppressAutoHyphens/>
        <w:ind w:left="567" w:hanging="567"/>
        <w:rPr>
          <w:bCs/>
          <w:spacing w:val="-3"/>
          <w:lang w:val="es-CO"/>
        </w:rPr>
      </w:pPr>
      <w:r w:rsidRPr="00BD1319">
        <w:rPr>
          <w:bCs/>
          <w:spacing w:val="-3"/>
          <w:lang w:val="es-CO"/>
        </w:rPr>
        <w:t>R</w:t>
      </w:r>
      <w:r w:rsidR="00E449AA" w:rsidRPr="00BD1319">
        <w:rPr>
          <w:bCs/>
          <w:spacing w:val="-3"/>
          <w:lang w:val="es-CO"/>
        </w:rPr>
        <w:t>ecarga potencial</w:t>
      </w:r>
      <w:r w:rsidR="001540A3" w:rsidRPr="00BD1319">
        <w:rPr>
          <w:bCs/>
          <w:spacing w:val="-3"/>
          <w:lang w:val="es-CO"/>
        </w:rPr>
        <w:t>.</w:t>
      </w:r>
      <w:r w:rsidR="00E449AA" w:rsidRPr="00BD1319">
        <w:rPr>
          <w:bCs/>
          <w:spacing w:val="-3"/>
          <w:lang w:val="es-CO"/>
        </w:rPr>
        <w:t xml:space="preserve"> </w:t>
      </w:r>
      <w:r w:rsidRPr="00BD1319">
        <w:rPr>
          <w:bCs/>
          <w:spacing w:val="-3"/>
          <w:lang w:val="es-CO"/>
        </w:rPr>
        <w:t>Para la estimación de la recarga potencial s</w:t>
      </w:r>
      <w:r w:rsidR="00E449AA" w:rsidRPr="00BD1319">
        <w:rPr>
          <w:bCs/>
          <w:spacing w:val="-3"/>
          <w:lang w:val="es-CO"/>
        </w:rPr>
        <w:t>e debe realiza</w:t>
      </w:r>
      <w:r w:rsidRPr="00BD1319">
        <w:rPr>
          <w:bCs/>
          <w:spacing w:val="-3"/>
          <w:lang w:val="es-CO"/>
        </w:rPr>
        <w:t>r</w:t>
      </w:r>
      <w:r w:rsidR="00E449AA" w:rsidRPr="00BD1319">
        <w:rPr>
          <w:bCs/>
          <w:spacing w:val="-3"/>
          <w:lang w:val="es-CO"/>
        </w:rPr>
        <w:t xml:space="preserve"> una evaluación hidrológica identificando las fuentes que aportan a la recarga del sistema hidrogeológico o aquellas que son alimentadas por el sistema, indicando la tasa de recarga potencial, el tipo y su distribución espacial. Para ello se debe emplear una metodología reconocida y publicada en revistas indexadas, artículos nacionales o internacionales o acogida por instituciones nacionales o internacionales, que aplique a las condiciones del área de </w:t>
      </w:r>
      <w:r w:rsidR="001540A3" w:rsidRPr="00BD1319">
        <w:rPr>
          <w:bCs/>
          <w:spacing w:val="-3"/>
          <w:lang w:val="es-CO"/>
        </w:rPr>
        <w:t>influencia del componente</w:t>
      </w:r>
      <w:r w:rsidR="00E449AA" w:rsidRPr="00BD1319">
        <w:rPr>
          <w:bCs/>
          <w:spacing w:val="-3"/>
          <w:lang w:val="es-CO"/>
        </w:rPr>
        <w:t>. Se debe realizar un análisis en un escenario crítico que tenga en cuenta los efectos climáticos del fenómeno ENSO (Niño)</w:t>
      </w:r>
      <w:r w:rsidR="001540A3" w:rsidRPr="00BD1319">
        <w:rPr>
          <w:bCs/>
          <w:spacing w:val="-3"/>
          <w:lang w:val="es-CO"/>
        </w:rPr>
        <w:t>.</w:t>
      </w:r>
    </w:p>
    <w:p w14:paraId="16EF313C" w14:textId="77777777" w:rsidR="001540A3" w:rsidRPr="00BD1319" w:rsidRDefault="001540A3" w:rsidP="009420F5">
      <w:pPr>
        <w:tabs>
          <w:tab w:val="left" w:pos="-2268"/>
        </w:tabs>
        <w:suppressAutoHyphens/>
        <w:rPr>
          <w:bCs/>
          <w:spacing w:val="-3"/>
        </w:rPr>
      </w:pPr>
    </w:p>
    <w:p w14:paraId="55FDA26F" w14:textId="414C9EE9" w:rsidR="00E449AA" w:rsidRPr="00BD1319" w:rsidRDefault="00E449AA" w:rsidP="009420F5">
      <w:pPr>
        <w:pStyle w:val="Prrafodelista"/>
        <w:numPr>
          <w:ilvl w:val="0"/>
          <w:numId w:val="59"/>
        </w:numPr>
        <w:tabs>
          <w:tab w:val="left" w:pos="-2268"/>
        </w:tabs>
        <w:suppressAutoHyphens/>
        <w:ind w:left="567" w:hanging="567"/>
        <w:rPr>
          <w:bCs/>
          <w:spacing w:val="-3"/>
          <w:lang w:val="es-CO"/>
        </w:rPr>
      </w:pPr>
      <w:r w:rsidRPr="00BD1319">
        <w:rPr>
          <w:bCs/>
          <w:spacing w:val="-3"/>
          <w:lang w:val="es-CO"/>
        </w:rPr>
        <w:lastRenderedPageBreak/>
        <w:t>Inventario de puntos de agua subterránea</w:t>
      </w:r>
      <w:r w:rsidR="001540A3" w:rsidRPr="00BD1319">
        <w:rPr>
          <w:bCs/>
          <w:spacing w:val="-3"/>
          <w:lang w:val="es-CO"/>
        </w:rPr>
        <w:t>.</w:t>
      </w:r>
      <w:r w:rsidRPr="00BD1319">
        <w:rPr>
          <w:bCs/>
          <w:spacing w:val="-3"/>
          <w:lang w:val="es-CO"/>
        </w:rPr>
        <w:t xml:space="preserve"> Se debe efectuar el inventario de puntos de agua subterránea incluyendo pozos (de captación y de despresurización), manantiales, aljibes y piezómetros. Cada punto debe estar georreferenciado y nivelado topográficamente indicando profundidad, nivel estático, unidad geológica e hidrogeológica captada, caudal de extracción o descarga (</w:t>
      </w:r>
      <w:r w:rsidR="00081B8C" w:rsidRPr="00BD1319">
        <w:rPr>
          <w:bCs/>
          <w:spacing w:val="-3"/>
          <w:lang w:val="es-CO"/>
        </w:rPr>
        <w:t>en litros por segundo</w:t>
      </w:r>
      <w:r w:rsidRPr="00BD1319">
        <w:rPr>
          <w:bCs/>
          <w:spacing w:val="-3"/>
          <w:lang w:val="es-CO"/>
        </w:rPr>
        <w:t xml:space="preserve">), usos y usuarios del agua, y su estado (en uso, inactivo, abandonado o desmantelado). Se debe presentar el </w:t>
      </w:r>
      <w:r w:rsidR="00081B8C" w:rsidRPr="00BD1319">
        <w:rPr>
          <w:bCs/>
          <w:spacing w:val="-3"/>
          <w:lang w:val="es-CO"/>
        </w:rPr>
        <w:t>formulario único nacional de inventario de puntos de agua</w:t>
      </w:r>
      <w:r w:rsidRPr="00BD1319">
        <w:rPr>
          <w:bCs/>
          <w:spacing w:val="-3"/>
          <w:lang w:val="es-CO"/>
        </w:rPr>
        <w:t xml:space="preserve"> totalmente diligenciado para todos los puntos inventariados. Se debe indicar aquellos puntos de agua subterránea que </w:t>
      </w:r>
      <w:r w:rsidR="00081B8C" w:rsidRPr="00BD1319">
        <w:rPr>
          <w:bCs/>
          <w:spacing w:val="-3"/>
          <w:lang w:val="es-CO"/>
        </w:rPr>
        <w:t>pueden ser</w:t>
      </w:r>
      <w:r w:rsidRPr="00BD1319">
        <w:rPr>
          <w:bCs/>
          <w:spacing w:val="-3"/>
          <w:lang w:val="es-CO"/>
        </w:rPr>
        <w:t xml:space="preserve"> afectados por el proyecto</w:t>
      </w:r>
      <w:r w:rsidR="00081B8C" w:rsidRPr="00BD1319">
        <w:rPr>
          <w:bCs/>
          <w:spacing w:val="-3"/>
          <w:lang w:val="es-CO"/>
        </w:rPr>
        <w:t>, obra o actividad</w:t>
      </w:r>
      <w:r w:rsidRPr="00BD1319">
        <w:rPr>
          <w:bCs/>
          <w:spacing w:val="-3"/>
          <w:lang w:val="es-CO"/>
        </w:rPr>
        <w:t xml:space="preserve"> y describir el grado de intervención o afectación esperado (descenso del nivel piezométrico, agotamiento, afectación a sus características fisicoquímicas</w:t>
      </w:r>
      <w:r w:rsidR="00081B8C" w:rsidRPr="00BD1319">
        <w:rPr>
          <w:bCs/>
          <w:spacing w:val="-3"/>
          <w:lang w:val="es-CO"/>
        </w:rPr>
        <w:t>, entre otras</w:t>
      </w:r>
      <w:r w:rsidRPr="00BD1319">
        <w:rPr>
          <w:bCs/>
          <w:spacing w:val="-3"/>
          <w:lang w:val="es-CO"/>
        </w:rPr>
        <w:t xml:space="preserve">.). Todos los puntos inventariados deben estar correctamente codificados y mantener </w:t>
      </w:r>
      <w:r w:rsidR="00081B8C" w:rsidRPr="00BD1319">
        <w:rPr>
          <w:bCs/>
          <w:spacing w:val="-3"/>
          <w:lang w:val="es-CO"/>
        </w:rPr>
        <w:t>dicha</w:t>
      </w:r>
      <w:r w:rsidRPr="00BD1319">
        <w:rPr>
          <w:bCs/>
          <w:spacing w:val="-3"/>
          <w:lang w:val="es-CO"/>
        </w:rPr>
        <w:t xml:space="preserve"> numeración o codificación en cada uno los componentes del modelo hidrogeológico conceptual.</w:t>
      </w:r>
    </w:p>
    <w:p w14:paraId="50EEB389" w14:textId="77777777" w:rsidR="001540A3" w:rsidRPr="00BD1319" w:rsidRDefault="001540A3" w:rsidP="00E449AA">
      <w:pPr>
        <w:numPr>
          <w:ilvl w:val="12"/>
          <w:numId w:val="0"/>
        </w:numPr>
        <w:tabs>
          <w:tab w:val="left" w:pos="-2268"/>
        </w:tabs>
        <w:suppressAutoHyphens/>
        <w:rPr>
          <w:spacing w:val="-3"/>
        </w:rPr>
      </w:pPr>
    </w:p>
    <w:p w14:paraId="7E4D5004" w14:textId="57DD784E" w:rsidR="00E449AA" w:rsidRPr="00BD1319" w:rsidRDefault="00E449AA" w:rsidP="009420F5">
      <w:pPr>
        <w:pStyle w:val="Prrafodelista"/>
        <w:numPr>
          <w:ilvl w:val="0"/>
          <w:numId w:val="59"/>
        </w:numPr>
        <w:tabs>
          <w:tab w:val="left" w:pos="-2268"/>
        </w:tabs>
        <w:suppressAutoHyphens/>
        <w:ind w:left="567" w:hanging="567"/>
        <w:rPr>
          <w:bCs/>
          <w:spacing w:val="-3"/>
          <w:lang w:val="es-CO"/>
        </w:rPr>
      </w:pPr>
      <w:r w:rsidRPr="00BD1319">
        <w:rPr>
          <w:bCs/>
          <w:spacing w:val="-3"/>
          <w:lang w:val="es-CO"/>
        </w:rPr>
        <w:t>Uso actual del agua subterránea</w:t>
      </w:r>
      <w:r w:rsidR="00081B8C" w:rsidRPr="00BD1319">
        <w:rPr>
          <w:bCs/>
          <w:spacing w:val="-3"/>
          <w:lang w:val="es-CO"/>
        </w:rPr>
        <w:t>.</w:t>
      </w:r>
      <w:r w:rsidRPr="00BD1319">
        <w:rPr>
          <w:bCs/>
          <w:spacing w:val="-3"/>
          <w:lang w:val="es-CO"/>
        </w:rPr>
        <w:t xml:space="preserve"> </w:t>
      </w:r>
      <w:r w:rsidR="00081B8C" w:rsidRPr="00BD1319">
        <w:rPr>
          <w:bCs/>
          <w:spacing w:val="-3"/>
          <w:lang w:val="es-CO"/>
        </w:rPr>
        <w:t>C</w:t>
      </w:r>
      <w:r w:rsidRPr="00BD1319">
        <w:rPr>
          <w:bCs/>
          <w:spacing w:val="-3"/>
          <w:lang w:val="es-CO"/>
        </w:rPr>
        <w:t>on base en los resultados del inventario de puntos de agua subterránea, se debe</w:t>
      </w:r>
      <w:r w:rsidR="00590B9E" w:rsidRPr="00BD1319">
        <w:rPr>
          <w:bCs/>
          <w:spacing w:val="-3"/>
          <w:lang w:val="es-CO"/>
        </w:rPr>
        <w:t>n</w:t>
      </w:r>
      <w:r w:rsidRPr="00BD1319">
        <w:rPr>
          <w:bCs/>
          <w:spacing w:val="-3"/>
          <w:lang w:val="es-CO"/>
        </w:rPr>
        <w:t xml:space="preserve"> establecer los caudales de extracción y descarga, </w:t>
      </w:r>
      <w:r w:rsidR="00081B8C" w:rsidRPr="00BD1319">
        <w:rPr>
          <w:bCs/>
          <w:spacing w:val="-3"/>
          <w:lang w:val="es-CO"/>
        </w:rPr>
        <w:t xml:space="preserve">así </w:t>
      </w:r>
      <w:r w:rsidRPr="00BD1319">
        <w:rPr>
          <w:bCs/>
          <w:spacing w:val="-3"/>
          <w:lang w:val="es-CO"/>
        </w:rPr>
        <w:t>como los usos que actualmente se le da al agua subterránea teniendo en cuenta el análisis estadístico sobre la demanda actual de agua para consumo humano, uso doméstico, industrial, agropecuario o cualquier otro</w:t>
      </w:r>
      <w:r w:rsidR="001070F6" w:rsidRPr="00BD1319">
        <w:rPr>
          <w:bCs/>
          <w:spacing w:val="-3"/>
          <w:lang w:val="es-CO"/>
        </w:rPr>
        <w:t xml:space="preserve"> uso</w:t>
      </w:r>
      <w:r w:rsidRPr="00BD1319">
        <w:rPr>
          <w:bCs/>
          <w:spacing w:val="-3"/>
          <w:lang w:val="es-CO"/>
        </w:rPr>
        <w:t>.</w:t>
      </w:r>
    </w:p>
    <w:p w14:paraId="73702900" w14:textId="77777777" w:rsidR="00081B8C" w:rsidRPr="00BD1319" w:rsidRDefault="00081B8C" w:rsidP="00E449AA">
      <w:pPr>
        <w:numPr>
          <w:ilvl w:val="12"/>
          <w:numId w:val="0"/>
        </w:numPr>
        <w:tabs>
          <w:tab w:val="left" w:pos="-2268"/>
        </w:tabs>
        <w:suppressAutoHyphens/>
        <w:rPr>
          <w:spacing w:val="-3"/>
        </w:rPr>
      </w:pPr>
    </w:p>
    <w:p w14:paraId="7703A588" w14:textId="7FFEFD36" w:rsidR="00E449AA" w:rsidRPr="00BD1319" w:rsidRDefault="001070F6" w:rsidP="009420F5">
      <w:pPr>
        <w:pStyle w:val="Prrafodelista"/>
        <w:numPr>
          <w:ilvl w:val="0"/>
          <w:numId w:val="59"/>
        </w:numPr>
        <w:tabs>
          <w:tab w:val="left" w:pos="-2268"/>
        </w:tabs>
        <w:suppressAutoHyphens/>
        <w:ind w:left="567" w:hanging="567"/>
        <w:rPr>
          <w:bCs/>
          <w:spacing w:val="-3"/>
          <w:lang w:val="es-CO"/>
        </w:rPr>
      </w:pPr>
      <w:r w:rsidRPr="00BD1319">
        <w:rPr>
          <w:bCs/>
          <w:spacing w:val="-3"/>
          <w:lang w:val="es-CO"/>
        </w:rPr>
        <w:t>P</w:t>
      </w:r>
      <w:r w:rsidR="00E449AA" w:rsidRPr="00BD1319">
        <w:rPr>
          <w:bCs/>
          <w:spacing w:val="-3"/>
          <w:lang w:val="es-CO"/>
        </w:rPr>
        <w:t>rincipales direcciones de flujo del agua subterránea</w:t>
      </w:r>
      <w:r w:rsidRPr="00BD1319">
        <w:rPr>
          <w:bCs/>
          <w:spacing w:val="-3"/>
          <w:lang w:val="es-CO"/>
        </w:rPr>
        <w:t>.</w:t>
      </w:r>
      <w:r w:rsidR="00E449AA" w:rsidRPr="00BD1319">
        <w:rPr>
          <w:bCs/>
          <w:spacing w:val="-3"/>
          <w:lang w:val="es-CO"/>
        </w:rPr>
        <w:t xml:space="preserve"> </w:t>
      </w:r>
      <w:r w:rsidRPr="00BD1319">
        <w:rPr>
          <w:bCs/>
          <w:spacing w:val="-3"/>
          <w:lang w:val="es-CO"/>
        </w:rPr>
        <w:t xml:space="preserve">Se deben determinar </w:t>
      </w:r>
      <w:r w:rsidR="00E449AA" w:rsidRPr="00BD1319">
        <w:rPr>
          <w:bCs/>
          <w:spacing w:val="-3"/>
          <w:lang w:val="es-CO"/>
        </w:rPr>
        <w:t>a partir del modelo geológico, geofísico y de los niveles freáticos y piezométricos medidos en los puntos de agua subterránea inventariados</w:t>
      </w:r>
      <w:r w:rsidRPr="00BD1319">
        <w:rPr>
          <w:bCs/>
          <w:spacing w:val="-3"/>
          <w:lang w:val="es-CO"/>
        </w:rPr>
        <w:t>.</w:t>
      </w:r>
      <w:r w:rsidR="00E449AA" w:rsidRPr="00BD1319">
        <w:rPr>
          <w:bCs/>
          <w:spacing w:val="-3"/>
          <w:lang w:val="es-CO"/>
        </w:rPr>
        <w:t xml:space="preserve"> </w:t>
      </w:r>
      <w:r w:rsidRPr="00BD1319">
        <w:rPr>
          <w:bCs/>
          <w:spacing w:val="-3"/>
          <w:lang w:val="es-CO"/>
        </w:rPr>
        <w:t>S</w:t>
      </w:r>
      <w:r w:rsidR="00E449AA" w:rsidRPr="00BD1319">
        <w:rPr>
          <w:bCs/>
          <w:spacing w:val="-3"/>
          <w:lang w:val="es-CO"/>
        </w:rPr>
        <w:t xml:space="preserve">e deben construir mapas piezométricos o de </w:t>
      </w:r>
      <w:proofErr w:type="spellStart"/>
      <w:r w:rsidR="00E449AA" w:rsidRPr="00BD1319">
        <w:rPr>
          <w:bCs/>
          <w:spacing w:val="-3"/>
          <w:lang w:val="es-CO"/>
        </w:rPr>
        <w:t>isopiezas</w:t>
      </w:r>
      <w:proofErr w:type="spellEnd"/>
      <w:r w:rsidR="00E449AA" w:rsidRPr="00BD1319">
        <w:rPr>
          <w:bCs/>
          <w:spacing w:val="-3"/>
          <w:lang w:val="es-CO"/>
        </w:rPr>
        <w:t xml:space="preserve"> para cada unidad geológica acuífera presente en el área de influencia del </w:t>
      </w:r>
      <w:r w:rsidRPr="00BD1319">
        <w:rPr>
          <w:bCs/>
          <w:spacing w:val="-3"/>
          <w:lang w:val="es-CO"/>
        </w:rPr>
        <w:t>componente</w:t>
      </w:r>
      <w:r w:rsidR="00E449AA" w:rsidRPr="00BD1319">
        <w:rPr>
          <w:bCs/>
          <w:spacing w:val="-3"/>
          <w:lang w:val="es-CO"/>
        </w:rPr>
        <w:t>, determinando los sistemas de flujo locales, intermedios y regionales. Se debe representar en un bloque diagrama las direcciones de flujo, en el cual, se relacionen las zonas de recarga, tránsito y descarga (en la medida que estas se encuentren dentro del área de influencia</w:t>
      </w:r>
      <w:r w:rsidRPr="00BD1319">
        <w:rPr>
          <w:bCs/>
          <w:spacing w:val="-3"/>
          <w:lang w:val="es-CO"/>
        </w:rPr>
        <w:t xml:space="preserve"> del componente</w:t>
      </w:r>
      <w:r w:rsidR="00E449AA" w:rsidRPr="00BD1319">
        <w:rPr>
          <w:bCs/>
          <w:spacing w:val="-3"/>
          <w:lang w:val="es-CO"/>
        </w:rPr>
        <w:t xml:space="preserve">). Se debe indicar claramente la dirección del agua subterránea mediante la elaboración de la red de flujo (líneas equipotenciales y de flujo), explicando los métodos de interpolación o elaboración de los mapas de </w:t>
      </w:r>
      <w:proofErr w:type="spellStart"/>
      <w:r w:rsidR="00E449AA" w:rsidRPr="00BD1319">
        <w:rPr>
          <w:bCs/>
          <w:spacing w:val="-3"/>
          <w:lang w:val="es-CO"/>
        </w:rPr>
        <w:t>isopiezas</w:t>
      </w:r>
      <w:proofErr w:type="spellEnd"/>
      <w:r w:rsidR="00E449AA" w:rsidRPr="00BD1319">
        <w:rPr>
          <w:bCs/>
          <w:spacing w:val="-3"/>
          <w:lang w:val="es-CO"/>
        </w:rPr>
        <w:t xml:space="preserve"> o piezométricos. De presentarse alguna conexión hidráulica entre unidades geológicas se debe realizar su respectiva explicación con sust</w:t>
      </w:r>
      <w:r w:rsidR="00081B8C" w:rsidRPr="00BD1319">
        <w:rPr>
          <w:bCs/>
          <w:spacing w:val="-3"/>
          <w:lang w:val="es-CO"/>
        </w:rPr>
        <w:t>ento hidrogeológico.</w:t>
      </w:r>
    </w:p>
    <w:p w14:paraId="083E0674" w14:textId="77777777" w:rsidR="00081B8C" w:rsidRPr="00BD1319" w:rsidRDefault="00081B8C" w:rsidP="00E449AA">
      <w:pPr>
        <w:numPr>
          <w:ilvl w:val="12"/>
          <w:numId w:val="0"/>
        </w:numPr>
        <w:tabs>
          <w:tab w:val="left" w:pos="-2268"/>
        </w:tabs>
        <w:suppressAutoHyphens/>
        <w:rPr>
          <w:spacing w:val="-3"/>
        </w:rPr>
      </w:pPr>
    </w:p>
    <w:p w14:paraId="61F24AD0" w14:textId="318D8DFC" w:rsidR="00E449AA" w:rsidRPr="00BD1319" w:rsidRDefault="00775601" w:rsidP="009420F5">
      <w:pPr>
        <w:pStyle w:val="Prrafodelista"/>
        <w:numPr>
          <w:ilvl w:val="0"/>
          <w:numId w:val="59"/>
        </w:numPr>
        <w:tabs>
          <w:tab w:val="left" w:pos="-2268"/>
        </w:tabs>
        <w:suppressAutoHyphens/>
        <w:ind w:left="567" w:hanging="567"/>
        <w:rPr>
          <w:bCs/>
          <w:spacing w:val="-3"/>
          <w:lang w:val="es-CO"/>
        </w:rPr>
      </w:pPr>
      <w:r w:rsidRPr="00BD1319">
        <w:rPr>
          <w:bCs/>
          <w:spacing w:val="-3"/>
          <w:lang w:val="es-CO"/>
        </w:rPr>
        <w:t>H</w:t>
      </w:r>
      <w:r w:rsidR="00E449AA" w:rsidRPr="00BD1319">
        <w:rPr>
          <w:bCs/>
          <w:spacing w:val="-3"/>
          <w:lang w:val="es-CO"/>
        </w:rPr>
        <w:t>idráulica</w:t>
      </w:r>
      <w:r w:rsidR="001070F6" w:rsidRPr="00BD1319">
        <w:rPr>
          <w:bCs/>
          <w:spacing w:val="-3"/>
          <w:lang w:val="es-CO"/>
        </w:rPr>
        <w:t>.</w:t>
      </w:r>
      <w:r w:rsidR="00E449AA" w:rsidRPr="00BD1319">
        <w:rPr>
          <w:bCs/>
          <w:spacing w:val="-3"/>
          <w:lang w:val="es-CO"/>
        </w:rPr>
        <w:t xml:space="preserve"> Deben estimarse los parámetros </w:t>
      </w:r>
      <w:r w:rsidR="00BC3C53" w:rsidRPr="00BD1319">
        <w:rPr>
          <w:bCs/>
          <w:spacing w:val="-3"/>
          <w:lang w:val="es-CO"/>
        </w:rPr>
        <w:t>hidráulicos (</w:t>
      </w:r>
      <w:r w:rsidR="00E449AA" w:rsidRPr="00BD1319">
        <w:rPr>
          <w:bCs/>
          <w:spacing w:val="-3"/>
          <w:lang w:val="es-CO"/>
        </w:rPr>
        <w:t>conductividad hidráulica, transmisividad, coeficiente de almacenamiento, radio de influencia, capacidad específica y rendimiento o producción específica</w:t>
      </w:r>
      <w:r w:rsidR="00BC3C53" w:rsidRPr="00BD1319">
        <w:rPr>
          <w:bCs/>
          <w:spacing w:val="-3"/>
          <w:lang w:val="es-CO"/>
        </w:rPr>
        <w:t>)</w:t>
      </w:r>
      <w:r w:rsidR="00E449AA" w:rsidRPr="00BD1319">
        <w:rPr>
          <w:bCs/>
          <w:spacing w:val="-3"/>
          <w:lang w:val="es-CO"/>
        </w:rPr>
        <w:t xml:space="preserve">, de las diferentes unidades </w:t>
      </w:r>
      <w:r w:rsidR="00BC3C53" w:rsidRPr="00BD1319">
        <w:rPr>
          <w:bCs/>
          <w:spacing w:val="-3"/>
          <w:lang w:val="es-CO"/>
        </w:rPr>
        <w:t>hidro</w:t>
      </w:r>
      <w:r w:rsidR="00E449AA" w:rsidRPr="00BD1319">
        <w:rPr>
          <w:bCs/>
          <w:spacing w:val="-3"/>
          <w:lang w:val="es-CO"/>
        </w:rPr>
        <w:t xml:space="preserve">geológicas identificadas </w:t>
      </w:r>
      <w:r w:rsidR="00BC3C53" w:rsidRPr="00BD1319">
        <w:rPr>
          <w:bCs/>
          <w:spacing w:val="-3"/>
          <w:lang w:val="es-CO"/>
        </w:rPr>
        <w:t xml:space="preserve">en el modelo geológico-geofísico para </w:t>
      </w:r>
      <w:r w:rsidR="00E449AA" w:rsidRPr="00BD1319">
        <w:rPr>
          <w:bCs/>
          <w:spacing w:val="-3"/>
          <w:lang w:val="es-CO"/>
        </w:rPr>
        <w:t xml:space="preserve">el área de influencia del </w:t>
      </w:r>
      <w:r w:rsidRPr="00BD1319">
        <w:rPr>
          <w:bCs/>
          <w:spacing w:val="-3"/>
          <w:lang w:val="es-CO"/>
        </w:rPr>
        <w:t>componente</w:t>
      </w:r>
      <w:r w:rsidR="00E449AA" w:rsidRPr="00BD1319">
        <w:rPr>
          <w:bCs/>
          <w:spacing w:val="-3"/>
          <w:lang w:val="es-CO"/>
        </w:rPr>
        <w:t xml:space="preserve">. El tipo de ensayo hidráulico debe </w:t>
      </w:r>
      <w:r w:rsidR="00EB165D" w:rsidRPr="00BD1319">
        <w:rPr>
          <w:bCs/>
          <w:spacing w:val="-3"/>
          <w:lang w:val="es-CO"/>
        </w:rPr>
        <w:t xml:space="preserve">estar en </w:t>
      </w:r>
      <w:r w:rsidR="00DA6279" w:rsidRPr="00BD1319">
        <w:rPr>
          <w:bCs/>
          <w:spacing w:val="-3"/>
          <w:lang w:val="es-CO"/>
        </w:rPr>
        <w:lastRenderedPageBreak/>
        <w:t>consonancia</w:t>
      </w:r>
      <w:r w:rsidR="00EB165D" w:rsidRPr="00BD1319">
        <w:rPr>
          <w:bCs/>
          <w:spacing w:val="-3"/>
          <w:lang w:val="es-CO"/>
        </w:rPr>
        <w:t xml:space="preserve"> con el </w:t>
      </w:r>
      <w:r w:rsidR="00E449AA" w:rsidRPr="00BD1319">
        <w:rPr>
          <w:bCs/>
          <w:spacing w:val="-3"/>
          <w:lang w:val="es-CO"/>
        </w:rPr>
        <w:t>tipo de medio a caracterizar (</w:t>
      </w:r>
      <w:r w:rsidR="00081B8C" w:rsidRPr="00BD1319">
        <w:rPr>
          <w:bCs/>
          <w:spacing w:val="-3"/>
          <w:lang w:val="es-CO"/>
        </w:rPr>
        <w:t>poroso, fracturado o kárstico)</w:t>
      </w:r>
      <w:r w:rsidR="00BC3C53" w:rsidRPr="00BD1319">
        <w:rPr>
          <w:bCs/>
          <w:spacing w:val="-3"/>
          <w:lang w:val="es-CO"/>
        </w:rPr>
        <w:t xml:space="preserve"> y con la profundidad de las unidades</w:t>
      </w:r>
      <w:r w:rsidR="00081B8C" w:rsidRPr="00BD1319">
        <w:rPr>
          <w:bCs/>
          <w:spacing w:val="-3"/>
          <w:lang w:val="es-CO"/>
        </w:rPr>
        <w:t>.</w:t>
      </w:r>
    </w:p>
    <w:p w14:paraId="560CB747" w14:textId="77777777" w:rsidR="00081B8C" w:rsidRPr="00BD1319" w:rsidRDefault="00081B8C" w:rsidP="00E449AA">
      <w:pPr>
        <w:numPr>
          <w:ilvl w:val="12"/>
          <w:numId w:val="0"/>
        </w:numPr>
        <w:tabs>
          <w:tab w:val="left" w:pos="-2268"/>
        </w:tabs>
        <w:suppressAutoHyphens/>
        <w:rPr>
          <w:spacing w:val="-3"/>
        </w:rPr>
      </w:pPr>
    </w:p>
    <w:p w14:paraId="272D09DF" w14:textId="00ED5FC6" w:rsidR="00E449AA" w:rsidRPr="00BD1319" w:rsidRDefault="00E449AA" w:rsidP="009420F5">
      <w:pPr>
        <w:numPr>
          <w:ilvl w:val="12"/>
          <w:numId w:val="0"/>
        </w:numPr>
        <w:tabs>
          <w:tab w:val="left" w:pos="-2268"/>
        </w:tabs>
        <w:suppressAutoHyphens/>
        <w:ind w:left="567"/>
        <w:rPr>
          <w:spacing w:val="-3"/>
        </w:rPr>
      </w:pPr>
      <w:r w:rsidRPr="00BD1319">
        <w:rPr>
          <w:spacing w:val="-3"/>
        </w:rPr>
        <w:t>Para la estimación de parámetros hidráulicos a través de pruebas de bombeo</w:t>
      </w:r>
      <w:r w:rsidR="00775601" w:rsidRPr="00BD1319">
        <w:rPr>
          <w:spacing w:val="-3"/>
        </w:rPr>
        <w:t>,</w:t>
      </w:r>
      <w:r w:rsidRPr="00BD1319">
        <w:rPr>
          <w:spacing w:val="-3"/>
        </w:rPr>
        <w:t xml:space="preserve"> </w:t>
      </w:r>
      <w:r w:rsidR="00775601" w:rsidRPr="00BD1319">
        <w:rPr>
          <w:spacing w:val="-3"/>
        </w:rPr>
        <w:t>é</w:t>
      </w:r>
      <w:r w:rsidRPr="00BD1319">
        <w:rPr>
          <w:spacing w:val="-3"/>
        </w:rPr>
        <w:t xml:space="preserve">stas deben permitir conocer espacial y temporalmente el comportamiento del cono de abatimiento generado tanto en el pozo bombeado como en el pozo de observación (en caso de contar con </w:t>
      </w:r>
      <w:r w:rsidR="00775601" w:rsidRPr="00BD1319">
        <w:rPr>
          <w:spacing w:val="-3"/>
        </w:rPr>
        <w:t>é</w:t>
      </w:r>
      <w:r w:rsidRPr="00BD1319">
        <w:rPr>
          <w:spacing w:val="-3"/>
        </w:rPr>
        <w:t xml:space="preserve">l), </w:t>
      </w:r>
      <w:r w:rsidR="00775601" w:rsidRPr="00BD1319">
        <w:rPr>
          <w:spacing w:val="-3"/>
        </w:rPr>
        <w:t xml:space="preserve">a fin de </w:t>
      </w:r>
      <w:r w:rsidRPr="00BD1319">
        <w:rPr>
          <w:spacing w:val="-3"/>
        </w:rPr>
        <w:t>estimar los parámetros hidráulicos durante los tiempos de bombeo y recuperación. Inicialmente</w:t>
      </w:r>
      <w:r w:rsidR="00775601" w:rsidRPr="00BD1319">
        <w:rPr>
          <w:spacing w:val="-3"/>
        </w:rPr>
        <w:t>,</w:t>
      </w:r>
      <w:r w:rsidRPr="00BD1319">
        <w:rPr>
          <w:spacing w:val="-3"/>
        </w:rPr>
        <w:t xml:space="preserve"> la etapa de bombeo debe tener una duración entre 24 a 72 horas siempre y cuando no se alcance un régimen estacionario en las primeras 24 a 36 horas y la etapa de recuperación alcance un 95 a 100% del abatimiento registrado en el pozo bombeado. La frecuencia de medición de niveles (abatimiento y recuperación) debe garantizar alrededor de 10 observaciones por ciclo logarítmico del tiempo para elaborar la curva de abatimiento </w:t>
      </w:r>
      <w:r w:rsidR="00775601" w:rsidRPr="00BD1319">
        <w:rPr>
          <w:spacing w:val="-3"/>
        </w:rPr>
        <w:t xml:space="preserve">contra </w:t>
      </w:r>
      <w:r w:rsidRPr="00BD1319">
        <w:rPr>
          <w:spacing w:val="-3"/>
        </w:rPr>
        <w:t>tiempo. Para la medición de los niveles de abatimiento y recuperación se debe utilizar en lo posible transductores de presión. Los datos obtenidos a través de los transductores debe</w:t>
      </w:r>
      <w:r w:rsidR="00775601" w:rsidRPr="00BD1319">
        <w:rPr>
          <w:spacing w:val="-3"/>
        </w:rPr>
        <w:t xml:space="preserve">n ser sujetos a </w:t>
      </w:r>
      <w:r w:rsidR="00081B8C" w:rsidRPr="00BD1319">
        <w:rPr>
          <w:spacing w:val="-3"/>
        </w:rPr>
        <w:t>una corrección barométrica.</w:t>
      </w:r>
    </w:p>
    <w:p w14:paraId="15EF9BBE" w14:textId="77777777" w:rsidR="00081B8C" w:rsidRPr="00BD1319" w:rsidRDefault="00081B8C" w:rsidP="00E449AA">
      <w:pPr>
        <w:numPr>
          <w:ilvl w:val="12"/>
          <w:numId w:val="0"/>
        </w:numPr>
        <w:tabs>
          <w:tab w:val="left" w:pos="-2268"/>
        </w:tabs>
        <w:suppressAutoHyphens/>
        <w:rPr>
          <w:spacing w:val="-3"/>
        </w:rPr>
      </w:pPr>
    </w:p>
    <w:p w14:paraId="05E0709B" w14:textId="25C5410F" w:rsidR="00E449AA" w:rsidRPr="00BD1319" w:rsidRDefault="00E449AA" w:rsidP="009420F5">
      <w:pPr>
        <w:numPr>
          <w:ilvl w:val="12"/>
          <w:numId w:val="0"/>
        </w:numPr>
        <w:tabs>
          <w:tab w:val="left" w:pos="-2268"/>
        </w:tabs>
        <w:suppressAutoHyphens/>
        <w:ind w:left="567"/>
        <w:rPr>
          <w:spacing w:val="-3"/>
        </w:rPr>
      </w:pPr>
      <w:r w:rsidRPr="00BD1319">
        <w:rPr>
          <w:spacing w:val="-3"/>
        </w:rPr>
        <w:t>Para las pruebas hidráulicas</w:t>
      </w:r>
      <w:r w:rsidR="002D6507" w:rsidRPr="00BD1319">
        <w:rPr>
          <w:spacing w:val="-3"/>
        </w:rPr>
        <w:t>, en caso de ser posible,</w:t>
      </w:r>
      <w:r w:rsidRPr="00BD1319">
        <w:rPr>
          <w:spacing w:val="-3"/>
        </w:rPr>
        <w:t xml:space="preserve"> se debe contemplar el uso de pozos de observación que capten los mismos niveles acuíferos del pozo bombeado. Se </w:t>
      </w:r>
      <w:r w:rsidR="00775601" w:rsidRPr="00BD1319">
        <w:rPr>
          <w:spacing w:val="-3"/>
        </w:rPr>
        <w:t xml:space="preserve">pueden </w:t>
      </w:r>
      <w:r w:rsidRPr="00BD1319">
        <w:rPr>
          <w:spacing w:val="-3"/>
        </w:rPr>
        <w:t>usar pozos existentes siempre y cuando se conozca su diseño</w:t>
      </w:r>
      <w:r w:rsidR="00775601" w:rsidRPr="00BD1319">
        <w:rPr>
          <w:spacing w:val="-3"/>
        </w:rPr>
        <w:t xml:space="preserve"> y</w:t>
      </w:r>
      <w:r w:rsidRPr="00BD1319">
        <w:rPr>
          <w:spacing w:val="-3"/>
        </w:rPr>
        <w:t xml:space="preserve"> capten la misma unidad geológica acuífera de la cual se hace el bombeo. Se debe</w:t>
      </w:r>
      <w:r w:rsidR="00775601" w:rsidRPr="00BD1319">
        <w:rPr>
          <w:spacing w:val="-3"/>
        </w:rPr>
        <w:t>n</w:t>
      </w:r>
      <w:r w:rsidRPr="00BD1319">
        <w:rPr>
          <w:spacing w:val="-3"/>
        </w:rPr>
        <w:t xml:space="preserve"> suministrar los datos de campo </w:t>
      </w:r>
      <w:r w:rsidR="00775601" w:rsidRPr="00BD1319">
        <w:rPr>
          <w:spacing w:val="-3"/>
        </w:rPr>
        <w:t xml:space="preserve">de </w:t>
      </w:r>
      <w:r w:rsidRPr="00BD1319">
        <w:rPr>
          <w:spacing w:val="-3"/>
        </w:rPr>
        <w:t xml:space="preserve">niveles </w:t>
      </w:r>
      <w:r w:rsidR="00775601" w:rsidRPr="00BD1319">
        <w:rPr>
          <w:spacing w:val="-3"/>
        </w:rPr>
        <w:t>contra</w:t>
      </w:r>
      <w:r w:rsidRPr="00BD1319">
        <w:rPr>
          <w:spacing w:val="-3"/>
        </w:rPr>
        <w:t xml:space="preserve"> tiempo y control del caudal durante la prueba en el pozo bombeado, y niveles </w:t>
      </w:r>
      <w:r w:rsidR="00775601" w:rsidRPr="00BD1319">
        <w:rPr>
          <w:spacing w:val="-3"/>
        </w:rPr>
        <w:t>contra</w:t>
      </w:r>
      <w:r w:rsidRPr="00BD1319">
        <w:rPr>
          <w:spacing w:val="-3"/>
        </w:rPr>
        <w:t xml:space="preserve"> tiempo en pozos de observación (siempre y cuan</w:t>
      </w:r>
      <w:r w:rsidR="00775601" w:rsidRPr="00BD1319">
        <w:rPr>
          <w:spacing w:val="-3"/>
        </w:rPr>
        <w:t>d</w:t>
      </w:r>
      <w:r w:rsidRPr="00BD1319">
        <w:rPr>
          <w:spacing w:val="-3"/>
        </w:rPr>
        <w:t xml:space="preserve">o sea posible contar con estos pozos de observación en el área de </w:t>
      </w:r>
      <w:r w:rsidR="00775601" w:rsidRPr="00BD1319">
        <w:rPr>
          <w:spacing w:val="-3"/>
        </w:rPr>
        <w:t>influencia del componente</w:t>
      </w:r>
      <w:r w:rsidRPr="00BD1319">
        <w:rPr>
          <w:spacing w:val="-3"/>
        </w:rPr>
        <w:t>) y parámetros hidráu</w:t>
      </w:r>
      <w:r w:rsidR="00081B8C" w:rsidRPr="00BD1319">
        <w:rPr>
          <w:spacing w:val="-3"/>
        </w:rPr>
        <w:t>licos interpretados.</w:t>
      </w:r>
    </w:p>
    <w:p w14:paraId="609AE3B3" w14:textId="77777777" w:rsidR="00081B8C" w:rsidRPr="00BD1319" w:rsidRDefault="00081B8C" w:rsidP="00E449AA">
      <w:pPr>
        <w:numPr>
          <w:ilvl w:val="12"/>
          <w:numId w:val="0"/>
        </w:numPr>
        <w:tabs>
          <w:tab w:val="left" w:pos="-2268"/>
        </w:tabs>
        <w:suppressAutoHyphens/>
        <w:rPr>
          <w:spacing w:val="-3"/>
        </w:rPr>
      </w:pPr>
    </w:p>
    <w:p w14:paraId="0E4C8D74" w14:textId="0517E6C1" w:rsidR="00E449AA" w:rsidRPr="00BD1319" w:rsidRDefault="00E449AA" w:rsidP="009420F5">
      <w:pPr>
        <w:numPr>
          <w:ilvl w:val="12"/>
          <w:numId w:val="0"/>
        </w:numPr>
        <w:tabs>
          <w:tab w:val="left" w:pos="-2268"/>
        </w:tabs>
        <w:suppressAutoHyphens/>
        <w:ind w:left="567"/>
        <w:rPr>
          <w:spacing w:val="-3"/>
        </w:rPr>
      </w:pPr>
      <w:r w:rsidRPr="00BD1319">
        <w:rPr>
          <w:spacing w:val="-3"/>
        </w:rPr>
        <w:t>Para la interpretación de los datos se deben utilizar gráficas diagnóstico que permitan identificar el tipo de acuífero y las condiciones de frontera del sistema (</w:t>
      </w:r>
      <w:r w:rsidR="00041844" w:rsidRPr="00BD1319">
        <w:rPr>
          <w:spacing w:val="-3"/>
        </w:rPr>
        <w:t>p. ej.</w:t>
      </w:r>
      <w:r w:rsidR="00775601" w:rsidRPr="00BD1319">
        <w:rPr>
          <w:spacing w:val="-3"/>
        </w:rPr>
        <w:t xml:space="preserve"> </w:t>
      </w:r>
      <w:r w:rsidRPr="00BD1319">
        <w:rPr>
          <w:spacing w:val="-3"/>
        </w:rPr>
        <w:t xml:space="preserve">goteo, cargas constantes, efectos del pozo, </w:t>
      </w:r>
      <w:r w:rsidR="00775601" w:rsidRPr="00BD1319">
        <w:rPr>
          <w:spacing w:val="-3"/>
        </w:rPr>
        <w:t>entre otras</w:t>
      </w:r>
      <w:r w:rsidRPr="00BD1319">
        <w:rPr>
          <w:spacing w:val="-3"/>
        </w:rPr>
        <w:t>) y así justificar los métodos analíticos o numéricos empleados para la estimación de los parámetros hidráulicos. Se deben realizar y presentar mapas de las propiedades hidráulicas para cada unidad geológica acuífera caracterizada y se debe analizar su isotropía, determinando su estado de confinamiento (li</w:t>
      </w:r>
      <w:r w:rsidR="00081B8C" w:rsidRPr="00BD1319">
        <w:rPr>
          <w:spacing w:val="-3"/>
        </w:rPr>
        <w:t>bre, semiconfinado, confinado).</w:t>
      </w:r>
    </w:p>
    <w:p w14:paraId="0C1783B4" w14:textId="77777777" w:rsidR="00081B8C" w:rsidRPr="00BD1319" w:rsidRDefault="00081B8C" w:rsidP="00E449AA">
      <w:pPr>
        <w:numPr>
          <w:ilvl w:val="12"/>
          <w:numId w:val="0"/>
        </w:numPr>
        <w:tabs>
          <w:tab w:val="left" w:pos="-2268"/>
        </w:tabs>
        <w:suppressAutoHyphens/>
        <w:rPr>
          <w:spacing w:val="-3"/>
        </w:rPr>
      </w:pPr>
    </w:p>
    <w:p w14:paraId="29DB55E3" w14:textId="2579CEC5" w:rsidR="00E449AA" w:rsidRPr="00BD1319" w:rsidRDefault="00E449AA" w:rsidP="009420F5">
      <w:pPr>
        <w:numPr>
          <w:ilvl w:val="12"/>
          <w:numId w:val="0"/>
        </w:numPr>
        <w:tabs>
          <w:tab w:val="left" w:pos="-2268"/>
        </w:tabs>
        <w:suppressAutoHyphens/>
        <w:ind w:left="567"/>
        <w:rPr>
          <w:spacing w:val="-3"/>
        </w:rPr>
      </w:pPr>
      <w:r w:rsidRPr="00BD1319">
        <w:rPr>
          <w:spacing w:val="-3"/>
        </w:rPr>
        <w:t>Cuando se empleen ensayos diferentes a las pruebas de bombeo</w:t>
      </w:r>
      <w:r w:rsidR="00775601" w:rsidRPr="00BD1319">
        <w:rPr>
          <w:spacing w:val="-3"/>
        </w:rPr>
        <w:t>, como</w:t>
      </w:r>
      <w:r w:rsidRPr="00BD1319">
        <w:rPr>
          <w:spacing w:val="-3"/>
        </w:rPr>
        <w:t xml:space="preserve"> pruebas de pulso o “slug”, </w:t>
      </w:r>
      <w:proofErr w:type="spellStart"/>
      <w:r w:rsidRPr="00BD1319">
        <w:rPr>
          <w:spacing w:val="-3"/>
        </w:rPr>
        <w:t>Lefranc</w:t>
      </w:r>
      <w:proofErr w:type="spellEnd"/>
      <w:r w:rsidRPr="00BD1319">
        <w:rPr>
          <w:spacing w:val="-3"/>
        </w:rPr>
        <w:t xml:space="preserve">, </w:t>
      </w:r>
      <w:proofErr w:type="spellStart"/>
      <w:r w:rsidRPr="00BD1319">
        <w:rPr>
          <w:spacing w:val="-3"/>
        </w:rPr>
        <w:t>Lugeon</w:t>
      </w:r>
      <w:proofErr w:type="spellEnd"/>
      <w:r w:rsidRPr="00BD1319">
        <w:rPr>
          <w:spacing w:val="-3"/>
        </w:rPr>
        <w:t xml:space="preserve">, </w:t>
      </w:r>
      <w:proofErr w:type="spellStart"/>
      <w:r w:rsidRPr="00BD1319">
        <w:rPr>
          <w:spacing w:val="-3"/>
        </w:rPr>
        <w:t>Gilg-Gavard</w:t>
      </w:r>
      <w:proofErr w:type="spellEnd"/>
      <w:r w:rsidRPr="00BD1319">
        <w:rPr>
          <w:spacing w:val="-3"/>
        </w:rPr>
        <w:t xml:space="preserve"> u otro tipo de pruebas (</w:t>
      </w:r>
      <w:r w:rsidR="003F69E2" w:rsidRPr="00BD1319">
        <w:rPr>
          <w:spacing w:val="-3"/>
        </w:rPr>
        <w:t xml:space="preserve">pruebas </w:t>
      </w:r>
      <w:r w:rsidRPr="00BD1319">
        <w:rPr>
          <w:spacing w:val="-3"/>
        </w:rPr>
        <w:t xml:space="preserve">de carga ascendente, descendente y de cabeza constante; pruebas con empaques, </w:t>
      </w:r>
      <w:r w:rsidR="003F69E2" w:rsidRPr="00BD1319">
        <w:rPr>
          <w:spacing w:val="-3"/>
        </w:rPr>
        <w:t>entre otras</w:t>
      </w:r>
      <w:r w:rsidRPr="00BD1319">
        <w:rPr>
          <w:spacing w:val="-3"/>
        </w:rPr>
        <w:t xml:space="preserve">), se deben presentar e interpretar los resultados en el marco de la caracterización hidráulica de las unidades geológicas, justificando e </w:t>
      </w:r>
      <w:r w:rsidRPr="00BD1319">
        <w:rPr>
          <w:spacing w:val="-3"/>
        </w:rPr>
        <w:lastRenderedPageBreak/>
        <w:t>indicando la validez de los parámetros interpretados en cuanto a</w:t>
      </w:r>
      <w:r w:rsidR="00081B8C" w:rsidRPr="00BD1319">
        <w:rPr>
          <w:spacing w:val="-3"/>
        </w:rPr>
        <w:t xml:space="preserve"> su extensión espacial.</w:t>
      </w:r>
    </w:p>
    <w:p w14:paraId="03005CB8" w14:textId="77777777" w:rsidR="00081B8C" w:rsidRPr="00BD1319" w:rsidRDefault="00081B8C" w:rsidP="00E449AA">
      <w:pPr>
        <w:numPr>
          <w:ilvl w:val="12"/>
          <w:numId w:val="0"/>
        </w:numPr>
        <w:tabs>
          <w:tab w:val="left" w:pos="-2268"/>
        </w:tabs>
        <w:suppressAutoHyphens/>
        <w:rPr>
          <w:spacing w:val="-3"/>
        </w:rPr>
      </w:pPr>
    </w:p>
    <w:p w14:paraId="5E7AA886" w14:textId="3C5B83F7" w:rsidR="00E449AA" w:rsidRPr="00BD1319" w:rsidRDefault="00E449AA" w:rsidP="009420F5">
      <w:pPr>
        <w:pStyle w:val="Prrafodelista"/>
        <w:numPr>
          <w:ilvl w:val="0"/>
          <w:numId w:val="59"/>
        </w:numPr>
        <w:tabs>
          <w:tab w:val="left" w:pos="-2268"/>
        </w:tabs>
        <w:suppressAutoHyphens/>
        <w:ind w:left="567" w:hanging="567"/>
        <w:rPr>
          <w:bCs/>
          <w:spacing w:val="-3"/>
          <w:lang w:val="es-CO"/>
        </w:rPr>
      </w:pPr>
      <w:proofErr w:type="spellStart"/>
      <w:r w:rsidRPr="00BD1319">
        <w:rPr>
          <w:bCs/>
          <w:spacing w:val="-3"/>
          <w:lang w:val="es-CO"/>
        </w:rPr>
        <w:t>Hidrogeoquímica</w:t>
      </w:r>
      <w:proofErr w:type="spellEnd"/>
      <w:r w:rsidRPr="00BD1319">
        <w:rPr>
          <w:bCs/>
          <w:spacing w:val="-3"/>
          <w:lang w:val="es-CO"/>
        </w:rPr>
        <w:t xml:space="preserve"> y calidad del agua</w:t>
      </w:r>
      <w:r w:rsidR="003F69E2" w:rsidRPr="00BD1319">
        <w:rPr>
          <w:bCs/>
          <w:spacing w:val="-3"/>
          <w:lang w:val="es-CO"/>
        </w:rPr>
        <w:t>.</w:t>
      </w:r>
      <w:r w:rsidRPr="00BD1319">
        <w:rPr>
          <w:bCs/>
          <w:spacing w:val="-3"/>
          <w:lang w:val="es-CO"/>
        </w:rPr>
        <w:t xml:space="preserve"> </w:t>
      </w:r>
      <w:r w:rsidR="003F69E2" w:rsidRPr="00BD1319">
        <w:rPr>
          <w:bCs/>
          <w:spacing w:val="-3"/>
          <w:lang w:val="es-CO"/>
        </w:rPr>
        <w:t xml:space="preserve">Se </w:t>
      </w:r>
      <w:r w:rsidRPr="00BD1319">
        <w:rPr>
          <w:bCs/>
          <w:spacing w:val="-3"/>
          <w:lang w:val="es-CO"/>
        </w:rPr>
        <w:t xml:space="preserve">debe realizar la caracterización </w:t>
      </w:r>
      <w:proofErr w:type="spellStart"/>
      <w:r w:rsidRPr="00BD1319">
        <w:rPr>
          <w:bCs/>
          <w:spacing w:val="-3"/>
          <w:lang w:val="es-CO"/>
        </w:rPr>
        <w:t>hidrogeoquímica</w:t>
      </w:r>
      <w:proofErr w:type="spellEnd"/>
      <w:r w:rsidRPr="00BD1319">
        <w:rPr>
          <w:bCs/>
          <w:spacing w:val="-3"/>
          <w:lang w:val="es-CO"/>
        </w:rPr>
        <w:t xml:space="preserve"> y de calidad del agua subterránea con base en el muestreo de puntos de agua representativos de las unidades hidrogeológicas identificadas en el área de influencia</w:t>
      </w:r>
      <w:r w:rsidR="003F69E2" w:rsidRPr="00BD1319">
        <w:rPr>
          <w:bCs/>
          <w:spacing w:val="-3"/>
          <w:lang w:val="es-CO"/>
        </w:rPr>
        <w:t xml:space="preserve"> del componente</w:t>
      </w:r>
      <w:r w:rsidRPr="00BD1319">
        <w:rPr>
          <w:bCs/>
          <w:spacing w:val="-3"/>
          <w:lang w:val="es-CO"/>
        </w:rPr>
        <w:t>. En caso de que no existan puntos de agua subterránea para los acuíferos que puedan verse afectados por el proyecto, obra o actividad, se debe</w:t>
      </w:r>
      <w:r w:rsidR="003F69E2" w:rsidRPr="00BD1319">
        <w:rPr>
          <w:bCs/>
          <w:spacing w:val="-3"/>
          <w:lang w:val="es-CO"/>
        </w:rPr>
        <w:t>n</w:t>
      </w:r>
      <w:r w:rsidRPr="00BD1319">
        <w:rPr>
          <w:bCs/>
          <w:spacing w:val="-3"/>
          <w:lang w:val="es-CO"/>
        </w:rPr>
        <w:t xml:space="preserve"> proponer de acuerdo con las particularidades del mismo y </w:t>
      </w:r>
      <w:r w:rsidR="003F69E2" w:rsidRPr="00BD1319">
        <w:rPr>
          <w:bCs/>
          <w:spacing w:val="-3"/>
          <w:lang w:val="es-CO"/>
        </w:rPr>
        <w:t>con</w:t>
      </w:r>
      <w:r w:rsidRPr="00BD1319">
        <w:rPr>
          <w:bCs/>
          <w:spacing w:val="-3"/>
          <w:lang w:val="es-CO"/>
        </w:rPr>
        <w:t xml:space="preserve"> los requerimientos de los correspondientes términos de referencia, las medidas de seguimiento y monitoreo del estudio ambiental, </w:t>
      </w:r>
      <w:r w:rsidR="003F69E2" w:rsidRPr="00BD1319">
        <w:rPr>
          <w:bCs/>
          <w:spacing w:val="-3"/>
          <w:lang w:val="es-CO"/>
        </w:rPr>
        <w:t xml:space="preserve">asimismo </w:t>
      </w:r>
      <w:r w:rsidRPr="00BD1319">
        <w:rPr>
          <w:bCs/>
          <w:spacing w:val="-3"/>
          <w:lang w:val="es-CO"/>
        </w:rPr>
        <w:t>se debe proponer el diseño de una red de monitoreo</w:t>
      </w:r>
      <w:r w:rsidR="003F69E2" w:rsidRPr="00BD1319">
        <w:rPr>
          <w:bCs/>
          <w:spacing w:val="-3"/>
          <w:lang w:val="es-CO"/>
        </w:rPr>
        <w:t>,</w:t>
      </w:r>
      <w:r w:rsidRPr="00BD1319">
        <w:rPr>
          <w:bCs/>
          <w:spacing w:val="-3"/>
          <w:lang w:val="es-CO"/>
        </w:rPr>
        <w:t xml:space="preserve"> especificando la periodicidad asociada al monitoreo, durante la vida útil del proyecto, esto aplica, para los proyectos, obras o actividades que por su naturaleza causen impactos ambientales significativos en el componente hidrogeológico.</w:t>
      </w:r>
    </w:p>
    <w:p w14:paraId="22A00C53" w14:textId="77777777" w:rsidR="00E449AA" w:rsidRPr="00BD1319" w:rsidRDefault="00E449AA" w:rsidP="00E449AA">
      <w:pPr>
        <w:numPr>
          <w:ilvl w:val="12"/>
          <w:numId w:val="0"/>
        </w:numPr>
        <w:tabs>
          <w:tab w:val="left" w:pos="-2268"/>
        </w:tabs>
        <w:suppressAutoHyphens/>
        <w:rPr>
          <w:spacing w:val="-3"/>
        </w:rPr>
      </w:pPr>
    </w:p>
    <w:p w14:paraId="7105985A" w14:textId="323A0574" w:rsidR="00E449AA" w:rsidRPr="00BD1319" w:rsidRDefault="00E449AA" w:rsidP="009420F5">
      <w:pPr>
        <w:numPr>
          <w:ilvl w:val="12"/>
          <w:numId w:val="0"/>
        </w:numPr>
        <w:tabs>
          <w:tab w:val="left" w:pos="-2268"/>
        </w:tabs>
        <w:suppressAutoHyphens/>
        <w:ind w:left="567"/>
        <w:rPr>
          <w:spacing w:val="-3"/>
        </w:rPr>
      </w:pPr>
      <w:r w:rsidRPr="00BD1319">
        <w:rPr>
          <w:spacing w:val="-3"/>
        </w:rPr>
        <w:t xml:space="preserve">Para la caracterización </w:t>
      </w:r>
      <w:proofErr w:type="spellStart"/>
      <w:r w:rsidRPr="00BD1319">
        <w:rPr>
          <w:spacing w:val="-3"/>
        </w:rPr>
        <w:t>hidrogeoquímica</w:t>
      </w:r>
      <w:proofErr w:type="spellEnd"/>
      <w:r w:rsidRPr="00BD1319">
        <w:rPr>
          <w:spacing w:val="-3"/>
        </w:rPr>
        <w:t xml:space="preserve"> se debe monitorear en cada unidad geológica acuífera como mínimo los siguientes parámetros: </w:t>
      </w:r>
      <w:r w:rsidR="003F69E2" w:rsidRPr="00BD1319">
        <w:rPr>
          <w:spacing w:val="-3"/>
        </w:rPr>
        <w:t>c</w:t>
      </w:r>
      <w:r w:rsidRPr="00BD1319">
        <w:rPr>
          <w:spacing w:val="-3"/>
        </w:rPr>
        <w:t xml:space="preserve">onductividad </w:t>
      </w:r>
      <w:r w:rsidR="003F69E2" w:rsidRPr="00BD1319">
        <w:rPr>
          <w:spacing w:val="-3"/>
        </w:rPr>
        <w:t>e</w:t>
      </w:r>
      <w:r w:rsidRPr="00BD1319">
        <w:rPr>
          <w:spacing w:val="-3"/>
        </w:rPr>
        <w:t>léctrica (</w:t>
      </w:r>
      <w:proofErr w:type="spellStart"/>
      <w:r w:rsidRPr="00BD1319">
        <w:rPr>
          <w:spacing w:val="-3"/>
        </w:rPr>
        <w:t>uS</w:t>
      </w:r>
      <w:proofErr w:type="spellEnd"/>
      <w:r w:rsidRPr="00BD1319">
        <w:rPr>
          <w:spacing w:val="-3"/>
        </w:rPr>
        <w:t xml:space="preserve">/cm), </w:t>
      </w:r>
      <w:r w:rsidR="003F69E2" w:rsidRPr="00BD1319">
        <w:rPr>
          <w:spacing w:val="-3"/>
        </w:rPr>
        <w:t>d</w:t>
      </w:r>
      <w:r w:rsidRPr="00BD1319">
        <w:rPr>
          <w:spacing w:val="-3"/>
        </w:rPr>
        <w:t xml:space="preserve">ureza </w:t>
      </w:r>
      <w:r w:rsidR="003F69E2" w:rsidRPr="00BD1319">
        <w:rPr>
          <w:spacing w:val="-3"/>
        </w:rPr>
        <w:t>t</w:t>
      </w:r>
      <w:r w:rsidRPr="00BD1319">
        <w:rPr>
          <w:spacing w:val="-3"/>
        </w:rPr>
        <w:t>otal (mg</w:t>
      </w:r>
      <w:r w:rsidR="003F69E2" w:rsidRPr="00BD1319">
        <w:rPr>
          <w:spacing w:val="-3"/>
        </w:rPr>
        <w:t xml:space="preserve"> </w:t>
      </w:r>
      <w:r w:rsidRPr="00BD1319">
        <w:rPr>
          <w:spacing w:val="-3"/>
        </w:rPr>
        <w:t>CaC</w:t>
      </w:r>
      <w:r w:rsidR="003F69E2" w:rsidRPr="00BD1319">
        <w:rPr>
          <w:spacing w:val="-3"/>
        </w:rPr>
        <w:t>O</w:t>
      </w:r>
      <w:r w:rsidRPr="00BD1319">
        <w:rPr>
          <w:spacing w:val="-3"/>
        </w:rPr>
        <w:t>3/</w:t>
      </w:r>
      <w:r w:rsidR="003F69E2" w:rsidRPr="00BD1319">
        <w:rPr>
          <w:spacing w:val="-3"/>
        </w:rPr>
        <w:t>l</w:t>
      </w:r>
      <w:r w:rsidRPr="00BD1319">
        <w:rPr>
          <w:spacing w:val="-3"/>
        </w:rPr>
        <w:t xml:space="preserve">), </w:t>
      </w:r>
      <w:r w:rsidR="003F69E2" w:rsidRPr="00BD1319">
        <w:rPr>
          <w:spacing w:val="-3"/>
        </w:rPr>
        <w:t>o</w:t>
      </w:r>
      <w:r w:rsidRPr="00BD1319">
        <w:rPr>
          <w:spacing w:val="-3"/>
        </w:rPr>
        <w:t xml:space="preserve">xígeno </w:t>
      </w:r>
      <w:r w:rsidR="003F69E2" w:rsidRPr="00BD1319">
        <w:rPr>
          <w:spacing w:val="-3"/>
        </w:rPr>
        <w:t>d</w:t>
      </w:r>
      <w:r w:rsidRPr="00BD1319">
        <w:rPr>
          <w:spacing w:val="-3"/>
        </w:rPr>
        <w:t>isuelto (mg/</w:t>
      </w:r>
      <w:r w:rsidR="003F69E2" w:rsidRPr="00BD1319">
        <w:rPr>
          <w:spacing w:val="-3"/>
        </w:rPr>
        <w:t>l</w:t>
      </w:r>
      <w:r w:rsidRPr="00BD1319">
        <w:rPr>
          <w:spacing w:val="-3"/>
        </w:rPr>
        <w:t>), pH (</w:t>
      </w:r>
      <w:r w:rsidR="003F69E2" w:rsidRPr="00BD1319">
        <w:rPr>
          <w:spacing w:val="-3"/>
        </w:rPr>
        <w:t>u</w:t>
      </w:r>
      <w:r w:rsidRPr="00BD1319">
        <w:rPr>
          <w:spacing w:val="-3"/>
        </w:rPr>
        <w:t xml:space="preserve">nidades de pH), </w:t>
      </w:r>
      <w:r w:rsidR="003F69E2" w:rsidRPr="00BD1319">
        <w:rPr>
          <w:spacing w:val="-3"/>
        </w:rPr>
        <w:t xml:space="preserve">potencial oxido reducción </w:t>
      </w:r>
      <w:r w:rsidRPr="00BD1319">
        <w:rPr>
          <w:spacing w:val="-3"/>
        </w:rPr>
        <w:t>(</w:t>
      </w:r>
      <w:proofErr w:type="spellStart"/>
      <w:r w:rsidRPr="00BD1319">
        <w:rPr>
          <w:spacing w:val="-3"/>
        </w:rPr>
        <w:t>mV</w:t>
      </w:r>
      <w:proofErr w:type="spellEnd"/>
      <w:r w:rsidRPr="00BD1319">
        <w:rPr>
          <w:spacing w:val="-3"/>
        </w:rPr>
        <w:t xml:space="preserve">), </w:t>
      </w:r>
      <w:r w:rsidR="003F69E2" w:rsidRPr="00BD1319">
        <w:rPr>
          <w:spacing w:val="-3"/>
        </w:rPr>
        <w:t xml:space="preserve">sólidos disueltos totales </w:t>
      </w:r>
      <w:r w:rsidRPr="00BD1319">
        <w:rPr>
          <w:spacing w:val="-3"/>
        </w:rPr>
        <w:t>(mg/</w:t>
      </w:r>
      <w:r w:rsidR="003F69E2" w:rsidRPr="00BD1319">
        <w:rPr>
          <w:spacing w:val="-3"/>
        </w:rPr>
        <w:t>l</w:t>
      </w:r>
      <w:r w:rsidRPr="00BD1319">
        <w:rPr>
          <w:spacing w:val="-3"/>
        </w:rPr>
        <w:t xml:space="preserve">), </w:t>
      </w:r>
      <w:r w:rsidR="003F69E2" w:rsidRPr="00BD1319">
        <w:rPr>
          <w:spacing w:val="-3"/>
        </w:rPr>
        <w:t>t</w:t>
      </w:r>
      <w:r w:rsidRPr="00BD1319">
        <w:rPr>
          <w:spacing w:val="-3"/>
        </w:rPr>
        <w:t xml:space="preserve">emperatura (°C), </w:t>
      </w:r>
      <w:r w:rsidR="003F69E2" w:rsidRPr="00BD1319">
        <w:rPr>
          <w:spacing w:val="-3"/>
        </w:rPr>
        <w:t>c</w:t>
      </w:r>
      <w:r w:rsidRPr="00BD1319">
        <w:rPr>
          <w:spacing w:val="-3"/>
        </w:rPr>
        <w:t xml:space="preserve">ationes </w:t>
      </w:r>
      <w:r w:rsidR="003F69E2" w:rsidRPr="00BD1319">
        <w:rPr>
          <w:spacing w:val="-3"/>
        </w:rPr>
        <w:t>(c</w:t>
      </w:r>
      <w:r w:rsidRPr="00BD1319">
        <w:rPr>
          <w:spacing w:val="-3"/>
        </w:rPr>
        <w:t>alcio (mg/</w:t>
      </w:r>
      <w:r w:rsidR="003F69E2" w:rsidRPr="00BD1319">
        <w:rPr>
          <w:spacing w:val="-3"/>
        </w:rPr>
        <w:t>l</w:t>
      </w:r>
      <w:r w:rsidRPr="00BD1319">
        <w:rPr>
          <w:spacing w:val="-3"/>
        </w:rPr>
        <w:t xml:space="preserve">), </w:t>
      </w:r>
      <w:r w:rsidR="003F69E2" w:rsidRPr="00BD1319">
        <w:rPr>
          <w:spacing w:val="-3"/>
        </w:rPr>
        <w:t>s</w:t>
      </w:r>
      <w:r w:rsidRPr="00BD1319">
        <w:rPr>
          <w:spacing w:val="-3"/>
        </w:rPr>
        <w:t>odio (mg/</w:t>
      </w:r>
      <w:r w:rsidR="003F69E2" w:rsidRPr="00BD1319">
        <w:rPr>
          <w:spacing w:val="-3"/>
        </w:rPr>
        <w:t>l</w:t>
      </w:r>
      <w:r w:rsidRPr="00BD1319">
        <w:rPr>
          <w:spacing w:val="-3"/>
        </w:rPr>
        <w:t xml:space="preserve">), </w:t>
      </w:r>
      <w:r w:rsidR="003F69E2" w:rsidRPr="00BD1319">
        <w:rPr>
          <w:spacing w:val="-3"/>
        </w:rPr>
        <w:t>p</w:t>
      </w:r>
      <w:r w:rsidRPr="00BD1319">
        <w:rPr>
          <w:spacing w:val="-3"/>
        </w:rPr>
        <w:t>otasio (mg/</w:t>
      </w:r>
      <w:r w:rsidR="003F69E2" w:rsidRPr="00BD1319">
        <w:rPr>
          <w:spacing w:val="-3"/>
        </w:rPr>
        <w:t>l</w:t>
      </w:r>
      <w:r w:rsidRPr="00BD1319">
        <w:rPr>
          <w:spacing w:val="-3"/>
        </w:rPr>
        <w:t xml:space="preserve">), </w:t>
      </w:r>
      <w:r w:rsidR="003F69E2" w:rsidRPr="00BD1319">
        <w:rPr>
          <w:spacing w:val="-3"/>
        </w:rPr>
        <w:t>m</w:t>
      </w:r>
      <w:r w:rsidRPr="00BD1319">
        <w:rPr>
          <w:spacing w:val="-3"/>
        </w:rPr>
        <w:t>agnesio (mg/</w:t>
      </w:r>
      <w:r w:rsidR="003F69E2" w:rsidRPr="00BD1319">
        <w:rPr>
          <w:spacing w:val="-3"/>
        </w:rPr>
        <w:t>l</w:t>
      </w:r>
      <w:r w:rsidRPr="00BD1319">
        <w:rPr>
          <w:spacing w:val="-3"/>
        </w:rPr>
        <w:t>)</w:t>
      </w:r>
      <w:r w:rsidR="003F69E2" w:rsidRPr="00BD1319">
        <w:rPr>
          <w:spacing w:val="-3"/>
        </w:rPr>
        <w:t>)</w:t>
      </w:r>
      <w:r w:rsidRPr="00BD1319">
        <w:rPr>
          <w:spacing w:val="-3"/>
        </w:rPr>
        <w:t xml:space="preserve">, </w:t>
      </w:r>
      <w:r w:rsidR="003F69E2" w:rsidRPr="00BD1319">
        <w:rPr>
          <w:spacing w:val="-3"/>
        </w:rPr>
        <w:t>a</w:t>
      </w:r>
      <w:r w:rsidRPr="00BD1319">
        <w:rPr>
          <w:spacing w:val="-3"/>
        </w:rPr>
        <w:t xml:space="preserve">niones </w:t>
      </w:r>
      <w:r w:rsidR="003F69E2" w:rsidRPr="00BD1319">
        <w:rPr>
          <w:spacing w:val="-3"/>
        </w:rPr>
        <w:t>(b</w:t>
      </w:r>
      <w:r w:rsidRPr="00BD1319">
        <w:rPr>
          <w:spacing w:val="-3"/>
        </w:rPr>
        <w:t>icarbonato (mg/</w:t>
      </w:r>
      <w:r w:rsidR="003F69E2" w:rsidRPr="00BD1319">
        <w:rPr>
          <w:spacing w:val="-3"/>
        </w:rPr>
        <w:t>l</w:t>
      </w:r>
      <w:r w:rsidRPr="00BD1319">
        <w:rPr>
          <w:spacing w:val="-3"/>
        </w:rPr>
        <w:t xml:space="preserve">), </w:t>
      </w:r>
      <w:r w:rsidR="003F69E2" w:rsidRPr="00BD1319">
        <w:rPr>
          <w:spacing w:val="-3"/>
        </w:rPr>
        <w:t>n</w:t>
      </w:r>
      <w:r w:rsidRPr="00BD1319">
        <w:rPr>
          <w:spacing w:val="-3"/>
        </w:rPr>
        <w:t>itritos (mg/</w:t>
      </w:r>
      <w:r w:rsidR="003F69E2" w:rsidRPr="00BD1319">
        <w:rPr>
          <w:spacing w:val="-3"/>
        </w:rPr>
        <w:t>l</w:t>
      </w:r>
      <w:r w:rsidRPr="00BD1319">
        <w:rPr>
          <w:spacing w:val="-3"/>
        </w:rPr>
        <w:t xml:space="preserve">), </w:t>
      </w:r>
      <w:r w:rsidR="003F69E2" w:rsidRPr="00BD1319">
        <w:rPr>
          <w:spacing w:val="-3"/>
        </w:rPr>
        <w:t>c</w:t>
      </w:r>
      <w:r w:rsidRPr="00BD1319">
        <w:rPr>
          <w:spacing w:val="-3"/>
        </w:rPr>
        <w:t>loruro (mg/</w:t>
      </w:r>
      <w:r w:rsidR="003F69E2" w:rsidRPr="00BD1319">
        <w:rPr>
          <w:spacing w:val="-3"/>
        </w:rPr>
        <w:t>l</w:t>
      </w:r>
      <w:r w:rsidRPr="00BD1319">
        <w:rPr>
          <w:spacing w:val="-3"/>
        </w:rPr>
        <w:t xml:space="preserve">), </w:t>
      </w:r>
      <w:r w:rsidR="003F69E2" w:rsidRPr="00BD1319">
        <w:rPr>
          <w:spacing w:val="-3"/>
        </w:rPr>
        <w:t>s</w:t>
      </w:r>
      <w:r w:rsidRPr="00BD1319">
        <w:rPr>
          <w:spacing w:val="-3"/>
        </w:rPr>
        <w:t>ulfato (mg/</w:t>
      </w:r>
      <w:r w:rsidR="003F69E2" w:rsidRPr="00BD1319">
        <w:rPr>
          <w:spacing w:val="-3"/>
        </w:rPr>
        <w:t>l</w:t>
      </w:r>
      <w:r w:rsidRPr="00BD1319">
        <w:rPr>
          <w:spacing w:val="-3"/>
        </w:rPr>
        <w:t>)</w:t>
      </w:r>
      <w:r w:rsidR="000D5929" w:rsidRPr="00BD1319">
        <w:rPr>
          <w:spacing w:val="-3"/>
        </w:rPr>
        <w:t>)</w:t>
      </w:r>
      <w:r w:rsidRPr="00BD1319">
        <w:rPr>
          <w:spacing w:val="-3"/>
        </w:rPr>
        <w:t xml:space="preserve">, </w:t>
      </w:r>
      <w:r w:rsidR="000D5929" w:rsidRPr="00BD1319">
        <w:rPr>
          <w:spacing w:val="-3"/>
        </w:rPr>
        <w:t xml:space="preserve">es posible </w:t>
      </w:r>
      <w:r w:rsidRPr="00BD1319">
        <w:rPr>
          <w:spacing w:val="-3"/>
        </w:rPr>
        <w:t>incluir otros iones que sean relevantes del medio local y que influyan en el balance iónico. Adicionalmente, se debe medir el contenido de metales, metaloides y demás sustancias de interés conforme las características del proyecto</w:t>
      </w:r>
      <w:r w:rsidR="000D5929" w:rsidRPr="00BD1319">
        <w:rPr>
          <w:spacing w:val="-3"/>
        </w:rPr>
        <w:t>, obra o actividad</w:t>
      </w:r>
      <w:r w:rsidRPr="00BD1319">
        <w:rPr>
          <w:spacing w:val="-3"/>
        </w:rPr>
        <w:t xml:space="preserve">. Para la caracterización de la calidad del agua subterránea se debe monitorear adicionalmente los coliformes </w:t>
      </w:r>
      <w:proofErr w:type="spellStart"/>
      <w:r w:rsidRPr="00BD1319">
        <w:rPr>
          <w:spacing w:val="-3"/>
        </w:rPr>
        <w:t>termotolerantes</w:t>
      </w:r>
      <w:proofErr w:type="spellEnd"/>
      <w:r w:rsidRPr="00BD1319">
        <w:rPr>
          <w:spacing w:val="-3"/>
        </w:rPr>
        <w:t xml:space="preserve"> totales y fecales</w:t>
      </w:r>
      <w:r w:rsidRPr="00BD1319">
        <w:rPr>
          <w:i/>
          <w:spacing w:val="-3"/>
        </w:rPr>
        <w:t xml:space="preserve"> (</w:t>
      </w:r>
      <w:r w:rsidR="00041844" w:rsidRPr="00BD1319">
        <w:rPr>
          <w:spacing w:val="-3"/>
        </w:rPr>
        <w:t>p. ej.</w:t>
      </w:r>
      <w:r w:rsidRPr="00BD1319">
        <w:rPr>
          <w:spacing w:val="-3"/>
        </w:rPr>
        <w:t xml:space="preserve"> </w:t>
      </w:r>
      <w:r w:rsidRPr="00BD1319">
        <w:rPr>
          <w:i/>
          <w:spacing w:val="-3"/>
        </w:rPr>
        <w:t xml:space="preserve">E. </w:t>
      </w:r>
      <w:proofErr w:type="spellStart"/>
      <w:r w:rsidRPr="00BD1319">
        <w:rPr>
          <w:i/>
          <w:spacing w:val="-3"/>
        </w:rPr>
        <w:t>coli</w:t>
      </w:r>
      <w:proofErr w:type="spellEnd"/>
      <w:r w:rsidRPr="00BD1319">
        <w:rPr>
          <w:spacing w:val="-3"/>
        </w:rPr>
        <w:t xml:space="preserve">) y los parámetros químicos que la autoridad ambiental competente establezca en términos de referencia u otros instrumentos aplicables al proyecto, </w:t>
      </w:r>
      <w:r w:rsidR="000D5929" w:rsidRPr="00BD1319">
        <w:rPr>
          <w:spacing w:val="-3"/>
        </w:rPr>
        <w:t xml:space="preserve">obra o actividad </w:t>
      </w:r>
      <w:r w:rsidRPr="00BD1319">
        <w:rPr>
          <w:spacing w:val="-3"/>
        </w:rPr>
        <w:t>de acuerdo con el tipo de actividad a desarrollar y a las actividades existentes en el área de influencia del componente.</w:t>
      </w:r>
    </w:p>
    <w:p w14:paraId="14C9C944" w14:textId="77777777" w:rsidR="003F69E2" w:rsidRPr="00BD1319" w:rsidRDefault="003F69E2">
      <w:pPr>
        <w:numPr>
          <w:ilvl w:val="12"/>
          <w:numId w:val="0"/>
        </w:numPr>
        <w:tabs>
          <w:tab w:val="left" w:pos="-2268"/>
        </w:tabs>
        <w:suppressAutoHyphens/>
        <w:rPr>
          <w:spacing w:val="-3"/>
        </w:rPr>
      </w:pPr>
    </w:p>
    <w:p w14:paraId="7EB2AA7B" w14:textId="4EF6A928" w:rsidR="00E449AA" w:rsidRPr="00BD1319" w:rsidRDefault="00E449AA" w:rsidP="003F69E2">
      <w:pPr>
        <w:numPr>
          <w:ilvl w:val="12"/>
          <w:numId w:val="0"/>
        </w:numPr>
        <w:tabs>
          <w:tab w:val="left" w:pos="-2268"/>
        </w:tabs>
        <w:suppressAutoHyphens/>
        <w:ind w:left="567"/>
        <w:rPr>
          <w:spacing w:val="-3"/>
        </w:rPr>
      </w:pPr>
      <w:r w:rsidRPr="00BD1319">
        <w:rPr>
          <w:spacing w:val="-3"/>
        </w:rPr>
        <w:t xml:space="preserve">Se debe calcular y presentar el balance iónico de las muestras, el error analítico de aceptación </w:t>
      </w:r>
      <w:r w:rsidR="000D5929" w:rsidRPr="00BD1319">
        <w:rPr>
          <w:spacing w:val="-3"/>
        </w:rPr>
        <w:t xml:space="preserve">es </w:t>
      </w:r>
      <w:r w:rsidRPr="00BD1319">
        <w:rPr>
          <w:spacing w:val="-3"/>
        </w:rPr>
        <w:t xml:space="preserve">de ±15%. A su vez, se deben reportar las relaciones </w:t>
      </w:r>
      <w:proofErr w:type="spellStart"/>
      <w:r w:rsidRPr="00BD1319">
        <w:rPr>
          <w:spacing w:val="-3"/>
        </w:rPr>
        <w:t>interparamétricas</w:t>
      </w:r>
      <w:proofErr w:type="spellEnd"/>
      <w:r w:rsidRPr="00BD1319">
        <w:rPr>
          <w:spacing w:val="-3"/>
        </w:rPr>
        <w:t xml:space="preserve"> que se consideren apropiadas para verificar la calidad de los análisis de laboratorio (considerando las referenciadas en la </w:t>
      </w:r>
      <w:r w:rsidR="000D5929" w:rsidRPr="00BD1319">
        <w:rPr>
          <w:spacing w:val="-3"/>
        </w:rPr>
        <w:t>G</w:t>
      </w:r>
      <w:r w:rsidRPr="00BD1319">
        <w:rPr>
          <w:spacing w:val="-3"/>
        </w:rPr>
        <w:t xml:space="preserve">uía metodológica para la formulación de </w:t>
      </w:r>
      <w:r w:rsidR="000D5929" w:rsidRPr="00BD1319">
        <w:rPr>
          <w:spacing w:val="-3"/>
        </w:rPr>
        <w:t>planes de manejo ambiental de acuíferos</w:t>
      </w:r>
      <w:r w:rsidR="003F69E2" w:rsidRPr="00BD1319">
        <w:rPr>
          <w:spacing w:val="-3"/>
        </w:rPr>
        <w:t>).</w:t>
      </w:r>
    </w:p>
    <w:p w14:paraId="5FB3B644" w14:textId="77777777" w:rsidR="003F69E2" w:rsidRPr="00BD1319" w:rsidRDefault="003F69E2" w:rsidP="009420F5">
      <w:pPr>
        <w:numPr>
          <w:ilvl w:val="12"/>
          <w:numId w:val="0"/>
        </w:numPr>
        <w:tabs>
          <w:tab w:val="left" w:pos="-2268"/>
        </w:tabs>
        <w:suppressAutoHyphens/>
        <w:rPr>
          <w:spacing w:val="-3"/>
        </w:rPr>
      </w:pPr>
    </w:p>
    <w:p w14:paraId="5CB1327C" w14:textId="70827E1F" w:rsidR="000D5929" w:rsidRPr="00BD1319" w:rsidRDefault="00E449AA" w:rsidP="003F69E2">
      <w:pPr>
        <w:numPr>
          <w:ilvl w:val="12"/>
          <w:numId w:val="0"/>
        </w:numPr>
        <w:tabs>
          <w:tab w:val="left" w:pos="-2268"/>
        </w:tabs>
        <w:suppressAutoHyphens/>
        <w:ind w:left="567"/>
        <w:rPr>
          <w:spacing w:val="-3"/>
        </w:rPr>
      </w:pPr>
      <w:r w:rsidRPr="00BD1319">
        <w:rPr>
          <w:spacing w:val="-3"/>
        </w:rPr>
        <w:t xml:space="preserve">Con los datos adquiridos, se requiere realizar mapas de distribución de los valores para los parámetros fisicoquímicos </w:t>
      </w:r>
      <w:r w:rsidR="000D5929" w:rsidRPr="00BD1319">
        <w:rPr>
          <w:spacing w:val="-3"/>
        </w:rPr>
        <w:t>t</w:t>
      </w:r>
      <w:r w:rsidRPr="00BD1319">
        <w:rPr>
          <w:spacing w:val="-3"/>
        </w:rPr>
        <w:t xml:space="preserve">emperatura, conductividad, pH, oxígeno disuelto y potencial redox. Los resultados hidroquímicos se </w:t>
      </w:r>
      <w:r w:rsidR="000D5929" w:rsidRPr="00BD1319">
        <w:rPr>
          <w:spacing w:val="-3"/>
        </w:rPr>
        <w:t xml:space="preserve">deben </w:t>
      </w:r>
      <w:r w:rsidRPr="00BD1319">
        <w:rPr>
          <w:spacing w:val="-3"/>
        </w:rPr>
        <w:lastRenderedPageBreak/>
        <w:t xml:space="preserve">representar en diagramas de relación (Piper, </w:t>
      </w:r>
      <w:proofErr w:type="spellStart"/>
      <w:r w:rsidRPr="00BD1319">
        <w:rPr>
          <w:spacing w:val="-3"/>
        </w:rPr>
        <w:t>Stiff</w:t>
      </w:r>
      <w:proofErr w:type="spellEnd"/>
      <w:r w:rsidRPr="00BD1319">
        <w:rPr>
          <w:spacing w:val="-3"/>
        </w:rPr>
        <w:t xml:space="preserve">, </w:t>
      </w:r>
      <w:proofErr w:type="spellStart"/>
      <w:r w:rsidRPr="00BD1319">
        <w:rPr>
          <w:spacing w:val="-3"/>
        </w:rPr>
        <w:t>Schoeller</w:t>
      </w:r>
      <w:proofErr w:type="spellEnd"/>
      <w:r w:rsidRPr="00BD1319">
        <w:rPr>
          <w:spacing w:val="-3"/>
        </w:rPr>
        <w:t xml:space="preserve">, </w:t>
      </w:r>
      <w:proofErr w:type="spellStart"/>
      <w:r w:rsidRPr="00BD1319">
        <w:rPr>
          <w:spacing w:val="-3"/>
        </w:rPr>
        <w:t>Mifflin</w:t>
      </w:r>
      <w:proofErr w:type="spellEnd"/>
      <w:r w:rsidR="000D5929" w:rsidRPr="00BD1319">
        <w:rPr>
          <w:spacing w:val="-3"/>
        </w:rPr>
        <w:t>, entre otros</w:t>
      </w:r>
      <w:r w:rsidRPr="00BD1319">
        <w:rPr>
          <w:spacing w:val="-3"/>
        </w:rPr>
        <w:t xml:space="preserve">) que permitan determinar las facies </w:t>
      </w:r>
      <w:proofErr w:type="spellStart"/>
      <w:r w:rsidRPr="00BD1319">
        <w:rPr>
          <w:spacing w:val="-3"/>
        </w:rPr>
        <w:t>hidrogeoquímicas</w:t>
      </w:r>
      <w:proofErr w:type="spellEnd"/>
      <w:r w:rsidRPr="00BD1319">
        <w:rPr>
          <w:spacing w:val="-3"/>
        </w:rPr>
        <w:t xml:space="preserve">. El análisis debe </w:t>
      </w:r>
      <w:r w:rsidR="007443E1" w:rsidRPr="00BD1319">
        <w:rPr>
          <w:spacing w:val="-3"/>
        </w:rPr>
        <w:t xml:space="preserve">determinar </w:t>
      </w:r>
      <w:r w:rsidRPr="00BD1319">
        <w:rPr>
          <w:spacing w:val="-3"/>
        </w:rPr>
        <w:t>relaciones que contribuyan a la definición de zonas de recarga</w:t>
      </w:r>
      <w:r w:rsidR="000D5929" w:rsidRPr="00BD1319">
        <w:rPr>
          <w:spacing w:val="-3"/>
        </w:rPr>
        <w:t xml:space="preserve"> y</w:t>
      </w:r>
      <w:r w:rsidRPr="00BD1319">
        <w:rPr>
          <w:spacing w:val="-3"/>
        </w:rPr>
        <w:t xml:space="preserve"> tipos de roca con las que el agua ha estado en contacto</w:t>
      </w:r>
      <w:r w:rsidR="000D5929" w:rsidRPr="00BD1319">
        <w:rPr>
          <w:spacing w:val="-3"/>
        </w:rPr>
        <w:t>,</w:t>
      </w:r>
      <w:r w:rsidRPr="00BD1319">
        <w:rPr>
          <w:spacing w:val="-3"/>
        </w:rPr>
        <w:t xml:space="preserve"> y a partir de esto</w:t>
      </w:r>
      <w:r w:rsidR="000D5929" w:rsidRPr="00BD1319">
        <w:rPr>
          <w:spacing w:val="-3"/>
        </w:rPr>
        <w:t>,</w:t>
      </w:r>
      <w:r w:rsidRPr="00BD1319">
        <w:rPr>
          <w:spacing w:val="-3"/>
        </w:rPr>
        <w:t xml:space="preserve"> establecer aspectos como evolución </w:t>
      </w:r>
      <w:proofErr w:type="spellStart"/>
      <w:r w:rsidRPr="00BD1319">
        <w:rPr>
          <w:spacing w:val="-3"/>
        </w:rPr>
        <w:t>hidrogeoquímica</w:t>
      </w:r>
      <w:proofErr w:type="spellEnd"/>
      <w:r w:rsidRPr="00BD1319">
        <w:rPr>
          <w:spacing w:val="-3"/>
        </w:rPr>
        <w:t xml:space="preserve">, </w:t>
      </w:r>
      <w:r w:rsidR="007443E1" w:rsidRPr="00BD1319">
        <w:rPr>
          <w:spacing w:val="-3"/>
        </w:rPr>
        <w:t xml:space="preserve">determinar </w:t>
      </w:r>
      <w:r w:rsidRPr="00BD1319">
        <w:rPr>
          <w:spacing w:val="-3"/>
        </w:rPr>
        <w:t xml:space="preserve">procesos de intercambio y mezclas entre tipos de agua, detectar eventos de disolución o precipitación de fracciones iónicas, interconexiones hidráulicas, mezcla de diferentes tipos de agua subterránea identificados en el área </w:t>
      </w:r>
      <w:r w:rsidR="000D5929" w:rsidRPr="00BD1319">
        <w:rPr>
          <w:spacing w:val="-3"/>
        </w:rPr>
        <w:t>de influencia del componente</w:t>
      </w:r>
      <w:r w:rsidRPr="00BD1319">
        <w:rPr>
          <w:spacing w:val="-3"/>
        </w:rPr>
        <w:t>, circulación, tiempo de residencia e indicadores de contaminación.</w:t>
      </w:r>
    </w:p>
    <w:p w14:paraId="0423C7C8" w14:textId="77777777" w:rsidR="00E449AA" w:rsidRPr="00BD1319" w:rsidRDefault="00E449AA" w:rsidP="009420F5">
      <w:pPr>
        <w:numPr>
          <w:ilvl w:val="12"/>
          <w:numId w:val="0"/>
        </w:numPr>
        <w:tabs>
          <w:tab w:val="left" w:pos="-2268"/>
        </w:tabs>
        <w:suppressAutoHyphens/>
        <w:rPr>
          <w:spacing w:val="-3"/>
        </w:rPr>
      </w:pPr>
    </w:p>
    <w:p w14:paraId="6BB40212" w14:textId="4FF4A507" w:rsidR="00E449AA" w:rsidRPr="00BD1319" w:rsidRDefault="00E449AA" w:rsidP="009420F5">
      <w:pPr>
        <w:numPr>
          <w:ilvl w:val="12"/>
          <w:numId w:val="0"/>
        </w:numPr>
        <w:tabs>
          <w:tab w:val="left" w:pos="-2268"/>
        </w:tabs>
        <w:suppressAutoHyphens/>
        <w:ind w:left="567"/>
        <w:rPr>
          <w:spacing w:val="-3"/>
        </w:rPr>
      </w:pPr>
      <w:r w:rsidRPr="00BD1319">
        <w:rPr>
          <w:spacing w:val="-3"/>
        </w:rPr>
        <w:t xml:space="preserve">Los laboratorios que realicen la toma de muestras y los análisis deben estar acreditados por el </w:t>
      </w:r>
      <w:proofErr w:type="spellStart"/>
      <w:r w:rsidR="00A92356" w:rsidRPr="00BD1319">
        <w:rPr>
          <w:spacing w:val="-3"/>
        </w:rPr>
        <w:t>Ideam</w:t>
      </w:r>
      <w:proofErr w:type="spellEnd"/>
      <w:r w:rsidRPr="00BD1319">
        <w:rPr>
          <w:spacing w:val="-3"/>
        </w:rPr>
        <w:t>; se deben seguir los protocolos de toma de muestras y cadenas de custodia definidos por este instituto. De igual manera, cuando un laboratorio subcontrate a otro, también deben adjuntarse las certificaciones de acreditaciones de este último.</w:t>
      </w:r>
    </w:p>
    <w:p w14:paraId="73C05224" w14:textId="77777777" w:rsidR="00E449AA" w:rsidRPr="00BD1319" w:rsidRDefault="00E449AA" w:rsidP="00E449AA">
      <w:pPr>
        <w:numPr>
          <w:ilvl w:val="12"/>
          <w:numId w:val="0"/>
        </w:numPr>
        <w:tabs>
          <w:tab w:val="left" w:pos="-2268"/>
        </w:tabs>
        <w:suppressAutoHyphens/>
        <w:rPr>
          <w:spacing w:val="-3"/>
        </w:rPr>
      </w:pPr>
    </w:p>
    <w:p w14:paraId="341C149B" w14:textId="3E7AC63C" w:rsidR="00E449AA" w:rsidRPr="00BD1319" w:rsidRDefault="00E449AA" w:rsidP="009420F5">
      <w:pPr>
        <w:numPr>
          <w:ilvl w:val="12"/>
          <w:numId w:val="0"/>
        </w:numPr>
        <w:tabs>
          <w:tab w:val="left" w:pos="-2268"/>
        </w:tabs>
        <w:suppressAutoHyphens/>
        <w:ind w:left="567"/>
        <w:rPr>
          <w:spacing w:val="-3"/>
        </w:rPr>
      </w:pPr>
      <w:r w:rsidRPr="00BD1319">
        <w:rPr>
          <w:spacing w:val="-3"/>
        </w:rPr>
        <w:t xml:space="preserve">Adicionalmente, para la ejecución y diseño del muestreo </w:t>
      </w:r>
      <w:r w:rsidR="000D5929" w:rsidRPr="00BD1319">
        <w:rPr>
          <w:spacing w:val="-3"/>
        </w:rPr>
        <w:t xml:space="preserve">es importante </w:t>
      </w:r>
      <w:r w:rsidRPr="00BD1319">
        <w:rPr>
          <w:spacing w:val="-3"/>
        </w:rPr>
        <w:t>cumplir con las normas técnicas NTC-ISO 5667-1, NTC</w:t>
      </w:r>
      <w:r w:rsidR="000D5929" w:rsidRPr="00BD1319">
        <w:rPr>
          <w:spacing w:val="-3"/>
        </w:rPr>
        <w:t>-</w:t>
      </w:r>
      <w:r w:rsidRPr="00BD1319">
        <w:rPr>
          <w:spacing w:val="-3"/>
        </w:rPr>
        <w:t>ISO 5667-11 y NTC</w:t>
      </w:r>
      <w:r w:rsidR="000D5929" w:rsidRPr="00BD1319">
        <w:rPr>
          <w:spacing w:val="-3"/>
        </w:rPr>
        <w:t>-</w:t>
      </w:r>
      <w:r w:rsidRPr="00BD1319">
        <w:rPr>
          <w:spacing w:val="-3"/>
        </w:rPr>
        <w:t xml:space="preserve">ISO 5667-18, o </w:t>
      </w:r>
      <w:r w:rsidR="0024221F" w:rsidRPr="00BD1319">
        <w:rPr>
          <w:spacing w:val="-3"/>
        </w:rPr>
        <w:t xml:space="preserve">con las normas </w:t>
      </w:r>
      <w:r w:rsidR="00EF1D79" w:rsidRPr="00BD1319">
        <w:rPr>
          <w:spacing w:val="-3"/>
        </w:rPr>
        <w:t xml:space="preserve">técnicas </w:t>
      </w:r>
      <w:r w:rsidR="0024221F" w:rsidRPr="00BD1319">
        <w:rPr>
          <w:spacing w:val="-3"/>
        </w:rPr>
        <w:t>que las actualicen o complementen</w:t>
      </w:r>
      <w:r w:rsidRPr="00BD1319">
        <w:rPr>
          <w:spacing w:val="-3"/>
        </w:rPr>
        <w:t>.</w:t>
      </w:r>
    </w:p>
    <w:p w14:paraId="344F5CF2" w14:textId="77777777" w:rsidR="00E449AA" w:rsidRPr="00BD1319" w:rsidRDefault="00E449AA" w:rsidP="00E449AA">
      <w:pPr>
        <w:numPr>
          <w:ilvl w:val="12"/>
          <w:numId w:val="0"/>
        </w:numPr>
        <w:tabs>
          <w:tab w:val="left" w:pos="-2268"/>
        </w:tabs>
        <w:suppressAutoHyphens/>
        <w:rPr>
          <w:spacing w:val="-3"/>
        </w:rPr>
      </w:pPr>
    </w:p>
    <w:p w14:paraId="102949B7" w14:textId="776BEA43" w:rsidR="00E449AA" w:rsidRPr="00BD1319" w:rsidRDefault="00D900A4" w:rsidP="009420F5">
      <w:pPr>
        <w:pStyle w:val="Prrafodelista"/>
        <w:numPr>
          <w:ilvl w:val="0"/>
          <w:numId w:val="59"/>
        </w:numPr>
        <w:tabs>
          <w:tab w:val="left" w:pos="-2268"/>
        </w:tabs>
        <w:suppressAutoHyphens/>
        <w:ind w:left="567" w:hanging="567"/>
        <w:rPr>
          <w:bCs/>
          <w:spacing w:val="-3"/>
          <w:lang w:val="es-CO"/>
        </w:rPr>
      </w:pPr>
      <w:r w:rsidRPr="00BD1319">
        <w:rPr>
          <w:bCs/>
          <w:spacing w:val="-3"/>
          <w:lang w:val="es-CO"/>
        </w:rPr>
        <w:t>I</w:t>
      </w:r>
      <w:r w:rsidR="00E449AA" w:rsidRPr="00BD1319">
        <w:rPr>
          <w:bCs/>
          <w:spacing w:val="-3"/>
          <w:lang w:val="es-CO"/>
        </w:rPr>
        <w:t>sot</w:t>
      </w:r>
      <w:r w:rsidRPr="00BD1319">
        <w:rPr>
          <w:bCs/>
          <w:spacing w:val="-3"/>
          <w:lang w:val="es-CO"/>
        </w:rPr>
        <w:t>opía.</w:t>
      </w:r>
      <w:r w:rsidR="00E449AA" w:rsidRPr="00BD1319">
        <w:rPr>
          <w:bCs/>
          <w:spacing w:val="-3"/>
          <w:lang w:val="es-CO"/>
        </w:rPr>
        <w:t xml:space="preserve"> </w:t>
      </w:r>
      <w:r w:rsidRPr="00BD1319">
        <w:rPr>
          <w:bCs/>
          <w:spacing w:val="-3"/>
          <w:lang w:val="es-CO"/>
        </w:rPr>
        <w:t>C</w:t>
      </w:r>
      <w:r w:rsidR="00E449AA" w:rsidRPr="00BD1319">
        <w:rPr>
          <w:bCs/>
          <w:spacing w:val="-3"/>
          <w:lang w:val="es-CO"/>
        </w:rPr>
        <w:t>uando por las características del proyecto</w:t>
      </w:r>
      <w:r w:rsidRPr="00BD1319">
        <w:rPr>
          <w:bCs/>
          <w:spacing w:val="-3"/>
          <w:lang w:val="es-CO"/>
        </w:rPr>
        <w:t xml:space="preserve">, </w:t>
      </w:r>
      <w:r w:rsidR="00E449AA" w:rsidRPr="00BD1319">
        <w:rPr>
          <w:bCs/>
          <w:spacing w:val="-3"/>
          <w:lang w:val="es-CO"/>
        </w:rPr>
        <w:t xml:space="preserve">obra o actividad se prevea la necesidad de establecer o confirmar la procedencia de las aguas subterráneas, validar el sistemas de flujo o conocer la datación de éstas, se debe efectuar el monitoreo de isotopos estables, radiactivos y trazadores ambientales del agua lluvia (precipitación), agua superficial y subterránea de acuerdo con las metodologías establecidas en los protocolos estandarizados por el Laboratorio de </w:t>
      </w:r>
      <w:r w:rsidRPr="00BD1319">
        <w:rPr>
          <w:bCs/>
          <w:spacing w:val="-3"/>
          <w:lang w:val="es-CO"/>
        </w:rPr>
        <w:t>a</w:t>
      </w:r>
      <w:r w:rsidR="00E449AA" w:rsidRPr="00BD1319">
        <w:rPr>
          <w:bCs/>
          <w:spacing w:val="-3"/>
          <w:lang w:val="es-CO"/>
        </w:rPr>
        <w:t xml:space="preserve">nálisis de </w:t>
      </w:r>
      <w:r w:rsidRPr="00BD1319">
        <w:rPr>
          <w:bCs/>
          <w:spacing w:val="-3"/>
          <w:lang w:val="es-CO"/>
        </w:rPr>
        <w:t>i</w:t>
      </w:r>
      <w:r w:rsidR="00E449AA" w:rsidRPr="00BD1319">
        <w:rPr>
          <w:bCs/>
          <w:spacing w:val="-3"/>
          <w:lang w:val="es-CO"/>
        </w:rPr>
        <w:t xml:space="preserve">sótopos estables en agua líquida del </w:t>
      </w:r>
      <w:r w:rsidRPr="00BD1319">
        <w:rPr>
          <w:bCs/>
          <w:spacing w:val="-3"/>
          <w:lang w:val="es-CO"/>
        </w:rPr>
        <w:t>SGC</w:t>
      </w:r>
      <w:r w:rsidR="00E449AA" w:rsidRPr="00BD1319">
        <w:rPr>
          <w:bCs/>
          <w:spacing w:val="-3"/>
          <w:lang w:val="es-CO"/>
        </w:rPr>
        <w:t xml:space="preserve">, los protocolos de </w:t>
      </w:r>
      <w:r w:rsidRPr="00BD1319">
        <w:rPr>
          <w:bCs/>
          <w:spacing w:val="-3"/>
          <w:lang w:val="es-CO"/>
        </w:rPr>
        <w:t>m</w:t>
      </w:r>
      <w:r w:rsidR="00E449AA" w:rsidRPr="00BD1319">
        <w:rPr>
          <w:bCs/>
          <w:spacing w:val="-3"/>
          <w:lang w:val="es-CO"/>
        </w:rPr>
        <w:t xml:space="preserve">onitoreo del agua del </w:t>
      </w:r>
      <w:proofErr w:type="spellStart"/>
      <w:r w:rsidR="00A92356" w:rsidRPr="00BD1319">
        <w:rPr>
          <w:bCs/>
          <w:spacing w:val="-3"/>
          <w:lang w:val="es-CO"/>
        </w:rPr>
        <w:t>Ideam</w:t>
      </w:r>
      <w:proofErr w:type="spellEnd"/>
      <w:r w:rsidR="00E449AA" w:rsidRPr="00BD1319">
        <w:rPr>
          <w:bCs/>
          <w:spacing w:val="-3"/>
          <w:lang w:val="es-CO"/>
        </w:rPr>
        <w:t xml:space="preserve"> vigentes o las normas y protocolos internacionales que apliquen.</w:t>
      </w:r>
    </w:p>
    <w:p w14:paraId="1AFDB152" w14:textId="77777777" w:rsidR="00E449AA" w:rsidRPr="00BD1319" w:rsidRDefault="00E449AA" w:rsidP="00E449AA">
      <w:pPr>
        <w:numPr>
          <w:ilvl w:val="12"/>
          <w:numId w:val="0"/>
        </w:numPr>
        <w:tabs>
          <w:tab w:val="left" w:pos="-2268"/>
        </w:tabs>
        <w:suppressAutoHyphens/>
        <w:rPr>
          <w:spacing w:val="-3"/>
        </w:rPr>
      </w:pPr>
    </w:p>
    <w:p w14:paraId="38F13233" w14:textId="4FD0B458" w:rsidR="00E449AA" w:rsidRPr="00BD1319" w:rsidRDefault="00E449AA" w:rsidP="009420F5">
      <w:pPr>
        <w:pStyle w:val="Prrafodelista"/>
        <w:numPr>
          <w:ilvl w:val="0"/>
          <w:numId w:val="59"/>
        </w:numPr>
        <w:tabs>
          <w:tab w:val="left" w:pos="-2268"/>
        </w:tabs>
        <w:suppressAutoHyphens/>
        <w:ind w:left="567" w:hanging="567"/>
        <w:rPr>
          <w:bCs/>
          <w:spacing w:val="-3"/>
          <w:lang w:val="es-CO"/>
        </w:rPr>
      </w:pPr>
      <w:r w:rsidRPr="00BD1319">
        <w:rPr>
          <w:bCs/>
          <w:spacing w:val="-3"/>
          <w:lang w:val="es-CO"/>
        </w:rPr>
        <w:t xml:space="preserve">Vulnerabilidad intrínseca de los acuíferos a la contaminación. </w:t>
      </w:r>
      <w:r w:rsidR="00DA4BCA" w:rsidRPr="00BD1319">
        <w:rPr>
          <w:bCs/>
          <w:spacing w:val="-3"/>
          <w:lang w:val="es-CO"/>
        </w:rPr>
        <w:t xml:space="preserve">Para establecer esta vulnerabilidad </w:t>
      </w:r>
      <w:r w:rsidRPr="00BD1319">
        <w:rPr>
          <w:bCs/>
          <w:spacing w:val="-3"/>
          <w:lang w:val="es-CO"/>
        </w:rPr>
        <w:t xml:space="preserve">se pueden utilizar los métodos expuestos en el documento Propuesta metodológica para la evaluación de la vulnerabilidad intrínseca de los acuíferos a la contaminación (MAVDT, 2010a). Se debe justificar técnicamente el método seleccionado de conformidad con el tipo de acuífero y con la información disponible para la zona, </w:t>
      </w:r>
      <w:r w:rsidR="00FF41D6" w:rsidRPr="00BD1319">
        <w:rPr>
          <w:bCs/>
          <w:spacing w:val="-3"/>
          <w:lang w:val="es-CO"/>
        </w:rPr>
        <w:t xml:space="preserve">y </w:t>
      </w:r>
      <w:r w:rsidRPr="00BD1319">
        <w:rPr>
          <w:bCs/>
          <w:spacing w:val="-3"/>
          <w:lang w:val="es-CO"/>
        </w:rPr>
        <w:t>a su vez</w:t>
      </w:r>
      <w:r w:rsidR="00FF41D6" w:rsidRPr="00BD1319">
        <w:rPr>
          <w:bCs/>
          <w:spacing w:val="-3"/>
          <w:lang w:val="es-CO"/>
        </w:rPr>
        <w:t>,</w:t>
      </w:r>
      <w:r w:rsidRPr="00BD1319">
        <w:rPr>
          <w:bCs/>
          <w:spacing w:val="-3"/>
          <w:lang w:val="es-CO"/>
        </w:rPr>
        <w:t xml:space="preserve"> realizar la explicación de obtención, análisis e interpretación de cada una de las capas para la elaboración del mapa de vulnerabilidad.</w:t>
      </w:r>
    </w:p>
    <w:p w14:paraId="189DFB74" w14:textId="77777777" w:rsidR="00DA4BCA" w:rsidRPr="00BD1319" w:rsidRDefault="00DA4BCA" w:rsidP="00E449AA">
      <w:pPr>
        <w:numPr>
          <w:ilvl w:val="12"/>
          <w:numId w:val="0"/>
        </w:numPr>
        <w:tabs>
          <w:tab w:val="left" w:pos="-2268"/>
        </w:tabs>
        <w:suppressAutoHyphens/>
        <w:rPr>
          <w:spacing w:val="-3"/>
        </w:rPr>
      </w:pPr>
    </w:p>
    <w:p w14:paraId="428BF73A" w14:textId="0713D467" w:rsidR="00C526D4" w:rsidRPr="00BD1319" w:rsidRDefault="00E449AA" w:rsidP="009420F5">
      <w:pPr>
        <w:pStyle w:val="Prrafodelista"/>
        <w:numPr>
          <w:ilvl w:val="0"/>
          <w:numId w:val="59"/>
        </w:numPr>
        <w:tabs>
          <w:tab w:val="left" w:pos="-2268"/>
        </w:tabs>
        <w:suppressAutoHyphens/>
        <w:ind w:left="567" w:hanging="567"/>
        <w:rPr>
          <w:bCs/>
          <w:spacing w:val="-3"/>
          <w:lang w:val="es-CO"/>
        </w:rPr>
      </w:pPr>
      <w:r w:rsidRPr="00BD1319">
        <w:rPr>
          <w:bCs/>
          <w:spacing w:val="-3"/>
          <w:lang w:val="es-CO"/>
        </w:rPr>
        <w:t xml:space="preserve">Fuentes potenciales de contaminación de acuíferos. Se deben </w:t>
      </w:r>
      <w:r w:rsidR="007443E1" w:rsidRPr="00BD1319">
        <w:rPr>
          <w:bCs/>
          <w:spacing w:val="-3"/>
          <w:lang w:val="es-CO"/>
        </w:rPr>
        <w:t xml:space="preserve">determinar </w:t>
      </w:r>
      <w:r w:rsidRPr="00BD1319">
        <w:rPr>
          <w:bCs/>
          <w:spacing w:val="-3"/>
          <w:lang w:val="es-CO"/>
        </w:rPr>
        <w:t xml:space="preserve">todas las actividades antrópicas existentes en el área de influencia del </w:t>
      </w:r>
      <w:r w:rsidR="00C526D4" w:rsidRPr="00BD1319">
        <w:rPr>
          <w:bCs/>
          <w:spacing w:val="-3"/>
          <w:lang w:val="es-CO"/>
        </w:rPr>
        <w:t>componente</w:t>
      </w:r>
      <w:r w:rsidRPr="00BD1319">
        <w:rPr>
          <w:bCs/>
          <w:spacing w:val="-3"/>
          <w:lang w:val="es-CO"/>
        </w:rPr>
        <w:t xml:space="preserve"> que puedan catalogarse como potencialmente contaminantes del agua </w:t>
      </w:r>
      <w:r w:rsidRPr="00BD1319">
        <w:rPr>
          <w:bCs/>
          <w:spacing w:val="-3"/>
          <w:lang w:val="es-CO"/>
        </w:rPr>
        <w:lastRenderedPageBreak/>
        <w:t xml:space="preserve">subterránea, en especial de los acuíferos someros, para establecer las medidas de manejo adecuadas con base en su superposición con el mapa de vulnerabilidad a la contaminación, así como </w:t>
      </w:r>
      <w:r w:rsidR="00C526D4" w:rsidRPr="00BD1319">
        <w:rPr>
          <w:bCs/>
          <w:spacing w:val="-3"/>
          <w:lang w:val="es-CO"/>
        </w:rPr>
        <w:t xml:space="preserve">en </w:t>
      </w:r>
      <w:r w:rsidRPr="00BD1319">
        <w:rPr>
          <w:bCs/>
          <w:spacing w:val="-3"/>
          <w:lang w:val="es-CO"/>
        </w:rPr>
        <w:t xml:space="preserve">su cercanía </w:t>
      </w:r>
      <w:r w:rsidR="00C526D4" w:rsidRPr="00BD1319">
        <w:rPr>
          <w:bCs/>
          <w:spacing w:val="-3"/>
          <w:lang w:val="es-CO"/>
        </w:rPr>
        <w:t xml:space="preserve">a </w:t>
      </w:r>
      <w:r w:rsidRPr="00BD1319">
        <w:rPr>
          <w:bCs/>
          <w:spacing w:val="-3"/>
          <w:lang w:val="es-CO"/>
        </w:rPr>
        <w:t>fallas geológicas y zonas de fractura.</w:t>
      </w:r>
    </w:p>
    <w:p w14:paraId="63E7F940" w14:textId="77777777" w:rsidR="00C526D4" w:rsidRPr="00BD1319" w:rsidRDefault="00C526D4" w:rsidP="009420F5">
      <w:pPr>
        <w:rPr>
          <w:bCs/>
          <w:spacing w:val="-3"/>
        </w:rPr>
      </w:pPr>
    </w:p>
    <w:p w14:paraId="6F40C4D0" w14:textId="43A2F98A" w:rsidR="00E449AA" w:rsidRPr="00BD1319" w:rsidRDefault="00E449AA" w:rsidP="009420F5">
      <w:pPr>
        <w:tabs>
          <w:tab w:val="left" w:pos="-2268"/>
        </w:tabs>
        <w:suppressAutoHyphens/>
        <w:rPr>
          <w:bCs/>
          <w:spacing w:val="-3"/>
        </w:rPr>
      </w:pPr>
      <w:r w:rsidRPr="00BD1319">
        <w:rPr>
          <w:bCs/>
          <w:spacing w:val="-3"/>
        </w:rPr>
        <w:t xml:space="preserve">A partir de la compilación, análisis, integración de la información geológica y estructural, geofísica, unidades hidrogeológicas, </w:t>
      </w:r>
      <w:r w:rsidR="002A6D28" w:rsidRPr="00BD1319">
        <w:rPr>
          <w:bCs/>
          <w:spacing w:val="-3"/>
        </w:rPr>
        <w:t xml:space="preserve">determinación </w:t>
      </w:r>
      <w:r w:rsidRPr="00BD1319">
        <w:rPr>
          <w:bCs/>
          <w:spacing w:val="-3"/>
        </w:rPr>
        <w:t xml:space="preserve">de zonas de recarga, tránsito y descarga, inventario de puntos de agua subterránea, caracterización hidráulica, los resultados de la caracterización de sistemas de flujo subterráneo, superficies piezométricas, </w:t>
      </w:r>
      <w:proofErr w:type="spellStart"/>
      <w:r w:rsidRPr="00BD1319">
        <w:rPr>
          <w:bCs/>
          <w:spacing w:val="-3"/>
        </w:rPr>
        <w:t>hidrogeoquímica</w:t>
      </w:r>
      <w:proofErr w:type="spellEnd"/>
      <w:r w:rsidRPr="00BD1319">
        <w:rPr>
          <w:bCs/>
          <w:spacing w:val="-3"/>
        </w:rPr>
        <w:t xml:space="preserve">, isotópica, determinaciones de calidad del agua subterránea y vulnerabilidad intrínseca a la contaminación, se debe conformar </w:t>
      </w:r>
      <w:r w:rsidR="002A6D28" w:rsidRPr="00BD1319">
        <w:rPr>
          <w:bCs/>
          <w:spacing w:val="-3"/>
        </w:rPr>
        <w:t xml:space="preserve">un </w:t>
      </w:r>
      <w:r w:rsidRPr="00BD1319">
        <w:rPr>
          <w:bCs/>
          <w:spacing w:val="-3"/>
        </w:rPr>
        <w:t xml:space="preserve">Modelo Hidrogeológico Conceptual </w:t>
      </w:r>
      <w:r w:rsidR="00C526D4" w:rsidRPr="00BD1319">
        <w:rPr>
          <w:bCs/>
          <w:spacing w:val="-3"/>
        </w:rPr>
        <w:t>(</w:t>
      </w:r>
      <w:r w:rsidRPr="00BD1319">
        <w:rPr>
          <w:bCs/>
          <w:spacing w:val="-3"/>
        </w:rPr>
        <w:t>MHC</w:t>
      </w:r>
      <w:r w:rsidR="00C526D4" w:rsidRPr="00BD1319">
        <w:rPr>
          <w:bCs/>
          <w:spacing w:val="-3"/>
        </w:rPr>
        <w:t>)</w:t>
      </w:r>
      <w:r w:rsidRPr="00BD1319">
        <w:rPr>
          <w:bCs/>
          <w:spacing w:val="-3"/>
        </w:rPr>
        <w:t xml:space="preserve"> que represente las condiciones del sistema hidrogeológico </w:t>
      </w:r>
      <w:r w:rsidR="002A6D28" w:rsidRPr="00BD1319">
        <w:rPr>
          <w:bCs/>
          <w:spacing w:val="-3"/>
        </w:rPr>
        <w:t>d</w:t>
      </w:r>
      <w:r w:rsidRPr="00BD1319">
        <w:rPr>
          <w:bCs/>
          <w:spacing w:val="-3"/>
        </w:rPr>
        <w:t xml:space="preserve">el área de influencia del </w:t>
      </w:r>
      <w:r w:rsidR="00C526D4" w:rsidRPr="00BD1319">
        <w:rPr>
          <w:bCs/>
          <w:spacing w:val="-3"/>
        </w:rPr>
        <w:t>componente</w:t>
      </w:r>
      <w:r w:rsidRPr="00BD1319">
        <w:rPr>
          <w:bCs/>
          <w:spacing w:val="-3"/>
        </w:rPr>
        <w:t>.</w:t>
      </w:r>
    </w:p>
    <w:p w14:paraId="22CB5726" w14:textId="77777777" w:rsidR="00E449AA" w:rsidRPr="00BD1319" w:rsidRDefault="00E449AA" w:rsidP="00E449AA">
      <w:pPr>
        <w:numPr>
          <w:ilvl w:val="12"/>
          <w:numId w:val="0"/>
        </w:numPr>
        <w:tabs>
          <w:tab w:val="left" w:pos="-2268"/>
        </w:tabs>
        <w:suppressAutoHyphens/>
        <w:rPr>
          <w:spacing w:val="-3"/>
        </w:rPr>
      </w:pPr>
    </w:p>
    <w:p w14:paraId="6DDB22BF" w14:textId="50AC07FA" w:rsidR="00E449AA" w:rsidRPr="00BD1319" w:rsidRDefault="00E449AA" w:rsidP="00E449AA">
      <w:pPr>
        <w:numPr>
          <w:ilvl w:val="12"/>
          <w:numId w:val="0"/>
        </w:numPr>
        <w:tabs>
          <w:tab w:val="left" w:pos="-2268"/>
        </w:tabs>
        <w:suppressAutoHyphens/>
        <w:rPr>
          <w:spacing w:val="-3"/>
        </w:rPr>
      </w:pPr>
      <w:r w:rsidRPr="00BD1319">
        <w:rPr>
          <w:spacing w:val="-3"/>
        </w:rPr>
        <w:t>El modelo hidrogeológico conceptual debe utilizar la leyenda hidrogeológica internacional adoptada por el S</w:t>
      </w:r>
      <w:r w:rsidR="00C526D4" w:rsidRPr="00BD1319">
        <w:rPr>
          <w:spacing w:val="-3"/>
        </w:rPr>
        <w:t>GC</w:t>
      </w:r>
      <w:r w:rsidRPr="00BD1319">
        <w:rPr>
          <w:spacing w:val="-3"/>
        </w:rPr>
        <w:t xml:space="preserve">. El mapa hidrogeológico </w:t>
      </w:r>
      <w:r w:rsidR="00C526D4" w:rsidRPr="00BD1319">
        <w:rPr>
          <w:spacing w:val="-3"/>
        </w:rPr>
        <w:t xml:space="preserve">debe </w:t>
      </w:r>
      <w:r w:rsidRPr="00BD1319">
        <w:rPr>
          <w:spacing w:val="-3"/>
        </w:rPr>
        <w:t>incluir la distribución de unidades hidrogeológicas, de puntos de agua (pozos, aljibes y manantiales), direcciones de flujo, datos hidroquímicos y parámetros hidráulicos. Estos mapas hidrogeológicos deben estar acompañados de perfiles o cortes, bloques diagrama, en los que se pued</w:t>
      </w:r>
      <w:r w:rsidR="00C526D4" w:rsidRPr="00BD1319">
        <w:rPr>
          <w:spacing w:val="-3"/>
        </w:rPr>
        <w:t>a</w:t>
      </w:r>
      <w:r w:rsidRPr="00BD1319">
        <w:rPr>
          <w:spacing w:val="-3"/>
        </w:rPr>
        <w:t>n observar en profundidad</w:t>
      </w:r>
      <w:r w:rsidR="00C526D4" w:rsidRPr="00BD1319">
        <w:rPr>
          <w:spacing w:val="-3"/>
        </w:rPr>
        <w:t>,</w:t>
      </w:r>
      <w:r w:rsidRPr="00BD1319">
        <w:rPr>
          <w:spacing w:val="-3"/>
        </w:rPr>
        <w:t xml:space="preserve"> los espesores, los rasgos estructurales que definen las relaciones entre los sistemas acuíferos y las demás formaciones geológicas.</w:t>
      </w:r>
    </w:p>
    <w:p w14:paraId="0AD0E057" w14:textId="77777777" w:rsidR="00E449AA" w:rsidRPr="00BD1319" w:rsidRDefault="00E449AA" w:rsidP="00E449AA">
      <w:pPr>
        <w:numPr>
          <w:ilvl w:val="12"/>
          <w:numId w:val="0"/>
        </w:numPr>
        <w:tabs>
          <w:tab w:val="left" w:pos="-2268"/>
        </w:tabs>
        <w:suppressAutoHyphens/>
        <w:rPr>
          <w:spacing w:val="-3"/>
        </w:rPr>
      </w:pPr>
    </w:p>
    <w:p w14:paraId="0A3B331D" w14:textId="5E4BFD6B" w:rsidR="00E449AA" w:rsidRPr="00BD1319" w:rsidRDefault="00E449AA" w:rsidP="00E449AA">
      <w:pPr>
        <w:numPr>
          <w:ilvl w:val="12"/>
          <w:numId w:val="0"/>
        </w:numPr>
        <w:tabs>
          <w:tab w:val="left" w:pos="-2268"/>
        </w:tabs>
        <w:suppressAutoHyphens/>
        <w:rPr>
          <w:spacing w:val="-3"/>
        </w:rPr>
      </w:pPr>
      <w:r w:rsidRPr="00BD1319">
        <w:rPr>
          <w:spacing w:val="-3"/>
        </w:rPr>
        <w:t xml:space="preserve">Se debe presentar un mapa que relacione los atributos numéricos y/o descriptivos para cada componente que integra el MHC, señalando, límites de baja y alta permeabilidad, zonas de recarga, tránsito y descarga, flujo, movimiento, interconexión hidráulica y dirección del agua subterránea, se deben </w:t>
      </w:r>
      <w:r w:rsidR="007443E1" w:rsidRPr="00BD1319">
        <w:rPr>
          <w:spacing w:val="-3"/>
        </w:rPr>
        <w:t xml:space="preserve">establecer </w:t>
      </w:r>
      <w:r w:rsidRPr="00BD1319">
        <w:rPr>
          <w:spacing w:val="-3"/>
        </w:rPr>
        <w:t>los acuíferos o zonas de los acuíferos objeto de medidas de manejo, protección o monitoreo diferencial, zonas con alta vulnerabilidad a la contaminación, perímetros de protección de pozos en especial los de abastecimiento doméstico, existencia de actividades potencialmente contaminantes, sinérgicas y acumulativas con las actividades del proyecto, entre otros.</w:t>
      </w:r>
    </w:p>
    <w:p w14:paraId="1C249A48" w14:textId="77777777" w:rsidR="00E449AA" w:rsidRPr="00BD1319" w:rsidRDefault="00E449AA" w:rsidP="00E449AA">
      <w:pPr>
        <w:numPr>
          <w:ilvl w:val="12"/>
          <w:numId w:val="0"/>
        </w:numPr>
        <w:tabs>
          <w:tab w:val="left" w:pos="-2268"/>
        </w:tabs>
        <w:suppressAutoHyphens/>
        <w:rPr>
          <w:spacing w:val="-3"/>
        </w:rPr>
      </w:pPr>
    </w:p>
    <w:p w14:paraId="634063A9" w14:textId="2F4955A1" w:rsidR="00C26E19" w:rsidRPr="00BD1319" w:rsidRDefault="00C26E19" w:rsidP="00C26E19">
      <w:pPr>
        <w:numPr>
          <w:ilvl w:val="12"/>
          <w:numId w:val="0"/>
        </w:numPr>
        <w:tabs>
          <w:tab w:val="left" w:pos="-2268"/>
        </w:tabs>
        <w:suppressAutoHyphens/>
        <w:rPr>
          <w:spacing w:val="-3"/>
        </w:rPr>
      </w:pPr>
      <w:r w:rsidRPr="00BD1319">
        <w:rPr>
          <w:spacing w:val="-3"/>
        </w:rPr>
        <w:t xml:space="preserve">Modelo Hidrogeológico Numérico (MHN). Posterior a la construcción del MHC y si los términos de referencia aplicables al proyecto, obra o actividad así lo establecen, debe formularse el MHN, el cual debe tener como objetivo simular el comportamiento de las aguas subterráneas ante el desarrollo de </w:t>
      </w:r>
      <w:r w:rsidR="00C52A41" w:rsidRPr="00BD1319">
        <w:rPr>
          <w:spacing w:val="-3"/>
        </w:rPr>
        <w:t xml:space="preserve">un </w:t>
      </w:r>
      <w:r w:rsidRPr="00BD1319">
        <w:rPr>
          <w:spacing w:val="-3"/>
        </w:rPr>
        <w:t>proyecto</w:t>
      </w:r>
      <w:r w:rsidR="00C52A41" w:rsidRPr="00BD1319">
        <w:rPr>
          <w:spacing w:val="-3"/>
        </w:rPr>
        <w:t>, obra o actividad</w:t>
      </w:r>
      <w:r w:rsidRPr="00BD1319">
        <w:rPr>
          <w:spacing w:val="-3"/>
        </w:rPr>
        <w:t xml:space="preserve">. </w:t>
      </w:r>
    </w:p>
    <w:p w14:paraId="383C468D" w14:textId="3AB2A5AF" w:rsidR="00C26E19" w:rsidRPr="00BD1319" w:rsidRDefault="00C26E19" w:rsidP="00C26E19">
      <w:pPr>
        <w:numPr>
          <w:ilvl w:val="12"/>
          <w:numId w:val="0"/>
        </w:numPr>
        <w:tabs>
          <w:tab w:val="left" w:pos="-2268"/>
        </w:tabs>
        <w:suppressAutoHyphens/>
        <w:rPr>
          <w:spacing w:val="-3"/>
        </w:rPr>
      </w:pPr>
    </w:p>
    <w:p w14:paraId="7B6B683C" w14:textId="6FEFC1EE" w:rsidR="00C26E19" w:rsidRPr="00BD1319" w:rsidRDefault="00C26E19" w:rsidP="00C26E19">
      <w:pPr>
        <w:numPr>
          <w:ilvl w:val="12"/>
          <w:numId w:val="0"/>
        </w:numPr>
        <w:tabs>
          <w:tab w:val="left" w:pos="-2268"/>
        </w:tabs>
        <w:suppressAutoHyphens/>
        <w:rPr>
          <w:spacing w:val="-3"/>
        </w:rPr>
      </w:pPr>
      <w:r w:rsidRPr="00BD1319">
        <w:rPr>
          <w:spacing w:val="-3"/>
        </w:rPr>
        <w:t xml:space="preserve">Para la construcción del modelo debe </w:t>
      </w:r>
      <w:r w:rsidR="001736DF" w:rsidRPr="00BD1319">
        <w:rPr>
          <w:spacing w:val="-3"/>
        </w:rPr>
        <w:t>emplear</w:t>
      </w:r>
      <w:r w:rsidRPr="00BD1319">
        <w:rPr>
          <w:spacing w:val="-3"/>
        </w:rPr>
        <w:t xml:space="preserve"> un software que permita </w:t>
      </w:r>
      <w:r w:rsidR="001736DF" w:rsidRPr="00BD1319">
        <w:rPr>
          <w:spacing w:val="-3"/>
        </w:rPr>
        <w:t xml:space="preserve">una correcta representación del sistema hidrogeológico mediante </w:t>
      </w:r>
      <w:r w:rsidRPr="00BD1319">
        <w:rPr>
          <w:spacing w:val="-3"/>
        </w:rPr>
        <w:t>la inclusión de todos los elementos, procesos y condiciones que fueron identificados en el MHC. El dominio que se establezca para la model</w:t>
      </w:r>
      <w:r w:rsidR="001736DF" w:rsidRPr="00BD1319">
        <w:rPr>
          <w:spacing w:val="-3"/>
        </w:rPr>
        <w:t>iza</w:t>
      </w:r>
      <w:r w:rsidRPr="00BD1319">
        <w:rPr>
          <w:spacing w:val="-3"/>
        </w:rPr>
        <w:t xml:space="preserve">ción debe incluir todas las áreas donde ocurren los procesos que se quieren analizar, estableciendo un límite superior o techo, inferior o </w:t>
      </w:r>
      <w:r w:rsidRPr="00BD1319">
        <w:rPr>
          <w:spacing w:val="-3"/>
        </w:rPr>
        <w:lastRenderedPageBreak/>
        <w:t>piso y limites laterales. De igual forma, debe definirse una adecuada extensión y orientación de la malla de model</w:t>
      </w:r>
      <w:r w:rsidR="001736DF" w:rsidRPr="00BD1319">
        <w:rPr>
          <w:spacing w:val="-3"/>
        </w:rPr>
        <w:t>iz</w:t>
      </w:r>
      <w:r w:rsidRPr="00BD1319">
        <w:rPr>
          <w:spacing w:val="-3"/>
        </w:rPr>
        <w:t xml:space="preserve">ación que permita simplificar el análisis, contribuir </w:t>
      </w:r>
      <w:r w:rsidR="001736DF" w:rsidRPr="00BD1319">
        <w:rPr>
          <w:spacing w:val="-3"/>
        </w:rPr>
        <w:t>a</w:t>
      </w:r>
      <w:r w:rsidRPr="00BD1319">
        <w:rPr>
          <w:spacing w:val="-3"/>
        </w:rPr>
        <w:t xml:space="preserve"> la precisión de los resultados y </w:t>
      </w:r>
      <w:r w:rsidR="001736DF" w:rsidRPr="00BD1319">
        <w:rPr>
          <w:spacing w:val="-3"/>
        </w:rPr>
        <w:t>a</w:t>
      </w:r>
      <w:r w:rsidRPr="00BD1319">
        <w:rPr>
          <w:spacing w:val="-3"/>
        </w:rPr>
        <w:t xml:space="preserve"> la convergencia y estabilidad numérica del modelo. Se deben establecer condiciones de frontera o contorno en concordancia con la dinámica del sistema, que permitan establecer los límites físicos del dominio del modelo. Los tres tipos principales de condiciones de contorno se caracterizan como de cabeza especifica (condiciones de Dirichlet), de flujo especifico (condiciones de Neumann) y flujo en función de la cabeza (condiciones de Cauchy).</w:t>
      </w:r>
    </w:p>
    <w:p w14:paraId="628ABDE8" w14:textId="17724B83" w:rsidR="00C26E19" w:rsidRPr="00BD1319" w:rsidRDefault="00C26E19" w:rsidP="00C26E19">
      <w:pPr>
        <w:numPr>
          <w:ilvl w:val="12"/>
          <w:numId w:val="0"/>
        </w:numPr>
        <w:tabs>
          <w:tab w:val="left" w:pos="-2268"/>
        </w:tabs>
        <w:suppressAutoHyphens/>
        <w:rPr>
          <w:spacing w:val="-3"/>
        </w:rPr>
      </w:pPr>
    </w:p>
    <w:p w14:paraId="7FA44DB6" w14:textId="0C23683D" w:rsidR="00C26E19" w:rsidRPr="00BD1319" w:rsidRDefault="00C26E19" w:rsidP="00C26E19">
      <w:pPr>
        <w:numPr>
          <w:ilvl w:val="12"/>
          <w:numId w:val="0"/>
        </w:numPr>
        <w:tabs>
          <w:tab w:val="left" w:pos="-2268"/>
        </w:tabs>
        <w:suppressAutoHyphens/>
        <w:rPr>
          <w:spacing w:val="-3"/>
        </w:rPr>
      </w:pPr>
      <w:r w:rsidRPr="00BD1319">
        <w:rPr>
          <w:spacing w:val="-3"/>
        </w:rPr>
        <w:t>Se debe generar una model</w:t>
      </w:r>
      <w:r w:rsidR="00706EE4" w:rsidRPr="00BD1319">
        <w:rPr>
          <w:spacing w:val="-3"/>
        </w:rPr>
        <w:t>iz</w:t>
      </w:r>
      <w:r w:rsidRPr="00BD1319">
        <w:rPr>
          <w:spacing w:val="-3"/>
        </w:rPr>
        <w:t>ación en régimen transitorio cuando pueda presentarse una variación significativa de los flujos en el tiempo y cuando los objetivos de model</w:t>
      </w:r>
      <w:r w:rsidR="00706EE4" w:rsidRPr="00BD1319">
        <w:rPr>
          <w:spacing w:val="-3"/>
        </w:rPr>
        <w:t>iz</w:t>
      </w:r>
      <w:r w:rsidRPr="00BD1319">
        <w:rPr>
          <w:spacing w:val="-3"/>
        </w:rPr>
        <w:t xml:space="preserve">ación consideran cambios temporales en el sistema (operación de pozos, procesos de inyección, cambios en magnitud de recarga). Se </w:t>
      </w:r>
      <w:r w:rsidR="00706EE4" w:rsidRPr="00BD1319">
        <w:rPr>
          <w:spacing w:val="-3"/>
        </w:rPr>
        <w:t xml:space="preserve">debe </w:t>
      </w:r>
      <w:r w:rsidRPr="00BD1319">
        <w:rPr>
          <w:spacing w:val="-3"/>
        </w:rPr>
        <w:t>simular inicialmente en régimen estacionario, de forma que sus resultados puedan ser utilizados como condición de inicio en el régimen transitorio; sin embargo, se debe considera</w:t>
      </w:r>
      <w:r w:rsidR="00706EE4" w:rsidRPr="00BD1319">
        <w:rPr>
          <w:spacing w:val="-3"/>
        </w:rPr>
        <w:t xml:space="preserve">r </w:t>
      </w:r>
      <w:r w:rsidRPr="00BD1319">
        <w:rPr>
          <w:spacing w:val="-3"/>
        </w:rPr>
        <w:t>un periodo de estabilización</w:t>
      </w:r>
      <w:r w:rsidR="00706EE4" w:rsidRPr="00BD1319">
        <w:rPr>
          <w:spacing w:val="-3"/>
        </w:rPr>
        <w:t xml:space="preserve"> para </w:t>
      </w:r>
      <w:r w:rsidRPr="00BD1319">
        <w:rPr>
          <w:spacing w:val="-3"/>
        </w:rPr>
        <w:t>que los resultados obtenidos sean coherentes e independientes de las condiciones definidas inicialmente.</w:t>
      </w:r>
    </w:p>
    <w:p w14:paraId="5D46368D" w14:textId="0235A5C1" w:rsidR="00C26E19" w:rsidRPr="00BD1319" w:rsidRDefault="00C26E19" w:rsidP="00C26E19">
      <w:pPr>
        <w:numPr>
          <w:ilvl w:val="12"/>
          <w:numId w:val="0"/>
        </w:numPr>
        <w:tabs>
          <w:tab w:val="left" w:pos="-2268"/>
        </w:tabs>
        <w:suppressAutoHyphens/>
        <w:rPr>
          <w:spacing w:val="-3"/>
        </w:rPr>
      </w:pPr>
    </w:p>
    <w:p w14:paraId="69A7ADBD" w14:textId="4462E409" w:rsidR="00C26E19" w:rsidRPr="00BD1319" w:rsidRDefault="00C26E19" w:rsidP="00C26E19">
      <w:pPr>
        <w:numPr>
          <w:ilvl w:val="12"/>
          <w:numId w:val="0"/>
        </w:numPr>
        <w:tabs>
          <w:tab w:val="left" w:pos="-2268"/>
        </w:tabs>
        <w:suppressAutoHyphens/>
        <w:rPr>
          <w:spacing w:val="-3"/>
        </w:rPr>
      </w:pPr>
      <w:r w:rsidRPr="00BD1319">
        <w:rPr>
          <w:spacing w:val="-3"/>
        </w:rPr>
        <w:t>Los datos de niveles piezométricos registrados en campo para el MHN son parte fundamental del modelo, por lo que se debe contar con un registro de datos lo más completo posible dentro del periodo de calibración y validación del modelo.</w:t>
      </w:r>
    </w:p>
    <w:p w14:paraId="60C128CA" w14:textId="48832925" w:rsidR="00C26E19" w:rsidRPr="00BD1319" w:rsidRDefault="00C26E19" w:rsidP="00C26E19">
      <w:pPr>
        <w:numPr>
          <w:ilvl w:val="12"/>
          <w:numId w:val="0"/>
        </w:numPr>
        <w:tabs>
          <w:tab w:val="left" w:pos="-2268"/>
        </w:tabs>
        <w:suppressAutoHyphens/>
        <w:rPr>
          <w:spacing w:val="-3"/>
        </w:rPr>
      </w:pPr>
    </w:p>
    <w:p w14:paraId="6D46B442" w14:textId="1BF99661" w:rsidR="00C26E19" w:rsidRPr="00BD1319" w:rsidRDefault="00C26E19" w:rsidP="00C26E19">
      <w:pPr>
        <w:numPr>
          <w:ilvl w:val="12"/>
          <w:numId w:val="0"/>
        </w:numPr>
        <w:tabs>
          <w:tab w:val="left" w:pos="-2268"/>
        </w:tabs>
        <w:suppressAutoHyphens/>
        <w:rPr>
          <w:spacing w:val="-3"/>
        </w:rPr>
      </w:pPr>
      <w:r w:rsidRPr="00BD1319">
        <w:rPr>
          <w:spacing w:val="-3"/>
        </w:rPr>
        <w:t>El MHN debe calibra</w:t>
      </w:r>
      <w:r w:rsidR="00246E8D" w:rsidRPr="00BD1319">
        <w:rPr>
          <w:spacing w:val="-3"/>
        </w:rPr>
        <w:t xml:space="preserve">rse </w:t>
      </w:r>
      <w:r w:rsidRPr="00BD1319">
        <w:rPr>
          <w:spacing w:val="-3"/>
        </w:rPr>
        <w:t>y valida</w:t>
      </w:r>
      <w:r w:rsidR="00246E8D" w:rsidRPr="00BD1319">
        <w:rPr>
          <w:spacing w:val="-3"/>
        </w:rPr>
        <w:t>rse</w:t>
      </w:r>
      <w:r w:rsidRPr="00BD1319">
        <w:rPr>
          <w:spacing w:val="-3"/>
        </w:rPr>
        <w:t xml:space="preserve">, </w:t>
      </w:r>
      <w:r w:rsidR="00246E8D" w:rsidRPr="00BD1319">
        <w:rPr>
          <w:spacing w:val="-3"/>
        </w:rPr>
        <w:t xml:space="preserve">de forma que </w:t>
      </w:r>
      <w:r w:rsidRPr="00BD1319">
        <w:rPr>
          <w:spacing w:val="-3"/>
        </w:rPr>
        <w:t xml:space="preserve">los datos utilizados </w:t>
      </w:r>
      <w:r w:rsidR="00246E8D" w:rsidRPr="00BD1319">
        <w:rPr>
          <w:spacing w:val="-3"/>
        </w:rPr>
        <w:t xml:space="preserve">en </w:t>
      </w:r>
      <w:r w:rsidRPr="00BD1319">
        <w:rPr>
          <w:spacing w:val="-3"/>
        </w:rPr>
        <w:t>ambas etapas se</w:t>
      </w:r>
      <w:r w:rsidR="00246E8D" w:rsidRPr="00BD1319">
        <w:rPr>
          <w:spacing w:val="-3"/>
        </w:rPr>
        <w:t>an</w:t>
      </w:r>
      <w:r w:rsidRPr="00BD1319">
        <w:rPr>
          <w:spacing w:val="-3"/>
        </w:rPr>
        <w:t xml:space="preserve"> independientes y preferiblemente pertenecer a diferentes condiciones hidrológicas. La calibración se considera exitosa cuando al realizar una evaluación cuantitativa de los resultados a través de cualquiera de los métodos estadísticos existentes como el error medio absoluto (MAE) o el error medio cuadrático (RMSE) se obtienen resultados aceptables</w:t>
      </w:r>
      <w:r w:rsidR="00D55857" w:rsidRPr="00BD1319">
        <w:rPr>
          <w:spacing w:val="-3"/>
        </w:rPr>
        <w:t>;</w:t>
      </w:r>
      <w:r w:rsidRPr="00BD1319">
        <w:rPr>
          <w:spacing w:val="-3"/>
        </w:rPr>
        <w:t xml:space="preserve"> </w:t>
      </w:r>
      <w:r w:rsidR="0008046A" w:rsidRPr="00BD1319">
        <w:rPr>
          <w:spacing w:val="-3"/>
        </w:rPr>
        <w:t xml:space="preserve">se </w:t>
      </w:r>
      <w:r w:rsidRPr="00BD1319">
        <w:rPr>
          <w:spacing w:val="-3"/>
        </w:rPr>
        <w:t>considera que un RMSE inferior al 10% para una escala regional es aceptable (</w:t>
      </w:r>
      <w:r w:rsidR="00617EC4" w:rsidRPr="00BD1319">
        <w:rPr>
          <w:rFonts w:eastAsia="Calibri"/>
        </w:rPr>
        <w:t>Newman</w:t>
      </w:r>
      <w:r w:rsidRPr="00BD1319">
        <w:rPr>
          <w:spacing w:val="-3"/>
        </w:rPr>
        <w:t xml:space="preserve">, 2018) o </w:t>
      </w:r>
      <w:r w:rsidR="0008046A" w:rsidRPr="00BD1319">
        <w:rPr>
          <w:spacing w:val="-3"/>
        </w:rPr>
        <w:t xml:space="preserve">que </w:t>
      </w:r>
      <w:r w:rsidRPr="00BD1319">
        <w:rPr>
          <w:spacing w:val="-3"/>
        </w:rPr>
        <w:t>un MAE de uno o dos órdenes de magnitud menor a la precisión requerida para los resultados, puede ser considerada como el error deseable</w:t>
      </w:r>
      <w:r w:rsidR="00E95E5B" w:rsidRPr="00BD1319">
        <w:rPr>
          <w:spacing w:val="-3"/>
        </w:rPr>
        <w:t xml:space="preserve"> (por ejemplo, errores del orden de centímetros corresponderían a una bondad de ajuste adecuada para representar diferencias de nivel del nivel freático del orden de metros)</w:t>
      </w:r>
      <w:r w:rsidRPr="00BD1319">
        <w:rPr>
          <w:spacing w:val="-3"/>
        </w:rPr>
        <w:t xml:space="preserve">. Por otro lado, la evaluación cuantitativa debe </w:t>
      </w:r>
      <w:r w:rsidR="0008046A" w:rsidRPr="00BD1319">
        <w:rPr>
          <w:spacing w:val="-3"/>
        </w:rPr>
        <w:t xml:space="preserve">analizar </w:t>
      </w:r>
      <w:r w:rsidRPr="00BD1319">
        <w:rPr>
          <w:spacing w:val="-3"/>
        </w:rPr>
        <w:t xml:space="preserve">la consistencia de los mapas de direcciones de flujo y perfiles </w:t>
      </w:r>
      <w:r w:rsidR="0008046A" w:rsidRPr="00BD1319">
        <w:rPr>
          <w:spacing w:val="-3"/>
        </w:rPr>
        <w:t xml:space="preserve">según </w:t>
      </w:r>
      <w:r w:rsidRPr="00BD1319">
        <w:rPr>
          <w:spacing w:val="-3"/>
        </w:rPr>
        <w:t xml:space="preserve">lo identificado en el MHC. </w:t>
      </w:r>
      <w:r w:rsidR="00251144" w:rsidRPr="00BD1319">
        <w:rPr>
          <w:spacing w:val="-3"/>
        </w:rPr>
        <w:t>P</w:t>
      </w:r>
      <w:r w:rsidRPr="00BD1319">
        <w:rPr>
          <w:spacing w:val="-3"/>
        </w:rPr>
        <w:t xml:space="preserve">uede prescindirse de </w:t>
      </w:r>
      <w:r w:rsidR="00251144" w:rsidRPr="00BD1319">
        <w:rPr>
          <w:spacing w:val="-3"/>
        </w:rPr>
        <w:t xml:space="preserve">la validación </w:t>
      </w:r>
      <w:r w:rsidRPr="00BD1319">
        <w:rPr>
          <w:spacing w:val="-3"/>
        </w:rPr>
        <w:t>cuando no se cuente con los datos suficientes para su desarrollo, siempre que se incluya un análisis de sensibilidad detallado que permita estimar la incertidumbre de las predicciones.</w:t>
      </w:r>
    </w:p>
    <w:p w14:paraId="4C7E30E0" w14:textId="77777777" w:rsidR="00C26E19" w:rsidRPr="00BD1319" w:rsidRDefault="00C26E19" w:rsidP="00C26E19">
      <w:pPr>
        <w:numPr>
          <w:ilvl w:val="12"/>
          <w:numId w:val="0"/>
        </w:numPr>
        <w:tabs>
          <w:tab w:val="left" w:pos="-2268"/>
        </w:tabs>
        <w:suppressAutoHyphens/>
        <w:rPr>
          <w:spacing w:val="-3"/>
        </w:rPr>
      </w:pPr>
    </w:p>
    <w:p w14:paraId="2025E69B" w14:textId="407948AB" w:rsidR="00C26E19" w:rsidRPr="00BD1319" w:rsidRDefault="00C26E19" w:rsidP="00C26E19">
      <w:pPr>
        <w:numPr>
          <w:ilvl w:val="12"/>
          <w:numId w:val="0"/>
        </w:numPr>
        <w:tabs>
          <w:tab w:val="left" w:pos="-2268"/>
        </w:tabs>
        <w:suppressAutoHyphens/>
        <w:rPr>
          <w:spacing w:val="-3"/>
        </w:rPr>
      </w:pPr>
      <w:r w:rsidRPr="00BD1319">
        <w:rPr>
          <w:spacing w:val="-3"/>
        </w:rPr>
        <w:t xml:space="preserve">El MHN debe de incluir la simulación de escenarios que permitan identificar los posibles impactos que las actividades </w:t>
      </w:r>
      <w:r w:rsidR="00E95E5B" w:rsidRPr="00BD1319">
        <w:rPr>
          <w:spacing w:val="-3"/>
        </w:rPr>
        <w:t xml:space="preserve">del proyecto, obra o actividad </w:t>
      </w:r>
      <w:r w:rsidRPr="00BD1319">
        <w:rPr>
          <w:spacing w:val="-3"/>
        </w:rPr>
        <w:t xml:space="preserve">puedan generar en la disponibilidad y calidad del recurso, considerando de igual forma que se trata de un ambiente cambiante con fenómenos de variabilidad climática cada vez más </w:t>
      </w:r>
      <w:r w:rsidRPr="00BD1319">
        <w:rPr>
          <w:spacing w:val="-3"/>
        </w:rPr>
        <w:lastRenderedPageBreak/>
        <w:t>marcados que deben ser contemplados en el marco de las diferentes fases del proyecto.</w:t>
      </w:r>
    </w:p>
    <w:p w14:paraId="690C8AFE" w14:textId="77777777" w:rsidR="00C26E19" w:rsidRPr="00BD1319" w:rsidRDefault="00C26E19" w:rsidP="00C26E19">
      <w:pPr>
        <w:numPr>
          <w:ilvl w:val="12"/>
          <w:numId w:val="0"/>
        </w:numPr>
        <w:tabs>
          <w:tab w:val="left" w:pos="-2268"/>
        </w:tabs>
        <w:suppressAutoHyphens/>
        <w:rPr>
          <w:spacing w:val="-3"/>
        </w:rPr>
      </w:pPr>
    </w:p>
    <w:p w14:paraId="03DAA66E" w14:textId="36E973D1" w:rsidR="00C26E19" w:rsidRPr="00BD1319" w:rsidRDefault="00C26E19" w:rsidP="00C26E19">
      <w:pPr>
        <w:numPr>
          <w:ilvl w:val="12"/>
          <w:numId w:val="0"/>
        </w:numPr>
        <w:tabs>
          <w:tab w:val="left" w:pos="-2268"/>
        </w:tabs>
        <w:suppressAutoHyphens/>
        <w:rPr>
          <w:spacing w:val="-3"/>
        </w:rPr>
      </w:pPr>
      <w:r w:rsidRPr="00BD1319">
        <w:rPr>
          <w:spacing w:val="-3"/>
        </w:rPr>
        <w:t>Se debe presentar un reporte de model</w:t>
      </w:r>
      <w:r w:rsidR="003E7045" w:rsidRPr="00BD1319">
        <w:rPr>
          <w:spacing w:val="-3"/>
        </w:rPr>
        <w:t>iz</w:t>
      </w:r>
      <w:r w:rsidRPr="00BD1319">
        <w:rPr>
          <w:spacing w:val="-3"/>
        </w:rPr>
        <w:t>ación transparente</w:t>
      </w:r>
      <w:r w:rsidR="003E7045" w:rsidRPr="00BD1319">
        <w:rPr>
          <w:spacing w:val="-3"/>
        </w:rPr>
        <w:t xml:space="preserve"> y</w:t>
      </w:r>
      <w:r w:rsidRPr="00BD1319">
        <w:rPr>
          <w:spacing w:val="-3"/>
        </w:rPr>
        <w:t xml:space="preserve"> preciso que </w:t>
      </w:r>
      <w:r w:rsidR="003E7045" w:rsidRPr="00BD1319">
        <w:rPr>
          <w:spacing w:val="-3"/>
        </w:rPr>
        <w:t xml:space="preserve">pueda </w:t>
      </w:r>
      <w:r w:rsidRPr="00BD1319">
        <w:rPr>
          <w:spacing w:val="-3"/>
        </w:rPr>
        <w:t>ser revisado</w:t>
      </w:r>
      <w:r w:rsidR="003E7045" w:rsidRPr="00BD1319">
        <w:rPr>
          <w:spacing w:val="-3"/>
        </w:rPr>
        <w:t xml:space="preserve">; para ello, debe contener una </w:t>
      </w:r>
      <w:r w:rsidRPr="00BD1319">
        <w:rPr>
          <w:spacing w:val="-3"/>
        </w:rPr>
        <w:t>descri</w:t>
      </w:r>
      <w:r w:rsidR="003E7045" w:rsidRPr="00BD1319">
        <w:rPr>
          <w:spacing w:val="-3"/>
        </w:rPr>
        <w:t xml:space="preserve">pción de </w:t>
      </w:r>
      <w:r w:rsidRPr="00BD1319">
        <w:rPr>
          <w:spacing w:val="-3"/>
        </w:rPr>
        <w:t>la base del modelo, los supuestos clave, el enfoque de la model</w:t>
      </w:r>
      <w:r w:rsidR="00B27C5E" w:rsidRPr="00BD1319">
        <w:rPr>
          <w:spacing w:val="-3"/>
        </w:rPr>
        <w:t>iz</w:t>
      </w:r>
      <w:r w:rsidRPr="00BD1319">
        <w:rPr>
          <w:spacing w:val="-3"/>
        </w:rPr>
        <w:t>ación, las limitaciones, los resultados, conclusiones y recomendaciones del estudio. Los archivos de la model</w:t>
      </w:r>
      <w:r w:rsidR="003E7045" w:rsidRPr="00BD1319">
        <w:rPr>
          <w:spacing w:val="-3"/>
        </w:rPr>
        <w:t>iz</w:t>
      </w:r>
      <w:r w:rsidRPr="00BD1319">
        <w:rPr>
          <w:spacing w:val="-3"/>
        </w:rPr>
        <w:t>ación deben incluir los análisis de datos documentados, los datos de model</w:t>
      </w:r>
      <w:r w:rsidR="00C9467F" w:rsidRPr="00BD1319">
        <w:rPr>
          <w:spacing w:val="-3"/>
        </w:rPr>
        <w:t>iz</w:t>
      </w:r>
      <w:r w:rsidRPr="00BD1319">
        <w:rPr>
          <w:spacing w:val="-3"/>
        </w:rPr>
        <w:t>ación y los archivos del software o código utilizado. Es importante que el archivo del modelo se lleve a cabo de tal manera que el modelo pueda ser reproducido sí es necesario, para su revisión o perfeccionamiento.</w:t>
      </w:r>
    </w:p>
    <w:p w14:paraId="220FE1A5" w14:textId="77777777" w:rsidR="00C26E19" w:rsidRPr="00BD1319" w:rsidRDefault="00C26E19" w:rsidP="00E449AA">
      <w:pPr>
        <w:numPr>
          <w:ilvl w:val="12"/>
          <w:numId w:val="0"/>
        </w:numPr>
        <w:tabs>
          <w:tab w:val="left" w:pos="-2268"/>
        </w:tabs>
        <w:suppressAutoHyphens/>
        <w:rPr>
          <w:spacing w:val="-3"/>
        </w:rPr>
      </w:pPr>
    </w:p>
    <w:p w14:paraId="549D8933" w14:textId="7EDC2095" w:rsidR="00B3248C" w:rsidRPr="00BD1319" w:rsidRDefault="00DA3378" w:rsidP="00E449AA">
      <w:pPr>
        <w:rPr>
          <w:spacing w:val="-3"/>
        </w:rPr>
      </w:pPr>
      <w:r w:rsidRPr="00BD1319">
        <w:rPr>
          <w:spacing w:val="-3"/>
        </w:rPr>
        <w:t xml:space="preserve">En caso de que los términos de referencia aplicables al proyecto, obra o actividad </w:t>
      </w:r>
      <w:r w:rsidR="00F31DF0" w:rsidRPr="00BD1319">
        <w:rPr>
          <w:spacing w:val="-3"/>
        </w:rPr>
        <w:t xml:space="preserve">así lo establezcan, debe formularse </w:t>
      </w:r>
      <w:r w:rsidR="005A465D" w:rsidRPr="00BD1319">
        <w:rPr>
          <w:spacing w:val="-3"/>
        </w:rPr>
        <w:t>un Modelo Hidrogeológico Numérico (MHN)</w:t>
      </w:r>
      <w:r w:rsidR="00F31DF0" w:rsidRPr="00BD1319">
        <w:rPr>
          <w:spacing w:val="-3"/>
        </w:rPr>
        <w:t xml:space="preserve"> a partir de </w:t>
      </w:r>
      <w:r w:rsidR="00E449AA" w:rsidRPr="00BD1319">
        <w:rPr>
          <w:spacing w:val="-3"/>
        </w:rPr>
        <w:t xml:space="preserve">la información adquirida, procesada e interpretada para la construcción del </w:t>
      </w:r>
      <w:r w:rsidR="005A465D" w:rsidRPr="00BD1319">
        <w:rPr>
          <w:spacing w:val="-3"/>
        </w:rPr>
        <w:t>MHC</w:t>
      </w:r>
      <w:r w:rsidR="00E449AA" w:rsidRPr="00BD1319">
        <w:rPr>
          <w:spacing w:val="-3"/>
        </w:rPr>
        <w:t>.</w:t>
      </w:r>
    </w:p>
    <w:p w14:paraId="06D1D88E" w14:textId="77777777" w:rsidR="00824C2D" w:rsidRPr="00BD1319" w:rsidRDefault="00824C2D">
      <w:pPr>
        <w:overflowPunct/>
        <w:autoSpaceDE/>
        <w:autoSpaceDN/>
        <w:adjustRightInd/>
        <w:jc w:val="left"/>
        <w:textAlignment w:val="auto"/>
        <w:rPr>
          <w:rFonts w:cs="Arial"/>
          <w:spacing w:val="-3"/>
        </w:rPr>
      </w:pPr>
    </w:p>
    <w:p w14:paraId="74BA1C01" w14:textId="77777777" w:rsidR="009D132B" w:rsidRPr="00BD1319" w:rsidRDefault="009D132B" w:rsidP="00216955">
      <w:pPr>
        <w:pStyle w:val="Ttulo3"/>
      </w:pPr>
      <w:bookmarkStart w:id="2683" w:name="_Toc79443060"/>
      <w:bookmarkStart w:id="2684" w:name="_Toc79443061"/>
      <w:bookmarkStart w:id="2685" w:name="_Toc79443062"/>
      <w:bookmarkStart w:id="2686" w:name="_Toc79443063"/>
      <w:bookmarkStart w:id="2687" w:name="_Toc79443064"/>
      <w:bookmarkStart w:id="2688" w:name="_Toc79443065"/>
      <w:bookmarkStart w:id="2689" w:name="_Toc515787440"/>
      <w:bookmarkStart w:id="2690" w:name="_Toc515789140"/>
      <w:bookmarkStart w:id="2691" w:name="_Toc515789989"/>
      <w:bookmarkStart w:id="2692" w:name="_Toc515790838"/>
      <w:bookmarkStart w:id="2693" w:name="_Toc515791693"/>
      <w:bookmarkStart w:id="2694" w:name="_Toc515792543"/>
      <w:bookmarkStart w:id="2695" w:name="_Toc515793429"/>
      <w:bookmarkStart w:id="2696" w:name="_Toc515794334"/>
      <w:bookmarkStart w:id="2697" w:name="_Toc515796107"/>
      <w:bookmarkStart w:id="2698" w:name="_Toc515787441"/>
      <w:bookmarkStart w:id="2699" w:name="_Toc515789141"/>
      <w:bookmarkStart w:id="2700" w:name="_Toc515789990"/>
      <w:bookmarkStart w:id="2701" w:name="_Toc515790839"/>
      <w:bookmarkStart w:id="2702" w:name="_Toc515791694"/>
      <w:bookmarkStart w:id="2703" w:name="_Toc515792544"/>
      <w:bookmarkStart w:id="2704" w:name="_Toc515793430"/>
      <w:bookmarkStart w:id="2705" w:name="_Toc515794335"/>
      <w:bookmarkStart w:id="2706" w:name="_Toc515796108"/>
      <w:bookmarkStart w:id="2707" w:name="_Toc515787442"/>
      <w:bookmarkStart w:id="2708" w:name="_Toc515789142"/>
      <w:bookmarkStart w:id="2709" w:name="_Toc515789991"/>
      <w:bookmarkStart w:id="2710" w:name="_Toc515790840"/>
      <w:bookmarkStart w:id="2711" w:name="_Toc515791695"/>
      <w:bookmarkStart w:id="2712" w:name="_Toc515792545"/>
      <w:bookmarkStart w:id="2713" w:name="_Toc515793431"/>
      <w:bookmarkStart w:id="2714" w:name="_Toc515794336"/>
      <w:bookmarkStart w:id="2715" w:name="_Toc515796109"/>
      <w:bookmarkStart w:id="2716" w:name="_Toc515787443"/>
      <w:bookmarkStart w:id="2717" w:name="_Toc515789143"/>
      <w:bookmarkStart w:id="2718" w:name="_Toc515789992"/>
      <w:bookmarkStart w:id="2719" w:name="_Toc515790841"/>
      <w:bookmarkStart w:id="2720" w:name="_Toc515791696"/>
      <w:bookmarkStart w:id="2721" w:name="_Toc515792546"/>
      <w:bookmarkStart w:id="2722" w:name="_Toc515793432"/>
      <w:bookmarkStart w:id="2723" w:name="_Toc515794337"/>
      <w:bookmarkStart w:id="2724" w:name="_Toc515796110"/>
      <w:bookmarkStart w:id="2725" w:name="_Toc515787444"/>
      <w:bookmarkStart w:id="2726" w:name="_Toc515789144"/>
      <w:bookmarkStart w:id="2727" w:name="_Toc515789993"/>
      <w:bookmarkStart w:id="2728" w:name="_Toc515790842"/>
      <w:bookmarkStart w:id="2729" w:name="_Toc515791697"/>
      <w:bookmarkStart w:id="2730" w:name="_Toc515792547"/>
      <w:bookmarkStart w:id="2731" w:name="_Toc515793433"/>
      <w:bookmarkStart w:id="2732" w:name="_Toc515794338"/>
      <w:bookmarkStart w:id="2733" w:name="_Toc515796111"/>
      <w:bookmarkStart w:id="2734" w:name="_Toc515787445"/>
      <w:bookmarkStart w:id="2735" w:name="_Toc515789145"/>
      <w:bookmarkStart w:id="2736" w:name="_Toc515789994"/>
      <w:bookmarkStart w:id="2737" w:name="_Toc515790843"/>
      <w:bookmarkStart w:id="2738" w:name="_Toc515791698"/>
      <w:bookmarkStart w:id="2739" w:name="_Toc515792548"/>
      <w:bookmarkStart w:id="2740" w:name="_Toc515793434"/>
      <w:bookmarkStart w:id="2741" w:name="_Toc515794339"/>
      <w:bookmarkStart w:id="2742" w:name="_Toc515796112"/>
      <w:bookmarkStart w:id="2743" w:name="_Toc515787446"/>
      <w:bookmarkStart w:id="2744" w:name="_Toc515789146"/>
      <w:bookmarkStart w:id="2745" w:name="_Toc515789995"/>
      <w:bookmarkStart w:id="2746" w:name="_Toc515790844"/>
      <w:bookmarkStart w:id="2747" w:name="_Toc515791699"/>
      <w:bookmarkStart w:id="2748" w:name="_Toc515792549"/>
      <w:bookmarkStart w:id="2749" w:name="_Toc515793435"/>
      <w:bookmarkStart w:id="2750" w:name="_Toc515794340"/>
      <w:bookmarkStart w:id="2751" w:name="_Toc515796113"/>
      <w:bookmarkStart w:id="2752" w:name="_Toc515787447"/>
      <w:bookmarkStart w:id="2753" w:name="_Toc515789147"/>
      <w:bookmarkStart w:id="2754" w:name="_Toc515789996"/>
      <w:bookmarkStart w:id="2755" w:name="_Toc515790845"/>
      <w:bookmarkStart w:id="2756" w:name="_Toc515791700"/>
      <w:bookmarkStart w:id="2757" w:name="_Toc515792550"/>
      <w:bookmarkStart w:id="2758" w:name="_Toc515793436"/>
      <w:bookmarkStart w:id="2759" w:name="_Toc515794341"/>
      <w:bookmarkStart w:id="2760" w:name="_Toc515796114"/>
      <w:bookmarkStart w:id="2761" w:name="_Toc515787448"/>
      <w:bookmarkStart w:id="2762" w:name="_Toc515789148"/>
      <w:bookmarkStart w:id="2763" w:name="_Toc515789997"/>
      <w:bookmarkStart w:id="2764" w:name="_Toc515790846"/>
      <w:bookmarkStart w:id="2765" w:name="_Toc515791701"/>
      <w:bookmarkStart w:id="2766" w:name="_Toc515792551"/>
      <w:bookmarkStart w:id="2767" w:name="_Toc515793437"/>
      <w:bookmarkStart w:id="2768" w:name="_Toc515794342"/>
      <w:bookmarkStart w:id="2769" w:name="_Toc515796115"/>
      <w:bookmarkStart w:id="2770" w:name="_Toc515787449"/>
      <w:bookmarkStart w:id="2771" w:name="_Toc515789149"/>
      <w:bookmarkStart w:id="2772" w:name="_Toc515789998"/>
      <w:bookmarkStart w:id="2773" w:name="_Toc515790847"/>
      <w:bookmarkStart w:id="2774" w:name="_Toc515791702"/>
      <w:bookmarkStart w:id="2775" w:name="_Toc515792552"/>
      <w:bookmarkStart w:id="2776" w:name="_Toc515793438"/>
      <w:bookmarkStart w:id="2777" w:name="_Toc515794343"/>
      <w:bookmarkStart w:id="2778" w:name="_Toc515796116"/>
      <w:bookmarkStart w:id="2779" w:name="_Toc515787450"/>
      <w:bookmarkStart w:id="2780" w:name="_Toc515789150"/>
      <w:bookmarkStart w:id="2781" w:name="_Toc515789999"/>
      <w:bookmarkStart w:id="2782" w:name="_Toc515790848"/>
      <w:bookmarkStart w:id="2783" w:name="_Toc515791703"/>
      <w:bookmarkStart w:id="2784" w:name="_Toc515792553"/>
      <w:bookmarkStart w:id="2785" w:name="_Toc515793439"/>
      <w:bookmarkStart w:id="2786" w:name="_Toc515794344"/>
      <w:bookmarkStart w:id="2787" w:name="_Toc515796117"/>
      <w:bookmarkStart w:id="2788" w:name="_Toc515787451"/>
      <w:bookmarkStart w:id="2789" w:name="_Toc515789151"/>
      <w:bookmarkStart w:id="2790" w:name="_Toc515790000"/>
      <w:bookmarkStart w:id="2791" w:name="_Toc515790849"/>
      <w:bookmarkStart w:id="2792" w:name="_Toc515791704"/>
      <w:bookmarkStart w:id="2793" w:name="_Toc515792554"/>
      <w:bookmarkStart w:id="2794" w:name="_Toc515793440"/>
      <w:bookmarkStart w:id="2795" w:name="_Toc515794345"/>
      <w:bookmarkStart w:id="2796" w:name="_Toc515796118"/>
      <w:bookmarkStart w:id="2797" w:name="_Toc515787452"/>
      <w:bookmarkStart w:id="2798" w:name="_Toc515789152"/>
      <w:bookmarkStart w:id="2799" w:name="_Toc515790001"/>
      <w:bookmarkStart w:id="2800" w:name="_Toc515790850"/>
      <w:bookmarkStart w:id="2801" w:name="_Toc515791705"/>
      <w:bookmarkStart w:id="2802" w:name="_Toc515792555"/>
      <w:bookmarkStart w:id="2803" w:name="_Toc515793441"/>
      <w:bookmarkStart w:id="2804" w:name="_Toc515794346"/>
      <w:bookmarkStart w:id="2805" w:name="_Toc515796119"/>
      <w:bookmarkStart w:id="2806" w:name="_Toc515787453"/>
      <w:bookmarkStart w:id="2807" w:name="_Toc515789153"/>
      <w:bookmarkStart w:id="2808" w:name="_Toc515790002"/>
      <w:bookmarkStart w:id="2809" w:name="_Toc515790851"/>
      <w:bookmarkStart w:id="2810" w:name="_Toc515791706"/>
      <w:bookmarkStart w:id="2811" w:name="_Toc515792556"/>
      <w:bookmarkStart w:id="2812" w:name="_Toc515793442"/>
      <w:bookmarkStart w:id="2813" w:name="_Toc515794347"/>
      <w:bookmarkStart w:id="2814" w:name="_Toc515796120"/>
      <w:bookmarkStart w:id="2815" w:name="_Toc515787454"/>
      <w:bookmarkStart w:id="2816" w:name="_Toc515789154"/>
      <w:bookmarkStart w:id="2817" w:name="_Toc515790003"/>
      <w:bookmarkStart w:id="2818" w:name="_Toc515790852"/>
      <w:bookmarkStart w:id="2819" w:name="_Toc515791707"/>
      <w:bookmarkStart w:id="2820" w:name="_Toc515792557"/>
      <w:bookmarkStart w:id="2821" w:name="_Toc515793443"/>
      <w:bookmarkStart w:id="2822" w:name="_Toc515794348"/>
      <w:bookmarkStart w:id="2823" w:name="_Toc515796121"/>
      <w:bookmarkStart w:id="2824" w:name="_Toc515787455"/>
      <w:bookmarkStart w:id="2825" w:name="_Toc515789155"/>
      <w:bookmarkStart w:id="2826" w:name="_Toc515790004"/>
      <w:bookmarkStart w:id="2827" w:name="_Toc515790853"/>
      <w:bookmarkStart w:id="2828" w:name="_Toc515791708"/>
      <w:bookmarkStart w:id="2829" w:name="_Toc515792558"/>
      <w:bookmarkStart w:id="2830" w:name="_Toc515793444"/>
      <w:bookmarkStart w:id="2831" w:name="_Toc515794349"/>
      <w:bookmarkStart w:id="2832" w:name="_Toc515796122"/>
      <w:bookmarkStart w:id="2833" w:name="_Toc418100955"/>
      <w:bookmarkStart w:id="2834" w:name="_Toc437936022"/>
      <w:bookmarkStart w:id="2835" w:name="_Toc42764348"/>
      <w:bookmarkStart w:id="2836" w:name="_Toc175326766"/>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r w:rsidRPr="00BD1319">
        <w:t>Oceanográfico</w:t>
      </w:r>
      <w:bookmarkEnd w:id="2833"/>
      <w:bookmarkEnd w:id="2834"/>
      <w:bookmarkEnd w:id="2835"/>
      <w:bookmarkEnd w:id="2836"/>
    </w:p>
    <w:p w14:paraId="22D13BCA" w14:textId="77777777" w:rsidR="009D132B" w:rsidRPr="00BD1319" w:rsidRDefault="009D132B">
      <w:pPr>
        <w:numPr>
          <w:ilvl w:val="12"/>
          <w:numId w:val="0"/>
        </w:numPr>
        <w:tabs>
          <w:tab w:val="left" w:pos="-2268"/>
        </w:tabs>
        <w:suppressAutoHyphens/>
        <w:rPr>
          <w:spacing w:val="-3"/>
        </w:rPr>
      </w:pPr>
    </w:p>
    <w:p w14:paraId="4FEF7DBD" w14:textId="4871F39D" w:rsidR="009D132B" w:rsidRPr="00BD1319" w:rsidRDefault="009D132B" w:rsidP="009D132B">
      <w:pPr>
        <w:tabs>
          <w:tab w:val="left" w:pos="284"/>
        </w:tabs>
        <w:rPr>
          <w:rFonts w:cs="Arial"/>
          <w:spacing w:val="-2"/>
        </w:rPr>
      </w:pPr>
      <w:r w:rsidRPr="00BD1319">
        <w:rPr>
          <w:rFonts w:cs="Arial"/>
          <w:spacing w:val="-2"/>
        </w:rPr>
        <w:t xml:space="preserve">La aproximación </w:t>
      </w:r>
      <w:proofErr w:type="spellStart"/>
      <w:r w:rsidRPr="00BD1319">
        <w:rPr>
          <w:rFonts w:cs="Arial"/>
          <w:spacing w:val="-2"/>
        </w:rPr>
        <w:t>met</w:t>
      </w:r>
      <w:r w:rsidR="00F51869" w:rsidRPr="00BD1319">
        <w:rPr>
          <w:rFonts w:cs="Arial"/>
          <w:spacing w:val="-2"/>
        </w:rPr>
        <w:t>a</w:t>
      </w:r>
      <w:r w:rsidRPr="00BD1319">
        <w:rPr>
          <w:rFonts w:cs="Arial"/>
          <w:spacing w:val="-2"/>
        </w:rPr>
        <w:t>oceánica</w:t>
      </w:r>
      <w:proofErr w:type="spellEnd"/>
      <w:r w:rsidRPr="00BD1319">
        <w:rPr>
          <w:rStyle w:val="Refdenotaalpie"/>
          <w:rFonts w:cs="Arial"/>
          <w:spacing w:val="-2"/>
          <w:lang w:val="es-CO"/>
        </w:rPr>
        <w:footnoteReference w:id="119"/>
      </w:r>
      <w:r w:rsidRPr="00BD1319">
        <w:rPr>
          <w:rFonts w:cs="Arial"/>
          <w:spacing w:val="-2"/>
        </w:rPr>
        <w:t xml:space="preserve"> </w:t>
      </w:r>
      <w:r w:rsidR="00103345" w:rsidRPr="00BD1319">
        <w:rPr>
          <w:rFonts w:cs="Arial"/>
          <w:spacing w:val="-2"/>
        </w:rPr>
        <w:t>debe</w:t>
      </w:r>
      <w:r w:rsidRPr="00BD1319">
        <w:rPr>
          <w:rFonts w:cs="Arial"/>
          <w:spacing w:val="-2"/>
        </w:rPr>
        <w:t xml:space="preserve"> incluir la evaluación inicial de información disponible </w:t>
      </w:r>
      <w:r w:rsidR="002D6507" w:rsidRPr="00BD1319">
        <w:rPr>
          <w:rFonts w:cs="Arial"/>
          <w:spacing w:val="-2"/>
        </w:rPr>
        <w:t xml:space="preserve">en diversas fuentes </w:t>
      </w:r>
      <w:r w:rsidRPr="00BD1319">
        <w:rPr>
          <w:rFonts w:cs="Arial"/>
          <w:spacing w:val="-2"/>
        </w:rPr>
        <w:t xml:space="preserve">(estaciones meteorológicas, boyas, observaciones satelitales, modelos de reanálisis, </w:t>
      </w:r>
      <w:r w:rsidR="009D51C0" w:rsidRPr="00BD1319">
        <w:rPr>
          <w:rFonts w:cs="Arial"/>
          <w:spacing w:val="-2"/>
        </w:rPr>
        <w:t>entre otra</w:t>
      </w:r>
      <w:r w:rsidR="002D6507" w:rsidRPr="00BD1319">
        <w:rPr>
          <w:rFonts w:cs="Arial"/>
          <w:spacing w:val="-2"/>
        </w:rPr>
        <w:t>s</w:t>
      </w:r>
      <w:r w:rsidRPr="00BD1319">
        <w:rPr>
          <w:rFonts w:cs="Arial"/>
          <w:spacing w:val="-2"/>
        </w:rPr>
        <w:t>)</w:t>
      </w:r>
      <w:r w:rsidR="002D6507" w:rsidRPr="00BD1319">
        <w:rPr>
          <w:rFonts w:cs="Arial"/>
          <w:spacing w:val="-2"/>
        </w:rPr>
        <w:t xml:space="preserve">, de acuerdo </w:t>
      </w:r>
      <w:r w:rsidR="009D51C0" w:rsidRPr="00BD1319">
        <w:rPr>
          <w:rFonts w:cs="Arial"/>
          <w:spacing w:val="-2"/>
        </w:rPr>
        <w:t xml:space="preserve">con </w:t>
      </w:r>
      <w:r w:rsidRPr="00BD1319">
        <w:rPr>
          <w:rFonts w:cs="Arial"/>
          <w:spacing w:val="-2"/>
        </w:rPr>
        <w:t xml:space="preserve">la escala espacial de la intervención y </w:t>
      </w:r>
      <w:r w:rsidR="009D51C0" w:rsidRPr="00BD1319">
        <w:rPr>
          <w:rFonts w:cs="Arial"/>
          <w:spacing w:val="-2"/>
        </w:rPr>
        <w:t xml:space="preserve">con </w:t>
      </w:r>
      <w:r w:rsidRPr="00BD1319">
        <w:rPr>
          <w:rFonts w:cs="Arial"/>
          <w:spacing w:val="-2"/>
        </w:rPr>
        <w:t xml:space="preserve">estudios preliminares (tesis, artículos científicos, reportes de proyectos, </w:t>
      </w:r>
      <w:r w:rsidR="009D51C0" w:rsidRPr="00BD1319">
        <w:rPr>
          <w:rFonts w:cs="Arial"/>
          <w:spacing w:val="-2"/>
        </w:rPr>
        <w:t>entre otros</w:t>
      </w:r>
      <w:r w:rsidRPr="00BD1319">
        <w:rPr>
          <w:rFonts w:cs="Arial"/>
          <w:spacing w:val="-2"/>
        </w:rPr>
        <w:t xml:space="preserve">), así como la medición </w:t>
      </w:r>
      <w:r w:rsidRPr="00BD1319">
        <w:rPr>
          <w:rFonts w:cs="Arial"/>
          <w:i/>
          <w:spacing w:val="-2"/>
        </w:rPr>
        <w:t>in situ</w:t>
      </w:r>
      <w:r w:rsidRPr="00BD1319">
        <w:rPr>
          <w:rFonts w:cs="Arial"/>
          <w:spacing w:val="-2"/>
        </w:rPr>
        <w:t xml:space="preserve"> de </w:t>
      </w:r>
      <w:r w:rsidR="00B45CC2" w:rsidRPr="00BD1319">
        <w:rPr>
          <w:rFonts w:cs="Arial"/>
          <w:spacing w:val="-2"/>
        </w:rPr>
        <w:t>los</w:t>
      </w:r>
      <w:r w:rsidR="0072054C" w:rsidRPr="00BD1319">
        <w:rPr>
          <w:rFonts w:cs="Arial"/>
          <w:spacing w:val="-2"/>
        </w:rPr>
        <w:t xml:space="preserve"> </w:t>
      </w:r>
      <w:r w:rsidRPr="00BD1319">
        <w:rPr>
          <w:rFonts w:cs="Arial"/>
          <w:spacing w:val="-2"/>
        </w:rPr>
        <w:t xml:space="preserve">parámetros </w:t>
      </w:r>
      <w:r w:rsidR="00B45CC2" w:rsidRPr="00BD1319">
        <w:rPr>
          <w:rFonts w:cs="Arial"/>
          <w:spacing w:val="-2"/>
        </w:rPr>
        <w:t xml:space="preserve">asociados al componente, como mínimo </w:t>
      </w:r>
      <w:r w:rsidRPr="00BD1319">
        <w:rPr>
          <w:rFonts w:cs="Arial"/>
          <w:spacing w:val="-2"/>
        </w:rPr>
        <w:t xml:space="preserve">para </w:t>
      </w:r>
      <w:r w:rsidR="00B45CC2" w:rsidRPr="00BD1319">
        <w:rPr>
          <w:rFonts w:cs="Arial"/>
          <w:spacing w:val="-2"/>
        </w:rPr>
        <w:t>un periodo climático representativo de las condiciones oceanográficas</w:t>
      </w:r>
      <w:r w:rsidRPr="00BD1319">
        <w:rPr>
          <w:rFonts w:cs="Arial"/>
          <w:spacing w:val="-2"/>
        </w:rPr>
        <w:t xml:space="preserve"> </w:t>
      </w:r>
      <w:r w:rsidR="00B45CC2" w:rsidRPr="00BD1319">
        <w:rPr>
          <w:rFonts w:cs="Arial"/>
          <w:spacing w:val="-2"/>
        </w:rPr>
        <w:t>y para un periodo de transición</w:t>
      </w:r>
      <w:r w:rsidRPr="00BD1319">
        <w:rPr>
          <w:rFonts w:cs="Arial"/>
          <w:spacing w:val="-2"/>
        </w:rPr>
        <w:t>.</w:t>
      </w:r>
    </w:p>
    <w:p w14:paraId="31B78ED5" w14:textId="77777777" w:rsidR="009D132B" w:rsidRPr="00BD1319" w:rsidRDefault="009D132B" w:rsidP="009D132B">
      <w:pPr>
        <w:tabs>
          <w:tab w:val="left" w:pos="284"/>
        </w:tabs>
        <w:rPr>
          <w:rFonts w:cs="Arial"/>
          <w:i/>
          <w:spacing w:val="-2"/>
        </w:rPr>
      </w:pPr>
    </w:p>
    <w:p w14:paraId="69EF4CAE" w14:textId="46F42357" w:rsidR="009D132B" w:rsidRPr="00BD1319" w:rsidRDefault="009D132B" w:rsidP="009D132B">
      <w:pPr>
        <w:tabs>
          <w:tab w:val="left" w:pos="284"/>
        </w:tabs>
        <w:rPr>
          <w:rFonts w:cs="Arial"/>
          <w:spacing w:val="-2"/>
        </w:rPr>
      </w:pPr>
      <w:r w:rsidRPr="00BD1319">
        <w:rPr>
          <w:rFonts w:cs="Arial"/>
          <w:spacing w:val="-2"/>
        </w:rPr>
        <w:t>Se debe como mínimo describir, detallar y cartografiar, según sea el caso, la información que se relaciona a continuación</w:t>
      </w:r>
      <w:r w:rsidR="009D51C0" w:rsidRPr="00BD1319">
        <w:rPr>
          <w:rFonts w:cs="Arial"/>
          <w:spacing w:val="-2"/>
        </w:rPr>
        <w:t>.</w:t>
      </w:r>
    </w:p>
    <w:p w14:paraId="1C5D9E1B" w14:textId="77777777" w:rsidR="009D132B" w:rsidRPr="00BD1319" w:rsidRDefault="009D132B" w:rsidP="00C86DA5">
      <w:pPr>
        <w:tabs>
          <w:tab w:val="left" w:pos="284"/>
        </w:tabs>
        <w:rPr>
          <w:spacing w:val="-2"/>
          <w:sz w:val="22"/>
        </w:rPr>
      </w:pPr>
    </w:p>
    <w:p w14:paraId="4E87450E" w14:textId="77777777" w:rsidR="009D132B" w:rsidRPr="00BD1319" w:rsidRDefault="009D132B" w:rsidP="009420F5">
      <w:pPr>
        <w:pStyle w:val="Ttulo4"/>
        <w:tabs>
          <w:tab w:val="clear" w:pos="1844"/>
          <w:tab w:val="num" w:pos="1134"/>
        </w:tabs>
        <w:ind w:left="0"/>
        <w:rPr>
          <w:lang w:val="es-CO"/>
        </w:rPr>
      </w:pPr>
      <w:bookmarkStart w:id="2837" w:name="_Toc8487551"/>
      <w:bookmarkStart w:id="2838" w:name="_Toc17809430"/>
      <w:r w:rsidRPr="00BD1319">
        <w:rPr>
          <w:lang w:val="es-CO"/>
        </w:rPr>
        <w:t>Estudios de oleaje</w:t>
      </w:r>
      <w:bookmarkEnd w:id="2837"/>
      <w:bookmarkEnd w:id="2838"/>
    </w:p>
    <w:p w14:paraId="3670FC5C" w14:textId="77777777" w:rsidR="009D132B" w:rsidRPr="00BD1319" w:rsidRDefault="009D132B" w:rsidP="00C86DA5">
      <w:pPr>
        <w:overflowPunct/>
        <w:autoSpaceDE/>
        <w:autoSpaceDN/>
        <w:adjustRightInd/>
        <w:textAlignment w:val="auto"/>
        <w:rPr>
          <w:sz w:val="22"/>
        </w:rPr>
      </w:pPr>
    </w:p>
    <w:p w14:paraId="278E19D5" w14:textId="569BABB2" w:rsidR="009D132B" w:rsidRPr="00BD1319" w:rsidRDefault="009D132B" w:rsidP="009D132B">
      <w:pPr>
        <w:overflowPunct/>
        <w:autoSpaceDE/>
        <w:autoSpaceDN/>
        <w:adjustRightInd/>
        <w:textAlignment w:val="auto"/>
        <w:rPr>
          <w:rFonts w:cs="Arial"/>
        </w:rPr>
      </w:pPr>
      <w:r w:rsidRPr="00BD1319">
        <w:rPr>
          <w:rFonts w:cs="Arial"/>
        </w:rPr>
        <w:t>A partir de información existente y de análisis estadísticos, debe entregarse la siguiente información:</w:t>
      </w:r>
    </w:p>
    <w:p w14:paraId="1181D401" w14:textId="77777777" w:rsidR="009D132B" w:rsidRPr="00BD1319" w:rsidRDefault="009D132B" w:rsidP="009D132B">
      <w:pPr>
        <w:overflowPunct/>
        <w:autoSpaceDE/>
        <w:autoSpaceDN/>
        <w:adjustRightInd/>
        <w:textAlignment w:val="auto"/>
        <w:rPr>
          <w:rFonts w:cs="Arial"/>
        </w:rPr>
      </w:pPr>
    </w:p>
    <w:p w14:paraId="3CAED2C0" w14:textId="0A4AB173" w:rsidR="009D132B" w:rsidRPr="00BD1319" w:rsidRDefault="009D132B" w:rsidP="00824C2D">
      <w:pPr>
        <w:pStyle w:val="Prrafodelista"/>
        <w:numPr>
          <w:ilvl w:val="0"/>
          <w:numId w:val="120"/>
        </w:numPr>
        <w:ind w:left="567" w:hanging="567"/>
        <w:rPr>
          <w:rFonts w:cs="Arial"/>
          <w:lang w:val="es-CO"/>
        </w:rPr>
      </w:pPr>
      <w:r w:rsidRPr="00BD1319">
        <w:rPr>
          <w:rFonts w:cs="Arial"/>
          <w:lang w:val="es-CO"/>
        </w:rPr>
        <w:t>Serie de oleaje en profundidades indefinidas (estados de mar de altura de ola significante, periodo, pico y dirección)</w:t>
      </w:r>
      <w:r w:rsidR="009D51C0" w:rsidRPr="00BD1319">
        <w:rPr>
          <w:rFonts w:cs="Arial"/>
          <w:lang w:val="es-CO"/>
        </w:rPr>
        <w:t xml:space="preserve"> y</w:t>
      </w:r>
      <w:r w:rsidRPr="00BD1319">
        <w:rPr>
          <w:rFonts w:cs="Arial"/>
          <w:lang w:val="es-CO"/>
        </w:rPr>
        <w:t xml:space="preserve"> análisis direccional de las olas</w:t>
      </w:r>
      <w:r w:rsidR="009D51C0" w:rsidRPr="00BD1319">
        <w:rPr>
          <w:rFonts w:cs="Arial"/>
          <w:lang w:val="es-CO"/>
        </w:rPr>
        <w:t>;</w:t>
      </w:r>
      <w:r w:rsidRPr="00BD1319">
        <w:rPr>
          <w:rFonts w:cs="Arial"/>
          <w:lang w:val="es-CO"/>
        </w:rPr>
        <w:t xml:space="preserve"> definir regímenes medios y extremos, análisis de probabilidad conjunta direccional y la influencia del régimen de tormentas del mar, a partir de boyas o bases de datos nacionales o internacionales.</w:t>
      </w:r>
    </w:p>
    <w:p w14:paraId="718AB6FB" w14:textId="77777777" w:rsidR="00824C2D" w:rsidRPr="00BD1319" w:rsidRDefault="00824C2D" w:rsidP="00C86DA5">
      <w:pPr>
        <w:rPr>
          <w:rFonts w:cs="Arial"/>
        </w:rPr>
      </w:pPr>
    </w:p>
    <w:p w14:paraId="19D7E5EC" w14:textId="319601F1" w:rsidR="009D132B" w:rsidRPr="00BD1319" w:rsidRDefault="009D51C0" w:rsidP="00824C2D">
      <w:pPr>
        <w:pStyle w:val="Prrafodelista"/>
        <w:numPr>
          <w:ilvl w:val="0"/>
          <w:numId w:val="120"/>
        </w:numPr>
        <w:ind w:left="567" w:hanging="567"/>
        <w:rPr>
          <w:rFonts w:cs="Arial"/>
          <w:lang w:val="es-CO"/>
        </w:rPr>
      </w:pPr>
      <w:r w:rsidRPr="00BD1319">
        <w:rPr>
          <w:rFonts w:cs="Arial"/>
          <w:lang w:val="es-CO"/>
        </w:rPr>
        <w:lastRenderedPageBreak/>
        <w:t>P</w:t>
      </w:r>
      <w:r w:rsidR="009D132B" w:rsidRPr="00BD1319">
        <w:rPr>
          <w:rFonts w:cs="Arial"/>
          <w:lang w:val="es-CO"/>
        </w:rPr>
        <w:t xml:space="preserve">arámetros de oleaje (altura, velocidad y período de las olas, características espectrales, ola media, ola media cuadrática ola significante, </w:t>
      </w:r>
      <w:r w:rsidRPr="00BD1319">
        <w:rPr>
          <w:rFonts w:cs="Arial"/>
          <w:lang w:val="es-CO"/>
        </w:rPr>
        <w:t>entre otras</w:t>
      </w:r>
      <w:r w:rsidR="009D132B" w:rsidRPr="00BD1319">
        <w:rPr>
          <w:rFonts w:cs="Arial"/>
          <w:lang w:val="es-CO"/>
        </w:rPr>
        <w:t xml:space="preserve">). Se deben </w:t>
      </w:r>
      <w:r w:rsidRPr="00BD1319">
        <w:rPr>
          <w:rFonts w:cs="Arial"/>
          <w:lang w:val="es-CO"/>
        </w:rPr>
        <w:t xml:space="preserve">señalar </w:t>
      </w:r>
      <w:r w:rsidR="009D132B" w:rsidRPr="00BD1319">
        <w:rPr>
          <w:rFonts w:cs="Arial"/>
          <w:lang w:val="es-CO"/>
        </w:rPr>
        <w:t>los métodos e instrumentos utilizados para la medición de las olas.</w:t>
      </w:r>
    </w:p>
    <w:p w14:paraId="23E6E2D5" w14:textId="77777777" w:rsidR="00824C2D" w:rsidRPr="00BD1319" w:rsidRDefault="00824C2D" w:rsidP="00C86DA5">
      <w:pPr>
        <w:rPr>
          <w:rFonts w:cs="Arial"/>
        </w:rPr>
      </w:pPr>
    </w:p>
    <w:p w14:paraId="0A9C3DDE" w14:textId="2D16A774" w:rsidR="009D132B" w:rsidRPr="00BD1319" w:rsidRDefault="009D132B" w:rsidP="00824C2D">
      <w:pPr>
        <w:pStyle w:val="Prrafodelista"/>
        <w:numPr>
          <w:ilvl w:val="0"/>
          <w:numId w:val="120"/>
        </w:numPr>
        <w:ind w:left="567" w:hanging="567"/>
        <w:rPr>
          <w:rFonts w:cs="Arial"/>
          <w:lang w:val="es-CO"/>
        </w:rPr>
      </w:pPr>
      <w:r w:rsidRPr="00BD1319">
        <w:rPr>
          <w:rFonts w:cs="Arial"/>
          <w:lang w:val="es-CO"/>
        </w:rPr>
        <w:t xml:space="preserve">Periodo (segundos), altura (m) y dirección (grados) con resolución diaria de: i) </w:t>
      </w:r>
      <w:r w:rsidR="009D51C0" w:rsidRPr="00BD1319">
        <w:rPr>
          <w:rFonts w:cs="Arial"/>
          <w:lang w:val="es-CO"/>
        </w:rPr>
        <w:t>la</w:t>
      </w:r>
      <w:r w:rsidR="0072054C" w:rsidRPr="00BD1319">
        <w:rPr>
          <w:rFonts w:cs="Arial"/>
          <w:lang w:val="es-CO"/>
        </w:rPr>
        <w:t xml:space="preserve"> </w:t>
      </w:r>
      <w:r w:rsidRPr="00BD1319">
        <w:rPr>
          <w:rFonts w:cs="Arial"/>
          <w:lang w:val="es-CO"/>
        </w:rPr>
        <w:t xml:space="preserve">ola operacional, </w:t>
      </w:r>
      <w:proofErr w:type="spellStart"/>
      <w:r w:rsidRPr="00BD1319">
        <w:rPr>
          <w:rFonts w:cs="Arial"/>
          <w:lang w:val="es-CO"/>
        </w:rPr>
        <w:t>ii</w:t>
      </w:r>
      <w:proofErr w:type="spellEnd"/>
      <w:r w:rsidRPr="00BD1319">
        <w:rPr>
          <w:rFonts w:cs="Arial"/>
          <w:lang w:val="es-CO"/>
        </w:rPr>
        <w:t xml:space="preserve">) </w:t>
      </w:r>
      <w:r w:rsidR="00437235" w:rsidRPr="00BD1319">
        <w:rPr>
          <w:rFonts w:cs="Arial"/>
          <w:lang w:val="es-CO"/>
        </w:rPr>
        <w:t xml:space="preserve">la ola máxima, </w:t>
      </w:r>
      <w:proofErr w:type="spellStart"/>
      <w:r w:rsidR="00437235" w:rsidRPr="00BD1319">
        <w:rPr>
          <w:rFonts w:cs="Arial"/>
          <w:lang w:val="es-CO"/>
        </w:rPr>
        <w:t>iii</w:t>
      </w:r>
      <w:proofErr w:type="spellEnd"/>
      <w:r w:rsidR="00437235" w:rsidRPr="00BD1319">
        <w:rPr>
          <w:rFonts w:cs="Arial"/>
          <w:lang w:val="es-CO"/>
        </w:rPr>
        <w:t xml:space="preserve">) </w:t>
      </w:r>
      <w:r w:rsidR="009D51C0" w:rsidRPr="00BD1319">
        <w:rPr>
          <w:rFonts w:cs="Arial"/>
          <w:lang w:val="es-CO"/>
        </w:rPr>
        <w:t xml:space="preserve">la </w:t>
      </w:r>
      <w:r w:rsidRPr="00BD1319">
        <w:rPr>
          <w:rFonts w:cs="Arial"/>
          <w:lang w:val="es-CO"/>
        </w:rPr>
        <w:t xml:space="preserve">ola media, </w:t>
      </w:r>
      <w:proofErr w:type="spellStart"/>
      <w:r w:rsidRPr="00BD1319">
        <w:rPr>
          <w:rFonts w:cs="Arial"/>
          <w:lang w:val="es-CO"/>
        </w:rPr>
        <w:t>iii</w:t>
      </w:r>
      <w:proofErr w:type="spellEnd"/>
      <w:r w:rsidRPr="00BD1319">
        <w:rPr>
          <w:rFonts w:cs="Arial"/>
          <w:lang w:val="es-CO"/>
        </w:rPr>
        <w:t xml:space="preserve">) </w:t>
      </w:r>
      <w:r w:rsidR="009D51C0" w:rsidRPr="00BD1319">
        <w:rPr>
          <w:rFonts w:cs="Arial"/>
          <w:lang w:val="es-CO"/>
        </w:rPr>
        <w:t xml:space="preserve">la </w:t>
      </w:r>
      <w:r w:rsidRPr="00BD1319">
        <w:rPr>
          <w:rFonts w:cs="Arial"/>
          <w:lang w:val="es-CO"/>
        </w:rPr>
        <w:t xml:space="preserve">ola incidente, </w:t>
      </w:r>
      <w:proofErr w:type="spellStart"/>
      <w:r w:rsidRPr="00BD1319">
        <w:rPr>
          <w:rFonts w:cs="Arial"/>
          <w:lang w:val="es-CO"/>
        </w:rPr>
        <w:t>iv</w:t>
      </w:r>
      <w:proofErr w:type="spellEnd"/>
      <w:r w:rsidRPr="00BD1319">
        <w:rPr>
          <w:rFonts w:cs="Arial"/>
          <w:lang w:val="es-CO"/>
        </w:rPr>
        <w:t xml:space="preserve">) </w:t>
      </w:r>
      <w:r w:rsidR="009D51C0" w:rsidRPr="00BD1319">
        <w:rPr>
          <w:rFonts w:cs="Arial"/>
          <w:lang w:val="es-CO"/>
        </w:rPr>
        <w:t xml:space="preserve">la </w:t>
      </w:r>
      <w:r w:rsidRPr="00BD1319">
        <w:rPr>
          <w:rFonts w:cs="Arial"/>
          <w:lang w:val="es-CO"/>
        </w:rPr>
        <w:t xml:space="preserve">ola significativa y v) </w:t>
      </w:r>
      <w:r w:rsidR="009D51C0" w:rsidRPr="00BD1319">
        <w:rPr>
          <w:rFonts w:cs="Arial"/>
          <w:lang w:val="es-CO"/>
        </w:rPr>
        <w:t xml:space="preserve">la </w:t>
      </w:r>
      <w:r w:rsidRPr="00BD1319">
        <w:rPr>
          <w:rFonts w:cs="Arial"/>
          <w:lang w:val="es-CO"/>
        </w:rPr>
        <w:t>ola de diseño.</w:t>
      </w:r>
    </w:p>
    <w:p w14:paraId="7E8F6D38" w14:textId="77777777" w:rsidR="00824C2D" w:rsidRPr="00BD1319" w:rsidRDefault="00824C2D" w:rsidP="00C86DA5">
      <w:pPr>
        <w:rPr>
          <w:rFonts w:cs="Arial"/>
        </w:rPr>
      </w:pPr>
    </w:p>
    <w:p w14:paraId="7FBC699C" w14:textId="7FC2A376" w:rsidR="009D132B" w:rsidRPr="00BD1319" w:rsidRDefault="009D132B" w:rsidP="00824C2D">
      <w:pPr>
        <w:pStyle w:val="Prrafodelista"/>
        <w:numPr>
          <w:ilvl w:val="0"/>
          <w:numId w:val="118"/>
        </w:numPr>
        <w:ind w:left="567" w:hanging="567"/>
        <w:rPr>
          <w:rFonts w:cs="Arial"/>
          <w:lang w:val="es-CO"/>
        </w:rPr>
      </w:pPr>
      <w:r w:rsidRPr="00BD1319">
        <w:rPr>
          <w:rFonts w:cs="Arial"/>
          <w:lang w:val="es-CO"/>
        </w:rPr>
        <w:t>Estudio de propagación y procesos de transformación del oleaje (asomeramiento, refracción, difracción, rotura,</w:t>
      </w:r>
      <w:r w:rsidR="009D51C0" w:rsidRPr="00BD1319">
        <w:rPr>
          <w:rFonts w:cs="Arial"/>
          <w:lang w:val="es-CO"/>
        </w:rPr>
        <w:t xml:space="preserve"> entre otros</w:t>
      </w:r>
      <w:r w:rsidRPr="00BD1319">
        <w:rPr>
          <w:rFonts w:cs="Arial"/>
          <w:lang w:val="es-CO"/>
        </w:rPr>
        <w:t>)</w:t>
      </w:r>
      <w:r w:rsidRPr="00BD1319" w:rsidDel="004E1D9C">
        <w:rPr>
          <w:rFonts w:cs="Arial"/>
          <w:lang w:val="es-CO"/>
        </w:rPr>
        <w:t xml:space="preserve"> </w:t>
      </w:r>
      <w:r w:rsidRPr="00BD1319">
        <w:rPr>
          <w:rFonts w:cs="Arial"/>
          <w:lang w:val="es-CO"/>
        </w:rPr>
        <w:t>debido a la proximidad a la costa, para las condiciones actuales y cada uno de los escenarios de obras propuestos.</w:t>
      </w:r>
    </w:p>
    <w:p w14:paraId="7A2C8AE4" w14:textId="77777777" w:rsidR="009D132B" w:rsidRPr="00BD1319" w:rsidRDefault="009D132B" w:rsidP="009D132B">
      <w:pPr>
        <w:overflowPunct/>
        <w:autoSpaceDE/>
        <w:autoSpaceDN/>
        <w:adjustRightInd/>
        <w:textAlignment w:val="auto"/>
        <w:rPr>
          <w:rFonts w:cs="Arial"/>
        </w:rPr>
      </w:pPr>
    </w:p>
    <w:p w14:paraId="19D94B89" w14:textId="57118BEB" w:rsidR="009D132B" w:rsidRPr="00BD1319" w:rsidRDefault="009D132B" w:rsidP="009D132B">
      <w:pPr>
        <w:overflowPunct/>
        <w:autoSpaceDE/>
        <w:autoSpaceDN/>
        <w:adjustRightInd/>
        <w:textAlignment w:val="auto"/>
        <w:rPr>
          <w:rFonts w:cs="Arial"/>
        </w:rPr>
      </w:pPr>
      <w:r w:rsidRPr="00BD1319">
        <w:rPr>
          <w:rFonts w:cs="Arial"/>
        </w:rPr>
        <w:t>Debe presentarse de forma tabular el porcentaje de ocurrencia de altura significante</w:t>
      </w:r>
      <w:r w:rsidR="0072054C" w:rsidRPr="00BD1319">
        <w:rPr>
          <w:rFonts w:cs="Arial"/>
        </w:rPr>
        <w:t xml:space="preserve"> </w:t>
      </w:r>
      <w:r w:rsidRPr="00BD1319">
        <w:rPr>
          <w:rFonts w:cs="Arial"/>
        </w:rPr>
        <w:t>v</w:t>
      </w:r>
      <w:r w:rsidR="009D3CC9" w:rsidRPr="00BD1319">
        <w:rPr>
          <w:rFonts w:cs="Arial"/>
        </w:rPr>
        <w:t>ersus p</w:t>
      </w:r>
      <w:r w:rsidRPr="00BD1319">
        <w:rPr>
          <w:rFonts w:cs="Arial"/>
        </w:rPr>
        <w:t>eriodo</w:t>
      </w:r>
      <w:r w:rsidR="00183751" w:rsidRPr="00BD1319">
        <w:rPr>
          <w:rFonts w:cs="Arial"/>
        </w:rPr>
        <w:t>s</w:t>
      </w:r>
      <w:r w:rsidRPr="00BD1319">
        <w:rPr>
          <w:rFonts w:cs="Arial"/>
        </w:rPr>
        <w:t xml:space="preserve"> pico, el porcentaje de ocurrencia de altura significante</w:t>
      </w:r>
      <w:r w:rsidR="0072054C" w:rsidRPr="00BD1319">
        <w:rPr>
          <w:rFonts w:cs="Arial"/>
        </w:rPr>
        <w:t xml:space="preserve"> </w:t>
      </w:r>
      <w:r w:rsidRPr="00BD1319">
        <w:rPr>
          <w:rFonts w:cs="Arial"/>
        </w:rPr>
        <w:t>v</w:t>
      </w:r>
      <w:r w:rsidR="009D3CC9" w:rsidRPr="00BD1319">
        <w:rPr>
          <w:rFonts w:cs="Arial"/>
        </w:rPr>
        <w:t>ersus</w:t>
      </w:r>
      <w:r w:rsidRPr="00BD1319">
        <w:rPr>
          <w:rFonts w:cs="Arial"/>
        </w:rPr>
        <w:t xml:space="preserve"> </w:t>
      </w:r>
      <w:r w:rsidR="009D3CC9" w:rsidRPr="00BD1319">
        <w:rPr>
          <w:rFonts w:cs="Arial"/>
        </w:rPr>
        <w:t>d</w:t>
      </w:r>
      <w:r w:rsidRPr="00BD1319">
        <w:rPr>
          <w:rFonts w:cs="Arial"/>
        </w:rPr>
        <w:t>irección media</w:t>
      </w:r>
      <w:r w:rsidR="00183751" w:rsidRPr="00BD1319">
        <w:rPr>
          <w:rFonts w:cs="Arial"/>
        </w:rPr>
        <w:t xml:space="preserve"> y promedios estacionales,</w:t>
      </w:r>
      <w:r w:rsidR="009D3CC9" w:rsidRPr="00BD1319">
        <w:rPr>
          <w:rFonts w:cs="Arial"/>
        </w:rPr>
        <w:t xml:space="preserve"> así como </w:t>
      </w:r>
      <w:r w:rsidR="00183751" w:rsidRPr="00BD1319">
        <w:rPr>
          <w:rFonts w:cs="Arial"/>
        </w:rPr>
        <w:t xml:space="preserve">su representación en </w:t>
      </w:r>
      <w:r w:rsidR="009D3CC9" w:rsidRPr="00BD1319">
        <w:rPr>
          <w:rFonts w:cs="Arial"/>
        </w:rPr>
        <w:t>m</w:t>
      </w:r>
      <w:r w:rsidRPr="00BD1319">
        <w:rPr>
          <w:rFonts w:cs="Arial"/>
        </w:rPr>
        <w:t>apas X, Y</w:t>
      </w:r>
      <w:r w:rsidR="00183751" w:rsidRPr="00BD1319">
        <w:rPr>
          <w:rFonts w:cs="Arial"/>
        </w:rPr>
        <w:t>.</w:t>
      </w:r>
    </w:p>
    <w:p w14:paraId="4033803D" w14:textId="77777777" w:rsidR="009D132B" w:rsidRPr="00BD1319" w:rsidRDefault="009D132B" w:rsidP="00C86DA5">
      <w:pPr>
        <w:overflowPunct/>
        <w:autoSpaceDE/>
        <w:autoSpaceDN/>
        <w:adjustRightInd/>
        <w:textAlignment w:val="auto"/>
        <w:rPr>
          <w:sz w:val="22"/>
        </w:rPr>
      </w:pPr>
    </w:p>
    <w:p w14:paraId="12CB8A37" w14:textId="77777777" w:rsidR="009D132B" w:rsidRPr="00BD1319" w:rsidRDefault="009D132B" w:rsidP="009420F5">
      <w:pPr>
        <w:pStyle w:val="Ttulo4"/>
        <w:tabs>
          <w:tab w:val="clear" w:pos="1844"/>
          <w:tab w:val="num" w:pos="1134"/>
        </w:tabs>
        <w:ind w:left="0"/>
        <w:rPr>
          <w:b w:val="0"/>
          <w:lang w:val="es-CO"/>
        </w:rPr>
      </w:pPr>
      <w:bookmarkStart w:id="2839" w:name="_Toc8487552"/>
      <w:bookmarkStart w:id="2840" w:name="_Toc17809431"/>
      <w:r w:rsidRPr="00BD1319">
        <w:rPr>
          <w:lang w:val="es-CO"/>
        </w:rPr>
        <w:t>Mareas</w:t>
      </w:r>
      <w:bookmarkEnd w:id="2839"/>
      <w:bookmarkEnd w:id="2840"/>
      <w:r w:rsidRPr="00BD1319">
        <w:rPr>
          <w:lang w:val="es-CO"/>
        </w:rPr>
        <w:cr/>
      </w:r>
    </w:p>
    <w:p w14:paraId="25822298" w14:textId="415E339C" w:rsidR="009D132B" w:rsidRPr="00BD1319" w:rsidRDefault="00AB190D" w:rsidP="009D132B">
      <w:pPr>
        <w:overflowPunct/>
        <w:autoSpaceDE/>
        <w:autoSpaceDN/>
        <w:adjustRightInd/>
        <w:textAlignment w:val="auto"/>
        <w:rPr>
          <w:rFonts w:cs="Arial"/>
        </w:rPr>
      </w:pPr>
      <w:r w:rsidRPr="00BD1319">
        <w:rPr>
          <w:rFonts w:cs="Arial"/>
        </w:rPr>
        <w:t xml:space="preserve">La información sobre esta temática debe tener una </w:t>
      </w:r>
      <w:r w:rsidR="009D132B" w:rsidRPr="00BD1319">
        <w:rPr>
          <w:rFonts w:cs="Arial"/>
        </w:rPr>
        <w:t>frecuencia mínima diaria</w:t>
      </w:r>
      <w:r w:rsidRPr="00BD1319">
        <w:rPr>
          <w:rFonts w:cs="Arial"/>
        </w:rPr>
        <w:t xml:space="preserve"> y basada en fuentes de información </w:t>
      </w:r>
      <w:r w:rsidR="009D132B" w:rsidRPr="00BD1319">
        <w:rPr>
          <w:rFonts w:cs="Arial"/>
        </w:rPr>
        <w:t xml:space="preserve">secundaria </w:t>
      </w:r>
      <w:r w:rsidRPr="00BD1319">
        <w:rPr>
          <w:rFonts w:cs="Arial"/>
        </w:rPr>
        <w:t xml:space="preserve">que permita </w:t>
      </w:r>
      <w:r w:rsidR="00590B9E" w:rsidRPr="00BD1319">
        <w:rPr>
          <w:rFonts w:cs="Arial"/>
        </w:rPr>
        <w:t>conocer</w:t>
      </w:r>
      <w:r w:rsidR="009D132B" w:rsidRPr="00BD1319">
        <w:rPr>
          <w:rFonts w:cs="Arial"/>
        </w:rPr>
        <w:t>:</w:t>
      </w:r>
    </w:p>
    <w:p w14:paraId="0C75E70E" w14:textId="77777777" w:rsidR="009D132B" w:rsidRPr="00BD1319" w:rsidRDefault="009D132B" w:rsidP="00C86DA5">
      <w:pPr>
        <w:overflowPunct/>
        <w:autoSpaceDE/>
        <w:autoSpaceDN/>
        <w:adjustRightInd/>
        <w:textAlignment w:val="auto"/>
      </w:pPr>
    </w:p>
    <w:p w14:paraId="222DC2A7" w14:textId="67990E69" w:rsidR="009D132B" w:rsidRPr="00BD1319" w:rsidRDefault="009D132B" w:rsidP="00C86DA5">
      <w:pPr>
        <w:pStyle w:val="Prrafodelista"/>
        <w:numPr>
          <w:ilvl w:val="0"/>
          <w:numId w:val="118"/>
        </w:numPr>
        <w:ind w:left="567" w:hanging="567"/>
        <w:rPr>
          <w:rFonts w:cs="Arial"/>
          <w:lang w:val="es-CO"/>
        </w:rPr>
      </w:pPr>
      <w:r w:rsidRPr="00BD1319">
        <w:rPr>
          <w:rFonts w:cs="Arial"/>
          <w:lang w:val="es-CO"/>
        </w:rPr>
        <w:t xml:space="preserve">El régimen de mareas y probabilidad que </w:t>
      </w:r>
      <w:r w:rsidR="009D3CC9" w:rsidRPr="00BD1319">
        <w:rPr>
          <w:rFonts w:cs="Arial"/>
          <w:lang w:val="es-CO"/>
        </w:rPr>
        <w:t xml:space="preserve">ocurran </w:t>
      </w:r>
      <w:r w:rsidRPr="00BD1319">
        <w:rPr>
          <w:rFonts w:cs="Arial"/>
          <w:lang w:val="es-CO"/>
        </w:rPr>
        <w:t>condiciones extremas.</w:t>
      </w:r>
    </w:p>
    <w:p w14:paraId="00D7003E" w14:textId="77777777" w:rsidR="00824C2D" w:rsidRPr="00BD1319" w:rsidRDefault="00824C2D" w:rsidP="00C86DA5">
      <w:pPr>
        <w:rPr>
          <w:rFonts w:cs="Arial"/>
        </w:rPr>
      </w:pPr>
    </w:p>
    <w:p w14:paraId="50914DD8" w14:textId="77777777" w:rsidR="009D132B" w:rsidRPr="00BD1319" w:rsidRDefault="009D132B" w:rsidP="00C86DA5">
      <w:pPr>
        <w:pStyle w:val="Prrafodelista"/>
        <w:numPr>
          <w:ilvl w:val="0"/>
          <w:numId w:val="118"/>
        </w:numPr>
        <w:ind w:left="567" w:hanging="567"/>
        <w:rPr>
          <w:rFonts w:cs="Arial"/>
          <w:lang w:val="es-CO"/>
        </w:rPr>
      </w:pPr>
      <w:r w:rsidRPr="00BD1319">
        <w:rPr>
          <w:rFonts w:cs="Arial"/>
          <w:lang w:val="es-CO"/>
        </w:rPr>
        <w:t>Tipo y amplitud de mareas existentes en el sector.</w:t>
      </w:r>
    </w:p>
    <w:p w14:paraId="7AF34D66" w14:textId="77777777" w:rsidR="00824C2D" w:rsidRPr="00BD1319" w:rsidRDefault="00824C2D" w:rsidP="00C86DA5">
      <w:pPr>
        <w:rPr>
          <w:rFonts w:cs="Arial"/>
        </w:rPr>
      </w:pPr>
    </w:p>
    <w:p w14:paraId="716434C0" w14:textId="75CAB26D" w:rsidR="009D132B" w:rsidRPr="00BD1319" w:rsidRDefault="009D132B" w:rsidP="00C86DA5">
      <w:pPr>
        <w:pStyle w:val="Prrafodelista"/>
        <w:numPr>
          <w:ilvl w:val="0"/>
          <w:numId w:val="118"/>
        </w:numPr>
        <w:ind w:left="567" w:hanging="567"/>
        <w:rPr>
          <w:rFonts w:cs="Arial"/>
          <w:lang w:val="es-CO"/>
        </w:rPr>
      </w:pPr>
      <w:r w:rsidRPr="00BD1319">
        <w:rPr>
          <w:rFonts w:cs="Arial"/>
          <w:lang w:val="es-CO"/>
        </w:rPr>
        <w:t>Altura mínima y máxima de mareas en sicigia.</w:t>
      </w:r>
    </w:p>
    <w:p w14:paraId="2E113EF0" w14:textId="77777777" w:rsidR="00824C2D" w:rsidRPr="00BD1319" w:rsidRDefault="00824C2D" w:rsidP="00C86DA5">
      <w:pPr>
        <w:rPr>
          <w:rFonts w:cs="Arial"/>
        </w:rPr>
      </w:pPr>
    </w:p>
    <w:p w14:paraId="2C48AF6C" w14:textId="77777777" w:rsidR="009D132B" w:rsidRPr="00BD1319" w:rsidRDefault="009D132B" w:rsidP="00C86DA5">
      <w:pPr>
        <w:pStyle w:val="Prrafodelista"/>
        <w:numPr>
          <w:ilvl w:val="0"/>
          <w:numId w:val="118"/>
        </w:numPr>
        <w:ind w:left="567" w:hanging="567"/>
        <w:rPr>
          <w:rFonts w:cs="Arial"/>
          <w:lang w:val="es-CO"/>
        </w:rPr>
      </w:pPr>
      <w:r w:rsidRPr="00BD1319">
        <w:rPr>
          <w:rFonts w:cs="Arial"/>
          <w:lang w:val="es-CO"/>
        </w:rPr>
        <w:t>Altura mínima y máxima de mareas en cuadratura.</w:t>
      </w:r>
    </w:p>
    <w:p w14:paraId="249D73E8" w14:textId="77777777" w:rsidR="00824C2D" w:rsidRPr="00BD1319" w:rsidRDefault="00824C2D" w:rsidP="00C86DA5">
      <w:pPr>
        <w:rPr>
          <w:rFonts w:cs="Arial"/>
        </w:rPr>
      </w:pPr>
    </w:p>
    <w:p w14:paraId="7B7E9DDE" w14:textId="3B9A3455" w:rsidR="009D132B" w:rsidRPr="00BD1319" w:rsidRDefault="009D132B" w:rsidP="00C86DA5">
      <w:pPr>
        <w:pStyle w:val="Prrafodelista"/>
        <w:numPr>
          <w:ilvl w:val="0"/>
          <w:numId w:val="118"/>
        </w:numPr>
        <w:ind w:left="567" w:hanging="567"/>
        <w:rPr>
          <w:rFonts w:cs="Arial"/>
          <w:lang w:val="es-CO"/>
        </w:rPr>
      </w:pPr>
      <w:r w:rsidRPr="00BD1319">
        <w:rPr>
          <w:rFonts w:cs="Arial"/>
          <w:lang w:val="es-CO"/>
        </w:rPr>
        <w:t>Régimen de niveles del mar; en particular el régimen medio del nivel del mar a partir de las bases de datos nacionales o internacionales.</w:t>
      </w:r>
    </w:p>
    <w:p w14:paraId="4CADD9F1" w14:textId="77777777" w:rsidR="00824C2D" w:rsidRPr="00BD1319" w:rsidRDefault="00824C2D" w:rsidP="00C86DA5">
      <w:pPr>
        <w:rPr>
          <w:rFonts w:cs="Arial"/>
        </w:rPr>
      </w:pPr>
    </w:p>
    <w:p w14:paraId="437B5378" w14:textId="25D66909" w:rsidR="009D132B" w:rsidRPr="00BD1319" w:rsidRDefault="00AB190D" w:rsidP="00C86DA5">
      <w:pPr>
        <w:pStyle w:val="Prrafodelista"/>
        <w:numPr>
          <w:ilvl w:val="0"/>
          <w:numId w:val="118"/>
        </w:numPr>
        <w:ind w:left="567" w:hanging="567"/>
        <w:rPr>
          <w:rFonts w:cs="Arial"/>
          <w:lang w:val="es-CO"/>
        </w:rPr>
      </w:pPr>
      <w:r w:rsidRPr="00BD1319">
        <w:rPr>
          <w:rFonts w:cs="Arial"/>
          <w:lang w:val="es-CO"/>
        </w:rPr>
        <w:t>A</w:t>
      </w:r>
      <w:r w:rsidR="009D132B" w:rsidRPr="00BD1319">
        <w:rPr>
          <w:rFonts w:cs="Arial"/>
          <w:lang w:val="es-CO"/>
        </w:rPr>
        <w:t>nomalías del nivel del mar.</w:t>
      </w:r>
    </w:p>
    <w:p w14:paraId="4AD6DDA4" w14:textId="77777777" w:rsidR="00824C2D" w:rsidRPr="00BD1319" w:rsidRDefault="00824C2D" w:rsidP="00C86DA5">
      <w:pPr>
        <w:rPr>
          <w:rFonts w:cs="Arial"/>
        </w:rPr>
      </w:pPr>
    </w:p>
    <w:p w14:paraId="6D3E0C51" w14:textId="5E8B7157" w:rsidR="009D132B" w:rsidRPr="00BD1319" w:rsidRDefault="009D3CC9" w:rsidP="00C86DA5">
      <w:pPr>
        <w:pStyle w:val="Prrafodelista"/>
        <w:numPr>
          <w:ilvl w:val="0"/>
          <w:numId w:val="118"/>
        </w:numPr>
        <w:ind w:left="567" w:hanging="567"/>
        <w:rPr>
          <w:rFonts w:cs="Arial"/>
          <w:lang w:val="es-CO"/>
        </w:rPr>
      </w:pPr>
      <w:r w:rsidRPr="00BD1319">
        <w:rPr>
          <w:rFonts w:cs="Arial"/>
          <w:lang w:val="es-CO"/>
        </w:rPr>
        <w:t>S</w:t>
      </w:r>
      <w:r w:rsidR="009D132B" w:rsidRPr="00BD1319">
        <w:rPr>
          <w:rFonts w:cs="Arial"/>
          <w:lang w:val="es-CO"/>
        </w:rPr>
        <w:t>erie de tiempo completa y del ciclo anual. Mapas (X, Y) promedios estacionales.</w:t>
      </w:r>
    </w:p>
    <w:p w14:paraId="0F010CD4" w14:textId="77777777" w:rsidR="00824C2D" w:rsidRPr="00BD1319" w:rsidRDefault="00824C2D" w:rsidP="00C86DA5">
      <w:pPr>
        <w:rPr>
          <w:rFonts w:cs="Arial"/>
        </w:rPr>
      </w:pPr>
    </w:p>
    <w:p w14:paraId="006B6495" w14:textId="77777777" w:rsidR="009D132B" w:rsidRPr="00BD1319" w:rsidRDefault="009D132B" w:rsidP="00C86DA5">
      <w:pPr>
        <w:pStyle w:val="Prrafodelista"/>
        <w:numPr>
          <w:ilvl w:val="0"/>
          <w:numId w:val="118"/>
        </w:numPr>
        <w:ind w:left="567" w:hanging="567"/>
        <w:rPr>
          <w:rFonts w:cs="Arial"/>
          <w:lang w:val="es-CO"/>
        </w:rPr>
      </w:pPr>
      <w:r w:rsidRPr="00BD1319">
        <w:rPr>
          <w:rFonts w:cs="Arial"/>
          <w:lang w:val="es-CO"/>
        </w:rPr>
        <w:t>Componentes de marea característicos de la zona.</w:t>
      </w:r>
    </w:p>
    <w:p w14:paraId="644F0C7F" w14:textId="77777777" w:rsidR="009D132B" w:rsidRPr="00BD1319" w:rsidRDefault="009D132B" w:rsidP="00C86DA5">
      <w:pPr>
        <w:overflowPunct/>
        <w:autoSpaceDE/>
        <w:autoSpaceDN/>
        <w:adjustRightInd/>
        <w:textAlignment w:val="auto"/>
        <w:rPr>
          <w:sz w:val="22"/>
        </w:rPr>
      </w:pPr>
    </w:p>
    <w:p w14:paraId="479F47D4" w14:textId="77777777" w:rsidR="009D132B" w:rsidRPr="00BD1319" w:rsidRDefault="009D132B" w:rsidP="009420F5">
      <w:pPr>
        <w:pStyle w:val="Ttulo4"/>
        <w:tabs>
          <w:tab w:val="clear" w:pos="1844"/>
          <w:tab w:val="num" w:pos="1134"/>
        </w:tabs>
        <w:ind w:left="0"/>
        <w:rPr>
          <w:lang w:val="es-CO"/>
        </w:rPr>
      </w:pPr>
      <w:bookmarkStart w:id="2841" w:name="_Toc8487553"/>
      <w:bookmarkStart w:id="2842" w:name="_Toc17809432"/>
      <w:r w:rsidRPr="00BD1319">
        <w:rPr>
          <w:lang w:val="es-CO"/>
        </w:rPr>
        <w:lastRenderedPageBreak/>
        <w:t>Marejadas</w:t>
      </w:r>
      <w:bookmarkEnd w:id="2841"/>
      <w:bookmarkEnd w:id="2842"/>
    </w:p>
    <w:p w14:paraId="44937086" w14:textId="77777777" w:rsidR="009D132B" w:rsidRPr="00BD1319" w:rsidRDefault="009D132B" w:rsidP="00C86DA5">
      <w:pPr>
        <w:overflowPunct/>
        <w:autoSpaceDE/>
        <w:autoSpaceDN/>
        <w:adjustRightInd/>
        <w:textAlignment w:val="auto"/>
        <w:rPr>
          <w:sz w:val="22"/>
        </w:rPr>
      </w:pPr>
    </w:p>
    <w:p w14:paraId="67509CB8" w14:textId="6B3A2846" w:rsidR="009D132B" w:rsidRPr="00BD1319" w:rsidRDefault="009D132B" w:rsidP="009D132B">
      <w:pPr>
        <w:overflowPunct/>
        <w:autoSpaceDE/>
        <w:autoSpaceDN/>
        <w:adjustRightInd/>
        <w:textAlignment w:val="auto"/>
        <w:rPr>
          <w:rFonts w:cs="Arial"/>
        </w:rPr>
      </w:pPr>
      <w:r w:rsidRPr="00BD1319">
        <w:rPr>
          <w:rFonts w:cs="Arial"/>
        </w:rPr>
        <w:t xml:space="preserve">Se debe incluir una caracterización y análisis de amenazas </w:t>
      </w:r>
      <w:proofErr w:type="spellStart"/>
      <w:r w:rsidRPr="00BD1319">
        <w:rPr>
          <w:rFonts w:cs="Arial"/>
        </w:rPr>
        <w:t>meteomarinas</w:t>
      </w:r>
      <w:proofErr w:type="spellEnd"/>
      <w:r w:rsidRPr="00BD1319">
        <w:rPr>
          <w:rFonts w:cs="Arial"/>
        </w:rPr>
        <w:t xml:space="preserve"> extremas generadas por tsunamis, eventos climáticos extremos (</w:t>
      </w:r>
      <w:r w:rsidR="009D3CC9" w:rsidRPr="00BD1319">
        <w:rPr>
          <w:rFonts w:cs="Arial"/>
        </w:rPr>
        <w:t>e</w:t>
      </w:r>
      <w:r w:rsidRPr="00BD1319">
        <w:rPr>
          <w:rFonts w:cs="Arial"/>
        </w:rPr>
        <w:t xml:space="preserve">l </w:t>
      </w:r>
      <w:r w:rsidR="009D3CC9" w:rsidRPr="00BD1319">
        <w:rPr>
          <w:rFonts w:cs="Arial"/>
        </w:rPr>
        <w:t>n</w:t>
      </w:r>
      <w:r w:rsidRPr="00BD1319">
        <w:rPr>
          <w:rFonts w:cs="Arial"/>
        </w:rPr>
        <w:t>iño</w:t>
      </w:r>
      <w:r w:rsidR="009D3CC9" w:rsidRPr="00BD1319">
        <w:rPr>
          <w:rFonts w:cs="Arial"/>
        </w:rPr>
        <w:t xml:space="preserve"> </w:t>
      </w:r>
      <w:r w:rsidRPr="00BD1319">
        <w:rPr>
          <w:rFonts w:cs="Arial"/>
        </w:rPr>
        <w:t>-</w:t>
      </w:r>
      <w:r w:rsidR="009D3CC9" w:rsidRPr="00BD1319">
        <w:rPr>
          <w:rFonts w:cs="Arial"/>
        </w:rPr>
        <w:t xml:space="preserve"> l</w:t>
      </w:r>
      <w:r w:rsidRPr="00BD1319">
        <w:rPr>
          <w:rFonts w:cs="Arial"/>
        </w:rPr>
        <w:t xml:space="preserve">a </w:t>
      </w:r>
      <w:r w:rsidR="009D3CC9" w:rsidRPr="00BD1319">
        <w:rPr>
          <w:rFonts w:cs="Arial"/>
        </w:rPr>
        <w:t>n</w:t>
      </w:r>
      <w:r w:rsidRPr="00BD1319">
        <w:rPr>
          <w:rFonts w:cs="Arial"/>
        </w:rPr>
        <w:t>iña, tormentas tropicales, huracanes, vientos, precipitaciones, tormentas eléctricas, visibilidad, e</w:t>
      </w:r>
      <w:r w:rsidR="009D3CC9" w:rsidRPr="00BD1319">
        <w:rPr>
          <w:rFonts w:cs="Arial"/>
        </w:rPr>
        <w:t>ntre otros</w:t>
      </w:r>
      <w:r w:rsidRPr="00BD1319">
        <w:rPr>
          <w:rFonts w:cs="Arial"/>
        </w:rPr>
        <w:t xml:space="preserve">). </w:t>
      </w:r>
      <w:r w:rsidR="009D3CC9" w:rsidRPr="00BD1319">
        <w:rPr>
          <w:rFonts w:cs="Arial"/>
        </w:rPr>
        <w:t>A partir de lo anterior</w:t>
      </w:r>
      <w:r w:rsidRPr="00BD1319">
        <w:rPr>
          <w:rFonts w:cs="Arial"/>
        </w:rPr>
        <w:t xml:space="preserve"> se debe </w:t>
      </w:r>
      <w:r w:rsidR="009D3CC9" w:rsidRPr="00BD1319">
        <w:rPr>
          <w:rFonts w:cs="Arial"/>
        </w:rPr>
        <w:t xml:space="preserve">desarrollar </w:t>
      </w:r>
      <w:r w:rsidRPr="00BD1319">
        <w:rPr>
          <w:rFonts w:cs="Arial"/>
        </w:rPr>
        <w:t xml:space="preserve">una caracterización y análisis de amenazas </w:t>
      </w:r>
      <w:proofErr w:type="spellStart"/>
      <w:r w:rsidRPr="00BD1319">
        <w:rPr>
          <w:rFonts w:cs="Arial"/>
        </w:rPr>
        <w:t>meteomarinas</w:t>
      </w:r>
      <w:proofErr w:type="spellEnd"/>
      <w:r w:rsidRPr="00BD1319">
        <w:rPr>
          <w:rFonts w:cs="Arial"/>
        </w:rPr>
        <w:t xml:space="preserve"> extremas generadas por vientos, precipitaciones, tormentas eléctricas, visibilidad, </w:t>
      </w:r>
      <w:r w:rsidR="009D3CC9" w:rsidRPr="00BD1319">
        <w:rPr>
          <w:rFonts w:cs="Arial"/>
        </w:rPr>
        <w:t>entre otros</w:t>
      </w:r>
      <w:r w:rsidRPr="00BD1319">
        <w:rPr>
          <w:rFonts w:cs="Arial"/>
        </w:rPr>
        <w:t>.</w:t>
      </w:r>
    </w:p>
    <w:p w14:paraId="1A992918" w14:textId="77777777" w:rsidR="009D132B" w:rsidRPr="00BD1319" w:rsidRDefault="009D132B" w:rsidP="009D132B">
      <w:pPr>
        <w:rPr>
          <w:rFonts w:cs="Arial"/>
        </w:rPr>
      </w:pPr>
    </w:p>
    <w:p w14:paraId="00CA46EE" w14:textId="77777777" w:rsidR="009D132B" w:rsidRPr="00BD1319" w:rsidRDefault="009D132B" w:rsidP="00C86DA5">
      <w:pPr>
        <w:pStyle w:val="Prrafodelista"/>
        <w:numPr>
          <w:ilvl w:val="0"/>
          <w:numId w:val="118"/>
        </w:numPr>
        <w:ind w:left="567" w:hanging="567"/>
        <w:rPr>
          <w:rFonts w:cs="Arial"/>
          <w:lang w:val="es-CO"/>
        </w:rPr>
      </w:pPr>
      <w:r w:rsidRPr="00BD1319">
        <w:rPr>
          <w:rFonts w:cs="Arial"/>
          <w:lang w:val="es-CO"/>
        </w:rPr>
        <w:t>Dirección.</w:t>
      </w:r>
    </w:p>
    <w:p w14:paraId="6BA11668" w14:textId="77777777" w:rsidR="00824C2D" w:rsidRPr="00BD1319" w:rsidRDefault="00824C2D" w:rsidP="00C86DA5">
      <w:pPr>
        <w:rPr>
          <w:rFonts w:cs="Arial"/>
        </w:rPr>
      </w:pPr>
    </w:p>
    <w:p w14:paraId="389782CA" w14:textId="77777777" w:rsidR="00824C2D" w:rsidRPr="00BD1319" w:rsidRDefault="009D132B" w:rsidP="00C86DA5">
      <w:pPr>
        <w:pStyle w:val="Prrafodelista"/>
        <w:numPr>
          <w:ilvl w:val="0"/>
          <w:numId w:val="118"/>
        </w:numPr>
        <w:ind w:left="567" w:hanging="567"/>
        <w:rPr>
          <w:rFonts w:cs="Arial"/>
          <w:lang w:val="es-CO"/>
        </w:rPr>
      </w:pPr>
      <w:r w:rsidRPr="00BD1319">
        <w:rPr>
          <w:rFonts w:cs="Arial"/>
          <w:lang w:val="es-CO"/>
        </w:rPr>
        <w:t>Frecuencia</w:t>
      </w:r>
      <w:r w:rsidR="00824C2D" w:rsidRPr="00BD1319">
        <w:rPr>
          <w:rFonts w:cs="Arial"/>
          <w:lang w:val="es-CO"/>
        </w:rPr>
        <w:t>.</w:t>
      </w:r>
    </w:p>
    <w:p w14:paraId="6B0FB754" w14:textId="7C23580D" w:rsidR="009D132B" w:rsidRPr="00BD1319" w:rsidRDefault="009D132B" w:rsidP="00C86DA5">
      <w:pPr>
        <w:rPr>
          <w:rFonts w:cs="Arial"/>
        </w:rPr>
      </w:pPr>
    </w:p>
    <w:p w14:paraId="54F90B6D" w14:textId="77777777" w:rsidR="009D132B" w:rsidRPr="00BD1319" w:rsidRDefault="009D132B" w:rsidP="00C86DA5">
      <w:pPr>
        <w:pStyle w:val="Prrafodelista"/>
        <w:numPr>
          <w:ilvl w:val="0"/>
          <w:numId w:val="118"/>
        </w:numPr>
        <w:ind w:left="567" w:hanging="567"/>
        <w:rPr>
          <w:rFonts w:cs="Arial"/>
          <w:lang w:val="es-CO"/>
        </w:rPr>
      </w:pPr>
      <w:r w:rsidRPr="00BD1319">
        <w:rPr>
          <w:rFonts w:cs="Arial"/>
          <w:lang w:val="es-CO"/>
        </w:rPr>
        <w:t>Períodos.</w:t>
      </w:r>
    </w:p>
    <w:p w14:paraId="26AFDC2A" w14:textId="77777777" w:rsidR="00824C2D" w:rsidRPr="00BD1319" w:rsidRDefault="00824C2D" w:rsidP="00C86DA5">
      <w:pPr>
        <w:rPr>
          <w:rFonts w:cs="Arial"/>
        </w:rPr>
      </w:pPr>
    </w:p>
    <w:p w14:paraId="713827FD" w14:textId="77777777" w:rsidR="009D132B" w:rsidRPr="00BD1319" w:rsidRDefault="009D132B" w:rsidP="00C86DA5">
      <w:pPr>
        <w:pStyle w:val="Prrafodelista"/>
        <w:numPr>
          <w:ilvl w:val="0"/>
          <w:numId w:val="118"/>
        </w:numPr>
        <w:ind w:left="567" w:hanging="567"/>
        <w:rPr>
          <w:rFonts w:cs="Arial"/>
          <w:lang w:val="es-CO"/>
        </w:rPr>
      </w:pPr>
      <w:r w:rsidRPr="00BD1319">
        <w:rPr>
          <w:rFonts w:cs="Arial"/>
          <w:lang w:val="es-CO"/>
        </w:rPr>
        <w:t>Altura de olas.</w:t>
      </w:r>
    </w:p>
    <w:p w14:paraId="6F473C73" w14:textId="77777777" w:rsidR="00824C2D" w:rsidRPr="00BD1319" w:rsidRDefault="00824C2D" w:rsidP="00C86DA5">
      <w:pPr>
        <w:rPr>
          <w:rFonts w:cs="Arial"/>
        </w:rPr>
      </w:pPr>
    </w:p>
    <w:p w14:paraId="12631B7C" w14:textId="77777777" w:rsidR="009D132B" w:rsidRPr="00BD1319" w:rsidRDefault="009D132B" w:rsidP="00C86DA5">
      <w:pPr>
        <w:pStyle w:val="Prrafodelista"/>
        <w:numPr>
          <w:ilvl w:val="0"/>
          <w:numId w:val="118"/>
        </w:numPr>
        <w:ind w:left="567" w:hanging="567"/>
        <w:rPr>
          <w:rFonts w:cs="Arial"/>
          <w:lang w:val="es-CO"/>
        </w:rPr>
      </w:pPr>
      <w:r w:rsidRPr="00BD1319">
        <w:rPr>
          <w:rFonts w:cs="Arial"/>
          <w:lang w:val="es-CO"/>
        </w:rPr>
        <w:t>Velocidad de propagación.</w:t>
      </w:r>
    </w:p>
    <w:p w14:paraId="388A60DE" w14:textId="77777777" w:rsidR="00824C2D" w:rsidRPr="00BD1319" w:rsidRDefault="00824C2D" w:rsidP="00C86DA5">
      <w:pPr>
        <w:rPr>
          <w:rFonts w:cs="Arial"/>
        </w:rPr>
      </w:pPr>
    </w:p>
    <w:p w14:paraId="7F222036" w14:textId="77777777" w:rsidR="009D132B" w:rsidRPr="00BD1319" w:rsidRDefault="009D132B" w:rsidP="00C86DA5">
      <w:pPr>
        <w:pStyle w:val="Prrafodelista"/>
        <w:numPr>
          <w:ilvl w:val="0"/>
          <w:numId w:val="118"/>
        </w:numPr>
        <w:ind w:left="567" w:hanging="567"/>
        <w:rPr>
          <w:rFonts w:cs="Arial"/>
          <w:lang w:val="es-CO"/>
        </w:rPr>
      </w:pPr>
      <w:r w:rsidRPr="00BD1319">
        <w:rPr>
          <w:rFonts w:cs="Arial"/>
          <w:lang w:val="es-CO"/>
        </w:rPr>
        <w:t>Épocas de mayor actividad.</w:t>
      </w:r>
    </w:p>
    <w:p w14:paraId="7506B0F9" w14:textId="77777777" w:rsidR="00824C2D" w:rsidRPr="00BD1319" w:rsidRDefault="00824C2D" w:rsidP="00C86DA5">
      <w:pPr>
        <w:rPr>
          <w:rFonts w:cs="Arial"/>
        </w:rPr>
      </w:pPr>
    </w:p>
    <w:p w14:paraId="5B3AB259" w14:textId="77777777" w:rsidR="009D132B" w:rsidRPr="00BD1319" w:rsidRDefault="009D132B" w:rsidP="00C86DA5">
      <w:pPr>
        <w:pStyle w:val="Prrafodelista"/>
        <w:numPr>
          <w:ilvl w:val="0"/>
          <w:numId w:val="118"/>
        </w:numPr>
        <w:ind w:left="567" w:hanging="567"/>
        <w:rPr>
          <w:rFonts w:cs="Arial"/>
          <w:lang w:val="es-CO"/>
        </w:rPr>
      </w:pPr>
      <w:r w:rsidRPr="00BD1319">
        <w:rPr>
          <w:rFonts w:cs="Arial"/>
          <w:lang w:val="es-CO"/>
        </w:rPr>
        <w:t>Cualquier información que permita predecir este fenómeno.</w:t>
      </w:r>
    </w:p>
    <w:p w14:paraId="424D2681" w14:textId="77777777" w:rsidR="00824C2D" w:rsidRPr="00BD1319" w:rsidRDefault="00824C2D" w:rsidP="00C86DA5">
      <w:pPr>
        <w:rPr>
          <w:rFonts w:cs="Arial"/>
        </w:rPr>
      </w:pPr>
    </w:p>
    <w:p w14:paraId="75D8EE8C" w14:textId="77777777" w:rsidR="009D132B" w:rsidRPr="00BD1319" w:rsidRDefault="009D132B" w:rsidP="00C86DA5">
      <w:pPr>
        <w:pStyle w:val="Prrafodelista"/>
        <w:numPr>
          <w:ilvl w:val="0"/>
          <w:numId w:val="118"/>
        </w:numPr>
        <w:ind w:left="567" w:hanging="567"/>
        <w:rPr>
          <w:rFonts w:cs="Arial"/>
          <w:lang w:val="es-CO"/>
        </w:rPr>
      </w:pPr>
      <w:r w:rsidRPr="00BD1319">
        <w:rPr>
          <w:rFonts w:cs="Arial"/>
          <w:lang w:val="es-CO"/>
        </w:rPr>
        <w:t>Frecuencia y registro de huracanes en la zona.</w:t>
      </w:r>
    </w:p>
    <w:p w14:paraId="16CD2346" w14:textId="77777777" w:rsidR="00824C2D" w:rsidRPr="00BD1319" w:rsidRDefault="00824C2D" w:rsidP="00C86DA5">
      <w:pPr>
        <w:rPr>
          <w:rFonts w:cs="Arial"/>
        </w:rPr>
      </w:pPr>
    </w:p>
    <w:p w14:paraId="1E44787B" w14:textId="1265BAA3" w:rsidR="009D132B" w:rsidRPr="00BD1319" w:rsidRDefault="009D132B" w:rsidP="00C86DA5">
      <w:pPr>
        <w:pStyle w:val="Prrafodelista"/>
        <w:numPr>
          <w:ilvl w:val="0"/>
          <w:numId w:val="118"/>
        </w:numPr>
        <w:ind w:left="567" w:hanging="567"/>
        <w:rPr>
          <w:rFonts w:cs="Arial"/>
          <w:lang w:val="es-CO"/>
        </w:rPr>
      </w:pPr>
      <w:r w:rsidRPr="00BD1319">
        <w:rPr>
          <w:rFonts w:cs="Arial"/>
          <w:lang w:val="es-CO"/>
        </w:rPr>
        <w:t>Energía ciclónica acumulada para la zona</w:t>
      </w:r>
      <w:r w:rsidR="00824C2D" w:rsidRPr="00BD1319">
        <w:rPr>
          <w:rFonts w:cs="Arial"/>
          <w:lang w:val="es-CO"/>
        </w:rPr>
        <w:t>.</w:t>
      </w:r>
    </w:p>
    <w:p w14:paraId="43CED7D5" w14:textId="72F5EB99" w:rsidR="008C4CCD" w:rsidRPr="00BD1319" w:rsidRDefault="008C4CCD">
      <w:pPr>
        <w:overflowPunct/>
        <w:autoSpaceDE/>
        <w:autoSpaceDN/>
        <w:adjustRightInd/>
        <w:jc w:val="left"/>
        <w:textAlignment w:val="auto"/>
        <w:rPr>
          <w:rFonts w:cs="Arial"/>
          <w:sz w:val="22"/>
        </w:rPr>
      </w:pPr>
    </w:p>
    <w:p w14:paraId="713AD55A" w14:textId="77777777" w:rsidR="009D132B" w:rsidRPr="00BD1319" w:rsidRDefault="009D132B" w:rsidP="009420F5">
      <w:pPr>
        <w:pStyle w:val="Ttulo4"/>
        <w:tabs>
          <w:tab w:val="clear" w:pos="1844"/>
          <w:tab w:val="num" w:pos="1134"/>
        </w:tabs>
        <w:ind w:left="0"/>
        <w:rPr>
          <w:lang w:val="es-CO"/>
        </w:rPr>
      </w:pPr>
      <w:bookmarkStart w:id="2843" w:name="_Toc8487550"/>
      <w:bookmarkStart w:id="2844" w:name="_Toc17809429"/>
      <w:r w:rsidRPr="00BD1319">
        <w:rPr>
          <w:lang w:val="es-CO"/>
        </w:rPr>
        <w:t>Corrientes</w:t>
      </w:r>
      <w:bookmarkEnd w:id="2843"/>
      <w:bookmarkEnd w:id="2844"/>
    </w:p>
    <w:p w14:paraId="7917C8C4" w14:textId="77777777" w:rsidR="009D132B" w:rsidRPr="00BD1319" w:rsidRDefault="009D132B" w:rsidP="009420F5"/>
    <w:p w14:paraId="207DF6C6" w14:textId="6FA7B30B" w:rsidR="009D132B" w:rsidRPr="00BD1319" w:rsidRDefault="009D132B" w:rsidP="009D132B">
      <w:pPr>
        <w:rPr>
          <w:rFonts w:cs="Arial"/>
        </w:rPr>
      </w:pPr>
      <w:r w:rsidRPr="00BD1319">
        <w:rPr>
          <w:rFonts w:cs="Arial"/>
        </w:rPr>
        <w:t>Se debe incluir como mínimo la siguiente información:</w:t>
      </w:r>
    </w:p>
    <w:p w14:paraId="1B70CF3E" w14:textId="77777777" w:rsidR="009D132B" w:rsidRPr="00BD1319" w:rsidRDefault="009D132B" w:rsidP="009420F5">
      <w:pPr>
        <w:rPr>
          <w:rFonts w:cs="Arial"/>
        </w:rPr>
      </w:pPr>
    </w:p>
    <w:p w14:paraId="51CB31AC" w14:textId="7D31C472" w:rsidR="009D132B" w:rsidRPr="00BD1319" w:rsidRDefault="009D132B" w:rsidP="00824C2D">
      <w:pPr>
        <w:pStyle w:val="Prrafodelista"/>
        <w:numPr>
          <w:ilvl w:val="0"/>
          <w:numId w:val="117"/>
        </w:numPr>
        <w:ind w:left="567" w:hanging="567"/>
        <w:rPr>
          <w:rFonts w:cs="Arial"/>
          <w:lang w:val="es-CO"/>
        </w:rPr>
      </w:pPr>
      <w:r w:rsidRPr="00BD1319">
        <w:rPr>
          <w:rFonts w:cs="Arial"/>
          <w:lang w:val="es-CO"/>
        </w:rPr>
        <w:t>Sistema</w:t>
      </w:r>
      <w:r w:rsidRPr="00BD1319">
        <w:rPr>
          <w:lang w:val="es-CO"/>
        </w:rPr>
        <w:t xml:space="preserve"> de corrientes </w:t>
      </w:r>
      <w:r w:rsidRPr="00BD1319">
        <w:rPr>
          <w:rFonts w:cs="Arial"/>
          <w:lang w:val="es-CO"/>
        </w:rPr>
        <w:t xml:space="preserve">marinas </w:t>
      </w:r>
      <w:r w:rsidR="00B45CC2" w:rsidRPr="00BD1319">
        <w:rPr>
          <w:spacing w:val="-3"/>
          <w:lang w:val="es-CO"/>
        </w:rPr>
        <w:t>para los diferentes períodos climáticos</w:t>
      </w:r>
      <w:r w:rsidRPr="00BD1319">
        <w:rPr>
          <w:rFonts w:cs="Arial"/>
          <w:lang w:val="es-CO"/>
        </w:rPr>
        <w:t xml:space="preserve">, describiendo tanto su tipo, origen y mecanismo de transporte, como su variabilidad en el espacio, relación con las mareas, dirección y tiempo, meteorología, magnitudes de los diversos componentes de corrientes y probabilidad estadística que se excedan las actuales magnitudes. Se debe </w:t>
      </w:r>
      <w:r w:rsidR="004E317D" w:rsidRPr="00BD1319">
        <w:rPr>
          <w:rFonts w:cs="Arial"/>
          <w:lang w:val="es-CO"/>
        </w:rPr>
        <w:t xml:space="preserve">señalar </w:t>
      </w:r>
      <w:r w:rsidRPr="00BD1319">
        <w:rPr>
          <w:rFonts w:cs="Arial"/>
          <w:lang w:val="es-CO"/>
        </w:rPr>
        <w:t>los métodos e instrumentos utilizados para la medición de las corrientes.</w:t>
      </w:r>
    </w:p>
    <w:p w14:paraId="2D7AB3A6" w14:textId="77777777" w:rsidR="00380C46" w:rsidRPr="00BD1319" w:rsidRDefault="00380C46" w:rsidP="00824C2D">
      <w:pPr>
        <w:pStyle w:val="Prrafodelista"/>
        <w:ind w:left="567" w:hanging="567"/>
        <w:rPr>
          <w:rFonts w:cs="Arial"/>
          <w:lang w:val="es-CO"/>
        </w:rPr>
      </w:pPr>
    </w:p>
    <w:p w14:paraId="7B3D7D81" w14:textId="1C3C4D55" w:rsidR="009D132B" w:rsidRPr="00BD1319" w:rsidRDefault="009D132B" w:rsidP="00824C2D">
      <w:pPr>
        <w:pStyle w:val="Prrafodelista"/>
        <w:numPr>
          <w:ilvl w:val="0"/>
          <w:numId w:val="117"/>
        </w:numPr>
        <w:ind w:left="567" w:hanging="567"/>
        <w:rPr>
          <w:rFonts w:cs="Arial"/>
          <w:lang w:val="es-CO"/>
        </w:rPr>
      </w:pPr>
      <w:r w:rsidRPr="00BD1319">
        <w:rPr>
          <w:rFonts w:cs="Arial"/>
          <w:lang w:val="es-CO"/>
        </w:rPr>
        <w:t>Dinámica de las corrientes marinas, identificando principalmente su dirección, probabilidad de ocurrencia y la intensidad de los flujos.</w:t>
      </w:r>
    </w:p>
    <w:p w14:paraId="52A629B2" w14:textId="77777777" w:rsidR="00380C46" w:rsidRPr="00BD1319" w:rsidRDefault="00380C46" w:rsidP="00824C2D">
      <w:pPr>
        <w:pStyle w:val="Prrafodelista"/>
        <w:ind w:left="567" w:hanging="567"/>
        <w:rPr>
          <w:rFonts w:cs="Arial"/>
          <w:lang w:val="es-CO"/>
        </w:rPr>
      </w:pPr>
    </w:p>
    <w:p w14:paraId="0104BEE5" w14:textId="44E81FBC" w:rsidR="009D132B" w:rsidRPr="00BD1319" w:rsidRDefault="009D132B" w:rsidP="00824C2D">
      <w:pPr>
        <w:pStyle w:val="Prrafodelista"/>
        <w:numPr>
          <w:ilvl w:val="0"/>
          <w:numId w:val="117"/>
        </w:numPr>
        <w:ind w:left="567" w:hanging="567"/>
        <w:rPr>
          <w:rFonts w:cs="Arial"/>
          <w:lang w:val="es-CO"/>
        </w:rPr>
      </w:pPr>
      <w:r w:rsidRPr="00BD1319">
        <w:rPr>
          <w:rFonts w:cs="Arial"/>
          <w:lang w:val="es-CO"/>
        </w:rPr>
        <w:lastRenderedPageBreak/>
        <w:t>Escenarios de circulación más probables y desfavorables ambientalmente, determinando los sectores que estarían involucrados en los impactos que se puedan derivar de las etapas o acciones del proyecto</w:t>
      </w:r>
      <w:r w:rsidR="004E317D" w:rsidRPr="00BD1319">
        <w:rPr>
          <w:rFonts w:cs="Arial"/>
          <w:lang w:val="es-CO"/>
        </w:rPr>
        <w:t>, obra o actividad</w:t>
      </w:r>
      <w:r w:rsidRPr="00BD1319">
        <w:rPr>
          <w:rFonts w:cs="Arial"/>
          <w:lang w:val="es-CO"/>
        </w:rPr>
        <w:t>, enfatizando la situación en el sector de implantación de las obras.</w:t>
      </w:r>
    </w:p>
    <w:p w14:paraId="3CEA20AF" w14:textId="77777777" w:rsidR="00380C46" w:rsidRPr="00BD1319" w:rsidRDefault="00380C46" w:rsidP="00824C2D">
      <w:pPr>
        <w:pStyle w:val="Prrafodelista"/>
        <w:ind w:left="567" w:hanging="567"/>
        <w:rPr>
          <w:rFonts w:cs="Arial"/>
          <w:lang w:val="es-CO"/>
        </w:rPr>
      </w:pPr>
    </w:p>
    <w:p w14:paraId="2E1C0294" w14:textId="0806ADE7" w:rsidR="009D132B" w:rsidRPr="00BD1319" w:rsidRDefault="009D132B" w:rsidP="00C86DA5">
      <w:pPr>
        <w:pStyle w:val="Prrafodelista"/>
        <w:numPr>
          <w:ilvl w:val="0"/>
          <w:numId w:val="117"/>
        </w:numPr>
        <w:ind w:left="567" w:hanging="567"/>
        <w:rPr>
          <w:lang w:val="es-CO"/>
        </w:rPr>
      </w:pPr>
      <w:r w:rsidRPr="00BD1319">
        <w:rPr>
          <w:rFonts w:cs="Arial"/>
          <w:lang w:val="es-CO"/>
        </w:rPr>
        <w:t>Descripción del comportamiento de las corrientes marinas y de las corrientes costeras (</w:t>
      </w:r>
      <w:r w:rsidRPr="00BD1319">
        <w:rPr>
          <w:lang w:val="es-CO"/>
        </w:rPr>
        <w:t xml:space="preserve">mayores, menores y residuales </w:t>
      </w:r>
      <w:r w:rsidRPr="00BD1319">
        <w:rPr>
          <w:rFonts w:cs="Arial"/>
          <w:lang w:val="es-CO"/>
        </w:rPr>
        <w:t>debid</w:t>
      </w:r>
      <w:r w:rsidR="004E317D" w:rsidRPr="00BD1319">
        <w:rPr>
          <w:rFonts w:cs="Arial"/>
          <w:lang w:val="es-CO"/>
        </w:rPr>
        <w:t>o</w:t>
      </w:r>
      <w:r w:rsidRPr="00BD1319">
        <w:rPr>
          <w:lang w:val="es-CO"/>
        </w:rPr>
        <w:t xml:space="preserve"> a las olas y vientos, tanto superficiales como de fondo) incluyendo velocidad como función de la profundidad, variabilidad en el espacio, dirección y tiempo, magnitudes de los diversos componentes de </w:t>
      </w:r>
      <w:r w:rsidRPr="00BD1319">
        <w:rPr>
          <w:rFonts w:cs="Arial"/>
          <w:lang w:val="es-CO"/>
        </w:rPr>
        <w:t>corrientes</w:t>
      </w:r>
      <w:r w:rsidRPr="00BD1319">
        <w:rPr>
          <w:lang w:val="es-CO"/>
        </w:rPr>
        <w:t>.</w:t>
      </w:r>
      <w:r w:rsidRPr="00BD1319">
        <w:rPr>
          <w:rFonts w:cs="Arial"/>
          <w:lang w:val="es-CO"/>
        </w:rPr>
        <w:t xml:space="preserve"> </w:t>
      </w:r>
      <w:r w:rsidR="004E317D" w:rsidRPr="00BD1319">
        <w:rPr>
          <w:rFonts w:cs="Arial"/>
          <w:lang w:val="es-CO"/>
        </w:rPr>
        <w:t>D</w:t>
      </w:r>
      <w:r w:rsidRPr="00BD1319">
        <w:rPr>
          <w:rFonts w:cs="Arial"/>
          <w:lang w:val="es-CO"/>
        </w:rPr>
        <w:t>escripción de los métodos e instrumentos utilizados para la medición de corrientes</w:t>
      </w:r>
      <w:r w:rsidR="001B09EE" w:rsidRPr="00BD1319">
        <w:rPr>
          <w:rFonts w:cs="Arial"/>
          <w:lang w:val="es-CO"/>
        </w:rPr>
        <w:t xml:space="preserve"> </w:t>
      </w:r>
      <w:r w:rsidR="001B09EE" w:rsidRPr="00BD1319">
        <w:rPr>
          <w:lang w:val="es-CO"/>
        </w:rPr>
        <w:t>a diferentes profundidades</w:t>
      </w:r>
      <w:r w:rsidRPr="00BD1319">
        <w:rPr>
          <w:rFonts w:cs="Arial"/>
          <w:lang w:val="es-CO"/>
        </w:rPr>
        <w:t>.</w:t>
      </w:r>
    </w:p>
    <w:p w14:paraId="356D514A" w14:textId="77777777" w:rsidR="00380C46" w:rsidRPr="00BD1319" w:rsidRDefault="00380C46" w:rsidP="00C86DA5">
      <w:pPr>
        <w:pStyle w:val="Prrafodelista"/>
        <w:ind w:left="567" w:hanging="567"/>
        <w:rPr>
          <w:lang w:val="es-CO"/>
        </w:rPr>
      </w:pPr>
    </w:p>
    <w:p w14:paraId="039BA1C4" w14:textId="034A2D3F" w:rsidR="009D132B" w:rsidRPr="00BD1319" w:rsidRDefault="009D132B" w:rsidP="00824C2D">
      <w:pPr>
        <w:pStyle w:val="Prrafodelista"/>
        <w:numPr>
          <w:ilvl w:val="0"/>
          <w:numId w:val="117"/>
        </w:numPr>
        <w:ind w:left="567" w:hanging="567"/>
        <w:rPr>
          <w:rFonts w:cs="Arial"/>
          <w:lang w:val="es-CO"/>
        </w:rPr>
      </w:pPr>
      <w:r w:rsidRPr="00BD1319">
        <w:rPr>
          <w:rFonts w:cs="Arial"/>
          <w:lang w:val="es-CO"/>
        </w:rPr>
        <w:t>Sistemas circulatorios de corrientes mediante la aplicación de modelos numéricos de circulación de corrientes, oleaje y mareas, entre otros, generando sistemas circulatorios en playas, que permiten calcular el transporte de sedimentos y las variaciones de la línea de costa.</w:t>
      </w:r>
    </w:p>
    <w:p w14:paraId="28A1B26D" w14:textId="77777777" w:rsidR="00380C46" w:rsidRPr="00BD1319" w:rsidRDefault="00380C46" w:rsidP="00824C2D">
      <w:pPr>
        <w:pStyle w:val="Prrafodelista"/>
        <w:ind w:left="567" w:hanging="567"/>
        <w:rPr>
          <w:rFonts w:cs="Arial"/>
          <w:lang w:val="es-CO"/>
        </w:rPr>
      </w:pPr>
    </w:p>
    <w:p w14:paraId="04998B73" w14:textId="3A6EFAF9" w:rsidR="009D132B" w:rsidRPr="00BD1319" w:rsidRDefault="009D132B" w:rsidP="00824C2D">
      <w:pPr>
        <w:pStyle w:val="Prrafodelista"/>
        <w:numPr>
          <w:ilvl w:val="0"/>
          <w:numId w:val="117"/>
        </w:numPr>
        <w:ind w:left="567" w:hanging="567"/>
        <w:rPr>
          <w:rFonts w:cs="Arial"/>
          <w:lang w:val="es-CO"/>
        </w:rPr>
      </w:pPr>
      <w:r w:rsidRPr="00BD1319">
        <w:rPr>
          <w:rFonts w:cs="Arial"/>
          <w:lang w:val="es-CO"/>
        </w:rPr>
        <w:t xml:space="preserve">Dirección (grados) y magnitud (m/s), con una frecuencia mínima mensual. La información debe presentarse como serie de tiempo completa y del ciclo anual, </w:t>
      </w:r>
      <w:r w:rsidR="00556615" w:rsidRPr="00BD1319">
        <w:rPr>
          <w:rFonts w:cs="Arial"/>
          <w:lang w:val="es-CO"/>
        </w:rPr>
        <w:t xml:space="preserve">junto con sus </w:t>
      </w:r>
      <w:r w:rsidR="00183751" w:rsidRPr="00BD1319">
        <w:rPr>
          <w:rFonts w:cs="Arial"/>
          <w:lang w:val="es-CO"/>
        </w:rPr>
        <w:t>promedios estacionales</w:t>
      </w:r>
      <w:r w:rsidR="00556615" w:rsidRPr="00BD1319">
        <w:rPr>
          <w:rFonts w:cs="Arial"/>
          <w:lang w:val="es-CO"/>
        </w:rPr>
        <w:t>; las corrientes deben representarse en</w:t>
      </w:r>
      <w:r w:rsidRPr="00BD1319">
        <w:rPr>
          <w:rFonts w:cs="Arial"/>
          <w:lang w:val="es-CO"/>
        </w:rPr>
        <w:t xml:space="preserve"> </w:t>
      </w:r>
      <w:r w:rsidR="004E317D" w:rsidRPr="00BD1319">
        <w:rPr>
          <w:rFonts w:cs="Arial"/>
          <w:lang w:val="es-CO"/>
        </w:rPr>
        <w:t>m</w:t>
      </w:r>
      <w:r w:rsidRPr="00BD1319">
        <w:rPr>
          <w:rFonts w:cs="Arial"/>
          <w:lang w:val="es-CO"/>
        </w:rPr>
        <w:t>apas X, Y.</w:t>
      </w:r>
    </w:p>
    <w:p w14:paraId="11876F31" w14:textId="77777777" w:rsidR="009D132B" w:rsidRPr="00BD1319" w:rsidRDefault="009D132B" w:rsidP="009D132B">
      <w:pPr>
        <w:overflowPunct/>
        <w:autoSpaceDE/>
        <w:autoSpaceDN/>
        <w:adjustRightInd/>
        <w:textAlignment w:val="auto"/>
        <w:rPr>
          <w:rFonts w:cs="Arial"/>
          <w:szCs w:val="22"/>
        </w:rPr>
      </w:pPr>
    </w:p>
    <w:p w14:paraId="7F7F468A" w14:textId="77777777" w:rsidR="009D132B" w:rsidRPr="00BD1319" w:rsidRDefault="009D132B" w:rsidP="009420F5">
      <w:pPr>
        <w:pStyle w:val="Ttulo4"/>
        <w:tabs>
          <w:tab w:val="clear" w:pos="1844"/>
          <w:tab w:val="num" w:pos="1134"/>
        </w:tabs>
        <w:ind w:left="0"/>
        <w:rPr>
          <w:lang w:val="es-CO"/>
        </w:rPr>
      </w:pPr>
      <w:bookmarkStart w:id="2845" w:name="_Toc8487554"/>
      <w:bookmarkStart w:id="2846" w:name="_Toc17809433"/>
      <w:r w:rsidRPr="00BD1319">
        <w:rPr>
          <w:lang w:val="es-CO"/>
        </w:rPr>
        <w:t>Perfiles de temperatura y salinidad (densidad del mar)</w:t>
      </w:r>
      <w:bookmarkEnd w:id="2845"/>
      <w:bookmarkEnd w:id="2846"/>
    </w:p>
    <w:p w14:paraId="50C21567" w14:textId="77777777" w:rsidR="009D132B" w:rsidRPr="00BD1319" w:rsidRDefault="009D132B" w:rsidP="009D132B">
      <w:pPr>
        <w:overflowPunct/>
        <w:autoSpaceDE/>
        <w:autoSpaceDN/>
        <w:adjustRightInd/>
        <w:textAlignment w:val="auto"/>
        <w:rPr>
          <w:rFonts w:cs="Arial"/>
          <w:szCs w:val="22"/>
        </w:rPr>
      </w:pPr>
    </w:p>
    <w:p w14:paraId="40BBFCFD" w14:textId="5124BCEB" w:rsidR="009D132B" w:rsidRPr="00BD1319" w:rsidRDefault="009D132B" w:rsidP="009D132B">
      <w:pPr>
        <w:overflowPunct/>
        <w:autoSpaceDE/>
        <w:autoSpaceDN/>
        <w:adjustRightInd/>
        <w:textAlignment w:val="auto"/>
        <w:rPr>
          <w:rFonts w:cs="Arial"/>
        </w:rPr>
      </w:pPr>
      <w:r w:rsidRPr="00BD1319">
        <w:rPr>
          <w:rFonts w:cs="Arial"/>
        </w:rPr>
        <w:t xml:space="preserve">Debe presentarse la </w:t>
      </w:r>
      <w:r w:rsidR="00824C2D" w:rsidRPr="00BD1319">
        <w:rPr>
          <w:rFonts w:cs="Arial"/>
        </w:rPr>
        <w:t>t</w:t>
      </w:r>
      <w:r w:rsidRPr="00BD1319">
        <w:rPr>
          <w:rFonts w:cs="Arial"/>
        </w:rPr>
        <w:t xml:space="preserve">emperatura (°C) y la salinidad con frecuencia temporal mínima </w:t>
      </w:r>
      <w:r w:rsidR="004E5559" w:rsidRPr="00BD1319">
        <w:rPr>
          <w:rFonts w:cs="Arial"/>
        </w:rPr>
        <w:t>m</w:t>
      </w:r>
      <w:r w:rsidRPr="00BD1319">
        <w:rPr>
          <w:rFonts w:cs="Arial"/>
        </w:rPr>
        <w:t>ensual</w:t>
      </w:r>
      <w:r w:rsidR="004E5559" w:rsidRPr="00BD1319">
        <w:rPr>
          <w:rFonts w:cs="Arial"/>
        </w:rPr>
        <w:t>;</w:t>
      </w:r>
      <w:r w:rsidRPr="00BD1319">
        <w:rPr>
          <w:rFonts w:cs="Arial"/>
        </w:rPr>
        <w:t xml:space="preserve"> se debe entregar la serie de tiempo completa y del ciclo anual, </w:t>
      </w:r>
      <w:r w:rsidR="004E5559" w:rsidRPr="00BD1319">
        <w:rPr>
          <w:rFonts w:cs="Arial"/>
        </w:rPr>
        <w:t>m</w:t>
      </w:r>
      <w:r w:rsidRPr="00BD1319">
        <w:rPr>
          <w:rFonts w:cs="Arial"/>
        </w:rPr>
        <w:t>apas (X, Y) promedios estacionales y perfiles mensuales climatológicos.</w:t>
      </w:r>
    </w:p>
    <w:p w14:paraId="06E55752" w14:textId="77777777" w:rsidR="009D132B" w:rsidRPr="00BD1319" w:rsidRDefault="009D132B" w:rsidP="009D132B">
      <w:pPr>
        <w:overflowPunct/>
        <w:autoSpaceDE/>
        <w:autoSpaceDN/>
        <w:adjustRightInd/>
        <w:textAlignment w:val="auto"/>
        <w:rPr>
          <w:rFonts w:cs="Arial"/>
        </w:rPr>
      </w:pPr>
    </w:p>
    <w:p w14:paraId="27539D5D" w14:textId="2A541F4D" w:rsidR="009D132B" w:rsidRPr="00BD1319" w:rsidRDefault="009D132B" w:rsidP="00486598">
      <w:pPr>
        <w:overflowPunct/>
        <w:autoSpaceDE/>
        <w:autoSpaceDN/>
        <w:adjustRightInd/>
        <w:textAlignment w:val="auto"/>
        <w:rPr>
          <w:rFonts w:cs="Arial"/>
        </w:rPr>
      </w:pPr>
      <w:r w:rsidRPr="00BD1319">
        <w:rPr>
          <w:rFonts w:cs="Arial"/>
        </w:rPr>
        <w:t>El cálculo posterior de otras propiedades del agua de mar tales como densidad, velocidad del sonido, entre otras</w:t>
      </w:r>
      <w:r w:rsidR="004E5559" w:rsidRPr="00BD1319">
        <w:rPr>
          <w:rFonts w:cs="Arial"/>
        </w:rPr>
        <w:t>,</w:t>
      </w:r>
      <w:r w:rsidRPr="00BD1319">
        <w:rPr>
          <w:rFonts w:cs="Arial"/>
        </w:rPr>
        <w:t xml:space="preserve"> a partir de mediciones de temperatura y salinidad, debe realizarse mediante los algoritmos computaciones dado</w:t>
      </w:r>
      <w:r w:rsidR="008E0A8B" w:rsidRPr="00BD1319">
        <w:rPr>
          <w:rFonts w:cs="Arial"/>
        </w:rPr>
        <w:t>s</w:t>
      </w:r>
      <w:r w:rsidR="00486598" w:rsidRPr="00BD1319">
        <w:rPr>
          <w:rFonts w:cs="Arial"/>
        </w:rPr>
        <w:t xml:space="preserve"> en el documento </w:t>
      </w:r>
      <w:r w:rsidR="008E0A8B" w:rsidRPr="00BD1319">
        <w:rPr>
          <w:rFonts w:cs="Arial"/>
        </w:rPr>
        <w:t>“</w:t>
      </w:r>
      <w:proofErr w:type="spellStart"/>
      <w:r w:rsidR="00486598" w:rsidRPr="00BD1319">
        <w:rPr>
          <w:rFonts w:cs="Arial"/>
        </w:rPr>
        <w:t>The</w:t>
      </w:r>
      <w:proofErr w:type="spellEnd"/>
      <w:r w:rsidR="00486598" w:rsidRPr="00BD1319">
        <w:rPr>
          <w:rFonts w:cs="Arial"/>
        </w:rPr>
        <w:t xml:space="preserve"> </w:t>
      </w:r>
      <w:proofErr w:type="spellStart"/>
      <w:r w:rsidR="00486598" w:rsidRPr="00BD1319">
        <w:rPr>
          <w:rFonts w:cs="Arial"/>
        </w:rPr>
        <w:t>international</w:t>
      </w:r>
      <w:proofErr w:type="spellEnd"/>
      <w:r w:rsidR="00486598" w:rsidRPr="00BD1319">
        <w:rPr>
          <w:rFonts w:cs="Arial"/>
        </w:rPr>
        <w:t xml:space="preserve"> </w:t>
      </w:r>
      <w:proofErr w:type="spellStart"/>
      <w:r w:rsidR="00486598" w:rsidRPr="00BD1319">
        <w:rPr>
          <w:rFonts w:cs="Arial"/>
        </w:rPr>
        <w:t>thermodynamic</w:t>
      </w:r>
      <w:proofErr w:type="spellEnd"/>
      <w:r w:rsidR="00486598" w:rsidRPr="00BD1319">
        <w:rPr>
          <w:rFonts w:cs="Arial"/>
        </w:rPr>
        <w:t xml:space="preserve"> </w:t>
      </w:r>
      <w:proofErr w:type="spellStart"/>
      <w:r w:rsidR="00486598" w:rsidRPr="00BD1319">
        <w:rPr>
          <w:rFonts w:cs="Arial"/>
        </w:rPr>
        <w:t>equation</w:t>
      </w:r>
      <w:proofErr w:type="spellEnd"/>
      <w:r w:rsidR="00486598" w:rsidRPr="00BD1319">
        <w:rPr>
          <w:rFonts w:cs="Arial"/>
        </w:rPr>
        <w:t xml:space="preserve"> </w:t>
      </w:r>
      <w:proofErr w:type="spellStart"/>
      <w:r w:rsidR="00486598" w:rsidRPr="00BD1319">
        <w:rPr>
          <w:rFonts w:cs="Arial"/>
        </w:rPr>
        <w:t>of</w:t>
      </w:r>
      <w:proofErr w:type="spellEnd"/>
      <w:r w:rsidR="00486598" w:rsidRPr="00BD1319">
        <w:rPr>
          <w:rFonts w:cs="Arial"/>
        </w:rPr>
        <w:t xml:space="preserve"> </w:t>
      </w:r>
      <w:proofErr w:type="spellStart"/>
      <w:r w:rsidR="00486598" w:rsidRPr="00BD1319">
        <w:rPr>
          <w:rFonts w:cs="Arial"/>
        </w:rPr>
        <w:t>seawater</w:t>
      </w:r>
      <w:proofErr w:type="spellEnd"/>
      <w:r w:rsidR="00486598" w:rsidRPr="00BD1319">
        <w:rPr>
          <w:rFonts w:cs="Arial"/>
        </w:rPr>
        <w:t xml:space="preserve"> – 2010</w:t>
      </w:r>
      <w:r w:rsidR="008E0A8B" w:rsidRPr="00BD1319">
        <w:rPr>
          <w:rFonts w:cs="Arial"/>
        </w:rPr>
        <w:t>”</w:t>
      </w:r>
      <w:r w:rsidR="00486598" w:rsidRPr="00BD1319">
        <w:rPr>
          <w:rFonts w:cs="Arial"/>
        </w:rPr>
        <w:t xml:space="preserve"> de </w:t>
      </w:r>
      <w:r w:rsidR="009E0DFA" w:rsidRPr="00BD1319">
        <w:rPr>
          <w:rFonts w:cs="Arial"/>
        </w:rPr>
        <w:t xml:space="preserve">IOC, </w:t>
      </w:r>
      <w:r w:rsidRPr="00BD1319">
        <w:rPr>
          <w:rFonts w:cs="Arial"/>
        </w:rPr>
        <w:t>SCOR</w:t>
      </w:r>
      <w:r w:rsidR="009E0DFA" w:rsidRPr="00BD1319">
        <w:rPr>
          <w:rFonts w:cs="Arial"/>
        </w:rPr>
        <w:t xml:space="preserve"> </w:t>
      </w:r>
      <w:r w:rsidR="008E0A8B" w:rsidRPr="00BD1319">
        <w:rPr>
          <w:rFonts w:cs="Arial"/>
        </w:rPr>
        <w:t>&amp;</w:t>
      </w:r>
      <w:r w:rsidR="009E0DFA" w:rsidRPr="00BD1319">
        <w:rPr>
          <w:rFonts w:cs="Arial"/>
        </w:rPr>
        <w:t xml:space="preserve"> IAPSO </w:t>
      </w:r>
      <w:r w:rsidR="004E5559" w:rsidRPr="00BD1319">
        <w:rPr>
          <w:rFonts w:cs="Arial"/>
        </w:rPr>
        <w:t>(</w:t>
      </w:r>
      <w:r w:rsidRPr="00BD1319">
        <w:rPr>
          <w:rFonts w:cs="Arial"/>
        </w:rPr>
        <w:t>2010).</w:t>
      </w:r>
    </w:p>
    <w:p w14:paraId="0015DDE0" w14:textId="77777777" w:rsidR="00556615" w:rsidRPr="00BD1319" w:rsidRDefault="00556615" w:rsidP="009D132B">
      <w:pPr>
        <w:overflowPunct/>
        <w:autoSpaceDE/>
        <w:autoSpaceDN/>
        <w:adjustRightInd/>
        <w:textAlignment w:val="auto"/>
        <w:rPr>
          <w:rFonts w:cs="Arial"/>
        </w:rPr>
      </w:pPr>
    </w:p>
    <w:p w14:paraId="27516ED5" w14:textId="77777777" w:rsidR="009D132B" w:rsidRPr="00BD1319" w:rsidRDefault="009D132B" w:rsidP="009420F5">
      <w:pPr>
        <w:pStyle w:val="Ttulo4"/>
        <w:tabs>
          <w:tab w:val="clear" w:pos="1844"/>
          <w:tab w:val="num" w:pos="1134"/>
        </w:tabs>
        <w:ind w:left="0"/>
        <w:rPr>
          <w:lang w:val="es-CO"/>
        </w:rPr>
      </w:pPr>
      <w:bookmarkStart w:id="2847" w:name="_Toc8487555"/>
      <w:bookmarkStart w:id="2848" w:name="_Toc17809434"/>
      <w:r w:rsidRPr="00BD1319">
        <w:rPr>
          <w:lang w:val="es-CO"/>
        </w:rPr>
        <w:t>Transporte de partículas</w:t>
      </w:r>
      <w:bookmarkEnd w:id="2847"/>
      <w:bookmarkEnd w:id="2848"/>
    </w:p>
    <w:p w14:paraId="7A15A2B7" w14:textId="77777777" w:rsidR="009D132B" w:rsidRPr="00BD1319" w:rsidRDefault="009D132B" w:rsidP="009D132B">
      <w:pPr>
        <w:overflowPunct/>
        <w:autoSpaceDE/>
        <w:autoSpaceDN/>
        <w:adjustRightInd/>
        <w:textAlignment w:val="auto"/>
        <w:rPr>
          <w:rFonts w:cs="Arial"/>
          <w:sz w:val="22"/>
          <w:szCs w:val="22"/>
        </w:rPr>
      </w:pPr>
    </w:p>
    <w:p w14:paraId="2B102F4F" w14:textId="434145F4" w:rsidR="009D132B" w:rsidRPr="00BD1319" w:rsidRDefault="009D132B" w:rsidP="009D132B">
      <w:pPr>
        <w:overflowPunct/>
        <w:autoSpaceDE/>
        <w:autoSpaceDN/>
        <w:adjustRightInd/>
        <w:textAlignment w:val="auto"/>
        <w:rPr>
          <w:rFonts w:cs="Arial"/>
        </w:rPr>
      </w:pPr>
      <w:r w:rsidRPr="00BD1319">
        <w:rPr>
          <w:rFonts w:cs="Arial"/>
        </w:rPr>
        <w:t xml:space="preserve">Se debe realizar una descripción del transporte </w:t>
      </w:r>
      <w:proofErr w:type="spellStart"/>
      <w:r w:rsidRPr="00BD1319">
        <w:rPr>
          <w:rFonts w:cs="Arial"/>
        </w:rPr>
        <w:t>eueleriano</w:t>
      </w:r>
      <w:proofErr w:type="spellEnd"/>
      <w:r w:rsidR="00F809E0" w:rsidRPr="00BD1319">
        <w:rPr>
          <w:rFonts w:cs="Arial"/>
        </w:rPr>
        <w:t xml:space="preserve"> o </w:t>
      </w:r>
      <w:proofErr w:type="spellStart"/>
      <w:r w:rsidR="00F809E0" w:rsidRPr="00BD1319">
        <w:rPr>
          <w:rFonts w:cs="Arial"/>
        </w:rPr>
        <w:t>lagrangiano</w:t>
      </w:r>
      <w:proofErr w:type="spellEnd"/>
      <w:r w:rsidRPr="00BD1319">
        <w:rPr>
          <w:rFonts w:cs="Arial"/>
        </w:rPr>
        <w:t xml:space="preserve"> de partículas, las cuales pueden ser entendidas como contaminantes </w:t>
      </w:r>
      <w:r w:rsidR="004E5559" w:rsidRPr="00BD1319">
        <w:rPr>
          <w:rFonts w:cs="Arial"/>
        </w:rPr>
        <w:t>(</w:t>
      </w:r>
      <w:r w:rsidRPr="00BD1319">
        <w:rPr>
          <w:rFonts w:cs="Arial"/>
        </w:rPr>
        <w:t xml:space="preserve">desechos industriales y domésticos, </w:t>
      </w:r>
      <w:r w:rsidR="00B254D2" w:rsidRPr="00BD1319">
        <w:rPr>
          <w:rFonts w:cs="Arial"/>
        </w:rPr>
        <w:t xml:space="preserve">y </w:t>
      </w:r>
      <w:r w:rsidRPr="00BD1319">
        <w:rPr>
          <w:rFonts w:cs="Arial"/>
        </w:rPr>
        <w:t>combustibles y aceites derramados, entre otros</w:t>
      </w:r>
      <w:r w:rsidR="004E5559" w:rsidRPr="00BD1319">
        <w:rPr>
          <w:rFonts w:cs="Arial"/>
        </w:rPr>
        <w:t>)</w:t>
      </w:r>
      <w:r w:rsidRPr="00BD1319">
        <w:rPr>
          <w:rFonts w:cs="Arial"/>
        </w:rPr>
        <w:t>.</w:t>
      </w:r>
    </w:p>
    <w:p w14:paraId="26F3A1AC" w14:textId="77777777" w:rsidR="009D132B" w:rsidRPr="00BD1319" w:rsidRDefault="009D132B" w:rsidP="009D132B">
      <w:pPr>
        <w:overflowPunct/>
        <w:autoSpaceDE/>
        <w:autoSpaceDN/>
        <w:adjustRightInd/>
        <w:textAlignment w:val="auto"/>
        <w:rPr>
          <w:rFonts w:cs="Arial"/>
        </w:rPr>
      </w:pPr>
    </w:p>
    <w:p w14:paraId="6B8E1142" w14:textId="48612D7D" w:rsidR="009D132B" w:rsidRPr="00BD1319" w:rsidRDefault="009D132B" w:rsidP="009D132B">
      <w:pPr>
        <w:overflowPunct/>
        <w:autoSpaceDE/>
        <w:autoSpaceDN/>
        <w:adjustRightInd/>
        <w:textAlignment w:val="auto"/>
        <w:rPr>
          <w:rFonts w:cs="Arial"/>
        </w:rPr>
      </w:pPr>
      <w:r w:rsidRPr="00BD1319">
        <w:rPr>
          <w:rFonts w:cs="Arial"/>
        </w:rPr>
        <w:lastRenderedPageBreak/>
        <w:t xml:space="preserve">Para </w:t>
      </w:r>
      <w:r w:rsidR="00B254D2" w:rsidRPr="00BD1319">
        <w:rPr>
          <w:rFonts w:cs="Arial"/>
        </w:rPr>
        <w:t xml:space="preserve">caracterizar </w:t>
      </w:r>
      <w:r w:rsidRPr="00BD1319">
        <w:rPr>
          <w:rFonts w:cs="Arial"/>
        </w:rPr>
        <w:t xml:space="preserve">esta variable física se deben usar modelos numéricos que puedan simular adecuadamente diferentes escenarios climáticos en </w:t>
      </w:r>
      <w:r w:rsidR="00B45CC2" w:rsidRPr="00BD1319">
        <w:rPr>
          <w:rFonts w:cs="Arial"/>
        </w:rPr>
        <w:t>áreas marinas y costeras</w:t>
      </w:r>
      <w:r w:rsidRPr="00BD1319">
        <w:rPr>
          <w:rFonts w:cs="Arial"/>
        </w:rPr>
        <w:t>. El objetivo de las simulaciones computacionales del destino y trayectoria de contaminantes en el agua de mar es la estimación de los caminos que toma</w:t>
      </w:r>
      <w:r w:rsidR="00B254D2" w:rsidRPr="00BD1319">
        <w:rPr>
          <w:rFonts w:cs="Arial"/>
        </w:rPr>
        <w:t>n</w:t>
      </w:r>
      <w:r w:rsidRPr="00BD1319">
        <w:rPr>
          <w:rFonts w:cs="Arial"/>
        </w:rPr>
        <w:t xml:space="preserve">, </w:t>
      </w:r>
      <w:r w:rsidR="00B254D2" w:rsidRPr="00BD1319">
        <w:rPr>
          <w:rFonts w:cs="Arial"/>
        </w:rPr>
        <w:t xml:space="preserve">de los </w:t>
      </w:r>
      <w:r w:rsidRPr="00BD1319">
        <w:rPr>
          <w:rFonts w:cs="Arial"/>
        </w:rPr>
        <w:t xml:space="preserve">tiempos de viaje, </w:t>
      </w:r>
      <w:r w:rsidR="00B254D2" w:rsidRPr="00BD1319">
        <w:rPr>
          <w:rFonts w:cs="Arial"/>
        </w:rPr>
        <w:t xml:space="preserve">y de la </w:t>
      </w:r>
      <w:r w:rsidRPr="00BD1319">
        <w:rPr>
          <w:rFonts w:cs="Arial"/>
        </w:rPr>
        <w:t xml:space="preserve">distribución espacial según las condiciones predominantes en las distintas épocas climáticas del año. El modelo seleccionado </w:t>
      </w:r>
      <w:r w:rsidR="00103345" w:rsidRPr="00BD1319">
        <w:rPr>
          <w:rFonts w:cs="Arial"/>
        </w:rPr>
        <w:t>debe</w:t>
      </w:r>
      <w:r w:rsidRPr="00BD1319">
        <w:rPr>
          <w:rFonts w:cs="Arial"/>
        </w:rPr>
        <w:t xml:space="preserve"> poder representar un gran rango de condiciones ambientales tales como diferentes rangos de marea</w:t>
      </w:r>
      <w:r w:rsidR="001B09EE" w:rsidRPr="00BD1319">
        <w:rPr>
          <w:rFonts w:cs="Arial"/>
        </w:rPr>
        <w:t xml:space="preserve"> en la región, clima de oleaje</w:t>
      </w:r>
      <w:r w:rsidRPr="00BD1319">
        <w:rPr>
          <w:rFonts w:cs="Arial"/>
        </w:rPr>
        <w:t>, intensidades y direcciones de las corrientes y condiciones de viento predominantes y extremas.</w:t>
      </w:r>
    </w:p>
    <w:p w14:paraId="4438FFA5" w14:textId="619AA9BE" w:rsidR="009D132B" w:rsidRPr="00BD1319" w:rsidRDefault="009D132B" w:rsidP="009D132B">
      <w:pPr>
        <w:overflowPunct/>
        <w:autoSpaceDE/>
        <w:autoSpaceDN/>
        <w:adjustRightInd/>
        <w:textAlignment w:val="auto"/>
        <w:rPr>
          <w:rFonts w:cs="Arial"/>
        </w:rPr>
      </w:pPr>
    </w:p>
    <w:p w14:paraId="59B441B8" w14:textId="49216288" w:rsidR="009D132B" w:rsidRPr="00BD1319" w:rsidRDefault="009D132B" w:rsidP="009D132B">
      <w:pPr>
        <w:overflowPunct/>
        <w:autoSpaceDE/>
        <w:autoSpaceDN/>
        <w:adjustRightInd/>
        <w:textAlignment w:val="auto"/>
        <w:rPr>
          <w:rFonts w:cs="Arial"/>
        </w:rPr>
      </w:pPr>
      <w:r w:rsidRPr="00BD1319">
        <w:rPr>
          <w:rFonts w:cs="Arial"/>
        </w:rPr>
        <w:t>El modelo debe calcular y registrar la distribución en las tres dimensiones físicas (latitud, longitud y profundidad) más el tiempo que un contaminante se mantiene en la superficie del agua a lo largo de la costa, en la columna de agua y en los sedimentos</w:t>
      </w:r>
      <w:r w:rsidR="004738C6" w:rsidRPr="00BD1319">
        <w:rPr>
          <w:rFonts w:cs="Arial"/>
        </w:rPr>
        <w:t xml:space="preserve">, </w:t>
      </w:r>
      <w:r w:rsidRPr="00BD1319">
        <w:rPr>
          <w:rFonts w:cs="Arial"/>
        </w:rPr>
        <w:t>model</w:t>
      </w:r>
      <w:r w:rsidR="00C74BBB" w:rsidRPr="00BD1319">
        <w:rPr>
          <w:rFonts w:cs="Arial"/>
        </w:rPr>
        <w:t>iz</w:t>
      </w:r>
      <w:r w:rsidRPr="00BD1319">
        <w:rPr>
          <w:rFonts w:cs="Arial"/>
        </w:rPr>
        <w:t>a</w:t>
      </w:r>
      <w:r w:rsidR="004738C6" w:rsidRPr="00BD1319">
        <w:rPr>
          <w:rFonts w:cs="Arial"/>
        </w:rPr>
        <w:t>ndo</w:t>
      </w:r>
      <w:r w:rsidRPr="00BD1319">
        <w:rPr>
          <w:rFonts w:cs="Arial"/>
        </w:rPr>
        <w:t xml:space="preserve"> la superficie del mar, un nivel intermedio y las aguas del fondo</w:t>
      </w:r>
      <w:r w:rsidR="004738C6" w:rsidRPr="00BD1319">
        <w:rPr>
          <w:rStyle w:val="Refdenotaalpie"/>
          <w:rFonts w:cs="Arial"/>
          <w:lang w:val="es-CO"/>
        </w:rPr>
        <w:footnoteReference w:id="120"/>
      </w:r>
      <w:r w:rsidRPr="00BD1319">
        <w:rPr>
          <w:rFonts w:cs="Arial"/>
        </w:rPr>
        <w:t xml:space="preserve">. La resolución del modelo </w:t>
      </w:r>
      <w:r w:rsidR="00103345" w:rsidRPr="00BD1319">
        <w:rPr>
          <w:rFonts w:cs="Arial"/>
        </w:rPr>
        <w:t>debe</w:t>
      </w:r>
      <w:r w:rsidRPr="00BD1319">
        <w:rPr>
          <w:rFonts w:cs="Arial"/>
        </w:rPr>
        <w:t xml:space="preserve"> estar </w:t>
      </w:r>
      <w:r w:rsidR="00B45CC2" w:rsidRPr="00BD1319">
        <w:rPr>
          <w:rFonts w:cs="Arial"/>
        </w:rPr>
        <w:t xml:space="preserve">en función del proceso oceanográfico o costero que se quiera estudiar </w:t>
      </w:r>
      <w:r w:rsidRPr="00BD1319">
        <w:rPr>
          <w:rFonts w:cs="Arial"/>
        </w:rPr>
        <w:t xml:space="preserve">y debe reflejar las condiciones </w:t>
      </w:r>
      <w:proofErr w:type="spellStart"/>
      <w:r w:rsidRPr="00BD1319">
        <w:rPr>
          <w:rFonts w:cs="Arial"/>
        </w:rPr>
        <w:t>met</w:t>
      </w:r>
      <w:r w:rsidR="00F51869" w:rsidRPr="00BD1319">
        <w:rPr>
          <w:rFonts w:cs="Arial"/>
        </w:rPr>
        <w:t>a</w:t>
      </w:r>
      <w:r w:rsidRPr="00BD1319">
        <w:rPr>
          <w:rFonts w:cs="Arial"/>
        </w:rPr>
        <w:t>oceánicas</w:t>
      </w:r>
      <w:proofErr w:type="spellEnd"/>
      <w:r w:rsidRPr="00BD1319">
        <w:rPr>
          <w:rFonts w:cs="Arial"/>
        </w:rPr>
        <w:t xml:space="preserve"> </w:t>
      </w:r>
      <w:r w:rsidR="001B09EE" w:rsidRPr="00BD1319">
        <w:rPr>
          <w:rFonts w:cs="Arial"/>
        </w:rPr>
        <w:t>de la zona estudiada</w:t>
      </w:r>
      <w:r w:rsidRPr="00BD1319">
        <w:rPr>
          <w:rFonts w:cs="Arial"/>
        </w:rPr>
        <w:t>.</w:t>
      </w:r>
    </w:p>
    <w:p w14:paraId="734A1572" w14:textId="77777777" w:rsidR="009D132B" w:rsidRPr="00BD1319" w:rsidRDefault="009D132B" w:rsidP="009D132B">
      <w:pPr>
        <w:overflowPunct/>
        <w:autoSpaceDE/>
        <w:autoSpaceDN/>
        <w:adjustRightInd/>
        <w:textAlignment w:val="auto"/>
        <w:rPr>
          <w:rFonts w:cs="Arial"/>
        </w:rPr>
      </w:pPr>
    </w:p>
    <w:p w14:paraId="7C259BF0" w14:textId="7E3B6CD5" w:rsidR="009D132B" w:rsidRPr="00BD1319" w:rsidRDefault="009D132B" w:rsidP="009D132B">
      <w:pPr>
        <w:overflowPunct/>
        <w:autoSpaceDE/>
        <w:autoSpaceDN/>
        <w:adjustRightInd/>
        <w:textAlignment w:val="auto"/>
        <w:rPr>
          <w:rFonts w:cs="Arial"/>
        </w:rPr>
      </w:pPr>
      <w:r w:rsidRPr="00BD1319">
        <w:rPr>
          <w:rFonts w:cs="Arial"/>
        </w:rPr>
        <w:t>Es importante documentar la calidad de los datos de entrada utilizados para dar contexto y confiabilidad a las simulaciones generadas. Los modelos deben ser calibrados y validados para la zona de estudio mediante información primaria. La calidad de las simulaciones depende de la calidad de los datos de entrada y de los datos utilizados para la calibración.</w:t>
      </w:r>
    </w:p>
    <w:p w14:paraId="49DC4B2F" w14:textId="77777777" w:rsidR="009D132B" w:rsidRPr="00BD1319" w:rsidRDefault="009D132B" w:rsidP="009D132B">
      <w:pPr>
        <w:overflowPunct/>
        <w:autoSpaceDE/>
        <w:autoSpaceDN/>
        <w:adjustRightInd/>
        <w:textAlignment w:val="auto"/>
        <w:rPr>
          <w:rFonts w:cs="Arial"/>
        </w:rPr>
      </w:pPr>
    </w:p>
    <w:p w14:paraId="233D33CD" w14:textId="20479B62" w:rsidR="009D132B" w:rsidRPr="00BD1319" w:rsidRDefault="009D132B" w:rsidP="009D132B">
      <w:pPr>
        <w:tabs>
          <w:tab w:val="left" w:pos="-2268"/>
        </w:tabs>
        <w:suppressAutoHyphens/>
        <w:rPr>
          <w:rFonts w:cs="Arial"/>
        </w:rPr>
      </w:pPr>
      <w:r w:rsidRPr="00BD1319">
        <w:rPr>
          <w:rFonts w:cs="Arial"/>
        </w:rPr>
        <w:t>Los modelos descriptivos</w:t>
      </w:r>
      <w:r w:rsidR="00AE6BF8" w:rsidRPr="00BD1319">
        <w:rPr>
          <w:rFonts w:cs="Arial"/>
        </w:rPr>
        <w:t xml:space="preserve"> deben</w:t>
      </w:r>
      <w:r w:rsidRPr="00BD1319">
        <w:rPr>
          <w:rFonts w:cs="Arial"/>
        </w:rPr>
        <w:t xml:space="preserve"> </w:t>
      </w:r>
      <w:r w:rsidR="00AE6BF8" w:rsidRPr="00BD1319">
        <w:rPr>
          <w:rFonts w:cs="Arial"/>
        </w:rPr>
        <w:t>ajustarse a las características particulares del proyecto, obra o actividad</w:t>
      </w:r>
      <w:r w:rsidRPr="00BD1319">
        <w:rPr>
          <w:rFonts w:cs="Arial"/>
        </w:rPr>
        <w:t>, teniendo en consideración los efectos residuales de la actividad de perforación.</w:t>
      </w:r>
    </w:p>
    <w:p w14:paraId="70B3AC5E" w14:textId="77777777" w:rsidR="006B58CA" w:rsidRPr="00BD1319" w:rsidRDefault="006B58CA" w:rsidP="009D132B">
      <w:pPr>
        <w:tabs>
          <w:tab w:val="left" w:pos="-2268"/>
        </w:tabs>
        <w:suppressAutoHyphens/>
        <w:rPr>
          <w:rFonts w:cs="Arial"/>
        </w:rPr>
      </w:pPr>
    </w:p>
    <w:p w14:paraId="6D611713" w14:textId="77777777" w:rsidR="006B58CA" w:rsidRPr="00BD1319" w:rsidRDefault="006B58CA" w:rsidP="009420F5">
      <w:pPr>
        <w:pStyle w:val="Ttulo4"/>
        <w:tabs>
          <w:tab w:val="clear" w:pos="1844"/>
          <w:tab w:val="num" w:pos="1134"/>
        </w:tabs>
        <w:ind w:left="1134" w:hanging="1134"/>
        <w:rPr>
          <w:lang w:val="es-CO"/>
        </w:rPr>
      </w:pPr>
      <w:r w:rsidRPr="00BD1319">
        <w:rPr>
          <w:lang w:val="es-CO"/>
        </w:rPr>
        <w:t>Dinámica de sedimentos y morfodinámica</w:t>
      </w:r>
    </w:p>
    <w:p w14:paraId="40BF2D96" w14:textId="77777777" w:rsidR="006B58CA" w:rsidRPr="00BD1319" w:rsidRDefault="006B58CA" w:rsidP="006B58CA"/>
    <w:p w14:paraId="0144ACBC" w14:textId="0944F3D0" w:rsidR="006B58CA" w:rsidRPr="00BD1319" w:rsidRDefault="006B58CA" w:rsidP="006B58CA">
      <w:r w:rsidRPr="00BD1319">
        <w:t xml:space="preserve">Para </w:t>
      </w:r>
      <w:r w:rsidR="00B254D2" w:rsidRPr="00BD1319">
        <w:t>su caracterización</w:t>
      </w:r>
      <w:r w:rsidRPr="00BD1319">
        <w:t>, se debe</w:t>
      </w:r>
      <w:r w:rsidR="00B254D2" w:rsidRPr="00BD1319">
        <w:t xml:space="preserve">n ejecutar </w:t>
      </w:r>
      <w:r w:rsidRPr="00BD1319">
        <w:t>la</w:t>
      </w:r>
      <w:r w:rsidR="00B254D2" w:rsidRPr="00BD1319">
        <w:t>s</w:t>
      </w:r>
      <w:r w:rsidRPr="00BD1319">
        <w:t xml:space="preserve"> siguiente</w:t>
      </w:r>
      <w:r w:rsidR="00B254D2" w:rsidRPr="00BD1319">
        <w:t>s</w:t>
      </w:r>
      <w:r w:rsidRPr="00BD1319">
        <w:t xml:space="preserve"> </w:t>
      </w:r>
      <w:r w:rsidR="00B254D2" w:rsidRPr="00BD1319">
        <w:t>acciones</w:t>
      </w:r>
      <w:r w:rsidRPr="00BD1319">
        <w:t>:</w:t>
      </w:r>
    </w:p>
    <w:p w14:paraId="42A36896" w14:textId="77777777" w:rsidR="006B58CA" w:rsidRPr="00BD1319" w:rsidRDefault="006B58CA" w:rsidP="006B58CA">
      <w:pPr>
        <w:numPr>
          <w:ilvl w:val="12"/>
          <w:numId w:val="0"/>
        </w:numPr>
        <w:tabs>
          <w:tab w:val="left" w:pos="-2268"/>
        </w:tabs>
        <w:suppressAutoHyphens/>
        <w:rPr>
          <w:spacing w:val="-3"/>
        </w:rPr>
      </w:pPr>
    </w:p>
    <w:p w14:paraId="11F0167E" w14:textId="287A07AF" w:rsidR="006B58CA" w:rsidRPr="00BD1319" w:rsidRDefault="00B254D2" w:rsidP="009420F5">
      <w:pPr>
        <w:pStyle w:val="Prrafodelista"/>
        <w:numPr>
          <w:ilvl w:val="0"/>
          <w:numId w:val="117"/>
        </w:numPr>
        <w:ind w:left="567" w:hanging="567"/>
        <w:rPr>
          <w:rFonts w:cs="Arial"/>
          <w:lang w:val="es-CO"/>
        </w:rPr>
      </w:pPr>
      <w:r w:rsidRPr="00BD1319">
        <w:rPr>
          <w:rFonts w:cs="Arial"/>
          <w:lang w:val="es-CO"/>
        </w:rPr>
        <w:t>R</w:t>
      </w:r>
      <w:r w:rsidR="006B58CA" w:rsidRPr="00BD1319">
        <w:rPr>
          <w:rFonts w:cs="Arial"/>
          <w:lang w:val="es-CO"/>
        </w:rPr>
        <w:t xml:space="preserve">ealizar </w:t>
      </w:r>
      <w:r w:rsidRPr="00BD1319">
        <w:rPr>
          <w:rFonts w:cs="Arial"/>
          <w:lang w:val="es-CO"/>
        </w:rPr>
        <w:t xml:space="preserve">la </w:t>
      </w:r>
      <w:r w:rsidR="006B58CA" w:rsidRPr="00BD1319">
        <w:rPr>
          <w:rFonts w:cs="Arial"/>
          <w:lang w:val="es-CO"/>
        </w:rPr>
        <w:t>toma de muestra</w:t>
      </w:r>
      <w:r w:rsidRPr="00BD1319">
        <w:rPr>
          <w:rFonts w:cs="Arial"/>
          <w:lang w:val="es-CO"/>
        </w:rPr>
        <w:t>s</w:t>
      </w:r>
      <w:r w:rsidR="006B58CA" w:rsidRPr="00BD1319">
        <w:rPr>
          <w:rFonts w:cs="Arial"/>
          <w:lang w:val="es-CO"/>
        </w:rPr>
        <w:t xml:space="preserve"> y </w:t>
      </w:r>
      <w:r w:rsidRPr="00BD1319">
        <w:rPr>
          <w:rFonts w:cs="Arial"/>
          <w:lang w:val="es-CO"/>
        </w:rPr>
        <w:t xml:space="preserve">los </w:t>
      </w:r>
      <w:r w:rsidR="006B58CA" w:rsidRPr="00BD1319">
        <w:rPr>
          <w:rFonts w:cs="Arial"/>
          <w:lang w:val="es-CO"/>
        </w:rPr>
        <w:t>análisis granulométricos de s</w:t>
      </w:r>
      <w:r w:rsidRPr="00BD1319">
        <w:rPr>
          <w:rFonts w:cs="Arial"/>
          <w:lang w:val="es-CO"/>
        </w:rPr>
        <w:t>edimentos para la franja litoral.</w:t>
      </w:r>
    </w:p>
    <w:p w14:paraId="429B901A" w14:textId="77777777" w:rsidR="006B58CA" w:rsidRPr="00BD1319" w:rsidRDefault="006B58CA" w:rsidP="009420F5">
      <w:pPr>
        <w:rPr>
          <w:rFonts w:cs="Arial"/>
        </w:rPr>
      </w:pPr>
    </w:p>
    <w:p w14:paraId="64F4155A" w14:textId="6C857FB1" w:rsidR="006B58CA" w:rsidRPr="00BD1319" w:rsidRDefault="006B58CA" w:rsidP="009420F5">
      <w:pPr>
        <w:pStyle w:val="Prrafodelista"/>
        <w:numPr>
          <w:ilvl w:val="0"/>
          <w:numId w:val="117"/>
        </w:numPr>
        <w:ind w:left="567" w:hanging="567"/>
        <w:rPr>
          <w:rFonts w:cs="Arial"/>
          <w:lang w:val="es-CO"/>
        </w:rPr>
      </w:pPr>
      <w:r w:rsidRPr="00BD1319">
        <w:rPr>
          <w:rFonts w:cs="Arial"/>
          <w:lang w:val="es-CO"/>
        </w:rPr>
        <w:t>Realizar el análisis del transporte de sedimentos en corto plazo en escenarios de condiciones medias y de temporales.</w:t>
      </w:r>
    </w:p>
    <w:p w14:paraId="02E40AB8" w14:textId="77777777" w:rsidR="006B58CA" w:rsidRPr="00BD1319" w:rsidRDefault="006B58CA" w:rsidP="009420F5">
      <w:pPr>
        <w:rPr>
          <w:rFonts w:cs="Arial"/>
        </w:rPr>
      </w:pPr>
    </w:p>
    <w:p w14:paraId="017BF357" w14:textId="2445ED5B" w:rsidR="006B58CA" w:rsidRPr="00BD1319" w:rsidRDefault="00B254D2" w:rsidP="009420F5">
      <w:pPr>
        <w:pStyle w:val="Prrafodelista"/>
        <w:numPr>
          <w:ilvl w:val="0"/>
          <w:numId w:val="117"/>
        </w:numPr>
        <w:ind w:left="567" w:hanging="567"/>
        <w:rPr>
          <w:rFonts w:cs="Arial"/>
          <w:lang w:val="es-CO"/>
        </w:rPr>
      </w:pPr>
      <w:r w:rsidRPr="00BD1319">
        <w:rPr>
          <w:rFonts w:cs="Arial"/>
          <w:lang w:val="es-CO"/>
        </w:rPr>
        <w:lastRenderedPageBreak/>
        <w:t>I</w:t>
      </w:r>
      <w:r w:rsidR="006B58CA" w:rsidRPr="00BD1319">
        <w:rPr>
          <w:rFonts w:cs="Arial"/>
          <w:lang w:val="es-CO"/>
        </w:rPr>
        <w:t xml:space="preserve">ncluir un análisis multitemporal de la línea de costa para </w:t>
      </w:r>
      <w:r w:rsidR="00F15ABD" w:rsidRPr="00BD1319">
        <w:rPr>
          <w:rFonts w:cs="Arial"/>
          <w:lang w:val="es-CO"/>
        </w:rPr>
        <w:t>establ</w:t>
      </w:r>
      <w:r w:rsidR="003B6893" w:rsidRPr="00BD1319">
        <w:rPr>
          <w:rFonts w:cs="Arial"/>
          <w:lang w:val="es-CO"/>
        </w:rPr>
        <w:t>e</w:t>
      </w:r>
      <w:r w:rsidR="00F15ABD" w:rsidRPr="00BD1319">
        <w:rPr>
          <w:rFonts w:cs="Arial"/>
          <w:lang w:val="es-CO"/>
        </w:rPr>
        <w:t xml:space="preserve">cer </w:t>
      </w:r>
      <w:r w:rsidR="006B58CA" w:rsidRPr="00BD1319">
        <w:rPr>
          <w:rFonts w:cs="Arial"/>
          <w:lang w:val="es-CO"/>
        </w:rPr>
        <w:t xml:space="preserve">zonas de erosión y sedimentación en la franja costera, tasas de erosión/sedimentación y tendencias de la línea de costa. </w:t>
      </w:r>
    </w:p>
    <w:p w14:paraId="0B32F075" w14:textId="77777777" w:rsidR="006B58CA" w:rsidRPr="00BD1319" w:rsidRDefault="006B58CA" w:rsidP="009420F5">
      <w:pPr>
        <w:rPr>
          <w:rFonts w:cs="Arial"/>
        </w:rPr>
      </w:pPr>
    </w:p>
    <w:p w14:paraId="3C3F642F" w14:textId="57D0F48E" w:rsidR="006B58CA" w:rsidRPr="00BD1319" w:rsidRDefault="00B254D2" w:rsidP="009420F5">
      <w:pPr>
        <w:pStyle w:val="Prrafodelista"/>
        <w:numPr>
          <w:ilvl w:val="0"/>
          <w:numId w:val="117"/>
        </w:numPr>
        <w:ind w:left="567" w:hanging="567"/>
        <w:rPr>
          <w:rFonts w:cs="Arial"/>
          <w:lang w:val="es-CO"/>
        </w:rPr>
      </w:pPr>
      <w:r w:rsidRPr="00BD1319">
        <w:rPr>
          <w:rFonts w:cs="Arial"/>
          <w:lang w:val="es-CO"/>
        </w:rPr>
        <w:t xml:space="preserve">Desarrollar un análisis de </w:t>
      </w:r>
      <w:r w:rsidR="006B58CA" w:rsidRPr="00BD1319">
        <w:rPr>
          <w:rFonts w:cs="Arial"/>
          <w:lang w:val="es-CO"/>
        </w:rPr>
        <w:t>largo plazo</w:t>
      </w:r>
      <w:r w:rsidRPr="00BD1319">
        <w:rPr>
          <w:rFonts w:cs="Arial"/>
          <w:lang w:val="es-CO"/>
        </w:rPr>
        <w:t>,</w:t>
      </w:r>
      <w:r w:rsidR="006B58CA" w:rsidRPr="00BD1319">
        <w:rPr>
          <w:rFonts w:cs="Arial"/>
          <w:lang w:val="es-CO"/>
        </w:rPr>
        <w:t xml:space="preserve"> a partir del perfil de equilibrio y planta de equilibrio, que permit</w:t>
      </w:r>
      <w:r w:rsidRPr="00BD1319">
        <w:rPr>
          <w:rFonts w:cs="Arial"/>
          <w:lang w:val="es-CO"/>
        </w:rPr>
        <w:t>a</w:t>
      </w:r>
      <w:r w:rsidR="006B58CA" w:rsidRPr="00BD1319">
        <w:rPr>
          <w:rFonts w:cs="Arial"/>
          <w:lang w:val="es-CO"/>
        </w:rPr>
        <w:t xml:space="preserve"> establecer si el sector de costa de interés se encuentra en equilibrio o no</w:t>
      </w:r>
      <w:r w:rsidRPr="00BD1319">
        <w:rPr>
          <w:rFonts w:cs="Arial"/>
          <w:lang w:val="es-CO"/>
        </w:rPr>
        <w:t>,</w:t>
      </w:r>
      <w:r w:rsidR="006B58CA" w:rsidRPr="00BD1319">
        <w:rPr>
          <w:rFonts w:cs="Arial"/>
          <w:lang w:val="es-CO"/>
        </w:rPr>
        <w:t xml:space="preserve"> y hacia futuro permitirá evaluar diferentes alternativas de relleno, si fuera necesario.</w:t>
      </w:r>
    </w:p>
    <w:p w14:paraId="66F321D1" w14:textId="77777777" w:rsidR="006B58CA" w:rsidRPr="00BD1319" w:rsidRDefault="006B58CA" w:rsidP="009420F5">
      <w:pPr>
        <w:rPr>
          <w:rFonts w:cs="Arial"/>
        </w:rPr>
      </w:pPr>
    </w:p>
    <w:p w14:paraId="18652A91" w14:textId="60A2101A" w:rsidR="006B58CA" w:rsidRPr="00BD1319" w:rsidRDefault="00B254D2" w:rsidP="009420F5">
      <w:pPr>
        <w:pStyle w:val="Prrafodelista"/>
        <w:numPr>
          <w:ilvl w:val="0"/>
          <w:numId w:val="117"/>
        </w:numPr>
        <w:ind w:left="567" w:hanging="567"/>
        <w:rPr>
          <w:rFonts w:cs="Arial"/>
          <w:lang w:val="es-CO"/>
        </w:rPr>
      </w:pPr>
      <w:r w:rsidRPr="00BD1319">
        <w:rPr>
          <w:rFonts w:cs="Arial"/>
          <w:lang w:val="es-CO"/>
        </w:rPr>
        <w:t>R</w:t>
      </w:r>
      <w:r w:rsidR="006B58CA" w:rsidRPr="00BD1319">
        <w:rPr>
          <w:rFonts w:cs="Arial"/>
          <w:lang w:val="es-CO"/>
        </w:rPr>
        <w:t xml:space="preserve">ealizar </w:t>
      </w:r>
      <w:r w:rsidRPr="00BD1319">
        <w:rPr>
          <w:rFonts w:cs="Arial"/>
          <w:lang w:val="es-CO"/>
        </w:rPr>
        <w:t>las model</w:t>
      </w:r>
      <w:r w:rsidR="00C74BBB" w:rsidRPr="00BD1319">
        <w:rPr>
          <w:rFonts w:cs="Arial"/>
          <w:lang w:val="es-CO"/>
        </w:rPr>
        <w:t>iz</w:t>
      </w:r>
      <w:r w:rsidRPr="00BD1319">
        <w:rPr>
          <w:rFonts w:cs="Arial"/>
          <w:lang w:val="es-CO"/>
        </w:rPr>
        <w:t xml:space="preserve">aciones de transporte de sedimentos </w:t>
      </w:r>
      <w:r w:rsidR="006B58CA" w:rsidRPr="00BD1319">
        <w:rPr>
          <w:rFonts w:cs="Arial"/>
          <w:lang w:val="es-CO"/>
        </w:rPr>
        <w:t>para las condiciones actuales, etapa de diagnóstico, y para cada uno de los escenarios o alternativas de obras propuestos que puedan modificar los patrones de erosión/sedimentación en la franja costera.</w:t>
      </w:r>
    </w:p>
    <w:p w14:paraId="7DF8FE42" w14:textId="3C1B1A52" w:rsidR="00380C46" w:rsidRPr="00BD1319" w:rsidRDefault="00380C46" w:rsidP="00C86DA5">
      <w:pPr>
        <w:numPr>
          <w:ilvl w:val="12"/>
          <w:numId w:val="0"/>
        </w:numPr>
        <w:tabs>
          <w:tab w:val="left" w:pos="-2268"/>
        </w:tabs>
        <w:suppressAutoHyphens/>
        <w:rPr>
          <w:spacing w:val="-3"/>
        </w:rPr>
      </w:pPr>
      <w:bookmarkStart w:id="2849" w:name="_Hlk78275643"/>
    </w:p>
    <w:p w14:paraId="543F326C" w14:textId="77777777" w:rsidR="009D132B" w:rsidRPr="00BD1319" w:rsidRDefault="009D132B" w:rsidP="00216955">
      <w:pPr>
        <w:pStyle w:val="Ttulo3"/>
      </w:pPr>
      <w:bookmarkStart w:id="2850" w:name="_Toc412812767"/>
      <w:bookmarkStart w:id="2851" w:name="_Toc437936024"/>
      <w:bookmarkStart w:id="2852" w:name="_Toc42764349"/>
      <w:bookmarkStart w:id="2853" w:name="_Toc175326767"/>
      <w:r w:rsidRPr="00BD1319">
        <w:t>Atmosférico</w:t>
      </w:r>
      <w:bookmarkEnd w:id="2850"/>
      <w:bookmarkEnd w:id="2851"/>
      <w:bookmarkEnd w:id="2852"/>
      <w:bookmarkEnd w:id="2853"/>
    </w:p>
    <w:p w14:paraId="177E2A3C" w14:textId="77777777" w:rsidR="009D132B" w:rsidRPr="00BD1319" w:rsidRDefault="009D132B">
      <w:pPr>
        <w:numPr>
          <w:ilvl w:val="12"/>
          <w:numId w:val="0"/>
        </w:numPr>
        <w:tabs>
          <w:tab w:val="left" w:pos="-2268"/>
        </w:tabs>
        <w:suppressAutoHyphens/>
        <w:rPr>
          <w:spacing w:val="-3"/>
        </w:rPr>
      </w:pPr>
    </w:p>
    <w:p w14:paraId="5B071B0B" w14:textId="545A231A" w:rsidR="009D132B" w:rsidRPr="00BD1319" w:rsidRDefault="00995859">
      <w:pPr>
        <w:numPr>
          <w:ilvl w:val="12"/>
          <w:numId w:val="0"/>
        </w:numPr>
        <w:tabs>
          <w:tab w:val="left" w:pos="-2268"/>
        </w:tabs>
        <w:suppressAutoHyphens/>
        <w:rPr>
          <w:spacing w:val="-3"/>
        </w:rPr>
      </w:pPr>
      <w:r w:rsidRPr="00BD1319">
        <w:rPr>
          <w:spacing w:val="-3"/>
        </w:rPr>
        <w:t>S</w:t>
      </w:r>
      <w:r w:rsidR="009D132B" w:rsidRPr="00BD1319">
        <w:rPr>
          <w:spacing w:val="-3"/>
        </w:rPr>
        <w:t xml:space="preserve">e debe efectuar una caracterización del área de </w:t>
      </w:r>
      <w:r w:rsidR="009D132B" w:rsidRPr="00BD1319">
        <w:rPr>
          <w:rFonts w:cs="Arial"/>
          <w:spacing w:val="-3"/>
        </w:rPr>
        <w:t xml:space="preserve">influencia </w:t>
      </w:r>
      <w:r w:rsidRPr="00BD1319">
        <w:rPr>
          <w:rFonts w:cs="Arial"/>
          <w:spacing w:val="-3"/>
        </w:rPr>
        <w:t xml:space="preserve">del componente </w:t>
      </w:r>
      <w:r w:rsidR="009D132B" w:rsidRPr="00BD1319">
        <w:rPr>
          <w:spacing w:val="-3"/>
        </w:rPr>
        <w:t xml:space="preserve">que </w:t>
      </w:r>
      <w:r w:rsidR="00F47394" w:rsidRPr="00BD1319">
        <w:rPr>
          <w:spacing w:val="-3"/>
        </w:rPr>
        <w:t xml:space="preserve">permita </w:t>
      </w:r>
      <w:r w:rsidR="009D132B" w:rsidRPr="00BD1319">
        <w:rPr>
          <w:spacing w:val="-3"/>
        </w:rPr>
        <w:t>cuantifi</w:t>
      </w:r>
      <w:r w:rsidR="00F47394" w:rsidRPr="00BD1319">
        <w:rPr>
          <w:spacing w:val="-3"/>
        </w:rPr>
        <w:t>car</w:t>
      </w:r>
      <w:r w:rsidR="009D132B" w:rsidRPr="00BD1319">
        <w:rPr>
          <w:spacing w:val="-3"/>
        </w:rPr>
        <w:t xml:space="preserve"> las fuentes de emisión, calidad del aire</w:t>
      </w:r>
      <w:r w:rsidR="009D132B" w:rsidRPr="00BD1319">
        <w:rPr>
          <w:rFonts w:cs="Arial"/>
          <w:spacing w:val="-3"/>
        </w:rPr>
        <w:t>,</w:t>
      </w:r>
      <w:r w:rsidR="009D132B" w:rsidRPr="00BD1319">
        <w:rPr>
          <w:spacing w:val="-3"/>
        </w:rPr>
        <w:t xml:space="preserve"> condición climatológica</w:t>
      </w:r>
      <w:r w:rsidR="00F47394" w:rsidRPr="00BD1319">
        <w:rPr>
          <w:spacing w:val="-3"/>
        </w:rPr>
        <w:t>, olores ofensivos</w:t>
      </w:r>
      <w:r w:rsidR="009D132B" w:rsidRPr="00BD1319">
        <w:rPr>
          <w:rFonts w:cs="Arial"/>
          <w:spacing w:val="-3"/>
        </w:rPr>
        <w:t xml:space="preserve"> y ruido</w:t>
      </w:r>
      <w:r w:rsidR="009D132B" w:rsidRPr="00BD1319">
        <w:rPr>
          <w:spacing w:val="-3"/>
        </w:rPr>
        <w:t>.</w:t>
      </w:r>
    </w:p>
    <w:p w14:paraId="3AA560AB" w14:textId="77777777" w:rsidR="009D132B" w:rsidRPr="00BD1319" w:rsidRDefault="009D132B">
      <w:pPr>
        <w:numPr>
          <w:ilvl w:val="12"/>
          <w:numId w:val="0"/>
        </w:numPr>
        <w:tabs>
          <w:tab w:val="left" w:pos="-2268"/>
        </w:tabs>
        <w:suppressAutoHyphens/>
        <w:rPr>
          <w:spacing w:val="-3"/>
        </w:rPr>
      </w:pPr>
    </w:p>
    <w:p w14:paraId="7369D2B7" w14:textId="77777777" w:rsidR="00525AD8" w:rsidRPr="00BD1319" w:rsidRDefault="00525AD8" w:rsidP="00525AD8">
      <w:pPr>
        <w:pStyle w:val="Ttulo4"/>
        <w:tabs>
          <w:tab w:val="num" w:pos="1418"/>
        </w:tabs>
        <w:ind w:left="1418" w:hanging="1418"/>
        <w:rPr>
          <w:lang w:val="es-CO"/>
        </w:rPr>
      </w:pPr>
      <w:bookmarkStart w:id="2854" w:name="_Ref75795536"/>
      <w:r w:rsidRPr="00BD1319">
        <w:rPr>
          <w:lang w:val="es-CO"/>
        </w:rPr>
        <w:t>Meteorología</w:t>
      </w:r>
      <w:bookmarkEnd w:id="2854"/>
    </w:p>
    <w:p w14:paraId="3DC5B6AF" w14:textId="77777777" w:rsidR="00525AD8" w:rsidRPr="00BD1319" w:rsidRDefault="00525AD8" w:rsidP="00525AD8">
      <w:pPr>
        <w:numPr>
          <w:ilvl w:val="12"/>
          <w:numId w:val="0"/>
        </w:numPr>
        <w:tabs>
          <w:tab w:val="left" w:pos="-2268"/>
        </w:tabs>
        <w:suppressAutoHyphens/>
        <w:rPr>
          <w:spacing w:val="-3"/>
        </w:rPr>
      </w:pPr>
    </w:p>
    <w:p w14:paraId="64FE2952" w14:textId="55EEB4FF" w:rsidR="00525AD8" w:rsidRPr="00BD1319" w:rsidRDefault="00525AD8" w:rsidP="00525AD8">
      <w:pPr>
        <w:numPr>
          <w:ilvl w:val="12"/>
          <w:numId w:val="0"/>
        </w:numPr>
        <w:tabs>
          <w:tab w:val="left" w:pos="-2268"/>
        </w:tabs>
        <w:suppressAutoHyphens/>
        <w:rPr>
          <w:spacing w:val="-3"/>
        </w:rPr>
      </w:pPr>
      <w:r w:rsidRPr="00BD1319">
        <w:rPr>
          <w:spacing w:val="-3"/>
        </w:rPr>
        <w:t xml:space="preserve">Describir y analizar las condiciones meteorológicas mensuales multianuales representativas para el área de influencia </w:t>
      </w:r>
      <w:r w:rsidRPr="00BD1319">
        <w:rPr>
          <w:rFonts w:cs="Arial"/>
          <w:spacing w:val="-3"/>
        </w:rPr>
        <w:t xml:space="preserve">del componente, </w:t>
      </w:r>
      <w:r w:rsidRPr="00BD1319">
        <w:rPr>
          <w:spacing w:val="-3"/>
        </w:rPr>
        <w:t>durante un pe</w:t>
      </w:r>
      <w:r w:rsidR="00F47394" w:rsidRPr="00BD1319">
        <w:rPr>
          <w:spacing w:val="-3"/>
        </w:rPr>
        <w:t>ríodo mínimo de entre tres (3) y</w:t>
      </w:r>
      <w:r w:rsidRPr="00BD1319">
        <w:rPr>
          <w:spacing w:val="-3"/>
        </w:rPr>
        <w:t xml:space="preserve"> cinco (5) años, con base en </w:t>
      </w:r>
      <w:r w:rsidRPr="00BD1319">
        <w:rPr>
          <w:rFonts w:cs="Arial"/>
          <w:spacing w:val="-3"/>
        </w:rPr>
        <w:t xml:space="preserve">la </w:t>
      </w:r>
      <w:r w:rsidRPr="00BD1319">
        <w:rPr>
          <w:spacing w:val="-3"/>
        </w:rPr>
        <w:t xml:space="preserve">información </w:t>
      </w:r>
      <w:r w:rsidRPr="00BD1319">
        <w:rPr>
          <w:rFonts w:cs="Arial"/>
          <w:spacing w:val="-3"/>
        </w:rPr>
        <w:t>más reciente disponible suministrada por</w:t>
      </w:r>
      <w:r w:rsidRPr="00BD1319">
        <w:rPr>
          <w:spacing w:val="-3"/>
        </w:rPr>
        <w:t xml:space="preserve"> las estaciones meteorológicas existentes de entidades públicas en la región, </w:t>
      </w:r>
      <w:r w:rsidR="00F47394" w:rsidRPr="00BD1319">
        <w:rPr>
          <w:spacing w:val="-3"/>
        </w:rPr>
        <w:t xml:space="preserve">georreferenciadas y además </w:t>
      </w:r>
      <w:r w:rsidRPr="00BD1319">
        <w:rPr>
          <w:spacing w:val="-3"/>
        </w:rPr>
        <w:t xml:space="preserve">avaladas por </w:t>
      </w:r>
      <w:r w:rsidR="00F47394" w:rsidRPr="00BD1319">
        <w:rPr>
          <w:spacing w:val="-3"/>
        </w:rPr>
        <w:t xml:space="preserve">el </w:t>
      </w:r>
      <w:proofErr w:type="spellStart"/>
      <w:r w:rsidR="00A92356" w:rsidRPr="00BD1319">
        <w:rPr>
          <w:spacing w:val="-3"/>
        </w:rPr>
        <w:t>Ideam</w:t>
      </w:r>
      <w:proofErr w:type="spellEnd"/>
      <w:r w:rsidRPr="00BD1319">
        <w:rPr>
          <w:spacing w:val="-3"/>
        </w:rPr>
        <w:t>.</w:t>
      </w:r>
    </w:p>
    <w:p w14:paraId="05840F27" w14:textId="77777777" w:rsidR="00525AD8" w:rsidRPr="00BD1319" w:rsidRDefault="00525AD8" w:rsidP="00525AD8">
      <w:pPr>
        <w:numPr>
          <w:ilvl w:val="12"/>
          <w:numId w:val="0"/>
        </w:numPr>
        <w:tabs>
          <w:tab w:val="left" w:pos="-2268"/>
        </w:tabs>
        <w:suppressAutoHyphens/>
        <w:rPr>
          <w:spacing w:val="-3"/>
        </w:rPr>
      </w:pPr>
    </w:p>
    <w:p w14:paraId="3645EEE9" w14:textId="77777777" w:rsidR="00525AD8" w:rsidRPr="00BD1319" w:rsidRDefault="00525AD8" w:rsidP="00525AD8">
      <w:pPr>
        <w:numPr>
          <w:ilvl w:val="12"/>
          <w:numId w:val="0"/>
        </w:numPr>
        <w:tabs>
          <w:tab w:val="left" w:pos="-2268"/>
        </w:tabs>
        <w:suppressAutoHyphens/>
        <w:rPr>
          <w:spacing w:val="-3"/>
        </w:rPr>
      </w:pPr>
      <w:r w:rsidRPr="00BD1319">
        <w:rPr>
          <w:spacing w:val="-3"/>
        </w:rPr>
        <w:t>Los parámetros básicos de análisis son los siguientes:</w:t>
      </w:r>
    </w:p>
    <w:p w14:paraId="33EB2CC6" w14:textId="77777777" w:rsidR="00525AD8" w:rsidRPr="00BD1319" w:rsidRDefault="00525AD8" w:rsidP="00525AD8">
      <w:pPr>
        <w:numPr>
          <w:ilvl w:val="12"/>
          <w:numId w:val="0"/>
        </w:numPr>
        <w:tabs>
          <w:tab w:val="left" w:pos="-2268"/>
        </w:tabs>
        <w:suppressAutoHyphens/>
        <w:rPr>
          <w:spacing w:val="-3"/>
        </w:rPr>
      </w:pPr>
    </w:p>
    <w:p w14:paraId="60217062" w14:textId="57B611A0" w:rsidR="00525AD8" w:rsidRPr="00BD1319" w:rsidRDefault="00525AD8" w:rsidP="00525AD8">
      <w:pPr>
        <w:numPr>
          <w:ilvl w:val="0"/>
          <w:numId w:val="59"/>
        </w:numPr>
        <w:tabs>
          <w:tab w:val="left" w:pos="-2268"/>
        </w:tabs>
        <w:suppressAutoHyphens/>
        <w:ind w:left="567" w:hanging="567"/>
        <w:rPr>
          <w:spacing w:val="-3"/>
        </w:rPr>
      </w:pPr>
      <w:r w:rsidRPr="00BD1319">
        <w:rPr>
          <w:spacing w:val="-3"/>
        </w:rPr>
        <w:t>Temperatu</w:t>
      </w:r>
      <w:r w:rsidR="00995859" w:rsidRPr="00BD1319">
        <w:rPr>
          <w:spacing w:val="-3"/>
        </w:rPr>
        <w:t>ra superficial: promedio, mínima y máxima;</w:t>
      </w:r>
      <w:r w:rsidRPr="00BD1319">
        <w:rPr>
          <w:spacing w:val="-3"/>
        </w:rPr>
        <w:t xml:space="preserve"> diaria, mensual y anual.</w:t>
      </w:r>
    </w:p>
    <w:p w14:paraId="7DE1523D" w14:textId="77777777" w:rsidR="00525AD8" w:rsidRPr="00BD1319" w:rsidRDefault="00525AD8" w:rsidP="00525AD8">
      <w:pPr>
        <w:tabs>
          <w:tab w:val="left" w:pos="-2268"/>
        </w:tabs>
        <w:suppressAutoHyphens/>
        <w:rPr>
          <w:spacing w:val="-3"/>
        </w:rPr>
      </w:pPr>
    </w:p>
    <w:p w14:paraId="481CEAEA" w14:textId="77777777" w:rsidR="00525AD8" w:rsidRPr="00BD1319" w:rsidRDefault="00525AD8" w:rsidP="00525AD8">
      <w:pPr>
        <w:numPr>
          <w:ilvl w:val="0"/>
          <w:numId w:val="59"/>
        </w:numPr>
        <w:tabs>
          <w:tab w:val="left" w:pos="-2268"/>
        </w:tabs>
        <w:suppressAutoHyphens/>
        <w:ind w:left="567" w:hanging="567"/>
        <w:rPr>
          <w:spacing w:val="-3"/>
        </w:rPr>
      </w:pPr>
      <w:r w:rsidRPr="00BD1319">
        <w:rPr>
          <w:spacing w:val="-3"/>
        </w:rPr>
        <w:t>Presión atmosférica promedio mensual.</w:t>
      </w:r>
    </w:p>
    <w:p w14:paraId="186CFD7C" w14:textId="77777777" w:rsidR="00525AD8" w:rsidRPr="00BD1319" w:rsidRDefault="00525AD8" w:rsidP="00525AD8">
      <w:pPr>
        <w:tabs>
          <w:tab w:val="left" w:pos="-2268"/>
        </w:tabs>
        <w:suppressAutoHyphens/>
        <w:rPr>
          <w:spacing w:val="-3"/>
        </w:rPr>
      </w:pPr>
    </w:p>
    <w:p w14:paraId="284535CC" w14:textId="1002F554" w:rsidR="00525AD8" w:rsidRPr="00BD1319" w:rsidRDefault="00525AD8" w:rsidP="00525AD8">
      <w:pPr>
        <w:numPr>
          <w:ilvl w:val="0"/>
          <w:numId w:val="59"/>
        </w:numPr>
        <w:tabs>
          <w:tab w:val="left" w:pos="-2268"/>
        </w:tabs>
        <w:suppressAutoHyphens/>
        <w:ind w:left="567" w:hanging="567"/>
        <w:rPr>
          <w:spacing w:val="-3"/>
        </w:rPr>
      </w:pPr>
      <w:r w:rsidRPr="00BD1319">
        <w:rPr>
          <w:spacing w:val="-3"/>
        </w:rPr>
        <w:t xml:space="preserve">Precipitación: media diaria, mensual y anual, y su distribución en el área de </w:t>
      </w:r>
      <w:r w:rsidR="00995859" w:rsidRPr="00BD1319">
        <w:rPr>
          <w:spacing w:val="-3"/>
        </w:rPr>
        <w:t>influencia del componente</w:t>
      </w:r>
      <w:r w:rsidRPr="00BD1319">
        <w:rPr>
          <w:spacing w:val="-3"/>
        </w:rPr>
        <w:t>.</w:t>
      </w:r>
    </w:p>
    <w:p w14:paraId="022D8BFC" w14:textId="77777777" w:rsidR="00525AD8" w:rsidRPr="00BD1319" w:rsidRDefault="00525AD8" w:rsidP="00525AD8">
      <w:pPr>
        <w:tabs>
          <w:tab w:val="left" w:pos="-2268"/>
        </w:tabs>
        <w:suppressAutoHyphens/>
        <w:rPr>
          <w:spacing w:val="-3"/>
        </w:rPr>
      </w:pPr>
    </w:p>
    <w:p w14:paraId="285FF0DB" w14:textId="1499422B" w:rsidR="00525AD8" w:rsidRPr="00BD1319" w:rsidRDefault="00525AD8" w:rsidP="00525AD8">
      <w:pPr>
        <w:numPr>
          <w:ilvl w:val="0"/>
          <w:numId w:val="59"/>
        </w:numPr>
        <w:tabs>
          <w:tab w:val="left" w:pos="-2268"/>
        </w:tabs>
        <w:suppressAutoHyphens/>
        <w:ind w:left="567" w:hanging="567"/>
        <w:rPr>
          <w:spacing w:val="-3"/>
        </w:rPr>
      </w:pPr>
      <w:r w:rsidRPr="00BD1319">
        <w:rPr>
          <w:spacing w:val="-3"/>
        </w:rPr>
        <w:t>Hu</w:t>
      </w:r>
      <w:r w:rsidR="00995859" w:rsidRPr="00BD1319">
        <w:rPr>
          <w:spacing w:val="-3"/>
        </w:rPr>
        <w:t>medad relativa: promedio, mínima y máxima;</w:t>
      </w:r>
      <w:r w:rsidRPr="00BD1319">
        <w:rPr>
          <w:spacing w:val="-3"/>
        </w:rPr>
        <w:t xml:space="preserve"> diaria, mensual y anual.</w:t>
      </w:r>
    </w:p>
    <w:p w14:paraId="03A7BEC8" w14:textId="77777777" w:rsidR="00525AD8" w:rsidRPr="00BD1319" w:rsidRDefault="00525AD8" w:rsidP="00525AD8">
      <w:pPr>
        <w:tabs>
          <w:tab w:val="left" w:pos="-2268"/>
        </w:tabs>
        <w:suppressAutoHyphens/>
        <w:rPr>
          <w:spacing w:val="-3"/>
        </w:rPr>
      </w:pPr>
    </w:p>
    <w:p w14:paraId="554EB222" w14:textId="77777777" w:rsidR="00525AD8" w:rsidRPr="00BD1319" w:rsidRDefault="00525AD8" w:rsidP="00525AD8">
      <w:pPr>
        <w:numPr>
          <w:ilvl w:val="0"/>
          <w:numId w:val="59"/>
        </w:numPr>
        <w:tabs>
          <w:tab w:val="left" w:pos="-2268"/>
        </w:tabs>
        <w:suppressAutoHyphens/>
        <w:ind w:left="567" w:hanging="567"/>
        <w:rPr>
          <w:spacing w:val="-3"/>
        </w:rPr>
      </w:pPr>
      <w:r w:rsidRPr="00BD1319">
        <w:rPr>
          <w:spacing w:val="-3"/>
        </w:rPr>
        <w:t>Dirección y velocidad del viento.</w:t>
      </w:r>
    </w:p>
    <w:p w14:paraId="47149406" w14:textId="77777777" w:rsidR="00525AD8" w:rsidRPr="00BD1319" w:rsidRDefault="00525AD8" w:rsidP="00525AD8">
      <w:pPr>
        <w:tabs>
          <w:tab w:val="left" w:pos="-2268"/>
        </w:tabs>
        <w:suppressAutoHyphens/>
        <w:rPr>
          <w:spacing w:val="-3"/>
        </w:rPr>
      </w:pPr>
    </w:p>
    <w:p w14:paraId="7B7F8391" w14:textId="77777777" w:rsidR="00525AD8" w:rsidRPr="00BD1319" w:rsidRDefault="00525AD8" w:rsidP="00525AD8">
      <w:pPr>
        <w:numPr>
          <w:ilvl w:val="1"/>
          <w:numId w:val="87"/>
        </w:numPr>
        <w:tabs>
          <w:tab w:val="left" w:pos="-2268"/>
        </w:tabs>
        <w:suppressAutoHyphens/>
        <w:ind w:left="1134" w:hanging="567"/>
        <w:rPr>
          <w:spacing w:val="-3"/>
        </w:rPr>
      </w:pPr>
      <w:r w:rsidRPr="00BD1319">
        <w:rPr>
          <w:spacing w:val="-3"/>
        </w:rPr>
        <w:t>Rosas de viento diurna y nocturna.</w:t>
      </w:r>
    </w:p>
    <w:p w14:paraId="65E74643" w14:textId="77777777" w:rsidR="00525AD8" w:rsidRPr="00BD1319" w:rsidRDefault="00525AD8" w:rsidP="00525AD8">
      <w:pPr>
        <w:tabs>
          <w:tab w:val="left" w:pos="-2268"/>
        </w:tabs>
        <w:suppressAutoHyphens/>
        <w:rPr>
          <w:spacing w:val="-3"/>
        </w:rPr>
      </w:pPr>
    </w:p>
    <w:p w14:paraId="747F6A74" w14:textId="77777777" w:rsidR="00525AD8" w:rsidRPr="00BD1319" w:rsidRDefault="00525AD8" w:rsidP="00525AD8">
      <w:pPr>
        <w:numPr>
          <w:ilvl w:val="1"/>
          <w:numId w:val="87"/>
        </w:numPr>
        <w:tabs>
          <w:tab w:val="left" w:pos="-2268"/>
        </w:tabs>
        <w:suppressAutoHyphens/>
        <w:ind w:left="1134" w:hanging="567"/>
        <w:rPr>
          <w:spacing w:val="-3"/>
        </w:rPr>
      </w:pPr>
      <w:r w:rsidRPr="00BD1319">
        <w:rPr>
          <w:spacing w:val="-3"/>
        </w:rPr>
        <w:t>Variaciones mensuales de las rosas de vientos.</w:t>
      </w:r>
    </w:p>
    <w:p w14:paraId="5723D67B" w14:textId="77777777" w:rsidR="00525AD8" w:rsidRPr="00BD1319" w:rsidRDefault="00525AD8" w:rsidP="00525AD8">
      <w:pPr>
        <w:tabs>
          <w:tab w:val="left" w:pos="-2268"/>
        </w:tabs>
        <w:suppressAutoHyphens/>
        <w:rPr>
          <w:spacing w:val="-3"/>
        </w:rPr>
      </w:pPr>
    </w:p>
    <w:p w14:paraId="14E80D92" w14:textId="77777777" w:rsidR="00525AD8" w:rsidRPr="00BD1319" w:rsidRDefault="00525AD8" w:rsidP="00525AD8">
      <w:pPr>
        <w:numPr>
          <w:ilvl w:val="0"/>
          <w:numId w:val="59"/>
        </w:numPr>
        <w:tabs>
          <w:tab w:val="left" w:pos="-2268"/>
        </w:tabs>
        <w:suppressAutoHyphens/>
        <w:ind w:left="567" w:hanging="567"/>
        <w:rPr>
          <w:spacing w:val="-3"/>
        </w:rPr>
      </w:pPr>
      <w:r w:rsidRPr="00BD1319">
        <w:rPr>
          <w:spacing w:val="-3"/>
        </w:rPr>
        <w:t>Radiación solar: media diaria, mensual y anual.</w:t>
      </w:r>
    </w:p>
    <w:p w14:paraId="255D4832" w14:textId="77777777" w:rsidR="00525AD8" w:rsidRPr="00BD1319" w:rsidRDefault="00525AD8" w:rsidP="00525AD8">
      <w:pPr>
        <w:numPr>
          <w:ilvl w:val="12"/>
          <w:numId w:val="0"/>
        </w:numPr>
        <w:tabs>
          <w:tab w:val="left" w:pos="-2268"/>
        </w:tabs>
        <w:suppressAutoHyphens/>
        <w:rPr>
          <w:spacing w:val="-3"/>
        </w:rPr>
      </w:pPr>
    </w:p>
    <w:p w14:paraId="06A77BD0" w14:textId="3161359D" w:rsidR="00525AD8" w:rsidRPr="00BD1319" w:rsidRDefault="00525AD8" w:rsidP="00525AD8">
      <w:pPr>
        <w:numPr>
          <w:ilvl w:val="12"/>
          <w:numId w:val="0"/>
        </w:numPr>
        <w:tabs>
          <w:tab w:val="left" w:pos="-2268"/>
        </w:tabs>
        <w:suppressAutoHyphens/>
        <w:rPr>
          <w:spacing w:val="-3"/>
        </w:rPr>
      </w:pPr>
      <w:r w:rsidRPr="00BD1319">
        <w:rPr>
          <w:spacing w:val="-3"/>
        </w:rPr>
        <w:t>Incl</w:t>
      </w:r>
      <w:r w:rsidR="00D909AE" w:rsidRPr="00BD1319">
        <w:rPr>
          <w:spacing w:val="-3"/>
        </w:rPr>
        <w:t>uir</w:t>
      </w:r>
      <w:r w:rsidRPr="00BD1319">
        <w:rPr>
          <w:spacing w:val="-3"/>
        </w:rPr>
        <w:t xml:space="preserve"> para el caso del análisis de vientos, aspectos de dirección, velocidad y frecuencias, elaborando la rosa de los vientos diurna y nocturna, así como una tabla con sus respectivas unidades </w:t>
      </w:r>
      <w:r w:rsidR="00F47394" w:rsidRPr="00BD1319">
        <w:rPr>
          <w:spacing w:val="-3"/>
        </w:rPr>
        <w:t xml:space="preserve">de medida </w:t>
      </w:r>
      <w:r w:rsidRPr="00BD1319">
        <w:rPr>
          <w:spacing w:val="-3"/>
        </w:rPr>
        <w:t>y el comportamiento de los vientos en resolución de 24 horas.</w:t>
      </w:r>
    </w:p>
    <w:p w14:paraId="62457F47" w14:textId="77777777" w:rsidR="00525AD8" w:rsidRPr="00BD1319" w:rsidRDefault="00525AD8" w:rsidP="00525AD8">
      <w:pPr>
        <w:numPr>
          <w:ilvl w:val="12"/>
          <w:numId w:val="0"/>
        </w:numPr>
        <w:tabs>
          <w:tab w:val="left" w:pos="-2268"/>
        </w:tabs>
        <w:suppressAutoHyphens/>
        <w:rPr>
          <w:rFonts w:cs="Arial"/>
          <w:spacing w:val="-3"/>
        </w:rPr>
      </w:pPr>
    </w:p>
    <w:p w14:paraId="1F30A0C9" w14:textId="29AF7CB9" w:rsidR="00525AD8" w:rsidRPr="00BD1319" w:rsidRDefault="00525AD8" w:rsidP="00525AD8">
      <w:pPr>
        <w:tabs>
          <w:tab w:val="left" w:pos="-2268"/>
        </w:tabs>
        <w:suppressAutoHyphens/>
        <w:rPr>
          <w:rFonts w:cs="Arial"/>
          <w:spacing w:val="-3"/>
        </w:rPr>
      </w:pPr>
      <w:r w:rsidRPr="00BD1319">
        <w:rPr>
          <w:rFonts w:cs="Arial"/>
          <w:spacing w:val="-3"/>
        </w:rPr>
        <w:t xml:space="preserve">Efectuar un análisis objetivo de la calidad y consistencia de los datos </w:t>
      </w:r>
      <w:proofErr w:type="spellStart"/>
      <w:r w:rsidRPr="00BD1319">
        <w:rPr>
          <w:rFonts w:cs="Arial"/>
          <w:spacing w:val="-3"/>
        </w:rPr>
        <w:t>hidroclimáticos</w:t>
      </w:r>
      <w:proofErr w:type="spellEnd"/>
      <w:r w:rsidRPr="00BD1319">
        <w:rPr>
          <w:rFonts w:cs="Arial"/>
          <w:spacing w:val="-3"/>
        </w:rPr>
        <w:t xml:space="preserve"> que incluya prue</w:t>
      </w:r>
      <w:r w:rsidR="00D909AE" w:rsidRPr="00BD1319">
        <w:rPr>
          <w:rFonts w:cs="Arial"/>
          <w:spacing w:val="-3"/>
        </w:rPr>
        <w:t xml:space="preserve">bas estadísticas paramétricas </w:t>
      </w:r>
      <w:r w:rsidRPr="00BD1319">
        <w:rPr>
          <w:rFonts w:cs="Arial"/>
          <w:spacing w:val="-3"/>
        </w:rPr>
        <w:t xml:space="preserve">o no paramétricas sobre homogeneidad, consistencia </w:t>
      </w:r>
      <w:r w:rsidR="00912647" w:rsidRPr="00BD1319">
        <w:rPr>
          <w:rFonts w:cs="Arial"/>
          <w:spacing w:val="-3"/>
        </w:rPr>
        <w:t>y determinación</w:t>
      </w:r>
      <w:r w:rsidRPr="00BD1319">
        <w:rPr>
          <w:rFonts w:cs="Arial"/>
          <w:spacing w:val="-3"/>
        </w:rPr>
        <w:t xml:space="preserve"> de datos anómalos; de ser posible, hacer el completado de las series, indicando claramente el método adoptado y efectuar la caracterización estadística básica de las series de tiempo tratadas.</w:t>
      </w:r>
    </w:p>
    <w:p w14:paraId="2794F844" w14:textId="77777777" w:rsidR="00525AD8" w:rsidRPr="00BD1319" w:rsidRDefault="00525AD8" w:rsidP="00525AD8">
      <w:pPr>
        <w:tabs>
          <w:tab w:val="left" w:pos="-2268"/>
        </w:tabs>
        <w:suppressAutoHyphens/>
        <w:rPr>
          <w:rFonts w:cs="Arial"/>
          <w:spacing w:val="-3"/>
        </w:rPr>
      </w:pPr>
    </w:p>
    <w:p w14:paraId="190519DA" w14:textId="5908B85B" w:rsidR="00525AD8" w:rsidRPr="00BD1319" w:rsidRDefault="00525AD8" w:rsidP="00525AD8">
      <w:pPr>
        <w:tabs>
          <w:tab w:val="left" w:pos="-2268"/>
        </w:tabs>
        <w:suppressAutoHyphens/>
        <w:rPr>
          <w:rFonts w:cs="Arial"/>
          <w:spacing w:val="-3"/>
        </w:rPr>
      </w:pPr>
      <w:r w:rsidRPr="00BD1319">
        <w:rPr>
          <w:rFonts w:cs="Arial"/>
          <w:spacing w:val="-3"/>
        </w:rPr>
        <w:t>Teniendo en cuenta la información recopilada en este numeral, se debe realizar la zonificación de las condiciones climáticas para el área de influencia del componente.</w:t>
      </w:r>
    </w:p>
    <w:p w14:paraId="73BD8F2B" w14:textId="77777777" w:rsidR="00525AD8" w:rsidRPr="00BD1319" w:rsidRDefault="00525AD8" w:rsidP="00525AD8">
      <w:pPr>
        <w:numPr>
          <w:ilvl w:val="12"/>
          <w:numId w:val="0"/>
        </w:numPr>
        <w:tabs>
          <w:tab w:val="left" w:pos="-2268"/>
        </w:tabs>
        <w:suppressAutoHyphens/>
        <w:rPr>
          <w:spacing w:val="-3"/>
        </w:rPr>
      </w:pPr>
    </w:p>
    <w:p w14:paraId="24B1A6DF" w14:textId="41A285DC" w:rsidR="00525AD8" w:rsidRPr="00BD1319" w:rsidRDefault="00525AD8">
      <w:pPr>
        <w:numPr>
          <w:ilvl w:val="12"/>
          <w:numId w:val="0"/>
        </w:numPr>
        <w:tabs>
          <w:tab w:val="left" w:pos="-2268"/>
        </w:tabs>
        <w:suppressAutoHyphens/>
        <w:rPr>
          <w:spacing w:val="-3"/>
        </w:rPr>
      </w:pPr>
      <w:r w:rsidRPr="00BD1319">
        <w:rPr>
          <w:spacing w:val="-3"/>
        </w:rPr>
        <w:t xml:space="preserve">Cuando no exista información disponible de estaciones meteorológicas avaladas por el </w:t>
      </w:r>
      <w:proofErr w:type="spellStart"/>
      <w:r w:rsidR="00A92356" w:rsidRPr="00BD1319">
        <w:rPr>
          <w:spacing w:val="-3"/>
        </w:rPr>
        <w:t>Ideam</w:t>
      </w:r>
      <w:proofErr w:type="spellEnd"/>
      <w:r w:rsidRPr="00BD1319">
        <w:rPr>
          <w:spacing w:val="-3"/>
        </w:rPr>
        <w:t xml:space="preserve"> con adecuada representatividad sobre el área de influencia</w:t>
      </w:r>
      <w:r w:rsidRPr="00BD1319">
        <w:rPr>
          <w:rFonts w:cs="Arial"/>
          <w:spacing w:val="-3"/>
        </w:rPr>
        <w:t xml:space="preserve"> del componente</w:t>
      </w:r>
      <w:r w:rsidRPr="00BD1319">
        <w:rPr>
          <w:spacing w:val="-3"/>
        </w:rPr>
        <w:t xml:space="preserve">, la información meteorológica puede ser tomada de los datos de modelos globales o de </w:t>
      </w:r>
      <w:proofErr w:type="spellStart"/>
      <w:r w:rsidRPr="00BD1319">
        <w:rPr>
          <w:spacing w:val="-3"/>
        </w:rPr>
        <w:t>re-análisis</w:t>
      </w:r>
      <w:proofErr w:type="spellEnd"/>
      <w:r w:rsidRPr="00BD1319">
        <w:rPr>
          <w:spacing w:val="-3"/>
        </w:rPr>
        <w:t xml:space="preserve"> global, obtenidos de fuentes de adecuada idoneidad científica y que puedan ser validadas y procesadas para obtener una adecuada resolución sobre el área de influencia. Ejemplos de modelos de clima o tiempo son CFRS, ERA 40, CAM, WRF. Se debe realizar un análisis estadístico del error y demostrar el procedimiento de validación de resultados empleado. Para este caso se requiere que el estudio establezca claramente la fuente de la información, anotando el periodo que se analiza, la resolución de la información, el tipo de dato procesado y las variables contenidas en un formato de texto editable.</w:t>
      </w:r>
      <w:r w:rsidRPr="00BD1319">
        <w:rPr>
          <w:rFonts w:cs="Arial"/>
          <w:spacing w:val="-3"/>
        </w:rPr>
        <w:t xml:space="preserve"> Para este análisis, se requiere como mínimo analizar el año más reciente de la serie de datos </w:t>
      </w:r>
      <w:r w:rsidR="00432CE3" w:rsidRPr="00BD1319">
        <w:rPr>
          <w:rFonts w:cs="Arial"/>
          <w:spacing w:val="-3"/>
        </w:rPr>
        <w:t>empleada</w:t>
      </w:r>
      <w:r w:rsidRPr="00BD1319">
        <w:rPr>
          <w:rFonts w:cs="Arial"/>
          <w:spacing w:val="-3"/>
        </w:rPr>
        <w:t>.</w:t>
      </w:r>
    </w:p>
    <w:p w14:paraId="0CB3EED9" w14:textId="77777777" w:rsidR="00525AD8" w:rsidRPr="00BD1319" w:rsidRDefault="00525AD8">
      <w:pPr>
        <w:numPr>
          <w:ilvl w:val="12"/>
          <w:numId w:val="0"/>
        </w:numPr>
        <w:tabs>
          <w:tab w:val="left" w:pos="-2268"/>
        </w:tabs>
        <w:suppressAutoHyphens/>
        <w:rPr>
          <w:spacing w:val="-3"/>
        </w:rPr>
      </w:pPr>
    </w:p>
    <w:p w14:paraId="757A5AA2" w14:textId="77777777" w:rsidR="009D132B" w:rsidRPr="00BD1319" w:rsidRDefault="009D132B" w:rsidP="009420F5">
      <w:pPr>
        <w:pStyle w:val="Ttulo4"/>
        <w:tabs>
          <w:tab w:val="clear" w:pos="1844"/>
          <w:tab w:val="num" w:pos="1134"/>
        </w:tabs>
        <w:ind w:left="0"/>
        <w:rPr>
          <w:lang w:val="es-CO"/>
        </w:rPr>
      </w:pPr>
      <w:bookmarkStart w:id="2855" w:name="_Ref495933617"/>
      <w:r w:rsidRPr="00BD1319">
        <w:rPr>
          <w:lang w:val="es-CO"/>
        </w:rPr>
        <w:t>Inventario de fuentes de emisiones atmosféricas</w:t>
      </w:r>
      <w:bookmarkEnd w:id="2855"/>
    </w:p>
    <w:p w14:paraId="71F3E2DF" w14:textId="77777777" w:rsidR="009D132B" w:rsidRPr="00BD1319" w:rsidRDefault="009D132B">
      <w:pPr>
        <w:numPr>
          <w:ilvl w:val="12"/>
          <w:numId w:val="0"/>
        </w:numPr>
        <w:tabs>
          <w:tab w:val="left" w:pos="-2268"/>
        </w:tabs>
        <w:suppressAutoHyphens/>
        <w:rPr>
          <w:spacing w:val="-3"/>
        </w:rPr>
      </w:pPr>
    </w:p>
    <w:p w14:paraId="6FA60DED" w14:textId="50D5A9E8" w:rsidR="00792F7C" w:rsidRPr="00BD1319" w:rsidRDefault="00DF5AC1">
      <w:pPr>
        <w:overflowPunct/>
        <w:autoSpaceDE/>
        <w:autoSpaceDN/>
        <w:adjustRightInd/>
        <w:textAlignment w:val="auto"/>
        <w:rPr>
          <w:spacing w:val="-3"/>
        </w:rPr>
      </w:pPr>
      <w:r w:rsidRPr="00BD1319">
        <w:rPr>
          <w:spacing w:val="-3"/>
        </w:rPr>
        <w:t xml:space="preserve">Con el propósito de </w:t>
      </w:r>
      <w:r w:rsidR="00590B9E" w:rsidRPr="00BD1319">
        <w:rPr>
          <w:spacing w:val="-3"/>
        </w:rPr>
        <w:t xml:space="preserve">determinar </w:t>
      </w:r>
      <w:r w:rsidRPr="00BD1319">
        <w:rPr>
          <w:spacing w:val="-3"/>
        </w:rPr>
        <w:t xml:space="preserve">las </w:t>
      </w:r>
      <w:r w:rsidR="009D132B" w:rsidRPr="00BD1319">
        <w:rPr>
          <w:spacing w:val="-3"/>
        </w:rPr>
        <w:t xml:space="preserve">fuentes de emisión y </w:t>
      </w:r>
      <w:r w:rsidRPr="00BD1319">
        <w:rPr>
          <w:spacing w:val="-3"/>
        </w:rPr>
        <w:t xml:space="preserve">de </w:t>
      </w:r>
      <w:r w:rsidR="009D132B" w:rsidRPr="00BD1319">
        <w:rPr>
          <w:spacing w:val="-3"/>
        </w:rPr>
        <w:t>cuantifica</w:t>
      </w:r>
      <w:r w:rsidRPr="00BD1319">
        <w:rPr>
          <w:spacing w:val="-3"/>
        </w:rPr>
        <w:t xml:space="preserve">r las </w:t>
      </w:r>
      <w:r w:rsidR="009D132B" w:rsidRPr="00BD1319">
        <w:rPr>
          <w:spacing w:val="-3"/>
        </w:rPr>
        <w:t xml:space="preserve">emisiones </w:t>
      </w:r>
      <w:r w:rsidRPr="00BD1319">
        <w:rPr>
          <w:spacing w:val="-3"/>
        </w:rPr>
        <w:t xml:space="preserve">para </w:t>
      </w:r>
      <w:r w:rsidR="009D132B" w:rsidRPr="00BD1319">
        <w:rPr>
          <w:spacing w:val="-3"/>
        </w:rPr>
        <w:t>la línea base</w:t>
      </w:r>
      <w:r w:rsidRPr="00BD1319">
        <w:rPr>
          <w:spacing w:val="-3"/>
        </w:rPr>
        <w:t>,</w:t>
      </w:r>
      <w:r w:rsidR="009D132B" w:rsidRPr="00BD1319">
        <w:rPr>
          <w:spacing w:val="-3"/>
        </w:rPr>
        <w:t xml:space="preserve"> </w:t>
      </w:r>
      <w:r w:rsidRPr="00BD1319">
        <w:rPr>
          <w:spacing w:val="-3"/>
        </w:rPr>
        <w:t xml:space="preserve">se deben consultar los </w:t>
      </w:r>
      <w:r w:rsidR="009D132B" w:rsidRPr="00BD1319">
        <w:rPr>
          <w:spacing w:val="-3"/>
        </w:rPr>
        <w:t xml:space="preserve">inventarios de emisiones </w:t>
      </w:r>
      <w:r w:rsidR="009D132B" w:rsidRPr="00BD1319">
        <w:rPr>
          <w:rFonts w:cs="Arial"/>
          <w:spacing w:val="-3"/>
        </w:rPr>
        <w:t>oficiales</w:t>
      </w:r>
      <w:r w:rsidR="009D132B" w:rsidRPr="00BD1319">
        <w:rPr>
          <w:spacing w:val="-3"/>
        </w:rPr>
        <w:t xml:space="preserve"> </w:t>
      </w:r>
      <w:r w:rsidRPr="00BD1319">
        <w:rPr>
          <w:spacing w:val="-3"/>
        </w:rPr>
        <w:t>(</w:t>
      </w:r>
      <w:r w:rsidR="009D132B" w:rsidRPr="00BD1319">
        <w:rPr>
          <w:spacing w:val="-3"/>
        </w:rPr>
        <w:t xml:space="preserve">que cuantifican con </w:t>
      </w:r>
      <w:r w:rsidR="009D132B" w:rsidRPr="00BD1319">
        <w:rPr>
          <w:rFonts w:cs="Arial"/>
          <w:spacing w:val="-3"/>
        </w:rPr>
        <w:t>rigor técnico</w:t>
      </w:r>
      <w:r w:rsidR="009D132B" w:rsidRPr="00BD1319">
        <w:rPr>
          <w:spacing w:val="-3"/>
        </w:rPr>
        <w:t xml:space="preserve"> las descargas de emisiones</w:t>
      </w:r>
      <w:r w:rsidRPr="00BD1319">
        <w:rPr>
          <w:spacing w:val="-3"/>
        </w:rPr>
        <w:t xml:space="preserve">) y </w:t>
      </w:r>
      <w:r w:rsidR="00792F7C" w:rsidRPr="00BD1319">
        <w:rPr>
          <w:rFonts w:cs="Arial"/>
          <w:spacing w:val="-3"/>
          <w:lang w:eastAsia="es-CO"/>
        </w:rPr>
        <w:t xml:space="preserve">otras fuentes de información sobre emisiones atmosféricas como </w:t>
      </w:r>
      <w:r w:rsidR="007058D8" w:rsidRPr="00BD1319">
        <w:rPr>
          <w:rFonts w:cs="Arial"/>
          <w:spacing w:val="-3"/>
          <w:lang w:eastAsia="es-CO"/>
        </w:rPr>
        <w:t xml:space="preserve">el Sistema para el Análisis y Gestión de Información del Licenciamiento Ambiental (AGIL) en dónde es posible consultar la ubicación geográfica de los proyectos licenciados, y la Ventanilla Integral de Trámites Ambientales (VITAL), en dónde se puede consultar la información documental de cada </w:t>
      </w:r>
      <w:r w:rsidR="007058D8" w:rsidRPr="00BD1319">
        <w:rPr>
          <w:rFonts w:cs="Arial"/>
          <w:spacing w:val="-3"/>
          <w:lang w:eastAsia="es-CO"/>
        </w:rPr>
        <w:lastRenderedPageBreak/>
        <w:t>uno de</w:t>
      </w:r>
      <w:r w:rsidR="00792F7C" w:rsidRPr="00BD1319">
        <w:rPr>
          <w:rFonts w:cs="Arial"/>
          <w:spacing w:val="-3"/>
          <w:lang w:eastAsia="es-CO"/>
        </w:rPr>
        <w:t xml:space="preserve"> los proyectos licenciados que cuentan con permisos de emisiones vigentes, </w:t>
      </w:r>
      <w:r w:rsidRPr="00BD1319">
        <w:rPr>
          <w:rFonts w:cs="Arial"/>
          <w:spacing w:val="-3"/>
          <w:lang w:eastAsia="es-CO"/>
        </w:rPr>
        <w:t xml:space="preserve">y </w:t>
      </w:r>
      <w:r w:rsidR="00792F7C" w:rsidRPr="00BD1319">
        <w:rPr>
          <w:rFonts w:cs="Arial"/>
          <w:spacing w:val="-3"/>
          <w:lang w:eastAsia="es-CO"/>
        </w:rPr>
        <w:t>los permisos de emisiones otorgados por las autoridades ambientales</w:t>
      </w:r>
      <w:r w:rsidR="00792F7C" w:rsidRPr="00BD1319">
        <w:rPr>
          <w:spacing w:val="-3"/>
        </w:rPr>
        <w:t>.</w:t>
      </w:r>
    </w:p>
    <w:p w14:paraId="50712F5D" w14:textId="77777777" w:rsidR="00792F7C" w:rsidRPr="00BD1319" w:rsidRDefault="00792F7C" w:rsidP="00792F7C">
      <w:pPr>
        <w:numPr>
          <w:ilvl w:val="12"/>
          <w:numId w:val="0"/>
        </w:numPr>
        <w:tabs>
          <w:tab w:val="left" w:pos="-2268"/>
        </w:tabs>
        <w:suppressAutoHyphens/>
        <w:rPr>
          <w:spacing w:val="-3"/>
        </w:rPr>
      </w:pPr>
    </w:p>
    <w:p w14:paraId="371A969E" w14:textId="4A8B1132" w:rsidR="009D132B" w:rsidRPr="00BD1319" w:rsidRDefault="009D132B" w:rsidP="009D132B">
      <w:pPr>
        <w:numPr>
          <w:ilvl w:val="12"/>
          <w:numId w:val="0"/>
        </w:numPr>
        <w:tabs>
          <w:tab w:val="left" w:pos="-2268"/>
        </w:tabs>
        <w:suppressAutoHyphens/>
        <w:rPr>
          <w:rFonts w:cs="Arial"/>
          <w:spacing w:val="-3"/>
        </w:rPr>
      </w:pPr>
      <w:r w:rsidRPr="00BD1319">
        <w:rPr>
          <w:spacing w:val="-3"/>
        </w:rPr>
        <w:t>No obstante, se debe</w:t>
      </w:r>
      <w:r w:rsidRPr="00BD1319">
        <w:rPr>
          <w:rFonts w:cs="Arial"/>
          <w:spacing w:val="-3"/>
        </w:rPr>
        <w:t xml:space="preserve"> </w:t>
      </w:r>
      <w:r w:rsidRPr="00BD1319">
        <w:rPr>
          <w:spacing w:val="-3"/>
        </w:rPr>
        <w:t>georreferenciar</w:t>
      </w:r>
      <w:r w:rsidR="00D909AE" w:rsidRPr="00BD1319">
        <w:rPr>
          <w:spacing w:val="-3"/>
        </w:rPr>
        <w:t xml:space="preserve"> lo siguiente</w:t>
      </w:r>
      <w:r w:rsidRPr="00BD1319">
        <w:rPr>
          <w:rFonts w:cs="Arial"/>
          <w:spacing w:val="-3"/>
        </w:rPr>
        <w:t>:</w:t>
      </w:r>
    </w:p>
    <w:p w14:paraId="1210FA01" w14:textId="77777777" w:rsidR="009D132B" w:rsidRPr="00BD1319" w:rsidRDefault="009D132B" w:rsidP="00C86DA5">
      <w:pPr>
        <w:numPr>
          <w:ilvl w:val="12"/>
          <w:numId w:val="0"/>
        </w:numPr>
        <w:tabs>
          <w:tab w:val="left" w:pos="-2268"/>
        </w:tabs>
        <w:suppressAutoHyphens/>
        <w:rPr>
          <w:spacing w:val="-3"/>
        </w:rPr>
      </w:pPr>
    </w:p>
    <w:p w14:paraId="3053B13C" w14:textId="1F3762AF" w:rsidR="009D132B" w:rsidRPr="00BD1319" w:rsidRDefault="009D132B" w:rsidP="00C86DA5">
      <w:pPr>
        <w:numPr>
          <w:ilvl w:val="0"/>
          <w:numId w:val="59"/>
        </w:numPr>
        <w:tabs>
          <w:tab w:val="left" w:pos="-2268"/>
        </w:tabs>
        <w:suppressAutoHyphens/>
        <w:ind w:left="567" w:hanging="567"/>
        <w:rPr>
          <w:spacing w:val="-3"/>
        </w:rPr>
      </w:pPr>
      <w:r w:rsidRPr="00BD1319">
        <w:rPr>
          <w:spacing w:val="-3"/>
        </w:rPr>
        <w:t xml:space="preserve">Las fuentes fijas de emisión atmosférica existentes en el área de </w:t>
      </w:r>
      <w:r w:rsidRPr="00BD1319">
        <w:rPr>
          <w:rFonts w:cs="Arial"/>
          <w:spacing w:val="-3"/>
        </w:rPr>
        <w:t xml:space="preserve">influencia del </w:t>
      </w:r>
      <w:r w:rsidR="00432CE3" w:rsidRPr="00BD1319">
        <w:rPr>
          <w:rFonts w:cs="Arial"/>
          <w:spacing w:val="-3"/>
        </w:rPr>
        <w:t>componente</w:t>
      </w:r>
      <w:r w:rsidRPr="00BD1319">
        <w:rPr>
          <w:rFonts w:cs="Arial"/>
          <w:spacing w:val="-3"/>
        </w:rPr>
        <w:t>:</w:t>
      </w:r>
      <w:r w:rsidRPr="00BD1319">
        <w:rPr>
          <w:spacing w:val="-3"/>
        </w:rPr>
        <w:t xml:space="preserve"> de área y puntuales.</w:t>
      </w:r>
    </w:p>
    <w:p w14:paraId="15C31F78" w14:textId="77777777" w:rsidR="009D132B" w:rsidRPr="00BD1319" w:rsidRDefault="009D132B">
      <w:pPr>
        <w:tabs>
          <w:tab w:val="left" w:pos="-2268"/>
        </w:tabs>
        <w:suppressAutoHyphens/>
        <w:rPr>
          <w:spacing w:val="-3"/>
        </w:rPr>
      </w:pPr>
    </w:p>
    <w:p w14:paraId="799AFBCF" w14:textId="2AD1A120" w:rsidR="009D132B" w:rsidRPr="00BD1319" w:rsidRDefault="00DF5AC1" w:rsidP="00C86DA5">
      <w:pPr>
        <w:numPr>
          <w:ilvl w:val="0"/>
          <w:numId w:val="59"/>
        </w:numPr>
        <w:tabs>
          <w:tab w:val="left" w:pos="-2268"/>
        </w:tabs>
        <w:suppressAutoHyphens/>
        <w:ind w:left="567" w:hanging="567"/>
        <w:rPr>
          <w:spacing w:val="-3"/>
        </w:rPr>
      </w:pPr>
      <w:r w:rsidRPr="00BD1319">
        <w:rPr>
          <w:spacing w:val="-3"/>
        </w:rPr>
        <w:t>L</w:t>
      </w:r>
      <w:r w:rsidR="009D132B" w:rsidRPr="00BD1319">
        <w:rPr>
          <w:spacing w:val="-3"/>
        </w:rPr>
        <w:t>os trazados de las fuentes</w:t>
      </w:r>
      <w:r w:rsidR="009D132B" w:rsidRPr="00BD1319">
        <w:rPr>
          <w:rFonts w:cs="Arial"/>
          <w:spacing w:val="-3"/>
        </w:rPr>
        <w:t xml:space="preserve"> lineales y</w:t>
      </w:r>
      <w:r w:rsidR="009D132B" w:rsidRPr="00BD1319">
        <w:rPr>
          <w:spacing w:val="-3"/>
        </w:rPr>
        <w:t xml:space="preserve"> móviles con sus respectivos aforos.</w:t>
      </w:r>
    </w:p>
    <w:p w14:paraId="49BB1D66" w14:textId="77777777" w:rsidR="009D132B" w:rsidRPr="00BD1319" w:rsidRDefault="009D132B">
      <w:pPr>
        <w:tabs>
          <w:tab w:val="left" w:pos="-2268"/>
        </w:tabs>
        <w:suppressAutoHyphens/>
        <w:rPr>
          <w:spacing w:val="-3"/>
        </w:rPr>
      </w:pPr>
    </w:p>
    <w:p w14:paraId="2A63ACCB" w14:textId="471F2264" w:rsidR="009D132B" w:rsidRPr="00BD1319" w:rsidRDefault="00DF5AC1" w:rsidP="003725C8">
      <w:pPr>
        <w:numPr>
          <w:ilvl w:val="0"/>
          <w:numId w:val="59"/>
        </w:numPr>
        <w:tabs>
          <w:tab w:val="left" w:pos="-2268"/>
        </w:tabs>
        <w:suppressAutoHyphens/>
        <w:ind w:left="567" w:hanging="567"/>
        <w:rPr>
          <w:spacing w:val="-3"/>
        </w:rPr>
      </w:pPr>
      <w:r w:rsidRPr="00BD1319">
        <w:rPr>
          <w:spacing w:val="-3"/>
        </w:rPr>
        <w:t>L</w:t>
      </w:r>
      <w:r w:rsidR="009D132B" w:rsidRPr="00BD1319">
        <w:rPr>
          <w:spacing w:val="-3"/>
        </w:rPr>
        <w:t>as fuentes de emisión atmosférica naturales relevantes (volcanes, desiertos, entre otros).</w:t>
      </w:r>
    </w:p>
    <w:p w14:paraId="4CE8C050" w14:textId="77777777" w:rsidR="009D132B" w:rsidRPr="00BD1319" w:rsidRDefault="009D132B">
      <w:pPr>
        <w:tabs>
          <w:tab w:val="left" w:pos="-2268"/>
        </w:tabs>
        <w:suppressAutoHyphens/>
        <w:rPr>
          <w:spacing w:val="-3"/>
        </w:rPr>
      </w:pPr>
    </w:p>
    <w:p w14:paraId="18268B5E" w14:textId="6DF9FE44" w:rsidR="009D132B" w:rsidRPr="00BD1319" w:rsidRDefault="00DF5AC1" w:rsidP="00C86DA5">
      <w:pPr>
        <w:numPr>
          <w:ilvl w:val="0"/>
          <w:numId w:val="59"/>
        </w:numPr>
        <w:tabs>
          <w:tab w:val="left" w:pos="-2268"/>
        </w:tabs>
        <w:suppressAutoHyphens/>
        <w:ind w:left="567" w:hanging="567"/>
        <w:rPr>
          <w:spacing w:val="-3"/>
        </w:rPr>
      </w:pPr>
      <w:r w:rsidRPr="00BD1319">
        <w:rPr>
          <w:spacing w:val="-3"/>
        </w:rPr>
        <w:t>L</w:t>
      </w:r>
      <w:r w:rsidR="009D132B" w:rsidRPr="00BD1319">
        <w:rPr>
          <w:spacing w:val="-3"/>
        </w:rPr>
        <w:t xml:space="preserve">os potenciales receptores de interés, ubicados en asentamientos humanos (viviendas, e infraestructura social, económica, cultural o recreativa), en zonas agropecuarias y en áreas con elementos naturales susceptibles </w:t>
      </w:r>
      <w:r w:rsidRPr="00BD1319">
        <w:rPr>
          <w:spacing w:val="-3"/>
        </w:rPr>
        <w:t xml:space="preserve">en </w:t>
      </w:r>
      <w:r w:rsidR="009D132B" w:rsidRPr="00BD1319">
        <w:rPr>
          <w:rFonts w:cs="Arial"/>
          <w:spacing w:val="-3"/>
        </w:rPr>
        <w:t xml:space="preserve">el área de influencia del </w:t>
      </w:r>
      <w:r w:rsidR="00432CE3" w:rsidRPr="00BD1319">
        <w:rPr>
          <w:rFonts w:cs="Arial"/>
          <w:spacing w:val="-3"/>
        </w:rPr>
        <w:t>componente</w:t>
      </w:r>
      <w:r w:rsidR="009D132B" w:rsidRPr="00BD1319">
        <w:rPr>
          <w:spacing w:val="-3"/>
        </w:rPr>
        <w:t>.</w:t>
      </w:r>
    </w:p>
    <w:p w14:paraId="19BD4182" w14:textId="77777777" w:rsidR="009D132B" w:rsidRPr="00BD1319" w:rsidRDefault="009D132B">
      <w:pPr>
        <w:numPr>
          <w:ilvl w:val="12"/>
          <w:numId w:val="0"/>
        </w:numPr>
        <w:tabs>
          <w:tab w:val="left" w:pos="-2268"/>
        </w:tabs>
        <w:suppressAutoHyphens/>
        <w:rPr>
          <w:spacing w:val="-3"/>
        </w:rPr>
      </w:pPr>
    </w:p>
    <w:p w14:paraId="0C86E016" w14:textId="5AA28D7D" w:rsidR="009D132B" w:rsidRPr="00BD1319" w:rsidRDefault="009D132B" w:rsidP="009D132B">
      <w:pPr>
        <w:numPr>
          <w:ilvl w:val="12"/>
          <w:numId w:val="0"/>
        </w:numPr>
        <w:tabs>
          <w:tab w:val="left" w:pos="-2268"/>
        </w:tabs>
        <w:suppressAutoHyphens/>
        <w:rPr>
          <w:rFonts w:cs="Arial"/>
          <w:spacing w:val="-3"/>
        </w:rPr>
      </w:pPr>
      <w:r w:rsidRPr="00BD1319">
        <w:rPr>
          <w:spacing w:val="-3"/>
        </w:rPr>
        <w:t xml:space="preserve">Señalar en la </w:t>
      </w:r>
      <w:r w:rsidR="00912647" w:rsidRPr="00BD1319">
        <w:rPr>
          <w:spacing w:val="-3"/>
        </w:rPr>
        <w:t xml:space="preserve">determinación </w:t>
      </w:r>
      <w:r w:rsidRPr="00BD1319">
        <w:rPr>
          <w:spacing w:val="-3"/>
        </w:rPr>
        <w:t>de fuentes</w:t>
      </w:r>
      <w:r w:rsidR="00DF5AC1" w:rsidRPr="00BD1319">
        <w:rPr>
          <w:spacing w:val="-3"/>
        </w:rPr>
        <w:t>,</w:t>
      </w:r>
      <w:r w:rsidRPr="00BD1319">
        <w:rPr>
          <w:spacing w:val="-3"/>
        </w:rPr>
        <w:t xml:space="preserve"> el tipo de fuente </w:t>
      </w:r>
      <w:r w:rsidR="00912647" w:rsidRPr="00BD1319">
        <w:rPr>
          <w:spacing w:val="-3"/>
        </w:rPr>
        <w:t xml:space="preserve">determinada </w:t>
      </w:r>
      <w:r w:rsidRPr="00BD1319">
        <w:rPr>
          <w:spacing w:val="-3"/>
        </w:rPr>
        <w:t>y la actividad económica asociada.</w:t>
      </w:r>
    </w:p>
    <w:p w14:paraId="2D4F66E3" w14:textId="77777777" w:rsidR="009D132B" w:rsidRPr="00BD1319" w:rsidRDefault="009D132B" w:rsidP="009D132B">
      <w:pPr>
        <w:numPr>
          <w:ilvl w:val="12"/>
          <w:numId w:val="0"/>
        </w:numPr>
        <w:tabs>
          <w:tab w:val="left" w:pos="-2268"/>
        </w:tabs>
        <w:suppressAutoHyphens/>
        <w:rPr>
          <w:rFonts w:cs="Arial"/>
          <w:spacing w:val="-3"/>
        </w:rPr>
      </w:pPr>
    </w:p>
    <w:p w14:paraId="5A2AE376" w14:textId="291AD25F" w:rsidR="009D132B" w:rsidRPr="00BD1319" w:rsidRDefault="007D7A77">
      <w:pPr>
        <w:numPr>
          <w:ilvl w:val="12"/>
          <w:numId w:val="0"/>
        </w:numPr>
        <w:tabs>
          <w:tab w:val="left" w:pos="-2268"/>
        </w:tabs>
        <w:suppressAutoHyphens/>
        <w:rPr>
          <w:spacing w:val="-3"/>
        </w:rPr>
      </w:pPr>
      <w:r w:rsidRPr="00BD1319">
        <w:rPr>
          <w:spacing w:val="-3"/>
        </w:rPr>
        <w:t xml:space="preserve">Si existe un </w:t>
      </w:r>
      <w:r w:rsidR="009D132B" w:rsidRPr="00BD1319">
        <w:rPr>
          <w:spacing w:val="-3"/>
        </w:rPr>
        <w:t xml:space="preserve">inventario </w:t>
      </w:r>
      <w:r w:rsidR="009D132B" w:rsidRPr="00BD1319">
        <w:rPr>
          <w:rFonts w:cs="Arial"/>
          <w:spacing w:val="-3"/>
        </w:rPr>
        <w:t>oficial</w:t>
      </w:r>
      <w:r w:rsidR="009D132B" w:rsidRPr="00BD1319">
        <w:rPr>
          <w:spacing w:val="-3"/>
        </w:rPr>
        <w:t xml:space="preserve"> de emisiones para </w:t>
      </w:r>
      <w:r w:rsidR="009D132B" w:rsidRPr="00BD1319">
        <w:rPr>
          <w:rFonts w:cs="Arial"/>
          <w:spacing w:val="-3"/>
        </w:rPr>
        <w:t xml:space="preserve">el área de influencia del </w:t>
      </w:r>
      <w:r w:rsidR="00432CE3" w:rsidRPr="00BD1319">
        <w:rPr>
          <w:rFonts w:cs="Arial"/>
          <w:spacing w:val="-3"/>
        </w:rPr>
        <w:t>componente</w:t>
      </w:r>
      <w:r w:rsidR="009D132B" w:rsidRPr="00BD1319">
        <w:rPr>
          <w:spacing w:val="-3"/>
        </w:rPr>
        <w:t xml:space="preserve">, se debe entregar </w:t>
      </w:r>
      <w:r w:rsidR="00D909AE" w:rsidRPr="00BD1319">
        <w:rPr>
          <w:spacing w:val="-3"/>
        </w:rPr>
        <w:t xml:space="preserve">la </w:t>
      </w:r>
      <w:r w:rsidR="009D132B" w:rsidRPr="00BD1319">
        <w:rPr>
          <w:spacing w:val="-3"/>
        </w:rPr>
        <w:t xml:space="preserve">información </w:t>
      </w:r>
      <w:r w:rsidR="009D132B" w:rsidRPr="00BD1319">
        <w:rPr>
          <w:rFonts w:cs="Arial"/>
          <w:spacing w:val="-3"/>
        </w:rPr>
        <w:t>disponible</w:t>
      </w:r>
      <w:r w:rsidR="009D132B" w:rsidRPr="00BD1319">
        <w:rPr>
          <w:spacing w:val="-3"/>
        </w:rPr>
        <w:t xml:space="preserve"> sobre la cuantificación de las emisiones por fuente y la </w:t>
      </w:r>
      <w:r w:rsidR="00D534E3" w:rsidRPr="00BD1319">
        <w:rPr>
          <w:spacing w:val="-3"/>
        </w:rPr>
        <w:t xml:space="preserve">determinación </w:t>
      </w:r>
      <w:r w:rsidR="009D132B" w:rsidRPr="00BD1319">
        <w:rPr>
          <w:spacing w:val="-3"/>
        </w:rPr>
        <w:t>de los tipos de contaminantes generados.</w:t>
      </w:r>
    </w:p>
    <w:p w14:paraId="09DC537E" w14:textId="77777777" w:rsidR="007D7A77" w:rsidRPr="00BD1319" w:rsidRDefault="007D7A77">
      <w:pPr>
        <w:numPr>
          <w:ilvl w:val="12"/>
          <w:numId w:val="0"/>
        </w:numPr>
        <w:tabs>
          <w:tab w:val="left" w:pos="-2268"/>
        </w:tabs>
        <w:suppressAutoHyphens/>
        <w:rPr>
          <w:spacing w:val="-3"/>
        </w:rPr>
      </w:pPr>
    </w:p>
    <w:p w14:paraId="51BADD04" w14:textId="050557D0" w:rsidR="009D132B" w:rsidRPr="00BD1319" w:rsidRDefault="009D132B">
      <w:pPr>
        <w:numPr>
          <w:ilvl w:val="12"/>
          <w:numId w:val="0"/>
        </w:numPr>
        <w:tabs>
          <w:tab w:val="left" w:pos="-2268"/>
        </w:tabs>
        <w:suppressAutoHyphens/>
        <w:rPr>
          <w:spacing w:val="-3"/>
        </w:rPr>
      </w:pPr>
      <w:r w:rsidRPr="00BD1319">
        <w:rPr>
          <w:spacing w:val="-3"/>
        </w:rPr>
        <w:t xml:space="preserve">Utilizar modelos de </w:t>
      </w:r>
      <w:r w:rsidRPr="00BD1319">
        <w:rPr>
          <w:rFonts w:cs="Arial"/>
          <w:spacing w:val="-3"/>
        </w:rPr>
        <w:t>estimación de emisiones</w:t>
      </w:r>
      <w:r w:rsidRPr="00BD1319">
        <w:rPr>
          <w:spacing w:val="-3"/>
        </w:rPr>
        <w:t xml:space="preserve"> de fuentes móviles (</w:t>
      </w:r>
      <w:r w:rsidR="00041844" w:rsidRPr="00BD1319">
        <w:rPr>
          <w:spacing w:val="-3"/>
        </w:rPr>
        <w:t>p. ej.</w:t>
      </w:r>
      <w:r w:rsidRPr="00BD1319">
        <w:rPr>
          <w:spacing w:val="-3"/>
        </w:rPr>
        <w:t xml:space="preserve"> IVE, MOBILE, MOVES o COPERT</w:t>
      </w:r>
      <w:r w:rsidRPr="00BD1319">
        <w:rPr>
          <w:rFonts w:cs="Arial"/>
          <w:spacing w:val="-3"/>
        </w:rPr>
        <w:t>, de reconocida aplicación nacional e internacional</w:t>
      </w:r>
      <w:r w:rsidRPr="00BD1319">
        <w:rPr>
          <w:spacing w:val="-3"/>
        </w:rPr>
        <w:t xml:space="preserve">) combinados con variables locales (distancias viajadas por la flota, velocidades, entre otras), o factores de emisión de entidades </w:t>
      </w:r>
      <w:r w:rsidR="004F4764" w:rsidRPr="00BD1319">
        <w:rPr>
          <w:spacing w:val="-3"/>
        </w:rPr>
        <w:t xml:space="preserve">nacionales o internacionales </w:t>
      </w:r>
      <w:r w:rsidRPr="00BD1319">
        <w:rPr>
          <w:rFonts w:cs="Arial"/>
          <w:spacing w:val="-3"/>
        </w:rPr>
        <w:t>con conocimiento</w:t>
      </w:r>
      <w:r w:rsidRPr="00BD1319">
        <w:rPr>
          <w:spacing w:val="-3"/>
        </w:rPr>
        <w:t xml:space="preserve"> en la materia. En todo caso, se puede incluir información de inventarios de emisiones realizados en el área de </w:t>
      </w:r>
      <w:r w:rsidRPr="00BD1319">
        <w:rPr>
          <w:rFonts w:cs="Arial"/>
          <w:spacing w:val="-3"/>
        </w:rPr>
        <w:t xml:space="preserve">influencia del </w:t>
      </w:r>
      <w:r w:rsidR="004F4764" w:rsidRPr="00BD1319">
        <w:rPr>
          <w:rFonts w:cs="Arial"/>
          <w:spacing w:val="-3"/>
        </w:rPr>
        <w:t>componente</w:t>
      </w:r>
      <w:r w:rsidRPr="00BD1319">
        <w:rPr>
          <w:spacing w:val="-3"/>
        </w:rPr>
        <w:t xml:space="preserve"> por </w:t>
      </w:r>
      <w:r w:rsidR="00DF5AC1" w:rsidRPr="00BD1319">
        <w:rPr>
          <w:rFonts w:cs="Arial"/>
          <w:spacing w:val="-3"/>
        </w:rPr>
        <w:t>a</w:t>
      </w:r>
      <w:r w:rsidRPr="00BD1319">
        <w:rPr>
          <w:rFonts w:cs="Arial"/>
          <w:spacing w:val="-3"/>
        </w:rPr>
        <w:t xml:space="preserve">utoridades </w:t>
      </w:r>
      <w:r w:rsidR="00DF5AC1" w:rsidRPr="00BD1319">
        <w:rPr>
          <w:rFonts w:cs="Arial"/>
          <w:spacing w:val="-3"/>
        </w:rPr>
        <w:t>a</w:t>
      </w:r>
      <w:r w:rsidRPr="00BD1319">
        <w:rPr>
          <w:rFonts w:cs="Arial"/>
          <w:spacing w:val="-3"/>
        </w:rPr>
        <w:t xml:space="preserve">mbientales </w:t>
      </w:r>
      <w:r w:rsidRPr="00BD1319">
        <w:rPr>
          <w:spacing w:val="-3"/>
        </w:rPr>
        <w:t>u otras entidades</w:t>
      </w:r>
      <w:r w:rsidR="00DF5AC1" w:rsidRPr="00BD1319">
        <w:rPr>
          <w:spacing w:val="-3"/>
        </w:rPr>
        <w:t xml:space="preserve"> oficiales</w:t>
      </w:r>
      <w:r w:rsidRPr="00BD1319">
        <w:rPr>
          <w:spacing w:val="-3"/>
        </w:rPr>
        <w:t>.</w:t>
      </w:r>
    </w:p>
    <w:p w14:paraId="08BDD133" w14:textId="77777777" w:rsidR="009D132B" w:rsidRPr="00BD1319" w:rsidRDefault="009D132B">
      <w:pPr>
        <w:numPr>
          <w:ilvl w:val="12"/>
          <w:numId w:val="0"/>
        </w:numPr>
        <w:tabs>
          <w:tab w:val="left" w:pos="-2268"/>
        </w:tabs>
        <w:suppressAutoHyphens/>
        <w:rPr>
          <w:spacing w:val="-3"/>
        </w:rPr>
      </w:pPr>
    </w:p>
    <w:p w14:paraId="750F56D5" w14:textId="39067D1C" w:rsidR="009D132B" w:rsidRPr="00BD1319" w:rsidRDefault="009D132B">
      <w:pPr>
        <w:tabs>
          <w:tab w:val="left" w:pos="-2268"/>
        </w:tabs>
        <w:suppressAutoHyphens/>
        <w:rPr>
          <w:spacing w:val="-3"/>
        </w:rPr>
      </w:pPr>
      <w:r w:rsidRPr="00BD1319">
        <w:rPr>
          <w:spacing w:val="-3"/>
        </w:rPr>
        <w:t xml:space="preserve">Realizar un aforo vehicular, a fin de </w:t>
      </w:r>
      <w:r w:rsidR="00F15ABD" w:rsidRPr="00BD1319">
        <w:rPr>
          <w:spacing w:val="-3"/>
        </w:rPr>
        <w:t xml:space="preserve">determinar </w:t>
      </w:r>
      <w:r w:rsidRPr="00BD1319">
        <w:rPr>
          <w:spacing w:val="-3"/>
        </w:rPr>
        <w:t xml:space="preserve">las fuentes móviles que transitan por las vías </w:t>
      </w:r>
      <w:r w:rsidR="00B77F78" w:rsidRPr="00BD1319">
        <w:rPr>
          <w:spacing w:val="-3"/>
        </w:rPr>
        <w:t xml:space="preserve">existentes </w:t>
      </w:r>
      <w:r w:rsidR="00762B14" w:rsidRPr="00BD1319">
        <w:rPr>
          <w:spacing w:val="-3"/>
        </w:rPr>
        <w:t xml:space="preserve">que empleará el proyecto, obra o actividad </w:t>
      </w:r>
      <w:r w:rsidRPr="00BD1319">
        <w:rPr>
          <w:spacing w:val="-3"/>
        </w:rPr>
        <w:t>o que se encuentran en el área de influencia</w:t>
      </w:r>
      <w:r w:rsidRPr="00BD1319">
        <w:rPr>
          <w:rFonts w:cs="Arial"/>
          <w:spacing w:val="-3"/>
        </w:rPr>
        <w:t xml:space="preserve"> del </w:t>
      </w:r>
      <w:r w:rsidR="00432CE3" w:rsidRPr="00BD1319">
        <w:rPr>
          <w:rFonts w:cs="Arial"/>
          <w:spacing w:val="-3"/>
        </w:rPr>
        <w:t>componente</w:t>
      </w:r>
      <w:r w:rsidRPr="00BD1319">
        <w:rPr>
          <w:spacing w:val="-3"/>
        </w:rPr>
        <w:t>. Se debe</w:t>
      </w:r>
      <w:r w:rsidR="00590B9E" w:rsidRPr="00BD1319">
        <w:rPr>
          <w:spacing w:val="-3"/>
        </w:rPr>
        <w:t>n</w:t>
      </w:r>
      <w:r w:rsidRPr="00BD1319">
        <w:rPr>
          <w:spacing w:val="-3"/>
        </w:rPr>
        <w:t xml:space="preserve"> señalar las características del punto de aforo, así como clasificar los vehículos de acuerdo </w:t>
      </w:r>
      <w:r w:rsidRPr="00BD1319">
        <w:rPr>
          <w:rFonts w:cs="Arial"/>
          <w:spacing w:val="-3"/>
        </w:rPr>
        <w:t>con</w:t>
      </w:r>
      <w:r w:rsidRPr="00BD1319">
        <w:rPr>
          <w:spacing w:val="-3"/>
        </w:rPr>
        <w:t xml:space="preserve"> su peso y tipo de combustible, teniendo en cuenta que el levantamiento de información de la flota vehicular, como mínimo, deber ser de </w:t>
      </w:r>
      <w:r w:rsidRPr="00BD1319">
        <w:rPr>
          <w:rFonts w:cs="Arial"/>
          <w:spacing w:val="-3"/>
        </w:rPr>
        <w:t>veinticuatro (24</w:t>
      </w:r>
      <w:r w:rsidRPr="00BD1319">
        <w:rPr>
          <w:spacing w:val="-3"/>
        </w:rPr>
        <w:t xml:space="preserve">) horas continuas por día, en día hábil y </w:t>
      </w:r>
      <w:r w:rsidRPr="00BD1319">
        <w:rPr>
          <w:rFonts w:cs="Arial"/>
          <w:spacing w:val="-3"/>
        </w:rPr>
        <w:t>no hábil</w:t>
      </w:r>
      <w:r w:rsidRPr="00BD1319">
        <w:rPr>
          <w:spacing w:val="-3"/>
        </w:rPr>
        <w:t>.</w:t>
      </w:r>
      <w:r w:rsidR="007D7AD3" w:rsidRPr="00BD1319">
        <w:rPr>
          <w:spacing w:val="-3"/>
        </w:rPr>
        <w:t xml:space="preserve"> En caso de que el aforo se realice por un tiempo inferior a las 24 horas, </w:t>
      </w:r>
      <w:r w:rsidR="00EF6D0A" w:rsidRPr="00BD1319">
        <w:rPr>
          <w:spacing w:val="-3"/>
        </w:rPr>
        <w:t xml:space="preserve">esta situación se debe justificar apropiadamente </w:t>
      </w:r>
      <w:r w:rsidR="007D7AD3" w:rsidRPr="00BD1319">
        <w:rPr>
          <w:spacing w:val="-3"/>
        </w:rPr>
        <w:t xml:space="preserve">en función de </w:t>
      </w:r>
      <w:r w:rsidR="00EF6D0A" w:rsidRPr="00BD1319">
        <w:rPr>
          <w:spacing w:val="-3"/>
        </w:rPr>
        <w:t xml:space="preserve">variables </w:t>
      </w:r>
      <w:r w:rsidR="007D7AD3" w:rsidRPr="00BD1319">
        <w:rPr>
          <w:spacing w:val="-3"/>
        </w:rPr>
        <w:t xml:space="preserve">como </w:t>
      </w:r>
      <w:r w:rsidR="00D909AE" w:rsidRPr="00BD1319">
        <w:rPr>
          <w:spacing w:val="-3"/>
        </w:rPr>
        <w:t xml:space="preserve">las </w:t>
      </w:r>
      <w:r w:rsidR="007D7AD3" w:rsidRPr="00BD1319">
        <w:rPr>
          <w:spacing w:val="-3"/>
        </w:rPr>
        <w:lastRenderedPageBreak/>
        <w:t>condiciones de seguridad, horarios de operación del proyecto, dificultad de acceso, entre otr</w:t>
      </w:r>
      <w:r w:rsidR="00EF6D0A" w:rsidRPr="00BD1319">
        <w:rPr>
          <w:spacing w:val="-3"/>
        </w:rPr>
        <w:t>a</w:t>
      </w:r>
      <w:r w:rsidR="007D7AD3" w:rsidRPr="00BD1319">
        <w:rPr>
          <w:spacing w:val="-3"/>
        </w:rPr>
        <w:t>s.</w:t>
      </w:r>
    </w:p>
    <w:p w14:paraId="68832A41" w14:textId="77777777" w:rsidR="009D132B" w:rsidRPr="00BD1319" w:rsidRDefault="009D132B">
      <w:pPr>
        <w:numPr>
          <w:ilvl w:val="12"/>
          <w:numId w:val="0"/>
        </w:numPr>
        <w:tabs>
          <w:tab w:val="left" w:pos="-2268"/>
        </w:tabs>
        <w:suppressAutoHyphens/>
        <w:rPr>
          <w:spacing w:val="-3"/>
        </w:rPr>
      </w:pPr>
    </w:p>
    <w:p w14:paraId="0AF8E9A4" w14:textId="77777777" w:rsidR="009D132B" w:rsidRPr="00BD1319" w:rsidRDefault="009D132B" w:rsidP="009420F5">
      <w:pPr>
        <w:pStyle w:val="Ttulo4"/>
        <w:tabs>
          <w:tab w:val="clear" w:pos="1844"/>
          <w:tab w:val="num" w:pos="1134"/>
        </w:tabs>
        <w:ind w:left="0"/>
        <w:rPr>
          <w:lang w:val="es-CO"/>
        </w:rPr>
      </w:pPr>
      <w:r w:rsidRPr="00BD1319">
        <w:rPr>
          <w:lang w:val="es-CO"/>
        </w:rPr>
        <w:t>Calidad del aire</w:t>
      </w:r>
    </w:p>
    <w:p w14:paraId="0A27ECE2" w14:textId="77777777" w:rsidR="009D132B" w:rsidRPr="00BD1319" w:rsidRDefault="009D132B">
      <w:pPr>
        <w:numPr>
          <w:ilvl w:val="12"/>
          <w:numId w:val="0"/>
        </w:numPr>
        <w:tabs>
          <w:tab w:val="left" w:pos="-2268"/>
        </w:tabs>
        <w:suppressAutoHyphens/>
        <w:rPr>
          <w:spacing w:val="-3"/>
        </w:rPr>
      </w:pPr>
    </w:p>
    <w:p w14:paraId="38B74556" w14:textId="545250E5" w:rsidR="009D132B" w:rsidRPr="00BD1319" w:rsidRDefault="009D132B">
      <w:pPr>
        <w:numPr>
          <w:ilvl w:val="12"/>
          <w:numId w:val="0"/>
        </w:numPr>
        <w:tabs>
          <w:tab w:val="left" w:pos="-2268"/>
        </w:tabs>
        <w:suppressAutoHyphens/>
        <w:rPr>
          <w:spacing w:val="-3"/>
        </w:rPr>
      </w:pPr>
      <w:r w:rsidRPr="00BD1319">
        <w:rPr>
          <w:spacing w:val="-3"/>
        </w:rPr>
        <w:t xml:space="preserve">Presentar los resultados y análisis de la información de estudios sobre la calidad del aire realizados en el área de influencia del </w:t>
      </w:r>
      <w:r w:rsidR="00432CE3" w:rsidRPr="00BD1319">
        <w:rPr>
          <w:rFonts w:cs="Arial"/>
          <w:spacing w:val="-3"/>
        </w:rPr>
        <w:t>componente</w:t>
      </w:r>
      <w:r w:rsidRPr="00BD1319">
        <w:rPr>
          <w:spacing w:val="-3"/>
        </w:rPr>
        <w:t xml:space="preserve">; los datos que se usen pueden ser generados por terceros (incluye a las redes de monitoreo operadas por las autoridades ambientales) </w:t>
      </w:r>
      <w:r w:rsidRPr="00BD1319">
        <w:rPr>
          <w:rFonts w:cs="Arial"/>
          <w:spacing w:val="-3"/>
        </w:rPr>
        <w:t xml:space="preserve">siempre y cuando </w:t>
      </w:r>
      <w:r w:rsidRPr="00BD1319">
        <w:rPr>
          <w:spacing w:val="-3"/>
        </w:rPr>
        <w:t xml:space="preserve">éstos no </w:t>
      </w:r>
      <w:r w:rsidRPr="00BD1319">
        <w:rPr>
          <w:rFonts w:cs="Arial"/>
          <w:spacing w:val="-3"/>
        </w:rPr>
        <w:t>superen</w:t>
      </w:r>
      <w:r w:rsidRPr="00BD1319">
        <w:rPr>
          <w:spacing w:val="-3"/>
        </w:rPr>
        <w:t xml:space="preserve"> los dos años de antigüedad y se demuestre la representatividad espacial de las mediciones</w:t>
      </w:r>
      <w:r w:rsidRPr="00BD1319">
        <w:rPr>
          <w:rFonts w:cs="Arial"/>
          <w:spacing w:val="-3"/>
        </w:rPr>
        <w:t>.</w:t>
      </w:r>
      <w:r w:rsidRPr="00BD1319">
        <w:rPr>
          <w:spacing w:val="-3"/>
        </w:rPr>
        <w:t xml:space="preserve"> En caso de no existir información </w:t>
      </w:r>
      <w:r w:rsidRPr="00BD1319">
        <w:rPr>
          <w:rFonts w:cs="Arial"/>
          <w:spacing w:val="-3"/>
        </w:rPr>
        <w:t>representativa</w:t>
      </w:r>
      <w:r w:rsidRPr="00BD1319">
        <w:rPr>
          <w:spacing w:val="-3"/>
        </w:rPr>
        <w:t>, se debe determinar la línea base</w:t>
      </w:r>
      <w:r w:rsidRPr="00BD1319">
        <w:rPr>
          <w:rFonts w:cs="Arial"/>
          <w:spacing w:val="-3"/>
        </w:rPr>
        <w:t xml:space="preserve"> mediante</w:t>
      </w:r>
      <w:r w:rsidRPr="00BD1319">
        <w:rPr>
          <w:spacing w:val="-3"/>
        </w:rPr>
        <w:t xml:space="preserve"> el diseño del Sistema de Vigilancia de Calidad del Aire </w:t>
      </w:r>
      <w:r w:rsidR="008458FA" w:rsidRPr="00BD1319">
        <w:rPr>
          <w:rFonts w:cs="Arial"/>
          <w:spacing w:val="-3"/>
        </w:rPr>
        <w:t xml:space="preserve">Industrial (SVCAI) indicativo, teniendo en cuenta las emisiones contaminantes características del proyecto, obra o actividad. </w:t>
      </w:r>
      <w:r w:rsidR="008458FA" w:rsidRPr="00BD1319">
        <w:rPr>
          <w:spacing w:val="-3"/>
        </w:rPr>
        <w:t>En caso de que se cuente con un Sistema de Vigilancia de Calidad del Aire fijo, la información correspondiente se puede utilizar con fines de caracterización siempre y cuando se garantice que sea representativa del área de influencia del componente atmosférico</w:t>
      </w:r>
      <w:r w:rsidRPr="00BD1319">
        <w:rPr>
          <w:spacing w:val="-3"/>
        </w:rPr>
        <w:t>.</w:t>
      </w:r>
    </w:p>
    <w:p w14:paraId="69EBC6A9" w14:textId="77777777" w:rsidR="009D132B" w:rsidRPr="00BD1319" w:rsidRDefault="009D132B">
      <w:pPr>
        <w:numPr>
          <w:ilvl w:val="12"/>
          <w:numId w:val="0"/>
        </w:numPr>
        <w:tabs>
          <w:tab w:val="left" w:pos="-2268"/>
        </w:tabs>
        <w:suppressAutoHyphens/>
        <w:rPr>
          <w:spacing w:val="-3"/>
        </w:rPr>
      </w:pPr>
    </w:p>
    <w:p w14:paraId="15313A1B" w14:textId="1E765861" w:rsidR="009D132B" w:rsidRPr="00BD1319" w:rsidRDefault="009D132B">
      <w:pPr>
        <w:numPr>
          <w:ilvl w:val="12"/>
          <w:numId w:val="0"/>
        </w:numPr>
        <w:tabs>
          <w:tab w:val="left" w:pos="-2268"/>
        </w:tabs>
        <w:suppressAutoHyphens/>
        <w:rPr>
          <w:spacing w:val="-3"/>
        </w:rPr>
      </w:pPr>
      <w:r w:rsidRPr="00BD1319">
        <w:rPr>
          <w:spacing w:val="-3"/>
        </w:rPr>
        <w:t xml:space="preserve">El proceso de </w:t>
      </w:r>
      <w:r w:rsidR="00432CE3" w:rsidRPr="00BD1319">
        <w:rPr>
          <w:spacing w:val="-3"/>
        </w:rPr>
        <w:t xml:space="preserve">monitoreo, </w:t>
      </w:r>
      <w:r w:rsidRPr="00BD1319">
        <w:rPr>
          <w:spacing w:val="-3"/>
        </w:rPr>
        <w:t xml:space="preserve">generación </w:t>
      </w:r>
      <w:r w:rsidR="00432CE3" w:rsidRPr="00BD1319">
        <w:rPr>
          <w:spacing w:val="-3"/>
        </w:rPr>
        <w:t xml:space="preserve">y reporte </w:t>
      </w:r>
      <w:r w:rsidRPr="00BD1319">
        <w:rPr>
          <w:spacing w:val="-3"/>
        </w:rPr>
        <w:t xml:space="preserve">de información debe realizarse de acuerdo con lo establecido en el Protocolo para el </w:t>
      </w:r>
      <w:r w:rsidR="00D909AE" w:rsidRPr="00BD1319">
        <w:rPr>
          <w:spacing w:val="-3"/>
        </w:rPr>
        <w:t>m</w:t>
      </w:r>
      <w:r w:rsidRPr="00BD1319">
        <w:rPr>
          <w:spacing w:val="-3"/>
        </w:rPr>
        <w:t xml:space="preserve">onitoreo y </w:t>
      </w:r>
      <w:r w:rsidR="00D909AE" w:rsidRPr="00BD1319">
        <w:rPr>
          <w:spacing w:val="-3"/>
        </w:rPr>
        <w:t>s</w:t>
      </w:r>
      <w:r w:rsidRPr="00BD1319">
        <w:rPr>
          <w:spacing w:val="-3"/>
        </w:rPr>
        <w:t xml:space="preserve">eguimiento de la </w:t>
      </w:r>
      <w:r w:rsidR="00D909AE" w:rsidRPr="00BD1319">
        <w:rPr>
          <w:spacing w:val="-3"/>
        </w:rPr>
        <w:t>c</w:t>
      </w:r>
      <w:r w:rsidRPr="00BD1319">
        <w:rPr>
          <w:spacing w:val="-3"/>
        </w:rPr>
        <w:t xml:space="preserve">alidad del </w:t>
      </w:r>
      <w:r w:rsidR="00D909AE" w:rsidRPr="00BD1319">
        <w:rPr>
          <w:spacing w:val="-3"/>
        </w:rPr>
        <w:t>a</w:t>
      </w:r>
      <w:r w:rsidRPr="00BD1319">
        <w:rPr>
          <w:spacing w:val="-3"/>
        </w:rPr>
        <w:t>ire</w:t>
      </w:r>
      <w:r w:rsidR="00432CE3" w:rsidRPr="00BD1319">
        <w:rPr>
          <w:spacing w:val="-3"/>
        </w:rPr>
        <w:t xml:space="preserve"> de Minambiente, </w:t>
      </w:r>
      <w:r w:rsidR="00432CE3" w:rsidRPr="00BD1319">
        <w:rPr>
          <w:rFonts w:cs="Arial"/>
          <w:spacing w:val="-3"/>
        </w:rPr>
        <w:t>adoptado mediante la Resolución 650</w:t>
      </w:r>
      <w:r w:rsidR="00432CE3" w:rsidRPr="00BD1319">
        <w:rPr>
          <w:spacing w:val="-3"/>
        </w:rPr>
        <w:t xml:space="preserve"> de </w:t>
      </w:r>
      <w:r w:rsidR="00432CE3" w:rsidRPr="00BD1319">
        <w:rPr>
          <w:rFonts w:cs="Arial"/>
          <w:spacing w:val="-3"/>
        </w:rPr>
        <w:t>2010 y ajustado por la Resolución 2154</w:t>
      </w:r>
      <w:r w:rsidR="00432CE3" w:rsidRPr="00BD1319">
        <w:rPr>
          <w:spacing w:val="-3"/>
        </w:rPr>
        <w:t xml:space="preserve"> de </w:t>
      </w:r>
      <w:r w:rsidR="00432CE3" w:rsidRPr="00BD1319">
        <w:rPr>
          <w:rFonts w:cs="Arial"/>
          <w:spacing w:val="-3"/>
        </w:rPr>
        <w:t>2010</w:t>
      </w:r>
      <w:r w:rsidRPr="00BD1319">
        <w:rPr>
          <w:spacing w:val="-3"/>
        </w:rPr>
        <w:t xml:space="preserve">, o </w:t>
      </w:r>
      <w:r w:rsidRPr="00BD1319">
        <w:rPr>
          <w:rFonts w:cs="Arial"/>
          <w:spacing w:val="-3"/>
        </w:rPr>
        <w:t>aquel</w:t>
      </w:r>
      <w:r w:rsidR="00432CE3" w:rsidRPr="00BD1319">
        <w:rPr>
          <w:rFonts w:cs="Arial"/>
          <w:spacing w:val="-3"/>
        </w:rPr>
        <w:t>la</w:t>
      </w:r>
      <w:r w:rsidRPr="00BD1319">
        <w:rPr>
          <w:rFonts w:cs="Arial"/>
          <w:spacing w:val="-3"/>
        </w:rPr>
        <w:t xml:space="preserve"> que l</w:t>
      </w:r>
      <w:r w:rsidR="00432CE3" w:rsidRPr="00BD1319">
        <w:rPr>
          <w:rFonts w:cs="Arial"/>
          <w:spacing w:val="-3"/>
        </w:rPr>
        <w:t>a</w:t>
      </w:r>
      <w:r w:rsidRPr="00BD1319">
        <w:rPr>
          <w:rFonts w:cs="Arial"/>
          <w:spacing w:val="-3"/>
        </w:rPr>
        <w:t xml:space="preserve"> modifique o sustituya.</w:t>
      </w:r>
    </w:p>
    <w:p w14:paraId="1C8EE930" w14:textId="77777777" w:rsidR="009D132B" w:rsidRPr="00BD1319" w:rsidRDefault="009D132B">
      <w:pPr>
        <w:numPr>
          <w:ilvl w:val="12"/>
          <w:numId w:val="0"/>
        </w:numPr>
        <w:tabs>
          <w:tab w:val="left" w:pos="-2268"/>
        </w:tabs>
        <w:suppressAutoHyphens/>
        <w:rPr>
          <w:spacing w:val="-3"/>
        </w:rPr>
      </w:pPr>
    </w:p>
    <w:p w14:paraId="3194A5F0" w14:textId="78DD66EA" w:rsidR="009D132B" w:rsidRPr="00BD1319" w:rsidRDefault="009D132B">
      <w:pPr>
        <w:numPr>
          <w:ilvl w:val="12"/>
          <w:numId w:val="0"/>
        </w:numPr>
        <w:tabs>
          <w:tab w:val="left" w:pos="-2268"/>
        </w:tabs>
        <w:suppressAutoHyphens/>
        <w:rPr>
          <w:spacing w:val="-3"/>
        </w:rPr>
      </w:pPr>
      <w:r w:rsidRPr="00BD1319">
        <w:rPr>
          <w:spacing w:val="-3"/>
        </w:rPr>
        <w:t xml:space="preserve">La caracterización de la calidad del aire debe ser realizada por laboratorios acreditados por el </w:t>
      </w:r>
      <w:proofErr w:type="spellStart"/>
      <w:r w:rsidR="00A92356" w:rsidRPr="00BD1319">
        <w:rPr>
          <w:spacing w:val="-3"/>
        </w:rPr>
        <w:t>Ideam</w:t>
      </w:r>
      <w:proofErr w:type="spellEnd"/>
      <w:r w:rsidRPr="00BD1319">
        <w:rPr>
          <w:spacing w:val="-3"/>
        </w:rPr>
        <w:t xml:space="preserve"> para la toma de muestras y para los análisis de laboratorio respectivos</w:t>
      </w:r>
      <w:r w:rsidR="00DC2CD4" w:rsidRPr="00BD1319">
        <w:rPr>
          <w:spacing w:val="-3"/>
        </w:rPr>
        <w:t xml:space="preserve">, asegurando coherencia entre los métodos de toma de muestras y análisis de </w:t>
      </w:r>
      <w:r w:rsidR="004A21E7" w:rsidRPr="00BD1319">
        <w:rPr>
          <w:spacing w:val="-3"/>
        </w:rPr>
        <w:t>estas</w:t>
      </w:r>
      <w:r w:rsidRPr="00BD1319">
        <w:rPr>
          <w:spacing w:val="-3"/>
        </w:rPr>
        <w:t>.</w:t>
      </w:r>
    </w:p>
    <w:p w14:paraId="2EAEB750" w14:textId="77777777" w:rsidR="009D132B" w:rsidRPr="00BD1319" w:rsidRDefault="009D132B">
      <w:pPr>
        <w:numPr>
          <w:ilvl w:val="12"/>
          <w:numId w:val="0"/>
        </w:numPr>
        <w:tabs>
          <w:tab w:val="left" w:pos="-2268"/>
        </w:tabs>
        <w:suppressAutoHyphens/>
        <w:rPr>
          <w:spacing w:val="-3"/>
        </w:rPr>
      </w:pPr>
    </w:p>
    <w:p w14:paraId="7FBB4AB4" w14:textId="409F7315" w:rsidR="009D132B" w:rsidRPr="00BD1319" w:rsidRDefault="009D132B">
      <w:pPr>
        <w:numPr>
          <w:ilvl w:val="12"/>
          <w:numId w:val="0"/>
        </w:numPr>
        <w:tabs>
          <w:tab w:val="left" w:pos="-2268"/>
        </w:tabs>
        <w:suppressAutoHyphens/>
        <w:rPr>
          <w:spacing w:val="-3"/>
        </w:rPr>
      </w:pPr>
      <w:r w:rsidRPr="00BD1319">
        <w:rPr>
          <w:spacing w:val="-3"/>
        </w:rPr>
        <w:t xml:space="preserve">Los datos e información cartográfica se deben presentar de acuerdo con las especificaciones establecidas en el </w:t>
      </w:r>
      <w:r w:rsidRPr="00BD1319">
        <w:rPr>
          <w:rFonts w:cs="Arial"/>
          <w:spacing w:val="-3"/>
        </w:rPr>
        <w:t>MAG</w:t>
      </w:r>
      <w:r w:rsidRPr="00BD1319">
        <w:rPr>
          <w:spacing w:val="-3"/>
        </w:rPr>
        <w:t>.</w:t>
      </w:r>
    </w:p>
    <w:p w14:paraId="4F2DE901" w14:textId="77777777" w:rsidR="009D132B" w:rsidRPr="00BD1319" w:rsidRDefault="009D132B">
      <w:pPr>
        <w:numPr>
          <w:ilvl w:val="12"/>
          <w:numId w:val="0"/>
        </w:numPr>
        <w:tabs>
          <w:tab w:val="left" w:pos="-2268"/>
        </w:tabs>
        <w:suppressAutoHyphens/>
        <w:rPr>
          <w:spacing w:val="-3"/>
        </w:rPr>
      </w:pPr>
    </w:p>
    <w:p w14:paraId="2F50B0E4" w14:textId="62D62CFF" w:rsidR="009D132B" w:rsidRPr="00BD1319" w:rsidRDefault="009D132B">
      <w:pPr>
        <w:numPr>
          <w:ilvl w:val="12"/>
          <w:numId w:val="0"/>
        </w:numPr>
        <w:tabs>
          <w:tab w:val="left" w:pos="-2268"/>
        </w:tabs>
        <w:suppressAutoHyphens/>
        <w:rPr>
          <w:spacing w:val="-3"/>
        </w:rPr>
      </w:pPr>
      <w:r w:rsidRPr="00BD1319">
        <w:rPr>
          <w:spacing w:val="-3"/>
        </w:rPr>
        <w:t>La información</w:t>
      </w:r>
      <w:r w:rsidRPr="00BD1319">
        <w:rPr>
          <w:rFonts w:cs="Arial"/>
          <w:spacing w:val="-3"/>
        </w:rPr>
        <w:t xml:space="preserve"> generada</w:t>
      </w:r>
      <w:r w:rsidRPr="00BD1319">
        <w:rPr>
          <w:spacing w:val="-3"/>
        </w:rPr>
        <w:t xml:space="preserve"> se debe presentar en mapas </w:t>
      </w:r>
      <w:r w:rsidR="00DC2CD4" w:rsidRPr="00BD1319">
        <w:rPr>
          <w:spacing w:val="-3"/>
        </w:rPr>
        <w:t xml:space="preserve">conforme </w:t>
      </w:r>
      <w:r w:rsidR="009C0241" w:rsidRPr="00BD1319">
        <w:rPr>
          <w:spacing w:val="-3"/>
        </w:rPr>
        <w:t>con</w:t>
      </w:r>
      <w:r w:rsidR="00DC2CD4" w:rsidRPr="00BD1319">
        <w:rPr>
          <w:spacing w:val="-3"/>
        </w:rPr>
        <w:t xml:space="preserve"> lo solicitado</w:t>
      </w:r>
      <w:r w:rsidR="009C0241" w:rsidRPr="00BD1319">
        <w:rPr>
          <w:spacing w:val="-3"/>
        </w:rPr>
        <w:t xml:space="preserve"> </w:t>
      </w:r>
      <w:r w:rsidRPr="00BD1319">
        <w:rPr>
          <w:spacing w:val="-3"/>
        </w:rPr>
        <w:t>en los términos de referencia</w:t>
      </w:r>
      <w:r w:rsidR="00DC2CD4" w:rsidRPr="00BD1319">
        <w:rPr>
          <w:spacing w:val="-3"/>
        </w:rPr>
        <w:t xml:space="preserve"> y la escala allí definida</w:t>
      </w:r>
      <w:r w:rsidRPr="00BD1319">
        <w:rPr>
          <w:spacing w:val="-3"/>
        </w:rPr>
        <w:t xml:space="preserve">, o </w:t>
      </w:r>
      <w:r w:rsidR="001D592E" w:rsidRPr="00BD1319">
        <w:rPr>
          <w:spacing w:val="-3"/>
        </w:rPr>
        <w:t xml:space="preserve">con </w:t>
      </w:r>
      <w:r w:rsidRPr="00BD1319">
        <w:rPr>
          <w:spacing w:val="-3"/>
        </w:rPr>
        <w:t xml:space="preserve">una de mayor detalle </w:t>
      </w:r>
      <w:r w:rsidR="001D592E" w:rsidRPr="00BD1319">
        <w:rPr>
          <w:spacing w:val="-3"/>
        </w:rPr>
        <w:t xml:space="preserve">si </w:t>
      </w:r>
      <w:r w:rsidRPr="00BD1319">
        <w:rPr>
          <w:rFonts w:cs="Arial"/>
          <w:spacing w:val="-3"/>
        </w:rPr>
        <w:t>las especificidades del proyecto</w:t>
      </w:r>
      <w:r w:rsidR="001D592E" w:rsidRPr="00BD1319">
        <w:rPr>
          <w:rFonts w:cs="Arial"/>
          <w:spacing w:val="-3"/>
        </w:rPr>
        <w:t xml:space="preserve"> lo requieren</w:t>
      </w:r>
      <w:r w:rsidRPr="00BD1319">
        <w:rPr>
          <w:spacing w:val="-3"/>
        </w:rPr>
        <w:t>.</w:t>
      </w:r>
    </w:p>
    <w:p w14:paraId="0BFAB3FF" w14:textId="2FB14C43" w:rsidR="009D132B" w:rsidRPr="00BD1319" w:rsidRDefault="009D132B">
      <w:pPr>
        <w:numPr>
          <w:ilvl w:val="12"/>
          <w:numId w:val="0"/>
        </w:numPr>
        <w:tabs>
          <w:tab w:val="left" w:pos="-2268"/>
        </w:tabs>
        <w:suppressAutoHyphens/>
        <w:rPr>
          <w:spacing w:val="-3"/>
        </w:rPr>
      </w:pPr>
    </w:p>
    <w:p w14:paraId="5A568A6F" w14:textId="77777777" w:rsidR="00432CE3" w:rsidRPr="00BD1319" w:rsidRDefault="00432CE3" w:rsidP="009420F5">
      <w:pPr>
        <w:pStyle w:val="Ttulo4"/>
        <w:tabs>
          <w:tab w:val="clear" w:pos="1844"/>
          <w:tab w:val="num" w:pos="1134"/>
        </w:tabs>
        <w:ind w:left="0"/>
        <w:rPr>
          <w:lang w:val="es-CO"/>
        </w:rPr>
      </w:pPr>
      <w:bookmarkStart w:id="2856" w:name="_Toc51937343"/>
      <w:r w:rsidRPr="00BD1319">
        <w:rPr>
          <w:lang w:val="es-CO"/>
        </w:rPr>
        <w:t>Olores ofensivos</w:t>
      </w:r>
      <w:bookmarkEnd w:id="2856"/>
    </w:p>
    <w:p w14:paraId="4509A1AF" w14:textId="77777777" w:rsidR="00432CE3" w:rsidRPr="00BD1319" w:rsidRDefault="00432CE3" w:rsidP="00432CE3"/>
    <w:p w14:paraId="34B7F6E8" w14:textId="48FA7E01" w:rsidR="008A656A" w:rsidRPr="00BD1319" w:rsidRDefault="008A656A" w:rsidP="00432CE3">
      <w:pPr>
        <w:numPr>
          <w:ilvl w:val="12"/>
          <w:numId w:val="0"/>
        </w:numPr>
        <w:tabs>
          <w:tab w:val="left" w:pos="-2268"/>
        </w:tabs>
        <w:suppressAutoHyphens/>
      </w:pPr>
      <w:r w:rsidRPr="00BD1319">
        <w:t>La información de caracterización de</w:t>
      </w:r>
      <w:r w:rsidR="007058D8" w:rsidRPr="00BD1319">
        <w:t>l factor de</w:t>
      </w:r>
      <w:r w:rsidRPr="00BD1319">
        <w:t xml:space="preserve"> olores ofensivos debe permitir </w:t>
      </w:r>
      <w:r w:rsidR="00413334" w:rsidRPr="00BD1319">
        <w:t>determinar</w:t>
      </w:r>
      <w:r w:rsidRPr="00BD1319">
        <w:t xml:space="preserve"> su presencia en el área de influencia del componente</w:t>
      </w:r>
      <w:r w:rsidR="00413334" w:rsidRPr="00BD1319">
        <w:t>;</w:t>
      </w:r>
      <w:r w:rsidRPr="00BD1319">
        <w:t xml:space="preserve"> para este fin</w:t>
      </w:r>
      <w:r w:rsidR="00413334" w:rsidRPr="00BD1319">
        <w:t>,</w:t>
      </w:r>
      <w:r w:rsidRPr="00BD1319">
        <w:t xml:space="preserve"> es necesario georreferenciar las fuentes antropogénicas </w:t>
      </w:r>
      <w:r w:rsidR="00413334" w:rsidRPr="00BD1319">
        <w:t xml:space="preserve">y </w:t>
      </w:r>
      <w:r w:rsidRPr="00BD1319">
        <w:t>naturales existentes, y a partir del uso de factores de emisión o de mediciones directas, determinar las concentraciones en las que las sustancias generadoras de olores ofensivos o sus mezclas están presentes en esta área.</w:t>
      </w:r>
    </w:p>
    <w:p w14:paraId="0FC872A6" w14:textId="77777777" w:rsidR="008A656A" w:rsidRPr="00BD1319" w:rsidRDefault="008A656A" w:rsidP="00432CE3">
      <w:pPr>
        <w:numPr>
          <w:ilvl w:val="12"/>
          <w:numId w:val="0"/>
        </w:numPr>
        <w:tabs>
          <w:tab w:val="left" w:pos="-2268"/>
        </w:tabs>
        <w:suppressAutoHyphens/>
      </w:pPr>
    </w:p>
    <w:p w14:paraId="021C2E12" w14:textId="63E71268" w:rsidR="008A656A" w:rsidRPr="00BD1319" w:rsidRDefault="008A656A" w:rsidP="00432CE3">
      <w:pPr>
        <w:numPr>
          <w:ilvl w:val="12"/>
          <w:numId w:val="0"/>
        </w:numPr>
        <w:tabs>
          <w:tab w:val="left" w:pos="-2268"/>
        </w:tabs>
        <w:suppressAutoHyphens/>
      </w:pPr>
      <w:r w:rsidRPr="00BD1319">
        <w:t xml:space="preserve">Los procedimientos y especificaciones técnicas para </w:t>
      </w:r>
      <w:r w:rsidR="00590B9E" w:rsidRPr="00BD1319">
        <w:t xml:space="preserve">determinar </w:t>
      </w:r>
      <w:r w:rsidRPr="00BD1319">
        <w:t xml:space="preserve">la presencia </w:t>
      </w:r>
      <w:r w:rsidR="005A477A" w:rsidRPr="00BD1319">
        <w:t xml:space="preserve">de </w:t>
      </w:r>
      <w:r w:rsidRPr="00BD1319">
        <w:t xml:space="preserve">estas sustancias en el </w:t>
      </w:r>
      <w:r w:rsidR="00434EA7" w:rsidRPr="00BD1319">
        <w:t>aire</w:t>
      </w:r>
      <w:r w:rsidRPr="00BD1319">
        <w:t xml:space="preserve"> se encuentran contenidas en la Resolución 1541 de 2013, o en aquella </w:t>
      </w:r>
      <w:r w:rsidR="005A477A" w:rsidRPr="00BD1319">
        <w:t xml:space="preserve">norma que la </w:t>
      </w:r>
      <w:r w:rsidRPr="00BD1319">
        <w:t>modifique o sustituya, y en el Protocolo para el monitoreo, control y vigilancia de olores ofensivos, adoptado mediante la Resolución 2087 de 2014.</w:t>
      </w:r>
    </w:p>
    <w:p w14:paraId="1A200B19" w14:textId="77777777" w:rsidR="00432CE3" w:rsidRPr="00BD1319" w:rsidRDefault="00432CE3">
      <w:pPr>
        <w:numPr>
          <w:ilvl w:val="12"/>
          <w:numId w:val="0"/>
        </w:numPr>
        <w:tabs>
          <w:tab w:val="left" w:pos="-2268"/>
        </w:tabs>
        <w:suppressAutoHyphens/>
        <w:rPr>
          <w:spacing w:val="-3"/>
        </w:rPr>
      </w:pPr>
    </w:p>
    <w:p w14:paraId="2BD80173" w14:textId="77777777" w:rsidR="009D132B" w:rsidRPr="00BD1319" w:rsidRDefault="009D132B" w:rsidP="009420F5">
      <w:pPr>
        <w:pStyle w:val="Ttulo4"/>
        <w:tabs>
          <w:tab w:val="clear" w:pos="1844"/>
          <w:tab w:val="num" w:pos="1134"/>
        </w:tabs>
        <w:ind w:left="0"/>
        <w:rPr>
          <w:lang w:val="es-CO"/>
        </w:rPr>
      </w:pPr>
      <w:bookmarkStart w:id="2857" w:name="_Ref495933677"/>
      <w:r w:rsidRPr="00BD1319">
        <w:rPr>
          <w:lang w:val="es-CO"/>
        </w:rPr>
        <w:t>Ruido</w:t>
      </w:r>
      <w:bookmarkEnd w:id="2857"/>
    </w:p>
    <w:p w14:paraId="18BC5B04" w14:textId="77777777" w:rsidR="009D132B" w:rsidRPr="00BD1319" w:rsidRDefault="009D132B">
      <w:pPr>
        <w:numPr>
          <w:ilvl w:val="12"/>
          <w:numId w:val="0"/>
        </w:numPr>
        <w:tabs>
          <w:tab w:val="left" w:pos="-2268"/>
        </w:tabs>
        <w:suppressAutoHyphens/>
        <w:rPr>
          <w:spacing w:val="-3"/>
        </w:rPr>
      </w:pPr>
    </w:p>
    <w:p w14:paraId="06A59326" w14:textId="6CC43DF1" w:rsidR="008C6632" w:rsidRPr="00BD1319" w:rsidRDefault="008C6632" w:rsidP="008C6632">
      <w:pPr>
        <w:numPr>
          <w:ilvl w:val="12"/>
          <w:numId w:val="0"/>
        </w:numPr>
        <w:tabs>
          <w:tab w:val="left" w:pos="-2268"/>
        </w:tabs>
        <w:suppressAutoHyphens/>
        <w:rPr>
          <w:spacing w:val="-3"/>
        </w:rPr>
      </w:pPr>
      <w:r w:rsidRPr="00BD1319">
        <w:rPr>
          <w:spacing w:val="-3"/>
        </w:rPr>
        <w:t xml:space="preserve">La información de caracterización de ruido debe permitir </w:t>
      </w:r>
      <w:r w:rsidR="00590B9E" w:rsidRPr="00BD1319">
        <w:rPr>
          <w:spacing w:val="-3"/>
        </w:rPr>
        <w:t xml:space="preserve">conocer </w:t>
      </w:r>
      <w:r w:rsidRPr="00BD1319">
        <w:rPr>
          <w:spacing w:val="-3"/>
        </w:rPr>
        <w:t>e inventariar los aportes de las fuentes existentes</w:t>
      </w:r>
      <w:r w:rsidR="0075511E" w:rsidRPr="00BD1319">
        <w:rPr>
          <w:spacing w:val="-3"/>
        </w:rPr>
        <w:t xml:space="preserve"> y</w:t>
      </w:r>
      <w:r w:rsidRPr="00BD1319">
        <w:rPr>
          <w:rFonts w:cs="Arial"/>
          <w:spacing w:val="-3"/>
        </w:rPr>
        <w:t xml:space="preserve"> </w:t>
      </w:r>
      <w:r w:rsidR="0075511E" w:rsidRPr="00BD1319">
        <w:rPr>
          <w:rFonts w:cs="Arial"/>
          <w:spacing w:val="-3"/>
        </w:rPr>
        <w:t xml:space="preserve">elaborar </w:t>
      </w:r>
      <w:r w:rsidRPr="00BD1319">
        <w:rPr>
          <w:spacing w:val="-3"/>
        </w:rPr>
        <w:t>cartografía temática sobre ruido, a partir del análisis de la información señalada a continuación.</w:t>
      </w:r>
    </w:p>
    <w:p w14:paraId="3968DAFB" w14:textId="77777777" w:rsidR="008C6632" w:rsidRPr="00BD1319" w:rsidRDefault="008C6632">
      <w:pPr>
        <w:numPr>
          <w:ilvl w:val="12"/>
          <w:numId w:val="0"/>
        </w:numPr>
        <w:tabs>
          <w:tab w:val="left" w:pos="-2268"/>
        </w:tabs>
        <w:suppressAutoHyphens/>
        <w:rPr>
          <w:spacing w:val="-3"/>
        </w:rPr>
      </w:pPr>
    </w:p>
    <w:p w14:paraId="6F227274" w14:textId="2BA1F79F" w:rsidR="009D132B" w:rsidRPr="00BD1319" w:rsidRDefault="009D132B" w:rsidP="00C86DA5">
      <w:pPr>
        <w:numPr>
          <w:ilvl w:val="0"/>
          <w:numId w:val="58"/>
        </w:numPr>
        <w:tabs>
          <w:tab w:val="clear" w:pos="360"/>
        </w:tabs>
        <w:suppressAutoHyphens/>
        <w:ind w:left="567" w:hanging="567"/>
        <w:rPr>
          <w:spacing w:val="-3"/>
        </w:rPr>
      </w:pPr>
      <w:r w:rsidRPr="00BD1319">
        <w:rPr>
          <w:spacing w:val="-3"/>
        </w:rPr>
        <w:t xml:space="preserve">Fuentes de generación de ruido existentes en el área de influencia del </w:t>
      </w:r>
      <w:r w:rsidR="00645E5A" w:rsidRPr="00BD1319">
        <w:rPr>
          <w:rFonts w:cs="Arial"/>
          <w:spacing w:val="-3"/>
        </w:rPr>
        <w:t>componente</w:t>
      </w:r>
      <w:r w:rsidR="004C1E23" w:rsidRPr="00BD1319">
        <w:rPr>
          <w:rFonts w:cs="Arial"/>
          <w:spacing w:val="-3"/>
        </w:rPr>
        <w:t xml:space="preserve"> (</w:t>
      </w:r>
      <w:r w:rsidRPr="00BD1319">
        <w:rPr>
          <w:rFonts w:cs="Arial"/>
          <w:spacing w:val="-3"/>
        </w:rPr>
        <w:t xml:space="preserve">puntuales, </w:t>
      </w:r>
      <w:r w:rsidRPr="00BD1319">
        <w:rPr>
          <w:spacing w:val="-3"/>
        </w:rPr>
        <w:t xml:space="preserve">de área y </w:t>
      </w:r>
      <w:r w:rsidRPr="00BD1319">
        <w:rPr>
          <w:rFonts w:cs="Arial"/>
          <w:spacing w:val="-3"/>
        </w:rPr>
        <w:t>lineales</w:t>
      </w:r>
      <w:r w:rsidR="004C1E23" w:rsidRPr="00BD1319">
        <w:rPr>
          <w:rFonts w:cs="Arial"/>
          <w:spacing w:val="-3"/>
        </w:rPr>
        <w:t>)</w:t>
      </w:r>
      <w:r w:rsidRPr="00BD1319">
        <w:rPr>
          <w:rFonts w:cs="Arial"/>
          <w:spacing w:val="-3"/>
        </w:rPr>
        <w:t xml:space="preserve">, </w:t>
      </w:r>
      <w:r w:rsidRPr="00BD1319">
        <w:rPr>
          <w:spacing w:val="-3"/>
        </w:rPr>
        <w:t xml:space="preserve">los trazados de las </w:t>
      </w:r>
      <w:r w:rsidRPr="00BD1319">
        <w:rPr>
          <w:rFonts w:cs="Arial"/>
          <w:spacing w:val="-3"/>
        </w:rPr>
        <w:t xml:space="preserve">fuentes </w:t>
      </w:r>
      <w:r w:rsidRPr="00BD1319">
        <w:rPr>
          <w:spacing w:val="-3"/>
        </w:rPr>
        <w:t>móviles con sus respectivos aforos</w:t>
      </w:r>
      <w:r w:rsidRPr="00BD1319">
        <w:rPr>
          <w:rFonts w:cs="Arial"/>
          <w:spacing w:val="-3"/>
        </w:rPr>
        <w:t xml:space="preserve"> vehiculares discriminando el periodo </w:t>
      </w:r>
      <w:r w:rsidR="00377C1C" w:rsidRPr="00BD1319">
        <w:rPr>
          <w:rFonts w:cs="Arial"/>
          <w:spacing w:val="-3"/>
        </w:rPr>
        <w:t xml:space="preserve">de evaluación </w:t>
      </w:r>
      <w:r w:rsidRPr="00BD1319">
        <w:rPr>
          <w:rFonts w:cs="Arial"/>
          <w:spacing w:val="-3"/>
        </w:rPr>
        <w:t xml:space="preserve">(de manera horaria vehículo/hora, vehículos totales) conforme a </w:t>
      </w:r>
      <w:r w:rsidR="00377C1C" w:rsidRPr="00BD1319">
        <w:rPr>
          <w:rFonts w:cs="Arial"/>
          <w:spacing w:val="-3"/>
        </w:rPr>
        <w:t xml:space="preserve">lo </w:t>
      </w:r>
      <w:r w:rsidR="00237D4B" w:rsidRPr="00BD1319">
        <w:rPr>
          <w:rFonts w:cs="Arial"/>
          <w:spacing w:val="-3"/>
        </w:rPr>
        <w:t xml:space="preserve">establecido </w:t>
      </w:r>
      <w:r w:rsidRPr="00BD1319">
        <w:rPr>
          <w:rFonts w:cs="Arial"/>
          <w:spacing w:val="-3"/>
        </w:rPr>
        <w:t xml:space="preserve">por la </w:t>
      </w:r>
      <w:r w:rsidR="007A75CE" w:rsidRPr="00BD1319">
        <w:rPr>
          <w:rFonts w:cs="Arial"/>
          <w:spacing w:val="-3"/>
        </w:rPr>
        <w:t>R</w:t>
      </w:r>
      <w:r w:rsidRPr="00BD1319">
        <w:rPr>
          <w:rFonts w:cs="Arial"/>
          <w:spacing w:val="-3"/>
        </w:rPr>
        <w:t xml:space="preserve">esolución 627 de 2006 </w:t>
      </w:r>
      <w:r w:rsidR="00377C1C" w:rsidRPr="00BD1319">
        <w:rPr>
          <w:rFonts w:cs="Arial"/>
          <w:spacing w:val="-3"/>
        </w:rPr>
        <w:t>o aquella que la modifique o sustituya</w:t>
      </w:r>
      <w:r w:rsidRPr="00BD1319">
        <w:rPr>
          <w:rFonts w:cs="Arial"/>
          <w:spacing w:val="-3"/>
        </w:rPr>
        <w:t xml:space="preserve">, el tipo de vehículo (liviano, pesado, moto), </w:t>
      </w:r>
      <w:r w:rsidR="004C1E23" w:rsidRPr="00BD1319">
        <w:rPr>
          <w:rFonts w:cs="Arial"/>
          <w:spacing w:val="-3"/>
        </w:rPr>
        <w:t xml:space="preserve">la </w:t>
      </w:r>
      <w:r w:rsidRPr="00BD1319">
        <w:rPr>
          <w:rFonts w:cs="Arial"/>
          <w:spacing w:val="-3"/>
        </w:rPr>
        <w:t xml:space="preserve">velocidad promedio, </w:t>
      </w:r>
      <w:r w:rsidR="004C1E23" w:rsidRPr="00BD1319">
        <w:rPr>
          <w:rFonts w:cs="Arial"/>
          <w:spacing w:val="-3"/>
        </w:rPr>
        <w:t xml:space="preserve">la </w:t>
      </w:r>
      <w:r w:rsidRPr="00BD1319">
        <w:rPr>
          <w:rFonts w:cs="Arial"/>
          <w:spacing w:val="-3"/>
        </w:rPr>
        <w:t>clasificación de la superficie de rodamiento (vías, rieles)</w:t>
      </w:r>
      <w:r w:rsidR="004C1E23" w:rsidRPr="00BD1319">
        <w:rPr>
          <w:rFonts w:cs="Arial"/>
          <w:spacing w:val="-3"/>
        </w:rPr>
        <w:t xml:space="preserve"> y</w:t>
      </w:r>
      <w:r w:rsidRPr="00BD1319">
        <w:rPr>
          <w:rFonts w:cs="Arial"/>
          <w:spacing w:val="-3"/>
        </w:rPr>
        <w:t xml:space="preserve"> </w:t>
      </w:r>
      <w:r w:rsidR="004C1E23" w:rsidRPr="00BD1319">
        <w:rPr>
          <w:rFonts w:cs="Arial"/>
          <w:spacing w:val="-3"/>
        </w:rPr>
        <w:t xml:space="preserve">las </w:t>
      </w:r>
      <w:r w:rsidRPr="00BD1319">
        <w:rPr>
          <w:rFonts w:cs="Arial"/>
          <w:spacing w:val="-3"/>
        </w:rPr>
        <w:t xml:space="preserve">características de carril (ancho, </w:t>
      </w:r>
      <w:r w:rsidR="004C1E23" w:rsidRPr="00BD1319">
        <w:rPr>
          <w:rFonts w:cs="Arial"/>
          <w:spacing w:val="-3"/>
        </w:rPr>
        <w:t>cantidad</w:t>
      </w:r>
      <w:r w:rsidRPr="00BD1319">
        <w:rPr>
          <w:rFonts w:cs="Arial"/>
          <w:spacing w:val="-3"/>
        </w:rPr>
        <w:t>, dirección de tránsito, tipo de grava, material balasto, entre otras)</w:t>
      </w:r>
      <w:r w:rsidR="001D592E" w:rsidRPr="00BD1319">
        <w:rPr>
          <w:rFonts w:cs="Arial"/>
          <w:spacing w:val="-3"/>
        </w:rPr>
        <w:t>.</w:t>
      </w:r>
    </w:p>
    <w:p w14:paraId="178DC5C1" w14:textId="77777777" w:rsidR="009D132B" w:rsidRPr="00BD1319" w:rsidRDefault="009D132B">
      <w:pPr>
        <w:tabs>
          <w:tab w:val="left" w:pos="-2268"/>
        </w:tabs>
        <w:suppressAutoHyphens/>
        <w:rPr>
          <w:spacing w:val="-3"/>
        </w:rPr>
      </w:pPr>
    </w:p>
    <w:p w14:paraId="34E82919" w14:textId="4CC0B63E" w:rsidR="009D132B" w:rsidRPr="00BD1319" w:rsidRDefault="009D132B" w:rsidP="00C86DA5">
      <w:pPr>
        <w:numPr>
          <w:ilvl w:val="0"/>
          <w:numId w:val="19"/>
        </w:numPr>
        <w:tabs>
          <w:tab w:val="left" w:pos="-2268"/>
        </w:tabs>
        <w:suppressAutoHyphens/>
        <w:ind w:left="567" w:hanging="567"/>
        <w:rPr>
          <w:spacing w:val="-3"/>
        </w:rPr>
      </w:pPr>
      <w:r w:rsidRPr="00BD1319">
        <w:rPr>
          <w:spacing w:val="-3"/>
        </w:rPr>
        <w:t>Potenciales receptores de interés en asentamientos humanos (viviendas, infraestructura social, económica, cultural o recreativa), en zonas agropecuarias y en áreas con elementos naturales susceptibles (</w:t>
      </w:r>
      <w:r w:rsidR="00041844" w:rsidRPr="00BD1319">
        <w:rPr>
          <w:spacing w:val="-3"/>
        </w:rPr>
        <w:t>p. ej.</w:t>
      </w:r>
      <w:r w:rsidRPr="00BD1319">
        <w:rPr>
          <w:spacing w:val="-3"/>
        </w:rPr>
        <w:t xml:space="preserve"> AICA), entre otras, en el área de influencia del </w:t>
      </w:r>
      <w:r w:rsidR="00645E5A" w:rsidRPr="00BD1319">
        <w:rPr>
          <w:rFonts w:cs="Arial"/>
          <w:spacing w:val="-3"/>
        </w:rPr>
        <w:t>componente</w:t>
      </w:r>
      <w:r w:rsidRPr="00BD1319">
        <w:rPr>
          <w:spacing w:val="-3"/>
        </w:rPr>
        <w:t>.</w:t>
      </w:r>
    </w:p>
    <w:p w14:paraId="497D6F76" w14:textId="77777777" w:rsidR="009D132B" w:rsidRPr="00BD1319" w:rsidRDefault="009D132B" w:rsidP="009D132B">
      <w:pPr>
        <w:numPr>
          <w:ilvl w:val="12"/>
          <w:numId w:val="0"/>
        </w:numPr>
        <w:tabs>
          <w:tab w:val="left" w:pos="-2268"/>
        </w:tabs>
        <w:suppressAutoHyphens/>
        <w:rPr>
          <w:rFonts w:cs="Arial"/>
          <w:spacing w:val="-3"/>
        </w:rPr>
      </w:pPr>
    </w:p>
    <w:p w14:paraId="2CFC9A14" w14:textId="5C7E5415" w:rsidR="009D132B" w:rsidRPr="00BD1319" w:rsidRDefault="008C6632" w:rsidP="009D132B">
      <w:pPr>
        <w:numPr>
          <w:ilvl w:val="0"/>
          <w:numId w:val="58"/>
        </w:numPr>
        <w:tabs>
          <w:tab w:val="clear" w:pos="360"/>
        </w:tabs>
        <w:suppressAutoHyphens/>
        <w:ind w:left="567" w:hanging="567"/>
        <w:rPr>
          <w:rFonts w:cs="Arial"/>
          <w:spacing w:val="-3"/>
        </w:rPr>
      </w:pPr>
      <w:r w:rsidRPr="00BD1319">
        <w:rPr>
          <w:rFonts w:cs="Arial"/>
          <w:spacing w:val="-3"/>
        </w:rPr>
        <w:t>D</w:t>
      </w:r>
      <w:r w:rsidR="009D132B" w:rsidRPr="00BD1319">
        <w:rPr>
          <w:rFonts w:cs="Arial"/>
          <w:spacing w:val="-3"/>
        </w:rPr>
        <w:t>elimitaci</w:t>
      </w:r>
      <w:r w:rsidRPr="00BD1319">
        <w:rPr>
          <w:rFonts w:cs="Arial"/>
          <w:spacing w:val="-3"/>
        </w:rPr>
        <w:t>ón</w:t>
      </w:r>
      <w:r w:rsidR="009D132B" w:rsidRPr="00BD1319">
        <w:rPr>
          <w:rFonts w:cs="Arial"/>
          <w:spacing w:val="-3"/>
        </w:rPr>
        <w:t xml:space="preserve"> </w:t>
      </w:r>
      <w:r w:rsidRPr="00BD1319">
        <w:rPr>
          <w:rFonts w:cs="Arial"/>
          <w:spacing w:val="-3"/>
        </w:rPr>
        <w:t xml:space="preserve">de </w:t>
      </w:r>
      <w:r w:rsidR="009D132B" w:rsidRPr="00BD1319">
        <w:rPr>
          <w:rFonts w:cs="Arial"/>
          <w:spacing w:val="-3"/>
        </w:rPr>
        <w:t xml:space="preserve">los usos de suelo y actividades tanto del sitio donde se </w:t>
      </w:r>
      <w:r w:rsidR="001D592E" w:rsidRPr="00BD1319">
        <w:rPr>
          <w:rFonts w:cs="Arial"/>
          <w:spacing w:val="-3"/>
        </w:rPr>
        <w:t xml:space="preserve">plantea </w:t>
      </w:r>
      <w:r w:rsidR="009D132B" w:rsidRPr="00BD1319">
        <w:rPr>
          <w:rFonts w:cs="Arial"/>
          <w:spacing w:val="-3"/>
        </w:rPr>
        <w:t>emplazar el proyecto</w:t>
      </w:r>
      <w:r w:rsidR="00C92C16" w:rsidRPr="00BD1319">
        <w:rPr>
          <w:spacing w:val="-3"/>
        </w:rPr>
        <w:t>, obra o actividad,</w:t>
      </w:r>
      <w:r w:rsidR="009D132B" w:rsidRPr="00BD1319">
        <w:rPr>
          <w:rFonts w:cs="Arial"/>
          <w:spacing w:val="-3"/>
        </w:rPr>
        <w:t xml:space="preserve"> como de los potenciales receptores.</w:t>
      </w:r>
    </w:p>
    <w:p w14:paraId="06B3E800" w14:textId="77777777" w:rsidR="00D87119" w:rsidRPr="00BD1319" w:rsidRDefault="00D87119" w:rsidP="009420F5">
      <w:pPr>
        <w:suppressAutoHyphens/>
        <w:rPr>
          <w:rFonts w:cs="Arial"/>
          <w:spacing w:val="-3"/>
        </w:rPr>
      </w:pPr>
    </w:p>
    <w:p w14:paraId="4648D78D" w14:textId="0C928688" w:rsidR="009D132B" w:rsidRPr="00BD1319" w:rsidRDefault="009D132B" w:rsidP="009420F5">
      <w:pPr>
        <w:pStyle w:val="Ttulo5"/>
        <w:tabs>
          <w:tab w:val="clear" w:pos="2160"/>
          <w:tab w:val="num" w:pos="1134"/>
        </w:tabs>
        <w:ind w:left="1134" w:hanging="1134"/>
        <w:rPr>
          <w:lang w:val="es-CO"/>
        </w:rPr>
      </w:pPr>
      <w:r w:rsidRPr="00BD1319">
        <w:rPr>
          <w:lang w:val="es-CO"/>
        </w:rPr>
        <w:t>Modelos de ruido</w:t>
      </w:r>
    </w:p>
    <w:p w14:paraId="738220A0" w14:textId="77777777" w:rsidR="009D132B" w:rsidRPr="00BD1319" w:rsidRDefault="009D132B" w:rsidP="009D132B">
      <w:pPr>
        <w:suppressAutoHyphens/>
        <w:rPr>
          <w:rFonts w:cs="Arial"/>
          <w:spacing w:val="-3"/>
        </w:rPr>
      </w:pPr>
    </w:p>
    <w:p w14:paraId="622A91A2" w14:textId="2EBC25A3" w:rsidR="009D132B" w:rsidRPr="00BD1319" w:rsidRDefault="009D132B" w:rsidP="009D132B">
      <w:pPr>
        <w:numPr>
          <w:ilvl w:val="12"/>
          <w:numId w:val="0"/>
        </w:numPr>
        <w:tabs>
          <w:tab w:val="left" w:pos="-2268"/>
        </w:tabs>
        <w:suppressAutoHyphens/>
        <w:rPr>
          <w:rFonts w:cs="Arial"/>
          <w:spacing w:val="-3"/>
        </w:rPr>
      </w:pPr>
      <w:r w:rsidRPr="00BD1319">
        <w:rPr>
          <w:rFonts w:cs="Arial"/>
          <w:spacing w:val="-3"/>
        </w:rPr>
        <w:t xml:space="preserve">Para la </w:t>
      </w:r>
      <w:r w:rsidR="00377C1C" w:rsidRPr="00BD1319">
        <w:rPr>
          <w:rFonts w:cs="Arial"/>
          <w:spacing w:val="-3"/>
        </w:rPr>
        <w:t xml:space="preserve">caracterización </w:t>
      </w:r>
      <w:r w:rsidRPr="00BD1319">
        <w:rPr>
          <w:rFonts w:cs="Arial"/>
          <w:spacing w:val="-3"/>
        </w:rPr>
        <w:t>del área de influencia</w:t>
      </w:r>
      <w:r w:rsidR="00377C1C" w:rsidRPr="00BD1319">
        <w:rPr>
          <w:rFonts w:cs="Arial"/>
          <w:spacing w:val="-3"/>
        </w:rPr>
        <w:t xml:space="preserve"> del componente</w:t>
      </w:r>
      <w:r w:rsidRPr="00BD1319">
        <w:rPr>
          <w:rFonts w:cs="Arial"/>
          <w:spacing w:val="-3"/>
        </w:rPr>
        <w:t xml:space="preserve"> se debe aplicar un modelo de propagación de ruido </w:t>
      </w:r>
      <w:r w:rsidR="00377C1C" w:rsidRPr="00BD1319">
        <w:rPr>
          <w:rFonts w:cs="Arial"/>
          <w:spacing w:val="-3"/>
        </w:rPr>
        <w:t xml:space="preserve">para el escenario sin proyecto conforme con los lineamientos </w:t>
      </w:r>
      <w:r w:rsidR="00BF6D4D" w:rsidRPr="00BD1319">
        <w:rPr>
          <w:rFonts w:cs="Arial"/>
          <w:spacing w:val="-3"/>
        </w:rPr>
        <w:t xml:space="preserve">técnicos </w:t>
      </w:r>
      <w:r w:rsidR="00377C1C" w:rsidRPr="00BD1319">
        <w:rPr>
          <w:rFonts w:cs="Arial"/>
          <w:spacing w:val="-3"/>
        </w:rPr>
        <w:t xml:space="preserve">establecidos en el numeral </w:t>
      </w:r>
      <w:r w:rsidR="00A60177" w:rsidRPr="00BD1319">
        <w:rPr>
          <w:rFonts w:cs="Arial"/>
          <w:spacing w:val="-3"/>
        </w:rPr>
        <w:fldChar w:fldCharType="begin"/>
      </w:r>
      <w:r w:rsidR="00A60177" w:rsidRPr="00BD1319">
        <w:rPr>
          <w:rFonts w:cs="Arial"/>
          <w:spacing w:val="-3"/>
        </w:rPr>
        <w:instrText xml:space="preserve"> REF _Ref153206731 \r \h </w:instrText>
      </w:r>
      <w:r w:rsidR="00BD1319">
        <w:rPr>
          <w:rFonts w:cs="Arial"/>
          <w:spacing w:val="-3"/>
        </w:rPr>
        <w:instrText xml:space="preserve"> \* MERGEFORMAT </w:instrText>
      </w:r>
      <w:r w:rsidR="00A60177" w:rsidRPr="00BD1319">
        <w:rPr>
          <w:rFonts w:cs="Arial"/>
          <w:spacing w:val="-3"/>
        </w:rPr>
      </w:r>
      <w:r w:rsidR="00A60177" w:rsidRPr="00BD1319">
        <w:rPr>
          <w:rFonts w:cs="Arial"/>
          <w:spacing w:val="-3"/>
        </w:rPr>
        <w:fldChar w:fldCharType="separate"/>
      </w:r>
      <w:r w:rsidR="00296654" w:rsidRPr="00BD1319">
        <w:rPr>
          <w:rFonts w:cs="Arial"/>
          <w:spacing w:val="-3"/>
        </w:rPr>
        <w:t>7.4.1</w:t>
      </w:r>
      <w:r w:rsidR="00A60177" w:rsidRPr="00BD1319">
        <w:rPr>
          <w:rFonts w:cs="Arial"/>
          <w:spacing w:val="-3"/>
        </w:rPr>
        <w:fldChar w:fldCharType="end"/>
      </w:r>
      <w:r w:rsidR="001D3EEA" w:rsidRPr="00BD1319">
        <w:rPr>
          <w:rFonts w:cs="Arial"/>
          <w:spacing w:val="-3"/>
        </w:rPr>
        <w:t xml:space="preserve"> </w:t>
      </w:r>
      <w:r w:rsidR="00377C1C" w:rsidRPr="00BD1319">
        <w:rPr>
          <w:rFonts w:cs="Arial"/>
          <w:spacing w:val="-3"/>
        </w:rPr>
        <w:t>sobre el desarrollo de modelos</w:t>
      </w:r>
      <w:r w:rsidR="00C6619D" w:rsidRPr="00BD1319">
        <w:rPr>
          <w:rFonts w:cs="Arial"/>
          <w:spacing w:val="-3"/>
        </w:rPr>
        <w:t>.</w:t>
      </w:r>
    </w:p>
    <w:p w14:paraId="1621E944" w14:textId="77777777" w:rsidR="009D132B" w:rsidRPr="00BD1319" w:rsidRDefault="009D132B" w:rsidP="009D132B">
      <w:pPr>
        <w:numPr>
          <w:ilvl w:val="12"/>
          <w:numId w:val="0"/>
        </w:numPr>
        <w:tabs>
          <w:tab w:val="left" w:pos="-2268"/>
        </w:tabs>
        <w:suppressAutoHyphens/>
        <w:rPr>
          <w:rFonts w:cs="Arial"/>
          <w:spacing w:val="-3"/>
        </w:rPr>
      </w:pPr>
    </w:p>
    <w:p w14:paraId="3132CD97" w14:textId="4C76822A" w:rsidR="009D132B" w:rsidRPr="00BD1319" w:rsidRDefault="009D132B" w:rsidP="009D132B">
      <w:pPr>
        <w:numPr>
          <w:ilvl w:val="12"/>
          <w:numId w:val="0"/>
        </w:numPr>
        <w:tabs>
          <w:tab w:val="left" w:pos="-2268"/>
        </w:tabs>
        <w:suppressAutoHyphens/>
        <w:rPr>
          <w:rFonts w:cs="Arial"/>
          <w:spacing w:val="-3"/>
        </w:rPr>
      </w:pPr>
      <w:r w:rsidRPr="00BD1319">
        <w:rPr>
          <w:rFonts w:cs="Arial"/>
          <w:spacing w:val="-3"/>
        </w:rPr>
        <w:t xml:space="preserve">Para aquellos proyectos que no presenten modelización </w:t>
      </w:r>
      <w:r w:rsidR="000D090D" w:rsidRPr="00BD1319">
        <w:rPr>
          <w:rFonts w:cs="Arial"/>
          <w:spacing w:val="-3"/>
        </w:rPr>
        <w:t xml:space="preserve">de </w:t>
      </w:r>
      <w:r w:rsidRPr="00BD1319">
        <w:rPr>
          <w:rFonts w:cs="Arial"/>
          <w:spacing w:val="-3"/>
        </w:rPr>
        <w:t xml:space="preserve">línea base debido a las condiciones inexistentes de fuentes de tráfico vehicular, </w:t>
      </w:r>
      <w:r w:rsidR="000A5521" w:rsidRPr="00BD1319">
        <w:rPr>
          <w:rFonts w:cs="Arial"/>
          <w:spacing w:val="-3"/>
        </w:rPr>
        <w:t>se debe realizar una descripción cuantitativa y cualitativa de las principales fuentes de ruido identificadas en el área de influencia</w:t>
      </w:r>
      <w:r w:rsidRPr="00BD1319">
        <w:rPr>
          <w:rFonts w:cs="Arial"/>
          <w:spacing w:val="-3"/>
        </w:rPr>
        <w:t>.</w:t>
      </w:r>
    </w:p>
    <w:p w14:paraId="0505F6D8" w14:textId="77777777" w:rsidR="009D132B" w:rsidRPr="00BD1319" w:rsidRDefault="009D132B" w:rsidP="009D132B">
      <w:pPr>
        <w:numPr>
          <w:ilvl w:val="12"/>
          <w:numId w:val="0"/>
        </w:numPr>
        <w:tabs>
          <w:tab w:val="left" w:pos="-2268"/>
        </w:tabs>
        <w:suppressAutoHyphens/>
        <w:rPr>
          <w:rFonts w:cs="Arial"/>
          <w:spacing w:val="-3"/>
        </w:rPr>
      </w:pPr>
    </w:p>
    <w:p w14:paraId="687C58B5" w14:textId="79E95346" w:rsidR="000A5521" w:rsidRPr="00BD1319" w:rsidRDefault="000A5521" w:rsidP="009D132B">
      <w:pPr>
        <w:numPr>
          <w:ilvl w:val="12"/>
          <w:numId w:val="0"/>
        </w:numPr>
        <w:tabs>
          <w:tab w:val="left" w:pos="-2268"/>
        </w:tabs>
        <w:suppressAutoHyphens/>
        <w:rPr>
          <w:rFonts w:cs="Arial"/>
          <w:spacing w:val="-3"/>
        </w:rPr>
      </w:pPr>
      <w:r w:rsidRPr="00BD1319">
        <w:rPr>
          <w:rFonts w:cs="Arial"/>
          <w:spacing w:val="-3"/>
        </w:rPr>
        <w:lastRenderedPageBreak/>
        <w:t>Adicionalmente, se deben emplear como referencia los monitoreos de ruido ambiental en la zona para determinar las posibles tendencias de los niveles de presión sonora; dichos monitoreos deben ser representativos respecto al tiempo de registro y la distribución espacial de los principales receptores, con el fin de identificar el aporte de ruido de fondo para el escenario sin proyecto.</w:t>
      </w:r>
    </w:p>
    <w:p w14:paraId="210D96BE" w14:textId="77777777" w:rsidR="000A5521" w:rsidRPr="00BD1319" w:rsidRDefault="000A5521" w:rsidP="009D132B">
      <w:pPr>
        <w:numPr>
          <w:ilvl w:val="12"/>
          <w:numId w:val="0"/>
        </w:numPr>
        <w:tabs>
          <w:tab w:val="left" w:pos="-2268"/>
        </w:tabs>
        <w:suppressAutoHyphens/>
        <w:rPr>
          <w:rFonts w:cs="Arial"/>
          <w:spacing w:val="-3"/>
        </w:rPr>
      </w:pPr>
    </w:p>
    <w:p w14:paraId="541D4A7E" w14:textId="5C8C73CC" w:rsidR="009D132B" w:rsidRPr="00BD1319" w:rsidRDefault="009D132B" w:rsidP="009420F5">
      <w:pPr>
        <w:pStyle w:val="Ttulo5"/>
        <w:tabs>
          <w:tab w:val="clear" w:pos="2160"/>
          <w:tab w:val="num" w:pos="1134"/>
        </w:tabs>
        <w:ind w:left="1134" w:hanging="1134"/>
        <w:rPr>
          <w:lang w:val="es-CO"/>
        </w:rPr>
      </w:pPr>
      <w:r w:rsidRPr="00BD1319">
        <w:rPr>
          <w:lang w:val="es-CO"/>
        </w:rPr>
        <w:t>Monitoreo de ruido ambiental</w:t>
      </w:r>
    </w:p>
    <w:p w14:paraId="02BFB0F3" w14:textId="77777777" w:rsidR="009D132B" w:rsidRPr="00BD1319" w:rsidRDefault="009D132B">
      <w:pPr>
        <w:numPr>
          <w:ilvl w:val="12"/>
          <w:numId w:val="0"/>
        </w:numPr>
        <w:tabs>
          <w:tab w:val="left" w:pos="-2268"/>
        </w:tabs>
        <w:suppressAutoHyphens/>
        <w:rPr>
          <w:spacing w:val="-3"/>
        </w:rPr>
      </w:pPr>
    </w:p>
    <w:p w14:paraId="0EF40058" w14:textId="13F80699" w:rsidR="009D132B" w:rsidRPr="00BD1319" w:rsidRDefault="009D132B">
      <w:pPr>
        <w:numPr>
          <w:ilvl w:val="12"/>
          <w:numId w:val="0"/>
        </w:numPr>
        <w:tabs>
          <w:tab w:val="left" w:pos="-2268"/>
        </w:tabs>
        <w:suppressAutoHyphens/>
        <w:rPr>
          <w:spacing w:val="-3"/>
        </w:rPr>
      </w:pPr>
      <w:r w:rsidRPr="00BD1319">
        <w:rPr>
          <w:spacing w:val="-3"/>
        </w:rPr>
        <w:t xml:space="preserve">Realizar un muestreo de los niveles de presión sonora (ruido ambiental) en las zonas que se hayan identificado como las más susceptibles (entre las que se deben considerar áreas habitadas, Áreas de Importancia para la Conservación de las Aves (AICA), áreas de importancia para mamíferos marinos y tortugas marinas, áreas </w:t>
      </w:r>
      <w:r w:rsidRPr="00BD1319">
        <w:rPr>
          <w:rFonts w:cs="Arial"/>
          <w:spacing w:val="-3"/>
        </w:rPr>
        <w:t xml:space="preserve">de importancia para la biodiversidad o </w:t>
      </w:r>
      <w:r w:rsidR="00CC5800" w:rsidRPr="00BD1319">
        <w:rPr>
          <w:rFonts w:cs="Arial"/>
          <w:spacing w:val="-3"/>
        </w:rPr>
        <w:t xml:space="preserve">los </w:t>
      </w:r>
      <w:r w:rsidRPr="00BD1319">
        <w:rPr>
          <w:rFonts w:cs="Arial"/>
          <w:spacing w:val="-3"/>
        </w:rPr>
        <w:t xml:space="preserve">servicios ecosistémicos, áreas </w:t>
      </w:r>
      <w:r w:rsidRPr="00BD1319">
        <w:rPr>
          <w:spacing w:val="-3"/>
        </w:rPr>
        <w:t>con presencia de actividades industriales y zonas de actividades pecuarias, entre otras) y áreas donde se identifiquen fuentes de generación de ruido que interfieran de manera significativa en la zona objeto de estudio. Los muestreos deben realizarse de conformidad con los parámetros y procedimientos establecidos en la normativa vigente.</w:t>
      </w:r>
    </w:p>
    <w:p w14:paraId="41BDEDF0" w14:textId="77777777" w:rsidR="009D132B" w:rsidRPr="00BD1319" w:rsidRDefault="009D132B">
      <w:pPr>
        <w:numPr>
          <w:ilvl w:val="12"/>
          <w:numId w:val="0"/>
        </w:numPr>
        <w:tabs>
          <w:tab w:val="left" w:pos="-2268"/>
        </w:tabs>
        <w:suppressAutoHyphens/>
        <w:rPr>
          <w:spacing w:val="-3"/>
        </w:rPr>
      </w:pPr>
    </w:p>
    <w:p w14:paraId="62D9AC5F" w14:textId="65E30525" w:rsidR="009D132B" w:rsidRPr="00BD1319" w:rsidRDefault="0040099B" w:rsidP="009D132B">
      <w:pPr>
        <w:numPr>
          <w:ilvl w:val="12"/>
          <w:numId w:val="0"/>
        </w:numPr>
        <w:tabs>
          <w:tab w:val="left" w:pos="-2268"/>
        </w:tabs>
        <w:suppressAutoHyphens/>
        <w:rPr>
          <w:rFonts w:cs="Arial"/>
          <w:spacing w:val="-3"/>
        </w:rPr>
      </w:pPr>
      <w:r w:rsidRPr="00BD1319">
        <w:rPr>
          <w:rFonts w:cs="Arial"/>
          <w:spacing w:val="-3"/>
        </w:rPr>
        <w:t>La determinación de la cantidad de puntos y de los tiempos de medición para ruido ambiental deben asegurar la representatividad estadística de acuerdo con la actividad proyectada y sus escenarios de máxima emisión, siguiendo lo establecido en la Resolución 627 de 2006 o aquella que la modifique o sustituya. La medición de 15 minutos distribuidos en un periodo de 1 hora que establece el artículo 5 de dicha resolución es el parámetro mínimo exigido, pero no es el único y no debe emplearse como estándar para todas las zonas objeto de evaluación, ya que los estudios de ruido no son evaluaciones sistemáticas de carácter igualitario que se apliquen uniformemente</w:t>
      </w:r>
      <w:r w:rsidR="00611536" w:rsidRPr="00BD1319">
        <w:rPr>
          <w:rFonts w:cs="Arial"/>
          <w:spacing w:val="-3"/>
        </w:rPr>
        <w:t>.</w:t>
      </w:r>
    </w:p>
    <w:p w14:paraId="0968D9BD" w14:textId="77777777" w:rsidR="0040099B" w:rsidRPr="00BD1319" w:rsidRDefault="0040099B" w:rsidP="009D132B">
      <w:pPr>
        <w:numPr>
          <w:ilvl w:val="12"/>
          <w:numId w:val="0"/>
        </w:numPr>
        <w:tabs>
          <w:tab w:val="left" w:pos="-2268"/>
        </w:tabs>
        <w:suppressAutoHyphens/>
        <w:rPr>
          <w:rFonts w:cs="Arial"/>
          <w:spacing w:val="-3"/>
        </w:rPr>
      </w:pPr>
    </w:p>
    <w:p w14:paraId="53B695A6" w14:textId="148A898C" w:rsidR="009D132B" w:rsidRPr="00BD1319" w:rsidRDefault="009D132B" w:rsidP="009D132B">
      <w:pPr>
        <w:numPr>
          <w:ilvl w:val="12"/>
          <w:numId w:val="0"/>
        </w:numPr>
        <w:tabs>
          <w:tab w:val="left" w:pos="-2268"/>
        </w:tabs>
        <w:suppressAutoHyphens/>
        <w:rPr>
          <w:rFonts w:cs="Arial"/>
          <w:spacing w:val="-3"/>
        </w:rPr>
      </w:pPr>
      <w:r w:rsidRPr="00BD1319">
        <w:rPr>
          <w:rFonts w:cs="Arial"/>
          <w:spacing w:val="-3"/>
        </w:rPr>
        <w:t>El fin último de las evaluaciones de ruido ambiente debe estar encaminado a la caracterización del ambiente sonoro de una zona, garantizando que la información durante el muestreo corresponda a las condiciones normales o típicas y no con</w:t>
      </w:r>
      <w:r w:rsidR="00D87119" w:rsidRPr="00BD1319">
        <w:rPr>
          <w:rFonts w:cs="Arial"/>
          <w:spacing w:val="-3"/>
        </w:rPr>
        <w:t>temple eventos ocasionales (</w:t>
      </w:r>
      <w:r w:rsidR="00041844" w:rsidRPr="00BD1319">
        <w:rPr>
          <w:rFonts w:cs="Arial"/>
          <w:spacing w:val="-3"/>
        </w:rPr>
        <w:t>p. ej.</w:t>
      </w:r>
      <w:r w:rsidRPr="00BD1319">
        <w:rPr>
          <w:rFonts w:cs="Arial"/>
          <w:spacing w:val="-3"/>
        </w:rPr>
        <w:t xml:space="preserve"> manifestaciones</w:t>
      </w:r>
      <w:r w:rsidR="005023B5" w:rsidRPr="00BD1319">
        <w:rPr>
          <w:rFonts w:cs="Arial"/>
          <w:spacing w:val="-3"/>
        </w:rPr>
        <w:t xml:space="preserve"> y</w:t>
      </w:r>
      <w:r w:rsidRPr="00BD1319">
        <w:rPr>
          <w:rFonts w:cs="Arial"/>
          <w:spacing w:val="-3"/>
        </w:rPr>
        <w:t xml:space="preserve"> fuegos artificiales). Por tanto</w:t>
      </w:r>
      <w:r w:rsidR="00D87119" w:rsidRPr="00BD1319">
        <w:rPr>
          <w:rFonts w:cs="Arial"/>
          <w:spacing w:val="-3"/>
        </w:rPr>
        <w:t>,</w:t>
      </w:r>
      <w:r w:rsidRPr="00BD1319">
        <w:rPr>
          <w:rFonts w:cs="Arial"/>
          <w:spacing w:val="-3"/>
        </w:rPr>
        <w:t xml:space="preserve"> </w:t>
      </w:r>
      <w:r w:rsidR="00CC5800" w:rsidRPr="00BD1319">
        <w:rPr>
          <w:rFonts w:cs="Arial"/>
          <w:spacing w:val="-3"/>
        </w:rPr>
        <w:t>é</w:t>
      </w:r>
      <w:r w:rsidRPr="00BD1319">
        <w:rPr>
          <w:rFonts w:cs="Arial"/>
          <w:spacing w:val="-3"/>
        </w:rPr>
        <w:t>stas deben responder a un proceso de planificación y seguimiento de la magnitud muestreada (presión sonora), a fin de obtener una muestra que represente la realidad del entorno, por tanto</w:t>
      </w:r>
      <w:r w:rsidR="00D87119" w:rsidRPr="00BD1319">
        <w:rPr>
          <w:rFonts w:cs="Arial"/>
          <w:spacing w:val="-3"/>
        </w:rPr>
        <w:t>,</w:t>
      </w:r>
      <w:r w:rsidRPr="00BD1319">
        <w:rPr>
          <w:rFonts w:cs="Arial"/>
          <w:spacing w:val="-3"/>
        </w:rPr>
        <w:t xml:space="preserve"> los resultados deben reportar registros de ruido en función de las variaciones de modo, tiempo y lugar que se tengan proyectad</w:t>
      </w:r>
      <w:r w:rsidR="00CC5800" w:rsidRPr="00BD1319">
        <w:rPr>
          <w:rFonts w:cs="Arial"/>
          <w:spacing w:val="-3"/>
        </w:rPr>
        <w:t>a</w:t>
      </w:r>
      <w:r w:rsidRPr="00BD1319">
        <w:rPr>
          <w:rFonts w:cs="Arial"/>
          <w:spacing w:val="-3"/>
        </w:rPr>
        <w:t>s para la futura fuente de emisiones, verificando, periodos de evaluación (diurno y nocturno), horarios diarios de funcionamiento y modos de operación.</w:t>
      </w:r>
    </w:p>
    <w:p w14:paraId="1E97D2AE" w14:textId="77777777" w:rsidR="009D132B" w:rsidRPr="00BD1319" w:rsidRDefault="009D132B" w:rsidP="009D132B">
      <w:pPr>
        <w:numPr>
          <w:ilvl w:val="12"/>
          <w:numId w:val="0"/>
        </w:numPr>
        <w:tabs>
          <w:tab w:val="left" w:pos="-2268"/>
        </w:tabs>
        <w:suppressAutoHyphens/>
        <w:rPr>
          <w:rFonts w:cs="Arial"/>
          <w:spacing w:val="-3"/>
        </w:rPr>
      </w:pPr>
    </w:p>
    <w:p w14:paraId="5A915603" w14:textId="4554B449" w:rsidR="001F3E8B" w:rsidRPr="00BD1319" w:rsidRDefault="001F3E8B" w:rsidP="00FB1EE9">
      <w:pPr>
        <w:numPr>
          <w:ilvl w:val="12"/>
          <w:numId w:val="0"/>
        </w:numPr>
        <w:tabs>
          <w:tab w:val="left" w:pos="-2268"/>
        </w:tabs>
        <w:suppressAutoHyphens/>
        <w:rPr>
          <w:rFonts w:cs="Arial"/>
          <w:spacing w:val="-3"/>
        </w:rPr>
      </w:pPr>
      <w:r w:rsidRPr="00BD1319">
        <w:rPr>
          <w:rFonts w:cs="Arial"/>
          <w:spacing w:val="-3"/>
        </w:rPr>
        <w:t xml:space="preserve">Para la comparación con el límite permisible de ruido ambiental, </w:t>
      </w:r>
      <w:r w:rsidR="00ED6090" w:rsidRPr="00BD1319">
        <w:rPr>
          <w:rFonts w:cs="Arial"/>
          <w:spacing w:val="-3"/>
        </w:rPr>
        <w:t xml:space="preserve">se debe determinar qué </w:t>
      </w:r>
      <w:r w:rsidRPr="00BD1319">
        <w:rPr>
          <w:rFonts w:cs="Arial"/>
          <w:spacing w:val="-3"/>
        </w:rPr>
        <w:t xml:space="preserve">sectores y subsectores </w:t>
      </w:r>
      <w:r w:rsidR="00ED6090" w:rsidRPr="00BD1319">
        <w:rPr>
          <w:rFonts w:cs="Arial"/>
          <w:spacing w:val="-3"/>
        </w:rPr>
        <w:t xml:space="preserve">de la tabla 2 de la Resolución 0627 de 2006 (artículo 17) </w:t>
      </w:r>
      <w:r w:rsidR="00FB1EE9" w:rsidRPr="00BD1319">
        <w:rPr>
          <w:rFonts w:cs="Arial"/>
          <w:spacing w:val="-3"/>
        </w:rPr>
        <w:t xml:space="preserve">aplican de </w:t>
      </w:r>
      <w:r w:rsidR="00ED6090" w:rsidRPr="00BD1319">
        <w:rPr>
          <w:rFonts w:cs="Arial"/>
          <w:spacing w:val="-3"/>
        </w:rPr>
        <w:t xml:space="preserve">acuerdo con lo establecido en los instrumentos de ordenamiento del </w:t>
      </w:r>
      <w:r w:rsidR="00ED6090" w:rsidRPr="00BD1319">
        <w:rPr>
          <w:rFonts w:cs="Arial"/>
          <w:spacing w:val="-3"/>
        </w:rPr>
        <w:lastRenderedPageBreak/>
        <w:t>territorio</w:t>
      </w:r>
      <w:r w:rsidR="00FB1EE9" w:rsidRPr="00BD1319">
        <w:rPr>
          <w:rFonts w:cs="Arial"/>
          <w:spacing w:val="-3"/>
        </w:rPr>
        <w:t xml:space="preserve"> vigentes</w:t>
      </w:r>
      <w:r w:rsidR="007E4706" w:rsidRPr="00BD1319">
        <w:rPr>
          <w:rFonts w:cs="Arial"/>
          <w:spacing w:val="-3"/>
        </w:rPr>
        <w:t xml:space="preserve"> para el área de influencia</w:t>
      </w:r>
      <w:r w:rsidR="00FB1EE9" w:rsidRPr="00BD1319">
        <w:rPr>
          <w:rFonts w:cs="Arial"/>
          <w:spacing w:val="-3"/>
        </w:rPr>
        <w:t xml:space="preserve">, considerando </w:t>
      </w:r>
      <w:r w:rsidRPr="00BD1319">
        <w:rPr>
          <w:rFonts w:cs="Arial"/>
          <w:spacing w:val="-3"/>
        </w:rPr>
        <w:t>la clasificación de</w:t>
      </w:r>
      <w:r w:rsidR="00FB1EE9" w:rsidRPr="00BD1319">
        <w:rPr>
          <w:rFonts w:cs="Arial"/>
          <w:spacing w:val="-3"/>
        </w:rPr>
        <w:t xml:space="preserve">l uso </w:t>
      </w:r>
      <w:r w:rsidRPr="00BD1319">
        <w:rPr>
          <w:rFonts w:cs="Arial"/>
          <w:spacing w:val="-3"/>
        </w:rPr>
        <w:t xml:space="preserve">del suelo </w:t>
      </w:r>
      <w:r w:rsidR="00FB1EE9" w:rsidRPr="00BD1319">
        <w:rPr>
          <w:rFonts w:cs="Arial"/>
          <w:spacing w:val="-3"/>
        </w:rPr>
        <w:t>en ellos establecida</w:t>
      </w:r>
      <w:r w:rsidRPr="00BD1319">
        <w:rPr>
          <w:rFonts w:cs="Arial"/>
          <w:spacing w:val="-3"/>
        </w:rPr>
        <w:t xml:space="preserve">. En caso de que </w:t>
      </w:r>
      <w:r w:rsidR="00FB1EE9" w:rsidRPr="00BD1319">
        <w:rPr>
          <w:rFonts w:cs="Arial"/>
          <w:spacing w:val="-3"/>
        </w:rPr>
        <w:t xml:space="preserve">el área de influencia no </w:t>
      </w:r>
      <w:r w:rsidRPr="00BD1319">
        <w:rPr>
          <w:rFonts w:cs="Arial"/>
          <w:spacing w:val="-3"/>
        </w:rPr>
        <w:t xml:space="preserve">cuente con </w:t>
      </w:r>
      <w:r w:rsidR="00FB1EE9" w:rsidRPr="00BD1319">
        <w:rPr>
          <w:rFonts w:cs="Arial"/>
          <w:spacing w:val="-3"/>
        </w:rPr>
        <w:t xml:space="preserve">estos </w:t>
      </w:r>
      <w:r w:rsidRPr="00BD1319">
        <w:rPr>
          <w:rFonts w:cs="Arial"/>
          <w:spacing w:val="-3"/>
        </w:rPr>
        <w:t>instrumento</w:t>
      </w:r>
      <w:r w:rsidR="00FB1EE9" w:rsidRPr="00BD1319">
        <w:rPr>
          <w:rFonts w:cs="Arial"/>
          <w:spacing w:val="-3"/>
        </w:rPr>
        <w:t>s</w:t>
      </w:r>
      <w:r w:rsidRPr="00BD1319">
        <w:rPr>
          <w:rFonts w:cs="Arial"/>
          <w:spacing w:val="-3"/>
        </w:rPr>
        <w:t xml:space="preserve">, </w:t>
      </w:r>
      <w:r w:rsidR="00FB1EE9" w:rsidRPr="00BD1319">
        <w:rPr>
          <w:rFonts w:cs="Arial"/>
          <w:spacing w:val="-3"/>
        </w:rPr>
        <w:t xml:space="preserve">es posible </w:t>
      </w:r>
      <w:r w:rsidR="007E4706" w:rsidRPr="00BD1319">
        <w:rPr>
          <w:rFonts w:cs="Arial"/>
          <w:spacing w:val="-3"/>
        </w:rPr>
        <w:t>emplear</w:t>
      </w:r>
      <w:r w:rsidR="00FB1EE9" w:rsidRPr="00BD1319">
        <w:rPr>
          <w:rFonts w:cs="Arial"/>
          <w:spacing w:val="-3"/>
        </w:rPr>
        <w:t xml:space="preserve"> </w:t>
      </w:r>
      <w:r w:rsidRPr="00BD1319">
        <w:rPr>
          <w:rFonts w:cs="Arial"/>
          <w:spacing w:val="-3"/>
        </w:rPr>
        <w:t>lo establecido al respecto en los planes de desarrollo, planes maestros de infraestructura y códigos de urbanismo y normas urbanísticas vigentes.</w:t>
      </w:r>
    </w:p>
    <w:p w14:paraId="505E9D9C" w14:textId="77777777" w:rsidR="001F3E8B" w:rsidRPr="00BD1319" w:rsidRDefault="001F3E8B">
      <w:pPr>
        <w:numPr>
          <w:ilvl w:val="12"/>
          <w:numId w:val="0"/>
        </w:numPr>
        <w:tabs>
          <w:tab w:val="left" w:pos="-2268"/>
        </w:tabs>
        <w:suppressAutoHyphens/>
        <w:rPr>
          <w:spacing w:val="-3"/>
        </w:rPr>
      </w:pPr>
    </w:p>
    <w:p w14:paraId="417A1ABA" w14:textId="45E3D491" w:rsidR="009D132B" w:rsidRPr="00BD1319" w:rsidRDefault="007D7A77">
      <w:pPr>
        <w:numPr>
          <w:ilvl w:val="12"/>
          <w:numId w:val="0"/>
        </w:numPr>
        <w:tabs>
          <w:tab w:val="left" w:pos="-2268"/>
        </w:tabs>
        <w:suppressAutoHyphens/>
        <w:rPr>
          <w:spacing w:val="-3"/>
        </w:rPr>
      </w:pPr>
      <w:r w:rsidRPr="00BD1319">
        <w:rPr>
          <w:spacing w:val="-3"/>
        </w:rPr>
        <w:t xml:space="preserve">Si </w:t>
      </w:r>
      <w:r w:rsidR="009D132B" w:rsidRPr="00BD1319">
        <w:rPr>
          <w:spacing w:val="-3"/>
        </w:rPr>
        <w:t>los niveles registrados super</w:t>
      </w:r>
      <w:r w:rsidRPr="00BD1319">
        <w:rPr>
          <w:spacing w:val="-3"/>
        </w:rPr>
        <w:t>a</w:t>
      </w:r>
      <w:r w:rsidR="009D132B" w:rsidRPr="00BD1319">
        <w:rPr>
          <w:spacing w:val="-3"/>
        </w:rPr>
        <w:t xml:space="preserve">n los </w:t>
      </w:r>
      <w:r w:rsidR="009D132B" w:rsidRPr="00BD1319">
        <w:rPr>
          <w:rFonts w:cs="Arial"/>
          <w:spacing w:val="-3"/>
        </w:rPr>
        <w:t xml:space="preserve">límites </w:t>
      </w:r>
      <w:r w:rsidR="009D132B" w:rsidRPr="00BD1319">
        <w:rPr>
          <w:spacing w:val="-3"/>
        </w:rPr>
        <w:t>establecidos en la norma, debido a fuentes de emisión naturales</w:t>
      </w:r>
      <w:r w:rsidR="009D132B" w:rsidRPr="00BD1319">
        <w:rPr>
          <w:rFonts w:cs="Arial"/>
          <w:spacing w:val="-3"/>
        </w:rPr>
        <w:t xml:space="preserve"> sin que exista intervención antrópica</w:t>
      </w:r>
      <w:r w:rsidR="009D132B" w:rsidRPr="00BD1319">
        <w:rPr>
          <w:spacing w:val="-3"/>
        </w:rPr>
        <w:t xml:space="preserve"> o fuentes diferentes a las del proyecto, </w:t>
      </w:r>
      <w:r w:rsidR="005023B5" w:rsidRPr="00BD1319">
        <w:rPr>
          <w:spacing w:val="-3"/>
        </w:rPr>
        <w:t xml:space="preserve">obra o actividad, </w:t>
      </w:r>
      <w:r w:rsidR="009D132B" w:rsidRPr="00BD1319">
        <w:rPr>
          <w:spacing w:val="-3"/>
        </w:rPr>
        <w:t xml:space="preserve">se debe realizar el respectivo análisis sustentado técnicamente. Es importante que en </w:t>
      </w:r>
      <w:r w:rsidR="00590B9E" w:rsidRPr="00BD1319">
        <w:rPr>
          <w:spacing w:val="-3"/>
        </w:rPr>
        <w:t xml:space="preserve">esta evaluación </w:t>
      </w:r>
      <w:r w:rsidR="009D132B" w:rsidRPr="00BD1319">
        <w:rPr>
          <w:spacing w:val="-3"/>
        </w:rPr>
        <w:t>se incluyan los niveles de presión sonora existentes.</w:t>
      </w:r>
    </w:p>
    <w:p w14:paraId="04603049" w14:textId="77777777" w:rsidR="009D132B" w:rsidRPr="00BD1319" w:rsidRDefault="009D132B">
      <w:pPr>
        <w:numPr>
          <w:ilvl w:val="12"/>
          <w:numId w:val="0"/>
        </w:numPr>
        <w:tabs>
          <w:tab w:val="left" w:pos="-2268"/>
        </w:tabs>
        <w:suppressAutoHyphens/>
        <w:rPr>
          <w:spacing w:val="-3"/>
        </w:rPr>
      </w:pPr>
    </w:p>
    <w:p w14:paraId="79290468" w14:textId="364E0121" w:rsidR="009D132B" w:rsidRPr="00BD1319" w:rsidRDefault="009D132B">
      <w:pPr>
        <w:numPr>
          <w:ilvl w:val="12"/>
          <w:numId w:val="0"/>
        </w:numPr>
        <w:tabs>
          <w:tab w:val="left" w:pos="-2268"/>
        </w:tabs>
        <w:suppressAutoHyphens/>
        <w:rPr>
          <w:spacing w:val="-3"/>
        </w:rPr>
      </w:pPr>
      <w:r w:rsidRPr="00BD1319">
        <w:rPr>
          <w:spacing w:val="-3"/>
        </w:rPr>
        <w:t>Presentar un informe de los puntos muestreados, con una descripción clara de las fuentes sonoras que influyen en las mediciones, tipo de emisión y modo de operación.</w:t>
      </w:r>
    </w:p>
    <w:p w14:paraId="359B0A36" w14:textId="77777777" w:rsidR="009D132B" w:rsidRPr="00BD1319" w:rsidRDefault="009D132B">
      <w:pPr>
        <w:numPr>
          <w:ilvl w:val="12"/>
          <w:numId w:val="0"/>
        </w:numPr>
        <w:tabs>
          <w:tab w:val="left" w:pos="-2268"/>
        </w:tabs>
        <w:suppressAutoHyphens/>
        <w:rPr>
          <w:spacing w:val="-3"/>
        </w:rPr>
      </w:pPr>
    </w:p>
    <w:p w14:paraId="17E379FC" w14:textId="28323430" w:rsidR="009D132B" w:rsidRPr="00BD1319" w:rsidRDefault="009D132B">
      <w:pPr>
        <w:numPr>
          <w:ilvl w:val="12"/>
          <w:numId w:val="0"/>
        </w:numPr>
        <w:tabs>
          <w:tab w:val="left" w:pos="-2268"/>
        </w:tabs>
        <w:suppressAutoHyphens/>
        <w:rPr>
          <w:spacing w:val="-3"/>
        </w:rPr>
      </w:pPr>
      <w:r w:rsidRPr="00BD1319">
        <w:rPr>
          <w:spacing w:val="-3"/>
        </w:rPr>
        <w:t xml:space="preserve">Respecto a la presentación de los informes técnicos de las mediciones de ruido ambiental, se debe tener en cuenta como documento guía lo establecido en el </w:t>
      </w:r>
      <w:r w:rsidRPr="00BD1319">
        <w:rPr>
          <w:rFonts w:cs="Arial"/>
          <w:spacing w:val="-3"/>
        </w:rPr>
        <w:t xml:space="preserve">artículo 21 y </w:t>
      </w:r>
      <w:r w:rsidR="00CC5800" w:rsidRPr="00BD1319">
        <w:rPr>
          <w:spacing w:val="-3"/>
        </w:rPr>
        <w:t>a</w:t>
      </w:r>
      <w:r w:rsidRPr="00BD1319">
        <w:rPr>
          <w:spacing w:val="-3"/>
        </w:rPr>
        <w:t>nexo 4 de la Resolución 627 del 2006</w:t>
      </w:r>
      <w:r w:rsidRPr="00BD1319">
        <w:rPr>
          <w:rFonts w:cs="Arial"/>
          <w:spacing w:val="-3"/>
        </w:rPr>
        <w:t xml:space="preserve"> o aquella que la modifique o sustituya</w:t>
      </w:r>
      <w:r w:rsidRPr="00BD1319">
        <w:rPr>
          <w:spacing w:val="-3"/>
        </w:rPr>
        <w:t xml:space="preserve">, que trata sobre la “Propuesta de </w:t>
      </w:r>
      <w:r w:rsidR="005023B5" w:rsidRPr="00BD1319">
        <w:rPr>
          <w:spacing w:val="-3"/>
        </w:rPr>
        <w:t>i</w:t>
      </w:r>
      <w:r w:rsidRPr="00BD1319">
        <w:rPr>
          <w:spacing w:val="-3"/>
        </w:rPr>
        <w:t xml:space="preserve">nforme </w:t>
      </w:r>
      <w:r w:rsidR="005023B5" w:rsidRPr="00BD1319">
        <w:rPr>
          <w:spacing w:val="-3"/>
        </w:rPr>
        <w:t>t</w:t>
      </w:r>
      <w:r w:rsidRPr="00BD1319">
        <w:rPr>
          <w:spacing w:val="-3"/>
        </w:rPr>
        <w:t xml:space="preserve">écnico de </w:t>
      </w:r>
      <w:r w:rsidR="005023B5" w:rsidRPr="00BD1319">
        <w:rPr>
          <w:spacing w:val="-3"/>
        </w:rPr>
        <w:t>m</w:t>
      </w:r>
      <w:r w:rsidRPr="00BD1319">
        <w:rPr>
          <w:spacing w:val="-3"/>
        </w:rPr>
        <w:t xml:space="preserve">edición de </w:t>
      </w:r>
      <w:r w:rsidR="005023B5" w:rsidRPr="00BD1319">
        <w:rPr>
          <w:spacing w:val="-3"/>
        </w:rPr>
        <w:t>r</w:t>
      </w:r>
      <w:r w:rsidRPr="00BD1319">
        <w:rPr>
          <w:spacing w:val="-3"/>
        </w:rPr>
        <w:t xml:space="preserve">uido”. Los resultados del estudio de ruido deben presentarse en mapas de ruido </w:t>
      </w:r>
      <w:r w:rsidRPr="00BD1319">
        <w:rPr>
          <w:rFonts w:cs="Arial"/>
          <w:spacing w:val="-3"/>
        </w:rPr>
        <w:t xml:space="preserve">del área de influencia del </w:t>
      </w:r>
      <w:r w:rsidR="00645E5A" w:rsidRPr="00BD1319">
        <w:rPr>
          <w:rFonts w:cs="Arial"/>
          <w:spacing w:val="-3"/>
        </w:rPr>
        <w:t>componente</w:t>
      </w:r>
      <w:r w:rsidRPr="00BD1319">
        <w:rPr>
          <w:rFonts w:cs="Arial"/>
          <w:spacing w:val="-3"/>
        </w:rPr>
        <w:t>.</w:t>
      </w:r>
    </w:p>
    <w:bookmarkEnd w:id="2849"/>
    <w:p w14:paraId="6508C1D2" w14:textId="77777777" w:rsidR="009D132B" w:rsidRPr="00BD1319" w:rsidRDefault="009D132B" w:rsidP="008C2D45">
      <w:pPr>
        <w:numPr>
          <w:ilvl w:val="12"/>
          <w:numId w:val="0"/>
        </w:numPr>
        <w:tabs>
          <w:tab w:val="left" w:pos="-2268"/>
        </w:tabs>
        <w:suppressAutoHyphens/>
        <w:rPr>
          <w:rFonts w:cs="Arial"/>
          <w:spacing w:val="-3"/>
        </w:rPr>
      </w:pPr>
    </w:p>
    <w:p w14:paraId="1EA43499" w14:textId="0F09803C" w:rsidR="008C2D45" w:rsidRPr="00BD1319" w:rsidRDefault="008C2D45" w:rsidP="0068149C">
      <w:pPr>
        <w:pStyle w:val="Ttulo2"/>
        <w:rPr>
          <w:lang w:val="es-CO"/>
        </w:rPr>
      </w:pPr>
      <w:bookmarkStart w:id="2858" w:name="_Toc437936025"/>
      <w:bookmarkStart w:id="2859" w:name="_Toc175326768"/>
      <w:r w:rsidRPr="00BD1319">
        <w:rPr>
          <w:lang w:val="es-CO"/>
        </w:rPr>
        <w:t>MEDIO BIÓTICO</w:t>
      </w:r>
      <w:bookmarkEnd w:id="2607"/>
      <w:bookmarkEnd w:id="2608"/>
      <w:bookmarkEnd w:id="2858"/>
      <w:bookmarkEnd w:id="2859"/>
    </w:p>
    <w:p w14:paraId="6BC71F72" w14:textId="77777777" w:rsidR="00482A5F" w:rsidRPr="00BD1319" w:rsidRDefault="00482A5F" w:rsidP="00482A5F">
      <w:pPr>
        <w:numPr>
          <w:ilvl w:val="12"/>
          <w:numId w:val="0"/>
        </w:numPr>
        <w:tabs>
          <w:tab w:val="left" w:pos="-2268"/>
        </w:tabs>
        <w:suppressAutoHyphens/>
        <w:rPr>
          <w:rFonts w:cs="Arial"/>
          <w:spacing w:val="-3"/>
        </w:rPr>
      </w:pPr>
    </w:p>
    <w:p w14:paraId="7D021F19" w14:textId="459111DF" w:rsidR="00482A5F" w:rsidRPr="00BD1319" w:rsidRDefault="008B16D9">
      <w:pPr>
        <w:numPr>
          <w:ilvl w:val="12"/>
          <w:numId w:val="0"/>
        </w:numPr>
        <w:tabs>
          <w:tab w:val="left" w:pos="-2268"/>
        </w:tabs>
        <w:suppressAutoHyphens/>
        <w:rPr>
          <w:spacing w:val="-3"/>
        </w:rPr>
      </w:pPr>
      <w:r w:rsidRPr="00BD1319">
        <w:rPr>
          <w:spacing w:val="-3"/>
        </w:rPr>
        <w:t xml:space="preserve">El proceso de </w:t>
      </w:r>
      <w:r w:rsidR="00341FED" w:rsidRPr="00BD1319">
        <w:rPr>
          <w:spacing w:val="-3"/>
        </w:rPr>
        <w:t>obtención, procesamiento y análisis de l</w:t>
      </w:r>
      <w:r w:rsidR="00EC03C0" w:rsidRPr="00BD1319">
        <w:rPr>
          <w:spacing w:val="-3"/>
        </w:rPr>
        <w:t xml:space="preserve">os parámetros, indicadores y demás </w:t>
      </w:r>
      <w:r w:rsidR="00341FED" w:rsidRPr="00BD1319">
        <w:rPr>
          <w:spacing w:val="-3"/>
        </w:rPr>
        <w:t xml:space="preserve">información </w:t>
      </w:r>
      <w:r w:rsidR="00EC03C0" w:rsidRPr="00BD1319">
        <w:rPr>
          <w:spacing w:val="-3"/>
        </w:rPr>
        <w:t xml:space="preserve">biótica </w:t>
      </w:r>
      <w:r w:rsidR="00341FED" w:rsidRPr="00BD1319">
        <w:rPr>
          <w:spacing w:val="-3"/>
        </w:rPr>
        <w:t xml:space="preserve">debe ser integral y </w:t>
      </w:r>
      <w:r w:rsidRPr="00BD1319">
        <w:rPr>
          <w:spacing w:val="-3"/>
        </w:rPr>
        <w:t xml:space="preserve">determinar </w:t>
      </w:r>
      <w:r w:rsidR="00482A5F" w:rsidRPr="00BD1319">
        <w:rPr>
          <w:spacing w:val="-3"/>
        </w:rPr>
        <w:t xml:space="preserve">las características cualitativas y cuantitativas </w:t>
      </w:r>
      <w:r w:rsidRPr="00BD1319">
        <w:rPr>
          <w:spacing w:val="-3"/>
        </w:rPr>
        <w:t xml:space="preserve">asociadas a la </w:t>
      </w:r>
      <w:r w:rsidR="00482A5F" w:rsidRPr="00BD1319">
        <w:rPr>
          <w:spacing w:val="-3"/>
        </w:rPr>
        <w:t>composición</w:t>
      </w:r>
      <w:r w:rsidRPr="00BD1319">
        <w:rPr>
          <w:spacing w:val="-3"/>
        </w:rPr>
        <w:t>,</w:t>
      </w:r>
      <w:r w:rsidR="00482A5F" w:rsidRPr="00BD1319">
        <w:rPr>
          <w:spacing w:val="-3"/>
        </w:rPr>
        <w:t xml:space="preserve"> estructura</w:t>
      </w:r>
      <w:r w:rsidR="00341FED" w:rsidRPr="00BD1319">
        <w:rPr>
          <w:spacing w:val="-3"/>
        </w:rPr>
        <w:t xml:space="preserve"> </w:t>
      </w:r>
      <w:r w:rsidRPr="00BD1319">
        <w:rPr>
          <w:spacing w:val="-3"/>
        </w:rPr>
        <w:t xml:space="preserve">y </w:t>
      </w:r>
      <w:bookmarkStart w:id="2860" w:name="_Hlk137129813"/>
      <w:r w:rsidRPr="00BD1319">
        <w:rPr>
          <w:spacing w:val="-3"/>
        </w:rPr>
        <w:t>funci</w:t>
      </w:r>
      <w:r w:rsidR="00AB4432" w:rsidRPr="00BD1319">
        <w:rPr>
          <w:spacing w:val="-3"/>
        </w:rPr>
        <w:t>ón</w:t>
      </w:r>
      <w:bookmarkEnd w:id="2860"/>
      <w:r w:rsidRPr="00BD1319">
        <w:rPr>
          <w:rStyle w:val="Refdenotaalpie"/>
          <w:rFonts w:cs="Arial"/>
          <w:spacing w:val="-3"/>
          <w:lang w:val="es-CO"/>
        </w:rPr>
        <w:footnoteReference w:id="121"/>
      </w:r>
      <w:r w:rsidRPr="00BD1319">
        <w:rPr>
          <w:spacing w:val="-3"/>
        </w:rPr>
        <w:t xml:space="preserve"> </w:t>
      </w:r>
      <w:r w:rsidR="00341FED" w:rsidRPr="00BD1319">
        <w:rPr>
          <w:spacing w:val="-3"/>
        </w:rPr>
        <w:t>de los ecosistemas presentes en el área de influencia de los componentes del medio biótico</w:t>
      </w:r>
      <w:r w:rsidR="00482A5F" w:rsidRPr="00BD1319">
        <w:rPr>
          <w:spacing w:val="-3"/>
        </w:rPr>
        <w:t>.</w:t>
      </w:r>
    </w:p>
    <w:p w14:paraId="556FEAE8" w14:textId="77777777" w:rsidR="00482A5F" w:rsidRPr="00BD1319" w:rsidRDefault="00482A5F">
      <w:pPr>
        <w:numPr>
          <w:ilvl w:val="12"/>
          <w:numId w:val="0"/>
        </w:numPr>
        <w:tabs>
          <w:tab w:val="left" w:pos="-2268"/>
        </w:tabs>
        <w:suppressAutoHyphens/>
        <w:rPr>
          <w:spacing w:val="-3"/>
        </w:rPr>
      </w:pPr>
    </w:p>
    <w:p w14:paraId="4193A49E" w14:textId="5DE7A432" w:rsidR="00482A5F" w:rsidRPr="00BD1319" w:rsidRDefault="00482A5F">
      <w:pPr>
        <w:numPr>
          <w:ilvl w:val="12"/>
          <w:numId w:val="0"/>
        </w:numPr>
        <w:tabs>
          <w:tab w:val="left" w:pos="-2268"/>
        </w:tabs>
        <w:suppressAutoHyphens/>
        <w:rPr>
          <w:spacing w:val="-3"/>
        </w:rPr>
      </w:pPr>
      <w:r w:rsidRPr="00BD1319">
        <w:rPr>
          <w:spacing w:val="-3"/>
        </w:rPr>
        <w:t>La obtención de la línea base biótica se fundamenta</w:t>
      </w:r>
      <w:r w:rsidR="002734B2" w:rsidRPr="00BD1319">
        <w:rPr>
          <w:spacing w:val="-3"/>
        </w:rPr>
        <w:t xml:space="preserve"> en la realización de inventarios y caracterizaciones de la biodiversidad, que desarrollan </w:t>
      </w:r>
      <w:r w:rsidRPr="00BD1319">
        <w:rPr>
          <w:spacing w:val="-3"/>
        </w:rPr>
        <w:t>entre otras</w:t>
      </w:r>
      <w:r w:rsidR="002734B2" w:rsidRPr="00BD1319">
        <w:rPr>
          <w:spacing w:val="-3"/>
        </w:rPr>
        <w:t xml:space="preserve"> actividades</w:t>
      </w:r>
      <w:r w:rsidRPr="00BD1319">
        <w:rPr>
          <w:spacing w:val="-3"/>
        </w:rPr>
        <w:t xml:space="preserve">, </w:t>
      </w:r>
      <w:r w:rsidR="002734B2" w:rsidRPr="00BD1319">
        <w:rPr>
          <w:spacing w:val="-3"/>
        </w:rPr>
        <w:t xml:space="preserve">la </w:t>
      </w:r>
      <w:r w:rsidRPr="00BD1319">
        <w:rPr>
          <w:spacing w:val="-3"/>
        </w:rPr>
        <w:t>recolección</w:t>
      </w:r>
      <w:r w:rsidR="00E44C4F" w:rsidRPr="00BD1319">
        <w:rPr>
          <w:spacing w:val="-3"/>
        </w:rPr>
        <w:t>, manipulación y colec</w:t>
      </w:r>
      <w:r w:rsidR="00EC03C0" w:rsidRPr="00BD1319">
        <w:rPr>
          <w:spacing w:val="-3"/>
        </w:rPr>
        <w:t>ta</w:t>
      </w:r>
      <w:r w:rsidR="00E44C4F" w:rsidRPr="00BD1319">
        <w:rPr>
          <w:spacing w:val="-3"/>
        </w:rPr>
        <w:t xml:space="preserve"> temporal y definitiva</w:t>
      </w:r>
      <w:r w:rsidRPr="00BD1319">
        <w:rPr>
          <w:spacing w:val="-3"/>
        </w:rPr>
        <w:t xml:space="preserve"> de especímenes de la diversidad biológica.</w:t>
      </w:r>
    </w:p>
    <w:p w14:paraId="581F0F2C" w14:textId="77777777" w:rsidR="00482A5F" w:rsidRPr="00BD1319" w:rsidRDefault="00482A5F">
      <w:pPr>
        <w:numPr>
          <w:ilvl w:val="12"/>
          <w:numId w:val="0"/>
        </w:numPr>
        <w:tabs>
          <w:tab w:val="left" w:pos="-2268"/>
        </w:tabs>
        <w:suppressAutoHyphens/>
        <w:rPr>
          <w:spacing w:val="-3"/>
        </w:rPr>
      </w:pPr>
    </w:p>
    <w:p w14:paraId="13781135" w14:textId="7E20341D" w:rsidR="00162A70" w:rsidRPr="00BD1319" w:rsidRDefault="00162A70" w:rsidP="00162A70">
      <w:r w:rsidRPr="00BD1319">
        <w:t>Los levantamiento</w:t>
      </w:r>
      <w:r w:rsidR="002E1307" w:rsidRPr="00BD1319">
        <w:t>s</w:t>
      </w:r>
      <w:r w:rsidRPr="00BD1319">
        <w:t xml:space="preserve"> de información primaria para la caracterización de los diferentes componentes del medio biótico (líquenes, flora, fauna e </w:t>
      </w:r>
      <w:proofErr w:type="spellStart"/>
      <w:r w:rsidRPr="00BD1319">
        <w:t>hidrobiota</w:t>
      </w:r>
      <w:proofErr w:type="spellEnd"/>
      <w:r w:rsidR="00EC03C0" w:rsidRPr="00BD1319">
        <w:t xml:space="preserve"> continental o marino-costera</w:t>
      </w:r>
      <w:r w:rsidRPr="00BD1319">
        <w:t xml:space="preserve">) </w:t>
      </w:r>
      <w:r w:rsidR="002E1307" w:rsidRPr="00BD1319">
        <w:t>empleados para la elaboración del estudio</w:t>
      </w:r>
      <w:r w:rsidR="00C11577" w:rsidRPr="00BD1319">
        <w:t>,</w:t>
      </w:r>
      <w:r w:rsidR="002E1307" w:rsidRPr="00BD1319">
        <w:t xml:space="preserve"> </w:t>
      </w:r>
      <w:r w:rsidRPr="00BD1319">
        <w:t xml:space="preserve">deben </w:t>
      </w:r>
      <w:r w:rsidR="002E1307" w:rsidRPr="00BD1319">
        <w:t xml:space="preserve">referirse a </w:t>
      </w:r>
      <w:r w:rsidRPr="00BD1319">
        <w:t xml:space="preserve">las </w:t>
      </w:r>
      <w:r w:rsidRPr="00BD1319">
        <w:lastRenderedPageBreak/>
        <w:t>condiciones y características de cada componente al momento de la solicitud</w:t>
      </w:r>
      <w:r w:rsidR="00C11577" w:rsidRPr="00BD1319">
        <w:t xml:space="preserve"> </w:t>
      </w:r>
      <w:r w:rsidRPr="00BD1319">
        <w:t xml:space="preserve">de licencia ambiental o </w:t>
      </w:r>
      <w:r w:rsidR="00C11577" w:rsidRPr="00BD1319">
        <w:t xml:space="preserve">de </w:t>
      </w:r>
      <w:r w:rsidRPr="00BD1319">
        <w:t>modificaci</w:t>
      </w:r>
      <w:r w:rsidR="00C11577" w:rsidRPr="00BD1319">
        <w:t xml:space="preserve">ón </w:t>
      </w:r>
      <w:r w:rsidRPr="00BD1319">
        <w:t>del</w:t>
      </w:r>
      <w:r w:rsidR="00C11577" w:rsidRPr="00BD1319">
        <w:t xml:space="preserve"> </w:t>
      </w:r>
      <w:r w:rsidRPr="00BD1319">
        <w:t>instrumento de manejo y control</w:t>
      </w:r>
      <w:r w:rsidR="00CC227C" w:rsidRPr="00BD1319">
        <w:t xml:space="preserve"> ambiental</w:t>
      </w:r>
      <w:r w:rsidRPr="00BD1319">
        <w:t>.</w:t>
      </w:r>
    </w:p>
    <w:p w14:paraId="0038E9DC" w14:textId="77777777" w:rsidR="00162A70" w:rsidRPr="00BD1319" w:rsidRDefault="00162A70" w:rsidP="00162A70">
      <w:pPr>
        <w:numPr>
          <w:ilvl w:val="12"/>
          <w:numId w:val="0"/>
        </w:numPr>
        <w:tabs>
          <w:tab w:val="left" w:pos="-2268"/>
        </w:tabs>
        <w:suppressAutoHyphens/>
        <w:rPr>
          <w:spacing w:val="-3"/>
        </w:rPr>
      </w:pPr>
    </w:p>
    <w:p w14:paraId="22705AF7" w14:textId="031BCCBB" w:rsidR="00162A70" w:rsidRPr="00BD1319" w:rsidRDefault="00825336" w:rsidP="00162A70">
      <w:pPr>
        <w:numPr>
          <w:ilvl w:val="12"/>
          <w:numId w:val="0"/>
        </w:numPr>
        <w:tabs>
          <w:tab w:val="left" w:pos="-2268"/>
        </w:tabs>
        <w:suppressAutoHyphens/>
        <w:rPr>
          <w:spacing w:val="-3"/>
        </w:rPr>
      </w:pPr>
      <w:r w:rsidRPr="00BD1319">
        <w:rPr>
          <w:spacing w:val="-3"/>
        </w:rPr>
        <w:t>Asimismo, l</w:t>
      </w:r>
      <w:r w:rsidR="00162A70" w:rsidRPr="00BD1319">
        <w:rPr>
          <w:spacing w:val="-3"/>
        </w:rPr>
        <w:t>a caracterización de los componentes del medio biótico</w:t>
      </w:r>
      <w:r w:rsidR="005F1EF2" w:rsidRPr="00BD1319">
        <w:rPr>
          <w:spacing w:val="-3"/>
        </w:rPr>
        <w:t xml:space="preserve"> </w:t>
      </w:r>
      <w:r w:rsidRPr="00BD1319">
        <w:rPr>
          <w:spacing w:val="-3"/>
        </w:rPr>
        <w:t xml:space="preserve">que emplee información secundaria </w:t>
      </w:r>
      <w:r w:rsidR="005F1EF2" w:rsidRPr="00BD1319">
        <w:rPr>
          <w:spacing w:val="-3"/>
        </w:rPr>
        <w:t xml:space="preserve">debe partir </w:t>
      </w:r>
      <w:r w:rsidRPr="00BD1319">
        <w:rPr>
          <w:spacing w:val="-3"/>
        </w:rPr>
        <w:t xml:space="preserve">de fuentes </w:t>
      </w:r>
      <w:r w:rsidR="00A02727" w:rsidRPr="00BD1319">
        <w:rPr>
          <w:spacing w:val="-3"/>
        </w:rPr>
        <w:t>actualizad</w:t>
      </w:r>
      <w:r w:rsidRPr="00BD1319">
        <w:rPr>
          <w:spacing w:val="-3"/>
        </w:rPr>
        <w:t>a</w:t>
      </w:r>
      <w:r w:rsidR="00A02727" w:rsidRPr="00BD1319">
        <w:rPr>
          <w:spacing w:val="-3"/>
        </w:rPr>
        <w:t>s</w:t>
      </w:r>
      <w:r w:rsidR="005F1EF2" w:rsidRPr="00BD1319">
        <w:rPr>
          <w:spacing w:val="-3"/>
        </w:rPr>
        <w:t xml:space="preserve"> y </w:t>
      </w:r>
      <w:r w:rsidR="00162A70" w:rsidRPr="00BD1319">
        <w:rPr>
          <w:spacing w:val="-3"/>
        </w:rPr>
        <w:t>considerar las dinámicas de cambio existentes en el área donde se pretende desarrollar el proyecto</w:t>
      </w:r>
      <w:r w:rsidR="009D2570" w:rsidRPr="00BD1319">
        <w:rPr>
          <w:rStyle w:val="Refdenotaalpie"/>
          <w:spacing w:val="-3"/>
          <w:lang w:val="es-CO"/>
        </w:rPr>
        <w:footnoteReference w:id="122"/>
      </w:r>
      <w:r w:rsidR="005F1EF2" w:rsidRPr="00BD1319">
        <w:rPr>
          <w:spacing w:val="-3"/>
        </w:rPr>
        <w:t xml:space="preserve">, a fin de </w:t>
      </w:r>
      <w:r w:rsidR="00162A70" w:rsidRPr="00BD1319">
        <w:rPr>
          <w:spacing w:val="-3"/>
        </w:rPr>
        <w:t>represent</w:t>
      </w:r>
      <w:r w:rsidR="005F1EF2" w:rsidRPr="00BD1319">
        <w:rPr>
          <w:spacing w:val="-3"/>
        </w:rPr>
        <w:t>ar</w:t>
      </w:r>
      <w:r w:rsidR="00162A70" w:rsidRPr="00BD1319">
        <w:rPr>
          <w:spacing w:val="-3"/>
        </w:rPr>
        <w:t xml:space="preserve"> </w:t>
      </w:r>
      <w:r w:rsidR="00F0592C" w:rsidRPr="00BD1319">
        <w:rPr>
          <w:spacing w:val="-3"/>
        </w:rPr>
        <w:t xml:space="preserve">las características asociadas a </w:t>
      </w:r>
      <w:r w:rsidR="00162A70" w:rsidRPr="00BD1319">
        <w:rPr>
          <w:spacing w:val="-3"/>
        </w:rPr>
        <w:t>las coberturas de la tierra</w:t>
      </w:r>
      <w:r w:rsidR="00F0592C" w:rsidRPr="00BD1319">
        <w:rPr>
          <w:spacing w:val="-3"/>
        </w:rPr>
        <w:t xml:space="preserve"> y a</w:t>
      </w:r>
      <w:r w:rsidR="00162A70" w:rsidRPr="00BD1319">
        <w:rPr>
          <w:spacing w:val="-3"/>
        </w:rPr>
        <w:t xml:space="preserve"> los ecosistemas en el momento de la solicitud de la licencia ambiental.</w:t>
      </w:r>
    </w:p>
    <w:p w14:paraId="50C0E759" w14:textId="77777777" w:rsidR="00162A70" w:rsidRPr="00BD1319" w:rsidRDefault="00162A70">
      <w:pPr>
        <w:numPr>
          <w:ilvl w:val="12"/>
          <w:numId w:val="0"/>
        </w:numPr>
        <w:tabs>
          <w:tab w:val="left" w:pos="-2268"/>
        </w:tabs>
        <w:suppressAutoHyphens/>
        <w:rPr>
          <w:spacing w:val="-3"/>
        </w:rPr>
      </w:pPr>
    </w:p>
    <w:p w14:paraId="3A95F9A7" w14:textId="49B400CC" w:rsidR="00482A5F" w:rsidRPr="00BD1319" w:rsidRDefault="00482A5F">
      <w:pPr>
        <w:numPr>
          <w:ilvl w:val="12"/>
          <w:numId w:val="0"/>
        </w:numPr>
        <w:tabs>
          <w:tab w:val="left" w:pos="-2268"/>
        </w:tabs>
        <w:suppressAutoHyphens/>
        <w:rPr>
          <w:spacing w:val="-3"/>
        </w:rPr>
      </w:pPr>
      <w:r w:rsidRPr="00BD1319">
        <w:rPr>
          <w:spacing w:val="-3"/>
        </w:rPr>
        <w:t xml:space="preserve">Dada la necesidad de contar con información precisa y confiable para la toma de decisiones, se resalta la </w:t>
      </w:r>
      <w:r w:rsidRPr="00BD1319">
        <w:rPr>
          <w:rFonts w:cs="Arial"/>
          <w:spacing w:val="-3"/>
        </w:rPr>
        <w:t>importancia</w:t>
      </w:r>
      <w:r w:rsidRPr="00BD1319">
        <w:rPr>
          <w:spacing w:val="-3"/>
        </w:rPr>
        <w:t xml:space="preserve"> de desarrollar la caracterización del medio biótico bajo metodologías acertadas y rigurosas, llevadas a cabo por profesionales con conocimiento de los grupos biológicos objeto de estudio y con experiencia en las técnicas y métodos de campo y laboratorio.</w:t>
      </w:r>
    </w:p>
    <w:p w14:paraId="26976060" w14:textId="77777777" w:rsidR="00482A5F" w:rsidRPr="00BD1319" w:rsidRDefault="00482A5F">
      <w:pPr>
        <w:numPr>
          <w:ilvl w:val="12"/>
          <w:numId w:val="0"/>
        </w:numPr>
        <w:tabs>
          <w:tab w:val="left" w:pos="-2268"/>
        </w:tabs>
        <w:suppressAutoHyphens/>
        <w:rPr>
          <w:spacing w:val="-3"/>
        </w:rPr>
      </w:pPr>
    </w:p>
    <w:p w14:paraId="3E791718" w14:textId="1C5AF973" w:rsidR="009F2C5C" w:rsidRPr="00BD1319" w:rsidRDefault="00482A5F">
      <w:pPr>
        <w:numPr>
          <w:ilvl w:val="12"/>
          <w:numId w:val="0"/>
        </w:numPr>
        <w:tabs>
          <w:tab w:val="left" w:pos="-2268"/>
        </w:tabs>
        <w:suppressAutoHyphens/>
        <w:rPr>
          <w:spacing w:val="-3"/>
        </w:rPr>
      </w:pPr>
      <w:r w:rsidRPr="00BD1319">
        <w:rPr>
          <w:spacing w:val="-3"/>
        </w:rPr>
        <w:t xml:space="preserve">Existen diversas metodologías y manuales que </w:t>
      </w:r>
      <w:r w:rsidR="009F2C5C" w:rsidRPr="00BD1319">
        <w:rPr>
          <w:spacing w:val="-3"/>
        </w:rPr>
        <w:t xml:space="preserve">permiten </w:t>
      </w:r>
      <w:r w:rsidRPr="00BD1319">
        <w:rPr>
          <w:spacing w:val="-3"/>
        </w:rPr>
        <w:t>la obtención de información biológica básica confiable para la toma de decisiones (</w:t>
      </w:r>
      <w:r w:rsidR="00041844" w:rsidRPr="00BD1319">
        <w:rPr>
          <w:spacing w:val="-3"/>
        </w:rPr>
        <w:t>p. ej.</w:t>
      </w:r>
      <w:r w:rsidRPr="00BD1319">
        <w:rPr>
          <w:spacing w:val="-3"/>
        </w:rPr>
        <w:t xml:space="preserve"> Métodos para medir la biodiversidad de Moreno, 2001; Manual para evaluación de la biodiversidad en </w:t>
      </w:r>
      <w:r w:rsidR="00E46FD2" w:rsidRPr="00BD1319">
        <w:rPr>
          <w:spacing w:val="-3"/>
        </w:rPr>
        <w:t>r</w:t>
      </w:r>
      <w:r w:rsidRPr="00BD1319">
        <w:rPr>
          <w:spacing w:val="-3"/>
        </w:rPr>
        <w:t xml:space="preserve">eservas de la </w:t>
      </w:r>
      <w:r w:rsidR="00E46FD2" w:rsidRPr="00BD1319">
        <w:rPr>
          <w:spacing w:val="-3"/>
        </w:rPr>
        <w:t>b</w:t>
      </w:r>
      <w:r w:rsidRPr="00BD1319">
        <w:rPr>
          <w:spacing w:val="-3"/>
        </w:rPr>
        <w:t xml:space="preserve">iosfera de Halffter et al., 2001; Manual de </w:t>
      </w:r>
      <w:r w:rsidR="00E46FD2" w:rsidRPr="00BD1319">
        <w:rPr>
          <w:spacing w:val="-3"/>
        </w:rPr>
        <w:t>m</w:t>
      </w:r>
      <w:r w:rsidRPr="00BD1319">
        <w:rPr>
          <w:spacing w:val="-3"/>
        </w:rPr>
        <w:t xml:space="preserve">étodos para el </w:t>
      </w:r>
      <w:r w:rsidR="00E46FD2" w:rsidRPr="00BD1319">
        <w:rPr>
          <w:spacing w:val="-3"/>
        </w:rPr>
        <w:t>d</w:t>
      </w:r>
      <w:r w:rsidRPr="00BD1319">
        <w:rPr>
          <w:spacing w:val="-3"/>
        </w:rPr>
        <w:t xml:space="preserve">esarrollo de </w:t>
      </w:r>
      <w:r w:rsidR="00E46FD2" w:rsidRPr="00BD1319">
        <w:rPr>
          <w:spacing w:val="-3"/>
        </w:rPr>
        <w:t>i</w:t>
      </w:r>
      <w:r w:rsidRPr="00BD1319">
        <w:rPr>
          <w:spacing w:val="-3"/>
        </w:rPr>
        <w:t xml:space="preserve">nventarios de la </w:t>
      </w:r>
      <w:r w:rsidR="00E46FD2" w:rsidRPr="00BD1319">
        <w:rPr>
          <w:spacing w:val="-3"/>
        </w:rPr>
        <w:t>b</w:t>
      </w:r>
      <w:r w:rsidRPr="00BD1319">
        <w:rPr>
          <w:spacing w:val="-3"/>
        </w:rPr>
        <w:t>iodiversidad de Villa</w:t>
      </w:r>
      <w:r w:rsidR="00C34E67" w:rsidRPr="00BD1319">
        <w:rPr>
          <w:spacing w:val="-3"/>
        </w:rPr>
        <w:t>r</w:t>
      </w:r>
      <w:r w:rsidRPr="00BD1319">
        <w:rPr>
          <w:spacing w:val="-3"/>
        </w:rPr>
        <w:t>real et al.</w:t>
      </w:r>
      <w:r w:rsidR="00AC1C93" w:rsidRPr="00BD1319">
        <w:rPr>
          <w:spacing w:val="-3"/>
        </w:rPr>
        <w:t>,</w:t>
      </w:r>
      <w:r w:rsidRPr="00BD1319">
        <w:rPr>
          <w:spacing w:val="-3"/>
        </w:rPr>
        <w:t xml:space="preserve"> 200</w:t>
      </w:r>
      <w:r w:rsidR="00C34E67" w:rsidRPr="00BD1319">
        <w:rPr>
          <w:spacing w:val="-3"/>
        </w:rPr>
        <w:t>4</w:t>
      </w:r>
      <w:r w:rsidR="00E14516" w:rsidRPr="00BD1319">
        <w:rPr>
          <w:spacing w:val="-3"/>
        </w:rPr>
        <w:t xml:space="preserve"> o versiones posteriores</w:t>
      </w:r>
      <w:r w:rsidR="00E46FD2" w:rsidRPr="00BD1319">
        <w:rPr>
          <w:spacing w:val="-3"/>
        </w:rPr>
        <w:t>;</w:t>
      </w:r>
      <w:r w:rsidR="00E14516" w:rsidRPr="00BD1319">
        <w:rPr>
          <w:spacing w:val="-3"/>
        </w:rPr>
        <w:t xml:space="preserve"> Estándar para la publicación de datos e información sobre biodiversidad a través del </w:t>
      </w:r>
      <w:proofErr w:type="spellStart"/>
      <w:r w:rsidR="00E14516" w:rsidRPr="00BD1319">
        <w:rPr>
          <w:spacing w:val="-3"/>
        </w:rPr>
        <w:t>SiB</w:t>
      </w:r>
      <w:proofErr w:type="spellEnd"/>
      <w:r w:rsidR="00E14516" w:rsidRPr="00BD1319">
        <w:rPr>
          <w:spacing w:val="-3"/>
        </w:rPr>
        <w:t xml:space="preserve"> Colombia, entre otros).</w:t>
      </w:r>
    </w:p>
    <w:p w14:paraId="7D9432ED" w14:textId="77777777" w:rsidR="009F2C5C" w:rsidRPr="00BD1319" w:rsidRDefault="009F2C5C">
      <w:pPr>
        <w:numPr>
          <w:ilvl w:val="12"/>
          <w:numId w:val="0"/>
        </w:numPr>
        <w:tabs>
          <w:tab w:val="left" w:pos="-2268"/>
        </w:tabs>
        <w:suppressAutoHyphens/>
        <w:rPr>
          <w:spacing w:val="-3"/>
        </w:rPr>
      </w:pPr>
    </w:p>
    <w:p w14:paraId="1858FB26" w14:textId="0C344FA1" w:rsidR="00482A5F" w:rsidRPr="00BD1319" w:rsidRDefault="009F2C5C">
      <w:pPr>
        <w:numPr>
          <w:ilvl w:val="12"/>
          <w:numId w:val="0"/>
        </w:numPr>
        <w:tabs>
          <w:tab w:val="left" w:pos="-2268"/>
        </w:tabs>
        <w:suppressAutoHyphens/>
        <w:rPr>
          <w:spacing w:val="-3"/>
        </w:rPr>
      </w:pPr>
      <w:r w:rsidRPr="00BD1319">
        <w:rPr>
          <w:spacing w:val="-3"/>
        </w:rPr>
        <w:t>Preferiblemente, s</w:t>
      </w:r>
      <w:r w:rsidR="00E14516" w:rsidRPr="00BD1319">
        <w:rPr>
          <w:spacing w:val="-3"/>
        </w:rPr>
        <w:t xml:space="preserve">e deben seleccionar métodos </w:t>
      </w:r>
      <w:r w:rsidRPr="00BD1319">
        <w:rPr>
          <w:spacing w:val="-3"/>
        </w:rPr>
        <w:t xml:space="preserve">estándar que permita replicar los muestreos en distintas condiciones (geográficas, temporales, logísticas), realizar comparaciones y </w:t>
      </w:r>
      <w:r w:rsidR="00E14516" w:rsidRPr="00BD1319">
        <w:rPr>
          <w:spacing w:val="-3"/>
        </w:rPr>
        <w:t>suministr</w:t>
      </w:r>
      <w:r w:rsidRPr="00BD1319">
        <w:rPr>
          <w:spacing w:val="-3"/>
        </w:rPr>
        <w:t>ar</w:t>
      </w:r>
      <w:r w:rsidR="00E14516" w:rsidRPr="00BD1319">
        <w:rPr>
          <w:spacing w:val="-3"/>
        </w:rPr>
        <w:t xml:space="preserve"> información representativa de los atributos a medir que cubra de manera adecuada la heterogeneidad del área geográfica a estudiar (Villarreal et al., 2006)</w:t>
      </w:r>
      <w:r w:rsidR="00482A5F" w:rsidRPr="00BD1319">
        <w:rPr>
          <w:spacing w:val="-3"/>
        </w:rPr>
        <w:t>.</w:t>
      </w:r>
    </w:p>
    <w:p w14:paraId="28A7A418" w14:textId="77777777" w:rsidR="00482A5F" w:rsidRPr="00BD1319" w:rsidRDefault="00482A5F">
      <w:pPr>
        <w:numPr>
          <w:ilvl w:val="12"/>
          <w:numId w:val="0"/>
        </w:numPr>
        <w:tabs>
          <w:tab w:val="left" w:pos="-2268"/>
        </w:tabs>
        <w:suppressAutoHyphens/>
        <w:rPr>
          <w:spacing w:val="-3"/>
        </w:rPr>
      </w:pPr>
    </w:p>
    <w:p w14:paraId="424EE48A" w14:textId="74B8F060" w:rsidR="00482A5F" w:rsidRPr="00BD1319" w:rsidRDefault="00E07D82">
      <w:pPr>
        <w:numPr>
          <w:ilvl w:val="12"/>
          <w:numId w:val="0"/>
        </w:numPr>
        <w:tabs>
          <w:tab w:val="left" w:pos="-2268"/>
        </w:tabs>
        <w:suppressAutoHyphens/>
        <w:rPr>
          <w:spacing w:val="-3"/>
        </w:rPr>
      </w:pPr>
      <w:r w:rsidRPr="00BD1319">
        <w:t>E</w:t>
      </w:r>
      <w:r w:rsidRPr="00BD1319">
        <w:rPr>
          <w:spacing w:val="-3"/>
        </w:rPr>
        <w:t xml:space="preserve">n caso </w:t>
      </w:r>
      <w:r w:rsidRPr="00BD1319">
        <w:rPr>
          <w:rFonts w:cs="Arial"/>
          <w:spacing w:val="-3"/>
        </w:rPr>
        <w:t xml:space="preserve">de no contar con información actualizada que refleje las condiciones </w:t>
      </w:r>
      <w:r w:rsidR="00E97A61" w:rsidRPr="00BD1319">
        <w:rPr>
          <w:rFonts w:cs="Arial"/>
          <w:spacing w:val="-3"/>
        </w:rPr>
        <w:t xml:space="preserve">bióticas </w:t>
      </w:r>
      <w:r w:rsidRPr="00BD1319">
        <w:rPr>
          <w:rFonts w:cs="Arial"/>
          <w:spacing w:val="-3"/>
        </w:rPr>
        <w:t>actuales</w:t>
      </w:r>
      <w:r w:rsidRPr="00BD1319">
        <w:rPr>
          <w:spacing w:val="-3"/>
        </w:rPr>
        <w:t>,</w:t>
      </w:r>
      <w:r w:rsidRPr="00BD1319">
        <w:rPr>
          <w:rFonts w:cs="Arial"/>
          <w:spacing w:val="-3"/>
        </w:rPr>
        <w:t xml:space="preserve"> es necesario realizar</w:t>
      </w:r>
      <w:r w:rsidRPr="00BD1319">
        <w:rPr>
          <w:spacing w:val="-3"/>
        </w:rPr>
        <w:t xml:space="preserve"> la captura y recolecta de especímenes de la diversidad biológica; </w:t>
      </w:r>
      <w:r w:rsidRPr="00BD1319">
        <w:rPr>
          <w:rFonts w:cs="Arial"/>
          <w:spacing w:val="-3"/>
        </w:rPr>
        <w:t>para ello, se debe contar con el permiso de recolección para fauna y flora silvestre con fines de elaboración de estudios ambientales que otorga la autoridad ambiental competente</w:t>
      </w:r>
      <w:r w:rsidRPr="00BD1319">
        <w:rPr>
          <w:rStyle w:val="Refdenotaalpie"/>
          <w:rFonts w:cs="Arial"/>
          <w:spacing w:val="-3"/>
          <w:lang w:val="es-CO"/>
        </w:rPr>
        <w:footnoteReference w:id="123"/>
      </w:r>
      <w:r w:rsidRPr="00BD1319">
        <w:rPr>
          <w:rFonts w:cs="Arial"/>
          <w:spacing w:val="-3"/>
        </w:rPr>
        <w:t xml:space="preserve"> </w:t>
      </w:r>
      <w:r w:rsidR="00467CE5" w:rsidRPr="00BD1319">
        <w:rPr>
          <w:rFonts w:cs="Arial"/>
          <w:spacing w:val="-3"/>
        </w:rPr>
        <w:t>de acuerdo con</w:t>
      </w:r>
      <w:r w:rsidRPr="00BD1319">
        <w:rPr>
          <w:rFonts w:cs="Arial"/>
          <w:spacing w:val="-3"/>
        </w:rPr>
        <w:t xml:space="preserve"> lo establecido en el artículo 2.2.2.9.2.1 del Decreto 1076 de 2015</w:t>
      </w:r>
      <w:r w:rsidR="00335193" w:rsidRPr="00BD1319">
        <w:rPr>
          <w:rFonts w:cs="Arial"/>
          <w:spacing w:val="-3"/>
        </w:rPr>
        <w:t xml:space="preserve"> o aquel que lo modifique o sustituya</w:t>
      </w:r>
      <w:r w:rsidRPr="00BD1319">
        <w:rPr>
          <w:rFonts w:cs="Arial"/>
          <w:spacing w:val="-3"/>
        </w:rPr>
        <w:t xml:space="preserve">. Las actividades de recolecta que se formulen en el estudio ambiental, </w:t>
      </w:r>
      <w:r w:rsidRPr="00BD1319">
        <w:rPr>
          <w:spacing w:val="-3"/>
        </w:rPr>
        <w:t>deben guardar correspondencia con los elementos metodológicos autorizados en el permiso</w:t>
      </w:r>
      <w:r w:rsidRPr="00BD1319">
        <w:rPr>
          <w:rFonts w:cs="Arial"/>
          <w:spacing w:val="-3"/>
        </w:rPr>
        <w:t xml:space="preserve">, tales como esfuerzos de </w:t>
      </w:r>
      <w:r w:rsidRPr="00BD1319">
        <w:rPr>
          <w:rFonts w:cs="Arial"/>
          <w:spacing w:val="-3"/>
        </w:rPr>
        <w:lastRenderedPageBreak/>
        <w:t>muestreo (número de muestras colectadas</w:t>
      </w:r>
      <w:r w:rsidRPr="00BD1319">
        <w:rPr>
          <w:spacing w:val="-3"/>
        </w:rPr>
        <w:t xml:space="preserve"> por </w:t>
      </w:r>
      <w:r w:rsidRPr="00BD1319">
        <w:rPr>
          <w:rFonts w:cs="Arial"/>
          <w:spacing w:val="-3"/>
        </w:rPr>
        <w:t xml:space="preserve">especie), representatividad de unidades de muestreo </w:t>
      </w:r>
      <w:r w:rsidRPr="00BD1319">
        <w:rPr>
          <w:spacing w:val="-3"/>
        </w:rPr>
        <w:t>y demás requerimientos establecidos en la Sección 2, Capitulo 9, Titulo 2, Parte 2, Libro 2 del Decreto 1076</w:t>
      </w:r>
      <w:r w:rsidRPr="00BD1319">
        <w:rPr>
          <w:rFonts w:cs="Arial"/>
          <w:spacing w:val="-3"/>
        </w:rPr>
        <w:t>,</w:t>
      </w:r>
      <w:r w:rsidRPr="00BD1319">
        <w:rPr>
          <w:spacing w:val="-3"/>
        </w:rPr>
        <w:t xml:space="preserve"> o de aquel que lo modifique</w:t>
      </w:r>
      <w:r w:rsidRPr="00BD1319">
        <w:rPr>
          <w:rFonts w:cs="Arial"/>
          <w:spacing w:val="-3"/>
        </w:rPr>
        <w:t xml:space="preserve"> o</w:t>
      </w:r>
      <w:r w:rsidRPr="00BD1319">
        <w:rPr>
          <w:spacing w:val="-3"/>
        </w:rPr>
        <w:t xml:space="preserve"> sustituya</w:t>
      </w:r>
      <w:r w:rsidR="00482A5F" w:rsidRPr="00BD1319">
        <w:rPr>
          <w:rFonts w:cs="Arial"/>
          <w:spacing w:val="-3"/>
        </w:rPr>
        <w:t>.</w:t>
      </w:r>
    </w:p>
    <w:p w14:paraId="67A26855" w14:textId="77777777" w:rsidR="00482A5F" w:rsidRPr="00BD1319" w:rsidRDefault="00482A5F">
      <w:pPr>
        <w:numPr>
          <w:ilvl w:val="12"/>
          <w:numId w:val="0"/>
        </w:numPr>
        <w:tabs>
          <w:tab w:val="left" w:pos="-2268"/>
        </w:tabs>
        <w:suppressAutoHyphens/>
        <w:rPr>
          <w:spacing w:val="-3"/>
        </w:rPr>
      </w:pPr>
    </w:p>
    <w:p w14:paraId="5C897BCA" w14:textId="75EA8E94" w:rsidR="00482A5F" w:rsidRPr="00BD1319" w:rsidRDefault="00482A5F">
      <w:pPr>
        <w:numPr>
          <w:ilvl w:val="12"/>
          <w:numId w:val="0"/>
        </w:numPr>
        <w:tabs>
          <w:tab w:val="left" w:pos="-2268"/>
        </w:tabs>
        <w:suppressAutoHyphens/>
        <w:rPr>
          <w:spacing w:val="-3"/>
        </w:rPr>
      </w:pPr>
      <w:r w:rsidRPr="00BD1319">
        <w:rPr>
          <w:spacing w:val="-3"/>
        </w:rPr>
        <w:t>Para realizar los muestreos o monitoreos de fauna (incluyendo fauna íctica), no se deben utilizar métodos químicos o de envenenamiento, así como tampoco trampas para captura que sean en esencia letales (</w:t>
      </w:r>
      <w:r w:rsidR="00041844" w:rsidRPr="00BD1319">
        <w:rPr>
          <w:spacing w:val="-3"/>
        </w:rPr>
        <w:t>p. ej.</w:t>
      </w:r>
      <w:r w:rsidRPr="00BD1319">
        <w:rPr>
          <w:spacing w:val="-3"/>
        </w:rPr>
        <w:t xml:space="preserve"> trampas de golpe para micromamíferos).</w:t>
      </w:r>
    </w:p>
    <w:p w14:paraId="215ED857" w14:textId="77777777" w:rsidR="00482A5F" w:rsidRPr="00BD1319" w:rsidRDefault="00482A5F">
      <w:pPr>
        <w:numPr>
          <w:ilvl w:val="12"/>
          <w:numId w:val="0"/>
        </w:numPr>
        <w:tabs>
          <w:tab w:val="left" w:pos="-2268"/>
        </w:tabs>
        <w:suppressAutoHyphens/>
        <w:rPr>
          <w:spacing w:val="-3"/>
        </w:rPr>
      </w:pPr>
    </w:p>
    <w:p w14:paraId="4E9E40EB" w14:textId="1F21BB1C" w:rsidR="00482A5F" w:rsidRPr="00BD1319" w:rsidRDefault="00482A5F" w:rsidP="00482A5F">
      <w:pPr>
        <w:tabs>
          <w:tab w:val="left" w:pos="-2268"/>
        </w:tabs>
        <w:suppressAutoHyphens/>
        <w:rPr>
          <w:rFonts w:cs="Arial"/>
          <w:spacing w:val="-3"/>
        </w:rPr>
      </w:pPr>
      <w:r w:rsidRPr="00BD1319">
        <w:rPr>
          <w:rFonts w:cs="Arial"/>
          <w:spacing w:val="-3"/>
        </w:rPr>
        <w:t xml:space="preserve">La información obtenida producto de las actividades </w:t>
      </w:r>
      <w:r w:rsidR="0040776E" w:rsidRPr="00BD1319">
        <w:rPr>
          <w:rFonts w:cs="Arial"/>
          <w:spacing w:val="-3"/>
        </w:rPr>
        <w:t xml:space="preserve">autorizadas en </w:t>
      </w:r>
      <w:r w:rsidRPr="00BD1319">
        <w:rPr>
          <w:rFonts w:cs="Arial"/>
          <w:spacing w:val="-3"/>
        </w:rPr>
        <w:t xml:space="preserve">el permiso </w:t>
      </w:r>
      <w:r w:rsidR="0040776E" w:rsidRPr="00BD1319">
        <w:rPr>
          <w:rFonts w:cs="Arial"/>
          <w:spacing w:val="-3"/>
        </w:rPr>
        <w:t xml:space="preserve">de recolección de especímenes de especies silvestres de la diversidad biológica con fines de elaboración de estudios </w:t>
      </w:r>
      <w:r w:rsidR="00434EA7" w:rsidRPr="00BD1319">
        <w:rPr>
          <w:rFonts w:cs="Arial"/>
          <w:spacing w:val="-3"/>
        </w:rPr>
        <w:t>ambientales</w:t>
      </w:r>
      <w:r w:rsidRPr="00BD1319">
        <w:rPr>
          <w:rFonts w:cs="Arial"/>
          <w:spacing w:val="-3"/>
        </w:rPr>
        <w:t xml:space="preserve"> debe ser cargada al Sistema de </w:t>
      </w:r>
      <w:r w:rsidR="00E44C4F" w:rsidRPr="00BD1319">
        <w:rPr>
          <w:rFonts w:cs="Arial"/>
          <w:spacing w:val="-3"/>
        </w:rPr>
        <w:t xml:space="preserve">Información sobre </w:t>
      </w:r>
      <w:r w:rsidRPr="00BD1319">
        <w:rPr>
          <w:rFonts w:cs="Arial"/>
          <w:spacing w:val="-3"/>
        </w:rPr>
        <w:t xml:space="preserve">Biodiversidad </w:t>
      </w:r>
      <w:r w:rsidR="00E44C4F" w:rsidRPr="00BD1319">
        <w:rPr>
          <w:rFonts w:cs="Arial"/>
          <w:spacing w:val="-3"/>
        </w:rPr>
        <w:t xml:space="preserve">de </w:t>
      </w:r>
      <w:r w:rsidRPr="00BD1319">
        <w:rPr>
          <w:rFonts w:cs="Arial"/>
          <w:spacing w:val="-3"/>
        </w:rPr>
        <w:t>Colombia</w:t>
      </w:r>
      <w:r w:rsidR="00E44C4F" w:rsidRPr="00BD1319">
        <w:rPr>
          <w:rFonts w:cs="Arial"/>
          <w:spacing w:val="-3"/>
        </w:rPr>
        <w:t xml:space="preserve"> (</w:t>
      </w:r>
      <w:proofErr w:type="spellStart"/>
      <w:r w:rsidR="00E44C4F" w:rsidRPr="00BD1319">
        <w:rPr>
          <w:rFonts w:cs="Arial"/>
          <w:spacing w:val="-3"/>
        </w:rPr>
        <w:t>SiB</w:t>
      </w:r>
      <w:proofErr w:type="spellEnd"/>
      <w:r w:rsidR="003C6411" w:rsidRPr="00BD1319">
        <w:rPr>
          <w:rFonts w:cs="Arial"/>
          <w:spacing w:val="-3"/>
        </w:rPr>
        <w:t xml:space="preserve"> Colombia</w:t>
      </w:r>
      <w:r w:rsidR="00E44C4F" w:rsidRPr="00BD1319">
        <w:rPr>
          <w:rFonts w:cs="Arial"/>
          <w:spacing w:val="-3"/>
        </w:rPr>
        <w:t>)</w:t>
      </w:r>
      <w:r w:rsidRPr="00BD1319">
        <w:rPr>
          <w:rFonts w:cs="Arial"/>
          <w:spacing w:val="-3"/>
        </w:rPr>
        <w:t>.</w:t>
      </w:r>
    </w:p>
    <w:p w14:paraId="282D63DE" w14:textId="77777777" w:rsidR="00482A5F" w:rsidRPr="00BD1319" w:rsidRDefault="00482A5F" w:rsidP="00C86DA5">
      <w:pPr>
        <w:tabs>
          <w:tab w:val="left" w:pos="-2268"/>
        </w:tabs>
        <w:suppressAutoHyphens/>
        <w:rPr>
          <w:rFonts w:cs="Arial"/>
          <w:spacing w:val="-3"/>
        </w:rPr>
      </w:pPr>
    </w:p>
    <w:p w14:paraId="785E7E5E" w14:textId="48AA9D6F" w:rsidR="007D4003" w:rsidRPr="00BD1319" w:rsidRDefault="007D4003" w:rsidP="007D4003">
      <w:pPr>
        <w:tabs>
          <w:tab w:val="left" w:pos="-2268"/>
        </w:tabs>
        <w:suppressAutoHyphens/>
        <w:rPr>
          <w:rFonts w:cs="Arial"/>
          <w:spacing w:val="-3"/>
        </w:rPr>
      </w:pPr>
      <w:r w:rsidRPr="00BD1319">
        <w:rPr>
          <w:rFonts w:cs="Arial"/>
          <w:spacing w:val="-3"/>
        </w:rPr>
        <w:t xml:space="preserve">Las muestras recolectadas de manera definitiva deben ser depositadas en colecciones biológicas registradas en el Registro único nacional de colecciones biológicas administrado por el </w:t>
      </w:r>
      <w:r w:rsidRPr="00BD1319">
        <w:t>Instituto Humboldt</w:t>
      </w:r>
      <w:r w:rsidRPr="00BD1319">
        <w:rPr>
          <w:rFonts w:cs="Arial"/>
          <w:spacing w:val="-3"/>
        </w:rPr>
        <w:t xml:space="preserve">. En caso de que no sea posible ingresar la muestra a una colección biológica oficial, se debe demostrar </w:t>
      </w:r>
      <w:r w:rsidR="0045086C" w:rsidRPr="00BD1319">
        <w:rPr>
          <w:rFonts w:cs="Arial"/>
          <w:spacing w:val="-3"/>
        </w:rPr>
        <w:t xml:space="preserve">mediante </w:t>
      </w:r>
      <w:r w:rsidRPr="00BD1319">
        <w:rPr>
          <w:rFonts w:cs="Arial"/>
          <w:spacing w:val="-3"/>
        </w:rPr>
        <w:t xml:space="preserve">soportes la no recepción </w:t>
      </w:r>
      <w:r w:rsidR="0045086C" w:rsidRPr="00BD1319">
        <w:rPr>
          <w:rFonts w:cs="Arial"/>
          <w:spacing w:val="-3"/>
        </w:rPr>
        <w:t>en</w:t>
      </w:r>
      <w:r w:rsidRPr="00BD1319">
        <w:rPr>
          <w:rFonts w:cs="Arial"/>
          <w:spacing w:val="-3"/>
        </w:rPr>
        <w:t xml:space="preserve"> por lo menos 3 colecciones para los grupos biológicos de </w:t>
      </w:r>
      <w:r w:rsidR="0045086C" w:rsidRPr="00BD1319">
        <w:rPr>
          <w:rFonts w:cs="Arial"/>
          <w:spacing w:val="-3"/>
        </w:rPr>
        <w:t>f</w:t>
      </w:r>
      <w:r w:rsidRPr="00BD1319">
        <w:rPr>
          <w:rFonts w:cs="Arial"/>
          <w:spacing w:val="-3"/>
        </w:rPr>
        <w:t xml:space="preserve">auna (incluyendo </w:t>
      </w:r>
      <w:proofErr w:type="spellStart"/>
      <w:r w:rsidRPr="00BD1319">
        <w:rPr>
          <w:rFonts w:cs="Arial"/>
          <w:spacing w:val="-3"/>
        </w:rPr>
        <w:t>hidrobiota</w:t>
      </w:r>
      <w:proofErr w:type="spellEnd"/>
      <w:r w:rsidRPr="00BD1319">
        <w:rPr>
          <w:rFonts w:cs="Arial"/>
          <w:spacing w:val="-3"/>
        </w:rPr>
        <w:t>) y 5 soportes en el caso de vegetación (incluye</w:t>
      </w:r>
      <w:r w:rsidR="00396390" w:rsidRPr="00BD1319">
        <w:rPr>
          <w:rFonts w:cs="Arial"/>
          <w:spacing w:val="-3"/>
        </w:rPr>
        <w:t xml:space="preserve"> todos los tipos de vegetación </w:t>
      </w:r>
      <w:r w:rsidR="0045086C" w:rsidRPr="00BD1319">
        <w:rPr>
          <w:rFonts w:cs="Arial"/>
          <w:spacing w:val="-3"/>
        </w:rPr>
        <w:t>vascular y no vascular)</w:t>
      </w:r>
      <w:r w:rsidR="00396390" w:rsidRPr="00BD1319">
        <w:rPr>
          <w:rFonts w:cs="Arial"/>
          <w:spacing w:val="-3"/>
        </w:rPr>
        <w:t xml:space="preserve"> y líquenes</w:t>
      </w:r>
      <w:r w:rsidR="0045086C" w:rsidRPr="00BD1319">
        <w:rPr>
          <w:rFonts w:cs="Arial"/>
          <w:spacing w:val="-3"/>
        </w:rPr>
        <w:t>;</w:t>
      </w:r>
      <w:r w:rsidRPr="00BD1319">
        <w:rPr>
          <w:rFonts w:cs="Arial"/>
          <w:spacing w:val="-3"/>
        </w:rPr>
        <w:t xml:space="preserve"> dichos soportes debe</w:t>
      </w:r>
      <w:r w:rsidR="00482D74" w:rsidRPr="00BD1319">
        <w:rPr>
          <w:rFonts w:cs="Arial"/>
          <w:spacing w:val="-3"/>
        </w:rPr>
        <w:t>n</w:t>
      </w:r>
      <w:r w:rsidRPr="00BD1319">
        <w:rPr>
          <w:rFonts w:cs="Arial"/>
          <w:spacing w:val="-3"/>
        </w:rPr>
        <w:t xml:space="preserve"> </w:t>
      </w:r>
      <w:r w:rsidR="00482D74" w:rsidRPr="00BD1319">
        <w:rPr>
          <w:rFonts w:cs="Arial"/>
          <w:spacing w:val="-3"/>
        </w:rPr>
        <w:t xml:space="preserve">señalar </w:t>
      </w:r>
      <w:r w:rsidRPr="00BD1319">
        <w:rPr>
          <w:rFonts w:cs="Arial"/>
          <w:spacing w:val="-3"/>
        </w:rPr>
        <w:t xml:space="preserve">la razón </w:t>
      </w:r>
      <w:r w:rsidR="00B10DD8" w:rsidRPr="00BD1319">
        <w:rPr>
          <w:rFonts w:cs="Arial"/>
          <w:spacing w:val="-3"/>
        </w:rPr>
        <w:t xml:space="preserve">por la cual </w:t>
      </w:r>
      <w:r w:rsidRPr="00BD1319">
        <w:rPr>
          <w:rFonts w:cs="Arial"/>
          <w:spacing w:val="-3"/>
        </w:rPr>
        <w:t>no rec</w:t>
      </w:r>
      <w:r w:rsidR="00B10DD8" w:rsidRPr="00BD1319">
        <w:rPr>
          <w:rFonts w:cs="Arial"/>
          <w:spacing w:val="-3"/>
        </w:rPr>
        <w:t xml:space="preserve">ibieron las muestras </w:t>
      </w:r>
      <w:r w:rsidRPr="00BD1319">
        <w:rPr>
          <w:rFonts w:cs="Arial"/>
          <w:spacing w:val="-3"/>
        </w:rPr>
        <w:t>y acogerse a lo estipulado por la norma que regula las colecciones biológicas.</w:t>
      </w:r>
    </w:p>
    <w:p w14:paraId="77F39EF5" w14:textId="3027FE5A" w:rsidR="00162A70" w:rsidRPr="00BD1319" w:rsidRDefault="00162A70" w:rsidP="009420F5">
      <w:pPr>
        <w:tabs>
          <w:tab w:val="left" w:pos="-2268"/>
        </w:tabs>
        <w:suppressAutoHyphens/>
        <w:rPr>
          <w:spacing w:val="-3"/>
        </w:rPr>
      </w:pPr>
    </w:p>
    <w:p w14:paraId="07ABB37C" w14:textId="6815CBEE" w:rsidR="00482A5F" w:rsidRPr="00BD1319" w:rsidRDefault="00482A5F" w:rsidP="00216955">
      <w:pPr>
        <w:pStyle w:val="Ttulo3"/>
      </w:pPr>
      <w:bookmarkStart w:id="2861" w:name="_Ref78538891"/>
      <w:bookmarkStart w:id="2862" w:name="_Toc405366836"/>
      <w:bookmarkStart w:id="2863" w:name="_Toc405372383"/>
      <w:bookmarkStart w:id="2864" w:name="_Toc437936026"/>
      <w:bookmarkStart w:id="2865" w:name="_Toc42764351"/>
      <w:bookmarkStart w:id="2866" w:name="_Toc175326769"/>
      <w:r w:rsidRPr="00BD1319">
        <w:t>Ecosistemas</w:t>
      </w:r>
      <w:bookmarkEnd w:id="2861"/>
      <w:bookmarkEnd w:id="2862"/>
      <w:bookmarkEnd w:id="2863"/>
      <w:bookmarkEnd w:id="2864"/>
      <w:bookmarkEnd w:id="2865"/>
      <w:bookmarkEnd w:id="2866"/>
    </w:p>
    <w:p w14:paraId="61115D75" w14:textId="77777777" w:rsidR="00482A5F" w:rsidRPr="00BD1319" w:rsidRDefault="00482A5F">
      <w:pPr>
        <w:numPr>
          <w:ilvl w:val="12"/>
          <w:numId w:val="0"/>
        </w:numPr>
        <w:tabs>
          <w:tab w:val="left" w:pos="-2268"/>
        </w:tabs>
        <w:suppressAutoHyphens/>
        <w:rPr>
          <w:spacing w:val="-3"/>
        </w:rPr>
      </w:pPr>
    </w:p>
    <w:p w14:paraId="45B20C65" w14:textId="60D37205" w:rsidR="0005580B" w:rsidRPr="00BD1319" w:rsidRDefault="00952E54">
      <w:pPr>
        <w:numPr>
          <w:ilvl w:val="12"/>
          <w:numId w:val="0"/>
        </w:numPr>
        <w:tabs>
          <w:tab w:val="left" w:pos="-2268"/>
        </w:tabs>
        <w:suppressAutoHyphens/>
      </w:pPr>
      <w:r w:rsidRPr="00BD1319">
        <w:rPr>
          <w:rFonts w:cs="Arial"/>
        </w:rPr>
        <w:t>E</w:t>
      </w:r>
      <w:r w:rsidR="00162A70" w:rsidRPr="00BD1319">
        <w:rPr>
          <w:rFonts w:cs="Arial"/>
        </w:rPr>
        <w:t xml:space="preserve">l mapa de los ecosistemas </w:t>
      </w:r>
      <w:r w:rsidR="00162A70" w:rsidRPr="00BD1319">
        <w:t xml:space="preserve">naturales y transformados </w:t>
      </w:r>
      <w:r w:rsidR="007B2D65" w:rsidRPr="00BD1319">
        <w:t>d</w:t>
      </w:r>
      <w:r w:rsidR="00162A70" w:rsidRPr="00BD1319">
        <w:t>el área de influencia de los componentes del medio biótico</w:t>
      </w:r>
      <w:r w:rsidR="0077430C" w:rsidRPr="00BD1319">
        <w:t xml:space="preserve"> debe </w:t>
      </w:r>
      <w:r w:rsidRPr="00BD1319">
        <w:t>elaborarse integrando información geográfica sobre biomas, unidades bióticas y coberturas de la tierra.</w:t>
      </w:r>
    </w:p>
    <w:p w14:paraId="041AB210" w14:textId="77777777" w:rsidR="0005580B" w:rsidRPr="00BD1319" w:rsidRDefault="0005580B">
      <w:pPr>
        <w:numPr>
          <w:ilvl w:val="12"/>
          <w:numId w:val="0"/>
        </w:numPr>
        <w:tabs>
          <w:tab w:val="left" w:pos="-2268"/>
        </w:tabs>
        <w:suppressAutoHyphens/>
      </w:pPr>
    </w:p>
    <w:p w14:paraId="6650300C" w14:textId="5972F7C2" w:rsidR="00162A70" w:rsidRPr="00BD1319" w:rsidRDefault="00952E54">
      <w:pPr>
        <w:numPr>
          <w:ilvl w:val="12"/>
          <w:numId w:val="0"/>
        </w:numPr>
        <w:tabs>
          <w:tab w:val="left" w:pos="-2268"/>
        </w:tabs>
        <w:suppressAutoHyphens/>
        <w:rPr>
          <w:spacing w:val="-3"/>
        </w:rPr>
      </w:pPr>
      <w:r w:rsidRPr="00BD1319">
        <w:t xml:space="preserve">La información sobre biomas debe obtenerse </w:t>
      </w:r>
      <w:r w:rsidR="0005580B" w:rsidRPr="00BD1319">
        <w:t>incrementando</w:t>
      </w:r>
      <w:r w:rsidRPr="00BD1319">
        <w:t xml:space="preserve"> el detalle </w:t>
      </w:r>
      <w:r w:rsidRPr="00BD1319">
        <w:rPr>
          <w:rFonts w:cs="Arial"/>
        </w:rPr>
        <w:t xml:space="preserve">de las </w:t>
      </w:r>
      <w:r w:rsidR="00162A70" w:rsidRPr="00BD1319">
        <w:rPr>
          <w:rFonts w:cs="Arial"/>
        </w:rPr>
        <w:t xml:space="preserve">unidades </w:t>
      </w:r>
      <w:r w:rsidRPr="00BD1319">
        <w:rPr>
          <w:rFonts w:cs="Arial"/>
        </w:rPr>
        <w:t xml:space="preserve">establecidas en </w:t>
      </w:r>
      <w:r w:rsidR="00162A70" w:rsidRPr="00BD1319">
        <w:rPr>
          <w:rFonts w:cs="Arial"/>
        </w:rPr>
        <w:t>el</w:t>
      </w:r>
      <w:r w:rsidR="00162A70" w:rsidRPr="00BD1319">
        <w:t xml:space="preserve"> Mapa de ecosistemas continentales, costeros y marinos de Colombia (MEC)</w:t>
      </w:r>
      <w:r w:rsidR="00162A70" w:rsidRPr="00BD1319">
        <w:rPr>
          <w:rFonts w:cs="Arial"/>
        </w:rPr>
        <w:t>,</w:t>
      </w:r>
      <w:r w:rsidR="00162A70" w:rsidRPr="00BD1319">
        <w:t xml:space="preserve"> versión 2.1, escala 1:100.000 (2017) (</w:t>
      </w:r>
      <w:proofErr w:type="spellStart"/>
      <w:r w:rsidR="00A92356" w:rsidRPr="00BD1319">
        <w:t>Ideam</w:t>
      </w:r>
      <w:proofErr w:type="spellEnd"/>
      <w:r w:rsidR="00162A70" w:rsidRPr="00BD1319">
        <w:t xml:space="preserve"> et al., 2017), o </w:t>
      </w:r>
      <w:r w:rsidR="00162A70" w:rsidRPr="00BD1319">
        <w:rPr>
          <w:rFonts w:cs="Arial"/>
        </w:rPr>
        <w:t>sus</w:t>
      </w:r>
      <w:r w:rsidR="00162A70" w:rsidRPr="00BD1319">
        <w:t xml:space="preserve"> versiones posteriores</w:t>
      </w:r>
      <w:r w:rsidR="00162A70" w:rsidRPr="00BD1319">
        <w:rPr>
          <w:rFonts w:cs="Arial"/>
        </w:rPr>
        <w:t xml:space="preserve">, </w:t>
      </w:r>
      <w:r w:rsidR="002C2E7C" w:rsidRPr="00BD1319">
        <w:rPr>
          <w:rFonts w:cs="Arial"/>
        </w:rPr>
        <w:t>a partir</w:t>
      </w:r>
      <w:r w:rsidRPr="00BD1319">
        <w:rPr>
          <w:rFonts w:cs="Arial"/>
        </w:rPr>
        <w:t xml:space="preserve"> de </w:t>
      </w:r>
      <w:r w:rsidR="00B2243F" w:rsidRPr="00BD1319">
        <w:rPr>
          <w:rFonts w:cs="Arial"/>
        </w:rPr>
        <w:t xml:space="preserve">la </w:t>
      </w:r>
      <w:r w:rsidR="00162A70" w:rsidRPr="00BD1319">
        <w:rPr>
          <w:rFonts w:cs="Arial"/>
        </w:rPr>
        <w:t xml:space="preserve">zonificación climática, </w:t>
      </w:r>
      <w:proofErr w:type="spellStart"/>
      <w:r w:rsidR="00162A70" w:rsidRPr="00BD1319">
        <w:rPr>
          <w:rFonts w:cs="Arial"/>
        </w:rPr>
        <w:t>geopedología</w:t>
      </w:r>
      <w:proofErr w:type="spellEnd"/>
      <w:r w:rsidRPr="00BD1319">
        <w:rPr>
          <w:rFonts w:cs="Arial"/>
        </w:rPr>
        <w:t xml:space="preserve"> y</w:t>
      </w:r>
      <w:r w:rsidR="00162A70" w:rsidRPr="00BD1319">
        <w:rPr>
          <w:rFonts w:cs="Arial"/>
        </w:rPr>
        <w:t xml:space="preserve"> gradiente altitudinal</w:t>
      </w:r>
      <w:r w:rsidR="00B2243F" w:rsidRPr="00BD1319">
        <w:rPr>
          <w:rFonts w:cs="Arial"/>
        </w:rPr>
        <w:t>, entre otras variables contenidas en el estudio ambiental</w:t>
      </w:r>
      <w:r w:rsidRPr="00BD1319">
        <w:rPr>
          <w:rFonts w:cs="Arial"/>
        </w:rPr>
        <w:t xml:space="preserve">; la información sobre </w:t>
      </w:r>
      <w:r w:rsidR="00162A70" w:rsidRPr="00BD1319">
        <w:rPr>
          <w:rFonts w:cs="Arial"/>
        </w:rPr>
        <w:t xml:space="preserve">unidades bióticas </w:t>
      </w:r>
      <w:r w:rsidRPr="00BD1319">
        <w:rPr>
          <w:rFonts w:cs="Arial"/>
        </w:rPr>
        <w:t>debe obtenerse directamente d</w:t>
      </w:r>
      <w:r w:rsidR="00162A70" w:rsidRPr="00BD1319">
        <w:rPr>
          <w:rFonts w:cs="Arial"/>
        </w:rPr>
        <w:t>el MEC escala 1:100.000 de 2017</w:t>
      </w:r>
      <w:r w:rsidR="00162A70" w:rsidRPr="00BD1319">
        <w:t xml:space="preserve"> o </w:t>
      </w:r>
      <w:r w:rsidR="00162A70" w:rsidRPr="00BD1319">
        <w:rPr>
          <w:rFonts w:cs="Arial"/>
        </w:rPr>
        <w:t>su</w:t>
      </w:r>
      <w:r w:rsidR="00162A70" w:rsidRPr="00BD1319">
        <w:t xml:space="preserve"> versiones posteriores</w:t>
      </w:r>
      <w:r w:rsidRPr="00BD1319">
        <w:t xml:space="preserve"> y; la información sobre </w:t>
      </w:r>
      <w:r w:rsidRPr="00BD1319">
        <w:rPr>
          <w:rFonts w:cs="Arial"/>
        </w:rPr>
        <w:t>coberturas de la tierra</w:t>
      </w:r>
      <w:r w:rsidR="0005580B" w:rsidRPr="00BD1319">
        <w:rPr>
          <w:rFonts w:cs="Arial"/>
        </w:rPr>
        <w:t>,</w:t>
      </w:r>
      <w:r w:rsidRPr="00BD1319">
        <w:rPr>
          <w:rFonts w:cs="Arial"/>
        </w:rPr>
        <w:t xml:space="preserve"> debe</w:t>
      </w:r>
      <w:r w:rsidR="0005580B" w:rsidRPr="00BD1319">
        <w:rPr>
          <w:rFonts w:cs="Arial"/>
        </w:rPr>
        <w:t xml:space="preserve"> desarrollarse a partir de la </w:t>
      </w:r>
      <w:r w:rsidR="0005580B" w:rsidRPr="00BD1319">
        <w:rPr>
          <w:spacing w:val="-3"/>
        </w:rPr>
        <w:t xml:space="preserve">metodología Corine </w:t>
      </w:r>
      <w:proofErr w:type="spellStart"/>
      <w:r w:rsidR="0005580B" w:rsidRPr="00BD1319">
        <w:rPr>
          <w:spacing w:val="-3"/>
        </w:rPr>
        <w:t>Land</w:t>
      </w:r>
      <w:proofErr w:type="spellEnd"/>
      <w:r w:rsidR="0005580B" w:rsidRPr="00BD1319">
        <w:rPr>
          <w:spacing w:val="-3"/>
        </w:rPr>
        <w:t xml:space="preserve"> </w:t>
      </w:r>
      <w:proofErr w:type="spellStart"/>
      <w:r w:rsidR="0005580B" w:rsidRPr="00BD1319">
        <w:rPr>
          <w:spacing w:val="-3"/>
        </w:rPr>
        <w:t>Cover</w:t>
      </w:r>
      <w:proofErr w:type="spellEnd"/>
      <w:r w:rsidR="0005580B" w:rsidRPr="00BD1319">
        <w:rPr>
          <w:spacing w:val="-3"/>
        </w:rPr>
        <w:t xml:space="preserve"> adaptada para Colombia (</w:t>
      </w:r>
      <w:proofErr w:type="spellStart"/>
      <w:r w:rsidR="0005580B" w:rsidRPr="00BD1319">
        <w:rPr>
          <w:spacing w:val="-3"/>
        </w:rPr>
        <w:t>Ideam</w:t>
      </w:r>
      <w:proofErr w:type="spellEnd"/>
      <w:r w:rsidR="0005580B" w:rsidRPr="00BD1319">
        <w:rPr>
          <w:spacing w:val="-3"/>
        </w:rPr>
        <w:t>, 2010) o sus versiones oficiales posteriores.</w:t>
      </w:r>
    </w:p>
    <w:p w14:paraId="6644DABF" w14:textId="77777777" w:rsidR="00482A5F" w:rsidRPr="00BD1319" w:rsidRDefault="00482A5F">
      <w:pPr>
        <w:numPr>
          <w:ilvl w:val="12"/>
          <w:numId w:val="0"/>
        </w:numPr>
        <w:tabs>
          <w:tab w:val="left" w:pos="-2268"/>
        </w:tabs>
        <w:suppressAutoHyphens/>
        <w:rPr>
          <w:spacing w:val="-3"/>
        </w:rPr>
      </w:pPr>
    </w:p>
    <w:p w14:paraId="584B3E16" w14:textId="0B1A10A5" w:rsidR="00102F0F" w:rsidRPr="00BD1319" w:rsidRDefault="007257F6">
      <w:pPr>
        <w:numPr>
          <w:ilvl w:val="12"/>
          <w:numId w:val="0"/>
        </w:numPr>
        <w:tabs>
          <w:tab w:val="left" w:pos="-2268"/>
        </w:tabs>
        <w:suppressAutoHyphens/>
        <w:rPr>
          <w:spacing w:val="-3"/>
        </w:rPr>
      </w:pPr>
      <w:r w:rsidRPr="00BD1319">
        <w:rPr>
          <w:spacing w:val="-3"/>
        </w:rPr>
        <w:t>L</w:t>
      </w:r>
      <w:r w:rsidR="00B2243F" w:rsidRPr="00BD1319">
        <w:rPr>
          <w:spacing w:val="-3"/>
        </w:rPr>
        <w:t xml:space="preserve">os </w:t>
      </w:r>
      <w:r w:rsidR="008A2956" w:rsidRPr="00BD1319">
        <w:rPr>
          <w:spacing w:val="-3"/>
        </w:rPr>
        <w:t>mapa</w:t>
      </w:r>
      <w:r w:rsidR="004734F0" w:rsidRPr="00BD1319">
        <w:rPr>
          <w:spacing w:val="-3"/>
        </w:rPr>
        <w:t>s</w:t>
      </w:r>
      <w:r w:rsidR="008A2956" w:rsidRPr="00BD1319">
        <w:rPr>
          <w:spacing w:val="-3"/>
        </w:rPr>
        <w:t xml:space="preserve"> de coberturas</w:t>
      </w:r>
      <w:r w:rsidR="00B2243F" w:rsidRPr="00BD1319">
        <w:rPr>
          <w:spacing w:val="-3"/>
        </w:rPr>
        <w:t xml:space="preserve"> deben describirse y elaborarse </w:t>
      </w:r>
      <w:r w:rsidR="008A2956" w:rsidRPr="00BD1319">
        <w:rPr>
          <w:spacing w:val="-3"/>
        </w:rPr>
        <w:t>delimita</w:t>
      </w:r>
      <w:r w:rsidR="00B2243F" w:rsidRPr="00BD1319">
        <w:rPr>
          <w:spacing w:val="-3"/>
        </w:rPr>
        <w:t xml:space="preserve">ndo </w:t>
      </w:r>
      <w:r w:rsidR="008A2956" w:rsidRPr="00BD1319">
        <w:rPr>
          <w:spacing w:val="-3"/>
        </w:rPr>
        <w:t>las unidades de coberturas de la tierra</w:t>
      </w:r>
      <w:r w:rsidR="0070077C" w:rsidRPr="00BD1319">
        <w:rPr>
          <w:spacing w:val="-3"/>
        </w:rPr>
        <w:t xml:space="preserve"> </w:t>
      </w:r>
      <w:r w:rsidR="00B2243F" w:rsidRPr="00BD1319">
        <w:rPr>
          <w:spacing w:val="-3"/>
        </w:rPr>
        <w:t xml:space="preserve">de los niveles 1, 2 y 3 de </w:t>
      </w:r>
      <w:r w:rsidR="0005580B" w:rsidRPr="00BD1319">
        <w:rPr>
          <w:spacing w:val="-3"/>
        </w:rPr>
        <w:t>l</w:t>
      </w:r>
      <w:r w:rsidR="00407676" w:rsidRPr="00BD1319">
        <w:rPr>
          <w:spacing w:val="-3"/>
        </w:rPr>
        <w:t xml:space="preserve">a </w:t>
      </w:r>
      <w:r w:rsidR="00482A5F" w:rsidRPr="00BD1319">
        <w:rPr>
          <w:spacing w:val="-3"/>
        </w:rPr>
        <w:t xml:space="preserve">nomenclatura </w:t>
      </w:r>
      <w:r w:rsidR="00407676" w:rsidRPr="00BD1319">
        <w:rPr>
          <w:spacing w:val="-3"/>
        </w:rPr>
        <w:t xml:space="preserve">Corine </w:t>
      </w:r>
      <w:proofErr w:type="spellStart"/>
      <w:r w:rsidR="00407676" w:rsidRPr="00BD1319">
        <w:rPr>
          <w:spacing w:val="-3"/>
        </w:rPr>
        <w:t>Land</w:t>
      </w:r>
      <w:proofErr w:type="spellEnd"/>
      <w:r w:rsidR="00407676" w:rsidRPr="00BD1319">
        <w:rPr>
          <w:spacing w:val="-3"/>
        </w:rPr>
        <w:t xml:space="preserve"> </w:t>
      </w:r>
      <w:proofErr w:type="spellStart"/>
      <w:r w:rsidR="00407676" w:rsidRPr="00BD1319">
        <w:rPr>
          <w:spacing w:val="-3"/>
        </w:rPr>
        <w:t>Cover</w:t>
      </w:r>
      <w:proofErr w:type="spellEnd"/>
      <w:r w:rsidR="00407676" w:rsidRPr="00BD1319">
        <w:rPr>
          <w:spacing w:val="-3"/>
        </w:rPr>
        <w:t xml:space="preserve"> </w:t>
      </w:r>
      <w:r w:rsidR="00B2243F" w:rsidRPr="00BD1319">
        <w:rPr>
          <w:spacing w:val="-3"/>
        </w:rPr>
        <w:t>y</w:t>
      </w:r>
      <w:r w:rsidR="0005580B" w:rsidRPr="00BD1319">
        <w:rPr>
          <w:spacing w:val="-3"/>
        </w:rPr>
        <w:t xml:space="preserve"> </w:t>
      </w:r>
      <w:r w:rsidR="0005580B" w:rsidRPr="00BD1319">
        <w:rPr>
          <w:spacing w:val="-3"/>
        </w:rPr>
        <w:lastRenderedPageBreak/>
        <w:t>defini</w:t>
      </w:r>
      <w:r w:rsidR="00B2243F" w:rsidRPr="00BD1319">
        <w:rPr>
          <w:spacing w:val="-3"/>
        </w:rPr>
        <w:t xml:space="preserve">endo </w:t>
      </w:r>
      <w:r w:rsidR="0005580B" w:rsidRPr="00BD1319">
        <w:rPr>
          <w:spacing w:val="-3"/>
        </w:rPr>
        <w:t xml:space="preserve">los niveles subsiguientes de acuerdo </w:t>
      </w:r>
      <w:r w:rsidR="0005580B" w:rsidRPr="00BD1319">
        <w:rPr>
          <w:rFonts w:cs="Arial"/>
          <w:spacing w:val="-3"/>
        </w:rPr>
        <w:t>con</w:t>
      </w:r>
      <w:r w:rsidR="0005580B" w:rsidRPr="00BD1319">
        <w:rPr>
          <w:spacing w:val="-3"/>
        </w:rPr>
        <w:t xml:space="preserve"> las características del área de influencia</w:t>
      </w:r>
      <w:r w:rsidR="0005580B" w:rsidRPr="00BD1319">
        <w:rPr>
          <w:rFonts w:cs="Arial"/>
          <w:spacing w:val="-3"/>
        </w:rPr>
        <w:t xml:space="preserve"> de los componentes del medio biótico</w:t>
      </w:r>
      <w:r w:rsidR="00482A5F" w:rsidRPr="00BD1319">
        <w:rPr>
          <w:rFonts w:cs="Arial"/>
          <w:spacing w:val="-3"/>
        </w:rPr>
        <w:t>.</w:t>
      </w:r>
    </w:p>
    <w:p w14:paraId="557B08C8" w14:textId="77777777" w:rsidR="00775DA8" w:rsidRPr="00BD1319" w:rsidRDefault="00775DA8">
      <w:pPr>
        <w:numPr>
          <w:ilvl w:val="12"/>
          <w:numId w:val="0"/>
        </w:numPr>
        <w:tabs>
          <w:tab w:val="left" w:pos="-2268"/>
        </w:tabs>
        <w:suppressAutoHyphens/>
        <w:rPr>
          <w:spacing w:val="-3"/>
        </w:rPr>
      </w:pPr>
    </w:p>
    <w:p w14:paraId="07B193C8" w14:textId="7956E2A8" w:rsidR="00156748" w:rsidRPr="00BD1319" w:rsidRDefault="00407676">
      <w:pPr>
        <w:numPr>
          <w:ilvl w:val="12"/>
          <w:numId w:val="0"/>
        </w:numPr>
        <w:tabs>
          <w:tab w:val="left" w:pos="-2268"/>
        </w:tabs>
        <w:suppressAutoHyphens/>
        <w:rPr>
          <w:rFonts w:cs="Arial"/>
          <w:spacing w:val="-3"/>
        </w:rPr>
      </w:pPr>
      <w:r w:rsidRPr="00BD1319">
        <w:rPr>
          <w:rFonts w:cs="Arial"/>
          <w:spacing w:val="-3"/>
        </w:rPr>
        <w:t xml:space="preserve">Los </w:t>
      </w:r>
      <w:r w:rsidR="00482A5F" w:rsidRPr="00BD1319">
        <w:rPr>
          <w:rFonts w:cs="Arial"/>
          <w:spacing w:val="-3"/>
        </w:rPr>
        <w:t xml:space="preserve">mapas de coberturas </w:t>
      </w:r>
      <w:r w:rsidR="0039612E" w:rsidRPr="00BD1319">
        <w:rPr>
          <w:rFonts w:cs="Arial"/>
          <w:spacing w:val="-3"/>
        </w:rPr>
        <w:t>de</w:t>
      </w:r>
      <w:r w:rsidRPr="00BD1319">
        <w:rPr>
          <w:rFonts w:cs="Arial"/>
          <w:spacing w:val="-3"/>
        </w:rPr>
        <w:t>ben referirse</w:t>
      </w:r>
      <w:r w:rsidR="00482A5F" w:rsidRPr="00BD1319">
        <w:rPr>
          <w:rFonts w:cs="Arial"/>
          <w:spacing w:val="-3"/>
        </w:rPr>
        <w:t xml:space="preserve"> por lo menos</w:t>
      </w:r>
      <w:r w:rsidRPr="00BD1319">
        <w:rPr>
          <w:rFonts w:cs="Arial"/>
          <w:spacing w:val="-3"/>
        </w:rPr>
        <w:t xml:space="preserve"> a</w:t>
      </w:r>
      <w:r w:rsidR="00482A5F" w:rsidRPr="00BD1319">
        <w:rPr>
          <w:rFonts w:cs="Arial"/>
          <w:spacing w:val="-3"/>
        </w:rPr>
        <w:t xml:space="preserve"> dos </w:t>
      </w:r>
      <w:r w:rsidRPr="00BD1319">
        <w:rPr>
          <w:rFonts w:cs="Arial"/>
          <w:spacing w:val="-3"/>
        </w:rPr>
        <w:t xml:space="preserve">instantes </w:t>
      </w:r>
      <w:r w:rsidR="0039612E" w:rsidRPr="00BD1319">
        <w:rPr>
          <w:rFonts w:cs="Arial"/>
          <w:spacing w:val="-3"/>
        </w:rPr>
        <w:t>del tiempo, asegurando que uno de ellos corresponda a</w:t>
      </w:r>
      <w:r w:rsidR="00482A5F" w:rsidRPr="00BD1319">
        <w:rPr>
          <w:rFonts w:cs="Arial"/>
          <w:spacing w:val="-3"/>
        </w:rPr>
        <w:t xml:space="preserve">l momento de elaboración del </w:t>
      </w:r>
      <w:r w:rsidR="0039612E" w:rsidRPr="00BD1319">
        <w:rPr>
          <w:rFonts w:cs="Arial"/>
          <w:spacing w:val="-3"/>
        </w:rPr>
        <w:t xml:space="preserve">estudio ambiental, y el otro, a </w:t>
      </w:r>
      <w:r w:rsidR="00F059CB" w:rsidRPr="00BD1319">
        <w:rPr>
          <w:rFonts w:cs="Arial"/>
          <w:spacing w:val="-3"/>
        </w:rPr>
        <w:t xml:space="preserve">las características </w:t>
      </w:r>
      <w:r w:rsidR="009E2A31" w:rsidRPr="00BD1319">
        <w:rPr>
          <w:rFonts w:cs="Arial"/>
          <w:spacing w:val="-3"/>
        </w:rPr>
        <w:t xml:space="preserve">que tenían </w:t>
      </w:r>
      <w:r w:rsidR="00F059CB" w:rsidRPr="00BD1319">
        <w:rPr>
          <w:rFonts w:cs="Arial"/>
          <w:spacing w:val="-3"/>
        </w:rPr>
        <w:t xml:space="preserve">las coberturas </w:t>
      </w:r>
      <w:r w:rsidR="003F129E" w:rsidRPr="00BD1319">
        <w:rPr>
          <w:rFonts w:cs="Arial"/>
          <w:spacing w:val="-3"/>
        </w:rPr>
        <w:t xml:space="preserve">entre 3 y </w:t>
      </w:r>
      <w:r w:rsidR="00482A5F" w:rsidRPr="00BD1319">
        <w:rPr>
          <w:rFonts w:cs="Arial"/>
          <w:spacing w:val="-3"/>
        </w:rPr>
        <w:t>5 años</w:t>
      </w:r>
      <w:r w:rsidR="0039612E" w:rsidRPr="00BD1319">
        <w:rPr>
          <w:rFonts w:cs="Arial"/>
          <w:spacing w:val="-3"/>
        </w:rPr>
        <w:t xml:space="preserve"> </w:t>
      </w:r>
      <w:r w:rsidR="00F059CB" w:rsidRPr="00BD1319">
        <w:rPr>
          <w:rFonts w:cs="Arial"/>
          <w:spacing w:val="-3"/>
        </w:rPr>
        <w:t>at</w:t>
      </w:r>
      <w:r w:rsidR="009E2A31" w:rsidRPr="00BD1319">
        <w:rPr>
          <w:rFonts w:cs="Arial"/>
          <w:spacing w:val="-3"/>
        </w:rPr>
        <w:t>rá</w:t>
      </w:r>
      <w:r w:rsidR="00F059CB" w:rsidRPr="00BD1319">
        <w:rPr>
          <w:rFonts w:cs="Arial"/>
          <w:spacing w:val="-3"/>
        </w:rPr>
        <w:t xml:space="preserve">s </w:t>
      </w:r>
      <w:r w:rsidR="00102F0F" w:rsidRPr="00BD1319">
        <w:rPr>
          <w:rFonts w:cs="Arial"/>
          <w:spacing w:val="-3"/>
        </w:rPr>
        <w:t xml:space="preserve">(o un periodo </w:t>
      </w:r>
      <w:r w:rsidR="009E2A31" w:rsidRPr="00BD1319">
        <w:rPr>
          <w:rFonts w:cs="Arial"/>
          <w:spacing w:val="-3"/>
        </w:rPr>
        <w:t xml:space="preserve">de tiempo </w:t>
      </w:r>
      <w:r w:rsidR="00102F0F" w:rsidRPr="00BD1319">
        <w:rPr>
          <w:rFonts w:cs="Arial"/>
          <w:spacing w:val="-3"/>
        </w:rPr>
        <w:t xml:space="preserve">mayor), con el fin de conocer la dinámica de cambio de las coberturas de la tierra </w:t>
      </w:r>
      <w:r w:rsidR="00E96877" w:rsidRPr="00BD1319">
        <w:rPr>
          <w:rFonts w:cs="Arial"/>
          <w:spacing w:val="-3"/>
        </w:rPr>
        <w:t xml:space="preserve">mediante el cálculo de </w:t>
      </w:r>
      <w:r w:rsidR="00102F0F" w:rsidRPr="00BD1319">
        <w:rPr>
          <w:rFonts w:cs="Arial"/>
          <w:spacing w:val="-3"/>
        </w:rPr>
        <w:t xml:space="preserve">pérdidas, ganancias y persistencia de </w:t>
      </w:r>
      <w:r w:rsidR="00C925A8" w:rsidRPr="00BD1319">
        <w:rPr>
          <w:rFonts w:cs="Arial"/>
          <w:spacing w:val="-3"/>
        </w:rPr>
        <w:t>éstas</w:t>
      </w:r>
      <w:r w:rsidR="00102F0F" w:rsidRPr="00BD1319">
        <w:rPr>
          <w:rFonts w:cs="Arial"/>
          <w:spacing w:val="-3"/>
        </w:rPr>
        <w:t xml:space="preserve">, </w:t>
      </w:r>
      <w:r w:rsidR="009E2A31" w:rsidRPr="00BD1319">
        <w:rPr>
          <w:rFonts w:cs="Arial"/>
          <w:spacing w:val="-3"/>
        </w:rPr>
        <w:t>así como</w:t>
      </w:r>
      <w:r w:rsidR="00102F0F" w:rsidRPr="00BD1319">
        <w:rPr>
          <w:rFonts w:cs="Arial"/>
          <w:spacing w:val="-3"/>
        </w:rPr>
        <w:t xml:space="preserve"> </w:t>
      </w:r>
      <w:r w:rsidR="00912647" w:rsidRPr="00BD1319">
        <w:rPr>
          <w:rFonts w:cs="Arial"/>
          <w:spacing w:val="-3"/>
        </w:rPr>
        <w:t xml:space="preserve">de establecer </w:t>
      </w:r>
      <w:r w:rsidR="00102F0F" w:rsidRPr="00BD1319">
        <w:rPr>
          <w:rFonts w:cs="Arial"/>
          <w:spacing w:val="-3"/>
        </w:rPr>
        <w:t>las presiones que gener</w:t>
      </w:r>
      <w:r w:rsidR="00EF52A8" w:rsidRPr="00BD1319">
        <w:rPr>
          <w:rFonts w:cs="Arial"/>
          <w:spacing w:val="-3"/>
        </w:rPr>
        <w:t>aro</w:t>
      </w:r>
      <w:r w:rsidR="00102F0F" w:rsidRPr="00BD1319">
        <w:rPr>
          <w:rFonts w:cs="Arial"/>
          <w:spacing w:val="-3"/>
        </w:rPr>
        <w:t>n</w:t>
      </w:r>
      <w:r w:rsidR="009E2A31" w:rsidRPr="00BD1319">
        <w:rPr>
          <w:rFonts w:cs="Arial"/>
          <w:spacing w:val="-3"/>
        </w:rPr>
        <w:t xml:space="preserve"> tales cambios</w:t>
      </w:r>
      <w:r w:rsidR="00102F0F" w:rsidRPr="00BD1319">
        <w:rPr>
          <w:rFonts w:cs="Arial"/>
          <w:spacing w:val="-3"/>
        </w:rPr>
        <w:t>.</w:t>
      </w:r>
      <w:r w:rsidR="00EF52A8" w:rsidRPr="00BD1319">
        <w:rPr>
          <w:rFonts w:cs="Arial"/>
          <w:spacing w:val="-3"/>
        </w:rPr>
        <w:t xml:space="preserve"> Para cada mapa, se debe e</w:t>
      </w:r>
      <w:r w:rsidR="00156748" w:rsidRPr="00BD1319">
        <w:rPr>
          <w:rFonts w:cs="Arial"/>
          <w:spacing w:val="-3"/>
        </w:rPr>
        <w:t xml:space="preserve">stablecer la superficie (expresada en hectáreas) </w:t>
      </w:r>
      <w:r w:rsidR="00EF52A8" w:rsidRPr="00BD1319">
        <w:rPr>
          <w:rFonts w:cs="Arial"/>
          <w:spacing w:val="-3"/>
        </w:rPr>
        <w:t xml:space="preserve">y proporción (expresada en porcentaje) </w:t>
      </w:r>
      <w:r w:rsidR="00156748" w:rsidRPr="00BD1319">
        <w:rPr>
          <w:rFonts w:cs="Arial"/>
          <w:spacing w:val="-3"/>
        </w:rPr>
        <w:t xml:space="preserve">de </w:t>
      </w:r>
      <w:r w:rsidR="00EF52A8" w:rsidRPr="00BD1319">
        <w:rPr>
          <w:rFonts w:cs="Arial"/>
          <w:spacing w:val="-3"/>
        </w:rPr>
        <w:t>cada unidad</w:t>
      </w:r>
      <w:r w:rsidR="00156748" w:rsidRPr="00BD1319">
        <w:rPr>
          <w:rFonts w:cs="Arial"/>
          <w:spacing w:val="-3"/>
        </w:rPr>
        <w:t xml:space="preserve"> de cobertura </w:t>
      </w:r>
      <w:r w:rsidR="00494958" w:rsidRPr="00BD1319">
        <w:rPr>
          <w:rFonts w:cs="Arial"/>
          <w:spacing w:val="-3"/>
        </w:rPr>
        <w:t>de la tierra</w:t>
      </w:r>
      <w:r w:rsidR="00156748" w:rsidRPr="00BD1319">
        <w:rPr>
          <w:rFonts w:cs="Arial"/>
          <w:spacing w:val="-3"/>
        </w:rPr>
        <w:t xml:space="preserve"> </w:t>
      </w:r>
      <w:r w:rsidR="00EF52A8" w:rsidRPr="00BD1319">
        <w:rPr>
          <w:rFonts w:cs="Arial"/>
          <w:spacing w:val="-3"/>
        </w:rPr>
        <w:t>con respecto a</w:t>
      </w:r>
      <w:r w:rsidR="00156748" w:rsidRPr="00BD1319">
        <w:rPr>
          <w:rFonts w:cs="Arial"/>
          <w:spacing w:val="-3"/>
        </w:rPr>
        <w:t xml:space="preserve">l área de influencia del </w:t>
      </w:r>
      <w:r w:rsidR="003F129E" w:rsidRPr="00BD1319">
        <w:rPr>
          <w:rFonts w:cs="Arial"/>
          <w:spacing w:val="-3"/>
        </w:rPr>
        <w:t>componente</w:t>
      </w:r>
      <w:r w:rsidR="00156748" w:rsidRPr="00BD1319">
        <w:rPr>
          <w:rFonts w:cs="Arial"/>
          <w:spacing w:val="-3"/>
        </w:rPr>
        <w:t>.</w:t>
      </w:r>
    </w:p>
    <w:p w14:paraId="3D268439" w14:textId="77777777" w:rsidR="00407676" w:rsidRPr="00BD1319" w:rsidRDefault="00407676">
      <w:pPr>
        <w:numPr>
          <w:ilvl w:val="12"/>
          <w:numId w:val="0"/>
        </w:numPr>
        <w:tabs>
          <w:tab w:val="left" w:pos="-2268"/>
        </w:tabs>
        <w:suppressAutoHyphens/>
        <w:rPr>
          <w:rFonts w:cs="Arial"/>
          <w:spacing w:val="-3"/>
        </w:rPr>
      </w:pPr>
    </w:p>
    <w:p w14:paraId="6FCCA883" w14:textId="45698EB7" w:rsidR="00407676" w:rsidRPr="00BD1319" w:rsidRDefault="00407676">
      <w:pPr>
        <w:numPr>
          <w:ilvl w:val="12"/>
          <w:numId w:val="0"/>
        </w:numPr>
        <w:tabs>
          <w:tab w:val="left" w:pos="-2268"/>
        </w:tabs>
        <w:suppressAutoHyphens/>
        <w:rPr>
          <w:rFonts w:cs="Arial"/>
          <w:spacing w:val="-3"/>
        </w:rPr>
      </w:pPr>
      <w:r w:rsidRPr="00BD1319">
        <w:rPr>
          <w:spacing w:val="-3"/>
        </w:rPr>
        <w:t xml:space="preserve">Los mapas de ecosistemas y de cobertura de la tierra se deben elaborar y presentar con las escalas de trabajo que establezcan los términos de referencia, o con unas más detalladas de acuerdo </w:t>
      </w:r>
      <w:r w:rsidRPr="00BD1319">
        <w:rPr>
          <w:rFonts w:cs="Arial"/>
          <w:spacing w:val="-3"/>
        </w:rPr>
        <w:t>con</w:t>
      </w:r>
      <w:r w:rsidRPr="00BD1319">
        <w:rPr>
          <w:spacing w:val="-3"/>
        </w:rPr>
        <w:t xml:space="preserve"> las particularidades de</w:t>
      </w:r>
      <w:r w:rsidR="00396390" w:rsidRPr="00BD1319">
        <w:rPr>
          <w:spacing w:val="-3"/>
        </w:rPr>
        <w:t xml:space="preserve">l proyecto, obra o actividad y </w:t>
      </w:r>
      <w:r w:rsidR="0011135F" w:rsidRPr="00BD1319">
        <w:rPr>
          <w:spacing w:val="-3"/>
        </w:rPr>
        <w:t>d</w:t>
      </w:r>
      <w:r w:rsidR="00396390" w:rsidRPr="00BD1319">
        <w:rPr>
          <w:spacing w:val="-3"/>
        </w:rPr>
        <w:t xml:space="preserve">el </w:t>
      </w:r>
      <w:r w:rsidR="007B2D65" w:rsidRPr="00BD1319">
        <w:rPr>
          <w:spacing w:val="-3"/>
        </w:rPr>
        <w:t>área de influencia</w:t>
      </w:r>
      <w:r w:rsidRPr="00BD1319">
        <w:rPr>
          <w:spacing w:val="-3"/>
        </w:rPr>
        <w:t>.</w:t>
      </w:r>
    </w:p>
    <w:p w14:paraId="6F5B4B50" w14:textId="77777777" w:rsidR="002833FB" w:rsidRPr="00BD1319" w:rsidRDefault="002833FB">
      <w:pPr>
        <w:numPr>
          <w:ilvl w:val="12"/>
          <w:numId w:val="0"/>
        </w:numPr>
        <w:tabs>
          <w:tab w:val="left" w:pos="-2268"/>
        </w:tabs>
        <w:suppressAutoHyphens/>
        <w:rPr>
          <w:spacing w:val="-3"/>
        </w:rPr>
      </w:pPr>
    </w:p>
    <w:p w14:paraId="1C653A8C" w14:textId="7FD06639" w:rsidR="002833FB" w:rsidRPr="00BD1319" w:rsidRDefault="002833FB" w:rsidP="00216955">
      <w:pPr>
        <w:pStyle w:val="Ttulo3"/>
      </w:pPr>
      <w:bookmarkStart w:id="2867" w:name="_Toc175326770"/>
      <w:r w:rsidRPr="00BD1319">
        <w:t>Ecosistemas terrestres</w:t>
      </w:r>
      <w:bookmarkEnd w:id="2867"/>
    </w:p>
    <w:p w14:paraId="6B147F99" w14:textId="77777777" w:rsidR="00482A5F" w:rsidRPr="00BD1319" w:rsidRDefault="00482A5F">
      <w:pPr>
        <w:numPr>
          <w:ilvl w:val="12"/>
          <w:numId w:val="0"/>
        </w:numPr>
        <w:tabs>
          <w:tab w:val="left" w:pos="-2268"/>
        </w:tabs>
        <w:suppressAutoHyphens/>
        <w:rPr>
          <w:spacing w:val="-3"/>
        </w:rPr>
      </w:pPr>
    </w:p>
    <w:p w14:paraId="1CF05E63" w14:textId="4AD8DC64" w:rsidR="008D5CC9" w:rsidRPr="00BD1319" w:rsidRDefault="00806EFA" w:rsidP="009420F5">
      <w:pPr>
        <w:pStyle w:val="Ttulo4"/>
        <w:tabs>
          <w:tab w:val="clear" w:pos="1844"/>
          <w:tab w:val="num" w:pos="1134"/>
        </w:tabs>
        <w:ind w:left="0"/>
        <w:rPr>
          <w:lang w:val="es-CO"/>
        </w:rPr>
      </w:pPr>
      <w:r w:rsidRPr="00BD1319">
        <w:rPr>
          <w:lang w:val="es-CO"/>
        </w:rPr>
        <w:t>F</w:t>
      </w:r>
      <w:r w:rsidR="008D5CC9" w:rsidRPr="00BD1319">
        <w:rPr>
          <w:lang w:val="es-CO"/>
        </w:rPr>
        <w:t>lora</w:t>
      </w:r>
      <w:r w:rsidRPr="00BD1319">
        <w:rPr>
          <w:lang w:val="es-CO"/>
        </w:rPr>
        <w:t xml:space="preserve"> y líquenes</w:t>
      </w:r>
    </w:p>
    <w:p w14:paraId="4C61AB9E" w14:textId="77777777" w:rsidR="008D5CC9" w:rsidRPr="00BD1319" w:rsidRDefault="008D5CC9" w:rsidP="008D5CC9">
      <w:pPr>
        <w:numPr>
          <w:ilvl w:val="12"/>
          <w:numId w:val="0"/>
        </w:numPr>
        <w:tabs>
          <w:tab w:val="left" w:pos="-2268"/>
        </w:tabs>
        <w:suppressAutoHyphens/>
        <w:rPr>
          <w:rFonts w:cs="Arial"/>
          <w:spacing w:val="-3"/>
        </w:rPr>
      </w:pPr>
    </w:p>
    <w:p w14:paraId="6314F677" w14:textId="6CF87726" w:rsidR="008D5CC9" w:rsidRPr="00BD1319" w:rsidRDefault="008D5CC9" w:rsidP="008D5CC9">
      <w:pPr>
        <w:numPr>
          <w:ilvl w:val="12"/>
          <w:numId w:val="0"/>
        </w:numPr>
        <w:tabs>
          <w:tab w:val="left" w:pos="-2268"/>
        </w:tabs>
        <w:suppressAutoHyphens/>
        <w:rPr>
          <w:rFonts w:cs="Arial"/>
          <w:spacing w:val="-3"/>
        </w:rPr>
      </w:pPr>
      <w:r w:rsidRPr="00BD1319">
        <w:rPr>
          <w:spacing w:val="-3"/>
        </w:rPr>
        <w:t xml:space="preserve">Para </w:t>
      </w:r>
      <w:r w:rsidR="00616164" w:rsidRPr="00BD1319">
        <w:rPr>
          <w:spacing w:val="-3"/>
        </w:rPr>
        <w:t>su</w:t>
      </w:r>
      <w:r w:rsidRPr="00BD1319">
        <w:rPr>
          <w:spacing w:val="-3"/>
        </w:rPr>
        <w:t xml:space="preserve"> caracterización, es necesario partir de la revisión de información existente sobre </w:t>
      </w:r>
      <w:r w:rsidR="00E96877" w:rsidRPr="00BD1319">
        <w:rPr>
          <w:spacing w:val="-3"/>
        </w:rPr>
        <w:t xml:space="preserve">cada uno de los grupos de </w:t>
      </w:r>
      <w:r w:rsidRPr="00BD1319">
        <w:rPr>
          <w:spacing w:val="-3"/>
        </w:rPr>
        <w:t xml:space="preserve">flora </w:t>
      </w:r>
      <w:r w:rsidR="00626E4C" w:rsidRPr="00BD1319">
        <w:rPr>
          <w:spacing w:val="-3"/>
        </w:rPr>
        <w:t>(arbóreo, arbustivo, herbáceo, palmas, helechos arborescentes y otras</w:t>
      </w:r>
      <w:r w:rsidR="00626E4C" w:rsidRPr="00BD1319">
        <w:rPr>
          <w:rFonts w:cs="Arial"/>
          <w:spacing w:val="-3"/>
        </w:rPr>
        <w:t xml:space="preserve"> </w:t>
      </w:r>
      <w:r w:rsidR="00E96877" w:rsidRPr="00BD1319">
        <w:rPr>
          <w:rFonts w:cs="Arial"/>
          <w:spacing w:val="-3"/>
        </w:rPr>
        <w:t>especies vasculares y no vasculares</w:t>
      </w:r>
      <w:r w:rsidR="00626E4C" w:rsidRPr="00BD1319">
        <w:rPr>
          <w:rFonts w:cs="Arial"/>
          <w:spacing w:val="-3"/>
        </w:rPr>
        <w:t>)</w:t>
      </w:r>
      <w:r w:rsidR="00E96877" w:rsidRPr="00BD1319">
        <w:rPr>
          <w:rFonts w:cs="Arial"/>
          <w:spacing w:val="-3"/>
        </w:rPr>
        <w:t xml:space="preserve"> </w:t>
      </w:r>
      <w:r w:rsidR="00626E4C" w:rsidRPr="00BD1319">
        <w:rPr>
          <w:rFonts w:cs="Arial"/>
          <w:spacing w:val="-3"/>
        </w:rPr>
        <w:t xml:space="preserve">y líquenes con hábitos de crecimiento </w:t>
      </w:r>
      <w:r w:rsidR="00E96877" w:rsidRPr="00BD1319">
        <w:rPr>
          <w:rFonts w:cs="Arial"/>
          <w:spacing w:val="-3"/>
        </w:rPr>
        <w:t>terrestre</w:t>
      </w:r>
      <w:r w:rsidR="00626E4C" w:rsidRPr="00BD1319">
        <w:rPr>
          <w:rFonts w:cs="Arial"/>
          <w:spacing w:val="-3"/>
        </w:rPr>
        <w:t xml:space="preserve"> (p. ej. suelo, troncos en descomposición</w:t>
      </w:r>
      <w:r w:rsidR="00E12947" w:rsidRPr="00BD1319">
        <w:rPr>
          <w:rFonts w:cs="Arial"/>
          <w:spacing w:val="-3"/>
        </w:rPr>
        <w:t>, hojarasca</w:t>
      </w:r>
      <w:r w:rsidR="00626E4C" w:rsidRPr="00BD1319">
        <w:rPr>
          <w:rFonts w:cs="Arial"/>
          <w:spacing w:val="-3"/>
        </w:rPr>
        <w:t>)</w:t>
      </w:r>
      <w:r w:rsidR="00E96877" w:rsidRPr="00BD1319">
        <w:rPr>
          <w:rFonts w:cs="Arial"/>
          <w:spacing w:val="-3"/>
        </w:rPr>
        <w:t xml:space="preserve">, rupícola </w:t>
      </w:r>
      <w:r w:rsidR="00626E4C" w:rsidRPr="00BD1319">
        <w:rPr>
          <w:rFonts w:cs="Arial"/>
          <w:spacing w:val="-3"/>
        </w:rPr>
        <w:t xml:space="preserve">(roca) </w:t>
      </w:r>
      <w:r w:rsidR="00E96877" w:rsidRPr="00BD1319">
        <w:rPr>
          <w:rFonts w:cs="Arial"/>
          <w:spacing w:val="-3"/>
        </w:rPr>
        <w:t>y epífito</w:t>
      </w:r>
      <w:r w:rsidR="00626E4C" w:rsidRPr="00BD1319">
        <w:rPr>
          <w:rFonts w:cs="Arial"/>
          <w:spacing w:val="-3"/>
        </w:rPr>
        <w:t xml:space="preserve"> (sobre plantas)</w:t>
      </w:r>
      <w:r w:rsidRPr="00BD1319">
        <w:rPr>
          <w:rFonts w:cs="Arial"/>
          <w:spacing w:val="-3"/>
        </w:rPr>
        <w:t xml:space="preserve"> que se encuentr</w:t>
      </w:r>
      <w:r w:rsidR="00616164" w:rsidRPr="00BD1319">
        <w:rPr>
          <w:rFonts w:cs="Arial"/>
          <w:spacing w:val="-3"/>
        </w:rPr>
        <w:t>en</w:t>
      </w:r>
      <w:r w:rsidRPr="00BD1319">
        <w:rPr>
          <w:rFonts w:cs="Arial"/>
          <w:spacing w:val="-3"/>
        </w:rPr>
        <w:t xml:space="preserve"> reportad</w:t>
      </w:r>
      <w:r w:rsidR="00616164" w:rsidRPr="00BD1319">
        <w:rPr>
          <w:rFonts w:cs="Arial"/>
          <w:spacing w:val="-3"/>
        </w:rPr>
        <w:t>os</w:t>
      </w:r>
      <w:r w:rsidRPr="00BD1319">
        <w:rPr>
          <w:rFonts w:cs="Arial"/>
          <w:spacing w:val="-3"/>
        </w:rPr>
        <w:t xml:space="preserve"> para</w:t>
      </w:r>
      <w:r w:rsidRPr="00BD1319">
        <w:rPr>
          <w:spacing w:val="-3"/>
        </w:rPr>
        <w:t xml:space="preserve"> </w:t>
      </w:r>
      <w:r w:rsidR="008C1DB0" w:rsidRPr="00BD1319">
        <w:rPr>
          <w:spacing w:val="-3"/>
        </w:rPr>
        <w:t xml:space="preserve">el </w:t>
      </w:r>
      <w:r w:rsidRPr="00BD1319">
        <w:rPr>
          <w:spacing w:val="-3"/>
        </w:rPr>
        <w:t>área de influencia.</w:t>
      </w:r>
      <w:r w:rsidR="00DB087B" w:rsidRPr="00BD1319">
        <w:rPr>
          <w:spacing w:val="-3"/>
        </w:rPr>
        <w:t xml:space="preserve"> </w:t>
      </w:r>
      <w:r w:rsidRPr="00BD1319">
        <w:rPr>
          <w:spacing w:val="-3"/>
        </w:rPr>
        <w:t xml:space="preserve">Es posible usar </w:t>
      </w:r>
      <w:r w:rsidRPr="00BD1319">
        <w:rPr>
          <w:rFonts w:cs="Arial"/>
          <w:spacing w:val="-3"/>
        </w:rPr>
        <w:t>como referencia los siguientes sistemas de información</w:t>
      </w:r>
      <w:r w:rsidR="00394D50" w:rsidRPr="00BD1319">
        <w:rPr>
          <w:rFonts w:cs="Arial"/>
          <w:spacing w:val="-3"/>
        </w:rPr>
        <w:t xml:space="preserve">, bases de datos </w:t>
      </w:r>
      <w:r w:rsidRPr="00BD1319">
        <w:rPr>
          <w:rFonts w:cs="Arial"/>
          <w:spacing w:val="-3"/>
        </w:rPr>
        <w:t>y documentos:</w:t>
      </w:r>
    </w:p>
    <w:p w14:paraId="36401922" w14:textId="77777777" w:rsidR="008D5CC9" w:rsidRPr="00BD1319" w:rsidRDefault="008D5CC9" w:rsidP="008D5CC9">
      <w:pPr>
        <w:numPr>
          <w:ilvl w:val="12"/>
          <w:numId w:val="0"/>
        </w:numPr>
        <w:tabs>
          <w:tab w:val="left" w:pos="-2268"/>
        </w:tabs>
        <w:suppressAutoHyphens/>
        <w:rPr>
          <w:rFonts w:cs="Arial"/>
          <w:spacing w:val="-3"/>
        </w:rPr>
      </w:pPr>
    </w:p>
    <w:p w14:paraId="54110863" w14:textId="1D8E4734" w:rsidR="008D5CC9" w:rsidRPr="00BD1319" w:rsidRDefault="008D5CC9" w:rsidP="009420F5">
      <w:pPr>
        <w:pStyle w:val="Prrafodelista"/>
        <w:numPr>
          <w:ilvl w:val="0"/>
          <w:numId w:val="83"/>
        </w:numPr>
        <w:tabs>
          <w:tab w:val="left" w:pos="-2268"/>
        </w:tabs>
        <w:suppressAutoHyphens/>
        <w:ind w:left="567" w:hanging="567"/>
        <w:rPr>
          <w:rFonts w:cs="Arial"/>
          <w:spacing w:val="-3"/>
          <w:lang w:val="es-CO"/>
        </w:rPr>
      </w:pPr>
      <w:r w:rsidRPr="00BD1319">
        <w:rPr>
          <w:rFonts w:cs="Arial"/>
          <w:spacing w:val="-3"/>
          <w:lang w:val="es-CO"/>
        </w:rPr>
        <w:t>Catálogo de plantas y líquenes de Colombia</w:t>
      </w:r>
      <w:r w:rsidR="00DB087B" w:rsidRPr="00BD1319">
        <w:rPr>
          <w:rFonts w:cs="Arial"/>
          <w:spacing w:val="-3"/>
          <w:lang w:val="es-CO"/>
        </w:rPr>
        <w:t>. Disponible en</w:t>
      </w:r>
      <w:r w:rsidRPr="00BD1319">
        <w:rPr>
          <w:rFonts w:cs="Arial"/>
          <w:spacing w:val="-3"/>
          <w:lang w:val="es-CO"/>
        </w:rPr>
        <w:t xml:space="preserve">: </w:t>
      </w:r>
      <w:r w:rsidR="00E05070" w:rsidRPr="00BD1319">
        <w:rPr>
          <w:lang w:val="es-CO"/>
        </w:rPr>
        <w:t>http://catalogoplantasdecolombia.unal.edu.co/es</w:t>
      </w:r>
    </w:p>
    <w:p w14:paraId="2C7BB268" w14:textId="77777777" w:rsidR="008D5CC9" w:rsidRPr="00BD1319" w:rsidRDefault="008D5CC9" w:rsidP="008A4FE9">
      <w:pPr>
        <w:tabs>
          <w:tab w:val="left" w:pos="-2268"/>
        </w:tabs>
        <w:suppressAutoHyphens/>
        <w:rPr>
          <w:rFonts w:cs="Arial"/>
          <w:spacing w:val="-3"/>
        </w:rPr>
      </w:pPr>
    </w:p>
    <w:p w14:paraId="2077FD99" w14:textId="1B3174CB" w:rsidR="008D5CC9" w:rsidRPr="00BD1319" w:rsidRDefault="008D5CC9" w:rsidP="009420F5">
      <w:pPr>
        <w:pStyle w:val="Prrafodelista"/>
        <w:numPr>
          <w:ilvl w:val="0"/>
          <w:numId w:val="83"/>
        </w:numPr>
        <w:tabs>
          <w:tab w:val="left" w:pos="-2268"/>
        </w:tabs>
        <w:suppressAutoHyphens/>
        <w:ind w:left="567" w:hanging="567"/>
        <w:rPr>
          <w:rFonts w:cs="Arial"/>
          <w:spacing w:val="-3"/>
          <w:lang w:val="es-CO"/>
        </w:rPr>
      </w:pPr>
      <w:r w:rsidRPr="00BD1319">
        <w:rPr>
          <w:rFonts w:cs="Arial"/>
          <w:spacing w:val="-3"/>
          <w:lang w:val="es-CO"/>
        </w:rPr>
        <w:t xml:space="preserve">Sistema de información sobre </w:t>
      </w:r>
      <w:r w:rsidR="00E96877" w:rsidRPr="00BD1319">
        <w:rPr>
          <w:rFonts w:cs="Arial"/>
          <w:spacing w:val="-3"/>
          <w:lang w:val="es-CO"/>
        </w:rPr>
        <w:t>b</w:t>
      </w:r>
      <w:r w:rsidRPr="00BD1319">
        <w:rPr>
          <w:rFonts w:cs="Arial"/>
          <w:spacing w:val="-3"/>
          <w:lang w:val="es-CO"/>
        </w:rPr>
        <w:t>iodiversidad de Colombia</w:t>
      </w:r>
      <w:r w:rsidR="00DB087B" w:rsidRPr="00BD1319">
        <w:rPr>
          <w:rFonts w:cs="Arial"/>
          <w:spacing w:val="-3"/>
          <w:lang w:val="es-CO"/>
        </w:rPr>
        <w:t>. Disponible en</w:t>
      </w:r>
      <w:r w:rsidRPr="00BD1319">
        <w:rPr>
          <w:rFonts w:cs="Arial"/>
          <w:spacing w:val="-3"/>
          <w:lang w:val="es-CO"/>
        </w:rPr>
        <w:t xml:space="preserve">: </w:t>
      </w:r>
      <w:hyperlink r:id="rId58" w:history="1">
        <w:r w:rsidR="008C1DB0" w:rsidRPr="00BD1319">
          <w:t>https://sibcolombia.net/</w:t>
        </w:r>
      </w:hyperlink>
    </w:p>
    <w:p w14:paraId="43B08C1D" w14:textId="77777777" w:rsidR="008C1DB0" w:rsidRPr="00BD1319" w:rsidRDefault="008C1DB0" w:rsidP="000D6E21">
      <w:pPr>
        <w:rPr>
          <w:rFonts w:cs="Arial"/>
          <w:spacing w:val="-3"/>
        </w:rPr>
      </w:pPr>
    </w:p>
    <w:p w14:paraId="562584E0" w14:textId="4F3344FC" w:rsidR="008C1DB0" w:rsidRPr="00BD1319" w:rsidRDefault="008C1DB0" w:rsidP="008C1DB0">
      <w:pPr>
        <w:pStyle w:val="Prrafodelista"/>
        <w:numPr>
          <w:ilvl w:val="0"/>
          <w:numId w:val="83"/>
        </w:numPr>
        <w:tabs>
          <w:tab w:val="left" w:pos="-2268"/>
        </w:tabs>
        <w:suppressAutoHyphens/>
        <w:ind w:left="567" w:hanging="567"/>
        <w:rPr>
          <w:rFonts w:cs="Arial"/>
          <w:spacing w:val="-3"/>
          <w:lang w:val="es-CO"/>
        </w:rPr>
      </w:pPr>
      <w:r w:rsidRPr="00BD1319">
        <w:rPr>
          <w:rFonts w:cs="Arial"/>
          <w:spacing w:val="-3"/>
          <w:lang w:val="es-CO"/>
        </w:rPr>
        <w:t xml:space="preserve">Amenazas a la conservación de las especies de musgos y líquenes en Colombia. AGUIRRE-C, J. </w:t>
      </w:r>
      <w:proofErr w:type="spellStart"/>
      <w:r w:rsidRPr="00BD1319">
        <w:rPr>
          <w:rFonts w:cs="Arial"/>
          <w:spacing w:val="-3"/>
          <w:lang w:val="es-CO"/>
        </w:rPr>
        <w:t>Caldasia</w:t>
      </w:r>
      <w:proofErr w:type="spellEnd"/>
      <w:r w:rsidRPr="00BD1319">
        <w:rPr>
          <w:rFonts w:cs="Arial"/>
          <w:spacing w:val="-3"/>
          <w:lang w:val="es-CO"/>
        </w:rPr>
        <w:t xml:space="preserve"> 29 (2), 2007.</w:t>
      </w:r>
    </w:p>
    <w:p w14:paraId="0D19C7E0" w14:textId="77777777" w:rsidR="008D5CC9" w:rsidRPr="00BD1319" w:rsidRDefault="008D5CC9" w:rsidP="008D5CC9">
      <w:pPr>
        <w:numPr>
          <w:ilvl w:val="12"/>
          <w:numId w:val="0"/>
        </w:numPr>
        <w:tabs>
          <w:tab w:val="left" w:pos="-2268"/>
        </w:tabs>
        <w:suppressAutoHyphens/>
        <w:rPr>
          <w:rFonts w:cs="Arial"/>
          <w:spacing w:val="-3"/>
        </w:rPr>
      </w:pPr>
    </w:p>
    <w:p w14:paraId="31158E81" w14:textId="08271DFC" w:rsidR="008D5CC9" w:rsidRPr="00BD1319" w:rsidRDefault="008D5CC9" w:rsidP="005E288B">
      <w:pPr>
        <w:pStyle w:val="Prrafodelista"/>
        <w:numPr>
          <w:ilvl w:val="0"/>
          <w:numId w:val="83"/>
        </w:numPr>
        <w:tabs>
          <w:tab w:val="left" w:pos="-2268"/>
        </w:tabs>
        <w:suppressAutoHyphens/>
        <w:ind w:left="567" w:hanging="567"/>
        <w:rPr>
          <w:rFonts w:cs="Arial"/>
          <w:spacing w:val="-3"/>
          <w:lang w:val="es-CO"/>
        </w:rPr>
      </w:pPr>
      <w:r w:rsidRPr="00BD1319">
        <w:rPr>
          <w:rFonts w:cs="Arial"/>
          <w:spacing w:val="-3"/>
          <w:lang w:val="es-CO"/>
        </w:rPr>
        <w:t xml:space="preserve">Herbario </w:t>
      </w:r>
      <w:r w:rsidR="00E96877" w:rsidRPr="00BD1319">
        <w:rPr>
          <w:rFonts w:cs="Arial"/>
          <w:spacing w:val="-3"/>
          <w:lang w:val="es-CO"/>
        </w:rPr>
        <w:t>a</w:t>
      </w:r>
      <w:r w:rsidRPr="00BD1319">
        <w:rPr>
          <w:rFonts w:cs="Arial"/>
          <w:spacing w:val="-3"/>
          <w:lang w:val="es-CO"/>
        </w:rPr>
        <w:t xml:space="preserve">mazónico </w:t>
      </w:r>
      <w:r w:rsidR="00E96877" w:rsidRPr="00BD1319">
        <w:rPr>
          <w:rFonts w:cs="Arial"/>
          <w:spacing w:val="-3"/>
          <w:lang w:val="es-CO"/>
        </w:rPr>
        <w:t>c</w:t>
      </w:r>
      <w:r w:rsidRPr="00BD1319">
        <w:rPr>
          <w:rFonts w:cs="Arial"/>
          <w:spacing w:val="-3"/>
          <w:lang w:val="es-CO"/>
        </w:rPr>
        <w:t>olombiano</w:t>
      </w:r>
      <w:r w:rsidR="00DB087B" w:rsidRPr="00BD1319">
        <w:rPr>
          <w:rFonts w:cs="Arial"/>
          <w:spacing w:val="-3"/>
          <w:lang w:val="es-CO"/>
        </w:rPr>
        <w:t>. Disponible en</w:t>
      </w:r>
      <w:r w:rsidRPr="00BD1319">
        <w:rPr>
          <w:rFonts w:cs="Arial"/>
          <w:spacing w:val="-3"/>
          <w:lang w:val="es-CO"/>
        </w:rPr>
        <w:t>:</w:t>
      </w:r>
      <w:r w:rsidR="00E05070" w:rsidRPr="00BD1319">
        <w:rPr>
          <w:rFonts w:cs="Arial"/>
          <w:spacing w:val="-3"/>
          <w:lang w:val="es-CO"/>
        </w:rPr>
        <w:t xml:space="preserve"> </w:t>
      </w:r>
      <w:r w:rsidR="00E05070" w:rsidRPr="00BD1319">
        <w:rPr>
          <w:lang w:val="es-CO"/>
        </w:rPr>
        <w:t>https://www.sinchi.org.co/coah/consulta-de-especimenes-coah</w:t>
      </w:r>
      <w:r w:rsidR="00DB087B" w:rsidRPr="00BD1319">
        <w:rPr>
          <w:rFonts w:cs="Arial"/>
          <w:lang w:val="es-CO"/>
        </w:rPr>
        <w:t>.</w:t>
      </w:r>
    </w:p>
    <w:p w14:paraId="2308B232" w14:textId="77777777" w:rsidR="008D5CC9" w:rsidRPr="00BD1319" w:rsidRDefault="008D5CC9" w:rsidP="008D5CC9">
      <w:pPr>
        <w:tabs>
          <w:tab w:val="left" w:pos="-2268"/>
        </w:tabs>
        <w:suppressAutoHyphens/>
        <w:rPr>
          <w:rFonts w:cs="Arial"/>
          <w:spacing w:val="-3"/>
        </w:rPr>
      </w:pPr>
    </w:p>
    <w:p w14:paraId="40C05108" w14:textId="7C19E279" w:rsidR="008D5CC9" w:rsidRPr="00BD1319" w:rsidRDefault="008D5CC9" w:rsidP="009420F5">
      <w:pPr>
        <w:pStyle w:val="Prrafodelista"/>
        <w:numPr>
          <w:ilvl w:val="0"/>
          <w:numId w:val="83"/>
        </w:numPr>
        <w:tabs>
          <w:tab w:val="left" w:pos="-2268"/>
        </w:tabs>
        <w:suppressAutoHyphens/>
        <w:ind w:left="567" w:hanging="567"/>
        <w:rPr>
          <w:rFonts w:cs="Arial"/>
          <w:spacing w:val="-3"/>
          <w:lang w:val="es-CO"/>
        </w:rPr>
      </w:pPr>
      <w:proofErr w:type="spellStart"/>
      <w:r w:rsidRPr="00BD1319">
        <w:rPr>
          <w:rFonts w:cs="Arial"/>
          <w:spacing w:val="-3"/>
          <w:lang w:val="es-CO"/>
        </w:rPr>
        <w:lastRenderedPageBreak/>
        <w:t>Tropicos</w:t>
      </w:r>
      <w:proofErr w:type="spellEnd"/>
      <w:r w:rsidR="00DB087B" w:rsidRPr="00BD1319">
        <w:rPr>
          <w:rFonts w:cs="Arial"/>
          <w:spacing w:val="-3"/>
          <w:lang w:val="es-CO"/>
        </w:rPr>
        <w:t>. Disponible en</w:t>
      </w:r>
      <w:r w:rsidRPr="00BD1319">
        <w:rPr>
          <w:rFonts w:cs="Arial"/>
          <w:spacing w:val="-3"/>
          <w:lang w:val="es-CO"/>
        </w:rPr>
        <w:t xml:space="preserve">: </w:t>
      </w:r>
      <w:r w:rsidR="00B9500B" w:rsidRPr="00BD1319">
        <w:rPr>
          <w:lang w:val="es-CO"/>
        </w:rPr>
        <w:t>https://www.tropicos.org/home</w:t>
      </w:r>
      <w:r w:rsidR="00DB087B" w:rsidRPr="00BD1319">
        <w:rPr>
          <w:lang w:val="es-CO"/>
        </w:rPr>
        <w:t>.</w:t>
      </w:r>
    </w:p>
    <w:p w14:paraId="2CF18583" w14:textId="77777777" w:rsidR="008D5CC9" w:rsidRPr="00BD1319" w:rsidRDefault="008D5CC9" w:rsidP="008D5CC9">
      <w:pPr>
        <w:tabs>
          <w:tab w:val="left" w:pos="-2268"/>
        </w:tabs>
        <w:suppressAutoHyphens/>
        <w:rPr>
          <w:rFonts w:cs="Arial"/>
          <w:spacing w:val="-3"/>
        </w:rPr>
      </w:pPr>
    </w:p>
    <w:p w14:paraId="489BB1C1" w14:textId="081248E7" w:rsidR="008D5CC9" w:rsidRPr="00BD1319" w:rsidRDefault="008D5CC9" w:rsidP="009420F5">
      <w:pPr>
        <w:pStyle w:val="Prrafodelista"/>
        <w:numPr>
          <w:ilvl w:val="0"/>
          <w:numId w:val="83"/>
        </w:numPr>
        <w:tabs>
          <w:tab w:val="left" w:pos="-2268"/>
        </w:tabs>
        <w:suppressAutoHyphens/>
        <w:ind w:left="567" w:hanging="567"/>
        <w:rPr>
          <w:rFonts w:cs="Arial"/>
          <w:spacing w:val="-3"/>
          <w:lang w:val="es-CO"/>
        </w:rPr>
      </w:pPr>
      <w:r w:rsidRPr="00BD1319">
        <w:rPr>
          <w:rFonts w:cs="Arial"/>
          <w:spacing w:val="-3"/>
          <w:lang w:val="es-CO"/>
        </w:rPr>
        <w:t>GBFI Colombia</w:t>
      </w:r>
      <w:r w:rsidR="00DB087B" w:rsidRPr="00BD1319">
        <w:rPr>
          <w:rFonts w:cs="Arial"/>
          <w:spacing w:val="-3"/>
          <w:lang w:val="es-CO"/>
        </w:rPr>
        <w:t>. Disponible en</w:t>
      </w:r>
      <w:r w:rsidRPr="00BD1319">
        <w:rPr>
          <w:rFonts w:cs="Arial"/>
          <w:spacing w:val="-3"/>
          <w:lang w:val="es-CO"/>
        </w:rPr>
        <w:t xml:space="preserve">: </w:t>
      </w:r>
      <w:r w:rsidR="00E05070" w:rsidRPr="00BD1319">
        <w:rPr>
          <w:lang w:val="es-CO"/>
        </w:rPr>
        <w:t>https://www.gbif.org/es/country/CO/summary</w:t>
      </w:r>
      <w:r w:rsidR="00DB087B" w:rsidRPr="00BD1319">
        <w:rPr>
          <w:lang w:val="es-CO"/>
        </w:rPr>
        <w:t>.</w:t>
      </w:r>
    </w:p>
    <w:p w14:paraId="17FF17AD" w14:textId="77777777" w:rsidR="008D5CC9" w:rsidRPr="00BD1319" w:rsidRDefault="008D5CC9" w:rsidP="008D5CC9">
      <w:pPr>
        <w:tabs>
          <w:tab w:val="left" w:pos="-2268"/>
        </w:tabs>
        <w:suppressAutoHyphens/>
        <w:rPr>
          <w:rFonts w:cs="Arial"/>
          <w:spacing w:val="-3"/>
        </w:rPr>
      </w:pPr>
    </w:p>
    <w:p w14:paraId="303C042B" w14:textId="7BFFF324" w:rsidR="008D5CC9" w:rsidRPr="00BD1319" w:rsidRDefault="008D5CC9" w:rsidP="008D5CC9">
      <w:pPr>
        <w:pStyle w:val="Prrafodelista"/>
        <w:numPr>
          <w:ilvl w:val="0"/>
          <w:numId w:val="83"/>
        </w:numPr>
        <w:tabs>
          <w:tab w:val="left" w:pos="-2268"/>
        </w:tabs>
        <w:suppressAutoHyphens/>
        <w:ind w:left="567" w:hanging="567"/>
        <w:rPr>
          <w:rFonts w:cs="Arial"/>
          <w:spacing w:val="-3"/>
          <w:lang w:val="es-CO"/>
        </w:rPr>
      </w:pPr>
      <w:proofErr w:type="spellStart"/>
      <w:r w:rsidRPr="00BD1319">
        <w:rPr>
          <w:rFonts w:cs="Arial"/>
          <w:spacing w:val="-3"/>
          <w:lang w:val="es-CO"/>
        </w:rPr>
        <w:t>Colplanta</w:t>
      </w:r>
      <w:proofErr w:type="spellEnd"/>
      <w:r w:rsidR="00DB087B" w:rsidRPr="00BD1319">
        <w:rPr>
          <w:rFonts w:cs="Arial"/>
          <w:spacing w:val="-3"/>
          <w:lang w:val="es-CO"/>
        </w:rPr>
        <w:t>. Disponible en</w:t>
      </w:r>
      <w:r w:rsidRPr="00BD1319">
        <w:rPr>
          <w:rFonts w:cs="Arial"/>
          <w:spacing w:val="-3"/>
          <w:lang w:val="es-CO"/>
        </w:rPr>
        <w:t xml:space="preserve">: </w:t>
      </w:r>
      <w:r w:rsidRPr="00BD1319">
        <w:rPr>
          <w:lang w:val="es-CO"/>
        </w:rPr>
        <w:t>http://colplanta.org</w:t>
      </w:r>
      <w:r w:rsidR="00AC3FD2" w:rsidRPr="00BD1319">
        <w:rPr>
          <w:lang w:val="es-CO"/>
        </w:rPr>
        <w:t>/.</w:t>
      </w:r>
    </w:p>
    <w:p w14:paraId="0978A191" w14:textId="77777777" w:rsidR="008D5CC9" w:rsidRPr="00BD1319" w:rsidRDefault="008D5CC9" w:rsidP="008D5CC9">
      <w:pPr>
        <w:rPr>
          <w:rFonts w:cs="Arial"/>
          <w:spacing w:val="-3"/>
        </w:rPr>
      </w:pPr>
    </w:p>
    <w:p w14:paraId="77AFA4F6" w14:textId="6224B48E" w:rsidR="00394D50" w:rsidRPr="00BD1319" w:rsidRDefault="00394D50" w:rsidP="008A4FE9">
      <w:pPr>
        <w:pStyle w:val="Prrafodelista"/>
        <w:numPr>
          <w:ilvl w:val="0"/>
          <w:numId w:val="83"/>
        </w:numPr>
        <w:tabs>
          <w:tab w:val="left" w:pos="-2268"/>
        </w:tabs>
        <w:suppressAutoHyphens/>
        <w:ind w:left="567" w:hanging="567"/>
        <w:rPr>
          <w:rFonts w:cs="Arial"/>
          <w:spacing w:val="-3"/>
          <w:lang w:val="es-CO"/>
        </w:rPr>
      </w:pPr>
      <w:proofErr w:type="spellStart"/>
      <w:r w:rsidRPr="00BD1319">
        <w:rPr>
          <w:rFonts w:cs="Arial"/>
          <w:spacing w:val="-3"/>
          <w:lang w:val="es-CO"/>
        </w:rPr>
        <w:t>ColFungi</w:t>
      </w:r>
      <w:proofErr w:type="spellEnd"/>
      <w:r w:rsidRPr="00BD1319">
        <w:rPr>
          <w:rFonts w:cs="Arial"/>
          <w:spacing w:val="-3"/>
          <w:lang w:val="es-CO"/>
        </w:rPr>
        <w:t>. Disponible en: https://colfungi.org.</w:t>
      </w:r>
    </w:p>
    <w:p w14:paraId="285859F8" w14:textId="77777777" w:rsidR="00394D50" w:rsidRPr="00BD1319" w:rsidRDefault="00394D50" w:rsidP="008A4FE9">
      <w:pPr>
        <w:tabs>
          <w:tab w:val="left" w:pos="-2268"/>
        </w:tabs>
        <w:suppressAutoHyphens/>
        <w:rPr>
          <w:rFonts w:cs="Arial"/>
          <w:spacing w:val="-3"/>
        </w:rPr>
      </w:pPr>
    </w:p>
    <w:p w14:paraId="60804872" w14:textId="382BEC21" w:rsidR="00394D50" w:rsidRPr="00BD1319" w:rsidRDefault="00394D50" w:rsidP="008A4FE9">
      <w:pPr>
        <w:pStyle w:val="Prrafodelista"/>
        <w:numPr>
          <w:ilvl w:val="0"/>
          <w:numId w:val="83"/>
        </w:numPr>
        <w:tabs>
          <w:tab w:val="left" w:pos="-2268"/>
        </w:tabs>
        <w:suppressAutoHyphens/>
        <w:ind w:left="567" w:hanging="567"/>
        <w:rPr>
          <w:rFonts w:cs="Arial"/>
          <w:spacing w:val="-3"/>
          <w:lang w:val="es-CO"/>
        </w:rPr>
      </w:pPr>
      <w:proofErr w:type="spellStart"/>
      <w:r w:rsidRPr="00BD1319">
        <w:rPr>
          <w:rFonts w:cs="Arial"/>
          <w:spacing w:val="-3"/>
          <w:lang w:val="es-CO"/>
        </w:rPr>
        <w:t>MycoBank</w:t>
      </w:r>
      <w:proofErr w:type="spellEnd"/>
      <w:r w:rsidRPr="00BD1319">
        <w:rPr>
          <w:rFonts w:cs="Arial"/>
          <w:spacing w:val="-3"/>
          <w:lang w:val="es-CO"/>
        </w:rPr>
        <w:t>. Disponible en: https://www.mycbank.org</w:t>
      </w:r>
    </w:p>
    <w:p w14:paraId="346836F3" w14:textId="77777777" w:rsidR="00394D50" w:rsidRPr="00BD1319" w:rsidRDefault="00394D50" w:rsidP="008A4FE9">
      <w:pPr>
        <w:tabs>
          <w:tab w:val="left" w:pos="-2268"/>
        </w:tabs>
        <w:suppressAutoHyphens/>
        <w:rPr>
          <w:rFonts w:cs="Arial"/>
          <w:spacing w:val="-3"/>
        </w:rPr>
      </w:pPr>
    </w:p>
    <w:p w14:paraId="1D10D395" w14:textId="3EDFEDBC" w:rsidR="00394D50" w:rsidRPr="00BD1319" w:rsidRDefault="00394D50" w:rsidP="008A4FE9">
      <w:pPr>
        <w:pStyle w:val="Prrafodelista"/>
        <w:numPr>
          <w:ilvl w:val="0"/>
          <w:numId w:val="83"/>
        </w:numPr>
        <w:tabs>
          <w:tab w:val="left" w:pos="-2268"/>
        </w:tabs>
        <w:suppressAutoHyphens/>
        <w:ind w:left="567" w:hanging="567"/>
        <w:rPr>
          <w:rFonts w:cs="Arial"/>
          <w:spacing w:val="-3"/>
          <w:lang w:val="en-US"/>
        </w:rPr>
      </w:pPr>
      <w:r w:rsidRPr="00BD1319">
        <w:rPr>
          <w:rFonts w:cs="Arial"/>
          <w:spacing w:val="-3"/>
          <w:lang w:val="en-US"/>
        </w:rPr>
        <w:t xml:space="preserve">Pictures of tropical lichens. Disponible </w:t>
      </w:r>
      <w:proofErr w:type="spellStart"/>
      <w:r w:rsidRPr="00BD1319">
        <w:rPr>
          <w:rFonts w:cs="Arial"/>
          <w:spacing w:val="-3"/>
          <w:lang w:val="en-US"/>
        </w:rPr>
        <w:t>en</w:t>
      </w:r>
      <w:proofErr w:type="spellEnd"/>
      <w:r w:rsidRPr="00BD1319">
        <w:rPr>
          <w:rFonts w:cs="Arial"/>
          <w:spacing w:val="-3"/>
          <w:lang w:val="en-US"/>
        </w:rPr>
        <w:t>: https//www.tropicallichens.net</w:t>
      </w:r>
    </w:p>
    <w:p w14:paraId="1AD7B6DF" w14:textId="77777777" w:rsidR="00394D50" w:rsidRPr="00BD1319" w:rsidRDefault="00394D50" w:rsidP="008A4FE9">
      <w:pPr>
        <w:rPr>
          <w:rFonts w:cs="Arial"/>
          <w:spacing w:val="-3"/>
          <w:lang w:val="en-US"/>
        </w:rPr>
      </w:pPr>
    </w:p>
    <w:p w14:paraId="73DAF723" w14:textId="0A558488" w:rsidR="008D5CC9" w:rsidRPr="00BD1319" w:rsidRDefault="008D5CC9" w:rsidP="009420F5">
      <w:pPr>
        <w:pStyle w:val="Prrafodelista"/>
        <w:numPr>
          <w:ilvl w:val="0"/>
          <w:numId w:val="83"/>
        </w:numPr>
        <w:tabs>
          <w:tab w:val="left" w:pos="-2268"/>
        </w:tabs>
        <w:suppressAutoHyphens/>
        <w:ind w:left="567" w:hanging="567"/>
        <w:rPr>
          <w:rFonts w:cs="Arial"/>
          <w:spacing w:val="-3"/>
          <w:lang w:val="es-CO"/>
        </w:rPr>
      </w:pPr>
      <w:proofErr w:type="spellStart"/>
      <w:r w:rsidRPr="00BD1319">
        <w:rPr>
          <w:rFonts w:cs="Arial"/>
          <w:spacing w:val="-3"/>
          <w:lang w:val="es-CO"/>
        </w:rPr>
        <w:t>World</w:t>
      </w:r>
      <w:proofErr w:type="spellEnd"/>
      <w:r w:rsidRPr="00BD1319">
        <w:rPr>
          <w:rFonts w:cs="Arial"/>
          <w:spacing w:val="-3"/>
          <w:lang w:val="es-CO"/>
        </w:rPr>
        <w:t xml:space="preserve"> flora online</w:t>
      </w:r>
      <w:r w:rsidR="00DB087B" w:rsidRPr="00BD1319">
        <w:rPr>
          <w:rFonts w:cs="Arial"/>
          <w:spacing w:val="-3"/>
          <w:lang w:val="es-CO"/>
        </w:rPr>
        <w:t>. Disponible en</w:t>
      </w:r>
      <w:r w:rsidRPr="00BD1319">
        <w:rPr>
          <w:rFonts w:cs="Arial"/>
          <w:spacing w:val="-3"/>
          <w:lang w:val="es-CO"/>
        </w:rPr>
        <w:t xml:space="preserve">: </w:t>
      </w:r>
      <w:r w:rsidRPr="00BD1319">
        <w:rPr>
          <w:lang w:val="es-CO"/>
        </w:rPr>
        <w:t>http://www.worldfloraonline.org/</w:t>
      </w:r>
      <w:r w:rsidR="00DB087B" w:rsidRPr="00BD1319">
        <w:rPr>
          <w:lang w:val="es-CO"/>
        </w:rPr>
        <w:t>.</w:t>
      </w:r>
    </w:p>
    <w:p w14:paraId="3247F426" w14:textId="77777777" w:rsidR="008D5CC9" w:rsidRPr="00BD1319" w:rsidRDefault="008D5CC9" w:rsidP="008D5CC9">
      <w:pPr>
        <w:tabs>
          <w:tab w:val="left" w:pos="-2268"/>
        </w:tabs>
        <w:suppressAutoHyphens/>
        <w:rPr>
          <w:rFonts w:cs="Arial"/>
          <w:spacing w:val="-3"/>
        </w:rPr>
      </w:pPr>
    </w:p>
    <w:p w14:paraId="0D6E2801" w14:textId="4A3B2240" w:rsidR="008D5CC9" w:rsidRPr="00BD1319" w:rsidRDefault="008D5CC9" w:rsidP="009420F5">
      <w:pPr>
        <w:pStyle w:val="Prrafodelista"/>
        <w:numPr>
          <w:ilvl w:val="0"/>
          <w:numId w:val="83"/>
        </w:numPr>
        <w:tabs>
          <w:tab w:val="left" w:pos="-2268"/>
        </w:tabs>
        <w:suppressAutoHyphens/>
        <w:ind w:left="567" w:hanging="567"/>
        <w:rPr>
          <w:rFonts w:cs="Arial"/>
          <w:spacing w:val="-3"/>
          <w:lang w:val="fr-FR"/>
        </w:rPr>
      </w:pPr>
      <w:r w:rsidRPr="00BD1319">
        <w:rPr>
          <w:rFonts w:cs="Arial"/>
          <w:spacing w:val="-3"/>
          <w:lang w:val="fr-FR"/>
        </w:rPr>
        <w:t xml:space="preserve">International plan </w:t>
      </w:r>
      <w:proofErr w:type="spellStart"/>
      <w:r w:rsidRPr="00BD1319">
        <w:rPr>
          <w:rFonts w:cs="Arial"/>
          <w:spacing w:val="-3"/>
          <w:lang w:val="fr-FR"/>
        </w:rPr>
        <w:t>names</w:t>
      </w:r>
      <w:proofErr w:type="spellEnd"/>
      <w:r w:rsidRPr="00BD1319">
        <w:rPr>
          <w:rFonts w:cs="Arial"/>
          <w:spacing w:val="-3"/>
          <w:lang w:val="fr-FR"/>
        </w:rPr>
        <w:t xml:space="preserve"> index</w:t>
      </w:r>
      <w:r w:rsidR="00DB087B" w:rsidRPr="00BD1319">
        <w:rPr>
          <w:rFonts w:cs="Arial"/>
          <w:spacing w:val="-3"/>
          <w:lang w:val="fr-FR"/>
        </w:rPr>
        <w:t xml:space="preserve">. Disponible </w:t>
      </w:r>
      <w:r w:rsidR="00FD4615" w:rsidRPr="00BD1319">
        <w:rPr>
          <w:rFonts w:cs="Arial"/>
          <w:spacing w:val="-3"/>
          <w:lang w:val="fr-FR"/>
        </w:rPr>
        <w:t>en :</w:t>
      </w:r>
      <w:r w:rsidRPr="00BD1319">
        <w:rPr>
          <w:rFonts w:cs="Arial"/>
          <w:spacing w:val="-3"/>
          <w:lang w:val="fr-FR"/>
        </w:rPr>
        <w:t xml:space="preserve"> </w:t>
      </w:r>
      <w:r w:rsidR="00E05070" w:rsidRPr="00BD1319">
        <w:rPr>
          <w:lang w:val="fr-FR"/>
        </w:rPr>
        <w:t>https://www.ipni.org/</w:t>
      </w:r>
      <w:r w:rsidR="00DB087B" w:rsidRPr="00BD1319">
        <w:rPr>
          <w:lang w:val="fr-FR"/>
        </w:rPr>
        <w:t>.</w:t>
      </w:r>
    </w:p>
    <w:p w14:paraId="56016BCE" w14:textId="77777777" w:rsidR="008D5CC9" w:rsidRPr="00BD1319" w:rsidRDefault="008D5CC9" w:rsidP="008D5CC9">
      <w:pPr>
        <w:tabs>
          <w:tab w:val="left" w:pos="-2268"/>
        </w:tabs>
        <w:suppressAutoHyphens/>
        <w:rPr>
          <w:rFonts w:cs="Arial"/>
          <w:spacing w:val="-3"/>
          <w:lang w:val="fr-FR"/>
        </w:rPr>
      </w:pPr>
    </w:p>
    <w:p w14:paraId="0F919595" w14:textId="3450D49C" w:rsidR="008D5CC9" w:rsidRPr="00BD1319" w:rsidRDefault="008D5CC9" w:rsidP="008D5CC9">
      <w:pPr>
        <w:pStyle w:val="Prrafodelista"/>
        <w:numPr>
          <w:ilvl w:val="0"/>
          <w:numId w:val="83"/>
        </w:numPr>
        <w:tabs>
          <w:tab w:val="left" w:pos="-2268"/>
        </w:tabs>
        <w:suppressAutoHyphens/>
        <w:ind w:left="567" w:hanging="567"/>
        <w:rPr>
          <w:rFonts w:cs="Arial"/>
          <w:spacing w:val="-3"/>
          <w:lang w:val="es-CO"/>
        </w:rPr>
      </w:pPr>
      <w:r w:rsidRPr="00BD1319">
        <w:rPr>
          <w:rFonts w:cs="Arial"/>
          <w:spacing w:val="-3"/>
          <w:lang w:val="es-CO"/>
        </w:rPr>
        <w:t>Plan de acción de la estrategia nacional para la conservación de las plantas</w:t>
      </w:r>
      <w:r w:rsidR="00DB087B" w:rsidRPr="00BD1319">
        <w:rPr>
          <w:rFonts w:cs="Arial"/>
          <w:spacing w:val="-3"/>
          <w:lang w:val="es-CO"/>
        </w:rPr>
        <w:t>. Disponible en</w:t>
      </w:r>
      <w:r w:rsidRPr="00BD1319">
        <w:rPr>
          <w:rFonts w:cs="Arial"/>
          <w:spacing w:val="-3"/>
          <w:lang w:val="es-CO"/>
        </w:rPr>
        <w:t>:</w:t>
      </w:r>
    </w:p>
    <w:p w14:paraId="5F241D24" w14:textId="2C0EA592" w:rsidR="008D5CC9" w:rsidRPr="00BD1319" w:rsidRDefault="00B9500B" w:rsidP="009420F5">
      <w:pPr>
        <w:tabs>
          <w:tab w:val="left" w:pos="-2268"/>
        </w:tabs>
        <w:suppressAutoHyphens/>
        <w:ind w:left="567"/>
        <w:rPr>
          <w:rFonts w:cs="Arial"/>
          <w:spacing w:val="-3"/>
        </w:rPr>
      </w:pPr>
      <w:r w:rsidRPr="00BD1319">
        <w:t>https://www.minambiente.gov.co/images/BosquesBiodiversidadyServiciosEcosistemicos/pdf/Planes-para-la-conservacion-y-uso-de-la-biodiversidad/PlanAccion-BAJA.pdf</w:t>
      </w:r>
      <w:r w:rsidR="00DB087B" w:rsidRPr="00BD1319">
        <w:rPr>
          <w:rFonts w:cs="Arial"/>
          <w:spacing w:val="-3"/>
        </w:rPr>
        <w:t>.</w:t>
      </w:r>
    </w:p>
    <w:p w14:paraId="077EC7C5" w14:textId="77777777" w:rsidR="008D5CC9" w:rsidRPr="00BD1319" w:rsidRDefault="008D5CC9" w:rsidP="008D5CC9">
      <w:pPr>
        <w:tabs>
          <w:tab w:val="left" w:pos="-2268"/>
        </w:tabs>
        <w:suppressAutoHyphens/>
        <w:rPr>
          <w:rFonts w:cs="Arial"/>
          <w:spacing w:val="-3"/>
        </w:rPr>
      </w:pPr>
    </w:p>
    <w:p w14:paraId="25C2944E" w14:textId="3D87FB41" w:rsidR="008D5CC9" w:rsidRPr="00BD1319" w:rsidRDefault="008D5CC9" w:rsidP="009420F5">
      <w:pPr>
        <w:pStyle w:val="Prrafodelista"/>
        <w:numPr>
          <w:ilvl w:val="0"/>
          <w:numId w:val="83"/>
        </w:numPr>
        <w:tabs>
          <w:tab w:val="left" w:pos="-2268"/>
        </w:tabs>
        <w:suppressAutoHyphens/>
        <w:ind w:left="567" w:hanging="567"/>
        <w:rPr>
          <w:rFonts w:cs="Arial"/>
          <w:spacing w:val="-3"/>
          <w:lang w:val="es-CO"/>
        </w:rPr>
      </w:pPr>
      <w:r w:rsidRPr="00BD1319">
        <w:rPr>
          <w:rFonts w:cs="Arial"/>
          <w:spacing w:val="-3"/>
          <w:lang w:val="es-CO"/>
        </w:rPr>
        <w:t xml:space="preserve">Plan de acción para la conservación de las </w:t>
      </w:r>
      <w:proofErr w:type="spellStart"/>
      <w:r w:rsidRPr="00BD1319">
        <w:rPr>
          <w:rFonts w:cs="Arial"/>
          <w:spacing w:val="-3"/>
          <w:lang w:val="es-CO"/>
        </w:rPr>
        <w:t>zamias</w:t>
      </w:r>
      <w:proofErr w:type="spellEnd"/>
      <w:r w:rsidRPr="00BD1319">
        <w:rPr>
          <w:rFonts w:cs="Arial"/>
          <w:spacing w:val="-3"/>
          <w:lang w:val="es-CO"/>
        </w:rPr>
        <w:t xml:space="preserve"> de Colombia</w:t>
      </w:r>
      <w:r w:rsidR="00DB087B" w:rsidRPr="00BD1319">
        <w:rPr>
          <w:rFonts w:cs="Arial"/>
          <w:spacing w:val="-3"/>
          <w:lang w:val="es-CO"/>
        </w:rPr>
        <w:t>. Disponible en:</w:t>
      </w:r>
      <w:r w:rsidRPr="00BD1319">
        <w:rPr>
          <w:rFonts w:cs="Arial"/>
          <w:spacing w:val="-3"/>
          <w:lang w:val="es-CO"/>
        </w:rPr>
        <w:t xml:space="preserve"> </w:t>
      </w:r>
      <w:r w:rsidR="00B9500B" w:rsidRPr="00BD1319">
        <w:rPr>
          <w:lang w:val="es-CO"/>
        </w:rPr>
        <w:t>www.minambiente.gov.co/images/BosquesBiodiversidadyServiciosEcosistemicos/pdf/Programas-para-la-gestion-de-fauna-y-flora/Plan_de_accion_para_la_conservacion_de_las_zamias_de_Colombia.pdf</w:t>
      </w:r>
      <w:r w:rsidR="00DB087B" w:rsidRPr="00BD1319">
        <w:rPr>
          <w:rFonts w:cs="Arial"/>
          <w:spacing w:val="-3"/>
          <w:lang w:val="es-CO"/>
        </w:rPr>
        <w:t>.</w:t>
      </w:r>
    </w:p>
    <w:p w14:paraId="34C02F9B" w14:textId="77777777" w:rsidR="008D5CC9" w:rsidRPr="00BD1319" w:rsidRDefault="008D5CC9" w:rsidP="008D5CC9">
      <w:pPr>
        <w:tabs>
          <w:tab w:val="left" w:pos="-2268"/>
        </w:tabs>
        <w:suppressAutoHyphens/>
        <w:rPr>
          <w:rFonts w:cs="Arial"/>
          <w:spacing w:val="-3"/>
        </w:rPr>
      </w:pPr>
    </w:p>
    <w:p w14:paraId="4BEF1AC9" w14:textId="6CDE0B51" w:rsidR="008D5CC9" w:rsidRPr="00BD1319" w:rsidRDefault="008D5CC9" w:rsidP="008D5CC9">
      <w:pPr>
        <w:pStyle w:val="Prrafodelista"/>
        <w:numPr>
          <w:ilvl w:val="0"/>
          <w:numId w:val="83"/>
        </w:numPr>
        <w:tabs>
          <w:tab w:val="left" w:pos="-2268"/>
        </w:tabs>
        <w:suppressAutoHyphens/>
        <w:ind w:left="567" w:hanging="567"/>
        <w:rPr>
          <w:rStyle w:val="Hipervnculo"/>
          <w:rFonts w:cs="Arial"/>
          <w:color w:val="auto"/>
          <w:spacing w:val="-3"/>
          <w:lang w:val="es-CO"/>
        </w:rPr>
      </w:pPr>
      <w:r w:rsidRPr="00BD1319">
        <w:rPr>
          <w:rFonts w:cs="Arial"/>
          <w:spacing w:val="-3"/>
          <w:lang w:val="es-CO"/>
        </w:rPr>
        <w:t xml:space="preserve">Plan de manejo para la conservación de Abarco, Caoba, Cedro, </w:t>
      </w:r>
      <w:proofErr w:type="spellStart"/>
      <w:r w:rsidRPr="00BD1319">
        <w:rPr>
          <w:rFonts w:cs="Arial"/>
          <w:spacing w:val="-3"/>
          <w:lang w:val="es-CO"/>
        </w:rPr>
        <w:t>Palorosa</w:t>
      </w:r>
      <w:proofErr w:type="spellEnd"/>
      <w:r w:rsidRPr="00BD1319">
        <w:rPr>
          <w:rFonts w:cs="Arial"/>
          <w:spacing w:val="-3"/>
          <w:lang w:val="es-CO"/>
        </w:rPr>
        <w:t xml:space="preserve"> y Canelo de los Andaquíes</w:t>
      </w:r>
      <w:r w:rsidR="00DB087B" w:rsidRPr="00BD1319">
        <w:rPr>
          <w:rFonts w:cs="Arial"/>
          <w:spacing w:val="-3"/>
          <w:lang w:val="es-CO"/>
        </w:rPr>
        <w:t>. Disponible en</w:t>
      </w:r>
      <w:r w:rsidRPr="00BD1319">
        <w:rPr>
          <w:rFonts w:cs="Arial"/>
          <w:spacing w:val="-3"/>
          <w:lang w:val="es-CO"/>
        </w:rPr>
        <w:t>:</w:t>
      </w:r>
    </w:p>
    <w:p w14:paraId="2EE363D1" w14:textId="48A9D1CB" w:rsidR="008D5CC9" w:rsidRPr="00BD1319" w:rsidRDefault="00B9500B" w:rsidP="009420F5">
      <w:pPr>
        <w:tabs>
          <w:tab w:val="left" w:pos="-2268"/>
        </w:tabs>
        <w:suppressAutoHyphens/>
        <w:ind w:left="567"/>
        <w:rPr>
          <w:rStyle w:val="Hipervnculo"/>
          <w:rFonts w:cs="Arial"/>
          <w:color w:val="auto"/>
          <w:spacing w:val="-3"/>
          <w:u w:val="none"/>
        </w:rPr>
      </w:pPr>
      <w:r w:rsidRPr="00BD1319">
        <w:rPr>
          <w:rStyle w:val="Hipervnculo"/>
          <w:rFonts w:cs="Arial"/>
          <w:color w:val="auto"/>
          <w:u w:val="none"/>
        </w:rPr>
        <w:t>https://www.minambiente.gov.co/images/BosquesBiodiversidadyServiciosEcosistemicos/pdf/Programas-para-la-gestion-de-fauna-y-flora/Planes_Manejo_Arboles_Amenazados.pdf</w:t>
      </w:r>
      <w:r w:rsidR="00DB087B" w:rsidRPr="00BD1319">
        <w:rPr>
          <w:rStyle w:val="Hipervnculo"/>
          <w:rFonts w:cs="Arial"/>
          <w:color w:val="auto"/>
          <w:u w:val="none"/>
        </w:rPr>
        <w:t>.</w:t>
      </w:r>
    </w:p>
    <w:p w14:paraId="647917C0" w14:textId="77777777" w:rsidR="008D5CC9" w:rsidRPr="00BD1319" w:rsidRDefault="008D5CC9" w:rsidP="008D5CC9">
      <w:pPr>
        <w:tabs>
          <w:tab w:val="left" w:pos="-2268"/>
        </w:tabs>
        <w:suppressAutoHyphens/>
        <w:rPr>
          <w:rFonts w:cs="Arial"/>
          <w:spacing w:val="-3"/>
        </w:rPr>
      </w:pPr>
    </w:p>
    <w:p w14:paraId="1490FDE4" w14:textId="432885BD" w:rsidR="008D5CC9" w:rsidRPr="00BD1319" w:rsidRDefault="008D5CC9" w:rsidP="009420F5">
      <w:pPr>
        <w:pStyle w:val="Prrafodelista"/>
        <w:numPr>
          <w:ilvl w:val="0"/>
          <w:numId w:val="83"/>
        </w:numPr>
        <w:tabs>
          <w:tab w:val="left" w:pos="-2268"/>
        </w:tabs>
        <w:suppressAutoHyphens/>
        <w:ind w:left="567" w:hanging="567"/>
        <w:rPr>
          <w:rStyle w:val="Hipervnculo"/>
          <w:rFonts w:cs="Arial"/>
          <w:color w:val="auto"/>
          <w:spacing w:val="-3"/>
          <w:lang w:val="es-CO"/>
        </w:rPr>
      </w:pPr>
      <w:r w:rsidRPr="00BD1319">
        <w:rPr>
          <w:rFonts w:cs="Arial"/>
          <w:spacing w:val="-3"/>
          <w:lang w:val="es-CO"/>
        </w:rPr>
        <w:t>Plan para el estudio y la conservación de orquídeas en Colombia</w:t>
      </w:r>
      <w:r w:rsidR="00DB087B" w:rsidRPr="00BD1319">
        <w:rPr>
          <w:rFonts w:cs="Arial"/>
          <w:spacing w:val="-3"/>
          <w:lang w:val="es-CO"/>
        </w:rPr>
        <w:t>. Disponible en</w:t>
      </w:r>
      <w:r w:rsidRPr="00BD1319">
        <w:rPr>
          <w:rFonts w:cs="Arial"/>
          <w:spacing w:val="-3"/>
          <w:lang w:val="es-CO"/>
        </w:rPr>
        <w:t xml:space="preserve">: </w:t>
      </w:r>
      <w:r w:rsidR="00B9500B" w:rsidRPr="00BD1319">
        <w:rPr>
          <w:lang w:val="es-CO"/>
        </w:rPr>
        <w:t>https://www.minambiente.gov.co/images/BosquesBiodiversidadyServiciosEcosistemicos/pdf/Programas-para-la-gestion-de-fauna-y-flora/PLAN_ORQUIDEAS_2015.pdf</w:t>
      </w:r>
      <w:r w:rsidR="00DB087B" w:rsidRPr="00BD1319">
        <w:rPr>
          <w:lang w:val="es-CO"/>
        </w:rPr>
        <w:t>.</w:t>
      </w:r>
    </w:p>
    <w:p w14:paraId="1968BED7" w14:textId="77777777" w:rsidR="008D5CC9" w:rsidRPr="00BD1319" w:rsidRDefault="008D5CC9" w:rsidP="000D6E21">
      <w:pPr>
        <w:tabs>
          <w:tab w:val="left" w:pos="-2268"/>
        </w:tabs>
        <w:suppressAutoHyphens/>
        <w:rPr>
          <w:rFonts w:cs="Arial"/>
          <w:spacing w:val="-3"/>
        </w:rPr>
      </w:pPr>
    </w:p>
    <w:p w14:paraId="11EA7931" w14:textId="779B3247" w:rsidR="00DB087B" w:rsidRPr="00BD1319" w:rsidRDefault="008D5CC9" w:rsidP="008D5CC9">
      <w:pPr>
        <w:pStyle w:val="Prrafodelista"/>
        <w:numPr>
          <w:ilvl w:val="0"/>
          <w:numId w:val="83"/>
        </w:numPr>
        <w:tabs>
          <w:tab w:val="left" w:pos="-2268"/>
        </w:tabs>
        <w:suppressAutoHyphens/>
        <w:ind w:left="567" w:hanging="567"/>
        <w:rPr>
          <w:rFonts w:cs="Arial"/>
          <w:spacing w:val="-3"/>
          <w:lang w:val="es-CO"/>
        </w:rPr>
      </w:pPr>
      <w:r w:rsidRPr="00BD1319">
        <w:rPr>
          <w:rFonts w:cs="Arial"/>
          <w:spacing w:val="-3"/>
          <w:lang w:val="es-CO"/>
        </w:rPr>
        <w:t>Plan de conservación, manejo y uso sostenible de las palmas de Colombia</w:t>
      </w:r>
      <w:r w:rsidR="00DB087B" w:rsidRPr="00BD1319">
        <w:rPr>
          <w:rFonts w:cs="Arial"/>
          <w:spacing w:val="-3"/>
          <w:lang w:val="es-CO"/>
        </w:rPr>
        <w:t>. Disponible en</w:t>
      </w:r>
      <w:r w:rsidRPr="00BD1319">
        <w:rPr>
          <w:rFonts w:cs="Arial"/>
          <w:spacing w:val="-3"/>
          <w:lang w:val="es-CO"/>
        </w:rPr>
        <w:t>:</w:t>
      </w:r>
    </w:p>
    <w:p w14:paraId="51DCCE2F" w14:textId="77777777" w:rsidR="001C346D" w:rsidRPr="00BD1319" w:rsidRDefault="001C346D" w:rsidP="000D6E21">
      <w:pPr>
        <w:tabs>
          <w:tab w:val="left" w:pos="-2268"/>
        </w:tabs>
        <w:suppressAutoHyphens/>
        <w:rPr>
          <w:rFonts w:cs="Arial"/>
          <w:spacing w:val="-3"/>
        </w:rPr>
      </w:pPr>
    </w:p>
    <w:p w14:paraId="626DFB9F" w14:textId="3F9A22FD" w:rsidR="008D5CC9" w:rsidRPr="00BD1319" w:rsidRDefault="00B9500B" w:rsidP="009420F5">
      <w:pPr>
        <w:tabs>
          <w:tab w:val="left" w:pos="-2268"/>
        </w:tabs>
        <w:suppressAutoHyphens/>
        <w:ind w:left="567"/>
        <w:rPr>
          <w:rFonts w:cs="Arial"/>
          <w:spacing w:val="-3"/>
        </w:rPr>
      </w:pPr>
      <w:r w:rsidRPr="00BD1319">
        <w:rPr>
          <w:rFonts w:cs="Arial"/>
          <w:spacing w:val="-3"/>
        </w:rPr>
        <w:lastRenderedPageBreak/>
        <w:t>https://www.minambiente.gov.co/images/BosquesBiodiversidadyServiciosEcosistemicos/pdf/Programas-para-la-gestion-de-fauna-y-flora/PLAN_PALMAS_2015.pdf</w:t>
      </w:r>
      <w:r w:rsidR="00DB087B" w:rsidRPr="00BD1319">
        <w:rPr>
          <w:rFonts w:cs="Arial"/>
          <w:spacing w:val="-3"/>
        </w:rPr>
        <w:t>.</w:t>
      </w:r>
    </w:p>
    <w:p w14:paraId="305AE179" w14:textId="77777777" w:rsidR="008D5CC9" w:rsidRPr="00BD1319" w:rsidRDefault="008D5CC9" w:rsidP="000D6E21">
      <w:pPr>
        <w:tabs>
          <w:tab w:val="left" w:pos="-2268"/>
        </w:tabs>
        <w:suppressAutoHyphens/>
        <w:rPr>
          <w:rFonts w:cs="Arial"/>
          <w:spacing w:val="-3"/>
        </w:rPr>
      </w:pPr>
    </w:p>
    <w:p w14:paraId="2988A936" w14:textId="71FB1353" w:rsidR="008D5CC9" w:rsidRPr="00BD1319" w:rsidRDefault="008D5CC9" w:rsidP="009420F5">
      <w:pPr>
        <w:pStyle w:val="Prrafodelista"/>
        <w:numPr>
          <w:ilvl w:val="0"/>
          <w:numId w:val="83"/>
        </w:numPr>
        <w:tabs>
          <w:tab w:val="left" w:pos="-2268"/>
        </w:tabs>
        <w:suppressAutoHyphens/>
        <w:ind w:left="567" w:hanging="567"/>
        <w:rPr>
          <w:rFonts w:cs="Arial"/>
          <w:spacing w:val="-3"/>
          <w:lang w:val="es-CO"/>
        </w:rPr>
      </w:pPr>
      <w:r w:rsidRPr="00BD1319">
        <w:rPr>
          <w:rFonts w:cs="Arial"/>
          <w:spacing w:val="-3"/>
          <w:lang w:val="es-CO"/>
        </w:rPr>
        <w:t>Plan de Conservación, manejo y uso sostenible de la palma de cera del Quindío (</w:t>
      </w:r>
      <w:proofErr w:type="spellStart"/>
      <w:r w:rsidRPr="00BD1319">
        <w:rPr>
          <w:rFonts w:cs="Arial"/>
          <w:i/>
          <w:iCs/>
          <w:spacing w:val="-3"/>
          <w:lang w:val="es-CO"/>
        </w:rPr>
        <w:t>Ceroxylon</w:t>
      </w:r>
      <w:proofErr w:type="spellEnd"/>
      <w:r w:rsidRPr="00BD1319">
        <w:rPr>
          <w:rFonts w:cs="Arial"/>
          <w:i/>
          <w:iCs/>
          <w:spacing w:val="-3"/>
          <w:lang w:val="es-CO"/>
        </w:rPr>
        <w:t xml:space="preserve"> </w:t>
      </w:r>
      <w:proofErr w:type="spellStart"/>
      <w:r w:rsidRPr="00BD1319">
        <w:rPr>
          <w:rFonts w:cs="Arial"/>
          <w:i/>
          <w:iCs/>
          <w:spacing w:val="-3"/>
          <w:lang w:val="es-CO"/>
        </w:rPr>
        <w:t>quindiuense</w:t>
      </w:r>
      <w:proofErr w:type="spellEnd"/>
      <w:r w:rsidRPr="00BD1319">
        <w:rPr>
          <w:rFonts w:cs="Arial"/>
          <w:spacing w:val="-3"/>
          <w:lang w:val="es-CO"/>
        </w:rPr>
        <w:t>) árbol nacional de Colombia</w:t>
      </w:r>
      <w:r w:rsidR="00DB087B" w:rsidRPr="00BD1319">
        <w:rPr>
          <w:rFonts w:cs="Arial"/>
          <w:spacing w:val="-3"/>
          <w:lang w:val="es-CO"/>
        </w:rPr>
        <w:t>. Disponible en</w:t>
      </w:r>
      <w:r w:rsidRPr="00BD1319">
        <w:rPr>
          <w:rFonts w:cs="Arial"/>
          <w:spacing w:val="-3"/>
          <w:lang w:val="es-CO"/>
        </w:rPr>
        <w:t xml:space="preserve">: </w:t>
      </w:r>
      <w:r w:rsidR="00B9500B" w:rsidRPr="00BD1319">
        <w:rPr>
          <w:lang w:val="es-CO"/>
        </w:rPr>
        <w:t>https://www.minambiente.gov.co/images/BosquesBiodiversidadyServiciosEcosistemicos/pdf/Programas-para-la-gestion-de-fauna-y-flora/Plan_de_conservaci%C3%B3n_manejo_y_uso_sostenible_de_la_palma_de_cera_del_Quind%C3%ADo.pdf</w:t>
      </w:r>
      <w:r w:rsidR="00DB087B" w:rsidRPr="00BD1319">
        <w:rPr>
          <w:lang w:val="es-CO"/>
        </w:rPr>
        <w:t>.</w:t>
      </w:r>
    </w:p>
    <w:p w14:paraId="7AD056AD" w14:textId="77777777" w:rsidR="008D5CC9" w:rsidRPr="00BD1319" w:rsidRDefault="008D5CC9" w:rsidP="000D6E21">
      <w:pPr>
        <w:tabs>
          <w:tab w:val="left" w:pos="-2268"/>
        </w:tabs>
        <w:suppressAutoHyphens/>
        <w:rPr>
          <w:rFonts w:cs="Arial"/>
          <w:spacing w:val="-3"/>
        </w:rPr>
      </w:pPr>
    </w:p>
    <w:p w14:paraId="259A37CA" w14:textId="3FA2EC84" w:rsidR="008D5CC9" w:rsidRPr="00BD1319" w:rsidRDefault="008D5CC9" w:rsidP="008D5CC9">
      <w:pPr>
        <w:pStyle w:val="Prrafodelista"/>
        <w:numPr>
          <w:ilvl w:val="0"/>
          <w:numId w:val="83"/>
        </w:numPr>
        <w:tabs>
          <w:tab w:val="left" w:pos="-2268"/>
        </w:tabs>
        <w:suppressAutoHyphens/>
        <w:ind w:left="567" w:hanging="567"/>
        <w:rPr>
          <w:rFonts w:cs="Arial"/>
          <w:spacing w:val="-3"/>
          <w:lang w:val="es-CO"/>
        </w:rPr>
      </w:pPr>
      <w:r w:rsidRPr="00BD1319">
        <w:rPr>
          <w:rFonts w:cs="Arial"/>
          <w:spacing w:val="-3"/>
          <w:lang w:val="es-CO"/>
        </w:rPr>
        <w:t>Iniciativa colombiana de polinizadores</w:t>
      </w:r>
      <w:r w:rsidR="00DB087B" w:rsidRPr="00BD1319">
        <w:rPr>
          <w:rFonts w:cs="Arial"/>
          <w:spacing w:val="-3"/>
          <w:lang w:val="es-CO"/>
        </w:rPr>
        <w:t>. Disponible en</w:t>
      </w:r>
      <w:r w:rsidRPr="00BD1319">
        <w:rPr>
          <w:rFonts w:cs="Arial"/>
          <w:spacing w:val="-3"/>
          <w:lang w:val="es-CO"/>
        </w:rPr>
        <w:t>:</w:t>
      </w:r>
    </w:p>
    <w:p w14:paraId="285B0D7C" w14:textId="592D7A63" w:rsidR="008D5CC9" w:rsidRPr="00BD1319" w:rsidRDefault="00B9500B" w:rsidP="009420F5">
      <w:pPr>
        <w:pStyle w:val="Prrafodelista"/>
        <w:tabs>
          <w:tab w:val="left" w:pos="-2268"/>
        </w:tabs>
        <w:suppressAutoHyphens/>
        <w:ind w:left="567"/>
        <w:rPr>
          <w:rFonts w:cs="Arial"/>
          <w:spacing w:val="-3"/>
          <w:lang w:val="es-CO"/>
        </w:rPr>
      </w:pPr>
      <w:r w:rsidRPr="00BD1319">
        <w:rPr>
          <w:lang w:val="es-CO"/>
        </w:rPr>
        <w:t>http://www.minambiente.gov.co/images/BosquesBiodiversidadyServiciosEcosistemicos/pdf/Planes-para-la-conservacion-y-uso-de-la-biodiversidad/INICIATIVA_COLOMBIANA_DE_POLINIZADORES_-_ICP_2018.pdf</w:t>
      </w:r>
      <w:r w:rsidR="00DB087B" w:rsidRPr="00BD1319">
        <w:rPr>
          <w:rFonts w:cs="Arial"/>
          <w:spacing w:val="-3"/>
          <w:lang w:val="es-CO"/>
        </w:rPr>
        <w:t>.</w:t>
      </w:r>
    </w:p>
    <w:p w14:paraId="76D9FBF0" w14:textId="77777777" w:rsidR="000A3702" w:rsidRPr="00BD1319" w:rsidRDefault="000A3702" w:rsidP="008D5CC9">
      <w:pPr>
        <w:tabs>
          <w:tab w:val="left" w:pos="-2268"/>
        </w:tabs>
        <w:suppressAutoHyphens/>
        <w:rPr>
          <w:rFonts w:cs="Arial"/>
          <w:spacing w:val="-3"/>
        </w:rPr>
      </w:pPr>
    </w:p>
    <w:p w14:paraId="3A7CE737" w14:textId="346FDFC9" w:rsidR="008D5CC9" w:rsidRPr="00BD1319" w:rsidRDefault="008D5CC9" w:rsidP="008D5CC9">
      <w:pPr>
        <w:numPr>
          <w:ilvl w:val="12"/>
          <w:numId w:val="0"/>
        </w:numPr>
        <w:tabs>
          <w:tab w:val="left" w:pos="-2268"/>
        </w:tabs>
        <w:suppressAutoHyphens/>
        <w:rPr>
          <w:rFonts w:cs="Arial"/>
          <w:spacing w:val="-3"/>
        </w:rPr>
      </w:pPr>
      <w:r w:rsidRPr="00BD1319">
        <w:rPr>
          <w:rFonts w:cs="Arial"/>
          <w:spacing w:val="-3"/>
        </w:rPr>
        <w:t xml:space="preserve">La caracterización </w:t>
      </w:r>
      <w:r w:rsidR="000A3702" w:rsidRPr="00BD1319">
        <w:rPr>
          <w:rFonts w:cs="Arial"/>
          <w:spacing w:val="-3"/>
        </w:rPr>
        <w:t xml:space="preserve">se </w:t>
      </w:r>
      <w:r w:rsidR="000A3702" w:rsidRPr="00BD1319">
        <w:rPr>
          <w:spacing w:val="-3"/>
        </w:rPr>
        <w:t xml:space="preserve">debe realizar para cada </w:t>
      </w:r>
      <w:r w:rsidR="002442B1" w:rsidRPr="00BD1319">
        <w:rPr>
          <w:spacing w:val="-3"/>
        </w:rPr>
        <w:t xml:space="preserve">uno de los </w:t>
      </w:r>
      <w:r w:rsidR="00394D50" w:rsidRPr="00BD1319">
        <w:rPr>
          <w:rFonts w:cs="Arial"/>
          <w:spacing w:val="-3"/>
        </w:rPr>
        <w:t>ecosistema</w:t>
      </w:r>
      <w:r w:rsidR="002442B1" w:rsidRPr="00BD1319">
        <w:rPr>
          <w:rFonts w:cs="Arial"/>
          <w:spacing w:val="-3"/>
        </w:rPr>
        <w:t>s</w:t>
      </w:r>
      <w:r w:rsidR="000A3702" w:rsidRPr="00BD1319">
        <w:rPr>
          <w:rFonts w:cs="Arial"/>
          <w:spacing w:val="-3"/>
        </w:rPr>
        <w:t xml:space="preserve"> </w:t>
      </w:r>
      <w:r w:rsidR="00E12947" w:rsidRPr="00BD1319">
        <w:rPr>
          <w:rFonts w:cs="Arial"/>
          <w:spacing w:val="-3"/>
        </w:rPr>
        <w:t>d</w:t>
      </w:r>
      <w:r w:rsidR="00394D50" w:rsidRPr="00BD1319">
        <w:rPr>
          <w:rFonts w:cs="Arial"/>
          <w:spacing w:val="-3"/>
        </w:rPr>
        <w:t xml:space="preserve">el área de influencia </w:t>
      </w:r>
      <w:r w:rsidR="009F1479" w:rsidRPr="00BD1319">
        <w:rPr>
          <w:rFonts w:cs="Arial"/>
          <w:spacing w:val="-3"/>
        </w:rPr>
        <w:t xml:space="preserve">(determinados según los lineamientos del numeral </w:t>
      </w:r>
      <w:r w:rsidR="009F1479" w:rsidRPr="00BD1319">
        <w:rPr>
          <w:rFonts w:cs="Arial"/>
          <w:spacing w:val="-3"/>
        </w:rPr>
        <w:fldChar w:fldCharType="begin"/>
      </w:r>
      <w:r w:rsidR="009F1479" w:rsidRPr="00BD1319">
        <w:rPr>
          <w:rFonts w:cs="Arial"/>
          <w:spacing w:val="-3"/>
        </w:rPr>
        <w:instrText xml:space="preserve"> REF _Ref78538891 \r \h </w:instrText>
      </w:r>
      <w:r w:rsidR="00BD1319">
        <w:rPr>
          <w:rFonts w:cs="Arial"/>
          <w:spacing w:val="-3"/>
        </w:rPr>
        <w:instrText xml:space="preserve"> \* MERGEFORMAT </w:instrText>
      </w:r>
      <w:r w:rsidR="009F1479" w:rsidRPr="00BD1319">
        <w:rPr>
          <w:rFonts w:cs="Arial"/>
          <w:spacing w:val="-3"/>
        </w:rPr>
      </w:r>
      <w:r w:rsidR="009F1479" w:rsidRPr="00BD1319">
        <w:rPr>
          <w:rFonts w:cs="Arial"/>
          <w:spacing w:val="-3"/>
        </w:rPr>
        <w:fldChar w:fldCharType="separate"/>
      </w:r>
      <w:r w:rsidR="00296654" w:rsidRPr="00BD1319">
        <w:rPr>
          <w:rFonts w:cs="Arial"/>
          <w:spacing w:val="-3"/>
        </w:rPr>
        <w:t>4.2.1</w:t>
      </w:r>
      <w:r w:rsidR="009F1479" w:rsidRPr="00BD1319">
        <w:rPr>
          <w:rFonts w:cs="Arial"/>
          <w:spacing w:val="-3"/>
        </w:rPr>
        <w:fldChar w:fldCharType="end"/>
      </w:r>
      <w:r w:rsidR="009F1479" w:rsidRPr="00BD1319">
        <w:rPr>
          <w:rFonts w:cs="Arial"/>
          <w:spacing w:val="-3"/>
        </w:rPr>
        <w:t xml:space="preserve">) </w:t>
      </w:r>
      <w:r w:rsidR="00D74F0E" w:rsidRPr="00BD1319">
        <w:rPr>
          <w:rFonts w:cs="Arial"/>
          <w:spacing w:val="-3"/>
        </w:rPr>
        <w:t xml:space="preserve">siguiendo los lineamientos que se describen en los numerales </w:t>
      </w:r>
      <w:r w:rsidR="00D74F0E" w:rsidRPr="00BD1319">
        <w:rPr>
          <w:rFonts w:cs="Arial"/>
          <w:spacing w:val="-3"/>
        </w:rPr>
        <w:fldChar w:fldCharType="begin"/>
      </w:r>
      <w:r w:rsidR="00D74F0E" w:rsidRPr="00BD1319">
        <w:rPr>
          <w:rFonts w:cs="Arial"/>
          <w:spacing w:val="-3"/>
        </w:rPr>
        <w:instrText xml:space="preserve"> REF _Ref76394734 \r \h </w:instrText>
      </w:r>
      <w:r w:rsidR="006A4128" w:rsidRPr="00BD1319">
        <w:rPr>
          <w:rFonts w:cs="Arial"/>
          <w:spacing w:val="-3"/>
        </w:rPr>
        <w:instrText xml:space="preserve"> \* MERGEFORMAT </w:instrText>
      </w:r>
      <w:r w:rsidR="00D74F0E" w:rsidRPr="00BD1319">
        <w:rPr>
          <w:rFonts w:cs="Arial"/>
          <w:spacing w:val="-3"/>
        </w:rPr>
      </w:r>
      <w:r w:rsidR="00D74F0E" w:rsidRPr="00BD1319">
        <w:rPr>
          <w:rFonts w:cs="Arial"/>
          <w:spacing w:val="-3"/>
        </w:rPr>
        <w:fldChar w:fldCharType="separate"/>
      </w:r>
      <w:r w:rsidR="00296654" w:rsidRPr="00BD1319">
        <w:rPr>
          <w:rFonts w:cs="Arial"/>
          <w:spacing w:val="-3"/>
        </w:rPr>
        <w:t>4.2.2.1.1</w:t>
      </w:r>
      <w:r w:rsidR="00D74F0E" w:rsidRPr="00BD1319">
        <w:rPr>
          <w:rFonts w:cs="Arial"/>
          <w:spacing w:val="-3"/>
        </w:rPr>
        <w:fldChar w:fldCharType="end"/>
      </w:r>
      <w:r w:rsidR="00D74F0E" w:rsidRPr="00BD1319">
        <w:rPr>
          <w:rFonts w:cs="Arial"/>
          <w:spacing w:val="-3"/>
        </w:rPr>
        <w:t xml:space="preserve"> y</w:t>
      </w:r>
      <w:r w:rsidR="00D57C8A" w:rsidRPr="00BD1319">
        <w:rPr>
          <w:rFonts w:cs="Arial"/>
          <w:spacing w:val="-3"/>
        </w:rPr>
        <w:t xml:space="preserve"> </w:t>
      </w:r>
      <w:r w:rsidR="00D57C8A" w:rsidRPr="00BD1319">
        <w:rPr>
          <w:rFonts w:cs="Arial"/>
          <w:spacing w:val="-3"/>
        </w:rPr>
        <w:fldChar w:fldCharType="begin"/>
      </w:r>
      <w:r w:rsidR="00D57C8A" w:rsidRPr="00BD1319">
        <w:rPr>
          <w:rFonts w:cs="Arial"/>
          <w:spacing w:val="-3"/>
        </w:rPr>
        <w:instrText xml:space="preserve"> REF _Ref81911794 \r \h </w:instrText>
      </w:r>
      <w:r w:rsidR="00BD1319">
        <w:rPr>
          <w:rFonts w:cs="Arial"/>
          <w:spacing w:val="-3"/>
        </w:rPr>
        <w:instrText xml:space="preserve"> \* MERGEFORMAT </w:instrText>
      </w:r>
      <w:r w:rsidR="00D57C8A" w:rsidRPr="00BD1319">
        <w:rPr>
          <w:rFonts w:cs="Arial"/>
          <w:spacing w:val="-3"/>
        </w:rPr>
      </w:r>
      <w:r w:rsidR="00D57C8A" w:rsidRPr="00BD1319">
        <w:rPr>
          <w:rFonts w:cs="Arial"/>
          <w:spacing w:val="-3"/>
        </w:rPr>
        <w:fldChar w:fldCharType="separate"/>
      </w:r>
      <w:r w:rsidR="00296654" w:rsidRPr="00BD1319">
        <w:rPr>
          <w:rFonts w:cs="Arial"/>
          <w:spacing w:val="-3"/>
        </w:rPr>
        <w:t>4.2.2.1.2</w:t>
      </w:r>
      <w:r w:rsidR="00D57C8A" w:rsidRPr="00BD1319">
        <w:rPr>
          <w:rFonts w:cs="Arial"/>
          <w:spacing w:val="-3"/>
        </w:rPr>
        <w:fldChar w:fldCharType="end"/>
      </w:r>
      <w:r w:rsidR="00D74F0E" w:rsidRPr="00BD1319">
        <w:rPr>
          <w:rFonts w:cs="Arial"/>
          <w:spacing w:val="-3"/>
        </w:rPr>
        <w:t xml:space="preserve">, </w:t>
      </w:r>
      <w:r w:rsidR="00166B14" w:rsidRPr="00BD1319">
        <w:rPr>
          <w:rFonts w:cs="Arial"/>
          <w:spacing w:val="-3"/>
        </w:rPr>
        <w:t>debe referirse a</w:t>
      </w:r>
      <w:r w:rsidR="000A3702" w:rsidRPr="00BD1319">
        <w:rPr>
          <w:rFonts w:cs="Arial"/>
          <w:spacing w:val="-3"/>
        </w:rPr>
        <w:t xml:space="preserve"> las categorías de tamaño fustal, latizal, brinzal</w:t>
      </w:r>
      <w:r w:rsidR="00C82121" w:rsidRPr="00BD1319">
        <w:rPr>
          <w:rFonts w:cs="Arial"/>
          <w:spacing w:val="-3"/>
        </w:rPr>
        <w:t xml:space="preserve"> y </w:t>
      </w:r>
      <w:r w:rsidR="00841202" w:rsidRPr="00BD1319">
        <w:rPr>
          <w:rFonts w:cs="Arial"/>
          <w:spacing w:val="-3"/>
        </w:rPr>
        <w:t xml:space="preserve">a </w:t>
      </w:r>
      <w:r w:rsidR="00C82121" w:rsidRPr="00BD1319">
        <w:rPr>
          <w:rFonts w:cs="Arial"/>
          <w:spacing w:val="-3"/>
        </w:rPr>
        <w:t>otros tipos de vegetación,</w:t>
      </w:r>
      <w:r w:rsidR="00166B14" w:rsidRPr="00BD1319">
        <w:rPr>
          <w:rFonts w:cs="Arial"/>
          <w:spacing w:val="-3"/>
        </w:rPr>
        <w:t xml:space="preserve"> y</w:t>
      </w:r>
      <w:r w:rsidRPr="00BD1319">
        <w:rPr>
          <w:rFonts w:cs="Arial"/>
          <w:spacing w:val="-3"/>
        </w:rPr>
        <w:t xml:space="preserve"> aplica</w:t>
      </w:r>
      <w:r w:rsidR="00166B14" w:rsidRPr="00BD1319">
        <w:rPr>
          <w:rFonts w:cs="Arial"/>
          <w:spacing w:val="-3"/>
        </w:rPr>
        <w:t xml:space="preserve">r </w:t>
      </w:r>
      <w:r w:rsidR="00E12947" w:rsidRPr="00BD1319">
        <w:rPr>
          <w:rFonts w:cs="Arial"/>
          <w:spacing w:val="-3"/>
        </w:rPr>
        <w:t xml:space="preserve">muestreos y </w:t>
      </w:r>
      <w:r w:rsidR="00D74F0E" w:rsidRPr="00BD1319">
        <w:rPr>
          <w:rFonts w:cs="Arial"/>
          <w:spacing w:val="-3"/>
        </w:rPr>
        <w:t>método</w:t>
      </w:r>
      <w:r w:rsidR="00E12947" w:rsidRPr="00BD1319">
        <w:rPr>
          <w:rFonts w:cs="Arial"/>
          <w:spacing w:val="-3"/>
        </w:rPr>
        <w:t>s</w:t>
      </w:r>
      <w:r w:rsidR="00D74F0E" w:rsidRPr="00BD1319">
        <w:rPr>
          <w:rFonts w:cs="Arial"/>
          <w:spacing w:val="-3"/>
        </w:rPr>
        <w:t xml:space="preserve"> </w:t>
      </w:r>
      <w:r w:rsidRPr="00BD1319">
        <w:rPr>
          <w:rFonts w:cs="Arial"/>
          <w:spacing w:val="-3"/>
        </w:rPr>
        <w:t>de ecología vegetal</w:t>
      </w:r>
      <w:r w:rsidR="00166B14" w:rsidRPr="00BD1319">
        <w:rPr>
          <w:rFonts w:cs="Arial"/>
          <w:spacing w:val="-3"/>
        </w:rPr>
        <w:t xml:space="preserve"> adecuados a las características de la vegetación </w:t>
      </w:r>
      <w:r w:rsidR="00DE34D4" w:rsidRPr="00BD1319">
        <w:rPr>
          <w:rFonts w:cs="Arial"/>
          <w:spacing w:val="-3"/>
        </w:rPr>
        <w:t>observa</w:t>
      </w:r>
      <w:r w:rsidR="00166B14" w:rsidRPr="00BD1319">
        <w:rPr>
          <w:rFonts w:cs="Arial"/>
          <w:spacing w:val="-3"/>
        </w:rPr>
        <w:t>da en campo</w:t>
      </w:r>
      <w:r w:rsidRPr="00BD1319">
        <w:rPr>
          <w:rFonts w:cs="Arial"/>
          <w:spacing w:val="-3"/>
        </w:rPr>
        <w:t>.</w:t>
      </w:r>
    </w:p>
    <w:p w14:paraId="64BF043E" w14:textId="77777777" w:rsidR="008D5CC9" w:rsidRPr="00BD1319" w:rsidRDefault="008D5CC9" w:rsidP="008D5CC9">
      <w:pPr>
        <w:numPr>
          <w:ilvl w:val="12"/>
          <w:numId w:val="0"/>
        </w:numPr>
        <w:tabs>
          <w:tab w:val="left" w:pos="-2268"/>
        </w:tabs>
        <w:suppressAutoHyphens/>
        <w:rPr>
          <w:rFonts w:cs="Arial"/>
          <w:spacing w:val="-3"/>
        </w:rPr>
      </w:pPr>
    </w:p>
    <w:p w14:paraId="0F12A182" w14:textId="2F2EA448" w:rsidR="008D5CC9" w:rsidRPr="00BD1319" w:rsidRDefault="008D5CC9" w:rsidP="008D5CC9">
      <w:pPr>
        <w:numPr>
          <w:ilvl w:val="12"/>
          <w:numId w:val="0"/>
        </w:numPr>
        <w:tabs>
          <w:tab w:val="left" w:pos="-2268"/>
        </w:tabs>
        <w:suppressAutoHyphens/>
        <w:rPr>
          <w:rFonts w:cs="Arial"/>
          <w:spacing w:val="-3"/>
        </w:rPr>
      </w:pPr>
      <w:r w:rsidRPr="00BD1319">
        <w:rPr>
          <w:rFonts w:cs="Arial"/>
          <w:spacing w:val="-3"/>
        </w:rPr>
        <w:t xml:space="preserve">El método </w:t>
      </w:r>
      <w:r w:rsidR="001256B9" w:rsidRPr="00BD1319">
        <w:rPr>
          <w:rFonts w:cs="Arial"/>
          <w:spacing w:val="-3"/>
        </w:rPr>
        <w:t xml:space="preserve">que se establezca </w:t>
      </w:r>
      <w:r w:rsidRPr="00BD1319">
        <w:rPr>
          <w:rFonts w:cs="Arial"/>
          <w:spacing w:val="-3"/>
        </w:rPr>
        <w:t xml:space="preserve">para la caracterización debe tener validez científica suficiente y su selección debe justificarse con el fin de dar confiabilidad a los resultados </w:t>
      </w:r>
      <w:r w:rsidR="001256B9" w:rsidRPr="00BD1319">
        <w:rPr>
          <w:rFonts w:cs="Arial"/>
          <w:spacing w:val="-3"/>
        </w:rPr>
        <w:t xml:space="preserve">que se </w:t>
      </w:r>
      <w:r w:rsidRPr="00BD1319">
        <w:rPr>
          <w:rFonts w:cs="Arial"/>
          <w:spacing w:val="-3"/>
        </w:rPr>
        <w:t>obten</w:t>
      </w:r>
      <w:r w:rsidR="001256B9" w:rsidRPr="00BD1319">
        <w:rPr>
          <w:rFonts w:cs="Arial"/>
          <w:spacing w:val="-3"/>
        </w:rPr>
        <w:t>gan</w:t>
      </w:r>
      <w:r w:rsidRPr="00BD1319">
        <w:rPr>
          <w:rFonts w:cs="Arial"/>
          <w:spacing w:val="-3"/>
        </w:rPr>
        <w:t>.</w:t>
      </w:r>
    </w:p>
    <w:p w14:paraId="58CAA9AE" w14:textId="77777777" w:rsidR="008D5CC9" w:rsidRPr="00BD1319" w:rsidRDefault="008D5CC9" w:rsidP="008D5CC9">
      <w:pPr>
        <w:numPr>
          <w:ilvl w:val="12"/>
          <w:numId w:val="0"/>
        </w:numPr>
        <w:tabs>
          <w:tab w:val="left" w:pos="-2268"/>
        </w:tabs>
        <w:suppressAutoHyphens/>
        <w:rPr>
          <w:rFonts w:cs="Arial"/>
          <w:spacing w:val="-3"/>
        </w:rPr>
      </w:pPr>
    </w:p>
    <w:p w14:paraId="71DC4D8D" w14:textId="7DDB2D3D" w:rsidR="008D5CC9" w:rsidRPr="00BD1319" w:rsidRDefault="008D5CC9" w:rsidP="008D5CC9">
      <w:pPr>
        <w:numPr>
          <w:ilvl w:val="12"/>
          <w:numId w:val="0"/>
        </w:numPr>
        <w:tabs>
          <w:tab w:val="left" w:pos="-2268"/>
        </w:tabs>
        <w:suppressAutoHyphens/>
        <w:rPr>
          <w:rFonts w:cs="Arial"/>
          <w:spacing w:val="-3"/>
        </w:rPr>
      </w:pPr>
      <w:r w:rsidRPr="00BD1319">
        <w:rPr>
          <w:rFonts w:cs="Arial"/>
          <w:spacing w:val="-3"/>
        </w:rPr>
        <w:t xml:space="preserve">A </w:t>
      </w:r>
      <w:r w:rsidR="00434EA7" w:rsidRPr="00BD1319">
        <w:rPr>
          <w:rFonts w:cs="Arial"/>
          <w:spacing w:val="-3"/>
        </w:rPr>
        <w:t>continuación,</w:t>
      </w:r>
      <w:r w:rsidRPr="00BD1319">
        <w:rPr>
          <w:rFonts w:cs="Arial"/>
          <w:spacing w:val="-3"/>
        </w:rPr>
        <w:t xml:space="preserve"> se relacionan algunos documentos que describen metodologías para </w:t>
      </w:r>
      <w:r w:rsidR="001256B9" w:rsidRPr="00BD1319">
        <w:rPr>
          <w:rFonts w:cs="Arial"/>
          <w:spacing w:val="-3"/>
        </w:rPr>
        <w:t xml:space="preserve">la </w:t>
      </w:r>
      <w:r w:rsidRPr="00BD1319">
        <w:rPr>
          <w:rFonts w:cs="Arial"/>
          <w:spacing w:val="-3"/>
        </w:rPr>
        <w:t>caracteriza</w:t>
      </w:r>
      <w:r w:rsidR="001256B9" w:rsidRPr="00BD1319">
        <w:rPr>
          <w:rFonts w:cs="Arial"/>
          <w:spacing w:val="-3"/>
        </w:rPr>
        <w:t xml:space="preserve">ción de </w:t>
      </w:r>
      <w:r w:rsidRPr="00BD1319">
        <w:rPr>
          <w:rFonts w:cs="Arial"/>
          <w:spacing w:val="-3"/>
        </w:rPr>
        <w:t>vegeta</w:t>
      </w:r>
      <w:r w:rsidR="001256B9" w:rsidRPr="00BD1319">
        <w:rPr>
          <w:rFonts w:cs="Arial"/>
          <w:spacing w:val="-3"/>
        </w:rPr>
        <w:t xml:space="preserve">ción </w:t>
      </w:r>
      <w:r w:rsidRPr="00BD1319">
        <w:rPr>
          <w:rFonts w:cs="Arial"/>
          <w:spacing w:val="-3"/>
        </w:rPr>
        <w:t>que pueden ser usados como referencia:</w:t>
      </w:r>
    </w:p>
    <w:p w14:paraId="2B981628" w14:textId="77777777" w:rsidR="008D5CC9" w:rsidRPr="00BD1319" w:rsidRDefault="008D5CC9" w:rsidP="008D5CC9">
      <w:pPr>
        <w:numPr>
          <w:ilvl w:val="12"/>
          <w:numId w:val="0"/>
        </w:numPr>
        <w:tabs>
          <w:tab w:val="left" w:pos="-2268"/>
        </w:tabs>
        <w:suppressAutoHyphens/>
        <w:rPr>
          <w:rFonts w:cs="Arial"/>
          <w:spacing w:val="-3"/>
        </w:rPr>
      </w:pPr>
    </w:p>
    <w:p w14:paraId="0496C0A5" w14:textId="77777777" w:rsidR="008D5CC9" w:rsidRPr="00BD1319" w:rsidRDefault="008D5CC9" w:rsidP="008D5CC9">
      <w:pPr>
        <w:pStyle w:val="Prrafodelista"/>
        <w:numPr>
          <w:ilvl w:val="0"/>
          <w:numId w:val="83"/>
        </w:numPr>
        <w:tabs>
          <w:tab w:val="left" w:pos="-2268"/>
        </w:tabs>
        <w:suppressAutoHyphens/>
        <w:ind w:left="567" w:hanging="567"/>
        <w:rPr>
          <w:rFonts w:cs="Arial"/>
          <w:spacing w:val="-3"/>
          <w:lang w:val="es-CO"/>
        </w:rPr>
      </w:pPr>
      <w:r w:rsidRPr="00BD1319">
        <w:rPr>
          <w:rFonts w:cs="Arial"/>
          <w:spacing w:val="-3"/>
          <w:lang w:val="es-CO"/>
        </w:rPr>
        <w:t>Fitosociología. Bases para el estudio de las comunidades vegetales de Braun Blanquet (1979).</w:t>
      </w:r>
    </w:p>
    <w:p w14:paraId="266931B1" w14:textId="77777777" w:rsidR="008D5CC9" w:rsidRPr="00BD1319" w:rsidRDefault="008D5CC9" w:rsidP="008D5CC9">
      <w:pPr>
        <w:numPr>
          <w:ilvl w:val="12"/>
          <w:numId w:val="0"/>
        </w:numPr>
        <w:tabs>
          <w:tab w:val="left" w:pos="-2268"/>
        </w:tabs>
        <w:suppressAutoHyphens/>
        <w:rPr>
          <w:spacing w:val="-3"/>
        </w:rPr>
      </w:pPr>
    </w:p>
    <w:p w14:paraId="2CA40C2C" w14:textId="77777777" w:rsidR="008D5CC9" w:rsidRPr="00BD1319" w:rsidRDefault="008D5CC9" w:rsidP="008D5CC9">
      <w:pPr>
        <w:pStyle w:val="Prrafodelista"/>
        <w:numPr>
          <w:ilvl w:val="0"/>
          <w:numId w:val="83"/>
        </w:numPr>
        <w:tabs>
          <w:tab w:val="left" w:pos="-2268"/>
        </w:tabs>
        <w:suppressAutoHyphens/>
        <w:ind w:left="567" w:hanging="567"/>
        <w:rPr>
          <w:rFonts w:cs="Arial"/>
          <w:spacing w:val="-3"/>
          <w:lang w:val="en-US"/>
        </w:rPr>
      </w:pPr>
      <w:r w:rsidRPr="00BD1319">
        <w:rPr>
          <w:rFonts w:cs="Arial"/>
          <w:spacing w:val="-3"/>
          <w:lang w:val="en-US"/>
        </w:rPr>
        <w:t>Patterns of Neotropical plant species diversity de Gentry (1982).</w:t>
      </w:r>
    </w:p>
    <w:p w14:paraId="2C73C8A8" w14:textId="77777777" w:rsidR="008D5CC9" w:rsidRPr="00BD1319" w:rsidRDefault="008D5CC9" w:rsidP="008D5CC9">
      <w:pPr>
        <w:tabs>
          <w:tab w:val="left" w:pos="-2268"/>
        </w:tabs>
        <w:suppressAutoHyphens/>
        <w:rPr>
          <w:spacing w:val="-3"/>
          <w:lang w:val="en-US"/>
        </w:rPr>
      </w:pPr>
    </w:p>
    <w:p w14:paraId="70E5923F" w14:textId="77777777" w:rsidR="008D5CC9" w:rsidRPr="00BD1319" w:rsidRDefault="008D5CC9" w:rsidP="008D5CC9">
      <w:pPr>
        <w:pStyle w:val="Prrafodelista"/>
        <w:numPr>
          <w:ilvl w:val="0"/>
          <w:numId w:val="83"/>
        </w:numPr>
        <w:tabs>
          <w:tab w:val="left" w:pos="-2268"/>
        </w:tabs>
        <w:suppressAutoHyphens/>
        <w:ind w:left="567" w:hanging="567"/>
        <w:rPr>
          <w:rFonts w:cs="Arial"/>
          <w:spacing w:val="-3"/>
          <w:lang w:val="es-CO"/>
        </w:rPr>
      </w:pPr>
      <w:r w:rsidRPr="00BD1319">
        <w:rPr>
          <w:rFonts w:cs="Arial"/>
          <w:spacing w:val="-3"/>
          <w:lang w:val="es-CO"/>
        </w:rPr>
        <w:t xml:space="preserve">Metodología para el estudio de la vegetación de </w:t>
      </w:r>
      <w:proofErr w:type="spellStart"/>
      <w:r w:rsidRPr="00BD1319">
        <w:rPr>
          <w:rFonts w:cs="Arial"/>
          <w:spacing w:val="-3"/>
          <w:lang w:val="es-CO"/>
        </w:rPr>
        <w:t>Matteucci</w:t>
      </w:r>
      <w:proofErr w:type="spellEnd"/>
      <w:r w:rsidRPr="00BD1319">
        <w:rPr>
          <w:rFonts w:cs="Arial"/>
          <w:spacing w:val="-3"/>
          <w:lang w:val="es-CO"/>
        </w:rPr>
        <w:t xml:space="preserve"> y Colma (1982).</w:t>
      </w:r>
    </w:p>
    <w:p w14:paraId="32286416" w14:textId="77777777" w:rsidR="008D5CC9" w:rsidRPr="00BD1319" w:rsidRDefault="008D5CC9" w:rsidP="008D5CC9">
      <w:pPr>
        <w:tabs>
          <w:tab w:val="left" w:pos="-2268"/>
        </w:tabs>
        <w:suppressAutoHyphens/>
        <w:rPr>
          <w:spacing w:val="-3"/>
        </w:rPr>
      </w:pPr>
    </w:p>
    <w:p w14:paraId="52947ABB" w14:textId="74F31E68" w:rsidR="008D5CC9" w:rsidRPr="00BD1319" w:rsidRDefault="008D5CC9" w:rsidP="008D5CC9">
      <w:pPr>
        <w:pStyle w:val="Prrafodelista"/>
        <w:numPr>
          <w:ilvl w:val="0"/>
          <w:numId w:val="83"/>
        </w:numPr>
        <w:tabs>
          <w:tab w:val="left" w:pos="-2268"/>
        </w:tabs>
        <w:suppressAutoHyphens/>
        <w:ind w:left="567" w:hanging="567"/>
        <w:rPr>
          <w:rFonts w:cs="Arial"/>
          <w:spacing w:val="-3"/>
          <w:lang w:val="es-CO"/>
        </w:rPr>
      </w:pPr>
      <w:r w:rsidRPr="00BD1319">
        <w:rPr>
          <w:rFonts w:cs="Arial"/>
          <w:spacing w:val="-3"/>
          <w:lang w:val="es-CO"/>
        </w:rPr>
        <w:t>Métodos de estudio de la vegetación de Rangel y Velá</w:t>
      </w:r>
      <w:r w:rsidR="00957548" w:rsidRPr="00BD1319">
        <w:rPr>
          <w:rFonts w:cs="Arial"/>
          <w:spacing w:val="-3"/>
          <w:lang w:val="es-CO"/>
        </w:rPr>
        <w:t>z</w:t>
      </w:r>
      <w:r w:rsidRPr="00BD1319">
        <w:rPr>
          <w:rFonts w:cs="Arial"/>
          <w:spacing w:val="-3"/>
          <w:lang w:val="es-CO"/>
        </w:rPr>
        <w:t>quez (1997).</w:t>
      </w:r>
    </w:p>
    <w:p w14:paraId="25353080" w14:textId="77777777" w:rsidR="008D5CC9" w:rsidRPr="00BD1319" w:rsidRDefault="008D5CC9" w:rsidP="008D5CC9">
      <w:pPr>
        <w:tabs>
          <w:tab w:val="left" w:pos="-2268"/>
        </w:tabs>
        <w:suppressAutoHyphens/>
        <w:rPr>
          <w:spacing w:val="-3"/>
        </w:rPr>
      </w:pPr>
    </w:p>
    <w:p w14:paraId="04926CCE" w14:textId="2B61397F" w:rsidR="008D5CC9" w:rsidRPr="00BD1319" w:rsidRDefault="008D5CC9" w:rsidP="008D5CC9">
      <w:pPr>
        <w:pStyle w:val="Prrafodelista"/>
        <w:numPr>
          <w:ilvl w:val="0"/>
          <w:numId w:val="83"/>
        </w:numPr>
        <w:tabs>
          <w:tab w:val="left" w:pos="-2268"/>
        </w:tabs>
        <w:suppressAutoHyphens/>
        <w:ind w:left="567" w:hanging="567"/>
        <w:rPr>
          <w:rFonts w:cs="Arial"/>
          <w:spacing w:val="-3"/>
          <w:lang w:val="es-CO"/>
        </w:rPr>
      </w:pPr>
      <w:r w:rsidRPr="00BD1319">
        <w:rPr>
          <w:rFonts w:cs="Arial"/>
          <w:spacing w:val="-3"/>
          <w:lang w:val="es-CO"/>
        </w:rPr>
        <w:t xml:space="preserve">Manual de métodos para el desarrollo de inventarios de biodiversidad </w:t>
      </w:r>
      <w:r w:rsidR="00043866" w:rsidRPr="00BD1319">
        <w:rPr>
          <w:rFonts w:cs="Arial"/>
          <w:spacing w:val="-3"/>
          <w:lang w:val="es-CO"/>
        </w:rPr>
        <w:t xml:space="preserve">de </w:t>
      </w:r>
      <w:r w:rsidRPr="00BD1319">
        <w:rPr>
          <w:rFonts w:cs="Arial"/>
          <w:spacing w:val="-3"/>
          <w:lang w:val="es-CO"/>
        </w:rPr>
        <w:t>Villar</w:t>
      </w:r>
      <w:r w:rsidR="00C34E67" w:rsidRPr="00BD1319">
        <w:rPr>
          <w:rFonts w:cs="Arial"/>
          <w:spacing w:val="-3"/>
          <w:lang w:val="es-CO"/>
        </w:rPr>
        <w:t>r</w:t>
      </w:r>
      <w:r w:rsidRPr="00BD1319">
        <w:rPr>
          <w:rFonts w:cs="Arial"/>
          <w:spacing w:val="-3"/>
          <w:lang w:val="es-CO"/>
        </w:rPr>
        <w:t>eal et al</w:t>
      </w:r>
      <w:r w:rsidR="00EF52A8" w:rsidRPr="00BD1319">
        <w:rPr>
          <w:rFonts w:cs="Arial"/>
          <w:spacing w:val="-3"/>
          <w:lang w:val="es-CO"/>
        </w:rPr>
        <w:t>.</w:t>
      </w:r>
      <w:r w:rsidRPr="00BD1319">
        <w:rPr>
          <w:rFonts w:cs="Arial"/>
          <w:spacing w:val="-3"/>
          <w:lang w:val="es-CO"/>
        </w:rPr>
        <w:t xml:space="preserve"> </w:t>
      </w:r>
      <w:r w:rsidR="00043866" w:rsidRPr="00BD1319">
        <w:rPr>
          <w:rFonts w:cs="Arial"/>
          <w:spacing w:val="-3"/>
          <w:lang w:val="es-CO"/>
        </w:rPr>
        <w:t>(</w:t>
      </w:r>
      <w:r w:rsidRPr="00BD1319">
        <w:rPr>
          <w:rFonts w:cs="Arial"/>
          <w:spacing w:val="-3"/>
          <w:lang w:val="es-CO"/>
        </w:rPr>
        <w:t>200</w:t>
      </w:r>
      <w:r w:rsidR="00C34E67" w:rsidRPr="00BD1319">
        <w:rPr>
          <w:rFonts w:cs="Arial"/>
          <w:spacing w:val="-3"/>
          <w:lang w:val="es-CO"/>
        </w:rPr>
        <w:t>4</w:t>
      </w:r>
      <w:r w:rsidRPr="00BD1319">
        <w:rPr>
          <w:rFonts w:cs="Arial"/>
          <w:spacing w:val="-3"/>
          <w:lang w:val="es-CO"/>
        </w:rPr>
        <w:t>)</w:t>
      </w:r>
      <w:r w:rsidR="009F17A8" w:rsidRPr="00BD1319">
        <w:rPr>
          <w:rFonts w:cs="Arial"/>
          <w:spacing w:val="-3"/>
          <w:lang w:val="es-CO"/>
        </w:rPr>
        <w:t>.</w:t>
      </w:r>
    </w:p>
    <w:p w14:paraId="0064C733" w14:textId="77777777" w:rsidR="008D5CC9" w:rsidRPr="00BD1319" w:rsidRDefault="008D5CC9" w:rsidP="008D5CC9">
      <w:pPr>
        <w:tabs>
          <w:tab w:val="left" w:pos="-2268"/>
        </w:tabs>
        <w:suppressAutoHyphens/>
        <w:rPr>
          <w:rFonts w:cs="Arial"/>
          <w:spacing w:val="-3"/>
        </w:rPr>
      </w:pPr>
    </w:p>
    <w:p w14:paraId="353A9105" w14:textId="77777777" w:rsidR="008D5CC9" w:rsidRPr="00BD1319" w:rsidRDefault="008D5CC9" w:rsidP="008D5CC9">
      <w:pPr>
        <w:pStyle w:val="Prrafodelista"/>
        <w:numPr>
          <w:ilvl w:val="0"/>
          <w:numId w:val="83"/>
        </w:numPr>
        <w:tabs>
          <w:tab w:val="left" w:pos="-2268"/>
        </w:tabs>
        <w:suppressAutoHyphens/>
        <w:ind w:left="567" w:hanging="567"/>
        <w:rPr>
          <w:rFonts w:cs="Arial"/>
          <w:spacing w:val="-3"/>
          <w:lang w:val="es-CO"/>
        </w:rPr>
      </w:pPr>
      <w:r w:rsidRPr="00BD1319">
        <w:rPr>
          <w:rFonts w:cs="Arial"/>
          <w:spacing w:val="-3"/>
          <w:lang w:val="es-CO"/>
        </w:rPr>
        <w:t>Herramientas de manejo para la conservación de biodiversidad en paisajes rurales (Lozano-Zambrano, 2009). Particularmente el apartado sobre caracterización biológica de plantas.</w:t>
      </w:r>
    </w:p>
    <w:p w14:paraId="22DA4E14" w14:textId="77777777" w:rsidR="008D5CC9" w:rsidRPr="00BD1319" w:rsidRDefault="008D5CC9" w:rsidP="008D5CC9">
      <w:pPr>
        <w:numPr>
          <w:ilvl w:val="12"/>
          <w:numId w:val="0"/>
        </w:numPr>
        <w:tabs>
          <w:tab w:val="left" w:pos="-2268"/>
        </w:tabs>
        <w:suppressAutoHyphens/>
        <w:rPr>
          <w:spacing w:val="-3"/>
        </w:rPr>
      </w:pPr>
    </w:p>
    <w:p w14:paraId="64E04404" w14:textId="0B3162AE" w:rsidR="001256B9" w:rsidRPr="00BD1319" w:rsidRDefault="008D5CC9" w:rsidP="008D5CC9">
      <w:pPr>
        <w:numPr>
          <w:ilvl w:val="12"/>
          <w:numId w:val="0"/>
        </w:numPr>
        <w:tabs>
          <w:tab w:val="left" w:pos="-2268"/>
        </w:tabs>
        <w:suppressAutoHyphens/>
        <w:rPr>
          <w:rFonts w:cs="Arial"/>
          <w:spacing w:val="-3"/>
        </w:rPr>
      </w:pPr>
      <w:r w:rsidRPr="00BD1319">
        <w:rPr>
          <w:rFonts w:cs="Arial"/>
          <w:spacing w:val="-3"/>
        </w:rPr>
        <w:t>L</w:t>
      </w:r>
      <w:r w:rsidR="00126746" w:rsidRPr="00BD1319">
        <w:rPr>
          <w:rFonts w:cs="Arial"/>
          <w:spacing w:val="-3"/>
        </w:rPr>
        <w:t>os métodos</w:t>
      </w:r>
      <w:r w:rsidRPr="00BD1319">
        <w:rPr>
          <w:rFonts w:cs="Arial"/>
          <w:spacing w:val="-3"/>
        </w:rPr>
        <w:t xml:space="preserve"> para la caracterización de </w:t>
      </w:r>
      <w:r w:rsidR="00126746" w:rsidRPr="00BD1319">
        <w:rPr>
          <w:rFonts w:cs="Arial"/>
          <w:spacing w:val="-3"/>
        </w:rPr>
        <w:t xml:space="preserve">las comunidades vegetales </w:t>
      </w:r>
      <w:r w:rsidRPr="00BD1319">
        <w:rPr>
          <w:rFonts w:cs="Arial"/>
          <w:spacing w:val="-3"/>
        </w:rPr>
        <w:t>deben ser apropiad</w:t>
      </w:r>
      <w:r w:rsidR="008C1DB0" w:rsidRPr="00BD1319">
        <w:rPr>
          <w:rFonts w:cs="Arial"/>
          <w:spacing w:val="-3"/>
        </w:rPr>
        <w:t>o</w:t>
      </w:r>
      <w:r w:rsidRPr="00BD1319">
        <w:rPr>
          <w:rFonts w:cs="Arial"/>
          <w:spacing w:val="-3"/>
        </w:rPr>
        <w:t>s para la obtención de información de cada uno de los grupos florísticos y permitir la medición de las variables de caracterización de línea base solicitadas en los términos de referencia</w:t>
      </w:r>
      <w:r w:rsidR="00D1438B" w:rsidRPr="00BD1319">
        <w:rPr>
          <w:rFonts w:cs="Arial"/>
          <w:spacing w:val="-3"/>
        </w:rPr>
        <w:t>.</w:t>
      </w:r>
      <w:r w:rsidRPr="00BD1319">
        <w:rPr>
          <w:rFonts w:cs="Arial"/>
          <w:spacing w:val="-3"/>
        </w:rPr>
        <w:t xml:space="preserve"> </w:t>
      </w:r>
      <w:r w:rsidR="00D1438B" w:rsidRPr="00BD1319">
        <w:rPr>
          <w:rFonts w:cs="Arial"/>
          <w:spacing w:val="-3"/>
        </w:rPr>
        <w:t>L</w:t>
      </w:r>
      <w:r w:rsidR="007D7A77" w:rsidRPr="00BD1319">
        <w:rPr>
          <w:rFonts w:cs="Arial"/>
          <w:spacing w:val="-3"/>
        </w:rPr>
        <w:t xml:space="preserve">a </w:t>
      </w:r>
      <w:r w:rsidRPr="00BD1319">
        <w:rPr>
          <w:rFonts w:cs="Arial"/>
          <w:spacing w:val="-3"/>
        </w:rPr>
        <w:t xml:space="preserve">información que resulta de </w:t>
      </w:r>
      <w:r w:rsidR="00D1438B" w:rsidRPr="00BD1319">
        <w:rPr>
          <w:rFonts w:cs="Arial"/>
          <w:spacing w:val="-3"/>
        </w:rPr>
        <w:t xml:space="preserve">esta </w:t>
      </w:r>
      <w:r w:rsidRPr="00BD1319">
        <w:rPr>
          <w:rFonts w:cs="Arial"/>
          <w:spacing w:val="-3"/>
        </w:rPr>
        <w:t xml:space="preserve">caracterización </w:t>
      </w:r>
      <w:r w:rsidR="00567553" w:rsidRPr="00BD1319">
        <w:rPr>
          <w:rFonts w:cs="Arial"/>
          <w:spacing w:val="-3"/>
        </w:rPr>
        <w:t>debe</w:t>
      </w:r>
      <w:r w:rsidRPr="00BD1319">
        <w:rPr>
          <w:rFonts w:cs="Arial"/>
          <w:spacing w:val="-3"/>
        </w:rPr>
        <w:t xml:space="preserve"> ser usada como insumo para la solicitud del permiso de aprovechamiento forestal, en caso de </w:t>
      </w:r>
      <w:r w:rsidR="00126746" w:rsidRPr="00BD1319">
        <w:rPr>
          <w:rFonts w:cs="Arial"/>
          <w:spacing w:val="-3"/>
        </w:rPr>
        <w:t xml:space="preserve">que se </w:t>
      </w:r>
      <w:r w:rsidRPr="00BD1319">
        <w:rPr>
          <w:rFonts w:cs="Arial"/>
          <w:spacing w:val="-3"/>
        </w:rPr>
        <w:t>requ</w:t>
      </w:r>
      <w:r w:rsidR="00E96877" w:rsidRPr="00BD1319">
        <w:rPr>
          <w:rFonts w:cs="Arial"/>
          <w:spacing w:val="-3"/>
        </w:rPr>
        <w:t>i</w:t>
      </w:r>
      <w:r w:rsidRPr="00BD1319">
        <w:rPr>
          <w:rFonts w:cs="Arial"/>
          <w:spacing w:val="-3"/>
        </w:rPr>
        <w:t>er</w:t>
      </w:r>
      <w:r w:rsidR="00E96877" w:rsidRPr="00BD1319">
        <w:rPr>
          <w:rFonts w:cs="Arial"/>
          <w:spacing w:val="-3"/>
        </w:rPr>
        <w:t>a</w:t>
      </w:r>
      <w:r w:rsidRPr="00BD1319">
        <w:rPr>
          <w:rFonts w:cs="Arial"/>
          <w:spacing w:val="-3"/>
        </w:rPr>
        <w:t>.</w:t>
      </w:r>
    </w:p>
    <w:p w14:paraId="71674DA1" w14:textId="77777777" w:rsidR="001256B9" w:rsidRPr="00BD1319" w:rsidRDefault="001256B9" w:rsidP="008D5CC9">
      <w:pPr>
        <w:numPr>
          <w:ilvl w:val="12"/>
          <w:numId w:val="0"/>
        </w:numPr>
        <w:tabs>
          <w:tab w:val="left" w:pos="-2268"/>
        </w:tabs>
        <w:suppressAutoHyphens/>
        <w:rPr>
          <w:rFonts w:cs="Arial"/>
          <w:spacing w:val="-3"/>
        </w:rPr>
      </w:pPr>
    </w:p>
    <w:p w14:paraId="2BF20E4A" w14:textId="6249DDE4" w:rsidR="008D5CC9" w:rsidRPr="00BD1319" w:rsidRDefault="008D5CC9" w:rsidP="008D5CC9">
      <w:pPr>
        <w:numPr>
          <w:ilvl w:val="12"/>
          <w:numId w:val="0"/>
        </w:numPr>
        <w:tabs>
          <w:tab w:val="left" w:pos="-2268"/>
        </w:tabs>
        <w:suppressAutoHyphens/>
        <w:rPr>
          <w:rFonts w:cs="Arial"/>
          <w:spacing w:val="-3"/>
        </w:rPr>
      </w:pPr>
      <w:r w:rsidRPr="00BD1319">
        <w:rPr>
          <w:rFonts w:cs="Arial"/>
          <w:spacing w:val="-3"/>
        </w:rPr>
        <w:t xml:space="preserve">La caracterización de </w:t>
      </w:r>
      <w:r w:rsidR="00841202" w:rsidRPr="00BD1319">
        <w:rPr>
          <w:rFonts w:cs="Arial"/>
          <w:spacing w:val="-3"/>
        </w:rPr>
        <w:t>la flora arbórea, arbustiva, herbácea, palmas, helechos arborescentes, y otras especies vasculares y no vasculares y líquenes, en hábitos de crecimiento terrestres, rupícolas o epífitos</w:t>
      </w:r>
      <w:r w:rsidRPr="00BD1319">
        <w:rPr>
          <w:rFonts w:cs="Arial"/>
          <w:spacing w:val="-3"/>
        </w:rPr>
        <w:t>, inclu</w:t>
      </w:r>
      <w:r w:rsidR="00841202" w:rsidRPr="00BD1319">
        <w:rPr>
          <w:rFonts w:cs="Arial"/>
          <w:spacing w:val="-3"/>
        </w:rPr>
        <w:t xml:space="preserve">sive de aquella que se encuentra </w:t>
      </w:r>
      <w:r w:rsidRPr="00BD1319">
        <w:rPr>
          <w:rFonts w:cs="Arial"/>
          <w:spacing w:val="-3"/>
        </w:rPr>
        <w:t xml:space="preserve">en veda, debe ejecutarse como mínimo en tres fases, a saber: i) revisión y generación de información preliminar (fase previa), </w:t>
      </w:r>
      <w:proofErr w:type="spellStart"/>
      <w:r w:rsidRPr="00BD1319">
        <w:rPr>
          <w:rFonts w:cs="Arial"/>
          <w:spacing w:val="-3"/>
        </w:rPr>
        <w:t>ii</w:t>
      </w:r>
      <w:proofErr w:type="spellEnd"/>
      <w:r w:rsidRPr="00BD1319">
        <w:rPr>
          <w:rFonts w:cs="Arial"/>
          <w:spacing w:val="-3"/>
        </w:rPr>
        <w:t xml:space="preserve">) toma, verificación y recolección de datos de campo (fase de </w:t>
      </w:r>
      <w:r w:rsidR="00E96877" w:rsidRPr="00BD1319">
        <w:rPr>
          <w:rFonts w:cs="Arial"/>
          <w:spacing w:val="-3"/>
        </w:rPr>
        <w:t>campo</w:t>
      </w:r>
      <w:r w:rsidRPr="00BD1319">
        <w:rPr>
          <w:rFonts w:cs="Arial"/>
          <w:spacing w:val="-3"/>
        </w:rPr>
        <w:t xml:space="preserve">) y, </w:t>
      </w:r>
      <w:proofErr w:type="spellStart"/>
      <w:r w:rsidRPr="00BD1319">
        <w:rPr>
          <w:rFonts w:cs="Arial"/>
          <w:spacing w:val="-3"/>
        </w:rPr>
        <w:t>iii</w:t>
      </w:r>
      <w:proofErr w:type="spellEnd"/>
      <w:r w:rsidRPr="00BD1319">
        <w:rPr>
          <w:rFonts w:cs="Arial"/>
          <w:spacing w:val="-3"/>
        </w:rPr>
        <w:t>) análisis de los datos y resultados (fase de análisis).</w:t>
      </w:r>
    </w:p>
    <w:p w14:paraId="7663267F" w14:textId="77777777" w:rsidR="00E96877" w:rsidRPr="00BD1319" w:rsidRDefault="00E96877" w:rsidP="008D5CC9">
      <w:pPr>
        <w:numPr>
          <w:ilvl w:val="12"/>
          <w:numId w:val="0"/>
        </w:numPr>
        <w:tabs>
          <w:tab w:val="left" w:pos="-2268"/>
        </w:tabs>
        <w:suppressAutoHyphens/>
        <w:rPr>
          <w:rFonts w:cs="Arial"/>
          <w:spacing w:val="-3"/>
        </w:rPr>
      </w:pPr>
    </w:p>
    <w:p w14:paraId="54C8C63A" w14:textId="2B32BEFF" w:rsidR="00E96877" w:rsidRPr="00BD1319" w:rsidRDefault="00E96877" w:rsidP="008D5CC9">
      <w:pPr>
        <w:numPr>
          <w:ilvl w:val="12"/>
          <w:numId w:val="0"/>
        </w:numPr>
        <w:tabs>
          <w:tab w:val="left" w:pos="-2268"/>
        </w:tabs>
        <w:suppressAutoHyphens/>
        <w:rPr>
          <w:rFonts w:cs="Arial"/>
          <w:spacing w:val="-3"/>
        </w:rPr>
      </w:pPr>
      <w:r w:rsidRPr="00BD1319">
        <w:rPr>
          <w:rFonts w:cs="Arial"/>
          <w:spacing w:val="-3"/>
        </w:rPr>
        <w:t xml:space="preserve">Para la </w:t>
      </w:r>
      <w:r w:rsidR="00BA0DAE" w:rsidRPr="00BD1319">
        <w:rPr>
          <w:rFonts w:cs="Arial"/>
          <w:spacing w:val="-3"/>
        </w:rPr>
        <w:t xml:space="preserve">determinación </w:t>
      </w:r>
      <w:r w:rsidRPr="00BD1319">
        <w:rPr>
          <w:rFonts w:cs="Arial"/>
          <w:spacing w:val="-3"/>
        </w:rPr>
        <w:t>de los especímenes recolectados se debe</w:t>
      </w:r>
      <w:r w:rsidR="00BF7396" w:rsidRPr="00BD1319">
        <w:rPr>
          <w:rFonts w:cs="Arial"/>
          <w:spacing w:val="-3"/>
        </w:rPr>
        <w:t>n</w:t>
      </w:r>
      <w:r w:rsidRPr="00BD1319">
        <w:rPr>
          <w:rFonts w:cs="Arial"/>
          <w:spacing w:val="-3"/>
        </w:rPr>
        <w:t xml:space="preserve"> consultar las colecciones </w:t>
      </w:r>
      <w:r w:rsidR="008C1DB0" w:rsidRPr="00BD1319">
        <w:rPr>
          <w:rFonts w:cs="Arial"/>
          <w:spacing w:val="-3"/>
        </w:rPr>
        <w:t xml:space="preserve">de </w:t>
      </w:r>
      <w:r w:rsidRPr="00BD1319">
        <w:rPr>
          <w:rFonts w:cs="Arial"/>
          <w:spacing w:val="-3"/>
        </w:rPr>
        <w:t>estos grupos de plantas y líquenes.</w:t>
      </w:r>
      <w:r w:rsidRPr="00BD1319">
        <w:rPr>
          <w:spacing w:val="-3"/>
        </w:rPr>
        <w:t xml:space="preserve"> Las determinaciones taxonómicas </w:t>
      </w:r>
      <w:r w:rsidRPr="00BD1319">
        <w:rPr>
          <w:rFonts w:cs="Arial"/>
          <w:spacing w:val="-3"/>
        </w:rPr>
        <w:t xml:space="preserve">deben contar con una </w:t>
      </w:r>
      <w:bookmarkStart w:id="2868" w:name="_Hlk137137372"/>
      <w:r w:rsidRPr="00BD1319">
        <w:rPr>
          <w:rFonts w:cs="Arial"/>
          <w:spacing w:val="-3"/>
        </w:rPr>
        <w:t xml:space="preserve">certificación de </w:t>
      </w:r>
      <w:r w:rsidR="00BA0DAE" w:rsidRPr="00BD1319">
        <w:rPr>
          <w:rFonts w:cs="Arial"/>
          <w:spacing w:val="-3"/>
        </w:rPr>
        <w:t xml:space="preserve">determinación </w:t>
      </w:r>
      <w:r w:rsidRPr="00BD1319">
        <w:rPr>
          <w:rFonts w:cs="Arial"/>
          <w:spacing w:val="-3"/>
        </w:rPr>
        <w:t xml:space="preserve">de </w:t>
      </w:r>
      <w:r w:rsidR="00456557" w:rsidRPr="00BD1319">
        <w:rPr>
          <w:rFonts w:cs="Arial"/>
          <w:spacing w:val="-3"/>
        </w:rPr>
        <w:t xml:space="preserve">un </w:t>
      </w:r>
      <w:r w:rsidRPr="00BD1319">
        <w:rPr>
          <w:rFonts w:cs="Arial"/>
          <w:spacing w:val="-3"/>
        </w:rPr>
        <w:t xml:space="preserve">herbario </w:t>
      </w:r>
      <w:bookmarkEnd w:id="2868"/>
      <w:r w:rsidRPr="00BD1319">
        <w:rPr>
          <w:rFonts w:cs="Arial"/>
          <w:spacing w:val="-3"/>
        </w:rPr>
        <w:t xml:space="preserve">inscrito en el registro nacional de colecciones del Instituto Humboldt o de </w:t>
      </w:r>
      <w:r w:rsidR="00456557" w:rsidRPr="00BD1319">
        <w:rPr>
          <w:rFonts w:cs="Arial"/>
          <w:spacing w:val="-3"/>
        </w:rPr>
        <w:t xml:space="preserve">un profesional </w:t>
      </w:r>
      <w:r w:rsidRPr="00BD1319">
        <w:rPr>
          <w:rFonts w:cs="Arial"/>
          <w:spacing w:val="-3"/>
        </w:rPr>
        <w:t xml:space="preserve">especialista experto en el grupo </w:t>
      </w:r>
      <w:r w:rsidR="00F51869" w:rsidRPr="00BD1319">
        <w:rPr>
          <w:rFonts w:cs="Arial"/>
          <w:spacing w:val="-3"/>
        </w:rPr>
        <w:t>taxonómico</w:t>
      </w:r>
      <w:r w:rsidRPr="00BD1319">
        <w:rPr>
          <w:rFonts w:cs="Arial"/>
          <w:spacing w:val="-3"/>
        </w:rPr>
        <w:t>.</w:t>
      </w:r>
    </w:p>
    <w:p w14:paraId="001AE921" w14:textId="77777777" w:rsidR="008D5CC9" w:rsidRPr="00BD1319" w:rsidRDefault="008D5CC9" w:rsidP="008D5CC9">
      <w:pPr>
        <w:numPr>
          <w:ilvl w:val="12"/>
          <w:numId w:val="0"/>
        </w:numPr>
        <w:tabs>
          <w:tab w:val="left" w:pos="-2268"/>
        </w:tabs>
        <w:suppressAutoHyphens/>
        <w:rPr>
          <w:spacing w:val="-3"/>
        </w:rPr>
      </w:pPr>
    </w:p>
    <w:p w14:paraId="236E4BF7" w14:textId="218FD726" w:rsidR="008D5CC9" w:rsidRPr="00BD1319" w:rsidRDefault="00CE7A87" w:rsidP="008D5CC9">
      <w:pPr>
        <w:numPr>
          <w:ilvl w:val="12"/>
          <w:numId w:val="0"/>
        </w:numPr>
        <w:tabs>
          <w:tab w:val="left" w:pos="-2268"/>
        </w:tabs>
        <w:suppressAutoHyphens/>
        <w:rPr>
          <w:rFonts w:cs="Arial"/>
          <w:spacing w:val="-3"/>
        </w:rPr>
      </w:pPr>
      <w:r w:rsidRPr="00BD1319">
        <w:rPr>
          <w:rFonts w:cs="Arial"/>
          <w:spacing w:val="-3"/>
        </w:rPr>
        <w:t>E</w:t>
      </w:r>
      <w:r w:rsidR="008D5CC9" w:rsidRPr="00BD1319">
        <w:rPr>
          <w:rFonts w:cs="Arial"/>
          <w:spacing w:val="-3"/>
        </w:rPr>
        <w:t xml:space="preserve">l muestreo y caracterización de las especies </w:t>
      </w:r>
      <w:r w:rsidR="002F3FF4" w:rsidRPr="00BD1319">
        <w:rPr>
          <w:rFonts w:cs="Arial"/>
          <w:spacing w:val="-3"/>
        </w:rPr>
        <w:t xml:space="preserve">de flora y líquenes </w:t>
      </w:r>
      <w:r w:rsidR="008D5CC9" w:rsidRPr="00BD1319">
        <w:rPr>
          <w:rFonts w:cs="Arial"/>
          <w:spacing w:val="-3"/>
        </w:rPr>
        <w:t xml:space="preserve">en veda </w:t>
      </w:r>
      <w:r w:rsidR="002F3FF4" w:rsidRPr="00BD1319">
        <w:rPr>
          <w:rFonts w:cs="Arial"/>
          <w:spacing w:val="-3"/>
        </w:rPr>
        <w:t xml:space="preserve">debe realizarse </w:t>
      </w:r>
      <w:r w:rsidR="008D5CC9" w:rsidRPr="00BD1319">
        <w:rPr>
          <w:rFonts w:cs="Arial"/>
          <w:spacing w:val="-3"/>
        </w:rPr>
        <w:t>según las especificaciones que se establecen más adelante</w:t>
      </w:r>
      <w:r w:rsidR="002F3FF4" w:rsidRPr="00BD1319">
        <w:rPr>
          <w:rFonts w:cs="Arial"/>
          <w:spacing w:val="-3"/>
        </w:rPr>
        <w:t xml:space="preserve"> para este grupo y </w:t>
      </w:r>
      <w:r w:rsidRPr="00BD1319">
        <w:rPr>
          <w:rFonts w:cs="Arial"/>
          <w:spacing w:val="-3"/>
        </w:rPr>
        <w:t xml:space="preserve">obtener información </w:t>
      </w:r>
      <w:r w:rsidR="002F3FF4" w:rsidRPr="00BD1319">
        <w:rPr>
          <w:rFonts w:cs="Arial"/>
          <w:spacing w:val="-3"/>
        </w:rPr>
        <w:t xml:space="preserve">sobre sus preferencias de sustrato, humedad y temperatura, entre otras características ecológicas, que </w:t>
      </w:r>
      <w:r w:rsidR="005959B2" w:rsidRPr="00BD1319">
        <w:rPr>
          <w:rFonts w:cs="Arial"/>
          <w:spacing w:val="-3"/>
        </w:rPr>
        <w:t xml:space="preserve">permitan una </w:t>
      </w:r>
      <w:r w:rsidR="002F3FF4" w:rsidRPr="00BD1319">
        <w:rPr>
          <w:rFonts w:cs="Arial"/>
          <w:spacing w:val="-3"/>
        </w:rPr>
        <w:t xml:space="preserve">formulación </w:t>
      </w:r>
      <w:r w:rsidR="005959B2" w:rsidRPr="00BD1319">
        <w:rPr>
          <w:rFonts w:cs="Arial"/>
          <w:spacing w:val="-3"/>
        </w:rPr>
        <w:t xml:space="preserve">sustentada de </w:t>
      </w:r>
      <w:r w:rsidR="008D5CC9" w:rsidRPr="00BD1319">
        <w:rPr>
          <w:rFonts w:cs="Arial"/>
          <w:spacing w:val="-3"/>
        </w:rPr>
        <w:t>medidas de manejo</w:t>
      </w:r>
      <w:r w:rsidR="00567553" w:rsidRPr="00BD1319">
        <w:rPr>
          <w:rFonts w:cs="Arial"/>
          <w:spacing w:val="-3"/>
        </w:rPr>
        <w:t xml:space="preserve">, </w:t>
      </w:r>
      <w:r w:rsidR="005959B2" w:rsidRPr="00BD1319">
        <w:rPr>
          <w:rFonts w:cs="Arial"/>
          <w:spacing w:val="-3"/>
        </w:rPr>
        <w:t xml:space="preserve">en cumplimiento </w:t>
      </w:r>
      <w:r w:rsidR="00567553" w:rsidRPr="00BD1319">
        <w:rPr>
          <w:rFonts w:cs="Arial"/>
          <w:spacing w:val="-3"/>
        </w:rPr>
        <w:t>de lo establecido en el Decreto</w:t>
      </w:r>
      <w:r w:rsidR="00857BE8" w:rsidRPr="00BD1319">
        <w:rPr>
          <w:rFonts w:cs="Arial"/>
          <w:spacing w:val="-3"/>
        </w:rPr>
        <w:t xml:space="preserve"> - Ley</w:t>
      </w:r>
      <w:r w:rsidR="00567553" w:rsidRPr="00BD1319">
        <w:rPr>
          <w:rFonts w:cs="Arial"/>
          <w:spacing w:val="-3"/>
        </w:rPr>
        <w:t xml:space="preserve"> 2106 de 2019, o aquella norma que lo sustituya o modifique</w:t>
      </w:r>
      <w:r w:rsidR="008D5CC9" w:rsidRPr="00BD1319">
        <w:rPr>
          <w:rFonts w:cs="Arial"/>
          <w:spacing w:val="-3"/>
        </w:rPr>
        <w:t>.</w:t>
      </w:r>
    </w:p>
    <w:p w14:paraId="59650651" w14:textId="77777777" w:rsidR="008D5CC9" w:rsidRPr="00BD1319" w:rsidRDefault="008D5CC9" w:rsidP="008D5CC9">
      <w:pPr>
        <w:numPr>
          <w:ilvl w:val="12"/>
          <w:numId w:val="0"/>
        </w:numPr>
        <w:tabs>
          <w:tab w:val="left" w:pos="-2268"/>
        </w:tabs>
        <w:suppressAutoHyphens/>
        <w:rPr>
          <w:rFonts w:cs="Arial"/>
          <w:spacing w:val="-3"/>
        </w:rPr>
      </w:pPr>
    </w:p>
    <w:p w14:paraId="7E9C6868" w14:textId="77777777" w:rsidR="00482A5F" w:rsidRPr="00BD1319" w:rsidRDefault="00482A5F" w:rsidP="009420F5">
      <w:pPr>
        <w:pStyle w:val="Ttulo5"/>
        <w:tabs>
          <w:tab w:val="clear" w:pos="2160"/>
          <w:tab w:val="num" w:pos="1134"/>
        </w:tabs>
        <w:ind w:left="1134" w:hanging="1134"/>
        <w:rPr>
          <w:lang w:val="es-CO"/>
        </w:rPr>
      </w:pPr>
      <w:bookmarkStart w:id="2869" w:name="_Ref76394734"/>
      <w:bookmarkStart w:id="2870" w:name="_Hlk87517012"/>
      <w:bookmarkStart w:id="2871" w:name="_Hlk35412884"/>
      <w:r w:rsidRPr="00BD1319">
        <w:rPr>
          <w:lang w:val="es-CO"/>
        </w:rPr>
        <w:t>Especies arbóreas y helechos arborescentes</w:t>
      </w:r>
      <w:bookmarkEnd w:id="2869"/>
    </w:p>
    <w:bookmarkEnd w:id="2870"/>
    <w:p w14:paraId="515E5AFC" w14:textId="77777777" w:rsidR="00482A5F" w:rsidRPr="00BD1319" w:rsidRDefault="00482A5F">
      <w:pPr>
        <w:numPr>
          <w:ilvl w:val="12"/>
          <w:numId w:val="0"/>
        </w:numPr>
        <w:tabs>
          <w:tab w:val="left" w:pos="-2268"/>
        </w:tabs>
        <w:suppressAutoHyphens/>
        <w:rPr>
          <w:spacing w:val="-3"/>
        </w:rPr>
      </w:pPr>
    </w:p>
    <w:p w14:paraId="2BD56378" w14:textId="77777777" w:rsidR="00482A5F" w:rsidRPr="00BD1319" w:rsidRDefault="00482A5F">
      <w:pPr>
        <w:numPr>
          <w:ilvl w:val="12"/>
          <w:numId w:val="0"/>
        </w:numPr>
        <w:tabs>
          <w:tab w:val="left" w:pos="-2268"/>
        </w:tabs>
        <w:suppressAutoHyphens/>
        <w:rPr>
          <w:spacing w:val="-3"/>
        </w:rPr>
      </w:pPr>
      <w:r w:rsidRPr="00BD1319">
        <w:rPr>
          <w:spacing w:val="-3"/>
          <w:u w:val="single"/>
        </w:rPr>
        <w:t>Fase previa</w:t>
      </w:r>
      <w:r w:rsidRPr="00BD1319">
        <w:rPr>
          <w:spacing w:val="-3"/>
        </w:rPr>
        <w:t>:</w:t>
      </w:r>
    </w:p>
    <w:p w14:paraId="3455B7FA" w14:textId="77777777" w:rsidR="00482A5F" w:rsidRPr="00BD1319" w:rsidRDefault="00482A5F">
      <w:pPr>
        <w:numPr>
          <w:ilvl w:val="12"/>
          <w:numId w:val="0"/>
        </w:numPr>
        <w:tabs>
          <w:tab w:val="left" w:pos="-2268"/>
        </w:tabs>
        <w:suppressAutoHyphens/>
        <w:rPr>
          <w:spacing w:val="-3"/>
        </w:rPr>
      </w:pPr>
    </w:p>
    <w:p w14:paraId="577FD34D" w14:textId="263D8FDE" w:rsidR="00482A5F" w:rsidRPr="00BD1319" w:rsidRDefault="00482A5F">
      <w:pPr>
        <w:numPr>
          <w:ilvl w:val="12"/>
          <w:numId w:val="0"/>
        </w:numPr>
        <w:tabs>
          <w:tab w:val="left" w:pos="-2268"/>
        </w:tabs>
        <w:suppressAutoHyphens/>
        <w:rPr>
          <w:spacing w:val="-3"/>
        </w:rPr>
      </w:pPr>
      <w:r w:rsidRPr="00BD1319">
        <w:rPr>
          <w:spacing w:val="-3"/>
        </w:rPr>
        <w:t xml:space="preserve">Consiste en </w:t>
      </w:r>
      <w:r w:rsidR="001256B9" w:rsidRPr="00BD1319">
        <w:rPr>
          <w:spacing w:val="-3"/>
        </w:rPr>
        <w:t xml:space="preserve">la </w:t>
      </w:r>
      <w:r w:rsidRPr="00BD1319">
        <w:rPr>
          <w:spacing w:val="-3"/>
        </w:rPr>
        <w:t xml:space="preserve">revisión </w:t>
      </w:r>
      <w:r w:rsidR="001256B9" w:rsidRPr="00BD1319">
        <w:rPr>
          <w:spacing w:val="-3"/>
        </w:rPr>
        <w:t xml:space="preserve">de </w:t>
      </w:r>
      <w:r w:rsidRPr="00BD1319">
        <w:rPr>
          <w:spacing w:val="-3"/>
        </w:rPr>
        <w:t xml:space="preserve">fuentes secundarias </w:t>
      </w:r>
      <w:r w:rsidR="00F059CB" w:rsidRPr="00BD1319">
        <w:rPr>
          <w:spacing w:val="-3"/>
        </w:rPr>
        <w:t xml:space="preserve">de información para establecer </w:t>
      </w:r>
      <w:r w:rsidRPr="00BD1319">
        <w:rPr>
          <w:spacing w:val="-3"/>
        </w:rPr>
        <w:t>el estado del arte. En esta fase se debe</w:t>
      </w:r>
      <w:r w:rsidR="00BF7396" w:rsidRPr="00BD1319">
        <w:rPr>
          <w:spacing w:val="-3"/>
        </w:rPr>
        <w:t>n</w:t>
      </w:r>
      <w:r w:rsidRPr="00BD1319">
        <w:rPr>
          <w:spacing w:val="-3"/>
        </w:rPr>
        <w:t xml:space="preserve"> </w:t>
      </w:r>
      <w:r w:rsidR="00DE34D4" w:rsidRPr="00BD1319">
        <w:rPr>
          <w:spacing w:val="-3"/>
        </w:rPr>
        <w:t xml:space="preserve">determinar </w:t>
      </w:r>
      <w:r w:rsidR="00AD74F3" w:rsidRPr="00BD1319">
        <w:rPr>
          <w:spacing w:val="-3"/>
        </w:rPr>
        <w:t xml:space="preserve">y delimitar los ecosistemas </w:t>
      </w:r>
      <w:r w:rsidR="00BF7396" w:rsidRPr="00BD1319">
        <w:rPr>
          <w:spacing w:val="-3"/>
        </w:rPr>
        <w:t xml:space="preserve">y </w:t>
      </w:r>
      <w:r w:rsidRPr="00BD1319">
        <w:rPr>
          <w:spacing w:val="-3"/>
        </w:rPr>
        <w:t>la cobertura vegetal (utilizando aerofotografías, imágenes de satélite, bibliografía, trabajos monográficos, artículos, revistas, mapas, entre otras</w:t>
      </w:r>
      <w:r w:rsidR="00F059CB" w:rsidRPr="00BD1319">
        <w:rPr>
          <w:spacing w:val="-3"/>
        </w:rPr>
        <w:t xml:space="preserve"> fuentes</w:t>
      </w:r>
      <w:r w:rsidRPr="00BD1319">
        <w:rPr>
          <w:spacing w:val="-3"/>
        </w:rPr>
        <w:t xml:space="preserve">). Dicha labor debe tener en cuenta las características del medio abiótico que influyen en la </w:t>
      </w:r>
      <w:r w:rsidR="00F059CB" w:rsidRPr="00BD1319">
        <w:rPr>
          <w:spacing w:val="-3"/>
        </w:rPr>
        <w:t xml:space="preserve">distribución espacial de la </w:t>
      </w:r>
      <w:r w:rsidRPr="00BD1319">
        <w:rPr>
          <w:spacing w:val="-3"/>
        </w:rPr>
        <w:t>vegetación.</w:t>
      </w:r>
    </w:p>
    <w:p w14:paraId="12AC6A6A" w14:textId="77777777" w:rsidR="00482A5F" w:rsidRPr="00BD1319" w:rsidRDefault="00482A5F">
      <w:pPr>
        <w:numPr>
          <w:ilvl w:val="12"/>
          <w:numId w:val="0"/>
        </w:numPr>
        <w:tabs>
          <w:tab w:val="left" w:pos="-2268"/>
        </w:tabs>
        <w:suppressAutoHyphens/>
        <w:rPr>
          <w:spacing w:val="-3"/>
        </w:rPr>
      </w:pPr>
    </w:p>
    <w:p w14:paraId="679BBE0A" w14:textId="1429922B" w:rsidR="00AD74F3" w:rsidRPr="00BD1319" w:rsidRDefault="00AD74F3" w:rsidP="00AD74F3">
      <w:pPr>
        <w:numPr>
          <w:ilvl w:val="12"/>
          <w:numId w:val="0"/>
        </w:numPr>
        <w:tabs>
          <w:tab w:val="left" w:pos="-2268"/>
        </w:tabs>
        <w:suppressAutoHyphens/>
        <w:rPr>
          <w:spacing w:val="-3"/>
        </w:rPr>
      </w:pPr>
      <w:r w:rsidRPr="00BD1319">
        <w:rPr>
          <w:spacing w:val="-3"/>
        </w:rPr>
        <w:t>A partir de esta información se debe diseñar y planificar el muestreo a ejecutar en campo.</w:t>
      </w:r>
    </w:p>
    <w:p w14:paraId="61E34A06" w14:textId="77777777" w:rsidR="00AD74F3" w:rsidRPr="00BD1319" w:rsidRDefault="00AD74F3">
      <w:pPr>
        <w:numPr>
          <w:ilvl w:val="12"/>
          <w:numId w:val="0"/>
        </w:numPr>
        <w:tabs>
          <w:tab w:val="left" w:pos="-2268"/>
        </w:tabs>
        <w:suppressAutoHyphens/>
        <w:rPr>
          <w:spacing w:val="-3"/>
        </w:rPr>
      </w:pPr>
    </w:p>
    <w:p w14:paraId="7B7B3294" w14:textId="60A252E6" w:rsidR="00482A5F" w:rsidRPr="00BD1319" w:rsidRDefault="00482A5F">
      <w:pPr>
        <w:numPr>
          <w:ilvl w:val="12"/>
          <w:numId w:val="0"/>
        </w:numPr>
        <w:tabs>
          <w:tab w:val="left" w:pos="-2268"/>
        </w:tabs>
        <w:suppressAutoHyphens/>
        <w:rPr>
          <w:spacing w:val="-3"/>
        </w:rPr>
      </w:pPr>
      <w:r w:rsidRPr="00BD1319">
        <w:rPr>
          <w:spacing w:val="-3"/>
          <w:u w:val="single"/>
        </w:rPr>
        <w:t xml:space="preserve">Fase de </w:t>
      </w:r>
      <w:r w:rsidR="002E031E" w:rsidRPr="00BD1319">
        <w:rPr>
          <w:spacing w:val="-3"/>
          <w:u w:val="single"/>
        </w:rPr>
        <w:t>campo</w:t>
      </w:r>
      <w:r w:rsidRPr="00BD1319">
        <w:rPr>
          <w:spacing w:val="-3"/>
        </w:rPr>
        <w:t>:</w:t>
      </w:r>
    </w:p>
    <w:p w14:paraId="4050624F" w14:textId="77777777" w:rsidR="00482A5F" w:rsidRPr="00BD1319" w:rsidRDefault="00482A5F">
      <w:pPr>
        <w:numPr>
          <w:ilvl w:val="12"/>
          <w:numId w:val="0"/>
        </w:numPr>
        <w:tabs>
          <w:tab w:val="left" w:pos="-2268"/>
        </w:tabs>
        <w:suppressAutoHyphens/>
        <w:rPr>
          <w:spacing w:val="-3"/>
        </w:rPr>
      </w:pPr>
    </w:p>
    <w:p w14:paraId="66D844FE" w14:textId="0CAB19A5" w:rsidR="00482A5F" w:rsidRPr="00BD1319" w:rsidRDefault="00482A5F">
      <w:pPr>
        <w:numPr>
          <w:ilvl w:val="12"/>
          <w:numId w:val="0"/>
        </w:numPr>
        <w:tabs>
          <w:tab w:val="left" w:pos="-2268"/>
        </w:tabs>
        <w:suppressAutoHyphens/>
        <w:rPr>
          <w:spacing w:val="-3"/>
        </w:rPr>
      </w:pPr>
      <w:r w:rsidRPr="00BD1319">
        <w:rPr>
          <w:spacing w:val="-3"/>
        </w:rPr>
        <w:t xml:space="preserve">Consiste en </w:t>
      </w:r>
      <w:r w:rsidR="002E031E" w:rsidRPr="00BD1319">
        <w:rPr>
          <w:spacing w:val="-3"/>
        </w:rPr>
        <w:t xml:space="preserve">la captura de </w:t>
      </w:r>
      <w:r w:rsidRPr="00BD1319">
        <w:rPr>
          <w:spacing w:val="-3"/>
        </w:rPr>
        <w:t xml:space="preserve">datos </w:t>
      </w:r>
      <w:r w:rsidR="002E031E" w:rsidRPr="00BD1319">
        <w:rPr>
          <w:spacing w:val="-3"/>
        </w:rPr>
        <w:t xml:space="preserve">e </w:t>
      </w:r>
      <w:r w:rsidR="0066735A" w:rsidRPr="00BD1319">
        <w:rPr>
          <w:spacing w:val="-3"/>
        </w:rPr>
        <w:t xml:space="preserve">información siguiendo </w:t>
      </w:r>
      <w:r w:rsidRPr="00BD1319">
        <w:rPr>
          <w:spacing w:val="-3"/>
        </w:rPr>
        <w:t>metodologías para el estudio de la vegetación reconocidas científicamente.</w:t>
      </w:r>
    </w:p>
    <w:p w14:paraId="11DBAB61" w14:textId="77777777" w:rsidR="00482A5F" w:rsidRPr="00BD1319" w:rsidRDefault="00482A5F">
      <w:pPr>
        <w:numPr>
          <w:ilvl w:val="12"/>
          <w:numId w:val="0"/>
        </w:numPr>
        <w:tabs>
          <w:tab w:val="left" w:pos="-2268"/>
        </w:tabs>
        <w:suppressAutoHyphens/>
        <w:rPr>
          <w:spacing w:val="-3"/>
        </w:rPr>
      </w:pPr>
    </w:p>
    <w:p w14:paraId="334A5951" w14:textId="6AF2272E" w:rsidR="00482A5F" w:rsidRPr="00BD1319" w:rsidRDefault="0066735A">
      <w:pPr>
        <w:numPr>
          <w:ilvl w:val="12"/>
          <w:numId w:val="0"/>
        </w:numPr>
        <w:tabs>
          <w:tab w:val="left" w:pos="-2268"/>
        </w:tabs>
        <w:suppressAutoHyphens/>
        <w:rPr>
          <w:spacing w:val="-3"/>
        </w:rPr>
      </w:pPr>
      <w:r w:rsidRPr="00BD1319">
        <w:rPr>
          <w:spacing w:val="-3"/>
        </w:rPr>
        <w:t>En caso de que se requiera un muestreo</w:t>
      </w:r>
      <w:r w:rsidR="00375EA5" w:rsidRPr="00BD1319">
        <w:rPr>
          <w:spacing w:val="-3"/>
        </w:rPr>
        <w:t>,</w:t>
      </w:r>
      <w:r w:rsidRPr="00BD1319">
        <w:rPr>
          <w:spacing w:val="-3"/>
        </w:rPr>
        <w:t xml:space="preserve"> </w:t>
      </w:r>
      <w:r w:rsidR="00482A5F" w:rsidRPr="00BD1319">
        <w:rPr>
          <w:spacing w:val="-3"/>
        </w:rPr>
        <w:t>se debe definir el número de muestras</w:t>
      </w:r>
      <w:r w:rsidRPr="00BD1319">
        <w:rPr>
          <w:spacing w:val="-3"/>
        </w:rPr>
        <w:t xml:space="preserve"> de acuerdo </w:t>
      </w:r>
      <w:r w:rsidR="00467CE5" w:rsidRPr="00BD1319">
        <w:rPr>
          <w:spacing w:val="-3"/>
        </w:rPr>
        <w:t>con e</w:t>
      </w:r>
      <w:r w:rsidR="00482A5F" w:rsidRPr="00BD1319">
        <w:rPr>
          <w:spacing w:val="-3"/>
        </w:rPr>
        <w:t xml:space="preserve">l tipo de muestreo </w:t>
      </w:r>
      <w:r w:rsidR="00143271" w:rsidRPr="00BD1319">
        <w:rPr>
          <w:spacing w:val="-3"/>
        </w:rPr>
        <w:t>que se establezca</w:t>
      </w:r>
      <w:r w:rsidR="00482A5F" w:rsidRPr="00BD1319">
        <w:rPr>
          <w:spacing w:val="-3"/>
        </w:rPr>
        <w:t>, empleando alguno de los siguientes métodos:</w:t>
      </w:r>
    </w:p>
    <w:p w14:paraId="4651514A" w14:textId="77777777" w:rsidR="00482A5F" w:rsidRPr="00BD1319" w:rsidRDefault="00482A5F">
      <w:pPr>
        <w:numPr>
          <w:ilvl w:val="12"/>
          <w:numId w:val="0"/>
        </w:numPr>
        <w:tabs>
          <w:tab w:val="left" w:pos="-2268"/>
        </w:tabs>
        <w:suppressAutoHyphens/>
        <w:rPr>
          <w:spacing w:val="-3"/>
        </w:rPr>
      </w:pPr>
    </w:p>
    <w:p w14:paraId="38A86E0F" w14:textId="77777777" w:rsidR="00482A5F" w:rsidRPr="00BD1319" w:rsidRDefault="00482A5F" w:rsidP="00C86DA5">
      <w:pPr>
        <w:pStyle w:val="Prrafodelista"/>
        <w:numPr>
          <w:ilvl w:val="0"/>
          <w:numId w:val="83"/>
        </w:numPr>
        <w:tabs>
          <w:tab w:val="left" w:pos="-2268"/>
        </w:tabs>
        <w:suppressAutoHyphens/>
        <w:ind w:left="567" w:hanging="567"/>
        <w:rPr>
          <w:rFonts w:cs="Arial"/>
          <w:spacing w:val="-3"/>
          <w:lang w:val="es-CO"/>
        </w:rPr>
      </w:pPr>
      <w:r w:rsidRPr="00BD1319">
        <w:rPr>
          <w:rFonts w:cs="Arial"/>
          <w:spacing w:val="-3"/>
          <w:lang w:val="es-CO"/>
        </w:rPr>
        <w:t>Método matemático.</w:t>
      </w:r>
    </w:p>
    <w:p w14:paraId="3092F7B0" w14:textId="77777777" w:rsidR="00482A5F" w:rsidRPr="00BD1319" w:rsidRDefault="00482A5F">
      <w:pPr>
        <w:tabs>
          <w:tab w:val="left" w:pos="-2268"/>
        </w:tabs>
        <w:suppressAutoHyphens/>
        <w:rPr>
          <w:spacing w:val="-3"/>
        </w:rPr>
      </w:pPr>
    </w:p>
    <w:p w14:paraId="1134E44C" w14:textId="77777777" w:rsidR="00482A5F" w:rsidRPr="00BD1319" w:rsidRDefault="00482A5F" w:rsidP="00C86DA5">
      <w:pPr>
        <w:pStyle w:val="Prrafodelista"/>
        <w:numPr>
          <w:ilvl w:val="0"/>
          <w:numId w:val="83"/>
        </w:numPr>
        <w:tabs>
          <w:tab w:val="left" w:pos="-2268"/>
        </w:tabs>
        <w:suppressAutoHyphens/>
        <w:ind w:left="567" w:hanging="567"/>
        <w:rPr>
          <w:rFonts w:cs="Arial"/>
          <w:spacing w:val="-3"/>
          <w:lang w:val="es-CO"/>
        </w:rPr>
      </w:pPr>
      <w:r w:rsidRPr="00BD1319">
        <w:rPr>
          <w:rFonts w:cs="Arial"/>
          <w:spacing w:val="-3"/>
          <w:lang w:val="es-CO"/>
        </w:rPr>
        <w:t>Método promedio corrido.</w:t>
      </w:r>
    </w:p>
    <w:p w14:paraId="3526E46B" w14:textId="77777777" w:rsidR="00482A5F" w:rsidRPr="00BD1319" w:rsidRDefault="00482A5F" w:rsidP="009420F5">
      <w:pPr>
        <w:rPr>
          <w:spacing w:val="-3"/>
        </w:rPr>
      </w:pPr>
    </w:p>
    <w:p w14:paraId="3015A82D" w14:textId="21CCFA8F" w:rsidR="00482A5F" w:rsidRPr="00BD1319" w:rsidRDefault="00482A5F" w:rsidP="00C86DA5">
      <w:pPr>
        <w:pStyle w:val="Prrafodelista"/>
        <w:numPr>
          <w:ilvl w:val="0"/>
          <w:numId w:val="83"/>
        </w:numPr>
        <w:tabs>
          <w:tab w:val="left" w:pos="-2268"/>
        </w:tabs>
        <w:suppressAutoHyphens/>
        <w:ind w:left="567" w:hanging="567"/>
        <w:rPr>
          <w:rFonts w:cs="Arial"/>
          <w:spacing w:val="-3"/>
          <w:lang w:val="es-CO"/>
        </w:rPr>
      </w:pPr>
      <w:r w:rsidRPr="00BD1319">
        <w:rPr>
          <w:rFonts w:cs="Arial"/>
          <w:spacing w:val="-3"/>
          <w:lang w:val="es-CO"/>
        </w:rPr>
        <w:t>Método curva especie – área</w:t>
      </w:r>
      <w:r w:rsidR="00F059CB" w:rsidRPr="00BD1319">
        <w:rPr>
          <w:rFonts w:cs="Arial"/>
          <w:spacing w:val="-3"/>
          <w:lang w:val="es-CO"/>
        </w:rPr>
        <w:t>.</w:t>
      </w:r>
    </w:p>
    <w:p w14:paraId="49E18EE1" w14:textId="77777777" w:rsidR="00482A5F" w:rsidRPr="00BD1319" w:rsidRDefault="00482A5F">
      <w:pPr>
        <w:tabs>
          <w:tab w:val="left" w:pos="-2268"/>
        </w:tabs>
        <w:suppressAutoHyphens/>
        <w:rPr>
          <w:spacing w:val="-3"/>
        </w:rPr>
      </w:pPr>
    </w:p>
    <w:p w14:paraId="6D3320FB" w14:textId="7EC437DA" w:rsidR="00482A5F" w:rsidRPr="00BD1319" w:rsidRDefault="00482A5F">
      <w:pPr>
        <w:numPr>
          <w:ilvl w:val="12"/>
          <w:numId w:val="0"/>
        </w:numPr>
        <w:tabs>
          <w:tab w:val="left" w:pos="-2268"/>
        </w:tabs>
        <w:suppressAutoHyphens/>
        <w:rPr>
          <w:spacing w:val="-3"/>
        </w:rPr>
      </w:pPr>
      <w:r w:rsidRPr="00BD1319">
        <w:rPr>
          <w:spacing w:val="-3"/>
        </w:rPr>
        <w:t xml:space="preserve">El </w:t>
      </w:r>
      <w:r w:rsidR="00E55979" w:rsidRPr="00BD1319">
        <w:rPr>
          <w:spacing w:val="-3"/>
        </w:rPr>
        <w:t xml:space="preserve">área </w:t>
      </w:r>
      <w:r w:rsidRPr="00BD1319">
        <w:rPr>
          <w:rFonts w:cs="Arial"/>
          <w:spacing w:val="-3"/>
        </w:rPr>
        <w:t xml:space="preserve">y número </w:t>
      </w:r>
      <w:r w:rsidRPr="00BD1319">
        <w:rPr>
          <w:spacing w:val="-3"/>
        </w:rPr>
        <w:t xml:space="preserve">de las </w:t>
      </w:r>
      <w:r w:rsidR="00E55979" w:rsidRPr="00BD1319">
        <w:rPr>
          <w:spacing w:val="-3"/>
        </w:rPr>
        <w:t xml:space="preserve">unidades de muestreo </w:t>
      </w:r>
      <w:r w:rsidRPr="00BD1319">
        <w:rPr>
          <w:spacing w:val="-3"/>
        </w:rPr>
        <w:t xml:space="preserve">depende de las unidades de </w:t>
      </w:r>
      <w:r w:rsidR="00494958" w:rsidRPr="00BD1319">
        <w:rPr>
          <w:spacing w:val="-3"/>
        </w:rPr>
        <w:t xml:space="preserve">cobertura </w:t>
      </w:r>
      <w:r w:rsidRPr="00BD1319">
        <w:rPr>
          <w:spacing w:val="-3"/>
        </w:rPr>
        <w:t>vegeta</w:t>
      </w:r>
      <w:r w:rsidR="00494958" w:rsidRPr="00BD1319">
        <w:rPr>
          <w:spacing w:val="-3"/>
        </w:rPr>
        <w:t>l</w:t>
      </w:r>
      <w:r w:rsidRPr="00BD1319">
        <w:rPr>
          <w:spacing w:val="-3"/>
        </w:rPr>
        <w:t xml:space="preserve"> </w:t>
      </w:r>
      <w:r w:rsidR="00AD74F3" w:rsidRPr="00BD1319">
        <w:rPr>
          <w:spacing w:val="-3"/>
        </w:rPr>
        <w:t xml:space="preserve">y ecosistemas </w:t>
      </w:r>
      <w:r w:rsidRPr="00BD1319">
        <w:rPr>
          <w:spacing w:val="-3"/>
        </w:rPr>
        <w:t xml:space="preserve">que se identifiquen, </w:t>
      </w:r>
      <w:r w:rsidR="0066735A" w:rsidRPr="00BD1319">
        <w:rPr>
          <w:spacing w:val="-3"/>
        </w:rPr>
        <w:t>d</w:t>
      </w:r>
      <w:r w:rsidR="00A46FE9" w:rsidRPr="00BD1319">
        <w:rPr>
          <w:rFonts w:cs="Arial"/>
          <w:spacing w:val="-3"/>
        </w:rPr>
        <w:t xml:space="preserve">el tamaño de </w:t>
      </w:r>
      <w:r w:rsidR="004A21E7" w:rsidRPr="00BD1319">
        <w:rPr>
          <w:rFonts w:cs="Arial"/>
          <w:spacing w:val="-3"/>
        </w:rPr>
        <w:t>estas</w:t>
      </w:r>
      <w:r w:rsidRPr="00BD1319">
        <w:rPr>
          <w:rFonts w:cs="Arial"/>
          <w:spacing w:val="-3"/>
        </w:rPr>
        <w:t>,</w:t>
      </w:r>
      <w:r w:rsidRPr="00BD1319">
        <w:rPr>
          <w:spacing w:val="-3"/>
        </w:rPr>
        <w:t xml:space="preserve"> </w:t>
      </w:r>
      <w:r w:rsidR="0066735A" w:rsidRPr="00BD1319">
        <w:rPr>
          <w:spacing w:val="-3"/>
        </w:rPr>
        <w:t xml:space="preserve">de </w:t>
      </w:r>
      <w:r w:rsidRPr="00BD1319">
        <w:rPr>
          <w:spacing w:val="-3"/>
        </w:rPr>
        <w:t xml:space="preserve">las categorías de tamaño de los individuos, </w:t>
      </w:r>
      <w:r w:rsidR="0066735A" w:rsidRPr="00BD1319">
        <w:rPr>
          <w:spacing w:val="-3"/>
        </w:rPr>
        <w:t>d</w:t>
      </w:r>
      <w:r w:rsidRPr="00BD1319">
        <w:rPr>
          <w:spacing w:val="-3"/>
        </w:rPr>
        <w:t xml:space="preserve">el tamaño y grado de heterogeneidad del área de muestreo, y </w:t>
      </w:r>
      <w:r w:rsidR="0066735A" w:rsidRPr="00BD1319">
        <w:rPr>
          <w:spacing w:val="-3"/>
        </w:rPr>
        <w:t xml:space="preserve">de </w:t>
      </w:r>
      <w:r w:rsidRPr="00BD1319">
        <w:rPr>
          <w:spacing w:val="-3"/>
        </w:rPr>
        <w:t>la riqueza</w:t>
      </w:r>
      <w:r w:rsidRPr="00BD1319">
        <w:rPr>
          <w:rFonts w:cs="Arial"/>
          <w:spacing w:val="-3"/>
        </w:rPr>
        <w:t xml:space="preserve">, composición </w:t>
      </w:r>
      <w:r w:rsidR="00A46FE9" w:rsidRPr="00BD1319">
        <w:rPr>
          <w:spacing w:val="-3"/>
        </w:rPr>
        <w:t>y</w:t>
      </w:r>
      <w:r w:rsidRPr="00BD1319">
        <w:rPr>
          <w:spacing w:val="-3"/>
        </w:rPr>
        <w:t xml:space="preserve"> diversidad de especies</w:t>
      </w:r>
      <w:r w:rsidR="00606EC3" w:rsidRPr="00BD1319">
        <w:rPr>
          <w:spacing w:val="-3"/>
        </w:rPr>
        <w:t xml:space="preserve"> </w:t>
      </w:r>
      <w:r w:rsidR="00AD74F3" w:rsidRPr="00BD1319">
        <w:rPr>
          <w:spacing w:val="-3"/>
        </w:rPr>
        <w:t xml:space="preserve">que </w:t>
      </w:r>
      <w:r w:rsidR="00606EC3" w:rsidRPr="00BD1319">
        <w:rPr>
          <w:spacing w:val="-3"/>
        </w:rPr>
        <w:t>potencial</w:t>
      </w:r>
      <w:r w:rsidR="00AD74F3" w:rsidRPr="00BD1319">
        <w:rPr>
          <w:spacing w:val="-3"/>
        </w:rPr>
        <w:t xml:space="preserve">mente </w:t>
      </w:r>
      <w:r w:rsidR="00606EC3" w:rsidRPr="00BD1319">
        <w:rPr>
          <w:spacing w:val="-3"/>
        </w:rPr>
        <w:t xml:space="preserve">pueden </w:t>
      </w:r>
      <w:r w:rsidR="00AD74F3" w:rsidRPr="00BD1319">
        <w:rPr>
          <w:spacing w:val="-3"/>
        </w:rPr>
        <w:t xml:space="preserve">ser </w:t>
      </w:r>
      <w:r w:rsidR="00606EC3" w:rsidRPr="00BD1319">
        <w:rPr>
          <w:spacing w:val="-3"/>
        </w:rPr>
        <w:t>encontra</w:t>
      </w:r>
      <w:r w:rsidR="00AD74F3" w:rsidRPr="00BD1319">
        <w:rPr>
          <w:spacing w:val="-3"/>
        </w:rPr>
        <w:t>das</w:t>
      </w:r>
      <w:r w:rsidR="00BF7396" w:rsidRPr="00BD1319">
        <w:rPr>
          <w:spacing w:val="-3"/>
        </w:rPr>
        <w:t xml:space="preserve"> (según lo reportado en </w:t>
      </w:r>
      <w:r w:rsidR="00606EC3" w:rsidRPr="00BD1319">
        <w:rPr>
          <w:spacing w:val="-3"/>
        </w:rPr>
        <w:t>la información secundaria consultada</w:t>
      </w:r>
      <w:r w:rsidR="00BF7396" w:rsidRPr="00BD1319">
        <w:rPr>
          <w:spacing w:val="-3"/>
        </w:rPr>
        <w:t>)</w:t>
      </w:r>
      <w:r w:rsidRPr="00BD1319">
        <w:rPr>
          <w:spacing w:val="-3"/>
        </w:rPr>
        <w:t>. Por tanto, se debe planificar el uso de una o varias metodologías de muestreo para caracterizar adecuadamente cada un</w:t>
      </w:r>
      <w:r w:rsidR="0049729E" w:rsidRPr="00BD1319">
        <w:rPr>
          <w:spacing w:val="-3"/>
        </w:rPr>
        <w:t xml:space="preserve">o </w:t>
      </w:r>
      <w:r w:rsidRPr="00BD1319">
        <w:rPr>
          <w:spacing w:val="-3"/>
        </w:rPr>
        <w:t xml:space="preserve">de </w:t>
      </w:r>
      <w:r w:rsidR="0049729E" w:rsidRPr="00BD1319">
        <w:rPr>
          <w:spacing w:val="-3"/>
        </w:rPr>
        <w:t xml:space="preserve">los ecosistemas </w:t>
      </w:r>
      <w:r w:rsidR="00DE34D4" w:rsidRPr="00BD1319">
        <w:rPr>
          <w:spacing w:val="-3"/>
        </w:rPr>
        <w:t>determinad</w:t>
      </w:r>
      <w:r w:rsidR="0049729E" w:rsidRPr="00BD1319">
        <w:rPr>
          <w:spacing w:val="-3"/>
        </w:rPr>
        <w:t>o</w:t>
      </w:r>
      <w:r w:rsidR="00DE34D4" w:rsidRPr="00BD1319">
        <w:rPr>
          <w:spacing w:val="-3"/>
        </w:rPr>
        <w:t>s</w:t>
      </w:r>
      <w:r w:rsidRPr="00BD1319">
        <w:rPr>
          <w:spacing w:val="-3"/>
        </w:rPr>
        <w:t>.</w:t>
      </w:r>
    </w:p>
    <w:p w14:paraId="5D8535D1" w14:textId="77777777" w:rsidR="00482A5F" w:rsidRPr="00BD1319" w:rsidRDefault="00482A5F">
      <w:pPr>
        <w:numPr>
          <w:ilvl w:val="12"/>
          <w:numId w:val="0"/>
        </w:numPr>
        <w:tabs>
          <w:tab w:val="left" w:pos="-2268"/>
        </w:tabs>
        <w:suppressAutoHyphens/>
        <w:rPr>
          <w:spacing w:val="-3"/>
        </w:rPr>
      </w:pPr>
    </w:p>
    <w:p w14:paraId="0F9A2091" w14:textId="5A24751D" w:rsidR="00940866" w:rsidRPr="00BD1319" w:rsidRDefault="00DD1872">
      <w:pPr>
        <w:numPr>
          <w:ilvl w:val="12"/>
          <w:numId w:val="0"/>
        </w:numPr>
        <w:tabs>
          <w:tab w:val="left" w:pos="-2268"/>
        </w:tabs>
        <w:suppressAutoHyphens/>
        <w:rPr>
          <w:spacing w:val="-3"/>
        </w:rPr>
      </w:pPr>
      <w:r w:rsidRPr="00BD1319">
        <w:rPr>
          <w:rFonts w:cs="Arial"/>
          <w:spacing w:val="-3"/>
        </w:rPr>
        <w:t xml:space="preserve">Para individuos con Diámetro a la Altura del Pecho (DAP) mayor </w:t>
      </w:r>
      <w:r w:rsidR="0066735A" w:rsidRPr="00BD1319">
        <w:rPr>
          <w:rFonts w:cs="Arial"/>
          <w:spacing w:val="-3"/>
        </w:rPr>
        <w:t xml:space="preserve">o igual </w:t>
      </w:r>
      <w:r w:rsidRPr="00BD1319">
        <w:rPr>
          <w:rFonts w:cs="Arial"/>
          <w:spacing w:val="-3"/>
        </w:rPr>
        <w:t>a 10 cm</w:t>
      </w:r>
      <w:r w:rsidRPr="00BD1319">
        <w:rPr>
          <w:rFonts w:cs="Arial"/>
          <w:lang w:eastAsia="es-CO"/>
        </w:rPr>
        <w:t>, se debe</w:t>
      </w:r>
      <w:r w:rsidRPr="00BD1319">
        <w:rPr>
          <w:rFonts w:cs="Arial"/>
          <w:spacing w:val="-3"/>
        </w:rPr>
        <w:t xml:space="preserve"> realizar un muestreo </w:t>
      </w:r>
      <w:r w:rsidR="0066735A" w:rsidRPr="00BD1319">
        <w:rPr>
          <w:rFonts w:cs="Arial"/>
          <w:spacing w:val="-3"/>
        </w:rPr>
        <w:t xml:space="preserve">por </w:t>
      </w:r>
      <w:r w:rsidR="005550BC" w:rsidRPr="00BD1319">
        <w:rPr>
          <w:rFonts w:cs="Arial"/>
          <w:spacing w:val="-3"/>
        </w:rPr>
        <w:t>ecosistema</w:t>
      </w:r>
      <w:r w:rsidR="0066735A" w:rsidRPr="00BD1319">
        <w:rPr>
          <w:rFonts w:cs="Arial"/>
          <w:spacing w:val="-3"/>
        </w:rPr>
        <w:t xml:space="preserve">, </w:t>
      </w:r>
      <w:r w:rsidRPr="00BD1319">
        <w:rPr>
          <w:rFonts w:cs="Arial"/>
          <w:spacing w:val="-3"/>
        </w:rPr>
        <w:t>con una probabilidad del 95% y un error</w:t>
      </w:r>
      <w:r w:rsidR="0066735A" w:rsidRPr="00BD1319">
        <w:rPr>
          <w:rFonts w:cs="Arial"/>
          <w:spacing w:val="-3"/>
        </w:rPr>
        <w:t xml:space="preserve"> de muestreo no superior al 15%</w:t>
      </w:r>
      <w:r w:rsidRPr="00BD1319">
        <w:rPr>
          <w:rFonts w:cs="Arial"/>
          <w:spacing w:val="-3"/>
        </w:rPr>
        <w:t>.</w:t>
      </w:r>
      <w:r w:rsidR="00940866" w:rsidRPr="00BD1319">
        <w:rPr>
          <w:rFonts w:cs="Arial"/>
          <w:spacing w:val="-3"/>
        </w:rPr>
        <w:t xml:space="preserve"> Se debe p</w:t>
      </w:r>
      <w:r w:rsidR="00940866" w:rsidRPr="00BD1319">
        <w:rPr>
          <w:spacing w:val="-3"/>
        </w:rPr>
        <w:t xml:space="preserve">resentar un cuadro resumen, por </w:t>
      </w:r>
      <w:r w:rsidR="005550BC" w:rsidRPr="00BD1319">
        <w:rPr>
          <w:spacing w:val="-3"/>
        </w:rPr>
        <w:t>ecosistema</w:t>
      </w:r>
      <w:r w:rsidR="00940866" w:rsidRPr="00BD1319">
        <w:rPr>
          <w:spacing w:val="-3"/>
        </w:rPr>
        <w:t xml:space="preserve">, </w:t>
      </w:r>
      <w:r w:rsidR="00C86750" w:rsidRPr="00BD1319">
        <w:rPr>
          <w:spacing w:val="-3"/>
        </w:rPr>
        <w:t xml:space="preserve">que señale </w:t>
      </w:r>
      <w:r w:rsidR="00940866" w:rsidRPr="00BD1319">
        <w:rPr>
          <w:spacing w:val="-3"/>
        </w:rPr>
        <w:t xml:space="preserve">los parámetros estadísticos </w:t>
      </w:r>
      <w:r w:rsidR="00940866" w:rsidRPr="00BD1319">
        <w:rPr>
          <w:rFonts w:cs="Arial"/>
          <w:spacing w:val="-3"/>
        </w:rPr>
        <w:t xml:space="preserve">con los cuales se calculó el tamaño de la </w:t>
      </w:r>
      <w:r w:rsidR="00940866" w:rsidRPr="00BD1319">
        <w:rPr>
          <w:spacing w:val="-3"/>
        </w:rPr>
        <w:t>muestra</w:t>
      </w:r>
      <w:r w:rsidR="00940866" w:rsidRPr="00BD1319">
        <w:rPr>
          <w:rFonts w:cs="Arial"/>
          <w:spacing w:val="-3"/>
        </w:rPr>
        <w:t>.</w:t>
      </w:r>
    </w:p>
    <w:p w14:paraId="5364578F" w14:textId="77777777" w:rsidR="00134A9B" w:rsidRPr="00BD1319" w:rsidRDefault="00134A9B" w:rsidP="00134A9B">
      <w:pPr>
        <w:overflowPunct/>
        <w:textAlignment w:val="auto"/>
        <w:rPr>
          <w:rFonts w:cs="Arial"/>
          <w:spacing w:val="-3"/>
        </w:rPr>
      </w:pPr>
    </w:p>
    <w:p w14:paraId="7403DDE4" w14:textId="7BA18634" w:rsidR="00134A9B" w:rsidRPr="00BD1319" w:rsidRDefault="00134A9B" w:rsidP="00134A9B">
      <w:pPr>
        <w:overflowPunct/>
        <w:textAlignment w:val="auto"/>
        <w:rPr>
          <w:rFonts w:cs="Arial"/>
          <w:spacing w:val="-3"/>
        </w:rPr>
      </w:pPr>
      <w:r w:rsidRPr="00BD1319">
        <w:rPr>
          <w:rFonts w:cs="Arial"/>
          <w:spacing w:val="-3"/>
        </w:rPr>
        <w:t>Para los helechos arborescentes</w:t>
      </w:r>
      <w:r w:rsidR="009401C6" w:rsidRPr="00BD1319">
        <w:rPr>
          <w:rFonts w:cs="Arial"/>
          <w:spacing w:val="-3"/>
        </w:rPr>
        <w:t xml:space="preserve"> se debe registrar la altura del </w:t>
      </w:r>
      <w:r w:rsidR="008F2486" w:rsidRPr="00BD1319">
        <w:rPr>
          <w:rFonts w:cs="Arial"/>
          <w:spacing w:val="-3"/>
        </w:rPr>
        <w:t>tallo</w:t>
      </w:r>
      <w:r w:rsidR="009401C6" w:rsidRPr="00BD1319">
        <w:rPr>
          <w:rFonts w:cs="Arial"/>
          <w:spacing w:val="-3"/>
        </w:rPr>
        <w:t xml:space="preserve"> de todos los individuos presentes </w:t>
      </w:r>
      <w:r w:rsidRPr="00BD1319">
        <w:rPr>
          <w:rFonts w:cs="Arial"/>
          <w:spacing w:val="-3"/>
        </w:rPr>
        <w:t xml:space="preserve">en cada unidad de muestreo </w:t>
      </w:r>
      <w:r w:rsidR="009401C6" w:rsidRPr="00BD1319">
        <w:rPr>
          <w:rFonts w:cs="Arial"/>
          <w:spacing w:val="-3"/>
        </w:rPr>
        <w:t xml:space="preserve">que cuenten </w:t>
      </w:r>
      <w:r w:rsidRPr="00BD1319">
        <w:rPr>
          <w:rFonts w:cs="Arial"/>
          <w:spacing w:val="-3"/>
        </w:rPr>
        <w:t xml:space="preserve">con </w:t>
      </w:r>
      <w:r w:rsidR="009401C6" w:rsidRPr="00BD1319">
        <w:rPr>
          <w:rFonts w:cs="Arial"/>
          <w:spacing w:val="-3"/>
        </w:rPr>
        <w:t xml:space="preserve">una </w:t>
      </w:r>
      <w:r w:rsidRPr="00BD1319">
        <w:rPr>
          <w:rFonts w:cs="Arial"/>
          <w:spacing w:val="-3"/>
        </w:rPr>
        <w:t xml:space="preserve">altura de </w:t>
      </w:r>
      <w:r w:rsidR="008F2486" w:rsidRPr="00BD1319">
        <w:rPr>
          <w:rFonts w:cs="Arial"/>
          <w:spacing w:val="-3"/>
        </w:rPr>
        <w:t>tallo</w:t>
      </w:r>
      <w:r w:rsidRPr="00BD1319">
        <w:rPr>
          <w:rFonts w:cs="Arial"/>
          <w:spacing w:val="-3"/>
        </w:rPr>
        <w:t xml:space="preserve"> mayor </w:t>
      </w:r>
      <w:r w:rsidR="008F2486" w:rsidRPr="00BD1319">
        <w:rPr>
          <w:rFonts w:cs="Arial"/>
          <w:spacing w:val="-3"/>
        </w:rPr>
        <w:t xml:space="preserve">o igual </w:t>
      </w:r>
      <w:r w:rsidRPr="00BD1319">
        <w:rPr>
          <w:rFonts w:cs="Arial"/>
          <w:spacing w:val="-3"/>
        </w:rPr>
        <w:t xml:space="preserve">a </w:t>
      </w:r>
      <w:r w:rsidR="004C39B9" w:rsidRPr="00BD1319">
        <w:rPr>
          <w:rFonts w:cs="Arial"/>
          <w:spacing w:val="-3"/>
        </w:rPr>
        <w:t>1,5</w:t>
      </w:r>
      <w:r w:rsidRPr="00BD1319">
        <w:rPr>
          <w:rFonts w:cs="Arial"/>
          <w:spacing w:val="-3"/>
        </w:rPr>
        <w:t xml:space="preserve"> m (altura </w:t>
      </w:r>
      <w:r w:rsidR="008A19F6" w:rsidRPr="00BD1319">
        <w:rPr>
          <w:rFonts w:cs="Arial"/>
          <w:spacing w:val="-3"/>
        </w:rPr>
        <w:t xml:space="preserve">medida </w:t>
      </w:r>
      <w:r w:rsidRPr="00BD1319">
        <w:rPr>
          <w:rFonts w:cs="Arial"/>
          <w:spacing w:val="-3"/>
        </w:rPr>
        <w:t xml:space="preserve">desde la base hasta </w:t>
      </w:r>
      <w:r w:rsidR="009F4597" w:rsidRPr="00BD1319">
        <w:rPr>
          <w:rFonts w:cs="Arial"/>
          <w:spacing w:val="-3"/>
        </w:rPr>
        <w:t>el penacho de la planta, es decir, hasta la primera inserción de las frondas</w:t>
      </w:r>
      <w:r w:rsidRPr="00BD1319">
        <w:rPr>
          <w:rFonts w:cs="Arial"/>
          <w:spacing w:val="-3"/>
        </w:rPr>
        <w:t>).</w:t>
      </w:r>
    </w:p>
    <w:p w14:paraId="5BDECF63" w14:textId="77777777" w:rsidR="00482A5F" w:rsidRPr="00BD1319" w:rsidRDefault="00482A5F" w:rsidP="00482A5F">
      <w:pPr>
        <w:numPr>
          <w:ilvl w:val="12"/>
          <w:numId w:val="0"/>
        </w:numPr>
        <w:tabs>
          <w:tab w:val="left" w:pos="-2268"/>
        </w:tabs>
        <w:suppressAutoHyphens/>
        <w:rPr>
          <w:rFonts w:cs="Arial"/>
          <w:spacing w:val="-3"/>
        </w:rPr>
      </w:pPr>
    </w:p>
    <w:p w14:paraId="0DC6F5D7" w14:textId="549A49B5" w:rsidR="00482A5F" w:rsidRPr="00BD1319" w:rsidRDefault="001768F7">
      <w:pPr>
        <w:numPr>
          <w:ilvl w:val="12"/>
          <w:numId w:val="0"/>
        </w:numPr>
        <w:tabs>
          <w:tab w:val="left" w:pos="-2268"/>
        </w:tabs>
        <w:suppressAutoHyphens/>
        <w:rPr>
          <w:spacing w:val="-3"/>
        </w:rPr>
      </w:pPr>
      <w:r w:rsidRPr="00BD1319">
        <w:rPr>
          <w:spacing w:val="-3"/>
        </w:rPr>
        <w:t xml:space="preserve">Las </w:t>
      </w:r>
      <w:r w:rsidR="00482A5F" w:rsidRPr="00BD1319">
        <w:rPr>
          <w:spacing w:val="-3"/>
        </w:rPr>
        <w:t xml:space="preserve">variables </w:t>
      </w:r>
      <w:r w:rsidR="00C86750" w:rsidRPr="00BD1319">
        <w:rPr>
          <w:spacing w:val="-3"/>
        </w:rPr>
        <w:t xml:space="preserve">que </w:t>
      </w:r>
      <w:r w:rsidRPr="00BD1319">
        <w:rPr>
          <w:spacing w:val="-3"/>
        </w:rPr>
        <w:t>mínima</w:t>
      </w:r>
      <w:r w:rsidR="00C86750" w:rsidRPr="00BD1319">
        <w:rPr>
          <w:spacing w:val="-3"/>
        </w:rPr>
        <w:t xml:space="preserve">mente </w:t>
      </w:r>
      <w:r w:rsidRPr="00BD1319">
        <w:rPr>
          <w:spacing w:val="-3"/>
        </w:rPr>
        <w:t xml:space="preserve">se </w:t>
      </w:r>
      <w:r w:rsidR="00C86750" w:rsidRPr="00BD1319">
        <w:rPr>
          <w:spacing w:val="-3"/>
        </w:rPr>
        <w:t>debe</w:t>
      </w:r>
      <w:r w:rsidRPr="00BD1319">
        <w:rPr>
          <w:spacing w:val="-3"/>
        </w:rPr>
        <w:t xml:space="preserve"> medir</w:t>
      </w:r>
      <w:r w:rsidR="00C86750" w:rsidRPr="00BD1319">
        <w:rPr>
          <w:spacing w:val="-3"/>
        </w:rPr>
        <w:t>,</w:t>
      </w:r>
      <w:r w:rsidRPr="00BD1319">
        <w:rPr>
          <w:spacing w:val="-3"/>
        </w:rPr>
        <w:t xml:space="preserve"> estimar y determinar son las siguientes</w:t>
      </w:r>
      <w:r w:rsidR="00482A5F" w:rsidRPr="00BD1319">
        <w:rPr>
          <w:spacing w:val="-3"/>
        </w:rPr>
        <w:t>:</w:t>
      </w:r>
    </w:p>
    <w:p w14:paraId="24D1E9A9" w14:textId="77777777" w:rsidR="00482A5F" w:rsidRPr="00BD1319" w:rsidRDefault="00482A5F" w:rsidP="00482A5F">
      <w:pPr>
        <w:numPr>
          <w:ilvl w:val="12"/>
          <w:numId w:val="0"/>
        </w:numPr>
        <w:tabs>
          <w:tab w:val="left" w:pos="-2268"/>
        </w:tabs>
        <w:suppressAutoHyphens/>
        <w:rPr>
          <w:rFonts w:cs="Arial"/>
          <w:spacing w:val="-3"/>
        </w:rPr>
      </w:pPr>
    </w:p>
    <w:p w14:paraId="23FDC6D9" w14:textId="2E7BFD6F" w:rsidR="00482A5F" w:rsidRPr="00BD1319" w:rsidRDefault="00482A5F" w:rsidP="00977C86">
      <w:pPr>
        <w:pStyle w:val="Prrafodelista"/>
        <w:numPr>
          <w:ilvl w:val="0"/>
          <w:numId w:val="96"/>
        </w:numPr>
        <w:tabs>
          <w:tab w:val="left" w:pos="-2268"/>
        </w:tabs>
        <w:suppressAutoHyphens/>
        <w:ind w:left="567" w:hanging="567"/>
        <w:rPr>
          <w:rFonts w:cs="Arial"/>
          <w:spacing w:val="-3"/>
          <w:lang w:val="es-CO"/>
        </w:rPr>
      </w:pPr>
      <w:r w:rsidRPr="00BD1319">
        <w:rPr>
          <w:rFonts w:cs="Arial"/>
          <w:spacing w:val="-3"/>
          <w:lang w:val="es-CO"/>
        </w:rPr>
        <w:t>Nombre común</w:t>
      </w:r>
      <w:r w:rsidR="00DD1872" w:rsidRPr="00BD1319">
        <w:rPr>
          <w:rFonts w:cs="Arial"/>
          <w:spacing w:val="-3"/>
          <w:lang w:val="es-CO"/>
        </w:rPr>
        <w:t>.</w:t>
      </w:r>
    </w:p>
    <w:p w14:paraId="59C22D20" w14:textId="77777777" w:rsidR="00482A5F" w:rsidRPr="00BD1319" w:rsidRDefault="00482A5F" w:rsidP="0082127E">
      <w:pPr>
        <w:tabs>
          <w:tab w:val="left" w:pos="-2268"/>
        </w:tabs>
        <w:suppressAutoHyphens/>
        <w:rPr>
          <w:rFonts w:cs="Arial"/>
          <w:spacing w:val="-3"/>
        </w:rPr>
      </w:pPr>
    </w:p>
    <w:p w14:paraId="094A0A9B" w14:textId="3E0A9718" w:rsidR="00482A5F" w:rsidRPr="00BD1319" w:rsidRDefault="00482A5F" w:rsidP="00977C86">
      <w:pPr>
        <w:pStyle w:val="Prrafodelista"/>
        <w:numPr>
          <w:ilvl w:val="0"/>
          <w:numId w:val="95"/>
        </w:numPr>
        <w:tabs>
          <w:tab w:val="left" w:pos="-2268"/>
        </w:tabs>
        <w:suppressAutoHyphens/>
        <w:ind w:left="567" w:hanging="567"/>
        <w:rPr>
          <w:rFonts w:cs="Arial"/>
          <w:spacing w:val="-3"/>
          <w:lang w:val="es-CO"/>
        </w:rPr>
      </w:pPr>
      <w:r w:rsidRPr="00BD1319">
        <w:rPr>
          <w:rFonts w:cs="Arial"/>
          <w:spacing w:val="-3"/>
          <w:lang w:val="es-CO"/>
        </w:rPr>
        <w:t>Nombre científico</w:t>
      </w:r>
      <w:r w:rsidR="00DD1872" w:rsidRPr="00BD1319">
        <w:rPr>
          <w:rFonts w:cs="Arial"/>
          <w:spacing w:val="-3"/>
          <w:lang w:val="es-CO"/>
        </w:rPr>
        <w:t>.</w:t>
      </w:r>
    </w:p>
    <w:p w14:paraId="788597F3" w14:textId="77777777" w:rsidR="00482A5F" w:rsidRPr="00BD1319" w:rsidRDefault="00482A5F">
      <w:pPr>
        <w:numPr>
          <w:ilvl w:val="12"/>
          <w:numId w:val="0"/>
        </w:numPr>
        <w:tabs>
          <w:tab w:val="left" w:pos="-2268"/>
        </w:tabs>
        <w:suppressAutoHyphens/>
        <w:rPr>
          <w:spacing w:val="-3"/>
        </w:rPr>
      </w:pPr>
    </w:p>
    <w:p w14:paraId="38233598" w14:textId="7EA68334" w:rsidR="00482A5F" w:rsidRPr="00BD1319" w:rsidRDefault="00482A5F" w:rsidP="00C86DA5">
      <w:pPr>
        <w:pStyle w:val="Prrafodelista"/>
        <w:numPr>
          <w:ilvl w:val="0"/>
          <w:numId w:val="83"/>
        </w:numPr>
        <w:tabs>
          <w:tab w:val="left" w:pos="-2268"/>
        </w:tabs>
        <w:suppressAutoHyphens/>
        <w:ind w:left="567" w:hanging="567"/>
        <w:rPr>
          <w:rFonts w:cs="Arial"/>
          <w:spacing w:val="-3"/>
          <w:lang w:val="es-CO"/>
        </w:rPr>
      </w:pPr>
      <w:r w:rsidRPr="00BD1319">
        <w:rPr>
          <w:rFonts w:cs="Arial"/>
          <w:spacing w:val="-3"/>
          <w:lang w:val="es-CO"/>
        </w:rPr>
        <w:t>Diámetro</w:t>
      </w:r>
      <w:r w:rsidRPr="00BD1319">
        <w:rPr>
          <w:rFonts w:cs="Arial"/>
          <w:lang w:val="es-CO"/>
        </w:rPr>
        <w:t xml:space="preserve"> </w:t>
      </w:r>
      <w:r w:rsidRPr="00BD1319">
        <w:rPr>
          <w:rFonts w:cs="Arial"/>
          <w:spacing w:val="-3"/>
          <w:lang w:val="es-CO"/>
        </w:rPr>
        <w:t>a la altura del pecho (DAP).</w:t>
      </w:r>
    </w:p>
    <w:p w14:paraId="39CBECD9" w14:textId="77777777" w:rsidR="00482A5F" w:rsidRPr="00BD1319" w:rsidRDefault="00482A5F">
      <w:pPr>
        <w:tabs>
          <w:tab w:val="left" w:pos="-2268"/>
        </w:tabs>
        <w:suppressAutoHyphens/>
        <w:rPr>
          <w:spacing w:val="-3"/>
        </w:rPr>
      </w:pPr>
    </w:p>
    <w:p w14:paraId="5F4A187F" w14:textId="77777777" w:rsidR="00482A5F" w:rsidRPr="00BD1319" w:rsidRDefault="00482A5F" w:rsidP="00C86DA5">
      <w:pPr>
        <w:pStyle w:val="Prrafodelista"/>
        <w:numPr>
          <w:ilvl w:val="0"/>
          <w:numId w:val="83"/>
        </w:numPr>
        <w:tabs>
          <w:tab w:val="left" w:pos="-2268"/>
        </w:tabs>
        <w:suppressAutoHyphens/>
        <w:ind w:left="567" w:hanging="567"/>
        <w:rPr>
          <w:rFonts w:cs="Arial"/>
          <w:spacing w:val="-3"/>
          <w:lang w:val="es-CO"/>
        </w:rPr>
      </w:pPr>
      <w:r w:rsidRPr="00BD1319">
        <w:rPr>
          <w:rFonts w:cs="Arial"/>
          <w:spacing w:val="-3"/>
          <w:lang w:val="es-CO"/>
        </w:rPr>
        <w:t>Área basal.</w:t>
      </w:r>
    </w:p>
    <w:p w14:paraId="41359B32" w14:textId="77777777" w:rsidR="007C5AD7" w:rsidRPr="00BD1319" w:rsidRDefault="007C5AD7" w:rsidP="009420F5">
      <w:pPr>
        <w:rPr>
          <w:rFonts w:cs="Arial"/>
          <w:spacing w:val="-3"/>
        </w:rPr>
      </w:pPr>
    </w:p>
    <w:p w14:paraId="720D9BDD" w14:textId="76728C3A" w:rsidR="00AD74F3" w:rsidRPr="00BD1319" w:rsidRDefault="00AD74F3" w:rsidP="00AD74F3">
      <w:pPr>
        <w:pStyle w:val="Prrafodelista"/>
        <w:numPr>
          <w:ilvl w:val="0"/>
          <w:numId w:val="83"/>
        </w:numPr>
        <w:tabs>
          <w:tab w:val="left" w:pos="-2268"/>
        </w:tabs>
        <w:suppressAutoHyphens/>
        <w:ind w:left="567" w:hanging="567"/>
        <w:rPr>
          <w:rFonts w:cs="Arial"/>
          <w:spacing w:val="-3"/>
          <w:lang w:val="es-CO"/>
        </w:rPr>
      </w:pPr>
      <w:r w:rsidRPr="00BD1319">
        <w:rPr>
          <w:rFonts w:cs="Arial"/>
          <w:spacing w:val="-3"/>
          <w:lang w:val="es-CO"/>
        </w:rPr>
        <w:t xml:space="preserve">Altura comercial </w:t>
      </w:r>
      <w:r w:rsidR="009F1479" w:rsidRPr="00BD1319">
        <w:rPr>
          <w:rFonts w:cs="Arial"/>
          <w:spacing w:val="-3"/>
          <w:lang w:val="es-CO"/>
        </w:rPr>
        <w:t>(p</w:t>
      </w:r>
      <w:r w:rsidRPr="00BD1319">
        <w:rPr>
          <w:rFonts w:cs="Arial"/>
          <w:spacing w:val="-3"/>
          <w:lang w:val="es-CO"/>
        </w:rPr>
        <w:t xml:space="preserve">ara </w:t>
      </w:r>
      <w:r w:rsidR="009F1479" w:rsidRPr="00BD1319">
        <w:rPr>
          <w:rFonts w:cs="Arial"/>
          <w:spacing w:val="-3"/>
          <w:lang w:val="es-CO"/>
        </w:rPr>
        <w:t>especies de tipo arbóreo)</w:t>
      </w:r>
      <w:r w:rsidRPr="00BD1319">
        <w:rPr>
          <w:rFonts w:cs="Arial"/>
          <w:spacing w:val="-3"/>
          <w:lang w:val="es-CO"/>
        </w:rPr>
        <w:t>.</w:t>
      </w:r>
    </w:p>
    <w:p w14:paraId="389AADE8" w14:textId="77777777" w:rsidR="00482A5F" w:rsidRPr="00BD1319" w:rsidRDefault="00482A5F">
      <w:pPr>
        <w:tabs>
          <w:tab w:val="left" w:pos="-2268"/>
        </w:tabs>
        <w:suppressAutoHyphens/>
        <w:rPr>
          <w:spacing w:val="-3"/>
        </w:rPr>
      </w:pPr>
    </w:p>
    <w:p w14:paraId="210E7B18" w14:textId="77777777" w:rsidR="00482A5F" w:rsidRPr="00BD1319" w:rsidRDefault="00482A5F" w:rsidP="00C86DA5">
      <w:pPr>
        <w:pStyle w:val="Prrafodelista"/>
        <w:numPr>
          <w:ilvl w:val="0"/>
          <w:numId w:val="83"/>
        </w:numPr>
        <w:tabs>
          <w:tab w:val="left" w:pos="-2268"/>
        </w:tabs>
        <w:suppressAutoHyphens/>
        <w:ind w:left="567" w:hanging="567"/>
        <w:rPr>
          <w:rFonts w:cs="Arial"/>
          <w:spacing w:val="-3"/>
          <w:lang w:val="es-CO"/>
        </w:rPr>
      </w:pPr>
      <w:r w:rsidRPr="00BD1319">
        <w:rPr>
          <w:rFonts w:cs="Arial"/>
          <w:spacing w:val="-3"/>
          <w:lang w:val="es-CO"/>
        </w:rPr>
        <w:t>Altura total.</w:t>
      </w:r>
    </w:p>
    <w:p w14:paraId="3E82A78D" w14:textId="77777777" w:rsidR="007C5AD7" w:rsidRPr="00BD1319" w:rsidRDefault="007C5AD7" w:rsidP="009420F5">
      <w:pPr>
        <w:rPr>
          <w:rFonts w:cs="Arial"/>
          <w:spacing w:val="-3"/>
        </w:rPr>
      </w:pPr>
    </w:p>
    <w:p w14:paraId="3ED9A458" w14:textId="6AAC02B1" w:rsidR="007C5AD7" w:rsidRPr="00BD1319" w:rsidRDefault="007C5AD7" w:rsidP="00C86DA5">
      <w:pPr>
        <w:pStyle w:val="Prrafodelista"/>
        <w:numPr>
          <w:ilvl w:val="0"/>
          <w:numId w:val="83"/>
        </w:numPr>
        <w:tabs>
          <w:tab w:val="left" w:pos="-2268"/>
        </w:tabs>
        <w:suppressAutoHyphens/>
        <w:ind w:left="567" w:hanging="567"/>
        <w:rPr>
          <w:rFonts w:cs="Arial"/>
          <w:spacing w:val="-3"/>
          <w:lang w:val="es-CO"/>
        </w:rPr>
      </w:pPr>
      <w:r w:rsidRPr="00BD1319">
        <w:rPr>
          <w:rFonts w:cs="Arial"/>
          <w:spacing w:val="-3"/>
          <w:lang w:val="es-CO"/>
        </w:rPr>
        <w:t>Volumen comercial</w:t>
      </w:r>
      <w:r w:rsidR="009F1479" w:rsidRPr="00BD1319">
        <w:rPr>
          <w:rFonts w:cs="Arial"/>
          <w:spacing w:val="-3"/>
          <w:lang w:val="es-CO"/>
        </w:rPr>
        <w:t xml:space="preserve"> (para especies de tipo arbóreo)</w:t>
      </w:r>
      <w:r w:rsidRPr="00BD1319">
        <w:rPr>
          <w:rFonts w:cs="Arial"/>
          <w:spacing w:val="-3"/>
          <w:lang w:val="es-CO"/>
        </w:rPr>
        <w:t>.</w:t>
      </w:r>
    </w:p>
    <w:p w14:paraId="43950B14" w14:textId="77777777" w:rsidR="00482A5F" w:rsidRPr="00BD1319" w:rsidRDefault="00482A5F">
      <w:pPr>
        <w:tabs>
          <w:tab w:val="left" w:pos="-2268"/>
        </w:tabs>
        <w:suppressAutoHyphens/>
        <w:rPr>
          <w:spacing w:val="-3"/>
        </w:rPr>
      </w:pPr>
    </w:p>
    <w:p w14:paraId="47D6E36B" w14:textId="6E3311B3" w:rsidR="00482A5F" w:rsidRPr="00BD1319" w:rsidRDefault="00482A5F" w:rsidP="00C86DA5">
      <w:pPr>
        <w:pStyle w:val="Prrafodelista"/>
        <w:numPr>
          <w:ilvl w:val="0"/>
          <w:numId w:val="83"/>
        </w:numPr>
        <w:tabs>
          <w:tab w:val="left" w:pos="-2268"/>
        </w:tabs>
        <w:suppressAutoHyphens/>
        <w:ind w:left="567" w:hanging="567"/>
        <w:rPr>
          <w:rFonts w:cs="Arial"/>
          <w:spacing w:val="-3"/>
          <w:lang w:val="es-CO"/>
        </w:rPr>
      </w:pPr>
      <w:r w:rsidRPr="00BD1319">
        <w:rPr>
          <w:rFonts w:cs="Arial"/>
          <w:spacing w:val="-3"/>
          <w:lang w:val="es-CO"/>
        </w:rPr>
        <w:t>Volumen total</w:t>
      </w:r>
      <w:r w:rsidR="0048696B" w:rsidRPr="00BD1319">
        <w:rPr>
          <w:rFonts w:cs="Arial"/>
          <w:spacing w:val="-3"/>
          <w:lang w:val="es-CO"/>
        </w:rPr>
        <w:t xml:space="preserve"> (para especies de tipo arbóreo)</w:t>
      </w:r>
      <w:r w:rsidR="00DD1872" w:rsidRPr="00BD1319">
        <w:rPr>
          <w:rFonts w:cs="Arial"/>
          <w:spacing w:val="-3"/>
          <w:lang w:val="es-CO"/>
        </w:rPr>
        <w:t>.</w:t>
      </w:r>
    </w:p>
    <w:p w14:paraId="283A3C87" w14:textId="77777777" w:rsidR="00AD74F3" w:rsidRPr="00BD1319" w:rsidRDefault="00AD74F3" w:rsidP="009420F5">
      <w:pPr>
        <w:rPr>
          <w:rFonts w:cs="Arial"/>
          <w:spacing w:val="-3"/>
        </w:rPr>
      </w:pPr>
    </w:p>
    <w:p w14:paraId="1DBD44E4" w14:textId="77777777" w:rsidR="00AD74F3" w:rsidRPr="00BD1319" w:rsidRDefault="00AD74F3" w:rsidP="00AD74F3">
      <w:pPr>
        <w:pStyle w:val="Prrafodelista"/>
        <w:numPr>
          <w:ilvl w:val="0"/>
          <w:numId w:val="83"/>
        </w:numPr>
        <w:tabs>
          <w:tab w:val="left" w:pos="-2268"/>
        </w:tabs>
        <w:suppressAutoHyphens/>
        <w:ind w:left="567" w:hanging="567"/>
        <w:rPr>
          <w:rFonts w:cs="Arial"/>
          <w:spacing w:val="-3"/>
          <w:lang w:val="es-CO"/>
        </w:rPr>
      </w:pPr>
      <w:r w:rsidRPr="00BD1319">
        <w:rPr>
          <w:rFonts w:cs="Arial"/>
          <w:spacing w:val="-3"/>
          <w:lang w:val="es-CO"/>
        </w:rPr>
        <w:t>Diámetro de copa.</w:t>
      </w:r>
    </w:p>
    <w:p w14:paraId="3BC1BF2C" w14:textId="77777777" w:rsidR="00C86750" w:rsidRPr="00BD1319" w:rsidRDefault="00C86750">
      <w:pPr>
        <w:numPr>
          <w:ilvl w:val="12"/>
          <w:numId w:val="0"/>
        </w:numPr>
        <w:tabs>
          <w:tab w:val="left" w:pos="-2268"/>
        </w:tabs>
        <w:suppressAutoHyphens/>
        <w:rPr>
          <w:spacing w:val="-3"/>
        </w:rPr>
      </w:pPr>
    </w:p>
    <w:p w14:paraId="49892F82" w14:textId="31589391" w:rsidR="006D4C7A" w:rsidRPr="00BD1319" w:rsidRDefault="006D4C7A" w:rsidP="006D4C7A">
      <w:pPr>
        <w:numPr>
          <w:ilvl w:val="12"/>
          <w:numId w:val="0"/>
        </w:numPr>
        <w:tabs>
          <w:tab w:val="left" w:pos="-2268"/>
        </w:tabs>
        <w:suppressAutoHyphens/>
        <w:rPr>
          <w:spacing w:val="-3"/>
        </w:rPr>
      </w:pPr>
      <w:r w:rsidRPr="00BD1319">
        <w:rPr>
          <w:spacing w:val="-3"/>
        </w:rPr>
        <w:t xml:space="preserve">Para la caracterización y análisis de la regeneración natural se deben incluir los individuos </w:t>
      </w:r>
      <w:r w:rsidR="00CE770D" w:rsidRPr="00BD1319">
        <w:rPr>
          <w:spacing w:val="-3"/>
        </w:rPr>
        <w:t xml:space="preserve">de especies arbóreas </w:t>
      </w:r>
      <w:r w:rsidRPr="00BD1319">
        <w:rPr>
          <w:spacing w:val="-3"/>
        </w:rPr>
        <w:t xml:space="preserve">con Diámetro a la Altura del Pecho (DAP) menor a 10 cm en las categorías de tamaño latizal y brinzal (ver </w:t>
      </w:r>
      <w:r w:rsidRPr="00BD1319">
        <w:rPr>
          <w:spacing w:val="-3"/>
        </w:rPr>
        <w:fldChar w:fldCharType="begin"/>
      </w:r>
      <w:r w:rsidRPr="00BD1319">
        <w:rPr>
          <w:spacing w:val="-3"/>
        </w:rPr>
        <w:instrText xml:space="preserve"> REF _Ref68298340 \h  \* MERGEFORMAT </w:instrText>
      </w:r>
      <w:r w:rsidRPr="00BD1319">
        <w:rPr>
          <w:spacing w:val="-3"/>
        </w:rPr>
      </w:r>
      <w:r w:rsidRPr="00BD1319">
        <w:rPr>
          <w:spacing w:val="-3"/>
        </w:rPr>
        <w:fldChar w:fldCharType="separate"/>
      </w:r>
      <w:r w:rsidR="00296654" w:rsidRPr="00BD1319">
        <w:rPr>
          <w:rFonts w:cs="Arial"/>
          <w:spacing w:val="-3"/>
        </w:rPr>
        <w:t>Tabla 22</w:t>
      </w:r>
      <w:r w:rsidRPr="00BD1319">
        <w:rPr>
          <w:spacing w:val="-3"/>
        </w:rPr>
        <w:fldChar w:fldCharType="end"/>
      </w:r>
      <w:r w:rsidRPr="00BD1319">
        <w:rPr>
          <w:spacing w:val="-3"/>
        </w:rPr>
        <w:t>)</w:t>
      </w:r>
      <w:r w:rsidR="00CE770D" w:rsidRPr="00BD1319">
        <w:rPr>
          <w:spacing w:val="-3"/>
        </w:rPr>
        <w:t xml:space="preserve">, así como </w:t>
      </w:r>
      <w:r w:rsidRPr="00BD1319">
        <w:rPr>
          <w:spacing w:val="-3"/>
        </w:rPr>
        <w:t xml:space="preserve">los individuos </w:t>
      </w:r>
      <w:r w:rsidR="00287A01" w:rsidRPr="00BD1319">
        <w:rPr>
          <w:spacing w:val="-3"/>
        </w:rPr>
        <w:t xml:space="preserve">de helechos arborescentes </w:t>
      </w:r>
      <w:r w:rsidRPr="00BD1319">
        <w:rPr>
          <w:spacing w:val="-3"/>
        </w:rPr>
        <w:t xml:space="preserve">con altura del </w:t>
      </w:r>
      <w:r w:rsidR="008F2486" w:rsidRPr="00BD1319">
        <w:rPr>
          <w:spacing w:val="-3"/>
        </w:rPr>
        <w:t>tallo</w:t>
      </w:r>
      <w:r w:rsidRPr="00BD1319">
        <w:rPr>
          <w:spacing w:val="-3"/>
        </w:rPr>
        <w:t xml:space="preserve"> menor a </w:t>
      </w:r>
      <w:r w:rsidR="00855A16" w:rsidRPr="00BD1319">
        <w:rPr>
          <w:spacing w:val="-3"/>
        </w:rPr>
        <w:t>1,5</w:t>
      </w:r>
      <w:r w:rsidRPr="00BD1319">
        <w:rPr>
          <w:spacing w:val="-3"/>
        </w:rPr>
        <w:t xml:space="preserve"> m.</w:t>
      </w:r>
    </w:p>
    <w:p w14:paraId="2EF05962" w14:textId="77777777" w:rsidR="006D4C7A" w:rsidRPr="00BD1319" w:rsidRDefault="006D4C7A" w:rsidP="006D4C7A">
      <w:pPr>
        <w:numPr>
          <w:ilvl w:val="12"/>
          <w:numId w:val="0"/>
        </w:numPr>
        <w:tabs>
          <w:tab w:val="left" w:pos="-2268"/>
        </w:tabs>
        <w:suppressAutoHyphens/>
        <w:rPr>
          <w:spacing w:val="-3"/>
        </w:rPr>
      </w:pPr>
    </w:p>
    <w:p w14:paraId="55A1BF32" w14:textId="7E589603" w:rsidR="006D4C7A" w:rsidRPr="00BD1319" w:rsidRDefault="006D4C7A" w:rsidP="006D4C7A">
      <w:pPr>
        <w:numPr>
          <w:ilvl w:val="12"/>
          <w:numId w:val="0"/>
        </w:numPr>
        <w:tabs>
          <w:tab w:val="left" w:pos="-2268"/>
        </w:tabs>
        <w:suppressAutoHyphens/>
        <w:jc w:val="center"/>
        <w:rPr>
          <w:rFonts w:cs="Arial"/>
          <w:spacing w:val="-3"/>
        </w:rPr>
      </w:pPr>
      <w:bookmarkStart w:id="2872" w:name="_Ref68298340"/>
      <w:r w:rsidRPr="00BD1319">
        <w:rPr>
          <w:rFonts w:cs="Arial"/>
          <w:b/>
          <w:spacing w:val="-3"/>
        </w:rPr>
        <w:t xml:space="preserve">Tabla </w:t>
      </w:r>
      <w:r w:rsidRPr="00BD1319">
        <w:rPr>
          <w:rFonts w:cs="Arial"/>
          <w:b/>
          <w:spacing w:val="-3"/>
        </w:rPr>
        <w:fldChar w:fldCharType="begin"/>
      </w:r>
      <w:r w:rsidRPr="00BD1319">
        <w:rPr>
          <w:rFonts w:cs="Arial"/>
          <w:b/>
          <w:spacing w:val="-3"/>
        </w:rPr>
        <w:instrText xml:space="preserve"> SEQ Tabla \* ARABIC </w:instrText>
      </w:r>
      <w:r w:rsidRPr="00BD1319">
        <w:rPr>
          <w:rFonts w:cs="Arial"/>
          <w:b/>
          <w:spacing w:val="-3"/>
        </w:rPr>
        <w:fldChar w:fldCharType="separate"/>
      </w:r>
      <w:r w:rsidR="00296654" w:rsidRPr="00BD1319">
        <w:rPr>
          <w:rFonts w:cs="Arial"/>
          <w:b/>
          <w:noProof/>
          <w:spacing w:val="-3"/>
        </w:rPr>
        <w:t>22</w:t>
      </w:r>
      <w:r w:rsidRPr="00BD1319">
        <w:rPr>
          <w:rFonts w:cs="Arial"/>
          <w:b/>
          <w:spacing w:val="-3"/>
        </w:rPr>
        <w:fldChar w:fldCharType="end"/>
      </w:r>
      <w:bookmarkEnd w:id="2872"/>
      <w:r w:rsidRPr="00BD1319">
        <w:rPr>
          <w:rFonts w:cs="Arial"/>
          <w:b/>
          <w:spacing w:val="-3"/>
        </w:rPr>
        <w:t>.</w:t>
      </w:r>
      <w:r w:rsidRPr="00BD1319">
        <w:rPr>
          <w:rFonts w:cs="Arial"/>
          <w:spacing w:val="-3"/>
        </w:rPr>
        <w:t xml:space="preserve"> Categorías de tamaño</w:t>
      </w:r>
    </w:p>
    <w:tbl>
      <w:tblPr>
        <w:tblStyle w:val="Tablaconcuadrcula"/>
        <w:tblW w:w="0" w:type="auto"/>
        <w:tblLook w:val="04A0" w:firstRow="1" w:lastRow="0" w:firstColumn="1" w:lastColumn="0" w:noHBand="0" w:noVBand="1"/>
      </w:tblPr>
      <w:tblGrid>
        <w:gridCol w:w="2933"/>
        <w:gridCol w:w="3133"/>
        <w:gridCol w:w="2764"/>
      </w:tblGrid>
      <w:tr w:rsidR="006D4C7A" w:rsidRPr="00BD1319" w14:paraId="7C9B8F14" w14:textId="77777777" w:rsidTr="001E5D96">
        <w:trPr>
          <w:trHeight w:hRule="exact" w:val="567"/>
        </w:trPr>
        <w:tc>
          <w:tcPr>
            <w:tcW w:w="3207" w:type="dxa"/>
            <w:vAlign w:val="center"/>
          </w:tcPr>
          <w:p w14:paraId="3930BCA7" w14:textId="77777777" w:rsidR="006D4C7A" w:rsidRPr="00BD1319" w:rsidRDefault="006D4C7A" w:rsidP="001B485E">
            <w:pPr>
              <w:numPr>
                <w:ilvl w:val="12"/>
                <w:numId w:val="0"/>
              </w:numPr>
              <w:tabs>
                <w:tab w:val="left" w:pos="-2268"/>
              </w:tabs>
              <w:suppressAutoHyphens/>
              <w:jc w:val="center"/>
              <w:rPr>
                <w:rFonts w:cs="Arial"/>
                <w:b/>
                <w:bCs/>
                <w:spacing w:val="-3"/>
                <w:sz w:val="22"/>
                <w:szCs w:val="20"/>
              </w:rPr>
            </w:pPr>
            <w:r w:rsidRPr="00BD1319">
              <w:rPr>
                <w:rFonts w:cs="Arial"/>
                <w:b/>
                <w:bCs/>
                <w:spacing w:val="-3"/>
                <w:sz w:val="22"/>
                <w:szCs w:val="20"/>
              </w:rPr>
              <w:t>Nombre de la clase</w:t>
            </w:r>
          </w:p>
        </w:tc>
        <w:tc>
          <w:tcPr>
            <w:tcW w:w="3422" w:type="dxa"/>
            <w:vAlign w:val="center"/>
          </w:tcPr>
          <w:p w14:paraId="1DC22431" w14:textId="77777777" w:rsidR="006D4C7A" w:rsidRPr="00BD1319" w:rsidRDefault="006D4C7A" w:rsidP="001B485E">
            <w:pPr>
              <w:numPr>
                <w:ilvl w:val="12"/>
                <w:numId w:val="0"/>
              </w:numPr>
              <w:tabs>
                <w:tab w:val="left" w:pos="-2268"/>
              </w:tabs>
              <w:suppressAutoHyphens/>
              <w:jc w:val="center"/>
              <w:rPr>
                <w:rFonts w:cs="Arial"/>
                <w:b/>
                <w:bCs/>
                <w:spacing w:val="-3"/>
                <w:sz w:val="22"/>
                <w:szCs w:val="20"/>
              </w:rPr>
            </w:pPr>
            <w:r w:rsidRPr="00BD1319">
              <w:rPr>
                <w:rFonts w:cs="Arial"/>
                <w:b/>
                <w:bCs/>
                <w:spacing w:val="-3"/>
                <w:sz w:val="22"/>
                <w:szCs w:val="20"/>
              </w:rPr>
              <w:t>Tamaño de la clase o categoría</w:t>
            </w:r>
          </w:p>
        </w:tc>
        <w:tc>
          <w:tcPr>
            <w:tcW w:w="2994" w:type="dxa"/>
            <w:vAlign w:val="center"/>
          </w:tcPr>
          <w:p w14:paraId="3BF33741" w14:textId="77777777" w:rsidR="006D4C7A" w:rsidRPr="00BD1319" w:rsidRDefault="006D4C7A" w:rsidP="001B485E">
            <w:pPr>
              <w:numPr>
                <w:ilvl w:val="12"/>
                <w:numId w:val="0"/>
              </w:numPr>
              <w:tabs>
                <w:tab w:val="left" w:pos="-2268"/>
              </w:tabs>
              <w:suppressAutoHyphens/>
              <w:jc w:val="center"/>
              <w:rPr>
                <w:rFonts w:cs="Arial"/>
                <w:b/>
                <w:bCs/>
                <w:spacing w:val="-3"/>
                <w:sz w:val="22"/>
                <w:szCs w:val="20"/>
              </w:rPr>
            </w:pPr>
            <w:r w:rsidRPr="00BD1319">
              <w:rPr>
                <w:rFonts w:cs="Arial"/>
                <w:b/>
                <w:bCs/>
                <w:spacing w:val="-3"/>
                <w:sz w:val="22"/>
                <w:szCs w:val="20"/>
              </w:rPr>
              <w:t>Categoría de tamaño</w:t>
            </w:r>
          </w:p>
        </w:tc>
      </w:tr>
      <w:tr w:rsidR="006D4C7A" w:rsidRPr="00BD1319" w14:paraId="1FC6F98F" w14:textId="77777777" w:rsidTr="001E5D96">
        <w:trPr>
          <w:trHeight w:val="567"/>
        </w:trPr>
        <w:tc>
          <w:tcPr>
            <w:tcW w:w="3207" w:type="dxa"/>
            <w:vAlign w:val="center"/>
          </w:tcPr>
          <w:p w14:paraId="76CCE3A1" w14:textId="77777777" w:rsidR="006D4C7A" w:rsidRPr="00BD1319" w:rsidRDefault="006D4C7A" w:rsidP="001B485E">
            <w:pPr>
              <w:numPr>
                <w:ilvl w:val="12"/>
                <w:numId w:val="0"/>
              </w:numPr>
              <w:tabs>
                <w:tab w:val="left" w:pos="-2268"/>
              </w:tabs>
              <w:suppressAutoHyphens/>
              <w:rPr>
                <w:rFonts w:cs="Arial"/>
                <w:spacing w:val="-3"/>
                <w:sz w:val="22"/>
                <w:szCs w:val="20"/>
              </w:rPr>
            </w:pPr>
            <w:r w:rsidRPr="00BD1319">
              <w:rPr>
                <w:rFonts w:cs="Arial"/>
                <w:spacing w:val="-3"/>
                <w:sz w:val="22"/>
                <w:szCs w:val="20"/>
              </w:rPr>
              <w:t>Renuevo o plántula</w:t>
            </w:r>
          </w:p>
        </w:tc>
        <w:tc>
          <w:tcPr>
            <w:tcW w:w="3422" w:type="dxa"/>
            <w:vAlign w:val="center"/>
          </w:tcPr>
          <w:p w14:paraId="2D4590F3" w14:textId="77777777" w:rsidR="006D4C7A" w:rsidRPr="00BD1319" w:rsidRDefault="006D4C7A" w:rsidP="001B485E">
            <w:pPr>
              <w:numPr>
                <w:ilvl w:val="12"/>
                <w:numId w:val="0"/>
              </w:numPr>
              <w:tabs>
                <w:tab w:val="left" w:pos="-2268"/>
              </w:tabs>
              <w:suppressAutoHyphens/>
              <w:rPr>
                <w:rFonts w:cs="Arial"/>
                <w:spacing w:val="-3"/>
                <w:sz w:val="22"/>
                <w:szCs w:val="20"/>
              </w:rPr>
            </w:pPr>
            <w:r w:rsidRPr="00BD1319">
              <w:rPr>
                <w:rFonts w:cs="Arial"/>
                <w:spacing w:val="-3"/>
                <w:sz w:val="22"/>
                <w:szCs w:val="20"/>
              </w:rPr>
              <w:t>Altura menor de 30 cm</w:t>
            </w:r>
          </w:p>
        </w:tc>
        <w:tc>
          <w:tcPr>
            <w:tcW w:w="2994" w:type="dxa"/>
            <w:vAlign w:val="center"/>
          </w:tcPr>
          <w:p w14:paraId="60D67EAF" w14:textId="77777777" w:rsidR="006D4C7A" w:rsidRPr="00BD1319" w:rsidRDefault="006D4C7A" w:rsidP="001B485E">
            <w:pPr>
              <w:numPr>
                <w:ilvl w:val="12"/>
                <w:numId w:val="0"/>
              </w:numPr>
              <w:tabs>
                <w:tab w:val="left" w:pos="-2268"/>
              </w:tabs>
              <w:suppressAutoHyphens/>
              <w:jc w:val="center"/>
              <w:rPr>
                <w:rFonts w:cs="Arial"/>
                <w:spacing w:val="-3"/>
                <w:sz w:val="22"/>
                <w:szCs w:val="20"/>
              </w:rPr>
            </w:pPr>
            <w:r w:rsidRPr="00BD1319">
              <w:rPr>
                <w:rFonts w:cs="Arial"/>
                <w:spacing w:val="-3"/>
                <w:sz w:val="22"/>
                <w:szCs w:val="20"/>
              </w:rPr>
              <w:t>Ct1</w:t>
            </w:r>
          </w:p>
        </w:tc>
      </w:tr>
      <w:tr w:rsidR="006D4C7A" w:rsidRPr="00BD1319" w14:paraId="00EE5D8A" w14:textId="77777777" w:rsidTr="001E5D96">
        <w:trPr>
          <w:trHeight w:val="567"/>
        </w:trPr>
        <w:tc>
          <w:tcPr>
            <w:tcW w:w="3207" w:type="dxa"/>
            <w:vAlign w:val="center"/>
          </w:tcPr>
          <w:p w14:paraId="2F60B1B3" w14:textId="77777777" w:rsidR="006D4C7A" w:rsidRPr="00BD1319" w:rsidRDefault="006D4C7A" w:rsidP="001B485E">
            <w:pPr>
              <w:numPr>
                <w:ilvl w:val="12"/>
                <w:numId w:val="0"/>
              </w:numPr>
              <w:tabs>
                <w:tab w:val="left" w:pos="-2268"/>
              </w:tabs>
              <w:suppressAutoHyphens/>
              <w:rPr>
                <w:rFonts w:cs="Arial"/>
                <w:spacing w:val="-3"/>
                <w:sz w:val="22"/>
                <w:szCs w:val="20"/>
              </w:rPr>
            </w:pPr>
            <w:r w:rsidRPr="00BD1319">
              <w:rPr>
                <w:rFonts w:cs="Arial"/>
                <w:spacing w:val="-3"/>
                <w:sz w:val="22"/>
                <w:szCs w:val="20"/>
              </w:rPr>
              <w:t>Brinzal</w:t>
            </w:r>
          </w:p>
        </w:tc>
        <w:tc>
          <w:tcPr>
            <w:tcW w:w="3422" w:type="dxa"/>
            <w:vAlign w:val="center"/>
          </w:tcPr>
          <w:p w14:paraId="2B8DF632" w14:textId="2DCA24C3" w:rsidR="006D4C7A" w:rsidRPr="00BD1319" w:rsidRDefault="006D4C7A" w:rsidP="001B485E">
            <w:pPr>
              <w:numPr>
                <w:ilvl w:val="12"/>
                <w:numId w:val="0"/>
              </w:numPr>
              <w:tabs>
                <w:tab w:val="left" w:pos="-2268"/>
              </w:tabs>
              <w:suppressAutoHyphens/>
              <w:rPr>
                <w:rFonts w:cs="Arial"/>
                <w:spacing w:val="-3"/>
                <w:sz w:val="22"/>
                <w:szCs w:val="20"/>
              </w:rPr>
            </w:pPr>
            <w:r w:rsidRPr="00BD1319">
              <w:rPr>
                <w:rFonts w:cs="Arial"/>
                <w:spacing w:val="-3"/>
                <w:sz w:val="22"/>
                <w:szCs w:val="20"/>
              </w:rPr>
              <w:t>Altura entre 3</w:t>
            </w:r>
            <w:r w:rsidR="006B7500" w:rsidRPr="00BD1319">
              <w:rPr>
                <w:rFonts w:cs="Arial"/>
                <w:spacing w:val="-3"/>
                <w:sz w:val="22"/>
                <w:szCs w:val="20"/>
              </w:rPr>
              <w:t>0</w:t>
            </w:r>
            <w:r w:rsidRPr="00BD1319">
              <w:rPr>
                <w:rFonts w:cs="Arial"/>
                <w:spacing w:val="-3"/>
                <w:sz w:val="22"/>
                <w:szCs w:val="20"/>
              </w:rPr>
              <w:t xml:space="preserve"> </w:t>
            </w:r>
            <w:r w:rsidR="006B7500" w:rsidRPr="00BD1319">
              <w:rPr>
                <w:rFonts w:cs="Arial"/>
                <w:spacing w:val="-3"/>
                <w:sz w:val="22"/>
                <w:szCs w:val="20"/>
              </w:rPr>
              <w:t>y</w:t>
            </w:r>
            <w:r w:rsidRPr="00BD1319">
              <w:rPr>
                <w:rFonts w:cs="Arial"/>
                <w:spacing w:val="-3"/>
                <w:sz w:val="22"/>
                <w:szCs w:val="20"/>
              </w:rPr>
              <w:t xml:space="preserve"> 150 cm</w:t>
            </w:r>
          </w:p>
        </w:tc>
        <w:tc>
          <w:tcPr>
            <w:tcW w:w="2994" w:type="dxa"/>
            <w:vAlign w:val="center"/>
          </w:tcPr>
          <w:p w14:paraId="002AB1A9" w14:textId="77777777" w:rsidR="006D4C7A" w:rsidRPr="00BD1319" w:rsidRDefault="006D4C7A" w:rsidP="001B485E">
            <w:pPr>
              <w:numPr>
                <w:ilvl w:val="12"/>
                <w:numId w:val="0"/>
              </w:numPr>
              <w:tabs>
                <w:tab w:val="left" w:pos="-2268"/>
              </w:tabs>
              <w:suppressAutoHyphens/>
              <w:jc w:val="center"/>
              <w:rPr>
                <w:rFonts w:cs="Arial"/>
                <w:spacing w:val="-3"/>
                <w:sz w:val="22"/>
                <w:szCs w:val="20"/>
              </w:rPr>
            </w:pPr>
            <w:r w:rsidRPr="00BD1319">
              <w:rPr>
                <w:rFonts w:cs="Arial"/>
                <w:spacing w:val="-3"/>
                <w:sz w:val="22"/>
                <w:szCs w:val="20"/>
              </w:rPr>
              <w:t>Ct2</w:t>
            </w:r>
          </w:p>
        </w:tc>
      </w:tr>
      <w:tr w:rsidR="006D4C7A" w:rsidRPr="00BD1319" w14:paraId="12ED4CAB" w14:textId="77777777" w:rsidTr="001E5D96">
        <w:trPr>
          <w:trHeight w:val="567"/>
        </w:trPr>
        <w:tc>
          <w:tcPr>
            <w:tcW w:w="3207" w:type="dxa"/>
            <w:vAlign w:val="center"/>
          </w:tcPr>
          <w:p w14:paraId="53873300" w14:textId="77777777" w:rsidR="006D4C7A" w:rsidRPr="00BD1319" w:rsidRDefault="006D4C7A" w:rsidP="001B485E">
            <w:pPr>
              <w:numPr>
                <w:ilvl w:val="12"/>
                <w:numId w:val="0"/>
              </w:numPr>
              <w:tabs>
                <w:tab w:val="left" w:pos="-2268"/>
              </w:tabs>
              <w:suppressAutoHyphens/>
              <w:rPr>
                <w:rFonts w:cs="Arial"/>
                <w:spacing w:val="-3"/>
                <w:sz w:val="22"/>
                <w:szCs w:val="20"/>
              </w:rPr>
            </w:pPr>
            <w:r w:rsidRPr="00BD1319">
              <w:rPr>
                <w:rFonts w:cs="Arial"/>
                <w:spacing w:val="-3"/>
                <w:sz w:val="22"/>
                <w:szCs w:val="20"/>
              </w:rPr>
              <w:t>Latizal</w:t>
            </w:r>
          </w:p>
        </w:tc>
        <w:tc>
          <w:tcPr>
            <w:tcW w:w="3422" w:type="dxa"/>
            <w:vAlign w:val="center"/>
          </w:tcPr>
          <w:p w14:paraId="04BC743D" w14:textId="3EF11E10" w:rsidR="006D4C7A" w:rsidRPr="00BD1319" w:rsidRDefault="006D4C7A" w:rsidP="001B485E">
            <w:pPr>
              <w:numPr>
                <w:ilvl w:val="12"/>
                <w:numId w:val="0"/>
              </w:numPr>
              <w:tabs>
                <w:tab w:val="left" w:pos="-2268"/>
              </w:tabs>
              <w:suppressAutoHyphens/>
              <w:rPr>
                <w:rFonts w:cs="Arial"/>
                <w:spacing w:val="-3"/>
                <w:sz w:val="22"/>
                <w:szCs w:val="20"/>
              </w:rPr>
            </w:pPr>
            <w:r w:rsidRPr="00BD1319">
              <w:rPr>
                <w:rFonts w:cs="Arial"/>
                <w:spacing w:val="-3"/>
                <w:sz w:val="22"/>
                <w:szCs w:val="20"/>
              </w:rPr>
              <w:t>Altura mayor a 150 cm y diámetro menor a 9</w:t>
            </w:r>
            <w:r w:rsidR="006B7500" w:rsidRPr="00BD1319">
              <w:rPr>
                <w:rFonts w:cs="Arial"/>
                <w:spacing w:val="-3"/>
                <w:sz w:val="22"/>
                <w:szCs w:val="20"/>
              </w:rPr>
              <w:t>,</w:t>
            </w:r>
            <w:r w:rsidRPr="00BD1319">
              <w:rPr>
                <w:rFonts w:cs="Arial"/>
                <w:spacing w:val="-3"/>
                <w:sz w:val="22"/>
                <w:szCs w:val="20"/>
              </w:rPr>
              <w:t>9 cm</w:t>
            </w:r>
          </w:p>
        </w:tc>
        <w:tc>
          <w:tcPr>
            <w:tcW w:w="2994" w:type="dxa"/>
            <w:vAlign w:val="center"/>
          </w:tcPr>
          <w:p w14:paraId="4CC3E9CD" w14:textId="77777777" w:rsidR="006D4C7A" w:rsidRPr="00BD1319" w:rsidRDefault="006D4C7A" w:rsidP="001B485E">
            <w:pPr>
              <w:numPr>
                <w:ilvl w:val="12"/>
                <w:numId w:val="0"/>
              </w:numPr>
              <w:tabs>
                <w:tab w:val="left" w:pos="-2268"/>
              </w:tabs>
              <w:suppressAutoHyphens/>
              <w:jc w:val="center"/>
              <w:rPr>
                <w:rFonts w:cs="Arial"/>
                <w:spacing w:val="-3"/>
                <w:sz w:val="22"/>
                <w:szCs w:val="20"/>
              </w:rPr>
            </w:pPr>
            <w:r w:rsidRPr="00BD1319">
              <w:rPr>
                <w:rFonts w:cs="Arial"/>
                <w:spacing w:val="-3"/>
                <w:sz w:val="22"/>
                <w:szCs w:val="20"/>
              </w:rPr>
              <w:t>Ct3</w:t>
            </w:r>
          </w:p>
        </w:tc>
      </w:tr>
    </w:tbl>
    <w:p w14:paraId="34A304E1" w14:textId="0161CF9F" w:rsidR="006D4C7A" w:rsidRPr="00BD1319" w:rsidRDefault="006D4C7A" w:rsidP="006D4C7A">
      <w:pPr>
        <w:numPr>
          <w:ilvl w:val="12"/>
          <w:numId w:val="0"/>
        </w:numPr>
        <w:tabs>
          <w:tab w:val="left" w:pos="-2268"/>
        </w:tabs>
        <w:suppressAutoHyphens/>
        <w:jc w:val="center"/>
        <w:rPr>
          <w:spacing w:val="-3"/>
          <w:sz w:val="20"/>
        </w:rPr>
      </w:pPr>
      <w:r w:rsidRPr="00BD1319">
        <w:rPr>
          <w:b/>
          <w:spacing w:val="-3"/>
          <w:sz w:val="20"/>
        </w:rPr>
        <w:t>Fuente:</w:t>
      </w:r>
      <w:r w:rsidRPr="00BD1319">
        <w:rPr>
          <w:spacing w:val="-3"/>
          <w:sz w:val="20"/>
        </w:rPr>
        <w:t xml:space="preserve"> </w:t>
      </w:r>
      <w:r w:rsidR="00B37DDB" w:rsidRPr="00BD1319">
        <w:rPr>
          <w:spacing w:val="-3"/>
          <w:sz w:val="20"/>
        </w:rPr>
        <w:t xml:space="preserve">Ministerio del Medio Ambiente &amp; Asociación colombiana de </w:t>
      </w:r>
      <w:proofErr w:type="spellStart"/>
      <w:r w:rsidR="00B37DDB" w:rsidRPr="00BD1319">
        <w:rPr>
          <w:spacing w:val="-3"/>
          <w:sz w:val="20"/>
        </w:rPr>
        <w:t>reforestadores</w:t>
      </w:r>
      <w:proofErr w:type="spellEnd"/>
      <w:r w:rsidRPr="00BD1319">
        <w:rPr>
          <w:spacing w:val="-3"/>
          <w:sz w:val="20"/>
        </w:rPr>
        <w:t xml:space="preserve"> </w:t>
      </w:r>
      <w:r w:rsidR="00B37DDB" w:rsidRPr="00BD1319">
        <w:rPr>
          <w:spacing w:val="-3"/>
          <w:sz w:val="20"/>
        </w:rPr>
        <w:t>(</w:t>
      </w:r>
      <w:r w:rsidRPr="00BD1319">
        <w:rPr>
          <w:spacing w:val="-3"/>
          <w:sz w:val="20"/>
        </w:rPr>
        <w:t>2002</w:t>
      </w:r>
      <w:r w:rsidR="00B37DDB" w:rsidRPr="00BD1319">
        <w:rPr>
          <w:spacing w:val="-3"/>
          <w:sz w:val="20"/>
        </w:rPr>
        <w:t>)</w:t>
      </w:r>
      <w:r w:rsidRPr="00BD1319">
        <w:rPr>
          <w:spacing w:val="-3"/>
          <w:sz w:val="20"/>
        </w:rPr>
        <w:t>.</w:t>
      </w:r>
    </w:p>
    <w:p w14:paraId="1BFCBA71" w14:textId="77777777" w:rsidR="006D4C7A" w:rsidRPr="00BD1319" w:rsidRDefault="006D4C7A">
      <w:pPr>
        <w:numPr>
          <w:ilvl w:val="12"/>
          <w:numId w:val="0"/>
        </w:numPr>
        <w:tabs>
          <w:tab w:val="left" w:pos="-2268"/>
        </w:tabs>
        <w:suppressAutoHyphens/>
        <w:rPr>
          <w:spacing w:val="-3"/>
        </w:rPr>
      </w:pPr>
    </w:p>
    <w:p w14:paraId="04709D39" w14:textId="02EAD012" w:rsidR="001768F7" w:rsidRPr="00BD1319" w:rsidRDefault="00D1438B">
      <w:pPr>
        <w:numPr>
          <w:ilvl w:val="12"/>
          <w:numId w:val="0"/>
        </w:numPr>
        <w:tabs>
          <w:tab w:val="left" w:pos="-2268"/>
        </w:tabs>
        <w:suppressAutoHyphens/>
        <w:rPr>
          <w:spacing w:val="-3"/>
        </w:rPr>
      </w:pPr>
      <w:r w:rsidRPr="00BD1319">
        <w:rPr>
          <w:rFonts w:cs="Arial"/>
          <w:spacing w:val="-3"/>
        </w:rPr>
        <w:t>L</w:t>
      </w:r>
      <w:r w:rsidR="001768F7" w:rsidRPr="00BD1319">
        <w:rPr>
          <w:rFonts w:cs="Arial"/>
          <w:spacing w:val="-3"/>
        </w:rPr>
        <w:t xml:space="preserve">as planillas </w:t>
      </w:r>
      <w:r w:rsidR="00C86750" w:rsidRPr="00BD1319">
        <w:rPr>
          <w:rFonts w:cs="Arial"/>
          <w:spacing w:val="-3"/>
        </w:rPr>
        <w:t>en las que se registren las mediciones de cada individuo</w:t>
      </w:r>
      <w:r w:rsidR="001768F7" w:rsidRPr="00BD1319">
        <w:rPr>
          <w:rFonts w:cs="Arial"/>
          <w:spacing w:val="-3"/>
        </w:rPr>
        <w:t xml:space="preserve"> </w:t>
      </w:r>
      <w:r w:rsidR="001768F7" w:rsidRPr="00BD1319">
        <w:rPr>
          <w:spacing w:val="-3"/>
        </w:rPr>
        <w:t>para cada una de las unidades de muestreo</w:t>
      </w:r>
      <w:r w:rsidRPr="00BD1319">
        <w:rPr>
          <w:spacing w:val="-3"/>
        </w:rPr>
        <w:t xml:space="preserve"> deben ser conservadas y una copia debe ser entregada con el EIA</w:t>
      </w:r>
      <w:r w:rsidR="001768F7" w:rsidRPr="00BD1319">
        <w:rPr>
          <w:spacing w:val="-3"/>
        </w:rPr>
        <w:t>.</w:t>
      </w:r>
    </w:p>
    <w:p w14:paraId="6F4C502C" w14:textId="77777777" w:rsidR="001768F7" w:rsidRPr="00BD1319" w:rsidRDefault="001768F7">
      <w:pPr>
        <w:numPr>
          <w:ilvl w:val="12"/>
          <w:numId w:val="0"/>
        </w:numPr>
        <w:tabs>
          <w:tab w:val="left" w:pos="-2268"/>
        </w:tabs>
        <w:suppressAutoHyphens/>
        <w:rPr>
          <w:spacing w:val="-3"/>
        </w:rPr>
      </w:pPr>
    </w:p>
    <w:p w14:paraId="29BD9E91" w14:textId="2D5894D8" w:rsidR="00482A5F" w:rsidRPr="00BD1319" w:rsidRDefault="00482A5F" w:rsidP="00482A5F">
      <w:pPr>
        <w:numPr>
          <w:ilvl w:val="12"/>
          <w:numId w:val="0"/>
        </w:numPr>
        <w:tabs>
          <w:tab w:val="left" w:pos="-2268"/>
        </w:tabs>
        <w:suppressAutoHyphens/>
        <w:rPr>
          <w:rFonts w:cs="Arial"/>
          <w:spacing w:val="-3"/>
        </w:rPr>
      </w:pPr>
      <w:r w:rsidRPr="00BD1319">
        <w:rPr>
          <w:rFonts w:cs="Arial"/>
          <w:spacing w:val="-3"/>
        </w:rPr>
        <w:t xml:space="preserve">La </w:t>
      </w:r>
      <w:r w:rsidR="00BA0DAE" w:rsidRPr="00BD1319">
        <w:rPr>
          <w:rFonts w:cs="Arial"/>
          <w:spacing w:val="-3"/>
        </w:rPr>
        <w:t xml:space="preserve">determinación </w:t>
      </w:r>
      <w:r w:rsidRPr="00BD1319">
        <w:rPr>
          <w:rFonts w:cs="Arial"/>
          <w:spacing w:val="-3"/>
        </w:rPr>
        <w:t>de</w:t>
      </w:r>
      <w:r w:rsidRPr="00BD1319">
        <w:rPr>
          <w:spacing w:val="-3"/>
        </w:rPr>
        <w:t xml:space="preserve"> los individuos registrados</w:t>
      </w:r>
      <w:r w:rsidRPr="00BD1319">
        <w:rPr>
          <w:rFonts w:cs="Arial"/>
          <w:spacing w:val="-3"/>
        </w:rPr>
        <w:t xml:space="preserve"> </w:t>
      </w:r>
      <w:bookmarkStart w:id="2873" w:name="_Hlk87516993"/>
      <w:r w:rsidRPr="00BD1319">
        <w:rPr>
          <w:rFonts w:cs="Arial"/>
          <w:spacing w:val="-3"/>
        </w:rPr>
        <w:t>se debe realizar</w:t>
      </w:r>
      <w:r w:rsidRPr="00BD1319">
        <w:rPr>
          <w:spacing w:val="-3"/>
        </w:rPr>
        <w:t xml:space="preserve"> a nivel de especie o al </w:t>
      </w:r>
      <w:r w:rsidR="00494958" w:rsidRPr="00BD1319">
        <w:rPr>
          <w:spacing w:val="-3"/>
        </w:rPr>
        <w:t>mayor</w:t>
      </w:r>
      <w:r w:rsidR="008B35EF" w:rsidRPr="00BD1319">
        <w:rPr>
          <w:spacing w:val="-3"/>
        </w:rPr>
        <w:t xml:space="preserve"> </w:t>
      </w:r>
      <w:r w:rsidRPr="00BD1319">
        <w:rPr>
          <w:spacing w:val="-3"/>
        </w:rPr>
        <w:t xml:space="preserve">nivel </w:t>
      </w:r>
      <w:r w:rsidR="008B35EF" w:rsidRPr="00BD1319">
        <w:rPr>
          <w:spacing w:val="-3"/>
        </w:rPr>
        <w:t xml:space="preserve">de </w:t>
      </w:r>
      <w:r w:rsidR="006B7500" w:rsidRPr="00BD1319">
        <w:rPr>
          <w:spacing w:val="-3"/>
        </w:rPr>
        <w:t xml:space="preserve">detalle </w:t>
      </w:r>
      <w:r w:rsidR="008B35EF" w:rsidRPr="00BD1319">
        <w:rPr>
          <w:spacing w:val="-3"/>
        </w:rPr>
        <w:t>taxonómic</w:t>
      </w:r>
      <w:r w:rsidR="006B7500" w:rsidRPr="00BD1319">
        <w:rPr>
          <w:spacing w:val="-3"/>
        </w:rPr>
        <w:t>o</w:t>
      </w:r>
      <w:r w:rsidR="008B35EF" w:rsidRPr="00BD1319">
        <w:rPr>
          <w:spacing w:val="-3"/>
        </w:rPr>
        <w:t xml:space="preserve"> </w:t>
      </w:r>
      <w:r w:rsidRPr="00BD1319">
        <w:rPr>
          <w:spacing w:val="-3"/>
        </w:rPr>
        <w:t>posible</w:t>
      </w:r>
      <w:bookmarkEnd w:id="2873"/>
      <w:r w:rsidRPr="00BD1319">
        <w:rPr>
          <w:spacing w:val="-3"/>
        </w:rPr>
        <w:t>. La nomenclatura taxonómica debe estar de acuerdo con el catálogo de plantas y líquenes de Colombia</w:t>
      </w:r>
      <w:r w:rsidRPr="00BD1319">
        <w:rPr>
          <w:rStyle w:val="Refdenotaalpie"/>
          <w:rFonts w:cs="Arial"/>
          <w:spacing w:val="-3"/>
          <w:lang w:val="es-CO"/>
        </w:rPr>
        <w:footnoteReference w:id="124"/>
      </w:r>
      <w:r w:rsidRPr="00BD1319">
        <w:rPr>
          <w:spacing w:val="-3"/>
        </w:rPr>
        <w:t>.</w:t>
      </w:r>
    </w:p>
    <w:p w14:paraId="6A78DABE" w14:textId="77777777" w:rsidR="00482A5F" w:rsidRPr="00BD1319" w:rsidRDefault="00482A5F" w:rsidP="00482A5F">
      <w:pPr>
        <w:numPr>
          <w:ilvl w:val="12"/>
          <w:numId w:val="0"/>
        </w:numPr>
        <w:tabs>
          <w:tab w:val="left" w:pos="-2268"/>
        </w:tabs>
        <w:suppressAutoHyphens/>
        <w:rPr>
          <w:rFonts w:cs="Arial"/>
          <w:spacing w:val="-3"/>
        </w:rPr>
      </w:pPr>
    </w:p>
    <w:p w14:paraId="396CA276" w14:textId="1C458CBB" w:rsidR="00482A5F" w:rsidRPr="00BD1319" w:rsidRDefault="00482A5F">
      <w:pPr>
        <w:numPr>
          <w:ilvl w:val="12"/>
          <w:numId w:val="0"/>
        </w:numPr>
        <w:tabs>
          <w:tab w:val="left" w:pos="-2268"/>
        </w:tabs>
        <w:suppressAutoHyphens/>
        <w:rPr>
          <w:spacing w:val="-3"/>
        </w:rPr>
      </w:pPr>
      <w:r w:rsidRPr="00BD1319">
        <w:rPr>
          <w:rFonts w:cs="Arial"/>
          <w:spacing w:val="-3"/>
        </w:rPr>
        <w:t>Se debe</w:t>
      </w:r>
      <w:r w:rsidRPr="00BD1319">
        <w:rPr>
          <w:spacing w:val="-3"/>
        </w:rPr>
        <w:t xml:space="preserve"> identificar </w:t>
      </w:r>
      <w:r w:rsidRPr="00BD1319">
        <w:rPr>
          <w:rFonts w:cs="Arial"/>
          <w:spacing w:val="-3"/>
        </w:rPr>
        <w:t>y registrar a partir de</w:t>
      </w:r>
      <w:r w:rsidRPr="00BD1319">
        <w:rPr>
          <w:spacing w:val="-3"/>
        </w:rPr>
        <w:t xml:space="preserve"> los muestreos la presencia</w:t>
      </w:r>
      <w:r w:rsidRPr="00BD1319" w:rsidDel="00217508">
        <w:rPr>
          <w:spacing w:val="-3"/>
        </w:rPr>
        <w:t xml:space="preserve"> </w:t>
      </w:r>
      <w:r w:rsidRPr="00BD1319">
        <w:rPr>
          <w:spacing w:val="-3"/>
        </w:rPr>
        <w:t xml:space="preserve">de especies endémicas, en veda </w:t>
      </w:r>
      <w:r w:rsidR="00A46FE9" w:rsidRPr="00BD1319">
        <w:rPr>
          <w:spacing w:val="-3"/>
        </w:rPr>
        <w:t xml:space="preserve">en el ámbito </w:t>
      </w:r>
      <w:r w:rsidRPr="00BD1319">
        <w:rPr>
          <w:spacing w:val="-3"/>
        </w:rPr>
        <w:t xml:space="preserve">nacional o regional, en categorías de amenaza </w:t>
      </w:r>
      <w:r w:rsidR="00A46FE9" w:rsidRPr="00BD1319">
        <w:rPr>
          <w:spacing w:val="-3"/>
        </w:rPr>
        <w:t xml:space="preserve">según </w:t>
      </w:r>
      <w:r w:rsidRPr="00BD1319">
        <w:rPr>
          <w:spacing w:val="-3"/>
        </w:rPr>
        <w:t xml:space="preserve">lo establecido en la </w:t>
      </w:r>
      <w:r w:rsidR="00AC3FD2" w:rsidRPr="00BD1319">
        <w:rPr>
          <w:spacing w:val="-3"/>
        </w:rPr>
        <w:t>Resolución 0126 de 2024</w:t>
      </w:r>
      <w:r w:rsidRPr="00BD1319">
        <w:rPr>
          <w:spacing w:val="-3"/>
        </w:rPr>
        <w:t xml:space="preserve"> o aquella norma que la modifique</w:t>
      </w:r>
      <w:r w:rsidR="00A177CF" w:rsidRPr="00BD1319">
        <w:rPr>
          <w:rFonts w:cs="Arial"/>
          <w:spacing w:val="-3"/>
        </w:rPr>
        <w:t xml:space="preserve"> o </w:t>
      </w:r>
      <w:r w:rsidRPr="00BD1319">
        <w:rPr>
          <w:spacing w:val="-3"/>
        </w:rPr>
        <w:t>sustituya</w:t>
      </w:r>
      <w:r w:rsidR="00AE1D54" w:rsidRPr="00BD1319">
        <w:rPr>
          <w:spacing w:val="-3"/>
        </w:rPr>
        <w:t>, libros rojos nacionales</w:t>
      </w:r>
      <w:r w:rsidR="00A31EE9" w:rsidRPr="00BD1319">
        <w:rPr>
          <w:spacing w:val="-3"/>
        </w:rPr>
        <w:t xml:space="preserve"> y </w:t>
      </w:r>
      <w:r w:rsidRPr="00BD1319">
        <w:rPr>
          <w:spacing w:val="-3"/>
        </w:rPr>
        <w:t>en los listados de la Unión Internacional para la Conservación de la Naturaleza (UICN) (en su versión más actualizada; señalar la fecha de consulta)</w:t>
      </w:r>
      <w:r w:rsidR="00A31EE9" w:rsidRPr="00BD1319">
        <w:rPr>
          <w:spacing w:val="-3"/>
        </w:rPr>
        <w:t>, así como las especies incluidas</w:t>
      </w:r>
      <w:r w:rsidRPr="00BD1319">
        <w:rPr>
          <w:spacing w:val="-3"/>
        </w:rPr>
        <w:t xml:space="preserve"> en los apéndices I, II y III de la Convención sobre el Comercio Internacional de Especies de Fauna y Flora Silvestres (CITES</w:t>
      </w:r>
      <w:r w:rsidRPr="00BD1319">
        <w:rPr>
          <w:rFonts w:cs="Arial"/>
          <w:spacing w:val="-3"/>
        </w:rPr>
        <w:t>).</w:t>
      </w:r>
    </w:p>
    <w:p w14:paraId="17A150E0" w14:textId="77777777" w:rsidR="00482A5F" w:rsidRPr="00BD1319" w:rsidRDefault="00482A5F" w:rsidP="00482A5F">
      <w:pPr>
        <w:numPr>
          <w:ilvl w:val="12"/>
          <w:numId w:val="0"/>
        </w:numPr>
        <w:tabs>
          <w:tab w:val="left" w:pos="-2268"/>
        </w:tabs>
        <w:suppressAutoHyphens/>
        <w:rPr>
          <w:rFonts w:cs="Arial"/>
          <w:spacing w:val="-3"/>
        </w:rPr>
      </w:pPr>
    </w:p>
    <w:p w14:paraId="2E04BB15" w14:textId="06E9A591" w:rsidR="008B35EF" w:rsidRPr="00BD1319" w:rsidRDefault="008B35EF" w:rsidP="008B35EF">
      <w:pPr>
        <w:numPr>
          <w:ilvl w:val="12"/>
          <w:numId w:val="0"/>
        </w:numPr>
        <w:tabs>
          <w:tab w:val="left" w:pos="-2268"/>
        </w:tabs>
        <w:suppressAutoHyphens/>
        <w:rPr>
          <w:spacing w:val="-3"/>
        </w:rPr>
      </w:pPr>
      <w:r w:rsidRPr="00BD1319">
        <w:rPr>
          <w:rFonts w:cs="Arial"/>
          <w:spacing w:val="-3"/>
        </w:rPr>
        <w:t>Adicionalmente, se debe identificar la presencia de plantas exóticas con alto potencial de invasión</w:t>
      </w:r>
      <w:r w:rsidR="006B7500" w:rsidRPr="00BD1319">
        <w:rPr>
          <w:rFonts w:cs="Arial"/>
          <w:spacing w:val="-3"/>
        </w:rPr>
        <w:t>, con el fin de establecer la presión sobre las demás especies identificadas y de establecer si existen impactos asociados a su presencia o potencial de invasión; estas situaciones deben considerarse en la evaluación ambiental</w:t>
      </w:r>
      <w:r w:rsidRPr="00BD1319">
        <w:rPr>
          <w:rFonts w:cs="Arial"/>
          <w:spacing w:val="-3"/>
        </w:rPr>
        <w:t xml:space="preserve">. Para tal fin se puede consultar el documento Plantas exóticas con alto potencial de invasión en Colombia, </w:t>
      </w:r>
      <w:r w:rsidR="005F0648" w:rsidRPr="00BD1319">
        <w:rPr>
          <w:spacing w:val="-3"/>
        </w:rPr>
        <w:t>Cárdenas-López</w:t>
      </w:r>
      <w:r w:rsidR="005F0648" w:rsidRPr="00BD1319">
        <w:rPr>
          <w:rFonts w:cs="Arial"/>
          <w:spacing w:val="-3"/>
        </w:rPr>
        <w:t xml:space="preserve"> </w:t>
      </w:r>
      <w:r w:rsidRPr="00BD1319">
        <w:rPr>
          <w:rFonts w:cs="Arial"/>
          <w:spacing w:val="-3"/>
        </w:rPr>
        <w:t>et al. (2017)</w:t>
      </w:r>
      <w:r w:rsidRPr="00BD1319">
        <w:rPr>
          <w:rStyle w:val="Refdenotaalpie"/>
          <w:rFonts w:cs="Arial"/>
          <w:spacing w:val="-3"/>
          <w:lang w:val="es-CO"/>
        </w:rPr>
        <w:footnoteReference w:id="125"/>
      </w:r>
      <w:r w:rsidRPr="00BD1319">
        <w:rPr>
          <w:rFonts w:cs="Arial"/>
          <w:spacing w:val="-3"/>
        </w:rPr>
        <w:t xml:space="preserve"> y la Resoluciones 0848 de 2008 y 0207 de 2010 o </w:t>
      </w:r>
      <w:r w:rsidRPr="00BD1319">
        <w:rPr>
          <w:spacing w:val="-3"/>
        </w:rPr>
        <w:t>aquellas que las modifiquen</w:t>
      </w:r>
      <w:r w:rsidRPr="00BD1319">
        <w:rPr>
          <w:rFonts w:cs="Arial"/>
          <w:spacing w:val="-3"/>
        </w:rPr>
        <w:t xml:space="preserve"> o </w:t>
      </w:r>
      <w:r w:rsidRPr="00BD1319">
        <w:rPr>
          <w:spacing w:val="-3"/>
        </w:rPr>
        <w:t>sustituyan</w:t>
      </w:r>
      <w:r w:rsidRPr="00BD1319">
        <w:rPr>
          <w:rFonts w:cs="Arial"/>
          <w:spacing w:val="-3"/>
        </w:rPr>
        <w:t>.</w:t>
      </w:r>
    </w:p>
    <w:p w14:paraId="46FB33F3" w14:textId="77777777" w:rsidR="008B35EF" w:rsidRPr="00BD1319" w:rsidRDefault="008B35EF" w:rsidP="00482A5F">
      <w:pPr>
        <w:numPr>
          <w:ilvl w:val="12"/>
          <w:numId w:val="0"/>
        </w:numPr>
        <w:tabs>
          <w:tab w:val="left" w:pos="-2268"/>
        </w:tabs>
        <w:suppressAutoHyphens/>
        <w:rPr>
          <w:rFonts w:cs="Arial"/>
          <w:spacing w:val="-3"/>
        </w:rPr>
      </w:pPr>
    </w:p>
    <w:p w14:paraId="22A86A35" w14:textId="057E9EF5" w:rsidR="00482A5F" w:rsidRPr="00BD1319" w:rsidRDefault="007D7A77" w:rsidP="00482A5F">
      <w:pPr>
        <w:tabs>
          <w:tab w:val="left" w:pos="-2268"/>
        </w:tabs>
        <w:suppressAutoHyphens/>
        <w:rPr>
          <w:rFonts w:cs="Arial"/>
          <w:spacing w:val="-3"/>
        </w:rPr>
      </w:pPr>
      <w:r w:rsidRPr="00BD1319">
        <w:rPr>
          <w:rFonts w:cs="Arial"/>
          <w:spacing w:val="-3"/>
        </w:rPr>
        <w:t>Al</w:t>
      </w:r>
      <w:r w:rsidR="00C86750" w:rsidRPr="00BD1319">
        <w:rPr>
          <w:rFonts w:cs="Arial"/>
          <w:spacing w:val="-3"/>
        </w:rPr>
        <w:t xml:space="preserve"> enc</w:t>
      </w:r>
      <w:r w:rsidRPr="00BD1319">
        <w:rPr>
          <w:rFonts w:cs="Arial"/>
          <w:spacing w:val="-3"/>
        </w:rPr>
        <w:t xml:space="preserve">ontrar </w:t>
      </w:r>
      <w:r w:rsidR="00C86750" w:rsidRPr="00BD1319">
        <w:rPr>
          <w:rFonts w:cs="Arial"/>
          <w:spacing w:val="-3"/>
        </w:rPr>
        <w:t>individuos de especies no descritas con anterioridad</w:t>
      </w:r>
      <w:r w:rsidR="00A31EE9" w:rsidRPr="00BD1319">
        <w:rPr>
          <w:rFonts w:cs="Arial"/>
          <w:spacing w:val="-3"/>
        </w:rPr>
        <w:t>,</w:t>
      </w:r>
      <w:r w:rsidR="00482A5F" w:rsidRPr="00BD1319">
        <w:rPr>
          <w:rFonts w:cs="Arial"/>
          <w:spacing w:val="-3"/>
        </w:rPr>
        <w:t xml:space="preserve"> </w:t>
      </w:r>
      <w:r w:rsidR="008B35EF" w:rsidRPr="00BD1319">
        <w:rPr>
          <w:rFonts w:cs="Arial"/>
          <w:spacing w:val="-3"/>
        </w:rPr>
        <w:t xml:space="preserve">los registros biológicos de estas especies observadas y recolectadas </w:t>
      </w:r>
      <w:r w:rsidR="00482A5F" w:rsidRPr="00BD1319">
        <w:rPr>
          <w:rFonts w:cs="Arial"/>
          <w:spacing w:val="-3"/>
        </w:rPr>
        <w:t xml:space="preserve">deben </w:t>
      </w:r>
      <w:r w:rsidR="008B35EF" w:rsidRPr="00BD1319">
        <w:rPr>
          <w:rFonts w:cs="Arial"/>
          <w:spacing w:val="-3"/>
        </w:rPr>
        <w:t xml:space="preserve">acompañarse de </w:t>
      </w:r>
      <w:r w:rsidR="00482A5F" w:rsidRPr="00BD1319">
        <w:rPr>
          <w:rFonts w:cs="Arial"/>
          <w:spacing w:val="-3"/>
        </w:rPr>
        <w:t>soportes de trazabilidad de espécimen de referencia</w:t>
      </w:r>
      <w:r w:rsidR="00BA0DAE" w:rsidRPr="00BD1319">
        <w:rPr>
          <w:rFonts w:cs="Arial"/>
          <w:spacing w:val="-3"/>
        </w:rPr>
        <w:t xml:space="preserve"> </w:t>
      </w:r>
      <w:r w:rsidR="00BF7396" w:rsidRPr="00BD1319">
        <w:rPr>
          <w:rFonts w:cs="Arial"/>
          <w:spacing w:val="-3"/>
        </w:rPr>
        <w:t xml:space="preserve">que </w:t>
      </w:r>
      <w:r w:rsidR="00482A5F" w:rsidRPr="00BD1319">
        <w:rPr>
          <w:rFonts w:cs="Arial"/>
          <w:spacing w:val="-3"/>
        </w:rPr>
        <w:t>especifique</w:t>
      </w:r>
      <w:r w:rsidR="00BA0DAE" w:rsidRPr="00BD1319">
        <w:rPr>
          <w:rFonts w:cs="Arial"/>
          <w:spacing w:val="-3"/>
        </w:rPr>
        <w:t>n</w:t>
      </w:r>
      <w:r w:rsidR="00482A5F" w:rsidRPr="00BD1319">
        <w:rPr>
          <w:rFonts w:cs="Arial"/>
          <w:spacing w:val="-3"/>
        </w:rPr>
        <w:t xml:space="preserve"> la localización geográfica</w:t>
      </w:r>
      <w:r w:rsidR="00852A88" w:rsidRPr="00BD1319">
        <w:rPr>
          <w:rFonts w:cs="Arial"/>
          <w:spacing w:val="-3"/>
        </w:rPr>
        <w:t xml:space="preserve"> y la</w:t>
      </w:r>
      <w:r w:rsidR="00482A5F" w:rsidRPr="00BD1319">
        <w:rPr>
          <w:rFonts w:cs="Arial"/>
          <w:spacing w:val="-3"/>
        </w:rPr>
        <w:t xml:space="preserve"> descripción del área en donde se registra el hallazgo</w:t>
      </w:r>
      <w:r w:rsidR="00852A88" w:rsidRPr="00BD1319">
        <w:rPr>
          <w:rFonts w:cs="Arial"/>
          <w:spacing w:val="-3"/>
        </w:rPr>
        <w:t>, así como d</w:t>
      </w:r>
      <w:r w:rsidR="00B37DDB" w:rsidRPr="00BD1319">
        <w:rPr>
          <w:rFonts w:cs="Arial"/>
          <w:spacing w:val="-3"/>
        </w:rPr>
        <w:t xml:space="preserve">el </w:t>
      </w:r>
      <w:r w:rsidR="00482A5F" w:rsidRPr="00BD1319">
        <w:rPr>
          <w:rFonts w:cs="Arial"/>
          <w:spacing w:val="-3"/>
        </w:rPr>
        <w:t xml:space="preserve">certificado de </w:t>
      </w:r>
      <w:r w:rsidR="00855A16" w:rsidRPr="00BD1319">
        <w:rPr>
          <w:rFonts w:cs="Arial"/>
          <w:spacing w:val="-3"/>
        </w:rPr>
        <w:t xml:space="preserve">determinación taxonómica </w:t>
      </w:r>
      <w:r w:rsidR="00482A5F" w:rsidRPr="00BD1319">
        <w:rPr>
          <w:rFonts w:cs="Arial"/>
          <w:spacing w:val="-3"/>
        </w:rPr>
        <w:t xml:space="preserve">de </w:t>
      </w:r>
      <w:r w:rsidR="0060504C" w:rsidRPr="00BD1319">
        <w:rPr>
          <w:rFonts w:cs="Arial"/>
          <w:spacing w:val="-3"/>
        </w:rPr>
        <w:t xml:space="preserve">un </w:t>
      </w:r>
      <w:r w:rsidR="00482A5F" w:rsidRPr="00BD1319">
        <w:rPr>
          <w:rFonts w:cs="Arial"/>
          <w:spacing w:val="-3"/>
        </w:rPr>
        <w:t xml:space="preserve">herbario </w:t>
      </w:r>
      <w:r w:rsidR="0060504C" w:rsidRPr="00BD1319">
        <w:rPr>
          <w:rFonts w:cs="Arial"/>
          <w:spacing w:val="-3"/>
        </w:rPr>
        <w:t>avalado por el Registro Nacional de Colecciones</w:t>
      </w:r>
      <w:r w:rsidR="00AE1D54" w:rsidRPr="00BD1319">
        <w:rPr>
          <w:rFonts w:cs="Arial"/>
          <w:spacing w:val="-3"/>
        </w:rPr>
        <w:t xml:space="preserve"> o de los profesionales expertos que realiza</w:t>
      </w:r>
      <w:r w:rsidR="003957BB" w:rsidRPr="00BD1319">
        <w:rPr>
          <w:rFonts w:cs="Arial"/>
          <w:spacing w:val="-3"/>
        </w:rPr>
        <w:t xml:space="preserve">ron </w:t>
      </w:r>
      <w:r w:rsidR="00AE1D54" w:rsidRPr="00BD1319">
        <w:rPr>
          <w:rFonts w:cs="Arial"/>
          <w:spacing w:val="-3"/>
        </w:rPr>
        <w:t xml:space="preserve">la determinación (en este caso se deben presentar los soportes de </w:t>
      </w:r>
      <w:r w:rsidR="003957BB" w:rsidRPr="00BD1319">
        <w:rPr>
          <w:rFonts w:cs="Arial"/>
          <w:spacing w:val="-3"/>
        </w:rPr>
        <w:t xml:space="preserve">su </w:t>
      </w:r>
      <w:r w:rsidR="00AE1D54" w:rsidRPr="00BD1319">
        <w:rPr>
          <w:rFonts w:cs="Arial"/>
          <w:spacing w:val="-3"/>
        </w:rPr>
        <w:t>experiencia profesional)</w:t>
      </w:r>
      <w:r w:rsidR="0060504C" w:rsidRPr="00BD1319">
        <w:rPr>
          <w:rFonts w:cs="Arial"/>
          <w:spacing w:val="-3"/>
        </w:rPr>
        <w:t xml:space="preserve">. Los registros biológicos de las especies observadas y recolectadas deben ser publicados como un conjunto de datos a través </w:t>
      </w:r>
      <w:proofErr w:type="spellStart"/>
      <w:r w:rsidR="0060504C" w:rsidRPr="00BD1319">
        <w:rPr>
          <w:rFonts w:cs="Arial"/>
          <w:spacing w:val="-3"/>
        </w:rPr>
        <w:t>SiB</w:t>
      </w:r>
      <w:proofErr w:type="spellEnd"/>
      <w:r w:rsidR="0060504C" w:rsidRPr="00BD1319">
        <w:rPr>
          <w:rFonts w:cs="Arial"/>
          <w:spacing w:val="-3"/>
        </w:rPr>
        <w:t xml:space="preserve"> Colombia siguiendo los lineamientos establecidos por este sistema</w:t>
      </w:r>
      <w:r w:rsidR="00286E5E" w:rsidRPr="00BD1319">
        <w:rPr>
          <w:rFonts w:cs="Arial"/>
          <w:spacing w:val="-3"/>
        </w:rPr>
        <w:t>.</w:t>
      </w:r>
    </w:p>
    <w:p w14:paraId="31FF3C03" w14:textId="77777777" w:rsidR="00482A5F" w:rsidRPr="00BD1319" w:rsidRDefault="00482A5F">
      <w:pPr>
        <w:numPr>
          <w:ilvl w:val="12"/>
          <w:numId w:val="0"/>
        </w:numPr>
        <w:tabs>
          <w:tab w:val="left" w:pos="-2268"/>
        </w:tabs>
        <w:suppressAutoHyphens/>
        <w:rPr>
          <w:spacing w:val="-3"/>
        </w:rPr>
      </w:pPr>
    </w:p>
    <w:p w14:paraId="1161984D" w14:textId="2F57F458" w:rsidR="007E61D3" w:rsidRPr="00BD1319" w:rsidRDefault="007E61D3" w:rsidP="007E61D3">
      <w:pPr>
        <w:tabs>
          <w:tab w:val="left" w:pos="-2268"/>
        </w:tabs>
        <w:suppressAutoHyphens/>
        <w:rPr>
          <w:rFonts w:cs="Arial"/>
          <w:spacing w:val="-3"/>
        </w:rPr>
      </w:pPr>
      <w:r w:rsidRPr="00BD1319">
        <w:rPr>
          <w:rFonts w:cs="Arial"/>
          <w:spacing w:val="-3"/>
        </w:rPr>
        <w:t xml:space="preserve">En </w:t>
      </w:r>
      <w:r w:rsidR="00D749CD" w:rsidRPr="00BD1319">
        <w:rPr>
          <w:rFonts w:cs="Arial"/>
          <w:spacing w:val="-3"/>
        </w:rPr>
        <w:t xml:space="preserve">importante que durante la ejecución de </w:t>
      </w:r>
      <w:r w:rsidRPr="00BD1319">
        <w:rPr>
          <w:rFonts w:cs="Arial"/>
          <w:spacing w:val="-3"/>
        </w:rPr>
        <w:t xml:space="preserve">esta fase </w:t>
      </w:r>
      <w:r w:rsidR="00D749CD" w:rsidRPr="00BD1319">
        <w:rPr>
          <w:rFonts w:cs="Arial"/>
          <w:spacing w:val="-3"/>
        </w:rPr>
        <w:t xml:space="preserve">se contraste </w:t>
      </w:r>
      <w:r w:rsidRPr="00BD1319">
        <w:rPr>
          <w:rFonts w:cs="Arial"/>
          <w:spacing w:val="-3"/>
        </w:rPr>
        <w:t xml:space="preserve">la información </w:t>
      </w:r>
      <w:r w:rsidR="00D749CD" w:rsidRPr="00BD1319">
        <w:rPr>
          <w:rFonts w:cs="Arial"/>
          <w:spacing w:val="-3"/>
        </w:rPr>
        <w:t xml:space="preserve">secundaria que se </w:t>
      </w:r>
      <w:r w:rsidRPr="00BD1319">
        <w:rPr>
          <w:rFonts w:cs="Arial"/>
          <w:spacing w:val="-3"/>
        </w:rPr>
        <w:t xml:space="preserve">revisó </w:t>
      </w:r>
      <w:r w:rsidR="00D749CD" w:rsidRPr="00BD1319">
        <w:rPr>
          <w:rFonts w:cs="Arial"/>
          <w:spacing w:val="-3"/>
        </w:rPr>
        <w:t xml:space="preserve">en la fase </w:t>
      </w:r>
      <w:r w:rsidRPr="00BD1319">
        <w:rPr>
          <w:rFonts w:cs="Arial"/>
          <w:spacing w:val="-3"/>
        </w:rPr>
        <w:t>previa al trabajo de campo</w:t>
      </w:r>
      <w:r w:rsidR="00D749CD" w:rsidRPr="00BD1319">
        <w:rPr>
          <w:rFonts w:cs="Arial"/>
          <w:spacing w:val="-3"/>
        </w:rPr>
        <w:t>,</w:t>
      </w:r>
      <w:r w:rsidRPr="00BD1319">
        <w:rPr>
          <w:rFonts w:cs="Arial"/>
          <w:spacing w:val="-3"/>
        </w:rPr>
        <w:t xml:space="preserve"> con el objeto de </w:t>
      </w:r>
      <w:r w:rsidR="00BC6A50" w:rsidRPr="00BD1319">
        <w:rPr>
          <w:rFonts w:cs="Arial"/>
          <w:spacing w:val="-3"/>
        </w:rPr>
        <w:t xml:space="preserve">establecer su validez y el grado con el cual puede emplearse </w:t>
      </w:r>
      <w:r w:rsidRPr="00BD1319">
        <w:rPr>
          <w:rFonts w:cs="Arial"/>
          <w:spacing w:val="-3"/>
        </w:rPr>
        <w:t xml:space="preserve">en los </w:t>
      </w:r>
      <w:r w:rsidR="00BC6A50" w:rsidRPr="00BD1319">
        <w:rPr>
          <w:rFonts w:cs="Arial"/>
          <w:spacing w:val="-3"/>
        </w:rPr>
        <w:t xml:space="preserve">demás </w:t>
      </w:r>
      <w:r w:rsidRPr="00BD1319">
        <w:rPr>
          <w:rFonts w:cs="Arial"/>
          <w:spacing w:val="-3"/>
        </w:rPr>
        <w:t>análisis</w:t>
      </w:r>
      <w:r w:rsidR="00D749CD" w:rsidRPr="00BD1319">
        <w:rPr>
          <w:rFonts w:cs="Arial"/>
          <w:spacing w:val="-3"/>
        </w:rPr>
        <w:t xml:space="preserve"> y procedimientos </w:t>
      </w:r>
      <w:r w:rsidR="00BC6A50" w:rsidRPr="00BD1319">
        <w:rPr>
          <w:rFonts w:cs="Arial"/>
          <w:spacing w:val="-3"/>
        </w:rPr>
        <w:t>requeridos en la elaboración d</w:t>
      </w:r>
      <w:r w:rsidR="00D749CD" w:rsidRPr="00BD1319">
        <w:rPr>
          <w:rFonts w:cs="Arial"/>
          <w:spacing w:val="-3"/>
        </w:rPr>
        <w:t>el estudio ambiental</w:t>
      </w:r>
      <w:r w:rsidRPr="00BD1319">
        <w:rPr>
          <w:rFonts w:cs="Arial"/>
          <w:spacing w:val="-3"/>
        </w:rPr>
        <w:t>.</w:t>
      </w:r>
    </w:p>
    <w:p w14:paraId="13F0A11D" w14:textId="77777777" w:rsidR="007E61D3" w:rsidRPr="00BD1319" w:rsidRDefault="007E61D3">
      <w:pPr>
        <w:numPr>
          <w:ilvl w:val="12"/>
          <w:numId w:val="0"/>
        </w:numPr>
        <w:tabs>
          <w:tab w:val="left" w:pos="-2268"/>
        </w:tabs>
        <w:suppressAutoHyphens/>
        <w:rPr>
          <w:spacing w:val="-3"/>
        </w:rPr>
      </w:pPr>
    </w:p>
    <w:p w14:paraId="27AE00E1" w14:textId="77777777" w:rsidR="00482A5F" w:rsidRPr="00BD1319" w:rsidRDefault="00482A5F" w:rsidP="00C86DA5">
      <w:pPr>
        <w:numPr>
          <w:ilvl w:val="12"/>
          <w:numId w:val="0"/>
        </w:numPr>
        <w:tabs>
          <w:tab w:val="left" w:pos="-2268"/>
        </w:tabs>
        <w:suppressAutoHyphens/>
        <w:rPr>
          <w:spacing w:val="-3"/>
          <w:u w:val="single"/>
        </w:rPr>
      </w:pPr>
      <w:r w:rsidRPr="00BD1319">
        <w:rPr>
          <w:spacing w:val="-3"/>
          <w:u w:val="single"/>
        </w:rPr>
        <w:t>Fase de análisis:</w:t>
      </w:r>
    </w:p>
    <w:p w14:paraId="59647DA5" w14:textId="77777777" w:rsidR="00482A5F" w:rsidRPr="00BD1319" w:rsidRDefault="00482A5F">
      <w:pPr>
        <w:tabs>
          <w:tab w:val="left" w:pos="-2268"/>
        </w:tabs>
        <w:suppressAutoHyphens/>
        <w:rPr>
          <w:spacing w:val="-3"/>
          <w:u w:val="single"/>
        </w:rPr>
      </w:pPr>
    </w:p>
    <w:p w14:paraId="7F350ED6" w14:textId="4B89C742" w:rsidR="00482A5F" w:rsidRPr="00BD1319" w:rsidRDefault="000D7F7C">
      <w:pPr>
        <w:numPr>
          <w:ilvl w:val="12"/>
          <w:numId w:val="0"/>
        </w:numPr>
        <w:tabs>
          <w:tab w:val="left" w:pos="-2268"/>
        </w:tabs>
        <w:suppressAutoHyphens/>
        <w:rPr>
          <w:spacing w:val="-3"/>
        </w:rPr>
      </w:pPr>
      <w:r w:rsidRPr="00BD1319">
        <w:rPr>
          <w:spacing w:val="-3"/>
        </w:rPr>
        <w:t>Consiste en d</w:t>
      </w:r>
      <w:r w:rsidR="00482A5F" w:rsidRPr="00BD1319">
        <w:rPr>
          <w:spacing w:val="-3"/>
        </w:rPr>
        <w:t xml:space="preserve">eterminar las características de composición y estructura </w:t>
      </w:r>
      <w:r w:rsidR="00DE223B" w:rsidRPr="00BD1319">
        <w:rPr>
          <w:rFonts w:cs="Arial"/>
          <w:spacing w:val="-3"/>
        </w:rPr>
        <w:t xml:space="preserve">de cada </w:t>
      </w:r>
      <w:r w:rsidR="00077AFF" w:rsidRPr="00BD1319">
        <w:rPr>
          <w:rFonts w:cs="Arial"/>
          <w:spacing w:val="-3"/>
        </w:rPr>
        <w:t xml:space="preserve">ecosistema </w:t>
      </w:r>
      <w:r w:rsidR="00D3337E" w:rsidRPr="00BD1319">
        <w:rPr>
          <w:spacing w:val="-3"/>
        </w:rPr>
        <w:t>incorporando</w:t>
      </w:r>
      <w:r w:rsidR="00482A5F" w:rsidRPr="00BD1319">
        <w:rPr>
          <w:spacing w:val="-3"/>
        </w:rPr>
        <w:t xml:space="preserve"> como mínimo los siguientes elementos:</w:t>
      </w:r>
    </w:p>
    <w:p w14:paraId="31871729" w14:textId="77777777" w:rsidR="00482A5F" w:rsidRPr="00BD1319" w:rsidRDefault="00482A5F">
      <w:pPr>
        <w:numPr>
          <w:ilvl w:val="12"/>
          <w:numId w:val="0"/>
        </w:numPr>
        <w:tabs>
          <w:tab w:val="left" w:pos="-2268"/>
        </w:tabs>
        <w:suppressAutoHyphens/>
        <w:rPr>
          <w:spacing w:val="-3"/>
        </w:rPr>
      </w:pPr>
    </w:p>
    <w:p w14:paraId="26905DA2" w14:textId="77777777" w:rsidR="00482A5F" w:rsidRPr="00BD1319" w:rsidRDefault="00482A5F" w:rsidP="00C86DA5">
      <w:pPr>
        <w:pStyle w:val="Prrafodelista"/>
        <w:numPr>
          <w:ilvl w:val="0"/>
          <w:numId w:val="83"/>
        </w:numPr>
        <w:tabs>
          <w:tab w:val="left" w:pos="-2268"/>
        </w:tabs>
        <w:suppressAutoHyphens/>
        <w:ind w:left="567" w:hanging="567"/>
        <w:rPr>
          <w:rFonts w:cs="Arial"/>
          <w:spacing w:val="-3"/>
          <w:lang w:val="es-CO"/>
        </w:rPr>
      </w:pPr>
      <w:r w:rsidRPr="00BD1319">
        <w:rPr>
          <w:rFonts w:cs="Arial"/>
          <w:spacing w:val="-3"/>
          <w:lang w:val="es-CO"/>
        </w:rPr>
        <w:t>Densidad.</w:t>
      </w:r>
    </w:p>
    <w:p w14:paraId="0B64CC3F" w14:textId="77777777" w:rsidR="00482A5F" w:rsidRPr="00BD1319" w:rsidRDefault="00482A5F">
      <w:pPr>
        <w:tabs>
          <w:tab w:val="left" w:pos="-2268"/>
        </w:tabs>
        <w:suppressAutoHyphens/>
        <w:rPr>
          <w:spacing w:val="-3"/>
        </w:rPr>
      </w:pPr>
    </w:p>
    <w:p w14:paraId="34FC4FCC" w14:textId="77777777" w:rsidR="00482A5F" w:rsidRPr="00BD1319" w:rsidRDefault="00482A5F" w:rsidP="00C86DA5">
      <w:pPr>
        <w:pStyle w:val="Prrafodelista"/>
        <w:numPr>
          <w:ilvl w:val="0"/>
          <w:numId w:val="83"/>
        </w:numPr>
        <w:tabs>
          <w:tab w:val="left" w:pos="-2268"/>
        </w:tabs>
        <w:suppressAutoHyphens/>
        <w:ind w:left="567" w:hanging="567"/>
        <w:rPr>
          <w:rFonts w:cs="Arial"/>
          <w:spacing w:val="-3"/>
          <w:lang w:val="es-CO"/>
        </w:rPr>
      </w:pPr>
      <w:r w:rsidRPr="00BD1319">
        <w:rPr>
          <w:rFonts w:cs="Arial"/>
          <w:spacing w:val="-3"/>
          <w:lang w:val="es-CO"/>
        </w:rPr>
        <w:lastRenderedPageBreak/>
        <w:t>Frecuencia.</w:t>
      </w:r>
    </w:p>
    <w:p w14:paraId="4E8E26D1" w14:textId="77777777" w:rsidR="00482A5F" w:rsidRPr="00BD1319" w:rsidRDefault="00482A5F">
      <w:pPr>
        <w:tabs>
          <w:tab w:val="left" w:pos="-2268"/>
        </w:tabs>
        <w:suppressAutoHyphens/>
        <w:rPr>
          <w:spacing w:val="-3"/>
        </w:rPr>
      </w:pPr>
    </w:p>
    <w:p w14:paraId="3E73F45F" w14:textId="77777777" w:rsidR="00482A5F" w:rsidRPr="00BD1319" w:rsidRDefault="00482A5F" w:rsidP="00C86DA5">
      <w:pPr>
        <w:pStyle w:val="Prrafodelista"/>
        <w:numPr>
          <w:ilvl w:val="0"/>
          <w:numId w:val="83"/>
        </w:numPr>
        <w:tabs>
          <w:tab w:val="left" w:pos="-2268"/>
        </w:tabs>
        <w:suppressAutoHyphens/>
        <w:ind w:left="567" w:hanging="567"/>
        <w:rPr>
          <w:rFonts w:cs="Arial"/>
          <w:spacing w:val="-3"/>
          <w:lang w:val="es-CO"/>
        </w:rPr>
      </w:pPr>
      <w:r w:rsidRPr="00BD1319">
        <w:rPr>
          <w:rFonts w:cs="Arial"/>
          <w:spacing w:val="-3"/>
          <w:lang w:val="es-CO"/>
        </w:rPr>
        <w:t>Abundancia.</w:t>
      </w:r>
    </w:p>
    <w:p w14:paraId="0172AF31" w14:textId="77777777" w:rsidR="00482A5F" w:rsidRPr="00BD1319" w:rsidRDefault="00482A5F">
      <w:pPr>
        <w:tabs>
          <w:tab w:val="left" w:pos="-2268"/>
        </w:tabs>
        <w:suppressAutoHyphens/>
        <w:rPr>
          <w:spacing w:val="-3"/>
        </w:rPr>
      </w:pPr>
    </w:p>
    <w:p w14:paraId="27B793A3" w14:textId="77777777" w:rsidR="00482A5F" w:rsidRPr="00BD1319" w:rsidRDefault="00482A5F" w:rsidP="00C86DA5">
      <w:pPr>
        <w:pStyle w:val="Prrafodelista"/>
        <w:numPr>
          <w:ilvl w:val="0"/>
          <w:numId w:val="83"/>
        </w:numPr>
        <w:tabs>
          <w:tab w:val="left" w:pos="-2268"/>
        </w:tabs>
        <w:suppressAutoHyphens/>
        <w:ind w:left="567" w:hanging="567"/>
        <w:rPr>
          <w:rFonts w:cs="Arial"/>
          <w:spacing w:val="-3"/>
          <w:lang w:val="es-CO"/>
        </w:rPr>
      </w:pPr>
      <w:r w:rsidRPr="00BD1319">
        <w:rPr>
          <w:rFonts w:cs="Arial"/>
          <w:spacing w:val="-3"/>
          <w:lang w:val="es-CO"/>
        </w:rPr>
        <w:t>Dominancia.</w:t>
      </w:r>
    </w:p>
    <w:p w14:paraId="48A7ADD4" w14:textId="77777777" w:rsidR="00482A5F" w:rsidRPr="00BD1319" w:rsidRDefault="00482A5F">
      <w:pPr>
        <w:tabs>
          <w:tab w:val="left" w:pos="-2268"/>
        </w:tabs>
        <w:suppressAutoHyphens/>
        <w:rPr>
          <w:spacing w:val="-3"/>
        </w:rPr>
      </w:pPr>
    </w:p>
    <w:p w14:paraId="63C48CA5" w14:textId="77777777" w:rsidR="00482A5F" w:rsidRPr="00BD1319" w:rsidRDefault="00482A5F" w:rsidP="00C86DA5">
      <w:pPr>
        <w:pStyle w:val="Prrafodelista"/>
        <w:numPr>
          <w:ilvl w:val="0"/>
          <w:numId w:val="83"/>
        </w:numPr>
        <w:tabs>
          <w:tab w:val="left" w:pos="-2268"/>
        </w:tabs>
        <w:suppressAutoHyphens/>
        <w:ind w:left="567" w:hanging="567"/>
        <w:rPr>
          <w:rFonts w:cs="Arial"/>
          <w:spacing w:val="-3"/>
          <w:lang w:val="es-CO"/>
        </w:rPr>
      </w:pPr>
      <w:r w:rsidRPr="00BD1319">
        <w:rPr>
          <w:rFonts w:cs="Arial"/>
          <w:spacing w:val="-3"/>
          <w:lang w:val="es-CO"/>
        </w:rPr>
        <w:t xml:space="preserve">Estado </w:t>
      </w:r>
      <w:proofErr w:type="spellStart"/>
      <w:r w:rsidRPr="00BD1319">
        <w:rPr>
          <w:rFonts w:cs="Arial"/>
          <w:spacing w:val="-3"/>
          <w:lang w:val="es-CO"/>
        </w:rPr>
        <w:t>sucesional</w:t>
      </w:r>
      <w:proofErr w:type="spellEnd"/>
      <w:r w:rsidRPr="00BD1319">
        <w:rPr>
          <w:rFonts w:cs="Arial"/>
          <w:spacing w:val="-3"/>
          <w:lang w:val="es-CO"/>
        </w:rPr>
        <w:t>.</w:t>
      </w:r>
    </w:p>
    <w:p w14:paraId="06548A62" w14:textId="77777777" w:rsidR="00482A5F" w:rsidRPr="00BD1319" w:rsidRDefault="00482A5F" w:rsidP="00C86DA5">
      <w:pPr>
        <w:rPr>
          <w:spacing w:val="-3"/>
        </w:rPr>
      </w:pPr>
    </w:p>
    <w:p w14:paraId="744D8F6A" w14:textId="77777777" w:rsidR="00482A5F" w:rsidRPr="00BD1319" w:rsidRDefault="00482A5F" w:rsidP="00977C86">
      <w:pPr>
        <w:pStyle w:val="Prrafodelista"/>
        <w:numPr>
          <w:ilvl w:val="0"/>
          <w:numId w:val="83"/>
        </w:numPr>
        <w:tabs>
          <w:tab w:val="left" w:pos="-2268"/>
        </w:tabs>
        <w:suppressAutoHyphens/>
        <w:ind w:left="567" w:hanging="567"/>
        <w:rPr>
          <w:rFonts w:cs="Arial"/>
          <w:spacing w:val="-3"/>
          <w:lang w:val="es-CO"/>
        </w:rPr>
      </w:pPr>
      <w:r w:rsidRPr="00BD1319">
        <w:rPr>
          <w:rFonts w:cs="Arial"/>
          <w:spacing w:val="-3"/>
          <w:lang w:val="es-CO"/>
        </w:rPr>
        <w:t>Estructura horizontal y vertical.</w:t>
      </w:r>
    </w:p>
    <w:p w14:paraId="5E83D017" w14:textId="77777777" w:rsidR="00482A5F" w:rsidRPr="00BD1319" w:rsidRDefault="00482A5F">
      <w:pPr>
        <w:tabs>
          <w:tab w:val="left" w:pos="-2268"/>
        </w:tabs>
        <w:suppressAutoHyphens/>
        <w:rPr>
          <w:spacing w:val="-3"/>
        </w:rPr>
      </w:pPr>
    </w:p>
    <w:p w14:paraId="01D2E27E" w14:textId="01EABAF5" w:rsidR="00482A5F" w:rsidRPr="00BD1319" w:rsidRDefault="00482A5F" w:rsidP="00C86DA5">
      <w:pPr>
        <w:pStyle w:val="Prrafodelista"/>
        <w:numPr>
          <w:ilvl w:val="0"/>
          <w:numId w:val="83"/>
        </w:numPr>
        <w:tabs>
          <w:tab w:val="left" w:pos="-2268"/>
        </w:tabs>
        <w:suppressAutoHyphens/>
        <w:ind w:left="567" w:hanging="567"/>
        <w:rPr>
          <w:rFonts w:cs="Arial"/>
          <w:spacing w:val="-3"/>
          <w:lang w:val="es-CO"/>
        </w:rPr>
      </w:pPr>
      <w:r w:rsidRPr="00BD1319">
        <w:rPr>
          <w:rFonts w:cs="Arial"/>
          <w:spacing w:val="-3"/>
          <w:lang w:val="es-CO"/>
        </w:rPr>
        <w:t>Diagnóstico y análisis de la regeneración natural (</w:t>
      </w:r>
      <w:r w:rsidR="00785E21" w:rsidRPr="00BD1319">
        <w:rPr>
          <w:rFonts w:cs="Arial"/>
          <w:spacing w:val="-3"/>
          <w:lang w:val="es-CO"/>
        </w:rPr>
        <w:t xml:space="preserve">descripción </w:t>
      </w:r>
      <w:proofErr w:type="spellStart"/>
      <w:r w:rsidRPr="00BD1319">
        <w:rPr>
          <w:rFonts w:cs="Arial"/>
          <w:spacing w:val="-3"/>
          <w:lang w:val="es-CO"/>
        </w:rPr>
        <w:t>sucesional</w:t>
      </w:r>
      <w:proofErr w:type="spellEnd"/>
      <w:r w:rsidRPr="00BD1319">
        <w:rPr>
          <w:rFonts w:cs="Arial"/>
          <w:spacing w:val="-3"/>
          <w:lang w:val="es-CO"/>
        </w:rPr>
        <w:t xml:space="preserve"> para brinzales y latizales).</w:t>
      </w:r>
    </w:p>
    <w:p w14:paraId="4E676BA3" w14:textId="77777777" w:rsidR="005D7954" w:rsidRPr="00BD1319" w:rsidRDefault="005D7954" w:rsidP="009420F5">
      <w:pPr>
        <w:rPr>
          <w:rFonts w:cs="Arial"/>
          <w:spacing w:val="-3"/>
        </w:rPr>
      </w:pPr>
    </w:p>
    <w:p w14:paraId="112EE081" w14:textId="6933FB80" w:rsidR="005D7954" w:rsidRPr="00BD1319" w:rsidRDefault="005D7954" w:rsidP="009420F5">
      <w:pPr>
        <w:pStyle w:val="Prrafodelista"/>
        <w:numPr>
          <w:ilvl w:val="0"/>
          <w:numId w:val="83"/>
        </w:numPr>
        <w:tabs>
          <w:tab w:val="left" w:pos="-2268"/>
        </w:tabs>
        <w:suppressAutoHyphens/>
        <w:ind w:left="567" w:hanging="567"/>
        <w:rPr>
          <w:rFonts w:cs="Arial"/>
          <w:spacing w:val="-3"/>
          <w:lang w:val="es-CO"/>
        </w:rPr>
      </w:pPr>
      <w:r w:rsidRPr="00BD1319">
        <w:rPr>
          <w:rFonts w:cs="Arial"/>
          <w:spacing w:val="-3"/>
          <w:lang w:val="es-CO"/>
        </w:rPr>
        <w:t>Perfiles de vegetación con su respectivo análisis.</w:t>
      </w:r>
    </w:p>
    <w:p w14:paraId="0593009E" w14:textId="644F52E8" w:rsidR="00482A5F" w:rsidRPr="00BD1319" w:rsidRDefault="00482A5F">
      <w:pPr>
        <w:numPr>
          <w:ilvl w:val="12"/>
          <w:numId w:val="0"/>
        </w:numPr>
        <w:tabs>
          <w:tab w:val="left" w:pos="-2268"/>
        </w:tabs>
        <w:suppressAutoHyphens/>
        <w:rPr>
          <w:spacing w:val="-3"/>
        </w:rPr>
      </w:pPr>
    </w:p>
    <w:p w14:paraId="738B54CF" w14:textId="26ADE9E9" w:rsidR="00482A5F" w:rsidRPr="00BD1319" w:rsidRDefault="00D3337E">
      <w:pPr>
        <w:numPr>
          <w:ilvl w:val="12"/>
          <w:numId w:val="0"/>
        </w:numPr>
        <w:tabs>
          <w:tab w:val="left" w:pos="-2268"/>
        </w:tabs>
        <w:suppressAutoHyphens/>
        <w:rPr>
          <w:spacing w:val="-3"/>
        </w:rPr>
      </w:pPr>
      <w:r w:rsidRPr="00BD1319">
        <w:rPr>
          <w:spacing w:val="-3"/>
        </w:rPr>
        <w:t xml:space="preserve">Asimismo, </w:t>
      </w:r>
      <w:r w:rsidR="00482A5F" w:rsidRPr="00BD1319">
        <w:rPr>
          <w:spacing w:val="-3"/>
        </w:rPr>
        <w:t>se debe</w:t>
      </w:r>
      <w:r w:rsidRPr="00BD1319">
        <w:rPr>
          <w:spacing w:val="-3"/>
        </w:rPr>
        <w:t xml:space="preserve">n </w:t>
      </w:r>
      <w:r w:rsidR="00482A5F" w:rsidRPr="00BD1319">
        <w:rPr>
          <w:spacing w:val="-3"/>
        </w:rPr>
        <w:t>c</w:t>
      </w:r>
      <w:r w:rsidRPr="00BD1319">
        <w:rPr>
          <w:spacing w:val="-3"/>
        </w:rPr>
        <w:t>a</w:t>
      </w:r>
      <w:r w:rsidR="00482A5F" w:rsidRPr="00BD1319">
        <w:rPr>
          <w:spacing w:val="-3"/>
        </w:rPr>
        <w:t>lcul</w:t>
      </w:r>
      <w:r w:rsidRPr="00BD1319">
        <w:rPr>
          <w:spacing w:val="-3"/>
        </w:rPr>
        <w:t>ar</w:t>
      </w:r>
      <w:r w:rsidR="00482A5F" w:rsidRPr="00BD1319">
        <w:rPr>
          <w:spacing w:val="-3"/>
        </w:rPr>
        <w:t xml:space="preserve"> </w:t>
      </w:r>
      <w:r w:rsidRPr="00BD1319">
        <w:rPr>
          <w:spacing w:val="-3"/>
        </w:rPr>
        <w:t xml:space="preserve">como mínimo </w:t>
      </w:r>
      <w:r w:rsidR="00482A5F" w:rsidRPr="00BD1319">
        <w:rPr>
          <w:spacing w:val="-3"/>
        </w:rPr>
        <w:t>los siguientes índices:</w:t>
      </w:r>
    </w:p>
    <w:p w14:paraId="434177DE" w14:textId="77777777" w:rsidR="00482A5F" w:rsidRPr="00BD1319" w:rsidRDefault="00482A5F">
      <w:pPr>
        <w:numPr>
          <w:ilvl w:val="12"/>
          <w:numId w:val="0"/>
        </w:numPr>
        <w:tabs>
          <w:tab w:val="left" w:pos="-2268"/>
        </w:tabs>
        <w:suppressAutoHyphens/>
        <w:rPr>
          <w:spacing w:val="-3"/>
        </w:rPr>
      </w:pPr>
    </w:p>
    <w:p w14:paraId="41A0646D" w14:textId="6BF111B9" w:rsidR="00482A5F" w:rsidRPr="00BD1319" w:rsidRDefault="005E77CF" w:rsidP="00C86DA5">
      <w:pPr>
        <w:pStyle w:val="Prrafodelista"/>
        <w:numPr>
          <w:ilvl w:val="0"/>
          <w:numId w:val="83"/>
        </w:numPr>
        <w:tabs>
          <w:tab w:val="left" w:pos="-2268"/>
        </w:tabs>
        <w:suppressAutoHyphens/>
        <w:ind w:left="567" w:hanging="567"/>
        <w:rPr>
          <w:rFonts w:cs="Arial"/>
          <w:spacing w:val="-3"/>
          <w:lang w:val="es-CO"/>
        </w:rPr>
      </w:pPr>
      <w:r w:rsidRPr="00BD1319">
        <w:rPr>
          <w:rFonts w:cs="Arial"/>
          <w:spacing w:val="-3"/>
          <w:lang w:val="es-CO"/>
        </w:rPr>
        <w:t xml:space="preserve">Diversidad alfa. Riqueza específica (riqueza de especies, Margalef o </w:t>
      </w:r>
      <w:proofErr w:type="spellStart"/>
      <w:r w:rsidRPr="00BD1319">
        <w:rPr>
          <w:rFonts w:cs="Arial"/>
          <w:spacing w:val="-3"/>
          <w:lang w:val="es-CO"/>
        </w:rPr>
        <w:t>Menhinick</w:t>
      </w:r>
      <w:proofErr w:type="spellEnd"/>
      <w:r w:rsidRPr="00BD1319">
        <w:rPr>
          <w:rFonts w:cs="Arial"/>
          <w:spacing w:val="-3"/>
          <w:lang w:val="es-CO"/>
        </w:rPr>
        <w:t>) y estructura (</w:t>
      </w:r>
      <w:r w:rsidR="00482A5F" w:rsidRPr="00BD1319">
        <w:rPr>
          <w:rFonts w:cs="Arial"/>
          <w:spacing w:val="-3"/>
          <w:lang w:val="es-CO"/>
        </w:rPr>
        <w:t>Shannon-Simpson</w:t>
      </w:r>
      <w:r w:rsidRPr="00BD1319">
        <w:rPr>
          <w:rFonts w:cs="Arial"/>
          <w:spacing w:val="-3"/>
          <w:lang w:val="es-CO"/>
        </w:rPr>
        <w:t>)</w:t>
      </w:r>
      <w:r w:rsidR="00482A5F" w:rsidRPr="00BD1319">
        <w:rPr>
          <w:rFonts w:cs="Arial"/>
          <w:spacing w:val="-3"/>
          <w:lang w:val="es-CO"/>
        </w:rPr>
        <w:t>.</w:t>
      </w:r>
    </w:p>
    <w:p w14:paraId="41398F33" w14:textId="77777777" w:rsidR="00482A5F" w:rsidRPr="00BD1319" w:rsidRDefault="00482A5F">
      <w:pPr>
        <w:tabs>
          <w:tab w:val="left" w:pos="-2268"/>
        </w:tabs>
        <w:suppressAutoHyphens/>
        <w:rPr>
          <w:spacing w:val="-3"/>
        </w:rPr>
      </w:pPr>
    </w:p>
    <w:p w14:paraId="26197CA0" w14:textId="4623D2E4" w:rsidR="00482A5F" w:rsidRPr="00BD1319" w:rsidRDefault="00482A5F">
      <w:pPr>
        <w:pStyle w:val="Prrafodelista"/>
        <w:numPr>
          <w:ilvl w:val="0"/>
          <w:numId w:val="83"/>
        </w:numPr>
        <w:tabs>
          <w:tab w:val="left" w:pos="-2268"/>
        </w:tabs>
        <w:suppressAutoHyphens/>
        <w:ind w:left="567" w:hanging="567"/>
        <w:rPr>
          <w:lang w:val="es-CO"/>
        </w:rPr>
      </w:pPr>
      <w:r w:rsidRPr="00BD1319">
        <w:rPr>
          <w:rFonts w:cs="Arial"/>
          <w:spacing w:val="-3"/>
          <w:lang w:val="es-CO"/>
        </w:rPr>
        <w:t>Coeficiente de mezcla</w:t>
      </w:r>
      <w:r w:rsidR="00156748" w:rsidRPr="00BD1319">
        <w:rPr>
          <w:rFonts w:cs="Arial"/>
          <w:spacing w:val="-3"/>
          <w:lang w:val="es-CO"/>
        </w:rPr>
        <w:t>.</w:t>
      </w:r>
    </w:p>
    <w:p w14:paraId="3ACEC211" w14:textId="77777777" w:rsidR="00482A5F" w:rsidRPr="00BD1319" w:rsidRDefault="00482A5F">
      <w:pPr>
        <w:tabs>
          <w:tab w:val="left" w:pos="-2268"/>
        </w:tabs>
        <w:suppressAutoHyphens/>
        <w:rPr>
          <w:spacing w:val="-3"/>
        </w:rPr>
      </w:pPr>
    </w:p>
    <w:p w14:paraId="6DB8EED5" w14:textId="6816424B" w:rsidR="00156748" w:rsidRPr="00BD1319" w:rsidRDefault="00156748" w:rsidP="00C86DA5">
      <w:pPr>
        <w:pStyle w:val="Prrafodelista"/>
        <w:numPr>
          <w:ilvl w:val="0"/>
          <w:numId w:val="83"/>
        </w:numPr>
        <w:tabs>
          <w:tab w:val="left" w:pos="-2268"/>
        </w:tabs>
        <w:suppressAutoHyphens/>
        <w:ind w:left="567" w:hanging="567"/>
        <w:rPr>
          <w:rFonts w:cs="Arial"/>
          <w:spacing w:val="-3"/>
          <w:lang w:val="es-CO"/>
        </w:rPr>
      </w:pPr>
      <w:r w:rsidRPr="00BD1319">
        <w:rPr>
          <w:rFonts w:cs="Arial"/>
          <w:spacing w:val="-3"/>
          <w:lang w:val="es-CO"/>
        </w:rPr>
        <w:t>Índice de Valor de Importancia (IVI).</w:t>
      </w:r>
    </w:p>
    <w:p w14:paraId="4A25B66F" w14:textId="77777777" w:rsidR="00482A5F" w:rsidRPr="00BD1319" w:rsidRDefault="00482A5F">
      <w:pPr>
        <w:numPr>
          <w:ilvl w:val="12"/>
          <w:numId w:val="0"/>
        </w:numPr>
        <w:tabs>
          <w:tab w:val="left" w:pos="-2268"/>
        </w:tabs>
        <w:suppressAutoHyphens/>
        <w:rPr>
          <w:spacing w:val="-3"/>
        </w:rPr>
      </w:pPr>
    </w:p>
    <w:p w14:paraId="2C30C9B0" w14:textId="7757D7A1" w:rsidR="00940866" w:rsidRPr="00BD1319" w:rsidRDefault="00940866">
      <w:pPr>
        <w:numPr>
          <w:ilvl w:val="12"/>
          <w:numId w:val="0"/>
        </w:numPr>
        <w:tabs>
          <w:tab w:val="left" w:pos="-2268"/>
        </w:tabs>
        <w:suppressAutoHyphens/>
        <w:rPr>
          <w:spacing w:val="-3"/>
        </w:rPr>
      </w:pPr>
      <w:r w:rsidRPr="00BD1319">
        <w:rPr>
          <w:rFonts w:cs="Arial"/>
          <w:spacing w:val="-3"/>
        </w:rPr>
        <w:t xml:space="preserve">Se debe presentar </w:t>
      </w:r>
      <w:r w:rsidR="00770D9E" w:rsidRPr="00BD1319">
        <w:rPr>
          <w:rFonts w:cs="Arial"/>
          <w:spacing w:val="-3"/>
        </w:rPr>
        <w:t xml:space="preserve">una </w:t>
      </w:r>
      <w:r w:rsidRPr="00BD1319">
        <w:rPr>
          <w:rFonts w:cs="Arial"/>
          <w:spacing w:val="-3"/>
        </w:rPr>
        <w:t xml:space="preserve">base de datos </w:t>
      </w:r>
      <w:r w:rsidR="00770D9E" w:rsidRPr="00BD1319">
        <w:rPr>
          <w:rFonts w:cs="Arial"/>
          <w:spacing w:val="-3"/>
        </w:rPr>
        <w:t>con la información que resulte del muestreo o censo</w:t>
      </w:r>
      <w:r w:rsidR="00C86750" w:rsidRPr="00BD1319">
        <w:rPr>
          <w:rFonts w:cs="Arial"/>
          <w:spacing w:val="-3"/>
        </w:rPr>
        <w:t xml:space="preserve"> ejecutado</w:t>
      </w:r>
      <w:r w:rsidRPr="00BD1319">
        <w:rPr>
          <w:rFonts w:cs="Arial"/>
          <w:spacing w:val="-3"/>
        </w:rPr>
        <w:t>.</w:t>
      </w:r>
    </w:p>
    <w:p w14:paraId="2D05DC1F" w14:textId="77777777" w:rsidR="00482A5F" w:rsidRPr="00BD1319" w:rsidRDefault="00482A5F">
      <w:pPr>
        <w:numPr>
          <w:ilvl w:val="12"/>
          <w:numId w:val="0"/>
        </w:numPr>
        <w:tabs>
          <w:tab w:val="left" w:pos="-2268"/>
        </w:tabs>
        <w:suppressAutoHyphens/>
        <w:rPr>
          <w:spacing w:val="-3"/>
        </w:rPr>
      </w:pPr>
    </w:p>
    <w:p w14:paraId="32CE4D75" w14:textId="4AF25B73" w:rsidR="005515CF" w:rsidRPr="00BD1319" w:rsidRDefault="008348CE">
      <w:pPr>
        <w:numPr>
          <w:ilvl w:val="12"/>
          <w:numId w:val="0"/>
        </w:numPr>
        <w:tabs>
          <w:tab w:val="left" w:pos="-2268"/>
        </w:tabs>
        <w:suppressAutoHyphens/>
        <w:rPr>
          <w:spacing w:val="-3"/>
        </w:rPr>
      </w:pPr>
      <w:r w:rsidRPr="00BD1319">
        <w:rPr>
          <w:spacing w:val="-3"/>
        </w:rPr>
        <w:t>L</w:t>
      </w:r>
      <w:r w:rsidR="005515CF" w:rsidRPr="00BD1319">
        <w:rPr>
          <w:spacing w:val="-3"/>
        </w:rPr>
        <w:t xml:space="preserve">a estimación de biomasa </w:t>
      </w:r>
      <w:r w:rsidRPr="00BD1319">
        <w:rPr>
          <w:spacing w:val="-3"/>
        </w:rPr>
        <w:t xml:space="preserve">y de carbono </w:t>
      </w:r>
      <w:r w:rsidR="005515CF" w:rsidRPr="00BD1319">
        <w:rPr>
          <w:spacing w:val="-3"/>
        </w:rPr>
        <w:t xml:space="preserve">de los individuos inventariados y </w:t>
      </w:r>
      <w:r w:rsidRPr="00BD1319">
        <w:rPr>
          <w:spacing w:val="-3"/>
        </w:rPr>
        <w:t xml:space="preserve">de los </w:t>
      </w:r>
      <w:r w:rsidR="005515CF" w:rsidRPr="00BD1319">
        <w:rPr>
          <w:spacing w:val="-3"/>
        </w:rPr>
        <w:t>ecosistema</w:t>
      </w:r>
      <w:r w:rsidRPr="00BD1319">
        <w:rPr>
          <w:spacing w:val="-3"/>
        </w:rPr>
        <w:t xml:space="preserve">s, debe desarrollarse empleando </w:t>
      </w:r>
      <w:r w:rsidR="005515CF" w:rsidRPr="00BD1319">
        <w:rPr>
          <w:spacing w:val="-3"/>
        </w:rPr>
        <w:t xml:space="preserve">la metodología </w:t>
      </w:r>
      <w:r w:rsidRPr="00BD1319">
        <w:rPr>
          <w:spacing w:val="-3"/>
        </w:rPr>
        <w:t xml:space="preserve">vigente del </w:t>
      </w:r>
      <w:proofErr w:type="spellStart"/>
      <w:r w:rsidR="005515CF" w:rsidRPr="00BD1319">
        <w:rPr>
          <w:spacing w:val="-3"/>
        </w:rPr>
        <w:t>I</w:t>
      </w:r>
      <w:r w:rsidRPr="00BD1319">
        <w:rPr>
          <w:spacing w:val="-3"/>
        </w:rPr>
        <w:t>deam</w:t>
      </w:r>
      <w:proofErr w:type="spellEnd"/>
      <w:r w:rsidRPr="00BD1319">
        <w:rPr>
          <w:rStyle w:val="Refdenotaalpie"/>
          <w:spacing w:val="-3"/>
        </w:rPr>
        <w:footnoteReference w:id="126"/>
      </w:r>
      <w:r w:rsidR="005515CF" w:rsidRPr="00BD1319">
        <w:rPr>
          <w:spacing w:val="-3"/>
        </w:rPr>
        <w:t xml:space="preserve"> u otr</w:t>
      </w:r>
      <w:r w:rsidRPr="00BD1319">
        <w:rPr>
          <w:spacing w:val="-3"/>
        </w:rPr>
        <w:t>a</w:t>
      </w:r>
      <w:r w:rsidR="005515CF" w:rsidRPr="00BD1319">
        <w:rPr>
          <w:spacing w:val="-3"/>
        </w:rPr>
        <w:t xml:space="preserve">s </w:t>
      </w:r>
      <w:r w:rsidRPr="00BD1319">
        <w:rPr>
          <w:spacing w:val="-3"/>
        </w:rPr>
        <w:t xml:space="preserve">formuladas </w:t>
      </w:r>
      <w:r w:rsidR="005515CF" w:rsidRPr="00BD1319">
        <w:rPr>
          <w:spacing w:val="-3"/>
        </w:rPr>
        <w:t>por las autoridades ambientales</w:t>
      </w:r>
      <w:r w:rsidRPr="00BD1319">
        <w:rPr>
          <w:spacing w:val="-3"/>
        </w:rPr>
        <w:t>, institutos de investigación o instituciones académicas</w:t>
      </w:r>
      <w:r w:rsidR="005515CF" w:rsidRPr="00BD1319">
        <w:rPr>
          <w:spacing w:val="-3"/>
        </w:rPr>
        <w:t>.</w:t>
      </w:r>
    </w:p>
    <w:p w14:paraId="696079FC" w14:textId="77777777" w:rsidR="005515CF" w:rsidRPr="00BD1319" w:rsidRDefault="005515CF">
      <w:pPr>
        <w:numPr>
          <w:ilvl w:val="12"/>
          <w:numId w:val="0"/>
        </w:numPr>
        <w:tabs>
          <w:tab w:val="left" w:pos="-2268"/>
        </w:tabs>
        <w:suppressAutoHyphens/>
        <w:rPr>
          <w:spacing w:val="-3"/>
        </w:rPr>
      </w:pPr>
    </w:p>
    <w:p w14:paraId="54DA6900" w14:textId="2B6CAE70" w:rsidR="00482A5F" w:rsidRPr="00BD1319" w:rsidRDefault="00482A5F" w:rsidP="002833FB">
      <w:pPr>
        <w:pStyle w:val="Ttulo6"/>
        <w:tabs>
          <w:tab w:val="clear" w:pos="2160"/>
          <w:tab w:val="num" w:pos="1418"/>
        </w:tabs>
        <w:ind w:left="1418" w:hanging="1418"/>
        <w:rPr>
          <w:lang w:val="es-CO"/>
        </w:rPr>
      </w:pPr>
      <w:bookmarkStart w:id="2874" w:name="_Ref78450392"/>
      <w:bookmarkStart w:id="2875" w:name="_Hlk42154986"/>
      <w:r w:rsidRPr="00BD1319">
        <w:rPr>
          <w:lang w:val="es-CO"/>
        </w:rPr>
        <w:t>Especies arbóreas y helechos arborescentes en veda</w:t>
      </w:r>
      <w:bookmarkEnd w:id="2874"/>
    </w:p>
    <w:bookmarkEnd w:id="2875"/>
    <w:p w14:paraId="59FB19BD" w14:textId="77777777" w:rsidR="00482A5F" w:rsidRPr="00BD1319" w:rsidRDefault="00482A5F" w:rsidP="00482A5F">
      <w:pPr>
        <w:tabs>
          <w:tab w:val="left" w:pos="6084"/>
        </w:tabs>
        <w:rPr>
          <w:rFonts w:cs="Arial"/>
          <w:u w:val="single"/>
        </w:rPr>
      </w:pPr>
    </w:p>
    <w:p w14:paraId="7DFC8652" w14:textId="3D8013DE" w:rsidR="0049729E" w:rsidRPr="00BD1319" w:rsidRDefault="00DF4AE6" w:rsidP="007D2869">
      <w:pPr>
        <w:overflowPunct/>
        <w:textAlignment w:val="auto"/>
        <w:rPr>
          <w:rFonts w:cs="Arial"/>
          <w:spacing w:val="-3"/>
        </w:rPr>
      </w:pPr>
      <w:r w:rsidRPr="00BD1319">
        <w:rPr>
          <w:rFonts w:cs="Arial"/>
        </w:rPr>
        <w:t>L</w:t>
      </w:r>
      <w:r w:rsidR="009D57C6" w:rsidRPr="00BD1319">
        <w:rPr>
          <w:rFonts w:cs="Arial"/>
        </w:rPr>
        <w:t xml:space="preserve">a </w:t>
      </w:r>
      <w:r w:rsidR="007D2869" w:rsidRPr="00BD1319">
        <w:rPr>
          <w:rFonts w:cs="Arial"/>
        </w:rPr>
        <w:t xml:space="preserve">caracterización de las especies </w:t>
      </w:r>
      <w:r w:rsidR="007D2869" w:rsidRPr="00BD1319">
        <w:t xml:space="preserve">arbóreas </w:t>
      </w:r>
      <w:r w:rsidR="00287A01" w:rsidRPr="00BD1319">
        <w:t xml:space="preserve">y de helechos arborescentes </w:t>
      </w:r>
      <w:r w:rsidR="007D2869" w:rsidRPr="00BD1319">
        <w:rPr>
          <w:rFonts w:cs="Arial"/>
        </w:rPr>
        <w:t xml:space="preserve">en veda se debe </w:t>
      </w:r>
      <w:r w:rsidR="004C39B9" w:rsidRPr="00BD1319">
        <w:rPr>
          <w:rFonts w:cs="Arial"/>
        </w:rPr>
        <w:t>desarrollar</w:t>
      </w:r>
      <w:r w:rsidRPr="00BD1319">
        <w:rPr>
          <w:rFonts w:cs="Arial"/>
        </w:rPr>
        <w:t xml:space="preserve"> para el </w:t>
      </w:r>
      <w:r w:rsidRPr="00BD1319">
        <w:rPr>
          <w:rFonts w:cs="Arial"/>
          <w:i/>
          <w:iCs/>
        </w:rPr>
        <w:t>área por intervenir</w:t>
      </w:r>
      <w:r w:rsidRPr="00BD1319">
        <w:rPr>
          <w:rFonts w:cs="Arial"/>
        </w:rPr>
        <w:t xml:space="preserve"> mediante </w:t>
      </w:r>
      <w:r w:rsidR="0049729E" w:rsidRPr="00BD1319">
        <w:rPr>
          <w:rFonts w:cs="Arial"/>
        </w:rPr>
        <w:t xml:space="preserve">un censo </w:t>
      </w:r>
      <w:r w:rsidR="00377007" w:rsidRPr="00BD1319">
        <w:rPr>
          <w:rFonts w:cs="Arial"/>
        </w:rPr>
        <w:t>de</w:t>
      </w:r>
      <w:r w:rsidR="0049729E" w:rsidRPr="00BD1319">
        <w:rPr>
          <w:rFonts w:cs="Arial"/>
        </w:rPr>
        <w:t xml:space="preserve">l 100% de los individuos o </w:t>
      </w:r>
      <w:r w:rsidRPr="00BD1319">
        <w:rPr>
          <w:rFonts w:cs="Arial"/>
        </w:rPr>
        <w:t xml:space="preserve">mediante </w:t>
      </w:r>
      <w:r w:rsidR="0049729E" w:rsidRPr="00BD1319">
        <w:rPr>
          <w:rFonts w:cs="Arial"/>
        </w:rPr>
        <w:t xml:space="preserve">un </w:t>
      </w:r>
      <w:r w:rsidR="007D2869" w:rsidRPr="00BD1319">
        <w:rPr>
          <w:rFonts w:cs="Arial"/>
          <w:spacing w:val="-3"/>
        </w:rPr>
        <w:t>muestreo</w:t>
      </w:r>
      <w:r w:rsidRPr="00BD1319">
        <w:rPr>
          <w:rFonts w:cs="Arial"/>
          <w:spacing w:val="-3"/>
        </w:rPr>
        <w:t>;</w:t>
      </w:r>
      <w:r w:rsidRPr="00BD1319">
        <w:rPr>
          <w:rFonts w:cs="Arial"/>
        </w:rPr>
        <w:t xml:space="preserve"> </w:t>
      </w:r>
      <w:r w:rsidR="00D0426C" w:rsidRPr="00BD1319">
        <w:rPr>
          <w:rFonts w:cs="Arial"/>
        </w:rPr>
        <w:t xml:space="preserve">la selección del método ya sea censo o muestreo </w:t>
      </w:r>
      <w:r w:rsidR="00D0426C" w:rsidRPr="00BD1319">
        <w:rPr>
          <w:rFonts w:cs="Arial"/>
          <w:spacing w:val="-3"/>
        </w:rPr>
        <w:t xml:space="preserve">debe estar en función de </w:t>
      </w:r>
      <w:r w:rsidR="004C39B9" w:rsidRPr="00BD1319">
        <w:rPr>
          <w:rFonts w:cs="Arial"/>
        </w:rPr>
        <w:t xml:space="preserve">las condiciones bióticas de </w:t>
      </w:r>
      <w:r w:rsidR="00377007" w:rsidRPr="00BD1319">
        <w:rPr>
          <w:rFonts w:cs="Arial"/>
        </w:rPr>
        <w:t>e</w:t>
      </w:r>
      <w:r w:rsidR="004C39B9" w:rsidRPr="00BD1319">
        <w:rPr>
          <w:rFonts w:cs="Arial"/>
        </w:rPr>
        <w:t xml:space="preserve">sta </w:t>
      </w:r>
      <w:r w:rsidR="00377007" w:rsidRPr="00BD1319">
        <w:rPr>
          <w:rFonts w:cs="Arial"/>
        </w:rPr>
        <w:t xml:space="preserve">área </w:t>
      </w:r>
      <w:r w:rsidR="004C39B9" w:rsidRPr="00BD1319">
        <w:rPr>
          <w:rFonts w:cs="Arial"/>
        </w:rPr>
        <w:t>y las características del proyecto, obra o actividad</w:t>
      </w:r>
      <w:r w:rsidR="00D0426C" w:rsidRPr="00BD1319">
        <w:rPr>
          <w:rFonts w:cs="Arial"/>
          <w:spacing w:val="-3"/>
        </w:rPr>
        <w:t>.</w:t>
      </w:r>
      <w:r w:rsidR="0049729E" w:rsidRPr="00BD1319">
        <w:rPr>
          <w:rFonts w:cs="Arial"/>
          <w:spacing w:val="-3"/>
        </w:rPr>
        <w:t xml:space="preserve"> </w:t>
      </w:r>
      <w:r w:rsidR="00D0426C" w:rsidRPr="00BD1319">
        <w:rPr>
          <w:rFonts w:cs="Arial"/>
          <w:spacing w:val="-3"/>
        </w:rPr>
        <w:t>A</w:t>
      </w:r>
      <w:r w:rsidR="0049729E" w:rsidRPr="00BD1319">
        <w:rPr>
          <w:rFonts w:cs="Arial"/>
          <w:spacing w:val="-3"/>
        </w:rPr>
        <w:t xml:space="preserve">dicionalmente, se debe realizar un </w:t>
      </w:r>
      <w:r w:rsidR="0049729E" w:rsidRPr="00BD1319">
        <w:rPr>
          <w:rFonts w:cs="Arial"/>
          <w:spacing w:val="-3"/>
        </w:rPr>
        <w:lastRenderedPageBreak/>
        <w:t xml:space="preserve">muestreo para </w:t>
      </w:r>
      <w:r w:rsidR="00D0426C" w:rsidRPr="00BD1319">
        <w:rPr>
          <w:rFonts w:cs="Arial"/>
          <w:spacing w:val="-3"/>
        </w:rPr>
        <w:t xml:space="preserve">caracterizar </w:t>
      </w:r>
      <w:r w:rsidR="0049729E" w:rsidRPr="00BD1319">
        <w:rPr>
          <w:rFonts w:cs="Arial"/>
          <w:spacing w:val="-3"/>
        </w:rPr>
        <w:t xml:space="preserve">los ecosistemas que no estén contenidos en el área </w:t>
      </w:r>
      <w:r w:rsidR="00927687" w:rsidRPr="00BD1319">
        <w:rPr>
          <w:rFonts w:cs="Arial"/>
          <w:spacing w:val="-3"/>
        </w:rPr>
        <w:t xml:space="preserve">por </w:t>
      </w:r>
      <w:r w:rsidR="00B844DD" w:rsidRPr="00BD1319">
        <w:rPr>
          <w:rFonts w:cs="Arial"/>
          <w:spacing w:val="-3"/>
        </w:rPr>
        <w:t>intervenir,</w:t>
      </w:r>
      <w:r w:rsidR="00927687" w:rsidRPr="00BD1319">
        <w:rPr>
          <w:rFonts w:cs="Arial"/>
          <w:spacing w:val="-3"/>
        </w:rPr>
        <w:t xml:space="preserve"> </w:t>
      </w:r>
      <w:r w:rsidR="0049729E" w:rsidRPr="00BD1319">
        <w:rPr>
          <w:rFonts w:cs="Arial"/>
          <w:spacing w:val="-3"/>
        </w:rPr>
        <w:t xml:space="preserve">pero </w:t>
      </w:r>
      <w:r w:rsidR="00B844DD" w:rsidRPr="00BD1319">
        <w:rPr>
          <w:rFonts w:cs="Arial"/>
          <w:spacing w:val="-3"/>
        </w:rPr>
        <w:t xml:space="preserve">sí </w:t>
      </w:r>
      <w:r w:rsidR="0049729E" w:rsidRPr="00BD1319">
        <w:rPr>
          <w:rFonts w:cs="Arial"/>
          <w:spacing w:val="-3"/>
        </w:rPr>
        <w:t xml:space="preserve">dentro </w:t>
      </w:r>
      <w:r w:rsidR="007D2869" w:rsidRPr="00BD1319">
        <w:rPr>
          <w:rFonts w:cs="Arial"/>
          <w:spacing w:val="-3"/>
        </w:rPr>
        <w:t>en el área de influencia</w:t>
      </w:r>
      <w:r w:rsidR="00927687" w:rsidRPr="00BD1319">
        <w:rPr>
          <w:rFonts w:cs="Arial"/>
          <w:spacing w:val="-3"/>
        </w:rPr>
        <w:t>.</w:t>
      </w:r>
    </w:p>
    <w:p w14:paraId="77A9BA30" w14:textId="77777777" w:rsidR="0049729E" w:rsidRPr="00BD1319" w:rsidRDefault="0049729E" w:rsidP="007D2869">
      <w:pPr>
        <w:overflowPunct/>
        <w:textAlignment w:val="auto"/>
        <w:rPr>
          <w:rFonts w:cs="Arial"/>
          <w:spacing w:val="-3"/>
        </w:rPr>
      </w:pPr>
    </w:p>
    <w:p w14:paraId="6E87D1CB" w14:textId="5264C5C7" w:rsidR="007D2869" w:rsidRPr="00BD1319" w:rsidRDefault="00B844DD" w:rsidP="007D2869">
      <w:pPr>
        <w:overflowPunct/>
        <w:textAlignment w:val="auto"/>
        <w:rPr>
          <w:rFonts w:cs="Arial"/>
          <w:spacing w:val="-3"/>
        </w:rPr>
      </w:pPr>
      <w:r w:rsidRPr="00BD1319">
        <w:rPr>
          <w:rFonts w:cs="Arial"/>
          <w:spacing w:val="-3"/>
        </w:rPr>
        <w:t>El diseño de los muestreos debe asegurar que sean</w:t>
      </w:r>
      <w:r w:rsidRPr="00BD1319" w:rsidDel="00B844DD">
        <w:rPr>
          <w:rFonts w:cs="Arial"/>
          <w:spacing w:val="-3"/>
        </w:rPr>
        <w:t xml:space="preserve"> </w:t>
      </w:r>
      <w:r w:rsidR="007D2869" w:rsidRPr="00BD1319">
        <w:rPr>
          <w:rFonts w:cs="Arial"/>
          <w:spacing w:val="-3"/>
        </w:rPr>
        <w:t>estadísticamente representativo</w:t>
      </w:r>
      <w:r w:rsidRPr="00BD1319">
        <w:rPr>
          <w:rFonts w:cs="Arial"/>
          <w:spacing w:val="-3"/>
        </w:rPr>
        <w:t>s</w:t>
      </w:r>
      <w:r w:rsidR="007D2869" w:rsidRPr="00BD1319">
        <w:rPr>
          <w:rFonts w:cs="Arial"/>
          <w:spacing w:val="-3"/>
        </w:rPr>
        <w:t xml:space="preserve"> </w:t>
      </w:r>
      <w:r w:rsidRPr="00BD1319">
        <w:rPr>
          <w:rFonts w:cs="Arial"/>
          <w:spacing w:val="-3"/>
        </w:rPr>
        <w:t xml:space="preserve">con </w:t>
      </w:r>
      <w:r w:rsidR="007D2869" w:rsidRPr="00BD1319">
        <w:rPr>
          <w:rFonts w:cs="Arial"/>
          <w:spacing w:val="-3"/>
        </w:rPr>
        <w:t>una probabilidad del 95% y un error de muestreo no mayor al 15%</w:t>
      </w:r>
      <w:r w:rsidR="00311D0A" w:rsidRPr="00BD1319">
        <w:rPr>
          <w:rFonts w:cs="Arial"/>
          <w:spacing w:val="-3"/>
        </w:rPr>
        <w:t>.</w:t>
      </w:r>
      <w:r w:rsidR="007D2869" w:rsidRPr="00BD1319">
        <w:rPr>
          <w:rFonts w:cs="Arial"/>
          <w:spacing w:val="-3"/>
        </w:rPr>
        <w:t xml:space="preserve"> </w:t>
      </w:r>
      <w:r w:rsidR="00311D0A" w:rsidRPr="00BD1319">
        <w:rPr>
          <w:rFonts w:cs="Arial"/>
          <w:spacing w:val="-3"/>
        </w:rPr>
        <w:t>S</w:t>
      </w:r>
      <w:r w:rsidR="007D2869" w:rsidRPr="00BD1319">
        <w:rPr>
          <w:rFonts w:cs="Arial"/>
          <w:spacing w:val="-3"/>
        </w:rPr>
        <w:t xml:space="preserve">e deben contemplar todas las categorías de tamaño </w:t>
      </w:r>
      <w:r w:rsidR="00287A01" w:rsidRPr="00BD1319">
        <w:rPr>
          <w:rFonts w:cs="Arial"/>
          <w:spacing w:val="-3"/>
        </w:rPr>
        <w:t xml:space="preserve">para especies arbóreas </w:t>
      </w:r>
      <w:r w:rsidR="007D2869" w:rsidRPr="00BD1319">
        <w:rPr>
          <w:rFonts w:cs="Arial"/>
          <w:spacing w:val="-3"/>
        </w:rPr>
        <w:t>(fustal, latizal, brinzal)</w:t>
      </w:r>
      <w:r w:rsidR="00287A01" w:rsidRPr="00BD1319">
        <w:rPr>
          <w:rFonts w:cs="Arial"/>
          <w:spacing w:val="-3"/>
        </w:rPr>
        <w:t>, así como todas las categorías de altura de helechos arborescentes</w:t>
      </w:r>
      <w:r w:rsidR="007D2869" w:rsidRPr="00BD1319">
        <w:rPr>
          <w:rFonts w:cs="Arial"/>
          <w:lang w:eastAsia="es-CO"/>
        </w:rPr>
        <w:t xml:space="preserve">; </w:t>
      </w:r>
      <w:r w:rsidRPr="00BD1319">
        <w:rPr>
          <w:rFonts w:cs="Arial"/>
          <w:lang w:eastAsia="es-CO"/>
        </w:rPr>
        <w:t xml:space="preserve">asimismo, </w:t>
      </w:r>
      <w:r w:rsidR="007D2869" w:rsidRPr="00BD1319">
        <w:rPr>
          <w:rFonts w:cs="Arial"/>
          <w:lang w:eastAsia="es-CO"/>
        </w:rPr>
        <w:t xml:space="preserve">se deben </w:t>
      </w:r>
      <w:r w:rsidR="007D2869" w:rsidRPr="00BD1319">
        <w:rPr>
          <w:rFonts w:cs="Arial"/>
          <w:spacing w:val="-3"/>
        </w:rPr>
        <w:t>especificar las coordenadas de ubicación de los puntos de muestreo con sistema de referencia Magna</w:t>
      </w:r>
      <w:r w:rsidR="00EC20C8" w:rsidRPr="00BD1319">
        <w:rPr>
          <w:rFonts w:cs="Arial"/>
          <w:spacing w:val="-3"/>
        </w:rPr>
        <w:t>-</w:t>
      </w:r>
      <w:r w:rsidR="007D2869" w:rsidRPr="00BD1319">
        <w:rPr>
          <w:rFonts w:cs="Arial"/>
          <w:spacing w:val="-3"/>
        </w:rPr>
        <w:t>Sirgas (origen</w:t>
      </w:r>
      <w:r w:rsidR="00FE1B66" w:rsidRPr="00BD1319">
        <w:rPr>
          <w:rFonts w:cs="Arial"/>
          <w:spacing w:val="-3"/>
        </w:rPr>
        <w:t xml:space="preserve"> nacional</w:t>
      </w:r>
      <w:r w:rsidR="007D2869" w:rsidRPr="00BD1319">
        <w:rPr>
          <w:rFonts w:cs="Arial"/>
          <w:spacing w:val="-3"/>
        </w:rPr>
        <w:t>), así como representarlos en el mapa de coberturas de la tierra y en el de ecosistemas.</w:t>
      </w:r>
    </w:p>
    <w:p w14:paraId="7637BADF" w14:textId="77777777" w:rsidR="00287A01" w:rsidRPr="00BD1319" w:rsidRDefault="00287A01" w:rsidP="007D2869">
      <w:pPr>
        <w:overflowPunct/>
        <w:textAlignment w:val="auto"/>
        <w:rPr>
          <w:rFonts w:cs="Arial"/>
          <w:spacing w:val="-3"/>
        </w:rPr>
      </w:pPr>
    </w:p>
    <w:p w14:paraId="21824423" w14:textId="076377BC" w:rsidR="007D2869" w:rsidRPr="00BD1319" w:rsidRDefault="007D2869" w:rsidP="007D2869">
      <w:pPr>
        <w:overflowPunct/>
        <w:textAlignment w:val="auto"/>
        <w:rPr>
          <w:rFonts w:cs="Arial"/>
          <w:spacing w:val="-3"/>
        </w:rPr>
      </w:pPr>
      <w:r w:rsidRPr="00BD1319">
        <w:rPr>
          <w:rFonts w:cs="Arial"/>
          <w:spacing w:val="-3"/>
        </w:rPr>
        <w:t>Se debe presentar la siguiente información de las especies dentro de las unidades de muestr</w:t>
      </w:r>
      <w:r w:rsidR="00485A81" w:rsidRPr="00BD1319">
        <w:rPr>
          <w:rFonts w:cs="Arial"/>
          <w:spacing w:val="-3"/>
        </w:rPr>
        <w:t>e</w:t>
      </w:r>
      <w:r w:rsidRPr="00BD1319">
        <w:rPr>
          <w:rFonts w:cs="Arial"/>
          <w:spacing w:val="-3"/>
        </w:rPr>
        <w:t xml:space="preserve">o </w:t>
      </w:r>
      <w:r w:rsidRPr="00BD1319">
        <w:rPr>
          <w:spacing w:val="-3"/>
        </w:rPr>
        <w:t>de cada unidad de ecosistema</w:t>
      </w:r>
      <w:r w:rsidRPr="00BD1319">
        <w:rPr>
          <w:rFonts w:cs="Arial"/>
          <w:spacing w:val="-3"/>
        </w:rPr>
        <w:t>:</w:t>
      </w:r>
    </w:p>
    <w:p w14:paraId="730773FA" w14:textId="77777777" w:rsidR="00762F54" w:rsidRPr="00BD1319" w:rsidRDefault="00762F54" w:rsidP="00482A5F">
      <w:pPr>
        <w:overflowPunct/>
        <w:textAlignment w:val="auto"/>
        <w:rPr>
          <w:rFonts w:cs="Arial"/>
          <w:spacing w:val="-3"/>
        </w:rPr>
      </w:pPr>
    </w:p>
    <w:p w14:paraId="5269999C" w14:textId="405F587B" w:rsidR="00482A5F" w:rsidRPr="00BD1319" w:rsidRDefault="00482A5F" w:rsidP="00C86DA5">
      <w:pPr>
        <w:pStyle w:val="Prrafodelista"/>
        <w:numPr>
          <w:ilvl w:val="0"/>
          <w:numId w:val="83"/>
        </w:numPr>
        <w:tabs>
          <w:tab w:val="left" w:pos="-2268"/>
        </w:tabs>
        <w:suppressAutoHyphens/>
        <w:ind w:left="567" w:hanging="567"/>
        <w:rPr>
          <w:rFonts w:cs="Arial"/>
          <w:spacing w:val="-3"/>
          <w:lang w:val="es-CO"/>
        </w:rPr>
      </w:pPr>
      <w:r w:rsidRPr="00BD1319">
        <w:rPr>
          <w:rFonts w:cs="Arial"/>
          <w:spacing w:val="-3"/>
          <w:lang w:val="es-CO"/>
        </w:rPr>
        <w:t>Nombre científico.</w:t>
      </w:r>
    </w:p>
    <w:p w14:paraId="265C9CA2" w14:textId="77777777" w:rsidR="006B05FC" w:rsidRPr="00BD1319" w:rsidRDefault="006B05FC" w:rsidP="00C86DA5">
      <w:pPr>
        <w:tabs>
          <w:tab w:val="left" w:pos="-2268"/>
        </w:tabs>
        <w:suppressAutoHyphens/>
        <w:rPr>
          <w:rFonts w:cs="Arial"/>
          <w:spacing w:val="-3"/>
        </w:rPr>
      </w:pPr>
    </w:p>
    <w:p w14:paraId="7E3246B7" w14:textId="77777777" w:rsidR="007D2869" w:rsidRPr="00BD1319" w:rsidRDefault="007D2869" w:rsidP="007D2869">
      <w:pPr>
        <w:pStyle w:val="Prrafodelista"/>
        <w:numPr>
          <w:ilvl w:val="0"/>
          <w:numId w:val="83"/>
        </w:numPr>
        <w:tabs>
          <w:tab w:val="left" w:pos="-2268"/>
        </w:tabs>
        <w:suppressAutoHyphens/>
        <w:ind w:left="567" w:hanging="567"/>
        <w:rPr>
          <w:rFonts w:cs="Arial"/>
          <w:spacing w:val="-3"/>
          <w:lang w:val="es-CO"/>
        </w:rPr>
      </w:pPr>
      <w:r w:rsidRPr="00BD1319">
        <w:rPr>
          <w:rFonts w:cs="Arial"/>
          <w:spacing w:val="-3"/>
          <w:lang w:val="es-CO"/>
        </w:rPr>
        <w:t>Densidad.</w:t>
      </w:r>
    </w:p>
    <w:p w14:paraId="69CFD9A2" w14:textId="77777777" w:rsidR="007D2869" w:rsidRPr="00BD1319" w:rsidRDefault="007D2869" w:rsidP="007D2869">
      <w:pPr>
        <w:tabs>
          <w:tab w:val="left" w:pos="-2268"/>
        </w:tabs>
        <w:suppressAutoHyphens/>
        <w:rPr>
          <w:spacing w:val="-3"/>
        </w:rPr>
      </w:pPr>
    </w:p>
    <w:p w14:paraId="65DCFF21" w14:textId="77777777" w:rsidR="007D2869" w:rsidRPr="00BD1319" w:rsidRDefault="007D2869" w:rsidP="007D2869">
      <w:pPr>
        <w:pStyle w:val="Prrafodelista"/>
        <w:numPr>
          <w:ilvl w:val="0"/>
          <w:numId w:val="83"/>
        </w:numPr>
        <w:tabs>
          <w:tab w:val="left" w:pos="-2268"/>
        </w:tabs>
        <w:suppressAutoHyphens/>
        <w:ind w:left="567" w:hanging="567"/>
        <w:rPr>
          <w:rFonts w:cs="Arial"/>
          <w:spacing w:val="-3"/>
          <w:lang w:val="es-CO"/>
        </w:rPr>
      </w:pPr>
      <w:r w:rsidRPr="00BD1319">
        <w:rPr>
          <w:rFonts w:cs="Arial"/>
          <w:spacing w:val="-3"/>
          <w:lang w:val="es-CO"/>
        </w:rPr>
        <w:t>Frecuencia.</w:t>
      </w:r>
    </w:p>
    <w:p w14:paraId="6A3488AD" w14:textId="77777777" w:rsidR="007D2869" w:rsidRPr="00BD1319" w:rsidRDefault="007D2869" w:rsidP="007D2869">
      <w:pPr>
        <w:tabs>
          <w:tab w:val="left" w:pos="-2268"/>
        </w:tabs>
        <w:suppressAutoHyphens/>
        <w:rPr>
          <w:spacing w:val="-3"/>
        </w:rPr>
      </w:pPr>
    </w:p>
    <w:p w14:paraId="7C6C4011" w14:textId="77777777" w:rsidR="007D2869" w:rsidRPr="00BD1319" w:rsidRDefault="007D2869" w:rsidP="007D2869">
      <w:pPr>
        <w:pStyle w:val="Prrafodelista"/>
        <w:numPr>
          <w:ilvl w:val="0"/>
          <w:numId w:val="83"/>
        </w:numPr>
        <w:tabs>
          <w:tab w:val="left" w:pos="-2268"/>
        </w:tabs>
        <w:suppressAutoHyphens/>
        <w:ind w:left="567" w:hanging="567"/>
        <w:rPr>
          <w:rFonts w:cs="Arial"/>
          <w:spacing w:val="-3"/>
          <w:lang w:val="es-CO"/>
        </w:rPr>
      </w:pPr>
      <w:r w:rsidRPr="00BD1319">
        <w:rPr>
          <w:rFonts w:cs="Arial"/>
          <w:spacing w:val="-3"/>
          <w:lang w:val="es-CO"/>
        </w:rPr>
        <w:t>Abundancia.</w:t>
      </w:r>
    </w:p>
    <w:p w14:paraId="5FE2C99B" w14:textId="77777777" w:rsidR="007D2869" w:rsidRPr="00BD1319" w:rsidRDefault="007D2869" w:rsidP="007D2869">
      <w:pPr>
        <w:tabs>
          <w:tab w:val="left" w:pos="-2268"/>
        </w:tabs>
        <w:suppressAutoHyphens/>
        <w:rPr>
          <w:spacing w:val="-3"/>
        </w:rPr>
      </w:pPr>
    </w:p>
    <w:p w14:paraId="1A5D1BB3" w14:textId="77777777" w:rsidR="007D2869" w:rsidRPr="00BD1319" w:rsidRDefault="007D2869" w:rsidP="007D2869">
      <w:pPr>
        <w:pStyle w:val="Prrafodelista"/>
        <w:numPr>
          <w:ilvl w:val="0"/>
          <w:numId w:val="83"/>
        </w:numPr>
        <w:tabs>
          <w:tab w:val="left" w:pos="-2268"/>
        </w:tabs>
        <w:suppressAutoHyphens/>
        <w:ind w:left="567" w:hanging="567"/>
        <w:rPr>
          <w:rFonts w:cs="Arial"/>
          <w:spacing w:val="-3"/>
          <w:lang w:val="es-CO"/>
        </w:rPr>
      </w:pPr>
      <w:r w:rsidRPr="00BD1319">
        <w:rPr>
          <w:rFonts w:cs="Arial"/>
          <w:spacing w:val="-3"/>
          <w:lang w:val="es-CO"/>
        </w:rPr>
        <w:t>Dominancia.</w:t>
      </w:r>
    </w:p>
    <w:p w14:paraId="66A8DFE4" w14:textId="77777777" w:rsidR="00E92ED9" w:rsidRPr="00BD1319" w:rsidRDefault="00E92ED9" w:rsidP="008A4FE9">
      <w:pPr>
        <w:rPr>
          <w:rFonts w:cs="Arial"/>
          <w:spacing w:val="-3"/>
        </w:rPr>
      </w:pPr>
    </w:p>
    <w:p w14:paraId="54E169E9" w14:textId="7A4C8B1E" w:rsidR="00E92ED9" w:rsidRPr="00BD1319" w:rsidRDefault="00E92ED9" w:rsidP="00E92ED9">
      <w:pPr>
        <w:pStyle w:val="Prrafodelista"/>
        <w:numPr>
          <w:ilvl w:val="0"/>
          <w:numId w:val="83"/>
        </w:numPr>
        <w:tabs>
          <w:tab w:val="left" w:pos="-2268"/>
        </w:tabs>
        <w:suppressAutoHyphens/>
        <w:ind w:left="567" w:hanging="567"/>
        <w:rPr>
          <w:rFonts w:cs="Arial"/>
          <w:spacing w:val="-3"/>
          <w:lang w:val="es-CO"/>
        </w:rPr>
      </w:pPr>
      <w:r w:rsidRPr="00BD1319">
        <w:rPr>
          <w:rFonts w:cs="Arial"/>
          <w:spacing w:val="-3"/>
          <w:lang w:val="es-CO"/>
        </w:rPr>
        <w:t>Índice de Valor de Importancia (IVI)</w:t>
      </w:r>
    </w:p>
    <w:p w14:paraId="00FC5415" w14:textId="77777777" w:rsidR="007D2869" w:rsidRPr="00BD1319" w:rsidRDefault="007D2869" w:rsidP="007D2869">
      <w:pPr>
        <w:tabs>
          <w:tab w:val="left" w:pos="-2268"/>
        </w:tabs>
        <w:suppressAutoHyphens/>
        <w:rPr>
          <w:spacing w:val="-3"/>
        </w:rPr>
      </w:pPr>
    </w:p>
    <w:p w14:paraId="6B3269FD" w14:textId="77777777" w:rsidR="007D2869" w:rsidRPr="00BD1319" w:rsidRDefault="007D2869" w:rsidP="007D2869">
      <w:pPr>
        <w:pStyle w:val="Prrafodelista"/>
        <w:numPr>
          <w:ilvl w:val="0"/>
          <w:numId w:val="83"/>
        </w:numPr>
        <w:tabs>
          <w:tab w:val="left" w:pos="-2268"/>
        </w:tabs>
        <w:suppressAutoHyphens/>
        <w:ind w:left="567" w:hanging="567"/>
        <w:rPr>
          <w:rFonts w:cs="Arial"/>
          <w:spacing w:val="-3"/>
          <w:lang w:val="es-CO"/>
        </w:rPr>
      </w:pPr>
      <w:r w:rsidRPr="00BD1319">
        <w:rPr>
          <w:rFonts w:cs="Arial"/>
          <w:spacing w:val="-3"/>
          <w:lang w:val="es-CO"/>
        </w:rPr>
        <w:t xml:space="preserve">Estado </w:t>
      </w:r>
      <w:proofErr w:type="spellStart"/>
      <w:r w:rsidRPr="00BD1319">
        <w:rPr>
          <w:rFonts w:cs="Arial"/>
          <w:spacing w:val="-3"/>
          <w:lang w:val="es-CO"/>
        </w:rPr>
        <w:t>sucesional</w:t>
      </w:r>
      <w:proofErr w:type="spellEnd"/>
      <w:r w:rsidRPr="00BD1319">
        <w:rPr>
          <w:rFonts w:cs="Arial"/>
          <w:spacing w:val="-3"/>
          <w:lang w:val="es-CO"/>
        </w:rPr>
        <w:t>.</w:t>
      </w:r>
    </w:p>
    <w:p w14:paraId="0819103E" w14:textId="77777777" w:rsidR="007D2869" w:rsidRPr="00BD1319" w:rsidRDefault="007D2869" w:rsidP="007D2869">
      <w:pPr>
        <w:rPr>
          <w:spacing w:val="-3"/>
        </w:rPr>
      </w:pPr>
    </w:p>
    <w:p w14:paraId="4490C6CE" w14:textId="77777777" w:rsidR="007D2869" w:rsidRPr="00BD1319" w:rsidRDefault="007D2869" w:rsidP="007D2869">
      <w:pPr>
        <w:pStyle w:val="Prrafodelista"/>
        <w:numPr>
          <w:ilvl w:val="0"/>
          <w:numId w:val="83"/>
        </w:numPr>
        <w:tabs>
          <w:tab w:val="left" w:pos="-2268"/>
        </w:tabs>
        <w:suppressAutoHyphens/>
        <w:ind w:left="567" w:hanging="567"/>
        <w:rPr>
          <w:rFonts w:cs="Arial"/>
          <w:spacing w:val="-3"/>
          <w:lang w:val="es-CO"/>
        </w:rPr>
      </w:pPr>
      <w:r w:rsidRPr="00BD1319">
        <w:rPr>
          <w:rFonts w:cs="Arial"/>
          <w:spacing w:val="-3"/>
          <w:lang w:val="es-CO"/>
        </w:rPr>
        <w:t>Estructura horizontal y vertical.</w:t>
      </w:r>
    </w:p>
    <w:p w14:paraId="0127B417" w14:textId="77777777" w:rsidR="007D2869" w:rsidRPr="00BD1319" w:rsidRDefault="007D2869" w:rsidP="007D2869">
      <w:pPr>
        <w:tabs>
          <w:tab w:val="left" w:pos="-2268"/>
        </w:tabs>
        <w:suppressAutoHyphens/>
        <w:rPr>
          <w:spacing w:val="-3"/>
        </w:rPr>
      </w:pPr>
    </w:p>
    <w:p w14:paraId="6B34955E" w14:textId="20BA0A33" w:rsidR="007D2869" w:rsidRPr="00BD1319" w:rsidRDefault="007D2869" w:rsidP="007D2869">
      <w:pPr>
        <w:pStyle w:val="Prrafodelista"/>
        <w:numPr>
          <w:ilvl w:val="0"/>
          <w:numId w:val="83"/>
        </w:numPr>
        <w:tabs>
          <w:tab w:val="left" w:pos="-2268"/>
        </w:tabs>
        <w:suppressAutoHyphens/>
        <w:ind w:left="567" w:hanging="567"/>
        <w:rPr>
          <w:rFonts w:cs="Arial"/>
          <w:spacing w:val="-3"/>
          <w:lang w:val="es-CO"/>
        </w:rPr>
      </w:pPr>
      <w:r w:rsidRPr="00BD1319">
        <w:rPr>
          <w:rFonts w:cs="Arial"/>
          <w:spacing w:val="-3"/>
          <w:lang w:val="es-CO"/>
        </w:rPr>
        <w:t xml:space="preserve">Diagnóstico y análisis de la regeneración natural (descripción </w:t>
      </w:r>
      <w:proofErr w:type="spellStart"/>
      <w:r w:rsidRPr="00BD1319">
        <w:rPr>
          <w:rFonts w:cs="Arial"/>
          <w:spacing w:val="-3"/>
          <w:lang w:val="es-CO"/>
        </w:rPr>
        <w:t>sucesional</w:t>
      </w:r>
      <w:proofErr w:type="spellEnd"/>
      <w:r w:rsidRPr="00BD1319">
        <w:rPr>
          <w:rFonts w:cs="Arial"/>
          <w:spacing w:val="-3"/>
          <w:lang w:val="es-CO"/>
        </w:rPr>
        <w:t xml:space="preserve"> para brinzales y latizales)</w:t>
      </w:r>
      <w:r w:rsidR="00E92ED9" w:rsidRPr="00BD1319">
        <w:rPr>
          <w:rFonts w:cs="Arial"/>
          <w:spacing w:val="-3"/>
          <w:lang w:val="es-CO"/>
        </w:rPr>
        <w:t xml:space="preserve"> y de los individuos de helechos arborescentes con altura de tallo menor a </w:t>
      </w:r>
      <w:r w:rsidR="00377007" w:rsidRPr="00BD1319">
        <w:rPr>
          <w:rFonts w:cs="Arial"/>
          <w:spacing w:val="-3"/>
          <w:lang w:val="es-CO"/>
        </w:rPr>
        <w:t>1,5</w:t>
      </w:r>
      <w:r w:rsidR="00E92ED9" w:rsidRPr="00BD1319">
        <w:rPr>
          <w:rFonts w:cs="Arial"/>
          <w:spacing w:val="-3"/>
          <w:lang w:val="es-CO"/>
        </w:rPr>
        <w:t xml:space="preserve"> m</w:t>
      </w:r>
      <w:r w:rsidRPr="00BD1319">
        <w:rPr>
          <w:rFonts w:cs="Arial"/>
          <w:spacing w:val="-3"/>
          <w:lang w:val="es-CO"/>
        </w:rPr>
        <w:t>.</w:t>
      </w:r>
    </w:p>
    <w:p w14:paraId="1D11896D" w14:textId="77777777" w:rsidR="006B05FC" w:rsidRPr="00BD1319" w:rsidRDefault="006B05FC" w:rsidP="00C86DA5">
      <w:pPr>
        <w:tabs>
          <w:tab w:val="left" w:pos="-2268"/>
        </w:tabs>
        <w:suppressAutoHyphens/>
        <w:rPr>
          <w:rFonts w:cs="Arial"/>
          <w:spacing w:val="-3"/>
        </w:rPr>
      </w:pPr>
    </w:p>
    <w:p w14:paraId="1A14E796" w14:textId="2BD68632" w:rsidR="006B05FC" w:rsidRPr="00BD1319" w:rsidRDefault="00762F54" w:rsidP="009420F5">
      <w:r w:rsidRPr="00BD1319">
        <w:rPr>
          <w:rFonts w:cs="Arial"/>
          <w:spacing w:val="-3"/>
        </w:rPr>
        <w:t xml:space="preserve">Adicionalmente, </w:t>
      </w:r>
      <w:r w:rsidR="001E28F7" w:rsidRPr="00BD1319">
        <w:rPr>
          <w:rFonts w:cs="Arial"/>
          <w:spacing w:val="-3"/>
        </w:rPr>
        <w:t xml:space="preserve">se debe </w:t>
      </w:r>
      <w:r w:rsidR="00F4511E" w:rsidRPr="00BD1319">
        <w:rPr>
          <w:rFonts w:cs="Arial"/>
          <w:spacing w:val="-3"/>
        </w:rPr>
        <w:t xml:space="preserve">desarrollar </w:t>
      </w:r>
      <w:r w:rsidRPr="00BD1319">
        <w:rPr>
          <w:rFonts w:cs="Arial"/>
          <w:spacing w:val="-3"/>
        </w:rPr>
        <w:t xml:space="preserve">un </w:t>
      </w:r>
      <w:r w:rsidR="00F4511E" w:rsidRPr="00BD1319">
        <w:rPr>
          <w:rFonts w:cs="Arial"/>
          <w:spacing w:val="-3"/>
        </w:rPr>
        <w:t xml:space="preserve">registro </w:t>
      </w:r>
      <w:r w:rsidR="00482A5F" w:rsidRPr="00BD1319">
        <w:t>fotográfico</w:t>
      </w:r>
      <w:r w:rsidR="00F4511E" w:rsidRPr="00BD1319">
        <w:rPr>
          <w:rStyle w:val="Refdenotaalpie"/>
          <w:rFonts w:cs="Arial"/>
          <w:spacing w:val="-3"/>
          <w:lang w:val="es-CO"/>
        </w:rPr>
        <w:footnoteReference w:id="127"/>
      </w:r>
      <w:r w:rsidR="00482A5F" w:rsidRPr="00BD1319">
        <w:t xml:space="preserve"> de las especies </w:t>
      </w:r>
      <w:r w:rsidR="00F4511E" w:rsidRPr="00BD1319">
        <w:t xml:space="preserve">en veda </w:t>
      </w:r>
      <w:r w:rsidR="00DC0FDD" w:rsidRPr="00BD1319">
        <w:t>registradas</w:t>
      </w:r>
      <w:r w:rsidR="008468BF" w:rsidRPr="00BD1319">
        <w:t xml:space="preserve"> </w:t>
      </w:r>
      <w:r w:rsidR="00482A5F" w:rsidRPr="00BD1319">
        <w:t xml:space="preserve">en campo </w:t>
      </w:r>
      <w:r w:rsidR="008468BF" w:rsidRPr="00BD1319">
        <w:t xml:space="preserve">con el siguiente </w:t>
      </w:r>
      <w:r w:rsidR="00482A5F" w:rsidRPr="00BD1319">
        <w:t>conten</w:t>
      </w:r>
      <w:r w:rsidR="008468BF" w:rsidRPr="00BD1319">
        <w:t>ido</w:t>
      </w:r>
      <w:r w:rsidR="00482A5F" w:rsidRPr="00BD1319">
        <w:t>:</w:t>
      </w:r>
    </w:p>
    <w:p w14:paraId="5FC4C05F" w14:textId="77777777" w:rsidR="006B05FC" w:rsidRPr="00BD1319" w:rsidRDefault="006B05FC">
      <w:pPr>
        <w:tabs>
          <w:tab w:val="left" w:pos="-2268"/>
        </w:tabs>
        <w:suppressAutoHyphens/>
        <w:rPr>
          <w:rFonts w:cs="Arial"/>
          <w:spacing w:val="-3"/>
        </w:rPr>
      </w:pPr>
    </w:p>
    <w:p w14:paraId="68A52D75" w14:textId="3E13C3E2" w:rsidR="00F4511E" w:rsidRPr="00BD1319" w:rsidRDefault="00267F5D" w:rsidP="00267F5D">
      <w:pPr>
        <w:pStyle w:val="Prrafodelista"/>
        <w:numPr>
          <w:ilvl w:val="0"/>
          <w:numId w:val="83"/>
        </w:numPr>
        <w:tabs>
          <w:tab w:val="left" w:pos="-2268"/>
        </w:tabs>
        <w:suppressAutoHyphens/>
        <w:ind w:left="567" w:hanging="567"/>
        <w:rPr>
          <w:rFonts w:cs="Arial"/>
          <w:spacing w:val="-3"/>
          <w:lang w:val="es-CO"/>
        </w:rPr>
      </w:pPr>
      <w:r w:rsidRPr="00BD1319">
        <w:rPr>
          <w:rFonts w:cs="Arial"/>
          <w:spacing w:val="-3"/>
          <w:lang w:val="es-CO"/>
        </w:rPr>
        <w:lastRenderedPageBreak/>
        <w:t>F</w:t>
      </w:r>
      <w:r w:rsidR="00F4511E" w:rsidRPr="00BD1319">
        <w:rPr>
          <w:rFonts w:cs="Arial"/>
          <w:spacing w:val="-3"/>
          <w:lang w:val="es-CO"/>
        </w:rPr>
        <w:t>otografía</w:t>
      </w:r>
      <w:r w:rsidR="00F4511E" w:rsidRPr="00BD1319" w:rsidDel="00F4511E">
        <w:rPr>
          <w:rFonts w:cs="Arial"/>
          <w:spacing w:val="-3"/>
          <w:lang w:val="es-CO"/>
        </w:rPr>
        <w:t xml:space="preserve"> </w:t>
      </w:r>
      <w:r w:rsidR="00482A5F" w:rsidRPr="00BD1319">
        <w:rPr>
          <w:rFonts w:cs="Arial"/>
          <w:spacing w:val="-3"/>
          <w:lang w:val="es-CO"/>
        </w:rPr>
        <w:t>del espécimen observado en campo</w:t>
      </w:r>
      <w:r w:rsidR="009B769C" w:rsidRPr="00BD1319">
        <w:rPr>
          <w:rFonts w:cs="Arial"/>
          <w:spacing w:val="-3"/>
          <w:lang w:val="es-CO"/>
        </w:rPr>
        <w:t>;</w:t>
      </w:r>
      <w:r w:rsidR="00482A5F" w:rsidRPr="00BD1319">
        <w:rPr>
          <w:rFonts w:cs="Arial"/>
          <w:spacing w:val="-3"/>
          <w:lang w:val="es-CO"/>
        </w:rPr>
        <w:t xml:space="preserve"> </w:t>
      </w:r>
      <w:r w:rsidR="009B769C" w:rsidRPr="00BD1319">
        <w:rPr>
          <w:rFonts w:cs="Arial"/>
          <w:spacing w:val="-3"/>
          <w:lang w:val="es-CO"/>
        </w:rPr>
        <w:t xml:space="preserve">es posible </w:t>
      </w:r>
      <w:r w:rsidR="00F4511E" w:rsidRPr="00BD1319">
        <w:rPr>
          <w:rFonts w:cs="Arial"/>
          <w:spacing w:val="-3"/>
          <w:lang w:val="es-CO"/>
        </w:rPr>
        <w:t xml:space="preserve">presentar fotografías adicionales </w:t>
      </w:r>
      <w:r w:rsidR="009B769C" w:rsidRPr="00BD1319">
        <w:rPr>
          <w:rFonts w:cs="Arial"/>
          <w:spacing w:val="-3"/>
          <w:lang w:val="es-CO"/>
        </w:rPr>
        <w:t xml:space="preserve">tomadas en </w:t>
      </w:r>
      <w:r w:rsidR="00F4511E" w:rsidRPr="00BD1319">
        <w:rPr>
          <w:rFonts w:cs="Arial"/>
          <w:spacing w:val="-3"/>
          <w:lang w:val="es-CO"/>
        </w:rPr>
        <w:t xml:space="preserve">campo o </w:t>
      </w:r>
      <w:r w:rsidR="009B769C" w:rsidRPr="00BD1319">
        <w:rPr>
          <w:rFonts w:cs="Arial"/>
          <w:spacing w:val="-3"/>
          <w:lang w:val="es-CO"/>
        </w:rPr>
        <w:t xml:space="preserve">en </w:t>
      </w:r>
      <w:r w:rsidR="00F4511E" w:rsidRPr="00BD1319">
        <w:rPr>
          <w:rFonts w:cs="Arial"/>
          <w:spacing w:val="-3"/>
          <w:lang w:val="es-CO"/>
        </w:rPr>
        <w:t>laboratorio.</w:t>
      </w:r>
      <w:r w:rsidRPr="00BD1319">
        <w:rPr>
          <w:rFonts w:cs="Arial"/>
          <w:spacing w:val="-3"/>
          <w:lang w:val="es-CO"/>
        </w:rPr>
        <w:t xml:space="preserve"> Las fotografías deben contar con una resolución que permita la observación de los caracteres diagnósticos o caracteres con que cuente el espécimen en el momento de la toma del registro fotográfico.</w:t>
      </w:r>
    </w:p>
    <w:p w14:paraId="2C08320C" w14:textId="77777777" w:rsidR="00F4511E" w:rsidRPr="00BD1319" w:rsidRDefault="00F4511E" w:rsidP="008A4FE9">
      <w:pPr>
        <w:ind w:left="1134" w:hanging="567"/>
        <w:rPr>
          <w:rFonts w:cs="Arial"/>
          <w:spacing w:val="-3"/>
        </w:rPr>
      </w:pPr>
    </w:p>
    <w:p w14:paraId="68E8CC15" w14:textId="700F308B" w:rsidR="00482A5F" w:rsidRPr="00BD1319" w:rsidRDefault="00F4511E" w:rsidP="008A4FE9">
      <w:pPr>
        <w:tabs>
          <w:tab w:val="left" w:pos="-2268"/>
        </w:tabs>
        <w:suppressAutoHyphens/>
        <w:ind w:left="567"/>
        <w:rPr>
          <w:iCs/>
          <w:spacing w:val="-3"/>
        </w:rPr>
      </w:pPr>
      <w:r w:rsidRPr="00BD1319">
        <w:rPr>
          <w:iCs/>
          <w:spacing w:val="-3"/>
        </w:rPr>
        <w:t>La fotografía principal (fotografía de campo) debe registrar en la medida de las posibilidades, la arquitectura, fisionomía y estructuras reproductivas de la especie</w:t>
      </w:r>
      <w:r w:rsidR="00267F5D" w:rsidRPr="00BD1319">
        <w:rPr>
          <w:iCs/>
          <w:spacing w:val="-3"/>
        </w:rPr>
        <w:t>.</w:t>
      </w:r>
      <w:r w:rsidRPr="00BD1319">
        <w:rPr>
          <w:iCs/>
          <w:spacing w:val="-3"/>
        </w:rPr>
        <w:t xml:space="preserve"> </w:t>
      </w:r>
      <w:r w:rsidR="00267F5D" w:rsidRPr="00BD1319">
        <w:rPr>
          <w:iCs/>
          <w:spacing w:val="-3"/>
        </w:rPr>
        <w:t>L</w:t>
      </w:r>
      <w:r w:rsidRPr="00BD1319">
        <w:rPr>
          <w:iCs/>
          <w:spacing w:val="-3"/>
        </w:rPr>
        <w:t xml:space="preserve">as fotografías adicionales se pueden presentar para registrar </w:t>
      </w:r>
      <w:r w:rsidR="00795ECB" w:rsidRPr="00BD1319">
        <w:rPr>
          <w:iCs/>
          <w:spacing w:val="-3"/>
        </w:rPr>
        <w:t xml:space="preserve">los </w:t>
      </w:r>
      <w:r w:rsidRPr="00BD1319">
        <w:rPr>
          <w:iCs/>
          <w:spacing w:val="-3"/>
        </w:rPr>
        <w:t xml:space="preserve">detalles de caracteres tipo </w:t>
      </w:r>
      <w:r w:rsidR="00795ECB" w:rsidRPr="00BD1319">
        <w:rPr>
          <w:iCs/>
          <w:spacing w:val="-3"/>
        </w:rPr>
        <w:t xml:space="preserve">con los que cuente el espécimen en el momento de toma de la fotografía </w:t>
      </w:r>
      <w:r w:rsidRPr="00BD1319">
        <w:rPr>
          <w:iCs/>
          <w:spacing w:val="-3"/>
        </w:rPr>
        <w:t xml:space="preserve">que </w:t>
      </w:r>
      <w:r w:rsidR="00795ECB" w:rsidRPr="00BD1319">
        <w:rPr>
          <w:iCs/>
          <w:spacing w:val="-3"/>
        </w:rPr>
        <w:t>resulten de importancia</w:t>
      </w:r>
      <w:r w:rsidRPr="00BD1319">
        <w:rPr>
          <w:iCs/>
          <w:spacing w:val="-3"/>
        </w:rPr>
        <w:t xml:space="preserve"> para su </w:t>
      </w:r>
      <w:r w:rsidR="00B91C6B" w:rsidRPr="00BD1319">
        <w:rPr>
          <w:iCs/>
          <w:spacing w:val="-3"/>
        </w:rPr>
        <w:t xml:space="preserve">determinación </w:t>
      </w:r>
      <w:r w:rsidRPr="00BD1319">
        <w:rPr>
          <w:iCs/>
          <w:spacing w:val="-3"/>
        </w:rPr>
        <w:t>(</w:t>
      </w:r>
      <w:r w:rsidR="0059324C" w:rsidRPr="00BD1319">
        <w:rPr>
          <w:iCs/>
          <w:spacing w:val="-3"/>
        </w:rPr>
        <w:t>hojas, yemas, flores, frutos, semillas, corteza, escamas, frondas, forma de crecimiento, estructuras reproductivas, entre otros</w:t>
      </w:r>
      <w:r w:rsidRPr="00BD1319">
        <w:rPr>
          <w:iCs/>
          <w:spacing w:val="-3"/>
        </w:rPr>
        <w:t>).</w:t>
      </w:r>
    </w:p>
    <w:p w14:paraId="4C15149E" w14:textId="77777777" w:rsidR="006B05FC" w:rsidRPr="00BD1319" w:rsidRDefault="006B05FC" w:rsidP="009420F5">
      <w:pPr>
        <w:tabs>
          <w:tab w:val="left" w:pos="-2268"/>
        </w:tabs>
        <w:suppressAutoHyphens/>
        <w:rPr>
          <w:rFonts w:cs="Arial"/>
          <w:spacing w:val="-3"/>
        </w:rPr>
      </w:pPr>
    </w:p>
    <w:p w14:paraId="45EA3013" w14:textId="279AA610" w:rsidR="00482A5F" w:rsidRPr="00BD1319" w:rsidRDefault="00482A5F" w:rsidP="00267F5D">
      <w:pPr>
        <w:pStyle w:val="Prrafodelista"/>
        <w:tabs>
          <w:tab w:val="left" w:pos="-2268"/>
        </w:tabs>
        <w:suppressAutoHyphens/>
        <w:ind w:left="567"/>
        <w:rPr>
          <w:rFonts w:cs="Arial"/>
          <w:spacing w:val="-3"/>
          <w:lang w:val="es-CO"/>
        </w:rPr>
      </w:pPr>
      <w:r w:rsidRPr="00BD1319">
        <w:rPr>
          <w:rFonts w:cs="Arial"/>
          <w:spacing w:val="-3"/>
          <w:lang w:val="es-CO"/>
        </w:rPr>
        <w:t xml:space="preserve">Las fotografías deben </w:t>
      </w:r>
      <w:r w:rsidR="00533557" w:rsidRPr="00BD1319">
        <w:rPr>
          <w:rFonts w:cs="Arial"/>
          <w:spacing w:val="-3"/>
          <w:lang w:val="es-CO"/>
        </w:rPr>
        <w:t xml:space="preserve">tener orientación </w:t>
      </w:r>
      <w:r w:rsidRPr="00BD1319">
        <w:rPr>
          <w:rFonts w:cs="Arial"/>
          <w:spacing w:val="-3"/>
          <w:lang w:val="es-CO"/>
        </w:rPr>
        <w:t>vertical.</w:t>
      </w:r>
    </w:p>
    <w:p w14:paraId="75426B32" w14:textId="77777777" w:rsidR="001D0083" w:rsidRPr="00BD1319" w:rsidRDefault="001D0083" w:rsidP="009420F5">
      <w:pPr>
        <w:tabs>
          <w:tab w:val="left" w:pos="-2268"/>
        </w:tabs>
        <w:suppressAutoHyphens/>
        <w:rPr>
          <w:rFonts w:cs="Arial"/>
          <w:spacing w:val="-3"/>
        </w:rPr>
      </w:pPr>
    </w:p>
    <w:p w14:paraId="7B548A16" w14:textId="69E5342F" w:rsidR="001D0083" w:rsidRPr="00BD1319" w:rsidRDefault="001D0083" w:rsidP="001D0083">
      <w:pPr>
        <w:pStyle w:val="Prrafodelista"/>
        <w:numPr>
          <w:ilvl w:val="0"/>
          <w:numId w:val="83"/>
        </w:numPr>
        <w:tabs>
          <w:tab w:val="left" w:pos="-2268"/>
        </w:tabs>
        <w:suppressAutoHyphens/>
        <w:ind w:left="567" w:hanging="567"/>
        <w:rPr>
          <w:rFonts w:cs="Arial"/>
          <w:spacing w:val="-3"/>
          <w:lang w:val="es-CO"/>
        </w:rPr>
      </w:pPr>
      <w:r w:rsidRPr="00BD1319">
        <w:rPr>
          <w:rFonts w:cs="Arial"/>
          <w:spacing w:val="-3"/>
          <w:lang w:val="es-CO"/>
        </w:rPr>
        <w:t>Coordenadas de localización y fecha de captura de la</w:t>
      </w:r>
      <w:r w:rsidR="00795ECB" w:rsidRPr="00BD1319">
        <w:rPr>
          <w:rFonts w:cs="Arial"/>
          <w:spacing w:val="-3"/>
          <w:lang w:val="es-CO"/>
        </w:rPr>
        <w:t xml:space="preserve"> fotografía en campo</w:t>
      </w:r>
      <w:r w:rsidRPr="00BD1319">
        <w:rPr>
          <w:rFonts w:cs="Arial"/>
          <w:spacing w:val="-3"/>
          <w:lang w:val="es-CO"/>
        </w:rPr>
        <w:t>.</w:t>
      </w:r>
    </w:p>
    <w:p w14:paraId="49D449E5" w14:textId="77777777" w:rsidR="00163A42" w:rsidRPr="00BD1319" w:rsidRDefault="00163A42" w:rsidP="00C86DA5">
      <w:pPr>
        <w:tabs>
          <w:tab w:val="left" w:pos="-2268"/>
        </w:tabs>
        <w:suppressAutoHyphens/>
        <w:rPr>
          <w:rFonts w:cs="Arial"/>
          <w:spacing w:val="-3"/>
        </w:rPr>
      </w:pPr>
    </w:p>
    <w:p w14:paraId="6CAD625E" w14:textId="6FF15E50" w:rsidR="00482A5F" w:rsidRPr="00BD1319" w:rsidRDefault="00E25ED6" w:rsidP="00482A5F">
      <w:pPr>
        <w:tabs>
          <w:tab w:val="left" w:pos="-2268"/>
        </w:tabs>
        <w:suppressAutoHyphens/>
        <w:rPr>
          <w:rFonts w:cs="Arial"/>
          <w:spacing w:val="-3"/>
        </w:rPr>
      </w:pPr>
      <w:r w:rsidRPr="00BD1319">
        <w:rPr>
          <w:rFonts w:cs="Arial"/>
          <w:spacing w:val="-3"/>
        </w:rPr>
        <w:t xml:space="preserve">Se </w:t>
      </w:r>
      <w:r w:rsidR="0034441C" w:rsidRPr="00BD1319">
        <w:rPr>
          <w:rFonts w:cs="Arial"/>
          <w:spacing w:val="-3"/>
        </w:rPr>
        <w:t>de</w:t>
      </w:r>
      <w:r w:rsidRPr="00BD1319">
        <w:rPr>
          <w:rFonts w:cs="Arial"/>
          <w:spacing w:val="-3"/>
        </w:rPr>
        <w:t>be</w:t>
      </w:r>
      <w:r w:rsidR="0034441C" w:rsidRPr="00BD1319">
        <w:rPr>
          <w:rFonts w:cs="Arial"/>
          <w:spacing w:val="-3"/>
        </w:rPr>
        <w:t xml:space="preserve"> </w:t>
      </w:r>
      <w:r w:rsidR="009400B2" w:rsidRPr="00BD1319">
        <w:rPr>
          <w:rFonts w:cs="Arial"/>
          <w:spacing w:val="-3"/>
        </w:rPr>
        <w:t xml:space="preserve">verificar </w:t>
      </w:r>
      <w:r w:rsidR="00482A5F" w:rsidRPr="00BD1319">
        <w:rPr>
          <w:rFonts w:cs="Arial"/>
          <w:spacing w:val="-3"/>
        </w:rPr>
        <w:t xml:space="preserve">la </w:t>
      </w:r>
      <w:r w:rsidR="00B91C6B" w:rsidRPr="00BD1319">
        <w:rPr>
          <w:rFonts w:cs="Arial"/>
          <w:spacing w:val="-3"/>
        </w:rPr>
        <w:t>determinación</w:t>
      </w:r>
      <w:r w:rsidRPr="00BD1319">
        <w:rPr>
          <w:rFonts w:cs="Arial"/>
          <w:spacing w:val="-3"/>
        </w:rPr>
        <w:t>,</w:t>
      </w:r>
      <w:r w:rsidR="00B91C6B" w:rsidRPr="00BD1319">
        <w:rPr>
          <w:rFonts w:cs="Arial"/>
          <w:spacing w:val="-3"/>
        </w:rPr>
        <w:t xml:space="preserve"> </w:t>
      </w:r>
      <w:r w:rsidR="00482A5F" w:rsidRPr="00BD1319">
        <w:rPr>
          <w:rFonts w:cs="Arial"/>
          <w:spacing w:val="-3"/>
        </w:rPr>
        <w:t xml:space="preserve">características </w:t>
      </w:r>
      <w:r w:rsidRPr="00BD1319">
        <w:rPr>
          <w:rFonts w:cs="Arial"/>
          <w:spacing w:val="-3"/>
        </w:rPr>
        <w:t xml:space="preserve">y distribución </w:t>
      </w:r>
      <w:r w:rsidR="00482A5F" w:rsidRPr="00BD1319">
        <w:rPr>
          <w:rFonts w:cs="Arial"/>
          <w:spacing w:val="-3"/>
        </w:rPr>
        <w:t>de las especies en veda</w:t>
      </w:r>
      <w:r w:rsidR="00533557" w:rsidRPr="00BD1319">
        <w:rPr>
          <w:rFonts w:cs="Arial"/>
          <w:spacing w:val="-3"/>
        </w:rPr>
        <w:t xml:space="preserve"> </w:t>
      </w:r>
      <w:r w:rsidRPr="00BD1319">
        <w:rPr>
          <w:rFonts w:cs="Arial"/>
          <w:spacing w:val="-3"/>
        </w:rPr>
        <w:t xml:space="preserve">mediante la </w:t>
      </w:r>
      <w:r w:rsidR="00533557" w:rsidRPr="00BD1319">
        <w:rPr>
          <w:rFonts w:cs="Arial"/>
          <w:spacing w:val="-3"/>
        </w:rPr>
        <w:t>consulta</w:t>
      </w:r>
      <w:r w:rsidRPr="00BD1319">
        <w:rPr>
          <w:rFonts w:cs="Arial"/>
          <w:spacing w:val="-3"/>
        </w:rPr>
        <w:t xml:space="preserve"> de</w:t>
      </w:r>
      <w:r w:rsidR="00533557" w:rsidRPr="00BD1319">
        <w:rPr>
          <w:rFonts w:cs="Arial"/>
          <w:spacing w:val="-3"/>
        </w:rPr>
        <w:t xml:space="preserve"> información de </w:t>
      </w:r>
      <w:r w:rsidR="0035504E" w:rsidRPr="00BD1319">
        <w:rPr>
          <w:rFonts w:cs="Arial"/>
          <w:spacing w:val="-3"/>
        </w:rPr>
        <w:t>a</w:t>
      </w:r>
      <w:r w:rsidR="00533557" w:rsidRPr="00BD1319">
        <w:rPr>
          <w:rFonts w:cs="Arial"/>
          <w:spacing w:val="-3"/>
        </w:rPr>
        <w:t xml:space="preserve">utoridades </w:t>
      </w:r>
      <w:r w:rsidR="0035504E" w:rsidRPr="00BD1319">
        <w:rPr>
          <w:rFonts w:cs="Arial"/>
          <w:spacing w:val="-3"/>
        </w:rPr>
        <w:t>a</w:t>
      </w:r>
      <w:r w:rsidR="00533557" w:rsidRPr="00BD1319">
        <w:rPr>
          <w:rFonts w:cs="Arial"/>
          <w:spacing w:val="-3"/>
        </w:rPr>
        <w:t xml:space="preserve">mbientales, </w:t>
      </w:r>
      <w:r w:rsidR="0035504E" w:rsidRPr="00BD1319">
        <w:rPr>
          <w:rFonts w:cs="Arial"/>
          <w:spacing w:val="-3"/>
        </w:rPr>
        <w:t xml:space="preserve">institutos de investigación y otras </w:t>
      </w:r>
      <w:r w:rsidR="00533557" w:rsidRPr="00BD1319">
        <w:rPr>
          <w:rFonts w:cs="Arial"/>
          <w:spacing w:val="-3"/>
        </w:rPr>
        <w:t>entidades especializadas en el tema</w:t>
      </w:r>
      <w:r w:rsidR="0000766D" w:rsidRPr="00BD1319">
        <w:rPr>
          <w:rFonts w:cs="Arial"/>
          <w:spacing w:val="-3"/>
        </w:rPr>
        <w:t xml:space="preserve">, así como </w:t>
      </w:r>
      <w:r w:rsidR="00E92ED9" w:rsidRPr="00BD1319">
        <w:rPr>
          <w:rFonts w:cs="Arial"/>
          <w:spacing w:val="-3"/>
        </w:rPr>
        <w:t xml:space="preserve">mencionar </w:t>
      </w:r>
      <w:r w:rsidR="0000766D" w:rsidRPr="00BD1319">
        <w:rPr>
          <w:rFonts w:cs="Arial"/>
          <w:spacing w:val="-3"/>
        </w:rPr>
        <w:t>qué información fue consultada para este efecto</w:t>
      </w:r>
      <w:r w:rsidR="00482A5F" w:rsidRPr="00BD1319">
        <w:rPr>
          <w:rFonts w:cs="Arial"/>
          <w:spacing w:val="-3"/>
        </w:rPr>
        <w:t>. A continuación, se relacionan algun</w:t>
      </w:r>
      <w:r w:rsidR="00794657" w:rsidRPr="00BD1319">
        <w:rPr>
          <w:rFonts w:cs="Arial"/>
          <w:spacing w:val="-3"/>
        </w:rPr>
        <w:t>o</w:t>
      </w:r>
      <w:r w:rsidR="00482A5F" w:rsidRPr="00BD1319">
        <w:rPr>
          <w:rFonts w:cs="Arial"/>
          <w:spacing w:val="-3"/>
        </w:rPr>
        <w:t xml:space="preserve">s </w:t>
      </w:r>
      <w:r w:rsidR="00794657" w:rsidRPr="00BD1319">
        <w:rPr>
          <w:rFonts w:cs="Arial"/>
          <w:spacing w:val="-3"/>
        </w:rPr>
        <w:t xml:space="preserve">actos administrativos </w:t>
      </w:r>
      <w:r w:rsidR="0035504E" w:rsidRPr="00BD1319">
        <w:rPr>
          <w:rFonts w:cs="Arial"/>
          <w:spacing w:val="-3"/>
        </w:rPr>
        <w:t xml:space="preserve">que </w:t>
      </w:r>
      <w:r w:rsidR="00794657" w:rsidRPr="00BD1319">
        <w:rPr>
          <w:rFonts w:cs="Arial"/>
          <w:spacing w:val="-3"/>
        </w:rPr>
        <w:t>establecen especies vedadas</w:t>
      </w:r>
      <w:r w:rsidR="00482A5F" w:rsidRPr="00BD1319">
        <w:rPr>
          <w:rFonts w:cs="Arial"/>
          <w:spacing w:val="-3"/>
        </w:rPr>
        <w:t>.</w:t>
      </w:r>
    </w:p>
    <w:p w14:paraId="04A28673" w14:textId="77777777" w:rsidR="008002C8" w:rsidRPr="00BD1319" w:rsidRDefault="008002C8" w:rsidP="00482A5F">
      <w:pPr>
        <w:tabs>
          <w:tab w:val="left" w:pos="-2268"/>
        </w:tabs>
        <w:suppressAutoHyphens/>
        <w:rPr>
          <w:rFonts w:cs="Arial"/>
          <w:spacing w:val="-3"/>
        </w:rPr>
      </w:pPr>
    </w:p>
    <w:p w14:paraId="6A78180C" w14:textId="300C13C3" w:rsidR="00482A5F" w:rsidRPr="00BD1319" w:rsidRDefault="00482A5F" w:rsidP="00482A5F">
      <w:pPr>
        <w:numPr>
          <w:ilvl w:val="12"/>
          <w:numId w:val="0"/>
        </w:numPr>
        <w:tabs>
          <w:tab w:val="left" w:pos="-2268"/>
        </w:tabs>
        <w:suppressAutoHyphens/>
        <w:jc w:val="center"/>
        <w:rPr>
          <w:rFonts w:cs="Arial"/>
          <w:spacing w:val="-3"/>
        </w:rPr>
      </w:pPr>
      <w:r w:rsidRPr="00BD1319">
        <w:rPr>
          <w:rFonts w:cs="Arial"/>
          <w:b/>
          <w:spacing w:val="-3"/>
        </w:rPr>
        <w:t xml:space="preserve">Tabla </w:t>
      </w:r>
      <w:r w:rsidRPr="00BD1319">
        <w:rPr>
          <w:rFonts w:cs="Arial"/>
          <w:b/>
          <w:spacing w:val="-3"/>
        </w:rPr>
        <w:fldChar w:fldCharType="begin"/>
      </w:r>
      <w:r w:rsidRPr="00BD1319">
        <w:rPr>
          <w:rFonts w:cs="Arial"/>
          <w:b/>
          <w:spacing w:val="-3"/>
        </w:rPr>
        <w:instrText xml:space="preserve"> SEQ Tabla \* ARABIC </w:instrText>
      </w:r>
      <w:r w:rsidRPr="00BD1319">
        <w:rPr>
          <w:rFonts w:cs="Arial"/>
          <w:b/>
          <w:spacing w:val="-3"/>
        </w:rPr>
        <w:fldChar w:fldCharType="separate"/>
      </w:r>
      <w:r w:rsidR="00296654" w:rsidRPr="00BD1319">
        <w:rPr>
          <w:rFonts w:cs="Arial"/>
          <w:b/>
          <w:noProof/>
          <w:spacing w:val="-3"/>
        </w:rPr>
        <w:t>23</w:t>
      </w:r>
      <w:r w:rsidRPr="00BD1319">
        <w:rPr>
          <w:rFonts w:cs="Arial"/>
          <w:b/>
          <w:spacing w:val="-3"/>
        </w:rPr>
        <w:fldChar w:fldCharType="end"/>
      </w:r>
      <w:r w:rsidRPr="00BD1319">
        <w:rPr>
          <w:rFonts w:cs="Arial"/>
          <w:b/>
          <w:spacing w:val="-3"/>
        </w:rPr>
        <w:t>.</w:t>
      </w:r>
      <w:r w:rsidRPr="00BD1319">
        <w:rPr>
          <w:rFonts w:cs="Arial"/>
          <w:spacing w:val="-3"/>
        </w:rPr>
        <w:t xml:space="preserve"> </w:t>
      </w:r>
      <w:r w:rsidR="001D46E7" w:rsidRPr="00BD1319">
        <w:rPr>
          <w:rFonts w:cs="Arial"/>
          <w:spacing w:val="-3"/>
        </w:rPr>
        <w:t xml:space="preserve">Algunos actos administrativos que establecen especies </w:t>
      </w:r>
      <w:r w:rsidRPr="00BD1319">
        <w:rPr>
          <w:rFonts w:cs="Arial"/>
          <w:spacing w:val="-3"/>
        </w:rPr>
        <w:t>de plantas arbóreas y helechos arborescentes en veda</w:t>
      </w:r>
    </w:p>
    <w:tbl>
      <w:tblPr>
        <w:tblW w:w="89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32"/>
        <w:gridCol w:w="5271"/>
      </w:tblGrid>
      <w:tr w:rsidR="00482A5F" w:rsidRPr="00BD1319" w14:paraId="531D6838" w14:textId="77777777" w:rsidTr="009420F5">
        <w:trPr>
          <w:trHeight w:val="549"/>
          <w:tblHeader/>
          <w:jc w:val="center"/>
        </w:trPr>
        <w:tc>
          <w:tcPr>
            <w:tcW w:w="3632" w:type="dxa"/>
            <w:shd w:val="clear" w:color="auto" w:fill="auto"/>
            <w:vAlign w:val="center"/>
          </w:tcPr>
          <w:p w14:paraId="48945F1A" w14:textId="5FBB7335" w:rsidR="00482A5F" w:rsidRPr="00BD1319" w:rsidRDefault="00533557">
            <w:pPr>
              <w:numPr>
                <w:ilvl w:val="12"/>
                <w:numId w:val="0"/>
              </w:numPr>
              <w:tabs>
                <w:tab w:val="left" w:pos="-2268"/>
              </w:tabs>
              <w:suppressAutoHyphens/>
              <w:jc w:val="center"/>
              <w:rPr>
                <w:rFonts w:cs="Arial"/>
                <w:b/>
                <w:spacing w:val="-3"/>
                <w:sz w:val="20"/>
                <w:szCs w:val="20"/>
              </w:rPr>
            </w:pPr>
            <w:r w:rsidRPr="00BD1319">
              <w:rPr>
                <w:rFonts w:cs="Arial"/>
                <w:b/>
                <w:spacing w:val="-3"/>
                <w:sz w:val="20"/>
                <w:szCs w:val="20"/>
              </w:rPr>
              <w:t>Resolución</w:t>
            </w:r>
            <w:r w:rsidR="00B655A8" w:rsidRPr="00BD1319">
              <w:rPr>
                <w:rFonts w:cs="Arial"/>
                <w:b/>
                <w:spacing w:val="-3"/>
                <w:sz w:val="20"/>
                <w:szCs w:val="20"/>
              </w:rPr>
              <w:t xml:space="preserve"> / Acto administrativo</w:t>
            </w:r>
          </w:p>
        </w:tc>
        <w:tc>
          <w:tcPr>
            <w:tcW w:w="5271" w:type="dxa"/>
            <w:shd w:val="clear" w:color="auto" w:fill="auto"/>
            <w:vAlign w:val="center"/>
          </w:tcPr>
          <w:p w14:paraId="7F113B50" w14:textId="353F977D" w:rsidR="00482A5F" w:rsidRPr="00BD1319" w:rsidRDefault="00533557">
            <w:pPr>
              <w:numPr>
                <w:ilvl w:val="12"/>
                <w:numId w:val="0"/>
              </w:numPr>
              <w:tabs>
                <w:tab w:val="left" w:pos="-2268"/>
              </w:tabs>
              <w:suppressAutoHyphens/>
              <w:jc w:val="center"/>
              <w:rPr>
                <w:rFonts w:cs="Arial"/>
                <w:b/>
                <w:spacing w:val="-3"/>
                <w:sz w:val="20"/>
                <w:szCs w:val="20"/>
              </w:rPr>
            </w:pPr>
            <w:r w:rsidRPr="00BD1319">
              <w:rPr>
                <w:rFonts w:cs="Arial"/>
                <w:b/>
                <w:spacing w:val="-3"/>
                <w:sz w:val="20"/>
                <w:szCs w:val="20"/>
              </w:rPr>
              <w:t>Objeto de veda</w:t>
            </w:r>
          </w:p>
        </w:tc>
      </w:tr>
      <w:tr w:rsidR="00482A5F" w:rsidRPr="00BD1319" w14:paraId="07C01239" w14:textId="77777777" w:rsidTr="009420F5">
        <w:trPr>
          <w:trHeight w:val="220"/>
          <w:jc w:val="center"/>
        </w:trPr>
        <w:tc>
          <w:tcPr>
            <w:tcW w:w="3632" w:type="dxa"/>
            <w:shd w:val="clear" w:color="auto" w:fill="auto"/>
            <w:vAlign w:val="center"/>
          </w:tcPr>
          <w:p w14:paraId="79C7F07D" w14:textId="0F4FC1D9" w:rsidR="00482A5F" w:rsidRPr="00BD1319" w:rsidRDefault="00482A5F">
            <w:pPr>
              <w:numPr>
                <w:ilvl w:val="12"/>
                <w:numId w:val="0"/>
              </w:numPr>
              <w:tabs>
                <w:tab w:val="left" w:pos="-2268"/>
              </w:tabs>
              <w:suppressAutoHyphens/>
              <w:rPr>
                <w:rFonts w:cs="Arial"/>
                <w:spacing w:val="-3"/>
                <w:sz w:val="20"/>
                <w:szCs w:val="20"/>
              </w:rPr>
            </w:pPr>
            <w:r w:rsidRPr="00BD1319">
              <w:rPr>
                <w:rFonts w:cs="Arial"/>
                <w:sz w:val="20"/>
                <w:szCs w:val="20"/>
                <w:lang w:eastAsia="es-CO"/>
              </w:rPr>
              <w:t xml:space="preserve">Resolución 0316 de 1974 </w:t>
            </w:r>
            <w:r w:rsidR="002F0954" w:rsidRPr="00BD1319">
              <w:rPr>
                <w:rFonts w:cs="Arial"/>
                <w:sz w:val="20"/>
                <w:szCs w:val="20"/>
                <w:lang w:eastAsia="es-CO"/>
              </w:rPr>
              <w:t xml:space="preserve">del </w:t>
            </w:r>
            <w:proofErr w:type="spellStart"/>
            <w:r w:rsidRPr="00BD1319">
              <w:rPr>
                <w:rFonts w:cs="Arial"/>
                <w:sz w:val="20"/>
                <w:szCs w:val="20"/>
                <w:lang w:eastAsia="es-CO"/>
              </w:rPr>
              <w:t>I</w:t>
            </w:r>
            <w:r w:rsidR="002F0954" w:rsidRPr="00BD1319">
              <w:rPr>
                <w:rFonts w:cs="Arial"/>
                <w:sz w:val="20"/>
                <w:szCs w:val="20"/>
                <w:lang w:eastAsia="es-CO"/>
              </w:rPr>
              <w:t>nderena</w:t>
            </w:r>
            <w:proofErr w:type="spellEnd"/>
            <w:r w:rsidRPr="00BD1319">
              <w:rPr>
                <w:rFonts w:cs="Arial"/>
                <w:sz w:val="20"/>
                <w:szCs w:val="20"/>
                <w:lang w:eastAsia="es-CO"/>
              </w:rPr>
              <w:t xml:space="preserve"> </w:t>
            </w:r>
            <w:r w:rsidRPr="00BD1319">
              <w:rPr>
                <w:rFonts w:cs="Arial"/>
                <w:spacing w:val="-3"/>
                <w:sz w:val="20"/>
                <w:szCs w:val="20"/>
              </w:rPr>
              <w:t xml:space="preserve">o la que </w:t>
            </w:r>
            <w:r w:rsidR="002F0954" w:rsidRPr="00BD1319">
              <w:rPr>
                <w:rFonts w:cs="Arial"/>
                <w:spacing w:val="-3"/>
                <w:sz w:val="20"/>
                <w:szCs w:val="20"/>
              </w:rPr>
              <w:t xml:space="preserve">la </w:t>
            </w:r>
            <w:r w:rsidRPr="00BD1319">
              <w:rPr>
                <w:rFonts w:cs="Arial"/>
                <w:spacing w:val="-3"/>
                <w:sz w:val="20"/>
                <w:szCs w:val="20"/>
              </w:rPr>
              <w:t>modifique</w:t>
            </w:r>
            <w:r w:rsidR="008259A6" w:rsidRPr="00BD1319">
              <w:rPr>
                <w:rFonts w:cs="Arial"/>
                <w:spacing w:val="-3"/>
                <w:sz w:val="20"/>
                <w:szCs w:val="20"/>
              </w:rPr>
              <w:t xml:space="preserve"> o</w:t>
            </w:r>
            <w:r w:rsidRPr="00BD1319">
              <w:rPr>
                <w:rFonts w:cs="Arial"/>
                <w:spacing w:val="-3"/>
                <w:sz w:val="20"/>
                <w:szCs w:val="20"/>
              </w:rPr>
              <w:t xml:space="preserve"> sustituya.</w:t>
            </w:r>
          </w:p>
        </w:tc>
        <w:tc>
          <w:tcPr>
            <w:tcW w:w="5271" w:type="dxa"/>
            <w:shd w:val="clear" w:color="auto" w:fill="auto"/>
            <w:vAlign w:val="center"/>
          </w:tcPr>
          <w:p w14:paraId="016E83B9" w14:textId="193ECEDD" w:rsidR="00482A5F" w:rsidRPr="00BD1319" w:rsidRDefault="00482A5F">
            <w:pPr>
              <w:numPr>
                <w:ilvl w:val="12"/>
                <w:numId w:val="0"/>
              </w:numPr>
              <w:tabs>
                <w:tab w:val="left" w:pos="-2268"/>
              </w:tabs>
              <w:suppressAutoHyphens/>
              <w:rPr>
                <w:rFonts w:cs="Arial"/>
                <w:spacing w:val="-3"/>
                <w:sz w:val="20"/>
                <w:szCs w:val="20"/>
              </w:rPr>
            </w:pPr>
            <w:r w:rsidRPr="00BD1319">
              <w:rPr>
                <w:rFonts w:cs="Arial"/>
                <w:spacing w:val="-3"/>
                <w:sz w:val="20"/>
                <w:szCs w:val="20"/>
              </w:rPr>
              <w:t>Pino Colombiano (</w:t>
            </w:r>
            <w:proofErr w:type="spellStart"/>
            <w:r w:rsidRPr="00BD1319">
              <w:rPr>
                <w:rFonts w:cs="Arial"/>
                <w:i/>
                <w:spacing w:val="-3"/>
                <w:sz w:val="20"/>
                <w:szCs w:val="20"/>
              </w:rPr>
              <w:t>Podocarpus</w:t>
            </w:r>
            <w:proofErr w:type="spellEnd"/>
            <w:r w:rsidRPr="00BD1319">
              <w:rPr>
                <w:rFonts w:cs="Arial"/>
                <w:i/>
                <w:spacing w:val="-3"/>
                <w:sz w:val="20"/>
                <w:szCs w:val="20"/>
              </w:rPr>
              <w:t xml:space="preserve"> </w:t>
            </w:r>
            <w:proofErr w:type="spellStart"/>
            <w:r w:rsidRPr="00BD1319">
              <w:rPr>
                <w:rFonts w:cs="Arial"/>
                <w:i/>
                <w:spacing w:val="-3"/>
                <w:sz w:val="20"/>
                <w:szCs w:val="20"/>
              </w:rPr>
              <w:t>rospigliossi</w:t>
            </w:r>
            <w:proofErr w:type="spellEnd"/>
            <w:r w:rsidRPr="00BD1319">
              <w:rPr>
                <w:rFonts w:cs="Arial"/>
                <w:spacing w:val="-3"/>
                <w:sz w:val="20"/>
                <w:szCs w:val="20"/>
              </w:rPr>
              <w:t>,</w:t>
            </w:r>
            <w:r w:rsidR="0049660B" w:rsidRPr="00BD1319">
              <w:rPr>
                <w:rFonts w:cs="Arial"/>
                <w:i/>
                <w:spacing w:val="-3"/>
                <w:sz w:val="20"/>
                <w:szCs w:val="20"/>
              </w:rPr>
              <w:t xml:space="preserve"> </w:t>
            </w:r>
            <w:proofErr w:type="spellStart"/>
            <w:r w:rsidRPr="00BD1319">
              <w:rPr>
                <w:rFonts w:cs="Arial"/>
                <w:i/>
                <w:spacing w:val="-3"/>
                <w:sz w:val="20"/>
                <w:szCs w:val="20"/>
              </w:rPr>
              <w:t>Podocarpus</w:t>
            </w:r>
            <w:proofErr w:type="spellEnd"/>
            <w:r w:rsidRPr="00BD1319">
              <w:rPr>
                <w:rFonts w:cs="Arial"/>
                <w:i/>
                <w:spacing w:val="-3"/>
                <w:sz w:val="20"/>
                <w:szCs w:val="20"/>
              </w:rPr>
              <w:t xml:space="preserve"> </w:t>
            </w:r>
            <w:proofErr w:type="spellStart"/>
            <w:r w:rsidRPr="00BD1319">
              <w:rPr>
                <w:rFonts w:cs="Arial"/>
                <w:i/>
                <w:spacing w:val="-3"/>
                <w:sz w:val="20"/>
                <w:szCs w:val="20"/>
              </w:rPr>
              <w:t>montanus</w:t>
            </w:r>
            <w:proofErr w:type="spellEnd"/>
            <w:r w:rsidRPr="00BD1319">
              <w:rPr>
                <w:rFonts w:cs="Arial"/>
                <w:spacing w:val="-3"/>
                <w:sz w:val="20"/>
                <w:szCs w:val="20"/>
              </w:rPr>
              <w:t xml:space="preserve"> y </w:t>
            </w:r>
            <w:proofErr w:type="spellStart"/>
            <w:r w:rsidRPr="00BD1319">
              <w:rPr>
                <w:rFonts w:cs="Arial"/>
                <w:i/>
                <w:spacing w:val="-3"/>
                <w:sz w:val="20"/>
                <w:szCs w:val="20"/>
              </w:rPr>
              <w:t>Podocarpus</w:t>
            </w:r>
            <w:proofErr w:type="spellEnd"/>
            <w:r w:rsidRPr="00BD1319">
              <w:rPr>
                <w:rFonts w:cs="Arial"/>
                <w:i/>
                <w:spacing w:val="-3"/>
                <w:sz w:val="20"/>
                <w:szCs w:val="20"/>
              </w:rPr>
              <w:t xml:space="preserve"> </w:t>
            </w:r>
            <w:proofErr w:type="spellStart"/>
            <w:r w:rsidRPr="00BD1319">
              <w:rPr>
                <w:rFonts w:cs="Arial"/>
                <w:i/>
                <w:spacing w:val="-3"/>
                <w:sz w:val="20"/>
                <w:szCs w:val="20"/>
              </w:rPr>
              <w:t>oleifolius</w:t>
            </w:r>
            <w:proofErr w:type="spellEnd"/>
            <w:r w:rsidRPr="00BD1319">
              <w:rPr>
                <w:rFonts w:cs="Arial"/>
                <w:spacing w:val="-3"/>
                <w:sz w:val="20"/>
                <w:szCs w:val="20"/>
              </w:rPr>
              <w:t>),</w:t>
            </w:r>
            <w:r w:rsidR="0049660B" w:rsidRPr="00BD1319">
              <w:rPr>
                <w:rFonts w:cs="Arial"/>
                <w:spacing w:val="-3"/>
                <w:sz w:val="20"/>
                <w:szCs w:val="20"/>
              </w:rPr>
              <w:t xml:space="preserve"> </w:t>
            </w:r>
            <w:r w:rsidRPr="00BD1319">
              <w:rPr>
                <w:rFonts w:cs="Arial"/>
                <w:spacing w:val="-3"/>
                <w:sz w:val="20"/>
                <w:szCs w:val="20"/>
              </w:rPr>
              <w:t>Nogal (</w:t>
            </w:r>
            <w:proofErr w:type="spellStart"/>
            <w:r w:rsidRPr="00BD1319">
              <w:rPr>
                <w:rFonts w:cs="Arial"/>
                <w:i/>
                <w:spacing w:val="-3"/>
                <w:sz w:val="20"/>
                <w:szCs w:val="20"/>
              </w:rPr>
              <w:t>Juglans</w:t>
            </w:r>
            <w:proofErr w:type="spellEnd"/>
            <w:r w:rsidRPr="00BD1319">
              <w:rPr>
                <w:rFonts w:cs="Arial"/>
                <w:spacing w:val="-3"/>
                <w:sz w:val="20"/>
                <w:szCs w:val="20"/>
              </w:rPr>
              <w:t xml:space="preserve"> </w:t>
            </w:r>
            <w:proofErr w:type="spellStart"/>
            <w:r w:rsidRPr="00BD1319">
              <w:rPr>
                <w:rFonts w:cs="Arial"/>
                <w:spacing w:val="-3"/>
                <w:sz w:val="20"/>
                <w:szCs w:val="20"/>
              </w:rPr>
              <w:t>spp</w:t>
            </w:r>
            <w:proofErr w:type="spellEnd"/>
            <w:r w:rsidRPr="00BD1319">
              <w:rPr>
                <w:rFonts w:cs="Arial"/>
                <w:spacing w:val="-3"/>
                <w:sz w:val="20"/>
                <w:szCs w:val="20"/>
              </w:rPr>
              <w:t xml:space="preserve">.), </w:t>
            </w:r>
            <w:proofErr w:type="spellStart"/>
            <w:r w:rsidRPr="00BD1319">
              <w:rPr>
                <w:rFonts w:cs="Arial"/>
                <w:spacing w:val="-3"/>
                <w:sz w:val="20"/>
                <w:szCs w:val="20"/>
              </w:rPr>
              <w:t>Hojarasco</w:t>
            </w:r>
            <w:proofErr w:type="spellEnd"/>
            <w:r w:rsidRPr="00BD1319">
              <w:rPr>
                <w:rFonts w:cs="Arial"/>
                <w:spacing w:val="-3"/>
                <w:sz w:val="20"/>
                <w:szCs w:val="20"/>
              </w:rPr>
              <w:t xml:space="preserve"> (</w:t>
            </w:r>
            <w:proofErr w:type="spellStart"/>
            <w:r w:rsidRPr="00BD1319">
              <w:rPr>
                <w:rFonts w:cs="Arial"/>
                <w:i/>
                <w:spacing w:val="-3"/>
                <w:sz w:val="20"/>
                <w:szCs w:val="20"/>
              </w:rPr>
              <w:t>Talauma</w:t>
            </w:r>
            <w:proofErr w:type="spellEnd"/>
            <w:r w:rsidR="0049660B" w:rsidRPr="00BD1319">
              <w:rPr>
                <w:rFonts w:cs="Arial"/>
                <w:spacing w:val="-3"/>
                <w:sz w:val="20"/>
                <w:szCs w:val="20"/>
              </w:rPr>
              <w:t xml:space="preserve"> </w:t>
            </w:r>
            <w:proofErr w:type="spellStart"/>
            <w:r w:rsidRPr="00BD1319">
              <w:rPr>
                <w:rFonts w:cs="Arial"/>
                <w:i/>
                <w:spacing w:val="-3"/>
                <w:sz w:val="20"/>
                <w:szCs w:val="20"/>
              </w:rPr>
              <w:t>caricifragans</w:t>
            </w:r>
            <w:proofErr w:type="spellEnd"/>
            <w:r w:rsidRPr="00BD1319">
              <w:rPr>
                <w:rFonts w:cs="Arial"/>
                <w:spacing w:val="-3"/>
                <w:sz w:val="20"/>
                <w:szCs w:val="20"/>
              </w:rPr>
              <w:t>), Molinillo (</w:t>
            </w:r>
            <w:proofErr w:type="spellStart"/>
            <w:r w:rsidRPr="00BD1319">
              <w:rPr>
                <w:rFonts w:cs="Arial"/>
                <w:i/>
                <w:spacing w:val="-3"/>
                <w:sz w:val="20"/>
                <w:szCs w:val="20"/>
              </w:rPr>
              <w:t>Talauma</w:t>
            </w:r>
            <w:proofErr w:type="spellEnd"/>
            <w:r w:rsidRPr="00BD1319">
              <w:rPr>
                <w:rFonts w:cs="Arial"/>
                <w:i/>
                <w:spacing w:val="-3"/>
                <w:sz w:val="20"/>
                <w:szCs w:val="20"/>
              </w:rPr>
              <w:t xml:space="preserve"> </w:t>
            </w:r>
            <w:proofErr w:type="spellStart"/>
            <w:r w:rsidRPr="00BD1319">
              <w:rPr>
                <w:rFonts w:cs="Arial"/>
                <w:i/>
                <w:spacing w:val="-3"/>
                <w:sz w:val="20"/>
                <w:szCs w:val="20"/>
              </w:rPr>
              <w:t>hernandezi</w:t>
            </w:r>
            <w:proofErr w:type="spellEnd"/>
            <w:r w:rsidRPr="00BD1319">
              <w:rPr>
                <w:rFonts w:cs="Arial"/>
                <w:spacing w:val="-3"/>
                <w:sz w:val="20"/>
                <w:szCs w:val="20"/>
              </w:rPr>
              <w:t>),</w:t>
            </w:r>
            <w:r w:rsidR="0049660B" w:rsidRPr="00BD1319">
              <w:rPr>
                <w:rFonts w:cs="Arial"/>
                <w:spacing w:val="-3"/>
                <w:sz w:val="20"/>
                <w:szCs w:val="20"/>
              </w:rPr>
              <w:t xml:space="preserve"> </w:t>
            </w:r>
            <w:r w:rsidRPr="00BD1319">
              <w:rPr>
                <w:rFonts w:cs="Arial"/>
                <w:spacing w:val="-3"/>
                <w:sz w:val="20"/>
                <w:szCs w:val="20"/>
              </w:rPr>
              <w:t>Caparrapí (</w:t>
            </w:r>
            <w:proofErr w:type="spellStart"/>
            <w:r w:rsidRPr="00BD1319">
              <w:rPr>
                <w:rFonts w:cs="Arial"/>
                <w:i/>
                <w:spacing w:val="-3"/>
                <w:sz w:val="20"/>
                <w:szCs w:val="20"/>
              </w:rPr>
              <w:t>Ocotea</w:t>
            </w:r>
            <w:proofErr w:type="spellEnd"/>
            <w:r w:rsidRPr="00BD1319">
              <w:rPr>
                <w:rFonts w:cs="Arial"/>
                <w:i/>
                <w:spacing w:val="-3"/>
                <w:sz w:val="20"/>
                <w:szCs w:val="20"/>
              </w:rPr>
              <w:t xml:space="preserve"> </w:t>
            </w:r>
            <w:proofErr w:type="spellStart"/>
            <w:r w:rsidRPr="00BD1319">
              <w:rPr>
                <w:rFonts w:cs="Arial"/>
                <w:i/>
                <w:spacing w:val="-3"/>
                <w:sz w:val="20"/>
                <w:szCs w:val="20"/>
              </w:rPr>
              <w:t>caparrapi</w:t>
            </w:r>
            <w:proofErr w:type="spellEnd"/>
            <w:r w:rsidRPr="00BD1319">
              <w:rPr>
                <w:rFonts w:cs="Arial"/>
                <w:spacing w:val="-3"/>
                <w:sz w:val="20"/>
                <w:szCs w:val="20"/>
              </w:rPr>
              <w:t xml:space="preserve">), Comino de </w:t>
            </w:r>
            <w:r w:rsidR="001D46E7" w:rsidRPr="00BD1319">
              <w:rPr>
                <w:rFonts w:cs="Arial"/>
                <w:spacing w:val="-3"/>
                <w:sz w:val="20"/>
                <w:szCs w:val="20"/>
              </w:rPr>
              <w:t>L</w:t>
            </w:r>
            <w:r w:rsidRPr="00BD1319">
              <w:rPr>
                <w:rFonts w:cs="Arial"/>
                <w:spacing w:val="-3"/>
                <w:sz w:val="20"/>
                <w:szCs w:val="20"/>
              </w:rPr>
              <w:t>a</w:t>
            </w:r>
            <w:r w:rsidR="00B655A8" w:rsidRPr="00BD1319">
              <w:rPr>
                <w:rFonts w:cs="Arial"/>
                <w:spacing w:val="-3"/>
                <w:sz w:val="20"/>
                <w:szCs w:val="20"/>
              </w:rPr>
              <w:t xml:space="preserve"> </w:t>
            </w:r>
            <w:r w:rsidRPr="00BD1319">
              <w:rPr>
                <w:rFonts w:cs="Arial"/>
                <w:spacing w:val="-3"/>
                <w:sz w:val="20"/>
                <w:szCs w:val="20"/>
              </w:rPr>
              <w:t>Macarena (</w:t>
            </w:r>
            <w:proofErr w:type="spellStart"/>
            <w:r w:rsidRPr="00BD1319">
              <w:rPr>
                <w:rFonts w:cs="Arial"/>
                <w:i/>
                <w:spacing w:val="-3"/>
                <w:sz w:val="20"/>
                <w:szCs w:val="20"/>
              </w:rPr>
              <w:t>Erithroxylon</w:t>
            </w:r>
            <w:proofErr w:type="spellEnd"/>
            <w:r w:rsidRPr="00BD1319">
              <w:rPr>
                <w:rFonts w:cs="Arial"/>
                <w:spacing w:val="-3"/>
                <w:sz w:val="20"/>
                <w:szCs w:val="20"/>
              </w:rPr>
              <w:t xml:space="preserve"> </w:t>
            </w:r>
            <w:proofErr w:type="spellStart"/>
            <w:r w:rsidRPr="00BD1319">
              <w:rPr>
                <w:rFonts w:cs="Arial"/>
                <w:spacing w:val="-3"/>
                <w:sz w:val="20"/>
                <w:szCs w:val="20"/>
              </w:rPr>
              <w:t>sp</w:t>
            </w:r>
            <w:proofErr w:type="spellEnd"/>
            <w:r w:rsidRPr="00BD1319">
              <w:rPr>
                <w:rFonts w:cs="Arial"/>
                <w:spacing w:val="-3"/>
                <w:sz w:val="20"/>
                <w:szCs w:val="20"/>
              </w:rPr>
              <w:t>. [sic.]) y Roble (</w:t>
            </w:r>
            <w:r w:rsidRPr="00BD1319">
              <w:rPr>
                <w:rFonts w:cs="Arial"/>
                <w:i/>
                <w:spacing w:val="-3"/>
                <w:sz w:val="20"/>
                <w:szCs w:val="20"/>
              </w:rPr>
              <w:t>Quercus</w:t>
            </w:r>
            <w:r w:rsidR="0049660B" w:rsidRPr="00BD1319">
              <w:rPr>
                <w:rFonts w:cs="Arial"/>
                <w:i/>
                <w:spacing w:val="-3"/>
                <w:sz w:val="20"/>
                <w:szCs w:val="20"/>
              </w:rPr>
              <w:t xml:space="preserve"> </w:t>
            </w:r>
            <w:proofErr w:type="spellStart"/>
            <w:r w:rsidRPr="00BD1319">
              <w:rPr>
                <w:rFonts w:cs="Arial"/>
                <w:i/>
                <w:spacing w:val="-3"/>
                <w:sz w:val="20"/>
                <w:szCs w:val="20"/>
              </w:rPr>
              <w:t>humboldtii</w:t>
            </w:r>
            <w:proofErr w:type="spellEnd"/>
            <w:r w:rsidRPr="00BD1319">
              <w:rPr>
                <w:rFonts w:cs="Arial"/>
                <w:spacing w:val="-3"/>
                <w:sz w:val="20"/>
                <w:szCs w:val="20"/>
              </w:rPr>
              <w:t>).</w:t>
            </w:r>
          </w:p>
        </w:tc>
      </w:tr>
      <w:tr w:rsidR="002F0954" w:rsidRPr="00BD1319" w14:paraId="5493B1BA" w14:textId="77777777" w:rsidTr="009420F5">
        <w:trPr>
          <w:trHeight w:val="220"/>
          <w:jc w:val="center"/>
        </w:trPr>
        <w:tc>
          <w:tcPr>
            <w:tcW w:w="3632" w:type="dxa"/>
            <w:shd w:val="clear" w:color="auto" w:fill="auto"/>
            <w:vAlign w:val="center"/>
          </w:tcPr>
          <w:p w14:paraId="17BBA9D3" w14:textId="77777777" w:rsidR="002F0954" w:rsidRPr="00BD1319" w:rsidRDefault="002F0954">
            <w:pPr>
              <w:numPr>
                <w:ilvl w:val="12"/>
                <w:numId w:val="0"/>
              </w:numPr>
              <w:tabs>
                <w:tab w:val="left" w:pos="-2268"/>
              </w:tabs>
              <w:suppressAutoHyphens/>
              <w:rPr>
                <w:rFonts w:cs="Arial"/>
                <w:spacing w:val="-3"/>
                <w:sz w:val="20"/>
                <w:szCs w:val="20"/>
              </w:rPr>
            </w:pPr>
            <w:r w:rsidRPr="00BD1319">
              <w:rPr>
                <w:rFonts w:cs="Arial"/>
                <w:spacing w:val="-3"/>
                <w:sz w:val="20"/>
                <w:szCs w:val="20"/>
              </w:rPr>
              <w:t xml:space="preserve">Resolución 0801 de 1977 del </w:t>
            </w:r>
            <w:proofErr w:type="spellStart"/>
            <w:r w:rsidRPr="00BD1319">
              <w:rPr>
                <w:rFonts w:cs="Arial"/>
                <w:spacing w:val="-3"/>
                <w:sz w:val="20"/>
                <w:szCs w:val="20"/>
              </w:rPr>
              <w:t>Inderena</w:t>
            </w:r>
            <w:proofErr w:type="spellEnd"/>
            <w:r w:rsidRPr="00BD1319">
              <w:rPr>
                <w:rFonts w:cs="Arial"/>
                <w:spacing w:val="-3"/>
                <w:sz w:val="20"/>
                <w:szCs w:val="20"/>
              </w:rPr>
              <w:t xml:space="preserve"> o la que la modifique o sustituya.</w:t>
            </w:r>
          </w:p>
        </w:tc>
        <w:tc>
          <w:tcPr>
            <w:tcW w:w="5271" w:type="dxa"/>
            <w:shd w:val="clear" w:color="auto" w:fill="auto"/>
            <w:vAlign w:val="center"/>
          </w:tcPr>
          <w:p w14:paraId="156EBEA0" w14:textId="77777777" w:rsidR="002F0954" w:rsidRPr="00BD1319" w:rsidRDefault="002F0954">
            <w:pPr>
              <w:numPr>
                <w:ilvl w:val="12"/>
                <w:numId w:val="0"/>
              </w:numPr>
              <w:tabs>
                <w:tab w:val="left" w:pos="-2268"/>
              </w:tabs>
              <w:suppressAutoHyphens/>
              <w:rPr>
                <w:rFonts w:cs="Arial"/>
                <w:spacing w:val="-3"/>
                <w:sz w:val="20"/>
                <w:szCs w:val="20"/>
              </w:rPr>
            </w:pPr>
            <w:r w:rsidRPr="00BD1319">
              <w:rPr>
                <w:rFonts w:cs="Arial"/>
                <w:spacing w:val="-3"/>
                <w:sz w:val="20"/>
                <w:szCs w:val="20"/>
              </w:rPr>
              <w:t xml:space="preserve">Veda permanente en todo el territorio nacional para el aprovechamiento, comercialización y movilización del helecho arborescente, clasificado bajo las familias </w:t>
            </w:r>
            <w:proofErr w:type="spellStart"/>
            <w:r w:rsidRPr="00BD1319">
              <w:rPr>
                <w:rFonts w:cs="Arial"/>
                <w:spacing w:val="-3"/>
                <w:sz w:val="20"/>
                <w:szCs w:val="20"/>
              </w:rPr>
              <w:t>Cyatheaceae</w:t>
            </w:r>
            <w:proofErr w:type="spellEnd"/>
            <w:r w:rsidRPr="00BD1319">
              <w:rPr>
                <w:rFonts w:cs="Arial"/>
                <w:spacing w:val="-3"/>
                <w:sz w:val="20"/>
                <w:szCs w:val="20"/>
              </w:rPr>
              <w:t xml:space="preserve"> y </w:t>
            </w:r>
            <w:proofErr w:type="spellStart"/>
            <w:r w:rsidRPr="00BD1319">
              <w:rPr>
                <w:rFonts w:cs="Arial"/>
                <w:spacing w:val="-3"/>
                <w:sz w:val="20"/>
                <w:szCs w:val="20"/>
              </w:rPr>
              <w:t>Dicksoniaceae</w:t>
            </w:r>
            <w:proofErr w:type="spellEnd"/>
            <w:r w:rsidRPr="00BD1319">
              <w:rPr>
                <w:rFonts w:cs="Arial"/>
                <w:spacing w:val="-3"/>
                <w:sz w:val="20"/>
                <w:szCs w:val="20"/>
              </w:rPr>
              <w:t xml:space="preserve">, con los siguientes géneros: </w:t>
            </w:r>
            <w:proofErr w:type="spellStart"/>
            <w:r w:rsidRPr="00BD1319">
              <w:rPr>
                <w:rFonts w:cs="Arial"/>
                <w:i/>
                <w:spacing w:val="-3"/>
                <w:sz w:val="20"/>
                <w:szCs w:val="20"/>
              </w:rPr>
              <w:t>Dicksonia</w:t>
            </w:r>
            <w:proofErr w:type="spellEnd"/>
            <w:r w:rsidRPr="00BD1319">
              <w:rPr>
                <w:rFonts w:cs="Arial"/>
                <w:i/>
                <w:spacing w:val="-3"/>
                <w:sz w:val="20"/>
                <w:szCs w:val="20"/>
              </w:rPr>
              <w:t xml:space="preserve">, </w:t>
            </w:r>
            <w:proofErr w:type="spellStart"/>
            <w:r w:rsidRPr="00BD1319">
              <w:rPr>
                <w:rFonts w:cs="Arial"/>
                <w:i/>
                <w:spacing w:val="-3"/>
                <w:sz w:val="20"/>
                <w:szCs w:val="20"/>
              </w:rPr>
              <w:t>Alsophila</w:t>
            </w:r>
            <w:proofErr w:type="spellEnd"/>
            <w:r w:rsidRPr="00BD1319">
              <w:rPr>
                <w:rFonts w:cs="Arial"/>
                <w:i/>
                <w:spacing w:val="-3"/>
                <w:sz w:val="20"/>
                <w:szCs w:val="20"/>
              </w:rPr>
              <w:t xml:space="preserve">, </w:t>
            </w:r>
            <w:proofErr w:type="spellStart"/>
            <w:r w:rsidRPr="00BD1319">
              <w:rPr>
                <w:rFonts w:cs="Arial"/>
                <w:i/>
                <w:spacing w:val="-3"/>
                <w:sz w:val="20"/>
                <w:szCs w:val="20"/>
              </w:rPr>
              <w:t>Cnemidaria</w:t>
            </w:r>
            <w:proofErr w:type="spellEnd"/>
            <w:r w:rsidRPr="00BD1319">
              <w:rPr>
                <w:rFonts w:cs="Arial"/>
                <w:i/>
                <w:spacing w:val="-3"/>
                <w:sz w:val="20"/>
                <w:szCs w:val="20"/>
              </w:rPr>
              <w:t xml:space="preserve">, </w:t>
            </w:r>
            <w:proofErr w:type="spellStart"/>
            <w:r w:rsidRPr="00BD1319">
              <w:rPr>
                <w:rFonts w:cs="Arial"/>
                <w:i/>
                <w:spacing w:val="-3"/>
                <w:sz w:val="20"/>
                <w:szCs w:val="20"/>
              </w:rPr>
              <w:t>Cyatheaceae</w:t>
            </w:r>
            <w:proofErr w:type="spellEnd"/>
            <w:r w:rsidRPr="00BD1319">
              <w:rPr>
                <w:rFonts w:cs="Arial"/>
                <w:i/>
                <w:spacing w:val="-3"/>
                <w:sz w:val="20"/>
                <w:szCs w:val="20"/>
              </w:rPr>
              <w:t xml:space="preserve">, </w:t>
            </w:r>
            <w:proofErr w:type="spellStart"/>
            <w:r w:rsidRPr="00BD1319">
              <w:rPr>
                <w:rFonts w:cs="Arial"/>
                <w:i/>
                <w:spacing w:val="-3"/>
                <w:sz w:val="20"/>
                <w:szCs w:val="20"/>
              </w:rPr>
              <w:t>Nephelea</w:t>
            </w:r>
            <w:proofErr w:type="spellEnd"/>
            <w:r w:rsidRPr="00BD1319">
              <w:rPr>
                <w:rFonts w:cs="Arial"/>
                <w:i/>
                <w:spacing w:val="-3"/>
                <w:sz w:val="20"/>
                <w:szCs w:val="20"/>
              </w:rPr>
              <w:t xml:space="preserve">, </w:t>
            </w:r>
            <w:proofErr w:type="spellStart"/>
            <w:r w:rsidRPr="00BD1319">
              <w:rPr>
                <w:rFonts w:cs="Arial"/>
                <w:i/>
                <w:spacing w:val="-3"/>
                <w:sz w:val="20"/>
                <w:szCs w:val="20"/>
              </w:rPr>
              <w:t>Sphaeropteris</w:t>
            </w:r>
            <w:proofErr w:type="spellEnd"/>
            <w:r w:rsidRPr="00BD1319">
              <w:rPr>
                <w:rFonts w:cs="Arial"/>
                <w:i/>
                <w:spacing w:val="-3"/>
                <w:sz w:val="20"/>
                <w:szCs w:val="20"/>
              </w:rPr>
              <w:t xml:space="preserve"> </w:t>
            </w:r>
            <w:r w:rsidRPr="00BD1319">
              <w:rPr>
                <w:rFonts w:cs="Arial"/>
                <w:spacing w:val="-3"/>
                <w:sz w:val="20"/>
                <w:szCs w:val="20"/>
              </w:rPr>
              <w:t>y</w:t>
            </w:r>
            <w:r w:rsidRPr="00BD1319">
              <w:rPr>
                <w:rFonts w:cs="Arial"/>
                <w:i/>
                <w:spacing w:val="-3"/>
                <w:sz w:val="20"/>
                <w:szCs w:val="20"/>
              </w:rPr>
              <w:t xml:space="preserve"> </w:t>
            </w:r>
            <w:proofErr w:type="spellStart"/>
            <w:r w:rsidRPr="00BD1319">
              <w:rPr>
                <w:rFonts w:cs="Arial"/>
                <w:i/>
                <w:spacing w:val="-3"/>
                <w:sz w:val="20"/>
                <w:szCs w:val="20"/>
              </w:rPr>
              <w:t>Trichipteris</w:t>
            </w:r>
            <w:proofErr w:type="spellEnd"/>
            <w:r w:rsidRPr="00BD1319">
              <w:rPr>
                <w:rFonts w:cs="Arial"/>
                <w:i/>
                <w:spacing w:val="-3"/>
                <w:sz w:val="20"/>
                <w:szCs w:val="20"/>
              </w:rPr>
              <w:t>.</w:t>
            </w:r>
          </w:p>
        </w:tc>
      </w:tr>
      <w:tr w:rsidR="00482A5F" w:rsidRPr="00BD1319" w14:paraId="3E99099E" w14:textId="77777777" w:rsidTr="009420F5">
        <w:trPr>
          <w:trHeight w:val="220"/>
          <w:jc w:val="center"/>
        </w:trPr>
        <w:tc>
          <w:tcPr>
            <w:tcW w:w="3632" w:type="dxa"/>
            <w:shd w:val="clear" w:color="auto" w:fill="auto"/>
            <w:vAlign w:val="center"/>
          </w:tcPr>
          <w:p w14:paraId="6E87C928" w14:textId="2A09EEB7" w:rsidR="00482A5F" w:rsidRPr="00BD1319" w:rsidRDefault="00482A5F">
            <w:pPr>
              <w:numPr>
                <w:ilvl w:val="12"/>
                <w:numId w:val="0"/>
              </w:numPr>
              <w:tabs>
                <w:tab w:val="left" w:pos="-2268"/>
              </w:tabs>
              <w:suppressAutoHyphens/>
              <w:rPr>
                <w:rFonts w:cs="Arial"/>
                <w:spacing w:val="-3"/>
                <w:sz w:val="20"/>
                <w:szCs w:val="20"/>
              </w:rPr>
            </w:pPr>
            <w:r w:rsidRPr="00BD1319">
              <w:rPr>
                <w:rFonts w:cs="Arial"/>
                <w:sz w:val="20"/>
                <w:szCs w:val="20"/>
                <w:lang w:eastAsia="es-CO"/>
              </w:rPr>
              <w:t xml:space="preserve">Resolución 0463 de 1982 </w:t>
            </w:r>
            <w:r w:rsidR="002F0954" w:rsidRPr="00BD1319">
              <w:rPr>
                <w:rFonts w:cs="Arial"/>
                <w:sz w:val="20"/>
                <w:szCs w:val="20"/>
                <w:lang w:eastAsia="es-CO"/>
              </w:rPr>
              <w:t xml:space="preserve">del </w:t>
            </w:r>
            <w:proofErr w:type="spellStart"/>
            <w:r w:rsidR="002F0954" w:rsidRPr="00BD1319">
              <w:rPr>
                <w:rFonts w:cs="Arial"/>
                <w:sz w:val="20"/>
                <w:szCs w:val="20"/>
                <w:lang w:eastAsia="es-CO"/>
              </w:rPr>
              <w:t>Inderena</w:t>
            </w:r>
            <w:proofErr w:type="spellEnd"/>
            <w:r w:rsidRPr="00BD1319">
              <w:rPr>
                <w:rFonts w:cs="Arial"/>
                <w:sz w:val="20"/>
                <w:szCs w:val="20"/>
                <w:lang w:eastAsia="es-CO"/>
              </w:rPr>
              <w:t xml:space="preserve"> </w:t>
            </w:r>
            <w:r w:rsidRPr="00BD1319">
              <w:rPr>
                <w:rFonts w:cs="Arial"/>
                <w:spacing w:val="-3"/>
                <w:sz w:val="20"/>
                <w:szCs w:val="20"/>
              </w:rPr>
              <w:t xml:space="preserve">o </w:t>
            </w:r>
            <w:r w:rsidR="00052351" w:rsidRPr="00BD1319">
              <w:rPr>
                <w:rFonts w:cs="Arial"/>
                <w:spacing w:val="-3"/>
                <w:sz w:val="20"/>
                <w:szCs w:val="20"/>
              </w:rPr>
              <w:t xml:space="preserve">la que </w:t>
            </w:r>
            <w:r w:rsidR="002F0954" w:rsidRPr="00BD1319">
              <w:rPr>
                <w:rFonts w:cs="Arial"/>
                <w:spacing w:val="-3"/>
                <w:sz w:val="20"/>
                <w:szCs w:val="20"/>
              </w:rPr>
              <w:t xml:space="preserve">la </w:t>
            </w:r>
            <w:r w:rsidR="00052351" w:rsidRPr="00BD1319">
              <w:rPr>
                <w:rFonts w:cs="Arial"/>
                <w:spacing w:val="-3"/>
                <w:sz w:val="20"/>
                <w:szCs w:val="20"/>
              </w:rPr>
              <w:t>modifique o sustituya.</w:t>
            </w:r>
          </w:p>
        </w:tc>
        <w:tc>
          <w:tcPr>
            <w:tcW w:w="5271" w:type="dxa"/>
            <w:shd w:val="clear" w:color="auto" w:fill="auto"/>
            <w:vAlign w:val="center"/>
          </w:tcPr>
          <w:p w14:paraId="6A3CEE90" w14:textId="59338365" w:rsidR="00482A5F" w:rsidRPr="00BD1319" w:rsidRDefault="00482A5F">
            <w:pPr>
              <w:numPr>
                <w:ilvl w:val="12"/>
                <w:numId w:val="0"/>
              </w:numPr>
              <w:tabs>
                <w:tab w:val="left" w:pos="-2268"/>
              </w:tabs>
              <w:suppressAutoHyphens/>
              <w:rPr>
                <w:rFonts w:cs="Arial"/>
                <w:spacing w:val="-3"/>
                <w:sz w:val="20"/>
                <w:szCs w:val="20"/>
              </w:rPr>
            </w:pPr>
            <w:r w:rsidRPr="00BD1319">
              <w:rPr>
                <w:rFonts w:cs="Arial"/>
                <w:spacing w:val="-3"/>
                <w:sz w:val="20"/>
                <w:szCs w:val="20"/>
              </w:rPr>
              <w:t xml:space="preserve">Todas las especies forestales. Veda por tiempo indefinido en las áreas de la Costa Pacífica (anteriormente Regionales Pacífico Sur, Pacífico Medio y Zona Pacífica de la Regional Chocó del </w:t>
            </w:r>
            <w:proofErr w:type="spellStart"/>
            <w:r w:rsidR="002F0954" w:rsidRPr="00BD1319">
              <w:rPr>
                <w:rFonts w:cs="Arial"/>
                <w:spacing w:val="-3"/>
                <w:sz w:val="20"/>
                <w:szCs w:val="20"/>
              </w:rPr>
              <w:t>Inderena</w:t>
            </w:r>
            <w:proofErr w:type="spellEnd"/>
            <w:r w:rsidRPr="00BD1319">
              <w:rPr>
                <w:rFonts w:cs="Arial"/>
                <w:spacing w:val="-3"/>
                <w:sz w:val="20"/>
                <w:szCs w:val="20"/>
              </w:rPr>
              <w:t xml:space="preserve">) para el aprovechamiento, movilización y comercialización de cualquier especie con destino a la </w:t>
            </w:r>
            <w:r w:rsidRPr="00BD1319">
              <w:rPr>
                <w:rFonts w:cs="Arial"/>
                <w:spacing w:val="-3"/>
                <w:sz w:val="20"/>
                <w:szCs w:val="20"/>
              </w:rPr>
              <w:lastRenderedPageBreak/>
              <w:t xml:space="preserve">obtención del producto denominado “Vara”. Se </w:t>
            </w:r>
            <w:r w:rsidR="001D46E7" w:rsidRPr="00BD1319">
              <w:rPr>
                <w:rFonts w:cs="Arial"/>
                <w:spacing w:val="-3"/>
                <w:sz w:val="20"/>
                <w:szCs w:val="20"/>
              </w:rPr>
              <w:t>prohíbe</w:t>
            </w:r>
            <w:r w:rsidRPr="00BD1319">
              <w:rPr>
                <w:rFonts w:cs="Arial"/>
                <w:spacing w:val="-3"/>
                <w:sz w:val="20"/>
                <w:szCs w:val="20"/>
              </w:rPr>
              <w:t xml:space="preserve"> el aprovechamiento y movilización de especies que tengan diámetro a la altura del pecho inferior a 15 cm.</w:t>
            </w:r>
          </w:p>
        </w:tc>
      </w:tr>
      <w:tr w:rsidR="00482A5F" w:rsidRPr="00BD1319" w14:paraId="1E5462BA" w14:textId="77777777" w:rsidTr="009420F5">
        <w:trPr>
          <w:trHeight w:val="220"/>
          <w:jc w:val="center"/>
        </w:trPr>
        <w:tc>
          <w:tcPr>
            <w:tcW w:w="3632" w:type="dxa"/>
            <w:shd w:val="clear" w:color="auto" w:fill="auto"/>
            <w:vAlign w:val="center"/>
          </w:tcPr>
          <w:p w14:paraId="7176E808" w14:textId="28449AE0" w:rsidR="00482A5F" w:rsidRPr="00BD1319" w:rsidRDefault="00482A5F">
            <w:pPr>
              <w:tabs>
                <w:tab w:val="left" w:pos="-2268"/>
              </w:tabs>
              <w:suppressAutoHyphens/>
              <w:rPr>
                <w:rFonts w:cs="Arial"/>
                <w:spacing w:val="-3"/>
                <w:sz w:val="20"/>
                <w:szCs w:val="20"/>
              </w:rPr>
            </w:pPr>
            <w:r w:rsidRPr="00BD1319">
              <w:rPr>
                <w:rFonts w:cs="Arial"/>
                <w:sz w:val="20"/>
                <w:szCs w:val="20"/>
                <w:lang w:eastAsia="es-CO"/>
              </w:rPr>
              <w:lastRenderedPageBreak/>
              <w:t xml:space="preserve">Resoluciones 1602 de 1995 y 020 de 1996 </w:t>
            </w:r>
            <w:r w:rsidR="002F0954" w:rsidRPr="00BD1319">
              <w:rPr>
                <w:rFonts w:cs="Arial"/>
                <w:sz w:val="20"/>
                <w:szCs w:val="20"/>
                <w:lang w:eastAsia="es-CO"/>
              </w:rPr>
              <w:t xml:space="preserve">del Ministerio de Medio Ambiente </w:t>
            </w:r>
            <w:r w:rsidRPr="00BD1319">
              <w:rPr>
                <w:rFonts w:cs="Arial"/>
                <w:sz w:val="20"/>
                <w:szCs w:val="20"/>
                <w:lang w:eastAsia="es-CO"/>
              </w:rPr>
              <w:t>(M</w:t>
            </w:r>
            <w:r w:rsidR="007A75CE" w:rsidRPr="00BD1319">
              <w:rPr>
                <w:rFonts w:cs="Arial"/>
                <w:sz w:val="20"/>
                <w:szCs w:val="20"/>
                <w:lang w:eastAsia="es-CO"/>
              </w:rPr>
              <w:t>M</w:t>
            </w:r>
            <w:r w:rsidRPr="00BD1319">
              <w:rPr>
                <w:rFonts w:cs="Arial"/>
                <w:sz w:val="20"/>
                <w:szCs w:val="20"/>
                <w:lang w:eastAsia="es-CO"/>
              </w:rPr>
              <w:t xml:space="preserve">A) </w:t>
            </w:r>
            <w:r w:rsidRPr="00BD1319">
              <w:rPr>
                <w:rFonts w:cs="Arial"/>
                <w:spacing w:val="-3"/>
                <w:sz w:val="20"/>
                <w:szCs w:val="20"/>
              </w:rPr>
              <w:t xml:space="preserve">o </w:t>
            </w:r>
            <w:r w:rsidR="00052351" w:rsidRPr="00BD1319">
              <w:rPr>
                <w:rFonts w:cs="Arial"/>
                <w:spacing w:val="-3"/>
                <w:sz w:val="20"/>
                <w:szCs w:val="20"/>
              </w:rPr>
              <w:t xml:space="preserve">la que </w:t>
            </w:r>
            <w:r w:rsidR="00B655A8" w:rsidRPr="00BD1319">
              <w:rPr>
                <w:rFonts w:cs="Arial"/>
                <w:spacing w:val="-3"/>
                <w:sz w:val="20"/>
                <w:szCs w:val="20"/>
              </w:rPr>
              <w:t xml:space="preserve">la </w:t>
            </w:r>
            <w:r w:rsidR="00052351" w:rsidRPr="00BD1319">
              <w:rPr>
                <w:rFonts w:cs="Arial"/>
                <w:spacing w:val="-3"/>
                <w:sz w:val="20"/>
                <w:szCs w:val="20"/>
              </w:rPr>
              <w:t>modifique o sustituya.</w:t>
            </w:r>
          </w:p>
        </w:tc>
        <w:tc>
          <w:tcPr>
            <w:tcW w:w="5271" w:type="dxa"/>
            <w:shd w:val="clear" w:color="auto" w:fill="auto"/>
            <w:vAlign w:val="center"/>
          </w:tcPr>
          <w:p w14:paraId="4942AF85" w14:textId="6F151133" w:rsidR="00482A5F" w:rsidRPr="00BD1319" w:rsidRDefault="00482A5F" w:rsidP="009420F5">
            <w:pPr>
              <w:overflowPunct/>
              <w:textAlignment w:val="auto"/>
              <w:rPr>
                <w:rFonts w:cs="Arial"/>
                <w:spacing w:val="-3"/>
                <w:sz w:val="20"/>
                <w:szCs w:val="20"/>
              </w:rPr>
            </w:pPr>
            <w:r w:rsidRPr="00BD1319">
              <w:rPr>
                <w:rFonts w:cs="Arial"/>
                <w:sz w:val="20"/>
                <w:szCs w:val="20"/>
                <w:lang w:eastAsia="es-CO"/>
              </w:rPr>
              <w:t>Mangle (</w:t>
            </w:r>
            <w:proofErr w:type="spellStart"/>
            <w:r w:rsidRPr="00BD1319">
              <w:rPr>
                <w:rFonts w:cs="Arial"/>
                <w:i/>
                <w:iCs/>
                <w:sz w:val="20"/>
                <w:szCs w:val="20"/>
                <w:lang w:eastAsia="es-CO"/>
              </w:rPr>
              <w:t>Rhizophora</w:t>
            </w:r>
            <w:proofErr w:type="spellEnd"/>
            <w:r w:rsidRPr="00BD1319">
              <w:rPr>
                <w:rFonts w:cs="Arial"/>
                <w:i/>
                <w:iCs/>
                <w:sz w:val="20"/>
                <w:szCs w:val="20"/>
                <w:lang w:eastAsia="es-CO"/>
              </w:rPr>
              <w:t xml:space="preserve"> </w:t>
            </w:r>
            <w:proofErr w:type="spellStart"/>
            <w:r w:rsidRPr="00BD1319">
              <w:rPr>
                <w:rFonts w:cs="Arial"/>
                <w:i/>
                <w:iCs/>
                <w:sz w:val="20"/>
                <w:szCs w:val="20"/>
                <w:lang w:eastAsia="es-CO"/>
              </w:rPr>
              <w:t>harrisonii</w:t>
            </w:r>
            <w:proofErr w:type="spellEnd"/>
            <w:r w:rsidRPr="00BD1319">
              <w:rPr>
                <w:rFonts w:cs="Arial"/>
                <w:i/>
                <w:iCs/>
                <w:sz w:val="20"/>
                <w:szCs w:val="20"/>
                <w:lang w:eastAsia="es-CO"/>
              </w:rPr>
              <w:t xml:space="preserve">, </w:t>
            </w:r>
            <w:proofErr w:type="spellStart"/>
            <w:r w:rsidRPr="00BD1319">
              <w:rPr>
                <w:rFonts w:cs="Arial"/>
                <w:i/>
                <w:iCs/>
                <w:sz w:val="20"/>
                <w:szCs w:val="20"/>
                <w:lang w:eastAsia="es-CO"/>
              </w:rPr>
              <w:t>Laguncularia</w:t>
            </w:r>
            <w:proofErr w:type="spellEnd"/>
            <w:r w:rsidR="00B655A8" w:rsidRPr="00BD1319">
              <w:rPr>
                <w:rFonts w:cs="Arial"/>
                <w:i/>
                <w:iCs/>
                <w:sz w:val="20"/>
                <w:szCs w:val="20"/>
                <w:lang w:eastAsia="es-CO"/>
              </w:rPr>
              <w:t xml:space="preserve"> </w:t>
            </w:r>
            <w:r w:rsidRPr="00BD1319">
              <w:rPr>
                <w:rFonts w:cs="Arial"/>
                <w:i/>
                <w:iCs/>
                <w:sz w:val="20"/>
                <w:szCs w:val="20"/>
                <w:lang w:eastAsia="es-CO"/>
              </w:rPr>
              <w:t xml:space="preserve">racemosa, </w:t>
            </w:r>
            <w:proofErr w:type="spellStart"/>
            <w:r w:rsidRPr="00BD1319">
              <w:rPr>
                <w:rFonts w:cs="Arial"/>
                <w:i/>
                <w:iCs/>
                <w:sz w:val="20"/>
                <w:szCs w:val="20"/>
                <w:lang w:eastAsia="es-CO"/>
              </w:rPr>
              <w:t>Conocarpus</w:t>
            </w:r>
            <w:proofErr w:type="spellEnd"/>
            <w:r w:rsidRPr="00BD1319">
              <w:rPr>
                <w:rFonts w:cs="Arial"/>
                <w:i/>
                <w:iCs/>
                <w:sz w:val="20"/>
                <w:szCs w:val="20"/>
                <w:lang w:eastAsia="es-CO"/>
              </w:rPr>
              <w:t xml:space="preserve"> </w:t>
            </w:r>
            <w:proofErr w:type="spellStart"/>
            <w:r w:rsidRPr="00BD1319">
              <w:rPr>
                <w:rFonts w:cs="Arial"/>
                <w:i/>
                <w:iCs/>
                <w:sz w:val="20"/>
                <w:szCs w:val="20"/>
                <w:lang w:eastAsia="es-CO"/>
              </w:rPr>
              <w:t>erectus</w:t>
            </w:r>
            <w:proofErr w:type="spellEnd"/>
            <w:r w:rsidRPr="00BD1319">
              <w:rPr>
                <w:rFonts w:cs="Arial"/>
                <w:i/>
                <w:iCs/>
                <w:sz w:val="20"/>
                <w:szCs w:val="20"/>
                <w:lang w:eastAsia="es-CO"/>
              </w:rPr>
              <w:t xml:space="preserve">, </w:t>
            </w:r>
            <w:proofErr w:type="spellStart"/>
            <w:r w:rsidRPr="00BD1319">
              <w:rPr>
                <w:rFonts w:cs="Arial"/>
                <w:i/>
                <w:iCs/>
                <w:sz w:val="20"/>
                <w:szCs w:val="20"/>
                <w:lang w:eastAsia="es-CO"/>
              </w:rPr>
              <w:t>Avicennia</w:t>
            </w:r>
            <w:proofErr w:type="spellEnd"/>
            <w:r w:rsidR="00B655A8" w:rsidRPr="00BD1319">
              <w:rPr>
                <w:rFonts w:cs="Arial"/>
                <w:i/>
                <w:iCs/>
                <w:sz w:val="20"/>
                <w:szCs w:val="20"/>
                <w:lang w:eastAsia="es-CO"/>
              </w:rPr>
              <w:t xml:space="preserve"> </w:t>
            </w:r>
            <w:proofErr w:type="spellStart"/>
            <w:r w:rsidRPr="00BD1319">
              <w:rPr>
                <w:rFonts w:cs="Arial"/>
                <w:i/>
                <w:iCs/>
                <w:sz w:val="20"/>
                <w:szCs w:val="20"/>
                <w:lang w:eastAsia="es-CO"/>
              </w:rPr>
              <w:t>germinans</w:t>
            </w:r>
            <w:proofErr w:type="spellEnd"/>
            <w:r w:rsidRPr="00BD1319">
              <w:rPr>
                <w:rFonts w:cs="Arial"/>
                <w:i/>
                <w:iCs/>
                <w:sz w:val="20"/>
                <w:szCs w:val="20"/>
                <w:lang w:eastAsia="es-CO"/>
              </w:rPr>
              <w:t xml:space="preserve">, </w:t>
            </w:r>
            <w:proofErr w:type="spellStart"/>
            <w:r w:rsidRPr="00BD1319">
              <w:rPr>
                <w:rFonts w:cs="Arial"/>
                <w:i/>
                <w:iCs/>
                <w:sz w:val="20"/>
                <w:szCs w:val="20"/>
                <w:lang w:eastAsia="es-CO"/>
              </w:rPr>
              <w:t>Avicennia</w:t>
            </w:r>
            <w:proofErr w:type="spellEnd"/>
            <w:r w:rsidRPr="00BD1319">
              <w:rPr>
                <w:rFonts w:cs="Arial"/>
                <w:i/>
                <w:iCs/>
                <w:sz w:val="20"/>
                <w:szCs w:val="20"/>
                <w:lang w:eastAsia="es-CO"/>
              </w:rPr>
              <w:t xml:space="preserve"> </w:t>
            </w:r>
            <w:proofErr w:type="spellStart"/>
            <w:r w:rsidRPr="00BD1319">
              <w:rPr>
                <w:rFonts w:cs="Arial"/>
                <w:i/>
                <w:iCs/>
                <w:sz w:val="20"/>
                <w:szCs w:val="20"/>
                <w:lang w:eastAsia="es-CO"/>
              </w:rPr>
              <w:t>tonduzii</w:t>
            </w:r>
            <w:proofErr w:type="spellEnd"/>
            <w:r w:rsidRPr="00BD1319">
              <w:rPr>
                <w:rFonts w:cs="Arial"/>
                <w:i/>
                <w:iCs/>
                <w:sz w:val="20"/>
                <w:szCs w:val="20"/>
                <w:lang w:eastAsia="es-CO"/>
              </w:rPr>
              <w:t xml:space="preserve">, </w:t>
            </w:r>
            <w:proofErr w:type="spellStart"/>
            <w:r w:rsidRPr="00BD1319">
              <w:rPr>
                <w:rFonts w:cs="Arial"/>
                <w:i/>
                <w:iCs/>
                <w:sz w:val="20"/>
                <w:szCs w:val="20"/>
                <w:lang w:eastAsia="es-CO"/>
              </w:rPr>
              <w:t>Pelliciera</w:t>
            </w:r>
            <w:proofErr w:type="spellEnd"/>
            <w:r w:rsidR="00B655A8" w:rsidRPr="00BD1319">
              <w:rPr>
                <w:rFonts w:cs="Arial"/>
                <w:i/>
                <w:iCs/>
                <w:sz w:val="20"/>
                <w:szCs w:val="20"/>
                <w:lang w:eastAsia="es-CO"/>
              </w:rPr>
              <w:t xml:space="preserve"> </w:t>
            </w:r>
            <w:proofErr w:type="spellStart"/>
            <w:r w:rsidRPr="00BD1319">
              <w:rPr>
                <w:rFonts w:cs="Arial"/>
                <w:i/>
                <w:iCs/>
                <w:sz w:val="20"/>
                <w:szCs w:val="20"/>
                <w:lang w:eastAsia="es-CO"/>
              </w:rPr>
              <w:t>rhizophorae</w:t>
            </w:r>
            <w:proofErr w:type="spellEnd"/>
            <w:r w:rsidRPr="00BD1319">
              <w:rPr>
                <w:rFonts w:cs="Arial"/>
                <w:i/>
                <w:iCs/>
                <w:sz w:val="20"/>
                <w:szCs w:val="20"/>
                <w:lang w:eastAsia="es-CO"/>
              </w:rPr>
              <w:t xml:space="preserve">, Mora </w:t>
            </w:r>
            <w:proofErr w:type="spellStart"/>
            <w:r w:rsidRPr="00BD1319">
              <w:rPr>
                <w:rFonts w:cs="Arial"/>
                <w:i/>
                <w:iCs/>
                <w:sz w:val="20"/>
                <w:szCs w:val="20"/>
                <w:lang w:eastAsia="es-CO"/>
              </w:rPr>
              <w:t>megistosperma</w:t>
            </w:r>
            <w:proofErr w:type="spellEnd"/>
            <w:r w:rsidRPr="00BD1319">
              <w:rPr>
                <w:rFonts w:cs="Arial"/>
                <w:i/>
                <w:iCs/>
                <w:sz w:val="20"/>
                <w:szCs w:val="20"/>
                <w:lang w:eastAsia="es-CO"/>
              </w:rPr>
              <w:t xml:space="preserve">, Mora </w:t>
            </w:r>
            <w:proofErr w:type="spellStart"/>
            <w:r w:rsidRPr="00BD1319">
              <w:rPr>
                <w:rFonts w:cs="Arial"/>
                <w:i/>
                <w:iCs/>
                <w:sz w:val="20"/>
                <w:szCs w:val="20"/>
                <w:lang w:eastAsia="es-CO"/>
              </w:rPr>
              <w:t>oleifera</w:t>
            </w:r>
            <w:proofErr w:type="spellEnd"/>
            <w:r w:rsidRPr="00BD1319">
              <w:rPr>
                <w:rFonts w:cs="Arial"/>
                <w:sz w:val="20"/>
                <w:szCs w:val="20"/>
                <w:lang w:eastAsia="es-CO"/>
              </w:rPr>
              <w:t>)</w:t>
            </w:r>
          </w:p>
        </w:tc>
      </w:tr>
      <w:tr w:rsidR="002F0954" w:rsidRPr="00BD1319" w14:paraId="3E23A6B8" w14:textId="77777777" w:rsidTr="00CF7AC2">
        <w:trPr>
          <w:trHeight w:val="220"/>
          <w:jc w:val="center"/>
        </w:trPr>
        <w:tc>
          <w:tcPr>
            <w:tcW w:w="3632" w:type="dxa"/>
            <w:shd w:val="clear" w:color="auto" w:fill="auto"/>
            <w:vAlign w:val="center"/>
          </w:tcPr>
          <w:p w14:paraId="250902BB" w14:textId="1D491E4C" w:rsidR="002F0954" w:rsidRPr="00BD1319" w:rsidRDefault="002F0954" w:rsidP="00CF7AC2">
            <w:pPr>
              <w:numPr>
                <w:ilvl w:val="12"/>
                <w:numId w:val="0"/>
              </w:numPr>
              <w:tabs>
                <w:tab w:val="left" w:pos="-2268"/>
              </w:tabs>
              <w:suppressAutoHyphens/>
              <w:rPr>
                <w:rFonts w:cs="Arial"/>
                <w:spacing w:val="-3"/>
                <w:sz w:val="20"/>
                <w:szCs w:val="20"/>
              </w:rPr>
            </w:pPr>
            <w:r w:rsidRPr="00BD1319">
              <w:rPr>
                <w:rFonts w:cs="Arial"/>
                <w:sz w:val="20"/>
                <w:szCs w:val="20"/>
                <w:lang w:eastAsia="es-CO"/>
              </w:rPr>
              <w:t xml:space="preserve">Resolución 096 de 2006 del </w:t>
            </w:r>
            <w:r w:rsidR="00B655A8" w:rsidRPr="00BD1319">
              <w:rPr>
                <w:rFonts w:cs="Arial"/>
                <w:sz w:val="20"/>
                <w:szCs w:val="20"/>
                <w:lang w:eastAsia="es-CO"/>
              </w:rPr>
              <w:t>Ministerio de Ambiente, Vivienda y Desarrollo Territorial (</w:t>
            </w:r>
            <w:r w:rsidRPr="00BD1319">
              <w:rPr>
                <w:rFonts w:cs="Arial"/>
                <w:sz w:val="20"/>
                <w:szCs w:val="20"/>
                <w:lang w:eastAsia="es-CO"/>
              </w:rPr>
              <w:t>MAVDT</w:t>
            </w:r>
            <w:r w:rsidR="00B655A8" w:rsidRPr="00BD1319">
              <w:rPr>
                <w:rFonts w:cs="Arial"/>
                <w:sz w:val="20"/>
                <w:szCs w:val="20"/>
                <w:lang w:eastAsia="es-CO"/>
              </w:rPr>
              <w:t>)</w:t>
            </w:r>
            <w:r w:rsidRPr="00BD1319">
              <w:rPr>
                <w:rFonts w:cs="Arial"/>
                <w:sz w:val="20"/>
                <w:szCs w:val="20"/>
                <w:lang w:eastAsia="es-CO"/>
              </w:rPr>
              <w:t xml:space="preserve"> </w:t>
            </w:r>
            <w:r w:rsidRPr="00BD1319">
              <w:rPr>
                <w:rFonts w:cs="Arial"/>
                <w:spacing w:val="-3"/>
                <w:sz w:val="20"/>
                <w:szCs w:val="20"/>
              </w:rPr>
              <w:t>o la que la modifique o sustituya.</w:t>
            </w:r>
          </w:p>
        </w:tc>
        <w:tc>
          <w:tcPr>
            <w:tcW w:w="5271" w:type="dxa"/>
            <w:shd w:val="clear" w:color="auto" w:fill="auto"/>
            <w:vAlign w:val="center"/>
          </w:tcPr>
          <w:p w14:paraId="65BA7B93" w14:textId="77777777" w:rsidR="002F0954" w:rsidRPr="00BD1319" w:rsidRDefault="002F0954" w:rsidP="00CF7AC2">
            <w:pPr>
              <w:numPr>
                <w:ilvl w:val="12"/>
                <w:numId w:val="0"/>
              </w:numPr>
              <w:tabs>
                <w:tab w:val="left" w:pos="-2268"/>
              </w:tabs>
              <w:suppressAutoHyphens/>
              <w:rPr>
                <w:rFonts w:cs="Arial"/>
                <w:spacing w:val="-3"/>
                <w:sz w:val="20"/>
                <w:szCs w:val="20"/>
              </w:rPr>
            </w:pPr>
            <w:r w:rsidRPr="00BD1319">
              <w:rPr>
                <w:rFonts w:cs="Arial"/>
                <w:sz w:val="20"/>
                <w:szCs w:val="20"/>
                <w:lang w:eastAsia="es-CO"/>
              </w:rPr>
              <w:t>Roble (</w:t>
            </w:r>
            <w:r w:rsidRPr="00BD1319">
              <w:rPr>
                <w:rFonts w:cs="Arial"/>
                <w:i/>
                <w:sz w:val="20"/>
                <w:szCs w:val="20"/>
                <w:lang w:eastAsia="es-CO"/>
              </w:rPr>
              <w:t xml:space="preserve">Quercus </w:t>
            </w:r>
            <w:proofErr w:type="spellStart"/>
            <w:r w:rsidRPr="00BD1319">
              <w:rPr>
                <w:rFonts w:cs="Arial"/>
                <w:i/>
                <w:sz w:val="20"/>
                <w:szCs w:val="20"/>
                <w:lang w:eastAsia="es-CO"/>
              </w:rPr>
              <w:t>humboldtii</w:t>
            </w:r>
            <w:proofErr w:type="spellEnd"/>
            <w:r w:rsidRPr="00BD1319">
              <w:rPr>
                <w:rFonts w:cs="Arial"/>
                <w:sz w:val="20"/>
                <w:szCs w:val="20"/>
                <w:lang w:eastAsia="es-CO"/>
              </w:rPr>
              <w:t>).</w:t>
            </w:r>
          </w:p>
        </w:tc>
      </w:tr>
      <w:tr w:rsidR="00482A5F" w:rsidRPr="00BD1319" w14:paraId="241DE7DD" w14:textId="77777777" w:rsidTr="009420F5">
        <w:trPr>
          <w:trHeight w:val="220"/>
          <w:jc w:val="center"/>
        </w:trPr>
        <w:tc>
          <w:tcPr>
            <w:tcW w:w="3632" w:type="dxa"/>
            <w:shd w:val="clear" w:color="auto" w:fill="auto"/>
            <w:vAlign w:val="center"/>
          </w:tcPr>
          <w:p w14:paraId="265C3225" w14:textId="750C70A1" w:rsidR="00482A5F" w:rsidRPr="00BD1319" w:rsidRDefault="00B655A8">
            <w:pPr>
              <w:numPr>
                <w:ilvl w:val="12"/>
                <w:numId w:val="0"/>
              </w:numPr>
              <w:tabs>
                <w:tab w:val="left" w:pos="-2268"/>
              </w:tabs>
              <w:suppressAutoHyphens/>
              <w:rPr>
                <w:rFonts w:cs="Arial"/>
                <w:spacing w:val="-3"/>
                <w:sz w:val="20"/>
                <w:szCs w:val="20"/>
              </w:rPr>
            </w:pPr>
            <w:r w:rsidRPr="00BD1319">
              <w:rPr>
                <w:rFonts w:cs="Arial"/>
                <w:sz w:val="20"/>
                <w:szCs w:val="20"/>
                <w:lang w:eastAsia="es-CO"/>
              </w:rPr>
              <w:t>Actos administrativos emitidos por autoridades ambientales</w:t>
            </w:r>
            <w:r w:rsidR="00A85393" w:rsidRPr="00BD1319">
              <w:rPr>
                <w:rFonts w:cs="Arial"/>
                <w:sz w:val="20"/>
                <w:szCs w:val="20"/>
                <w:lang w:eastAsia="es-CO"/>
              </w:rPr>
              <w:t>.</w:t>
            </w:r>
          </w:p>
        </w:tc>
        <w:tc>
          <w:tcPr>
            <w:tcW w:w="5271" w:type="dxa"/>
            <w:shd w:val="clear" w:color="auto" w:fill="auto"/>
            <w:vAlign w:val="center"/>
          </w:tcPr>
          <w:p w14:paraId="39FC6E3D" w14:textId="0C29951A" w:rsidR="00482A5F" w:rsidRPr="00BD1319" w:rsidRDefault="00B655A8">
            <w:pPr>
              <w:numPr>
                <w:ilvl w:val="12"/>
                <w:numId w:val="0"/>
              </w:numPr>
              <w:tabs>
                <w:tab w:val="left" w:pos="-2268"/>
              </w:tabs>
              <w:suppressAutoHyphens/>
              <w:rPr>
                <w:rFonts w:cs="Arial"/>
                <w:spacing w:val="-3"/>
                <w:sz w:val="20"/>
                <w:szCs w:val="20"/>
              </w:rPr>
            </w:pPr>
            <w:r w:rsidRPr="00BD1319">
              <w:rPr>
                <w:rFonts w:cs="Arial"/>
                <w:sz w:val="20"/>
                <w:szCs w:val="20"/>
                <w:lang w:eastAsia="es-CO"/>
              </w:rPr>
              <w:t xml:space="preserve">Diferentes especies vegetales. Se </w:t>
            </w:r>
            <w:r w:rsidR="00482A5F" w:rsidRPr="00BD1319">
              <w:rPr>
                <w:rFonts w:cs="Arial"/>
                <w:sz w:val="20"/>
                <w:szCs w:val="20"/>
                <w:lang w:eastAsia="es-CO"/>
              </w:rPr>
              <w:t>debe consulta</w:t>
            </w:r>
            <w:r w:rsidRPr="00BD1319">
              <w:rPr>
                <w:rFonts w:cs="Arial"/>
                <w:sz w:val="20"/>
                <w:szCs w:val="20"/>
                <w:lang w:eastAsia="es-CO"/>
              </w:rPr>
              <w:t xml:space="preserve">r a </w:t>
            </w:r>
            <w:r w:rsidR="00482A5F" w:rsidRPr="00BD1319">
              <w:rPr>
                <w:rFonts w:cs="Arial"/>
                <w:sz w:val="20"/>
                <w:szCs w:val="20"/>
                <w:lang w:eastAsia="es-CO"/>
              </w:rPr>
              <w:t xml:space="preserve">la autoridad ambiental </w:t>
            </w:r>
            <w:r w:rsidRPr="00BD1319">
              <w:rPr>
                <w:rFonts w:cs="Arial"/>
                <w:sz w:val="20"/>
                <w:szCs w:val="20"/>
                <w:lang w:eastAsia="es-CO"/>
              </w:rPr>
              <w:t>competente</w:t>
            </w:r>
            <w:r w:rsidR="00482A5F" w:rsidRPr="00BD1319">
              <w:rPr>
                <w:rFonts w:cs="Arial"/>
                <w:sz w:val="20"/>
                <w:szCs w:val="20"/>
                <w:lang w:eastAsia="es-CO"/>
              </w:rPr>
              <w:t xml:space="preserve">, </w:t>
            </w:r>
            <w:r w:rsidR="00A85393" w:rsidRPr="00BD1319">
              <w:rPr>
                <w:rFonts w:cs="Arial"/>
                <w:sz w:val="20"/>
                <w:szCs w:val="20"/>
                <w:lang w:eastAsia="es-CO"/>
              </w:rPr>
              <w:t>qué</w:t>
            </w:r>
            <w:r w:rsidRPr="00BD1319">
              <w:rPr>
                <w:rFonts w:cs="Arial"/>
                <w:sz w:val="20"/>
                <w:szCs w:val="20"/>
                <w:lang w:eastAsia="es-CO"/>
              </w:rPr>
              <w:t xml:space="preserve"> especies vegetales </w:t>
            </w:r>
            <w:r w:rsidR="00A85393" w:rsidRPr="00BD1319">
              <w:rPr>
                <w:rFonts w:cs="Arial"/>
                <w:sz w:val="20"/>
                <w:szCs w:val="20"/>
                <w:lang w:eastAsia="es-CO"/>
              </w:rPr>
              <w:t xml:space="preserve">tienen </w:t>
            </w:r>
            <w:r w:rsidRPr="00BD1319">
              <w:rPr>
                <w:rFonts w:cs="Arial"/>
                <w:sz w:val="20"/>
                <w:szCs w:val="20"/>
                <w:lang w:eastAsia="es-CO"/>
              </w:rPr>
              <w:t>veda</w:t>
            </w:r>
            <w:r w:rsidR="00A85393" w:rsidRPr="00BD1319">
              <w:rPr>
                <w:rFonts w:cs="Arial"/>
                <w:sz w:val="20"/>
                <w:szCs w:val="20"/>
                <w:lang w:eastAsia="es-CO"/>
              </w:rPr>
              <w:t xml:space="preserve"> </w:t>
            </w:r>
            <w:r w:rsidRPr="00BD1319">
              <w:rPr>
                <w:rFonts w:cs="Arial"/>
                <w:sz w:val="20"/>
                <w:szCs w:val="20"/>
                <w:lang w:eastAsia="es-CO"/>
              </w:rPr>
              <w:t>en su jurisdicción</w:t>
            </w:r>
            <w:r w:rsidR="00482A5F" w:rsidRPr="00BD1319">
              <w:rPr>
                <w:rFonts w:cs="Arial"/>
                <w:sz w:val="20"/>
                <w:szCs w:val="20"/>
                <w:lang w:eastAsia="es-CO"/>
              </w:rPr>
              <w:t>.</w:t>
            </w:r>
          </w:p>
        </w:tc>
      </w:tr>
    </w:tbl>
    <w:p w14:paraId="0007C4AB" w14:textId="234D9CFF" w:rsidR="00C52D91" w:rsidRPr="00BD1319" w:rsidRDefault="00C52D91">
      <w:pPr>
        <w:overflowPunct/>
        <w:autoSpaceDE/>
        <w:autoSpaceDN/>
        <w:adjustRightInd/>
        <w:jc w:val="left"/>
        <w:textAlignment w:val="auto"/>
        <w:rPr>
          <w:rFonts w:cs="Arial"/>
          <w:spacing w:val="-3"/>
        </w:rPr>
      </w:pPr>
    </w:p>
    <w:p w14:paraId="11EE1E97" w14:textId="60ECA185" w:rsidR="00482A5F" w:rsidRPr="00BD1319" w:rsidRDefault="00102112" w:rsidP="009420F5">
      <w:pPr>
        <w:pStyle w:val="Ttulo5"/>
        <w:tabs>
          <w:tab w:val="clear" w:pos="2160"/>
          <w:tab w:val="num" w:pos="1134"/>
        </w:tabs>
        <w:ind w:left="1134" w:hanging="1134"/>
        <w:rPr>
          <w:lang w:val="es-CO"/>
        </w:rPr>
      </w:pPr>
      <w:bookmarkStart w:id="2876" w:name="_Ref81911794"/>
      <w:r w:rsidRPr="00BD1319">
        <w:rPr>
          <w:lang w:val="es-CO"/>
        </w:rPr>
        <w:t>Especies vasculares</w:t>
      </w:r>
      <w:r w:rsidR="00C33EC4" w:rsidRPr="00BD1319">
        <w:rPr>
          <w:lang w:val="es-CO"/>
        </w:rPr>
        <w:t>,</w:t>
      </w:r>
      <w:r w:rsidRPr="00BD1319">
        <w:rPr>
          <w:lang w:val="es-CO"/>
        </w:rPr>
        <w:t xml:space="preserve"> no vasculares </w:t>
      </w:r>
      <w:r w:rsidR="00C33EC4" w:rsidRPr="00BD1319">
        <w:rPr>
          <w:lang w:val="es-CO"/>
        </w:rPr>
        <w:t xml:space="preserve">y líquenes, en hábitos </w:t>
      </w:r>
      <w:r w:rsidRPr="00BD1319">
        <w:rPr>
          <w:lang w:val="es-CO"/>
        </w:rPr>
        <w:t>terrestres, rupícolas y epífit</w:t>
      </w:r>
      <w:r w:rsidR="00C33EC4" w:rsidRPr="00BD1319">
        <w:rPr>
          <w:lang w:val="es-CO"/>
        </w:rPr>
        <w:t>o</w:t>
      </w:r>
      <w:r w:rsidRPr="00BD1319">
        <w:rPr>
          <w:lang w:val="es-CO"/>
        </w:rPr>
        <w:t>s</w:t>
      </w:r>
      <w:bookmarkEnd w:id="2876"/>
    </w:p>
    <w:p w14:paraId="77183EC0" w14:textId="77777777" w:rsidR="00482A5F" w:rsidRPr="00BD1319" w:rsidRDefault="00482A5F" w:rsidP="00482A5F">
      <w:pPr>
        <w:numPr>
          <w:ilvl w:val="12"/>
          <w:numId w:val="0"/>
        </w:numPr>
        <w:tabs>
          <w:tab w:val="left" w:pos="-2268"/>
        </w:tabs>
        <w:suppressAutoHyphens/>
        <w:rPr>
          <w:rFonts w:cs="Arial"/>
          <w:spacing w:val="-3"/>
        </w:rPr>
      </w:pPr>
    </w:p>
    <w:p w14:paraId="449A5947" w14:textId="1FE6136B" w:rsidR="007A2478" w:rsidRPr="00BD1319" w:rsidRDefault="00482A5F">
      <w:pPr>
        <w:numPr>
          <w:ilvl w:val="12"/>
          <w:numId w:val="0"/>
        </w:numPr>
        <w:tabs>
          <w:tab w:val="left" w:pos="-2268"/>
        </w:tabs>
        <w:suppressAutoHyphens/>
        <w:rPr>
          <w:spacing w:val="-3"/>
        </w:rPr>
      </w:pPr>
      <w:r w:rsidRPr="00BD1319">
        <w:rPr>
          <w:spacing w:val="-3"/>
        </w:rPr>
        <w:t xml:space="preserve">La caracterización </w:t>
      </w:r>
      <w:r w:rsidR="009D57C6" w:rsidRPr="00BD1319">
        <w:rPr>
          <w:spacing w:val="-3"/>
        </w:rPr>
        <w:t xml:space="preserve">de estas categorías de vegetación </w:t>
      </w:r>
      <w:r w:rsidR="00520155" w:rsidRPr="00BD1319">
        <w:rPr>
          <w:spacing w:val="-3"/>
        </w:rPr>
        <w:t xml:space="preserve">se debe realizar por </w:t>
      </w:r>
      <w:r w:rsidR="007903DF" w:rsidRPr="00BD1319">
        <w:rPr>
          <w:spacing w:val="-3"/>
        </w:rPr>
        <w:t xml:space="preserve">cada </w:t>
      </w:r>
      <w:r w:rsidR="00785A15" w:rsidRPr="00BD1319">
        <w:rPr>
          <w:rFonts w:cs="Arial"/>
          <w:spacing w:val="-3"/>
        </w:rPr>
        <w:t xml:space="preserve">ecosistema </w:t>
      </w:r>
      <w:r w:rsidR="007903DF" w:rsidRPr="00BD1319">
        <w:rPr>
          <w:spacing w:val="-3"/>
        </w:rPr>
        <w:t>d</w:t>
      </w:r>
      <w:r w:rsidRPr="00BD1319">
        <w:rPr>
          <w:spacing w:val="-3"/>
        </w:rPr>
        <w:t>el área de influencia</w:t>
      </w:r>
      <w:r w:rsidRPr="00BD1319">
        <w:rPr>
          <w:rFonts w:cs="Arial"/>
          <w:spacing w:val="-3"/>
        </w:rPr>
        <w:t xml:space="preserve"> del </w:t>
      </w:r>
      <w:r w:rsidR="00520155" w:rsidRPr="00BD1319">
        <w:rPr>
          <w:rFonts w:cs="Arial"/>
          <w:spacing w:val="-3"/>
        </w:rPr>
        <w:t>componente</w:t>
      </w:r>
      <w:r w:rsidRPr="00BD1319">
        <w:rPr>
          <w:spacing w:val="-3"/>
        </w:rPr>
        <w:t xml:space="preserve">, a fin de incluir plantas </w:t>
      </w:r>
      <w:r w:rsidR="00766CDC" w:rsidRPr="00BD1319">
        <w:rPr>
          <w:spacing w:val="-3"/>
        </w:rPr>
        <w:t xml:space="preserve">y líquenes </w:t>
      </w:r>
      <w:r w:rsidRPr="00BD1319">
        <w:rPr>
          <w:spacing w:val="-3"/>
        </w:rPr>
        <w:t>de hábitos terrestres, rupícolas</w:t>
      </w:r>
      <w:r w:rsidR="009D57C6" w:rsidRPr="00BD1319">
        <w:rPr>
          <w:spacing w:val="-3"/>
        </w:rPr>
        <w:t xml:space="preserve"> y</w:t>
      </w:r>
      <w:r w:rsidR="00520155" w:rsidRPr="00BD1319">
        <w:rPr>
          <w:rFonts w:cs="Arial"/>
          <w:spacing w:val="-3"/>
        </w:rPr>
        <w:t xml:space="preserve"> epífitos;</w:t>
      </w:r>
      <w:r w:rsidR="00157BB8" w:rsidRPr="00BD1319">
        <w:rPr>
          <w:rFonts w:cs="Arial"/>
          <w:spacing w:val="-3"/>
        </w:rPr>
        <w:t xml:space="preserve"> </w:t>
      </w:r>
      <w:r w:rsidR="007A2478" w:rsidRPr="00BD1319">
        <w:rPr>
          <w:rFonts w:cs="Arial"/>
          <w:spacing w:val="-3"/>
        </w:rPr>
        <w:t xml:space="preserve">entre ellas se encuentran </w:t>
      </w:r>
      <w:r w:rsidRPr="00BD1319">
        <w:rPr>
          <w:spacing w:val="-3"/>
        </w:rPr>
        <w:t>las pteridofitas</w:t>
      </w:r>
      <w:r w:rsidRPr="00BD1319">
        <w:rPr>
          <w:rFonts w:cs="Arial"/>
          <w:spacing w:val="-3"/>
        </w:rPr>
        <w:t xml:space="preserve"> (helechos), </w:t>
      </w:r>
      <w:r w:rsidR="007A2478" w:rsidRPr="00BD1319">
        <w:rPr>
          <w:rFonts w:cs="Arial"/>
          <w:spacing w:val="-3"/>
        </w:rPr>
        <w:t xml:space="preserve">las </w:t>
      </w:r>
      <w:r w:rsidRPr="00BD1319">
        <w:rPr>
          <w:rFonts w:cs="Arial"/>
          <w:spacing w:val="-3"/>
        </w:rPr>
        <w:t xml:space="preserve">especies de hábitos herbáceos </w:t>
      </w:r>
      <w:r w:rsidR="007A2478" w:rsidRPr="00BD1319">
        <w:rPr>
          <w:rFonts w:cs="Arial"/>
          <w:spacing w:val="-3"/>
        </w:rPr>
        <w:t>de las monocotiledóneas (</w:t>
      </w:r>
      <w:r w:rsidRPr="00BD1319">
        <w:rPr>
          <w:rFonts w:cs="Arial"/>
          <w:spacing w:val="-3"/>
        </w:rPr>
        <w:t xml:space="preserve">familias </w:t>
      </w:r>
      <w:proofErr w:type="spellStart"/>
      <w:r w:rsidRPr="00BD1319">
        <w:rPr>
          <w:rFonts w:cs="Arial"/>
          <w:spacing w:val="-3"/>
        </w:rPr>
        <w:t>Araceae</w:t>
      </w:r>
      <w:proofErr w:type="spellEnd"/>
      <w:r w:rsidRPr="00BD1319">
        <w:rPr>
          <w:rFonts w:cs="Arial"/>
          <w:spacing w:val="-3"/>
        </w:rPr>
        <w:t xml:space="preserve">, </w:t>
      </w:r>
      <w:proofErr w:type="spellStart"/>
      <w:r w:rsidRPr="00BD1319">
        <w:rPr>
          <w:rFonts w:cs="Arial"/>
          <w:spacing w:val="-3"/>
        </w:rPr>
        <w:t>Bromeliaceae</w:t>
      </w:r>
      <w:proofErr w:type="spellEnd"/>
      <w:r w:rsidRPr="00BD1319">
        <w:rPr>
          <w:rFonts w:cs="Arial"/>
          <w:spacing w:val="-3"/>
        </w:rPr>
        <w:t xml:space="preserve">, </w:t>
      </w:r>
      <w:proofErr w:type="spellStart"/>
      <w:r w:rsidRPr="00BD1319">
        <w:rPr>
          <w:rFonts w:cs="Arial"/>
          <w:spacing w:val="-3"/>
        </w:rPr>
        <w:t>Cyclantaceae</w:t>
      </w:r>
      <w:proofErr w:type="spellEnd"/>
      <w:r w:rsidRPr="00BD1319">
        <w:rPr>
          <w:rFonts w:cs="Arial"/>
          <w:spacing w:val="-3"/>
        </w:rPr>
        <w:t xml:space="preserve">, </w:t>
      </w:r>
      <w:proofErr w:type="spellStart"/>
      <w:r w:rsidRPr="00BD1319">
        <w:rPr>
          <w:rFonts w:cs="Arial"/>
          <w:spacing w:val="-3"/>
        </w:rPr>
        <w:t>Liliaceae</w:t>
      </w:r>
      <w:proofErr w:type="spellEnd"/>
      <w:r w:rsidRPr="00BD1319">
        <w:rPr>
          <w:rFonts w:cs="Arial"/>
          <w:spacing w:val="-3"/>
        </w:rPr>
        <w:t xml:space="preserve">, </w:t>
      </w:r>
      <w:proofErr w:type="spellStart"/>
      <w:r w:rsidRPr="00BD1319">
        <w:rPr>
          <w:rFonts w:cs="Arial"/>
          <w:spacing w:val="-3"/>
        </w:rPr>
        <w:t>Orchidaceae</w:t>
      </w:r>
      <w:proofErr w:type="spellEnd"/>
      <w:r w:rsidR="007A2478" w:rsidRPr="00BD1319">
        <w:rPr>
          <w:rFonts w:cs="Arial"/>
          <w:spacing w:val="-3"/>
        </w:rPr>
        <w:t>,</w:t>
      </w:r>
      <w:r w:rsidRPr="00BD1319">
        <w:rPr>
          <w:rFonts w:cs="Arial"/>
          <w:spacing w:val="-3"/>
        </w:rPr>
        <w:t xml:space="preserve"> entre otras</w:t>
      </w:r>
      <w:r w:rsidR="007A2478" w:rsidRPr="00BD1319">
        <w:rPr>
          <w:rFonts w:cs="Arial"/>
          <w:spacing w:val="-3"/>
        </w:rPr>
        <w:t>) y</w:t>
      </w:r>
      <w:r w:rsidRPr="00BD1319">
        <w:rPr>
          <w:rFonts w:cs="Arial"/>
          <w:spacing w:val="-3"/>
        </w:rPr>
        <w:t xml:space="preserve"> de </w:t>
      </w:r>
      <w:r w:rsidR="007A2478" w:rsidRPr="00BD1319">
        <w:rPr>
          <w:rFonts w:cs="Arial"/>
          <w:spacing w:val="-3"/>
        </w:rPr>
        <w:t xml:space="preserve">las </w:t>
      </w:r>
      <w:r w:rsidRPr="00BD1319">
        <w:rPr>
          <w:rFonts w:cs="Arial"/>
          <w:spacing w:val="-3"/>
        </w:rPr>
        <w:t>dicotiled</w:t>
      </w:r>
      <w:r w:rsidR="007A2478" w:rsidRPr="00BD1319">
        <w:rPr>
          <w:rFonts w:cs="Arial"/>
          <w:spacing w:val="-3"/>
        </w:rPr>
        <w:t>ó</w:t>
      </w:r>
      <w:r w:rsidRPr="00BD1319">
        <w:rPr>
          <w:rFonts w:cs="Arial"/>
          <w:spacing w:val="-3"/>
        </w:rPr>
        <w:t xml:space="preserve">neas </w:t>
      </w:r>
      <w:r w:rsidR="007A2478" w:rsidRPr="00BD1319">
        <w:rPr>
          <w:rFonts w:cs="Arial"/>
          <w:spacing w:val="-3"/>
        </w:rPr>
        <w:t xml:space="preserve">(familias </w:t>
      </w:r>
      <w:proofErr w:type="spellStart"/>
      <w:r w:rsidRPr="00BD1319">
        <w:rPr>
          <w:rFonts w:cs="Arial"/>
          <w:spacing w:val="-3"/>
        </w:rPr>
        <w:t>Cactaceae</w:t>
      </w:r>
      <w:proofErr w:type="spellEnd"/>
      <w:r w:rsidR="007A2478" w:rsidRPr="00BD1319">
        <w:rPr>
          <w:rFonts w:cs="Arial"/>
          <w:spacing w:val="-3"/>
        </w:rPr>
        <w:t>,</w:t>
      </w:r>
      <w:r w:rsidRPr="00BD1319">
        <w:rPr>
          <w:rFonts w:cs="Arial"/>
          <w:spacing w:val="-3"/>
        </w:rPr>
        <w:t xml:space="preserve"> </w:t>
      </w:r>
      <w:proofErr w:type="spellStart"/>
      <w:r w:rsidRPr="00BD1319">
        <w:rPr>
          <w:spacing w:val="-3"/>
        </w:rPr>
        <w:t>Pasifloraceae</w:t>
      </w:r>
      <w:proofErr w:type="spellEnd"/>
      <w:r w:rsidRPr="00BD1319">
        <w:rPr>
          <w:spacing w:val="-3"/>
        </w:rPr>
        <w:t xml:space="preserve">, </w:t>
      </w:r>
      <w:proofErr w:type="spellStart"/>
      <w:r w:rsidRPr="00BD1319">
        <w:rPr>
          <w:spacing w:val="-3"/>
        </w:rPr>
        <w:t>Piperaceae</w:t>
      </w:r>
      <w:proofErr w:type="spellEnd"/>
      <w:r w:rsidR="007A2478" w:rsidRPr="00BD1319">
        <w:rPr>
          <w:spacing w:val="-3"/>
        </w:rPr>
        <w:t>,</w:t>
      </w:r>
      <w:r w:rsidRPr="00BD1319">
        <w:rPr>
          <w:spacing w:val="-3"/>
        </w:rPr>
        <w:t xml:space="preserve"> </w:t>
      </w:r>
      <w:r w:rsidRPr="00BD1319">
        <w:rPr>
          <w:rFonts w:cs="Arial"/>
          <w:spacing w:val="-3"/>
        </w:rPr>
        <w:t>entre otras</w:t>
      </w:r>
      <w:r w:rsidR="007A2478" w:rsidRPr="00BD1319">
        <w:rPr>
          <w:rFonts w:cs="Arial"/>
          <w:spacing w:val="-3"/>
        </w:rPr>
        <w:t>),</w:t>
      </w:r>
      <w:r w:rsidRPr="00BD1319" w:rsidDel="0074016D">
        <w:rPr>
          <w:spacing w:val="-3"/>
        </w:rPr>
        <w:t xml:space="preserve"> </w:t>
      </w:r>
      <w:r w:rsidR="007A2478" w:rsidRPr="00BD1319">
        <w:rPr>
          <w:spacing w:val="-3"/>
        </w:rPr>
        <w:t>así como</w:t>
      </w:r>
      <w:r w:rsidRPr="00BD1319">
        <w:rPr>
          <w:spacing w:val="-3"/>
        </w:rPr>
        <w:t xml:space="preserve"> </w:t>
      </w:r>
      <w:r w:rsidRPr="00BD1319">
        <w:rPr>
          <w:rFonts w:cs="Arial"/>
          <w:spacing w:val="-3"/>
        </w:rPr>
        <w:t>musgos</w:t>
      </w:r>
      <w:r w:rsidRPr="00BD1319">
        <w:rPr>
          <w:spacing w:val="-3"/>
        </w:rPr>
        <w:t xml:space="preserve">, hepáticas y </w:t>
      </w:r>
      <w:proofErr w:type="spellStart"/>
      <w:r w:rsidRPr="00BD1319">
        <w:rPr>
          <w:rFonts w:cs="Arial"/>
          <w:spacing w:val="-3"/>
        </w:rPr>
        <w:t>anthocerotales</w:t>
      </w:r>
      <w:proofErr w:type="spellEnd"/>
      <w:r w:rsidRPr="00BD1319">
        <w:rPr>
          <w:spacing w:val="-3"/>
        </w:rPr>
        <w:t xml:space="preserve"> (plantas no vasculares)</w:t>
      </w:r>
      <w:r w:rsidR="00785A15" w:rsidRPr="00BD1319">
        <w:rPr>
          <w:spacing w:val="-3"/>
        </w:rPr>
        <w:t xml:space="preserve"> y líquenes</w:t>
      </w:r>
      <w:r w:rsidRPr="00BD1319">
        <w:rPr>
          <w:spacing w:val="-3"/>
        </w:rPr>
        <w:t>.</w:t>
      </w:r>
      <w:r w:rsidR="0043551D" w:rsidRPr="00BD1319">
        <w:rPr>
          <w:spacing w:val="-3"/>
        </w:rPr>
        <w:t xml:space="preserve"> </w:t>
      </w:r>
      <w:r w:rsidR="00421786" w:rsidRPr="00BD1319">
        <w:rPr>
          <w:spacing w:val="-3"/>
        </w:rPr>
        <w:t>L</w:t>
      </w:r>
      <w:r w:rsidR="0043551D" w:rsidRPr="00BD1319">
        <w:rPr>
          <w:spacing w:val="-3"/>
        </w:rPr>
        <w:t xml:space="preserve">a caracterización de estos grupos de especies debe </w:t>
      </w:r>
      <w:r w:rsidR="00421786" w:rsidRPr="00BD1319">
        <w:rPr>
          <w:spacing w:val="-3"/>
        </w:rPr>
        <w:t xml:space="preserve">contar con </w:t>
      </w:r>
      <w:r w:rsidR="0043551D" w:rsidRPr="00BD1319">
        <w:rPr>
          <w:spacing w:val="-3"/>
        </w:rPr>
        <w:t>análisis de riqueza, abundancia y composición</w:t>
      </w:r>
      <w:r w:rsidR="009D57C6" w:rsidRPr="00BD1319">
        <w:rPr>
          <w:spacing w:val="-3"/>
        </w:rPr>
        <w:t xml:space="preserve"> </w:t>
      </w:r>
      <w:r w:rsidR="00421786" w:rsidRPr="00BD1319">
        <w:rPr>
          <w:spacing w:val="-3"/>
        </w:rPr>
        <w:t xml:space="preserve">desarrollados </w:t>
      </w:r>
      <w:r w:rsidR="009B769C" w:rsidRPr="00BD1319">
        <w:rPr>
          <w:spacing w:val="-3"/>
        </w:rPr>
        <w:t xml:space="preserve">mediante </w:t>
      </w:r>
      <w:r w:rsidR="0043551D" w:rsidRPr="00BD1319">
        <w:rPr>
          <w:spacing w:val="-3"/>
        </w:rPr>
        <w:t>m</w:t>
      </w:r>
      <w:r w:rsidR="009D57C6" w:rsidRPr="00BD1319">
        <w:rPr>
          <w:spacing w:val="-3"/>
        </w:rPr>
        <w:t xml:space="preserve">étodos reconocidos y estadísticamente </w:t>
      </w:r>
      <w:r w:rsidR="0043551D" w:rsidRPr="00BD1319">
        <w:rPr>
          <w:spacing w:val="-3"/>
        </w:rPr>
        <w:t>soportad</w:t>
      </w:r>
      <w:r w:rsidR="009D57C6" w:rsidRPr="00BD1319">
        <w:rPr>
          <w:spacing w:val="-3"/>
        </w:rPr>
        <w:t>o</w:t>
      </w:r>
      <w:r w:rsidR="0043551D" w:rsidRPr="00BD1319">
        <w:rPr>
          <w:spacing w:val="-3"/>
        </w:rPr>
        <w:t>s.</w:t>
      </w:r>
    </w:p>
    <w:p w14:paraId="270F234D" w14:textId="77777777" w:rsidR="007A2478" w:rsidRPr="00BD1319" w:rsidRDefault="007A2478">
      <w:pPr>
        <w:numPr>
          <w:ilvl w:val="12"/>
          <w:numId w:val="0"/>
        </w:numPr>
        <w:tabs>
          <w:tab w:val="left" w:pos="-2268"/>
        </w:tabs>
        <w:suppressAutoHyphens/>
        <w:rPr>
          <w:spacing w:val="-3"/>
        </w:rPr>
      </w:pPr>
    </w:p>
    <w:p w14:paraId="782C38EB" w14:textId="2DAC3BE0" w:rsidR="00482A5F" w:rsidRPr="00BD1319" w:rsidRDefault="007A2478">
      <w:pPr>
        <w:numPr>
          <w:ilvl w:val="12"/>
          <w:numId w:val="0"/>
        </w:numPr>
        <w:tabs>
          <w:tab w:val="left" w:pos="-2268"/>
        </w:tabs>
        <w:suppressAutoHyphens/>
        <w:rPr>
          <w:spacing w:val="-3"/>
        </w:rPr>
      </w:pPr>
      <w:r w:rsidRPr="00BD1319">
        <w:rPr>
          <w:spacing w:val="-3"/>
        </w:rPr>
        <w:t>Se debe tener en cuenta que e</w:t>
      </w:r>
      <w:r w:rsidR="00482A5F" w:rsidRPr="00BD1319">
        <w:rPr>
          <w:spacing w:val="-3"/>
        </w:rPr>
        <w:t>ste tipo de vegetación, además de aportar gran cantidad de biomasa a los ecosistemas terrestres tropicales (</w:t>
      </w:r>
      <w:proofErr w:type="spellStart"/>
      <w:r w:rsidR="00482A5F" w:rsidRPr="00BD1319">
        <w:rPr>
          <w:spacing w:val="-3"/>
        </w:rPr>
        <w:t>Gentry</w:t>
      </w:r>
      <w:proofErr w:type="spellEnd"/>
      <w:r w:rsidR="00482A5F" w:rsidRPr="00BD1319">
        <w:rPr>
          <w:spacing w:val="-3"/>
        </w:rPr>
        <w:t xml:space="preserve"> &amp; Dodson, 1987; </w:t>
      </w:r>
      <w:proofErr w:type="spellStart"/>
      <w:r w:rsidR="00482A5F" w:rsidRPr="00BD1319">
        <w:rPr>
          <w:spacing w:val="-3"/>
        </w:rPr>
        <w:t>Benzing</w:t>
      </w:r>
      <w:proofErr w:type="spellEnd"/>
      <w:r w:rsidR="00482A5F" w:rsidRPr="00BD1319">
        <w:rPr>
          <w:spacing w:val="-3"/>
        </w:rPr>
        <w:t xml:space="preserve">, 1990), tiene una alta sensibilidad a las alteraciones del hábitat y constituye un </w:t>
      </w:r>
      <w:r w:rsidR="009B769C" w:rsidRPr="00BD1319">
        <w:rPr>
          <w:spacing w:val="-3"/>
        </w:rPr>
        <w:t xml:space="preserve">elemento </w:t>
      </w:r>
      <w:r w:rsidR="00482A5F" w:rsidRPr="00BD1319">
        <w:rPr>
          <w:spacing w:val="-3"/>
        </w:rPr>
        <w:t>importante de la biodiversidad, especialmente en los bosques húmedo</w:t>
      </w:r>
      <w:r w:rsidR="00066EDC" w:rsidRPr="00BD1319">
        <w:rPr>
          <w:spacing w:val="-3"/>
        </w:rPr>
        <w:t xml:space="preserve">s </w:t>
      </w:r>
      <w:r w:rsidR="00482A5F" w:rsidRPr="00BD1319">
        <w:rPr>
          <w:spacing w:val="-3"/>
        </w:rPr>
        <w:t xml:space="preserve">tropicales (Granados-Sánchez et al., </w:t>
      </w:r>
      <w:r w:rsidR="00482A5F" w:rsidRPr="00BD1319">
        <w:rPr>
          <w:rFonts w:cs="Arial"/>
          <w:spacing w:val="-3"/>
        </w:rPr>
        <w:t>2003) y ecosistemas de alta montaña como páramos y bosques altoandinos.</w:t>
      </w:r>
    </w:p>
    <w:p w14:paraId="5390823C" w14:textId="77777777" w:rsidR="00482A5F" w:rsidRPr="00BD1319" w:rsidRDefault="00482A5F">
      <w:pPr>
        <w:numPr>
          <w:ilvl w:val="12"/>
          <w:numId w:val="0"/>
        </w:numPr>
        <w:tabs>
          <w:tab w:val="left" w:pos="-2268"/>
        </w:tabs>
        <w:suppressAutoHyphens/>
        <w:rPr>
          <w:spacing w:val="-3"/>
        </w:rPr>
      </w:pPr>
    </w:p>
    <w:p w14:paraId="69E1232B" w14:textId="550BDED9" w:rsidR="00482A5F" w:rsidRPr="00BD1319" w:rsidRDefault="00482A5F">
      <w:pPr>
        <w:numPr>
          <w:ilvl w:val="12"/>
          <w:numId w:val="0"/>
        </w:numPr>
        <w:tabs>
          <w:tab w:val="left" w:pos="-2268"/>
        </w:tabs>
        <w:suppressAutoHyphens/>
        <w:rPr>
          <w:spacing w:val="-3"/>
        </w:rPr>
      </w:pPr>
      <w:r w:rsidRPr="00BD1319">
        <w:rPr>
          <w:spacing w:val="-3"/>
        </w:rPr>
        <w:t>A continuación</w:t>
      </w:r>
      <w:r w:rsidRPr="00BD1319">
        <w:rPr>
          <w:rFonts w:cs="Arial"/>
          <w:spacing w:val="-3"/>
        </w:rPr>
        <w:t>,</w:t>
      </w:r>
      <w:r w:rsidRPr="00BD1319">
        <w:rPr>
          <w:spacing w:val="-3"/>
        </w:rPr>
        <w:t xml:space="preserve"> se establecen las particularidades que se deben tener en cuenta para la caracterización de este tipo de vegetación en las fases previa, de </w:t>
      </w:r>
      <w:r w:rsidR="00102112" w:rsidRPr="00BD1319">
        <w:rPr>
          <w:spacing w:val="-3"/>
        </w:rPr>
        <w:t xml:space="preserve">campo </w:t>
      </w:r>
      <w:r w:rsidRPr="00BD1319">
        <w:rPr>
          <w:spacing w:val="-3"/>
        </w:rPr>
        <w:t>y de análisis</w:t>
      </w:r>
      <w:r w:rsidR="007A2478" w:rsidRPr="00BD1319">
        <w:rPr>
          <w:spacing w:val="-3"/>
        </w:rPr>
        <w:t>.</w:t>
      </w:r>
    </w:p>
    <w:p w14:paraId="7D0F0D9F" w14:textId="77777777" w:rsidR="00482A5F" w:rsidRPr="00BD1319" w:rsidRDefault="00482A5F" w:rsidP="00482A5F">
      <w:pPr>
        <w:numPr>
          <w:ilvl w:val="12"/>
          <w:numId w:val="0"/>
        </w:numPr>
        <w:tabs>
          <w:tab w:val="left" w:pos="-2268"/>
        </w:tabs>
        <w:suppressAutoHyphens/>
        <w:rPr>
          <w:rFonts w:cs="Arial"/>
          <w:spacing w:val="-3"/>
        </w:rPr>
      </w:pPr>
    </w:p>
    <w:p w14:paraId="7C1405FC" w14:textId="77777777" w:rsidR="00482A5F" w:rsidRPr="00BD1319" w:rsidRDefault="00482A5F" w:rsidP="00482A5F">
      <w:pPr>
        <w:tabs>
          <w:tab w:val="left" w:pos="-2268"/>
        </w:tabs>
        <w:suppressAutoHyphens/>
        <w:rPr>
          <w:rFonts w:cs="Arial"/>
          <w:spacing w:val="-3"/>
          <w:u w:val="single"/>
        </w:rPr>
      </w:pPr>
      <w:r w:rsidRPr="00BD1319">
        <w:rPr>
          <w:rFonts w:cs="Arial"/>
          <w:spacing w:val="-3"/>
          <w:u w:val="single"/>
        </w:rPr>
        <w:t>Fase previa:</w:t>
      </w:r>
    </w:p>
    <w:p w14:paraId="27368F0E" w14:textId="77777777" w:rsidR="00482A5F" w:rsidRPr="00BD1319" w:rsidRDefault="00482A5F" w:rsidP="00482A5F">
      <w:pPr>
        <w:numPr>
          <w:ilvl w:val="12"/>
          <w:numId w:val="0"/>
        </w:numPr>
        <w:tabs>
          <w:tab w:val="left" w:pos="-2268"/>
        </w:tabs>
        <w:suppressAutoHyphens/>
        <w:rPr>
          <w:rFonts w:cs="Arial"/>
          <w:spacing w:val="-3"/>
        </w:rPr>
      </w:pPr>
    </w:p>
    <w:p w14:paraId="731AE553" w14:textId="0472E9DE" w:rsidR="00482A5F" w:rsidRPr="00BD1319" w:rsidRDefault="00CD69AC" w:rsidP="00482A5F">
      <w:pPr>
        <w:numPr>
          <w:ilvl w:val="12"/>
          <w:numId w:val="0"/>
        </w:numPr>
        <w:tabs>
          <w:tab w:val="left" w:pos="-2268"/>
        </w:tabs>
        <w:suppressAutoHyphens/>
        <w:rPr>
          <w:rFonts w:cs="Arial"/>
          <w:spacing w:val="-3"/>
        </w:rPr>
      </w:pPr>
      <w:r w:rsidRPr="00BD1319">
        <w:rPr>
          <w:rFonts w:cs="Arial"/>
          <w:spacing w:val="-3"/>
        </w:rPr>
        <w:lastRenderedPageBreak/>
        <w:t xml:space="preserve">Consiste en la </w:t>
      </w:r>
      <w:r w:rsidR="00482A5F" w:rsidRPr="00BD1319">
        <w:rPr>
          <w:rFonts w:cs="Arial"/>
          <w:spacing w:val="-3"/>
        </w:rPr>
        <w:t>recopila</w:t>
      </w:r>
      <w:r w:rsidRPr="00BD1319">
        <w:rPr>
          <w:rFonts w:cs="Arial"/>
          <w:spacing w:val="-3"/>
        </w:rPr>
        <w:t>ción de</w:t>
      </w:r>
      <w:r w:rsidR="00482A5F" w:rsidRPr="00BD1319">
        <w:rPr>
          <w:rFonts w:cs="Arial"/>
          <w:spacing w:val="-3"/>
        </w:rPr>
        <w:t xml:space="preserve"> información secundaria sobre </w:t>
      </w:r>
      <w:r w:rsidRPr="00BD1319">
        <w:rPr>
          <w:rFonts w:cs="Arial"/>
          <w:spacing w:val="-3"/>
        </w:rPr>
        <w:t xml:space="preserve">la </w:t>
      </w:r>
      <w:r w:rsidR="00482A5F" w:rsidRPr="00BD1319">
        <w:rPr>
          <w:rFonts w:cs="Arial"/>
          <w:spacing w:val="-3"/>
        </w:rPr>
        <w:t xml:space="preserve">presencia </w:t>
      </w:r>
      <w:r w:rsidRPr="00BD1319">
        <w:rPr>
          <w:rFonts w:cs="Arial"/>
          <w:spacing w:val="-3"/>
        </w:rPr>
        <w:t>de especies vasculares</w:t>
      </w:r>
      <w:r w:rsidR="00604672" w:rsidRPr="00BD1319">
        <w:rPr>
          <w:rFonts w:cs="Arial"/>
          <w:spacing w:val="-3"/>
        </w:rPr>
        <w:t>,</w:t>
      </w:r>
      <w:r w:rsidRPr="00BD1319">
        <w:rPr>
          <w:rFonts w:cs="Arial"/>
          <w:spacing w:val="-3"/>
        </w:rPr>
        <w:t xml:space="preserve"> no vasculares </w:t>
      </w:r>
      <w:r w:rsidR="00604672" w:rsidRPr="00BD1319">
        <w:rPr>
          <w:rFonts w:cs="Arial"/>
          <w:spacing w:val="-3"/>
        </w:rPr>
        <w:t xml:space="preserve">y líquenes </w:t>
      </w:r>
      <w:r w:rsidRPr="00BD1319">
        <w:rPr>
          <w:rFonts w:cs="Arial"/>
          <w:spacing w:val="-3"/>
        </w:rPr>
        <w:t xml:space="preserve">de hábitos terrestres, rupícolas y epífitos </w:t>
      </w:r>
      <w:r w:rsidR="00066EDC" w:rsidRPr="00BD1319">
        <w:rPr>
          <w:rFonts w:cs="Arial"/>
          <w:spacing w:val="-3"/>
        </w:rPr>
        <w:t xml:space="preserve">en el área de influencia del </w:t>
      </w:r>
      <w:r w:rsidR="00520155" w:rsidRPr="00BD1319">
        <w:rPr>
          <w:rFonts w:cs="Arial"/>
          <w:spacing w:val="-3"/>
        </w:rPr>
        <w:t>componente</w:t>
      </w:r>
      <w:r w:rsidR="00066EDC" w:rsidRPr="00BD1319">
        <w:rPr>
          <w:rFonts w:cs="Arial"/>
          <w:spacing w:val="-3"/>
        </w:rPr>
        <w:t>.</w:t>
      </w:r>
      <w:r w:rsidR="00482A5F" w:rsidRPr="00BD1319">
        <w:rPr>
          <w:rFonts w:cs="Arial"/>
          <w:spacing w:val="-3"/>
        </w:rPr>
        <w:t xml:space="preserve"> </w:t>
      </w:r>
      <w:r w:rsidR="00066EDC" w:rsidRPr="00BD1319">
        <w:rPr>
          <w:rFonts w:cs="Arial"/>
          <w:spacing w:val="-3"/>
        </w:rPr>
        <w:t>L</w:t>
      </w:r>
      <w:r w:rsidR="00482A5F" w:rsidRPr="00BD1319">
        <w:rPr>
          <w:rFonts w:cs="Arial"/>
          <w:spacing w:val="-3"/>
        </w:rPr>
        <w:t xml:space="preserve">a base de datos más completa de estas </w:t>
      </w:r>
      <w:r w:rsidR="00066EDC" w:rsidRPr="00BD1319">
        <w:rPr>
          <w:rFonts w:cs="Arial"/>
          <w:spacing w:val="-3"/>
        </w:rPr>
        <w:t xml:space="preserve">plantas </w:t>
      </w:r>
      <w:r w:rsidR="00482A5F" w:rsidRPr="00BD1319">
        <w:rPr>
          <w:rFonts w:cs="Arial"/>
          <w:spacing w:val="-3"/>
        </w:rPr>
        <w:t xml:space="preserve">para Colombia se encuentra en el </w:t>
      </w:r>
      <w:r w:rsidR="00066EDC" w:rsidRPr="00BD1319">
        <w:rPr>
          <w:rFonts w:cs="Arial"/>
          <w:spacing w:val="-3"/>
        </w:rPr>
        <w:t>C</w:t>
      </w:r>
      <w:r w:rsidR="00482A5F" w:rsidRPr="00BD1319">
        <w:rPr>
          <w:rFonts w:cs="Arial"/>
          <w:spacing w:val="-3"/>
        </w:rPr>
        <w:t xml:space="preserve">atálogo de </w:t>
      </w:r>
      <w:r w:rsidR="00066EDC" w:rsidRPr="00BD1319">
        <w:rPr>
          <w:rFonts w:cs="Arial"/>
          <w:spacing w:val="-3"/>
        </w:rPr>
        <w:t>p</w:t>
      </w:r>
      <w:r w:rsidR="00482A5F" w:rsidRPr="00BD1319">
        <w:rPr>
          <w:rFonts w:cs="Arial"/>
          <w:spacing w:val="-3"/>
        </w:rPr>
        <w:t xml:space="preserve">lantas y </w:t>
      </w:r>
      <w:r w:rsidR="00066EDC" w:rsidRPr="00BD1319">
        <w:rPr>
          <w:rFonts w:cs="Arial"/>
          <w:spacing w:val="-3"/>
        </w:rPr>
        <w:t>l</w:t>
      </w:r>
      <w:r w:rsidR="00482A5F" w:rsidRPr="00BD1319">
        <w:rPr>
          <w:rFonts w:cs="Arial"/>
          <w:spacing w:val="-3"/>
        </w:rPr>
        <w:t xml:space="preserve">íquenes de Colombia </w:t>
      </w:r>
      <w:r w:rsidR="005D522A" w:rsidRPr="00BD1319">
        <w:rPr>
          <w:rFonts w:cs="Arial"/>
          <w:spacing w:val="-3"/>
        </w:rPr>
        <w:t>(</w:t>
      </w:r>
      <w:hyperlink r:id="rId59" w:history="1">
        <w:r w:rsidR="00482A5F" w:rsidRPr="00BD1319">
          <w:t>http://catalogoplantasdecolombia.unal.edu.co/es/</w:t>
        </w:r>
      </w:hyperlink>
      <w:r w:rsidR="005D522A" w:rsidRPr="00BD1319">
        <w:t>)</w:t>
      </w:r>
      <w:r w:rsidR="00570399" w:rsidRPr="00BD1319">
        <w:rPr>
          <w:rFonts w:cs="Arial"/>
          <w:spacing w:val="-3"/>
        </w:rPr>
        <w:t>,</w:t>
      </w:r>
      <w:r w:rsidR="00482A5F" w:rsidRPr="00BD1319">
        <w:rPr>
          <w:rFonts w:cs="Arial"/>
          <w:spacing w:val="-3"/>
        </w:rPr>
        <w:t xml:space="preserve"> </w:t>
      </w:r>
      <w:r w:rsidR="00570399" w:rsidRPr="00BD1319">
        <w:rPr>
          <w:rFonts w:cs="Arial"/>
          <w:spacing w:val="-3"/>
        </w:rPr>
        <w:t xml:space="preserve">en </w:t>
      </w:r>
      <w:r w:rsidR="005D522A" w:rsidRPr="00BD1319">
        <w:rPr>
          <w:rFonts w:cs="Arial"/>
          <w:spacing w:val="-3"/>
        </w:rPr>
        <w:t>e</w:t>
      </w:r>
      <w:r w:rsidR="00570399" w:rsidRPr="00BD1319">
        <w:rPr>
          <w:rFonts w:cs="Arial"/>
          <w:spacing w:val="-3"/>
        </w:rPr>
        <w:t xml:space="preserve">l que es posible realizar búsquedas </w:t>
      </w:r>
      <w:r w:rsidR="00482A5F" w:rsidRPr="00BD1319">
        <w:rPr>
          <w:rFonts w:cs="Arial"/>
          <w:spacing w:val="-3"/>
        </w:rPr>
        <w:t>por familia, rangos altitudinales, departamento</w:t>
      </w:r>
      <w:r w:rsidR="00066EDC" w:rsidRPr="00BD1319">
        <w:rPr>
          <w:rFonts w:cs="Arial"/>
          <w:spacing w:val="-3"/>
        </w:rPr>
        <w:t>,</w:t>
      </w:r>
      <w:r w:rsidR="00482A5F" w:rsidRPr="00BD1319">
        <w:rPr>
          <w:rFonts w:cs="Arial"/>
          <w:spacing w:val="-3"/>
        </w:rPr>
        <w:t xml:space="preserve"> endemismo, estado de conservación</w:t>
      </w:r>
      <w:r w:rsidR="00570399" w:rsidRPr="00BD1319">
        <w:rPr>
          <w:rFonts w:cs="Arial"/>
          <w:spacing w:val="-3"/>
        </w:rPr>
        <w:t>,</w:t>
      </w:r>
      <w:r w:rsidR="00482A5F" w:rsidRPr="00BD1319">
        <w:rPr>
          <w:rFonts w:cs="Arial"/>
          <w:spacing w:val="-3"/>
        </w:rPr>
        <w:t xml:space="preserve"> entre otr</w:t>
      </w:r>
      <w:r w:rsidR="00570399" w:rsidRPr="00BD1319">
        <w:rPr>
          <w:rFonts w:cs="Arial"/>
          <w:spacing w:val="-3"/>
        </w:rPr>
        <w:t>a</w:t>
      </w:r>
      <w:r w:rsidR="00482A5F" w:rsidRPr="00BD1319">
        <w:rPr>
          <w:rFonts w:cs="Arial"/>
          <w:spacing w:val="-3"/>
        </w:rPr>
        <w:t xml:space="preserve">s </w:t>
      </w:r>
      <w:r w:rsidR="00570399" w:rsidRPr="00BD1319">
        <w:rPr>
          <w:rFonts w:cs="Arial"/>
          <w:spacing w:val="-3"/>
        </w:rPr>
        <w:t xml:space="preserve">variables; en todo caso, se deben </w:t>
      </w:r>
      <w:r w:rsidR="00482A5F" w:rsidRPr="00BD1319">
        <w:rPr>
          <w:rFonts w:cs="Arial"/>
          <w:spacing w:val="-3"/>
        </w:rPr>
        <w:t xml:space="preserve">revisar otras bases de datos </w:t>
      </w:r>
      <w:r w:rsidR="00570399" w:rsidRPr="00BD1319">
        <w:rPr>
          <w:rFonts w:cs="Arial"/>
          <w:spacing w:val="-3"/>
        </w:rPr>
        <w:t>e</w:t>
      </w:r>
      <w:r w:rsidR="00482A5F" w:rsidRPr="00BD1319">
        <w:rPr>
          <w:rFonts w:cs="Arial"/>
          <w:spacing w:val="-3"/>
        </w:rPr>
        <w:t xml:space="preserve"> información bibliográfica </w:t>
      </w:r>
      <w:r w:rsidR="00570399" w:rsidRPr="00BD1319">
        <w:rPr>
          <w:rFonts w:cs="Arial"/>
          <w:spacing w:val="-3"/>
        </w:rPr>
        <w:t xml:space="preserve">especializada en </w:t>
      </w:r>
      <w:r w:rsidR="00482A5F" w:rsidRPr="00BD1319">
        <w:rPr>
          <w:rFonts w:cs="Arial"/>
          <w:spacing w:val="-3"/>
        </w:rPr>
        <w:t>el tema.</w:t>
      </w:r>
    </w:p>
    <w:p w14:paraId="69DC87CD" w14:textId="77777777" w:rsidR="00482A5F" w:rsidRPr="00BD1319" w:rsidRDefault="00482A5F" w:rsidP="00482A5F">
      <w:pPr>
        <w:numPr>
          <w:ilvl w:val="12"/>
          <w:numId w:val="0"/>
        </w:numPr>
        <w:tabs>
          <w:tab w:val="left" w:pos="-2268"/>
        </w:tabs>
        <w:suppressAutoHyphens/>
        <w:rPr>
          <w:rFonts w:cs="Arial"/>
          <w:spacing w:val="-3"/>
        </w:rPr>
      </w:pPr>
    </w:p>
    <w:p w14:paraId="4C52BDFB" w14:textId="08126334" w:rsidR="00482A5F" w:rsidRPr="00BD1319" w:rsidRDefault="00482A5F">
      <w:pPr>
        <w:numPr>
          <w:ilvl w:val="12"/>
          <w:numId w:val="0"/>
        </w:numPr>
        <w:tabs>
          <w:tab w:val="left" w:pos="-2268"/>
        </w:tabs>
        <w:suppressAutoHyphens/>
        <w:rPr>
          <w:spacing w:val="-3"/>
        </w:rPr>
      </w:pPr>
      <w:r w:rsidRPr="00BD1319">
        <w:rPr>
          <w:spacing w:val="-3"/>
        </w:rPr>
        <w:t xml:space="preserve">La </w:t>
      </w:r>
      <w:r w:rsidR="00977C86" w:rsidRPr="00BD1319">
        <w:rPr>
          <w:rFonts w:cs="Arial"/>
          <w:spacing w:val="-3"/>
        </w:rPr>
        <w:fldChar w:fldCharType="begin"/>
      </w:r>
      <w:r w:rsidR="00977C86" w:rsidRPr="00BD1319">
        <w:rPr>
          <w:rFonts w:cs="Arial"/>
          <w:spacing w:val="-3"/>
        </w:rPr>
        <w:instrText xml:space="preserve"> REF _Ref43051739 \h </w:instrText>
      </w:r>
      <w:r w:rsidR="00EE6898" w:rsidRPr="00BD1319">
        <w:rPr>
          <w:rFonts w:cs="Arial"/>
          <w:spacing w:val="-3"/>
        </w:rPr>
        <w:instrText xml:space="preserve"> \* MERGEFORMAT </w:instrText>
      </w:r>
      <w:r w:rsidR="00977C86" w:rsidRPr="00BD1319">
        <w:rPr>
          <w:rFonts w:cs="Arial"/>
          <w:spacing w:val="-3"/>
        </w:rPr>
      </w:r>
      <w:r w:rsidR="00977C86" w:rsidRPr="00BD1319">
        <w:rPr>
          <w:rFonts w:cs="Arial"/>
          <w:spacing w:val="-3"/>
        </w:rPr>
        <w:fldChar w:fldCharType="separate"/>
      </w:r>
      <w:r w:rsidR="00296654" w:rsidRPr="00BD1319">
        <w:rPr>
          <w:rFonts w:cs="Arial"/>
          <w:spacing w:val="-3"/>
        </w:rPr>
        <w:t>Tabla 24</w:t>
      </w:r>
      <w:r w:rsidR="00977C86" w:rsidRPr="00BD1319">
        <w:rPr>
          <w:rFonts w:cs="Arial"/>
          <w:spacing w:val="-3"/>
        </w:rPr>
        <w:fldChar w:fldCharType="end"/>
      </w:r>
      <w:r w:rsidR="00977C86" w:rsidRPr="00BD1319">
        <w:rPr>
          <w:spacing w:val="-3"/>
        </w:rPr>
        <w:t xml:space="preserve"> </w:t>
      </w:r>
      <w:r w:rsidRPr="00BD1319">
        <w:rPr>
          <w:spacing w:val="-3"/>
        </w:rPr>
        <w:t xml:space="preserve">señala las fuentes de información </w:t>
      </w:r>
      <w:r w:rsidR="00A85393" w:rsidRPr="00BD1319">
        <w:rPr>
          <w:spacing w:val="-3"/>
        </w:rPr>
        <w:t>que mínimamente</w:t>
      </w:r>
      <w:r w:rsidRPr="00BD1319">
        <w:rPr>
          <w:spacing w:val="-3"/>
        </w:rPr>
        <w:t xml:space="preserve"> </w:t>
      </w:r>
      <w:r w:rsidR="00A85393" w:rsidRPr="00BD1319">
        <w:rPr>
          <w:spacing w:val="-3"/>
        </w:rPr>
        <w:t xml:space="preserve">deben </w:t>
      </w:r>
      <w:r w:rsidRPr="00BD1319">
        <w:rPr>
          <w:spacing w:val="-3"/>
        </w:rPr>
        <w:t>considera</w:t>
      </w:r>
      <w:r w:rsidR="00A85393" w:rsidRPr="00BD1319">
        <w:rPr>
          <w:spacing w:val="-3"/>
        </w:rPr>
        <w:t>se</w:t>
      </w:r>
      <w:r w:rsidR="00570399" w:rsidRPr="00BD1319">
        <w:rPr>
          <w:spacing w:val="-3"/>
        </w:rPr>
        <w:t xml:space="preserve"> en la fase previa.</w:t>
      </w:r>
    </w:p>
    <w:p w14:paraId="1D4F1F5A" w14:textId="77777777" w:rsidR="00482A5F" w:rsidRPr="00BD1319" w:rsidRDefault="00482A5F">
      <w:pPr>
        <w:numPr>
          <w:ilvl w:val="12"/>
          <w:numId w:val="0"/>
        </w:numPr>
        <w:tabs>
          <w:tab w:val="left" w:pos="-2268"/>
        </w:tabs>
        <w:suppressAutoHyphens/>
        <w:rPr>
          <w:spacing w:val="-3"/>
        </w:rPr>
      </w:pPr>
    </w:p>
    <w:p w14:paraId="7F727903" w14:textId="3CB5ECCD" w:rsidR="00482A5F" w:rsidRPr="00BD1319" w:rsidRDefault="00482A5F" w:rsidP="00482A5F">
      <w:pPr>
        <w:numPr>
          <w:ilvl w:val="12"/>
          <w:numId w:val="0"/>
        </w:numPr>
        <w:tabs>
          <w:tab w:val="left" w:pos="-2268"/>
        </w:tabs>
        <w:suppressAutoHyphens/>
        <w:jc w:val="center"/>
        <w:rPr>
          <w:spacing w:val="-3"/>
        </w:rPr>
      </w:pPr>
      <w:bookmarkStart w:id="2877" w:name="_Ref43051739"/>
      <w:bookmarkStart w:id="2878" w:name="_Ref43365113"/>
      <w:r w:rsidRPr="00BD1319">
        <w:rPr>
          <w:b/>
          <w:spacing w:val="-3"/>
        </w:rPr>
        <w:t xml:space="preserve">Tabla </w:t>
      </w:r>
      <w:r w:rsidRPr="00BD1319">
        <w:rPr>
          <w:b/>
          <w:spacing w:val="-3"/>
        </w:rPr>
        <w:fldChar w:fldCharType="begin"/>
      </w:r>
      <w:r w:rsidRPr="00BD1319">
        <w:rPr>
          <w:rFonts w:cs="Arial"/>
          <w:b/>
          <w:spacing w:val="-3"/>
        </w:rPr>
        <w:instrText xml:space="preserve"> SEQ Tabla \* ARABIC </w:instrText>
      </w:r>
      <w:r w:rsidRPr="00BD1319">
        <w:rPr>
          <w:b/>
          <w:spacing w:val="-3"/>
        </w:rPr>
        <w:fldChar w:fldCharType="separate"/>
      </w:r>
      <w:r w:rsidR="00296654" w:rsidRPr="00BD1319">
        <w:rPr>
          <w:rFonts w:cs="Arial"/>
          <w:b/>
          <w:noProof/>
          <w:spacing w:val="-3"/>
        </w:rPr>
        <w:t>24</w:t>
      </w:r>
      <w:r w:rsidRPr="00BD1319">
        <w:rPr>
          <w:b/>
          <w:spacing w:val="-3"/>
        </w:rPr>
        <w:fldChar w:fldCharType="end"/>
      </w:r>
      <w:bookmarkEnd w:id="2877"/>
      <w:bookmarkEnd w:id="2878"/>
      <w:r w:rsidRPr="00BD1319">
        <w:rPr>
          <w:b/>
          <w:spacing w:val="-3"/>
        </w:rPr>
        <w:t>.</w:t>
      </w:r>
      <w:r w:rsidRPr="00BD1319">
        <w:rPr>
          <w:spacing w:val="-3"/>
        </w:rPr>
        <w:t xml:space="preserve"> Fuentes de información a consultar en la fase previa de la caracterización de plantas de hábitos terrestres, rupícolas y ep</w:t>
      </w:r>
      <w:r w:rsidR="00CF0A7D" w:rsidRPr="00BD1319">
        <w:rPr>
          <w:spacing w:val="-3"/>
        </w:rPr>
        <w:t>í</w:t>
      </w:r>
      <w:r w:rsidRPr="00BD1319">
        <w:rPr>
          <w:spacing w:val="-3"/>
        </w:rPr>
        <w:t>f</w:t>
      </w:r>
      <w:r w:rsidR="00CF0A7D" w:rsidRPr="00BD1319">
        <w:rPr>
          <w:spacing w:val="-3"/>
        </w:rPr>
        <w:t>i</w:t>
      </w:r>
      <w:r w:rsidRPr="00BD1319">
        <w:rPr>
          <w:spacing w:val="-3"/>
        </w:rPr>
        <w:t>tos</w:t>
      </w:r>
    </w:p>
    <w:tbl>
      <w:tblPr>
        <w:tblW w:w="89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32"/>
        <w:gridCol w:w="5271"/>
      </w:tblGrid>
      <w:tr w:rsidR="004A7A4A" w:rsidRPr="00BD1319" w14:paraId="402BE112" w14:textId="77777777" w:rsidTr="003351A6">
        <w:trPr>
          <w:trHeight w:val="561"/>
          <w:tblHeader/>
          <w:jc w:val="center"/>
        </w:trPr>
        <w:tc>
          <w:tcPr>
            <w:tcW w:w="36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CDCDC2" w14:textId="77777777" w:rsidR="004A7A4A" w:rsidRPr="00BD1319" w:rsidRDefault="004A7A4A" w:rsidP="001B485E">
            <w:pPr>
              <w:numPr>
                <w:ilvl w:val="12"/>
                <w:numId w:val="0"/>
              </w:numPr>
              <w:tabs>
                <w:tab w:val="left" w:pos="-2268"/>
              </w:tabs>
              <w:suppressAutoHyphens/>
              <w:jc w:val="center"/>
              <w:rPr>
                <w:rFonts w:cs="Arial"/>
                <w:b/>
                <w:sz w:val="20"/>
                <w:szCs w:val="20"/>
                <w:lang w:eastAsia="es-CO"/>
              </w:rPr>
            </w:pPr>
            <w:r w:rsidRPr="00BD1319">
              <w:rPr>
                <w:rFonts w:cs="Arial"/>
                <w:b/>
                <w:sz w:val="20"/>
                <w:szCs w:val="20"/>
                <w:lang w:eastAsia="es-CO"/>
              </w:rPr>
              <w:t>Fuente</w:t>
            </w:r>
          </w:p>
        </w:tc>
        <w:tc>
          <w:tcPr>
            <w:tcW w:w="52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5B4326" w14:textId="77777777" w:rsidR="004A7A4A" w:rsidRPr="00BD1319" w:rsidRDefault="004A7A4A" w:rsidP="001B485E">
            <w:pPr>
              <w:numPr>
                <w:ilvl w:val="12"/>
                <w:numId w:val="0"/>
              </w:numPr>
              <w:tabs>
                <w:tab w:val="left" w:pos="-2268"/>
              </w:tabs>
              <w:suppressAutoHyphens/>
              <w:jc w:val="center"/>
              <w:rPr>
                <w:rFonts w:cs="Arial"/>
                <w:b/>
                <w:sz w:val="20"/>
                <w:szCs w:val="20"/>
                <w:lang w:eastAsia="es-CO"/>
              </w:rPr>
            </w:pPr>
            <w:r w:rsidRPr="00BD1319">
              <w:rPr>
                <w:rFonts w:cs="Arial"/>
                <w:b/>
                <w:sz w:val="20"/>
                <w:szCs w:val="20"/>
                <w:lang w:eastAsia="es-CO"/>
              </w:rPr>
              <w:t>Tema</w:t>
            </w:r>
          </w:p>
        </w:tc>
      </w:tr>
      <w:tr w:rsidR="004A7A4A" w:rsidRPr="00BD1319" w14:paraId="24D5FC91" w14:textId="77777777" w:rsidTr="004A7A4A">
        <w:trPr>
          <w:trHeight w:val="220"/>
          <w:jc w:val="center"/>
        </w:trPr>
        <w:tc>
          <w:tcPr>
            <w:tcW w:w="36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664854" w14:textId="77777777" w:rsidR="004A7A4A" w:rsidRPr="00BD1319" w:rsidRDefault="004A7A4A" w:rsidP="00AC1586">
            <w:pPr>
              <w:numPr>
                <w:ilvl w:val="12"/>
                <w:numId w:val="0"/>
              </w:numPr>
              <w:tabs>
                <w:tab w:val="left" w:pos="-2268"/>
              </w:tabs>
              <w:suppressAutoHyphens/>
              <w:rPr>
                <w:rFonts w:cs="Arial"/>
                <w:sz w:val="20"/>
                <w:szCs w:val="20"/>
                <w:lang w:eastAsia="es-CO"/>
              </w:rPr>
            </w:pPr>
            <w:r w:rsidRPr="00BD1319">
              <w:rPr>
                <w:rFonts w:cs="Arial"/>
                <w:sz w:val="20"/>
                <w:szCs w:val="20"/>
                <w:lang w:eastAsia="es-CO"/>
              </w:rPr>
              <w:t>Sistema de Información sobre Biodiversidad de Colombia (</w:t>
            </w:r>
            <w:proofErr w:type="spellStart"/>
            <w:r w:rsidRPr="00BD1319">
              <w:rPr>
                <w:rFonts w:cs="Arial"/>
                <w:sz w:val="20"/>
                <w:szCs w:val="20"/>
                <w:lang w:eastAsia="es-CO"/>
              </w:rPr>
              <w:t>SiB</w:t>
            </w:r>
            <w:proofErr w:type="spellEnd"/>
            <w:r w:rsidRPr="00BD1319">
              <w:rPr>
                <w:rFonts w:cs="Arial"/>
                <w:sz w:val="20"/>
                <w:szCs w:val="20"/>
                <w:lang w:eastAsia="es-CO"/>
              </w:rPr>
              <w:t>).</w:t>
            </w:r>
          </w:p>
        </w:tc>
        <w:tc>
          <w:tcPr>
            <w:tcW w:w="52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F1A1B8" w14:textId="692E720E" w:rsidR="004A7A4A" w:rsidRPr="00BD1319" w:rsidRDefault="004A7A4A" w:rsidP="00AC1586">
            <w:pPr>
              <w:numPr>
                <w:ilvl w:val="12"/>
                <w:numId w:val="0"/>
              </w:numPr>
              <w:tabs>
                <w:tab w:val="left" w:pos="-2268"/>
              </w:tabs>
              <w:suppressAutoHyphens/>
              <w:rPr>
                <w:rFonts w:cs="Arial"/>
                <w:sz w:val="20"/>
                <w:szCs w:val="20"/>
                <w:lang w:eastAsia="es-CO"/>
              </w:rPr>
            </w:pPr>
            <w:r w:rsidRPr="00BD1319">
              <w:rPr>
                <w:rFonts w:cs="Arial"/>
                <w:sz w:val="20"/>
                <w:szCs w:val="20"/>
                <w:lang w:eastAsia="es-CO"/>
              </w:rPr>
              <w:t xml:space="preserve">Registros biológicos de especies; listado de especies silvestres amenazadas en Colombia </w:t>
            </w:r>
            <w:r w:rsidR="00467CE5" w:rsidRPr="00BD1319">
              <w:rPr>
                <w:rFonts w:cs="Arial"/>
                <w:sz w:val="20"/>
                <w:szCs w:val="20"/>
                <w:lang w:eastAsia="es-CO"/>
              </w:rPr>
              <w:t>de acuerdo con</w:t>
            </w:r>
            <w:r w:rsidRPr="00BD1319">
              <w:rPr>
                <w:rFonts w:cs="Arial"/>
                <w:sz w:val="20"/>
                <w:szCs w:val="20"/>
                <w:lang w:eastAsia="es-CO"/>
              </w:rPr>
              <w:t xml:space="preserve"> la </w:t>
            </w:r>
            <w:r w:rsidR="00AC3FD2" w:rsidRPr="00BD1319">
              <w:rPr>
                <w:rFonts w:cs="Arial"/>
                <w:sz w:val="20"/>
                <w:szCs w:val="20"/>
                <w:lang w:eastAsia="es-CO"/>
              </w:rPr>
              <w:t>Resolución 0126 de 2024</w:t>
            </w:r>
            <w:r w:rsidRPr="00BD1319">
              <w:rPr>
                <w:rFonts w:cs="Arial"/>
                <w:sz w:val="20"/>
                <w:szCs w:val="20"/>
                <w:lang w:eastAsia="es-CO"/>
              </w:rPr>
              <w:t xml:space="preserve"> o la que modifique o sustituya; otros listados de especies, fichas de especies.</w:t>
            </w:r>
          </w:p>
        </w:tc>
      </w:tr>
      <w:tr w:rsidR="004A7A4A" w:rsidRPr="00BD1319" w14:paraId="3B47771E" w14:textId="77777777" w:rsidTr="004A7A4A">
        <w:trPr>
          <w:trHeight w:val="220"/>
          <w:jc w:val="center"/>
        </w:trPr>
        <w:tc>
          <w:tcPr>
            <w:tcW w:w="36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470FA8" w14:textId="77777777" w:rsidR="004A7A4A" w:rsidRPr="00BD1319" w:rsidRDefault="004A7A4A" w:rsidP="00AC1586">
            <w:pPr>
              <w:numPr>
                <w:ilvl w:val="12"/>
                <w:numId w:val="0"/>
              </w:numPr>
              <w:tabs>
                <w:tab w:val="left" w:pos="-2268"/>
              </w:tabs>
              <w:suppressAutoHyphens/>
              <w:rPr>
                <w:rFonts w:cs="Arial"/>
                <w:sz w:val="20"/>
                <w:szCs w:val="20"/>
                <w:lang w:eastAsia="es-CO"/>
              </w:rPr>
            </w:pPr>
            <w:r w:rsidRPr="00BD1319">
              <w:rPr>
                <w:rFonts w:cs="Arial"/>
                <w:sz w:val="20"/>
                <w:szCs w:val="20"/>
                <w:lang w:eastAsia="es-CO"/>
              </w:rPr>
              <w:t>Libro rojo de briofitas de Colombia (versión más actualizada).</w:t>
            </w:r>
          </w:p>
        </w:tc>
        <w:tc>
          <w:tcPr>
            <w:tcW w:w="52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3076BA" w14:textId="77777777" w:rsidR="004A7A4A" w:rsidRPr="00BD1319" w:rsidRDefault="004A7A4A" w:rsidP="00AC1586">
            <w:pPr>
              <w:numPr>
                <w:ilvl w:val="12"/>
                <w:numId w:val="0"/>
              </w:numPr>
              <w:tabs>
                <w:tab w:val="left" w:pos="-2268"/>
              </w:tabs>
              <w:suppressAutoHyphens/>
              <w:rPr>
                <w:rFonts w:cs="Arial"/>
                <w:sz w:val="20"/>
                <w:szCs w:val="20"/>
                <w:lang w:eastAsia="es-CO"/>
              </w:rPr>
            </w:pPr>
            <w:r w:rsidRPr="00BD1319">
              <w:rPr>
                <w:rFonts w:cs="Arial"/>
                <w:sz w:val="20"/>
                <w:szCs w:val="20"/>
                <w:lang w:eastAsia="es-CO"/>
              </w:rPr>
              <w:t>Especies amenazadas de briofitos.</w:t>
            </w:r>
          </w:p>
        </w:tc>
      </w:tr>
      <w:tr w:rsidR="004A7A4A" w:rsidRPr="00BD1319" w14:paraId="18A4FD79" w14:textId="77777777" w:rsidTr="004A7A4A">
        <w:trPr>
          <w:trHeight w:val="220"/>
          <w:jc w:val="center"/>
        </w:trPr>
        <w:tc>
          <w:tcPr>
            <w:tcW w:w="36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B1808F" w14:textId="77777777" w:rsidR="004A7A4A" w:rsidRPr="00BD1319" w:rsidRDefault="004A7A4A" w:rsidP="00AC1586">
            <w:pPr>
              <w:numPr>
                <w:ilvl w:val="12"/>
                <w:numId w:val="0"/>
              </w:numPr>
              <w:tabs>
                <w:tab w:val="left" w:pos="-2268"/>
              </w:tabs>
              <w:suppressAutoHyphens/>
              <w:rPr>
                <w:rFonts w:cs="Arial"/>
                <w:sz w:val="20"/>
                <w:szCs w:val="20"/>
                <w:lang w:eastAsia="es-CO"/>
              </w:rPr>
            </w:pPr>
            <w:r w:rsidRPr="00BD1319">
              <w:rPr>
                <w:rFonts w:cs="Arial"/>
                <w:sz w:val="20"/>
                <w:szCs w:val="20"/>
                <w:lang w:eastAsia="es-CO"/>
              </w:rPr>
              <w:t>Libro rojo de plantas de Colombia. Volumen 3: Las bromelias, las labiadas y las pasifloras (versión más actualizada).</w:t>
            </w:r>
          </w:p>
        </w:tc>
        <w:tc>
          <w:tcPr>
            <w:tcW w:w="52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9DB7E8" w14:textId="77777777" w:rsidR="004A7A4A" w:rsidRPr="00BD1319" w:rsidRDefault="004A7A4A" w:rsidP="00AC1586">
            <w:pPr>
              <w:numPr>
                <w:ilvl w:val="12"/>
                <w:numId w:val="0"/>
              </w:numPr>
              <w:tabs>
                <w:tab w:val="left" w:pos="-2268"/>
              </w:tabs>
              <w:suppressAutoHyphens/>
              <w:rPr>
                <w:rFonts w:cs="Arial"/>
                <w:sz w:val="20"/>
                <w:szCs w:val="20"/>
                <w:lang w:eastAsia="es-CO"/>
              </w:rPr>
            </w:pPr>
            <w:r w:rsidRPr="00BD1319">
              <w:rPr>
                <w:rFonts w:cs="Arial"/>
                <w:sz w:val="20"/>
                <w:szCs w:val="20"/>
                <w:lang w:eastAsia="es-CO"/>
              </w:rPr>
              <w:t>Especies amenazadas de las bromelias.</w:t>
            </w:r>
          </w:p>
        </w:tc>
      </w:tr>
      <w:tr w:rsidR="00274A8B" w:rsidRPr="00BD1319" w14:paraId="575C6900" w14:textId="77777777" w:rsidTr="004A7A4A">
        <w:trPr>
          <w:trHeight w:val="220"/>
          <w:jc w:val="center"/>
        </w:trPr>
        <w:tc>
          <w:tcPr>
            <w:tcW w:w="36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00902B" w14:textId="3A2BF2EC" w:rsidR="00274A8B" w:rsidRPr="00BD1319" w:rsidRDefault="00274A8B" w:rsidP="00AC1586">
            <w:pPr>
              <w:numPr>
                <w:ilvl w:val="12"/>
                <w:numId w:val="0"/>
              </w:numPr>
              <w:tabs>
                <w:tab w:val="left" w:pos="-2268"/>
              </w:tabs>
              <w:suppressAutoHyphens/>
              <w:rPr>
                <w:rFonts w:cs="Arial"/>
                <w:sz w:val="20"/>
                <w:szCs w:val="20"/>
                <w:lang w:eastAsia="es-CO"/>
              </w:rPr>
            </w:pPr>
            <w:r w:rsidRPr="00BD1319">
              <w:rPr>
                <w:rFonts w:cs="Arial"/>
                <w:sz w:val="20"/>
                <w:szCs w:val="20"/>
                <w:lang w:eastAsia="es-CO"/>
              </w:rPr>
              <w:t>Libro rojo de plantas de Colombia. Vol. 6: Orquídeas, primera parte. Serie Libros rojos de especies amenazadas.</w:t>
            </w:r>
          </w:p>
        </w:tc>
        <w:tc>
          <w:tcPr>
            <w:tcW w:w="52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A7B1CA" w14:textId="50BC0D96" w:rsidR="00274A8B" w:rsidRPr="00BD1319" w:rsidRDefault="00274A8B" w:rsidP="00AC1586">
            <w:pPr>
              <w:numPr>
                <w:ilvl w:val="12"/>
                <w:numId w:val="0"/>
              </w:numPr>
              <w:tabs>
                <w:tab w:val="left" w:pos="-2268"/>
              </w:tabs>
              <w:suppressAutoHyphens/>
              <w:rPr>
                <w:rFonts w:cs="Arial"/>
                <w:sz w:val="20"/>
                <w:szCs w:val="20"/>
                <w:lang w:eastAsia="es-CO"/>
              </w:rPr>
            </w:pPr>
            <w:r w:rsidRPr="00BD1319">
              <w:rPr>
                <w:rFonts w:cs="Arial"/>
                <w:sz w:val="20"/>
                <w:szCs w:val="20"/>
                <w:lang w:eastAsia="es-CO"/>
              </w:rPr>
              <w:t>Especies amenazadas de las orquídeas.</w:t>
            </w:r>
          </w:p>
        </w:tc>
      </w:tr>
      <w:tr w:rsidR="004A7A4A" w:rsidRPr="00BD1319" w14:paraId="34945663" w14:textId="77777777" w:rsidTr="004A7A4A">
        <w:trPr>
          <w:trHeight w:val="220"/>
          <w:jc w:val="center"/>
        </w:trPr>
        <w:tc>
          <w:tcPr>
            <w:tcW w:w="36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9CDBA9" w14:textId="77777777" w:rsidR="004A7A4A" w:rsidRPr="00BD1319" w:rsidRDefault="004A7A4A" w:rsidP="00AC1586">
            <w:pPr>
              <w:numPr>
                <w:ilvl w:val="12"/>
                <w:numId w:val="0"/>
              </w:numPr>
              <w:tabs>
                <w:tab w:val="left" w:pos="-2268"/>
              </w:tabs>
              <w:suppressAutoHyphens/>
              <w:rPr>
                <w:rFonts w:cs="Arial"/>
                <w:sz w:val="20"/>
                <w:szCs w:val="20"/>
                <w:lang w:eastAsia="es-CO"/>
              </w:rPr>
            </w:pPr>
            <w:r w:rsidRPr="00BD1319">
              <w:rPr>
                <w:rFonts w:cs="Arial"/>
                <w:sz w:val="20"/>
                <w:szCs w:val="20"/>
                <w:lang w:eastAsia="es-CO"/>
              </w:rPr>
              <w:t>Colombia diversidad biótica VI. Riqueza y diversidad de los musgos y líquenes en Colombia</w:t>
            </w:r>
          </w:p>
        </w:tc>
        <w:tc>
          <w:tcPr>
            <w:tcW w:w="52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A3878E" w14:textId="77777777" w:rsidR="004A7A4A" w:rsidRPr="00BD1319" w:rsidRDefault="004A7A4A" w:rsidP="00AC1586">
            <w:pPr>
              <w:numPr>
                <w:ilvl w:val="12"/>
                <w:numId w:val="0"/>
              </w:numPr>
              <w:tabs>
                <w:tab w:val="left" w:pos="-2268"/>
              </w:tabs>
              <w:suppressAutoHyphens/>
              <w:rPr>
                <w:rFonts w:cs="Arial"/>
                <w:sz w:val="20"/>
                <w:szCs w:val="20"/>
                <w:lang w:eastAsia="es-CO"/>
              </w:rPr>
            </w:pPr>
            <w:r w:rsidRPr="00BD1319">
              <w:rPr>
                <w:rFonts w:cs="Arial"/>
                <w:sz w:val="20"/>
                <w:szCs w:val="20"/>
                <w:lang w:eastAsia="es-CO"/>
              </w:rPr>
              <w:t>Musgos y líquenes.</w:t>
            </w:r>
          </w:p>
        </w:tc>
      </w:tr>
      <w:tr w:rsidR="004A7A4A" w:rsidRPr="00BD1319" w14:paraId="7ED41D2A" w14:textId="77777777" w:rsidTr="004A7A4A">
        <w:trPr>
          <w:trHeight w:val="220"/>
          <w:jc w:val="center"/>
        </w:trPr>
        <w:tc>
          <w:tcPr>
            <w:tcW w:w="36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C2DAEC" w14:textId="77777777" w:rsidR="004A7A4A" w:rsidRPr="00BD1319" w:rsidRDefault="004A7A4A" w:rsidP="00AC1586">
            <w:pPr>
              <w:numPr>
                <w:ilvl w:val="12"/>
                <w:numId w:val="0"/>
              </w:numPr>
              <w:tabs>
                <w:tab w:val="left" w:pos="-2268"/>
              </w:tabs>
              <w:suppressAutoHyphens/>
              <w:rPr>
                <w:rFonts w:cs="Arial"/>
                <w:sz w:val="20"/>
                <w:szCs w:val="20"/>
                <w:lang w:eastAsia="es-CO"/>
              </w:rPr>
            </w:pPr>
            <w:r w:rsidRPr="00BD1319">
              <w:rPr>
                <w:rFonts w:cs="Arial"/>
                <w:sz w:val="20"/>
                <w:szCs w:val="20"/>
                <w:lang w:eastAsia="es-CO"/>
              </w:rPr>
              <w:t>Colombia diversidad biótica XII. La región Caribe de Colombia</w:t>
            </w:r>
          </w:p>
        </w:tc>
        <w:tc>
          <w:tcPr>
            <w:tcW w:w="52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556A1A" w14:textId="77777777" w:rsidR="004A7A4A" w:rsidRPr="00BD1319" w:rsidRDefault="004A7A4A" w:rsidP="00AC1586">
            <w:pPr>
              <w:numPr>
                <w:ilvl w:val="12"/>
                <w:numId w:val="0"/>
              </w:numPr>
              <w:tabs>
                <w:tab w:val="left" w:pos="-2268"/>
              </w:tabs>
              <w:suppressAutoHyphens/>
              <w:rPr>
                <w:rFonts w:cs="Arial"/>
                <w:sz w:val="20"/>
                <w:szCs w:val="20"/>
                <w:lang w:eastAsia="es-CO"/>
              </w:rPr>
            </w:pPr>
            <w:r w:rsidRPr="00BD1319">
              <w:rPr>
                <w:rFonts w:cs="Arial"/>
                <w:sz w:val="20"/>
                <w:szCs w:val="20"/>
                <w:lang w:eastAsia="es-CO"/>
              </w:rPr>
              <w:t>Líquenes, orquídeas y bromelias.</w:t>
            </w:r>
          </w:p>
        </w:tc>
      </w:tr>
      <w:tr w:rsidR="00274A8B" w:rsidRPr="00BD1319" w14:paraId="2CE04121" w14:textId="77777777" w:rsidTr="008A4FE9">
        <w:trPr>
          <w:trHeight w:val="438"/>
          <w:jc w:val="center"/>
        </w:trPr>
        <w:tc>
          <w:tcPr>
            <w:tcW w:w="36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31E9C6" w14:textId="355CE579" w:rsidR="00274A8B" w:rsidRPr="00BD1319" w:rsidRDefault="00274A8B" w:rsidP="00274A8B">
            <w:pPr>
              <w:numPr>
                <w:ilvl w:val="12"/>
                <w:numId w:val="0"/>
              </w:numPr>
              <w:tabs>
                <w:tab w:val="left" w:pos="-2268"/>
              </w:tabs>
              <w:suppressAutoHyphens/>
              <w:rPr>
                <w:rFonts w:cs="Arial"/>
                <w:sz w:val="20"/>
                <w:szCs w:val="20"/>
                <w:lang w:eastAsia="es-CO"/>
              </w:rPr>
            </w:pPr>
            <w:proofErr w:type="spellStart"/>
            <w:r w:rsidRPr="00BD1319">
              <w:rPr>
                <w:rFonts w:cs="Arial"/>
                <w:sz w:val="20"/>
                <w:szCs w:val="20"/>
                <w:lang w:eastAsia="es-CO"/>
              </w:rPr>
              <w:t>ColFungi</w:t>
            </w:r>
            <w:proofErr w:type="spellEnd"/>
          </w:p>
        </w:tc>
        <w:tc>
          <w:tcPr>
            <w:tcW w:w="52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E22634" w14:textId="481B71F2" w:rsidR="00274A8B" w:rsidRPr="00BD1319" w:rsidRDefault="00274A8B" w:rsidP="00274A8B">
            <w:pPr>
              <w:numPr>
                <w:ilvl w:val="12"/>
                <w:numId w:val="0"/>
              </w:numPr>
              <w:tabs>
                <w:tab w:val="left" w:pos="-2268"/>
              </w:tabs>
              <w:suppressAutoHyphens/>
              <w:rPr>
                <w:rFonts w:cs="Arial"/>
                <w:sz w:val="20"/>
                <w:szCs w:val="20"/>
                <w:lang w:eastAsia="es-CO"/>
              </w:rPr>
            </w:pPr>
            <w:r w:rsidRPr="00BD1319">
              <w:rPr>
                <w:rFonts w:cs="Arial"/>
                <w:sz w:val="20"/>
                <w:szCs w:val="20"/>
                <w:lang w:eastAsia="es-CO"/>
              </w:rPr>
              <w:t>Especies de líquenes</w:t>
            </w:r>
          </w:p>
        </w:tc>
      </w:tr>
      <w:tr w:rsidR="00274A8B" w:rsidRPr="00BD1319" w14:paraId="2C3F20B8" w14:textId="77777777" w:rsidTr="004A7A4A">
        <w:trPr>
          <w:trHeight w:val="220"/>
          <w:jc w:val="center"/>
        </w:trPr>
        <w:tc>
          <w:tcPr>
            <w:tcW w:w="36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6FDD88" w14:textId="35FA6D13" w:rsidR="00274A8B" w:rsidRPr="00BD1319" w:rsidRDefault="00274A8B" w:rsidP="00274A8B">
            <w:pPr>
              <w:numPr>
                <w:ilvl w:val="12"/>
                <w:numId w:val="0"/>
              </w:numPr>
              <w:tabs>
                <w:tab w:val="left" w:pos="-2268"/>
              </w:tabs>
              <w:suppressAutoHyphens/>
              <w:rPr>
                <w:rFonts w:cs="Arial"/>
                <w:sz w:val="20"/>
                <w:szCs w:val="20"/>
                <w:lang w:eastAsia="es-CO"/>
              </w:rPr>
            </w:pPr>
            <w:r w:rsidRPr="00BD1319">
              <w:rPr>
                <w:rFonts w:cs="Arial"/>
                <w:sz w:val="20"/>
                <w:szCs w:val="20"/>
                <w:lang w:eastAsia="es-CO"/>
              </w:rPr>
              <w:t xml:space="preserve">Herbarios en el ámbito nacional que se encuentren registrados en el Registro Nacional de Colecciones </w:t>
            </w:r>
          </w:p>
        </w:tc>
        <w:tc>
          <w:tcPr>
            <w:tcW w:w="52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926BD2" w14:textId="77777777" w:rsidR="00274A8B" w:rsidRPr="00BD1319" w:rsidRDefault="00274A8B" w:rsidP="00274A8B">
            <w:pPr>
              <w:numPr>
                <w:ilvl w:val="12"/>
                <w:numId w:val="0"/>
              </w:numPr>
              <w:tabs>
                <w:tab w:val="left" w:pos="-2268"/>
              </w:tabs>
              <w:suppressAutoHyphens/>
              <w:rPr>
                <w:rFonts w:cs="Arial"/>
                <w:sz w:val="20"/>
                <w:szCs w:val="20"/>
                <w:lang w:eastAsia="es-CO"/>
              </w:rPr>
            </w:pPr>
            <w:r w:rsidRPr="00BD1319">
              <w:rPr>
                <w:rFonts w:cs="Arial"/>
                <w:sz w:val="20"/>
                <w:szCs w:val="20"/>
                <w:lang w:eastAsia="es-CO"/>
              </w:rPr>
              <w:t>Especies vedadas.</w:t>
            </w:r>
          </w:p>
        </w:tc>
      </w:tr>
      <w:tr w:rsidR="00274A8B" w:rsidRPr="00BD1319" w14:paraId="49B55CD7" w14:textId="77777777" w:rsidTr="004A7A4A">
        <w:trPr>
          <w:trHeight w:val="220"/>
          <w:jc w:val="center"/>
        </w:trPr>
        <w:tc>
          <w:tcPr>
            <w:tcW w:w="36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D70CFC" w14:textId="77777777" w:rsidR="00274A8B" w:rsidRPr="00BD1319" w:rsidRDefault="00274A8B" w:rsidP="00274A8B">
            <w:pPr>
              <w:numPr>
                <w:ilvl w:val="12"/>
                <w:numId w:val="0"/>
              </w:numPr>
              <w:tabs>
                <w:tab w:val="left" w:pos="-2268"/>
              </w:tabs>
              <w:suppressAutoHyphens/>
              <w:rPr>
                <w:rFonts w:cs="Arial"/>
                <w:sz w:val="20"/>
                <w:szCs w:val="20"/>
                <w:lang w:eastAsia="es-CO"/>
              </w:rPr>
            </w:pPr>
            <w:r w:rsidRPr="00BD1319">
              <w:rPr>
                <w:rFonts w:cs="Arial"/>
                <w:sz w:val="20"/>
                <w:szCs w:val="20"/>
                <w:lang w:eastAsia="es-CO"/>
              </w:rPr>
              <w:t>Catálogo plantas y líquenes de Colombia (versión en línea).</w:t>
            </w:r>
          </w:p>
        </w:tc>
        <w:tc>
          <w:tcPr>
            <w:tcW w:w="52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19E6BB" w14:textId="77777777" w:rsidR="00274A8B" w:rsidRPr="00BD1319" w:rsidRDefault="00274A8B" w:rsidP="00274A8B">
            <w:pPr>
              <w:numPr>
                <w:ilvl w:val="12"/>
                <w:numId w:val="0"/>
              </w:numPr>
              <w:tabs>
                <w:tab w:val="left" w:pos="-2268"/>
              </w:tabs>
              <w:suppressAutoHyphens/>
              <w:rPr>
                <w:rFonts w:cs="Arial"/>
                <w:sz w:val="20"/>
                <w:szCs w:val="20"/>
                <w:lang w:eastAsia="es-CO"/>
              </w:rPr>
            </w:pPr>
            <w:r w:rsidRPr="00BD1319">
              <w:rPr>
                <w:rFonts w:cs="Arial"/>
                <w:sz w:val="20"/>
                <w:szCs w:val="20"/>
                <w:lang w:eastAsia="es-CO"/>
              </w:rPr>
              <w:t>Especies por familia, género, especie, departamento y rango altitudinal.</w:t>
            </w:r>
          </w:p>
        </w:tc>
      </w:tr>
      <w:tr w:rsidR="00274A8B" w:rsidRPr="00BD1319" w14:paraId="5D4E42A4" w14:textId="77777777" w:rsidTr="004A7A4A">
        <w:trPr>
          <w:trHeight w:val="220"/>
          <w:jc w:val="center"/>
        </w:trPr>
        <w:tc>
          <w:tcPr>
            <w:tcW w:w="36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B773D4" w14:textId="251BC157" w:rsidR="00274A8B" w:rsidRPr="00BD1319" w:rsidRDefault="00274A8B" w:rsidP="00274A8B">
            <w:pPr>
              <w:numPr>
                <w:ilvl w:val="12"/>
                <w:numId w:val="0"/>
              </w:numPr>
              <w:tabs>
                <w:tab w:val="left" w:pos="-2268"/>
              </w:tabs>
              <w:suppressAutoHyphens/>
              <w:rPr>
                <w:rFonts w:cs="Arial"/>
                <w:sz w:val="20"/>
                <w:szCs w:val="20"/>
                <w:lang w:eastAsia="es-CO"/>
              </w:rPr>
            </w:pPr>
            <w:r w:rsidRPr="00BD1319">
              <w:rPr>
                <w:rFonts w:cs="Arial"/>
                <w:sz w:val="20"/>
                <w:szCs w:val="20"/>
                <w:lang w:eastAsia="es-CO"/>
              </w:rPr>
              <w:t>Estudios ambientales que compartan total o parcialmente el área de influencia del medio.</w:t>
            </w:r>
          </w:p>
        </w:tc>
        <w:tc>
          <w:tcPr>
            <w:tcW w:w="52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E3700C" w14:textId="77777777" w:rsidR="00274A8B" w:rsidRPr="00BD1319" w:rsidRDefault="00274A8B" w:rsidP="00274A8B">
            <w:pPr>
              <w:numPr>
                <w:ilvl w:val="12"/>
                <w:numId w:val="0"/>
              </w:numPr>
              <w:tabs>
                <w:tab w:val="left" w:pos="-2268"/>
              </w:tabs>
              <w:suppressAutoHyphens/>
              <w:rPr>
                <w:rFonts w:cs="Arial"/>
                <w:sz w:val="20"/>
                <w:szCs w:val="20"/>
                <w:lang w:eastAsia="es-CO"/>
              </w:rPr>
            </w:pPr>
            <w:r w:rsidRPr="00BD1319">
              <w:rPr>
                <w:rFonts w:cs="Arial"/>
                <w:sz w:val="20"/>
                <w:szCs w:val="20"/>
                <w:lang w:eastAsia="es-CO"/>
              </w:rPr>
              <w:t>Listados de especies.</w:t>
            </w:r>
          </w:p>
        </w:tc>
      </w:tr>
      <w:tr w:rsidR="00274A8B" w:rsidRPr="00BD1319" w14:paraId="6F47FDAC" w14:textId="77777777" w:rsidTr="004A7A4A">
        <w:trPr>
          <w:trHeight w:val="220"/>
          <w:jc w:val="center"/>
        </w:trPr>
        <w:tc>
          <w:tcPr>
            <w:tcW w:w="36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5F75F5" w14:textId="35DA6073" w:rsidR="00274A8B" w:rsidRPr="00BD1319" w:rsidRDefault="00D143E4" w:rsidP="00274A8B">
            <w:pPr>
              <w:numPr>
                <w:ilvl w:val="12"/>
                <w:numId w:val="0"/>
              </w:numPr>
              <w:tabs>
                <w:tab w:val="left" w:pos="-2268"/>
              </w:tabs>
              <w:suppressAutoHyphens/>
              <w:rPr>
                <w:rFonts w:cs="Arial"/>
                <w:sz w:val="20"/>
                <w:szCs w:val="20"/>
                <w:lang w:eastAsia="es-CO"/>
              </w:rPr>
            </w:pPr>
            <w:r w:rsidRPr="00BD1319">
              <w:rPr>
                <w:rFonts w:cs="Arial"/>
                <w:sz w:val="20"/>
                <w:szCs w:val="20"/>
                <w:lang w:eastAsia="es-CO"/>
              </w:rPr>
              <w:t>Resolución 0126 de 2024</w:t>
            </w:r>
            <w:r w:rsidR="00274A8B" w:rsidRPr="00BD1319">
              <w:rPr>
                <w:rFonts w:cs="Arial"/>
                <w:sz w:val="20"/>
                <w:szCs w:val="20"/>
                <w:lang w:eastAsia="es-CO"/>
              </w:rPr>
              <w:t xml:space="preserve"> de Minambiente o la que la modifique o sustituya.</w:t>
            </w:r>
          </w:p>
        </w:tc>
        <w:tc>
          <w:tcPr>
            <w:tcW w:w="52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3CEC74" w14:textId="77777777" w:rsidR="00274A8B" w:rsidRPr="00BD1319" w:rsidRDefault="00274A8B" w:rsidP="00274A8B">
            <w:pPr>
              <w:numPr>
                <w:ilvl w:val="12"/>
                <w:numId w:val="0"/>
              </w:numPr>
              <w:tabs>
                <w:tab w:val="left" w:pos="-2268"/>
              </w:tabs>
              <w:suppressAutoHyphens/>
              <w:rPr>
                <w:rFonts w:cs="Arial"/>
                <w:sz w:val="20"/>
                <w:szCs w:val="20"/>
                <w:lang w:eastAsia="es-CO"/>
              </w:rPr>
            </w:pPr>
            <w:r w:rsidRPr="00BD1319">
              <w:rPr>
                <w:rFonts w:cs="Arial"/>
                <w:sz w:val="20"/>
                <w:szCs w:val="20"/>
                <w:lang w:eastAsia="es-CO"/>
              </w:rPr>
              <w:t>Listado de especies silvestres amenazadas en Colombia.</w:t>
            </w:r>
          </w:p>
        </w:tc>
      </w:tr>
      <w:tr w:rsidR="00274A8B" w:rsidRPr="00BD1319" w14:paraId="5ED9FAE9" w14:textId="77777777" w:rsidTr="004A7A4A">
        <w:trPr>
          <w:trHeight w:val="220"/>
          <w:jc w:val="center"/>
        </w:trPr>
        <w:tc>
          <w:tcPr>
            <w:tcW w:w="36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DBA007" w14:textId="77777777" w:rsidR="00274A8B" w:rsidRPr="00BD1319" w:rsidRDefault="00274A8B" w:rsidP="00274A8B">
            <w:pPr>
              <w:numPr>
                <w:ilvl w:val="12"/>
                <w:numId w:val="0"/>
              </w:numPr>
              <w:tabs>
                <w:tab w:val="left" w:pos="-2268"/>
              </w:tabs>
              <w:suppressAutoHyphens/>
              <w:rPr>
                <w:rFonts w:cs="Arial"/>
                <w:sz w:val="20"/>
                <w:szCs w:val="20"/>
                <w:lang w:eastAsia="es-CO"/>
              </w:rPr>
            </w:pPr>
            <w:r w:rsidRPr="00BD1319">
              <w:rPr>
                <w:rFonts w:cs="Arial"/>
                <w:sz w:val="20"/>
                <w:szCs w:val="20"/>
                <w:lang w:eastAsia="es-CO"/>
              </w:rPr>
              <w:lastRenderedPageBreak/>
              <w:t xml:space="preserve">Resolución 0213 de 1977 del </w:t>
            </w:r>
            <w:proofErr w:type="spellStart"/>
            <w:r w:rsidRPr="00BD1319">
              <w:rPr>
                <w:rFonts w:cs="Arial"/>
                <w:sz w:val="20"/>
                <w:szCs w:val="20"/>
                <w:lang w:eastAsia="es-CO"/>
              </w:rPr>
              <w:t>Inderena</w:t>
            </w:r>
            <w:proofErr w:type="spellEnd"/>
            <w:r w:rsidRPr="00BD1319">
              <w:rPr>
                <w:rFonts w:cs="Arial"/>
                <w:sz w:val="20"/>
                <w:szCs w:val="20"/>
                <w:lang w:eastAsia="es-CO"/>
              </w:rPr>
              <w:t xml:space="preserve"> o la que la modifique o sustituya.</w:t>
            </w:r>
          </w:p>
        </w:tc>
        <w:tc>
          <w:tcPr>
            <w:tcW w:w="52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96FFA3" w14:textId="77777777" w:rsidR="00274A8B" w:rsidRPr="00BD1319" w:rsidRDefault="00274A8B" w:rsidP="00274A8B">
            <w:pPr>
              <w:numPr>
                <w:ilvl w:val="12"/>
                <w:numId w:val="0"/>
              </w:numPr>
              <w:tabs>
                <w:tab w:val="left" w:pos="-2268"/>
              </w:tabs>
              <w:suppressAutoHyphens/>
              <w:rPr>
                <w:rFonts w:cs="Arial"/>
                <w:sz w:val="20"/>
                <w:szCs w:val="20"/>
                <w:lang w:eastAsia="es-CO"/>
              </w:rPr>
            </w:pPr>
            <w:r w:rsidRPr="00BD1319">
              <w:rPr>
                <w:rFonts w:cs="Arial"/>
                <w:sz w:val="20"/>
                <w:szCs w:val="20"/>
                <w:lang w:eastAsia="es-CO"/>
              </w:rPr>
              <w:t>Veda nacional para musgos, líquenes, lamas, parásitas, quiches y orquídeas, así como lama, capote y broza y demás especies y productos herbáceos o leñosos como arbolitos, cortezas y ramajes que constituyen parte de los hábitats de tales especies.</w:t>
            </w:r>
          </w:p>
        </w:tc>
      </w:tr>
      <w:tr w:rsidR="00274A8B" w:rsidRPr="00BD1319" w14:paraId="66E63B7E" w14:textId="77777777" w:rsidTr="004A7A4A">
        <w:trPr>
          <w:trHeight w:val="220"/>
          <w:jc w:val="center"/>
        </w:trPr>
        <w:tc>
          <w:tcPr>
            <w:tcW w:w="36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7BAFA8" w14:textId="77777777" w:rsidR="00274A8B" w:rsidRPr="00BD1319" w:rsidRDefault="00274A8B" w:rsidP="00274A8B">
            <w:pPr>
              <w:numPr>
                <w:ilvl w:val="12"/>
                <w:numId w:val="0"/>
              </w:numPr>
              <w:tabs>
                <w:tab w:val="left" w:pos="-2268"/>
              </w:tabs>
              <w:suppressAutoHyphens/>
              <w:rPr>
                <w:rFonts w:cs="Arial"/>
                <w:sz w:val="20"/>
                <w:szCs w:val="20"/>
                <w:lang w:eastAsia="es-CO"/>
              </w:rPr>
            </w:pPr>
            <w:r w:rsidRPr="00BD1319">
              <w:rPr>
                <w:rFonts w:cs="Arial"/>
                <w:sz w:val="20"/>
                <w:szCs w:val="20"/>
                <w:lang w:eastAsia="es-CO"/>
              </w:rPr>
              <w:t>Resoluciones de levantamiento de veda de flora silvestre otorgadas en la región en donde se localiza el proyecto, expedidas antes del Decreto – Ley 2106 de 2019.</w:t>
            </w:r>
          </w:p>
        </w:tc>
        <w:tc>
          <w:tcPr>
            <w:tcW w:w="52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0EB945" w14:textId="77777777" w:rsidR="00274A8B" w:rsidRPr="00BD1319" w:rsidRDefault="00274A8B" w:rsidP="00274A8B">
            <w:pPr>
              <w:numPr>
                <w:ilvl w:val="12"/>
                <w:numId w:val="0"/>
              </w:numPr>
              <w:tabs>
                <w:tab w:val="left" w:pos="-2268"/>
              </w:tabs>
              <w:suppressAutoHyphens/>
              <w:rPr>
                <w:rFonts w:cs="Arial"/>
                <w:sz w:val="20"/>
                <w:szCs w:val="20"/>
                <w:lang w:eastAsia="es-CO"/>
              </w:rPr>
            </w:pPr>
            <w:r w:rsidRPr="00BD1319">
              <w:rPr>
                <w:rFonts w:cs="Arial"/>
                <w:sz w:val="20"/>
                <w:szCs w:val="20"/>
                <w:lang w:eastAsia="es-CO"/>
              </w:rPr>
              <w:t>Listados de especies a las cuales se les ha otorgado el levantamiento de veda de flora silvestre.</w:t>
            </w:r>
          </w:p>
        </w:tc>
      </w:tr>
      <w:tr w:rsidR="00274A8B" w:rsidRPr="00BD1319" w14:paraId="6F3B9EA9" w14:textId="77777777" w:rsidTr="004A7A4A">
        <w:trPr>
          <w:trHeight w:val="220"/>
          <w:jc w:val="center"/>
        </w:trPr>
        <w:tc>
          <w:tcPr>
            <w:tcW w:w="36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855028" w14:textId="77777777" w:rsidR="00274A8B" w:rsidRPr="00BD1319" w:rsidRDefault="00274A8B" w:rsidP="00274A8B">
            <w:pPr>
              <w:numPr>
                <w:ilvl w:val="12"/>
                <w:numId w:val="0"/>
              </w:numPr>
              <w:tabs>
                <w:tab w:val="left" w:pos="-2268"/>
              </w:tabs>
              <w:suppressAutoHyphens/>
              <w:rPr>
                <w:rFonts w:cs="Arial"/>
                <w:sz w:val="20"/>
                <w:szCs w:val="20"/>
                <w:lang w:eastAsia="es-CO"/>
              </w:rPr>
            </w:pPr>
            <w:r w:rsidRPr="00BD1319">
              <w:rPr>
                <w:rFonts w:cs="Arial"/>
                <w:sz w:val="20"/>
                <w:szCs w:val="20"/>
                <w:lang w:eastAsia="es-CO"/>
              </w:rPr>
              <w:t>Actos administrativos relativos a vedas, emitidos por autoridades ambientales.</w:t>
            </w:r>
          </w:p>
        </w:tc>
        <w:tc>
          <w:tcPr>
            <w:tcW w:w="52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60D0EA" w14:textId="77777777" w:rsidR="00274A8B" w:rsidRPr="00BD1319" w:rsidRDefault="00274A8B" w:rsidP="00274A8B">
            <w:pPr>
              <w:numPr>
                <w:ilvl w:val="12"/>
                <w:numId w:val="0"/>
              </w:numPr>
              <w:tabs>
                <w:tab w:val="left" w:pos="-2268"/>
              </w:tabs>
              <w:suppressAutoHyphens/>
              <w:rPr>
                <w:rFonts w:cs="Arial"/>
                <w:sz w:val="20"/>
                <w:szCs w:val="20"/>
                <w:lang w:eastAsia="es-CO"/>
              </w:rPr>
            </w:pPr>
            <w:r w:rsidRPr="00BD1319">
              <w:rPr>
                <w:rFonts w:cs="Arial"/>
                <w:sz w:val="20"/>
                <w:szCs w:val="20"/>
                <w:lang w:eastAsia="es-CO"/>
              </w:rPr>
              <w:t>Listados de especies vegetales con vedas en el ámbito regional.</w:t>
            </w:r>
          </w:p>
        </w:tc>
      </w:tr>
    </w:tbl>
    <w:p w14:paraId="652D1013" w14:textId="77777777" w:rsidR="00482A5F" w:rsidRPr="00BD1319" w:rsidRDefault="00482A5F">
      <w:pPr>
        <w:numPr>
          <w:ilvl w:val="12"/>
          <w:numId w:val="0"/>
        </w:numPr>
        <w:tabs>
          <w:tab w:val="left" w:pos="-2268"/>
        </w:tabs>
        <w:suppressAutoHyphens/>
        <w:rPr>
          <w:spacing w:val="-3"/>
        </w:rPr>
      </w:pPr>
    </w:p>
    <w:p w14:paraId="0CCE927B" w14:textId="7ED25D5E" w:rsidR="00482A5F" w:rsidRPr="00BD1319" w:rsidRDefault="008D3C2B">
      <w:pPr>
        <w:numPr>
          <w:ilvl w:val="12"/>
          <w:numId w:val="0"/>
        </w:numPr>
        <w:tabs>
          <w:tab w:val="left" w:pos="-2268"/>
        </w:tabs>
        <w:suppressAutoHyphens/>
        <w:rPr>
          <w:spacing w:val="-3"/>
        </w:rPr>
      </w:pPr>
      <w:r w:rsidRPr="00BD1319">
        <w:rPr>
          <w:rFonts w:cs="Arial"/>
          <w:bCs/>
          <w:spacing w:val="-3"/>
        </w:rPr>
        <w:t xml:space="preserve">Para las especies que se </w:t>
      </w:r>
      <w:r w:rsidR="00005EEE" w:rsidRPr="00BD1319">
        <w:rPr>
          <w:rFonts w:cs="Arial"/>
          <w:bCs/>
          <w:spacing w:val="-3"/>
        </w:rPr>
        <w:t>prevé</w:t>
      </w:r>
      <w:r w:rsidRPr="00BD1319">
        <w:rPr>
          <w:rFonts w:cs="Arial"/>
          <w:bCs/>
          <w:spacing w:val="-3"/>
        </w:rPr>
        <w:t xml:space="preserve"> pueden encontrarse en el área de influencia del componente, se debe buscar </w:t>
      </w:r>
      <w:r w:rsidR="00482A5F" w:rsidRPr="00BD1319">
        <w:rPr>
          <w:rFonts w:cs="Arial"/>
          <w:bCs/>
          <w:spacing w:val="-3"/>
        </w:rPr>
        <w:t>información</w:t>
      </w:r>
      <w:r w:rsidR="00482A5F" w:rsidRPr="00BD1319">
        <w:rPr>
          <w:spacing w:val="-3"/>
        </w:rPr>
        <w:t xml:space="preserve"> relevante</w:t>
      </w:r>
      <w:r w:rsidR="00482A5F" w:rsidRPr="00BD1319">
        <w:rPr>
          <w:rFonts w:cs="Arial"/>
          <w:bCs/>
          <w:spacing w:val="-3"/>
        </w:rPr>
        <w:t xml:space="preserve"> sobre su biología y ecología, categoría</w:t>
      </w:r>
      <w:r w:rsidR="00482A5F" w:rsidRPr="00BD1319">
        <w:rPr>
          <w:spacing w:val="-3"/>
        </w:rPr>
        <w:t xml:space="preserve"> de amenaza, endemismo, veda </w:t>
      </w:r>
      <w:r w:rsidRPr="00BD1319">
        <w:rPr>
          <w:spacing w:val="-3"/>
        </w:rPr>
        <w:t xml:space="preserve">u </w:t>
      </w:r>
      <w:r w:rsidR="00482A5F" w:rsidRPr="00BD1319">
        <w:rPr>
          <w:spacing w:val="-3"/>
        </w:rPr>
        <w:t>o</w:t>
      </w:r>
      <w:r w:rsidRPr="00BD1319">
        <w:rPr>
          <w:spacing w:val="-3"/>
        </w:rPr>
        <w:t>tras</w:t>
      </w:r>
      <w:r w:rsidR="00482A5F" w:rsidRPr="00BD1319">
        <w:rPr>
          <w:spacing w:val="-3"/>
        </w:rPr>
        <w:t xml:space="preserve"> restricciones.</w:t>
      </w:r>
    </w:p>
    <w:p w14:paraId="6BD62989" w14:textId="77777777" w:rsidR="00482A5F" w:rsidRPr="00BD1319" w:rsidRDefault="00482A5F">
      <w:pPr>
        <w:numPr>
          <w:ilvl w:val="12"/>
          <w:numId w:val="0"/>
        </w:numPr>
        <w:tabs>
          <w:tab w:val="left" w:pos="-2268"/>
        </w:tabs>
        <w:suppressAutoHyphens/>
        <w:rPr>
          <w:spacing w:val="-3"/>
        </w:rPr>
      </w:pPr>
    </w:p>
    <w:p w14:paraId="12045719" w14:textId="2E8046F2" w:rsidR="00482A5F" w:rsidRPr="00BD1319" w:rsidRDefault="00482A5F" w:rsidP="00C86DA5">
      <w:pPr>
        <w:tabs>
          <w:tab w:val="left" w:pos="-2268"/>
        </w:tabs>
        <w:suppressAutoHyphens/>
        <w:rPr>
          <w:spacing w:val="-3"/>
        </w:rPr>
      </w:pPr>
      <w:r w:rsidRPr="00BD1319">
        <w:rPr>
          <w:spacing w:val="-3"/>
        </w:rPr>
        <w:t>Preferiblemente, el muestreo para este tipo de vegetación se debe formular de forma tal</w:t>
      </w:r>
      <w:r w:rsidR="000806A6" w:rsidRPr="00BD1319">
        <w:rPr>
          <w:spacing w:val="-3"/>
        </w:rPr>
        <w:t>,</w:t>
      </w:r>
      <w:r w:rsidRPr="00BD1319">
        <w:rPr>
          <w:spacing w:val="-3"/>
        </w:rPr>
        <w:t xml:space="preserve"> que se</w:t>
      </w:r>
      <w:r w:rsidR="000806A6" w:rsidRPr="00BD1319">
        <w:rPr>
          <w:spacing w:val="-3"/>
        </w:rPr>
        <w:t>a</w:t>
      </w:r>
      <w:r w:rsidRPr="00BD1319">
        <w:rPr>
          <w:spacing w:val="-3"/>
        </w:rPr>
        <w:t xml:space="preserve"> </w:t>
      </w:r>
      <w:r w:rsidR="000806A6" w:rsidRPr="00BD1319">
        <w:rPr>
          <w:spacing w:val="-3"/>
        </w:rPr>
        <w:t xml:space="preserve">posible </w:t>
      </w:r>
      <w:r w:rsidRPr="00BD1319">
        <w:rPr>
          <w:spacing w:val="-3"/>
        </w:rPr>
        <w:t>desarroll</w:t>
      </w:r>
      <w:r w:rsidR="000806A6" w:rsidRPr="00BD1319">
        <w:rPr>
          <w:spacing w:val="-3"/>
        </w:rPr>
        <w:t>arlo</w:t>
      </w:r>
      <w:r w:rsidRPr="00BD1319">
        <w:rPr>
          <w:spacing w:val="-3"/>
        </w:rPr>
        <w:t xml:space="preserve"> </w:t>
      </w:r>
      <w:r w:rsidRPr="00BD1319">
        <w:rPr>
          <w:rFonts w:cs="Arial"/>
          <w:spacing w:val="-3"/>
        </w:rPr>
        <w:t>paralelamente con el</w:t>
      </w:r>
      <w:r w:rsidRPr="00BD1319">
        <w:rPr>
          <w:spacing w:val="-3"/>
        </w:rPr>
        <w:t xml:space="preserve"> muestreo que se establezca para caracterizar </w:t>
      </w:r>
      <w:r w:rsidR="004175FD" w:rsidRPr="00BD1319">
        <w:rPr>
          <w:spacing w:val="-3"/>
        </w:rPr>
        <w:t>los ecosistemas</w:t>
      </w:r>
      <w:r w:rsidR="00037AC1" w:rsidRPr="00BD1319">
        <w:rPr>
          <w:spacing w:val="-3"/>
        </w:rPr>
        <w:t xml:space="preserve"> </w:t>
      </w:r>
      <w:r w:rsidRPr="00BD1319">
        <w:rPr>
          <w:spacing w:val="-3"/>
        </w:rPr>
        <w:t xml:space="preserve">previamente </w:t>
      </w:r>
      <w:r w:rsidR="00DE34D4" w:rsidRPr="00BD1319">
        <w:rPr>
          <w:spacing w:val="-3"/>
        </w:rPr>
        <w:t>determina</w:t>
      </w:r>
      <w:r w:rsidRPr="00BD1319">
        <w:rPr>
          <w:spacing w:val="-3"/>
        </w:rPr>
        <w:t>d</w:t>
      </w:r>
      <w:r w:rsidR="004175FD" w:rsidRPr="00BD1319">
        <w:rPr>
          <w:spacing w:val="-3"/>
        </w:rPr>
        <w:t>o</w:t>
      </w:r>
      <w:r w:rsidRPr="00BD1319">
        <w:rPr>
          <w:spacing w:val="-3"/>
        </w:rPr>
        <w:t>s, buscando emplear los mismos lugares de muestreo.</w:t>
      </w:r>
    </w:p>
    <w:p w14:paraId="4B8E03F7" w14:textId="77777777" w:rsidR="00482A5F" w:rsidRPr="00BD1319" w:rsidRDefault="00482A5F">
      <w:pPr>
        <w:numPr>
          <w:ilvl w:val="12"/>
          <w:numId w:val="0"/>
        </w:numPr>
        <w:tabs>
          <w:tab w:val="left" w:pos="-2268"/>
        </w:tabs>
        <w:suppressAutoHyphens/>
        <w:rPr>
          <w:spacing w:val="-3"/>
        </w:rPr>
      </w:pPr>
    </w:p>
    <w:p w14:paraId="223B092D" w14:textId="3AEA3565" w:rsidR="00482A5F" w:rsidRPr="00BD1319" w:rsidRDefault="00482A5F">
      <w:pPr>
        <w:tabs>
          <w:tab w:val="left" w:pos="-2268"/>
        </w:tabs>
        <w:suppressAutoHyphens/>
        <w:rPr>
          <w:spacing w:val="-3"/>
          <w:u w:val="single"/>
        </w:rPr>
      </w:pPr>
      <w:r w:rsidRPr="00BD1319">
        <w:rPr>
          <w:spacing w:val="-3"/>
          <w:u w:val="single"/>
        </w:rPr>
        <w:t xml:space="preserve">Fase de </w:t>
      </w:r>
      <w:r w:rsidR="009D57C6" w:rsidRPr="00BD1319">
        <w:rPr>
          <w:spacing w:val="-3"/>
          <w:u w:val="single"/>
        </w:rPr>
        <w:t>campo</w:t>
      </w:r>
      <w:r w:rsidRPr="00BD1319">
        <w:rPr>
          <w:spacing w:val="-3"/>
          <w:u w:val="single"/>
        </w:rPr>
        <w:t>:</w:t>
      </w:r>
    </w:p>
    <w:p w14:paraId="4DDBD325" w14:textId="77777777" w:rsidR="00482A5F" w:rsidRPr="00BD1319" w:rsidRDefault="00482A5F">
      <w:pPr>
        <w:numPr>
          <w:ilvl w:val="12"/>
          <w:numId w:val="0"/>
        </w:numPr>
        <w:tabs>
          <w:tab w:val="left" w:pos="-2268"/>
        </w:tabs>
        <w:suppressAutoHyphens/>
        <w:rPr>
          <w:spacing w:val="-3"/>
        </w:rPr>
      </w:pPr>
    </w:p>
    <w:p w14:paraId="4646797D" w14:textId="717E3B25" w:rsidR="00E25ED6" w:rsidRPr="00BD1319" w:rsidRDefault="00E25ED6">
      <w:pPr>
        <w:numPr>
          <w:ilvl w:val="12"/>
          <w:numId w:val="0"/>
        </w:numPr>
        <w:tabs>
          <w:tab w:val="left" w:pos="-2268"/>
        </w:tabs>
        <w:suppressAutoHyphens/>
        <w:rPr>
          <w:spacing w:val="-3"/>
        </w:rPr>
      </w:pPr>
      <w:r w:rsidRPr="00BD1319">
        <w:rPr>
          <w:spacing w:val="-3"/>
        </w:rPr>
        <w:t>Consiste en obtener información primaria sobre cada una de estas categorías de vegetación mediante las siguientes orientaciones:</w:t>
      </w:r>
    </w:p>
    <w:p w14:paraId="726F7F98" w14:textId="77777777" w:rsidR="00E25ED6" w:rsidRPr="00BD1319" w:rsidRDefault="00E25ED6">
      <w:pPr>
        <w:numPr>
          <w:ilvl w:val="12"/>
          <w:numId w:val="0"/>
        </w:numPr>
        <w:tabs>
          <w:tab w:val="left" w:pos="-2268"/>
        </w:tabs>
        <w:suppressAutoHyphens/>
        <w:rPr>
          <w:spacing w:val="-3"/>
        </w:rPr>
      </w:pPr>
    </w:p>
    <w:p w14:paraId="05401D71" w14:textId="4B405959" w:rsidR="00482A5F" w:rsidRPr="00BD1319" w:rsidRDefault="00482A5F" w:rsidP="00C86DA5">
      <w:pPr>
        <w:pStyle w:val="Prrafodelista"/>
        <w:numPr>
          <w:ilvl w:val="0"/>
          <w:numId w:val="59"/>
        </w:numPr>
        <w:ind w:left="567" w:hanging="567"/>
        <w:jc w:val="left"/>
        <w:rPr>
          <w:rFonts w:cs="Arial"/>
          <w:spacing w:val="-3"/>
          <w:lang w:val="es-CO"/>
        </w:rPr>
      </w:pPr>
      <w:r w:rsidRPr="00BD1319">
        <w:rPr>
          <w:rFonts w:cs="Arial"/>
          <w:spacing w:val="-3"/>
          <w:lang w:val="es-CO"/>
        </w:rPr>
        <w:t>Especies vasculares</w:t>
      </w:r>
      <w:r w:rsidR="00037AC1" w:rsidRPr="00BD1319">
        <w:rPr>
          <w:rFonts w:cs="Arial"/>
          <w:spacing w:val="-3"/>
          <w:lang w:val="es-CO"/>
        </w:rPr>
        <w:t>,</w:t>
      </w:r>
      <w:r w:rsidRPr="00BD1319">
        <w:rPr>
          <w:rFonts w:cs="Arial"/>
          <w:spacing w:val="-3"/>
          <w:lang w:val="es-CO"/>
        </w:rPr>
        <w:t xml:space="preserve"> no vasculares</w:t>
      </w:r>
      <w:r w:rsidR="00037AC1" w:rsidRPr="00BD1319">
        <w:rPr>
          <w:rFonts w:cs="Arial"/>
          <w:spacing w:val="-3"/>
          <w:lang w:val="es-CO"/>
        </w:rPr>
        <w:t xml:space="preserve"> y líquenes de hábito</w:t>
      </w:r>
      <w:r w:rsidRPr="00BD1319">
        <w:rPr>
          <w:rFonts w:cs="Arial"/>
          <w:spacing w:val="-3"/>
          <w:lang w:val="es-CO"/>
        </w:rPr>
        <w:t xml:space="preserve"> terrestre y </w:t>
      </w:r>
      <w:proofErr w:type="spellStart"/>
      <w:r w:rsidRPr="00BD1319">
        <w:rPr>
          <w:rFonts w:cs="Arial"/>
          <w:spacing w:val="-3"/>
          <w:lang w:val="es-CO"/>
        </w:rPr>
        <w:t>rupícula</w:t>
      </w:r>
      <w:proofErr w:type="spellEnd"/>
      <w:r w:rsidR="005D522A" w:rsidRPr="00BD1319">
        <w:rPr>
          <w:rFonts w:cs="Arial"/>
          <w:spacing w:val="-3"/>
          <w:lang w:val="es-CO"/>
        </w:rPr>
        <w:t>.</w:t>
      </w:r>
    </w:p>
    <w:p w14:paraId="07B63A37" w14:textId="77777777" w:rsidR="00482A5F" w:rsidRPr="00BD1319" w:rsidRDefault="00482A5F" w:rsidP="00482A5F">
      <w:pPr>
        <w:numPr>
          <w:ilvl w:val="12"/>
          <w:numId w:val="0"/>
        </w:numPr>
        <w:tabs>
          <w:tab w:val="left" w:pos="-2268"/>
        </w:tabs>
        <w:suppressAutoHyphens/>
        <w:rPr>
          <w:rFonts w:cs="Arial"/>
          <w:spacing w:val="-3"/>
        </w:rPr>
      </w:pPr>
    </w:p>
    <w:p w14:paraId="5E687E82" w14:textId="168920CE" w:rsidR="00350D3E" w:rsidRPr="00BD1319" w:rsidRDefault="001C196E" w:rsidP="00C86DA5">
      <w:pPr>
        <w:numPr>
          <w:ilvl w:val="12"/>
          <w:numId w:val="0"/>
        </w:numPr>
        <w:tabs>
          <w:tab w:val="left" w:pos="-2268"/>
        </w:tabs>
        <w:suppressAutoHyphens/>
        <w:ind w:left="567"/>
        <w:rPr>
          <w:spacing w:val="-3"/>
        </w:rPr>
      </w:pPr>
      <w:r w:rsidRPr="00BD1319">
        <w:rPr>
          <w:spacing w:val="-3"/>
        </w:rPr>
        <w:t xml:space="preserve">Para la caracterización de </w:t>
      </w:r>
      <w:r w:rsidR="001B71E7" w:rsidRPr="00BD1319">
        <w:rPr>
          <w:spacing w:val="-3"/>
        </w:rPr>
        <w:t>plantas</w:t>
      </w:r>
      <w:r w:rsidRPr="00BD1319">
        <w:rPr>
          <w:spacing w:val="-3"/>
        </w:rPr>
        <w:t xml:space="preserve"> no arbórea</w:t>
      </w:r>
      <w:r w:rsidR="001B71E7" w:rsidRPr="00BD1319">
        <w:rPr>
          <w:spacing w:val="-3"/>
        </w:rPr>
        <w:t>s</w:t>
      </w:r>
      <w:r w:rsidR="007903DF" w:rsidRPr="00BD1319">
        <w:rPr>
          <w:spacing w:val="-3"/>
        </w:rPr>
        <w:t xml:space="preserve"> que habitan en sustratos terrestres (p. ej. suelo, troncos en descomposición, hojarasca, rocas)</w:t>
      </w:r>
      <w:r w:rsidRPr="00BD1319">
        <w:rPr>
          <w:spacing w:val="-3"/>
        </w:rPr>
        <w:t>, debe implementarse un diseño muestral representativo</w:t>
      </w:r>
      <w:r w:rsidR="00B001A6" w:rsidRPr="00BD1319">
        <w:rPr>
          <w:rStyle w:val="Refdenotaalpie"/>
          <w:spacing w:val="-3"/>
        </w:rPr>
        <w:footnoteReference w:id="128"/>
      </w:r>
      <w:r w:rsidRPr="00BD1319">
        <w:rPr>
          <w:spacing w:val="-3"/>
        </w:rPr>
        <w:t xml:space="preserve"> para los ecosistemas del área de influencia del componente</w:t>
      </w:r>
      <w:r w:rsidR="0029675B" w:rsidRPr="00BD1319">
        <w:rPr>
          <w:spacing w:val="-3"/>
        </w:rPr>
        <w:t>;</w:t>
      </w:r>
      <w:r w:rsidRPr="00BD1319">
        <w:rPr>
          <w:spacing w:val="-3"/>
        </w:rPr>
        <w:t xml:space="preserve"> </w:t>
      </w:r>
      <w:proofErr w:type="spellStart"/>
      <w:r w:rsidR="00350D3E" w:rsidRPr="00BD1319">
        <w:rPr>
          <w:spacing w:val="-3"/>
        </w:rPr>
        <w:t>Frahm</w:t>
      </w:r>
      <w:proofErr w:type="spellEnd"/>
      <w:r w:rsidR="00350D3E" w:rsidRPr="00BD1319">
        <w:rPr>
          <w:spacing w:val="-3"/>
        </w:rPr>
        <w:t xml:space="preserve"> et al. (2003) recomiendan implementar un muestreo sistemático por tipo de hábitat (p. ej. bosque, vegetación secundaria, pastos) que permita estimar la composición, abundancia y riqueza de los diversos sustratos terrestres de los ecosistemas.</w:t>
      </w:r>
    </w:p>
    <w:p w14:paraId="20B21C93" w14:textId="77777777" w:rsidR="00350D3E" w:rsidRPr="00BD1319" w:rsidRDefault="00350D3E" w:rsidP="003351A6">
      <w:pPr>
        <w:numPr>
          <w:ilvl w:val="12"/>
          <w:numId w:val="0"/>
        </w:numPr>
        <w:tabs>
          <w:tab w:val="left" w:pos="-2268"/>
        </w:tabs>
        <w:suppressAutoHyphens/>
        <w:rPr>
          <w:spacing w:val="-3"/>
        </w:rPr>
      </w:pPr>
    </w:p>
    <w:p w14:paraId="06E6C3F8" w14:textId="7C5517B6" w:rsidR="001C196E" w:rsidRPr="00BD1319" w:rsidRDefault="00EF48F0" w:rsidP="00C86DA5">
      <w:pPr>
        <w:numPr>
          <w:ilvl w:val="12"/>
          <w:numId w:val="0"/>
        </w:numPr>
        <w:tabs>
          <w:tab w:val="left" w:pos="-2268"/>
        </w:tabs>
        <w:suppressAutoHyphens/>
        <w:ind w:left="567"/>
        <w:rPr>
          <w:spacing w:val="-3"/>
        </w:rPr>
      </w:pPr>
      <w:r w:rsidRPr="00BD1319">
        <w:rPr>
          <w:spacing w:val="-3"/>
        </w:rPr>
        <w:lastRenderedPageBreak/>
        <w:t>C</w:t>
      </w:r>
      <w:r w:rsidR="007903DF" w:rsidRPr="00BD1319">
        <w:rPr>
          <w:spacing w:val="-3"/>
        </w:rPr>
        <w:t xml:space="preserve">on este fin </w:t>
      </w:r>
      <w:r w:rsidR="0029675B" w:rsidRPr="00BD1319">
        <w:rPr>
          <w:spacing w:val="-3"/>
        </w:rPr>
        <w:t>e</w:t>
      </w:r>
      <w:r w:rsidR="001C196E" w:rsidRPr="00BD1319">
        <w:rPr>
          <w:spacing w:val="-3"/>
        </w:rPr>
        <w:t xml:space="preserve">s posible desarrollar </w:t>
      </w:r>
      <w:r w:rsidR="007903DF" w:rsidRPr="00BD1319">
        <w:rPr>
          <w:spacing w:val="-3"/>
        </w:rPr>
        <w:t xml:space="preserve">un </w:t>
      </w:r>
      <w:r w:rsidR="0029675B" w:rsidRPr="00BD1319">
        <w:rPr>
          <w:spacing w:val="-3"/>
        </w:rPr>
        <w:t xml:space="preserve">muestreo mediante parcelas de 1 </w:t>
      </w:r>
      <w:r w:rsidR="00B001A6" w:rsidRPr="00BD1319">
        <w:rPr>
          <w:spacing w:val="-3"/>
        </w:rPr>
        <w:t xml:space="preserve">m </w:t>
      </w:r>
      <w:r w:rsidR="0029675B" w:rsidRPr="00BD1319">
        <w:rPr>
          <w:spacing w:val="-3"/>
        </w:rPr>
        <w:t xml:space="preserve">x 1 </w:t>
      </w:r>
      <w:r w:rsidR="00B001A6" w:rsidRPr="00BD1319">
        <w:rPr>
          <w:spacing w:val="-3"/>
        </w:rPr>
        <w:t xml:space="preserve">m </w:t>
      </w:r>
      <w:r w:rsidR="007903DF" w:rsidRPr="00BD1319">
        <w:rPr>
          <w:spacing w:val="-3"/>
        </w:rPr>
        <w:t xml:space="preserve">adaptando </w:t>
      </w:r>
      <w:r w:rsidR="001C196E" w:rsidRPr="00BD1319">
        <w:rPr>
          <w:spacing w:val="-3"/>
        </w:rPr>
        <w:t>l</w:t>
      </w:r>
      <w:r w:rsidR="007903DF" w:rsidRPr="00BD1319">
        <w:rPr>
          <w:spacing w:val="-3"/>
        </w:rPr>
        <w:t>a</w:t>
      </w:r>
      <w:r w:rsidR="001C196E" w:rsidRPr="00BD1319">
        <w:rPr>
          <w:spacing w:val="-3"/>
        </w:rPr>
        <w:t xml:space="preserve"> propuest</w:t>
      </w:r>
      <w:r w:rsidR="007903DF" w:rsidRPr="00BD1319">
        <w:rPr>
          <w:spacing w:val="-3"/>
        </w:rPr>
        <w:t>a</w:t>
      </w:r>
      <w:r w:rsidR="001C196E" w:rsidRPr="00BD1319">
        <w:rPr>
          <w:spacing w:val="-3"/>
        </w:rPr>
        <w:t xml:space="preserve"> </w:t>
      </w:r>
      <w:r w:rsidR="007903DF" w:rsidRPr="00BD1319">
        <w:rPr>
          <w:spacing w:val="-3"/>
        </w:rPr>
        <w:t xml:space="preserve">desarrollada </w:t>
      </w:r>
      <w:r w:rsidR="001C196E" w:rsidRPr="00BD1319">
        <w:rPr>
          <w:spacing w:val="-3"/>
        </w:rPr>
        <w:t xml:space="preserve">por </w:t>
      </w:r>
      <w:proofErr w:type="spellStart"/>
      <w:r w:rsidR="001C196E" w:rsidRPr="00BD1319">
        <w:rPr>
          <w:spacing w:val="-3"/>
        </w:rPr>
        <w:t>Gentry</w:t>
      </w:r>
      <w:proofErr w:type="spellEnd"/>
      <w:r w:rsidR="001C196E" w:rsidRPr="00BD1319">
        <w:rPr>
          <w:spacing w:val="-3"/>
        </w:rPr>
        <w:t xml:space="preserve"> (1982)</w:t>
      </w:r>
      <w:r w:rsidRPr="00BD1319">
        <w:rPr>
          <w:spacing w:val="-3"/>
        </w:rPr>
        <w:t>, o bien, establecer e</w:t>
      </w:r>
      <w:r w:rsidR="001C196E" w:rsidRPr="00BD1319">
        <w:rPr>
          <w:spacing w:val="-3"/>
        </w:rPr>
        <w:t xml:space="preserve">l tamaño </w:t>
      </w:r>
      <w:r w:rsidR="00ED5EE2" w:rsidRPr="00BD1319">
        <w:rPr>
          <w:spacing w:val="-3"/>
        </w:rPr>
        <w:t xml:space="preserve">y cantidad </w:t>
      </w:r>
      <w:r w:rsidR="001C196E" w:rsidRPr="00BD1319">
        <w:rPr>
          <w:spacing w:val="-3"/>
        </w:rPr>
        <w:t>de parcela</w:t>
      </w:r>
      <w:r w:rsidR="00ED5EE2" w:rsidRPr="00BD1319">
        <w:rPr>
          <w:spacing w:val="-3"/>
        </w:rPr>
        <w:t>s</w:t>
      </w:r>
      <w:r w:rsidR="001C196E" w:rsidRPr="00BD1319">
        <w:rPr>
          <w:spacing w:val="-3"/>
        </w:rPr>
        <w:t xml:space="preserve"> de muestreo debe</w:t>
      </w:r>
      <w:r w:rsidR="00ED5EE2" w:rsidRPr="00BD1319">
        <w:rPr>
          <w:spacing w:val="-3"/>
        </w:rPr>
        <w:t>n</w:t>
      </w:r>
      <w:r w:rsidR="001C196E" w:rsidRPr="00BD1319">
        <w:rPr>
          <w:spacing w:val="-3"/>
        </w:rPr>
        <w:t xml:space="preserve"> </w:t>
      </w:r>
      <w:r w:rsidR="00FD3B16" w:rsidRPr="00BD1319">
        <w:rPr>
          <w:spacing w:val="-3"/>
        </w:rPr>
        <w:t xml:space="preserve">mediante una </w:t>
      </w:r>
      <w:r w:rsidR="001C196E" w:rsidRPr="00BD1319">
        <w:rPr>
          <w:spacing w:val="-3"/>
        </w:rPr>
        <w:t>curva de acumulación de especies</w:t>
      </w:r>
      <w:r w:rsidRPr="00BD1319">
        <w:rPr>
          <w:spacing w:val="-3"/>
        </w:rPr>
        <w:t>, teniendo en cuenta que l</w:t>
      </w:r>
      <w:r w:rsidR="001C196E" w:rsidRPr="00BD1319">
        <w:rPr>
          <w:spacing w:val="-3"/>
        </w:rPr>
        <w:t xml:space="preserve">a forma </w:t>
      </w:r>
      <w:r w:rsidR="00FD3B16" w:rsidRPr="00BD1319">
        <w:rPr>
          <w:spacing w:val="-3"/>
        </w:rPr>
        <w:t>de la</w:t>
      </w:r>
      <w:r w:rsidRPr="00BD1319">
        <w:rPr>
          <w:spacing w:val="-3"/>
        </w:rPr>
        <w:t>s</w:t>
      </w:r>
      <w:r w:rsidR="00FD3B16" w:rsidRPr="00BD1319">
        <w:rPr>
          <w:spacing w:val="-3"/>
        </w:rPr>
        <w:t xml:space="preserve"> parcela</w:t>
      </w:r>
      <w:r w:rsidRPr="00BD1319">
        <w:rPr>
          <w:spacing w:val="-3"/>
        </w:rPr>
        <w:t>s</w:t>
      </w:r>
      <w:r w:rsidR="00FD3B16" w:rsidRPr="00BD1319">
        <w:rPr>
          <w:spacing w:val="-3"/>
        </w:rPr>
        <w:t xml:space="preserve"> debe definirse según </w:t>
      </w:r>
      <w:r w:rsidR="001C196E" w:rsidRPr="00BD1319">
        <w:rPr>
          <w:spacing w:val="-3"/>
        </w:rPr>
        <w:t xml:space="preserve">la topografía del área de interés. </w:t>
      </w:r>
      <w:r w:rsidRPr="00BD1319">
        <w:rPr>
          <w:spacing w:val="-3"/>
        </w:rPr>
        <w:t>Asimismo, p</w:t>
      </w:r>
      <w:r w:rsidR="001C196E" w:rsidRPr="00BD1319">
        <w:rPr>
          <w:spacing w:val="-3"/>
        </w:rPr>
        <w:t xml:space="preserve">ara </w:t>
      </w:r>
      <w:r w:rsidR="00FD3B16" w:rsidRPr="00BD1319">
        <w:rPr>
          <w:spacing w:val="-3"/>
        </w:rPr>
        <w:t xml:space="preserve">la caracterización de </w:t>
      </w:r>
      <w:r w:rsidR="001C196E" w:rsidRPr="00BD1319">
        <w:rPr>
          <w:spacing w:val="-3"/>
        </w:rPr>
        <w:t xml:space="preserve">estos sustratos </w:t>
      </w:r>
      <w:r w:rsidR="00FD3B16" w:rsidRPr="00BD1319">
        <w:rPr>
          <w:spacing w:val="-3"/>
        </w:rPr>
        <w:t xml:space="preserve">es posible emplear </w:t>
      </w:r>
      <w:r w:rsidR="00ED5EE2" w:rsidRPr="00BD1319">
        <w:rPr>
          <w:spacing w:val="-3"/>
        </w:rPr>
        <w:t xml:space="preserve">la estrategia de muestreo para hábitos terrestres del </w:t>
      </w:r>
      <w:r w:rsidR="00FD3B16" w:rsidRPr="00BD1319">
        <w:rPr>
          <w:spacing w:val="-3"/>
        </w:rPr>
        <w:t xml:space="preserve">Análisis Rápido y Representativo de la Diversidad de Epífitas </w:t>
      </w:r>
      <w:r w:rsidR="001C196E" w:rsidRPr="00BD1319">
        <w:rPr>
          <w:spacing w:val="-3"/>
        </w:rPr>
        <w:t>(RRED-</w:t>
      </w:r>
      <w:proofErr w:type="spellStart"/>
      <w:r w:rsidR="001C196E" w:rsidRPr="00BD1319">
        <w:rPr>
          <w:spacing w:val="-3"/>
        </w:rPr>
        <w:t>analysis</w:t>
      </w:r>
      <w:proofErr w:type="spellEnd"/>
      <w:r w:rsidR="001C196E" w:rsidRPr="00BD1319">
        <w:rPr>
          <w:spacing w:val="-3"/>
        </w:rPr>
        <w:t xml:space="preserve">) propuesto por </w:t>
      </w:r>
      <w:proofErr w:type="spellStart"/>
      <w:r w:rsidR="001C196E" w:rsidRPr="00BD1319">
        <w:rPr>
          <w:spacing w:val="-3"/>
        </w:rPr>
        <w:t>Gradstein</w:t>
      </w:r>
      <w:proofErr w:type="spellEnd"/>
      <w:r w:rsidR="001C196E" w:rsidRPr="00BD1319">
        <w:rPr>
          <w:spacing w:val="-3"/>
        </w:rPr>
        <w:t xml:space="preserve"> et al. (2003)</w:t>
      </w:r>
      <w:r w:rsidR="00FD3B16" w:rsidRPr="00BD1319">
        <w:rPr>
          <w:spacing w:val="-3"/>
        </w:rPr>
        <w:t xml:space="preserve"> </w:t>
      </w:r>
      <w:r w:rsidR="00ED5EE2" w:rsidRPr="00BD1319">
        <w:rPr>
          <w:spacing w:val="-3"/>
        </w:rPr>
        <w:t>o</w:t>
      </w:r>
      <w:r w:rsidR="00FD3B16" w:rsidRPr="00BD1319">
        <w:rPr>
          <w:spacing w:val="-3"/>
        </w:rPr>
        <w:t xml:space="preserve"> el método desarrollado por </w:t>
      </w:r>
      <w:r w:rsidR="001C196E" w:rsidRPr="00BD1319">
        <w:rPr>
          <w:spacing w:val="-3"/>
        </w:rPr>
        <w:t>Wolf (1993).</w:t>
      </w:r>
    </w:p>
    <w:p w14:paraId="4E615727" w14:textId="77777777" w:rsidR="00EF48F0" w:rsidRPr="00BD1319" w:rsidRDefault="00EF48F0" w:rsidP="003351A6">
      <w:pPr>
        <w:numPr>
          <w:ilvl w:val="12"/>
          <w:numId w:val="0"/>
        </w:numPr>
        <w:tabs>
          <w:tab w:val="left" w:pos="-2268"/>
        </w:tabs>
        <w:suppressAutoHyphens/>
        <w:rPr>
          <w:spacing w:val="-3"/>
        </w:rPr>
      </w:pPr>
    </w:p>
    <w:p w14:paraId="6120D073" w14:textId="079A02ED" w:rsidR="00EF48F0" w:rsidRPr="00BD1319" w:rsidRDefault="00EF48F0" w:rsidP="00EF48F0">
      <w:pPr>
        <w:numPr>
          <w:ilvl w:val="12"/>
          <w:numId w:val="0"/>
        </w:numPr>
        <w:tabs>
          <w:tab w:val="left" w:pos="-2268"/>
        </w:tabs>
        <w:suppressAutoHyphens/>
        <w:ind w:left="567"/>
        <w:rPr>
          <w:spacing w:val="-3"/>
        </w:rPr>
      </w:pPr>
      <w:r w:rsidRPr="00BD1319">
        <w:rPr>
          <w:spacing w:val="-3"/>
        </w:rPr>
        <w:t>El muestreo para las especies de briofitos y líquenes debe definir tanto el tamaño de la plantilla a utilizar (en cm</w:t>
      </w:r>
      <w:r w:rsidRPr="00BD1319">
        <w:rPr>
          <w:spacing w:val="-3"/>
          <w:vertAlign w:val="superscript"/>
        </w:rPr>
        <w:t>2</w:t>
      </w:r>
      <w:r w:rsidRPr="00BD1319">
        <w:rPr>
          <w:spacing w:val="-3"/>
        </w:rPr>
        <w:t xml:space="preserve">) como la cantidad de repeticiones; para ello, puede emplearse como referencia el método planteado por </w:t>
      </w:r>
      <w:proofErr w:type="spellStart"/>
      <w:r w:rsidRPr="00BD1319">
        <w:rPr>
          <w:spacing w:val="-3"/>
        </w:rPr>
        <w:t>Iwatsuki</w:t>
      </w:r>
      <w:proofErr w:type="spellEnd"/>
      <w:r w:rsidRPr="00BD1319">
        <w:rPr>
          <w:spacing w:val="-3"/>
        </w:rPr>
        <w:t xml:space="preserve"> (1960).</w:t>
      </w:r>
    </w:p>
    <w:p w14:paraId="37FC8BF1" w14:textId="77777777" w:rsidR="00C2642C" w:rsidRPr="00BD1319" w:rsidRDefault="00C2642C" w:rsidP="003351A6">
      <w:pPr>
        <w:numPr>
          <w:ilvl w:val="12"/>
          <w:numId w:val="0"/>
        </w:numPr>
        <w:tabs>
          <w:tab w:val="left" w:pos="-2268"/>
        </w:tabs>
        <w:suppressAutoHyphens/>
      </w:pPr>
    </w:p>
    <w:p w14:paraId="5635861A" w14:textId="34217BAF" w:rsidR="00C2642C" w:rsidRPr="00BD1319" w:rsidRDefault="002B4B75" w:rsidP="00C86DA5">
      <w:pPr>
        <w:numPr>
          <w:ilvl w:val="12"/>
          <w:numId w:val="0"/>
        </w:numPr>
        <w:tabs>
          <w:tab w:val="left" w:pos="-2268"/>
        </w:tabs>
        <w:suppressAutoHyphens/>
        <w:ind w:left="567"/>
        <w:rPr>
          <w:spacing w:val="-3"/>
        </w:rPr>
      </w:pPr>
      <w:r w:rsidRPr="00BD1319">
        <w:t>El procedimiento de caracterización para este grupo de especies adicionalmente debe permitir la recolección de información para cada una de las unidades de muestreo sobre</w:t>
      </w:r>
      <w:r w:rsidR="00AF1405" w:rsidRPr="00BD1319">
        <w:t xml:space="preserve"> su</w:t>
      </w:r>
      <w:r w:rsidRPr="00BD1319">
        <w:t xml:space="preserve"> localización (georreferenciada), </w:t>
      </w:r>
      <w:r w:rsidR="00C2642C" w:rsidRPr="00BD1319">
        <w:t>tipo de sustrato, humedad relativa, entre otros parámetros que sean clave para comprender el estructura y funcionalidad de estas especies en los ecosistemas de interés.</w:t>
      </w:r>
    </w:p>
    <w:p w14:paraId="6CA17770" w14:textId="77777777" w:rsidR="00482A5F" w:rsidRPr="00BD1319" w:rsidRDefault="00482A5F">
      <w:pPr>
        <w:numPr>
          <w:ilvl w:val="12"/>
          <w:numId w:val="0"/>
        </w:numPr>
        <w:tabs>
          <w:tab w:val="left" w:pos="-2268"/>
        </w:tabs>
        <w:suppressAutoHyphens/>
        <w:rPr>
          <w:spacing w:val="-3"/>
        </w:rPr>
      </w:pPr>
    </w:p>
    <w:p w14:paraId="096FF50F" w14:textId="6B88A65C" w:rsidR="00482A5F" w:rsidRPr="00BD1319" w:rsidRDefault="00482A5F" w:rsidP="00C86DA5">
      <w:pPr>
        <w:pStyle w:val="Prrafodelista"/>
        <w:numPr>
          <w:ilvl w:val="0"/>
          <w:numId w:val="59"/>
        </w:numPr>
        <w:ind w:left="567" w:hanging="567"/>
        <w:jc w:val="left"/>
        <w:rPr>
          <w:rFonts w:cs="Arial"/>
          <w:spacing w:val="-3"/>
          <w:lang w:val="es-CO"/>
        </w:rPr>
      </w:pPr>
      <w:r w:rsidRPr="00BD1319">
        <w:rPr>
          <w:rFonts w:cs="Arial"/>
          <w:spacing w:val="-3"/>
          <w:lang w:val="es-CO"/>
        </w:rPr>
        <w:t>Especies vasculares</w:t>
      </w:r>
      <w:r w:rsidR="00C548F3" w:rsidRPr="00BD1319">
        <w:rPr>
          <w:rFonts w:cs="Arial"/>
          <w:spacing w:val="-3"/>
          <w:lang w:val="es-CO"/>
        </w:rPr>
        <w:t>,</w:t>
      </w:r>
      <w:r w:rsidRPr="00BD1319">
        <w:rPr>
          <w:rFonts w:cs="Arial"/>
          <w:spacing w:val="-3"/>
          <w:lang w:val="es-CO"/>
        </w:rPr>
        <w:t xml:space="preserve"> no vasculares </w:t>
      </w:r>
      <w:r w:rsidR="00C548F3" w:rsidRPr="00BD1319">
        <w:rPr>
          <w:rFonts w:cs="Arial"/>
          <w:spacing w:val="-3"/>
          <w:lang w:val="es-CO"/>
        </w:rPr>
        <w:t xml:space="preserve">y líquenes de hábito </w:t>
      </w:r>
      <w:r w:rsidRPr="00BD1319">
        <w:rPr>
          <w:rFonts w:cs="Arial"/>
          <w:spacing w:val="-3"/>
          <w:lang w:val="es-CO"/>
        </w:rPr>
        <w:t>ep</w:t>
      </w:r>
      <w:r w:rsidR="003B3D0E" w:rsidRPr="00BD1319">
        <w:rPr>
          <w:rFonts w:cs="Arial"/>
          <w:spacing w:val="-3"/>
          <w:lang w:val="es-CO"/>
        </w:rPr>
        <w:t>í</w:t>
      </w:r>
      <w:r w:rsidRPr="00BD1319">
        <w:rPr>
          <w:rFonts w:cs="Arial"/>
          <w:spacing w:val="-3"/>
          <w:lang w:val="es-CO"/>
        </w:rPr>
        <w:t>fit</w:t>
      </w:r>
      <w:r w:rsidR="00C548F3" w:rsidRPr="00BD1319">
        <w:rPr>
          <w:rFonts w:cs="Arial"/>
          <w:spacing w:val="-3"/>
          <w:lang w:val="es-CO"/>
        </w:rPr>
        <w:t>o</w:t>
      </w:r>
      <w:r w:rsidRPr="00BD1319">
        <w:rPr>
          <w:rFonts w:cs="Arial"/>
          <w:spacing w:val="-3"/>
          <w:lang w:val="es-CO"/>
        </w:rPr>
        <w:t>.</w:t>
      </w:r>
    </w:p>
    <w:p w14:paraId="2718ED2F" w14:textId="77777777" w:rsidR="00482A5F" w:rsidRPr="00BD1319" w:rsidRDefault="00482A5F" w:rsidP="00C86DA5">
      <w:pPr>
        <w:tabs>
          <w:tab w:val="left" w:pos="-2268"/>
        </w:tabs>
        <w:suppressAutoHyphens/>
        <w:rPr>
          <w:spacing w:val="-3"/>
        </w:rPr>
      </w:pPr>
    </w:p>
    <w:p w14:paraId="09E1A5E0" w14:textId="6B687439" w:rsidR="00EA2644" w:rsidRPr="00BD1319" w:rsidRDefault="000E6D94" w:rsidP="00C86DA5">
      <w:pPr>
        <w:numPr>
          <w:ilvl w:val="12"/>
          <w:numId w:val="0"/>
        </w:numPr>
        <w:tabs>
          <w:tab w:val="left" w:pos="-2268"/>
        </w:tabs>
        <w:suppressAutoHyphens/>
        <w:ind w:left="567"/>
        <w:rPr>
          <w:rFonts w:cs="Arial"/>
          <w:spacing w:val="-3"/>
        </w:rPr>
      </w:pPr>
      <w:r w:rsidRPr="00BD1319">
        <w:rPr>
          <w:spacing w:val="-3"/>
        </w:rPr>
        <w:t>E</w:t>
      </w:r>
      <w:r w:rsidR="00B876CD" w:rsidRPr="00BD1319">
        <w:rPr>
          <w:spacing w:val="-3"/>
        </w:rPr>
        <w:t xml:space="preserve">s posible </w:t>
      </w:r>
      <w:r w:rsidR="00482A5F" w:rsidRPr="00BD1319">
        <w:rPr>
          <w:spacing w:val="-3"/>
        </w:rPr>
        <w:t>utilizar el Análisis Rápido y Representativo de la Diversidad de Epífitas (RRED-</w:t>
      </w:r>
      <w:proofErr w:type="spellStart"/>
      <w:r w:rsidR="00482A5F" w:rsidRPr="00BD1319">
        <w:rPr>
          <w:spacing w:val="-3"/>
        </w:rPr>
        <w:t>analysis</w:t>
      </w:r>
      <w:proofErr w:type="spellEnd"/>
      <w:r w:rsidR="00482A5F" w:rsidRPr="00BD1319">
        <w:rPr>
          <w:spacing w:val="-3"/>
        </w:rPr>
        <w:t xml:space="preserve">) propuesto por </w:t>
      </w:r>
      <w:proofErr w:type="spellStart"/>
      <w:r w:rsidR="00482A5F" w:rsidRPr="00BD1319">
        <w:rPr>
          <w:spacing w:val="-3"/>
        </w:rPr>
        <w:t>Gradstein</w:t>
      </w:r>
      <w:proofErr w:type="spellEnd"/>
      <w:r w:rsidR="00482A5F" w:rsidRPr="00BD1319">
        <w:rPr>
          <w:spacing w:val="-3"/>
        </w:rPr>
        <w:t xml:space="preserve"> </w:t>
      </w:r>
      <w:r w:rsidR="00482A5F" w:rsidRPr="00BD1319">
        <w:rPr>
          <w:iCs/>
          <w:spacing w:val="-3"/>
        </w:rPr>
        <w:t>et al.</w:t>
      </w:r>
      <w:r w:rsidR="00482A5F" w:rsidRPr="00BD1319">
        <w:rPr>
          <w:i/>
          <w:spacing w:val="-3"/>
        </w:rPr>
        <w:t xml:space="preserve"> </w:t>
      </w:r>
      <w:r w:rsidR="00482A5F" w:rsidRPr="00BD1319">
        <w:rPr>
          <w:spacing w:val="-3"/>
        </w:rPr>
        <w:t xml:space="preserve">(2003), </w:t>
      </w:r>
      <w:r w:rsidR="003B3D0E" w:rsidRPr="00BD1319">
        <w:rPr>
          <w:spacing w:val="-3"/>
        </w:rPr>
        <w:t xml:space="preserve">que establece una </w:t>
      </w:r>
      <w:r w:rsidR="00482A5F" w:rsidRPr="00BD1319">
        <w:rPr>
          <w:spacing w:val="-3"/>
        </w:rPr>
        <w:t>muestra mínim</w:t>
      </w:r>
      <w:r w:rsidR="003B3D0E" w:rsidRPr="00BD1319">
        <w:rPr>
          <w:spacing w:val="-3"/>
        </w:rPr>
        <w:t>a</w:t>
      </w:r>
      <w:r w:rsidR="00482A5F" w:rsidRPr="00BD1319">
        <w:rPr>
          <w:spacing w:val="-3"/>
        </w:rPr>
        <w:t xml:space="preserve"> </w:t>
      </w:r>
      <w:r w:rsidR="003B3D0E" w:rsidRPr="00BD1319">
        <w:rPr>
          <w:spacing w:val="-3"/>
        </w:rPr>
        <w:t xml:space="preserve">por hectárea de </w:t>
      </w:r>
      <w:r w:rsidR="00482A5F" w:rsidRPr="00BD1319">
        <w:rPr>
          <w:spacing w:val="-3"/>
        </w:rPr>
        <w:t xml:space="preserve">5 </w:t>
      </w:r>
      <w:proofErr w:type="spellStart"/>
      <w:r w:rsidR="00482A5F" w:rsidRPr="00BD1319">
        <w:rPr>
          <w:spacing w:val="-3"/>
        </w:rPr>
        <w:t>forófitos</w:t>
      </w:r>
      <w:proofErr w:type="spellEnd"/>
      <w:r w:rsidR="00482A5F" w:rsidRPr="00BD1319">
        <w:rPr>
          <w:spacing w:val="-3"/>
        </w:rPr>
        <w:t xml:space="preserve"> para musgos, hepáticas </w:t>
      </w:r>
      <w:r w:rsidR="003B3D0E" w:rsidRPr="00BD1319">
        <w:rPr>
          <w:spacing w:val="-3"/>
        </w:rPr>
        <w:t xml:space="preserve">y </w:t>
      </w:r>
      <w:proofErr w:type="spellStart"/>
      <w:r w:rsidR="00482A5F" w:rsidRPr="00BD1319">
        <w:rPr>
          <w:rFonts w:cs="Arial"/>
          <w:spacing w:val="-3"/>
        </w:rPr>
        <w:t>anthocerotales</w:t>
      </w:r>
      <w:proofErr w:type="spellEnd"/>
      <w:r w:rsidR="003B3D0E" w:rsidRPr="00BD1319">
        <w:rPr>
          <w:rFonts w:cs="Arial"/>
          <w:spacing w:val="-3"/>
        </w:rPr>
        <w:t>,</w:t>
      </w:r>
      <w:r w:rsidR="00482A5F" w:rsidRPr="00BD1319">
        <w:rPr>
          <w:rFonts w:cs="Arial"/>
          <w:spacing w:val="-3"/>
        </w:rPr>
        <w:t xml:space="preserve"> </w:t>
      </w:r>
      <w:r w:rsidR="00482A5F" w:rsidRPr="00BD1319">
        <w:rPr>
          <w:spacing w:val="-3"/>
        </w:rPr>
        <w:t xml:space="preserve">y </w:t>
      </w:r>
      <w:r w:rsidR="00102112" w:rsidRPr="00BD1319">
        <w:rPr>
          <w:spacing w:val="-3"/>
        </w:rPr>
        <w:t xml:space="preserve">de </w:t>
      </w:r>
      <w:r w:rsidR="00482A5F" w:rsidRPr="00BD1319">
        <w:rPr>
          <w:spacing w:val="-3"/>
        </w:rPr>
        <w:t xml:space="preserve">8 </w:t>
      </w:r>
      <w:proofErr w:type="spellStart"/>
      <w:r w:rsidR="00482A5F" w:rsidRPr="00BD1319">
        <w:rPr>
          <w:spacing w:val="-3"/>
        </w:rPr>
        <w:t>forófitos</w:t>
      </w:r>
      <w:proofErr w:type="spellEnd"/>
      <w:r w:rsidR="00482A5F" w:rsidRPr="00BD1319">
        <w:rPr>
          <w:spacing w:val="-3"/>
        </w:rPr>
        <w:t xml:space="preserve"> </w:t>
      </w:r>
      <w:r w:rsidR="00482A5F" w:rsidRPr="00BD1319">
        <w:rPr>
          <w:rFonts w:cs="Arial"/>
          <w:spacing w:val="-3"/>
        </w:rPr>
        <w:t>para ep</w:t>
      </w:r>
      <w:r w:rsidR="001256B9" w:rsidRPr="00BD1319">
        <w:rPr>
          <w:rFonts w:cs="Arial"/>
          <w:spacing w:val="-3"/>
        </w:rPr>
        <w:t>í</w:t>
      </w:r>
      <w:r w:rsidR="00482A5F" w:rsidRPr="00BD1319">
        <w:rPr>
          <w:rFonts w:cs="Arial"/>
          <w:spacing w:val="-3"/>
        </w:rPr>
        <w:t>fitas vasculares y líquenes</w:t>
      </w:r>
      <w:r w:rsidR="00005EEE" w:rsidRPr="00BD1319">
        <w:rPr>
          <w:rFonts w:cs="Arial"/>
          <w:spacing w:val="-3"/>
        </w:rPr>
        <w:t xml:space="preserve">; </w:t>
      </w:r>
      <w:r w:rsidR="00C548F3" w:rsidRPr="00BD1319">
        <w:rPr>
          <w:rFonts w:cs="Arial"/>
          <w:spacing w:val="-3"/>
        </w:rPr>
        <w:t>asimismo, es posible emplear cualquiera de los métodos señal</w:t>
      </w:r>
      <w:r w:rsidR="00EA2644" w:rsidRPr="00BD1319">
        <w:rPr>
          <w:rFonts w:cs="Arial"/>
          <w:spacing w:val="-3"/>
        </w:rPr>
        <w:t>a</w:t>
      </w:r>
      <w:r w:rsidR="00C548F3" w:rsidRPr="00BD1319">
        <w:rPr>
          <w:rFonts w:cs="Arial"/>
          <w:spacing w:val="-3"/>
        </w:rPr>
        <w:t xml:space="preserve">dos en la revisión de Burns &amp; </w:t>
      </w:r>
      <w:proofErr w:type="spellStart"/>
      <w:r w:rsidR="00C548F3" w:rsidRPr="00BD1319">
        <w:rPr>
          <w:rFonts w:cs="Arial"/>
          <w:spacing w:val="-3"/>
        </w:rPr>
        <w:t>Zotz</w:t>
      </w:r>
      <w:proofErr w:type="spellEnd"/>
      <w:r w:rsidR="00C548F3" w:rsidRPr="00BD1319">
        <w:rPr>
          <w:rFonts w:cs="Arial"/>
          <w:spacing w:val="-3"/>
        </w:rPr>
        <w:t xml:space="preserve"> (2010) y Mendieta-Leiva &amp; </w:t>
      </w:r>
      <w:proofErr w:type="spellStart"/>
      <w:r w:rsidR="00C548F3" w:rsidRPr="00BD1319">
        <w:rPr>
          <w:rFonts w:cs="Arial"/>
          <w:spacing w:val="-3"/>
        </w:rPr>
        <w:t>Zotz</w:t>
      </w:r>
      <w:proofErr w:type="spellEnd"/>
      <w:r w:rsidR="00C548F3" w:rsidRPr="00BD1319">
        <w:rPr>
          <w:rFonts w:cs="Arial"/>
          <w:spacing w:val="-3"/>
        </w:rPr>
        <w:t xml:space="preserve"> (2015)</w:t>
      </w:r>
      <w:r w:rsidR="00EA2644" w:rsidRPr="00BD1319">
        <w:rPr>
          <w:rFonts w:cs="Arial"/>
          <w:spacing w:val="-3"/>
        </w:rPr>
        <w:t>. E</w:t>
      </w:r>
      <w:r w:rsidR="00005EEE" w:rsidRPr="00BD1319">
        <w:rPr>
          <w:rFonts w:cs="Arial"/>
          <w:spacing w:val="-3"/>
        </w:rPr>
        <w:t>n todo caso</w:t>
      </w:r>
      <w:r w:rsidR="00482A5F" w:rsidRPr="00BD1319">
        <w:rPr>
          <w:rFonts w:cs="Arial"/>
          <w:spacing w:val="-3"/>
        </w:rPr>
        <w:t xml:space="preserve">, el </w:t>
      </w:r>
      <w:r w:rsidR="00005EEE" w:rsidRPr="00BD1319">
        <w:rPr>
          <w:rFonts w:cs="Arial"/>
          <w:spacing w:val="-3"/>
        </w:rPr>
        <w:t xml:space="preserve">método que se emplee </w:t>
      </w:r>
      <w:r w:rsidR="00482A5F" w:rsidRPr="00BD1319">
        <w:rPr>
          <w:rFonts w:cs="Arial"/>
          <w:spacing w:val="-3"/>
        </w:rPr>
        <w:t xml:space="preserve">debe estar soportado </w:t>
      </w:r>
      <w:r w:rsidR="00005EEE" w:rsidRPr="00BD1319">
        <w:rPr>
          <w:rFonts w:cs="Arial"/>
          <w:spacing w:val="-3"/>
        </w:rPr>
        <w:t xml:space="preserve">estadísticamente </w:t>
      </w:r>
      <w:r w:rsidR="00EA2644" w:rsidRPr="00BD1319">
        <w:rPr>
          <w:rFonts w:cs="Arial"/>
        </w:rPr>
        <w:t xml:space="preserve">(distribución de los datos, error muestral, nivel de confianza), </w:t>
      </w:r>
      <w:r w:rsidR="00005EEE" w:rsidRPr="00BD1319">
        <w:rPr>
          <w:rFonts w:cs="Arial"/>
          <w:spacing w:val="-3"/>
        </w:rPr>
        <w:t xml:space="preserve">permitir la obtención de información representativa </w:t>
      </w:r>
      <w:r w:rsidR="00EA2644" w:rsidRPr="00BD1319">
        <w:rPr>
          <w:rFonts w:cs="Arial"/>
          <w:spacing w:val="-3"/>
        </w:rPr>
        <w:t xml:space="preserve">para el área estudiada y </w:t>
      </w:r>
      <w:r w:rsidR="00981428" w:rsidRPr="00BD1319">
        <w:rPr>
          <w:rFonts w:cs="Arial"/>
          <w:spacing w:val="-3"/>
        </w:rPr>
        <w:t>posibilitar chequear su capacidad de caracteriza</w:t>
      </w:r>
      <w:r w:rsidR="004777C4" w:rsidRPr="00BD1319">
        <w:rPr>
          <w:rFonts w:cs="Arial"/>
          <w:spacing w:val="-3"/>
        </w:rPr>
        <w:t xml:space="preserve">ción de </w:t>
      </w:r>
      <w:r w:rsidR="00EA2644" w:rsidRPr="00BD1319">
        <w:rPr>
          <w:rFonts w:cs="Arial"/>
          <w:spacing w:val="-3"/>
        </w:rPr>
        <w:t xml:space="preserve">riqueza </w:t>
      </w:r>
      <w:r w:rsidR="00981428" w:rsidRPr="00BD1319">
        <w:rPr>
          <w:rFonts w:cs="Arial"/>
          <w:spacing w:val="-3"/>
        </w:rPr>
        <w:t xml:space="preserve">a partir de </w:t>
      </w:r>
      <w:r w:rsidR="00EA2644" w:rsidRPr="00BD1319">
        <w:rPr>
          <w:rFonts w:cs="Arial"/>
          <w:spacing w:val="-3"/>
        </w:rPr>
        <w:t xml:space="preserve">la </w:t>
      </w:r>
      <w:r w:rsidR="00981428" w:rsidRPr="00BD1319">
        <w:rPr>
          <w:rFonts w:cs="Arial"/>
          <w:spacing w:val="-3"/>
        </w:rPr>
        <w:t xml:space="preserve">comparación de la </w:t>
      </w:r>
      <w:r w:rsidR="00EA2644" w:rsidRPr="00BD1319">
        <w:rPr>
          <w:rFonts w:cs="Arial"/>
          <w:spacing w:val="-3"/>
        </w:rPr>
        <w:t>curva de acumulación de especies</w:t>
      </w:r>
      <w:r w:rsidR="000613E3" w:rsidRPr="00BD1319">
        <w:rPr>
          <w:rFonts w:cs="Arial"/>
          <w:spacing w:val="-3"/>
        </w:rPr>
        <w:t xml:space="preserve"> </w:t>
      </w:r>
      <w:r w:rsidR="00981428" w:rsidRPr="00BD1319">
        <w:rPr>
          <w:rFonts w:cs="Arial"/>
          <w:spacing w:val="-3"/>
        </w:rPr>
        <w:t>(aplicando los estimadores apropiados para los tipos de datos obtenidos en campo) y la información secundaria aplicable al área de influencia</w:t>
      </w:r>
      <w:r w:rsidR="00EA2644" w:rsidRPr="00BD1319">
        <w:rPr>
          <w:rFonts w:cs="Arial"/>
          <w:spacing w:val="-3"/>
        </w:rPr>
        <w:t>.</w:t>
      </w:r>
    </w:p>
    <w:p w14:paraId="7D08E805" w14:textId="77777777" w:rsidR="00EA2644" w:rsidRPr="00BD1319" w:rsidRDefault="00EA2644" w:rsidP="00C86DA5">
      <w:pPr>
        <w:numPr>
          <w:ilvl w:val="12"/>
          <w:numId w:val="0"/>
        </w:numPr>
        <w:tabs>
          <w:tab w:val="left" w:pos="-2268"/>
        </w:tabs>
        <w:suppressAutoHyphens/>
        <w:ind w:left="567"/>
        <w:rPr>
          <w:rFonts w:cs="Arial"/>
          <w:spacing w:val="-3"/>
        </w:rPr>
      </w:pPr>
    </w:p>
    <w:p w14:paraId="02335F4C" w14:textId="161694D7" w:rsidR="00EA2644" w:rsidRPr="00BD1319" w:rsidRDefault="00EA2644" w:rsidP="00C86DA5">
      <w:pPr>
        <w:numPr>
          <w:ilvl w:val="12"/>
          <w:numId w:val="0"/>
        </w:numPr>
        <w:tabs>
          <w:tab w:val="left" w:pos="-2268"/>
        </w:tabs>
        <w:suppressAutoHyphens/>
        <w:ind w:left="567"/>
        <w:rPr>
          <w:spacing w:val="-3"/>
        </w:rPr>
      </w:pPr>
      <w:r w:rsidRPr="00BD1319">
        <w:rPr>
          <w:rFonts w:cs="Arial"/>
          <w:spacing w:val="-3"/>
        </w:rPr>
        <w:t xml:space="preserve">El diseño de muestreo debe contemplar al </w:t>
      </w:r>
      <w:proofErr w:type="spellStart"/>
      <w:r w:rsidRPr="00BD1319">
        <w:rPr>
          <w:rFonts w:cs="Arial"/>
          <w:spacing w:val="-3"/>
        </w:rPr>
        <w:t>forófito</w:t>
      </w:r>
      <w:proofErr w:type="spellEnd"/>
      <w:r w:rsidRPr="00BD1319">
        <w:rPr>
          <w:rFonts w:cs="Arial"/>
          <w:spacing w:val="-3"/>
        </w:rPr>
        <w:t xml:space="preserve"> (árbol hospedero) como la unidad de muestreo; </w:t>
      </w:r>
      <w:r w:rsidRPr="00BD1319">
        <w:rPr>
          <w:spacing w:val="-3"/>
        </w:rPr>
        <w:t>e</w:t>
      </w:r>
      <w:r w:rsidR="00482A5F" w:rsidRPr="00BD1319">
        <w:rPr>
          <w:spacing w:val="-3"/>
        </w:rPr>
        <w:t xml:space="preserve">n la </w:t>
      </w:r>
      <w:r w:rsidR="00482A5F" w:rsidRPr="00BD1319">
        <w:rPr>
          <w:spacing w:val="-3"/>
        </w:rPr>
        <w:fldChar w:fldCharType="begin"/>
      </w:r>
      <w:r w:rsidR="00482A5F" w:rsidRPr="00BD1319">
        <w:rPr>
          <w:rFonts w:cs="Arial"/>
          <w:spacing w:val="-3"/>
        </w:rPr>
        <w:instrText xml:space="preserve"> REF _Ref513700248 \h  \* MERGEFORMAT </w:instrText>
      </w:r>
      <w:r w:rsidR="00482A5F" w:rsidRPr="00BD1319">
        <w:rPr>
          <w:spacing w:val="-3"/>
        </w:rPr>
      </w:r>
      <w:r w:rsidR="00482A5F" w:rsidRPr="00BD1319">
        <w:rPr>
          <w:spacing w:val="-3"/>
        </w:rPr>
        <w:fldChar w:fldCharType="separate"/>
      </w:r>
      <w:r w:rsidR="00296654" w:rsidRPr="00BD1319">
        <w:rPr>
          <w:spacing w:val="-3"/>
        </w:rPr>
        <w:t xml:space="preserve">Tabla </w:t>
      </w:r>
      <w:r w:rsidR="00296654" w:rsidRPr="00BD1319">
        <w:rPr>
          <w:rFonts w:cs="Arial"/>
          <w:spacing w:val="-3"/>
        </w:rPr>
        <w:t>25</w:t>
      </w:r>
      <w:r w:rsidR="00482A5F" w:rsidRPr="00BD1319">
        <w:rPr>
          <w:spacing w:val="-3"/>
        </w:rPr>
        <w:fldChar w:fldCharType="end"/>
      </w:r>
      <w:r w:rsidR="00482A5F" w:rsidRPr="00BD1319">
        <w:rPr>
          <w:spacing w:val="-3"/>
        </w:rPr>
        <w:t xml:space="preserve"> se muestran </w:t>
      </w:r>
      <w:r w:rsidRPr="00BD1319">
        <w:rPr>
          <w:spacing w:val="-3"/>
        </w:rPr>
        <w:t xml:space="preserve">algunos </w:t>
      </w:r>
      <w:r w:rsidR="00482A5F" w:rsidRPr="00BD1319">
        <w:rPr>
          <w:spacing w:val="-3"/>
        </w:rPr>
        <w:t xml:space="preserve">criterios para seleccionar los </w:t>
      </w:r>
      <w:proofErr w:type="spellStart"/>
      <w:r w:rsidR="00482A5F" w:rsidRPr="00BD1319">
        <w:rPr>
          <w:spacing w:val="-3"/>
        </w:rPr>
        <w:t>forófitos</w:t>
      </w:r>
      <w:proofErr w:type="spellEnd"/>
      <w:r w:rsidR="00482A5F" w:rsidRPr="00BD1319">
        <w:rPr>
          <w:spacing w:val="-3"/>
        </w:rPr>
        <w:t xml:space="preserve"> en los cuales se realiza el muestreo.</w:t>
      </w:r>
      <w:r w:rsidR="00FE281E" w:rsidRPr="00BD1319">
        <w:rPr>
          <w:spacing w:val="-3"/>
        </w:rPr>
        <w:t xml:space="preserve"> </w:t>
      </w:r>
      <w:r w:rsidR="00FE281E" w:rsidRPr="00BD1319">
        <w:rPr>
          <w:rFonts w:cs="Arial"/>
          <w:spacing w:val="-3"/>
        </w:rPr>
        <w:t>P</w:t>
      </w:r>
      <w:r w:rsidRPr="00BD1319">
        <w:rPr>
          <w:rFonts w:cs="Arial"/>
          <w:spacing w:val="-3"/>
        </w:rPr>
        <w:t xml:space="preserve">ara analizar la diversidad de especies epífitas por </w:t>
      </w:r>
      <w:r w:rsidR="005549F6" w:rsidRPr="00BD1319">
        <w:rPr>
          <w:rFonts w:cs="Arial"/>
          <w:spacing w:val="-3"/>
        </w:rPr>
        <w:t>ecosistema</w:t>
      </w:r>
      <w:r w:rsidRPr="00BD1319">
        <w:rPr>
          <w:rFonts w:cs="Arial"/>
          <w:spacing w:val="-3"/>
        </w:rPr>
        <w:t xml:space="preserve"> se puede </w:t>
      </w:r>
      <w:r w:rsidR="00F51753" w:rsidRPr="00BD1319">
        <w:rPr>
          <w:rFonts w:cs="Arial"/>
          <w:spacing w:val="-3"/>
        </w:rPr>
        <w:t>emple</w:t>
      </w:r>
      <w:r w:rsidRPr="00BD1319">
        <w:rPr>
          <w:rFonts w:cs="Arial"/>
          <w:spacing w:val="-3"/>
        </w:rPr>
        <w:t xml:space="preserve">ar software especializado, paquetes estadísticos o </w:t>
      </w:r>
      <w:r w:rsidR="00FE281E" w:rsidRPr="00BD1319">
        <w:rPr>
          <w:rFonts w:cs="Arial"/>
          <w:spacing w:val="-3"/>
        </w:rPr>
        <w:t xml:space="preserve">los </w:t>
      </w:r>
      <w:r w:rsidRPr="00BD1319">
        <w:rPr>
          <w:rFonts w:cs="Arial"/>
          <w:spacing w:val="-3"/>
        </w:rPr>
        <w:t xml:space="preserve">instrumentos que </w:t>
      </w:r>
      <w:r w:rsidR="00F51753" w:rsidRPr="00BD1319">
        <w:rPr>
          <w:rFonts w:cs="Arial"/>
          <w:spacing w:val="-3"/>
        </w:rPr>
        <w:t xml:space="preserve">para este efecto desarrolle la </w:t>
      </w:r>
      <w:r w:rsidRPr="00BD1319">
        <w:rPr>
          <w:rFonts w:cs="Arial"/>
          <w:spacing w:val="-3"/>
        </w:rPr>
        <w:t>autoridad ambiental.</w:t>
      </w:r>
    </w:p>
    <w:p w14:paraId="7748615F" w14:textId="77777777" w:rsidR="00F81F10" w:rsidRPr="00BD1319" w:rsidRDefault="00F81F10" w:rsidP="00481469">
      <w:pPr>
        <w:numPr>
          <w:ilvl w:val="12"/>
          <w:numId w:val="0"/>
        </w:numPr>
        <w:tabs>
          <w:tab w:val="left" w:pos="-2268"/>
        </w:tabs>
        <w:suppressAutoHyphens/>
        <w:rPr>
          <w:spacing w:val="-3"/>
        </w:rPr>
      </w:pPr>
    </w:p>
    <w:p w14:paraId="17BDF4FC" w14:textId="0B1DB1A1" w:rsidR="00482A5F" w:rsidRPr="00BD1319" w:rsidRDefault="00482A5F" w:rsidP="00FA6ABA">
      <w:pPr>
        <w:numPr>
          <w:ilvl w:val="12"/>
          <w:numId w:val="0"/>
        </w:numPr>
        <w:tabs>
          <w:tab w:val="left" w:pos="-2268"/>
        </w:tabs>
        <w:suppressAutoHyphens/>
        <w:jc w:val="center"/>
        <w:rPr>
          <w:spacing w:val="-3"/>
        </w:rPr>
      </w:pPr>
      <w:bookmarkStart w:id="2879" w:name="_Ref513700248"/>
      <w:r w:rsidRPr="00BD1319">
        <w:rPr>
          <w:b/>
          <w:spacing w:val="-3"/>
        </w:rPr>
        <w:t xml:space="preserve">Tabla </w:t>
      </w:r>
      <w:r w:rsidRPr="00BD1319">
        <w:rPr>
          <w:b/>
          <w:spacing w:val="-3"/>
        </w:rPr>
        <w:fldChar w:fldCharType="begin"/>
      </w:r>
      <w:r w:rsidRPr="00BD1319">
        <w:rPr>
          <w:rFonts w:cs="Arial"/>
          <w:b/>
          <w:spacing w:val="-3"/>
        </w:rPr>
        <w:instrText xml:space="preserve"> SEQ Tabla \* ARABIC </w:instrText>
      </w:r>
      <w:r w:rsidRPr="00BD1319">
        <w:rPr>
          <w:b/>
          <w:spacing w:val="-3"/>
        </w:rPr>
        <w:fldChar w:fldCharType="separate"/>
      </w:r>
      <w:r w:rsidR="00296654" w:rsidRPr="00BD1319">
        <w:rPr>
          <w:rFonts w:cs="Arial"/>
          <w:b/>
          <w:noProof/>
          <w:spacing w:val="-3"/>
        </w:rPr>
        <w:t>25</w:t>
      </w:r>
      <w:r w:rsidRPr="00BD1319">
        <w:rPr>
          <w:b/>
          <w:spacing w:val="-3"/>
        </w:rPr>
        <w:fldChar w:fldCharType="end"/>
      </w:r>
      <w:bookmarkEnd w:id="2879"/>
      <w:r w:rsidRPr="00BD1319">
        <w:rPr>
          <w:b/>
          <w:spacing w:val="-3"/>
        </w:rPr>
        <w:t xml:space="preserve">. </w:t>
      </w:r>
      <w:r w:rsidRPr="00BD1319">
        <w:rPr>
          <w:spacing w:val="-3"/>
        </w:rPr>
        <w:t xml:space="preserve">Criterios para seleccionar </w:t>
      </w:r>
      <w:proofErr w:type="spellStart"/>
      <w:r w:rsidRPr="00BD1319">
        <w:rPr>
          <w:spacing w:val="-3"/>
        </w:rPr>
        <w:t>forófitos</w:t>
      </w:r>
      <w:proofErr w:type="spellEnd"/>
      <w:r w:rsidRPr="00BD1319">
        <w:rPr>
          <w:spacing w:val="-3"/>
        </w:rPr>
        <w:t xml:space="preserve"> para muestrear epífitas en bosques </w:t>
      </w:r>
      <w:r w:rsidRPr="00BD1319">
        <w:rPr>
          <w:rFonts w:cs="Arial"/>
          <w:spacing w:val="-3"/>
        </w:rPr>
        <w:t>neotropicales</w:t>
      </w:r>
    </w:p>
    <w:tbl>
      <w:tblPr>
        <w:tblW w:w="83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84"/>
        <w:gridCol w:w="3045"/>
        <w:gridCol w:w="2835"/>
      </w:tblGrid>
      <w:tr w:rsidR="00482A5F" w:rsidRPr="00BD1319" w14:paraId="3EC695E3" w14:textId="77777777" w:rsidTr="009420F5">
        <w:trPr>
          <w:trHeight w:val="220"/>
          <w:tblHeader/>
          <w:jc w:val="center"/>
        </w:trPr>
        <w:tc>
          <w:tcPr>
            <w:tcW w:w="2484" w:type="dxa"/>
            <w:shd w:val="clear" w:color="auto" w:fill="auto"/>
            <w:vAlign w:val="center"/>
          </w:tcPr>
          <w:p w14:paraId="6D6C2DFA" w14:textId="46E5DB7B" w:rsidR="00482A5F" w:rsidRPr="00BD1319" w:rsidRDefault="0049660B" w:rsidP="00D87119">
            <w:pPr>
              <w:numPr>
                <w:ilvl w:val="12"/>
                <w:numId w:val="0"/>
              </w:numPr>
              <w:tabs>
                <w:tab w:val="left" w:pos="-2268"/>
              </w:tabs>
              <w:suppressAutoHyphens/>
              <w:jc w:val="center"/>
              <w:rPr>
                <w:rFonts w:cs="Arial"/>
                <w:b/>
                <w:spacing w:val="-3"/>
                <w:sz w:val="22"/>
              </w:rPr>
            </w:pPr>
            <w:r w:rsidRPr="00BD1319">
              <w:rPr>
                <w:rFonts w:cs="Arial"/>
                <w:b/>
                <w:spacing w:val="-3"/>
                <w:sz w:val="22"/>
              </w:rPr>
              <w:t>Criterio</w:t>
            </w:r>
          </w:p>
        </w:tc>
        <w:tc>
          <w:tcPr>
            <w:tcW w:w="3045" w:type="dxa"/>
            <w:shd w:val="clear" w:color="auto" w:fill="auto"/>
            <w:vAlign w:val="center"/>
          </w:tcPr>
          <w:p w14:paraId="6A2CC621" w14:textId="5E418B3C" w:rsidR="00482A5F" w:rsidRPr="00BD1319" w:rsidRDefault="0049660B" w:rsidP="00D87119">
            <w:pPr>
              <w:numPr>
                <w:ilvl w:val="12"/>
                <w:numId w:val="0"/>
              </w:numPr>
              <w:tabs>
                <w:tab w:val="left" w:pos="-2268"/>
              </w:tabs>
              <w:suppressAutoHyphens/>
              <w:jc w:val="center"/>
              <w:rPr>
                <w:rFonts w:cs="Arial"/>
                <w:b/>
                <w:spacing w:val="-3"/>
                <w:sz w:val="22"/>
              </w:rPr>
            </w:pPr>
            <w:r w:rsidRPr="00BD1319">
              <w:rPr>
                <w:rFonts w:cs="Arial"/>
                <w:b/>
                <w:spacing w:val="-3"/>
                <w:sz w:val="22"/>
              </w:rPr>
              <w:t>Variable</w:t>
            </w:r>
          </w:p>
        </w:tc>
        <w:tc>
          <w:tcPr>
            <w:tcW w:w="2835" w:type="dxa"/>
            <w:shd w:val="clear" w:color="auto" w:fill="auto"/>
            <w:vAlign w:val="center"/>
          </w:tcPr>
          <w:p w14:paraId="52B9D8FF" w14:textId="4DA593C3" w:rsidR="00482A5F" w:rsidRPr="00BD1319" w:rsidRDefault="0049660B" w:rsidP="00D87119">
            <w:pPr>
              <w:numPr>
                <w:ilvl w:val="12"/>
                <w:numId w:val="0"/>
              </w:numPr>
              <w:tabs>
                <w:tab w:val="left" w:pos="-2268"/>
              </w:tabs>
              <w:suppressAutoHyphens/>
              <w:jc w:val="center"/>
              <w:rPr>
                <w:rFonts w:cs="Arial"/>
                <w:b/>
                <w:spacing w:val="-3"/>
                <w:sz w:val="22"/>
              </w:rPr>
            </w:pPr>
            <w:r w:rsidRPr="00BD1319">
              <w:rPr>
                <w:rFonts w:cs="Arial"/>
                <w:b/>
                <w:spacing w:val="-3"/>
                <w:sz w:val="22"/>
              </w:rPr>
              <w:t>Medida</w:t>
            </w:r>
          </w:p>
        </w:tc>
      </w:tr>
      <w:tr w:rsidR="00482A5F" w:rsidRPr="00BD1319" w14:paraId="2009675B" w14:textId="77777777" w:rsidTr="009420F5">
        <w:trPr>
          <w:trHeight w:val="220"/>
          <w:jc w:val="center"/>
        </w:trPr>
        <w:tc>
          <w:tcPr>
            <w:tcW w:w="2484" w:type="dxa"/>
            <w:vMerge w:val="restart"/>
            <w:vAlign w:val="center"/>
          </w:tcPr>
          <w:p w14:paraId="63710AD7" w14:textId="77777777" w:rsidR="00482A5F" w:rsidRPr="00BD1319" w:rsidRDefault="00482A5F">
            <w:pPr>
              <w:numPr>
                <w:ilvl w:val="12"/>
                <w:numId w:val="0"/>
              </w:numPr>
              <w:tabs>
                <w:tab w:val="left" w:pos="-2268"/>
              </w:tabs>
              <w:suppressAutoHyphens/>
              <w:rPr>
                <w:spacing w:val="-3"/>
                <w:sz w:val="22"/>
              </w:rPr>
            </w:pPr>
            <w:r w:rsidRPr="00BD1319">
              <w:rPr>
                <w:spacing w:val="-3"/>
                <w:sz w:val="22"/>
              </w:rPr>
              <w:t xml:space="preserve">Características del </w:t>
            </w:r>
            <w:proofErr w:type="spellStart"/>
            <w:r w:rsidRPr="00BD1319">
              <w:rPr>
                <w:spacing w:val="-3"/>
                <w:sz w:val="22"/>
              </w:rPr>
              <w:t>forófito</w:t>
            </w:r>
            <w:proofErr w:type="spellEnd"/>
          </w:p>
        </w:tc>
        <w:tc>
          <w:tcPr>
            <w:tcW w:w="3045" w:type="dxa"/>
          </w:tcPr>
          <w:p w14:paraId="02B9D118" w14:textId="77777777" w:rsidR="00482A5F" w:rsidRPr="00BD1319" w:rsidRDefault="00482A5F">
            <w:pPr>
              <w:numPr>
                <w:ilvl w:val="12"/>
                <w:numId w:val="0"/>
              </w:numPr>
              <w:tabs>
                <w:tab w:val="left" w:pos="-2268"/>
              </w:tabs>
              <w:suppressAutoHyphens/>
              <w:rPr>
                <w:spacing w:val="-3"/>
                <w:sz w:val="22"/>
              </w:rPr>
            </w:pPr>
            <w:r w:rsidRPr="00BD1319">
              <w:rPr>
                <w:spacing w:val="-3"/>
                <w:sz w:val="22"/>
              </w:rPr>
              <w:t>Altura</w:t>
            </w:r>
          </w:p>
        </w:tc>
        <w:tc>
          <w:tcPr>
            <w:tcW w:w="2835" w:type="dxa"/>
          </w:tcPr>
          <w:p w14:paraId="2D974A48" w14:textId="77777777" w:rsidR="00482A5F" w:rsidRPr="00BD1319" w:rsidRDefault="00482A5F">
            <w:pPr>
              <w:numPr>
                <w:ilvl w:val="12"/>
                <w:numId w:val="0"/>
              </w:numPr>
              <w:tabs>
                <w:tab w:val="left" w:pos="-2268"/>
              </w:tabs>
              <w:suppressAutoHyphens/>
              <w:rPr>
                <w:spacing w:val="-3"/>
                <w:sz w:val="22"/>
              </w:rPr>
            </w:pPr>
            <w:r w:rsidRPr="00BD1319">
              <w:rPr>
                <w:spacing w:val="-3"/>
                <w:sz w:val="22"/>
              </w:rPr>
              <w:t>&gt;7m</w:t>
            </w:r>
          </w:p>
        </w:tc>
      </w:tr>
      <w:tr w:rsidR="00482A5F" w:rsidRPr="00BD1319" w14:paraId="21F06537" w14:textId="77777777" w:rsidTr="009420F5">
        <w:trPr>
          <w:trHeight w:val="220"/>
          <w:jc w:val="center"/>
        </w:trPr>
        <w:tc>
          <w:tcPr>
            <w:tcW w:w="2484" w:type="dxa"/>
            <w:vMerge/>
            <w:vAlign w:val="center"/>
          </w:tcPr>
          <w:p w14:paraId="23CEC535" w14:textId="77777777" w:rsidR="00482A5F" w:rsidRPr="00BD1319" w:rsidRDefault="00482A5F">
            <w:pPr>
              <w:numPr>
                <w:ilvl w:val="12"/>
                <w:numId w:val="0"/>
              </w:numPr>
              <w:tabs>
                <w:tab w:val="left" w:pos="-2268"/>
              </w:tabs>
              <w:suppressAutoHyphens/>
              <w:rPr>
                <w:spacing w:val="-3"/>
                <w:sz w:val="22"/>
              </w:rPr>
            </w:pPr>
          </w:p>
        </w:tc>
        <w:tc>
          <w:tcPr>
            <w:tcW w:w="3045" w:type="dxa"/>
          </w:tcPr>
          <w:p w14:paraId="4E70501B" w14:textId="77777777" w:rsidR="00482A5F" w:rsidRPr="00BD1319" w:rsidRDefault="00482A5F">
            <w:pPr>
              <w:numPr>
                <w:ilvl w:val="12"/>
                <w:numId w:val="0"/>
              </w:numPr>
              <w:tabs>
                <w:tab w:val="left" w:pos="-2268"/>
              </w:tabs>
              <w:suppressAutoHyphens/>
              <w:rPr>
                <w:spacing w:val="-3"/>
                <w:sz w:val="22"/>
              </w:rPr>
            </w:pPr>
            <w:r w:rsidRPr="00BD1319">
              <w:rPr>
                <w:spacing w:val="-3"/>
                <w:sz w:val="22"/>
              </w:rPr>
              <w:t>DAP</w:t>
            </w:r>
          </w:p>
        </w:tc>
        <w:tc>
          <w:tcPr>
            <w:tcW w:w="2835" w:type="dxa"/>
          </w:tcPr>
          <w:p w14:paraId="45BDEB15" w14:textId="77777777" w:rsidR="00482A5F" w:rsidRPr="00BD1319" w:rsidRDefault="00482A5F">
            <w:pPr>
              <w:numPr>
                <w:ilvl w:val="12"/>
                <w:numId w:val="0"/>
              </w:numPr>
              <w:tabs>
                <w:tab w:val="left" w:pos="-2268"/>
              </w:tabs>
              <w:suppressAutoHyphens/>
              <w:rPr>
                <w:spacing w:val="-3"/>
                <w:sz w:val="22"/>
              </w:rPr>
            </w:pPr>
            <w:r w:rsidRPr="00BD1319">
              <w:rPr>
                <w:spacing w:val="-3"/>
                <w:sz w:val="22"/>
              </w:rPr>
              <w:t>≥10cm</w:t>
            </w:r>
          </w:p>
        </w:tc>
      </w:tr>
      <w:tr w:rsidR="00482A5F" w:rsidRPr="00BD1319" w14:paraId="2B1F6DE1" w14:textId="77777777" w:rsidTr="009420F5">
        <w:trPr>
          <w:trHeight w:val="220"/>
          <w:jc w:val="center"/>
        </w:trPr>
        <w:tc>
          <w:tcPr>
            <w:tcW w:w="2484" w:type="dxa"/>
            <w:vMerge/>
            <w:vAlign w:val="center"/>
          </w:tcPr>
          <w:p w14:paraId="1E67A7A1" w14:textId="77777777" w:rsidR="00482A5F" w:rsidRPr="00BD1319" w:rsidRDefault="00482A5F">
            <w:pPr>
              <w:numPr>
                <w:ilvl w:val="12"/>
                <w:numId w:val="0"/>
              </w:numPr>
              <w:tabs>
                <w:tab w:val="left" w:pos="-2268"/>
              </w:tabs>
              <w:suppressAutoHyphens/>
              <w:rPr>
                <w:spacing w:val="-3"/>
                <w:sz w:val="22"/>
              </w:rPr>
            </w:pPr>
          </w:p>
        </w:tc>
        <w:tc>
          <w:tcPr>
            <w:tcW w:w="3045" w:type="dxa"/>
          </w:tcPr>
          <w:p w14:paraId="09968B42" w14:textId="77777777" w:rsidR="00482A5F" w:rsidRPr="00BD1319" w:rsidRDefault="00482A5F">
            <w:pPr>
              <w:numPr>
                <w:ilvl w:val="12"/>
                <w:numId w:val="0"/>
              </w:numPr>
              <w:tabs>
                <w:tab w:val="left" w:pos="-2268"/>
              </w:tabs>
              <w:suppressAutoHyphens/>
              <w:rPr>
                <w:spacing w:val="-3"/>
                <w:sz w:val="22"/>
              </w:rPr>
            </w:pPr>
            <w:r w:rsidRPr="00BD1319">
              <w:rPr>
                <w:spacing w:val="-3"/>
                <w:sz w:val="22"/>
              </w:rPr>
              <w:t>Corteza</w:t>
            </w:r>
          </w:p>
        </w:tc>
        <w:tc>
          <w:tcPr>
            <w:tcW w:w="2835" w:type="dxa"/>
          </w:tcPr>
          <w:p w14:paraId="6F690631" w14:textId="77777777" w:rsidR="00482A5F" w:rsidRPr="00BD1319" w:rsidRDefault="00482A5F">
            <w:pPr>
              <w:numPr>
                <w:ilvl w:val="12"/>
                <w:numId w:val="0"/>
              </w:numPr>
              <w:tabs>
                <w:tab w:val="left" w:pos="-2268"/>
              </w:tabs>
              <w:suppressAutoHyphens/>
              <w:rPr>
                <w:spacing w:val="-3"/>
                <w:sz w:val="22"/>
              </w:rPr>
            </w:pPr>
            <w:r w:rsidRPr="00BD1319">
              <w:rPr>
                <w:spacing w:val="-3"/>
                <w:sz w:val="22"/>
              </w:rPr>
              <w:t>No exfoliable</w:t>
            </w:r>
          </w:p>
        </w:tc>
      </w:tr>
      <w:tr w:rsidR="00482A5F" w:rsidRPr="00BD1319" w14:paraId="099887E7" w14:textId="77777777" w:rsidTr="009420F5">
        <w:trPr>
          <w:trHeight w:val="220"/>
          <w:jc w:val="center"/>
        </w:trPr>
        <w:tc>
          <w:tcPr>
            <w:tcW w:w="2484" w:type="dxa"/>
            <w:vMerge/>
            <w:vAlign w:val="center"/>
          </w:tcPr>
          <w:p w14:paraId="6FC70FC0" w14:textId="77777777" w:rsidR="00482A5F" w:rsidRPr="00BD1319" w:rsidRDefault="00482A5F">
            <w:pPr>
              <w:numPr>
                <w:ilvl w:val="12"/>
                <w:numId w:val="0"/>
              </w:numPr>
              <w:tabs>
                <w:tab w:val="left" w:pos="-2268"/>
              </w:tabs>
              <w:suppressAutoHyphens/>
              <w:rPr>
                <w:spacing w:val="-3"/>
                <w:sz w:val="22"/>
              </w:rPr>
            </w:pPr>
          </w:p>
        </w:tc>
        <w:tc>
          <w:tcPr>
            <w:tcW w:w="3045" w:type="dxa"/>
          </w:tcPr>
          <w:p w14:paraId="42B42FBC" w14:textId="77777777" w:rsidR="00482A5F" w:rsidRPr="00BD1319" w:rsidRDefault="00482A5F">
            <w:pPr>
              <w:numPr>
                <w:ilvl w:val="12"/>
                <w:numId w:val="0"/>
              </w:numPr>
              <w:tabs>
                <w:tab w:val="left" w:pos="-2268"/>
              </w:tabs>
              <w:suppressAutoHyphens/>
              <w:rPr>
                <w:spacing w:val="-3"/>
                <w:sz w:val="22"/>
              </w:rPr>
            </w:pPr>
            <w:r w:rsidRPr="00BD1319">
              <w:rPr>
                <w:spacing w:val="-3"/>
                <w:sz w:val="22"/>
              </w:rPr>
              <w:t>% Epífitas</w:t>
            </w:r>
          </w:p>
        </w:tc>
        <w:tc>
          <w:tcPr>
            <w:tcW w:w="2835" w:type="dxa"/>
          </w:tcPr>
          <w:p w14:paraId="15982A39" w14:textId="77777777" w:rsidR="00482A5F" w:rsidRPr="00BD1319" w:rsidRDefault="00482A5F">
            <w:pPr>
              <w:numPr>
                <w:ilvl w:val="12"/>
                <w:numId w:val="0"/>
              </w:numPr>
              <w:tabs>
                <w:tab w:val="left" w:pos="-2268"/>
              </w:tabs>
              <w:suppressAutoHyphens/>
              <w:rPr>
                <w:spacing w:val="-3"/>
                <w:sz w:val="22"/>
              </w:rPr>
            </w:pPr>
            <w:r w:rsidRPr="00BD1319">
              <w:rPr>
                <w:spacing w:val="-3"/>
                <w:sz w:val="22"/>
              </w:rPr>
              <w:t>&gt;40%</w:t>
            </w:r>
          </w:p>
        </w:tc>
      </w:tr>
      <w:tr w:rsidR="00482A5F" w:rsidRPr="00BD1319" w14:paraId="017E8514" w14:textId="77777777" w:rsidTr="009420F5">
        <w:trPr>
          <w:trHeight w:val="220"/>
          <w:jc w:val="center"/>
        </w:trPr>
        <w:tc>
          <w:tcPr>
            <w:tcW w:w="2484" w:type="dxa"/>
            <w:vMerge/>
            <w:vAlign w:val="center"/>
          </w:tcPr>
          <w:p w14:paraId="3BA26F6D" w14:textId="77777777" w:rsidR="00482A5F" w:rsidRPr="00BD1319" w:rsidRDefault="00482A5F">
            <w:pPr>
              <w:numPr>
                <w:ilvl w:val="12"/>
                <w:numId w:val="0"/>
              </w:numPr>
              <w:tabs>
                <w:tab w:val="left" w:pos="-2268"/>
              </w:tabs>
              <w:suppressAutoHyphens/>
              <w:rPr>
                <w:spacing w:val="-3"/>
                <w:sz w:val="22"/>
              </w:rPr>
            </w:pPr>
          </w:p>
        </w:tc>
        <w:tc>
          <w:tcPr>
            <w:tcW w:w="3045" w:type="dxa"/>
          </w:tcPr>
          <w:p w14:paraId="61997F83" w14:textId="77777777" w:rsidR="00482A5F" w:rsidRPr="00BD1319" w:rsidRDefault="00482A5F">
            <w:pPr>
              <w:numPr>
                <w:ilvl w:val="12"/>
                <w:numId w:val="0"/>
              </w:numPr>
              <w:tabs>
                <w:tab w:val="left" w:pos="-2268"/>
              </w:tabs>
              <w:suppressAutoHyphens/>
              <w:rPr>
                <w:spacing w:val="-3"/>
                <w:sz w:val="22"/>
              </w:rPr>
            </w:pPr>
            <w:r w:rsidRPr="00BD1319">
              <w:rPr>
                <w:spacing w:val="-3"/>
                <w:sz w:val="22"/>
              </w:rPr>
              <w:t>Distancia entre árboles</w:t>
            </w:r>
          </w:p>
        </w:tc>
        <w:tc>
          <w:tcPr>
            <w:tcW w:w="2835" w:type="dxa"/>
          </w:tcPr>
          <w:p w14:paraId="58BDB967" w14:textId="77777777" w:rsidR="00482A5F" w:rsidRPr="00BD1319" w:rsidRDefault="00482A5F">
            <w:pPr>
              <w:numPr>
                <w:ilvl w:val="12"/>
                <w:numId w:val="0"/>
              </w:numPr>
              <w:tabs>
                <w:tab w:val="left" w:pos="-2268"/>
              </w:tabs>
              <w:suppressAutoHyphens/>
              <w:rPr>
                <w:spacing w:val="-3"/>
                <w:sz w:val="22"/>
              </w:rPr>
            </w:pPr>
            <w:r w:rsidRPr="00BD1319">
              <w:rPr>
                <w:spacing w:val="-3"/>
                <w:sz w:val="22"/>
              </w:rPr>
              <w:t>25m</w:t>
            </w:r>
          </w:p>
        </w:tc>
      </w:tr>
      <w:tr w:rsidR="00482A5F" w:rsidRPr="00BD1319" w14:paraId="338D2B3E" w14:textId="77777777" w:rsidTr="009420F5">
        <w:trPr>
          <w:trHeight w:val="220"/>
          <w:jc w:val="center"/>
        </w:trPr>
        <w:tc>
          <w:tcPr>
            <w:tcW w:w="2484" w:type="dxa"/>
            <w:vMerge w:val="restart"/>
            <w:vAlign w:val="center"/>
          </w:tcPr>
          <w:p w14:paraId="6DC40FE1" w14:textId="77777777" w:rsidR="00482A5F" w:rsidRPr="00BD1319" w:rsidRDefault="00482A5F">
            <w:pPr>
              <w:numPr>
                <w:ilvl w:val="12"/>
                <w:numId w:val="0"/>
              </w:numPr>
              <w:tabs>
                <w:tab w:val="left" w:pos="-2268"/>
              </w:tabs>
              <w:suppressAutoHyphens/>
              <w:rPr>
                <w:spacing w:val="-3"/>
                <w:sz w:val="22"/>
              </w:rPr>
            </w:pPr>
            <w:r w:rsidRPr="00BD1319">
              <w:rPr>
                <w:spacing w:val="-3"/>
                <w:sz w:val="22"/>
              </w:rPr>
              <w:t>Características del terreno</w:t>
            </w:r>
          </w:p>
        </w:tc>
        <w:tc>
          <w:tcPr>
            <w:tcW w:w="3045" w:type="dxa"/>
          </w:tcPr>
          <w:p w14:paraId="15A20CC0" w14:textId="77777777" w:rsidR="00482A5F" w:rsidRPr="00BD1319" w:rsidRDefault="00482A5F">
            <w:pPr>
              <w:numPr>
                <w:ilvl w:val="12"/>
                <w:numId w:val="0"/>
              </w:numPr>
              <w:tabs>
                <w:tab w:val="left" w:pos="-2268"/>
              </w:tabs>
              <w:suppressAutoHyphens/>
              <w:rPr>
                <w:spacing w:val="-3"/>
                <w:sz w:val="22"/>
              </w:rPr>
            </w:pPr>
            <w:r w:rsidRPr="00BD1319">
              <w:rPr>
                <w:spacing w:val="-3"/>
                <w:sz w:val="22"/>
              </w:rPr>
              <w:t>Acceso</w:t>
            </w:r>
          </w:p>
        </w:tc>
        <w:tc>
          <w:tcPr>
            <w:tcW w:w="2835" w:type="dxa"/>
          </w:tcPr>
          <w:p w14:paraId="04CFD0E2" w14:textId="77777777" w:rsidR="00482A5F" w:rsidRPr="00BD1319" w:rsidRDefault="00482A5F">
            <w:pPr>
              <w:numPr>
                <w:ilvl w:val="12"/>
                <w:numId w:val="0"/>
              </w:numPr>
              <w:tabs>
                <w:tab w:val="left" w:pos="-2268"/>
              </w:tabs>
              <w:suppressAutoHyphens/>
              <w:rPr>
                <w:spacing w:val="-3"/>
                <w:sz w:val="22"/>
              </w:rPr>
            </w:pPr>
            <w:r w:rsidRPr="00BD1319">
              <w:rPr>
                <w:spacing w:val="-3"/>
                <w:sz w:val="22"/>
              </w:rPr>
              <w:t>Posible</w:t>
            </w:r>
          </w:p>
        </w:tc>
      </w:tr>
      <w:tr w:rsidR="00482A5F" w:rsidRPr="00BD1319" w14:paraId="329BCB21" w14:textId="77777777" w:rsidTr="009420F5">
        <w:trPr>
          <w:trHeight w:val="220"/>
          <w:jc w:val="center"/>
        </w:trPr>
        <w:tc>
          <w:tcPr>
            <w:tcW w:w="2484" w:type="dxa"/>
            <w:vMerge/>
            <w:vAlign w:val="center"/>
          </w:tcPr>
          <w:p w14:paraId="49C0CBC1" w14:textId="77777777" w:rsidR="00482A5F" w:rsidRPr="00BD1319" w:rsidRDefault="00482A5F">
            <w:pPr>
              <w:numPr>
                <w:ilvl w:val="12"/>
                <w:numId w:val="0"/>
              </w:numPr>
              <w:tabs>
                <w:tab w:val="left" w:pos="-2268"/>
              </w:tabs>
              <w:suppressAutoHyphens/>
              <w:rPr>
                <w:spacing w:val="-3"/>
                <w:sz w:val="22"/>
              </w:rPr>
            </w:pPr>
          </w:p>
        </w:tc>
        <w:tc>
          <w:tcPr>
            <w:tcW w:w="3045" w:type="dxa"/>
          </w:tcPr>
          <w:p w14:paraId="045589FA" w14:textId="77777777" w:rsidR="00482A5F" w:rsidRPr="00BD1319" w:rsidRDefault="00482A5F">
            <w:pPr>
              <w:numPr>
                <w:ilvl w:val="12"/>
                <w:numId w:val="0"/>
              </w:numPr>
              <w:tabs>
                <w:tab w:val="left" w:pos="-2268"/>
              </w:tabs>
              <w:suppressAutoHyphens/>
              <w:rPr>
                <w:spacing w:val="-3"/>
                <w:sz w:val="22"/>
              </w:rPr>
            </w:pPr>
            <w:r w:rsidRPr="00BD1319">
              <w:rPr>
                <w:spacing w:val="-3"/>
                <w:sz w:val="22"/>
              </w:rPr>
              <w:t>Pendiente</w:t>
            </w:r>
          </w:p>
        </w:tc>
        <w:tc>
          <w:tcPr>
            <w:tcW w:w="2835" w:type="dxa"/>
          </w:tcPr>
          <w:p w14:paraId="609AEDA5" w14:textId="77777777" w:rsidR="00482A5F" w:rsidRPr="00BD1319" w:rsidRDefault="00482A5F">
            <w:pPr>
              <w:numPr>
                <w:ilvl w:val="12"/>
                <w:numId w:val="0"/>
              </w:numPr>
              <w:tabs>
                <w:tab w:val="left" w:pos="-2268"/>
              </w:tabs>
              <w:suppressAutoHyphens/>
              <w:rPr>
                <w:spacing w:val="-3"/>
                <w:sz w:val="22"/>
              </w:rPr>
            </w:pPr>
            <w:r w:rsidRPr="00BD1319">
              <w:rPr>
                <w:spacing w:val="-3"/>
                <w:sz w:val="22"/>
              </w:rPr>
              <w:t>&lt;90%</w:t>
            </w:r>
          </w:p>
        </w:tc>
      </w:tr>
      <w:tr w:rsidR="00482A5F" w:rsidRPr="00BD1319" w14:paraId="4D658E6C" w14:textId="77777777" w:rsidTr="009420F5">
        <w:trPr>
          <w:trHeight w:val="220"/>
          <w:jc w:val="center"/>
        </w:trPr>
        <w:tc>
          <w:tcPr>
            <w:tcW w:w="2484" w:type="dxa"/>
            <w:vMerge/>
            <w:vAlign w:val="center"/>
          </w:tcPr>
          <w:p w14:paraId="1DCC71F4" w14:textId="77777777" w:rsidR="00482A5F" w:rsidRPr="00BD1319" w:rsidRDefault="00482A5F">
            <w:pPr>
              <w:numPr>
                <w:ilvl w:val="12"/>
                <w:numId w:val="0"/>
              </w:numPr>
              <w:tabs>
                <w:tab w:val="left" w:pos="-2268"/>
              </w:tabs>
              <w:suppressAutoHyphens/>
              <w:rPr>
                <w:spacing w:val="-3"/>
                <w:sz w:val="22"/>
              </w:rPr>
            </w:pPr>
          </w:p>
        </w:tc>
        <w:tc>
          <w:tcPr>
            <w:tcW w:w="3045" w:type="dxa"/>
          </w:tcPr>
          <w:p w14:paraId="473C63A0" w14:textId="77777777" w:rsidR="00482A5F" w:rsidRPr="00BD1319" w:rsidRDefault="00482A5F">
            <w:pPr>
              <w:numPr>
                <w:ilvl w:val="12"/>
                <w:numId w:val="0"/>
              </w:numPr>
              <w:tabs>
                <w:tab w:val="left" w:pos="-2268"/>
              </w:tabs>
              <w:suppressAutoHyphens/>
              <w:rPr>
                <w:spacing w:val="-3"/>
                <w:sz w:val="22"/>
              </w:rPr>
            </w:pPr>
            <w:r w:rsidRPr="00BD1319">
              <w:rPr>
                <w:spacing w:val="-3"/>
                <w:sz w:val="22"/>
              </w:rPr>
              <w:t>Cobertura vegetal</w:t>
            </w:r>
          </w:p>
        </w:tc>
        <w:tc>
          <w:tcPr>
            <w:tcW w:w="2835" w:type="dxa"/>
          </w:tcPr>
          <w:p w14:paraId="72C6BDA0" w14:textId="77777777" w:rsidR="00482A5F" w:rsidRPr="00BD1319" w:rsidRDefault="00482A5F">
            <w:pPr>
              <w:numPr>
                <w:ilvl w:val="12"/>
                <w:numId w:val="0"/>
              </w:numPr>
              <w:tabs>
                <w:tab w:val="left" w:pos="-2268"/>
              </w:tabs>
              <w:suppressAutoHyphens/>
              <w:rPr>
                <w:spacing w:val="-3"/>
                <w:sz w:val="22"/>
              </w:rPr>
            </w:pPr>
            <w:r w:rsidRPr="00BD1319">
              <w:rPr>
                <w:spacing w:val="-3"/>
                <w:sz w:val="22"/>
              </w:rPr>
              <w:t>Presencia de árboles</w:t>
            </w:r>
          </w:p>
        </w:tc>
      </w:tr>
    </w:tbl>
    <w:p w14:paraId="4C15A345" w14:textId="77777777" w:rsidR="00482A5F" w:rsidRPr="00BD1319" w:rsidRDefault="00482A5F" w:rsidP="00482A5F">
      <w:pPr>
        <w:numPr>
          <w:ilvl w:val="12"/>
          <w:numId w:val="0"/>
        </w:numPr>
        <w:tabs>
          <w:tab w:val="left" w:pos="-2268"/>
        </w:tabs>
        <w:suppressAutoHyphens/>
        <w:jc w:val="center"/>
        <w:rPr>
          <w:spacing w:val="-3"/>
          <w:sz w:val="20"/>
        </w:rPr>
      </w:pPr>
      <w:r w:rsidRPr="00BD1319">
        <w:rPr>
          <w:b/>
          <w:bCs/>
          <w:spacing w:val="-3"/>
          <w:sz w:val="20"/>
        </w:rPr>
        <w:t>Fuente:</w:t>
      </w:r>
      <w:r w:rsidRPr="00BD1319">
        <w:rPr>
          <w:spacing w:val="-3"/>
          <w:sz w:val="20"/>
        </w:rPr>
        <w:t xml:space="preserve"> </w:t>
      </w:r>
      <w:proofErr w:type="spellStart"/>
      <w:r w:rsidRPr="00BD1319">
        <w:rPr>
          <w:spacing w:val="-3"/>
          <w:sz w:val="20"/>
        </w:rPr>
        <w:t>Gradstein</w:t>
      </w:r>
      <w:proofErr w:type="spellEnd"/>
      <w:r w:rsidRPr="00BD1319">
        <w:rPr>
          <w:spacing w:val="-3"/>
          <w:sz w:val="20"/>
        </w:rPr>
        <w:t xml:space="preserve"> et al. (2003).</w:t>
      </w:r>
    </w:p>
    <w:p w14:paraId="75256654" w14:textId="77777777" w:rsidR="00482A5F" w:rsidRPr="00BD1319" w:rsidRDefault="00482A5F">
      <w:pPr>
        <w:numPr>
          <w:ilvl w:val="12"/>
          <w:numId w:val="0"/>
        </w:numPr>
        <w:tabs>
          <w:tab w:val="left" w:pos="-2268"/>
        </w:tabs>
        <w:suppressAutoHyphens/>
        <w:rPr>
          <w:spacing w:val="-3"/>
        </w:rPr>
      </w:pPr>
    </w:p>
    <w:p w14:paraId="4526FE77" w14:textId="3CED1256" w:rsidR="00FE281E" w:rsidRPr="00BD1319" w:rsidRDefault="00FE281E" w:rsidP="00FE281E">
      <w:pPr>
        <w:numPr>
          <w:ilvl w:val="12"/>
          <w:numId w:val="0"/>
        </w:numPr>
        <w:tabs>
          <w:tab w:val="left" w:pos="-2268"/>
        </w:tabs>
        <w:suppressAutoHyphens/>
        <w:ind w:left="567"/>
        <w:rPr>
          <w:spacing w:val="-3"/>
        </w:rPr>
      </w:pPr>
      <w:r w:rsidRPr="00BD1319">
        <w:rPr>
          <w:spacing w:val="-3"/>
        </w:rPr>
        <w:t xml:space="preserve">Es posible modificar o plantear criterios adicionales a los que se señalan en la </w:t>
      </w:r>
      <w:r w:rsidRPr="00BD1319">
        <w:rPr>
          <w:spacing w:val="-3"/>
        </w:rPr>
        <w:fldChar w:fldCharType="begin"/>
      </w:r>
      <w:r w:rsidRPr="00BD1319">
        <w:rPr>
          <w:rFonts w:cs="Arial"/>
          <w:spacing w:val="-3"/>
        </w:rPr>
        <w:instrText xml:space="preserve"> REF _Ref513700248 \h  \* MERGEFORMAT </w:instrText>
      </w:r>
      <w:r w:rsidRPr="00BD1319">
        <w:rPr>
          <w:spacing w:val="-3"/>
        </w:rPr>
      </w:r>
      <w:r w:rsidRPr="00BD1319">
        <w:rPr>
          <w:spacing w:val="-3"/>
        </w:rPr>
        <w:fldChar w:fldCharType="separate"/>
      </w:r>
      <w:r w:rsidR="00296654" w:rsidRPr="00BD1319">
        <w:rPr>
          <w:spacing w:val="-3"/>
        </w:rPr>
        <w:t xml:space="preserve">Tabla </w:t>
      </w:r>
      <w:r w:rsidR="00296654" w:rsidRPr="00BD1319">
        <w:rPr>
          <w:rFonts w:cs="Arial"/>
          <w:spacing w:val="-3"/>
        </w:rPr>
        <w:t>25</w:t>
      </w:r>
      <w:r w:rsidRPr="00BD1319">
        <w:rPr>
          <w:spacing w:val="-3"/>
        </w:rPr>
        <w:fldChar w:fldCharType="end"/>
      </w:r>
      <w:r w:rsidRPr="00BD1319">
        <w:rPr>
          <w:spacing w:val="-3"/>
        </w:rPr>
        <w:t xml:space="preserve"> dependiendo del tipo de cobertura de la tierra y la cantidad y forma de la vegetación arbórea; </w:t>
      </w:r>
      <w:r w:rsidR="00A61896" w:rsidRPr="00BD1319">
        <w:rPr>
          <w:spacing w:val="-3"/>
        </w:rPr>
        <w:t xml:space="preserve">tales </w:t>
      </w:r>
      <w:r w:rsidRPr="00BD1319">
        <w:rPr>
          <w:spacing w:val="-3"/>
        </w:rPr>
        <w:t xml:space="preserve">ajustes deben </w:t>
      </w:r>
      <w:r w:rsidR="00A61896" w:rsidRPr="00BD1319">
        <w:rPr>
          <w:spacing w:val="-3"/>
        </w:rPr>
        <w:t>ser soportados técnicamente</w:t>
      </w:r>
      <w:r w:rsidRPr="00BD1319">
        <w:rPr>
          <w:spacing w:val="-3"/>
        </w:rPr>
        <w:t xml:space="preserve">. Adicionalmente, </w:t>
      </w:r>
      <w:r w:rsidR="00A61896" w:rsidRPr="00BD1319">
        <w:rPr>
          <w:spacing w:val="-3"/>
        </w:rPr>
        <w:t xml:space="preserve">la selección de </w:t>
      </w:r>
      <w:proofErr w:type="spellStart"/>
      <w:r w:rsidR="00A61896" w:rsidRPr="00BD1319">
        <w:rPr>
          <w:spacing w:val="-3"/>
        </w:rPr>
        <w:t>forófitos</w:t>
      </w:r>
      <w:proofErr w:type="spellEnd"/>
      <w:r w:rsidR="00A61896" w:rsidRPr="00BD1319">
        <w:rPr>
          <w:spacing w:val="-3"/>
        </w:rPr>
        <w:t xml:space="preserve"> </w:t>
      </w:r>
      <w:r w:rsidRPr="00BD1319">
        <w:rPr>
          <w:spacing w:val="-3"/>
        </w:rPr>
        <w:t xml:space="preserve">debe </w:t>
      </w:r>
      <w:r w:rsidR="00A61896" w:rsidRPr="00BD1319">
        <w:rPr>
          <w:spacing w:val="-3"/>
        </w:rPr>
        <w:t xml:space="preserve">considerar el </w:t>
      </w:r>
      <w:r w:rsidRPr="00BD1319">
        <w:rPr>
          <w:spacing w:val="-3"/>
        </w:rPr>
        <w:t xml:space="preserve">efecto de borde y evitar que los árboles seleccionados tengan superposición de copas. En </w:t>
      </w:r>
      <w:r w:rsidR="00A61896" w:rsidRPr="00BD1319">
        <w:rPr>
          <w:spacing w:val="-3"/>
        </w:rPr>
        <w:t xml:space="preserve">áreas con </w:t>
      </w:r>
      <w:r w:rsidRPr="00BD1319">
        <w:rPr>
          <w:spacing w:val="-3"/>
        </w:rPr>
        <w:t>dosel</w:t>
      </w:r>
      <w:r w:rsidR="00A61896" w:rsidRPr="00BD1319">
        <w:rPr>
          <w:spacing w:val="-3"/>
        </w:rPr>
        <w:t xml:space="preserve"> discontinuo</w:t>
      </w:r>
      <w:r w:rsidRPr="00BD1319">
        <w:rPr>
          <w:spacing w:val="-3"/>
        </w:rPr>
        <w:t xml:space="preserve"> se debe avanzar en un transecto y seleccionar </w:t>
      </w:r>
      <w:proofErr w:type="spellStart"/>
      <w:r w:rsidRPr="00BD1319">
        <w:rPr>
          <w:spacing w:val="-3"/>
        </w:rPr>
        <w:t>forófitos</w:t>
      </w:r>
      <w:proofErr w:type="spellEnd"/>
      <w:r w:rsidRPr="00BD1319">
        <w:rPr>
          <w:spacing w:val="-3"/>
        </w:rPr>
        <w:t xml:space="preserve"> hasta alcanzar la cantidad establecida en el diseño muestral.</w:t>
      </w:r>
    </w:p>
    <w:p w14:paraId="03FCEEEE" w14:textId="1654D788" w:rsidR="00FE281E" w:rsidRPr="00BD1319" w:rsidRDefault="00FE281E" w:rsidP="008A4FE9">
      <w:pPr>
        <w:numPr>
          <w:ilvl w:val="12"/>
          <w:numId w:val="0"/>
        </w:numPr>
        <w:tabs>
          <w:tab w:val="left" w:pos="-2268"/>
        </w:tabs>
        <w:suppressAutoHyphens/>
        <w:rPr>
          <w:spacing w:val="-3"/>
        </w:rPr>
      </w:pPr>
    </w:p>
    <w:p w14:paraId="7750AB98" w14:textId="26DADBF4" w:rsidR="00FE281E" w:rsidRPr="00BD1319" w:rsidRDefault="00D53511" w:rsidP="00D53511">
      <w:pPr>
        <w:numPr>
          <w:ilvl w:val="12"/>
          <w:numId w:val="0"/>
        </w:numPr>
        <w:tabs>
          <w:tab w:val="left" w:pos="-2268"/>
        </w:tabs>
        <w:suppressAutoHyphens/>
        <w:ind w:left="567"/>
        <w:rPr>
          <w:spacing w:val="-3"/>
        </w:rPr>
      </w:pPr>
      <w:r w:rsidRPr="00BD1319">
        <w:rPr>
          <w:spacing w:val="-3"/>
        </w:rPr>
        <w:t xml:space="preserve">El procedimiento de caracterización de especies vasculares, no vasculares y líquenes de hábito epífito adicionalmente debe recolectar información de cada </w:t>
      </w:r>
      <w:proofErr w:type="spellStart"/>
      <w:r w:rsidRPr="00BD1319">
        <w:rPr>
          <w:spacing w:val="-3"/>
        </w:rPr>
        <w:t>forófito</w:t>
      </w:r>
      <w:proofErr w:type="spellEnd"/>
      <w:r w:rsidRPr="00BD1319">
        <w:rPr>
          <w:spacing w:val="-3"/>
        </w:rPr>
        <w:t xml:space="preserve"> sobre su localización (georreferenciada), </w:t>
      </w:r>
      <w:r w:rsidR="00FE281E" w:rsidRPr="00BD1319">
        <w:rPr>
          <w:spacing w:val="-3"/>
        </w:rPr>
        <w:t>especie, altura</w:t>
      </w:r>
      <w:r w:rsidRPr="00BD1319">
        <w:rPr>
          <w:spacing w:val="-3"/>
        </w:rPr>
        <w:t xml:space="preserve"> total</w:t>
      </w:r>
      <w:r w:rsidR="00FE281E" w:rsidRPr="00BD1319">
        <w:rPr>
          <w:spacing w:val="-3"/>
        </w:rPr>
        <w:t>, CAP, longitud de copa, entre otr</w:t>
      </w:r>
      <w:r w:rsidRPr="00BD1319">
        <w:rPr>
          <w:spacing w:val="-3"/>
        </w:rPr>
        <w:t>as variab</w:t>
      </w:r>
      <w:r w:rsidR="006634AB" w:rsidRPr="00BD1319">
        <w:rPr>
          <w:spacing w:val="-3"/>
        </w:rPr>
        <w:t>l</w:t>
      </w:r>
      <w:r w:rsidRPr="00BD1319">
        <w:rPr>
          <w:spacing w:val="-3"/>
        </w:rPr>
        <w:t xml:space="preserve">es </w:t>
      </w:r>
      <w:r w:rsidR="00FE281E" w:rsidRPr="00BD1319">
        <w:rPr>
          <w:spacing w:val="-3"/>
        </w:rPr>
        <w:t xml:space="preserve">clave para comprender el </w:t>
      </w:r>
      <w:proofErr w:type="spellStart"/>
      <w:r w:rsidR="00FE281E" w:rsidRPr="00BD1319">
        <w:rPr>
          <w:spacing w:val="-3"/>
        </w:rPr>
        <w:t>epifitismo</w:t>
      </w:r>
      <w:proofErr w:type="spellEnd"/>
      <w:r w:rsidR="00FE281E" w:rsidRPr="00BD1319">
        <w:rPr>
          <w:spacing w:val="-3"/>
        </w:rPr>
        <w:t xml:space="preserve"> de los ecosistemas de interés.</w:t>
      </w:r>
    </w:p>
    <w:p w14:paraId="703ABA66" w14:textId="77777777" w:rsidR="00482A5F" w:rsidRPr="00BD1319" w:rsidRDefault="00482A5F" w:rsidP="0082127E">
      <w:pPr>
        <w:numPr>
          <w:ilvl w:val="12"/>
          <w:numId w:val="0"/>
        </w:numPr>
        <w:tabs>
          <w:tab w:val="left" w:pos="-2268"/>
        </w:tabs>
        <w:suppressAutoHyphens/>
        <w:rPr>
          <w:spacing w:val="-3"/>
        </w:rPr>
      </w:pPr>
    </w:p>
    <w:p w14:paraId="180DCEBF" w14:textId="015A3D77" w:rsidR="00482A5F" w:rsidRPr="00BD1319" w:rsidRDefault="00482A5F" w:rsidP="00C86DA5">
      <w:pPr>
        <w:numPr>
          <w:ilvl w:val="12"/>
          <w:numId w:val="0"/>
        </w:numPr>
        <w:tabs>
          <w:tab w:val="left" w:pos="-2268"/>
        </w:tabs>
        <w:suppressAutoHyphens/>
        <w:ind w:left="567"/>
        <w:rPr>
          <w:spacing w:val="-3"/>
        </w:rPr>
      </w:pPr>
      <w:r w:rsidRPr="00BD1319">
        <w:rPr>
          <w:spacing w:val="-3"/>
        </w:rPr>
        <w:t xml:space="preserve">Para ejecutar el muestreo se recomienda aplicar la zonificación del </w:t>
      </w:r>
      <w:proofErr w:type="spellStart"/>
      <w:r w:rsidRPr="00BD1319">
        <w:rPr>
          <w:spacing w:val="-3"/>
        </w:rPr>
        <w:t>forófito</w:t>
      </w:r>
      <w:proofErr w:type="spellEnd"/>
      <w:r w:rsidRPr="00BD1319">
        <w:rPr>
          <w:spacing w:val="-3"/>
        </w:rPr>
        <w:t xml:space="preserve"> propuesta por Johansson (1974) (modificada por Ter </w:t>
      </w:r>
      <w:proofErr w:type="spellStart"/>
      <w:r w:rsidRPr="00BD1319">
        <w:rPr>
          <w:spacing w:val="-3"/>
        </w:rPr>
        <w:t>Steege</w:t>
      </w:r>
      <w:proofErr w:type="spellEnd"/>
      <w:r w:rsidRPr="00BD1319">
        <w:rPr>
          <w:spacing w:val="-3"/>
        </w:rPr>
        <w:t xml:space="preserve"> &amp; </w:t>
      </w:r>
      <w:proofErr w:type="spellStart"/>
      <w:r w:rsidRPr="00BD1319">
        <w:rPr>
          <w:spacing w:val="-3"/>
        </w:rPr>
        <w:t>Cornelissen</w:t>
      </w:r>
      <w:proofErr w:type="spellEnd"/>
      <w:r w:rsidRPr="00BD1319">
        <w:rPr>
          <w:spacing w:val="-3"/>
        </w:rPr>
        <w:t xml:space="preserve"> (1989</w:t>
      </w:r>
      <w:r w:rsidRPr="00BD1319">
        <w:rPr>
          <w:rFonts w:cs="Arial"/>
          <w:spacing w:val="-3"/>
        </w:rPr>
        <w:t>)</w:t>
      </w:r>
      <w:r w:rsidR="005F2CF6" w:rsidRPr="00BD1319">
        <w:rPr>
          <w:rFonts w:cs="Arial"/>
          <w:spacing w:val="-3"/>
        </w:rPr>
        <w:t>)</w:t>
      </w:r>
      <w:r w:rsidRPr="00BD1319">
        <w:rPr>
          <w:spacing w:val="-3"/>
        </w:rPr>
        <w:t xml:space="preserve">. Esta zonificación se </w:t>
      </w:r>
      <w:r w:rsidRPr="00BD1319">
        <w:rPr>
          <w:rFonts w:cs="Arial"/>
          <w:spacing w:val="-3"/>
        </w:rPr>
        <w:t>presenta</w:t>
      </w:r>
      <w:r w:rsidRPr="00BD1319">
        <w:rPr>
          <w:spacing w:val="-3"/>
        </w:rPr>
        <w:t xml:space="preserve"> en la </w:t>
      </w:r>
      <w:r w:rsidRPr="00BD1319">
        <w:rPr>
          <w:spacing w:val="-3"/>
        </w:rPr>
        <w:fldChar w:fldCharType="begin"/>
      </w:r>
      <w:r w:rsidRPr="00BD1319">
        <w:rPr>
          <w:spacing w:val="-3"/>
        </w:rPr>
        <w:instrText xml:space="preserve"> REF _Ref513641281 \h  \* MERGEFORMAT </w:instrText>
      </w:r>
      <w:r w:rsidRPr="00BD1319">
        <w:rPr>
          <w:spacing w:val="-3"/>
        </w:rPr>
      </w:r>
      <w:r w:rsidRPr="00BD1319">
        <w:rPr>
          <w:spacing w:val="-3"/>
        </w:rPr>
        <w:fldChar w:fldCharType="separate"/>
      </w:r>
      <w:r w:rsidR="00296654" w:rsidRPr="00BD1319">
        <w:rPr>
          <w:spacing w:val="-3"/>
        </w:rPr>
        <w:t xml:space="preserve">Figura </w:t>
      </w:r>
      <w:r w:rsidR="00296654" w:rsidRPr="00BD1319">
        <w:rPr>
          <w:rFonts w:cs="Arial"/>
          <w:bCs/>
          <w:spacing w:val="-3"/>
        </w:rPr>
        <w:t>15</w:t>
      </w:r>
      <w:r w:rsidRPr="00BD1319">
        <w:rPr>
          <w:spacing w:val="-3"/>
        </w:rPr>
        <w:fldChar w:fldCharType="end"/>
      </w:r>
      <w:r w:rsidRPr="00BD1319">
        <w:rPr>
          <w:spacing w:val="-3"/>
        </w:rPr>
        <w:t>.</w:t>
      </w:r>
    </w:p>
    <w:p w14:paraId="08A64267" w14:textId="027CB8EA" w:rsidR="009E5AFC" w:rsidRPr="00BD1319" w:rsidRDefault="009E5AFC">
      <w:pPr>
        <w:overflowPunct/>
        <w:autoSpaceDE/>
        <w:autoSpaceDN/>
        <w:adjustRightInd/>
        <w:jc w:val="left"/>
        <w:textAlignment w:val="auto"/>
        <w:rPr>
          <w:spacing w:val="-3"/>
        </w:rPr>
      </w:pPr>
    </w:p>
    <w:p w14:paraId="5582B9A9" w14:textId="523FB2F2" w:rsidR="00482A5F" w:rsidRPr="00BD1319" w:rsidRDefault="00DB3785" w:rsidP="00C86DA5">
      <w:pPr>
        <w:numPr>
          <w:ilvl w:val="12"/>
          <w:numId w:val="0"/>
        </w:numPr>
        <w:tabs>
          <w:tab w:val="left" w:pos="-2268"/>
        </w:tabs>
        <w:suppressAutoHyphens/>
        <w:ind w:left="567"/>
        <w:rPr>
          <w:spacing w:val="-3"/>
        </w:rPr>
      </w:pPr>
      <w:r w:rsidRPr="00BD1319">
        <w:rPr>
          <w:spacing w:val="-3"/>
        </w:rPr>
        <w:t>E</w:t>
      </w:r>
      <w:r w:rsidR="00482A5F" w:rsidRPr="00BD1319">
        <w:rPr>
          <w:spacing w:val="-3"/>
        </w:rPr>
        <w:t>l trabajo en campo para la selección y recolección de ep</w:t>
      </w:r>
      <w:r w:rsidR="001256B9" w:rsidRPr="00BD1319">
        <w:rPr>
          <w:spacing w:val="-3"/>
        </w:rPr>
        <w:t>í</w:t>
      </w:r>
      <w:r w:rsidR="00482A5F" w:rsidRPr="00BD1319">
        <w:rPr>
          <w:spacing w:val="-3"/>
        </w:rPr>
        <w:t>fitas vasculares</w:t>
      </w:r>
      <w:r w:rsidR="0000400A" w:rsidRPr="00BD1319">
        <w:rPr>
          <w:spacing w:val="-3"/>
        </w:rPr>
        <w:t>,</w:t>
      </w:r>
      <w:r w:rsidR="00482A5F" w:rsidRPr="00BD1319">
        <w:rPr>
          <w:spacing w:val="-3"/>
        </w:rPr>
        <w:t xml:space="preserve"> no vasculares </w:t>
      </w:r>
      <w:r w:rsidR="0000400A" w:rsidRPr="00BD1319">
        <w:rPr>
          <w:spacing w:val="-3"/>
        </w:rPr>
        <w:t xml:space="preserve">y líquenes </w:t>
      </w:r>
      <w:r w:rsidRPr="00BD1319">
        <w:rPr>
          <w:spacing w:val="-3"/>
        </w:rPr>
        <w:t xml:space="preserve">debe ejecutarse </w:t>
      </w:r>
      <w:r w:rsidR="00482A5F" w:rsidRPr="00BD1319">
        <w:rPr>
          <w:spacing w:val="-3"/>
        </w:rPr>
        <w:t>de la siguiente forma:</w:t>
      </w:r>
    </w:p>
    <w:p w14:paraId="131970C6" w14:textId="77777777" w:rsidR="00482A5F" w:rsidRPr="00BD1319" w:rsidRDefault="00482A5F">
      <w:pPr>
        <w:numPr>
          <w:ilvl w:val="12"/>
          <w:numId w:val="0"/>
        </w:numPr>
        <w:tabs>
          <w:tab w:val="left" w:pos="-2268"/>
        </w:tabs>
        <w:suppressAutoHyphens/>
        <w:rPr>
          <w:spacing w:val="-3"/>
        </w:rPr>
      </w:pPr>
    </w:p>
    <w:p w14:paraId="202CB397" w14:textId="19E59059" w:rsidR="00045B66" w:rsidRPr="00BD1319" w:rsidRDefault="00482A5F" w:rsidP="00C86DA5">
      <w:pPr>
        <w:numPr>
          <w:ilvl w:val="1"/>
          <w:numId w:val="87"/>
        </w:numPr>
        <w:tabs>
          <w:tab w:val="left" w:pos="-2268"/>
        </w:tabs>
        <w:suppressAutoHyphens/>
        <w:ind w:left="1134" w:hanging="567"/>
        <w:rPr>
          <w:spacing w:val="-3"/>
        </w:rPr>
      </w:pPr>
      <w:bookmarkStart w:id="2880" w:name="_Hlk42155239"/>
      <w:r w:rsidRPr="00BD1319">
        <w:rPr>
          <w:b/>
          <w:spacing w:val="-3"/>
        </w:rPr>
        <w:t>Flora no vascular</w:t>
      </w:r>
      <w:r w:rsidRPr="00BD1319">
        <w:rPr>
          <w:rFonts w:cs="Arial"/>
          <w:b/>
          <w:spacing w:val="-3"/>
        </w:rPr>
        <w:t xml:space="preserve"> y líquenes</w:t>
      </w:r>
      <w:bookmarkEnd w:id="2880"/>
      <w:r w:rsidRPr="00BD1319">
        <w:rPr>
          <w:spacing w:val="-3"/>
        </w:rPr>
        <w:t xml:space="preserve">: </w:t>
      </w:r>
      <w:r w:rsidR="00E947ED" w:rsidRPr="00BD1319">
        <w:rPr>
          <w:spacing w:val="-3"/>
        </w:rPr>
        <w:t xml:space="preserve">de acuerdo con el diámetro de los troncos y las características de las cortezas de los árboles o arbustos seleccionados como </w:t>
      </w:r>
      <w:proofErr w:type="spellStart"/>
      <w:r w:rsidR="00E947ED" w:rsidRPr="00BD1319">
        <w:rPr>
          <w:spacing w:val="-3"/>
        </w:rPr>
        <w:t>forófitos</w:t>
      </w:r>
      <w:proofErr w:type="spellEnd"/>
      <w:r w:rsidR="00B17D5A" w:rsidRPr="00BD1319">
        <w:rPr>
          <w:spacing w:val="-3"/>
        </w:rPr>
        <w:t>,</w:t>
      </w:r>
      <w:r w:rsidR="00E947ED" w:rsidRPr="00BD1319">
        <w:rPr>
          <w:spacing w:val="-3"/>
        </w:rPr>
        <w:t xml:space="preserve"> se debe establecer el tamaño de la plantilla para realizar </w:t>
      </w:r>
      <w:r w:rsidR="00163381" w:rsidRPr="00BD1319">
        <w:rPr>
          <w:spacing w:val="-3"/>
        </w:rPr>
        <w:t>el muestreo (en cm</w:t>
      </w:r>
      <w:r w:rsidR="00163381" w:rsidRPr="00BD1319">
        <w:rPr>
          <w:spacing w:val="-3"/>
          <w:vertAlign w:val="superscript"/>
        </w:rPr>
        <w:t>2</w:t>
      </w:r>
      <w:r w:rsidR="00163381" w:rsidRPr="00BD1319">
        <w:rPr>
          <w:spacing w:val="-3"/>
        </w:rPr>
        <w:t xml:space="preserve">) y </w:t>
      </w:r>
      <w:r w:rsidR="00E947ED" w:rsidRPr="00BD1319">
        <w:rPr>
          <w:spacing w:val="-3"/>
        </w:rPr>
        <w:t>optimizar la toma de datos de campo (</w:t>
      </w:r>
      <w:proofErr w:type="spellStart"/>
      <w:r w:rsidR="00045B66" w:rsidRPr="00BD1319">
        <w:rPr>
          <w:spacing w:val="-3"/>
        </w:rPr>
        <w:t>Iwatsuki</w:t>
      </w:r>
      <w:proofErr w:type="spellEnd"/>
      <w:r w:rsidR="00045B66" w:rsidRPr="00BD1319">
        <w:rPr>
          <w:spacing w:val="-3"/>
        </w:rPr>
        <w:t xml:space="preserve">, 1960; </w:t>
      </w:r>
      <w:proofErr w:type="spellStart"/>
      <w:r w:rsidR="00E947ED" w:rsidRPr="00BD1319">
        <w:rPr>
          <w:spacing w:val="-3"/>
        </w:rPr>
        <w:t>Gradstein</w:t>
      </w:r>
      <w:proofErr w:type="spellEnd"/>
      <w:r w:rsidR="00E947ED" w:rsidRPr="00BD1319">
        <w:rPr>
          <w:spacing w:val="-3"/>
        </w:rPr>
        <w:t xml:space="preserve"> et al.</w:t>
      </w:r>
      <w:r w:rsidR="00045B66" w:rsidRPr="00BD1319">
        <w:rPr>
          <w:spacing w:val="-3"/>
        </w:rPr>
        <w:t>,</w:t>
      </w:r>
      <w:r w:rsidR="00E947ED" w:rsidRPr="00BD1319">
        <w:rPr>
          <w:spacing w:val="-3"/>
        </w:rPr>
        <w:t xml:space="preserve"> 2003). </w:t>
      </w:r>
      <w:r w:rsidR="00045B66" w:rsidRPr="00BD1319">
        <w:rPr>
          <w:spacing w:val="-3"/>
        </w:rPr>
        <w:t>El muestreo</w:t>
      </w:r>
      <w:r w:rsidR="00B17D5A" w:rsidRPr="00BD1319">
        <w:rPr>
          <w:spacing w:val="-3"/>
        </w:rPr>
        <w:t xml:space="preserve"> </w:t>
      </w:r>
      <w:r w:rsidR="00045B66" w:rsidRPr="00BD1319">
        <w:rPr>
          <w:spacing w:val="-3"/>
        </w:rPr>
        <w:t xml:space="preserve">debe realizarse </w:t>
      </w:r>
      <w:r w:rsidR="00B17D5A" w:rsidRPr="00BD1319">
        <w:rPr>
          <w:spacing w:val="-3"/>
        </w:rPr>
        <w:t xml:space="preserve">en </w:t>
      </w:r>
      <w:r w:rsidRPr="00BD1319">
        <w:rPr>
          <w:spacing w:val="-3"/>
        </w:rPr>
        <w:t xml:space="preserve">los puntos cardinales del </w:t>
      </w:r>
      <w:proofErr w:type="spellStart"/>
      <w:r w:rsidRPr="00BD1319">
        <w:rPr>
          <w:spacing w:val="-3"/>
        </w:rPr>
        <w:t>forófito</w:t>
      </w:r>
      <w:proofErr w:type="spellEnd"/>
      <w:r w:rsidRPr="00BD1319">
        <w:rPr>
          <w:spacing w:val="-3"/>
        </w:rPr>
        <w:t xml:space="preserve"> (norte, sur, oriente y occidente)</w:t>
      </w:r>
      <w:r w:rsidR="00045B66" w:rsidRPr="00BD1319">
        <w:rPr>
          <w:spacing w:val="-3"/>
        </w:rPr>
        <w:t xml:space="preserve"> en cada una de las zonas de Johansson, evaluando </w:t>
      </w:r>
      <w:r w:rsidR="00B17D5A" w:rsidRPr="00BD1319">
        <w:rPr>
          <w:spacing w:val="-3"/>
        </w:rPr>
        <w:t xml:space="preserve">en las plantillas antes determinadas </w:t>
      </w:r>
      <w:r w:rsidR="00045B66" w:rsidRPr="00BD1319">
        <w:rPr>
          <w:spacing w:val="-3"/>
        </w:rPr>
        <w:lastRenderedPageBreak/>
        <w:t>la diversidad por estrato</w:t>
      </w:r>
      <w:r w:rsidR="004D3B48" w:rsidRPr="00BD1319">
        <w:rPr>
          <w:spacing w:val="-3"/>
        </w:rPr>
        <w:t xml:space="preserve"> vertical</w:t>
      </w:r>
      <w:r w:rsidR="00045B66" w:rsidRPr="00BD1319">
        <w:rPr>
          <w:spacing w:val="-3"/>
        </w:rPr>
        <w:t xml:space="preserve"> (</w:t>
      </w:r>
      <w:r w:rsidR="00B17D5A" w:rsidRPr="00BD1319">
        <w:rPr>
          <w:spacing w:val="-3"/>
        </w:rPr>
        <w:t xml:space="preserve">Ter </w:t>
      </w:r>
      <w:proofErr w:type="spellStart"/>
      <w:r w:rsidR="00B17D5A" w:rsidRPr="00BD1319">
        <w:rPr>
          <w:spacing w:val="-3"/>
        </w:rPr>
        <w:t>Steege</w:t>
      </w:r>
      <w:proofErr w:type="spellEnd"/>
      <w:r w:rsidR="00B17D5A" w:rsidRPr="00BD1319">
        <w:rPr>
          <w:spacing w:val="-3"/>
        </w:rPr>
        <w:t xml:space="preserve"> &amp; </w:t>
      </w:r>
      <w:proofErr w:type="spellStart"/>
      <w:r w:rsidR="00B17D5A" w:rsidRPr="00BD1319">
        <w:rPr>
          <w:spacing w:val="-3"/>
        </w:rPr>
        <w:t>Cornelissen</w:t>
      </w:r>
      <w:proofErr w:type="spellEnd"/>
      <w:r w:rsidR="00B17D5A" w:rsidRPr="00BD1319">
        <w:rPr>
          <w:spacing w:val="-3"/>
        </w:rPr>
        <w:t xml:space="preserve">, 1989; </w:t>
      </w:r>
      <w:proofErr w:type="spellStart"/>
      <w:r w:rsidR="00045B66" w:rsidRPr="00BD1319">
        <w:rPr>
          <w:spacing w:val="-3"/>
        </w:rPr>
        <w:t>Frahm</w:t>
      </w:r>
      <w:proofErr w:type="spellEnd"/>
      <w:r w:rsidR="00045B66" w:rsidRPr="00BD1319">
        <w:rPr>
          <w:spacing w:val="-3"/>
        </w:rPr>
        <w:t xml:space="preserve"> et al., 2003</w:t>
      </w:r>
      <w:r w:rsidR="00B17D5A" w:rsidRPr="00BD1319">
        <w:rPr>
          <w:spacing w:val="-3"/>
        </w:rPr>
        <w:t>;</w:t>
      </w:r>
      <w:r w:rsidR="00045B66" w:rsidRPr="00BD1319">
        <w:rPr>
          <w:spacing w:val="-3"/>
        </w:rPr>
        <w:t xml:space="preserve"> </w:t>
      </w:r>
      <w:proofErr w:type="spellStart"/>
      <w:r w:rsidR="00045B66" w:rsidRPr="00BD1319">
        <w:rPr>
          <w:spacing w:val="-3"/>
        </w:rPr>
        <w:t>Glime</w:t>
      </w:r>
      <w:proofErr w:type="spellEnd"/>
      <w:r w:rsidR="00045B66" w:rsidRPr="00BD1319">
        <w:rPr>
          <w:spacing w:val="-3"/>
        </w:rPr>
        <w:t>, 2017)</w:t>
      </w:r>
      <w:r w:rsidRPr="00BD1319">
        <w:rPr>
          <w:spacing w:val="-3"/>
        </w:rPr>
        <w:t>.</w:t>
      </w:r>
    </w:p>
    <w:p w14:paraId="47CD4C01" w14:textId="77777777" w:rsidR="00045B66" w:rsidRPr="00BD1319" w:rsidRDefault="00045B66" w:rsidP="00045B66">
      <w:pPr>
        <w:tabs>
          <w:tab w:val="left" w:pos="-2268"/>
        </w:tabs>
        <w:suppressAutoHyphens/>
        <w:ind w:left="1134"/>
        <w:rPr>
          <w:b/>
          <w:spacing w:val="-3"/>
        </w:rPr>
      </w:pPr>
    </w:p>
    <w:p w14:paraId="45ADF651" w14:textId="513DA3AB" w:rsidR="00A56F01" w:rsidRPr="00BD1319" w:rsidRDefault="00A56F01" w:rsidP="00045B66">
      <w:pPr>
        <w:tabs>
          <w:tab w:val="left" w:pos="-2268"/>
        </w:tabs>
        <w:suppressAutoHyphens/>
        <w:ind w:left="1134"/>
        <w:rPr>
          <w:rFonts w:cs="Arial"/>
          <w:spacing w:val="-3"/>
        </w:rPr>
      </w:pPr>
      <w:r w:rsidRPr="00BD1319">
        <w:t>La caracterización de estos organismos debe seguir protocolos apropiados para la colecta, preservación y embalaje de ejemplares. L</w:t>
      </w:r>
      <w:r w:rsidR="00D47B54" w:rsidRPr="00BD1319">
        <w:rPr>
          <w:spacing w:val="-3"/>
        </w:rPr>
        <w:t xml:space="preserve">as muestras colectadas deben ser representativas y retiradas con machete, pala o navaja de acuerdo </w:t>
      </w:r>
      <w:r w:rsidR="00D47B54" w:rsidRPr="00BD1319">
        <w:rPr>
          <w:rFonts w:cs="Arial"/>
          <w:spacing w:val="-3"/>
        </w:rPr>
        <w:t>con</w:t>
      </w:r>
      <w:r w:rsidR="00D47B54" w:rsidRPr="00BD1319">
        <w:rPr>
          <w:spacing w:val="-3"/>
        </w:rPr>
        <w:t xml:space="preserve"> la consistencia del árbol y de la especie de flora no vascular</w:t>
      </w:r>
      <w:r w:rsidR="00D47B54" w:rsidRPr="00BD1319">
        <w:rPr>
          <w:rFonts w:cs="Arial"/>
          <w:spacing w:val="-3"/>
        </w:rPr>
        <w:t xml:space="preserve"> o de liquen.</w:t>
      </w:r>
    </w:p>
    <w:p w14:paraId="75138E25" w14:textId="77777777" w:rsidR="00A56F01" w:rsidRPr="00BD1319" w:rsidRDefault="00A56F01" w:rsidP="00045B66">
      <w:pPr>
        <w:tabs>
          <w:tab w:val="left" w:pos="-2268"/>
        </w:tabs>
        <w:suppressAutoHyphens/>
        <w:ind w:left="1134"/>
        <w:rPr>
          <w:rFonts w:cs="Arial"/>
          <w:spacing w:val="-3"/>
        </w:rPr>
      </w:pPr>
    </w:p>
    <w:p w14:paraId="48DA93E4" w14:textId="7AA81ECD" w:rsidR="00D47B54" w:rsidRPr="00BD1319" w:rsidRDefault="00D47B54" w:rsidP="00045B66">
      <w:pPr>
        <w:tabs>
          <w:tab w:val="left" w:pos="-2268"/>
        </w:tabs>
        <w:suppressAutoHyphens/>
        <w:ind w:left="1134"/>
        <w:rPr>
          <w:spacing w:val="-3"/>
        </w:rPr>
      </w:pPr>
      <w:r w:rsidRPr="00BD1319">
        <w:rPr>
          <w:rFonts w:cs="Arial"/>
          <w:spacing w:val="-3"/>
        </w:rPr>
        <w:t>Dado que l</w:t>
      </w:r>
      <w:r w:rsidR="00C1355F" w:rsidRPr="00BD1319">
        <w:rPr>
          <w:rFonts w:cs="Arial"/>
          <w:spacing w:val="-3"/>
        </w:rPr>
        <w:t xml:space="preserve">a determinación taxonómica debe realizarse preferiblemente a partir del análisis de </w:t>
      </w:r>
      <w:r w:rsidR="00C1355F" w:rsidRPr="00BD1319">
        <w:rPr>
          <w:spacing w:val="-3"/>
        </w:rPr>
        <w:t>estructuras reproductivas</w:t>
      </w:r>
      <w:r w:rsidRPr="00BD1319">
        <w:rPr>
          <w:spacing w:val="-3"/>
        </w:rPr>
        <w:t xml:space="preserve">, </w:t>
      </w:r>
      <w:r w:rsidRPr="00BD1319">
        <w:rPr>
          <w:rFonts w:cs="Arial"/>
          <w:spacing w:val="-3"/>
        </w:rPr>
        <w:t>se debe buscar la recolección de un ejemplar fértil</w:t>
      </w:r>
      <w:r w:rsidR="00A56F01" w:rsidRPr="00BD1319">
        <w:rPr>
          <w:rFonts w:cs="Arial"/>
          <w:spacing w:val="-3"/>
        </w:rPr>
        <w:t xml:space="preserve"> exam</w:t>
      </w:r>
      <w:r w:rsidR="00AD0EF8" w:rsidRPr="00BD1319">
        <w:rPr>
          <w:rFonts w:cs="Arial"/>
          <w:spacing w:val="-3"/>
        </w:rPr>
        <w:t xml:space="preserve">inando las plantillas </w:t>
      </w:r>
      <w:r w:rsidR="00A56F01" w:rsidRPr="00BD1319">
        <w:rPr>
          <w:spacing w:val="-3"/>
        </w:rPr>
        <w:t xml:space="preserve">con una lupa de </w:t>
      </w:r>
      <w:r w:rsidR="00A56F01" w:rsidRPr="00BD1319">
        <w:rPr>
          <w:rFonts w:cs="Arial"/>
          <w:spacing w:val="-3"/>
        </w:rPr>
        <w:t>30x</w:t>
      </w:r>
      <w:r w:rsidR="00A56F01" w:rsidRPr="00BD1319">
        <w:rPr>
          <w:spacing w:val="-3"/>
        </w:rPr>
        <w:t xml:space="preserve"> mínimo</w:t>
      </w:r>
      <w:r w:rsidRPr="00BD1319">
        <w:rPr>
          <w:spacing w:val="-3"/>
        </w:rPr>
        <w:t>;</w:t>
      </w:r>
      <w:r w:rsidR="00C1355F" w:rsidRPr="00BD1319">
        <w:rPr>
          <w:spacing w:val="-3"/>
        </w:rPr>
        <w:t xml:space="preserve"> </w:t>
      </w:r>
      <w:r w:rsidR="00482A5F" w:rsidRPr="00BD1319">
        <w:rPr>
          <w:rFonts w:cs="Arial"/>
          <w:spacing w:val="-3"/>
        </w:rPr>
        <w:t xml:space="preserve">en </w:t>
      </w:r>
      <w:r w:rsidR="009B5D75" w:rsidRPr="00BD1319">
        <w:rPr>
          <w:rFonts w:cs="Arial"/>
          <w:spacing w:val="-3"/>
        </w:rPr>
        <w:t>todo caso</w:t>
      </w:r>
      <w:r w:rsidR="005F2CF6" w:rsidRPr="00BD1319">
        <w:rPr>
          <w:rFonts w:cs="Arial"/>
          <w:spacing w:val="-3"/>
        </w:rPr>
        <w:t>,</w:t>
      </w:r>
      <w:r w:rsidR="00482A5F" w:rsidRPr="00BD1319">
        <w:rPr>
          <w:rFonts w:cs="Arial"/>
          <w:spacing w:val="-3"/>
        </w:rPr>
        <w:t xml:space="preserve"> </w:t>
      </w:r>
      <w:r w:rsidRPr="00BD1319">
        <w:rPr>
          <w:rFonts w:cs="Arial"/>
          <w:spacing w:val="-3"/>
        </w:rPr>
        <w:t xml:space="preserve">además de la recolección de </w:t>
      </w:r>
      <w:r w:rsidR="00A56F01" w:rsidRPr="00BD1319">
        <w:rPr>
          <w:rFonts w:cs="Arial"/>
          <w:spacing w:val="-3"/>
        </w:rPr>
        <w:t>especímenes</w:t>
      </w:r>
      <w:r w:rsidR="009B5D75" w:rsidRPr="00BD1319">
        <w:rPr>
          <w:rFonts w:cs="Arial"/>
          <w:spacing w:val="-3"/>
        </w:rPr>
        <w:t xml:space="preserve"> </w:t>
      </w:r>
      <w:r w:rsidR="006D03B0" w:rsidRPr="00BD1319">
        <w:rPr>
          <w:rFonts w:cs="Arial"/>
          <w:spacing w:val="-3"/>
        </w:rPr>
        <w:t>(</w:t>
      </w:r>
      <w:r w:rsidR="009B5D75" w:rsidRPr="00BD1319">
        <w:rPr>
          <w:rFonts w:cs="Arial"/>
          <w:spacing w:val="-3"/>
        </w:rPr>
        <w:t>fértiles o no</w:t>
      </w:r>
      <w:r w:rsidR="006D03B0" w:rsidRPr="00BD1319">
        <w:rPr>
          <w:rFonts w:cs="Arial"/>
          <w:spacing w:val="-3"/>
        </w:rPr>
        <w:t>)</w:t>
      </w:r>
      <w:r w:rsidRPr="00BD1319">
        <w:rPr>
          <w:rFonts w:cs="Arial"/>
          <w:spacing w:val="-3"/>
        </w:rPr>
        <w:t xml:space="preserve">, se debe </w:t>
      </w:r>
      <w:r w:rsidR="00482A5F" w:rsidRPr="00BD1319">
        <w:rPr>
          <w:rFonts w:cs="Arial"/>
          <w:spacing w:val="-3"/>
        </w:rPr>
        <w:t xml:space="preserve">registrar </w:t>
      </w:r>
      <w:r w:rsidR="005123F4" w:rsidRPr="00BD1319">
        <w:rPr>
          <w:rFonts w:cs="Arial"/>
          <w:spacing w:val="-3"/>
        </w:rPr>
        <w:t xml:space="preserve">en las planillas de campo </w:t>
      </w:r>
      <w:r w:rsidR="00482A5F" w:rsidRPr="00BD1319">
        <w:rPr>
          <w:rFonts w:cs="Arial"/>
          <w:spacing w:val="-3"/>
        </w:rPr>
        <w:t xml:space="preserve">aspectos fisionómicos </w:t>
      </w:r>
      <w:r w:rsidR="00286765" w:rsidRPr="00BD1319">
        <w:rPr>
          <w:spacing w:val="-3"/>
        </w:rPr>
        <w:t>importantes como el tipo de ramificación, disposición de las hojas y forma de crecimiento (briofitos) y tipo, forma, consistencia del talo y fijación al sustrato (líquenes), color, textura y otras características</w:t>
      </w:r>
      <w:r w:rsidR="00286765" w:rsidRPr="00BD1319">
        <w:rPr>
          <w:rFonts w:cs="Arial"/>
          <w:spacing w:val="-3"/>
        </w:rPr>
        <w:t xml:space="preserve"> </w:t>
      </w:r>
      <w:r w:rsidR="00C449F3" w:rsidRPr="00BD1319">
        <w:rPr>
          <w:rFonts w:cs="Arial"/>
          <w:spacing w:val="-3"/>
        </w:rPr>
        <w:t xml:space="preserve">que permitan </w:t>
      </w:r>
      <w:r w:rsidR="005123F4" w:rsidRPr="00BD1319">
        <w:rPr>
          <w:rFonts w:cs="Arial"/>
          <w:spacing w:val="-3"/>
        </w:rPr>
        <w:t xml:space="preserve">su determinación </w:t>
      </w:r>
      <w:r w:rsidR="00B13601" w:rsidRPr="00BD1319">
        <w:rPr>
          <w:rFonts w:cs="Arial"/>
          <w:spacing w:val="-3"/>
        </w:rPr>
        <w:t>taxonómica en laboratorio</w:t>
      </w:r>
      <w:r w:rsidR="00C449F3" w:rsidRPr="00BD1319">
        <w:rPr>
          <w:rFonts w:cs="Arial"/>
          <w:spacing w:val="-3"/>
        </w:rPr>
        <w:t xml:space="preserve">, proceso que debe ejecutarse </w:t>
      </w:r>
      <w:r w:rsidR="005123F4" w:rsidRPr="00BD1319">
        <w:rPr>
          <w:rFonts w:cs="Arial"/>
          <w:spacing w:val="-3"/>
        </w:rPr>
        <w:t xml:space="preserve">mediante </w:t>
      </w:r>
      <w:r w:rsidR="00B13601" w:rsidRPr="00BD1319">
        <w:rPr>
          <w:rFonts w:cs="Arial"/>
          <w:spacing w:val="-3"/>
        </w:rPr>
        <w:t>instrumentos ópticos especializados y la aplicación de pruebas químicas</w:t>
      </w:r>
      <w:r w:rsidR="00482A5F" w:rsidRPr="00BD1319">
        <w:rPr>
          <w:rFonts w:cs="Arial"/>
          <w:spacing w:val="-3"/>
        </w:rPr>
        <w:t>.</w:t>
      </w:r>
    </w:p>
    <w:p w14:paraId="1A6938C6" w14:textId="4DA4955A" w:rsidR="00482A5F" w:rsidRPr="00BD1319" w:rsidRDefault="00482A5F">
      <w:pPr>
        <w:tabs>
          <w:tab w:val="left" w:pos="-2268"/>
        </w:tabs>
        <w:suppressAutoHyphens/>
        <w:rPr>
          <w:spacing w:val="-3"/>
        </w:rPr>
      </w:pPr>
    </w:p>
    <w:p w14:paraId="51B3CE1C" w14:textId="2F166ABF" w:rsidR="00482A5F" w:rsidRPr="00BD1319" w:rsidRDefault="00482A5F" w:rsidP="00C86DA5">
      <w:pPr>
        <w:numPr>
          <w:ilvl w:val="1"/>
          <w:numId w:val="87"/>
        </w:numPr>
        <w:tabs>
          <w:tab w:val="left" w:pos="-2268"/>
        </w:tabs>
        <w:suppressAutoHyphens/>
        <w:ind w:left="1134" w:hanging="567"/>
        <w:rPr>
          <w:spacing w:val="-3"/>
        </w:rPr>
      </w:pPr>
      <w:r w:rsidRPr="00BD1319">
        <w:rPr>
          <w:b/>
          <w:spacing w:val="-3"/>
        </w:rPr>
        <w:t>Flora vascular</w:t>
      </w:r>
      <w:r w:rsidRPr="00BD1319">
        <w:rPr>
          <w:spacing w:val="-3"/>
        </w:rPr>
        <w:t xml:space="preserve">: </w:t>
      </w:r>
      <w:r w:rsidRPr="00BD1319">
        <w:rPr>
          <w:rFonts w:cs="Arial"/>
          <w:spacing w:val="-3"/>
        </w:rPr>
        <w:t>el muestreo de los diferentes grupos de epífitas vasculares</w:t>
      </w:r>
      <w:r w:rsidR="005F2CF6" w:rsidRPr="00BD1319">
        <w:rPr>
          <w:rFonts w:cs="Arial"/>
          <w:spacing w:val="-3"/>
        </w:rPr>
        <w:t>, se</w:t>
      </w:r>
      <w:r w:rsidRPr="00BD1319">
        <w:rPr>
          <w:rFonts w:cs="Arial"/>
          <w:spacing w:val="-3"/>
        </w:rPr>
        <w:t xml:space="preserve"> debe </w:t>
      </w:r>
      <w:r w:rsidR="00627791" w:rsidRPr="00BD1319">
        <w:rPr>
          <w:rFonts w:cs="Arial"/>
          <w:spacing w:val="-3"/>
        </w:rPr>
        <w:t xml:space="preserve">realizar registrando la cantidad </w:t>
      </w:r>
      <w:r w:rsidRPr="00BD1319">
        <w:rPr>
          <w:rFonts w:cs="Arial"/>
          <w:spacing w:val="-3"/>
        </w:rPr>
        <w:t xml:space="preserve">de individuos </w:t>
      </w:r>
      <w:r w:rsidR="00627791" w:rsidRPr="00BD1319">
        <w:rPr>
          <w:rFonts w:cs="Arial"/>
          <w:spacing w:val="-3"/>
        </w:rPr>
        <w:t xml:space="preserve">(abundancia) o bien, de agregados por especie, observada para cada estrato vertical del </w:t>
      </w:r>
      <w:proofErr w:type="spellStart"/>
      <w:r w:rsidR="00627791" w:rsidRPr="00BD1319">
        <w:rPr>
          <w:rFonts w:cs="Arial"/>
          <w:spacing w:val="-3"/>
        </w:rPr>
        <w:t>forófito</w:t>
      </w:r>
      <w:proofErr w:type="spellEnd"/>
      <w:r w:rsidRPr="00BD1319">
        <w:rPr>
          <w:spacing w:val="-3"/>
        </w:rPr>
        <w:t>.</w:t>
      </w:r>
      <w:r w:rsidRPr="00BD1319">
        <w:rPr>
          <w:rFonts w:cs="Arial"/>
          <w:spacing w:val="-3"/>
        </w:rPr>
        <w:t xml:space="preserve"> Además, </w:t>
      </w:r>
      <w:r w:rsidR="005F2CF6" w:rsidRPr="00BD1319">
        <w:rPr>
          <w:rFonts w:cs="Arial"/>
          <w:spacing w:val="-3"/>
        </w:rPr>
        <w:t xml:space="preserve">se </w:t>
      </w:r>
      <w:r w:rsidRPr="00BD1319">
        <w:rPr>
          <w:rFonts w:cs="Arial"/>
          <w:spacing w:val="-3"/>
        </w:rPr>
        <w:t>debe</w:t>
      </w:r>
      <w:r w:rsidR="00457A51" w:rsidRPr="00BD1319">
        <w:rPr>
          <w:rFonts w:cs="Arial"/>
          <w:spacing w:val="-3"/>
        </w:rPr>
        <w:t>n</w:t>
      </w:r>
      <w:r w:rsidRPr="00BD1319">
        <w:rPr>
          <w:rFonts w:cs="Arial"/>
          <w:spacing w:val="-3"/>
        </w:rPr>
        <w:t xml:space="preserve"> </w:t>
      </w:r>
      <w:r w:rsidR="005F2CF6" w:rsidRPr="00BD1319">
        <w:rPr>
          <w:rFonts w:cs="Arial"/>
          <w:spacing w:val="-3"/>
        </w:rPr>
        <w:t xml:space="preserve">registrar </w:t>
      </w:r>
      <w:r w:rsidRPr="00BD1319">
        <w:rPr>
          <w:rFonts w:cs="Arial"/>
          <w:spacing w:val="-3"/>
        </w:rPr>
        <w:t>datos de floración o fructificación.</w:t>
      </w:r>
    </w:p>
    <w:p w14:paraId="557B1737" w14:textId="77777777" w:rsidR="00B00400" w:rsidRPr="00BD1319" w:rsidRDefault="00B00400" w:rsidP="00B00400">
      <w:pPr>
        <w:tabs>
          <w:tab w:val="left" w:pos="-2268"/>
        </w:tabs>
        <w:suppressAutoHyphens/>
        <w:rPr>
          <w:spacing w:val="-3"/>
        </w:rPr>
      </w:pPr>
    </w:p>
    <w:p w14:paraId="317F0ADF" w14:textId="1917CDC2" w:rsidR="00B00400" w:rsidRPr="00BD1319" w:rsidRDefault="00B00400" w:rsidP="00B00400">
      <w:pPr>
        <w:pStyle w:val="Prrafodelista"/>
        <w:numPr>
          <w:ilvl w:val="12"/>
          <w:numId w:val="87"/>
        </w:numPr>
        <w:tabs>
          <w:tab w:val="left" w:pos="-2268"/>
        </w:tabs>
        <w:suppressAutoHyphens/>
        <w:jc w:val="center"/>
        <w:rPr>
          <w:b/>
          <w:spacing w:val="-3"/>
          <w:lang w:val="es-CO"/>
        </w:rPr>
      </w:pPr>
      <w:bookmarkStart w:id="2881" w:name="_Ref513641281"/>
      <w:r w:rsidRPr="00BD1319">
        <w:rPr>
          <w:b/>
          <w:spacing w:val="-3"/>
          <w:lang w:val="es-CO"/>
        </w:rPr>
        <w:t xml:space="preserve">Figura </w:t>
      </w:r>
      <w:r w:rsidR="00752A78" w:rsidRPr="00BD1319">
        <w:rPr>
          <w:b/>
          <w:spacing w:val="-3"/>
          <w:lang w:val="es-CO"/>
        </w:rPr>
        <w:fldChar w:fldCharType="begin"/>
      </w:r>
      <w:r w:rsidR="00752A78" w:rsidRPr="00BD1319">
        <w:rPr>
          <w:b/>
          <w:spacing w:val="-3"/>
          <w:lang w:val="es-CO"/>
        </w:rPr>
        <w:instrText xml:space="preserve"> SEQ Figura \* ARABIC </w:instrText>
      </w:r>
      <w:r w:rsidR="00752A78" w:rsidRPr="00BD1319">
        <w:rPr>
          <w:b/>
          <w:spacing w:val="-3"/>
          <w:lang w:val="es-CO"/>
        </w:rPr>
        <w:fldChar w:fldCharType="separate"/>
      </w:r>
      <w:r w:rsidR="00296654" w:rsidRPr="00BD1319">
        <w:rPr>
          <w:b/>
          <w:noProof/>
          <w:spacing w:val="-3"/>
          <w:lang w:val="es-CO"/>
        </w:rPr>
        <w:t>15</w:t>
      </w:r>
      <w:r w:rsidR="00752A78" w:rsidRPr="00BD1319">
        <w:rPr>
          <w:b/>
          <w:spacing w:val="-3"/>
          <w:lang w:val="es-CO"/>
        </w:rPr>
        <w:fldChar w:fldCharType="end"/>
      </w:r>
      <w:bookmarkEnd w:id="2881"/>
      <w:r w:rsidRPr="00BD1319">
        <w:rPr>
          <w:b/>
          <w:spacing w:val="-3"/>
          <w:lang w:val="es-CO"/>
        </w:rPr>
        <w:t>.</w:t>
      </w:r>
      <w:r w:rsidRPr="00BD1319">
        <w:rPr>
          <w:spacing w:val="-3"/>
          <w:lang w:val="es-CO"/>
        </w:rPr>
        <w:t xml:space="preserve"> Zonificación vertical del árbol</w:t>
      </w:r>
    </w:p>
    <w:p w14:paraId="71D0E1FA" w14:textId="77777777" w:rsidR="00B00400" w:rsidRPr="00BD1319" w:rsidRDefault="00B00400" w:rsidP="00B00400">
      <w:pPr>
        <w:pStyle w:val="Prrafodelista"/>
        <w:keepNext/>
        <w:numPr>
          <w:ilvl w:val="12"/>
          <w:numId w:val="87"/>
        </w:numPr>
        <w:tabs>
          <w:tab w:val="left" w:pos="-2268"/>
        </w:tabs>
        <w:suppressAutoHyphens/>
        <w:jc w:val="center"/>
        <w:rPr>
          <w:rFonts w:cs="Arial"/>
          <w:lang w:val="es-CO"/>
        </w:rPr>
      </w:pPr>
      <w:r w:rsidRPr="00BD1319">
        <w:rPr>
          <w:noProof/>
          <w:lang w:val="es-CO" w:eastAsia="es-CO"/>
        </w:rPr>
        <w:lastRenderedPageBreak/>
        <w:drawing>
          <wp:inline distT="0" distB="0" distL="0" distR="0" wp14:anchorId="6C0DDD38" wp14:editId="6AEC909F">
            <wp:extent cx="2688357" cy="3286125"/>
            <wp:effectExtent l="0" t="0" r="0" b="0"/>
            <wp:docPr id="37" name="Imagen 22"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n 22" descr="Diagrama&#10;&#10;Descripción generada automáticamente"/>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747438" cy="3358343"/>
                    </a:xfrm>
                    <a:prstGeom prst="rect">
                      <a:avLst/>
                    </a:prstGeom>
                    <a:noFill/>
                    <a:ln>
                      <a:noFill/>
                    </a:ln>
                  </pic:spPr>
                </pic:pic>
              </a:graphicData>
            </a:graphic>
          </wp:inline>
        </w:drawing>
      </w:r>
    </w:p>
    <w:p w14:paraId="757A3345" w14:textId="77777777" w:rsidR="00B00400" w:rsidRPr="00BD1319" w:rsidRDefault="00B00400" w:rsidP="00B00400">
      <w:pPr>
        <w:pStyle w:val="Prrafodelista"/>
        <w:numPr>
          <w:ilvl w:val="12"/>
          <w:numId w:val="87"/>
        </w:numPr>
        <w:tabs>
          <w:tab w:val="left" w:pos="-2268"/>
        </w:tabs>
        <w:suppressAutoHyphens/>
        <w:jc w:val="center"/>
        <w:rPr>
          <w:b/>
          <w:spacing w:val="-3"/>
          <w:sz w:val="20"/>
          <w:szCs w:val="28"/>
          <w:lang w:val="es-CO"/>
        </w:rPr>
      </w:pPr>
      <w:r w:rsidRPr="00BD1319">
        <w:rPr>
          <w:b/>
          <w:bCs/>
          <w:spacing w:val="-3"/>
          <w:sz w:val="20"/>
          <w:szCs w:val="28"/>
          <w:lang w:val="es-CO"/>
        </w:rPr>
        <w:t>Fuente:</w:t>
      </w:r>
      <w:r w:rsidRPr="00BD1319">
        <w:rPr>
          <w:spacing w:val="-3"/>
          <w:sz w:val="20"/>
          <w:szCs w:val="28"/>
          <w:lang w:val="es-CO"/>
        </w:rPr>
        <w:t xml:space="preserve"> Johansson (1974), citado por </w:t>
      </w:r>
      <w:proofErr w:type="spellStart"/>
      <w:r w:rsidRPr="00BD1319">
        <w:rPr>
          <w:spacing w:val="-3"/>
          <w:sz w:val="20"/>
          <w:szCs w:val="28"/>
          <w:lang w:val="es-CO"/>
        </w:rPr>
        <w:t>Gradstein</w:t>
      </w:r>
      <w:proofErr w:type="spellEnd"/>
      <w:r w:rsidRPr="00BD1319">
        <w:rPr>
          <w:spacing w:val="-3"/>
          <w:sz w:val="20"/>
          <w:szCs w:val="28"/>
          <w:lang w:val="es-CO"/>
        </w:rPr>
        <w:t xml:space="preserve"> et al. (2003).</w:t>
      </w:r>
    </w:p>
    <w:p w14:paraId="79F6DB44" w14:textId="77777777" w:rsidR="00482A5F" w:rsidRPr="00BD1319" w:rsidRDefault="00482A5F" w:rsidP="00C86DA5">
      <w:pPr>
        <w:tabs>
          <w:tab w:val="left" w:pos="-2268"/>
        </w:tabs>
        <w:suppressAutoHyphens/>
        <w:rPr>
          <w:spacing w:val="-3"/>
        </w:rPr>
      </w:pPr>
    </w:p>
    <w:p w14:paraId="3F98CDD6" w14:textId="50316C7C" w:rsidR="0018357F" w:rsidRPr="00BD1319" w:rsidRDefault="00482A5F" w:rsidP="003A7E0A">
      <w:pPr>
        <w:numPr>
          <w:ilvl w:val="12"/>
          <w:numId w:val="0"/>
        </w:numPr>
        <w:tabs>
          <w:tab w:val="left" w:pos="-2268"/>
        </w:tabs>
        <w:suppressAutoHyphens/>
        <w:ind w:left="567"/>
        <w:rPr>
          <w:spacing w:val="-3"/>
        </w:rPr>
      </w:pPr>
      <w:r w:rsidRPr="00BD1319">
        <w:rPr>
          <w:spacing w:val="-3"/>
        </w:rPr>
        <w:t xml:space="preserve">Deben tomarse muestras botánicas de </w:t>
      </w:r>
      <w:r w:rsidRPr="00BD1319">
        <w:rPr>
          <w:rFonts w:cs="Arial"/>
          <w:spacing w:val="-3"/>
        </w:rPr>
        <w:t xml:space="preserve">todas </w:t>
      </w:r>
      <w:r w:rsidRPr="00BD1319">
        <w:rPr>
          <w:spacing w:val="-3"/>
        </w:rPr>
        <w:t xml:space="preserve">las especies </w:t>
      </w:r>
      <w:r w:rsidR="00007A22" w:rsidRPr="00BD1319">
        <w:rPr>
          <w:spacing w:val="-3"/>
        </w:rPr>
        <w:t xml:space="preserve">de </w:t>
      </w:r>
      <w:r w:rsidR="00007A22" w:rsidRPr="00BD1319">
        <w:rPr>
          <w:rFonts w:cs="Arial"/>
          <w:spacing w:val="-3"/>
        </w:rPr>
        <w:t xml:space="preserve">flora vascular </w:t>
      </w:r>
      <w:r w:rsidR="0018357F" w:rsidRPr="00BD1319">
        <w:rPr>
          <w:spacing w:val="-3"/>
        </w:rPr>
        <w:t>y de líquenes registradas en campo,</w:t>
      </w:r>
      <w:r w:rsidR="0018357F" w:rsidRPr="00BD1319">
        <w:rPr>
          <w:rFonts w:cs="Arial"/>
          <w:spacing w:val="-3"/>
        </w:rPr>
        <w:t xml:space="preserve"> </w:t>
      </w:r>
      <w:r w:rsidR="00627791" w:rsidRPr="00BD1319">
        <w:rPr>
          <w:rFonts w:cs="Arial"/>
          <w:spacing w:val="-3"/>
        </w:rPr>
        <w:t xml:space="preserve">a fin de contar con un testigo de todas </w:t>
      </w:r>
      <w:r w:rsidR="0018357F" w:rsidRPr="00BD1319">
        <w:rPr>
          <w:spacing w:val="-3"/>
        </w:rPr>
        <w:t xml:space="preserve">ellas </w:t>
      </w:r>
      <w:r w:rsidR="00627791" w:rsidRPr="00BD1319">
        <w:rPr>
          <w:rFonts w:cs="Arial"/>
          <w:spacing w:val="-3"/>
        </w:rPr>
        <w:t xml:space="preserve">y de realizar su </w:t>
      </w:r>
      <w:r w:rsidRPr="00BD1319">
        <w:rPr>
          <w:rFonts w:cs="Arial"/>
          <w:spacing w:val="-3"/>
        </w:rPr>
        <w:t>determina</w:t>
      </w:r>
      <w:r w:rsidR="00627791" w:rsidRPr="00BD1319">
        <w:rPr>
          <w:rFonts w:cs="Arial"/>
          <w:spacing w:val="-3"/>
        </w:rPr>
        <w:t xml:space="preserve">ción taxonómica, ya sea </w:t>
      </w:r>
      <w:r w:rsidRPr="00BD1319">
        <w:rPr>
          <w:rFonts w:cs="Arial"/>
          <w:spacing w:val="-3"/>
        </w:rPr>
        <w:t xml:space="preserve">en </w:t>
      </w:r>
      <w:r w:rsidR="00627791" w:rsidRPr="00BD1319">
        <w:rPr>
          <w:rFonts w:cs="Arial"/>
          <w:spacing w:val="-3"/>
        </w:rPr>
        <w:t>u</w:t>
      </w:r>
      <w:r w:rsidRPr="00BD1319">
        <w:rPr>
          <w:rFonts w:cs="Arial"/>
          <w:spacing w:val="-3"/>
        </w:rPr>
        <w:t xml:space="preserve">n herbario </w:t>
      </w:r>
      <w:r w:rsidR="005B624E" w:rsidRPr="00BD1319">
        <w:rPr>
          <w:rFonts w:cs="Arial"/>
          <w:spacing w:val="-3"/>
        </w:rPr>
        <w:t xml:space="preserve">o </w:t>
      </w:r>
      <w:r w:rsidR="00DD2839" w:rsidRPr="00BD1319">
        <w:rPr>
          <w:rFonts w:cs="Arial"/>
          <w:spacing w:val="-3"/>
        </w:rPr>
        <w:t xml:space="preserve">mediante los servicios de </w:t>
      </w:r>
      <w:r w:rsidR="005B624E" w:rsidRPr="00BD1319">
        <w:rPr>
          <w:rFonts w:cs="Arial"/>
          <w:spacing w:val="-3"/>
        </w:rPr>
        <w:t>un experto especialista en el grupo taxonómico.</w:t>
      </w:r>
    </w:p>
    <w:p w14:paraId="23ECD994" w14:textId="0790C79E" w:rsidR="00482A5F" w:rsidRPr="00BD1319" w:rsidRDefault="00482A5F" w:rsidP="000D6E21">
      <w:pPr>
        <w:numPr>
          <w:ilvl w:val="12"/>
          <w:numId w:val="0"/>
        </w:numPr>
        <w:tabs>
          <w:tab w:val="left" w:pos="-2268"/>
        </w:tabs>
        <w:suppressAutoHyphens/>
        <w:rPr>
          <w:spacing w:val="-3"/>
        </w:rPr>
      </w:pPr>
    </w:p>
    <w:p w14:paraId="2B849E7B" w14:textId="7FEDA666" w:rsidR="00482A5F" w:rsidRPr="00BD1319" w:rsidRDefault="00482A5F" w:rsidP="0049660B">
      <w:pPr>
        <w:numPr>
          <w:ilvl w:val="12"/>
          <w:numId w:val="0"/>
        </w:numPr>
        <w:tabs>
          <w:tab w:val="left" w:pos="-2268"/>
        </w:tabs>
        <w:suppressAutoHyphens/>
        <w:ind w:left="567"/>
        <w:rPr>
          <w:rFonts w:cs="Arial"/>
          <w:spacing w:val="-3"/>
        </w:rPr>
      </w:pPr>
      <w:r w:rsidRPr="00BD1319">
        <w:rPr>
          <w:rFonts w:cs="Arial"/>
          <w:spacing w:val="-3"/>
        </w:rPr>
        <w:t>L</w:t>
      </w:r>
      <w:r w:rsidR="00DF65F4" w:rsidRPr="00BD1319">
        <w:rPr>
          <w:rFonts w:cs="Arial"/>
          <w:spacing w:val="-3"/>
        </w:rPr>
        <w:t xml:space="preserve">a información </w:t>
      </w:r>
      <w:r w:rsidRPr="00BD1319">
        <w:rPr>
          <w:rFonts w:cs="Arial"/>
          <w:spacing w:val="-3"/>
        </w:rPr>
        <w:t>resultante de la fase de campo se debe contrastar con los listados realizados en la fase previa de revisión de información secundaria</w:t>
      </w:r>
      <w:r w:rsidR="00457A51" w:rsidRPr="00BD1319">
        <w:rPr>
          <w:rFonts w:cs="Arial"/>
          <w:spacing w:val="-3"/>
        </w:rPr>
        <w:t>,</w:t>
      </w:r>
      <w:r w:rsidRPr="00BD1319">
        <w:rPr>
          <w:rFonts w:cs="Arial"/>
          <w:spacing w:val="-3"/>
        </w:rPr>
        <w:t xml:space="preserve"> con el fin de verificar y confirmar </w:t>
      </w:r>
      <w:r w:rsidR="00DD2839" w:rsidRPr="00BD1319">
        <w:rPr>
          <w:rFonts w:cs="Arial"/>
          <w:spacing w:val="-3"/>
        </w:rPr>
        <w:t xml:space="preserve">la diversidad biológica, </w:t>
      </w:r>
      <w:r w:rsidRPr="00BD1319">
        <w:rPr>
          <w:rFonts w:cs="Arial"/>
          <w:spacing w:val="-3"/>
        </w:rPr>
        <w:t>l</w:t>
      </w:r>
      <w:r w:rsidR="00DF65F4" w:rsidRPr="00BD1319">
        <w:rPr>
          <w:rFonts w:cs="Arial"/>
          <w:spacing w:val="-3"/>
        </w:rPr>
        <w:t>as</w:t>
      </w:r>
      <w:r w:rsidRPr="00BD1319">
        <w:rPr>
          <w:rFonts w:cs="Arial"/>
          <w:spacing w:val="-3"/>
        </w:rPr>
        <w:t xml:space="preserve"> distribuci</w:t>
      </w:r>
      <w:r w:rsidR="00DF65F4" w:rsidRPr="00BD1319">
        <w:rPr>
          <w:rFonts w:cs="Arial"/>
          <w:spacing w:val="-3"/>
        </w:rPr>
        <w:t xml:space="preserve">ones </w:t>
      </w:r>
      <w:r w:rsidRPr="00BD1319">
        <w:rPr>
          <w:rFonts w:cs="Arial"/>
          <w:spacing w:val="-3"/>
        </w:rPr>
        <w:t>geográfica</w:t>
      </w:r>
      <w:r w:rsidR="00DF65F4" w:rsidRPr="00BD1319">
        <w:rPr>
          <w:rFonts w:cs="Arial"/>
          <w:spacing w:val="-3"/>
        </w:rPr>
        <w:t>s</w:t>
      </w:r>
      <w:r w:rsidR="00DD2839" w:rsidRPr="00BD1319">
        <w:rPr>
          <w:rFonts w:cs="Arial"/>
          <w:spacing w:val="-3"/>
        </w:rPr>
        <w:t xml:space="preserve"> y las especies en amenaza, veda o</w:t>
      </w:r>
      <w:r w:rsidRPr="00BD1319">
        <w:rPr>
          <w:rFonts w:cs="Arial"/>
          <w:spacing w:val="-3"/>
        </w:rPr>
        <w:t xml:space="preserve"> end</w:t>
      </w:r>
      <w:r w:rsidR="00DD2839" w:rsidRPr="00BD1319">
        <w:rPr>
          <w:rFonts w:cs="Arial"/>
          <w:spacing w:val="-3"/>
        </w:rPr>
        <w:t>émicas</w:t>
      </w:r>
      <w:r w:rsidRPr="00BD1319">
        <w:rPr>
          <w:rFonts w:cs="Arial"/>
          <w:spacing w:val="-3"/>
        </w:rPr>
        <w:t>.</w:t>
      </w:r>
    </w:p>
    <w:p w14:paraId="19C0A41C" w14:textId="77777777" w:rsidR="00482A5F" w:rsidRPr="00BD1319" w:rsidRDefault="00482A5F">
      <w:pPr>
        <w:numPr>
          <w:ilvl w:val="12"/>
          <w:numId w:val="0"/>
        </w:numPr>
        <w:tabs>
          <w:tab w:val="left" w:pos="-2268"/>
        </w:tabs>
        <w:suppressAutoHyphens/>
        <w:rPr>
          <w:spacing w:val="-3"/>
        </w:rPr>
      </w:pPr>
    </w:p>
    <w:p w14:paraId="0E648E55" w14:textId="40660458" w:rsidR="00482A5F" w:rsidRPr="00BD1319" w:rsidRDefault="00482A5F">
      <w:pPr>
        <w:tabs>
          <w:tab w:val="left" w:pos="-2268"/>
        </w:tabs>
        <w:suppressAutoHyphens/>
        <w:rPr>
          <w:spacing w:val="-3"/>
          <w:u w:val="single"/>
        </w:rPr>
      </w:pPr>
      <w:r w:rsidRPr="00BD1319">
        <w:rPr>
          <w:spacing w:val="-3"/>
          <w:u w:val="single"/>
        </w:rPr>
        <w:t>Fase de análisis:</w:t>
      </w:r>
    </w:p>
    <w:p w14:paraId="42B50348" w14:textId="77777777" w:rsidR="00482A5F" w:rsidRPr="00BD1319" w:rsidRDefault="00482A5F">
      <w:pPr>
        <w:numPr>
          <w:ilvl w:val="12"/>
          <w:numId w:val="0"/>
        </w:numPr>
        <w:tabs>
          <w:tab w:val="left" w:pos="-2268"/>
        </w:tabs>
        <w:suppressAutoHyphens/>
        <w:rPr>
          <w:spacing w:val="-3"/>
        </w:rPr>
      </w:pPr>
    </w:p>
    <w:p w14:paraId="354BC809" w14:textId="060F7671" w:rsidR="00482A5F" w:rsidRPr="00BD1319" w:rsidRDefault="00482A5F" w:rsidP="00482A5F">
      <w:pPr>
        <w:numPr>
          <w:ilvl w:val="12"/>
          <w:numId w:val="0"/>
        </w:numPr>
        <w:tabs>
          <w:tab w:val="left" w:pos="-2268"/>
        </w:tabs>
        <w:suppressAutoHyphens/>
        <w:rPr>
          <w:rFonts w:cs="Arial"/>
          <w:spacing w:val="-3"/>
        </w:rPr>
      </w:pPr>
      <w:r w:rsidRPr="00BD1319">
        <w:rPr>
          <w:rFonts w:cs="Arial"/>
          <w:spacing w:val="-3"/>
        </w:rPr>
        <w:t>La fase de análisis se aborda bajo las mismas generalidades para las especies vasculares</w:t>
      </w:r>
      <w:r w:rsidR="003A7E0A" w:rsidRPr="00BD1319">
        <w:rPr>
          <w:rFonts w:cs="Arial"/>
          <w:spacing w:val="-3"/>
        </w:rPr>
        <w:t>,</w:t>
      </w:r>
      <w:r w:rsidRPr="00BD1319">
        <w:rPr>
          <w:rFonts w:cs="Arial"/>
          <w:spacing w:val="-3"/>
        </w:rPr>
        <w:t xml:space="preserve"> no vasculares </w:t>
      </w:r>
      <w:r w:rsidR="003A7E0A" w:rsidRPr="00BD1319">
        <w:rPr>
          <w:rFonts w:cs="Arial"/>
          <w:spacing w:val="-3"/>
        </w:rPr>
        <w:t xml:space="preserve">y líquenes de hábito </w:t>
      </w:r>
      <w:r w:rsidRPr="00BD1319">
        <w:rPr>
          <w:rFonts w:cs="Arial"/>
          <w:spacing w:val="-3"/>
        </w:rPr>
        <w:t>ep</w:t>
      </w:r>
      <w:r w:rsidR="00DF65F4" w:rsidRPr="00BD1319">
        <w:rPr>
          <w:rFonts w:cs="Arial"/>
          <w:spacing w:val="-3"/>
        </w:rPr>
        <w:t>í</w:t>
      </w:r>
      <w:r w:rsidRPr="00BD1319">
        <w:rPr>
          <w:rFonts w:cs="Arial"/>
          <w:spacing w:val="-3"/>
        </w:rPr>
        <w:t>fit</w:t>
      </w:r>
      <w:r w:rsidR="003A7E0A" w:rsidRPr="00BD1319">
        <w:rPr>
          <w:rFonts w:cs="Arial"/>
          <w:spacing w:val="-3"/>
        </w:rPr>
        <w:t>o</w:t>
      </w:r>
      <w:r w:rsidR="00DF65F4" w:rsidRPr="00BD1319">
        <w:rPr>
          <w:rFonts w:cs="Arial"/>
          <w:spacing w:val="-3"/>
        </w:rPr>
        <w:t xml:space="preserve">, </w:t>
      </w:r>
      <w:r w:rsidRPr="00BD1319">
        <w:rPr>
          <w:rFonts w:cs="Arial"/>
          <w:spacing w:val="-3"/>
        </w:rPr>
        <w:t>terrestre y rupícola.</w:t>
      </w:r>
    </w:p>
    <w:p w14:paraId="3745C3CF" w14:textId="77777777" w:rsidR="00482A5F" w:rsidRPr="00BD1319" w:rsidRDefault="00482A5F" w:rsidP="00482A5F">
      <w:pPr>
        <w:numPr>
          <w:ilvl w:val="12"/>
          <w:numId w:val="0"/>
        </w:numPr>
        <w:tabs>
          <w:tab w:val="left" w:pos="-2268"/>
        </w:tabs>
        <w:suppressAutoHyphens/>
        <w:rPr>
          <w:rFonts w:cs="Arial"/>
          <w:spacing w:val="-3"/>
        </w:rPr>
      </w:pPr>
    </w:p>
    <w:p w14:paraId="3F4AE568" w14:textId="35991CFC" w:rsidR="002C3DFC" w:rsidRPr="00BD1319" w:rsidRDefault="00E55979">
      <w:pPr>
        <w:numPr>
          <w:ilvl w:val="12"/>
          <w:numId w:val="0"/>
        </w:numPr>
        <w:tabs>
          <w:tab w:val="left" w:pos="-2268"/>
        </w:tabs>
        <w:suppressAutoHyphens/>
        <w:rPr>
          <w:rFonts w:cs="Arial"/>
          <w:spacing w:val="-3"/>
        </w:rPr>
      </w:pPr>
      <w:r w:rsidRPr="00BD1319">
        <w:rPr>
          <w:rFonts w:cs="Arial"/>
          <w:spacing w:val="-3"/>
        </w:rPr>
        <w:t xml:space="preserve">Para la </w:t>
      </w:r>
      <w:r w:rsidR="006B796B" w:rsidRPr="00BD1319">
        <w:rPr>
          <w:rFonts w:cs="Arial"/>
          <w:spacing w:val="-3"/>
        </w:rPr>
        <w:t xml:space="preserve">determinación </w:t>
      </w:r>
      <w:r w:rsidRPr="00BD1319">
        <w:rPr>
          <w:rFonts w:cs="Arial"/>
          <w:spacing w:val="-3"/>
        </w:rPr>
        <w:t xml:space="preserve">de los especímenes colectados se deben consultar colecciones </w:t>
      </w:r>
      <w:r w:rsidR="003A7E0A" w:rsidRPr="00BD1319">
        <w:rPr>
          <w:rFonts w:cs="Arial"/>
        </w:rPr>
        <w:t xml:space="preserve">o </w:t>
      </w:r>
      <w:r w:rsidR="0041783C" w:rsidRPr="00BD1319">
        <w:rPr>
          <w:rFonts w:cs="Arial"/>
        </w:rPr>
        <w:t>textos científicos</w:t>
      </w:r>
      <w:r w:rsidR="003A7E0A" w:rsidRPr="00BD1319">
        <w:rPr>
          <w:rFonts w:cs="Arial"/>
        </w:rPr>
        <w:t xml:space="preserve"> </w:t>
      </w:r>
      <w:r w:rsidR="0041783C" w:rsidRPr="00BD1319">
        <w:rPr>
          <w:rFonts w:cs="Arial"/>
        </w:rPr>
        <w:t xml:space="preserve">enfocados </w:t>
      </w:r>
      <w:r w:rsidRPr="00BD1319">
        <w:rPr>
          <w:rFonts w:cs="Arial"/>
          <w:spacing w:val="-3"/>
        </w:rPr>
        <w:t xml:space="preserve">en estos grupos de plantas y </w:t>
      </w:r>
      <w:r w:rsidR="002C3DFC" w:rsidRPr="00BD1319">
        <w:rPr>
          <w:rFonts w:cs="Arial"/>
          <w:spacing w:val="-3"/>
        </w:rPr>
        <w:t xml:space="preserve">en </w:t>
      </w:r>
      <w:r w:rsidRPr="00BD1319">
        <w:rPr>
          <w:rFonts w:cs="Arial"/>
          <w:spacing w:val="-3"/>
        </w:rPr>
        <w:t>líquenes</w:t>
      </w:r>
      <w:r w:rsidR="002C3DFC" w:rsidRPr="00BD1319">
        <w:rPr>
          <w:rFonts w:cs="Arial"/>
          <w:spacing w:val="-3"/>
        </w:rPr>
        <w:t xml:space="preserve">, pueden consultarse los documentos de </w:t>
      </w:r>
      <w:proofErr w:type="spellStart"/>
      <w:r w:rsidR="002C3DFC" w:rsidRPr="00BD1319">
        <w:rPr>
          <w:rFonts w:cs="Arial"/>
          <w:spacing w:val="-3"/>
        </w:rPr>
        <w:t>Gradstein</w:t>
      </w:r>
      <w:proofErr w:type="spellEnd"/>
      <w:r w:rsidR="002C3DFC" w:rsidRPr="00BD1319">
        <w:rPr>
          <w:rFonts w:cs="Arial"/>
          <w:spacing w:val="-3"/>
        </w:rPr>
        <w:t xml:space="preserve"> (20</w:t>
      </w:r>
      <w:r w:rsidR="00100DDF" w:rsidRPr="00BD1319">
        <w:rPr>
          <w:rFonts w:cs="Arial"/>
          <w:spacing w:val="-3"/>
        </w:rPr>
        <w:t>0</w:t>
      </w:r>
      <w:r w:rsidR="002C3DFC" w:rsidRPr="00BD1319">
        <w:rPr>
          <w:rFonts w:cs="Arial"/>
          <w:spacing w:val="-3"/>
        </w:rPr>
        <w:t>1), Churchill et al. (2020</w:t>
      </w:r>
      <w:r w:rsidR="004023C8" w:rsidRPr="00BD1319">
        <w:rPr>
          <w:rFonts w:cs="Arial"/>
          <w:spacing w:val="-3"/>
        </w:rPr>
        <w:t>a, 2020b</w:t>
      </w:r>
      <w:r w:rsidR="002C3DFC" w:rsidRPr="00BD1319">
        <w:rPr>
          <w:rFonts w:cs="Arial"/>
          <w:spacing w:val="-3"/>
        </w:rPr>
        <w:t>) y l</w:t>
      </w:r>
      <w:r w:rsidR="00B67A75" w:rsidRPr="00BD1319">
        <w:rPr>
          <w:rFonts w:cs="Arial"/>
          <w:spacing w:val="-3"/>
        </w:rPr>
        <w:t>a serie Colombia Diversidad Biótica</w:t>
      </w:r>
      <w:r w:rsidR="002C3DFC" w:rsidRPr="00BD1319">
        <w:rPr>
          <w:rFonts w:cs="Arial"/>
          <w:spacing w:val="-3"/>
        </w:rPr>
        <w:t>, entre otros</w:t>
      </w:r>
      <w:r w:rsidRPr="00BD1319">
        <w:rPr>
          <w:rFonts w:cs="Arial"/>
          <w:spacing w:val="-3"/>
        </w:rPr>
        <w:t>.</w:t>
      </w:r>
      <w:r w:rsidRPr="00BD1319">
        <w:rPr>
          <w:spacing w:val="-3"/>
        </w:rPr>
        <w:t xml:space="preserve"> Las determinaciones taxonómicas </w:t>
      </w:r>
      <w:r w:rsidRPr="00BD1319">
        <w:rPr>
          <w:rFonts w:cs="Arial"/>
          <w:spacing w:val="-3"/>
        </w:rPr>
        <w:t xml:space="preserve">deben contar con una certificación de </w:t>
      </w:r>
      <w:r w:rsidR="002C3DFC" w:rsidRPr="00BD1319">
        <w:rPr>
          <w:rFonts w:cs="Arial"/>
          <w:spacing w:val="-3"/>
        </w:rPr>
        <w:t xml:space="preserve">un </w:t>
      </w:r>
      <w:r w:rsidRPr="00BD1319">
        <w:rPr>
          <w:rFonts w:cs="Arial"/>
          <w:spacing w:val="-3"/>
        </w:rPr>
        <w:t>herbario inscrito en el registro nacional de colecciones del Instituto Humboldt o de un especialista experto en el grupo taxonómico</w:t>
      </w:r>
      <w:r w:rsidR="002C3DFC" w:rsidRPr="00BD1319">
        <w:rPr>
          <w:rFonts w:cs="Arial"/>
        </w:rPr>
        <w:t xml:space="preserve"> que, certifique su experiencia, señale la bibliografía u otras herramientas utilizadas </w:t>
      </w:r>
      <w:r w:rsidR="002C3DFC" w:rsidRPr="00BD1319">
        <w:rPr>
          <w:rFonts w:cs="Arial"/>
        </w:rPr>
        <w:lastRenderedPageBreak/>
        <w:t>en el proceso de determinación y justifique</w:t>
      </w:r>
      <w:r w:rsidR="00AE6A91" w:rsidRPr="00BD1319">
        <w:rPr>
          <w:rFonts w:cs="Arial"/>
        </w:rPr>
        <w:t>, en caso de necesidad,</w:t>
      </w:r>
      <w:r w:rsidR="002C3DFC" w:rsidRPr="00BD1319">
        <w:rPr>
          <w:rFonts w:cs="Arial"/>
        </w:rPr>
        <w:t xml:space="preserve"> las razones por las cuales no </w:t>
      </w:r>
      <w:r w:rsidR="00AE6A91" w:rsidRPr="00BD1319">
        <w:rPr>
          <w:rFonts w:cs="Arial"/>
        </w:rPr>
        <w:t xml:space="preserve">fue </w:t>
      </w:r>
      <w:r w:rsidR="002C3DFC" w:rsidRPr="00BD1319">
        <w:rPr>
          <w:rFonts w:cs="Arial"/>
        </w:rPr>
        <w:t>posible la determinación taxonómica a nivel de especie</w:t>
      </w:r>
      <w:r w:rsidR="00AE6A91" w:rsidRPr="00BD1319">
        <w:rPr>
          <w:rFonts w:cs="Arial"/>
        </w:rPr>
        <w:t>. E</w:t>
      </w:r>
      <w:r w:rsidR="002C3DFC" w:rsidRPr="00BD1319">
        <w:rPr>
          <w:rFonts w:cs="Arial"/>
          <w:spacing w:val="-3"/>
        </w:rPr>
        <w:t xml:space="preserve">l certificado de determinación </w:t>
      </w:r>
      <w:r w:rsidR="00DE34D4" w:rsidRPr="00BD1319">
        <w:rPr>
          <w:rFonts w:cs="Arial"/>
          <w:spacing w:val="-3"/>
        </w:rPr>
        <w:t>taxonómica</w:t>
      </w:r>
      <w:r w:rsidR="002C3DFC" w:rsidRPr="00BD1319">
        <w:rPr>
          <w:rFonts w:cs="Arial"/>
          <w:spacing w:val="-3"/>
        </w:rPr>
        <w:t xml:space="preserve"> debe incluir como mínimo:</w:t>
      </w:r>
    </w:p>
    <w:p w14:paraId="019E8A4C" w14:textId="77777777" w:rsidR="002C3DFC" w:rsidRPr="00BD1319" w:rsidRDefault="002C3DFC">
      <w:pPr>
        <w:numPr>
          <w:ilvl w:val="12"/>
          <w:numId w:val="0"/>
        </w:numPr>
        <w:tabs>
          <w:tab w:val="left" w:pos="-2268"/>
        </w:tabs>
        <w:suppressAutoHyphens/>
        <w:rPr>
          <w:rFonts w:cs="Arial"/>
          <w:spacing w:val="-3"/>
        </w:rPr>
      </w:pPr>
    </w:p>
    <w:p w14:paraId="3E632979" w14:textId="1A2A0BC3" w:rsidR="00AE6A91" w:rsidRPr="00BD1319" w:rsidRDefault="00AE6A91" w:rsidP="00AE6A91">
      <w:pPr>
        <w:pStyle w:val="Prrafodelista"/>
        <w:numPr>
          <w:ilvl w:val="0"/>
          <w:numId w:val="59"/>
        </w:numPr>
        <w:ind w:left="567" w:hanging="567"/>
        <w:jc w:val="left"/>
        <w:rPr>
          <w:rFonts w:cs="Arial"/>
          <w:spacing w:val="-3"/>
          <w:lang w:val="es-CO"/>
        </w:rPr>
      </w:pPr>
      <w:r w:rsidRPr="00BD1319">
        <w:rPr>
          <w:rFonts w:cs="Arial"/>
          <w:spacing w:val="-3"/>
          <w:lang w:val="es-CO"/>
        </w:rPr>
        <w:t>Nombre del herbario o del especialista</w:t>
      </w:r>
    </w:p>
    <w:p w14:paraId="7AD67586" w14:textId="77777777" w:rsidR="00AE6A91" w:rsidRPr="00BD1319" w:rsidRDefault="00AE6A91" w:rsidP="008A4FE9">
      <w:pPr>
        <w:jc w:val="left"/>
        <w:rPr>
          <w:rFonts w:cs="Arial"/>
          <w:spacing w:val="-3"/>
        </w:rPr>
      </w:pPr>
    </w:p>
    <w:p w14:paraId="7D3AE7FD" w14:textId="7E26C0F4" w:rsidR="00AE6A91" w:rsidRPr="00BD1319" w:rsidRDefault="00AE6A91" w:rsidP="008A4FE9">
      <w:pPr>
        <w:pStyle w:val="Prrafodelista"/>
        <w:numPr>
          <w:ilvl w:val="0"/>
          <w:numId w:val="59"/>
        </w:numPr>
        <w:ind w:left="567" w:hanging="567"/>
        <w:jc w:val="left"/>
        <w:rPr>
          <w:rFonts w:cs="Arial"/>
          <w:spacing w:val="-3"/>
        </w:rPr>
      </w:pPr>
      <w:r w:rsidRPr="00BD1319">
        <w:rPr>
          <w:rFonts w:cs="Arial"/>
          <w:spacing w:val="-3"/>
          <w:lang w:val="es-CO"/>
        </w:rPr>
        <w:t>Fecha de emisión</w:t>
      </w:r>
    </w:p>
    <w:p w14:paraId="24B20E89" w14:textId="77777777" w:rsidR="00AE6A91" w:rsidRPr="00BD1319" w:rsidRDefault="00AE6A91" w:rsidP="008A4FE9">
      <w:pPr>
        <w:jc w:val="left"/>
        <w:rPr>
          <w:rFonts w:cs="Arial"/>
          <w:spacing w:val="-3"/>
        </w:rPr>
      </w:pPr>
    </w:p>
    <w:p w14:paraId="57E2C5C0" w14:textId="2256415E" w:rsidR="00AE6A91" w:rsidRPr="00BD1319" w:rsidRDefault="00AE6A91" w:rsidP="008A4FE9">
      <w:pPr>
        <w:pStyle w:val="Prrafodelista"/>
        <w:numPr>
          <w:ilvl w:val="0"/>
          <w:numId w:val="59"/>
        </w:numPr>
        <w:ind w:left="567" w:hanging="567"/>
        <w:jc w:val="left"/>
        <w:rPr>
          <w:rFonts w:cs="Arial"/>
          <w:spacing w:val="-3"/>
        </w:rPr>
      </w:pPr>
      <w:r w:rsidRPr="00BD1319">
        <w:rPr>
          <w:rFonts w:cs="Arial"/>
          <w:spacing w:val="-3"/>
          <w:lang w:val="es-CO"/>
        </w:rPr>
        <w:t>Nombre del proyecto, obra o actividad y la empresa que solicita el certificado</w:t>
      </w:r>
    </w:p>
    <w:p w14:paraId="568A26C7" w14:textId="77777777" w:rsidR="00AE6A91" w:rsidRPr="00BD1319" w:rsidRDefault="00AE6A91" w:rsidP="008A4FE9">
      <w:pPr>
        <w:jc w:val="left"/>
        <w:rPr>
          <w:rFonts w:cs="Arial"/>
          <w:spacing w:val="-3"/>
        </w:rPr>
      </w:pPr>
    </w:p>
    <w:p w14:paraId="31C945DF" w14:textId="6916822A" w:rsidR="00AE6A91" w:rsidRPr="00BD1319" w:rsidRDefault="00AE6A91" w:rsidP="008A4FE9">
      <w:pPr>
        <w:pStyle w:val="Prrafodelista"/>
        <w:numPr>
          <w:ilvl w:val="0"/>
          <w:numId w:val="59"/>
        </w:numPr>
        <w:ind w:left="567" w:hanging="567"/>
        <w:jc w:val="left"/>
        <w:rPr>
          <w:rFonts w:cs="Arial"/>
          <w:spacing w:val="-3"/>
        </w:rPr>
      </w:pPr>
      <w:r w:rsidRPr="00BD1319">
        <w:rPr>
          <w:rFonts w:cs="Arial"/>
          <w:spacing w:val="-3"/>
          <w:lang w:val="es-CO"/>
        </w:rPr>
        <w:t xml:space="preserve">Cantidad total de especímenes </w:t>
      </w:r>
      <w:r w:rsidR="00DE34D4" w:rsidRPr="00BD1319">
        <w:rPr>
          <w:rFonts w:cs="Arial"/>
          <w:spacing w:val="-3"/>
          <w:lang w:val="es-CO"/>
        </w:rPr>
        <w:t>determina</w:t>
      </w:r>
      <w:r w:rsidRPr="00BD1319">
        <w:rPr>
          <w:rFonts w:cs="Arial"/>
          <w:spacing w:val="-3"/>
          <w:lang w:val="es-CO"/>
        </w:rPr>
        <w:t>dos por grupo</w:t>
      </w:r>
    </w:p>
    <w:p w14:paraId="51C8F699" w14:textId="77777777" w:rsidR="00AE6A91" w:rsidRPr="00BD1319" w:rsidRDefault="00AE6A91" w:rsidP="008A4FE9">
      <w:pPr>
        <w:jc w:val="left"/>
        <w:rPr>
          <w:rFonts w:cs="Arial"/>
          <w:spacing w:val="-3"/>
          <w:lang w:val="es-ES_tradnl"/>
        </w:rPr>
      </w:pPr>
    </w:p>
    <w:p w14:paraId="78516408" w14:textId="625E2BF3" w:rsidR="00AE6A91" w:rsidRPr="00BD1319" w:rsidRDefault="00AE6A91" w:rsidP="008A4FE9">
      <w:pPr>
        <w:pStyle w:val="Prrafodelista"/>
        <w:numPr>
          <w:ilvl w:val="0"/>
          <w:numId w:val="59"/>
        </w:numPr>
        <w:ind w:left="567" w:hanging="567"/>
        <w:jc w:val="left"/>
        <w:rPr>
          <w:rFonts w:cs="Arial"/>
          <w:spacing w:val="-3"/>
        </w:rPr>
      </w:pPr>
      <w:r w:rsidRPr="00BD1319">
        <w:rPr>
          <w:rFonts w:cs="Arial"/>
          <w:spacing w:val="-3"/>
          <w:lang w:val="es-CO"/>
        </w:rPr>
        <w:t>Listado de ejemplares determinados</w:t>
      </w:r>
    </w:p>
    <w:p w14:paraId="35563131" w14:textId="77777777" w:rsidR="00AE6A91" w:rsidRPr="00BD1319" w:rsidRDefault="00AE6A91">
      <w:pPr>
        <w:numPr>
          <w:ilvl w:val="12"/>
          <w:numId w:val="0"/>
        </w:numPr>
        <w:tabs>
          <w:tab w:val="left" w:pos="-2268"/>
        </w:tabs>
        <w:suppressAutoHyphens/>
        <w:rPr>
          <w:rFonts w:cs="Arial"/>
          <w:spacing w:val="-3"/>
        </w:rPr>
      </w:pPr>
    </w:p>
    <w:p w14:paraId="0A759B11" w14:textId="032E26F3" w:rsidR="00482A5F" w:rsidRPr="00BD1319" w:rsidRDefault="000A2A16">
      <w:pPr>
        <w:numPr>
          <w:ilvl w:val="12"/>
          <w:numId w:val="0"/>
        </w:numPr>
        <w:tabs>
          <w:tab w:val="left" w:pos="-2268"/>
        </w:tabs>
        <w:suppressAutoHyphens/>
        <w:rPr>
          <w:spacing w:val="-3"/>
        </w:rPr>
      </w:pPr>
      <w:r w:rsidRPr="00BD1319">
        <w:rPr>
          <w:spacing w:val="-3"/>
        </w:rPr>
        <w:t>A</w:t>
      </w:r>
      <w:r w:rsidR="00E55979" w:rsidRPr="00BD1319">
        <w:rPr>
          <w:spacing w:val="-3"/>
        </w:rPr>
        <w:t xml:space="preserve">dicionalmente, los registros biológicos de las especies observadas y recolectadas, posterior a su determinación taxonómica, deben ser </w:t>
      </w:r>
      <w:r w:rsidRPr="00BD1319">
        <w:rPr>
          <w:spacing w:val="-3"/>
        </w:rPr>
        <w:t xml:space="preserve">depositados en un herbario y </w:t>
      </w:r>
      <w:r w:rsidR="00E55979" w:rsidRPr="00BD1319">
        <w:rPr>
          <w:spacing w:val="-3"/>
        </w:rPr>
        <w:t xml:space="preserve">publicados como un conjunto de datos a través </w:t>
      </w:r>
      <w:r w:rsidR="003101D3" w:rsidRPr="00BD1319">
        <w:rPr>
          <w:spacing w:val="-3"/>
        </w:rPr>
        <w:t xml:space="preserve">de </w:t>
      </w:r>
      <w:proofErr w:type="spellStart"/>
      <w:r w:rsidR="00E55979" w:rsidRPr="00BD1319">
        <w:rPr>
          <w:spacing w:val="-3"/>
        </w:rPr>
        <w:t>SiB</w:t>
      </w:r>
      <w:proofErr w:type="spellEnd"/>
      <w:r w:rsidR="00E55979" w:rsidRPr="00BD1319">
        <w:rPr>
          <w:spacing w:val="-3"/>
        </w:rPr>
        <w:t xml:space="preserve"> Colombia siguiendo los lineamientos establecidos por este sistema, como parte de las obligaciones en cumplimiento del permiso de recolección de especímenes de la diversidad biológica bajo el cual se elabor</w:t>
      </w:r>
      <w:r w:rsidR="003101D3" w:rsidRPr="00BD1319">
        <w:rPr>
          <w:spacing w:val="-3"/>
        </w:rPr>
        <w:t>a</w:t>
      </w:r>
      <w:r w:rsidR="00E55979" w:rsidRPr="00BD1319">
        <w:rPr>
          <w:spacing w:val="-3"/>
        </w:rPr>
        <w:t xml:space="preserve"> el estudio ambiental.</w:t>
      </w:r>
    </w:p>
    <w:p w14:paraId="5CCA9DDC" w14:textId="77777777" w:rsidR="00482A5F" w:rsidRPr="00BD1319" w:rsidRDefault="00482A5F">
      <w:pPr>
        <w:numPr>
          <w:ilvl w:val="12"/>
          <w:numId w:val="0"/>
        </w:numPr>
        <w:tabs>
          <w:tab w:val="left" w:pos="-2268"/>
        </w:tabs>
        <w:suppressAutoHyphens/>
        <w:rPr>
          <w:spacing w:val="-3"/>
        </w:rPr>
      </w:pPr>
    </w:p>
    <w:p w14:paraId="5CDFD80C" w14:textId="6D045AC0" w:rsidR="0032038D" w:rsidRPr="00BD1319" w:rsidRDefault="00482A5F">
      <w:pPr>
        <w:numPr>
          <w:ilvl w:val="12"/>
          <w:numId w:val="0"/>
        </w:numPr>
        <w:tabs>
          <w:tab w:val="left" w:pos="-2268"/>
        </w:tabs>
        <w:suppressAutoHyphens/>
        <w:rPr>
          <w:spacing w:val="-3"/>
        </w:rPr>
      </w:pPr>
      <w:r w:rsidRPr="00BD1319">
        <w:rPr>
          <w:spacing w:val="-3"/>
        </w:rPr>
        <w:t>Después de c</w:t>
      </w:r>
      <w:r w:rsidR="007D7A77" w:rsidRPr="00BD1319">
        <w:rPr>
          <w:spacing w:val="-3"/>
        </w:rPr>
        <w:t xml:space="preserve">ontar </w:t>
      </w:r>
      <w:r w:rsidRPr="00BD1319">
        <w:rPr>
          <w:spacing w:val="-3"/>
        </w:rPr>
        <w:t xml:space="preserve">con la determinación </w:t>
      </w:r>
      <w:r w:rsidRPr="00BD1319">
        <w:rPr>
          <w:rFonts w:cs="Arial"/>
          <w:spacing w:val="-3"/>
        </w:rPr>
        <w:t>taxonómica</w:t>
      </w:r>
      <w:r w:rsidRPr="00BD1319">
        <w:rPr>
          <w:spacing w:val="-3"/>
        </w:rPr>
        <w:t xml:space="preserve"> de todo el material, se debe </w:t>
      </w:r>
      <w:r w:rsidR="0032038D" w:rsidRPr="00BD1319">
        <w:rPr>
          <w:spacing w:val="-3"/>
        </w:rPr>
        <w:t xml:space="preserve">consolidar una base de datos que señale por especie, </w:t>
      </w:r>
      <w:r w:rsidR="00AC06A1" w:rsidRPr="00BD1319">
        <w:rPr>
          <w:spacing w:val="-3"/>
        </w:rPr>
        <w:t>su</w:t>
      </w:r>
      <w:r w:rsidR="0032038D" w:rsidRPr="00BD1319">
        <w:rPr>
          <w:spacing w:val="-3"/>
        </w:rPr>
        <w:t xml:space="preserve"> </w:t>
      </w:r>
      <w:r w:rsidRPr="00BD1319">
        <w:rPr>
          <w:spacing w:val="-3"/>
        </w:rPr>
        <w:t xml:space="preserve">familia </w:t>
      </w:r>
      <w:r w:rsidRPr="00BD1319">
        <w:rPr>
          <w:rFonts w:cs="Arial"/>
          <w:spacing w:val="-3"/>
        </w:rPr>
        <w:t>taxonómica</w:t>
      </w:r>
      <w:r w:rsidRPr="00BD1319">
        <w:rPr>
          <w:spacing w:val="-3"/>
        </w:rPr>
        <w:t xml:space="preserve">, </w:t>
      </w:r>
      <w:r w:rsidR="0032038D" w:rsidRPr="00BD1319">
        <w:rPr>
          <w:spacing w:val="-3"/>
        </w:rPr>
        <w:t xml:space="preserve">nombres comunes, </w:t>
      </w:r>
      <w:r w:rsidRPr="00BD1319">
        <w:rPr>
          <w:spacing w:val="-3"/>
        </w:rPr>
        <w:t>hábito</w:t>
      </w:r>
      <w:r w:rsidR="0032038D" w:rsidRPr="00BD1319">
        <w:rPr>
          <w:spacing w:val="-3"/>
        </w:rPr>
        <w:t xml:space="preserve"> de crecimiento</w:t>
      </w:r>
      <w:r w:rsidRPr="00BD1319">
        <w:rPr>
          <w:spacing w:val="-3"/>
        </w:rPr>
        <w:t xml:space="preserve">, </w:t>
      </w:r>
      <w:r w:rsidR="0032038D" w:rsidRPr="00BD1319">
        <w:rPr>
          <w:spacing w:val="-3"/>
        </w:rPr>
        <w:t xml:space="preserve">abundancia, </w:t>
      </w:r>
      <w:r w:rsidR="0032038D" w:rsidRPr="00BD1319">
        <w:t>ecosistemas</w:t>
      </w:r>
      <w:r w:rsidR="0032038D" w:rsidRPr="00BD1319">
        <w:rPr>
          <w:spacing w:val="-3"/>
        </w:rPr>
        <w:t xml:space="preserve"> en los que se encuentra, </w:t>
      </w:r>
      <w:r w:rsidR="0032038D" w:rsidRPr="00BD1319">
        <w:t>localización geográfica</w:t>
      </w:r>
      <w:r w:rsidR="00B67A75" w:rsidRPr="00BD1319">
        <w:t xml:space="preserve"> </w:t>
      </w:r>
      <w:r w:rsidR="00AC06A1" w:rsidRPr="00BD1319">
        <w:t xml:space="preserve">de las </w:t>
      </w:r>
      <w:r w:rsidR="00B67A75" w:rsidRPr="00BD1319">
        <w:t>unidades de muestreo</w:t>
      </w:r>
      <w:r w:rsidR="00AC06A1" w:rsidRPr="00BD1319">
        <w:t xml:space="preserve"> en las que está presente</w:t>
      </w:r>
      <w:r w:rsidR="0032038D" w:rsidRPr="00BD1319">
        <w:t>,</w:t>
      </w:r>
      <w:r w:rsidR="0032038D" w:rsidRPr="00BD1319">
        <w:rPr>
          <w:spacing w:val="-3"/>
        </w:rPr>
        <w:t xml:space="preserve"> </w:t>
      </w:r>
      <w:r w:rsidRPr="00BD1319">
        <w:rPr>
          <w:rFonts w:cs="Arial"/>
          <w:spacing w:val="-3"/>
        </w:rPr>
        <w:t>categoría</w:t>
      </w:r>
      <w:r w:rsidRPr="00BD1319">
        <w:rPr>
          <w:spacing w:val="-3"/>
        </w:rPr>
        <w:t xml:space="preserve"> de </w:t>
      </w:r>
      <w:r w:rsidR="0032038D" w:rsidRPr="00BD1319">
        <w:rPr>
          <w:spacing w:val="-3"/>
        </w:rPr>
        <w:t>amenaza</w:t>
      </w:r>
      <w:r w:rsidR="00AC06A1" w:rsidRPr="00BD1319">
        <w:rPr>
          <w:rStyle w:val="Refdenotaalpie"/>
          <w:spacing w:val="-3"/>
        </w:rPr>
        <w:footnoteReference w:id="129"/>
      </w:r>
      <w:r w:rsidR="0032038D" w:rsidRPr="00BD1319">
        <w:rPr>
          <w:spacing w:val="-3"/>
        </w:rPr>
        <w:t xml:space="preserve">, </w:t>
      </w:r>
      <w:r w:rsidR="00AC06A1" w:rsidRPr="00BD1319">
        <w:rPr>
          <w:spacing w:val="-3"/>
        </w:rPr>
        <w:t xml:space="preserve">apéndices CITES I, II y III, </w:t>
      </w:r>
      <w:r w:rsidR="00B67A75" w:rsidRPr="00BD1319">
        <w:rPr>
          <w:spacing w:val="-3"/>
        </w:rPr>
        <w:t>endemismos, vedas nacionales o regionales</w:t>
      </w:r>
      <w:r w:rsidR="00AC06A1" w:rsidRPr="00BD1319">
        <w:rPr>
          <w:spacing w:val="-3"/>
        </w:rPr>
        <w:t xml:space="preserve"> vigentes</w:t>
      </w:r>
      <w:r w:rsidR="00B67A75" w:rsidRPr="00BD1319">
        <w:rPr>
          <w:spacing w:val="-3"/>
        </w:rPr>
        <w:t xml:space="preserve">, usos, </w:t>
      </w:r>
      <w:r w:rsidR="0032038D" w:rsidRPr="00BD1319">
        <w:rPr>
          <w:spacing w:val="-3"/>
        </w:rPr>
        <w:t>entre otr</w:t>
      </w:r>
      <w:r w:rsidR="00AA0047" w:rsidRPr="00BD1319">
        <w:rPr>
          <w:spacing w:val="-3"/>
        </w:rPr>
        <w:t>a</w:t>
      </w:r>
      <w:r w:rsidR="0032038D" w:rsidRPr="00BD1319">
        <w:rPr>
          <w:spacing w:val="-3"/>
        </w:rPr>
        <w:t>s</w:t>
      </w:r>
      <w:r w:rsidR="00AA0047" w:rsidRPr="00BD1319">
        <w:rPr>
          <w:spacing w:val="-3"/>
        </w:rPr>
        <w:t xml:space="preserve"> características</w:t>
      </w:r>
      <w:r w:rsidRPr="00BD1319">
        <w:rPr>
          <w:spacing w:val="-3"/>
        </w:rPr>
        <w:t>.</w:t>
      </w:r>
    </w:p>
    <w:p w14:paraId="73B90B62" w14:textId="77777777" w:rsidR="0032038D" w:rsidRPr="00BD1319" w:rsidRDefault="0032038D">
      <w:pPr>
        <w:numPr>
          <w:ilvl w:val="12"/>
          <w:numId w:val="0"/>
        </w:numPr>
        <w:tabs>
          <w:tab w:val="left" w:pos="-2268"/>
        </w:tabs>
        <w:suppressAutoHyphens/>
        <w:rPr>
          <w:spacing w:val="-3"/>
        </w:rPr>
      </w:pPr>
    </w:p>
    <w:p w14:paraId="361DBC13" w14:textId="203C6B9E" w:rsidR="00C22CAF" w:rsidRPr="00BD1319" w:rsidRDefault="00C22CAF">
      <w:pPr>
        <w:numPr>
          <w:ilvl w:val="12"/>
          <w:numId w:val="0"/>
        </w:numPr>
        <w:tabs>
          <w:tab w:val="left" w:pos="-2268"/>
        </w:tabs>
        <w:suppressAutoHyphens/>
        <w:rPr>
          <w:spacing w:val="-3"/>
        </w:rPr>
      </w:pPr>
      <w:r w:rsidRPr="00BD1319">
        <w:rPr>
          <w:spacing w:val="-3"/>
        </w:rPr>
        <w:t xml:space="preserve">La caracterización debe señalar para el área de influencia del </w:t>
      </w:r>
      <w:r w:rsidR="00904B02" w:rsidRPr="00BD1319">
        <w:rPr>
          <w:spacing w:val="-3"/>
        </w:rPr>
        <w:t>componente</w:t>
      </w:r>
      <w:r w:rsidRPr="00BD1319">
        <w:rPr>
          <w:spacing w:val="-3"/>
        </w:rPr>
        <w:t xml:space="preserve">, para cada uno de los ecosistemas, grupo biológico </w:t>
      </w:r>
      <w:r w:rsidR="00904B02" w:rsidRPr="00BD1319">
        <w:rPr>
          <w:spacing w:val="-3"/>
        </w:rPr>
        <w:t xml:space="preserve">(vascular, no vascular, liquen) </w:t>
      </w:r>
      <w:r w:rsidRPr="00BD1319">
        <w:rPr>
          <w:spacing w:val="-3"/>
        </w:rPr>
        <w:t>y hábito</w:t>
      </w:r>
      <w:r w:rsidR="00904B02" w:rsidRPr="00BD1319">
        <w:rPr>
          <w:spacing w:val="-3"/>
        </w:rPr>
        <w:t xml:space="preserve"> de crecimiento,</w:t>
      </w:r>
      <w:r w:rsidR="002A28EA" w:rsidRPr="00BD1319">
        <w:rPr>
          <w:spacing w:val="-3"/>
        </w:rPr>
        <w:t xml:space="preserve"> los siguientes parámetros:</w:t>
      </w:r>
      <w:r w:rsidRPr="00BD1319">
        <w:rPr>
          <w:spacing w:val="-3"/>
        </w:rPr>
        <w:t xml:space="preserve"> riqueza, composición, IVI, abundancia o cobertura</w:t>
      </w:r>
      <w:r w:rsidR="00904B02" w:rsidRPr="00BD1319">
        <w:rPr>
          <w:spacing w:val="-3"/>
        </w:rPr>
        <w:t xml:space="preserve"> (para no vasculares)</w:t>
      </w:r>
      <w:r w:rsidRPr="00BD1319">
        <w:rPr>
          <w:spacing w:val="-3"/>
        </w:rPr>
        <w:t xml:space="preserve"> y frecuencia (diversidad alfa). Asimismo, </w:t>
      </w:r>
      <w:r w:rsidR="000B0676" w:rsidRPr="00BD1319">
        <w:rPr>
          <w:spacing w:val="-3"/>
        </w:rPr>
        <w:t xml:space="preserve">se </w:t>
      </w:r>
      <w:r w:rsidRPr="00BD1319">
        <w:rPr>
          <w:spacing w:val="-3"/>
        </w:rPr>
        <w:t xml:space="preserve">debe </w:t>
      </w:r>
      <w:r w:rsidR="00904B02" w:rsidRPr="00BD1319">
        <w:rPr>
          <w:spacing w:val="-3"/>
        </w:rPr>
        <w:t xml:space="preserve">señalar por ecosistema y grupo biológico cómo se distribuye la diversidad vertical (mencionando, por ejemplo, </w:t>
      </w:r>
      <w:r w:rsidR="002A28EA" w:rsidRPr="00BD1319">
        <w:rPr>
          <w:spacing w:val="-3"/>
        </w:rPr>
        <w:t xml:space="preserve">la </w:t>
      </w:r>
      <w:r w:rsidRPr="00BD1319">
        <w:rPr>
          <w:spacing w:val="-3"/>
        </w:rPr>
        <w:t xml:space="preserve">preferencia de </w:t>
      </w:r>
      <w:proofErr w:type="spellStart"/>
      <w:r w:rsidRPr="00BD1319">
        <w:rPr>
          <w:spacing w:val="-3"/>
        </w:rPr>
        <w:t>forófitos</w:t>
      </w:r>
      <w:proofErr w:type="spellEnd"/>
      <w:r w:rsidRPr="00BD1319">
        <w:rPr>
          <w:spacing w:val="-3"/>
        </w:rPr>
        <w:t xml:space="preserve"> </w:t>
      </w:r>
      <w:r w:rsidR="00904B02" w:rsidRPr="00BD1319">
        <w:rPr>
          <w:spacing w:val="-3"/>
        </w:rPr>
        <w:t xml:space="preserve">para las </w:t>
      </w:r>
      <w:r w:rsidRPr="00BD1319">
        <w:rPr>
          <w:spacing w:val="-3"/>
        </w:rPr>
        <w:t>epífitas) y horizontal</w:t>
      </w:r>
      <w:r w:rsidR="00904B02" w:rsidRPr="00BD1319">
        <w:rPr>
          <w:spacing w:val="-3"/>
        </w:rPr>
        <w:t>mente</w:t>
      </w:r>
      <w:r w:rsidRPr="00BD1319">
        <w:rPr>
          <w:spacing w:val="-3"/>
        </w:rPr>
        <w:t xml:space="preserve"> (</w:t>
      </w:r>
      <w:r w:rsidR="00904B02" w:rsidRPr="00BD1319">
        <w:rPr>
          <w:spacing w:val="-3"/>
        </w:rPr>
        <w:t xml:space="preserve">aludiendo a los </w:t>
      </w:r>
      <w:r w:rsidRPr="00BD1319">
        <w:rPr>
          <w:spacing w:val="-3"/>
        </w:rPr>
        <w:t xml:space="preserve">sustratos </w:t>
      </w:r>
      <w:r w:rsidR="00904B02" w:rsidRPr="00BD1319">
        <w:rPr>
          <w:spacing w:val="-3"/>
        </w:rPr>
        <w:t>y otras características</w:t>
      </w:r>
      <w:r w:rsidRPr="00BD1319">
        <w:rPr>
          <w:spacing w:val="-3"/>
        </w:rPr>
        <w:t xml:space="preserve">). </w:t>
      </w:r>
      <w:r w:rsidR="00E50951" w:rsidRPr="00BD1319">
        <w:rPr>
          <w:spacing w:val="-3"/>
        </w:rPr>
        <w:t>Finalmente</w:t>
      </w:r>
      <w:r w:rsidR="002A28EA" w:rsidRPr="00BD1319">
        <w:rPr>
          <w:spacing w:val="-3"/>
        </w:rPr>
        <w:t xml:space="preserve">, </w:t>
      </w:r>
      <w:r w:rsidR="004B07AB" w:rsidRPr="00BD1319">
        <w:rPr>
          <w:spacing w:val="-3"/>
        </w:rPr>
        <w:t xml:space="preserve">se </w:t>
      </w:r>
      <w:r w:rsidRPr="00BD1319">
        <w:rPr>
          <w:spacing w:val="-3"/>
        </w:rPr>
        <w:t xml:space="preserve">debe determinar </w:t>
      </w:r>
      <w:r w:rsidR="002A28EA" w:rsidRPr="00BD1319">
        <w:rPr>
          <w:spacing w:val="-3"/>
        </w:rPr>
        <w:t xml:space="preserve">y analizar la </w:t>
      </w:r>
      <w:r w:rsidRPr="00BD1319">
        <w:rPr>
          <w:spacing w:val="-3"/>
        </w:rPr>
        <w:t>diversidad beta</w:t>
      </w:r>
      <w:r w:rsidR="002A28EA" w:rsidRPr="00BD1319">
        <w:rPr>
          <w:spacing w:val="-3"/>
        </w:rPr>
        <w:t xml:space="preserve"> mediante </w:t>
      </w:r>
      <w:r w:rsidRPr="00BD1319">
        <w:rPr>
          <w:spacing w:val="-3"/>
        </w:rPr>
        <w:t xml:space="preserve">índices de diversidad verdadera. </w:t>
      </w:r>
      <w:r w:rsidR="004B07AB" w:rsidRPr="00BD1319">
        <w:rPr>
          <w:spacing w:val="-3"/>
        </w:rPr>
        <w:t>Con el fin de obtener toda esta información, e</w:t>
      </w:r>
      <w:r w:rsidR="002A28EA" w:rsidRPr="00BD1319">
        <w:rPr>
          <w:spacing w:val="-3"/>
        </w:rPr>
        <w:t xml:space="preserve">s posible emplear los métodos planteados por </w:t>
      </w:r>
      <w:proofErr w:type="spellStart"/>
      <w:r w:rsidRPr="00BD1319">
        <w:rPr>
          <w:spacing w:val="-3"/>
        </w:rPr>
        <w:t>Frahm</w:t>
      </w:r>
      <w:proofErr w:type="spellEnd"/>
      <w:r w:rsidRPr="00BD1319">
        <w:rPr>
          <w:spacing w:val="-3"/>
        </w:rPr>
        <w:t xml:space="preserve"> et al.</w:t>
      </w:r>
      <w:r w:rsidR="002A28EA" w:rsidRPr="00BD1319">
        <w:rPr>
          <w:spacing w:val="-3"/>
        </w:rPr>
        <w:t xml:space="preserve"> (</w:t>
      </w:r>
      <w:r w:rsidRPr="00BD1319">
        <w:rPr>
          <w:spacing w:val="-3"/>
        </w:rPr>
        <w:t>2003</w:t>
      </w:r>
      <w:r w:rsidR="002A28EA" w:rsidRPr="00BD1319">
        <w:rPr>
          <w:spacing w:val="-3"/>
        </w:rPr>
        <w:t>)</w:t>
      </w:r>
      <w:r w:rsidRPr="00BD1319">
        <w:rPr>
          <w:spacing w:val="-3"/>
        </w:rPr>
        <w:t>, Halffter</w:t>
      </w:r>
      <w:r w:rsidR="002A28EA" w:rsidRPr="00BD1319">
        <w:rPr>
          <w:spacing w:val="-3"/>
        </w:rPr>
        <w:t xml:space="preserve"> </w:t>
      </w:r>
      <w:r w:rsidRPr="00BD1319">
        <w:rPr>
          <w:spacing w:val="-3"/>
        </w:rPr>
        <w:t>(1998) y Moreno</w:t>
      </w:r>
      <w:r w:rsidR="002A28EA" w:rsidRPr="00BD1319">
        <w:rPr>
          <w:spacing w:val="-3"/>
        </w:rPr>
        <w:t xml:space="preserve"> (</w:t>
      </w:r>
      <w:r w:rsidRPr="00BD1319">
        <w:rPr>
          <w:spacing w:val="-3"/>
        </w:rPr>
        <w:t>2001</w:t>
      </w:r>
      <w:r w:rsidR="002A28EA" w:rsidRPr="00BD1319">
        <w:rPr>
          <w:spacing w:val="-3"/>
        </w:rPr>
        <w:t>)</w:t>
      </w:r>
      <w:r w:rsidRPr="00BD1319">
        <w:rPr>
          <w:spacing w:val="-3"/>
        </w:rPr>
        <w:t>.</w:t>
      </w:r>
    </w:p>
    <w:p w14:paraId="799E6E7E" w14:textId="77777777" w:rsidR="00C22CAF" w:rsidRPr="00BD1319" w:rsidRDefault="00C22CAF">
      <w:pPr>
        <w:numPr>
          <w:ilvl w:val="12"/>
          <w:numId w:val="0"/>
        </w:numPr>
        <w:tabs>
          <w:tab w:val="left" w:pos="-2268"/>
        </w:tabs>
        <w:suppressAutoHyphens/>
        <w:rPr>
          <w:spacing w:val="-3"/>
        </w:rPr>
      </w:pPr>
    </w:p>
    <w:p w14:paraId="10442001" w14:textId="39259317" w:rsidR="002A28EA" w:rsidRPr="00BD1319" w:rsidRDefault="004B07AB" w:rsidP="002A28EA">
      <w:pPr>
        <w:numPr>
          <w:ilvl w:val="12"/>
          <w:numId w:val="0"/>
        </w:numPr>
        <w:tabs>
          <w:tab w:val="left" w:pos="-2268"/>
        </w:tabs>
        <w:suppressAutoHyphens/>
        <w:rPr>
          <w:spacing w:val="-3"/>
        </w:rPr>
      </w:pPr>
      <w:r w:rsidRPr="00BD1319">
        <w:rPr>
          <w:spacing w:val="-3"/>
        </w:rPr>
        <w:lastRenderedPageBreak/>
        <w:t xml:space="preserve">Para una </w:t>
      </w:r>
      <w:r w:rsidR="002A28EA" w:rsidRPr="00BD1319">
        <w:rPr>
          <w:spacing w:val="-3"/>
        </w:rPr>
        <w:t xml:space="preserve">mejor </w:t>
      </w:r>
      <w:r w:rsidRPr="00BD1319">
        <w:rPr>
          <w:spacing w:val="-3"/>
        </w:rPr>
        <w:t xml:space="preserve">comprensión de los datos obtenidos para </w:t>
      </w:r>
      <w:r w:rsidR="002A28EA" w:rsidRPr="00BD1319">
        <w:rPr>
          <w:spacing w:val="-3"/>
        </w:rPr>
        <w:t>este tipo de vegetación</w:t>
      </w:r>
      <w:r w:rsidRPr="00BD1319">
        <w:rPr>
          <w:spacing w:val="-3"/>
        </w:rPr>
        <w:t>, es posible utilizar métodos de análisis, programas informáticos o paquetes estadísticos</w:t>
      </w:r>
      <w:r w:rsidR="002A28EA" w:rsidRPr="00BD1319">
        <w:rPr>
          <w:spacing w:val="-3"/>
        </w:rPr>
        <w:t>.</w:t>
      </w:r>
    </w:p>
    <w:p w14:paraId="208C914B" w14:textId="409EA444" w:rsidR="002A28EA" w:rsidRPr="00BD1319" w:rsidRDefault="002A28EA" w:rsidP="002A28EA">
      <w:pPr>
        <w:numPr>
          <w:ilvl w:val="12"/>
          <w:numId w:val="0"/>
        </w:numPr>
        <w:tabs>
          <w:tab w:val="left" w:pos="-2268"/>
        </w:tabs>
        <w:suppressAutoHyphens/>
        <w:rPr>
          <w:spacing w:val="-3"/>
        </w:rPr>
      </w:pPr>
    </w:p>
    <w:p w14:paraId="7302BDF1" w14:textId="4CEF20C8" w:rsidR="00482A5F" w:rsidRPr="00BD1319" w:rsidRDefault="00B95405" w:rsidP="00C86DA5">
      <w:pPr>
        <w:tabs>
          <w:tab w:val="left" w:pos="-2268"/>
        </w:tabs>
        <w:suppressAutoHyphens/>
        <w:rPr>
          <w:spacing w:val="-3"/>
        </w:rPr>
      </w:pPr>
      <w:r w:rsidRPr="00BD1319">
        <w:rPr>
          <w:spacing w:val="-3"/>
        </w:rPr>
        <w:t xml:space="preserve">Se debe determinar y analizar el </w:t>
      </w:r>
      <w:r w:rsidR="002A28EA" w:rsidRPr="00BD1319">
        <w:rPr>
          <w:spacing w:val="-3"/>
        </w:rPr>
        <w:t>estado en el ecosistema</w:t>
      </w:r>
      <w:r w:rsidRPr="00BD1319">
        <w:rPr>
          <w:spacing w:val="-3"/>
        </w:rPr>
        <w:t xml:space="preserve"> de cada una de las especies registradas, considerando además de la información que resulte de los parámetros ecológicos previamente calculados, datos sobre la </w:t>
      </w:r>
      <w:r w:rsidR="002A28EA" w:rsidRPr="00BD1319">
        <w:rPr>
          <w:spacing w:val="-3"/>
        </w:rPr>
        <w:t xml:space="preserve">presión </w:t>
      </w:r>
      <w:r w:rsidR="00EF1A1C" w:rsidRPr="00BD1319">
        <w:rPr>
          <w:spacing w:val="-3"/>
        </w:rPr>
        <w:t xml:space="preserve">a la que están sujetas debido al desarrollo de </w:t>
      </w:r>
      <w:r w:rsidR="002A28EA" w:rsidRPr="00BD1319">
        <w:rPr>
          <w:spacing w:val="-3"/>
        </w:rPr>
        <w:t xml:space="preserve">especies invasoras, </w:t>
      </w:r>
      <w:r w:rsidR="00497FC4" w:rsidRPr="00BD1319">
        <w:rPr>
          <w:spacing w:val="-3"/>
        </w:rPr>
        <w:t xml:space="preserve">a </w:t>
      </w:r>
      <w:r w:rsidR="00EF1A1C" w:rsidRPr="00BD1319">
        <w:rPr>
          <w:spacing w:val="-3"/>
        </w:rPr>
        <w:t xml:space="preserve">la </w:t>
      </w:r>
      <w:r w:rsidR="002A28EA" w:rsidRPr="00BD1319">
        <w:rPr>
          <w:spacing w:val="-3"/>
        </w:rPr>
        <w:t xml:space="preserve">transformación y pérdida de hábitats, </w:t>
      </w:r>
      <w:r w:rsidR="00497FC4" w:rsidRPr="00BD1319">
        <w:rPr>
          <w:spacing w:val="-3"/>
        </w:rPr>
        <w:t xml:space="preserve">a </w:t>
      </w:r>
      <w:r w:rsidR="00EF1A1C" w:rsidRPr="00BD1319">
        <w:rPr>
          <w:spacing w:val="-3"/>
        </w:rPr>
        <w:t xml:space="preserve">la </w:t>
      </w:r>
      <w:r w:rsidR="002A28EA" w:rsidRPr="00BD1319">
        <w:rPr>
          <w:spacing w:val="-3"/>
        </w:rPr>
        <w:t>sobreexplotación</w:t>
      </w:r>
      <w:r w:rsidR="00EF1A1C" w:rsidRPr="00BD1319">
        <w:rPr>
          <w:spacing w:val="-3"/>
        </w:rPr>
        <w:t xml:space="preserve">, </w:t>
      </w:r>
      <w:r w:rsidR="00497FC4" w:rsidRPr="00BD1319">
        <w:rPr>
          <w:spacing w:val="-3"/>
        </w:rPr>
        <w:t xml:space="preserve">a la </w:t>
      </w:r>
      <w:r w:rsidR="002A28EA" w:rsidRPr="00BD1319">
        <w:rPr>
          <w:spacing w:val="-3"/>
        </w:rPr>
        <w:t xml:space="preserve">contaminación, </w:t>
      </w:r>
      <w:r w:rsidR="00497FC4" w:rsidRPr="00BD1319">
        <w:rPr>
          <w:spacing w:val="-3"/>
        </w:rPr>
        <w:t xml:space="preserve">a la </w:t>
      </w:r>
      <w:r w:rsidR="002A28EA" w:rsidRPr="00BD1319">
        <w:rPr>
          <w:spacing w:val="-3"/>
        </w:rPr>
        <w:t>ausencia de polinizadores, entre otr</w:t>
      </w:r>
      <w:r w:rsidR="00EF1A1C" w:rsidRPr="00BD1319">
        <w:rPr>
          <w:spacing w:val="-3"/>
        </w:rPr>
        <w:t>o</w:t>
      </w:r>
      <w:r w:rsidR="002A28EA" w:rsidRPr="00BD1319">
        <w:rPr>
          <w:spacing w:val="-3"/>
        </w:rPr>
        <w:t>s</w:t>
      </w:r>
      <w:r w:rsidR="00EF1A1C" w:rsidRPr="00BD1319">
        <w:rPr>
          <w:spacing w:val="-3"/>
        </w:rPr>
        <w:t xml:space="preserve"> fenómenos</w:t>
      </w:r>
      <w:r w:rsidR="00497FC4" w:rsidRPr="00BD1319">
        <w:rPr>
          <w:spacing w:val="-3"/>
        </w:rPr>
        <w:t>.</w:t>
      </w:r>
    </w:p>
    <w:p w14:paraId="19BA05FD" w14:textId="64429A6B" w:rsidR="00482A5F" w:rsidRPr="00BD1319" w:rsidRDefault="00482A5F" w:rsidP="00482A5F">
      <w:pPr>
        <w:tabs>
          <w:tab w:val="left" w:pos="-2268"/>
        </w:tabs>
        <w:suppressAutoHyphens/>
        <w:rPr>
          <w:rFonts w:cs="Arial"/>
          <w:spacing w:val="-3"/>
        </w:rPr>
      </w:pPr>
    </w:p>
    <w:p w14:paraId="1084695E" w14:textId="5FE0D48E" w:rsidR="00482A5F" w:rsidRPr="00BD1319" w:rsidRDefault="00102112" w:rsidP="007E7E1A">
      <w:pPr>
        <w:pStyle w:val="Ttulo6"/>
        <w:tabs>
          <w:tab w:val="clear" w:pos="2160"/>
          <w:tab w:val="num" w:pos="1418"/>
        </w:tabs>
        <w:ind w:left="1418" w:hanging="1418"/>
        <w:rPr>
          <w:lang w:val="es-CO"/>
        </w:rPr>
      </w:pPr>
      <w:bookmarkStart w:id="2882" w:name="_Hlk137194254"/>
      <w:bookmarkStart w:id="2883" w:name="_Hlk42155323"/>
      <w:r w:rsidRPr="00BD1319">
        <w:rPr>
          <w:lang w:val="es-CO"/>
        </w:rPr>
        <w:t xml:space="preserve">Especies </w:t>
      </w:r>
      <w:r w:rsidR="00D46B90" w:rsidRPr="00BD1319">
        <w:rPr>
          <w:lang w:val="es-CO"/>
        </w:rPr>
        <w:t>vascular</w:t>
      </w:r>
      <w:r w:rsidRPr="00BD1319">
        <w:rPr>
          <w:lang w:val="es-CO"/>
        </w:rPr>
        <w:t>es</w:t>
      </w:r>
      <w:r w:rsidR="004F57C8" w:rsidRPr="00BD1319">
        <w:rPr>
          <w:lang w:val="es-CO"/>
        </w:rPr>
        <w:t>,</w:t>
      </w:r>
      <w:r w:rsidR="00D46B90" w:rsidRPr="00BD1319">
        <w:rPr>
          <w:lang w:val="es-CO"/>
        </w:rPr>
        <w:t xml:space="preserve"> no vascular</w:t>
      </w:r>
      <w:r w:rsidRPr="00BD1319">
        <w:rPr>
          <w:lang w:val="es-CO"/>
        </w:rPr>
        <w:t>es</w:t>
      </w:r>
      <w:r w:rsidR="00D46B90" w:rsidRPr="00BD1319">
        <w:rPr>
          <w:lang w:val="es-CO"/>
        </w:rPr>
        <w:t xml:space="preserve"> </w:t>
      </w:r>
      <w:r w:rsidR="004F57C8" w:rsidRPr="00BD1319">
        <w:rPr>
          <w:lang w:val="es-CO"/>
        </w:rPr>
        <w:t xml:space="preserve">y líquenes de hábito </w:t>
      </w:r>
      <w:r w:rsidR="00D46B90" w:rsidRPr="00BD1319">
        <w:rPr>
          <w:lang w:val="es-CO"/>
        </w:rPr>
        <w:t>terrestre, rupícola y epífit</w:t>
      </w:r>
      <w:r w:rsidR="004F57C8" w:rsidRPr="00BD1319">
        <w:rPr>
          <w:lang w:val="es-CO"/>
        </w:rPr>
        <w:t>o</w:t>
      </w:r>
      <w:r w:rsidR="00D46B90" w:rsidRPr="00BD1319">
        <w:rPr>
          <w:lang w:val="es-CO"/>
        </w:rPr>
        <w:t xml:space="preserve"> en veda</w:t>
      </w:r>
      <w:bookmarkEnd w:id="2882"/>
    </w:p>
    <w:bookmarkEnd w:id="2883"/>
    <w:p w14:paraId="42CB064D" w14:textId="77777777" w:rsidR="00482A5F" w:rsidRPr="00BD1319" w:rsidRDefault="00482A5F" w:rsidP="00861F7A">
      <w:pPr>
        <w:tabs>
          <w:tab w:val="left" w:pos="-2268"/>
          <w:tab w:val="num" w:pos="1418"/>
        </w:tabs>
        <w:suppressAutoHyphens/>
        <w:ind w:left="1418" w:hanging="1418"/>
        <w:rPr>
          <w:rFonts w:cs="Arial"/>
          <w:spacing w:val="-3"/>
        </w:rPr>
      </w:pPr>
    </w:p>
    <w:p w14:paraId="6EA3E4CD" w14:textId="7FEF6831" w:rsidR="00482A5F" w:rsidRPr="00BD1319" w:rsidRDefault="00455368" w:rsidP="00482A5F">
      <w:pPr>
        <w:rPr>
          <w:rFonts w:cs="Arial"/>
          <w:spacing w:val="-3"/>
        </w:rPr>
      </w:pPr>
      <w:r w:rsidRPr="00BD1319">
        <w:rPr>
          <w:rFonts w:cs="Arial"/>
          <w:spacing w:val="-3"/>
        </w:rPr>
        <w:t xml:space="preserve">De forma complementaria </w:t>
      </w:r>
      <w:bookmarkEnd w:id="2871"/>
      <w:r w:rsidR="00196F87" w:rsidRPr="00BD1319">
        <w:rPr>
          <w:rFonts w:cs="Arial"/>
          <w:spacing w:val="-3"/>
        </w:rPr>
        <w:t xml:space="preserve">a la </w:t>
      </w:r>
      <w:r w:rsidR="00482A5F" w:rsidRPr="00BD1319">
        <w:rPr>
          <w:rFonts w:cs="Arial"/>
          <w:spacing w:val="-3"/>
        </w:rPr>
        <w:t xml:space="preserve">caracterización </w:t>
      </w:r>
      <w:r w:rsidR="008C7EE9" w:rsidRPr="00BD1319">
        <w:rPr>
          <w:rFonts w:cs="Arial"/>
          <w:spacing w:val="-3"/>
        </w:rPr>
        <w:t>de las especies vasculares, no vasculares y líquenes de hábito terrestre, rupícola y epífito</w:t>
      </w:r>
      <w:r w:rsidR="00196F87" w:rsidRPr="00BD1319">
        <w:rPr>
          <w:rFonts w:cs="Arial"/>
          <w:spacing w:val="-3"/>
        </w:rPr>
        <w:t>,</w:t>
      </w:r>
      <w:r w:rsidR="0059324C" w:rsidRPr="00BD1319">
        <w:rPr>
          <w:rFonts w:cs="Arial"/>
          <w:spacing w:val="-3"/>
        </w:rPr>
        <w:t xml:space="preserve"> </w:t>
      </w:r>
      <w:r w:rsidR="00196F87" w:rsidRPr="00BD1319">
        <w:rPr>
          <w:rFonts w:cs="Arial"/>
          <w:spacing w:val="-3"/>
        </w:rPr>
        <w:t xml:space="preserve">cuyos métodos de obtención fueron </w:t>
      </w:r>
      <w:r w:rsidR="006F7476" w:rsidRPr="00BD1319">
        <w:rPr>
          <w:rFonts w:cs="Arial"/>
          <w:spacing w:val="-3"/>
        </w:rPr>
        <w:t xml:space="preserve">señalados </w:t>
      </w:r>
      <w:r w:rsidR="00482A5F" w:rsidRPr="00BD1319">
        <w:rPr>
          <w:rFonts w:cs="Arial"/>
          <w:spacing w:val="-3"/>
        </w:rPr>
        <w:t>anteriormente, se debe relacionar de manera clara la siguiente información</w:t>
      </w:r>
      <w:r w:rsidR="008C7EE9" w:rsidRPr="00BD1319">
        <w:rPr>
          <w:rFonts w:cs="Arial"/>
          <w:spacing w:val="-3"/>
        </w:rPr>
        <w:t xml:space="preserve"> para las especies de estos grupos que se encuentran en veda</w:t>
      </w:r>
      <w:r w:rsidR="00482A5F" w:rsidRPr="00BD1319">
        <w:rPr>
          <w:rFonts w:cs="Arial"/>
          <w:spacing w:val="-3"/>
        </w:rPr>
        <w:t>:</w:t>
      </w:r>
    </w:p>
    <w:p w14:paraId="208D6EEE" w14:textId="77777777" w:rsidR="00482A5F" w:rsidRPr="00BD1319" w:rsidRDefault="00482A5F" w:rsidP="00482A5F">
      <w:pPr>
        <w:rPr>
          <w:rFonts w:cs="Arial"/>
          <w:spacing w:val="-3"/>
        </w:rPr>
      </w:pPr>
    </w:p>
    <w:p w14:paraId="2FB45E3B" w14:textId="6D39BBD4" w:rsidR="00D0426C" w:rsidRPr="00BD1319" w:rsidRDefault="008C7EE9" w:rsidP="00C86DA5">
      <w:pPr>
        <w:pStyle w:val="Prrafodelista"/>
        <w:widowControl w:val="0"/>
        <w:numPr>
          <w:ilvl w:val="0"/>
          <w:numId w:val="374"/>
        </w:numPr>
        <w:ind w:left="567" w:hanging="567"/>
        <w:rPr>
          <w:rFonts w:cs="Arial"/>
          <w:spacing w:val="-3"/>
          <w:lang w:val="es-CO"/>
        </w:rPr>
      </w:pPr>
      <w:r w:rsidRPr="00BD1319">
        <w:rPr>
          <w:rFonts w:cs="Arial"/>
          <w:spacing w:val="-3"/>
          <w:lang w:val="es-CO"/>
        </w:rPr>
        <w:t>Diseño y resultados del m</w:t>
      </w:r>
      <w:r w:rsidR="00482A5F" w:rsidRPr="00BD1319">
        <w:rPr>
          <w:rFonts w:cs="Arial"/>
          <w:spacing w:val="-3"/>
          <w:lang w:val="es-CO"/>
        </w:rPr>
        <w:t xml:space="preserve">uestreo </w:t>
      </w:r>
      <w:r w:rsidR="00455368" w:rsidRPr="00BD1319">
        <w:rPr>
          <w:rFonts w:cs="Arial"/>
          <w:spacing w:val="-3"/>
          <w:lang w:val="es-CO"/>
        </w:rPr>
        <w:t>para</w:t>
      </w:r>
      <w:r w:rsidR="00711A54" w:rsidRPr="00BD1319">
        <w:rPr>
          <w:rFonts w:cs="Arial"/>
          <w:spacing w:val="-3"/>
          <w:lang w:val="es-CO"/>
        </w:rPr>
        <w:t xml:space="preserve"> </w:t>
      </w:r>
      <w:r w:rsidR="00482A5F" w:rsidRPr="00BD1319">
        <w:rPr>
          <w:rFonts w:cs="Arial"/>
          <w:spacing w:val="-3"/>
          <w:lang w:val="es-CO"/>
        </w:rPr>
        <w:t xml:space="preserve">las especies de los grupos taxonómicos de </w:t>
      </w:r>
      <w:r w:rsidR="00937067" w:rsidRPr="00BD1319">
        <w:rPr>
          <w:rFonts w:cs="Arial"/>
          <w:spacing w:val="-3"/>
          <w:lang w:val="es-CO"/>
        </w:rPr>
        <w:t>b</w:t>
      </w:r>
      <w:r w:rsidR="00482A5F" w:rsidRPr="00BD1319">
        <w:rPr>
          <w:rFonts w:cs="Arial"/>
          <w:spacing w:val="-3"/>
          <w:lang w:val="es-CO"/>
        </w:rPr>
        <w:t xml:space="preserve">romelias, </w:t>
      </w:r>
      <w:r w:rsidR="00937067" w:rsidRPr="00BD1319">
        <w:rPr>
          <w:rFonts w:cs="Arial"/>
          <w:spacing w:val="-3"/>
          <w:lang w:val="es-CO"/>
        </w:rPr>
        <w:t>o</w:t>
      </w:r>
      <w:r w:rsidR="00482A5F" w:rsidRPr="00BD1319">
        <w:rPr>
          <w:rFonts w:cs="Arial"/>
          <w:spacing w:val="-3"/>
          <w:lang w:val="es-CO"/>
        </w:rPr>
        <w:t xml:space="preserve">rquídeas, </w:t>
      </w:r>
      <w:r w:rsidR="00937067" w:rsidRPr="00BD1319">
        <w:rPr>
          <w:rFonts w:cs="Arial"/>
          <w:spacing w:val="-3"/>
          <w:lang w:val="es-CO"/>
        </w:rPr>
        <w:t>m</w:t>
      </w:r>
      <w:r w:rsidR="00482A5F" w:rsidRPr="00BD1319">
        <w:rPr>
          <w:rFonts w:cs="Arial"/>
          <w:spacing w:val="-3"/>
          <w:lang w:val="es-CO"/>
        </w:rPr>
        <w:t xml:space="preserve">usgos, </w:t>
      </w:r>
      <w:r w:rsidR="00937067" w:rsidRPr="00BD1319">
        <w:rPr>
          <w:rFonts w:cs="Arial"/>
          <w:spacing w:val="-3"/>
          <w:lang w:val="es-CO"/>
        </w:rPr>
        <w:t>h</w:t>
      </w:r>
      <w:r w:rsidR="00482A5F" w:rsidRPr="00BD1319">
        <w:rPr>
          <w:rFonts w:cs="Arial"/>
          <w:spacing w:val="-3"/>
          <w:lang w:val="es-CO"/>
        </w:rPr>
        <w:t xml:space="preserve">epáticas, </w:t>
      </w:r>
      <w:proofErr w:type="spellStart"/>
      <w:r w:rsidR="00937067" w:rsidRPr="00BD1319">
        <w:rPr>
          <w:rFonts w:cs="Arial"/>
          <w:spacing w:val="-3"/>
          <w:lang w:val="es-CO"/>
        </w:rPr>
        <w:t>a</w:t>
      </w:r>
      <w:r w:rsidR="00482A5F" w:rsidRPr="00BD1319">
        <w:rPr>
          <w:rFonts w:cs="Arial"/>
          <w:spacing w:val="-3"/>
          <w:lang w:val="es-CO"/>
        </w:rPr>
        <w:t>nthocerotales</w:t>
      </w:r>
      <w:proofErr w:type="spellEnd"/>
      <w:r w:rsidR="00482A5F" w:rsidRPr="00BD1319">
        <w:rPr>
          <w:rFonts w:cs="Arial"/>
          <w:spacing w:val="-3"/>
          <w:lang w:val="es-CO"/>
        </w:rPr>
        <w:t xml:space="preserve"> y </w:t>
      </w:r>
      <w:r w:rsidR="00937067" w:rsidRPr="00BD1319">
        <w:rPr>
          <w:rFonts w:cs="Arial"/>
          <w:spacing w:val="-3"/>
          <w:lang w:val="es-CO"/>
        </w:rPr>
        <w:t>l</w:t>
      </w:r>
      <w:r w:rsidR="00482A5F" w:rsidRPr="00BD1319">
        <w:rPr>
          <w:rFonts w:cs="Arial"/>
          <w:spacing w:val="-3"/>
          <w:lang w:val="es-CO"/>
        </w:rPr>
        <w:t>íquenes incluid</w:t>
      </w:r>
      <w:r w:rsidR="00F71FB5" w:rsidRPr="00BD1319">
        <w:rPr>
          <w:rFonts w:cs="Arial"/>
          <w:spacing w:val="-3"/>
          <w:lang w:val="es-CO"/>
        </w:rPr>
        <w:t>o</w:t>
      </w:r>
      <w:r w:rsidR="00482A5F" w:rsidRPr="00BD1319">
        <w:rPr>
          <w:rFonts w:cs="Arial"/>
          <w:spacing w:val="-3"/>
          <w:lang w:val="es-CO"/>
        </w:rPr>
        <w:t>s en la Resolución 213 de 1977 o la norma que la modifique o sustituya</w:t>
      </w:r>
      <w:r w:rsidR="00711A54" w:rsidRPr="00BD1319">
        <w:rPr>
          <w:rFonts w:cs="Arial"/>
          <w:spacing w:val="-3"/>
          <w:lang w:val="es-CO"/>
        </w:rPr>
        <w:t xml:space="preserve"> o en otros actos administrativos</w:t>
      </w:r>
      <w:r w:rsidR="00482A5F" w:rsidRPr="00BD1319">
        <w:rPr>
          <w:rFonts w:cs="Arial"/>
          <w:spacing w:val="-3"/>
          <w:lang w:val="es-CO"/>
        </w:rPr>
        <w:t>.</w:t>
      </w:r>
      <w:r w:rsidR="00711A54" w:rsidRPr="00BD1319">
        <w:rPr>
          <w:rFonts w:cs="Arial"/>
          <w:spacing w:val="-3"/>
          <w:lang w:val="es-CO"/>
        </w:rPr>
        <w:t xml:space="preserve"> </w:t>
      </w:r>
    </w:p>
    <w:p w14:paraId="12BECF61" w14:textId="77777777" w:rsidR="00D0426C" w:rsidRPr="00BD1319" w:rsidRDefault="00D0426C" w:rsidP="000D6E21">
      <w:pPr>
        <w:widowControl w:val="0"/>
        <w:rPr>
          <w:rFonts w:cs="Arial"/>
          <w:spacing w:val="-3"/>
        </w:rPr>
      </w:pPr>
    </w:p>
    <w:p w14:paraId="08E40265" w14:textId="2053DE0B" w:rsidR="00D0426C" w:rsidRPr="00BD1319" w:rsidRDefault="00D0426C" w:rsidP="00D0426C">
      <w:pPr>
        <w:pStyle w:val="Prrafodelista"/>
        <w:widowControl w:val="0"/>
        <w:ind w:left="567"/>
        <w:rPr>
          <w:rFonts w:cs="Arial"/>
          <w:spacing w:val="-3"/>
          <w:lang w:val="es-CO"/>
        </w:rPr>
      </w:pPr>
      <w:r w:rsidRPr="00BD1319">
        <w:rPr>
          <w:rFonts w:cs="Arial"/>
          <w:spacing w:val="-3"/>
          <w:lang w:val="es-CO"/>
        </w:rPr>
        <w:t>El muestreo para estas especies debe enfocarse en el área por intervenir sin pasar por alto el resto del área de influencia del proyecto, obra o actividad</w:t>
      </w:r>
      <w:r w:rsidR="00D1616F" w:rsidRPr="00BD1319">
        <w:rPr>
          <w:rFonts w:cs="Arial"/>
          <w:spacing w:val="-3"/>
          <w:lang w:val="es-CO"/>
        </w:rPr>
        <w:t xml:space="preserve"> y</w:t>
      </w:r>
      <w:r w:rsidRPr="00BD1319">
        <w:rPr>
          <w:rFonts w:cs="Arial"/>
          <w:spacing w:val="-3"/>
          <w:lang w:val="es-CO"/>
        </w:rPr>
        <w:t xml:space="preserve"> </w:t>
      </w:r>
      <w:r w:rsidR="00D1616F" w:rsidRPr="00BD1319">
        <w:rPr>
          <w:rFonts w:cs="Arial"/>
          <w:spacing w:val="-3"/>
          <w:lang w:val="es-CO"/>
        </w:rPr>
        <w:t xml:space="preserve">posibilitar la caracterización de cada ecosistema, grupo biológico y hábito, </w:t>
      </w:r>
      <w:r w:rsidRPr="00BD1319">
        <w:rPr>
          <w:rFonts w:cs="Arial"/>
          <w:spacing w:val="-3"/>
          <w:lang w:val="es-CO"/>
        </w:rPr>
        <w:t>teniendo en cuenta los parámetros para asegurar su representatividad que establezcan los términos de referencia.</w:t>
      </w:r>
    </w:p>
    <w:p w14:paraId="2D792B79" w14:textId="77777777" w:rsidR="00956DF7" w:rsidRPr="00BD1319" w:rsidRDefault="00956DF7" w:rsidP="009420F5"/>
    <w:p w14:paraId="4DA9EE4E" w14:textId="36574038" w:rsidR="001B0643" w:rsidRPr="00BD1319" w:rsidRDefault="00CC69FF" w:rsidP="000D6E21">
      <w:pPr>
        <w:ind w:left="567"/>
      </w:pPr>
      <w:r w:rsidRPr="00BD1319">
        <w:t>En cualquier caso, para cada grupo biológico y hábito s</w:t>
      </w:r>
      <w:r w:rsidR="001B0643" w:rsidRPr="00BD1319">
        <w:t>e debe describi</w:t>
      </w:r>
      <w:r w:rsidRPr="00BD1319">
        <w:t xml:space="preserve">r el método empleado </w:t>
      </w:r>
      <w:r w:rsidR="001B0643" w:rsidRPr="00BD1319">
        <w:t>(</w:t>
      </w:r>
      <w:r w:rsidRPr="00BD1319">
        <w:t>p. ej.</w:t>
      </w:r>
      <w:r w:rsidR="001B0643" w:rsidRPr="00BD1319">
        <w:t xml:space="preserve"> </w:t>
      </w:r>
      <w:proofErr w:type="spellStart"/>
      <w:r w:rsidR="001B0643" w:rsidRPr="00BD1319">
        <w:t>Gradstein</w:t>
      </w:r>
      <w:proofErr w:type="spellEnd"/>
      <w:r w:rsidR="001B0643" w:rsidRPr="00BD1319">
        <w:t xml:space="preserve"> et al.; 2003)</w:t>
      </w:r>
      <w:r w:rsidRPr="00BD1319">
        <w:t xml:space="preserve"> y el </w:t>
      </w:r>
      <w:r w:rsidR="001B0643" w:rsidRPr="00BD1319">
        <w:t xml:space="preserve">tipo y tamaño de la unidad de muestreo, </w:t>
      </w:r>
      <w:r w:rsidRPr="00BD1319">
        <w:t xml:space="preserve">así como </w:t>
      </w:r>
      <w:r w:rsidR="001B0643" w:rsidRPr="00BD1319">
        <w:t>señala</w:t>
      </w:r>
      <w:r w:rsidRPr="00BD1319">
        <w:t xml:space="preserve">r </w:t>
      </w:r>
      <w:r w:rsidR="001B0643" w:rsidRPr="00BD1319">
        <w:t xml:space="preserve">la forma en que </w:t>
      </w:r>
      <w:r w:rsidR="0002045D" w:rsidRPr="00BD1319">
        <w:t xml:space="preserve">se </w:t>
      </w:r>
      <w:r w:rsidR="001B0643" w:rsidRPr="00BD1319">
        <w:t>analiz</w:t>
      </w:r>
      <w:r w:rsidRPr="00BD1319">
        <w:t xml:space="preserve">aron </w:t>
      </w:r>
      <w:r w:rsidR="001B0643" w:rsidRPr="00BD1319">
        <w:t>los datos (</w:t>
      </w:r>
      <w:r w:rsidRPr="00BD1319">
        <w:rPr>
          <w:rFonts w:cs="Arial"/>
          <w:spacing w:val="-3"/>
        </w:rPr>
        <w:t>estadígrafos, curvas de acumulación de especies, entre otros elementos de importancia para estimar y analizar la diversidad y demás características de estas especies</w:t>
      </w:r>
      <w:r w:rsidR="001B0643" w:rsidRPr="00BD1319">
        <w:t>)</w:t>
      </w:r>
      <w:r w:rsidR="0002045D" w:rsidRPr="00BD1319">
        <w:t>.</w:t>
      </w:r>
      <w:r w:rsidR="001B0643" w:rsidRPr="00BD1319">
        <w:t xml:space="preserve"> </w:t>
      </w:r>
      <w:r w:rsidR="00D51E3F" w:rsidRPr="00BD1319">
        <w:t xml:space="preserve">Los </w:t>
      </w:r>
      <w:r w:rsidR="001B0643" w:rsidRPr="00BD1319">
        <w:t>diseño</w:t>
      </w:r>
      <w:r w:rsidR="00D51E3F" w:rsidRPr="00BD1319">
        <w:t>s y esfuerzos</w:t>
      </w:r>
      <w:r w:rsidRPr="00BD1319">
        <w:t xml:space="preserve"> de muestreo </w:t>
      </w:r>
      <w:r w:rsidR="0002045D" w:rsidRPr="00BD1319">
        <w:t xml:space="preserve">diferentes a los establecidos en los términos de referencia </w:t>
      </w:r>
      <w:r w:rsidR="001B0643" w:rsidRPr="00BD1319">
        <w:t>debe</w:t>
      </w:r>
      <w:r w:rsidRPr="00BD1319">
        <w:t>n</w:t>
      </w:r>
      <w:r w:rsidR="001B0643" w:rsidRPr="00BD1319">
        <w:t xml:space="preserve"> </w:t>
      </w:r>
      <w:r w:rsidRPr="00BD1319">
        <w:t xml:space="preserve">asegurar </w:t>
      </w:r>
      <w:r w:rsidR="001B0643" w:rsidRPr="00BD1319">
        <w:t>una probabilidad del 95% y un error de muestreo no mayor al 15%.</w:t>
      </w:r>
    </w:p>
    <w:p w14:paraId="4E8D6A2D" w14:textId="77777777" w:rsidR="001B0643" w:rsidRPr="00BD1319" w:rsidRDefault="001B0643" w:rsidP="009420F5"/>
    <w:p w14:paraId="5CA39669" w14:textId="7EDD4341" w:rsidR="00482A5F" w:rsidRPr="00BD1319" w:rsidRDefault="00482A5F" w:rsidP="00C86DA5">
      <w:pPr>
        <w:pStyle w:val="Prrafodelista"/>
        <w:widowControl w:val="0"/>
        <w:numPr>
          <w:ilvl w:val="0"/>
          <w:numId w:val="374"/>
        </w:numPr>
        <w:ind w:left="567" w:hanging="567"/>
        <w:rPr>
          <w:rFonts w:cs="Arial"/>
          <w:spacing w:val="-3"/>
          <w:lang w:val="es-CO"/>
        </w:rPr>
      </w:pPr>
      <w:r w:rsidRPr="00BD1319">
        <w:rPr>
          <w:rFonts w:cs="Arial"/>
          <w:spacing w:val="-3"/>
          <w:lang w:val="es-CO"/>
        </w:rPr>
        <w:t xml:space="preserve">Certificado </w:t>
      </w:r>
      <w:r w:rsidR="00564B0B" w:rsidRPr="00BD1319">
        <w:rPr>
          <w:rFonts w:cs="Arial"/>
          <w:spacing w:val="-3"/>
          <w:lang w:val="es-CO"/>
        </w:rPr>
        <w:t>de</w:t>
      </w:r>
      <w:r w:rsidRPr="00BD1319">
        <w:rPr>
          <w:rFonts w:cs="Arial"/>
          <w:spacing w:val="-3"/>
          <w:lang w:val="es-CO"/>
        </w:rPr>
        <w:t xml:space="preserve"> </w:t>
      </w:r>
      <w:r w:rsidR="00DE34D4" w:rsidRPr="00BD1319">
        <w:rPr>
          <w:rFonts w:cs="Arial"/>
          <w:spacing w:val="-3"/>
          <w:lang w:val="es-CO"/>
        </w:rPr>
        <w:t xml:space="preserve">determinación </w:t>
      </w:r>
      <w:r w:rsidR="00C02B05" w:rsidRPr="00BD1319">
        <w:rPr>
          <w:rFonts w:cs="Arial"/>
          <w:spacing w:val="-3"/>
          <w:lang w:val="es-CO"/>
        </w:rPr>
        <w:t xml:space="preserve">taxonómica </w:t>
      </w:r>
      <w:r w:rsidRPr="00BD1319">
        <w:rPr>
          <w:rFonts w:cs="Arial"/>
          <w:spacing w:val="-3"/>
          <w:lang w:val="es-CO"/>
        </w:rPr>
        <w:t xml:space="preserve">de </w:t>
      </w:r>
      <w:r w:rsidR="00C02B05" w:rsidRPr="00BD1319">
        <w:rPr>
          <w:rFonts w:cs="Arial"/>
          <w:spacing w:val="-3"/>
          <w:lang w:val="es-CO"/>
        </w:rPr>
        <w:t xml:space="preserve">un </w:t>
      </w:r>
      <w:r w:rsidRPr="00BD1319">
        <w:rPr>
          <w:rFonts w:cs="Arial"/>
          <w:spacing w:val="-3"/>
          <w:lang w:val="es-CO"/>
        </w:rPr>
        <w:t xml:space="preserve">herbario </w:t>
      </w:r>
      <w:r w:rsidR="0059324C" w:rsidRPr="00BD1319">
        <w:rPr>
          <w:rFonts w:cs="Arial"/>
          <w:spacing w:val="-3"/>
          <w:lang w:val="es-CO"/>
        </w:rPr>
        <w:t xml:space="preserve">o especialista </w:t>
      </w:r>
      <w:r w:rsidR="00C02B05" w:rsidRPr="00BD1319">
        <w:rPr>
          <w:rFonts w:cs="Arial"/>
          <w:spacing w:val="-3"/>
          <w:lang w:val="es-CO"/>
        </w:rPr>
        <w:t xml:space="preserve">en el grupo biológico de </w:t>
      </w:r>
      <w:r w:rsidRPr="00BD1319">
        <w:rPr>
          <w:rFonts w:cs="Arial"/>
          <w:spacing w:val="-3"/>
          <w:lang w:val="es-CO"/>
        </w:rPr>
        <w:t xml:space="preserve">las especies en veda </w:t>
      </w:r>
      <w:r w:rsidR="00C02B05" w:rsidRPr="00BD1319">
        <w:rPr>
          <w:rFonts w:cs="Arial"/>
          <w:spacing w:val="-3"/>
          <w:lang w:val="es-CO"/>
        </w:rPr>
        <w:t>con los lineamientos definidos anteriormente, así como el certificado de depósito de los especímenes colectados</w:t>
      </w:r>
      <w:r w:rsidRPr="00BD1319">
        <w:rPr>
          <w:rFonts w:cs="Arial"/>
          <w:spacing w:val="-3"/>
          <w:lang w:val="es-CO"/>
        </w:rPr>
        <w:t>.</w:t>
      </w:r>
    </w:p>
    <w:p w14:paraId="7AA597D6" w14:textId="77777777" w:rsidR="00956DF7" w:rsidRPr="00BD1319" w:rsidRDefault="00956DF7" w:rsidP="00C86DA5">
      <w:pPr>
        <w:widowControl w:val="0"/>
        <w:rPr>
          <w:rFonts w:cs="Arial"/>
          <w:spacing w:val="-3"/>
        </w:rPr>
      </w:pPr>
    </w:p>
    <w:p w14:paraId="0ACE2598" w14:textId="096A16C4" w:rsidR="00482A5F" w:rsidRPr="00BD1319" w:rsidRDefault="0059324C" w:rsidP="00C86DA5">
      <w:pPr>
        <w:pStyle w:val="Prrafodelista"/>
        <w:widowControl w:val="0"/>
        <w:numPr>
          <w:ilvl w:val="0"/>
          <w:numId w:val="374"/>
        </w:numPr>
        <w:ind w:left="567" w:hanging="567"/>
        <w:rPr>
          <w:rFonts w:cs="Arial"/>
          <w:spacing w:val="-3"/>
          <w:lang w:val="es-CO"/>
        </w:rPr>
      </w:pPr>
      <w:r w:rsidRPr="00BD1319">
        <w:rPr>
          <w:rFonts w:cs="Arial"/>
          <w:spacing w:val="-3"/>
          <w:lang w:val="es-CO"/>
        </w:rPr>
        <w:t xml:space="preserve">Determinación taxonómica </w:t>
      </w:r>
      <w:r w:rsidR="00A7251A" w:rsidRPr="00BD1319">
        <w:rPr>
          <w:rFonts w:cs="Arial"/>
          <w:spacing w:val="-3"/>
          <w:lang w:val="es-CO"/>
        </w:rPr>
        <w:t xml:space="preserve">a nivel de especie. En caso de no </w:t>
      </w:r>
      <w:r w:rsidR="00B4318A" w:rsidRPr="00BD1319">
        <w:rPr>
          <w:rFonts w:cs="Arial"/>
          <w:spacing w:val="-3"/>
          <w:lang w:val="es-CO"/>
        </w:rPr>
        <w:t xml:space="preserve">lograr </w:t>
      </w:r>
      <w:r w:rsidR="00A7251A" w:rsidRPr="00BD1319">
        <w:rPr>
          <w:rFonts w:cs="Arial"/>
          <w:spacing w:val="-3"/>
          <w:lang w:val="es-CO"/>
        </w:rPr>
        <w:t xml:space="preserve">la </w:t>
      </w:r>
      <w:r w:rsidR="00B4318A" w:rsidRPr="00BD1319">
        <w:rPr>
          <w:rFonts w:cs="Arial"/>
          <w:spacing w:val="-3"/>
          <w:lang w:val="es-CO"/>
        </w:rPr>
        <w:t xml:space="preserve">determinación a nivel de </w:t>
      </w:r>
      <w:r w:rsidR="00A7251A" w:rsidRPr="00BD1319">
        <w:rPr>
          <w:rFonts w:cs="Arial"/>
          <w:spacing w:val="-3"/>
          <w:lang w:val="es-CO"/>
        </w:rPr>
        <w:t>especie</w:t>
      </w:r>
      <w:r w:rsidR="00B4318A" w:rsidRPr="00BD1319">
        <w:rPr>
          <w:rFonts w:cs="Arial"/>
          <w:spacing w:val="-3"/>
          <w:lang w:val="es-CO"/>
        </w:rPr>
        <w:t>,</w:t>
      </w:r>
      <w:r w:rsidR="00A7251A" w:rsidRPr="00BD1319">
        <w:rPr>
          <w:rFonts w:cs="Arial"/>
          <w:spacing w:val="-3"/>
          <w:lang w:val="es-CO"/>
        </w:rPr>
        <w:t xml:space="preserve"> se deben señalar las razones que impidieron </w:t>
      </w:r>
      <w:r w:rsidR="00B4318A" w:rsidRPr="00BD1319">
        <w:rPr>
          <w:rFonts w:cs="Arial"/>
          <w:spacing w:val="-3"/>
          <w:lang w:val="es-CO"/>
        </w:rPr>
        <w:t xml:space="preserve">tal determinación </w:t>
      </w:r>
      <w:r w:rsidR="00A7251A" w:rsidRPr="00BD1319">
        <w:rPr>
          <w:rFonts w:cs="Arial"/>
          <w:spacing w:val="-3"/>
          <w:lang w:val="es-CO"/>
        </w:rPr>
        <w:t xml:space="preserve">y </w:t>
      </w:r>
      <w:r w:rsidR="00B4318A" w:rsidRPr="00BD1319">
        <w:rPr>
          <w:rFonts w:cs="Arial"/>
          <w:spacing w:val="-3"/>
          <w:lang w:val="es-CO"/>
        </w:rPr>
        <w:t xml:space="preserve">determinar </w:t>
      </w:r>
      <w:r w:rsidR="00A7251A" w:rsidRPr="00BD1319">
        <w:rPr>
          <w:rFonts w:cs="Arial"/>
          <w:spacing w:val="-3"/>
          <w:lang w:val="es-CO"/>
        </w:rPr>
        <w:t xml:space="preserve">el espécimen </w:t>
      </w:r>
      <w:r w:rsidR="00B4318A" w:rsidRPr="00BD1319">
        <w:rPr>
          <w:rFonts w:cs="Arial"/>
          <w:spacing w:val="-3"/>
          <w:lang w:val="es-CO"/>
        </w:rPr>
        <w:t xml:space="preserve">como mínimo </w:t>
      </w:r>
      <w:r w:rsidR="00A7251A" w:rsidRPr="00BD1319">
        <w:rPr>
          <w:rFonts w:cs="Arial"/>
          <w:spacing w:val="-3"/>
          <w:lang w:val="es-CO"/>
        </w:rPr>
        <w:t>a nivel de género</w:t>
      </w:r>
      <w:r w:rsidR="00482A5F" w:rsidRPr="00BD1319">
        <w:rPr>
          <w:rFonts w:cs="Arial"/>
          <w:spacing w:val="-3"/>
          <w:lang w:val="es-CO"/>
        </w:rPr>
        <w:t>.</w:t>
      </w:r>
    </w:p>
    <w:p w14:paraId="7833606D" w14:textId="77777777" w:rsidR="00956DF7" w:rsidRPr="00BD1319" w:rsidRDefault="00956DF7" w:rsidP="00C86DA5">
      <w:pPr>
        <w:widowControl w:val="0"/>
        <w:rPr>
          <w:rFonts w:cs="Arial"/>
          <w:spacing w:val="-3"/>
        </w:rPr>
      </w:pPr>
    </w:p>
    <w:p w14:paraId="2184FDD4" w14:textId="48919420" w:rsidR="00482A5F" w:rsidRPr="00BD1319" w:rsidRDefault="00482A5F" w:rsidP="00C86DA5">
      <w:pPr>
        <w:pStyle w:val="Prrafodelista"/>
        <w:widowControl w:val="0"/>
        <w:numPr>
          <w:ilvl w:val="0"/>
          <w:numId w:val="374"/>
        </w:numPr>
        <w:ind w:left="567" w:hanging="567"/>
        <w:rPr>
          <w:rFonts w:cs="Arial"/>
          <w:spacing w:val="-3"/>
          <w:lang w:val="es-CO"/>
        </w:rPr>
      </w:pPr>
      <w:r w:rsidRPr="00BD1319">
        <w:rPr>
          <w:rFonts w:cs="Arial"/>
          <w:spacing w:val="-3"/>
          <w:lang w:val="es-CO"/>
        </w:rPr>
        <w:t xml:space="preserve">Coordenadas de ubicación </w:t>
      </w:r>
      <w:r w:rsidR="00A7251A" w:rsidRPr="00BD1319">
        <w:rPr>
          <w:rFonts w:cs="Arial"/>
          <w:spacing w:val="-3"/>
          <w:lang w:val="es-CO"/>
        </w:rPr>
        <w:t>de las unidades de muestreo (</w:t>
      </w:r>
      <w:proofErr w:type="spellStart"/>
      <w:r w:rsidR="00A7251A" w:rsidRPr="00BD1319">
        <w:rPr>
          <w:rFonts w:cs="Arial"/>
          <w:spacing w:val="-3"/>
          <w:lang w:val="es-CO"/>
        </w:rPr>
        <w:t>forófitos</w:t>
      </w:r>
      <w:proofErr w:type="spellEnd"/>
      <w:r w:rsidR="00A7251A" w:rsidRPr="00BD1319">
        <w:rPr>
          <w:rFonts w:cs="Arial"/>
          <w:spacing w:val="-3"/>
          <w:lang w:val="es-CO"/>
        </w:rPr>
        <w:t xml:space="preserve"> o parcelas terrestres)</w:t>
      </w:r>
      <w:r w:rsidR="00E213CB" w:rsidRPr="00BD1319">
        <w:rPr>
          <w:rFonts w:cs="Arial"/>
          <w:spacing w:val="-3"/>
          <w:lang w:val="es-CO"/>
        </w:rPr>
        <w:t xml:space="preserve"> en las que se registraron especies en veda</w:t>
      </w:r>
      <w:r w:rsidR="00F71FB5" w:rsidRPr="00BD1319">
        <w:rPr>
          <w:rFonts w:cs="Arial"/>
          <w:spacing w:val="-3"/>
          <w:lang w:val="es-CO"/>
        </w:rPr>
        <w:t>,</w:t>
      </w:r>
      <w:r w:rsidRPr="00BD1319">
        <w:rPr>
          <w:rFonts w:cs="Arial"/>
          <w:spacing w:val="-3"/>
          <w:lang w:val="es-CO"/>
        </w:rPr>
        <w:t xml:space="preserve"> con sistema de referencia Magna</w:t>
      </w:r>
      <w:r w:rsidR="00EC20C8" w:rsidRPr="00BD1319">
        <w:rPr>
          <w:rFonts w:cs="Arial"/>
          <w:spacing w:val="-3"/>
          <w:lang w:val="es-CO"/>
        </w:rPr>
        <w:t>-</w:t>
      </w:r>
      <w:r w:rsidRPr="00BD1319">
        <w:rPr>
          <w:rFonts w:cs="Arial"/>
          <w:spacing w:val="-3"/>
          <w:lang w:val="es-CO"/>
        </w:rPr>
        <w:t>Sirgas (origen</w:t>
      </w:r>
      <w:r w:rsidR="00FE1B66" w:rsidRPr="00BD1319">
        <w:rPr>
          <w:rFonts w:cs="Arial"/>
          <w:spacing w:val="-3"/>
          <w:lang w:val="es-CO"/>
        </w:rPr>
        <w:t xml:space="preserve"> nacional</w:t>
      </w:r>
      <w:r w:rsidRPr="00BD1319">
        <w:rPr>
          <w:rFonts w:cs="Arial"/>
          <w:spacing w:val="-3"/>
          <w:lang w:val="es-CO"/>
        </w:rPr>
        <w:t>)</w:t>
      </w:r>
      <w:r w:rsidR="00564B0B" w:rsidRPr="00BD1319">
        <w:rPr>
          <w:rFonts w:cs="Arial"/>
          <w:spacing w:val="-3"/>
          <w:lang w:val="es-CO"/>
        </w:rPr>
        <w:t xml:space="preserve"> y</w:t>
      </w:r>
      <w:r w:rsidRPr="00BD1319">
        <w:rPr>
          <w:rFonts w:cs="Arial"/>
          <w:spacing w:val="-3"/>
          <w:lang w:val="es-CO"/>
        </w:rPr>
        <w:t xml:space="preserve"> localiza</w:t>
      </w:r>
      <w:r w:rsidR="00564B0B" w:rsidRPr="00BD1319">
        <w:rPr>
          <w:rFonts w:cs="Arial"/>
          <w:spacing w:val="-3"/>
          <w:lang w:val="es-CO"/>
        </w:rPr>
        <w:t>ción</w:t>
      </w:r>
      <w:r w:rsidRPr="00BD1319">
        <w:rPr>
          <w:rFonts w:cs="Arial"/>
          <w:spacing w:val="-3"/>
          <w:lang w:val="es-CO"/>
        </w:rPr>
        <w:t xml:space="preserve"> </w:t>
      </w:r>
      <w:r w:rsidR="00EF15FE" w:rsidRPr="00BD1319">
        <w:rPr>
          <w:rFonts w:cs="Arial"/>
          <w:spacing w:val="-3"/>
          <w:lang w:val="es-CO"/>
        </w:rPr>
        <w:t xml:space="preserve">dichas unidades </w:t>
      </w:r>
      <w:r w:rsidRPr="00BD1319">
        <w:rPr>
          <w:rFonts w:cs="Arial"/>
          <w:spacing w:val="-3"/>
          <w:lang w:val="es-CO"/>
        </w:rPr>
        <w:t>en el mapa de coberturas de la tierra</w:t>
      </w:r>
      <w:r w:rsidR="0059324C" w:rsidRPr="00BD1319">
        <w:rPr>
          <w:rFonts w:cs="Arial"/>
          <w:spacing w:val="-3"/>
          <w:lang w:val="es-CO"/>
        </w:rPr>
        <w:t xml:space="preserve"> y en el de ecosistemas</w:t>
      </w:r>
      <w:r w:rsidRPr="00BD1319">
        <w:rPr>
          <w:rFonts w:cs="Arial"/>
          <w:spacing w:val="-3"/>
          <w:lang w:val="es-CO"/>
        </w:rPr>
        <w:t>.</w:t>
      </w:r>
    </w:p>
    <w:p w14:paraId="728ABD58" w14:textId="77777777" w:rsidR="00956DF7" w:rsidRPr="00BD1319" w:rsidRDefault="00956DF7" w:rsidP="00C86DA5">
      <w:pPr>
        <w:widowControl w:val="0"/>
        <w:rPr>
          <w:rFonts w:cs="Arial"/>
          <w:spacing w:val="-3"/>
        </w:rPr>
      </w:pPr>
    </w:p>
    <w:p w14:paraId="2704F213" w14:textId="65309C5B" w:rsidR="00985379" w:rsidRPr="00BD1319" w:rsidRDefault="00515515">
      <w:pPr>
        <w:pStyle w:val="Prrafodelista"/>
        <w:widowControl w:val="0"/>
        <w:numPr>
          <w:ilvl w:val="0"/>
          <w:numId w:val="374"/>
        </w:numPr>
        <w:ind w:left="567" w:hanging="567"/>
        <w:rPr>
          <w:rFonts w:cs="Arial"/>
          <w:spacing w:val="-3"/>
          <w:lang w:val="es-CO"/>
        </w:rPr>
      </w:pPr>
      <w:r w:rsidRPr="00BD1319">
        <w:rPr>
          <w:rFonts w:cs="Arial"/>
          <w:spacing w:val="-3"/>
          <w:lang w:val="es-CO"/>
        </w:rPr>
        <w:t>D</w:t>
      </w:r>
      <w:r w:rsidR="007D0864" w:rsidRPr="00BD1319">
        <w:rPr>
          <w:rFonts w:cs="Arial"/>
          <w:spacing w:val="-3"/>
          <w:lang w:val="es-CO"/>
        </w:rPr>
        <w:t>iversidad</w:t>
      </w:r>
      <w:r w:rsidR="00985379" w:rsidRPr="00BD1319">
        <w:rPr>
          <w:rFonts w:cs="Arial"/>
          <w:spacing w:val="-3"/>
          <w:lang w:val="es-CO"/>
        </w:rPr>
        <w:t>:</w:t>
      </w:r>
    </w:p>
    <w:p w14:paraId="03C791BB" w14:textId="77777777" w:rsidR="00985379" w:rsidRPr="00BD1319" w:rsidRDefault="00985379" w:rsidP="008A4FE9">
      <w:pPr>
        <w:pStyle w:val="Prrafodelista"/>
        <w:rPr>
          <w:rFonts w:cs="Arial"/>
          <w:spacing w:val="-3"/>
          <w:lang w:val="es-CO"/>
        </w:rPr>
      </w:pPr>
    </w:p>
    <w:p w14:paraId="09D88E42" w14:textId="3B597816" w:rsidR="00515515" w:rsidRPr="00BD1319" w:rsidRDefault="00985379" w:rsidP="008A4FE9">
      <w:pPr>
        <w:numPr>
          <w:ilvl w:val="1"/>
          <w:numId w:val="87"/>
        </w:numPr>
        <w:tabs>
          <w:tab w:val="left" w:pos="-2268"/>
        </w:tabs>
        <w:suppressAutoHyphens/>
        <w:ind w:left="1134" w:hanging="567"/>
        <w:rPr>
          <w:bCs/>
          <w:spacing w:val="-3"/>
        </w:rPr>
      </w:pPr>
      <w:r w:rsidRPr="00BD1319">
        <w:rPr>
          <w:bCs/>
          <w:spacing w:val="-3"/>
        </w:rPr>
        <w:t>A</w:t>
      </w:r>
      <w:r w:rsidR="007D0864" w:rsidRPr="00BD1319">
        <w:rPr>
          <w:bCs/>
          <w:spacing w:val="-3"/>
        </w:rPr>
        <w:t>lfa</w:t>
      </w:r>
      <w:r w:rsidR="00D42CBC" w:rsidRPr="00BD1319">
        <w:rPr>
          <w:bCs/>
          <w:spacing w:val="-3"/>
        </w:rPr>
        <w:t>.</w:t>
      </w:r>
      <w:r w:rsidR="007D0864" w:rsidRPr="00BD1319">
        <w:rPr>
          <w:bCs/>
          <w:spacing w:val="-3"/>
        </w:rPr>
        <w:t xml:space="preserve"> </w:t>
      </w:r>
      <w:r w:rsidR="001161C0" w:rsidRPr="00BD1319">
        <w:rPr>
          <w:bCs/>
          <w:spacing w:val="-3"/>
        </w:rPr>
        <w:t>De</w:t>
      </w:r>
      <w:r w:rsidR="00D42CBC" w:rsidRPr="00BD1319">
        <w:rPr>
          <w:bCs/>
          <w:spacing w:val="-3"/>
        </w:rPr>
        <w:t xml:space="preserve"> </w:t>
      </w:r>
      <w:r w:rsidR="007D0864" w:rsidRPr="00BD1319">
        <w:rPr>
          <w:bCs/>
          <w:spacing w:val="-3"/>
        </w:rPr>
        <w:t xml:space="preserve">cada grupo biológico y hábito </w:t>
      </w:r>
      <w:r w:rsidR="00515515" w:rsidRPr="00BD1319">
        <w:rPr>
          <w:bCs/>
          <w:spacing w:val="-3"/>
        </w:rPr>
        <w:t xml:space="preserve">para el área de influencia y para cada uno de sus </w:t>
      </w:r>
      <w:r w:rsidR="007D0864" w:rsidRPr="00BD1319">
        <w:rPr>
          <w:bCs/>
          <w:spacing w:val="-3"/>
        </w:rPr>
        <w:t>ecosistema</w:t>
      </w:r>
      <w:r w:rsidR="00515515" w:rsidRPr="00BD1319">
        <w:rPr>
          <w:bCs/>
          <w:spacing w:val="-3"/>
        </w:rPr>
        <w:t>s;</w:t>
      </w:r>
      <w:r w:rsidR="007D0864" w:rsidRPr="00BD1319">
        <w:rPr>
          <w:bCs/>
          <w:spacing w:val="-3"/>
        </w:rPr>
        <w:t xml:space="preserve"> </w:t>
      </w:r>
      <w:r w:rsidR="00515515" w:rsidRPr="00BD1319">
        <w:rPr>
          <w:bCs/>
          <w:spacing w:val="-3"/>
        </w:rPr>
        <w:t xml:space="preserve">se debe señalar </w:t>
      </w:r>
      <w:r w:rsidR="007D0864" w:rsidRPr="00BD1319">
        <w:rPr>
          <w:bCs/>
          <w:spacing w:val="-3"/>
        </w:rPr>
        <w:t>la riqueza, composición, abundancia o cobertura</w:t>
      </w:r>
      <w:r w:rsidR="00A356F3" w:rsidRPr="00BD1319">
        <w:rPr>
          <w:bCs/>
          <w:spacing w:val="-3"/>
        </w:rPr>
        <w:t xml:space="preserve"> (para no vasculares)</w:t>
      </w:r>
      <w:r w:rsidR="00EF15FE" w:rsidRPr="00BD1319">
        <w:rPr>
          <w:bCs/>
          <w:spacing w:val="-3"/>
        </w:rPr>
        <w:t xml:space="preserve"> y</w:t>
      </w:r>
      <w:r w:rsidR="007D0864" w:rsidRPr="00BD1319">
        <w:rPr>
          <w:bCs/>
          <w:spacing w:val="-3"/>
        </w:rPr>
        <w:t xml:space="preserve"> frecuencia</w:t>
      </w:r>
      <w:r w:rsidR="00EF15FE" w:rsidRPr="00BD1319">
        <w:rPr>
          <w:bCs/>
          <w:spacing w:val="-3"/>
        </w:rPr>
        <w:t>.</w:t>
      </w:r>
      <w:r w:rsidR="007D0864" w:rsidRPr="00BD1319">
        <w:rPr>
          <w:bCs/>
          <w:spacing w:val="-3"/>
        </w:rPr>
        <w:t xml:space="preserve"> </w:t>
      </w:r>
      <w:r w:rsidR="00EF15FE" w:rsidRPr="00BD1319">
        <w:rPr>
          <w:bCs/>
          <w:spacing w:val="-3"/>
        </w:rPr>
        <w:t xml:space="preserve">Asimismo, se debe cómo se distribuye la diversidad vertical (mencionando, por ejemplo, la preferencia de </w:t>
      </w:r>
      <w:proofErr w:type="spellStart"/>
      <w:r w:rsidR="00EF15FE" w:rsidRPr="00BD1319">
        <w:rPr>
          <w:bCs/>
          <w:spacing w:val="-3"/>
        </w:rPr>
        <w:t>forófitos</w:t>
      </w:r>
      <w:proofErr w:type="spellEnd"/>
      <w:r w:rsidR="00EF15FE" w:rsidRPr="00BD1319">
        <w:rPr>
          <w:bCs/>
          <w:spacing w:val="-3"/>
        </w:rPr>
        <w:t xml:space="preserve"> para las epífitas) y horizontalmente (aludiendo a los sustratos y otras características)</w:t>
      </w:r>
      <w:r w:rsidR="007D0864" w:rsidRPr="00BD1319">
        <w:rPr>
          <w:bCs/>
          <w:spacing w:val="-3"/>
        </w:rPr>
        <w:t>.</w:t>
      </w:r>
    </w:p>
    <w:p w14:paraId="53D62236" w14:textId="77777777" w:rsidR="00515515" w:rsidRPr="00BD1319" w:rsidRDefault="00515515" w:rsidP="008A4FE9">
      <w:pPr>
        <w:tabs>
          <w:tab w:val="left" w:pos="-2268"/>
        </w:tabs>
        <w:suppressAutoHyphens/>
        <w:rPr>
          <w:bCs/>
          <w:spacing w:val="-3"/>
        </w:rPr>
      </w:pPr>
    </w:p>
    <w:p w14:paraId="4D49AB49" w14:textId="02E6D6FF" w:rsidR="007D0864" w:rsidRPr="00BD1319" w:rsidRDefault="00985379" w:rsidP="008A4FE9">
      <w:pPr>
        <w:numPr>
          <w:ilvl w:val="1"/>
          <w:numId w:val="87"/>
        </w:numPr>
        <w:tabs>
          <w:tab w:val="left" w:pos="-2268"/>
        </w:tabs>
        <w:suppressAutoHyphens/>
        <w:ind w:left="1134" w:hanging="567"/>
        <w:rPr>
          <w:bCs/>
          <w:spacing w:val="-3"/>
        </w:rPr>
      </w:pPr>
      <w:r w:rsidRPr="00BD1319">
        <w:rPr>
          <w:bCs/>
          <w:spacing w:val="-3"/>
        </w:rPr>
        <w:t>B</w:t>
      </w:r>
      <w:r w:rsidR="007D0864" w:rsidRPr="00BD1319">
        <w:rPr>
          <w:bCs/>
          <w:spacing w:val="-3"/>
        </w:rPr>
        <w:t>eta</w:t>
      </w:r>
      <w:r w:rsidR="00D42CBC" w:rsidRPr="00BD1319">
        <w:rPr>
          <w:bCs/>
          <w:spacing w:val="-3"/>
        </w:rPr>
        <w:t>.</w:t>
      </w:r>
      <w:r w:rsidR="007D0864" w:rsidRPr="00BD1319">
        <w:rPr>
          <w:bCs/>
          <w:spacing w:val="-3"/>
        </w:rPr>
        <w:t xml:space="preserve"> </w:t>
      </w:r>
      <w:r w:rsidR="001161C0" w:rsidRPr="00BD1319">
        <w:rPr>
          <w:bCs/>
          <w:spacing w:val="-3"/>
        </w:rPr>
        <w:t>De cada grupo biológico y hábito</w:t>
      </w:r>
      <w:r w:rsidR="00EF15FE" w:rsidRPr="00BD1319">
        <w:rPr>
          <w:bCs/>
          <w:spacing w:val="-3"/>
        </w:rPr>
        <w:t xml:space="preserve"> entre los ecosistemas del área de influencia del componente</w:t>
      </w:r>
      <w:r w:rsidR="001161C0" w:rsidRPr="00BD1319">
        <w:rPr>
          <w:bCs/>
          <w:spacing w:val="-3"/>
        </w:rPr>
        <w:t>, s</w:t>
      </w:r>
      <w:r w:rsidR="00515515" w:rsidRPr="00BD1319">
        <w:rPr>
          <w:bCs/>
          <w:spacing w:val="-3"/>
        </w:rPr>
        <w:t xml:space="preserve">eñalando </w:t>
      </w:r>
      <w:r w:rsidR="007D0864" w:rsidRPr="00BD1319">
        <w:rPr>
          <w:bCs/>
          <w:spacing w:val="-3"/>
        </w:rPr>
        <w:t>la estructura y funci</w:t>
      </w:r>
      <w:r w:rsidR="00EF15FE" w:rsidRPr="00BD1319">
        <w:rPr>
          <w:bCs/>
          <w:spacing w:val="-3"/>
        </w:rPr>
        <w:t xml:space="preserve">ón </w:t>
      </w:r>
      <w:r w:rsidR="007D0864" w:rsidRPr="00BD1319">
        <w:rPr>
          <w:bCs/>
          <w:spacing w:val="-3"/>
        </w:rPr>
        <w:t>de estas especies.</w:t>
      </w:r>
    </w:p>
    <w:p w14:paraId="1E3CEE15" w14:textId="77777777" w:rsidR="007D0864" w:rsidRPr="00BD1319" w:rsidRDefault="007D0864" w:rsidP="008A4FE9">
      <w:pPr>
        <w:pStyle w:val="Prrafodelista"/>
        <w:widowControl w:val="0"/>
        <w:ind w:left="567"/>
        <w:rPr>
          <w:rFonts w:cs="Arial"/>
          <w:spacing w:val="-3"/>
          <w:lang w:val="es-CO"/>
        </w:rPr>
      </w:pPr>
    </w:p>
    <w:p w14:paraId="287056E2" w14:textId="6CD2AA82" w:rsidR="00F1014C" w:rsidRPr="00BD1319" w:rsidRDefault="00985379">
      <w:pPr>
        <w:pStyle w:val="Prrafodelista"/>
        <w:widowControl w:val="0"/>
        <w:ind w:left="567"/>
        <w:rPr>
          <w:rFonts w:cs="Arial"/>
          <w:spacing w:val="-3"/>
          <w:lang w:val="es-CO"/>
        </w:rPr>
      </w:pPr>
      <w:r w:rsidRPr="00BD1319">
        <w:rPr>
          <w:rFonts w:cs="Arial"/>
          <w:spacing w:val="-3"/>
          <w:lang w:val="es-CO"/>
        </w:rPr>
        <w:t xml:space="preserve">La </w:t>
      </w:r>
      <w:r w:rsidR="00D42CBC" w:rsidRPr="00BD1319">
        <w:rPr>
          <w:rFonts w:cs="Arial"/>
          <w:spacing w:val="-3"/>
          <w:lang w:val="es-CO"/>
        </w:rPr>
        <w:t>estimación</w:t>
      </w:r>
      <w:r w:rsidRPr="00BD1319">
        <w:rPr>
          <w:rFonts w:cs="Arial"/>
          <w:spacing w:val="-3"/>
          <w:lang w:val="es-CO"/>
        </w:rPr>
        <w:t xml:space="preserve"> y análisis de la diversidad alfa y beta (o verdadera)</w:t>
      </w:r>
      <w:r w:rsidR="00D42CBC" w:rsidRPr="00BD1319">
        <w:rPr>
          <w:rFonts w:cs="Arial"/>
          <w:spacing w:val="-3"/>
          <w:lang w:val="es-CO"/>
        </w:rPr>
        <w:t xml:space="preserve"> </w:t>
      </w:r>
      <w:r w:rsidR="007D0864" w:rsidRPr="00BD1319">
        <w:rPr>
          <w:rFonts w:cs="Arial"/>
          <w:spacing w:val="-3"/>
          <w:lang w:val="es-CO"/>
        </w:rPr>
        <w:t xml:space="preserve">puede </w:t>
      </w:r>
      <w:r w:rsidRPr="00BD1319">
        <w:rPr>
          <w:rFonts w:cs="Arial"/>
          <w:spacing w:val="-3"/>
          <w:lang w:val="es-CO"/>
        </w:rPr>
        <w:t xml:space="preserve">realizarse mediante </w:t>
      </w:r>
      <w:r w:rsidR="007D0864" w:rsidRPr="00BD1319">
        <w:rPr>
          <w:rFonts w:cs="Arial"/>
          <w:spacing w:val="-3"/>
          <w:lang w:val="es-CO"/>
        </w:rPr>
        <w:t xml:space="preserve">programas estadísticos. </w:t>
      </w:r>
      <w:r w:rsidR="00D42CBC" w:rsidRPr="00BD1319">
        <w:rPr>
          <w:rFonts w:cs="Arial"/>
          <w:spacing w:val="-3"/>
          <w:lang w:val="es-CO"/>
        </w:rPr>
        <w:t xml:space="preserve">En cualquier caso, </w:t>
      </w:r>
      <w:r w:rsidR="00404F40" w:rsidRPr="00BD1319">
        <w:rPr>
          <w:rFonts w:cs="Arial"/>
          <w:spacing w:val="-3"/>
          <w:lang w:val="es-CO"/>
        </w:rPr>
        <w:t xml:space="preserve">es necesario </w:t>
      </w:r>
      <w:r w:rsidR="007D0864" w:rsidRPr="00BD1319">
        <w:rPr>
          <w:rFonts w:cs="Arial"/>
          <w:spacing w:val="-3"/>
          <w:lang w:val="es-CO"/>
        </w:rPr>
        <w:t>describi</w:t>
      </w:r>
      <w:r w:rsidR="00D42CBC" w:rsidRPr="00BD1319">
        <w:rPr>
          <w:rFonts w:cs="Arial"/>
          <w:spacing w:val="-3"/>
          <w:lang w:val="es-CO"/>
        </w:rPr>
        <w:t xml:space="preserve">r </w:t>
      </w:r>
      <w:r w:rsidR="00F1014C" w:rsidRPr="00BD1319">
        <w:rPr>
          <w:rFonts w:cs="Arial"/>
          <w:spacing w:val="-3"/>
          <w:lang w:val="es-CO"/>
        </w:rPr>
        <w:t>para cada grupo biológico y hábito</w:t>
      </w:r>
      <w:r w:rsidR="00EF15FE" w:rsidRPr="00BD1319">
        <w:rPr>
          <w:rFonts w:cs="Arial"/>
          <w:spacing w:val="-3"/>
          <w:lang w:val="es-CO"/>
        </w:rPr>
        <w:t>,</w:t>
      </w:r>
      <w:r w:rsidR="00F1014C" w:rsidRPr="00BD1319">
        <w:rPr>
          <w:rFonts w:cs="Arial"/>
          <w:spacing w:val="-3"/>
          <w:lang w:val="es-CO"/>
        </w:rPr>
        <w:t xml:space="preserve"> </w:t>
      </w:r>
      <w:r w:rsidR="00D42CBC" w:rsidRPr="00BD1319">
        <w:rPr>
          <w:rFonts w:cs="Arial"/>
          <w:spacing w:val="-3"/>
          <w:lang w:val="es-CO"/>
        </w:rPr>
        <w:t xml:space="preserve">el muestreo y </w:t>
      </w:r>
      <w:r w:rsidR="007D0864" w:rsidRPr="00BD1319">
        <w:rPr>
          <w:rFonts w:cs="Arial"/>
          <w:spacing w:val="-3"/>
          <w:lang w:val="es-CO"/>
        </w:rPr>
        <w:t xml:space="preserve">el método de análisis </w:t>
      </w:r>
      <w:r w:rsidR="00D42CBC" w:rsidRPr="00BD1319">
        <w:rPr>
          <w:rFonts w:cs="Arial"/>
          <w:spacing w:val="-3"/>
          <w:lang w:val="es-CO"/>
        </w:rPr>
        <w:t>empleado</w:t>
      </w:r>
      <w:r w:rsidR="00404F40" w:rsidRPr="00BD1319">
        <w:rPr>
          <w:rFonts w:cs="Arial"/>
          <w:spacing w:val="-3"/>
          <w:lang w:val="es-CO"/>
        </w:rPr>
        <w:t>s</w:t>
      </w:r>
      <w:r w:rsidR="00920DFC" w:rsidRPr="00BD1319">
        <w:rPr>
          <w:rFonts w:cs="Arial"/>
          <w:spacing w:val="-3"/>
          <w:lang w:val="es-CO"/>
        </w:rPr>
        <w:t>.</w:t>
      </w:r>
    </w:p>
    <w:p w14:paraId="3DD18E11" w14:textId="1B4C92C0" w:rsidR="0059324C" w:rsidRPr="00BD1319" w:rsidRDefault="0059324C" w:rsidP="009420F5">
      <w:pPr>
        <w:rPr>
          <w:rFonts w:cs="Arial"/>
          <w:spacing w:val="-3"/>
        </w:rPr>
      </w:pPr>
    </w:p>
    <w:p w14:paraId="5B921F2C" w14:textId="63A69701" w:rsidR="00482A5F" w:rsidRPr="00BD1319" w:rsidRDefault="0059324C" w:rsidP="00C86DA5">
      <w:pPr>
        <w:pStyle w:val="Prrafodelista"/>
        <w:widowControl w:val="0"/>
        <w:numPr>
          <w:ilvl w:val="0"/>
          <w:numId w:val="374"/>
        </w:numPr>
        <w:ind w:left="567" w:hanging="567"/>
        <w:rPr>
          <w:rFonts w:cs="Arial"/>
          <w:spacing w:val="-3"/>
          <w:lang w:val="es-CO"/>
        </w:rPr>
      </w:pPr>
      <w:r w:rsidRPr="00BD1319">
        <w:rPr>
          <w:rFonts w:cs="Arial"/>
          <w:spacing w:val="-3"/>
          <w:lang w:val="es-CO"/>
        </w:rPr>
        <w:t xml:space="preserve">Registro </w:t>
      </w:r>
      <w:r w:rsidR="00482A5F" w:rsidRPr="00BD1319">
        <w:rPr>
          <w:rFonts w:cs="Arial"/>
          <w:spacing w:val="-3"/>
          <w:lang w:val="es-CO"/>
        </w:rPr>
        <w:t>fotográfico de las especies en campo</w:t>
      </w:r>
      <w:r w:rsidRPr="00BD1319">
        <w:rPr>
          <w:rStyle w:val="Refdenotaalpie"/>
          <w:rFonts w:cs="Arial"/>
          <w:spacing w:val="-3"/>
          <w:lang w:val="es-CO"/>
        </w:rPr>
        <w:footnoteReference w:id="130"/>
      </w:r>
      <w:r w:rsidR="00482A5F" w:rsidRPr="00BD1319">
        <w:rPr>
          <w:rFonts w:cs="Arial"/>
          <w:spacing w:val="-3"/>
          <w:lang w:val="es-CO"/>
        </w:rPr>
        <w:t xml:space="preserve"> que contenga:</w:t>
      </w:r>
    </w:p>
    <w:p w14:paraId="0EA9265F" w14:textId="77777777" w:rsidR="0049660B" w:rsidRPr="00BD1319" w:rsidRDefault="0049660B" w:rsidP="00C86DA5">
      <w:pPr>
        <w:widowControl w:val="0"/>
        <w:rPr>
          <w:rFonts w:cs="Arial"/>
          <w:spacing w:val="-3"/>
        </w:rPr>
      </w:pPr>
    </w:p>
    <w:p w14:paraId="58282027" w14:textId="2C49887B" w:rsidR="00482A5F" w:rsidRPr="00BD1319" w:rsidRDefault="00482A5F" w:rsidP="00C86DA5">
      <w:pPr>
        <w:numPr>
          <w:ilvl w:val="1"/>
          <w:numId w:val="87"/>
        </w:numPr>
        <w:tabs>
          <w:tab w:val="left" w:pos="-2268"/>
        </w:tabs>
        <w:suppressAutoHyphens/>
        <w:ind w:left="1134" w:hanging="567"/>
        <w:rPr>
          <w:spacing w:val="-3"/>
        </w:rPr>
      </w:pPr>
      <w:r w:rsidRPr="00BD1319">
        <w:rPr>
          <w:spacing w:val="-3"/>
        </w:rPr>
        <w:t xml:space="preserve">Coordenadas de localización y fecha de </w:t>
      </w:r>
      <w:r w:rsidR="0059324C" w:rsidRPr="00BD1319">
        <w:rPr>
          <w:spacing w:val="-3"/>
        </w:rPr>
        <w:t xml:space="preserve">captura </w:t>
      </w:r>
      <w:r w:rsidRPr="00BD1319">
        <w:rPr>
          <w:spacing w:val="-3"/>
        </w:rPr>
        <w:t xml:space="preserve">de la </w:t>
      </w:r>
      <w:r w:rsidR="0059324C" w:rsidRPr="00BD1319">
        <w:rPr>
          <w:spacing w:val="-3"/>
        </w:rPr>
        <w:t>fotografía en campo</w:t>
      </w:r>
      <w:r w:rsidRPr="00BD1319">
        <w:rPr>
          <w:spacing w:val="-3"/>
        </w:rPr>
        <w:t>.</w:t>
      </w:r>
    </w:p>
    <w:p w14:paraId="0754AC01" w14:textId="77777777" w:rsidR="0049660B" w:rsidRPr="00BD1319" w:rsidRDefault="0049660B" w:rsidP="009420F5">
      <w:pPr>
        <w:tabs>
          <w:tab w:val="left" w:pos="-2268"/>
        </w:tabs>
        <w:suppressAutoHyphens/>
        <w:rPr>
          <w:spacing w:val="-3"/>
        </w:rPr>
      </w:pPr>
    </w:p>
    <w:p w14:paraId="24CA1762" w14:textId="16461F66" w:rsidR="0059324C" w:rsidRPr="00BD1319" w:rsidRDefault="00F71FB5" w:rsidP="003351AD">
      <w:pPr>
        <w:numPr>
          <w:ilvl w:val="1"/>
          <w:numId w:val="87"/>
        </w:numPr>
        <w:tabs>
          <w:tab w:val="left" w:pos="-2268"/>
        </w:tabs>
        <w:suppressAutoHyphens/>
        <w:ind w:left="1134" w:hanging="567"/>
        <w:rPr>
          <w:spacing w:val="-3"/>
        </w:rPr>
      </w:pPr>
      <w:r w:rsidRPr="00BD1319">
        <w:rPr>
          <w:spacing w:val="-3"/>
        </w:rPr>
        <w:t>F</w:t>
      </w:r>
      <w:r w:rsidR="0059324C" w:rsidRPr="00BD1319">
        <w:rPr>
          <w:spacing w:val="-3"/>
        </w:rPr>
        <w:t xml:space="preserve">otografía </w:t>
      </w:r>
      <w:r w:rsidR="00482A5F" w:rsidRPr="00BD1319">
        <w:rPr>
          <w:spacing w:val="-3"/>
        </w:rPr>
        <w:t>del espécimen observado en campo</w:t>
      </w:r>
      <w:r w:rsidR="00DB3785" w:rsidRPr="00BD1319">
        <w:rPr>
          <w:spacing w:val="-3"/>
        </w:rPr>
        <w:t>;</w:t>
      </w:r>
      <w:r w:rsidR="00482A5F" w:rsidRPr="00BD1319">
        <w:rPr>
          <w:spacing w:val="-3"/>
        </w:rPr>
        <w:t xml:space="preserve"> </w:t>
      </w:r>
      <w:r w:rsidR="00DB3785" w:rsidRPr="00BD1319">
        <w:rPr>
          <w:spacing w:val="-3"/>
        </w:rPr>
        <w:t xml:space="preserve">es posible </w:t>
      </w:r>
      <w:r w:rsidR="0059324C" w:rsidRPr="00BD1319">
        <w:rPr>
          <w:spacing w:val="-3"/>
        </w:rPr>
        <w:t xml:space="preserve">presentar fotografías adicionales </w:t>
      </w:r>
      <w:r w:rsidR="00DB3785" w:rsidRPr="00BD1319">
        <w:rPr>
          <w:spacing w:val="-3"/>
        </w:rPr>
        <w:t xml:space="preserve">tomadas en </w:t>
      </w:r>
      <w:r w:rsidR="0059324C" w:rsidRPr="00BD1319">
        <w:rPr>
          <w:spacing w:val="-3"/>
        </w:rPr>
        <w:t>campo o laboratorio.</w:t>
      </w:r>
      <w:r w:rsidRPr="00BD1319">
        <w:rPr>
          <w:spacing w:val="-3"/>
        </w:rPr>
        <w:t xml:space="preserve"> Las fotografías deben contar con una resolución que permita la observación de los caracteres diagnósticos o caracteres </w:t>
      </w:r>
      <w:r w:rsidR="00725E73" w:rsidRPr="00BD1319">
        <w:rPr>
          <w:spacing w:val="-3"/>
        </w:rPr>
        <w:t xml:space="preserve">distintivos </w:t>
      </w:r>
      <w:r w:rsidRPr="00BD1319">
        <w:rPr>
          <w:spacing w:val="-3"/>
        </w:rPr>
        <w:t>con que cuente el espécimen en el momento de toma del registro fotográfico.</w:t>
      </w:r>
    </w:p>
    <w:p w14:paraId="439DF3F7" w14:textId="77777777" w:rsidR="0059324C" w:rsidRPr="00BD1319" w:rsidRDefault="0059324C" w:rsidP="009420F5">
      <w:pPr>
        <w:rPr>
          <w:spacing w:val="-3"/>
        </w:rPr>
      </w:pPr>
    </w:p>
    <w:p w14:paraId="3CE460EA" w14:textId="09607947" w:rsidR="0059324C" w:rsidRPr="00BD1319" w:rsidRDefault="0059324C" w:rsidP="008A4FE9">
      <w:pPr>
        <w:tabs>
          <w:tab w:val="left" w:pos="-2268"/>
        </w:tabs>
        <w:suppressAutoHyphens/>
        <w:ind w:left="1134"/>
        <w:rPr>
          <w:spacing w:val="-3"/>
        </w:rPr>
      </w:pPr>
      <w:r w:rsidRPr="00BD1319">
        <w:rPr>
          <w:spacing w:val="-3"/>
        </w:rPr>
        <w:lastRenderedPageBreak/>
        <w:t xml:space="preserve">La fotografía principal (fotografía de campo) debe registrar en la medida de las posibilidades, </w:t>
      </w:r>
      <w:r w:rsidR="00725E73" w:rsidRPr="00BD1319">
        <w:rPr>
          <w:spacing w:val="-3"/>
        </w:rPr>
        <w:t>el tipo de crecimiento</w:t>
      </w:r>
      <w:r w:rsidRPr="00BD1319">
        <w:rPr>
          <w:spacing w:val="-3"/>
        </w:rPr>
        <w:t>, fisionomía y estructuras reproductivas de la especie</w:t>
      </w:r>
      <w:r w:rsidR="00F71FB5" w:rsidRPr="00BD1319">
        <w:rPr>
          <w:spacing w:val="-3"/>
        </w:rPr>
        <w:t>.</w:t>
      </w:r>
      <w:r w:rsidRPr="00BD1319">
        <w:rPr>
          <w:spacing w:val="-3"/>
        </w:rPr>
        <w:t xml:space="preserve"> </w:t>
      </w:r>
      <w:r w:rsidR="00F71FB5" w:rsidRPr="00BD1319">
        <w:rPr>
          <w:spacing w:val="-3"/>
        </w:rPr>
        <w:t>L</w:t>
      </w:r>
      <w:r w:rsidRPr="00BD1319">
        <w:rPr>
          <w:spacing w:val="-3"/>
        </w:rPr>
        <w:t xml:space="preserve">as fotografías adicionales se pueden presentar para registrar los detalles de caracteres tipo con los que cuente el espécimen en el momento de toma de la fotografía que resulten de importancia para su </w:t>
      </w:r>
      <w:r w:rsidR="004171A4" w:rsidRPr="00BD1319">
        <w:rPr>
          <w:spacing w:val="-3"/>
        </w:rPr>
        <w:t xml:space="preserve">determinación </w:t>
      </w:r>
      <w:r w:rsidRPr="00BD1319">
        <w:rPr>
          <w:spacing w:val="-3"/>
        </w:rPr>
        <w:t>(hojas, yemas, flores, frutos, semillas, corteza, escamas, frondas, forma de crecimiento</w:t>
      </w:r>
      <w:r w:rsidR="00725E73" w:rsidRPr="00BD1319">
        <w:rPr>
          <w:spacing w:val="-3"/>
        </w:rPr>
        <w:t xml:space="preserve"> (también aplica para briófitos y líquenes)</w:t>
      </w:r>
      <w:r w:rsidRPr="00BD1319">
        <w:rPr>
          <w:spacing w:val="-3"/>
        </w:rPr>
        <w:t xml:space="preserve">, </w:t>
      </w:r>
      <w:r w:rsidR="00725E73" w:rsidRPr="00BD1319">
        <w:rPr>
          <w:spacing w:val="-3"/>
        </w:rPr>
        <w:t xml:space="preserve">talo, </w:t>
      </w:r>
      <w:r w:rsidRPr="00BD1319">
        <w:rPr>
          <w:spacing w:val="-3"/>
        </w:rPr>
        <w:t>estructuras reproductivas, entre otros).</w:t>
      </w:r>
    </w:p>
    <w:p w14:paraId="33EB6DA6" w14:textId="77777777" w:rsidR="0059324C" w:rsidRPr="00BD1319" w:rsidRDefault="0059324C" w:rsidP="009420F5">
      <w:pPr>
        <w:tabs>
          <w:tab w:val="left" w:pos="-2268"/>
        </w:tabs>
        <w:suppressAutoHyphens/>
        <w:rPr>
          <w:spacing w:val="-3"/>
        </w:rPr>
      </w:pPr>
    </w:p>
    <w:p w14:paraId="05948376" w14:textId="38A21EB9" w:rsidR="0059324C" w:rsidRPr="00BD1319" w:rsidRDefault="0059324C">
      <w:pPr>
        <w:tabs>
          <w:tab w:val="left" w:pos="-2268"/>
        </w:tabs>
        <w:suppressAutoHyphens/>
        <w:ind w:left="1134"/>
        <w:rPr>
          <w:spacing w:val="-3"/>
        </w:rPr>
      </w:pPr>
      <w:r w:rsidRPr="00BD1319">
        <w:rPr>
          <w:spacing w:val="-3"/>
        </w:rPr>
        <w:t>Las fotografías deben tener orientación vertical.</w:t>
      </w:r>
    </w:p>
    <w:p w14:paraId="22206AD5" w14:textId="77777777" w:rsidR="00725E73" w:rsidRPr="00BD1319" w:rsidRDefault="00725E73" w:rsidP="008A4FE9">
      <w:pPr>
        <w:tabs>
          <w:tab w:val="left" w:pos="-2268"/>
        </w:tabs>
        <w:suppressAutoHyphens/>
        <w:rPr>
          <w:spacing w:val="-3"/>
        </w:rPr>
      </w:pPr>
    </w:p>
    <w:p w14:paraId="6D1E5A1A" w14:textId="0023E9DA" w:rsidR="00725E73" w:rsidRPr="00BD1319" w:rsidRDefault="00725E73" w:rsidP="008A4FE9">
      <w:pPr>
        <w:tabs>
          <w:tab w:val="left" w:pos="-2268"/>
        </w:tabs>
        <w:suppressAutoHyphens/>
        <w:ind w:left="567"/>
        <w:textAlignment w:val="auto"/>
        <w:rPr>
          <w:spacing w:val="-3"/>
        </w:rPr>
      </w:pPr>
      <w:r w:rsidRPr="00BD1319">
        <w:rPr>
          <w:rFonts w:cs="Arial"/>
          <w:spacing w:val="-3"/>
        </w:rPr>
        <w:t xml:space="preserve">Adicionalmente, es posible incluir fotografías </w:t>
      </w:r>
      <w:r w:rsidR="000D16C7" w:rsidRPr="00BD1319">
        <w:rPr>
          <w:rFonts w:cs="Arial"/>
          <w:spacing w:val="-3"/>
        </w:rPr>
        <w:t xml:space="preserve">que retraten </w:t>
      </w:r>
      <w:r w:rsidRPr="00BD1319">
        <w:rPr>
          <w:rFonts w:cs="Arial"/>
          <w:spacing w:val="-3"/>
        </w:rPr>
        <w:t xml:space="preserve">la arquitectura de la vegetación en los ecosistemas </w:t>
      </w:r>
      <w:r w:rsidR="000D16C7" w:rsidRPr="00BD1319">
        <w:rPr>
          <w:rFonts w:cs="Arial"/>
          <w:spacing w:val="-3"/>
        </w:rPr>
        <w:t xml:space="preserve">en </w:t>
      </w:r>
      <w:r w:rsidRPr="00BD1319">
        <w:rPr>
          <w:rFonts w:cs="Arial"/>
          <w:spacing w:val="-3"/>
        </w:rPr>
        <w:t xml:space="preserve">dónde se registraron especies en veda, </w:t>
      </w:r>
      <w:r w:rsidR="000D16C7" w:rsidRPr="00BD1319">
        <w:rPr>
          <w:rFonts w:cs="Arial"/>
          <w:spacing w:val="-3"/>
        </w:rPr>
        <w:t xml:space="preserve">evidenciando </w:t>
      </w:r>
      <w:r w:rsidRPr="00BD1319">
        <w:rPr>
          <w:rFonts w:cs="Arial"/>
          <w:spacing w:val="-3"/>
        </w:rPr>
        <w:t xml:space="preserve">el estrato vertical y </w:t>
      </w:r>
      <w:r w:rsidR="000D16C7" w:rsidRPr="00BD1319">
        <w:rPr>
          <w:rFonts w:cs="Arial"/>
          <w:spacing w:val="-3"/>
        </w:rPr>
        <w:t xml:space="preserve">la </w:t>
      </w:r>
      <w:r w:rsidRPr="00BD1319">
        <w:rPr>
          <w:rFonts w:cs="Arial"/>
          <w:spacing w:val="-3"/>
        </w:rPr>
        <w:t xml:space="preserve">forma del dosel de las especies de </w:t>
      </w:r>
      <w:proofErr w:type="spellStart"/>
      <w:r w:rsidRPr="00BD1319">
        <w:rPr>
          <w:rFonts w:cs="Arial"/>
          <w:spacing w:val="-3"/>
        </w:rPr>
        <w:t>forófitos</w:t>
      </w:r>
      <w:proofErr w:type="spellEnd"/>
      <w:r w:rsidRPr="00BD1319">
        <w:rPr>
          <w:rFonts w:cs="Arial"/>
          <w:spacing w:val="-3"/>
        </w:rPr>
        <w:t xml:space="preserve"> de preferencia de la epífitas, </w:t>
      </w:r>
      <w:r w:rsidR="000D16C7" w:rsidRPr="00BD1319">
        <w:rPr>
          <w:rFonts w:cs="Arial"/>
          <w:spacing w:val="-3"/>
        </w:rPr>
        <w:t xml:space="preserve">así como </w:t>
      </w:r>
      <w:r w:rsidRPr="00BD1319">
        <w:rPr>
          <w:rFonts w:cs="Arial"/>
          <w:spacing w:val="-3"/>
        </w:rPr>
        <w:t xml:space="preserve">el tipo de sustrato y condiciones topográficas relevantes o especiales del suelo </w:t>
      </w:r>
      <w:r w:rsidR="0097623C" w:rsidRPr="00BD1319">
        <w:rPr>
          <w:rFonts w:cs="Arial"/>
          <w:spacing w:val="-3"/>
        </w:rPr>
        <w:t xml:space="preserve">o roca </w:t>
      </w:r>
      <w:r w:rsidRPr="00BD1319">
        <w:rPr>
          <w:rFonts w:cs="Arial"/>
          <w:spacing w:val="-3"/>
        </w:rPr>
        <w:t>dónde se evidencian especies de tipo terrestre</w:t>
      </w:r>
      <w:r w:rsidR="0097623C" w:rsidRPr="00BD1319">
        <w:rPr>
          <w:rFonts w:cs="Arial"/>
          <w:spacing w:val="-3"/>
        </w:rPr>
        <w:t xml:space="preserve"> o </w:t>
      </w:r>
      <w:proofErr w:type="spellStart"/>
      <w:r w:rsidR="0097623C" w:rsidRPr="00BD1319">
        <w:rPr>
          <w:rFonts w:cs="Arial"/>
          <w:spacing w:val="-3"/>
        </w:rPr>
        <w:t>rupícula</w:t>
      </w:r>
      <w:proofErr w:type="spellEnd"/>
      <w:r w:rsidRPr="00BD1319">
        <w:rPr>
          <w:rFonts w:cs="Arial"/>
          <w:spacing w:val="-3"/>
        </w:rPr>
        <w:t>.</w:t>
      </w:r>
    </w:p>
    <w:p w14:paraId="061EF035" w14:textId="77777777" w:rsidR="00482A5F" w:rsidRPr="00BD1319" w:rsidRDefault="00482A5F" w:rsidP="00482A5F">
      <w:pPr>
        <w:tabs>
          <w:tab w:val="left" w:pos="-2268"/>
        </w:tabs>
        <w:suppressAutoHyphens/>
        <w:rPr>
          <w:rFonts w:cs="Arial"/>
          <w:spacing w:val="-3"/>
        </w:rPr>
      </w:pPr>
    </w:p>
    <w:p w14:paraId="31ADD873" w14:textId="70FEFC6E" w:rsidR="003351AD" w:rsidRPr="00BD1319" w:rsidRDefault="00FE5ED8" w:rsidP="00FE5ED8">
      <w:pPr>
        <w:tabs>
          <w:tab w:val="left" w:pos="-2268"/>
        </w:tabs>
        <w:suppressAutoHyphens/>
        <w:rPr>
          <w:rFonts w:cs="Arial"/>
          <w:spacing w:val="-3"/>
        </w:rPr>
      </w:pPr>
      <w:r w:rsidRPr="00BD1319">
        <w:rPr>
          <w:rFonts w:cs="Arial"/>
          <w:spacing w:val="-3"/>
        </w:rPr>
        <w:t>E</w:t>
      </w:r>
      <w:r w:rsidR="00437904" w:rsidRPr="00BD1319">
        <w:rPr>
          <w:rFonts w:cs="Arial"/>
          <w:spacing w:val="-3"/>
        </w:rPr>
        <w:t xml:space="preserve">sta </w:t>
      </w:r>
      <w:r w:rsidR="003351AD" w:rsidRPr="00BD1319">
        <w:rPr>
          <w:rFonts w:cs="Arial"/>
          <w:spacing w:val="-3"/>
        </w:rPr>
        <w:t xml:space="preserve">información </w:t>
      </w:r>
      <w:r w:rsidR="00437904" w:rsidRPr="00BD1319">
        <w:rPr>
          <w:rFonts w:cs="Arial"/>
          <w:spacing w:val="-3"/>
        </w:rPr>
        <w:t xml:space="preserve">debe emplearse para </w:t>
      </w:r>
      <w:r w:rsidR="003351AD" w:rsidRPr="00BD1319">
        <w:rPr>
          <w:rFonts w:cs="Arial"/>
          <w:spacing w:val="-3"/>
        </w:rPr>
        <w:t>la formulación de medidas de manejo</w:t>
      </w:r>
      <w:r w:rsidR="00B74219" w:rsidRPr="00BD1319">
        <w:rPr>
          <w:rFonts w:cs="Arial"/>
          <w:spacing w:val="-3"/>
        </w:rPr>
        <w:t xml:space="preserve"> en </w:t>
      </w:r>
      <w:r w:rsidRPr="00BD1319">
        <w:rPr>
          <w:rFonts w:cs="Arial"/>
          <w:spacing w:val="-3"/>
        </w:rPr>
        <w:t>desarroll</w:t>
      </w:r>
      <w:r w:rsidR="00B74219" w:rsidRPr="00BD1319">
        <w:rPr>
          <w:rFonts w:cs="Arial"/>
          <w:spacing w:val="-3"/>
        </w:rPr>
        <w:t>o de</w:t>
      </w:r>
      <w:r w:rsidRPr="00BD1319">
        <w:rPr>
          <w:rFonts w:cs="Arial"/>
          <w:spacing w:val="-3"/>
        </w:rPr>
        <w:t xml:space="preserve"> lo previsto en el Decreto - Ley 2106 de 2019 (o aquella norma que lo modifique o sustituya), y para el diligenciamiento del FUN de solicitud de aprovechamiento forestal y manejo sostenible de flora silvestre y los productos forestales no maderables establecido por la Resolución 1466 de 2021 o aquella norma que lo modifique o sustituya.</w:t>
      </w:r>
    </w:p>
    <w:p w14:paraId="04EC8E8C" w14:textId="77777777" w:rsidR="003351AD" w:rsidRPr="00BD1319" w:rsidRDefault="003351AD" w:rsidP="00C86DA5">
      <w:pPr>
        <w:tabs>
          <w:tab w:val="left" w:pos="-2268"/>
        </w:tabs>
        <w:suppressAutoHyphens/>
        <w:rPr>
          <w:spacing w:val="-3"/>
        </w:rPr>
      </w:pPr>
    </w:p>
    <w:p w14:paraId="3B2B606B" w14:textId="77777777" w:rsidR="00482A5F" w:rsidRPr="00BD1319" w:rsidRDefault="00482A5F" w:rsidP="009420F5">
      <w:pPr>
        <w:pStyle w:val="Ttulo4"/>
        <w:tabs>
          <w:tab w:val="clear" w:pos="1844"/>
          <w:tab w:val="num" w:pos="1134"/>
        </w:tabs>
        <w:ind w:left="0"/>
        <w:rPr>
          <w:lang w:val="es-CO"/>
        </w:rPr>
      </w:pPr>
      <w:r w:rsidRPr="00BD1319">
        <w:rPr>
          <w:lang w:val="es-CO"/>
        </w:rPr>
        <w:t>Fauna</w:t>
      </w:r>
    </w:p>
    <w:p w14:paraId="0A1EADCF" w14:textId="77777777" w:rsidR="00482A5F" w:rsidRPr="00BD1319" w:rsidRDefault="00482A5F">
      <w:pPr>
        <w:numPr>
          <w:ilvl w:val="12"/>
          <w:numId w:val="0"/>
        </w:numPr>
        <w:tabs>
          <w:tab w:val="left" w:pos="-2268"/>
        </w:tabs>
        <w:suppressAutoHyphens/>
        <w:rPr>
          <w:spacing w:val="-3"/>
        </w:rPr>
      </w:pPr>
    </w:p>
    <w:p w14:paraId="55FEA155" w14:textId="3B510ADF" w:rsidR="00482A5F" w:rsidRPr="00BD1319" w:rsidRDefault="00482A5F">
      <w:pPr>
        <w:numPr>
          <w:ilvl w:val="12"/>
          <w:numId w:val="0"/>
        </w:numPr>
        <w:tabs>
          <w:tab w:val="left" w:pos="-2268"/>
        </w:tabs>
        <w:suppressAutoHyphens/>
        <w:rPr>
          <w:spacing w:val="-3"/>
        </w:rPr>
      </w:pPr>
      <w:r w:rsidRPr="00BD1319">
        <w:rPr>
          <w:rFonts w:cs="Arial"/>
          <w:spacing w:val="-3"/>
        </w:rPr>
        <w:t>La caracterización</w:t>
      </w:r>
      <w:r w:rsidRPr="00BD1319">
        <w:rPr>
          <w:spacing w:val="-3"/>
        </w:rPr>
        <w:t xml:space="preserve"> del </w:t>
      </w:r>
      <w:r w:rsidRPr="00BD1319">
        <w:rPr>
          <w:rFonts w:cs="Arial"/>
          <w:spacing w:val="-3"/>
        </w:rPr>
        <w:t xml:space="preserve">componente fauna se </w:t>
      </w:r>
      <w:r w:rsidR="008940F8" w:rsidRPr="00BD1319">
        <w:rPr>
          <w:rFonts w:cs="Arial"/>
          <w:spacing w:val="-3"/>
        </w:rPr>
        <w:t xml:space="preserve">debe ejecutar mediante </w:t>
      </w:r>
      <w:r w:rsidRPr="00BD1319">
        <w:rPr>
          <w:rFonts w:cs="Arial"/>
          <w:spacing w:val="-3"/>
        </w:rPr>
        <w:t>m</w:t>
      </w:r>
      <w:r w:rsidR="00DD1320" w:rsidRPr="00BD1319">
        <w:rPr>
          <w:rFonts w:cs="Arial"/>
          <w:spacing w:val="-3"/>
        </w:rPr>
        <w:t xml:space="preserve">étodos de inventario </w:t>
      </w:r>
      <w:r w:rsidRPr="00BD1319">
        <w:rPr>
          <w:rFonts w:cs="Arial"/>
          <w:spacing w:val="-3"/>
        </w:rPr>
        <w:t>riguros</w:t>
      </w:r>
      <w:r w:rsidR="00DD1320" w:rsidRPr="00BD1319">
        <w:rPr>
          <w:rFonts w:cs="Arial"/>
          <w:spacing w:val="-3"/>
        </w:rPr>
        <w:t>o</w:t>
      </w:r>
      <w:r w:rsidRPr="00BD1319">
        <w:rPr>
          <w:rFonts w:cs="Arial"/>
          <w:spacing w:val="-3"/>
        </w:rPr>
        <w:t>s</w:t>
      </w:r>
      <w:r w:rsidR="00DD1320" w:rsidRPr="00BD1319">
        <w:rPr>
          <w:rFonts w:cs="Arial"/>
          <w:spacing w:val="-3"/>
        </w:rPr>
        <w:t xml:space="preserve"> y apropiados a las condiciones del área de influencia del componente y</w:t>
      </w:r>
      <w:r w:rsidRPr="00BD1319">
        <w:rPr>
          <w:rFonts w:cs="Arial"/>
          <w:spacing w:val="-3"/>
        </w:rPr>
        <w:t xml:space="preserve"> que contempl</w:t>
      </w:r>
      <w:r w:rsidR="00DD1320" w:rsidRPr="00BD1319">
        <w:rPr>
          <w:rFonts w:cs="Arial"/>
          <w:spacing w:val="-3"/>
        </w:rPr>
        <w:t>e</w:t>
      </w:r>
      <w:r w:rsidRPr="00BD1319">
        <w:rPr>
          <w:rFonts w:cs="Arial"/>
          <w:spacing w:val="-3"/>
        </w:rPr>
        <w:t xml:space="preserve">n registros directos (visuales, auditivos y </w:t>
      </w:r>
      <w:r w:rsidR="00DD1320" w:rsidRPr="00BD1319">
        <w:rPr>
          <w:rFonts w:cs="Arial"/>
          <w:spacing w:val="-3"/>
        </w:rPr>
        <w:t>recolección</w:t>
      </w:r>
      <w:r w:rsidRPr="00BD1319">
        <w:rPr>
          <w:rFonts w:cs="Arial"/>
          <w:spacing w:val="-3"/>
        </w:rPr>
        <w:t>) e indirectos (rastros, huellas heces, indicios)</w:t>
      </w:r>
      <w:r w:rsidR="00DD1320" w:rsidRPr="00BD1319">
        <w:rPr>
          <w:rFonts w:cs="Arial"/>
          <w:spacing w:val="-3"/>
        </w:rPr>
        <w:t xml:space="preserve"> de la fauna</w:t>
      </w:r>
      <w:r w:rsidR="008940F8" w:rsidRPr="00BD1319">
        <w:rPr>
          <w:rFonts w:cs="Arial"/>
          <w:spacing w:val="-3"/>
        </w:rPr>
        <w:t>.</w:t>
      </w:r>
      <w:r w:rsidRPr="00BD1319">
        <w:rPr>
          <w:rFonts w:cs="Arial"/>
          <w:spacing w:val="-3"/>
        </w:rPr>
        <w:t xml:space="preserve"> </w:t>
      </w:r>
      <w:r w:rsidR="007D3EAD" w:rsidRPr="00BD1319">
        <w:rPr>
          <w:rFonts w:cs="Arial"/>
          <w:spacing w:val="-3"/>
        </w:rPr>
        <w:t xml:space="preserve">Los </w:t>
      </w:r>
      <w:r w:rsidRPr="00BD1319">
        <w:rPr>
          <w:rFonts w:cs="Arial"/>
          <w:spacing w:val="-3"/>
        </w:rPr>
        <w:t xml:space="preserve">listados de especies </w:t>
      </w:r>
      <w:r w:rsidR="007D3EAD" w:rsidRPr="00BD1319">
        <w:rPr>
          <w:rFonts w:cs="Arial"/>
          <w:spacing w:val="-3"/>
        </w:rPr>
        <w:t xml:space="preserve">que resulten de los inventarios </w:t>
      </w:r>
      <w:r w:rsidRPr="00BD1319">
        <w:rPr>
          <w:rFonts w:cs="Arial"/>
          <w:spacing w:val="-3"/>
        </w:rPr>
        <w:t>debe</w:t>
      </w:r>
      <w:r w:rsidR="007D3EAD" w:rsidRPr="00BD1319">
        <w:rPr>
          <w:rFonts w:cs="Arial"/>
          <w:spacing w:val="-3"/>
        </w:rPr>
        <w:t>n</w:t>
      </w:r>
      <w:r w:rsidRPr="00BD1319">
        <w:rPr>
          <w:rFonts w:cs="Arial"/>
          <w:spacing w:val="-3"/>
        </w:rPr>
        <w:t xml:space="preserve"> </w:t>
      </w:r>
      <w:proofErr w:type="gramStart"/>
      <w:r w:rsidRPr="00BD1319">
        <w:rPr>
          <w:rFonts w:cs="Arial"/>
          <w:spacing w:val="-3"/>
        </w:rPr>
        <w:t>incluir</w:t>
      </w:r>
      <w:proofErr w:type="gramEnd"/>
      <w:r w:rsidRPr="00BD1319">
        <w:rPr>
          <w:rFonts w:cs="Arial"/>
          <w:spacing w:val="-3"/>
        </w:rPr>
        <w:t xml:space="preserve"> </w:t>
      </w:r>
      <w:r w:rsidR="007D3EAD" w:rsidRPr="00BD1319">
        <w:rPr>
          <w:rFonts w:cs="Arial"/>
          <w:spacing w:val="-3"/>
        </w:rPr>
        <w:t xml:space="preserve">además, </w:t>
      </w:r>
      <w:r w:rsidRPr="00BD1319">
        <w:rPr>
          <w:rFonts w:cs="Arial"/>
          <w:spacing w:val="-3"/>
        </w:rPr>
        <w:t>parámetros biológico-ecológicos como distribución altitudinal, hábitat, hábitos alimenticios y otros que valor</w:t>
      </w:r>
      <w:r w:rsidR="007D3EAD" w:rsidRPr="00BD1319">
        <w:rPr>
          <w:rFonts w:cs="Arial"/>
          <w:spacing w:val="-3"/>
        </w:rPr>
        <w:t>e</w:t>
      </w:r>
      <w:r w:rsidRPr="00BD1319">
        <w:rPr>
          <w:rFonts w:cs="Arial"/>
          <w:spacing w:val="-3"/>
        </w:rPr>
        <w:t>n el interés público</w:t>
      </w:r>
      <w:r w:rsidR="007D3EAD" w:rsidRPr="00BD1319">
        <w:rPr>
          <w:rFonts w:cs="Arial"/>
          <w:spacing w:val="-3"/>
        </w:rPr>
        <w:t>, por ejemplo,</w:t>
      </w:r>
      <w:r w:rsidRPr="00BD1319">
        <w:rPr>
          <w:rFonts w:cs="Arial"/>
          <w:spacing w:val="-3"/>
        </w:rPr>
        <w:t xml:space="preserve"> endemismos, amenazas y comportamientos migratorios</w:t>
      </w:r>
      <w:r w:rsidRPr="00BD1319">
        <w:rPr>
          <w:spacing w:val="-3"/>
        </w:rPr>
        <w:t>.</w:t>
      </w:r>
    </w:p>
    <w:p w14:paraId="2480307E" w14:textId="5B9EB0CC" w:rsidR="00482A5F" w:rsidRPr="00BD1319" w:rsidRDefault="00482A5F" w:rsidP="00482A5F">
      <w:pPr>
        <w:numPr>
          <w:ilvl w:val="12"/>
          <w:numId w:val="0"/>
        </w:numPr>
        <w:tabs>
          <w:tab w:val="left" w:pos="-2268"/>
        </w:tabs>
        <w:suppressAutoHyphens/>
        <w:rPr>
          <w:rFonts w:cs="Arial"/>
          <w:spacing w:val="-3"/>
        </w:rPr>
      </w:pPr>
    </w:p>
    <w:p w14:paraId="64D119DA" w14:textId="5C463EF7" w:rsidR="00482A5F" w:rsidRPr="00BD1319" w:rsidRDefault="00694146" w:rsidP="00482A5F">
      <w:pPr>
        <w:numPr>
          <w:ilvl w:val="12"/>
          <w:numId w:val="0"/>
        </w:numPr>
        <w:tabs>
          <w:tab w:val="left" w:pos="-2268"/>
        </w:tabs>
        <w:suppressAutoHyphens/>
        <w:rPr>
          <w:rFonts w:cs="Arial"/>
          <w:spacing w:val="-3"/>
        </w:rPr>
      </w:pPr>
      <w:r w:rsidRPr="00BD1319">
        <w:rPr>
          <w:rFonts w:cs="Arial"/>
          <w:spacing w:val="-3"/>
        </w:rPr>
        <w:t>L</w:t>
      </w:r>
      <w:r w:rsidR="00482A5F" w:rsidRPr="00BD1319">
        <w:rPr>
          <w:rFonts w:cs="Arial"/>
          <w:spacing w:val="-3"/>
        </w:rPr>
        <w:t>os parámetros bio-ecológicos y de interés no son los únicos que se pueden considerar</w:t>
      </w:r>
      <w:r w:rsidRPr="00BD1319">
        <w:rPr>
          <w:rFonts w:cs="Arial"/>
          <w:spacing w:val="-3"/>
        </w:rPr>
        <w:t xml:space="preserve"> para caracterizar cada grupo taxonómico objeto de estudio</w:t>
      </w:r>
      <w:r w:rsidR="00482A5F" w:rsidRPr="00BD1319">
        <w:rPr>
          <w:rFonts w:cs="Arial"/>
          <w:spacing w:val="-3"/>
        </w:rPr>
        <w:t xml:space="preserve">, éstos pueden ser </w:t>
      </w:r>
      <w:r w:rsidRPr="00BD1319">
        <w:rPr>
          <w:rFonts w:cs="Arial"/>
          <w:spacing w:val="-3"/>
        </w:rPr>
        <w:t>complementados</w:t>
      </w:r>
      <w:r w:rsidR="00482A5F" w:rsidRPr="00BD1319">
        <w:rPr>
          <w:rFonts w:cs="Arial"/>
          <w:spacing w:val="-3"/>
        </w:rPr>
        <w:t xml:space="preserve"> </w:t>
      </w:r>
      <w:r w:rsidRPr="00BD1319">
        <w:rPr>
          <w:rFonts w:cs="Arial"/>
          <w:spacing w:val="-3"/>
        </w:rPr>
        <w:t xml:space="preserve">con otros que sean empleados en la </w:t>
      </w:r>
      <w:r w:rsidR="00482A5F" w:rsidRPr="00BD1319">
        <w:rPr>
          <w:rFonts w:cs="Arial"/>
          <w:spacing w:val="-3"/>
        </w:rPr>
        <w:t>literatura científica disponible.</w:t>
      </w:r>
    </w:p>
    <w:p w14:paraId="39AC20AE" w14:textId="1B6E7620" w:rsidR="007B1325" w:rsidRPr="00BD1319" w:rsidRDefault="007B1325" w:rsidP="00482A5F">
      <w:pPr>
        <w:numPr>
          <w:ilvl w:val="12"/>
          <w:numId w:val="0"/>
        </w:numPr>
        <w:tabs>
          <w:tab w:val="left" w:pos="-2268"/>
        </w:tabs>
        <w:suppressAutoHyphens/>
        <w:rPr>
          <w:rFonts w:cs="Arial"/>
          <w:spacing w:val="-3"/>
        </w:rPr>
      </w:pPr>
    </w:p>
    <w:p w14:paraId="44D9B65B" w14:textId="655457F2" w:rsidR="00482A5F" w:rsidRPr="00BD1319" w:rsidRDefault="005F26DC">
      <w:pPr>
        <w:numPr>
          <w:ilvl w:val="12"/>
          <w:numId w:val="0"/>
        </w:numPr>
        <w:tabs>
          <w:tab w:val="left" w:pos="-2268"/>
        </w:tabs>
        <w:suppressAutoHyphens/>
        <w:rPr>
          <w:rFonts w:cs="Arial"/>
          <w:spacing w:val="-3"/>
        </w:rPr>
      </w:pPr>
      <w:r w:rsidRPr="00BD1319">
        <w:rPr>
          <w:rFonts w:cs="Arial"/>
          <w:spacing w:val="-3"/>
        </w:rPr>
        <w:t>L</w:t>
      </w:r>
      <w:r w:rsidR="00CE4D28" w:rsidRPr="00BD1319">
        <w:rPr>
          <w:rFonts w:cs="Arial"/>
          <w:spacing w:val="-3"/>
        </w:rPr>
        <w:t xml:space="preserve">a </w:t>
      </w:r>
      <w:r w:rsidR="007B1325" w:rsidRPr="00BD1319">
        <w:rPr>
          <w:rFonts w:cs="Arial"/>
          <w:spacing w:val="-3"/>
        </w:rPr>
        <w:t xml:space="preserve">caracterización debe incluir un registro de atropellamiento </w:t>
      </w:r>
      <w:r w:rsidR="00CE4D28" w:rsidRPr="00BD1319">
        <w:rPr>
          <w:rFonts w:cs="Arial"/>
          <w:spacing w:val="-3"/>
        </w:rPr>
        <w:t xml:space="preserve">de fauna </w:t>
      </w:r>
      <w:r w:rsidR="00BA7EC4" w:rsidRPr="00BD1319">
        <w:rPr>
          <w:rFonts w:cs="Arial"/>
          <w:spacing w:val="-3"/>
        </w:rPr>
        <w:t xml:space="preserve">silvestre </w:t>
      </w:r>
      <w:r w:rsidR="007B1325" w:rsidRPr="00BD1319">
        <w:rPr>
          <w:rFonts w:cs="Arial"/>
          <w:spacing w:val="-3"/>
        </w:rPr>
        <w:t>en las vías existentes</w:t>
      </w:r>
      <w:r w:rsidR="00BA7EC4" w:rsidRPr="00BD1319">
        <w:rPr>
          <w:rFonts w:cs="Arial"/>
          <w:spacing w:val="-3"/>
        </w:rPr>
        <w:t>, así como la determinación de los puntos de mayor susceptibilidad de atropellamiento de fauna silvestre (</w:t>
      </w:r>
      <w:proofErr w:type="spellStart"/>
      <w:r w:rsidR="00BA7EC4" w:rsidRPr="00BD1319">
        <w:rPr>
          <w:rFonts w:cs="Arial"/>
          <w:spacing w:val="-3"/>
        </w:rPr>
        <w:t>hotspots</w:t>
      </w:r>
      <w:proofErr w:type="spellEnd"/>
      <w:r w:rsidR="00BA7EC4" w:rsidRPr="00BD1319">
        <w:rPr>
          <w:rFonts w:cs="Arial"/>
          <w:spacing w:val="-3"/>
        </w:rPr>
        <w:t>)</w:t>
      </w:r>
      <w:r w:rsidR="00CE4D28" w:rsidRPr="00BD1319">
        <w:rPr>
          <w:rFonts w:cs="Arial"/>
          <w:spacing w:val="-3"/>
        </w:rPr>
        <w:t>,</w:t>
      </w:r>
      <w:r w:rsidR="007B1325" w:rsidRPr="00BD1319">
        <w:rPr>
          <w:rFonts w:cs="Arial"/>
          <w:spacing w:val="-3"/>
        </w:rPr>
        <w:t xml:space="preserve"> </w:t>
      </w:r>
      <w:r w:rsidR="00BA7EC4" w:rsidRPr="00BD1319">
        <w:rPr>
          <w:rFonts w:cs="Arial"/>
          <w:spacing w:val="-3"/>
        </w:rPr>
        <w:t xml:space="preserve">información </w:t>
      </w:r>
      <w:r w:rsidR="00CE4D28" w:rsidRPr="00BD1319">
        <w:rPr>
          <w:rFonts w:cs="Arial"/>
          <w:spacing w:val="-3"/>
        </w:rPr>
        <w:t xml:space="preserve">que puede </w:t>
      </w:r>
      <w:r w:rsidR="00BA7EC4" w:rsidRPr="00BD1319">
        <w:rPr>
          <w:rFonts w:cs="Arial"/>
          <w:spacing w:val="-3"/>
        </w:rPr>
        <w:t xml:space="preserve">obtenerse </w:t>
      </w:r>
      <w:r w:rsidR="00BA7EC4" w:rsidRPr="00BD1319">
        <w:rPr>
          <w:rFonts w:cs="Arial"/>
          <w:spacing w:val="-3"/>
        </w:rPr>
        <w:lastRenderedPageBreak/>
        <w:t xml:space="preserve">siguiendo </w:t>
      </w:r>
      <w:r w:rsidR="007B1325" w:rsidRPr="00BD1319">
        <w:rPr>
          <w:rFonts w:cs="Arial"/>
          <w:spacing w:val="-3"/>
        </w:rPr>
        <w:t>las orientaciones establecidas en documentos como “Atropellamiento de fauna silvestre en Colombia</w:t>
      </w:r>
      <w:r w:rsidR="00CE4D28" w:rsidRPr="00BD1319">
        <w:rPr>
          <w:rFonts w:cs="Arial"/>
          <w:spacing w:val="-3"/>
        </w:rPr>
        <w:t>.</w:t>
      </w:r>
      <w:r w:rsidR="007B1325" w:rsidRPr="00BD1319">
        <w:rPr>
          <w:rFonts w:cs="Arial"/>
          <w:spacing w:val="-3"/>
        </w:rPr>
        <w:t xml:space="preserve"> Guía para entender y diagnosticar este impacto” (Jaramillo-Fayad et al., 2021) o </w:t>
      </w:r>
      <w:r w:rsidR="00BA7EC4" w:rsidRPr="00BD1319">
        <w:rPr>
          <w:rFonts w:cs="Arial"/>
          <w:spacing w:val="-3"/>
        </w:rPr>
        <w:t xml:space="preserve">empleando la </w:t>
      </w:r>
      <w:r w:rsidR="007B1325" w:rsidRPr="00BD1319">
        <w:rPr>
          <w:rFonts w:cs="Arial"/>
          <w:spacing w:val="-3"/>
        </w:rPr>
        <w:t>información secundaria</w:t>
      </w:r>
      <w:r w:rsidR="00BA7EC4" w:rsidRPr="00BD1319">
        <w:rPr>
          <w:rFonts w:cs="Arial"/>
          <w:spacing w:val="-3"/>
        </w:rPr>
        <w:t xml:space="preserve"> </w:t>
      </w:r>
      <w:r w:rsidR="007B1325" w:rsidRPr="00BD1319">
        <w:rPr>
          <w:rFonts w:cs="Arial"/>
          <w:spacing w:val="-3"/>
        </w:rPr>
        <w:t>disponible (</w:t>
      </w:r>
      <w:r w:rsidR="00041844" w:rsidRPr="00BD1319">
        <w:rPr>
          <w:rFonts w:cs="Arial"/>
          <w:spacing w:val="-3"/>
        </w:rPr>
        <w:t>p. ej.</w:t>
      </w:r>
      <w:r w:rsidR="007B1325" w:rsidRPr="00BD1319">
        <w:rPr>
          <w:rFonts w:cs="Arial"/>
          <w:spacing w:val="-3"/>
        </w:rPr>
        <w:t xml:space="preserve"> </w:t>
      </w:r>
      <w:proofErr w:type="spellStart"/>
      <w:r w:rsidR="007B1325" w:rsidRPr="00BD1319">
        <w:rPr>
          <w:rFonts w:cs="Arial"/>
          <w:spacing w:val="-3"/>
        </w:rPr>
        <w:t>Recosfa</w:t>
      </w:r>
      <w:proofErr w:type="spellEnd"/>
      <w:r w:rsidR="007B1325" w:rsidRPr="00BD1319">
        <w:rPr>
          <w:rFonts w:cs="Arial"/>
          <w:spacing w:val="-3"/>
        </w:rPr>
        <w:t>)</w:t>
      </w:r>
      <w:r w:rsidR="002661F3" w:rsidRPr="00BD1319">
        <w:rPr>
          <w:rFonts w:cs="Arial"/>
          <w:spacing w:val="-3"/>
        </w:rPr>
        <w:t>.</w:t>
      </w:r>
    </w:p>
    <w:p w14:paraId="3ED2478C" w14:textId="77777777" w:rsidR="002661F3" w:rsidRPr="00BD1319" w:rsidRDefault="002661F3">
      <w:pPr>
        <w:numPr>
          <w:ilvl w:val="12"/>
          <w:numId w:val="0"/>
        </w:numPr>
        <w:tabs>
          <w:tab w:val="left" w:pos="-2268"/>
        </w:tabs>
        <w:suppressAutoHyphens/>
        <w:rPr>
          <w:rFonts w:cs="Arial"/>
          <w:spacing w:val="-3"/>
        </w:rPr>
      </w:pPr>
    </w:p>
    <w:p w14:paraId="6F35AC0E" w14:textId="77777777" w:rsidR="00482A5F" w:rsidRPr="00BD1319" w:rsidRDefault="00482A5F">
      <w:pPr>
        <w:tabs>
          <w:tab w:val="left" w:pos="-2268"/>
        </w:tabs>
        <w:suppressAutoHyphens/>
        <w:rPr>
          <w:spacing w:val="-3"/>
          <w:u w:val="single"/>
        </w:rPr>
      </w:pPr>
      <w:r w:rsidRPr="00BD1319">
        <w:rPr>
          <w:spacing w:val="-3"/>
          <w:u w:val="single"/>
        </w:rPr>
        <w:t>Fase previa:</w:t>
      </w:r>
    </w:p>
    <w:p w14:paraId="79167D9C" w14:textId="77777777" w:rsidR="00482A5F" w:rsidRPr="00BD1319" w:rsidRDefault="00482A5F">
      <w:pPr>
        <w:numPr>
          <w:ilvl w:val="12"/>
          <w:numId w:val="0"/>
        </w:numPr>
        <w:tabs>
          <w:tab w:val="left" w:pos="-2268"/>
        </w:tabs>
        <w:suppressAutoHyphens/>
        <w:rPr>
          <w:spacing w:val="-3"/>
        </w:rPr>
      </w:pPr>
    </w:p>
    <w:p w14:paraId="38543FCF" w14:textId="341E47EF" w:rsidR="00482A5F" w:rsidRPr="00BD1319" w:rsidRDefault="00482A5F">
      <w:pPr>
        <w:numPr>
          <w:ilvl w:val="12"/>
          <w:numId w:val="0"/>
        </w:numPr>
        <w:tabs>
          <w:tab w:val="left" w:pos="-2268"/>
        </w:tabs>
        <w:suppressAutoHyphens/>
        <w:rPr>
          <w:spacing w:val="-3"/>
        </w:rPr>
      </w:pPr>
      <w:r w:rsidRPr="00BD1319">
        <w:rPr>
          <w:spacing w:val="-3"/>
        </w:rPr>
        <w:t xml:space="preserve">Esta fase de la caracterización parte de la revisión de la información existente sobre la fauna potencialmente presente en el área de influencia del </w:t>
      </w:r>
      <w:r w:rsidR="007513E3" w:rsidRPr="00BD1319">
        <w:rPr>
          <w:rFonts w:cs="Arial"/>
          <w:spacing w:val="-3"/>
        </w:rPr>
        <w:t>componente</w:t>
      </w:r>
      <w:r w:rsidRPr="00BD1319">
        <w:rPr>
          <w:spacing w:val="-3"/>
        </w:rPr>
        <w:t>.</w:t>
      </w:r>
      <w:r w:rsidR="00EC5EDE" w:rsidRPr="00BD1319">
        <w:rPr>
          <w:spacing w:val="-3"/>
        </w:rPr>
        <w:t xml:space="preserve"> </w:t>
      </w:r>
      <w:r w:rsidRPr="00BD1319">
        <w:rPr>
          <w:spacing w:val="-3"/>
        </w:rPr>
        <w:t>Se puede</w:t>
      </w:r>
      <w:r w:rsidR="00EC5EDE" w:rsidRPr="00BD1319">
        <w:rPr>
          <w:spacing w:val="-3"/>
        </w:rPr>
        <w:t>n</w:t>
      </w:r>
      <w:r w:rsidRPr="00BD1319">
        <w:rPr>
          <w:spacing w:val="-3"/>
        </w:rPr>
        <w:t xml:space="preserve"> </w:t>
      </w:r>
      <w:r w:rsidR="00EC5EDE" w:rsidRPr="00BD1319">
        <w:rPr>
          <w:spacing w:val="-3"/>
        </w:rPr>
        <w:t xml:space="preserve">emplear </w:t>
      </w:r>
      <w:r w:rsidRPr="00BD1319">
        <w:rPr>
          <w:spacing w:val="-3"/>
        </w:rPr>
        <w:t>como referencia</w:t>
      </w:r>
      <w:r w:rsidRPr="00BD1319">
        <w:t>, entre otras,</w:t>
      </w:r>
      <w:r w:rsidRPr="00BD1319">
        <w:rPr>
          <w:spacing w:val="-3"/>
        </w:rPr>
        <w:t xml:space="preserve"> las siguientes fuentes de información:</w:t>
      </w:r>
    </w:p>
    <w:p w14:paraId="1320B77A" w14:textId="77777777" w:rsidR="00482A5F" w:rsidRPr="00BD1319" w:rsidRDefault="00482A5F">
      <w:pPr>
        <w:numPr>
          <w:ilvl w:val="12"/>
          <w:numId w:val="0"/>
        </w:numPr>
        <w:tabs>
          <w:tab w:val="left" w:pos="-2268"/>
        </w:tabs>
        <w:suppressAutoHyphens/>
        <w:rPr>
          <w:spacing w:val="-3"/>
        </w:rPr>
      </w:pPr>
    </w:p>
    <w:p w14:paraId="692B7D8A" w14:textId="08BA693B" w:rsidR="00482A5F" w:rsidRPr="00BD1319" w:rsidRDefault="00482A5F" w:rsidP="009420F5">
      <w:pPr>
        <w:pStyle w:val="Prrafodelista"/>
        <w:numPr>
          <w:ilvl w:val="0"/>
          <w:numId w:val="83"/>
        </w:numPr>
        <w:tabs>
          <w:tab w:val="left" w:pos="-2268"/>
        </w:tabs>
        <w:suppressAutoHyphens/>
        <w:ind w:left="567" w:hanging="567"/>
        <w:rPr>
          <w:rFonts w:cs="Arial"/>
          <w:spacing w:val="-3"/>
          <w:lang w:val="es-CO"/>
        </w:rPr>
      </w:pPr>
      <w:r w:rsidRPr="00BD1319">
        <w:rPr>
          <w:rFonts w:cs="Arial"/>
          <w:spacing w:val="-3"/>
          <w:lang w:val="es-CO"/>
        </w:rPr>
        <w:t>Sistema de información sobre Biodiversidad de Colombia</w:t>
      </w:r>
      <w:r w:rsidR="00EC5EDE" w:rsidRPr="00BD1319">
        <w:t xml:space="preserve"> https://sibcolombia.net/</w:t>
      </w:r>
      <w:r w:rsidRPr="00BD1319">
        <w:rPr>
          <w:rFonts w:cs="Arial"/>
          <w:spacing w:val="-3"/>
          <w:lang w:val="es-CO"/>
        </w:rPr>
        <w:t>.</w:t>
      </w:r>
    </w:p>
    <w:p w14:paraId="447BF624" w14:textId="77777777" w:rsidR="00482A5F" w:rsidRPr="00BD1319" w:rsidRDefault="00482A5F">
      <w:pPr>
        <w:tabs>
          <w:tab w:val="left" w:pos="-2268"/>
        </w:tabs>
        <w:suppressAutoHyphens/>
        <w:rPr>
          <w:spacing w:val="-3"/>
        </w:rPr>
      </w:pPr>
    </w:p>
    <w:p w14:paraId="629EA934" w14:textId="6E87CA90" w:rsidR="00482A5F" w:rsidRPr="00BD1319" w:rsidRDefault="00482A5F" w:rsidP="009420F5">
      <w:pPr>
        <w:pStyle w:val="Prrafodelista"/>
        <w:numPr>
          <w:ilvl w:val="0"/>
          <w:numId w:val="83"/>
        </w:numPr>
        <w:tabs>
          <w:tab w:val="left" w:pos="-2268"/>
        </w:tabs>
        <w:suppressAutoHyphens/>
        <w:ind w:left="567" w:hanging="567"/>
        <w:rPr>
          <w:rFonts w:cs="Arial"/>
          <w:spacing w:val="-3"/>
          <w:lang w:val="es-CO"/>
        </w:rPr>
      </w:pPr>
      <w:r w:rsidRPr="00BD1319">
        <w:rPr>
          <w:rFonts w:cs="Arial"/>
          <w:spacing w:val="-3"/>
          <w:lang w:val="es-CO"/>
        </w:rPr>
        <w:t xml:space="preserve">Colecciones científicas en línea del Instituto de Ciencias Naturales – ICN de la Universidad Nacional de Colombia, sede Bogotá </w:t>
      </w:r>
      <w:r w:rsidR="00B9500B" w:rsidRPr="00BD1319">
        <w:rPr>
          <w:lang w:val="es-CO"/>
        </w:rPr>
        <w:t>http://www.biovirtual.unal.edu.co/es/</w:t>
      </w:r>
      <w:r w:rsidRPr="00BD1319">
        <w:rPr>
          <w:rFonts w:cs="Arial"/>
          <w:spacing w:val="-3"/>
          <w:lang w:val="es-CO"/>
        </w:rPr>
        <w:t>.</w:t>
      </w:r>
    </w:p>
    <w:p w14:paraId="7BCE1FD5" w14:textId="77777777" w:rsidR="00482A5F" w:rsidRPr="00BD1319" w:rsidRDefault="00482A5F">
      <w:pPr>
        <w:tabs>
          <w:tab w:val="left" w:pos="-2268"/>
        </w:tabs>
        <w:suppressAutoHyphens/>
        <w:rPr>
          <w:spacing w:val="-3"/>
        </w:rPr>
      </w:pPr>
    </w:p>
    <w:p w14:paraId="2DA81675" w14:textId="3E816F61" w:rsidR="00482A5F" w:rsidRPr="00BD1319" w:rsidRDefault="00482A5F" w:rsidP="00C86DA5">
      <w:pPr>
        <w:pStyle w:val="Prrafodelista"/>
        <w:numPr>
          <w:ilvl w:val="0"/>
          <w:numId w:val="83"/>
        </w:numPr>
        <w:tabs>
          <w:tab w:val="left" w:pos="-2268"/>
        </w:tabs>
        <w:suppressAutoHyphens/>
        <w:ind w:left="567" w:hanging="567"/>
        <w:rPr>
          <w:rFonts w:cs="Arial"/>
          <w:spacing w:val="-3"/>
          <w:lang w:val="es-CO"/>
        </w:rPr>
      </w:pPr>
      <w:r w:rsidRPr="00BD1319">
        <w:rPr>
          <w:rFonts w:cs="Arial"/>
          <w:spacing w:val="-3"/>
          <w:lang w:val="es-CO"/>
        </w:rPr>
        <w:t xml:space="preserve">Registros de avistamiento obtenidos de los programas de observadores de fauna marina del </w:t>
      </w:r>
      <w:proofErr w:type="spellStart"/>
      <w:r w:rsidR="00A92356" w:rsidRPr="00BD1319">
        <w:rPr>
          <w:rFonts w:cs="Arial"/>
          <w:spacing w:val="-3"/>
          <w:lang w:val="es-CO"/>
        </w:rPr>
        <w:t>Invemar</w:t>
      </w:r>
      <w:proofErr w:type="spellEnd"/>
      <w:r w:rsidRPr="00BD1319">
        <w:rPr>
          <w:rFonts w:cs="Arial"/>
          <w:spacing w:val="-3"/>
          <w:lang w:val="es-CO"/>
        </w:rPr>
        <w:t xml:space="preserve"> </w:t>
      </w:r>
      <w:r w:rsidR="00FE4070" w:rsidRPr="00BD1319">
        <w:rPr>
          <w:rFonts w:cs="Arial"/>
          <w:spacing w:val="-3"/>
          <w:lang w:val="es-CO"/>
        </w:rPr>
        <w:t>http://geonodesiam.invemar.org.co</w:t>
      </w:r>
      <w:r w:rsidRPr="00BD1319">
        <w:rPr>
          <w:rFonts w:cs="Arial"/>
          <w:spacing w:val="-3"/>
          <w:lang w:val="es-CO"/>
        </w:rPr>
        <w:t>.</w:t>
      </w:r>
    </w:p>
    <w:p w14:paraId="24724585" w14:textId="77777777" w:rsidR="00482A5F" w:rsidRPr="00BD1319" w:rsidRDefault="00482A5F">
      <w:pPr>
        <w:numPr>
          <w:ilvl w:val="12"/>
          <w:numId w:val="0"/>
        </w:numPr>
        <w:tabs>
          <w:tab w:val="left" w:pos="-2268"/>
        </w:tabs>
        <w:suppressAutoHyphens/>
        <w:rPr>
          <w:spacing w:val="-3"/>
        </w:rPr>
      </w:pPr>
    </w:p>
    <w:p w14:paraId="4EE1CFF0" w14:textId="2F140CF4" w:rsidR="00482A5F" w:rsidRPr="00BD1319" w:rsidRDefault="00482A5F">
      <w:pPr>
        <w:numPr>
          <w:ilvl w:val="12"/>
          <w:numId w:val="0"/>
        </w:numPr>
        <w:tabs>
          <w:tab w:val="left" w:pos="-2268"/>
        </w:tabs>
        <w:suppressAutoHyphens/>
        <w:rPr>
          <w:spacing w:val="-3"/>
        </w:rPr>
      </w:pPr>
      <w:r w:rsidRPr="00BD1319">
        <w:rPr>
          <w:spacing w:val="-3"/>
        </w:rPr>
        <w:t xml:space="preserve">Para que la información recolectada </w:t>
      </w:r>
      <w:r w:rsidR="00C01B53" w:rsidRPr="00BD1319">
        <w:rPr>
          <w:spacing w:val="-3"/>
        </w:rPr>
        <w:t>sobre la fauna del área de influencia</w:t>
      </w:r>
      <w:r w:rsidR="00C01B53" w:rsidRPr="00BD1319">
        <w:rPr>
          <w:rFonts w:cs="Arial"/>
          <w:spacing w:val="-3"/>
        </w:rPr>
        <w:t xml:space="preserve"> del componente</w:t>
      </w:r>
      <w:r w:rsidR="00C01B53" w:rsidRPr="00BD1319">
        <w:rPr>
          <w:spacing w:val="-3"/>
        </w:rPr>
        <w:t xml:space="preserve"> </w:t>
      </w:r>
      <w:r w:rsidRPr="00BD1319">
        <w:rPr>
          <w:spacing w:val="-3"/>
        </w:rPr>
        <w:t>sea válida y representativa</w:t>
      </w:r>
      <w:r w:rsidR="00C01B53" w:rsidRPr="00BD1319">
        <w:rPr>
          <w:spacing w:val="-3"/>
        </w:rPr>
        <w:t>,</w:t>
      </w:r>
      <w:r w:rsidRPr="00BD1319">
        <w:rPr>
          <w:spacing w:val="-3"/>
        </w:rPr>
        <w:t xml:space="preserve"> </w:t>
      </w:r>
      <w:r w:rsidR="00C01B53" w:rsidRPr="00BD1319">
        <w:rPr>
          <w:spacing w:val="-3"/>
        </w:rPr>
        <w:t xml:space="preserve">el diseño de los inventarios y demás estudios debe basarse en </w:t>
      </w:r>
      <w:r w:rsidRPr="00BD1319">
        <w:rPr>
          <w:spacing w:val="-3"/>
        </w:rPr>
        <w:t xml:space="preserve">métodos como los desarrollados por el Instituto Alexander </w:t>
      </w:r>
      <w:proofErr w:type="spellStart"/>
      <w:r w:rsidRPr="00BD1319">
        <w:rPr>
          <w:spacing w:val="-3"/>
        </w:rPr>
        <w:t>von</w:t>
      </w:r>
      <w:proofErr w:type="spellEnd"/>
      <w:r w:rsidRPr="00BD1319">
        <w:rPr>
          <w:spacing w:val="-3"/>
        </w:rPr>
        <w:t xml:space="preserve"> Humboldt (</w:t>
      </w:r>
      <w:r w:rsidR="00041844" w:rsidRPr="00BD1319">
        <w:rPr>
          <w:spacing w:val="-3"/>
        </w:rPr>
        <w:t>p. ej.</w:t>
      </w:r>
      <w:r w:rsidRPr="00BD1319">
        <w:rPr>
          <w:spacing w:val="-3"/>
        </w:rPr>
        <w:t xml:space="preserve"> Manual de métodos para desarrollo de inventarios de biodiversidad (Villa</w:t>
      </w:r>
      <w:r w:rsidR="00C34E67" w:rsidRPr="00BD1319">
        <w:rPr>
          <w:spacing w:val="-3"/>
        </w:rPr>
        <w:t>r</w:t>
      </w:r>
      <w:r w:rsidRPr="00BD1319">
        <w:rPr>
          <w:spacing w:val="-3"/>
        </w:rPr>
        <w:t xml:space="preserve">real </w:t>
      </w:r>
      <w:r w:rsidRPr="00BD1319">
        <w:rPr>
          <w:iCs/>
          <w:spacing w:val="-3"/>
        </w:rPr>
        <w:t>et al.</w:t>
      </w:r>
      <w:r w:rsidRPr="00BD1319">
        <w:rPr>
          <w:spacing w:val="-3"/>
        </w:rPr>
        <w:t>, 200</w:t>
      </w:r>
      <w:r w:rsidR="00C34E67" w:rsidRPr="00BD1319">
        <w:rPr>
          <w:spacing w:val="-3"/>
        </w:rPr>
        <w:t>4</w:t>
      </w:r>
      <w:r w:rsidRPr="00BD1319">
        <w:rPr>
          <w:spacing w:val="-3"/>
        </w:rPr>
        <w:t xml:space="preserve">), Herramientas de manejo para la conservación de biodiversidad en paisajes rurales (Lozano-Zambrano, 2009) y Peces de los Andes de Colombia (Maldonado et al., 2005)), el Instituto de Investigaciones Marinas y Costeras José Benito Vives de </w:t>
      </w:r>
      <w:proofErr w:type="spellStart"/>
      <w:r w:rsidRPr="00BD1319">
        <w:rPr>
          <w:spacing w:val="-3"/>
        </w:rPr>
        <w:t>Andréis</w:t>
      </w:r>
      <w:proofErr w:type="spellEnd"/>
      <w:r w:rsidRPr="00BD1319">
        <w:rPr>
          <w:spacing w:val="-3"/>
        </w:rPr>
        <w:t xml:space="preserve"> (</w:t>
      </w:r>
      <w:proofErr w:type="spellStart"/>
      <w:r w:rsidR="00A92356" w:rsidRPr="00BD1319">
        <w:rPr>
          <w:spacing w:val="-3"/>
        </w:rPr>
        <w:t>Invemar</w:t>
      </w:r>
      <w:proofErr w:type="spellEnd"/>
      <w:r w:rsidRPr="00BD1319">
        <w:rPr>
          <w:spacing w:val="-3"/>
        </w:rPr>
        <w:t xml:space="preserve">), </w:t>
      </w:r>
      <w:proofErr w:type="spellStart"/>
      <w:r w:rsidRPr="00BD1319">
        <w:rPr>
          <w:spacing w:val="-3"/>
        </w:rPr>
        <w:t>The</w:t>
      </w:r>
      <w:proofErr w:type="spellEnd"/>
      <w:r w:rsidRPr="00BD1319">
        <w:rPr>
          <w:spacing w:val="-3"/>
        </w:rPr>
        <w:t xml:space="preserve"> </w:t>
      </w:r>
      <w:proofErr w:type="spellStart"/>
      <w:r w:rsidRPr="00BD1319">
        <w:rPr>
          <w:spacing w:val="-3"/>
        </w:rPr>
        <w:t>Nature</w:t>
      </w:r>
      <w:proofErr w:type="spellEnd"/>
      <w:r w:rsidRPr="00BD1319">
        <w:rPr>
          <w:spacing w:val="-3"/>
        </w:rPr>
        <w:t xml:space="preserve"> </w:t>
      </w:r>
      <w:proofErr w:type="spellStart"/>
      <w:r w:rsidRPr="00BD1319">
        <w:rPr>
          <w:spacing w:val="-3"/>
        </w:rPr>
        <w:t>Conservancy</w:t>
      </w:r>
      <w:proofErr w:type="spellEnd"/>
      <w:r w:rsidRPr="00BD1319">
        <w:rPr>
          <w:spacing w:val="-3"/>
        </w:rPr>
        <w:t xml:space="preserve"> (</w:t>
      </w:r>
      <w:r w:rsidR="00041844" w:rsidRPr="00BD1319">
        <w:rPr>
          <w:spacing w:val="-3"/>
        </w:rPr>
        <w:t>p. ej.</w:t>
      </w:r>
      <w:r w:rsidRPr="00BD1319">
        <w:rPr>
          <w:spacing w:val="-3"/>
        </w:rPr>
        <w:t xml:space="preserve"> Un Enfoque en la Naturaleza: Evaluaciones Ecológicas Rápidas (</w:t>
      </w:r>
      <w:proofErr w:type="spellStart"/>
      <w:r w:rsidRPr="00BD1319">
        <w:rPr>
          <w:spacing w:val="-3"/>
        </w:rPr>
        <w:t>Sayre</w:t>
      </w:r>
      <w:proofErr w:type="spellEnd"/>
      <w:r w:rsidRPr="00BD1319">
        <w:rPr>
          <w:spacing w:val="-3"/>
        </w:rPr>
        <w:t xml:space="preserve"> et al., 2002)) y Conservación Internacional Colombia (</w:t>
      </w:r>
      <w:r w:rsidR="00041844" w:rsidRPr="00BD1319">
        <w:rPr>
          <w:spacing w:val="-3"/>
        </w:rPr>
        <w:t>p. ej.</w:t>
      </w:r>
      <w:r w:rsidRPr="00BD1319">
        <w:rPr>
          <w:spacing w:val="-3"/>
        </w:rPr>
        <w:t xml:space="preserve"> Técnicas de Inventario y Monitoreo para los Anfibios de la Región Tropical Andina (Angulo et al., 2006)</w:t>
      </w:r>
      <w:r w:rsidR="00C01B53" w:rsidRPr="00BD1319">
        <w:rPr>
          <w:spacing w:val="-3"/>
        </w:rPr>
        <w:t>, así como en</w:t>
      </w:r>
      <w:r w:rsidR="00E14516" w:rsidRPr="00BD1319">
        <w:rPr>
          <w:spacing w:val="-3"/>
        </w:rPr>
        <w:t xml:space="preserve"> el estándar para la publicación de datos a través del </w:t>
      </w:r>
      <w:proofErr w:type="spellStart"/>
      <w:r w:rsidR="00E14516" w:rsidRPr="00BD1319">
        <w:rPr>
          <w:spacing w:val="-3"/>
        </w:rPr>
        <w:t>SiB</w:t>
      </w:r>
      <w:proofErr w:type="spellEnd"/>
      <w:r w:rsidR="00E14516" w:rsidRPr="00BD1319">
        <w:rPr>
          <w:spacing w:val="-3"/>
        </w:rPr>
        <w:t xml:space="preserve"> Colombia</w:t>
      </w:r>
      <w:r w:rsidRPr="00BD1319">
        <w:rPr>
          <w:spacing w:val="-3"/>
        </w:rPr>
        <w:t>.</w:t>
      </w:r>
    </w:p>
    <w:p w14:paraId="47F3151C" w14:textId="77777777" w:rsidR="00482A5F" w:rsidRPr="00BD1319" w:rsidRDefault="00482A5F">
      <w:pPr>
        <w:numPr>
          <w:ilvl w:val="12"/>
          <w:numId w:val="0"/>
        </w:numPr>
        <w:tabs>
          <w:tab w:val="left" w:pos="-2268"/>
        </w:tabs>
        <w:suppressAutoHyphens/>
        <w:rPr>
          <w:spacing w:val="-3"/>
        </w:rPr>
      </w:pPr>
    </w:p>
    <w:p w14:paraId="537DB4BA" w14:textId="30C1D8A7" w:rsidR="00482A5F" w:rsidRPr="00BD1319" w:rsidRDefault="00CF54D8" w:rsidP="00482A5F">
      <w:pPr>
        <w:numPr>
          <w:ilvl w:val="12"/>
          <w:numId w:val="0"/>
        </w:numPr>
        <w:tabs>
          <w:tab w:val="left" w:pos="-2268"/>
        </w:tabs>
        <w:suppressAutoHyphens/>
        <w:rPr>
          <w:rFonts w:cs="Arial"/>
          <w:spacing w:val="-3"/>
        </w:rPr>
      </w:pPr>
      <w:r w:rsidRPr="00BD1319">
        <w:rPr>
          <w:rFonts w:cs="Arial"/>
          <w:spacing w:val="-3"/>
        </w:rPr>
        <w:t xml:space="preserve">Asimismo, como complemento a los inventarios y estudios antes señalados, es posible prever el desarrollo de </w:t>
      </w:r>
      <w:r w:rsidR="00482A5F" w:rsidRPr="00BD1319">
        <w:rPr>
          <w:rFonts w:cs="Arial"/>
          <w:spacing w:val="-3"/>
        </w:rPr>
        <w:t xml:space="preserve">entrevistas estructuradas a los habitantes </w:t>
      </w:r>
      <w:r w:rsidRPr="00BD1319">
        <w:rPr>
          <w:rFonts w:cs="Arial"/>
          <w:spacing w:val="-3"/>
        </w:rPr>
        <w:t>del área de influencia</w:t>
      </w:r>
      <w:r w:rsidR="00482A5F" w:rsidRPr="00BD1319">
        <w:rPr>
          <w:rFonts w:cs="Arial"/>
          <w:spacing w:val="-3"/>
        </w:rPr>
        <w:t xml:space="preserve"> considera</w:t>
      </w:r>
      <w:r w:rsidRPr="00BD1319">
        <w:rPr>
          <w:rFonts w:cs="Arial"/>
          <w:spacing w:val="-3"/>
        </w:rPr>
        <w:t xml:space="preserve">ndo </w:t>
      </w:r>
      <w:r w:rsidR="00482A5F" w:rsidRPr="00BD1319">
        <w:rPr>
          <w:rFonts w:cs="Arial"/>
          <w:spacing w:val="-3"/>
        </w:rPr>
        <w:t>l</w:t>
      </w:r>
      <w:r w:rsidRPr="00BD1319">
        <w:rPr>
          <w:rFonts w:cs="Arial"/>
          <w:spacing w:val="-3"/>
        </w:rPr>
        <w:t>a</w:t>
      </w:r>
      <w:r w:rsidR="00482A5F" w:rsidRPr="00BD1319">
        <w:rPr>
          <w:rFonts w:cs="Arial"/>
          <w:spacing w:val="-3"/>
        </w:rPr>
        <w:t xml:space="preserve">s siguientes </w:t>
      </w:r>
      <w:r w:rsidRPr="00BD1319">
        <w:rPr>
          <w:rFonts w:cs="Arial"/>
          <w:spacing w:val="-3"/>
        </w:rPr>
        <w:t>orientaciones</w:t>
      </w:r>
      <w:r w:rsidR="00482A5F" w:rsidRPr="00BD1319">
        <w:rPr>
          <w:rFonts w:cs="Arial"/>
          <w:spacing w:val="-3"/>
        </w:rPr>
        <w:t>:</w:t>
      </w:r>
    </w:p>
    <w:p w14:paraId="188B3072" w14:textId="77777777" w:rsidR="00482A5F" w:rsidRPr="00BD1319" w:rsidRDefault="00482A5F" w:rsidP="00482A5F">
      <w:pPr>
        <w:numPr>
          <w:ilvl w:val="12"/>
          <w:numId w:val="0"/>
        </w:numPr>
        <w:tabs>
          <w:tab w:val="left" w:pos="-2268"/>
        </w:tabs>
        <w:suppressAutoHyphens/>
        <w:rPr>
          <w:rFonts w:cs="Arial"/>
          <w:spacing w:val="-3"/>
        </w:rPr>
      </w:pPr>
    </w:p>
    <w:p w14:paraId="2ECE35F8" w14:textId="4ACA9A95" w:rsidR="00482A5F" w:rsidRPr="00BD1319" w:rsidRDefault="00482A5F" w:rsidP="00EA18D5">
      <w:pPr>
        <w:pStyle w:val="Prrafodelista"/>
        <w:numPr>
          <w:ilvl w:val="0"/>
          <w:numId w:val="83"/>
        </w:numPr>
        <w:tabs>
          <w:tab w:val="left" w:pos="-2268"/>
        </w:tabs>
        <w:suppressAutoHyphens/>
        <w:ind w:left="567" w:hanging="567"/>
        <w:rPr>
          <w:rFonts w:cs="Arial"/>
          <w:spacing w:val="-3"/>
          <w:lang w:val="es-CO"/>
        </w:rPr>
      </w:pPr>
      <w:r w:rsidRPr="00BD1319">
        <w:rPr>
          <w:rFonts w:cs="Arial"/>
          <w:spacing w:val="-3"/>
          <w:lang w:val="es-CO"/>
        </w:rPr>
        <w:t xml:space="preserve">Entrevistar personas con más de 5 años habitando el área de </w:t>
      </w:r>
      <w:r w:rsidR="007D4003" w:rsidRPr="00BD1319">
        <w:rPr>
          <w:rFonts w:cs="Arial"/>
          <w:spacing w:val="-3"/>
          <w:lang w:val="es-CO"/>
        </w:rPr>
        <w:t>influencia del componente.</w:t>
      </w:r>
    </w:p>
    <w:p w14:paraId="71EA8F40" w14:textId="77777777" w:rsidR="00EA18D5" w:rsidRPr="00BD1319" w:rsidRDefault="00EA18D5" w:rsidP="00C86DA5">
      <w:pPr>
        <w:tabs>
          <w:tab w:val="left" w:pos="-2268"/>
        </w:tabs>
        <w:suppressAutoHyphens/>
        <w:rPr>
          <w:rFonts w:cs="Arial"/>
          <w:spacing w:val="-3"/>
        </w:rPr>
      </w:pPr>
    </w:p>
    <w:p w14:paraId="37F9398B" w14:textId="17A13F8F" w:rsidR="00482A5F" w:rsidRPr="00BD1319" w:rsidRDefault="006B6009" w:rsidP="00EA18D5">
      <w:pPr>
        <w:pStyle w:val="Prrafodelista"/>
        <w:numPr>
          <w:ilvl w:val="0"/>
          <w:numId w:val="83"/>
        </w:numPr>
        <w:tabs>
          <w:tab w:val="left" w:pos="-2268"/>
        </w:tabs>
        <w:suppressAutoHyphens/>
        <w:ind w:left="567" w:hanging="567"/>
        <w:rPr>
          <w:rFonts w:cs="Arial"/>
          <w:spacing w:val="-3"/>
          <w:lang w:val="es-CO"/>
        </w:rPr>
      </w:pPr>
      <w:r w:rsidRPr="00BD1319">
        <w:rPr>
          <w:rFonts w:cs="Arial"/>
          <w:spacing w:val="-3"/>
          <w:lang w:val="es-CO"/>
        </w:rPr>
        <w:t>E</w:t>
      </w:r>
      <w:r w:rsidR="00482A5F" w:rsidRPr="00BD1319">
        <w:rPr>
          <w:rFonts w:cs="Arial"/>
          <w:spacing w:val="-3"/>
          <w:lang w:val="es-CO"/>
        </w:rPr>
        <w:t>ntrevistar personas que frecuenten las zonas naturales.</w:t>
      </w:r>
    </w:p>
    <w:p w14:paraId="10358FE7" w14:textId="77777777" w:rsidR="00EA18D5" w:rsidRPr="00BD1319" w:rsidRDefault="00EA18D5" w:rsidP="00C86DA5">
      <w:pPr>
        <w:tabs>
          <w:tab w:val="left" w:pos="-2268"/>
        </w:tabs>
        <w:suppressAutoHyphens/>
        <w:rPr>
          <w:rFonts w:cs="Arial"/>
          <w:spacing w:val="-3"/>
        </w:rPr>
      </w:pPr>
    </w:p>
    <w:p w14:paraId="6F216A27" w14:textId="20100FF7" w:rsidR="00482A5F" w:rsidRPr="00BD1319" w:rsidRDefault="00482A5F" w:rsidP="00EA18D5">
      <w:pPr>
        <w:pStyle w:val="Prrafodelista"/>
        <w:numPr>
          <w:ilvl w:val="0"/>
          <w:numId w:val="83"/>
        </w:numPr>
        <w:tabs>
          <w:tab w:val="left" w:pos="-2268"/>
        </w:tabs>
        <w:suppressAutoHyphens/>
        <w:ind w:left="567" w:hanging="567"/>
        <w:rPr>
          <w:rFonts w:cs="Arial"/>
          <w:spacing w:val="-3"/>
          <w:lang w:val="es-CO"/>
        </w:rPr>
      </w:pPr>
      <w:r w:rsidRPr="00BD1319">
        <w:rPr>
          <w:rFonts w:cs="Arial"/>
          <w:spacing w:val="-3"/>
          <w:lang w:val="es-CO"/>
        </w:rPr>
        <w:t xml:space="preserve">Aplicar el método </w:t>
      </w:r>
      <w:r w:rsidRPr="00BD1319">
        <w:rPr>
          <w:rFonts w:cs="Arial"/>
          <w:i/>
          <w:iCs/>
          <w:spacing w:val="-3"/>
          <w:lang w:val="es-CO"/>
        </w:rPr>
        <w:t>bola de nieve</w:t>
      </w:r>
      <w:r w:rsidRPr="00BD1319">
        <w:rPr>
          <w:rFonts w:cs="Arial"/>
          <w:spacing w:val="-3"/>
          <w:lang w:val="es-CO"/>
        </w:rPr>
        <w:t xml:space="preserve">, </w:t>
      </w:r>
      <w:r w:rsidR="00B35DC4" w:rsidRPr="00BD1319">
        <w:rPr>
          <w:rFonts w:cs="Arial"/>
          <w:spacing w:val="-3"/>
          <w:lang w:val="es-CO"/>
        </w:rPr>
        <w:t>en el que una</w:t>
      </w:r>
      <w:r w:rsidRPr="00BD1319">
        <w:rPr>
          <w:rFonts w:cs="Arial"/>
          <w:spacing w:val="-3"/>
          <w:lang w:val="es-CO"/>
        </w:rPr>
        <w:t xml:space="preserve"> persona entrevistada refiere otras personas que cumplan con las dos condiciones anteriormente mencionadas.</w:t>
      </w:r>
    </w:p>
    <w:p w14:paraId="16084CDE" w14:textId="77777777" w:rsidR="00EA18D5" w:rsidRPr="00BD1319" w:rsidRDefault="00EA18D5" w:rsidP="00C86DA5">
      <w:pPr>
        <w:tabs>
          <w:tab w:val="left" w:pos="-2268"/>
        </w:tabs>
        <w:suppressAutoHyphens/>
        <w:rPr>
          <w:rFonts w:cs="Arial"/>
          <w:spacing w:val="-3"/>
        </w:rPr>
      </w:pPr>
    </w:p>
    <w:p w14:paraId="6FF24025" w14:textId="77777777" w:rsidR="00482A5F" w:rsidRPr="00BD1319" w:rsidRDefault="00482A5F" w:rsidP="00EA18D5">
      <w:pPr>
        <w:pStyle w:val="Prrafodelista"/>
        <w:numPr>
          <w:ilvl w:val="0"/>
          <w:numId w:val="83"/>
        </w:numPr>
        <w:tabs>
          <w:tab w:val="left" w:pos="-2268"/>
        </w:tabs>
        <w:suppressAutoHyphens/>
        <w:ind w:left="567" w:hanging="567"/>
        <w:rPr>
          <w:rFonts w:cs="Arial"/>
          <w:spacing w:val="-3"/>
          <w:lang w:val="es-CO"/>
        </w:rPr>
      </w:pPr>
      <w:r w:rsidRPr="00BD1319">
        <w:rPr>
          <w:rFonts w:cs="Arial"/>
          <w:spacing w:val="-3"/>
          <w:lang w:val="es-CO"/>
        </w:rPr>
        <w:t>Registrar las coordenadas del sitio donde se realizó la entrevista.</w:t>
      </w:r>
    </w:p>
    <w:p w14:paraId="2E2E44AF" w14:textId="77777777" w:rsidR="00EA18D5" w:rsidRPr="00BD1319" w:rsidRDefault="00EA18D5" w:rsidP="00C86DA5">
      <w:pPr>
        <w:tabs>
          <w:tab w:val="left" w:pos="-2268"/>
        </w:tabs>
        <w:suppressAutoHyphens/>
        <w:rPr>
          <w:rFonts w:cs="Arial"/>
          <w:spacing w:val="-3"/>
        </w:rPr>
      </w:pPr>
    </w:p>
    <w:p w14:paraId="3B93AD86" w14:textId="0BEB821A" w:rsidR="00482A5F" w:rsidRPr="00BD1319" w:rsidRDefault="00482A5F" w:rsidP="00EA18D5">
      <w:pPr>
        <w:pStyle w:val="Prrafodelista"/>
        <w:numPr>
          <w:ilvl w:val="0"/>
          <w:numId w:val="83"/>
        </w:numPr>
        <w:tabs>
          <w:tab w:val="left" w:pos="-2268"/>
        </w:tabs>
        <w:suppressAutoHyphens/>
        <w:ind w:left="567" w:hanging="567"/>
        <w:rPr>
          <w:rFonts w:cs="Arial"/>
          <w:spacing w:val="-3"/>
          <w:lang w:val="es-CO"/>
        </w:rPr>
      </w:pPr>
      <w:r w:rsidRPr="00BD1319">
        <w:rPr>
          <w:rFonts w:cs="Arial"/>
          <w:spacing w:val="-3"/>
          <w:lang w:val="es-CO"/>
        </w:rPr>
        <w:t xml:space="preserve">Localizar cartográficamente la ubicación </w:t>
      </w:r>
      <w:r w:rsidR="004171A4" w:rsidRPr="00BD1319">
        <w:rPr>
          <w:rFonts w:cs="Arial"/>
          <w:spacing w:val="-3"/>
          <w:lang w:val="es-CO"/>
        </w:rPr>
        <w:t xml:space="preserve">de </w:t>
      </w:r>
      <w:r w:rsidRPr="00BD1319">
        <w:rPr>
          <w:rFonts w:cs="Arial"/>
          <w:spacing w:val="-3"/>
          <w:lang w:val="es-CO"/>
        </w:rPr>
        <w:t>los sitios de avistamiento referenciados por los entrevistados.</w:t>
      </w:r>
      <w:r w:rsidR="0003022D" w:rsidRPr="00BD1319">
        <w:rPr>
          <w:rFonts w:cs="Arial"/>
          <w:spacing w:val="-3"/>
          <w:lang w:val="es-CO"/>
        </w:rPr>
        <w:t xml:space="preserve"> Para </w:t>
      </w:r>
      <w:r w:rsidR="00B35DC4" w:rsidRPr="00BD1319">
        <w:rPr>
          <w:rFonts w:cs="Arial"/>
          <w:spacing w:val="-3"/>
          <w:lang w:val="es-CO"/>
        </w:rPr>
        <w:t>ello</w:t>
      </w:r>
      <w:r w:rsidR="0003022D" w:rsidRPr="00BD1319">
        <w:rPr>
          <w:rFonts w:cs="Arial"/>
          <w:spacing w:val="-3"/>
          <w:lang w:val="es-CO"/>
        </w:rPr>
        <w:t xml:space="preserve">, </w:t>
      </w:r>
      <w:r w:rsidR="004171A4" w:rsidRPr="00BD1319">
        <w:rPr>
          <w:rFonts w:cs="Arial"/>
          <w:spacing w:val="-3"/>
          <w:lang w:val="es-CO"/>
        </w:rPr>
        <w:t xml:space="preserve">se </w:t>
      </w:r>
      <w:r w:rsidR="0003022D" w:rsidRPr="00BD1319">
        <w:rPr>
          <w:rFonts w:cs="Arial"/>
          <w:spacing w:val="-3"/>
          <w:lang w:val="es-CO"/>
        </w:rPr>
        <w:t>debe</w:t>
      </w:r>
      <w:r w:rsidR="00B35DC4" w:rsidRPr="00BD1319">
        <w:rPr>
          <w:rFonts w:cs="Arial"/>
          <w:spacing w:val="-3"/>
          <w:lang w:val="es-CO"/>
        </w:rPr>
        <w:t>n</w:t>
      </w:r>
      <w:r w:rsidR="0003022D" w:rsidRPr="00BD1319">
        <w:rPr>
          <w:rFonts w:cs="Arial"/>
          <w:spacing w:val="-3"/>
          <w:lang w:val="es-CO"/>
        </w:rPr>
        <w:t xml:space="preserve"> </w:t>
      </w:r>
      <w:r w:rsidR="00B35DC4" w:rsidRPr="00BD1319">
        <w:rPr>
          <w:rFonts w:cs="Arial"/>
          <w:spacing w:val="-3"/>
          <w:lang w:val="es-CO"/>
        </w:rPr>
        <w:t xml:space="preserve">emplear </w:t>
      </w:r>
      <w:r w:rsidR="0003022D" w:rsidRPr="00BD1319">
        <w:rPr>
          <w:rFonts w:cs="Arial"/>
          <w:spacing w:val="-3"/>
          <w:lang w:val="es-CO"/>
        </w:rPr>
        <w:t xml:space="preserve">herramientas que </w:t>
      </w:r>
      <w:r w:rsidR="00946AF1" w:rsidRPr="00BD1319">
        <w:rPr>
          <w:rFonts w:cs="Arial"/>
          <w:spacing w:val="-3"/>
          <w:lang w:val="es-CO"/>
        </w:rPr>
        <w:t xml:space="preserve">permitan que el </w:t>
      </w:r>
      <w:r w:rsidR="0003022D" w:rsidRPr="00BD1319">
        <w:rPr>
          <w:rFonts w:cs="Arial"/>
          <w:spacing w:val="-3"/>
          <w:lang w:val="es-CO"/>
        </w:rPr>
        <w:t xml:space="preserve">entrevistado </w:t>
      </w:r>
      <w:r w:rsidR="00946AF1" w:rsidRPr="00BD1319">
        <w:rPr>
          <w:rFonts w:cs="Arial"/>
          <w:spacing w:val="-3"/>
          <w:lang w:val="es-CO"/>
        </w:rPr>
        <w:t xml:space="preserve">ubique fácilmente los puntos de observación de fauna </w:t>
      </w:r>
      <w:r w:rsidR="0003022D" w:rsidRPr="00BD1319">
        <w:rPr>
          <w:rFonts w:cs="Arial"/>
          <w:spacing w:val="-3"/>
          <w:lang w:val="es-CO"/>
        </w:rPr>
        <w:t xml:space="preserve">dentro del área de influencia </w:t>
      </w:r>
      <w:r w:rsidR="00946AF1" w:rsidRPr="00BD1319">
        <w:rPr>
          <w:rFonts w:cs="Arial"/>
          <w:spacing w:val="-3"/>
          <w:lang w:val="es-CO"/>
        </w:rPr>
        <w:t xml:space="preserve">del componente, </w:t>
      </w:r>
      <w:r w:rsidR="00533444" w:rsidRPr="00BD1319">
        <w:rPr>
          <w:rFonts w:cs="Arial"/>
          <w:spacing w:val="-3"/>
          <w:lang w:val="es-CO"/>
        </w:rPr>
        <w:t>por ejemplo,</w:t>
      </w:r>
      <w:r w:rsidR="00946AF1" w:rsidRPr="00BD1319">
        <w:rPr>
          <w:rFonts w:cs="Arial"/>
          <w:spacing w:val="-3"/>
          <w:lang w:val="es-CO"/>
        </w:rPr>
        <w:t xml:space="preserve"> mapas que señalen </w:t>
      </w:r>
      <w:r w:rsidR="00B35DC4" w:rsidRPr="00BD1319">
        <w:rPr>
          <w:rFonts w:cs="Arial"/>
          <w:spacing w:val="-3"/>
          <w:lang w:val="es-CO"/>
        </w:rPr>
        <w:t xml:space="preserve">claramente </w:t>
      </w:r>
      <w:r w:rsidR="0003022D" w:rsidRPr="00BD1319">
        <w:rPr>
          <w:rFonts w:cs="Arial"/>
          <w:spacing w:val="-3"/>
          <w:lang w:val="es-CO"/>
        </w:rPr>
        <w:t xml:space="preserve">elementos </w:t>
      </w:r>
      <w:r w:rsidR="00B35DC4" w:rsidRPr="00BD1319">
        <w:rPr>
          <w:rFonts w:cs="Arial"/>
          <w:spacing w:val="-3"/>
          <w:lang w:val="es-CO"/>
        </w:rPr>
        <w:t>d</w:t>
      </w:r>
      <w:r w:rsidR="0003022D" w:rsidRPr="00BD1319">
        <w:rPr>
          <w:rFonts w:cs="Arial"/>
          <w:spacing w:val="-3"/>
          <w:lang w:val="es-CO"/>
        </w:rPr>
        <w:t xml:space="preserve">el paisaje como cerros, colinas, cuevas, ríos, </w:t>
      </w:r>
      <w:r w:rsidR="00533444" w:rsidRPr="00BD1319">
        <w:rPr>
          <w:rFonts w:cs="Arial"/>
          <w:spacing w:val="-3"/>
          <w:lang w:val="es-CO"/>
        </w:rPr>
        <w:t xml:space="preserve">o </w:t>
      </w:r>
      <w:r w:rsidR="00946AF1" w:rsidRPr="00BD1319">
        <w:rPr>
          <w:rFonts w:cs="Arial"/>
          <w:spacing w:val="-3"/>
          <w:lang w:val="es-CO"/>
        </w:rPr>
        <w:t>sitios</w:t>
      </w:r>
      <w:r w:rsidR="00533444" w:rsidRPr="00BD1319">
        <w:rPr>
          <w:rFonts w:cs="Arial"/>
          <w:spacing w:val="-3"/>
          <w:lang w:val="es-CO"/>
        </w:rPr>
        <w:t xml:space="preserve"> reconocidos</w:t>
      </w:r>
      <w:r w:rsidR="0003022D" w:rsidRPr="00BD1319">
        <w:rPr>
          <w:rFonts w:cs="Arial"/>
          <w:spacing w:val="-3"/>
          <w:lang w:val="es-CO"/>
        </w:rPr>
        <w:t>.</w:t>
      </w:r>
    </w:p>
    <w:p w14:paraId="4CAC0D5D" w14:textId="77777777" w:rsidR="00EA18D5" w:rsidRPr="00BD1319" w:rsidRDefault="00EA18D5" w:rsidP="00C86DA5">
      <w:pPr>
        <w:tabs>
          <w:tab w:val="left" w:pos="-2268"/>
        </w:tabs>
        <w:suppressAutoHyphens/>
        <w:rPr>
          <w:rFonts w:cs="Arial"/>
          <w:spacing w:val="-3"/>
        </w:rPr>
      </w:pPr>
    </w:p>
    <w:p w14:paraId="2B74BEAE" w14:textId="1362A7A7" w:rsidR="00482A5F" w:rsidRPr="00BD1319" w:rsidRDefault="000B5E58" w:rsidP="00EA18D5">
      <w:pPr>
        <w:pStyle w:val="Prrafodelista"/>
        <w:numPr>
          <w:ilvl w:val="0"/>
          <w:numId w:val="83"/>
        </w:numPr>
        <w:tabs>
          <w:tab w:val="left" w:pos="-2268"/>
        </w:tabs>
        <w:suppressAutoHyphens/>
        <w:ind w:left="567" w:hanging="567"/>
        <w:rPr>
          <w:rFonts w:cs="Arial"/>
          <w:spacing w:val="-3"/>
          <w:lang w:val="es-CO"/>
        </w:rPr>
      </w:pPr>
      <w:r w:rsidRPr="00BD1319">
        <w:rPr>
          <w:rFonts w:cs="Arial"/>
          <w:spacing w:val="-3"/>
          <w:lang w:val="es-CO"/>
        </w:rPr>
        <w:t>Apoyar el desarrollo de l</w:t>
      </w:r>
      <w:r w:rsidR="00482A5F" w:rsidRPr="00BD1319">
        <w:rPr>
          <w:rFonts w:cs="Arial"/>
          <w:spacing w:val="-3"/>
          <w:lang w:val="es-CO"/>
        </w:rPr>
        <w:t xml:space="preserve">as entrevistas </w:t>
      </w:r>
      <w:r w:rsidRPr="00BD1319">
        <w:rPr>
          <w:rFonts w:cs="Arial"/>
          <w:spacing w:val="-3"/>
          <w:lang w:val="es-CO"/>
        </w:rPr>
        <w:t xml:space="preserve">en el </w:t>
      </w:r>
      <w:r w:rsidR="00482A5F" w:rsidRPr="00BD1319">
        <w:rPr>
          <w:rFonts w:cs="Arial"/>
          <w:spacing w:val="-3"/>
          <w:lang w:val="es-CO"/>
        </w:rPr>
        <w:t>lista</w:t>
      </w:r>
      <w:r w:rsidRPr="00BD1319">
        <w:rPr>
          <w:rFonts w:cs="Arial"/>
          <w:spacing w:val="-3"/>
          <w:lang w:val="es-CO"/>
        </w:rPr>
        <w:t>do</w:t>
      </w:r>
      <w:r w:rsidR="00482A5F" w:rsidRPr="00BD1319">
        <w:rPr>
          <w:rFonts w:cs="Arial"/>
          <w:spacing w:val="-3"/>
          <w:lang w:val="es-CO"/>
        </w:rPr>
        <w:t xml:space="preserve"> de especies que potencialmente se encuentran en el área de </w:t>
      </w:r>
      <w:r w:rsidR="007513E3" w:rsidRPr="00BD1319">
        <w:rPr>
          <w:rFonts w:cs="Arial"/>
          <w:spacing w:val="-3"/>
          <w:lang w:val="es-CO"/>
        </w:rPr>
        <w:t>influencia del componente</w:t>
      </w:r>
      <w:r w:rsidR="00482A5F" w:rsidRPr="00BD1319">
        <w:rPr>
          <w:rFonts w:cs="Arial"/>
          <w:spacing w:val="-3"/>
          <w:lang w:val="es-CO"/>
        </w:rPr>
        <w:t>.</w:t>
      </w:r>
    </w:p>
    <w:p w14:paraId="38C3DA40" w14:textId="77777777" w:rsidR="00482A5F" w:rsidRPr="00BD1319" w:rsidRDefault="00482A5F" w:rsidP="00482A5F">
      <w:pPr>
        <w:numPr>
          <w:ilvl w:val="12"/>
          <w:numId w:val="0"/>
        </w:numPr>
        <w:tabs>
          <w:tab w:val="left" w:pos="-2268"/>
        </w:tabs>
        <w:suppressAutoHyphens/>
        <w:rPr>
          <w:rFonts w:cs="Arial"/>
          <w:spacing w:val="-3"/>
        </w:rPr>
      </w:pPr>
    </w:p>
    <w:p w14:paraId="4C989633" w14:textId="63E1EDF4" w:rsidR="00482A5F" w:rsidRPr="00BD1319" w:rsidRDefault="00482A5F">
      <w:pPr>
        <w:tabs>
          <w:tab w:val="left" w:pos="-2268"/>
        </w:tabs>
        <w:suppressAutoHyphens/>
        <w:rPr>
          <w:rFonts w:cs="Arial"/>
          <w:spacing w:val="-3"/>
          <w:u w:val="single"/>
        </w:rPr>
      </w:pPr>
      <w:r w:rsidRPr="00BD1319">
        <w:rPr>
          <w:spacing w:val="-3"/>
          <w:u w:val="single"/>
        </w:rPr>
        <w:t xml:space="preserve">Fase de </w:t>
      </w:r>
      <w:r w:rsidR="00D46B90" w:rsidRPr="00BD1319">
        <w:rPr>
          <w:spacing w:val="-3"/>
          <w:u w:val="single"/>
        </w:rPr>
        <w:t>campo</w:t>
      </w:r>
      <w:r w:rsidRPr="00BD1319">
        <w:rPr>
          <w:spacing w:val="-3"/>
          <w:u w:val="single"/>
        </w:rPr>
        <w:t>:</w:t>
      </w:r>
    </w:p>
    <w:p w14:paraId="14C71146" w14:textId="77777777" w:rsidR="00482A5F" w:rsidRPr="00BD1319" w:rsidRDefault="00482A5F">
      <w:pPr>
        <w:numPr>
          <w:ilvl w:val="12"/>
          <w:numId w:val="0"/>
        </w:numPr>
        <w:tabs>
          <w:tab w:val="left" w:pos="-2268"/>
        </w:tabs>
        <w:suppressAutoHyphens/>
        <w:rPr>
          <w:spacing w:val="-3"/>
        </w:rPr>
      </w:pPr>
    </w:p>
    <w:p w14:paraId="33EE6FBD" w14:textId="4F9CE6CC" w:rsidR="00482A5F" w:rsidRPr="00BD1319" w:rsidRDefault="00C33ED0">
      <w:pPr>
        <w:numPr>
          <w:ilvl w:val="12"/>
          <w:numId w:val="0"/>
        </w:numPr>
        <w:tabs>
          <w:tab w:val="left" w:pos="-2268"/>
        </w:tabs>
        <w:suppressAutoHyphens/>
        <w:rPr>
          <w:spacing w:val="-3"/>
        </w:rPr>
      </w:pPr>
      <w:r w:rsidRPr="00BD1319">
        <w:rPr>
          <w:spacing w:val="-3"/>
        </w:rPr>
        <w:t>S</w:t>
      </w:r>
      <w:r w:rsidR="00482A5F" w:rsidRPr="00BD1319">
        <w:rPr>
          <w:spacing w:val="-3"/>
        </w:rPr>
        <w:t xml:space="preserve">e debe plantear un diseño muestral </w:t>
      </w:r>
      <w:r w:rsidR="00482A5F" w:rsidRPr="00BD1319">
        <w:rPr>
          <w:rFonts w:cs="Arial"/>
          <w:spacing w:val="-3"/>
        </w:rPr>
        <w:t xml:space="preserve">para cada uno de los grupos biológicos </w:t>
      </w:r>
      <w:r w:rsidR="00737EC6" w:rsidRPr="00BD1319">
        <w:rPr>
          <w:rFonts w:cs="Arial"/>
          <w:spacing w:val="-3"/>
        </w:rPr>
        <w:t>objeto de caracterización</w:t>
      </w:r>
      <w:r w:rsidR="00482A5F" w:rsidRPr="00BD1319">
        <w:rPr>
          <w:rFonts w:cs="Arial"/>
          <w:spacing w:val="-3"/>
        </w:rPr>
        <w:t xml:space="preserve"> </w:t>
      </w:r>
      <w:r w:rsidR="00737EC6" w:rsidRPr="00BD1319">
        <w:rPr>
          <w:rFonts w:cs="Arial"/>
          <w:spacing w:val="-3"/>
        </w:rPr>
        <w:t xml:space="preserve">en el </w:t>
      </w:r>
      <w:r w:rsidR="00737EC6" w:rsidRPr="00BD1319">
        <w:rPr>
          <w:spacing w:val="-3"/>
        </w:rPr>
        <w:t xml:space="preserve">área de influencia </w:t>
      </w:r>
      <w:r w:rsidR="00737EC6" w:rsidRPr="00BD1319">
        <w:rPr>
          <w:rFonts w:cs="Arial"/>
          <w:spacing w:val="-3"/>
        </w:rPr>
        <w:t xml:space="preserve">del componente que </w:t>
      </w:r>
      <w:r w:rsidR="00482A5F" w:rsidRPr="00BD1319">
        <w:rPr>
          <w:rFonts w:cs="Arial"/>
          <w:spacing w:val="-3"/>
        </w:rPr>
        <w:t>garanti</w:t>
      </w:r>
      <w:r w:rsidR="00737EC6" w:rsidRPr="00BD1319">
        <w:rPr>
          <w:rFonts w:cs="Arial"/>
          <w:spacing w:val="-3"/>
        </w:rPr>
        <w:t xml:space="preserve">ce </w:t>
      </w:r>
      <w:r w:rsidR="00482A5F" w:rsidRPr="00BD1319">
        <w:rPr>
          <w:spacing w:val="-3"/>
        </w:rPr>
        <w:t xml:space="preserve">la recolección de </w:t>
      </w:r>
      <w:r w:rsidR="00737EC6" w:rsidRPr="00BD1319">
        <w:rPr>
          <w:spacing w:val="-3"/>
        </w:rPr>
        <w:t xml:space="preserve">datos y obtención de </w:t>
      </w:r>
      <w:r w:rsidR="00482A5F" w:rsidRPr="00BD1319">
        <w:rPr>
          <w:spacing w:val="-3"/>
        </w:rPr>
        <w:t xml:space="preserve">información representativa </w:t>
      </w:r>
      <w:r w:rsidR="00737EC6" w:rsidRPr="00BD1319">
        <w:rPr>
          <w:rFonts w:cs="Arial"/>
          <w:spacing w:val="-3"/>
        </w:rPr>
        <w:t xml:space="preserve">para </w:t>
      </w:r>
      <w:r w:rsidR="00482A5F" w:rsidRPr="00BD1319">
        <w:rPr>
          <w:spacing w:val="-3"/>
        </w:rPr>
        <w:t xml:space="preserve">cada unidad de cobertura </w:t>
      </w:r>
      <w:r w:rsidR="00EC5EDE" w:rsidRPr="00BD1319">
        <w:rPr>
          <w:spacing w:val="-3"/>
        </w:rPr>
        <w:t xml:space="preserve">de la tierra (mínimo a nivel 3 de la leyenda Corine </w:t>
      </w:r>
      <w:proofErr w:type="spellStart"/>
      <w:r w:rsidR="00EC5EDE" w:rsidRPr="00BD1319">
        <w:rPr>
          <w:spacing w:val="-3"/>
        </w:rPr>
        <w:t>Land</w:t>
      </w:r>
      <w:proofErr w:type="spellEnd"/>
      <w:r w:rsidR="00EC5EDE" w:rsidRPr="00BD1319">
        <w:rPr>
          <w:spacing w:val="-3"/>
        </w:rPr>
        <w:t xml:space="preserve"> </w:t>
      </w:r>
      <w:proofErr w:type="spellStart"/>
      <w:r w:rsidR="00EC5EDE" w:rsidRPr="00BD1319">
        <w:rPr>
          <w:spacing w:val="-3"/>
        </w:rPr>
        <w:t>Cover</w:t>
      </w:r>
      <w:proofErr w:type="spellEnd"/>
      <w:r w:rsidR="00EC5EDE" w:rsidRPr="00BD1319">
        <w:rPr>
          <w:spacing w:val="-3"/>
        </w:rPr>
        <w:t xml:space="preserve"> adaptada para Colombia) </w:t>
      </w:r>
      <w:r w:rsidR="00482A5F" w:rsidRPr="00BD1319">
        <w:rPr>
          <w:rFonts w:cs="Arial"/>
          <w:spacing w:val="-3"/>
        </w:rPr>
        <w:t xml:space="preserve">por </w:t>
      </w:r>
      <w:r w:rsidRPr="00BD1319">
        <w:rPr>
          <w:rFonts w:cs="Arial"/>
          <w:spacing w:val="-3"/>
        </w:rPr>
        <w:t xml:space="preserve">Unidad biótica </w:t>
      </w:r>
      <w:r w:rsidR="00EC5EDE" w:rsidRPr="00BD1319">
        <w:rPr>
          <w:spacing w:val="-3"/>
        </w:rPr>
        <w:t xml:space="preserve">(según el </w:t>
      </w:r>
      <w:r w:rsidR="00EC5EDE" w:rsidRPr="00BD1319">
        <w:t>Mapa de ecosistemas continentales, costeros y marinos de Colombia (MEC)</w:t>
      </w:r>
      <w:r w:rsidR="00EC5EDE" w:rsidRPr="00BD1319">
        <w:rPr>
          <w:rFonts w:cs="Arial"/>
        </w:rPr>
        <w:t>,</w:t>
      </w:r>
      <w:r w:rsidR="00EC5EDE" w:rsidRPr="00BD1319">
        <w:t xml:space="preserve"> versión 2.1, escala 1:100.000 (2017) (</w:t>
      </w:r>
      <w:proofErr w:type="spellStart"/>
      <w:r w:rsidR="00EC5EDE" w:rsidRPr="00BD1319">
        <w:t>Ideam</w:t>
      </w:r>
      <w:proofErr w:type="spellEnd"/>
      <w:r w:rsidR="00EC5EDE" w:rsidRPr="00BD1319">
        <w:t xml:space="preserve"> et al., 2017), o </w:t>
      </w:r>
      <w:r w:rsidR="00EC5EDE" w:rsidRPr="00BD1319">
        <w:rPr>
          <w:rFonts w:cs="Arial"/>
        </w:rPr>
        <w:t>sus</w:t>
      </w:r>
      <w:r w:rsidR="00EC5EDE" w:rsidRPr="00BD1319">
        <w:t xml:space="preserve"> versiones posteriores</w:t>
      </w:r>
      <w:r w:rsidR="00482A5F" w:rsidRPr="00BD1319">
        <w:rPr>
          <w:spacing w:val="-3"/>
        </w:rPr>
        <w:t>)</w:t>
      </w:r>
      <w:r w:rsidR="00737EC6" w:rsidRPr="00BD1319">
        <w:rPr>
          <w:spacing w:val="-3"/>
        </w:rPr>
        <w:t>.</w:t>
      </w:r>
    </w:p>
    <w:p w14:paraId="5D41802C" w14:textId="77777777" w:rsidR="00482A5F" w:rsidRPr="00BD1319" w:rsidRDefault="00482A5F">
      <w:pPr>
        <w:numPr>
          <w:ilvl w:val="12"/>
          <w:numId w:val="0"/>
        </w:numPr>
        <w:tabs>
          <w:tab w:val="left" w:pos="-2268"/>
        </w:tabs>
        <w:suppressAutoHyphens/>
        <w:rPr>
          <w:spacing w:val="-3"/>
        </w:rPr>
      </w:pPr>
    </w:p>
    <w:p w14:paraId="34DF0202" w14:textId="5E842930" w:rsidR="00482A5F" w:rsidRPr="00BD1319" w:rsidRDefault="00737EC6">
      <w:pPr>
        <w:numPr>
          <w:ilvl w:val="12"/>
          <w:numId w:val="0"/>
        </w:numPr>
        <w:tabs>
          <w:tab w:val="left" w:pos="-2268"/>
        </w:tabs>
        <w:suppressAutoHyphens/>
        <w:rPr>
          <w:spacing w:val="-3"/>
        </w:rPr>
      </w:pPr>
      <w:r w:rsidRPr="00BD1319">
        <w:rPr>
          <w:spacing w:val="-3"/>
        </w:rPr>
        <w:t xml:space="preserve">El desarrollo del muestreo que se formule debe ejecutarse mediante </w:t>
      </w:r>
      <w:r w:rsidR="00482A5F" w:rsidRPr="00BD1319">
        <w:rPr>
          <w:spacing w:val="-3"/>
        </w:rPr>
        <w:t xml:space="preserve">métodos para el estudio de la fauna </w:t>
      </w:r>
      <w:r w:rsidRPr="00BD1319">
        <w:rPr>
          <w:spacing w:val="-3"/>
        </w:rPr>
        <w:t>como los que se mencionan a continuación</w:t>
      </w:r>
      <w:r w:rsidR="00482A5F" w:rsidRPr="00BD1319">
        <w:rPr>
          <w:spacing w:val="-3"/>
        </w:rPr>
        <w:t>:</w:t>
      </w:r>
    </w:p>
    <w:p w14:paraId="6A5CE163" w14:textId="77777777" w:rsidR="00482A5F" w:rsidRPr="00BD1319" w:rsidRDefault="00482A5F">
      <w:pPr>
        <w:numPr>
          <w:ilvl w:val="12"/>
          <w:numId w:val="0"/>
        </w:numPr>
        <w:tabs>
          <w:tab w:val="left" w:pos="-2268"/>
        </w:tabs>
        <w:suppressAutoHyphens/>
        <w:rPr>
          <w:spacing w:val="-3"/>
        </w:rPr>
      </w:pPr>
    </w:p>
    <w:p w14:paraId="6F01FC87" w14:textId="4D29C183" w:rsidR="00C33ED0" w:rsidRPr="00BD1319" w:rsidRDefault="00482A5F" w:rsidP="00977C86">
      <w:pPr>
        <w:pStyle w:val="Prrafodelista"/>
        <w:numPr>
          <w:ilvl w:val="0"/>
          <w:numId w:val="83"/>
        </w:numPr>
        <w:tabs>
          <w:tab w:val="left" w:pos="-2268"/>
        </w:tabs>
        <w:suppressAutoHyphens/>
        <w:ind w:left="567" w:hanging="567"/>
        <w:rPr>
          <w:rFonts w:cs="Arial"/>
          <w:spacing w:val="-3"/>
          <w:lang w:val="es-CO"/>
        </w:rPr>
      </w:pPr>
      <w:proofErr w:type="spellStart"/>
      <w:r w:rsidRPr="00BD1319">
        <w:rPr>
          <w:spacing w:val="-3"/>
          <w:lang w:val="es-CO"/>
        </w:rPr>
        <w:t>Herpetofauna</w:t>
      </w:r>
      <w:proofErr w:type="spellEnd"/>
      <w:r w:rsidRPr="00BD1319">
        <w:rPr>
          <w:spacing w:val="-3"/>
          <w:lang w:val="es-CO"/>
        </w:rPr>
        <w:t>:</w:t>
      </w:r>
      <w:r w:rsidRPr="00BD1319">
        <w:rPr>
          <w:rFonts w:cs="Arial"/>
          <w:spacing w:val="-3"/>
          <w:lang w:val="es-CO"/>
        </w:rPr>
        <w:t xml:space="preserve"> </w:t>
      </w:r>
      <w:r w:rsidR="00373736" w:rsidRPr="00BD1319">
        <w:rPr>
          <w:rFonts w:cs="Arial"/>
          <w:spacing w:val="-3"/>
          <w:lang w:val="es-CO"/>
        </w:rPr>
        <w:t>p</w:t>
      </w:r>
      <w:r w:rsidRPr="00BD1319">
        <w:rPr>
          <w:rFonts w:cs="Arial"/>
          <w:spacing w:val="-3"/>
          <w:lang w:val="es-CO"/>
        </w:rPr>
        <w:t xml:space="preserve">ara los muestreos de este grupo </w:t>
      </w:r>
      <w:r w:rsidR="00C33ED0" w:rsidRPr="00BD1319">
        <w:rPr>
          <w:rFonts w:cs="Arial"/>
          <w:spacing w:val="-3"/>
          <w:lang w:val="es-CO"/>
        </w:rPr>
        <w:t>es posible hacer uso de métodos de muestr</w:t>
      </w:r>
      <w:r w:rsidR="00485A81" w:rsidRPr="00BD1319">
        <w:rPr>
          <w:rFonts w:cs="Arial"/>
          <w:spacing w:val="-3"/>
          <w:lang w:val="es-CO"/>
        </w:rPr>
        <w:t>e</w:t>
      </w:r>
      <w:r w:rsidR="00C33ED0" w:rsidRPr="00BD1319">
        <w:rPr>
          <w:rFonts w:cs="Arial"/>
          <w:spacing w:val="-3"/>
          <w:lang w:val="es-CO"/>
        </w:rPr>
        <w:t>o activo, de muestr</w:t>
      </w:r>
      <w:r w:rsidR="00485A81" w:rsidRPr="00BD1319">
        <w:rPr>
          <w:rFonts w:cs="Arial"/>
          <w:spacing w:val="-3"/>
          <w:lang w:val="es-CO"/>
        </w:rPr>
        <w:t>e</w:t>
      </w:r>
      <w:r w:rsidR="00C33ED0" w:rsidRPr="00BD1319">
        <w:rPr>
          <w:rFonts w:cs="Arial"/>
          <w:spacing w:val="-3"/>
          <w:lang w:val="es-CO"/>
        </w:rPr>
        <w:t>o pasivo y de combinación</w:t>
      </w:r>
      <w:r w:rsidR="00D64AF8" w:rsidRPr="00BD1319">
        <w:rPr>
          <w:rFonts w:cs="Arial"/>
          <w:spacing w:val="-3"/>
          <w:lang w:val="es-CO"/>
        </w:rPr>
        <w:t xml:space="preserve"> de éstos</w:t>
      </w:r>
      <w:r w:rsidR="00C33ED0" w:rsidRPr="00BD1319">
        <w:rPr>
          <w:rFonts w:cs="Arial"/>
          <w:spacing w:val="-3"/>
          <w:lang w:val="es-CO"/>
        </w:rPr>
        <w:t>, por ejemplo:</w:t>
      </w:r>
    </w:p>
    <w:p w14:paraId="4E3FC5D4" w14:textId="77777777" w:rsidR="00C33ED0" w:rsidRPr="00BD1319" w:rsidRDefault="00C33ED0" w:rsidP="009420F5">
      <w:pPr>
        <w:tabs>
          <w:tab w:val="left" w:pos="-2268"/>
        </w:tabs>
        <w:suppressAutoHyphens/>
        <w:rPr>
          <w:rFonts w:cs="Arial"/>
          <w:spacing w:val="-3"/>
        </w:rPr>
      </w:pPr>
    </w:p>
    <w:p w14:paraId="013958AB" w14:textId="63BE2CCD" w:rsidR="00482A5F" w:rsidRPr="00BD1319" w:rsidRDefault="00482A5F" w:rsidP="008A4FE9">
      <w:pPr>
        <w:pStyle w:val="Prrafodelista"/>
        <w:numPr>
          <w:ilvl w:val="0"/>
          <w:numId w:val="84"/>
        </w:numPr>
        <w:tabs>
          <w:tab w:val="left" w:pos="-2268"/>
        </w:tabs>
        <w:suppressAutoHyphens/>
        <w:ind w:left="1134" w:hanging="567"/>
        <w:rPr>
          <w:rFonts w:cs="Arial"/>
          <w:spacing w:val="-3"/>
          <w:lang w:val="es-CO"/>
        </w:rPr>
      </w:pPr>
      <w:r w:rsidRPr="00BD1319">
        <w:rPr>
          <w:rFonts w:cs="Arial"/>
          <w:spacing w:val="-3"/>
          <w:u w:val="single"/>
          <w:lang w:val="es-CO"/>
        </w:rPr>
        <w:t xml:space="preserve">Inspección por encuentro visual (VES </w:t>
      </w:r>
      <w:r w:rsidR="00FB190E" w:rsidRPr="00BD1319">
        <w:rPr>
          <w:rFonts w:cs="Arial"/>
          <w:spacing w:val="-3"/>
          <w:u w:val="single"/>
          <w:lang w:val="es-CO"/>
        </w:rPr>
        <w:t>por sus siglas en inglés</w:t>
      </w:r>
      <w:r w:rsidRPr="00BD1319">
        <w:rPr>
          <w:rFonts w:cs="Arial"/>
          <w:spacing w:val="-3"/>
          <w:u w:val="single"/>
          <w:lang w:val="es-CO"/>
        </w:rPr>
        <w:t>)</w:t>
      </w:r>
      <w:r w:rsidR="00C33ED0" w:rsidRPr="00BD1319">
        <w:rPr>
          <w:rFonts w:cs="Arial"/>
          <w:spacing w:val="-3"/>
          <w:u w:val="single"/>
          <w:lang w:val="es-CO"/>
        </w:rPr>
        <w:t>:</w:t>
      </w:r>
      <w:r w:rsidRPr="00BD1319">
        <w:rPr>
          <w:rFonts w:cs="Arial"/>
          <w:spacing w:val="-3"/>
          <w:lang w:val="es-CO"/>
        </w:rPr>
        <w:t xml:space="preserve"> consiste en realizar inspecciones y recorridos por un área determinada en búsqueda de individuos, los cuales generalmente se enc</w:t>
      </w:r>
      <w:r w:rsidR="00D64AF8" w:rsidRPr="00BD1319">
        <w:rPr>
          <w:rFonts w:cs="Arial"/>
          <w:spacing w:val="-3"/>
          <w:lang w:val="es-CO"/>
        </w:rPr>
        <w:t xml:space="preserve">uentran </w:t>
      </w:r>
      <w:r w:rsidRPr="00BD1319">
        <w:rPr>
          <w:rFonts w:cs="Arial"/>
          <w:spacing w:val="-3"/>
          <w:lang w:val="es-CO"/>
        </w:rPr>
        <w:t>en lugares de interés como charcos, cuerpos de agua, zanjas, bajo troncos y piedras.</w:t>
      </w:r>
      <w:r w:rsidR="00317369" w:rsidRPr="00BD1319">
        <w:rPr>
          <w:rFonts w:cs="Arial"/>
          <w:spacing w:val="-3"/>
          <w:lang w:val="es-CO"/>
        </w:rPr>
        <w:t xml:space="preserve"> </w:t>
      </w:r>
      <w:r w:rsidRPr="00BD1319">
        <w:rPr>
          <w:rFonts w:cs="Arial"/>
          <w:spacing w:val="-3"/>
          <w:lang w:val="es-CO"/>
        </w:rPr>
        <w:t>Esta recolección se hace por tiempo definido y teniendo en cuenta el diseño muestral planteado, lo cual se refleja en el número de transectos con búsqueda libre y sin restricciones</w:t>
      </w:r>
      <w:r w:rsidR="00D64AF8" w:rsidRPr="00BD1319">
        <w:rPr>
          <w:rFonts w:cs="Arial"/>
          <w:spacing w:val="-3"/>
          <w:lang w:val="es-CO"/>
        </w:rPr>
        <w:t>,</w:t>
      </w:r>
      <w:r w:rsidRPr="00BD1319">
        <w:rPr>
          <w:rFonts w:cs="Arial"/>
          <w:spacing w:val="-3"/>
          <w:lang w:val="es-CO"/>
        </w:rPr>
        <w:t xml:space="preserve"> los cuales deben realizarse de manera diurna y nocturna para la obtención de registros visuales o auditivos </w:t>
      </w:r>
      <w:r w:rsidRPr="00BD1319">
        <w:rPr>
          <w:rFonts w:cs="Arial"/>
          <w:spacing w:val="-3"/>
          <w:lang w:val="es-CO"/>
        </w:rPr>
        <w:lastRenderedPageBreak/>
        <w:t>(machos adultos de anuros durante la época reproductiva); y la captura directa.</w:t>
      </w:r>
    </w:p>
    <w:p w14:paraId="1FC29205" w14:textId="77777777" w:rsidR="00C33ED0" w:rsidRPr="00BD1319" w:rsidRDefault="00C33ED0" w:rsidP="00882219">
      <w:pPr>
        <w:tabs>
          <w:tab w:val="left" w:pos="-2268"/>
        </w:tabs>
        <w:suppressAutoHyphens/>
        <w:rPr>
          <w:rFonts w:cs="Arial"/>
          <w:spacing w:val="-3"/>
          <w:u w:val="single"/>
        </w:rPr>
      </w:pPr>
    </w:p>
    <w:p w14:paraId="48D72C2D" w14:textId="17091BE9" w:rsidR="00C33ED0" w:rsidRPr="00BD1319" w:rsidRDefault="00C33ED0" w:rsidP="008A4FE9">
      <w:pPr>
        <w:pStyle w:val="Prrafodelista"/>
        <w:numPr>
          <w:ilvl w:val="0"/>
          <w:numId w:val="84"/>
        </w:numPr>
        <w:tabs>
          <w:tab w:val="left" w:pos="-2268"/>
        </w:tabs>
        <w:suppressAutoHyphens/>
        <w:ind w:left="1134" w:hanging="567"/>
        <w:rPr>
          <w:rFonts w:cs="Arial"/>
          <w:spacing w:val="-3"/>
          <w:lang w:val="es-CO"/>
        </w:rPr>
      </w:pPr>
      <w:r w:rsidRPr="00BD1319">
        <w:rPr>
          <w:rFonts w:cs="Arial"/>
          <w:spacing w:val="-3"/>
          <w:u w:val="single"/>
          <w:lang w:val="es-CO"/>
        </w:rPr>
        <w:t>Parcelas de hojarasca:</w:t>
      </w:r>
      <w:r w:rsidRPr="00BD1319">
        <w:rPr>
          <w:rFonts w:cs="Arial"/>
          <w:spacing w:val="-3"/>
          <w:lang w:val="es-CO"/>
        </w:rPr>
        <w:t xml:space="preserve"> consist</w:t>
      </w:r>
      <w:r w:rsidR="00373736" w:rsidRPr="00BD1319">
        <w:rPr>
          <w:rFonts w:cs="Arial"/>
          <w:spacing w:val="-3"/>
          <w:lang w:val="es-CO"/>
        </w:rPr>
        <w:t>e</w:t>
      </w:r>
      <w:r w:rsidRPr="00BD1319">
        <w:rPr>
          <w:rFonts w:cs="Arial"/>
          <w:spacing w:val="-3"/>
          <w:lang w:val="es-CO"/>
        </w:rPr>
        <w:t xml:space="preserve"> en </w:t>
      </w:r>
      <w:r w:rsidR="00317369" w:rsidRPr="00BD1319">
        <w:rPr>
          <w:rFonts w:cs="Arial"/>
          <w:spacing w:val="-3"/>
          <w:lang w:val="es-CO"/>
        </w:rPr>
        <w:t xml:space="preserve">delimitar </w:t>
      </w:r>
      <w:r w:rsidRPr="00BD1319">
        <w:rPr>
          <w:rFonts w:cs="Arial"/>
          <w:spacing w:val="-3"/>
          <w:lang w:val="es-CO"/>
        </w:rPr>
        <w:t xml:space="preserve">parcelas en </w:t>
      </w:r>
      <w:r w:rsidR="00373736" w:rsidRPr="00BD1319">
        <w:rPr>
          <w:rFonts w:cs="Arial"/>
          <w:spacing w:val="-3"/>
          <w:lang w:val="es-CO"/>
        </w:rPr>
        <w:t>b</w:t>
      </w:r>
      <w:r w:rsidRPr="00BD1319">
        <w:rPr>
          <w:rFonts w:cs="Arial"/>
          <w:spacing w:val="-3"/>
          <w:lang w:val="es-CO"/>
        </w:rPr>
        <w:t xml:space="preserve">osques y </w:t>
      </w:r>
      <w:r w:rsidR="00373736" w:rsidRPr="00BD1319">
        <w:rPr>
          <w:rFonts w:cs="Arial"/>
          <w:spacing w:val="-3"/>
          <w:lang w:val="es-CO"/>
        </w:rPr>
        <w:t>v</w:t>
      </w:r>
      <w:r w:rsidRPr="00BD1319">
        <w:rPr>
          <w:rFonts w:cs="Arial"/>
          <w:spacing w:val="-3"/>
          <w:lang w:val="es-CO"/>
        </w:rPr>
        <w:t>egetación secundaria, las cuales se disp</w:t>
      </w:r>
      <w:r w:rsidR="00373736" w:rsidRPr="00BD1319">
        <w:rPr>
          <w:rFonts w:cs="Arial"/>
          <w:spacing w:val="-3"/>
          <w:lang w:val="es-CO"/>
        </w:rPr>
        <w:t>onen</w:t>
      </w:r>
      <w:r w:rsidRPr="00BD1319">
        <w:rPr>
          <w:rFonts w:cs="Arial"/>
          <w:spacing w:val="-3"/>
          <w:lang w:val="es-CO"/>
        </w:rPr>
        <w:t xml:space="preserve"> de manera aleatoria.</w:t>
      </w:r>
      <w:r w:rsidR="0072054C" w:rsidRPr="00BD1319">
        <w:rPr>
          <w:rFonts w:cs="Arial"/>
          <w:spacing w:val="-3"/>
          <w:lang w:val="es-CO"/>
        </w:rPr>
        <w:t xml:space="preserve"> </w:t>
      </w:r>
      <w:r w:rsidRPr="00BD1319">
        <w:rPr>
          <w:rFonts w:cs="Arial"/>
          <w:spacing w:val="-3"/>
          <w:lang w:val="es-CO"/>
        </w:rPr>
        <w:t xml:space="preserve">Dentro de </w:t>
      </w:r>
      <w:r w:rsidR="00373736" w:rsidRPr="00BD1319">
        <w:rPr>
          <w:rFonts w:cs="Arial"/>
          <w:spacing w:val="-3"/>
          <w:lang w:val="es-CO"/>
        </w:rPr>
        <w:t>é</w:t>
      </w:r>
      <w:r w:rsidRPr="00BD1319">
        <w:rPr>
          <w:rFonts w:cs="Arial"/>
          <w:spacing w:val="-3"/>
          <w:lang w:val="es-CO"/>
        </w:rPr>
        <w:t>stas se recoge y rem</w:t>
      </w:r>
      <w:r w:rsidR="00373736" w:rsidRPr="00BD1319">
        <w:rPr>
          <w:rFonts w:cs="Arial"/>
          <w:spacing w:val="-3"/>
          <w:lang w:val="es-CO"/>
        </w:rPr>
        <w:t>ue</w:t>
      </w:r>
      <w:r w:rsidRPr="00BD1319">
        <w:rPr>
          <w:rFonts w:cs="Arial"/>
          <w:spacing w:val="-3"/>
          <w:lang w:val="es-CO"/>
        </w:rPr>
        <w:t>ve lentamente toda la hojarasca</w:t>
      </w:r>
      <w:r w:rsidR="009A79E5" w:rsidRPr="00BD1319">
        <w:rPr>
          <w:rFonts w:cs="Arial"/>
          <w:spacing w:val="-3"/>
          <w:lang w:val="es-CO"/>
        </w:rPr>
        <w:t>,</w:t>
      </w:r>
      <w:r w:rsidRPr="00BD1319">
        <w:rPr>
          <w:rFonts w:cs="Arial"/>
          <w:spacing w:val="-3"/>
          <w:lang w:val="es-CO"/>
        </w:rPr>
        <w:t xml:space="preserve"> capturando cualquier animal que se encuentre allí.</w:t>
      </w:r>
    </w:p>
    <w:p w14:paraId="01C6886D" w14:textId="77777777" w:rsidR="00C33ED0" w:rsidRPr="00BD1319" w:rsidRDefault="00C33ED0" w:rsidP="00882219">
      <w:pPr>
        <w:tabs>
          <w:tab w:val="left" w:pos="-2268"/>
        </w:tabs>
        <w:suppressAutoHyphens/>
        <w:rPr>
          <w:rFonts w:cs="Arial"/>
          <w:spacing w:val="-3"/>
          <w:u w:val="single"/>
        </w:rPr>
      </w:pPr>
    </w:p>
    <w:p w14:paraId="386C7B6A" w14:textId="00B35DC4" w:rsidR="00C33ED0" w:rsidRPr="00BD1319" w:rsidRDefault="00C33ED0" w:rsidP="008A4FE9">
      <w:pPr>
        <w:pStyle w:val="Prrafodelista"/>
        <w:numPr>
          <w:ilvl w:val="0"/>
          <w:numId w:val="84"/>
        </w:numPr>
        <w:tabs>
          <w:tab w:val="left" w:pos="-2268"/>
        </w:tabs>
        <w:suppressAutoHyphens/>
        <w:ind w:left="1134" w:hanging="567"/>
        <w:rPr>
          <w:rFonts w:cs="Arial"/>
          <w:spacing w:val="-3"/>
          <w:u w:val="single"/>
          <w:lang w:val="es-CO"/>
        </w:rPr>
      </w:pPr>
      <w:r w:rsidRPr="00BD1319">
        <w:rPr>
          <w:rFonts w:cs="Arial"/>
          <w:spacing w:val="-3"/>
          <w:u w:val="single"/>
          <w:lang w:val="es-CO"/>
        </w:rPr>
        <w:t xml:space="preserve">Trampas de </w:t>
      </w:r>
      <w:r w:rsidR="00EF7C82" w:rsidRPr="00BD1319">
        <w:rPr>
          <w:rFonts w:cs="Arial"/>
          <w:spacing w:val="-3"/>
          <w:u w:val="single"/>
          <w:lang w:val="es-CO"/>
        </w:rPr>
        <w:t>caída</w:t>
      </w:r>
      <w:r w:rsidRPr="00BD1319">
        <w:rPr>
          <w:rFonts w:cs="Arial"/>
          <w:spacing w:val="-3"/>
          <w:u w:val="single"/>
          <w:lang w:val="es-CO"/>
        </w:rPr>
        <w:t xml:space="preserve"> (</w:t>
      </w:r>
      <w:proofErr w:type="spellStart"/>
      <w:r w:rsidR="00F51869" w:rsidRPr="00BD1319">
        <w:rPr>
          <w:rFonts w:cs="Arial"/>
          <w:spacing w:val="-3"/>
          <w:u w:val="single"/>
          <w:lang w:val="es-CO"/>
        </w:rPr>
        <w:t>p</w:t>
      </w:r>
      <w:r w:rsidRPr="00BD1319">
        <w:rPr>
          <w:rFonts w:cs="Arial"/>
          <w:spacing w:val="-3"/>
          <w:u w:val="single"/>
          <w:lang w:val="es-CO"/>
        </w:rPr>
        <w:t>itfall</w:t>
      </w:r>
      <w:proofErr w:type="spellEnd"/>
      <w:r w:rsidRPr="00BD1319">
        <w:rPr>
          <w:rFonts w:cs="Arial"/>
          <w:spacing w:val="-3"/>
          <w:u w:val="single"/>
          <w:lang w:val="es-CO"/>
        </w:rPr>
        <w:t>):</w:t>
      </w:r>
      <w:r w:rsidRPr="00BD1319">
        <w:rPr>
          <w:rFonts w:cs="Arial"/>
          <w:spacing w:val="-3"/>
          <w:lang w:val="es-CO"/>
        </w:rPr>
        <w:t xml:space="preserve"> consiste en impedir el libre tránsito de los individuos de este grupo que deambulan por un área </w:t>
      </w:r>
      <w:r w:rsidR="00317369" w:rsidRPr="00BD1319">
        <w:rPr>
          <w:rFonts w:cs="Arial"/>
          <w:spacing w:val="-3"/>
          <w:lang w:val="es-CO"/>
        </w:rPr>
        <w:t xml:space="preserve">determinada mediante </w:t>
      </w:r>
      <w:r w:rsidRPr="00BD1319">
        <w:rPr>
          <w:rFonts w:cs="Arial"/>
          <w:spacing w:val="-3"/>
          <w:lang w:val="es-CO"/>
        </w:rPr>
        <w:t xml:space="preserve">la construcción de una barrera física. Para la instalación de las trampas </w:t>
      </w:r>
      <w:proofErr w:type="spellStart"/>
      <w:r w:rsidRPr="00BD1319">
        <w:rPr>
          <w:rFonts w:cs="Arial"/>
          <w:spacing w:val="-3"/>
          <w:lang w:val="es-CO"/>
        </w:rPr>
        <w:t>pitfall</w:t>
      </w:r>
      <w:proofErr w:type="spellEnd"/>
      <w:r w:rsidRPr="00BD1319">
        <w:rPr>
          <w:rFonts w:cs="Arial"/>
          <w:spacing w:val="-3"/>
          <w:lang w:val="es-CO"/>
        </w:rPr>
        <w:t xml:space="preserve"> y de cilindro con vallas de desvío</w:t>
      </w:r>
      <w:r w:rsidR="00317369" w:rsidRPr="00BD1319">
        <w:rPr>
          <w:rFonts w:cs="Arial"/>
          <w:spacing w:val="-3"/>
          <w:lang w:val="es-CO"/>
        </w:rPr>
        <w:t>,</w:t>
      </w:r>
      <w:r w:rsidRPr="00BD1319">
        <w:rPr>
          <w:rFonts w:cs="Arial"/>
          <w:spacing w:val="-3"/>
          <w:lang w:val="es-CO"/>
        </w:rPr>
        <w:t xml:space="preserve"> se debe realizar un recorrido de exploración por </w:t>
      </w:r>
      <w:r w:rsidR="009252C9" w:rsidRPr="00BD1319">
        <w:rPr>
          <w:rFonts w:cs="Arial"/>
          <w:spacing w:val="-3"/>
          <w:lang w:val="es-CO"/>
        </w:rPr>
        <w:t xml:space="preserve">la </w:t>
      </w:r>
      <w:r w:rsidRPr="00BD1319">
        <w:rPr>
          <w:rFonts w:cs="Arial"/>
          <w:spacing w:val="-3"/>
          <w:lang w:val="es-CO"/>
        </w:rPr>
        <w:t>cobertura vegetal de muestreo con el fin conocer y ajustar los sitios de instalación de las trampas</w:t>
      </w:r>
      <w:r w:rsidR="00317369" w:rsidRPr="00BD1319">
        <w:rPr>
          <w:rFonts w:cs="Arial"/>
          <w:spacing w:val="-3"/>
          <w:lang w:val="es-CO"/>
        </w:rPr>
        <w:t>,</w:t>
      </w:r>
      <w:r w:rsidRPr="00BD1319">
        <w:rPr>
          <w:rFonts w:cs="Arial"/>
          <w:spacing w:val="-3"/>
          <w:lang w:val="es-CO"/>
        </w:rPr>
        <w:t xml:space="preserve"> ya que los arreglos de las barreras y trampas deben seguir un diseño aleatorio dentro del área de interés.</w:t>
      </w:r>
    </w:p>
    <w:p w14:paraId="34C765BB" w14:textId="77777777" w:rsidR="00C33ED0" w:rsidRPr="00BD1319" w:rsidRDefault="00C33ED0" w:rsidP="00882219">
      <w:pPr>
        <w:tabs>
          <w:tab w:val="left" w:pos="-2268"/>
        </w:tabs>
        <w:suppressAutoHyphens/>
        <w:rPr>
          <w:rFonts w:cs="Arial"/>
          <w:spacing w:val="-3"/>
          <w:u w:val="single"/>
        </w:rPr>
      </w:pPr>
    </w:p>
    <w:p w14:paraId="609687B4" w14:textId="144F2D01" w:rsidR="00C33ED0" w:rsidRPr="00BD1319" w:rsidRDefault="00C33ED0" w:rsidP="008A4FE9">
      <w:pPr>
        <w:pStyle w:val="Prrafodelista"/>
        <w:numPr>
          <w:ilvl w:val="0"/>
          <w:numId w:val="84"/>
        </w:numPr>
        <w:tabs>
          <w:tab w:val="left" w:pos="-2268"/>
        </w:tabs>
        <w:suppressAutoHyphens/>
        <w:ind w:left="1134" w:hanging="567"/>
        <w:rPr>
          <w:rFonts w:cs="Arial"/>
          <w:spacing w:val="-3"/>
          <w:u w:val="single"/>
          <w:lang w:val="es-CO"/>
        </w:rPr>
      </w:pPr>
      <w:r w:rsidRPr="00BD1319">
        <w:rPr>
          <w:rFonts w:cs="Arial"/>
          <w:spacing w:val="-3"/>
          <w:u w:val="single"/>
          <w:lang w:val="es-CO"/>
        </w:rPr>
        <w:t>Trampas flotantes:</w:t>
      </w:r>
      <w:r w:rsidRPr="00BD1319">
        <w:rPr>
          <w:rFonts w:cs="Arial"/>
          <w:spacing w:val="-3"/>
          <w:lang w:val="es-CO"/>
        </w:rPr>
        <w:t xml:space="preserve"> </w:t>
      </w:r>
      <w:r w:rsidR="00317369" w:rsidRPr="00BD1319">
        <w:rPr>
          <w:rFonts w:cs="Arial"/>
          <w:spacing w:val="-3"/>
          <w:lang w:val="es-CO"/>
        </w:rPr>
        <w:t xml:space="preserve">consiste en disponer </w:t>
      </w:r>
      <w:r w:rsidRPr="00BD1319">
        <w:rPr>
          <w:rFonts w:cs="Arial"/>
          <w:spacing w:val="-3"/>
          <w:lang w:val="es-CO"/>
        </w:rPr>
        <w:t>trampa</w:t>
      </w:r>
      <w:r w:rsidR="00317369" w:rsidRPr="00BD1319">
        <w:rPr>
          <w:rFonts w:cs="Arial"/>
          <w:spacing w:val="-3"/>
          <w:lang w:val="es-CO"/>
        </w:rPr>
        <w:t>s</w:t>
      </w:r>
      <w:r w:rsidRPr="00BD1319">
        <w:rPr>
          <w:rFonts w:cs="Arial"/>
          <w:spacing w:val="-3"/>
          <w:lang w:val="es-CO"/>
        </w:rPr>
        <w:t xml:space="preserve"> formada</w:t>
      </w:r>
      <w:r w:rsidR="00317369" w:rsidRPr="00BD1319">
        <w:rPr>
          <w:rFonts w:cs="Arial"/>
          <w:spacing w:val="-3"/>
          <w:lang w:val="es-CO"/>
        </w:rPr>
        <w:t>s</w:t>
      </w:r>
      <w:r w:rsidRPr="00BD1319">
        <w:rPr>
          <w:rFonts w:cs="Arial"/>
          <w:spacing w:val="-3"/>
          <w:lang w:val="es-CO"/>
        </w:rPr>
        <w:t xml:space="preserve"> por un cuadro flotante de 1mx1m elaborado con tubos PVC de 12cm de diámetro, el cual tiene pegada en la parte inferior una malla de máximo 15 mm de luz</w:t>
      </w:r>
      <w:r w:rsidR="00317369" w:rsidRPr="00BD1319">
        <w:rPr>
          <w:rFonts w:cs="Arial"/>
          <w:spacing w:val="-3"/>
          <w:lang w:val="es-CO"/>
        </w:rPr>
        <w:t>;</w:t>
      </w:r>
      <w:r w:rsidRPr="00BD1319">
        <w:rPr>
          <w:rFonts w:cs="Arial"/>
          <w:spacing w:val="-3"/>
          <w:lang w:val="es-CO"/>
        </w:rPr>
        <w:t xml:space="preserve"> </w:t>
      </w:r>
      <w:r w:rsidR="00317369" w:rsidRPr="00BD1319">
        <w:rPr>
          <w:rFonts w:cs="Arial"/>
          <w:spacing w:val="-3"/>
          <w:lang w:val="es-CO"/>
        </w:rPr>
        <w:t>e</w:t>
      </w:r>
      <w:r w:rsidRPr="00BD1319">
        <w:rPr>
          <w:rFonts w:cs="Arial"/>
          <w:spacing w:val="-3"/>
          <w:lang w:val="es-CO"/>
        </w:rPr>
        <w:t>n los laterales de la trampa hay dos (2) pares de tablas de 40 cm de largo a modo de rampas de acceso flotando en el agua. En total, el diseño de muestreo consist</w:t>
      </w:r>
      <w:r w:rsidR="009A79E5" w:rsidRPr="00BD1319">
        <w:rPr>
          <w:rFonts w:cs="Arial"/>
          <w:spacing w:val="-3"/>
          <w:lang w:val="es-CO"/>
        </w:rPr>
        <w:t>e</w:t>
      </w:r>
      <w:r w:rsidRPr="00BD1319">
        <w:rPr>
          <w:rFonts w:cs="Arial"/>
          <w:spacing w:val="-3"/>
          <w:lang w:val="es-CO"/>
        </w:rPr>
        <w:t xml:space="preserve"> en máximo 5 trampas, </w:t>
      </w:r>
      <w:r w:rsidR="00317369" w:rsidRPr="00BD1319">
        <w:rPr>
          <w:rFonts w:cs="Arial"/>
          <w:spacing w:val="-3"/>
          <w:lang w:val="es-CO"/>
        </w:rPr>
        <w:t xml:space="preserve">puestas </w:t>
      </w:r>
      <w:r w:rsidRPr="00BD1319">
        <w:rPr>
          <w:rFonts w:cs="Arial"/>
          <w:spacing w:val="-3"/>
          <w:lang w:val="es-CO"/>
        </w:rPr>
        <w:t>durante (5) horas en la mañana (6:00-11:00) por un día en cada cuerpo de agua a muestrear. No es necesari</w:t>
      </w:r>
      <w:r w:rsidR="00F51869" w:rsidRPr="00BD1319">
        <w:rPr>
          <w:rFonts w:cs="Arial"/>
          <w:spacing w:val="-3"/>
          <w:lang w:val="es-CO"/>
        </w:rPr>
        <w:t>a</w:t>
      </w:r>
      <w:r w:rsidRPr="00BD1319">
        <w:rPr>
          <w:rFonts w:cs="Arial"/>
          <w:spacing w:val="-3"/>
          <w:lang w:val="es-CO"/>
        </w:rPr>
        <w:t xml:space="preserve"> la utilización de cebos en este tipo de trampa.</w:t>
      </w:r>
    </w:p>
    <w:p w14:paraId="09E0FD41" w14:textId="77777777" w:rsidR="00C33ED0" w:rsidRPr="00BD1319" w:rsidRDefault="00C33ED0" w:rsidP="00882219">
      <w:pPr>
        <w:tabs>
          <w:tab w:val="left" w:pos="-2268"/>
        </w:tabs>
        <w:suppressAutoHyphens/>
        <w:rPr>
          <w:rFonts w:cs="Arial"/>
          <w:spacing w:val="-3"/>
          <w:u w:val="single"/>
        </w:rPr>
      </w:pPr>
    </w:p>
    <w:p w14:paraId="066883E4" w14:textId="3C7E2F05" w:rsidR="00C33ED0" w:rsidRPr="00BD1319" w:rsidRDefault="00C33ED0" w:rsidP="008A4FE9">
      <w:pPr>
        <w:pStyle w:val="Prrafodelista"/>
        <w:numPr>
          <w:ilvl w:val="0"/>
          <w:numId w:val="84"/>
        </w:numPr>
        <w:tabs>
          <w:tab w:val="left" w:pos="-2268"/>
        </w:tabs>
        <w:suppressAutoHyphens/>
        <w:ind w:left="1134" w:hanging="567"/>
        <w:rPr>
          <w:rFonts w:cs="Arial"/>
          <w:spacing w:val="-3"/>
          <w:u w:val="single"/>
          <w:lang w:val="es-CO"/>
        </w:rPr>
      </w:pPr>
      <w:r w:rsidRPr="00BD1319">
        <w:rPr>
          <w:rFonts w:cs="Arial"/>
          <w:spacing w:val="-3"/>
          <w:u w:val="single"/>
          <w:lang w:val="es-CO"/>
        </w:rPr>
        <w:t>Trampas de embudo:</w:t>
      </w:r>
      <w:r w:rsidRPr="00BD1319">
        <w:rPr>
          <w:rFonts w:cs="Arial"/>
          <w:spacing w:val="-3"/>
          <w:lang w:val="es-CO"/>
        </w:rPr>
        <w:t xml:space="preserve"> consiste en una malla soportada por anillos de aluminio con un mecanismo de funcionamiento similar a una nasa de pescadores. Las trampas tipo embudo han sido ampliamente utilizadas para capturar anfibios terrestres y semiacuáticos, lagartos, serpientes y tortugas dulceacuícolas.</w:t>
      </w:r>
    </w:p>
    <w:p w14:paraId="100B3D24" w14:textId="77777777" w:rsidR="00482A5F" w:rsidRPr="00BD1319" w:rsidRDefault="00482A5F">
      <w:pPr>
        <w:tabs>
          <w:tab w:val="left" w:pos="-2268"/>
        </w:tabs>
        <w:suppressAutoHyphens/>
        <w:rPr>
          <w:spacing w:val="-3"/>
        </w:rPr>
      </w:pPr>
    </w:p>
    <w:p w14:paraId="1A353738" w14:textId="3BAABE3F" w:rsidR="00482A5F" w:rsidRPr="00BD1319" w:rsidRDefault="00482A5F" w:rsidP="00C86DA5">
      <w:pPr>
        <w:pStyle w:val="Prrafodelista"/>
        <w:numPr>
          <w:ilvl w:val="0"/>
          <w:numId w:val="83"/>
        </w:numPr>
        <w:tabs>
          <w:tab w:val="left" w:pos="-2268"/>
        </w:tabs>
        <w:suppressAutoHyphens/>
        <w:ind w:left="567" w:hanging="567"/>
        <w:rPr>
          <w:rFonts w:cs="Arial"/>
          <w:spacing w:val="-3"/>
          <w:lang w:val="es-CO"/>
        </w:rPr>
      </w:pPr>
      <w:r w:rsidRPr="00BD1319">
        <w:rPr>
          <w:spacing w:val="-3"/>
          <w:lang w:val="es-CO"/>
        </w:rPr>
        <w:t>Aves:</w:t>
      </w:r>
      <w:r w:rsidRPr="00BD1319">
        <w:rPr>
          <w:rFonts w:cs="Arial"/>
          <w:spacing w:val="-3"/>
          <w:lang w:val="es-CO"/>
        </w:rPr>
        <w:t xml:space="preserve"> </w:t>
      </w:r>
      <w:r w:rsidR="00317369" w:rsidRPr="00BD1319">
        <w:rPr>
          <w:rFonts w:cs="Arial"/>
          <w:spacing w:val="-3"/>
          <w:lang w:val="es-CO"/>
        </w:rPr>
        <w:t xml:space="preserve">el muestreo de </w:t>
      </w:r>
      <w:r w:rsidRPr="00BD1319">
        <w:rPr>
          <w:rFonts w:cs="Arial"/>
          <w:spacing w:val="-3"/>
          <w:lang w:val="es-CO"/>
        </w:rPr>
        <w:t xml:space="preserve">este grupo debe abordarse </w:t>
      </w:r>
      <w:r w:rsidR="00317369" w:rsidRPr="00BD1319">
        <w:rPr>
          <w:rFonts w:cs="Arial"/>
          <w:spacing w:val="-3"/>
          <w:lang w:val="es-CO"/>
        </w:rPr>
        <w:t xml:space="preserve">mediante </w:t>
      </w:r>
      <w:r w:rsidRPr="00BD1319">
        <w:rPr>
          <w:rFonts w:cs="Arial"/>
          <w:spacing w:val="-3"/>
          <w:lang w:val="es-CO"/>
        </w:rPr>
        <w:t>técnicas basadas en la evaluación ecológica rápida</w:t>
      </w:r>
      <w:r w:rsidR="00317369" w:rsidRPr="00BD1319">
        <w:rPr>
          <w:rFonts w:cs="Arial"/>
          <w:spacing w:val="-3"/>
          <w:lang w:val="es-CO"/>
        </w:rPr>
        <w:t xml:space="preserve">, entre ellas: i) </w:t>
      </w:r>
      <w:r w:rsidRPr="00BD1319">
        <w:rPr>
          <w:rFonts w:cs="Arial"/>
          <w:lang w:val="es-CO"/>
        </w:rPr>
        <w:t>capturas con</w:t>
      </w:r>
      <w:r w:rsidRPr="00BD1319">
        <w:rPr>
          <w:lang w:val="es-CO"/>
        </w:rPr>
        <w:t xml:space="preserve"> redes de niebla</w:t>
      </w:r>
      <w:r w:rsidRPr="00BD1319">
        <w:rPr>
          <w:rFonts w:cs="Arial"/>
          <w:spacing w:val="-3"/>
          <w:lang w:val="es-CO"/>
        </w:rPr>
        <w:t xml:space="preserve"> en sitios estratégicos como proximidades de cuerpos de agua, bordes de bosque, vegetación en floración o fructificación, y depresiones de relieve</w:t>
      </w:r>
      <w:r w:rsidR="00E359DB" w:rsidRPr="00BD1319">
        <w:rPr>
          <w:rFonts w:cs="Arial"/>
          <w:spacing w:val="-3"/>
          <w:lang w:val="es-CO"/>
        </w:rPr>
        <w:t xml:space="preserve"> y</w:t>
      </w:r>
      <w:r w:rsidRPr="00BD1319">
        <w:rPr>
          <w:rFonts w:cs="Arial"/>
          <w:lang w:val="es-CO"/>
        </w:rPr>
        <w:t xml:space="preserve">, </w:t>
      </w:r>
      <w:proofErr w:type="spellStart"/>
      <w:r w:rsidR="00E359DB" w:rsidRPr="00BD1319">
        <w:rPr>
          <w:rFonts w:cs="Arial"/>
          <w:lang w:val="es-CO"/>
        </w:rPr>
        <w:t>ii</w:t>
      </w:r>
      <w:proofErr w:type="spellEnd"/>
      <w:r w:rsidR="00E359DB" w:rsidRPr="00BD1319">
        <w:rPr>
          <w:rFonts w:cs="Arial"/>
          <w:lang w:val="es-CO"/>
        </w:rPr>
        <w:t xml:space="preserve">) </w:t>
      </w:r>
      <w:r w:rsidRPr="00BD1319">
        <w:rPr>
          <w:rFonts w:cs="Arial"/>
          <w:lang w:val="es-CO"/>
        </w:rPr>
        <w:t>registros visuales en recorridos realizados en transectos y puntos de conteo, en los que se debe realizar reconocimiento de llamados reclamos o vocalizaciones de las especies reconocidas en las diferentes áreas</w:t>
      </w:r>
      <w:r w:rsidRPr="00BD1319">
        <w:rPr>
          <w:lang w:val="es-CO"/>
        </w:rPr>
        <w:t xml:space="preserve">. </w:t>
      </w:r>
      <w:r w:rsidR="00E359DB" w:rsidRPr="00BD1319">
        <w:rPr>
          <w:lang w:val="es-CO"/>
        </w:rPr>
        <w:t xml:space="preserve">Para establecer </w:t>
      </w:r>
      <w:r w:rsidR="00E359DB" w:rsidRPr="00BD1319">
        <w:rPr>
          <w:rFonts w:cs="Arial"/>
          <w:spacing w:val="-3"/>
          <w:lang w:val="es-CO"/>
        </w:rPr>
        <w:t>l</w:t>
      </w:r>
      <w:r w:rsidRPr="00BD1319">
        <w:rPr>
          <w:rFonts w:cs="Arial"/>
          <w:spacing w:val="-3"/>
          <w:lang w:val="es-CO"/>
        </w:rPr>
        <w:t xml:space="preserve">os horarios </w:t>
      </w:r>
      <w:r w:rsidR="00E359DB" w:rsidRPr="00BD1319">
        <w:rPr>
          <w:rFonts w:cs="Arial"/>
          <w:spacing w:val="-3"/>
          <w:lang w:val="es-CO"/>
        </w:rPr>
        <w:t xml:space="preserve">de ejecución de </w:t>
      </w:r>
      <w:r w:rsidRPr="00BD1319">
        <w:rPr>
          <w:rFonts w:cs="Arial"/>
          <w:spacing w:val="-3"/>
          <w:lang w:val="es-CO"/>
        </w:rPr>
        <w:t xml:space="preserve">los muestreos </w:t>
      </w:r>
      <w:r w:rsidR="00E359DB" w:rsidRPr="00BD1319">
        <w:rPr>
          <w:rFonts w:cs="Arial"/>
          <w:spacing w:val="-3"/>
          <w:lang w:val="es-CO"/>
        </w:rPr>
        <w:t xml:space="preserve">se </w:t>
      </w:r>
      <w:r w:rsidRPr="00BD1319">
        <w:rPr>
          <w:rFonts w:cs="Arial"/>
          <w:spacing w:val="-3"/>
          <w:lang w:val="es-CO"/>
        </w:rPr>
        <w:t>deben seguir l</w:t>
      </w:r>
      <w:r w:rsidR="00E227C3" w:rsidRPr="00BD1319">
        <w:rPr>
          <w:rFonts w:cs="Arial"/>
          <w:spacing w:val="-3"/>
          <w:lang w:val="es-CO"/>
        </w:rPr>
        <w:t>o</w:t>
      </w:r>
      <w:r w:rsidRPr="00BD1319">
        <w:rPr>
          <w:rFonts w:cs="Arial"/>
          <w:spacing w:val="-3"/>
          <w:lang w:val="es-CO"/>
        </w:rPr>
        <w:t xml:space="preserve">s </w:t>
      </w:r>
      <w:r w:rsidR="00E227C3" w:rsidRPr="00BD1319">
        <w:rPr>
          <w:rFonts w:cs="Arial"/>
          <w:spacing w:val="-3"/>
          <w:lang w:val="es-CO"/>
        </w:rPr>
        <w:t xml:space="preserve">lineamientos </w:t>
      </w:r>
      <w:r w:rsidRPr="00BD1319">
        <w:rPr>
          <w:rFonts w:cs="Arial"/>
          <w:spacing w:val="-3"/>
          <w:lang w:val="es-CO"/>
        </w:rPr>
        <w:t>del Manual de métodos para el desarrollo de inventarios de biodiversidad (Villarreal et al., 2006)</w:t>
      </w:r>
      <w:r w:rsidR="007513E3" w:rsidRPr="00BD1319">
        <w:rPr>
          <w:rFonts w:cs="Arial"/>
          <w:spacing w:val="-3"/>
          <w:lang w:val="es-CO"/>
        </w:rPr>
        <w:t xml:space="preserve"> o versiones posteriores</w:t>
      </w:r>
      <w:r w:rsidRPr="00BD1319">
        <w:rPr>
          <w:rFonts w:cs="Arial"/>
          <w:spacing w:val="-3"/>
          <w:lang w:val="es-CO"/>
        </w:rPr>
        <w:t>.</w:t>
      </w:r>
    </w:p>
    <w:p w14:paraId="0694139C" w14:textId="77777777" w:rsidR="00482A5F" w:rsidRPr="00BD1319" w:rsidRDefault="00482A5F">
      <w:pPr>
        <w:tabs>
          <w:tab w:val="left" w:pos="-2268"/>
        </w:tabs>
        <w:suppressAutoHyphens/>
        <w:rPr>
          <w:spacing w:val="-3"/>
        </w:rPr>
      </w:pPr>
    </w:p>
    <w:p w14:paraId="79C1029A" w14:textId="53655AA8" w:rsidR="00482A5F" w:rsidRPr="00BD1319" w:rsidRDefault="00482A5F" w:rsidP="00C86DA5">
      <w:pPr>
        <w:pStyle w:val="Prrafodelista"/>
        <w:numPr>
          <w:ilvl w:val="0"/>
          <w:numId w:val="83"/>
        </w:numPr>
        <w:tabs>
          <w:tab w:val="left" w:pos="-2268"/>
        </w:tabs>
        <w:suppressAutoHyphens/>
        <w:ind w:left="567" w:hanging="567"/>
        <w:rPr>
          <w:rFonts w:cs="Arial"/>
          <w:spacing w:val="-3"/>
          <w:lang w:val="es-CO"/>
        </w:rPr>
      </w:pPr>
      <w:r w:rsidRPr="00BD1319">
        <w:rPr>
          <w:spacing w:val="-3"/>
          <w:lang w:val="es-CO"/>
        </w:rPr>
        <w:t>Mamíferos:</w:t>
      </w:r>
      <w:r w:rsidRPr="00BD1319">
        <w:rPr>
          <w:rFonts w:cs="Arial"/>
          <w:spacing w:val="-3"/>
          <w:lang w:val="es-CO"/>
        </w:rPr>
        <w:t xml:space="preserve"> </w:t>
      </w:r>
      <w:r w:rsidR="00256E4F" w:rsidRPr="00BD1319">
        <w:rPr>
          <w:rFonts w:cs="Arial"/>
          <w:spacing w:val="-3"/>
          <w:lang w:val="es-CO"/>
        </w:rPr>
        <w:t xml:space="preserve">el muestreo puede desarrollarse mediante diferentes métodos y abarcar </w:t>
      </w:r>
      <w:r w:rsidRPr="00BD1319">
        <w:rPr>
          <w:rFonts w:cs="Arial"/>
          <w:spacing w:val="-3"/>
          <w:lang w:val="es-CO"/>
        </w:rPr>
        <w:t>mamíferos pequeños, medianos y grandes, tanto terrestres como voladores</w:t>
      </w:r>
      <w:r w:rsidR="00256E4F" w:rsidRPr="00BD1319">
        <w:rPr>
          <w:rFonts w:cs="Arial"/>
          <w:spacing w:val="-3"/>
          <w:lang w:val="es-CO"/>
        </w:rPr>
        <w:t xml:space="preserve">, </w:t>
      </w:r>
      <w:r w:rsidRPr="00BD1319">
        <w:rPr>
          <w:rFonts w:cs="Arial"/>
          <w:spacing w:val="-3"/>
          <w:lang w:val="es-CO"/>
        </w:rPr>
        <w:t xml:space="preserve">para obtener un listado completo de este grupo de vertebrados. En algunos casos </w:t>
      </w:r>
      <w:r w:rsidR="00256E4F" w:rsidRPr="00BD1319">
        <w:rPr>
          <w:rFonts w:cs="Arial"/>
          <w:spacing w:val="-3"/>
          <w:lang w:val="es-CO"/>
        </w:rPr>
        <w:t xml:space="preserve">es necesario </w:t>
      </w:r>
      <w:r w:rsidRPr="00BD1319">
        <w:rPr>
          <w:rFonts w:cs="Arial"/>
          <w:spacing w:val="-3"/>
          <w:lang w:val="es-CO"/>
        </w:rPr>
        <w:t xml:space="preserve">recolectar especímenes en campo, más que todo en grupos como los pequeños roedores y murciélagos, ya que su determinación taxonómica </w:t>
      </w:r>
      <w:r w:rsidR="009A79E5" w:rsidRPr="00BD1319">
        <w:rPr>
          <w:rFonts w:cs="Arial"/>
          <w:spacing w:val="-3"/>
          <w:lang w:val="es-CO"/>
        </w:rPr>
        <w:t xml:space="preserve">depende de </w:t>
      </w:r>
      <w:r w:rsidRPr="00BD1319">
        <w:rPr>
          <w:rFonts w:cs="Arial"/>
          <w:spacing w:val="-3"/>
          <w:lang w:val="es-CO"/>
        </w:rPr>
        <w:t>algunas características de su morfología animal (Morales-Jiménez et al., 2004)</w:t>
      </w:r>
      <w:r w:rsidR="00256E4F" w:rsidRPr="00BD1319">
        <w:rPr>
          <w:rFonts w:cs="Arial"/>
          <w:spacing w:val="-3"/>
          <w:lang w:val="es-CO"/>
        </w:rPr>
        <w:t>;</w:t>
      </w:r>
      <w:r w:rsidRPr="00BD1319">
        <w:rPr>
          <w:rFonts w:cs="Arial"/>
          <w:spacing w:val="-3"/>
          <w:lang w:val="es-CO"/>
        </w:rPr>
        <w:t xml:space="preserve"> </w:t>
      </w:r>
      <w:r w:rsidR="00256E4F" w:rsidRPr="00BD1319">
        <w:rPr>
          <w:rFonts w:cs="Arial"/>
          <w:spacing w:val="-3"/>
          <w:lang w:val="es-CO"/>
        </w:rPr>
        <w:t>e</w:t>
      </w:r>
      <w:r w:rsidRPr="00BD1319">
        <w:rPr>
          <w:rFonts w:cs="Arial"/>
          <w:spacing w:val="-3"/>
          <w:lang w:val="es-CO"/>
        </w:rPr>
        <w:t xml:space="preserve">n todo caso se </w:t>
      </w:r>
      <w:r w:rsidR="00256E4F" w:rsidRPr="00BD1319">
        <w:rPr>
          <w:rFonts w:cs="Arial"/>
          <w:spacing w:val="-3"/>
          <w:lang w:val="es-CO"/>
        </w:rPr>
        <w:t xml:space="preserve">deben </w:t>
      </w:r>
      <w:r w:rsidRPr="00BD1319">
        <w:rPr>
          <w:rFonts w:cs="Arial"/>
          <w:spacing w:val="-3"/>
          <w:lang w:val="es-CO"/>
        </w:rPr>
        <w:t xml:space="preserve">preservar, </w:t>
      </w:r>
      <w:r w:rsidR="00256E4F" w:rsidRPr="00BD1319">
        <w:rPr>
          <w:rFonts w:cs="Arial"/>
          <w:spacing w:val="-3"/>
          <w:lang w:val="es-CO"/>
        </w:rPr>
        <w:t xml:space="preserve">solamente </w:t>
      </w:r>
      <w:r w:rsidRPr="00BD1319">
        <w:rPr>
          <w:rFonts w:cs="Arial"/>
          <w:spacing w:val="-3"/>
          <w:lang w:val="es-CO"/>
        </w:rPr>
        <w:t>con fines científicos, los especímenes estrictamente necesarios.</w:t>
      </w:r>
    </w:p>
    <w:p w14:paraId="7C8DB59B" w14:textId="77777777" w:rsidR="00482A5F" w:rsidRPr="00BD1319" w:rsidRDefault="00482A5F">
      <w:pPr>
        <w:tabs>
          <w:tab w:val="left" w:pos="-2268"/>
        </w:tabs>
        <w:suppressAutoHyphens/>
        <w:rPr>
          <w:spacing w:val="-3"/>
        </w:rPr>
      </w:pPr>
    </w:p>
    <w:p w14:paraId="637CF3DE" w14:textId="514F182E" w:rsidR="00482A5F" w:rsidRPr="00BD1319" w:rsidRDefault="00482A5F" w:rsidP="00C86DA5">
      <w:pPr>
        <w:pStyle w:val="Prrafodelista"/>
        <w:numPr>
          <w:ilvl w:val="0"/>
          <w:numId w:val="84"/>
        </w:numPr>
        <w:tabs>
          <w:tab w:val="left" w:pos="-2268"/>
        </w:tabs>
        <w:suppressAutoHyphens/>
        <w:ind w:left="1134" w:hanging="567"/>
        <w:rPr>
          <w:rFonts w:cs="Arial"/>
          <w:spacing w:val="-3"/>
          <w:lang w:val="es-CO"/>
        </w:rPr>
      </w:pPr>
      <w:r w:rsidRPr="00BD1319">
        <w:rPr>
          <w:rFonts w:cs="Arial"/>
          <w:spacing w:val="-3"/>
          <w:u w:val="single"/>
          <w:lang w:val="es-CO"/>
        </w:rPr>
        <w:t>Para mamíferos terrestres pequeños</w:t>
      </w:r>
      <w:r w:rsidRPr="00BD1319">
        <w:rPr>
          <w:rFonts w:cs="Arial"/>
          <w:spacing w:val="-3"/>
          <w:lang w:val="es-CO"/>
        </w:rPr>
        <w:t xml:space="preserve">: instalar trampas Sherman en los sitios que se consideren más adecuados dependiendo del tipo de cobertura a muestrear. </w:t>
      </w:r>
      <w:r w:rsidR="001401AD" w:rsidRPr="00BD1319">
        <w:rPr>
          <w:spacing w:val="-3"/>
          <w:lang w:val="es-CO"/>
        </w:rPr>
        <w:t>S</w:t>
      </w:r>
      <w:r w:rsidRPr="00BD1319">
        <w:rPr>
          <w:spacing w:val="-3"/>
          <w:lang w:val="es-CO"/>
        </w:rPr>
        <w:t>e debe</w:t>
      </w:r>
      <w:r w:rsidR="001401AD" w:rsidRPr="00BD1319">
        <w:rPr>
          <w:spacing w:val="-3"/>
          <w:lang w:val="es-CO"/>
        </w:rPr>
        <w:t>n</w:t>
      </w:r>
      <w:r w:rsidRPr="00BD1319">
        <w:rPr>
          <w:spacing w:val="-3"/>
          <w:lang w:val="es-CO"/>
        </w:rPr>
        <w:t xml:space="preserve"> </w:t>
      </w:r>
      <w:r w:rsidRPr="00BD1319">
        <w:rPr>
          <w:rFonts w:cs="Arial"/>
          <w:spacing w:val="-3"/>
          <w:lang w:val="es-CO"/>
        </w:rPr>
        <w:t>aplica</w:t>
      </w:r>
      <w:r w:rsidR="001401AD" w:rsidRPr="00BD1319">
        <w:rPr>
          <w:rFonts w:cs="Arial"/>
          <w:spacing w:val="-3"/>
          <w:lang w:val="es-CO"/>
        </w:rPr>
        <w:t>r</w:t>
      </w:r>
      <w:r w:rsidRPr="00BD1319">
        <w:rPr>
          <w:rFonts w:cs="Arial"/>
          <w:spacing w:val="-3"/>
          <w:lang w:val="es-CO"/>
        </w:rPr>
        <w:t xml:space="preserve"> técnicas de colecta, sacrificio y movili</w:t>
      </w:r>
      <w:r w:rsidR="00EC5EDE" w:rsidRPr="00BD1319">
        <w:rPr>
          <w:rFonts w:cs="Arial"/>
          <w:spacing w:val="-3"/>
          <w:lang w:val="es-CO"/>
        </w:rPr>
        <w:t>zación</w:t>
      </w:r>
      <w:r w:rsidRPr="00BD1319">
        <w:rPr>
          <w:rFonts w:cs="Arial"/>
          <w:spacing w:val="-3"/>
          <w:lang w:val="es-CO"/>
        </w:rPr>
        <w:t xml:space="preserve"> acordes al permiso de recolección otorgado para tal fin y </w:t>
      </w:r>
      <w:r w:rsidR="001401AD" w:rsidRPr="00BD1319">
        <w:rPr>
          <w:rFonts w:cs="Arial"/>
          <w:spacing w:val="-3"/>
          <w:lang w:val="es-CO"/>
        </w:rPr>
        <w:t xml:space="preserve">colectar solamente </w:t>
      </w:r>
      <w:r w:rsidRPr="00BD1319">
        <w:rPr>
          <w:rFonts w:cs="Arial"/>
          <w:spacing w:val="-3"/>
          <w:lang w:val="es-CO"/>
        </w:rPr>
        <w:t xml:space="preserve">la cantidad </w:t>
      </w:r>
      <w:r w:rsidR="001401AD" w:rsidRPr="00BD1319">
        <w:rPr>
          <w:rFonts w:cs="Arial"/>
          <w:spacing w:val="-3"/>
          <w:lang w:val="es-CO"/>
        </w:rPr>
        <w:t>autorizada</w:t>
      </w:r>
      <w:r w:rsidR="001401AD" w:rsidRPr="00BD1319" w:rsidDel="001401AD">
        <w:rPr>
          <w:rFonts w:cs="Arial"/>
          <w:spacing w:val="-3"/>
          <w:lang w:val="es-CO"/>
        </w:rPr>
        <w:t xml:space="preserve"> </w:t>
      </w:r>
      <w:r w:rsidR="001401AD" w:rsidRPr="00BD1319">
        <w:rPr>
          <w:spacing w:val="-3"/>
          <w:lang w:val="es-CO"/>
        </w:rPr>
        <w:t xml:space="preserve">de </w:t>
      </w:r>
      <w:r w:rsidRPr="00BD1319">
        <w:rPr>
          <w:spacing w:val="-3"/>
          <w:lang w:val="es-CO"/>
        </w:rPr>
        <w:t>ejemplar</w:t>
      </w:r>
      <w:r w:rsidR="001401AD" w:rsidRPr="00BD1319">
        <w:rPr>
          <w:spacing w:val="-3"/>
          <w:lang w:val="es-CO"/>
        </w:rPr>
        <w:t>es</w:t>
      </w:r>
      <w:r w:rsidRPr="00BD1319">
        <w:rPr>
          <w:spacing w:val="-3"/>
          <w:lang w:val="es-CO"/>
        </w:rPr>
        <w:t>.</w:t>
      </w:r>
      <w:r w:rsidR="001401AD" w:rsidRPr="00BD1319">
        <w:rPr>
          <w:spacing w:val="-3"/>
          <w:lang w:val="es-CO"/>
        </w:rPr>
        <w:t xml:space="preserve"> </w:t>
      </w:r>
      <w:r w:rsidR="001401AD" w:rsidRPr="00BD1319">
        <w:rPr>
          <w:rFonts w:cs="Arial"/>
          <w:spacing w:val="-3"/>
          <w:lang w:val="es-CO"/>
        </w:rPr>
        <w:t>Se deben determinar los individuos capturados al nivel de especie en el caso de que no sea posible realizar la determinación en campo.</w:t>
      </w:r>
    </w:p>
    <w:p w14:paraId="4BA46F87" w14:textId="77777777" w:rsidR="00482A5F" w:rsidRPr="00BD1319" w:rsidRDefault="00482A5F">
      <w:pPr>
        <w:tabs>
          <w:tab w:val="left" w:pos="-2268"/>
        </w:tabs>
        <w:suppressAutoHyphens/>
        <w:rPr>
          <w:spacing w:val="-3"/>
        </w:rPr>
      </w:pPr>
    </w:p>
    <w:p w14:paraId="7E576CC0" w14:textId="5575360D" w:rsidR="00482A5F" w:rsidRPr="00BD1319" w:rsidRDefault="00482A5F" w:rsidP="439A4240">
      <w:pPr>
        <w:pStyle w:val="Prrafodelista"/>
        <w:numPr>
          <w:ilvl w:val="0"/>
          <w:numId w:val="84"/>
        </w:numPr>
        <w:suppressAutoHyphens/>
        <w:ind w:left="1134" w:hanging="567"/>
        <w:rPr>
          <w:rFonts w:cs="Arial"/>
          <w:spacing w:val="-3"/>
          <w:lang w:val="es-CO"/>
        </w:rPr>
      </w:pPr>
      <w:r w:rsidRPr="00BD1319">
        <w:rPr>
          <w:rFonts w:cs="Arial"/>
          <w:spacing w:val="-3"/>
          <w:u w:val="single"/>
          <w:lang w:val="es-CO"/>
        </w:rPr>
        <w:t>Para mamíferos terrestres medianos y grandes</w:t>
      </w:r>
      <w:r w:rsidRPr="00BD1319">
        <w:rPr>
          <w:rFonts w:cs="Arial"/>
          <w:spacing w:val="-3"/>
          <w:lang w:val="es-CO"/>
        </w:rPr>
        <w:t xml:space="preserve">: realizar transectos de registro y observación diurna y nocturna que cubran las unidades a muestrear, según el diseño de muestreo </w:t>
      </w:r>
      <w:r w:rsidR="009A79E5" w:rsidRPr="00BD1319">
        <w:rPr>
          <w:rFonts w:cs="Arial"/>
          <w:spacing w:val="-3"/>
          <w:lang w:val="es-CO"/>
        </w:rPr>
        <w:t xml:space="preserve">definido </w:t>
      </w:r>
      <w:r w:rsidRPr="00BD1319">
        <w:rPr>
          <w:rFonts w:cs="Arial"/>
          <w:spacing w:val="-3"/>
          <w:lang w:val="es-CO"/>
        </w:rPr>
        <w:t xml:space="preserve">para la zona. En estos transectos se </w:t>
      </w:r>
      <w:r w:rsidR="001A4E38" w:rsidRPr="00BD1319">
        <w:rPr>
          <w:rFonts w:cs="Arial"/>
          <w:spacing w:val="-3"/>
          <w:lang w:val="es-CO"/>
        </w:rPr>
        <w:t xml:space="preserve">deben </w:t>
      </w:r>
      <w:r w:rsidRPr="00BD1319">
        <w:rPr>
          <w:rFonts w:cs="Arial"/>
          <w:spacing w:val="-3"/>
          <w:lang w:val="es-CO"/>
        </w:rPr>
        <w:t>registra</w:t>
      </w:r>
      <w:r w:rsidR="001A4E38" w:rsidRPr="00BD1319">
        <w:rPr>
          <w:rFonts w:cs="Arial"/>
          <w:spacing w:val="-3"/>
          <w:lang w:val="es-CO"/>
        </w:rPr>
        <w:t>r</w:t>
      </w:r>
      <w:r w:rsidRPr="00BD1319">
        <w:rPr>
          <w:rFonts w:cs="Arial"/>
          <w:spacing w:val="-3"/>
          <w:lang w:val="es-CO"/>
        </w:rPr>
        <w:t xml:space="preserve"> los indicios (huellas, heces, comederos, entre otros)</w:t>
      </w:r>
      <w:r w:rsidR="001A4E38" w:rsidRPr="00BD1319">
        <w:rPr>
          <w:rFonts w:cs="Arial"/>
          <w:spacing w:val="-3"/>
          <w:lang w:val="es-CO"/>
        </w:rPr>
        <w:t>,</w:t>
      </w:r>
      <w:r w:rsidRPr="00BD1319">
        <w:rPr>
          <w:rFonts w:cs="Arial"/>
          <w:spacing w:val="-3"/>
          <w:lang w:val="es-CO"/>
        </w:rPr>
        <w:t xml:space="preserve"> atributos biológicos y ecológicos como dieta y horario de actividad,</w:t>
      </w:r>
      <w:r w:rsidR="001A4E38" w:rsidRPr="00BD1319">
        <w:rPr>
          <w:rFonts w:cs="Arial"/>
          <w:spacing w:val="-3"/>
          <w:lang w:val="es-CO"/>
        </w:rPr>
        <w:t xml:space="preserve"> así como las observaciones directas que ocurran.</w:t>
      </w:r>
    </w:p>
    <w:p w14:paraId="7AF3F25D" w14:textId="77777777" w:rsidR="00482A5F" w:rsidRPr="00BD1319" w:rsidRDefault="00482A5F" w:rsidP="009420F5">
      <w:pPr>
        <w:tabs>
          <w:tab w:val="left" w:pos="-2268"/>
        </w:tabs>
        <w:suppressAutoHyphens/>
        <w:rPr>
          <w:spacing w:val="-3"/>
        </w:rPr>
      </w:pPr>
    </w:p>
    <w:p w14:paraId="2ADC0507" w14:textId="0D0EEF3B" w:rsidR="00482A5F" w:rsidRPr="00BD1319" w:rsidRDefault="00482A5F">
      <w:pPr>
        <w:pStyle w:val="Prrafodelista"/>
        <w:tabs>
          <w:tab w:val="left" w:pos="-2268"/>
        </w:tabs>
        <w:suppressAutoHyphens/>
        <w:ind w:left="1134"/>
        <w:rPr>
          <w:rFonts w:cs="Arial"/>
          <w:spacing w:val="-3"/>
          <w:lang w:val="es-CO"/>
        </w:rPr>
      </w:pPr>
      <w:r w:rsidRPr="00BD1319">
        <w:rPr>
          <w:rFonts w:cs="Arial"/>
          <w:spacing w:val="-3"/>
          <w:lang w:val="es-CO"/>
        </w:rPr>
        <w:t xml:space="preserve">Adicional a los transectos de observación se </w:t>
      </w:r>
      <w:r w:rsidR="006D4C7A" w:rsidRPr="00BD1319">
        <w:rPr>
          <w:rFonts w:cs="Arial"/>
          <w:spacing w:val="-3"/>
          <w:lang w:val="es-CO"/>
        </w:rPr>
        <w:t xml:space="preserve">puede </w:t>
      </w:r>
      <w:r w:rsidRPr="00BD1319">
        <w:rPr>
          <w:rFonts w:cs="Arial"/>
          <w:spacing w:val="-3"/>
          <w:lang w:val="es-CO"/>
        </w:rPr>
        <w:t xml:space="preserve">hacer uso del método de </w:t>
      </w:r>
      <w:proofErr w:type="spellStart"/>
      <w:r w:rsidRPr="00BD1319">
        <w:rPr>
          <w:rFonts w:cs="Arial"/>
          <w:spacing w:val="-3"/>
          <w:lang w:val="es-CO"/>
        </w:rPr>
        <w:t>fototrampeo</w:t>
      </w:r>
      <w:proofErr w:type="spellEnd"/>
      <w:r w:rsidRPr="00BD1319">
        <w:rPr>
          <w:rFonts w:cs="Arial"/>
          <w:spacing w:val="-3"/>
          <w:lang w:val="es-CO"/>
        </w:rPr>
        <w:t xml:space="preserve"> (cámaras trampa)</w:t>
      </w:r>
      <w:r w:rsidR="00DC3536" w:rsidRPr="00BD1319">
        <w:rPr>
          <w:rFonts w:cs="Arial"/>
          <w:spacing w:val="-3"/>
          <w:lang w:val="es-CO"/>
        </w:rPr>
        <w:t>,</w:t>
      </w:r>
      <w:r w:rsidRPr="00BD1319">
        <w:rPr>
          <w:rFonts w:cs="Arial"/>
          <w:spacing w:val="-3"/>
          <w:lang w:val="es-CO"/>
        </w:rPr>
        <w:t xml:space="preserve"> teniendo en cuenta el diseño de muestreo implementado en la zona</w:t>
      </w:r>
      <w:r w:rsidR="00DC3536" w:rsidRPr="00BD1319">
        <w:rPr>
          <w:rFonts w:cs="Arial"/>
          <w:spacing w:val="-3"/>
          <w:lang w:val="es-CO"/>
        </w:rPr>
        <w:t>,</w:t>
      </w:r>
      <w:r w:rsidRPr="00BD1319">
        <w:rPr>
          <w:rFonts w:cs="Arial"/>
          <w:spacing w:val="-3"/>
          <w:lang w:val="es-CO"/>
        </w:rPr>
        <w:t xml:space="preserve"> </w:t>
      </w:r>
      <w:r w:rsidR="009A79E5" w:rsidRPr="00BD1319">
        <w:rPr>
          <w:rFonts w:cs="Arial"/>
          <w:spacing w:val="-3"/>
          <w:lang w:val="es-CO"/>
        </w:rPr>
        <w:t>es posible</w:t>
      </w:r>
      <w:r w:rsidRPr="00BD1319">
        <w:rPr>
          <w:rFonts w:cs="Arial"/>
          <w:spacing w:val="-3"/>
          <w:lang w:val="es-CO"/>
        </w:rPr>
        <w:t xml:space="preserve"> establecer una </w:t>
      </w:r>
      <w:r w:rsidR="00AC3830" w:rsidRPr="00BD1319">
        <w:rPr>
          <w:rFonts w:cs="Arial"/>
          <w:spacing w:val="-3"/>
          <w:lang w:val="es-CO"/>
        </w:rPr>
        <w:t>cuadrícula</w:t>
      </w:r>
      <w:r w:rsidRPr="00BD1319">
        <w:rPr>
          <w:rFonts w:cs="Arial"/>
          <w:spacing w:val="-3"/>
          <w:lang w:val="es-CO"/>
        </w:rPr>
        <w:t xml:space="preserve"> de muestreo siguiendo el Manual de </w:t>
      </w:r>
      <w:proofErr w:type="spellStart"/>
      <w:r w:rsidRPr="00BD1319">
        <w:rPr>
          <w:rFonts w:cs="Arial"/>
          <w:spacing w:val="-3"/>
          <w:lang w:val="es-CO"/>
        </w:rPr>
        <w:t>fototrampeo</w:t>
      </w:r>
      <w:proofErr w:type="spellEnd"/>
      <w:r w:rsidRPr="00BD1319">
        <w:rPr>
          <w:rFonts w:cs="Arial"/>
          <w:spacing w:val="-3"/>
          <w:lang w:val="es-CO"/>
        </w:rPr>
        <w:t xml:space="preserve"> de D</w:t>
      </w:r>
      <w:r w:rsidR="00283CC7" w:rsidRPr="00BD1319">
        <w:rPr>
          <w:rFonts w:cs="Arial"/>
          <w:spacing w:val="-3"/>
          <w:lang w:val="es-CO"/>
        </w:rPr>
        <w:t>í</w:t>
      </w:r>
      <w:r w:rsidRPr="00BD1319">
        <w:rPr>
          <w:rFonts w:cs="Arial"/>
          <w:spacing w:val="-3"/>
          <w:lang w:val="es-CO"/>
        </w:rPr>
        <w:t>az-Pulido y Payan (2012).</w:t>
      </w:r>
      <w:r w:rsidR="006D4C7A" w:rsidRPr="00BD1319">
        <w:rPr>
          <w:rFonts w:cs="Arial"/>
          <w:spacing w:val="-3"/>
          <w:lang w:val="es-CO"/>
        </w:rPr>
        <w:t xml:space="preserve"> </w:t>
      </w:r>
      <w:r w:rsidR="00434EA7" w:rsidRPr="00BD1319">
        <w:rPr>
          <w:rFonts w:cs="Arial"/>
          <w:spacing w:val="-3"/>
          <w:lang w:val="es-CO"/>
        </w:rPr>
        <w:t>Asimismo,</w:t>
      </w:r>
      <w:r w:rsidR="006D4C7A" w:rsidRPr="00BD1319">
        <w:rPr>
          <w:rFonts w:cs="Arial"/>
          <w:spacing w:val="-3"/>
          <w:lang w:val="es-CO"/>
        </w:rPr>
        <w:t xml:space="preserve"> es posible hacer uso de trampas Tomahawk, las cuales deben ubicarse en las diferentes unidades de muestr</w:t>
      </w:r>
      <w:r w:rsidR="00485A81" w:rsidRPr="00BD1319">
        <w:rPr>
          <w:rFonts w:cs="Arial"/>
          <w:spacing w:val="-3"/>
          <w:lang w:val="es-CO"/>
        </w:rPr>
        <w:t>e</w:t>
      </w:r>
      <w:r w:rsidR="006D4C7A" w:rsidRPr="00BD1319">
        <w:rPr>
          <w:rFonts w:cs="Arial"/>
          <w:spacing w:val="-3"/>
          <w:lang w:val="es-CO"/>
        </w:rPr>
        <w:t>o presentes en el área.</w:t>
      </w:r>
    </w:p>
    <w:p w14:paraId="55B9B01D" w14:textId="77777777" w:rsidR="00482A5F" w:rsidRPr="00BD1319" w:rsidRDefault="00482A5F" w:rsidP="00482A5F">
      <w:pPr>
        <w:tabs>
          <w:tab w:val="left" w:pos="-2268"/>
        </w:tabs>
        <w:suppressAutoHyphens/>
        <w:rPr>
          <w:rFonts w:cs="Arial"/>
          <w:spacing w:val="-3"/>
        </w:rPr>
      </w:pPr>
    </w:p>
    <w:p w14:paraId="4FA628D1" w14:textId="64FDED3F" w:rsidR="00482A5F" w:rsidRPr="00BD1319" w:rsidRDefault="00482A5F" w:rsidP="00C86DA5">
      <w:pPr>
        <w:pStyle w:val="Prrafodelista"/>
        <w:numPr>
          <w:ilvl w:val="0"/>
          <w:numId w:val="84"/>
        </w:numPr>
        <w:tabs>
          <w:tab w:val="left" w:pos="-2268"/>
        </w:tabs>
        <w:suppressAutoHyphens/>
        <w:ind w:left="1134" w:hanging="567"/>
        <w:rPr>
          <w:rFonts w:cs="Arial"/>
          <w:spacing w:val="-3"/>
          <w:lang w:val="es-CO"/>
        </w:rPr>
      </w:pPr>
      <w:r w:rsidRPr="00BD1319">
        <w:rPr>
          <w:rFonts w:cs="Arial"/>
          <w:spacing w:val="-3"/>
          <w:u w:val="single"/>
          <w:lang w:val="es-CO"/>
        </w:rPr>
        <w:t>Para mamíferos voladores</w:t>
      </w:r>
      <w:r w:rsidRPr="00BD1319">
        <w:rPr>
          <w:rFonts w:cs="Arial"/>
          <w:spacing w:val="-3"/>
          <w:lang w:val="es-CO"/>
        </w:rPr>
        <w:t xml:space="preserve">: </w:t>
      </w:r>
      <w:r w:rsidR="006B2775" w:rsidRPr="00BD1319">
        <w:rPr>
          <w:rFonts w:cs="Arial"/>
          <w:spacing w:val="-3"/>
          <w:lang w:val="es-CO"/>
        </w:rPr>
        <w:t xml:space="preserve">instalar las redes de niebla que a criterio del investigador y en línea con el diseño de muestreo soporten la representatividad </w:t>
      </w:r>
      <w:r w:rsidR="004A21E7" w:rsidRPr="00BD1319">
        <w:rPr>
          <w:rFonts w:cs="Arial"/>
          <w:spacing w:val="-3"/>
          <w:lang w:val="es-CO"/>
        </w:rPr>
        <w:t xml:space="preserve">de </w:t>
      </w:r>
      <w:r w:rsidR="00C34388" w:rsidRPr="00BD1319">
        <w:rPr>
          <w:rFonts w:cs="Arial"/>
          <w:spacing w:val="-3"/>
          <w:lang w:val="es-CO"/>
        </w:rPr>
        <w:t>é</w:t>
      </w:r>
      <w:r w:rsidR="004A21E7" w:rsidRPr="00BD1319">
        <w:rPr>
          <w:rFonts w:cs="Arial"/>
          <w:spacing w:val="-3"/>
          <w:lang w:val="es-CO"/>
        </w:rPr>
        <w:t>ste</w:t>
      </w:r>
      <w:r w:rsidR="009A79E5" w:rsidRPr="00BD1319">
        <w:rPr>
          <w:rFonts w:cs="Arial"/>
          <w:spacing w:val="-3"/>
          <w:lang w:val="es-CO"/>
        </w:rPr>
        <w:t xml:space="preserve"> </w:t>
      </w:r>
      <w:r w:rsidR="004A2D33" w:rsidRPr="00BD1319">
        <w:rPr>
          <w:rFonts w:cs="Arial"/>
          <w:spacing w:val="-3"/>
          <w:lang w:val="es-CO"/>
        </w:rPr>
        <w:t xml:space="preserve">y permitan </w:t>
      </w:r>
      <w:r w:rsidR="009A79E5" w:rsidRPr="00BD1319">
        <w:rPr>
          <w:rFonts w:cs="Arial"/>
          <w:spacing w:val="-3"/>
          <w:lang w:val="es-CO"/>
        </w:rPr>
        <w:t xml:space="preserve">caracterizar las </w:t>
      </w:r>
      <w:r w:rsidR="004413BF" w:rsidRPr="00BD1319">
        <w:rPr>
          <w:rFonts w:cs="Arial"/>
          <w:spacing w:val="-3"/>
          <w:lang w:val="es-CO"/>
        </w:rPr>
        <w:t xml:space="preserve">comunidades </w:t>
      </w:r>
      <w:r w:rsidR="009A79E5" w:rsidRPr="00BD1319">
        <w:rPr>
          <w:rFonts w:cs="Arial"/>
          <w:spacing w:val="-3"/>
          <w:lang w:val="es-CO"/>
        </w:rPr>
        <w:t>de murciélagos presentes en área de influencia del componente</w:t>
      </w:r>
      <w:r w:rsidR="006B2775" w:rsidRPr="00BD1319">
        <w:rPr>
          <w:rFonts w:cs="Arial"/>
          <w:spacing w:val="-3"/>
          <w:lang w:val="es-CO"/>
        </w:rPr>
        <w:t>. La</w:t>
      </w:r>
      <w:r w:rsidR="004A2D33" w:rsidRPr="00BD1319">
        <w:rPr>
          <w:rFonts w:cs="Arial"/>
          <w:spacing w:val="-3"/>
          <w:lang w:val="es-CO"/>
        </w:rPr>
        <w:t>s</w:t>
      </w:r>
      <w:r w:rsidR="006B2775" w:rsidRPr="00BD1319">
        <w:rPr>
          <w:rFonts w:cs="Arial"/>
          <w:spacing w:val="-3"/>
          <w:lang w:val="es-CO"/>
        </w:rPr>
        <w:t xml:space="preserve"> redes </w:t>
      </w:r>
      <w:r w:rsidR="004A2D33" w:rsidRPr="00BD1319">
        <w:rPr>
          <w:rFonts w:cs="Arial"/>
          <w:spacing w:val="-3"/>
          <w:lang w:val="es-CO"/>
        </w:rPr>
        <w:t xml:space="preserve">deben localizarse </w:t>
      </w:r>
      <w:r w:rsidRPr="00BD1319">
        <w:rPr>
          <w:rFonts w:cs="Arial"/>
          <w:spacing w:val="-3"/>
          <w:lang w:val="es-CO"/>
        </w:rPr>
        <w:t xml:space="preserve">en sitios estratégicos de paso como quebradas y depresiones en el relieve, además de lugares </w:t>
      </w:r>
      <w:r w:rsidR="004A2D33" w:rsidRPr="00BD1319">
        <w:rPr>
          <w:rFonts w:cs="Arial"/>
          <w:spacing w:val="-3"/>
          <w:lang w:val="es-CO"/>
        </w:rPr>
        <w:t xml:space="preserve">de percha y </w:t>
      </w:r>
      <w:r w:rsidRPr="00BD1319">
        <w:rPr>
          <w:rFonts w:cs="Arial"/>
          <w:spacing w:val="-3"/>
          <w:lang w:val="es-CO"/>
        </w:rPr>
        <w:t xml:space="preserve">donde se encuentre suficiente alimento. Los individuos capturados deben </w:t>
      </w:r>
      <w:r w:rsidR="006B6009" w:rsidRPr="00BD1319">
        <w:rPr>
          <w:rFonts w:cs="Arial"/>
          <w:spacing w:val="-3"/>
          <w:lang w:val="es-CO"/>
        </w:rPr>
        <w:t xml:space="preserve">determinarse </w:t>
      </w:r>
      <w:r w:rsidRPr="00BD1319">
        <w:rPr>
          <w:rFonts w:cs="Arial"/>
          <w:spacing w:val="-3"/>
          <w:lang w:val="es-CO"/>
        </w:rPr>
        <w:t>hasta especie, y cuando no sea posible hacerlo</w:t>
      </w:r>
      <w:r w:rsidR="009A79E5" w:rsidRPr="00BD1319">
        <w:rPr>
          <w:rFonts w:cs="Arial"/>
          <w:spacing w:val="-3"/>
          <w:lang w:val="es-CO"/>
        </w:rPr>
        <w:t>,</w:t>
      </w:r>
      <w:r w:rsidRPr="00BD1319">
        <w:rPr>
          <w:rFonts w:cs="Arial"/>
          <w:spacing w:val="-3"/>
          <w:lang w:val="es-CO"/>
        </w:rPr>
        <w:t xml:space="preserve"> se debe colectar el ejemplar para que sea determinado por expertos, teniendo en </w:t>
      </w:r>
      <w:r w:rsidRPr="00BD1319">
        <w:rPr>
          <w:rFonts w:cs="Arial"/>
          <w:spacing w:val="-3"/>
          <w:lang w:val="es-CO"/>
        </w:rPr>
        <w:lastRenderedPageBreak/>
        <w:t xml:space="preserve">cuenta los métodos de colecta, sacrificio y movilidad incluidos en el permiso de </w:t>
      </w:r>
      <w:r w:rsidR="006B2775" w:rsidRPr="00BD1319">
        <w:rPr>
          <w:rFonts w:cs="Arial"/>
          <w:spacing w:val="-3"/>
          <w:lang w:val="es-CO"/>
        </w:rPr>
        <w:t>recolección de especímenes</w:t>
      </w:r>
      <w:r w:rsidRPr="00BD1319">
        <w:rPr>
          <w:rFonts w:cs="Arial"/>
          <w:spacing w:val="-3"/>
          <w:lang w:val="es-CO"/>
        </w:rPr>
        <w:t>.</w:t>
      </w:r>
    </w:p>
    <w:p w14:paraId="3478C36D" w14:textId="77777777" w:rsidR="00482A5F" w:rsidRPr="00BD1319" w:rsidRDefault="00482A5F">
      <w:pPr>
        <w:numPr>
          <w:ilvl w:val="12"/>
          <w:numId w:val="0"/>
        </w:numPr>
        <w:tabs>
          <w:tab w:val="left" w:pos="-2268"/>
        </w:tabs>
        <w:suppressAutoHyphens/>
        <w:rPr>
          <w:spacing w:val="-3"/>
        </w:rPr>
      </w:pPr>
    </w:p>
    <w:p w14:paraId="3D630BB9" w14:textId="7C83775B" w:rsidR="005E2B57" w:rsidRPr="00BD1319" w:rsidRDefault="004413BF" w:rsidP="004413BF">
      <w:pPr>
        <w:numPr>
          <w:ilvl w:val="12"/>
          <w:numId w:val="0"/>
        </w:numPr>
        <w:tabs>
          <w:tab w:val="left" w:pos="-2268"/>
        </w:tabs>
        <w:suppressAutoHyphens/>
        <w:rPr>
          <w:spacing w:val="-3"/>
        </w:rPr>
      </w:pPr>
      <w:r w:rsidRPr="00BD1319">
        <w:rPr>
          <w:spacing w:val="-3"/>
        </w:rPr>
        <w:t>De forma complementaria, cuando los métodos convencionales de muestreo sean insuficientes para la caracterización de la fauna voladora y acuática</w:t>
      </w:r>
      <w:r w:rsidR="00DC5CBF" w:rsidRPr="00BD1319">
        <w:rPr>
          <w:spacing w:val="-3"/>
        </w:rPr>
        <w:t xml:space="preserve"> (p. ej. </w:t>
      </w:r>
      <w:r w:rsidR="009A59DB" w:rsidRPr="00BD1319">
        <w:rPr>
          <w:spacing w:val="-3"/>
        </w:rPr>
        <w:t xml:space="preserve">para </w:t>
      </w:r>
      <w:r w:rsidR="00DC5CBF" w:rsidRPr="00BD1319">
        <w:rPr>
          <w:spacing w:val="-3"/>
        </w:rPr>
        <w:t xml:space="preserve">proyectos eólicos continentales y off-shore y proyectos </w:t>
      </w:r>
      <w:r w:rsidR="001413B8" w:rsidRPr="00BD1319">
        <w:rPr>
          <w:spacing w:val="-3"/>
        </w:rPr>
        <w:t>acuáticos</w:t>
      </w:r>
      <w:r w:rsidR="00DC5CBF" w:rsidRPr="00BD1319">
        <w:rPr>
          <w:spacing w:val="-3"/>
        </w:rPr>
        <w:t xml:space="preserve"> continentales que impacten hábitats con especies de difícil avistamiento por técnicas comunes -especies crípticas-)</w:t>
      </w:r>
      <w:r w:rsidRPr="00BD1319">
        <w:rPr>
          <w:spacing w:val="-3"/>
        </w:rPr>
        <w:t xml:space="preserve">, es posible implementar técnicas de </w:t>
      </w:r>
      <w:proofErr w:type="spellStart"/>
      <w:r w:rsidRPr="00BD1319">
        <w:rPr>
          <w:spacing w:val="-3"/>
        </w:rPr>
        <w:t>bioacústica</w:t>
      </w:r>
      <w:proofErr w:type="spellEnd"/>
      <w:r w:rsidRPr="00BD1319">
        <w:rPr>
          <w:spacing w:val="-3"/>
        </w:rPr>
        <w:t xml:space="preserve"> pasiva y activa</w:t>
      </w:r>
      <w:r w:rsidR="005E2B57" w:rsidRPr="00BD1319">
        <w:rPr>
          <w:spacing w:val="-3"/>
        </w:rPr>
        <w:t xml:space="preserve"> que permitan obtener la siguiente información:</w:t>
      </w:r>
    </w:p>
    <w:p w14:paraId="157C84AB" w14:textId="77777777" w:rsidR="005E2B57" w:rsidRPr="00BD1319" w:rsidRDefault="005E2B57" w:rsidP="004413BF">
      <w:pPr>
        <w:numPr>
          <w:ilvl w:val="12"/>
          <w:numId w:val="0"/>
        </w:numPr>
        <w:tabs>
          <w:tab w:val="left" w:pos="-2268"/>
        </w:tabs>
        <w:suppressAutoHyphens/>
        <w:rPr>
          <w:spacing w:val="-3"/>
        </w:rPr>
      </w:pPr>
    </w:p>
    <w:p w14:paraId="2E530AC8" w14:textId="77777777" w:rsidR="005E2B57" w:rsidRPr="00BD1319" w:rsidRDefault="005E2B57" w:rsidP="005E2B57">
      <w:pPr>
        <w:pStyle w:val="Prrafodelista"/>
        <w:numPr>
          <w:ilvl w:val="0"/>
          <w:numId w:val="83"/>
        </w:numPr>
        <w:tabs>
          <w:tab w:val="left" w:pos="-2268"/>
        </w:tabs>
        <w:suppressAutoHyphens/>
        <w:ind w:left="567" w:hanging="567"/>
        <w:rPr>
          <w:spacing w:val="-3"/>
          <w:lang w:val="es-CO"/>
        </w:rPr>
      </w:pPr>
      <w:r w:rsidRPr="00BD1319">
        <w:rPr>
          <w:spacing w:val="-3"/>
          <w:lang w:val="es-CO"/>
        </w:rPr>
        <w:t>Riqueza de especies.</w:t>
      </w:r>
    </w:p>
    <w:p w14:paraId="305DE5AB" w14:textId="77777777" w:rsidR="005E2B57" w:rsidRPr="00BD1319" w:rsidRDefault="005E2B57" w:rsidP="008A4FE9">
      <w:pPr>
        <w:tabs>
          <w:tab w:val="left" w:pos="-2268"/>
        </w:tabs>
        <w:suppressAutoHyphens/>
        <w:rPr>
          <w:spacing w:val="-3"/>
        </w:rPr>
      </w:pPr>
    </w:p>
    <w:p w14:paraId="42D16489" w14:textId="33C7DD84" w:rsidR="005E2B57" w:rsidRPr="00BD1319" w:rsidRDefault="005E2B57" w:rsidP="008A4FE9">
      <w:pPr>
        <w:pStyle w:val="Prrafodelista"/>
        <w:numPr>
          <w:ilvl w:val="0"/>
          <w:numId w:val="83"/>
        </w:numPr>
        <w:tabs>
          <w:tab w:val="left" w:pos="-2268"/>
        </w:tabs>
        <w:suppressAutoHyphens/>
        <w:ind w:left="567" w:hanging="567"/>
        <w:rPr>
          <w:spacing w:val="-3"/>
          <w:lang w:val="es-CO"/>
        </w:rPr>
      </w:pPr>
      <w:r w:rsidRPr="00BD1319">
        <w:rPr>
          <w:spacing w:val="-3"/>
          <w:lang w:val="es-CO"/>
        </w:rPr>
        <w:t xml:space="preserve">Actividad acústica de cada especie o </w:t>
      </w:r>
      <w:proofErr w:type="spellStart"/>
      <w:r w:rsidRPr="00BD1319">
        <w:rPr>
          <w:spacing w:val="-3"/>
          <w:lang w:val="es-CO"/>
        </w:rPr>
        <w:t>sonotipo</w:t>
      </w:r>
      <w:proofErr w:type="spellEnd"/>
      <w:r w:rsidRPr="00BD1319">
        <w:rPr>
          <w:spacing w:val="-3"/>
          <w:lang w:val="es-CO"/>
        </w:rPr>
        <w:t xml:space="preserve"> a escala temporal (picos de actividad) y espacial (por punto de muestreo, cobertura y emplazamiento de fuentes generadoras con sus respectivas localizaciones geográficas).</w:t>
      </w:r>
    </w:p>
    <w:p w14:paraId="64E4F94E" w14:textId="77777777" w:rsidR="005E2B57" w:rsidRPr="00BD1319" w:rsidRDefault="005E2B57" w:rsidP="008A4FE9">
      <w:pPr>
        <w:tabs>
          <w:tab w:val="left" w:pos="-2268"/>
        </w:tabs>
        <w:suppressAutoHyphens/>
        <w:rPr>
          <w:spacing w:val="-3"/>
        </w:rPr>
      </w:pPr>
    </w:p>
    <w:p w14:paraId="760AB95A" w14:textId="3C0C6F0F" w:rsidR="005E2B57" w:rsidRPr="00BD1319" w:rsidRDefault="005E2B57" w:rsidP="008A4FE9">
      <w:pPr>
        <w:pStyle w:val="Prrafodelista"/>
        <w:numPr>
          <w:ilvl w:val="0"/>
          <w:numId w:val="83"/>
        </w:numPr>
        <w:tabs>
          <w:tab w:val="left" w:pos="-2268"/>
        </w:tabs>
        <w:suppressAutoHyphens/>
        <w:ind w:left="567" w:hanging="567"/>
        <w:rPr>
          <w:spacing w:val="-3"/>
          <w:lang w:val="es-CO"/>
        </w:rPr>
      </w:pPr>
      <w:r w:rsidRPr="00BD1319">
        <w:rPr>
          <w:spacing w:val="-3"/>
          <w:lang w:val="es-CO"/>
        </w:rPr>
        <w:t xml:space="preserve">Parámetros acústicos por especie o </w:t>
      </w:r>
      <w:proofErr w:type="spellStart"/>
      <w:r w:rsidRPr="00BD1319">
        <w:rPr>
          <w:spacing w:val="-3"/>
          <w:lang w:val="es-CO"/>
        </w:rPr>
        <w:t>sonotipo</w:t>
      </w:r>
      <w:proofErr w:type="spellEnd"/>
      <w:r w:rsidRPr="00BD1319">
        <w:rPr>
          <w:spacing w:val="-3"/>
          <w:lang w:val="es-CO"/>
        </w:rPr>
        <w:t xml:space="preserve"> como frecuencias mínima y máxima, máxima energía, duración y clasificación del sonido según el grupo taxonómico.</w:t>
      </w:r>
    </w:p>
    <w:p w14:paraId="2F0F9B2A" w14:textId="77777777" w:rsidR="005E2B57" w:rsidRPr="00BD1319" w:rsidRDefault="005E2B57" w:rsidP="008A4FE9">
      <w:pPr>
        <w:tabs>
          <w:tab w:val="left" w:pos="-2268"/>
        </w:tabs>
        <w:suppressAutoHyphens/>
        <w:rPr>
          <w:spacing w:val="-3"/>
        </w:rPr>
      </w:pPr>
    </w:p>
    <w:p w14:paraId="1475ACE1" w14:textId="5D0C6A48" w:rsidR="005E2B57" w:rsidRPr="00BD1319" w:rsidRDefault="005E2B57" w:rsidP="005E2B57">
      <w:pPr>
        <w:pStyle w:val="Prrafodelista"/>
        <w:numPr>
          <w:ilvl w:val="0"/>
          <w:numId w:val="83"/>
        </w:numPr>
        <w:tabs>
          <w:tab w:val="left" w:pos="-2268"/>
        </w:tabs>
        <w:suppressAutoHyphens/>
        <w:ind w:left="567" w:hanging="567"/>
        <w:rPr>
          <w:spacing w:val="-3"/>
          <w:lang w:val="es-CO"/>
        </w:rPr>
      </w:pPr>
      <w:r w:rsidRPr="00BD1319">
        <w:rPr>
          <w:spacing w:val="-3"/>
          <w:lang w:val="es-CO"/>
        </w:rPr>
        <w:t xml:space="preserve">Oscilogramas y espectrogramas por especie o </w:t>
      </w:r>
      <w:proofErr w:type="spellStart"/>
      <w:r w:rsidRPr="00BD1319">
        <w:rPr>
          <w:spacing w:val="-3"/>
          <w:lang w:val="es-CO"/>
        </w:rPr>
        <w:t>sonotipo</w:t>
      </w:r>
      <w:proofErr w:type="spellEnd"/>
      <w:r w:rsidRPr="00BD1319">
        <w:rPr>
          <w:spacing w:val="-3"/>
          <w:lang w:val="es-CO"/>
        </w:rPr>
        <w:t xml:space="preserve"> detectado.</w:t>
      </w:r>
    </w:p>
    <w:p w14:paraId="75778C17" w14:textId="77777777" w:rsidR="005E2B57" w:rsidRPr="00BD1319" w:rsidRDefault="005E2B57" w:rsidP="008A4FE9">
      <w:pPr>
        <w:tabs>
          <w:tab w:val="left" w:pos="-2268"/>
        </w:tabs>
        <w:suppressAutoHyphens/>
        <w:rPr>
          <w:spacing w:val="-3"/>
        </w:rPr>
      </w:pPr>
    </w:p>
    <w:p w14:paraId="4D3FF3F6" w14:textId="7DB8FE0E" w:rsidR="004413BF" w:rsidRPr="00BD1319" w:rsidRDefault="004413BF" w:rsidP="004413BF">
      <w:pPr>
        <w:numPr>
          <w:ilvl w:val="12"/>
          <w:numId w:val="0"/>
        </w:numPr>
        <w:tabs>
          <w:tab w:val="left" w:pos="-2268"/>
        </w:tabs>
        <w:suppressAutoHyphens/>
        <w:rPr>
          <w:spacing w:val="-3"/>
        </w:rPr>
      </w:pPr>
      <w:r w:rsidRPr="00BD1319">
        <w:rPr>
          <w:spacing w:val="-3"/>
        </w:rPr>
        <w:t>Para tal efecto se debe considerar lo siguiente:</w:t>
      </w:r>
    </w:p>
    <w:p w14:paraId="48FB13E6" w14:textId="77777777" w:rsidR="004413BF" w:rsidRPr="00BD1319" w:rsidRDefault="004413BF" w:rsidP="004413BF">
      <w:pPr>
        <w:numPr>
          <w:ilvl w:val="12"/>
          <w:numId w:val="0"/>
        </w:numPr>
        <w:tabs>
          <w:tab w:val="left" w:pos="-2268"/>
        </w:tabs>
        <w:suppressAutoHyphens/>
        <w:rPr>
          <w:spacing w:val="-3"/>
        </w:rPr>
      </w:pPr>
    </w:p>
    <w:p w14:paraId="090A7BFF" w14:textId="3194FA61" w:rsidR="004413BF" w:rsidRPr="00BD1319" w:rsidRDefault="004413BF" w:rsidP="004413BF">
      <w:pPr>
        <w:pStyle w:val="Prrafodelista"/>
        <w:numPr>
          <w:ilvl w:val="0"/>
          <w:numId w:val="83"/>
        </w:numPr>
        <w:tabs>
          <w:tab w:val="left" w:pos="-2268"/>
        </w:tabs>
        <w:suppressAutoHyphens/>
        <w:ind w:left="567" w:hanging="567"/>
        <w:rPr>
          <w:spacing w:val="-3"/>
          <w:lang w:val="es-CO"/>
        </w:rPr>
      </w:pPr>
      <w:bookmarkStart w:id="2884" w:name="_Hlk146105394"/>
      <w:r w:rsidRPr="00BD1319">
        <w:rPr>
          <w:spacing w:val="-3"/>
          <w:lang w:val="es-CO"/>
        </w:rPr>
        <w:t xml:space="preserve">Los muestreos </w:t>
      </w:r>
      <w:bookmarkEnd w:id="2884"/>
      <w:r w:rsidRPr="00BD1319">
        <w:rPr>
          <w:spacing w:val="-3"/>
          <w:lang w:val="es-CO"/>
        </w:rPr>
        <w:t>debe</w:t>
      </w:r>
      <w:r w:rsidR="007C58E1" w:rsidRPr="00BD1319">
        <w:rPr>
          <w:spacing w:val="-3"/>
          <w:lang w:val="es-CO"/>
        </w:rPr>
        <w:t>n</w:t>
      </w:r>
      <w:r w:rsidRPr="00BD1319">
        <w:rPr>
          <w:spacing w:val="-3"/>
          <w:lang w:val="es-CO"/>
        </w:rPr>
        <w:t xml:space="preserve"> </w:t>
      </w:r>
      <w:r w:rsidR="007C58E1" w:rsidRPr="00BD1319">
        <w:rPr>
          <w:spacing w:val="-3"/>
          <w:lang w:val="es-CO"/>
        </w:rPr>
        <w:t xml:space="preserve">abarcar </w:t>
      </w:r>
      <w:r w:rsidRPr="00BD1319">
        <w:rPr>
          <w:spacing w:val="-3"/>
          <w:lang w:val="es-CO"/>
        </w:rPr>
        <w:t xml:space="preserve">diferentes temporadas climáticas (lluvias, estiaje y transición), </w:t>
      </w:r>
      <w:r w:rsidR="007C58E1" w:rsidRPr="00BD1319">
        <w:rPr>
          <w:spacing w:val="-3"/>
          <w:lang w:val="es-CO"/>
        </w:rPr>
        <w:t xml:space="preserve">a fin de obtener información </w:t>
      </w:r>
      <w:r w:rsidRPr="00BD1319">
        <w:rPr>
          <w:spacing w:val="-3"/>
          <w:lang w:val="es-CO"/>
        </w:rPr>
        <w:t>complet</w:t>
      </w:r>
      <w:r w:rsidR="007C58E1" w:rsidRPr="00BD1319">
        <w:rPr>
          <w:spacing w:val="-3"/>
          <w:lang w:val="es-CO"/>
        </w:rPr>
        <w:t>a</w:t>
      </w:r>
      <w:r w:rsidRPr="00BD1319">
        <w:rPr>
          <w:spacing w:val="-3"/>
          <w:lang w:val="es-CO"/>
        </w:rPr>
        <w:t xml:space="preserve"> </w:t>
      </w:r>
      <w:r w:rsidR="007C58E1" w:rsidRPr="00BD1319">
        <w:rPr>
          <w:spacing w:val="-3"/>
          <w:lang w:val="es-CO"/>
        </w:rPr>
        <w:t xml:space="preserve">sobre la </w:t>
      </w:r>
      <w:r w:rsidRPr="00BD1319">
        <w:rPr>
          <w:spacing w:val="-3"/>
          <w:lang w:val="es-CO"/>
        </w:rPr>
        <w:t>actividad de los diferentes grupos</w:t>
      </w:r>
      <w:r w:rsidR="007C58E1" w:rsidRPr="00BD1319">
        <w:rPr>
          <w:spacing w:val="-3"/>
          <w:lang w:val="es-CO"/>
        </w:rPr>
        <w:t xml:space="preserve"> biológicos</w:t>
      </w:r>
      <w:r w:rsidRPr="00BD1319">
        <w:rPr>
          <w:spacing w:val="-3"/>
          <w:lang w:val="es-CO"/>
        </w:rPr>
        <w:t>.</w:t>
      </w:r>
    </w:p>
    <w:p w14:paraId="3AEA85E9" w14:textId="77777777" w:rsidR="005E2B57" w:rsidRPr="00BD1319" w:rsidRDefault="005E2B57" w:rsidP="008A4FE9">
      <w:pPr>
        <w:tabs>
          <w:tab w:val="left" w:pos="-2268"/>
        </w:tabs>
        <w:suppressAutoHyphens/>
        <w:rPr>
          <w:spacing w:val="-3"/>
        </w:rPr>
      </w:pPr>
    </w:p>
    <w:p w14:paraId="7243A28D" w14:textId="57984FC1" w:rsidR="004413BF" w:rsidRPr="00BD1319" w:rsidRDefault="004413BF" w:rsidP="008A4FE9">
      <w:pPr>
        <w:pStyle w:val="Prrafodelista"/>
        <w:numPr>
          <w:ilvl w:val="0"/>
          <w:numId w:val="83"/>
        </w:numPr>
        <w:tabs>
          <w:tab w:val="left" w:pos="-2268"/>
        </w:tabs>
        <w:suppressAutoHyphens/>
        <w:ind w:left="567" w:hanging="567"/>
        <w:rPr>
          <w:spacing w:val="-3"/>
        </w:rPr>
      </w:pPr>
      <w:r w:rsidRPr="00BD1319">
        <w:rPr>
          <w:spacing w:val="-3"/>
          <w:lang w:val="es-CO"/>
        </w:rPr>
        <w:t xml:space="preserve">La tasa de muestreo </w:t>
      </w:r>
      <w:r w:rsidR="005E6D05" w:rsidRPr="00BD1319">
        <w:rPr>
          <w:spacing w:val="-3"/>
          <w:lang w:val="es-CO"/>
        </w:rPr>
        <w:t>acústic</w:t>
      </w:r>
      <w:r w:rsidR="00F0129E" w:rsidRPr="00BD1319">
        <w:rPr>
          <w:spacing w:val="-3"/>
          <w:lang w:val="es-CO"/>
        </w:rPr>
        <w:t>o</w:t>
      </w:r>
      <w:r w:rsidR="005E6D05" w:rsidRPr="00BD1319">
        <w:rPr>
          <w:spacing w:val="-3"/>
          <w:lang w:val="es-CO"/>
        </w:rPr>
        <w:t xml:space="preserve"> </w:t>
      </w:r>
      <w:r w:rsidRPr="00BD1319">
        <w:rPr>
          <w:spacing w:val="-3"/>
          <w:lang w:val="es-CO"/>
        </w:rPr>
        <w:t xml:space="preserve">debe ser coherente con el grupo </w:t>
      </w:r>
      <w:r w:rsidR="007C58E1" w:rsidRPr="00BD1319">
        <w:rPr>
          <w:spacing w:val="-3"/>
          <w:lang w:val="es-CO"/>
        </w:rPr>
        <w:t xml:space="preserve">biológico a </w:t>
      </w:r>
      <w:r w:rsidRPr="00BD1319">
        <w:rPr>
          <w:spacing w:val="-3"/>
          <w:lang w:val="es-CO"/>
        </w:rPr>
        <w:t>muestre</w:t>
      </w:r>
      <w:r w:rsidR="007C58E1" w:rsidRPr="00BD1319">
        <w:rPr>
          <w:spacing w:val="-3"/>
          <w:lang w:val="es-CO"/>
        </w:rPr>
        <w:t>ar,</w:t>
      </w:r>
      <w:r w:rsidRPr="00BD1319">
        <w:rPr>
          <w:spacing w:val="-3"/>
          <w:lang w:val="es-CO"/>
        </w:rPr>
        <w:t xml:space="preserve"> por ejemplo</w:t>
      </w:r>
      <w:r w:rsidR="007C58E1" w:rsidRPr="00BD1319">
        <w:rPr>
          <w:spacing w:val="-3"/>
          <w:lang w:val="es-CO"/>
        </w:rPr>
        <w:t xml:space="preserve">, </w:t>
      </w:r>
      <w:r w:rsidRPr="00BD1319">
        <w:rPr>
          <w:spacing w:val="-3"/>
          <w:lang w:val="es-CO"/>
        </w:rPr>
        <w:t xml:space="preserve">espectro audible para avifauna y ultrasonido para </w:t>
      </w:r>
      <w:proofErr w:type="spellStart"/>
      <w:r w:rsidRPr="00BD1319">
        <w:rPr>
          <w:spacing w:val="-3"/>
          <w:lang w:val="es-CO"/>
        </w:rPr>
        <w:t>quirópterofauna</w:t>
      </w:r>
      <w:proofErr w:type="spellEnd"/>
      <w:r w:rsidRPr="00BD1319">
        <w:rPr>
          <w:spacing w:val="-3"/>
          <w:lang w:val="es-CO"/>
        </w:rPr>
        <w:t>. Las grabaciones deben realizarse en formato .</w:t>
      </w:r>
      <w:proofErr w:type="spellStart"/>
      <w:r w:rsidRPr="00BD1319">
        <w:rPr>
          <w:spacing w:val="-3"/>
          <w:lang w:val="es-CO"/>
        </w:rPr>
        <w:t>wav</w:t>
      </w:r>
      <w:proofErr w:type="spellEnd"/>
      <w:r w:rsidRPr="00BD1319">
        <w:rPr>
          <w:spacing w:val="-3"/>
          <w:lang w:val="es-CO"/>
        </w:rPr>
        <w:t xml:space="preserve"> a una resolución mínima de 16 bits.</w:t>
      </w:r>
    </w:p>
    <w:p w14:paraId="57BB7C1A" w14:textId="77777777" w:rsidR="005E2B57" w:rsidRPr="00BD1319" w:rsidRDefault="005E2B57" w:rsidP="008A4FE9">
      <w:pPr>
        <w:tabs>
          <w:tab w:val="left" w:pos="-2268"/>
        </w:tabs>
        <w:suppressAutoHyphens/>
        <w:rPr>
          <w:spacing w:val="-3"/>
        </w:rPr>
      </w:pPr>
    </w:p>
    <w:p w14:paraId="27BFEEEA" w14:textId="3B56196E" w:rsidR="004413BF" w:rsidRPr="00BD1319" w:rsidRDefault="004413BF" w:rsidP="008A4FE9">
      <w:pPr>
        <w:pStyle w:val="Prrafodelista"/>
        <w:numPr>
          <w:ilvl w:val="0"/>
          <w:numId w:val="83"/>
        </w:numPr>
        <w:tabs>
          <w:tab w:val="left" w:pos="-2268"/>
        </w:tabs>
        <w:suppressAutoHyphens/>
        <w:ind w:left="567" w:hanging="567"/>
        <w:rPr>
          <w:spacing w:val="-3"/>
        </w:rPr>
      </w:pPr>
      <w:r w:rsidRPr="00BD1319">
        <w:rPr>
          <w:spacing w:val="-3"/>
          <w:lang w:val="es-CO"/>
        </w:rPr>
        <w:t>La</w:t>
      </w:r>
      <w:r w:rsidR="003032EE" w:rsidRPr="00BD1319">
        <w:rPr>
          <w:spacing w:val="-3"/>
          <w:lang w:val="es-CO"/>
        </w:rPr>
        <w:t xml:space="preserve"> cantidad de la</w:t>
      </w:r>
      <w:r w:rsidRPr="00BD1319">
        <w:rPr>
          <w:spacing w:val="-3"/>
          <w:lang w:val="es-CO"/>
        </w:rPr>
        <w:t>s unidades de muestreo para los muestreos acústicos pasivos se debe establecer en función de la cobertura vegetal, focalizando la caracterización en los sitios donde se proyecta la ejecución de actividades.</w:t>
      </w:r>
    </w:p>
    <w:p w14:paraId="17E5B548" w14:textId="77777777" w:rsidR="005E2B57" w:rsidRPr="00BD1319" w:rsidRDefault="005E2B57" w:rsidP="008A4FE9">
      <w:pPr>
        <w:tabs>
          <w:tab w:val="left" w:pos="-2268"/>
        </w:tabs>
        <w:suppressAutoHyphens/>
        <w:rPr>
          <w:spacing w:val="-3"/>
        </w:rPr>
      </w:pPr>
    </w:p>
    <w:p w14:paraId="093D4BDF" w14:textId="7FAB00DB" w:rsidR="004413BF" w:rsidRPr="00BD1319" w:rsidRDefault="009C1846" w:rsidP="004413BF">
      <w:pPr>
        <w:pStyle w:val="Prrafodelista"/>
        <w:numPr>
          <w:ilvl w:val="0"/>
          <w:numId w:val="83"/>
        </w:numPr>
        <w:tabs>
          <w:tab w:val="left" w:pos="-2268"/>
        </w:tabs>
        <w:suppressAutoHyphens/>
        <w:ind w:left="567" w:hanging="567"/>
        <w:rPr>
          <w:spacing w:val="-3"/>
          <w:lang w:val="es-CO"/>
        </w:rPr>
      </w:pPr>
      <w:r w:rsidRPr="00BD1319">
        <w:rPr>
          <w:spacing w:val="-3"/>
          <w:lang w:val="es-CO"/>
        </w:rPr>
        <w:t xml:space="preserve">Los </w:t>
      </w:r>
      <w:r w:rsidR="004413BF" w:rsidRPr="00BD1319">
        <w:rPr>
          <w:spacing w:val="-3"/>
          <w:lang w:val="es-CO"/>
        </w:rPr>
        <w:t xml:space="preserve">recorridos de grabación por unidad de muestreo, </w:t>
      </w:r>
      <w:r w:rsidRPr="00BD1319">
        <w:rPr>
          <w:spacing w:val="-3"/>
          <w:lang w:val="es-CO"/>
        </w:rPr>
        <w:t xml:space="preserve">para el caso del muestreo acústico activo, deben </w:t>
      </w:r>
      <w:r w:rsidR="004413BF" w:rsidRPr="00BD1319">
        <w:rPr>
          <w:spacing w:val="-3"/>
          <w:lang w:val="es-CO"/>
        </w:rPr>
        <w:t>cubr</w:t>
      </w:r>
      <w:r w:rsidRPr="00BD1319">
        <w:rPr>
          <w:spacing w:val="-3"/>
          <w:lang w:val="es-CO"/>
        </w:rPr>
        <w:t xml:space="preserve">ir como mínimo </w:t>
      </w:r>
      <w:bookmarkStart w:id="2885" w:name="_Hlk146105712"/>
      <w:r w:rsidR="004413BF" w:rsidRPr="00BD1319">
        <w:rPr>
          <w:spacing w:val="-3"/>
          <w:lang w:val="es-CO"/>
        </w:rPr>
        <w:t xml:space="preserve">los picos de actividad de </w:t>
      </w:r>
      <w:r w:rsidR="005E2B57" w:rsidRPr="00BD1319">
        <w:rPr>
          <w:spacing w:val="-3"/>
          <w:lang w:val="es-CO"/>
        </w:rPr>
        <w:t xml:space="preserve">la </w:t>
      </w:r>
      <w:r w:rsidR="004413BF" w:rsidRPr="00BD1319">
        <w:rPr>
          <w:spacing w:val="-3"/>
          <w:lang w:val="es-CO"/>
        </w:rPr>
        <w:t>fauna.</w:t>
      </w:r>
      <w:bookmarkEnd w:id="2885"/>
    </w:p>
    <w:p w14:paraId="34995731" w14:textId="77777777" w:rsidR="005E2B57" w:rsidRPr="00BD1319" w:rsidRDefault="005E2B57" w:rsidP="005E2B57">
      <w:pPr>
        <w:tabs>
          <w:tab w:val="left" w:pos="-2268"/>
        </w:tabs>
        <w:suppressAutoHyphens/>
        <w:rPr>
          <w:spacing w:val="-3"/>
        </w:rPr>
      </w:pPr>
    </w:p>
    <w:p w14:paraId="23A0F9E9" w14:textId="77777777" w:rsidR="005E2B57" w:rsidRPr="00BD1319" w:rsidRDefault="005E2B57" w:rsidP="005E2B57">
      <w:pPr>
        <w:tabs>
          <w:tab w:val="left" w:pos="-2268"/>
        </w:tabs>
        <w:suppressAutoHyphens/>
        <w:rPr>
          <w:spacing w:val="-3"/>
        </w:rPr>
      </w:pPr>
      <w:r w:rsidRPr="00BD1319">
        <w:rPr>
          <w:spacing w:val="-3"/>
        </w:rPr>
        <w:t xml:space="preserve">Al ejecutar este tipo de técnicas, se deben presentar soportes de audio por especie o </w:t>
      </w:r>
      <w:proofErr w:type="spellStart"/>
      <w:r w:rsidRPr="00BD1319">
        <w:rPr>
          <w:spacing w:val="-3"/>
        </w:rPr>
        <w:t>sonotipo</w:t>
      </w:r>
      <w:proofErr w:type="spellEnd"/>
      <w:r w:rsidRPr="00BD1319">
        <w:rPr>
          <w:spacing w:val="-3"/>
        </w:rPr>
        <w:t xml:space="preserve"> que permitan verificar las tasas de muestreo reportadas.</w:t>
      </w:r>
    </w:p>
    <w:p w14:paraId="2BD3FAB4" w14:textId="77777777" w:rsidR="004413BF" w:rsidRPr="00BD1319" w:rsidRDefault="004413BF">
      <w:pPr>
        <w:numPr>
          <w:ilvl w:val="12"/>
          <w:numId w:val="0"/>
        </w:numPr>
        <w:tabs>
          <w:tab w:val="left" w:pos="-2268"/>
        </w:tabs>
        <w:suppressAutoHyphens/>
        <w:rPr>
          <w:spacing w:val="-3"/>
        </w:rPr>
      </w:pPr>
    </w:p>
    <w:p w14:paraId="17EDFCD9" w14:textId="46D04A2B" w:rsidR="00482A5F" w:rsidRPr="00BD1319" w:rsidRDefault="00482A5F">
      <w:pPr>
        <w:numPr>
          <w:ilvl w:val="12"/>
          <w:numId w:val="0"/>
        </w:numPr>
        <w:tabs>
          <w:tab w:val="left" w:pos="-2268"/>
        </w:tabs>
        <w:suppressAutoHyphens/>
        <w:rPr>
          <w:spacing w:val="-3"/>
        </w:rPr>
      </w:pPr>
      <w:r w:rsidRPr="00BD1319">
        <w:rPr>
          <w:spacing w:val="-3"/>
        </w:rPr>
        <w:t xml:space="preserve">Cabe recordar que la máxima eficiencia y efectividad en muestreos breves de fauna, se alcanza empleando una combinación de métodos como los anteriormente </w:t>
      </w:r>
      <w:r w:rsidR="00B66B64" w:rsidRPr="00BD1319">
        <w:rPr>
          <w:spacing w:val="-3"/>
        </w:rPr>
        <w:t>señalados</w:t>
      </w:r>
      <w:r w:rsidRPr="00BD1319">
        <w:rPr>
          <w:spacing w:val="-3"/>
        </w:rPr>
        <w:t>.</w:t>
      </w:r>
    </w:p>
    <w:p w14:paraId="2009D8EA" w14:textId="77777777" w:rsidR="00482A5F" w:rsidRPr="00BD1319" w:rsidRDefault="00482A5F">
      <w:pPr>
        <w:numPr>
          <w:ilvl w:val="12"/>
          <w:numId w:val="0"/>
        </w:numPr>
        <w:tabs>
          <w:tab w:val="left" w:pos="-2268"/>
        </w:tabs>
        <w:suppressAutoHyphens/>
        <w:rPr>
          <w:spacing w:val="-3"/>
        </w:rPr>
      </w:pPr>
    </w:p>
    <w:p w14:paraId="34D358CF" w14:textId="1CD97E35" w:rsidR="00482A5F" w:rsidRPr="00BD1319" w:rsidRDefault="00482A5F">
      <w:pPr>
        <w:numPr>
          <w:ilvl w:val="12"/>
          <w:numId w:val="0"/>
        </w:numPr>
        <w:tabs>
          <w:tab w:val="left" w:pos="-2268"/>
        </w:tabs>
        <w:suppressAutoHyphens/>
        <w:rPr>
          <w:spacing w:val="-3"/>
        </w:rPr>
      </w:pPr>
      <w:r w:rsidRPr="00BD1319">
        <w:rPr>
          <w:spacing w:val="-3"/>
        </w:rPr>
        <w:t xml:space="preserve">La determinación taxonómica de algunos especímenes de fauna requiere del estudio de caracteres en laboratorio, por ejemplo, el conteo y revisión de escamas para reptiles, así como la revisión de cráneos para mamíferos pequeños como murciélagos o ratones. Es importante precisar que el registro fotográfico no siempre es suficiente para la posterior </w:t>
      </w:r>
      <w:r w:rsidR="004171A4" w:rsidRPr="00BD1319">
        <w:rPr>
          <w:spacing w:val="-3"/>
        </w:rPr>
        <w:t xml:space="preserve">determinación </w:t>
      </w:r>
      <w:r w:rsidRPr="00BD1319">
        <w:rPr>
          <w:spacing w:val="-3"/>
        </w:rPr>
        <w:t xml:space="preserve">taxonómica de las especies, ya que en muchos casos es necesaria la observación de caracteres diagnósticos </w:t>
      </w:r>
      <w:r w:rsidRPr="00BD1319">
        <w:rPr>
          <w:i/>
          <w:spacing w:val="-3"/>
        </w:rPr>
        <w:t>in situ</w:t>
      </w:r>
      <w:r w:rsidRPr="00BD1319">
        <w:rPr>
          <w:spacing w:val="-3"/>
        </w:rPr>
        <w:t>, que no son fáciles de observar en las fotografías (</w:t>
      </w:r>
      <w:r w:rsidR="00041844" w:rsidRPr="00BD1319">
        <w:rPr>
          <w:spacing w:val="-3"/>
        </w:rPr>
        <w:t>p. ej.</w:t>
      </w:r>
      <w:r w:rsidRPr="00BD1319">
        <w:rPr>
          <w:spacing w:val="-3"/>
        </w:rPr>
        <w:t xml:space="preserve"> datos cromáticos para la </w:t>
      </w:r>
      <w:r w:rsidR="004171A4" w:rsidRPr="00BD1319">
        <w:rPr>
          <w:spacing w:val="-3"/>
        </w:rPr>
        <w:t xml:space="preserve">determinación </w:t>
      </w:r>
      <w:r w:rsidRPr="00BD1319">
        <w:rPr>
          <w:spacing w:val="-3"/>
        </w:rPr>
        <w:t xml:space="preserve">de anfibios). Por tanto, se enfatiza que la recolección definitiva de especímenes es una actividad científica de gran importancia y utilidad para el desarrollo de los inventarios y caracterizaciones de línea base, </w:t>
      </w:r>
      <w:r w:rsidRPr="00BD1319">
        <w:rPr>
          <w:rFonts w:cs="Arial"/>
          <w:spacing w:val="-3"/>
        </w:rPr>
        <w:t xml:space="preserve">teniendo en cuenta los </w:t>
      </w:r>
      <w:r w:rsidR="008F61E7" w:rsidRPr="00BD1319">
        <w:rPr>
          <w:rFonts w:cs="Arial"/>
          <w:spacing w:val="-3"/>
        </w:rPr>
        <w:t>límites</w:t>
      </w:r>
      <w:r w:rsidRPr="00BD1319">
        <w:rPr>
          <w:rFonts w:cs="Arial"/>
          <w:spacing w:val="-3"/>
        </w:rPr>
        <w:t xml:space="preserve"> autorizados en el permiso de colecta</w:t>
      </w:r>
      <w:r w:rsidRPr="00BD1319">
        <w:rPr>
          <w:spacing w:val="-3"/>
        </w:rPr>
        <w:t>.</w:t>
      </w:r>
    </w:p>
    <w:p w14:paraId="2B02C1D6" w14:textId="77777777" w:rsidR="00482A5F" w:rsidRPr="00BD1319" w:rsidRDefault="00482A5F">
      <w:pPr>
        <w:numPr>
          <w:ilvl w:val="12"/>
          <w:numId w:val="0"/>
        </w:numPr>
        <w:tabs>
          <w:tab w:val="left" w:pos="-2268"/>
        </w:tabs>
        <w:suppressAutoHyphens/>
        <w:rPr>
          <w:spacing w:val="-3"/>
        </w:rPr>
      </w:pPr>
    </w:p>
    <w:p w14:paraId="23D2F0E8" w14:textId="77777777" w:rsidR="00482A5F" w:rsidRPr="00BD1319" w:rsidRDefault="00482A5F">
      <w:pPr>
        <w:tabs>
          <w:tab w:val="left" w:pos="-2268"/>
        </w:tabs>
        <w:suppressAutoHyphens/>
        <w:rPr>
          <w:spacing w:val="-3"/>
          <w:u w:val="single"/>
        </w:rPr>
      </w:pPr>
      <w:r w:rsidRPr="00BD1319">
        <w:rPr>
          <w:spacing w:val="-3"/>
          <w:u w:val="single"/>
        </w:rPr>
        <w:t>Fase de análisis:</w:t>
      </w:r>
    </w:p>
    <w:p w14:paraId="6E70B6AA" w14:textId="77777777" w:rsidR="00482A5F" w:rsidRPr="00BD1319" w:rsidRDefault="00482A5F">
      <w:pPr>
        <w:numPr>
          <w:ilvl w:val="12"/>
          <w:numId w:val="0"/>
        </w:numPr>
        <w:tabs>
          <w:tab w:val="left" w:pos="-2268"/>
        </w:tabs>
        <w:suppressAutoHyphens/>
        <w:rPr>
          <w:spacing w:val="-3"/>
        </w:rPr>
      </w:pPr>
    </w:p>
    <w:p w14:paraId="751C9569" w14:textId="567F6946" w:rsidR="00482A5F" w:rsidRPr="00BD1319" w:rsidRDefault="00482A5F">
      <w:pPr>
        <w:numPr>
          <w:ilvl w:val="12"/>
          <w:numId w:val="0"/>
        </w:numPr>
        <w:tabs>
          <w:tab w:val="left" w:pos="-2268"/>
        </w:tabs>
        <w:suppressAutoHyphens/>
        <w:rPr>
          <w:spacing w:val="-3"/>
        </w:rPr>
      </w:pPr>
      <w:r w:rsidRPr="00BD1319">
        <w:rPr>
          <w:spacing w:val="-3"/>
        </w:rPr>
        <w:t xml:space="preserve">Determinar a nivel de especie o al </w:t>
      </w:r>
      <w:r w:rsidR="005B624E" w:rsidRPr="00BD1319">
        <w:rPr>
          <w:spacing w:val="-3"/>
        </w:rPr>
        <w:t xml:space="preserve">mayor </w:t>
      </w:r>
      <w:r w:rsidR="00B66B64" w:rsidRPr="00BD1319">
        <w:rPr>
          <w:spacing w:val="-3"/>
        </w:rPr>
        <w:t xml:space="preserve">grado de </w:t>
      </w:r>
      <w:r w:rsidR="005B624E" w:rsidRPr="00BD1319">
        <w:rPr>
          <w:spacing w:val="-3"/>
        </w:rPr>
        <w:t>de</w:t>
      </w:r>
      <w:r w:rsidR="00B66B64" w:rsidRPr="00BD1319">
        <w:rPr>
          <w:spacing w:val="-3"/>
        </w:rPr>
        <w:t xml:space="preserve">talle </w:t>
      </w:r>
      <w:r w:rsidR="005B624E" w:rsidRPr="00BD1319">
        <w:rPr>
          <w:spacing w:val="-3"/>
        </w:rPr>
        <w:t>taxonómic</w:t>
      </w:r>
      <w:r w:rsidR="00B66B64" w:rsidRPr="00BD1319">
        <w:rPr>
          <w:spacing w:val="-3"/>
        </w:rPr>
        <w:t>o</w:t>
      </w:r>
      <w:r w:rsidRPr="00BD1319">
        <w:rPr>
          <w:spacing w:val="-3"/>
        </w:rPr>
        <w:t xml:space="preserve"> posible cada uno de los especímenes registrados. La nomenclatura taxonómica debe seguir la versión más actualizada de las siguientes autoridades: para anfibios </w:t>
      </w:r>
      <w:proofErr w:type="spellStart"/>
      <w:r w:rsidRPr="00BD1319">
        <w:rPr>
          <w:spacing w:val="-3"/>
        </w:rPr>
        <w:t>Amphibian</w:t>
      </w:r>
      <w:proofErr w:type="spellEnd"/>
      <w:r w:rsidRPr="00BD1319">
        <w:rPr>
          <w:spacing w:val="-3"/>
        </w:rPr>
        <w:t xml:space="preserve"> </w:t>
      </w:r>
      <w:proofErr w:type="spellStart"/>
      <w:r w:rsidRPr="00BD1319">
        <w:rPr>
          <w:spacing w:val="-3"/>
        </w:rPr>
        <w:t>Species</w:t>
      </w:r>
      <w:proofErr w:type="spellEnd"/>
      <w:r w:rsidRPr="00BD1319">
        <w:rPr>
          <w:spacing w:val="-3"/>
        </w:rPr>
        <w:t xml:space="preserve"> </w:t>
      </w:r>
      <w:proofErr w:type="spellStart"/>
      <w:r w:rsidRPr="00BD1319">
        <w:rPr>
          <w:spacing w:val="-3"/>
        </w:rPr>
        <w:t>of</w:t>
      </w:r>
      <w:proofErr w:type="spellEnd"/>
      <w:r w:rsidRPr="00BD1319">
        <w:rPr>
          <w:spacing w:val="-3"/>
        </w:rPr>
        <w:t xml:space="preserve"> </w:t>
      </w:r>
      <w:proofErr w:type="spellStart"/>
      <w:r w:rsidRPr="00BD1319">
        <w:rPr>
          <w:spacing w:val="-3"/>
        </w:rPr>
        <w:t>the</w:t>
      </w:r>
      <w:proofErr w:type="spellEnd"/>
      <w:r w:rsidRPr="00BD1319">
        <w:rPr>
          <w:spacing w:val="-3"/>
        </w:rPr>
        <w:t xml:space="preserve"> </w:t>
      </w:r>
      <w:proofErr w:type="spellStart"/>
      <w:r w:rsidRPr="00BD1319">
        <w:rPr>
          <w:spacing w:val="-3"/>
        </w:rPr>
        <w:t>World</w:t>
      </w:r>
      <w:proofErr w:type="spellEnd"/>
      <w:r w:rsidRPr="00BD1319">
        <w:rPr>
          <w:rStyle w:val="Refdenotaalpie"/>
          <w:rFonts w:cs="Arial"/>
          <w:spacing w:val="-3"/>
          <w:lang w:val="es-CO"/>
        </w:rPr>
        <w:footnoteReference w:id="131"/>
      </w:r>
      <w:r w:rsidR="005B624E" w:rsidRPr="00BD1319">
        <w:rPr>
          <w:spacing w:val="-3"/>
        </w:rPr>
        <w:t xml:space="preserve"> y la lista de anfibios de Colombia</w:t>
      </w:r>
      <w:r w:rsidR="005B624E" w:rsidRPr="00BD1319">
        <w:rPr>
          <w:rStyle w:val="Refdenotaalpie"/>
          <w:spacing w:val="-3"/>
          <w:lang w:val="es-CO"/>
        </w:rPr>
        <w:footnoteReference w:id="132"/>
      </w:r>
      <w:r w:rsidR="00B66B64" w:rsidRPr="00BD1319">
        <w:rPr>
          <w:spacing w:val="-3"/>
        </w:rPr>
        <w:t>;</w:t>
      </w:r>
      <w:r w:rsidRPr="00BD1319">
        <w:rPr>
          <w:spacing w:val="-3"/>
        </w:rPr>
        <w:t xml:space="preserve"> para reptiles </w:t>
      </w:r>
      <w:proofErr w:type="spellStart"/>
      <w:r w:rsidRPr="00BD1319">
        <w:rPr>
          <w:spacing w:val="-3"/>
        </w:rPr>
        <w:t>The</w:t>
      </w:r>
      <w:proofErr w:type="spellEnd"/>
      <w:r w:rsidRPr="00BD1319">
        <w:rPr>
          <w:spacing w:val="-3"/>
        </w:rPr>
        <w:t xml:space="preserve"> </w:t>
      </w:r>
      <w:proofErr w:type="spellStart"/>
      <w:r w:rsidRPr="00BD1319">
        <w:rPr>
          <w:spacing w:val="-3"/>
        </w:rPr>
        <w:t>reptile</w:t>
      </w:r>
      <w:proofErr w:type="spellEnd"/>
      <w:r w:rsidRPr="00BD1319">
        <w:rPr>
          <w:spacing w:val="-3"/>
        </w:rPr>
        <w:t xml:space="preserve"> </w:t>
      </w:r>
      <w:proofErr w:type="spellStart"/>
      <w:r w:rsidRPr="00BD1319">
        <w:rPr>
          <w:spacing w:val="-3"/>
        </w:rPr>
        <w:t>database</w:t>
      </w:r>
      <w:proofErr w:type="spellEnd"/>
      <w:r w:rsidRPr="00BD1319">
        <w:rPr>
          <w:rStyle w:val="Refdenotaalpie"/>
          <w:rFonts w:cs="Arial"/>
          <w:spacing w:val="-3"/>
          <w:lang w:val="es-CO"/>
        </w:rPr>
        <w:footnoteReference w:id="133"/>
      </w:r>
      <w:r w:rsidR="00B66B64" w:rsidRPr="00BD1319">
        <w:rPr>
          <w:spacing w:val="-3"/>
        </w:rPr>
        <w:t>;</w:t>
      </w:r>
      <w:r w:rsidRPr="00BD1319">
        <w:rPr>
          <w:spacing w:val="-3"/>
        </w:rPr>
        <w:t xml:space="preserve"> para aves American </w:t>
      </w:r>
      <w:proofErr w:type="spellStart"/>
      <w:r w:rsidRPr="00BD1319">
        <w:rPr>
          <w:spacing w:val="-3"/>
        </w:rPr>
        <w:t>Ornithologists</w:t>
      </w:r>
      <w:proofErr w:type="spellEnd"/>
      <w:r w:rsidRPr="00BD1319">
        <w:rPr>
          <w:spacing w:val="-3"/>
        </w:rPr>
        <w:t xml:space="preserve">’ </w:t>
      </w:r>
      <w:proofErr w:type="spellStart"/>
      <w:r w:rsidRPr="00BD1319">
        <w:rPr>
          <w:spacing w:val="-3"/>
        </w:rPr>
        <w:t>Union</w:t>
      </w:r>
      <w:proofErr w:type="spellEnd"/>
      <w:r w:rsidRPr="00BD1319">
        <w:rPr>
          <w:rStyle w:val="Refdenotaalpie"/>
          <w:rFonts w:cs="Arial"/>
          <w:spacing w:val="-3"/>
          <w:lang w:val="es-CO"/>
        </w:rPr>
        <w:footnoteReference w:id="134"/>
      </w:r>
      <w:r w:rsidRPr="00BD1319">
        <w:rPr>
          <w:spacing w:val="-3"/>
        </w:rPr>
        <w:t xml:space="preserve"> y</w:t>
      </w:r>
      <w:r w:rsidR="00B66B64" w:rsidRPr="00BD1319">
        <w:rPr>
          <w:spacing w:val="-3"/>
        </w:rPr>
        <w:t>;</w:t>
      </w:r>
      <w:r w:rsidRPr="00BD1319">
        <w:rPr>
          <w:spacing w:val="-3"/>
        </w:rPr>
        <w:t xml:space="preserve"> para mamíferos </w:t>
      </w:r>
      <w:proofErr w:type="spellStart"/>
      <w:r w:rsidRPr="00BD1319">
        <w:rPr>
          <w:spacing w:val="-3"/>
        </w:rPr>
        <w:t>Mammal</w:t>
      </w:r>
      <w:proofErr w:type="spellEnd"/>
      <w:r w:rsidRPr="00BD1319">
        <w:rPr>
          <w:spacing w:val="-3"/>
        </w:rPr>
        <w:t xml:space="preserve"> </w:t>
      </w:r>
      <w:proofErr w:type="spellStart"/>
      <w:r w:rsidRPr="00BD1319">
        <w:rPr>
          <w:spacing w:val="-3"/>
        </w:rPr>
        <w:t>species</w:t>
      </w:r>
      <w:proofErr w:type="spellEnd"/>
      <w:r w:rsidRPr="00BD1319">
        <w:rPr>
          <w:spacing w:val="-3"/>
        </w:rPr>
        <w:t xml:space="preserve"> </w:t>
      </w:r>
      <w:proofErr w:type="spellStart"/>
      <w:r w:rsidRPr="00BD1319">
        <w:rPr>
          <w:spacing w:val="-3"/>
        </w:rPr>
        <w:t>of</w:t>
      </w:r>
      <w:proofErr w:type="spellEnd"/>
      <w:r w:rsidRPr="00BD1319">
        <w:rPr>
          <w:spacing w:val="-3"/>
        </w:rPr>
        <w:t xml:space="preserve"> </w:t>
      </w:r>
      <w:proofErr w:type="spellStart"/>
      <w:r w:rsidRPr="00BD1319">
        <w:rPr>
          <w:spacing w:val="-3"/>
        </w:rPr>
        <w:t>the</w:t>
      </w:r>
      <w:proofErr w:type="spellEnd"/>
      <w:r w:rsidRPr="00BD1319">
        <w:rPr>
          <w:spacing w:val="-3"/>
        </w:rPr>
        <w:t xml:space="preserve"> </w:t>
      </w:r>
      <w:proofErr w:type="spellStart"/>
      <w:r w:rsidRPr="00BD1319">
        <w:rPr>
          <w:spacing w:val="-3"/>
        </w:rPr>
        <w:t>world</w:t>
      </w:r>
      <w:proofErr w:type="spellEnd"/>
      <w:r w:rsidRPr="00BD1319">
        <w:rPr>
          <w:rStyle w:val="Refdenotaalpie"/>
          <w:rFonts w:cs="Arial"/>
          <w:spacing w:val="-3"/>
          <w:lang w:val="es-CO"/>
        </w:rPr>
        <w:footnoteReference w:id="135"/>
      </w:r>
      <w:r w:rsidRPr="00BD1319">
        <w:rPr>
          <w:spacing w:val="-3"/>
        </w:rPr>
        <w:t>.</w:t>
      </w:r>
      <w:r w:rsidRPr="00BD1319">
        <w:rPr>
          <w:rFonts w:cs="Arial"/>
          <w:spacing w:val="-3"/>
        </w:rPr>
        <w:t xml:space="preserve"> Sin embargo, se debe</w:t>
      </w:r>
      <w:r w:rsidR="00B66B64" w:rsidRPr="00BD1319">
        <w:rPr>
          <w:rFonts w:cs="Arial"/>
          <w:spacing w:val="-3"/>
        </w:rPr>
        <w:t>n</w:t>
      </w:r>
      <w:r w:rsidRPr="00BD1319">
        <w:rPr>
          <w:rFonts w:cs="Arial"/>
          <w:spacing w:val="-3"/>
        </w:rPr>
        <w:t xml:space="preserve"> tener en cuenta las publicaciones nacionales más actualizadas</w:t>
      </w:r>
      <w:r w:rsidR="005B624E" w:rsidRPr="00BD1319">
        <w:rPr>
          <w:rFonts w:cs="Arial"/>
          <w:spacing w:val="-3"/>
        </w:rPr>
        <w:t xml:space="preserve">, como las disponibles a través del </w:t>
      </w:r>
      <w:proofErr w:type="spellStart"/>
      <w:r w:rsidR="005B624E" w:rsidRPr="00BD1319">
        <w:rPr>
          <w:rFonts w:cs="Arial"/>
          <w:spacing w:val="-3"/>
        </w:rPr>
        <w:t>SiB</w:t>
      </w:r>
      <w:proofErr w:type="spellEnd"/>
      <w:r w:rsidR="005B624E" w:rsidRPr="00BD1319">
        <w:rPr>
          <w:rFonts w:cs="Arial"/>
          <w:spacing w:val="-3"/>
        </w:rPr>
        <w:t xml:space="preserve"> Colombia para aves y mamíferos</w:t>
      </w:r>
      <w:r w:rsidR="005B624E" w:rsidRPr="00BD1319">
        <w:rPr>
          <w:rStyle w:val="Refdenotaalpie"/>
          <w:rFonts w:cs="Arial"/>
          <w:spacing w:val="-3"/>
          <w:lang w:val="es-CO"/>
        </w:rPr>
        <w:footnoteReference w:id="136"/>
      </w:r>
      <w:r w:rsidRPr="00BD1319">
        <w:rPr>
          <w:rFonts w:cs="Arial"/>
          <w:spacing w:val="-3"/>
        </w:rPr>
        <w:t>.</w:t>
      </w:r>
    </w:p>
    <w:p w14:paraId="649CCE82" w14:textId="77777777" w:rsidR="00482A5F" w:rsidRPr="00BD1319" w:rsidRDefault="00482A5F">
      <w:pPr>
        <w:numPr>
          <w:ilvl w:val="12"/>
          <w:numId w:val="0"/>
        </w:numPr>
        <w:tabs>
          <w:tab w:val="left" w:pos="-2268"/>
        </w:tabs>
        <w:suppressAutoHyphens/>
        <w:rPr>
          <w:spacing w:val="-3"/>
        </w:rPr>
      </w:pPr>
    </w:p>
    <w:p w14:paraId="6EAB4AAF" w14:textId="70F6766C" w:rsidR="00482A5F" w:rsidRPr="00BD1319" w:rsidRDefault="00482A5F">
      <w:pPr>
        <w:numPr>
          <w:ilvl w:val="12"/>
          <w:numId w:val="0"/>
        </w:numPr>
        <w:tabs>
          <w:tab w:val="left" w:pos="-2268"/>
        </w:tabs>
        <w:suppressAutoHyphens/>
        <w:rPr>
          <w:spacing w:val="-3"/>
        </w:rPr>
      </w:pPr>
      <w:r w:rsidRPr="00BD1319">
        <w:rPr>
          <w:spacing w:val="-3"/>
        </w:rPr>
        <w:t xml:space="preserve">Con la información colectada se deben elaborar matrices basadas en los listados de especies. </w:t>
      </w:r>
      <w:r w:rsidRPr="00BD1319">
        <w:rPr>
          <w:rFonts w:cs="Arial"/>
          <w:spacing w:val="-3"/>
        </w:rPr>
        <w:t>Para</w:t>
      </w:r>
      <w:r w:rsidRPr="00BD1319">
        <w:rPr>
          <w:spacing w:val="-3"/>
        </w:rPr>
        <w:t xml:space="preserve"> cada una de las especies</w:t>
      </w:r>
      <w:r w:rsidR="00597E39" w:rsidRPr="00BD1319">
        <w:rPr>
          <w:spacing w:val="-3"/>
        </w:rPr>
        <w:t>,</w:t>
      </w:r>
      <w:r w:rsidRPr="00BD1319">
        <w:rPr>
          <w:spacing w:val="-3"/>
        </w:rPr>
        <w:t xml:space="preserve"> </w:t>
      </w:r>
      <w:r w:rsidRPr="00BD1319">
        <w:rPr>
          <w:rFonts w:cs="Arial"/>
          <w:spacing w:val="-3"/>
        </w:rPr>
        <w:t xml:space="preserve">registrar información básica </w:t>
      </w:r>
      <w:r w:rsidRPr="00BD1319">
        <w:rPr>
          <w:spacing w:val="-3"/>
        </w:rPr>
        <w:t xml:space="preserve">como el tipo de registro (observación, auditivo, captura, indicio, entrevista) y los parámetros </w:t>
      </w:r>
      <w:r w:rsidRPr="00BD1319">
        <w:t>ecológicos</w:t>
      </w:r>
      <w:r w:rsidRPr="00BD1319">
        <w:rPr>
          <w:spacing w:val="-3"/>
        </w:rPr>
        <w:t xml:space="preserve"> asociados (distribución altitudinal, dieta, hábitat, abundancia relativa, endemismo, rareza, vulnerabilidad, migración y uso).</w:t>
      </w:r>
    </w:p>
    <w:p w14:paraId="3C5D0646" w14:textId="77777777" w:rsidR="00482A5F" w:rsidRPr="00BD1319" w:rsidRDefault="00482A5F">
      <w:pPr>
        <w:numPr>
          <w:ilvl w:val="12"/>
          <w:numId w:val="0"/>
        </w:numPr>
        <w:tabs>
          <w:tab w:val="left" w:pos="-2268"/>
        </w:tabs>
        <w:suppressAutoHyphens/>
        <w:rPr>
          <w:spacing w:val="-3"/>
        </w:rPr>
      </w:pPr>
    </w:p>
    <w:p w14:paraId="4C672063" w14:textId="43B22122" w:rsidR="00FD2BD0" w:rsidRPr="00BD1319" w:rsidRDefault="00F11BAF">
      <w:pPr>
        <w:numPr>
          <w:ilvl w:val="12"/>
          <w:numId w:val="0"/>
        </w:numPr>
        <w:tabs>
          <w:tab w:val="left" w:pos="-2268"/>
        </w:tabs>
        <w:suppressAutoHyphens/>
        <w:rPr>
          <w:spacing w:val="-3"/>
        </w:rPr>
      </w:pPr>
      <w:r w:rsidRPr="00BD1319">
        <w:rPr>
          <w:spacing w:val="-3"/>
        </w:rPr>
        <w:t>Se debe estimar</w:t>
      </w:r>
      <w:r w:rsidR="00482A5F" w:rsidRPr="00BD1319">
        <w:rPr>
          <w:spacing w:val="-3"/>
        </w:rPr>
        <w:t xml:space="preserve"> la riqueza específica como una función de la acumulación de especies, relacionando los valores observados de la riqueza con los valores esperados a partir de estimadores paramétricos o no paramétricos</w:t>
      </w:r>
      <w:r w:rsidR="00482A5F" w:rsidRPr="00BD1319">
        <w:rPr>
          <w:rFonts w:cs="Arial"/>
          <w:spacing w:val="-3"/>
        </w:rPr>
        <w:t xml:space="preserve"> (según los datos </w:t>
      </w:r>
      <w:r w:rsidR="00482A5F" w:rsidRPr="00BD1319">
        <w:rPr>
          <w:rFonts w:cs="Arial"/>
          <w:spacing w:val="-3"/>
        </w:rPr>
        <w:lastRenderedPageBreak/>
        <w:t>obtenidos),</w:t>
      </w:r>
      <w:r w:rsidR="00482A5F" w:rsidRPr="00BD1319">
        <w:rPr>
          <w:spacing w:val="-3"/>
        </w:rPr>
        <w:t xml:space="preserve"> con el objeto de determinar la representatividad del muestreo y dimensionar el alcance de los resultados y conclusiones del estudio</w:t>
      </w:r>
      <w:r w:rsidR="00BE1941" w:rsidRPr="00BD1319">
        <w:rPr>
          <w:spacing w:val="-3"/>
        </w:rPr>
        <w:t xml:space="preserve"> según el grupo biológico y las coberturas evaluadas</w:t>
      </w:r>
      <w:r w:rsidR="00482A5F" w:rsidRPr="00BD1319">
        <w:rPr>
          <w:spacing w:val="-3"/>
        </w:rPr>
        <w:t xml:space="preserve">. Para estimar los valores esperados de riqueza se puede utilizar el programa </w:t>
      </w:r>
      <w:proofErr w:type="spellStart"/>
      <w:r w:rsidR="00482A5F" w:rsidRPr="00BD1319">
        <w:rPr>
          <w:spacing w:val="-3"/>
        </w:rPr>
        <w:t>EstimateS</w:t>
      </w:r>
      <w:proofErr w:type="spellEnd"/>
      <w:r w:rsidR="00482A5F" w:rsidRPr="00BD1319">
        <w:rPr>
          <w:spacing w:val="-3"/>
        </w:rPr>
        <w:t xml:space="preserve"> 9.1.0</w:t>
      </w:r>
      <w:r w:rsidR="00482A5F" w:rsidRPr="00BD1319">
        <w:rPr>
          <w:rStyle w:val="Refdenotaalpie"/>
          <w:rFonts w:cs="Arial"/>
          <w:spacing w:val="-3"/>
          <w:lang w:val="es-CO"/>
        </w:rPr>
        <w:footnoteReference w:id="137"/>
      </w:r>
      <w:r w:rsidR="00482A5F" w:rsidRPr="00BD1319">
        <w:rPr>
          <w:spacing w:val="-3"/>
        </w:rPr>
        <w:t xml:space="preserve">, así como tener en cuenta el Capítulo 7, Anexo 7.2 del Manual de </w:t>
      </w:r>
      <w:r w:rsidR="00597E39" w:rsidRPr="00BD1319">
        <w:rPr>
          <w:spacing w:val="-3"/>
        </w:rPr>
        <w:t>m</w:t>
      </w:r>
      <w:r w:rsidR="00482A5F" w:rsidRPr="00BD1319">
        <w:rPr>
          <w:spacing w:val="-3"/>
        </w:rPr>
        <w:t xml:space="preserve">étodos para el </w:t>
      </w:r>
      <w:r w:rsidR="00597E39" w:rsidRPr="00BD1319">
        <w:rPr>
          <w:spacing w:val="-3"/>
        </w:rPr>
        <w:t>d</w:t>
      </w:r>
      <w:r w:rsidR="00482A5F" w:rsidRPr="00BD1319">
        <w:rPr>
          <w:spacing w:val="-3"/>
        </w:rPr>
        <w:t xml:space="preserve">esarrollo de </w:t>
      </w:r>
      <w:r w:rsidR="00597E39" w:rsidRPr="00BD1319">
        <w:rPr>
          <w:spacing w:val="-3"/>
        </w:rPr>
        <w:t>i</w:t>
      </w:r>
      <w:r w:rsidR="00482A5F" w:rsidRPr="00BD1319">
        <w:rPr>
          <w:spacing w:val="-3"/>
        </w:rPr>
        <w:t xml:space="preserve">nventarios de </w:t>
      </w:r>
      <w:r w:rsidR="00597E39" w:rsidRPr="00BD1319">
        <w:rPr>
          <w:spacing w:val="-3"/>
        </w:rPr>
        <w:t>b</w:t>
      </w:r>
      <w:r w:rsidR="00482A5F" w:rsidRPr="00BD1319">
        <w:rPr>
          <w:spacing w:val="-3"/>
        </w:rPr>
        <w:t>iodiversidad (Villa</w:t>
      </w:r>
      <w:r w:rsidR="00C34E67" w:rsidRPr="00BD1319">
        <w:rPr>
          <w:spacing w:val="-3"/>
        </w:rPr>
        <w:t>r</w:t>
      </w:r>
      <w:r w:rsidR="00482A5F" w:rsidRPr="00BD1319">
        <w:rPr>
          <w:spacing w:val="-3"/>
        </w:rPr>
        <w:t>real et al. 200</w:t>
      </w:r>
      <w:r w:rsidR="00C34E67" w:rsidRPr="00BD1319">
        <w:rPr>
          <w:spacing w:val="-3"/>
        </w:rPr>
        <w:t>4</w:t>
      </w:r>
      <w:r w:rsidR="00482A5F" w:rsidRPr="00BD1319">
        <w:rPr>
          <w:spacing w:val="-3"/>
        </w:rPr>
        <w:t xml:space="preserve">), </w:t>
      </w:r>
      <w:r w:rsidR="00597E39" w:rsidRPr="00BD1319">
        <w:rPr>
          <w:spacing w:val="-3"/>
        </w:rPr>
        <w:t xml:space="preserve">en </w:t>
      </w:r>
      <w:r w:rsidR="00482A5F" w:rsidRPr="00BD1319">
        <w:rPr>
          <w:spacing w:val="-3"/>
        </w:rPr>
        <w:t>lo concerniente al procesamiento de datos</w:t>
      </w:r>
      <w:r w:rsidR="00FD2BD0" w:rsidRPr="00BD1319">
        <w:rPr>
          <w:spacing w:val="-3"/>
        </w:rPr>
        <w:t>.</w:t>
      </w:r>
    </w:p>
    <w:p w14:paraId="73F9907F" w14:textId="77777777" w:rsidR="00482A5F" w:rsidRPr="00BD1319" w:rsidRDefault="00482A5F">
      <w:pPr>
        <w:numPr>
          <w:ilvl w:val="12"/>
          <w:numId w:val="0"/>
        </w:numPr>
        <w:tabs>
          <w:tab w:val="left" w:pos="-2268"/>
        </w:tabs>
        <w:suppressAutoHyphens/>
        <w:rPr>
          <w:spacing w:val="-3"/>
        </w:rPr>
      </w:pPr>
    </w:p>
    <w:p w14:paraId="129A8D96" w14:textId="272E4E27" w:rsidR="007E4706" w:rsidRPr="00BD1319" w:rsidRDefault="007E4706" w:rsidP="003C4C53">
      <w:pPr>
        <w:numPr>
          <w:ilvl w:val="12"/>
          <w:numId w:val="0"/>
        </w:numPr>
        <w:tabs>
          <w:tab w:val="left" w:pos="-2268"/>
        </w:tabs>
        <w:suppressAutoHyphens/>
        <w:rPr>
          <w:spacing w:val="-3"/>
        </w:rPr>
      </w:pPr>
      <w:r w:rsidRPr="00BD1319">
        <w:rPr>
          <w:spacing w:val="-3"/>
        </w:rPr>
        <w:t xml:space="preserve">La representatividad del muestreo se debe garantizar a partir de la estabilización de la curva de acumulación de especies por cada grupo de manera independiente (mamíferos, aves, anfibios, reptiles) por cada cobertura vegetal. </w:t>
      </w:r>
      <w:r w:rsidR="003C4C53" w:rsidRPr="00BD1319">
        <w:rPr>
          <w:spacing w:val="-3"/>
        </w:rPr>
        <w:t>Si se evidencia que la presencia de especies no varía significativamente de una cobertura transformada a otra y se opte por realizar el análisis para una agrupación de este tipo de coberturas, es necesario argumentar técnicamente esta decisión soportándola en las características biológicas del grupo taxonómico analizado y en otras condiciones ambientales del área de influencia que se consideren relevantes</w:t>
      </w:r>
      <w:r w:rsidRPr="00BD1319">
        <w:rPr>
          <w:spacing w:val="-3"/>
        </w:rPr>
        <w:t xml:space="preserve">. En cualquier caso, se debe </w:t>
      </w:r>
      <w:r w:rsidR="003351BE" w:rsidRPr="00BD1319">
        <w:rPr>
          <w:spacing w:val="-3"/>
        </w:rPr>
        <w:t xml:space="preserve">describir </w:t>
      </w:r>
      <w:r w:rsidRPr="00BD1319">
        <w:rPr>
          <w:spacing w:val="-3"/>
        </w:rPr>
        <w:t>detallada</w:t>
      </w:r>
      <w:r w:rsidR="003351BE" w:rsidRPr="00BD1319">
        <w:rPr>
          <w:spacing w:val="-3"/>
        </w:rPr>
        <w:t xml:space="preserve">mente </w:t>
      </w:r>
      <w:r w:rsidRPr="00BD1319">
        <w:rPr>
          <w:spacing w:val="-3"/>
        </w:rPr>
        <w:t xml:space="preserve">la metodología implementada, </w:t>
      </w:r>
      <w:r w:rsidR="003351BE" w:rsidRPr="00BD1319">
        <w:rPr>
          <w:spacing w:val="-3"/>
        </w:rPr>
        <w:t xml:space="preserve">enfatizando </w:t>
      </w:r>
      <w:r w:rsidRPr="00BD1319">
        <w:rPr>
          <w:spacing w:val="-3"/>
        </w:rPr>
        <w:t xml:space="preserve">en </w:t>
      </w:r>
      <w:r w:rsidR="003351BE" w:rsidRPr="00BD1319">
        <w:rPr>
          <w:spacing w:val="-3"/>
        </w:rPr>
        <w:t xml:space="preserve">la explicación </w:t>
      </w:r>
      <w:r w:rsidRPr="00BD1319">
        <w:rPr>
          <w:spacing w:val="-3"/>
        </w:rPr>
        <w:t>del esfuerzo de muestreo representativo para los grupos de fauna en cada tipo de cobertura.</w:t>
      </w:r>
    </w:p>
    <w:p w14:paraId="273F0DDA" w14:textId="77777777" w:rsidR="007E4706" w:rsidRPr="00BD1319" w:rsidRDefault="007E4706">
      <w:pPr>
        <w:numPr>
          <w:ilvl w:val="12"/>
          <w:numId w:val="0"/>
        </w:numPr>
        <w:tabs>
          <w:tab w:val="left" w:pos="-2268"/>
        </w:tabs>
        <w:suppressAutoHyphens/>
        <w:rPr>
          <w:spacing w:val="-3"/>
        </w:rPr>
      </w:pPr>
    </w:p>
    <w:p w14:paraId="072027B9" w14:textId="42E8E95B" w:rsidR="008F2D9A" w:rsidRPr="00BD1319" w:rsidRDefault="00347BDF" w:rsidP="00347BDF">
      <w:pPr>
        <w:numPr>
          <w:ilvl w:val="12"/>
          <w:numId w:val="0"/>
        </w:numPr>
        <w:tabs>
          <w:tab w:val="left" w:pos="-2268"/>
        </w:tabs>
        <w:suppressAutoHyphens/>
        <w:rPr>
          <w:spacing w:val="-3"/>
        </w:rPr>
      </w:pPr>
      <w:r w:rsidRPr="00BD1319">
        <w:rPr>
          <w:spacing w:val="-3"/>
        </w:rPr>
        <w:t>S</w:t>
      </w:r>
      <w:r w:rsidR="008F2D9A" w:rsidRPr="00BD1319">
        <w:rPr>
          <w:spacing w:val="-3"/>
        </w:rPr>
        <w:t xml:space="preserve">e deben emplear </w:t>
      </w:r>
      <w:r w:rsidRPr="00BD1319">
        <w:rPr>
          <w:spacing w:val="-3"/>
        </w:rPr>
        <w:t xml:space="preserve">estimadores que mejor se ajusten al método </w:t>
      </w:r>
      <w:r w:rsidR="008F2D9A" w:rsidRPr="00BD1319">
        <w:rPr>
          <w:spacing w:val="-3"/>
        </w:rPr>
        <w:t>de muestreo</w:t>
      </w:r>
      <w:r w:rsidRPr="00BD1319">
        <w:rPr>
          <w:spacing w:val="-3"/>
        </w:rPr>
        <w:t xml:space="preserve"> desarrollado y</w:t>
      </w:r>
      <w:r w:rsidR="008F2D9A" w:rsidRPr="00BD1319">
        <w:rPr>
          <w:spacing w:val="-3"/>
        </w:rPr>
        <w:t xml:space="preserve"> </w:t>
      </w:r>
      <w:r w:rsidRPr="00BD1319">
        <w:rPr>
          <w:spacing w:val="-3"/>
        </w:rPr>
        <w:t>a</w:t>
      </w:r>
      <w:r w:rsidR="008F2D9A" w:rsidRPr="00BD1319">
        <w:rPr>
          <w:spacing w:val="-3"/>
        </w:rPr>
        <w:t>l grupo que se est</w:t>
      </w:r>
      <w:r w:rsidRPr="00BD1319">
        <w:rPr>
          <w:spacing w:val="-3"/>
        </w:rPr>
        <w:t>é</w:t>
      </w:r>
      <w:r w:rsidR="008F2D9A" w:rsidRPr="00BD1319">
        <w:rPr>
          <w:spacing w:val="-3"/>
        </w:rPr>
        <w:t xml:space="preserve"> caracterizando (mamíferos, aves, anfibios, reptiles)</w:t>
      </w:r>
      <w:r w:rsidRPr="00BD1319">
        <w:rPr>
          <w:spacing w:val="-3"/>
        </w:rPr>
        <w:t>,</w:t>
      </w:r>
      <w:r w:rsidR="008F2D9A" w:rsidRPr="00BD1319">
        <w:rPr>
          <w:spacing w:val="-3"/>
        </w:rPr>
        <w:t xml:space="preserve"> tomando como referencia el conjunto de datos recopilados </w:t>
      </w:r>
      <w:r w:rsidRPr="00BD1319">
        <w:rPr>
          <w:spacing w:val="-3"/>
        </w:rPr>
        <w:t xml:space="preserve">y </w:t>
      </w:r>
      <w:r w:rsidR="008F2D9A" w:rsidRPr="00BD1319">
        <w:rPr>
          <w:spacing w:val="-3"/>
        </w:rPr>
        <w:t>siguiendo el orden temporal de recolección</w:t>
      </w:r>
      <w:r w:rsidRPr="00BD1319">
        <w:rPr>
          <w:spacing w:val="-3"/>
        </w:rPr>
        <w:t xml:space="preserve">. </w:t>
      </w:r>
      <w:r w:rsidR="008F2D9A" w:rsidRPr="00BD1319">
        <w:rPr>
          <w:spacing w:val="-3"/>
        </w:rPr>
        <w:t>Para tal efecto se debe considerar</w:t>
      </w:r>
      <w:r w:rsidRPr="00BD1319">
        <w:rPr>
          <w:spacing w:val="-3"/>
        </w:rPr>
        <w:t xml:space="preserve"> lo señalado en la </w:t>
      </w:r>
      <w:r w:rsidRPr="00BD1319">
        <w:rPr>
          <w:spacing w:val="-3"/>
        </w:rPr>
        <w:fldChar w:fldCharType="begin"/>
      </w:r>
      <w:r w:rsidRPr="00BD1319">
        <w:rPr>
          <w:spacing w:val="-3"/>
        </w:rPr>
        <w:instrText xml:space="preserve"> REF _Ref152567769 \h </w:instrText>
      </w:r>
      <w:r w:rsidR="00BD1319">
        <w:rPr>
          <w:spacing w:val="-3"/>
        </w:rPr>
        <w:instrText xml:space="preserve"> \* MERGEFORMAT </w:instrText>
      </w:r>
      <w:r w:rsidRPr="00BD1319">
        <w:rPr>
          <w:spacing w:val="-3"/>
        </w:rPr>
      </w:r>
      <w:r w:rsidRPr="00BD1319">
        <w:rPr>
          <w:spacing w:val="-3"/>
        </w:rPr>
        <w:fldChar w:fldCharType="separate"/>
      </w:r>
      <w:r w:rsidR="00296654" w:rsidRPr="00BD1319">
        <w:t xml:space="preserve">Tabla </w:t>
      </w:r>
      <w:r w:rsidR="00296654" w:rsidRPr="00BD1319">
        <w:rPr>
          <w:noProof/>
        </w:rPr>
        <w:t>26</w:t>
      </w:r>
      <w:r w:rsidRPr="00BD1319">
        <w:rPr>
          <w:spacing w:val="-3"/>
        </w:rPr>
        <w:fldChar w:fldCharType="end"/>
      </w:r>
      <w:r w:rsidRPr="00BD1319">
        <w:rPr>
          <w:spacing w:val="-3"/>
        </w:rPr>
        <w:t>.</w:t>
      </w:r>
    </w:p>
    <w:p w14:paraId="506D0FDE" w14:textId="77777777" w:rsidR="00347BDF" w:rsidRPr="00BD1319" w:rsidRDefault="00347BDF" w:rsidP="00347BDF">
      <w:pPr>
        <w:numPr>
          <w:ilvl w:val="12"/>
          <w:numId w:val="0"/>
        </w:numPr>
        <w:tabs>
          <w:tab w:val="left" w:pos="-2268"/>
        </w:tabs>
        <w:suppressAutoHyphens/>
        <w:rPr>
          <w:spacing w:val="-3"/>
        </w:rPr>
      </w:pPr>
    </w:p>
    <w:p w14:paraId="2CAD3837" w14:textId="3EB29E0B" w:rsidR="00347BDF" w:rsidRPr="00BD1319" w:rsidRDefault="00347BDF" w:rsidP="004E5795">
      <w:pPr>
        <w:pStyle w:val="Descripcin"/>
        <w:keepNext/>
        <w:jc w:val="center"/>
      </w:pPr>
      <w:bookmarkStart w:id="2886" w:name="_Ref152567769"/>
      <w:r w:rsidRPr="00BD1319">
        <w:t xml:space="preserve">Tabla </w:t>
      </w:r>
      <w:fldSimple w:instr=" SEQ Tabla \* ARABIC ">
        <w:r w:rsidR="00296654" w:rsidRPr="00BD1319">
          <w:rPr>
            <w:noProof/>
          </w:rPr>
          <w:t>26</w:t>
        </w:r>
      </w:fldSimple>
      <w:bookmarkEnd w:id="2886"/>
      <w:r w:rsidRPr="00BD1319">
        <w:t>.</w:t>
      </w:r>
      <w:r w:rsidRPr="00BD1319">
        <w:rPr>
          <w:b w:val="0"/>
          <w:bCs w:val="0"/>
        </w:rPr>
        <w:t xml:space="preserve"> </w:t>
      </w:r>
      <w:r w:rsidR="004007C2" w:rsidRPr="00BD1319">
        <w:rPr>
          <w:b w:val="0"/>
          <w:bCs w:val="0"/>
        </w:rPr>
        <w:t>Estimadores para el análisis de esfuerzos de muestreo</w:t>
      </w:r>
    </w:p>
    <w:tbl>
      <w:tblPr>
        <w:tblStyle w:val="Tablaconcuadrcula"/>
        <w:tblW w:w="9510" w:type="dxa"/>
        <w:tblLook w:val="06A0" w:firstRow="1" w:lastRow="0" w:firstColumn="1" w:lastColumn="0" w:noHBand="1" w:noVBand="1"/>
      </w:tblPr>
      <w:tblGrid>
        <w:gridCol w:w="1471"/>
        <w:gridCol w:w="5754"/>
        <w:gridCol w:w="2285"/>
      </w:tblGrid>
      <w:tr w:rsidR="00347BDF" w:rsidRPr="00BD1319" w14:paraId="7F0292F4" w14:textId="77777777" w:rsidTr="000D6E21">
        <w:trPr>
          <w:trHeight w:hRule="exact" w:val="567"/>
          <w:tblHeader/>
        </w:trPr>
        <w:tc>
          <w:tcPr>
            <w:tcW w:w="1471" w:type="dxa"/>
            <w:tcBorders>
              <w:top w:val="single" w:sz="4" w:space="0" w:color="auto"/>
              <w:left w:val="single" w:sz="4" w:space="0" w:color="auto"/>
              <w:bottom w:val="single" w:sz="4" w:space="0" w:color="auto"/>
              <w:right w:val="single" w:sz="4" w:space="0" w:color="auto"/>
            </w:tcBorders>
            <w:vAlign w:val="center"/>
          </w:tcPr>
          <w:p w14:paraId="774E7F1F" w14:textId="77777777" w:rsidR="00347BDF" w:rsidRPr="00BD1319" w:rsidRDefault="00347BDF" w:rsidP="002757DF">
            <w:pPr>
              <w:jc w:val="center"/>
              <w:rPr>
                <w:rFonts w:cs="Arial"/>
                <w:sz w:val="20"/>
                <w:szCs w:val="20"/>
              </w:rPr>
            </w:pPr>
            <w:r w:rsidRPr="00BD1319">
              <w:rPr>
                <w:rFonts w:eastAsia="Calibri" w:cs="Arial"/>
                <w:b/>
                <w:bCs/>
                <w:sz w:val="20"/>
                <w:szCs w:val="20"/>
              </w:rPr>
              <w:t>Estimador</w:t>
            </w:r>
          </w:p>
        </w:tc>
        <w:tc>
          <w:tcPr>
            <w:tcW w:w="5754" w:type="dxa"/>
            <w:tcBorders>
              <w:top w:val="single" w:sz="4" w:space="0" w:color="auto"/>
              <w:left w:val="single" w:sz="4" w:space="0" w:color="auto"/>
              <w:bottom w:val="single" w:sz="4" w:space="0" w:color="auto"/>
              <w:right w:val="single" w:sz="4" w:space="0" w:color="auto"/>
            </w:tcBorders>
            <w:vAlign w:val="center"/>
          </w:tcPr>
          <w:p w14:paraId="196FAD1E" w14:textId="77777777" w:rsidR="00347BDF" w:rsidRPr="00BD1319" w:rsidRDefault="00347BDF" w:rsidP="002757DF">
            <w:pPr>
              <w:jc w:val="center"/>
              <w:rPr>
                <w:rFonts w:cs="Arial"/>
                <w:sz w:val="20"/>
                <w:szCs w:val="20"/>
              </w:rPr>
            </w:pPr>
            <w:r w:rsidRPr="00BD1319">
              <w:rPr>
                <w:rFonts w:eastAsia="Calibri" w:cs="Arial"/>
                <w:b/>
                <w:bCs/>
                <w:sz w:val="20"/>
                <w:szCs w:val="20"/>
              </w:rPr>
              <w:t>Descripción</w:t>
            </w:r>
          </w:p>
        </w:tc>
        <w:tc>
          <w:tcPr>
            <w:tcW w:w="2285" w:type="dxa"/>
            <w:tcBorders>
              <w:top w:val="single" w:sz="4" w:space="0" w:color="auto"/>
              <w:left w:val="single" w:sz="4" w:space="0" w:color="auto"/>
              <w:bottom w:val="single" w:sz="4" w:space="0" w:color="auto"/>
              <w:right w:val="single" w:sz="4" w:space="0" w:color="auto"/>
            </w:tcBorders>
            <w:vAlign w:val="center"/>
          </w:tcPr>
          <w:p w14:paraId="6C511E41" w14:textId="77777777" w:rsidR="00347BDF" w:rsidRPr="00BD1319" w:rsidRDefault="00347BDF" w:rsidP="002757DF">
            <w:pPr>
              <w:jc w:val="center"/>
              <w:rPr>
                <w:rFonts w:cs="Arial"/>
                <w:sz w:val="20"/>
                <w:szCs w:val="20"/>
              </w:rPr>
            </w:pPr>
            <w:r w:rsidRPr="00BD1319">
              <w:rPr>
                <w:rFonts w:eastAsia="Calibri" w:cs="Arial"/>
                <w:b/>
                <w:bCs/>
                <w:sz w:val="20"/>
                <w:szCs w:val="20"/>
              </w:rPr>
              <w:t>Grupo Biológico</w:t>
            </w:r>
          </w:p>
        </w:tc>
      </w:tr>
      <w:tr w:rsidR="00347BDF" w:rsidRPr="00BD1319" w14:paraId="7D86E398" w14:textId="77777777" w:rsidTr="000D6E21">
        <w:trPr>
          <w:trHeight w:val="567"/>
        </w:trPr>
        <w:tc>
          <w:tcPr>
            <w:tcW w:w="1471" w:type="dxa"/>
            <w:tcBorders>
              <w:top w:val="single" w:sz="4" w:space="0" w:color="auto"/>
              <w:left w:val="single" w:sz="4" w:space="0" w:color="auto"/>
              <w:bottom w:val="single" w:sz="4" w:space="0" w:color="auto"/>
              <w:right w:val="single" w:sz="4" w:space="0" w:color="auto"/>
            </w:tcBorders>
            <w:vAlign w:val="center"/>
          </w:tcPr>
          <w:p w14:paraId="20CC97D9" w14:textId="77777777" w:rsidR="00347BDF" w:rsidRPr="00BD1319" w:rsidRDefault="00347BDF" w:rsidP="002757DF">
            <w:pPr>
              <w:jc w:val="center"/>
              <w:rPr>
                <w:rFonts w:cs="Arial"/>
                <w:sz w:val="20"/>
                <w:szCs w:val="20"/>
              </w:rPr>
            </w:pPr>
            <w:r w:rsidRPr="00BD1319">
              <w:rPr>
                <w:rFonts w:eastAsia="Calibri" w:cs="Arial"/>
                <w:sz w:val="20"/>
                <w:szCs w:val="20"/>
              </w:rPr>
              <w:t>"</w:t>
            </w:r>
            <w:proofErr w:type="spellStart"/>
            <w:r w:rsidRPr="00BD1319">
              <w:rPr>
                <w:rFonts w:eastAsia="Calibri" w:cs="Arial"/>
                <w:sz w:val="20"/>
                <w:szCs w:val="20"/>
              </w:rPr>
              <w:t>Sobs</w:t>
            </w:r>
            <w:proofErr w:type="spellEnd"/>
            <w:r w:rsidRPr="00BD1319">
              <w:rPr>
                <w:rFonts w:eastAsia="Calibri" w:cs="Arial"/>
                <w:sz w:val="20"/>
                <w:szCs w:val="20"/>
              </w:rPr>
              <w:t>"</w:t>
            </w:r>
          </w:p>
        </w:tc>
        <w:tc>
          <w:tcPr>
            <w:tcW w:w="5754" w:type="dxa"/>
            <w:tcBorders>
              <w:top w:val="single" w:sz="4" w:space="0" w:color="auto"/>
              <w:left w:val="single" w:sz="4" w:space="0" w:color="auto"/>
              <w:bottom w:val="single" w:sz="4" w:space="0" w:color="auto"/>
              <w:right w:val="single" w:sz="4" w:space="0" w:color="auto"/>
            </w:tcBorders>
            <w:vAlign w:val="center"/>
          </w:tcPr>
          <w:p w14:paraId="63EA2763" w14:textId="0066D07B" w:rsidR="00347BDF" w:rsidRPr="00BD1319" w:rsidRDefault="00347BDF" w:rsidP="002757DF">
            <w:pPr>
              <w:rPr>
                <w:rFonts w:cs="Arial"/>
                <w:sz w:val="20"/>
                <w:szCs w:val="20"/>
              </w:rPr>
            </w:pPr>
            <w:r w:rsidRPr="00BD1319">
              <w:rPr>
                <w:rFonts w:eastAsia="Calibri" w:cs="Arial"/>
                <w:sz w:val="20"/>
                <w:szCs w:val="20"/>
              </w:rPr>
              <w:t>Los registros base para comparar</w:t>
            </w:r>
            <w:r w:rsidR="00765105" w:rsidRPr="00BD1319">
              <w:rPr>
                <w:rFonts w:eastAsia="Calibri" w:cs="Arial"/>
                <w:sz w:val="20"/>
                <w:szCs w:val="20"/>
              </w:rPr>
              <w:t>.</w:t>
            </w:r>
          </w:p>
        </w:tc>
        <w:tc>
          <w:tcPr>
            <w:tcW w:w="2285" w:type="dxa"/>
            <w:tcBorders>
              <w:top w:val="single" w:sz="4" w:space="0" w:color="auto"/>
              <w:left w:val="single" w:sz="4" w:space="0" w:color="auto"/>
              <w:bottom w:val="single" w:sz="4" w:space="0" w:color="auto"/>
              <w:right w:val="single" w:sz="4" w:space="0" w:color="auto"/>
            </w:tcBorders>
            <w:vAlign w:val="center"/>
          </w:tcPr>
          <w:p w14:paraId="28F5ECB7" w14:textId="1599B5D7" w:rsidR="00347BDF" w:rsidRPr="00BD1319" w:rsidRDefault="00347BDF" w:rsidP="002757DF">
            <w:pPr>
              <w:rPr>
                <w:rFonts w:cs="Arial"/>
                <w:sz w:val="20"/>
                <w:szCs w:val="20"/>
              </w:rPr>
            </w:pPr>
          </w:p>
        </w:tc>
      </w:tr>
      <w:tr w:rsidR="00347BDF" w:rsidRPr="00BD1319" w14:paraId="7323445A" w14:textId="77777777" w:rsidTr="000D6E21">
        <w:trPr>
          <w:trHeight w:val="1701"/>
        </w:trPr>
        <w:tc>
          <w:tcPr>
            <w:tcW w:w="1471" w:type="dxa"/>
            <w:tcBorders>
              <w:top w:val="single" w:sz="4" w:space="0" w:color="auto"/>
              <w:left w:val="single" w:sz="4" w:space="0" w:color="auto"/>
              <w:bottom w:val="single" w:sz="4" w:space="0" w:color="auto"/>
              <w:right w:val="single" w:sz="4" w:space="0" w:color="auto"/>
            </w:tcBorders>
            <w:vAlign w:val="center"/>
          </w:tcPr>
          <w:p w14:paraId="3AD64A7C" w14:textId="77777777" w:rsidR="00347BDF" w:rsidRPr="00BD1319" w:rsidRDefault="00347BDF" w:rsidP="002757DF">
            <w:pPr>
              <w:jc w:val="center"/>
              <w:rPr>
                <w:rFonts w:cs="Arial"/>
                <w:sz w:val="20"/>
                <w:szCs w:val="20"/>
              </w:rPr>
            </w:pPr>
            <w:r w:rsidRPr="00BD1319">
              <w:rPr>
                <w:rFonts w:eastAsia="Calibri" w:cs="Arial"/>
                <w:sz w:val="20"/>
                <w:szCs w:val="20"/>
              </w:rPr>
              <w:t>Chao 1</w:t>
            </w:r>
          </w:p>
        </w:tc>
        <w:tc>
          <w:tcPr>
            <w:tcW w:w="5754" w:type="dxa"/>
            <w:tcBorders>
              <w:top w:val="single" w:sz="4" w:space="0" w:color="auto"/>
              <w:left w:val="single" w:sz="4" w:space="0" w:color="auto"/>
              <w:bottom w:val="single" w:sz="4" w:space="0" w:color="auto"/>
              <w:right w:val="single" w:sz="4" w:space="0" w:color="auto"/>
            </w:tcBorders>
            <w:vAlign w:val="center"/>
          </w:tcPr>
          <w:p w14:paraId="49F45216" w14:textId="77777777" w:rsidR="00347BDF" w:rsidRPr="00BD1319" w:rsidRDefault="00347BDF" w:rsidP="002757DF">
            <w:pPr>
              <w:rPr>
                <w:rFonts w:cs="Arial"/>
                <w:sz w:val="20"/>
                <w:szCs w:val="20"/>
              </w:rPr>
            </w:pPr>
            <w:r w:rsidRPr="00BD1319">
              <w:rPr>
                <w:rFonts w:eastAsia="Calibri" w:cs="Arial"/>
                <w:sz w:val="20"/>
                <w:szCs w:val="20"/>
              </w:rPr>
              <w:t>Asume cierta homogeneidad entre las unidades de muestreo. estimación de especies con datos de abundancia. En las primeras muestras se espera que tenga muchas especies representadas por uno (</w:t>
            </w:r>
            <w:proofErr w:type="spellStart"/>
            <w:r w:rsidRPr="00BD1319">
              <w:rPr>
                <w:rFonts w:eastAsia="Calibri" w:cs="Arial"/>
                <w:sz w:val="20"/>
                <w:szCs w:val="20"/>
              </w:rPr>
              <w:t>singletones</w:t>
            </w:r>
            <w:proofErr w:type="spellEnd"/>
            <w:r w:rsidRPr="00BD1319">
              <w:rPr>
                <w:rFonts w:eastAsia="Calibri" w:cs="Arial"/>
                <w:sz w:val="20"/>
                <w:szCs w:val="20"/>
              </w:rPr>
              <w:t>) y dos individuos (</w:t>
            </w:r>
            <w:proofErr w:type="spellStart"/>
            <w:r w:rsidRPr="00BD1319">
              <w:rPr>
                <w:rFonts w:eastAsia="Calibri" w:cs="Arial"/>
                <w:sz w:val="20"/>
                <w:szCs w:val="20"/>
              </w:rPr>
              <w:t>dobletones</w:t>
            </w:r>
            <w:proofErr w:type="spellEnd"/>
            <w:r w:rsidRPr="00BD1319">
              <w:rPr>
                <w:rFonts w:eastAsia="Calibri" w:cs="Arial"/>
                <w:sz w:val="20"/>
                <w:szCs w:val="20"/>
              </w:rPr>
              <w:t xml:space="preserve">)y luego este valor disminuya, conforme avanza el muestreo. Por esto se sugiere compararlo con </w:t>
            </w:r>
            <w:proofErr w:type="spellStart"/>
            <w:r w:rsidRPr="00BD1319">
              <w:rPr>
                <w:rFonts w:eastAsia="Calibri" w:cs="Arial"/>
                <w:sz w:val="20"/>
                <w:szCs w:val="20"/>
              </w:rPr>
              <w:t>singletones</w:t>
            </w:r>
            <w:proofErr w:type="spellEnd"/>
            <w:r w:rsidRPr="00BD1319">
              <w:rPr>
                <w:rFonts w:eastAsia="Calibri" w:cs="Arial"/>
                <w:sz w:val="20"/>
                <w:szCs w:val="20"/>
              </w:rPr>
              <w:t xml:space="preserve"> y </w:t>
            </w:r>
            <w:proofErr w:type="spellStart"/>
            <w:r w:rsidRPr="00BD1319">
              <w:rPr>
                <w:rFonts w:eastAsia="Calibri" w:cs="Arial"/>
                <w:sz w:val="20"/>
                <w:szCs w:val="20"/>
              </w:rPr>
              <w:t>dobletones</w:t>
            </w:r>
            <w:proofErr w:type="spellEnd"/>
            <w:r w:rsidRPr="00BD1319">
              <w:rPr>
                <w:rFonts w:eastAsia="Calibri" w:cs="Arial"/>
                <w:sz w:val="20"/>
                <w:szCs w:val="20"/>
              </w:rPr>
              <w:t>.</w:t>
            </w:r>
          </w:p>
        </w:tc>
        <w:tc>
          <w:tcPr>
            <w:tcW w:w="2285" w:type="dxa"/>
            <w:tcBorders>
              <w:top w:val="single" w:sz="4" w:space="0" w:color="auto"/>
              <w:left w:val="single" w:sz="4" w:space="0" w:color="auto"/>
              <w:bottom w:val="single" w:sz="4" w:space="0" w:color="auto"/>
              <w:right w:val="single" w:sz="4" w:space="0" w:color="auto"/>
            </w:tcBorders>
            <w:vAlign w:val="center"/>
          </w:tcPr>
          <w:p w14:paraId="3CFDE411" w14:textId="77777777" w:rsidR="00347BDF" w:rsidRPr="00BD1319" w:rsidRDefault="00347BDF" w:rsidP="002757DF">
            <w:pPr>
              <w:rPr>
                <w:rFonts w:cs="Arial"/>
                <w:sz w:val="20"/>
                <w:szCs w:val="20"/>
              </w:rPr>
            </w:pPr>
            <w:r w:rsidRPr="00BD1319">
              <w:rPr>
                <w:rFonts w:eastAsia="Calibri" w:cs="Arial"/>
                <w:sz w:val="20"/>
                <w:szCs w:val="20"/>
              </w:rPr>
              <w:t>Todos los que se puedan contar.</w:t>
            </w:r>
          </w:p>
        </w:tc>
      </w:tr>
      <w:tr w:rsidR="00347BDF" w:rsidRPr="00BD1319" w14:paraId="01A260E4" w14:textId="77777777" w:rsidTr="000D6E21">
        <w:trPr>
          <w:trHeight w:val="567"/>
        </w:trPr>
        <w:tc>
          <w:tcPr>
            <w:tcW w:w="1471" w:type="dxa"/>
            <w:tcBorders>
              <w:top w:val="single" w:sz="4" w:space="0" w:color="auto"/>
              <w:left w:val="single" w:sz="4" w:space="0" w:color="auto"/>
              <w:bottom w:val="single" w:sz="4" w:space="0" w:color="auto"/>
              <w:right w:val="single" w:sz="4" w:space="0" w:color="auto"/>
            </w:tcBorders>
            <w:vAlign w:val="center"/>
          </w:tcPr>
          <w:p w14:paraId="2B022B48" w14:textId="77777777" w:rsidR="00347BDF" w:rsidRPr="00BD1319" w:rsidRDefault="00347BDF" w:rsidP="002757DF">
            <w:pPr>
              <w:jc w:val="center"/>
              <w:rPr>
                <w:rFonts w:cs="Arial"/>
                <w:sz w:val="20"/>
                <w:szCs w:val="20"/>
              </w:rPr>
            </w:pPr>
            <w:proofErr w:type="spellStart"/>
            <w:r w:rsidRPr="00BD1319">
              <w:rPr>
                <w:rFonts w:eastAsia="Calibri" w:cs="Arial"/>
                <w:sz w:val="20"/>
                <w:szCs w:val="20"/>
              </w:rPr>
              <w:t>Singletones</w:t>
            </w:r>
            <w:proofErr w:type="spellEnd"/>
          </w:p>
        </w:tc>
        <w:tc>
          <w:tcPr>
            <w:tcW w:w="5754" w:type="dxa"/>
            <w:tcBorders>
              <w:top w:val="single" w:sz="4" w:space="0" w:color="auto"/>
              <w:left w:val="single" w:sz="4" w:space="0" w:color="auto"/>
              <w:bottom w:val="single" w:sz="4" w:space="0" w:color="auto"/>
              <w:right w:val="single" w:sz="4" w:space="0" w:color="auto"/>
            </w:tcBorders>
            <w:vAlign w:val="center"/>
          </w:tcPr>
          <w:p w14:paraId="0D4322EE" w14:textId="1EA54151" w:rsidR="00347BDF" w:rsidRPr="00BD1319" w:rsidRDefault="00347BDF" w:rsidP="002757DF">
            <w:pPr>
              <w:rPr>
                <w:rFonts w:cs="Arial"/>
                <w:sz w:val="20"/>
                <w:szCs w:val="20"/>
              </w:rPr>
            </w:pPr>
            <w:r w:rsidRPr="00BD1319">
              <w:rPr>
                <w:rFonts w:eastAsia="Calibri" w:cs="Arial"/>
                <w:sz w:val="20"/>
                <w:szCs w:val="20"/>
              </w:rPr>
              <w:t>Especies representadas por un individuo</w:t>
            </w:r>
            <w:r w:rsidR="00765105" w:rsidRPr="00BD1319">
              <w:rPr>
                <w:rFonts w:eastAsia="Calibri" w:cs="Arial"/>
                <w:sz w:val="20"/>
                <w:szCs w:val="20"/>
              </w:rPr>
              <w:t>.</w:t>
            </w:r>
          </w:p>
        </w:tc>
        <w:tc>
          <w:tcPr>
            <w:tcW w:w="2285" w:type="dxa"/>
            <w:tcBorders>
              <w:top w:val="single" w:sz="4" w:space="0" w:color="auto"/>
              <w:left w:val="single" w:sz="4" w:space="0" w:color="auto"/>
              <w:bottom w:val="single" w:sz="4" w:space="0" w:color="auto"/>
              <w:right w:val="single" w:sz="4" w:space="0" w:color="auto"/>
            </w:tcBorders>
            <w:vAlign w:val="center"/>
          </w:tcPr>
          <w:p w14:paraId="639FB9A8" w14:textId="22CE88F9" w:rsidR="00347BDF" w:rsidRPr="00BD1319" w:rsidRDefault="00347BDF" w:rsidP="002757DF">
            <w:pPr>
              <w:rPr>
                <w:rFonts w:cs="Arial"/>
                <w:sz w:val="20"/>
                <w:szCs w:val="20"/>
              </w:rPr>
            </w:pPr>
          </w:p>
        </w:tc>
      </w:tr>
      <w:tr w:rsidR="00347BDF" w:rsidRPr="00BD1319" w14:paraId="5B554D41" w14:textId="77777777" w:rsidTr="000D6E21">
        <w:trPr>
          <w:trHeight w:val="567"/>
        </w:trPr>
        <w:tc>
          <w:tcPr>
            <w:tcW w:w="1471" w:type="dxa"/>
            <w:tcBorders>
              <w:top w:val="single" w:sz="4" w:space="0" w:color="auto"/>
              <w:left w:val="single" w:sz="4" w:space="0" w:color="auto"/>
              <w:bottom w:val="single" w:sz="4" w:space="0" w:color="auto"/>
              <w:right w:val="single" w:sz="4" w:space="0" w:color="auto"/>
            </w:tcBorders>
            <w:vAlign w:val="center"/>
          </w:tcPr>
          <w:p w14:paraId="4D6BABCC" w14:textId="77777777" w:rsidR="00347BDF" w:rsidRPr="00BD1319" w:rsidRDefault="00347BDF" w:rsidP="002757DF">
            <w:pPr>
              <w:jc w:val="center"/>
              <w:rPr>
                <w:rFonts w:cs="Arial"/>
                <w:sz w:val="20"/>
                <w:szCs w:val="20"/>
              </w:rPr>
            </w:pPr>
            <w:proofErr w:type="spellStart"/>
            <w:r w:rsidRPr="00BD1319">
              <w:rPr>
                <w:rFonts w:eastAsia="Calibri" w:cs="Arial"/>
                <w:sz w:val="20"/>
                <w:szCs w:val="20"/>
              </w:rPr>
              <w:t>Dobletones</w:t>
            </w:r>
            <w:proofErr w:type="spellEnd"/>
          </w:p>
        </w:tc>
        <w:tc>
          <w:tcPr>
            <w:tcW w:w="5754" w:type="dxa"/>
            <w:tcBorders>
              <w:top w:val="single" w:sz="4" w:space="0" w:color="auto"/>
              <w:left w:val="single" w:sz="4" w:space="0" w:color="auto"/>
              <w:bottom w:val="single" w:sz="4" w:space="0" w:color="auto"/>
              <w:right w:val="single" w:sz="4" w:space="0" w:color="auto"/>
            </w:tcBorders>
            <w:vAlign w:val="center"/>
          </w:tcPr>
          <w:p w14:paraId="36AA87F4" w14:textId="00A97DC2" w:rsidR="00347BDF" w:rsidRPr="00BD1319" w:rsidRDefault="00347BDF" w:rsidP="002757DF">
            <w:pPr>
              <w:rPr>
                <w:rFonts w:cs="Arial"/>
                <w:sz w:val="20"/>
                <w:szCs w:val="20"/>
              </w:rPr>
            </w:pPr>
            <w:r w:rsidRPr="00BD1319">
              <w:rPr>
                <w:rFonts w:eastAsia="Calibri" w:cs="Arial"/>
                <w:sz w:val="20"/>
                <w:szCs w:val="20"/>
              </w:rPr>
              <w:t>Especies representadas por dos individuos</w:t>
            </w:r>
            <w:r w:rsidR="00765105" w:rsidRPr="00BD1319">
              <w:rPr>
                <w:rFonts w:eastAsia="Calibri" w:cs="Arial"/>
                <w:sz w:val="20"/>
                <w:szCs w:val="20"/>
              </w:rPr>
              <w:t>.</w:t>
            </w:r>
          </w:p>
        </w:tc>
        <w:tc>
          <w:tcPr>
            <w:tcW w:w="2285" w:type="dxa"/>
            <w:tcBorders>
              <w:top w:val="single" w:sz="4" w:space="0" w:color="auto"/>
              <w:left w:val="single" w:sz="4" w:space="0" w:color="auto"/>
              <w:bottom w:val="single" w:sz="4" w:space="0" w:color="auto"/>
              <w:right w:val="single" w:sz="4" w:space="0" w:color="auto"/>
            </w:tcBorders>
            <w:vAlign w:val="center"/>
          </w:tcPr>
          <w:p w14:paraId="472E6E96" w14:textId="31752971" w:rsidR="00347BDF" w:rsidRPr="00BD1319" w:rsidRDefault="00347BDF" w:rsidP="002757DF">
            <w:pPr>
              <w:rPr>
                <w:rFonts w:cs="Arial"/>
                <w:sz w:val="20"/>
                <w:szCs w:val="20"/>
              </w:rPr>
            </w:pPr>
          </w:p>
        </w:tc>
      </w:tr>
      <w:tr w:rsidR="00347BDF" w:rsidRPr="00BD1319" w14:paraId="717F008E" w14:textId="77777777" w:rsidTr="000D6E21">
        <w:trPr>
          <w:trHeight w:val="1701"/>
        </w:trPr>
        <w:tc>
          <w:tcPr>
            <w:tcW w:w="1471" w:type="dxa"/>
            <w:tcBorders>
              <w:top w:val="single" w:sz="4" w:space="0" w:color="auto"/>
              <w:left w:val="single" w:sz="4" w:space="0" w:color="auto"/>
              <w:bottom w:val="single" w:sz="4" w:space="0" w:color="auto"/>
              <w:right w:val="single" w:sz="4" w:space="0" w:color="auto"/>
            </w:tcBorders>
            <w:vAlign w:val="center"/>
          </w:tcPr>
          <w:p w14:paraId="72818B81" w14:textId="77777777" w:rsidR="00347BDF" w:rsidRPr="00BD1319" w:rsidRDefault="00347BDF" w:rsidP="002757DF">
            <w:pPr>
              <w:jc w:val="center"/>
              <w:rPr>
                <w:rFonts w:cs="Arial"/>
                <w:sz w:val="20"/>
                <w:szCs w:val="20"/>
              </w:rPr>
            </w:pPr>
            <w:r w:rsidRPr="00BD1319">
              <w:rPr>
                <w:rFonts w:eastAsia="Calibri" w:cs="Arial"/>
                <w:sz w:val="20"/>
                <w:szCs w:val="20"/>
              </w:rPr>
              <w:lastRenderedPageBreak/>
              <w:t>Chao 2</w:t>
            </w:r>
          </w:p>
        </w:tc>
        <w:tc>
          <w:tcPr>
            <w:tcW w:w="5754" w:type="dxa"/>
            <w:tcBorders>
              <w:top w:val="single" w:sz="4" w:space="0" w:color="auto"/>
              <w:left w:val="single" w:sz="4" w:space="0" w:color="auto"/>
              <w:bottom w:val="single" w:sz="4" w:space="0" w:color="auto"/>
              <w:right w:val="single" w:sz="4" w:space="0" w:color="auto"/>
            </w:tcBorders>
            <w:vAlign w:val="center"/>
          </w:tcPr>
          <w:p w14:paraId="6ED1CC58" w14:textId="76C3AE30" w:rsidR="00347BDF" w:rsidRPr="00BD1319" w:rsidRDefault="00347BDF" w:rsidP="002757DF">
            <w:pPr>
              <w:rPr>
                <w:rFonts w:cs="Arial"/>
                <w:sz w:val="20"/>
                <w:szCs w:val="20"/>
              </w:rPr>
            </w:pPr>
            <w:r w:rsidRPr="00BD1319">
              <w:rPr>
                <w:rFonts w:eastAsia="Calibri" w:cs="Arial"/>
                <w:sz w:val="20"/>
                <w:szCs w:val="20"/>
              </w:rPr>
              <w:t>Asume cierta homogeneidad entre las muestras. Estimación de especies basado en la incidencia (presencia - ausencia). En las primeras muestras se pueden encontrar especies que estén en una sola muestra (</w:t>
            </w:r>
            <w:proofErr w:type="spellStart"/>
            <w:r w:rsidRPr="00BD1319">
              <w:rPr>
                <w:rFonts w:eastAsia="Calibri" w:cs="Arial"/>
                <w:sz w:val="20"/>
                <w:szCs w:val="20"/>
              </w:rPr>
              <w:t>uniques</w:t>
            </w:r>
            <w:proofErr w:type="spellEnd"/>
            <w:r w:rsidRPr="00BD1319">
              <w:rPr>
                <w:rFonts w:eastAsia="Calibri" w:cs="Arial"/>
                <w:sz w:val="20"/>
                <w:szCs w:val="20"/>
              </w:rPr>
              <w:t>) o en dos (</w:t>
            </w:r>
            <w:proofErr w:type="spellStart"/>
            <w:r w:rsidRPr="00BD1319">
              <w:rPr>
                <w:rFonts w:eastAsia="Calibri" w:cs="Arial"/>
                <w:sz w:val="20"/>
                <w:szCs w:val="20"/>
              </w:rPr>
              <w:t>duplicates</w:t>
            </w:r>
            <w:proofErr w:type="spellEnd"/>
            <w:r w:rsidRPr="00BD1319">
              <w:rPr>
                <w:rFonts w:eastAsia="Calibri" w:cs="Arial"/>
                <w:sz w:val="20"/>
                <w:szCs w:val="20"/>
              </w:rPr>
              <w:t xml:space="preserve">) pero a medida que se avanza en el muestreo este valor debe disminuir. Por esto se sugiere compararlo con </w:t>
            </w:r>
            <w:proofErr w:type="spellStart"/>
            <w:r w:rsidRPr="00BD1319">
              <w:rPr>
                <w:rFonts w:eastAsia="Calibri" w:cs="Arial"/>
                <w:sz w:val="20"/>
                <w:szCs w:val="20"/>
              </w:rPr>
              <w:t>Uniques</w:t>
            </w:r>
            <w:proofErr w:type="spellEnd"/>
            <w:r w:rsidRPr="00BD1319">
              <w:rPr>
                <w:rFonts w:eastAsia="Calibri" w:cs="Arial"/>
                <w:sz w:val="20"/>
                <w:szCs w:val="20"/>
              </w:rPr>
              <w:t xml:space="preserve"> y </w:t>
            </w:r>
            <w:proofErr w:type="spellStart"/>
            <w:r w:rsidRPr="00BD1319">
              <w:rPr>
                <w:rFonts w:eastAsia="Calibri" w:cs="Arial"/>
                <w:sz w:val="20"/>
                <w:szCs w:val="20"/>
              </w:rPr>
              <w:t>Duplicates</w:t>
            </w:r>
            <w:proofErr w:type="spellEnd"/>
            <w:r w:rsidRPr="00BD1319">
              <w:rPr>
                <w:rFonts w:eastAsia="Calibri" w:cs="Arial"/>
                <w:sz w:val="20"/>
                <w:szCs w:val="20"/>
              </w:rPr>
              <w:t>.</w:t>
            </w:r>
          </w:p>
        </w:tc>
        <w:tc>
          <w:tcPr>
            <w:tcW w:w="2285" w:type="dxa"/>
            <w:tcBorders>
              <w:top w:val="single" w:sz="4" w:space="0" w:color="auto"/>
              <w:left w:val="single" w:sz="4" w:space="0" w:color="auto"/>
              <w:bottom w:val="single" w:sz="4" w:space="0" w:color="auto"/>
              <w:right w:val="single" w:sz="4" w:space="0" w:color="auto"/>
            </w:tcBorders>
            <w:vAlign w:val="center"/>
          </w:tcPr>
          <w:p w14:paraId="01994F2C" w14:textId="4BFE54FB" w:rsidR="00347BDF" w:rsidRPr="00BD1319" w:rsidRDefault="00347BDF" w:rsidP="002757DF">
            <w:pPr>
              <w:rPr>
                <w:rFonts w:cs="Arial"/>
                <w:sz w:val="20"/>
                <w:szCs w:val="20"/>
              </w:rPr>
            </w:pPr>
            <w:r w:rsidRPr="00BD1319">
              <w:rPr>
                <w:rFonts w:eastAsia="Calibri" w:cs="Arial"/>
                <w:sz w:val="20"/>
                <w:szCs w:val="20"/>
              </w:rPr>
              <w:t>Grupos que no presentan abundancias. Algunos métodos de grabación de sonidos.</w:t>
            </w:r>
          </w:p>
        </w:tc>
      </w:tr>
      <w:tr w:rsidR="00347BDF" w:rsidRPr="00BD1319" w14:paraId="0B16C8AE" w14:textId="77777777" w:rsidTr="000D6E21">
        <w:trPr>
          <w:trHeight w:val="567"/>
        </w:trPr>
        <w:tc>
          <w:tcPr>
            <w:tcW w:w="1471" w:type="dxa"/>
            <w:tcBorders>
              <w:top w:val="single" w:sz="4" w:space="0" w:color="auto"/>
              <w:left w:val="single" w:sz="4" w:space="0" w:color="auto"/>
              <w:bottom w:val="single" w:sz="4" w:space="0" w:color="auto"/>
              <w:right w:val="single" w:sz="4" w:space="0" w:color="auto"/>
            </w:tcBorders>
            <w:vAlign w:val="center"/>
          </w:tcPr>
          <w:p w14:paraId="304542EC" w14:textId="77777777" w:rsidR="00347BDF" w:rsidRPr="00BD1319" w:rsidRDefault="00347BDF" w:rsidP="002757DF">
            <w:pPr>
              <w:jc w:val="center"/>
              <w:rPr>
                <w:rFonts w:cs="Arial"/>
                <w:sz w:val="20"/>
                <w:szCs w:val="20"/>
              </w:rPr>
            </w:pPr>
            <w:proofErr w:type="spellStart"/>
            <w:r w:rsidRPr="00BD1319">
              <w:rPr>
                <w:rFonts w:eastAsia="Calibri" w:cs="Arial"/>
                <w:sz w:val="20"/>
                <w:szCs w:val="20"/>
              </w:rPr>
              <w:t>Uniques</w:t>
            </w:r>
            <w:proofErr w:type="spellEnd"/>
          </w:p>
        </w:tc>
        <w:tc>
          <w:tcPr>
            <w:tcW w:w="5754" w:type="dxa"/>
            <w:tcBorders>
              <w:top w:val="single" w:sz="4" w:space="0" w:color="auto"/>
              <w:left w:val="single" w:sz="4" w:space="0" w:color="auto"/>
              <w:bottom w:val="single" w:sz="4" w:space="0" w:color="auto"/>
              <w:right w:val="single" w:sz="4" w:space="0" w:color="auto"/>
            </w:tcBorders>
            <w:vAlign w:val="center"/>
          </w:tcPr>
          <w:p w14:paraId="6C2515FF" w14:textId="058F4FC7" w:rsidR="00347BDF" w:rsidRPr="00BD1319" w:rsidRDefault="00347BDF" w:rsidP="002757DF">
            <w:pPr>
              <w:rPr>
                <w:rFonts w:cs="Arial"/>
                <w:sz w:val="20"/>
                <w:szCs w:val="20"/>
              </w:rPr>
            </w:pPr>
            <w:r w:rsidRPr="00BD1319">
              <w:rPr>
                <w:rFonts w:eastAsia="Calibri" w:cs="Arial"/>
                <w:sz w:val="20"/>
                <w:szCs w:val="20"/>
              </w:rPr>
              <w:t>Especies encontradas en solo una muestra</w:t>
            </w:r>
            <w:r w:rsidR="00765105" w:rsidRPr="00BD1319">
              <w:rPr>
                <w:rFonts w:eastAsia="Calibri" w:cs="Arial"/>
                <w:sz w:val="20"/>
                <w:szCs w:val="20"/>
              </w:rPr>
              <w:t>.</w:t>
            </w:r>
          </w:p>
        </w:tc>
        <w:tc>
          <w:tcPr>
            <w:tcW w:w="2285" w:type="dxa"/>
            <w:tcBorders>
              <w:top w:val="single" w:sz="4" w:space="0" w:color="auto"/>
              <w:left w:val="single" w:sz="4" w:space="0" w:color="auto"/>
              <w:bottom w:val="single" w:sz="4" w:space="0" w:color="auto"/>
              <w:right w:val="single" w:sz="4" w:space="0" w:color="auto"/>
            </w:tcBorders>
            <w:vAlign w:val="center"/>
          </w:tcPr>
          <w:p w14:paraId="65C9D5AA" w14:textId="17FCC19C" w:rsidR="00347BDF" w:rsidRPr="00BD1319" w:rsidRDefault="00347BDF" w:rsidP="002757DF">
            <w:pPr>
              <w:rPr>
                <w:rFonts w:cs="Arial"/>
                <w:sz w:val="20"/>
                <w:szCs w:val="20"/>
              </w:rPr>
            </w:pPr>
          </w:p>
        </w:tc>
      </w:tr>
      <w:tr w:rsidR="00347BDF" w:rsidRPr="00BD1319" w14:paraId="7888C57F" w14:textId="77777777" w:rsidTr="000D6E21">
        <w:trPr>
          <w:trHeight w:val="567"/>
        </w:trPr>
        <w:tc>
          <w:tcPr>
            <w:tcW w:w="1471" w:type="dxa"/>
            <w:tcBorders>
              <w:top w:val="single" w:sz="4" w:space="0" w:color="auto"/>
              <w:left w:val="single" w:sz="4" w:space="0" w:color="auto"/>
              <w:bottom w:val="single" w:sz="4" w:space="0" w:color="auto"/>
              <w:right w:val="single" w:sz="4" w:space="0" w:color="auto"/>
            </w:tcBorders>
            <w:vAlign w:val="center"/>
          </w:tcPr>
          <w:p w14:paraId="041D8099" w14:textId="77777777" w:rsidR="00347BDF" w:rsidRPr="00BD1319" w:rsidRDefault="00347BDF" w:rsidP="002757DF">
            <w:pPr>
              <w:jc w:val="center"/>
              <w:rPr>
                <w:rFonts w:cs="Arial"/>
                <w:sz w:val="20"/>
                <w:szCs w:val="20"/>
              </w:rPr>
            </w:pPr>
            <w:proofErr w:type="spellStart"/>
            <w:r w:rsidRPr="00BD1319">
              <w:rPr>
                <w:rFonts w:eastAsia="Calibri" w:cs="Arial"/>
                <w:sz w:val="20"/>
                <w:szCs w:val="20"/>
              </w:rPr>
              <w:t>Duplicates</w:t>
            </w:r>
            <w:proofErr w:type="spellEnd"/>
          </w:p>
        </w:tc>
        <w:tc>
          <w:tcPr>
            <w:tcW w:w="5754" w:type="dxa"/>
            <w:tcBorders>
              <w:top w:val="single" w:sz="4" w:space="0" w:color="auto"/>
              <w:left w:val="single" w:sz="4" w:space="0" w:color="auto"/>
              <w:bottom w:val="single" w:sz="4" w:space="0" w:color="auto"/>
              <w:right w:val="single" w:sz="4" w:space="0" w:color="auto"/>
            </w:tcBorders>
            <w:vAlign w:val="center"/>
          </w:tcPr>
          <w:p w14:paraId="7ADB28B2" w14:textId="396AF3D1" w:rsidR="00347BDF" w:rsidRPr="00BD1319" w:rsidRDefault="00347BDF" w:rsidP="002757DF">
            <w:pPr>
              <w:rPr>
                <w:rFonts w:cs="Arial"/>
                <w:sz w:val="20"/>
                <w:szCs w:val="20"/>
              </w:rPr>
            </w:pPr>
            <w:r w:rsidRPr="00BD1319">
              <w:rPr>
                <w:rFonts w:eastAsia="Calibri" w:cs="Arial"/>
                <w:sz w:val="20"/>
                <w:szCs w:val="20"/>
              </w:rPr>
              <w:t>Especies encontradas en solo dos muestras</w:t>
            </w:r>
            <w:r w:rsidR="00765105" w:rsidRPr="00BD1319">
              <w:rPr>
                <w:rFonts w:eastAsia="Calibri" w:cs="Arial"/>
                <w:sz w:val="20"/>
                <w:szCs w:val="20"/>
              </w:rPr>
              <w:t>.</w:t>
            </w:r>
          </w:p>
        </w:tc>
        <w:tc>
          <w:tcPr>
            <w:tcW w:w="2285" w:type="dxa"/>
            <w:tcBorders>
              <w:top w:val="single" w:sz="4" w:space="0" w:color="auto"/>
              <w:left w:val="single" w:sz="4" w:space="0" w:color="auto"/>
              <w:bottom w:val="single" w:sz="4" w:space="0" w:color="auto"/>
              <w:right w:val="single" w:sz="4" w:space="0" w:color="auto"/>
            </w:tcBorders>
            <w:vAlign w:val="center"/>
          </w:tcPr>
          <w:p w14:paraId="44B540EE" w14:textId="4166CCDB" w:rsidR="00347BDF" w:rsidRPr="00BD1319" w:rsidRDefault="00347BDF" w:rsidP="002757DF">
            <w:pPr>
              <w:rPr>
                <w:rFonts w:cs="Arial"/>
                <w:sz w:val="20"/>
                <w:szCs w:val="20"/>
              </w:rPr>
            </w:pPr>
          </w:p>
        </w:tc>
      </w:tr>
      <w:tr w:rsidR="00347BDF" w:rsidRPr="00BD1319" w14:paraId="3DB1D63F" w14:textId="77777777" w:rsidTr="000D6E21">
        <w:trPr>
          <w:trHeight w:val="548"/>
        </w:trPr>
        <w:tc>
          <w:tcPr>
            <w:tcW w:w="1471" w:type="dxa"/>
            <w:tcBorders>
              <w:top w:val="single" w:sz="4" w:space="0" w:color="auto"/>
              <w:left w:val="single" w:sz="4" w:space="0" w:color="auto"/>
              <w:bottom w:val="single" w:sz="4" w:space="0" w:color="auto"/>
              <w:right w:val="single" w:sz="4" w:space="0" w:color="auto"/>
            </w:tcBorders>
            <w:vAlign w:val="center"/>
          </w:tcPr>
          <w:p w14:paraId="320D8D94" w14:textId="77777777" w:rsidR="00347BDF" w:rsidRPr="00BD1319" w:rsidRDefault="00347BDF" w:rsidP="002757DF">
            <w:pPr>
              <w:jc w:val="center"/>
              <w:rPr>
                <w:rFonts w:cs="Arial"/>
                <w:sz w:val="20"/>
                <w:szCs w:val="20"/>
              </w:rPr>
            </w:pPr>
            <w:proofErr w:type="spellStart"/>
            <w:r w:rsidRPr="00BD1319">
              <w:rPr>
                <w:rFonts w:eastAsia="Calibri" w:cs="Arial"/>
                <w:sz w:val="20"/>
                <w:szCs w:val="20"/>
              </w:rPr>
              <w:t>Jacknife</w:t>
            </w:r>
            <w:proofErr w:type="spellEnd"/>
            <w:r w:rsidRPr="00BD1319">
              <w:rPr>
                <w:rFonts w:eastAsia="Calibri" w:cs="Arial"/>
                <w:sz w:val="20"/>
                <w:szCs w:val="20"/>
              </w:rPr>
              <w:t xml:space="preserve"> 1</w:t>
            </w:r>
          </w:p>
        </w:tc>
        <w:tc>
          <w:tcPr>
            <w:tcW w:w="5754" w:type="dxa"/>
            <w:tcBorders>
              <w:top w:val="single" w:sz="4" w:space="0" w:color="auto"/>
              <w:left w:val="single" w:sz="4" w:space="0" w:color="auto"/>
              <w:bottom w:val="single" w:sz="4" w:space="0" w:color="auto"/>
              <w:right w:val="single" w:sz="4" w:space="0" w:color="auto"/>
            </w:tcBorders>
            <w:vAlign w:val="center"/>
          </w:tcPr>
          <w:p w14:paraId="4CFD24BB" w14:textId="77777777" w:rsidR="00347BDF" w:rsidRPr="00BD1319" w:rsidRDefault="00347BDF" w:rsidP="002757DF">
            <w:pPr>
              <w:rPr>
                <w:rFonts w:cs="Arial"/>
                <w:sz w:val="20"/>
                <w:szCs w:val="20"/>
              </w:rPr>
            </w:pPr>
            <w:r w:rsidRPr="00BD1319">
              <w:rPr>
                <w:rFonts w:eastAsia="Calibri" w:cs="Arial"/>
                <w:sz w:val="20"/>
                <w:szCs w:val="20"/>
              </w:rPr>
              <w:t>Cuando hay cierta heterogeneidad entre las muestras como en un gradiente ecológico o un mosaico. Este estimador usa abundancia como Chao 1.</w:t>
            </w:r>
          </w:p>
        </w:tc>
        <w:tc>
          <w:tcPr>
            <w:tcW w:w="2285" w:type="dxa"/>
            <w:tcBorders>
              <w:top w:val="single" w:sz="4" w:space="0" w:color="auto"/>
              <w:left w:val="single" w:sz="4" w:space="0" w:color="auto"/>
              <w:bottom w:val="single" w:sz="4" w:space="0" w:color="auto"/>
              <w:right w:val="single" w:sz="4" w:space="0" w:color="auto"/>
            </w:tcBorders>
            <w:vAlign w:val="center"/>
          </w:tcPr>
          <w:p w14:paraId="2676FC17" w14:textId="1FCDC6A7" w:rsidR="00347BDF" w:rsidRPr="00BD1319" w:rsidRDefault="00347BDF" w:rsidP="002757DF">
            <w:pPr>
              <w:rPr>
                <w:rFonts w:cs="Arial"/>
                <w:sz w:val="20"/>
                <w:szCs w:val="20"/>
              </w:rPr>
            </w:pPr>
          </w:p>
        </w:tc>
      </w:tr>
      <w:tr w:rsidR="00347BDF" w:rsidRPr="00BD1319" w14:paraId="2F6C0DED" w14:textId="77777777" w:rsidTr="000D6E21">
        <w:trPr>
          <w:trHeight w:val="851"/>
        </w:trPr>
        <w:tc>
          <w:tcPr>
            <w:tcW w:w="1471" w:type="dxa"/>
            <w:tcBorders>
              <w:top w:val="single" w:sz="4" w:space="0" w:color="auto"/>
              <w:left w:val="single" w:sz="4" w:space="0" w:color="auto"/>
              <w:bottom w:val="single" w:sz="4" w:space="0" w:color="auto"/>
              <w:right w:val="single" w:sz="4" w:space="0" w:color="auto"/>
            </w:tcBorders>
            <w:vAlign w:val="center"/>
          </w:tcPr>
          <w:p w14:paraId="6A750B32" w14:textId="77777777" w:rsidR="00347BDF" w:rsidRPr="00BD1319" w:rsidRDefault="00347BDF" w:rsidP="002757DF">
            <w:pPr>
              <w:jc w:val="center"/>
              <w:rPr>
                <w:rFonts w:cs="Arial"/>
                <w:sz w:val="20"/>
                <w:szCs w:val="20"/>
              </w:rPr>
            </w:pPr>
            <w:proofErr w:type="spellStart"/>
            <w:r w:rsidRPr="00BD1319">
              <w:rPr>
                <w:rFonts w:eastAsia="Calibri" w:cs="Arial"/>
                <w:sz w:val="20"/>
                <w:szCs w:val="20"/>
              </w:rPr>
              <w:t>Jacknife</w:t>
            </w:r>
            <w:proofErr w:type="spellEnd"/>
            <w:r w:rsidRPr="00BD1319">
              <w:rPr>
                <w:rFonts w:eastAsia="Calibri" w:cs="Arial"/>
                <w:sz w:val="20"/>
                <w:szCs w:val="20"/>
              </w:rPr>
              <w:t xml:space="preserve"> 2</w:t>
            </w:r>
          </w:p>
        </w:tc>
        <w:tc>
          <w:tcPr>
            <w:tcW w:w="5754" w:type="dxa"/>
            <w:tcBorders>
              <w:top w:val="single" w:sz="4" w:space="0" w:color="auto"/>
              <w:left w:val="single" w:sz="4" w:space="0" w:color="auto"/>
              <w:bottom w:val="single" w:sz="4" w:space="0" w:color="auto"/>
              <w:right w:val="single" w:sz="4" w:space="0" w:color="auto"/>
            </w:tcBorders>
            <w:vAlign w:val="center"/>
          </w:tcPr>
          <w:p w14:paraId="273B74FA" w14:textId="77777777" w:rsidR="00347BDF" w:rsidRPr="00BD1319" w:rsidRDefault="00347BDF" w:rsidP="002757DF">
            <w:pPr>
              <w:rPr>
                <w:rFonts w:cs="Arial"/>
                <w:sz w:val="20"/>
                <w:szCs w:val="20"/>
              </w:rPr>
            </w:pPr>
            <w:r w:rsidRPr="00BD1319">
              <w:rPr>
                <w:rFonts w:eastAsia="Calibri" w:cs="Arial"/>
                <w:sz w:val="20"/>
                <w:szCs w:val="20"/>
              </w:rPr>
              <w:t>Cuando hay cierta heterogeneidad entre las muestras como en un gradiente ecológico o un mosaico. Este estimador usa incidencia como Chao 2.</w:t>
            </w:r>
          </w:p>
        </w:tc>
        <w:tc>
          <w:tcPr>
            <w:tcW w:w="2285" w:type="dxa"/>
            <w:tcBorders>
              <w:top w:val="single" w:sz="4" w:space="0" w:color="auto"/>
              <w:left w:val="single" w:sz="4" w:space="0" w:color="auto"/>
              <w:bottom w:val="single" w:sz="4" w:space="0" w:color="auto"/>
              <w:right w:val="single" w:sz="4" w:space="0" w:color="auto"/>
            </w:tcBorders>
            <w:vAlign w:val="center"/>
          </w:tcPr>
          <w:p w14:paraId="2F035F4E" w14:textId="344AA705" w:rsidR="00347BDF" w:rsidRPr="00BD1319" w:rsidRDefault="00347BDF" w:rsidP="002757DF">
            <w:pPr>
              <w:rPr>
                <w:rFonts w:cs="Arial"/>
                <w:sz w:val="20"/>
                <w:szCs w:val="20"/>
              </w:rPr>
            </w:pPr>
          </w:p>
        </w:tc>
      </w:tr>
      <w:tr w:rsidR="00347BDF" w:rsidRPr="00BD1319" w14:paraId="07409521" w14:textId="77777777" w:rsidTr="000D6E21">
        <w:trPr>
          <w:trHeight w:val="567"/>
        </w:trPr>
        <w:tc>
          <w:tcPr>
            <w:tcW w:w="1471" w:type="dxa"/>
            <w:tcBorders>
              <w:top w:val="single" w:sz="4" w:space="0" w:color="auto"/>
              <w:left w:val="single" w:sz="4" w:space="0" w:color="auto"/>
              <w:bottom w:val="single" w:sz="4" w:space="0" w:color="auto"/>
              <w:right w:val="single" w:sz="4" w:space="0" w:color="auto"/>
            </w:tcBorders>
            <w:vAlign w:val="center"/>
          </w:tcPr>
          <w:p w14:paraId="5F5F07BA" w14:textId="77777777" w:rsidR="00347BDF" w:rsidRPr="00BD1319" w:rsidRDefault="00347BDF" w:rsidP="002757DF">
            <w:pPr>
              <w:jc w:val="center"/>
              <w:rPr>
                <w:rFonts w:cs="Arial"/>
                <w:sz w:val="20"/>
                <w:szCs w:val="20"/>
              </w:rPr>
            </w:pPr>
            <w:r w:rsidRPr="00BD1319">
              <w:rPr>
                <w:rFonts w:eastAsia="Calibri" w:cs="Arial"/>
                <w:sz w:val="20"/>
                <w:szCs w:val="20"/>
              </w:rPr>
              <w:t>ACE</w:t>
            </w:r>
          </w:p>
        </w:tc>
        <w:tc>
          <w:tcPr>
            <w:tcW w:w="5754" w:type="dxa"/>
            <w:tcBorders>
              <w:top w:val="single" w:sz="4" w:space="0" w:color="auto"/>
              <w:left w:val="single" w:sz="4" w:space="0" w:color="auto"/>
              <w:bottom w:val="single" w:sz="4" w:space="0" w:color="auto"/>
              <w:right w:val="single" w:sz="4" w:space="0" w:color="auto"/>
            </w:tcBorders>
            <w:vAlign w:val="center"/>
          </w:tcPr>
          <w:p w14:paraId="5BB8411C" w14:textId="77777777" w:rsidR="00347BDF" w:rsidRPr="00BD1319" w:rsidRDefault="00347BDF" w:rsidP="002757DF">
            <w:pPr>
              <w:rPr>
                <w:rFonts w:cs="Arial"/>
                <w:sz w:val="20"/>
                <w:szCs w:val="20"/>
              </w:rPr>
            </w:pPr>
            <w:r w:rsidRPr="00BD1319">
              <w:rPr>
                <w:rFonts w:eastAsia="Calibri" w:cs="Arial"/>
                <w:sz w:val="20"/>
                <w:szCs w:val="20"/>
              </w:rPr>
              <w:t>Cuando no se superan los 10 individuos por punto de muestreo. Este estimador usa abundancia como Chao 1.</w:t>
            </w:r>
          </w:p>
        </w:tc>
        <w:tc>
          <w:tcPr>
            <w:tcW w:w="2285" w:type="dxa"/>
            <w:tcBorders>
              <w:top w:val="single" w:sz="4" w:space="0" w:color="auto"/>
              <w:left w:val="single" w:sz="4" w:space="0" w:color="auto"/>
              <w:bottom w:val="single" w:sz="4" w:space="0" w:color="auto"/>
              <w:right w:val="single" w:sz="4" w:space="0" w:color="auto"/>
            </w:tcBorders>
            <w:vAlign w:val="center"/>
          </w:tcPr>
          <w:p w14:paraId="46A6C782" w14:textId="2EF6470E" w:rsidR="00347BDF" w:rsidRPr="00BD1319" w:rsidRDefault="00347BDF" w:rsidP="002757DF">
            <w:pPr>
              <w:rPr>
                <w:rFonts w:cs="Arial"/>
                <w:sz w:val="20"/>
                <w:szCs w:val="20"/>
              </w:rPr>
            </w:pPr>
          </w:p>
        </w:tc>
      </w:tr>
      <w:tr w:rsidR="00347BDF" w:rsidRPr="00BD1319" w14:paraId="6762FFB4" w14:textId="77777777" w:rsidTr="000D6E21">
        <w:trPr>
          <w:trHeight w:val="567"/>
        </w:trPr>
        <w:tc>
          <w:tcPr>
            <w:tcW w:w="1471" w:type="dxa"/>
            <w:tcBorders>
              <w:top w:val="single" w:sz="4" w:space="0" w:color="auto"/>
              <w:left w:val="single" w:sz="4" w:space="0" w:color="auto"/>
              <w:bottom w:val="single" w:sz="4" w:space="0" w:color="auto"/>
              <w:right w:val="single" w:sz="4" w:space="0" w:color="auto"/>
            </w:tcBorders>
            <w:vAlign w:val="center"/>
          </w:tcPr>
          <w:p w14:paraId="53A5D0BA" w14:textId="77777777" w:rsidR="00347BDF" w:rsidRPr="00BD1319" w:rsidRDefault="00347BDF" w:rsidP="002757DF">
            <w:pPr>
              <w:jc w:val="center"/>
              <w:rPr>
                <w:rFonts w:cs="Arial"/>
                <w:sz w:val="20"/>
                <w:szCs w:val="20"/>
              </w:rPr>
            </w:pPr>
            <w:r w:rsidRPr="00BD1319">
              <w:rPr>
                <w:rFonts w:eastAsia="Calibri" w:cs="Arial"/>
                <w:sz w:val="20"/>
                <w:szCs w:val="20"/>
              </w:rPr>
              <w:t>ICE</w:t>
            </w:r>
          </w:p>
        </w:tc>
        <w:tc>
          <w:tcPr>
            <w:tcW w:w="5754" w:type="dxa"/>
            <w:tcBorders>
              <w:top w:val="single" w:sz="4" w:space="0" w:color="auto"/>
              <w:left w:val="single" w:sz="4" w:space="0" w:color="auto"/>
              <w:bottom w:val="single" w:sz="4" w:space="0" w:color="auto"/>
              <w:right w:val="single" w:sz="4" w:space="0" w:color="auto"/>
            </w:tcBorders>
            <w:vAlign w:val="center"/>
          </w:tcPr>
          <w:p w14:paraId="1B456330" w14:textId="77777777" w:rsidR="00347BDF" w:rsidRPr="00BD1319" w:rsidRDefault="00347BDF" w:rsidP="002757DF">
            <w:pPr>
              <w:rPr>
                <w:rFonts w:cs="Arial"/>
                <w:sz w:val="20"/>
                <w:szCs w:val="20"/>
              </w:rPr>
            </w:pPr>
            <w:r w:rsidRPr="00BD1319">
              <w:rPr>
                <w:rFonts w:eastAsia="Calibri" w:cs="Arial"/>
                <w:sz w:val="20"/>
                <w:szCs w:val="20"/>
              </w:rPr>
              <w:t>Cuando una especie no se encuentra en más de 10 estaciones de muestreo. Este estimador usa abundancia como Chao 1.</w:t>
            </w:r>
          </w:p>
        </w:tc>
        <w:tc>
          <w:tcPr>
            <w:tcW w:w="2285" w:type="dxa"/>
            <w:tcBorders>
              <w:top w:val="single" w:sz="4" w:space="0" w:color="auto"/>
              <w:left w:val="single" w:sz="4" w:space="0" w:color="auto"/>
              <w:bottom w:val="single" w:sz="4" w:space="0" w:color="auto"/>
              <w:right w:val="single" w:sz="4" w:space="0" w:color="auto"/>
            </w:tcBorders>
            <w:vAlign w:val="center"/>
          </w:tcPr>
          <w:p w14:paraId="4FFAE654" w14:textId="77777777" w:rsidR="00347BDF" w:rsidRPr="00BD1319" w:rsidRDefault="00347BDF" w:rsidP="002757DF">
            <w:pPr>
              <w:rPr>
                <w:rFonts w:eastAsia="Calibri" w:cs="Arial"/>
                <w:sz w:val="20"/>
                <w:szCs w:val="20"/>
              </w:rPr>
            </w:pPr>
          </w:p>
        </w:tc>
      </w:tr>
    </w:tbl>
    <w:p w14:paraId="6778A417" w14:textId="5E183973" w:rsidR="004007C2" w:rsidRPr="00BD1319" w:rsidRDefault="004007C2" w:rsidP="004007C2">
      <w:pPr>
        <w:numPr>
          <w:ilvl w:val="12"/>
          <w:numId w:val="0"/>
        </w:numPr>
        <w:tabs>
          <w:tab w:val="left" w:pos="-2268"/>
        </w:tabs>
        <w:suppressAutoHyphens/>
        <w:jc w:val="center"/>
        <w:rPr>
          <w:spacing w:val="-3"/>
          <w:sz w:val="20"/>
        </w:rPr>
      </w:pPr>
      <w:r w:rsidRPr="00BD1319">
        <w:rPr>
          <w:b/>
          <w:bCs/>
          <w:spacing w:val="-3"/>
          <w:sz w:val="20"/>
        </w:rPr>
        <w:t>Fuente:</w:t>
      </w:r>
      <w:r w:rsidRPr="00BD1319">
        <w:rPr>
          <w:spacing w:val="-3"/>
          <w:sz w:val="20"/>
        </w:rPr>
        <w:t xml:space="preserve"> Adaptado de Villarreal et al. (2004).</w:t>
      </w:r>
    </w:p>
    <w:p w14:paraId="7ECDE17C" w14:textId="77777777" w:rsidR="004007C2" w:rsidRPr="00BD1319" w:rsidRDefault="004007C2" w:rsidP="00347BDF">
      <w:pPr>
        <w:numPr>
          <w:ilvl w:val="12"/>
          <w:numId w:val="0"/>
        </w:numPr>
        <w:tabs>
          <w:tab w:val="left" w:pos="-2268"/>
        </w:tabs>
        <w:suppressAutoHyphens/>
        <w:rPr>
          <w:spacing w:val="-3"/>
        </w:rPr>
      </w:pPr>
    </w:p>
    <w:p w14:paraId="2E19551F" w14:textId="2843784C" w:rsidR="00347BDF" w:rsidRPr="00BD1319" w:rsidRDefault="006504FB" w:rsidP="000D6E21">
      <w:pPr>
        <w:pStyle w:val="NormalWeb"/>
        <w:shd w:val="clear" w:color="auto" w:fill="FFFFFF" w:themeFill="background1"/>
        <w:spacing w:before="0" w:after="0"/>
        <w:rPr>
          <w:spacing w:val="-3"/>
        </w:rPr>
      </w:pPr>
      <w:r w:rsidRPr="00BD1319">
        <w:rPr>
          <w:color w:val="auto"/>
          <w:spacing w:val="-3"/>
        </w:rPr>
        <w:t xml:space="preserve">Si las curvas indican que se obtuvo </w:t>
      </w:r>
      <w:r w:rsidR="00FA3219" w:rsidRPr="00BD1319">
        <w:rPr>
          <w:color w:val="auto"/>
          <w:spacing w:val="-3"/>
        </w:rPr>
        <w:t xml:space="preserve">una cantidad mayor o igual al </w:t>
      </w:r>
      <w:r w:rsidRPr="00BD1319">
        <w:rPr>
          <w:color w:val="auto"/>
          <w:spacing w:val="-3"/>
        </w:rPr>
        <w:t>85% de las especies esperadas en un sitio de muestreo</w:t>
      </w:r>
      <w:r w:rsidR="00727F52" w:rsidRPr="00BD1319">
        <w:rPr>
          <w:color w:val="auto"/>
          <w:spacing w:val="-3"/>
        </w:rPr>
        <w:t xml:space="preserve"> para los grupos de fauna (mamíferos, aves, anfibios, reptiles)</w:t>
      </w:r>
      <w:r w:rsidRPr="00BD1319">
        <w:rPr>
          <w:color w:val="auto"/>
          <w:spacing w:val="-3"/>
        </w:rPr>
        <w:t>, se puede realizar el análisis e interpretación de las curvas de acumulación</w:t>
      </w:r>
      <w:r w:rsidR="00C34E67" w:rsidRPr="00BD1319">
        <w:rPr>
          <w:color w:val="auto"/>
          <w:spacing w:val="-3"/>
        </w:rPr>
        <w:t xml:space="preserve"> (</w:t>
      </w:r>
      <w:r w:rsidR="00C34E67" w:rsidRPr="00BD1319">
        <w:rPr>
          <w:spacing w:val="-3"/>
          <w:szCs w:val="20"/>
        </w:rPr>
        <w:t>Villarreal et al., 2004)</w:t>
      </w:r>
      <w:r w:rsidRPr="00BD1319">
        <w:rPr>
          <w:color w:val="auto"/>
          <w:spacing w:val="-3"/>
        </w:rPr>
        <w:t xml:space="preserve">. En caso tal que, por </w:t>
      </w:r>
      <w:r w:rsidR="003610A8" w:rsidRPr="00BD1319">
        <w:rPr>
          <w:color w:val="auto"/>
          <w:spacing w:val="-3"/>
        </w:rPr>
        <w:t xml:space="preserve">las </w:t>
      </w:r>
      <w:r w:rsidRPr="00BD1319">
        <w:rPr>
          <w:color w:val="auto"/>
          <w:spacing w:val="-3"/>
        </w:rPr>
        <w:t xml:space="preserve">condiciones particulares de los sitios y </w:t>
      </w:r>
      <w:r w:rsidR="003610A8" w:rsidRPr="00BD1319">
        <w:rPr>
          <w:color w:val="auto"/>
          <w:spacing w:val="-3"/>
        </w:rPr>
        <w:t xml:space="preserve">de </w:t>
      </w:r>
      <w:r w:rsidRPr="00BD1319">
        <w:rPr>
          <w:color w:val="auto"/>
          <w:spacing w:val="-3"/>
        </w:rPr>
        <w:t xml:space="preserve">los grupos objeto de muestreo no se </w:t>
      </w:r>
      <w:r w:rsidR="00727F52" w:rsidRPr="00BD1319">
        <w:rPr>
          <w:color w:val="auto"/>
          <w:spacing w:val="-3"/>
        </w:rPr>
        <w:t xml:space="preserve">obtenga </w:t>
      </w:r>
      <w:r w:rsidR="003610A8" w:rsidRPr="00BD1319">
        <w:rPr>
          <w:color w:val="auto"/>
          <w:spacing w:val="-3"/>
        </w:rPr>
        <w:t xml:space="preserve">para </w:t>
      </w:r>
      <w:r w:rsidRPr="00BD1319">
        <w:rPr>
          <w:color w:val="auto"/>
          <w:spacing w:val="-3"/>
        </w:rPr>
        <w:t xml:space="preserve">algún estimador el umbral del 85%, </w:t>
      </w:r>
      <w:r w:rsidR="001A5191" w:rsidRPr="00BD1319">
        <w:rPr>
          <w:color w:val="auto"/>
          <w:spacing w:val="-3"/>
        </w:rPr>
        <w:t xml:space="preserve">se deben </w:t>
      </w:r>
      <w:r w:rsidR="00FA3219" w:rsidRPr="00BD1319">
        <w:rPr>
          <w:color w:val="auto"/>
          <w:spacing w:val="-3"/>
        </w:rPr>
        <w:t>soporta</w:t>
      </w:r>
      <w:r w:rsidR="001A5191" w:rsidRPr="00BD1319">
        <w:rPr>
          <w:color w:val="auto"/>
          <w:spacing w:val="-3"/>
        </w:rPr>
        <w:t>r</w:t>
      </w:r>
      <w:r w:rsidR="00FA3219" w:rsidRPr="00BD1319">
        <w:rPr>
          <w:color w:val="auto"/>
          <w:spacing w:val="-3"/>
        </w:rPr>
        <w:t xml:space="preserve"> las razones por las cuales no </w:t>
      </w:r>
      <w:r w:rsidR="003610A8" w:rsidRPr="00BD1319">
        <w:rPr>
          <w:color w:val="auto"/>
          <w:spacing w:val="-3"/>
        </w:rPr>
        <w:t xml:space="preserve">fue </w:t>
      </w:r>
      <w:r w:rsidR="00FA3219" w:rsidRPr="00BD1319">
        <w:rPr>
          <w:color w:val="auto"/>
          <w:spacing w:val="-3"/>
        </w:rPr>
        <w:t xml:space="preserve">posible alcanzar dicho umbral de referencia y </w:t>
      </w:r>
      <w:r w:rsidRPr="00BD1319">
        <w:rPr>
          <w:color w:val="auto"/>
          <w:spacing w:val="-3"/>
        </w:rPr>
        <w:t>justifica</w:t>
      </w:r>
      <w:r w:rsidR="00FA3219" w:rsidRPr="00BD1319">
        <w:rPr>
          <w:color w:val="auto"/>
          <w:spacing w:val="-3"/>
        </w:rPr>
        <w:t xml:space="preserve">r </w:t>
      </w:r>
      <w:r w:rsidRPr="00BD1319">
        <w:rPr>
          <w:color w:val="auto"/>
          <w:spacing w:val="-3"/>
        </w:rPr>
        <w:t>técnica</w:t>
      </w:r>
      <w:r w:rsidR="00FA3219" w:rsidRPr="00BD1319">
        <w:rPr>
          <w:color w:val="auto"/>
          <w:spacing w:val="-3"/>
        </w:rPr>
        <w:t xml:space="preserve">mente </w:t>
      </w:r>
      <w:r w:rsidR="003610A8" w:rsidRPr="00BD1319">
        <w:rPr>
          <w:color w:val="auto"/>
          <w:spacing w:val="-3"/>
        </w:rPr>
        <w:t xml:space="preserve">el método </w:t>
      </w:r>
      <w:r w:rsidR="001A5191" w:rsidRPr="00BD1319">
        <w:rPr>
          <w:color w:val="auto"/>
          <w:spacing w:val="-3"/>
        </w:rPr>
        <w:t>emplead</w:t>
      </w:r>
      <w:r w:rsidR="003610A8" w:rsidRPr="00BD1319">
        <w:rPr>
          <w:color w:val="auto"/>
          <w:spacing w:val="-3"/>
        </w:rPr>
        <w:t>o</w:t>
      </w:r>
      <w:r w:rsidR="001A5191" w:rsidRPr="00BD1319">
        <w:rPr>
          <w:color w:val="auto"/>
          <w:spacing w:val="-3"/>
        </w:rPr>
        <w:t xml:space="preserve"> </w:t>
      </w:r>
      <w:r w:rsidRPr="00BD1319">
        <w:rPr>
          <w:color w:val="auto"/>
          <w:spacing w:val="-3"/>
        </w:rPr>
        <w:t xml:space="preserve">para </w:t>
      </w:r>
      <w:r w:rsidR="003610A8" w:rsidRPr="00BD1319">
        <w:rPr>
          <w:color w:val="auto"/>
          <w:spacing w:val="-3"/>
        </w:rPr>
        <w:t xml:space="preserve">asegurar </w:t>
      </w:r>
      <w:r w:rsidRPr="00BD1319">
        <w:rPr>
          <w:color w:val="auto"/>
          <w:spacing w:val="-3"/>
        </w:rPr>
        <w:t xml:space="preserve">la representatividad </w:t>
      </w:r>
      <w:r w:rsidR="003610A8" w:rsidRPr="00BD1319">
        <w:rPr>
          <w:color w:val="auto"/>
          <w:spacing w:val="-3"/>
        </w:rPr>
        <w:t xml:space="preserve">del muestreo para </w:t>
      </w:r>
      <w:r w:rsidRPr="00BD1319">
        <w:rPr>
          <w:color w:val="auto"/>
          <w:spacing w:val="-3"/>
        </w:rPr>
        <w:t>las especies registradas por cada grupo (mamíferos, aves, anfibios, reptiles)</w:t>
      </w:r>
      <w:r w:rsidR="001A5191" w:rsidRPr="00BD1319">
        <w:rPr>
          <w:color w:val="auto"/>
          <w:spacing w:val="-3"/>
        </w:rPr>
        <w:t>.</w:t>
      </w:r>
    </w:p>
    <w:p w14:paraId="4E236EB7" w14:textId="77777777" w:rsidR="008F2D9A" w:rsidRPr="00BD1319" w:rsidRDefault="008F2D9A">
      <w:pPr>
        <w:numPr>
          <w:ilvl w:val="12"/>
          <w:numId w:val="0"/>
        </w:numPr>
        <w:tabs>
          <w:tab w:val="left" w:pos="-2268"/>
        </w:tabs>
        <w:suppressAutoHyphens/>
        <w:rPr>
          <w:spacing w:val="-3"/>
        </w:rPr>
      </w:pPr>
    </w:p>
    <w:p w14:paraId="4829544B" w14:textId="3841C04C" w:rsidR="00482A5F" w:rsidRPr="00BD1319" w:rsidRDefault="00482A5F">
      <w:pPr>
        <w:numPr>
          <w:ilvl w:val="12"/>
          <w:numId w:val="0"/>
        </w:numPr>
        <w:tabs>
          <w:tab w:val="left" w:pos="-2268"/>
        </w:tabs>
        <w:suppressAutoHyphens/>
        <w:rPr>
          <w:spacing w:val="-3"/>
        </w:rPr>
      </w:pPr>
      <w:r w:rsidRPr="00BD1319">
        <w:rPr>
          <w:spacing w:val="-3"/>
        </w:rPr>
        <w:t xml:space="preserve">Analizar la estructura para cada uno de los grupos en estudio con base en atributos de composición, riqueza y abundancia de cada </w:t>
      </w:r>
      <w:r w:rsidR="00E95A96" w:rsidRPr="00BD1319">
        <w:rPr>
          <w:spacing w:val="-3"/>
        </w:rPr>
        <w:t xml:space="preserve">especie </w:t>
      </w:r>
      <w:r w:rsidRPr="00BD1319">
        <w:rPr>
          <w:spacing w:val="-3"/>
        </w:rPr>
        <w:t>para cada un</w:t>
      </w:r>
      <w:r w:rsidR="009F1479" w:rsidRPr="00BD1319">
        <w:rPr>
          <w:spacing w:val="-3"/>
        </w:rPr>
        <w:t xml:space="preserve">o </w:t>
      </w:r>
      <w:r w:rsidRPr="00BD1319">
        <w:rPr>
          <w:spacing w:val="-3"/>
        </w:rPr>
        <w:t>de l</w:t>
      </w:r>
      <w:r w:rsidR="009F1479" w:rsidRPr="00BD1319">
        <w:rPr>
          <w:spacing w:val="-3"/>
        </w:rPr>
        <w:t>o</w:t>
      </w:r>
      <w:r w:rsidRPr="00BD1319">
        <w:rPr>
          <w:spacing w:val="-3"/>
        </w:rPr>
        <w:t xml:space="preserve">s </w:t>
      </w:r>
      <w:r w:rsidR="009F1479" w:rsidRPr="00BD1319">
        <w:rPr>
          <w:spacing w:val="-3"/>
        </w:rPr>
        <w:t>ecosistemas</w:t>
      </w:r>
      <w:r w:rsidR="007513E3" w:rsidRPr="00BD1319">
        <w:rPr>
          <w:spacing w:val="-3"/>
        </w:rPr>
        <w:t xml:space="preserve"> </w:t>
      </w:r>
      <w:r w:rsidRPr="00BD1319">
        <w:rPr>
          <w:spacing w:val="-3"/>
        </w:rPr>
        <w:t>presentes en el área de influencia</w:t>
      </w:r>
      <w:r w:rsidRPr="00BD1319">
        <w:rPr>
          <w:rFonts w:cs="Arial"/>
          <w:spacing w:val="-3"/>
        </w:rPr>
        <w:t xml:space="preserve"> del </w:t>
      </w:r>
      <w:r w:rsidR="007513E3" w:rsidRPr="00BD1319">
        <w:rPr>
          <w:rFonts w:cs="Arial"/>
          <w:spacing w:val="-3"/>
        </w:rPr>
        <w:t>componente</w:t>
      </w:r>
      <w:r w:rsidRPr="00BD1319">
        <w:rPr>
          <w:spacing w:val="-3"/>
        </w:rPr>
        <w:t xml:space="preserve">. La diversidad </w:t>
      </w:r>
      <w:r w:rsidR="00E95A96" w:rsidRPr="00BD1319">
        <w:rPr>
          <w:spacing w:val="-3"/>
        </w:rPr>
        <w:t xml:space="preserve">de especies </w:t>
      </w:r>
      <w:r w:rsidRPr="00BD1319">
        <w:rPr>
          <w:spacing w:val="-3"/>
        </w:rPr>
        <w:t>debe ser cuantificada usando índices de riqueza y dominancia, tales como el de dominancia de Simpson, o los de diversidad de Shannon-Weiner y de Margalef</w:t>
      </w:r>
      <w:r w:rsidR="00597E39" w:rsidRPr="00BD1319">
        <w:rPr>
          <w:spacing w:val="-3"/>
        </w:rPr>
        <w:t>,</w:t>
      </w:r>
      <w:r w:rsidRPr="00BD1319">
        <w:rPr>
          <w:rFonts w:cs="Arial"/>
          <w:spacing w:val="-3"/>
        </w:rPr>
        <w:t xml:space="preserve"> lo anterior teniendo en cuenta el origen de los datos.</w:t>
      </w:r>
      <w:r w:rsidRPr="00BD1319">
        <w:rPr>
          <w:spacing w:val="-3"/>
        </w:rPr>
        <w:t xml:space="preserve"> En lo que respecta al recambio de especies entre comunidades se pueden utilizar índices como el de Bray-Curtis, de </w:t>
      </w:r>
      <w:r w:rsidRPr="00BD1319">
        <w:rPr>
          <w:spacing w:val="-3"/>
        </w:rPr>
        <w:lastRenderedPageBreak/>
        <w:t>similitud de Jaccard o el de complementariedad</w:t>
      </w:r>
      <w:r w:rsidRPr="00BD1319">
        <w:rPr>
          <w:rFonts w:cs="Arial"/>
          <w:spacing w:val="-3"/>
        </w:rPr>
        <w:t>. Se debe tener en cuenta la naturaleza de los datos para seleccionar los índices adecuados</w:t>
      </w:r>
      <w:r w:rsidRPr="00BD1319">
        <w:rPr>
          <w:spacing w:val="-3"/>
        </w:rPr>
        <w:t>.</w:t>
      </w:r>
    </w:p>
    <w:p w14:paraId="74939A55" w14:textId="77777777" w:rsidR="00482A5F" w:rsidRPr="00BD1319" w:rsidRDefault="00482A5F">
      <w:pPr>
        <w:numPr>
          <w:ilvl w:val="12"/>
          <w:numId w:val="0"/>
        </w:numPr>
        <w:tabs>
          <w:tab w:val="left" w:pos="-2268"/>
        </w:tabs>
        <w:suppressAutoHyphens/>
        <w:rPr>
          <w:spacing w:val="-3"/>
        </w:rPr>
      </w:pPr>
    </w:p>
    <w:p w14:paraId="5D94ADF5" w14:textId="3A39CF23" w:rsidR="00482A5F" w:rsidRPr="00BD1319" w:rsidRDefault="00F11BAF" w:rsidP="0016F5AC">
      <w:pPr>
        <w:suppressAutoHyphens/>
      </w:pPr>
      <w:r w:rsidRPr="00BD1319">
        <w:rPr>
          <w:spacing w:val="-3"/>
        </w:rPr>
        <w:t>E</w:t>
      </w:r>
      <w:r w:rsidR="00482A5F" w:rsidRPr="00BD1319">
        <w:rPr>
          <w:spacing w:val="-3"/>
        </w:rPr>
        <w:t>stablecer la categoría de amenaza de las especies</w:t>
      </w:r>
      <w:r w:rsidRPr="00BD1319">
        <w:rPr>
          <w:spacing w:val="-3"/>
        </w:rPr>
        <w:t xml:space="preserve"> empleando </w:t>
      </w:r>
      <w:r w:rsidR="00482A5F" w:rsidRPr="00BD1319">
        <w:rPr>
          <w:spacing w:val="-3"/>
        </w:rPr>
        <w:t xml:space="preserve">como base la </w:t>
      </w:r>
      <w:r w:rsidR="00AC3FD2" w:rsidRPr="00BD1319">
        <w:rPr>
          <w:spacing w:val="-3"/>
        </w:rPr>
        <w:t>Resolución 0126 de 2024</w:t>
      </w:r>
      <w:r w:rsidR="00482A5F" w:rsidRPr="00BD1319">
        <w:rPr>
          <w:spacing w:val="-3"/>
        </w:rPr>
        <w:t>, o aquella norma que la modifique</w:t>
      </w:r>
      <w:r w:rsidR="00482A5F" w:rsidRPr="00BD1319">
        <w:rPr>
          <w:rFonts w:cs="Arial"/>
          <w:spacing w:val="-3"/>
        </w:rPr>
        <w:t xml:space="preserve"> o</w:t>
      </w:r>
      <w:r w:rsidR="00482A5F" w:rsidRPr="00BD1319">
        <w:rPr>
          <w:spacing w:val="-3"/>
        </w:rPr>
        <w:t xml:space="preserve"> sustituya, los listados de especies amenazadas de la IUCN y los apéndices I, II y III de la CITES. Asimismo, se debe reportar</w:t>
      </w:r>
      <w:r w:rsidR="0055662E" w:rsidRPr="00BD1319">
        <w:rPr>
          <w:spacing w:val="-3"/>
        </w:rPr>
        <w:t xml:space="preserve"> las especies invasoras con el fin de establecer la presión sobre las demás especies </w:t>
      </w:r>
      <w:r w:rsidR="00DE34D4" w:rsidRPr="00BD1319">
        <w:rPr>
          <w:spacing w:val="-3"/>
        </w:rPr>
        <w:t>determinadas</w:t>
      </w:r>
      <w:r w:rsidR="0055662E" w:rsidRPr="00BD1319">
        <w:rPr>
          <w:spacing w:val="-3"/>
        </w:rPr>
        <w:t>; para tal fin se puede</w:t>
      </w:r>
      <w:r w:rsidR="00064548" w:rsidRPr="00BD1319">
        <w:rPr>
          <w:spacing w:val="-3"/>
        </w:rPr>
        <w:t>n</w:t>
      </w:r>
      <w:r w:rsidR="0055662E" w:rsidRPr="00BD1319">
        <w:rPr>
          <w:spacing w:val="-3"/>
        </w:rPr>
        <w:t xml:space="preserve"> consultar la</w:t>
      </w:r>
      <w:r w:rsidR="00597E39" w:rsidRPr="00BD1319">
        <w:rPr>
          <w:spacing w:val="-3"/>
        </w:rPr>
        <w:t>s</w:t>
      </w:r>
      <w:r w:rsidR="0055662E" w:rsidRPr="00BD1319">
        <w:rPr>
          <w:spacing w:val="-3"/>
        </w:rPr>
        <w:t xml:space="preserve"> Resoluciones 0848 de 2008 y 0207 de 2010 o aquella</w:t>
      </w:r>
      <w:r w:rsidR="00597E39" w:rsidRPr="00BD1319">
        <w:rPr>
          <w:spacing w:val="-3"/>
        </w:rPr>
        <w:t>s</w:t>
      </w:r>
      <w:r w:rsidR="0055662E" w:rsidRPr="00BD1319">
        <w:rPr>
          <w:spacing w:val="-3"/>
        </w:rPr>
        <w:t xml:space="preserve"> norma</w:t>
      </w:r>
      <w:r w:rsidR="00597E39" w:rsidRPr="00BD1319">
        <w:rPr>
          <w:spacing w:val="-3"/>
        </w:rPr>
        <w:t>s</w:t>
      </w:r>
      <w:r w:rsidR="0055662E" w:rsidRPr="00BD1319">
        <w:rPr>
          <w:spacing w:val="-3"/>
        </w:rPr>
        <w:t xml:space="preserve"> que la</w:t>
      </w:r>
      <w:r w:rsidR="00597E39" w:rsidRPr="00BD1319">
        <w:rPr>
          <w:spacing w:val="-3"/>
        </w:rPr>
        <w:t>s</w:t>
      </w:r>
      <w:r w:rsidR="0055662E" w:rsidRPr="00BD1319">
        <w:rPr>
          <w:spacing w:val="-3"/>
        </w:rPr>
        <w:t xml:space="preserve"> modifique</w:t>
      </w:r>
      <w:r w:rsidR="00597E39" w:rsidRPr="00BD1319">
        <w:rPr>
          <w:spacing w:val="-3"/>
        </w:rPr>
        <w:t>n</w:t>
      </w:r>
      <w:r w:rsidR="0055662E" w:rsidRPr="00BD1319">
        <w:rPr>
          <w:spacing w:val="-3"/>
        </w:rPr>
        <w:t xml:space="preserve"> o sustituya</w:t>
      </w:r>
      <w:r w:rsidR="00597E39" w:rsidRPr="00BD1319">
        <w:rPr>
          <w:spacing w:val="-3"/>
        </w:rPr>
        <w:t>n</w:t>
      </w:r>
      <w:r w:rsidR="0055662E" w:rsidRPr="00BD1319">
        <w:rPr>
          <w:spacing w:val="-3"/>
        </w:rPr>
        <w:t xml:space="preserve">. En caso de </w:t>
      </w:r>
      <w:r w:rsidRPr="00BD1319">
        <w:rPr>
          <w:spacing w:val="-3"/>
        </w:rPr>
        <w:t xml:space="preserve">hallar </w:t>
      </w:r>
      <w:r w:rsidR="0055662E" w:rsidRPr="00BD1319">
        <w:rPr>
          <w:spacing w:val="-3"/>
        </w:rPr>
        <w:t>nuevas especies se debe informar</w:t>
      </w:r>
      <w:r w:rsidR="00482A5F" w:rsidRPr="00BD1319">
        <w:rPr>
          <w:spacing w:val="-3"/>
        </w:rPr>
        <w:t xml:space="preserve"> a las entidades competentes</w:t>
      </w:r>
      <w:r w:rsidRPr="00BD1319">
        <w:rPr>
          <w:spacing w:val="-3"/>
        </w:rPr>
        <w:t>,</w:t>
      </w:r>
      <w:r w:rsidR="00482A5F" w:rsidRPr="00BD1319">
        <w:rPr>
          <w:spacing w:val="-3"/>
        </w:rPr>
        <w:t xml:space="preserve"> tales como el Instituto de Ciencias Naturales de la Universidad Nacional de Colombia, el </w:t>
      </w:r>
      <w:r w:rsidR="00831CC8" w:rsidRPr="00BD1319">
        <w:rPr>
          <w:spacing w:val="-3"/>
        </w:rPr>
        <w:t>Instituto Humboldt</w:t>
      </w:r>
      <w:r w:rsidR="00482A5F" w:rsidRPr="00BD1319">
        <w:rPr>
          <w:spacing w:val="-3"/>
        </w:rPr>
        <w:t>, el Sinchi y el IIAP.</w:t>
      </w:r>
    </w:p>
    <w:p w14:paraId="33550911" w14:textId="77777777" w:rsidR="00125F98" w:rsidRPr="00BD1319" w:rsidRDefault="00125F98">
      <w:pPr>
        <w:numPr>
          <w:ilvl w:val="12"/>
          <w:numId w:val="0"/>
        </w:numPr>
        <w:tabs>
          <w:tab w:val="left" w:pos="-2268"/>
        </w:tabs>
        <w:suppressAutoHyphens/>
        <w:rPr>
          <w:spacing w:val="-3"/>
        </w:rPr>
      </w:pPr>
    </w:p>
    <w:p w14:paraId="285F5101" w14:textId="03560CF9" w:rsidR="00482A5F" w:rsidRPr="00BD1319" w:rsidRDefault="0085725F" w:rsidP="0006013F">
      <w:pPr>
        <w:numPr>
          <w:ilvl w:val="12"/>
          <w:numId w:val="0"/>
        </w:numPr>
        <w:tabs>
          <w:tab w:val="left" w:pos="-2268"/>
        </w:tabs>
        <w:suppressAutoHyphens/>
        <w:rPr>
          <w:rFonts w:cs="Arial"/>
          <w:spacing w:val="-3"/>
        </w:rPr>
      </w:pPr>
      <w:r w:rsidRPr="00BD1319">
        <w:rPr>
          <w:rFonts w:cs="Arial"/>
          <w:spacing w:val="-3"/>
        </w:rPr>
        <w:t>L</w:t>
      </w:r>
      <w:r w:rsidR="00482A5F" w:rsidRPr="00BD1319">
        <w:rPr>
          <w:rFonts w:cs="Arial"/>
          <w:spacing w:val="-3"/>
        </w:rPr>
        <w:t xml:space="preserve">os </w:t>
      </w:r>
      <w:r w:rsidR="00482A5F" w:rsidRPr="00BD1319">
        <w:rPr>
          <w:spacing w:val="-3"/>
        </w:rPr>
        <w:t xml:space="preserve">corredores de </w:t>
      </w:r>
      <w:r w:rsidR="00482A5F" w:rsidRPr="00BD1319">
        <w:rPr>
          <w:rFonts w:cs="Arial"/>
          <w:spacing w:val="-3"/>
        </w:rPr>
        <w:t xml:space="preserve">movimiento de </w:t>
      </w:r>
      <w:r w:rsidR="00482A5F" w:rsidRPr="00BD1319">
        <w:rPr>
          <w:spacing w:val="-3"/>
        </w:rPr>
        <w:t xml:space="preserve">fauna </w:t>
      </w:r>
      <w:r w:rsidR="0006013F" w:rsidRPr="00BD1319">
        <w:rPr>
          <w:spacing w:val="-3"/>
        </w:rPr>
        <w:t xml:space="preserve">deben determinarse para un conjunto particular de </w:t>
      </w:r>
      <w:r w:rsidR="00FB322D" w:rsidRPr="00BD1319">
        <w:rPr>
          <w:spacing w:val="-3"/>
        </w:rPr>
        <w:t xml:space="preserve">las </w:t>
      </w:r>
      <w:r w:rsidR="0006013F" w:rsidRPr="00BD1319">
        <w:rPr>
          <w:spacing w:val="-3"/>
        </w:rPr>
        <w:t>especies</w:t>
      </w:r>
      <w:r w:rsidR="00FB322D" w:rsidRPr="00BD1319">
        <w:rPr>
          <w:spacing w:val="-3"/>
        </w:rPr>
        <w:t xml:space="preserve"> </w:t>
      </w:r>
      <w:r w:rsidR="00FB322D" w:rsidRPr="00BD1319">
        <w:rPr>
          <w:rFonts w:cs="Arial"/>
          <w:spacing w:val="-3"/>
        </w:rPr>
        <w:t xml:space="preserve">identificadas en </w:t>
      </w:r>
      <w:r w:rsidR="00FB322D" w:rsidRPr="00BD1319">
        <w:rPr>
          <w:spacing w:val="-3"/>
        </w:rPr>
        <w:t>el área de influencia</w:t>
      </w:r>
      <w:r w:rsidR="00FB322D" w:rsidRPr="00BD1319">
        <w:rPr>
          <w:rFonts w:cs="Arial"/>
          <w:spacing w:val="-3"/>
        </w:rPr>
        <w:t xml:space="preserve"> del componente;</w:t>
      </w:r>
      <w:r w:rsidR="0006013F" w:rsidRPr="00BD1319">
        <w:rPr>
          <w:spacing w:val="-3"/>
        </w:rPr>
        <w:t xml:space="preserve"> </w:t>
      </w:r>
      <w:r w:rsidR="00FB322D" w:rsidRPr="00BD1319">
        <w:rPr>
          <w:spacing w:val="-3"/>
        </w:rPr>
        <w:t xml:space="preserve">tales especies </w:t>
      </w:r>
      <w:r w:rsidR="0006013F" w:rsidRPr="00BD1319">
        <w:rPr>
          <w:spacing w:val="-3"/>
        </w:rPr>
        <w:t xml:space="preserve">se establecen a partir de criterios como i) la sensibilidad </w:t>
      </w:r>
      <w:r w:rsidR="00FB322D" w:rsidRPr="00BD1319">
        <w:rPr>
          <w:spacing w:val="-3"/>
        </w:rPr>
        <w:t xml:space="preserve">de las especies </w:t>
      </w:r>
      <w:r w:rsidR="0006013F" w:rsidRPr="00BD1319">
        <w:rPr>
          <w:spacing w:val="-3"/>
        </w:rPr>
        <w:t xml:space="preserve">al tipo de intervención planteada, </w:t>
      </w:r>
      <w:proofErr w:type="spellStart"/>
      <w:r w:rsidR="0006013F" w:rsidRPr="00BD1319">
        <w:rPr>
          <w:spacing w:val="-3"/>
        </w:rPr>
        <w:t>ii</w:t>
      </w:r>
      <w:proofErr w:type="spellEnd"/>
      <w:r w:rsidR="0006013F" w:rsidRPr="00BD1319">
        <w:rPr>
          <w:spacing w:val="-3"/>
        </w:rPr>
        <w:t xml:space="preserve">) la disponibilidad de información, </w:t>
      </w:r>
      <w:proofErr w:type="spellStart"/>
      <w:r w:rsidR="0006013F" w:rsidRPr="00BD1319">
        <w:rPr>
          <w:spacing w:val="-3"/>
        </w:rPr>
        <w:t>iii</w:t>
      </w:r>
      <w:proofErr w:type="spellEnd"/>
      <w:r w:rsidR="0006013F" w:rsidRPr="00BD1319">
        <w:rPr>
          <w:spacing w:val="-3"/>
        </w:rPr>
        <w:t xml:space="preserve">) la vulnerabilidad </w:t>
      </w:r>
      <w:r w:rsidR="00FB322D" w:rsidRPr="00BD1319">
        <w:rPr>
          <w:spacing w:val="-3"/>
        </w:rPr>
        <w:t xml:space="preserve">de las especies </w:t>
      </w:r>
      <w:r w:rsidR="0006013F" w:rsidRPr="00BD1319">
        <w:rPr>
          <w:spacing w:val="-3"/>
        </w:rPr>
        <w:t>según su grado de amenaza</w:t>
      </w:r>
      <w:r w:rsidR="00FB322D" w:rsidRPr="00BD1319">
        <w:rPr>
          <w:spacing w:val="-3"/>
        </w:rPr>
        <w:t xml:space="preserve"> o su condición de endemismo o migración, v) la </w:t>
      </w:r>
      <w:r w:rsidR="0006013F" w:rsidRPr="00BD1319">
        <w:rPr>
          <w:spacing w:val="-3"/>
        </w:rPr>
        <w:t>funcionalidad</w:t>
      </w:r>
      <w:r w:rsidR="00FB322D" w:rsidRPr="00BD1319">
        <w:rPr>
          <w:spacing w:val="-3"/>
        </w:rPr>
        <w:t xml:space="preserve"> de las especies</w:t>
      </w:r>
      <w:r w:rsidR="0006013F" w:rsidRPr="00BD1319">
        <w:rPr>
          <w:spacing w:val="-3"/>
        </w:rPr>
        <w:t xml:space="preserve"> </w:t>
      </w:r>
      <w:r w:rsidR="00FB322D" w:rsidRPr="00BD1319">
        <w:rPr>
          <w:spacing w:val="-3"/>
        </w:rPr>
        <w:t>hallada</w:t>
      </w:r>
      <w:r w:rsidR="0006013F" w:rsidRPr="00BD1319">
        <w:rPr>
          <w:spacing w:val="-3"/>
        </w:rPr>
        <w:t xml:space="preserve"> partir del rol ecológico en el área de influencia</w:t>
      </w:r>
      <w:r w:rsidR="00FB322D" w:rsidRPr="00BD1319">
        <w:rPr>
          <w:spacing w:val="-3"/>
        </w:rPr>
        <w:t xml:space="preserve"> y, </w:t>
      </w:r>
      <w:r w:rsidR="0006013F" w:rsidRPr="00BD1319">
        <w:rPr>
          <w:spacing w:val="-3"/>
        </w:rPr>
        <w:t>v</w:t>
      </w:r>
      <w:r w:rsidR="00FB322D" w:rsidRPr="00BD1319">
        <w:rPr>
          <w:spacing w:val="-3"/>
        </w:rPr>
        <w:t>i</w:t>
      </w:r>
      <w:r w:rsidR="0006013F" w:rsidRPr="00BD1319">
        <w:rPr>
          <w:spacing w:val="-3"/>
        </w:rPr>
        <w:t xml:space="preserve">) el gremio ecológico </w:t>
      </w:r>
      <w:r w:rsidR="00FB322D" w:rsidRPr="00BD1319">
        <w:rPr>
          <w:spacing w:val="-3"/>
        </w:rPr>
        <w:t>de las especies y</w:t>
      </w:r>
      <w:r w:rsidR="0006013F" w:rsidRPr="00BD1319">
        <w:rPr>
          <w:spacing w:val="-3"/>
        </w:rPr>
        <w:t xml:space="preserve">, </w:t>
      </w:r>
      <w:proofErr w:type="spellStart"/>
      <w:r w:rsidR="0006013F" w:rsidRPr="00BD1319">
        <w:rPr>
          <w:spacing w:val="-3"/>
        </w:rPr>
        <w:t>v</w:t>
      </w:r>
      <w:r w:rsidR="00FB322D" w:rsidRPr="00BD1319">
        <w:rPr>
          <w:spacing w:val="-3"/>
        </w:rPr>
        <w:t>i</w:t>
      </w:r>
      <w:r w:rsidR="0006013F" w:rsidRPr="00BD1319">
        <w:rPr>
          <w:spacing w:val="-3"/>
        </w:rPr>
        <w:t>i</w:t>
      </w:r>
      <w:proofErr w:type="spellEnd"/>
      <w:r w:rsidR="0006013F" w:rsidRPr="00BD1319">
        <w:rPr>
          <w:spacing w:val="-3"/>
        </w:rPr>
        <w:t>) la condición ambiental y heterogeneidad del área de influencia</w:t>
      </w:r>
      <w:r w:rsidR="00FB322D" w:rsidRPr="00BD1319">
        <w:rPr>
          <w:spacing w:val="-3"/>
        </w:rPr>
        <w:t xml:space="preserve">. Los corredores </w:t>
      </w:r>
      <w:r w:rsidRPr="00BD1319">
        <w:rPr>
          <w:spacing w:val="-3"/>
        </w:rPr>
        <w:t xml:space="preserve">deben determinarse </w:t>
      </w:r>
      <w:r w:rsidRPr="00BD1319">
        <w:rPr>
          <w:rFonts w:cs="Arial"/>
          <w:spacing w:val="-3"/>
        </w:rPr>
        <w:t xml:space="preserve">a partir de los análisis realizados para la conectividad y fragmentación, </w:t>
      </w:r>
      <w:r w:rsidR="00640A81" w:rsidRPr="00BD1319">
        <w:rPr>
          <w:spacing w:val="-3"/>
        </w:rPr>
        <w:t xml:space="preserve">especificando si la </w:t>
      </w:r>
      <w:r w:rsidR="00937C4B" w:rsidRPr="00BD1319">
        <w:rPr>
          <w:spacing w:val="-3"/>
        </w:rPr>
        <w:t>presencia de</w:t>
      </w:r>
      <w:r w:rsidR="00FB322D" w:rsidRPr="00BD1319">
        <w:rPr>
          <w:spacing w:val="-3"/>
        </w:rPr>
        <w:t xml:space="preserve">l conjunto de </w:t>
      </w:r>
      <w:r w:rsidR="00937C4B" w:rsidRPr="00BD1319">
        <w:rPr>
          <w:spacing w:val="-3"/>
        </w:rPr>
        <w:t>especie</w:t>
      </w:r>
      <w:r w:rsidRPr="00BD1319">
        <w:rPr>
          <w:spacing w:val="-3"/>
        </w:rPr>
        <w:t>s</w:t>
      </w:r>
      <w:r w:rsidR="00937C4B" w:rsidRPr="00BD1319">
        <w:rPr>
          <w:spacing w:val="-3"/>
        </w:rPr>
        <w:t xml:space="preserve"> </w:t>
      </w:r>
      <w:r w:rsidR="00FB322D" w:rsidRPr="00BD1319">
        <w:rPr>
          <w:spacing w:val="-3"/>
        </w:rPr>
        <w:t xml:space="preserve">seleccionado </w:t>
      </w:r>
      <w:r w:rsidR="00640A81" w:rsidRPr="00BD1319">
        <w:rPr>
          <w:spacing w:val="-3"/>
        </w:rPr>
        <w:t xml:space="preserve">es </w:t>
      </w:r>
      <w:r w:rsidR="00482A5F" w:rsidRPr="00BD1319">
        <w:rPr>
          <w:spacing w:val="-3"/>
        </w:rPr>
        <w:t>temporal o permanente</w:t>
      </w:r>
      <w:r w:rsidR="00640A81" w:rsidRPr="00BD1319">
        <w:rPr>
          <w:spacing w:val="-3"/>
        </w:rPr>
        <w:t xml:space="preserve"> y</w:t>
      </w:r>
      <w:r w:rsidR="00937C4B" w:rsidRPr="00BD1319">
        <w:rPr>
          <w:spacing w:val="-3"/>
        </w:rPr>
        <w:t xml:space="preserve"> si su observación se realizó </w:t>
      </w:r>
      <w:r w:rsidR="00482A5F" w:rsidRPr="00BD1319">
        <w:rPr>
          <w:spacing w:val="-3"/>
        </w:rPr>
        <w:t xml:space="preserve">durante las temporadas secas </w:t>
      </w:r>
      <w:r w:rsidR="00937C4B" w:rsidRPr="00BD1319">
        <w:rPr>
          <w:spacing w:val="-3"/>
        </w:rPr>
        <w:t>o</w:t>
      </w:r>
      <w:r w:rsidR="00482A5F" w:rsidRPr="00BD1319">
        <w:rPr>
          <w:spacing w:val="-3"/>
        </w:rPr>
        <w:t xml:space="preserve"> de lluvias.</w:t>
      </w:r>
    </w:p>
    <w:p w14:paraId="6BB35BF7" w14:textId="77777777" w:rsidR="00482A5F" w:rsidRPr="00BD1319" w:rsidRDefault="00482A5F" w:rsidP="00482A5F">
      <w:pPr>
        <w:numPr>
          <w:ilvl w:val="12"/>
          <w:numId w:val="0"/>
        </w:numPr>
        <w:tabs>
          <w:tab w:val="left" w:pos="-2268"/>
        </w:tabs>
        <w:suppressAutoHyphens/>
        <w:rPr>
          <w:rFonts w:cs="Arial"/>
          <w:spacing w:val="-3"/>
        </w:rPr>
      </w:pPr>
    </w:p>
    <w:p w14:paraId="18D6ED0E" w14:textId="1E3C395B" w:rsidR="00E95A96" w:rsidRPr="00BD1319" w:rsidRDefault="00482A5F">
      <w:pPr>
        <w:numPr>
          <w:ilvl w:val="12"/>
          <w:numId w:val="0"/>
        </w:numPr>
        <w:tabs>
          <w:tab w:val="left" w:pos="-2268"/>
        </w:tabs>
        <w:suppressAutoHyphens/>
        <w:rPr>
          <w:spacing w:val="-3"/>
        </w:rPr>
      </w:pPr>
      <w:r w:rsidRPr="00BD1319">
        <w:rPr>
          <w:spacing w:val="-3"/>
        </w:rPr>
        <w:t xml:space="preserve">La </w:t>
      </w:r>
      <w:r w:rsidR="004171A4" w:rsidRPr="00BD1319">
        <w:rPr>
          <w:spacing w:val="-3"/>
        </w:rPr>
        <w:t xml:space="preserve">determinación </w:t>
      </w:r>
      <w:r w:rsidRPr="00BD1319">
        <w:rPr>
          <w:spacing w:val="-3"/>
        </w:rPr>
        <w:t xml:space="preserve">de estos corredores </w:t>
      </w:r>
      <w:r w:rsidRPr="00BD1319">
        <w:rPr>
          <w:rFonts w:cs="Arial"/>
          <w:spacing w:val="-3"/>
        </w:rPr>
        <w:t xml:space="preserve">de movimiento </w:t>
      </w:r>
      <w:r w:rsidRPr="00BD1319">
        <w:rPr>
          <w:spacing w:val="-3"/>
        </w:rPr>
        <w:t xml:space="preserve">debe incorporar </w:t>
      </w:r>
      <w:r w:rsidR="00E95A96" w:rsidRPr="00BD1319">
        <w:rPr>
          <w:spacing w:val="-3"/>
        </w:rPr>
        <w:t>criterios de uso del hábitat</w:t>
      </w:r>
      <w:r w:rsidRPr="00BD1319">
        <w:rPr>
          <w:rFonts w:cs="Arial"/>
          <w:spacing w:val="-3"/>
        </w:rPr>
        <w:t xml:space="preserve">, como por ejemplo lugares de </w:t>
      </w:r>
      <w:r w:rsidRPr="00BD1319">
        <w:rPr>
          <w:spacing w:val="-3"/>
        </w:rPr>
        <w:t xml:space="preserve">reproducción, </w:t>
      </w:r>
      <w:r w:rsidRPr="00BD1319">
        <w:rPr>
          <w:rFonts w:cs="Arial"/>
          <w:spacing w:val="-3"/>
        </w:rPr>
        <w:t xml:space="preserve">sitios de </w:t>
      </w:r>
      <w:r w:rsidRPr="00BD1319">
        <w:rPr>
          <w:spacing w:val="-3"/>
        </w:rPr>
        <w:t xml:space="preserve">alimentación y demás </w:t>
      </w:r>
      <w:r w:rsidRPr="00BD1319">
        <w:rPr>
          <w:rFonts w:cs="Arial"/>
          <w:spacing w:val="-3"/>
        </w:rPr>
        <w:t>variables ecológicas relacionadas</w:t>
      </w:r>
      <w:r w:rsidRPr="00BD1319">
        <w:rPr>
          <w:spacing w:val="-3"/>
        </w:rPr>
        <w:t xml:space="preserve"> con </w:t>
      </w:r>
      <w:r w:rsidRPr="00BD1319">
        <w:rPr>
          <w:rFonts w:cs="Arial"/>
          <w:spacing w:val="-3"/>
        </w:rPr>
        <w:t xml:space="preserve">los requerimientos </w:t>
      </w:r>
      <w:r w:rsidRPr="00BD1319">
        <w:rPr>
          <w:spacing w:val="-3"/>
        </w:rPr>
        <w:t xml:space="preserve">de las especies de fauna </w:t>
      </w:r>
      <w:r w:rsidR="00DE34D4" w:rsidRPr="00BD1319">
        <w:rPr>
          <w:spacing w:val="-3"/>
        </w:rPr>
        <w:t xml:space="preserve">determinadas </w:t>
      </w:r>
      <w:r w:rsidRPr="00BD1319">
        <w:rPr>
          <w:spacing w:val="-3"/>
        </w:rPr>
        <w:t>en la caracterización de línea base.</w:t>
      </w:r>
    </w:p>
    <w:p w14:paraId="457B761A" w14:textId="77777777" w:rsidR="0085725F" w:rsidRPr="00BD1319" w:rsidRDefault="0085725F">
      <w:pPr>
        <w:numPr>
          <w:ilvl w:val="12"/>
          <w:numId w:val="0"/>
        </w:numPr>
        <w:tabs>
          <w:tab w:val="left" w:pos="-2268"/>
        </w:tabs>
        <w:suppressAutoHyphens/>
        <w:rPr>
          <w:spacing w:val="-3"/>
        </w:rPr>
      </w:pPr>
    </w:p>
    <w:p w14:paraId="6ED4BBEA" w14:textId="77777777" w:rsidR="00214B5D" w:rsidRPr="00BD1319" w:rsidRDefault="006A25E2" w:rsidP="0085725F">
      <w:pPr>
        <w:numPr>
          <w:ilvl w:val="12"/>
          <w:numId w:val="0"/>
        </w:numPr>
        <w:tabs>
          <w:tab w:val="left" w:pos="-2268"/>
        </w:tabs>
        <w:suppressAutoHyphens/>
        <w:rPr>
          <w:spacing w:val="-3"/>
          <w:lang w:val="es-ES"/>
        </w:rPr>
      </w:pPr>
      <w:r w:rsidRPr="00BD1319">
        <w:rPr>
          <w:spacing w:val="-3"/>
          <w:lang w:val="es-ES"/>
        </w:rPr>
        <w:t xml:space="preserve">La determinación taxonómica de las especies de fauna </w:t>
      </w:r>
      <w:r w:rsidR="007D1CCB" w:rsidRPr="00BD1319">
        <w:rPr>
          <w:spacing w:val="-3"/>
          <w:lang w:val="es-ES"/>
        </w:rPr>
        <w:t>puede</w:t>
      </w:r>
      <w:r w:rsidRPr="00BD1319">
        <w:rPr>
          <w:spacing w:val="-3"/>
          <w:lang w:val="es-ES"/>
        </w:rPr>
        <w:t xml:space="preserve"> complementarse a</w:t>
      </w:r>
      <w:r w:rsidR="0085725F" w:rsidRPr="00BD1319">
        <w:rPr>
          <w:spacing w:val="-3"/>
          <w:lang w:val="es-ES"/>
        </w:rPr>
        <w:t xml:space="preserve"> partir de la información acústica levantada por grupo taxonómico</w:t>
      </w:r>
      <w:r w:rsidR="007D1CCB" w:rsidRPr="00BD1319">
        <w:rPr>
          <w:spacing w:val="-3"/>
          <w:lang w:val="es-ES"/>
        </w:rPr>
        <w:t xml:space="preserve"> (en caso de que se hayan ejecutado análisis acústicos)</w:t>
      </w:r>
      <w:r w:rsidR="0085725F" w:rsidRPr="00BD1319">
        <w:rPr>
          <w:spacing w:val="-3"/>
          <w:lang w:val="es-ES"/>
        </w:rPr>
        <w:t xml:space="preserve">, teniendo en cuenta los parámetros acústicos identificados en campo </w:t>
      </w:r>
      <w:r w:rsidRPr="00BD1319">
        <w:rPr>
          <w:spacing w:val="-3"/>
          <w:lang w:val="es-ES"/>
        </w:rPr>
        <w:t xml:space="preserve">y </w:t>
      </w:r>
      <w:r w:rsidR="0085725F" w:rsidRPr="00BD1319">
        <w:rPr>
          <w:spacing w:val="-3"/>
          <w:lang w:val="es-ES"/>
        </w:rPr>
        <w:t>grabaciones de referencia o bibliotecas acústicas nacionales e internacionales.</w:t>
      </w:r>
    </w:p>
    <w:p w14:paraId="7EA834F0" w14:textId="77777777" w:rsidR="00214B5D" w:rsidRPr="00BD1319" w:rsidRDefault="00214B5D" w:rsidP="0085725F">
      <w:pPr>
        <w:numPr>
          <w:ilvl w:val="12"/>
          <w:numId w:val="0"/>
        </w:numPr>
        <w:tabs>
          <w:tab w:val="left" w:pos="-2268"/>
        </w:tabs>
        <w:suppressAutoHyphens/>
        <w:rPr>
          <w:spacing w:val="-3"/>
          <w:lang w:val="es-ES"/>
        </w:rPr>
      </w:pPr>
    </w:p>
    <w:p w14:paraId="6328D94F" w14:textId="68B3E0FC" w:rsidR="00214B5D" w:rsidRPr="00BD1319" w:rsidRDefault="00214B5D" w:rsidP="00214B5D">
      <w:r w:rsidRPr="00BD1319">
        <w:t>Para estimar las curvas de patrones de actividad se debe contemplar como mínimo una escala temporal de 24 horas para aves, anfibios y mamíferos terrestres y de 12 horas para mamíferos voladores</w:t>
      </w:r>
      <w:r w:rsidR="001C2B58" w:rsidRPr="00BD1319">
        <w:t xml:space="preserve"> (en horas nocturnas, iniciando preferiblemente a las 17:30)</w:t>
      </w:r>
      <w:r w:rsidRPr="00BD1319">
        <w:t xml:space="preserve">, </w:t>
      </w:r>
      <w:r w:rsidR="007B5279" w:rsidRPr="00BD1319">
        <w:t xml:space="preserve">y determinar </w:t>
      </w:r>
      <w:r w:rsidRPr="00BD1319">
        <w:t xml:space="preserve">los picos de actividad acústica (número de detecciones) para cada </w:t>
      </w:r>
      <w:proofErr w:type="spellStart"/>
      <w:r w:rsidRPr="00BD1319">
        <w:t>sonotipo</w:t>
      </w:r>
      <w:proofErr w:type="spellEnd"/>
      <w:r w:rsidR="007B5279" w:rsidRPr="00BD1319">
        <w:t xml:space="preserve"> </w:t>
      </w:r>
      <w:r w:rsidRPr="00BD1319">
        <w:t>/</w:t>
      </w:r>
      <w:r w:rsidR="007B5279" w:rsidRPr="00BD1319">
        <w:t xml:space="preserve"> </w:t>
      </w:r>
      <w:proofErr w:type="spellStart"/>
      <w:r w:rsidRPr="00BD1319">
        <w:t>sonoespecie</w:t>
      </w:r>
      <w:proofErr w:type="spellEnd"/>
      <w:r w:rsidRPr="00BD1319">
        <w:t xml:space="preserve"> </w:t>
      </w:r>
      <w:r w:rsidR="007B5279" w:rsidRPr="00BD1319">
        <w:t>más representativo y sensible</w:t>
      </w:r>
      <w:r w:rsidRPr="00BD1319">
        <w:t xml:space="preserve"> identificado durante el muestreo. </w:t>
      </w:r>
      <w:r w:rsidR="007B5279" w:rsidRPr="00BD1319">
        <w:t xml:space="preserve">Las curvas de patrones de actividad </w:t>
      </w:r>
      <w:r w:rsidRPr="00BD1319">
        <w:t xml:space="preserve">deben </w:t>
      </w:r>
      <w:r w:rsidR="007B5279" w:rsidRPr="00BD1319">
        <w:t xml:space="preserve">permitir la </w:t>
      </w:r>
      <w:r w:rsidRPr="00BD1319">
        <w:t>compara</w:t>
      </w:r>
      <w:r w:rsidR="007B5279" w:rsidRPr="00BD1319">
        <w:t xml:space="preserve">ción de </w:t>
      </w:r>
      <w:r w:rsidR="00485EC4" w:rsidRPr="00BD1319">
        <w:lastRenderedPageBreak/>
        <w:t xml:space="preserve">las </w:t>
      </w:r>
      <w:r w:rsidRPr="00BD1319">
        <w:t>unidad</w:t>
      </w:r>
      <w:r w:rsidR="00485EC4" w:rsidRPr="00BD1319">
        <w:t>es</w:t>
      </w:r>
      <w:r w:rsidRPr="00BD1319">
        <w:t xml:space="preserve"> de análisis </w:t>
      </w:r>
      <w:r w:rsidR="00485EC4" w:rsidRPr="00BD1319">
        <w:t xml:space="preserve">empleadas para la caracterización </w:t>
      </w:r>
      <w:r w:rsidRPr="00BD1319">
        <w:t>(</w:t>
      </w:r>
      <w:r w:rsidR="00485EC4" w:rsidRPr="00BD1319">
        <w:t xml:space="preserve">p. ej. ecosistemas, </w:t>
      </w:r>
      <w:r w:rsidRPr="00BD1319">
        <w:t xml:space="preserve">coberturas </w:t>
      </w:r>
      <w:r w:rsidR="00485EC4" w:rsidRPr="00BD1319">
        <w:t>de la tierra</w:t>
      </w:r>
      <w:r w:rsidRPr="00BD1319">
        <w:t>).</w:t>
      </w:r>
    </w:p>
    <w:p w14:paraId="2F164824" w14:textId="77777777" w:rsidR="00214B5D" w:rsidRPr="00BD1319" w:rsidRDefault="00214B5D" w:rsidP="0085725F">
      <w:pPr>
        <w:numPr>
          <w:ilvl w:val="12"/>
          <w:numId w:val="0"/>
        </w:numPr>
        <w:tabs>
          <w:tab w:val="left" w:pos="-2268"/>
        </w:tabs>
        <w:suppressAutoHyphens/>
        <w:rPr>
          <w:spacing w:val="-3"/>
        </w:rPr>
      </w:pPr>
    </w:p>
    <w:p w14:paraId="45874DD6" w14:textId="6EB2E31B" w:rsidR="0085725F" w:rsidRPr="00BD1319" w:rsidRDefault="0085725F" w:rsidP="00EF4367">
      <w:pPr>
        <w:numPr>
          <w:ilvl w:val="12"/>
          <w:numId w:val="0"/>
        </w:numPr>
        <w:tabs>
          <w:tab w:val="left" w:pos="-2268"/>
        </w:tabs>
        <w:suppressAutoHyphens/>
        <w:rPr>
          <w:spacing w:val="-3"/>
          <w:lang w:val="es-ES"/>
        </w:rPr>
      </w:pPr>
      <w:r w:rsidRPr="00BD1319">
        <w:rPr>
          <w:spacing w:val="-3"/>
          <w:lang w:val="es-ES"/>
        </w:rPr>
        <w:t xml:space="preserve">Para el procesamiento y análisis de esta información, </w:t>
      </w:r>
      <w:r w:rsidR="006A25E2" w:rsidRPr="00BD1319">
        <w:rPr>
          <w:spacing w:val="-3"/>
          <w:lang w:val="es-ES"/>
        </w:rPr>
        <w:t xml:space="preserve">es </w:t>
      </w:r>
      <w:r w:rsidRPr="00BD1319">
        <w:rPr>
          <w:spacing w:val="-3"/>
          <w:lang w:val="es-ES"/>
        </w:rPr>
        <w:t>p</w:t>
      </w:r>
      <w:r w:rsidR="006A25E2" w:rsidRPr="00BD1319">
        <w:rPr>
          <w:spacing w:val="-3"/>
          <w:lang w:val="es-ES"/>
        </w:rPr>
        <w:t xml:space="preserve">osible </w:t>
      </w:r>
      <w:r w:rsidRPr="00BD1319">
        <w:rPr>
          <w:spacing w:val="-3"/>
          <w:lang w:val="es-ES"/>
        </w:rPr>
        <w:t xml:space="preserve">utilizar como referencia el Protocolo para toma de medidas de grabaciones focales en espectro audible utilizando el programa Raven (Versión 1.6.1) </w:t>
      </w:r>
      <w:r w:rsidR="00FA1E66" w:rsidRPr="00BD1319">
        <w:rPr>
          <w:spacing w:val="-3"/>
          <w:lang w:val="es-ES"/>
        </w:rPr>
        <w:t>(</w:t>
      </w:r>
      <w:r w:rsidR="00917CFE" w:rsidRPr="00BD1319">
        <w:rPr>
          <w:spacing w:val="-3"/>
          <w:lang w:val="es-ES"/>
        </w:rPr>
        <w:t xml:space="preserve">Buitrago et al., </w:t>
      </w:r>
      <w:r w:rsidR="00FA1E66" w:rsidRPr="00BD1319">
        <w:rPr>
          <w:spacing w:val="-3"/>
          <w:lang w:val="es-ES"/>
        </w:rPr>
        <w:t xml:space="preserve">2022) </w:t>
      </w:r>
      <w:r w:rsidRPr="00BD1319">
        <w:rPr>
          <w:spacing w:val="-3"/>
          <w:lang w:val="es-ES"/>
        </w:rPr>
        <w:t xml:space="preserve">u otras guías o recursos técnicos </w:t>
      </w:r>
      <w:r w:rsidR="006A25E2" w:rsidRPr="00BD1319">
        <w:rPr>
          <w:spacing w:val="-3"/>
          <w:lang w:val="es-ES"/>
        </w:rPr>
        <w:t xml:space="preserve">que resulten pertinentes dadas </w:t>
      </w:r>
      <w:r w:rsidRPr="00BD1319">
        <w:rPr>
          <w:spacing w:val="-3"/>
          <w:lang w:val="es-ES"/>
        </w:rPr>
        <w:t xml:space="preserve">las condiciones del proyecto y </w:t>
      </w:r>
      <w:r w:rsidR="006A25E2" w:rsidRPr="00BD1319">
        <w:rPr>
          <w:spacing w:val="-3"/>
          <w:lang w:val="es-ES"/>
        </w:rPr>
        <w:t xml:space="preserve">el </w:t>
      </w:r>
      <w:r w:rsidRPr="00BD1319">
        <w:rPr>
          <w:spacing w:val="-3"/>
          <w:lang w:val="es-ES"/>
        </w:rPr>
        <w:t>grupo taxon</w:t>
      </w:r>
      <w:r w:rsidR="00177D01" w:rsidRPr="00BD1319">
        <w:rPr>
          <w:spacing w:val="-3"/>
          <w:lang w:val="es-ES"/>
        </w:rPr>
        <w:t>ó</w:t>
      </w:r>
      <w:r w:rsidRPr="00BD1319">
        <w:rPr>
          <w:spacing w:val="-3"/>
          <w:lang w:val="es-ES"/>
        </w:rPr>
        <w:t xml:space="preserve">mico </w:t>
      </w:r>
      <w:r w:rsidR="00177D01" w:rsidRPr="00BD1319">
        <w:rPr>
          <w:spacing w:val="-3"/>
          <w:lang w:val="es-ES"/>
        </w:rPr>
        <w:t xml:space="preserve">bajo </w:t>
      </w:r>
      <w:r w:rsidRPr="00BD1319">
        <w:rPr>
          <w:spacing w:val="-3"/>
          <w:lang w:val="es-ES"/>
        </w:rPr>
        <w:t>análisis.</w:t>
      </w:r>
      <w:r w:rsidR="00FA1E66" w:rsidRPr="00BD1319">
        <w:rPr>
          <w:spacing w:val="-3"/>
          <w:lang w:val="es-ES"/>
        </w:rPr>
        <w:t xml:space="preserve"> L</w:t>
      </w:r>
      <w:r w:rsidRPr="00BD1319">
        <w:rPr>
          <w:spacing w:val="-3"/>
          <w:lang w:val="es-ES"/>
        </w:rPr>
        <w:t>os resultados de riqueza obtenidos mediante estos métodos deben ser integrados a los análisis de diversidad alfa y beta de fauna vertebrada</w:t>
      </w:r>
      <w:r w:rsidR="00EF4367" w:rsidRPr="00BD1319">
        <w:rPr>
          <w:spacing w:val="-3"/>
          <w:lang w:val="es-ES"/>
        </w:rPr>
        <w:t xml:space="preserve"> y al MAG, señalando en </w:t>
      </w:r>
      <w:r w:rsidR="00F0359B" w:rsidRPr="00BD1319">
        <w:rPr>
          <w:spacing w:val="-3"/>
          <w:lang w:val="es-ES"/>
        </w:rPr>
        <w:t>e</w:t>
      </w:r>
      <w:r w:rsidR="00EF4367" w:rsidRPr="00BD1319">
        <w:rPr>
          <w:spacing w:val="-3"/>
          <w:lang w:val="es-ES"/>
        </w:rPr>
        <w:t xml:space="preserve">ste </w:t>
      </w:r>
      <w:r w:rsidR="00F0359B" w:rsidRPr="00BD1319">
        <w:rPr>
          <w:spacing w:val="-3"/>
          <w:lang w:val="es-ES"/>
        </w:rPr>
        <w:t xml:space="preserve">modelo </w:t>
      </w:r>
      <w:r w:rsidR="00EF4367" w:rsidRPr="00BD1319">
        <w:rPr>
          <w:spacing w:val="-3"/>
          <w:lang w:val="es-ES"/>
        </w:rPr>
        <w:t xml:space="preserve">adicionalmente, los puntos de muestreo y registros obtenidos; se deben entregar los </w:t>
      </w:r>
      <w:r w:rsidRPr="00BD1319">
        <w:rPr>
          <w:spacing w:val="-3"/>
          <w:lang w:val="es-ES"/>
        </w:rPr>
        <w:t>anexos</w:t>
      </w:r>
      <w:r w:rsidR="00177D01" w:rsidRPr="00BD1319">
        <w:rPr>
          <w:spacing w:val="-3"/>
          <w:lang w:val="es-ES"/>
        </w:rPr>
        <w:t xml:space="preserve"> </w:t>
      </w:r>
      <w:r w:rsidR="00EF4367" w:rsidRPr="00BD1319">
        <w:rPr>
          <w:spacing w:val="-3"/>
          <w:lang w:val="es-ES"/>
        </w:rPr>
        <w:t>que soportan los resultados obtenidos</w:t>
      </w:r>
      <w:r w:rsidRPr="00BD1319">
        <w:rPr>
          <w:spacing w:val="-3"/>
          <w:lang w:val="es-ES"/>
        </w:rPr>
        <w:t>.</w:t>
      </w:r>
    </w:p>
    <w:p w14:paraId="47DD8BD9" w14:textId="77777777" w:rsidR="00482A5F" w:rsidRPr="00BD1319" w:rsidRDefault="00482A5F">
      <w:pPr>
        <w:numPr>
          <w:ilvl w:val="12"/>
          <w:numId w:val="0"/>
        </w:numPr>
        <w:tabs>
          <w:tab w:val="left" w:pos="-2268"/>
        </w:tabs>
        <w:suppressAutoHyphens/>
        <w:rPr>
          <w:spacing w:val="-3"/>
        </w:rPr>
      </w:pPr>
    </w:p>
    <w:p w14:paraId="4F9489E7" w14:textId="05175B9C" w:rsidR="00D4646C" w:rsidRPr="00BD1319" w:rsidRDefault="00D4646C" w:rsidP="009420F5">
      <w:pPr>
        <w:pStyle w:val="Ttulo4"/>
        <w:tabs>
          <w:tab w:val="clear" w:pos="1844"/>
          <w:tab w:val="num" w:pos="1134"/>
        </w:tabs>
        <w:ind w:left="0"/>
        <w:rPr>
          <w:lang w:val="es-CO"/>
        </w:rPr>
      </w:pPr>
      <w:bookmarkStart w:id="2887" w:name="_Toc69206796"/>
      <w:bookmarkStart w:id="2888" w:name="_Ref78383170"/>
      <w:r w:rsidRPr="00BD1319">
        <w:rPr>
          <w:lang w:val="es-CO"/>
        </w:rPr>
        <w:t>Análisis de fragmentación y conectividad</w:t>
      </w:r>
      <w:bookmarkEnd w:id="2887"/>
      <w:bookmarkEnd w:id="2888"/>
    </w:p>
    <w:p w14:paraId="107B3CE9" w14:textId="77777777" w:rsidR="00D4646C" w:rsidRPr="00BD1319" w:rsidRDefault="00D4646C" w:rsidP="00D4646C">
      <w:pPr>
        <w:numPr>
          <w:ilvl w:val="12"/>
          <w:numId w:val="0"/>
        </w:numPr>
        <w:tabs>
          <w:tab w:val="left" w:pos="-2268"/>
        </w:tabs>
        <w:suppressAutoHyphens/>
        <w:rPr>
          <w:rFonts w:cs="Arial"/>
          <w:spacing w:val="-3"/>
        </w:rPr>
      </w:pPr>
    </w:p>
    <w:p w14:paraId="62DC6FE3" w14:textId="1DEDCA08" w:rsidR="00D4646C" w:rsidRPr="00BD1319" w:rsidRDefault="009557DF" w:rsidP="00D4646C">
      <w:pPr>
        <w:numPr>
          <w:ilvl w:val="12"/>
          <w:numId w:val="0"/>
        </w:numPr>
        <w:tabs>
          <w:tab w:val="left" w:pos="-2268"/>
        </w:tabs>
        <w:suppressAutoHyphens/>
        <w:rPr>
          <w:rFonts w:cs="Arial"/>
          <w:spacing w:val="-3"/>
        </w:rPr>
      </w:pPr>
      <w:r w:rsidRPr="00BD1319">
        <w:rPr>
          <w:rFonts w:cs="Arial"/>
          <w:spacing w:val="-3"/>
        </w:rPr>
        <w:t>Los a</w:t>
      </w:r>
      <w:r w:rsidR="00D4646C" w:rsidRPr="00BD1319">
        <w:rPr>
          <w:rFonts w:cs="Arial"/>
          <w:spacing w:val="-3"/>
        </w:rPr>
        <w:t xml:space="preserve">nálisis de fragmentación y conectividad ecológica permiten conocer las condiciones </w:t>
      </w:r>
      <w:r w:rsidRPr="00BD1319">
        <w:rPr>
          <w:rFonts w:cs="Arial"/>
          <w:spacing w:val="-3"/>
        </w:rPr>
        <w:t xml:space="preserve">de estructura y de </w:t>
      </w:r>
      <w:r w:rsidR="00D4646C" w:rsidRPr="00BD1319">
        <w:rPr>
          <w:rFonts w:cs="Arial"/>
          <w:i/>
          <w:iCs/>
          <w:spacing w:val="-3"/>
        </w:rPr>
        <w:t>potencial</w:t>
      </w:r>
      <w:r w:rsidR="00D4646C" w:rsidRPr="00BD1319">
        <w:rPr>
          <w:rFonts w:cs="Arial"/>
          <w:spacing w:val="-3"/>
        </w:rPr>
        <w:t xml:space="preserve"> funcionalidad</w:t>
      </w:r>
      <w:r w:rsidRPr="00BD1319">
        <w:rPr>
          <w:rFonts w:cs="Arial"/>
          <w:spacing w:val="-3"/>
        </w:rPr>
        <w:t xml:space="preserve"> del paisaje, así como obtener información adicional sobre </w:t>
      </w:r>
      <w:r w:rsidR="00D4646C" w:rsidRPr="00BD1319">
        <w:rPr>
          <w:rFonts w:cs="Arial"/>
          <w:spacing w:val="-3"/>
        </w:rPr>
        <w:t xml:space="preserve">los elementos que lo componen </w:t>
      </w:r>
      <w:r w:rsidRPr="00BD1319">
        <w:rPr>
          <w:rFonts w:cs="Arial"/>
          <w:spacing w:val="-3"/>
        </w:rPr>
        <w:t xml:space="preserve">y que pueden </w:t>
      </w:r>
      <w:r w:rsidR="00D4646C" w:rsidRPr="00BD1319">
        <w:rPr>
          <w:rFonts w:cs="Arial"/>
          <w:spacing w:val="-3"/>
        </w:rPr>
        <w:t>influ</w:t>
      </w:r>
      <w:r w:rsidRPr="00BD1319">
        <w:rPr>
          <w:rFonts w:cs="Arial"/>
          <w:spacing w:val="-3"/>
        </w:rPr>
        <w:t xml:space="preserve">ir tanto </w:t>
      </w:r>
      <w:r w:rsidR="00D4646C" w:rsidRPr="00BD1319">
        <w:rPr>
          <w:rFonts w:cs="Arial"/>
          <w:spacing w:val="-3"/>
        </w:rPr>
        <w:t>en la riqueza y diversidad de especies obtenida</w:t>
      </w:r>
      <w:r w:rsidR="00EE3DE1" w:rsidRPr="00BD1319">
        <w:rPr>
          <w:rFonts w:cs="Arial"/>
          <w:spacing w:val="-3"/>
        </w:rPr>
        <w:t>s</w:t>
      </w:r>
      <w:r w:rsidR="00D4646C" w:rsidRPr="00BD1319">
        <w:rPr>
          <w:rFonts w:cs="Arial"/>
          <w:spacing w:val="-3"/>
        </w:rPr>
        <w:t xml:space="preserve"> en la caracterización biótica, </w:t>
      </w:r>
      <w:r w:rsidRPr="00BD1319">
        <w:rPr>
          <w:rFonts w:cs="Arial"/>
          <w:spacing w:val="-3"/>
        </w:rPr>
        <w:t xml:space="preserve">como en </w:t>
      </w:r>
      <w:r w:rsidR="00D4646C" w:rsidRPr="00BD1319">
        <w:rPr>
          <w:rFonts w:cs="Arial"/>
          <w:spacing w:val="-3"/>
        </w:rPr>
        <w:t>los flujos energéticos representados en los patrones de movilidad de las especies.</w:t>
      </w:r>
    </w:p>
    <w:p w14:paraId="3DBD4EFA" w14:textId="77777777" w:rsidR="00D4646C" w:rsidRPr="00BD1319" w:rsidRDefault="00D4646C" w:rsidP="00D4646C">
      <w:pPr>
        <w:numPr>
          <w:ilvl w:val="12"/>
          <w:numId w:val="0"/>
        </w:numPr>
        <w:tabs>
          <w:tab w:val="left" w:pos="-2268"/>
        </w:tabs>
        <w:suppressAutoHyphens/>
        <w:rPr>
          <w:rFonts w:cs="Arial"/>
          <w:spacing w:val="-3"/>
        </w:rPr>
      </w:pPr>
    </w:p>
    <w:p w14:paraId="228B9BCC" w14:textId="2C1C64E1" w:rsidR="00D4646C" w:rsidRPr="00BD1319" w:rsidRDefault="009557DF" w:rsidP="00D4646C">
      <w:pPr>
        <w:numPr>
          <w:ilvl w:val="12"/>
          <w:numId w:val="0"/>
        </w:numPr>
        <w:tabs>
          <w:tab w:val="left" w:pos="-2268"/>
        </w:tabs>
        <w:suppressAutoHyphens/>
        <w:rPr>
          <w:rFonts w:cs="Arial"/>
          <w:spacing w:val="-3"/>
        </w:rPr>
      </w:pPr>
      <w:r w:rsidRPr="00BD1319">
        <w:rPr>
          <w:rFonts w:cs="Arial"/>
          <w:spacing w:val="-3"/>
        </w:rPr>
        <w:t xml:space="preserve">Es importante tener en cuenta </w:t>
      </w:r>
      <w:r w:rsidR="00D4646C" w:rsidRPr="00BD1319">
        <w:rPr>
          <w:rFonts w:cs="Arial"/>
          <w:spacing w:val="-3"/>
        </w:rPr>
        <w:t>que considera</w:t>
      </w:r>
      <w:r w:rsidR="00940A44" w:rsidRPr="00BD1319">
        <w:rPr>
          <w:rFonts w:cs="Arial"/>
          <w:spacing w:val="-3"/>
        </w:rPr>
        <w:t>r</w:t>
      </w:r>
      <w:r w:rsidR="00D4646C" w:rsidRPr="00BD1319">
        <w:rPr>
          <w:rFonts w:cs="Arial"/>
          <w:spacing w:val="-3"/>
        </w:rPr>
        <w:t xml:space="preserve"> el proyecto como elemento del paisaje</w:t>
      </w:r>
      <w:r w:rsidR="00940A44" w:rsidRPr="00BD1319">
        <w:rPr>
          <w:rFonts w:cs="Arial"/>
          <w:spacing w:val="-3"/>
        </w:rPr>
        <w:t xml:space="preserve"> en un escenario prospectivo</w:t>
      </w:r>
      <w:r w:rsidR="00D4646C" w:rsidRPr="00BD1319">
        <w:rPr>
          <w:rFonts w:cs="Arial"/>
          <w:spacing w:val="-3"/>
        </w:rPr>
        <w:t xml:space="preserve">, permite determinar </w:t>
      </w:r>
      <w:r w:rsidR="00940A44" w:rsidRPr="00BD1319">
        <w:rPr>
          <w:rFonts w:cs="Arial"/>
          <w:spacing w:val="-3"/>
        </w:rPr>
        <w:t xml:space="preserve">cómo sus actividades </w:t>
      </w:r>
      <w:r w:rsidR="00D4646C" w:rsidRPr="00BD1319">
        <w:rPr>
          <w:rFonts w:cs="Arial"/>
          <w:spacing w:val="-3"/>
        </w:rPr>
        <w:t>influ</w:t>
      </w:r>
      <w:r w:rsidR="00940A44" w:rsidRPr="00BD1319">
        <w:rPr>
          <w:rFonts w:cs="Arial"/>
          <w:spacing w:val="-3"/>
        </w:rPr>
        <w:t xml:space="preserve">irían </w:t>
      </w:r>
      <w:r w:rsidR="00D4646C" w:rsidRPr="00BD1319">
        <w:rPr>
          <w:rFonts w:cs="Arial"/>
          <w:spacing w:val="-3"/>
        </w:rPr>
        <w:t xml:space="preserve">en la fragmentación y la conectividad y, por ende, </w:t>
      </w:r>
      <w:r w:rsidR="006B6009" w:rsidRPr="00BD1319">
        <w:rPr>
          <w:rFonts w:cs="Arial"/>
          <w:spacing w:val="-3"/>
        </w:rPr>
        <w:t xml:space="preserve">determinar </w:t>
      </w:r>
      <w:r w:rsidR="00D4646C" w:rsidRPr="00BD1319">
        <w:rPr>
          <w:rFonts w:cs="Arial"/>
          <w:spacing w:val="-3"/>
        </w:rPr>
        <w:t xml:space="preserve">los posibles </w:t>
      </w:r>
      <w:r w:rsidRPr="00BD1319">
        <w:rPr>
          <w:rFonts w:cs="Arial"/>
          <w:spacing w:val="-3"/>
        </w:rPr>
        <w:t xml:space="preserve">impactos </w:t>
      </w:r>
      <w:r w:rsidR="008463C7" w:rsidRPr="00BD1319">
        <w:rPr>
          <w:rFonts w:cs="Arial"/>
          <w:spacing w:val="-3"/>
        </w:rPr>
        <w:t>sobre atributos como la riqueza, diversidad y movilidad de la fauna y flora del territorio</w:t>
      </w:r>
      <w:r w:rsidR="00D4646C" w:rsidRPr="00BD1319">
        <w:rPr>
          <w:rFonts w:cs="Arial"/>
          <w:spacing w:val="-3"/>
        </w:rPr>
        <w:t>. As</w:t>
      </w:r>
      <w:r w:rsidRPr="00BD1319">
        <w:rPr>
          <w:rFonts w:cs="Arial"/>
          <w:spacing w:val="-3"/>
        </w:rPr>
        <w:t>i</w:t>
      </w:r>
      <w:r w:rsidR="00D4646C" w:rsidRPr="00BD1319">
        <w:rPr>
          <w:rFonts w:cs="Arial"/>
          <w:spacing w:val="-3"/>
        </w:rPr>
        <w:t xml:space="preserve">mismo, estos análisis permiten realizar una evaluación ambiental objetiva </w:t>
      </w:r>
      <w:r w:rsidR="00EE3DE1" w:rsidRPr="00BD1319">
        <w:rPr>
          <w:rFonts w:cs="Arial"/>
          <w:spacing w:val="-3"/>
        </w:rPr>
        <w:t xml:space="preserve">para </w:t>
      </w:r>
      <w:r w:rsidR="00D4646C" w:rsidRPr="00BD1319">
        <w:rPr>
          <w:rFonts w:cs="Arial"/>
          <w:spacing w:val="-3"/>
        </w:rPr>
        <w:t xml:space="preserve">determinar con un mayor grado de certidumbre la significancia de los impactos y, de esta forma, establecer medidas de manejo acertadas que garanticen la conservación de la biodiversidad en la región </w:t>
      </w:r>
      <w:r w:rsidR="00460D55" w:rsidRPr="00BD1319">
        <w:rPr>
          <w:rFonts w:cs="Arial"/>
          <w:spacing w:val="-3"/>
        </w:rPr>
        <w:t xml:space="preserve">en la que </w:t>
      </w:r>
      <w:r w:rsidR="00D4646C" w:rsidRPr="00BD1319">
        <w:rPr>
          <w:rFonts w:cs="Arial"/>
          <w:spacing w:val="-3"/>
        </w:rPr>
        <w:t>se ubica el proyecto.</w:t>
      </w:r>
    </w:p>
    <w:p w14:paraId="60E4A5D1" w14:textId="77777777" w:rsidR="00D4646C" w:rsidRPr="00BD1319" w:rsidRDefault="00D4646C" w:rsidP="00D4646C">
      <w:pPr>
        <w:numPr>
          <w:ilvl w:val="12"/>
          <w:numId w:val="0"/>
        </w:numPr>
        <w:tabs>
          <w:tab w:val="left" w:pos="-2268"/>
        </w:tabs>
        <w:suppressAutoHyphens/>
        <w:rPr>
          <w:rFonts w:cs="Arial"/>
          <w:spacing w:val="-3"/>
        </w:rPr>
      </w:pPr>
    </w:p>
    <w:p w14:paraId="6E405571" w14:textId="77777777" w:rsidR="00450870" w:rsidRPr="00BD1319" w:rsidRDefault="00D4646C" w:rsidP="00D4646C">
      <w:pPr>
        <w:numPr>
          <w:ilvl w:val="12"/>
          <w:numId w:val="0"/>
        </w:numPr>
        <w:tabs>
          <w:tab w:val="left" w:pos="-2268"/>
        </w:tabs>
        <w:suppressAutoHyphens/>
        <w:rPr>
          <w:rFonts w:cs="Arial"/>
          <w:spacing w:val="-3"/>
        </w:rPr>
      </w:pPr>
      <w:r w:rsidRPr="00BD1319">
        <w:rPr>
          <w:rFonts w:cs="Arial"/>
          <w:spacing w:val="-3"/>
        </w:rPr>
        <w:t>Los análisis en fragmentación y conectividad ecológica deben contemplar la variación espacial y temporal de las coberturas y uso</w:t>
      </w:r>
      <w:r w:rsidR="009557DF" w:rsidRPr="00BD1319">
        <w:rPr>
          <w:rFonts w:cs="Arial"/>
          <w:spacing w:val="-3"/>
        </w:rPr>
        <w:t>s</w:t>
      </w:r>
      <w:r w:rsidRPr="00BD1319">
        <w:rPr>
          <w:rFonts w:cs="Arial"/>
          <w:spacing w:val="-3"/>
        </w:rPr>
        <w:t xml:space="preserve"> de la tierra, mediante la revisión de información secundaria e insumos óptimos que garanticen su validez.</w:t>
      </w:r>
    </w:p>
    <w:p w14:paraId="5DEB3F6E" w14:textId="77777777" w:rsidR="00450870" w:rsidRPr="00BD1319" w:rsidRDefault="00450870" w:rsidP="00D4646C">
      <w:pPr>
        <w:numPr>
          <w:ilvl w:val="12"/>
          <w:numId w:val="0"/>
        </w:numPr>
        <w:tabs>
          <w:tab w:val="left" w:pos="-2268"/>
        </w:tabs>
        <w:suppressAutoHyphens/>
        <w:rPr>
          <w:rFonts w:cs="Arial"/>
          <w:spacing w:val="-3"/>
        </w:rPr>
      </w:pPr>
    </w:p>
    <w:p w14:paraId="3EBA326B" w14:textId="26BD9347" w:rsidR="00D4646C" w:rsidRPr="00BD1319" w:rsidRDefault="00450870" w:rsidP="00D4646C">
      <w:pPr>
        <w:numPr>
          <w:ilvl w:val="12"/>
          <w:numId w:val="0"/>
        </w:numPr>
        <w:tabs>
          <w:tab w:val="left" w:pos="-2268"/>
        </w:tabs>
        <w:suppressAutoHyphens/>
        <w:rPr>
          <w:rFonts w:cs="Arial"/>
          <w:spacing w:val="-3"/>
        </w:rPr>
      </w:pPr>
      <w:r w:rsidRPr="00BD1319">
        <w:rPr>
          <w:rFonts w:cs="Arial"/>
          <w:spacing w:val="-3"/>
        </w:rPr>
        <w:t xml:space="preserve">Inicialmente, </w:t>
      </w:r>
      <w:r w:rsidR="00A440F9" w:rsidRPr="00BD1319">
        <w:rPr>
          <w:rFonts w:cs="Arial"/>
          <w:spacing w:val="-3"/>
        </w:rPr>
        <w:t xml:space="preserve">es </w:t>
      </w:r>
      <w:r w:rsidR="009557DF" w:rsidRPr="00BD1319">
        <w:rPr>
          <w:rFonts w:cs="Arial"/>
          <w:spacing w:val="-3"/>
        </w:rPr>
        <w:t xml:space="preserve">necesario </w:t>
      </w:r>
      <w:r w:rsidR="00D4646C" w:rsidRPr="00BD1319">
        <w:rPr>
          <w:rFonts w:cs="Arial"/>
          <w:spacing w:val="-3"/>
        </w:rPr>
        <w:t>definir el modelo de mosaico de paisaje (parche, matriz, corredor) y aplicar las métricas de paisaje para cuantificar patrones espaciales que más adelante permitan vincular</w:t>
      </w:r>
      <w:r w:rsidR="00A440F9" w:rsidRPr="00BD1319">
        <w:rPr>
          <w:rFonts w:cs="Arial"/>
          <w:spacing w:val="-3"/>
        </w:rPr>
        <w:t xml:space="preserve"> el paisaje</w:t>
      </w:r>
      <w:r w:rsidR="00D4646C" w:rsidRPr="00BD1319">
        <w:rPr>
          <w:rFonts w:cs="Arial"/>
          <w:spacing w:val="-3"/>
        </w:rPr>
        <w:t xml:space="preserve"> con el ejercicio de conectividad ecológica. </w:t>
      </w:r>
      <w:r w:rsidRPr="00BD1319">
        <w:rPr>
          <w:rFonts w:cs="Arial"/>
          <w:spacing w:val="-3"/>
        </w:rPr>
        <w:t>L</w:t>
      </w:r>
      <w:r w:rsidR="00D4646C" w:rsidRPr="00BD1319">
        <w:rPr>
          <w:rFonts w:cs="Arial"/>
          <w:spacing w:val="-3"/>
        </w:rPr>
        <w:t>a interpretación de las métricas debe tener un enfoque estructural (composición y configuración), pero también una interpretación ligada a las características de hábitat de las especies caracterizadas.</w:t>
      </w:r>
    </w:p>
    <w:p w14:paraId="082D1781" w14:textId="77777777" w:rsidR="00D4646C" w:rsidRPr="00BD1319" w:rsidRDefault="00D4646C" w:rsidP="00D4646C">
      <w:pPr>
        <w:numPr>
          <w:ilvl w:val="12"/>
          <w:numId w:val="0"/>
        </w:numPr>
        <w:tabs>
          <w:tab w:val="left" w:pos="-2268"/>
        </w:tabs>
        <w:suppressAutoHyphens/>
        <w:rPr>
          <w:rFonts w:cs="Arial"/>
          <w:spacing w:val="-3"/>
        </w:rPr>
      </w:pPr>
    </w:p>
    <w:p w14:paraId="44EB612B" w14:textId="51C7CB4E" w:rsidR="00D4646C" w:rsidRPr="00BD1319" w:rsidRDefault="00450870" w:rsidP="00D4646C">
      <w:pPr>
        <w:numPr>
          <w:ilvl w:val="12"/>
          <w:numId w:val="0"/>
        </w:numPr>
        <w:tabs>
          <w:tab w:val="left" w:pos="-2268"/>
        </w:tabs>
        <w:suppressAutoHyphens/>
        <w:rPr>
          <w:rFonts w:cs="Arial"/>
          <w:spacing w:val="-3"/>
        </w:rPr>
      </w:pPr>
      <w:r w:rsidRPr="00BD1319">
        <w:rPr>
          <w:rFonts w:cs="Arial"/>
          <w:spacing w:val="-3"/>
        </w:rPr>
        <w:t>Más adelante</w:t>
      </w:r>
      <w:r w:rsidR="00D4646C" w:rsidRPr="00BD1319">
        <w:rPr>
          <w:rFonts w:cs="Arial"/>
          <w:spacing w:val="-3"/>
        </w:rPr>
        <w:t xml:space="preserve">, se debe generar un modelo de </w:t>
      </w:r>
      <w:r w:rsidR="00A440F9" w:rsidRPr="00BD1319">
        <w:rPr>
          <w:rFonts w:cs="Arial"/>
          <w:i/>
          <w:iCs/>
          <w:spacing w:val="-3"/>
        </w:rPr>
        <w:t>potencial</w:t>
      </w:r>
      <w:r w:rsidR="00A440F9" w:rsidRPr="00BD1319">
        <w:rPr>
          <w:rFonts w:cs="Arial"/>
          <w:spacing w:val="-3"/>
        </w:rPr>
        <w:t xml:space="preserve"> </w:t>
      </w:r>
      <w:r w:rsidR="00D4646C" w:rsidRPr="00BD1319">
        <w:rPr>
          <w:rFonts w:cs="Arial"/>
          <w:spacing w:val="-3"/>
        </w:rPr>
        <w:t>conectividad ecológica</w:t>
      </w:r>
      <w:r w:rsidRPr="00BD1319">
        <w:rPr>
          <w:rFonts w:cs="Arial"/>
          <w:spacing w:val="-3"/>
        </w:rPr>
        <w:t>,</w:t>
      </w:r>
      <w:r w:rsidR="00D4646C" w:rsidRPr="00BD1319">
        <w:rPr>
          <w:rFonts w:cs="Arial"/>
          <w:spacing w:val="-3"/>
        </w:rPr>
        <w:t xml:space="preserve"> tomando como insumo la información obtenida en la caracterización </w:t>
      </w:r>
      <w:r w:rsidRPr="00BD1319">
        <w:rPr>
          <w:rFonts w:cs="Arial"/>
          <w:spacing w:val="-3"/>
        </w:rPr>
        <w:t>d</w:t>
      </w:r>
      <w:r w:rsidR="00D4646C" w:rsidRPr="00BD1319">
        <w:rPr>
          <w:rFonts w:cs="Arial"/>
          <w:spacing w:val="-3"/>
        </w:rPr>
        <w:t xml:space="preserve">el </w:t>
      </w:r>
      <w:r w:rsidRPr="00BD1319">
        <w:rPr>
          <w:rFonts w:cs="Arial"/>
          <w:spacing w:val="-3"/>
        </w:rPr>
        <w:t>m</w:t>
      </w:r>
      <w:r w:rsidR="00D4646C" w:rsidRPr="00BD1319">
        <w:rPr>
          <w:rFonts w:cs="Arial"/>
          <w:spacing w:val="-3"/>
        </w:rPr>
        <w:t xml:space="preserve">edio </w:t>
      </w:r>
      <w:r w:rsidRPr="00BD1319">
        <w:rPr>
          <w:rFonts w:cs="Arial"/>
          <w:spacing w:val="-3"/>
        </w:rPr>
        <w:t>b</w:t>
      </w:r>
      <w:r w:rsidR="00D4646C" w:rsidRPr="00BD1319">
        <w:rPr>
          <w:rFonts w:cs="Arial"/>
          <w:spacing w:val="-3"/>
        </w:rPr>
        <w:t xml:space="preserve">iótico, </w:t>
      </w:r>
      <w:r w:rsidR="00D4646C" w:rsidRPr="00BD1319">
        <w:rPr>
          <w:rFonts w:cs="Arial"/>
          <w:spacing w:val="-3"/>
        </w:rPr>
        <w:lastRenderedPageBreak/>
        <w:t>y vinculando la estructura del paisaje con la capacidad de movimiento de las especies focales.</w:t>
      </w:r>
    </w:p>
    <w:p w14:paraId="7CB585EE" w14:textId="5ADFEC00" w:rsidR="00FE2ED9" w:rsidRPr="00BD1319" w:rsidRDefault="00FE2ED9" w:rsidP="00D4646C">
      <w:pPr>
        <w:numPr>
          <w:ilvl w:val="12"/>
          <w:numId w:val="0"/>
        </w:numPr>
        <w:tabs>
          <w:tab w:val="left" w:pos="-2268"/>
        </w:tabs>
        <w:suppressAutoHyphens/>
        <w:rPr>
          <w:rFonts w:cs="Arial"/>
          <w:spacing w:val="-3"/>
        </w:rPr>
      </w:pPr>
    </w:p>
    <w:p w14:paraId="1ADCF3F2" w14:textId="77777777" w:rsidR="00FE2ED9" w:rsidRPr="00BD1319" w:rsidRDefault="00FE2ED9" w:rsidP="00FE2ED9">
      <w:pPr>
        <w:numPr>
          <w:ilvl w:val="12"/>
          <w:numId w:val="0"/>
        </w:numPr>
        <w:tabs>
          <w:tab w:val="left" w:pos="-2268"/>
        </w:tabs>
        <w:suppressAutoHyphens/>
        <w:rPr>
          <w:rFonts w:cs="Arial"/>
          <w:szCs w:val="20"/>
        </w:rPr>
      </w:pPr>
      <w:r w:rsidRPr="00BD1319">
        <w:rPr>
          <w:rFonts w:cs="Arial"/>
          <w:szCs w:val="20"/>
        </w:rPr>
        <w:t>Los análisis de fragmentación y conectividad deben desarrollarse empleando software de procesamiento geoespacial.</w:t>
      </w:r>
    </w:p>
    <w:p w14:paraId="14FB7608" w14:textId="77777777" w:rsidR="00D4646C" w:rsidRPr="00BD1319" w:rsidRDefault="00D4646C" w:rsidP="00D4646C">
      <w:pPr>
        <w:numPr>
          <w:ilvl w:val="12"/>
          <w:numId w:val="0"/>
        </w:numPr>
        <w:tabs>
          <w:tab w:val="left" w:pos="-2268"/>
        </w:tabs>
        <w:suppressAutoHyphens/>
        <w:rPr>
          <w:spacing w:val="-3"/>
        </w:rPr>
      </w:pPr>
    </w:p>
    <w:p w14:paraId="0DEBC85B" w14:textId="77777777" w:rsidR="00D4646C" w:rsidRPr="00BD1319" w:rsidRDefault="00D4646C" w:rsidP="002833FB">
      <w:pPr>
        <w:pStyle w:val="Ttulo5"/>
        <w:tabs>
          <w:tab w:val="clear" w:pos="2160"/>
          <w:tab w:val="num" w:pos="1134"/>
        </w:tabs>
        <w:ind w:left="1134" w:hanging="1134"/>
        <w:rPr>
          <w:lang w:val="es-CO"/>
        </w:rPr>
      </w:pPr>
      <w:r w:rsidRPr="00BD1319">
        <w:rPr>
          <w:lang w:val="es-CO"/>
        </w:rPr>
        <w:t>Análisis de fragmentación</w:t>
      </w:r>
    </w:p>
    <w:p w14:paraId="29720E6C" w14:textId="77777777" w:rsidR="00D4646C" w:rsidRPr="00BD1319" w:rsidRDefault="00D4646C" w:rsidP="00D4646C">
      <w:pPr>
        <w:numPr>
          <w:ilvl w:val="12"/>
          <w:numId w:val="0"/>
        </w:numPr>
        <w:tabs>
          <w:tab w:val="left" w:pos="-2268"/>
        </w:tabs>
        <w:suppressAutoHyphens/>
        <w:rPr>
          <w:spacing w:val="-3"/>
        </w:rPr>
      </w:pPr>
    </w:p>
    <w:p w14:paraId="17A00407" w14:textId="77777777" w:rsidR="00D4646C" w:rsidRPr="00BD1319" w:rsidRDefault="00D4646C" w:rsidP="00D4646C">
      <w:pPr>
        <w:numPr>
          <w:ilvl w:val="12"/>
          <w:numId w:val="0"/>
        </w:numPr>
        <w:tabs>
          <w:tab w:val="left" w:pos="-2268"/>
        </w:tabs>
        <w:suppressAutoHyphens/>
        <w:rPr>
          <w:rFonts w:cs="Arial"/>
          <w:spacing w:val="-3"/>
        </w:rPr>
      </w:pPr>
      <w:r w:rsidRPr="00BD1319">
        <w:rPr>
          <w:spacing w:val="-3"/>
        </w:rPr>
        <w:t xml:space="preserve">Para </w:t>
      </w:r>
      <w:r w:rsidRPr="00BD1319">
        <w:rPr>
          <w:rFonts w:cs="Arial"/>
          <w:spacing w:val="-3"/>
        </w:rPr>
        <w:t>la realización del análisis de fragmentación se debe realizar como mínimo lo siguiente:</w:t>
      </w:r>
    </w:p>
    <w:p w14:paraId="70C73C42" w14:textId="77777777" w:rsidR="00D4646C" w:rsidRPr="00BD1319" w:rsidRDefault="00D4646C" w:rsidP="00D4646C">
      <w:pPr>
        <w:numPr>
          <w:ilvl w:val="12"/>
          <w:numId w:val="0"/>
        </w:numPr>
        <w:tabs>
          <w:tab w:val="left" w:pos="-2268"/>
        </w:tabs>
        <w:suppressAutoHyphens/>
        <w:rPr>
          <w:spacing w:val="-3"/>
        </w:rPr>
      </w:pPr>
    </w:p>
    <w:p w14:paraId="265FA744" w14:textId="48775E4E" w:rsidR="00D4646C" w:rsidRPr="00BD1319" w:rsidRDefault="00D4646C" w:rsidP="00D4646C">
      <w:pPr>
        <w:pStyle w:val="Prrafodelista"/>
        <w:numPr>
          <w:ilvl w:val="0"/>
          <w:numId w:val="95"/>
        </w:numPr>
        <w:tabs>
          <w:tab w:val="left" w:pos="-2268"/>
        </w:tabs>
        <w:suppressAutoHyphens/>
        <w:ind w:left="567" w:hanging="567"/>
        <w:rPr>
          <w:rFonts w:cs="Arial"/>
          <w:spacing w:val="-3"/>
          <w:lang w:val="es-CO"/>
        </w:rPr>
      </w:pPr>
      <w:r w:rsidRPr="00BD1319">
        <w:rPr>
          <w:rFonts w:cs="Arial"/>
          <w:spacing w:val="-3"/>
          <w:lang w:val="es-CO"/>
        </w:rPr>
        <w:t>Seleccionar y sustentar las métricas de parche (</w:t>
      </w:r>
      <w:r w:rsidR="00041844" w:rsidRPr="00BD1319">
        <w:rPr>
          <w:rFonts w:cs="Arial"/>
          <w:spacing w:val="-3"/>
          <w:lang w:val="es-CO"/>
        </w:rPr>
        <w:t>p. ej.</w:t>
      </w:r>
      <w:r w:rsidRPr="00BD1319">
        <w:rPr>
          <w:rFonts w:cs="Arial"/>
          <w:spacing w:val="-3"/>
          <w:lang w:val="es-CO"/>
        </w:rPr>
        <w:t xml:space="preserve"> </w:t>
      </w:r>
      <w:r w:rsidR="001840FC" w:rsidRPr="00BD1319">
        <w:rPr>
          <w:rFonts w:cs="Arial"/>
          <w:spacing w:val="-3"/>
          <w:lang w:val="es-CO"/>
        </w:rPr>
        <w:t xml:space="preserve">tamaño de parche, forma de parche, </w:t>
      </w:r>
      <w:r w:rsidRPr="00BD1319">
        <w:rPr>
          <w:rFonts w:cs="Arial"/>
          <w:spacing w:val="-3"/>
          <w:lang w:val="es-CO"/>
        </w:rPr>
        <w:t>distancia euclidiana al vecino más cercano), métricas de clase (</w:t>
      </w:r>
      <w:r w:rsidR="00041844" w:rsidRPr="00BD1319">
        <w:rPr>
          <w:rFonts w:cs="Arial"/>
          <w:spacing w:val="-3"/>
          <w:lang w:val="es-CO"/>
        </w:rPr>
        <w:t>p. ej.</w:t>
      </w:r>
      <w:r w:rsidRPr="00BD1319">
        <w:rPr>
          <w:rFonts w:cs="Arial"/>
          <w:spacing w:val="-3"/>
          <w:lang w:val="es-CO"/>
        </w:rPr>
        <w:t xml:space="preserve"> área total, número de parches, distancia de borde, radio de giro, índice de forma, índice de dimensión fractal) y métricas de paisaje (</w:t>
      </w:r>
      <w:r w:rsidR="00041844" w:rsidRPr="00BD1319">
        <w:rPr>
          <w:rFonts w:cs="Arial"/>
          <w:spacing w:val="-3"/>
          <w:lang w:val="es-CO"/>
        </w:rPr>
        <w:t>p. ej.</w:t>
      </w:r>
      <w:r w:rsidRPr="00BD1319">
        <w:rPr>
          <w:rFonts w:cs="Arial"/>
          <w:spacing w:val="-3"/>
          <w:lang w:val="es-CO"/>
        </w:rPr>
        <w:t xml:space="preserve"> índices de diversidad</w:t>
      </w:r>
      <w:r w:rsidR="00C76226" w:rsidRPr="00BD1319">
        <w:rPr>
          <w:rFonts w:cs="Arial"/>
          <w:spacing w:val="-3"/>
          <w:lang w:val="es-CO"/>
        </w:rPr>
        <w:t xml:space="preserve">, </w:t>
      </w:r>
      <w:r w:rsidR="001840FC" w:rsidRPr="00BD1319">
        <w:rPr>
          <w:rFonts w:cs="Arial"/>
          <w:spacing w:val="-3"/>
          <w:lang w:val="es-CO"/>
        </w:rPr>
        <w:t xml:space="preserve">índice de </w:t>
      </w:r>
      <w:proofErr w:type="spellStart"/>
      <w:r w:rsidR="001840FC" w:rsidRPr="00BD1319">
        <w:rPr>
          <w:rFonts w:cs="Arial"/>
          <w:spacing w:val="-3"/>
          <w:lang w:val="es-CO"/>
        </w:rPr>
        <w:t>similaridad</w:t>
      </w:r>
      <w:proofErr w:type="spellEnd"/>
      <w:r w:rsidR="001840FC" w:rsidRPr="00BD1319">
        <w:rPr>
          <w:rFonts w:cs="Arial"/>
          <w:spacing w:val="-3"/>
          <w:lang w:val="es-CO"/>
        </w:rPr>
        <w:t>, área de núcleo</w:t>
      </w:r>
      <w:r w:rsidRPr="00BD1319">
        <w:rPr>
          <w:rFonts w:cs="Arial"/>
          <w:spacing w:val="-3"/>
          <w:lang w:val="es-CO"/>
        </w:rPr>
        <w:t xml:space="preserve">) para definir el estado actual </w:t>
      </w:r>
      <w:r w:rsidR="00C76226" w:rsidRPr="00BD1319">
        <w:rPr>
          <w:rFonts w:cs="Arial"/>
          <w:spacing w:val="-3"/>
          <w:lang w:val="es-CO"/>
        </w:rPr>
        <w:t xml:space="preserve">y dinámica </w:t>
      </w:r>
      <w:r w:rsidRPr="00BD1319">
        <w:rPr>
          <w:rFonts w:cs="Arial"/>
          <w:spacing w:val="-3"/>
          <w:lang w:val="es-CO"/>
        </w:rPr>
        <w:t xml:space="preserve">del área </w:t>
      </w:r>
      <w:r w:rsidR="00C76226" w:rsidRPr="00BD1319">
        <w:rPr>
          <w:rFonts w:cs="Arial"/>
          <w:spacing w:val="-3"/>
          <w:lang w:val="es-CO"/>
        </w:rPr>
        <w:t xml:space="preserve">de influencia del </w:t>
      </w:r>
      <w:r w:rsidR="001840FC" w:rsidRPr="00BD1319">
        <w:rPr>
          <w:rFonts w:cs="Arial"/>
          <w:spacing w:val="-3"/>
          <w:lang w:val="es-CO"/>
        </w:rPr>
        <w:t>componente</w:t>
      </w:r>
      <w:r w:rsidR="00C76226" w:rsidRPr="00BD1319">
        <w:rPr>
          <w:rFonts w:cs="Arial"/>
          <w:spacing w:val="-3"/>
          <w:lang w:val="es-CO"/>
        </w:rPr>
        <w:t xml:space="preserve"> </w:t>
      </w:r>
      <w:r w:rsidRPr="00BD1319">
        <w:rPr>
          <w:rFonts w:cs="Arial"/>
          <w:spacing w:val="-3"/>
          <w:lang w:val="es-CO"/>
        </w:rPr>
        <w:t>en términos de tamaño, número de parches, aislamiento y forma. Se deben mencionar los criterios que se tuvieron en cuenta para el cálculo de las métr</w:t>
      </w:r>
      <w:r w:rsidR="00C33ED0" w:rsidRPr="00BD1319">
        <w:rPr>
          <w:rFonts w:cs="Arial"/>
          <w:spacing w:val="-3"/>
          <w:lang w:val="es-CO"/>
        </w:rPr>
        <w:t>icas utilizadas en el análisis.</w:t>
      </w:r>
    </w:p>
    <w:p w14:paraId="3EA095C6" w14:textId="77777777" w:rsidR="00D4646C" w:rsidRPr="00BD1319" w:rsidRDefault="00D4646C" w:rsidP="000D6E21">
      <w:pPr>
        <w:tabs>
          <w:tab w:val="left" w:pos="-2268"/>
        </w:tabs>
        <w:suppressAutoHyphens/>
        <w:rPr>
          <w:rFonts w:cs="Arial"/>
          <w:spacing w:val="-3"/>
        </w:rPr>
      </w:pPr>
    </w:p>
    <w:p w14:paraId="319E9E01" w14:textId="3EAFAA7F" w:rsidR="00D4646C" w:rsidRPr="00BD1319" w:rsidRDefault="009D4EBE" w:rsidP="00D4646C">
      <w:pPr>
        <w:pStyle w:val="Prrafodelista"/>
        <w:numPr>
          <w:ilvl w:val="0"/>
          <w:numId w:val="376"/>
        </w:numPr>
        <w:tabs>
          <w:tab w:val="left" w:pos="-2268"/>
        </w:tabs>
        <w:suppressAutoHyphens/>
        <w:ind w:left="567" w:hanging="567"/>
        <w:rPr>
          <w:rFonts w:cs="Arial"/>
          <w:spacing w:val="-3"/>
          <w:lang w:val="es-CO"/>
        </w:rPr>
      </w:pPr>
      <w:r w:rsidRPr="00BD1319">
        <w:rPr>
          <w:spacing w:val="-3"/>
          <w:lang w:val="es-CO"/>
        </w:rPr>
        <w:t xml:space="preserve">Determinar </w:t>
      </w:r>
      <w:r w:rsidR="00D4646C" w:rsidRPr="00BD1319">
        <w:rPr>
          <w:rFonts w:cs="Arial"/>
          <w:spacing w:val="-3"/>
          <w:lang w:val="es-CO"/>
        </w:rPr>
        <w:t>los agentes que más contribuyen con el cambio</w:t>
      </w:r>
      <w:r w:rsidR="00EE3DE1" w:rsidRPr="00BD1319">
        <w:rPr>
          <w:rFonts w:cs="Arial"/>
          <w:spacing w:val="-3"/>
          <w:lang w:val="es-CO"/>
        </w:rPr>
        <w:t>,</w:t>
      </w:r>
      <w:r w:rsidR="00C76226" w:rsidRPr="00BD1319">
        <w:rPr>
          <w:rFonts w:cs="Arial"/>
          <w:spacing w:val="-3"/>
          <w:lang w:val="es-CO"/>
        </w:rPr>
        <w:t xml:space="preserve"> es decir, los que han </w:t>
      </w:r>
      <w:r w:rsidR="00D4646C" w:rsidRPr="00BD1319">
        <w:rPr>
          <w:rFonts w:cs="Arial"/>
          <w:spacing w:val="-3"/>
          <w:lang w:val="es-CO"/>
        </w:rPr>
        <w:t>genera</w:t>
      </w:r>
      <w:r w:rsidR="00C76226" w:rsidRPr="00BD1319">
        <w:rPr>
          <w:rFonts w:cs="Arial"/>
          <w:spacing w:val="-3"/>
          <w:lang w:val="es-CO"/>
        </w:rPr>
        <w:t xml:space="preserve">do </w:t>
      </w:r>
      <w:r w:rsidR="00D4646C" w:rsidRPr="00BD1319">
        <w:rPr>
          <w:rFonts w:cs="Arial"/>
          <w:spacing w:val="-3"/>
          <w:lang w:val="es-CO"/>
        </w:rPr>
        <w:t xml:space="preserve">las dinámicas de transformación de las coberturas de la tierra y </w:t>
      </w:r>
      <w:r w:rsidR="00C76226" w:rsidRPr="00BD1319">
        <w:rPr>
          <w:rFonts w:cs="Arial"/>
          <w:spacing w:val="-3"/>
          <w:lang w:val="es-CO"/>
        </w:rPr>
        <w:t>que han conducido a</w:t>
      </w:r>
      <w:r w:rsidR="00D4646C" w:rsidRPr="00BD1319">
        <w:rPr>
          <w:rFonts w:cs="Arial"/>
          <w:spacing w:val="-3"/>
          <w:lang w:val="es-CO"/>
        </w:rPr>
        <w:t>l estado actual de fragmentación y pérdida de hábitat.</w:t>
      </w:r>
    </w:p>
    <w:p w14:paraId="2D20545F" w14:textId="77777777" w:rsidR="00D4646C" w:rsidRPr="00BD1319" w:rsidRDefault="00D4646C" w:rsidP="00D4646C">
      <w:pPr>
        <w:tabs>
          <w:tab w:val="left" w:pos="-2268"/>
        </w:tabs>
        <w:suppressAutoHyphens/>
        <w:ind w:left="567" w:hanging="567"/>
        <w:rPr>
          <w:rFonts w:cs="Arial"/>
          <w:spacing w:val="-3"/>
        </w:rPr>
      </w:pPr>
    </w:p>
    <w:p w14:paraId="4C518957" w14:textId="6BEBE871" w:rsidR="00D4646C" w:rsidRPr="00BD1319" w:rsidRDefault="00D4646C" w:rsidP="00D4646C">
      <w:pPr>
        <w:pStyle w:val="Prrafodelista"/>
        <w:numPr>
          <w:ilvl w:val="0"/>
          <w:numId w:val="376"/>
        </w:numPr>
        <w:tabs>
          <w:tab w:val="left" w:pos="-2268"/>
        </w:tabs>
        <w:suppressAutoHyphens/>
        <w:ind w:left="567" w:hanging="567"/>
        <w:rPr>
          <w:rFonts w:cs="Arial"/>
          <w:spacing w:val="-3"/>
          <w:lang w:val="es-CO"/>
        </w:rPr>
      </w:pPr>
      <w:r w:rsidRPr="00BD1319">
        <w:rPr>
          <w:rFonts w:cs="Arial"/>
          <w:spacing w:val="-3"/>
          <w:lang w:val="es-CO"/>
        </w:rPr>
        <w:t xml:space="preserve">Realizar el análisis comparativo en el escenario con proyecto y el escenario sin proyecto de los </w:t>
      </w:r>
      <w:r w:rsidR="00C76226" w:rsidRPr="00BD1319">
        <w:rPr>
          <w:rFonts w:cs="Arial"/>
          <w:spacing w:val="-3"/>
          <w:lang w:val="es-CO"/>
        </w:rPr>
        <w:t xml:space="preserve">impactos </w:t>
      </w:r>
      <w:r w:rsidR="00BA762C" w:rsidRPr="00BD1319">
        <w:rPr>
          <w:rFonts w:cs="Arial"/>
          <w:spacing w:val="-3"/>
          <w:lang w:val="es-CO"/>
        </w:rPr>
        <w:t xml:space="preserve">directos e indirectos </w:t>
      </w:r>
      <w:r w:rsidRPr="00BD1319">
        <w:rPr>
          <w:rFonts w:cs="Arial"/>
          <w:spacing w:val="-3"/>
          <w:lang w:val="es-CO"/>
        </w:rPr>
        <w:t xml:space="preserve">de las actividades sobre la fragmentación y pérdida de hábitat, </w:t>
      </w:r>
      <w:r w:rsidR="00C76226" w:rsidRPr="00BD1319">
        <w:rPr>
          <w:rFonts w:cs="Arial"/>
          <w:spacing w:val="-3"/>
          <w:lang w:val="es-CO"/>
        </w:rPr>
        <w:t xml:space="preserve">involucrando </w:t>
      </w:r>
      <w:r w:rsidRPr="00BD1319">
        <w:rPr>
          <w:rFonts w:cs="Arial"/>
          <w:spacing w:val="-3"/>
          <w:lang w:val="es-CO"/>
        </w:rPr>
        <w:t xml:space="preserve">los resultados del análisis multitemporal de coberturas de la tierra. </w:t>
      </w:r>
      <w:r w:rsidR="00C76226" w:rsidRPr="00BD1319">
        <w:rPr>
          <w:rFonts w:cs="Arial"/>
          <w:spacing w:val="-3"/>
          <w:lang w:val="es-CO"/>
        </w:rPr>
        <w:t xml:space="preserve">Para </w:t>
      </w:r>
      <w:r w:rsidRPr="00BD1319">
        <w:rPr>
          <w:rFonts w:cs="Arial"/>
          <w:spacing w:val="-3"/>
          <w:lang w:val="es-CO"/>
        </w:rPr>
        <w:t xml:space="preserve">el análisis de los </w:t>
      </w:r>
      <w:r w:rsidR="00C76226" w:rsidRPr="00BD1319">
        <w:rPr>
          <w:rFonts w:cs="Arial"/>
          <w:spacing w:val="-3"/>
          <w:lang w:val="es-CO"/>
        </w:rPr>
        <w:t>impactos</w:t>
      </w:r>
      <w:r w:rsidRPr="00BD1319">
        <w:rPr>
          <w:rFonts w:cs="Arial"/>
          <w:spacing w:val="-3"/>
          <w:lang w:val="es-CO"/>
        </w:rPr>
        <w:t xml:space="preserve"> </w:t>
      </w:r>
      <w:r w:rsidR="00C76226" w:rsidRPr="00BD1319">
        <w:rPr>
          <w:rFonts w:cs="Arial"/>
          <w:spacing w:val="-3"/>
          <w:lang w:val="es-CO"/>
        </w:rPr>
        <w:t xml:space="preserve">tener en cuenta cómo se pueden alterar </w:t>
      </w:r>
      <w:r w:rsidRPr="00BD1319">
        <w:rPr>
          <w:rFonts w:cs="Arial"/>
          <w:spacing w:val="-3"/>
          <w:lang w:val="es-CO"/>
        </w:rPr>
        <w:t>los patrones del paisaje</w:t>
      </w:r>
      <w:r w:rsidR="00C76226" w:rsidRPr="00BD1319">
        <w:rPr>
          <w:rFonts w:cs="Arial"/>
          <w:spacing w:val="-3"/>
          <w:lang w:val="es-CO"/>
        </w:rPr>
        <w:t xml:space="preserve">, que según </w:t>
      </w:r>
      <w:proofErr w:type="spellStart"/>
      <w:r w:rsidR="00C76226" w:rsidRPr="00BD1319">
        <w:rPr>
          <w:rFonts w:cs="Arial"/>
          <w:spacing w:val="-3"/>
          <w:lang w:val="es-CO"/>
        </w:rPr>
        <w:t>Collinge</w:t>
      </w:r>
      <w:proofErr w:type="spellEnd"/>
      <w:r w:rsidR="00C76226" w:rsidRPr="00BD1319">
        <w:rPr>
          <w:rFonts w:cs="Arial"/>
          <w:spacing w:val="-3"/>
          <w:lang w:val="es-CO"/>
        </w:rPr>
        <w:t xml:space="preserve"> y Forman (1998),</w:t>
      </w:r>
      <w:r w:rsidRPr="00BD1319">
        <w:rPr>
          <w:rFonts w:cs="Arial"/>
          <w:spacing w:val="-3"/>
          <w:lang w:val="es-CO"/>
        </w:rPr>
        <w:t xml:space="preserve"> </w:t>
      </w:r>
      <w:r w:rsidR="00C76226" w:rsidRPr="00BD1319">
        <w:rPr>
          <w:rFonts w:cs="Arial"/>
          <w:spacing w:val="-3"/>
          <w:lang w:val="es-CO"/>
        </w:rPr>
        <w:t xml:space="preserve">pueden responder a una </w:t>
      </w:r>
      <w:r w:rsidRPr="00BD1319">
        <w:rPr>
          <w:rFonts w:cs="Arial"/>
          <w:spacing w:val="-3"/>
          <w:lang w:val="es-CO"/>
        </w:rPr>
        <w:t xml:space="preserve">contracción, bisección, fragmentación (en un sentido estricto) </w:t>
      </w:r>
      <w:r w:rsidR="00C76226" w:rsidRPr="00BD1319">
        <w:rPr>
          <w:rFonts w:cs="Arial"/>
          <w:spacing w:val="-3"/>
          <w:lang w:val="es-CO"/>
        </w:rPr>
        <w:t>o</w:t>
      </w:r>
      <w:r w:rsidRPr="00BD1319">
        <w:rPr>
          <w:rFonts w:cs="Arial"/>
          <w:spacing w:val="-3"/>
          <w:lang w:val="es-CO"/>
        </w:rPr>
        <w:t xml:space="preserve"> perforación. </w:t>
      </w:r>
      <w:r w:rsidR="00C76226" w:rsidRPr="00BD1319">
        <w:rPr>
          <w:rFonts w:cs="Arial"/>
          <w:spacing w:val="-3"/>
          <w:lang w:val="es-CO"/>
        </w:rPr>
        <w:t>Asimismo,</w:t>
      </w:r>
      <w:r w:rsidRPr="00BD1319">
        <w:rPr>
          <w:rFonts w:cs="Arial"/>
          <w:spacing w:val="-3"/>
          <w:lang w:val="es-CO"/>
        </w:rPr>
        <w:t xml:space="preserve"> </w:t>
      </w:r>
      <w:r w:rsidR="00C76226" w:rsidRPr="00BD1319">
        <w:rPr>
          <w:rFonts w:cs="Arial"/>
          <w:spacing w:val="-3"/>
          <w:lang w:val="es-CO"/>
        </w:rPr>
        <w:t xml:space="preserve">se debe </w:t>
      </w:r>
      <w:r w:rsidRPr="00BD1319">
        <w:rPr>
          <w:rFonts w:cs="Arial"/>
          <w:spacing w:val="-3"/>
          <w:lang w:val="es-CO"/>
        </w:rPr>
        <w:t>cuantifica</w:t>
      </w:r>
      <w:r w:rsidR="00C76226" w:rsidRPr="00BD1319">
        <w:rPr>
          <w:rFonts w:cs="Arial"/>
          <w:spacing w:val="-3"/>
          <w:lang w:val="es-CO"/>
        </w:rPr>
        <w:t xml:space="preserve">r </w:t>
      </w:r>
      <w:r w:rsidRPr="00BD1319">
        <w:rPr>
          <w:rFonts w:cs="Arial"/>
          <w:spacing w:val="-3"/>
          <w:lang w:val="es-CO"/>
        </w:rPr>
        <w:t>la composición y configuración del paisaje.</w:t>
      </w:r>
    </w:p>
    <w:p w14:paraId="4F41BAA8" w14:textId="77777777" w:rsidR="00956C95" w:rsidRPr="00BD1319" w:rsidRDefault="00956C95" w:rsidP="00D4646C">
      <w:pPr>
        <w:tabs>
          <w:tab w:val="left" w:pos="-2268"/>
        </w:tabs>
        <w:suppressAutoHyphens/>
        <w:rPr>
          <w:spacing w:val="-3"/>
        </w:rPr>
      </w:pPr>
    </w:p>
    <w:p w14:paraId="23914A5C" w14:textId="3143BFB1" w:rsidR="00D4646C" w:rsidRPr="00BD1319" w:rsidRDefault="00D4646C" w:rsidP="002833FB">
      <w:pPr>
        <w:pStyle w:val="Ttulo5"/>
        <w:tabs>
          <w:tab w:val="clear" w:pos="2160"/>
          <w:tab w:val="num" w:pos="1134"/>
        </w:tabs>
        <w:ind w:left="1134" w:hanging="1134"/>
        <w:rPr>
          <w:lang w:val="es-CO"/>
        </w:rPr>
      </w:pPr>
      <w:bookmarkStart w:id="2889" w:name="_Ref79492801"/>
      <w:r w:rsidRPr="00BD1319">
        <w:rPr>
          <w:lang w:val="es-CO"/>
        </w:rPr>
        <w:t>Análisis de conectividad</w:t>
      </w:r>
      <w:bookmarkEnd w:id="2889"/>
    </w:p>
    <w:p w14:paraId="17DE7155" w14:textId="77777777" w:rsidR="00D4646C" w:rsidRPr="00BD1319" w:rsidRDefault="00D4646C" w:rsidP="00D4646C">
      <w:pPr>
        <w:numPr>
          <w:ilvl w:val="12"/>
          <w:numId w:val="0"/>
        </w:numPr>
        <w:tabs>
          <w:tab w:val="left" w:pos="-2268"/>
        </w:tabs>
        <w:suppressAutoHyphens/>
        <w:rPr>
          <w:rFonts w:cs="Arial"/>
          <w:spacing w:val="-3"/>
        </w:rPr>
      </w:pPr>
    </w:p>
    <w:p w14:paraId="0422E3B2" w14:textId="3CB1D1D5" w:rsidR="007D2105" w:rsidRPr="00BD1319" w:rsidRDefault="007D2105" w:rsidP="007D2105">
      <w:pPr>
        <w:numPr>
          <w:ilvl w:val="12"/>
          <w:numId w:val="0"/>
        </w:numPr>
        <w:tabs>
          <w:tab w:val="left" w:pos="-2268"/>
        </w:tabs>
        <w:suppressAutoHyphens/>
        <w:rPr>
          <w:spacing w:val="-3"/>
          <w:lang w:val="es-ES"/>
        </w:rPr>
      </w:pPr>
      <w:r w:rsidRPr="00BD1319">
        <w:rPr>
          <w:spacing w:val="-3"/>
          <w:lang w:val="es-ES"/>
        </w:rPr>
        <w:t xml:space="preserve">El análisis de conectividad se debe desarrollar a partir de la generación de modelos </w:t>
      </w:r>
      <w:proofErr w:type="spellStart"/>
      <w:r w:rsidRPr="00BD1319">
        <w:rPr>
          <w:spacing w:val="-3"/>
          <w:lang w:val="es-ES"/>
        </w:rPr>
        <w:t>multiespecie</w:t>
      </w:r>
      <w:proofErr w:type="spellEnd"/>
      <w:r w:rsidRPr="00BD1319">
        <w:rPr>
          <w:spacing w:val="-3"/>
          <w:lang w:val="es-ES"/>
        </w:rPr>
        <w:t xml:space="preserve"> de conectividad ecológica funcional, a escala 1:25.000 o más detallada, </w:t>
      </w:r>
      <w:r w:rsidRPr="00BD1319">
        <w:rPr>
          <w:rFonts w:cs="Arial"/>
          <w:spacing w:val="-3"/>
        </w:rPr>
        <w:t>aplicando los siguientes lineamientos:</w:t>
      </w:r>
    </w:p>
    <w:p w14:paraId="341426D7" w14:textId="77777777" w:rsidR="007D2105" w:rsidRPr="00BD1319" w:rsidRDefault="007D2105" w:rsidP="007F44B8">
      <w:pPr>
        <w:numPr>
          <w:ilvl w:val="12"/>
          <w:numId w:val="0"/>
        </w:numPr>
        <w:tabs>
          <w:tab w:val="left" w:pos="-2268"/>
        </w:tabs>
        <w:suppressAutoHyphens/>
        <w:rPr>
          <w:rFonts w:cs="Arial"/>
          <w:spacing w:val="-3"/>
        </w:rPr>
      </w:pPr>
    </w:p>
    <w:p w14:paraId="257A80C4" w14:textId="0A5516E4" w:rsidR="00DA4E65" w:rsidRPr="00BD1319" w:rsidRDefault="00E83F37" w:rsidP="000D6E21">
      <w:pPr>
        <w:pStyle w:val="Prrafodelista"/>
        <w:numPr>
          <w:ilvl w:val="0"/>
          <w:numId w:val="648"/>
        </w:numPr>
        <w:tabs>
          <w:tab w:val="left" w:pos="-2268"/>
        </w:tabs>
        <w:suppressAutoHyphens/>
        <w:ind w:left="567" w:hanging="567"/>
        <w:rPr>
          <w:rFonts w:cs="Arial"/>
          <w:spacing w:val="-3"/>
        </w:rPr>
      </w:pPr>
      <w:r w:rsidRPr="00BD1319">
        <w:rPr>
          <w:rFonts w:cs="Arial"/>
          <w:spacing w:val="-3"/>
          <w:lang w:val="es-CO"/>
        </w:rPr>
        <w:t>M</w:t>
      </w:r>
      <w:r w:rsidR="00DA4E65" w:rsidRPr="00BD1319">
        <w:rPr>
          <w:rFonts w:cs="Arial"/>
          <w:spacing w:val="-3"/>
          <w:lang w:val="es-CO"/>
        </w:rPr>
        <w:t>odel</w:t>
      </w:r>
      <w:r w:rsidR="00FC3A76" w:rsidRPr="00BD1319">
        <w:rPr>
          <w:rFonts w:cs="Arial"/>
          <w:spacing w:val="-3"/>
          <w:lang w:val="es-CO"/>
        </w:rPr>
        <w:t>iza</w:t>
      </w:r>
      <w:r w:rsidRPr="00BD1319">
        <w:rPr>
          <w:rFonts w:cs="Arial"/>
          <w:spacing w:val="-3"/>
          <w:lang w:val="es-CO"/>
        </w:rPr>
        <w:t xml:space="preserve">r </w:t>
      </w:r>
      <w:r w:rsidR="00DA4E65" w:rsidRPr="00BD1319">
        <w:rPr>
          <w:rFonts w:cs="Arial"/>
          <w:spacing w:val="-3"/>
          <w:lang w:val="es-CO"/>
        </w:rPr>
        <w:t xml:space="preserve">la distribución potencial de las especies </w:t>
      </w:r>
      <w:r w:rsidR="000457FA" w:rsidRPr="00BD1319">
        <w:rPr>
          <w:rFonts w:cs="Arial"/>
          <w:spacing w:val="-3"/>
          <w:lang w:val="es-CO"/>
        </w:rPr>
        <w:t xml:space="preserve">de fauna </w:t>
      </w:r>
      <w:r w:rsidR="00DA4E65" w:rsidRPr="00BD1319">
        <w:rPr>
          <w:rFonts w:cs="Arial"/>
          <w:spacing w:val="-3"/>
          <w:lang w:val="es-CO"/>
        </w:rPr>
        <w:t>con el mayor potencial de afectación por el proyecto</w:t>
      </w:r>
      <w:r w:rsidR="00CD2AFD" w:rsidRPr="00BD1319">
        <w:rPr>
          <w:rFonts w:cs="Arial"/>
          <w:spacing w:val="-3"/>
          <w:lang w:val="es-CO"/>
        </w:rPr>
        <w:t xml:space="preserve">, obra o actividad, es decir, aquellas </w:t>
      </w:r>
      <w:r w:rsidR="00DA4E65" w:rsidRPr="00BD1319">
        <w:rPr>
          <w:rFonts w:cs="Arial"/>
          <w:spacing w:val="-3"/>
          <w:lang w:val="es-CO"/>
        </w:rPr>
        <w:t xml:space="preserve">especies </w:t>
      </w:r>
      <w:r w:rsidR="00BF276B" w:rsidRPr="00BD1319">
        <w:rPr>
          <w:rFonts w:cs="Arial"/>
          <w:spacing w:val="-3"/>
          <w:lang w:val="es-CO"/>
        </w:rPr>
        <w:t xml:space="preserve">incorporadas a la caracterización del área de influencia </w:t>
      </w:r>
      <w:r w:rsidR="00DA4E65" w:rsidRPr="00BD1319">
        <w:rPr>
          <w:rFonts w:cs="Arial"/>
          <w:spacing w:val="-3"/>
          <w:lang w:val="es-CO"/>
        </w:rPr>
        <w:t xml:space="preserve">que presenten </w:t>
      </w:r>
      <w:r w:rsidR="00DA4E65" w:rsidRPr="00BD1319">
        <w:rPr>
          <w:rFonts w:cs="Arial"/>
          <w:spacing w:val="-3"/>
          <w:lang w:val="es-CO"/>
        </w:rPr>
        <w:lastRenderedPageBreak/>
        <w:t xml:space="preserve">alguna de las siguientes características: i) </w:t>
      </w:r>
      <w:r w:rsidR="00FC3A76" w:rsidRPr="00BD1319">
        <w:rPr>
          <w:rFonts w:cs="Arial"/>
          <w:spacing w:val="-3"/>
          <w:lang w:val="es-CO"/>
        </w:rPr>
        <w:t xml:space="preserve">tener </w:t>
      </w:r>
      <w:r w:rsidR="00DA4E65" w:rsidRPr="00BD1319">
        <w:rPr>
          <w:rFonts w:cs="Arial"/>
          <w:spacing w:val="-3"/>
          <w:lang w:val="es-CO"/>
        </w:rPr>
        <w:t xml:space="preserve">alta sensibilidad a los impactos generados por el proyecto, </w:t>
      </w:r>
      <w:proofErr w:type="spellStart"/>
      <w:r w:rsidR="00DA4E65" w:rsidRPr="00BD1319">
        <w:rPr>
          <w:rFonts w:cs="Arial"/>
          <w:spacing w:val="-3"/>
          <w:lang w:val="es-CO"/>
        </w:rPr>
        <w:t>ii</w:t>
      </w:r>
      <w:proofErr w:type="spellEnd"/>
      <w:r w:rsidR="00DA4E65" w:rsidRPr="00BD1319">
        <w:rPr>
          <w:rFonts w:cs="Arial"/>
          <w:spacing w:val="-3"/>
          <w:lang w:val="es-CO"/>
        </w:rPr>
        <w:t xml:space="preserve">) </w:t>
      </w:r>
      <w:r w:rsidR="00FC3A76" w:rsidRPr="00BD1319">
        <w:rPr>
          <w:rFonts w:cs="Arial"/>
          <w:spacing w:val="-3"/>
          <w:lang w:val="es-CO"/>
        </w:rPr>
        <w:t xml:space="preserve">desempeñar </w:t>
      </w:r>
      <w:r w:rsidR="00DA4E65" w:rsidRPr="00BD1319">
        <w:rPr>
          <w:rFonts w:cs="Arial"/>
          <w:spacing w:val="-3"/>
          <w:lang w:val="es-CO"/>
        </w:rPr>
        <w:t>roles funcionales clave como dispersión de semillas, polinización</w:t>
      </w:r>
      <w:r w:rsidR="00FC3A76" w:rsidRPr="00BD1319">
        <w:rPr>
          <w:rFonts w:cs="Arial"/>
          <w:spacing w:val="-3"/>
          <w:lang w:val="es-CO"/>
        </w:rPr>
        <w:t xml:space="preserve"> o</w:t>
      </w:r>
      <w:r w:rsidR="00DA4E65" w:rsidRPr="00BD1319">
        <w:rPr>
          <w:rFonts w:cs="Arial"/>
          <w:spacing w:val="-3"/>
          <w:lang w:val="es-CO"/>
        </w:rPr>
        <w:t xml:space="preserve"> depredación, </w:t>
      </w:r>
      <w:proofErr w:type="spellStart"/>
      <w:r w:rsidR="00DA4E65" w:rsidRPr="00BD1319">
        <w:rPr>
          <w:rFonts w:cs="Arial"/>
          <w:spacing w:val="-3"/>
          <w:lang w:val="es-CO"/>
        </w:rPr>
        <w:t>iii</w:t>
      </w:r>
      <w:proofErr w:type="spellEnd"/>
      <w:r w:rsidR="00DA4E65" w:rsidRPr="00BD1319">
        <w:rPr>
          <w:rFonts w:cs="Arial"/>
          <w:spacing w:val="-3"/>
          <w:lang w:val="es-CO"/>
        </w:rPr>
        <w:t xml:space="preserve">) </w:t>
      </w:r>
      <w:r w:rsidR="00FC3A76" w:rsidRPr="00BD1319">
        <w:rPr>
          <w:rFonts w:cs="Arial"/>
          <w:spacing w:val="-3"/>
          <w:lang w:val="es-CO"/>
        </w:rPr>
        <w:t xml:space="preserve">estar en </w:t>
      </w:r>
      <w:r w:rsidR="005820C4" w:rsidRPr="00BD1319">
        <w:rPr>
          <w:spacing w:val="-3"/>
        </w:rPr>
        <w:t>amenaza</w:t>
      </w:r>
      <w:r w:rsidR="005820C4" w:rsidRPr="00BD1319">
        <w:rPr>
          <w:rFonts w:cs="Arial"/>
          <w:spacing w:val="-3"/>
          <w:lang w:val="es-CO"/>
        </w:rPr>
        <w:t xml:space="preserve"> </w:t>
      </w:r>
      <w:r w:rsidR="00FC3A76" w:rsidRPr="00BD1319">
        <w:rPr>
          <w:rFonts w:cs="Arial"/>
          <w:spacing w:val="-3"/>
          <w:lang w:val="es-CO"/>
        </w:rPr>
        <w:t>de extinción</w:t>
      </w:r>
      <w:r w:rsidR="000457FA" w:rsidRPr="00BD1319">
        <w:rPr>
          <w:rFonts w:cs="Arial"/>
          <w:spacing w:val="-3"/>
          <w:lang w:val="es-CO"/>
        </w:rPr>
        <w:t xml:space="preserve"> (en peligro crítico, en peligro o vulnerable) o</w:t>
      </w:r>
      <w:r w:rsidR="00FC3A76" w:rsidRPr="00BD1319">
        <w:rPr>
          <w:rFonts w:cs="Arial"/>
          <w:spacing w:val="-3"/>
          <w:lang w:val="es-CO"/>
        </w:rPr>
        <w:t xml:space="preserve"> ser </w:t>
      </w:r>
      <w:r w:rsidR="00DA4E65" w:rsidRPr="00BD1319">
        <w:rPr>
          <w:rFonts w:cs="Arial"/>
          <w:spacing w:val="-3"/>
          <w:lang w:val="es-CO"/>
        </w:rPr>
        <w:t>end</w:t>
      </w:r>
      <w:r w:rsidR="00FC3A76" w:rsidRPr="00BD1319">
        <w:rPr>
          <w:rFonts w:cs="Arial"/>
          <w:spacing w:val="-3"/>
          <w:lang w:val="es-CO"/>
        </w:rPr>
        <w:t>émica</w:t>
      </w:r>
      <w:r w:rsidR="000457FA" w:rsidRPr="00BD1319">
        <w:rPr>
          <w:rFonts w:cs="Arial"/>
          <w:spacing w:val="-3"/>
          <w:lang w:val="es-CO"/>
        </w:rPr>
        <w:t xml:space="preserve"> o</w:t>
      </w:r>
      <w:r w:rsidR="00FB17FC" w:rsidRPr="00BD1319">
        <w:rPr>
          <w:rFonts w:cs="Arial"/>
          <w:spacing w:val="-3"/>
          <w:lang w:val="es-CO"/>
        </w:rPr>
        <w:t xml:space="preserve"> </w:t>
      </w:r>
      <w:r w:rsidR="00FB17FC" w:rsidRPr="00BD1319">
        <w:rPr>
          <w:spacing w:val="-3"/>
        </w:rPr>
        <w:t>migra</w:t>
      </w:r>
      <w:r w:rsidR="000457FA" w:rsidRPr="00BD1319">
        <w:rPr>
          <w:spacing w:val="-3"/>
        </w:rPr>
        <w:t>toria</w:t>
      </w:r>
      <w:r w:rsidR="00DA4E65" w:rsidRPr="00BD1319">
        <w:rPr>
          <w:rFonts w:cs="Arial"/>
          <w:spacing w:val="-3"/>
          <w:lang w:val="es-CO"/>
        </w:rPr>
        <w:t xml:space="preserve">, </w:t>
      </w:r>
      <w:proofErr w:type="spellStart"/>
      <w:r w:rsidR="00DA4E65" w:rsidRPr="00BD1319">
        <w:rPr>
          <w:rFonts w:cs="Arial"/>
          <w:spacing w:val="-3"/>
          <w:lang w:val="es-CO"/>
        </w:rPr>
        <w:t>iv</w:t>
      </w:r>
      <w:proofErr w:type="spellEnd"/>
      <w:r w:rsidR="00DA4E65" w:rsidRPr="00BD1319">
        <w:rPr>
          <w:rFonts w:cs="Arial"/>
          <w:spacing w:val="-3"/>
          <w:lang w:val="es-CO"/>
        </w:rPr>
        <w:t xml:space="preserve">) </w:t>
      </w:r>
      <w:r w:rsidR="00FC3A76" w:rsidRPr="00BD1319">
        <w:rPr>
          <w:rFonts w:cs="Arial"/>
          <w:spacing w:val="-3"/>
          <w:lang w:val="es-CO"/>
        </w:rPr>
        <w:t>tener diferentes requerimientos de hábitat</w:t>
      </w:r>
      <w:r w:rsidR="000457FA" w:rsidRPr="00BD1319">
        <w:rPr>
          <w:rFonts w:cs="Arial"/>
          <w:spacing w:val="-3"/>
          <w:lang w:val="es-CO"/>
        </w:rPr>
        <w:t xml:space="preserve"> o</w:t>
      </w:r>
      <w:r w:rsidR="00FC3A76" w:rsidRPr="00BD1319">
        <w:rPr>
          <w:rFonts w:cs="Arial"/>
          <w:spacing w:val="-3"/>
          <w:lang w:val="es-CO"/>
        </w:rPr>
        <w:t xml:space="preserve"> estrategias de movilidad</w:t>
      </w:r>
      <w:r w:rsidR="00FB17FC" w:rsidRPr="00BD1319">
        <w:rPr>
          <w:rFonts w:cs="Arial"/>
          <w:spacing w:val="-3"/>
          <w:lang w:val="es-CO"/>
        </w:rPr>
        <w:t xml:space="preserve">, v) </w:t>
      </w:r>
      <w:r w:rsidR="000457FA" w:rsidRPr="00BD1319">
        <w:rPr>
          <w:rFonts w:cs="Arial"/>
          <w:spacing w:val="-3"/>
          <w:lang w:val="es-CO"/>
        </w:rPr>
        <w:t xml:space="preserve">tener </w:t>
      </w:r>
      <w:r w:rsidR="000457FA" w:rsidRPr="00BD1319">
        <w:rPr>
          <w:spacing w:val="-3"/>
        </w:rPr>
        <w:t xml:space="preserve">importancia </w:t>
      </w:r>
      <w:r w:rsidR="00FB17FC" w:rsidRPr="00BD1319">
        <w:rPr>
          <w:spacing w:val="-3"/>
        </w:rPr>
        <w:t>socioeconómic</w:t>
      </w:r>
      <w:r w:rsidR="000457FA" w:rsidRPr="00BD1319">
        <w:rPr>
          <w:spacing w:val="-3"/>
        </w:rPr>
        <w:t>a o cultural</w:t>
      </w:r>
      <w:r w:rsidR="00FB17FC" w:rsidRPr="00BD1319">
        <w:rPr>
          <w:spacing w:val="-3"/>
        </w:rPr>
        <w:t xml:space="preserve"> y, vi) </w:t>
      </w:r>
      <w:r w:rsidR="000457FA" w:rsidRPr="00BD1319">
        <w:rPr>
          <w:spacing w:val="-3"/>
        </w:rPr>
        <w:t xml:space="preserve">tener información </w:t>
      </w:r>
      <w:r w:rsidR="00FB17FC" w:rsidRPr="00BD1319">
        <w:rPr>
          <w:spacing w:val="-3"/>
        </w:rPr>
        <w:t>disponib</w:t>
      </w:r>
      <w:r w:rsidR="000457FA" w:rsidRPr="00BD1319">
        <w:rPr>
          <w:spacing w:val="-3"/>
        </w:rPr>
        <w:t>le</w:t>
      </w:r>
      <w:r w:rsidR="00FB17FC" w:rsidRPr="00BD1319">
        <w:rPr>
          <w:spacing w:val="-3"/>
        </w:rPr>
        <w:t>.</w:t>
      </w:r>
    </w:p>
    <w:p w14:paraId="6279F4A2" w14:textId="77777777" w:rsidR="005820C4" w:rsidRPr="00BD1319" w:rsidRDefault="005820C4" w:rsidP="00D4646C">
      <w:pPr>
        <w:numPr>
          <w:ilvl w:val="12"/>
          <w:numId w:val="0"/>
        </w:numPr>
        <w:tabs>
          <w:tab w:val="left" w:pos="-2268"/>
        </w:tabs>
        <w:suppressAutoHyphens/>
        <w:rPr>
          <w:rFonts w:cs="Arial"/>
          <w:spacing w:val="-3"/>
        </w:rPr>
      </w:pPr>
    </w:p>
    <w:p w14:paraId="35377221" w14:textId="0EB6B485" w:rsidR="008071BC" w:rsidRPr="00BD1319" w:rsidRDefault="008071BC" w:rsidP="000D6E21">
      <w:pPr>
        <w:numPr>
          <w:ilvl w:val="12"/>
          <w:numId w:val="0"/>
        </w:numPr>
        <w:tabs>
          <w:tab w:val="left" w:pos="-2268"/>
        </w:tabs>
        <w:suppressAutoHyphens/>
        <w:ind w:left="567"/>
        <w:rPr>
          <w:rFonts w:cs="Arial"/>
          <w:spacing w:val="-3"/>
          <w:lang w:val="es"/>
        </w:rPr>
      </w:pPr>
      <w:r w:rsidRPr="00BD1319">
        <w:rPr>
          <w:rFonts w:cs="Arial"/>
          <w:spacing w:val="-3"/>
          <w:lang w:val="es"/>
        </w:rPr>
        <w:t xml:space="preserve">El modelo debe desarrollarse </w:t>
      </w:r>
      <w:r w:rsidR="00E475E8" w:rsidRPr="00BD1319">
        <w:rPr>
          <w:rFonts w:cs="Arial"/>
          <w:spacing w:val="-3"/>
          <w:lang w:val="es"/>
        </w:rPr>
        <w:t xml:space="preserve">a partir de </w:t>
      </w:r>
      <w:r w:rsidR="0096131B" w:rsidRPr="00BD1319">
        <w:rPr>
          <w:rFonts w:cs="Arial"/>
          <w:spacing w:val="-3"/>
          <w:lang w:val="es"/>
        </w:rPr>
        <w:t>información geográfica</w:t>
      </w:r>
      <w:r w:rsidR="00E475E8" w:rsidRPr="00BD1319">
        <w:rPr>
          <w:rFonts w:cs="Arial"/>
          <w:spacing w:val="-3"/>
          <w:lang w:val="es"/>
        </w:rPr>
        <w:t>, relacionando</w:t>
      </w:r>
      <w:r w:rsidR="0096131B" w:rsidRPr="00BD1319">
        <w:rPr>
          <w:rFonts w:cs="Arial"/>
          <w:spacing w:val="-3"/>
          <w:lang w:val="es"/>
        </w:rPr>
        <w:t xml:space="preserve"> </w:t>
      </w:r>
      <w:r w:rsidRPr="00BD1319">
        <w:rPr>
          <w:rFonts w:cs="Arial"/>
          <w:spacing w:val="-3"/>
          <w:lang w:val="es"/>
        </w:rPr>
        <w:t xml:space="preserve">los registros de ocurrencia de </w:t>
      </w:r>
      <w:r w:rsidR="0011164E" w:rsidRPr="00BD1319">
        <w:rPr>
          <w:rFonts w:cs="Arial"/>
          <w:spacing w:val="-3"/>
          <w:lang w:val="es"/>
        </w:rPr>
        <w:t xml:space="preserve">las </w:t>
      </w:r>
      <w:r w:rsidRPr="00BD1319">
        <w:rPr>
          <w:rFonts w:cs="Arial"/>
          <w:spacing w:val="-3"/>
          <w:lang w:val="es"/>
        </w:rPr>
        <w:t xml:space="preserve">especies </w:t>
      </w:r>
      <w:r w:rsidR="0011164E" w:rsidRPr="00BD1319">
        <w:rPr>
          <w:rFonts w:cs="Arial"/>
          <w:spacing w:val="-3"/>
          <w:lang w:val="es"/>
        </w:rPr>
        <w:t xml:space="preserve">seleccionadas </w:t>
      </w:r>
      <w:r w:rsidRPr="00BD1319">
        <w:rPr>
          <w:rFonts w:cs="Arial"/>
          <w:spacing w:val="-3"/>
          <w:lang w:val="es"/>
        </w:rPr>
        <w:t xml:space="preserve">con </w:t>
      </w:r>
      <w:r w:rsidR="0011164E" w:rsidRPr="00BD1319">
        <w:rPr>
          <w:rFonts w:cs="Arial"/>
          <w:spacing w:val="-3"/>
          <w:lang w:val="es"/>
        </w:rPr>
        <w:t xml:space="preserve">los </w:t>
      </w:r>
      <w:r w:rsidR="006E5BF4" w:rsidRPr="00BD1319">
        <w:rPr>
          <w:rFonts w:cs="Arial"/>
          <w:spacing w:val="-3"/>
          <w:lang w:val="es"/>
        </w:rPr>
        <w:t xml:space="preserve">datos de </w:t>
      </w:r>
      <w:r w:rsidRPr="00BD1319">
        <w:rPr>
          <w:rFonts w:cs="Arial"/>
          <w:spacing w:val="-3"/>
          <w:lang w:val="es"/>
        </w:rPr>
        <w:t>las características de hábitat o variables ecológicas y ambientales que les resulten óptimos</w:t>
      </w:r>
      <w:r w:rsidRPr="00BD1319">
        <w:rPr>
          <w:rFonts w:cs="Arial"/>
          <w:spacing w:val="-3"/>
          <w:vertAlign w:val="superscript"/>
          <w:lang w:val="es"/>
        </w:rPr>
        <w:footnoteReference w:id="138"/>
      </w:r>
      <w:r w:rsidR="00D42B34" w:rsidRPr="00BD1319">
        <w:rPr>
          <w:rFonts w:cs="Arial"/>
          <w:spacing w:val="-3"/>
          <w:lang w:val="es"/>
        </w:rPr>
        <w:t xml:space="preserve">. </w:t>
      </w:r>
      <w:r w:rsidR="0096131B" w:rsidRPr="00BD1319">
        <w:rPr>
          <w:rFonts w:cs="Arial"/>
          <w:spacing w:val="-3"/>
          <w:lang w:val="es"/>
        </w:rPr>
        <w:t xml:space="preserve">El modelo debe </w:t>
      </w:r>
      <w:r w:rsidR="00D42B34" w:rsidRPr="00BD1319">
        <w:rPr>
          <w:rFonts w:cs="Arial"/>
          <w:spacing w:val="-3"/>
          <w:lang w:val="es"/>
        </w:rPr>
        <w:t>nutrir</w:t>
      </w:r>
      <w:r w:rsidR="0096131B" w:rsidRPr="00BD1319">
        <w:rPr>
          <w:rFonts w:cs="Arial"/>
          <w:spacing w:val="-3"/>
          <w:lang w:val="es"/>
        </w:rPr>
        <w:t>se</w:t>
      </w:r>
      <w:r w:rsidR="00D42B34" w:rsidRPr="00BD1319">
        <w:rPr>
          <w:rFonts w:cs="Arial"/>
          <w:spacing w:val="-3"/>
          <w:lang w:val="es"/>
        </w:rPr>
        <w:t xml:space="preserve"> </w:t>
      </w:r>
      <w:r w:rsidR="0096131B" w:rsidRPr="00BD1319">
        <w:rPr>
          <w:rFonts w:cs="Arial"/>
          <w:spacing w:val="-3"/>
          <w:lang w:val="es"/>
        </w:rPr>
        <w:t xml:space="preserve">con la información </w:t>
      </w:r>
      <w:r w:rsidRPr="00BD1319">
        <w:rPr>
          <w:rFonts w:cs="Arial"/>
          <w:spacing w:val="-3"/>
          <w:lang w:val="es"/>
        </w:rPr>
        <w:t xml:space="preserve">primaria </w:t>
      </w:r>
      <w:r w:rsidR="0096131B" w:rsidRPr="00BD1319">
        <w:rPr>
          <w:rFonts w:cs="Arial"/>
          <w:spacing w:val="-3"/>
          <w:lang w:val="es"/>
        </w:rPr>
        <w:t xml:space="preserve">obtenida para la </w:t>
      </w:r>
      <w:r w:rsidRPr="00BD1319">
        <w:rPr>
          <w:rFonts w:cs="Arial"/>
          <w:spacing w:val="-3"/>
          <w:lang w:val="es"/>
        </w:rPr>
        <w:t xml:space="preserve">caracterización </w:t>
      </w:r>
      <w:r w:rsidR="00F43AE3" w:rsidRPr="00BD1319">
        <w:rPr>
          <w:rFonts w:cs="Arial"/>
          <w:spacing w:val="-3"/>
          <w:lang w:val="es"/>
        </w:rPr>
        <w:t>biótica (</w:t>
      </w:r>
      <w:r w:rsidR="00541CDF" w:rsidRPr="00BD1319">
        <w:rPr>
          <w:rFonts w:cs="Arial"/>
          <w:spacing w:val="-3"/>
          <w:lang w:val="es"/>
        </w:rPr>
        <w:t xml:space="preserve">p. ej. </w:t>
      </w:r>
      <w:r w:rsidR="00CC78BD" w:rsidRPr="00BD1319">
        <w:rPr>
          <w:spacing w:val="-3"/>
        </w:rPr>
        <w:t>riqueza de especies, abundancia y uso de hábitat</w:t>
      </w:r>
      <w:r w:rsidR="008D0F1E" w:rsidRPr="00BD1319">
        <w:rPr>
          <w:spacing w:val="-3"/>
        </w:rPr>
        <w:t>s</w:t>
      </w:r>
      <w:r w:rsidR="00CC78BD" w:rsidRPr="00BD1319">
        <w:rPr>
          <w:spacing w:val="-3"/>
        </w:rPr>
        <w:t xml:space="preserve"> de las especies</w:t>
      </w:r>
      <w:r w:rsidR="008D0F1E" w:rsidRPr="00BD1319">
        <w:rPr>
          <w:spacing w:val="-3"/>
        </w:rPr>
        <w:t xml:space="preserve">, </w:t>
      </w:r>
      <w:r w:rsidR="008D0F1E" w:rsidRPr="00BD1319">
        <w:rPr>
          <w:rFonts w:cs="Arial"/>
          <w:spacing w:val="-3"/>
        </w:rPr>
        <w:t>análisis de fragmentación</w:t>
      </w:r>
      <w:r w:rsidR="00F43AE3" w:rsidRPr="00BD1319">
        <w:rPr>
          <w:rFonts w:cs="Arial"/>
          <w:spacing w:val="-3"/>
          <w:lang w:val="es"/>
        </w:rPr>
        <w:t>) y</w:t>
      </w:r>
      <w:r w:rsidRPr="00BD1319">
        <w:rPr>
          <w:rFonts w:cs="Arial"/>
          <w:spacing w:val="-3"/>
          <w:lang w:val="es"/>
        </w:rPr>
        <w:t xml:space="preserve"> complementar</w:t>
      </w:r>
      <w:r w:rsidR="0096131B" w:rsidRPr="00BD1319">
        <w:rPr>
          <w:rFonts w:cs="Arial"/>
          <w:spacing w:val="-3"/>
          <w:lang w:val="es"/>
        </w:rPr>
        <w:t>se</w:t>
      </w:r>
      <w:r w:rsidRPr="00BD1319">
        <w:rPr>
          <w:rFonts w:cs="Arial"/>
          <w:spacing w:val="-3"/>
          <w:lang w:val="es"/>
        </w:rPr>
        <w:t xml:space="preserve"> con información secundaria</w:t>
      </w:r>
      <w:r w:rsidR="007E1F37" w:rsidRPr="00BD1319">
        <w:rPr>
          <w:rFonts w:cs="Arial"/>
          <w:spacing w:val="-3"/>
          <w:lang w:val="es"/>
        </w:rPr>
        <w:t xml:space="preserve">, por ejemplo, </w:t>
      </w:r>
      <w:r w:rsidR="007C2D08" w:rsidRPr="00BD1319">
        <w:rPr>
          <w:rFonts w:cs="Arial"/>
          <w:spacing w:val="-3"/>
          <w:lang w:val="es"/>
        </w:rPr>
        <w:t>sobre</w:t>
      </w:r>
      <w:r w:rsidR="007C2D08" w:rsidRPr="00BD1319">
        <w:rPr>
          <w:spacing w:val="-3"/>
        </w:rPr>
        <w:t xml:space="preserve"> rangos de hogar </w:t>
      </w:r>
      <w:r w:rsidR="008D0F1E" w:rsidRPr="00BD1319">
        <w:rPr>
          <w:spacing w:val="-3"/>
        </w:rPr>
        <w:t xml:space="preserve">o </w:t>
      </w:r>
      <w:r w:rsidR="007C2D08" w:rsidRPr="00BD1319">
        <w:rPr>
          <w:spacing w:val="-3"/>
        </w:rPr>
        <w:t>distancia de dispersión de las especies seleccionadas</w:t>
      </w:r>
      <w:r w:rsidR="007C2D08" w:rsidRPr="00BD1319">
        <w:rPr>
          <w:rFonts w:cs="Arial"/>
          <w:spacing w:val="-3"/>
          <w:lang w:val="es"/>
        </w:rPr>
        <w:t xml:space="preserve"> </w:t>
      </w:r>
      <w:r w:rsidR="0011164E" w:rsidRPr="00BD1319">
        <w:rPr>
          <w:rFonts w:cs="Arial"/>
          <w:spacing w:val="-3"/>
          <w:lang w:val="es"/>
        </w:rPr>
        <w:t xml:space="preserve">obtenida </w:t>
      </w:r>
      <w:r w:rsidRPr="00BD1319">
        <w:rPr>
          <w:rFonts w:cs="Arial"/>
          <w:spacing w:val="-3"/>
          <w:lang w:val="es"/>
        </w:rPr>
        <w:t>de literatura científica actualizada, bases de datos electrónicas</w:t>
      </w:r>
      <w:r w:rsidRPr="00BD1319">
        <w:rPr>
          <w:rFonts w:cs="Arial"/>
          <w:spacing w:val="-3"/>
          <w:vertAlign w:val="superscript"/>
          <w:lang w:val="es"/>
        </w:rPr>
        <w:footnoteReference w:id="139"/>
      </w:r>
      <w:r w:rsidR="00E475E8" w:rsidRPr="00BD1319">
        <w:rPr>
          <w:rFonts w:cs="Arial"/>
          <w:spacing w:val="-3"/>
          <w:lang w:val="es"/>
        </w:rPr>
        <w:t xml:space="preserve"> o</w:t>
      </w:r>
      <w:r w:rsidRPr="00BD1319">
        <w:rPr>
          <w:rFonts w:cs="Arial"/>
          <w:spacing w:val="-3"/>
          <w:lang w:val="es"/>
        </w:rPr>
        <w:t xml:space="preserve"> </w:t>
      </w:r>
      <w:r w:rsidR="00E475E8" w:rsidRPr="00BD1319">
        <w:rPr>
          <w:rFonts w:cs="Arial"/>
          <w:spacing w:val="-3"/>
          <w:lang w:val="es"/>
        </w:rPr>
        <w:t xml:space="preserve">estudios e investigaciones de </w:t>
      </w:r>
      <w:r w:rsidRPr="00BD1319">
        <w:rPr>
          <w:rFonts w:cs="Arial"/>
          <w:spacing w:val="-3"/>
          <w:lang w:val="es"/>
        </w:rPr>
        <w:t xml:space="preserve">entidades </w:t>
      </w:r>
      <w:r w:rsidR="00E475E8" w:rsidRPr="00BD1319">
        <w:rPr>
          <w:rFonts w:cs="Arial"/>
          <w:spacing w:val="-3"/>
          <w:lang w:val="es"/>
        </w:rPr>
        <w:t xml:space="preserve">e institutos </w:t>
      </w:r>
      <w:r w:rsidRPr="00BD1319">
        <w:rPr>
          <w:rFonts w:cs="Arial"/>
          <w:spacing w:val="-3"/>
          <w:lang w:val="es"/>
        </w:rPr>
        <w:t>de investigación, entre otr</w:t>
      </w:r>
      <w:r w:rsidR="00E475E8" w:rsidRPr="00BD1319">
        <w:rPr>
          <w:rFonts w:cs="Arial"/>
          <w:spacing w:val="-3"/>
          <w:lang w:val="es"/>
        </w:rPr>
        <w:t>as fuentes</w:t>
      </w:r>
      <w:r w:rsidRPr="00BD1319">
        <w:rPr>
          <w:rFonts w:cs="Arial"/>
          <w:spacing w:val="-3"/>
          <w:lang w:val="es"/>
        </w:rPr>
        <w:t>.</w:t>
      </w:r>
    </w:p>
    <w:p w14:paraId="5E39F83C" w14:textId="77777777" w:rsidR="007C2D08" w:rsidRPr="00BD1319" w:rsidRDefault="007C2D08" w:rsidP="000D6E21">
      <w:pPr>
        <w:numPr>
          <w:ilvl w:val="12"/>
          <w:numId w:val="0"/>
        </w:numPr>
        <w:tabs>
          <w:tab w:val="left" w:pos="-2268"/>
        </w:tabs>
        <w:suppressAutoHyphens/>
        <w:rPr>
          <w:rFonts w:cs="Arial"/>
          <w:spacing w:val="-3"/>
          <w:lang w:val="es"/>
        </w:rPr>
      </w:pPr>
    </w:p>
    <w:p w14:paraId="42298AC1" w14:textId="1F3E6E26" w:rsidR="0043341A" w:rsidRPr="00BD1319" w:rsidRDefault="00730B1F" w:rsidP="000D6E21">
      <w:pPr>
        <w:numPr>
          <w:ilvl w:val="12"/>
          <w:numId w:val="0"/>
        </w:numPr>
        <w:tabs>
          <w:tab w:val="left" w:pos="-2268"/>
        </w:tabs>
        <w:suppressAutoHyphens/>
        <w:ind w:left="567"/>
        <w:rPr>
          <w:rFonts w:cs="Arial"/>
          <w:spacing w:val="-3"/>
          <w:lang w:val="es-ES"/>
        </w:rPr>
      </w:pPr>
      <w:r w:rsidRPr="00BD1319">
        <w:rPr>
          <w:rFonts w:cs="Arial"/>
          <w:spacing w:val="-3"/>
          <w:lang w:val="es"/>
        </w:rPr>
        <w:t xml:space="preserve">Para </w:t>
      </w:r>
      <w:r w:rsidR="008E5D96" w:rsidRPr="00BD1319">
        <w:rPr>
          <w:rFonts w:cs="Arial"/>
          <w:spacing w:val="-3"/>
          <w:lang w:val="es"/>
        </w:rPr>
        <w:t xml:space="preserve">establecer </w:t>
      </w:r>
      <w:r w:rsidR="0043341A" w:rsidRPr="00BD1319">
        <w:rPr>
          <w:rFonts w:cs="Arial"/>
          <w:spacing w:val="-3"/>
          <w:lang w:val="es"/>
        </w:rPr>
        <w:t xml:space="preserve">hábitats idóneos </w:t>
      </w:r>
      <w:r w:rsidRPr="00BD1319">
        <w:rPr>
          <w:rFonts w:cs="Arial"/>
          <w:spacing w:val="-3"/>
          <w:lang w:val="es"/>
        </w:rPr>
        <w:t xml:space="preserve">se deben utilizar variables como </w:t>
      </w:r>
      <w:r w:rsidR="0043341A" w:rsidRPr="00BD1319">
        <w:rPr>
          <w:rFonts w:cs="Arial"/>
          <w:spacing w:val="-3"/>
          <w:lang w:val="es"/>
        </w:rPr>
        <w:t>clima, coberturas de la tierra, elevación, calidad del agua</w:t>
      </w:r>
      <w:r w:rsidR="00F43AE3" w:rsidRPr="00BD1319">
        <w:rPr>
          <w:rFonts w:cs="Arial"/>
          <w:spacing w:val="-3"/>
          <w:lang w:val="es"/>
        </w:rPr>
        <w:t xml:space="preserve"> y </w:t>
      </w:r>
      <w:r w:rsidR="0043341A" w:rsidRPr="00BD1319">
        <w:rPr>
          <w:rFonts w:cs="Arial"/>
          <w:spacing w:val="-3"/>
          <w:lang w:val="es"/>
        </w:rPr>
        <w:t>nivel freático</w:t>
      </w:r>
      <w:r w:rsidR="00F43AE3" w:rsidRPr="00BD1319">
        <w:rPr>
          <w:rFonts w:cs="Arial"/>
          <w:spacing w:val="-3"/>
          <w:lang w:val="es"/>
        </w:rPr>
        <w:t xml:space="preserve">, las cuales </w:t>
      </w:r>
      <w:r w:rsidR="0043341A" w:rsidRPr="00BD1319">
        <w:rPr>
          <w:rFonts w:cs="Arial"/>
          <w:spacing w:val="-3"/>
          <w:lang w:val="es"/>
        </w:rPr>
        <w:t xml:space="preserve">pueden </w:t>
      </w:r>
      <w:r w:rsidR="0093770B" w:rsidRPr="00BD1319">
        <w:rPr>
          <w:rFonts w:cs="Arial"/>
          <w:spacing w:val="-3"/>
          <w:lang w:val="es"/>
        </w:rPr>
        <w:t xml:space="preserve">tomarse de </w:t>
      </w:r>
      <w:r w:rsidR="00F86926" w:rsidRPr="00BD1319">
        <w:rPr>
          <w:rFonts w:cs="Arial"/>
          <w:spacing w:val="-3"/>
          <w:lang w:val="es"/>
        </w:rPr>
        <w:t xml:space="preserve">diversos </w:t>
      </w:r>
      <w:r w:rsidR="0093770B" w:rsidRPr="00BD1319">
        <w:rPr>
          <w:rFonts w:cs="Arial"/>
          <w:spacing w:val="-3"/>
          <w:lang w:val="es"/>
        </w:rPr>
        <w:t xml:space="preserve">apartados </w:t>
      </w:r>
      <w:r w:rsidR="0043341A" w:rsidRPr="00BD1319">
        <w:rPr>
          <w:rFonts w:cs="Arial"/>
          <w:spacing w:val="-3"/>
          <w:lang w:val="es"/>
        </w:rPr>
        <w:t xml:space="preserve">de </w:t>
      </w:r>
      <w:r w:rsidR="009A7F8F" w:rsidRPr="00BD1319">
        <w:rPr>
          <w:rFonts w:cs="Arial"/>
          <w:spacing w:val="-3"/>
          <w:lang w:val="es"/>
        </w:rPr>
        <w:t xml:space="preserve">la caracterización </w:t>
      </w:r>
      <w:r w:rsidR="0093770B" w:rsidRPr="00BD1319">
        <w:rPr>
          <w:rFonts w:cs="Arial"/>
          <w:spacing w:val="-3"/>
          <w:lang w:val="es"/>
        </w:rPr>
        <w:t xml:space="preserve">ambiental </w:t>
      </w:r>
      <w:r w:rsidRPr="00BD1319">
        <w:rPr>
          <w:rFonts w:cs="Arial"/>
          <w:spacing w:val="-3"/>
          <w:lang w:val="es"/>
        </w:rPr>
        <w:t xml:space="preserve">del EIA </w:t>
      </w:r>
      <w:r w:rsidR="0043341A" w:rsidRPr="00BD1319">
        <w:rPr>
          <w:rFonts w:cs="Arial"/>
          <w:spacing w:val="-3"/>
          <w:lang w:val="es"/>
        </w:rPr>
        <w:t xml:space="preserve">o </w:t>
      </w:r>
      <w:r w:rsidR="009A7F8F" w:rsidRPr="00BD1319">
        <w:rPr>
          <w:rFonts w:cs="Arial"/>
          <w:spacing w:val="-3"/>
          <w:lang w:val="es"/>
        </w:rPr>
        <w:t xml:space="preserve">de </w:t>
      </w:r>
      <w:r w:rsidR="0043341A" w:rsidRPr="00BD1319">
        <w:rPr>
          <w:rFonts w:cs="Arial"/>
          <w:spacing w:val="-3"/>
          <w:lang w:val="es"/>
        </w:rPr>
        <w:t>plataformas</w:t>
      </w:r>
      <w:r w:rsidR="0043341A" w:rsidRPr="00BD1319">
        <w:rPr>
          <w:rFonts w:cs="Arial"/>
          <w:spacing w:val="-3"/>
          <w:u w:val="single"/>
          <w:lang w:val="es"/>
        </w:rPr>
        <w:t xml:space="preserve"> </w:t>
      </w:r>
      <w:r w:rsidR="0043341A" w:rsidRPr="00BD1319">
        <w:rPr>
          <w:rFonts w:cs="Arial"/>
          <w:spacing w:val="-3"/>
          <w:lang w:val="es"/>
        </w:rPr>
        <w:t>electrónicas</w:t>
      </w:r>
      <w:r w:rsidR="0043341A" w:rsidRPr="00BD1319">
        <w:rPr>
          <w:rFonts w:cs="Arial"/>
          <w:spacing w:val="-3"/>
          <w:vertAlign w:val="superscript"/>
          <w:lang w:val="es"/>
        </w:rPr>
        <w:footnoteReference w:id="140"/>
      </w:r>
      <w:r w:rsidR="0043341A" w:rsidRPr="00BD1319">
        <w:rPr>
          <w:rFonts w:cs="Arial"/>
          <w:spacing w:val="-3"/>
          <w:lang w:val="es"/>
        </w:rPr>
        <w:t xml:space="preserve">. </w:t>
      </w:r>
      <w:r w:rsidR="00C757F7" w:rsidRPr="00BD1319">
        <w:rPr>
          <w:rFonts w:cs="Arial"/>
          <w:spacing w:val="-3"/>
          <w:lang w:val="es"/>
        </w:rPr>
        <w:t xml:space="preserve">Asimismo, es posible </w:t>
      </w:r>
      <w:r w:rsidR="00F86926" w:rsidRPr="00BD1319">
        <w:rPr>
          <w:rFonts w:cs="Arial"/>
          <w:spacing w:val="-3"/>
          <w:lang w:val="es"/>
        </w:rPr>
        <w:t>obten</w:t>
      </w:r>
      <w:r w:rsidR="00C757F7" w:rsidRPr="00BD1319">
        <w:rPr>
          <w:rFonts w:cs="Arial"/>
          <w:spacing w:val="-3"/>
          <w:lang w:val="es"/>
        </w:rPr>
        <w:t xml:space="preserve">er </w:t>
      </w:r>
      <w:r w:rsidR="0043341A" w:rsidRPr="00BD1319">
        <w:rPr>
          <w:rFonts w:cs="Arial"/>
          <w:spacing w:val="-3"/>
          <w:lang w:val="es"/>
        </w:rPr>
        <w:t xml:space="preserve">las variables bioclimáticas </w:t>
      </w:r>
      <w:r w:rsidR="00C757F7" w:rsidRPr="00BD1319">
        <w:rPr>
          <w:rFonts w:cs="Arial"/>
          <w:spacing w:val="-3"/>
          <w:lang w:val="es"/>
        </w:rPr>
        <w:t xml:space="preserve">aplicando los métodos de cálculo descritos en el documento Predictores bioclimáticos para apoyar las aplicaciones ecológicas en los Estados Unidos limítrofes (USGS, 2012), que requieren para </w:t>
      </w:r>
      <w:proofErr w:type="spellStart"/>
      <w:r w:rsidR="00C757F7" w:rsidRPr="00BD1319">
        <w:rPr>
          <w:rFonts w:cs="Arial"/>
          <w:spacing w:val="-3"/>
          <w:lang w:val="es"/>
        </w:rPr>
        <w:t>espacializar</w:t>
      </w:r>
      <w:proofErr w:type="spellEnd"/>
      <w:r w:rsidR="00C757F7" w:rsidRPr="00BD1319">
        <w:rPr>
          <w:rFonts w:cs="Arial"/>
          <w:spacing w:val="-3"/>
          <w:lang w:val="es"/>
        </w:rPr>
        <w:t xml:space="preserve"> los resultados, de </w:t>
      </w:r>
      <w:r w:rsidR="00F86926" w:rsidRPr="00BD1319">
        <w:rPr>
          <w:rFonts w:cs="Arial"/>
          <w:spacing w:val="-3"/>
          <w:lang w:val="es"/>
        </w:rPr>
        <w:t xml:space="preserve">un modelo de elevación digital </w:t>
      </w:r>
      <w:r w:rsidR="00C757F7" w:rsidRPr="00BD1319">
        <w:rPr>
          <w:rFonts w:cs="Arial"/>
          <w:spacing w:val="-3"/>
          <w:lang w:val="es"/>
        </w:rPr>
        <w:t xml:space="preserve">con una resolución espacial menor de 30 m </w:t>
      </w:r>
      <w:r w:rsidR="00F86926" w:rsidRPr="00BD1319">
        <w:rPr>
          <w:rFonts w:cs="Arial"/>
          <w:spacing w:val="-3"/>
          <w:lang w:val="es"/>
        </w:rPr>
        <w:t xml:space="preserve">y de datos de precipitación </w:t>
      </w:r>
      <w:r w:rsidR="00C757F7" w:rsidRPr="00BD1319">
        <w:rPr>
          <w:rFonts w:cs="Arial"/>
          <w:spacing w:val="-3"/>
          <w:lang w:val="es"/>
        </w:rPr>
        <w:t xml:space="preserve">diaria </w:t>
      </w:r>
      <w:r w:rsidR="00F86926" w:rsidRPr="00BD1319">
        <w:rPr>
          <w:rFonts w:cs="Arial"/>
          <w:spacing w:val="-3"/>
          <w:lang w:val="es"/>
        </w:rPr>
        <w:t xml:space="preserve">y </w:t>
      </w:r>
      <w:r w:rsidR="00C757F7" w:rsidRPr="00BD1319">
        <w:rPr>
          <w:rFonts w:cs="Arial"/>
          <w:spacing w:val="-3"/>
          <w:lang w:val="es"/>
        </w:rPr>
        <w:t xml:space="preserve">de </w:t>
      </w:r>
      <w:r w:rsidR="00F86926" w:rsidRPr="00BD1319">
        <w:rPr>
          <w:rFonts w:cs="Arial"/>
          <w:spacing w:val="-3"/>
          <w:lang w:val="es"/>
        </w:rPr>
        <w:t>temperatura máxima, mínima y media</w:t>
      </w:r>
      <w:r w:rsidR="00C757F7" w:rsidRPr="00BD1319">
        <w:rPr>
          <w:rFonts w:cs="Arial"/>
          <w:spacing w:val="-3"/>
          <w:lang w:val="es"/>
        </w:rPr>
        <w:t>.</w:t>
      </w:r>
    </w:p>
    <w:p w14:paraId="26FC0996" w14:textId="77777777" w:rsidR="008071BC" w:rsidRPr="00BD1319" w:rsidRDefault="008071BC" w:rsidP="000D6E21">
      <w:pPr>
        <w:numPr>
          <w:ilvl w:val="12"/>
          <w:numId w:val="0"/>
        </w:numPr>
        <w:tabs>
          <w:tab w:val="left" w:pos="-2268"/>
        </w:tabs>
        <w:suppressAutoHyphens/>
        <w:rPr>
          <w:rFonts w:cs="Arial"/>
          <w:spacing w:val="-3"/>
        </w:rPr>
      </w:pPr>
    </w:p>
    <w:p w14:paraId="5A23F34E" w14:textId="3560F747" w:rsidR="007F44B8" w:rsidRPr="00BD1319" w:rsidRDefault="007F44B8" w:rsidP="000D6E21">
      <w:pPr>
        <w:numPr>
          <w:ilvl w:val="12"/>
          <w:numId w:val="0"/>
        </w:numPr>
        <w:tabs>
          <w:tab w:val="left" w:pos="-2268"/>
        </w:tabs>
        <w:suppressAutoHyphens/>
        <w:ind w:left="567"/>
        <w:rPr>
          <w:rFonts w:cs="Arial"/>
          <w:spacing w:val="-3"/>
          <w:lang w:val="es-ES"/>
        </w:rPr>
      </w:pPr>
      <w:r w:rsidRPr="00BD1319">
        <w:rPr>
          <w:rFonts w:cs="Arial"/>
          <w:spacing w:val="-3"/>
          <w:lang w:val="es"/>
        </w:rPr>
        <w:t>Est</w:t>
      </w:r>
      <w:r w:rsidR="00B47C30" w:rsidRPr="00BD1319">
        <w:rPr>
          <w:rFonts w:cs="Arial"/>
          <w:spacing w:val="-3"/>
          <w:lang w:val="es"/>
        </w:rPr>
        <w:t>e</w:t>
      </w:r>
      <w:r w:rsidRPr="00BD1319">
        <w:rPr>
          <w:rFonts w:cs="Arial"/>
          <w:spacing w:val="-3"/>
          <w:lang w:val="es"/>
        </w:rPr>
        <w:t xml:space="preserve"> model</w:t>
      </w:r>
      <w:r w:rsidR="00B47C30" w:rsidRPr="00BD1319">
        <w:rPr>
          <w:rFonts w:cs="Arial"/>
          <w:spacing w:val="-3"/>
          <w:lang w:val="es"/>
        </w:rPr>
        <w:t>o</w:t>
      </w:r>
      <w:r w:rsidRPr="00BD1319">
        <w:rPr>
          <w:rFonts w:cs="Arial"/>
          <w:spacing w:val="-3"/>
          <w:lang w:val="es"/>
        </w:rPr>
        <w:t xml:space="preserve"> puede desarrollarse empleando programas de procesamiento espacial como </w:t>
      </w:r>
      <w:proofErr w:type="spellStart"/>
      <w:r w:rsidRPr="00BD1319">
        <w:rPr>
          <w:rFonts w:cs="Arial"/>
          <w:spacing w:val="-3"/>
          <w:lang w:val="es"/>
        </w:rPr>
        <w:t>MaxEnt</w:t>
      </w:r>
      <w:proofErr w:type="spellEnd"/>
      <w:r w:rsidRPr="00BD1319">
        <w:rPr>
          <w:rFonts w:cs="Arial"/>
          <w:spacing w:val="-3"/>
          <w:vertAlign w:val="superscript"/>
          <w:lang w:val="es"/>
        </w:rPr>
        <w:footnoteReference w:id="141"/>
      </w:r>
      <w:r w:rsidRPr="00BD1319">
        <w:rPr>
          <w:rFonts w:cs="Arial"/>
          <w:spacing w:val="-3"/>
          <w:lang w:val="es"/>
        </w:rPr>
        <w:t xml:space="preserve"> y plataformas que hacen uso de algoritmos para ordenar y facilitar el proceso de integración y modelización como Wallace</w:t>
      </w:r>
      <w:r w:rsidRPr="00BD1319">
        <w:rPr>
          <w:rFonts w:cs="Arial"/>
          <w:spacing w:val="-3"/>
          <w:vertAlign w:val="superscript"/>
          <w:lang w:val="es"/>
        </w:rPr>
        <w:footnoteReference w:id="142"/>
      </w:r>
      <w:r w:rsidRPr="00BD1319">
        <w:rPr>
          <w:rFonts w:cs="Arial"/>
          <w:spacing w:val="-3"/>
          <w:lang w:val="es"/>
        </w:rPr>
        <w:t xml:space="preserve"> o paquetes como KUENM</w:t>
      </w:r>
      <w:r w:rsidRPr="00BD1319">
        <w:rPr>
          <w:rFonts w:cs="Arial"/>
          <w:spacing w:val="-3"/>
          <w:vertAlign w:val="superscript"/>
          <w:lang w:val="es"/>
        </w:rPr>
        <w:footnoteReference w:id="143"/>
      </w:r>
      <w:r w:rsidRPr="00BD1319">
        <w:rPr>
          <w:rFonts w:cs="Arial"/>
          <w:spacing w:val="-3"/>
          <w:lang w:val="es"/>
        </w:rPr>
        <w:t>. Est</w:t>
      </w:r>
      <w:r w:rsidR="00B47C30" w:rsidRPr="00BD1319">
        <w:rPr>
          <w:rFonts w:cs="Arial"/>
          <w:spacing w:val="-3"/>
          <w:lang w:val="es"/>
        </w:rPr>
        <w:t>a</w:t>
      </w:r>
      <w:r w:rsidRPr="00BD1319">
        <w:rPr>
          <w:rFonts w:cs="Arial"/>
          <w:spacing w:val="-3"/>
          <w:lang w:val="es"/>
        </w:rPr>
        <w:t xml:space="preserve">s </w:t>
      </w:r>
      <w:r w:rsidR="00B47C30" w:rsidRPr="00BD1319">
        <w:rPr>
          <w:rFonts w:cs="Arial"/>
          <w:spacing w:val="-3"/>
          <w:lang w:val="es"/>
        </w:rPr>
        <w:t xml:space="preserve">herramientas </w:t>
      </w:r>
      <w:r w:rsidRPr="00BD1319">
        <w:rPr>
          <w:rFonts w:cs="Arial"/>
          <w:spacing w:val="-3"/>
          <w:lang w:val="es"/>
        </w:rPr>
        <w:t xml:space="preserve">funcionan con algoritmos que </w:t>
      </w:r>
      <w:r w:rsidRPr="00BD1319">
        <w:rPr>
          <w:rFonts w:cs="Arial"/>
          <w:spacing w:val="-3"/>
          <w:lang w:val="es"/>
        </w:rPr>
        <w:lastRenderedPageBreak/>
        <w:t>predicen el potencial de distribución de las especies en relación con las condiciones ambientales incorporadas al modelo (Phillips et al., 2006) y requieren de la selección de un método de calibración y validación.</w:t>
      </w:r>
    </w:p>
    <w:p w14:paraId="02C09E91" w14:textId="77777777" w:rsidR="00D4646C" w:rsidRPr="00BD1319" w:rsidRDefault="00D4646C" w:rsidP="00D4646C">
      <w:pPr>
        <w:numPr>
          <w:ilvl w:val="12"/>
          <w:numId w:val="0"/>
        </w:numPr>
        <w:tabs>
          <w:tab w:val="left" w:pos="-2268"/>
        </w:tabs>
        <w:suppressAutoHyphens/>
        <w:rPr>
          <w:rFonts w:cs="Arial"/>
          <w:spacing w:val="-3"/>
        </w:rPr>
      </w:pPr>
    </w:p>
    <w:p w14:paraId="7EA5B61F" w14:textId="60EC8D67" w:rsidR="00334821" w:rsidRPr="00BD1319" w:rsidRDefault="00596978" w:rsidP="00334821">
      <w:pPr>
        <w:pStyle w:val="Prrafodelista"/>
        <w:numPr>
          <w:ilvl w:val="0"/>
          <w:numId w:val="648"/>
        </w:numPr>
        <w:tabs>
          <w:tab w:val="left" w:pos="-2268"/>
        </w:tabs>
        <w:suppressAutoHyphens/>
        <w:ind w:left="567" w:hanging="567"/>
        <w:rPr>
          <w:rFonts w:cs="Arial"/>
          <w:spacing w:val="-3"/>
        </w:rPr>
      </w:pPr>
      <w:r w:rsidRPr="00BD1319">
        <w:rPr>
          <w:rFonts w:cs="Arial"/>
          <w:spacing w:val="-3"/>
          <w:lang w:val="es-ES"/>
        </w:rPr>
        <w:t>Delimitar nodos de hábitat para el análisis de conectividad</w:t>
      </w:r>
      <w:r w:rsidRPr="00BD1319">
        <w:rPr>
          <w:rFonts w:cs="Arial"/>
          <w:spacing w:val="-3"/>
          <w:lang w:val="es-CO"/>
        </w:rPr>
        <w:t xml:space="preserve"> a</w:t>
      </w:r>
      <w:r w:rsidRPr="00BD1319">
        <w:rPr>
          <w:rFonts w:cs="Arial"/>
          <w:spacing w:val="-3"/>
          <w:lang w:val="es-ES"/>
        </w:rPr>
        <w:t xml:space="preserve"> partir del modelo de distribución potencial de especies</w:t>
      </w:r>
      <w:r w:rsidR="00D4646C" w:rsidRPr="00BD1319">
        <w:rPr>
          <w:rFonts w:cs="Arial"/>
          <w:spacing w:val="-3"/>
          <w:lang w:val="es-CO"/>
        </w:rPr>
        <w:t xml:space="preserve">. </w:t>
      </w:r>
      <w:r w:rsidR="00E11515" w:rsidRPr="00BD1319">
        <w:rPr>
          <w:rFonts w:cs="Arial"/>
          <w:spacing w:val="-3"/>
          <w:lang w:val="es-CO"/>
        </w:rPr>
        <w:t xml:space="preserve">Con el hábitat potencial como </w:t>
      </w:r>
      <w:r w:rsidR="007E7149" w:rsidRPr="00BD1319">
        <w:rPr>
          <w:rFonts w:cs="Arial"/>
          <w:spacing w:val="-3"/>
          <w:lang w:val="es-CO"/>
        </w:rPr>
        <w:t>fundamento</w:t>
      </w:r>
      <w:r w:rsidR="00E11515" w:rsidRPr="00BD1319">
        <w:rPr>
          <w:rFonts w:cs="Arial"/>
          <w:spacing w:val="-3"/>
          <w:lang w:val="es-CO"/>
        </w:rPr>
        <w:t xml:space="preserve">, </w:t>
      </w:r>
      <w:r w:rsidR="00D4646C" w:rsidRPr="00BD1319">
        <w:rPr>
          <w:rFonts w:cs="Arial"/>
          <w:spacing w:val="-3"/>
          <w:lang w:val="es-CO"/>
        </w:rPr>
        <w:t xml:space="preserve">se debe </w:t>
      </w:r>
      <w:r w:rsidR="00E11515" w:rsidRPr="00BD1319">
        <w:rPr>
          <w:rFonts w:cs="Arial"/>
          <w:spacing w:val="-3"/>
          <w:lang w:val="es-CO"/>
        </w:rPr>
        <w:t xml:space="preserve">estructurar </w:t>
      </w:r>
      <w:r w:rsidR="00D4646C" w:rsidRPr="00BD1319">
        <w:rPr>
          <w:rFonts w:cs="Arial"/>
          <w:spacing w:val="-3"/>
          <w:lang w:val="es-CO"/>
        </w:rPr>
        <w:t xml:space="preserve">un modelo de mosaico de paisaje (parche-matriz) </w:t>
      </w:r>
      <w:r w:rsidR="007E7149" w:rsidRPr="00BD1319">
        <w:rPr>
          <w:rFonts w:cs="Arial"/>
          <w:spacing w:val="-3"/>
          <w:lang w:val="es-CO"/>
        </w:rPr>
        <w:t xml:space="preserve">que permita </w:t>
      </w:r>
      <w:r w:rsidR="00D4646C" w:rsidRPr="00BD1319">
        <w:rPr>
          <w:rFonts w:cs="Arial"/>
          <w:spacing w:val="-3"/>
          <w:lang w:val="es-CO"/>
        </w:rPr>
        <w:t>la cuantificación de la conectividad ecológica potencial.</w:t>
      </w:r>
      <w:r w:rsidR="00334821" w:rsidRPr="00BD1319">
        <w:rPr>
          <w:rFonts w:cs="Arial"/>
          <w:spacing w:val="-3"/>
          <w:lang w:val="es-CO"/>
        </w:rPr>
        <w:t xml:space="preserve"> </w:t>
      </w:r>
      <w:r w:rsidR="00555274" w:rsidRPr="00BD1319">
        <w:rPr>
          <w:rFonts w:cs="Arial"/>
          <w:spacing w:val="-3"/>
          <w:lang w:val="es-CO"/>
        </w:rPr>
        <w:t xml:space="preserve">Para desarrollar estos </w:t>
      </w:r>
      <w:r w:rsidR="00334821" w:rsidRPr="00BD1319">
        <w:rPr>
          <w:rFonts w:cs="Arial"/>
          <w:spacing w:val="-3"/>
          <w:lang w:val="es-CO"/>
        </w:rPr>
        <w:t xml:space="preserve">modelos de conectividad </w:t>
      </w:r>
      <w:r w:rsidR="00555274" w:rsidRPr="00BD1319">
        <w:rPr>
          <w:rFonts w:cs="Arial"/>
          <w:spacing w:val="-3"/>
          <w:lang w:val="es-CO"/>
        </w:rPr>
        <w:t>es posible emplear como referencia los siguientes documentos</w:t>
      </w:r>
      <w:r w:rsidR="00334821" w:rsidRPr="00BD1319">
        <w:rPr>
          <w:rFonts w:cs="Arial"/>
          <w:spacing w:val="-3"/>
          <w:lang w:val="es-CO"/>
        </w:rPr>
        <w:t>:</w:t>
      </w:r>
    </w:p>
    <w:p w14:paraId="5EDFEC07" w14:textId="77777777" w:rsidR="00334821" w:rsidRPr="00BD1319" w:rsidRDefault="00334821" w:rsidP="008A4FE9">
      <w:pPr>
        <w:tabs>
          <w:tab w:val="left" w:pos="-2268"/>
        </w:tabs>
        <w:suppressAutoHyphens/>
        <w:rPr>
          <w:rFonts w:cs="Arial"/>
          <w:spacing w:val="-3"/>
          <w:lang w:val="es-ES_tradnl"/>
        </w:rPr>
      </w:pPr>
    </w:p>
    <w:p w14:paraId="5630C471" w14:textId="0E59C6FC" w:rsidR="00555274" w:rsidRPr="00BD1319" w:rsidRDefault="008668AF" w:rsidP="00555274">
      <w:pPr>
        <w:pStyle w:val="Prrafodelista"/>
        <w:numPr>
          <w:ilvl w:val="0"/>
          <w:numId w:val="84"/>
        </w:numPr>
        <w:tabs>
          <w:tab w:val="left" w:pos="-2268"/>
        </w:tabs>
        <w:suppressAutoHyphens/>
        <w:ind w:left="1134" w:hanging="567"/>
        <w:rPr>
          <w:rFonts w:cs="Arial"/>
          <w:spacing w:val="-3"/>
          <w:lang w:val="es-CO"/>
        </w:rPr>
      </w:pPr>
      <w:r w:rsidRPr="00BD1319">
        <w:rPr>
          <w:rFonts w:cs="Arial"/>
          <w:spacing w:val="-3"/>
          <w:lang w:val="en-US"/>
        </w:rPr>
        <w:t>Anthropogenic impact on habitat connectivity: A multidimensional human footprint index evaluated in a highly biodiverse landscape of Mexico</w:t>
      </w:r>
      <w:r w:rsidR="00606694" w:rsidRPr="00BD1319">
        <w:rPr>
          <w:rFonts w:cs="Arial"/>
          <w:spacing w:val="-3"/>
          <w:lang w:val="en-US"/>
        </w:rPr>
        <w:t xml:space="preserve"> (Correa et al., 2017)</w:t>
      </w:r>
      <w:r w:rsidR="00334821" w:rsidRPr="00BD1319">
        <w:rPr>
          <w:rFonts w:cs="Arial"/>
          <w:spacing w:val="-3"/>
          <w:lang w:val="en-US"/>
        </w:rPr>
        <w:t>.</w:t>
      </w:r>
      <w:r w:rsidR="009452C9" w:rsidRPr="00BD1319">
        <w:rPr>
          <w:rFonts w:cs="Arial"/>
          <w:spacing w:val="-3"/>
          <w:lang w:val="en-US"/>
        </w:rPr>
        <w:t xml:space="preserve"> </w:t>
      </w:r>
      <w:r w:rsidR="009452C9" w:rsidRPr="00BD1319">
        <w:rPr>
          <w:rFonts w:cs="Arial"/>
          <w:spacing w:val="-3"/>
          <w:lang w:val="es-CO"/>
        </w:rPr>
        <w:t>Para ecosistemas terrestres.</w:t>
      </w:r>
    </w:p>
    <w:p w14:paraId="03A2DE2D" w14:textId="77777777" w:rsidR="00555274" w:rsidRPr="00BD1319" w:rsidRDefault="00555274" w:rsidP="008A4FE9">
      <w:pPr>
        <w:tabs>
          <w:tab w:val="left" w:pos="-2268"/>
        </w:tabs>
        <w:suppressAutoHyphens/>
        <w:rPr>
          <w:rFonts w:cs="Arial"/>
          <w:spacing w:val="-3"/>
        </w:rPr>
      </w:pPr>
    </w:p>
    <w:p w14:paraId="66B6AF60" w14:textId="240A4283" w:rsidR="00555274" w:rsidRPr="00BD1319" w:rsidRDefault="009452C9" w:rsidP="00555274">
      <w:pPr>
        <w:pStyle w:val="Prrafodelista"/>
        <w:numPr>
          <w:ilvl w:val="0"/>
          <w:numId w:val="84"/>
        </w:numPr>
        <w:tabs>
          <w:tab w:val="left" w:pos="-2268"/>
        </w:tabs>
        <w:suppressAutoHyphens/>
        <w:ind w:left="1134" w:hanging="567"/>
        <w:rPr>
          <w:rFonts w:cs="Arial"/>
          <w:spacing w:val="-3"/>
          <w:lang w:val="en-US"/>
        </w:rPr>
      </w:pPr>
      <w:r w:rsidRPr="00BD1319">
        <w:rPr>
          <w:spacing w:val="-3"/>
          <w:lang w:val="en-US"/>
        </w:rPr>
        <w:t>Quantifying the Spatial Ecology of Wide-Ranging Marine Species in the Gulf of California</w:t>
      </w:r>
      <w:r w:rsidR="00606694" w:rsidRPr="00BD1319">
        <w:rPr>
          <w:rFonts w:cs="Arial"/>
          <w:spacing w:val="-3"/>
          <w:lang w:val="en-US"/>
        </w:rPr>
        <w:t xml:space="preserve"> (</w:t>
      </w:r>
      <w:proofErr w:type="spellStart"/>
      <w:r w:rsidR="00606694" w:rsidRPr="00BD1319">
        <w:rPr>
          <w:rFonts w:cs="Arial"/>
          <w:spacing w:val="-3"/>
          <w:lang w:val="en-US"/>
        </w:rPr>
        <w:t>An</w:t>
      </w:r>
      <w:r w:rsidRPr="00BD1319">
        <w:rPr>
          <w:rFonts w:cs="Arial"/>
          <w:spacing w:val="-3"/>
          <w:lang w:val="en-US"/>
        </w:rPr>
        <w:t>a</w:t>
      </w:r>
      <w:r w:rsidR="00606694" w:rsidRPr="00BD1319">
        <w:rPr>
          <w:rFonts w:cs="Arial"/>
          <w:spacing w:val="-3"/>
          <w:lang w:val="en-US"/>
        </w:rPr>
        <w:t>d</w:t>
      </w:r>
      <w:r w:rsidRPr="00BD1319">
        <w:rPr>
          <w:rFonts w:cs="Arial"/>
          <w:spacing w:val="-3"/>
          <w:lang w:val="en-US"/>
        </w:rPr>
        <w:t>ó</w:t>
      </w:r>
      <w:r w:rsidR="00606694" w:rsidRPr="00BD1319">
        <w:rPr>
          <w:rFonts w:cs="Arial"/>
          <w:spacing w:val="-3"/>
          <w:lang w:val="en-US"/>
        </w:rPr>
        <w:t>n</w:t>
      </w:r>
      <w:proofErr w:type="spellEnd"/>
      <w:r w:rsidR="00606694" w:rsidRPr="00BD1319">
        <w:rPr>
          <w:rFonts w:cs="Arial"/>
          <w:spacing w:val="-3"/>
          <w:lang w:val="en-US"/>
        </w:rPr>
        <w:t xml:space="preserve"> et al., 2011)</w:t>
      </w:r>
      <w:r w:rsidR="00555274" w:rsidRPr="00BD1319">
        <w:rPr>
          <w:rFonts w:cs="Arial"/>
          <w:spacing w:val="-3"/>
          <w:lang w:val="en-US"/>
        </w:rPr>
        <w:t>.</w:t>
      </w:r>
      <w:r w:rsidRPr="00BD1319">
        <w:rPr>
          <w:rFonts w:cs="Arial"/>
          <w:spacing w:val="-3"/>
          <w:lang w:val="en-US"/>
        </w:rPr>
        <w:t xml:space="preserve"> Para </w:t>
      </w:r>
      <w:proofErr w:type="spellStart"/>
      <w:r w:rsidRPr="00BD1319">
        <w:rPr>
          <w:rFonts w:cs="Arial"/>
          <w:spacing w:val="-3"/>
          <w:lang w:val="en-US"/>
        </w:rPr>
        <w:t>Ecosistemas</w:t>
      </w:r>
      <w:proofErr w:type="spellEnd"/>
      <w:r w:rsidRPr="00BD1319">
        <w:rPr>
          <w:rFonts w:cs="Arial"/>
          <w:spacing w:val="-3"/>
          <w:lang w:val="en-US"/>
        </w:rPr>
        <w:t xml:space="preserve"> </w:t>
      </w:r>
      <w:proofErr w:type="spellStart"/>
      <w:r w:rsidRPr="00BD1319">
        <w:rPr>
          <w:rFonts w:cs="Arial"/>
          <w:spacing w:val="-3"/>
          <w:lang w:val="en-US"/>
        </w:rPr>
        <w:t>acuáticos</w:t>
      </w:r>
      <w:proofErr w:type="spellEnd"/>
      <w:r w:rsidRPr="00BD1319">
        <w:rPr>
          <w:rFonts w:cs="Arial"/>
          <w:spacing w:val="-3"/>
          <w:lang w:val="en-US"/>
        </w:rPr>
        <w:t xml:space="preserve"> </w:t>
      </w:r>
      <w:proofErr w:type="spellStart"/>
      <w:r w:rsidRPr="00BD1319">
        <w:rPr>
          <w:rFonts w:cs="Arial"/>
          <w:spacing w:val="-3"/>
          <w:lang w:val="en-US"/>
        </w:rPr>
        <w:t>marinos</w:t>
      </w:r>
      <w:proofErr w:type="spellEnd"/>
      <w:r w:rsidRPr="00BD1319">
        <w:rPr>
          <w:rFonts w:cs="Arial"/>
          <w:spacing w:val="-3"/>
          <w:lang w:val="en-US"/>
        </w:rPr>
        <w:t>.</w:t>
      </w:r>
    </w:p>
    <w:p w14:paraId="0972EC7D" w14:textId="77777777" w:rsidR="00555274" w:rsidRPr="00BD1319" w:rsidRDefault="00555274" w:rsidP="008A4FE9">
      <w:pPr>
        <w:rPr>
          <w:rFonts w:cs="Arial"/>
          <w:spacing w:val="-3"/>
          <w:lang w:val="en-US"/>
        </w:rPr>
      </w:pPr>
    </w:p>
    <w:p w14:paraId="3C8319EC" w14:textId="6A3C8901" w:rsidR="00D4646C" w:rsidRPr="00BD1319" w:rsidRDefault="009452C9" w:rsidP="000D6E21">
      <w:pPr>
        <w:pStyle w:val="Prrafodelista"/>
        <w:numPr>
          <w:ilvl w:val="0"/>
          <w:numId w:val="84"/>
        </w:numPr>
        <w:tabs>
          <w:tab w:val="left" w:pos="-2268"/>
        </w:tabs>
        <w:suppressAutoHyphens/>
        <w:ind w:left="1134" w:hanging="567"/>
        <w:rPr>
          <w:spacing w:val="-3"/>
          <w:lang w:val="en-US"/>
        </w:rPr>
      </w:pPr>
      <w:r w:rsidRPr="00BD1319">
        <w:rPr>
          <w:spacing w:val="-3"/>
          <w:lang w:val="en-US"/>
        </w:rPr>
        <w:t xml:space="preserve">Using water residency time to enhance </w:t>
      </w:r>
      <w:proofErr w:type="spellStart"/>
      <w:r w:rsidRPr="00BD1319">
        <w:rPr>
          <w:spacing w:val="-3"/>
          <w:lang w:val="en-US"/>
        </w:rPr>
        <w:t>spatio</w:t>
      </w:r>
      <w:proofErr w:type="spellEnd"/>
      <w:r w:rsidRPr="00BD1319">
        <w:rPr>
          <w:spacing w:val="-3"/>
          <w:lang w:val="en-US"/>
        </w:rPr>
        <w:t>-temporal connectivity for conservation planning in seasonally dynamic freshwater ecosystems (Hermoso et al., 2012); Integrating multidirectional connectivity requirements in systematic conservation planning for freshwater systems</w:t>
      </w:r>
      <w:r w:rsidR="00606694" w:rsidRPr="00BD1319">
        <w:rPr>
          <w:spacing w:val="-3"/>
          <w:lang w:val="en-US"/>
        </w:rPr>
        <w:t xml:space="preserve"> (Hermoso et al., 2012)</w:t>
      </w:r>
      <w:r w:rsidRPr="00BD1319">
        <w:rPr>
          <w:spacing w:val="-3"/>
          <w:lang w:val="en-US"/>
        </w:rPr>
        <w:t>;</w:t>
      </w:r>
      <w:r w:rsidR="00334821" w:rsidRPr="00BD1319">
        <w:rPr>
          <w:spacing w:val="-3"/>
          <w:lang w:val="en-US"/>
        </w:rPr>
        <w:t xml:space="preserve"> </w:t>
      </w:r>
      <w:r w:rsidR="00622964" w:rsidRPr="00BD1319">
        <w:rPr>
          <w:spacing w:val="-3"/>
          <w:lang w:val="en-US"/>
        </w:rPr>
        <w:t xml:space="preserve">Basin-scale impacts of hydropower development on the </w:t>
      </w:r>
      <w:proofErr w:type="spellStart"/>
      <w:r w:rsidR="00622964" w:rsidRPr="00BD1319">
        <w:rPr>
          <w:spacing w:val="-3"/>
          <w:lang w:val="en-US"/>
        </w:rPr>
        <w:t>Mompós</w:t>
      </w:r>
      <w:proofErr w:type="spellEnd"/>
      <w:r w:rsidR="00622964" w:rsidRPr="00BD1319">
        <w:rPr>
          <w:spacing w:val="-3"/>
          <w:lang w:val="en-US"/>
        </w:rPr>
        <w:t xml:space="preserve"> Depression wetlands, Colombia (</w:t>
      </w:r>
      <w:r w:rsidR="00334821" w:rsidRPr="00BD1319">
        <w:rPr>
          <w:spacing w:val="-3"/>
          <w:lang w:val="en-US"/>
        </w:rPr>
        <w:t>Angarita et al</w:t>
      </w:r>
      <w:r w:rsidR="00917CFE" w:rsidRPr="00BD1319">
        <w:rPr>
          <w:spacing w:val="-3"/>
          <w:lang w:val="en-US"/>
        </w:rPr>
        <w:t>.</w:t>
      </w:r>
      <w:r w:rsidR="00334821" w:rsidRPr="00BD1319">
        <w:rPr>
          <w:spacing w:val="-3"/>
          <w:lang w:val="en-US"/>
        </w:rPr>
        <w:t>, 2018</w:t>
      </w:r>
      <w:r w:rsidR="00622964" w:rsidRPr="00BD1319">
        <w:rPr>
          <w:spacing w:val="-3"/>
          <w:lang w:val="en-US"/>
        </w:rPr>
        <w:t>) y</w:t>
      </w:r>
      <w:r w:rsidRPr="00BD1319">
        <w:rPr>
          <w:spacing w:val="-3"/>
          <w:lang w:val="en-US"/>
        </w:rPr>
        <w:t xml:space="preserve">; Connectivity and biocomplexity in waterbodies of riverine floodplains. </w:t>
      </w:r>
      <w:r w:rsidR="00622964" w:rsidRPr="00BD1319">
        <w:rPr>
          <w:spacing w:val="-3"/>
          <w:lang w:val="en-US"/>
        </w:rPr>
        <w:t xml:space="preserve">(Amoros </w:t>
      </w:r>
      <w:r w:rsidRPr="00BD1319">
        <w:rPr>
          <w:spacing w:val="-3"/>
          <w:lang w:val="en-US"/>
        </w:rPr>
        <w:t xml:space="preserve">&amp; </w:t>
      </w:r>
      <w:proofErr w:type="spellStart"/>
      <w:r w:rsidRPr="00BD1319">
        <w:rPr>
          <w:spacing w:val="-3"/>
          <w:lang w:val="en-US"/>
        </w:rPr>
        <w:t>Bornette</w:t>
      </w:r>
      <w:proofErr w:type="spellEnd"/>
      <w:r w:rsidR="00622964" w:rsidRPr="00BD1319">
        <w:rPr>
          <w:spacing w:val="-3"/>
          <w:lang w:val="en-US"/>
        </w:rPr>
        <w:t>, 2002)</w:t>
      </w:r>
      <w:r w:rsidR="00555274" w:rsidRPr="00BD1319">
        <w:rPr>
          <w:spacing w:val="-3"/>
          <w:lang w:val="en-US"/>
        </w:rPr>
        <w:t>.</w:t>
      </w:r>
      <w:r w:rsidRPr="00BD1319">
        <w:rPr>
          <w:spacing w:val="-3"/>
          <w:lang w:val="en-US"/>
        </w:rPr>
        <w:t xml:space="preserve"> Para </w:t>
      </w:r>
      <w:proofErr w:type="spellStart"/>
      <w:r w:rsidRPr="00BD1319">
        <w:rPr>
          <w:spacing w:val="-3"/>
          <w:lang w:val="en-US"/>
        </w:rPr>
        <w:t>Ecosistemas</w:t>
      </w:r>
      <w:proofErr w:type="spellEnd"/>
      <w:r w:rsidRPr="00BD1319">
        <w:rPr>
          <w:spacing w:val="-3"/>
          <w:lang w:val="en-US"/>
        </w:rPr>
        <w:t xml:space="preserve"> </w:t>
      </w:r>
      <w:proofErr w:type="spellStart"/>
      <w:r w:rsidRPr="00BD1319">
        <w:rPr>
          <w:spacing w:val="-3"/>
          <w:lang w:val="en-US"/>
        </w:rPr>
        <w:t>acuáticos</w:t>
      </w:r>
      <w:proofErr w:type="spellEnd"/>
      <w:r w:rsidRPr="00BD1319">
        <w:rPr>
          <w:spacing w:val="-3"/>
          <w:lang w:val="en-US"/>
        </w:rPr>
        <w:t xml:space="preserve"> </w:t>
      </w:r>
      <w:proofErr w:type="spellStart"/>
      <w:r w:rsidRPr="00BD1319">
        <w:rPr>
          <w:spacing w:val="-3"/>
          <w:lang w:val="en-US"/>
        </w:rPr>
        <w:t>continentales</w:t>
      </w:r>
      <w:proofErr w:type="spellEnd"/>
      <w:r w:rsidRPr="00BD1319">
        <w:rPr>
          <w:spacing w:val="-3"/>
          <w:lang w:val="en-US"/>
        </w:rPr>
        <w:t>.</w:t>
      </w:r>
    </w:p>
    <w:p w14:paraId="0C864B01" w14:textId="77777777" w:rsidR="00D4646C" w:rsidRPr="00BD1319" w:rsidRDefault="00D4646C" w:rsidP="008A4FE9">
      <w:pPr>
        <w:numPr>
          <w:ilvl w:val="12"/>
          <w:numId w:val="0"/>
        </w:numPr>
        <w:tabs>
          <w:tab w:val="left" w:pos="-2268"/>
        </w:tabs>
        <w:suppressAutoHyphens/>
        <w:ind w:left="567" w:hanging="567"/>
        <w:rPr>
          <w:rFonts w:cs="Arial"/>
          <w:spacing w:val="-3"/>
          <w:lang w:val="en-US"/>
        </w:rPr>
      </w:pPr>
    </w:p>
    <w:p w14:paraId="16F817CB" w14:textId="7AC5DADD" w:rsidR="00D4646C" w:rsidRPr="00BD1319" w:rsidRDefault="009D4EBE" w:rsidP="008A4FE9">
      <w:pPr>
        <w:pStyle w:val="Prrafodelista"/>
        <w:numPr>
          <w:ilvl w:val="0"/>
          <w:numId w:val="648"/>
        </w:numPr>
        <w:tabs>
          <w:tab w:val="left" w:pos="-2268"/>
        </w:tabs>
        <w:suppressAutoHyphens/>
        <w:ind w:left="567" w:hanging="567"/>
        <w:rPr>
          <w:rFonts w:cs="Arial"/>
          <w:spacing w:val="-3"/>
        </w:rPr>
      </w:pPr>
      <w:r w:rsidRPr="00BD1319">
        <w:rPr>
          <w:rFonts w:cs="Arial"/>
          <w:spacing w:val="-3"/>
          <w:lang w:val="es-CO"/>
        </w:rPr>
        <w:t xml:space="preserve">Determinar </w:t>
      </w:r>
      <w:r w:rsidR="00D4646C" w:rsidRPr="00BD1319">
        <w:rPr>
          <w:rFonts w:cs="Arial"/>
          <w:spacing w:val="-3"/>
          <w:lang w:val="es-CO"/>
        </w:rPr>
        <w:t xml:space="preserve">y valorar el rol de los fragmentos definidos como hábitat en la </w:t>
      </w:r>
      <w:r w:rsidR="00D4646C" w:rsidRPr="00BD1319">
        <w:rPr>
          <w:rFonts w:cs="Arial"/>
          <w:i/>
          <w:iCs/>
          <w:spacing w:val="-3"/>
          <w:lang w:val="es-CO"/>
        </w:rPr>
        <w:t>potencial</w:t>
      </w:r>
      <w:r w:rsidR="00D4646C" w:rsidRPr="00BD1319">
        <w:rPr>
          <w:rFonts w:cs="Arial"/>
          <w:spacing w:val="-3"/>
          <w:lang w:val="es-CO"/>
        </w:rPr>
        <w:t xml:space="preserve"> conectividad funcional del paisaje. </w:t>
      </w:r>
      <w:r w:rsidR="005D6B69" w:rsidRPr="00BD1319">
        <w:rPr>
          <w:rFonts w:cs="Arial"/>
          <w:spacing w:val="-3"/>
          <w:lang w:val="es-CO"/>
        </w:rPr>
        <w:t>E</w:t>
      </w:r>
      <w:r w:rsidR="00D4646C" w:rsidRPr="00BD1319">
        <w:rPr>
          <w:rFonts w:cs="Arial"/>
          <w:spacing w:val="-3"/>
          <w:lang w:val="es-CO"/>
        </w:rPr>
        <w:t xml:space="preserve">l </w:t>
      </w:r>
      <w:r w:rsidR="005D6B69" w:rsidRPr="00BD1319">
        <w:rPr>
          <w:rFonts w:cs="Arial"/>
          <w:spacing w:val="-3"/>
          <w:lang w:val="es-CO"/>
        </w:rPr>
        <w:t xml:space="preserve">método </w:t>
      </w:r>
      <w:r w:rsidR="00D4646C" w:rsidRPr="00BD1319">
        <w:rPr>
          <w:rFonts w:cs="Arial"/>
          <w:spacing w:val="-3"/>
          <w:lang w:val="es-CO"/>
        </w:rPr>
        <w:t>descrito por Carrol</w:t>
      </w:r>
      <w:r w:rsidR="00F21E7B" w:rsidRPr="00BD1319">
        <w:rPr>
          <w:rFonts w:cs="Arial"/>
          <w:spacing w:val="-3"/>
          <w:lang w:val="es-CO"/>
        </w:rPr>
        <w:t>l</w:t>
      </w:r>
      <w:r w:rsidR="00D4646C" w:rsidRPr="00BD1319">
        <w:rPr>
          <w:rFonts w:cs="Arial"/>
          <w:spacing w:val="-3"/>
          <w:lang w:val="es-CO"/>
        </w:rPr>
        <w:t xml:space="preserve"> et al. (2012) permite medir la importancia de cada fragmento en la conectividad; </w:t>
      </w:r>
      <w:r w:rsidR="00904789" w:rsidRPr="00BD1319">
        <w:rPr>
          <w:rFonts w:cs="Arial"/>
          <w:spacing w:val="-3"/>
          <w:lang w:val="es-CO"/>
        </w:rPr>
        <w:t xml:space="preserve">asimismo, se deben </w:t>
      </w:r>
      <w:r w:rsidR="00D4646C" w:rsidRPr="00BD1319">
        <w:rPr>
          <w:rFonts w:cs="Arial"/>
          <w:spacing w:val="-3"/>
          <w:lang w:val="es-CO"/>
        </w:rPr>
        <w:t>definir parches núcleo, parches de hábitat o “piedras de paso” (</w:t>
      </w:r>
      <w:proofErr w:type="spellStart"/>
      <w:r w:rsidR="00D4646C" w:rsidRPr="00BD1319">
        <w:rPr>
          <w:rFonts w:cs="Arial"/>
          <w:i/>
          <w:spacing w:val="-3"/>
          <w:lang w:val="es-CO"/>
        </w:rPr>
        <w:t>stepping</w:t>
      </w:r>
      <w:proofErr w:type="spellEnd"/>
      <w:r w:rsidR="00D4646C" w:rsidRPr="00BD1319">
        <w:rPr>
          <w:rFonts w:cs="Arial"/>
          <w:i/>
          <w:spacing w:val="-3"/>
          <w:lang w:val="es-CO"/>
        </w:rPr>
        <w:t xml:space="preserve"> </w:t>
      </w:r>
      <w:proofErr w:type="spellStart"/>
      <w:r w:rsidR="00D4646C" w:rsidRPr="00BD1319">
        <w:rPr>
          <w:rFonts w:cs="Arial"/>
          <w:i/>
          <w:spacing w:val="-3"/>
          <w:lang w:val="es-CO"/>
        </w:rPr>
        <w:t>stones</w:t>
      </w:r>
      <w:proofErr w:type="spellEnd"/>
      <w:r w:rsidR="00D4646C" w:rsidRPr="00BD1319">
        <w:rPr>
          <w:rFonts w:cs="Arial"/>
          <w:spacing w:val="-3"/>
          <w:lang w:val="es-CO"/>
        </w:rPr>
        <w:t>)</w:t>
      </w:r>
      <w:r w:rsidR="00904789" w:rsidRPr="00BD1319">
        <w:rPr>
          <w:rFonts w:cs="Arial"/>
          <w:spacing w:val="-3"/>
          <w:lang w:val="es-CO"/>
        </w:rPr>
        <w:t xml:space="preserve"> mediante métodos como </w:t>
      </w:r>
      <w:r w:rsidR="005D6B69" w:rsidRPr="00BD1319">
        <w:rPr>
          <w:rFonts w:cs="Arial"/>
          <w:spacing w:val="-3"/>
          <w:lang w:val="es-CO"/>
        </w:rPr>
        <w:t xml:space="preserve">los </w:t>
      </w:r>
      <w:r w:rsidR="00D4646C" w:rsidRPr="00BD1319">
        <w:rPr>
          <w:rFonts w:cs="Arial"/>
          <w:spacing w:val="-3"/>
          <w:lang w:val="es-CO"/>
        </w:rPr>
        <w:t xml:space="preserve">desarrollados por Bodin &amp; Saura (2010), Saura et al. (2011) y Mateo-Sánchez et al. (2015). </w:t>
      </w:r>
      <w:r w:rsidR="005D6B69" w:rsidRPr="00BD1319">
        <w:rPr>
          <w:rFonts w:cs="Arial"/>
          <w:spacing w:val="-3"/>
          <w:lang w:val="es-CO"/>
        </w:rPr>
        <w:t>P</w:t>
      </w:r>
      <w:r w:rsidR="00D4646C" w:rsidRPr="00BD1319">
        <w:rPr>
          <w:rFonts w:cs="Arial"/>
          <w:spacing w:val="-3"/>
          <w:lang w:val="es-CO"/>
        </w:rPr>
        <w:t>ara definir un área núcleo</w:t>
      </w:r>
      <w:r w:rsidR="005D6B69" w:rsidRPr="00BD1319">
        <w:rPr>
          <w:rFonts w:cs="Arial"/>
          <w:spacing w:val="-3"/>
          <w:lang w:val="es-CO"/>
        </w:rPr>
        <w:t xml:space="preserve">, es importante tener en mente los supuestos basados en el éxito reproductivo y el rango de hogar de las especies focales que </w:t>
      </w:r>
      <w:r w:rsidR="00F4081F" w:rsidRPr="00BD1319">
        <w:rPr>
          <w:rFonts w:cs="Arial"/>
          <w:spacing w:val="-3"/>
          <w:lang w:val="es-CO"/>
        </w:rPr>
        <w:t>señalan</w:t>
      </w:r>
      <w:r w:rsidR="005D6B69" w:rsidRPr="00BD1319">
        <w:rPr>
          <w:rFonts w:cs="Arial"/>
          <w:spacing w:val="-3"/>
          <w:lang w:val="es-CO"/>
        </w:rPr>
        <w:t xml:space="preserve"> </w:t>
      </w:r>
      <w:proofErr w:type="spellStart"/>
      <w:r w:rsidR="005D6B69" w:rsidRPr="00BD1319">
        <w:rPr>
          <w:rFonts w:cs="Arial"/>
          <w:spacing w:val="-3"/>
          <w:lang w:val="es-CO"/>
        </w:rPr>
        <w:t>Beier</w:t>
      </w:r>
      <w:proofErr w:type="spellEnd"/>
      <w:r w:rsidR="005D6B69" w:rsidRPr="00BD1319">
        <w:rPr>
          <w:rFonts w:cs="Arial"/>
          <w:spacing w:val="-3"/>
          <w:lang w:val="es-CO"/>
        </w:rPr>
        <w:t xml:space="preserve"> et al. (2007)</w:t>
      </w:r>
      <w:r w:rsidR="00D4646C" w:rsidRPr="00BD1319">
        <w:rPr>
          <w:rFonts w:cs="Arial"/>
          <w:spacing w:val="-3"/>
          <w:lang w:val="es-CO"/>
        </w:rPr>
        <w:t>.</w:t>
      </w:r>
    </w:p>
    <w:p w14:paraId="46B58396" w14:textId="77777777" w:rsidR="00D4646C" w:rsidRPr="00BD1319" w:rsidRDefault="00D4646C" w:rsidP="008A4FE9">
      <w:pPr>
        <w:overflowPunct/>
        <w:ind w:left="567" w:hanging="567"/>
        <w:textAlignment w:val="auto"/>
        <w:rPr>
          <w:rFonts w:eastAsiaTheme="minorHAnsi" w:cs="Arial"/>
          <w:sz w:val="22"/>
          <w:szCs w:val="22"/>
          <w:lang w:eastAsia="en-US"/>
        </w:rPr>
      </w:pPr>
    </w:p>
    <w:p w14:paraId="258898A0" w14:textId="77777777" w:rsidR="009D26B1" w:rsidRPr="00BD1319" w:rsidRDefault="009D26B1" w:rsidP="008A4FE9">
      <w:pPr>
        <w:pStyle w:val="Prrafodelista"/>
        <w:numPr>
          <w:ilvl w:val="0"/>
          <w:numId w:val="648"/>
        </w:numPr>
        <w:ind w:left="567" w:hanging="567"/>
        <w:rPr>
          <w:rFonts w:eastAsiaTheme="minorHAnsi" w:cs="Arial"/>
          <w:szCs w:val="22"/>
          <w:lang w:eastAsia="en-US"/>
        </w:rPr>
      </w:pPr>
      <w:r w:rsidRPr="00BD1319">
        <w:rPr>
          <w:rFonts w:eastAsiaTheme="minorHAnsi" w:cs="Arial"/>
          <w:szCs w:val="22"/>
          <w:lang w:val="es-CO" w:eastAsia="en-US"/>
        </w:rPr>
        <w:t xml:space="preserve">Generar una matriz de resistencia empleando una evaluación multicriterio, que califique y pondere las variables seleccionadas (elementos físicos del paisaje) según su influencia en la movilidad de las especies focales seleccionadas; esta evaluación puede basarse tanto en la experiencia del profesional que realiza </w:t>
      </w:r>
      <w:r w:rsidRPr="00BD1319">
        <w:rPr>
          <w:rFonts w:eastAsiaTheme="minorHAnsi" w:cs="Arial"/>
          <w:szCs w:val="22"/>
          <w:lang w:val="es-CO" w:eastAsia="en-US"/>
        </w:rPr>
        <w:lastRenderedPageBreak/>
        <w:t>el análisis, como en literatura científica y otras fuentes de información secundaria.</w:t>
      </w:r>
    </w:p>
    <w:p w14:paraId="2659200B" w14:textId="77777777" w:rsidR="009D26B1" w:rsidRPr="00BD1319" w:rsidRDefault="009D26B1" w:rsidP="008A4FE9">
      <w:pPr>
        <w:overflowPunct/>
        <w:ind w:left="567" w:hanging="567"/>
        <w:textAlignment w:val="auto"/>
        <w:rPr>
          <w:rFonts w:eastAsiaTheme="minorHAnsi" w:cs="Arial"/>
          <w:szCs w:val="22"/>
          <w:lang w:eastAsia="en-US"/>
        </w:rPr>
      </w:pPr>
    </w:p>
    <w:p w14:paraId="678890C1" w14:textId="6F8D99BB" w:rsidR="00C12073" w:rsidRPr="00BD1319" w:rsidRDefault="00C12073" w:rsidP="008A4FE9">
      <w:pPr>
        <w:pStyle w:val="Prrafodelista"/>
        <w:numPr>
          <w:ilvl w:val="0"/>
          <w:numId w:val="648"/>
        </w:numPr>
        <w:ind w:left="567" w:hanging="567"/>
        <w:rPr>
          <w:rFonts w:eastAsiaTheme="minorHAnsi" w:cs="Arial"/>
          <w:szCs w:val="22"/>
          <w:lang w:eastAsia="en-US"/>
        </w:rPr>
      </w:pPr>
      <w:r w:rsidRPr="00BD1319">
        <w:rPr>
          <w:rFonts w:eastAsiaTheme="minorHAnsi" w:cs="Arial"/>
          <w:szCs w:val="22"/>
          <w:lang w:val="es-CO" w:eastAsia="en-US"/>
        </w:rPr>
        <w:t xml:space="preserve">Evaluar la permeabilidad del paisaje a partir de la matriz de resistencia </w:t>
      </w:r>
      <w:r w:rsidR="001F7F64" w:rsidRPr="00BD1319">
        <w:rPr>
          <w:rFonts w:eastAsiaTheme="minorHAnsi" w:cs="Arial"/>
          <w:szCs w:val="22"/>
          <w:lang w:val="es-CO" w:eastAsia="en-US"/>
        </w:rPr>
        <w:t xml:space="preserve">(presentando las variables empleadas) </w:t>
      </w:r>
      <w:r w:rsidRPr="00BD1319">
        <w:rPr>
          <w:rFonts w:eastAsiaTheme="minorHAnsi" w:cs="Arial"/>
          <w:szCs w:val="22"/>
          <w:lang w:val="es-CO" w:eastAsia="en-US"/>
        </w:rPr>
        <w:t>y de la distribución de las especies, de su uso del hábitat, así como de la influencia de las preferencias de hábitat en el movimiento de las especies.</w:t>
      </w:r>
    </w:p>
    <w:p w14:paraId="7B764CF5" w14:textId="77777777" w:rsidR="00D4646C" w:rsidRPr="00BD1319" w:rsidRDefault="00D4646C" w:rsidP="008A4FE9">
      <w:pPr>
        <w:overflowPunct/>
        <w:ind w:left="567" w:hanging="567"/>
        <w:textAlignment w:val="auto"/>
        <w:rPr>
          <w:rFonts w:eastAsiaTheme="minorHAnsi" w:cs="Arial"/>
          <w:szCs w:val="22"/>
          <w:lang w:eastAsia="en-US"/>
        </w:rPr>
      </w:pPr>
    </w:p>
    <w:p w14:paraId="4AD22798" w14:textId="6B67A07E" w:rsidR="007D2105" w:rsidRPr="00BD1319" w:rsidRDefault="00297D70" w:rsidP="007D2105">
      <w:pPr>
        <w:numPr>
          <w:ilvl w:val="0"/>
          <w:numId w:val="648"/>
        </w:numPr>
        <w:tabs>
          <w:tab w:val="left" w:pos="-2268"/>
        </w:tabs>
        <w:suppressAutoHyphens/>
        <w:ind w:left="567" w:hanging="567"/>
        <w:rPr>
          <w:spacing w:val="-3"/>
        </w:rPr>
      </w:pPr>
      <w:r w:rsidRPr="00BD1319">
        <w:rPr>
          <w:rFonts w:eastAsiaTheme="minorHAnsi" w:cs="Arial"/>
          <w:szCs w:val="22"/>
          <w:lang w:eastAsia="en-US"/>
        </w:rPr>
        <w:t>A</w:t>
      </w:r>
      <w:r w:rsidR="00D4646C" w:rsidRPr="00BD1319">
        <w:rPr>
          <w:rFonts w:eastAsiaTheme="minorHAnsi" w:cs="Arial"/>
          <w:szCs w:val="22"/>
          <w:lang w:eastAsia="en-US"/>
        </w:rPr>
        <w:t xml:space="preserve">nalizar </w:t>
      </w:r>
      <w:r w:rsidRPr="00BD1319">
        <w:rPr>
          <w:rFonts w:eastAsiaTheme="minorHAnsi" w:cs="Arial"/>
          <w:szCs w:val="22"/>
          <w:lang w:eastAsia="en-US"/>
        </w:rPr>
        <w:t>los factores que limitan la movilidad</w:t>
      </w:r>
      <w:r w:rsidR="007F5A2D" w:rsidRPr="00BD1319">
        <w:rPr>
          <w:rFonts w:eastAsiaTheme="minorHAnsi" w:cs="Arial"/>
          <w:szCs w:val="22"/>
          <w:lang w:eastAsia="en-US"/>
        </w:rPr>
        <w:t xml:space="preserve"> y</w:t>
      </w:r>
      <w:r w:rsidRPr="00BD1319">
        <w:rPr>
          <w:rFonts w:eastAsiaTheme="minorHAnsi" w:cs="Arial"/>
          <w:szCs w:val="22"/>
          <w:lang w:eastAsia="en-US"/>
        </w:rPr>
        <w:t xml:space="preserve"> </w:t>
      </w:r>
      <w:r w:rsidR="00D4646C" w:rsidRPr="00BD1319">
        <w:rPr>
          <w:rFonts w:eastAsiaTheme="minorHAnsi" w:cs="Arial"/>
          <w:szCs w:val="22"/>
          <w:lang w:eastAsia="en-US"/>
        </w:rPr>
        <w:t>el papel de la matriz</w:t>
      </w:r>
      <w:r w:rsidRPr="00BD1319">
        <w:rPr>
          <w:rFonts w:eastAsiaTheme="minorHAnsi" w:cs="Arial"/>
          <w:szCs w:val="22"/>
          <w:lang w:eastAsia="en-US"/>
        </w:rPr>
        <w:t xml:space="preserve"> a partir </w:t>
      </w:r>
      <w:r w:rsidR="007F5A2D" w:rsidRPr="00BD1319">
        <w:rPr>
          <w:rFonts w:eastAsiaTheme="minorHAnsi" w:cs="Arial"/>
          <w:szCs w:val="22"/>
          <w:lang w:eastAsia="en-US"/>
        </w:rPr>
        <w:t xml:space="preserve">de </w:t>
      </w:r>
      <w:r w:rsidRPr="00BD1319">
        <w:rPr>
          <w:rFonts w:eastAsiaTheme="minorHAnsi" w:cs="Arial"/>
          <w:szCs w:val="22"/>
          <w:lang w:eastAsia="en-US"/>
        </w:rPr>
        <w:t>los resultados de resistencia.</w:t>
      </w:r>
      <w:r w:rsidR="00D4646C" w:rsidRPr="00BD1319">
        <w:rPr>
          <w:rFonts w:eastAsiaTheme="minorHAnsi" w:cs="Arial"/>
          <w:szCs w:val="22"/>
          <w:lang w:eastAsia="en-US"/>
        </w:rPr>
        <w:t xml:space="preserve"> </w:t>
      </w:r>
      <w:r w:rsidRPr="00BD1319">
        <w:rPr>
          <w:rFonts w:eastAsiaTheme="minorHAnsi" w:cs="Arial"/>
          <w:szCs w:val="22"/>
          <w:lang w:eastAsia="en-US"/>
        </w:rPr>
        <w:t>Empl</w:t>
      </w:r>
      <w:r w:rsidR="007058D8" w:rsidRPr="00BD1319">
        <w:rPr>
          <w:rFonts w:eastAsiaTheme="minorHAnsi" w:cs="Arial"/>
          <w:szCs w:val="22"/>
          <w:lang w:eastAsia="en-US"/>
        </w:rPr>
        <w:t>e</w:t>
      </w:r>
      <w:r w:rsidRPr="00BD1319">
        <w:rPr>
          <w:rFonts w:eastAsiaTheme="minorHAnsi" w:cs="Arial"/>
          <w:szCs w:val="22"/>
          <w:lang w:eastAsia="en-US"/>
        </w:rPr>
        <w:t xml:space="preserve">ar un </w:t>
      </w:r>
      <w:r w:rsidR="00D4646C" w:rsidRPr="00BD1319">
        <w:rPr>
          <w:rFonts w:eastAsiaTheme="minorHAnsi" w:cs="Arial"/>
          <w:szCs w:val="22"/>
          <w:lang w:eastAsia="en-US"/>
        </w:rPr>
        <w:t xml:space="preserve">análisis de redes para interpretar la conectividad ecológica potencial </w:t>
      </w:r>
      <w:r w:rsidR="009D4EBE" w:rsidRPr="00BD1319">
        <w:rPr>
          <w:rFonts w:eastAsiaTheme="minorHAnsi" w:cs="Arial"/>
          <w:szCs w:val="22"/>
          <w:lang w:eastAsia="en-US"/>
        </w:rPr>
        <w:t xml:space="preserve">y </w:t>
      </w:r>
      <w:r w:rsidR="000363C0" w:rsidRPr="00BD1319">
        <w:rPr>
          <w:rFonts w:eastAsiaTheme="minorHAnsi" w:cs="Arial"/>
          <w:szCs w:val="22"/>
          <w:lang w:eastAsia="en-US"/>
        </w:rPr>
        <w:t>determinar</w:t>
      </w:r>
      <w:r w:rsidR="00D4646C" w:rsidRPr="00BD1319">
        <w:rPr>
          <w:rFonts w:eastAsiaTheme="minorHAnsi" w:cs="Arial"/>
          <w:szCs w:val="22"/>
          <w:lang w:eastAsia="en-US"/>
        </w:rPr>
        <w:t xml:space="preserve"> las rutas o corredores potenciales y óptimos entre parches</w:t>
      </w:r>
      <w:r w:rsidR="001F7F64" w:rsidRPr="00BD1319">
        <w:rPr>
          <w:rFonts w:eastAsiaTheme="minorHAnsi" w:cs="Arial"/>
          <w:szCs w:val="22"/>
          <w:lang w:eastAsia="en-US"/>
        </w:rPr>
        <w:t>, así como la densidad de corredores biológicos,</w:t>
      </w:r>
      <w:r w:rsidR="00D4646C" w:rsidRPr="00BD1319">
        <w:rPr>
          <w:rFonts w:eastAsiaTheme="minorHAnsi" w:cs="Arial"/>
          <w:szCs w:val="22"/>
          <w:lang w:eastAsia="en-US"/>
        </w:rPr>
        <w:t xml:space="preserve"> </w:t>
      </w:r>
      <w:r w:rsidRPr="00BD1319">
        <w:rPr>
          <w:rFonts w:eastAsiaTheme="minorHAnsi" w:cs="Arial"/>
          <w:szCs w:val="22"/>
          <w:lang w:eastAsia="en-US"/>
        </w:rPr>
        <w:t xml:space="preserve">mediante los </w:t>
      </w:r>
      <w:r w:rsidR="00D4646C" w:rsidRPr="00BD1319">
        <w:rPr>
          <w:rFonts w:eastAsiaTheme="minorHAnsi" w:cs="Arial"/>
          <w:szCs w:val="22"/>
          <w:lang w:eastAsia="en-US"/>
        </w:rPr>
        <w:t xml:space="preserve">algoritmos </w:t>
      </w:r>
      <w:r w:rsidRPr="00BD1319">
        <w:rPr>
          <w:rFonts w:eastAsiaTheme="minorHAnsi" w:cs="Arial"/>
          <w:szCs w:val="22"/>
          <w:lang w:eastAsia="en-US"/>
        </w:rPr>
        <w:t xml:space="preserve">que </w:t>
      </w:r>
      <w:r w:rsidR="007F5A2D" w:rsidRPr="00BD1319">
        <w:rPr>
          <w:rFonts w:eastAsiaTheme="minorHAnsi" w:cs="Arial"/>
          <w:szCs w:val="22"/>
          <w:lang w:eastAsia="en-US"/>
        </w:rPr>
        <w:t xml:space="preserve">se emplean en </w:t>
      </w:r>
      <w:r w:rsidRPr="00BD1319">
        <w:rPr>
          <w:rFonts w:eastAsiaTheme="minorHAnsi" w:cs="Arial"/>
          <w:szCs w:val="22"/>
          <w:lang w:eastAsia="en-US"/>
        </w:rPr>
        <w:t xml:space="preserve">métodos como </w:t>
      </w:r>
      <w:r w:rsidR="00D4646C" w:rsidRPr="00BD1319">
        <w:rPr>
          <w:rFonts w:eastAsiaTheme="minorHAnsi" w:cs="Arial"/>
          <w:szCs w:val="22"/>
          <w:lang w:eastAsia="en-US"/>
        </w:rPr>
        <w:t xml:space="preserve">el análisis de menor costo o </w:t>
      </w:r>
      <w:r w:rsidR="007F5A2D" w:rsidRPr="00BD1319">
        <w:rPr>
          <w:rFonts w:eastAsiaTheme="minorHAnsi" w:cs="Arial"/>
          <w:szCs w:val="22"/>
          <w:lang w:eastAsia="en-US"/>
        </w:rPr>
        <w:t xml:space="preserve">en </w:t>
      </w:r>
      <w:r w:rsidR="00D4646C" w:rsidRPr="00BD1319">
        <w:rPr>
          <w:rFonts w:eastAsiaTheme="minorHAnsi" w:cs="Arial"/>
          <w:szCs w:val="22"/>
          <w:lang w:eastAsia="en-US"/>
        </w:rPr>
        <w:t xml:space="preserve">la teoría de circuitos </w:t>
      </w:r>
      <w:r w:rsidR="000756D1" w:rsidRPr="00BD1319">
        <w:rPr>
          <w:rFonts w:eastAsiaTheme="minorHAnsi" w:cs="Arial"/>
          <w:szCs w:val="22"/>
          <w:lang w:eastAsia="en-US"/>
        </w:rPr>
        <w:t xml:space="preserve">que desarrollan </w:t>
      </w:r>
      <w:proofErr w:type="spellStart"/>
      <w:r w:rsidR="00D4646C" w:rsidRPr="00BD1319">
        <w:rPr>
          <w:rFonts w:eastAsiaTheme="minorHAnsi" w:cs="Arial"/>
          <w:szCs w:val="22"/>
          <w:lang w:eastAsia="en-US"/>
        </w:rPr>
        <w:t>Bunn</w:t>
      </w:r>
      <w:proofErr w:type="spellEnd"/>
      <w:r w:rsidR="00D4646C" w:rsidRPr="00BD1319">
        <w:rPr>
          <w:rFonts w:eastAsiaTheme="minorHAnsi" w:cs="Arial"/>
          <w:szCs w:val="22"/>
          <w:lang w:eastAsia="en-US"/>
        </w:rPr>
        <w:t xml:space="preserve"> et al.</w:t>
      </w:r>
      <w:r w:rsidRPr="00BD1319">
        <w:rPr>
          <w:rFonts w:eastAsiaTheme="minorHAnsi" w:cs="Arial"/>
          <w:szCs w:val="22"/>
          <w:lang w:eastAsia="en-US"/>
        </w:rPr>
        <w:t xml:space="preserve"> (</w:t>
      </w:r>
      <w:r w:rsidR="00D4646C" w:rsidRPr="00BD1319">
        <w:rPr>
          <w:rFonts w:eastAsiaTheme="minorHAnsi" w:cs="Arial"/>
          <w:szCs w:val="22"/>
          <w:lang w:eastAsia="en-US"/>
        </w:rPr>
        <w:t>2000</w:t>
      </w:r>
      <w:r w:rsidRPr="00BD1319">
        <w:rPr>
          <w:rFonts w:eastAsiaTheme="minorHAnsi" w:cs="Arial"/>
          <w:szCs w:val="22"/>
          <w:lang w:eastAsia="en-US"/>
        </w:rPr>
        <w:t>),</w:t>
      </w:r>
      <w:r w:rsidR="00D4646C" w:rsidRPr="00BD1319">
        <w:rPr>
          <w:rFonts w:eastAsiaTheme="minorHAnsi" w:cs="Arial"/>
          <w:szCs w:val="22"/>
          <w:lang w:eastAsia="en-US"/>
        </w:rPr>
        <w:t xml:space="preserve"> McRae </w:t>
      </w:r>
      <w:r w:rsidR="00D035E9" w:rsidRPr="00BD1319">
        <w:rPr>
          <w:rFonts w:eastAsiaTheme="minorHAnsi" w:cs="Arial"/>
          <w:szCs w:val="22"/>
          <w:lang w:eastAsia="en-US"/>
        </w:rPr>
        <w:t>et al.</w:t>
      </w:r>
      <w:r w:rsidRPr="00BD1319">
        <w:rPr>
          <w:rFonts w:eastAsiaTheme="minorHAnsi" w:cs="Arial"/>
          <w:szCs w:val="22"/>
          <w:lang w:eastAsia="en-US"/>
        </w:rPr>
        <w:t xml:space="preserve"> (</w:t>
      </w:r>
      <w:r w:rsidR="00D4646C" w:rsidRPr="00BD1319">
        <w:rPr>
          <w:rFonts w:eastAsiaTheme="minorHAnsi" w:cs="Arial"/>
          <w:szCs w:val="22"/>
          <w:lang w:eastAsia="en-US"/>
        </w:rPr>
        <w:t>2008</w:t>
      </w:r>
      <w:r w:rsidRPr="00BD1319">
        <w:rPr>
          <w:rFonts w:eastAsiaTheme="minorHAnsi" w:cs="Arial"/>
          <w:szCs w:val="22"/>
          <w:lang w:eastAsia="en-US"/>
        </w:rPr>
        <w:t>) y</w:t>
      </w:r>
      <w:r w:rsidR="00D4646C" w:rsidRPr="00BD1319">
        <w:rPr>
          <w:rFonts w:eastAsiaTheme="minorHAnsi" w:cs="Arial"/>
          <w:szCs w:val="22"/>
          <w:lang w:eastAsia="en-US"/>
        </w:rPr>
        <w:t xml:space="preserve"> </w:t>
      </w:r>
      <w:proofErr w:type="spellStart"/>
      <w:r w:rsidR="00D4646C" w:rsidRPr="00BD1319">
        <w:rPr>
          <w:rFonts w:eastAsiaTheme="minorHAnsi" w:cs="Arial"/>
          <w:szCs w:val="22"/>
          <w:lang w:eastAsia="en-US"/>
        </w:rPr>
        <w:t>Etherington</w:t>
      </w:r>
      <w:proofErr w:type="spellEnd"/>
      <w:r w:rsidR="00D4646C" w:rsidRPr="00BD1319">
        <w:rPr>
          <w:rFonts w:eastAsiaTheme="minorHAnsi" w:cs="Arial"/>
          <w:szCs w:val="22"/>
          <w:lang w:eastAsia="en-US"/>
        </w:rPr>
        <w:t xml:space="preserve"> </w:t>
      </w:r>
      <w:r w:rsidRPr="00BD1319">
        <w:rPr>
          <w:rFonts w:eastAsiaTheme="minorHAnsi" w:cs="Arial"/>
          <w:szCs w:val="22"/>
          <w:lang w:eastAsia="en-US"/>
        </w:rPr>
        <w:t>(</w:t>
      </w:r>
      <w:r w:rsidR="00D4646C" w:rsidRPr="00BD1319">
        <w:rPr>
          <w:rFonts w:eastAsiaTheme="minorHAnsi" w:cs="Arial"/>
          <w:szCs w:val="22"/>
          <w:lang w:eastAsia="en-US"/>
        </w:rPr>
        <w:t>2016).</w:t>
      </w:r>
    </w:p>
    <w:p w14:paraId="0A6206B9" w14:textId="77777777" w:rsidR="00D035E9" w:rsidRPr="00BD1319" w:rsidRDefault="00D035E9" w:rsidP="008A4FE9">
      <w:pPr>
        <w:overflowPunct/>
        <w:ind w:left="567" w:hanging="567"/>
        <w:textAlignment w:val="auto"/>
        <w:rPr>
          <w:rFonts w:eastAsiaTheme="minorHAnsi" w:cs="Arial"/>
          <w:szCs w:val="22"/>
          <w:lang w:eastAsia="en-US"/>
        </w:rPr>
      </w:pPr>
    </w:p>
    <w:p w14:paraId="7ECF82F2" w14:textId="4919B000" w:rsidR="00D4646C" w:rsidRPr="00BD1319" w:rsidRDefault="008714FF" w:rsidP="008A4FE9">
      <w:pPr>
        <w:pStyle w:val="Prrafodelista"/>
        <w:numPr>
          <w:ilvl w:val="0"/>
          <w:numId w:val="648"/>
        </w:numPr>
        <w:ind w:left="567" w:hanging="567"/>
        <w:rPr>
          <w:rFonts w:eastAsiaTheme="minorHAnsi" w:cs="Arial"/>
          <w:szCs w:val="22"/>
          <w:lang w:eastAsia="en-US"/>
        </w:rPr>
      </w:pPr>
      <w:r w:rsidRPr="00BD1319">
        <w:rPr>
          <w:rFonts w:eastAsiaTheme="minorHAnsi" w:cs="Arial"/>
          <w:szCs w:val="22"/>
          <w:lang w:val="es-CO" w:eastAsia="en-US"/>
        </w:rPr>
        <w:t>S</w:t>
      </w:r>
      <w:r w:rsidR="00D4646C" w:rsidRPr="00BD1319">
        <w:rPr>
          <w:rFonts w:eastAsiaTheme="minorHAnsi" w:cs="Arial"/>
          <w:szCs w:val="22"/>
          <w:lang w:val="es-CO" w:eastAsia="en-US"/>
        </w:rPr>
        <w:t>eleccionar</w:t>
      </w:r>
      <w:r w:rsidRPr="00BD1319">
        <w:rPr>
          <w:rFonts w:eastAsiaTheme="minorHAnsi" w:cs="Arial"/>
          <w:szCs w:val="22"/>
          <w:lang w:val="es-CO" w:eastAsia="en-US"/>
        </w:rPr>
        <w:t>,</w:t>
      </w:r>
      <w:r w:rsidR="00D4646C" w:rsidRPr="00BD1319">
        <w:rPr>
          <w:rFonts w:eastAsiaTheme="minorHAnsi" w:cs="Arial"/>
          <w:szCs w:val="22"/>
          <w:lang w:val="es-CO" w:eastAsia="en-US"/>
        </w:rPr>
        <w:t xml:space="preserve"> </w:t>
      </w:r>
      <w:r w:rsidRPr="00BD1319">
        <w:rPr>
          <w:rFonts w:eastAsiaTheme="minorHAnsi" w:cs="Arial"/>
          <w:szCs w:val="22"/>
          <w:lang w:val="es-CO" w:eastAsia="en-US"/>
        </w:rPr>
        <w:t xml:space="preserve">dependiendo del método utilizado (matriz de resistencia, teoría de grafos, análisis de redes), </w:t>
      </w:r>
      <w:r w:rsidR="00D4646C" w:rsidRPr="00BD1319">
        <w:rPr>
          <w:rFonts w:eastAsiaTheme="minorHAnsi" w:cs="Arial"/>
          <w:szCs w:val="22"/>
          <w:lang w:val="es-CO" w:eastAsia="en-US"/>
        </w:rPr>
        <w:t xml:space="preserve">índices que </w:t>
      </w:r>
      <w:r w:rsidR="007F5A2D" w:rsidRPr="00BD1319">
        <w:rPr>
          <w:rFonts w:eastAsiaTheme="minorHAnsi" w:cs="Arial"/>
          <w:szCs w:val="22"/>
          <w:lang w:val="es-CO" w:eastAsia="en-US"/>
        </w:rPr>
        <w:t xml:space="preserve">brinden una medida </w:t>
      </w:r>
      <w:r w:rsidR="00D4646C" w:rsidRPr="00BD1319">
        <w:rPr>
          <w:rFonts w:eastAsiaTheme="minorHAnsi" w:cs="Arial"/>
          <w:szCs w:val="22"/>
          <w:lang w:val="es-CO" w:eastAsia="en-US"/>
        </w:rPr>
        <w:t>cuanti</w:t>
      </w:r>
      <w:r w:rsidR="007F5A2D" w:rsidRPr="00BD1319">
        <w:rPr>
          <w:rFonts w:eastAsiaTheme="minorHAnsi" w:cs="Arial"/>
          <w:szCs w:val="22"/>
          <w:lang w:val="es-CO" w:eastAsia="en-US"/>
        </w:rPr>
        <w:t xml:space="preserve">tativa de </w:t>
      </w:r>
      <w:r w:rsidR="00D4646C" w:rsidRPr="00BD1319">
        <w:rPr>
          <w:rFonts w:eastAsiaTheme="minorHAnsi" w:cs="Arial"/>
          <w:szCs w:val="22"/>
          <w:lang w:val="es-CO" w:eastAsia="en-US"/>
        </w:rPr>
        <w:t>la conectividad para tod</w:t>
      </w:r>
      <w:r w:rsidRPr="00BD1319">
        <w:rPr>
          <w:rFonts w:eastAsiaTheme="minorHAnsi" w:cs="Arial"/>
          <w:szCs w:val="22"/>
          <w:lang w:val="es-CO" w:eastAsia="en-US"/>
        </w:rPr>
        <w:t>o el paisaje o para el parche;</w:t>
      </w:r>
      <w:r w:rsidR="00D4646C" w:rsidRPr="00BD1319">
        <w:rPr>
          <w:rFonts w:eastAsiaTheme="minorHAnsi" w:cs="Arial"/>
          <w:szCs w:val="22"/>
          <w:lang w:val="es-CO" w:eastAsia="en-US"/>
        </w:rPr>
        <w:t xml:space="preserve"> pueden </w:t>
      </w:r>
      <w:r w:rsidRPr="00BD1319">
        <w:rPr>
          <w:rFonts w:eastAsiaTheme="minorHAnsi" w:cs="Arial"/>
          <w:szCs w:val="22"/>
          <w:lang w:val="es-CO" w:eastAsia="en-US"/>
        </w:rPr>
        <w:t xml:space="preserve">emplearse </w:t>
      </w:r>
      <w:r w:rsidR="00D4646C" w:rsidRPr="00BD1319">
        <w:rPr>
          <w:rFonts w:eastAsiaTheme="minorHAnsi" w:cs="Arial"/>
          <w:szCs w:val="22"/>
          <w:lang w:val="es-CO" w:eastAsia="en-US"/>
        </w:rPr>
        <w:t xml:space="preserve">aquellos </w:t>
      </w:r>
      <w:r w:rsidR="007F5A2D" w:rsidRPr="00BD1319">
        <w:rPr>
          <w:rFonts w:eastAsiaTheme="minorHAnsi" w:cs="Arial"/>
          <w:szCs w:val="22"/>
          <w:lang w:val="es-CO" w:eastAsia="en-US"/>
        </w:rPr>
        <w:t xml:space="preserve">índices </w:t>
      </w:r>
      <w:r w:rsidR="00D4646C" w:rsidRPr="00BD1319">
        <w:rPr>
          <w:rFonts w:eastAsiaTheme="minorHAnsi" w:cs="Arial"/>
          <w:szCs w:val="22"/>
          <w:lang w:val="es-CO" w:eastAsia="en-US"/>
        </w:rPr>
        <w:t xml:space="preserve">que ofrecen </w:t>
      </w:r>
      <w:r w:rsidR="000756D1" w:rsidRPr="00BD1319">
        <w:rPr>
          <w:rFonts w:eastAsiaTheme="minorHAnsi" w:cs="Arial"/>
          <w:szCs w:val="22"/>
          <w:lang w:val="es-CO" w:eastAsia="en-US"/>
        </w:rPr>
        <w:t>programas informáticos</w:t>
      </w:r>
      <w:r w:rsidR="00D4646C" w:rsidRPr="00BD1319">
        <w:rPr>
          <w:rFonts w:eastAsiaTheme="minorHAnsi" w:cs="Arial"/>
          <w:szCs w:val="22"/>
          <w:lang w:val="es-CO" w:eastAsia="en-US"/>
        </w:rPr>
        <w:t xml:space="preserve"> libres como </w:t>
      </w:r>
      <w:proofErr w:type="spellStart"/>
      <w:r w:rsidR="00D4646C" w:rsidRPr="00BD1319">
        <w:rPr>
          <w:rFonts w:eastAsiaTheme="minorHAnsi" w:cs="Arial"/>
          <w:szCs w:val="22"/>
          <w:lang w:val="es-CO" w:eastAsia="en-US"/>
        </w:rPr>
        <w:t>Conefor</w:t>
      </w:r>
      <w:proofErr w:type="spellEnd"/>
      <w:r w:rsidR="00D4646C" w:rsidRPr="00BD1319">
        <w:rPr>
          <w:rFonts w:eastAsiaTheme="minorHAnsi" w:cs="Arial"/>
          <w:szCs w:val="22"/>
          <w:lang w:val="es-CO" w:eastAsia="en-US"/>
        </w:rPr>
        <w:t xml:space="preserve"> (índice integral de conectividad</w:t>
      </w:r>
      <w:r w:rsidR="007F5A2D" w:rsidRPr="00BD1319">
        <w:rPr>
          <w:rFonts w:eastAsiaTheme="minorHAnsi" w:cs="Arial"/>
          <w:szCs w:val="22"/>
          <w:lang w:val="es-CO" w:eastAsia="en-US"/>
        </w:rPr>
        <w:t xml:space="preserve">, </w:t>
      </w:r>
      <w:r w:rsidR="00D4646C" w:rsidRPr="00BD1319">
        <w:rPr>
          <w:rFonts w:eastAsiaTheme="minorHAnsi" w:cs="Arial"/>
          <w:szCs w:val="22"/>
          <w:lang w:val="es-CO" w:eastAsia="en-US"/>
        </w:rPr>
        <w:t>p</w:t>
      </w:r>
      <w:r w:rsidRPr="00BD1319">
        <w:rPr>
          <w:rFonts w:eastAsiaTheme="minorHAnsi" w:cs="Arial"/>
          <w:szCs w:val="22"/>
          <w:lang w:val="es-CO" w:eastAsia="en-US"/>
        </w:rPr>
        <w:t>robabilidad de conectividad</w:t>
      </w:r>
      <w:r w:rsidR="007F5A2D" w:rsidRPr="00BD1319">
        <w:rPr>
          <w:rFonts w:eastAsiaTheme="minorHAnsi" w:cs="Arial"/>
          <w:szCs w:val="22"/>
          <w:lang w:val="es-CO" w:eastAsia="en-US"/>
        </w:rPr>
        <w:t>, entre otros</w:t>
      </w:r>
      <w:r w:rsidRPr="00BD1319">
        <w:rPr>
          <w:rFonts w:eastAsiaTheme="minorHAnsi" w:cs="Arial"/>
          <w:szCs w:val="22"/>
          <w:lang w:val="es-CO" w:eastAsia="en-US"/>
        </w:rPr>
        <w:t>)</w:t>
      </w:r>
      <w:r w:rsidR="00D4646C" w:rsidRPr="00BD1319">
        <w:rPr>
          <w:rFonts w:eastAsiaTheme="minorHAnsi" w:cs="Arial"/>
          <w:szCs w:val="22"/>
          <w:lang w:val="es-CO" w:eastAsia="en-US"/>
        </w:rPr>
        <w:t xml:space="preserve"> o </w:t>
      </w:r>
      <w:proofErr w:type="spellStart"/>
      <w:r w:rsidR="00D4646C" w:rsidRPr="00BD1319">
        <w:rPr>
          <w:rFonts w:eastAsiaTheme="minorHAnsi" w:cs="Arial"/>
          <w:szCs w:val="22"/>
          <w:lang w:val="es-CO" w:eastAsia="en-US"/>
        </w:rPr>
        <w:t>Linkage</w:t>
      </w:r>
      <w:proofErr w:type="spellEnd"/>
      <w:r w:rsidR="00D4646C" w:rsidRPr="00BD1319">
        <w:rPr>
          <w:rFonts w:eastAsiaTheme="minorHAnsi" w:cs="Arial"/>
          <w:szCs w:val="22"/>
          <w:lang w:val="es-CO" w:eastAsia="en-US"/>
        </w:rPr>
        <w:t xml:space="preserve"> </w:t>
      </w:r>
      <w:proofErr w:type="spellStart"/>
      <w:r w:rsidR="00D4646C" w:rsidRPr="00BD1319">
        <w:rPr>
          <w:rFonts w:eastAsiaTheme="minorHAnsi" w:cs="Arial"/>
          <w:szCs w:val="22"/>
          <w:lang w:val="es-CO" w:eastAsia="en-US"/>
        </w:rPr>
        <w:t>mapper</w:t>
      </w:r>
      <w:proofErr w:type="spellEnd"/>
      <w:r w:rsidR="00D4646C" w:rsidRPr="00BD1319">
        <w:rPr>
          <w:rFonts w:eastAsiaTheme="minorHAnsi" w:cs="Arial"/>
          <w:szCs w:val="22"/>
          <w:lang w:val="es-CO" w:eastAsia="en-US"/>
        </w:rPr>
        <w:t xml:space="preserve"> (</w:t>
      </w:r>
      <w:r w:rsidRPr="00BD1319">
        <w:rPr>
          <w:rFonts w:eastAsiaTheme="minorHAnsi" w:cs="Arial"/>
          <w:szCs w:val="22"/>
          <w:lang w:val="es-CO" w:eastAsia="en-US"/>
        </w:rPr>
        <w:t>d</w:t>
      </w:r>
      <w:r w:rsidR="00D4646C" w:rsidRPr="00BD1319">
        <w:rPr>
          <w:rFonts w:eastAsiaTheme="minorHAnsi" w:cs="Arial"/>
          <w:szCs w:val="22"/>
          <w:lang w:val="es-CO" w:eastAsia="en-US"/>
        </w:rPr>
        <w:t>istancia euclidiana, radio del costo de distancia ponderado, entre otros).</w:t>
      </w:r>
    </w:p>
    <w:p w14:paraId="79DF8502" w14:textId="77777777" w:rsidR="00D4646C" w:rsidRPr="00BD1319" w:rsidRDefault="00D4646C" w:rsidP="00D4646C">
      <w:pPr>
        <w:overflowPunct/>
        <w:textAlignment w:val="auto"/>
        <w:rPr>
          <w:rFonts w:eastAsiaTheme="minorHAnsi" w:cs="Arial"/>
          <w:szCs w:val="22"/>
          <w:lang w:eastAsia="en-US"/>
        </w:rPr>
      </w:pPr>
    </w:p>
    <w:p w14:paraId="57AC5BF3" w14:textId="6E60A3E9" w:rsidR="001876BD" w:rsidRPr="00BD1319" w:rsidRDefault="00BE17B9" w:rsidP="001876BD">
      <w:pPr>
        <w:numPr>
          <w:ilvl w:val="12"/>
          <w:numId w:val="0"/>
        </w:numPr>
        <w:tabs>
          <w:tab w:val="left" w:pos="-2268"/>
        </w:tabs>
        <w:suppressAutoHyphens/>
        <w:rPr>
          <w:spacing w:val="-3"/>
        </w:rPr>
      </w:pPr>
      <w:r w:rsidRPr="00BD1319">
        <w:rPr>
          <w:spacing w:val="-3"/>
        </w:rPr>
        <w:t xml:space="preserve">Los </w:t>
      </w:r>
      <w:r w:rsidR="001876BD" w:rsidRPr="00BD1319">
        <w:rPr>
          <w:spacing w:val="-3"/>
        </w:rPr>
        <w:t xml:space="preserve">modelos deben acompañarse de </w:t>
      </w:r>
      <w:r w:rsidR="00A36CF0" w:rsidRPr="00BD1319">
        <w:rPr>
          <w:spacing w:val="-3"/>
        </w:rPr>
        <w:t xml:space="preserve">sus </w:t>
      </w:r>
      <w:r w:rsidR="001876BD" w:rsidRPr="00BD1319">
        <w:rPr>
          <w:spacing w:val="-3"/>
        </w:rPr>
        <w:t xml:space="preserve">archivos ejecutables, </w:t>
      </w:r>
      <w:r w:rsidR="00A36CF0" w:rsidRPr="00BD1319">
        <w:rPr>
          <w:spacing w:val="-3"/>
        </w:rPr>
        <w:t>así como d</w:t>
      </w:r>
      <w:r w:rsidR="001876BD" w:rsidRPr="00BD1319">
        <w:rPr>
          <w:spacing w:val="-3"/>
        </w:rPr>
        <w:t>el esquema de modelación, variables y covariables de entrada para su elaboración, valoración y matriz de resistencia, salidas gráficas y cartográficas de sus resultados (</w:t>
      </w:r>
      <w:r w:rsidR="00A36CF0" w:rsidRPr="00BD1319">
        <w:rPr>
          <w:spacing w:val="-3"/>
        </w:rPr>
        <w:t xml:space="preserve">por ejemplo, </w:t>
      </w:r>
      <w:r w:rsidR="001876BD" w:rsidRPr="00BD1319">
        <w:rPr>
          <w:spacing w:val="-3"/>
        </w:rPr>
        <w:t>para el modelo de corredores biológicos</w:t>
      </w:r>
      <w:r w:rsidR="00A36CF0" w:rsidRPr="00BD1319">
        <w:rPr>
          <w:spacing w:val="-3"/>
        </w:rPr>
        <w:t xml:space="preserve">, </w:t>
      </w:r>
      <w:r w:rsidR="001876BD" w:rsidRPr="00BD1319">
        <w:rPr>
          <w:spacing w:val="-3"/>
        </w:rPr>
        <w:t xml:space="preserve">capa de resistencia, áreas núcleo, rutas de menor costo, corredores biológicos, </w:t>
      </w:r>
      <w:proofErr w:type="spellStart"/>
      <w:r w:rsidR="001876BD" w:rsidRPr="00BD1319">
        <w:rPr>
          <w:spacing w:val="-3"/>
        </w:rPr>
        <w:t>pinch-points</w:t>
      </w:r>
      <w:proofErr w:type="spellEnd"/>
      <w:r w:rsidR="001876BD" w:rsidRPr="00BD1319">
        <w:rPr>
          <w:spacing w:val="-3"/>
        </w:rPr>
        <w:t>), de tal manera que sea posible replicar el ejercicio de modelización.</w:t>
      </w:r>
    </w:p>
    <w:p w14:paraId="67091A14" w14:textId="77777777" w:rsidR="00971CB8" w:rsidRPr="00BD1319" w:rsidRDefault="00971CB8">
      <w:pPr>
        <w:numPr>
          <w:ilvl w:val="12"/>
          <w:numId w:val="0"/>
        </w:numPr>
        <w:tabs>
          <w:tab w:val="left" w:pos="-2268"/>
        </w:tabs>
        <w:suppressAutoHyphens/>
        <w:rPr>
          <w:spacing w:val="-3"/>
        </w:rPr>
      </w:pPr>
    </w:p>
    <w:p w14:paraId="3B46B052" w14:textId="17D66C51" w:rsidR="00CC2139" w:rsidRPr="00BD1319" w:rsidRDefault="00CC2139">
      <w:pPr>
        <w:numPr>
          <w:ilvl w:val="12"/>
          <w:numId w:val="0"/>
        </w:numPr>
        <w:tabs>
          <w:tab w:val="left" w:pos="-2268"/>
        </w:tabs>
        <w:suppressAutoHyphens/>
        <w:rPr>
          <w:spacing w:val="-3"/>
        </w:rPr>
      </w:pPr>
      <w:r w:rsidRPr="00BD1319">
        <w:rPr>
          <w:spacing w:val="-3"/>
        </w:rPr>
        <w:t>Estos modelos pueden formularse también para el escenario con proyecto, complementándolos con los resultados de modelizaciones para dicho escenario, por ejemplo, de variables como caudal, calidad del agua, nivel freático, ruido, contaminantes atmosféricos, viento, con el fin de estimar de forma más precisa cómo y en dónde las actividades, obras e infraestructura a desarrollar durante la ejecución del proyecto, limitan directa e indirectamente la dispersión y la movilidad de las especies</w:t>
      </w:r>
      <w:r w:rsidR="00D75A95" w:rsidRPr="00BD1319">
        <w:rPr>
          <w:spacing w:val="-3"/>
        </w:rPr>
        <w:t xml:space="preserve"> y así obtener elementos adicionales para la evaluación ambiental</w:t>
      </w:r>
      <w:r w:rsidRPr="00BD1319">
        <w:rPr>
          <w:spacing w:val="-3"/>
        </w:rPr>
        <w:t>.</w:t>
      </w:r>
    </w:p>
    <w:p w14:paraId="3839810D" w14:textId="77777777" w:rsidR="00CC2139" w:rsidRPr="00BD1319" w:rsidRDefault="00CC2139">
      <w:pPr>
        <w:numPr>
          <w:ilvl w:val="12"/>
          <w:numId w:val="0"/>
        </w:numPr>
        <w:tabs>
          <w:tab w:val="left" w:pos="-2268"/>
        </w:tabs>
        <w:suppressAutoHyphens/>
        <w:rPr>
          <w:spacing w:val="-3"/>
        </w:rPr>
      </w:pPr>
    </w:p>
    <w:p w14:paraId="194AEEFB" w14:textId="2A358816" w:rsidR="00482A5F" w:rsidRPr="00BD1319" w:rsidRDefault="00482A5F" w:rsidP="00216955">
      <w:pPr>
        <w:pStyle w:val="Ttulo3"/>
      </w:pPr>
      <w:bookmarkStart w:id="2890" w:name="_Toc393967321"/>
      <w:bookmarkStart w:id="2891" w:name="_Toc405366837"/>
      <w:bookmarkStart w:id="2892" w:name="_Toc405372384"/>
      <w:bookmarkStart w:id="2893" w:name="_Toc437936027"/>
      <w:bookmarkStart w:id="2894" w:name="_Toc42764352"/>
      <w:bookmarkStart w:id="2895" w:name="_Toc175326771"/>
      <w:r w:rsidRPr="00BD1319">
        <w:t>Ecosistemas acuáticos</w:t>
      </w:r>
      <w:bookmarkEnd w:id="2890"/>
      <w:bookmarkEnd w:id="2891"/>
      <w:bookmarkEnd w:id="2892"/>
      <w:r w:rsidRPr="00BD1319">
        <w:t xml:space="preserve"> continentales y marino-costeros</w:t>
      </w:r>
      <w:bookmarkEnd w:id="2893"/>
      <w:bookmarkEnd w:id="2894"/>
      <w:bookmarkEnd w:id="2895"/>
    </w:p>
    <w:p w14:paraId="6ABEE348" w14:textId="77777777" w:rsidR="00482A5F" w:rsidRPr="00BD1319" w:rsidRDefault="00482A5F">
      <w:pPr>
        <w:numPr>
          <w:ilvl w:val="12"/>
          <w:numId w:val="0"/>
        </w:numPr>
        <w:tabs>
          <w:tab w:val="left" w:pos="-2268"/>
        </w:tabs>
        <w:suppressAutoHyphens/>
        <w:rPr>
          <w:spacing w:val="-3"/>
        </w:rPr>
      </w:pPr>
    </w:p>
    <w:p w14:paraId="10724ECD" w14:textId="0EC9C037" w:rsidR="00344A4A" w:rsidRPr="00BD1319" w:rsidRDefault="00482A5F" w:rsidP="00C86DA5">
      <w:pPr>
        <w:numPr>
          <w:ilvl w:val="12"/>
          <w:numId w:val="0"/>
        </w:numPr>
        <w:tabs>
          <w:tab w:val="left" w:pos="-2268"/>
        </w:tabs>
        <w:suppressAutoHyphens/>
        <w:rPr>
          <w:rFonts w:cs="Arial"/>
          <w:spacing w:val="-3"/>
        </w:rPr>
      </w:pPr>
      <w:r w:rsidRPr="00BD1319">
        <w:rPr>
          <w:spacing w:val="-3"/>
        </w:rPr>
        <w:lastRenderedPageBreak/>
        <w:t xml:space="preserve">Con el fin de </w:t>
      </w:r>
      <w:r w:rsidR="008C6FA1" w:rsidRPr="00BD1319">
        <w:rPr>
          <w:spacing w:val="-3"/>
        </w:rPr>
        <w:t xml:space="preserve">determinar </w:t>
      </w:r>
      <w:r w:rsidRPr="00BD1319">
        <w:rPr>
          <w:spacing w:val="-3"/>
        </w:rPr>
        <w:t>la composición y estructura de la flora y fauna existente en los ecosistemas acuáticos continentales, marino costeros u oceánicos presentes en el área de influencia</w:t>
      </w:r>
      <w:r w:rsidRPr="00BD1319">
        <w:rPr>
          <w:rFonts w:cs="Arial"/>
          <w:spacing w:val="-3"/>
        </w:rPr>
        <w:t xml:space="preserve"> del </w:t>
      </w:r>
      <w:r w:rsidR="00E15B23" w:rsidRPr="00BD1319">
        <w:rPr>
          <w:rFonts w:cs="Arial"/>
          <w:spacing w:val="-3"/>
        </w:rPr>
        <w:t>componente</w:t>
      </w:r>
      <w:r w:rsidRPr="00BD1319">
        <w:rPr>
          <w:spacing w:val="-3"/>
        </w:rPr>
        <w:t xml:space="preserve">, se deben caracterizar las comunidades hidrobiológicas </w:t>
      </w:r>
      <w:r w:rsidRPr="00BD1319">
        <w:rPr>
          <w:rFonts w:cs="Arial"/>
          <w:spacing w:val="-3"/>
        </w:rPr>
        <w:t xml:space="preserve">y </w:t>
      </w:r>
      <w:r w:rsidR="00E15B23" w:rsidRPr="00BD1319">
        <w:rPr>
          <w:rFonts w:cs="Arial"/>
          <w:spacing w:val="-3"/>
        </w:rPr>
        <w:t xml:space="preserve">otros grupos de </w:t>
      </w:r>
      <w:r w:rsidRPr="00BD1319">
        <w:rPr>
          <w:rFonts w:cs="Arial"/>
          <w:spacing w:val="-3"/>
        </w:rPr>
        <w:t>fauna que en sus ciclos de vida haga</w:t>
      </w:r>
      <w:r w:rsidR="00A05FB9" w:rsidRPr="00BD1319">
        <w:rPr>
          <w:rFonts w:cs="Arial"/>
          <w:spacing w:val="-3"/>
        </w:rPr>
        <w:t>n</w:t>
      </w:r>
      <w:r w:rsidRPr="00BD1319">
        <w:rPr>
          <w:rFonts w:cs="Arial"/>
          <w:spacing w:val="-3"/>
        </w:rPr>
        <w:t xml:space="preserve"> uso de los ecosistemas acuáticos para su desarrollo (</w:t>
      </w:r>
      <w:r w:rsidR="00041844" w:rsidRPr="00BD1319">
        <w:rPr>
          <w:rFonts w:cs="Arial"/>
          <w:spacing w:val="-3"/>
        </w:rPr>
        <w:t>p. ej.</w:t>
      </w:r>
      <w:r w:rsidRPr="00BD1319">
        <w:rPr>
          <w:rFonts w:cs="Arial"/>
          <w:spacing w:val="-3"/>
        </w:rPr>
        <w:t xml:space="preserve"> manatí, nutría, tortuga).</w:t>
      </w:r>
    </w:p>
    <w:p w14:paraId="59B73543" w14:textId="77777777" w:rsidR="00861F7A" w:rsidRPr="00BD1319" w:rsidRDefault="00861F7A" w:rsidP="00C86DA5">
      <w:pPr>
        <w:numPr>
          <w:ilvl w:val="12"/>
          <w:numId w:val="0"/>
        </w:numPr>
        <w:tabs>
          <w:tab w:val="left" w:pos="-2268"/>
        </w:tabs>
        <w:suppressAutoHyphens/>
        <w:rPr>
          <w:rFonts w:cs="Arial"/>
          <w:spacing w:val="-3"/>
        </w:rPr>
      </w:pPr>
    </w:p>
    <w:p w14:paraId="0C45D25C" w14:textId="3F028A97" w:rsidR="00482A5F" w:rsidRPr="00BD1319" w:rsidRDefault="00482A5F">
      <w:pPr>
        <w:numPr>
          <w:ilvl w:val="12"/>
          <w:numId w:val="0"/>
        </w:numPr>
        <w:tabs>
          <w:tab w:val="left" w:pos="-2268"/>
        </w:tabs>
        <w:suppressAutoHyphens/>
        <w:rPr>
          <w:spacing w:val="-3"/>
        </w:rPr>
      </w:pPr>
      <w:r w:rsidRPr="00BD1319">
        <w:rPr>
          <w:rFonts w:cs="Arial"/>
          <w:spacing w:val="-3"/>
        </w:rPr>
        <w:t>En</w:t>
      </w:r>
      <w:r w:rsidRPr="00BD1319">
        <w:rPr>
          <w:spacing w:val="-3"/>
        </w:rPr>
        <w:t xml:space="preserve"> </w:t>
      </w:r>
      <w:r w:rsidR="004D5E3C" w:rsidRPr="00BD1319">
        <w:rPr>
          <w:spacing w:val="-3"/>
        </w:rPr>
        <w:t>eco</w:t>
      </w:r>
      <w:r w:rsidRPr="00BD1319">
        <w:rPr>
          <w:spacing w:val="-3"/>
        </w:rPr>
        <w:t>sistemas lóticos</w:t>
      </w:r>
      <w:r w:rsidRPr="00BD1319">
        <w:rPr>
          <w:rFonts w:cs="Arial"/>
          <w:spacing w:val="-3"/>
        </w:rPr>
        <w:t>,</w:t>
      </w:r>
      <w:r w:rsidRPr="00BD1319">
        <w:rPr>
          <w:spacing w:val="-3"/>
        </w:rPr>
        <w:t xml:space="preserve"> lénticos y marinos</w:t>
      </w:r>
      <w:r w:rsidRPr="00BD1319">
        <w:rPr>
          <w:rFonts w:cs="Arial"/>
          <w:spacing w:val="-3"/>
        </w:rPr>
        <w:t>,</w:t>
      </w:r>
      <w:r w:rsidRPr="00BD1319">
        <w:rPr>
          <w:spacing w:val="-3"/>
        </w:rPr>
        <w:t xml:space="preserve"> realizar las siguientes acciones:</w:t>
      </w:r>
    </w:p>
    <w:p w14:paraId="6DA3DCA0" w14:textId="77777777" w:rsidR="00482A5F" w:rsidRPr="00BD1319" w:rsidRDefault="00482A5F">
      <w:pPr>
        <w:numPr>
          <w:ilvl w:val="12"/>
          <w:numId w:val="0"/>
        </w:numPr>
        <w:tabs>
          <w:tab w:val="left" w:pos="-2268"/>
        </w:tabs>
        <w:suppressAutoHyphens/>
        <w:rPr>
          <w:spacing w:val="-3"/>
        </w:rPr>
      </w:pPr>
    </w:p>
    <w:p w14:paraId="457F379B" w14:textId="77777777" w:rsidR="00C33ED0" w:rsidRPr="00BD1319" w:rsidRDefault="00C33ED0" w:rsidP="00C33ED0">
      <w:pPr>
        <w:numPr>
          <w:ilvl w:val="12"/>
          <w:numId w:val="0"/>
        </w:numPr>
        <w:tabs>
          <w:tab w:val="left" w:pos="-2268"/>
        </w:tabs>
        <w:suppressAutoHyphens/>
        <w:rPr>
          <w:spacing w:val="-3"/>
        </w:rPr>
      </w:pPr>
      <w:r w:rsidRPr="00BD1319">
        <w:rPr>
          <w:spacing w:val="-3"/>
        </w:rPr>
        <w:t xml:space="preserve">Para ecosistemas lóticos se deben realizar muestreos de </w:t>
      </w:r>
      <w:proofErr w:type="spellStart"/>
      <w:r w:rsidRPr="00BD1319">
        <w:rPr>
          <w:spacing w:val="-3"/>
        </w:rPr>
        <w:t>perifiton</w:t>
      </w:r>
      <w:proofErr w:type="spellEnd"/>
      <w:r w:rsidRPr="00BD1319">
        <w:rPr>
          <w:rFonts w:eastAsia="Symbol" w:cs="Arial"/>
          <w:spacing w:val="-3"/>
        </w:rPr>
        <w:t>,</w:t>
      </w:r>
      <w:r w:rsidRPr="00BD1319">
        <w:rPr>
          <w:spacing w:val="-3"/>
        </w:rPr>
        <w:t xml:space="preserve"> macroinvertebrados acuáticos bentónicos, fauna íctica y </w:t>
      </w:r>
      <w:proofErr w:type="spellStart"/>
      <w:r w:rsidRPr="00BD1319">
        <w:rPr>
          <w:spacing w:val="-3"/>
        </w:rPr>
        <w:t>macrófitas</w:t>
      </w:r>
      <w:proofErr w:type="spellEnd"/>
      <w:r w:rsidRPr="00BD1319">
        <w:rPr>
          <w:spacing w:val="-3"/>
        </w:rPr>
        <w:t xml:space="preserve">. Para ecosistemas lénticos se debe muestrear el plancton (fitoplancton, zooplancton e </w:t>
      </w:r>
      <w:proofErr w:type="spellStart"/>
      <w:r w:rsidRPr="00BD1319">
        <w:rPr>
          <w:spacing w:val="-3"/>
        </w:rPr>
        <w:t>ictioplancton</w:t>
      </w:r>
      <w:proofErr w:type="spellEnd"/>
      <w:r w:rsidRPr="00BD1319">
        <w:rPr>
          <w:spacing w:val="-3"/>
        </w:rPr>
        <w:t xml:space="preserve">), macroinvertebrados acuáticos bentónicos asociados a raíces de </w:t>
      </w:r>
      <w:proofErr w:type="spellStart"/>
      <w:r w:rsidRPr="00BD1319">
        <w:rPr>
          <w:spacing w:val="-3"/>
        </w:rPr>
        <w:t>macrófitas</w:t>
      </w:r>
      <w:proofErr w:type="spellEnd"/>
      <w:r w:rsidRPr="00BD1319">
        <w:rPr>
          <w:spacing w:val="-3"/>
        </w:rPr>
        <w:t xml:space="preserve"> (según sea el caso), </w:t>
      </w:r>
      <w:proofErr w:type="spellStart"/>
      <w:r w:rsidRPr="00BD1319">
        <w:rPr>
          <w:spacing w:val="-3"/>
        </w:rPr>
        <w:t>macrófitas</w:t>
      </w:r>
      <w:proofErr w:type="spellEnd"/>
      <w:r w:rsidRPr="00BD1319">
        <w:rPr>
          <w:spacing w:val="-3"/>
        </w:rPr>
        <w:t xml:space="preserve"> y fauna íctica.</w:t>
      </w:r>
    </w:p>
    <w:p w14:paraId="4253D1B9" w14:textId="1A9AEEB7" w:rsidR="00482A5F" w:rsidRPr="00BD1319" w:rsidRDefault="00482A5F">
      <w:pPr>
        <w:numPr>
          <w:ilvl w:val="12"/>
          <w:numId w:val="0"/>
        </w:numPr>
        <w:tabs>
          <w:tab w:val="left" w:pos="-2268"/>
        </w:tabs>
        <w:suppressAutoHyphens/>
        <w:rPr>
          <w:spacing w:val="-3"/>
        </w:rPr>
      </w:pPr>
    </w:p>
    <w:p w14:paraId="61C8A8E5" w14:textId="500C3854" w:rsidR="00482A5F" w:rsidRPr="00BD1319" w:rsidRDefault="00A05FB9">
      <w:pPr>
        <w:numPr>
          <w:ilvl w:val="12"/>
          <w:numId w:val="0"/>
        </w:numPr>
        <w:tabs>
          <w:tab w:val="left" w:pos="-2268"/>
        </w:tabs>
        <w:suppressAutoHyphens/>
        <w:rPr>
          <w:spacing w:val="-3"/>
        </w:rPr>
      </w:pPr>
      <w:r w:rsidRPr="00BD1319">
        <w:rPr>
          <w:rFonts w:cs="Arial"/>
          <w:spacing w:val="-3"/>
        </w:rPr>
        <w:t xml:space="preserve">Para </w:t>
      </w:r>
      <w:r w:rsidR="00482A5F" w:rsidRPr="00BD1319">
        <w:rPr>
          <w:rFonts w:cs="Arial"/>
          <w:spacing w:val="-3"/>
        </w:rPr>
        <w:t>ecosistemas</w:t>
      </w:r>
      <w:r w:rsidR="00482A5F" w:rsidRPr="00BD1319">
        <w:rPr>
          <w:spacing w:val="-3"/>
        </w:rPr>
        <w:t xml:space="preserve"> marinos </w:t>
      </w:r>
      <w:r w:rsidRPr="00BD1319">
        <w:rPr>
          <w:spacing w:val="-3"/>
        </w:rPr>
        <w:t xml:space="preserve">se </w:t>
      </w:r>
      <w:r w:rsidR="00103345" w:rsidRPr="00BD1319">
        <w:rPr>
          <w:rFonts w:cs="Arial"/>
          <w:spacing w:val="-3"/>
        </w:rPr>
        <w:t>debe</w:t>
      </w:r>
      <w:r w:rsidRPr="00BD1319">
        <w:rPr>
          <w:rFonts w:cs="Arial"/>
          <w:spacing w:val="-3"/>
        </w:rPr>
        <w:t>n caracterizar</w:t>
      </w:r>
      <w:r w:rsidRPr="00BD1319">
        <w:rPr>
          <w:spacing w:val="-3"/>
        </w:rPr>
        <w:t xml:space="preserve"> </w:t>
      </w:r>
      <w:r w:rsidR="00482A5F" w:rsidRPr="00BD1319">
        <w:rPr>
          <w:rFonts w:cs="Arial"/>
          <w:spacing w:val="-3"/>
        </w:rPr>
        <w:t>los fondos sedimentarios (</w:t>
      </w:r>
      <w:r w:rsidR="00482A5F" w:rsidRPr="00BD1319">
        <w:rPr>
          <w:spacing w:val="-3"/>
        </w:rPr>
        <w:t>bentos</w:t>
      </w:r>
      <w:r w:rsidR="00482A5F" w:rsidRPr="00BD1319">
        <w:rPr>
          <w:rFonts w:cs="Arial"/>
          <w:spacing w:val="-3"/>
        </w:rPr>
        <w:t xml:space="preserve">: </w:t>
      </w:r>
      <w:proofErr w:type="spellStart"/>
      <w:r w:rsidR="00482A5F" w:rsidRPr="00BD1319">
        <w:rPr>
          <w:spacing w:val="-3"/>
        </w:rPr>
        <w:t>macroinfauna</w:t>
      </w:r>
      <w:proofErr w:type="spellEnd"/>
      <w:r w:rsidR="00482A5F" w:rsidRPr="00BD1319">
        <w:rPr>
          <w:spacing w:val="-3"/>
        </w:rPr>
        <w:t xml:space="preserve">, </w:t>
      </w:r>
      <w:proofErr w:type="spellStart"/>
      <w:r w:rsidR="00482A5F" w:rsidRPr="00BD1319">
        <w:rPr>
          <w:spacing w:val="-3"/>
        </w:rPr>
        <w:t>epifauna</w:t>
      </w:r>
      <w:proofErr w:type="spellEnd"/>
      <w:r w:rsidR="00482A5F" w:rsidRPr="00BD1319">
        <w:rPr>
          <w:spacing w:val="-3"/>
        </w:rPr>
        <w:t xml:space="preserve"> y meiofauna), </w:t>
      </w:r>
      <w:r w:rsidR="00482A5F" w:rsidRPr="00BD1319">
        <w:rPr>
          <w:rFonts w:cs="Arial"/>
          <w:spacing w:val="-3"/>
        </w:rPr>
        <w:t xml:space="preserve">formaciones coralinas, </w:t>
      </w:r>
      <w:r w:rsidR="00482A5F" w:rsidRPr="00BD1319">
        <w:rPr>
          <w:spacing w:val="-3"/>
        </w:rPr>
        <w:t xml:space="preserve">praderas de pastos marinos, </w:t>
      </w:r>
      <w:r w:rsidR="00482A5F" w:rsidRPr="00BD1319">
        <w:rPr>
          <w:rFonts w:cs="Arial"/>
          <w:spacing w:val="-3"/>
        </w:rPr>
        <w:t xml:space="preserve">litorales arenosos (playas) y rocosos (acantilados) en función de </w:t>
      </w:r>
      <w:r w:rsidR="00482A5F" w:rsidRPr="00BD1319">
        <w:rPr>
          <w:spacing w:val="-3"/>
        </w:rPr>
        <w:t>estructura y fauna asociada</w:t>
      </w:r>
      <w:r w:rsidR="00482A5F" w:rsidRPr="00BD1319">
        <w:rPr>
          <w:rFonts w:cs="Arial"/>
          <w:spacing w:val="-3"/>
        </w:rPr>
        <w:t>. Igualmente</w:t>
      </w:r>
      <w:r w:rsidR="00482A5F" w:rsidRPr="00BD1319">
        <w:rPr>
          <w:spacing w:val="-3"/>
        </w:rPr>
        <w:t xml:space="preserve">, </w:t>
      </w:r>
      <w:r w:rsidRPr="00BD1319">
        <w:rPr>
          <w:spacing w:val="-3"/>
        </w:rPr>
        <w:t xml:space="preserve">las </w:t>
      </w:r>
      <w:r w:rsidR="00482A5F" w:rsidRPr="00BD1319">
        <w:rPr>
          <w:spacing w:val="-3"/>
        </w:rPr>
        <w:t xml:space="preserve">comunidades planctónicas (fitoplancton, zooplancton e </w:t>
      </w:r>
      <w:proofErr w:type="spellStart"/>
      <w:r w:rsidR="00482A5F" w:rsidRPr="00BD1319">
        <w:rPr>
          <w:spacing w:val="-3"/>
        </w:rPr>
        <w:t>ictioplancton</w:t>
      </w:r>
      <w:proofErr w:type="spellEnd"/>
      <w:r w:rsidR="00482A5F" w:rsidRPr="00BD1319">
        <w:rPr>
          <w:rFonts w:cs="Arial"/>
          <w:spacing w:val="-3"/>
        </w:rPr>
        <w:t>) y nectónicas (peces)</w:t>
      </w:r>
      <w:r w:rsidR="00482A5F" w:rsidRPr="00BD1319">
        <w:rPr>
          <w:spacing w:val="-3"/>
        </w:rPr>
        <w:t>.</w:t>
      </w:r>
    </w:p>
    <w:p w14:paraId="6A04337A" w14:textId="77777777" w:rsidR="00482A5F" w:rsidRPr="00BD1319" w:rsidRDefault="00482A5F" w:rsidP="00482A5F">
      <w:pPr>
        <w:numPr>
          <w:ilvl w:val="12"/>
          <w:numId w:val="0"/>
        </w:numPr>
        <w:tabs>
          <w:tab w:val="left" w:pos="-2268"/>
        </w:tabs>
        <w:suppressAutoHyphens/>
        <w:rPr>
          <w:rFonts w:cs="Arial"/>
          <w:spacing w:val="-3"/>
        </w:rPr>
      </w:pPr>
    </w:p>
    <w:p w14:paraId="3E37CACD" w14:textId="5CF831C3" w:rsidR="00482A5F" w:rsidRPr="00BD1319" w:rsidRDefault="00482A5F" w:rsidP="00482A5F">
      <w:pPr>
        <w:numPr>
          <w:ilvl w:val="12"/>
          <w:numId w:val="0"/>
        </w:numPr>
        <w:tabs>
          <w:tab w:val="left" w:pos="-2268"/>
        </w:tabs>
        <w:suppressAutoHyphens/>
        <w:rPr>
          <w:rFonts w:cs="Arial"/>
          <w:spacing w:val="-3"/>
        </w:rPr>
      </w:pPr>
      <w:r w:rsidRPr="00BD1319">
        <w:rPr>
          <w:rFonts w:cs="Arial"/>
          <w:spacing w:val="-3"/>
        </w:rPr>
        <w:t xml:space="preserve">En proyectos </w:t>
      </w:r>
      <w:r w:rsidR="00CA3743" w:rsidRPr="00BD1319">
        <w:rPr>
          <w:rFonts w:cs="Arial"/>
          <w:spacing w:val="-3"/>
        </w:rPr>
        <w:t xml:space="preserve">que </w:t>
      </w:r>
      <w:r w:rsidRPr="00BD1319">
        <w:rPr>
          <w:rFonts w:cs="Arial"/>
          <w:spacing w:val="-3"/>
        </w:rPr>
        <w:t>contempl</w:t>
      </w:r>
      <w:r w:rsidR="00CA3743" w:rsidRPr="00BD1319">
        <w:rPr>
          <w:rFonts w:cs="Arial"/>
          <w:spacing w:val="-3"/>
        </w:rPr>
        <w:t xml:space="preserve">en </w:t>
      </w:r>
      <w:r w:rsidRPr="00BD1319">
        <w:rPr>
          <w:rFonts w:cs="Arial"/>
          <w:spacing w:val="-3"/>
        </w:rPr>
        <w:t xml:space="preserve">captaciones o vertimientos en ecosistemas acuáticos </w:t>
      </w:r>
      <w:r w:rsidR="00BA5475" w:rsidRPr="00BD1319">
        <w:rPr>
          <w:rFonts w:cs="Arial"/>
          <w:spacing w:val="-3"/>
        </w:rPr>
        <w:t>es necesario diseñ</w:t>
      </w:r>
      <w:r w:rsidR="00CA3743" w:rsidRPr="00BD1319">
        <w:rPr>
          <w:rFonts w:cs="Arial"/>
          <w:spacing w:val="-3"/>
        </w:rPr>
        <w:t>ar</w:t>
      </w:r>
      <w:r w:rsidR="00BA5475" w:rsidRPr="00BD1319">
        <w:rPr>
          <w:rFonts w:cs="Arial"/>
          <w:spacing w:val="-3"/>
        </w:rPr>
        <w:t xml:space="preserve"> </w:t>
      </w:r>
      <w:r w:rsidR="00CA3743" w:rsidRPr="00BD1319">
        <w:rPr>
          <w:rFonts w:cs="Arial"/>
          <w:spacing w:val="-3"/>
        </w:rPr>
        <w:t xml:space="preserve">un </w:t>
      </w:r>
      <w:r w:rsidR="00BA5475" w:rsidRPr="00BD1319">
        <w:rPr>
          <w:rFonts w:cs="Arial"/>
          <w:spacing w:val="-3"/>
        </w:rPr>
        <w:t>muestreo</w:t>
      </w:r>
      <w:r w:rsidR="00CA3743" w:rsidRPr="00BD1319">
        <w:rPr>
          <w:rFonts w:cs="Arial"/>
          <w:spacing w:val="-3"/>
        </w:rPr>
        <w:t xml:space="preserve"> </w:t>
      </w:r>
      <w:r w:rsidR="00BA5475" w:rsidRPr="00BD1319">
        <w:rPr>
          <w:rFonts w:cs="Arial"/>
          <w:spacing w:val="-3"/>
        </w:rPr>
        <w:t>representativ</w:t>
      </w:r>
      <w:r w:rsidR="00CA3743" w:rsidRPr="00BD1319">
        <w:rPr>
          <w:rFonts w:cs="Arial"/>
          <w:spacing w:val="-3"/>
        </w:rPr>
        <w:t>o</w:t>
      </w:r>
      <w:r w:rsidR="00BA5475" w:rsidRPr="00BD1319">
        <w:rPr>
          <w:rFonts w:cs="Arial"/>
          <w:spacing w:val="-3"/>
        </w:rPr>
        <w:t xml:space="preserve"> que permita establecer las características del punto de intervención, </w:t>
      </w:r>
      <w:r w:rsidR="008D4071" w:rsidRPr="00BD1319">
        <w:rPr>
          <w:rFonts w:cs="Arial"/>
          <w:spacing w:val="-3"/>
        </w:rPr>
        <w:t xml:space="preserve">así como de los lugares en los que </w:t>
      </w:r>
      <w:r w:rsidR="00964EDF" w:rsidRPr="00BD1319">
        <w:rPr>
          <w:rFonts w:cs="Arial"/>
          <w:spacing w:val="-3"/>
        </w:rPr>
        <w:t xml:space="preserve">los ensamblajes y composición de las comunidades </w:t>
      </w:r>
      <w:r w:rsidR="008D4071" w:rsidRPr="00BD1319">
        <w:rPr>
          <w:rFonts w:cs="Arial"/>
          <w:spacing w:val="-3"/>
        </w:rPr>
        <w:t>se verían impactados</w:t>
      </w:r>
      <w:r w:rsidR="00A05FB9" w:rsidRPr="00BD1319">
        <w:rPr>
          <w:rFonts w:cs="Arial"/>
          <w:spacing w:val="-3"/>
        </w:rPr>
        <w:t xml:space="preserve">, a partir de </w:t>
      </w:r>
      <w:r w:rsidR="00964EDF" w:rsidRPr="00BD1319">
        <w:rPr>
          <w:rFonts w:cs="Arial"/>
          <w:spacing w:val="-3"/>
        </w:rPr>
        <w:t xml:space="preserve">los </w:t>
      </w:r>
      <w:r w:rsidR="008D4071" w:rsidRPr="00BD1319">
        <w:rPr>
          <w:rFonts w:cs="Arial"/>
          <w:spacing w:val="-3"/>
        </w:rPr>
        <w:t xml:space="preserve">resultados de </w:t>
      </w:r>
      <w:r w:rsidR="00964EDF" w:rsidRPr="00BD1319">
        <w:rPr>
          <w:rFonts w:cs="Arial"/>
          <w:spacing w:val="-3"/>
        </w:rPr>
        <w:t xml:space="preserve">estudios o modelos relacionados con </w:t>
      </w:r>
      <w:r w:rsidR="00267569" w:rsidRPr="00BD1319">
        <w:rPr>
          <w:rFonts w:cs="Arial"/>
          <w:spacing w:val="-3"/>
        </w:rPr>
        <w:t xml:space="preserve">las obras </w:t>
      </w:r>
      <w:r w:rsidR="00964EDF" w:rsidRPr="00BD1319">
        <w:rPr>
          <w:rFonts w:cs="Arial"/>
          <w:spacing w:val="-3"/>
        </w:rPr>
        <w:t xml:space="preserve">o </w:t>
      </w:r>
      <w:r w:rsidR="00267569" w:rsidRPr="00BD1319">
        <w:rPr>
          <w:rFonts w:cs="Arial"/>
          <w:spacing w:val="-3"/>
        </w:rPr>
        <w:t>actividades a realizar</w:t>
      </w:r>
      <w:r w:rsidRPr="00BD1319">
        <w:rPr>
          <w:rFonts w:cs="Arial"/>
          <w:spacing w:val="-3"/>
        </w:rPr>
        <w:t>.</w:t>
      </w:r>
    </w:p>
    <w:p w14:paraId="7D6C017F" w14:textId="77777777" w:rsidR="00482A5F" w:rsidRPr="00BD1319" w:rsidRDefault="00482A5F">
      <w:pPr>
        <w:numPr>
          <w:ilvl w:val="12"/>
          <w:numId w:val="0"/>
        </w:numPr>
        <w:tabs>
          <w:tab w:val="left" w:pos="-2268"/>
        </w:tabs>
        <w:suppressAutoHyphens/>
        <w:rPr>
          <w:spacing w:val="-3"/>
        </w:rPr>
      </w:pPr>
    </w:p>
    <w:p w14:paraId="33825BF9" w14:textId="3899EA3F" w:rsidR="00482A5F" w:rsidRPr="00BD1319" w:rsidRDefault="00482A5F">
      <w:pPr>
        <w:numPr>
          <w:ilvl w:val="12"/>
          <w:numId w:val="0"/>
        </w:numPr>
        <w:tabs>
          <w:tab w:val="left" w:pos="-2268"/>
        </w:tabs>
        <w:suppressAutoHyphens/>
        <w:rPr>
          <w:spacing w:val="-3"/>
        </w:rPr>
      </w:pPr>
      <w:r w:rsidRPr="00BD1319">
        <w:rPr>
          <w:spacing w:val="-3"/>
        </w:rPr>
        <w:t xml:space="preserve">Señalar la distribución espacial, hábitats e interrelaciones ecosistémicas de las familias, géneros, especies, </w:t>
      </w:r>
      <w:proofErr w:type="spellStart"/>
      <w:r w:rsidRPr="00BD1319">
        <w:rPr>
          <w:spacing w:val="-3"/>
        </w:rPr>
        <w:t>morfotipos</w:t>
      </w:r>
      <w:proofErr w:type="spellEnd"/>
      <w:r w:rsidRPr="00BD1319">
        <w:rPr>
          <w:spacing w:val="-3"/>
        </w:rPr>
        <w:t xml:space="preserve"> o grupos de organismos característicos, empleando herramientas estadísticas</w:t>
      </w:r>
      <w:r w:rsidR="004D5E3C" w:rsidRPr="00BD1319">
        <w:rPr>
          <w:spacing w:val="-3"/>
        </w:rPr>
        <w:t xml:space="preserve">, análisis </w:t>
      </w:r>
      <w:r w:rsidR="0077382E" w:rsidRPr="00BD1319">
        <w:rPr>
          <w:spacing w:val="-3"/>
        </w:rPr>
        <w:t>estacionales</w:t>
      </w:r>
      <w:r w:rsidRPr="00BD1319">
        <w:rPr>
          <w:spacing w:val="-3"/>
        </w:rPr>
        <w:t xml:space="preserve"> e índices ecológicos </w:t>
      </w:r>
      <w:r w:rsidR="004D5E3C" w:rsidRPr="00BD1319">
        <w:rPr>
          <w:spacing w:val="-3"/>
        </w:rPr>
        <w:t xml:space="preserve">que incorporen </w:t>
      </w:r>
      <w:r w:rsidRPr="00BD1319">
        <w:rPr>
          <w:spacing w:val="-3"/>
        </w:rPr>
        <w:t xml:space="preserve">atributos </w:t>
      </w:r>
      <w:r w:rsidR="004D5E3C" w:rsidRPr="00BD1319">
        <w:rPr>
          <w:spacing w:val="-3"/>
        </w:rPr>
        <w:t xml:space="preserve">ecológicos estructurales y funcionales </w:t>
      </w:r>
      <w:r w:rsidRPr="00BD1319">
        <w:rPr>
          <w:spacing w:val="-3"/>
        </w:rPr>
        <w:t>(</w:t>
      </w:r>
      <w:r w:rsidR="00041844" w:rsidRPr="00BD1319">
        <w:rPr>
          <w:spacing w:val="-3"/>
        </w:rPr>
        <w:t>p. ej.</w:t>
      </w:r>
      <w:r w:rsidRPr="00BD1319">
        <w:rPr>
          <w:spacing w:val="-3"/>
        </w:rPr>
        <w:t xml:space="preserve"> densidad, abundancia, cobertura o extensión, dominancia, biomasa</w:t>
      </w:r>
      <w:r w:rsidR="00C15291" w:rsidRPr="00BD1319">
        <w:rPr>
          <w:spacing w:val="-3"/>
        </w:rPr>
        <w:t xml:space="preserve"> y</w:t>
      </w:r>
      <w:r w:rsidRPr="00BD1319">
        <w:rPr>
          <w:spacing w:val="-3"/>
        </w:rPr>
        <w:t xml:space="preserve"> variables fisicoquímicas).</w:t>
      </w:r>
    </w:p>
    <w:p w14:paraId="2B0F3C98" w14:textId="77777777" w:rsidR="00482A5F" w:rsidRPr="00BD1319" w:rsidRDefault="00482A5F">
      <w:pPr>
        <w:numPr>
          <w:ilvl w:val="12"/>
          <w:numId w:val="0"/>
        </w:numPr>
        <w:tabs>
          <w:tab w:val="left" w:pos="-2268"/>
        </w:tabs>
        <w:suppressAutoHyphens/>
        <w:rPr>
          <w:spacing w:val="-3"/>
        </w:rPr>
      </w:pPr>
    </w:p>
    <w:p w14:paraId="02946498" w14:textId="07388DD8" w:rsidR="00482A5F" w:rsidRPr="00BD1319" w:rsidRDefault="004D1173">
      <w:pPr>
        <w:numPr>
          <w:ilvl w:val="12"/>
          <w:numId w:val="0"/>
        </w:numPr>
        <w:tabs>
          <w:tab w:val="left" w:pos="-2268"/>
        </w:tabs>
        <w:suppressAutoHyphens/>
        <w:rPr>
          <w:spacing w:val="-3"/>
        </w:rPr>
      </w:pPr>
      <w:r w:rsidRPr="00BD1319">
        <w:rPr>
          <w:spacing w:val="-3"/>
        </w:rPr>
        <w:t xml:space="preserve">Establecer si </w:t>
      </w:r>
      <w:r w:rsidR="004D5E3C" w:rsidRPr="00BD1319">
        <w:rPr>
          <w:spacing w:val="-3"/>
        </w:rPr>
        <w:t xml:space="preserve">las </w:t>
      </w:r>
      <w:r w:rsidR="00482A5F" w:rsidRPr="00BD1319">
        <w:rPr>
          <w:spacing w:val="-3"/>
        </w:rPr>
        <w:t xml:space="preserve">comunidades </w:t>
      </w:r>
      <w:r w:rsidR="004D5E3C" w:rsidRPr="00BD1319">
        <w:rPr>
          <w:spacing w:val="-3"/>
        </w:rPr>
        <w:t xml:space="preserve">de fauna y flora asociadas a ecosistemas acuáticos continentales y marino-costeros </w:t>
      </w:r>
      <w:r w:rsidRPr="00BD1319">
        <w:rPr>
          <w:spacing w:val="-3"/>
        </w:rPr>
        <w:t xml:space="preserve">pueden ser tomadas </w:t>
      </w:r>
      <w:r w:rsidR="00482A5F" w:rsidRPr="00BD1319">
        <w:rPr>
          <w:spacing w:val="-3"/>
        </w:rPr>
        <w:t xml:space="preserve">como indicadores de calidad biológica del agua a partir de la correlación </w:t>
      </w:r>
      <w:r w:rsidRPr="00BD1319">
        <w:rPr>
          <w:spacing w:val="-3"/>
        </w:rPr>
        <w:t xml:space="preserve">de sus características con </w:t>
      </w:r>
      <w:r w:rsidR="00482A5F" w:rsidRPr="00BD1319">
        <w:rPr>
          <w:spacing w:val="-3"/>
        </w:rPr>
        <w:t xml:space="preserve">los datos fisicoquímicos </w:t>
      </w:r>
      <w:r w:rsidR="00482A5F" w:rsidRPr="00BD1319">
        <w:rPr>
          <w:rFonts w:cs="Arial"/>
          <w:spacing w:val="-3"/>
        </w:rPr>
        <w:t xml:space="preserve">de la columna de agua y </w:t>
      </w:r>
      <w:r w:rsidR="00B61110" w:rsidRPr="00BD1319">
        <w:rPr>
          <w:rFonts w:cs="Arial"/>
          <w:spacing w:val="-3"/>
        </w:rPr>
        <w:t xml:space="preserve">de </w:t>
      </w:r>
      <w:r w:rsidR="00482A5F" w:rsidRPr="00BD1319">
        <w:rPr>
          <w:rFonts w:cs="Arial"/>
          <w:spacing w:val="-3"/>
        </w:rPr>
        <w:t xml:space="preserve">los sedimentos </w:t>
      </w:r>
      <w:r w:rsidR="00482A5F" w:rsidRPr="00BD1319">
        <w:rPr>
          <w:spacing w:val="-3"/>
        </w:rPr>
        <w:t>registrados en los muestreos</w:t>
      </w:r>
      <w:r w:rsidR="00C15291" w:rsidRPr="00BD1319">
        <w:rPr>
          <w:spacing w:val="-3"/>
        </w:rPr>
        <w:t>, a fin de</w:t>
      </w:r>
      <w:r w:rsidR="00482A5F" w:rsidRPr="00BD1319">
        <w:rPr>
          <w:rFonts w:cs="Arial"/>
          <w:spacing w:val="-3"/>
        </w:rPr>
        <w:t xml:space="preserve"> </w:t>
      </w:r>
      <w:r w:rsidR="00B61110" w:rsidRPr="00BD1319">
        <w:rPr>
          <w:rFonts w:cs="Arial"/>
          <w:spacing w:val="-3"/>
        </w:rPr>
        <w:t xml:space="preserve">definir </w:t>
      </w:r>
      <w:r w:rsidR="00C15291" w:rsidRPr="00BD1319">
        <w:rPr>
          <w:rFonts w:cs="Arial"/>
          <w:spacing w:val="-3"/>
        </w:rPr>
        <w:t xml:space="preserve">los </w:t>
      </w:r>
      <w:r w:rsidR="00482A5F" w:rsidRPr="00BD1319">
        <w:rPr>
          <w:rFonts w:cs="Arial"/>
          <w:spacing w:val="-3"/>
        </w:rPr>
        <w:t xml:space="preserve">puntos </w:t>
      </w:r>
      <w:r w:rsidR="00C15291" w:rsidRPr="00BD1319">
        <w:rPr>
          <w:rFonts w:cs="Arial"/>
          <w:spacing w:val="-3"/>
        </w:rPr>
        <w:t xml:space="preserve">de </w:t>
      </w:r>
      <w:r w:rsidR="00482A5F" w:rsidRPr="00BD1319">
        <w:rPr>
          <w:rFonts w:cs="Arial"/>
          <w:spacing w:val="-3"/>
        </w:rPr>
        <w:t xml:space="preserve">monitoreo </w:t>
      </w:r>
      <w:r w:rsidR="004D5E3C" w:rsidRPr="00BD1319">
        <w:rPr>
          <w:rFonts w:cs="Arial"/>
          <w:spacing w:val="-3"/>
        </w:rPr>
        <w:t xml:space="preserve">sistemático </w:t>
      </w:r>
      <w:r w:rsidR="00B61110" w:rsidRPr="00BD1319">
        <w:rPr>
          <w:rFonts w:cs="Arial"/>
          <w:spacing w:val="-3"/>
        </w:rPr>
        <w:t>d</w:t>
      </w:r>
      <w:r w:rsidR="00482A5F" w:rsidRPr="00BD1319">
        <w:rPr>
          <w:rFonts w:cs="Arial"/>
          <w:spacing w:val="-3"/>
        </w:rPr>
        <w:t>el plan de monitoreo y seguimiento.</w:t>
      </w:r>
      <w:r w:rsidR="00482A5F" w:rsidRPr="00BD1319">
        <w:rPr>
          <w:spacing w:val="-3"/>
        </w:rPr>
        <w:t xml:space="preserve"> Finalmente, para todos los grupos </w:t>
      </w:r>
      <w:r w:rsidR="00482A5F" w:rsidRPr="00BD1319">
        <w:rPr>
          <w:rFonts w:cs="Arial"/>
          <w:spacing w:val="-3"/>
        </w:rPr>
        <w:t>biológicos anteriormente mencionados</w:t>
      </w:r>
      <w:r w:rsidR="00C15291" w:rsidRPr="00BD1319">
        <w:rPr>
          <w:rFonts w:cs="Arial"/>
          <w:spacing w:val="-3"/>
        </w:rPr>
        <w:t>,</w:t>
      </w:r>
      <w:r w:rsidR="00482A5F" w:rsidRPr="00BD1319">
        <w:rPr>
          <w:spacing w:val="-3"/>
        </w:rPr>
        <w:t xml:space="preserve"> se debe analizar la expresión de su composición y estructura en función de las variables ambientales que se hayan medido de manera simultánea</w:t>
      </w:r>
      <w:r w:rsidRPr="00BD1319">
        <w:rPr>
          <w:i/>
          <w:spacing w:val="-3"/>
        </w:rPr>
        <w:t xml:space="preserve"> in</w:t>
      </w:r>
      <w:r w:rsidR="002A4465" w:rsidRPr="00BD1319">
        <w:rPr>
          <w:i/>
          <w:spacing w:val="-3"/>
        </w:rPr>
        <w:t xml:space="preserve"> </w:t>
      </w:r>
      <w:r w:rsidRPr="00BD1319">
        <w:rPr>
          <w:i/>
          <w:spacing w:val="-3"/>
        </w:rPr>
        <w:t>situ</w:t>
      </w:r>
      <w:r w:rsidR="00482A5F" w:rsidRPr="00BD1319">
        <w:rPr>
          <w:spacing w:val="-3"/>
        </w:rPr>
        <w:t xml:space="preserve">, incluyendo además la información </w:t>
      </w:r>
      <w:r w:rsidRPr="00BD1319">
        <w:rPr>
          <w:spacing w:val="-3"/>
        </w:rPr>
        <w:t xml:space="preserve">sobre </w:t>
      </w:r>
      <w:r w:rsidR="004D5E3C" w:rsidRPr="00BD1319">
        <w:rPr>
          <w:spacing w:val="-3"/>
        </w:rPr>
        <w:t xml:space="preserve">sedimentos </w:t>
      </w:r>
      <w:r w:rsidR="00482A5F" w:rsidRPr="00BD1319">
        <w:rPr>
          <w:spacing w:val="-3"/>
        </w:rPr>
        <w:t>y caudal del cuerpo de agua.</w:t>
      </w:r>
    </w:p>
    <w:p w14:paraId="11E3D8BD" w14:textId="77777777" w:rsidR="00482A5F" w:rsidRPr="00BD1319" w:rsidRDefault="00482A5F">
      <w:pPr>
        <w:numPr>
          <w:ilvl w:val="12"/>
          <w:numId w:val="0"/>
        </w:numPr>
        <w:tabs>
          <w:tab w:val="left" w:pos="-2268"/>
        </w:tabs>
        <w:suppressAutoHyphens/>
        <w:rPr>
          <w:spacing w:val="-3"/>
        </w:rPr>
      </w:pPr>
    </w:p>
    <w:p w14:paraId="2D30DC74" w14:textId="6F3E8183" w:rsidR="004D5E3C" w:rsidRPr="00BD1319" w:rsidRDefault="004D5E3C" w:rsidP="004D5E3C">
      <w:pPr>
        <w:numPr>
          <w:ilvl w:val="12"/>
          <w:numId w:val="0"/>
        </w:numPr>
        <w:tabs>
          <w:tab w:val="left" w:pos="-2268"/>
        </w:tabs>
        <w:suppressAutoHyphens/>
        <w:rPr>
          <w:spacing w:val="-3"/>
        </w:rPr>
      </w:pPr>
      <w:r w:rsidRPr="00BD1319">
        <w:rPr>
          <w:spacing w:val="-3"/>
        </w:rPr>
        <w:lastRenderedPageBreak/>
        <w:t xml:space="preserve">Para los ecosistemas acuáticos dulceacuícolas (lóticos y lénticos) y a partir de la información de mapas base, se debe determinar su dinámica </w:t>
      </w:r>
      <w:r w:rsidR="0077382E" w:rsidRPr="00BD1319">
        <w:rPr>
          <w:spacing w:val="-3"/>
        </w:rPr>
        <w:t xml:space="preserve">estacional </w:t>
      </w:r>
      <w:r w:rsidRPr="00BD1319">
        <w:rPr>
          <w:spacing w:val="-3"/>
        </w:rPr>
        <w:t xml:space="preserve">e importancia en el contexto regional. </w:t>
      </w:r>
      <w:r w:rsidR="00EE3DE1" w:rsidRPr="00BD1319">
        <w:rPr>
          <w:spacing w:val="-3"/>
        </w:rPr>
        <w:t>Con este fin</w:t>
      </w:r>
      <w:r w:rsidRPr="00BD1319">
        <w:rPr>
          <w:spacing w:val="-3"/>
        </w:rPr>
        <w:t xml:space="preserve">, se debe realizar un análisis de fragmentación de los ecosistemas acuáticos teniendo en cuenta que </w:t>
      </w:r>
      <w:r w:rsidR="004D1173" w:rsidRPr="00BD1319">
        <w:rPr>
          <w:spacing w:val="-3"/>
        </w:rPr>
        <w:t xml:space="preserve">en </w:t>
      </w:r>
      <w:r w:rsidR="009A3489" w:rsidRPr="00BD1319">
        <w:rPr>
          <w:spacing w:val="-3"/>
        </w:rPr>
        <w:t>ellos</w:t>
      </w:r>
      <w:r w:rsidRPr="00BD1319">
        <w:rPr>
          <w:spacing w:val="-3"/>
        </w:rPr>
        <w:t xml:space="preserve"> </w:t>
      </w:r>
      <w:r w:rsidR="004D1173" w:rsidRPr="00BD1319">
        <w:rPr>
          <w:spacing w:val="-3"/>
        </w:rPr>
        <w:t xml:space="preserve">interactúan </w:t>
      </w:r>
      <w:r w:rsidRPr="00BD1319">
        <w:rPr>
          <w:spacing w:val="-3"/>
        </w:rPr>
        <w:t>cuerpo</w:t>
      </w:r>
      <w:r w:rsidR="004D1173" w:rsidRPr="00BD1319">
        <w:rPr>
          <w:spacing w:val="-3"/>
        </w:rPr>
        <w:t>s</w:t>
      </w:r>
      <w:r w:rsidRPr="00BD1319">
        <w:rPr>
          <w:spacing w:val="-3"/>
        </w:rPr>
        <w:t xml:space="preserve"> de agua y vegetación ribereña</w:t>
      </w:r>
      <w:r w:rsidR="004D1173" w:rsidRPr="00BD1319">
        <w:rPr>
          <w:spacing w:val="-3"/>
        </w:rPr>
        <w:t>,</w:t>
      </w:r>
      <w:r w:rsidRPr="00BD1319">
        <w:rPr>
          <w:spacing w:val="-3"/>
        </w:rPr>
        <w:t xml:space="preserve"> y </w:t>
      </w:r>
      <w:r w:rsidR="009A3489" w:rsidRPr="00BD1319">
        <w:rPr>
          <w:spacing w:val="-3"/>
        </w:rPr>
        <w:t xml:space="preserve">que allí </w:t>
      </w:r>
      <w:r w:rsidRPr="00BD1319">
        <w:rPr>
          <w:spacing w:val="-3"/>
        </w:rPr>
        <w:t>se presentan procesos ecológicos como la migración de especies y el transporte de semillas. Se deben considerar las actividades, obras e infraestructuras existentes que modifica</w:t>
      </w:r>
      <w:r w:rsidR="009A3489" w:rsidRPr="00BD1319">
        <w:rPr>
          <w:spacing w:val="-3"/>
        </w:rPr>
        <w:t>n</w:t>
      </w:r>
      <w:r w:rsidRPr="00BD1319">
        <w:rPr>
          <w:spacing w:val="-3"/>
        </w:rPr>
        <w:t xml:space="preserve"> o elimina</w:t>
      </w:r>
      <w:r w:rsidR="009A3489" w:rsidRPr="00BD1319">
        <w:rPr>
          <w:spacing w:val="-3"/>
        </w:rPr>
        <w:t>n</w:t>
      </w:r>
      <w:r w:rsidRPr="00BD1319">
        <w:rPr>
          <w:spacing w:val="-3"/>
        </w:rPr>
        <w:t xml:space="preserve"> los tramos de cauces, </w:t>
      </w:r>
      <w:r w:rsidR="00725ED2" w:rsidRPr="00BD1319">
        <w:rPr>
          <w:spacing w:val="-3"/>
        </w:rPr>
        <w:t xml:space="preserve">y que </w:t>
      </w:r>
      <w:r w:rsidRPr="00BD1319">
        <w:rPr>
          <w:spacing w:val="-3"/>
        </w:rPr>
        <w:t>restring</w:t>
      </w:r>
      <w:r w:rsidR="009A3489" w:rsidRPr="00BD1319">
        <w:rPr>
          <w:spacing w:val="-3"/>
        </w:rPr>
        <w:t>en</w:t>
      </w:r>
      <w:r w:rsidRPr="00BD1319">
        <w:rPr>
          <w:spacing w:val="-3"/>
        </w:rPr>
        <w:t>, a</w:t>
      </w:r>
      <w:r w:rsidR="009A3489" w:rsidRPr="00BD1319">
        <w:rPr>
          <w:spacing w:val="-3"/>
        </w:rPr>
        <w:t xml:space="preserve">íslan </w:t>
      </w:r>
      <w:r w:rsidRPr="00BD1319">
        <w:rPr>
          <w:spacing w:val="-3"/>
        </w:rPr>
        <w:t>o fragmenta</w:t>
      </w:r>
      <w:r w:rsidR="009A3489" w:rsidRPr="00BD1319">
        <w:rPr>
          <w:spacing w:val="-3"/>
        </w:rPr>
        <w:t>n</w:t>
      </w:r>
      <w:r w:rsidRPr="00BD1319">
        <w:rPr>
          <w:spacing w:val="-3"/>
        </w:rPr>
        <w:t xml:space="preserve"> temporal o permanente el flujo de los cuerpos de agua y </w:t>
      </w:r>
      <w:r w:rsidR="00725ED2" w:rsidRPr="00BD1319">
        <w:rPr>
          <w:spacing w:val="-3"/>
        </w:rPr>
        <w:t xml:space="preserve">de </w:t>
      </w:r>
      <w:r w:rsidRPr="00BD1319">
        <w:rPr>
          <w:spacing w:val="-3"/>
        </w:rPr>
        <w:t xml:space="preserve">las comunidades biológicas asociadas. </w:t>
      </w:r>
      <w:r w:rsidR="009A3489" w:rsidRPr="00BD1319">
        <w:rPr>
          <w:spacing w:val="-3"/>
        </w:rPr>
        <w:t>S</w:t>
      </w:r>
      <w:r w:rsidRPr="00BD1319">
        <w:rPr>
          <w:spacing w:val="-3"/>
        </w:rPr>
        <w:t>e debe integrar el análisis de fragmentación realizado para ecosistemas terrestres con la dinámica hidrológica de</w:t>
      </w:r>
      <w:r w:rsidR="002E678E" w:rsidRPr="00BD1319">
        <w:rPr>
          <w:spacing w:val="-3"/>
        </w:rPr>
        <w:t xml:space="preserve"> </w:t>
      </w:r>
      <w:r w:rsidRPr="00BD1319">
        <w:rPr>
          <w:spacing w:val="-3"/>
        </w:rPr>
        <w:t>l</w:t>
      </w:r>
      <w:r w:rsidR="002E678E" w:rsidRPr="00BD1319">
        <w:rPr>
          <w:spacing w:val="-3"/>
        </w:rPr>
        <w:t>os</w:t>
      </w:r>
      <w:r w:rsidRPr="00BD1319">
        <w:rPr>
          <w:spacing w:val="-3"/>
        </w:rPr>
        <w:t xml:space="preserve"> cuerpo</w:t>
      </w:r>
      <w:r w:rsidR="002E678E" w:rsidRPr="00BD1319">
        <w:rPr>
          <w:spacing w:val="-3"/>
        </w:rPr>
        <w:t>s</w:t>
      </w:r>
      <w:r w:rsidRPr="00BD1319">
        <w:rPr>
          <w:spacing w:val="-3"/>
        </w:rPr>
        <w:t xml:space="preserve"> de agua y con la distribución de especies en estos ecosistemas</w:t>
      </w:r>
      <w:r w:rsidRPr="00BD1319">
        <w:rPr>
          <w:rStyle w:val="Refdenotaalpie"/>
          <w:spacing w:val="-3"/>
          <w:lang w:val="es-CO"/>
        </w:rPr>
        <w:footnoteReference w:id="144"/>
      </w:r>
      <w:r w:rsidR="009A3489" w:rsidRPr="00BD1319">
        <w:rPr>
          <w:spacing w:val="-3"/>
        </w:rPr>
        <w:t xml:space="preserve"> a fin de establecer la fragmentación de estos ecosistemas</w:t>
      </w:r>
      <w:r w:rsidRPr="00BD1319">
        <w:rPr>
          <w:spacing w:val="-3"/>
        </w:rPr>
        <w:t>.</w:t>
      </w:r>
    </w:p>
    <w:p w14:paraId="137290FC" w14:textId="77777777" w:rsidR="004D5E3C" w:rsidRPr="00BD1319" w:rsidRDefault="004D5E3C">
      <w:pPr>
        <w:numPr>
          <w:ilvl w:val="12"/>
          <w:numId w:val="0"/>
        </w:numPr>
        <w:tabs>
          <w:tab w:val="left" w:pos="-2268"/>
        </w:tabs>
        <w:suppressAutoHyphens/>
        <w:rPr>
          <w:spacing w:val="-3"/>
        </w:rPr>
      </w:pPr>
    </w:p>
    <w:p w14:paraId="6CFE8302" w14:textId="77777777" w:rsidR="00482A5F" w:rsidRPr="00BD1319" w:rsidRDefault="00482A5F">
      <w:pPr>
        <w:tabs>
          <w:tab w:val="left" w:pos="-2268"/>
        </w:tabs>
        <w:suppressAutoHyphens/>
        <w:rPr>
          <w:spacing w:val="-3"/>
          <w:u w:val="single"/>
        </w:rPr>
      </w:pPr>
      <w:r w:rsidRPr="00BD1319">
        <w:rPr>
          <w:spacing w:val="-3"/>
          <w:u w:val="single"/>
        </w:rPr>
        <w:t>Fase de campo</w:t>
      </w:r>
    </w:p>
    <w:p w14:paraId="7AF4C4FB" w14:textId="77777777" w:rsidR="00482A5F" w:rsidRPr="00BD1319" w:rsidRDefault="00482A5F">
      <w:pPr>
        <w:numPr>
          <w:ilvl w:val="12"/>
          <w:numId w:val="0"/>
        </w:numPr>
        <w:tabs>
          <w:tab w:val="left" w:pos="-2268"/>
        </w:tabs>
        <w:suppressAutoHyphens/>
        <w:rPr>
          <w:spacing w:val="-3"/>
        </w:rPr>
      </w:pPr>
    </w:p>
    <w:p w14:paraId="33E84B7F" w14:textId="3A532B60" w:rsidR="00A0527B" w:rsidRPr="00BD1319" w:rsidRDefault="00A0527B" w:rsidP="00A0527B">
      <w:pPr>
        <w:numPr>
          <w:ilvl w:val="12"/>
          <w:numId w:val="0"/>
        </w:numPr>
        <w:tabs>
          <w:tab w:val="left" w:pos="-2268"/>
        </w:tabs>
        <w:suppressAutoHyphens/>
        <w:rPr>
          <w:spacing w:val="-3"/>
        </w:rPr>
      </w:pPr>
      <w:r w:rsidRPr="00BD1319">
        <w:rPr>
          <w:spacing w:val="-3"/>
        </w:rPr>
        <w:t xml:space="preserve">La caracterización debe realizarse de acuerdo con los métodos y alcances autorizados en el permiso de estudio para la recolección de especímenes de especies silvestres de la diversidad biológica con fines de elaboración de estudios ambientales asociado; dicho permiso y su notificación debe entregarse como soporte de referencia de la caracterización. </w:t>
      </w:r>
    </w:p>
    <w:p w14:paraId="19E9040F" w14:textId="427EFEF7" w:rsidR="00A0527B" w:rsidRPr="00BD1319" w:rsidRDefault="00A0527B" w:rsidP="00A0527B">
      <w:pPr>
        <w:numPr>
          <w:ilvl w:val="12"/>
          <w:numId w:val="0"/>
        </w:numPr>
        <w:tabs>
          <w:tab w:val="left" w:pos="-2268"/>
        </w:tabs>
        <w:suppressAutoHyphens/>
        <w:rPr>
          <w:spacing w:val="-3"/>
        </w:rPr>
      </w:pPr>
    </w:p>
    <w:p w14:paraId="1B35C8B2" w14:textId="40BCB775" w:rsidR="00482A5F" w:rsidRPr="00BD1319" w:rsidRDefault="00482A5F">
      <w:pPr>
        <w:numPr>
          <w:ilvl w:val="12"/>
          <w:numId w:val="0"/>
        </w:numPr>
        <w:tabs>
          <w:tab w:val="left" w:pos="-2268"/>
        </w:tabs>
        <w:suppressAutoHyphens/>
        <w:rPr>
          <w:spacing w:val="-3"/>
        </w:rPr>
      </w:pPr>
      <w:r w:rsidRPr="00BD1319">
        <w:rPr>
          <w:spacing w:val="-3"/>
        </w:rPr>
        <w:t xml:space="preserve">El estudio hidrobiológico depende de las características propias del cuerpo de agua a ser analizado, </w:t>
      </w:r>
      <w:r w:rsidR="009A3489" w:rsidRPr="00BD1319">
        <w:rPr>
          <w:spacing w:val="-3"/>
        </w:rPr>
        <w:t>d</w:t>
      </w:r>
      <w:r w:rsidRPr="00BD1319">
        <w:rPr>
          <w:spacing w:val="-3"/>
        </w:rPr>
        <w:t>el tipo de sistema (lótico, léntico o marino)</w:t>
      </w:r>
      <w:r w:rsidR="009A3489" w:rsidRPr="00BD1319">
        <w:rPr>
          <w:spacing w:val="-3"/>
        </w:rPr>
        <w:t xml:space="preserve"> y</w:t>
      </w:r>
      <w:r w:rsidRPr="00BD1319">
        <w:rPr>
          <w:spacing w:val="-3"/>
        </w:rPr>
        <w:t xml:space="preserve"> </w:t>
      </w:r>
      <w:r w:rsidR="009A3489" w:rsidRPr="00BD1319">
        <w:rPr>
          <w:spacing w:val="-3"/>
        </w:rPr>
        <w:t xml:space="preserve">de </w:t>
      </w:r>
      <w:r w:rsidRPr="00BD1319">
        <w:rPr>
          <w:spacing w:val="-3"/>
        </w:rPr>
        <w:t xml:space="preserve">su profundidad y área (aplica para sistemas lénticos y marinos). Los </w:t>
      </w:r>
      <w:r w:rsidR="009A3489" w:rsidRPr="00BD1319">
        <w:rPr>
          <w:spacing w:val="-3"/>
        </w:rPr>
        <w:t xml:space="preserve">lugares de los </w:t>
      </w:r>
      <w:r w:rsidRPr="00BD1319">
        <w:rPr>
          <w:spacing w:val="-3"/>
        </w:rPr>
        <w:t xml:space="preserve">muestreos de las comunidades o ensambles hidrobiológicos deben corresponder con las estaciones de muestreo donde simultáneamente </w:t>
      </w:r>
      <w:r w:rsidR="009A3489" w:rsidRPr="00BD1319">
        <w:rPr>
          <w:spacing w:val="-3"/>
        </w:rPr>
        <w:t xml:space="preserve">se haya realizado </w:t>
      </w:r>
      <w:r w:rsidRPr="00BD1319">
        <w:rPr>
          <w:spacing w:val="-3"/>
        </w:rPr>
        <w:t>la caracterización fisicoquímica del agua</w:t>
      </w:r>
      <w:r w:rsidR="009A3489" w:rsidRPr="00BD1319">
        <w:rPr>
          <w:spacing w:val="-3"/>
        </w:rPr>
        <w:t xml:space="preserve">; es necesario </w:t>
      </w:r>
      <w:r w:rsidRPr="00BD1319">
        <w:rPr>
          <w:spacing w:val="-3"/>
        </w:rPr>
        <w:t>georreferenciar</w:t>
      </w:r>
      <w:r w:rsidR="009A3489" w:rsidRPr="00BD1319">
        <w:rPr>
          <w:spacing w:val="-3"/>
        </w:rPr>
        <w:t xml:space="preserve"> tales lugares </w:t>
      </w:r>
      <w:r w:rsidRPr="00BD1319">
        <w:rPr>
          <w:spacing w:val="-3"/>
        </w:rPr>
        <w:t xml:space="preserve">y </w:t>
      </w:r>
      <w:r w:rsidR="009B2FF5" w:rsidRPr="00BD1319">
        <w:rPr>
          <w:spacing w:val="-3"/>
        </w:rPr>
        <w:t xml:space="preserve">demostrar </w:t>
      </w:r>
      <w:r w:rsidRPr="00BD1319">
        <w:rPr>
          <w:spacing w:val="-3"/>
        </w:rPr>
        <w:t xml:space="preserve">su representatividad </w:t>
      </w:r>
      <w:r w:rsidRPr="00BD1319">
        <w:rPr>
          <w:rFonts w:cs="Arial"/>
          <w:spacing w:val="-3"/>
        </w:rPr>
        <w:t>temporal</w:t>
      </w:r>
      <w:r w:rsidR="009B2FF5" w:rsidRPr="00BD1319">
        <w:rPr>
          <w:rFonts w:cs="Arial"/>
          <w:spacing w:val="-3"/>
        </w:rPr>
        <w:t xml:space="preserve"> </w:t>
      </w:r>
      <w:r w:rsidRPr="00BD1319">
        <w:rPr>
          <w:rFonts w:cs="Arial"/>
          <w:spacing w:val="-3"/>
        </w:rPr>
        <w:t xml:space="preserve">y </w:t>
      </w:r>
      <w:r w:rsidR="009B2FF5" w:rsidRPr="00BD1319">
        <w:rPr>
          <w:rFonts w:cs="Arial"/>
          <w:spacing w:val="-3"/>
        </w:rPr>
        <w:t xml:space="preserve">de </w:t>
      </w:r>
      <w:r w:rsidRPr="00BD1319">
        <w:rPr>
          <w:spacing w:val="-3"/>
        </w:rPr>
        <w:t xml:space="preserve">cobertura espacial en relación con los sitios a intervenir por el proyecto y </w:t>
      </w:r>
      <w:r w:rsidR="001E2027" w:rsidRPr="00BD1319">
        <w:rPr>
          <w:spacing w:val="-3"/>
        </w:rPr>
        <w:t xml:space="preserve">con </w:t>
      </w:r>
      <w:r w:rsidRPr="00BD1319">
        <w:rPr>
          <w:spacing w:val="-3"/>
        </w:rPr>
        <w:t>las actividades asociadas</w:t>
      </w:r>
      <w:r w:rsidRPr="00BD1319">
        <w:rPr>
          <w:rFonts w:cs="Arial"/>
          <w:spacing w:val="-3"/>
        </w:rPr>
        <w:t xml:space="preserve">, </w:t>
      </w:r>
      <w:r w:rsidR="00CC19E2" w:rsidRPr="00BD1319">
        <w:rPr>
          <w:rFonts w:cs="Arial"/>
          <w:spacing w:val="-3"/>
        </w:rPr>
        <w:t xml:space="preserve">lo que </w:t>
      </w:r>
      <w:r w:rsidRPr="00BD1319">
        <w:rPr>
          <w:rFonts w:cs="Arial"/>
          <w:spacing w:val="-3"/>
        </w:rPr>
        <w:t>incluye</w:t>
      </w:r>
      <w:r w:rsidR="00CC19E2" w:rsidRPr="00BD1319">
        <w:rPr>
          <w:rFonts w:cs="Arial"/>
          <w:spacing w:val="-3"/>
        </w:rPr>
        <w:t xml:space="preserve"> también</w:t>
      </w:r>
      <w:r w:rsidRPr="00BD1319">
        <w:rPr>
          <w:rFonts w:cs="Arial"/>
          <w:spacing w:val="-3"/>
        </w:rPr>
        <w:t xml:space="preserve"> el uso y aprovechamiento de recursos.</w:t>
      </w:r>
      <w:r w:rsidR="00D5636F" w:rsidRPr="00BD1319">
        <w:rPr>
          <w:rFonts w:cs="Arial"/>
          <w:spacing w:val="-3"/>
        </w:rPr>
        <w:t xml:space="preserve"> </w:t>
      </w:r>
      <w:r w:rsidR="00D5636F" w:rsidRPr="00BD1319">
        <w:rPr>
          <w:spacing w:val="-3"/>
        </w:rPr>
        <w:t>Se debe incluir la descripción del método empelado y su esfuerzo de muestreo por ecosistema analizado (léntico o lótico), integrando curvas de acumulación de especies que demuestren la efectividad y representatividad de los muestreos por comunidad.</w:t>
      </w:r>
    </w:p>
    <w:p w14:paraId="796123B6" w14:textId="77777777" w:rsidR="00482A5F" w:rsidRPr="00BD1319" w:rsidRDefault="00482A5F">
      <w:pPr>
        <w:numPr>
          <w:ilvl w:val="12"/>
          <w:numId w:val="0"/>
        </w:numPr>
        <w:tabs>
          <w:tab w:val="left" w:pos="-2268"/>
        </w:tabs>
        <w:suppressAutoHyphens/>
        <w:rPr>
          <w:spacing w:val="-3"/>
        </w:rPr>
      </w:pPr>
    </w:p>
    <w:p w14:paraId="1EA3EF29" w14:textId="22D6CFA2" w:rsidR="00482A5F" w:rsidRPr="00BD1319" w:rsidRDefault="00482A5F" w:rsidP="00C86DA5">
      <w:pPr>
        <w:tabs>
          <w:tab w:val="left" w:pos="-2268"/>
        </w:tabs>
        <w:suppressAutoHyphens/>
        <w:rPr>
          <w:spacing w:val="-3"/>
        </w:rPr>
      </w:pPr>
      <w:r w:rsidRPr="00BD1319">
        <w:rPr>
          <w:rFonts w:cs="Arial"/>
          <w:spacing w:val="-3"/>
        </w:rPr>
        <w:t>Asimismo</w:t>
      </w:r>
      <w:r w:rsidRPr="00BD1319">
        <w:rPr>
          <w:spacing w:val="-3"/>
        </w:rPr>
        <w:t xml:space="preserve">, </w:t>
      </w:r>
      <w:r w:rsidR="009B2FF5" w:rsidRPr="00BD1319">
        <w:rPr>
          <w:spacing w:val="-3"/>
        </w:rPr>
        <w:t xml:space="preserve">es necesario que para los lugares en los que se establezcan </w:t>
      </w:r>
      <w:r w:rsidRPr="00BD1319">
        <w:rPr>
          <w:spacing w:val="-3"/>
        </w:rPr>
        <w:t>las estaciones de muestreo</w:t>
      </w:r>
      <w:r w:rsidR="009B2FF5" w:rsidRPr="00BD1319">
        <w:rPr>
          <w:spacing w:val="-3"/>
        </w:rPr>
        <w:t xml:space="preserve"> se </w:t>
      </w:r>
      <w:r w:rsidRPr="00BD1319">
        <w:rPr>
          <w:spacing w:val="-3"/>
        </w:rPr>
        <w:t>descri</w:t>
      </w:r>
      <w:r w:rsidR="009B2FF5" w:rsidRPr="00BD1319">
        <w:rPr>
          <w:spacing w:val="-3"/>
        </w:rPr>
        <w:t xml:space="preserve">ban </w:t>
      </w:r>
      <w:r w:rsidRPr="00BD1319">
        <w:rPr>
          <w:spacing w:val="-3"/>
        </w:rPr>
        <w:t xml:space="preserve">corrientes, oleaje y mareas, cobertura de sombra por parte de la vegetación </w:t>
      </w:r>
      <w:proofErr w:type="spellStart"/>
      <w:r w:rsidRPr="00BD1319">
        <w:rPr>
          <w:spacing w:val="-3"/>
        </w:rPr>
        <w:t>riparia</w:t>
      </w:r>
      <w:proofErr w:type="spellEnd"/>
      <w:r w:rsidRPr="00BD1319">
        <w:rPr>
          <w:spacing w:val="-3"/>
        </w:rPr>
        <w:t>, presencia de lluvias antes o durante el muestreo, presencia de residuos sólidos, entre otros eventos que soporten la estructura y distribución de la biota acuática.</w:t>
      </w:r>
    </w:p>
    <w:p w14:paraId="121ABD0E" w14:textId="77777777" w:rsidR="00482A5F" w:rsidRPr="00BD1319" w:rsidRDefault="00482A5F">
      <w:pPr>
        <w:numPr>
          <w:ilvl w:val="12"/>
          <w:numId w:val="0"/>
        </w:numPr>
        <w:tabs>
          <w:tab w:val="left" w:pos="-2268"/>
        </w:tabs>
        <w:suppressAutoHyphens/>
        <w:rPr>
          <w:spacing w:val="-3"/>
        </w:rPr>
      </w:pPr>
    </w:p>
    <w:p w14:paraId="26D38EAA" w14:textId="25E8424F" w:rsidR="00482A5F" w:rsidRPr="00BD1319" w:rsidRDefault="00482A5F" w:rsidP="00C86DA5">
      <w:pPr>
        <w:tabs>
          <w:tab w:val="left" w:pos="-2268"/>
        </w:tabs>
        <w:suppressAutoHyphens/>
        <w:rPr>
          <w:spacing w:val="-3"/>
        </w:rPr>
      </w:pPr>
      <w:r w:rsidRPr="00BD1319">
        <w:rPr>
          <w:rFonts w:cs="Arial"/>
          <w:spacing w:val="-3"/>
        </w:rPr>
        <w:t>Para</w:t>
      </w:r>
      <w:r w:rsidRPr="00BD1319">
        <w:rPr>
          <w:spacing w:val="-3"/>
        </w:rPr>
        <w:t xml:space="preserve"> evaluar recursos hidrobiológicos continentales, se </w:t>
      </w:r>
      <w:r w:rsidRPr="00BD1319">
        <w:rPr>
          <w:rFonts w:cs="Arial"/>
          <w:spacing w:val="-3"/>
        </w:rPr>
        <w:t>debe</w:t>
      </w:r>
      <w:r w:rsidR="009B2FF5" w:rsidRPr="00BD1319">
        <w:rPr>
          <w:rFonts w:cs="Arial"/>
          <w:spacing w:val="-3"/>
        </w:rPr>
        <w:t xml:space="preserve">n emplear los métodos establecidos en las </w:t>
      </w:r>
      <w:r w:rsidR="009B2FF5" w:rsidRPr="00BD1319">
        <w:rPr>
          <w:spacing w:val="-3"/>
        </w:rPr>
        <w:t xml:space="preserve">versiones más </w:t>
      </w:r>
      <w:r w:rsidRPr="00BD1319">
        <w:rPr>
          <w:spacing w:val="-3"/>
        </w:rPr>
        <w:t xml:space="preserve">actuales </w:t>
      </w:r>
      <w:r w:rsidR="009B2FF5" w:rsidRPr="00BD1319">
        <w:rPr>
          <w:spacing w:val="-3"/>
        </w:rPr>
        <w:t>de</w:t>
      </w:r>
      <w:r w:rsidRPr="00BD1319">
        <w:rPr>
          <w:spacing w:val="-3"/>
        </w:rPr>
        <w:t xml:space="preserve">l Standard </w:t>
      </w:r>
      <w:proofErr w:type="spellStart"/>
      <w:r w:rsidRPr="00BD1319">
        <w:rPr>
          <w:spacing w:val="-3"/>
        </w:rPr>
        <w:t>Methods</w:t>
      </w:r>
      <w:proofErr w:type="spellEnd"/>
      <w:r w:rsidRPr="00BD1319">
        <w:rPr>
          <w:spacing w:val="-3"/>
        </w:rPr>
        <w:t xml:space="preserve"> </w:t>
      </w:r>
      <w:proofErr w:type="spellStart"/>
      <w:r w:rsidRPr="00BD1319">
        <w:rPr>
          <w:spacing w:val="-3"/>
        </w:rPr>
        <w:t>for</w:t>
      </w:r>
      <w:proofErr w:type="spellEnd"/>
      <w:r w:rsidRPr="00BD1319">
        <w:rPr>
          <w:spacing w:val="-3"/>
        </w:rPr>
        <w:t xml:space="preserve"> </w:t>
      </w:r>
      <w:proofErr w:type="spellStart"/>
      <w:r w:rsidRPr="00BD1319">
        <w:rPr>
          <w:spacing w:val="-3"/>
        </w:rPr>
        <w:t>the</w:t>
      </w:r>
      <w:proofErr w:type="spellEnd"/>
      <w:r w:rsidRPr="00BD1319">
        <w:rPr>
          <w:spacing w:val="-3"/>
        </w:rPr>
        <w:t xml:space="preserve"> </w:t>
      </w:r>
      <w:proofErr w:type="spellStart"/>
      <w:r w:rsidRPr="00BD1319">
        <w:rPr>
          <w:spacing w:val="-3"/>
        </w:rPr>
        <w:t>Examination</w:t>
      </w:r>
      <w:proofErr w:type="spellEnd"/>
      <w:r w:rsidRPr="00BD1319">
        <w:rPr>
          <w:spacing w:val="-3"/>
        </w:rPr>
        <w:t xml:space="preserve"> </w:t>
      </w:r>
      <w:proofErr w:type="spellStart"/>
      <w:r w:rsidRPr="00BD1319">
        <w:rPr>
          <w:spacing w:val="-3"/>
        </w:rPr>
        <w:t>of</w:t>
      </w:r>
      <w:proofErr w:type="spellEnd"/>
      <w:r w:rsidRPr="00BD1319">
        <w:rPr>
          <w:spacing w:val="-3"/>
        </w:rPr>
        <w:t xml:space="preserve"> </w:t>
      </w:r>
      <w:proofErr w:type="spellStart"/>
      <w:r w:rsidRPr="00BD1319">
        <w:rPr>
          <w:spacing w:val="-3"/>
        </w:rPr>
        <w:t>Water</w:t>
      </w:r>
      <w:proofErr w:type="spellEnd"/>
      <w:r w:rsidRPr="00BD1319">
        <w:rPr>
          <w:spacing w:val="-3"/>
        </w:rPr>
        <w:t xml:space="preserve"> and </w:t>
      </w:r>
      <w:proofErr w:type="spellStart"/>
      <w:r w:rsidRPr="00BD1319">
        <w:rPr>
          <w:spacing w:val="-3"/>
        </w:rPr>
        <w:t>Wastewater</w:t>
      </w:r>
      <w:proofErr w:type="spellEnd"/>
      <w:r w:rsidRPr="00BD1319">
        <w:rPr>
          <w:spacing w:val="-3"/>
        </w:rPr>
        <w:t>, el Manual de Métodos de Limnología (</w:t>
      </w:r>
      <w:r w:rsidR="009B2FF5" w:rsidRPr="00BD1319">
        <w:rPr>
          <w:spacing w:val="-3"/>
        </w:rPr>
        <w:t xml:space="preserve">desarrollado por </w:t>
      </w:r>
      <w:r w:rsidRPr="00BD1319">
        <w:rPr>
          <w:spacing w:val="-3"/>
        </w:rPr>
        <w:t>Rueda</w:t>
      </w:r>
      <w:r w:rsidR="009B2FF5" w:rsidRPr="00BD1319">
        <w:rPr>
          <w:spacing w:val="-3"/>
        </w:rPr>
        <w:t xml:space="preserve"> en</w:t>
      </w:r>
      <w:r w:rsidRPr="00BD1319">
        <w:rPr>
          <w:spacing w:val="-3"/>
        </w:rPr>
        <w:t xml:space="preserve"> 2002</w:t>
      </w:r>
      <w:r w:rsidRPr="00BD1319">
        <w:rPr>
          <w:rFonts w:cs="Arial"/>
          <w:spacing w:val="-3"/>
        </w:rPr>
        <w:t xml:space="preserve">), y </w:t>
      </w:r>
      <w:r w:rsidR="009B2FF5" w:rsidRPr="00BD1319">
        <w:rPr>
          <w:rFonts w:cs="Arial"/>
          <w:spacing w:val="-3"/>
        </w:rPr>
        <w:t>d</w:t>
      </w:r>
      <w:r w:rsidRPr="00BD1319">
        <w:rPr>
          <w:rFonts w:cs="Arial"/>
          <w:spacing w:val="-3"/>
        </w:rPr>
        <w:t xml:space="preserve">el Protocolo de Monitoreo de Agua </w:t>
      </w:r>
      <w:r w:rsidR="002645AC" w:rsidRPr="00BD1319">
        <w:rPr>
          <w:rFonts w:cs="Arial"/>
          <w:spacing w:val="-3"/>
        </w:rPr>
        <w:t>vigente</w:t>
      </w:r>
      <w:r w:rsidR="009B2FF5" w:rsidRPr="00BD1319">
        <w:rPr>
          <w:rFonts w:cs="Arial"/>
          <w:spacing w:val="-3"/>
        </w:rPr>
        <w:t xml:space="preserve">. </w:t>
      </w:r>
      <w:r w:rsidRPr="00BD1319">
        <w:rPr>
          <w:spacing w:val="-3"/>
        </w:rPr>
        <w:t xml:space="preserve">Para el muestreo de comunidades marinas se deben seguir los protocolos definidos por </w:t>
      </w:r>
      <w:r w:rsidRPr="00BD1319">
        <w:rPr>
          <w:rFonts w:cs="Arial"/>
          <w:spacing w:val="-3"/>
        </w:rPr>
        <w:t xml:space="preserve">la </w:t>
      </w:r>
      <w:proofErr w:type="spellStart"/>
      <w:r w:rsidRPr="00BD1319">
        <w:rPr>
          <w:rFonts w:cs="Arial"/>
          <w:spacing w:val="-3"/>
        </w:rPr>
        <w:t>RedCam</w:t>
      </w:r>
      <w:proofErr w:type="spellEnd"/>
      <w:r w:rsidRPr="00BD1319">
        <w:rPr>
          <w:rFonts w:cs="Arial"/>
          <w:spacing w:val="-3"/>
        </w:rPr>
        <w:t xml:space="preserve"> del </w:t>
      </w:r>
      <w:proofErr w:type="spellStart"/>
      <w:r w:rsidR="00A92356" w:rsidRPr="00BD1319">
        <w:rPr>
          <w:spacing w:val="-3"/>
        </w:rPr>
        <w:t>Invemar</w:t>
      </w:r>
      <w:proofErr w:type="spellEnd"/>
      <w:r w:rsidR="00FE4070" w:rsidRPr="00BD1319">
        <w:rPr>
          <w:spacing w:val="-3"/>
        </w:rPr>
        <w:t xml:space="preserve"> u otra</w:t>
      </w:r>
      <w:r w:rsidR="009B2FF5" w:rsidRPr="00BD1319">
        <w:rPr>
          <w:spacing w:val="-3"/>
        </w:rPr>
        <w:t>s</w:t>
      </w:r>
      <w:r w:rsidR="00FE4070" w:rsidRPr="00BD1319">
        <w:rPr>
          <w:spacing w:val="-3"/>
        </w:rPr>
        <w:t xml:space="preserve"> metodología</w:t>
      </w:r>
      <w:r w:rsidR="009B2FF5" w:rsidRPr="00BD1319">
        <w:rPr>
          <w:spacing w:val="-3"/>
        </w:rPr>
        <w:t>s</w:t>
      </w:r>
      <w:r w:rsidR="00FE4070" w:rsidRPr="00BD1319">
        <w:rPr>
          <w:spacing w:val="-3"/>
        </w:rPr>
        <w:t xml:space="preserve"> </w:t>
      </w:r>
      <w:r w:rsidR="001E2027" w:rsidRPr="00BD1319">
        <w:rPr>
          <w:spacing w:val="-3"/>
        </w:rPr>
        <w:t xml:space="preserve">que sean </w:t>
      </w:r>
      <w:r w:rsidR="00FE4070" w:rsidRPr="00BD1319">
        <w:rPr>
          <w:spacing w:val="-3"/>
        </w:rPr>
        <w:t xml:space="preserve">internacionalmente </w:t>
      </w:r>
      <w:r w:rsidR="009B2FF5" w:rsidRPr="00BD1319">
        <w:rPr>
          <w:spacing w:val="-3"/>
        </w:rPr>
        <w:t>aceptadas</w:t>
      </w:r>
      <w:r w:rsidRPr="00BD1319">
        <w:rPr>
          <w:rFonts w:cs="Arial"/>
          <w:spacing w:val="-3"/>
        </w:rPr>
        <w:t>.</w:t>
      </w:r>
    </w:p>
    <w:p w14:paraId="1D14DBAA" w14:textId="77777777" w:rsidR="00482A5F" w:rsidRPr="00BD1319" w:rsidRDefault="00482A5F">
      <w:pPr>
        <w:numPr>
          <w:ilvl w:val="12"/>
          <w:numId w:val="0"/>
        </w:numPr>
        <w:tabs>
          <w:tab w:val="left" w:pos="-2268"/>
        </w:tabs>
        <w:suppressAutoHyphens/>
        <w:rPr>
          <w:spacing w:val="-3"/>
        </w:rPr>
      </w:pPr>
    </w:p>
    <w:p w14:paraId="443BBC4F" w14:textId="4988C993" w:rsidR="00482A5F" w:rsidRPr="00BD1319" w:rsidRDefault="00482A5F">
      <w:pPr>
        <w:numPr>
          <w:ilvl w:val="12"/>
          <w:numId w:val="0"/>
        </w:numPr>
        <w:tabs>
          <w:tab w:val="left" w:pos="-2268"/>
        </w:tabs>
        <w:suppressAutoHyphens/>
        <w:rPr>
          <w:spacing w:val="-3"/>
        </w:rPr>
      </w:pPr>
      <w:r w:rsidRPr="00BD1319">
        <w:rPr>
          <w:spacing w:val="-3"/>
        </w:rPr>
        <w:t>El número y la ubicación de las estaciones deben corresponder tanto a los objetivos del estudio (caracterización) como a las diferentes variables presentes en el entorno del cuerpo de agua a analizar</w:t>
      </w:r>
      <w:r w:rsidR="009B2FF5" w:rsidRPr="00BD1319">
        <w:rPr>
          <w:spacing w:val="-3"/>
        </w:rPr>
        <w:t>, entre ellas se encuentran</w:t>
      </w:r>
      <w:r w:rsidRPr="00BD1319">
        <w:rPr>
          <w:spacing w:val="-3"/>
        </w:rPr>
        <w:t xml:space="preserve"> afluentes, descarga de vertimientos y gradientes ambientales. </w:t>
      </w:r>
      <w:r w:rsidR="00F454DC" w:rsidRPr="00BD1319">
        <w:rPr>
          <w:spacing w:val="-3"/>
        </w:rPr>
        <w:t>E</w:t>
      </w:r>
      <w:r w:rsidRPr="00BD1319">
        <w:rPr>
          <w:spacing w:val="-3"/>
        </w:rPr>
        <w:t xml:space="preserve">s preciso </w:t>
      </w:r>
      <w:r w:rsidR="00F454DC" w:rsidRPr="00BD1319">
        <w:rPr>
          <w:spacing w:val="-3"/>
        </w:rPr>
        <w:t xml:space="preserve">que para el establecimiento de las </w:t>
      </w:r>
      <w:r w:rsidRPr="00BD1319">
        <w:rPr>
          <w:spacing w:val="-3"/>
        </w:rPr>
        <w:t>estaciones de muestreo</w:t>
      </w:r>
      <w:r w:rsidR="00F454DC" w:rsidRPr="00BD1319">
        <w:rPr>
          <w:spacing w:val="-3"/>
        </w:rPr>
        <w:t xml:space="preserve"> (</w:t>
      </w:r>
      <w:r w:rsidR="00FA702F" w:rsidRPr="00BD1319">
        <w:rPr>
          <w:spacing w:val="-3"/>
        </w:rPr>
        <w:t>mediante las cuales debe ser posible conocer la variabilidad de línea base del ecosistema</w:t>
      </w:r>
      <w:r w:rsidR="00F454DC" w:rsidRPr="00BD1319">
        <w:rPr>
          <w:spacing w:val="-3"/>
        </w:rPr>
        <w:t>),</w:t>
      </w:r>
      <w:r w:rsidRPr="00BD1319">
        <w:rPr>
          <w:spacing w:val="-3"/>
        </w:rPr>
        <w:t xml:space="preserve"> </w:t>
      </w:r>
      <w:r w:rsidR="00F454DC" w:rsidRPr="00BD1319">
        <w:rPr>
          <w:spacing w:val="-3"/>
        </w:rPr>
        <w:t xml:space="preserve">se prevea </w:t>
      </w:r>
      <w:r w:rsidRPr="00BD1319">
        <w:rPr>
          <w:spacing w:val="-3"/>
        </w:rPr>
        <w:t xml:space="preserve">que </w:t>
      </w:r>
      <w:r w:rsidR="00F454DC" w:rsidRPr="00BD1319">
        <w:rPr>
          <w:spacing w:val="-3"/>
        </w:rPr>
        <w:t xml:space="preserve">éstas también deben permitir el monitoreo de las condiciones ambientales </w:t>
      </w:r>
      <w:r w:rsidRPr="00BD1319">
        <w:rPr>
          <w:rFonts w:cs="Arial"/>
          <w:spacing w:val="-3"/>
        </w:rPr>
        <w:t xml:space="preserve">durante </w:t>
      </w:r>
      <w:r w:rsidR="008D4071" w:rsidRPr="00BD1319">
        <w:rPr>
          <w:rFonts w:cs="Arial"/>
          <w:spacing w:val="-3"/>
        </w:rPr>
        <w:t>la ejecución del proyecto, obra o actividad y para ello, se deben tener en cuenta los lugares en los que los ensamblajes y composición de las comunidades se verían impactados.</w:t>
      </w:r>
      <w:r w:rsidRPr="00BD1319">
        <w:rPr>
          <w:spacing w:val="-3"/>
        </w:rPr>
        <w:t xml:space="preserve"> Todo lo anterior cuidando que el diseño muestral no se vea afectado por fenómenos de </w:t>
      </w:r>
      <w:proofErr w:type="spellStart"/>
      <w:r w:rsidRPr="00BD1319">
        <w:rPr>
          <w:spacing w:val="-3"/>
        </w:rPr>
        <w:t>pseudoreplicación</w:t>
      </w:r>
      <w:proofErr w:type="spellEnd"/>
      <w:r w:rsidRPr="00BD1319">
        <w:rPr>
          <w:spacing w:val="-3"/>
        </w:rPr>
        <w:t xml:space="preserve"> como los descritos por </w:t>
      </w:r>
      <w:bookmarkStart w:id="2896" w:name="_Hlk149109881"/>
      <w:proofErr w:type="spellStart"/>
      <w:r w:rsidRPr="00BD1319">
        <w:rPr>
          <w:spacing w:val="-3"/>
        </w:rPr>
        <w:t>Hurlbert</w:t>
      </w:r>
      <w:proofErr w:type="spellEnd"/>
      <w:r w:rsidRPr="00BD1319">
        <w:rPr>
          <w:spacing w:val="-3"/>
        </w:rPr>
        <w:t xml:space="preserve"> (1984)</w:t>
      </w:r>
      <w:bookmarkEnd w:id="2896"/>
      <w:r w:rsidRPr="00BD1319">
        <w:rPr>
          <w:spacing w:val="-3"/>
        </w:rPr>
        <w:t>.</w:t>
      </w:r>
    </w:p>
    <w:p w14:paraId="42B3FB57" w14:textId="77777777" w:rsidR="00482A5F" w:rsidRPr="00BD1319" w:rsidRDefault="00482A5F">
      <w:pPr>
        <w:numPr>
          <w:ilvl w:val="12"/>
          <w:numId w:val="0"/>
        </w:numPr>
        <w:tabs>
          <w:tab w:val="left" w:pos="-2268"/>
        </w:tabs>
        <w:suppressAutoHyphens/>
        <w:rPr>
          <w:spacing w:val="-3"/>
        </w:rPr>
      </w:pPr>
    </w:p>
    <w:p w14:paraId="0DBE0DE1" w14:textId="70029C36" w:rsidR="00482A5F" w:rsidRPr="00BD1319" w:rsidRDefault="00482A5F">
      <w:pPr>
        <w:numPr>
          <w:ilvl w:val="12"/>
          <w:numId w:val="0"/>
        </w:numPr>
        <w:tabs>
          <w:tab w:val="left" w:pos="-2268"/>
        </w:tabs>
        <w:suppressAutoHyphens/>
        <w:rPr>
          <w:spacing w:val="-3"/>
        </w:rPr>
      </w:pPr>
      <w:r w:rsidRPr="00BD1319">
        <w:rPr>
          <w:spacing w:val="-3"/>
        </w:rPr>
        <w:t xml:space="preserve">La toma de </w:t>
      </w:r>
      <w:r w:rsidR="00434EA7" w:rsidRPr="00BD1319">
        <w:rPr>
          <w:spacing w:val="-3"/>
        </w:rPr>
        <w:t>muestra</w:t>
      </w:r>
      <w:r w:rsidR="00273993" w:rsidRPr="00BD1319">
        <w:rPr>
          <w:spacing w:val="-3"/>
        </w:rPr>
        <w:t>s</w:t>
      </w:r>
      <w:r w:rsidRPr="00BD1319">
        <w:rPr>
          <w:spacing w:val="-3"/>
        </w:rPr>
        <w:t xml:space="preserve"> debe considerar </w:t>
      </w:r>
      <w:r w:rsidRPr="00BD1319">
        <w:rPr>
          <w:rFonts w:cs="Arial"/>
          <w:spacing w:val="-3"/>
        </w:rPr>
        <w:t>la columna de agua y los sedimentos además del</w:t>
      </w:r>
      <w:r w:rsidRPr="00BD1319">
        <w:rPr>
          <w:spacing w:val="-3"/>
        </w:rPr>
        <w:t xml:space="preserve"> número de </w:t>
      </w:r>
      <w:r w:rsidR="002A4465" w:rsidRPr="00BD1319">
        <w:rPr>
          <w:spacing w:val="-3"/>
        </w:rPr>
        <w:t>microhábitats</w:t>
      </w:r>
      <w:r w:rsidRPr="00BD1319">
        <w:rPr>
          <w:spacing w:val="-3"/>
        </w:rPr>
        <w:t xml:space="preserve"> presentes en la estación de muestreo: rápidos, remansos, hojarasca, ribera izquierda, ribera derecha y centro, en el caso de sistemas lóticos; y zona pelágica</w:t>
      </w:r>
      <w:r w:rsidR="002C4F65" w:rsidRPr="00BD1319">
        <w:rPr>
          <w:spacing w:val="-3"/>
        </w:rPr>
        <w:t xml:space="preserve"> y</w:t>
      </w:r>
      <w:r w:rsidRPr="00BD1319">
        <w:rPr>
          <w:spacing w:val="-3"/>
        </w:rPr>
        <w:t xml:space="preserve"> litoral para sistemas lénticos.</w:t>
      </w:r>
    </w:p>
    <w:p w14:paraId="4F2718F9" w14:textId="77777777" w:rsidR="00482A5F" w:rsidRPr="00BD1319" w:rsidRDefault="00482A5F">
      <w:pPr>
        <w:numPr>
          <w:ilvl w:val="12"/>
          <w:numId w:val="0"/>
        </w:numPr>
        <w:tabs>
          <w:tab w:val="left" w:pos="-2268"/>
        </w:tabs>
        <w:suppressAutoHyphens/>
        <w:rPr>
          <w:spacing w:val="-3"/>
        </w:rPr>
      </w:pPr>
    </w:p>
    <w:p w14:paraId="29F5F70E" w14:textId="36DFB90D" w:rsidR="00482A5F" w:rsidRPr="00BD1319" w:rsidRDefault="00482A5F">
      <w:pPr>
        <w:numPr>
          <w:ilvl w:val="12"/>
          <w:numId w:val="0"/>
        </w:numPr>
        <w:tabs>
          <w:tab w:val="left" w:pos="-2268"/>
        </w:tabs>
        <w:suppressAutoHyphens/>
        <w:rPr>
          <w:spacing w:val="-3"/>
        </w:rPr>
      </w:pPr>
      <w:r w:rsidRPr="00BD1319">
        <w:rPr>
          <w:spacing w:val="-3"/>
        </w:rPr>
        <w:t>Los muestreos para la caracterización deben considerar al menos dos (2) periodos climáticos</w:t>
      </w:r>
      <w:r w:rsidR="00CC19E2" w:rsidRPr="00BD1319">
        <w:rPr>
          <w:spacing w:val="-3"/>
        </w:rPr>
        <w:t>,</w:t>
      </w:r>
      <w:r w:rsidRPr="00BD1319">
        <w:rPr>
          <w:spacing w:val="-3"/>
        </w:rPr>
        <w:t xml:space="preserve"> época de baja y alta precipitación</w:t>
      </w:r>
      <w:r w:rsidR="00CC19E2" w:rsidRPr="00BD1319">
        <w:rPr>
          <w:spacing w:val="-3"/>
        </w:rPr>
        <w:t>,</w:t>
      </w:r>
      <w:r w:rsidRPr="00BD1319">
        <w:rPr>
          <w:spacing w:val="-3"/>
        </w:rPr>
        <w:t xml:space="preserve"> </w:t>
      </w:r>
      <w:r w:rsidR="00465339" w:rsidRPr="00BD1319">
        <w:rPr>
          <w:spacing w:val="-3"/>
        </w:rPr>
        <w:t xml:space="preserve">describiendo dichos periodos y señalando claramente las fechas en las que se realizaron los muestreos, </w:t>
      </w:r>
      <w:r w:rsidRPr="00BD1319">
        <w:rPr>
          <w:rFonts w:cs="Arial"/>
          <w:spacing w:val="-3"/>
        </w:rPr>
        <w:t>con</w:t>
      </w:r>
      <w:r w:rsidRPr="00BD1319">
        <w:rPr>
          <w:spacing w:val="-3"/>
        </w:rPr>
        <w:t xml:space="preserve"> el </w:t>
      </w:r>
      <w:r w:rsidRPr="00BD1319">
        <w:rPr>
          <w:rFonts w:cs="Arial"/>
          <w:spacing w:val="-3"/>
        </w:rPr>
        <w:t>fin</w:t>
      </w:r>
      <w:r w:rsidRPr="00BD1319">
        <w:rPr>
          <w:spacing w:val="-3"/>
        </w:rPr>
        <w:t xml:space="preserve"> de </w:t>
      </w:r>
      <w:r w:rsidRPr="00BD1319">
        <w:rPr>
          <w:rFonts w:cs="Arial"/>
          <w:spacing w:val="-3"/>
        </w:rPr>
        <w:t>realizar un análisis ecológico en dos épocas contrastantes</w:t>
      </w:r>
      <w:r w:rsidRPr="00BD1319">
        <w:rPr>
          <w:spacing w:val="-3"/>
        </w:rPr>
        <w:t xml:space="preserve"> (análisis </w:t>
      </w:r>
      <w:r w:rsidR="0077382E" w:rsidRPr="00BD1319">
        <w:rPr>
          <w:spacing w:val="-3"/>
        </w:rPr>
        <w:t>estacional</w:t>
      </w:r>
      <w:r w:rsidRPr="00BD1319">
        <w:rPr>
          <w:spacing w:val="-3"/>
        </w:rPr>
        <w:t>).</w:t>
      </w:r>
    </w:p>
    <w:p w14:paraId="348D4B5D" w14:textId="79917930" w:rsidR="00654B0F" w:rsidRPr="00BD1319" w:rsidRDefault="00654B0F" w:rsidP="00C86DA5">
      <w:pPr>
        <w:overflowPunct/>
        <w:autoSpaceDE/>
        <w:autoSpaceDN/>
        <w:adjustRightInd/>
        <w:jc w:val="left"/>
        <w:textAlignment w:val="auto"/>
        <w:rPr>
          <w:spacing w:val="-3"/>
        </w:rPr>
      </w:pPr>
    </w:p>
    <w:p w14:paraId="74D9EA42" w14:textId="4FE58E34" w:rsidR="00482A5F" w:rsidRPr="00BD1319" w:rsidRDefault="00482A5F">
      <w:pPr>
        <w:numPr>
          <w:ilvl w:val="12"/>
          <w:numId w:val="0"/>
        </w:numPr>
        <w:tabs>
          <w:tab w:val="left" w:pos="-2268"/>
        </w:tabs>
        <w:suppressAutoHyphens/>
        <w:rPr>
          <w:spacing w:val="-3"/>
        </w:rPr>
      </w:pPr>
      <w:r w:rsidRPr="00BD1319">
        <w:rPr>
          <w:spacing w:val="-3"/>
        </w:rPr>
        <w:t xml:space="preserve">A continuación, se presentan consideraciones generales de </w:t>
      </w:r>
      <w:r w:rsidRPr="00BD1319">
        <w:rPr>
          <w:rFonts w:cs="Arial"/>
          <w:spacing w:val="-3"/>
        </w:rPr>
        <w:t xml:space="preserve">la </w:t>
      </w:r>
      <w:r w:rsidRPr="00BD1319">
        <w:rPr>
          <w:spacing w:val="-3"/>
        </w:rPr>
        <w:t>metodología para cada ensamble hidrobiológico:</w:t>
      </w:r>
    </w:p>
    <w:p w14:paraId="66FCCF40" w14:textId="77777777" w:rsidR="00482A5F" w:rsidRPr="00BD1319" w:rsidRDefault="00482A5F">
      <w:pPr>
        <w:numPr>
          <w:ilvl w:val="12"/>
          <w:numId w:val="0"/>
        </w:numPr>
        <w:tabs>
          <w:tab w:val="left" w:pos="-2268"/>
        </w:tabs>
        <w:suppressAutoHyphens/>
        <w:rPr>
          <w:spacing w:val="-3"/>
        </w:rPr>
      </w:pPr>
      <w:bookmarkStart w:id="2897" w:name="_Toc405366838"/>
      <w:bookmarkStart w:id="2898" w:name="_Toc405372385"/>
    </w:p>
    <w:p w14:paraId="6D13A8C6" w14:textId="68E2902C" w:rsidR="00FA702F" w:rsidRPr="00BD1319" w:rsidRDefault="00482A5F" w:rsidP="00977C86">
      <w:pPr>
        <w:pStyle w:val="Prrafodelista"/>
        <w:numPr>
          <w:ilvl w:val="0"/>
          <w:numId w:val="85"/>
        </w:numPr>
        <w:tabs>
          <w:tab w:val="left" w:pos="-2268"/>
        </w:tabs>
        <w:suppressAutoHyphens/>
        <w:ind w:left="567" w:hanging="567"/>
        <w:rPr>
          <w:rFonts w:cs="Arial"/>
          <w:spacing w:val="-3"/>
          <w:lang w:val="es-CO"/>
        </w:rPr>
      </w:pPr>
      <w:r w:rsidRPr="00BD1319">
        <w:rPr>
          <w:rFonts w:cs="Arial"/>
          <w:spacing w:val="-3"/>
          <w:u w:val="single"/>
          <w:lang w:val="es-CO"/>
        </w:rPr>
        <w:t xml:space="preserve">Plancton </w:t>
      </w:r>
      <w:r w:rsidR="00853600" w:rsidRPr="00BD1319">
        <w:rPr>
          <w:rFonts w:cs="Arial"/>
          <w:spacing w:val="-3"/>
          <w:u w:val="single"/>
          <w:lang w:val="es-CO"/>
        </w:rPr>
        <w:t xml:space="preserve">dulceacuícola </w:t>
      </w:r>
      <w:r w:rsidRPr="00BD1319">
        <w:rPr>
          <w:rFonts w:cs="Arial"/>
          <w:spacing w:val="-3"/>
          <w:u w:val="single"/>
          <w:lang w:val="es-CO"/>
        </w:rPr>
        <w:t xml:space="preserve">(fitoplancton, zooplancton e </w:t>
      </w:r>
      <w:proofErr w:type="spellStart"/>
      <w:r w:rsidRPr="00BD1319">
        <w:rPr>
          <w:rFonts w:cs="Arial"/>
          <w:spacing w:val="-3"/>
          <w:u w:val="single"/>
          <w:lang w:val="es-CO"/>
        </w:rPr>
        <w:t>ictioplancton</w:t>
      </w:r>
      <w:proofErr w:type="spellEnd"/>
      <w:r w:rsidRPr="00BD1319">
        <w:rPr>
          <w:rFonts w:cs="Arial"/>
          <w:spacing w:val="-3"/>
          <w:u w:val="single"/>
          <w:lang w:val="es-CO"/>
        </w:rPr>
        <w:t>):</w:t>
      </w:r>
      <w:r w:rsidRPr="00BD1319">
        <w:rPr>
          <w:rFonts w:cs="Arial"/>
          <w:spacing w:val="-3"/>
          <w:lang w:val="es-CO"/>
        </w:rPr>
        <w:t xml:space="preserve"> las muestras cualitativas y cuantitativas </w:t>
      </w:r>
      <w:r w:rsidR="00FA702F" w:rsidRPr="00BD1319">
        <w:rPr>
          <w:rFonts w:cs="Arial"/>
          <w:spacing w:val="-3"/>
          <w:lang w:val="es-CO"/>
        </w:rPr>
        <w:t xml:space="preserve">de </w:t>
      </w:r>
      <w:r w:rsidR="00853600" w:rsidRPr="00BD1319">
        <w:rPr>
          <w:rFonts w:cs="Arial"/>
          <w:spacing w:val="-3"/>
          <w:lang w:val="es-CO"/>
        </w:rPr>
        <w:t xml:space="preserve">fitoplancton y zooplancton pueden tomarse por medio de filtrado </w:t>
      </w:r>
      <w:r w:rsidRPr="00BD1319">
        <w:rPr>
          <w:rFonts w:cs="Arial"/>
          <w:spacing w:val="-3"/>
          <w:lang w:val="es-CO"/>
        </w:rPr>
        <w:t>con redes cuyos ojos de malla se encuentran entre 11 y 55 micras para fitoplancton</w:t>
      </w:r>
      <w:r w:rsidR="00FA702F" w:rsidRPr="00BD1319">
        <w:rPr>
          <w:rFonts w:cs="Arial"/>
          <w:spacing w:val="-3"/>
          <w:lang w:val="es-CO"/>
        </w:rPr>
        <w:t>,</w:t>
      </w:r>
      <w:r w:rsidRPr="00BD1319">
        <w:rPr>
          <w:rFonts w:cs="Arial"/>
          <w:spacing w:val="-3"/>
          <w:lang w:val="es-CO"/>
        </w:rPr>
        <w:t xml:space="preserve"> y entre 45 y 55 micras para zooplancton</w:t>
      </w:r>
      <w:r w:rsidR="00CC19E2" w:rsidRPr="00BD1319">
        <w:rPr>
          <w:rFonts w:cs="Arial"/>
          <w:spacing w:val="-3"/>
          <w:lang w:val="es-CO"/>
        </w:rPr>
        <w:t>;</w:t>
      </w:r>
      <w:r w:rsidRPr="00BD1319">
        <w:rPr>
          <w:rFonts w:cs="Arial"/>
          <w:spacing w:val="-3"/>
          <w:lang w:val="es-CO"/>
        </w:rPr>
        <w:t xml:space="preserve"> </w:t>
      </w:r>
      <w:r w:rsidR="00CC19E2" w:rsidRPr="00BD1319">
        <w:rPr>
          <w:rFonts w:cs="Arial"/>
          <w:spacing w:val="-3"/>
          <w:lang w:val="es-CO"/>
        </w:rPr>
        <w:t>a</w:t>
      </w:r>
      <w:r w:rsidR="00853600" w:rsidRPr="00BD1319">
        <w:rPr>
          <w:rFonts w:cs="Arial"/>
          <w:spacing w:val="-3"/>
          <w:lang w:val="es-CO"/>
        </w:rPr>
        <w:t xml:space="preserve">dicionalmente, se pueden emplear muestreadores tipo botella cuando se requiera hacer muestreos que impliquen la columna de agua. Para el caso de </w:t>
      </w:r>
      <w:proofErr w:type="spellStart"/>
      <w:r w:rsidR="00853600" w:rsidRPr="00BD1319">
        <w:rPr>
          <w:rFonts w:cs="Arial"/>
          <w:spacing w:val="-3"/>
          <w:lang w:val="es-CO"/>
        </w:rPr>
        <w:t>ictioplancton</w:t>
      </w:r>
      <w:proofErr w:type="spellEnd"/>
      <w:r w:rsidR="00853600" w:rsidRPr="00BD1319">
        <w:rPr>
          <w:rFonts w:cs="Arial"/>
          <w:spacing w:val="-3"/>
          <w:lang w:val="es-CO"/>
        </w:rPr>
        <w:t xml:space="preserve"> la toma de muestra se</w:t>
      </w:r>
      <w:r w:rsidR="00FA702F" w:rsidRPr="00BD1319">
        <w:rPr>
          <w:rFonts w:cs="Arial"/>
          <w:spacing w:val="-3"/>
          <w:lang w:val="es-CO"/>
        </w:rPr>
        <w:t xml:space="preserve"> debe </w:t>
      </w:r>
      <w:r w:rsidR="00853600" w:rsidRPr="00BD1319">
        <w:rPr>
          <w:rFonts w:cs="Arial"/>
          <w:spacing w:val="-3"/>
          <w:lang w:val="es-CO"/>
        </w:rPr>
        <w:t>realiza</w:t>
      </w:r>
      <w:r w:rsidR="00FA702F" w:rsidRPr="00BD1319">
        <w:rPr>
          <w:rFonts w:cs="Arial"/>
          <w:spacing w:val="-3"/>
          <w:lang w:val="es-CO"/>
        </w:rPr>
        <w:t>r</w:t>
      </w:r>
      <w:r w:rsidR="00853600" w:rsidRPr="00BD1319">
        <w:rPr>
          <w:rFonts w:cs="Arial"/>
          <w:spacing w:val="-3"/>
          <w:lang w:val="es-CO"/>
        </w:rPr>
        <w:t xml:space="preserve"> por medio de redes con ojo de malla entre 400 a 500 micras con </w:t>
      </w:r>
      <w:proofErr w:type="spellStart"/>
      <w:r w:rsidR="00853600" w:rsidRPr="00BD1319">
        <w:rPr>
          <w:rFonts w:cs="Arial"/>
          <w:spacing w:val="-3"/>
          <w:lang w:val="es-CO"/>
        </w:rPr>
        <w:t>flujometro</w:t>
      </w:r>
      <w:proofErr w:type="spellEnd"/>
      <w:r w:rsidR="00853600" w:rsidRPr="00BD1319">
        <w:rPr>
          <w:rFonts w:cs="Arial"/>
          <w:spacing w:val="-3"/>
          <w:lang w:val="es-CO"/>
        </w:rPr>
        <w:t xml:space="preserve"> acoplado. </w:t>
      </w:r>
      <w:r w:rsidRPr="00BD1319">
        <w:rPr>
          <w:rFonts w:cs="Arial"/>
          <w:spacing w:val="-3"/>
          <w:lang w:val="es-CO"/>
        </w:rPr>
        <w:t xml:space="preserve">Para el plancton marino se recomienda usar redes con ojos de malla de 20 micras para el análisis </w:t>
      </w:r>
      <w:r w:rsidRPr="00BD1319">
        <w:rPr>
          <w:rFonts w:cs="Arial"/>
          <w:spacing w:val="-3"/>
          <w:lang w:val="es-CO"/>
        </w:rPr>
        <w:lastRenderedPageBreak/>
        <w:t>cualitativo del fitoplancton</w:t>
      </w:r>
      <w:r w:rsidR="00FA702F" w:rsidRPr="00BD1319">
        <w:rPr>
          <w:rFonts w:cs="Arial"/>
          <w:spacing w:val="-3"/>
          <w:lang w:val="es-CO"/>
        </w:rPr>
        <w:t>,</w:t>
      </w:r>
      <w:r w:rsidRPr="00BD1319">
        <w:rPr>
          <w:rFonts w:cs="Arial"/>
          <w:spacing w:val="-3"/>
          <w:lang w:val="es-CO"/>
        </w:rPr>
        <w:t xml:space="preserve"> y botella </w:t>
      </w:r>
      <w:proofErr w:type="spellStart"/>
      <w:r w:rsidRPr="00BD1319">
        <w:rPr>
          <w:rFonts w:cs="Arial"/>
          <w:spacing w:val="-3"/>
          <w:lang w:val="es-CO"/>
        </w:rPr>
        <w:t>Niskin</w:t>
      </w:r>
      <w:proofErr w:type="spellEnd"/>
      <w:r w:rsidRPr="00BD1319">
        <w:rPr>
          <w:rFonts w:cs="Arial"/>
          <w:spacing w:val="-3"/>
          <w:lang w:val="es-CO"/>
        </w:rPr>
        <w:t xml:space="preserve"> (entre 2 y 10 litros dependiendo la profundidad del área) para el análisis cuantitativo.</w:t>
      </w:r>
    </w:p>
    <w:p w14:paraId="4C18EA8D" w14:textId="77777777" w:rsidR="00FA702F" w:rsidRPr="00BD1319" w:rsidRDefault="00FA702F" w:rsidP="009420F5">
      <w:pPr>
        <w:tabs>
          <w:tab w:val="left" w:pos="-2268"/>
        </w:tabs>
        <w:suppressAutoHyphens/>
        <w:rPr>
          <w:rFonts w:cs="Arial"/>
          <w:spacing w:val="-3"/>
        </w:rPr>
      </w:pPr>
    </w:p>
    <w:p w14:paraId="0BA7AC09" w14:textId="2D5EA05A" w:rsidR="00482A5F" w:rsidRPr="00BD1319" w:rsidRDefault="00FA702F" w:rsidP="009420F5">
      <w:pPr>
        <w:pStyle w:val="Prrafodelista"/>
        <w:tabs>
          <w:tab w:val="left" w:pos="-2268"/>
        </w:tabs>
        <w:suppressAutoHyphens/>
        <w:ind w:left="567"/>
        <w:rPr>
          <w:rFonts w:cs="Arial"/>
          <w:spacing w:val="-3"/>
          <w:lang w:val="es-CO"/>
        </w:rPr>
      </w:pPr>
      <w:r w:rsidRPr="00BD1319">
        <w:rPr>
          <w:rFonts w:cs="Arial"/>
          <w:spacing w:val="-3"/>
          <w:lang w:val="es-CO"/>
        </w:rPr>
        <w:t xml:space="preserve">Para </w:t>
      </w:r>
      <w:r w:rsidR="00482A5F" w:rsidRPr="00BD1319">
        <w:rPr>
          <w:rFonts w:cs="Arial"/>
          <w:spacing w:val="-3"/>
          <w:lang w:val="es-CO"/>
        </w:rPr>
        <w:t xml:space="preserve">la caracterización del zooplancton </w:t>
      </w:r>
      <w:r w:rsidRPr="00BD1319">
        <w:rPr>
          <w:rFonts w:cs="Arial"/>
          <w:spacing w:val="-3"/>
          <w:lang w:val="es-CO"/>
        </w:rPr>
        <w:t xml:space="preserve">es posible emplear </w:t>
      </w:r>
      <w:r w:rsidR="00482A5F" w:rsidRPr="00BD1319">
        <w:rPr>
          <w:rFonts w:cs="Arial"/>
          <w:spacing w:val="-3"/>
          <w:lang w:val="es-CO"/>
        </w:rPr>
        <w:t>redes de 200 micras con flujómetro para su cuantificación</w:t>
      </w:r>
      <w:r w:rsidRPr="00BD1319">
        <w:rPr>
          <w:rFonts w:cs="Arial"/>
          <w:spacing w:val="-3"/>
          <w:lang w:val="es-CO"/>
        </w:rPr>
        <w:t>;</w:t>
      </w:r>
      <w:r w:rsidR="00482A5F" w:rsidRPr="00BD1319">
        <w:rPr>
          <w:rFonts w:cs="Arial"/>
          <w:spacing w:val="-3"/>
          <w:lang w:val="es-CO"/>
        </w:rPr>
        <w:t xml:space="preserve"> </w:t>
      </w:r>
      <w:r w:rsidRPr="00BD1319">
        <w:rPr>
          <w:rFonts w:cs="Arial"/>
          <w:spacing w:val="-3"/>
          <w:lang w:val="es-CO"/>
        </w:rPr>
        <w:t>p</w:t>
      </w:r>
      <w:r w:rsidR="00482A5F" w:rsidRPr="00BD1319">
        <w:rPr>
          <w:rFonts w:cs="Arial"/>
          <w:spacing w:val="-3"/>
          <w:lang w:val="es-CO"/>
        </w:rPr>
        <w:t xml:space="preserve">ara la caracterización del </w:t>
      </w:r>
      <w:proofErr w:type="spellStart"/>
      <w:r w:rsidR="00482A5F" w:rsidRPr="00BD1319">
        <w:rPr>
          <w:rFonts w:cs="Arial"/>
          <w:spacing w:val="-3"/>
          <w:lang w:val="es-CO"/>
        </w:rPr>
        <w:t>ictoplancton</w:t>
      </w:r>
      <w:proofErr w:type="spellEnd"/>
      <w:r w:rsidRPr="00BD1319">
        <w:rPr>
          <w:rFonts w:cs="Arial"/>
          <w:spacing w:val="-3"/>
          <w:lang w:val="es-CO"/>
        </w:rPr>
        <w:t>, es posible utilizar</w:t>
      </w:r>
      <w:r w:rsidR="00482A5F" w:rsidRPr="00BD1319">
        <w:rPr>
          <w:rFonts w:cs="Arial"/>
          <w:spacing w:val="-3"/>
          <w:lang w:val="es-CO"/>
        </w:rPr>
        <w:t xml:space="preserve"> redes de 500 micras con flujómetro. El uso de redes se hace </w:t>
      </w:r>
      <w:r w:rsidRPr="00BD1319">
        <w:rPr>
          <w:rFonts w:cs="Arial"/>
          <w:spacing w:val="-3"/>
          <w:lang w:val="es-CO"/>
        </w:rPr>
        <w:t xml:space="preserve">desde </w:t>
      </w:r>
      <w:r w:rsidR="00482A5F" w:rsidRPr="00BD1319">
        <w:rPr>
          <w:rFonts w:cs="Arial"/>
          <w:spacing w:val="-3"/>
          <w:lang w:val="es-CO"/>
        </w:rPr>
        <w:t xml:space="preserve">un bote con motor fuera de borda a una velocidad </w:t>
      </w:r>
      <w:r w:rsidRPr="00BD1319">
        <w:rPr>
          <w:rFonts w:cs="Arial"/>
          <w:spacing w:val="-3"/>
          <w:lang w:val="es-CO"/>
        </w:rPr>
        <w:t>y por un</w:t>
      </w:r>
      <w:r w:rsidR="00482A5F" w:rsidRPr="00BD1319">
        <w:rPr>
          <w:rFonts w:cs="Arial"/>
          <w:spacing w:val="-3"/>
          <w:lang w:val="es-CO"/>
        </w:rPr>
        <w:t xml:space="preserve"> tiempo </w:t>
      </w:r>
      <w:r w:rsidRPr="00BD1319">
        <w:rPr>
          <w:rFonts w:cs="Arial"/>
          <w:spacing w:val="-3"/>
          <w:lang w:val="es-CO"/>
        </w:rPr>
        <w:t xml:space="preserve">que son determinados según </w:t>
      </w:r>
      <w:r w:rsidR="00482A5F" w:rsidRPr="00BD1319">
        <w:rPr>
          <w:rFonts w:cs="Arial"/>
          <w:spacing w:val="-3"/>
          <w:lang w:val="es-CO"/>
        </w:rPr>
        <w:t xml:space="preserve">criterio del experto y dependiendo de las características del cuerpo de agua. </w:t>
      </w:r>
      <w:r w:rsidR="0077382E" w:rsidRPr="00BD1319">
        <w:rPr>
          <w:rFonts w:cs="Arial"/>
          <w:lang w:val="es-CO"/>
        </w:rPr>
        <w:t xml:space="preserve">Es posible emplear </w:t>
      </w:r>
      <w:proofErr w:type="spellStart"/>
      <w:r w:rsidR="00482A5F" w:rsidRPr="00BD1319">
        <w:rPr>
          <w:rFonts w:cs="Arial"/>
          <w:lang w:val="es-CO"/>
        </w:rPr>
        <w:t>Borax</w:t>
      </w:r>
      <w:proofErr w:type="spellEnd"/>
      <w:r w:rsidR="00482A5F" w:rsidRPr="00BD1319">
        <w:rPr>
          <w:rFonts w:cs="Arial"/>
          <w:lang w:val="es-CO"/>
        </w:rPr>
        <w:t xml:space="preserve"> y cloruro de magnesio para relajar los individuos</w:t>
      </w:r>
      <w:r w:rsidR="0077382E" w:rsidRPr="00BD1319">
        <w:rPr>
          <w:rFonts w:cs="Arial"/>
          <w:lang w:val="es-CO"/>
        </w:rPr>
        <w:t>,</w:t>
      </w:r>
      <w:r w:rsidR="00482A5F" w:rsidRPr="00BD1319">
        <w:rPr>
          <w:rFonts w:cs="Arial"/>
          <w:lang w:val="es-CO"/>
        </w:rPr>
        <w:t xml:space="preserve"> </w:t>
      </w:r>
      <w:r w:rsidR="0077382E" w:rsidRPr="00BD1319">
        <w:rPr>
          <w:rFonts w:cs="Arial"/>
          <w:lang w:val="es-CO"/>
        </w:rPr>
        <w:t xml:space="preserve">así como </w:t>
      </w:r>
      <w:r w:rsidR="00482A5F" w:rsidRPr="00BD1319">
        <w:rPr>
          <w:rFonts w:cs="Arial"/>
          <w:lang w:val="es-CO"/>
        </w:rPr>
        <w:t>us</w:t>
      </w:r>
      <w:r w:rsidR="0077382E" w:rsidRPr="00BD1319">
        <w:rPr>
          <w:rFonts w:cs="Arial"/>
          <w:lang w:val="es-CO"/>
        </w:rPr>
        <w:t>ar</w:t>
      </w:r>
      <w:r w:rsidR="00482A5F" w:rsidRPr="00BD1319">
        <w:rPr>
          <w:rFonts w:cs="Arial"/>
          <w:lang w:val="es-CO"/>
        </w:rPr>
        <w:t xml:space="preserve"> </w:t>
      </w:r>
      <w:r w:rsidR="0077382E" w:rsidRPr="00BD1319">
        <w:rPr>
          <w:rFonts w:cs="Arial"/>
          <w:lang w:val="es-CO"/>
        </w:rPr>
        <w:t xml:space="preserve">posteriormente </w:t>
      </w:r>
      <w:r w:rsidR="00482A5F" w:rsidRPr="00BD1319">
        <w:rPr>
          <w:rFonts w:cs="Arial"/>
          <w:lang w:val="es-CO"/>
        </w:rPr>
        <w:t xml:space="preserve">rosa de bengala para la tinción de los organismos </w:t>
      </w:r>
      <w:r w:rsidR="0077382E" w:rsidRPr="00BD1319">
        <w:rPr>
          <w:rFonts w:cs="Arial"/>
          <w:lang w:val="es-CO"/>
        </w:rPr>
        <w:t xml:space="preserve">a fin de </w:t>
      </w:r>
      <w:r w:rsidR="00482A5F" w:rsidRPr="00BD1319">
        <w:rPr>
          <w:rFonts w:cs="Arial"/>
          <w:lang w:val="es-CO"/>
        </w:rPr>
        <w:t>facilitar la separación del sedimento y la pérdida de muestras.</w:t>
      </w:r>
    </w:p>
    <w:p w14:paraId="3A7F8A52" w14:textId="77777777" w:rsidR="00482A5F" w:rsidRPr="00BD1319" w:rsidRDefault="00482A5F" w:rsidP="00C86DA5">
      <w:pPr>
        <w:rPr>
          <w:spacing w:val="-3"/>
        </w:rPr>
      </w:pPr>
    </w:p>
    <w:p w14:paraId="49EA3658" w14:textId="67A4CEBA" w:rsidR="00482A5F" w:rsidRPr="00BD1319" w:rsidRDefault="00482A5F" w:rsidP="00C86DA5">
      <w:pPr>
        <w:pStyle w:val="Prrafodelista"/>
        <w:numPr>
          <w:ilvl w:val="0"/>
          <w:numId w:val="85"/>
        </w:numPr>
        <w:tabs>
          <w:tab w:val="left" w:pos="-2268"/>
        </w:tabs>
        <w:suppressAutoHyphens/>
        <w:ind w:left="567" w:hanging="567"/>
        <w:rPr>
          <w:spacing w:val="-3"/>
          <w:lang w:val="es-CO"/>
        </w:rPr>
      </w:pPr>
      <w:proofErr w:type="spellStart"/>
      <w:r w:rsidRPr="00BD1319">
        <w:rPr>
          <w:rFonts w:cs="Arial"/>
          <w:spacing w:val="-3"/>
          <w:u w:val="single"/>
          <w:lang w:val="es-CO"/>
        </w:rPr>
        <w:t>Perifiton</w:t>
      </w:r>
      <w:proofErr w:type="spellEnd"/>
      <w:r w:rsidRPr="00BD1319">
        <w:rPr>
          <w:rFonts w:cs="Arial"/>
          <w:spacing w:val="-3"/>
          <w:u w:val="single"/>
          <w:lang w:val="es-CO"/>
        </w:rPr>
        <w:t>:</w:t>
      </w:r>
      <w:r w:rsidRPr="00BD1319">
        <w:rPr>
          <w:rFonts w:cs="Arial"/>
          <w:spacing w:val="-3"/>
          <w:lang w:val="es-CO"/>
        </w:rPr>
        <w:t xml:space="preserve"> dentro de cada estación de muestreo se debe </w:t>
      </w:r>
      <w:r w:rsidR="008C6FA1" w:rsidRPr="00BD1319">
        <w:rPr>
          <w:rFonts w:cs="Arial"/>
          <w:spacing w:val="-3"/>
          <w:lang w:val="es-CO"/>
        </w:rPr>
        <w:t xml:space="preserve">localizar </w:t>
      </w:r>
      <w:r w:rsidRPr="00BD1319">
        <w:rPr>
          <w:rFonts w:cs="Arial"/>
          <w:spacing w:val="-3"/>
          <w:lang w:val="es-CO"/>
        </w:rPr>
        <w:t>un sustrato duro donde se evidencie presencia de este ensamble (</w:t>
      </w:r>
      <w:r w:rsidR="00041844" w:rsidRPr="00BD1319">
        <w:rPr>
          <w:rFonts w:cs="Arial"/>
          <w:spacing w:val="-3"/>
          <w:lang w:val="es-CO"/>
        </w:rPr>
        <w:t>p. ej.</w:t>
      </w:r>
      <w:r w:rsidR="00FA702F" w:rsidRPr="00BD1319">
        <w:rPr>
          <w:rFonts w:cs="Arial"/>
          <w:spacing w:val="-3"/>
          <w:lang w:val="es-CO"/>
        </w:rPr>
        <w:t xml:space="preserve"> </w:t>
      </w:r>
      <w:r w:rsidRPr="00BD1319">
        <w:rPr>
          <w:rFonts w:cs="Arial"/>
          <w:spacing w:val="-3"/>
          <w:lang w:val="es-CO"/>
        </w:rPr>
        <w:t>roca, tronco, tallo de macrófito)</w:t>
      </w:r>
      <w:r w:rsidR="00B8216A" w:rsidRPr="00BD1319">
        <w:rPr>
          <w:rFonts w:cs="Arial"/>
          <w:spacing w:val="-3"/>
          <w:lang w:val="es-CO"/>
        </w:rPr>
        <w:t>. S</w:t>
      </w:r>
      <w:r w:rsidRPr="00BD1319">
        <w:rPr>
          <w:rFonts w:cs="Arial"/>
          <w:spacing w:val="-3"/>
          <w:lang w:val="es-CO"/>
        </w:rPr>
        <w:t xml:space="preserve">e debe </w:t>
      </w:r>
      <w:r w:rsidR="00B8216A" w:rsidRPr="00BD1319">
        <w:rPr>
          <w:rFonts w:cs="Arial"/>
          <w:spacing w:val="-3"/>
          <w:lang w:val="es-CO"/>
        </w:rPr>
        <w:t xml:space="preserve">realizar el raspado de la superficie </w:t>
      </w:r>
      <w:r w:rsidRPr="00BD1319">
        <w:rPr>
          <w:rFonts w:cs="Arial"/>
          <w:spacing w:val="-3"/>
          <w:lang w:val="es-CO"/>
        </w:rPr>
        <w:t>en un área conocida</w:t>
      </w:r>
      <w:r w:rsidR="00B8216A" w:rsidRPr="00BD1319">
        <w:rPr>
          <w:rFonts w:cs="Arial"/>
          <w:spacing w:val="-3"/>
          <w:lang w:val="es-CO"/>
        </w:rPr>
        <w:t xml:space="preserve"> que permita tener una muestra representativa del </w:t>
      </w:r>
      <w:proofErr w:type="spellStart"/>
      <w:r w:rsidR="00B8216A" w:rsidRPr="00BD1319">
        <w:rPr>
          <w:rFonts w:cs="Arial"/>
          <w:spacing w:val="-3"/>
          <w:lang w:val="es-CO"/>
        </w:rPr>
        <w:t>perifiton</w:t>
      </w:r>
      <w:proofErr w:type="spellEnd"/>
      <w:r w:rsidRPr="00BD1319">
        <w:rPr>
          <w:rFonts w:cs="Arial"/>
          <w:spacing w:val="-3"/>
          <w:lang w:val="es-CO"/>
        </w:rPr>
        <w:t>. Respecto de la selección del sustrato</w:t>
      </w:r>
      <w:r w:rsidR="00FA702F" w:rsidRPr="00BD1319">
        <w:rPr>
          <w:rFonts w:cs="Arial"/>
          <w:spacing w:val="-3"/>
          <w:lang w:val="es-CO"/>
        </w:rPr>
        <w:t>,</w:t>
      </w:r>
      <w:r w:rsidRPr="00BD1319">
        <w:rPr>
          <w:rFonts w:cs="Arial"/>
          <w:spacing w:val="-3"/>
          <w:lang w:val="es-CO"/>
        </w:rPr>
        <w:t xml:space="preserve"> debe tenerse en cuenta que la composición de las comunidades puede variar en función del sustrato escogido, por lo que </w:t>
      </w:r>
      <w:r w:rsidR="00FA702F" w:rsidRPr="00BD1319">
        <w:rPr>
          <w:rFonts w:cs="Arial"/>
          <w:spacing w:val="-3"/>
          <w:lang w:val="es-CO"/>
        </w:rPr>
        <w:t xml:space="preserve">una buena práctica es seleccionar </w:t>
      </w:r>
      <w:r w:rsidRPr="00BD1319">
        <w:rPr>
          <w:rFonts w:cs="Arial"/>
          <w:spacing w:val="-3"/>
          <w:lang w:val="es-CO"/>
        </w:rPr>
        <w:t>un sitio con la mayor heterogeneidad posible de sustratos. Se deben realizar muestreos cualitativos y cuantitativos</w:t>
      </w:r>
      <w:r w:rsidRPr="00BD1319">
        <w:rPr>
          <w:spacing w:val="-3"/>
          <w:lang w:val="es-CO"/>
        </w:rPr>
        <w:t>.</w:t>
      </w:r>
    </w:p>
    <w:p w14:paraId="39339D8B" w14:textId="77777777" w:rsidR="00482A5F" w:rsidRPr="00BD1319" w:rsidRDefault="00482A5F" w:rsidP="00C86DA5">
      <w:pPr>
        <w:rPr>
          <w:spacing w:val="-3"/>
        </w:rPr>
      </w:pPr>
    </w:p>
    <w:p w14:paraId="0C2FB398" w14:textId="786D2845" w:rsidR="00482A5F" w:rsidRPr="00BD1319" w:rsidRDefault="00482A5F" w:rsidP="00C86DA5">
      <w:pPr>
        <w:pStyle w:val="Prrafodelista"/>
        <w:numPr>
          <w:ilvl w:val="0"/>
          <w:numId w:val="85"/>
        </w:numPr>
        <w:tabs>
          <w:tab w:val="left" w:pos="-2268"/>
        </w:tabs>
        <w:suppressAutoHyphens/>
        <w:ind w:left="567" w:hanging="567"/>
        <w:rPr>
          <w:rFonts w:cs="Arial"/>
          <w:spacing w:val="-3"/>
          <w:lang w:val="es-CO"/>
        </w:rPr>
      </w:pPr>
      <w:r w:rsidRPr="00BD1319">
        <w:rPr>
          <w:rFonts w:cs="Arial"/>
          <w:spacing w:val="-3"/>
          <w:u w:val="single"/>
          <w:lang w:val="es-CO"/>
        </w:rPr>
        <w:t xml:space="preserve">Plantas acuáticas o </w:t>
      </w:r>
      <w:proofErr w:type="spellStart"/>
      <w:r w:rsidRPr="00BD1319">
        <w:rPr>
          <w:rFonts w:cs="Arial"/>
          <w:spacing w:val="-3"/>
          <w:u w:val="single"/>
          <w:lang w:val="es-CO"/>
        </w:rPr>
        <w:t>macrófitas</w:t>
      </w:r>
      <w:proofErr w:type="spellEnd"/>
      <w:r w:rsidR="006C3B80" w:rsidRPr="00BD1319">
        <w:rPr>
          <w:rFonts w:cs="Arial"/>
          <w:spacing w:val="-3"/>
          <w:u w:val="single"/>
          <w:lang w:val="es-CO"/>
        </w:rPr>
        <w:t>:</w:t>
      </w:r>
      <w:r w:rsidRPr="00BD1319">
        <w:rPr>
          <w:rFonts w:cs="Arial"/>
          <w:spacing w:val="-3"/>
          <w:lang w:val="es-CO"/>
        </w:rPr>
        <w:t xml:space="preserve"> el muestreo cualitativo y cuantitativo de </w:t>
      </w:r>
      <w:proofErr w:type="spellStart"/>
      <w:r w:rsidRPr="00BD1319">
        <w:rPr>
          <w:rFonts w:cs="Arial"/>
          <w:spacing w:val="-3"/>
          <w:lang w:val="es-CO"/>
        </w:rPr>
        <w:t>macrófitas</w:t>
      </w:r>
      <w:proofErr w:type="spellEnd"/>
      <w:r w:rsidRPr="00BD1319">
        <w:rPr>
          <w:rFonts w:cs="Arial"/>
          <w:spacing w:val="-3"/>
          <w:lang w:val="es-CO"/>
        </w:rPr>
        <w:t xml:space="preserve"> en cada estación de muestreo se debe efectuar mediante el trazado de una franja generalmente perpendicular al espejo de agua, siguiendo un gradiente ambiental agua-tierra. Se debe procurar muestrear todos los modos de vida de los diferentes macrófitos y plantas acuáticas</w:t>
      </w:r>
      <w:r w:rsidR="007E4BA6" w:rsidRPr="00BD1319">
        <w:rPr>
          <w:rFonts w:cs="Arial"/>
          <w:spacing w:val="-3"/>
          <w:lang w:val="es-CO"/>
        </w:rPr>
        <w:t>,</w:t>
      </w:r>
      <w:r w:rsidRPr="00BD1319">
        <w:rPr>
          <w:rFonts w:cs="Arial"/>
          <w:spacing w:val="-3"/>
          <w:lang w:val="es-CO"/>
        </w:rPr>
        <w:t xml:space="preserve"> como son </w:t>
      </w:r>
      <w:proofErr w:type="spellStart"/>
      <w:r w:rsidRPr="00BD1319">
        <w:rPr>
          <w:rFonts w:cs="Arial"/>
          <w:spacing w:val="-3"/>
          <w:lang w:val="es-CO"/>
        </w:rPr>
        <w:t>helófitos</w:t>
      </w:r>
      <w:proofErr w:type="spellEnd"/>
      <w:r w:rsidRPr="00BD1319">
        <w:rPr>
          <w:rFonts w:cs="Arial"/>
          <w:spacing w:val="-3"/>
          <w:lang w:val="es-CO"/>
        </w:rPr>
        <w:t xml:space="preserve"> o plantas palustres, </w:t>
      </w:r>
      <w:proofErr w:type="spellStart"/>
      <w:r w:rsidRPr="00BD1319">
        <w:rPr>
          <w:rFonts w:cs="Arial"/>
          <w:spacing w:val="-3"/>
          <w:lang w:val="es-CO"/>
        </w:rPr>
        <w:t>higrófitos</w:t>
      </w:r>
      <w:proofErr w:type="spellEnd"/>
      <w:r w:rsidRPr="00BD1319">
        <w:rPr>
          <w:rFonts w:cs="Arial"/>
          <w:spacing w:val="-3"/>
          <w:lang w:val="es-CO"/>
        </w:rPr>
        <w:t xml:space="preserve">, macrófitos enraizados-flotantes, macrófitos flotantes, macrófitos sumergidos y algas filamentosas. Los ejemplares colectados deben </w:t>
      </w:r>
      <w:r w:rsidR="00B92820" w:rsidRPr="00BD1319">
        <w:rPr>
          <w:rFonts w:cs="Arial"/>
          <w:spacing w:val="-3"/>
          <w:lang w:val="es-CO"/>
        </w:rPr>
        <w:t xml:space="preserve">presentar, </w:t>
      </w:r>
      <w:r w:rsidRPr="00BD1319">
        <w:rPr>
          <w:rFonts w:cs="Arial"/>
          <w:spacing w:val="-3"/>
          <w:lang w:val="es-CO"/>
        </w:rPr>
        <w:t>prefer</w:t>
      </w:r>
      <w:r w:rsidR="00B92820" w:rsidRPr="00BD1319">
        <w:rPr>
          <w:rFonts w:cs="Arial"/>
          <w:spacing w:val="-3"/>
          <w:lang w:val="es-CO"/>
        </w:rPr>
        <w:t xml:space="preserve">iblemente, </w:t>
      </w:r>
      <w:r w:rsidRPr="00BD1319">
        <w:rPr>
          <w:rFonts w:cs="Arial"/>
          <w:spacing w:val="-3"/>
          <w:lang w:val="es-CO"/>
        </w:rPr>
        <w:t xml:space="preserve">la mayor cantidad de estructuras que permitan su </w:t>
      </w:r>
      <w:r w:rsidR="004171A4" w:rsidRPr="00BD1319">
        <w:rPr>
          <w:rFonts w:cs="Arial"/>
          <w:spacing w:val="-3"/>
          <w:lang w:val="es-CO"/>
        </w:rPr>
        <w:t xml:space="preserve">determinación </w:t>
      </w:r>
      <w:r w:rsidRPr="00BD1319">
        <w:rPr>
          <w:rFonts w:cs="Arial"/>
          <w:spacing w:val="-3"/>
          <w:lang w:val="es-CO"/>
        </w:rPr>
        <w:t>en laboratorio (</w:t>
      </w:r>
      <w:r w:rsidR="00041844" w:rsidRPr="00BD1319">
        <w:rPr>
          <w:rFonts w:cs="Arial"/>
          <w:spacing w:val="-3"/>
          <w:lang w:val="es-CO"/>
        </w:rPr>
        <w:t>p. ej.</w:t>
      </w:r>
      <w:r w:rsidR="007E4BA6" w:rsidRPr="00BD1319">
        <w:rPr>
          <w:rFonts w:cs="Arial"/>
          <w:spacing w:val="-3"/>
          <w:lang w:val="es-CO"/>
        </w:rPr>
        <w:t xml:space="preserve"> </w:t>
      </w:r>
      <w:r w:rsidRPr="00BD1319">
        <w:rPr>
          <w:rFonts w:cs="Arial"/>
          <w:spacing w:val="-3"/>
          <w:lang w:val="es-CO"/>
        </w:rPr>
        <w:t>raíces, tallos, frutos, hojas).</w:t>
      </w:r>
    </w:p>
    <w:p w14:paraId="1D097662" w14:textId="77777777" w:rsidR="00482A5F" w:rsidRPr="00BD1319" w:rsidRDefault="00482A5F" w:rsidP="00C86DA5">
      <w:pPr>
        <w:rPr>
          <w:spacing w:val="-3"/>
        </w:rPr>
      </w:pPr>
    </w:p>
    <w:p w14:paraId="0F0F4EDE" w14:textId="77777777" w:rsidR="00482A5F" w:rsidRPr="00BD1319" w:rsidRDefault="00482A5F" w:rsidP="00C86DA5">
      <w:pPr>
        <w:pStyle w:val="Prrafodelista"/>
        <w:numPr>
          <w:ilvl w:val="0"/>
          <w:numId w:val="85"/>
        </w:numPr>
        <w:tabs>
          <w:tab w:val="left" w:pos="-2268"/>
        </w:tabs>
        <w:suppressAutoHyphens/>
        <w:ind w:left="567" w:hanging="567"/>
        <w:rPr>
          <w:rFonts w:cs="Arial"/>
          <w:spacing w:val="-3"/>
          <w:lang w:val="es-CO"/>
        </w:rPr>
      </w:pPr>
      <w:r w:rsidRPr="00BD1319">
        <w:rPr>
          <w:rFonts w:cs="Arial"/>
          <w:spacing w:val="-3"/>
          <w:u w:val="single"/>
          <w:lang w:val="es-CO"/>
        </w:rPr>
        <w:t xml:space="preserve">Macroinvertebrados asociados a </w:t>
      </w:r>
      <w:proofErr w:type="spellStart"/>
      <w:r w:rsidRPr="00BD1319">
        <w:rPr>
          <w:rFonts w:cs="Arial"/>
          <w:spacing w:val="-3"/>
          <w:u w:val="single"/>
          <w:lang w:val="es-CO"/>
        </w:rPr>
        <w:t>macrófitas</w:t>
      </w:r>
      <w:proofErr w:type="spellEnd"/>
      <w:r w:rsidRPr="00BD1319">
        <w:rPr>
          <w:rFonts w:cs="Arial"/>
          <w:spacing w:val="-3"/>
          <w:u w:val="single"/>
          <w:lang w:val="es-CO"/>
        </w:rPr>
        <w:t>:</w:t>
      </w:r>
      <w:r w:rsidRPr="00BD1319">
        <w:rPr>
          <w:rFonts w:cs="Arial"/>
          <w:spacing w:val="-3"/>
          <w:lang w:val="es-CO"/>
        </w:rPr>
        <w:t xml:space="preserve"> los muestreos cualitativos y cuantitativos de la fauna asociada se efectúan mediante redes de área conocida, las cuales se introducen en el agua y se desplazan de arriba hacia abajo colectando las plantas y sus raíces. Las raíces son lavadas en la red, y el material obtenido almacenado.</w:t>
      </w:r>
    </w:p>
    <w:p w14:paraId="59515624" w14:textId="77777777" w:rsidR="00482A5F" w:rsidRPr="00BD1319" w:rsidRDefault="00482A5F" w:rsidP="00C86DA5">
      <w:pPr>
        <w:rPr>
          <w:spacing w:val="-3"/>
        </w:rPr>
      </w:pPr>
    </w:p>
    <w:p w14:paraId="20628576" w14:textId="57CAF6F6" w:rsidR="00482A5F" w:rsidRPr="00BD1319" w:rsidRDefault="00482A5F" w:rsidP="00C86DA5">
      <w:pPr>
        <w:pStyle w:val="Prrafodelista"/>
        <w:numPr>
          <w:ilvl w:val="0"/>
          <w:numId w:val="85"/>
        </w:numPr>
        <w:tabs>
          <w:tab w:val="left" w:pos="-2268"/>
        </w:tabs>
        <w:suppressAutoHyphens/>
        <w:ind w:left="567" w:hanging="567"/>
        <w:rPr>
          <w:spacing w:val="-3"/>
          <w:lang w:val="es-CO"/>
        </w:rPr>
      </w:pPr>
      <w:r w:rsidRPr="00BD1319">
        <w:rPr>
          <w:rFonts w:cs="Arial"/>
          <w:bCs/>
          <w:spacing w:val="-3"/>
          <w:u w:val="single"/>
          <w:lang w:val="es-CO"/>
        </w:rPr>
        <w:t>Necton (peces):</w:t>
      </w:r>
      <w:r w:rsidRPr="00BD1319">
        <w:rPr>
          <w:spacing w:val="-3"/>
          <w:lang w:val="es-CO"/>
        </w:rPr>
        <w:t xml:space="preserve"> los muestreos se deben llevar a cabo en dos (2) periodos diferentes (aguas altas</w:t>
      </w:r>
      <w:r w:rsidRPr="00BD1319">
        <w:rPr>
          <w:rFonts w:cs="Arial"/>
          <w:spacing w:val="-3"/>
          <w:lang w:val="es-CO"/>
        </w:rPr>
        <w:t xml:space="preserve"> y</w:t>
      </w:r>
      <w:r w:rsidRPr="00BD1319">
        <w:rPr>
          <w:spacing w:val="-3"/>
          <w:lang w:val="es-CO"/>
        </w:rPr>
        <w:t xml:space="preserve"> aguas bajas) a diferentes horas del día, para abarcar los cambios diarios en el comportamiento de los peces. Estos muestreos se deben realizar en las estaciones de muestreo previamente seleccionadas, en </w:t>
      </w:r>
      <w:r w:rsidRPr="00BD1319">
        <w:rPr>
          <w:spacing w:val="-3"/>
          <w:lang w:val="es-CO"/>
        </w:rPr>
        <w:lastRenderedPageBreak/>
        <w:t>diferentes ecosistemas (ríos, caños, lagunas, esteros, canales de riego y drenaje, embalses y los diferentes ecosistemas marinos), abarcando los diferentes sub</w:t>
      </w:r>
      <w:r w:rsidR="002A4465" w:rsidRPr="00BD1319">
        <w:rPr>
          <w:spacing w:val="-3"/>
          <w:lang w:val="es-CO"/>
        </w:rPr>
        <w:t xml:space="preserve"> </w:t>
      </w:r>
      <w:r w:rsidRPr="00BD1319">
        <w:rPr>
          <w:spacing w:val="-3"/>
          <w:lang w:val="es-CO"/>
        </w:rPr>
        <w:t xml:space="preserve">hábitats como por ejemplo fondos arenosos, pedregosos y fangosos, huecos en troncos, zona profunda, palizadas, riberas cubiertas por gramíneas y ciperáceas, vegetación flotante, bosque inundado, </w:t>
      </w:r>
      <w:r w:rsidRPr="00BD1319">
        <w:rPr>
          <w:rFonts w:cs="Arial"/>
          <w:spacing w:val="-3"/>
          <w:lang w:val="es-CO"/>
        </w:rPr>
        <w:t xml:space="preserve">fondos sedimentarios, formaciones coralinas, </w:t>
      </w:r>
      <w:r w:rsidRPr="00BD1319">
        <w:rPr>
          <w:spacing w:val="-3"/>
          <w:lang w:val="es-CO"/>
        </w:rPr>
        <w:t>praderas de pastos marinos</w:t>
      </w:r>
      <w:r w:rsidRPr="00BD1319">
        <w:rPr>
          <w:rFonts w:cs="Arial"/>
          <w:spacing w:val="-3"/>
          <w:lang w:val="es-CO"/>
        </w:rPr>
        <w:t xml:space="preserve"> y bosques de manglar.</w:t>
      </w:r>
    </w:p>
    <w:p w14:paraId="7EA6C64C" w14:textId="77777777" w:rsidR="00482A5F" w:rsidRPr="00BD1319" w:rsidRDefault="00482A5F" w:rsidP="00C86DA5">
      <w:pPr>
        <w:tabs>
          <w:tab w:val="left" w:pos="-2268"/>
        </w:tabs>
        <w:suppressAutoHyphens/>
        <w:rPr>
          <w:spacing w:val="-3"/>
        </w:rPr>
      </w:pPr>
    </w:p>
    <w:p w14:paraId="5F1247EB" w14:textId="08ECF511" w:rsidR="00482A5F" w:rsidRPr="00BD1319" w:rsidRDefault="00482A5F" w:rsidP="00C86DA5">
      <w:pPr>
        <w:pStyle w:val="Prrafodelista"/>
        <w:tabs>
          <w:tab w:val="left" w:pos="-2268"/>
        </w:tabs>
        <w:suppressAutoHyphens/>
        <w:ind w:left="567"/>
        <w:rPr>
          <w:spacing w:val="-3"/>
          <w:lang w:val="es-CO"/>
        </w:rPr>
      </w:pPr>
      <w:r w:rsidRPr="00BD1319">
        <w:rPr>
          <w:spacing w:val="-3"/>
          <w:lang w:val="es-CO"/>
        </w:rPr>
        <w:t>Para el estudio de los peces se deben utilizar, principalmente, métodos de captura de individuos. Los métodos de captura varían desde los tradicionales</w:t>
      </w:r>
      <w:r w:rsidRPr="00BD1319">
        <w:rPr>
          <w:rFonts w:cs="Arial"/>
          <w:spacing w:val="-3"/>
          <w:lang w:val="es-CO"/>
        </w:rPr>
        <w:t xml:space="preserve"> (</w:t>
      </w:r>
      <w:r w:rsidR="00041844" w:rsidRPr="00BD1319">
        <w:rPr>
          <w:rFonts w:cs="Arial"/>
          <w:spacing w:val="-3"/>
          <w:lang w:val="es-CO"/>
        </w:rPr>
        <w:t>p. ej.</w:t>
      </w:r>
      <w:r w:rsidR="007E4BA6" w:rsidRPr="00BD1319">
        <w:rPr>
          <w:rFonts w:cs="Arial"/>
          <w:spacing w:val="-3"/>
          <w:lang w:val="es-CO"/>
        </w:rPr>
        <w:t xml:space="preserve"> </w:t>
      </w:r>
      <w:r w:rsidRPr="00BD1319">
        <w:rPr>
          <w:rFonts w:cs="Arial"/>
          <w:spacing w:val="-3"/>
          <w:lang w:val="es-CO"/>
        </w:rPr>
        <w:t>palangre, chinchorro, atarraya, trasmallo, redes, línea de mano),</w:t>
      </w:r>
      <w:r w:rsidRPr="00BD1319">
        <w:rPr>
          <w:spacing w:val="-3"/>
          <w:lang w:val="es-CO"/>
        </w:rPr>
        <w:t xml:space="preserve"> hasta la utilización de </w:t>
      </w:r>
      <w:r w:rsidRPr="00BD1319">
        <w:rPr>
          <w:rFonts w:cs="Arial"/>
          <w:spacing w:val="-3"/>
          <w:lang w:val="es-CO"/>
        </w:rPr>
        <w:t>métodos más elaborados (</w:t>
      </w:r>
      <w:r w:rsidR="00041844" w:rsidRPr="00BD1319">
        <w:rPr>
          <w:rFonts w:cs="Arial"/>
          <w:spacing w:val="-3"/>
          <w:lang w:val="es-CO"/>
        </w:rPr>
        <w:t>p. ej.</w:t>
      </w:r>
      <w:r w:rsidR="007E4BA6" w:rsidRPr="00BD1319">
        <w:rPr>
          <w:rFonts w:cs="Arial"/>
          <w:spacing w:val="-3"/>
          <w:lang w:val="es-CO"/>
        </w:rPr>
        <w:t xml:space="preserve"> </w:t>
      </w:r>
      <w:r w:rsidRPr="00BD1319">
        <w:rPr>
          <w:rFonts w:cs="Arial"/>
          <w:spacing w:val="-3"/>
          <w:lang w:val="es-CO"/>
        </w:rPr>
        <w:t>pesca eléctrica</w:t>
      </w:r>
      <w:r w:rsidR="007E4BA6" w:rsidRPr="00BD1319">
        <w:rPr>
          <w:rFonts w:cs="Arial"/>
          <w:spacing w:val="-3"/>
          <w:lang w:val="es-CO"/>
        </w:rPr>
        <w:t xml:space="preserve"> y</w:t>
      </w:r>
      <w:r w:rsidRPr="00BD1319">
        <w:rPr>
          <w:rFonts w:cs="Arial"/>
          <w:spacing w:val="-3"/>
          <w:lang w:val="es-CO"/>
        </w:rPr>
        <w:t xml:space="preserve"> trenes de nasas)</w:t>
      </w:r>
      <w:r w:rsidR="00B92820" w:rsidRPr="00BD1319">
        <w:rPr>
          <w:rFonts w:cs="Arial"/>
          <w:spacing w:val="-3"/>
          <w:lang w:val="es-CO"/>
        </w:rPr>
        <w:t>,</w:t>
      </w:r>
      <w:r w:rsidRPr="00BD1319">
        <w:rPr>
          <w:spacing w:val="-3"/>
          <w:lang w:val="es-CO"/>
        </w:rPr>
        <w:t xml:space="preserve"> cuya aplicación estandarizada permite r</w:t>
      </w:r>
      <w:r w:rsidR="00B92820" w:rsidRPr="00BD1319">
        <w:rPr>
          <w:spacing w:val="-3"/>
          <w:lang w:val="es-CO"/>
        </w:rPr>
        <w:t xml:space="preserve">eplicarlos </w:t>
      </w:r>
      <w:r w:rsidRPr="00BD1319">
        <w:rPr>
          <w:spacing w:val="-3"/>
          <w:lang w:val="es-CO"/>
        </w:rPr>
        <w:t>y compara</w:t>
      </w:r>
      <w:r w:rsidR="00B92820" w:rsidRPr="00BD1319">
        <w:rPr>
          <w:spacing w:val="-3"/>
          <w:lang w:val="es-CO"/>
        </w:rPr>
        <w:t xml:space="preserve">r </w:t>
      </w:r>
      <w:r w:rsidRPr="00BD1319">
        <w:rPr>
          <w:spacing w:val="-3"/>
          <w:lang w:val="es-CO"/>
        </w:rPr>
        <w:t xml:space="preserve">resultados entre lugares </w:t>
      </w:r>
      <w:r w:rsidR="007E4BA6" w:rsidRPr="00BD1319">
        <w:rPr>
          <w:spacing w:val="-3"/>
          <w:lang w:val="es-CO"/>
        </w:rPr>
        <w:t xml:space="preserve">a fin de </w:t>
      </w:r>
      <w:r w:rsidRPr="00BD1319">
        <w:rPr>
          <w:spacing w:val="-3"/>
          <w:lang w:val="es-CO"/>
        </w:rPr>
        <w:t xml:space="preserve">evaluar composición de especies, </w:t>
      </w:r>
      <w:r w:rsidR="00B8216A" w:rsidRPr="00BD1319">
        <w:rPr>
          <w:spacing w:val="-3"/>
          <w:lang w:val="es-CO"/>
        </w:rPr>
        <w:t xml:space="preserve">abundancias </w:t>
      </w:r>
      <w:r w:rsidRPr="00BD1319">
        <w:rPr>
          <w:spacing w:val="-3"/>
          <w:lang w:val="es-CO"/>
        </w:rPr>
        <w:t>relativas, entre otras</w:t>
      </w:r>
      <w:r w:rsidRPr="00BD1319">
        <w:rPr>
          <w:rFonts w:cs="Arial"/>
          <w:spacing w:val="-3"/>
          <w:lang w:val="es-CO"/>
        </w:rPr>
        <w:t xml:space="preserve"> variables ecológicas</w:t>
      </w:r>
      <w:r w:rsidRPr="00BD1319">
        <w:rPr>
          <w:spacing w:val="-3"/>
          <w:lang w:val="es-CO"/>
        </w:rPr>
        <w:t>.</w:t>
      </w:r>
    </w:p>
    <w:p w14:paraId="5B5DFB61" w14:textId="77777777" w:rsidR="00482A5F" w:rsidRPr="00BD1319" w:rsidRDefault="00482A5F" w:rsidP="00C86DA5">
      <w:pPr>
        <w:rPr>
          <w:spacing w:val="-3"/>
        </w:rPr>
      </w:pPr>
    </w:p>
    <w:p w14:paraId="3F819F7D" w14:textId="3E50AC65" w:rsidR="00482A5F" w:rsidRPr="00BD1319" w:rsidRDefault="00482A5F" w:rsidP="00C86DA5">
      <w:pPr>
        <w:pStyle w:val="Prrafodelista"/>
        <w:numPr>
          <w:ilvl w:val="0"/>
          <w:numId w:val="85"/>
        </w:numPr>
        <w:tabs>
          <w:tab w:val="left" w:pos="-2268"/>
        </w:tabs>
        <w:suppressAutoHyphens/>
        <w:ind w:left="567" w:hanging="567"/>
        <w:rPr>
          <w:rFonts w:cs="Arial"/>
          <w:spacing w:val="-3"/>
          <w:lang w:val="es-CO"/>
        </w:rPr>
      </w:pPr>
      <w:r w:rsidRPr="00BD1319">
        <w:rPr>
          <w:rFonts w:cs="Arial"/>
          <w:spacing w:val="-3"/>
          <w:u w:val="single"/>
          <w:lang w:val="es-CO"/>
        </w:rPr>
        <w:t>Fondos sedimentarios (invertebrados bentónicos):</w:t>
      </w:r>
      <w:r w:rsidRPr="00BD1319">
        <w:rPr>
          <w:rFonts w:cs="Arial"/>
          <w:spacing w:val="-3"/>
          <w:lang w:val="es-CO"/>
        </w:rPr>
        <w:t xml:space="preserve"> la toma de muestras cualitativas y cuantitativas se puede realizar de varias formas dependiendo de la profundidad del cauce, la velocidad de la corriente o marea, la composición del lecho, </w:t>
      </w:r>
      <w:r w:rsidR="007E4BA6" w:rsidRPr="00BD1319">
        <w:rPr>
          <w:rFonts w:cs="Arial"/>
          <w:spacing w:val="-3"/>
          <w:lang w:val="es-CO"/>
        </w:rPr>
        <w:t xml:space="preserve">la </w:t>
      </w:r>
      <w:r w:rsidRPr="00BD1319">
        <w:rPr>
          <w:rFonts w:cs="Arial"/>
          <w:spacing w:val="-3"/>
          <w:lang w:val="es-CO"/>
        </w:rPr>
        <w:t xml:space="preserve">inclinación y extensión de la zona del litoral, entre otras. En ambientes dulceacuícolas poco profundos se emplean habitualmente redes de mano, así como redes tipo </w:t>
      </w:r>
      <w:proofErr w:type="spellStart"/>
      <w:r w:rsidRPr="00BD1319">
        <w:rPr>
          <w:rFonts w:cs="Arial"/>
          <w:spacing w:val="-3"/>
          <w:lang w:val="es-CO"/>
        </w:rPr>
        <w:t>Surber</w:t>
      </w:r>
      <w:proofErr w:type="spellEnd"/>
      <w:r w:rsidRPr="00BD1319">
        <w:rPr>
          <w:rFonts w:cs="Arial"/>
          <w:spacing w:val="-3"/>
          <w:lang w:val="es-CO"/>
        </w:rPr>
        <w:t xml:space="preserve"> o muestreador cilíndrico. En el caso de cauces más profundos con corriente rápida o con lechos fangosos se deben utilizar dragas (</w:t>
      </w:r>
      <w:r w:rsidR="00041844" w:rsidRPr="00BD1319">
        <w:rPr>
          <w:rFonts w:cs="Arial"/>
          <w:spacing w:val="-3"/>
          <w:lang w:val="es-CO"/>
        </w:rPr>
        <w:t>p. ej.</w:t>
      </w:r>
      <w:r w:rsidRPr="00BD1319">
        <w:rPr>
          <w:rFonts w:cs="Arial"/>
          <w:spacing w:val="-3"/>
          <w:lang w:val="es-CO"/>
        </w:rPr>
        <w:t xml:space="preserve"> van </w:t>
      </w:r>
      <w:proofErr w:type="spellStart"/>
      <w:r w:rsidRPr="00BD1319">
        <w:rPr>
          <w:rFonts w:cs="Arial"/>
          <w:spacing w:val="-3"/>
          <w:lang w:val="es-CO"/>
        </w:rPr>
        <w:t>Veen</w:t>
      </w:r>
      <w:proofErr w:type="spellEnd"/>
      <w:r w:rsidRPr="00BD1319">
        <w:rPr>
          <w:rFonts w:cs="Arial"/>
          <w:spacing w:val="-3"/>
          <w:lang w:val="es-CO"/>
        </w:rPr>
        <w:t>, Box-</w:t>
      </w:r>
      <w:proofErr w:type="spellStart"/>
      <w:r w:rsidRPr="00BD1319">
        <w:rPr>
          <w:rFonts w:cs="Arial"/>
          <w:spacing w:val="-3"/>
          <w:lang w:val="es-CO"/>
        </w:rPr>
        <w:t>Corer</w:t>
      </w:r>
      <w:proofErr w:type="spellEnd"/>
      <w:r w:rsidR="007E4BA6" w:rsidRPr="00BD1319">
        <w:rPr>
          <w:rFonts w:cs="Arial"/>
          <w:spacing w:val="-3"/>
          <w:lang w:val="es-CO"/>
        </w:rPr>
        <w:t>,</w:t>
      </w:r>
      <w:r w:rsidRPr="00BD1319">
        <w:rPr>
          <w:rFonts w:cs="Arial"/>
          <w:spacing w:val="-3"/>
          <w:lang w:val="es-CO"/>
        </w:rPr>
        <w:t xml:space="preserve"> </w:t>
      </w:r>
      <w:proofErr w:type="spellStart"/>
      <w:r w:rsidRPr="00BD1319">
        <w:rPr>
          <w:rFonts w:cs="Arial"/>
          <w:spacing w:val="-3"/>
          <w:lang w:val="es-CO"/>
        </w:rPr>
        <w:t>Birge</w:t>
      </w:r>
      <w:proofErr w:type="spellEnd"/>
      <w:r w:rsidRPr="00BD1319">
        <w:rPr>
          <w:rFonts w:cs="Arial"/>
          <w:spacing w:val="-3"/>
          <w:lang w:val="es-CO"/>
        </w:rPr>
        <w:t xml:space="preserve">- </w:t>
      </w:r>
      <w:proofErr w:type="spellStart"/>
      <w:r w:rsidRPr="00BD1319">
        <w:rPr>
          <w:rFonts w:cs="Arial"/>
          <w:spacing w:val="-3"/>
          <w:lang w:val="es-CO"/>
        </w:rPr>
        <w:t>Eckman</w:t>
      </w:r>
      <w:proofErr w:type="spellEnd"/>
      <w:r w:rsidRPr="00BD1319">
        <w:rPr>
          <w:rFonts w:cs="Arial"/>
          <w:spacing w:val="-3"/>
          <w:lang w:val="es-CO"/>
        </w:rPr>
        <w:t>). En ambientes marinos se recomienda el uso de dragas (</w:t>
      </w:r>
      <w:r w:rsidR="00041844" w:rsidRPr="00BD1319">
        <w:rPr>
          <w:rFonts w:cs="Arial"/>
          <w:spacing w:val="-3"/>
          <w:lang w:val="es-CO"/>
        </w:rPr>
        <w:t>p. ej.</w:t>
      </w:r>
      <w:r w:rsidRPr="00BD1319">
        <w:rPr>
          <w:rFonts w:cs="Arial"/>
          <w:spacing w:val="-3"/>
          <w:lang w:val="es-CO"/>
        </w:rPr>
        <w:t xml:space="preserve"> van </w:t>
      </w:r>
      <w:proofErr w:type="spellStart"/>
      <w:r w:rsidRPr="00BD1319">
        <w:rPr>
          <w:rFonts w:cs="Arial"/>
          <w:spacing w:val="-3"/>
          <w:lang w:val="es-CO"/>
        </w:rPr>
        <w:t>Veen</w:t>
      </w:r>
      <w:proofErr w:type="spellEnd"/>
      <w:r w:rsidR="007E4BA6" w:rsidRPr="00BD1319">
        <w:rPr>
          <w:rFonts w:cs="Arial"/>
          <w:spacing w:val="-3"/>
          <w:lang w:val="es-CO"/>
        </w:rPr>
        <w:t>,</w:t>
      </w:r>
      <w:r w:rsidRPr="00BD1319">
        <w:rPr>
          <w:rFonts w:cs="Arial"/>
          <w:spacing w:val="-3"/>
          <w:lang w:val="es-CO"/>
        </w:rPr>
        <w:t xml:space="preserve"> Box-</w:t>
      </w:r>
      <w:proofErr w:type="spellStart"/>
      <w:r w:rsidRPr="00BD1319">
        <w:rPr>
          <w:rFonts w:cs="Arial"/>
          <w:spacing w:val="-3"/>
          <w:lang w:val="es-CO"/>
        </w:rPr>
        <w:t>Corer</w:t>
      </w:r>
      <w:proofErr w:type="spellEnd"/>
      <w:r w:rsidRPr="00BD1319">
        <w:rPr>
          <w:rFonts w:cs="Arial"/>
          <w:spacing w:val="-3"/>
          <w:lang w:val="es-CO"/>
        </w:rPr>
        <w:t>), muestreadores de tubo o de perforación (</w:t>
      </w:r>
      <w:proofErr w:type="spellStart"/>
      <w:r w:rsidRPr="00BD1319">
        <w:rPr>
          <w:rFonts w:cs="Arial"/>
          <w:spacing w:val="-3"/>
          <w:lang w:val="es-CO"/>
        </w:rPr>
        <w:t>piston</w:t>
      </w:r>
      <w:proofErr w:type="spellEnd"/>
      <w:r w:rsidRPr="00BD1319">
        <w:rPr>
          <w:rFonts w:cs="Arial"/>
          <w:spacing w:val="-3"/>
          <w:lang w:val="es-CO"/>
        </w:rPr>
        <w:t xml:space="preserve"> </w:t>
      </w:r>
      <w:proofErr w:type="spellStart"/>
      <w:r w:rsidRPr="00BD1319">
        <w:rPr>
          <w:rFonts w:cs="Arial"/>
          <w:spacing w:val="-3"/>
          <w:lang w:val="es-CO"/>
        </w:rPr>
        <w:t>core</w:t>
      </w:r>
      <w:proofErr w:type="spellEnd"/>
      <w:r w:rsidRPr="00BD1319">
        <w:rPr>
          <w:rFonts w:cs="Arial"/>
          <w:spacing w:val="-3"/>
          <w:lang w:val="es-CO"/>
        </w:rPr>
        <w:t>), changas de arrastre, rastras y cualquier otro mecanismo que permita arrancar rocas del fondo y organismos de las capas superficiales del sustrato, así como organismos de mayor tamaño.</w:t>
      </w:r>
    </w:p>
    <w:p w14:paraId="6AD063C9" w14:textId="77777777" w:rsidR="00482A5F" w:rsidRPr="00BD1319" w:rsidRDefault="00482A5F" w:rsidP="00C86DA5">
      <w:pPr>
        <w:rPr>
          <w:spacing w:val="-3"/>
        </w:rPr>
      </w:pPr>
    </w:p>
    <w:p w14:paraId="57910D01" w14:textId="37F274A3" w:rsidR="00482A5F" w:rsidRPr="00BD1319" w:rsidRDefault="00482A5F" w:rsidP="00977C86">
      <w:pPr>
        <w:pStyle w:val="Prrafodelista"/>
        <w:numPr>
          <w:ilvl w:val="0"/>
          <w:numId w:val="85"/>
        </w:numPr>
        <w:tabs>
          <w:tab w:val="left" w:pos="-2268"/>
        </w:tabs>
        <w:suppressAutoHyphens/>
        <w:ind w:left="567" w:hanging="567"/>
        <w:rPr>
          <w:rFonts w:cs="Arial"/>
          <w:spacing w:val="-3"/>
          <w:lang w:val="es-CO"/>
        </w:rPr>
      </w:pPr>
      <w:r w:rsidRPr="00BD1319">
        <w:rPr>
          <w:rFonts w:cs="Arial"/>
          <w:bCs/>
          <w:spacing w:val="-3"/>
          <w:u w:val="single"/>
          <w:lang w:val="es-CO"/>
        </w:rPr>
        <w:t>Formaciones coralinas:</w:t>
      </w:r>
      <w:r w:rsidRPr="00BD1319">
        <w:rPr>
          <w:rFonts w:cs="Arial"/>
          <w:bCs/>
          <w:spacing w:val="-3"/>
          <w:lang w:val="es-CO"/>
        </w:rPr>
        <w:t xml:space="preserve"> </w:t>
      </w:r>
      <w:r w:rsidR="0077382E" w:rsidRPr="00BD1319">
        <w:rPr>
          <w:rFonts w:cs="Arial"/>
          <w:spacing w:val="-3"/>
          <w:lang w:val="es-CO"/>
        </w:rPr>
        <w:t>l</w:t>
      </w:r>
      <w:r w:rsidRPr="00BD1319">
        <w:rPr>
          <w:rFonts w:cs="Arial"/>
          <w:spacing w:val="-3"/>
          <w:lang w:val="es-CO"/>
        </w:rPr>
        <w:t xml:space="preserve">a caracterización de formaciones coralinas se efectúa inicialmente </w:t>
      </w:r>
      <w:r w:rsidR="006063B0" w:rsidRPr="00BD1319">
        <w:rPr>
          <w:rFonts w:cs="Arial"/>
          <w:spacing w:val="-3"/>
          <w:lang w:val="es-CO"/>
        </w:rPr>
        <w:t xml:space="preserve">determinando </w:t>
      </w:r>
      <w:r w:rsidRPr="00BD1319">
        <w:rPr>
          <w:rFonts w:cs="Arial"/>
          <w:spacing w:val="-3"/>
          <w:lang w:val="es-CO"/>
        </w:rPr>
        <w:t xml:space="preserve">el tamaño de la formación para así realizar el mapeo de </w:t>
      </w:r>
      <w:r w:rsidR="007E4BA6" w:rsidRPr="00BD1319">
        <w:rPr>
          <w:rFonts w:cs="Arial"/>
          <w:spacing w:val="-3"/>
          <w:lang w:val="es-CO"/>
        </w:rPr>
        <w:t>é</w:t>
      </w:r>
      <w:r w:rsidRPr="00BD1319">
        <w:rPr>
          <w:rFonts w:cs="Arial"/>
          <w:spacing w:val="-3"/>
          <w:lang w:val="es-CO"/>
        </w:rPr>
        <w:t xml:space="preserve">sta. Posteriormente, para determinar los atributos de cada formación se debe tener en cuenta por medio de transectos paralelos a la línea de costa y a diferentes profundidades (a criterio del experto), la cobertura de corales (duros y blandos), macroalgas, densidad y biomasa de peces (herbívoros y comerciales) e invertebrados vágiles siguiendo el </w:t>
      </w:r>
      <w:r w:rsidR="00CE285C" w:rsidRPr="00BD1319">
        <w:rPr>
          <w:rFonts w:cs="Arial"/>
          <w:spacing w:val="-3"/>
          <w:lang w:val="es-CO"/>
        </w:rPr>
        <w:t>P</w:t>
      </w:r>
      <w:r w:rsidRPr="00BD1319">
        <w:rPr>
          <w:rFonts w:cs="Arial"/>
          <w:spacing w:val="-3"/>
          <w:lang w:val="es-CO"/>
        </w:rPr>
        <w:t xml:space="preserve">rotocolo </w:t>
      </w:r>
      <w:r w:rsidR="00CE285C" w:rsidRPr="00BD1319">
        <w:rPr>
          <w:rFonts w:cs="Arial"/>
          <w:spacing w:val="-3"/>
          <w:lang w:val="es-CO"/>
        </w:rPr>
        <w:t xml:space="preserve">indicador </w:t>
      </w:r>
      <w:r w:rsidRPr="00BD1319">
        <w:rPr>
          <w:rFonts w:cs="Arial"/>
          <w:spacing w:val="-3"/>
          <w:lang w:val="es-CO"/>
        </w:rPr>
        <w:t xml:space="preserve">de Condición Tendencia </w:t>
      </w:r>
      <w:r w:rsidR="00D53DA6" w:rsidRPr="00BD1319">
        <w:rPr>
          <w:rFonts w:cs="Arial"/>
          <w:spacing w:val="-3"/>
          <w:lang w:val="es-CO"/>
        </w:rPr>
        <w:t xml:space="preserve">Áreas Coralinas </w:t>
      </w:r>
      <w:r w:rsidR="00961255" w:rsidRPr="00BD1319">
        <w:rPr>
          <w:rFonts w:cs="Arial"/>
          <w:szCs w:val="20"/>
          <w:lang w:val="es-CO"/>
        </w:rPr>
        <w:t>(ICT</w:t>
      </w:r>
      <w:r w:rsidR="00961255" w:rsidRPr="00BD1319">
        <w:rPr>
          <w:rFonts w:cs="Arial"/>
          <w:szCs w:val="20"/>
          <w:vertAlign w:val="subscript"/>
          <w:lang w:val="es-CO"/>
        </w:rPr>
        <w:t>AC</w:t>
      </w:r>
      <w:r w:rsidR="00961255" w:rsidRPr="00BD1319">
        <w:rPr>
          <w:rFonts w:cs="Arial"/>
          <w:szCs w:val="20"/>
          <w:lang w:val="es-CO"/>
        </w:rPr>
        <w:t xml:space="preserve">) </w:t>
      </w:r>
      <w:r w:rsidR="00D53DA6" w:rsidRPr="00BD1319">
        <w:rPr>
          <w:rFonts w:cs="Arial"/>
          <w:spacing w:val="-3"/>
          <w:lang w:val="es-CO"/>
        </w:rPr>
        <w:t>de Rodríguez-Rincón et al. (2014)</w:t>
      </w:r>
      <w:r w:rsidRPr="00BD1319">
        <w:rPr>
          <w:rStyle w:val="Refdenotaalpie"/>
          <w:rFonts w:cs="Arial"/>
          <w:spacing w:val="-3"/>
          <w:lang w:val="es-CO"/>
        </w:rPr>
        <w:footnoteReference w:id="145"/>
      </w:r>
      <w:r w:rsidRPr="00BD1319">
        <w:rPr>
          <w:rFonts w:cs="Arial"/>
          <w:spacing w:val="-3"/>
          <w:lang w:val="es-CO"/>
        </w:rPr>
        <w:t>.</w:t>
      </w:r>
    </w:p>
    <w:p w14:paraId="72ACCA48" w14:textId="77777777" w:rsidR="00482A5F" w:rsidRPr="00BD1319" w:rsidRDefault="00482A5F" w:rsidP="00C86DA5">
      <w:pPr>
        <w:rPr>
          <w:rFonts w:cs="Arial"/>
          <w:bCs/>
          <w:spacing w:val="-3"/>
        </w:rPr>
      </w:pPr>
    </w:p>
    <w:p w14:paraId="69D93413" w14:textId="755C1556" w:rsidR="00482A5F" w:rsidRPr="00BD1319" w:rsidRDefault="00482A5F" w:rsidP="00977C86">
      <w:pPr>
        <w:pStyle w:val="Prrafodelista"/>
        <w:numPr>
          <w:ilvl w:val="0"/>
          <w:numId w:val="85"/>
        </w:numPr>
        <w:tabs>
          <w:tab w:val="left" w:pos="-2268"/>
        </w:tabs>
        <w:suppressAutoHyphens/>
        <w:ind w:left="567" w:hanging="567"/>
        <w:rPr>
          <w:rFonts w:cs="Arial"/>
          <w:spacing w:val="-3"/>
          <w:lang w:val="es-CO"/>
        </w:rPr>
      </w:pPr>
      <w:r w:rsidRPr="00BD1319">
        <w:rPr>
          <w:rFonts w:cs="Arial"/>
          <w:bCs/>
          <w:spacing w:val="-3"/>
          <w:u w:val="single"/>
          <w:lang w:val="es-CO"/>
        </w:rPr>
        <w:t>Praderas de pastos marinos:</w:t>
      </w:r>
      <w:r w:rsidRPr="00BD1319">
        <w:rPr>
          <w:rFonts w:cs="Arial"/>
          <w:spacing w:val="-3"/>
          <w:lang w:val="es-CO"/>
        </w:rPr>
        <w:t xml:space="preserve"> </w:t>
      </w:r>
      <w:r w:rsidR="0077382E" w:rsidRPr="00BD1319">
        <w:rPr>
          <w:rFonts w:cs="Arial"/>
          <w:spacing w:val="-3"/>
          <w:lang w:val="es-CO"/>
        </w:rPr>
        <w:t>e</w:t>
      </w:r>
      <w:r w:rsidRPr="00BD1319">
        <w:rPr>
          <w:rFonts w:cs="Arial"/>
          <w:spacing w:val="-3"/>
          <w:lang w:val="es-CO"/>
        </w:rPr>
        <w:t xml:space="preserve">l muestreo de pastos marinos se efectúa inicialmente </w:t>
      </w:r>
      <w:r w:rsidR="0077382E" w:rsidRPr="00BD1319">
        <w:rPr>
          <w:rFonts w:cs="Arial"/>
          <w:spacing w:val="-3"/>
          <w:lang w:val="es-CO"/>
        </w:rPr>
        <w:t xml:space="preserve">efectuando su mapeo </w:t>
      </w:r>
      <w:r w:rsidR="006063B0" w:rsidRPr="00BD1319">
        <w:rPr>
          <w:rFonts w:cs="Arial"/>
          <w:spacing w:val="-3"/>
          <w:lang w:val="es-CO"/>
        </w:rPr>
        <w:t>y determin</w:t>
      </w:r>
      <w:r w:rsidRPr="00BD1319">
        <w:rPr>
          <w:rFonts w:cs="Arial"/>
          <w:spacing w:val="-3"/>
          <w:lang w:val="es-CO"/>
        </w:rPr>
        <w:t>ando el tamaño de la pradera. A criterio del experto y en el caso de praderas grandes (áreas mayores a 100</w:t>
      </w:r>
      <w:r w:rsidR="00AD06AD" w:rsidRPr="00BD1319">
        <w:rPr>
          <w:rFonts w:cs="Arial"/>
          <w:spacing w:val="-3"/>
          <w:lang w:val="es-CO"/>
        </w:rPr>
        <w:t xml:space="preserve"> </w:t>
      </w:r>
      <w:r w:rsidRPr="00BD1319">
        <w:rPr>
          <w:rFonts w:cs="Arial"/>
          <w:spacing w:val="-3"/>
          <w:lang w:val="es-CO"/>
        </w:rPr>
        <w:t>m</w:t>
      </w:r>
      <w:r w:rsidRPr="00BD1319">
        <w:rPr>
          <w:rFonts w:cs="Arial"/>
          <w:spacing w:val="-3"/>
          <w:vertAlign w:val="superscript"/>
          <w:lang w:val="es-CO"/>
        </w:rPr>
        <w:t>2</w:t>
      </w:r>
      <w:r w:rsidRPr="00BD1319">
        <w:rPr>
          <w:rFonts w:cs="Arial"/>
          <w:spacing w:val="-3"/>
          <w:lang w:val="es-CO"/>
        </w:rPr>
        <w:t xml:space="preserve">) </w:t>
      </w:r>
      <w:r w:rsidRPr="00BD1319">
        <w:rPr>
          <w:rFonts w:cs="Arial"/>
          <w:spacing w:val="-3"/>
          <w:lang w:val="es-CO"/>
        </w:rPr>
        <w:lastRenderedPageBreak/>
        <w:t xml:space="preserve">se </w:t>
      </w:r>
      <w:r w:rsidR="00AD06AD" w:rsidRPr="00BD1319">
        <w:rPr>
          <w:rFonts w:cs="Arial"/>
          <w:spacing w:val="-3"/>
          <w:lang w:val="es-CO"/>
        </w:rPr>
        <w:t xml:space="preserve">deben </w:t>
      </w:r>
      <w:r w:rsidRPr="00BD1319">
        <w:rPr>
          <w:rFonts w:cs="Arial"/>
          <w:spacing w:val="-3"/>
          <w:lang w:val="es-CO"/>
        </w:rPr>
        <w:t>emplear transectos de 10</w:t>
      </w:r>
      <w:r w:rsidR="00AD06AD" w:rsidRPr="00BD1319">
        <w:rPr>
          <w:rFonts w:cs="Arial"/>
          <w:spacing w:val="-3"/>
          <w:lang w:val="es-CO"/>
        </w:rPr>
        <w:t xml:space="preserve"> </w:t>
      </w:r>
      <w:r w:rsidRPr="00BD1319">
        <w:rPr>
          <w:rFonts w:cs="Arial"/>
          <w:spacing w:val="-3"/>
          <w:lang w:val="es-CO"/>
        </w:rPr>
        <w:t>m, y sobre ellos cuadrantes de 50</w:t>
      </w:r>
      <w:r w:rsidR="00AD06AD" w:rsidRPr="00BD1319">
        <w:rPr>
          <w:rFonts w:cs="Arial"/>
          <w:spacing w:val="-3"/>
          <w:lang w:val="es-CO"/>
        </w:rPr>
        <w:t xml:space="preserve"> </w:t>
      </w:r>
      <w:r w:rsidRPr="00BD1319">
        <w:rPr>
          <w:rFonts w:cs="Arial"/>
          <w:spacing w:val="-3"/>
          <w:lang w:val="es-CO"/>
        </w:rPr>
        <w:t>x</w:t>
      </w:r>
      <w:r w:rsidR="00AD06AD" w:rsidRPr="00BD1319">
        <w:rPr>
          <w:rFonts w:cs="Arial"/>
          <w:spacing w:val="-3"/>
          <w:lang w:val="es-CO"/>
        </w:rPr>
        <w:t xml:space="preserve"> </w:t>
      </w:r>
      <w:r w:rsidRPr="00BD1319">
        <w:rPr>
          <w:rFonts w:cs="Arial"/>
          <w:spacing w:val="-3"/>
          <w:lang w:val="es-CO"/>
        </w:rPr>
        <w:t>50</w:t>
      </w:r>
      <w:r w:rsidR="00AD06AD" w:rsidRPr="00BD1319">
        <w:rPr>
          <w:rFonts w:cs="Arial"/>
          <w:spacing w:val="-3"/>
          <w:lang w:val="es-CO"/>
        </w:rPr>
        <w:t xml:space="preserve"> </w:t>
      </w:r>
      <w:r w:rsidRPr="00BD1319">
        <w:rPr>
          <w:rFonts w:cs="Arial"/>
          <w:spacing w:val="-3"/>
          <w:lang w:val="es-CO"/>
        </w:rPr>
        <w:t>cm. En el caso de las praderas pequeñas (áreas menores a 100</w:t>
      </w:r>
      <w:r w:rsidR="00AD06AD" w:rsidRPr="00BD1319">
        <w:rPr>
          <w:rFonts w:cs="Arial"/>
          <w:spacing w:val="-3"/>
          <w:lang w:val="es-CO"/>
        </w:rPr>
        <w:t xml:space="preserve"> </w:t>
      </w:r>
      <w:r w:rsidRPr="00BD1319">
        <w:rPr>
          <w:rFonts w:cs="Arial"/>
          <w:spacing w:val="-3"/>
          <w:lang w:val="es-CO"/>
        </w:rPr>
        <w:t>m</w:t>
      </w:r>
      <w:r w:rsidRPr="00BD1319">
        <w:rPr>
          <w:rFonts w:cs="Arial"/>
          <w:spacing w:val="-3"/>
          <w:vertAlign w:val="superscript"/>
          <w:lang w:val="es-CO"/>
        </w:rPr>
        <w:t>2</w:t>
      </w:r>
      <w:r w:rsidRPr="00BD1319">
        <w:rPr>
          <w:rFonts w:cs="Arial"/>
          <w:spacing w:val="-3"/>
          <w:lang w:val="es-CO"/>
        </w:rPr>
        <w:t>) de tipo parche en donde el transecto de 10</w:t>
      </w:r>
      <w:r w:rsidR="00AD06AD" w:rsidRPr="00BD1319">
        <w:rPr>
          <w:rFonts w:cs="Arial"/>
          <w:spacing w:val="-3"/>
          <w:lang w:val="es-CO"/>
        </w:rPr>
        <w:t xml:space="preserve"> </w:t>
      </w:r>
      <w:r w:rsidRPr="00BD1319">
        <w:rPr>
          <w:rFonts w:cs="Arial"/>
          <w:spacing w:val="-3"/>
          <w:lang w:val="es-CO"/>
        </w:rPr>
        <w:t>m se sal</w:t>
      </w:r>
      <w:r w:rsidR="00AD06AD" w:rsidRPr="00BD1319">
        <w:rPr>
          <w:rFonts w:cs="Arial"/>
          <w:spacing w:val="-3"/>
          <w:lang w:val="es-CO"/>
        </w:rPr>
        <w:t>e</w:t>
      </w:r>
      <w:r w:rsidRPr="00BD1319">
        <w:rPr>
          <w:rFonts w:cs="Arial"/>
          <w:spacing w:val="-3"/>
          <w:lang w:val="es-CO"/>
        </w:rPr>
        <w:t xml:space="preserve"> de </w:t>
      </w:r>
      <w:r w:rsidR="00AD06AD" w:rsidRPr="00BD1319">
        <w:rPr>
          <w:rFonts w:cs="Arial"/>
          <w:spacing w:val="-3"/>
          <w:lang w:val="es-CO"/>
        </w:rPr>
        <w:t>la pradera</w:t>
      </w:r>
      <w:r w:rsidRPr="00BD1319">
        <w:rPr>
          <w:rFonts w:cs="Arial"/>
          <w:spacing w:val="-3"/>
          <w:lang w:val="es-CO"/>
        </w:rPr>
        <w:t xml:space="preserve">, </w:t>
      </w:r>
      <w:r w:rsidR="00AD06AD" w:rsidRPr="00BD1319">
        <w:rPr>
          <w:rFonts w:cs="Arial"/>
          <w:spacing w:val="-3"/>
          <w:lang w:val="es-CO"/>
        </w:rPr>
        <w:t xml:space="preserve">se deben </w:t>
      </w:r>
      <w:r w:rsidRPr="00BD1319">
        <w:rPr>
          <w:rFonts w:cs="Arial"/>
          <w:spacing w:val="-3"/>
          <w:lang w:val="es-CO"/>
        </w:rPr>
        <w:t>lanzar cuadrantes de 50</w:t>
      </w:r>
      <w:r w:rsidR="00AD06AD" w:rsidRPr="00BD1319">
        <w:rPr>
          <w:rFonts w:cs="Arial"/>
          <w:spacing w:val="-3"/>
          <w:lang w:val="es-CO"/>
        </w:rPr>
        <w:t xml:space="preserve"> </w:t>
      </w:r>
      <w:r w:rsidRPr="00BD1319">
        <w:rPr>
          <w:rFonts w:cs="Arial"/>
          <w:spacing w:val="-3"/>
          <w:lang w:val="es-CO"/>
        </w:rPr>
        <w:t>x</w:t>
      </w:r>
      <w:r w:rsidR="00AD06AD" w:rsidRPr="00BD1319">
        <w:rPr>
          <w:rFonts w:cs="Arial"/>
          <w:spacing w:val="-3"/>
          <w:lang w:val="es-CO"/>
        </w:rPr>
        <w:t xml:space="preserve"> </w:t>
      </w:r>
      <w:r w:rsidRPr="00BD1319">
        <w:rPr>
          <w:rFonts w:cs="Arial"/>
          <w:spacing w:val="-3"/>
          <w:lang w:val="es-CO"/>
        </w:rPr>
        <w:t>50</w:t>
      </w:r>
      <w:r w:rsidR="00AD06AD" w:rsidRPr="00BD1319">
        <w:rPr>
          <w:rFonts w:cs="Arial"/>
          <w:spacing w:val="-3"/>
          <w:lang w:val="es-CO"/>
        </w:rPr>
        <w:t xml:space="preserve"> </w:t>
      </w:r>
      <w:r w:rsidRPr="00BD1319">
        <w:rPr>
          <w:rFonts w:cs="Arial"/>
          <w:spacing w:val="-3"/>
          <w:lang w:val="es-CO"/>
        </w:rPr>
        <w:t xml:space="preserve">cm aleatoriamente en el interior del parche. En cualquiera de los casos y al interior de cada cuadrante se </w:t>
      </w:r>
      <w:r w:rsidR="007E4BA6" w:rsidRPr="00BD1319">
        <w:rPr>
          <w:rFonts w:cs="Arial"/>
          <w:spacing w:val="-3"/>
          <w:lang w:val="es-CO"/>
        </w:rPr>
        <w:t xml:space="preserve">debe </w:t>
      </w:r>
      <w:r w:rsidRPr="00BD1319">
        <w:rPr>
          <w:rFonts w:cs="Arial"/>
          <w:spacing w:val="-3"/>
          <w:lang w:val="es-CO"/>
        </w:rPr>
        <w:t xml:space="preserve">tomar información de las especies de pastos, porcentajes de cobertura, densidades y altura de las hojas. Adicionalmente, se </w:t>
      </w:r>
      <w:r w:rsidR="007E4BA6" w:rsidRPr="00BD1319">
        <w:rPr>
          <w:rFonts w:cs="Arial"/>
          <w:spacing w:val="-3"/>
          <w:lang w:val="es-CO"/>
        </w:rPr>
        <w:t xml:space="preserve">debe </w:t>
      </w:r>
      <w:r w:rsidRPr="00BD1319">
        <w:rPr>
          <w:rFonts w:cs="Arial"/>
          <w:spacing w:val="-3"/>
          <w:lang w:val="es-CO"/>
        </w:rPr>
        <w:t xml:space="preserve">cuantificar la presencia de corales (duros y blandos), </w:t>
      </w:r>
      <w:r w:rsidR="007E4BA6" w:rsidRPr="00BD1319">
        <w:rPr>
          <w:rFonts w:cs="Arial"/>
          <w:spacing w:val="-3"/>
          <w:lang w:val="es-CO"/>
        </w:rPr>
        <w:t xml:space="preserve">la </w:t>
      </w:r>
      <w:r w:rsidRPr="00BD1319">
        <w:rPr>
          <w:rFonts w:cs="Arial"/>
          <w:spacing w:val="-3"/>
          <w:lang w:val="es-CO"/>
        </w:rPr>
        <w:t>densidad de peces herbívoros y de importancia económica</w:t>
      </w:r>
      <w:r w:rsidR="007E4BA6" w:rsidRPr="00BD1319">
        <w:rPr>
          <w:rFonts w:cs="Arial"/>
          <w:spacing w:val="-3"/>
          <w:lang w:val="es-CO"/>
        </w:rPr>
        <w:t xml:space="preserve">; asimismo se debe elaborar </w:t>
      </w:r>
      <w:r w:rsidRPr="00BD1319">
        <w:rPr>
          <w:rFonts w:cs="Arial"/>
          <w:spacing w:val="-3"/>
          <w:lang w:val="es-CO"/>
        </w:rPr>
        <w:t xml:space="preserve">un listado de la fauna asociada (invertebrados vágiles) a la pradera siguiendo el </w:t>
      </w:r>
      <w:r w:rsidR="00D53DA6" w:rsidRPr="00BD1319">
        <w:rPr>
          <w:rFonts w:cs="Arial"/>
          <w:spacing w:val="-3"/>
          <w:lang w:val="es-CO"/>
        </w:rPr>
        <w:t>P</w:t>
      </w:r>
      <w:r w:rsidRPr="00BD1319">
        <w:rPr>
          <w:rFonts w:cs="Arial"/>
          <w:spacing w:val="-3"/>
          <w:lang w:val="es-CO"/>
        </w:rPr>
        <w:t xml:space="preserve">rotocolo </w:t>
      </w:r>
      <w:r w:rsidR="004F4839" w:rsidRPr="00BD1319">
        <w:rPr>
          <w:rFonts w:cs="Arial"/>
          <w:spacing w:val="-3"/>
          <w:lang w:val="es-CO"/>
        </w:rPr>
        <w:t xml:space="preserve">Indicador </w:t>
      </w:r>
      <w:r w:rsidRPr="00BD1319">
        <w:rPr>
          <w:rFonts w:cs="Arial"/>
          <w:spacing w:val="-3"/>
          <w:lang w:val="es-CO"/>
        </w:rPr>
        <w:t xml:space="preserve">Condición Tendencia </w:t>
      </w:r>
      <w:r w:rsidR="004F4839" w:rsidRPr="00BD1319">
        <w:rPr>
          <w:rFonts w:cs="Arial"/>
          <w:szCs w:val="20"/>
          <w:lang w:val="es-CO"/>
        </w:rPr>
        <w:t>Praderas de Pastos Marinos (ICT</w:t>
      </w:r>
      <w:r w:rsidR="004F4839" w:rsidRPr="00BD1319">
        <w:rPr>
          <w:rFonts w:cs="Arial"/>
          <w:szCs w:val="20"/>
          <w:vertAlign w:val="subscript"/>
          <w:lang w:val="es-CO"/>
        </w:rPr>
        <w:t>PM</w:t>
      </w:r>
      <w:r w:rsidR="004F4839" w:rsidRPr="00BD1319">
        <w:rPr>
          <w:rFonts w:cs="Arial"/>
          <w:szCs w:val="20"/>
          <w:lang w:val="es-CO"/>
        </w:rPr>
        <w:t>) de Gómez-López et al. (2014)</w:t>
      </w:r>
      <w:r w:rsidRPr="00BD1319">
        <w:rPr>
          <w:rFonts w:cs="Arial"/>
          <w:spacing w:val="-3"/>
          <w:lang w:val="es-CO"/>
        </w:rPr>
        <w:t>.</w:t>
      </w:r>
    </w:p>
    <w:p w14:paraId="4CAFA9EC" w14:textId="77777777" w:rsidR="00482A5F" w:rsidRPr="00BD1319" w:rsidRDefault="00482A5F" w:rsidP="00C86DA5">
      <w:pPr>
        <w:rPr>
          <w:rFonts w:cs="Arial"/>
          <w:bCs/>
          <w:spacing w:val="-3"/>
        </w:rPr>
      </w:pPr>
    </w:p>
    <w:p w14:paraId="0A16A797" w14:textId="674D1D89" w:rsidR="00482A5F" w:rsidRPr="00BD1319" w:rsidRDefault="00482A5F" w:rsidP="00977C86">
      <w:pPr>
        <w:pStyle w:val="Prrafodelista"/>
        <w:numPr>
          <w:ilvl w:val="0"/>
          <w:numId w:val="85"/>
        </w:numPr>
        <w:tabs>
          <w:tab w:val="left" w:pos="-2268"/>
        </w:tabs>
        <w:suppressAutoHyphens/>
        <w:ind w:left="567" w:hanging="567"/>
        <w:rPr>
          <w:rFonts w:cs="Arial"/>
          <w:spacing w:val="-3"/>
          <w:lang w:val="es-CO"/>
        </w:rPr>
      </w:pPr>
      <w:r w:rsidRPr="00BD1319">
        <w:rPr>
          <w:rFonts w:cs="Arial"/>
          <w:bCs/>
          <w:spacing w:val="-3"/>
          <w:u w:val="single"/>
          <w:lang w:val="es-CO"/>
        </w:rPr>
        <w:t>Bosques de manglar:</w:t>
      </w:r>
      <w:r w:rsidRPr="00BD1319">
        <w:rPr>
          <w:rFonts w:cs="Arial"/>
          <w:spacing w:val="-3"/>
          <w:lang w:val="es-CO"/>
        </w:rPr>
        <w:t xml:space="preserve"> </w:t>
      </w:r>
      <w:r w:rsidR="0077382E" w:rsidRPr="00BD1319">
        <w:rPr>
          <w:rFonts w:cs="Arial"/>
          <w:spacing w:val="-3"/>
          <w:lang w:val="es-CO"/>
        </w:rPr>
        <w:t>e</w:t>
      </w:r>
      <w:r w:rsidRPr="00BD1319">
        <w:rPr>
          <w:rFonts w:cs="Arial"/>
          <w:spacing w:val="-3"/>
          <w:lang w:val="es-CO"/>
        </w:rPr>
        <w:t xml:space="preserve">l muestreo de manglar se </w:t>
      </w:r>
      <w:r w:rsidR="00971317" w:rsidRPr="00BD1319">
        <w:rPr>
          <w:rFonts w:cs="Arial"/>
          <w:spacing w:val="-3"/>
          <w:lang w:val="es-CO"/>
        </w:rPr>
        <w:t xml:space="preserve">debe </w:t>
      </w:r>
      <w:r w:rsidRPr="00BD1319">
        <w:rPr>
          <w:rFonts w:cs="Arial"/>
          <w:spacing w:val="-3"/>
          <w:lang w:val="es-CO"/>
        </w:rPr>
        <w:t xml:space="preserve">efectuar </w:t>
      </w:r>
      <w:r w:rsidR="006063B0" w:rsidRPr="00BD1319">
        <w:rPr>
          <w:rFonts w:cs="Arial"/>
          <w:spacing w:val="-3"/>
          <w:lang w:val="es-CO"/>
        </w:rPr>
        <w:t xml:space="preserve">determinando </w:t>
      </w:r>
      <w:r w:rsidRPr="00BD1319">
        <w:rPr>
          <w:rFonts w:cs="Arial"/>
          <w:spacing w:val="-3"/>
          <w:lang w:val="es-CO"/>
        </w:rPr>
        <w:t xml:space="preserve">cada árbol hasta el nivel de especie. La caracterización de los bosques de manglar se </w:t>
      </w:r>
      <w:r w:rsidR="00103345" w:rsidRPr="00BD1319">
        <w:rPr>
          <w:rFonts w:cs="Arial"/>
          <w:spacing w:val="-3"/>
          <w:lang w:val="es-CO"/>
        </w:rPr>
        <w:t>debe</w:t>
      </w:r>
      <w:r w:rsidRPr="00BD1319">
        <w:rPr>
          <w:rFonts w:cs="Arial"/>
          <w:spacing w:val="-3"/>
          <w:lang w:val="es-CO"/>
        </w:rPr>
        <w:t xml:space="preserve"> realizar por medio de transectos rectangulares o circulares en donde se registre el diámetro a la altura de pecho (DAP), la densidad por especie, área basal, altura total </w:t>
      </w:r>
      <w:r w:rsidR="00464AA8" w:rsidRPr="00BD1319">
        <w:rPr>
          <w:rFonts w:cs="Arial"/>
          <w:spacing w:val="-3"/>
          <w:lang w:val="es-CO"/>
        </w:rPr>
        <w:t xml:space="preserve">y comercial </w:t>
      </w:r>
      <w:r w:rsidRPr="00BD1319">
        <w:rPr>
          <w:rFonts w:cs="Arial"/>
          <w:spacing w:val="-3"/>
          <w:lang w:val="es-CO"/>
        </w:rPr>
        <w:t xml:space="preserve">promedio del bosque, reclutamiento, fauna asociada a las raíces de mangle (punto intercepto) y otra información complementaria siguiendo el </w:t>
      </w:r>
      <w:r w:rsidR="004F4839" w:rsidRPr="00BD1319">
        <w:rPr>
          <w:rFonts w:cs="Arial"/>
          <w:spacing w:val="-3"/>
          <w:lang w:val="es-CO"/>
        </w:rPr>
        <w:t>P</w:t>
      </w:r>
      <w:r w:rsidRPr="00BD1319">
        <w:rPr>
          <w:rFonts w:cs="Arial"/>
          <w:spacing w:val="-3"/>
          <w:lang w:val="es-CO"/>
        </w:rPr>
        <w:t xml:space="preserve">rotocolo </w:t>
      </w:r>
      <w:r w:rsidR="004F4839" w:rsidRPr="00BD1319">
        <w:rPr>
          <w:rFonts w:cs="Arial"/>
          <w:spacing w:val="-3"/>
          <w:lang w:val="es-CO"/>
        </w:rPr>
        <w:t xml:space="preserve">Indicador </w:t>
      </w:r>
      <w:r w:rsidRPr="00BD1319">
        <w:rPr>
          <w:rFonts w:cs="Arial"/>
          <w:spacing w:val="-3"/>
          <w:lang w:val="es-CO"/>
        </w:rPr>
        <w:t xml:space="preserve">Condición Tendencia </w:t>
      </w:r>
      <w:r w:rsidR="004F4839" w:rsidRPr="00BD1319">
        <w:rPr>
          <w:rFonts w:cs="Arial"/>
          <w:spacing w:val="-3"/>
          <w:lang w:val="es-CO"/>
        </w:rPr>
        <w:t>Bosques de Manglar</w:t>
      </w:r>
      <w:r w:rsidR="00961255" w:rsidRPr="00BD1319">
        <w:rPr>
          <w:rFonts w:cs="Arial"/>
          <w:spacing w:val="-3"/>
          <w:lang w:val="es-CO"/>
        </w:rPr>
        <w:t xml:space="preserve"> </w:t>
      </w:r>
      <w:r w:rsidR="00961255" w:rsidRPr="00BD1319">
        <w:rPr>
          <w:rFonts w:cs="Arial"/>
          <w:szCs w:val="20"/>
          <w:lang w:val="es-CO"/>
        </w:rPr>
        <w:t>(ICT</w:t>
      </w:r>
      <w:r w:rsidR="00961255" w:rsidRPr="00BD1319">
        <w:rPr>
          <w:rFonts w:cs="Arial"/>
          <w:szCs w:val="20"/>
          <w:vertAlign w:val="subscript"/>
          <w:lang w:val="es-CO"/>
        </w:rPr>
        <w:t>BM</w:t>
      </w:r>
      <w:r w:rsidR="00961255" w:rsidRPr="00BD1319">
        <w:rPr>
          <w:rFonts w:cs="Arial"/>
          <w:szCs w:val="20"/>
          <w:lang w:val="es-CO"/>
        </w:rPr>
        <w:t>)</w:t>
      </w:r>
      <w:r w:rsidR="004F4839" w:rsidRPr="00BD1319">
        <w:rPr>
          <w:rFonts w:cs="Arial"/>
          <w:spacing w:val="-3"/>
          <w:lang w:val="es-CO"/>
        </w:rPr>
        <w:t xml:space="preserve"> de </w:t>
      </w:r>
      <w:r w:rsidR="004F4839" w:rsidRPr="00BD1319">
        <w:rPr>
          <w:rFonts w:cs="Arial"/>
          <w:szCs w:val="20"/>
          <w:lang w:val="es-CO"/>
        </w:rPr>
        <w:t xml:space="preserve">Navarrete-Ramírez </w:t>
      </w:r>
      <w:r w:rsidR="00961255" w:rsidRPr="00BD1319">
        <w:rPr>
          <w:rFonts w:cs="Arial"/>
          <w:szCs w:val="20"/>
          <w:lang w:val="es-CO"/>
        </w:rPr>
        <w:t>y Rodríguez Rincón</w:t>
      </w:r>
      <w:r w:rsidR="004F4839" w:rsidRPr="00BD1319">
        <w:rPr>
          <w:rFonts w:cs="Arial"/>
          <w:szCs w:val="20"/>
          <w:lang w:val="es-CO"/>
        </w:rPr>
        <w:t xml:space="preserve"> (2014)</w:t>
      </w:r>
      <w:r w:rsidRPr="00BD1319">
        <w:rPr>
          <w:rFonts w:cs="Arial"/>
          <w:spacing w:val="-3"/>
          <w:lang w:val="es-CO"/>
        </w:rPr>
        <w:t>.</w:t>
      </w:r>
    </w:p>
    <w:p w14:paraId="22281211" w14:textId="77777777" w:rsidR="00482A5F" w:rsidRPr="00BD1319" w:rsidRDefault="00482A5F" w:rsidP="00482A5F">
      <w:pPr>
        <w:rPr>
          <w:rFonts w:cs="Arial"/>
          <w:bCs/>
          <w:spacing w:val="-3"/>
        </w:rPr>
      </w:pPr>
    </w:p>
    <w:p w14:paraId="7649D137" w14:textId="1AC41023" w:rsidR="00482A5F" w:rsidRPr="00BD1319" w:rsidRDefault="00482A5F" w:rsidP="00977C86">
      <w:pPr>
        <w:pStyle w:val="Prrafodelista"/>
        <w:numPr>
          <w:ilvl w:val="0"/>
          <w:numId w:val="85"/>
        </w:numPr>
        <w:tabs>
          <w:tab w:val="left" w:pos="-2268"/>
        </w:tabs>
        <w:suppressAutoHyphens/>
        <w:ind w:left="567" w:hanging="567"/>
        <w:rPr>
          <w:rFonts w:cs="Arial"/>
          <w:spacing w:val="-3"/>
          <w:lang w:val="es-CO"/>
        </w:rPr>
      </w:pPr>
      <w:r w:rsidRPr="00BD1319">
        <w:rPr>
          <w:rFonts w:cs="Arial"/>
          <w:bCs/>
          <w:spacing w:val="-3"/>
          <w:u w:val="single"/>
          <w:lang w:val="es-CO"/>
        </w:rPr>
        <w:t>Litoral arenoso (playas)</w:t>
      </w:r>
      <w:r w:rsidR="00AD1C51" w:rsidRPr="00BD1319">
        <w:rPr>
          <w:rFonts w:cs="Arial"/>
          <w:spacing w:val="-3"/>
          <w:u w:val="single"/>
          <w:lang w:val="es-CO"/>
        </w:rPr>
        <w:t>:</w:t>
      </w:r>
      <w:r w:rsidRPr="00BD1319">
        <w:rPr>
          <w:rFonts w:cs="Arial"/>
          <w:spacing w:val="-3"/>
          <w:lang w:val="es-CO"/>
        </w:rPr>
        <w:t xml:space="preserve"> </w:t>
      </w:r>
      <w:r w:rsidR="00AD1C51" w:rsidRPr="00BD1319">
        <w:rPr>
          <w:rFonts w:cs="Arial"/>
          <w:spacing w:val="-3"/>
          <w:lang w:val="es-CO"/>
        </w:rPr>
        <w:t>l</w:t>
      </w:r>
      <w:r w:rsidRPr="00BD1319">
        <w:rPr>
          <w:rFonts w:cs="Arial"/>
          <w:spacing w:val="-3"/>
          <w:lang w:val="es-CO"/>
        </w:rPr>
        <w:t xml:space="preserve">a caracterización de playas se debe realizar inicialmente con la elaboración de perfiles de playa con base en el </w:t>
      </w:r>
      <w:r w:rsidR="00AD1C51" w:rsidRPr="00BD1319">
        <w:rPr>
          <w:rFonts w:cs="Arial"/>
          <w:spacing w:val="-3"/>
          <w:lang w:val="es-CO"/>
        </w:rPr>
        <w:t>“</w:t>
      </w:r>
      <w:r w:rsidR="00961255" w:rsidRPr="00BD1319">
        <w:rPr>
          <w:rFonts w:cs="Arial"/>
          <w:spacing w:val="-3"/>
          <w:lang w:val="es-CO"/>
        </w:rPr>
        <w:t>P</w:t>
      </w:r>
      <w:r w:rsidRPr="00BD1319">
        <w:rPr>
          <w:rFonts w:cs="Arial"/>
          <w:spacing w:val="-3"/>
          <w:lang w:val="es-CO"/>
        </w:rPr>
        <w:t xml:space="preserve">rotocolo Indicador Variación línea de costa: </w:t>
      </w:r>
      <w:r w:rsidR="00961255" w:rsidRPr="00BD1319">
        <w:rPr>
          <w:rFonts w:cs="Arial"/>
          <w:spacing w:val="-3"/>
          <w:lang w:val="es-CO"/>
        </w:rPr>
        <w:t>p</w:t>
      </w:r>
      <w:r w:rsidRPr="00BD1319">
        <w:rPr>
          <w:rFonts w:cs="Arial"/>
          <w:spacing w:val="-3"/>
          <w:lang w:val="es-CO"/>
        </w:rPr>
        <w:t>erfiles de playa</w:t>
      </w:r>
      <w:r w:rsidR="00AD1C51" w:rsidRPr="00BD1319">
        <w:rPr>
          <w:rFonts w:cs="Arial"/>
          <w:spacing w:val="-3"/>
          <w:lang w:val="es-CO"/>
        </w:rPr>
        <w:t>”</w:t>
      </w:r>
      <w:r w:rsidRPr="00BD1319">
        <w:rPr>
          <w:rFonts w:cs="Arial"/>
          <w:spacing w:val="-3"/>
          <w:lang w:val="es-CO"/>
        </w:rPr>
        <w:t xml:space="preserve"> </w:t>
      </w:r>
      <w:r w:rsidR="00961255" w:rsidRPr="00BD1319">
        <w:rPr>
          <w:rFonts w:cs="Arial"/>
          <w:spacing w:val="-3"/>
          <w:lang w:val="es-CO"/>
        </w:rPr>
        <w:t>de Navarrete-Ramírez</w:t>
      </w:r>
      <w:r w:rsidR="00961255" w:rsidRPr="00BD1319" w:rsidDel="00D53DA6">
        <w:rPr>
          <w:rFonts w:cs="Arial"/>
          <w:spacing w:val="-3"/>
          <w:lang w:val="es-CO"/>
        </w:rPr>
        <w:t xml:space="preserve"> </w:t>
      </w:r>
      <w:r w:rsidR="00961255" w:rsidRPr="00BD1319">
        <w:rPr>
          <w:rFonts w:cs="Arial"/>
          <w:spacing w:val="-3"/>
          <w:lang w:val="es-CO"/>
        </w:rPr>
        <w:t>(2014)</w:t>
      </w:r>
      <w:r w:rsidRPr="00BD1319">
        <w:rPr>
          <w:rFonts w:cs="Arial"/>
          <w:spacing w:val="-3"/>
          <w:lang w:val="es-CO"/>
        </w:rPr>
        <w:t xml:space="preserve">, incluida la caracterización de sedimentos y granulometría. Igualmente, se debe elaborar la caracterización biológica de sus comunidades por medio de transectos (paralelos a línea de costa, de tamaño determinado por la extensión de la playa y a criterio del experto) y </w:t>
      </w:r>
      <w:r w:rsidR="000557B0" w:rsidRPr="00BD1319">
        <w:rPr>
          <w:rFonts w:cs="Arial"/>
          <w:spacing w:val="-3"/>
          <w:lang w:val="es-CO"/>
        </w:rPr>
        <w:t xml:space="preserve">de la </w:t>
      </w:r>
      <w:r w:rsidRPr="00BD1319">
        <w:rPr>
          <w:rFonts w:cs="Arial"/>
          <w:spacing w:val="-3"/>
          <w:lang w:val="es-CO"/>
        </w:rPr>
        <w:t xml:space="preserve">extracción de muestras de arena con </w:t>
      </w:r>
      <w:proofErr w:type="spellStart"/>
      <w:r w:rsidRPr="00BD1319">
        <w:rPr>
          <w:rFonts w:cs="Arial"/>
          <w:spacing w:val="-3"/>
          <w:lang w:val="es-CO"/>
        </w:rPr>
        <w:t>nucleadores</w:t>
      </w:r>
      <w:proofErr w:type="spellEnd"/>
      <w:r w:rsidRPr="00BD1319">
        <w:rPr>
          <w:rFonts w:cs="Arial"/>
          <w:spacing w:val="-3"/>
          <w:lang w:val="es-CO"/>
        </w:rPr>
        <w:t xml:space="preserve"> en los tres niveles de cada playa (supra, meso e </w:t>
      </w:r>
      <w:proofErr w:type="spellStart"/>
      <w:r w:rsidRPr="00BD1319">
        <w:rPr>
          <w:rFonts w:cs="Arial"/>
          <w:spacing w:val="-3"/>
          <w:lang w:val="es-CO"/>
        </w:rPr>
        <w:t>infralitoral</w:t>
      </w:r>
      <w:proofErr w:type="spellEnd"/>
      <w:r w:rsidRPr="00BD1319">
        <w:rPr>
          <w:rFonts w:cs="Arial"/>
          <w:spacing w:val="-3"/>
          <w:lang w:val="es-CO"/>
        </w:rPr>
        <w:t>). Asimismo, se deben cuantificar las madrigueras de cangrejos.</w:t>
      </w:r>
    </w:p>
    <w:p w14:paraId="08EC3048" w14:textId="77777777" w:rsidR="00482A5F" w:rsidRPr="00BD1319" w:rsidRDefault="00482A5F" w:rsidP="00C86DA5">
      <w:pPr>
        <w:rPr>
          <w:rFonts w:cs="Arial"/>
          <w:bCs/>
          <w:spacing w:val="-3"/>
        </w:rPr>
      </w:pPr>
    </w:p>
    <w:p w14:paraId="6804F306" w14:textId="5B68DCBA" w:rsidR="00482A5F" w:rsidRPr="00BD1319" w:rsidRDefault="00482A5F" w:rsidP="00977C86">
      <w:pPr>
        <w:pStyle w:val="Prrafodelista"/>
        <w:numPr>
          <w:ilvl w:val="0"/>
          <w:numId w:val="85"/>
        </w:numPr>
        <w:tabs>
          <w:tab w:val="left" w:pos="-2268"/>
        </w:tabs>
        <w:suppressAutoHyphens/>
        <w:ind w:left="567" w:hanging="567"/>
        <w:rPr>
          <w:rFonts w:cs="Arial"/>
          <w:spacing w:val="-3"/>
          <w:lang w:val="es-CO"/>
        </w:rPr>
      </w:pPr>
      <w:r w:rsidRPr="00BD1319">
        <w:rPr>
          <w:rFonts w:cs="Arial"/>
          <w:bCs/>
          <w:spacing w:val="-3"/>
          <w:u w:val="single"/>
          <w:lang w:val="es-CO"/>
        </w:rPr>
        <w:t>Litorales rocosos (acantilados):</w:t>
      </w:r>
      <w:r w:rsidRPr="00BD1319">
        <w:rPr>
          <w:rFonts w:cs="Arial"/>
          <w:bCs/>
          <w:spacing w:val="-3"/>
          <w:lang w:val="es-CO"/>
        </w:rPr>
        <w:t xml:space="preserve"> </w:t>
      </w:r>
      <w:r w:rsidR="00CC473B" w:rsidRPr="00BD1319">
        <w:rPr>
          <w:rFonts w:cs="Arial"/>
          <w:spacing w:val="-3"/>
          <w:lang w:val="es-CO"/>
        </w:rPr>
        <w:t>l</w:t>
      </w:r>
      <w:r w:rsidRPr="00BD1319">
        <w:rPr>
          <w:rFonts w:cs="Arial"/>
          <w:spacing w:val="-3"/>
          <w:lang w:val="es-CO"/>
        </w:rPr>
        <w:t xml:space="preserve">as comunidades biológicas de los acantilados se </w:t>
      </w:r>
      <w:r w:rsidR="00103345" w:rsidRPr="00BD1319">
        <w:rPr>
          <w:rFonts w:cs="Arial"/>
          <w:spacing w:val="-3"/>
          <w:lang w:val="es-CO"/>
        </w:rPr>
        <w:t>deben</w:t>
      </w:r>
      <w:r w:rsidRPr="00BD1319">
        <w:rPr>
          <w:rFonts w:cs="Arial"/>
          <w:spacing w:val="-3"/>
          <w:lang w:val="es-CO"/>
        </w:rPr>
        <w:t xml:space="preserve"> caracterizar por medio de transectos de banda paralelos a línea de costa en los tres niveles del litoral (supra, meso y </w:t>
      </w:r>
      <w:proofErr w:type="spellStart"/>
      <w:r w:rsidRPr="00BD1319">
        <w:rPr>
          <w:rFonts w:cs="Arial"/>
          <w:spacing w:val="-3"/>
          <w:lang w:val="es-CO"/>
        </w:rPr>
        <w:t>infralitoral</w:t>
      </w:r>
      <w:proofErr w:type="spellEnd"/>
      <w:r w:rsidRPr="00BD1319">
        <w:rPr>
          <w:rFonts w:cs="Arial"/>
          <w:spacing w:val="-3"/>
          <w:lang w:val="es-CO"/>
        </w:rPr>
        <w:t>). Dependiendo de las características físicas de</w:t>
      </w:r>
      <w:r w:rsidR="000557B0" w:rsidRPr="00BD1319">
        <w:rPr>
          <w:rFonts w:cs="Arial"/>
          <w:spacing w:val="-3"/>
          <w:lang w:val="es-CO"/>
        </w:rPr>
        <w:t>l</w:t>
      </w:r>
      <w:r w:rsidRPr="00BD1319">
        <w:rPr>
          <w:rFonts w:cs="Arial"/>
          <w:spacing w:val="-3"/>
          <w:lang w:val="es-CO"/>
        </w:rPr>
        <w:t xml:space="preserve"> acantilado se </w:t>
      </w:r>
      <w:r w:rsidR="000557B0" w:rsidRPr="00BD1319">
        <w:rPr>
          <w:rFonts w:cs="Arial"/>
          <w:spacing w:val="-3"/>
          <w:lang w:val="es-CO"/>
        </w:rPr>
        <w:t xml:space="preserve">debe establecer </w:t>
      </w:r>
      <w:r w:rsidRPr="00BD1319">
        <w:rPr>
          <w:rFonts w:cs="Arial"/>
          <w:spacing w:val="-3"/>
          <w:lang w:val="es-CO"/>
        </w:rPr>
        <w:t>un número adecuado de cuadrantes al azar</w:t>
      </w:r>
      <w:r w:rsidR="00CC473B" w:rsidRPr="00BD1319">
        <w:rPr>
          <w:rFonts w:cs="Arial"/>
          <w:spacing w:val="-3"/>
          <w:lang w:val="es-CO"/>
        </w:rPr>
        <w:t>,</w:t>
      </w:r>
      <w:r w:rsidRPr="00BD1319">
        <w:rPr>
          <w:rFonts w:cs="Arial"/>
          <w:spacing w:val="-3"/>
          <w:lang w:val="es-CO"/>
        </w:rPr>
        <w:t xml:space="preserve"> con suficiente representación estadística</w:t>
      </w:r>
      <w:r w:rsidR="00CC473B" w:rsidRPr="00BD1319">
        <w:rPr>
          <w:rFonts w:cs="Arial"/>
          <w:spacing w:val="-3"/>
          <w:lang w:val="es-CO"/>
        </w:rPr>
        <w:t>,</w:t>
      </w:r>
      <w:r w:rsidRPr="00BD1319">
        <w:rPr>
          <w:rFonts w:cs="Arial"/>
          <w:spacing w:val="-3"/>
          <w:lang w:val="es-CO"/>
        </w:rPr>
        <w:t xml:space="preserve"> en donde se registr</w:t>
      </w:r>
      <w:r w:rsidR="000557B0" w:rsidRPr="00BD1319">
        <w:rPr>
          <w:rFonts w:cs="Arial"/>
          <w:spacing w:val="-3"/>
          <w:lang w:val="es-CO"/>
        </w:rPr>
        <w:t>e</w:t>
      </w:r>
      <w:r w:rsidRPr="00BD1319">
        <w:rPr>
          <w:rFonts w:cs="Arial"/>
          <w:spacing w:val="-3"/>
          <w:lang w:val="es-CO"/>
        </w:rPr>
        <w:t xml:space="preserve"> la cobertura de organismos sésiles (</w:t>
      </w:r>
      <w:r w:rsidR="00041844" w:rsidRPr="00BD1319">
        <w:rPr>
          <w:rFonts w:cs="Arial"/>
          <w:spacing w:val="-3"/>
          <w:lang w:val="es-CO"/>
        </w:rPr>
        <w:t>p. ej.</w:t>
      </w:r>
      <w:r w:rsidR="000557B0" w:rsidRPr="00BD1319">
        <w:rPr>
          <w:rFonts w:cs="Arial"/>
          <w:spacing w:val="-3"/>
          <w:lang w:val="es-CO"/>
        </w:rPr>
        <w:t xml:space="preserve"> </w:t>
      </w:r>
      <w:r w:rsidRPr="00BD1319">
        <w:rPr>
          <w:rFonts w:cs="Arial"/>
          <w:spacing w:val="-3"/>
          <w:lang w:val="es-CO"/>
        </w:rPr>
        <w:t>algas</w:t>
      </w:r>
      <w:r w:rsidR="000557B0" w:rsidRPr="00BD1319">
        <w:rPr>
          <w:rFonts w:cs="Arial"/>
          <w:spacing w:val="-3"/>
          <w:lang w:val="es-CO"/>
        </w:rPr>
        <w:t xml:space="preserve"> y</w:t>
      </w:r>
      <w:r w:rsidRPr="00BD1319">
        <w:rPr>
          <w:rFonts w:cs="Arial"/>
          <w:spacing w:val="-3"/>
          <w:lang w:val="es-CO"/>
        </w:rPr>
        <w:t xml:space="preserve"> corales) y se cuantifi</w:t>
      </w:r>
      <w:r w:rsidR="000557B0" w:rsidRPr="00BD1319">
        <w:rPr>
          <w:rFonts w:cs="Arial"/>
          <w:spacing w:val="-3"/>
          <w:lang w:val="es-CO"/>
        </w:rPr>
        <w:t xml:space="preserve">que </w:t>
      </w:r>
      <w:r w:rsidRPr="00BD1319">
        <w:rPr>
          <w:rFonts w:cs="Arial"/>
          <w:spacing w:val="-3"/>
          <w:lang w:val="es-CO"/>
        </w:rPr>
        <w:t>la presencia de invertebrados vágiles presentes en cada estrato registrado</w:t>
      </w:r>
      <w:r w:rsidR="000557B0" w:rsidRPr="00BD1319">
        <w:rPr>
          <w:rFonts w:cs="Arial"/>
          <w:spacing w:val="-3"/>
          <w:lang w:val="es-CO"/>
        </w:rPr>
        <w:t xml:space="preserve">, así como </w:t>
      </w:r>
      <w:r w:rsidRPr="00BD1319">
        <w:rPr>
          <w:rFonts w:cs="Arial"/>
          <w:spacing w:val="-3"/>
          <w:lang w:val="es-CO"/>
        </w:rPr>
        <w:t xml:space="preserve">peces para el estrato </w:t>
      </w:r>
      <w:proofErr w:type="spellStart"/>
      <w:r w:rsidRPr="00BD1319">
        <w:rPr>
          <w:rFonts w:cs="Arial"/>
          <w:spacing w:val="-3"/>
          <w:lang w:val="es-CO"/>
        </w:rPr>
        <w:t>infralitoral</w:t>
      </w:r>
      <w:proofErr w:type="spellEnd"/>
      <w:r w:rsidRPr="00BD1319">
        <w:rPr>
          <w:rFonts w:cs="Arial"/>
          <w:spacing w:val="-3"/>
          <w:lang w:val="es-CO"/>
        </w:rPr>
        <w:t>. Esta metodología se debe ajustar a las características de</w:t>
      </w:r>
      <w:r w:rsidR="000557B0" w:rsidRPr="00BD1319">
        <w:rPr>
          <w:rFonts w:cs="Arial"/>
          <w:spacing w:val="-3"/>
          <w:lang w:val="es-CO"/>
        </w:rPr>
        <w:t xml:space="preserve">l </w:t>
      </w:r>
      <w:r w:rsidRPr="00BD1319">
        <w:rPr>
          <w:rFonts w:cs="Arial"/>
          <w:spacing w:val="-3"/>
          <w:lang w:val="es-CO"/>
        </w:rPr>
        <w:t xml:space="preserve">acantilado siguiendo el </w:t>
      </w:r>
      <w:r w:rsidR="00953095" w:rsidRPr="00BD1319">
        <w:rPr>
          <w:rFonts w:cs="Arial"/>
          <w:spacing w:val="-3"/>
          <w:lang w:val="es-CO"/>
        </w:rPr>
        <w:t xml:space="preserve">documento </w:t>
      </w:r>
      <w:proofErr w:type="spellStart"/>
      <w:r w:rsidR="00953095" w:rsidRPr="00BD1319">
        <w:rPr>
          <w:rFonts w:cs="Arial"/>
          <w:szCs w:val="20"/>
          <w:lang w:val="es-CO"/>
        </w:rPr>
        <w:t>Sampling</w:t>
      </w:r>
      <w:proofErr w:type="spellEnd"/>
      <w:r w:rsidR="00953095" w:rsidRPr="00BD1319">
        <w:rPr>
          <w:rFonts w:cs="Arial"/>
          <w:szCs w:val="20"/>
          <w:lang w:val="es-CO"/>
        </w:rPr>
        <w:t xml:space="preserve"> </w:t>
      </w:r>
      <w:proofErr w:type="spellStart"/>
      <w:r w:rsidR="00953095" w:rsidRPr="00BD1319">
        <w:rPr>
          <w:rFonts w:cs="Arial"/>
          <w:szCs w:val="20"/>
          <w:lang w:val="es-CO"/>
        </w:rPr>
        <w:t>protocol</w:t>
      </w:r>
      <w:proofErr w:type="spellEnd"/>
      <w:r w:rsidR="00953095" w:rsidRPr="00BD1319">
        <w:rPr>
          <w:rFonts w:cs="Arial"/>
          <w:szCs w:val="20"/>
          <w:lang w:val="es-CO"/>
        </w:rPr>
        <w:t xml:space="preserve"> </w:t>
      </w:r>
      <w:proofErr w:type="spellStart"/>
      <w:r w:rsidR="00953095" w:rsidRPr="00BD1319">
        <w:rPr>
          <w:rFonts w:cs="Arial"/>
          <w:szCs w:val="20"/>
          <w:lang w:val="es-CO"/>
        </w:rPr>
        <w:t>for</w:t>
      </w:r>
      <w:proofErr w:type="spellEnd"/>
      <w:r w:rsidR="00953095" w:rsidRPr="00BD1319">
        <w:rPr>
          <w:rFonts w:cs="Arial"/>
          <w:szCs w:val="20"/>
          <w:lang w:val="es-CO"/>
        </w:rPr>
        <w:t xml:space="preserve"> </w:t>
      </w:r>
      <w:proofErr w:type="spellStart"/>
      <w:r w:rsidR="00953095" w:rsidRPr="00BD1319">
        <w:rPr>
          <w:rFonts w:cs="Arial"/>
          <w:szCs w:val="20"/>
          <w:lang w:val="es-CO"/>
        </w:rPr>
        <w:t>assessment</w:t>
      </w:r>
      <w:proofErr w:type="spellEnd"/>
      <w:r w:rsidR="00953095" w:rsidRPr="00BD1319">
        <w:rPr>
          <w:rFonts w:cs="Arial"/>
          <w:szCs w:val="20"/>
          <w:lang w:val="es-CO"/>
        </w:rPr>
        <w:t xml:space="preserve"> </w:t>
      </w:r>
      <w:proofErr w:type="spellStart"/>
      <w:r w:rsidR="00953095" w:rsidRPr="00BD1319">
        <w:rPr>
          <w:rFonts w:cs="Arial"/>
          <w:szCs w:val="20"/>
          <w:lang w:val="es-CO"/>
        </w:rPr>
        <w:t>of</w:t>
      </w:r>
      <w:proofErr w:type="spellEnd"/>
      <w:r w:rsidR="00953095" w:rsidRPr="00BD1319">
        <w:rPr>
          <w:rFonts w:cs="Arial"/>
          <w:szCs w:val="20"/>
          <w:lang w:val="es-CO"/>
        </w:rPr>
        <w:t xml:space="preserve"> marine </w:t>
      </w:r>
      <w:proofErr w:type="spellStart"/>
      <w:r w:rsidR="00953095" w:rsidRPr="00BD1319">
        <w:rPr>
          <w:rFonts w:cs="Arial"/>
          <w:szCs w:val="20"/>
          <w:lang w:val="es-CO"/>
        </w:rPr>
        <w:t>diversity</w:t>
      </w:r>
      <w:proofErr w:type="spellEnd"/>
      <w:r w:rsidR="00953095" w:rsidRPr="00BD1319">
        <w:rPr>
          <w:rFonts w:cs="Arial"/>
          <w:szCs w:val="20"/>
          <w:lang w:val="es-CO"/>
        </w:rPr>
        <w:t xml:space="preserve"> </w:t>
      </w:r>
      <w:proofErr w:type="spellStart"/>
      <w:r w:rsidR="00953095" w:rsidRPr="00BD1319">
        <w:rPr>
          <w:rFonts w:cs="Arial"/>
          <w:szCs w:val="20"/>
          <w:lang w:val="es-CO"/>
        </w:rPr>
        <w:t>on</w:t>
      </w:r>
      <w:proofErr w:type="spellEnd"/>
      <w:r w:rsidR="00953095" w:rsidRPr="00BD1319">
        <w:rPr>
          <w:rFonts w:cs="Arial"/>
          <w:szCs w:val="20"/>
          <w:lang w:val="es-CO"/>
        </w:rPr>
        <w:t xml:space="preserve"> </w:t>
      </w:r>
      <w:proofErr w:type="spellStart"/>
      <w:r w:rsidR="00953095" w:rsidRPr="00BD1319">
        <w:rPr>
          <w:rFonts w:cs="Arial"/>
          <w:szCs w:val="20"/>
          <w:lang w:val="es-CO"/>
        </w:rPr>
        <w:t>rocky</w:t>
      </w:r>
      <w:proofErr w:type="spellEnd"/>
      <w:r w:rsidR="00953095" w:rsidRPr="00BD1319">
        <w:rPr>
          <w:rFonts w:cs="Arial"/>
          <w:szCs w:val="20"/>
          <w:lang w:val="es-CO"/>
        </w:rPr>
        <w:t xml:space="preserve"> </w:t>
      </w:r>
      <w:proofErr w:type="spellStart"/>
      <w:r w:rsidR="00953095" w:rsidRPr="00BD1319">
        <w:rPr>
          <w:rFonts w:cs="Arial"/>
          <w:szCs w:val="20"/>
          <w:lang w:val="es-CO"/>
        </w:rPr>
        <w:t>shores</w:t>
      </w:r>
      <w:proofErr w:type="spellEnd"/>
      <w:r w:rsidR="00953095" w:rsidRPr="00BD1319">
        <w:rPr>
          <w:rFonts w:cs="Arial"/>
          <w:spacing w:val="-3"/>
          <w:lang w:val="es-CO"/>
        </w:rPr>
        <w:t xml:space="preserve"> de </w:t>
      </w:r>
      <w:r w:rsidR="00953095" w:rsidRPr="00BD1319">
        <w:rPr>
          <w:rFonts w:cs="Arial"/>
          <w:szCs w:val="20"/>
          <w:lang w:val="es-CO"/>
        </w:rPr>
        <w:t xml:space="preserve">MBON Pole </w:t>
      </w:r>
      <w:proofErr w:type="spellStart"/>
      <w:r w:rsidR="00953095" w:rsidRPr="00BD1319">
        <w:rPr>
          <w:rFonts w:cs="Arial"/>
          <w:szCs w:val="20"/>
          <w:lang w:val="es-CO"/>
        </w:rPr>
        <w:t>to</w:t>
      </w:r>
      <w:proofErr w:type="spellEnd"/>
      <w:r w:rsidR="00953095" w:rsidRPr="00BD1319">
        <w:rPr>
          <w:rFonts w:cs="Arial"/>
          <w:szCs w:val="20"/>
          <w:lang w:val="es-CO"/>
        </w:rPr>
        <w:t xml:space="preserve"> Pole (2019), </w:t>
      </w:r>
      <w:r w:rsidRPr="00BD1319">
        <w:rPr>
          <w:rFonts w:cs="Arial"/>
          <w:spacing w:val="-3"/>
          <w:lang w:val="es-CO"/>
        </w:rPr>
        <w:t xml:space="preserve">empleado por </w:t>
      </w:r>
      <w:proofErr w:type="spellStart"/>
      <w:r w:rsidRPr="00BD1319">
        <w:rPr>
          <w:rFonts w:cs="Arial"/>
          <w:spacing w:val="-3"/>
          <w:lang w:val="es-CO"/>
        </w:rPr>
        <w:t>Invemar</w:t>
      </w:r>
      <w:proofErr w:type="spellEnd"/>
      <w:r w:rsidRPr="00BD1319">
        <w:rPr>
          <w:rFonts w:cs="Arial"/>
          <w:spacing w:val="-3"/>
          <w:lang w:val="es-CO"/>
        </w:rPr>
        <w:t xml:space="preserve"> y establecido para este ecosistema en América del Sur.</w:t>
      </w:r>
    </w:p>
    <w:p w14:paraId="20EC2837" w14:textId="77777777" w:rsidR="00482A5F" w:rsidRPr="00BD1319" w:rsidRDefault="00482A5F" w:rsidP="00482A5F">
      <w:pPr>
        <w:numPr>
          <w:ilvl w:val="12"/>
          <w:numId w:val="0"/>
        </w:numPr>
        <w:tabs>
          <w:tab w:val="left" w:pos="-2268"/>
        </w:tabs>
        <w:suppressAutoHyphens/>
        <w:rPr>
          <w:rFonts w:cs="Arial"/>
          <w:spacing w:val="-3"/>
        </w:rPr>
      </w:pPr>
    </w:p>
    <w:p w14:paraId="1ECF8333" w14:textId="77777777" w:rsidR="00482A5F" w:rsidRPr="00BD1319" w:rsidRDefault="00482A5F">
      <w:pPr>
        <w:tabs>
          <w:tab w:val="left" w:pos="-2268"/>
        </w:tabs>
        <w:suppressAutoHyphens/>
        <w:rPr>
          <w:spacing w:val="-3"/>
          <w:u w:val="single"/>
        </w:rPr>
      </w:pPr>
      <w:r w:rsidRPr="00BD1319">
        <w:rPr>
          <w:spacing w:val="-3"/>
          <w:u w:val="single"/>
        </w:rPr>
        <w:t>Fase de laboratorio</w:t>
      </w:r>
    </w:p>
    <w:p w14:paraId="19E8FE5E" w14:textId="77777777" w:rsidR="00482A5F" w:rsidRPr="00BD1319" w:rsidRDefault="00482A5F">
      <w:pPr>
        <w:numPr>
          <w:ilvl w:val="12"/>
          <w:numId w:val="0"/>
        </w:numPr>
        <w:tabs>
          <w:tab w:val="left" w:pos="-2268"/>
        </w:tabs>
        <w:suppressAutoHyphens/>
        <w:rPr>
          <w:spacing w:val="-3"/>
        </w:rPr>
      </w:pPr>
    </w:p>
    <w:p w14:paraId="1A731087" w14:textId="2E46581A" w:rsidR="00482A5F" w:rsidRPr="00BD1319" w:rsidRDefault="00482A5F">
      <w:pPr>
        <w:numPr>
          <w:ilvl w:val="12"/>
          <w:numId w:val="0"/>
        </w:numPr>
        <w:tabs>
          <w:tab w:val="left" w:pos="-2268"/>
        </w:tabs>
        <w:suppressAutoHyphens/>
        <w:rPr>
          <w:spacing w:val="-3"/>
        </w:rPr>
      </w:pPr>
      <w:r w:rsidRPr="00BD1319">
        <w:rPr>
          <w:spacing w:val="-3"/>
        </w:rPr>
        <w:t xml:space="preserve">Para la determinación taxonómica </w:t>
      </w:r>
      <w:r w:rsidR="006461D3" w:rsidRPr="00BD1319">
        <w:rPr>
          <w:spacing w:val="-3"/>
        </w:rPr>
        <w:t xml:space="preserve">de los ejemplares muestreados </w:t>
      </w:r>
      <w:r w:rsidRPr="00BD1319">
        <w:rPr>
          <w:spacing w:val="-3"/>
        </w:rPr>
        <w:t xml:space="preserve">se debe asegurar </w:t>
      </w:r>
      <w:r w:rsidRPr="00BD1319">
        <w:rPr>
          <w:rFonts w:cs="Arial"/>
          <w:spacing w:val="-3"/>
        </w:rPr>
        <w:t>la cadena de custodia</w:t>
      </w:r>
      <w:r w:rsidR="00E55979" w:rsidRPr="00BD1319">
        <w:rPr>
          <w:rFonts w:cs="Arial"/>
          <w:spacing w:val="-3"/>
        </w:rPr>
        <w:t>,</w:t>
      </w:r>
      <w:r w:rsidRPr="00BD1319">
        <w:rPr>
          <w:rFonts w:cs="Arial"/>
          <w:spacing w:val="-3"/>
        </w:rPr>
        <w:t xml:space="preserve"> desde la recolección en campo</w:t>
      </w:r>
      <w:r w:rsidR="00E55979" w:rsidRPr="00BD1319">
        <w:rPr>
          <w:rFonts w:cs="Arial"/>
          <w:spacing w:val="-3"/>
        </w:rPr>
        <w:t>,</w:t>
      </w:r>
      <w:r w:rsidRPr="00BD1319">
        <w:rPr>
          <w:rFonts w:cs="Arial"/>
          <w:spacing w:val="-3"/>
        </w:rPr>
        <w:t xml:space="preserve"> hasta el análisis en laboratorio, para </w:t>
      </w:r>
      <w:r w:rsidR="000557B0" w:rsidRPr="00BD1319">
        <w:rPr>
          <w:rFonts w:cs="Arial"/>
          <w:spacing w:val="-3"/>
        </w:rPr>
        <w:t xml:space="preserve">lo </w:t>
      </w:r>
      <w:r w:rsidRPr="00BD1319">
        <w:rPr>
          <w:rFonts w:cs="Arial"/>
          <w:spacing w:val="-3"/>
        </w:rPr>
        <w:t xml:space="preserve">cual se debe contar </w:t>
      </w:r>
      <w:r w:rsidRPr="00BD1319">
        <w:rPr>
          <w:spacing w:val="-3"/>
        </w:rPr>
        <w:t xml:space="preserve">personal profesional idóneo. </w:t>
      </w:r>
      <w:r w:rsidR="006461D3" w:rsidRPr="00BD1319">
        <w:rPr>
          <w:spacing w:val="-3"/>
        </w:rPr>
        <w:t xml:space="preserve">Es </w:t>
      </w:r>
      <w:r w:rsidRPr="00BD1319">
        <w:rPr>
          <w:spacing w:val="-3"/>
        </w:rPr>
        <w:t xml:space="preserve">preciso contar con bibliografía actualizada y especializada, de preferencia nacional y regional. Los resultados se deben expresar en densidad para los ensambles de plancton, </w:t>
      </w:r>
      <w:proofErr w:type="spellStart"/>
      <w:r w:rsidRPr="00BD1319">
        <w:rPr>
          <w:spacing w:val="-3"/>
        </w:rPr>
        <w:t>perifiton</w:t>
      </w:r>
      <w:proofErr w:type="spellEnd"/>
      <w:r w:rsidRPr="00BD1319">
        <w:rPr>
          <w:spacing w:val="-3"/>
        </w:rPr>
        <w:t xml:space="preserve">, macroinvertebrados y </w:t>
      </w:r>
      <w:proofErr w:type="spellStart"/>
      <w:r w:rsidRPr="00BD1319">
        <w:rPr>
          <w:spacing w:val="-3"/>
        </w:rPr>
        <w:t>macrófitas</w:t>
      </w:r>
      <w:proofErr w:type="spellEnd"/>
      <w:r w:rsidRPr="00BD1319">
        <w:rPr>
          <w:spacing w:val="-3"/>
        </w:rPr>
        <w:t xml:space="preserve">; </w:t>
      </w:r>
      <w:r w:rsidR="00853600" w:rsidRPr="00BD1319">
        <w:rPr>
          <w:spacing w:val="-3"/>
        </w:rPr>
        <w:t xml:space="preserve">sin embargo, para los dos últimos, son válidos resultados en términos de abundancia cuando el método empleado no </w:t>
      </w:r>
      <w:r w:rsidR="005E4E45" w:rsidRPr="00BD1319">
        <w:rPr>
          <w:spacing w:val="-3"/>
        </w:rPr>
        <w:t xml:space="preserve">emplee </w:t>
      </w:r>
      <w:r w:rsidR="00853600" w:rsidRPr="00BD1319">
        <w:rPr>
          <w:spacing w:val="-3"/>
        </w:rPr>
        <w:t>áreas definidas de muestreo (</w:t>
      </w:r>
      <w:r w:rsidR="00041844" w:rsidRPr="00BD1319">
        <w:rPr>
          <w:spacing w:val="-3"/>
        </w:rPr>
        <w:t>p. ej.</w:t>
      </w:r>
      <w:r w:rsidR="00853600" w:rsidRPr="00BD1319">
        <w:rPr>
          <w:spacing w:val="-3"/>
        </w:rPr>
        <w:t xml:space="preserve"> red D-net</w:t>
      </w:r>
      <w:r w:rsidR="000557B0" w:rsidRPr="00BD1319">
        <w:rPr>
          <w:spacing w:val="-3"/>
        </w:rPr>
        <w:t xml:space="preserve"> y</w:t>
      </w:r>
      <w:r w:rsidR="00853600" w:rsidRPr="00BD1319">
        <w:rPr>
          <w:spacing w:val="-3"/>
        </w:rPr>
        <w:t xml:space="preserve"> de pantalla).</w:t>
      </w:r>
      <w:r w:rsidR="0072054C" w:rsidRPr="00BD1319">
        <w:rPr>
          <w:spacing w:val="-3"/>
        </w:rPr>
        <w:t xml:space="preserve"> </w:t>
      </w:r>
      <w:r w:rsidR="00853600" w:rsidRPr="00BD1319">
        <w:rPr>
          <w:spacing w:val="-3"/>
        </w:rPr>
        <w:t>P</w:t>
      </w:r>
      <w:r w:rsidRPr="00BD1319">
        <w:rPr>
          <w:spacing w:val="-3"/>
        </w:rPr>
        <w:t xml:space="preserve">ara el ensamble de peces </w:t>
      </w:r>
      <w:r w:rsidR="005E4E45" w:rsidRPr="00BD1319">
        <w:rPr>
          <w:spacing w:val="-3"/>
        </w:rPr>
        <w:t xml:space="preserve">los resultados </w:t>
      </w:r>
      <w:r w:rsidRPr="00BD1319">
        <w:rPr>
          <w:spacing w:val="-3"/>
        </w:rPr>
        <w:t>se deben expresar en unidades o unidades por esfuerzo de muestreo.</w:t>
      </w:r>
    </w:p>
    <w:p w14:paraId="4B4DBD3F" w14:textId="77777777" w:rsidR="00482A5F" w:rsidRPr="00BD1319" w:rsidRDefault="00482A5F">
      <w:pPr>
        <w:numPr>
          <w:ilvl w:val="12"/>
          <w:numId w:val="0"/>
        </w:numPr>
        <w:tabs>
          <w:tab w:val="left" w:pos="-2268"/>
        </w:tabs>
        <w:suppressAutoHyphens/>
        <w:rPr>
          <w:spacing w:val="-3"/>
        </w:rPr>
      </w:pPr>
    </w:p>
    <w:p w14:paraId="0061E831" w14:textId="58EB1AFE" w:rsidR="00482A5F" w:rsidRPr="00BD1319" w:rsidRDefault="00482A5F" w:rsidP="00977C86">
      <w:pPr>
        <w:pStyle w:val="Prrafodelista"/>
        <w:numPr>
          <w:ilvl w:val="0"/>
          <w:numId w:val="86"/>
        </w:numPr>
        <w:tabs>
          <w:tab w:val="left" w:pos="-2268"/>
        </w:tabs>
        <w:suppressAutoHyphens/>
        <w:ind w:left="567" w:hanging="567"/>
        <w:rPr>
          <w:rFonts w:cs="Arial"/>
          <w:spacing w:val="-3"/>
          <w:lang w:val="es-CO"/>
        </w:rPr>
      </w:pPr>
      <w:r w:rsidRPr="00BD1319">
        <w:rPr>
          <w:rFonts w:cs="Arial"/>
          <w:spacing w:val="-3"/>
          <w:u w:val="single"/>
          <w:lang w:val="es-CO"/>
        </w:rPr>
        <w:t xml:space="preserve">Plancton y </w:t>
      </w:r>
      <w:proofErr w:type="spellStart"/>
      <w:r w:rsidRPr="00BD1319">
        <w:rPr>
          <w:rFonts w:cs="Arial"/>
          <w:spacing w:val="-3"/>
          <w:u w:val="single"/>
          <w:lang w:val="es-CO"/>
        </w:rPr>
        <w:t>Perifiton</w:t>
      </w:r>
      <w:proofErr w:type="spellEnd"/>
      <w:r w:rsidRPr="00BD1319">
        <w:rPr>
          <w:rFonts w:cs="Arial"/>
          <w:spacing w:val="-3"/>
          <w:u w:val="single"/>
          <w:lang w:val="es-CO"/>
        </w:rPr>
        <w:t>:</w:t>
      </w:r>
      <w:r w:rsidRPr="00BD1319">
        <w:rPr>
          <w:rFonts w:cs="Arial"/>
          <w:spacing w:val="-3"/>
          <w:lang w:val="es-CO"/>
        </w:rPr>
        <w:t xml:space="preserve"> en el laboratorio, el reconteo se realiza en microscopio de luz utilizando técnicas apropiadas según la metodología de recolección empleada. La densidad del plancton se puede estimar mediante el conteo de los organismos presentes en la muestra completa en caso de que las abundancias sean bajas, en caso contrario se pueden contar los organismos presentes en alícuotas, reportando densidades en individuos por unidad de volumen (</w:t>
      </w:r>
      <w:proofErr w:type="spellStart"/>
      <w:r w:rsidR="00434EA7" w:rsidRPr="00BD1319">
        <w:rPr>
          <w:rFonts w:cs="Arial"/>
          <w:spacing w:val="-3"/>
          <w:lang w:val="es-CO"/>
        </w:rPr>
        <w:t>ind</w:t>
      </w:r>
      <w:proofErr w:type="spellEnd"/>
      <w:r w:rsidR="00434EA7" w:rsidRPr="00BD1319">
        <w:rPr>
          <w:rFonts w:cs="Arial"/>
          <w:spacing w:val="-3"/>
          <w:lang w:val="es-CO"/>
        </w:rPr>
        <w:t>. /</w:t>
      </w:r>
      <w:r w:rsidRPr="00BD1319">
        <w:rPr>
          <w:rFonts w:cs="Arial"/>
          <w:spacing w:val="-3"/>
          <w:lang w:val="es-CO"/>
        </w:rPr>
        <w:t>l) o individuos por área de superficie (</w:t>
      </w:r>
      <w:proofErr w:type="spellStart"/>
      <w:r w:rsidR="00403F24" w:rsidRPr="00BD1319">
        <w:rPr>
          <w:rFonts w:cs="Arial"/>
          <w:spacing w:val="-3"/>
          <w:lang w:val="es-CO"/>
        </w:rPr>
        <w:t>ind</w:t>
      </w:r>
      <w:proofErr w:type="spellEnd"/>
      <w:r w:rsidR="00403F24" w:rsidRPr="00BD1319">
        <w:rPr>
          <w:rFonts w:cs="Arial"/>
          <w:spacing w:val="-3"/>
          <w:lang w:val="es-CO"/>
        </w:rPr>
        <w:t>. /</w:t>
      </w:r>
      <w:r w:rsidR="005E4E45" w:rsidRPr="00BD1319">
        <w:rPr>
          <w:rFonts w:cs="Arial"/>
          <w:spacing w:val="-3"/>
          <w:lang w:val="es-CO"/>
        </w:rPr>
        <w:t xml:space="preserve"> </w:t>
      </w:r>
      <w:r w:rsidRPr="00BD1319">
        <w:rPr>
          <w:rFonts w:cs="Arial"/>
          <w:spacing w:val="-3"/>
          <w:lang w:val="es-CO"/>
        </w:rPr>
        <w:t>cm</w:t>
      </w:r>
      <w:r w:rsidRPr="00BD1319">
        <w:rPr>
          <w:rFonts w:cs="Arial"/>
          <w:spacing w:val="-3"/>
          <w:vertAlign w:val="superscript"/>
          <w:lang w:val="es-CO"/>
        </w:rPr>
        <w:t>2</w:t>
      </w:r>
      <w:r w:rsidRPr="00BD1319">
        <w:rPr>
          <w:rFonts w:cs="Arial"/>
          <w:spacing w:val="-3"/>
          <w:lang w:val="es-CO"/>
        </w:rPr>
        <w:t xml:space="preserve">), según sea el caso. Para organismos marinos se debe corroborar la información taxonómica con la base de datos </w:t>
      </w:r>
      <w:proofErr w:type="spellStart"/>
      <w:r w:rsidR="00B8216A" w:rsidRPr="00BD1319">
        <w:rPr>
          <w:rFonts w:cs="Arial"/>
          <w:spacing w:val="-3"/>
          <w:lang w:val="es-CO"/>
        </w:rPr>
        <w:t>Algaebase</w:t>
      </w:r>
      <w:proofErr w:type="spellEnd"/>
      <w:r w:rsidR="00B8216A" w:rsidRPr="00BD1319">
        <w:rPr>
          <w:rStyle w:val="Refdenotaalpie"/>
          <w:rFonts w:cs="Arial"/>
          <w:spacing w:val="-3"/>
          <w:lang w:val="es-CO"/>
        </w:rPr>
        <w:footnoteReference w:id="146"/>
      </w:r>
      <w:r w:rsidR="00B8216A" w:rsidRPr="00BD1319">
        <w:rPr>
          <w:rFonts w:cs="Arial"/>
          <w:spacing w:val="-3"/>
          <w:lang w:val="es-CO"/>
        </w:rPr>
        <w:t xml:space="preserve">, </w:t>
      </w:r>
      <w:proofErr w:type="spellStart"/>
      <w:r w:rsidRPr="00BD1319">
        <w:rPr>
          <w:rFonts w:cs="Arial"/>
          <w:spacing w:val="-3"/>
          <w:lang w:val="es-CO"/>
        </w:rPr>
        <w:t>World</w:t>
      </w:r>
      <w:proofErr w:type="spellEnd"/>
      <w:r w:rsidRPr="00BD1319">
        <w:rPr>
          <w:rFonts w:cs="Arial"/>
          <w:spacing w:val="-3"/>
          <w:lang w:val="es-CO"/>
        </w:rPr>
        <w:t xml:space="preserve"> </w:t>
      </w:r>
      <w:proofErr w:type="spellStart"/>
      <w:r w:rsidRPr="00BD1319">
        <w:rPr>
          <w:rFonts w:cs="Arial"/>
          <w:spacing w:val="-3"/>
          <w:lang w:val="es-CO"/>
        </w:rPr>
        <w:t>Register</w:t>
      </w:r>
      <w:proofErr w:type="spellEnd"/>
      <w:r w:rsidRPr="00BD1319">
        <w:rPr>
          <w:rFonts w:cs="Arial"/>
          <w:spacing w:val="-3"/>
          <w:lang w:val="es-CO"/>
        </w:rPr>
        <w:t xml:space="preserve"> </w:t>
      </w:r>
      <w:proofErr w:type="spellStart"/>
      <w:r w:rsidRPr="00BD1319">
        <w:rPr>
          <w:rFonts w:cs="Arial"/>
          <w:spacing w:val="-3"/>
          <w:lang w:val="es-CO"/>
        </w:rPr>
        <w:t>of</w:t>
      </w:r>
      <w:proofErr w:type="spellEnd"/>
      <w:r w:rsidRPr="00BD1319">
        <w:rPr>
          <w:rFonts w:cs="Arial"/>
          <w:spacing w:val="-3"/>
          <w:lang w:val="es-CO"/>
        </w:rPr>
        <w:t xml:space="preserve"> Marine </w:t>
      </w:r>
      <w:proofErr w:type="spellStart"/>
      <w:r w:rsidRPr="00BD1319">
        <w:rPr>
          <w:rFonts w:cs="Arial"/>
          <w:spacing w:val="-3"/>
          <w:lang w:val="es-CO"/>
        </w:rPr>
        <w:t>Species</w:t>
      </w:r>
      <w:proofErr w:type="spellEnd"/>
      <w:r w:rsidR="000557B0" w:rsidRPr="00BD1319">
        <w:rPr>
          <w:rFonts w:cs="Arial"/>
          <w:spacing w:val="-3"/>
          <w:lang w:val="es-CO"/>
        </w:rPr>
        <w:t xml:space="preserve"> (</w:t>
      </w:r>
      <w:proofErr w:type="spellStart"/>
      <w:r w:rsidR="000557B0" w:rsidRPr="00BD1319">
        <w:rPr>
          <w:rFonts w:cs="Arial"/>
          <w:spacing w:val="-3"/>
          <w:lang w:val="es-CO"/>
        </w:rPr>
        <w:t>WoRMS</w:t>
      </w:r>
      <w:proofErr w:type="spellEnd"/>
      <w:r w:rsidRPr="00BD1319">
        <w:rPr>
          <w:rFonts w:cs="Arial"/>
          <w:spacing w:val="-3"/>
          <w:lang w:val="es-CO"/>
        </w:rPr>
        <w:t>) y para organismos acuáticos continentales</w:t>
      </w:r>
      <w:r w:rsidR="000557B0" w:rsidRPr="00BD1319">
        <w:rPr>
          <w:rFonts w:cs="Arial"/>
          <w:spacing w:val="-3"/>
          <w:lang w:val="es-CO"/>
        </w:rPr>
        <w:t>, con</w:t>
      </w:r>
      <w:r w:rsidRPr="00BD1319">
        <w:rPr>
          <w:rFonts w:cs="Arial"/>
          <w:spacing w:val="-3"/>
          <w:lang w:val="es-CO"/>
        </w:rPr>
        <w:t xml:space="preserve"> la base de datos </w:t>
      </w:r>
      <w:proofErr w:type="spellStart"/>
      <w:r w:rsidRPr="00BD1319">
        <w:rPr>
          <w:rFonts w:cs="Arial"/>
          <w:spacing w:val="-3"/>
          <w:lang w:val="es-CO"/>
        </w:rPr>
        <w:t>Integrated</w:t>
      </w:r>
      <w:proofErr w:type="spellEnd"/>
      <w:r w:rsidRPr="00BD1319">
        <w:rPr>
          <w:rFonts w:cs="Arial"/>
          <w:spacing w:val="-3"/>
          <w:lang w:val="es-CO"/>
        </w:rPr>
        <w:t xml:space="preserve"> </w:t>
      </w:r>
      <w:proofErr w:type="spellStart"/>
      <w:r w:rsidRPr="00BD1319">
        <w:rPr>
          <w:rFonts w:cs="Arial"/>
          <w:spacing w:val="-3"/>
          <w:lang w:val="es-CO"/>
        </w:rPr>
        <w:t>Taxonomic</w:t>
      </w:r>
      <w:proofErr w:type="spellEnd"/>
      <w:r w:rsidRPr="00BD1319">
        <w:rPr>
          <w:rFonts w:cs="Arial"/>
          <w:spacing w:val="-3"/>
          <w:lang w:val="es-CO"/>
        </w:rPr>
        <w:t xml:space="preserve"> </w:t>
      </w:r>
      <w:proofErr w:type="spellStart"/>
      <w:r w:rsidRPr="00BD1319">
        <w:rPr>
          <w:rFonts w:cs="Arial"/>
          <w:spacing w:val="-3"/>
          <w:lang w:val="es-CO"/>
        </w:rPr>
        <w:t>Information</w:t>
      </w:r>
      <w:proofErr w:type="spellEnd"/>
      <w:r w:rsidRPr="00BD1319">
        <w:rPr>
          <w:rFonts w:cs="Arial"/>
          <w:spacing w:val="-3"/>
          <w:lang w:val="es-CO"/>
        </w:rPr>
        <w:t xml:space="preserve"> </w:t>
      </w:r>
      <w:proofErr w:type="spellStart"/>
      <w:r w:rsidRPr="00BD1319">
        <w:rPr>
          <w:rFonts w:cs="Arial"/>
          <w:spacing w:val="-3"/>
          <w:lang w:val="es-CO"/>
        </w:rPr>
        <w:t>System</w:t>
      </w:r>
      <w:proofErr w:type="spellEnd"/>
      <w:r w:rsidR="000557B0" w:rsidRPr="00BD1319">
        <w:rPr>
          <w:rFonts w:cs="Arial"/>
          <w:spacing w:val="-3"/>
          <w:lang w:val="es-CO"/>
        </w:rPr>
        <w:t xml:space="preserve"> (ITIS</w:t>
      </w:r>
      <w:r w:rsidRPr="00BD1319">
        <w:rPr>
          <w:rFonts w:cs="Arial"/>
          <w:spacing w:val="-3"/>
          <w:lang w:val="es-CO"/>
        </w:rPr>
        <w:t>)</w:t>
      </w:r>
      <w:r w:rsidR="00B8216A" w:rsidRPr="00BD1319">
        <w:rPr>
          <w:rFonts w:cs="Arial"/>
          <w:spacing w:val="-3"/>
          <w:lang w:val="es-CO"/>
        </w:rPr>
        <w:t>.</w:t>
      </w:r>
    </w:p>
    <w:p w14:paraId="47154C29" w14:textId="77777777" w:rsidR="00482A5F" w:rsidRPr="00BD1319" w:rsidRDefault="00482A5F" w:rsidP="00482A5F">
      <w:pPr>
        <w:rPr>
          <w:rFonts w:cs="Arial"/>
          <w:spacing w:val="-3"/>
        </w:rPr>
      </w:pPr>
    </w:p>
    <w:p w14:paraId="171788C1" w14:textId="781DB0FE" w:rsidR="00482A5F" w:rsidRPr="00BD1319" w:rsidRDefault="00482A5F" w:rsidP="00977C86">
      <w:pPr>
        <w:pStyle w:val="Prrafodelista"/>
        <w:numPr>
          <w:ilvl w:val="0"/>
          <w:numId w:val="86"/>
        </w:numPr>
        <w:tabs>
          <w:tab w:val="left" w:pos="-2268"/>
        </w:tabs>
        <w:suppressAutoHyphens/>
        <w:ind w:left="567" w:hanging="567"/>
        <w:rPr>
          <w:rFonts w:cs="Arial"/>
          <w:spacing w:val="-3"/>
          <w:lang w:val="es-CO"/>
        </w:rPr>
      </w:pPr>
      <w:r w:rsidRPr="00BD1319">
        <w:rPr>
          <w:rFonts w:cs="Arial"/>
          <w:spacing w:val="-3"/>
          <w:u w:val="single"/>
          <w:lang w:val="es-CO"/>
        </w:rPr>
        <w:t>Fondos sedimentarios (invertebrados bentónicos):</w:t>
      </w:r>
      <w:r w:rsidRPr="00BD1319">
        <w:rPr>
          <w:rFonts w:cs="Arial"/>
          <w:spacing w:val="-3"/>
          <w:lang w:val="es-CO"/>
        </w:rPr>
        <w:t xml:space="preserve"> p</w:t>
      </w:r>
      <w:r w:rsidRPr="00BD1319">
        <w:rPr>
          <w:rFonts w:cs="Arial"/>
          <w:lang w:val="es-CO"/>
        </w:rPr>
        <w:t xml:space="preserve">ara el caso del </w:t>
      </w:r>
      <w:proofErr w:type="spellStart"/>
      <w:r w:rsidRPr="00BD1319">
        <w:rPr>
          <w:rFonts w:cs="Arial"/>
          <w:lang w:val="es-CO"/>
        </w:rPr>
        <w:t>macrobentos</w:t>
      </w:r>
      <w:proofErr w:type="spellEnd"/>
      <w:r w:rsidRPr="00BD1319">
        <w:rPr>
          <w:rFonts w:cs="Arial"/>
          <w:lang w:val="es-CO"/>
        </w:rPr>
        <w:t xml:space="preserve"> (tamaño ≥ 500 µm) </w:t>
      </w:r>
      <w:r w:rsidRPr="00BD1319">
        <w:rPr>
          <w:rFonts w:cs="Arial"/>
          <w:spacing w:val="-3"/>
          <w:lang w:val="es-CO"/>
        </w:rPr>
        <w:t xml:space="preserve">cada muestra se </w:t>
      </w:r>
      <w:r w:rsidR="008A2E06" w:rsidRPr="00BD1319">
        <w:rPr>
          <w:rFonts w:cs="Arial"/>
          <w:spacing w:val="-3"/>
          <w:lang w:val="es-CO"/>
        </w:rPr>
        <w:t xml:space="preserve">debe </w:t>
      </w:r>
      <w:r w:rsidRPr="00BD1319">
        <w:rPr>
          <w:rFonts w:cs="Arial"/>
          <w:spacing w:val="-3"/>
          <w:lang w:val="es-CO"/>
        </w:rPr>
        <w:t>transf</w:t>
      </w:r>
      <w:r w:rsidR="008A2E06" w:rsidRPr="00BD1319">
        <w:rPr>
          <w:rFonts w:cs="Arial"/>
          <w:spacing w:val="-3"/>
          <w:lang w:val="es-CO"/>
        </w:rPr>
        <w:t xml:space="preserve">erir </w:t>
      </w:r>
      <w:r w:rsidRPr="00BD1319">
        <w:rPr>
          <w:rFonts w:cs="Arial"/>
          <w:spacing w:val="-3"/>
          <w:lang w:val="es-CO"/>
        </w:rPr>
        <w:t>a una bandeja con agua, en la cual se lava y se retiran los invertebrados presentes; p</w:t>
      </w:r>
      <w:r w:rsidRPr="00BD1319">
        <w:rPr>
          <w:rFonts w:cs="Arial"/>
          <w:lang w:val="es-CO"/>
        </w:rPr>
        <w:t xml:space="preserve">ara el </w:t>
      </w:r>
      <w:proofErr w:type="spellStart"/>
      <w:r w:rsidRPr="00BD1319">
        <w:rPr>
          <w:rFonts w:cs="Arial"/>
          <w:lang w:val="es-CO"/>
        </w:rPr>
        <w:t>meiobentos</w:t>
      </w:r>
      <w:proofErr w:type="spellEnd"/>
      <w:r w:rsidRPr="00BD1319">
        <w:rPr>
          <w:rFonts w:cs="Arial"/>
          <w:lang w:val="es-CO"/>
        </w:rPr>
        <w:t xml:space="preserve"> (tamaño ≤ 500 µm), se </w:t>
      </w:r>
      <w:r w:rsidR="008A2E06" w:rsidRPr="00BD1319">
        <w:rPr>
          <w:rFonts w:cs="Arial"/>
          <w:lang w:val="es-CO"/>
        </w:rPr>
        <w:t xml:space="preserve">puede </w:t>
      </w:r>
      <w:r w:rsidRPr="00BD1319">
        <w:rPr>
          <w:rFonts w:cs="Arial"/>
          <w:lang w:val="es-CO"/>
        </w:rPr>
        <w:t xml:space="preserve">utilizar el método de flotabilidad de los organismos con </w:t>
      </w:r>
      <w:proofErr w:type="spellStart"/>
      <w:r w:rsidRPr="00BD1319">
        <w:rPr>
          <w:rFonts w:cs="Arial"/>
          <w:lang w:val="es-CO"/>
        </w:rPr>
        <w:t>Ludox</w:t>
      </w:r>
      <w:proofErr w:type="spellEnd"/>
      <w:r w:rsidRPr="00BD1319">
        <w:rPr>
          <w:rFonts w:cs="Arial"/>
          <w:lang w:val="es-CO"/>
        </w:rPr>
        <w:t>, facilitando así su separación del sedimento.</w:t>
      </w:r>
      <w:r w:rsidRPr="00BD1319">
        <w:rPr>
          <w:rFonts w:cs="Arial"/>
          <w:spacing w:val="-3"/>
          <w:lang w:val="es-CO"/>
        </w:rPr>
        <w:t xml:space="preserve"> En ambos casos se realiza </w:t>
      </w:r>
      <w:r w:rsidR="005E4E45" w:rsidRPr="00BD1319">
        <w:rPr>
          <w:rFonts w:cs="Arial"/>
          <w:spacing w:val="-3"/>
          <w:lang w:val="es-CO"/>
        </w:rPr>
        <w:t xml:space="preserve">el conteo y </w:t>
      </w:r>
      <w:r w:rsidR="004171A4" w:rsidRPr="00BD1319">
        <w:rPr>
          <w:rFonts w:cs="Arial"/>
          <w:spacing w:val="-3"/>
          <w:lang w:val="es-CO"/>
        </w:rPr>
        <w:t xml:space="preserve">determinación </w:t>
      </w:r>
      <w:r w:rsidRPr="00BD1319">
        <w:rPr>
          <w:rFonts w:cs="Arial"/>
          <w:spacing w:val="-3"/>
          <w:lang w:val="es-CO"/>
        </w:rPr>
        <w:t xml:space="preserve">taxonómica </w:t>
      </w:r>
      <w:r w:rsidR="005E4E45" w:rsidRPr="00BD1319">
        <w:rPr>
          <w:rFonts w:cs="Arial"/>
          <w:spacing w:val="-3"/>
          <w:lang w:val="es-CO"/>
        </w:rPr>
        <w:t>de los individuos</w:t>
      </w:r>
      <w:r w:rsidR="005E4E45" w:rsidRPr="00BD1319" w:rsidDel="004171A4">
        <w:rPr>
          <w:rFonts w:cs="Arial"/>
          <w:spacing w:val="-3"/>
          <w:lang w:val="es-CO"/>
        </w:rPr>
        <w:t xml:space="preserve"> </w:t>
      </w:r>
      <w:r w:rsidRPr="00BD1319">
        <w:rPr>
          <w:rFonts w:cs="Arial"/>
          <w:spacing w:val="-3"/>
          <w:lang w:val="es-CO"/>
        </w:rPr>
        <w:t>con ayuda de</w:t>
      </w:r>
      <w:r w:rsidR="008A2E06" w:rsidRPr="00BD1319">
        <w:rPr>
          <w:rFonts w:cs="Arial"/>
          <w:spacing w:val="-3"/>
          <w:lang w:val="es-CO"/>
        </w:rPr>
        <w:t xml:space="preserve"> un</w:t>
      </w:r>
      <w:r w:rsidRPr="00BD1319">
        <w:rPr>
          <w:rFonts w:cs="Arial"/>
          <w:spacing w:val="-3"/>
          <w:lang w:val="es-CO"/>
        </w:rPr>
        <w:t xml:space="preserve"> estereoscopio </w:t>
      </w:r>
      <w:r w:rsidRPr="00BD1319">
        <w:rPr>
          <w:rFonts w:cs="Arial"/>
          <w:lang w:val="es-CO"/>
        </w:rPr>
        <w:t>o microscopio</w:t>
      </w:r>
      <w:r w:rsidRPr="00BD1319">
        <w:rPr>
          <w:rFonts w:cs="Arial"/>
          <w:spacing w:val="-3"/>
          <w:lang w:val="es-CO"/>
        </w:rPr>
        <w:t xml:space="preserve">. </w:t>
      </w:r>
      <w:r w:rsidR="00FE4070" w:rsidRPr="00BD1319">
        <w:rPr>
          <w:rFonts w:cs="Arial"/>
          <w:spacing w:val="-3"/>
          <w:lang w:val="es-CO"/>
        </w:rPr>
        <w:t>Una muestra de l</w:t>
      </w:r>
      <w:r w:rsidRPr="00BD1319">
        <w:rPr>
          <w:rFonts w:cs="Arial"/>
          <w:spacing w:val="-3"/>
          <w:lang w:val="es-CO"/>
        </w:rPr>
        <w:t>os ejemplares capturados debe</w:t>
      </w:r>
      <w:r w:rsidR="00FE4070" w:rsidRPr="00BD1319">
        <w:rPr>
          <w:rFonts w:cs="Arial"/>
          <w:spacing w:val="-3"/>
          <w:lang w:val="es-CO"/>
        </w:rPr>
        <w:t xml:space="preserve"> ser</w:t>
      </w:r>
      <w:r w:rsidRPr="00BD1319">
        <w:rPr>
          <w:rFonts w:cs="Arial"/>
          <w:spacing w:val="-3"/>
          <w:lang w:val="es-CO"/>
        </w:rPr>
        <w:t xml:space="preserve"> deposita</w:t>
      </w:r>
      <w:r w:rsidR="00FE4070" w:rsidRPr="00BD1319">
        <w:rPr>
          <w:rFonts w:cs="Arial"/>
          <w:spacing w:val="-3"/>
          <w:lang w:val="es-CO"/>
        </w:rPr>
        <w:t>da</w:t>
      </w:r>
      <w:r w:rsidRPr="00BD1319">
        <w:rPr>
          <w:rFonts w:cs="Arial"/>
          <w:spacing w:val="-3"/>
          <w:lang w:val="es-CO"/>
        </w:rPr>
        <w:t xml:space="preserve"> en </w:t>
      </w:r>
      <w:r w:rsidR="00FE4070" w:rsidRPr="00BD1319">
        <w:rPr>
          <w:rFonts w:cs="Arial"/>
          <w:spacing w:val="-3"/>
          <w:lang w:val="es-CO"/>
        </w:rPr>
        <w:t xml:space="preserve">una de las </w:t>
      </w:r>
      <w:r w:rsidRPr="00BD1319">
        <w:rPr>
          <w:rFonts w:cs="Arial"/>
          <w:spacing w:val="-3"/>
          <w:lang w:val="es-CO"/>
        </w:rPr>
        <w:t xml:space="preserve">colecciones biológicas </w:t>
      </w:r>
      <w:r w:rsidR="00FE4070" w:rsidRPr="00BD1319">
        <w:rPr>
          <w:rFonts w:cs="Arial"/>
          <w:spacing w:val="-3"/>
          <w:lang w:val="es-CO"/>
        </w:rPr>
        <w:t>registradas en el Registro Único Nacional de Colecciones Biológicas (RCN)</w:t>
      </w:r>
      <w:r w:rsidR="00FE4070" w:rsidRPr="00BD1319" w:rsidDel="00FE4070">
        <w:rPr>
          <w:rFonts w:cs="Arial"/>
          <w:spacing w:val="-3"/>
          <w:lang w:val="es-CO"/>
        </w:rPr>
        <w:t xml:space="preserve"> </w:t>
      </w:r>
      <w:r w:rsidRPr="00BD1319">
        <w:rPr>
          <w:rFonts w:cs="Arial"/>
          <w:spacing w:val="-3"/>
          <w:lang w:val="es-CO"/>
        </w:rPr>
        <w:t xml:space="preserve">que asegure un sistema de preservación en líquido óptimo de acuerdo con los estándares actuales establecidos. Para organismos marinos se debe corroborar la información taxonómica con la base de datos </w:t>
      </w:r>
      <w:proofErr w:type="spellStart"/>
      <w:r w:rsidRPr="00BD1319">
        <w:rPr>
          <w:rFonts w:cs="Arial"/>
          <w:spacing w:val="-3"/>
          <w:lang w:val="es-CO"/>
        </w:rPr>
        <w:t>World</w:t>
      </w:r>
      <w:proofErr w:type="spellEnd"/>
      <w:r w:rsidRPr="00BD1319">
        <w:rPr>
          <w:rFonts w:cs="Arial"/>
          <w:spacing w:val="-3"/>
          <w:lang w:val="es-CO"/>
        </w:rPr>
        <w:t xml:space="preserve"> </w:t>
      </w:r>
      <w:proofErr w:type="spellStart"/>
      <w:r w:rsidRPr="00BD1319">
        <w:rPr>
          <w:rFonts w:cs="Arial"/>
          <w:spacing w:val="-3"/>
          <w:lang w:val="es-CO"/>
        </w:rPr>
        <w:t>Register</w:t>
      </w:r>
      <w:proofErr w:type="spellEnd"/>
      <w:r w:rsidRPr="00BD1319">
        <w:rPr>
          <w:rFonts w:cs="Arial"/>
          <w:spacing w:val="-3"/>
          <w:lang w:val="es-CO"/>
        </w:rPr>
        <w:t xml:space="preserve"> </w:t>
      </w:r>
      <w:proofErr w:type="spellStart"/>
      <w:r w:rsidRPr="00BD1319">
        <w:rPr>
          <w:rFonts w:cs="Arial"/>
          <w:spacing w:val="-3"/>
          <w:lang w:val="es-CO"/>
        </w:rPr>
        <w:t>of</w:t>
      </w:r>
      <w:proofErr w:type="spellEnd"/>
      <w:r w:rsidRPr="00BD1319">
        <w:rPr>
          <w:rFonts w:cs="Arial"/>
          <w:spacing w:val="-3"/>
          <w:lang w:val="es-CO"/>
        </w:rPr>
        <w:t xml:space="preserve"> Marine </w:t>
      </w:r>
      <w:proofErr w:type="spellStart"/>
      <w:r w:rsidRPr="00BD1319">
        <w:rPr>
          <w:rFonts w:cs="Arial"/>
          <w:spacing w:val="-3"/>
          <w:lang w:val="es-CO"/>
        </w:rPr>
        <w:t>Species</w:t>
      </w:r>
      <w:proofErr w:type="spellEnd"/>
      <w:r w:rsidR="003B6B89" w:rsidRPr="00BD1319">
        <w:rPr>
          <w:rFonts w:cs="Arial"/>
          <w:spacing w:val="-3"/>
          <w:lang w:val="es-CO"/>
        </w:rPr>
        <w:t xml:space="preserve"> (</w:t>
      </w:r>
      <w:proofErr w:type="spellStart"/>
      <w:r w:rsidR="003B6B89" w:rsidRPr="00BD1319">
        <w:rPr>
          <w:rFonts w:cs="Arial"/>
          <w:spacing w:val="-3"/>
          <w:lang w:val="es-CO"/>
        </w:rPr>
        <w:t>WoRMS</w:t>
      </w:r>
      <w:proofErr w:type="spellEnd"/>
      <w:r w:rsidRPr="00BD1319">
        <w:rPr>
          <w:rFonts w:cs="Arial"/>
          <w:spacing w:val="-3"/>
          <w:lang w:val="es-CO"/>
        </w:rPr>
        <w:t xml:space="preserve">) y para organismos acuáticos continentales la base de datos </w:t>
      </w:r>
      <w:proofErr w:type="spellStart"/>
      <w:r w:rsidRPr="00BD1319">
        <w:rPr>
          <w:rFonts w:cs="Arial"/>
          <w:spacing w:val="-3"/>
          <w:lang w:val="es-CO"/>
        </w:rPr>
        <w:t>Integrated</w:t>
      </w:r>
      <w:proofErr w:type="spellEnd"/>
      <w:r w:rsidRPr="00BD1319">
        <w:rPr>
          <w:rFonts w:cs="Arial"/>
          <w:spacing w:val="-3"/>
          <w:lang w:val="es-CO"/>
        </w:rPr>
        <w:t xml:space="preserve"> </w:t>
      </w:r>
      <w:proofErr w:type="spellStart"/>
      <w:r w:rsidRPr="00BD1319">
        <w:rPr>
          <w:rFonts w:cs="Arial"/>
          <w:spacing w:val="-3"/>
          <w:lang w:val="es-CO"/>
        </w:rPr>
        <w:t>Taxonomic</w:t>
      </w:r>
      <w:proofErr w:type="spellEnd"/>
      <w:r w:rsidRPr="00BD1319">
        <w:rPr>
          <w:rFonts w:cs="Arial"/>
          <w:spacing w:val="-3"/>
          <w:lang w:val="es-CO"/>
        </w:rPr>
        <w:t xml:space="preserve"> </w:t>
      </w:r>
      <w:proofErr w:type="spellStart"/>
      <w:r w:rsidRPr="00BD1319">
        <w:rPr>
          <w:rFonts w:cs="Arial"/>
          <w:spacing w:val="-3"/>
          <w:lang w:val="es-CO"/>
        </w:rPr>
        <w:t>Information</w:t>
      </w:r>
      <w:proofErr w:type="spellEnd"/>
      <w:r w:rsidRPr="00BD1319">
        <w:rPr>
          <w:rFonts w:cs="Arial"/>
          <w:spacing w:val="-3"/>
          <w:lang w:val="es-CO"/>
        </w:rPr>
        <w:t xml:space="preserve"> </w:t>
      </w:r>
      <w:proofErr w:type="spellStart"/>
      <w:r w:rsidRPr="00BD1319">
        <w:rPr>
          <w:rFonts w:cs="Arial"/>
          <w:spacing w:val="-3"/>
          <w:lang w:val="es-CO"/>
        </w:rPr>
        <w:t>System</w:t>
      </w:r>
      <w:proofErr w:type="spellEnd"/>
      <w:r w:rsidR="003B6B89" w:rsidRPr="00BD1319">
        <w:rPr>
          <w:rFonts w:cs="Arial"/>
          <w:spacing w:val="-3"/>
          <w:lang w:val="es-CO"/>
        </w:rPr>
        <w:t xml:space="preserve"> (ITIS</w:t>
      </w:r>
      <w:r w:rsidRPr="00BD1319">
        <w:rPr>
          <w:rFonts w:cs="Arial"/>
          <w:spacing w:val="-3"/>
          <w:lang w:val="es-CO"/>
        </w:rPr>
        <w:t>).</w:t>
      </w:r>
    </w:p>
    <w:p w14:paraId="7CE61D64" w14:textId="77777777" w:rsidR="00482A5F" w:rsidRPr="00BD1319" w:rsidRDefault="00482A5F" w:rsidP="009420F5">
      <w:pPr>
        <w:rPr>
          <w:rFonts w:cs="Arial"/>
          <w:spacing w:val="-3"/>
        </w:rPr>
      </w:pPr>
    </w:p>
    <w:p w14:paraId="230277E5" w14:textId="261C0101" w:rsidR="00482A5F" w:rsidRPr="00BD1319" w:rsidRDefault="00482A5F" w:rsidP="00C86DA5">
      <w:pPr>
        <w:pStyle w:val="Prrafodelista"/>
        <w:numPr>
          <w:ilvl w:val="0"/>
          <w:numId w:val="86"/>
        </w:numPr>
        <w:tabs>
          <w:tab w:val="left" w:pos="-2268"/>
        </w:tabs>
        <w:suppressAutoHyphens/>
        <w:ind w:left="567" w:hanging="567"/>
        <w:rPr>
          <w:rFonts w:cs="Arial"/>
          <w:spacing w:val="-3"/>
          <w:lang w:val="es-CO"/>
        </w:rPr>
      </w:pPr>
      <w:r w:rsidRPr="00BD1319">
        <w:rPr>
          <w:rFonts w:cs="Arial"/>
          <w:spacing w:val="-3"/>
          <w:u w:val="single"/>
          <w:lang w:val="es-CO"/>
        </w:rPr>
        <w:lastRenderedPageBreak/>
        <w:t>Necton (peces):</w:t>
      </w:r>
      <w:r w:rsidRPr="00BD1319">
        <w:rPr>
          <w:rFonts w:cs="Arial"/>
          <w:spacing w:val="-3"/>
          <w:lang w:val="es-CO"/>
        </w:rPr>
        <w:t xml:space="preserve"> la </w:t>
      </w:r>
      <w:r w:rsidR="004171A4" w:rsidRPr="00BD1319">
        <w:rPr>
          <w:rFonts w:cs="Arial"/>
          <w:spacing w:val="-3"/>
          <w:lang w:val="es-CO"/>
        </w:rPr>
        <w:t xml:space="preserve">determinación </w:t>
      </w:r>
      <w:r w:rsidRPr="00BD1319">
        <w:rPr>
          <w:rFonts w:cs="Arial"/>
          <w:spacing w:val="-3"/>
          <w:lang w:val="es-CO"/>
        </w:rPr>
        <w:t xml:space="preserve">de los peces se debe realizar hasta la categoría taxonómica más precisa posible, teniendo en cuenta la disponibilidad de claves taxonómicas para el área geográfica objeto de estudio y corroborando la información primaria recolectada con estudios e investigaciones realizadas previamente. La nomenclatura taxonómica para </w:t>
      </w:r>
      <w:r w:rsidR="00B16612" w:rsidRPr="00BD1319">
        <w:rPr>
          <w:rFonts w:cs="Arial"/>
          <w:spacing w:val="-3"/>
          <w:lang w:val="es-CO"/>
        </w:rPr>
        <w:t xml:space="preserve">los peces dulceacuícolas </w:t>
      </w:r>
      <w:r w:rsidRPr="00BD1319">
        <w:rPr>
          <w:rFonts w:cs="Arial"/>
          <w:spacing w:val="-3"/>
          <w:lang w:val="es-CO"/>
        </w:rPr>
        <w:t xml:space="preserve">debe seguir </w:t>
      </w:r>
      <w:r w:rsidR="00B16612" w:rsidRPr="00BD1319">
        <w:rPr>
          <w:rFonts w:cs="Arial"/>
          <w:spacing w:val="-3"/>
          <w:lang w:val="es-CO"/>
        </w:rPr>
        <w:t xml:space="preserve">la versión más actualizada de </w:t>
      </w:r>
      <w:r w:rsidR="00F103D5" w:rsidRPr="00BD1319">
        <w:rPr>
          <w:rFonts w:cs="Arial"/>
          <w:spacing w:val="-3"/>
          <w:lang w:val="es-CO"/>
        </w:rPr>
        <w:t xml:space="preserve">la Lista de </w:t>
      </w:r>
      <w:r w:rsidR="00B16612" w:rsidRPr="00BD1319">
        <w:rPr>
          <w:rFonts w:cs="Arial"/>
          <w:spacing w:val="-3"/>
          <w:lang w:val="es-CO"/>
        </w:rPr>
        <w:t>peces de agua dulce de Colombia</w:t>
      </w:r>
      <w:r w:rsidR="00B16612" w:rsidRPr="00BD1319">
        <w:rPr>
          <w:rStyle w:val="Refdenotaalpie"/>
          <w:rFonts w:cs="Arial"/>
          <w:spacing w:val="-3"/>
          <w:lang w:val="es-CO"/>
        </w:rPr>
        <w:footnoteReference w:id="147"/>
      </w:r>
      <w:r w:rsidR="00F103D5" w:rsidRPr="00BD1319">
        <w:rPr>
          <w:rFonts w:cs="Arial"/>
          <w:spacing w:val="-3"/>
          <w:lang w:val="es-CO"/>
        </w:rPr>
        <w:t>;</w:t>
      </w:r>
      <w:r w:rsidRPr="00BD1319">
        <w:rPr>
          <w:rFonts w:cs="Arial"/>
          <w:spacing w:val="-3"/>
          <w:lang w:val="es-CO"/>
        </w:rPr>
        <w:t xml:space="preserve"> </w:t>
      </w:r>
      <w:r w:rsidR="00F103D5" w:rsidRPr="00BD1319">
        <w:rPr>
          <w:rFonts w:cs="Arial"/>
          <w:spacing w:val="-3"/>
          <w:lang w:val="es-CO"/>
        </w:rPr>
        <w:t xml:space="preserve">es una buena práctica </w:t>
      </w:r>
      <w:r w:rsidRPr="00BD1319">
        <w:rPr>
          <w:rFonts w:cs="Arial"/>
          <w:spacing w:val="-3"/>
          <w:lang w:val="es-CO"/>
        </w:rPr>
        <w:t>consulta</w:t>
      </w:r>
      <w:r w:rsidR="00F103D5" w:rsidRPr="00BD1319">
        <w:rPr>
          <w:rFonts w:cs="Arial"/>
          <w:spacing w:val="-3"/>
          <w:lang w:val="es-CO"/>
        </w:rPr>
        <w:t>r</w:t>
      </w:r>
      <w:r w:rsidRPr="00BD1319">
        <w:rPr>
          <w:rFonts w:cs="Arial"/>
          <w:spacing w:val="-3"/>
          <w:lang w:val="es-CO"/>
        </w:rPr>
        <w:t xml:space="preserve"> otras fuentes de información como </w:t>
      </w:r>
      <w:r w:rsidR="00F103D5" w:rsidRPr="00BD1319">
        <w:rPr>
          <w:rFonts w:cs="Arial"/>
          <w:spacing w:val="-3"/>
          <w:lang w:val="es-CO"/>
        </w:rPr>
        <w:t xml:space="preserve">el </w:t>
      </w:r>
      <w:proofErr w:type="spellStart"/>
      <w:r w:rsidR="00B16612" w:rsidRPr="00BD1319">
        <w:rPr>
          <w:rFonts w:cs="Arial"/>
          <w:spacing w:val="-3"/>
          <w:lang w:val="es-CO"/>
        </w:rPr>
        <w:t>Eschmeyer's</w:t>
      </w:r>
      <w:proofErr w:type="spellEnd"/>
      <w:r w:rsidR="00B16612" w:rsidRPr="00BD1319">
        <w:rPr>
          <w:rFonts w:cs="Arial"/>
          <w:spacing w:val="-3"/>
          <w:lang w:val="es-CO"/>
        </w:rPr>
        <w:t xml:space="preserve"> </w:t>
      </w:r>
      <w:proofErr w:type="spellStart"/>
      <w:r w:rsidR="00B16612" w:rsidRPr="00BD1319">
        <w:rPr>
          <w:rFonts w:cs="Arial"/>
          <w:spacing w:val="-3"/>
          <w:lang w:val="es-CO"/>
        </w:rPr>
        <w:t>Catalog</w:t>
      </w:r>
      <w:proofErr w:type="spellEnd"/>
      <w:r w:rsidR="00B16612" w:rsidRPr="00BD1319">
        <w:rPr>
          <w:rFonts w:cs="Arial"/>
          <w:spacing w:val="-3"/>
          <w:lang w:val="es-CO"/>
        </w:rPr>
        <w:t xml:space="preserve"> </w:t>
      </w:r>
      <w:proofErr w:type="spellStart"/>
      <w:r w:rsidR="00B16612" w:rsidRPr="00BD1319">
        <w:rPr>
          <w:rFonts w:cs="Arial"/>
          <w:spacing w:val="-3"/>
          <w:lang w:val="es-CO"/>
        </w:rPr>
        <w:t>of</w:t>
      </w:r>
      <w:proofErr w:type="spellEnd"/>
      <w:r w:rsidR="00B16612" w:rsidRPr="00BD1319">
        <w:rPr>
          <w:rFonts w:cs="Arial"/>
          <w:spacing w:val="-3"/>
          <w:lang w:val="es-CO"/>
        </w:rPr>
        <w:t xml:space="preserve"> </w:t>
      </w:r>
      <w:proofErr w:type="spellStart"/>
      <w:r w:rsidR="00B16612" w:rsidRPr="00BD1319">
        <w:rPr>
          <w:rFonts w:cs="Arial"/>
          <w:spacing w:val="-3"/>
          <w:lang w:val="es-CO"/>
        </w:rPr>
        <w:t>Fishes</w:t>
      </w:r>
      <w:proofErr w:type="spellEnd"/>
      <w:r w:rsidR="00B16612" w:rsidRPr="00BD1319">
        <w:rPr>
          <w:rStyle w:val="Refdenotaalpie"/>
          <w:rFonts w:cs="Arial"/>
          <w:spacing w:val="-3"/>
          <w:lang w:val="es-CO"/>
        </w:rPr>
        <w:footnoteReference w:id="148"/>
      </w:r>
      <w:r w:rsidR="00B16612" w:rsidRPr="00BD1319">
        <w:rPr>
          <w:rFonts w:cs="Arial"/>
          <w:spacing w:val="-3"/>
          <w:lang w:val="es-CO"/>
        </w:rPr>
        <w:t xml:space="preserve"> </w:t>
      </w:r>
      <w:r w:rsidRPr="00BD1319">
        <w:rPr>
          <w:rFonts w:cs="Arial"/>
          <w:spacing w:val="-3"/>
          <w:lang w:val="es-CO"/>
        </w:rPr>
        <w:t>de la academia de ciencias de California</w:t>
      </w:r>
      <w:r w:rsidR="00B16612" w:rsidRPr="00BD1319">
        <w:rPr>
          <w:rFonts w:cs="Arial"/>
          <w:spacing w:val="-3"/>
          <w:lang w:val="es-CO"/>
        </w:rPr>
        <w:t xml:space="preserve"> y Fishbase.org</w:t>
      </w:r>
      <w:r w:rsidRPr="00BD1319">
        <w:rPr>
          <w:rFonts w:cs="Arial"/>
          <w:spacing w:val="-3"/>
          <w:lang w:val="es-CO"/>
        </w:rPr>
        <w:t xml:space="preserve">. Para organismos marinos se debe corroborar la información taxonómica con la base de datos </w:t>
      </w:r>
      <w:proofErr w:type="spellStart"/>
      <w:r w:rsidRPr="00BD1319">
        <w:rPr>
          <w:rFonts w:cs="Arial"/>
          <w:spacing w:val="-3"/>
          <w:lang w:val="es-CO"/>
        </w:rPr>
        <w:t>World</w:t>
      </w:r>
      <w:proofErr w:type="spellEnd"/>
      <w:r w:rsidRPr="00BD1319">
        <w:rPr>
          <w:rFonts w:cs="Arial"/>
          <w:spacing w:val="-3"/>
          <w:lang w:val="es-CO"/>
        </w:rPr>
        <w:t xml:space="preserve"> </w:t>
      </w:r>
      <w:proofErr w:type="spellStart"/>
      <w:r w:rsidRPr="00BD1319">
        <w:rPr>
          <w:rFonts w:cs="Arial"/>
          <w:spacing w:val="-3"/>
          <w:lang w:val="es-CO"/>
        </w:rPr>
        <w:t>Register</w:t>
      </w:r>
      <w:proofErr w:type="spellEnd"/>
      <w:r w:rsidRPr="00BD1319">
        <w:rPr>
          <w:rFonts w:cs="Arial"/>
          <w:spacing w:val="-3"/>
          <w:lang w:val="es-CO"/>
        </w:rPr>
        <w:t xml:space="preserve"> </w:t>
      </w:r>
      <w:proofErr w:type="spellStart"/>
      <w:r w:rsidRPr="00BD1319">
        <w:rPr>
          <w:rFonts w:cs="Arial"/>
          <w:spacing w:val="-3"/>
          <w:lang w:val="es-CO"/>
        </w:rPr>
        <w:t>of</w:t>
      </w:r>
      <w:proofErr w:type="spellEnd"/>
      <w:r w:rsidRPr="00BD1319">
        <w:rPr>
          <w:rFonts w:cs="Arial"/>
          <w:spacing w:val="-3"/>
          <w:lang w:val="es-CO"/>
        </w:rPr>
        <w:t xml:space="preserve"> Marine </w:t>
      </w:r>
      <w:proofErr w:type="spellStart"/>
      <w:r w:rsidRPr="00BD1319">
        <w:rPr>
          <w:rFonts w:cs="Arial"/>
          <w:spacing w:val="-3"/>
          <w:lang w:val="es-CO"/>
        </w:rPr>
        <w:t>Species</w:t>
      </w:r>
      <w:proofErr w:type="spellEnd"/>
      <w:r w:rsidR="00F103D5" w:rsidRPr="00BD1319">
        <w:rPr>
          <w:rFonts w:cs="Arial"/>
          <w:spacing w:val="-3"/>
          <w:lang w:val="es-CO"/>
        </w:rPr>
        <w:t xml:space="preserve"> (</w:t>
      </w:r>
      <w:proofErr w:type="spellStart"/>
      <w:r w:rsidR="00F103D5" w:rsidRPr="00BD1319">
        <w:rPr>
          <w:rFonts w:cs="Arial"/>
          <w:spacing w:val="-3"/>
          <w:lang w:val="es-CO"/>
        </w:rPr>
        <w:t>WoRMS</w:t>
      </w:r>
      <w:proofErr w:type="spellEnd"/>
      <w:r w:rsidRPr="00BD1319">
        <w:rPr>
          <w:rFonts w:cs="Arial"/>
          <w:spacing w:val="-3"/>
          <w:lang w:val="es-CO"/>
        </w:rPr>
        <w:t xml:space="preserve">). </w:t>
      </w:r>
      <w:r w:rsidR="00B16612" w:rsidRPr="00BD1319">
        <w:rPr>
          <w:rFonts w:cs="Arial"/>
          <w:spacing w:val="-3"/>
          <w:lang w:val="es-CO"/>
        </w:rPr>
        <w:t xml:space="preserve">Una muestra de los </w:t>
      </w:r>
      <w:r w:rsidRPr="00BD1319">
        <w:rPr>
          <w:rFonts w:cs="Arial"/>
          <w:spacing w:val="-3"/>
          <w:lang w:val="es-CO"/>
        </w:rPr>
        <w:t xml:space="preserve">ejemplares capturados que cumplan con los requerimientos de fijación y preservación establecidos por las colecciones biológicas o de referencia, se debe depositar en </w:t>
      </w:r>
      <w:r w:rsidR="00F103D5" w:rsidRPr="00BD1319">
        <w:rPr>
          <w:rFonts w:cs="Arial"/>
          <w:spacing w:val="-3"/>
          <w:lang w:val="es-CO"/>
        </w:rPr>
        <w:t>é</w:t>
      </w:r>
      <w:r w:rsidRPr="00BD1319">
        <w:rPr>
          <w:rFonts w:cs="Arial"/>
          <w:spacing w:val="-3"/>
          <w:lang w:val="es-CO"/>
        </w:rPr>
        <w:t>stas, asegurando un sistema de preservación en líquido óptimo de acuerdo con los estándares actuales establecidos.</w:t>
      </w:r>
    </w:p>
    <w:p w14:paraId="30BE5BB1" w14:textId="0F4445B9" w:rsidR="00482A5F" w:rsidRPr="00BD1319" w:rsidRDefault="00482A5F">
      <w:pPr>
        <w:numPr>
          <w:ilvl w:val="12"/>
          <w:numId w:val="0"/>
        </w:numPr>
        <w:tabs>
          <w:tab w:val="left" w:pos="-2268"/>
        </w:tabs>
        <w:suppressAutoHyphens/>
        <w:rPr>
          <w:spacing w:val="-3"/>
        </w:rPr>
      </w:pPr>
    </w:p>
    <w:p w14:paraId="11D0646E" w14:textId="77777777" w:rsidR="00482A5F" w:rsidRPr="00BD1319" w:rsidRDefault="00482A5F">
      <w:pPr>
        <w:tabs>
          <w:tab w:val="left" w:pos="-2268"/>
        </w:tabs>
        <w:suppressAutoHyphens/>
        <w:rPr>
          <w:spacing w:val="-3"/>
          <w:u w:val="single"/>
        </w:rPr>
      </w:pPr>
      <w:r w:rsidRPr="00BD1319">
        <w:rPr>
          <w:spacing w:val="-3"/>
          <w:u w:val="single"/>
        </w:rPr>
        <w:t>Fase de oficina</w:t>
      </w:r>
    </w:p>
    <w:p w14:paraId="02A97C3F" w14:textId="77777777" w:rsidR="00482A5F" w:rsidRPr="00BD1319" w:rsidRDefault="00482A5F">
      <w:pPr>
        <w:numPr>
          <w:ilvl w:val="12"/>
          <w:numId w:val="0"/>
        </w:numPr>
        <w:tabs>
          <w:tab w:val="left" w:pos="-2268"/>
        </w:tabs>
        <w:suppressAutoHyphens/>
        <w:rPr>
          <w:spacing w:val="-3"/>
        </w:rPr>
      </w:pPr>
    </w:p>
    <w:p w14:paraId="3B103DC6" w14:textId="23D9B360" w:rsidR="00482A5F" w:rsidRPr="00BD1319" w:rsidRDefault="00482A5F">
      <w:pPr>
        <w:numPr>
          <w:ilvl w:val="12"/>
          <w:numId w:val="0"/>
        </w:numPr>
        <w:tabs>
          <w:tab w:val="left" w:pos="-2268"/>
        </w:tabs>
        <w:suppressAutoHyphens/>
        <w:rPr>
          <w:spacing w:val="-3"/>
        </w:rPr>
      </w:pPr>
      <w:r w:rsidRPr="00BD1319">
        <w:rPr>
          <w:spacing w:val="-3"/>
        </w:rPr>
        <w:t xml:space="preserve">Estudiar la estructura de las </w:t>
      </w:r>
      <w:r w:rsidR="002645AC" w:rsidRPr="00BD1319">
        <w:rPr>
          <w:spacing w:val="-3"/>
        </w:rPr>
        <w:t xml:space="preserve">comunidades </w:t>
      </w:r>
      <w:r w:rsidR="00FD4F7D" w:rsidRPr="00BD1319">
        <w:rPr>
          <w:spacing w:val="-3"/>
        </w:rPr>
        <w:t xml:space="preserve">desarrollando un </w:t>
      </w:r>
      <w:r w:rsidRPr="00BD1319">
        <w:rPr>
          <w:spacing w:val="-3"/>
        </w:rPr>
        <w:t xml:space="preserve">análisis de la diversidad y abundancia de los organismos presentes, </w:t>
      </w:r>
      <w:r w:rsidR="00FD4F7D" w:rsidRPr="00BD1319">
        <w:rPr>
          <w:spacing w:val="-3"/>
        </w:rPr>
        <w:t xml:space="preserve">mediante </w:t>
      </w:r>
      <w:r w:rsidRPr="00BD1319">
        <w:rPr>
          <w:spacing w:val="-3"/>
        </w:rPr>
        <w:t xml:space="preserve">índices de diversidad como el índice de riqueza de Margalef, índice de equidad de Shannon, </w:t>
      </w:r>
      <w:r w:rsidR="00C21431" w:rsidRPr="00BD1319">
        <w:rPr>
          <w:spacing w:val="-3"/>
        </w:rPr>
        <w:t xml:space="preserve">índice de </w:t>
      </w:r>
      <w:r w:rsidR="00645960" w:rsidRPr="00BD1319">
        <w:rPr>
          <w:spacing w:val="-3"/>
        </w:rPr>
        <w:t xml:space="preserve">equitatividad </w:t>
      </w:r>
      <w:r w:rsidR="00C21431" w:rsidRPr="00BD1319">
        <w:rPr>
          <w:spacing w:val="-3"/>
        </w:rPr>
        <w:t xml:space="preserve">de </w:t>
      </w:r>
      <w:proofErr w:type="spellStart"/>
      <w:r w:rsidR="00C21431" w:rsidRPr="00BD1319">
        <w:rPr>
          <w:spacing w:val="-3"/>
        </w:rPr>
        <w:t>Pielou</w:t>
      </w:r>
      <w:proofErr w:type="spellEnd"/>
      <w:r w:rsidR="002645AC" w:rsidRPr="00BD1319">
        <w:rPr>
          <w:spacing w:val="-3"/>
        </w:rPr>
        <w:t xml:space="preserve">, </w:t>
      </w:r>
      <w:r w:rsidRPr="00BD1319">
        <w:rPr>
          <w:spacing w:val="-3"/>
        </w:rPr>
        <w:t xml:space="preserve">dominancia de Simpson-r, curvas de dominancia, entre otros. </w:t>
      </w:r>
      <w:r w:rsidR="00FD4F7D" w:rsidRPr="00BD1319">
        <w:rPr>
          <w:spacing w:val="-3"/>
        </w:rPr>
        <w:t>E</w:t>
      </w:r>
      <w:r w:rsidRPr="00BD1319">
        <w:rPr>
          <w:spacing w:val="-3"/>
        </w:rPr>
        <w:t xml:space="preserve">stos datos se deben complementar con un análisis de clasificación y ordenación mediante los índices de afinidad o </w:t>
      </w:r>
      <w:proofErr w:type="spellStart"/>
      <w:r w:rsidRPr="00BD1319">
        <w:rPr>
          <w:spacing w:val="-3"/>
        </w:rPr>
        <w:t>disimilaridad</w:t>
      </w:r>
      <w:proofErr w:type="spellEnd"/>
      <w:r w:rsidRPr="00BD1319">
        <w:rPr>
          <w:spacing w:val="-3"/>
        </w:rPr>
        <w:t xml:space="preserve"> tales como afinidad de Jaccard, afinidad de Dice y porcentaje de </w:t>
      </w:r>
      <w:proofErr w:type="spellStart"/>
      <w:r w:rsidRPr="00BD1319">
        <w:rPr>
          <w:spacing w:val="-3"/>
        </w:rPr>
        <w:t>similaridad</w:t>
      </w:r>
      <w:proofErr w:type="spellEnd"/>
      <w:r w:rsidRPr="00BD1319">
        <w:rPr>
          <w:spacing w:val="-3"/>
        </w:rPr>
        <w:t xml:space="preserve"> Bray-Curtis, entre otros</w:t>
      </w:r>
      <w:r w:rsidR="00FD4F7D" w:rsidRPr="00BD1319">
        <w:rPr>
          <w:spacing w:val="-3"/>
        </w:rPr>
        <w:t xml:space="preserve"> (Ramírez &amp; Viña, 1998)</w:t>
      </w:r>
      <w:r w:rsidRPr="00BD1319">
        <w:rPr>
          <w:spacing w:val="-3"/>
        </w:rPr>
        <w:t>.</w:t>
      </w:r>
    </w:p>
    <w:p w14:paraId="791EBA4F" w14:textId="77777777" w:rsidR="00482A5F" w:rsidRPr="00BD1319" w:rsidRDefault="00482A5F">
      <w:pPr>
        <w:numPr>
          <w:ilvl w:val="12"/>
          <w:numId w:val="0"/>
        </w:numPr>
        <w:tabs>
          <w:tab w:val="left" w:pos="-2268"/>
        </w:tabs>
        <w:suppressAutoHyphens/>
        <w:rPr>
          <w:spacing w:val="-3"/>
        </w:rPr>
      </w:pPr>
    </w:p>
    <w:p w14:paraId="1068AC17" w14:textId="10B2642F" w:rsidR="00465339" w:rsidRPr="00BD1319" w:rsidRDefault="00465339">
      <w:pPr>
        <w:numPr>
          <w:ilvl w:val="12"/>
          <w:numId w:val="0"/>
        </w:numPr>
        <w:tabs>
          <w:tab w:val="left" w:pos="-2268"/>
        </w:tabs>
        <w:suppressAutoHyphens/>
        <w:rPr>
          <w:spacing w:val="-3"/>
        </w:rPr>
      </w:pPr>
      <w:r w:rsidRPr="00BD1319">
        <w:rPr>
          <w:spacing w:val="-3"/>
        </w:rPr>
        <w:t>Se debe</w:t>
      </w:r>
      <w:r w:rsidR="00E246E1" w:rsidRPr="00BD1319">
        <w:rPr>
          <w:spacing w:val="-3"/>
        </w:rPr>
        <w:t xml:space="preserve">n </w:t>
      </w:r>
      <w:r w:rsidRPr="00BD1319">
        <w:rPr>
          <w:spacing w:val="-3"/>
        </w:rPr>
        <w:t>an</w:t>
      </w:r>
      <w:r w:rsidR="00E246E1" w:rsidRPr="00BD1319">
        <w:rPr>
          <w:spacing w:val="-3"/>
        </w:rPr>
        <w:t xml:space="preserve">alizar </w:t>
      </w:r>
      <w:r w:rsidRPr="00BD1319">
        <w:rPr>
          <w:spacing w:val="-3"/>
        </w:rPr>
        <w:t xml:space="preserve">los resultados de las caracterizaciones de comunidades hidrobiológicas </w:t>
      </w:r>
      <w:r w:rsidR="00E246E1" w:rsidRPr="00BD1319">
        <w:rPr>
          <w:spacing w:val="-3"/>
        </w:rPr>
        <w:t xml:space="preserve">en términos de </w:t>
      </w:r>
      <w:r w:rsidRPr="00BD1319">
        <w:rPr>
          <w:spacing w:val="-3"/>
        </w:rPr>
        <w:t xml:space="preserve">composición y estructura con respecto </w:t>
      </w:r>
      <w:r w:rsidR="008C3676" w:rsidRPr="00BD1319">
        <w:rPr>
          <w:spacing w:val="-3"/>
        </w:rPr>
        <w:t>a</w:t>
      </w:r>
      <w:r w:rsidRPr="00BD1319">
        <w:rPr>
          <w:spacing w:val="-3"/>
        </w:rPr>
        <w:t xml:space="preserve"> las variables fisicoquímicas presentadas en el estudio</w:t>
      </w:r>
      <w:r w:rsidR="008C3676" w:rsidRPr="00BD1319">
        <w:rPr>
          <w:spacing w:val="-3"/>
        </w:rPr>
        <w:t xml:space="preserve"> y, establecer el comportamiento de </w:t>
      </w:r>
      <w:r w:rsidRPr="00BD1319">
        <w:rPr>
          <w:spacing w:val="-3"/>
        </w:rPr>
        <w:t xml:space="preserve">las comunidades hidrobiológicas como indicadores de calidad biológica del agua a partir de </w:t>
      </w:r>
      <w:r w:rsidR="008C3676" w:rsidRPr="00BD1319">
        <w:rPr>
          <w:spacing w:val="-3"/>
        </w:rPr>
        <w:t xml:space="preserve">su </w:t>
      </w:r>
      <w:r w:rsidRPr="00BD1319">
        <w:rPr>
          <w:spacing w:val="-3"/>
        </w:rPr>
        <w:t xml:space="preserve">correlación </w:t>
      </w:r>
      <w:r w:rsidR="008C3676" w:rsidRPr="00BD1319">
        <w:rPr>
          <w:spacing w:val="-3"/>
        </w:rPr>
        <w:t xml:space="preserve">con </w:t>
      </w:r>
      <w:r w:rsidRPr="00BD1319">
        <w:rPr>
          <w:spacing w:val="-3"/>
        </w:rPr>
        <w:t>los datos fisicoquímicos registrados.</w:t>
      </w:r>
    </w:p>
    <w:p w14:paraId="1149BEC9" w14:textId="77777777" w:rsidR="00465339" w:rsidRPr="00BD1319" w:rsidRDefault="00465339">
      <w:pPr>
        <w:numPr>
          <w:ilvl w:val="12"/>
          <w:numId w:val="0"/>
        </w:numPr>
        <w:tabs>
          <w:tab w:val="left" w:pos="-2268"/>
        </w:tabs>
        <w:suppressAutoHyphens/>
        <w:rPr>
          <w:spacing w:val="-3"/>
        </w:rPr>
      </w:pPr>
    </w:p>
    <w:p w14:paraId="2ADE5054" w14:textId="677EE8E1" w:rsidR="00482A5F" w:rsidRPr="00BD1319" w:rsidRDefault="00482A5F" w:rsidP="00482A5F">
      <w:pPr>
        <w:numPr>
          <w:ilvl w:val="12"/>
          <w:numId w:val="0"/>
        </w:numPr>
        <w:tabs>
          <w:tab w:val="left" w:pos="-2268"/>
        </w:tabs>
        <w:suppressAutoHyphens/>
        <w:rPr>
          <w:rFonts w:cs="Arial"/>
          <w:spacing w:val="-3"/>
        </w:rPr>
      </w:pPr>
      <w:r w:rsidRPr="00BD1319">
        <w:rPr>
          <w:spacing w:val="-3"/>
        </w:rPr>
        <w:t xml:space="preserve">Realizar un análisis de la bio-indicación de manera cuantitativa partiendo de la abundancia relativa de los </w:t>
      </w:r>
      <w:r w:rsidR="00B8216A" w:rsidRPr="00BD1319">
        <w:rPr>
          <w:spacing w:val="-3"/>
        </w:rPr>
        <w:t xml:space="preserve">taxones </w:t>
      </w:r>
      <w:r w:rsidRPr="00BD1319">
        <w:rPr>
          <w:spacing w:val="-3"/>
        </w:rPr>
        <w:t xml:space="preserve">encontrados (especies indicadoras). Estos resultados se deben correlacionar con los análisis físicos y químicos </w:t>
      </w:r>
      <w:r w:rsidRPr="00BD1319">
        <w:rPr>
          <w:rFonts w:cs="Arial"/>
          <w:spacing w:val="-3"/>
        </w:rPr>
        <w:t>haciendo uso</w:t>
      </w:r>
      <w:r w:rsidRPr="00BD1319">
        <w:rPr>
          <w:spacing w:val="-3"/>
        </w:rPr>
        <w:t xml:space="preserve"> de </w:t>
      </w:r>
      <w:r w:rsidRPr="00BD1319">
        <w:rPr>
          <w:rFonts w:cs="Arial"/>
          <w:spacing w:val="-3"/>
        </w:rPr>
        <w:t>técnicas de estadística multivariada</w:t>
      </w:r>
      <w:r w:rsidRPr="00BD1319">
        <w:rPr>
          <w:spacing w:val="-3"/>
        </w:rPr>
        <w:t xml:space="preserve"> como BIOENV</w:t>
      </w:r>
      <w:r w:rsidRPr="00BD1319">
        <w:rPr>
          <w:rFonts w:cs="Arial"/>
          <w:spacing w:val="-3"/>
        </w:rPr>
        <w:t>, PCA, DCA o MDS.</w:t>
      </w:r>
    </w:p>
    <w:p w14:paraId="2DBC6216" w14:textId="77777777" w:rsidR="00482A5F" w:rsidRPr="00BD1319" w:rsidRDefault="00482A5F" w:rsidP="00482A5F">
      <w:pPr>
        <w:numPr>
          <w:ilvl w:val="12"/>
          <w:numId w:val="0"/>
        </w:numPr>
        <w:tabs>
          <w:tab w:val="left" w:pos="-2268"/>
        </w:tabs>
        <w:suppressAutoHyphens/>
        <w:rPr>
          <w:rFonts w:cs="Arial"/>
          <w:spacing w:val="-3"/>
        </w:rPr>
      </w:pPr>
    </w:p>
    <w:p w14:paraId="2F0BA8FB" w14:textId="74272FE1" w:rsidR="00482A5F" w:rsidRPr="00BD1319" w:rsidRDefault="00482A5F">
      <w:pPr>
        <w:numPr>
          <w:ilvl w:val="12"/>
          <w:numId w:val="0"/>
        </w:numPr>
        <w:tabs>
          <w:tab w:val="left" w:pos="-2268"/>
        </w:tabs>
        <w:suppressAutoHyphens/>
        <w:rPr>
          <w:spacing w:val="-3"/>
        </w:rPr>
      </w:pPr>
      <w:r w:rsidRPr="00BD1319">
        <w:rPr>
          <w:spacing w:val="-3"/>
        </w:rPr>
        <w:t xml:space="preserve">Realizar </w:t>
      </w:r>
      <w:r w:rsidR="00CB1353" w:rsidRPr="00BD1319">
        <w:rPr>
          <w:spacing w:val="-3"/>
        </w:rPr>
        <w:t xml:space="preserve">un </w:t>
      </w:r>
      <w:r w:rsidRPr="00BD1319">
        <w:rPr>
          <w:spacing w:val="-3"/>
        </w:rPr>
        <w:t xml:space="preserve">análisis del nivel de perturbación de las comunidades bentónicas </w:t>
      </w:r>
      <w:r w:rsidR="00853600" w:rsidRPr="00BD1319">
        <w:rPr>
          <w:spacing w:val="-3"/>
        </w:rPr>
        <w:t xml:space="preserve">marinas </w:t>
      </w:r>
      <w:r w:rsidRPr="00BD1319">
        <w:rPr>
          <w:spacing w:val="-3"/>
        </w:rPr>
        <w:t>(</w:t>
      </w:r>
      <w:proofErr w:type="spellStart"/>
      <w:r w:rsidRPr="00BD1319">
        <w:rPr>
          <w:spacing w:val="-3"/>
        </w:rPr>
        <w:t>macroinfauna</w:t>
      </w:r>
      <w:proofErr w:type="spellEnd"/>
      <w:r w:rsidRPr="00BD1319">
        <w:rPr>
          <w:spacing w:val="-3"/>
        </w:rPr>
        <w:t xml:space="preserve">) mediante curvas de abundancia y biomasa (curvas ABC). Generar una </w:t>
      </w:r>
      <w:r w:rsidRPr="00BD1319">
        <w:rPr>
          <w:spacing w:val="-3"/>
        </w:rPr>
        <w:lastRenderedPageBreak/>
        <w:t xml:space="preserve">tabla resumen por estación de muestreo </w:t>
      </w:r>
      <w:r w:rsidR="00CB1353" w:rsidRPr="00BD1319">
        <w:rPr>
          <w:spacing w:val="-3"/>
        </w:rPr>
        <w:t xml:space="preserve">en la que </w:t>
      </w:r>
      <w:r w:rsidRPr="00BD1319">
        <w:rPr>
          <w:spacing w:val="-3"/>
        </w:rPr>
        <w:t xml:space="preserve">se relacione la conclusión obtenida </w:t>
      </w:r>
      <w:r w:rsidR="00CB1353" w:rsidRPr="00BD1319">
        <w:rPr>
          <w:spacing w:val="-3"/>
        </w:rPr>
        <w:t xml:space="preserve">para los </w:t>
      </w:r>
      <w:r w:rsidRPr="00BD1319">
        <w:rPr>
          <w:spacing w:val="-3"/>
        </w:rPr>
        <w:t>ensambles hidrobiológicos</w:t>
      </w:r>
      <w:r w:rsidR="00CB1353" w:rsidRPr="00BD1319">
        <w:rPr>
          <w:spacing w:val="-3"/>
        </w:rPr>
        <w:t xml:space="preserve">, con </w:t>
      </w:r>
      <w:r w:rsidRPr="00BD1319">
        <w:rPr>
          <w:spacing w:val="-3"/>
        </w:rPr>
        <w:t xml:space="preserve">la obtenida </w:t>
      </w:r>
      <w:r w:rsidR="00FD4F7D" w:rsidRPr="00BD1319">
        <w:rPr>
          <w:spacing w:val="-3"/>
        </w:rPr>
        <w:t xml:space="preserve">para </w:t>
      </w:r>
      <w:r w:rsidRPr="00BD1319">
        <w:rPr>
          <w:spacing w:val="-3"/>
        </w:rPr>
        <w:t>el componente fisicoquímico.</w:t>
      </w:r>
    </w:p>
    <w:p w14:paraId="6D5E677E" w14:textId="77777777" w:rsidR="00482A5F" w:rsidRPr="00BD1319" w:rsidRDefault="00482A5F">
      <w:pPr>
        <w:numPr>
          <w:ilvl w:val="12"/>
          <w:numId w:val="0"/>
        </w:numPr>
        <w:tabs>
          <w:tab w:val="left" w:pos="-2268"/>
        </w:tabs>
        <w:suppressAutoHyphens/>
        <w:rPr>
          <w:spacing w:val="-3"/>
        </w:rPr>
      </w:pPr>
    </w:p>
    <w:p w14:paraId="5BCE6AA8" w14:textId="710B8D61" w:rsidR="0031196F" w:rsidRPr="00BD1319" w:rsidRDefault="008C6FA1" w:rsidP="0016F5AC">
      <w:pPr>
        <w:suppressAutoHyphens/>
        <w:rPr>
          <w:spacing w:val="-3"/>
        </w:rPr>
      </w:pPr>
      <w:r w:rsidRPr="00BD1319">
        <w:rPr>
          <w:spacing w:val="-3"/>
        </w:rPr>
        <w:t>C</w:t>
      </w:r>
      <w:r w:rsidR="00482A5F" w:rsidRPr="00BD1319">
        <w:rPr>
          <w:spacing w:val="-3"/>
        </w:rPr>
        <w:t xml:space="preserve">aracterizar la fauna íctica de mayor importancia ecológica y económica asociada a los principales cuerpos de agua, así como </w:t>
      </w:r>
      <w:r w:rsidR="00CB1353" w:rsidRPr="00BD1319">
        <w:rPr>
          <w:spacing w:val="-3"/>
        </w:rPr>
        <w:t xml:space="preserve">señalar </w:t>
      </w:r>
      <w:r w:rsidR="00482A5F" w:rsidRPr="00BD1319">
        <w:rPr>
          <w:spacing w:val="-3"/>
        </w:rPr>
        <w:t>las especies migratorias</w:t>
      </w:r>
      <w:r w:rsidR="009E2BA2" w:rsidRPr="00BD1319">
        <w:rPr>
          <w:spacing w:val="-3"/>
        </w:rPr>
        <w:t xml:space="preserve"> (</w:t>
      </w:r>
      <w:r w:rsidR="009E2BA2" w:rsidRPr="00BD1319">
        <w:rPr>
          <w:rFonts w:cs="Arial"/>
        </w:rPr>
        <w:t>Zapata &amp; Usma, 2013)</w:t>
      </w:r>
      <w:r w:rsidR="00482A5F" w:rsidRPr="00BD1319">
        <w:rPr>
          <w:spacing w:val="-3"/>
        </w:rPr>
        <w:t xml:space="preserve">, en veda, endémicas o amenazadas de acuerdo </w:t>
      </w:r>
      <w:r w:rsidR="00482A5F" w:rsidRPr="00BD1319">
        <w:rPr>
          <w:rFonts w:cs="Arial"/>
          <w:spacing w:val="-3"/>
        </w:rPr>
        <w:t>con</w:t>
      </w:r>
      <w:r w:rsidR="00482A5F" w:rsidRPr="00BD1319">
        <w:rPr>
          <w:spacing w:val="-3"/>
        </w:rPr>
        <w:t xml:space="preserve"> la </w:t>
      </w:r>
      <w:r w:rsidR="00AC3FD2" w:rsidRPr="00BD1319">
        <w:rPr>
          <w:spacing w:val="-3"/>
        </w:rPr>
        <w:t>Resolución 0126 de 2024</w:t>
      </w:r>
      <w:r w:rsidR="00482A5F" w:rsidRPr="00BD1319">
        <w:rPr>
          <w:spacing w:val="-3"/>
        </w:rPr>
        <w:t xml:space="preserve"> o aquella norma que la modifique</w:t>
      </w:r>
      <w:r w:rsidR="00482A5F" w:rsidRPr="00BD1319">
        <w:rPr>
          <w:rFonts w:cs="Arial"/>
          <w:spacing w:val="-3"/>
        </w:rPr>
        <w:t xml:space="preserve"> o</w:t>
      </w:r>
      <w:r w:rsidR="00482A5F" w:rsidRPr="00BD1319">
        <w:rPr>
          <w:spacing w:val="-3"/>
        </w:rPr>
        <w:t xml:space="preserve"> sustituya, </w:t>
      </w:r>
      <w:r w:rsidR="00CB1353" w:rsidRPr="00BD1319">
        <w:rPr>
          <w:spacing w:val="-3"/>
        </w:rPr>
        <w:t xml:space="preserve">el </w:t>
      </w:r>
      <w:r w:rsidR="007D4003" w:rsidRPr="00BD1319">
        <w:rPr>
          <w:spacing w:val="-3"/>
        </w:rPr>
        <w:t xml:space="preserve">Libro </w:t>
      </w:r>
      <w:r w:rsidR="00CB1353" w:rsidRPr="00BD1319">
        <w:rPr>
          <w:spacing w:val="-3"/>
        </w:rPr>
        <w:t xml:space="preserve">rojo de peces marinos </w:t>
      </w:r>
      <w:r w:rsidR="007D4003" w:rsidRPr="00BD1319">
        <w:rPr>
          <w:spacing w:val="-3"/>
        </w:rPr>
        <w:t>de Colombia</w:t>
      </w:r>
      <w:r w:rsidR="009E2BA2" w:rsidRPr="00BD1319">
        <w:rPr>
          <w:spacing w:val="-3"/>
        </w:rPr>
        <w:t xml:space="preserve"> (</w:t>
      </w:r>
      <w:r w:rsidR="009E2BA2" w:rsidRPr="00BD1319">
        <w:rPr>
          <w:rFonts w:cs="Arial"/>
        </w:rPr>
        <w:t>Chasqui et al., 2017</w:t>
      </w:r>
      <w:r w:rsidR="009E2BA2" w:rsidRPr="00BD1319">
        <w:rPr>
          <w:spacing w:val="-3"/>
        </w:rPr>
        <w:t>)</w:t>
      </w:r>
      <w:r w:rsidR="007D4003" w:rsidRPr="00BD1319">
        <w:rPr>
          <w:spacing w:val="-3"/>
        </w:rPr>
        <w:t xml:space="preserve">, </w:t>
      </w:r>
      <w:r w:rsidR="00CB1353" w:rsidRPr="00BD1319">
        <w:rPr>
          <w:spacing w:val="-3"/>
        </w:rPr>
        <w:t xml:space="preserve">el </w:t>
      </w:r>
      <w:r w:rsidR="007D4003" w:rsidRPr="00BD1319">
        <w:rPr>
          <w:spacing w:val="-3"/>
        </w:rPr>
        <w:t xml:space="preserve">Libro </w:t>
      </w:r>
      <w:r w:rsidR="00CB1353" w:rsidRPr="00BD1319">
        <w:rPr>
          <w:spacing w:val="-3"/>
        </w:rPr>
        <w:t xml:space="preserve">rojo de peces dulceacuícolas </w:t>
      </w:r>
      <w:r w:rsidR="007D4003" w:rsidRPr="00BD1319">
        <w:rPr>
          <w:spacing w:val="-3"/>
        </w:rPr>
        <w:t>de Colombia</w:t>
      </w:r>
      <w:r w:rsidR="009E2BA2" w:rsidRPr="00BD1319">
        <w:rPr>
          <w:spacing w:val="-3"/>
        </w:rPr>
        <w:t xml:space="preserve"> (Mojica et al., 2012)</w:t>
      </w:r>
      <w:r w:rsidR="007D4003" w:rsidRPr="00BD1319">
        <w:rPr>
          <w:spacing w:val="-3"/>
        </w:rPr>
        <w:t xml:space="preserve">, </w:t>
      </w:r>
      <w:r w:rsidR="00482A5F" w:rsidRPr="00BD1319">
        <w:rPr>
          <w:spacing w:val="-3"/>
        </w:rPr>
        <w:t>los listados de la IUCN y los Apéndices I, II y III de la CITES.</w:t>
      </w:r>
    </w:p>
    <w:p w14:paraId="2E606BBA" w14:textId="77777777" w:rsidR="0031196F" w:rsidRPr="00BD1319" w:rsidRDefault="0031196F" w:rsidP="0016F5AC">
      <w:pPr>
        <w:suppressAutoHyphens/>
        <w:rPr>
          <w:spacing w:val="-3"/>
        </w:rPr>
      </w:pPr>
    </w:p>
    <w:p w14:paraId="59B54375" w14:textId="110EC4F2" w:rsidR="00482A5F" w:rsidRPr="00BD1319" w:rsidRDefault="0055662E" w:rsidP="0016F5AC">
      <w:pPr>
        <w:suppressAutoHyphens/>
      </w:pPr>
      <w:r w:rsidRPr="00BD1319">
        <w:rPr>
          <w:spacing w:val="-3"/>
        </w:rPr>
        <w:t>Por otra parte</w:t>
      </w:r>
      <w:r w:rsidR="00CB1353" w:rsidRPr="00BD1319">
        <w:rPr>
          <w:spacing w:val="-3"/>
        </w:rPr>
        <w:t>,</w:t>
      </w:r>
      <w:r w:rsidRPr="00BD1319">
        <w:rPr>
          <w:spacing w:val="-3"/>
        </w:rPr>
        <w:t xml:space="preserve"> se debe</w:t>
      </w:r>
      <w:r w:rsidR="00CB1353" w:rsidRPr="00BD1319">
        <w:rPr>
          <w:spacing w:val="-3"/>
        </w:rPr>
        <w:t>n</w:t>
      </w:r>
      <w:r w:rsidRPr="00BD1319">
        <w:rPr>
          <w:spacing w:val="-3"/>
        </w:rPr>
        <w:t xml:space="preserve"> reportar las especies invasoras </w:t>
      </w:r>
      <w:r w:rsidR="00CB1353" w:rsidRPr="00BD1319">
        <w:rPr>
          <w:spacing w:val="-3"/>
        </w:rPr>
        <w:t xml:space="preserve">como </w:t>
      </w:r>
      <w:r w:rsidR="00C645A6" w:rsidRPr="00BD1319">
        <w:rPr>
          <w:spacing w:val="-3"/>
        </w:rPr>
        <w:t xml:space="preserve">un medio indirecto para </w:t>
      </w:r>
      <w:r w:rsidRPr="00BD1319">
        <w:rPr>
          <w:spacing w:val="-3"/>
        </w:rPr>
        <w:t xml:space="preserve">establecer la presión sobre las demás especies </w:t>
      </w:r>
      <w:r w:rsidR="006063B0" w:rsidRPr="00BD1319">
        <w:rPr>
          <w:spacing w:val="-3"/>
        </w:rPr>
        <w:t>determinadas</w:t>
      </w:r>
      <w:r w:rsidRPr="00BD1319">
        <w:rPr>
          <w:spacing w:val="-3"/>
        </w:rPr>
        <w:t xml:space="preserve">; para tal fin se puede consultar la </w:t>
      </w:r>
      <w:r w:rsidR="009E2BA2" w:rsidRPr="00BD1319">
        <w:rPr>
          <w:spacing w:val="-3"/>
        </w:rPr>
        <w:t>normativa</w:t>
      </w:r>
      <w:r w:rsidRPr="00BD1319">
        <w:rPr>
          <w:spacing w:val="-3"/>
        </w:rPr>
        <w:t xml:space="preserve"> en materia de especies exóticas invasoras</w:t>
      </w:r>
      <w:r w:rsidR="009E2BA2" w:rsidRPr="00BD1319">
        <w:rPr>
          <w:spacing w:val="-3"/>
        </w:rPr>
        <w:t xml:space="preserve"> (Resolución 848 de 2008 y Resolución 0207 de 2010, o aquellas </w:t>
      </w:r>
      <w:r w:rsidR="002645AC" w:rsidRPr="00BD1319">
        <w:rPr>
          <w:spacing w:val="-3"/>
        </w:rPr>
        <w:t xml:space="preserve">normas </w:t>
      </w:r>
      <w:r w:rsidR="009E2BA2" w:rsidRPr="00BD1319">
        <w:rPr>
          <w:spacing w:val="-3"/>
        </w:rPr>
        <w:t xml:space="preserve">que las </w:t>
      </w:r>
      <w:r w:rsidR="002645AC" w:rsidRPr="00BD1319">
        <w:rPr>
          <w:spacing w:val="-3"/>
        </w:rPr>
        <w:t xml:space="preserve">modifiquen o </w:t>
      </w:r>
      <w:r w:rsidR="009E2BA2" w:rsidRPr="00BD1319">
        <w:rPr>
          <w:spacing w:val="-3"/>
        </w:rPr>
        <w:t>sustituyan)</w:t>
      </w:r>
      <w:r w:rsidRPr="00BD1319">
        <w:rPr>
          <w:spacing w:val="-3"/>
        </w:rPr>
        <w:t xml:space="preserve">, el Catálogo de la biodiversidad acuática exótica y </w:t>
      </w:r>
      <w:proofErr w:type="spellStart"/>
      <w:r w:rsidRPr="00BD1319">
        <w:rPr>
          <w:spacing w:val="-3"/>
        </w:rPr>
        <w:t>transplantada</w:t>
      </w:r>
      <w:proofErr w:type="spellEnd"/>
      <w:r w:rsidRPr="00BD1319">
        <w:rPr>
          <w:spacing w:val="-3"/>
        </w:rPr>
        <w:t xml:space="preserve"> en Colombia</w:t>
      </w:r>
      <w:r w:rsidR="00DA13A8" w:rsidRPr="00BD1319">
        <w:rPr>
          <w:spacing w:val="-3"/>
        </w:rPr>
        <w:t xml:space="preserve"> (Gutiérrez et al., 2012)</w:t>
      </w:r>
      <w:r w:rsidRPr="00BD1319">
        <w:rPr>
          <w:spacing w:val="-3"/>
        </w:rPr>
        <w:t xml:space="preserve">, </w:t>
      </w:r>
      <w:r w:rsidR="00C645A6" w:rsidRPr="00BD1319">
        <w:rPr>
          <w:spacing w:val="-3"/>
        </w:rPr>
        <w:t>l</w:t>
      </w:r>
      <w:r w:rsidRPr="00BD1319">
        <w:rPr>
          <w:spacing w:val="-3"/>
        </w:rPr>
        <w:t xml:space="preserve">a Guía de las especies introducidas marinas y costeras de Colombia y el sitio </w:t>
      </w:r>
      <w:r w:rsidR="00C645A6" w:rsidRPr="00BD1319">
        <w:rPr>
          <w:spacing w:val="-3"/>
        </w:rPr>
        <w:t xml:space="preserve">Web </w:t>
      </w:r>
      <w:r w:rsidRPr="00BD1319">
        <w:rPr>
          <w:spacing w:val="-3"/>
        </w:rPr>
        <w:t xml:space="preserve">sobre especies introducidas marinas y costeras de Colombia del </w:t>
      </w:r>
      <w:proofErr w:type="spellStart"/>
      <w:r w:rsidR="009E2BA2" w:rsidRPr="00BD1319">
        <w:rPr>
          <w:spacing w:val="-3"/>
        </w:rPr>
        <w:t>Invemar</w:t>
      </w:r>
      <w:proofErr w:type="spellEnd"/>
      <w:r w:rsidRPr="00BD1319">
        <w:rPr>
          <w:rStyle w:val="Refdenotaalpie"/>
          <w:spacing w:val="-3"/>
          <w:lang w:val="es-CO"/>
        </w:rPr>
        <w:footnoteReference w:id="149"/>
      </w:r>
      <w:r w:rsidRPr="00BD1319">
        <w:rPr>
          <w:spacing w:val="-3"/>
        </w:rPr>
        <w:t xml:space="preserve">. </w:t>
      </w:r>
      <w:r w:rsidR="00482A5F" w:rsidRPr="00BD1319">
        <w:rPr>
          <w:spacing w:val="-3"/>
        </w:rPr>
        <w:t xml:space="preserve">Asimismo, se debe reportar </w:t>
      </w:r>
      <w:r w:rsidR="00005D7F" w:rsidRPr="00BD1319">
        <w:rPr>
          <w:spacing w:val="-3"/>
        </w:rPr>
        <w:t xml:space="preserve">la determinación de nuevas especies </w:t>
      </w:r>
      <w:r w:rsidR="00482A5F" w:rsidRPr="00BD1319">
        <w:rPr>
          <w:spacing w:val="-3"/>
        </w:rPr>
        <w:t>a las entidades competentes</w:t>
      </w:r>
      <w:r w:rsidR="00005D7F" w:rsidRPr="00BD1319">
        <w:rPr>
          <w:spacing w:val="-3"/>
        </w:rPr>
        <w:t>,</w:t>
      </w:r>
      <w:r w:rsidR="00482A5F" w:rsidRPr="00BD1319">
        <w:rPr>
          <w:spacing w:val="-3"/>
        </w:rPr>
        <w:t xml:space="preserve"> </w:t>
      </w:r>
      <w:r w:rsidR="00C645A6" w:rsidRPr="00BD1319">
        <w:rPr>
          <w:spacing w:val="-3"/>
        </w:rPr>
        <w:t>entre ellas</w:t>
      </w:r>
      <w:r w:rsidR="00005D7F" w:rsidRPr="00BD1319">
        <w:rPr>
          <w:spacing w:val="-3"/>
        </w:rPr>
        <w:t>,</w:t>
      </w:r>
      <w:r w:rsidR="00C645A6" w:rsidRPr="00BD1319">
        <w:rPr>
          <w:spacing w:val="-3"/>
        </w:rPr>
        <w:t xml:space="preserve"> </w:t>
      </w:r>
      <w:r w:rsidR="00482A5F" w:rsidRPr="00BD1319">
        <w:rPr>
          <w:spacing w:val="-3"/>
        </w:rPr>
        <w:t xml:space="preserve">el Instituto </w:t>
      </w:r>
      <w:r w:rsidR="00C645A6" w:rsidRPr="00BD1319">
        <w:rPr>
          <w:spacing w:val="-3"/>
        </w:rPr>
        <w:t xml:space="preserve">de ciencias naturales de </w:t>
      </w:r>
      <w:r w:rsidR="00482A5F" w:rsidRPr="00BD1319">
        <w:rPr>
          <w:spacing w:val="-3"/>
        </w:rPr>
        <w:t>la Universidad Nacional de Colombia, el Instituto Humboldt, el Sinchi y el IIAP.</w:t>
      </w:r>
    </w:p>
    <w:p w14:paraId="19E9D4EB" w14:textId="77777777" w:rsidR="00482A5F" w:rsidRPr="00BD1319" w:rsidRDefault="00482A5F">
      <w:pPr>
        <w:numPr>
          <w:ilvl w:val="12"/>
          <w:numId w:val="0"/>
        </w:numPr>
        <w:tabs>
          <w:tab w:val="left" w:pos="-2268"/>
        </w:tabs>
        <w:suppressAutoHyphens/>
        <w:rPr>
          <w:spacing w:val="-3"/>
        </w:rPr>
      </w:pPr>
    </w:p>
    <w:p w14:paraId="39B1D7D8" w14:textId="5475A134" w:rsidR="00037A3E" w:rsidRPr="00BD1319" w:rsidRDefault="00CA46BA">
      <w:pPr>
        <w:numPr>
          <w:ilvl w:val="12"/>
          <w:numId w:val="0"/>
        </w:numPr>
        <w:tabs>
          <w:tab w:val="left" w:pos="-2268"/>
        </w:tabs>
        <w:suppressAutoHyphens/>
        <w:rPr>
          <w:spacing w:val="-3"/>
        </w:rPr>
      </w:pPr>
      <w:r w:rsidRPr="00BD1319">
        <w:rPr>
          <w:rFonts w:cs="Arial"/>
          <w:spacing w:val="-3"/>
        </w:rPr>
        <w:t xml:space="preserve">La formulación </w:t>
      </w:r>
      <w:r w:rsidR="00902A1C" w:rsidRPr="00BD1319">
        <w:rPr>
          <w:rFonts w:cs="Arial"/>
          <w:spacing w:val="-3"/>
        </w:rPr>
        <w:t xml:space="preserve">de los modelos de conectividad de las especies acuáticas debe </w:t>
      </w:r>
      <w:r w:rsidRPr="00BD1319">
        <w:rPr>
          <w:spacing w:val="-3"/>
        </w:rPr>
        <w:t xml:space="preserve">basarse en </w:t>
      </w:r>
      <w:r w:rsidR="00037A3E" w:rsidRPr="00BD1319">
        <w:rPr>
          <w:spacing w:val="-3"/>
        </w:rPr>
        <w:t>la</w:t>
      </w:r>
      <w:r w:rsidRPr="00BD1319">
        <w:rPr>
          <w:spacing w:val="-3"/>
        </w:rPr>
        <w:t xml:space="preserve">s condiciones ambientales que hacen que un </w:t>
      </w:r>
      <w:r w:rsidR="00037A3E" w:rsidRPr="00BD1319">
        <w:rPr>
          <w:spacing w:val="-3"/>
        </w:rPr>
        <w:t xml:space="preserve">hábitat </w:t>
      </w:r>
      <w:r w:rsidRPr="00BD1319">
        <w:rPr>
          <w:spacing w:val="-3"/>
        </w:rPr>
        <w:t>sea idóneo para su desarrollo</w:t>
      </w:r>
      <w:r w:rsidR="00902A1C" w:rsidRPr="00BD1319">
        <w:rPr>
          <w:spacing w:val="-3"/>
        </w:rPr>
        <w:t>,</w:t>
      </w:r>
      <w:r w:rsidR="00037A3E" w:rsidRPr="00BD1319">
        <w:rPr>
          <w:spacing w:val="-3"/>
        </w:rPr>
        <w:t xml:space="preserve"> integrando la información de los modelos hídricos, sedimentológicos y de calidad del agua, </w:t>
      </w:r>
      <w:r w:rsidR="00902A1C" w:rsidRPr="00BD1319">
        <w:rPr>
          <w:spacing w:val="-3"/>
        </w:rPr>
        <w:t xml:space="preserve">y </w:t>
      </w:r>
      <w:r w:rsidR="00037A3E" w:rsidRPr="00BD1319">
        <w:rPr>
          <w:spacing w:val="-3"/>
        </w:rPr>
        <w:t>haciendo énfasis en los momentos de mayor movilidad de las especies asociadas al ciclo hidrológico.</w:t>
      </w:r>
    </w:p>
    <w:p w14:paraId="17529A9A" w14:textId="77777777" w:rsidR="00037A3E" w:rsidRPr="00BD1319" w:rsidRDefault="00037A3E">
      <w:pPr>
        <w:numPr>
          <w:ilvl w:val="12"/>
          <w:numId w:val="0"/>
        </w:numPr>
        <w:tabs>
          <w:tab w:val="left" w:pos="-2268"/>
        </w:tabs>
        <w:suppressAutoHyphens/>
        <w:rPr>
          <w:spacing w:val="-3"/>
        </w:rPr>
      </w:pPr>
    </w:p>
    <w:p w14:paraId="67AE4883" w14:textId="7C4D0F89" w:rsidR="00037A3E" w:rsidRPr="00BD1319" w:rsidRDefault="00834C6C">
      <w:pPr>
        <w:numPr>
          <w:ilvl w:val="12"/>
          <w:numId w:val="0"/>
        </w:numPr>
        <w:tabs>
          <w:tab w:val="left" w:pos="-2268"/>
        </w:tabs>
        <w:suppressAutoHyphens/>
        <w:rPr>
          <w:spacing w:val="-3"/>
        </w:rPr>
      </w:pPr>
      <w:r w:rsidRPr="00BD1319">
        <w:rPr>
          <w:spacing w:val="-3"/>
        </w:rPr>
        <w:t>P</w:t>
      </w:r>
      <w:r w:rsidR="00037A3E" w:rsidRPr="00BD1319">
        <w:rPr>
          <w:spacing w:val="-3"/>
        </w:rPr>
        <w:t>ara desarrollar este modelo</w:t>
      </w:r>
      <w:r w:rsidRPr="00BD1319">
        <w:rPr>
          <w:spacing w:val="-3"/>
        </w:rPr>
        <w:t xml:space="preserve"> y</w:t>
      </w:r>
      <w:r w:rsidR="00037A3E" w:rsidRPr="00BD1319">
        <w:rPr>
          <w:spacing w:val="-3"/>
        </w:rPr>
        <w:t xml:space="preserve"> </w:t>
      </w:r>
      <w:r w:rsidRPr="00BD1319">
        <w:rPr>
          <w:spacing w:val="-3"/>
        </w:rPr>
        <w:t xml:space="preserve">conocer qué información de </w:t>
      </w:r>
      <w:r w:rsidR="00037A3E" w:rsidRPr="00BD1319">
        <w:rPr>
          <w:spacing w:val="-3"/>
        </w:rPr>
        <w:t>resultado</w:t>
      </w:r>
      <w:r w:rsidRPr="00BD1319">
        <w:rPr>
          <w:spacing w:val="-3"/>
        </w:rPr>
        <w:t xml:space="preserve"> y soportes </w:t>
      </w:r>
      <w:r w:rsidR="00037A3E" w:rsidRPr="00BD1319">
        <w:rPr>
          <w:spacing w:val="-3"/>
        </w:rPr>
        <w:t>se debe</w:t>
      </w:r>
      <w:r w:rsidRPr="00BD1319">
        <w:rPr>
          <w:spacing w:val="-3"/>
        </w:rPr>
        <w:t>n generar y</w:t>
      </w:r>
      <w:r w:rsidR="00037A3E" w:rsidRPr="00BD1319">
        <w:rPr>
          <w:spacing w:val="-3"/>
        </w:rPr>
        <w:t xml:space="preserve"> suministrar </w:t>
      </w:r>
      <w:r w:rsidRPr="00BD1319">
        <w:rPr>
          <w:spacing w:val="-3"/>
        </w:rPr>
        <w:t xml:space="preserve">a la autoridad ambiental, es necesario emplear los lineamientos </w:t>
      </w:r>
      <w:r w:rsidR="001D1F64" w:rsidRPr="00BD1319">
        <w:rPr>
          <w:spacing w:val="-3"/>
        </w:rPr>
        <w:t>d</w:t>
      </w:r>
      <w:r w:rsidR="00037A3E" w:rsidRPr="00BD1319">
        <w:rPr>
          <w:spacing w:val="-3"/>
        </w:rPr>
        <w:t xml:space="preserve">el numeral </w:t>
      </w:r>
      <w:r w:rsidR="00037A3E" w:rsidRPr="00BD1319">
        <w:rPr>
          <w:spacing w:val="-3"/>
        </w:rPr>
        <w:fldChar w:fldCharType="begin"/>
      </w:r>
      <w:r w:rsidR="00037A3E" w:rsidRPr="00BD1319">
        <w:rPr>
          <w:spacing w:val="-3"/>
        </w:rPr>
        <w:instrText xml:space="preserve"> REF _Ref79492801 \r \h </w:instrText>
      </w:r>
      <w:r w:rsidR="00BD1319">
        <w:rPr>
          <w:spacing w:val="-3"/>
        </w:rPr>
        <w:instrText xml:space="preserve"> \* MERGEFORMAT </w:instrText>
      </w:r>
      <w:r w:rsidR="00037A3E" w:rsidRPr="00BD1319">
        <w:rPr>
          <w:spacing w:val="-3"/>
        </w:rPr>
      </w:r>
      <w:r w:rsidR="00037A3E" w:rsidRPr="00BD1319">
        <w:rPr>
          <w:spacing w:val="-3"/>
        </w:rPr>
        <w:fldChar w:fldCharType="separate"/>
      </w:r>
      <w:r w:rsidR="00296654" w:rsidRPr="00BD1319">
        <w:rPr>
          <w:spacing w:val="-3"/>
        </w:rPr>
        <w:t>4.2.2.3.2</w:t>
      </w:r>
      <w:r w:rsidR="00037A3E" w:rsidRPr="00BD1319">
        <w:rPr>
          <w:spacing w:val="-3"/>
        </w:rPr>
        <w:fldChar w:fldCharType="end"/>
      </w:r>
      <w:r w:rsidR="00037A3E" w:rsidRPr="00BD1319">
        <w:rPr>
          <w:spacing w:val="-3"/>
        </w:rPr>
        <w:t xml:space="preserve"> </w:t>
      </w:r>
      <w:r w:rsidR="00D44A88" w:rsidRPr="00BD1319">
        <w:rPr>
          <w:spacing w:val="-3"/>
        </w:rPr>
        <w:t>“</w:t>
      </w:r>
      <w:r w:rsidR="00037A3E" w:rsidRPr="00BD1319">
        <w:rPr>
          <w:spacing w:val="-3"/>
        </w:rPr>
        <w:t>Análisis de conectividad</w:t>
      </w:r>
      <w:r w:rsidR="00D44A88" w:rsidRPr="00BD1319">
        <w:rPr>
          <w:spacing w:val="-3"/>
        </w:rPr>
        <w:t>”</w:t>
      </w:r>
      <w:r w:rsidR="006412FA" w:rsidRPr="00BD1319">
        <w:rPr>
          <w:spacing w:val="-3"/>
        </w:rPr>
        <w:t xml:space="preserve"> que apliquen a las condiciones de las especies presentes en los ecosistemas acuáticos</w:t>
      </w:r>
      <w:r w:rsidR="00037A3E" w:rsidRPr="00BD1319">
        <w:rPr>
          <w:spacing w:val="-3"/>
        </w:rPr>
        <w:t>.</w:t>
      </w:r>
    </w:p>
    <w:p w14:paraId="3F1A9AE6" w14:textId="7EA642EA" w:rsidR="00B54B60" w:rsidRPr="00BD1319" w:rsidRDefault="00B54B60">
      <w:pPr>
        <w:numPr>
          <w:ilvl w:val="12"/>
          <w:numId w:val="0"/>
        </w:numPr>
        <w:tabs>
          <w:tab w:val="left" w:pos="-2268"/>
        </w:tabs>
        <w:suppressAutoHyphens/>
        <w:rPr>
          <w:rFonts w:cs="Arial"/>
          <w:spacing w:val="-3"/>
        </w:rPr>
      </w:pPr>
    </w:p>
    <w:p w14:paraId="5DA81008" w14:textId="556E4077" w:rsidR="00F6719F" w:rsidRPr="00BD1319" w:rsidRDefault="00F6719F" w:rsidP="000D6E21">
      <w:pPr>
        <w:pStyle w:val="Ttulo3"/>
      </w:pPr>
      <w:bookmarkStart w:id="2899" w:name="_Ref161735715"/>
      <w:bookmarkStart w:id="2900" w:name="_Toc175326772"/>
      <w:r w:rsidRPr="00BD1319">
        <w:t>Áreas Ambientales Estratégicas (AAE)</w:t>
      </w:r>
      <w:bookmarkEnd w:id="2899"/>
      <w:bookmarkEnd w:id="2900"/>
    </w:p>
    <w:p w14:paraId="49A6C3A9" w14:textId="77777777" w:rsidR="00F6719F" w:rsidRPr="00BD1319" w:rsidRDefault="00F6719F">
      <w:pPr>
        <w:numPr>
          <w:ilvl w:val="12"/>
          <w:numId w:val="0"/>
        </w:numPr>
        <w:tabs>
          <w:tab w:val="left" w:pos="-2268"/>
        </w:tabs>
        <w:suppressAutoHyphens/>
        <w:rPr>
          <w:spacing w:val="-3"/>
        </w:rPr>
      </w:pPr>
    </w:p>
    <w:bookmarkEnd w:id="2897"/>
    <w:bookmarkEnd w:id="2898"/>
    <w:p w14:paraId="6136B5AB" w14:textId="35B8E093" w:rsidR="00DC5F5A" w:rsidRPr="00BD1319" w:rsidRDefault="00DC5F5A" w:rsidP="00463B7B">
      <w:pPr>
        <w:numPr>
          <w:ilvl w:val="12"/>
          <w:numId w:val="0"/>
        </w:numPr>
        <w:tabs>
          <w:tab w:val="left" w:pos="-2268"/>
        </w:tabs>
        <w:suppressAutoHyphens/>
        <w:rPr>
          <w:spacing w:val="-3"/>
        </w:rPr>
      </w:pPr>
      <w:r w:rsidRPr="00BD1319">
        <w:rPr>
          <w:rFonts w:cs="Arial"/>
          <w:spacing w:val="-3"/>
        </w:rPr>
        <w:t xml:space="preserve">Para </w:t>
      </w:r>
      <w:r w:rsidRPr="00BD1319">
        <w:rPr>
          <w:spacing w:val="-3"/>
        </w:rPr>
        <w:t xml:space="preserve">determinar y localizar, en el área de </w:t>
      </w:r>
      <w:r w:rsidR="00A235B6" w:rsidRPr="00BD1319">
        <w:rPr>
          <w:spacing w:val="-3"/>
        </w:rPr>
        <w:t xml:space="preserve">influencia </w:t>
      </w:r>
      <w:r w:rsidRPr="00BD1319">
        <w:rPr>
          <w:spacing w:val="-3"/>
        </w:rPr>
        <w:t xml:space="preserve">del </w:t>
      </w:r>
      <w:r w:rsidR="00A235B6" w:rsidRPr="00BD1319">
        <w:rPr>
          <w:spacing w:val="-3"/>
        </w:rPr>
        <w:t>componente</w:t>
      </w:r>
      <w:r w:rsidRPr="00BD1319">
        <w:rPr>
          <w:spacing w:val="-3"/>
        </w:rPr>
        <w:t xml:space="preserve">, las </w:t>
      </w:r>
      <w:r w:rsidR="0086126A" w:rsidRPr="00BD1319">
        <w:rPr>
          <w:spacing w:val="-3"/>
        </w:rPr>
        <w:t>AAE</w:t>
      </w:r>
      <w:r w:rsidRPr="00BD1319">
        <w:rPr>
          <w:spacing w:val="-3"/>
        </w:rPr>
        <w:t xml:space="preserve"> públicas y privadas, de los ámbitos nacional, regional y local </w:t>
      </w:r>
      <w:r w:rsidRPr="00BD1319">
        <w:rPr>
          <w:rFonts w:cs="Arial"/>
          <w:spacing w:val="-3"/>
        </w:rPr>
        <w:t xml:space="preserve">señaladas en la </w:t>
      </w:r>
      <w:r w:rsidRPr="00BD1319">
        <w:rPr>
          <w:rFonts w:cs="Arial"/>
          <w:spacing w:val="-3"/>
        </w:rPr>
        <w:fldChar w:fldCharType="begin"/>
      </w:r>
      <w:r w:rsidRPr="00BD1319">
        <w:rPr>
          <w:rFonts w:cs="Arial"/>
          <w:spacing w:val="-3"/>
        </w:rPr>
        <w:instrText xml:space="preserve"> REF _Ref43383247 \h  \* MERGEFORMAT </w:instrText>
      </w:r>
      <w:r w:rsidRPr="00BD1319">
        <w:rPr>
          <w:rFonts w:cs="Arial"/>
          <w:spacing w:val="-3"/>
        </w:rPr>
      </w:r>
      <w:r w:rsidRPr="00BD1319">
        <w:rPr>
          <w:rFonts w:cs="Arial"/>
          <w:spacing w:val="-3"/>
        </w:rPr>
        <w:fldChar w:fldCharType="separate"/>
      </w:r>
      <w:r w:rsidR="00296654" w:rsidRPr="00BD1319">
        <w:t>Tabla 27</w:t>
      </w:r>
      <w:r w:rsidRPr="00BD1319">
        <w:rPr>
          <w:rFonts w:cs="Arial"/>
          <w:spacing w:val="-3"/>
        </w:rPr>
        <w:fldChar w:fldCharType="end"/>
      </w:r>
      <w:r w:rsidRPr="00BD1319">
        <w:rPr>
          <w:rFonts w:cs="Arial"/>
          <w:spacing w:val="-3"/>
        </w:rPr>
        <w:t xml:space="preserve">, </w:t>
      </w:r>
      <w:r w:rsidRPr="00BD1319">
        <w:rPr>
          <w:spacing w:val="-3"/>
        </w:rPr>
        <w:t xml:space="preserve">así como su zonificación de manejo (en caso de existir), se </w:t>
      </w:r>
      <w:r w:rsidRPr="00BD1319">
        <w:rPr>
          <w:rFonts w:cs="Arial"/>
          <w:spacing w:val="-3"/>
        </w:rPr>
        <w:t xml:space="preserve">debe consultar cartografía reconocida por alguna entidad estatal del SINA, como por ejemplo, la incorporada en el </w:t>
      </w:r>
      <w:r w:rsidRPr="00BD1319">
        <w:rPr>
          <w:spacing w:val="-3"/>
        </w:rPr>
        <w:t xml:space="preserve">Registro </w:t>
      </w:r>
      <w:r w:rsidRPr="00BD1319">
        <w:rPr>
          <w:rFonts w:cs="Arial"/>
          <w:spacing w:val="-3"/>
        </w:rPr>
        <w:t>Único</w:t>
      </w:r>
      <w:r w:rsidRPr="00BD1319">
        <w:rPr>
          <w:spacing w:val="-3"/>
        </w:rPr>
        <w:t xml:space="preserve"> de Ecosistemas y Áreas Ambientales (REAA) y el Registro Único Nacional de Áreas Protegidas (RUNAP); asimismo</w:t>
      </w:r>
      <w:r w:rsidRPr="00BD1319">
        <w:rPr>
          <w:rFonts w:cs="Arial"/>
          <w:spacing w:val="-3"/>
        </w:rPr>
        <w:t>,</w:t>
      </w:r>
      <w:r w:rsidRPr="00BD1319">
        <w:rPr>
          <w:spacing w:val="-3"/>
        </w:rPr>
        <w:t xml:space="preserve"> </w:t>
      </w:r>
      <w:r w:rsidR="0069731B" w:rsidRPr="00BD1319">
        <w:rPr>
          <w:spacing w:val="-3"/>
        </w:rPr>
        <w:t xml:space="preserve">es posible emplear planes de manejo de las áreas protegidas, </w:t>
      </w:r>
      <w:r w:rsidRPr="00BD1319">
        <w:rPr>
          <w:spacing w:val="-3"/>
        </w:rPr>
        <w:t xml:space="preserve">herramientas de análisis de información ambiental en </w:t>
      </w:r>
      <w:r w:rsidRPr="00BD1319">
        <w:rPr>
          <w:spacing w:val="-3"/>
        </w:rPr>
        <w:lastRenderedPageBreak/>
        <w:t xml:space="preserve">línea como el </w:t>
      </w:r>
      <w:r w:rsidRPr="00BD1319">
        <w:rPr>
          <w:rFonts w:cs="Arial"/>
          <w:spacing w:val="-3"/>
        </w:rPr>
        <w:t xml:space="preserve">Sistema de Información Ambiental de </w:t>
      </w:r>
      <w:r w:rsidRPr="00BD1319">
        <w:rPr>
          <w:spacing w:val="-3"/>
        </w:rPr>
        <w:t>Colombia</w:t>
      </w:r>
      <w:r w:rsidRPr="00BD1319">
        <w:rPr>
          <w:rFonts w:cs="Arial"/>
          <w:spacing w:val="-3"/>
        </w:rPr>
        <w:t xml:space="preserve"> (SIAC) y también, los portales Web de institutos de investigación adscritos y vinculados a Minambiente, de autoridades ambientales regionales, de la Agencia Nacional de Tierras (ANT), entre otros</w:t>
      </w:r>
      <w:r w:rsidRPr="00BD1319">
        <w:rPr>
          <w:spacing w:val="-3"/>
        </w:rPr>
        <w:t>.</w:t>
      </w:r>
    </w:p>
    <w:p w14:paraId="5803D113" w14:textId="77777777" w:rsidR="000D4B56" w:rsidRPr="00BD1319" w:rsidRDefault="000D4B56" w:rsidP="00463B7B">
      <w:pPr>
        <w:numPr>
          <w:ilvl w:val="12"/>
          <w:numId w:val="0"/>
        </w:numPr>
        <w:tabs>
          <w:tab w:val="left" w:pos="-2268"/>
        </w:tabs>
        <w:suppressAutoHyphens/>
        <w:rPr>
          <w:spacing w:val="-3"/>
        </w:rPr>
      </w:pPr>
    </w:p>
    <w:p w14:paraId="7DDB4E63" w14:textId="0BAC4941" w:rsidR="00463B7B" w:rsidRPr="00BD1319" w:rsidRDefault="00463B7B" w:rsidP="009420F5">
      <w:pPr>
        <w:pStyle w:val="Descripcin"/>
        <w:keepNext/>
        <w:jc w:val="center"/>
        <w:rPr>
          <w:b w:val="0"/>
        </w:rPr>
      </w:pPr>
      <w:bookmarkStart w:id="2901" w:name="_Ref43383247"/>
      <w:r w:rsidRPr="00BD1319">
        <w:t xml:space="preserve">Tabla </w:t>
      </w:r>
      <w:fldSimple w:instr=" SEQ Tabla \* ARABIC ">
        <w:r w:rsidR="00296654" w:rsidRPr="00BD1319">
          <w:rPr>
            <w:noProof/>
          </w:rPr>
          <w:t>27</w:t>
        </w:r>
      </w:fldSimple>
      <w:bookmarkEnd w:id="2901"/>
      <w:r w:rsidRPr="00BD1319">
        <w:t>.</w:t>
      </w:r>
      <w:r w:rsidRPr="00BD1319">
        <w:rPr>
          <w:b w:val="0"/>
        </w:rPr>
        <w:t xml:space="preserve"> </w:t>
      </w:r>
      <w:r w:rsidR="0086126A" w:rsidRPr="00BD1319">
        <w:rPr>
          <w:b w:val="0"/>
        </w:rPr>
        <w:t>Áreas Ambientales Estratégicas</w:t>
      </w:r>
      <w:r w:rsidRPr="00BD1319">
        <w:rPr>
          <w:b w:val="0"/>
        </w:rPr>
        <w:t xml:space="preserve"> (</w:t>
      </w:r>
      <w:r w:rsidR="0086126A" w:rsidRPr="00BD1319">
        <w:rPr>
          <w:b w:val="0"/>
        </w:rPr>
        <w:t>AAE</w:t>
      </w:r>
      <w:r w:rsidRPr="00BD1319">
        <w:rPr>
          <w:b w:val="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62"/>
        <w:gridCol w:w="6512"/>
      </w:tblGrid>
      <w:tr w:rsidR="003E222D" w:rsidRPr="00BD1319" w14:paraId="7517C18E" w14:textId="77777777" w:rsidTr="003D4A7A">
        <w:trPr>
          <w:trHeight w:hRule="exact" w:val="340"/>
          <w:tblHeader/>
          <w:jc w:val="center"/>
        </w:trPr>
        <w:tc>
          <w:tcPr>
            <w:tcW w:w="2562" w:type="dxa"/>
            <w:vAlign w:val="center"/>
          </w:tcPr>
          <w:p w14:paraId="5B54046A" w14:textId="77777777" w:rsidR="003E222D" w:rsidRPr="00BD1319" w:rsidRDefault="003E222D" w:rsidP="003D4A7A">
            <w:pPr>
              <w:numPr>
                <w:ilvl w:val="12"/>
                <w:numId w:val="0"/>
              </w:numPr>
              <w:tabs>
                <w:tab w:val="left" w:pos="-2268"/>
              </w:tabs>
              <w:suppressAutoHyphens/>
              <w:jc w:val="center"/>
              <w:rPr>
                <w:rFonts w:cs="Arial"/>
                <w:b/>
                <w:bCs/>
                <w:spacing w:val="-3"/>
                <w:sz w:val="20"/>
                <w:szCs w:val="20"/>
              </w:rPr>
            </w:pPr>
            <w:r w:rsidRPr="00BD1319">
              <w:rPr>
                <w:rFonts w:cs="Arial"/>
                <w:b/>
                <w:bCs/>
                <w:spacing w:val="-3"/>
                <w:sz w:val="20"/>
                <w:szCs w:val="20"/>
              </w:rPr>
              <w:t>Categoría</w:t>
            </w:r>
          </w:p>
        </w:tc>
        <w:tc>
          <w:tcPr>
            <w:tcW w:w="6512" w:type="dxa"/>
            <w:shd w:val="clear" w:color="auto" w:fill="auto"/>
            <w:vAlign w:val="center"/>
            <w:hideMark/>
          </w:tcPr>
          <w:p w14:paraId="413A4FE4" w14:textId="77777777" w:rsidR="003E222D" w:rsidRPr="00BD1319" w:rsidRDefault="003E222D" w:rsidP="003D4A7A">
            <w:pPr>
              <w:numPr>
                <w:ilvl w:val="12"/>
                <w:numId w:val="0"/>
              </w:numPr>
              <w:tabs>
                <w:tab w:val="left" w:pos="-2268"/>
              </w:tabs>
              <w:suppressAutoHyphens/>
              <w:jc w:val="center"/>
              <w:rPr>
                <w:rFonts w:cs="Arial"/>
                <w:b/>
                <w:bCs/>
                <w:spacing w:val="-3"/>
                <w:sz w:val="20"/>
                <w:szCs w:val="20"/>
              </w:rPr>
            </w:pPr>
            <w:r w:rsidRPr="00BD1319">
              <w:rPr>
                <w:rFonts w:cs="Arial"/>
                <w:b/>
                <w:bCs/>
                <w:spacing w:val="-3"/>
                <w:sz w:val="20"/>
                <w:szCs w:val="20"/>
              </w:rPr>
              <w:t>Tipo de área</w:t>
            </w:r>
          </w:p>
        </w:tc>
      </w:tr>
      <w:tr w:rsidR="003E222D" w:rsidRPr="00BD1319" w14:paraId="40718472" w14:textId="77777777" w:rsidTr="003D4A7A">
        <w:trPr>
          <w:trHeight w:hRule="exact" w:val="340"/>
          <w:jc w:val="center"/>
        </w:trPr>
        <w:tc>
          <w:tcPr>
            <w:tcW w:w="2562" w:type="dxa"/>
            <w:vMerge w:val="restart"/>
            <w:vAlign w:val="center"/>
          </w:tcPr>
          <w:p w14:paraId="2B695BB9" w14:textId="77777777" w:rsidR="003E222D" w:rsidRPr="00BD1319" w:rsidRDefault="003E222D" w:rsidP="003D4A7A">
            <w:pPr>
              <w:numPr>
                <w:ilvl w:val="12"/>
                <w:numId w:val="0"/>
              </w:numPr>
              <w:tabs>
                <w:tab w:val="left" w:pos="-2268"/>
              </w:tabs>
              <w:suppressAutoHyphens/>
              <w:rPr>
                <w:rFonts w:cs="Arial"/>
                <w:iCs/>
                <w:spacing w:val="-3"/>
                <w:sz w:val="20"/>
                <w:szCs w:val="20"/>
              </w:rPr>
            </w:pPr>
            <w:proofErr w:type="spellStart"/>
            <w:r w:rsidRPr="00BD1319">
              <w:rPr>
                <w:rFonts w:cs="Arial"/>
                <w:iCs/>
                <w:spacing w:val="-3"/>
                <w:sz w:val="20"/>
                <w:szCs w:val="20"/>
              </w:rPr>
              <w:t>Sinap</w:t>
            </w:r>
            <w:proofErr w:type="spellEnd"/>
            <w:r w:rsidRPr="00BD1319">
              <w:rPr>
                <w:rFonts w:cs="Arial"/>
                <w:iCs/>
                <w:spacing w:val="-3"/>
                <w:sz w:val="20"/>
                <w:szCs w:val="20"/>
              </w:rPr>
              <w:t xml:space="preserve"> – Áreas del SPNN</w:t>
            </w:r>
          </w:p>
        </w:tc>
        <w:tc>
          <w:tcPr>
            <w:tcW w:w="6512" w:type="dxa"/>
            <w:shd w:val="clear" w:color="auto" w:fill="auto"/>
            <w:vAlign w:val="center"/>
            <w:hideMark/>
          </w:tcPr>
          <w:p w14:paraId="03F09ADB" w14:textId="77777777" w:rsidR="003E222D" w:rsidRPr="00BD1319" w:rsidRDefault="003E222D" w:rsidP="003D4A7A">
            <w:pPr>
              <w:numPr>
                <w:ilvl w:val="12"/>
                <w:numId w:val="0"/>
              </w:numPr>
              <w:tabs>
                <w:tab w:val="left" w:pos="-2268"/>
              </w:tabs>
              <w:suppressAutoHyphens/>
              <w:rPr>
                <w:rFonts w:cs="Arial"/>
                <w:spacing w:val="-3"/>
                <w:sz w:val="20"/>
                <w:szCs w:val="20"/>
              </w:rPr>
            </w:pPr>
            <w:r w:rsidRPr="00BD1319">
              <w:rPr>
                <w:rFonts w:cs="Arial"/>
                <w:spacing w:val="-3"/>
                <w:sz w:val="20"/>
                <w:szCs w:val="20"/>
              </w:rPr>
              <w:t>Parque nacional natural</w:t>
            </w:r>
          </w:p>
        </w:tc>
      </w:tr>
      <w:tr w:rsidR="003E222D" w:rsidRPr="00BD1319" w14:paraId="142AAB13" w14:textId="77777777" w:rsidTr="003D4A7A">
        <w:trPr>
          <w:trHeight w:hRule="exact" w:val="340"/>
          <w:jc w:val="center"/>
        </w:trPr>
        <w:tc>
          <w:tcPr>
            <w:tcW w:w="2562" w:type="dxa"/>
            <w:vMerge/>
            <w:vAlign w:val="center"/>
          </w:tcPr>
          <w:p w14:paraId="5DF2EECA" w14:textId="77777777" w:rsidR="003E222D" w:rsidRPr="00BD1319" w:rsidRDefault="003E222D" w:rsidP="003D4A7A">
            <w:pPr>
              <w:numPr>
                <w:ilvl w:val="12"/>
                <w:numId w:val="0"/>
              </w:numPr>
              <w:tabs>
                <w:tab w:val="left" w:pos="-2268"/>
              </w:tabs>
              <w:suppressAutoHyphens/>
              <w:rPr>
                <w:rFonts w:cs="Arial"/>
                <w:iCs/>
                <w:spacing w:val="-3"/>
                <w:sz w:val="20"/>
                <w:szCs w:val="20"/>
              </w:rPr>
            </w:pPr>
          </w:p>
        </w:tc>
        <w:tc>
          <w:tcPr>
            <w:tcW w:w="6512" w:type="dxa"/>
            <w:shd w:val="clear" w:color="auto" w:fill="auto"/>
            <w:vAlign w:val="center"/>
            <w:hideMark/>
          </w:tcPr>
          <w:p w14:paraId="4BBFB25E" w14:textId="77777777" w:rsidR="003E222D" w:rsidRPr="00BD1319" w:rsidRDefault="003E222D" w:rsidP="003D4A7A">
            <w:pPr>
              <w:numPr>
                <w:ilvl w:val="12"/>
                <w:numId w:val="0"/>
              </w:numPr>
              <w:tabs>
                <w:tab w:val="left" w:pos="-2268"/>
              </w:tabs>
              <w:suppressAutoHyphens/>
              <w:rPr>
                <w:rFonts w:cs="Arial"/>
                <w:spacing w:val="-3"/>
                <w:sz w:val="20"/>
                <w:szCs w:val="20"/>
              </w:rPr>
            </w:pPr>
            <w:r w:rsidRPr="00BD1319">
              <w:rPr>
                <w:rFonts w:cs="Arial"/>
                <w:spacing w:val="-3"/>
                <w:sz w:val="20"/>
                <w:szCs w:val="20"/>
              </w:rPr>
              <w:t>Reserva natural</w:t>
            </w:r>
          </w:p>
        </w:tc>
      </w:tr>
      <w:tr w:rsidR="003E222D" w:rsidRPr="00BD1319" w14:paraId="3ACE53C6" w14:textId="77777777" w:rsidTr="003D4A7A">
        <w:trPr>
          <w:trHeight w:hRule="exact" w:val="340"/>
          <w:jc w:val="center"/>
        </w:trPr>
        <w:tc>
          <w:tcPr>
            <w:tcW w:w="2562" w:type="dxa"/>
            <w:vMerge/>
            <w:vAlign w:val="center"/>
          </w:tcPr>
          <w:p w14:paraId="43F1B319" w14:textId="77777777" w:rsidR="003E222D" w:rsidRPr="00BD1319" w:rsidRDefault="003E222D" w:rsidP="003D4A7A">
            <w:pPr>
              <w:numPr>
                <w:ilvl w:val="12"/>
                <w:numId w:val="0"/>
              </w:numPr>
              <w:tabs>
                <w:tab w:val="left" w:pos="-2268"/>
              </w:tabs>
              <w:suppressAutoHyphens/>
              <w:rPr>
                <w:rFonts w:cs="Arial"/>
                <w:iCs/>
                <w:spacing w:val="-3"/>
                <w:sz w:val="20"/>
                <w:szCs w:val="20"/>
              </w:rPr>
            </w:pPr>
          </w:p>
        </w:tc>
        <w:tc>
          <w:tcPr>
            <w:tcW w:w="6512" w:type="dxa"/>
            <w:shd w:val="clear" w:color="auto" w:fill="auto"/>
            <w:vAlign w:val="center"/>
            <w:hideMark/>
          </w:tcPr>
          <w:p w14:paraId="2A708C97" w14:textId="77777777" w:rsidR="003E222D" w:rsidRPr="00BD1319" w:rsidRDefault="003E222D" w:rsidP="003D4A7A">
            <w:pPr>
              <w:numPr>
                <w:ilvl w:val="12"/>
                <w:numId w:val="0"/>
              </w:numPr>
              <w:tabs>
                <w:tab w:val="left" w:pos="-2268"/>
              </w:tabs>
              <w:suppressAutoHyphens/>
              <w:rPr>
                <w:rFonts w:cs="Arial"/>
                <w:spacing w:val="-3"/>
                <w:sz w:val="20"/>
                <w:szCs w:val="20"/>
              </w:rPr>
            </w:pPr>
            <w:r w:rsidRPr="00BD1319">
              <w:rPr>
                <w:rFonts w:cs="Arial"/>
                <w:spacing w:val="-3"/>
                <w:sz w:val="20"/>
                <w:szCs w:val="20"/>
              </w:rPr>
              <w:t>Área natural única</w:t>
            </w:r>
          </w:p>
        </w:tc>
      </w:tr>
      <w:tr w:rsidR="003E222D" w:rsidRPr="00BD1319" w14:paraId="7C05C52A" w14:textId="77777777" w:rsidTr="003D4A7A">
        <w:trPr>
          <w:trHeight w:hRule="exact" w:val="340"/>
          <w:jc w:val="center"/>
        </w:trPr>
        <w:tc>
          <w:tcPr>
            <w:tcW w:w="2562" w:type="dxa"/>
            <w:vMerge/>
            <w:vAlign w:val="center"/>
          </w:tcPr>
          <w:p w14:paraId="1870A162" w14:textId="77777777" w:rsidR="003E222D" w:rsidRPr="00BD1319" w:rsidRDefault="003E222D" w:rsidP="003D4A7A">
            <w:pPr>
              <w:numPr>
                <w:ilvl w:val="12"/>
                <w:numId w:val="0"/>
              </w:numPr>
              <w:tabs>
                <w:tab w:val="left" w:pos="-2268"/>
              </w:tabs>
              <w:suppressAutoHyphens/>
              <w:rPr>
                <w:rFonts w:cs="Arial"/>
                <w:iCs/>
                <w:spacing w:val="-3"/>
                <w:sz w:val="20"/>
                <w:szCs w:val="20"/>
              </w:rPr>
            </w:pPr>
          </w:p>
        </w:tc>
        <w:tc>
          <w:tcPr>
            <w:tcW w:w="6512" w:type="dxa"/>
            <w:shd w:val="clear" w:color="auto" w:fill="auto"/>
            <w:vAlign w:val="center"/>
            <w:hideMark/>
          </w:tcPr>
          <w:p w14:paraId="33EBE6E6" w14:textId="77777777" w:rsidR="003E222D" w:rsidRPr="00BD1319" w:rsidRDefault="003E222D" w:rsidP="003D4A7A">
            <w:pPr>
              <w:numPr>
                <w:ilvl w:val="12"/>
                <w:numId w:val="0"/>
              </w:numPr>
              <w:tabs>
                <w:tab w:val="left" w:pos="-2268"/>
              </w:tabs>
              <w:suppressAutoHyphens/>
              <w:rPr>
                <w:rFonts w:cs="Arial"/>
                <w:spacing w:val="-3"/>
                <w:sz w:val="20"/>
                <w:szCs w:val="20"/>
              </w:rPr>
            </w:pPr>
            <w:r w:rsidRPr="00BD1319">
              <w:rPr>
                <w:rFonts w:cs="Arial"/>
                <w:spacing w:val="-3"/>
                <w:sz w:val="20"/>
                <w:szCs w:val="20"/>
              </w:rPr>
              <w:t>Santuario de flora</w:t>
            </w:r>
          </w:p>
        </w:tc>
      </w:tr>
      <w:tr w:rsidR="003E222D" w:rsidRPr="00BD1319" w14:paraId="32BAD99B" w14:textId="77777777" w:rsidTr="003D4A7A">
        <w:trPr>
          <w:trHeight w:hRule="exact" w:val="340"/>
          <w:jc w:val="center"/>
        </w:trPr>
        <w:tc>
          <w:tcPr>
            <w:tcW w:w="2562" w:type="dxa"/>
            <w:vMerge/>
            <w:vAlign w:val="center"/>
          </w:tcPr>
          <w:p w14:paraId="0469E4A2" w14:textId="77777777" w:rsidR="003E222D" w:rsidRPr="00BD1319" w:rsidRDefault="003E222D" w:rsidP="003D4A7A">
            <w:pPr>
              <w:numPr>
                <w:ilvl w:val="12"/>
                <w:numId w:val="0"/>
              </w:numPr>
              <w:tabs>
                <w:tab w:val="left" w:pos="-2268"/>
              </w:tabs>
              <w:suppressAutoHyphens/>
              <w:rPr>
                <w:rFonts w:cs="Arial"/>
                <w:iCs/>
                <w:spacing w:val="-3"/>
                <w:sz w:val="20"/>
                <w:szCs w:val="20"/>
              </w:rPr>
            </w:pPr>
          </w:p>
        </w:tc>
        <w:tc>
          <w:tcPr>
            <w:tcW w:w="6512" w:type="dxa"/>
            <w:shd w:val="clear" w:color="auto" w:fill="auto"/>
            <w:vAlign w:val="center"/>
            <w:hideMark/>
          </w:tcPr>
          <w:p w14:paraId="6D74BE71" w14:textId="77777777" w:rsidR="003E222D" w:rsidRPr="00BD1319" w:rsidRDefault="003E222D" w:rsidP="003D4A7A">
            <w:pPr>
              <w:numPr>
                <w:ilvl w:val="12"/>
                <w:numId w:val="0"/>
              </w:numPr>
              <w:tabs>
                <w:tab w:val="left" w:pos="-2268"/>
              </w:tabs>
              <w:suppressAutoHyphens/>
              <w:rPr>
                <w:rFonts w:cs="Arial"/>
                <w:spacing w:val="-3"/>
                <w:sz w:val="20"/>
                <w:szCs w:val="20"/>
              </w:rPr>
            </w:pPr>
            <w:r w:rsidRPr="00BD1319">
              <w:rPr>
                <w:rFonts w:cs="Arial"/>
                <w:spacing w:val="-3"/>
                <w:sz w:val="20"/>
                <w:szCs w:val="20"/>
              </w:rPr>
              <w:t>Santuario de fauna</w:t>
            </w:r>
          </w:p>
        </w:tc>
      </w:tr>
      <w:tr w:rsidR="003E222D" w:rsidRPr="00BD1319" w14:paraId="2F8F06D5" w14:textId="77777777" w:rsidTr="003D4A7A">
        <w:trPr>
          <w:trHeight w:hRule="exact" w:val="340"/>
          <w:jc w:val="center"/>
        </w:trPr>
        <w:tc>
          <w:tcPr>
            <w:tcW w:w="2562" w:type="dxa"/>
            <w:vMerge/>
            <w:vAlign w:val="center"/>
          </w:tcPr>
          <w:p w14:paraId="453AE028" w14:textId="77777777" w:rsidR="003E222D" w:rsidRPr="00BD1319" w:rsidRDefault="003E222D" w:rsidP="003D4A7A">
            <w:pPr>
              <w:numPr>
                <w:ilvl w:val="12"/>
                <w:numId w:val="0"/>
              </w:numPr>
              <w:tabs>
                <w:tab w:val="left" w:pos="-2268"/>
              </w:tabs>
              <w:suppressAutoHyphens/>
              <w:rPr>
                <w:rFonts w:cs="Arial"/>
                <w:iCs/>
                <w:spacing w:val="-3"/>
                <w:sz w:val="20"/>
                <w:szCs w:val="20"/>
              </w:rPr>
            </w:pPr>
          </w:p>
        </w:tc>
        <w:tc>
          <w:tcPr>
            <w:tcW w:w="6512" w:type="dxa"/>
            <w:shd w:val="clear" w:color="auto" w:fill="auto"/>
            <w:vAlign w:val="center"/>
          </w:tcPr>
          <w:p w14:paraId="7EB637FE" w14:textId="77777777" w:rsidR="003E222D" w:rsidRPr="00BD1319" w:rsidRDefault="003E222D" w:rsidP="003D4A7A">
            <w:pPr>
              <w:numPr>
                <w:ilvl w:val="12"/>
                <w:numId w:val="0"/>
              </w:numPr>
              <w:tabs>
                <w:tab w:val="left" w:pos="-2268"/>
              </w:tabs>
              <w:suppressAutoHyphens/>
              <w:rPr>
                <w:rFonts w:cs="Arial"/>
                <w:spacing w:val="-3"/>
                <w:sz w:val="20"/>
                <w:szCs w:val="20"/>
              </w:rPr>
            </w:pPr>
            <w:r w:rsidRPr="00BD1319">
              <w:rPr>
                <w:rFonts w:cs="Arial"/>
                <w:spacing w:val="-3"/>
                <w:sz w:val="20"/>
                <w:szCs w:val="20"/>
              </w:rPr>
              <w:t>Santuario de fauna y flora</w:t>
            </w:r>
          </w:p>
        </w:tc>
      </w:tr>
      <w:tr w:rsidR="003E222D" w:rsidRPr="00BD1319" w14:paraId="5448C24D" w14:textId="77777777" w:rsidTr="003D4A7A">
        <w:trPr>
          <w:trHeight w:hRule="exact" w:val="340"/>
          <w:jc w:val="center"/>
        </w:trPr>
        <w:tc>
          <w:tcPr>
            <w:tcW w:w="2562" w:type="dxa"/>
            <w:vMerge/>
            <w:vAlign w:val="center"/>
          </w:tcPr>
          <w:p w14:paraId="1D05E116" w14:textId="77777777" w:rsidR="003E222D" w:rsidRPr="00BD1319" w:rsidRDefault="003E222D" w:rsidP="003D4A7A">
            <w:pPr>
              <w:numPr>
                <w:ilvl w:val="12"/>
                <w:numId w:val="0"/>
              </w:numPr>
              <w:tabs>
                <w:tab w:val="left" w:pos="-2268"/>
              </w:tabs>
              <w:suppressAutoHyphens/>
              <w:rPr>
                <w:rFonts w:cs="Arial"/>
                <w:iCs/>
                <w:spacing w:val="-3"/>
                <w:sz w:val="20"/>
                <w:szCs w:val="20"/>
              </w:rPr>
            </w:pPr>
          </w:p>
        </w:tc>
        <w:tc>
          <w:tcPr>
            <w:tcW w:w="6512" w:type="dxa"/>
            <w:shd w:val="clear" w:color="auto" w:fill="auto"/>
            <w:vAlign w:val="center"/>
            <w:hideMark/>
          </w:tcPr>
          <w:p w14:paraId="0598DC51" w14:textId="77777777" w:rsidR="003E222D" w:rsidRPr="00BD1319" w:rsidRDefault="003E222D" w:rsidP="003D4A7A">
            <w:pPr>
              <w:numPr>
                <w:ilvl w:val="12"/>
                <w:numId w:val="0"/>
              </w:numPr>
              <w:tabs>
                <w:tab w:val="left" w:pos="-2268"/>
              </w:tabs>
              <w:suppressAutoHyphens/>
              <w:rPr>
                <w:rFonts w:cs="Arial"/>
                <w:spacing w:val="-3"/>
                <w:sz w:val="20"/>
                <w:szCs w:val="20"/>
              </w:rPr>
            </w:pPr>
            <w:r w:rsidRPr="00BD1319">
              <w:rPr>
                <w:rFonts w:cs="Arial"/>
                <w:spacing w:val="-3"/>
                <w:sz w:val="20"/>
                <w:szCs w:val="20"/>
              </w:rPr>
              <w:t>Vía parque</w:t>
            </w:r>
          </w:p>
        </w:tc>
      </w:tr>
      <w:tr w:rsidR="003E222D" w:rsidRPr="00BD1319" w14:paraId="31E0007E" w14:textId="77777777" w:rsidTr="003D4A7A">
        <w:trPr>
          <w:trHeight w:hRule="exact" w:val="340"/>
          <w:jc w:val="center"/>
        </w:trPr>
        <w:tc>
          <w:tcPr>
            <w:tcW w:w="2562" w:type="dxa"/>
            <w:vMerge w:val="restart"/>
            <w:vAlign w:val="center"/>
          </w:tcPr>
          <w:p w14:paraId="0652EAA1" w14:textId="77777777" w:rsidR="003E222D" w:rsidRPr="00BD1319" w:rsidRDefault="003E222D" w:rsidP="003D4A7A">
            <w:pPr>
              <w:numPr>
                <w:ilvl w:val="12"/>
                <w:numId w:val="0"/>
              </w:numPr>
              <w:tabs>
                <w:tab w:val="left" w:pos="-2268"/>
              </w:tabs>
              <w:suppressAutoHyphens/>
              <w:rPr>
                <w:rFonts w:cs="Arial"/>
                <w:iCs/>
                <w:spacing w:val="-3"/>
                <w:sz w:val="20"/>
                <w:szCs w:val="20"/>
              </w:rPr>
            </w:pPr>
            <w:proofErr w:type="spellStart"/>
            <w:r w:rsidRPr="00BD1319">
              <w:rPr>
                <w:rFonts w:cs="Arial"/>
                <w:iCs/>
                <w:spacing w:val="-3"/>
                <w:sz w:val="20"/>
                <w:szCs w:val="20"/>
              </w:rPr>
              <w:t>Sinap</w:t>
            </w:r>
            <w:proofErr w:type="spellEnd"/>
            <w:r w:rsidRPr="00BD1319">
              <w:rPr>
                <w:rFonts w:cs="Arial"/>
                <w:iCs/>
                <w:spacing w:val="-3"/>
                <w:sz w:val="20"/>
                <w:szCs w:val="20"/>
              </w:rPr>
              <w:t xml:space="preserve"> – Otras áreas</w:t>
            </w:r>
          </w:p>
        </w:tc>
        <w:tc>
          <w:tcPr>
            <w:tcW w:w="6512" w:type="dxa"/>
            <w:shd w:val="clear" w:color="auto" w:fill="auto"/>
            <w:vAlign w:val="center"/>
          </w:tcPr>
          <w:p w14:paraId="35FFD01F" w14:textId="77777777" w:rsidR="003E222D" w:rsidRPr="00BD1319" w:rsidRDefault="003E222D" w:rsidP="003D4A7A">
            <w:pPr>
              <w:numPr>
                <w:ilvl w:val="12"/>
                <w:numId w:val="0"/>
              </w:numPr>
              <w:tabs>
                <w:tab w:val="left" w:pos="-2268"/>
              </w:tabs>
              <w:suppressAutoHyphens/>
              <w:rPr>
                <w:rFonts w:cs="Arial"/>
                <w:spacing w:val="-3"/>
                <w:sz w:val="20"/>
                <w:szCs w:val="20"/>
              </w:rPr>
            </w:pPr>
            <w:r w:rsidRPr="00BD1319">
              <w:rPr>
                <w:rFonts w:cs="Arial"/>
                <w:spacing w:val="-3"/>
                <w:sz w:val="20"/>
                <w:szCs w:val="20"/>
              </w:rPr>
              <w:t>Parque regional natural</w:t>
            </w:r>
          </w:p>
        </w:tc>
      </w:tr>
      <w:tr w:rsidR="003E222D" w:rsidRPr="00BD1319" w14:paraId="02A6BFB9" w14:textId="77777777" w:rsidTr="003D4A7A">
        <w:trPr>
          <w:trHeight w:hRule="exact" w:val="340"/>
          <w:jc w:val="center"/>
        </w:trPr>
        <w:tc>
          <w:tcPr>
            <w:tcW w:w="2562" w:type="dxa"/>
            <w:vMerge/>
            <w:vAlign w:val="center"/>
          </w:tcPr>
          <w:p w14:paraId="797FA355" w14:textId="77777777" w:rsidR="003E222D" w:rsidRPr="00BD1319" w:rsidRDefault="003E222D" w:rsidP="003D4A7A">
            <w:pPr>
              <w:numPr>
                <w:ilvl w:val="12"/>
                <w:numId w:val="0"/>
              </w:numPr>
              <w:tabs>
                <w:tab w:val="left" w:pos="-2268"/>
              </w:tabs>
              <w:suppressAutoHyphens/>
              <w:rPr>
                <w:rFonts w:cs="Arial"/>
                <w:iCs/>
                <w:spacing w:val="-3"/>
                <w:sz w:val="20"/>
                <w:szCs w:val="20"/>
              </w:rPr>
            </w:pPr>
          </w:p>
        </w:tc>
        <w:tc>
          <w:tcPr>
            <w:tcW w:w="6512" w:type="dxa"/>
            <w:shd w:val="clear" w:color="auto" w:fill="auto"/>
            <w:vAlign w:val="center"/>
          </w:tcPr>
          <w:p w14:paraId="30A9F19C" w14:textId="77777777" w:rsidR="003E222D" w:rsidRPr="00BD1319" w:rsidRDefault="003E222D" w:rsidP="003D4A7A">
            <w:pPr>
              <w:numPr>
                <w:ilvl w:val="12"/>
                <w:numId w:val="0"/>
              </w:numPr>
              <w:tabs>
                <w:tab w:val="left" w:pos="-2268"/>
              </w:tabs>
              <w:suppressAutoHyphens/>
              <w:rPr>
                <w:rFonts w:cs="Arial"/>
                <w:spacing w:val="-3"/>
                <w:sz w:val="20"/>
                <w:szCs w:val="20"/>
              </w:rPr>
            </w:pPr>
            <w:r w:rsidRPr="00BD1319">
              <w:rPr>
                <w:rFonts w:cs="Arial"/>
                <w:spacing w:val="-3"/>
                <w:sz w:val="20"/>
                <w:szCs w:val="20"/>
              </w:rPr>
              <w:t>Reserva forestal protectora nacional</w:t>
            </w:r>
          </w:p>
        </w:tc>
      </w:tr>
      <w:tr w:rsidR="003E222D" w:rsidRPr="00BD1319" w14:paraId="6D45FB12" w14:textId="77777777" w:rsidTr="003D4A7A">
        <w:trPr>
          <w:trHeight w:hRule="exact" w:val="340"/>
          <w:jc w:val="center"/>
        </w:trPr>
        <w:tc>
          <w:tcPr>
            <w:tcW w:w="2562" w:type="dxa"/>
            <w:vMerge/>
            <w:vAlign w:val="center"/>
          </w:tcPr>
          <w:p w14:paraId="5215CBB6" w14:textId="77777777" w:rsidR="003E222D" w:rsidRPr="00BD1319" w:rsidRDefault="003E222D" w:rsidP="003D4A7A">
            <w:pPr>
              <w:numPr>
                <w:ilvl w:val="12"/>
                <w:numId w:val="0"/>
              </w:numPr>
              <w:tabs>
                <w:tab w:val="left" w:pos="-2268"/>
              </w:tabs>
              <w:suppressAutoHyphens/>
              <w:rPr>
                <w:rFonts w:cs="Arial"/>
                <w:iCs/>
                <w:spacing w:val="-3"/>
                <w:sz w:val="20"/>
                <w:szCs w:val="20"/>
              </w:rPr>
            </w:pPr>
          </w:p>
        </w:tc>
        <w:tc>
          <w:tcPr>
            <w:tcW w:w="6512" w:type="dxa"/>
            <w:shd w:val="clear" w:color="auto" w:fill="auto"/>
            <w:vAlign w:val="center"/>
          </w:tcPr>
          <w:p w14:paraId="2934E51B" w14:textId="77777777" w:rsidR="003E222D" w:rsidRPr="00BD1319" w:rsidRDefault="003E222D" w:rsidP="003D4A7A">
            <w:pPr>
              <w:numPr>
                <w:ilvl w:val="12"/>
                <w:numId w:val="0"/>
              </w:numPr>
              <w:tabs>
                <w:tab w:val="left" w:pos="-2268"/>
              </w:tabs>
              <w:suppressAutoHyphens/>
              <w:rPr>
                <w:rFonts w:cs="Arial"/>
                <w:spacing w:val="-3"/>
                <w:sz w:val="20"/>
                <w:szCs w:val="20"/>
              </w:rPr>
            </w:pPr>
            <w:r w:rsidRPr="00BD1319">
              <w:rPr>
                <w:rFonts w:cs="Arial"/>
                <w:spacing w:val="-3"/>
                <w:sz w:val="20"/>
                <w:szCs w:val="20"/>
              </w:rPr>
              <w:t>Reserva forestal protectora regional</w:t>
            </w:r>
          </w:p>
        </w:tc>
      </w:tr>
      <w:tr w:rsidR="003E222D" w:rsidRPr="00BD1319" w14:paraId="6F61D1F7" w14:textId="77777777" w:rsidTr="003D4A7A">
        <w:trPr>
          <w:trHeight w:hRule="exact" w:val="340"/>
          <w:jc w:val="center"/>
        </w:trPr>
        <w:tc>
          <w:tcPr>
            <w:tcW w:w="2562" w:type="dxa"/>
            <w:vMerge/>
            <w:vAlign w:val="center"/>
          </w:tcPr>
          <w:p w14:paraId="30BDDF92" w14:textId="77777777" w:rsidR="003E222D" w:rsidRPr="00BD1319" w:rsidRDefault="003E222D" w:rsidP="003D4A7A">
            <w:pPr>
              <w:numPr>
                <w:ilvl w:val="12"/>
                <w:numId w:val="0"/>
              </w:numPr>
              <w:tabs>
                <w:tab w:val="left" w:pos="-2268"/>
              </w:tabs>
              <w:suppressAutoHyphens/>
              <w:rPr>
                <w:rFonts w:cs="Arial"/>
                <w:iCs/>
                <w:spacing w:val="-3"/>
                <w:sz w:val="20"/>
                <w:szCs w:val="20"/>
              </w:rPr>
            </w:pPr>
          </w:p>
        </w:tc>
        <w:tc>
          <w:tcPr>
            <w:tcW w:w="6512" w:type="dxa"/>
            <w:shd w:val="clear" w:color="auto" w:fill="auto"/>
            <w:vAlign w:val="center"/>
          </w:tcPr>
          <w:p w14:paraId="7F36AB98" w14:textId="77777777" w:rsidR="003E222D" w:rsidRPr="00BD1319" w:rsidRDefault="003E222D" w:rsidP="003D4A7A">
            <w:pPr>
              <w:numPr>
                <w:ilvl w:val="12"/>
                <w:numId w:val="0"/>
              </w:numPr>
              <w:tabs>
                <w:tab w:val="left" w:pos="-2268"/>
              </w:tabs>
              <w:suppressAutoHyphens/>
              <w:rPr>
                <w:rFonts w:cs="Arial"/>
                <w:spacing w:val="-3"/>
                <w:sz w:val="20"/>
                <w:szCs w:val="20"/>
              </w:rPr>
            </w:pPr>
            <w:r w:rsidRPr="00BD1319">
              <w:rPr>
                <w:rFonts w:cs="Arial"/>
                <w:spacing w:val="-3"/>
                <w:sz w:val="20"/>
                <w:szCs w:val="20"/>
              </w:rPr>
              <w:t>Distrito nacional de manejo integrado</w:t>
            </w:r>
          </w:p>
        </w:tc>
      </w:tr>
      <w:tr w:rsidR="003E222D" w:rsidRPr="00BD1319" w14:paraId="524D4801" w14:textId="77777777" w:rsidTr="003D4A7A">
        <w:trPr>
          <w:trHeight w:hRule="exact" w:val="340"/>
          <w:jc w:val="center"/>
        </w:trPr>
        <w:tc>
          <w:tcPr>
            <w:tcW w:w="2562" w:type="dxa"/>
            <w:vMerge/>
            <w:vAlign w:val="center"/>
          </w:tcPr>
          <w:p w14:paraId="16C0D25D" w14:textId="77777777" w:rsidR="003E222D" w:rsidRPr="00BD1319" w:rsidRDefault="003E222D" w:rsidP="003D4A7A">
            <w:pPr>
              <w:numPr>
                <w:ilvl w:val="12"/>
                <w:numId w:val="0"/>
              </w:numPr>
              <w:tabs>
                <w:tab w:val="left" w:pos="-2268"/>
              </w:tabs>
              <w:suppressAutoHyphens/>
              <w:rPr>
                <w:rFonts w:cs="Arial"/>
                <w:iCs/>
                <w:spacing w:val="-3"/>
                <w:sz w:val="20"/>
                <w:szCs w:val="20"/>
              </w:rPr>
            </w:pPr>
          </w:p>
        </w:tc>
        <w:tc>
          <w:tcPr>
            <w:tcW w:w="6512" w:type="dxa"/>
            <w:shd w:val="clear" w:color="auto" w:fill="auto"/>
            <w:vAlign w:val="center"/>
          </w:tcPr>
          <w:p w14:paraId="7E530755" w14:textId="77777777" w:rsidR="003E222D" w:rsidRPr="00BD1319" w:rsidRDefault="003E222D" w:rsidP="003D4A7A">
            <w:pPr>
              <w:numPr>
                <w:ilvl w:val="12"/>
                <w:numId w:val="0"/>
              </w:numPr>
              <w:tabs>
                <w:tab w:val="left" w:pos="-2268"/>
              </w:tabs>
              <w:suppressAutoHyphens/>
              <w:rPr>
                <w:rFonts w:cs="Arial"/>
                <w:spacing w:val="-3"/>
                <w:sz w:val="20"/>
                <w:szCs w:val="20"/>
              </w:rPr>
            </w:pPr>
            <w:r w:rsidRPr="00BD1319">
              <w:rPr>
                <w:rFonts w:cs="Arial"/>
                <w:spacing w:val="-3"/>
                <w:sz w:val="20"/>
                <w:szCs w:val="20"/>
              </w:rPr>
              <w:t>Distrito regional de manejo integrado</w:t>
            </w:r>
          </w:p>
        </w:tc>
      </w:tr>
      <w:tr w:rsidR="003E222D" w:rsidRPr="00BD1319" w14:paraId="108F8FBE" w14:textId="77777777" w:rsidTr="003D4A7A">
        <w:trPr>
          <w:trHeight w:hRule="exact" w:val="340"/>
          <w:jc w:val="center"/>
        </w:trPr>
        <w:tc>
          <w:tcPr>
            <w:tcW w:w="2562" w:type="dxa"/>
            <w:vMerge/>
            <w:vAlign w:val="center"/>
          </w:tcPr>
          <w:p w14:paraId="79D03F94" w14:textId="77777777" w:rsidR="003E222D" w:rsidRPr="00BD1319" w:rsidRDefault="003E222D" w:rsidP="003D4A7A">
            <w:pPr>
              <w:numPr>
                <w:ilvl w:val="12"/>
                <w:numId w:val="0"/>
              </w:numPr>
              <w:tabs>
                <w:tab w:val="left" w:pos="-2268"/>
              </w:tabs>
              <w:suppressAutoHyphens/>
              <w:rPr>
                <w:rFonts w:cs="Arial"/>
                <w:iCs/>
                <w:spacing w:val="-3"/>
                <w:sz w:val="20"/>
                <w:szCs w:val="20"/>
              </w:rPr>
            </w:pPr>
          </w:p>
        </w:tc>
        <w:tc>
          <w:tcPr>
            <w:tcW w:w="6512" w:type="dxa"/>
            <w:shd w:val="clear" w:color="auto" w:fill="auto"/>
            <w:vAlign w:val="center"/>
          </w:tcPr>
          <w:p w14:paraId="4523FC36" w14:textId="77777777" w:rsidR="003E222D" w:rsidRPr="00BD1319" w:rsidRDefault="003E222D" w:rsidP="003D4A7A">
            <w:pPr>
              <w:numPr>
                <w:ilvl w:val="12"/>
                <w:numId w:val="0"/>
              </w:numPr>
              <w:tabs>
                <w:tab w:val="left" w:pos="-2268"/>
              </w:tabs>
              <w:suppressAutoHyphens/>
              <w:rPr>
                <w:rFonts w:cs="Arial"/>
                <w:spacing w:val="-3"/>
                <w:sz w:val="20"/>
                <w:szCs w:val="20"/>
              </w:rPr>
            </w:pPr>
            <w:r w:rsidRPr="00BD1319">
              <w:rPr>
                <w:rFonts w:cs="Arial"/>
                <w:spacing w:val="-3"/>
                <w:sz w:val="20"/>
                <w:szCs w:val="20"/>
              </w:rPr>
              <w:t>Distrito de conservación de suelos</w:t>
            </w:r>
          </w:p>
        </w:tc>
      </w:tr>
      <w:tr w:rsidR="003E222D" w:rsidRPr="00BD1319" w14:paraId="4B29886F" w14:textId="77777777" w:rsidTr="003D4A7A">
        <w:trPr>
          <w:trHeight w:hRule="exact" w:val="340"/>
          <w:jc w:val="center"/>
        </w:trPr>
        <w:tc>
          <w:tcPr>
            <w:tcW w:w="2562" w:type="dxa"/>
            <w:vMerge/>
            <w:vAlign w:val="center"/>
          </w:tcPr>
          <w:p w14:paraId="6E8A239E" w14:textId="77777777" w:rsidR="003E222D" w:rsidRPr="00BD1319" w:rsidRDefault="003E222D" w:rsidP="003D4A7A">
            <w:pPr>
              <w:numPr>
                <w:ilvl w:val="12"/>
                <w:numId w:val="0"/>
              </w:numPr>
              <w:tabs>
                <w:tab w:val="left" w:pos="-2268"/>
              </w:tabs>
              <w:suppressAutoHyphens/>
              <w:rPr>
                <w:rFonts w:cs="Arial"/>
                <w:iCs/>
                <w:spacing w:val="-3"/>
                <w:sz w:val="20"/>
                <w:szCs w:val="20"/>
              </w:rPr>
            </w:pPr>
          </w:p>
        </w:tc>
        <w:tc>
          <w:tcPr>
            <w:tcW w:w="6512" w:type="dxa"/>
            <w:shd w:val="clear" w:color="auto" w:fill="auto"/>
            <w:vAlign w:val="center"/>
          </w:tcPr>
          <w:p w14:paraId="44855C0F" w14:textId="77777777" w:rsidR="003E222D" w:rsidRPr="00BD1319" w:rsidRDefault="003E222D" w:rsidP="003D4A7A">
            <w:pPr>
              <w:numPr>
                <w:ilvl w:val="12"/>
                <w:numId w:val="0"/>
              </w:numPr>
              <w:tabs>
                <w:tab w:val="left" w:pos="-2268"/>
              </w:tabs>
              <w:suppressAutoHyphens/>
              <w:rPr>
                <w:rFonts w:cs="Arial"/>
                <w:spacing w:val="-3"/>
                <w:sz w:val="20"/>
                <w:szCs w:val="20"/>
              </w:rPr>
            </w:pPr>
            <w:r w:rsidRPr="00BD1319">
              <w:rPr>
                <w:rFonts w:cs="Arial"/>
                <w:spacing w:val="-3"/>
                <w:sz w:val="20"/>
                <w:szCs w:val="20"/>
              </w:rPr>
              <w:t>Área de recreación</w:t>
            </w:r>
          </w:p>
        </w:tc>
      </w:tr>
      <w:tr w:rsidR="003E222D" w:rsidRPr="00BD1319" w14:paraId="1CA1CE90" w14:textId="77777777" w:rsidTr="003D4A7A">
        <w:trPr>
          <w:trHeight w:hRule="exact" w:val="340"/>
          <w:jc w:val="center"/>
        </w:trPr>
        <w:tc>
          <w:tcPr>
            <w:tcW w:w="2562" w:type="dxa"/>
            <w:vMerge/>
            <w:vAlign w:val="center"/>
          </w:tcPr>
          <w:p w14:paraId="1363F420" w14:textId="77777777" w:rsidR="003E222D" w:rsidRPr="00BD1319" w:rsidRDefault="003E222D" w:rsidP="003D4A7A">
            <w:pPr>
              <w:numPr>
                <w:ilvl w:val="12"/>
                <w:numId w:val="0"/>
              </w:numPr>
              <w:tabs>
                <w:tab w:val="left" w:pos="-2268"/>
              </w:tabs>
              <w:suppressAutoHyphens/>
              <w:rPr>
                <w:rFonts w:cs="Arial"/>
                <w:iCs/>
                <w:spacing w:val="-3"/>
                <w:sz w:val="20"/>
                <w:szCs w:val="20"/>
              </w:rPr>
            </w:pPr>
          </w:p>
        </w:tc>
        <w:tc>
          <w:tcPr>
            <w:tcW w:w="6512" w:type="dxa"/>
            <w:shd w:val="clear" w:color="auto" w:fill="auto"/>
            <w:vAlign w:val="center"/>
          </w:tcPr>
          <w:p w14:paraId="7C993561" w14:textId="77777777" w:rsidR="003E222D" w:rsidRPr="00BD1319" w:rsidRDefault="003E222D" w:rsidP="003D4A7A">
            <w:pPr>
              <w:numPr>
                <w:ilvl w:val="12"/>
                <w:numId w:val="0"/>
              </w:numPr>
              <w:tabs>
                <w:tab w:val="left" w:pos="-2268"/>
              </w:tabs>
              <w:suppressAutoHyphens/>
              <w:rPr>
                <w:rFonts w:cs="Arial"/>
                <w:spacing w:val="-3"/>
                <w:sz w:val="20"/>
                <w:szCs w:val="20"/>
              </w:rPr>
            </w:pPr>
            <w:r w:rsidRPr="00BD1319">
              <w:rPr>
                <w:rFonts w:cs="Arial"/>
                <w:spacing w:val="-3"/>
                <w:sz w:val="20"/>
                <w:szCs w:val="20"/>
              </w:rPr>
              <w:t>Reserva natural de la sociedad civil</w:t>
            </w:r>
          </w:p>
        </w:tc>
      </w:tr>
      <w:tr w:rsidR="003E222D" w:rsidRPr="00BD1319" w14:paraId="049386BF" w14:textId="77777777" w:rsidTr="003D4A7A">
        <w:trPr>
          <w:trHeight w:hRule="exact" w:val="340"/>
          <w:jc w:val="center"/>
        </w:trPr>
        <w:tc>
          <w:tcPr>
            <w:tcW w:w="2562" w:type="dxa"/>
            <w:vMerge w:val="restart"/>
            <w:vAlign w:val="center"/>
          </w:tcPr>
          <w:p w14:paraId="067E3BC3" w14:textId="77777777" w:rsidR="003E222D" w:rsidRPr="00BD1319" w:rsidRDefault="003E222D" w:rsidP="003D4A7A">
            <w:pPr>
              <w:numPr>
                <w:ilvl w:val="12"/>
                <w:numId w:val="0"/>
              </w:numPr>
              <w:tabs>
                <w:tab w:val="left" w:pos="-2268"/>
              </w:tabs>
              <w:suppressAutoHyphens/>
              <w:rPr>
                <w:rFonts w:cs="Arial"/>
                <w:iCs/>
                <w:spacing w:val="-3"/>
                <w:sz w:val="20"/>
                <w:szCs w:val="20"/>
              </w:rPr>
            </w:pPr>
            <w:r w:rsidRPr="00BD1319">
              <w:rPr>
                <w:rFonts w:cs="Arial"/>
                <w:iCs/>
                <w:spacing w:val="-3"/>
                <w:sz w:val="20"/>
                <w:szCs w:val="20"/>
              </w:rPr>
              <w:t>Ecosistemas estratégicos</w:t>
            </w:r>
          </w:p>
        </w:tc>
        <w:tc>
          <w:tcPr>
            <w:tcW w:w="6512" w:type="dxa"/>
            <w:shd w:val="clear" w:color="auto" w:fill="auto"/>
            <w:vAlign w:val="center"/>
          </w:tcPr>
          <w:p w14:paraId="33C76C53" w14:textId="77777777" w:rsidR="003E222D" w:rsidRPr="00BD1319" w:rsidRDefault="003E222D" w:rsidP="003D4A7A">
            <w:pPr>
              <w:numPr>
                <w:ilvl w:val="12"/>
                <w:numId w:val="0"/>
              </w:numPr>
              <w:tabs>
                <w:tab w:val="left" w:pos="-2268"/>
              </w:tabs>
              <w:suppressAutoHyphens/>
              <w:rPr>
                <w:rFonts w:cs="Arial"/>
                <w:spacing w:val="-3"/>
                <w:sz w:val="20"/>
                <w:szCs w:val="20"/>
              </w:rPr>
            </w:pPr>
            <w:r w:rsidRPr="00BD1319">
              <w:rPr>
                <w:rFonts w:cs="Arial"/>
                <w:spacing w:val="-3"/>
                <w:sz w:val="20"/>
                <w:szCs w:val="20"/>
              </w:rPr>
              <w:t>Páramos</w:t>
            </w:r>
          </w:p>
        </w:tc>
      </w:tr>
      <w:tr w:rsidR="003E222D" w:rsidRPr="00BD1319" w14:paraId="27126B97" w14:textId="77777777" w:rsidTr="003D4A7A">
        <w:trPr>
          <w:trHeight w:hRule="exact" w:val="340"/>
          <w:jc w:val="center"/>
        </w:trPr>
        <w:tc>
          <w:tcPr>
            <w:tcW w:w="2562" w:type="dxa"/>
            <w:vMerge/>
            <w:vAlign w:val="center"/>
          </w:tcPr>
          <w:p w14:paraId="2AA4F1A7" w14:textId="77777777" w:rsidR="003E222D" w:rsidRPr="00BD1319" w:rsidRDefault="003E222D" w:rsidP="003D4A7A">
            <w:pPr>
              <w:numPr>
                <w:ilvl w:val="12"/>
                <w:numId w:val="0"/>
              </w:numPr>
              <w:tabs>
                <w:tab w:val="left" w:pos="-2268"/>
              </w:tabs>
              <w:suppressAutoHyphens/>
              <w:rPr>
                <w:rFonts w:cs="Arial"/>
                <w:iCs/>
                <w:spacing w:val="-3"/>
                <w:sz w:val="20"/>
                <w:szCs w:val="20"/>
              </w:rPr>
            </w:pPr>
          </w:p>
        </w:tc>
        <w:tc>
          <w:tcPr>
            <w:tcW w:w="6512" w:type="dxa"/>
            <w:shd w:val="clear" w:color="auto" w:fill="auto"/>
            <w:vAlign w:val="center"/>
          </w:tcPr>
          <w:p w14:paraId="14D76A37" w14:textId="77777777" w:rsidR="003E222D" w:rsidRPr="00BD1319" w:rsidRDefault="003E222D" w:rsidP="003D4A7A">
            <w:pPr>
              <w:numPr>
                <w:ilvl w:val="12"/>
                <w:numId w:val="0"/>
              </w:numPr>
              <w:tabs>
                <w:tab w:val="left" w:pos="-2268"/>
              </w:tabs>
              <w:suppressAutoHyphens/>
              <w:rPr>
                <w:rFonts w:cs="Arial"/>
                <w:spacing w:val="-3"/>
                <w:sz w:val="20"/>
                <w:szCs w:val="20"/>
              </w:rPr>
            </w:pPr>
            <w:r w:rsidRPr="00BD1319">
              <w:rPr>
                <w:rFonts w:cs="Arial"/>
                <w:spacing w:val="-3"/>
                <w:sz w:val="20"/>
                <w:szCs w:val="20"/>
              </w:rPr>
              <w:t>Subpáramos</w:t>
            </w:r>
          </w:p>
        </w:tc>
      </w:tr>
      <w:tr w:rsidR="003E222D" w:rsidRPr="00BD1319" w14:paraId="4EDEFF98" w14:textId="77777777" w:rsidTr="003D4A7A">
        <w:trPr>
          <w:trHeight w:hRule="exact" w:val="340"/>
          <w:jc w:val="center"/>
        </w:trPr>
        <w:tc>
          <w:tcPr>
            <w:tcW w:w="2562" w:type="dxa"/>
            <w:vMerge/>
            <w:vAlign w:val="center"/>
          </w:tcPr>
          <w:p w14:paraId="08B64EC2" w14:textId="77777777" w:rsidR="003E222D" w:rsidRPr="00BD1319" w:rsidRDefault="003E222D" w:rsidP="003D4A7A">
            <w:pPr>
              <w:numPr>
                <w:ilvl w:val="12"/>
                <w:numId w:val="0"/>
              </w:numPr>
              <w:tabs>
                <w:tab w:val="left" w:pos="-2268"/>
              </w:tabs>
              <w:suppressAutoHyphens/>
              <w:rPr>
                <w:rFonts w:cs="Arial"/>
                <w:iCs/>
                <w:spacing w:val="-3"/>
                <w:sz w:val="20"/>
                <w:szCs w:val="20"/>
              </w:rPr>
            </w:pPr>
          </w:p>
        </w:tc>
        <w:tc>
          <w:tcPr>
            <w:tcW w:w="6512" w:type="dxa"/>
            <w:shd w:val="clear" w:color="auto" w:fill="auto"/>
            <w:vAlign w:val="center"/>
          </w:tcPr>
          <w:p w14:paraId="54F82637" w14:textId="77777777" w:rsidR="003E222D" w:rsidRPr="00BD1319" w:rsidRDefault="003E222D" w:rsidP="003D4A7A">
            <w:pPr>
              <w:numPr>
                <w:ilvl w:val="12"/>
                <w:numId w:val="0"/>
              </w:numPr>
              <w:tabs>
                <w:tab w:val="left" w:pos="-2268"/>
              </w:tabs>
              <w:suppressAutoHyphens/>
              <w:rPr>
                <w:rFonts w:cs="Arial"/>
                <w:spacing w:val="-3"/>
                <w:sz w:val="20"/>
                <w:szCs w:val="20"/>
              </w:rPr>
            </w:pPr>
            <w:r w:rsidRPr="00BD1319">
              <w:rPr>
                <w:rFonts w:cs="Arial"/>
                <w:spacing w:val="-3"/>
                <w:sz w:val="20"/>
                <w:szCs w:val="20"/>
              </w:rPr>
              <w:t>Humedales</w:t>
            </w:r>
          </w:p>
        </w:tc>
      </w:tr>
      <w:tr w:rsidR="003E222D" w:rsidRPr="00BD1319" w14:paraId="36B58E74" w14:textId="77777777" w:rsidTr="003D4A7A">
        <w:trPr>
          <w:trHeight w:hRule="exact" w:val="340"/>
          <w:jc w:val="center"/>
        </w:trPr>
        <w:tc>
          <w:tcPr>
            <w:tcW w:w="2562" w:type="dxa"/>
            <w:vMerge/>
            <w:vAlign w:val="center"/>
          </w:tcPr>
          <w:p w14:paraId="5C004E79" w14:textId="77777777" w:rsidR="003E222D" w:rsidRPr="00BD1319" w:rsidRDefault="003E222D" w:rsidP="003D4A7A">
            <w:pPr>
              <w:numPr>
                <w:ilvl w:val="12"/>
                <w:numId w:val="0"/>
              </w:numPr>
              <w:tabs>
                <w:tab w:val="left" w:pos="-2268"/>
              </w:tabs>
              <w:suppressAutoHyphens/>
              <w:rPr>
                <w:rFonts w:cs="Arial"/>
                <w:iCs/>
                <w:spacing w:val="-3"/>
                <w:sz w:val="20"/>
                <w:szCs w:val="20"/>
              </w:rPr>
            </w:pPr>
          </w:p>
        </w:tc>
        <w:tc>
          <w:tcPr>
            <w:tcW w:w="6512" w:type="dxa"/>
            <w:shd w:val="clear" w:color="auto" w:fill="auto"/>
            <w:vAlign w:val="center"/>
          </w:tcPr>
          <w:p w14:paraId="12CF5326" w14:textId="77777777" w:rsidR="003E222D" w:rsidRPr="00BD1319" w:rsidRDefault="003E222D" w:rsidP="003D4A7A">
            <w:pPr>
              <w:numPr>
                <w:ilvl w:val="12"/>
                <w:numId w:val="0"/>
              </w:numPr>
              <w:tabs>
                <w:tab w:val="left" w:pos="-2268"/>
              </w:tabs>
              <w:suppressAutoHyphens/>
              <w:rPr>
                <w:rFonts w:cs="Arial"/>
                <w:spacing w:val="-3"/>
                <w:sz w:val="20"/>
                <w:szCs w:val="20"/>
              </w:rPr>
            </w:pPr>
            <w:r w:rsidRPr="00BD1319">
              <w:rPr>
                <w:rFonts w:cs="Arial"/>
                <w:spacing w:val="-3"/>
                <w:sz w:val="20"/>
                <w:szCs w:val="20"/>
              </w:rPr>
              <w:t>Manglares</w:t>
            </w:r>
          </w:p>
        </w:tc>
      </w:tr>
      <w:tr w:rsidR="003E222D" w:rsidRPr="00BD1319" w14:paraId="1C4E4F0A" w14:textId="77777777" w:rsidTr="003D4A7A">
        <w:trPr>
          <w:trHeight w:hRule="exact" w:val="340"/>
          <w:jc w:val="center"/>
        </w:trPr>
        <w:tc>
          <w:tcPr>
            <w:tcW w:w="2562" w:type="dxa"/>
            <w:vMerge/>
            <w:vAlign w:val="center"/>
          </w:tcPr>
          <w:p w14:paraId="6E26D413" w14:textId="77777777" w:rsidR="003E222D" w:rsidRPr="00BD1319" w:rsidRDefault="003E222D" w:rsidP="003D4A7A">
            <w:pPr>
              <w:numPr>
                <w:ilvl w:val="12"/>
                <w:numId w:val="0"/>
              </w:numPr>
              <w:tabs>
                <w:tab w:val="left" w:pos="-2268"/>
              </w:tabs>
              <w:suppressAutoHyphens/>
              <w:rPr>
                <w:rFonts w:cs="Arial"/>
                <w:iCs/>
                <w:spacing w:val="-3"/>
                <w:sz w:val="20"/>
                <w:szCs w:val="20"/>
              </w:rPr>
            </w:pPr>
          </w:p>
        </w:tc>
        <w:tc>
          <w:tcPr>
            <w:tcW w:w="6512" w:type="dxa"/>
            <w:shd w:val="clear" w:color="auto" w:fill="auto"/>
            <w:vAlign w:val="center"/>
          </w:tcPr>
          <w:p w14:paraId="62A2D83C" w14:textId="77777777" w:rsidR="003E222D" w:rsidRPr="00BD1319" w:rsidRDefault="003E222D" w:rsidP="003D4A7A">
            <w:pPr>
              <w:numPr>
                <w:ilvl w:val="12"/>
                <w:numId w:val="0"/>
              </w:numPr>
              <w:tabs>
                <w:tab w:val="left" w:pos="-2268"/>
              </w:tabs>
              <w:suppressAutoHyphens/>
              <w:rPr>
                <w:rFonts w:cs="Arial"/>
                <w:spacing w:val="-3"/>
                <w:sz w:val="20"/>
                <w:szCs w:val="20"/>
              </w:rPr>
            </w:pPr>
            <w:r w:rsidRPr="00BD1319">
              <w:rPr>
                <w:rFonts w:cs="Arial"/>
                <w:spacing w:val="-3"/>
                <w:sz w:val="20"/>
                <w:szCs w:val="20"/>
              </w:rPr>
              <w:t>Arrecifes coralinos</w:t>
            </w:r>
          </w:p>
        </w:tc>
      </w:tr>
      <w:tr w:rsidR="003E222D" w:rsidRPr="00BD1319" w14:paraId="3EE2A02A" w14:textId="77777777" w:rsidTr="003D4A7A">
        <w:trPr>
          <w:trHeight w:hRule="exact" w:val="340"/>
          <w:jc w:val="center"/>
        </w:trPr>
        <w:tc>
          <w:tcPr>
            <w:tcW w:w="2562" w:type="dxa"/>
            <w:vMerge/>
            <w:vAlign w:val="center"/>
          </w:tcPr>
          <w:p w14:paraId="033AF2ED" w14:textId="77777777" w:rsidR="003E222D" w:rsidRPr="00BD1319" w:rsidRDefault="003E222D" w:rsidP="003D4A7A">
            <w:pPr>
              <w:numPr>
                <w:ilvl w:val="12"/>
                <w:numId w:val="0"/>
              </w:numPr>
              <w:tabs>
                <w:tab w:val="left" w:pos="-2268"/>
              </w:tabs>
              <w:suppressAutoHyphens/>
              <w:rPr>
                <w:rFonts w:cs="Arial"/>
                <w:iCs/>
                <w:spacing w:val="-3"/>
                <w:sz w:val="20"/>
                <w:szCs w:val="20"/>
              </w:rPr>
            </w:pPr>
          </w:p>
        </w:tc>
        <w:tc>
          <w:tcPr>
            <w:tcW w:w="6512" w:type="dxa"/>
            <w:shd w:val="clear" w:color="auto" w:fill="auto"/>
            <w:vAlign w:val="center"/>
          </w:tcPr>
          <w:p w14:paraId="07861BBC" w14:textId="77777777" w:rsidR="003E222D" w:rsidRPr="00BD1319" w:rsidRDefault="003E222D" w:rsidP="003D4A7A">
            <w:pPr>
              <w:numPr>
                <w:ilvl w:val="12"/>
                <w:numId w:val="0"/>
              </w:numPr>
              <w:tabs>
                <w:tab w:val="left" w:pos="-2268"/>
              </w:tabs>
              <w:suppressAutoHyphens/>
              <w:rPr>
                <w:rFonts w:cs="Arial"/>
                <w:spacing w:val="-3"/>
                <w:sz w:val="20"/>
                <w:szCs w:val="20"/>
              </w:rPr>
            </w:pPr>
            <w:r w:rsidRPr="00BD1319">
              <w:rPr>
                <w:rFonts w:cs="Arial"/>
                <w:spacing w:val="-3"/>
                <w:sz w:val="20"/>
                <w:szCs w:val="20"/>
              </w:rPr>
              <w:t>Pastos marinos</w:t>
            </w:r>
          </w:p>
        </w:tc>
      </w:tr>
      <w:tr w:rsidR="003E222D" w:rsidRPr="00BD1319" w14:paraId="2BDD592D" w14:textId="77777777" w:rsidTr="003D4A7A">
        <w:trPr>
          <w:trHeight w:hRule="exact" w:val="340"/>
          <w:jc w:val="center"/>
        </w:trPr>
        <w:tc>
          <w:tcPr>
            <w:tcW w:w="2562" w:type="dxa"/>
            <w:vMerge/>
            <w:vAlign w:val="center"/>
          </w:tcPr>
          <w:p w14:paraId="172743D1" w14:textId="77777777" w:rsidR="003E222D" w:rsidRPr="00BD1319" w:rsidRDefault="003E222D" w:rsidP="003D4A7A">
            <w:pPr>
              <w:numPr>
                <w:ilvl w:val="12"/>
                <w:numId w:val="0"/>
              </w:numPr>
              <w:tabs>
                <w:tab w:val="left" w:pos="-2268"/>
              </w:tabs>
              <w:suppressAutoHyphens/>
              <w:rPr>
                <w:rFonts w:cs="Arial"/>
                <w:iCs/>
                <w:spacing w:val="-3"/>
                <w:sz w:val="20"/>
                <w:szCs w:val="20"/>
              </w:rPr>
            </w:pPr>
          </w:p>
        </w:tc>
        <w:tc>
          <w:tcPr>
            <w:tcW w:w="6512" w:type="dxa"/>
            <w:shd w:val="clear" w:color="auto" w:fill="auto"/>
            <w:vAlign w:val="center"/>
          </w:tcPr>
          <w:p w14:paraId="586167F0" w14:textId="77777777" w:rsidR="003E222D" w:rsidRPr="00BD1319" w:rsidRDefault="003E222D" w:rsidP="003D4A7A">
            <w:pPr>
              <w:numPr>
                <w:ilvl w:val="12"/>
                <w:numId w:val="0"/>
              </w:numPr>
              <w:tabs>
                <w:tab w:val="left" w:pos="-2268"/>
              </w:tabs>
              <w:suppressAutoHyphens/>
              <w:rPr>
                <w:rFonts w:cs="Arial"/>
                <w:spacing w:val="-3"/>
                <w:sz w:val="20"/>
                <w:szCs w:val="20"/>
              </w:rPr>
            </w:pPr>
            <w:r w:rsidRPr="00BD1319">
              <w:rPr>
                <w:rFonts w:cs="Arial"/>
                <w:spacing w:val="-3"/>
                <w:sz w:val="20"/>
                <w:szCs w:val="20"/>
              </w:rPr>
              <w:t>Bosque natural</w:t>
            </w:r>
          </w:p>
        </w:tc>
      </w:tr>
      <w:tr w:rsidR="003E222D" w:rsidRPr="00BD1319" w14:paraId="591FBE9D" w14:textId="77777777" w:rsidTr="003D4A7A">
        <w:trPr>
          <w:trHeight w:hRule="exact" w:val="340"/>
          <w:jc w:val="center"/>
        </w:trPr>
        <w:tc>
          <w:tcPr>
            <w:tcW w:w="2562" w:type="dxa"/>
            <w:vMerge/>
            <w:vAlign w:val="center"/>
          </w:tcPr>
          <w:p w14:paraId="65B2D7E8" w14:textId="77777777" w:rsidR="003E222D" w:rsidRPr="00BD1319" w:rsidRDefault="003E222D" w:rsidP="003D4A7A">
            <w:pPr>
              <w:numPr>
                <w:ilvl w:val="12"/>
                <w:numId w:val="0"/>
              </w:numPr>
              <w:tabs>
                <w:tab w:val="left" w:pos="-2268"/>
              </w:tabs>
              <w:suppressAutoHyphens/>
              <w:rPr>
                <w:rFonts w:cs="Arial"/>
                <w:iCs/>
                <w:spacing w:val="-3"/>
                <w:sz w:val="20"/>
                <w:szCs w:val="20"/>
              </w:rPr>
            </w:pPr>
          </w:p>
        </w:tc>
        <w:tc>
          <w:tcPr>
            <w:tcW w:w="6512" w:type="dxa"/>
            <w:shd w:val="clear" w:color="auto" w:fill="auto"/>
            <w:vAlign w:val="center"/>
          </w:tcPr>
          <w:p w14:paraId="1911C0D7" w14:textId="77777777" w:rsidR="003E222D" w:rsidRPr="00BD1319" w:rsidRDefault="003E222D" w:rsidP="003D4A7A">
            <w:pPr>
              <w:numPr>
                <w:ilvl w:val="12"/>
                <w:numId w:val="0"/>
              </w:numPr>
              <w:tabs>
                <w:tab w:val="left" w:pos="-2268"/>
              </w:tabs>
              <w:suppressAutoHyphens/>
              <w:rPr>
                <w:rFonts w:cs="Arial"/>
                <w:spacing w:val="-3"/>
                <w:sz w:val="20"/>
                <w:szCs w:val="20"/>
              </w:rPr>
            </w:pPr>
            <w:r w:rsidRPr="00BD1319">
              <w:rPr>
                <w:rFonts w:cs="Arial"/>
                <w:spacing w:val="-3"/>
                <w:sz w:val="20"/>
                <w:szCs w:val="20"/>
              </w:rPr>
              <w:t>Bosque seco</w:t>
            </w:r>
          </w:p>
        </w:tc>
      </w:tr>
      <w:tr w:rsidR="003E222D" w:rsidRPr="00BD1319" w14:paraId="7F5E9102" w14:textId="77777777" w:rsidTr="003D4A7A">
        <w:trPr>
          <w:trHeight w:hRule="exact" w:val="340"/>
          <w:jc w:val="center"/>
        </w:trPr>
        <w:tc>
          <w:tcPr>
            <w:tcW w:w="2562" w:type="dxa"/>
            <w:vMerge/>
            <w:vAlign w:val="center"/>
          </w:tcPr>
          <w:p w14:paraId="31E063F4" w14:textId="77777777" w:rsidR="003E222D" w:rsidRPr="00BD1319" w:rsidRDefault="003E222D" w:rsidP="003D4A7A">
            <w:pPr>
              <w:numPr>
                <w:ilvl w:val="12"/>
                <w:numId w:val="0"/>
              </w:numPr>
              <w:tabs>
                <w:tab w:val="left" w:pos="-2268"/>
              </w:tabs>
              <w:suppressAutoHyphens/>
              <w:rPr>
                <w:rFonts w:cs="Arial"/>
                <w:iCs/>
                <w:spacing w:val="-3"/>
                <w:sz w:val="20"/>
                <w:szCs w:val="20"/>
              </w:rPr>
            </w:pPr>
          </w:p>
        </w:tc>
        <w:tc>
          <w:tcPr>
            <w:tcW w:w="6512" w:type="dxa"/>
            <w:shd w:val="clear" w:color="auto" w:fill="auto"/>
            <w:vAlign w:val="center"/>
          </w:tcPr>
          <w:p w14:paraId="08675618" w14:textId="77777777" w:rsidR="003E222D" w:rsidRPr="00BD1319" w:rsidRDefault="003E222D" w:rsidP="003D4A7A">
            <w:pPr>
              <w:numPr>
                <w:ilvl w:val="12"/>
                <w:numId w:val="0"/>
              </w:numPr>
              <w:tabs>
                <w:tab w:val="left" w:pos="-2268"/>
              </w:tabs>
              <w:suppressAutoHyphens/>
              <w:rPr>
                <w:rFonts w:cs="Arial"/>
                <w:spacing w:val="-3"/>
                <w:sz w:val="20"/>
                <w:szCs w:val="20"/>
              </w:rPr>
            </w:pPr>
            <w:r w:rsidRPr="00BD1319">
              <w:rPr>
                <w:rFonts w:cs="Arial"/>
                <w:spacing w:val="-3"/>
                <w:sz w:val="20"/>
                <w:szCs w:val="20"/>
              </w:rPr>
              <w:t>Sabana natural</w:t>
            </w:r>
          </w:p>
        </w:tc>
      </w:tr>
      <w:tr w:rsidR="003E222D" w:rsidRPr="00BD1319" w14:paraId="1A5660E7" w14:textId="77777777" w:rsidTr="003D4A7A">
        <w:trPr>
          <w:trHeight w:hRule="exact" w:val="340"/>
          <w:jc w:val="center"/>
        </w:trPr>
        <w:tc>
          <w:tcPr>
            <w:tcW w:w="2562" w:type="dxa"/>
            <w:vMerge/>
            <w:vAlign w:val="center"/>
          </w:tcPr>
          <w:p w14:paraId="69EE0611" w14:textId="77777777" w:rsidR="003E222D" w:rsidRPr="00BD1319" w:rsidRDefault="003E222D" w:rsidP="003D4A7A">
            <w:pPr>
              <w:numPr>
                <w:ilvl w:val="12"/>
                <w:numId w:val="0"/>
              </w:numPr>
              <w:tabs>
                <w:tab w:val="left" w:pos="-2268"/>
              </w:tabs>
              <w:suppressAutoHyphens/>
              <w:rPr>
                <w:rFonts w:cs="Arial"/>
                <w:iCs/>
                <w:spacing w:val="-3"/>
                <w:sz w:val="20"/>
                <w:szCs w:val="20"/>
              </w:rPr>
            </w:pPr>
          </w:p>
        </w:tc>
        <w:tc>
          <w:tcPr>
            <w:tcW w:w="6512" w:type="dxa"/>
            <w:shd w:val="clear" w:color="auto" w:fill="auto"/>
            <w:vAlign w:val="center"/>
          </w:tcPr>
          <w:p w14:paraId="6B6B9C41" w14:textId="77777777" w:rsidR="003E222D" w:rsidRPr="00BD1319" w:rsidRDefault="003E222D" w:rsidP="003D4A7A">
            <w:pPr>
              <w:numPr>
                <w:ilvl w:val="12"/>
                <w:numId w:val="0"/>
              </w:numPr>
              <w:tabs>
                <w:tab w:val="left" w:pos="-2268"/>
              </w:tabs>
              <w:suppressAutoHyphens/>
              <w:rPr>
                <w:rFonts w:cs="Arial"/>
                <w:spacing w:val="-3"/>
                <w:sz w:val="20"/>
                <w:szCs w:val="20"/>
              </w:rPr>
            </w:pPr>
            <w:r w:rsidRPr="00BD1319">
              <w:rPr>
                <w:rFonts w:cs="Arial"/>
                <w:spacing w:val="-3"/>
                <w:sz w:val="20"/>
                <w:szCs w:val="20"/>
              </w:rPr>
              <w:t>Zonas costeras, estuarios, meandros</w:t>
            </w:r>
          </w:p>
        </w:tc>
      </w:tr>
      <w:tr w:rsidR="003E222D" w:rsidRPr="00BD1319" w14:paraId="57524CB4" w14:textId="77777777" w:rsidTr="003D4A7A">
        <w:trPr>
          <w:trHeight w:hRule="exact" w:val="340"/>
          <w:jc w:val="center"/>
        </w:trPr>
        <w:tc>
          <w:tcPr>
            <w:tcW w:w="2562" w:type="dxa"/>
            <w:vMerge/>
            <w:vAlign w:val="center"/>
          </w:tcPr>
          <w:p w14:paraId="7ED037FC" w14:textId="77777777" w:rsidR="003E222D" w:rsidRPr="00BD1319" w:rsidRDefault="003E222D" w:rsidP="003D4A7A">
            <w:pPr>
              <w:numPr>
                <w:ilvl w:val="12"/>
                <w:numId w:val="0"/>
              </w:numPr>
              <w:tabs>
                <w:tab w:val="left" w:pos="-2268"/>
              </w:tabs>
              <w:suppressAutoHyphens/>
              <w:rPr>
                <w:rFonts w:cs="Arial"/>
                <w:iCs/>
                <w:spacing w:val="-3"/>
                <w:sz w:val="20"/>
                <w:szCs w:val="20"/>
              </w:rPr>
            </w:pPr>
          </w:p>
        </w:tc>
        <w:tc>
          <w:tcPr>
            <w:tcW w:w="6512" w:type="dxa"/>
            <w:shd w:val="clear" w:color="auto" w:fill="auto"/>
            <w:vAlign w:val="center"/>
          </w:tcPr>
          <w:p w14:paraId="1500B5FC" w14:textId="65B056C6" w:rsidR="003E222D" w:rsidRPr="00BD1319" w:rsidRDefault="003E222D" w:rsidP="003D4A7A">
            <w:pPr>
              <w:numPr>
                <w:ilvl w:val="12"/>
                <w:numId w:val="0"/>
              </w:numPr>
              <w:tabs>
                <w:tab w:val="left" w:pos="-2268"/>
              </w:tabs>
              <w:suppressAutoHyphens/>
              <w:rPr>
                <w:rFonts w:cs="Arial"/>
                <w:spacing w:val="-3"/>
                <w:sz w:val="20"/>
                <w:szCs w:val="20"/>
              </w:rPr>
            </w:pPr>
            <w:r w:rsidRPr="00BD1319">
              <w:rPr>
                <w:rFonts w:cs="Arial"/>
                <w:spacing w:val="-3"/>
                <w:sz w:val="20"/>
                <w:szCs w:val="20"/>
              </w:rPr>
              <w:t>Ambientes pelágicos, litorales rocosos y playas arenosas</w:t>
            </w:r>
          </w:p>
        </w:tc>
      </w:tr>
      <w:tr w:rsidR="003E222D" w:rsidRPr="00BD1319" w14:paraId="49C57BAE" w14:textId="77777777" w:rsidTr="003D4A7A">
        <w:trPr>
          <w:trHeight w:hRule="exact" w:val="680"/>
          <w:jc w:val="center"/>
        </w:trPr>
        <w:tc>
          <w:tcPr>
            <w:tcW w:w="2562" w:type="dxa"/>
            <w:vMerge w:val="restart"/>
            <w:vAlign w:val="center"/>
          </w:tcPr>
          <w:p w14:paraId="0B556C29" w14:textId="77777777" w:rsidR="003E222D" w:rsidRPr="00BD1319" w:rsidRDefault="003E222D" w:rsidP="003D4A7A">
            <w:pPr>
              <w:numPr>
                <w:ilvl w:val="12"/>
                <w:numId w:val="0"/>
              </w:numPr>
              <w:tabs>
                <w:tab w:val="left" w:pos="-2268"/>
              </w:tabs>
              <w:suppressAutoHyphens/>
              <w:rPr>
                <w:rFonts w:cs="Arial"/>
                <w:iCs/>
                <w:spacing w:val="-3"/>
                <w:sz w:val="20"/>
                <w:szCs w:val="20"/>
              </w:rPr>
            </w:pPr>
            <w:r w:rsidRPr="00BD1319">
              <w:rPr>
                <w:rFonts w:cs="Arial"/>
                <w:iCs/>
                <w:spacing w:val="-3"/>
                <w:sz w:val="20"/>
                <w:szCs w:val="20"/>
              </w:rPr>
              <w:t>Estrategias complementarias de conservación y desarrollo sostenible</w:t>
            </w:r>
          </w:p>
        </w:tc>
        <w:tc>
          <w:tcPr>
            <w:tcW w:w="6512" w:type="dxa"/>
            <w:shd w:val="clear" w:color="auto" w:fill="auto"/>
            <w:vAlign w:val="center"/>
          </w:tcPr>
          <w:p w14:paraId="67232168" w14:textId="77777777" w:rsidR="003E222D" w:rsidRPr="00BD1319" w:rsidRDefault="003E222D" w:rsidP="003D4A7A">
            <w:pPr>
              <w:numPr>
                <w:ilvl w:val="12"/>
                <w:numId w:val="0"/>
              </w:numPr>
              <w:tabs>
                <w:tab w:val="left" w:pos="-2268"/>
              </w:tabs>
              <w:suppressAutoHyphens/>
              <w:rPr>
                <w:rFonts w:cs="Arial"/>
                <w:spacing w:val="-3"/>
                <w:sz w:val="20"/>
                <w:szCs w:val="20"/>
              </w:rPr>
            </w:pPr>
            <w:r w:rsidRPr="00BD1319">
              <w:rPr>
                <w:rFonts w:cs="Arial"/>
                <w:spacing w:val="-3"/>
                <w:sz w:val="20"/>
                <w:szCs w:val="20"/>
              </w:rPr>
              <w:t>Distritos de manejo integrado del Área de manejo especial de La Macarena</w:t>
            </w:r>
          </w:p>
        </w:tc>
      </w:tr>
      <w:tr w:rsidR="003E222D" w:rsidRPr="00BD1319" w14:paraId="15DC8B77" w14:textId="77777777" w:rsidTr="000D6E21">
        <w:trPr>
          <w:trHeight w:hRule="exact" w:val="340"/>
          <w:jc w:val="center"/>
        </w:trPr>
        <w:tc>
          <w:tcPr>
            <w:tcW w:w="2562" w:type="dxa"/>
            <w:vMerge/>
            <w:vAlign w:val="center"/>
          </w:tcPr>
          <w:p w14:paraId="3826A771" w14:textId="77777777" w:rsidR="003E222D" w:rsidRPr="00BD1319" w:rsidRDefault="003E222D" w:rsidP="003D4A7A">
            <w:pPr>
              <w:numPr>
                <w:ilvl w:val="12"/>
                <w:numId w:val="0"/>
              </w:numPr>
              <w:tabs>
                <w:tab w:val="left" w:pos="-2268"/>
              </w:tabs>
              <w:suppressAutoHyphens/>
              <w:rPr>
                <w:rFonts w:cs="Arial"/>
                <w:iCs/>
                <w:spacing w:val="-3"/>
                <w:sz w:val="20"/>
                <w:szCs w:val="20"/>
              </w:rPr>
            </w:pPr>
          </w:p>
        </w:tc>
        <w:tc>
          <w:tcPr>
            <w:tcW w:w="6512" w:type="dxa"/>
            <w:shd w:val="clear" w:color="auto" w:fill="auto"/>
            <w:vAlign w:val="center"/>
          </w:tcPr>
          <w:p w14:paraId="3DF25CBD" w14:textId="77777777" w:rsidR="003E222D" w:rsidRPr="00BD1319" w:rsidRDefault="003E222D" w:rsidP="003D4A7A">
            <w:pPr>
              <w:numPr>
                <w:ilvl w:val="12"/>
                <w:numId w:val="0"/>
              </w:numPr>
              <w:tabs>
                <w:tab w:val="left" w:pos="-2268"/>
              </w:tabs>
              <w:suppressAutoHyphens/>
              <w:rPr>
                <w:rFonts w:cs="Arial"/>
                <w:spacing w:val="-3"/>
                <w:sz w:val="20"/>
                <w:szCs w:val="20"/>
              </w:rPr>
            </w:pPr>
            <w:r w:rsidRPr="00BD1319">
              <w:rPr>
                <w:rFonts w:cs="Arial"/>
                <w:spacing w:val="-3"/>
                <w:sz w:val="20"/>
                <w:szCs w:val="20"/>
              </w:rPr>
              <w:t>Humedales RAMSAR</w:t>
            </w:r>
          </w:p>
        </w:tc>
      </w:tr>
      <w:tr w:rsidR="003E222D" w:rsidRPr="00BD1319" w14:paraId="0E41B2D2" w14:textId="77777777" w:rsidTr="003D4A7A">
        <w:trPr>
          <w:trHeight w:hRule="exact" w:val="340"/>
          <w:jc w:val="center"/>
        </w:trPr>
        <w:tc>
          <w:tcPr>
            <w:tcW w:w="2562" w:type="dxa"/>
            <w:vMerge/>
            <w:vAlign w:val="center"/>
          </w:tcPr>
          <w:p w14:paraId="48DF0EAD" w14:textId="77777777" w:rsidR="003E222D" w:rsidRPr="00BD1319" w:rsidRDefault="003E222D" w:rsidP="003D4A7A">
            <w:pPr>
              <w:numPr>
                <w:ilvl w:val="12"/>
                <w:numId w:val="0"/>
              </w:numPr>
              <w:tabs>
                <w:tab w:val="left" w:pos="-2268"/>
              </w:tabs>
              <w:suppressAutoHyphens/>
              <w:rPr>
                <w:rFonts w:cs="Arial"/>
                <w:iCs/>
                <w:spacing w:val="-3"/>
                <w:sz w:val="20"/>
                <w:szCs w:val="20"/>
              </w:rPr>
            </w:pPr>
          </w:p>
        </w:tc>
        <w:tc>
          <w:tcPr>
            <w:tcW w:w="6512" w:type="dxa"/>
            <w:shd w:val="clear" w:color="auto" w:fill="auto"/>
            <w:vAlign w:val="center"/>
          </w:tcPr>
          <w:p w14:paraId="3042D066" w14:textId="77777777" w:rsidR="003E222D" w:rsidRPr="00BD1319" w:rsidRDefault="003E222D" w:rsidP="003D4A7A">
            <w:pPr>
              <w:numPr>
                <w:ilvl w:val="12"/>
                <w:numId w:val="0"/>
              </w:numPr>
              <w:tabs>
                <w:tab w:val="left" w:pos="-2268"/>
              </w:tabs>
              <w:suppressAutoHyphens/>
              <w:rPr>
                <w:rFonts w:cs="Arial"/>
                <w:spacing w:val="-3"/>
                <w:sz w:val="20"/>
                <w:szCs w:val="20"/>
              </w:rPr>
            </w:pPr>
            <w:r w:rsidRPr="00BD1319">
              <w:rPr>
                <w:rFonts w:cs="Arial"/>
                <w:spacing w:val="-3"/>
                <w:sz w:val="20"/>
                <w:szCs w:val="20"/>
              </w:rPr>
              <w:t>Distrito de Aguas y Suelos del Caquetá</w:t>
            </w:r>
          </w:p>
        </w:tc>
      </w:tr>
      <w:tr w:rsidR="003E222D" w:rsidRPr="00BD1319" w14:paraId="1CAB51DF" w14:textId="77777777" w:rsidTr="003D4A7A">
        <w:trPr>
          <w:trHeight w:hRule="exact" w:val="340"/>
          <w:jc w:val="center"/>
        </w:trPr>
        <w:tc>
          <w:tcPr>
            <w:tcW w:w="2562" w:type="dxa"/>
            <w:vMerge/>
            <w:vAlign w:val="center"/>
          </w:tcPr>
          <w:p w14:paraId="0975ECFF" w14:textId="77777777" w:rsidR="003E222D" w:rsidRPr="00BD1319" w:rsidRDefault="003E222D" w:rsidP="003D4A7A">
            <w:pPr>
              <w:numPr>
                <w:ilvl w:val="12"/>
                <w:numId w:val="0"/>
              </w:numPr>
              <w:tabs>
                <w:tab w:val="left" w:pos="-2268"/>
              </w:tabs>
              <w:suppressAutoHyphens/>
              <w:rPr>
                <w:rFonts w:cs="Arial"/>
                <w:iCs/>
                <w:spacing w:val="-3"/>
                <w:sz w:val="20"/>
                <w:szCs w:val="20"/>
              </w:rPr>
            </w:pPr>
          </w:p>
        </w:tc>
        <w:tc>
          <w:tcPr>
            <w:tcW w:w="6512" w:type="dxa"/>
            <w:shd w:val="clear" w:color="auto" w:fill="auto"/>
            <w:vAlign w:val="center"/>
          </w:tcPr>
          <w:p w14:paraId="0C11A9CA" w14:textId="77777777" w:rsidR="003E222D" w:rsidRPr="00BD1319" w:rsidRDefault="003E222D" w:rsidP="003D4A7A">
            <w:pPr>
              <w:numPr>
                <w:ilvl w:val="12"/>
                <w:numId w:val="0"/>
              </w:numPr>
              <w:tabs>
                <w:tab w:val="left" w:pos="-2268"/>
              </w:tabs>
              <w:suppressAutoHyphens/>
              <w:rPr>
                <w:rFonts w:cs="Arial"/>
                <w:spacing w:val="-3"/>
                <w:sz w:val="20"/>
                <w:szCs w:val="20"/>
              </w:rPr>
            </w:pPr>
            <w:r w:rsidRPr="00BD1319">
              <w:rPr>
                <w:rFonts w:cs="Arial"/>
                <w:spacing w:val="-3"/>
                <w:sz w:val="20"/>
                <w:szCs w:val="20"/>
              </w:rPr>
              <w:t>Otras Medidas Efectivas de Conservación (OMEC)</w:t>
            </w:r>
          </w:p>
        </w:tc>
      </w:tr>
      <w:tr w:rsidR="003E222D" w:rsidRPr="00BD1319" w14:paraId="637BD087" w14:textId="77777777" w:rsidTr="000D6E21">
        <w:trPr>
          <w:trHeight w:hRule="exact" w:val="635"/>
          <w:jc w:val="center"/>
        </w:trPr>
        <w:tc>
          <w:tcPr>
            <w:tcW w:w="2562" w:type="dxa"/>
            <w:vMerge/>
            <w:vAlign w:val="center"/>
          </w:tcPr>
          <w:p w14:paraId="7370A748" w14:textId="77777777" w:rsidR="003E222D" w:rsidRPr="00BD1319" w:rsidRDefault="003E222D" w:rsidP="003D4A7A">
            <w:pPr>
              <w:numPr>
                <w:ilvl w:val="12"/>
                <w:numId w:val="0"/>
              </w:numPr>
              <w:tabs>
                <w:tab w:val="left" w:pos="-2268"/>
              </w:tabs>
              <w:suppressAutoHyphens/>
              <w:rPr>
                <w:rFonts w:cs="Arial"/>
                <w:iCs/>
                <w:spacing w:val="-3"/>
                <w:sz w:val="20"/>
                <w:szCs w:val="20"/>
              </w:rPr>
            </w:pPr>
          </w:p>
        </w:tc>
        <w:tc>
          <w:tcPr>
            <w:tcW w:w="6512" w:type="dxa"/>
            <w:shd w:val="clear" w:color="auto" w:fill="auto"/>
            <w:vAlign w:val="center"/>
          </w:tcPr>
          <w:p w14:paraId="43CE7C1A" w14:textId="77777777" w:rsidR="003E222D" w:rsidRPr="00BD1319" w:rsidRDefault="003E222D" w:rsidP="003D4A7A">
            <w:pPr>
              <w:numPr>
                <w:ilvl w:val="12"/>
                <w:numId w:val="0"/>
              </w:numPr>
              <w:tabs>
                <w:tab w:val="left" w:pos="-2268"/>
              </w:tabs>
              <w:suppressAutoHyphens/>
              <w:rPr>
                <w:rFonts w:cs="Arial"/>
                <w:spacing w:val="-3"/>
                <w:sz w:val="20"/>
                <w:szCs w:val="20"/>
              </w:rPr>
            </w:pPr>
            <w:r w:rsidRPr="00BD1319">
              <w:rPr>
                <w:rFonts w:cs="Arial"/>
                <w:spacing w:val="-3"/>
                <w:sz w:val="20"/>
                <w:szCs w:val="20"/>
              </w:rPr>
              <w:t>Áreas protegidas declaradas por autoridad ambiental competente y que no hayan sido homologadas en las categorías del SINAP</w:t>
            </w:r>
          </w:p>
        </w:tc>
      </w:tr>
      <w:tr w:rsidR="003E222D" w:rsidRPr="00BD1319" w14:paraId="5E722A38" w14:textId="77777777" w:rsidTr="003D4A7A">
        <w:trPr>
          <w:trHeight w:hRule="exact" w:val="340"/>
          <w:jc w:val="center"/>
        </w:trPr>
        <w:tc>
          <w:tcPr>
            <w:tcW w:w="2562" w:type="dxa"/>
            <w:vMerge/>
            <w:vAlign w:val="center"/>
          </w:tcPr>
          <w:p w14:paraId="1FFBB824" w14:textId="77777777" w:rsidR="003E222D" w:rsidRPr="00BD1319" w:rsidRDefault="003E222D" w:rsidP="003D4A7A">
            <w:pPr>
              <w:numPr>
                <w:ilvl w:val="12"/>
                <w:numId w:val="0"/>
              </w:numPr>
              <w:tabs>
                <w:tab w:val="left" w:pos="-2268"/>
              </w:tabs>
              <w:suppressAutoHyphens/>
              <w:rPr>
                <w:rFonts w:cs="Arial"/>
                <w:iCs/>
                <w:spacing w:val="-3"/>
                <w:sz w:val="20"/>
                <w:szCs w:val="20"/>
              </w:rPr>
            </w:pPr>
          </w:p>
        </w:tc>
        <w:tc>
          <w:tcPr>
            <w:tcW w:w="6512" w:type="dxa"/>
            <w:shd w:val="clear" w:color="auto" w:fill="auto"/>
            <w:vAlign w:val="center"/>
          </w:tcPr>
          <w:p w14:paraId="16D4028A" w14:textId="77777777" w:rsidR="003E222D" w:rsidRPr="00BD1319" w:rsidRDefault="003E222D" w:rsidP="003D4A7A">
            <w:pPr>
              <w:numPr>
                <w:ilvl w:val="12"/>
                <w:numId w:val="0"/>
              </w:numPr>
              <w:tabs>
                <w:tab w:val="left" w:pos="-2268"/>
              </w:tabs>
              <w:suppressAutoHyphens/>
              <w:rPr>
                <w:rFonts w:cs="Arial"/>
                <w:spacing w:val="-3"/>
                <w:sz w:val="20"/>
                <w:szCs w:val="20"/>
              </w:rPr>
            </w:pPr>
            <w:r w:rsidRPr="00BD1319">
              <w:rPr>
                <w:rFonts w:cs="Arial"/>
                <w:spacing w:val="-3"/>
                <w:sz w:val="20"/>
                <w:szCs w:val="20"/>
              </w:rPr>
              <w:t>Áreas de vida de la Ley 2173 de 2021</w:t>
            </w:r>
          </w:p>
        </w:tc>
      </w:tr>
      <w:tr w:rsidR="003E222D" w:rsidRPr="0059616B" w14:paraId="68AEBD2F" w14:textId="77777777" w:rsidTr="003D4A7A">
        <w:trPr>
          <w:trHeight w:hRule="exact" w:val="340"/>
          <w:jc w:val="center"/>
        </w:trPr>
        <w:tc>
          <w:tcPr>
            <w:tcW w:w="2562" w:type="dxa"/>
            <w:vMerge/>
            <w:vAlign w:val="center"/>
          </w:tcPr>
          <w:p w14:paraId="5CCA8820" w14:textId="77777777" w:rsidR="003E222D" w:rsidRPr="00BD1319" w:rsidRDefault="003E222D" w:rsidP="003D4A7A">
            <w:pPr>
              <w:numPr>
                <w:ilvl w:val="12"/>
                <w:numId w:val="0"/>
              </w:numPr>
              <w:tabs>
                <w:tab w:val="left" w:pos="-2268"/>
              </w:tabs>
              <w:suppressAutoHyphens/>
              <w:rPr>
                <w:rFonts w:cs="Arial"/>
                <w:iCs/>
                <w:spacing w:val="-3"/>
                <w:sz w:val="20"/>
                <w:szCs w:val="20"/>
              </w:rPr>
            </w:pPr>
          </w:p>
        </w:tc>
        <w:tc>
          <w:tcPr>
            <w:tcW w:w="6512" w:type="dxa"/>
            <w:shd w:val="clear" w:color="auto" w:fill="auto"/>
            <w:vAlign w:val="center"/>
          </w:tcPr>
          <w:p w14:paraId="60D50F09" w14:textId="77777777" w:rsidR="003E222D" w:rsidRPr="005A685F" w:rsidRDefault="003E222D" w:rsidP="003D4A7A">
            <w:pPr>
              <w:numPr>
                <w:ilvl w:val="12"/>
                <w:numId w:val="0"/>
              </w:numPr>
              <w:tabs>
                <w:tab w:val="left" w:pos="-2268"/>
              </w:tabs>
              <w:suppressAutoHyphens/>
              <w:rPr>
                <w:rFonts w:cs="Arial"/>
                <w:spacing w:val="-3"/>
                <w:sz w:val="20"/>
                <w:szCs w:val="20"/>
                <w:lang w:val="pt-PT"/>
              </w:rPr>
            </w:pPr>
            <w:r w:rsidRPr="005A685F">
              <w:rPr>
                <w:rFonts w:cs="Arial"/>
                <w:spacing w:val="-3"/>
                <w:sz w:val="20"/>
                <w:szCs w:val="20"/>
                <w:lang w:val="pt-PT"/>
              </w:rPr>
              <w:t>Zonas amortiguadoras de áreas del SPNN</w:t>
            </w:r>
          </w:p>
        </w:tc>
      </w:tr>
      <w:tr w:rsidR="003E222D" w:rsidRPr="00BD1319" w14:paraId="0440D89A" w14:textId="77777777" w:rsidTr="003D4A7A">
        <w:trPr>
          <w:trHeight w:hRule="exact" w:val="1021"/>
          <w:jc w:val="center"/>
        </w:trPr>
        <w:tc>
          <w:tcPr>
            <w:tcW w:w="2562" w:type="dxa"/>
            <w:vMerge/>
            <w:vAlign w:val="center"/>
          </w:tcPr>
          <w:p w14:paraId="129CAA04" w14:textId="77777777" w:rsidR="003E222D" w:rsidRPr="005A685F" w:rsidRDefault="003E222D" w:rsidP="003D4A7A">
            <w:pPr>
              <w:numPr>
                <w:ilvl w:val="12"/>
                <w:numId w:val="0"/>
              </w:numPr>
              <w:tabs>
                <w:tab w:val="left" w:pos="-2268"/>
              </w:tabs>
              <w:suppressAutoHyphens/>
              <w:rPr>
                <w:rFonts w:cs="Arial"/>
                <w:iCs/>
                <w:spacing w:val="-3"/>
                <w:sz w:val="20"/>
                <w:szCs w:val="20"/>
                <w:lang w:val="pt-PT"/>
              </w:rPr>
            </w:pPr>
          </w:p>
        </w:tc>
        <w:tc>
          <w:tcPr>
            <w:tcW w:w="6512" w:type="dxa"/>
            <w:shd w:val="clear" w:color="auto" w:fill="auto"/>
            <w:vAlign w:val="center"/>
          </w:tcPr>
          <w:p w14:paraId="1F330B2F" w14:textId="38FDD18E" w:rsidR="003E222D" w:rsidRPr="00BD1319" w:rsidRDefault="003E222D" w:rsidP="003D4A7A">
            <w:pPr>
              <w:numPr>
                <w:ilvl w:val="12"/>
                <w:numId w:val="0"/>
              </w:numPr>
              <w:tabs>
                <w:tab w:val="left" w:pos="-2268"/>
              </w:tabs>
              <w:suppressAutoHyphens/>
              <w:rPr>
                <w:rFonts w:cs="Arial"/>
                <w:spacing w:val="-3"/>
                <w:sz w:val="20"/>
                <w:szCs w:val="20"/>
              </w:rPr>
            </w:pPr>
            <w:r w:rsidRPr="00BD1319">
              <w:rPr>
                <w:rFonts w:cs="Arial"/>
                <w:spacing w:val="-3"/>
                <w:sz w:val="20"/>
                <w:szCs w:val="20"/>
              </w:rPr>
              <w:t>Áreas con prioridades de conservación contempladas por PNN (establecidas por el CONPES 3680 de 2010) y Zonas de protección y desarrollo de los recursos naturales renovables y del medio ambiente</w:t>
            </w:r>
            <w:r w:rsidRPr="00BD1319">
              <w:rPr>
                <w:vertAlign w:val="superscript"/>
              </w:rPr>
              <w:footnoteReference w:id="150"/>
            </w:r>
          </w:p>
        </w:tc>
      </w:tr>
      <w:tr w:rsidR="003E222D" w:rsidRPr="00BD1319" w14:paraId="7D5B308D" w14:textId="77777777" w:rsidTr="003D4A7A">
        <w:trPr>
          <w:trHeight w:hRule="exact" w:val="340"/>
          <w:jc w:val="center"/>
        </w:trPr>
        <w:tc>
          <w:tcPr>
            <w:tcW w:w="2562" w:type="dxa"/>
            <w:vMerge/>
            <w:vAlign w:val="center"/>
          </w:tcPr>
          <w:p w14:paraId="46C24D35" w14:textId="77777777" w:rsidR="003E222D" w:rsidRPr="00BD1319" w:rsidRDefault="003E222D" w:rsidP="003D4A7A">
            <w:pPr>
              <w:numPr>
                <w:ilvl w:val="12"/>
                <w:numId w:val="0"/>
              </w:numPr>
              <w:tabs>
                <w:tab w:val="left" w:pos="-2268"/>
              </w:tabs>
              <w:suppressAutoHyphens/>
              <w:rPr>
                <w:rFonts w:cs="Arial"/>
                <w:iCs/>
                <w:spacing w:val="-3"/>
                <w:sz w:val="20"/>
                <w:szCs w:val="20"/>
              </w:rPr>
            </w:pPr>
          </w:p>
        </w:tc>
        <w:tc>
          <w:tcPr>
            <w:tcW w:w="6512" w:type="dxa"/>
            <w:shd w:val="clear" w:color="auto" w:fill="auto"/>
            <w:vAlign w:val="center"/>
          </w:tcPr>
          <w:p w14:paraId="2718CC1D" w14:textId="77777777" w:rsidR="003E222D" w:rsidRPr="00BD1319" w:rsidRDefault="003E222D" w:rsidP="003D4A7A">
            <w:pPr>
              <w:numPr>
                <w:ilvl w:val="12"/>
                <w:numId w:val="0"/>
              </w:numPr>
              <w:tabs>
                <w:tab w:val="left" w:pos="-2268"/>
              </w:tabs>
              <w:suppressAutoHyphens/>
              <w:rPr>
                <w:rFonts w:cs="Arial"/>
                <w:spacing w:val="-3"/>
                <w:sz w:val="20"/>
                <w:szCs w:val="20"/>
              </w:rPr>
            </w:pPr>
            <w:r w:rsidRPr="00BD1319">
              <w:rPr>
                <w:rFonts w:cs="Arial"/>
                <w:spacing w:val="-3"/>
                <w:sz w:val="20"/>
                <w:szCs w:val="20"/>
              </w:rPr>
              <w:t>Zonas A de las reservas forestales de Ley 2 de 1959</w:t>
            </w:r>
          </w:p>
        </w:tc>
      </w:tr>
      <w:tr w:rsidR="003E222D" w:rsidRPr="00BD1319" w14:paraId="16AC12C7" w14:textId="77777777" w:rsidTr="003D4A7A">
        <w:trPr>
          <w:trHeight w:hRule="exact" w:val="340"/>
          <w:jc w:val="center"/>
        </w:trPr>
        <w:tc>
          <w:tcPr>
            <w:tcW w:w="2562" w:type="dxa"/>
            <w:vMerge/>
            <w:vAlign w:val="center"/>
          </w:tcPr>
          <w:p w14:paraId="2E627E05" w14:textId="77777777" w:rsidR="003E222D" w:rsidRPr="00BD1319" w:rsidRDefault="003E222D" w:rsidP="003D4A7A">
            <w:pPr>
              <w:numPr>
                <w:ilvl w:val="12"/>
                <w:numId w:val="0"/>
              </w:numPr>
              <w:tabs>
                <w:tab w:val="left" w:pos="-2268"/>
              </w:tabs>
              <w:suppressAutoHyphens/>
              <w:rPr>
                <w:rFonts w:cs="Arial"/>
                <w:iCs/>
                <w:spacing w:val="-3"/>
                <w:sz w:val="20"/>
                <w:szCs w:val="20"/>
              </w:rPr>
            </w:pPr>
          </w:p>
        </w:tc>
        <w:tc>
          <w:tcPr>
            <w:tcW w:w="6512" w:type="dxa"/>
            <w:shd w:val="clear" w:color="auto" w:fill="auto"/>
            <w:vAlign w:val="center"/>
          </w:tcPr>
          <w:p w14:paraId="138955C5" w14:textId="77777777" w:rsidR="003E222D" w:rsidRPr="00BD1319" w:rsidRDefault="003E222D" w:rsidP="003D4A7A">
            <w:pPr>
              <w:numPr>
                <w:ilvl w:val="12"/>
                <w:numId w:val="0"/>
              </w:numPr>
              <w:tabs>
                <w:tab w:val="left" w:pos="-2268"/>
              </w:tabs>
              <w:suppressAutoHyphens/>
              <w:rPr>
                <w:rFonts w:cs="Arial"/>
                <w:spacing w:val="-3"/>
                <w:sz w:val="20"/>
                <w:szCs w:val="20"/>
              </w:rPr>
            </w:pPr>
            <w:r w:rsidRPr="00BD1319">
              <w:rPr>
                <w:rFonts w:cs="Arial"/>
                <w:spacing w:val="-3"/>
                <w:sz w:val="20"/>
                <w:szCs w:val="20"/>
              </w:rPr>
              <w:t>Zonas B y C de las reservas forestales de Ley 2 de 1959</w:t>
            </w:r>
          </w:p>
        </w:tc>
      </w:tr>
      <w:tr w:rsidR="003E222D" w:rsidRPr="00BD1319" w14:paraId="7708F225" w14:textId="77777777" w:rsidTr="003D4A7A">
        <w:trPr>
          <w:trHeight w:hRule="exact" w:val="680"/>
          <w:jc w:val="center"/>
        </w:trPr>
        <w:tc>
          <w:tcPr>
            <w:tcW w:w="2562" w:type="dxa"/>
            <w:vMerge/>
            <w:vAlign w:val="center"/>
          </w:tcPr>
          <w:p w14:paraId="62591636" w14:textId="77777777" w:rsidR="003E222D" w:rsidRPr="00BD1319" w:rsidRDefault="003E222D" w:rsidP="003D4A7A">
            <w:pPr>
              <w:numPr>
                <w:ilvl w:val="12"/>
                <w:numId w:val="0"/>
              </w:numPr>
              <w:tabs>
                <w:tab w:val="left" w:pos="-2268"/>
              </w:tabs>
              <w:suppressAutoHyphens/>
              <w:rPr>
                <w:rFonts w:cs="Arial"/>
                <w:iCs/>
                <w:spacing w:val="-3"/>
                <w:sz w:val="20"/>
                <w:szCs w:val="20"/>
              </w:rPr>
            </w:pPr>
          </w:p>
        </w:tc>
        <w:tc>
          <w:tcPr>
            <w:tcW w:w="6512" w:type="dxa"/>
            <w:shd w:val="clear" w:color="auto" w:fill="auto"/>
            <w:vAlign w:val="center"/>
          </w:tcPr>
          <w:p w14:paraId="0EB5FF1F" w14:textId="77777777" w:rsidR="003E222D" w:rsidRPr="00BD1319" w:rsidRDefault="003E222D" w:rsidP="003D4A7A">
            <w:pPr>
              <w:numPr>
                <w:ilvl w:val="12"/>
                <w:numId w:val="0"/>
              </w:numPr>
              <w:tabs>
                <w:tab w:val="left" w:pos="-2268"/>
              </w:tabs>
              <w:suppressAutoHyphens/>
              <w:rPr>
                <w:rFonts w:cs="Arial"/>
                <w:spacing w:val="-3"/>
                <w:sz w:val="20"/>
                <w:szCs w:val="20"/>
              </w:rPr>
            </w:pPr>
            <w:r w:rsidRPr="00BD1319">
              <w:rPr>
                <w:rFonts w:cs="Arial"/>
                <w:spacing w:val="-3"/>
                <w:sz w:val="20"/>
                <w:szCs w:val="20"/>
              </w:rPr>
              <w:t>Zonas de las reservas forestales Ley 2 con decisión de ordenamiento previo a zonificación A, B y C</w:t>
            </w:r>
          </w:p>
        </w:tc>
      </w:tr>
      <w:tr w:rsidR="003E222D" w:rsidRPr="00BD1319" w14:paraId="60AA7414" w14:textId="77777777" w:rsidTr="000D6E21">
        <w:trPr>
          <w:trHeight w:hRule="exact" w:val="340"/>
          <w:jc w:val="center"/>
        </w:trPr>
        <w:tc>
          <w:tcPr>
            <w:tcW w:w="2562" w:type="dxa"/>
            <w:vMerge/>
            <w:vAlign w:val="center"/>
          </w:tcPr>
          <w:p w14:paraId="2D3E63E3" w14:textId="77777777" w:rsidR="003E222D" w:rsidRPr="00BD1319" w:rsidRDefault="003E222D" w:rsidP="003D4A7A">
            <w:pPr>
              <w:numPr>
                <w:ilvl w:val="12"/>
                <w:numId w:val="0"/>
              </w:numPr>
              <w:tabs>
                <w:tab w:val="left" w:pos="-2268"/>
              </w:tabs>
              <w:suppressAutoHyphens/>
              <w:rPr>
                <w:rFonts w:cs="Arial"/>
                <w:iCs/>
                <w:spacing w:val="-3"/>
                <w:sz w:val="20"/>
                <w:szCs w:val="20"/>
              </w:rPr>
            </w:pPr>
          </w:p>
        </w:tc>
        <w:tc>
          <w:tcPr>
            <w:tcW w:w="6512" w:type="dxa"/>
            <w:shd w:val="clear" w:color="auto" w:fill="auto"/>
            <w:vAlign w:val="center"/>
          </w:tcPr>
          <w:p w14:paraId="4D8ACB6A" w14:textId="77777777" w:rsidR="003E222D" w:rsidRPr="00BD1319" w:rsidRDefault="003E222D" w:rsidP="003D4A7A">
            <w:pPr>
              <w:numPr>
                <w:ilvl w:val="12"/>
                <w:numId w:val="0"/>
              </w:numPr>
              <w:tabs>
                <w:tab w:val="left" w:pos="-2268"/>
              </w:tabs>
              <w:suppressAutoHyphens/>
              <w:rPr>
                <w:rFonts w:cs="Arial"/>
                <w:spacing w:val="-3"/>
                <w:sz w:val="20"/>
                <w:szCs w:val="20"/>
              </w:rPr>
            </w:pPr>
            <w:r w:rsidRPr="00BD1319">
              <w:rPr>
                <w:rFonts w:cs="Arial"/>
                <w:spacing w:val="-3"/>
                <w:sz w:val="20"/>
                <w:szCs w:val="20"/>
              </w:rPr>
              <w:t>Reserva forestal protectora-productora de la cuenca alta del Río Bogotá</w:t>
            </w:r>
          </w:p>
        </w:tc>
      </w:tr>
      <w:tr w:rsidR="003E222D" w:rsidRPr="00BD1319" w14:paraId="004FC8AD" w14:textId="77777777" w:rsidTr="003D4A7A">
        <w:trPr>
          <w:trHeight w:hRule="exact" w:val="340"/>
          <w:jc w:val="center"/>
        </w:trPr>
        <w:tc>
          <w:tcPr>
            <w:tcW w:w="2562" w:type="dxa"/>
            <w:vMerge/>
            <w:vAlign w:val="center"/>
          </w:tcPr>
          <w:p w14:paraId="0634038D" w14:textId="77777777" w:rsidR="003E222D" w:rsidRPr="00BD1319" w:rsidRDefault="003E222D" w:rsidP="003D4A7A">
            <w:pPr>
              <w:numPr>
                <w:ilvl w:val="12"/>
                <w:numId w:val="0"/>
              </w:numPr>
              <w:tabs>
                <w:tab w:val="left" w:pos="-2268"/>
              </w:tabs>
              <w:suppressAutoHyphens/>
              <w:rPr>
                <w:rFonts w:cs="Arial"/>
                <w:iCs/>
                <w:spacing w:val="-3"/>
                <w:sz w:val="20"/>
                <w:szCs w:val="20"/>
              </w:rPr>
            </w:pPr>
          </w:p>
        </w:tc>
        <w:tc>
          <w:tcPr>
            <w:tcW w:w="6512" w:type="dxa"/>
            <w:shd w:val="clear" w:color="auto" w:fill="auto"/>
            <w:vAlign w:val="center"/>
          </w:tcPr>
          <w:p w14:paraId="1478FB5D" w14:textId="77777777" w:rsidR="003E222D" w:rsidRPr="00BD1319" w:rsidRDefault="003E222D" w:rsidP="003D4A7A">
            <w:pPr>
              <w:numPr>
                <w:ilvl w:val="12"/>
                <w:numId w:val="0"/>
              </w:numPr>
              <w:tabs>
                <w:tab w:val="left" w:pos="-2268"/>
              </w:tabs>
              <w:suppressAutoHyphens/>
              <w:rPr>
                <w:rFonts w:cs="Arial"/>
                <w:spacing w:val="-3"/>
                <w:sz w:val="20"/>
                <w:szCs w:val="20"/>
              </w:rPr>
            </w:pPr>
            <w:r w:rsidRPr="00BD1319">
              <w:rPr>
                <w:rFonts w:cs="Arial"/>
                <w:spacing w:val="-3"/>
                <w:sz w:val="20"/>
                <w:szCs w:val="20"/>
              </w:rPr>
              <w:t>Reservas de biósfera</w:t>
            </w:r>
          </w:p>
        </w:tc>
      </w:tr>
      <w:tr w:rsidR="003E222D" w:rsidRPr="00BD1319" w14:paraId="7F11A352" w14:textId="77777777" w:rsidTr="003D4A7A">
        <w:trPr>
          <w:trHeight w:hRule="exact" w:val="340"/>
          <w:jc w:val="center"/>
        </w:trPr>
        <w:tc>
          <w:tcPr>
            <w:tcW w:w="2562" w:type="dxa"/>
            <w:vMerge/>
            <w:vAlign w:val="center"/>
          </w:tcPr>
          <w:p w14:paraId="0FD23692" w14:textId="77777777" w:rsidR="003E222D" w:rsidRPr="00BD1319" w:rsidRDefault="003E222D" w:rsidP="003D4A7A">
            <w:pPr>
              <w:numPr>
                <w:ilvl w:val="12"/>
                <w:numId w:val="0"/>
              </w:numPr>
              <w:tabs>
                <w:tab w:val="left" w:pos="-2268"/>
              </w:tabs>
              <w:suppressAutoHyphens/>
              <w:rPr>
                <w:rFonts w:cs="Arial"/>
                <w:iCs/>
                <w:spacing w:val="-3"/>
                <w:sz w:val="20"/>
                <w:szCs w:val="20"/>
              </w:rPr>
            </w:pPr>
          </w:p>
        </w:tc>
        <w:tc>
          <w:tcPr>
            <w:tcW w:w="6512" w:type="dxa"/>
            <w:shd w:val="clear" w:color="auto" w:fill="auto"/>
            <w:vAlign w:val="center"/>
          </w:tcPr>
          <w:p w14:paraId="0E84287B" w14:textId="77777777" w:rsidR="003E222D" w:rsidRPr="00BD1319" w:rsidRDefault="003E222D" w:rsidP="003D4A7A">
            <w:pPr>
              <w:numPr>
                <w:ilvl w:val="12"/>
                <w:numId w:val="0"/>
              </w:numPr>
              <w:tabs>
                <w:tab w:val="left" w:pos="-2268"/>
              </w:tabs>
              <w:suppressAutoHyphens/>
              <w:rPr>
                <w:rFonts w:cs="Arial"/>
                <w:spacing w:val="-3"/>
                <w:sz w:val="20"/>
                <w:szCs w:val="20"/>
              </w:rPr>
            </w:pPr>
            <w:r w:rsidRPr="00BD1319">
              <w:rPr>
                <w:rFonts w:cs="Arial"/>
                <w:spacing w:val="-3"/>
                <w:sz w:val="20"/>
                <w:szCs w:val="20"/>
              </w:rPr>
              <w:t>Áreas importantes para la conservación de aves (AICA)</w:t>
            </w:r>
          </w:p>
        </w:tc>
      </w:tr>
      <w:tr w:rsidR="003E222D" w:rsidRPr="00BD1319" w14:paraId="7D5097BC" w14:textId="77777777" w:rsidTr="003D4A7A">
        <w:trPr>
          <w:trHeight w:hRule="exact" w:val="340"/>
          <w:jc w:val="center"/>
        </w:trPr>
        <w:tc>
          <w:tcPr>
            <w:tcW w:w="2562" w:type="dxa"/>
            <w:vMerge/>
            <w:vAlign w:val="center"/>
          </w:tcPr>
          <w:p w14:paraId="62B36C5E" w14:textId="77777777" w:rsidR="003E222D" w:rsidRPr="00BD1319" w:rsidRDefault="003E222D" w:rsidP="003D4A7A">
            <w:pPr>
              <w:numPr>
                <w:ilvl w:val="12"/>
                <w:numId w:val="0"/>
              </w:numPr>
              <w:tabs>
                <w:tab w:val="left" w:pos="-2268"/>
              </w:tabs>
              <w:suppressAutoHyphens/>
              <w:rPr>
                <w:rFonts w:cs="Arial"/>
                <w:iCs/>
                <w:spacing w:val="-3"/>
                <w:sz w:val="20"/>
                <w:szCs w:val="20"/>
              </w:rPr>
            </w:pPr>
          </w:p>
        </w:tc>
        <w:tc>
          <w:tcPr>
            <w:tcW w:w="6512" w:type="dxa"/>
            <w:shd w:val="clear" w:color="auto" w:fill="auto"/>
            <w:vAlign w:val="center"/>
          </w:tcPr>
          <w:p w14:paraId="18512DA3" w14:textId="77777777" w:rsidR="003E222D" w:rsidRPr="00BD1319" w:rsidRDefault="003E222D" w:rsidP="003D4A7A">
            <w:pPr>
              <w:numPr>
                <w:ilvl w:val="12"/>
                <w:numId w:val="0"/>
              </w:numPr>
              <w:tabs>
                <w:tab w:val="left" w:pos="-2268"/>
              </w:tabs>
              <w:suppressAutoHyphens/>
              <w:rPr>
                <w:rFonts w:cs="Arial"/>
                <w:spacing w:val="-3"/>
                <w:sz w:val="20"/>
                <w:szCs w:val="20"/>
              </w:rPr>
            </w:pPr>
            <w:r w:rsidRPr="00BD1319">
              <w:rPr>
                <w:rFonts w:cs="Arial"/>
                <w:spacing w:val="-3"/>
                <w:sz w:val="20"/>
                <w:szCs w:val="20"/>
              </w:rPr>
              <w:t>Bosques de paz</w:t>
            </w:r>
          </w:p>
        </w:tc>
      </w:tr>
      <w:tr w:rsidR="003E222D" w:rsidRPr="00BD1319" w14:paraId="6B41653C" w14:textId="77777777" w:rsidTr="003D4A7A">
        <w:trPr>
          <w:trHeight w:hRule="exact" w:val="340"/>
          <w:jc w:val="center"/>
        </w:trPr>
        <w:tc>
          <w:tcPr>
            <w:tcW w:w="2562" w:type="dxa"/>
            <w:vMerge/>
            <w:vAlign w:val="center"/>
          </w:tcPr>
          <w:p w14:paraId="17D9F91E" w14:textId="77777777" w:rsidR="003E222D" w:rsidRPr="00BD1319" w:rsidRDefault="003E222D" w:rsidP="003D4A7A">
            <w:pPr>
              <w:numPr>
                <w:ilvl w:val="12"/>
                <w:numId w:val="0"/>
              </w:numPr>
              <w:tabs>
                <w:tab w:val="left" w:pos="-2268"/>
              </w:tabs>
              <w:suppressAutoHyphens/>
              <w:rPr>
                <w:rFonts w:cs="Arial"/>
                <w:iCs/>
                <w:spacing w:val="-3"/>
                <w:sz w:val="20"/>
                <w:szCs w:val="20"/>
              </w:rPr>
            </w:pPr>
          </w:p>
        </w:tc>
        <w:tc>
          <w:tcPr>
            <w:tcW w:w="6512" w:type="dxa"/>
            <w:shd w:val="clear" w:color="auto" w:fill="auto"/>
            <w:vAlign w:val="center"/>
          </w:tcPr>
          <w:p w14:paraId="2036A414" w14:textId="77777777" w:rsidR="003E222D" w:rsidRPr="00BD1319" w:rsidRDefault="003E222D" w:rsidP="003D4A7A">
            <w:pPr>
              <w:numPr>
                <w:ilvl w:val="12"/>
                <w:numId w:val="0"/>
              </w:numPr>
              <w:tabs>
                <w:tab w:val="left" w:pos="-2268"/>
              </w:tabs>
              <w:suppressAutoHyphens/>
              <w:rPr>
                <w:rFonts w:cs="Arial"/>
                <w:spacing w:val="-3"/>
                <w:sz w:val="20"/>
                <w:szCs w:val="20"/>
              </w:rPr>
            </w:pPr>
            <w:r w:rsidRPr="00BD1319">
              <w:rPr>
                <w:rFonts w:cs="Arial"/>
                <w:spacing w:val="-3"/>
                <w:sz w:val="20"/>
                <w:szCs w:val="20"/>
              </w:rPr>
              <w:t>Bancos de hábitat</w:t>
            </w:r>
          </w:p>
        </w:tc>
      </w:tr>
      <w:tr w:rsidR="003E222D" w:rsidRPr="00BD1319" w14:paraId="62A86FB5" w14:textId="77777777" w:rsidTr="003D4A7A">
        <w:trPr>
          <w:trHeight w:hRule="exact" w:val="1021"/>
          <w:jc w:val="center"/>
        </w:trPr>
        <w:tc>
          <w:tcPr>
            <w:tcW w:w="2562" w:type="dxa"/>
            <w:vMerge/>
            <w:vAlign w:val="center"/>
          </w:tcPr>
          <w:p w14:paraId="46D5A40F" w14:textId="77777777" w:rsidR="003E222D" w:rsidRPr="00BD1319" w:rsidRDefault="003E222D" w:rsidP="003D4A7A">
            <w:pPr>
              <w:numPr>
                <w:ilvl w:val="12"/>
                <w:numId w:val="0"/>
              </w:numPr>
              <w:tabs>
                <w:tab w:val="left" w:pos="-2268"/>
              </w:tabs>
              <w:suppressAutoHyphens/>
              <w:rPr>
                <w:rFonts w:cs="Arial"/>
                <w:iCs/>
                <w:spacing w:val="-3"/>
                <w:sz w:val="20"/>
                <w:szCs w:val="20"/>
              </w:rPr>
            </w:pPr>
          </w:p>
        </w:tc>
        <w:tc>
          <w:tcPr>
            <w:tcW w:w="6512" w:type="dxa"/>
            <w:shd w:val="clear" w:color="auto" w:fill="auto"/>
            <w:vAlign w:val="center"/>
          </w:tcPr>
          <w:p w14:paraId="0D03B7A2" w14:textId="77777777" w:rsidR="003E222D" w:rsidRPr="00BD1319" w:rsidRDefault="003E222D" w:rsidP="003D4A7A">
            <w:pPr>
              <w:numPr>
                <w:ilvl w:val="12"/>
                <w:numId w:val="0"/>
              </w:numPr>
              <w:tabs>
                <w:tab w:val="left" w:pos="-2268"/>
              </w:tabs>
              <w:suppressAutoHyphens/>
              <w:rPr>
                <w:rFonts w:cs="Arial"/>
                <w:spacing w:val="-3"/>
                <w:sz w:val="20"/>
                <w:szCs w:val="20"/>
              </w:rPr>
            </w:pPr>
            <w:r w:rsidRPr="00BD1319">
              <w:rPr>
                <w:rFonts w:cs="Arial"/>
                <w:spacing w:val="-3"/>
                <w:sz w:val="20"/>
                <w:szCs w:val="20"/>
              </w:rPr>
              <w:t xml:space="preserve">Área marina protegida de los archipiélagos del Rosario y de San Bernardo (hasta tanto se adelante su proceso de homologación con las categorías de manejo del </w:t>
            </w:r>
            <w:proofErr w:type="spellStart"/>
            <w:r w:rsidRPr="00BD1319">
              <w:rPr>
                <w:rFonts w:cs="Arial"/>
                <w:spacing w:val="-3"/>
                <w:sz w:val="20"/>
                <w:szCs w:val="20"/>
              </w:rPr>
              <w:t>Sinap</w:t>
            </w:r>
            <w:proofErr w:type="spellEnd"/>
            <w:r w:rsidRPr="00BD1319">
              <w:rPr>
                <w:rFonts w:cs="Arial"/>
                <w:spacing w:val="-3"/>
                <w:sz w:val="20"/>
                <w:szCs w:val="20"/>
              </w:rPr>
              <w:t>)</w:t>
            </w:r>
          </w:p>
        </w:tc>
      </w:tr>
      <w:tr w:rsidR="003E222D" w:rsidRPr="00BD1319" w14:paraId="0C01A730" w14:textId="77777777" w:rsidTr="003D4A7A">
        <w:trPr>
          <w:trHeight w:hRule="exact" w:val="680"/>
          <w:jc w:val="center"/>
        </w:trPr>
        <w:tc>
          <w:tcPr>
            <w:tcW w:w="2562" w:type="dxa"/>
            <w:vMerge/>
            <w:vAlign w:val="center"/>
          </w:tcPr>
          <w:p w14:paraId="72D252E2" w14:textId="77777777" w:rsidR="003E222D" w:rsidRPr="00BD1319" w:rsidRDefault="003E222D" w:rsidP="003D4A7A">
            <w:pPr>
              <w:numPr>
                <w:ilvl w:val="12"/>
                <w:numId w:val="0"/>
              </w:numPr>
              <w:tabs>
                <w:tab w:val="left" w:pos="-2268"/>
              </w:tabs>
              <w:suppressAutoHyphens/>
              <w:rPr>
                <w:rFonts w:cs="Arial"/>
                <w:iCs/>
                <w:spacing w:val="-3"/>
                <w:sz w:val="20"/>
                <w:szCs w:val="20"/>
              </w:rPr>
            </w:pPr>
          </w:p>
        </w:tc>
        <w:tc>
          <w:tcPr>
            <w:tcW w:w="6512" w:type="dxa"/>
            <w:shd w:val="clear" w:color="auto" w:fill="auto"/>
            <w:vAlign w:val="center"/>
          </w:tcPr>
          <w:p w14:paraId="09C2AA08" w14:textId="77777777" w:rsidR="003E222D" w:rsidRPr="00BD1319" w:rsidRDefault="003E222D" w:rsidP="003D4A7A">
            <w:pPr>
              <w:numPr>
                <w:ilvl w:val="12"/>
                <w:numId w:val="0"/>
              </w:numPr>
              <w:tabs>
                <w:tab w:val="left" w:pos="-2268"/>
              </w:tabs>
              <w:suppressAutoHyphens/>
              <w:rPr>
                <w:rFonts w:cs="Arial"/>
                <w:spacing w:val="-3"/>
                <w:sz w:val="20"/>
                <w:szCs w:val="20"/>
              </w:rPr>
            </w:pPr>
            <w:r w:rsidRPr="00BD1319">
              <w:rPr>
                <w:rFonts w:cs="Arial"/>
                <w:spacing w:val="-3"/>
                <w:sz w:val="20"/>
                <w:szCs w:val="20"/>
              </w:rPr>
              <w:t>Áreas susceptibles a procesos de restauración ecológica (definidas en el Plan nacional de restauración)</w:t>
            </w:r>
          </w:p>
        </w:tc>
      </w:tr>
      <w:tr w:rsidR="003E222D" w:rsidRPr="00BD1319" w14:paraId="09C31246" w14:textId="77777777" w:rsidTr="003D4A7A">
        <w:trPr>
          <w:trHeight w:hRule="exact" w:val="680"/>
          <w:jc w:val="center"/>
        </w:trPr>
        <w:tc>
          <w:tcPr>
            <w:tcW w:w="2562" w:type="dxa"/>
            <w:vMerge w:val="restart"/>
            <w:vAlign w:val="center"/>
          </w:tcPr>
          <w:p w14:paraId="36778B58" w14:textId="77777777" w:rsidR="003E222D" w:rsidRPr="00BD1319" w:rsidRDefault="003E222D" w:rsidP="003D4A7A">
            <w:pPr>
              <w:numPr>
                <w:ilvl w:val="12"/>
                <w:numId w:val="0"/>
              </w:numPr>
              <w:tabs>
                <w:tab w:val="left" w:pos="-2268"/>
              </w:tabs>
              <w:suppressAutoHyphens/>
              <w:rPr>
                <w:rFonts w:cs="Arial"/>
                <w:iCs/>
                <w:spacing w:val="-3"/>
                <w:sz w:val="20"/>
                <w:szCs w:val="20"/>
              </w:rPr>
            </w:pPr>
            <w:r w:rsidRPr="00BD1319">
              <w:rPr>
                <w:rFonts w:cs="Arial"/>
                <w:iCs/>
                <w:spacing w:val="-3"/>
                <w:sz w:val="20"/>
                <w:szCs w:val="20"/>
              </w:rPr>
              <w:t>Instrumentos de ordenamiento ambiental y territorial</w:t>
            </w:r>
          </w:p>
        </w:tc>
        <w:tc>
          <w:tcPr>
            <w:tcW w:w="6512" w:type="dxa"/>
            <w:shd w:val="clear" w:color="auto" w:fill="auto"/>
            <w:vAlign w:val="center"/>
          </w:tcPr>
          <w:p w14:paraId="23297D92" w14:textId="77777777" w:rsidR="003E222D" w:rsidRPr="00BD1319" w:rsidRDefault="003E222D" w:rsidP="003D4A7A">
            <w:pPr>
              <w:numPr>
                <w:ilvl w:val="12"/>
                <w:numId w:val="0"/>
              </w:numPr>
              <w:tabs>
                <w:tab w:val="left" w:pos="-2268"/>
              </w:tabs>
              <w:suppressAutoHyphens/>
              <w:rPr>
                <w:rFonts w:cs="Arial"/>
                <w:spacing w:val="-3"/>
                <w:sz w:val="20"/>
                <w:szCs w:val="20"/>
              </w:rPr>
            </w:pPr>
            <w:r w:rsidRPr="00BD1319">
              <w:rPr>
                <w:rFonts w:cs="Arial"/>
                <w:spacing w:val="-3"/>
                <w:sz w:val="20"/>
                <w:szCs w:val="20"/>
              </w:rPr>
              <w:t xml:space="preserve">Otras áreas designadas como de conservación y preservación ambiental en los </w:t>
            </w:r>
            <w:proofErr w:type="spellStart"/>
            <w:r w:rsidRPr="00BD1319">
              <w:rPr>
                <w:rFonts w:cs="Arial"/>
                <w:spacing w:val="-3"/>
                <w:sz w:val="20"/>
                <w:szCs w:val="20"/>
              </w:rPr>
              <w:t>Pomca</w:t>
            </w:r>
            <w:proofErr w:type="spellEnd"/>
            <w:r w:rsidRPr="00BD1319">
              <w:rPr>
                <w:rFonts w:cs="Arial"/>
                <w:spacing w:val="-3"/>
                <w:sz w:val="20"/>
                <w:szCs w:val="20"/>
              </w:rPr>
              <w:t xml:space="preserve"> y </w:t>
            </w:r>
            <w:proofErr w:type="spellStart"/>
            <w:r w:rsidRPr="00BD1319">
              <w:rPr>
                <w:rFonts w:cs="Arial"/>
                <w:spacing w:val="-3"/>
                <w:sz w:val="20"/>
                <w:szCs w:val="20"/>
              </w:rPr>
              <w:t>Pomiuac</w:t>
            </w:r>
            <w:proofErr w:type="spellEnd"/>
          </w:p>
        </w:tc>
      </w:tr>
      <w:tr w:rsidR="003E222D" w:rsidRPr="00BD1319" w14:paraId="126A1759" w14:textId="77777777" w:rsidTr="003D4A7A">
        <w:trPr>
          <w:trHeight w:hRule="exact" w:val="641"/>
          <w:jc w:val="center"/>
        </w:trPr>
        <w:tc>
          <w:tcPr>
            <w:tcW w:w="2562" w:type="dxa"/>
            <w:vMerge/>
            <w:vAlign w:val="center"/>
          </w:tcPr>
          <w:p w14:paraId="1BA0BECE" w14:textId="77777777" w:rsidR="003E222D" w:rsidRPr="00BD1319" w:rsidRDefault="003E222D" w:rsidP="003D4A7A">
            <w:pPr>
              <w:numPr>
                <w:ilvl w:val="12"/>
                <w:numId w:val="0"/>
              </w:numPr>
              <w:tabs>
                <w:tab w:val="left" w:pos="-2268"/>
              </w:tabs>
              <w:suppressAutoHyphens/>
              <w:rPr>
                <w:rFonts w:cs="Arial"/>
                <w:i/>
                <w:iCs/>
                <w:spacing w:val="-3"/>
                <w:sz w:val="20"/>
                <w:szCs w:val="20"/>
              </w:rPr>
            </w:pPr>
          </w:p>
        </w:tc>
        <w:tc>
          <w:tcPr>
            <w:tcW w:w="6512" w:type="dxa"/>
            <w:shd w:val="clear" w:color="auto" w:fill="auto"/>
            <w:vAlign w:val="center"/>
          </w:tcPr>
          <w:p w14:paraId="00C4A13B" w14:textId="77777777" w:rsidR="003E222D" w:rsidRPr="00BD1319" w:rsidRDefault="003E222D" w:rsidP="003D4A7A">
            <w:pPr>
              <w:numPr>
                <w:ilvl w:val="12"/>
                <w:numId w:val="0"/>
              </w:numPr>
              <w:tabs>
                <w:tab w:val="left" w:pos="-2268"/>
              </w:tabs>
              <w:suppressAutoHyphens/>
              <w:rPr>
                <w:rFonts w:cs="Arial"/>
                <w:spacing w:val="-3"/>
                <w:sz w:val="20"/>
                <w:szCs w:val="20"/>
              </w:rPr>
            </w:pPr>
            <w:r w:rsidRPr="00BD1319">
              <w:rPr>
                <w:rFonts w:cs="Arial"/>
                <w:spacing w:val="-3"/>
                <w:sz w:val="20"/>
                <w:szCs w:val="20"/>
              </w:rPr>
              <w:t>Otras áreas designadas como suelo de protección en los POT por sus características paisajísticas o ambientales</w:t>
            </w:r>
          </w:p>
        </w:tc>
      </w:tr>
      <w:tr w:rsidR="003E222D" w:rsidRPr="00BD1319" w14:paraId="229A3112" w14:textId="77777777" w:rsidTr="003D4A7A">
        <w:trPr>
          <w:trHeight w:hRule="exact" w:val="1310"/>
          <w:jc w:val="center"/>
        </w:trPr>
        <w:tc>
          <w:tcPr>
            <w:tcW w:w="2562" w:type="dxa"/>
            <w:vMerge/>
            <w:vAlign w:val="center"/>
          </w:tcPr>
          <w:p w14:paraId="0B0E6CAE" w14:textId="77777777" w:rsidR="003E222D" w:rsidRPr="00BD1319" w:rsidRDefault="003E222D" w:rsidP="003D4A7A">
            <w:pPr>
              <w:numPr>
                <w:ilvl w:val="12"/>
                <w:numId w:val="0"/>
              </w:numPr>
              <w:tabs>
                <w:tab w:val="left" w:pos="-2268"/>
              </w:tabs>
              <w:suppressAutoHyphens/>
              <w:rPr>
                <w:rFonts w:cs="Arial"/>
                <w:iCs/>
                <w:spacing w:val="-3"/>
                <w:sz w:val="20"/>
                <w:szCs w:val="20"/>
              </w:rPr>
            </w:pPr>
          </w:p>
        </w:tc>
        <w:tc>
          <w:tcPr>
            <w:tcW w:w="6512" w:type="dxa"/>
            <w:shd w:val="clear" w:color="auto" w:fill="auto"/>
            <w:vAlign w:val="center"/>
          </w:tcPr>
          <w:p w14:paraId="436C08CB" w14:textId="2A4C9BD5" w:rsidR="003E222D" w:rsidRPr="00BD1319" w:rsidRDefault="003E222D" w:rsidP="003D4A7A">
            <w:pPr>
              <w:numPr>
                <w:ilvl w:val="12"/>
                <w:numId w:val="0"/>
              </w:numPr>
              <w:tabs>
                <w:tab w:val="left" w:pos="-2268"/>
              </w:tabs>
              <w:suppressAutoHyphens/>
              <w:rPr>
                <w:rFonts w:cs="Arial"/>
                <w:spacing w:val="-3"/>
                <w:sz w:val="20"/>
                <w:szCs w:val="20"/>
              </w:rPr>
            </w:pPr>
            <w:r w:rsidRPr="00BD1319">
              <w:rPr>
                <w:rFonts w:cs="Arial"/>
                <w:spacing w:val="-3"/>
                <w:sz w:val="20"/>
                <w:szCs w:val="20"/>
              </w:rPr>
              <w:t>Áreas sensibles y estratégicas en el ámbito local, regional, nacional, y/o internacional (p. ej. zonas de recarga de acuíferos, rondas hídricas, nacimientos de agua), reconocidas y cartografiadas por alguna entidad del Estado, o identificadas durante el proceso de elaboración del estudio ambiental</w:t>
            </w:r>
          </w:p>
        </w:tc>
      </w:tr>
    </w:tbl>
    <w:p w14:paraId="56A1B8AD" w14:textId="77777777" w:rsidR="00482A5F" w:rsidRPr="00BD1319" w:rsidRDefault="00482A5F" w:rsidP="00482A5F">
      <w:pPr>
        <w:numPr>
          <w:ilvl w:val="12"/>
          <w:numId w:val="0"/>
        </w:numPr>
        <w:tabs>
          <w:tab w:val="left" w:pos="-2268"/>
        </w:tabs>
        <w:suppressAutoHyphens/>
        <w:rPr>
          <w:rFonts w:cs="Arial"/>
          <w:spacing w:val="-3"/>
        </w:rPr>
      </w:pPr>
    </w:p>
    <w:p w14:paraId="1536A416" w14:textId="058C4D7C" w:rsidR="00482A5F" w:rsidRPr="00BD1319" w:rsidRDefault="003779C9">
      <w:pPr>
        <w:numPr>
          <w:ilvl w:val="12"/>
          <w:numId w:val="0"/>
        </w:numPr>
        <w:tabs>
          <w:tab w:val="left" w:pos="-2268"/>
        </w:tabs>
        <w:suppressAutoHyphens/>
        <w:rPr>
          <w:spacing w:val="-3"/>
        </w:rPr>
      </w:pPr>
      <w:r w:rsidRPr="00BD1319">
        <w:rPr>
          <w:spacing w:val="-3"/>
        </w:rPr>
        <w:lastRenderedPageBreak/>
        <w:t xml:space="preserve">Las </w:t>
      </w:r>
      <w:r w:rsidR="0086126A" w:rsidRPr="00BD1319">
        <w:rPr>
          <w:spacing w:val="-3"/>
        </w:rPr>
        <w:t>AAE</w:t>
      </w:r>
      <w:r w:rsidR="007E4057" w:rsidRPr="00BD1319">
        <w:rPr>
          <w:spacing w:val="-3"/>
        </w:rPr>
        <w:t>, así como su zonificación de manejo (en caso de existir),</w:t>
      </w:r>
      <w:r w:rsidRPr="00BD1319">
        <w:rPr>
          <w:spacing w:val="-3"/>
        </w:rPr>
        <w:t xml:space="preserve"> </w:t>
      </w:r>
      <w:r w:rsidR="00482A5F" w:rsidRPr="00BD1319">
        <w:rPr>
          <w:spacing w:val="-3"/>
        </w:rPr>
        <w:t xml:space="preserve">deben </w:t>
      </w:r>
      <w:r w:rsidRPr="00BD1319">
        <w:rPr>
          <w:spacing w:val="-3"/>
        </w:rPr>
        <w:t>ser representadas cartográficamente</w:t>
      </w:r>
      <w:r w:rsidR="007E4057" w:rsidRPr="00BD1319">
        <w:rPr>
          <w:spacing w:val="-3"/>
        </w:rPr>
        <w:t xml:space="preserve"> </w:t>
      </w:r>
      <w:r w:rsidR="00464AA8" w:rsidRPr="00BD1319">
        <w:rPr>
          <w:spacing w:val="-3"/>
        </w:rPr>
        <w:t xml:space="preserve">en el mapa de ecosistemas </w:t>
      </w:r>
      <w:r w:rsidR="00482A5F" w:rsidRPr="00BD1319">
        <w:rPr>
          <w:spacing w:val="-3"/>
        </w:rPr>
        <w:t xml:space="preserve">a </w:t>
      </w:r>
      <w:r w:rsidR="00F83F1C" w:rsidRPr="00BD1319">
        <w:rPr>
          <w:spacing w:val="-3"/>
        </w:rPr>
        <w:t xml:space="preserve">la escala que </w:t>
      </w:r>
      <w:r w:rsidRPr="00BD1319">
        <w:rPr>
          <w:spacing w:val="-3"/>
        </w:rPr>
        <w:t xml:space="preserve">establezcan </w:t>
      </w:r>
      <w:r w:rsidR="00F83F1C" w:rsidRPr="00BD1319">
        <w:rPr>
          <w:spacing w:val="-3"/>
        </w:rPr>
        <w:t>los términos de referencia</w:t>
      </w:r>
      <w:r w:rsidR="00482A5F" w:rsidRPr="00BD1319">
        <w:rPr>
          <w:spacing w:val="-3"/>
        </w:rPr>
        <w:t xml:space="preserve">, de tal forma que </w:t>
      </w:r>
      <w:r w:rsidR="00F76847" w:rsidRPr="00BD1319">
        <w:rPr>
          <w:spacing w:val="-3"/>
        </w:rPr>
        <w:t xml:space="preserve">sea evidente </w:t>
      </w:r>
      <w:r w:rsidR="00482A5F" w:rsidRPr="00BD1319">
        <w:rPr>
          <w:spacing w:val="-3"/>
        </w:rPr>
        <w:t xml:space="preserve">su ubicación </w:t>
      </w:r>
      <w:r w:rsidR="00532A17" w:rsidRPr="00BD1319">
        <w:rPr>
          <w:spacing w:val="-3"/>
        </w:rPr>
        <w:t xml:space="preserve">y distancia </w:t>
      </w:r>
      <w:r w:rsidR="00482A5F" w:rsidRPr="00BD1319">
        <w:rPr>
          <w:spacing w:val="-3"/>
        </w:rPr>
        <w:t xml:space="preserve">con respecto al </w:t>
      </w:r>
      <w:r w:rsidR="00482A5F" w:rsidRPr="00BD1319">
        <w:rPr>
          <w:rFonts w:cs="Arial"/>
          <w:spacing w:val="-3"/>
        </w:rPr>
        <w:t xml:space="preserve">área </w:t>
      </w:r>
      <w:r w:rsidR="00F53A6E" w:rsidRPr="00BD1319">
        <w:rPr>
          <w:rFonts w:cs="Arial"/>
          <w:spacing w:val="-3"/>
        </w:rPr>
        <w:t>por</w:t>
      </w:r>
      <w:r w:rsidR="00D11E0B" w:rsidRPr="00BD1319">
        <w:rPr>
          <w:rFonts w:cs="Arial"/>
          <w:spacing w:val="-3"/>
        </w:rPr>
        <w:t xml:space="preserve"> </w:t>
      </w:r>
      <w:r w:rsidR="00482A5F" w:rsidRPr="00BD1319">
        <w:rPr>
          <w:rFonts w:cs="Arial"/>
          <w:spacing w:val="-3"/>
        </w:rPr>
        <w:t>interven</w:t>
      </w:r>
      <w:r w:rsidR="00D11E0B" w:rsidRPr="00BD1319">
        <w:rPr>
          <w:rFonts w:cs="Arial"/>
          <w:spacing w:val="-3"/>
        </w:rPr>
        <w:t>ir</w:t>
      </w:r>
      <w:r w:rsidR="00464AA8" w:rsidRPr="00BD1319">
        <w:rPr>
          <w:rFonts w:cs="Arial"/>
          <w:spacing w:val="-3"/>
        </w:rPr>
        <w:t xml:space="preserve"> </w:t>
      </w:r>
      <w:r w:rsidR="00FC5119" w:rsidRPr="00BD1319">
        <w:rPr>
          <w:rFonts w:cs="Arial"/>
          <w:spacing w:val="-3"/>
        </w:rPr>
        <w:t>propuesta</w:t>
      </w:r>
      <w:r w:rsidR="0079041D" w:rsidRPr="00BD1319">
        <w:rPr>
          <w:spacing w:val="-3"/>
        </w:rPr>
        <w:t>.</w:t>
      </w:r>
    </w:p>
    <w:p w14:paraId="741F5918" w14:textId="26BD891A" w:rsidR="00482A5F" w:rsidRPr="00BD1319" w:rsidRDefault="00482A5F">
      <w:pPr>
        <w:numPr>
          <w:ilvl w:val="12"/>
          <w:numId w:val="0"/>
        </w:numPr>
        <w:tabs>
          <w:tab w:val="left" w:pos="-2268"/>
        </w:tabs>
        <w:suppressAutoHyphens/>
        <w:rPr>
          <w:spacing w:val="-3"/>
        </w:rPr>
      </w:pPr>
    </w:p>
    <w:p w14:paraId="71A9E2D4" w14:textId="482FB54D" w:rsidR="00482A5F" w:rsidRPr="00BD1319" w:rsidRDefault="00C645A6">
      <w:pPr>
        <w:numPr>
          <w:ilvl w:val="12"/>
          <w:numId w:val="0"/>
        </w:numPr>
        <w:tabs>
          <w:tab w:val="left" w:pos="-2268"/>
        </w:tabs>
        <w:suppressAutoHyphens/>
        <w:rPr>
          <w:spacing w:val="-3"/>
        </w:rPr>
      </w:pPr>
      <w:r w:rsidRPr="00BD1319">
        <w:rPr>
          <w:spacing w:val="-3"/>
        </w:rPr>
        <w:t>S</w:t>
      </w:r>
      <w:r w:rsidR="00482A5F" w:rsidRPr="00BD1319">
        <w:rPr>
          <w:spacing w:val="-3"/>
        </w:rPr>
        <w:t xml:space="preserve">e debe </w:t>
      </w:r>
      <w:r w:rsidR="00B34005" w:rsidRPr="00BD1319">
        <w:rPr>
          <w:spacing w:val="-3"/>
        </w:rPr>
        <w:t xml:space="preserve">recordar que los </w:t>
      </w:r>
      <w:r w:rsidR="00482A5F" w:rsidRPr="00BD1319">
        <w:rPr>
          <w:spacing w:val="-3"/>
        </w:rPr>
        <w:t>arrecifes de coral, manglares y praderas de pastos marinos</w:t>
      </w:r>
      <w:r w:rsidR="00B34005" w:rsidRPr="00BD1319">
        <w:rPr>
          <w:spacing w:val="-3"/>
        </w:rPr>
        <w:t xml:space="preserve"> son</w:t>
      </w:r>
      <w:r w:rsidR="00482A5F" w:rsidRPr="00BD1319">
        <w:rPr>
          <w:spacing w:val="-3"/>
        </w:rPr>
        <w:t xml:space="preserve"> ecosistemas protegidos según lo dispuesto en el artículo 207 de la Ley 1450 de 2011 </w:t>
      </w:r>
      <w:r w:rsidR="009F0023" w:rsidRPr="00BD1319">
        <w:rPr>
          <w:spacing w:val="-3"/>
        </w:rPr>
        <w:t xml:space="preserve">y </w:t>
      </w:r>
      <w:r w:rsidR="009F0023" w:rsidRPr="00BD1319">
        <w:rPr>
          <w:rFonts w:cs="Arial"/>
          <w:spacing w:val="-3"/>
        </w:rPr>
        <w:t>la Resolución 1263 de 2018</w:t>
      </w:r>
      <w:r w:rsidR="00B34005" w:rsidRPr="00BD1319">
        <w:rPr>
          <w:rFonts w:cs="Arial"/>
          <w:spacing w:val="-3"/>
        </w:rPr>
        <w:t xml:space="preserve"> y</w:t>
      </w:r>
      <w:r w:rsidR="00482A5F" w:rsidRPr="00BD1319">
        <w:rPr>
          <w:spacing w:val="-3"/>
        </w:rPr>
        <w:t xml:space="preserve"> que deben ser sujetos de consideraciones especiales para su conservación y uso sostenible de acuerdo </w:t>
      </w:r>
      <w:r w:rsidR="004505B6" w:rsidRPr="00BD1319">
        <w:rPr>
          <w:rFonts w:cs="Arial"/>
          <w:spacing w:val="-3"/>
        </w:rPr>
        <w:t>con el</w:t>
      </w:r>
      <w:r w:rsidR="004505B6" w:rsidRPr="00BD1319">
        <w:rPr>
          <w:spacing w:val="-3"/>
        </w:rPr>
        <w:t xml:space="preserve"> </w:t>
      </w:r>
      <w:r w:rsidR="00482A5F" w:rsidRPr="00BD1319">
        <w:rPr>
          <w:spacing w:val="-3"/>
        </w:rPr>
        <w:t>Decreto 1076 de 2015</w:t>
      </w:r>
      <w:r w:rsidR="004505B6" w:rsidRPr="00BD1319">
        <w:rPr>
          <w:rFonts w:cs="Arial"/>
          <w:spacing w:val="-3"/>
        </w:rPr>
        <w:t>, o la norma que lo modifique o sustituya</w:t>
      </w:r>
      <w:r w:rsidR="00482A5F" w:rsidRPr="00BD1319">
        <w:rPr>
          <w:spacing w:val="-3"/>
        </w:rPr>
        <w:t>.</w:t>
      </w:r>
    </w:p>
    <w:p w14:paraId="1D6FDBA0" w14:textId="77777777" w:rsidR="00482A5F" w:rsidRPr="00BD1319" w:rsidRDefault="00482A5F">
      <w:pPr>
        <w:numPr>
          <w:ilvl w:val="12"/>
          <w:numId w:val="0"/>
        </w:numPr>
        <w:tabs>
          <w:tab w:val="left" w:pos="-2268"/>
        </w:tabs>
        <w:suppressAutoHyphens/>
        <w:rPr>
          <w:spacing w:val="-3"/>
        </w:rPr>
      </w:pPr>
    </w:p>
    <w:p w14:paraId="3ADFB7DA" w14:textId="76556F4C" w:rsidR="00482A5F" w:rsidRPr="00BD1319" w:rsidRDefault="00482A5F" w:rsidP="0068149C">
      <w:pPr>
        <w:pStyle w:val="Ttulo2"/>
        <w:rPr>
          <w:lang w:val="es-CO"/>
        </w:rPr>
      </w:pPr>
      <w:bookmarkStart w:id="2902" w:name="_Toc138759998"/>
      <w:bookmarkStart w:id="2903" w:name="_Toc153811839"/>
      <w:bookmarkStart w:id="2904" w:name="_Toc153812053"/>
      <w:bookmarkStart w:id="2905" w:name="_Toc153812458"/>
      <w:bookmarkStart w:id="2906" w:name="_Toc158907168"/>
      <w:bookmarkStart w:id="2907" w:name="_Toc159826168"/>
      <w:bookmarkStart w:id="2908" w:name="_Toc159826602"/>
      <w:bookmarkStart w:id="2909" w:name="_Toc175326432"/>
      <w:bookmarkStart w:id="2910" w:name="_Toc138759999"/>
      <w:bookmarkStart w:id="2911" w:name="_Toc153811840"/>
      <w:bookmarkStart w:id="2912" w:name="_Toc153812054"/>
      <w:bookmarkStart w:id="2913" w:name="_Toc153812459"/>
      <w:bookmarkStart w:id="2914" w:name="_Toc158907169"/>
      <w:bookmarkStart w:id="2915" w:name="_Toc159826169"/>
      <w:bookmarkStart w:id="2916" w:name="_Toc159826603"/>
      <w:bookmarkStart w:id="2917" w:name="_Toc175326433"/>
      <w:bookmarkStart w:id="2918" w:name="_Toc43485714"/>
      <w:bookmarkStart w:id="2919" w:name="_Toc43485715"/>
      <w:bookmarkStart w:id="2920" w:name="_Toc43485716"/>
      <w:bookmarkStart w:id="2921" w:name="_Toc405366839"/>
      <w:bookmarkStart w:id="2922" w:name="_Toc405372386"/>
      <w:bookmarkStart w:id="2923" w:name="_Toc412803189"/>
      <w:bookmarkStart w:id="2924" w:name="_Toc437936029"/>
      <w:bookmarkStart w:id="2925" w:name="_Ref515954596"/>
      <w:bookmarkStart w:id="2926" w:name="_Toc42764354"/>
      <w:bookmarkStart w:id="2927" w:name="_Toc175326773"/>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r w:rsidRPr="00BD1319">
        <w:rPr>
          <w:lang w:val="es-CO"/>
        </w:rPr>
        <w:t>MEDIO SOCIOECONÓMICO</w:t>
      </w:r>
      <w:bookmarkEnd w:id="2921"/>
      <w:bookmarkEnd w:id="2922"/>
      <w:bookmarkEnd w:id="2923"/>
      <w:bookmarkEnd w:id="2924"/>
      <w:bookmarkEnd w:id="2925"/>
      <w:bookmarkEnd w:id="2926"/>
      <w:bookmarkEnd w:id="2927"/>
    </w:p>
    <w:p w14:paraId="5BC21713" w14:textId="77777777" w:rsidR="004A5609" w:rsidRPr="00BD1319" w:rsidRDefault="004A5609" w:rsidP="00482A5F">
      <w:pPr>
        <w:numPr>
          <w:ilvl w:val="12"/>
          <w:numId w:val="0"/>
        </w:numPr>
        <w:tabs>
          <w:tab w:val="left" w:pos="-2268"/>
        </w:tabs>
        <w:suppressAutoHyphens/>
        <w:rPr>
          <w:rFonts w:cs="Arial"/>
          <w:spacing w:val="-3"/>
          <w:lang w:val="es-ES_tradnl"/>
        </w:rPr>
      </w:pPr>
    </w:p>
    <w:p w14:paraId="295F1559" w14:textId="15F0613E" w:rsidR="00482A5F" w:rsidRPr="00BD1319" w:rsidRDefault="00482A5F">
      <w:pPr>
        <w:numPr>
          <w:ilvl w:val="12"/>
          <w:numId w:val="0"/>
        </w:numPr>
        <w:tabs>
          <w:tab w:val="left" w:pos="-2268"/>
        </w:tabs>
        <w:suppressAutoHyphens/>
        <w:rPr>
          <w:spacing w:val="-3"/>
        </w:rPr>
      </w:pPr>
      <w:r w:rsidRPr="00BD1319">
        <w:rPr>
          <w:spacing w:val="-3"/>
        </w:rPr>
        <w:t xml:space="preserve">La caracterización del medio socioeconómico </w:t>
      </w:r>
      <w:r w:rsidR="00F75991" w:rsidRPr="00BD1319">
        <w:rPr>
          <w:rFonts w:cs="Arial"/>
          <w:spacing w:val="-3"/>
        </w:rPr>
        <w:t xml:space="preserve">debe </w:t>
      </w:r>
      <w:r w:rsidRPr="00BD1319">
        <w:rPr>
          <w:rFonts w:cs="Arial"/>
          <w:spacing w:val="-3"/>
        </w:rPr>
        <w:t>analizar</w:t>
      </w:r>
      <w:r w:rsidRPr="00BD1319">
        <w:rPr>
          <w:spacing w:val="-3"/>
        </w:rPr>
        <w:t xml:space="preserve"> información cuantitativa y cualitativa, </w:t>
      </w:r>
      <w:r w:rsidRPr="00BD1319">
        <w:rPr>
          <w:rFonts w:cs="Arial"/>
          <w:spacing w:val="-3"/>
        </w:rPr>
        <w:t xml:space="preserve">con </w:t>
      </w:r>
      <w:r w:rsidRPr="00BD1319">
        <w:rPr>
          <w:spacing w:val="-3"/>
        </w:rPr>
        <w:t xml:space="preserve">el </w:t>
      </w:r>
      <w:r w:rsidRPr="00BD1319">
        <w:rPr>
          <w:rFonts w:cs="Arial"/>
          <w:spacing w:val="-3"/>
        </w:rPr>
        <w:t>propósito</w:t>
      </w:r>
      <w:r w:rsidRPr="00BD1319">
        <w:rPr>
          <w:spacing w:val="-3"/>
        </w:rPr>
        <w:t xml:space="preserve"> de </w:t>
      </w:r>
      <w:r w:rsidRPr="00BD1319">
        <w:rPr>
          <w:rFonts w:cs="Arial"/>
          <w:spacing w:val="-3"/>
        </w:rPr>
        <w:t xml:space="preserve">conocer las </w:t>
      </w:r>
      <w:r w:rsidRPr="00BD1319">
        <w:rPr>
          <w:spacing w:val="-3"/>
        </w:rPr>
        <w:t xml:space="preserve">condiciones </w:t>
      </w:r>
      <w:r w:rsidRPr="00BD1319">
        <w:rPr>
          <w:rFonts w:cs="Arial"/>
          <w:spacing w:val="-3"/>
        </w:rPr>
        <w:t>socioeconómicas y culturales actuales de la población del área de influencia y su relación con los componentes del medio,</w:t>
      </w:r>
      <w:r w:rsidRPr="00BD1319">
        <w:rPr>
          <w:spacing w:val="-3"/>
        </w:rPr>
        <w:t xml:space="preserve"> para </w:t>
      </w:r>
      <w:r w:rsidRPr="00BD1319">
        <w:rPr>
          <w:rFonts w:cs="Arial"/>
          <w:spacing w:val="-3"/>
        </w:rPr>
        <w:t>determinar l</w:t>
      </w:r>
      <w:r w:rsidR="00F75991" w:rsidRPr="00BD1319">
        <w:rPr>
          <w:rFonts w:cs="Arial"/>
          <w:spacing w:val="-3"/>
        </w:rPr>
        <w:t>o</w:t>
      </w:r>
      <w:r w:rsidRPr="00BD1319">
        <w:rPr>
          <w:rFonts w:cs="Arial"/>
          <w:spacing w:val="-3"/>
        </w:rPr>
        <w:t>s posibles impactos que pueden generar las actividades del proyecto, obra o actividad en cada una de sus fases</w:t>
      </w:r>
      <w:r w:rsidRPr="00BD1319">
        <w:rPr>
          <w:spacing w:val="-3"/>
        </w:rPr>
        <w:t>.</w:t>
      </w:r>
    </w:p>
    <w:p w14:paraId="3FC2B8AB" w14:textId="77777777" w:rsidR="00482A5F" w:rsidRPr="00BD1319" w:rsidRDefault="00482A5F">
      <w:pPr>
        <w:numPr>
          <w:ilvl w:val="12"/>
          <w:numId w:val="0"/>
        </w:numPr>
        <w:tabs>
          <w:tab w:val="left" w:pos="-2268"/>
        </w:tabs>
        <w:suppressAutoHyphens/>
        <w:rPr>
          <w:spacing w:val="-3"/>
        </w:rPr>
      </w:pPr>
    </w:p>
    <w:p w14:paraId="2C3360F3" w14:textId="0A027D29" w:rsidR="00482A5F" w:rsidRPr="00BD1319" w:rsidRDefault="00F75991">
      <w:pPr>
        <w:numPr>
          <w:ilvl w:val="12"/>
          <w:numId w:val="0"/>
        </w:numPr>
        <w:tabs>
          <w:tab w:val="left" w:pos="-2268"/>
        </w:tabs>
        <w:suppressAutoHyphens/>
        <w:rPr>
          <w:spacing w:val="-3"/>
        </w:rPr>
      </w:pPr>
      <w:r w:rsidRPr="00BD1319">
        <w:rPr>
          <w:spacing w:val="-3"/>
        </w:rPr>
        <w:t>La</w:t>
      </w:r>
      <w:r w:rsidR="00482A5F" w:rsidRPr="00BD1319">
        <w:rPr>
          <w:spacing w:val="-3"/>
        </w:rPr>
        <w:t xml:space="preserve"> caracterización socioeconómica de las </w:t>
      </w:r>
      <w:r w:rsidR="006D75A2" w:rsidRPr="00BD1319">
        <w:rPr>
          <w:spacing w:val="-3"/>
        </w:rPr>
        <w:t>unidades de análisis territorial</w:t>
      </w:r>
      <w:r w:rsidR="00482A5F" w:rsidRPr="00BD1319">
        <w:rPr>
          <w:spacing w:val="-3"/>
        </w:rPr>
        <w:t xml:space="preserve"> </w:t>
      </w:r>
      <w:r w:rsidR="00482A5F" w:rsidRPr="00BD1319">
        <w:rPr>
          <w:rFonts w:cs="Arial"/>
          <w:spacing w:val="-3"/>
        </w:rPr>
        <w:t xml:space="preserve">del área de influencia (resguardos indígenas, territorios colectivos, </w:t>
      </w:r>
      <w:r w:rsidR="005A477A" w:rsidRPr="00BD1319">
        <w:rPr>
          <w:rFonts w:cs="Arial"/>
          <w:spacing w:val="-3"/>
        </w:rPr>
        <w:t xml:space="preserve">zonas de reserva campesina, </w:t>
      </w:r>
      <w:r w:rsidR="00482A5F" w:rsidRPr="00BD1319">
        <w:rPr>
          <w:rFonts w:cs="Arial"/>
          <w:spacing w:val="-3"/>
        </w:rPr>
        <w:t>barrios</w:t>
      </w:r>
      <w:r w:rsidR="00482A5F" w:rsidRPr="00BD1319">
        <w:rPr>
          <w:spacing w:val="-3"/>
        </w:rPr>
        <w:t>, veredas</w:t>
      </w:r>
      <w:r w:rsidR="00482A5F" w:rsidRPr="00BD1319">
        <w:rPr>
          <w:rFonts w:cs="Arial"/>
          <w:spacing w:val="-3"/>
        </w:rPr>
        <w:t xml:space="preserve"> o sectores</w:t>
      </w:r>
      <w:r w:rsidR="00482A5F" w:rsidRPr="00BD1319">
        <w:rPr>
          <w:spacing w:val="-3"/>
        </w:rPr>
        <w:t xml:space="preserve"> de vereda</w:t>
      </w:r>
      <w:r w:rsidR="00482A5F" w:rsidRPr="00BD1319">
        <w:rPr>
          <w:rFonts w:cs="Arial"/>
          <w:spacing w:val="-3"/>
        </w:rPr>
        <w:t xml:space="preserve">s, corregimientos </w:t>
      </w:r>
      <w:r w:rsidR="00F105CE" w:rsidRPr="00BD1319">
        <w:rPr>
          <w:rFonts w:cs="Arial"/>
          <w:spacing w:val="-3"/>
        </w:rPr>
        <w:t xml:space="preserve">municipales </w:t>
      </w:r>
      <w:r w:rsidR="00482A5F" w:rsidRPr="00BD1319">
        <w:rPr>
          <w:rFonts w:cs="Arial"/>
          <w:spacing w:val="-3"/>
        </w:rPr>
        <w:t>o municipios</w:t>
      </w:r>
      <w:r w:rsidR="00482A5F" w:rsidRPr="00BD1319">
        <w:rPr>
          <w:spacing w:val="-3"/>
        </w:rPr>
        <w:t xml:space="preserve">, u otras unidades reconocidas administrativa </w:t>
      </w:r>
      <w:r w:rsidR="00482A5F" w:rsidRPr="00BD1319">
        <w:rPr>
          <w:rFonts w:cs="Arial"/>
          <w:spacing w:val="-3"/>
        </w:rPr>
        <w:t>y socialmente</w:t>
      </w:r>
      <w:r w:rsidR="00482A5F" w:rsidRPr="00BD1319">
        <w:rPr>
          <w:spacing w:val="-3"/>
        </w:rPr>
        <w:t xml:space="preserve">), debe </w:t>
      </w:r>
      <w:r w:rsidRPr="00BD1319">
        <w:rPr>
          <w:spacing w:val="-3"/>
        </w:rPr>
        <w:t xml:space="preserve">efectuarse </w:t>
      </w:r>
      <w:r w:rsidR="00482A5F" w:rsidRPr="00BD1319">
        <w:rPr>
          <w:spacing w:val="-3"/>
        </w:rPr>
        <w:t xml:space="preserve">primordialmente </w:t>
      </w:r>
      <w:r w:rsidRPr="00BD1319">
        <w:rPr>
          <w:spacing w:val="-3"/>
        </w:rPr>
        <w:t xml:space="preserve">mediante el levantamiento de </w:t>
      </w:r>
      <w:r w:rsidR="00482A5F" w:rsidRPr="00BD1319">
        <w:rPr>
          <w:spacing w:val="-3"/>
        </w:rPr>
        <w:t>información primaria</w:t>
      </w:r>
      <w:r w:rsidR="00482A5F" w:rsidRPr="00BD1319">
        <w:rPr>
          <w:rFonts w:cs="Arial"/>
          <w:spacing w:val="-3"/>
        </w:rPr>
        <w:t>,</w:t>
      </w:r>
      <w:r w:rsidRPr="00BD1319">
        <w:rPr>
          <w:rFonts w:cs="Arial"/>
          <w:spacing w:val="-3"/>
        </w:rPr>
        <w:t xml:space="preserve"> y</w:t>
      </w:r>
      <w:r w:rsidR="00482A5F" w:rsidRPr="00BD1319">
        <w:rPr>
          <w:rFonts w:cs="Arial"/>
          <w:spacing w:val="-3"/>
        </w:rPr>
        <w:t xml:space="preserve"> analizando</w:t>
      </w:r>
      <w:r w:rsidR="00482A5F" w:rsidRPr="00BD1319">
        <w:rPr>
          <w:spacing w:val="-3"/>
        </w:rPr>
        <w:t xml:space="preserve"> su </w:t>
      </w:r>
      <w:r w:rsidR="00482A5F" w:rsidRPr="00BD1319">
        <w:rPr>
          <w:rFonts w:cs="Arial"/>
          <w:spacing w:val="-3"/>
        </w:rPr>
        <w:t>relación</w:t>
      </w:r>
      <w:r w:rsidR="00482A5F" w:rsidRPr="00BD1319">
        <w:rPr>
          <w:spacing w:val="-3"/>
        </w:rPr>
        <w:t xml:space="preserve"> con el </w:t>
      </w:r>
      <w:r w:rsidR="00482A5F" w:rsidRPr="00BD1319">
        <w:rPr>
          <w:rFonts w:cs="Arial"/>
          <w:spacing w:val="-3"/>
        </w:rPr>
        <w:t xml:space="preserve">proyecto, de manera que sirva para dimensionar los impactos que éste pueda ocasionar en las dinámicas sociales, económicas y culturales. Se </w:t>
      </w:r>
      <w:r w:rsidR="00103345" w:rsidRPr="00BD1319">
        <w:rPr>
          <w:rFonts w:cs="Arial"/>
          <w:spacing w:val="-3"/>
        </w:rPr>
        <w:t>debe</w:t>
      </w:r>
      <w:r w:rsidR="00482A5F" w:rsidRPr="00BD1319">
        <w:rPr>
          <w:rFonts w:cs="Arial"/>
          <w:spacing w:val="-3"/>
        </w:rPr>
        <w:t xml:space="preserve"> describir la </w:t>
      </w:r>
      <w:r w:rsidR="00482A5F" w:rsidRPr="00BD1319">
        <w:rPr>
          <w:spacing w:val="-3"/>
        </w:rPr>
        <w:t>metodología</w:t>
      </w:r>
      <w:r w:rsidR="00482A5F" w:rsidRPr="00BD1319">
        <w:rPr>
          <w:rFonts w:cs="Arial"/>
          <w:spacing w:val="-3"/>
        </w:rPr>
        <w:t>, herramientas y técnicas</w:t>
      </w:r>
      <w:r w:rsidRPr="00BD1319">
        <w:rPr>
          <w:rFonts w:cs="Arial"/>
          <w:spacing w:val="-3"/>
        </w:rPr>
        <w:t xml:space="preserve"> empleadas en su consecución</w:t>
      </w:r>
      <w:r w:rsidR="00C717A3" w:rsidRPr="00BD1319">
        <w:rPr>
          <w:rFonts w:cs="Arial"/>
          <w:spacing w:val="-3"/>
        </w:rPr>
        <w:t>.</w:t>
      </w:r>
    </w:p>
    <w:p w14:paraId="4A1B022C" w14:textId="77777777" w:rsidR="00482A5F" w:rsidRPr="00BD1319" w:rsidRDefault="00482A5F">
      <w:pPr>
        <w:numPr>
          <w:ilvl w:val="12"/>
          <w:numId w:val="0"/>
        </w:numPr>
        <w:tabs>
          <w:tab w:val="left" w:pos="-2268"/>
        </w:tabs>
        <w:suppressAutoHyphens/>
        <w:rPr>
          <w:spacing w:val="-3"/>
        </w:rPr>
      </w:pPr>
    </w:p>
    <w:p w14:paraId="092F3F29" w14:textId="5CA1CE03" w:rsidR="00482A5F" w:rsidRPr="00BD1319" w:rsidRDefault="00482A5F">
      <w:pPr>
        <w:numPr>
          <w:ilvl w:val="12"/>
          <w:numId w:val="0"/>
        </w:numPr>
        <w:tabs>
          <w:tab w:val="left" w:pos="-2268"/>
        </w:tabs>
        <w:suppressAutoHyphens/>
        <w:rPr>
          <w:spacing w:val="-3"/>
        </w:rPr>
      </w:pPr>
      <w:r w:rsidRPr="00BD1319">
        <w:rPr>
          <w:spacing w:val="-3"/>
        </w:rPr>
        <w:t xml:space="preserve">Las fuentes de información secundaria a emplear deben estar debidamente acreditadas, proceder de instituciones gubernamentales </w:t>
      </w:r>
      <w:r w:rsidR="00F75991" w:rsidRPr="00BD1319">
        <w:rPr>
          <w:spacing w:val="-3"/>
        </w:rPr>
        <w:t>o</w:t>
      </w:r>
      <w:r w:rsidRPr="00BD1319">
        <w:rPr>
          <w:spacing w:val="-3"/>
        </w:rPr>
        <w:t xml:space="preserve"> de otras instituciones de reconocida idoneidad, al igual que de información </w:t>
      </w:r>
      <w:r w:rsidRPr="00BD1319">
        <w:rPr>
          <w:rFonts w:cs="Arial"/>
          <w:spacing w:val="-3"/>
        </w:rPr>
        <w:t xml:space="preserve">vigente </w:t>
      </w:r>
      <w:r w:rsidRPr="00BD1319">
        <w:rPr>
          <w:spacing w:val="-3"/>
        </w:rPr>
        <w:t>consignada en estudios regionales y locales recientes</w:t>
      </w:r>
      <w:r w:rsidRPr="00BD1319" w:rsidDel="00E21473">
        <w:rPr>
          <w:rFonts w:cs="Arial"/>
          <w:spacing w:val="-3"/>
        </w:rPr>
        <w:t xml:space="preserve"> </w:t>
      </w:r>
      <w:r w:rsidRPr="00BD1319">
        <w:rPr>
          <w:rFonts w:cs="Arial"/>
          <w:spacing w:val="-3"/>
        </w:rPr>
        <w:t>(o que se trate de la última información oficial publicada);</w:t>
      </w:r>
      <w:r w:rsidRPr="00BD1319" w:rsidDel="00E0405F">
        <w:rPr>
          <w:spacing w:val="-3"/>
        </w:rPr>
        <w:t xml:space="preserve"> </w:t>
      </w:r>
      <w:r w:rsidR="00F75991" w:rsidRPr="00BD1319">
        <w:rPr>
          <w:spacing w:val="-3"/>
        </w:rPr>
        <w:t>l</w:t>
      </w:r>
      <w:r w:rsidRPr="00BD1319">
        <w:rPr>
          <w:spacing w:val="-3"/>
        </w:rPr>
        <w:t>a información secundaria existente puede emplearse en la medida en que sus datos revistan confiabilidad y pertinencia, y sus fuentes sean plenamente identificadas</w:t>
      </w:r>
      <w:r w:rsidR="00EE7571" w:rsidRPr="00BD1319">
        <w:rPr>
          <w:spacing w:val="-3"/>
        </w:rPr>
        <w:t>.</w:t>
      </w:r>
      <w:r w:rsidR="00905A1C" w:rsidRPr="00BD1319">
        <w:rPr>
          <w:spacing w:val="-3"/>
        </w:rPr>
        <w:t xml:space="preserve"> </w:t>
      </w:r>
      <w:r w:rsidR="00EE7571" w:rsidRPr="00BD1319">
        <w:rPr>
          <w:spacing w:val="-3"/>
        </w:rPr>
        <w:t xml:space="preserve">Toda la información secundaria que se utilice </w:t>
      </w:r>
      <w:r w:rsidR="00905A1C" w:rsidRPr="00BD1319">
        <w:rPr>
          <w:spacing w:val="-3"/>
        </w:rPr>
        <w:t xml:space="preserve">debe ser </w:t>
      </w:r>
      <w:r w:rsidRPr="00BD1319">
        <w:rPr>
          <w:spacing w:val="-3"/>
        </w:rPr>
        <w:t>citada</w:t>
      </w:r>
      <w:r w:rsidR="00905A1C" w:rsidRPr="00BD1319">
        <w:rPr>
          <w:spacing w:val="-3"/>
        </w:rPr>
        <w:t xml:space="preserve"> apropiadamente en el estudio ambiental</w:t>
      </w:r>
      <w:r w:rsidRPr="00BD1319">
        <w:rPr>
          <w:spacing w:val="-3"/>
        </w:rPr>
        <w:t>.</w:t>
      </w:r>
    </w:p>
    <w:p w14:paraId="7496ADF5" w14:textId="77777777" w:rsidR="00482A5F" w:rsidRPr="00BD1319" w:rsidRDefault="00482A5F">
      <w:pPr>
        <w:numPr>
          <w:ilvl w:val="12"/>
          <w:numId w:val="0"/>
        </w:numPr>
        <w:tabs>
          <w:tab w:val="left" w:pos="-2268"/>
        </w:tabs>
        <w:suppressAutoHyphens/>
        <w:rPr>
          <w:spacing w:val="-3"/>
        </w:rPr>
      </w:pPr>
    </w:p>
    <w:p w14:paraId="539C7455" w14:textId="5335EDFD" w:rsidR="00482A5F" w:rsidRPr="00BD1319" w:rsidRDefault="00905A1C" w:rsidP="00482A5F">
      <w:pPr>
        <w:numPr>
          <w:ilvl w:val="12"/>
          <w:numId w:val="0"/>
        </w:numPr>
        <w:tabs>
          <w:tab w:val="left" w:pos="-2268"/>
        </w:tabs>
        <w:suppressAutoHyphens/>
        <w:rPr>
          <w:rFonts w:cs="Arial"/>
          <w:spacing w:val="-3"/>
        </w:rPr>
      </w:pPr>
      <w:r w:rsidRPr="00BD1319">
        <w:rPr>
          <w:rFonts w:cs="Arial"/>
          <w:spacing w:val="-3"/>
        </w:rPr>
        <w:t xml:space="preserve">Es una buena práctica emplear información oficial, entre ella la generada por el Departamento </w:t>
      </w:r>
      <w:r w:rsidR="00535B45" w:rsidRPr="00BD1319">
        <w:rPr>
          <w:rFonts w:cs="Arial"/>
          <w:spacing w:val="-3"/>
        </w:rPr>
        <w:t xml:space="preserve">Administrativo </w:t>
      </w:r>
      <w:r w:rsidRPr="00BD1319">
        <w:rPr>
          <w:rFonts w:cs="Arial"/>
          <w:spacing w:val="-3"/>
        </w:rPr>
        <w:t xml:space="preserve">Nacional de Estadística (DANE) (por ejemplo la referida a demografía, </w:t>
      </w:r>
      <w:r w:rsidR="005A477A" w:rsidRPr="00BD1319">
        <w:rPr>
          <w:rFonts w:cs="Arial"/>
          <w:spacing w:val="-3"/>
        </w:rPr>
        <w:t xml:space="preserve">mercado laboral, </w:t>
      </w:r>
      <w:r w:rsidRPr="00BD1319">
        <w:rPr>
          <w:rFonts w:cs="Arial"/>
          <w:spacing w:val="-3"/>
        </w:rPr>
        <w:t xml:space="preserve">actividades económicas y división político administrativa), la Unidad de Planeación Rural Agropecuaria (UPRA), el Sistema de Identificación de Potenciales Beneficiarios de Programas Sociales (Sisbén), el Instituto Geográfico Agustín Codazzi (IGAC), el Ministerio de Cultura, la Agencia para la </w:t>
      </w:r>
      <w:r w:rsidRPr="00BD1319">
        <w:rPr>
          <w:rFonts w:cs="Arial"/>
          <w:spacing w:val="-3"/>
        </w:rPr>
        <w:lastRenderedPageBreak/>
        <w:t>Reincorporación y Normalización (ARN), así como la contenida en los planes de ordenamiento territorial, los planes de ordenación y manejo de cuencas hidrográficas, los planes de desarrollo departamental, y los planes de desarrollo municipal</w:t>
      </w:r>
      <w:r w:rsidR="00482A5F" w:rsidRPr="00BD1319">
        <w:rPr>
          <w:rFonts w:cs="Arial"/>
          <w:spacing w:val="-3"/>
        </w:rPr>
        <w:t>.</w:t>
      </w:r>
    </w:p>
    <w:p w14:paraId="3427C31C" w14:textId="77777777" w:rsidR="00482A5F" w:rsidRPr="00BD1319" w:rsidRDefault="00482A5F" w:rsidP="00482A5F">
      <w:pPr>
        <w:numPr>
          <w:ilvl w:val="12"/>
          <w:numId w:val="0"/>
        </w:numPr>
        <w:tabs>
          <w:tab w:val="left" w:pos="-2268"/>
        </w:tabs>
        <w:suppressAutoHyphens/>
        <w:rPr>
          <w:rFonts w:cs="Arial"/>
          <w:spacing w:val="-3"/>
        </w:rPr>
      </w:pPr>
    </w:p>
    <w:p w14:paraId="7474E807" w14:textId="1CA42B36" w:rsidR="00482A5F" w:rsidRPr="00BD1319" w:rsidRDefault="00482A5F" w:rsidP="00216955">
      <w:pPr>
        <w:pStyle w:val="Ttulo3"/>
      </w:pPr>
      <w:bookmarkStart w:id="2928" w:name="_Toc42764355"/>
      <w:bookmarkStart w:id="2929" w:name="_Toc175326774"/>
      <w:r w:rsidRPr="00BD1319">
        <w:t xml:space="preserve">Información de </w:t>
      </w:r>
      <w:r w:rsidR="00764B93" w:rsidRPr="00BD1319">
        <w:t>c</w:t>
      </w:r>
      <w:r w:rsidRPr="00BD1319">
        <w:t>ontexto</w:t>
      </w:r>
      <w:bookmarkEnd w:id="2928"/>
      <w:bookmarkEnd w:id="2929"/>
    </w:p>
    <w:p w14:paraId="43F65319" w14:textId="77777777" w:rsidR="00482A5F" w:rsidRPr="00BD1319" w:rsidRDefault="00482A5F" w:rsidP="00482A5F">
      <w:pPr>
        <w:numPr>
          <w:ilvl w:val="12"/>
          <w:numId w:val="0"/>
        </w:numPr>
        <w:tabs>
          <w:tab w:val="left" w:pos="-2268"/>
        </w:tabs>
        <w:suppressAutoHyphens/>
        <w:rPr>
          <w:rFonts w:cs="Arial"/>
          <w:spacing w:val="-3"/>
        </w:rPr>
      </w:pPr>
    </w:p>
    <w:p w14:paraId="5BDEB7FA" w14:textId="6E24839D" w:rsidR="00482A5F" w:rsidRPr="00BD1319" w:rsidRDefault="00482A5F" w:rsidP="00482A5F">
      <w:pPr>
        <w:numPr>
          <w:ilvl w:val="12"/>
          <w:numId w:val="0"/>
        </w:numPr>
        <w:tabs>
          <w:tab w:val="left" w:pos="-2268"/>
        </w:tabs>
        <w:suppressAutoHyphens/>
        <w:rPr>
          <w:rFonts w:cs="Arial"/>
          <w:spacing w:val="-3"/>
        </w:rPr>
      </w:pPr>
      <w:r w:rsidRPr="00BD1319">
        <w:rPr>
          <w:rFonts w:cs="Arial"/>
          <w:spacing w:val="-3"/>
        </w:rPr>
        <w:t>A fin de contextualiza</w:t>
      </w:r>
      <w:r w:rsidR="0007617B" w:rsidRPr="00BD1319">
        <w:rPr>
          <w:rFonts w:cs="Arial"/>
          <w:spacing w:val="-3"/>
        </w:rPr>
        <w:t>r</w:t>
      </w:r>
      <w:r w:rsidRPr="00BD1319">
        <w:rPr>
          <w:rFonts w:cs="Arial"/>
          <w:spacing w:val="-3"/>
        </w:rPr>
        <w:t xml:space="preserve"> el </w:t>
      </w:r>
      <w:r w:rsidR="00905A1C" w:rsidRPr="00BD1319">
        <w:rPr>
          <w:rFonts w:cs="Arial"/>
          <w:spacing w:val="-3"/>
        </w:rPr>
        <w:t>estudio ambiental</w:t>
      </w:r>
      <w:r w:rsidR="0007617B" w:rsidRPr="00BD1319">
        <w:rPr>
          <w:rFonts w:cs="Arial"/>
          <w:spacing w:val="-3"/>
        </w:rPr>
        <w:t xml:space="preserve"> se</w:t>
      </w:r>
      <w:r w:rsidR="00905A1C" w:rsidRPr="00BD1319">
        <w:rPr>
          <w:rFonts w:cs="Arial"/>
          <w:spacing w:val="-3"/>
        </w:rPr>
        <w:t xml:space="preserve"> debe </w:t>
      </w:r>
      <w:r w:rsidR="00550C76" w:rsidRPr="00BD1319">
        <w:rPr>
          <w:rFonts w:cs="Arial"/>
          <w:spacing w:val="-3"/>
        </w:rPr>
        <w:t xml:space="preserve">incluir </w:t>
      </w:r>
      <w:r w:rsidRPr="00BD1319">
        <w:rPr>
          <w:rFonts w:cs="Arial"/>
          <w:spacing w:val="-3"/>
        </w:rPr>
        <w:t xml:space="preserve">información de alcance general </w:t>
      </w:r>
      <w:r w:rsidR="00905A1C" w:rsidRPr="00BD1319">
        <w:rPr>
          <w:rFonts w:cs="Arial"/>
          <w:spacing w:val="-3"/>
        </w:rPr>
        <w:t xml:space="preserve">del ámbito </w:t>
      </w:r>
      <w:r w:rsidRPr="00BD1319">
        <w:rPr>
          <w:rFonts w:cs="Arial"/>
          <w:spacing w:val="-3"/>
        </w:rPr>
        <w:t>regional o municipal</w:t>
      </w:r>
      <w:r w:rsidR="0007617B" w:rsidRPr="00BD1319">
        <w:rPr>
          <w:rFonts w:cs="Arial"/>
          <w:spacing w:val="-3"/>
        </w:rPr>
        <w:t xml:space="preserve">, de ser posible que haya sido obtenida mediante un enfoque diferencial que </w:t>
      </w:r>
      <w:r w:rsidR="00DF16EC" w:rsidRPr="00BD1319">
        <w:rPr>
          <w:rFonts w:cs="Arial"/>
          <w:spacing w:val="-3"/>
        </w:rPr>
        <w:t xml:space="preserve">considere y </w:t>
      </w:r>
      <w:r w:rsidR="0007617B" w:rsidRPr="00BD1319">
        <w:rPr>
          <w:rFonts w:cs="Arial"/>
          <w:spacing w:val="-3"/>
        </w:rPr>
        <w:t>discrimine las características de diversos grupos (p. ej. mujeres, jóvenes, comunidades indígenas, comunidades negras</w:t>
      </w:r>
      <w:r w:rsidR="00655EFE" w:rsidRPr="00BD1319">
        <w:rPr>
          <w:rFonts w:cs="Arial"/>
          <w:spacing w:val="-3"/>
        </w:rPr>
        <w:t>) y entornos (p. ej. brecha urbano – rural)</w:t>
      </w:r>
      <w:r w:rsidR="0007617B" w:rsidRPr="00BD1319">
        <w:rPr>
          <w:rFonts w:cs="Arial"/>
          <w:spacing w:val="-3"/>
        </w:rPr>
        <w:t>,</w:t>
      </w:r>
      <w:r w:rsidRPr="00BD1319">
        <w:rPr>
          <w:rFonts w:cs="Arial"/>
          <w:spacing w:val="-3"/>
        </w:rPr>
        <w:t xml:space="preserve"> </w:t>
      </w:r>
      <w:r w:rsidR="00DF16EC" w:rsidRPr="00BD1319">
        <w:rPr>
          <w:rFonts w:cs="Arial"/>
          <w:spacing w:val="-3"/>
        </w:rPr>
        <w:t xml:space="preserve">con el fin de </w:t>
      </w:r>
      <w:r w:rsidRPr="00BD1319">
        <w:rPr>
          <w:rFonts w:cs="Arial"/>
          <w:spacing w:val="-3"/>
        </w:rPr>
        <w:t>contrastar</w:t>
      </w:r>
      <w:r w:rsidR="00DF16EC" w:rsidRPr="00BD1319">
        <w:rPr>
          <w:rFonts w:cs="Arial"/>
          <w:spacing w:val="-3"/>
        </w:rPr>
        <w:t>la</w:t>
      </w:r>
      <w:r w:rsidRPr="00BD1319">
        <w:rPr>
          <w:rFonts w:cs="Arial"/>
          <w:spacing w:val="-3"/>
        </w:rPr>
        <w:t xml:space="preserve"> </w:t>
      </w:r>
      <w:r w:rsidR="00DF16EC" w:rsidRPr="00BD1319">
        <w:rPr>
          <w:rFonts w:cs="Arial"/>
          <w:spacing w:val="-3"/>
        </w:rPr>
        <w:t xml:space="preserve">con </w:t>
      </w:r>
      <w:r w:rsidRPr="00BD1319">
        <w:rPr>
          <w:rFonts w:cs="Arial"/>
          <w:spacing w:val="-3"/>
        </w:rPr>
        <w:t xml:space="preserve">la información de caracterización </w:t>
      </w:r>
      <w:r w:rsidR="00905A1C" w:rsidRPr="00BD1319">
        <w:rPr>
          <w:rFonts w:cs="Arial"/>
          <w:spacing w:val="-3"/>
        </w:rPr>
        <w:t xml:space="preserve">de </w:t>
      </w:r>
      <w:r w:rsidRPr="00BD1319">
        <w:rPr>
          <w:rFonts w:cs="Arial"/>
          <w:spacing w:val="-3"/>
        </w:rPr>
        <w:t xml:space="preserve">cada uno de los componentes del área de influencia del medio socioeconómico. </w:t>
      </w:r>
      <w:r w:rsidR="00905A1C" w:rsidRPr="00BD1319">
        <w:rPr>
          <w:rFonts w:cs="Arial"/>
          <w:spacing w:val="-3"/>
        </w:rPr>
        <w:t xml:space="preserve">Esta </w:t>
      </w:r>
      <w:r w:rsidRPr="00BD1319">
        <w:rPr>
          <w:rFonts w:cs="Arial"/>
          <w:spacing w:val="-3"/>
        </w:rPr>
        <w:t>información puede ser obtenida a partir de fuentes de información secundaria.</w:t>
      </w:r>
    </w:p>
    <w:p w14:paraId="0A44E01E" w14:textId="77777777" w:rsidR="00482A5F" w:rsidRPr="00BD1319" w:rsidRDefault="00482A5F" w:rsidP="00482A5F">
      <w:pPr>
        <w:numPr>
          <w:ilvl w:val="12"/>
          <w:numId w:val="0"/>
        </w:numPr>
        <w:tabs>
          <w:tab w:val="left" w:pos="-2268"/>
        </w:tabs>
        <w:suppressAutoHyphens/>
        <w:rPr>
          <w:rFonts w:cs="Arial"/>
          <w:spacing w:val="-3"/>
        </w:rPr>
      </w:pPr>
    </w:p>
    <w:p w14:paraId="0F56A0C4" w14:textId="7D7577B5" w:rsidR="00482A5F" w:rsidRPr="00BD1319" w:rsidRDefault="00482A5F" w:rsidP="00482A5F">
      <w:pPr>
        <w:numPr>
          <w:ilvl w:val="12"/>
          <w:numId w:val="0"/>
        </w:numPr>
        <w:tabs>
          <w:tab w:val="left" w:pos="-2268"/>
        </w:tabs>
        <w:suppressAutoHyphens/>
        <w:rPr>
          <w:rFonts w:cs="Arial"/>
          <w:spacing w:val="-3"/>
        </w:rPr>
      </w:pPr>
      <w:r w:rsidRPr="00BD1319">
        <w:rPr>
          <w:rFonts w:cs="Arial"/>
          <w:spacing w:val="-3"/>
        </w:rPr>
        <w:t xml:space="preserve">A </w:t>
      </w:r>
      <w:r w:rsidR="009C549B" w:rsidRPr="00BD1319">
        <w:rPr>
          <w:rFonts w:cs="Arial"/>
          <w:spacing w:val="-3"/>
        </w:rPr>
        <w:t>continuación,</w:t>
      </w:r>
      <w:r w:rsidRPr="00BD1319">
        <w:rPr>
          <w:rFonts w:cs="Arial"/>
          <w:spacing w:val="-3"/>
        </w:rPr>
        <w:t xml:space="preserve"> se referencia la información que debe servir para </w:t>
      </w:r>
      <w:r w:rsidR="00905A1C" w:rsidRPr="00BD1319">
        <w:rPr>
          <w:rFonts w:cs="Arial"/>
          <w:spacing w:val="-3"/>
        </w:rPr>
        <w:t xml:space="preserve">el desarrollo de este contexto </w:t>
      </w:r>
      <w:r w:rsidRPr="00BD1319">
        <w:rPr>
          <w:rFonts w:cs="Arial"/>
          <w:spacing w:val="-3"/>
        </w:rPr>
        <w:t>de acuerdo con los componentes del medio socioeconómico:</w:t>
      </w:r>
    </w:p>
    <w:p w14:paraId="096225B8" w14:textId="77777777" w:rsidR="00482A5F" w:rsidRPr="00BD1319" w:rsidRDefault="00482A5F" w:rsidP="00482A5F">
      <w:pPr>
        <w:numPr>
          <w:ilvl w:val="12"/>
          <w:numId w:val="0"/>
        </w:numPr>
        <w:tabs>
          <w:tab w:val="left" w:pos="-2268"/>
        </w:tabs>
        <w:suppressAutoHyphens/>
        <w:rPr>
          <w:rFonts w:cs="Arial"/>
          <w:spacing w:val="-3"/>
        </w:rPr>
      </w:pPr>
    </w:p>
    <w:p w14:paraId="154DC542" w14:textId="77777777" w:rsidR="00482A5F" w:rsidRPr="00BD1319" w:rsidRDefault="00482A5F" w:rsidP="009420F5">
      <w:pPr>
        <w:pStyle w:val="Ttulo4"/>
        <w:tabs>
          <w:tab w:val="clear" w:pos="1844"/>
          <w:tab w:val="num" w:pos="1134"/>
        </w:tabs>
        <w:ind w:left="0"/>
        <w:rPr>
          <w:lang w:val="es-CO"/>
        </w:rPr>
      </w:pPr>
      <w:r w:rsidRPr="00BD1319">
        <w:rPr>
          <w:lang w:val="es-CO"/>
        </w:rPr>
        <w:t>Demográfico</w:t>
      </w:r>
    </w:p>
    <w:p w14:paraId="63953E68" w14:textId="77777777" w:rsidR="00482A5F" w:rsidRPr="00BD1319" w:rsidRDefault="00482A5F" w:rsidP="00482A5F">
      <w:pPr>
        <w:numPr>
          <w:ilvl w:val="12"/>
          <w:numId w:val="0"/>
        </w:numPr>
        <w:tabs>
          <w:tab w:val="left" w:pos="-2268"/>
        </w:tabs>
        <w:suppressAutoHyphens/>
        <w:rPr>
          <w:rFonts w:cs="Arial"/>
          <w:spacing w:val="-3"/>
        </w:rPr>
      </w:pPr>
    </w:p>
    <w:p w14:paraId="6F87F5EB" w14:textId="33178C07" w:rsidR="00482A5F" w:rsidRPr="00BD1319" w:rsidRDefault="00482A5F" w:rsidP="00482A5F">
      <w:pPr>
        <w:suppressAutoHyphens/>
        <w:rPr>
          <w:rFonts w:cs="Arial"/>
          <w:spacing w:val="-3"/>
        </w:rPr>
      </w:pPr>
      <w:r w:rsidRPr="00BD1319">
        <w:rPr>
          <w:rFonts w:cs="Arial"/>
          <w:spacing w:val="-3"/>
        </w:rPr>
        <w:t xml:space="preserve">Presentar para el </w:t>
      </w:r>
      <w:r w:rsidR="00DB03D9" w:rsidRPr="00BD1319">
        <w:rPr>
          <w:rFonts w:cs="Arial"/>
          <w:spacing w:val="-3"/>
        </w:rPr>
        <w:t xml:space="preserve">ámbito </w:t>
      </w:r>
      <w:r w:rsidRPr="00BD1319">
        <w:rPr>
          <w:rFonts w:cs="Arial"/>
          <w:spacing w:val="-3"/>
        </w:rPr>
        <w:t xml:space="preserve">regional o municipal información que permita </w:t>
      </w:r>
      <w:r w:rsidR="00696B84" w:rsidRPr="00BD1319">
        <w:rPr>
          <w:rFonts w:cs="Arial"/>
          <w:spacing w:val="-3"/>
        </w:rPr>
        <w:t xml:space="preserve">conocer </w:t>
      </w:r>
      <w:r w:rsidRPr="00BD1319">
        <w:rPr>
          <w:rFonts w:cs="Arial"/>
          <w:spacing w:val="-3"/>
        </w:rPr>
        <w:t xml:space="preserve">la dinámica de poblamiento, especialmente frente a los cambios históricos </w:t>
      </w:r>
      <w:r w:rsidR="0089125E" w:rsidRPr="00BD1319">
        <w:rPr>
          <w:rFonts w:cs="Arial"/>
          <w:spacing w:val="-3"/>
        </w:rPr>
        <w:t xml:space="preserve">e hitos </w:t>
      </w:r>
      <w:r w:rsidRPr="00BD1319">
        <w:rPr>
          <w:rFonts w:cs="Arial"/>
          <w:spacing w:val="-3"/>
        </w:rPr>
        <w:t xml:space="preserve">ocurridos en </w:t>
      </w:r>
      <w:r w:rsidR="00DB03D9" w:rsidRPr="00BD1319">
        <w:rPr>
          <w:rFonts w:cs="Arial"/>
          <w:spacing w:val="-3"/>
        </w:rPr>
        <w:t>la ocupación y la expansión de los asentamientos d</w:t>
      </w:r>
      <w:r w:rsidRPr="00BD1319">
        <w:rPr>
          <w:rFonts w:cs="Arial"/>
          <w:spacing w:val="-3"/>
        </w:rPr>
        <w:t xml:space="preserve">el territorio. </w:t>
      </w:r>
      <w:r w:rsidR="00CD7C30" w:rsidRPr="00BD1319">
        <w:rPr>
          <w:rFonts w:cs="Arial"/>
          <w:spacing w:val="-3"/>
        </w:rPr>
        <w:t>Asimismo</w:t>
      </w:r>
      <w:r w:rsidR="0015604B" w:rsidRPr="00BD1319">
        <w:rPr>
          <w:rFonts w:cs="Arial"/>
          <w:spacing w:val="-3"/>
        </w:rPr>
        <w:t>,</w:t>
      </w:r>
      <w:r w:rsidR="00CD7C30" w:rsidRPr="00BD1319">
        <w:rPr>
          <w:rFonts w:cs="Arial"/>
          <w:spacing w:val="-3"/>
        </w:rPr>
        <w:t xml:space="preserve"> se deben </w:t>
      </w:r>
      <w:r w:rsidR="00D528D8" w:rsidRPr="00BD1319">
        <w:rPr>
          <w:rFonts w:cs="Arial"/>
          <w:spacing w:val="-3"/>
        </w:rPr>
        <w:t xml:space="preserve">relacionar </w:t>
      </w:r>
      <w:r w:rsidR="00CD7C30" w:rsidRPr="00BD1319">
        <w:rPr>
          <w:rFonts w:cs="Arial"/>
          <w:spacing w:val="-3"/>
        </w:rPr>
        <w:t>l</w:t>
      </w:r>
      <w:r w:rsidRPr="00BD1319">
        <w:rPr>
          <w:rFonts w:cs="Arial"/>
          <w:spacing w:val="-3"/>
        </w:rPr>
        <w:t>os grupos poblacionales (indígenas, afrocolombianos, campesinos</w:t>
      </w:r>
      <w:r w:rsidR="00CD7C30" w:rsidRPr="00BD1319">
        <w:rPr>
          <w:rFonts w:cs="Arial"/>
          <w:spacing w:val="-3"/>
        </w:rPr>
        <w:t>,</w:t>
      </w:r>
      <w:r w:rsidRPr="00BD1319">
        <w:rPr>
          <w:rFonts w:cs="Arial"/>
          <w:spacing w:val="-3"/>
        </w:rPr>
        <w:t xml:space="preserve"> </w:t>
      </w:r>
      <w:r w:rsidR="00D528D8" w:rsidRPr="00BD1319" w:rsidDel="00C408D6">
        <w:rPr>
          <w:rFonts w:cs="Arial"/>
          <w:bCs/>
          <w:spacing w:val="-3"/>
        </w:rPr>
        <w:t>colonos,</w:t>
      </w:r>
      <w:r w:rsidR="00D528D8" w:rsidRPr="00BD1319">
        <w:rPr>
          <w:rFonts w:cs="Arial"/>
          <w:bCs/>
          <w:spacing w:val="-3"/>
        </w:rPr>
        <w:t xml:space="preserve"> </w:t>
      </w:r>
      <w:r w:rsidRPr="00BD1319">
        <w:rPr>
          <w:rFonts w:cs="Arial"/>
          <w:spacing w:val="-3"/>
        </w:rPr>
        <w:t>entre otros).</w:t>
      </w:r>
    </w:p>
    <w:p w14:paraId="4DF225EA" w14:textId="77777777" w:rsidR="00482A5F" w:rsidRPr="00BD1319" w:rsidRDefault="00482A5F" w:rsidP="00482A5F">
      <w:pPr>
        <w:suppressAutoHyphens/>
        <w:rPr>
          <w:rFonts w:cs="Arial"/>
          <w:spacing w:val="-3"/>
        </w:rPr>
      </w:pPr>
    </w:p>
    <w:p w14:paraId="5DA5716D" w14:textId="1C6902D4" w:rsidR="00482A5F" w:rsidRPr="00BD1319" w:rsidRDefault="00482A5F" w:rsidP="00482A5F">
      <w:pPr>
        <w:suppressAutoHyphens/>
        <w:rPr>
          <w:rFonts w:cs="Arial"/>
          <w:spacing w:val="-3"/>
        </w:rPr>
      </w:pPr>
      <w:r w:rsidRPr="00BD1319">
        <w:rPr>
          <w:rFonts w:cs="Arial"/>
          <w:spacing w:val="-3"/>
        </w:rPr>
        <w:t xml:space="preserve">Analizar la dinámica poblacional del territorio tanto en la conformación, </w:t>
      </w:r>
      <w:r w:rsidR="0089125E" w:rsidRPr="00BD1319">
        <w:rPr>
          <w:rFonts w:cs="Arial"/>
          <w:spacing w:val="-3"/>
        </w:rPr>
        <w:t xml:space="preserve">como en la </w:t>
      </w:r>
      <w:r w:rsidRPr="00BD1319">
        <w:rPr>
          <w:rFonts w:cs="Arial"/>
          <w:spacing w:val="-3"/>
        </w:rPr>
        <w:t>estructura y condiciones de vida de la población.</w:t>
      </w:r>
    </w:p>
    <w:p w14:paraId="0FA52BCC" w14:textId="77777777" w:rsidR="00953BF3" w:rsidRPr="00BD1319" w:rsidRDefault="00953BF3" w:rsidP="00482A5F">
      <w:pPr>
        <w:suppressAutoHyphens/>
        <w:rPr>
          <w:rFonts w:cs="Arial"/>
          <w:spacing w:val="-3"/>
        </w:rPr>
      </w:pPr>
    </w:p>
    <w:p w14:paraId="6FDEC93C" w14:textId="77777777" w:rsidR="00482A5F" w:rsidRPr="00BD1319" w:rsidDel="00C408D6" w:rsidRDefault="00482A5F" w:rsidP="00482A5F">
      <w:pPr>
        <w:tabs>
          <w:tab w:val="left" w:pos="-2268"/>
        </w:tabs>
        <w:suppressAutoHyphens/>
        <w:rPr>
          <w:rFonts w:cs="Arial"/>
          <w:spacing w:val="-3"/>
        </w:rPr>
      </w:pPr>
      <w:r w:rsidRPr="00BD1319">
        <w:rPr>
          <w:rFonts w:cs="Arial"/>
          <w:spacing w:val="-3"/>
        </w:rPr>
        <w:t>Describir las tendencias demográficas</w:t>
      </w:r>
      <w:r w:rsidRPr="00BD1319" w:rsidDel="00C408D6">
        <w:rPr>
          <w:rFonts w:cs="Arial"/>
          <w:spacing w:val="-3"/>
        </w:rPr>
        <w:t xml:space="preserve"> </w:t>
      </w:r>
      <w:r w:rsidRPr="00BD1319">
        <w:rPr>
          <w:rFonts w:cs="Arial"/>
          <w:spacing w:val="-3"/>
        </w:rPr>
        <w:t xml:space="preserve">a través de </w:t>
      </w:r>
      <w:r w:rsidRPr="00BD1319" w:rsidDel="00C408D6">
        <w:rPr>
          <w:rFonts w:cs="Arial"/>
          <w:spacing w:val="-3"/>
        </w:rPr>
        <w:t>indicadores de demografía y efectuar un análisis histórico con base en la información disponible.</w:t>
      </w:r>
    </w:p>
    <w:p w14:paraId="50DAE421" w14:textId="77777777" w:rsidR="00482A5F" w:rsidRPr="00BD1319" w:rsidDel="00C408D6" w:rsidRDefault="00482A5F" w:rsidP="00482A5F">
      <w:pPr>
        <w:tabs>
          <w:tab w:val="left" w:pos="-2268"/>
        </w:tabs>
        <w:suppressAutoHyphens/>
        <w:rPr>
          <w:rFonts w:cs="Arial"/>
          <w:spacing w:val="-3"/>
        </w:rPr>
      </w:pPr>
    </w:p>
    <w:p w14:paraId="1D41A11A" w14:textId="3918F651" w:rsidR="00654B0F" w:rsidRPr="00BD1319" w:rsidRDefault="00482A5F" w:rsidP="00C86DA5">
      <w:pPr>
        <w:numPr>
          <w:ilvl w:val="12"/>
          <w:numId w:val="0"/>
        </w:numPr>
        <w:tabs>
          <w:tab w:val="left" w:pos="-2268"/>
        </w:tabs>
        <w:suppressAutoHyphens/>
        <w:rPr>
          <w:rFonts w:cs="Arial"/>
          <w:spacing w:val="-3"/>
        </w:rPr>
      </w:pPr>
      <w:r w:rsidRPr="00BD1319" w:rsidDel="00C408D6">
        <w:rPr>
          <w:rFonts w:cs="Arial"/>
          <w:spacing w:val="-3"/>
        </w:rPr>
        <w:t xml:space="preserve">La información </w:t>
      </w:r>
      <w:r w:rsidR="0015604B" w:rsidRPr="00BD1319">
        <w:rPr>
          <w:rFonts w:cs="Arial"/>
          <w:spacing w:val="-3"/>
        </w:rPr>
        <w:t xml:space="preserve">sobre el </w:t>
      </w:r>
      <w:r w:rsidRPr="00BD1319">
        <w:rPr>
          <w:rFonts w:cs="Arial"/>
          <w:spacing w:val="-3"/>
        </w:rPr>
        <w:t xml:space="preserve">poblamiento actual </w:t>
      </w:r>
      <w:r w:rsidR="0015604B" w:rsidRPr="00BD1319">
        <w:rPr>
          <w:rFonts w:cs="Arial"/>
          <w:spacing w:val="-3"/>
        </w:rPr>
        <w:t xml:space="preserve">en el ámbito </w:t>
      </w:r>
      <w:r w:rsidRPr="00BD1319">
        <w:rPr>
          <w:rFonts w:cs="Arial"/>
          <w:spacing w:val="-3"/>
        </w:rPr>
        <w:t>regional o municipal</w:t>
      </w:r>
      <w:r w:rsidRPr="00BD1319" w:rsidDel="00C408D6">
        <w:rPr>
          <w:rFonts w:cs="Arial"/>
          <w:spacing w:val="-3"/>
        </w:rPr>
        <w:t xml:space="preserve"> </w:t>
      </w:r>
      <w:r w:rsidR="0015604B" w:rsidRPr="00BD1319">
        <w:rPr>
          <w:rFonts w:cs="Arial"/>
          <w:spacing w:val="-3"/>
        </w:rPr>
        <w:t xml:space="preserve">constituye un insumo para establecer si los impactos pueden </w:t>
      </w:r>
      <w:r w:rsidR="0015604B" w:rsidRPr="00BD1319" w:rsidDel="00C408D6">
        <w:rPr>
          <w:rFonts w:cs="Arial"/>
          <w:spacing w:val="-3"/>
        </w:rPr>
        <w:t>se</w:t>
      </w:r>
      <w:r w:rsidR="0015604B" w:rsidRPr="00BD1319">
        <w:rPr>
          <w:rFonts w:cs="Arial"/>
          <w:spacing w:val="-3"/>
        </w:rPr>
        <w:t>r</w:t>
      </w:r>
      <w:r w:rsidR="0015604B" w:rsidRPr="00BD1319" w:rsidDel="00C408D6">
        <w:rPr>
          <w:rFonts w:cs="Arial"/>
          <w:spacing w:val="-3"/>
        </w:rPr>
        <w:t xml:space="preserve"> atribuid</w:t>
      </w:r>
      <w:r w:rsidR="0015604B" w:rsidRPr="00BD1319">
        <w:rPr>
          <w:rFonts w:cs="Arial"/>
          <w:spacing w:val="-3"/>
        </w:rPr>
        <w:t>o</w:t>
      </w:r>
      <w:r w:rsidR="0015604B" w:rsidRPr="00BD1319" w:rsidDel="00C408D6">
        <w:rPr>
          <w:rFonts w:cs="Arial"/>
          <w:spacing w:val="-3"/>
        </w:rPr>
        <w:t xml:space="preserve">s </w:t>
      </w:r>
      <w:r w:rsidR="0015604B" w:rsidRPr="00BD1319">
        <w:rPr>
          <w:rFonts w:cs="Arial"/>
          <w:spacing w:val="-3"/>
        </w:rPr>
        <w:t xml:space="preserve">al producto </w:t>
      </w:r>
      <w:r w:rsidRPr="00BD1319" w:rsidDel="00C408D6">
        <w:rPr>
          <w:rFonts w:cs="Arial"/>
          <w:spacing w:val="-3"/>
        </w:rPr>
        <w:t>del proyecto</w:t>
      </w:r>
      <w:r w:rsidR="00953BF3" w:rsidRPr="00BD1319">
        <w:rPr>
          <w:spacing w:val="-3"/>
        </w:rPr>
        <w:t>, obra o actividad</w:t>
      </w:r>
      <w:r w:rsidR="0015604B" w:rsidRPr="00BD1319">
        <w:rPr>
          <w:spacing w:val="-3"/>
        </w:rPr>
        <w:t>,</w:t>
      </w:r>
      <w:r w:rsidRPr="00BD1319" w:rsidDel="00C408D6">
        <w:rPr>
          <w:rFonts w:cs="Arial"/>
          <w:spacing w:val="-3"/>
        </w:rPr>
        <w:t xml:space="preserve"> o </w:t>
      </w:r>
      <w:r w:rsidR="0015604B" w:rsidRPr="00BD1319">
        <w:rPr>
          <w:rFonts w:cs="Arial"/>
          <w:spacing w:val="-3"/>
        </w:rPr>
        <w:t xml:space="preserve">si son producto de las </w:t>
      </w:r>
      <w:r w:rsidRPr="00BD1319" w:rsidDel="00C408D6">
        <w:rPr>
          <w:rFonts w:cs="Arial"/>
          <w:spacing w:val="-3"/>
        </w:rPr>
        <w:t xml:space="preserve">dinámicas </w:t>
      </w:r>
      <w:r w:rsidR="0015604B" w:rsidRPr="00BD1319">
        <w:rPr>
          <w:rFonts w:cs="Arial"/>
          <w:spacing w:val="-3"/>
        </w:rPr>
        <w:t xml:space="preserve">existentes en </w:t>
      </w:r>
      <w:r w:rsidRPr="00BD1319" w:rsidDel="00C408D6">
        <w:rPr>
          <w:rFonts w:cs="Arial"/>
          <w:spacing w:val="-3"/>
        </w:rPr>
        <w:t>el territorio</w:t>
      </w:r>
      <w:r w:rsidRPr="00BD1319">
        <w:rPr>
          <w:rFonts w:cs="Arial"/>
          <w:spacing w:val="-3"/>
        </w:rPr>
        <w:t>.</w:t>
      </w:r>
    </w:p>
    <w:p w14:paraId="313B3FE6" w14:textId="77777777" w:rsidR="00C717A3" w:rsidRPr="00BD1319" w:rsidRDefault="00C717A3" w:rsidP="00C86DA5">
      <w:pPr>
        <w:numPr>
          <w:ilvl w:val="12"/>
          <w:numId w:val="0"/>
        </w:numPr>
        <w:tabs>
          <w:tab w:val="left" w:pos="-2268"/>
        </w:tabs>
        <w:suppressAutoHyphens/>
        <w:rPr>
          <w:rFonts w:cs="Arial"/>
          <w:spacing w:val="-3"/>
        </w:rPr>
      </w:pPr>
    </w:p>
    <w:p w14:paraId="79CE359D" w14:textId="77777777" w:rsidR="00482A5F" w:rsidRPr="00BD1319" w:rsidRDefault="00482A5F" w:rsidP="002F5664">
      <w:pPr>
        <w:pStyle w:val="Ttulo4"/>
        <w:tabs>
          <w:tab w:val="clear" w:pos="1844"/>
          <w:tab w:val="num" w:pos="1134"/>
        </w:tabs>
        <w:ind w:left="0"/>
        <w:rPr>
          <w:lang w:val="es-CO"/>
        </w:rPr>
      </w:pPr>
      <w:r w:rsidRPr="00BD1319">
        <w:rPr>
          <w:lang w:val="es-CO"/>
        </w:rPr>
        <w:t>Espacial</w:t>
      </w:r>
    </w:p>
    <w:p w14:paraId="76EBB9B3" w14:textId="77777777" w:rsidR="00482A5F" w:rsidRPr="00BD1319" w:rsidRDefault="00482A5F">
      <w:pPr>
        <w:numPr>
          <w:ilvl w:val="12"/>
          <w:numId w:val="0"/>
        </w:numPr>
        <w:tabs>
          <w:tab w:val="left" w:pos="-2268"/>
        </w:tabs>
        <w:suppressAutoHyphens/>
        <w:rPr>
          <w:spacing w:val="-3"/>
        </w:rPr>
      </w:pPr>
    </w:p>
    <w:p w14:paraId="4C3FF6FF" w14:textId="7790CE1D" w:rsidR="00482A5F" w:rsidRPr="00BD1319" w:rsidRDefault="00482A5F" w:rsidP="00482A5F">
      <w:pPr>
        <w:numPr>
          <w:ilvl w:val="12"/>
          <w:numId w:val="0"/>
        </w:numPr>
        <w:tabs>
          <w:tab w:val="left" w:pos="-2268"/>
        </w:tabs>
        <w:suppressAutoHyphens/>
        <w:rPr>
          <w:rFonts w:cs="Arial"/>
          <w:spacing w:val="-3"/>
        </w:rPr>
      </w:pPr>
      <w:r w:rsidRPr="00BD1319">
        <w:rPr>
          <w:spacing w:val="-3"/>
        </w:rPr>
        <w:t xml:space="preserve">Presentar </w:t>
      </w:r>
      <w:r w:rsidRPr="00BD1319">
        <w:rPr>
          <w:rFonts w:cs="Arial"/>
          <w:spacing w:val="-3"/>
        </w:rPr>
        <w:t xml:space="preserve">una síntesis de </w:t>
      </w:r>
      <w:r w:rsidR="00696B84" w:rsidRPr="00BD1319">
        <w:rPr>
          <w:rFonts w:cs="Arial"/>
          <w:spacing w:val="-3"/>
        </w:rPr>
        <w:t xml:space="preserve">información sobre </w:t>
      </w:r>
      <w:r w:rsidRPr="00BD1319">
        <w:rPr>
          <w:rFonts w:cs="Arial"/>
          <w:spacing w:val="-3"/>
        </w:rPr>
        <w:t>los servicios públicos</w:t>
      </w:r>
      <w:r w:rsidR="00A75FB6" w:rsidRPr="00BD1319">
        <w:rPr>
          <w:rFonts w:cs="Arial"/>
          <w:spacing w:val="-3"/>
        </w:rPr>
        <w:t xml:space="preserve"> (acueducto, alcantarillado, energía eléctrica, recolección y disposición de residuos sólidos, internet, entre otros)</w:t>
      </w:r>
      <w:r w:rsidRPr="00BD1319">
        <w:rPr>
          <w:rFonts w:cs="Arial"/>
          <w:spacing w:val="-3"/>
        </w:rPr>
        <w:t xml:space="preserve"> y sociales</w:t>
      </w:r>
      <w:r w:rsidR="00A75FB6" w:rsidRPr="00BD1319">
        <w:rPr>
          <w:rFonts w:cs="Arial"/>
          <w:spacing w:val="-3"/>
        </w:rPr>
        <w:t xml:space="preserve"> (</w:t>
      </w:r>
      <w:r w:rsidR="001F0153" w:rsidRPr="00BD1319">
        <w:rPr>
          <w:rFonts w:cs="Arial"/>
          <w:spacing w:val="-3"/>
        </w:rPr>
        <w:t xml:space="preserve">asociados a la </w:t>
      </w:r>
      <w:r w:rsidR="00A75FB6" w:rsidRPr="00BD1319">
        <w:rPr>
          <w:rFonts w:cs="Arial"/>
          <w:spacing w:val="-3"/>
        </w:rPr>
        <w:t>infraestructura vial, social, comunitaria, de transporte, de salud, de educación, de recreación, entre otras)</w:t>
      </w:r>
      <w:r w:rsidRPr="00BD1319">
        <w:rPr>
          <w:rFonts w:cs="Arial"/>
          <w:spacing w:val="-3"/>
        </w:rPr>
        <w:t xml:space="preserve">, incluyendo </w:t>
      </w:r>
      <w:r w:rsidR="00E87583" w:rsidRPr="00BD1319">
        <w:rPr>
          <w:rFonts w:cs="Arial"/>
          <w:spacing w:val="-3"/>
        </w:rPr>
        <w:t>su</w:t>
      </w:r>
      <w:r w:rsidRPr="00BD1319">
        <w:rPr>
          <w:rFonts w:cs="Arial"/>
          <w:spacing w:val="-3"/>
        </w:rPr>
        <w:t xml:space="preserve"> calidad </w:t>
      </w:r>
      <w:r w:rsidRPr="00BD1319">
        <w:rPr>
          <w:rFonts w:cs="Arial"/>
          <w:spacing w:val="-3"/>
        </w:rPr>
        <w:lastRenderedPageBreak/>
        <w:t>y cobertura</w:t>
      </w:r>
      <w:r w:rsidR="00E87583" w:rsidRPr="00BD1319">
        <w:rPr>
          <w:rFonts w:cs="Arial"/>
          <w:spacing w:val="-3"/>
        </w:rPr>
        <w:t>; asimismo</w:t>
      </w:r>
      <w:r w:rsidRPr="00BD1319">
        <w:rPr>
          <w:rFonts w:cs="Arial"/>
          <w:spacing w:val="-3"/>
        </w:rPr>
        <w:t xml:space="preserve">, analizar </w:t>
      </w:r>
      <w:r w:rsidR="00E87583" w:rsidRPr="00BD1319">
        <w:rPr>
          <w:rFonts w:cs="Arial"/>
          <w:spacing w:val="-3"/>
        </w:rPr>
        <w:t xml:space="preserve">los </w:t>
      </w:r>
      <w:r w:rsidRPr="00BD1319">
        <w:rPr>
          <w:rFonts w:cs="Arial"/>
          <w:spacing w:val="-3"/>
        </w:rPr>
        <w:t xml:space="preserve">aspectos ambientales que pueden tener relevancia en </w:t>
      </w:r>
      <w:r w:rsidR="00B26058" w:rsidRPr="00BD1319">
        <w:rPr>
          <w:rFonts w:cs="Arial"/>
          <w:spacing w:val="-3"/>
        </w:rPr>
        <w:t>la calidad de vida de la población y se relacionen</w:t>
      </w:r>
      <w:r w:rsidRPr="00BD1319">
        <w:rPr>
          <w:rFonts w:cs="Arial"/>
          <w:spacing w:val="-3"/>
        </w:rPr>
        <w:t xml:space="preserve"> con el </w:t>
      </w:r>
      <w:r w:rsidR="00676DE6" w:rsidRPr="00BD1319">
        <w:rPr>
          <w:rFonts w:cs="Arial"/>
          <w:spacing w:val="-3"/>
        </w:rPr>
        <w:t>proyecto, obra o actividad</w:t>
      </w:r>
      <w:r w:rsidRPr="00BD1319">
        <w:rPr>
          <w:rFonts w:cs="Arial"/>
          <w:spacing w:val="-3"/>
        </w:rPr>
        <w:t>.</w:t>
      </w:r>
    </w:p>
    <w:p w14:paraId="4CF36EED" w14:textId="77777777" w:rsidR="00482A5F" w:rsidRPr="00BD1319" w:rsidRDefault="00482A5F">
      <w:pPr>
        <w:numPr>
          <w:ilvl w:val="12"/>
          <w:numId w:val="0"/>
        </w:numPr>
        <w:tabs>
          <w:tab w:val="left" w:pos="-2268"/>
        </w:tabs>
        <w:suppressAutoHyphens/>
        <w:rPr>
          <w:spacing w:val="-3"/>
        </w:rPr>
      </w:pPr>
    </w:p>
    <w:p w14:paraId="31F34F38" w14:textId="77777777" w:rsidR="00482A5F" w:rsidRPr="00BD1319" w:rsidRDefault="00482A5F" w:rsidP="002F5664">
      <w:pPr>
        <w:pStyle w:val="Ttulo4"/>
        <w:tabs>
          <w:tab w:val="clear" w:pos="1844"/>
          <w:tab w:val="num" w:pos="1134"/>
        </w:tabs>
        <w:ind w:left="0"/>
        <w:rPr>
          <w:lang w:val="es-CO"/>
        </w:rPr>
      </w:pPr>
      <w:r w:rsidRPr="00BD1319">
        <w:rPr>
          <w:lang w:val="es-CO"/>
        </w:rPr>
        <w:t>Económico</w:t>
      </w:r>
    </w:p>
    <w:p w14:paraId="5E32D801" w14:textId="77777777" w:rsidR="00482A5F" w:rsidRPr="00BD1319" w:rsidRDefault="00482A5F">
      <w:pPr>
        <w:numPr>
          <w:ilvl w:val="12"/>
          <w:numId w:val="0"/>
        </w:numPr>
        <w:tabs>
          <w:tab w:val="left" w:pos="-2268"/>
        </w:tabs>
        <w:suppressAutoHyphens/>
        <w:rPr>
          <w:spacing w:val="-3"/>
        </w:rPr>
      </w:pPr>
    </w:p>
    <w:p w14:paraId="5F959533" w14:textId="09DA1E3E" w:rsidR="00482A5F" w:rsidRPr="00BD1319" w:rsidRDefault="00482A5F">
      <w:pPr>
        <w:numPr>
          <w:ilvl w:val="12"/>
          <w:numId w:val="0"/>
        </w:numPr>
        <w:tabs>
          <w:tab w:val="left" w:pos="-2268"/>
        </w:tabs>
        <w:suppressAutoHyphens/>
        <w:rPr>
          <w:spacing w:val="-3"/>
        </w:rPr>
      </w:pPr>
      <w:r w:rsidRPr="00BD1319">
        <w:rPr>
          <w:spacing w:val="-3"/>
        </w:rPr>
        <w:t>Con el objeto de brindar un panorama general de la dinámica económica, se debe</w:t>
      </w:r>
      <w:r w:rsidR="00696B84" w:rsidRPr="00BD1319">
        <w:rPr>
          <w:spacing w:val="-3"/>
        </w:rPr>
        <w:t>n</w:t>
      </w:r>
      <w:r w:rsidRPr="00BD1319">
        <w:rPr>
          <w:spacing w:val="-3"/>
        </w:rPr>
        <w:t xml:space="preserve"> </w:t>
      </w:r>
      <w:r w:rsidR="00696B84" w:rsidRPr="00BD1319">
        <w:rPr>
          <w:spacing w:val="-3"/>
        </w:rPr>
        <w:t xml:space="preserve">determinar los </w:t>
      </w:r>
      <w:r w:rsidRPr="00BD1319">
        <w:rPr>
          <w:spacing w:val="-3"/>
        </w:rPr>
        <w:t>tipo</w:t>
      </w:r>
      <w:r w:rsidR="00696B84" w:rsidRPr="00BD1319">
        <w:rPr>
          <w:spacing w:val="-3"/>
        </w:rPr>
        <w:t>s</w:t>
      </w:r>
      <w:r w:rsidRPr="00BD1319">
        <w:rPr>
          <w:spacing w:val="-3"/>
        </w:rPr>
        <w:t xml:space="preserve"> de actividades presentes en el municipio, en términos de funcionalidad económica y su relación con los bienes y servicios ambientales. Para ello, se deben </w:t>
      </w:r>
      <w:r w:rsidR="00A3333A" w:rsidRPr="00BD1319">
        <w:rPr>
          <w:spacing w:val="-3"/>
        </w:rPr>
        <w:t xml:space="preserve">determinar </w:t>
      </w:r>
      <w:r w:rsidRPr="00BD1319">
        <w:rPr>
          <w:spacing w:val="-3"/>
        </w:rPr>
        <w:t>y analizar los procesos existentes, teniendo en cuenta lo siguiente:</w:t>
      </w:r>
    </w:p>
    <w:p w14:paraId="0889A284" w14:textId="77777777" w:rsidR="00482A5F" w:rsidRPr="00BD1319" w:rsidRDefault="00482A5F">
      <w:pPr>
        <w:numPr>
          <w:ilvl w:val="12"/>
          <w:numId w:val="0"/>
        </w:numPr>
        <w:tabs>
          <w:tab w:val="left" w:pos="-2268"/>
        </w:tabs>
        <w:suppressAutoHyphens/>
        <w:rPr>
          <w:spacing w:val="-3"/>
        </w:rPr>
      </w:pPr>
    </w:p>
    <w:p w14:paraId="232C6564" w14:textId="0FC6DBE9" w:rsidR="00482A5F" w:rsidRPr="00BD1319" w:rsidRDefault="00DB17CC" w:rsidP="000D6E21">
      <w:pPr>
        <w:numPr>
          <w:ilvl w:val="0"/>
          <w:numId w:val="385"/>
        </w:numPr>
        <w:tabs>
          <w:tab w:val="left" w:pos="-2268"/>
        </w:tabs>
        <w:suppressAutoHyphens/>
        <w:ind w:left="567" w:hanging="567"/>
        <w:rPr>
          <w:rFonts w:cs="Arial"/>
          <w:spacing w:val="-3"/>
        </w:rPr>
      </w:pPr>
      <w:r w:rsidRPr="00BD1319">
        <w:rPr>
          <w:rFonts w:cs="Arial"/>
          <w:spacing w:val="-3"/>
        </w:rPr>
        <w:t>Distribución de la tenencia de la propiedad rural, señalando condiciones de formalidad e informalidad.</w:t>
      </w:r>
    </w:p>
    <w:p w14:paraId="60FB45C3" w14:textId="77777777" w:rsidR="00C717A3" w:rsidRPr="00BD1319" w:rsidRDefault="00C717A3" w:rsidP="00C86DA5">
      <w:pPr>
        <w:tabs>
          <w:tab w:val="left" w:pos="-2268"/>
        </w:tabs>
        <w:suppressAutoHyphens/>
        <w:rPr>
          <w:spacing w:val="-3"/>
        </w:rPr>
      </w:pPr>
    </w:p>
    <w:p w14:paraId="525DF0F4" w14:textId="77777777" w:rsidR="00482A5F" w:rsidRPr="00BD1319" w:rsidRDefault="00482A5F" w:rsidP="00C86DA5">
      <w:pPr>
        <w:numPr>
          <w:ilvl w:val="0"/>
          <w:numId w:val="385"/>
        </w:numPr>
        <w:tabs>
          <w:tab w:val="left" w:pos="-2268"/>
        </w:tabs>
        <w:suppressAutoHyphens/>
        <w:ind w:left="567" w:hanging="567"/>
        <w:rPr>
          <w:rFonts w:cs="Arial"/>
          <w:spacing w:val="-3"/>
        </w:rPr>
      </w:pPr>
      <w:r w:rsidRPr="00BD1319">
        <w:rPr>
          <w:rFonts w:cs="Arial"/>
          <w:spacing w:val="-3"/>
        </w:rPr>
        <w:t>Tamaño de la Unidad Agrícola Familiar (UAF)</w:t>
      </w:r>
      <w:r w:rsidRPr="00BD1319">
        <w:rPr>
          <w:rFonts w:cs="Arial"/>
          <w:spacing w:val="-3"/>
          <w:vertAlign w:val="superscript"/>
        </w:rPr>
        <w:footnoteReference w:id="151"/>
      </w:r>
      <w:r w:rsidRPr="00BD1319">
        <w:rPr>
          <w:rFonts w:cs="Arial"/>
          <w:spacing w:val="-3"/>
        </w:rPr>
        <w:t xml:space="preserve"> establecida para cada municipio.</w:t>
      </w:r>
    </w:p>
    <w:p w14:paraId="1D07FB46" w14:textId="77777777" w:rsidR="00C717A3" w:rsidRPr="00BD1319" w:rsidRDefault="00C717A3" w:rsidP="00C86DA5">
      <w:pPr>
        <w:tabs>
          <w:tab w:val="left" w:pos="-2268"/>
        </w:tabs>
        <w:suppressAutoHyphens/>
        <w:rPr>
          <w:spacing w:val="-3"/>
        </w:rPr>
      </w:pPr>
    </w:p>
    <w:p w14:paraId="667E40D7" w14:textId="77777777" w:rsidR="00482A5F" w:rsidRPr="00BD1319" w:rsidRDefault="00482A5F" w:rsidP="00C86DA5">
      <w:pPr>
        <w:numPr>
          <w:ilvl w:val="0"/>
          <w:numId w:val="385"/>
        </w:numPr>
        <w:tabs>
          <w:tab w:val="left" w:pos="-2268"/>
        </w:tabs>
        <w:suppressAutoHyphens/>
        <w:ind w:left="567" w:hanging="567"/>
        <w:rPr>
          <w:spacing w:val="-3"/>
        </w:rPr>
      </w:pPr>
      <w:r w:rsidRPr="00BD1319">
        <w:rPr>
          <w:spacing w:val="-3"/>
        </w:rPr>
        <w:t>Procesos productivos y tecnológicos.</w:t>
      </w:r>
    </w:p>
    <w:p w14:paraId="563F6F7D" w14:textId="77777777" w:rsidR="00C717A3" w:rsidRPr="00BD1319" w:rsidRDefault="00C717A3" w:rsidP="00C86DA5">
      <w:pPr>
        <w:tabs>
          <w:tab w:val="left" w:pos="-2268"/>
        </w:tabs>
        <w:suppressAutoHyphens/>
        <w:rPr>
          <w:spacing w:val="-3"/>
        </w:rPr>
      </w:pPr>
    </w:p>
    <w:p w14:paraId="148A52D9" w14:textId="2105B352" w:rsidR="00482A5F" w:rsidRPr="00BD1319" w:rsidRDefault="00482A5F" w:rsidP="00C86DA5">
      <w:pPr>
        <w:numPr>
          <w:ilvl w:val="0"/>
          <w:numId w:val="385"/>
        </w:numPr>
        <w:tabs>
          <w:tab w:val="left" w:pos="-2268"/>
        </w:tabs>
        <w:suppressAutoHyphens/>
        <w:ind w:left="567" w:hanging="567"/>
        <w:rPr>
          <w:spacing w:val="-3"/>
        </w:rPr>
      </w:pPr>
      <w:r w:rsidRPr="00BD1319">
        <w:rPr>
          <w:spacing w:val="-3"/>
        </w:rPr>
        <w:t>Mercado laboral actual</w:t>
      </w:r>
      <w:r w:rsidR="00DB17CC" w:rsidRPr="00BD1319">
        <w:rPr>
          <w:spacing w:val="-3"/>
        </w:rPr>
        <w:t xml:space="preserve"> (ocupación, empleo, desempleo, informalidad y subempleo)</w:t>
      </w:r>
      <w:r w:rsidRPr="00BD1319">
        <w:rPr>
          <w:spacing w:val="-3"/>
        </w:rPr>
        <w:t>.</w:t>
      </w:r>
    </w:p>
    <w:p w14:paraId="5AA4FE0D" w14:textId="77777777" w:rsidR="00C717A3" w:rsidRPr="00BD1319" w:rsidRDefault="00C717A3" w:rsidP="00C86DA5">
      <w:pPr>
        <w:tabs>
          <w:tab w:val="left" w:pos="-2268"/>
        </w:tabs>
        <w:suppressAutoHyphens/>
        <w:rPr>
          <w:rFonts w:cs="Arial"/>
          <w:spacing w:val="-3"/>
        </w:rPr>
      </w:pPr>
    </w:p>
    <w:p w14:paraId="19990109" w14:textId="01548167" w:rsidR="00482A5F" w:rsidRPr="00BD1319" w:rsidRDefault="00482A5F" w:rsidP="00C86DA5">
      <w:pPr>
        <w:numPr>
          <w:ilvl w:val="0"/>
          <w:numId w:val="385"/>
        </w:numPr>
        <w:tabs>
          <w:tab w:val="left" w:pos="-2268"/>
        </w:tabs>
        <w:suppressAutoHyphens/>
        <w:ind w:left="567" w:hanging="567"/>
        <w:rPr>
          <w:rFonts w:cs="Arial"/>
          <w:spacing w:val="-3"/>
        </w:rPr>
      </w:pPr>
      <w:r w:rsidRPr="00BD1319">
        <w:rPr>
          <w:rFonts w:cs="Arial"/>
          <w:spacing w:val="-3"/>
        </w:rPr>
        <w:t xml:space="preserve">Polos de desarrollo o enclaves que interactúan con el área de influencia del </w:t>
      </w:r>
      <w:r w:rsidR="00426865" w:rsidRPr="00BD1319">
        <w:rPr>
          <w:rFonts w:cs="Arial"/>
          <w:spacing w:val="-3"/>
        </w:rPr>
        <w:t>componente</w:t>
      </w:r>
      <w:r w:rsidRPr="00BD1319">
        <w:rPr>
          <w:rFonts w:cs="Arial"/>
          <w:spacing w:val="-3"/>
        </w:rPr>
        <w:t>.</w:t>
      </w:r>
    </w:p>
    <w:p w14:paraId="06B32B4B" w14:textId="77777777" w:rsidR="00C717A3" w:rsidRPr="00BD1319" w:rsidRDefault="00C717A3" w:rsidP="00C86DA5">
      <w:pPr>
        <w:tabs>
          <w:tab w:val="left" w:pos="-2268"/>
        </w:tabs>
        <w:suppressAutoHyphens/>
        <w:rPr>
          <w:spacing w:val="-3"/>
        </w:rPr>
      </w:pPr>
    </w:p>
    <w:p w14:paraId="1DC98492" w14:textId="77777777" w:rsidR="00482A5F" w:rsidRPr="00BD1319" w:rsidRDefault="00482A5F" w:rsidP="00C86DA5">
      <w:pPr>
        <w:numPr>
          <w:ilvl w:val="0"/>
          <w:numId w:val="385"/>
        </w:numPr>
        <w:tabs>
          <w:tab w:val="left" w:pos="-2268"/>
        </w:tabs>
        <w:suppressAutoHyphens/>
        <w:ind w:left="567" w:hanging="567"/>
        <w:rPr>
          <w:spacing w:val="-3"/>
        </w:rPr>
      </w:pPr>
      <w:r w:rsidRPr="00BD1319">
        <w:rPr>
          <w:spacing w:val="-3"/>
        </w:rPr>
        <w:t>Empresas productivas en los sectores primario, secundario y terciario.</w:t>
      </w:r>
    </w:p>
    <w:p w14:paraId="56EFA7C2" w14:textId="77777777" w:rsidR="00482A5F" w:rsidRPr="00BD1319" w:rsidRDefault="00482A5F">
      <w:pPr>
        <w:tabs>
          <w:tab w:val="left" w:pos="-2268"/>
        </w:tabs>
        <w:suppressAutoHyphens/>
        <w:rPr>
          <w:spacing w:val="-3"/>
        </w:rPr>
      </w:pPr>
    </w:p>
    <w:p w14:paraId="4303ABB2" w14:textId="77777777" w:rsidR="00482A5F" w:rsidRPr="00BD1319" w:rsidRDefault="00482A5F" w:rsidP="002F5664">
      <w:pPr>
        <w:pStyle w:val="Ttulo4"/>
        <w:tabs>
          <w:tab w:val="clear" w:pos="1844"/>
          <w:tab w:val="num" w:pos="1134"/>
        </w:tabs>
        <w:ind w:left="0"/>
        <w:rPr>
          <w:lang w:val="es-CO"/>
        </w:rPr>
      </w:pPr>
      <w:r w:rsidRPr="00BD1319">
        <w:rPr>
          <w:lang w:val="es-CO"/>
        </w:rPr>
        <w:t>Cultural</w:t>
      </w:r>
    </w:p>
    <w:p w14:paraId="7EDEACEB" w14:textId="77777777" w:rsidR="00482A5F" w:rsidRPr="00BD1319" w:rsidRDefault="00482A5F" w:rsidP="00482A5F">
      <w:pPr>
        <w:rPr>
          <w:rFonts w:cs="Arial"/>
        </w:rPr>
      </w:pPr>
    </w:p>
    <w:p w14:paraId="7DAC2310" w14:textId="31833A20" w:rsidR="00482A5F" w:rsidRPr="00BD1319" w:rsidRDefault="00482A5F" w:rsidP="00C86DA5">
      <w:pPr>
        <w:tabs>
          <w:tab w:val="left" w:pos="-2268"/>
        </w:tabs>
        <w:suppressAutoHyphens/>
        <w:rPr>
          <w:rFonts w:cs="Arial"/>
          <w:spacing w:val="-3"/>
        </w:rPr>
      </w:pPr>
      <w:r w:rsidRPr="00BD1319">
        <w:rPr>
          <w:spacing w:val="-3"/>
        </w:rPr>
        <w:t xml:space="preserve">Presentar </w:t>
      </w:r>
      <w:r w:rsidRPr="00BD1319">
        <w:rPr>
          <w:rFonts w:cs="Arial"/>
          <w:spacing w:val="-3"/>
        </w:rPr>
        <w:t>un</w:t>
      </w:r>
      <w:r w:rsidR="00696B84" w:rsidRPr="00BD1319">
        <w:rPr>
          <w:rFonts w:cs="Arial"/>
          <w:spacing w:val="-3"/>
        </w:rPr>
        <w:t>a</w:t>
      </w:r>
      <w:r w:rsidRPr="00BD1319">
        <w:rPr>
          <w:rFonts w:cs="Arial"/>
          <w:spacing w:val="-3"/>
        </w:rPr>
        <w:t xml:space="preserve"> </w:t>
      </w:r>
      <w:r w:rsidR="00696B84" w:rsidRPr="00BD1319">
        <w:rPr>
          <w:rFonts w:cs="Arial"/>
          <w:spacing w:val="-3"/>
        </w:rPr>
        <w:t xml:space="preserve">síntesis </w:t>
      </w:r>
      <w:r w:rsidRPr="00BD1319">
        <w:rPr>
          <w:rFonts w:cs="Arial"/>
          <w:spacing w:val="-3"/>
        </w:rPr>
        <w:t>general de los elementos asociados a la dinámica demográfica</w:t>
      </w:r>
      <w:r w:rsidR="00426865" w:rsidRPr="00BD1319">
        <w:rPr>
          <w:rFonts w:cs="Arial"/>
          <w:spacing w:val="-3"/>
        </w:rPr>
        <w:t xml:space="preserve"> y a</w:t>
      </w:r>
      <w:r w:rsidRPr="00BD1319">
        <w:rPr>
          <w:rFonts w:cs="Arial"/>
          <w:spacing w:val="-3"/>
        </w:rPr>
        <w:t xml:space="preserve"> la dependencia económica y sociocultural con el entorno</w:t>
      </w:r>
      <w:r w:rsidR="00696B84" w:rsidRPr="00BD1319">
        <w:rPr>
          <w:rFonts w:cs="Arial"/>
          <w:spacing w:val="-3"/>
        </w:rPr>
        <w:t xml:space="preserve"> que </w:t>
      </w:r>
      <w:r w:rsidRPr="00BD1319">
        <w:rPr>
          <w:rFonts w:cs="Arial"/>
          <w:spacing w:val="-3"/>
        </w:rPr>
        <w:t xml:space="preserve">debe </w:t>
      </w:r>
      <w:r w:rsidR="00696B84" w:rsidRPr="00BD1319">
        <w:rPr>
          <w:rFonts w:cs="Arial"/>
          <w:spacing w:val="-3"/>
        </w:rPr>
        <w:t xml:space="preserve">contener </w:t>
      </w:r>
      <w:r w:rsidRPr="00BD1319">
        <w:rPr>
          <w:rFonts w:cs="Arial"/>
          <w:spacing w:val="-3"/>
        </w:rPr>
        <w:t xml:space="preserve">los siguientes </w:t>
      </w:r>
      <w:r w:rsidR="00696B84" w:rsidRPr="00BD1319">
        <w:rPr>
          <w:rFonts w:cs="Arial"/>
          <w:spacing w:val="-3"/>
        </w:rPr>
        <w:t>elementos</w:t>
      </w:r>
      <w:r w:rsidRPr="00BD1319">
        <w:rPr>
          <w:rFonts w:cs="Arial"/>
          <w:spacing w:val="-3"/>
        </w:rPr>
        <w:t>:</w:t>
      </w:r>
    </w:p>
    <w:p w14:paraId="4FCA076F" w14:textId="77777777" w:rsidR="00482A5F" w:rsidRPr="00BD1319" w:rsidRDefault="00482A5F">
      <w:pPr>
        <w:tabs>
          <w:tab w:val="left" w:pos="-2268"/>
        </w:tabs>
        <w:suppressAutoHyphens/>
        <w:rPr>
          <w:spacing w:val="-3"/>
        </w:rPr>
      </w:pPr>
    </w:p>
    <w:p w14:paraId="148C1973" w14:textId="03137746" w:rsidR="00482A5F" w:rsidRPr="00BD1319" w:rsidRDefault="00426865" w:rsidP="00C86DA5">
      <w:pPr>
        <w:numPr>
          <w:ilvl w:val="0"/>
          <w:numId w:val="385"/>
        </w:numPr>
        <w:tabs>
          <w:tab w:val="left" w:pos="-2268"/>
        </w:tabs>
        <w:suppressAutoHyphens/>
        <w:ind w:left="567" w:hanging="567"/>
        <w:rPr>
          <w:spacing w:val="-3"/>
        </w:rPr>
      </w:pPr>
      <w:r w:rsidRPr="00BD1319">
        <w:rPr>
          <w:spacing w:val="-3"/>
        </w:rPr>
        <w:t>H</w:t>
      </w:r>
      <w:r w:rsidR="00482A5F" w:rsidRPr="00BD1319">
        <w:rPr>
          <w:spacing w:val="-3"/>
        </w:rPr>
        <w:t xml:space="preserve">echos históricos (migraciones, adopción de nuevas tecnologías, cambios de actividad productiva, estímulo a procesos de aculturación por presencia de migrantes, </w:t>
      </w:r>
      <w:r w:rsidR="008278D6" w:rsidRPr="00BD1319">
        <w:rPr>
          <w:spacing w:val="-3"/>
        </w:rPr>
        <w:t xml:space="preserve">conflictos ambientales, </w:t>
      </w:r>
      <w:r w:rsidR="00434EA7" w:rsidRPr="00BD1319">
        <w:rPr>
          <w:spacing w:val="-3"/>
        </w:rPr>
        <w:t>desplazamientos forzados</w:t>
      </w:r>
      <w:r w:rsidR="008278D6" w:rsidRPr="00BD1319">
        <w:rPr>
          <w:spacing w:val="-3"/>
        </w:rPr>
        <w:t xml:space="preserve">, conflicto armado, </w:t>
      </w:r>
      <w:r w:rsidR="00482A5F" w:rsidRPr="00BD1319">
        <w:rPr>
          <w:spacing w:val="-3"/>
        </w:rPr>
        <w:t>entre otros), que hayan producido cambios culturales.</w:t>
      </w:r>
    </w:p>
    <w:p w14:paraId="5DB9085F" w14:textId="77777777" w:rsidR="00482A5F" w:rsidRPr="00BD1319" w:rsidRDefault="00482A5F" w:rsidP="00C86DA5">
      <w:pPr>
        <w:tabs>
          <w:tab w:val="left" w:pos="-2268"/>
        </w:tabs>
        <w:suppressAutoHyphens/>
        <w:rPr>
          <w:spacing w:val="-3"/>
        </w:rPr>
      </w:pPr>
    </w:p>
    <w:p w14:paraId="1E831C2D" w14:textId="78678A5F" w:rsidR="00482A5F" w:rsidRPr="00BD1319" w:rsidRDefault="00426865" w:rsidP="00C86DA5">
      <w:pPr>
        <w:numPr>
          <w:ilvl w:val="0"/>
          <w:numId w:val="385"/>
        </w:numPr>
        <w:tabs>
          <w:tab w:val="left" w:pos="-2268"/>
        </w:tabs>
        <w:suppressAutoHyphens/>
        <w:ind w:left="567" w:hanging="567"/>
        <w:rPr>
          <w:spacing w:val="-3"/>
        </w:rPr>
      </w:pPr>
      <w:r w:rsidRPr="00BD1319">
        <w:rPr>
          <w:spacing w:val="-3"/>
        </w:rPr>
        <w:lastRenderedPageBreak/>
        <w:t>S</w:t>
      </w:r>
      <w:r w:rsidR="00482A5F" w:rsidRPr="00BD1319">
        <w:rPr>
          <w:spacing w:val="-3"/>
        </w:rPr>
        <w:t>ímbolos culturales más significativos para la población, con relación a las tradiciones económicas, tecnológicas, organizativas, religiosas, artísticas</w:t>
      </w:r>
      <w:r w:rsidRPr="00BD1319">
        <w:rPr>
          <w:spacing w:val="-3"/>
        </w:rPr>
        <w:t>,</w:t>
      </w:r>
      <w:r w:rsidR="00482A5F" w:rsidRPr="00BD1319">
        <w:rPr>
          <w:spacing w:val="-3"/>
        </w:rPr>
        <w:t xml:space="preserve"> </w:t>
      </w:r>
      <w:r w:rsidRPr="00BD1319">
        <w:rPr>
          <w:spacing w:val="-3"/>
        </w:rPr>
        <w:t>entre</w:t>
      </w:r>
      <w:r w:rsidR="00482A5F" w:rsidRPr="00BD1319">
        <w:rPr>
          <w:spacing w:val="-3"/>
        </w:rPr>
        <w:t xml:space="preserve"> otras.</w:t>
      </w:r>
    </w:p>
    <w:p w14:paraId="26DCA0E6" w14:textId="77777777" w:rsidR="00482A5F" w:rsidRPr="00BD1319" w:rsidRDefault="00482A5F" w:rsidP="00C86DA5">
      <w:pPr>
        <w:tabs>
          <w:tab w:val="left" w:pos="-2268"/>
        </w:tabs>
        <w:suppressAutoHyphens/>
        <w:rPr>
          <w:spacing w:val="-3"/>
        </w:rPr>
      </w:pPr>
    </w:p>
    <w:p w14:paraId="79155405" w14:textId="259CE4AF" w:rsidR="00482A5F" w:rsidRPr="00BD1319" w:rsidRDefault="00426865" w:rsidP="00C86DA5">
      <w:pPr>
        <w:numPr>
          <w:ilvl w:val="0"/>
          <w:numId w:val="385"/>
        </w:numPr>
        <w:tabs>
          <w:tab w:val="left" w:pos="-2268"/>
        </w:tabs>
        <w:suppressAutoHyphens/>
        <w:ind w:left="567" w:hanging="567"/>
        <w:rPr>
          <w:spacing w:val="-3"/>
        </w:rPr>
      </w:pPr>
      <w:r w:rsidRPr="00BD1319">
        <w:rPr>
          <w:spacing w:val="-3"/>
        </w:rPr>
        <w:t>U</w:t>
      </w:r>
      <w:r w:rsidR="00482A5F" w:rsidRPr="00BD1319">
        <w:rPr>
          <w:spacing w:val="-3"/>
        </w:rPr>
        <w:t xml:space="preserve">sos tradicionales de los recursos naturales renovables y el ambiente por parte de los habitantes </w:t>
      </w:r>
      <w:r w:rsidR="008262C7" w:rsidRPr="00BD1319">
        <w:rPr>
          <w:spacing w:val="-3"/>
        </w:rPr>
        <w:t>de</w:t>
      </w:r>
      <w:r w:rsidR="008262C7" w:rsidRPr="00BD1319">
        <w:t>l</w:t>
      </w:r>
      <w:r w:rsidR="008262C7" w:rsidRPr="00BD1319">
        <w:rPr>
          <w:spacing w:val="-3"/>
        </w:rPr>
        <w:t xml:space="preserve"> área de influencia del componente, teniendo en cuenta entre otros, la demanda, la oferta, el sentido de pertenencia, los </w:t>
      </w:r>
      <w:r w:rsidR="00482A5F" w:rsidRPr="00BD1319">
        <w:rPr>
          <w:spacing w:val="-3"/>
        </w:rPr>
        <w:t>usos culturales</w:t>
      </w:r>
      <w:r w:rsidR="00E768E3" w:rsidRPr="00BD1319">
        <w:rPr>
          <w:spacing w:val="-3"/>
        </w:rPr>
        <w:t xml:space="preserve"> y tradicionales,</w:t>
      </w:r>
      <w:r w:rsidR="00482A5F" w:rsidRPr="00BD1319">
        <w:rPr>
          <w:spacing w:val="-3"/>
        </w:rPr>
        <w:t xml:space="preserve"> </w:t>
      </w:r>
      <w:r w:rsidR="00E768E3" w:rsidRPr="00BD1319">
        <w:rPr>
          <w:spacing w:val="-3"/>
        </w:rPr>
        <w:t>el arraigo, las prácticas preservacionistas o conservacionistas</w:t>
      </w:r>
      <w:r w:rsidR="00482A5F" w:rsidRPr="00BD1319">
        <w:rPr>
          <w:spacing w:val="-3"/>
        </w:rPr>
        <w:t xml:space="preserve"> </w:t>
      </w:r>
      <w:r w:rsidR="008262C7" w:rsidRPr="00BD1319">
        <w:rPr>
          <w:spacing w:val="-3"/>
        </w:rPr>
        <w:t xml:space="preserve">y los </w:t>
      </w:r>
      <w:r w:rsidR="00482A5F" w:rsidRPr="00BD1319">
        <w:rPr>
          <w:spacing w:val="-3"/>
        </w:rPr>
        <w:t>valores simbólicos.</w:t>
      </w:r>
    </w:p>
    <w:p w14:paraId="4245340F" w14:textId="77777777" w:rsidR="00482A5F" w:rsidRPr="00BD1319" w:rsidRDefault="00482A5F" w:rsidP="00C86DA5"/>
    <w:p w14:paraId="73EB012F" w14:textId="094644CD" w:rsidR="00482A5F" w:rsidRPr="00BD1319" w:rsidRDefault="00482A5F" w:rsidP="002F5664">
      <w:pPr>
        <w:pStyle w:val="Ttulo4"/>
        <w:tabs>
          <w:tab w:val="clear" w:pos="1844"/>
          <w:tab w:val="num" w:pos="1134"/>
        </w:tabs>
        <w:ind w:left="0"/>
        <w:rPr>
          <w:lang w:val="es-CO"/>
        </w:rPr>
      </w:pPr>
      <w:r w:rsidRPr="00BD1319">
        <w:rPr>
          <w:lang w:val="es-CO"/>
        </w:rPr>
        <w:t>Político</w:t>
      </w:r>
      <w:r w:rsidR="00B561ED" w:rsidRPr="00BD1319">
        <w:rPr>
          <w:lang w:val="es-CO"/>
        </w:rPr>
        <w:t xml:space="preserve"> </w:t>
      </w:r>
      <w:r w:rsidRPr="00BD1319">
        <w:rPr>
          <w:lang w:val="es-CO"/>
        </w:rPr>
        <w:t>organizativo</w:t>
      </w:r>
    </w:p>
    <w:p w14:paraId="19994AD5" w14:textId="77777777" w:rsidR="00482A5F" w:rsidRPr="00BD1319" w:rsidRDefault="00482A5F" w:rsidP="00482A5F">
      <w:pPr>
        <w:numPr>
          <w:ilvl w:val="12"/>
          <w:numId w:val="0"/>
        </w:numPr>
        <w:tabs>
          <w:tab w:val="left" w:pos="-2268"/>
        </w:tabs>
        <w:suppressAutoHyphens/>
        <w:rPr>
          <w:rFonts w:cs="Arial"/>
          <w:spacing w:val="-3"/>
        </w:rPr>
      </w:pPr>
    </w:p>
    <w:p w14:paraId="28D89071" w14:textId="3B9596D9" w:rsidR="00482A5F" w:rsidRPr="00BD1319" w:rsidRDefault="00A3333A" w:rsidP="00C86DA5">
      <w:pPr>
        <w:numPr>
          <w:ilvl w:val="12"/>
          <w:numId w:val="0"/>
        </w:numPr>
        <w:tabs>
          <w:tab w:val="left" w:pos="-2268"/>
        </w:tabs>
        <w:suppressAutoHyphens/>
        <w:rPr>
          <w:spacing w:val="-3"/>
        </w:rPr>
      </w:pPr>
      <w:r w:rsidRPr="00BD1319">
        <w:rPr>
          <w:rFonts w:cs="Arial"/>
          <w:spacing w:val="-3"/>
        </w:rPr>
        <w:t xml:space="preserve">Determinar </w:t>
      </w:r>
      <w:r w:rsidR="00426865" w:rsidRPr="00BD1319">
        <w:rPr>
          <w:rFonts w:cs="Arial"/>
          <w:spacing w:val="-3"/>
        </w:rPr>
        <w:t>las</w:t>
      </w:r>
      <w:r w:rsidR="00482A5F" w:rsidRPr="00BD1319">
        <w:rPr>
          <w:spacing w:val="-3"/>
        </w:rPr>
        <w:t xml:space="preserve"> principales características </w:t>
      </w:r>
      <w:r w:rsidR="00482A5F" w:rsidRPr="00BD1319">
        <w:rPr>
          <w:rFonts w:cs="Arial"/>
          <w:spacing w:val="-3"/>
        </w:rPr>
        <w:t>político-</w:t>
      </w:r>
      <w:r w:rsidR="00422249" w:rsidRPr="00BD1319">
        <w:rPr>
          <w:rFonts w:cs="Arial"/>
          <w:spacing w:val="-3"/>
        </w:rPr>
        <w:t>organizativas</w:t>
      </w:r>
      <w:r w:rsidR="00482A5F" w:rsidRPr="00BD1319">
        <w:rPr>
          <w:rFonts w:cs="Arial"/>
          <w:spacing w:val="-3"/>
        </w:rPr>
        <w:t xml:space="preserve">, de acuerdo con la información secundaria encontrada en </w:t>
      </w:r>
      <w:r w:rsidR="00482A5F" w:rsidRPr="00BD1319">
        <w:rPr>
          <w:spacing w:val="-3"/>
        </w:rPr>
        <w:t xml:space="preserve">los </w:t>
      </w:r>
      <w:r w:rsidR="00005E00" w:rsidRPr="00BD1319">
        <w:rPr>
          <w:rFonts w:cs="Arial"/>
          <w:spacing w:val="-3"/>
        </w:rPr>
        <w:t xml:space="preserve">instrumentos </w:t>
      </w:r>
      <w:r w:rsidR="00482A5F" w:rsidRPr="00BD1319">
        <w:rPr>
          <w:spacing w:val="-3"/>
        </w:rPr>
        <w:t xml:space="preserve">de </w:t>
      </w:r>
      <w:r w:rsidR="00482A5F" w:rsidRPr="00BD1319">
        <w:rPr>
          <w:rFonts w:cs="Arial"/>
          <w:spacing w:val="-3"/>
        </w:rPr>
        <w:t>ordenamiento</w:t>
      </w:r>
      <w:r w:rsidR="00482A5F" w:rsidRPr="00BD1319">
        <w:rPr>
          <w:spacing w:val="-3"/>
        </w:rPr>
        <w:t xml:space="preserve"> territorial </w:t>
      </w:r>
      <w:r w:rsidR="00482A5F" w:rsidRPr="00BD1319">
        <w:rPr>
          <w:rFonts w:cs="Arial"/>
          <w:spacing w:val="-3"/>
        </w:rPr>
        <w:t xml:space="preserve">(EOT, </w:t>
      </w:r>
      <w:r w:rsidR="00005E00" w:rsidRPr="00BD1319">
        <w:rPr>
          <w:rFonts w:cs="Arial"/>
          <w:spacing w:val="-3"/>
        </w:rPr>
        <w:t xml:space="preserve">PBOT, </w:t>
      </w:r>
      <w:r w:rsidR="00482A5F" w:rsidRPr="00BD1319">
        <w:rPr>
          <w:rFonts w:cs="Arial"/>
          <w:spacing w:val="-3"/>
        </w:rPr>
        <w:t>POT)</w:t>
      </w:r>
      <w:r w:rsidR="00FD11BD" w:rsidRPr="00BD1319">
        <w:rPr>
          <w:rFonts w:cs="Arial"/>
          <w:spacing w:val="-3"/>
        </w:rPr>
        <w:t xml:space="preserve"> que apliquen</w:t>
      </w:r>
      <w:r w:rsidR="00426865" w:rsidRPr="00BD1319">
        <w:rPr>
          <w:rFonts w:cs="Arial"/>
          <w:spacing w:val="-3"/>
        </w:rPr>
        <w:t>, los cuales</w:t>
      </w:r>
      <w:r w:rsidR="00FD11BD" w:rsidRPr="00BD1319">
        <w:rPr>
          <w:rFonts w:cs="Arial"/>
          <w:spacing w:val="-3"/>
        </w:rPr>
        <w:t>, de acuerdo con el DNP (2013),</w:t>
      </w:r>
      <w:r w:rsidR="00426865" w:rsidRPr="00BD1319">
        <w:rPr>
          <w:rFonts w:cs="Arial"/>
          <w:spacing w:val="-3"/>
        </w:rPr>
        <w:t xml:space="preserve"> </w:t>
      </w:r>
      <w:r w:rsidR="00482A5F" w:rsidRPr="00BD1319">
        <w:rPr>
          <w:rFonts w:cs="Arial"/>
          <w:spacing w:val="-3"/>
        </w:rPr>
        <w:t>son instrumentos básicos que orientan</w:t>
      </w:r>
      <w:r w:rsidR="00BA762C" w:rsidRPr="00BD1319">
        <w:rPr>
          <w:rFonts w:cs="Arial"/>
          <w:spacing w:val="-3"/>
        </w:rPr>
        <w:t>,</w:t>
      </w:r>
      <w:r w:rsidR="00482A5F" w:rsidRPr="00BD1319">
        <w:rPr>
          <w:rFonts w:cs="Arial"/>
          <w:spacing w:val="-3"/>
        </w:rPr>
        <w:t xml:space="preserve"> regulan y </w:t>
      </w:r>
      <w:proofErr w:type="spellStart"/>
      <w:r w:rsidR="00482A5F" w:rsidRPr="00BD1319">
        <w:rPr>
          <w:rFonts w:cs="Arial"/>
          <w:spacing w:val="-3"/>
        </w:rPr>
        <w:t>espacializan</w:t>
      </w:r>
      <w:proofErr w:type="spellEnd"/>
      <w:r w:rsidR="00482A5F" w:rsidRPr="00BD1319">
        <w:rPr>
          <w:rFonts w:cs="Arial"/>
          <w:spacing w:val="-3"/>
        </w:rPr>
        <w:t xml:space="preserve"> las estrategias de desarrollo, buscando articular y armonizar la planificación sectorial y entre niveles territoriales, con respecto al uso y </w:t>
      </w:r>
      <w:r w:rsidR="00482A5F" w:rsidRPr="00BD1319">
        <w:rPr>
          <w:spacing w:val="-3"/>
        </w:rPr>
        <w:t>ocupación del territorio</w:t>
      </w:r>
      <w:r w:rsidR="00482A5F" w:rsidRPr="00BD1319">
        <w:rPr>
          <w:rFonts w:cs="Arial"/>
          <w:spacing w:val="-3"/>
        </w:rPr>
        <w:t xml:space="preserve">, y en </w:t>
      </w:r>
      <w:r w:rsidR="00482A5F" w:rsidRPr="00BD1319">
        <w:rPr>
          <w:spacing w:val="-3"/>
        </w:rPr>
        <w:t xml:space="preserve">relación </w:t>
      </w:r>
      <w:r w:rsidR="00482A5F" w:rsidRPr="00BD1319">
        <w:rPr>
          <w:rFonts w:cs="Arial"/>
          <w:spacing w:val="-3"/>
        </w:rPr>
        <w:t xml:space="preserve">con los elementos estructuran tés del </w:t>
      </w:r>
      <w:r w:rsidR="00482A5F" w:rsidRPr="00BD1319">
        <w:rPr>
          <w:spacing w:val="-3"/>
        </w:rPr>
        <w:t>territorio</w:t>
      </w:r>
      <w:r w:rsidR="00482A5F" w:rsidRPr="00BD1319">
        <w:rPr>
          <w:rFonts w:cs="Arial"/>
          <w:spacing w:val="-3"/>
        </w:rPr>
        <w:t xml:space="preserve"> departamental, comprendiendo no sólo la dimensión geográfica, sino también la económica, social, cultural e institucional</w:t>
      </w:r>
      <w:r w:rsidR="00805DBC" w:rsidRPr="00BD1319">
        <w:rPr>
          <w:rFonts w:cs="Arial"/>
          <w:spacing w:val="-3"/>
        </w:rPr>
        <w:t>.</w:t>
      </w:r>
    </w:p>
    <w:p w14:paraId="172A0855" w14:textId="77777777" w:rsidR="00482A5F" w:rsidRPr="00BD1319" w:rsidRDefault="00482A5F" w:rsidP="00C86DA5">
      <w:pPr>
        <w:numPr>
          <w:ilvl w:val="12"/>
          <w:numId w:val="0"/>
        </w:numPr>
        <w:tabs>
          <w:tab w:val="left" w:pos="-2268"/>
        </w:tabs>
        <w:suppressAutoHyphens/>
        <w:rPr>
          <w:spacing w:val="-3"/>
        </w:rPr>
      </w:pPr>
    </w:p>
    <w:p w14:paraId="51679B22" w14:textId="56BE3B90" w:rsidR="008278D6" w:rsidRPr="00BD1319" w:rsidRDefault="00A3333A" w:rsidP="008278D6">
      <w:pPr>
        <w:numPr>
          <w:ilvl w:val="12"/>
          <w:numId w:val="0"/>
        </w:numPr>
        <w:tabs>
          <w:tab w:val="left" w:pos="-2268"/>
        </w:tabs>
        <w:suppressAutoHyphens/>
        <w:rPr>
          <w:spacing w:val="-3"/>
        </w:rPr>
      </w:pPr>
      <w:r w:rsidRPr="00BD1319">
        <w:rPr>
          <w:spacing w:val="-3"/>
        </w:rPr>
        <w:t>I</w:t>
      </w:r>
      <w:r w:rsidR="008278D6" w:rsidRPr="00BD1319">
        <w:rPr>
          <w:spacing w:val="-3"/>
        </w:rPr>
        <w:t>ncluir información relacionada con los procesos de gobernanza</w:t>
      </w:r>
      <w:r w:rsidR="007C77CC" w:rsidRPr="00BD1319">
        <w:rPr>
          <w:rStyle w:val="Refdenotaalpie"/>
          <w:spacing w:val="-3"/>
          <w:lang w:val="es-CO"/>
        </w:rPr>
        <w:footnoteReference w:id="152"/>
      </w:r>
      <w:r w:rsidR="008278D6" w:rsidRPr="00BD1319">
        <w:rPr>
          <w:spacing w:val="-3"/>
        </w:rPr>
        <w:t xml:space="preserve"> existentes en el territorio (</w:t>
      </w:r>
      <w:r w:rsidR="00041844" w:rsidRPr="00BD1319">
        <w:rPr>
          <w:spacing w:val="-3"/>
        </w:rPr>
        <w:t>p. ej.</w:t>
      </w:r>
      <w:r w:rsidR="00FD11BD" w:rsidRPr="00BD1319">
        <w:rPr>
          <w:spacing w:val="-3"/>
        </w:rPr>
        <w:t xml:space="preserve"> </w:t>
      </w:r>
      <w:r w:rsidR="008278D6" w:rsidRPr="00BD1319">
        <w:rPr>
          <w:spacing w:val="-3"/>
        </w:rPr>
        <w:t>organizaciones sociales</w:t>
      </w:r>
      <w:r w:rsidR="00FD11BD" w:rsidRPr="00BD1319">
        <w:rPr>
          <w:spacing w:val="-3"/>
        </w:rPr>
        <w:t xml:space="preserve"> y</w:t>
      </w:r>
      <w:r w:rsidR="008278D6" w:rsidRPr="00BD1319">
        <w:rPr>
          <w:spacing w:val="-3"/>
        </w:rPr>
        <w:t xml:space="preserve"> ONG), con el fin de entender de manera amplia</w:t>
      </w:r>
      <w:r w:rsidR="008B6C72" w:rsidRPr="00BD1319">
        <w:rPr>
          <w:spacing w:val="-3"/>
        </w:rPr>
        <w:t>,</w:t>
      </w:r>
      <w:r w:rsidR="008278D6" w:rsidRPr="00BD1319">
        <w:rPr>
          <w:spacing w:val="-3"/>
        </w:rPr>
        <w:t xml:space="preserve"> cómo se configura </w:t>
      </w:r>
      <w:r w:rsidR="008B6C72" w:rsidRPr="00BD1319">
        <w:rPr>
          <w:spacing w:val="-3"/>
        </w:rPr>
        <w:t xml:space="preserve">la </w:t>
      </w:r>
      <w:r w:rsidR="008278D6" w:rsidRPr="00BD1319">
        <w:rPr>
          <w:spacing w:val="-3"/>
        </w:rPr>
        <w:t xml:space="preserve">estructura político-organizativa </w:t>
      </w:r>
      <w:r w:rsidR="008B6C72" w:rsidRPr="00BD1319">
        <w:rPr>
          <w:spacing w:val="-3"/>
        </w:rPr>
        <w:t xml:space="preserve">del territorio </w:t>
      </w:r>
      <w:r w:rsidR="008278D6" w:rsidRPr="00BD1319">
        <w:rPr>
          <w:spacing w:val="-3"/>
        </w:rPr>
        <w:t>y c</w:t>
      </w:r>
      <w:r w:rsidR="008B6C72" w:rsidRPr="00BD1319">
        <w:rPr>
          <w:spacing w:val="-3"/>
        </w:rPr>
        <w:t xml:space="preserve">ómo se </w:t>
      </w:r>
      <w:r w:rsidR="008278D6" w:rsidRPr="00BD1319">
        <w:rPr>
          <w:spacing w:val="-3"/>
        </w:rPr>
        <w:t>relaciona</w:t>
      </w:r>
      <w:r w:rsidR="008B6C72" w:rsidRPr="00BD1319">
        <w:rPr>
          <w:spacing w:val="-3"/>
        </w:rPr>
        <w:t xml:space="preserve"> dicha gobernanza </w:t>
      </w:r>
      <w:r w:rsidR="008278D6" w:rsidRPr="00BD1319">
        <w:rPr>
          <w:spacing w:val="-3"/>
        </w:rPr>
        <w:t xml:space="preserve">con </w:t>
      </w:r>
      <w:r w:rsidR="008B6C72" w:rsidRPr="00BD1319">
        <w:rPr>
          <w:spacing w:val="-3"/>
        </w:rPr>
        <w:t xml:space="preserve">los </w:t>
      </w:r>
      <w:r w:rsidR="008278D6" w:rsidRPr="00BD1319">
        <w:rPr>
          <w:spacing w:val="-3"/>
        </w:rPr>
        <w:t>grupos de interés.</w:t>
      </w:r>
    </w:p>
    <w:p w14:paraId="710113F5" w14:textId="77777777" w:rsidR="008278D6" w:rsidRPr="00BD1319" w:rsidRDefault="008278D6" w:rsidP="00C86DA5">
      <w:pPr>
        <w:numPr>
          <w:ilvl w:val="12"/>
          <w:numId w:val="0"/>
        </w:numPr>
        <w:tabs>
          <w:tab w:val="left" w:pos="-2268"/>
        </w:tabs>
        <w:suppressAutoHyphens/>
        <w:rPr>
          <w:spacing w:val="-3"/>
        </w:rPr>
      </w:pPr>
    </w:p>
    <w:p w14:paraId="428E7115" w14:textId="59FBCCC0" w:rsidR="00482A5F" w:rsidRPr="00BD1319" w:rsidRDefault="00482A5F" w:rsidP="00216955">
      <w:pPr>
        <w:pStyle w:val="Ttulo3"/>
      </w:pPr>
      <w:bookmarkStart w:id="2931" w:name="_Toc43485721"/>
      <w:bookmarkStart w:id="2932" w:name="_Toc43485722"/>
      <w:bookmarkStart w:id="2933" w:name="_Toc42764356"/>
      <w:bookmarkStart w:id="2934" w:name="_Toc175326775"/>
      <w:bookmarkEnd w:id="2931"/>
      <w:bookmarkEnd w:id="2932"/>
      <w:r w:rsidRPr="00BD1319">
        <w:t>Caracterización del área de influencia del medio socioeconómico</w:t>
      </w:r>
      <w:bookmarkEnd w:id="2933"/>
      <w:bookmarkEnd w:id="2934"/>
    </w:p>
    <w:p w14:paraId="6D95020D" w14:textId="77777777" w:rsidR="00482A5F" w:rsidRPr="00BD1319" w:rsidRDefault="00482A5F" w:rsidP="00482A5F">
      <w:pPr>
        <w:numPr>
          <w:ilvl w:val="12"/>
          <w:numId w:val="0"/>
        </w:numPr>
        <w:tabs>
          <w:tab w:val="left" w:pos="-2268"/>
        </w:tabs>
        <w:suppressAutoHyphens/>
        <w:rPr>
          <w:rFonts w:cs="Arial"/>
          <w:spacing w:val="-3"/>
        </w:rPr>
      </w:pPr>
    </w:p>
    <w:p w14:paraId="087C9B3F" w14:textId="5AFFEDC9" w:rsidR="00482A5F" w:rsidRPr="00BD1319" w:rsidRDefault="00EE7571" w:rsidP="00482A5F">
      <w:pPr>
        <w:numPr>
          <w:ilvl w:val="12"/>
          <w:numId w:val="0"/>
        </w:numPr>
        <w:tabs>
          <w:tab w:val="left" w:pos="-2268"/>
        </w:tabs>
        <w:suppressAutoHyphens/>
        <w:rPr>
          <w:rFonts w:cs="Arial"/>
          <w:spacing w:val="-3"/>
        </w:rPr>
      </w:pPr>
      <w:r w:rsidRPr="00BD1319">
        <w:rPr>
          <w:rFonts w:cs="Arial"/>
          <w:spacing w:val="-3"/>
        </w:rPr>
        <w:t xml:space="preserve">La </w:t>
      </w:r>
      <w:r w:rsidR="00482A5F" w:rsidRPr="00BD1319">
        <w:rPr>
          <w:rFonts w:cs="Arial"/>
          <w:spacing w:val="-3"/>
        </w:rPr>
        <w:t xml:space="preserve">información de caracterización socioeconómica de </w:t>
      </w:r>
      <w:r w:rsidR="00482A5F" w:rsidRPr="00BD1319">
        <w:rPr>
          <w:spacing w:val="-3"/>
        </w:rPr>
        <w:t xml:space="preserve">las </w:t>
      </w:r>
      <w:r w:rsidR="006D75A2" w:rsidRPr="00BD1319">
        <w:rPr>
          <w:spacing w:val="-3"/>
        </w:rPr>
        <w:t>unidades de análisis territorial</w:t>
      </w:r>
      <w:r w:rsidR="00482A5F" w:rsidRPr="00BD1319">
        <w:rPr>
          <w:spacing w:val="-3"/>
        </w:rPr>
        <w:t xml:space="preserve"> </w:t>
      </w:r>
      <w:r w:rsidR="00482A5F" w:rsidRPr="00BD1319">
        <w:rPr>
          <w:rFonts w:cs="Arial"/>
          <w:spacing w:val="-3"/>
        </w:rPr>
        <w:t>(</w:t>
      </w:r>
      <w:r w:rsidR="00482A5F" w:rsidRPr="00BD1319">
        <w:rPr>
          <w:rFonts w:cs="Arial"/>
        </w:rPr>
        <w:t>resguardos indígenas, territorios colectivos, barrios, veredas o sectores de veredas, corregimientos</w:t>
      </w:r>
      <w:r w:rsidR="00F105CE" w:rsidRPr="00BD1319">
        <w:rPr>
          <w:rFonts w:cs="Arial"/>
        </w:rPr>
        <w:t xml:space="preserve"> municipales</w:t>
      </w:r>
      <w:r w:rsidR="00482A5F" w:rsidRPr="00BD1319">
        <w:rPr>
          <w:rFonts w:cs="Arial"/>
        </w:rPr>
        <w:t xml:space="preserve">, municipios, </w:t>
      </w:r>
      <w:r w:rsidR="00482A5F" w:rsidRPr="00BD1319">
        <w:rPr>
          <w:rFonts w:cs="Arial"/>
          <w:spacing w:val="-3"/>
        </w:rPr>
        <w:t xml:space="preserve">u otras unidades reconocidas administrativa y socialmente), </w:t>
      </w:r>
      <w:r w:rsidRPr="00BD1319">
        <w:rPr>
          <w:rFonts w:cs="Arial"/>
          <w:spacing w:val="-3"/>
        </w:rPr>
        <w:t xml:space="preserve">debe efectuarse </w:t>
      </w:r>
      <w:r w:rsidR="00482A5F" w:rsidRPr="00BD1319">
        <w:rPr>
          <w:rFonts w:cs="Arial"/>
          <w:spacing w:val="-3"/>
        </w:rPr>
        <w:t xml:space="preserve">primordialmente </w:t>
      </w:r>
      <w:r w:rsidRPr="00BD1319">
        <w:rPr>
          <w:spacing w:val="-3"/>
        </w:rPr>
        <w:t xml:space="preserve">mediante el levantamiento de </w:t>
      </w:r>
      <w:r w:rsidR="00482A5F" w:rsidRPr="00BD1319">
        <w:rPr>
          <w:rFonts w:cs="Arial"/>
          <w:spacing w:val="-3"/>
        </w:rPr>
        <w:t>información primaria (</w:t>
      </w:r>
      <w:r w:rsidR="00041844" w:rsidRPr="00BD1319">
        <w:rPr>
          <w:rFonts w:cs="Arial"/>
          <w:spacing w:val="-3"/>
        </w:rPr>
        <w:t>p. ej.</w:t>
      </w:r>
      <w:r w:rsidRPr="00BD1319">
        <w:rPr>
          <w:rFonts w:cs="Arial"/>
          <w:spacing w:val="-3"/>
        </w:rPr>
        <w:t xml:space="preserve"> </w:t>
      </w:r>
      <w:r w:rsidR="00482A5F" w:rsidRPr="00BD1319">
        <w:rPr>
          <w:rFonts w:cs="Arial"/>
          <w:spacing w:val="-3"/>
        </w:rPr>
        <w:t xml:space="preserve">fichas verdales, cartografía social) que </w:t>
      </w:r>
      <w:r w:rsidRPr="00BD1319">
        <w:rPr>
          <w:rFonts w:cs="Arial"/>
          <w:spacing w:val="-3"/>
        </w:rPr>
        <w:t xml:space="preserve">pueda </w:t>
      </w:r>
      <w:r w:rsidR="00482A5F" w:rsidRPr="00BD1319">
        <w:rPr>
          <w:rFonts w:cs="Arial"/>
          <w:spacing w:val="-3"/>
        </w:rPr>
        <w:t xml:space="preserve">ser contrastada o analizada con información secundaria. </w:t>
      </w:r>
    </w:p>
    <w:p w14:paraId="2F5C705E" w14:textId="77777777" w:rsidR="00482A5F" w:rsidRPr="00BD1319" w:rsidRDefault="00482A5F">
      <w:pPr>
        <w:numPr>
          <w:ilvl w:val="12"/>
          <w:numId w:val="0"/>
        </w:numPr>
        <w:tabs>
          <w:tab w:val="left" w:pos="-2268"/>
        </w:tabs>
        <w:suppressAutoHyphens/>
        <w:rPr>
          <w:spacing w:val="-3"/>
        </w:rPr>
      </w:pPr>
    </w:p>
    <w:p w14:paraId="084F8DA2" w14:textId="77777777" w:rsidR="00482A5F" w:rsidRPr="00BD1319" w:rsidRDefault="00482A5F">
      <w:pPr>
        <w:numPr>
          <w:ilvl w:val="12"/>
          <w:numId w:val="0"/>
        </w:numPr>
        <w:tabs>
          <w:tab w:val="left" w:pos="-2268"/>
        </w:tabs>
        <w:suppressAutoHyphens/>
        <w:rPr>
          <w:spacing w:val="-3"/>
        </w:rPr>
      </w:pPr>
      <w:r w:rsidRPr="00BD1319">
        <w:rPr>
          <w:spacing w:val="-3"/>
        </w:rPr>
        <w:t>Los métodos, herramientas y técnicas de recopilación de información deben estar debidamente referenciados y soportados dentro del EIA.</w:t>
      </w:r>
    </w:p>
    <w:p w14:paraId="6EF93E44" w14:textId="77777777" w:rsidR="00482A5F" w:rsidRPr="00BD1319" w:rsidRDefault="00482A5F">
      <w:pPr>
        <w:numPr>
          <w:ilvl w:val="12"/>
          <w:numId w:val="0"/>
        </w:numPr>
        <w:tabs>
          <w:tab w:val="left" w:pos="-2268"/>
        </w:tabs>
        <w:suppressAutoHyphens/>
        <w:rPr>
          <w:spacing w:val="-3"/>
        </w:rPr>
      </w:pPr>
    </w:p>
    <w:p w14:paraId="6AD69C4E" w14:textId="127F1458" w:rsidR="00482A5F" w:rsidRPr="00BD1319" w:rsidRDefault="00EE7571" w:rsidP="00482A5F">
      <w:pPr>
        <w:numPr>
          <w:ilvl w:val="12"/>
          <w:numId w:val="0"/>
        </w:numPr>
        <w:tabs>
          <w:tab w:val="left" w:pos="-2268"/>
        </w:tabs>
        <w:suppressAutoHyphens/>
        <w:rPr>
          <w:rFonts w:cs="Arial"/>
          <w:spacing w:val="-3"/>
        </w:rPr>
      </w:pPr>
      <w:r w:rsidRPr="00BD1319">
        <w:rPr>
          <w:spacing w:val="-3"/>
        </w:rPr>
        <w:t xml:space="preserve">Las fuentes de información secundaria a emplear deben estar debidamente acreditadas, proceder de instituciones gubernamentales o de otras instituciones de reconocida idoneidad, al igual que de información </w:t>
      </w:r>
      <w:r w:rsidRPr="00BD1319">
        <w:rPr>
          <w:rFonts w:cs="Arial"/>
          <w:spacing w:val="-3"/>
        </w:rPr>
        <w:t xml:space="preserve">vigente </w:t>
      </w:r>
      <w:r w:rsidRPr="00BD1319">
        <w:rPr>
          <w:spacing w:val="-3"/>
        </w:rPr>
        <w:t>consignada en estudios regionales y locales recientes</w:t>
      </w:r>
      <w:r w:rsidRPr="00BD1319" w:rsidDel="00E21473">
        <w:rPr>
          <w:rFonts w:cs="Arial"/>
          <w:spacing w:val="-3"/>
        </w:rPr>
        <w:t xml:space="preserve"> </w:t>
      </w:r>
      <w:r w:rsidR="00482A5F" w:rsidRPr="00BD1319">
        <w:rPr>
          <w:rFonts w:cs="Arial"/>
          <w:spacing w:val="-3"/>
        </w:rPr>
        <w:t>(</w:t>
      </w:r>
      <w:r w:rsidRPr="00BD1319">
        <w:rPr>
          <w:rFonts w:cs="Arial"/>
          <w:spacing w:val="-3"/>
        </w:rPr>
        <w:t xml:space="preserve">cuya antigüedad sea </w:t>
      </w:r>
      <w:r w:rsidR="00482A5F" w:rsidRPr="00BD1319">
        <w:rPr>
          <w:rFonts w:cs="Arial"/>
          <w:spacing w:val="-3"/>
        </w:rPr>
        <w:t>menor a 10 años o que se trate de la última información oficial publicada)</w:t>
      </w:r>
      <w:r w:rsidRPr="00BD1319">
        <w:rPr>
          <w:rFonts w:cs="Arial"/>
          <w:spacing w:val="-3"/>
        </w:rPr>
        <w:t>;</w:t>
      </w:r>
      <w:r w:rsidR="0072054C" w:rsidRPr="00BD1319">
        <w:rPr>
          <w:rFonts w:cs="Arial"/>
          <w:spacing w:val="-3"/>
        </w:rPr>
        <w:t xml:space="preserve"> </w:t>
      </w:r>
      <w:r w:rsidRPr="00BD1319">
        <w:rPr>
          <w:spacing w:val="-3"/>
        </w:rPr>
        <w:t>la información secundaria existente puede emplearse en la medida en que sus datos revistan confiabilidad y pertinencia, y sus fuentes sean plenamente identificadas</w:t>
      </w:r>
      <w:r w:rsidR="00482A5F" w:rsidRPr="00BD1319">
        <w:rPr>
          <w:rFonts w:cs="Arial"/>
          <w:spacing w:val="-3"/>
        </w:rPr>
        <w:t>.</w:t>
      </w:r>
      <w:r w:rsidRPr="00BD1319">
        <w:rPr>
          <w:rFonts w:cs="Arial"/>
          <w:spacing w:val="-3"/>
        </w:rPr>
        <w:t xml:space="preserve"> </w:t>
      </w:r>
      <w:r w:rsidRPr="00BD1319">
        <w:rPr>
          <w:spacing w:val="-3"/>
        </w:rPr>
        <w:t>Toda la información secundaria que se utilice debe ser citada apropiadamente en el estudio ambiental</w:t>
      </w:r>
    </w:p>
    <w:p w14:paraId="1C7A8D2F" w14:textId="77777777" w:rsidR="00EE7571" w:rsidRPr="00BD1319" w:rsidRDefault="00EE7571" w:rsidP="00482A5F">
      <w:pPr>
        <w:numPr>
          <w:ilvl w:val="12"/>
          <w:numId w:val="0"/>
        </w:numPr>
        <w:tabs>
          <w:tab w:val="left" w:pos="-2268"/>
        </w:tabs>
        <w:suppressAutoHyphens/>
        <w:rPr>
          <w:rFonts w:cs="Arial"/>
          <w:spacing w:val="-3"/>
        </w:rPr>
      </w:pPr>
    </w:p>
    <w:p w14:paraId="50E699EB" w14:textId="4EEB17FE" w:rsidR="00482A5F" w:rsidRPr="00BD1319" w:rsidRDefault="00482A5F" w:rsidP="00482A5F">
      <w:pPr>
        <w:numPr>
          <w:ilvl w:val="12"/>
          <w:numId w:val="0"/>
        </w:numPr>
        <w:tabs>
          <w:tab w:val="left" w:pos="-2268"/>
        </w:tabs>
        <w:suppressAutoHyphens/>
        <w:rPr>
          <w:rFonts w:cs="Arial"/>
          <w:spacing w:val="-3"/>
        </w:rPr>
      </w:pPr>
      <w:r w:rsidRPr="00BD1319">
        <w:rPr>
          <w:rFonts w:cs="Arial"/>
          <w:spacing w:val="-3"/>
        </w:rPr>
        <w:t xml:space="preserve">La información debe permitir conocer las principales características socioeconómicas de la población del área de influencia de los componentes del medio </w:t>
      </w:r>
      <w:r w:rsidR="00212B29" w:rsidRPr="00BD1319">
        <w:rPr>
          <w:rFonts w:cs="Arial"/>
          <w:spacing w:val="-3"/>
        </w:rPr>
        <w:t xml:space="preserve">que pueden ser alterados por la ejecución de </w:t>
      </w:r>
      <w:r w:rsidRPr="00BD1319">
        <w:rPr>
          <w:rFonts w:cs="Arial"/>
          <w:spacing w:val="-3"/>
        </w:rPr>
        <w:t xml:space="preserve">las actividades propias del proyecto, </w:t>
      </w:r>
      <w:r w:rsidR="00212B29" w:rsidRPr="00BD1319">
        <w:rPr>
          <w:rFonts w:cs="Arial"/>
          <w:spacing w:val="-3"/>
        </w:rPr>
        <w:t xml:space="preserve">obra o actividad, lo cual incluye también </w:t>
      </w:r>
      <w:r w:rsidRPr="00BD1319">
        <w:rPr>
          <w:rFonts w:cs="Arial"/>
          <w:spacing w:val="-3"/>
        </w:rPr>
        <w:t>el uso y aprovechamiento de recursos naturales.</w:t>
      </w:r>
      <w:r w:rsidR="00A33D6C" w:rsidRPr="00BD1319">
        <w:rPr>
          <w:rFonts w:cs="Arial"/>
          <w:spacing w:val="-3"/>
        </w:rPr>
        <w:t xml:space="preserve"> </w:t>
      </w:r>
      <w:r w:rsidR="00EB523D" w:rsidRPr="00BD1319">
        <w:rPr>
          <w:rFonts w:cs="Arial"/>
          <w:spacing w:val="-3"/>
        </w:rPr>
        <w:t xml:space="preserve">La información debe obtenerse aplicando un enfoque diferencial que considere y </w:t>
      </w:r>
      <w:r w:rsidR="00402C6E" w:rsidRPr="00BD1319">
        <w:rPr>
          <w:rFonts w:cs="Arial"/>
          <w:spacing w:val="-3"/>
        </w:rPr>
        <w:t xml:space="preserve">permita conocer </w:t>
      </w:r>
      <w:r w:rsidR="00EB523D" w:rsidRPr="00BD1319">
        <w:rPr>
          <w:rFonts w:cs="Arial"/>
          <w:spacing w:val="-3"/>
        </w:rPr>
        <w:t xml:space="preserve">las características de grupos </w:t>
      </w:r>
      <w:r w:rsidR="00402C6E" w:rsidRPr="00BD1319">
        <w:rPr>
          <w:rFonts w:cs="Arial"/>
          <w:spacing w:val="-3"/>
        </w:rPr>
        <w:t xml:space="preserve">de interés como </w:t>
      </w:r>
      <w:r w:rsidR="00EB523D" w:rsidRPr="00BD1319">
        <w:rPr>
          <w:rFonts w:cs="Arial"/>
          <w:spacing w:val="-3"/>
        </w:rPr>
        <w:t xml:space="preserve">mujeres, jóvenes, comunidades indígenas, comunidades negras, </w:t>
      </w:r>
      <w:r w:rsidR="00402C6E" w:rsidRPr="00BD1319">
        <w:rPr>
          <w:rFonts w:cs="Arial"/>
          <w:spacing w:val="-3"/>
        </w:rPr>
        <w:t xml:space="preserve">así como evidenciar diferencias entre diferentes entornos (p. ej. </w:t>
      </w:r>
      <w:r w:rsidR="00EB523D" w:rsidRPr="00BD1319">
        <w:rPr>
          <w:rFonts w:cs="Arial"/>
          <w:spacing w:val="-3"/>
        </w:rPr>
        <w:t>brecha urbano – rural</w:t>
      </w:r>
      <w:r w:rsidR="00402C6E" w:rsidRPr="00BD1319">
        <w:rPr>
          <w:rFonts w:cs="Arial"/>
          <w:spacing w:val="-3"/>
        </w:rPr>
        <w:t>).</w:t>
      </w:r>
    </w:p>
    <w:p w14:paraId="39ABB605" w14:textId="77777777" w:rsidR="00482A5F" w:rsidRPr="00BD1319" w:rsidRDefault="00482A5F">
      <w:pPr>
        <w:numPr>
          <w:ilvl w:val="12"/>
          <w:numId w:val="0"/>
        </w:numPr>
        <w:tabs>
          <w:tab w:val="left" w:pos="-2268"/>
        </w:tabs>
        <w:suppressAutoHyphens/>
        <w:rPr>
          <w:spacing w:val="-3"/>
        </w:rPr>
      </w:pPr>
    </w:p>
    <w:p w14:paraId="0B72BC01" w14:textId="77777777" w:rsidR="00482A5F" w:rsidRPr="00BD1319" w:rsidRDefault="00482A5F">
      <w:pPr>
        <w:numPr>
          <w:ilvl w:val="12"/>
          <w:numId w:val="0"/>
        </w:numPr>
        <w:tabs>
          <w:tab w:val="left" w:pos="-2268"/>
        </w:tabs>
        <w:suppressAutoHyphens/>
        <w:rPr>
          <w:spacing w:val="-3"/>
        </w:rPr>
      </w:pPr>
      <w:r w:rsidRPr="00BD1319">
        <w:rPr>
          <w:spacing w:val="-3"/>
        </w:rPr>
        <w:t>La caracterización del medio socioeconómico debe referirse a los siguientes componentes:</w:t>
      </w:r>
    </w:p>
    <w:p w14:paraId="25ECAD69" w14:textId="77777777" w:rsidR="00163A42" w:rsidRPr="00BD1319" w:rsidRDefault="00163A42" w:rsidP="00482A5F">
      <w:pPr>
        <w:numPr>
          <w:ilvl w:val="12"/>
          <w:numId w:val="0"/>
        </w:numPr>
        <w:tabs>
          <w:tab w:val="left" w:pos="-2268"/>
        </w:tabs>
        <w:suppressAutoHyphens/>
        <w:rPr>
          <w:rFonts w:cs="Arial"/>
          <w:spacing w:val="-3"/>
        </w:rPr>
      </w:pPr>
    </w:p>
    <w:p w14:paraId="4EC9C570" w14:textId="0CB3B8DA" w:rsidR="00482A5F" w:rsidRPr="00BD1319" w:rsidRDefault="00B561ED" w:rsidP="002F5664">
      <w:pPr>
        <w:pStyle w:val="Ttulo4"/>
        <w:tabs>
          <w:tab w:val="clear" w:pos="1844"/>
          <w:tab w:val="num" w:pos="1134"/>
        </w:tabs>
        <w:ind w:left="0"/>
        <w:rPr>
          <w:lang w:val="es-CO"/>
        </w:rPr>
      </w:pPr>
      <w:r w:rsidRPr="00BD1319">
        <w:rPr>
          <w:lang w:val="es-CO"/>
        </w:rPr>
        <w:t>D</w:t>
      </w:r>
      <w:r w:rsidR="00482A5F" w:rsidRPr="00BD1319">
        <w:rPr>
          <w:lang w:val="es-CO"/>
        </w:rPr>
        <w:t>emográfico</w:t>
      </w:r>
    </w:p>
    <w:p w14:paraId="696BE938" w14:textId="77777777" w:rsidR="00BA2CD8" w:rsidRPr="00BD1319" w:rsidRDefault="00BA2CD8" w:rsidP="00482A5F">
      <w:pPr>
        <w:numPr>
          <w:ilvl w:val="12"/>
          <w:numId w:val="0"/>
        </w:numPr>
        <w:tabs>
          <w:tab w:val="left" w:pos="-2268"/>
        </w:tabs>
        <w:suppressAutoHyphens/>
        <w:rPr>
          <w:rFonts w:cs="Arial"/>
          <w:spacing w:val="-3"/>
        </w:rPr>
      </w:pPr>
    </w:p>
    <w:p w14:paraId="2A51A242" w14:textId="1DE10A98" w:rsidR="00482A5F" w:rsidRPr="00BD1319" w:rsidRDefault="00482A5F">
      <w:pPr>
        <w:numPr>
          <w:ilvl w:val="12"/>
          <w:numId w:val="0"/>
        </w:numPr>
        <w:tabs>
          <w:tab w:val="left" w:pos="-2268"/>
        </w:tabs>
        <w:suppressAutoHyphens/>
        <w:rPr>
          <w:spacing w:val="-3"/>
        </w:rPr>
      </w:pPr>
      <w:r w:rsidRPr="00BD1319">
        <w:rPr>
          <w:rFonts w:cs="Arial"/>
          <w:spacing w:val="-3"/>
        </w:rPr>
        <w:t xml:space="preserve">Para las </w:t>
      </w:r>
      <w:r w:rsidR="006D75A2" w:rsidRPr="00BD1319">
        <w:rPr>
          <w:rFonts w:cs="Arial"/>
          <w:spacing w:val="-3"/>
        </w:rPr>
        <w:t>unidades de análisis territorial</w:t>
      </w:r>
      <w:r w:rsidRPr="00BD1319">
        <w:rPr>
          <w:rFonts w:cs="Arial"/>
          <w:spacing w:val="-3"/>
        </w:rPr>
        <w:t xml:space="preserve"> </w:t>
      </w:r>
      <w:r w:rsidR="00212B29" w:rsidRPr="00BD1319">
        <w:rPr>
          <w:rFonts w:cs="Arial"/>
          <w:spacing w:val="-3"/>
        </w:rPr>
        <w:t xml:space="preserve">del área de influencia del componente </w:t>
      </w:r>
      <w:r w:rsidRPr="00BD1319">
        <w:rPr>
          <w:spacing w:val="-3"/>
        </w:rPr>
        <w:t xml:space="preserve">se deben </w:t>
      </w:r>
      <w:r w:rsidR="00212B29" w:rsidRPr="00BD1319">
        <w:rPr>
          <w:spacing w:val="-3"/>
        </w:rPr>
        <w:t xml:space="preserve">describir </w:t>
      </w:r>
      <w:r w:rsidR="00D534E3" w:rsidRPr="00BD1319">
        <w:rPr>
          <w:spacing w:val="-3"/>
        </w:rPr>
        <w:t>las</w:t>
      </w:r>
      <w:r w:rsidRPr="00BD1319">
        <w:rPr>
          <w:spacing w:val="-3"/>
        </w:rPr>
        <w:t xml:space="preserve"> siguientes condiciones </w:t>
      </w:r>
      <w:r w:rsidRPr="00BD1319">
        <w:rPr>
          <w:rFonts w:cs="Arial"/>
          <w:spacing w:val="-3"/>
        </w:rPr>
        <w:t>demográficas</w:t>
      </w:r>
      <w:r w:rsidR="00805DBC" w:rsidRPr="00BD1319">
        <w:rPr>
          <w:rFonts w:cs="Arial"/>
          <w:spacing w:val="-3"/>
        </w:rPr>
        <w:t>:</w:t>
      </w:r>
    </w:p>
    <w:p w14:paraId="18CA841D" w14:textId="77777777" w:rsidR="00482A5F" w:rsidRPr="00BD1319" w:rsidRDefault="00482A5F">
      <w:pPr>
        <w:numPr>
          <w:ilvl w:val="12"/>
          <w:numId w:val="0"/>
        </w:numPr>
        <w:tabs>
          <w:tab w:val="left" w:pos="-2268"/>
        </w:tabs>
        <w:suppressAutoHyphens/>
        <w:rPr>
          <w:spacing w:val="-3"/>
        </w:rPr>
      </w:pPr>
    </w:p>
    <w:p w14:paraId="2C3B009D" w14:textId="77777777" w:rsidR="00482A5F" w:rsidRPr="00BD1319" w:rsidRDefault="00482A5F" w:rsidP="00C86DA5">
      <w:pPr>
        <w:numPr>
          <w:ilvl w:val="0"/>
          <w:numId w:val="385"/>
        </w:numPr>
        <w:tabs>
          <w:tab w:val="left" w:pos="-2268"/>
        </w:tabs>
        <w:suppressAutoHyphens/>
        <w:ind w:left="567" w:hanging="567"/>
        <w:rPr>
          <w:spacing w:val="-3"/>
        </w:rPr>
      </w:pPr>
      <w:r w:rsidRPr="00BD1319">
        <w:rPr>
          <w:spacing w:val="-3"/>
        </w:rPr>
        <w:t>Grupos poblacionales (étnicos, colonos, campesinos, entre otros).</w:t>
      </w:r>
    </w:p>
    <w:p w14:paraId="6E9343B9" w14:textId="77777777" w:rsidR="00482A5F" w:rsidRPr="00BD1319" w:rsidRDefault="00482A5F">
      <w:pPr>
        <w:tabs>
          <w:tab w:val="left" w:pos="-2268"/>
        </w:tabs>
        <w:suppressAutoHyphens/>
        <w:rPr>
          <w:spacing w:val="-3"/>
        </w:rPr>
      </w:pPr>
    </w:p>
    <w:p w14:paraId="229A155B" w14:textId="5C3AF2D0" w:rsidR="00482A5F" w:rsidRPr="00BD1319" w:rsidRDefault="00482A5F" w:rsidP="00C86DA5">
      <w:pPr>
        <w:numPr>
          <w:ilvl w:val="0"/>
          <w:numId w:val="385"/>
        </w:numPr>
        <w:tabs>
          <w:tab w:val="left" w:pos="-2268"/>
        </w:tabs>
        <w:suppressAutoHyphens/>
        <w:ind w:left="567" w:hanging="567"/>
        <w:rPr>
          <w:spacing w:val="-3"/>
        </w:rPr>
      </w:pPr>
      <w:r w:rsidRPr="00BD1319">
        <w:rPr>
          <w:spacing w:val="-3"/>
        </w:rPr>
        <w:t xml:space="preserve">Estructura </w:t>
      </w:r>
      <w:r w:rsidR="0089125E" w:rsidRPr="00BD1319">
        <w:rPr>
          <w:spacing w:val="-3"/>
        </w:rPr>
        <w:t xml:space="preserve">y densidad </w:t>
      </w:r>
      <w:r w:rsidRPr="00BD1319">
        <w:rPr>
          <w:spacing w:val="-3"/>
        </w:rPr>
        <w:t>de la población</w:t>
      </w:r>
      <w:r w:rsidR="00212B29" w:rsidRPr="00BD1319">
        <w:rPr>
          <w:spacing w:val="-3"/>
        </w:rPr>
        <w:t>, señalando la</w:t>
      </w:r>
      <w:r w:rsidRPr="00BD1319">
        <w:rPr>
          <w:spacing w:val="-3"/>
        </w:rPr>
        <w:t xml:space="preserve"> población total en cada unidad </w:t>
      </w:r>
      <w:r w:rsidR="006A6CC6" w:rsidRPr="00BD1319">
        <w:rPr>
          <w:spacing w:val="-3"/>
        </w:rPr>
        <w:t xml:space="preserve">de análisis </w:t>
      </w:r>
      <w:r w:rsidRPr="00BD1319">
        <w:rPr>
          <w:spacing w:val="-3"/>
        </w:rPr>
        <w:t>territorial, composición por edad y sexo, número de hogares, promedio de personas por hogar, población en edad de trabajar</w:t>
      </w:r>
      <w:r w:rsidRPr="00BD1319">
        <w:rPr>
          <w:spacing w:val="-3"/>
          <w:vertAlign w:val="superscript"/>
        </w:rPr>
        <w:footnoteReference w:id="153"/>
      </w:r>
      <w:r w:rsidR="00805DBC" w:rsidRPr="00BD1319">
        <w:rPr>
          <w:spacing w:val="-3"/>
        </w:rPr>
        <w:t>.</w:t>
      </w:r>
    </w:p>
    <w:p w14:paraId="0C32155C" w14:textId="77777777" w:rsidR="00482A5F" w:rsidRPr="00BD1319" w:rsidRDefault="00482A5F" w:rsidP="00C86DA5">
      <w:pPr>
        <w:tabs>
          <w:tab w:val="left" w:pos="-2268"/>
        </w:tabs>
        <w:suppressAutoHyphens/>
        <w:rPr>
          <w:spacing w:val="-3"/>
        </w:rPr>
      </w:pPr>
    </w:p>
    <w:p w14:paraId="786A20F7" w14:textId="5DBEE4B8" w:rsidR="00482A5F" w:rsidRPr="00BD1319" w:rsidRDefault="00482A5F" w:rsidP="00C86DA5">
      <w:pPr>
        <w:numPr>
          <w:ilvl w:val="0"/>
          <w:numId w:val="385"/>
        </w:numPr>
        <w:tabs>
          <w:tab w:val="left" w:pos="-2268"/>
        </w:tabs>
        <w:suppressAutoHyphens/>
        <w:ind w:left="567" w:hanging="567"/>
        <w:rPr>
          <w:spacing w:val="-3"/>
        </w:rPr>
      </w:pPr>
      <w:r w:rsidRPr="00BD1319">
        <w:rPr>
          <w:spacing w:val="-3"/>
        </w:rPr>
        <w:t>Patrones de asentamiento (nuclear o disperso)</w:t>
      </w:r>
      <w:r w:rsidR="00873A11" w:rsidRPr="00BD1319">
        <w:rPr>
          <w:spacing w:val="-3"/>
        </w:rPr>
        <w:t>.</w:t>
      </w:r>
    </w:p>
    <w:p w14:paraId="1A7FACED" w14:textId="77777777" w:rsidR="00482A5F" w:rsidRPr="00BD1319" w:rsidRDefault="00482A5F">
      <w:pPr>
        <w:tabs>
          <w:tab w:val="left" w:pos="-2268"/>
        </w:tabs>
        <w:suppressAutoHyphens/>
        <w:rPr>
          <w:spacing w:val="-3"/>
        </w:rPr>
      </w:pPr>
    </w:p>
    <w:p w14:paraId="2F19CA0E" w14:textId="0F9BFCC8" w:rsidR="00482A5F" w:rsidRPr="00BD1319" w:rsidRDefault="00873A11" w:rsidP="00C86DA5">
      <w:pPr>
        <w:numPr>
          <w:ilvl w:val="0"/>
          <w:numId w:val="385"/>
        </w:numPr>
        <w:tabs>
          <w:tab w:val="left" w:pos="-2268"/>
        </w:tabs>
        <w:suppressAutoHyphens/>
        <w:ind w:left="567" w:hanging="567"/>
        <w:rPr>
          <w:spacing w:val="-3"/>
        </w:rPr>
      </w:pPr>
      <w:r w:rsidRPr="00BD1319">
        <w:rPr>
          <w:spacing w:val="-3"/>
        </w:rPr>
        <w:t>P</w:t>
      </w:r>
      <w:r w:rsidR="00482A5F" w:rsidRPr="00BD1319">
        <w:rPr>
          <w:spacing w:val="-3"/>
        </w:rPr>
        <w:t xml:space="preserve">oblación en situación de desplazamiento, </w:t>
      </w:r>
      <w:r w:rsidRPr="00BD1319">
        <w:rPr>
          <w:spacing w:val="-3"/>
        </w:rPr>
        <w:t xml:space="preserve">señalando su </w:t>
      </w:r>
      <w:r w:rsidR="00482A5F" w:rsidRPr="00BD1319">
        <w:rPr>
          <w:spacing w:val="-3"/>
        </w:rPr>
        <w:t>procedencia</w:t>
      </w:r>
      <w:r w:rsidR="00697231" w:rsidRPr="00BD1319">
        <w:rPr>
          <w:spacing w:val="-3"/>
        </w:rPr>
        <w:t>, motivos del desplazamiento (p. ej. actores armados, conflicto armado, impactos ambientales de la intervención humana)</w:t>
      </w:r>
      <w:r w:rsidRPr="00BD1319">
        <w:rPr>
          <w:spacing w:val="-3"/>
        </w:rPr>
        <w:t xml:space="preserve"> y</w:t>
      </w:r>
      <w:r w:rsidR="00482A5F" w:rsidRPr="00BD1319">
        <w:rPr>
          <w:spacing w:val="-3"/>
        </w:rPr>
        <w:t xml:space="preserve"> formas de incorporación a la unidad </w:t>
      </w:r>
      <w:r w:rsidR="006A6CC6" w:rsidRPr="00BD1319">
        <w:rPr>
          <w:spacing w:val="-3"/>
        </w:rPr>
        <w:t xml:space="preserve">de análisis </w:t>
      </w:r>
      <w:r w:rsidR="00482A5F" w:rsidRPr="00BD1319">
        <w:rPr>
          <w:spacing w:val="-3"/>
        </w:rPr>
        <w:t>territorial (de acuerdo con información secundaria disponible).</w:t>
      </w:r>
    </w:p>
    <w:p w14:paraId="0B693948" w14:textId="77777777" w:rsidR="00482A5F" w:rsidRPr="00BD1319" w:rsidRDefault="00482A5F">
      <w:pPr>
        <w:tabs>
          <w:tab w:val="left" w:pos="-2268"/>
        </w:tabs>
        <w:suppressAutoHyphens/>
        <w:rPr>
          <w:spacing w:val="-3"/>
        </w:rPr>
      </w:pPr>
    </w:p>
    <w:p w14:paraId="5EC7297D" w14:textId="06A0F9A0" w:rsidR="00482A5F" w:rsidRPr="00BD1319" w:rsidRDefault="00873A11" w:rsidP="00C86DA5">
      <w:pPr>
        <w:numPr>
          <w:ilvl w:val="0"/>
          <w:numId w:val="385"/>
        </w:numPr>
        <w:tabs>
          <w:tab w:val="left" w:pos="-2268"/>
        </w:tabs>
        <w:suppressAutoHyphens/>
        <w:ind w:left="567" w:hanging="567"/>
        <w:rPr>
          <w:spacing w:val="-3"/>
        </w:rPr>
      </w:pPr>
      <w:r w:rsidRPr="00BD1319">
        <w:rPr>
          <w:spacing w:val="-3"/>
        </w:rPr>
        <w:lastRenderedPageBreak/>
        <w:t>T</w:t>
      </w:r>
      <w:r w:rsidR="00482A5F" w:rsidRPr="00BD1319">
        <w:rPr>
          <w:spacing w:val="-3"/>
        </w:rPr>
        <w:t>endencias demográficas</w:t>
      </w:r>
      <w:r w:rsidRPr="00BD1319">
        <w:rPr>
          <w:spacing w:val="-3"/>
        </w:rPr>
        <w:t xml:space="preserve">, a partir del análisis </w:t>
      </w:r>
      <w:r w:rsidR="00434EA7" w:rsidRPr="00BD1319">
        <w:rPr>
          <w:spacing w:val="-3"/>
        </w:rPr>
        <w:t>de los</w:t>
      </w:r>
      <w:r w:rsidR="00482A5F" w:rsidRPr="00BD1319">
        <w:rPr>
          <w:spacing w:val="-3"/>
        </w:rPr>
        <w:t xml:space="preserve"> principales indicadores de demografía y </w:t>
      </w:r>
      <w:r w:rsidRPr="00BD1319">
        <w:rPr>
          <w:spacing w:val="-3"/>
        </w:rPr>
        <w:t xml:space="preserve">de </w:t>
      </w:r>
      <w:r w:rsidR="00482A5F" w:rsidRPr="00BD1319">
        <w:rPr>
          <w:spacing w:val="-3"/>
        </w:rPr>
        <w:t xml:space="preserve">un análisis histórico </w:t>
      </w:r>
      <w:r w:rsidR="0042491B" w:rsidRPr="00BD1319">
        <w:rPr>
          <w:spacing w:val="-3"/>
        </w:rPr>
        <w:t xml:space="preserve">elaborado </w:t>
      </w:r>
      <w:r w:rsidR="00482A5F" w:rsidRPr="00BD1319">
        <w:rPr>
          <w:spacing w:val="-3"/>
        </w:rPr>
        <w:t>con base en la información disponible.</w:t>
      </w:r>
    </w:p>
    <w:p w14:paraId="35123C4E" w14:textId="77777777" w:rsidR="0089125E" w:rsidRPr="00BD1319" w:rsidRDefault="0089125E" w:rsidP="000D6E21">
      <w:pPr>
        <w:rPr>
          <w:spacing w:val="-3"/>
        </w:rPr>
      </w:pPr>
    </w:p>
    <w:p w14:paraId="2A15C45A" w14:textId="77777777" w:rsidR="00752758" w:rsidRPr="00BD1319" w:rsidRDefault="0089125E" w:rsidP="0089125E">
      <w:pPr>
        <w:numPr>
          <w:ilvl w:val="0"/>
          <w:numId w:val="385"/>
        </w:numPr>
        <w:tabs>
          <w:tab w:val="left" w:pos="-2268"/>
        </w:tabs>
        <w:suppressAutoHyphens/>
        <w:ind w:left="567" w:hanging="567"/>
        <w:rPr>
          <w:spacing w:val="-3"/>
        </w:rPr>
      </w:pPr>
      <w:r w:rsidRPr="00BD1319">
        <w:rPr>
          <w:spacing w:val="-3"/>
        </w:rPr>
        <w:t>Dinámica poblacional</w:t>
      </w:r>
      <w:r w:rsidR="00752758" w:rsidRPr="00BD1319">
        <w:rPr>
          <w:spacing w:val="-3"/>
        </w:rPr>
        <w:t xml:space="preserve">, </w:t>
      </w:r>
      <w:r w:rsidRPr="00BD1319">
        <w:rPr>
          <w:spacing w:val="-3"/>
        </w:rPr>
        <w:t>describi</w:t>
      </w:r>
      <w:r w:rsidR="00752758" w:rsidRPr="00BD1319">
        <w:rPr>
          <w:spacing w:val="-3"/>
        </w:rPr>
        <w:t>endo</w:t>
      </w:r>
      <w:r w:rsidRPr="00BD1319">
        <w:rPr>
          <w:spacing w:val="-3"/>
        </w:rPr>
        <w:t xml:space="preserve"> la movilidad espacial actual y tendencial, así como los factores que influyen en fenómenos migratorios</w:t>
      </w:r>
      <w:r w:rsidR="00752758" w:rsidRPr="00BD1319">
        <w:rPr>
          <w:spacing w:val="-3"/>
        </w:rPr>
        <w:t xml:space="preserve">. </w:t>
      </w:r>
    </w:p>
    <w:p w14:paraId="201A7F72" w14:textId="77777777" w:rsidR="00752758" w:rsidRPr="00BD1319" w:rsidRDefault="00752758" w:rsidP="000D6E21">
      <w:pPr>
        <w:rPr>
          <w:spacing w:val="-3"/>
        </w:rPr>
      </w:pPr>
    </w:p>
    <w:p w14:paraId="305A5A4C" w14:textId="69D9DE6E" w:rsidR="0089125E" w:rsidRPr="00BD1319" w:rsidRDefault="00752758" w:rsidP="0089125E">
      <w:pPr>
        <w:numPr>
          <w:ilvl w:val="0"/>
          <w:numId w:val="385"/>
        </w:numPr>
        <w:tabs>
          <w:tab w:val="left" w:pos="-2268"/>
        </w:tabs>
        <w:suppressAutoHyphens/>
        <w:ind w:left="567" w:hanging="567"/>
        <w:rPr>
          <w:spacing w:val="-3"/>
        </w:rPr>
      </w:pPr>
      <w:r w:rsidRPr="00BD1319">
        <w:rPr>
          <w:spacing w:val="-3"/>
        </w:rPr>
        <w:t>S</w:t>
      </w:r>
      <w:r w:rsidR="0089125E" w:rsidRPr="00BD1319">
        <w:rPr>
          <w:spacing w:val="-3"/>
        </w:rPr>
        <w:t>ituación de pobreza</w:t>
      </w:r>
      <w:r w:rsidRPr="00BD1319">
        <w:rPr>
          <w:spacing w:val="-3"/>
        </w:rPr>
        <w:t xml:space="preserve">, empleando indicadores como </w:t>
      </w:r>
      <w:r w:rsidR="0089125E" w:rsidRPr="00BD1319">
        <w:rPr>
          <w:spacing w:val="-3"/>
        </w:rPr>
        <w:t>necesidades básicas insatisfechas, índice de pobreza multidimensional</w:t>
      </w:r>
      <w:r w:rsidRPr="00BD1319">
        <w:rPr>
          <w:spacing w:val="-3"/>
        </w:rPr>
        <w:t xml:space="preserve"> e</w:t>
      </w:r>
      <w:r w:rsidR="0089125E" w:rsidRPr="00BD1319">
        <w:rPr>
          <w:spacing w:val="-3"/>
        </w:rPr>
        <w:t xml:space="preserve"> índice de calidad de vida.</w:t>
      </w:r>
    </w:p>
    <w:p w14:paraId="3369CD72" w14:textId="77777777" w:rsidR="003310B6" w:rsidRPr="00BD1319" w:rsidRDefault="003310B6" w:rsidP="000D6E21">
      <w:pPr>
        <w:rPr>
          <w:spacing w:val="-3"/>
        </w:rPr>
      </w:pPr>
    </w:p>
    <w:p w14:paraId="60478944" w14:textId="782EA5D1" w:rsidR="003310B6" w:rsidRPr="00BD1319" w:rsidRDefault="003310B6" w:rsidP="0089125E">
      <w:pPr>
        <w:numPr>
          <w:ilvl w:val="0"/>
          <w:numId w:val="385"/>
        </w:numPr>
        <w:tabs>
          <w:tab w:val="left" w:pos="-2268"/>
        </w:tabs>
        <w:suppressAutoHyphens/>
        <w:ind w:left="567" w:hanging="567"/>
        <w:rPr>
          <w:spacing w:val="-3"/>
        </w:rPr>
      </w:pPr>
      <w:r w:rsidRPr="00BD1319">
        <w:rPr>
          <w:spacing w:val="-3"/>
        </w:rPr>
        <w:t>Grupos de especial protección</w:t>
      </w:r>
      <w:r w:rsidR="003032B6" w:rsidRPr="00BD1319">
        <w:rPr>
          <w:rStyle w:val="Refdenotaalpie"/>
          <w:spacing w:val="-3"/>
        </w:rPr>
        <w:footnoteReference w:id="154"/>
      </w:r>
      <w:r w:rsidRPr="00BD1319">
        <w:rPr>
          <w:spacing w:val="-3"/>
        </w:rPr>
        <w:t>.</w:t>
      </w:r>
    </w:p>
    <w:p w14:paraId="4D9F0A7B" w14:textId="77777777" w:rsidR="00DF7982" w:rsidRPr="00BD1319" w:rsidRDefault="00DF7982" w:rsidP="000D6E21">
      <w:pPr>
        <w:rPr>
          <w:spacing w:val="-3"/>
        </w:rPr>
      </w:pPr>
    </w:p>
    <w:p w14:paraId="55DB0015" w14:textId="585FA3CB" w:rsidR="00DF7982" w:rsidRPr="00BD1319" w:rsidRDefault="00DF7982" w:rsidP="000D6E21">
      <w:pPr>
        <w:numPr>
          <w:ilvl w:val="0"/>
          <w:numId w:val="385"/>
        </w:numPr>
        <w:tabs>
          <w:tab w:val="left" w:pos="-2268"/>
        </w:tabs>
        <w:suppressAutoHyphens/>
        <w:ind w:left="567" w:hanging="567"/>
        <w:rPr>
          <w:spacing w:val="-3"/>
        </w:rPr>
      </w:pPr>
      <w:r w:rsidRPr="00BD1319">
        <w:rPr>
          <w:spacing w:val="-3"/>
        </w:rPr>
        <w:t xml:space="preserve">Grupos </w:t>
      </w:r>
      <w:r w:rsidR="002C5B64" w:rsidRPr="00BD1319">
        <w:rPr>
          <w:rFonts w:cs="Arial"/>
        </w:rPr>
        <w:t>con mayores dificultades para acceder a la información</w:t>
      </w:r>
      <w:r w:rsidR="002C5B64" w:rsidRPr="00BD1319">
        <w:rPr>
          <w:rStyle w:val="Refdenotaalpie"/>
          <w:rFonts w:cs="Arial"/>
        </w:rPr>
        <w:footnoteReference w:id="155"/>
      </w:r>
      <w:r w:rsidRPr="00BD1319">
        <w:rPr>
          <w:spacing w:val="-3"/>
        </w:rPr>
        <w:t>.</w:t>
      </w:r>
    </w:p>
    <w:p w14:paraId="10C79008" w14:textId="77777777" w:rsidR="00482A5F" w:rsidRPr="00BD1319" w:rsidRDefault="00482A5F" w:rsidP="009420F5">
      <w:pPr>
        <w:numPr>
          <w:ilvl w:val="12"/>
          <w:numId w:val="0"/>
        </w:numPr>
        <w:tabs>
          <w:tab w:val="left" w:pos="-2268"/>
        </w:tabs>
        <w:suppressAutoHyphens/>
        <w:rPr>
          <w:spacing w:val="-3"/>
        </w:rPr>
      </w:pPr>
    </w:p>
    <w:p w14:paraId="52ED2FF0" w14:textId="3030FD9D" w:rsidR="00482A5F" w:rsidRPr="00BD1319" w:rsidRDefault="00B561ED" w:rsidP="002F5664">
      <w:pPr>
        <w:pStyle w:val="Ttulo4"/>
        <w:tabs>
          <w:tab w:val="clear" w:pos="1844"/>
          <w:tab w:val="num" w:pos="1134"/>
        </w:tabs>
        <w:ind w:left="0"/>
        <w:rPr>
          <w:lang w:val="es-CO"/>
        </w:rPr>
      </w:pPr>
      <w:r w:rsidRPr="00BD1319">
        <w:rPr>
          <w:lang w:val="es-CO"/>
        </w:rPr>
        <w:t>E</w:t>
      </w:r>
      <w:r w:rsidR="00482A5F" w:rsidRPr="00BD1319">
        <w:rPr>
          <w:lang w:val="es-CO"/>
        </w:rPr>
        <w:t>spacial</w:t>
      </w:r>
    </w:p>
    <w:p w14:paraId="7054EA65" w14:textId="53CCB882" w:rsidR="00482A5F" w:rsidRPr="00BD1319" w:rsidRDefault="00482A5F" w:rsidP="00C86DA5">
      <w:pPr>
        <w:tabs>
          <w:tab w:val="left" w:pos="-2268"/>
        </w:tabs>
        <w:suppressAutoHyphens/>
        <w:rPr>
          <w:spacing w:val="-3"/>
        </w:rPr>
      </w:pPr>
    </w:p>
    <w:p w14:paraId="04B1073A" w14:textId="77777777" w:rsidR="00482A5F" w:rsidRPr="00BD1319" w:rsidRDefault="00482A5F" w:rsidP="002F5664">
      <w:pPr>
        <w:pStyle w:val="Ttulo5"/>
        <w:tabs>
          <w:tab w:val="clear" w:pos="2160"/>
          <w:tab w:val="num" w:pos="1134"/>
        </w:tabs>
        <w:ind w:left="1134" w:hanging="1134"/>
        <w:rPr>
          <w:lang w:val="es-CO"/>
        </w:rPr>
      </w:pPr>
      <w:r w:rsidRPr="00BD1319">
        <w:rPr>
          <w:lang w:val="es-CO"/>
        </w:rPr>
        <w:t>Servicios públicos</w:t>
      </w:r>
    </w:p>
    <w:p w14:paraId="166EEA27" w14:textId="77777777" w:rsidR="00482A5F" w:rsidRPr="00BD1319" w:rsidRDefault="00482A5F">
      <w:pPr>
        <w:tabs>
          <w:tab w:val="left" w:pos="-2268"/>
        </w:tabs>
        <w:suppressAutoHyphens/>
        <w:rPr>
          <w:spacing w:val="-3"/>
        </w:rPr>
      </w:pPr>
    </w:p>
    <w:p w14:paraId="534B13AB" w14:textId="0698E38E" w:rsidR="00C717A3" w:rsidRPr="00BD1319" w:rsidRDefault="00482A5F" w:rsidP="00482A5F">
      <w:pPr>
        <w:numPr>
          <w:ilvl w:val="12"/>
          <w:numId w:val="0"/>
        </w:numPr>
        <w:tabs>
          <w:tab w:val="left" w:pos="-2268"/>
        </w:tabs>
        <w:suppressAutoHyphens/>
        <w:rPr>
          <w:rFonts w:cs="Arial"/>
          <w:spacing w:val="-3"/>
        </w:rPr>
      </w:pPr>
      <w:r w:rsidRPr="00BD1319">
        <w:rPr>
          <w:rFonts w:cs="Arial"/>
          <w:spacing w:val="-3"/>
        </w:rPr>
        <w:t xml:space="preserve">Para las </w:t>
      </w:r>
      <w:r w:rsidR="006D75A2" w:rsidRPr="00BD1319">
        <w:rPr>
          <w:rFonts w:cs="Arial"/>
          <w:spacing w:val="-3"/>
        </w:rPr>
        <w:t>unidades de análisis territorial</w:t>
      </w:r>
      <w:r w:rsidRPr="00BD1319">
        <w:rPr>
          <w:rFonts w:cs="Arial"/>
          <w:spacing w:val="-3"/>
        </w:rPr>
        <w:t xml:space="preserve"> del área de influencia </w:t>
      </w:r>
      <w:r w:rsidR="0042491B" w:rsidRPr="00BD1319">
        <w:rPr>
          <w:rFonts w:cs="Arial"/>
          <w:spacing w:val="-3"/>
        </w:rPr>
        <w:t xml:space="preserve">del componente </w:t>
      </w:r>
      <w:r w:rsidRPr="00BD1319">
        <w:rPr>
          <w:rFonts w:cs="Arial"/>
          <w:spacing w:val="-3"/>
        </w:rPr>
        <w:t>se debe presentar una descripción del acceso, cobertura y calidad de los servicios públicos</w:t>
      </w:r>
      <w:r w:rsidR="0042491B" w:rsidRPr="00BD1319">
        <w:rPr>
          <w:rFonts w:cs="Arial"/>
          <w:spacing w:val="-3"/>
        </w:rPr>
        <w:t>,</w:t>
      </w:r>
      <w:r w:rsidRPr="00BD1319">
        <w:rPr>
          <w:rFonts w:cs="Arial"/>
          <w:spacing w:val="-3"/>
        </w:rPr>
        <w:t xml:space="preserve"> que permita </w:t>
      </w:r>
      <w:r w:rsidR="00A3333A" w:rsidRPr="00BD1319">
        <w:rPr>
          <w:rFonts w:cs="Arial"/>
          <w:spacing w:val="-3"/>
        </w:rPr>
        <w:t xml:space="preserve">determinar </w:t>
      </w:r>
      <w:r w:rsidRPr="00BD1319">
        <w:rPr>
          <w:rFonts w:cs="Arial"/>
          <w:spacing w:val="-3"/>
        </w:rPr>
        <w:t xml:space="preserve">las condiciones actuales de las comunidades </w:t>
      </w:r>
      <w:r w:rsidR="0042491B" w:rsidRPr="00BD1319">
        <w:rPr>
          <w:rFonts w:cs="Arial"/>
          <w:spacing w:val="-3"/>
        </w:rPr>
        <w:t>con respecto a</w:t>
      </w:r>
      <w:r w:rsidRPr="00BD1319">
        <w:rPr>
          <w:rFonts w:cs="Arial"/>
          <w:spacing w:val="-3"/>
        </w:rPr>
        <w:t>l acceso a los servicios y la presión sobre de los recursos naturales.</w:t>
      </w:r>
    </w:p>
    <w:p w14:paraId="4B6F35AB" w14:textId="427F9C0F" w:rsidR="00482A5F" w:rsidRPr="00BD1319" w:rsidRDefault="00482A5F" w:rsidP="00C86DA5">
      <w:pPr>
        <w:numPr>
          <w:ilvl w:val="12"/>
          <w:numId w:val="0"/>
        </w:numPr>
        <w:tabs>
          <w:tab w:val="left" w:pos="-2268"/>
        </w:tabs>
        <w:suppressAutoHyphens/>
        <w:rPr>
          <w:rFonts w:cs="Arial"/>
          <w:spacing w:val="-3"/>
        </w:rPr>
      </w:pPr>
    </w:p>
    <w:p w14:paraId="046ABABD" w14:textId="6D4A53EE" w:rsidR="00482A5F" w:rsidRPr="00BD1319" w:rsidRDefault="0042491B" w:rsidP="00482A5F">
      <w:pPr>
        <w:numPr>
          <w:ilvl w:val="12"/>
          <w:numId w:val="0"/>
        </w:numPr>
        <w:tabs>
          <w:tab w:val="left" w:pos="-2268"/>
        </w:tabs>
        <w:suppressAutoHyphens/>
        <w:rPr>
          <w:rFonts w:cs="Arial"/>
          <w:spacing w:val="-3"/>
        </w:rPr>
      </w:pPr>
      <w:r w:rsidRPr="00BD1319">
        <w:rPr>
          <w:rFonts w:cs="Arial"/>
          <w:spacing w:val="-3"/>
        </w:rPr>
        <w:t>La descripción</w:t>
      </w:r>
      <w:r w:rsidR="00482A5F" w:rsidRPr="00BD1319">
        <w:rPr>
          <w:rFonts w:cs="Arial"/>
          <w:spacing w:val="-3"/>
        </w:rPr>
        <w:t xml:space="preserve"> debe considerar los siguientes servicios:</w:t>
      </w:r>
    </w:p>
    <w:p w14:paraId="0D8AA16E" w14:textId="77777777" w:rsidR="00482A5F" w:rsidRPr="00BD1319" w:rsidRDefault="00482A5F" w:rsidP="00482A5F">
      <w:pPr>
        <w:tabs>
          <w:tab w:val="left" w:pos="-2268"/>
        </w:tabs>
        <w:suppressAutoHyphens/>
        <w:rPr>
          <w:rFonts w:cs="Arial"/>
          <w:spacing w:val="-3"/>
        </w:rPr>
      </w:pPr>
    </w:p>
    <w:p w14:paraId="1A5FB85A" w14:textId="303C22F3" w:rsidR="00482A5F" w:rsidRPr="00BD1319" w:rsidRDefault="00482A5F" w:rsidP="00C86DA5">
      <w:pPr>
        <w:numPr>
          <w:ilvl w:val="0"/>
          <w:numId w:val="385"/>
        </w:numPr>
        <w:tabs>
          <w:tab w:val="left" w:pos="-2268"/>
        </w:tabs>
        <w:suppressAutoHyphens/>
        <w:ind w:left="567" w:hanging="567"/>
        <w:rPr>
          <w:spacing w:val="-3"/>
        </w:rPr>
      </w:pPr>
      <w:r w:rsidRPr="00BD1319">
        <w:rPr>
          <w:spacing w:val="-3"/>
        </w:rPr>
        <w:t>Acueducto</w:t>
      </w:r>
      <w:r w:rsidR="0042491B" w:rsidRPr="00BD1319">
        <w:rPr>
          <w:spacing w:val="-3"/>
        </w:rPr>
        <w:t>.</w:t>
      </w:r>
      <w:r w:rsidRPr="00BD1319">
        <w:rPr>
          <w:spacing w:val="-3"/>
        </w:rPr>
        <w:t xml:space="preserve"> </w:t>
      </w:r>
      <w:r w:rsidR="00696B84" w:rsidRPr="00BD1319">
        <w:rPr>
          <w:spacing w:val="-3"/>
        </w:rPr>
        <w:t>C</w:t>
      </w:r>
      <w:r w:rsidRPr="00BD1319">
        <w:rPr>
          <w:spacing w:val="-3"/>
        </w:rPr>
        <w:t>aracterizar las fuentes de abastecimiento de agua potable, infraestructura de captación, tratamiento y almacenamiento; tipos de uso (doméstico, agropecuario, piscícola, entre otros); población usuaria</w:t>
      </w:r>
      <w:r w:rsidR="0042491B" w:rsidRPr="00BD1319">
        <w:rPr>
          <w:spacing w:val="-3"/>
        </w:rPr>
        <w:t>;</w:t>
      </w:r>
      <w:r w:rsidRPr="00BD1319">
        <w:rPr>
          <w:spacing w:val="-3"/>
        </w:rPr>
        <w:t xml:space="preserve"> cobertura y calidad</w:t>
      </w:r>
      <w:r w:rsidR="0042491B" w:rsidRPr="00BD1319">
        <w:rPr>
          <w:spacing w:val="-3"/>
        </w:rPr>
        <w:t>;</w:t>
      </w:r>
      <w:r w:rsidRPr="00BD1319">
        <w:rPr>
          <w:spacing w:val="-3"/>
        </w:rPr>
        <w:t xml:space="preserve"> entidades u organizaciones prestadoras o administradoras del servicio. </w:t>
      </w:r>
      <w:r w:rsidR="0042491B" w:rsidRPr="00BD1319">
        <w:rPr>
          <w:spacing w:val="-3"/>
        </w:rPr>
        <w:t xml:space="preserve">Señalar </w:t>
      </w:r>
      <w:r w:rsidRPr="00BD1319">
        <w:rPr>
          <w:spacing w:val="-3"/>
        </w:rPr>
        <w:t>las necesidades relacionadas con la cobertura y la calidad del servicio.</w:t>
      </w:r>
    </w:p>
    <w:p w14:paraId="653021CB" w14:textId="77777777" w:rsidR="00482A5F" w:rsidRPr="00BD1319" w:rsidRDefault="00482A5F">
      <w:pPr>
        <w:tabs>
          <w:tab w:val="left" w:pos="-2268"/>
        </w:tabs>
        <w:suppressAutoHyphens/>
        <w:rPr>
          <w:spacing w:val="-3"/>
        </w:rPr>
      </w:pPr>
    </w:p>
    <w:p w14:paraId="028D656E" w14:textId="6A9DEE41" w:rsidR="00482A5F" w:rsidRPr="00BD1319" w:rsidRDefault="00482A5F" w:rsidP="00C86DA5">
      <w:pPr>
        <w:numPr>
          <w:ilvl w:val="0"/>
          <w:numId w:val="385"/>
        </w:numPr>
        <w:tabs>
          <w:tab w:val="left" w:pos="-2268"/>
        </w:tabs>
        <w:suppressAutoHyphens/>
        <w:ind w:left="567" w:hanging="567"/>
        <w:rPr>
          <w:spacing w:val="-3"/>
        </w:rPr>
      </w:pPr>
      <w:r w:rsidRPr="00BD1319">
        <w:rPr>
          <w:spacing w:val="-3"/>
        </w:rPr>
        <w:t>Alcantarillado</w:t>
      </w:r>
      <w:r w:rsidR="0042491B" w:rsidRPr="00BD1319">
        <w:rPr>
          <w:spacing w:val="-3"/>
        </w:rPr>
        <w:t>.</w:t>
      </w:r>
      <w:r w:rsidRPr="00BD1319">
        <w:rPr>
          <w:spacing w:val="-3"/>
        </w:rPr>
        <w:t xml:space="preserve"> </w:t>
      </w:r>
      <w:r w:rsidR="0042491B" w:rsidRPr="00BD1319">
        <w:rPr>
          <w:spacing w:val="-3"/>
        </w:rPr>
        <w:t xml:space="preserve">Señalar la proporción de cada sistema de </w:t>
      </w:r>
      <w:r w:rsidRPr="00BD1319">
        <w:rPr>
          <w:spacing w:val="-3"/>
        </w:rPr>
        <w:t xml:space="preserve">disposición de excretas </w:t>
      </w:r>
      <w:r w:rsidR="0042491B" w:rsidRPr="00BD1319">
        <w:rPr>
          <w:spacing w:val="-3"/>
        </w:rPr>
        <w:t>(a</w:t>
      </w:r>
      <w:r w:rsidRPr="00BD1319">
        <w:rPr>
          <w:spacing w:val="-3"/>
        </w:rPr>
        <w:t>lcantarillado, pozos sépticos, letrinas</w:t>
      </w:r>
      <w:r w:rsidR="00C20BDB" w:rsidRPr="00BD1319">
        <w:rPr>
          <w:spacing w:val="-3"/>
        </w:rPr>
        <w:t>, sin servicio</w:t>
      </w:r>
      <w:r w:rsidR="0042491B" w:rsidRPr="00BD1319">
        <w:rPr>
          <w:spacing w:val="-3"/>
        </w:rPr>
        <w:t>)</w:t>
      </w:r>
      <w:r w:rsidR="00C20BDB" w:rsidRPr="00BD1319">
        <w:rPr>
          <w:spacing w:val="-3"/>
        </w:rPr>
        <w:t xml:space="preserve"> existente en el área de influencia del componente</w:t>
      </w:r>
      <w:r w:rsidRPr="00BD1319">
        <w:rPr>
          <w:spacing w:val="-3"/>
        </w:rPr>
        <w:t xml:space="preserve">. </w:t>
      </w:r>
      <w:r w:rsidR="0042491B" w:rsidRPr="00BD1319">
        <w:rPr>
          <w:spacing w:val="-3"/>
        </w:rPr>
        <w:t xml:space="preserve">Señalar </w:t>
      </w:r>
      <w:r w:rsidRPr="00BD1319">
        <w:rPr>
          <w:spacing w:val="-3"/>
        </w:rPr>
        <w:t>las necesidades relacionadas con la cobertura y la calidad del servicio.</w:t>
      </w:r>
    </w:p>
    <w:p w14:paraId="0578EA08" w14:textId="77777777" w:rsidR="00482A5F" w:rsidRPr="00BD1319" w:rsidRDefault="00482A5F">
      <w:pPr>
        <w:tabs>
          <w:tab w:val="left" w:pos="-2268"/>
        </w:tabs>
        <w:suppressAutoHyphens/>
        <w:rPr>
          <w:spacing w:val="-3"/>
        </w:rPr>
      </w:pPr>
    </w:p>
    <w:p w14:paraId="0AB6E9D0" w14:textId="0E1599D9" w:rsidR="00482A5F" w:rsidRPr="00BD1319" w:rsidRDefault="00C20BDB" w:rsidP="00C86DA5">
      <w:pPr>
        <w:numPr>
          <w:ilvl w:val="0"/>
          <w:numId w:val="385"/>
        </w:numPr>
        <w:tabs>
          <w:tab w:val="left" w:pos="-2268"/>
        </w:tabs>
        <w:suppressAutoHyphens/>
        <w:ind w:left="567" w:hanging="567"/>
        <w:rPr>
          <w:spacing w:val="-3"/>
        </w:rPr>
      </w:pPr>
      <w:r w:rsidRPr="00BD1319">
        <w:rPr>
          <w:spacing w:val="-3"/>
        </w:rPr>
        <w:t>R</w:t>
      </w:r>
      <w:r w:rsidR="00482A5F" w:rsidRPr="00BD1319">
        <w:rPr>
          <w:spacing w:val="-3"/>
        </w:rPr>
        <w:t>ecolección y disposición de residuos sólidos (</w:t>
      </w:r>
      <w:r w:rsidRPr="00BD1319">
        <w:rPr>
          <w:spacing w:val="-3"/>
        </w:rPr>
        <w:t>a</w:t>
      </w:r>
      <w:r w:rsidR="00482A5F" w:rsidRPr="00BD1319">
        <w:rPr>
          <w:spacing w:val="-3"/>
        </w:rPr>
        <w:t>seo)</w:t>
      </w:r>
      <w:r w:rsidR="0042491B" w:rsidRPr="00BD1319">
        <w:rPr>
          <w:spacing w:val="-3"/>
        </w:rPr>
        <w:t>.</w:t>
      </w:r>
      <w:r w:rsidR="00482A5F" w:rsidRPr="00BD1319">
        <w:rPr>
          <w:spacing w:val="-3"/>
        </w:rPr>
        <w:t xml:space="preserve"> </w:t>
      </w:r>
      <w:r w:rsidR="00696B84" w:rsidRPr="00BD1319">
        <w:rPr>
          <w:spacing w:val="-3"/>
        </w:rPr>
        <w:t xml:space="preserve">Determinar </w:t>
      </w:r>
      <w:r w:rsidR="00482A5F" w:rsidRPr="00BD1319">
        <w:rPr>
          <w:spacing w:val="-3"/>
        </w:rPr>
        <w:t>la cobertura</w:t>
      </w:r>
      <w:r w:rsidRPr="00BD1319">
        <w:rPr>
          <w:spacing w:val="-3"/>
        </w:rPr>
        <w:t xml:space="preserve"> y</w:t>
      </w:r>
      <w:r w:rsidR="00482A5F" w:rsidRPr="00BD1319">
        <w:rPr>
          <w:spacing w:val="-3"/>
        </w:rPr>
        <w:t xml:space="preserve"> calidad </w:t>
      </w:r>
      <w:r w:rsidRPr="00BD1319">
        <w:rPr>
          <w:spacing w:val="-3"/>
        </w:rPr>
        <w:t xml:space="preserve">del servicio de recolección y </w:t>
      </w:r>
      <w:r w:rsidR="00482A5F" w:rsidRPr="00BD1319">
        <w:rPr>
          <w:spacing w:val="-3"/>
        </w:rPr>
        <w:t>la disposición de residuos</w:t>
      </w:r>
      <w:r w:rsidRPr="00BD1319">
        <w:rPr>
          <w:spacing w:val="-3"/>
        </w:rPr>
        <w:t>;</w:t>
      </w:r>
      <w:r w:rsidR="00482A5F" w:rsidRPr="00BD1319">
        <w:rPr>
          <w:spacing w:val="-3"/>
        </w:rPr>
        <w:t xml:space="preserve"> </w:t>
      </w:r>
      <w:r w:rsidR="000951B5" w:rsidRPr="00BD1319">
        <w:rPr>
          <w:spacing w:val="-3"/>
        </w:rPr>
        <w:t xml:space="preserve">asimismo, se debe </w:t>
      </w:r>
      <w:r w:rsidR="00482A5F" w:rsidRPr="00BD1319">
        <w:rPr>
          <w:spacing w:val="-3"/>
        </w:rPr>
        <w:t xml:space="preserve">describir </w:t>
      </w:r>
      <w:r w:rsidR="00805A10" w:rsidRPr="00BD1319">
        <w:rPr>
          <w:spacing w:val="-3"/>
        </w:rPr>
        <w:t xml:space="preserve">la forma en que </w:t>
      </w:r>
      <w:r w:rsidR="000951B5" w:rsidRPr="00BD1319">
        <w:rPr>
          <w:spacing w:val="-3"/>
        </w:rPr>
        <w:t>la cobertura y calidad d</w:t>
      </w:r>
      <w:r w:rsidR="00805A10" w:rsidRPr="00BD1319">
        <w:rPr>
          <w:spacing w:val="-3"/>
        </w:rPr>
        <w:t>el servicio incide</w:t>
      </w:r>
      <w:r w:rsidR="000951B5" w:rsidRPr="00BD1319">
        <w:rPr>
          <w:spacing w:val="-3"/>
        </w:rPr>
        <w:t>n</w:t>
      </w:r>
      <w:r w:rsidR="00805A10" w:rsidRPr="00BD1319">
        <w:rPr>
          <w:spacing w:val="-3"/>
        </w:rPr>
        <w:t xml:space="preserve"> en </w:t>
      </w:r>
      <w:r w:rsidR="00482A5F" w:rsidRPr="00BD1319">
        <w:rPr>
          <w:spacing w:val="-3"/>
        </w:rPr>
        <w:t xml:space="preserve">las </w:t>
      </w:r>
      <w:r w:rsidR="000951B5" w:rsidRPr="00BD1319">
        <w:rPr>
          <w:spacing w:val="-3"/>
        </w:rPr>
        <w:t>condiciones ambientales del suelo, atmósfera, cuerpos de agua, biodiversidad, entre otros elementos del área de influencia del componente.</w:t>
      </w:r>
    </w:p>
    <w:p w14:paraId="26347DD0" w14:textId="77777777" w:rsidR="00482A5F" w:rsidRPr="00BD1319" w:rsidRDefault="00482A5F">
      <w:pPr>
        <w:tabs>
          <w:tab w:val="left" w:pos="-2268"/>
        </w:tabs>
        <w:suppressAutoHyphens/>
        <w:rPr>
          <w:spacing w:val="-3"/>
        </w:rPr>
      </w:pPr>
    </w:p>
    <w:p w14:paraId="46CB540E" w14:textId="5FC4515C" w:rsidR="00482A5F" w:rsidRPr="00BD1319" w:rsidRDefault="00482A5F" w:rsidP="00C86DA5">
      <w:pPr>
        <w:numPr>
          <w:ilvl w:val="0"/>
          <w:numId w:val="385"/>
        </w:numPr>
        <w:tabs>
          <w:tab w:val="left" w:pos="-2268"/>
        </w:tabs>
        <w:suppressAutoHyphens/>
        <w:ind w:left="567" w:hanging="567"/>
        <w:rPr>
          <w:spacing w:val="-3"/>
        </w:rPr>
      </w:pPr>
      <w:r w:rsidRPr="00BD1319">
        <w:rPr>
          <w:spacing w:val="-3"/>
        </w:rPr>
        <w:t>Servicios de energía, gas y telefonía</w:t>
      </w:r>
      <w:r w:rsidR="00C20BDB" w:rsidRPr="00BD1319">
        <w:rPr>
          <w:spacing w:val="-3"/>
        </w:rPr>
        <w:t>.</w:t>
      </w:r>
      <w:r w:rsidRPr="00BD1319">
        <w:rPr>
          <w:spacing w:val="-3"/>
        </w:rPr>
        <w:t xml:space="preserve"> Analizar los principales aspectos de cobertura y calidad</w:t>
      </w:r>
      <w:r w:rsidR="00C20BDB" w:rsidRPr="00BD1319">
        <w:rPr>
          <w:spacing w:val="-3"/>
        </w:rPr>
        <w:t>;</w:t>
      </w:r>
      <w:r w:rsidRPr="00BD1319">
        <w:rPr>
          <w:spacing w:val="-3"/>
        </w:rPr>
        <w:t xml:space="preserve"> analizar las necesidades de la población frente al servicio, </w:t>
      </w:r>
      <w:r w:rsidR="00C20BDB" w:rsidRPr="00BD1319">
        <w:rPr>
          <w:spacing w:val="-3"/>
        </w:rPr>
        <w:t xml:space="preserve">así como las </w:t>
      </w:r>
      <w:r w:rsidRPr="00BD1319">
        <w:rPr>
          <w:spacing w:val="-3"/>
        </w:rPr>
        <w:t>alternativas de abastecimiento o acceso.</w:t>
      </w:r>
    </w:p>
    <w:p w14:paraId="3482D996" w14:textId="77777777" w:rsidR="004B7613" w:rsidRPr="00BD1319" w:rsidRDefault="004B7613" w:rsidP="000D6E21">
      <w:pPr>
        <w:rPr>
          <w:spacing w:val="-3"/>
        </w:rPr>
      </w:pPr>
    </w:p>
    <w:p w14:paraId="17E8D680" w14:textId="6EA3589E" w:rsidR="004B7613" w:rsidRPr="00BD1319" w:rsidRDefault="004B7613" w:rsidP="000D6E21">
      <w:pPr>
        <w:pStyle w:val="Prrafodelista"/>
        <w:numPr>
          <w:ilvl w:val="0"/>
          <w:numId w:val="385"/>
        </w:numPr>
        <w:ind w:left="567" w:hanging="567"/>
        <w:rPr>
          <w:spacing w:val="-3"/>
          <w:lang w:val="es-CO"/>
        </w:rPr>
      </w:pPr>
      <w:r w:rsidRPr="00BD1319">
        <w:rPr>
          <w:spacing w:val="-3"/>
          <w:lang w:val="es-CO"/>
        </w:rPr>
        <w:t xml:space="preserve">Servicio público </w:t>
      </w:r>
      <w:r w:rsidR="000918EB" w:rsidRPr="00BD1319">
        <w:rPr>
          <w:spacing w:val="-3"/>
          <w:lang w:val="es-CO"/>
        </w:rPr>
        <w:t xml:space="preserve">esencial </w:t>
      </w:r>
      <w:r w:rsidRPr="00BD1319">
        <w:rPr>
          <w:spacing w:val="-3"/>
          <w:lang w:val="es-CO"/>
        </w:rPr>
        <w:t xml:space="preserve">y universal de acceso a internet. </w:t>
      </w:r>
      <w:r w:rsidR="000918EB" w:rsidRPr="00BD1319">
        <w:rPr>
          <w:spacing w:val="-3"/>
          <w:lang w:val="es-CO"/>
        </w:rPr>
        <w:t>Se debe a</w:t>
      </w:r>
      <w:r w:rsidRPr="00BD1319">
        <w:rPr>
          <w:spacing w:val="-3"/>
          <w:lang w:val="es-CO"/>
        </w:rPr>
        <w:t>nalizar el acceso, cobertura y calidad de</w:t>
      </w:r>
      <w:r w:rsidR="00384101" w:rsidRPr="00BD1319">
        <w:rPr>
          <w:spacing w:val="-3"/>
          <w:lang w:val="es-CO"/>
        </w:rPr>
        <w:t xml:space="preserve"> este </w:t>
      </w:r>
      <w:r w:rsidRPr="00BD1319">
        <w:rPr>
          <w:spacing w:val="-3"/>
          <w:lang w:val="es-CO"/>
        </w:rPr>
        <w:t xml:space="preserve">servicio. </w:t>
      </w:r>
    </w:p>
    <w:p w14:paraId="01647894" w14:textId="1449D8AB" w:rsidR="00482A5F" w:rsidRPr="00BD1319" w:rsidRDefault="00482A5F">
      <w:pPr>
        <w:tabs>
          <w:tab w:val="left" w:pos="-2268"/>
        </w:tabs>
        <w:suppressAutoHyphens/>
        <w:rPr>
          <w:spacing w:val="-3"/>
        </w:rPr>
      </w:pPr>
    </w:p>
    <w:p w14:paraId="067270EE" w14:textId="77777777" w:rsidR="00482A5F" w:rsidRPr="00BD1319" w:rsidRDefault="00482A5F" w:rsidP="002F5664">
      <w:pPr>
        <w:pStyle w:val="Ttulo5"/>
        <w:tabs>
          <w:tab w:val="clear" w:pos="2160"/>
          <w:tab w:val="num" w:pos="1134"/>
        </w:tabs>
        <w:ind w:left="1134" w:hanging="1134"/>
        <w:rPr>
          <w:lang w:val="es-CO"/>
        </w:rPr>
      </w:pPr>
      <w:r w:rsidRPr="00BD1319">
        <w:rPr>
          <w:lang w:val="es-CO"/>
        </w:rPr>
        <w:t>Servicios sociales</w:t>
      </w:r>
    </w:p>
    <w:p w14:paraId="6F62FF8D" w14:textId="77777777" w:rsidR="00482A5F" w:rsidRPr="00BD1319" w:rsidRDefault="00482A5F" w:rsidP="00C86DA5">
      <w:pPr>
        <w:numPr>
          <w:ilvl w:val="12"/>
          <w:numId w:val="0"/>
        </w:numPr>
        <w:tabs>
          <w:tab w:val="left" w:pos="-2268"/>
        </w:tabs>
        <w:suppressAutoHyphens/>
        <w:rPr>
          <w:spacing w:val="-3"/>
        </w:rPr>
      </w:pPr>
    </w:p>
    <w:p w14:paraId="43F2A630" w14:textId="7009C9F3" w:rsidR="00482A5F" w:rsidRPr="00BD1319" w:rsidRDefault="00482A5F">
      <w:pPr>
        <w:numPr>
          <w:ilvl w:val="12"/>
          <w:numId w:val="0"/>
        </w:numPr>
        <w:tabs>
          <w:tab w:val="left" w:pos="-2268"/>
        </w:tabs>
        <w:suppressAutoHyphens/>
        <w:rPr>
          <w:spacing w:val="-3"/>
        </w:rPr>
      </w:pPr>
      <w:r w:rsidRPr="00BD1319">
        <w:rPr>
          <w:rFonts w:cs="Arial"/>
          <w:spacing w:val="-3"/>
        </w:rPr>
        <w:t xml:space="preserve">La información relacionada con los servicios sociales debe </w:t>
      </w:r>
      <w:r w:rsidR="00BB755F" w:rsidRPr="00BD1319">
        <w:rPr>
          <w:rFonts w:cs="Arial"/>
          <w:spacing w:val="-3"/>
        </w:rPr>
        <w:t xml:space="preserve">describir </w:t>
      </w:r>
      <w:r w:rsidRPr="00BD1319">
        <w:rPr>
          <w:rFonts w:cs="Arial"/>
          <w:spacing w:val="-3"/>
        </w:rPr>
        <w:t>las dinámicas de la población para aprovisionarse de servicios de salud, educación, comercialización y en general</w:t>
      </w:r>
      <w:r w:rsidR="00D534E3" w:rsidRPr="00BD1319">
        <w:rPr>
          <w:rFonts w:cs="Arial"/>
          <w:spacing w:val="-3"/>
        </w:rPr>
        <w:t xml:space="preserve"> de</w:t>
      </w:r>
      <w:r w:rsidRPr="00BD1319">
        <w:rPr>
          <w:rFonts w:cs="Arial"/>
          <w:spacing w:val="-3"/>
        </w:rPr>
        <w:t xml:space="preserve"> servicios del </w:t>
      </w:r>
      <w:r w:rsidR="00BB755F" w:rsidRPr="00BD1319">
        <w:rPr>
          <w:rFonts w:cs="Arial"/>
          <w:spacing w:val="-3"/>
        </w:rPr>
        <w:t>E</w:t>
      </w:r>
      <w:r w:rsidRPr="00BD1319">
        <w:rPr>
          <w:rFonts w:cs="Arial"/>
          <w:spacing w:val="-3"/>
        </w:rPr>
        <w:t>stado.</w:t>
      </w:r>
    </w:p>
    <w:p w14:paraId="3966E5D8" w14:textId="77777777" w:rsidR="00C717A3" w:rsidRPr="00BD1319" w:rsidRDefault="00C717A3">
      <w:pPr>
        <w:numPr>
          <w:ilvl w:val="12"/>
          <w:numId w:val="0"/>
        </w:numPr>
        <w:tabs>
          <w:tab w:val="left" w:pos="-2268"/>
        </w:tabs>
        <w:suppressAutoHyphens/>
        <w:rPr>
          <w:spacing w:val="-3"/>
        </w:rPr>
      </w:pPr>
    </w:p>
    <w:p w14:paraId="4EDE517C" w14:textId="4CF3F36B" w:rsidR="00482A5F" w:rsidRPr="00BD1319" w:rsidRDefault="00482A5F" w:rsidP="00482A5F">
      <w:pPr>
        <w:numPr>
          <w:ilvl w:val="12"/>
          <w:numId w:val="0"/>
        </w:numPr>
        <w:tabs>
          <w:tab w:val="left" w:pos="-2268"/>
        </w:tabs>
        <w:suppressAutoHyphens/>
        <w:rPr>
          <w:rFonts w:cs="Arial"/>
          <w:spacing w:val="-3"/>
        </w:rPr>
      </w:pPr>
      <w:r w:rsidRPr="00BD1319">
        <w:rPr>
          <w:rFonts w:cs="Arial"/>
          <w:spacing w:val="-3"/>
        </w:rPr>
        <w:t>Dich</w:t>
      </w:r>
      <w:r w:rsidR="00BB755F" w:rsidRPr="00BD1319">
        <w:rPr>
          <w:rFonts w:cs="Arial"/>
          <w:spacing w:val="-3"/>
        </w:rPr>
        <w:t>a descripción</w:t>
      </w:r>
      <w:r w:rsidRPr="00BD1319">
        <w:rPr>
          <w:rFonts w:cs="Arial"/>
          <w:spacing w:val="-3"/>
        </w:rPr>
        <w:t xml:space="preserve"> debe </w:t>
      </w:r>
      <w:r w:rsidR="00BB755F" w:rsidRPr="00BD1319">
        <w:rPr>
          <w:rFonts w:cs="Arial"/>
          <w:spacing w:val="-3"/>
        </w:rPr>
        <w:t xml:space="preserve">referirse </w:t>
      </w:r>
      <w:r w:rsidRPr="00BD1319">
        <w:rPr>
          <w:rFonts w:cs="Arial"/>
          <w:spacing w:val="-3"/>
        </w:rPr>
        <w:t xml:space="preserve">además </w:t>
      </w:r>
      <w:r w:rsidR="00BB755F" w:rsidRPr="00BD1319">
        <w:rPr>
          <w:rFonts w:cs="Arial"/>
          <w:spacing w:val="-3"/>
        </w:rPr>
        <w:t xml:space="preserve">a </w:t>
      </w:r>
      <w:r w:rsidRPr="00BD1319">
        <w:rPr>
          <w:rFonts w:cs="Arial"/>
          <w:spacing w:val="-3"/>
        </w:rPr>
        <w:t>lo siguiente:</w:t>
      </w:r>
    </w:p>
    <w:p w14:paraId="41E8D7EA" w14:textId="77777777" w:rsidR="00482A5F" w:rsidRPr="00BD1319" w:rsidRDefault="00482A5F" w:rsidP="00482A5F">
      <w:pPr>
        <w:numPr>
          <w:ilvl w:val="12"/>
          <w:numId w:val="0"/>
        </w:numPr>
        <w:tabs>
          <w:tab w:val="left" w:pos="-2268"/>
        </w:tabs>
        <w:suppressAutoHyphens/>
        <w:rPr>
          <w:rFonts w:cs="Arial"/>
          <w:spacing w:val="-3"/>
        </w:rPr>
      </w:pPr>
    </w:p>
    <w:p w14:paraId="1CB00BFE" w14:textId="77777777" w:rsidR="00482A5F" w:rsidRPr="00BD1319" w:rsidRDefault="00482A5F" w:rsidP="00C86DA5">
      <w:pPr>
        <w:numPr>
          <w:ilvl w:val="0"/>
          <w:numId w:val="385"/>
        </w:numPr>
        <w:tabs>
          <w:tab w:val="left" w:pos="-2268"/>
        </w:tabs>
        <w:suppressAutoHyphens/>
        <w:ind w:left="567" w:hanging="567"/>
        <w:rPr>
          <w:spacing w:val="-3"/>
        </w:rPr>
      </w:pPr>
      <w:r w:rsidRPr="00BD1319">
        <w:rPr>
          <w:spacing w:val="-3"/>
        </w:rPr>
        <w:t>Infraestructura educativa y de salud (identificación y localización).</w:t>
      </w:r>
    </w:p>
    <w:p w14:paraId="28C8DCE7" w14:textId="77777777" w:rsidR="00482A5F" w:rsidRPr="00BD1319" w:rsidRDefault="00482A5F">
      <w:pPr>
        <w:tabs>
          <w:tab w:val="left" w:pos="-2268"/>
        </w:tabs>
        <w:suppressAutoHyphens/>
        <w:rPr>
          <w:spacing w:val="-3"/>
        </w:rPr>
      </w:pPr>
    </w:p>
    <w:p w14:paraId="3CCF444A" w14:textId="77777777" w:rsidR="00482A5F" w:rsidRPr="00BD1319" w:rsidRDefault="00482A5F" w:rsidP="00C86DA5">
      <w:pPr>
        <w:numPr>
          <w:ilvl w:val="0"/>
          <w:numId w:val="385"/>
        </w:numPr>
        <w:tabs>
          <w:tab w:val="left" w:pos="-2268"/>
        </w:tabs>
        <w:suppressAutoHyphens/>
        <w:ind w:left="567" w:hanging="567"/>
        <w:rPr>
          <w:spacing w:val="-3"/>
        </w:rPr>
      </w:pPr>
      <w:r w:rsidRPr="00BD1319">
        <w:rPr>
          <w:spacing w:val="-3"/>
        </w:rPr>
        <w:t>Infraestructura recreativa y deportiva (identificación y localización).</w:t>
      </w:r>
    </w:p>
    <w:p w14:paraId="767B9176" w14:textId="77777777" w:rsidR="00482A5F" w:rsidRPr="00BD1319" w:rsidRDefault="00482A5F">
      <w:pPr>
        <w:tabs>
          <w:tab w:val="left" w:pos="-2268"/>
        </w:tabs>
        <w:suppressAutoHyphens/>
        <w:rPr>
          <w:spacing w:val="-3"/>
        </w:rPr>
      </w:pPr>
    </w:p>
    <w:p w14:paraId="7D88601D" w14:textId="119E973B" w:rsidR="00482A5F" w:rsidRPr="00BD1319" w:rsidRDefault="00482A5F" w:rsidP="00C86DA5">
      <w:pPr>
        <w:numPr>
          <w:ilvl w:val="0"/>
          <w:numId w:val="385"/>
        </w:numPr>
        <w:tabs>
          <w:tab w:val="left" w:pos="-2268"/>
        </w:tabs>
        <w:suppressAutoHyphens/>
        <w:ind w:left="567" w:hanging="567"/>
        <w:rPr>
          <w:spacing w:val="-3"/>
        </w:rPr>
      </w:pPr>
      <w:r w:rsidRPr="00BD1319">
        <w:rPr>
          <w:spacing w:val="-3"/>
        </w:rPr>
        <w:t>Centros poblados que ofrecen los servicios administrativos y financieros (notaría, inspección de policía, bancos, entre otros) y acceso a servicios sociales. Relaciones funcionales entre los distintos centros poblados y la zona rural.</w:t>
      </w:r>
    </w:p>
    <w:p w14:paraId="73DC294D" w14:textId="77777777" w:rsidR="00482A5F" w:rsidRPr="00BD1319" w:rsidRDefault="00482A5F">
      <w:pPr>
        <w:tabs>
          <w:tab w:val="left" w:pos="-2268"/>
        </w:tabs>
        <w:suppressAutoHyphens/>
        <w:rPr>
          <w:spacing w:val="-3"/>
        </w:rPr>
      </w:pPr>
    </w:p>
    <w:p w14:paraId="2CFD4CBD" w14:textId="0C1C7413" w:rsidR="00482A5F" w:rsidRPr="00BD1319" w:rsidRDefault="00482A5F" w:rsidP="00C86DA5">
      <w:pPr>
        <w:numPr>
          <w:ilvl w:val="0"/>
          <w:numId w:val="385"/>
        </w:numPr>
        <w:tabs>
          <w:tab w:val="left" w:pos="-2268"/>
        </w:tabs>
        <w:suppressAutoHyphens/>
        <w:ind w:left="567" w:hanging="567"/>
        <w:rPr>
          <w:spacing w:val="-3"/>
        </w:rPr>
      </w:pPr>
      <w:r w:rsidRPr="00BD1319">
        <w:rPr>
          <w:spacing w:val="-3"/>
        </w:rPr>
        <w:t xml:space="preserve">Viviendas (tipificación de </w:t>
      </w:r>
      <w:r w:rsidR="00BB755F" w:rsidRPr="00BD1319">
        <w:rPr>
          <w:spacing w:val="-3"/>
        </w:rPr>
        <w:t xml:space="preserve">sus </w:t>
      </w:r>
      <w:r w:rsidRPr="00BD1319">
        <w:rPr>
          <w:spacing w:val="-3"/>
        </w:rPr>
        <w:t>características).</w:t>
      </w:r>
    </w:p>
    <w:p w14:paraId="0C75BF49" w14:textId="77777777" w:rsidR="00482A5F" w:rsidRPr="00BD1319" w:rsidRDefault="00482A5F">
      <w:pPr>
        <w:tabs>
          <w:tab w:val="left" w:pos="-2268"/>
        </w:tabs>
        <w:suppressAutoHyphens/>
        <w:rPr>
          <w:spacing w:val="-3"/>
        </w:rPr>
      </w:pPr>
    </w:p>
    <w:p w14:paraId="1C381815" w14:textId="4295581A" w:rsidR="00482A5F" w:rsidRPr="00BD1319" w:rsidRDefault="00482A5F" w:rsidP="00C86DA5">
      <w:pPr>
        <w:numPr>
          <w:ilvl w:val="0"/>
          <w:numId w:val="385"/>
        </w:numPr>
        <w:tabs>
          <w:tab w:val="left" w:pos="-2268"/>
        </w:tabs>
        <w:suppressAutoHyphens/>
        <w:ind w:left="567" w:hanging="567"/>
        <w:rPr>
          <w:spacing w:val="-3"/>
        </w:rPr>
      </w:pPr>
      <w:r w:rsidRPr="00BD1319">
        <w:rPr>
          <w:spacing w:val="-3"/>
        </w:rPr>
        <w:t>Infraestructura de transporte vial</w:t>
      </w:r>
      <w:r w:rsidR="0029068C" w:rsidRPr="00BD1319">
        <w:rPr>
          <w:spacing w:val="-3"/>
        </w:rPr>
        <w:t xml:space="preserve"> relacionada con </w:t>
      </w:r>
      <w:r w:rsidR="00BB755F" w:rsidRPr="00BD1319">
        <w:rPr>
          <w:spacing w:val="-3"/>
        </w:rPr>
        <w:t>vías carreteras</w:t>
      </w:r>
      <w:r w:rsidRPr="00BD1319">
        <w:rPr>
          <w:spacing w:val="-3"/>
        </w:rPr>
        <w:t>, aére</w:t>
      </w:r>
      <w:r w:rsidR="00BB755F" w:rsidRPr="00BD1319">
        <w:rPr>
          <w:spacing w:val="-3"/>
        </w:rPr>
        <w:t>as</w:t>
      </w:r>
      <w:r w:rsidRPr="00BD1319">
        <w:rPr>
          <w:spacing w:val="-3"/>
        </w:rPr>
        <w:t>, ferroviari</w:t>
      </w:r>
      <w:r w:rsidR="00BB755F" w:rsidRPr="00BD1319">
        <w:rPr>
          <w:spacing w:val="-3"/>
        </w:rPr>
        <w:t>as</w:t>
      </w:r>
      <w:r w:rsidRPr="00BD1319">
        <w:rPr>
          <w:spacing w:val="-3"/>
        </w:rPr>
        <w:t>, fluvial</w:t>
      </w:r>
      <w:r w:rsidR="0029068C" w:rsidRPr="00BD1319">
        <w:rPr>
          <w:spacing w:val="-3"/>
        </w:rPr>
        <w:t>es</w:t>
      </w:r>
      <w:r w:rsidRPr="00BD1319">
        <w:rPr>
          <w:spacing w:val="-3"/>
        </w:rPr>
        <w:t xml:space="preserve"> y marítim</w:t>
      </w:r>
      <w:r w:rsidR="0029068C" w:rsidRPr="00BD1319">
        <w:rPr>
          <w:spacing w:val="-3"/>
        </w:rPr>
        <w:t>as</w:t>
      </w:r>
      <w:r w:rsidRPr="00BD1319">
        <w:rPr>
          <w:spacing w:val="-3"/>
        </w:rPr>
        <w:t xml:space="preserve">. Para la infraestructura </w:t>
      </w:r>
      <w:r w:rsidR="0029068C" w:rsidRPr="00BD1319">
        <w:rPr>
          <w:spacing w:val="-3"/>
        </w:rPr>
        <w:t>carretera</w:t>
      </w:r>
      <w:r w:rsidRPr="00BD1319">
        <w:rPr>
          <w:spacing w:val="-3"/>
        </w:rPr>
        <w:t>, se</w:t>
      </w:r>
      <w:r w:rsidRPr="00BD1319" w:rsidDel="00821F9D">
        <w:rPr>
          <w:spacing w:val="-3"/>
        </w:rPr>
        <w:t xml:space="preserve"> </w:t>
      </w:r>
      <w:r w:rsidRPr="00BD1319">
        <w:rPr>
          <w:spacing w:val="-3"/>
        </w:rPr>
        <w:t xml:space="preserve">debe hacer énfasis en los accesos veredales y su funcionalidad, así como en la infraestructura </w:t>
      </w:r>
      <w:r w:rsidR="0029068C" w:rsidRPr="00BD1319">
        <w:rPr>
          <w:spacing w:val="-3"/>
        </w:rPr>
        <w:t xml:space="preserve">de conexión </w:t>
      </w:r>
      <w:r w:rsidRPr="00BD1319">
        <w:rPr>
          <w:spacing w:val="-3"/>
        </w:rPr>
        <w:t>(puentes, tarabitas, planchones</w:t>
      </w:r>
      <w:r w:rsidR="0029068C" w:rsidRPr="00BD1319">
        <w:rPr>
          <w:spacing w:val="-3"/>
        </w:rPr>
        <w:t>, entre</w:t>
      </w:r>
      <w:r w:rsidRPr="00BD1319">
        <w:rPr>
          <w:spacing w:val="-3"/>
        </w:rPr>
        <w:t xml:space="preserve"> otr</w:t>
      </w:r>
      <w:r w:rsidR="0029068C" w:rsidRPr="00BD1319">
        <w:rPr>
          <w:spacing w:val="-3"/>
        </w:rPr>
        <w:t>a</w:t>
      </w:r>
      <w:r w:rsidRPr="00BD1319">
        <w:rPr>
          <w:spacing w:val="-3"/>
        </w:rPr>
        <w:t>s)</w:t>
      </w:r>
      <w:r w:rsidR="0029068C" w:rsidRPr="00BD1319">
        <w:rPr>
          <w:spacing w:val="-3"/>
        </w:rPr>
        <w:t>.</w:t>
      </w:r>
    </w:p>
    <w:p w14:paraId="2F0098D3" w14:textId="77777777" w:rsidR="00482A5F" w:rsidRPr="00BD1319" w:rsidRDefault="00482A5F" w:rsidP="00C86DA5">
      <w:pPr>
        <w:tabs>
          <w:tab w:val="left" w:pos="-2268"/>
        </w:tabs>
        <w:suppressAutoHyphens/>
        <w:rPr>
          <w:spacing w:val="-3"/>
        </w:rPr>
      </w:pPr>
    </w:p>
    <w:p w14:paraId="44F39D29" w14:textId="1E6DB56F" w:rsidR="00482A5F" w:rsidRPr="00BD1319" w:rsidRDefault="0029068C" w:rsidP="00C86DA5">
      <w:pPr>
        <w:numPr>
          <w:ilvl w:val="0"/>
          <w:numId w:val="385"/>
        </w:numPr>
        <w:tabs>
          <w:tab w:val="left" w:pos="-2268"/>
        </w:tabs>
        <w:suppressAutoHyphens/>
        <w:ind w:left="567" w:hanging="567"/>
        <w:rPr>
          <w:spacing w:val="-3"/>
        </w:rPr>
      </w:pPr>
      <w:r w:rsidRPr="00BD1319">
        <w:rPr>
          <w:spacing w:val="-3"/>
        </w:rPr>
        <w:t>I</w:t>
      </w:r>
      <w:r w:rsidR="000D6F1B" w:rsidRPr="00BD1319">
        <w:rPr>
          <w:spacing w:val="-3"/>
        </w:rPr>
        <w:t xml:space="preserve">nfraestructura social y comunitaria presente en el área de influencia del </w:t>
      </w:r>
      <w:r w:rsidRPr="00BD1319">
        <w:rPr>
          <w:spacing w:val="-3"/>
        </w:rPr>
        <w:t>componente</w:t>
      </w:r>
      <w:r w:rsidR="008973B3" w:rsidRPr="00BD1319">
        <w:rPr>
          <w:spacing w:val="-3"/>
        </w:rPr>
        <w:t xml:space="preserve"> (incluyendo la relacionada con el uso y aprovechamiento de recursos naturales). En este caso</w:t>
      </w:r>
      <w:r w:rsidRPr="00BD1319">
        <w:rPr>
          <w:spacing w:val="-3"/>
        </w:rPr>
        <w:t xml:space="preserve">, </w:t>
      </w:r>
      <w:r w:rsidR="008973B3" w:rsidRPr="00BD1319">
        <w:rPr>
          <w:spacing w:val="-3"/>
        </w:rPr>
        <w:t xml:space="preserve">se debe </w:t>
      </w:r>
      <w:r w:rsidRPr="00BD1319">
        <w:rPr>
          <w:spacing w:val="-3"/>
        </w:rPr>
        <w:t xml:space="preserve">georreferenciar la ubicación de </w:t>
      </w:r>
      <w:r w:rsidR="008973B3" w:rsidRPr="00BD1319">
        <w:rPr>
          <w:spacing w:val="-3"/>
        </w:rPr>
        <w:t>dicha infraestructura</w:t>
      </w:r>
      <w:r w:rsidR="00482A5F" w:rsidRPr="00BD1319">
        <w:rPr>
          <w:spacing w:val="-3"/>
        </w:rPr>
        <w:t>.</w:t>
      </w:r>
    </w:p>
    <w:p w14:paraId="50E104D0" w14:textId="77777777" w:rsidR="00482A5F" w:rsidRPr="00BD1319" w:rsidRDefault="00482A5F" w:rsidP="00C86DA5">
      <w:pPr>
        <w:tabs>
          <w:tab w:val="left" w:pos="-2268"/>
        </w:tabs>
        <w:suppressAutoHyphens/>
        <w:rPr>
          <w:spacing w:val="-3"/>
        </w:rPr>
      </w:pPr>
    </w:p>
    <w:p w14:paraId="328CE0AA" w14:textId="77777777" w:rsidR="00A07E08" w:rsidRPr="00BD1319" w:rsidRDefault="00A07E08" w:rsidP="00A07E08">
      <w:pPr>
        <w:pStyle w:val="Prrafodelista"/>
        <w:numPr>
          <w:ilvl w:val="0"/>
          <w:numId w:val="385"/>
        </w:numPr>
        <w:ind w:left="567" w:hanging="567"/>
        <w:rPr>
          <w:spacing w:val="-3"/>
          <w:lang w:val="es-CO"/>
        </w:rPr>
      </w:pPr>
      <w:r w:rsidRPr="00BD1319">
        <w:rPr>
          <w:spacing w:val="-3"/>
          <w:lang w:val="es-CO"/>
        </w:rPr>
        <w:lastRenderedPageBreak/>
        <w:t>Infraestructura comunitaria e institucional de patrimonio cultural material e inmaterial, histórico de la humanidad y de la memoria de víctimas del conflicto armado interno y de víctimas de la violencia socio política.</w:t>
      </w:r>
    </w:p>
    <w:p w14:paraId="65E63040" w14:textId="77777777" w:rsidR="00A07E08" w:rsidRPr="00BD1319" w:rsidRDefault="00A07E08" w:rsidP="000D6E21">
      <w:pPr>
        <w:tabs>
          <w:tab w:val="left" w:pos="-2268"/>
        </w:tabs>
        <w:suppressAutoHyphens/>
        <w:rPr>
          <w:spacing w:val="-3"/>
        </w:rPr>
      </w:pPr>
    </w:p>
    <w:p w14:paraId="63826E03" w14:textId="12F1EB8D" w:rsidR="00482A5F" w:rsidRPr="00BD1319" w:rsidRDefault="00482A5F" w:rsidP="00C86DA5">
      <w:pPr>
        <w:numPr>
          <w:ilvl w:val="0"/>
          <w:numId w:val="385"/>
        </w:numPr>
        <w:tabs>
          <w:tab w:val="left" w:pos="-2268"/>
        </w:tabs>
        <w:suppressAutoHyphens/>
        <w:ind w:left="567" w:hanging="567"/>
        <w:rPr>
          <w:spacing w:val="-3"/>
        </w:rPr>
      </w:pPr>
      <w:r w:rsidRPr="00BD1319">
        <w:rPr>
          <w:spacing w:val="-3"/>
        </w:rPr>
        <w:t>Formas de conectividad y dificultades de acceso de las comunidades a centros nucleados de prestación de servicios sociales y trámites legales.</w:t>
      </w:r>
    </w:p>
    <w:p w14:paraId="1DC349C0" w14:textId="77777777" w:rsidR="00482A5F" w:rsidRPr="00BD1319" w:rsidRDefault="00482A5F" w:rsidP="00C86DA5">
      <w:pPr>
        <w:tabs>
          <w:tab w:val="left" w:pos="-2268"/>
        </w:tabs>
        <w:suppressAutoHyphens/>
        <w:rPr>
          <w:spacing w:val="-3"/>
        </w:rPr>
      </w:pPr>
    </w:p>
    <w:p w14:paraId="67F10A5D" w14:textId="0DF1DF03" w:rsidR="00482A5F" w:rsidRPr="00BD1319" w:rsidRDefault="00482A5F" w:rsidP="00C86DA5">
      <w:pPr>
        <w:numPr>
          <w:ilvl w:val="0"/>
          <w:numId w:val="385"/>
        </w:numPr>
        <w:tabs>
          <w:tab w:val="left" w:pos="-2268"/>
        </w:tabs>
        <w:suppressAutoHyphens/>
        <w:ind w:left="567" w:hanging="567"/>
        <w:rPr>
          <w:spacing w:val="-3"/>
        </w:rPr>
      </w:pPr>
      <w:r w:rsidRPr="00BD1319">
        <w:rPr>
          <w:spacing w:val="-3"/>
        </w:rPr>
        <w:t xml:space="preserve">Medios de comunicación </w:t>
      </w:r>
      <w:r w:rsidR="008973B3" w:rsidRPr="00BD1319">
        <w:rPr>
          <w:spacing w:val="-3"/>
        </w:rPr>
        <w:t>(</w:t>
      </w:r>
      <w:r w:rsidRPr="00BD1319">
        <w:rPr>
          <w:spacing w:val="-3"/>
        </w:rPr>
        <w:t>radio, prensa, internet, televisión y emisoras comunitarias</w:t>
      </w:r>
      <w:r w:rsidR="008973B3" w:rsidRPr="00BD1319">
        <w:rPr>
          <w:spacing w:val="-3"/>
        </w:rPr>
        <w:t>)</w:t>
      </w:r>
      <w:r w:rsidRPr="00BD1319">
        <w:rPr>
          <w:spacing w:val="-3"/>
        </w:rPr>
        <w:t>.</w:t>
      </w:r>
    </w:p>
    <w:p w14:paraId="252773CB" w14:textId="77777777" w:rsidR="00482A5F" w:rsidRPr="00BD1319" w:rsidRDefault="00482A5F">
      <w:pPr>
        <w:tabs>
          <w:tab w:val="left" w:pos="-2268"/>
        </w:tabs>
        <w:suppressAutoHyphens/>
        <w:rPr>
          <w:spacing w:val="-3"/>
        </w:rPr>
      </w:pPr>
    </w:p>
    <w:p w14:paraId="7591FCB3" w14:textId="71D62BC7" w:rsidR="00482A5F" w:rsidRPr="00BD1319" w:rsidRDefault="008973B3" w:rsidP="00C86DA5">
      <w:pPr>
        <w:numPr>
          <w:ilvl w:val="0"/>
          <w:numId w:val="385"/>
        </w:numPr>
        <w:tabs>
          <w:tab w:val="left" w:pos="-2268"/>
        </w:tabs>
        <w:suppressAutoHyphens/>
        <w:ind w:left="567" w:hanging="567"/>
        <w:rPr>
          <w:spacing w:val="-3"/>
        </w:rPr>
      </w:pPr>
      <w:r w:rsidRPr="00BD1319">
        <w:rPr>
          <w:spacing w:val="-3"/>
        </w:rPr>
        <w:t>C</w:t>
      </w:r>
      <w:r w:rsidR="00482A5F" w:rsidRPr="00BD1319">
        <w:rPr>
          <w:spacing w:val="-3"/>
        </w:rPr>
        <w:t>ondiciones de la movilidad del área de influencia</w:t>
      </w:r>
      <w:r w:rsidRPr="00BD1319">
        <w:rPr>
          <w:spacing w:val="-3"/>
        </w:rPr>
        <w:t xml:space="preserve"> del componente. Se deben señalar las</w:t>
      </w:r>
      <w:r w:rsidR="00482A5F" w:rsidRPr="00BD1319">
        <w:rPr>
          <w:spacing w:val="-3"/>
        </w:rPr>
        <w:t xml:space="preserve"> frecuencias, </w:t>
      </w:r>
      <w:r w:rsidR="00540F5E" w:rsidRPr="00BD1319">
        <w:rPr>
          <w:spacing w:val="-3"/>
        </w:rPr>
        <w:t xml:space="preserve">servicios, </w:t>
      </w:r>
      <w:r w:rsidR="00482A5F" w:rsidRPr="00BD1319">
        <w:rPr>
          <w:spacing w:val="-3"/>
        </w:rPr>
        <w:t xml:space="preserve">modalidades y medios de desplazamiento (incluidos desplazamientos </w:t>
      </w:r>
      <w:r w:rsidRPr="00BD1319">
        <w:rPr>
          <w:spacing w:val="-3"/>
        </w:rPr>
        <w:t xml:space="preserve">en </w:t>
      </w:r>
      <w:r w:rsidR="00482A5F" w:rsidRPr="00BD1319">
        <w:rPr>
          <w:spacing w:val="-3"/>
        </w:rPr>
        <w:t>animal</w:t>
      </w:r>
      <w:r w:rsidRPr="00BD1319">
        <w:rPr>
          <w:spacing w:val="-3"/>
        </w:rPr>
        <w:t>es y en bicicleta, así como a pie</w:t>
      </w:r>
      <w:r w:rsidR="00482A5F" w:rsidRPr="00BD1319">
        <w:rPr>
          <w:spacing w:val="-3"/>
        </w:rPr>
        <w:t>)</w:t>
      </w:r>
      <w:r w:rsidRPr="00BD1319">
        <w:rPr>
          <w:spacing w:val="-3"/>
        </w:rPr>
        <w:t>,</w:t>
      </w:r>
      <w:r w:rsidR="00482A5F" w:rsidRPr="00BD1319">
        <w:rPr>
          <w:spacing w:val="-3"/>
        </w:rPr>
        <w:t xml:space="preserve"> de tal manera que </w:t>
      </w:r>
      <w:r w:rsidRPr="00BD1319">
        <w:rPr>
          <w:spacing w:val="-3"/>
        </w:rPr>
        <w:t xml:space="preserve">sea posible </w:t>
      </w:r>
      <w:r w:rsidR="00A3333A" w:rsidRPr="00BD1319">
        <w:rPr>
          <w:spacing w:val="-3"/>
        </w:rPr>
        <w:t xml:space="preserve">determinar </w:t>
      </w:r>
      <w:r w:rsidR="00482A5F" w:rsidRPr="00BD1319">
        <w:rPr>
          <w:spacing w:val="-3"/>
        </w:rPr>
        <w:t>afectaciones a la interconectividad de los pobladores con su entorno y las relaciones sociales, de parentesco y de vecindad.</w:t>
      </w:r>
    </w:p>
    <w:p w14:paraId="7C984394" w14:textId="77777777" w:rsidR="00482A5F" w:rsidRPr="00BD1319" w:rsidRDefault="00482A5F" w:rsidP="00C86DA5">
      <w:pPr>
        <w:tabs>
          <w:tab w:val="left" w:pos="-2268"/>
        </w:tabs>
        <w:suppressAutoHyphens/>
        <w:rPr>
          <w:spacing w:val="-3"/>
        </w:rPr>
      </w:pPr>
    </w:p>
    <w:p w14:paraId="78657BF9" w14:textId="1F72917C" w:rsidR="00482A5F" w:rsidRPr="00BD1319" w:rsidRDefault="007013E5" w:rsidP="009420F5">
      <w:pPr>
        <w:numPr>
          <w:ilvl w:val="0"/>
          <w:numId w:val="385"/>
        </w:numPr>
        <w:tabs>
          <w:tab w:val="left" w:pos="-2268"/>
        </w:tabs>
        <w:suppressAutoHyphens/>
        <w:ind w:left="567" w:hanging="567"/>
        <w:rPr>
          <w:spacing w:val="-3"/>
        </w:rPr>
      </w:pPr>
      <w:r w:rsidRPr="00BD1319">
        <w:rPr>
          <w:spacing w:val="-3"/>
        </w:rPr>
        <w:t>R</w:t>
      </w:r>
      <w:r w:rsidR="00482A5F" w:rsidRPr="00BD1319">
        <w:rPr>
          <w:spacing w:val="-3"/>
        </w:rPr>
        <w:t>elaciones funcionales</w:t>
      </w:r>
      <w:r w:rsidR="00663F8B" w:rsidRPr="00BD1319">
        <w:rPr>
          <w:rStyle w:val="Refdenotaalpie"/>
          <w:spacing w:val="-3"/>
          <w:lang w:val="es-CO"/>
        </w:rPr>
        <w:footnoteReference w:id="156"/>
      </w:r>
      <w:r w:rsidR="00482A5F" w:rsidRPr="00BD1319">
        <w:rPr>
          <w:spacing w:val="-3"/>
        </w:rPr>
        <w:t xml:space="preserve"> </w:t>
      </w:r>
      <w:r w:rsidR="000951B5" w:rsidRPr="00BD1319">
        <w:rPr>
          <w:spacing w:val="-3"/>
        </w:rPr>
        <w:t xml:space="preserve">para acceder e intercambiar servicios públicos y sociales, describiendo las que existan </w:t>
      </w:r>
      <w:r w:rsidR="00482A5F" w:rsidRPr="00BD1319">
        <w:rPr>
          <w:spacing w:val="-3"/>
        </w:rPr>
        <w:t xml:space="preserve">entre las distintas </w:t>
      </w:r>
      <w:r w:rsidR="006D75A2" w:rsidRPr="00BD1319">
        <w:rPr>
          <w:spacing w:val="-3"/>
        </w:rPr>
        <w:t>unidades de análisis territorial</w:t>
      </w:r>
      <w:r w:rsidR="00145C50" w:rsidRPr="00BD1319">
        <w:rPr>
          <w:spacing w:val="-3"/>
        </w:rPr>
        <w:t>, incluyendo</w:t>
      </w:r>
      <w:r w:rsidR="00663F8B" w:rsidRPr="00BD1319">
        <w:rPr>
          <w:spacing w:val="-3"/>
        </w:rPr>
        <w:t xml:space="preserve"> </w:t>
      </w:r>
      <w:r w:rsidR="000951B5" w:rsidRPr="00BD1319">
        <w:rPr>
          <w:spacing w:val="-3"/>
        </w:rPr>
        <w:t xml:space="preserve">las </w:t>
      </w:r>
      <w:r w:rsidR="00145C50" w:rsidRPr="00BD1319">
        <w:rPr>
          <w:spacing w:val="-3"/>
        </w:rPr>
        <w:t xml:space="preserve">que pueden darse </w:t>
      </w:r>
      <w:r w:rsidR="00663F8B" w:rsidRPr="00BD1319">
        <w:rPr>
          <w:spacing w:val="-3"/>
        </w:rPr>
        <w:t xml:space="preserve">entre </w:t>
      </w:r>
      <w:r w:rsidR="000951B5" w:rsidRPr="00BD1319">
        <w:rPr>
          <w:spacing w:val="-3"/>
        </w:rPr>
        <w:t xml:space="preserve">las </w:t>
      </w:r>
      <w:r w:rsidR="00663F8B" w:rsidRPr="00BD1319">
        <w:rPr>
          <w:spacing w:val="-3"/>
        </w:rPr>
        <w:t>cabeceras, centros poblados y corregimientos municipales y la zona rural del área de influencia del componente</w:t>
      </w:r>
      <w:r w:rsidR="00805A10" w:rsidRPr="00BD1319">
        <w:rPr>
          <w:spacing w:val="-3"/>
        </w:rPr>
        <w:t xml:space="preserve"> espacial</w:t>
      </w:r>
      <w:r w:rsidR="00482A5F" w:rsidRPr="00BD1319">
        <w:rPr>
          <w:spacing w:val="-3"/>
        </w:rPr>
        <w:t>.</w:t>
      </w:r>
    </w:p>
    <w:p w14:paraId="6851FF5C" w14:textId="77777777" w:rsidR="00482A5F" w:rsidRPr="00BD1319" w:rsidRDefault="00482A5F" w:rsidP="00482A5F">
      <w:pPr>
        <w:rPr>
          <w:rFonts w:cs="Arial"/>
        </w:rPr>
      </w:pPr>
      <w:bookmarkStart w:id="2935" w:name="_Toc30501699"/>
    </w:p>
    <w:p w14:paraId="2CBE48A9" w14:textId="18764143" w:rsidR="00482A5F" w:rsidRPr="00BD1319" w:rsidRDefault="00482A5F" w:rsidP="002F5664">
      <w:pPr>
        <w:pStyle w:val="Ttulo4"/>
        <w:tabs>
          <w:tab w:val="clear" w:pos="1844"/>
          <w:tab w:val="num" w:pos="1134"/>
        </w:tabs>
        <w:ind w:left="0"/>
        <w:rPr>
          <w:lang w:val="es-CO"/>
        </w:rPr>
      </w:pPr>
      <w:r w:rsidRPr="00BD1319">
        <w:rPr>
          <w:lang w:val="es-CO"/>
        </w:rPr>
        <w:t>Económico</w:t>
      </w:r>
      <w:bookmarkEnd w:id="2935"/>
    </w:p>
    <w:p w14:paraId="1AF645E0" w14:textId="77777777" w:rsidR="00482A5F" w:rsidRPr="00BD1319" w:rsidRDefault="00482A5F" w:rsidP="00482A5F">
      <w:pPr>
        <w:numPr>
          <w:ilvl w:val="12"/>
          <w:numId w:val="0"/>
        </w:numPr>
        <w:tabs>
          <w:tab w:val="left" w:pos="-2268"/>
        </w:tabs>
        <w:suppressAutoHyphens/>
        <w:rPr>
          <w:rFonts w:cs="Arial"/>
          <w:spacing w:val="-3"/>
        </w:rPr>
      </w:pPr>
    </w:p>
    <w:p w14:paraId="3BEB8C35" w14:textId="5F8B0A2A" w:rsidR="00482A5F" w:rsidRPr="00BD1319" w:rsidRDefault="00A2563F" w:rsidP="00482A5F">
      <w:pPr>
        <w:numPr>
          <w:ilvl w:val="12"/>
          <w:numId w:val="0"/>
        </w:numPr>
        <w:tabs>
          <w:tab w:val="left" w:pos="-2268"/>
        </w:tabs>
        <w:suppressAutoHyphens/>
        <w:rPr>
          <w:rFonts w:cs="Arial"/>
          <w:spacing w:val="-3"/>
        </w:rPr>
      </w:pPr>
      <w:r w:rsidRPr="00BD1319">
        <w:rPr>
          <w:spacing w:val="-3"/>
        </w:rPr>
        <w:t xml:space="preserve">Se deben </w:t>
      </w:r>
      <w:r w:rsidR="00A3333A" w:rsidRPr="00BD1319">
        <w:rPr>
          <w:spacing w:val="-3"/>
        </w:rPr>
        <w:t>determinar</w:t>
      </w:r>
      <w:r w:rsidRPr="00BD1319">
        <w:rPr>
          <w:spacing w:val="-3"/>
        </w:rPr>
        <w:t xml:space="preserve">, describir y analizar </w:t>
      </w:r>
      <w:r w:rsidRPr="00BD1319">
        <w:rPr>
          <w:rFonts w:cs="Arial"/>
          <w:spacing w:val="-3"/>
        </w:rPr>
        <w:t>las actividades económicas</w:t>
      </w:r>
      <w:r w:rsidRPr="00BD1319">
        <w:rPr>
          <w:spacing w:val="-3"/>
        </w:rPr>
        <w:t xml:space="preserve"> de </w:t>
      </w:r>
      <w:r w:rsidR="00482A5F" w:rsidRPr="00BD1319">
        <w:rPr>
          <w:spacing w:val="-3"/>
        </w:rPr>
        <w:t xml:space="preserve">las </w:t>
      </w:r>
      <w:r w:rsidR="006D75A2" w:rsidRPr="00BD1319">
        <w:rPr>
          <w:spacing w:val="-3"/>
        </w:rPr>
        <w:t>unidades de análisis territorial</w:t>
      </w:r>
      <w:r w:rsidR="00482A5F" w:rsidRPr="00BD1319">
        <w:rPr>
          <w:spacing w:val="-3"/>
        </w:rPr>
        <w:t xml:space="preserve"> del área de influencia </w:t>
      </w:r>
      <w:r w:rsidR="00482A5F" w:rsidRPr="00BD1319">
        <w:rPr>
          <w:rFonts w:cs="Arial"/>
          <w:spacing w:val="-3"/>
        </w:rPr>
        <w:t xml:space="preserve">del </w:t>
      </w:r>
      <w:r w:rsidRPr="00BD1319">
        <w:rPr>
          <w:rFonts w:cs="Arial"/>
          <w:spacing w:val="-3"/>
        </w:rPr>
        <w:t>componente.</w:t>
      </w:r>
      <w:r w:rsidR="00496D33" w:rsidRPr="00BD1319">
        <w:rPr>
          <w:rFonts w:cs="Arial"/>
          <w:spacing w:val="-3"/>
        </w:rPr>
        <w:t xml:space="preserve"> Dicho </w:t>
      </w:r>
      <w:r w:rsidR="00482A5F" w:rsidRPr="00BD1319">
        <w:rPr>
          <w:rFonts w:cs="Arial"/>
          <w:spacing w:val="-3"/>
        </w:rPr>
        <w:t>análisis debe considerar lo siguiente:</w:t>
      </w:r>
    </w:p>
    <w:p w14:paraId="566E9209" w14:textId="77777777" w:rsidR="00482A5F" w:rsidRPr="00BD1319" w:rsidRDefault="00482A5F">
      <w:pPr>
        <w:numPr>
          <w:ilvl w:val="12"/>
          <w:numId w:val="0"/>
        </w:numPr>
        <w:tabs>
          <w:tab w:val="left" w:pos="-2268"/>
        </w:tabs>
        <w:suppressAutoHyphens/>
        <w:rPr>
          <w:spacing w:val="-3"/>
        </w:rPr>
      </w:pPr>
    </w:p>
    <w:p w14:paraId="2E0ACDCC" w14:textId="7411DAF3" w:rsidR="00B57084" w:rsidRPr="00BD1319" w:rsidRDefault="00A07E08" w:rsidP="008A4FE9">
      <w:pPr>
        <w:numPr>
          <w:ilvl w:val="0"/>
          <w:numId w:val="389"/>
        </w:numPr>
        <w:tabs>
          <w:tab w:val="left" w:pos="-2268"/>
        </w:tabs>
        <w:suppressAutoHyphens/>
        <w:ind w:left="567" w:hanging="567"/>
        <w:rPr>
          <w:rFonts w:cs="Arial"/>
          <w:spacing w:val="-3"/>
        </w:rPr>
      </w:pPr>
      <w:r w:rsidRPr="00BD1319">
        <w:rPr>
          <w:spacing w:val="-3"/>
        </w:rPr>
        <w:t xml:space="preserve">Distribución </w:t>
      </w:r>
      <w:r w:rsidR="00482A5F" w:rsidRPr="00BD1319">
        <w:rPr>
          <w:spacing w:val="-3"/>
        </w:rPr>
        <w:t xml:space="preserve">de la propiedad </w:t>
      </w:r>
      <w:r w:rsidR="00496D33" w:rsidRPr="00BD1319">
        <w:rPr>
          <w:spacing w:val="-3"/>
        </w:rPr>
        <w:t xml:space="preserve">rural de acuerdo con las categorías </w:t>
      </w:r>
      <w:r w:rsidR="00663F8B" w:rsidRPr="00BD1319">
        <w:rPr>
          <w:spacing w:val="-3"/>
        </w:rPr>
        <w:t xml:space="preserve">(micro, minifundio, pequeña, mediana y gran propiedad) </w:t>
      </w:r>
      <w:r w:rsidR="00496D33" w:rsidRPr="00BD1319">
        <w:rPr>
          <w:spacing w:val="-3"/>
        </w:rPr>
        <w:t xml:space="preserve">establecidas en el numeral de metodología y tratamiento de la </w:t>
      </w:r>
      <w:r w:rsidR="00437235" w:rsidRPr="00BD1319">
        <w:rPr>
          <w:spacing w:val="-3"/>
        </w:rPr>
        <w:t>i</w:t>
      </w:r>
      <w:r w:rsidR="00496D33" w:rsidRPr="00BD1319">
        <w:rPr>
          <w:spacing w:val="-3"/>
        </w:rPr>
        <w:t xml:space="preserve">nformación del Atlas </w:t>
      </w:r>
      <w:r w:rsidR="00437235" w:rsidRPr="00BD1319">
        <w:rPr>
          <w:spacing w:val="-3"/>
        </w:rPr>
        <w:t>de la Distribución de la propiedad rural en Colombia</w:t>
      </w:r>
      <w:r w:rsidR="00021D9A" w:rsidRPr="00BD1319">
        <w:rPr>
          <w:spacing w:val="-3"/>
        </w:rPr>
        <w:t xml:space="preserve"> publicado por IGAC (2012)</w:t>
      </w:r>
      <w:r w:rsidR="004E0E57" w:rsidRPr="00BD1319">
        <w:rPr>
          <w:spacing w:val="-3"/>
        </w:rPr>
        <w:t xml:space="preserve">; </w:t>
      </w:r>
      <w:r w:rsidR="00482A5F" w:rsidRPr="00BD1319">
        <w:rPr>
          <w:spacing w:val="-3"/>
        </w:rPr>
        <w:t>formas de tenencia</w:t>
      </w:r>
      <w:r w:rsidR="004E0E57" w:rsidRPr="00BD1319">
        <w:rPr>
          <w:spacing w:val="-3"/>
        </w:rPr>
        <w:t xml:space="preserve"> </w:t>
      </w:r>
      <w:r w:rsidR="004E0E57" w:rsidRPr="00BD1319">
        <w:rPr>
          <w:rFonts w:cs="Arial"/>
          <w:spacing w:val="-3"/>
        </w:rPr>
        <w:t>de acuerdo con las categorías (</w:t>
      </w:r>
      <w:r w:rsidR="004E0E57" w:rsidRPr="00BD1319">
        <w:t>propiedad, arriendo, aparcería, usufructo, comodato, ocupación de hecho, propiedad colectiva y adjudicatario o comunero</w:t>
      </w:r>
      <w:r w:rsidR="004E0E57" w:rsidRPr="00BD1319">
        <w:rPr>
          <w:rFonts w:cs="Arial"/>
          <w:spacing w:val="-3"/>
        </w:rPr>
        <w:t xml:space="preserve">) establecidas en la </w:t>
      </w:r>
      <w:r w:rsidR="004E0E57" w:rsidRPr="00BD1319">
        <w:t xml:space="preserve">Ficha Metodológica del tercer Censo Nacional Agropecuario del </w:t>
      </w:r>
      <w:r w:rsidR="004E0E57" w:rsidRPr="00BD1319">
        <w:rPr>
          <w:rFonts w:cs="Arial"/>
          <w:spacing w:val="-3"/>
        </w:rPr>
        <w:t>DANE (2016)</w:t>
      </w:r>
      <w:r w:rsidR="00C2537E" w:rsidRPr="00BD1319">
        <w:rPr>
          <w:rFonts w:cs="Arial"/>
          <w:spacing w:val="-3"/>
        </w:rPr>
        <w:t>;</w:t>
      </w:r>
      <w:r w:rsidR="004318E7" w:rsidRPr="00BD1319">
        <w:rPr>
          <w:rFonts w:cs="Arial"/>
          <w:spacing w:val="-3"/>
        </w:rPr>
        <w:t xml:space="preserve"> </w:t>
      </w:r>
      <w:r w:rsidR="00C2537E" w:rsidRPr="00BD1319">
        <w:rPr>
          <w:rFonts w:cs="Arial"/>
          <w:spacing w:val="-3"/>
        </w:rPr>
        <w:t xml:space="preserve">asimismo debe contemplar </w:t>
      </w:r>
      <w:r w:rsidR="00482A5F" w:rsidRPr="00BD1319">
        <w:rPr>
          <w:rFonts w:cs="Arial"/>
          <w:spacing w:val="-3"/>
        </w:rPr>
        <w:t>zonas estratégicas para el desarrollo de actividades económicas y la sostenibilidad ambiental</w:t>
      </w:r>
      <w:r w:rsidR="00C2537E" w:rsidRPr="00BD1319">
        <w:rPr>
          <w:rFonts w:cs="Arial"/>
          <w:spacing w:val="-3"/>
        </w:rPr>
        <w:t>,</w:t>
      </w:r>
      <w:r w:rsidR="00482A5F" w:rsidRPr="00BD1319">
        <w:rPr>
          <w:rFonts w:cs="Arial"/>
          <w:spacing w:val="-3"/>
        </w:rPr>
        <w:t xml:space="preserve"> tales </w:t>
      </w:r>
      <w:r w:rsidR="00482A5F" w:rsidRPr="00BD1319">
        <w:rPr>
          <w:rFonts w:cs="Arial"/>
          <w:spacing w:val="-3"/>
        </w:rPr>
        <w:lastRenderedPageBreak/>
        <w:t>como</w:t>
      </w:r>
      <w:r w:rsidR="00482A5F" w:rsidRPr="00BD1319">
        <w:rPr>
          <w:spacing w:val="-3"/>
        </w:rPr>
        <w:t xml:space="preserve"> zonas de reserva campesina, zonas de desarrollo empresarial, </w:t>
      </w:r>
      <w:r w:rsidR="006F2F41" w:rsidRPr="00BD1319">
        <w:rPr>
          <w:spacing w:val="-3"/>
        </w:rPr>
        <w:t>Z</w:t>
      </w:r>
      <w:r w:rsidR="00482A5F" w:rsidRPr="00BD1319">
        <w:rPr>
          <w:spacing w:val="-3"/>
        </w:rPr>
        <w:t>onas de Interés de Desarrollo Rural</w:t>
      </w:r>
      <w:r w:rsidR="006F2F41" w:rsidRPr="00BD1319">
        <w:rPr>
          <w:spacing w:val="-3"/>
        </w:rPr>
        <w:t>,</w:t>
      </w:r>
      <w:r w:rsidR="00482A5F" w:rsidRPr="00BD1319">
        <w:rPr>
          <w:spacing w:val="-3"/>
        </w:rPr>
        <w:t xml:space="preserve"> Económico y Social (ZIDRES),</w:t>
      </w:r>
      <w:r w:rsidR="00482A5F" w:rsidRPr="00BD1319">
        <w:rPr>
          <w:rFonts w:cs="Arial"/>
          <w:spacing w:val="-3"/>
        </w:rPr>
        <w:t xml:space="preserve"> </w:t>
      </w:r>
      <w:r w:rsidR="00482A5F" w:rsidRPr="00BD1319">
        <w:rPr>
          <w:spacing w:val="-3"/>
        </w:rPr>
        <w:t>entre otras</w:t>
      </w:r>
      <w:r w:rsidR="00B57084" w:rsidRPr="00BD1319">
        <w:rPr>
          <w:spacing w:val="-3"/>
        </w:rPr>
        <w:t>.</w:t>
      </w:r>
    </w:p>
    <w:p w14:paraId="069A8F8F" w14:textId="77777777" w:rsidR="00B57084" w:rsidRPr="00BD1319" w:rsidRDefault="00B57084" w:rsidP="009420F5">
      <w:pPr>
        <w:tabs>
          <w:tab w:val="left" w:pos="-2268"/>
        </w:tabs>
        <w:suppressAutoHyphens/>
        <w:rPr>
          <w:rFonts w:cs="Arial"/>
          <w:spacing w:val="-3"/>
        </w:rPr>
      </w:pPr>
    </w:p>
    <w:p w14:paraId="5EB37BAD" w14:textId="5C86596D" w:rsidR="00A07E08" w:rsidRPr="00BD1319" w:rsidRDefault="00482A5F" w:rsidP="000D6E21">
      <w:pPr>
        <w:pStyle w:val="Prrafodelista"/>
        <w:numPr>
          <w:ilvl w:val="0"/>
          <w:numId w:val="389"/>
        </w:numPr>
        <w:ind w:left="567" w:hanging="567"/>
        <w:rPr>
          <w:spacing w:val="-3"/>
          <w:lang w:val="es-CO"/>
        </w:rPr>
      </w:pPr>
      <w:r w:rsidRPr="00BD1319">
        <w:rPr>
          <w:spacing w:val="-3"/>
        </w:rPr>
        <w:t>Actividades productivas de los sectores primario, secundario y terciario, describiendo los procesos productivos y tecnológicos, e identificando los actores que las desarrollan y los recursos naturales utilizados por la población para su aprovechamiento o abastecimiento</w:t>
      </w:r>
      <w:r w:rsidR="004318E7" w:rsidRPr="00BD1319">
        <w:rPr>
          <w:spacing w:val="-3"/>
        </w:rPr>
        <w:t>.</w:t>
      </w:r>
      <w:r w:rsidR="00A07E08" w:rsidRPr="00BD1319">
        <w:rPr>
          <w:spacing w:val="-3"/>
        </w:rPr>
        <w:t xml:space="preserve"> </w:t>
      </w:r>
      <w:r w:rsidR="00A07E08" w:rsidRPr="00BD1319">
        <w:rPr>
          <w:spacing w:val="-3"/>
          <w:lang w:val="es-CO"/>
        </w:rPr>
        <w:t xml:space="preserve">Se debe analizar la contribución a la economía regional o municipal de cada uno de estos sectores e identificar su importancia en el contexto local; </w:t>
      </w:r>
      <w:r w:rsidR="004E202E" w:rsidRPr="00BD1319">
        <w:rPr>
          <w:spacing w:val="-3"/>
          <w:lang w:val="es-CO"/>
        </w:rPr>
        <w:t xml:space="preserve">asimismo, </w:t>
      </w:r>
      <w:r w:rsidR="00A07E08" w:rsidRPr="00BD1319">
        <w:rPr>
          <w:spacing w:val="-3"/>
          <w:lang w:val="es-CO"/>
        </w:rPr>
        <w:t>se deben señalar los volúmenes aproximados de producción, tecnologías empleadas, centros productivos e infraestructura asociada y niveles de ingreso.</w:t>
      </w:r>
    </w:p>
    <w:p w14:paraId="7317CEA0" w14:textId="77777777" w:rsidR="004318E7" w:rsidRPr="00BD1319" w:rsidRDefault="004318E7" w:rsidP="00C86DA5">
      <w:pPr>
        <w:tabs>
          <w:tab w:val="left" w:pos="-2268"/>
        </w:tabs>
        <w:suppressAutoHyphens/>
        <w:ind w:left="567" w:hanging="567"/>
        <w:rPr>
          <w:spacing w:val="-3"/>
        </w:rPr>
      </w:pPr>
    </w:p>
    <w:p w14:paraId="32E53618" w14:textId="04E7F933" w:rsidR="00482A5F" w:rsidRPr="00BD1319" w:rsidRDefault="00482A5F" w:rsidP="00C86DA5">
      <w:pPr>
        <w:numPr>
          <w:ilvl w:val="0"/>
          <w:numId w:val="389"/>
        </w:numPr>
        <w:tabs>
          <w:tab w:val="left" w:pos="-2268"/>
        </w:tabs>
        <w:suppressAutoHyphens/>
        <w:ind w:left="567" w:hanging="567"/>
        <w:rPr>
          <w:rFonts w:cs="Arial"/>
          <w:spacing w:val="-3"/>
        </w:rPr>
      </w:pPr>
      <w:r w:rsidRPr="00BD1319">
        <w:rPr>
          <w:rFonts w:cs="Arial"/>
          <w:spacing w:val="-3"/>
        </w:rPr>
        <w:t>Actividades económicas informales</w:t>
      </w:r>
      <w:r w:rsidRPr="00BD1319">
        <w:rPr>
          <w:rFonts w:cs="Arial"/>
          <w:spacing w:val="-3"/>
          <w:vertAlign w:val="superscript"/>
        </w:rPr>
        <w:footnoteReference w:id="157"/>
      </w:r>
      <w:r w:rsidR="00C2537E" w:rsidRPr="00BD1319">
        <w:rPr>
          <w:rFonts w:cs="Arial"/>
          <w:spacing w:val="-3"/>
        </w:rPr>
        <w:t>,</w:t>
      </w:r>
      <w:r w:rsidRPr="00BD1319">
        <w:rPr>
          <w:rFonts w:cs="Arial"/>
          <w:spacing w:val="-3"/>
        </w:rPr>
        <w:t xml:space="preserve"> como por ejemplo aquellas realizadas a borde de carreteras y en zonas rurales aledañas al </w:t>
      </w:r>
      <w:r w:rsidR="00676DE6" w:rsidRPr="00BD1319">
        <w:rPr>
          <w:rFonts w:cs="Arial"/>
          <w:spacing w:val="-3"/>
        </w:rPr>
        <w:t>proyecto, obra o actividad</w:t>
      </w:r>
      <w:r w:rsidRPr="00BD1319">
        <w:rPr>
          <w:rFonts w:cs="Arial"/>
          <w:spacing w:val="-3"/>
        </w:rPr>
        <w:t xml:space="preserve">, especialmente aquellas que puedan resultar afectadas por el </w:t>
      </w:r>
      <w:r w:rsidR="00676DE6" w:rsidRPr="00BD1319">
        <w:rPr>
          <w:rFonts w:cs="Arial"/>
          <w:spacing w:val="-3"/>
        </w:rPr>
        <w:t>proyecto, obra o actividad</w:t>
      </w:r>
      <w:r w:rsidRPr="00BD1319">
        <w:rPr>
          <w:rFonts w:cs="Arial"/>
          <w:spacing w:val="-3"/>
        </w:rPr>
        <w:t>.</w:t>
      </w:r>
    </w:p>
    <w:p w14:paraId="1E58FAAE" w14:textId="77777777" w:rsidR="00482A5F" w:rsidRPr="00BD1319" w:rsidRDefault="00482A5F" w:rsidP="004318E7">
      <w:pPr>
        <w:tabs>
          <w:tab w:val="left" w:pos="-2268"/>
        </w:tabs>
        <w:suppressAutoHyphens/>
        <w:ind w:left="567" w:hanging="567"/>
        <w:rPr>
          <w:spacing w:val="-3"/>
        </w:rPr>
      </w:pPr>
    </w:p>
    <w:p w14:paraId="5695B562" w14:textId="1C5B23A8" w:rsidR="00482A5F" w:rsidRPr="00BD1319" w:rsidRDefault="00482A5F" w:rsidP="00C86DA5">
      <w:pPr>
        <w:numPr>
          <w:ilvl w:val="0"/>
          <w:numId w:val="389"/>
        </w:numPr>
        <w:tabs>
          <w:tab w:val="left" w:pos="-2268"/>
        </w:tabs>
        <w:suppressAutoHyphens/>
        <w:overflowPunct/>
        <w:autoSpaceDE/>
        <w:autoSpaceDN/>
        <w:adjustRightInd/>
        <w:ind w:left="567" w:hanging="567"/>
        <w:textAlignment w:val="auto"/>
        <w:rPr>
          <w:spacing w:val="-3"/>
        </w:rPr>
      </w:pPr>
      <w:r w:rsidRPr="00BD1319">
        <w:rPr>
          <w:spacing w:val="-3"/>
        </w:rPr>
        <w:t>Actividades económicas relacionadas con el turismo o la recreación, que se desarrollan en el área</w:t>
      </w:r>
      <w:r w:rsidR="00C2537E" w:rsidRPr="00BD1319">
        <w:rPr>
          <w:spacing w:val="-3"/>
        </w:rPr>
        <w:t xml:space="preserve"> de influencia del componente</w:t>
      </w:r>
      <w:r w:rsidRPr="00BD1319">
        <w:rPr>
          <w:spacing w:val="-3"/>
        </w:rPr>
        <w:t xml:space="preserve">, </w:t>
      </w:r>
      <w:r w:rsidRPr="00BD1319">
        <w:rPr>
          <w:rFonts w:cs="Arial"/>
          <w:spacing w:val="-3"/>
        </w:rPr>
        <w:t xml:space="preserve">especialmente aquellas desarrolladas en torno a un atractivo natural (ecoturismo) o en entornos rurales. </w:t>
      </w:r>
      <w:r w:rsidR="00BC00C5" w:rsidRPr="00BD1319">
        <w:rPr>
          <w:rFonts w:cs="Arial"/>
          <w:spacing w:val="-3"/>
        </w:rPr>
        <w:t>Determinar</w:t>
      </w:r>
      <w:r w:rsidR="00BC00C5" w:rsidRPr="00BD1319">
        <w:rPr>
          <w:spacing w:val="-3"/>
        </w:rPr>
        <w:t xml:space="preserve"> </w:t>
      </w:r>
      <w:r w:rsidRPr="00BD1319">
        <w:rPr>
          <w:spacing w:val="-3"/>
        </w:rPr>
        <w:t xml:space="preserve">los agentes económicos que intervienen en las mismas, </w:t>
      </w:r>
      <w:r w:rsidR="00C2537E" w:rsidRPr="00BD1319">
        <w:rPr>
          <w:spacing w:val="-3"/>
        </w:rPr>
        <w:t xml:space="preserve">así como los </w:t>
      </w:r>
      <w:r w:rsidRPr="00BD1319">
        <w:rPr>
          <w:spacing w:val="-3"/>
        </w:rPr>
        <w:t xml:space="preserve">insumos, infraestructura, dinámica y demás elementos que las constituyen. </w:t>
      </w:r>
    </w:p>
    <w:p w14:paraId="485C5814" w14:textId="77777777" w:rsidR="00482A5F" w:rsidRPr="00BD1319" w:rsidRDefault="00482A5F" w:rsidP="004318E7">
      <w:pPr>
        <w:ind w:left="567" w:hanging="567"/>
        <w:rPr>
          <w:rFonts w:cs="Arial"/>
          <w:spacing w:val="-3"/>
        </w:rPr>
      </w:pPr>
    </w:p>
    <w:p w14:paraId="5541F290" w14:textId="77777777" w:rsidR="00D01A36" w:rsidRPr="00BD1319" w:rsidRDefault="00D01A36" w:rsidP="009420F5">
      <w:pPr>
        <w:numPr>
          <w:ilvl w:val="0"/>
          <w:numId w:val="389"/>
        </w:numPr>
        <w:tabs>
          <w:tab w:val="left" w:pos="-2268"/>
        </w:tabs>
        <w:suppressAutoHyphens/>
        <w:overflowPunct/>
        <w:autoSpaceDE/>
        <w:autoSpaceDN/>
        <w:adjustRightInd/>
        <w:ind w:left="567" w:hanging="567"/>
        <w:textAlignment w:val="auto"/>
        <w:rPr>
          <w:spacing w:val="-3"/>
        </w:rPr>
      </w:pPr>
      <w:r w:rsidRPr="00BD1319">
        <w:rPr>
          <w:spacing w:val="-3"/>
        </w:rPr>
        <w:t>Actividades económicas asociadas a negocios verdes o prácticas pecuarias sostenibles, que contribuyan a la generación de beneficios ambientales y a la conservación de los recursos naturales y el ambiente.</w:t>
      </w:r>
    </w:p>
    <w:p w14:paraId="04308A9A" w14:textId="77777777" w:rsidR="00D01A36" w:rsidRPr="00BD1319" w:rsidRDefault="00D01A36" w:rsidP="004318E7">
      <w:pPr>
        <w:ind w:left="567" w:hanging="567"/>
        <w:rPr>
          <w:rFonts w:cs="Arial"/>
          <w:spacing w:val="-3"/>
        </w:rPr>
      </w:pPr>
    </w:p>
    <w:p w14:paraId="19ABCB30" w14:textId="485FD408" w:rsidR="00482A5F" w:rsidRPr="00BD1319" w:rsidRDefault="00482A5F" w:rsidP="00C86DA5">
      <w:pPr>
        <w:numPr>
          <w:ilvl w:val="0"/>
          <w:numId w:val="389"/>
        </w:numPr>
        <w:tabs>
          <w:tab w:val="left" w:pos="-2268"/>
        </w:tabs>
        <w:suppressAutoHyphens/>
        <w:ind w:left="567" w:hanging="567"/>
        <w:rPr>
          <w:rFonts w:cs="Arial"/>
          <w:spacing w:val="-3"/>
        </w:rPr>
      </w:pPr>
      <w:r w:rsidRPr="00BD1319">
        <w:rPr>
          <w:rFonts w:cs="Arial"/>
          <w:spacing w:val="-3"/>
        </w:rPr>
        <w:t>Programas y proyectos productivos privados, públicos o comunitarios existentes, orientados a la sostenibilidad ambiental, social y económica que aporten al desarrollo local.</w:t>
      </w:r>
    </w:p>
    <w:p w14:paraId="6E9EB4B2" w14:textId="77777777" w:rsidR="00482A5F" w:rsidRPr="00BD1319" w:rsidRDefault="00482A5F" w:rsidP="004318E7">
      <w:pPr>
        <w:tabs>
          <w:tab w:val="left" w:pos="-2268"/>
        </w:tabs>
        <w:suppressAutoHyphens/>
        <w:ind w:left="567" w:hanging="567"/>
        <w:rPr>
          <w:spacing w:val="-3"/>
        </w:rPr>
      </w:pPr>
    </w:p>
    <w:p w14:paraId="5986FCB6" w14:textId="7912E334" w:rsidR="00482A5F" w:rsidRPr="00BD1319" w:rsidRDefault="00482A5F" w:rsidP="00C86DA5">
      <w:pPr>
        <w:numPr>
          <w:ilvl w:val="0"/>
          <w:numId w:val="389"/>
        </w:numPr>
        <w:tabs>
          <w:tab w:val="left" w:pos="-2268"/>
        </w:tabs>
        <w:suppressAutoHyphens/>
        <w:ind w:left="567" w:hanging="567"/>
        <w:rPr>
          <w:spacing w:val="-3"/>
        </w:rPr>
      </w:pPr>
      <w:r w:rsidRPr="00BD1319">
        <w:rPr>
          <w:spacing w:val="-3"/>
        </w:rPr>
        <w:t>Características del mercado laboral actual en cuanto al tipo de mano de obra que se encuentra en el área</w:t>
      </w:r>
      <w:r w:rsidR="003412A1" w:rsidRPr="00BD1319">
        <w:rPr>
          <w:spacing w:val="-3"/>
        </w:rPr>
        <w:t xml:space="preserve"> de influencia del componente</w:t>
      </w:r>
      <w:r w:rsidRPr="00BD1319">
        <w:rPr>
          <w:spacing w:val="-3"/>
        </w:rPr>
        <w:t xml:space="preserve"> y la forma de c</w:t>
      </w:r>
      <w:r w:rsidR="00163A42" w:rsidRPr="00BD1319">
        <w:rPr>
          <w:spacing w:val="-3"/>
        </w:rPr>
        <w:t xml:space="preserve">ondición laboral </w:t>
      </w:r>
      <w:r w:rsidR="006B15A0" w:rsidRPr="00BD1319">
        <w:rPr>
          <w:spacing w:val="-3"/>
        </w:rPr>
        <w:t xml:space="preserve">del </w:t>
      </w:r>
      <w:r w:rsidR="00163A42" w:rsidRPr="00BD1319">
        <w:rPr>
          <w:spacing w:val="-3"/>
        </w:rPr>
        <w:t xml:space="preserve">empleo </w:t>
      </w:r>
      <w:r w:rsidR="00163A42" w:rsidRPr="00BD1319">
        <w:rPr>
          <w:rFonts w:cs="Arial"/>
          <w:spacing w:val="-3"/>
        </w:rPr>
        <w:t>(</w:t>
      </w:r>
      <w:r w:rsidR="00163A42" w:rsidRPr="00BD1319">
        <w:rPr>
          <w:spacing w:val="-3"/>
        </w:rPr>
        <w:t>formal</w:t>
      </w:r>
      <w:r w:rsidRPr="00BD1319">
        <w:rPr>
          <w:rFonts w:cs="Arial"/>
          <w:spacing w:val="-3"/>
        </w:rPr>
        <w:t>-</w:t>
      </w:r>
      <w:r w:rsidRPr="00BD1319">
        <w:rPr>
          <w:spacing w:val="-3"/>
        </w:rPr>
        <w:t>informal</w:t>
      </w:r>
      <w:r w:rsidRPr="00BD1319">
        <w:rPr>
          <w:rFonts w:cs="Arial"/>
          <w:spacing w:val="-3"/>
        </w:rPr>
        <w:t>), población ocupada</w:t>
      </w:r>
      <w:r w:rsidRPr="00BD1319">
        <w:rPr>
          <w:spacing w:val="-3"/>
        </w:rPr>
        <w:t xml:space="preserve"> y </w:t>
      </w:r>
      <w:r w:rsidRPr="00BD1319">
        <w:rPr>
          <w:rFonts w:cs="Arial"/>
          <w:spacing w:val="-3"/>
        </w:rPr>
        <w:t>desocupada,</w:t>
      </w:r>
      <w:r w:rsidRPr="00BD1319">
        <w:rPr>
          <w:spacing w:val="-3"/>
        </w:rPr>
        <w:t xml:space="preserve"> y porcentajes de distribución en las principales actividades económicas.</w:t>
      </w:r>
      <w:r w:rsidRPr="00BD1319">
        <w:rPr>
          <w:rFonts w:cs="Arial"/>
          <w:spacing w:val="-3"/>
        </w:rPr>
        <w:t xml:space="preserve"> </w:t>
      </w:r>
      <w:r w:rsidR="004E202E" w:rsidRPr="00BD1319">
        <w:t>La información debe desagregarse generando datos específicos sobre mujeres, jóvenes, comunidades indígenas, comunidades negras, brecha urbano - rural, entre otros.</w:t>
      </w:r>
    </w:p>
    <w:p w14:paraId="2A99A943" w14:textId="77777777" w:rsidR="00482A5F" w:rsidRPr="00BD1319" w:rsidRDefault="00482A5F" w:rsidP="004318E7">
      <w:pPr>
        <w:tabs>
          <w:tab w:val="left" w:pos="-2268"/>
        </w:tabs>
        <w:suppressAutoHyphens/>
        <w:ind w:left="567" w:hanging="567"/>
        <w:rPr>
          <w:spacing w:val="-3"/>
        </w:rPr>
      </w:pPr>
    </w:p>
    <w:p w14:paraId="63FF2C54" w14:textId="77777777" w:rsidR="00482A5F" w:rsidRPr="00BD1319" w:rsidRDefault="00482A5F" w:rsidP="00C86DA5">
      <w:pPr>
        <w:numPr>
          <w:ilvl w:val="0"/>
          <w:numId w:val="389"/>
        </w:numPr>
        <w:overflowPunct/>
        <w:autoSpaceDE/>
        <w:autoSpaceDN/>
        <w:adjustRightInd/>
        <w:ind w:left="567" w:hanging="567"/>
        <w:textAlignment w:val="auto"/>
        <w:rPr>
          <w:rFonts w:cs="Arial"/>
          <w:color w:val="000000"/>
        </w:rPr>
      </w:pPr>
      <w:r w:rsidRPr="00BD1319">
        <w:rPr>
          <w:color w:val="000000"/>
        </w:rPr>
        <w:lastRenderedPageBreak/>
        <w:t>Tendencias del empleo en el corto y mediano plazo.</w:t>
      </w:r>
      <w:bookmarkStart w:id="2936" w:name="_Toc30501700"/>
    </w:p>
    <w:p w14:paraId="4F548D2C" w14:textId="77777777" w:rsidR="00482A5F" w:rsidRPr="00BD1319" w:rsidRDefault="00482A5F" w:rsidP="00C86DA5"/>
    <w:p w14:paraId="79B8B815" w14:textId="76860526" w:rsidR="00482A5F" w:rsidRPr="00BD1319" w:rsidRDefault="00482A5F" w:rsidP="009420F5">
      <w:pPr>
        <w:pStyle w:val="Ttulo4"/>
        <w:tabs>
          <w:tab w:val="clear" w:pos="1844"/>
          <w:tab w:val="num" w:pos="1134"/>
        </w:tabs>
        <w:ind w:left="0"/>
        <w:rPr>
          <w:lang w:val="es-CO"/>
        </w:rPr>
      </w:pPr>
      <w:bookmarkStart w:id="2937" w:name="_Toc393967328"/>
      <w:bookmarkStart w:id="2938" w:name="_Toc405366844"/>
      <w:bookmarkStart w:id="2939" w:name="_Toc405372391"/>
      <w:bookmarkStart w:id="2940" w:name="_Toc412803194"/>
      <w:bookmarkStart w:id="2941" w:name="_Toc414285591"/>
      <w:bookmarkStart w:id="2942" w:name="_Toc437936034"/>
      <w:r w:rsidRPr="00BD1319">
        <w:rPr>
          <w:lang w:val="es-CO"/>
        </w:rPr>
        <w:t>Cultural</w:t>
      </w:r>
      <w:bookmarkEnd w:id="2936"/>
      <w:bookmarkEnd w:id="2937"/>
      <w:bookmarkEnd w:id="2938"/>
      <w:bookmarkEnd w:id="2939"/>
      <w:bookmarkEnd w:id="2940"/>
      <w:bookmarkEnd w:id="2941"/>
      <w:bookmarkEnd w:id="2942"/>
    </w:p>
    <w:p w14:paraId="3E7AFB6F" w14:textId="77777777" w:rsidR="00482A5F" w:rsidRPr="00BD1319" w:rsidRDefault="00482A5F" w:rsidP="00C86DA5"/>
    <w:p w14:paraId="0F0CAA44" w14:textId="12A59C02" w:rsidR="00482A5F" w:rsidRPr="00BD1319" w:rsidRDefault="00482A5F" w:rsidP="009420F5">
      <w:pPr>
        <w:pStyle w:val="Ttulo5"/>
        <w:tabs>
          <w:tab w:val="clear" w:pos="2160"/>
          <w:tab w:val="num" w:pos="1134"/>
        </w:tabs>
        <w:ind w:left="1134" w:hanging="1134"/>
        <w:rPr>
          <w:lang w:val="es-CO"/>
        </w:rPr>
      </w:pPr>
      <w:bookmarkStart w:id="2943" w:name="_Toc393967329"/>
      <w:bookmarkStart w:id="2944" w:name="_Toc405366845"/>
      <w:bookmarkStart w:id="2945" w:name="_Toc405372392"/>
      <w:r w:rsidRPr="00BD1319">
        <w:rPr>
          <w:lang w:val="es-CO"/>
        </w:rPr>
        <w:t>Comunidades no étnicas</w:t>
      </w:r>
      <w:bookmarkEnd w:id="2943"/>
      <w:bookmarkEnd w:id="2944"/>
      <w:bookmarkEnd w:id="2945"/>
    </w:p>
    <w:p w14:paraId="73ECBD7B" w14:textId="77777777" w:rsidR="00482A5F" w:rsidRPr="00BD1319" w:rsidRDefault="00482A5F">
      <w:pPr>
        <w:numPr>
          <w:ilvl w:val="12"/>
          <w:numId w:val="0"/>
        </w:numPr>
        <w:tabs>
          <w:tab w:val="left" w:pos="-2268"/>
        </w:tabs>
        <w:suppressAutoHyphens/>
        <w:rPr>
          <w:spacing w:val="-3"/>
        </w:rPr>
      </w:pPr>
    </w:p>
    <w:p w14:paraId="5C2DFC29" w14:textId="2720C2B1" w:rsidR="00482A5F" w:rsidRPr="00BD1319" w:rsidRDefault="00482A5F">
      <w:pPr>
        <w:numPr>
          <w:ilvl w:val="12"/>
          <w:numId w:val="0"/>
        </w:numPr>
        <w:tabs>
          <w:tab w:val="left" w:pos="-2268"/>
        </w:tabs>
        <w:suppressAutoHyphens/>
        <w:rPr>
          <w:spacing w:val="-3"/>
        </w:rPr>
      </w:pPr>
      <w:r w:rsidRPr="00BD1319">
        <w:rPr>
          <w:spacing w:val="-3"/>
        </w:rPr>
        <w:t xml:space="preserve">La información cultural tiene </w:t>
      </w:r>
      <w:r w:rsidRPr="00BD1319">
        <w:rPr>
          <w:rFonts w:cs="Arial"/>
          <w:spacing w:val="-3"/>
        </w:rPr>
        <w:t>como</w:t>
      </w:r>
      <w:r w:rsidRPr="00BD1319">
        <w:rPr>
          <w:spacing w:val="-3"/>
        </w:rPr>
        <w:t xml:space="preserve"> propósito establecer los principales rasgos culturales de la población que potencialmente puede verse afectados por las dinámicas propias del proyecto</w:t>
      </w:r>
      <w:r w:rsidR="00A9245B" w:rsidRPr="00BD1319">
        <w:rPr>
          <w:spacing w:val="-3"/>
        </w:rPr>
        <w:t>, obra o actividad</w:t>
      </w:r>
      <w:r w:rsidRPr="00BD1319">
        <w:rPr>
          <w:spacing w:val="-3"/>
        </w:rPr>
        <w:t>. Para establecer lo anterior, es preciso tener en cuenta cambios culturales derivados de diversos estímulos externos, actividades económicas, eventos culturales, entre muchos otros que pudieron generar cambios históricos importantes en las características culturales.</w:t>
      </w:r>
    </w:p>
    <w:p w14:paraId="569D426E" w14:textId="1DFF5D40" w:rsidR="00654B0F" w:rsidRPr="00BD1319" w:rsidRDefault="00654B0F">
      <w:pPr>
        <w:overflowPunct/>
        <w:autoSpaceDE/>
        <w:autoSpaceDN/>
        <w:adjustRightInd/>
        <w:jc w:val="left"/>
        <w:textAlignment w:val="auto"/>
        <w:rPr>
          <w:rFonts w:cs="Arial"/>
          <w:spacing w:val="-3"/>
        </w:rPr>
      </w:pPr>
    </w:p>
    <w:p w14:paraId="1D42B96F" w14:textId="2ED9BA4C" w:rsidR="00482A5F" w:rsidRPr="00BD1319" w:rsidRDefault="00482A5F" w:rsidP="00C86DA5">
      <w:pPr>
        <w:tabs>
          <w:tab w:val="left" w:pos="-2268"/>
        </w:tabs>
        <w:suppressAutoHyphens/>
        <w:rPr>
          <w:spacing w:val="-3"/>
        </w:rPr>
      </w:pPr>
      <w:r w:rsidRPr="00BD1319">
        <w:rPr>
          <w:spacing w:val="-3"/>
        </w:rPr>
        <w:t xml:space="preserve">Para la población asentada en las </w:t>
      </w:r>
      <w:r w:rsidR="006D75A2" w:rsidRPr="00BD1319">
        <w:rPr>
          <w:spacing w:val="-3"/>
        </w:rPr>
        <w:t>unidades de análisis territorial</w:t>
      </w:r>
      <w:r w:rsidR="00FC125D" w:rsidRPr="00BD1319">
        <w:rPr>
          <w:spacing w:val="-3"/>
        </w:rPr>
        <w:t xml:space="preserve"> del área de influencia del componente</w:t>
      </w:r>
      <w:r w:rsidRPr="00BD1319">
        <w:rPr>
          <w:spacing w:val="-3"/>
        </w:rPr>
        <w:t>, se deben describir y analizar los siguientes elementos:</w:t>
      </w:r>
    </w:p>
    <w:p w14:paraId="23D089E7" w14:textId="77777777" w:rsidR="00482A5F" w:rsidRPr="00BD1319" w:rsidRDefault="00482A5F" w:rsidP="00C86DA5">
      <w:pPr>
        <w:numPr>
          <w:ilvl w:val="12"/>
          <w:numId w:val="0"/>
        </w:numPr>
        <w:tabs>
          <w:tab w:val="left" w:pos="-2268"/>
        </w:tabs>
        <w:suppressAutoHyphens/>
        <w:rPr>
          <w:spacing w:val="-3"/>
        </w:rPr>
      </w:pPr>
    </w:p>
    <w:p w14:paraId="12472DB3" w14:textId="6F739F72" w:rsidR="00482A5F" w:rsidRPr="00BD1319" w:rsidRDefault="00482A5F" w:rsidP="00C86DA5">
      <w:pPr>
        <w:numPr>
          <w:ilvl w:val="0"/>
          <w:numId w:val="389"/>
        </w:numPr>
        <w:overflowPunct/>
        <w:autoSpaceDE/>
        <w:autoSpaceDN/>
        <w:adjustRightInd/>
        <w:ind w:left="567" w:hanging="567"/>
        <w:textAlignment w:val="auto"/>
        <w:rPr>
          <w:color w:val="000000"/>
        </w:rPr>
      </w:pPr>
      <w:r w:rsidRPr="00BD1319">
        <w:rPr>
          <w:color w:val="000000"/>
        </w:rPr>
        <w:t>Modificaciones culturales</w:t>
      </w:r>
      <w:r w:rsidR="00A9245B" w:rsidRPr="00BD1319">
        <w:rPr>
          <w:color w:val="000000"/>
        </w:rPr>
        <w:t>.</w:t>
      </w:r>
      <w:r w:rsidRPr="00BD1319">
        <w:rPr>
          <w:color w:val="000000"/>
        </w:rPr>
        <w:t xml:space="preserve"> </w:t>
      </w:r>
      <w:r w:rsidR="00696B84" w:rsidRPr="00BD1319">
        <w:rPr>
          <w:color w:val="000000"/>
        </w:rPr>
        <w:t>Incorporando, de forma general,</w:t>
      </w:r>
      <w:r w:rsidR="00FC125D" w:rsidRPr="00BD1319">
        <w:rPr>
          <w:color w:val="000000"/>
        </w:rPr>
        <w:t xml:space="preserve"> </w:t>
      </w:r>
      <w:r w:rsidRPr="00BD1319">
        <w:rPr>
          <w:color w:val="000000"/>
        </w:rPr>
        <w:t>los valores culturales exógenos que puedan conducir a un cambio cultural (</w:t>
      </w:r>
      <w:r w:rsidR="00041844" w:rsidRPr="00BD1319">
        <w:rPr>
          <w:color w:val="000000"/>
        </w:rPr>
        <w:t>p. ej.</w:t>
      </w:r>
      <w:r w:rsidR="00A9245B" w:rsidRPr="00BD1319">
        <w:rPr>
          <w:color w:val="000000"/>
        </w:rPr>
        <w:t xml:space="preserve"> </w:t>
      </w:r>
      <w:r w:rsidRPr="00BD1319">
        <w:rPr>
          <w:color w:val="000000"/>
        </w:rPr>
        <w:t>desplazamientos poblacionales</w:t>
      </w:r>
      <w:r w:rsidR="00A9245B" w:rsidRPr="00BD1319">
        <w:rPr>
          <w:color w:val="000000"/>
        </w:rPr>
        <w:t xml:space="preserve"> y</w:t>
      </w:r>
      <w:r w:rsidRPr="00BD1319">
        <w:rPr>
          <w:color w:val="000000"/>
        </w:rPr>
        <w:t xml:space="preserve"> ordenamientos del territorio).</w:t>
      </w:r>
    </w:p>
    <w:p w14:paraId="4FB0EA24" w14:textId="77777777" w:rsidR="00482A5F" w:rsidRPr="00BD1319" w:rsidRDefault="00482A5F" w:rsidP="00C86DA5">
      <w:pPr>
        <w:overflowPunct/>
        <w:autoSpaceDE/>
        <w:autoSpaceDN/>
        <w:adjustRightInd/>
        <w:textAlignment w:val="auto"/>
        <w:rPr>
          <w:color w:val="000000"/>
        </w:rPr>
      </w:pPr>
    </w:p>
    <w:p w14:paraId="5113572C" w14:textId="425F1072" w:rsidR="00482A5F" w:rsidRPr="00BD1319" w:rsidRDefault="00482A5F" w:rsidP="00C86DA5">
      <w:pPr>
        <w:numPr>
          <w:ilvl w:val="0"/>
          <w:numId w:val="389"/>
        </w:numPr>
        <w:overflowPunct/>
        <w:autoSpaceDE/>
        <w:autoSpaceDN/>
        <w:adjustRightInd/>
        <w:ind w:left="567" w:hanging="567"/>
        <w:textAlignment w:val="auto"/>
        <w:rPr>
          <w:color w:val="000000"/>
        </w:rPr>
      </w:pPr>
      <w:r w:rsidRPr="00BD1319">
        <w:rPr>
          <w:color w:val="000000"/>
        </w:rPr>
        <w:t>Bases del sistema sociocultural</w:t>
      </w:r>
      <w:r w:rsidR="00A9245B" w:rsidRPr="00BD1319">
        <w:rPr>
          <w:color w:val="000000"/>
        </w:rPr>
        <w:t>.</w:t>
      </w:r>
      <w:r w:rsidRPr="00BD1319">
        <w:rPr>
          <w:color w:val="000000"/>
        </w:rPr>
        <w:t xml:space="preserve"> </w:t>
      </w:r>
      <w:r w:rsidR="00696B84" w:rsidRPr="00BD1319">
        <w:rPr>
          <w:color w:val="000000"/>
        </w:rPr>
        <w:t>L</w:t>
      </w:r>
      <w:r w:rsidRPr="00BD1319">
        <w:rPr>
          <w:color w:val="000000"/>
        </w:rPr>
        <w:t>as prácticas culturales más relevantes y el sistema de creencias y valores que de alguna manera podrían interactuar en algún momento con el proyecto</w:t>
      </w:r>
      <w:r w:rsidR="00BB503C" w:rsidRPr="00BD1319">
        <w:rPr>
          <w:color w:val="000000"/>
        </w:rPr>
        <w:t>, obra o actividad</w:t>
      </w:r>
      <w:r w:rsidRPr="00BD1319">
        <w:rPr>
          <w:color w:val="000000"/>
        </w:rPr>
        <w:t>.</w:t>
      </w:r>
    </w:p>
    <w:p w14:paraId="6E0402A1" w14:textId="77777777" w:rsidR="00482A5F" w:rsidRPr="00BD1319" w:rsidRDefault="00482A5F" w:rsidP="00C86DA5">
      <w:pPr>
        <w:overflowPunct/>
        <w:autoSpaceDE/>
        <w:autoSpaceDN/>
        <w:adjustRightInd/>
        <w:textAlignment w:val="auto"/>
        <w:rPr>
          <w:color w:val="000000"/>
        </w:rPr>
      </w:pPr>
    </w:p>
    <w:p w14:paraId="2AE5DDEA" w14:textId="797595E1" w:rsidR="00482A5F" w:rsidRPr="00BD1319" w:rsidRDefault="00482A5F" w:rsidP="00C86DA5">
      <w:pPr>
        <w:numPr>
          <w:ilvl w:val="0"/>
          <w:numId w:val="389"/>
        </w:numPr>
        <w:overflowPunct/>
        <w:autoSpaceDE/>
        <w:autoSpaceDN/>
        <w:adjustRightInd/>
        <w:ind w:left="567" w:hanging="567"/>
        <w:textAlignment w:val="auto"/>
        <w:rPr>
          <w:color w:val="000000"/>
        </w:rPr>
      </w:pPr>
      <w:r w:rsidRPr="00BD1319">
        <w:rPr>
          <w:color w:val="000000"/>
        </w:rPr>
        <w:t>Patrimonio cultural inmaterial</w:t>
      </w:r>
      <w:r w:rsidR="00FC125D" w:rsidRPr="00BD1319">
        <w:rPr>
          <w:color w:val="000000"/>
        </w:rPr>
        <w:t>.</w:t>
      </w:r>
      <w:r w:rsidRPr="00BD1319">
        <w:rPr>
          <w:color w:val="000000"/>
        </w:rPr>
        <w:t xml:space="preserve"> </w:t>
      </w:r>
      <w:r w:rsidR="00FC125D" w:rsidRPr="00BD1319">
        <w:rPr>
          <w:color w:val="000000"/>
        </w:rPr>
        <w:t xml:space="preserve">Comprende las </w:t>
      </w:r>
      <w:r w:rsidRPr="00BD1319">
        <w:rPr>
          <w:color w:val="000000"/>
        </w:rPr>
        <w:t>prácticas sociales, tradiciones estéticas y modos de conocimiento perpetuados en el seno de la comunidad.</w:t>
      </w:r>
    </w:p>
    <w:p w14:paraId="4F7F2490" w14:textId="77777777" w:rsidR="00482A5F" w:rsidRPr="00BD1319" w:rsidRDefault="00482A5F" w:rsidP="00C86DA5">
      <w:pPr>
        <w:overflowPunct/>
        <w:autoSpaceDE/>
        <w:autoSpaceDN/>
        <w:adjustRightInd/>
        <w:textAlignment w:val="auto"/>
        <w:rPr>
          <w:color w:val="000000"/>
        </w:rPr>
      </w:pPr>
    </w:p>
    <w:p w14:paraId="5BAA77E3" w14:textId="477E4F73" w:rsidR="00482A5F" w:rsidRPr="00BD1319" w:rsidRDefault="00482A5F" w:rsidP="00C86DA5">
      <w:pPr>
        <w:numPr>
          <w:ilvl w:val="0"/>
          <w:numId w:val="389"/>
        </w:numPr>
        <w:overflowPunct/>
        <w:autoSpaceDE/>
        <w:autoSpaceDN/>
        <w:adjustRightInd/>
        <w:ind w:left="567" w:hanging="567"/>
        <w:textAlignment w:val="auto"/>
        <w:rPr>
          <w:color w:val="000000"/>
        </w:rPr>
      </w:pPr>
      <w:r w:rsidRPr="00BD1319">
        <w:rPr>
          <w:color w:val="000000"/>
        </w:rPr>
        <w:t>Bienes inmuebles declarados de interés cultural</w:t>
      </w:r>
      <w:r w:rsidR="00FC125D" w:rsidRPr="00BD1319">
        <w:rPr>
          <w:color w:val="000000"/>
        </w:rPr>
        <w:t>.</w:t>
      </w:r>
      <w:r w:rsidRPr="00BD1319">
        <w:rPr>
          <w:color w:val="000000"/>
        </w:rPr>
        <w:t xml:space="preserve"> </w:t>
      </w:r>
      <w:r w:rsidR="00FC125D" w:rsidRPr="00BD1319">
        <w:rPr>
          <w:color w:val="000000"/>
        </w:rPr>
        <w:t xml:space="preserve">Se debe indicar </w:t>
      </w:r>
      <w:r w:rsidRPr="00BD1319">
        <w:rPr>
          <w:color w:val="000000"/>
        </w:rPr>
        <w:t xml:space="preserve">el acto administrativo mediante el cual </w:t>
      </w:r>
      <w:r w:rsidR="00FC125D" w:rsidRPr="00BD1319">
        <w:rPr>
          <w:color w:val="000000"/>
        </w:rPr>
        <w:t xml:space="preserve">se </w:t>
      </w:r>
      <w:r w:rsidRPr="00BD1319">
        <w:rPr>
          <w:color w:val="000000"/>
        </w:rPr>
        <w:t>declara</w:t>
      </w:r>
      <w:r w:rsidR="00FC125D" w:rsidRPr="00BD1319">
        <w:rPr>
          <w:color w:val="000000"/>
        </w:rPr>
        <w:t>n tales bienes</w:t>
      </w:r>
      <w:r w:rsidRPr="00BD1319">
        <w:rPr>
          <w:color w:val="000000"/>
        </w:rPr>
        <w:t xml:space="preserve">, así como </w:t>
      </w:r>
      <w:r w:rsidR="00FC125D" w:rsidRPr="00BD1319">
        <w:rPr>
          <w:color w:val="000000"/>
        </w:rPr>
        <w:t xml:space="preserve">referenciar </w:t>
      </w:r>
      <w:r w:rsidRPr="00BD1319">
        <w:rPr>
          <w:color w:val="000000"/>
        </w:rPr>
        <w:t xml:space="preserve">sus </w:t>
      </w:r>
      <w:r w:rsidR="00FC125D" w:rsidRPr="00BD1319">
        <w:rPr>
          <w:color w:val="000000"/>
        </w:rPr>
        <w:t>p</w:t>
      </w:r>
      <w:r w:rsidRPr="00BD1319">
        <w:rPr>
          <w:color w:val="000000"/>
        </w:rPr>
        <w:t xml:space="preserve">lanes </w:t>
      </w:r>
      <w:r w:rsidR="00FC125D" w:rsidRPr="00BD1319">
        <w:rPr>
          <w:color w:val="000000"/>
        </w:rPr>
        <w:t>e</w:t>
      </w:r>
      <w:r w:rsidRPr="00BD1319">
        <w:rPr>
          <w:color w:val="000000"/>
        </w:rPr>
        <w:t xml:space="preserve">speciales de </w:t>
      </w:r>
      <w:r w:rsidR="00FC125D" w:rsidRPr="00BD1319">
        <w:rPr>
          <w:color w:val="000000"/>
        </w:rPr>
        <w:t>m</w:t>
      </w:r>
      <w:r w:rsidRPr="00BD1319">
        <w:rPr>
          <w:color w:val="000000"/>
        </w:rPr>
        <w:t xml:space="preserve">anejo y </w:t>
      </w:r>
      <w:r w:rsidR="00FC125D" w:rsidRPr="00BD1319">
        <w:rPr>
          <w:color w:val="000000"/>
        </w:rPr>
        <w:t>p</w:t>
      </w:r>
      <w:r w:rsidRPr="00BD1319">
        <w:rPr>
          <w:color w:val="000000"/>
        </w:rPr>
        <w:t>rotección</w:t>
      </w:r>
      <w:r w:rsidR="00FC125D" w:rsidRPr="00BD1319">
        <w:rPr>
          <w:color w:val="000000"/>
        </w:rPr>
        <w:t>,</w:t>
      </w:r>
      <w:r w:rsidRPr="00BD1319">
        <w:rPr>
          <w:color w:val="000000"/>
        </w:rPr>
        <w:t xml:space="preserve"> en caso de que existan.</w:t>
      </w:r>
    </w:p>
    <w:p w14:paraId="35C6158F" w14:textId="77777777" w:rsidR="00482A5F" w:rsidRPr="00BD1319" w:rsidRDefault="00482A5F" w:rsidP="00C86DA5">
      <w:pPr>
        <w:overflowPunct/>
        <w:autoSpaceDE/>
        <w:autoSpaceDN/>
        <w:adjustRightInd/>
        <w:textAlignment w:val="auto"/>
        <w:rPr>
          <w:color w:val="000000"/>
        </w:rPr>
      </w:pPr>
    </w:p>
    <w:p w14:paraId="0B35DD7A" w14:textId="77777777" w:rsidR="00482A5F" w:rsidRPr="00BD1319" w:rsidRDefault="00482A5F" w:rsidP="00C86DA5">
      <w:pPr>
        <w:numPr>
          <w:ilvl w:val="0"/>
          <w:numId w:val="389"/>
        </w:numPr>
        <w:overflowPunct/>
        <w:autoSpaceDE/>
        <w:autoSpaceDN/>
        <w:adjustRightInd/>
        <w:ind w:left="567" w:hanging="567"/>
        <w:textAlignment w:val="auto"/>
        <w:rPr>
          <w:color w:val="000000"/>
        </w:rPr>
      </w:pPr>
      <w:r w:rsidRPr="00BD1319">
        <w:rPr>
          <w:color w:val="000000"/>
        </w:rPr>
        <w:t>Espacios de tránsito y desplazamiento.</w:t>
      </w:r>
    </w:p>
    <w:p w14:paraId="0556A6B3" w14:textId="77777777" w:rsidR="00073DD9" w:rsidRPr="00BD1319" w:rsidRDefault="00073DD9" w:rsidP="009420F5">
      <w:pPr>
        <w:rPr>
          <w:color w:val="000000"/>
        </w:rPr>
      </w:pPr>
    </w:p>
    <w:p w14:paraId="6845E37D" w14:textId="473BAEDB" w:rsidR="00073DD9" w:rsidRPr="00BD1319" w:rsidRDefault="00073DD9" w:rsidP="00073DD9">
      <w:pPr>
        <w:numPr>
          <w:ilvl w:val="0"/>
          <w:numId w:val="389"/>
        </w:numPr>
        <w:overflowPunct/>
        <w:autoSpaceDE/>
        <w:autoSpaceDN/>
        <w:adjustRightInd/>
        <w:ind w:left="567" w:hanging="567"/>
        <w:textAlignment w:val="auto"/>
        <w:rPr>
          <w:color w:val="000000"/>
        </w:rPr>
      </w:pPr>
      <w:r w:rsidRPr="00BD1319">
        <w:rPr>
          <w:color w:val="000000"/>
        </w:rPr>
        <w:t>Formas de organización comunitaria.</w:t>
      </w:r>
    </w:p>
    <w:p w14:paraId="2C7E5296" w14:textId="77777777" w:rsidR="00482A5F" w:rsidRPr="00BD1319" w:rsidRDefault="00482A5F" w:rsidP="00C86DA5">
      <w:pPr>
        <w:overflowPunct/>
        <w:autoSpaceDE/>
        <w:autoSpaceDN/>
        <w:adjustRightInd/>
        <w:textAlignment w:val="auto"/>
        <w:rPr>
          <w:color w:val="000000"/>
        </w:rPr>
      </w:pPr>
    </w:p>
    <w:p w14:paraId="0532FFFD" w14:textId="03AF7F40" w:rsidR="00482A5F" w:rsidRPr="00BD1319" w:rsidRDefault="00482A5F" w:rsidP="00C86DA5">
      <w:pPr>
        <w:numPr>
          <w:ilvl w:val="0"/>
          <w:numId w:val="389"/>
        </w:numPr>
        <w:overflowPunct/>
        <w:autoSpaceDE/>
        <w:autoSpaceDN/>
        <w:adjustRightInd/>
        <w:ind w:left="567" w:hanging="567"/>
        <w:textAlignment w:val="auto"/>
        <w:rPr>
          <w:color w:val="000000"/>
        </w:rPr>
      </w:pPr>
      <w:r w:rsidRPr="00BD1319">
        <w:rPr>
          <w:color w:val="000000"/>
        </w:rPr>
        <w:t>Áreas de identidad y uso cultural para la recreación, el turismo, el esparcimiento y el uso ceremonial o religioso.</w:t>
      </w:r>
    </w:p>
    <w:p w14:paraId="109348EE" w14:textId="52C6D5F4" w:rsidR="00482A5F" w:rsidRPr="00BD1319" w:rsidRDefault="00482A5F" w:rsidP="00C86DA5">
      <w:pPr>
        <w:overflowPunct/>
        <w:autoSpaceDE/>
        <w:autoSpaceDN/>
        <w:adjustRightInd/>
        <w:textAlignment w:val="auto"/>
        <w:rPr>
          <w:color w:val="000000"/>
        </w:rPr>
      </w:pPr>
    </w:p>
    <w:p w14:paraId="7D6198E4" w14:textId="7765EAD6" w:rsidR="00482A5F" w:rsidRPr="00BD1319" w:rsidRDefault="00482A5F" w:rsidP="00C86DA5">
      <w:pPr>
        <w:numPr>
          <w:ilvl w:val="0"/>
          <w:numId w:val="389"/>
        </w:numPr>
        <w:overflowPunct/>
        <w:autoSpaceDE/>
        <w:autoSpaceDN/>
        <w:adjustRightInd/>
        <w:ind w:left="567" w:hanging="567"/>
        <w:textAlignment w:val="auto"/>
        <w:rPr>
          <w:color w:val="000000"/>
        </w:rPr>
      </w:pPr>
      <w:r w:rsidRPr="00BD1319">
        <w:rPr>
          <w:color w:val="000000"/>
        </w:rPr>
        <w:t>Uso y manejo del entorno</w:t>
      </w:r>
      <w:r w:rsidR="00FC125D" w:rsidRPr="00BD1319">
        <w:rPr>
          <w:color w:val="000000"/>
        </w:rPr>
        <w:t>.</w:t>
      </w:r>
      <w:r w:rsidRPr="00BD1319">
        <w:rPr>
          <w:color w:val="000000"/>
        </w:rPr>
        <w:t xml:space="preserve"> </w:t>
      </w:r>
      <w:r w:rsidR="00FC125D" w:rsidRPr="00BD1319">
        <w:rPr>
          <w:color w:val="000000"/>
        </w:rPr>
        <w:t>I</w:t>
      </w:r>
      <w:r w:rsidRPr="00BD1319">
        <w:rPr>
          <w:color w:val="000000"/>
        </w:rPr>
        <w:t xml:space="preserve">dentificar la dinámica de la presión cultural sobre los recursos naturales renovables y </w:t>
      </w:r>
      <w:r w:rsidR="00FC125D" w:rsidRPr="00BD1319">
        <w:rPr>
          <w:color w:val="000000"/>
        </w:rPr>
        <w:t>d</w:t>
      </w:r>
      <w:r w:rsidRPr="00BD1319">
        <w:rPr>
          <w:color w:val="000000"/>
        </w:rPr>
        <w:t>el ambiente</w:t>
      </w:r>
      <w:r w:rsidR="00FC50A9" w:rsidRPr="00BD1319">
        <w:rPr>
          <w:color w:val="000000"/>
        </w:rPr>
        <w:t xml:space="preserve"> y los ecosistemas</w:t>
      </w:r>
      <w:r w:rsidRPr="00BD1319">
        <w:rPr>
          <w:color w:val="000000"/>
        </w:rPr>
        <w:t>.</w:t>
      </w:r>
    </w:p>
    <w:p w14:paraId="24335924" w14:textId="77777777" w:rsidR="00482A5F" w:rsidRPr="00BD1319" w:rsidRDefault="00482A5F" w:rsidP="00C86DA5">
      <w:pPr>
        <w:overflowPunct/>
        <w:autoSpaceDE/>
        <w:autoSpaceDN/>
        <w:adjustRightInd/>
        <w:textAlignment w:val="auto"/>
        <w:rPr>
          <w:color w:val="000000"/>
        </w:rPr>
      </w:pPr>
    </w:p>
    <w:p w14:paraId="60EF8CB9" w14:textId="7DE77F84" w:rsidR="00482A5F" w:rsidRPr="00BD1319" w:rsidRDefault="00FC125D" w:rsidP="00C86DA5">
      <w:pPr>
        <w:numPr>
          <w:ilvl w:val="0"/>
          <w:numId w:val="389"/>
        </w:numPr>
        <w:overflowPunct/>
        <w:autoSpaceDE/>
        <w:autoSpaceDN/>
        <w:adjustRightInd/>
        <w:ind w:left="567" w:hanging="567"/>
        <w:textAlignment w:val="auto"/>
        <w:rPr>
          <w:color w:val="000000"/>
        </w:rPr>
      </w:pPr>
      <w:r w:rsidRPr="00BD1319">
        <w:rPr>
          <w:color w:val="000000"/>
        </w:rPr>
        <w:lastRenderedPageBreak/>
        <w:t>R</w:t>
      </w:r>
      <w:r w:rsidR="00482A5F" w:rsidRPr="00BD1319">
        <w:rPr>
          <w:color w:val="000000"/>
        </w:rPr>
        <w:t>edes culturales</w:t>
      </w:r>
      <w:r w:rsidRPr="00BD1319">
        <w:rPr>
          <w:color w:val="000000"/>
        </w:rPr>
        <w:t>.</w:t>
      </w:r>
      <w:r w:rsidR="00482A5F" w:rsidRPr="00BD1319">
        <w:rPr>
          <w:color w:val="000000"/>
        </w:rPr>
        <w:t xml:space="preserve"> </w:t>
      </w:r>
      <w:r w:rsidRPr="00BD1319">
        <w:rPr>
          <w:color w:val="000000"/>
        </w:rPr>
        <w:t>E</w:t>
      </w:r>
      <w:r w:rsidR="00482A5F" w:rsidRPr="00BD1319">
        <w:rPr>
          <w:color w:val="000000"/>
        </w:rPr>
        <w:t>valuar la</w:t>
      </w:r>
      <w:r w:rsidRPr="00BD1319">
        <w:rPr>
          <w:color w:val="000000"/>
        </w:rPr>
        <w:t>s</w:t>
      </w:r>
      <w:r w:rsidR="00482A5F" w:rsidRPr="00BD1319">
        <w:rPr>
          <w:color w:val="000000"/>
        </w:rPr>
        <w:t xml:space="preserve"> </w:t>
      </w:r>
      <w:r w:rsidRPr="00BD1319">
        <w:rPr>
          <w:color w:val="000000"/>
        </w:rPr>
        <w:t xml:space="preserve">redes culturales presentes </w:t>
      </w:r>
      <w:r w:rsidR="00482A5F" w:rsidRPr="00BD1319">
        <w:rPr>
          <w:color w:val="000000"/>
        </w:rPr>
        <w:t xml:space="preserve">en el territorio </w:t>
      </w:r>
      <w:r w:rsidRPr="00BD1319">
        <w:rPr>
          <w:color w:val="000000"/>
        </w:rPr>
        <w:t xml:space="preserve">que pueden alterarse </w:t>
      </w:r>
      <w:r w:rsidR="00482A5F" w:rsidRPr="00BD1319">
        <w:rPr>
          <w:color w:val="000000"/>
        </w:rPr>
        <w:t>por la ejecución del proyecto.</w:t>
      </w:r>
    </w:p>
    <w:p w14:paraId="2A426BC2" w14:textId="77777777" w:rsidR="00FC50A9" w:rsidRPr="00BD1319" w:rsidRDefault="00FC50A9" w:rsidP="000D6E21">
      <w:pPr>
        <w:rPr>
          <w:color w:val="000000"/>
        </w:rPr>
      </w:pPr>
    </w:p>
    <w:p w14:paraId="101FE5D2" w14:textId="615E0ECA" w:rsidR="00F7155B" w:rsidRPr="00BD1319" w:rsidRDefault="00FC50A9" w:rsidP="00C86DA5">
      <w:pPr>
        <w:numPr>
          <w:ilvl w:val="0"/>
          <w:numId w:val="389"/>
        </w:numPr>
        <w:overflowPunct/>
        <w:autoSpaceDE/>
        <w:autoSpaceDN/>
        <w:adjustRightInd/>
        <w:ind w:left="567" w:hanging="567"/>
        <w:textAlignment w:val="auto"/>
        <w:rPr>
          <w:color w:val="000000"/>
        </w:rPr>
      </w:pPr>
      <w:r w:rsidRPr="00BD1319">
        <w:rPr>
          <w:rFonts w:cs="Arial"/>
          <w:szCs w:val="20"/>
        </w:rPr>
        <w:t xml:space="preserve">Memoria histórica. </w:t>
      </w:r>
      <w:r w:rsidR="00F7155B" w:rsidRPr="00BD1319">
        <w:rPr>
          <w:rFonts w:cs="Arial"/>
          <w:szCs w:val="20"/>
        </w:rPr>
        <w:t>Indagar por el recuerdo colectivo de eventos, experiencias e historias pasadas que generan identidad de los grupos de interés, procurando conocer las dinámicas culturales que conectan el pasado, el presente y el futuro.</w:t>
      </w:r>
    </w:p>
    <w:p w14:paraId="32C05F77" w14:textId="77777777" w:rsidR="00F7155B" w:rsidRPr="00BD1319" w:rsidRDefault="00F7155B" w:rsidP="000D6E21">
      <w:pPr>
        <w:rPr>
          <w:rFonts w:cs="Arial"/>
          <w:szCs w:val="20"/>
        </w:rPr>
      </w:pPr>
    </w:p>
    <w:p w14:paraId="38BFFE63" w14:textId="5476106B" w:rsidR="00332887" w:rsidRPr="00BD1319" w:rsidRDefault="008E3D0C">
      <w:pPr>
        <w:numPr>
          <w:ilvl w:val="0"/>
          <w:numId w:val="389"/>
        </w:numPr>
        <w:overflowPunct/>
        <w:autoSpaceDE/>
        <w:autoSpaceDN/>
        <w:adjustRightInd/>
        <w:ind w:left="567" w:hanging="567"/>
        <w:textAlignment w:val="auto"/>
        <w:rPr>
          <w:color w:val="000000"/>
        </w:rPr>
      </w:pPr>
      <w:r w:rsidRPr="00BD1319">
        <w:rPr>
          <w:rFonts w:cs="Arial"/>
          <w:szCs w:val="20"/>
        </w:rPr>
        <w:t>Cue</w:t>
      </w:r>
      <w:r w:rsidR="00332887" w:rsidRPr="00BD1319">
        <w:rPr>
          <w:rFonts w:cs="Arial"/>
          <w:szCs w:val="20"/>
        </w:rPr>
        <w:t>s</w:t>
      </w:r>
      <w:r w:rsidRPr="00BD1319">
        <w:rPr>
          <w:rFonts w:cs="Arial"/>
          <w:szCs w:val="20"/>
        </w:rPr>
        <w:t>tio</w:t>
      </w:r>
      <w:r w:rsidR="00332887" w:rsidRPr="00BD1319">
        <w:rPr>
          <w:rFonts w:cs="Arial"/>
          <w:szCs w:val="20"/>
        </w:rPr>
        <w:t>nes de género. Analizar los roles, las relaciones y las desigualdades entre hombres y mujeres, examinando los roles e identidades, necesidades y prioridades, acceso al poder y a los recursos, y el ejercicio del poder.</w:t>
      </w:r>
    </w:p>
    <w:p w14:paraId="0ACD6ED3" w14:textId="77777777" w:rsidR="00B61649" w:rsidRPr="00BD1319" w:rsidRDefault="00B61649" w:rsidP="000D6E21">
      <w:pPr>
        <w:rPr>
          <w:color w:val="000000"/>
        </w:rPr>
      </w:pPr>
    </w:p>
    <w:p w14:paraId="680E61DE" w14:textId="7D876932" w:rsidR="00B61649" w:rsidRPr="00BD1319" w:rsidRDefault="00B61649" w:rsidP="000D6E21">
      <w:pPr>
        <w:numPr>
          <w:ilvl w:val="0"/>
          <w:numId w:val="389"/>
        </w:numPr>
        <w:overflowPunct/>
        <w:autoSpaceDE/>
        <w:autoSpaceDN/>
        <w:adjustRightInd/>
        <w:ind w:left="567" w:hanging="567"/>
        <w:textAlignment w:val="auto"/>
        <w:rPr>
          <w:color w:val="000000"/>
        </w:rPr>
      </w:pPr>
      <w:r w:rsidRPr="00BD1319">
        <w:rPr>
          <w:spacing w:val="-3"/>
        </w:rPr>
        <w:t>Fundamentos culturales, usos y costumbres culturales y estructura del territorio.</w:t>
      </w:r>
    </w:p>
    <w:p w14:paraId="19A47413" w14:textId="77777777" w:rsidR="000D4B56" w:rsidRPr="00BD1319" w:rsidRDefault="000D4B56" w:rsidP="00C86DA5">
      <w:pPr>
        <w:overflowPunct/>
        <w:autoSpaceDE/>
        <w:autoSpaceDN/>
        <w:adjustRightInd/>
        <w:textAlignment w:val="auto"/>
        <w:rPr>
          <w:spacing w:val="-3"/>
        </w:rPr>
      </w:pPr>
    </w:p>
    <w:p w14:paraId="6B1179E1" w14:textId="44C6B7C4" w:rsidR="00482A5F" w:rsidRPr="00BD1319" w:rsidRDefault="00482A5F" w:rsidP="002F5664">
      <w:pPr>
        <w:pStyle w:val="Ttulo5"/>
        <w:tabs>
          <w:tab w:val="clear" w:pos="2160"/>
          <w:tab w:val="num" w:pos="1134"/>
        </w:tabs>
        <w:ind w:left="1134" w:hanging="1134"/>
        <w:rPr>
          <w:lang w:val="es-CO"/>
        </w:rPr>
      </w:pPr>
      <w:bookmarkStart w:id="2946" w:name="_Toc393967330"/>
      <w:bookmarkStart w:id="2947" w:name="_Toc405366846"/>
      <w:bookmarkStart w:id="2948" w:name="_Toc405372393"/>
      <w:r w:rsidRPr="00BD1319">
        <w:rPr>
          <w:lang w:val="es-CO"/>
        </w:rPr>
        <w:t>Comunidades étnicas</w:t>
      </w:r>
      <w:bookmarkEnd w:id="2946"/>
      <w:bookmarkEnd w:id="2947"/>
      <w:bookmarkEnd w:id="2948"/>
    </w:p>
    <w:p w14:paraId="187DA3BA" w14:textId="77777777" w:rsidR="00482A5F" w:rsidRPr="00BD1319" w:rsidRDefault="00482A5F">
      <w:pPr>
        <w:numPr>
          <w:ilvl w:val="12"/>
          <w:numId w:val="0"/>
        </w:numPr>
        <w:tabs>
          <w:tab w:val="left" w:pos="-2268"/>
        </w:tabs>
        <w:suppressAutoHyphens/>
        <w:rPr>
          <w:spacing w:val="-3"/>
        </w:rPr>
      </w:pPr>
    </w:p>
    <w:p w14:paraId="26FEDB22" w14:textId="699E3337" w:rsidR="00482A5F" w:rsidRPr="00BD1319" w:rsidRDefault="008154D0">
      <w:pPr>
        <w:numPr>
          <w:ilvl w:val="12"/>
          <w:numId w:val="0"/>
        </w:numPr>
        <w:tabs>
          <w:tab w:val="left" w:pos="-2268"/>
        </w:tabs>
        <w:suppressAutoHyphens/>
        <w:rPr>
          <w:spacing w:val="-3"/>
        </w:rPr>
      </w:pPr>
      <w:r w:rsidRPr="00BD1319">
        <w:rPr>
          <w:rFonts w:cs="Arial"/>
          <w:spacing w:val="-3"/>
        </w:rPr>
        <w:t xml:space="preserve">En caso de </w:t>
      </w:r>
      <w:r w:rsidRPr="00BD1319">
        <w:rPr>
          <w:spacing w:val="-3"/>
        </w:rPr>
        <w:t>procedencia de</w:t>
      </w:r>
      <w:r w:rsidRPr="00BD1319">
        <w:rPr>
          <w:rFonts w:cs="Arial"/>
          <w:spacing w:val="-3"/>
        </w:rPr>
        <w:t xml:space="preserve"> la consulta previa</w:t>
      </w:r>
      <w:r w:rsidR="008B2AD8" w:rsidRPr="00BD1319">
        <w:rPr>
          <w:rStyle w:val="Refdenotaalpie"/>
          <w:rFonts w:cs="Arial"/>
          <w:spacing w:val="-3"/>
          <w:lang w:val="es-CO"/>
        </w:rPr>
        <w:footnoteReference w:id="158"/>
      </w:r>
      <w:r w:rsidRPr="00BD1319">
        <w:rPr>
          <w:rFonts w:cs="Arial"/>
        </w:rPr>
        <w:t>,</w:t>
      </w:r>
      <w:r w:rsidRPr="00BD1319">
        <w:t xml:space="preserve"> </w:t>
      </w:r>
      <w:r w:rsidRPr="00BD1319">
        <w:rPr>
          <w:rFonts w:cs="Arial"/>
          <w:spacing w:val="-3"/>
        </w:rPr>
        <w:t>se debe realizar</w:t>
      </w:r>
      <w:r w:rsidRPr="00BD1319">
        <w:rPr>
          <w:spacing w:val="-3"/>
        </w:rPr>
        <w:t xml:space="preserve"> la caracterización de las comunidades étnicas objeto de dicha consulta</w:t>
      </w:r>
      <w:r w:rsidRPr="00BD1319">
        <w:rPr>
          <w:rFonts w:cs="Arial"/>
          <w:spacing w:val="-3"/>
        </w:rPr>
        <w:t>, de</w:t>
      </w:r>
      <w:r w:rsidR="00FC125D" w:rsidRPr="00BD1319">
        <w:rPr>
          <w:rFonts w:cs="Arial"/>
          <w:spacing w:val="-3"/>
        </w:rPr>
        <w:t xml:space="preserve">scribiendo y analizando </w:t>
      </w:r>
      <w:r w:rsidRPr="00BD1319">
        <w:rPr>
          <w:spacing w:val="-3"/>
        </w:rPr>
        <w:t xml:space="preserve">los </w:t>
      </w:r>
      <w:r w:rsidR="00FC125D" w:rsidRPr="00BD1319">
        <w:rPr>
          <w:spacing w:val="-3"/>
        </w:rPr>
        <w:t xml:space="preserve">elementos </w:t>
      </w:r>
      <w:r w:rsidRPr="00BD1319">
        <w:rPr>
          <w:spacing w:val="-3"/>
        </w:rPr>
        <w:t>que se relacionan</w:t>
      </w:r>
      <w:r w:rsidR="00FC2545" w:rsidRPr="00BD1319">
        <w:rPr>
          <w:spacing w:val="-3"/>
        </w:rPr>
        <w:t xml:space="preserve"> a continuación</w:t>
      </w:r>
      <w:r w:rsidR="00482A5F" w:rsidRPr="00BD1319">
        <w:rPr>
          <w:spacing w:val="-3"/>
        </w:rPr>
        <w:t>.</w:t>
      </w:r>
    </w:p>
    <w:p w14:paraId="1A29628C" w14:textId="77777777" w:rsidR="00482A5F" w:rsidRPr="00BD1319" w:rsidRDefault="00482A5F">
      <w:pPr>
        <w:numPr>
          <w:ilvl w:val="12"/>
          <w:numId w:val="0"/>
        </w:numPr>
        <w:tabs>
          <w:tab w:val="left" w:pos="-2268"/>
        </w:tabs>
        <w:suppressAutoHyphens/>
        <w:rPr>
          <w:spacing w:val="-3"/>
        </w:rPr>
      </w:pPr>
    </w:p>
    <w:p w14:paraId="40B65B5E" w14:textId="35AB0E6E" w:rsidR="00482A5F" w:rsidRPr="00BD1319" w:rsidRDefault="00482A5F" w:rsidP="00C86DA5">
      <w:pPr>
        <w:numPr>
          <w:ilvl w:val="0"/>
          <w:numId w:val="389"/>
        </w:numPr>
        <w:overflowPunct/>
        <w:autoSpaceDE/>
        <w:autoSpaceDN/>
        <w:adjustRightInd/>
        <w:ind w:left="567" w:hanging="567"/>
        <w:textAlignment w:val="auto"/>
        <w:rPr>
          <w:color w:val="000000"/>
        </w:rPr>
      </w:pPr>
      <w:r w:rsidRPr="00BD1319">
        <w:rPr>
          <w:color w:val="000000"/>
        </w:rPr>
        <w:t>Dinámica de poblamiento</w:t>
      </w:r>
      <w:r w:rsidR="00FC125D" w:rsidRPr="00BD1319">
        <w:rPr>
          <w:color w:val="000000"/>
        </w:rPr>
        <w:t>.</w:t>
      </w:r>
      <w:r w:rsidRPr="00BD1319">
        <w:rPr>
          <w:color w:val="000000"/>
        </w:rPr>
        <w:t xml:space="preserve"> </w:t>
      </w:r>
      <w:r w:rsidR="00FC125D" w:rsidRPr="00BD1319">
        <w:rPr>
          <w:color w:val="000000"/>
        </w:rPr>
        <w:t>D</w:t>
      </w:r>
      <w:r w:rsidRPr="00BD1319">
        <w:rPr>
          <w:color w:val="000000"/>
        </w:rPr>
        <w:t>escribir el tipo de tenencia de la tierra (resguardo, reserva, tierras colectivas, áreas susceptibles de titulación, entre otros) y los patrones de asentamiento (nucleado o disperso</w:t>
      </w:r>
      <w:r w:rsidR="00FC125D" w:rsidRPr="00BD1319">
        <w:rPr>
          <w:color w:val="000000"/>
        </w:rPr>
        <w:t>)</w:t>
      </w:r>
      <w:r w:rsidRPr="00BD1319">
        <w:rPr>
          <w:color w:val="000000"/>
        </w:rPr>
        <w:t xml:space="preserve">, así como la movilidad de la población, </w:t>
      </w:r>
      <w:r w:rsidR="00FC125D" w:rsidRPr="00BD1319">
        <w:rPr>
          <w:color w:val="000000"/>
        </w:rPr>
        <w:t xml:space="preserve">la </w:t>
      </w:r>
      <w:r w:rsidRPr="00BD1319">
        <w:rPr>
          <w:color w:val="000000"/>
        </w:rPr>
        <w:t xml:space="preserve">dependencia económica y sociocultural </w:t>
      </w:r>
      <w:r w:rsidR="00FC125D" w:rsidRPr="00BD1319">
        <w:rPr>
          <w:color w:val="000000"/>
        </w:rPr>
        <w:t xml:space="preserve">de </w:t>
      </w:r>
      <w:r w:rsidRPr="00BD1319">
        <w:rPr>
          <w:color w:val="000000"/>
        </w:rPr>
        <w:t xml:space="preserve">los ecosistemas, </w:t>
      </w:r>
      <w:r w:rsidR="00FC125D" w:rsidRPr="00BD1319">
        <w:rPr>
          <w:color w:val="000000"/>
        </w:rPr>
        <w:t xml:space="preserve">las </w:t>
      </w:r>
      <w:r w:rsidRPr="00BD1319">
        <w:rPr>
          <w:color w:val="000000"/>
        </w:rPr>
        <w:t>concepciones tradicionales sobre la ocupación del territorio y los cambios culturales originados por el contacto con otras culturas.</w:t>
      </w:r>
    </w:p>
    <w:p w14:paraId="2EDBFC11" w14:textId="77777777" w:rsidR="00482A5F" w:rsidRPr="00BD1319" w:rsidRDefault="00482A5F" w:rsidP="00C86DA5">
      <w:pPr>
        <w:overflowPunct/>
        <w:autoSpaceDE/>
        <w:autoSpaceDN/>
        <w:adjustRightInd/>
        <w:textAlignment w:val="auto"/>
        <w:rPr>
          <w:color w:val="000000"/>
        </w:rPr>
      </w:pPr>
    </w:p>
    <w:p w14:paraId="4861E6A0" w14:textId="7524DE80" w:rsidR="00482A5F" w:rsidRPr="00BD1319" w:rsidRDefault="00482A5F" w:rsidP="00C86DA5">
      <w:pPr>
        <w:overflowPunct/>
        <w:autoSpaceDE/>
        <w:autoSpaceDN/>
        <w:adjustRightInd/>
        <w:ind w:left="567"/>
        <w:textAlignment w:val="auto"/>
        <w:rPr>
          <w:color w:val="000000"/>
        </w:rPr>
      </w:pPr>
      <w:r w:rsidRPr="00BD1319">
        <w:rPr>
          <w:color w:val="000000"/>
        </w:rPr>
        <w:t>La información debe describir la diferenciación cultural del territorio, a partir de las diversas expresiones culturales al interior y exterior de la comunidad étnica, constatando la heterogeneidad del manejo del espacio. Para esta descripción se deben tener en cuenta lugares sagrados, clasificaciones toponímicas, cotos de caza, salados, jerarquías espaciales y ambientales, y uso de los recursos naturales renovables, entre otros</w:t>
      </w:r>
      <w:r w:rsidR="00835137" w:rsidRPr="00BD1319">
        <w:rPr>
          <w:color w:val="000000"/>
        </w:rPr>
        <w:t xml:space="preserve"> elementos</w:t>
      </w:r>
      <w:r w:rsidRPr="00BD1319">
        <w:rPr>
          <w:color w:val="000000"/>
        </w:rPr>
        <w:t>.</w:t>
      </w:r>
    </w:p>
    <w:p w14:paraId="6ED968C8" w14:textId="77777777" w:rsidR="00482A5F" w:rsidRPr="00BD1319" w:rsidRDefault="00482A5F">
      <w:pPr>
        <w:numPr>
          <w:ilvl w:val="12"/>
          <w:numId w:val="0"/>
        </w:numPr>
        <w:tabs>
          <w:tab w:val="left" w:pos="-2268"/>
        </w:tabs>
        <w:suppressAutoHyphens/>
        <w:rPr>
          <w:spacing w:val="-3"/>
        </w:rPr>
      </w:pPr>
    </w:p>
    <w:p w14:paraId="2595A6A3" w14:textId="4288C8FC" w:rsidR="00482A5F" w:rsidRPr="00BD1319" w:rsidRDefault="00482A5F" w:rsidP="00C86DA5">
      <w:pPr>
        <w:numPr>
          <w:ilvl w:val="0"/>
          <w:numId w:val="389"/>
        </w:numPr>
        <w:overflowPunct/>
        <w:autoSpaceDE/>
        <w:autoSpaceDN/>
        <w:adjustRightInd/>
        <w:ind w:left="567" w:hanging="567"/>
        <w:textAlignment w:val="auto"/>
        <w:rPr>
          <w:color w:val="000000"/>
        </w:rPr>
      </w:pPr>
      <w:r w:rsidRPr="00BD1319">
        <w:rPr>
          <w:color w:val="000000"/>
        </w:rPr>
        <w:t>Demografía</w:t>
      </w:r>
      <w:r w:rsidR="00835137" w:rsidRPr="00BD1319">
        <w:rPr>
          <w:color w:val="000000"/>
        </w:rPr>
        <w:t>.</w:t>
      </w:r>
      <w:r w:rsidRPr="00BD1319">
        <w:rPr>
          <w:color w:val="000000"/>
        </w:rPr>
        <w:t xml:space="preserve"> </w:t>
      </w:r>
      <w:r w:rsidR="00835137" w:rsidRPr="00BD1319">
        <w:rPr>
          <w:color w:val="000000"/>
        </w:rPr>
        <w:t>E</w:t>
      </w:r>
      <w:r w:rsidRPr="00BD1319">
        <w:rPr>
          <w:color w:val="000000"/>
        </w:rPr>
        <w:t>stablecer la población total, su distribución, densidad, tendencia de crecimiento, composición por edad y sexo, tasa</w:t>
      </w:r>
      <w:r w:rsidR="00835137" w:rsidRPr="00BD1319">
        <w:rPr>
          <w:color w:val="000000"/>
        </w:rPr>
        <w:t>s</w:t>
      </w:r>
      <w:r w:rsidRPr="00BD1319">
        <w:rPr>
          <w:color w:val="000000"/>
        </w:rPr>
        <w:t xml:space="preserve"> de natalidad, mortalidad</w:t>
      </w:r>
      <w:r w:rsidR="00835137" w:rsidRPr="00BD1319">
        <w:rPr>
          <w:color w:val="000000"/>
        </w:rPr>
        <w:t xml:space="preserve"> y</w:t>
      </w:r>
      <w:r w:rsidRPr="00BD1319">
        <w:rPr>
          <w:color w:val="000000"/>
        </w:rPr>
        <w:t xml:space="preserve"> morbilidad</w:t>
      </w:r>
      <w:r w:rsidR="00835137" w:rsidRPr="00BD1319">
        <w:rPr>
          <w:color w:val="000000"/>
        </w:rPr>
        <w:t>, así como</w:t>
      </w:r>
      <w:r w:rsidRPr="00BD1319">
        <w:rPr>
          <w:color w:val="000000"/>
        </w:rPr>
        <w:t xml:space="preserve"> </w:t>
      </w:r>
      <w:r w:rsidR="00835137" w:rsidRPr="00BD1319">
        <w:rPr>
          <w:color w:val="000000"/>
        </w:rPr>
        <w:t>la</w:t>
      </w:r>
      <w:r w:rsidRPr="00BD1319">
        <w:rPr>
          <w:color w:val="000000"/>
        </w:rPr>
        <w:t xml:space="preserve"> migración. Caracterizar la estructura familiar (tipo</w:t>
      </w:r>
      <w:r w:rsidR="00835137" w:rsidRPr="00BD1319">
        <w:rPr>
          <w:color w:val="000000"/>
        </w:rPr>
        <w:t xml:space="preserve"> y</w:t>
      </w:r>
      <w:r w:rsidRPr="00BD1319">
        <w:rPr>
          <w:color w:val="000000"/>
        </w:rPr>
        <w:t xml:space="preserve"> tamaño) y la tendencia de crecimiento. Se debe indicar la metodología empleada para el levantamiento de </w:t>
      </w:r>
      <w:r w:rsidR="00835137" w:rsidRPr="00BD1319">
        <w:rPr>
          <w:color w:val="000000"/>
        </w:rPr>
        <w:t xml:space="preserve">esta </w:t>
      </w:r>
      <w:r w:rsidRPr="00BD1319">
        <w:rPr>
          <w:color w:val="000000"/>
        </w:rPr>
        <w:t>información.</w:t>
      </w:r>
    </w:p>
    <w:p w14:paraId="792676EE" w14:textId="77777777" w:rsidR="00482A5F" w:rsidRPr="00BD1319" w:rsidRDefault="00482A5F" w:rsidP="00C86DA5">
      <w:pPr>
        <w:overflowPunct/>
        <w:autoSpaceDE/>
        <w:autoSpaceDN/>
        <w:adjustRightInd/>
        <w:textAlignment w:val="auto"/>
        <w:rPr>
          <w:color w:val="000000"/>
        </w:rPr>
      </w:pPr>
    </w:p>
    <w:p w14:paraId="53AD7FBF" w14:textId="75529CD1" w:rsidR="00482A5F" w:rsidRPr="00BD1319" w:rsidRDefault="00482A5F" w:rsidP="00C86DA5">
      <w:pPr>
        <w:numPr>
          <w:ilvl w:val="0"/>
          <w:numId w:val="389"/>
        </w:numPr>
        <w:overflowPunct/>
        <w:autoSpaceDE/>
        <w:autoSpaceDN/>
        <w:adjustRightInd/>
        <w:ind w:left="567" w:hanging="567"/>
        <w:textAlignment w:val="auto"/>
        <w:rPr>
          <w:color w:val="000000"/>
        </w:rPr>
      </w:pPr>
      <w:r w:rsidRPr="00BD1319">
        <w:rPr>
          <w:color w:val="000000"/>
        </w:rPr>
        <w:t>Salud</w:t>
      </w:r>
      <w:r w:rsidR="00835137" w:rsidRPr="00BD1319">
        <w:rPr>
          <w:color w:val="000000"/>
        </w:rPr>
        <w:t>.</w:t>
      </w:r>
      <w:r w:rsidRPr="00BD1319">
        <w:rPr>
          <w:color w:val="000000"/>
        </w:rPr>
        <w:t xml:space="preserve"> </w:t>
      </w:r>
      <w:r w:rsidR="00835137" w:rsidRPr="00BD1319">
        <w:rPr>
          <w:color w:val="000000"/>
        </w:rPr>
        <w:t>D</w:t>
      </w:r>
      <w:r w:rsidRPr="00BD1319">
        <w:rPr>
          <w:color w:val="000000"/>
        </w:rPr>
        <w:t>escribir el sistema de salud tradicional, las estrategias, recursos y espacios de curación teniendo en cuenta los agentes de salud utilizados por la comunidad (taitas, curanderos, curacas, payés, entre otros)</w:t>
      </w:r>
      <w:r w:rsidR="00496EAA" w:rsidRPr="00BD1319">
        <w:rPr>
          <w:rStyle w:val="Refdenotaalpie"/>
          <w:color w:val="000000"/>
          <w:lang w:val="es-CO"/>
        </w:rPr>
        <w:footnoteReference w:id="159"/>
      </w:r>
      <w:r w:rsidRPr="00BD1319">
        <w:rPr>
          <w:color w:val="000000"/>
        </w:rPr>
        <w:t>. Describir la relación con los demás sistemas de salud y las características de la morbimortalidad.</w:t>
      </w:r>
    </w:p>
    <w:p w14:paraId="420AA2D2" w14:textId="77777777" w:rsidR="00482A5F" w:rsidRPr="00BD1319" w:rsidRDefault="00482A5F" w:rsidP="00C86DA5">
      <w:pPr>
        <w:overflowPunct/>
        <w:autoSpaceDE/>
        <w:autoSpaceDN/>
        <w:adjustRightInd/>
        <w:textAlignment w:val="auto"/>
        <w:rPr>
          <w:color w:val="000000"/>
        </w:rPr>
      </w:pPr>
    </w:p>
    <w:p w14:paraId="08792A95" w14:textId="3B69AF5C" w:rsidR="00482A5F" w:rsidRPr="00BD1319" w:rsidRDefault="00482A5F" w:rsidP="00C86DA5">
      <w:pPr>
        <w:overflowPunct/>
        <w:autoSpaceDE/>
        <w:autoSpaceDN/>
        <w:adjustRightInd/>
        <w:ind w:left="567"/>
        <w:textAlignment w:val="auto"/>
        <w:rPr>
          <w:color w:val="000000"/>
        </w:rPr>
      </w:pPr>
      <w:r w:rsidRPr="00BD1319">
        <w:rPr>
          <w:color w:val="000000"/>
        </w:rPr>
        <w:t>Educación</w:t>
      </w:r>
      <w:r w:rsidR="00835137" w:rsidRPr="00BD1319">
        <w:rPr>
          <w:color w:val="000000"/>
        </w:rPr>
        <w:t>.</w:t>
      </w:r>
      <w:r w:rsidRPr="00BD1319">
        <w:rPr>
          <w:color w:val="000000"/>
        </w:rPr>
        <w:t xml:space="preserve"> </w:t>
      </w:r>
      <w:r w:rsidR="00835137" w:rsidRPr="00BD1319">
        <w:rPr>
          <w:color w:val="000000"/>
        </w:rPr>
        <w:t>D</w:t>
      </w:r>
      <w:r w:rsidRPr="00BD1319">
        <w:rPr>
          <w:color w:val="000000"/>
        </w:rPr>
        <w:t>escribir los tipos de educación (etnoeducación, formal y no formal) que se imparten en las comunidades, teniendo en cuenta la infraestructura existente, la cobertura, y los entes encargados</w:t>
      </w:r>
      <w:r w:rsidR="00835137" w:rsidRPr="00BD1319">
        <w:rPr>
          <w:color w:val="000000"/>
        </w:rPr>
        <w:t xml:space="preserve"> de la misma</w:t>
      </w:r>
      <w:r w:rsidRPr="00BD1319">
        <w:rPr>
          <w:color w:val="000000"/>
        </w:rPr>
        <w:t>.</w:t>
      </w:r>
      <w:r w:rsidR="00BC00C5" w:rsidRPr="00BD1319">
        <w:rPr>
          <w:color w:val="000000"/>
        </w:rPr>
        <w:t xml:space="preserve"> Asimismo, se debe d</w:t>
      </w:r>
      <w:r w:rsidRPr="00BD1319">
        <w:rPr>
          <w:color w:val="000000"/>
        </w:rPr>
        <w:t xml:space="preserve">escribir la incidencia de los proyectos </w:t>
      </w:r>
      <w:proofErr w:type="spellStart"/>
      <w:r w:rsidRPr="00BD1319">
        <w:rPr>
          <w:color w:val="000000"/>
        </w:rPr>
        <w:t>etnoeducativos</w:t>
      </w:r>
      <w:proofErr w:type="spellEnd"/>
      <w:r w:rsidRPr="00BD1319">
        <w:rPr>
          <w:color w:val="000000"/>
        </w:rPr>
        <w:t xml:space="preserve"> en los procesos de participación de la comunidad étnica e identificar la presencia de profesores bilingües.</w:t>
      </w:r>
    </w:p>
    <w:p w14:paraId="2B633886" w14:textId="77777777" w:rsidR="00482A5F" w:rsidRPr="00BD1319" w:rsidRDefault="00482A5F" w:rsidP="00C86DA5">
      <w:pPr>
        <w:tabs>
          <w:tab w:val="left" w:pos="-2268"/>
        </w:tabs>
        <w:suppressAutoHyphens/>
        <w:rPr>
          <w:spacing w:val="-3"/>
        </w:rPr>
      </w:pPr>
    </w:p>
    <w:p w14:paraId="187C2E78" w14:textId="6079301D" w:rsidR="00482A5F" w:rsidRPr="00BD1319" w:rsidRDefault="00482A5F" w:rsidP="00C86DA5">
      <w:pPr>
        <w:numPr>
          <w:ilvl w:val="0"/>
          <w:numId w:val="389"/>
        </w:numPr>
        <w:overflowPunct/>
        <w:autoSpaceDE/>
        <w:autoSpaceDN/>
        <w:adjustRightInd/>
        <w:ind w:left="567" w:hanging="567"/>
        <w:textAlignment w:val="auto"/>
        <w:rPr>
          <w:color w:val="000000"/>
        </w:rPr>
      </w:pPr>
      <w:r w:rsidRPr="00BD1319">
        <w:rPr>
          <w:color w:val="000000"/>
        </w:rPr>
        <w:t>Religiosidad y cosmogonía</w:t>
      </w:r>
      <w:r w:rsidR="00835137" w:rsidRPr="00BD1319">
        <w:rPr>
          <w:color w:val="000000"/>
        </w:rPr>
        <w:t>.</w:t>
      </w:r>
      <w:r w:rsidRPr="00BD1319">
        <w:rPr>
          <w:color w:val="000000"/>
        </w:rPr>
        <w:t xml:space="preserve"> </w:t>
      </w:r>
      <w:r w:rsidR="00BC00C5" w:rsidRPr="00BD1319">
        <w:rPr>
          <w:color w:val="000000"/>
        </w:rPr>
        <w:t xml:space="preserve">Establecer </w:t>
      </w:r>
      <w:r w:rsidRPr="00BD1319">
        <w:rPr>
          <w:color w:val="000000"/>
        </w:rPr>
        <w:t>c</w:t>
      </w:r>
      <w:r w:rsidR="00835137" w:rsidRPr="00BD1319">
        <w:rPr>
          <w:color w:val="000000"/>
        </w:rPr>
        <w:t>ó</w:t>
      </w:r>
      <w:r w:rsidRPr="00BD1319">
        <w:rPr>
          <w:color w:val="000000"/>
        </w:rPr>
        <w:t xml:space="preserve">mo el sistema de creencias determina el relacionamiento con la naturaleza y con lugares específicos del entorno como bosques, cuerpos de agua, montañas, colinas o cerros, </w:t>
      </w:r>
      <w:r w:rsidR="00835137" w:rsidRPr="00BD1319">
        <w:rPr>
          <w:color w:val="000000"/>
        </w:rPr>
        <w:t xml:space="preserve">los cuáles </w:t>
      </w:r>
      <w:r w:rsidRPr="00BD1319">
        <w:rPr>
          <w:color w:val="000000"/>
        </w:rPr>
        <w:t>deben ser identificados</w:t>
      </w:r>
      <w:r w:rsidR="00835137" w:rsidRPr="00BD1319">
        <w:rPr>
          <w:color w:val="000000"/>
        </w:rPr>
        <w:t>.</w:t>
      </w:r>
    </w:p>
    <w:p w14:paraId="6F0F7780" w14:textId="77777777" w:rsidR="00482A5F" w:rsidRPr="00BD1319" w:rsidRDefault="00482A5F" w:rsidP="00C86DA5">
      <w:pPr>
        <w:overflowPunct/>
        <w:autoSpaceDE/>
        <w:autoSpaceDN/>
        <w:adjustRightInd/>
        <w:textAlignment w:val="auto"/>
        <w:rPr>
          <w:color w:val="000000"/>
        </w:rPr>
      </w:pPr>
    </w:p>
    <w:p w14:paraId="22F57595" w14:textId="77777777" w:rsidR="00161B35" w:rsidRPr="00BD1319" w:rsidRDefault="00161B35" w:rsidP="00161B35">
      <w:pPr>
        <w:numPr>
          <w:ilvl w:val="0"/>
          <w:numId w:val="389"/>
        </w:numPr>
        <w:overflowPunct/>
        <w:autoSpaceDE/>
        <w:autoSpaceDN/>
        <w:adjustRightInd/>
        <w:ind w:left="567" w:hanging="567"/>
        <w:textAlignment w:val="auto"/>
        <w:rPr>
          <w:color w:val="000000"/>
        </w:rPr>
      </w:pPr>
      <w:r w:rsidRPr="00BD1319">
        <w:rPr>
          <w:rFonts w:cs="Arial"/>
          <w:szCs w:val="20"/>
        </w:rPr>
        <w:t>Memoria histórica. Indagar por el recuerdo colectivo de eventos, experiencias e historias pasadas que generan identidad de los grupos de interés, procurando conocer las dinámicas culturales que conectan el pasado, el presente y el futuro.</w:t>
      </w:r>
    </w:p>
    <w:p w14:paraId="1B54C767" w14:textId="77777777" w:rsidR="00161B35" w:rsidRPr="00BD1319" w:rsidRDefault="00161B35" w:rsidP="00161B35">
      <w:pPr>
        <w:rPr>
          <w:color w:val="000000"/>
        </w:rPr>
      </w:pPr>
    </w:p>
    <w:p w14:paraId="3719A122" w14:textId="77777777" w:rsidR="00A3507A" w:rsidRPr="00BD1319" w:rsidRDefault="00A3507A" w:rsidP="00A3507A">
      <w:pPr>
        <w:numPr>
          <w:ilvl w:val="0"/>
          <w:numId w:val="389"/>
        </w:numPr>
        <w:overflowPunct/>
        <w:autoSpaceDE/>
        <w:autoSpaceDN/>
        <w:adjustRightInd/>
        <w:ind w:left="567" w:hanging="567"/>
        <w:textAlignment w:val="auto"/>
        <w:rPr>
          <w:color w:val="000000"/>
        </w:rPr>
      </w:pPr>
      <w:r w:rsidRPr="00BD1319">
        <w:rPr>
          <w:color w:val="000000"/>
        </w:rPr>
        <w:t>Patrimonio cultural inmaterial. Comprende las prácticas sociales, tradiciones estéticas y modos de conocimiento perpetuados en el seno de la comunidad.</w:t>
      </w:r>
    </w:p>
    <w:p w14:paraId="3C89C784" w14:textId="77777777" w:rsidR="00A3507A" w:rsidRPr="00BD1319" w:rsidRDefault="00A3507A" w:rsidP="000D6E21">
      <w:pPr>
        <w:rPr>
          <w:color w:val="000000"/>
        </w:rPr>
      </w:pPr>
    </w:p>
    <w:p w14:paraId="3F685566" w14:textId="2437C49E" w:rsidR="00482A5F" w:rsidRPr="00BD1319" w:rsidRDefault="00835137" w:rsidP="00C86DA5">
      <w:pPr>
        <w:numPr>
          <w:ilvl w:val="0"/>
          <w:numId w:val="389"/>
        </w:numPr>
        <w:overflowPunct/>
        <w:autoSpaceDE/>
        <w:autoSpaceDN/>
        <w:adjustRightInd/>
        <w:ind w:left="567" w:hanging="567"/>
        <w:textAlignment w:val="auto"/>
        <w:rPr>
          <w:color w:val="000000"/>
        </w:rPr>
      </w:pPr>
      <w:r w:rsidRPr="00BD1319">
        <w:rPr>
          <w:color w:val="000000"/>
        </w:rPr>
        <w:t>C</w:t>
      </w:r>
      <w:r w:rsidR="00482A5F" w:rsidRPr="00BD1319">
        <w:rPr>
          <w:color w:val="000000"/>
        </w:rPr>
        <w:t>ambios culturales</w:t>
      </w:r>
      <w:r w:rsidRPr="00BD1319">
        <w:rPr>
          <w:color w:val="000000"/>
        </w:rPr>
        <w:t xml:space="preserve">. </w:t>
      </w:r>
      <w:r w:rsidR="00BC00C5" w:rsidRPr="00BD1319">
        <w:rPr>
          <w:color w:val="000000"/>
        </w:rPr>
        <w:t xml:space="preserve">Determinar </w:t>
      </w:r>
      <w:r w:rsidRPr="00BD1319">
        <w:rPr>
          <w:color w:val="000000"/>
        </w:rPr>
        <w:t>los cambios</w:t>
      </w:r>
      <w:r w:rsidR="00482A5F" w:rsidRPr="00BD1319">
        <w:rPr>
          <w:color w:val="000000"/>
        </w:rPr>
        <w:t xml:space="preserve"> que se han presentado en la conformación de la identidad a partir de procesos de choque, localización y resistencia.</w:t>
      </w:r>
    </w:p>
    <w:p w14:paraId="20A0F31D" w14:textId="77777777" w:rsidR="00482A5F" w:rsidRPr="00BD1319" w:rsidRDefault="00482A5F" w:rsidP="00C86DA5">
      <w:pPr>
        <w:overflowPunct/>
        <w:autoSpaceDE/>
        <w:autoSpaceDN/>
        <w:adjustRightInd/>
        <w:textAlignment w:val="auto"/>
        <w:rPr>
          <w:color w:val="000000"/>
        </w:rPr>
      </w:pPr>
    </w:p>
    <w:p w14:paraId="599B56D5" w14:textId="7A18A33C" w:rsidR="00482A5F" w:rsidRPr="00BD1319" w:rsidRDefault="00482A5F" w:rsidP="00C86DA5">
      <w:pPr>
        <w:numPr>
          <w:ilvl w:val="0"/>
          <w:numId w:val="389"/>
        </w:numPr>
        <w:overflowPunct/>
        <w:autoSpaceDE/>
        <w:autoSpaceDN/>
        <w:adjustRightInd/>
        <w:ind w:left="567" w:hanging="567"/>
        <w:textAlignment w:val="auto"/>
        <w:rPr>
          <w:color w:val="000000"/>
        </w:rPr>
      </w:pPr>
      <w:r w:rsidRPr="00BD1319">
        <w:rPr>
          <w:color w:val="000000"/>
        </w:rPr>
        <w:t>Etnolingüística</w:t>
      </w:r>
      <w:r w:rsidR="00835137" w:rsidRPr="00BD1319">
        <w:rPr>
          <w:color w:val="000000"/>
        </w:rPr>
        <w:t>.</w:t>
      </w:r>
      <w:r w:rsidRPr="00BD1319">
        <w:rPr>
          <w:color w:val="000000"/>
        </w:rPr>
        <w:t xml:space="preserve"> </w:t>
      </w:r>
      <w:r w:rsidR="00835137" w:rsidRPr="00BD1319">
        <w:rPr>
          <w:color w:val="000000"/>
        </w:rPr>
        <w:t>I</w:t>
      </w:r>
      <w:r w:rsidRPr="00BD1319">
        <w:rPr>
          <w:color w:val="000000"/>
        </w:rPr>
        <w:t>dentificar la lengua y dialectos predominantes en la población, la presencia de bilingüismo o multilingüismo, los mecanismos de relación intra e intercultural y las problemáticas más sobresalientes relacionadas con estos temas. Precisar el uso actual de la lengua, estimando el número de hablantes y justificar la necesidad o no de la traducción a la lengua nativa</w:t>
      </w:r>
      <w:r w:rsidR="00EB4574" w:rsidRPr="00BD1319">
        <w:rPr>
          <w:color w:val="000000"/>
        </w:rPr>
        <w:t xml:space="preserve"> por medio de intermediación cultural</w:t>
      </w:r>
      <w:r w:rsidRPr="00BD1319">
        <w:rPr>
          <w:color w:val="000000"/>
        </w:rPr>
        <w:t>.</w:t>
      </w:r>
    </w:p>
    <w:p w14:paraId="6722980C" w14:textId="77777777" w:rsidR="00332887" w:rsidRPr="00BD1319" w:rsidRDefault="00332887" w:rsidP="000D6E21">
      <w:pPr>
        <w:rPr>
          <w:color w:val="000000"/>
        </w:rPr>
      </w:pPr>
    </w:p>
    <w:p w14:paraId="03587963" w14:textId="77777777" w:rsidR="00332887" w:rsidRPr="00BD1319" w:rsidRDefault="00332887" w:rsidP="00332887">
      <w:pPr>
        <w:numPr>
          <w:ilvl w:val="0"/>
          <w:numId w:val="389"/>
        </w:numPr>
        <w:overflowPunct/>
        <w:autoSpaceDE/>
        <w:autoSpaceDN/>
        <w:adjustRightInd/>
        <w:ind w:left="567" w:hanging="567"/>
        <w:textAlignment w:val="auto"/>
        <w:rPr>
          <w:color w:val="000000"/>
        </w:rPr>
      </w:pPr>
      <w:r w:rsidRPr="00BD1319">
        <w:rPr>
          <w:rFonts w:cs="Arial"/>
          <w:szCs w:val="20"/>
        </w:rPr>
        <w:lastRenderedPageBreak/>
        <w:t>Cuestiones de género. Analizar los roles, las relaciones y las desigualdades entre hombres y mujeres, examinando los roles e identidades, necesidades y prioridades, acceso al poder y a los recursos, y el ejercicio del poder.</w:t>
      </w:r>
    </w:p>
    <w:p w14:paraId="375F052B" w14:textId="77777777" w:rsidR="00482A5F" w:rsidRPr="00BD1319" w:rsidRDefault="00482A5F" w:rsidP="00C86DA5">
      <w:pPr>
        <w:overflowPunct/>
        <w:autoSpaceDE/>
        <w:autoSpaceDN/>
        <w:adjustRightInd/>
        <w:textAlignment w:val="auto"/>
        <w:rPr>
          <w:color w:val="000000"/>
        </w:rPr>
      </w:pPr>
    </w:p>
    <w:p w14:paraId="535609A7" w14:textId="3BE93820" w:rsidR="00482A5F" w:rsidRPr="00BD1319" w:rsidRDefault="00482A5F" w:rsidP="00C86DA5">
      <w:pPr>
        <w:numPr>
          <w:ilvl w:val="0"/>
          <w:numId w:val="389"/>
        </w:numPr>
        <w:overflowPunct/>
        <w:autoSpaceDE/>
        <w:autoSpaceDN/>
        <w:adjustRightInd/>
        <w:ind w:left="567" w:hanging="567"/>
        <w:textAlignment w:val="auto"/>
        <w:rPr>
          <w:color w:val="000000"/>
        </w:rPr>
      </w:pPr>
      <w:r w:rsidRPr="00BD1319">
        <w:rPr>
          <w:color w:val="000000"/>
        </w:rPr>
        <w:t>Economía tradicional</w:t>
      </w:r>
      <w:r w:rsidR="00835137" w:rsidRPr="00BD1319">
        <w:rPr>
          <w:color w:val="000000"/>
        </w:rPr>
        <w:t>.</w:t>
      </w:r>
      <w:r w:rsidRPr="00BD1319">
        <w:rPr>
          <w:color w:val="000000"/>
        </w:rPr>
        <w:t xml:space="preserve"> </w:t>
      </w:r>
      <w:r w:rsidR="00835137" w:rsidRPr="00BD1319">
        <w:rPr>
          <w:color w:val="000000"/>
        </w:rPr>
        <w:t>D</w:t>
      </w:r>
      <w:r w:rsidRPr="00BD1319">
        <w:rPr>
          <w:color w:val="000000"/>
        </w:rPr>
        <w:t>escribir los sistemas económicos y productivos teniendo en cuenta la estructura de la propiedad, las actividades</w:t>
      </w:r>
      <w:r w:rsidR="00BC00C5" w:rsidRPr="00BD1319">
        <w:rPr>
          <w:color w:val="000000"/>
        </w:rPr>
        <w:t xml:space="preserve"> económicas</w:t>
      </w:r>
      <w:r w:rsidRPr="00BD1319">
        <w:rPr>
          <w:color w:val="000000"/>
        </w:rPr>
        <w:t xml:space="preserve">, </w:t>
      </w:r>
      <w:r w:rsidR="00835137" w:rsidRPr="00BD1319">
        <w:rPr>
          <w:color w:val="000000"/>
        </w:rPr>
        <w:t xml:space="preserve">las </w:t>
      </w:r>
      <w:r w:rsidRPr="00BD1319">
        <w:rPr>
          <w:color w:val="000000"/>
        </w:rPr>
        <w:t xml:space="preserve">estrategias productivas, </w:t>
      </w:r>
      <w:r w:rsidR="00835137" w:rsidRPr="00BD1319">
        <w:rPr>
          <w:color w:val="000000"/>
        </w:rPr>
        <w:t xml:space="preserve">las </w:t>
      </w:r>
      <w:r w:rsidRPr="00BD1319">
        <w:rPr>
          <w:color w:val="000000"/>
        </w:rPr>
        <w:t xml:space="preserve">tecnologías utilizadas y la infraestructura asociada. </w:t>
      </w:r>
      <w:r w:rsidR="00BC00C5" w:rsidRPr="00BD1319">
        <w:rPr>
          <w:color w:val="000000"/>
        </w:rPr>
        <w:t xml:space="preserve">Determinar </w:t>
      </w:r>
      <w:r w:rsidRPr="00BD1319">
        <w:rPr>
          <w:color w:val="000000"/>
        </w:rPr>
        <w:t>las redes de comercialización de productos tanto inter como extra locales, regionales y fronterizas (en el caso en que proceda). Describir las prácticas de uso, aprovechamiento e interacción de la población con los recursos naturales</w:t>
      </w:r>
      <w:r w:rsidR="004F15FD" w:rsidRPr="00BD1319">
        <w:rPr>
          <w:color w:val="000000"/>
        </w:rPr>
        <w:t>,</w:t>
      </w:r>
      <w:r w:rsidR="0072054C" w:rsidRPr="00BD1319">
        <w:rPr>
          <w:color w:val="000000"/>
        </w:rPr>
        <w:t xml:space="preserve"> </w:t>
      </w:r>
      <w:r w:rsidRPr="00BD1319">
        <w:rPr>
          <w:color w:val="000000"/>
        </w:rPr>
        <w:t xml:space="preserve">la participación de los miembros de la comunidad en las actividades productivas, así como el uso cultural y </w:t>
      </w:r>
      <w:r w:rsidR="004F15FD" w:rsidRPr="00BD1319">
        <w:rPr>
          <w:color w:val="000000"/>
        </w:rPr>
        <w:t xml:space="preserve">el </w:t>
      </w:r>
      <w:r w:rsidRPr="00BD1319">
        <w:rPr>
          <w:color w:val="000000"/>
        </w:rPr>
        <w:t xml:space="preserve">grado de dependencia </w:t>
      </w:r>
      <w:r w:rsidR="004F15FD" w:rsidRPr="00BD1319">
        <w:rPr>
          <w:color w:val="000000"/>
        </w:rPr>
        <w:t xml:space="preserve">de la comunidad </w:t>
      </w:r>
      <w:r w:rsidRPr="00BD1319">
        <w:rPr>
          <w:color w:val="000000"/>
        </w:rPr>
        <w:t xml:space="preserve">de los recursos naturales. </w:t>
      </w:r>
      <w:r w:rsidR="00BC00C5" w:rsidRPr="00BD1319">
        <w:rPr>
          <w:color w:val="000000"/>
        </w:rPr>
        <w:t xml:space="preserve">Determinar </w:t>
      </w:r>
      <w:r w:rsidRPr="00BD1319">
        <w:rPr>
          <w:color w:val="000000"/>
        </w:rPr>
        <w:t xml:space="preserve">la existencia de </w:t>
      </w:r>
      <w:r w:rsidR="00EA6A3F" w:rsidRPr="00BD1319">
        <w:rPr>
          <w:color w:val="000000"/>
        </w:rPr>
        <w:t>parcialidades</w:t>
      </w:r>
      <w:r w:rsidRPr="00BD1319">
        <w:rPr>
          <w:color w:val="000000"/>
        </w:rPr>
        <w:t xml:space="preserve"> al interior del territorio, tamaño, usos y grado de dependencia de las familias, entre otros.</w:t>
      </w:r>
    </w:p>
    <w:p w14:paraId="26BD2D00" w14:textId="77777777" w:rsidR="00482A5F" w:rsidRPr="00BD1319" w:rsidRDefault="00482A5F" w:rsidP="00C86DA5">
      <w:pPr>
        <w:overflowPunct/>
        <w:autoSpaceDE/>
        <w:autoSpaceDN/>
        <w:adjustRightInd/>
        <w:textAlignment w:val="auto"/>
        <w:rPr>
          <w:color w:val="000000"/>
        </w:rPr>
      </w:pPr>
    </w:p>
    <w:p w14:paraId="427430F7" w14:textId="7D1AEA34" w:rsidR="00482A5F" w:rsidRPr="00BD1319" w:rsidRDefault="00482A5F" w:rsidP="00C86DA5">
      <w:pPr>
        <w:numPr>
          <w:ilvl w:val="0"/>
          <w:numId w:val="389"/>
        </w:numPr>
        <w:overflowPunct/>
        <w:autoSpaceDE/>
        <w:autoSpaceDN/>
        <w:adjustRightInd/>
        <w:ind w:left="567" w:hanging="567"/>
        <w:textAlignment w:val="auto"/>
        <w:rPr>
          <w:color w:val="000000"/>
        </w:rPr>
      </w:pPr>
      <w:r w:rsidRPr="00BD1319">
        <w:rPr>
          <w:color w:val="000000"/>
        </w:rPr>
        <w:t>Organización sociocultural</w:t>
      </w:r>
      <w:r w:rsidR="004F15FD" w:rsidRPr="00BD1319">
        <w:rPr>
          <w:color w:val="000000"/>
        </w:rPr>
        <w:t>.</w:t>
      </w:r>
      <w:r w:rsidRPr="00BD1319">
        <w:rPr>
          <w:color w:val="000000"/>
        </w:rPr>
        <w:t xml:space="preserve"> </w:t>
      </w:r>
      <w:r w:rsidR="004F15FD" w:rsidRPr="00BD1319">
        <w:rPr>
          <w:color w:val="000000"/>
        </w:rPr>
        <w:t>P</w:t>
      </w:r>
      <w:r w:rsidRPr="00BD1319">
        <w:rPr>
          <w:color w:val="000000"/>
        </w:rPr>
        <w:t xml:space="preserve">resentar una síntesis de los roles más importantes reconocidos en las formas tradicionales de organización, precisando los tipos de organización, representantes legales, autoridades tradicionales y las legítimamente reconocidas. </w:t>
      </w:r>
      <w:r w:rsidR="00BC00C5" w:rsidRPr="00BD1319">
        <w:rPr>
          <w:color w:val="000000"/>
        </w:rPr>
        <w:t xml:space="preserve">Determinar </w:t>
      </w:r>
      <w:r w:rsidRPr="00BD1319">
        <w:rPr>
          <w:color w:val="000000"/>
        </w:rPr>
        <w:t>los espacios de participación que contribuyen al fortalecimiento de la identidad cultural. Describir las relaciones interétnicas y culturales, los vínculos con otras organizaciones comunitarias y los diferentes conflictos que se presentan en la zona.</w:t>
      </w:r>
    </w:p>
    <w:p w14:paraId="7E875702" w14:textId="77777777" w:rsidR="00482A5F" w:rsidRPr="00BD1319" w:rsidRDefault="00482A5F" w:rsidP="00C86DA5">
      <w:pPr>
        <w:overflowPunct/>
        <w:autoSpaceDE/>
        <w:autoSpaceDN/>
        <w:adjustRightInd/>
        <w:textAlignment w:val="auto"/>
        <w:rPr>
          <w:color w:val="000000"/>
        </w:rPr>
      </w:pPr>
    </w:p>
    <w:p w14:paraId="70012DE0" w14:textId="77777777" w:rsidR="00B61649" w:rsidRPr="00BD1319" w:rsidRDefault="00B61649" w:rsidP="00B61649">
      <w:pPr>
        <w:numPr>
          <w:ilvl w:val="0"/>
          <w:numId w:val="389"/>
        </w:numPr>
        <w:overflowPunct/>
        <w:autoSpaceDE/>
        <w:autoSpaceDN/>
        <w:adjustRightInd/>
        <w:ind w:left="567" w:hanging="567"/>
        <w:textAlignment w:val="auto"/>
        <w:rPr>
          <w:color w:val="000000"/>
        </w:rPr>
      </w:pPr>
      <w:r w:rsidRPr="00BD1319">
        <w:rPr>
          <w:spacing w:val="-3"/>
        </w:rPr>
        <w:t>Fundamentos culturales, usos y costumbres culturales y estructura del territorio.</w:t>
      </w:r>
    </w:p>
    <w:p w14:paraId="07B2C376" w14:textId="77777777" w:rsidR="00B61649" w:rsidRPr="00BD1319" w:rsidRDefault="00B61649" w:rsidP="00C86DA5">
      <w:pPr>
        <w:overflowPunct/>
        <w:autoSpaceDE/>
        <w:autoSpaceDN/>
        <w:adjustRightInd/>
        <w:textAlignment w:val="auto"/>
        <w:rPr>
          <w:color w:val="000000"/>
        </w:rPr>
      </w:pPr>
    </w:p>
    <w:p w14:paraId="2921DB6B" w14:textId="59E0570C" w:rsidR="00482A5F" w:rsidRPr="00BD1319" w:rsidRDefault="00482A5F" w:rsidP="00C86DA5">
      <w:pPr>
        <w:numPr>
          <w:ilvl w:val="0"/>
          <w:numId w:val="389"/>
        </w:numPr>
        <w:overflowPunct/>
        <w:autoSpaceDE/>
        <w:autoSpaceDN/>
        <w:adjustRightInd/>
        <w:ind w:left="567" w:hanging="567"/>
        <w:textAlignment w:val="auto"/>
        <w:rPr>
          <w:color w:val="000000"/>
        </w:rPr>
      </w:pPr>
      <w:r w:rsidRPr="00BD1319">
        <w:rPr>
          <w:color w:val="000000"/>
        </w:rPr>
        <w:t>Presencia institucional</w:t>
      </w:r>
      <w:r w:rsidR="00180FBA" w:rsidRPr="00BD1319">
        <w:rPr>
          <w:color w:val="000000"/>
        </w:rPr>
        <w:t>.</w:t>
      </w:r>
      <w:r w:rsidRPr="00BD1319">
        <w:rPr>
          <w:color w:val="000000"/>
        </w:rPr>
        <w:t xml:space="preserve"> </w:t>
      </w:r>
      <w:r w:rsidR="00180FBA" w:rsidRPr="00BD1319">
        <w:rPr>
          <w:color w:val="000000"/>
        </w:rPr>
        <w:t>D</w:t>
      </w:r>
      <w:r w:rsidRPr="00BD1319">
        <w:rPr>
          <w:color w:val="000000"/>
        </w:rPr>
        <w:t>escribir los proyectos existentes dentro de los territorios tradicionales o colectivos y el grado de participación de la comunidad</w:t>
      </w:r>
      <w:r w:rsidR="00180FBA" w:rsidRPr="00BD1319">
        <w:rPr>
          <w:color w:val="000000"/>
        </w:rPr>
        <w:t xml:space="preserve"> en los mismos</w:t>
      </w:r>
      <w:r w:rsidRPr="00BD1319">
        <w:rPr>
          <w:color w:val="000000"/>
        </w:rPr>
        <w:t>. Se deben presentar las investigaciones, proyectos y obras que se adelanten por instituciones gubernamentales y no gubernamentales, dentro de los territorios tradicionales de las comunidades étnicas, incluyendo la función que cumplen</w:t>
      </w:r>
      <w:r w:rsidR="00180FBA" w:rsidRPr="00BD1319">
        <w:rPr>
          <w:color w:val="000000"/>
        </w:rPr>
        <w:t>,</w:t>
      </w:r>
      <w:r w:rsidRPr="00BD1319">
        <w:rPr>
          <w:color w:val="000000"/>
        </w:rPr>
        <w:t xml:space="preserve"> la vinculación que tienen las comunidades y la cobertura de dichos proyectos. Se deben identificar los proyectos de etnodesarrollo, definidos por cada una de las comunidades que se estén ejecutando o </w:t>
      </w:r>
      <w:r w:rsidR="00180FBA" w:rsidRPr="00BD1319">
        <w:rPr>
          <w:color w:val="000000"/>
        </w:rPr>
        <w:t xml:space="preserve">que </w:t>
      </w:r>
      <w:r w:rsidRPr="00BD1319">
        <w:rPr>
          <w:color w:val="000000"/>
        </w:rPr>
        <w:t>se encuentren en proyección.</w:t>
      </w:r>
    </w:p>
    <w:p w14:paraId="12EB5CBC" w14:textId="77777777" w:rsidR="00482A5F" w:rsidRPr="00BD1319" w:rsidRDefault="00482A5F">
      <w:pPr>
        <w:numPr>
          <w:ilvl w:val="12"/>
          <w:numId w:val="0"/>
        </w:numPr>
        <w:tabs>
          <w:tab w:val="left" w:pos="-2268"/>
        </w:tabs>
        <w:suppressAutoHyphens/>
        <w:rPr>
          <w:spacing w:val="-3"/>
        </w:rPr>
      </w:pPr>
    </w:p>
    <w:p w14:paraId="6A5148FF" w14:textId="0C97D124" w:rsidR="00482A5F" w:rsidRPr="00BD1319" w:rsidRDefault="00235F6D">
      <w:pPr>
        <w:numPr>
          <w:ilvl w:val="12"/>
          <w:numId w:val="0"/>
        </w:numPr>
        <w:tabs>
          <w:tab w:val="left" w:pos="-2268"/>
        </w:tabs>
        <w:suppressAutoHyphens/>
        <w:rPr>
          <w:spacing w:val="-3"/>
        </w:rPr>
      </w:pPr>
      <w:r w:rsidRPr="00BD1319">
        <w:rPr>
          <w:spacing w:val="-3"/>
        </w:rPr>
        <w:t xml:space="preserve">Mediante el análisis de esta información se deben </w:t>
      </w:r>
      <w:r w:rsidR="00BC00C5" w:rsidRPr="00BD1319">
        <w:rPr>
          <w:spacing w:val="-3"/>
        </w:rPr>
        <w:t xml:space="preserve">determinar </w:t>
      </w:r>
      <w:r w:rsidR="00482A5F" w:rsidRPr="00BD1319">
        <w:rPr>
          <w:spacing w:val="-3"/>
        </w:rPr>
        <w:t>los rasgos culturales característicos de las comunidades étnicas presentes en el territorio, estableciendo sus patrones de comportamiento y las referencias que permitan establecer</w:t>
      </w:r>
      <w:r w:rsidR="00660A39" w:rsidRPr="00BD1319">
        <w:rPr>
          <w:spacing w:val="-3"/>
        </w:rPr>
        <w:t>, en el numeral de evaluación ambiental,</w:t>
      </w:r>
      <w:r w:rsidR="00482A5F" w:rsidRPr="00BD1319">
        <w:rPr>
          <w:spacing w:val="-3"/>
        </w:rPr>
        <w:t xml:space="preserve"> el nivel de afectación del componente </w:t>
      </w:r>
      <w:r w:rsidR="00C15FBA" w:rsidRPr="00BD1319">
        <w:rPr>
          <w:spacing w:val="-3"/>
        </w:rPr>
        <w:t xml:space="preserve">que se </w:t>
      </w:r>
      <w:r w:rsidR="00482A5F" w:rsidRPr="00BD1319">
        <w:rPr>
          <w:spacing w:val="-3"/>
        </w:rPr>
        <w:t>deriva del desarrollo del proyecto, obras o actividad.</w:t>
      </w:r>
    </w:p>
    <w:p w14:paraId="4B6A6163" w14:textId="77777777" w:rsidR="00482A5F" w:rsidRPr="00BD1319" w:rsidRDefault="00482A5F">
      <w:pPr>
        <w:numPr>
          <w:ilvl w:val="12"/>
          <w:numId w:val="0"/>
        </w:numPr>
        <w:tabs>
          <w:tab w:val="left" w:pos="-2268"/>
        </w:tabs>
        <w:suppressAutoHyphens/>
        <w:rPr>
          <w:spacing w:val="-3"/>
        </w:rPr>
      </w:pPr>
    </w:p>
    <w:p w14:paraId="2F20CEF7" w14:textId="06514A4E" w:rsidR="00654B0F" w:rsidRPr="00BD1319" w:rsidRDefault="00FC2545" w:rsidP="009420F5">
      <w:pPr>
        <w:overflowPunct/>
        <w:autoSpaceDE/>
        <w:autoSpaceDN/>
        <w:adjustRightInd/>
        <w:textAlignment w:val="auto"/>
        <w:rPr>
          <w:rFonts w:cs="Arial"/>
          <w:spacing w:val="-3"/>
        </w:rPr>
      </w:pPr>
      <w:r w:rsidRPr="00BD1319">
        <w:rPr>
          <w:spacing w:val="-3"/>
        </w:rPr>
        <w:t xml:space="preserve">En </w:t>
      </w:r>
      <w:r w:rsidR="00660A39" w:rsidRPr="00BD1319">
        <w:rPr>
          <w:spacing w:val="-3"/>
        </w:rPr>
        <w:t xml:space="preserve">los </w:t>
      </w:r>
      <w:r w:rsidRPr="00BD1319">
        <w:rPr>
          <w:spacing w:val="-3"/>
        </w:rPr>
        <w:t>caso</w:t>
      </w:r>
      <w:r w:rsidR="00660A39" w:rsidRPr="00BD1319">
        <w:rPr>
          <w:spacing w:val="-3"/>
        </w:rPr>
        <w:t>s</w:t>
      </w:r>
      <w:r w:rsidRPr="00BD1319">
        <w:rPr>
          <w:spacing w:val="-3"/>
        </w:rPr>
        <w:t xml:space="preserve"> </w:t>
      </w:r>
      <w:r w:rsidR="00660A39" w:rsidRPr="00BD1319">
        <w:rPr>
          <w:spacing w:val="-3"/>
        </w:rPr>
        <w:t xml:space="preserve">en los que </w:t>
      </w:r>
      <w:r w:rsidRPr="00BD1319">
        <w:rPr>
          <w:spacing w:val="-3"/>
        </w:rPr>
        <w:t xml:space="preserve">la </w:t>
      </w:r>
      <w:r w:rsidR="00660A39" w:rsidRPr="00BD1319">
        <w:rPr>
          <w:spacing w:val="-3"/>
        </w:rPr>
        <w:t xml:space="preserve">Dirección de la Autoridad Nacional de Consulta Previa determine la procedencia de la </w:t>
      </w:r>
      <w:r w:rsidRPr="00BD1319">
        <w:rPr>
          <w:spacing w:val="-3"/>
        </w:rPr>
        <w:t>consulta previa, se debe</w:t>
      </w:r>
      <w:r w:rsidR="00660A39" w:rsidRPr="00BD1319">
        <w:rPr>
          <w:spacing w:val="-3"/>
        </w:rPr>
        <w:t>n</w:t>
      </w:r>
      <w:r w:rsidRPr="00BD1319">
        <w:rPr>
          <w:spacing w:val="-3"/>
        </w:rPr>
        <w:t xml:space="preserve"> </w:t>
      </w:r>
      <w:r w:rsidR="00235F6D" w:rsidRPr="00BD1319">
        <w:rPr>
          <w:spacing w:val="-3"/>
        </w:rPr>
        <w:t xml:space="preserve">incorporar en el EIA </w:t>
      </w:r>
      <w:r w:rsidR="00895C38" w:rsidRPr="00BD1319">
        <w:rPr>
          <w:spacing w:val="-3"/>
        </w:rPr>
        <w:t xml:space="preserve">los acuerdos ambientales protocolizados </w:t>
      </w:r>
      <w:r w:rsidR="00235F6D" w:rsidRPr="00BD1319">
        <w:rPr>
          <w:spacing w:val="-3"/>
        </w:rPr>
        <w:t xml:space="preserve">que </w:t>
      </w:r>
      <w:r w:rsidR="00895C38" w:rsidRPr="00BD1319">
        <w:rPr>
          <w:spacing w:val="-3"/>
        </w:rPr>
        <w:t xml:space="preserve">incluyen, entre otros, los acuerdos sobre </w:t>
      </w:r>
      <w:r w:rsidR="00235F6D" w:rsidRPr="00BD1319">
        <w:rPr>
          <w:spacing w:val="-3"/>
        </w:rPr>
        <w:t xml:space="preserve">la </w:t>
      </w:r>
      <w:r w:rsidRPr="00BD1319">
        <w:rPr>
          <w:spacing w:val="-3"/>
        </w:rPr>
        <w:t>caracterización</w:t>
      </w:r>
      <w:r w:rsidR="00235F6D" w:rsidRPr="00BD1319">
        <w:rPr>
          <w:spacing w:val="-3"/>
        </w:rPr>
        <w:t xml:space="preserve"> ambiental</w:t>
      </w:r>
      <w:r w:rsidR="008D0363" w:rsidRPr="00BD1319">
        <w:rPr>
          <w:spacing w:val="-3"/>
        </w:rPr>
        <w:t xml:space="preserve"> (incluyendo la información sobre las comunidades étnicas objeto de la consulta)</w:t>
      </w:r>
      <w:r w:rsidRPr="00BD1319">
        <w:rPr>
          <w:spacing w:val="-3"/>
        </w:rPr>
        <w:t>, zonificación ambiental</w:t>
      </w:r>
      <w:r w:rsidR="00895C38" w:rsidRPr="00BD1319">
        <w:rPr>
          <w:spacing w:val="-3"/>
        </w:rPr>
        <w:t xml:space="preserve">, zonificación </w:t>
      </w:r>
      <w:r w:rsidRPr="00BD1319">
        <w:rPr>
          <w:spacing w:val="-3"/>
        </w:rPr>
        <w:t>de manejo</w:t>
      </w:r>
      <w:r w:rsidR="00895C38" w:rsidRPr="00BD1319">
        <w:rPr>
          <w:spacing w:val="-3"/>
        </w:rPr>
        <w:t xml:space="preserve"> ambiental</w:t>
      </w:r>
      <w:r w:rsidRPr="00BD1319">
        <w:rPr>
          <w:spacing w:val="-3"/>
        </w:rPr>
        <w:t xml:space="preserve">, </w:t>
      </w:r>
      <w:r w:rsidR="00235F6D" w:rsidRPr="00BD1319">
        <w:rPr>
          <w:spacing w:val="-3"/>
        </w:rPr>
        <w:t>evaluación ambiental</w:t>
      </w:r>
      <w:r w:rsidRPr="00BD1319">
        <w:rPr>
          <w:spacing w:val="-3"/>
        </w:rPr>
        <w:t>, medidas de manejo</w:t>
      </w:r>
      <w:r w:rsidR="00A67700" w:rsidRPr="00BD1319">
        <w:rPr>
          <w:spacing w:val="-3"/>
        </w:rPr>
        <w:t>; asimismo, se deb</w:t>
      </w:r>
      <w:r w:rsidR="00895C38" w:rsidRPr="00BD1319">
        <w:rPr>
          <w:spacing w:val="-3"/>
        </w:rPr>
        <w:t>e indicar de manera específica el proceso de inclusión</w:t>
      </w:r>
      <w:r w:rsidR="00A67700" w:rsidRPr="00BD1319">
        <w:rPr>
          <w:spacing w:val="-3"/>
        </w:rPr>
        <w:t xml:space="preserve"> de tales acuerdos.</w:t>
      </w:r>
      <w:r w:rsidR="008D0363" w:rsidRPr="00BD1319">
        <w:rPr>
          <w:spacing w:val="-3"/>
        </w:rPr>
        <w:t xml:space="preserve"> </w:t>
      </w:r>
      <w:r w:rsidR="00A67700" w:rsidRPr="00BD1319">
        <w:rPr>
          <w:spacing w:val="-3"/>
        </w:rPr>
        <w:t>E</w:t>
      </w:r>
      <w:r w:rsidR="008D0363" w:rsidRPr="00BD1319">
        <w:rPr>
          <w:spacing w:val="-3"/>
        </w:rPr>
        <w:t xml:space="preserve">l abordaje </w:t>
      </w:r>
      <w:r w:rsidRPr="00BD1319">
        <w:rPr>
          <w:spacing w:val="-3"/>
        </w:rPr>
        <w:t xml:space="preserve">de </w:t>
      </w:r>
      <w:r w:rsidR="00A67700" w:rsidRPr="00BD1319">
        <w:rPr>
          <w:spacing w:val="-3"/>
        </w:rPr>
        <w:t xml:space="preserve">esta </w:t>
      </w:r>
      <w:r w:rsidR="008D0363" w:rsidRPr="00BD1319">
        <w:rPr>
          <w:spacing w:val="-3"/>
        </w:rPr>
        <w:t xml:space="preserve">incorporación debe ser integral, a fin de brindar elementos adecuados que permitan el pronunciamiento de </w:t>
      </w:r>
      <w:r w:rsidRPr="00BD1319">
        <w:rPr>
          <w:spacing w:val="-3"/>
        </w:rPr>
        <w:t>la autoridad ambiental</w:t>
      </w:r>
      <w:r w:rsidR="00482A5F" w:rsidRPr="00BD1319">
        <w:rPr>
          <w:spacing w:val="-3"/>
        </w:rPr>
        <w:t>.</w:t>
      </w:r>
      <w:bookmarkStart w:id="2949" w:name="_Toc30501702"/>
    </w:p>
    <w:p w14:paraId="7504B420" w14:textId="77777777" w:rsidR="00B57084" w:rsidRPr="00BD1319" w:rsidRDefault="00B57084">
      <w:pPr>
        <w:overflowPunct/>
        <w:autoSpaceDE/>
        <w:autoSpaceDN/>
        <w:adjustRightInd/>
        <w:jc w:val="left"/>
        <w:textAlignment w:val="auto"/>
        <w:rPr>
          <w:rFonts w:cs="Arial"/>
          <w:spacing w:val="-3"/>
        </w:rPr>
      </w:pPr>
    </w:p>
    <w:p w14:paraId="128F6863" w14:textId="77777777" w:rsidR="00C6154C" w:rsidRPr="00BD1319" w:rsidRDefault="00C6154C" w:rsidP="00C6154C">
      <w:pPr>
        <w:pStyle w:val="Ttulo4"/>
        <w:tabs>
          <w:tab w:val="clear" w:pos="1844"/>
          <w:tab w:val="num" w:pos="1134"/>
        </w:tabs>
        <w:ind w:left="0"/>
        <w:rPr>
          <w:lang w:val="es-CO"/>
        </w:rPr>
      </w:pPr>
      <w:r w:rsidRPr="00BD1319">
        <w:rPr>
          <w:lang w:val="es-CO"/>
        </w:rPr>
        <w:t>Arqueológico</w:t>
      </w:r>
    </w:p>
    <w:p w14:paraId="22A45244" w14:textId="77777777" w:rsidR="00C6154C" w:rsidRPr="00BD1319" w:rsidRDefault="00C6154C" w:rsidP="00C6154C">
      <w:pPr>
        <w:numPr>
          <w:ilvl w:val="12"/>
          <w:numId w:val="0"/>
        </w:numPr>
        <w:tabs>
          <w:tab w:val="left" w:pos="-2268"/>
        </w:tabs>
        <w:suppressAutoHyphens/>
        <w:rPr>
          <w:spacing w:val="-3"/>
        </w:rPr>
      </w:pPr>
    </w:p>
    <w:p w14:paraId="0744DA02" w14:textId="43DF4E21" w:rsidR="007F0154" w:rsidRPr="00BD1319" w:rsidRDefault="007F0154" w:rsidP="007F0154">
      <w:pPr>
        <w:numPr>
          <w:ilvl w:val="12"/>
          <w:numId w:val="0"/>
        </w:numPr>
        <w:tabs>
          <w:tab w:val="left" w:pos="-2268"/>
        </w:tabs>
        <w:suppressAutoHyphens/>
        <w:rPr>
          <w:rFonts w:cs="Arial"/>
          <w:spacing w:val="-3"/>
        </w:rPr>
      </w:pPr>
      <w:r w:rsidRPr="00F12E2C">
        <w:t>Para los proyectos de infraestructura de transporte se debe incluir información cartográfica oficial sobre posibles hallazgos y contexto forense y sobre áreas de interés forense emitida por la Unidad de Búsqueda de Personas dadas por Desaparecidas (UBPD) o por la Fiscalía general de la nación para el área de influencia el proyecto, obra o actividad.</w:t>
      </w:r>
    </w:p>
    <w:p w14:paraId="17A31BCF" w14:textId="77777777" w:rsidR="00D569CC" w:rsidRPr="00BD1319" w:rsidRDefault="00D569CC">
      <w:pPr>
        <w:overflowPunct/>
        <w:autoSpaceDE/>
        <w:autoSpaceDN/>
        <w:adjustRightInd/>
        <w:jc w:val="left"/>
        <w:textAlignment w:val="auto"/>
        <w:rPr>
          <w:rFonts w:cs="Arial"/>
          <w:spacing w:val="-3"/>
        </w:rPr>
      </w:pPr>
    </w:p>
    <w:p w14:paraId="18B0B4B2" w14:textId="5F0E9BBF" w:rsidR="00482A5F" w:rsidRPr="00BD1319" w:rsidRDefault="00482A5F" w:rsidP="009420F5">
      <w:pPr>
        <w:pStyle w:val="Ttulo4"/>
        <w:tabs>
          <w:tab w:val="clear" w:pos="1844"/>
          <w:tab w:val="num" w:pos="1134"/>
        </w:tabs>
        <w:ind w:left="0"/>
        <w:rPr>
          <w:lang w:val="es-CO"/>
        </w:rPr>
      </w:pPr>
      <w:bookmarkStart w:id="2950" w:name="_Toc393967332"/>
      <w:bookmarkStart w:id="2951" w:name="_Toc405366848"/>
      <w:bookmarkStart w:id="2952" w:name="_Toc405372395"/>
      <w:bookmarkStart w:id="2953" w:name="_Toc412803196"/>
      <w:bookmarkStart w:id="2954" w:name="_Toc414285593"/>
      <w:bookmarkStart w:id="2955" w:name="_Toc437936036"/>
      <w:r w:rsidRPr="00BD1319">
        <w:rPr>
          <w:lang w:val="es-CO"/>
        </w:rPr>
        <w:t>Político</w:t>
      </w:r>
      <w:r w:rsidR="00DA1384" w:rsidRPr="00BD1319">
        <w:rPr>
          <w:lang w:val="es-CO"/>
        </w:rPr>
        <w:t xml:space="preserve"> </w:t>
      </w:r>
      <w:r w:rsidRPr="00BD1319">
        <w:rPr>
          <w:lang w:val="es-CO"/>
        </w:rPr>
        <w:t>organizativo</w:t>
      </w:r>
      <w:bookmarkEnd w:id="2949"/>
      <w:bookmarkEnd w:id="2950"/>
      <w:bookmarkEnd w:id="2951"/>
      <w:bookmarkEnd w:id="2952"/>
      <w:bookmarkEnd w:id="2953"/>
      <w:bookmarkEnd w:id="2954"/>
      <w:bookmarkEnd w:id="2955"/>
    </w:p>
    <w:p w14:paraId="4E10D7C5" w14:textId="77777777" w:rsidR="00482A5F" w:rsidRPr="00BD1319" w:rsidRDefault="00482A5F">
      <w:pPr>
        <w:numPr>
          <w:ilvl w:val="12"/>
          <w:numId w:val="0"/>
        </w:numPr>
        <w:tabs>
          <w:tab w:val="left" w:pos="-2268"/>
        </w:tabs>
        <w:suppressAutoHyphens/>
        <w:rPr>
          <w:spacing w:val="-3"/>
        </w:rPr>
      </w:pPr>
    </w:p>
    <w:p w14:paraId="773288DD" w14:textId="49D1DB00" w:rsidR="00482A5F" w:rsidRPr="00BD1319" w:rsidRDefault="00583051">
      <w:pPr>
        <w:numPr>
          <w:ilvl w:val="12"/>
          <w:numId w:val="0"/>
        </w:numPr>
        <w:tabs>
          <w:tab w:val="left" w:pos="-2268"/>
        </w:tabs>
        <w:suppressAutoHyphens/>
        <w:rPr>
          <w:spacing w:val="-3"/>
        </w:rPr>
      </w:pPr>
      <w:r w:rsidRPr="00BD1319">
        <w:rPr>
          <w:spacing w:val="-3"/>
        </w:rPr>
        <w:t xml:space="preserve">La información de caracterización de este componente debe permitir </w:t>
      </w:r>
      <w:r w:rsidR="00482A5F" w:rsidRPr="00BD1319">
        <w:rPr>
          <w:spacing w:val="-3"/>
        </w:rPr>
        <w:t xml:space="preserve">conocer la estructura organizativa </w:t>
      </w:r>
      <w:r w:rsidR="004B41F4" w:rsidRPr="00BD1319">
        <w:rPr>
          <w:spacing w:val="-3"/>
        </w:rPr>
        <w:t xml:space="preserve">e incidencia de </w:t>
      </w:r>
      <w:r w:rsidR="00482A5F" w:rsidRPr="00BD1319">
        <w:rPr>
          <w:spacing w:val="-3"/>
        </w:rPr>
        <w:t>las instituciones e instancias existentes</w:t>
      </w:r>
      <w:r w:rsidR="004B41F4" w:rsidRPr="00BD1319">
        <w:rPr>
          <w:spacing w:val="-3"/>
        </w:rPr>
        <w:t>, y abarca no sólo</w:t>
      </w:r>
      <w:r w:rsidR="00482A5F" w:rsidRPr="00BD1319">
        <w:rPr>
          <w:spacing w:val="-3"/>
        </w:rPr>
        <w:t xml:space="preserve"> </w:t>
      </w:r>
      <w:r w:rsidR="004B41F4" w:rsidRPr="00BD1319">
        <w:rPr>
          <w:spacing w:val="-3"/>
        </w:rPr>
        <w:t xml:space="preserve">las </w:t>
      </w:r>
      <w:r w:rsidR="00482A5F" w:rsidRPr="00BD1319">
        <w:rPr>
          <w:spacing w:val="-3"/>
        </w:rPr>
        <w:t>promovidas desde el sector público, sino también</w:t>
      </w:r>
      <w:r w:rsidR="004B41F4" w:rsidRPr="00BD1319">
        <w:rPr>
          <w:spacing w:val="-3"/>
        </w:rPr>
        <w:t>,</w:t>
      </w:r>
      <w:r w:rsidR="00482A5F" w:rsidRPr="00BD1319">
        <w:rPr>
          <w:spacing w:val="-3"/>
        </w:rPr>
        <w:t xml:space="preserve"> aquellas iniciativas y organizaciones </w:t>
      </w:r>
      <w:r w:rsidR="004B41F4" w:rsidRPr="00BD1319">
        <w:rPr>
          <w:spacing w:val="-3"/>
        </w:rPr>
        <w:t>d</w:t>
      </w:r>
      <w:r w:rsidR="00482A5F" w:rsidRPr="00BD1319">
        <w:rPr>
          <w:spacing w:val="-3"/>
        </w:rPr>
        <w:t xml:space="preserve">el </w:t>
      </w:r>
      <w:r w:rsidR="004B41F4" w:rsidRPr="00BD1319">
        <w:rPr>
          <w:spacing w:val="-3"/>
        </w:rPr>
        <w:t xml:space="preserve">ámbito </w:t>
      </w:r>
      <w:r w:rsidR="00482A5F" w:rsidRPr="00BD1319">
        <w:rPr>
          <w:spacing w:val="-3"/>
        </w:rPr>
        <w:t>comunitario, cívico y privado existentes en el municipio</w:t>
      </w:r>
      <w:r w:rsidR="00B57084" w:rsidRPr="00BD1319">
        <w:rPr>
          <w:rFonts w:cs="Arial"/>
          <w:spacing w:val="-3"/>
        </w:rPr>
        <w:t>.</w:t>
      </w:r>
    </w:p>
    <w:p w14:paraId="68B9807E" w14:textId="77777777" w:rsidR="00482A5F" w:rsidRPr="00BD1319" w:rsidRDefault="00482A5F" w:rsidP="00C86DA5"/>
    <w:p w14:paraId="2F834581" w14:textId="6A111C50" w:rsidR="00482A5F" w:rsidRPr="00BD1319" w:rsidRDefault="00482A5F" w:rsidP="002F5664">
      <w:pPr>
        <w:pStyle w:val="Ttulo5"/>
        <w:tabs>
          <w:tab w:val="clear" w:pos="2160"/>
          <w:tab w:val="num" w:pos="1134"/>
        </w:tabs>
        <w:ind w:left="1134" w:hanging="1134"/>
        <w:rPr>
          <w:lang w:val="es-CO"/>
        </w:rPr>
      </w:pPr>
      <w:bookmarkStart w:id="2956" w:name="_Toc393967333"/>
      <w:bookmarkStart w:id="2957" w:name="_Toc405366849"/>
      <w:bookmarkStart w:id="2958" w:name="_Toc405372396"/>
      <w:r w:rsidRPr="00BD1319">
        <w:rPr>
          <w:lang w:val="es-CO"/>
        </w:rPr>
        <w:t xml:space="preserve">Características </w:t>
      </w:r>
      <w:bookmarkEnd w:id="2956"/>
      <w:bookmarkEnd w:id="2957"/>
      <w:bookmarkEnd w:id="2958"/>
      <w:r w:rsidR="00434EA7" w:rsidRPr="00BD1319">
        <w:rPr>
          <w:lang w:val="es-CO"/>
        </w:rPr>
        <w:t>político-organizativas</w:t>
      </w:r>
    </w:p>
    <w:p w14:paraId="5A0E36A2" w14:textId="77777777" w:rsidR="00482A5F" w:rsidRPr="00BD1319" w:rsidRDefault="00482A5F">
      <w:pPr>
        <w:numPr>
          <w:ilvl w:val="12"/>
          <w:numId w:val="0"/>
        </w:numPr>
        <w:tabs>
          <w:tab w:val="left" w:pos="-2268"/>
        </w:tabs>
        <w:suppressAutoHyphens/>
        <w:rPr>
          <w:spacing w:val="-3"/>
        </w:rPr>
      </w:pPr>
    </w:p>
    <w:p w14:paraId="6E52DDB5" w14:textId="3BBCA0B7" w:rsidR="00482A5F" w:rsidRPr="00BD1319" w:rsidRDefault="00482A5F">
      <w:pPr>
        <w:numPr>
          <w:ilvl w:val="12"/>
          <w:numId w:val="0"/>
        </w:numPr>
        <w:tabs>
          <w:tab w:val="left" w:pos="-2268"/>
        </w:tabs>
        <w:suppressAutoHyphens/>
        <w:rPr>
          <w:spacing w:val="-3"/>
        </w:rPr>
      </w:pPr>
      <w:r w:rsidRPr="00BD1319">
        <w:rPr>
          <w:spacing w:val="-3"/>
        </w:rPr>
        <w:t xml:space="preserve">Presentar las características </w:t>
      </w:r>
      <w:r w:rsidR="00434EA7" w:rsidRPr="00BD1319">
        <w:rPr>
          <w:spacing w:val="-3"/>
        </w:rPr>
        <w:t>político-organizativas</w:t>
      </w:r>
      <w:r w:rsidRPr="00BD1319">
        <w:rPr>
          <w:spacing w:val="-3"/>
        </w:rPr>
        <w:t xml:space="preserve"> de las </w:t>
      </w:r>
      <w:r w:rsidR="006D75A2" w:rsidRPr="00BD1319">
        <w:rPr>
          <w:spacing w:val="-3"/>
        </w:rPr>
        <w:t>unidades de análisis territorial</w:t>
      </w:r>
      <w:r w:rsidRPr="00BD1319">
        <w:rPr>
          <w:spacing w:val="-3"/>
        </w:rPr>
        <w:t xml:space="preserve"> que corresponden al área de influencia del </w:t>
      </w:r>
      <w:r w:rsidR="00221758" w:rsidRPr="00BD1319">
        <w:rPr>
          <w:spacing w:val="-3"/>
        </w:rPr>
        <w:t>componente</w:t>
      </w:r>
      <w:r w:rsidRPr="00BD1319">
        <w:rPr>
          <w:spacing w:val="-3"/>
        </w:rPr>
        <w:t xml:space="preserve"> de acuerdo con la información secundaria encontrada en los planes de desarrollo municipal y departamental,</w:t>
      </w:r>
      <w:r w:rsidR="00B412E3" w:rsidRPr="00BD1319">
        <w:rPr>
          <w:spacing w:val="-3"/>
        </w:rPr>
        <w:t xml:space="preserve"> en los planes de vida y los planes de etnodesarrollo, así como </w:t>
      </w:r>
      <w:r w:rsidRPr="00BD1319">
        <w:rPr>
          <w:spacing w:val="-3"/>
        </w:rPr>
        <w:t xml:space="preserve">en los </w:t>
      </w:r>
      <w:r w:rsidR="00005E00" w:rsidRPr="00BD1319">
        <w:rPr>
          <w:spacing w:val="-3"/>
        </w:rPr>
        <w:t xml:space="preserve">instrumentos </w:t>
      </w:r>
      <w:r w:rsidRPr="00BD1319">
        <w:rPr>
          <w:spacing w:val="-3"/>
        </w:rPr>
        <w:t>de ordenamiento territorial (EOT, PBOT</w:t>
      </w:r>
      <w:r w:rsidR="00005E00" w:rsidRPr="00BD1319">
        <w:rPr>
          <w:spacing w:val="-3"/>
        </w:rPr>
        <w:t>,</w:t>
      </w:r>
      <w:r w:rsidRPr="00BD1319">
        <w:rPr>
          <w:spacing w:val="-3"/>
        </w:rPr>
        <w:t xml:space="preserve"> POT).</w:t>
      </w:r>
    </w:p>
    <w:p w14:paraId="7C10686E" w14:textId="77777777" w:rsidR="00482A5F" w:rsidRPr="00BD1319" w:rsidRDefault="00482A5F">
      <w:pPr>
        <w:numPr>
          <w:ilvl w:val="12"/>
          <w:numId w:val="0"/>
        </w:numPr>
        <w:tabs>
          <w:tab w:val="left" w:pos="-2268"/>
        </w:tabs>
        <w:suppressAutoHyphens/>
        <w:rPr>
          <w:spacing w:val="-3"/>
        </w:rPr>
      </w:pPr>
    </w:p>
    <w:p w14:paraId="1C833195" w14:textId="7DE7CE7C" w:rsidR="00482A5F" w:rsidRPr="00BD1319" w:rsidRDefault="00482A5F">
      <w:pPr>
        <w:numPr>
          <w:ilvl w:val="12"/>
          <w:numId w:val="0"/>
        </w:numPr>
        <w:tabs>
          <w:tab w:val="left" w:pos="-2268"/>
        </w:tabs>
        <w:suppressAutoHyphens/>
        <w:rPr>
          <w:spacing w:val="-3"/>
        </w:rPr>
      </w:pPr>
      <w:r w:rsidRPr="00BD1319">
        <w:rPr>
          <w:spacing w:val="-3"/>
        </w:rPr>
        <w:t xml:space="preserve">Presentar información referente a las relaciones e interacciones de poder </w:t>
      </w:r>
      <w:r w:rsidR="00BC00C5" w:rsidRPr="00BD1319">
        <w:rPr>
          <w:spacing w:val="-3"/>
        </w:rPr>
        <w:t>y determinar</w:t>
      </w:r>
      <w:r w:rsidRPr="00BD1319">
        <w:rPr>
          <w:spacing w:val="-3"/>
        </w:rPr>
        <w:t xml:space="preserve"> los intereses y demandas de los entes territoriales y de la comunidad.</w:t>
      </w:r>
    </w:p>
    <w:p w14:paraId="7011F113" w14:textId="77777777" w:rsidR="00482A5F" w:rsidRPr="00BD1319" w:rsidRDefault="00482A5F">
      <w:pPr>
        <w:numPr>
          <w:ilvl w:val="12"/>
          <w:numId w:val="0"/>
        </w:numPr>
        <w:tabs>
          <w:tab w:val="left" w:pos="-2268"/>
        </w:tabs>
        <w:suppressAutoHyphens/>
        <w:rPr>
          <w:spacing w:val="-3"/>
        </w:rPr>
      </w:pPr>
    </w:p>
    <w:p w14:paraId="4D88ECF5" w14:textId="55C69294" w:rsidR="00D249DA" w:rsidRPr="00BD1319" w:rsidRDefault="001B34A8" w:rsidP="00D249DA">
      <w:pPr>
        <w:numPr>
          <w:ilvl w:val="12"/>
          <w:numId w:val="0"/>
        </w:numPr>
        <w:tabs>
          <w:tab w:val="left" w:pos="-2268"/>
        </w:tabs>
        <w:suppressAutoHyphens/>
        <w:rPr>
          <w:spacing w:val="-3"/>
        </w:rPr>
      </w:pPr>
      <w:r w:rsidRPr="00BD1319">
        <w:rPr>
          <w:spacing w:val="-3"/>
        </w:rPr>
        <w:t>Asimismo</w:t>
      </w:r>
      <w:r w:rsidR="00D249DA" w:rsidRPr="00BD1319">
        <w:rPr>
          <w:spacing w:val="-3"/>
        </w:rPr>
        <w:t xml:space="preserve">, se debe diagnosticar con la información disponible, si en el área de influencia hacen presencia actores armados y </w:t>
      </w:r>
      <w:r w:rsidRPr="00BD1319">
        <w:rPr>
          <w:spacing w:val="-3"/>
        </w:rPr>
        <w:t xml:space="preserve">si esto representan un </w:t>
      </w:r>
      <w:r w:rsidR="00D249DA" w:rsidRPr="00BD1319">
        <w:rPr>
          <w:spacing w:val="-3"/>
        </w:rPr>
        <w:t xml:space="preserve">riesgo para la vida, integridad, participación y otros derechos fundamentales de la población, </w:t>
      </w:r>
      <w:r w:rsidR="0081417B" w:rsidRPr="00BD1319">
        <w:rPr>
          <w:spacing w:val="-3"/>
        </w:rPr>
        <w:t xml:space="preserve">especialmente, de </w:t>
      </w:r>
      <w:r w:rsidR="00D249DA" w:rsidRPr="00BD1319">
        <w:rPr>
          <w:spacing w:val="-3"/>
        </w:rPr>
        <w:t>líderes ambientales, sociales y políticos.</w:t>
      </w:r>
    </w:p>
    <w:p w14:paraId="62ECC4E6" w14:textId="77777777" w:rsidR="00D249DA" w:rsidRPr="00BD1319" w:rsidRDefault="00D249DA">
      <w:pPr>
        <w:numPr>
          <w:ilvl w:val="12"/>
          <w:numId w:val="0"/>
        </w:numPr>
        <w:tabs>
          <w:tab w:val="left" w:pos="-2268"/>
        </w:tabs>
        <w:suppressAutoHyphens/>
        <w:rPr>
          <w:spacing w:val="-3"/>
        </w:rPr>
      </w:pPr>
    </w:p>
    <w:p w14:paraId="7B5A5ED5" w14:textId="292AAE7C" w:rsidR="00482A5F" w:rsidRPr="00BD1319" w:rsidRDefault="00482A5F" w:rsidP="002F5664">
      <w:pPr>
        <w:pStyle w:val="Ttulo5"/>
        <w:tabs>
          <w:tab w:val="clear" w:pos="2160"/>
          <w:tab w:val="num" w:pos="1134"/>
        </w:tabs>
        <w:ind w:left="1134" w:hanging="1134"/>
        <w:rPr>
          <w:lang w:val="es-CO"/>
        </w:rPr>
      </w:pPr>
      <w:bookmarkStart w:id="2959" w:name="_Toc393967334"/>
      <w:bookmarkStart w:id="2960" w:name="_Toc405366850"/>
      <w:bookmarkStart w:id="2961" w:name="_Toc405372397"/>
      <w:r w:rsidRPr="00BD1319">
        <w:rPr>
          <w:lang w:val="es-CO"/>
        </w:rPr>
        <w:lastRenderedPageBreak/>
        <w:t>Presencia institucional y organización comunitaria</w:t>
      </w:r>
      <w:bookmarkEnd w:id="2959"/>
      <w:bookmarkEnd w:id="2960"/>
      <w:bookmarkEnd w:id="2961"/>
    </w:p>
    <w:p w14:paraId="54F5182D" w14:textId="77777777" w:rsidR="00482A5F" w:rsidRPr="00BD1319" w:rsidRDefault="00482A5F">
      <w:pPr>
        <w:numPr>
          <w:ilvl w:val="12"/>
          <w:numId w:val="0"/>
        </w:numPr>
        <w:tabs>
          <w:tab w:val="left" w:pos="-2268"/>
        </w:tabs>
        <w:suppressAutoHyphens/>
        <w:rPr>
          <w:spacing w:val="-3"/>
        </w:rPr>
      </w:pPr>
    </w:p>
    <w:p w14:paraId="59AD477E" w14:textId="77777777" w:rsidR="00482A5F" w:rsidRPr="00BD1319" w:rsidRDefault="00482A5F">
      <w:pPr>
        <w:numPr>
          <w:ilvl w:val="12"/>
          <w:numId w:val="0"/>
        </w:numPr>
        <w:tabs>
          <w:tab w:val="left" w:pos="-2268"/>
        </w:tabs>
        <w:suppressAutoHyphens/>
        <w:rPr>
          <w:spacing w:val="-3"/>
        </w:rPr>
      </w:pPr>
      <w:r w:rsidRPr="00BD1319">
        <w:rPr>
          <w:spacing w:val="-3"/>
        </w:rPr>
        <w:t>Se deben identificar:</w:t>
      </w:r>
    </w:p>
    <w:p w14:paraId="679CA21C" w14:textId="77777777" w:rsidR="00482A5F" w:rsidRPr="00BD1319" w:rsidRDefault="00482A5F">
      <w:pPr>
        <w:numPr>
          <w:ilvl w:val="12"/>
          <w:numId w:val="0"/>
        </w:numPr>
        <w:tabs>
          <w:tab w:val="left" w:pos="-2268"/>
        </w:tabs>
        <w:suppressAutoHyphens/>
        <w:rPr>
          <w:spacing w:val="-3"/>
        </w:rPr>
      </w:pPr>
    </w:p>
    <w:p w14:paraId="7F03F73E" w14:textId="60C09E5A" w:rsidR="00482A5F" w:rsidRPr="00BD1319" w:rsidRDefault="00482A5F" w:rsidP="00C86DA5">
      <w:pPr>
        <w:numPr>
          <w:ilvl w:val="0"/>
          <w:numId w:val="394"/>
        </w:numPr>
        <w:tabs>
          <w:tab w:val="left" w:pos="-2268"/>
        </w:tabs>
        <w:suppressAutoHyphens/>
        <w:ind w:left="567" w:hanging="567"/>
        <w:rPr>
          <w:spacing w:val="-3"/>
        </w:rPr>
      </w:pPr>
      <w:r w:rsidRPr="00BD1319">
        <w:rPr>
          <w:spacing w:val="-3"/>
        </w:rPr>
        <w:t>Las instituciones públicas existentes en el municipio, describiendo la capacidad institucional para atender las condiciones actuales de su población y para intervenir ante situaciones que se puedan derivar de la ejecución del proyecto</w:t>
      </w:r>
      <w:r w:rsidR="00DA1384" w:rsidRPr="00BD1319">
        <w:rPr>
          <w:spacing w:val="-3"/>
        </w:rPr>
        <w:t>, obra o actividad</w:t>
      </w:r>
      <w:r w:rsidRPr="00BD1319">
        <w:rPr>
          <w:spacing w:val="-3"/>
        </w:rPr>
        <w:t>.</w:t>
      </w:r>
    </w:p>
    <w:p w14:paraId="5630F504" w14:textId="77777777" w:rsidR="00482A5F" w:rsidRPr="00BD1319" w:rsidRDefault="00482A5F" w:rsidP="00B57084">
      <w:pPr>
        <w:tabs>
          <w:tab w:val="left" w:pos="-2268"/>
        </w:tabs>
        <w:suppressAutoHyphens/>
        <w:ind w:left="567" w:hanging="567"/>
        <w:rPr>
          <w:spacing w:val="-3"/>
        </w:rPr>
      </w:pPr>
    </w:p>
    <w:p w14:paraId="2F347F15" w14:textId="650701AB" w:rsidR="00482A5F" w:rsidRPr="00BD1319" w:rsidRDefault="00482A5F" w:rsidP="00C86DA5">
      <w:pPr>
        <w:numPr>
          <w:ilvl w:val="0"/>
          <w:numId w:val="394"/>
        </w:numPr>
        <w:tabs>
          <w:tab w:val="left" w:pos="-2268"/>
        </w:tabs>
        <w:suppressAutoHyphens/>
        <w:ind w:left="567" w:hanging="567"/>
        <w:rPr>
          <w:spacing w:val="-3"/>
        </w:rPr>
      </w:pPr>
      <w:r w:rsidRPr="00BD1319">
        <w:rPr>
          <w:spacing w:val="-3"/>
        </w:rPr>
        <w:t xml:space="preserve">Las organizaciones privadas, </w:t>
      </w:r>
      <w:r w:rsidR="00B73099" w:rsidRPr="00BD1319">
        <w:rPr>
          <w:spacing w:val="-3"/>
        </w:rPr>
        <w:t xml:space="preserve">productivas, </w:t>
      </w:r>
      <w:r w:rsidRPr="00BD1319">
        <w:rPr>
          <w:spacing w:val="-3"/>
        </w:rPr>
        <w:t>sociales</w:t>
      </w:r>
      <w:r w:rsidR="00B73099" w:rsidRPr="00BD1319">
        <w:rPr>
          <w:spacing w:val="-3"/>
        </w:rPr>
        <w:t xml:space="preserve">, </w:t>
      </w:r>
      <w:r w:rsidR="00B73099" w:rsidRPr="00BD1319">
        <w:t>ambientales, de derechos humanos</w:t>
      </w:r>
      <w:r w:rsidRPr="00BD1319">
        <w:rPr>
          <w:spacing w:val="-3"/>
        </w:rPr>
        <w:t xml:space="preserve"> y comunitarias</w:t>
      </w:r>
      <w:r w:rsidR="00DA1384" w:rsidRPr="00BD1319">
        <w:rPr>
          <w:spacing w:val="-3"/>
        </w:rPr>
        <w:t>,</w:t>
      </w:r>
      <w:r w:rsidRPr="00BD1319">
        <w:rPr>
          <w:spacing w:val="-3"/>
        </w:rPr>
        <w:t xml:space="preserve"> tales como </w:t>
      </w:r>
      <w:r w:rsidR="00DA1384" w:rsidRPr="00BD1319">
        <w:rPr>
          <w:spacing w:val="-3"/>
        </w:rPr>
        <w:t xml:space="preserve">gremios, </w:t>
      </w:r>
      <w:r w:rsidRPr="00BD1319">
        <w:rPr>
          <w:spacing w:val="-3"/>
        </w:rPr>
        <w:t>asociaciones, corporaciones, Juntas de Acción Comunal (JAC)</w:t>
      </w:r>
      <w:r w:rsidR="00DA1384" w:rsidRPr="00BD1319">
        <w:rPr>
          <w:spacing w:val="-3"/>
        </w:rPr>
        <w:t xml:space="preserve"> y</w:t>
      </w:r>
      <w:r w:rsidRPr="00BD1319">
        <w:rPr>
          <w:spacing w:val="-3"/>
        </w:rPr>
        <w:t xml:space="preserve"> cooperativas </w:t>
      </w:r>
      <w:r w:rsidR="00DA1384" w:rsidRPr="00BD1319">
        <w:rPr>
          <w:spacing w:val="-3"/>
        </w:rPr>
        <w:t xml:space="preserve">de índole </w:t>
      </w:r>
      <w:r w:rsidRPr="00BD1319">
        <w:rPr>
          <w:spacing w:val="-3"/>
        </w:rPr>
        <w:t xml:space="preserve">internacional, nacional, departamental </w:t>
      </w:r>
      <w:r w:rsidR="00DA1384" w:rsidRPr="00BD1319">
        <w:rPr>
          <w:spacing w:val="-3"/>
        </w:rPr>
        <w:t xml:space="preserve">o </w:t>
      </w:r>
      <w:r w:rsidRPr="00BD1319">
        <w:rPr>
          <w:spacing w:val="-3"/>
        </w:rPr>
        <w:t>municipal</w:t>
      </w:r>
      <w:r w:rsidR="00DA1384" w:rsidRPr="00BD1319">
        <w:rPr>
          <w:spacing w:val="-3"/>
        </w:rPr>
        <w:t>,</w:t>
      </w:r>
      <w:r w:rsidRPr="00BD1319">
        <w:rPr>
          <w:spacing w:val="-3"/>
        </w:rPr>
        <w:t xml:space="preserve"> presentes o que han tenido incidencia relevante en el área de influencia del </w:t>
      </w:r>
      <w:r w:rsidR="00DA1384" w:rsidRPr="00BD1319">
        <w:rPr>
          <w:spacing w:val="-3"/>
        </w:rPr>
        <w:t>componente</w:t>
      </w:r>
      <w:r w:rsidRPr="00BD1319">
        <w:rPr>
          <w:spacing w:val="-3"/>
        </w:rPr>
        <w:t>, precisando entre otros</w:t>
      </w:r>
      <w:r w:rsidR="00DA1384" w:rsidRPr="00BD1319">
        <w:rPr>
          <w:spacing w:val="-3"/>
        </w:rPr>
        <w:t xml:space="preserve"> elementos los siguientes</w:t>
      </w:r>
      <w:r w:rsidRPr="00BD1319">
        <w:rPr>
          <w:spacing w:val="-3"/>
        </w:rPr>
        <w:t>:</w:t>
      </w:r>
    </w:p>
    <w:p w14:paraId="0BFC204C" w14:textId="77777777" w:rsidR="00482A5F" w:rsidRPr="00BD1319" w:rsidRDefault="00482A5F">
      <w:pPr>
        <w:tabs>
          <w:tab w:val="left" w:pos="-2268"/>
        </w:tabs>
        <w:suppressAutoHyphens/>
        <w:rPr>
          <w:spacing w:val="-3"/>
        </w:rPr>
      </w:pPr>
    </w:p>
    <w:p w14:paraId="626FCB04" w14:textId="77777777" w:rsidR="00482A5F" w:rsidRPr="00BD1319" w:rsidRDefault="00482A5F" w:rsidP="00C86DA5">
      <w:pPr>
        <w:numPr>
          <w:ilvl w:val="0"/>
          <w:numId w:val="386"/>
        </w:numPr>
        <w:tabs>
          <w:tab w:val="left" w:pos="-2268"/>
        </w:tabs>
        <w:suppressAutoHyphens/>
        <w:overflowPunct/>
        <w:autoSpaceDE/>
        <w:autoSpaceDN/>
        <w:adjustRightInd/>
        <w:ind w:left="1134" w:hanging="567"/>
        <w:textAlignment w:val="auto"/>
        <w:rPr>
          <w:rFonts w:cs="Arial"/>
          <w:spacing w:val="-3"/>
        </w:rPr>
      </w:pPr>
      <w:r w:rsidRPr="00BD1319">
        <w:rPr>
          <w:rFonts w:cs="Arial"/>
          <w:spacing w:val="-3"/>
        </w:rPr>
        <w:t>Tiempo de permanencia en la zona.</w:t>
      </w:r>
    </w:p>
    <w:p w14:paraId="75CC3643" w14:textId="77777777" w:rsidR="00482A5F" w:rsidRPr="00BD1319" w:rsidRDefault="00482A5F" w:rsidP="009420F5">
      <w:pPr>
        <w:tabs>
          <w:tab w:val="left" w:pos="-2268"/>
        </w:tabs>
        <w:suppressAutoHyphens/>
        <w:overflowPunct/>
        <w:autoSpaceDE/>
        <w:autoSpaceDN/>
        <w:adjustRightInd/>
        <w:textAlignment w:val="auto"/>
        <w:rPr>
          <w:rFonts w:cs="Arial"/>
          <w:spacing w:val="-3"/>
        </w:rPr>
      </w:pPr>
    </w:p>
    <w:p w14:paraId="364A9211" w14:textId="77777777" w:rsidR="00482A5F" w:rsidRPr="00BD1319" w:rsidRDefault="00482A5F" w:rsidP="00C86DA5">
      <w:pPr>
        <w:numPr>
          <w:ilvl w:val="0"/>
          <w:numId w:val="386"/>
        </w:numPr>
        <w:tabs>
          <w:tab w:val="left" w:pos="-2268"/>
        </w:tabs>
        <w:suppressAutoHyphens/>
        <w:overflowPunct/>
        <w:autoSpaceDE/>
        <w:autoSpaceDN/>
        <w:adjustRightInd/>
        <w:ind w:left="1134" w:hanging="567"/>
        <w:textAlignment w:val="auto"/>
        <w:rPr>
          <w:rFonts w:cs="Arial"/>
          <w:spacing w:val="-3"/>
        </w:rPr>
      </w:pPr>
      <w:r w:rsidRPr="00BD1319">
        <w:rPr>
          <w:rFonts w:cs="Arial"/>
          <w:spacing w:val="-3"/>
        </w:rPr>
        <w:t>Temas de interés o trabajo.</w:t>
      </w:r>
    </w:p>
    <w:p w14:paraId="65D2550A" w14:textId="77777777" w:rsidR="00482A5F" w:rsidRPr="00BD1319" w:rsidRDefault="00482A5F" w:rsidP="009420F5">
      <w:pPr>
        <w:tabs>
          <w:tab w:val="left" w:pos="-2268"/>
        </w:tabs>
        <w:suppressAutoHyphens/>
        <w:overflowPunct/>
        <w:autoSpaceDE/>
        <w:autoSpaceDN/>
        <w:adjustRightInd/>
        <w:textAlignment w:val="auto"/>
        <w:rPr>
          <w:rFonts w:cs="Arial"/>
          <w:spacing w:val="-3"/>
        </w:rPr>
      </w:pPr>
    </w:p>
    <w:p w14:paraId="511549AE" w14:textId="77777777" w:rsidR="00482A5F" w:rsidRPr="00BD1319" w:rsidRDefault="00482A5F" w:rsidP="00C86DA5">
      <w:pPr>
        <w:numPr>
          <w:ilvl w:val="0"/>
          <w:numId w:val="386"/>
        </w:numPr>
        <w:tabs>
          <w:tab w:val="left" w:pos="-2268"/>
        </w:tabs>
        <w:suppressAutoHyphens/>
        <w:overflowPunct/>
        <w:autoSpaceDE/>
        <w:autoSpaceDN/>
        <w:adjustRightInd/>
        <w:ind w:left="1134" w:hanging="567"/>
        <w:textAlignment w:val="auto"/>
        <w:rPr>
          <w:rFonts w:cs="Arial"/>
          <w:spacing w:val="-3"/>
        </w:rPr>
      </w:pPr>
      <w:r w:rsidRPr="00BD1319">
        <w:rPr>
          <w:rFonts w:cs="Arial"/>
          <w:spacing w:val="-3"/>
        </w:rPr>
        <w:t>Programas o proyectos ejecutados o en ejecución y población beneficiaria.</w:t>
      </w:r>
    </w:p>
    <w:p w14:paraId="38B88B60" w14:textId="77777777" w:rsidR="00482A5F" w:rsidRPr="00BD1319" w:rsidRDefault="00482A5F">
      <w:pPr>
        <w:tabs>
          <w:tab w:val="left" w:pos="-2268"/>
        </w:tabs>
        <w:suppressAutoHyphens/>
        <w:rPr>
          <w:spacing w:val="-3"/>
        </w:rPr>
      </w:pPr>
    </w:p>
    <w:p w14:paraId="0DE48DA9" w14:textId="336CC6B1" w:rsidR="00161B35" w:rsidRPr="00BD1319" w:rsidRDefault="00161B35" w:rsidP="000D6E21">
      <w:pPr>
        <w:numPr>
          <w:ilvl w:val="0"/>
          <w:numId w:val="394"/>
        </w:numPr>
        <w:tabs>
          <w:tab w:val="left" w:pos="-2268"/>
        </w:tabs>
        <w:suppressAutoHyphens/>
        <w:ind w:left="567" w:hanging="567"/>
        <w:rPr>
          <w:spacing w:val="-3"/>
        </w:rPr>
      </w:pPr>
      <w:r w:rsidRPr="00BD1319">
        <w:rPr>
          <w:spacing w:val="-3"/>
        </w:rPr>
        <w:t>El liderazgo de grupos o personas. Identificar grupos o personas con un liderazgo reconocido, que posean la capacidad de comprender y compartir los sentimientos de su comunidad, de motivar a los miembros de su grupo y de comunicar eficazmente sus ideas e interactuar con otras personas.</w:t>
      </w:r>
    </w:p>
    <w:p w14:paraId="6C805BE9" w14:textId="7AA7367A" w:rsidR="00161B35" w:rsidRPr="00BD1319" w:rsidRDefault="00161B35" w:rsidP="000D6E21">
      <w:pPr>
        <w:tabs>
          <w:tab w:val="left" w:pos="-2268"/>
        </w:tabs>
        <w:suppressAutoHyphens/>
        <w:rPr>
          <w:spacing w:val="-3"/>
        </w:rPr>
      </w:pPr>
    </w:p>
    <w:p w14:paraId="1AC7C2AF" w14:textId="10356C17" w:rsidR="00482A5F" w:rsidRPr="00BD1319" w:rsidRDefault="00482A5F" w:rsidP="00C86DA5">
      <w:pPr>
        <w:numPr>
          <w:ilvl w:val="0"/>
          <w:numId w:val="394"/>
        </w:numPr>
        <w:tabs>
          <w:tab w:val="left" w:pos="-2268"/>
        </w:tabs>
        <w:suppressAutoHyphens/>
        <w:ind w:left="567" w:hanging="567"/>
        <w:rPr>
          <w:spacing w:val="-3"/>
        </w:rPr>
      </w:pPr>
      <w:r w:rsidRPr="00BD1319">
        <w:rPr>
          <w:spacing w:val="-3"/>
        </w:rPr>
        <w:t>Las instancias y mecanismos de participación de la población</w:t>
      </w:r>
      <w:r w:rsidR="00DA1384" w:rsidRPr="00BD1319">
        <w:rPr>
          <w:spacing w:val="-3"/>
        </w:rPr>
        <w:t>,</w:t>
      </w:r>
      <w:r w:rsidRPr="00BD1319">
        <w:rPr>
          <w:spacing w:val="-3"/>
        </w:rPr>
        <w:t xml:space="preserve"> así como las instituciones y organizaciones del área de influencia del </w:t>
      </w:r>
      <w:r w:rsidR="00DA1384" w:rsidRPr="00BD1319">
        <w:rPr>
          <w:spacing w:val="-3"/>
        </w:rPr>
        <w:t xml:space="preserve">componente </w:t>
      </w:r>
      <w:r w:rsidRPr="00BD1319">
        <w:rPr>
          <w:spacing w:val="-3"/>
        </w:rPr>
        <w:t xml:space="preserve">que fortalecen y contribuyen a la participación de la población y que hayan sido incluidas en la aplicación de lineamientos de participación del </w:t>
      </w:r>
      <w:r w:rsidR="00676DE6" w:rsidRPr="00BD1319">
        <w:rPr>
          <w:spacing w:val="-3"/>
        </w:rPr>
        <w:t>proyecto, obra o actividad</w:t>
      </w:r>
      <w:r w:rsidRPr="00BD1319">
        <w:rPr>
          <w:spacing w:val="-3"/>
        </w:rPr>
        <w:t>.</w:t>
      </w:r>
    </w:p>
    <w:p w14:paraId="27C0D9D6" w14:textId="77777777" w:rsidR="00B57084" w:rsidRPr="00BD1319" w:rsidRDefault="00B57084" w:rsidP="00C86DA5">
      <w:pPr>
        <w:tabs>
          <w:tab w:val="left" w:pos="-2268"/>
        </w:tabs>
        <w:suppressAutoHyphens/>
        <w:rPr>
          <w:spacing w:val="-3"/>
        </w:rPr>
      </w:pPr>
    </w:p>
    <w:p w14:paraId="025A8265" w14:textId="40E9645B" w:rsidR="00482A5F" w:rsidRPr="00BD1319" w:rsidRDefault="00482A5F" w:rsidP="00C86DA5">
      <w:pPr>
        <w:numPr>
          <w:ilvl w:val="0"/>
          <w:numId w:val="394"/>
        </w:numPr>
        <w:tabs>
          <w:tab w:val="left" w:pos="-2268"/>
        </w:tabs>
        <w:suppressAutoHyphens/>
        <w:ind w:left="567" w:hanging="567"/>
        <w:rPr>
          <w:spacing w:val="-3"/>
        </w:rPr>
      </w:pPr>
      <w:r w:rsidRPr="00BD1319">
        <w:rPr>
          <w:spacing w:val="-3"/>
        </w:rPr>
        <w:t>Las intervenciones de tipo social que se realizan o que se han realizado desde el ámbito gubernamental (</w:t>
      </w:r>
      <w:r w:rsidR="00041844" w:rsidRPr="00BD1319">
        <w:rPr>
          <w:spacing w:val="-3"/>
        </w:rPr>
        <w:t>p. ej.</w:t>
      </w:r>
      <w:r w:rsidRPr="00BD1319">
        <w:rPr>
          <w:spacing w:val="-3"/>
        </w:rPr>
        <w:t xml:space="preserve"> acuerdos de paz), así como desde los sectores económicos presentes en el área de influencia del </w:t>
      </w:r>
      <w:r w:rsidR="00DA1384" w:rsidRPr="00BD1319">
        <w:rPr>
          <w:spacing w:val="-3"/>
        </w:rPr>
        <w:t xml:space="preserve">componente </w:t>
      </w:r>
      <w:r w:rsidRPr="00BD1319">
        <w:rPr>
          <w:spacing w:val="-3"/>
        </w:rPr>
        <w:t>y la incidencia que dichas intervenciones han tenido en el componente político organizativo.</w:t>
      </w:r>
    </w:p>
    <w:p w14:paraId="6549012E" w14:textId="77777777" w:rsidR="00482A5F" w:rsidRPr="00BD1319" w:rsidRDefault="00482A5F">
      <w:pPr>
        <w:tabs>
          <w:tab w:val="left" w:pos="-2268"/>
        </w:tabs>
        <w:suppressAutoHyphens/>
        <w:rPr>
          <w:spacing w:val="-3"/>
        </w:rPr>
      </w:pPr>
    </w:p>
    <w:p w14:paraId="3CBF2D29" w14:textId="54BBD3E5" w:rsidR="00482A5F" w:rsidRPr="00BD1319" w:rsidRDefault="00482A5F" w:rsidP="00C86DA5">
      <w:pPr>
        <w:numPr>
          <w:ilvl w:val="0"/>
          <w:numId w:val="394"/>
        </w:numPr>
        <w:tabs>
          <w:tab w:val="left" w:pos="-2268"/>
        </w:tabs>
        <w:suppressAutoHyphens/>
        <w:ind w:left="567" w:hanging="567"/>
        <w:rPr>
          <w:spacing w:val="-3"/>
        </w:rPr>
      </w:pPr>
      <w:r w:rsidRPr="00BD1319">
        <w:rPr>
          <w:spacing w:val="-3"/>
        </w:rPr>
        <w:t xml:space="preserve">La participación y representatividad que han tenido instituciones y organizaciones del área de influencia del </w:t>
      </w:r>
      <w:r w:rsidR="00DA1384" w:rsidRPr="00BD1319">
        <w:rPr>
          <w:spacing w:val="-3"/>
        </w:rPr>
        <w:t xml:space="preserve">componente </w:t>
      </w:r>
      <w:r w:rsidRPr="00BD1319">
        <w:rPr>
          <w:spacing w:val="-3"/>
        </w:rPr>
        <w:t>frente al desarrollo de otros proyectos ejecutado</w:t>
      </w:r>
      <w:r w:rsidR="00DA1384" w:rsidRPr="00BD1319">
        <w:rPr>
          <w:spacing w:val="-3"/>
        </w:rPr>
        <w:t>s</w:t>
      </w:r>
      <w:r w:rsidRPr="00BD1319">
        <w:rPr>
          <w:spacing w:val="-3"/>
        </w:rPr>
        <w:t xml:space="preserve"> en la zona. </w:t>
      </w:r>
      <w:r w:rsidR="00BC00C5" w:rsidRPr="00BD1319">
        <w:rPr>
          <w:spacing w:val="-3"/>
        </w:rPr>
        <w:t xml:space="preserve">Determinar </w:t>
      </w:r>
      <w:r w:rsidR="00DA1384" w:rsidRPr="00BD1319">
        <w:rPr>
          <w:spacing w:val="-3"/>
        </w:rPr>
        <w:t xml:space="preserve">los </w:t>
      </w:r>
      <w:r w:rsidRPr="00BD1319">
        <w:rPr>
          <w:spacing w:val="-3"/>
        </w:rPr>
        <w:t xml:space="preserve">antecedentes de conflicto </w:t>
      </w:r>
      <w:r w:rsidRPr="00BD1319">
        <w:rPr>
          <w:spacing w:val="-3"/>
        </w:rPr>
        <w:lastRenderedPageBreak/>
        <w:t xml:space="preserve">asociados a proyectos extractivos o de infraestructura precedentes y </w:t>
      </w:r>
      <w:r w:rsidR="00DA1384" w:rsidRPr="00BD1319">
        <w:rPr>
          <w:spacing w:val="-3"/>
        </w:rPr>
        <w:t xml:space="preserve">el </w:t>
      </w:r>
      <w:r w:rsidRPr="00BD1319">
        <w:rPr>
          <w:spacing w:val="-3"/>
        </w:rPr>
        <w:t>tipo de manejo dado</w:t>
      </w:r>
      <w:r w:rsidR="00DA1384" w:rsidRPr="00BD1319">
        <w:rPr>
          <w:spacing w:val="-3"/>
        </w:rPr>
        <w:t>.</w:t>
      </w:r>
    </w:p>
    <w:p w14:paraId="0D345A82" w14:textId="77777777" w:rsidR="00482A5F" w:rsidRPr="00BD1319" w:rsidRDefault="00482A5F">
      <w:pPr>
        <w:numPr>
          <w:ilvl w:val="12"/>
          <w:numId w:val="0"/>
        </w:numPr>
        <w:tabs>
          <w:tab w:val="left" w:pos="-2268"/>
        </w:tabs>
        <w:suppressAutoHyphens/>
        <w:rPr>
          <w:spacing w:val="-3"/>
        </w:rPr>
      </w:pPr>
    </w:p>
    <w:p w14:paraId="2C80F42F" w14:textId="62E6BE9A" w:rsidR="00482A5F" w:rsidRPr="00BD1319" w:rsidRDefault="00482A5F">
      <w:pPr>
        <w:numPr>
          <w:ilvl w:val="12"/>
          <w:numId w:val="0"/>
        </w:numPr>
        <w:tabs>
          <w:tab w:val="left" w:pos="-2268"/>
        </w:tabs>
        <w:suppressAutoHyphens/>
        <w:rPr>
          <w:spacing w:val="-3"/>
        </w:rPr>
      </w:pPr>
      <w:r w:rsidRPr="00BD1319">
        <w:rPr>
          <w:spacing w:val="-3"/>
        </w:rPr>
        <w:t xml:space="preserve">Estos elementos en su conjunto </w:t>
      </w:r>
      <w:r w:rsidR="00DA1384" w:rsidRPr="00BD1319">
        <w:rPr>
          <w:spacing w:val="-3"/>
        </w:rPr>
        <w:t xml:space="preserve">deben permitir </w:t>
      </w:r>
      <w:r w:rsidRPr="00BD1319">
        <w:rPr>
          <w:spacing w:val="-3"/>
        </w:rPr>
        <w:t>evidencia</w:t>
      </w:r>
      <w:r w:rsidR="00DA1384" w:rsidRPr="00BD1319">
        <w:rPr>
          <w:spacing w:val="-3"/>
        </w:rPr>
        <w:t>r</w:t>
      </w:r>
      <w:r w:rsidRPr="00BD1319">
        <w:rPr>
          <w:spacing w:val="-3"/>
        </w:rPr>
        <w:t xml:space="preserve"> los lazos de interrelación entre los ciudadanos y sus instituciones, y entre ellos mismos, </w:t>
      </w:r>
      <w:r w:rsidR="00DA1384" w:rsidRPr="00BD1319">
        <w:rPr>
          <w:spacing w:val="-3"/>
        </w:rPr>
        <w:t xml:space="preserve">así como </w:t>
      </w:r>
      <w:r w:rsidRPr="00BD1319">
        <w:rPr>
          <w:spacing w:val="-3"/>
        </w:rPr>
        <w:t>refleja</w:t>
      </w:r>
      <w:r w:rsidR="00DA1384" w:rsidRPr="00BD1319">
        <w:rPr>
          <w:spacing w:val="-3"/>
        </w:rPr>
        <w:t>r</w:t>
      </w:r>
      <w:r w:rsidRPr="00BD1319">
        <w:rPr>
          <w:spacing w:val="-3"/>
        </w:rPr>
        <w:t xml:space="preserve"> </w:t>
      </w:r>
      <w:r w:rsidR="00DA1384" w:rsidRPr="00BD1319">
        <w:rPr>
          <w:spacing w:val="-3"/>
        </w:rPr>
        <w:t xml:space="preserve">las </w:t>
      </w:r>
      <w:r w:rsidRPr="00BD1319">
        <w:rPr>
          <w:spacing w:val="-3"/>
        </w:rPr>
        <w:t>estructuras y relaciones sociales requeridos para asumir y sobreponerse de una mejor manera a los cambios o efectos generados por la entrada de un factor externo, en este caso particular, por la implantación de un proyecto</w:t>
      </w:r>
      <w:r w:rsidR="00953BF3" w:rsidRPr="00BD1319">
        <w:rPr>
          <w:spacing w:val="-3"/>
        </w:rPr>
        <w:t>, obra o actividad</w:t>
      </w:r>
      <w:r w:rsidRPr="00BD1319">
        <w:rPr>
          <w:spacing w:val="-3"/>
        </w:rPr>
        <w:t xml:space="preserve"> en un territorio determinado. Adicionalmente, esta información debe indicar los posibles espacios de interlocución para el desarrollo del </w:t>
      </w:r>
      <w:r w:rsidR="00DA1384" w:rsidRPr="00BD1319">
        <w:rPr>
          <w:spacing w:val="-3"/>
        </w:rPr>
        <w:t>p</w:t>
      </w:r>
      <w:r w:rsidRPr="00BD1319">
        <w:rPr>
          <w:spacing w:val="-3"/>
        </w:rPr>
        <w:t xml:space="preserve">lan de </w:t>
      </w:r>
      <w:r w:rsidR="00DA1384" w:rsidRPr="00BD1319">
        <w:rPr>
          <w:spacing w:val="-3"/>
        </w:rPr>
        <w:t>m</w:t>
      </w:r>
      <w:r w:rsidRPr="00BD1319">
        <w:rPr>
          <w:spacing w:val="-3"/>
        </w:rPr>
        <w:t xml:space="preserve">anejo </w:t>
      </w:r>
      <w:r w:rsidR="00DA1384" w:rsidRPr="00BD1319">
        <w:rPr>
          <w:spacing w:val="-3"/>
        </w:rPr>
        <w:t>a</w:t>
      </w:r>
      <w:r w:rsidRPr="00BD1319">
        <w:rPr>
          <w:spacing w:val="-3"/>
        </w:rPr>
        <w:t>mbiental del proyecto.</w:t>
      </w:r>
    </w:p>
    <w:p w14:paraId="6A24896F" w14:textId="77777777" w:rsidR="00482A5F" w:rsidRPr="00BD1319" w:rsidRDefault="00482A5F">
      <w:pPr>
        <w:numPr>
          <w:ilvl w:val="12"/>
          <w:numId w:val="0"/>
        </w:numPr>
        <w:tabs>
          <w:tab w:val="left" w:pos="-2268"/>
        </w:tabs>
        <w:suppressAutoHyphens/>
        <w:rPr>
          <w:spacing w:val="-3"/>
        </w:rPr>
      </w:pPr>
    </w:p>
    <w:p w14:paraId="16B969C7" w14:textId="77777777" w:rsidR="00482A5F" w:rsidRPr="00BD1319" w:rsidRDefault="00482A5F">
      <w:pPr>
        <w:numPr>
          <w:ilvl w:val="12"/>
          <w:numId w:val="0"/>
        </w:numPr>
        <w:tabs>
          <w:tab w:val="left" w:pos="-2268"/>
        </w:tabs>
        <w:suppressAutoHyphens/>
        <w:rPr>
          <w:spacing w:val="-3"/>
        </w:rPr>
      </w:pPr>
      <w:r w:rsidRPr="00BD1319">
        <w:rPr>
          <w:spacing w:val="-3"/>
        </w:rPr>
        <w:t>Para el caso de proyectos que se desarrollen en zonas de frontera, se deben tener en cuenta los efectos que puedan derivarse de la existencia de convenios bilaterales vigentes y las disposiciones determinadas en las instancias de coordinación interinstitucional que existan, siguiendo los lineamientos establecidos por las entidades competentes.</w:t>
      </w:r>
      <w:bookmarkStart w:id="2962" w:name="_Toc30501703"/>
    </w:p>
    <w:p w14:paraId="621BB3D5" w14:textId="77777777" w:rsidR="00482A5F" w:rsidRPr="00BD1319" w:rsidRDefault="00482A5F">
      <w:pPr>
        <w:numPr>
          <w:ilvl w:val="12"/>
          <w:numId w:val="0"/>
        </w:numPr>
        <w:tabs>
          <w:tab w:val="left" w:pos="-2268"/>
        </w:tabs>
        <w:suppressAutoHyphens/>
        <w:rPr>
          <w:spacing w:val="-3"/>
        </w:rPr>
      </w:pPr>
    </w:p>
    <w:p w14:paraId="5BCEE997" w14:textId="4DC422E0" w:rsidR="00482A5F" w:rsidRPr="00BD1319" w:rsidRDefault="00B561ED" w:rsidP="002F5664">
      <w:pPr>
        <w:pStyle w:val="Ttulo4"/>
        <w:tabs>
          <w:tab w:val="clear" w:pos="1844"/>
          <w:tab w:val="num" w:pos="1134"/>
        </w:tabs>
        <w:ind w:left="0"/>
        <w:rPr>
          <w:lang w:val="es-CO"/>
        </w:rPr>
      </w:pPr>
      <w:bookmarkStart w:id="2963" w:name="_Toc393967335"/>
      <w:bookmarkStart w:id="2964" w:name="_Toc405366851"/>
      <w:bookmarkStart w:id="2965" w:name="_Toc405372398"/>
      <w:bookmarkStart w:id="2966" w:name="_Toc412803197"/>
      <w:bookmarkStart w:id="2967" w:name="_Toc414285594"/>
      <w:bookmarkStart w:id="2968" w:name="_Toc437936037"/>
      <w:r w:rsidRPr="00BD1319">
        <w:rPr>
          <w:lang w:val="es-CO"/>
        </w:rPr>
        <w:t>T</w:t>
      </w:r>
      <w:r w:rsidR="00482A5F" w:rsidRPr="00BD1319">
        <w:rPr>
          <w:lang w:val="es-CO"/>
        </w:rPr>
        <w:t>endencias del desarrollo</w:t>
      </w:r>
      <w:bookmarkEnd w:id="2962"/>
      <w:bookmarkEnd w:id="2963"/>
      <w:bookmarkEnd w:id="2964"/>
      <w:bookmarkEnd w:id="2965"/>
      <w:bookmarkEnd w:id="2966"/>
      <w:bookmarkEnd w:id="2967"/>
      <w:bookmarkEnd w:id="2968"/>
    </w:p>
    <w:p w14:paraId="2BE41F52" w14:textId="77777777" w:rsidR="00482A5F" w:rsidRPr="00BD1319" w:rsidRDefault="00482A5F">
      <w:pPr>
        <w:numPr>
          <w:ilvl w:val="12"/>
          <w:numId w:val="0"/>
        </w:numPr>
        <w:tabs>
          <w:tab w:val="left" w:pos="-2268"/>
        </w:tabs>
        <w:suppressAutoHyphens/>
        <w:rPr>
          <w:spacing w:val="-3"/>
        </w:rPr>
      </w:pPr>
    </w:p>
    <w:p w14:paraId="699261FB" w14:textId="46424F46" w:rsidR="00482A5F" w:rsidRPr="00BD1319" w:rsidRDefault="00696B84" w:rsidP="00482A5F">
      <w:pPr>
        <w:rPr>
          <w:rFonts w:cs="Arial"/>
          <w:spacing w:val="-3"/>
        </w:rPr>
      </w:pPr>
      <w:r w:rsidRPr="00BD1319">
        <w:rPr>
          <w:rFonts w:cs="Arial"/>
          <w:spacing w:val="-3"/>
        </w:rPr>
        <w:t>D</w:t>
      </w:r>
      <w:r w:rsidR="00482A5F" w:rsidRPr="00BD1319">
        <w:rPr>
          <w:rFonts w:cs="Arial"/>
          <w:spacing w:val="-3"/>
        </w:rPr>
        <w:t xml:space="preserve">esde una perspectiva integradora de las dinámicas socioculturales y de los modelos de organización política y social territorial, </w:t>
      </w:r>
      <w:r w:rsidR="00257555" w:rsidRPr="00BD1319">
        <w:rPr>
          <w:rFonts w:cs="Arial"/>
          <w:spacing w:val="-3"/>
        </w:rPr>
        <w:t xml:space="preserve">se deben </w:t>
      </w:r>
      <w:r w:rsidR="00482A5F" w:rsidRPr="00BD1319">
        <w:rPr>
          <w:rFonts w:cs="Arial"/>
          <w:spacing w:val="-3"/>
        </w:rPr>
        <w:t>identifica</w:t>
      </w:r>
      <w:r w:rsidR="00257555" w:rsidRPr="00BD1319">
        <w:rPr>
          <w:rFonts w:cs="Arial"/>
          <w:spacing w:val="-3"/>
        </w:rPr>
        <w:t xml:space="preserve">r los </w:t>
      </w:r>
      <w:r w:rsidR="00482A5F" w:rsidRPr="00BD1319">
        <w:rPr>
          <w:rFonts w:cs="Arial"/>
          <w:spacing w:val="-3"/>
        </w:rPr>
        <w:t xml:space="preserve">proyectos en el corto, mediano y largo plazo que </w:t>
      </w:r>
      <w:r w:rsidR="004459CC" w:rsidRPr="00BD1319">
        <w:rPr>
          <w:rFonts w:cs="Arial"/>
          <w:spacing w:val="-3"/>
        </w:rPr>
        <w:t xml:space="preserve">puedan </w:t>
      </w:r>
      <w:r w:rsidR="00482A5F" w:rsidRPr="00BD1319">
        <w:rPr>
          <w:rFonts w:cs="Arial"/>
          <w:spacing w:val="-3"/>
        </w:rPr>
        <w:t>incid</w:t>
      </w:r>
      <w:r w:rsidR="004459CC" w:rsidRPr="00BD1319">
        <w:rPr>
          <w:rFonts w:cs="Arial"/>
          <w:spacing w:val="-3"/>
        </w:rPr>
        <w:t>ir</w:t>
      </w:r>
      <w:r w:rsidR="00482A5F" w:rsidRPr="00BD1319">
        <w:rPr>
          <w:rFonts w:cs="Arial"/>
          <w:spacing w:val="-3"/>
        </w:rPr>
        <w:t xml:space="preserve"> en las dinámicas sociales, económicas y cultuales, especialmente aquellos orientados al mejoramiento de </w:t>
      </w:r>
      <w:r w:rsidR="00805DBC" w:rsidRPr="00BD1319">
        <w:rPr>
          <w:rFonts w:cs="Arial"/>
          <w:spacing w:val="-3"/>
        </w:rPr>
        <w:t xml:space="preserve">la </w:t>
      </w:r>
      <w:r w:rsidR="00482A5F" w:rsidRPr="00BD1319">
        <w:rPr>
          <w:rFonts w:cs="Arial"/>
          <w:spacing w:val="-3"/>
        </w:rPr>
        <w:t>calidad de vida de la población, la sostenibilidad ambiental y la visión de desarrollo del territorio</w:t>
      </w:r>
      <w:r w:rsidR="00DA1366" w:rsidRPr="00BD1319">
        <w:rPr>
          <w:rFonts w:cs="Arial"/>
          <w:spacing w:val="-3"/>
        </w:rPr>
        <w:t>;</w:t>
      </w:r>
      <w:r w:rsidR="00482A5F" w:rsidRPr="00BD1319">
        <w:rPr>
          <w:rFonts w:cs="Arial"/>
          <w:spacing w:val="-3"/>
        </w:rPr>
        <w:t xml:space="preserve"> se debe</w:t>
      </w:r>
      <w:r w:rsidR="00DA1366" w:rsidRPr="00BD1319">
        <w:rPr>
          <w:rFonts w:cs="Arial"/>
          <w:spacing w:val="-3"/>
        </w:rPr>
        <w:t>n</w:t>
      </w:r>
      <w:r w:rsidR="00482A5F" w:rsidRPr="00BD1319">
        <w:rPr>
          <w:rFonts w:cs="Arial"/>
          <w:spacing w:val="-3"/>
        </w:rPr>
        <w:t xml:space="preserve"> tener en cuenta los planes o programas existentes en los ámbitos nacional, departamental y municipal (</w:t>
      </w:r>
      <w:r w:rsidR="00041844" w:rsidRPr="00BD1319">
        <w:rPr>
          <w:rFonts w:cs="Arial"/>
          <w:spacing w:val="-3"/>
        </w:rPr>
        <w:t>p. ej.</w:t>
      </w:r>
      <w:r w:rsidR="00482A5F" w:rsidRPr="00BD1319">
        <w:rPr>
          <w:rFonts w:cs="Arial"/>
          <w:spacing w:val="-3"/>
        </w:rPr>
        <w:t xml:space="preserve"> </w:t>
      </w:r>
      <w:r w:rsidR="00DA1366" w:rsidRPr="00BD1319">
        <w:rPr>
          <w:rFonts w:cs="Arial"/>
          <w:spacing w:val="-3"/>
        </w:rPr>
        <w:t>POT</w:t>
      </w:r>
      <w:r w:rsidR="00482A5F" w:rsidRPr="00BD1319">
        <w:rPr>
          <w:rFonts w:cs="Arial"/>
          <w:spacing w:val="-3"/>
        </w:rPr>
        <w:t xml:space="preserve">, PDET, </w:t>
      </w:r>
      <w:proofErr w:type="spellStart"/>
      <w:r w:rsidR="003C70CD" w:rsidRPr="00BD1319">
        <w:rPr>
          <w:rFonts w:cs="Arial"/>
          <w:spacing w:val="-3"/>
        </w:rPr>
        <w:t>Pomca</w:t>
      </w:r>
      <w:proofErr w:type="spellEnd"/>
      <w:r w:rsidR="00482A5F" w:rsidRPr="00BD1319">
        <w:rPr>
          <w:rFonts w:cs="Arial"/>
          <w:spacing w:val="-3"/>
        </w:rPr>
        <w:t xml:space="preserve">, </w:t>
      </w:r>
      <w:r w:rsidR="00DA1366" w:rsidRPr="00BD1319">
        <w:rPr>
          <w:rFonts w:cs="Arial"/>
          <w:spacing w:val="-3"/>
        </w:rPr>
        <w:t>PORH</w:t>
      </w:r>
      <w:r w:rsidR="00B57084" w:rsidRPr="00BD1319">
        <w:rPr>
          <w:rFonts w:cs="Arial"/>
          <w:spacing w:val="-3"/>
        </w:rPr>
        <w:t>,</w:t>
      </w:r>
      <w:r w:rsidR="00482A5F" w:rsidRPr="00BD1319">
        <w:rPr>
          <w:rFonts w:cs="Arial"/>
          <w:spacing w:val="-3"/>
        </w:rPr>
        <w:t xml:space="preserve"> </w:t>
      </w:r>
      <w:r w:rsidR="009A35C5" w:rsidRPr="00BD1319">
        <w:rPr>
          <w:rFonts w:cs="Arial"/>
          <w:spacing w:val="-3"/>
        </w:rPr>
        <w:t xml:space="preserve">planes de vida de las comunidades étnicas, </w:t>
      </w:r>
      <w:r w:rsidR="002F5DCA" w:rsidRPr="00BD1319">
        <w:rPr>
          <w:rFonts w:cs="Arial"/>
          <w:spacing w:val="-3"/>
        </w:rPr>
        <w:t xml:space="preserve">planes de </w:t>
      </w:r>
      <w:r w:rsidR="002F5DCA" w:rsidRPr="00BD1319">
        <w:rPr>
          <w:spacing w:val="-3"/>
        </w:rPr>
        <w:t>etnodesarrollo</w:t>
      </w:r>
      <w:r w:rsidR="00415D30" w:rsidRPr="00BD1319">
        <w:rPr>
          <w:spacing w:val="-3"/>
        </w:rPr>
        <w:t>)</w:t>
      </w:r>
      <w:r w:rsidR="002F5DCA" w:rsidRPr="00BD1319">
        <w:rPr>
          <w:spacing w:val="-3"/>
        </w:rPr>
        <w:t xml:space="preserve"> </w:t>
      </w:r>
      <w:r w:rsidR="009A35C5" w:rsidRPr="00BD1319">
        <w:rPr>
          <w:rFonts w:cs="Arial"/>
          <w:spacing w:val="-3"/>
        </w:rPr>
        <w:t>que orient</w:t>
      </w:r>
      <w:r w:rsidR="00415D30" w:rsidRPr="00BD1319">
        <w:rPr>
          <w:rFonts w:cs="Arial"/>
          <w:spacing w:val="-3"/>
        </w:rPr>
        <w:t>a</w:t>
      </w:r>
      <w:r w:rsidR="009A35C5" w:rsidRPr="00BD1319">
        <w:rPr>
          <w:rFonts w:cs="Arial"/>
          <w:spacing w:val="-3"/>
        </w:rPr>
        <w:t>n las tendencias y visiones de desarrollo de territorio</w:t>
      </w:r>
      <w:r w:rsidR="00482A5F" w:rsidRPr="00BD1319">
        <w:rPr>
          <w:rFonts w:cs="Arial"/>
          <w:spacing w:val="-3"/>
        </w:rPr>
        <w:t>.</w:t>
      </w:r>
    </w:p>
    <w:p w14:paraId="0D913AA2" w14:textId="77777777" w:rsidR="009A35C5" w:rsidRPr="00BD1319" w:rsidRDefault="009A35C5" w:rsidP="00482A5F">
      <w:pPr>
        <w:rPr>
          <w:rFonts w:cs="Arial"/>
          <w:spacing w:val="-3"/>
        </w:rPr>
      </w:pPr>
    </w:p>
    <w:p w14:paraId="62CD1F1D" w14:textId="78E7FCDA" w:rsidR="00C75DF7" w:rsidRPr="00BD1319" w:rsidRDefault="004459CC" w:rsidP="00482A5F">
      <w:pPr>
        <w:numPr>
          <w:ilvl w:val="12"/>
          <w:numId w:val="0"/>
        </w:numPr>
        <w:tabs>
          <w:tab w:val="left" w:pos="-2268"/>
        </w:tabs>
        <w:suppressAutoHyphens/>
        <w:rPr>
          <w:rFonts w:cs="Arial"/>
          <w:spacing w:val="-3"/>
        </w:rPr>
      </w:pPr>
      <w:r w:rsidRPr="00BD1319">
        <w:rPr>
          <w:rFonts w:cs="Arial"/>
          <w:spacing w:val="-3"/>
        </w:rPr>
        <w:t xml:space="preserve">Determinar </w:t>
      </w:r>
      <w:r w:rsidR="00BF54FC" w:rsidRPr="00BD1319">
        <w:rPr>
          <w:rFonts w:cs="Arial"/>
          <w:spacing w:val="-3"/>
        </w:rPr>
        <w:t xml:space="preserve">los procesos de desarrollo local, regional y nacional, incluyendo en ellos la existencia de proyectos de infraestructura </w:t>
      </w:r>
      <w:r w:rsidR="00DA1366" w:rsidRPr="00BD1319">
        <w:rPr>
          <w:rFonts w:cs="Arial"/>
          <w:spacing w:val="-3"/>
        </w:rPr>
        <w:t>ejecutados</w:t>
      </w:r>
      <w:r w:rsidR="00BF54FC" w:rsidRPr="00BD1319">
        <w:rPr>
          <w:rFonts w:cs="Arial"/>
          <w:spacing w:val="-3"/>
        </w:rPr>
        <w:t xml:space="preserve">, </w:t>
      </w:r>
      <w:r w:rsidR="00DA1366" w:rsidRPr="00BD1319">
        <w:rPr>
          <w:rFonts w:cs="Arial"/>
          <w:spacing w:val="-3"/>
        </w:rPr>
        <w:t xml:space="preserve">los que están </w:t>
      </w:r>
      <w:r w:rsidR="00BF54FC" w:rsidRPr="00BD1319">
        <w:rPr>
          <w:rFonts w:cs="Arial"/>
          <w:spacing w:val="-3"/>
        </w:rPr>
        <w:t xml:space="preserve">en proceso de desarrollo y </w:t>
      </w:r>
      <w:r w:rsidR="00DA1366" w:rsidRPr="00BD1319">
        <w:rPr>
          <w:rFonts w:cs="Arial"/>
          <w:spacing w:val="-3"/>
        </w:rPr>
        <w:t xml:space="preserve">los que se encuentran en la etapa de </w:t>
      </w:r>
      <w:r w:rsidR="00BF54FC" w:rsidRPr="00BD1319">
        <w:rPr>
          <w:rFonts w:cs="Arial"/>
          <w:spacing w:val="-3"/>
        </w:rPr>
        <w:t>plan</w:t>
      </w:r>
      <w:r w:rsidR="00DA1366" w:rsidRPr="00BD1319">
        <w:rPr>
          <w:rFonts w:cs="Arial"/>
          <w:spacing w:val="-3"/>
        </w:rPr>
        <w:t>eación</w:t>
      </w:r>
      <w:r w:rsidR="00BF54FC" w:rsidRPr="00BD1319">
        <w:rPr>
          <w:rFonts w:cs="Arial"/>
          <w:spacing w:val="-3"/>
        </w:rPr>
        <w:t>, que puedan generar sinergia</w:t>
      </w:r>
      <w:r w:rsidR="00DA1366" w:rsidRPr="00BD1319">
        <w:rPr>
          <w:rFonts w:cs="Arial"/>
          <w:spacing w:val="-3"/>
        </w:rPr>
        <w:t>s</w:t>
      </w:r>
      <w:r w:rsidR="00BF54FC" w:rsidRPr="00BD1319">
        <w:rPr>
          <w:rFonts w:cs="Arial"/>
          <w:spacing w:val="-3"/>
        </w:rPr>
        <w:t xml:space="preserve"> y acumulación de impactos ambientales </w:t>
      </w:r>
      <w:r w:rsidR="00DA1366" w:rsidRPr="00BD1319">
        <w:rPr>
          <w:rFonts w:cs="Arial"/>
          <w:spacing w:val="-3"/>
        </w:rPr>
        <w:t>dadas las actividades e impactos del proyecto, obra o actividad</w:t>
      </w:r>
      <w:r w:rsidR="00BF54FC" w:rsidRPr="00BD1319">
        <w:rPr>
          <w:rFonts w:cs="Arial"/>
          <w:spacing w:val="-3"/>
        </w:rPr>
        <w:t>.</w:t>
      </w:r>
    </w:p>
    <w:p w14:paraId="2FC5C82E" w14:textId="77777777" w:rsidR="00482A5F" w:rsidRPr="00BD1319" w:rsidRDefault="00482A5F" w:rsidP="00482A5F">
      <w:pPr>
        <w:numPr>
          <w:ilvl w:val="12"/>
          <w:numId w:val="0"/>
        </w:numPr>
        <w:tabs>
          <w:tab w:val="left" w:pos="-2268"/>
        </w:tabs>
        <w:suppressAutoHyphens/>
        <w:rPr>
          <w:rFonts w:cs="Arial"/>
          <w:spacing w:val="-3"/>
        </w:rPr>
      </w:pPr>
    </w:p>
    <w:p w14:paraId="519D5910" w14:textId="3D5E4ECD" w:rsidR="00482A5F" w:rsidRPr="00BD1319" w:rsidRDefault="00B73099">
      <w:pPr>
        <w:numPr>
          <w:ilvl w:val="12"/>
          <w:numId w:val="0"/>
        </w:numPr>
        <w:tabs>
          <w:tab w:val="left" w:pos="-2268"/>
        </w:tabs>
        <w:suppressAutoHyphens/>
        <w:rPr>
          <w:spacing w:val="-3"/>
        </w:rPr>
      </w:pPr>
      <w:r w:rsidRPr="00BD1319">
        <w:rPr>
          <w:spacing w:val="-3"/>
        </w:rPr>
        <w:t xml:space="preserve">Se deben analizar los elementos más destacados del contenido de los </w:t>
      </w:r>
      <w:r w:rsidR="00482A5F" w:rsidRPr="00BD1319">
        <w:rPr>
          <w:spacing w:val="-3"/>
        </w:rPr>
        <w:t>planes de desarrollo, de ordenamiento territorial y de gestión ambiental</w:t>
      </w:r>
      <w:r w:rsidR="006C5B44" w:rsidRPr="00BD1319">
        <w:rPr>
          <w:spacing w:val="-3"/>
        </w:rPr>
        <w:t xml:space="preserve"> </w:t>
      </w:r>
      <w:r w:rsidRPr="00BD1319">
        <w:rPr>
          <w:spacing w:val="-3"/>
        </w:rPr>
        <w:t>(</w:t>
      </w:r>
      <w:r w:rsidR="006C5B44" w:rsidRPr="00BD1319">
        <w:rPr>
          <w:spacing w:val="-3"/>
        </w:rPr>
        <w:t>los cuales</w:t>
      </w:r>
      <w:r w:rsidR="00482A5F" w:rsidRPr="00BD1319">
        <w:rPr>
          <w:spacing w:val="-3"/>
        </w:rPr>
        <w:t xml:space="preserve"> tienen un potencial de proyección de acciones estatales y comunitarias a corto y mediano plazo</w:t>
      </w:r>
      <w:r w:rsidRPr="00BD1319">
        <w:rPr>
          <w:spacing w:val="-3"/>
        </w:rPr>
        <w:t>)</w:t>
      </w:r>
      <w:r w:rsidR="00482A5F" w:rsidRPr="00BD1319">
        <w:rPr>
          <w:spacing w:val="-3"/>
        </w:rPr>
        <w:t xml:space="preserve">, en relación con </w:t>
      </w:r>
      <w:r w:rsidR="006C5B44" w:rsidRPr="00BD1319">
        <w:rPr>
          <w:spacing w:val="-3"/>
        </w:rPr>
        <w:t xml:space="preserve">lo evidenciado en la caracterización de </w:t>
      </w:r>
      <w:r w:rsidR="00482A5F" w:rsidRPr="00BD1319">
        <w:rPr>
          <w:spacing w:val="-3"/>
        </w:rPr>
        <w:t>cada uno de los componentes</w:t>
      </w:r>
      <w:r w:rsidR="006C5B44" w:rsidRPr="00BD1319">
        <w:rPr>
          <w:spacing w:val="-3"/>
        </w:rPr>
        <w:t xml:space="preserve"> del medio socioeconómico</w:t>
      </w:r>
      <w:r w:rsidR="00482A5F" w:rsidRPr="00BD1319">
        <w:rPr>
          <w:spacing w:val="-3"/>
        </w:rPr>
        <w:t>.</w:t>
      </w:r>
    </w:p>
    <w:p w14:paraId="1C6E982D" w14:textId="77777777" w:rsidR="00482A5F" w:rsidRPr="00BD1319" w:rsidRDefault="00482A5F">
      <w:pPr>
        <w:numPr>
          <w:ilvl w:val="12"/>
          <w:numId w:val="0"/>
        </w:numPr>
        <w:tabs>
          <w:tab w:val="left" w:pos="-2268"/>
        </w:tabs>
        <w:suppressAutoHyphens/>
        <w:rPr>
          <w:spacing w:val="-3"/>
        </w:rPr>
      </w:pPr>
    </w:p>
    <w:p w14:paraId="4D5298EE" w14:textId="39F2EF9E" w:rsidR="00B73099" w:rsidRPr="00BD1319" w:rsidRDefault="00B73099">
      <w:pPr>
        <w:numPr>
          <w:ilvl w:val="12"/>
          <w:numId w:val="0"/>
        </w:numPr>
        <w:tabs>
          <w:tab w:val="left" w:pos="-2268"/>
        </w:tabs>
        <w:suppressAutoHyphens/>
        <w:rPr>
          <w:spacing w:val="-3"/>
        </w:rPr>
      </w:pPr>
      <w:r w:rsidRPr="00BD1319">
        <w:rPr>
          <w:spacing w:val="-3"/>
        </w:rPr>
        <w:lastRenderedPageBreak/>
        <w:t xml:space="preserve">Adicionalmente, se debe presentar un análisis de cómo las distintas tendencias del desarrollo histórico o </w:t>
      </w:r>
      <w:r w:rsidR="000B7129" w:rsidRPr="00BD1319">
        <w:rPr>
          <w:spacing w:val="-3"/>
        </w:rPr>
        <w:t xml:space="preserve">del </w:t>
      </w:r>
      <w:r w:rsidRPr="00BD1319">
        <w:rPr>
          <w:spacing w:val="-3"/>
        </w:rPr>
        <w:t>proyectado han generado, dinamizado o afectado dinámicas de conflictividad socio</w:t>
      </w:r>
      <w:r w:rsidR="000B7129" w:rsidRPr="00BD1319">
        <w:rPr>
          <w:spacing w:val="-3"/>
        </w:rPr>
        <w:t>ambiental</w:t>
      </w:r>
      <w:r w:rsidRPr="00BD1319">
        <w:rPr>
          <w:spacing w:val="-3"/>
        </w:rPr>
        <w:t>.</w:t>
      </w:r>
    </w:p>
    <w:p w14:paraId="47814639" w14:textId="77777777" w:rsidR="00B73099" w:rsidRPr="00BD1319" w:rsidRDefault="00B73099">
      <w:pPr>
        <w:numPr>
          <w:ilvl w:val="12"/>
          <w:numId w:val="0"/>
        </w:numPr>
        <w:tabs>
          <w:tab w:val="left" w:pos="-2268"/>
        </w:tabs>
        <w:suppressAutoHyphens/>
        <w:rPr>
          <w:spacing w:val="-3"/>
        </w:rPr>
      </w:pPr>
    </w:p>
    <w:p w14:paraId="59D0B643" w14:textId="075EB6F8" w:rsidR="00482A5F" w:rsidRPr="00BD1319" w:rsidRDefault="00482A5F">
      <w:pPr>
        <w:numPr>
          <w:ilvl w:val="12"/>
          <w:numId w:val="0"/>
        </w:numPr>
        <w:tabs>
          <w:tab w:val="left" w:pos="-2268"/>
        </w:tabs>
        <w:suppressAutoHyphens/>
        <w:rPr>
          <w:spacing w:val="-3"/>
        </w:rPr>
      </w:pPr>
      <w:r w:rsidRPr="00BD1319">
        <w:rPr>
          <w:spacing w:val="-3"/>
        </w:rPr>
        <w:t xml:space="preserve">Determinar si algunas de las características actuales del medio socioeconómico, vienen precedidas por antecedentes históricos que mantienen su influencia en el presente y </w:t>
      </w:r>
      <w:r w:rsidR="006C5B44" w:rsidRPr="00BD1319">
        <w:rPr>
          <w:spacing w:val="-3"/>
        </w:rPr>
        <w:t xml:space="preserve">que pueden mantenerla </w:t>
      </w:r>
      <w:r w:rsidRPr="00BD1319">
        <w:rPr>
          <w:spacing w:val="-3"/>
        </w:rPr>
        <w:t xml:space="preserve">a futuro, destacando su importancia y características </w:t>
      </w:r>
      <w:r w:rsidR="006C5B44" w:rsidRPr="00BD1319">
        <w:rPr>
          <w:spacing w:val="-3"/>
        </w:rPr>
        <w:t>principales</w:t>
      </w:r>
      <w:r w:rsidRPr="00BD1319">
        <w:rPr>
          <w:spacing w:val="-3"/>
        </w:rPr>
        <w:t>.</w:t>
      </w:r>
    </w:p>
    <w:p w14:paraId="36ECFFDB" w14:textId="77777777" w:rsidR="00482A5F" w:rsidRPr="00BD1319" w:rsidRDefault="00482A5F">
      <w:pPr>
        <w:numPr>
          <w:ilvl w:val="12"/>
          <w:numId w:val="0"/>
        </w:numPr>
        <w:tabs>
          <w:tab w:val="left" w:pos="-2268"/>
        </w:tabs>
        <w:suppressAutoHyphens/>
        <w:rPr>
          <w:spacing w:val="-3"/>
        </w:rPr>
      </w:pPr>
    </w:p>
    <w:p w14:paraId="3D205464" w14:textId="483B4162" w:rsidR="00482A5F" w:rsidRPr="00BD1319" w:rsidRDefault="00482A5F">
      <w:pPr>
        <w:numPr>
          <w:ilvl w:val="12"/>
          <w:numId w:val="0"/>
        </w:numPr>
        <w:tabs>
          <w:tab w:val="left" w:pos="-2268"/>
        </w:tabs>
        <w:suppressAutoHyphens/>
        <w:rPr>
          <w:spacing w:val="-3"/>
        </w:rPr>
      </w:pPr>
      <w:r w:rsidRPr="00BD1319">
        <w:rPr>
          <w:spacing w:val="-3"/>
        </w:rPr>
        <w:t xml:space="preserve">Para la </w:t>
      </w:r>
      <w:r w:rsidR="00257555" w:rsidRPr="00BD1319">
        <w:rPr>
          <w:spacing w:val="-3"/>
        </w:rPr>
        <w:t xml:space="preserve">determinación de las tendencias de desarrollo </w:t>
      </w:r>
      <w:r w:rsidRPr="00BD1319">
        <w:rPr>
          <w:spacing w:val="-3"/>
        </w:rPr>
        <w:t xml:space="preserve">se pueden utilizar metodologías participativas de construcción colectiva de información, </w:t>
      </w:r>
      <w:r w:rsidR="006C5B44" w:rsidRPr="00BD1319">
        <w:rPr>
          <w:spacing w:val="-3"/>
        </w:rPr>
        <w:t xml:space="preserve">como </w:t>
      </w:r>
      <w:r w:rsidR="00434EA7" w:rsidRPr="00BD1319">
        <w:rPr>
          <w:spacing w:val="-3"/>
        </w:rPr>
        <w:t>los diagramas</w:t>
      </w:r>
      <w:r w:rsidRPr="00BD1319">
        <w:rPr>
          <w:spacing w:val="-3"/>
        </w:rPr>
        <w:t xml:space="preserve"> de redes o </w:t>
      </w:r>
      <w:r w:rsidR="006C5B44" w:rsidRPr="00BD1319">
        <w:rPr>
          <w:spacing w:val="-3"/>
        </w:rPr>
        <w:t xml:space="preserve">las </w:t>
      </w:r>
      <w:r w:rsidRPr="00BD1319">
        <w:rPr>
          <w:spacing w:val="-3"/>
        </w:rPr>
        <w:t xml:space="preserve">estructuras relacionales </w:t>
      </w:r>
      <w:r w:rsidR="006C5B44" w:rsidRPr="00BD1319">
        <w:rPr>
          <w:spacing w:val="-3"/>
        </w:rPr>
        <w:t xml:space="preserve">que existen </w:t>
      </w:r>
      <w:r w:rsidRPr="00BD1319">
        <w:rPr>
          <w:spacing w:val="-3"/>
        </w:rPr>
        <w:t>entre los rasgos presentes en el territorio.</w:t>
      </w:r>
    </w:p>
    <w:p w14:paraId="1C526662" w14:textId="77777777" w:rsidR="00482A5F" w:rsidRPr="00BD1319" w:rsidRDefault="00482A5F">
      <w:pPr>
        <w:numPr>
          <w:ilvl w:val="12"/>
          <w:numId w:val="0"/>
        </w:numPr>
        <w:tabs>
          <w:tab w:val="left" w:pos="-2268"/>
        </w:tabs>
        <w:suppressAutoHyphens/>
        <w:rPr>
          <w:spacing w:val="-3"/>
        </w:rPr>
      </w:pPr>
    </w:p>
    <w:p w14:paraId="202E8037" w14:textId="5144A1B9" w:rsidR="00482A5F" w:rsidRPr="00BD1319" w:rsidRDefault="00482A5F">
      <w:pPr>
        <w:numPr>
          <w:ilvl w:val="12"/>
          <w:numId w:val="0"/>
        </w:numPr>
        <w:tabs>
          <w:tab w:val="left" w:pos="-2268"/>
        </w:tabs>
        <w:suppressAutoHyphens/>
        <w:rPr>
          <w:spacing w:val="-3"/>
        </w:rPr>
      </w:pPr>
      <w:r w:rsidRPr="00BD1319">
        <w:rPr>
          <w:spacing w:val="-3"/>
        </w:rPr>
        <w:t>Este análisis permite articular la totalidad de la información del medio socioeconómico con las obras y actividades del proyecto</w:t>
      </w:r>
      <w:r w:rsidR="006C5B44" w:rsidRPr="00BD1319">
        <w:rPr>
          <w:spacing w:val="-3"/>
        </w:rPr>
        <w:t>,</w:t>
      </w:r>
      <w:r w:rsidRPr="00BD1319">
        <w:rPr>
          <w:spacing w:val="-3"/>
        </w:rPr>
        <w:t xml:space="preserve"> </w:t>
      </w:r>
      <w:r w:rsidR="006C5B44" w:rsidRPr="00BD1319">
        <w:rPr>
          <w:spacing w:val="-3"/>
        </w:rPr>
        <w:t>a fin d</w:t>
      </w:r>
      <w:r w:rsidRPr="00BD1319">
        <w:rPr>
          <w:spacing w:val="-3"/>
        </w:rPr>
        <w:t>e identificar</w:t>
      </w:r>
      <w:r w:rsidR="006C5B44" w:rsidRPr="00BD1319">
        <w:rPr>
          <w:spacing w:val="-3"/>
        </w:rPr>
        <w:t xml:space="preserve"> en la evaluación ambiental</w:t>
      </w:r>
      <w:r w:rsidRPr="00BD1319">
        <w:rPr>
          <w:spacing w:val="-3"/>
        </w:rPr>
        <w:t xml:space="preserve"> si las tendencias del desarrollo pueden </w:t>
      </w:r>
      <w:r w:rsidR="006C5B44" w:rsidRPr="00BD1319">
        <w:rPr>
          <w:spacing w:val="-3"/>
        </w:rPr>
        <w:t xml:space="preserve">alterarse </w:t>
      </w:r>
      <w:r w:rsidRPr="00BD1319">
        <w:rPr>
          <w:spacing w:val="-3"/>
        </w:rPr>
        <w:t xml:space="preserve">con </w:t>
      </w:r>
      <w:r w:rsidR="006C5B44" w:rsidRPr="00BD1319">
        <w:rPr>
          <w:spacing w:val="-3"/>
        </w:rPr>
        <w:t xml:space="preserve">la ejecución </w:t>
      </w:r>
      <w:r w:rsidR="008740E1" w:rsidRPr="00BD1319">
        <w:rPr>
          <w:spacing w:val="-3"/>
        </w:rPr>
        <w:t>de este</w:t>
      </w:r>
      <w:r w:rsidR="00B84105" w:rsidRPr="00BD1319">
        <w:rPr>
          <w:spacing w:val="-3"/>
        </w:rPr>
        <w:t>.</w:t>
      </w:r>
    </w:p>
    <w:p w14:paraId="7D91E367" w14:textId="77777777" w:rsidR="00D03C2A" w:rsidRPr="00BD1319" w:rsidRDefault="00D03C2A">
      <w:pPr>
        <w:numPr>
          <w:ilvl w:val="12"/>
          <w:numId w:val="0"/>
        </w:numPr>
        <w:tabs>
          <w:tab w:val="left" w:pos="-2268"/>
        </w:tabs>
        <w:suppressAutoHyphens/>
        <w:rPr>
          <w:spacing w:val="-3"/>
        </w:rPr>
      </w:pPr>
    </w:p>
    <w:p w14:paraId="047EFE86" w14:textId="49E28E93" w:rsidR="00D03C2A" w:rsidRPr="00BD1319" w:rsidRDefault="00D03C2A" w:rsidP="00D03C2A">
      <w:pPr>
        <w:pStyle w:val="Ttulo4"/>
        <w:tabs>
          <w:tab w:val="clear" w:pos="1844"/>
          <w:tab w:val="num" w:pos="1134"/>
        </w:tabs>
        <w:ind w:left="0"/>
        <w:rPr>
          <w:lang w:val="es-CO"/>
        </w:rPr>
      </w:pPr>
      <w:r w:rsidRPr="00BD1319">
        <w:rPr>
          <w:lang w:val="es-CO"/>
        </w:rPr>
        <w:t>Conflictividad socioambiental</w:t>
      </w:r>
    </w:p>
    <w:p w14:paraId="55ADB82A" w14:textId="77777777" w:rsidR="00D03C2A" w:rsidRPr="00BD1319" w:rsidRDefault="00D03C2A">
      <w:pPr>
        <w:numPr>
          <w:ilvl w:val="12"/>
          <w:numId w:val="0"/>
        </w:numPr>
        <w:tabs>
          <w:tab w:val="left" w:pos="-2268"/>
        </w:tabs>
        <w:suppressAutoHyphens/>
        <w:rPr>
          <w:spacing w:val="-3"/>
        </w:rPr>
      </w:pPr>
    </w:p>
    <w:p w14:paraId="5832654E" w14:textId="73F334E1" w:rsidR="00A75AC0" w:rsidRPr="00BD1319" w:rsidRDefault="00A75AC0">
      <w:pPr>
        <w:numPr>
          <w:ilvl w:val="12"/>
          <w:numId w:val="0"/>
        </w:numPr>
        <w:tabs>
          <w:tab w:val="left" w:pos="-2268"/>
        </w:tabs>
        <w:suppressAutoHyphens/>
        <w:rPr>
          <w:spacing w:val="-3"/>
        </w:rPr>
      </w:pPr>
      <w:r w:rsidRPr="00BD1319">
        <w:rPr>
          <w:spacing w:val="-3"/>
        </w:rPr>
        <w:t xml:space="preserve">La caracterización de los conflictos socioambientales debe realizarse </w:t>
      </w:r>
      <w:r w:rsidR="003E5E20" w:rsidRPr="00BD1319">
        <w:rPr>
          <w:spacing w:val="-3"/>
        </w:rPr>
        <w:t xml:space="preserve">fundamentalmente a partir del análisis de la información recopilada para los componentes de los medios abiótico, biótico y socioeconómico, así como para los servicios ecosistémicos y el paisaje y </w:t>
      </w:r>
      <w:r w:rsidRPr="00BD1319">
        <w:rPr>
          <w:spacing w:val="-3"/>
        </w:rPr>
        <w:t xml:space="preserve">considerando </w:t>
      </w:r>
      <w:r w:rsidR="003E5E20" w:rsidRPr="00BD1319">
        <w:rPr>
          <w:spacing w:val="-3"/>
        </w:rPr>
        <w:t xml:space="preserve">que las </w:t>
      </w:r>
      <w:r w:rsidRPr="00BD1319">
        <w:rPr>
          <w:spacing w:val="-3"/>
        </w:rPr>
        <w:t xml:space="preserve">interacciones de doble vía </w:t>
      </w:r>
      <w:r w:rsidR="003E5E20" w:rsidRPr="00BD1319">
        <w:rPr>
          <w:spacing w:val="-3"/>
        </w:rPr>
        <w:t xml:space="preserve">que se dan </w:t>
      </w:r>
      <w:r w:rsidRPr="00BD1319">
        <w:rPr>
          <w:spacing w:val="-3"/>
        </w:rPr>
        <w:t xml:space="preserve">entre los ecosistemas y los sistemas humanos </w:t>
      </w:r>
      <w:r w:rsidR="00BA093C" w:rsidRPr="00BD1319">
        <w:rPr>
          <w:spacing w:val="-3"/>
        </w:rPr>
        <w:t>generan</w:t>
      </w:r>
      <w:r w:rsidR="00BA726C" w:rsidRPr="00BD1319">
        <w:rPr>
          <w:spacing w:val="-3"/>
        </w:rPr>
        <w:t xml:space="preserve"> cambios recíprocos </w:t>
      </w:r>
      <w:r w:rsidR="000F5D28" w:rsidRPr="00BD1319">
        <w:rPr>
          <w:spacing w:val="-3"/>
        </w:rPr>
        <w:t>en</w:t>
      </w:r>
      <w:r w:rsidR="00BA093C" w:rsidRPr="00BD1319">
        <w:rPr>
          <w:spacing w:val="-3"/>
        </w:rPr>
        <w:t xml:space="preserve"> </w:t>
      </w:r>
      <w:r w:rsidR="003E5E20" w:rsidRPr="00BD1319">
        <w:rPr>
          <w:spacing w:val="-3"/>
        </w:rPr>
        <w:t>la</w:t>
      </w:r>
      <w:r w:rsidR="00BA726C" w:rsidRPr="00BD1319">
        <w:rPr>
          <w:spacing w:val="-3"/>
        </w:rPr>
        <w:t xml:space="preserve">s </w:t>
      </w:r>
      <w:r w:rsidRPr="00BD1319">
        <w:rPr>
          <w:spacing w:val="-3"/>
        </w:rPr>
        <w:t>características</w:t>
      </w:r>
      <w:r w:rsidR="003E5E20" w:rsidRPr="00BD1319">
        <w:rPr>
          <w:spacing w:val="-3"/>
        </w:rPr>
        <w:t xml:space="preserve"> de ambos sistemas</w:t>
      </w:r>
      <w:r w:rsidRPr="00BD1319">
        <w:rPr>
          <w:spacing w:val="-3"/>
        </w:rPr>
        <w:t>.</w:t>
      </w:r>
    </w:p>
    <w:p w14:paraId="7BCBE58E" w14:textId="77777777" w:rsidR="00A75AC0" w:rsidRPr="00BD1319" w:rsidRDefault="00A75AC0" w:rsidP="00B53A37">
      <w:pPr>
        <w:numPr>
          <w:ilvl w:val="12"/>
          <w:numId w:val="0"/>
        </w:numPr>
        <w:tabs>
          <w:tab w:val="left" w:pos="-2268"/>
        </w:tabs>
        <w:suppressAutoHyphens/>
        <w:rPr>
          <w:spacing w:val="-3"/>
        </w:rPr>
      </w:pPr>
    </w:p>
    <w:p w14:paraId="2151E707" w14:textId="42335635" w:rsidR="004521A6" w:rsidRPr="00BD1319" w:rsidRDefault="000315DD" w:rsidP="00B53A37">
      <w:pPr>
        <w:numPr>
          <w:ilvl w:val="12"/>
          <w:numId w:val="0"/>
        </w:numPr>
        <w:tabs>
          <w:tab w:val="left" w:pos="-2268"/>
        </w:tabs>
        <w:suppressAutoHyphens/>
        <w:rPr>
          <w:spacing w:val="-3"/>
        </w:rPr>
      </w:pPr>
      <w:r w:rsidRPr="00BD1319">
        <w:rPr>
          <w:spacing w:val="-3"/>
        </w:rPr>
        <w:t>S</w:t>
      </w:r>
      <w:r w:rsidR="000F5D28" w:rsidRPr="00BD1319">
        <w:rPr>
          <w:spacing w:val="-3"/>
        </w:rPr>
        <w:t xml:space="preserve">e deben describir los conflictos socioambientales suscitados por el </w:t>
      </w:r>
      <w:r w:rsidR="004521A6" w:rsidRPr="00BD1319">
        <w:t xml:space="preserve">acceso, uso, manejo, protección o </w:t>
      </w:r>
      <w:r w:rsidR="000F5D28" w:rsidRPr="00BD1319">
        <w:rPr>
          <w:spacing w:val="-3"/>
        </w:rPr>
        <w:t>afectación de los ecosistemas y sus servicios ecosistémicos</w:t>
      </w:r>
      <w:r w:rsidR="00777D5A" w:rsidRPr="00BD1319">
        <w:rPr>
          <w:spacing w:val="-3"/>
        </w:rPr>
        <w:t xml:space="preserve"> que </w:t>
      </w:r>
      <w:r w:rsidR="004521A6" w:rsidRPr="00BD1319">
        <w:rPr>
          <w:spacing w:val="-3"/>
        </w:rPr>
        <w:t xml:space="preserve">resulta de las </w:t>
      </w:r>
      <w:r w:rsidR="009F0619" w:rsidRPr="00BD1319">
        <w:rPr>
          <w:spacing w:val="-3"/>
        </w:rPr>
        <w:t xml:space="preserve">actividades socioeconómicas </w:t>
      </w:r>
      <w:r w:rsidR="004521A6" w:rsidRPr="00BD1319">
        <w:rPr>
          <w:spacing w:val="-3"/>
        </w:rPr>
        <w:t xml:space="preserve">y culturales de la población del área de influencia, </w:t>
      </w:r>
      <w:r w:rsidR="00314095" w:rsidRPr="00BD1319">
        <w:rPr>
          <w:spacing w:val="-3"/>
        </w:rPr>
        <w:t>que incluso</w:t>
      </w:r>
      <w:r w:rsidR="00905AD9" w:rsidRPr="00BD1319">
        <w:rPr>
          <w:spacing w:val="-3"/>
        </w:rPr>
        <w:t>,</w:t>
      </w:r>
      <w:r w:rsidR="00314095" w:rsidRPr="00BD1319">
        <w:rPr>
          <w:spacing w:val="-3"/>
        </w:rPr>
        <w:t xml:space="preserve"> pueden ser </w:t>
      </w:r>
      <w:r w:rsidR="009F0619" w:rsidRPr="00BD1319">
        <w:rPr>
          <w:spacing w:val="-3"/>
        </w:rPr>
        <w:t>dinamizadas por factores económicos y políticos</w:t>
      </w:r>
      <w:r w:rsidR="004521A6" w:rsidRPr="00BD1319">
        <w:rPr>
          <w:spacing w:val="-3"/>
        </w:rPr>
        <w:t xml:space="preserve"> externos</w:t>
      </w:r>
      <w:r w:rsidR="000F5D28" w:rsidRPr="00BD1319">
        <w:rPr>
          <w:spacing w:val="-3"/>
        </w:rPr>
        <w:t>.</w:t>
      </w:r>
      <w:r w:rsidR="004521A6" w:rsidRPr="00BD1319">
        <w:rPr>
          <w:spacing w:val="-3"/>
        </w:rPr>
        <w:t xml:space="preserve"> Asimismo, </w:t>
      </w:r>
      <w:r w:rsidR="00905AD9" w:rsidRPr="00BD1319">
        <w:rPr>
          <w:spacing w:val="-3"/>
        </w:rPr>
        <w:t xml:space="preserve">se </w:t>
      </w:r>
      <w:r w:rsidR="004521A6" w:rsidRPr="00BD1319">
        <w:rPr>
          <w:spacing w:val="-3"/>
        </w:rPr>
        <w:t xml:space="preserve">deben caracterizar los conflictos </w:t>
      </w:r>
      <w:r w:rsidR="00CA7C25" w:rsidRPr="00BD1319">
        <w:rPr>
          <w:spacing w:val="-3"/>
        </w:rPr>
        <w:t xml:space="preserve">desencadenados por </w:t>
      </w:r>
      <w:r w:rsidR="00314095" w:rsidRPr="00BD1319">
        <w:t xml:space="preserve">la exigencia de acceso a la información ambiental, o bien, por el </w:t>
      </w:r>
      <w:r w:rsidR="004521A6" w:rsidRPr="00BD1319">
        <w:t xml:space="preserve">desconocimiento </w:t>
      </w:r>
      <w:r w:rsidR="00314095" w:rsidRPr="00BD1319">
        <w:t>de ésta</w:t>
      </w:r>
      <w:r w:rsidR="00C51A09" w:rsidRPr="00BD1319">
        <w:t>.</w:t>
      </w:r>
    </w:p>
    <w:p w14:paraId="0FC74DCA" w14:textId="77777777" w:rsidR="000F5D28" w:rsidRPr="00BD1319" w:rsidRDefault="000F5D28" w:rsidP="00B53A37">
      <w:pPr>
        <w:numPr>
          <w:ilvl w:val="12"/>
          <w:numId w:val="0"/>
        </w:numPr>
        <w:tabs>
          <w:tab w:val="left" w:pos="-2268"/>
        </w:tabs>
        <w:suppressAutoHyphens/>
        <w:rPr>
          <w:spacing w:val="-3"/>
        </w:rPr>
      </w:pPr>
    </w:p>
    <w:p w14:paraId="1BCA3364" w14:textId="3CEE40DC" w:rsidR="00B53A37" w:rsidRPr="00BD1319" w:rsidRDefault="00905AD9" w:rsidP="00B53A37">
      <w:pPr>
        <w:numPr>
          <w:ilvl w:val="12"/>
          <w:numId w:val="0"/>
        </w:numPr>
        <w:tabs>
          <w:tab w:val="left" w:pos="-2268"/>
        </w:tabs>
        <w:suppressAutoHyphens/>
        <w:rPr>
          <w:spacing w:val="-3"/>
        </w:rPr>
      </w:pPr>
      <w:r w:rsidRPr="00BD1319">
        <w:rPr>
          <w:spacing w:val="-3"/>
        </w:rPr>
        <w:t xml:space="preserve">La </w:t>
      </w:r>
      <w:r w:rsidR="0002113B" w:rsidRPr="00BD1319">
        <w:rPr>
          <w:spacing w:val="-3"/>
        </w:rPr>
        <w:t>c</w:t>
      </w:r>
      <w:r w:rsidR="00B53A37" w:rsidRPr="00BD1319">
        <w:rPr>
          <w:spacing w:val="-3"/>
        </w:rPr>
        <w:t xml:space="preserve">aracterización </w:t>
      </w:r>
      <w:r w:rsidR="0002113B" w:rsidRPr="00BD1319">
        <w:rPr>
          <w:spacing w:val="-3"/>
        </w:rPr>
        <w:t xml:space="preserve">debe dirigirse tanto a los </w:t>
      </w:r>
      <w:r w:rsidR="00B53A37" w:rsidRPr="00BD1319">
        <w:rPr>
          <w:spacing w:val="-3"/>
        </w:rPr>
        <w:t>conflictos que pued</w:t>
      </w:r>
      <w:r w:rsidR="0002113B" w:rsidRPr="00BD1319">
        <w:rPr>
          <w:spacing w:val="-3"/>
        </w:rPr>
        <w:t>e</w:t>
      </w:r>
      <w:r w:rsidR="00B53A37" w:rsidRPr="00BD1319">
        <w:rPr>
          <w:spacing w:val="-3"/>
        </w:rPr>
        <w:t>n exacerbarse</w:t>
      </w:r>
      <w:r w:rsidR="0002113B" w:rsidRPr="00BD1319">
        <w:rPr>
          <w:spacing w:val="-3"/>
        </w:rPr>
        <w:t>, como a los que pueden</w:t>
      </w:r>
      <w:r w:rsidR="00B53A37" w:rsidRPr="00BD1319">
        <w:rPr>
          <w:spacing w:val="-3"/>
        </w:rPr>
        <w:t xml:space="preserve"> atenuarse con la ejecución del proyecto, obra o actividad, </w:t>
      </w:r>
      <w:r w:rsidR="0002113B" w:rsidRPr="00BD1319">
        <w:rPr>
          <w:spacing w:val="-3"/>
        </w:rPr>
        <w:t xml:space="preserve">y </w:t>
      </w:r>
      <w:r w:rsidR="005E7952" w:rsidRPr="00BD1319">
        <w:rPr>
          <w:spacing w:val="-3"/>
        </w:rPr>
        <w:t xml:space="preserve">adicionalmente, </w:t>
      </w:r>
      <w:r w:rsidR="0002113B" w:rsidRPr="00BD1319">
        <w:rPr>
          <w:spacing w:val="-3"/>
        </w:rPr>
        <w:t xml:space="preserve">señalar </w:t>
      </w:r>
      <w:r w:rsidR="00B53A37" w:rsidRPr="00BD1319">
        <w:rPr>
          <w:spacing w:val="-3"/>
        </w:rPr>
        <w:t xml:space="preserve">las </w:t>
      </w:r>
      <w:r w:rsidR="00196C78" w:rsidRPr="00BD1319">
        <w:rPr>
          <w:spacing w:val="-3"/>
        </w:rPr>
        <w:t xml:space="preserve">dinámicas </w:t>
      </w:r>
      <w:r w:rsidR="00B53A37" w:rsidRPr="00BD1319">
        <w:rPr>
          <w:spacing w:val="-3"/>
        </w:rPr>
        <w:t>sociales que pueden llevar a profundizarlos o a tramitarlos.</w:t>
      </w:r>
      <w:r w:rsidR="005E7952" w:rsidRPr="00BD1319">
        <w:rPr>
          <w:spacing w:val="-3"/>
        </w:rPr>
        <w:t xml:space="preserve"> </w:t>
      </w:r>
      <w:r w:rsidR="001B6913" w:rsidRPr="00BD1319">
        <w:rPr>
          <w:spacing w:val="-3"/>
        </w:rPr>
        <w:t xml:space="preserve">Se </w:t>
      </w:r>
      <w:r w:rsidR="005E7952" w:rsidRPr="00BD1319">
        <w:rPr>
          <w:spacing w:val="-3"/>
        </w:rPr>
        <w:t>debe</w:t>
      </w:r>
      <w:r w:rsidR="001B6913" w:rsidRPr="00BD1319">
        <w:rPr>
          <w:spacing w:val="-3"/>
        </w:rPr>
        <w:t>n</w:t>
      </w:r>
      <w:r w:rsidR="005E7952" w:rsidRPr="00BD1319">
        <w:rPr>
          <w:spacing w:val="-3"/>
        </w:rPr>
        <w:t xml:space="preserve"> abordar al menos las siguientes propiedades</w:t>
      </w:r>
      <w:r w:rsidR="00463D5F" w:rsidRPr="00BD1319">
        <w:rPr>
          <w:spacing w:val="-3"/>
        </w:rPr>
        <w:t xml:space="preserve"> de los conflictos</w:t>
      </w:r>
      <w:r w:rsidR="005E7952" w:rsidRPr="00BD1319">
        <w:rPr>
          <w:spacing w:val="-3"/>
        </w:rPr>
        <w:t>:</w:t>
      </w:r>
    </w:p>
    <w:p w14:paraId="0AFAD578" w14:textId="77777777" w:rsidR="00161B35" w:rsidRPr="00BD1319" w:rsidRDefault="00161B35" w:rsidP="00B53A37">
      <w:pPr>
        <w:numPr>
          <w:ilvl w:val="12"/>
          <w:numId w:val="0"/>
        </w:numPr>
        <w:tabs>
          <w:tab w:val="left" w:pos="-2268"/>
        </w:tabs>
        <w:suppressAutoHyphens/>
        <w:rPr>
          <w:spacing w:val="-3"/>
        </w:rPr>
      </w:pPr>
    </w:p>
    <w:p w14:paraId="5511E270" w14:textId="77777777" w:rsidR="00B64698" w:rsidRPr="00BD1319" w:rsidRDefault="00B64698" w:rsidP="00B64698">
      <w:pPr>
        <w:numPr>
          <w:ilvl w:val="0"/>
          <w:numId w:val="394"/>
        </w:numPr>
        <w:tabs>
          <w:tab w:val="left" w:pos="-2268"/>
        </w:tabs>
        <w:suppressAutoHyphens/>
        <w:ind w:left="567" w:hanging="567"/>
        <w:rPr>
          <w:spacing w:val="-3"/>
        </w:rPr>
      </w:pPr>
      <w:r w:rsidRPr="00BD1319">
        <w:rPr>
          <w:spacing w:val="-3"/>
        </w:rPr>
        <w:t>Objeto del conflicto en términos del ecosistema o servicio ecosistémico comprometido.</w:t>
      </w:r>
    </w:p>
    <w:p w14:paraId="77459F2E" w14:textId="77777777" w:rsidR="00B64698" w:rsidRPr="00BD1319" w:rsidRDefault="00B64698" w:rsidP="000D6E21">
      <w:pPr>
        <w:tabs>
          <w:tab w:val="left" w:pos="-2268"/>
        </w:tabs>
        <w:suppressAutoHyphens/>
        <w:rPr>
          <w:spacing w:val="-3"/>
        </w:rPr>
      </w:pPr>
    </w:p>
    <w:p w14:paraId="3E6E9636" w14:textId="7B505315" w:rsidR="00463D5F" w:rsidRPr="00BD1319" w:rsidRDefault="00B64698" w:rsidP="000D6E21">
      <w:pPr>
        <w:numPr>
          <w:ilvl w:val="0"/>
          <w:numId w:val="394"/>
        </w:numPr>
        <w:tabs>
          <w:tab w:val="left" w:pos="-2268"/>
        </w:tabs>
        <w:suppressAutoHyphens/>
        <w:ind w:left="567" w:hanging="567"/>
        <w:rPr>
          <w:spacing w:val="-3"/>
        </w:rPr>
      </w:pPr>
      <w:r w:rsidRPr="00BD1319">
        <w:rPr>
          <w:spacing w:val="-3"/>
        </w:rPr>
        <w:lastRenderedPageBreak/>
        <w:t xml:space="preserve">Localización de los lugares </w:t>
      </w:r>
      <w:r w:rsidR="00463D5F" w:rsidRPr="00BD1319">
        <w:rPr>
          <w:spacing w:val="-3"/>
        </w:rPr>
        <w:t xml:space="preserve">en </w:t>
      </w:r>
      <w:r w:rsidRPr="00BD1319">
        <w:rPr>
          <w:spacing w:val="-3"/>
        </w:rPr>
        <w:t xml:space="preserve">los </w:t>
      </w:r>
      <w:r w:rsidR="00463D5F" w:rsidRPr="00BD1319">
        <w:rPr>
          <w:spacing w:val="-3"/>
        </w:rPr>
        <w:t xml:space="preserve">que ocurre y </w:t>
      </w:r>
      <w:r w:rsidRPr="00BD1319">
        <w:rPr>
          <w:spacing w:val="-3"/>
        </w:rPr>
        <w:t xml:space="preserve">a los que </w:t>
      </w:r>
      <w:r w:rsidR="00463D5F" w:rsidRPr="00BD1319">
        <w:rPr>
          <w:spacing w:val="-3"/>
        </w:rPr>
        <w:t>trasciende el conflicto, haciendo explícit</w:t>
      </w:r>
      <w:r w:rsidRPr="00BD1319">
        <w:rPr>
          <w:spacing w:val="-3"/>
        </w:rPr>
        <w:t>o</w:t>
      </w:r>
      <w:r w:rsidR="00463D5F" w:rsidRPr="00BD1319">
        <w:rPr>
          <w:spacing w:val="-3"/>
        </w:rPr>
        <w:t>s</w:t>
      </w:r>
      <w:r w:rsidRPr="00BD1319">
        <w:rPr>
          <w:spacing w:val="-3"/>
        </w:rPr>
        <w:t xml:space="preserve"> l</w:t>
      </w:r>
      <w:r w:rsidR="00463D5F" w:rsidRPr="00BD1319">
        <w:rPr>
          <w:spacing w:val="-3"/>
        </w:rPr>
        <w:t xml:space="preserve">os </w:t>
      </w:r>
      <w:r w:rsidRPr="00BD1319">
        <w:rPr>
          <w:spacing w:val="-3"/>
        </w:rPr>
        <w:t xml:space="preserve">alcances y limitaciones de los </w:t>
      </w:r>
      <w:r w:rsidR="00463D5F" w:rsidRPr="00BD1319">
        <w:rPr>
          <w:spacing w:val="-3"/>
        </w:rPr>
        <w:t xml:space="preserve">criterios </w:t>
      </w:r>
      <w:r w:rsidRPr="00BD1319">
        <w:rPr>
          <w:spacing w:val="-3"/>
        </w:rPr>
        <w:t xml:space="preserve">empleados </w:t>
      </w:r>
      <w:r w:rsidR="00463D5F" w:rsidRPr="00BD1319">
        <w:rPr>
          <w:spacing w:val="-3"/>
        </w:rPr>
        <w:t xml:space="preserve">para </w:t>
      </w:r>
      <w:r w:rsidRPr="00BD1319">
        <w:rPr>
          <w:spacing w:val="-3"/>
        </w:rPr>
        <w:t xml:space="preserve">determinar </w:t>
      </w:r>
      <w:r w:rsidR="00BA726C" w:rsidRPr="00BD1319">
        <w:rPr>
          <w:spacing w:val="-3"/>
        </w:rPr>
        <w:t>en qué unidades de análisis territorial ocurren</w:t>
      </w:r>
      <w:r w:rsidR="00463D5F" w:rsidRPr="00BD1319">
        <w:rPr>
          <w:spacing w:val="-3"/>
        </w:rPr>
        <w:t>.</w:t>
      </w:r>
    </w:p>
    <w:p w14:paraId="59CD7A78" w14:textId="77777777" w:rsidR="00463D5F" w:rsidRPr="00BD1319" w:rsidRDefault="00463D5F">
      <w:pPr>
        <w:tabs>
          <w:tab w:val="left" w:pos="-2268"/>
        </w:tabs>
        <w:suppressAutoHyphens/>
        <w:rPr>
          <w:spacing w:val="-3"/>
        </w:rPr>
      </w:pPr>
    </w:p>
    <w:p w14:paraId="721688D9" w14:textId="77777777" w:rsidR="005128BA" w:rsidRPr="00BD1319" w:rsidRDefault="005128BA" w:rsidP="005128BA">
      <w:pPr>
        <w:numPr>
          <w:ilvl w:val="0"/>
          <w:numId w:val="394"/>
        </w:numPr>
        <w:tabs>
          <w:tab w:val="left" w:pos="-2268"/>
        </w:tabs>
        <w:suppressAutoHyphens/>
        <w:ind w:left="567" w:hanging="567"/>
        <w:rPr>
          <w:spacing w:val="-3"/>
        </w:rPr>
      </w:pPr>
      <w:r w:rsidRPr="00BD1319">
        <w:rPr>
          <w:spacing w:val="-3"/>
        </w:rPr>
        <w:t>Actores del conflicto. Deben identificarse las dos o más partes que participan del proceso de interacción y que son conscientes de su discrepancia frente al asunto u objeto del conflicto. Adicionalmente, reconociendo que pueden confluir múltiples actores con interés o injerencia sobre el objeto del conflicto, debe incluirse una descripción de estas interrelaciones y los valores que las motivan.</w:t>
      </w:r>
    </w:p>
    <w:p w14:paraId="5F8E5317" w14:textId="77777777" w:rsidR="005128BA" w:rsidRPr="00BD1319" w:rsidRDefault="005128BA" w:rsidP="000D6E21">
      <w:pPr>
        <w:tabs>
          <w:tab w:val="left" w:pos="-2268"/>
        </w:tabs>
        <w:suppressAutoHyphens/>
        <w:rPr>
          <w:spacing w:val="-3"/>
        </w:rPr>
      </w:pPr>
    </w:p>
    <w:p w14:paraId="33856E56" w14:textId="227E2A81" w:rsidR="00463D5F" w:rsidRPr="00BD1319" w:rsidRDefault="00B64698" w:rsidP="00463D5F">
      <w:pPr>
        <w:numPr>
          <w:ilvl w:val="0"/>
          <w:numId w:val="394"/>
        </w:numPr>
        <w:tabs>
          <w:tab w:val="left" w:pos="-2268"/>
        </w:tabs>
        <w:suppressAutoHyphens/>
        <w:ind w:left="567" w:hanging="567"/>
        <w:rPr>
          <w:spacing w:val="-3"/>
        </w:rPr>
      </w:pPr>
      <w:r w:rsidRPr="00BD1319">
        <w:rPr>
          <w:spacing w:val="-3"/>
        </w:rPr>
        <w:t>H</w:t>
      </w:r>
      <w:r w:rsidR="00463D5F" w:rsidRPr="00BD1319">
        <w:rPr>
          <w:spacing w:val="-3"/>
        </w:rPr>
        <w:t>istoria (inicio, desarrollo, resultado) y estado actual del conflicto</w:t>
      </w:r>
      <w:r w:rsidRPr="00BD1319">
        <w:rPr>
          <w:spacing w:val="-3"/>
        </w:rPr>
        <w:t>, realizando una descripción de tales momentos.</w:t>
      </w:r>
    </w:p>
    <w:p w14:paraId="79444426" w14:textId="77777777" w:rsidR="00463D5F" w:rsidRPr="00BD1319" w:rsidRDefault="00463D5F" w:rsidP="000D6E21">
      <w:pPr>
        <w:tabs>
          <w:tab w:val="left" w:pos="-2268"/>
        </w:tabs>
        <w:suppressAutoHyphens/>
        <w:rPr>
          <w:spacing w:val="-3"/>
        </w:rPr>
      </w:pPr>
    </w:p>
    <w:p w14:paraId="4B7FB4AC" w14:textId="55075C8F" w:rsidR="00463D5F" w:rsidRPr="00BD1319" w:rsidRDefault="00463D5F" w:rsidP="00463D5F">
      <w:pPr>
        <w:numPr>
          <w:ilvl w:val="0"/>
          <w:numId w:val="394"/>
        </w:numPr>
        <w:tabs>
          <w:tab w:val="left" w:pos="-2268"/>
        </w:tabs>
        <w:suppressAutoHyphens/>
        <w:ind w:left="567" w:hanging="567"/>
        <w:rPr>
          <w:spacing w:val="-3"/>
        </w:rPr>
      </w:pPr>
      <w:r w:rsidRPr="00BD1319">
        <w:rPr>
          <w:spacing w:val="-3"/>
        </w:rPr>
        <w:t>Causas y direccionadores del conflicto. Incluye</w:t>
      </w:r>
      <w:r w:rsidR="00BB3021" w:rsidRPr="00BD1319">
        <w:rPr>
          <w:spacing w:val="-3"/>
        </w:rPr>
        <w:t xml:space="preserve"> </w:t>
      </w:r>
      <w:r w:rsidRPr="00BD1319">
        <w:rPr>
          <w:spacing w:val="-3"/>
        </w:rPr>
        <w:t>causas directas como impactos</w:t>
      </w:r>
      <w:r w:rsidR="00BB3021" w:rsidRPr="00BD1319">
        <w:rPr>
          <w:spacing w:val="-3"/>
        </w:rPr>
        <w:t>,</w:t>
      </w:r>
      <w:r w:rsidRPr="00BD1319">
        <w:rPr>
          <w:spacing w:val="-3"/>
        </w:rPr>
        <w:t xml:space="preserve"> </w:t>
      </w:r>
      <w:proofErr w:type="spellStart"/>
      <w:r w:rsidRPr="00BD1319">
        <w:rPr>
          <w:spacing w:val="-3"/>
        </w:rPr>
        <w:t>trade-offs</w:t>
      </w:r>
      <w:proofErr w:type="spellEnd"/>
      <w:r w:rsidRPr="00BD1319">
        <w:rPr>
          <w:spacing w:val="-3"/>
        </w:rPr>
        <w:t xml:space="preserve"> entre servicios ecosistémicos</w:t>
      </w:r>
      <w:r w:rsidR="00BB3021" w:rsidRPr="00BD1319">
        <w:rPr>
          <w:spacing w:val="-3"/>
          <w:vertAlign w:val="superscript"/>
        </w:rPr>
        <w:footnoteReference w:id="160"/>
      </w:r>
      <w:r w:rsidRPr="00BD1319">
        <w:rPr>
          <w:spacing w:val="-3"/>
        </w:rPr>
        <w:t xml:space="preserve">, divergencias frente a </w:t>
      </w:r>
      <w:r w:rsidR="00BB3021" w:rsidRPr="00BD1319">
        <w:rPr>
          <w:spacing w:val="-3"/>
        </w:rPr>
        <w:t xml:space="preserve">al </w:t>
      </w:r>
      <w:r w:rsidRPr="00BD1319">
        <w:rPr>
          <w:spacing w:val="-3"/>
        </w:rPr>
        <w:t>acceso y distribución</w:t>
      </w:r>
      <w:r w:rsidR="00BB3021" w:rsidRPr="00BD1319">
        <w:rPr>
          <w:spacing w:val="-3"/>
        </w:rPr>
        <w:t xml:space="preserve"> de beneficios de los ecosistemas</w:t>
      </w:r>
      <w:r w:rsidRPr="00BD1319">
        <w:rPr>
          <w:spacing w:val="-3"/>
        </w:rPr>
        <w:t xml:space="preserve">, entre otros. También </w:t>
      </w:r>
      <w:r w:rsidR="008D5057" w:rsidRPr="00BD1319">
        <w:rPr>
          <w:spacing w:val="-3"/>
        </w:rPr>
        <w:t xml:space="preserve">se refiere a </w:t>
      </w:r>
      <w:r w:rsidRPr="00BD1319">
        <w:rPr>
          <w:spacing w:val="-3"/>
        </w:rPr>
        <w:t>causas subyacentes derivadas</w:t>
      </w:r>
      <w:r w:rsidR="00B85AAB" w:rsidRPr="00BD1319">
        <w:rPr>
          <w:spacing w:val="-3"/>
        </w:rPr>
        <w:t>,</w:t>
      </w:r>
      <w:r w:rsidRPr="00BD1319">
        <w:rPr>
          <w:spacing w:val="-3"/>
        </w:rPr>
        <w:t xml:space="preserve"> por ejemplo</w:t>
      </w:r>
      <w:r w:rsidR="008D5057" w:rsidRPr="00BD1319">
        <w:rPr>
          <w:spacing w:val="-3"/>
        </w:rPr>
        <w:t>,</w:t>
      </w:r>
      <w:r w:rsidRPr="00BD1319">
        <w:rPr>
          <w:spacing w:val="-3"/>
        </w:rPr>
        <w:t xml:space="preserve"> de </w:t>
      </w:r>
      <w:proofErr w:type="spellStart"/>
      <w:r w:rsidRPr="00BD1319">
        <w:rPr>
          <w:spacing w:val="-3"/>
        </w:rPr>
        <w:t>macroconflictos</w:t>
      </w:r>
      <w:proofErr w:type="spellEnd"/>
      <w:r w:rsidRPr="00BD1319">
        <w:rPr>
          <w:spacing w:val="-3"/>
          <w:vertAlign w:val="superscript"/>
        </w:rPr>
        <w:footnoteReference w:id="161"/>
      </w:r>
      <w:r w:rsidRPr="00BD1319">
        <w:rPr>
          <w:spacing w:val="-3"/>
        </w:rPr>
        <w:t xml:space="preserve"> o toma de decisiones sobre la planificación del territorio.</w:t>
      </w:r>
    </w:p>
    <w:p w14:paraId="332CE6F6" w14:textId="77777777" w:rsidR="00463D5F" w:rsidRPr="00BD1319" w:rsidRDefault="00463D5F" w:rsidP="000D6E21">
      <w:pPr>
        <w:tabs>
          <w:tab w:val="left" w:pos="-2268"/>
        </w:tabs>
        <w:suppressAutoHyphens/>
        <w:rPr>
          <w:spacing w:val="-3"/>
        </w:rPr>
      </w:pPr>
    </w:p>
    <w:p w14:paraId="45DBCF8D" w14:textId="656EF3F1" w:rsidR="003C4A56" w:rsidRPr="00BD1319" w:rsidRDefault="003C4A56">
      <w:pPr>
        <w:numPr>
          <w:ilvl w:val="0"/>
          <w:numId w:val="394"/>
        </w:numPr>
        <w:tabs>
          <w:tab w:val="left" w:pos="-2268"/>
        </w:tabs>
        <w:suppressAutoHyphens/>
        <w:ind w:left="567" w:hanging="567"/>
        <w:rPr>
          <w:spacing w:val="-3"/>
        </w:rPr>
      </w:pPr>
      <w:r w:rsidRPr="00BD1319">
        <w:rPr>
          <w:spacing w:val="-3"/>
        </w:rPr>
        <w:t xml:space="preserve">Tendencia del conflicto. </w:t>
      </w:r>
      <w:r w:rsidR="00EE5EF6" w:rsidRPr="00BD1319">
        <w:rPr>
          <w:spacing w:val="-3"/>
        </w:rPr>
        <w:t>S</w:t>
      </w:r>
      <w:r w:rsidRPr="00BD1319">
        <w:rPr>
          <w:spacing w:val="-3"/>
        </w:rPr>
        <w:t>e</w:t>
      </w:r>
      <w:r w:rsidR="007960BC" w:rsidRPr="00BD1319">
        <w:rPr>
          <w:spacing w:val="-3"/>
        </w:rPr>
        <w:t xml:space="preserve"> debe</w:t>
      </w:r>
      <w:r w:rsidRPr="00BD1319">
        <w:rPr>
          <w:spacing w:val="-3"/>
        </w:rPr>
        <w:t xml:space="preserve"> determinar si </w:t>
      </w:r>
      <w:r w:rsidR="00EE5EF6" w:rsidRPr="00BD1319">
        <w:rPr>
          <w:spacing w:val="-3"/>
        </w:rPr>
        <w:t xml:space="preserve">el conflicto </w:t>
      </w:r>
      <w:r w:rsidRPr="00BD1319">
        <w:rPr>
          <w:spacing w:val="-3"/>
        </w:rPr>
        <w:t>se mantiene activo o si permanece latente</w:t>
      </w:r>
      <w:r w:rsidR="00EE5EF6" w:rsidRPr="00BD1319">
        <w:rPr>
          <w:spacing w:val="-3"/>
        </w:rPr>
        <w:t xml:space="preserve"> considerando su contexto</w:t>
      </w:r>
      <w:r w:rsidRPr="00BD1319">
        <w:rPr>
          <w:spacing w:val="-3"/>
        </w:rPr>
        <w:t>.</w:t>
      </w:r>
    </w:p>
    <w:p w14:paraId="39286B15" w14:textId="7CF98670" w:rsidR="00463D5F" w:rsidRPr="00BD1319" w:rsidRDefault="00463D5F" w:rsidP="00463D5F">
      <w:pPr>
        <w:numPr>
          <w:ilvl w:val="12"/>
          <w:numId w:val="0"/>
        </w:numPr>
        <w:tabs>
          <w:tab w:val="left" w:pos="-2268"/>
        </w:tabs>
        <w:suppressAutoHyphens/>
        <w:rPr>
          <w:spacing w:val="-3"/>
        </w:rPr>
      </w:pPr>
    </w:p>
    <w:p w14:paraId="5EA0D480" w14:textId="42D7F670" w:rsidR="00463D5F" w:rsidRPr="00BD1319" w:rsidRDefault="008716D6" w:rsidP="00463D5F">
      <w:pPr>
        <w:numPr>
          <w:ilvl w:val="12"/>
          <w:numId w:val="0"/>
        </w:numPr>
        <w:tabs>
          <w:tab w:val="left" w:pos="-2268"/>
        </w:tabs>
        <w:suppressAutoHyphens/>
        <w:rPr>
          <w:spacing w:val="-3"/>
          <w:lang w:val="es-ES"/>
        </w:rPr>
      </w:pPr>
      <w:r w:rsidRPr="00BD1319">
        <w:rPr>
          <w:spacing w:val="-3"/>
          <w:lang w:val="es-ES"/>
        </w:rPr>
        <w:t xml:space="preserve">Se debe determinar mediante la consulta a fuentes y entidades competentes, </w:t>
      </w:r>
      <w:r w:rsidR="00A9558B" w:rsidRPr="00BD1319">
        <w:rPr>
          <w:spacing w:val="-3"/>
          <w:lang w:val="es-ES"/>
        </w:rPr>
        <w:t xml:space="preserve">la ocurrencia de </w:t>
      </w:r>
      <w:r w:rsidR="00463D5F" w:rsidRPr="00BD1319">
        <w:rPr>
          <w:spacing w:val="-3"/>
          <w:lang w:val="es-ES"/>
        </w:rPr>
        <w:t>diferentes formas de violencia</w:t>
      </w:r>
      <w:r w:rsidR="004C1C9D" w:rsidRPr="00BD1319">
        <w:rPr>
          <w:spacing w:val="-3"/>
          <w:lang w:val="es-ES"/>
        </w:rPr>
        <w:t xml:space="preserve"> </w:t>
      </w:r>
      <w:r w:rsidRPr="00BD1319">
        <w:rPr>
          <w:spacing w:val="-3"/>
          <w:lang w:val="es-ES"/>
        </w:rPr>
        <w:t xml:space="preserve">contra </w:t>
      </w:r>
      <w:r w:rsidR="00463D5F" w:rsidRPr="00BD1319">
        <w:rPr>
          <w:spacing w:val="-3"/>
          <w:lang w:val="es-ES"/>
        </w:rPr>
        <w:t xml:space="preserve">la </w:t>
      </w:r>
      <w:r w:rsidR="00161B35" w:rsidRPr="00BD1319">
        <w:rPr>
          <w:spacing w:val="-3"/>
          <w:lang w:val="es-ES"/>
        </w:rPr>
        <w:t xml:space="preserve">vida y la </w:t>
      </w:r>
      <w:r w:rsidR="00463D5F" w:rsidRPr="00BD1319">
        <w:rPr>
          <w:spacing w:val="-3"/>
          <w:lang w:val="es-ES"/>
        </w:rPr>
        <w:t xml:space="preserve">integridad </w:t>
      </w:r>
      <w:r w:rsidR="00161B35" w:rsidRPr="00BD1319">
        <w:rPr>
          <w:spacing w:val="-3"/>
          <w:lang w:val="es-ES"/>
        </w:rPr>
        <w:t xml:space="preserve">de las </w:t>
      </w:r>
      <w:r w:rsidR="00463D5F" w:rsidRPr="00BD1319">
        <w:rPr>
          <w:spacing w:val="-3"/>
          <w:lang w:val="es-ES"/>
        </w:rPr>
        <w:t>persona</w:t>
      </w:r>
      <w:r w:rsidR="00161B35" w:rsidRPr="00BD1319">
        <w:rPr>
          <w:spacing w:val="-3"/>
          <w:lang w:val="es-ES"/>
        </w:rPr>
        <w:t>s</w:t>
      </w:r>
      <w:r w:rsidR="00463D5F" w:rsidRPr="00BD1319">
        <w:rPr>
          <w:spacing w:val="-3"/>
          <w:lang w:val="es-ES"/>
        </w:rPr>
        <w:t xml:space="preserve"> de los grupos de interés</w:t>
      </w:r>
      <w:r w:rsidR="000500B3" w:rsidRPr="00BD1319">
        <w:rPr>
          <w:spacing w:val="-3"/>
          <w:lang w:val="es-ES"/>
        </w:rPr>
        <w:t xml:space="preserve"> que pueden ser exacerbadas por el proyecto, obra o actividad, incluso, las que son generadas por actores armados</w:t>
      </w:r>
      <w:r w:rsidR="00A9558B" w:rsidRPr="00BD1319">
        <w:rPr>
          <w:spacing w:val="-3"/>
          <w:lang w:val="es-ES"/>
        </w:rPr>
        <w:t>.</w:t>
      </w:r>
    </w:p>
    <w:p w14:paraId="1FF229BC" w14:textId="77777777" w:rsidR="00DD6AD5" w:rsidRPr="00BD1319" w:rsidRDefault="00DD6AD5" w:rsidP="00463D5F">
      <w:pPr>
        <w:numPr>
          <w:ilvl w:val="12"/>
          <w:numId w:val="0"/>
        </w:numPr>
        <w:tabs>
          <w:tab w:val="left" w:pos="-2268"/>
        </w:tabs>
        <w:suppressAutoHyphens/>
        <w:rPr>
          <w:spacing w:val="-3"/>
          <w:lang w:val="es-ES"/>
        </w:rPr>
      </w:pPr>
    </w:p>
    <w:p w14:paraId="7E84B199" w14:textId="393403ED" w:rsidR="00DD6AD5" w:rsidRPr="00BD1319" w:rsidRDefault="00DD6AD5" w:rsidP="000D6E21">
      <w:pPr>
        <w:tabs>
          <w:tab w:val="left" w:pos="-2268"/>
        </w:tabs>
        <w:suppressAutoHyphens/>
        <w:rPr>
          <w:spacing w:val="-3"/>
        </w:rPr>
      </w:pPr>
      <w:r w:rsidRPr="00BD1319">
        <w:rPr>
          <w:spacing w:val="-3"/>
        </w:rPr>
        <w:t xml:space="preserve">Asimismo, se deben determinar las barreras que enfrentan los líderes comunitarios o personas para comunicar sus inquietudes y aportes </w:t>
      </w:r>
      <w:r w:rsidR="00022E50" w:rsidRPr="00BD1319">
        <w:rPr>
          <w:spacing w:val="-3"/>
        </w:rPr>
        <w:t>de información</w:t>
      </w:r>
      <w:r w:rsidRPr="00BD1319">
        <w:rPr>
          <w:spacing w:val="-3"/>
        </w:rPr>
        <w:t xml:space="preserve">, en especial los </w:t>
      </w:r>
      <w:r w:rsidR="00022E50" w:rsidRPr="00BD1319">
        <w:rPr>
          <w:spacing w:val="-3"/>
        </w:rPr>
        <w:t xml:space="preserve">asociados a los </w:t>
      </w:r>
      <w:r w:rsidRPr="00BD1319">
        <w:rPr>
          <w:spacing w:val="-3"/>
        </w:rPr>
        <w:t xml:space="preserve">conflictos </w:t>
      </w:r>
      <w:r w:rsidR="00022E50" w:rsidRPr="00BD1319">
        <w:rPr>
          <w:spacing w:val="-3"/>
        </w:rPr>
        <w:t xml:space="preserve">socioambientales </w:t>
      </w:r>
      <w:r w:rsidRPr="00BD1319">
        <w:rPr>
          <w:spacing w:val="-3"/>
        </w:rPr>
        <w:t>existentes</w:t>
      </w:r>
      <w:r w:rsidR="005B321D" w:rsidRPr="00BD1319">
        <w:rPr>
          <w:spacing w:val="-3"/>
        </w:rPr>
        <w:t>.</w:t>
      </w:r>
      <w:r w:rsidR="00022E50" w:rsidRPr="00BD1319">
        <w:rPr>
          <w:spacing w:val="-3"/>
        </w:rPr>
        <w:t xml:space="preserve"> </w:t>
      </w:r>
      <w:r w:rsidR="005B321D" w:rsidRPr="00BD1319">
        <w:rPr>
          <w:spacing w:val="-3"/>
        </w:rPr>
        <w:t>I</w:t>
      </w:r>
      <w:r w:rsidR="00022E50" w:rsidRPr="00BD1319">
        <w:rPr>
          <w:spacing w:val="-3"/>
        </w:rPr>
        <w:t>gualmente</w:t>
      </w:r>
      <w:r w:rsidRPr="00BD1319">
        <w:rPr>
          <w:spacing w:val="-3"/>
        </w:rPr>
        <w:t xml:space="preserve">, </w:t>
      </w:r>
      <w:r w:rsidR="00022E50" w:rsidRPr="00BD1319">
        <w:rPr>
          <w:spacing w:val="-3"/>
        </w:rPr>
        <w:t xml:space="preserve">se deben determinar los </w:t>
      </w:r>
      <w:r w:rsidRPr="00BD1319">
        <w:rPr>
          <w:spacing w:val="-3"/>
        </w:rPr>
        <w:t xml:space="preserve">riesgos </w:t>
      </w:r>
      <w:r w:rsidR="00022E50" w:rsidRPr="00BD1319">
        <w:rPr>
          <w:spacing w:val="-3"/>
        </w:rPr>
        <w:t xml:space="preserve">que corren estas personas </w:t>
      </w:r>
      <w:r w:rsidRPr="00BD1319">
        <w:rPr>
          <w:spacing w:val="-3"/>
        </w:rPr>
        <w:t xml:space="preserve">con el sólo hecho de </w:t>
      </w:r>
      <w:r w:rsidR="00B359C3" w:rsidRPr="00BD1319">
        <w:rPr>
          <w:spacing w:val="-3"/>
        </w:rPr>
        <w:t xml:space="preserve">que en sus comunidades las identifiquen </w:t>
      </w:r>
      <w:r w:rsidRPr="00BD1319">
        <w:rPr>
          <w:spacing w:val="-3"/>
        </w:rPr>
        <w:t xml:space="preserve">como líderes o </w:t>
      </w:r>
      <w:r w:rsidR="00B359C3" w:rsidRPr="00BD1319">
        <w:rPr>
          <w:spacing w:val="-3"/>
        </w:rPr>
        <w:t xml:space="preserve">de manifestar su </w:t>
      </w:r>
      <w:r w:rsidRPr="00BD1319">
        <w:rPr>
          <w:spacing w:val="-3"/>
        </w:rPr>
        <w:t>inter</w:t>
      </w:r>
      <w:r w:rsidR="00B359C3" w:rsidRPr="00BD1319">
        <w:rPr>
          <w:spacing w:val="-3"/>
        </w:rPr>
        <w:t xml:space="preserve">és </w:t>
      </w:r>
      <w:r w:rsidRPr="00BD1319">
        <w:rPr>
          <w:spacing w:val="-3"/>
        </w:rPr>
        <w:t xml:space="preserve">en el proceso </w:t>
      </w:r>
      <w:r w:rsidR="00022E50" w:rsidRPr="00BD1319">
        <w:rPr>
          <w:spacing w:val="-3"/>
        </w:rPr>
        <w:t>de formulación del estudio ambiental</w:t>
      </w:r>
      <w:r w:rsidR="00B359C3" w:rsidRPr="00BD1319">
        <w:rPr>
          <w:spacing w:val="-3"/>
        </w:rPr>
        <w:t xml:space="preserve"> realizando consultas o aportando información</w:t>
      </w:r>
      <w:r w:rsidR="005B321D" w:rsidRPr="00BD1319">
        <w:rPr>
          <w:spacing w:val="-3"/>
        </w:rPr>
        <w:t xml:space="preserve">; empleando este análisis de riesgos, se debe formular un protocolo de </w:t>
      </w:r>
      <w:r w:rsidRPr="00BD1319">
        <w:rPr>
          <w:spacing w:val="-3"/>
        </w:rPr>
        <w:t xml:space="preserve">seguridad </w:t>
      </w:r>
      <w:r w:rsidR="005B321D" w:rsidRPr="00BD1319">
        <w:rPr>
          <w:spacing w:val="-3"/>
        </w:rPr>
        <w:t xml:space="preserve">para evitar la vulneración de los derechos de </w:t>
      </w:r>
      <w:r w:rsidR="00D829A3" w:rsidRPr="00BD1319">
        <w:rPr>
          <w:spacing w:val="-3"/>
        </w:rPr>
        <w:t xml:space="preserve">líderes y </w:t>
      </w:r>
      <w:r w:rsidR="005B321D" w:rsidRPr="00BD1319">
        <w:rPr>
          <w:spacing w:val="-3"/>
        </w:rPr>
        <w:t>personas</w:t>
      </w:r>
      <w:r w:rsidRPr="00BD1319">
        <w:rPr>
          <w:spacing w:val="-3"/>
        </w:rPr>
        <w:t>.</w:t>
      </w:r>
    </w:p>
    <w:p w14:paraId="260A3897" w14:textId="77777777" w:rsidR="00161B35" w:rsidRPr="00BD1319" w:rsidRDefault="00161B35" w:rsidP="00B53A37">
      <w:pPr>
        <w:numPr>
          <w:ilvl w:val="12"/>
          <w:numId w:val="0"/>
        </w:numPr>
        <w:tabs>
          <w:tab w:val="left" w:pos="-2268"/>
        </w:tabs>
        <w:suppressAutoHyphens/>
        <w:rPr>
          <w:spacing w:val="-3"/>
        </w:rPr>
      </w:pPr>
    </w:p>
    <w:p w14:paraId="2942A77E" w14:textId="49136676" w:rsidR="00482A5F" w:rsidRPr="00BD1319" w:rsidRDefault="00482A5F" w:rsidP="002F5664">
      <w:pPr>
        <w:pStyle w:val="Ttulo4"/>
        <w:tabs>
          <w:tab w:val="clear" w:pos="1844"/>
          <w:tab w:val="num" w:pos="1134"/>
        </w:tabs>
        <w:ind w:left="0"/>
        <w:rPr>
          <w:lang w:val="es-CO"/>
        </w:rPr>
      </w:pPr>
      <w:bookmarkStart w:id="2969" w:name="_Ref78536093"/>
      <w:bookmarkStart w:id="2970" w:name="_Toc42764357"/>
      <w:bookmarkStart w:id="2971" w:name="_Toc393967336"/>
      <w:bookmarkStart w:id="2972" w:name="_Toc405366852"/>
      <w:bookmarkStart w:id="2973" w:name="_Toc405372399"/>
      <w:bookmarkStart w:id="2974" w:name="_Toc412803198"/>
      <w:bookmarkStart w:id="2975" w:name="_Toc414285595"/>
      <w:bookmarkStart w:id="2976" w:name="_Toc437936038"/>
      <w:r w:rsidRPr="00BD1319">
        <w:rPr>
          <w:lang w:val="es-CO"/>
        </w:rPr>
        <w:t xml:space="preserve">Información sobre </w:t>
      </w:r>
      <w:r w:rsidR="0008131F" w:rsidRPr="00BD1319">
        <w:rPr>
          <w:lang w:val="es-CO"/>
        </w:rPr>
        <w:t xml:space="preserve">reasentamiento involuntario de </w:t>
      </w:r>
      <w:r w:rsidRPr="00BD1319">
        <w:rPr>
          <w:lang w:val="es-CO"/>
        </w:rPr>
        <w:t>población</w:t>
      </w:r>
      <w:bookmarkEnd w:id="2969"/>
      <w:bookmarkEnd w:id="2970"/>
      <w:bookmarkEnd w:id="2971"/>
      <w:bookmarkEnd w:id="2972"/>
      <w:bookmarkEnd w:id="2973"/>
    </w:p>
    <w:p w14:paraId="7D2059F2" w14:textId="77777777" w:rsidR="00482A5F" w:rsidRPr="00BD1319" w:rsidRDefault="00482A5F" w:rsidP="00482A5F">
      <w:pPr>
        <w:numPr>
          <w:ilvl w:val="12"/>
          <w:numId w:val="0"/>
        </w:numPr>
        <w:tabs>
          <w:tab w:val="left" w:pos="-2268"/>
        </w:tabs>
        <w:suppressAutoHyphens/>
        <w:rPr>
          <w:rFonts w:cs="Arial"/>
          <w:spacing w:val="-3"/>
        </w:rPr>
      </w:pPr>
    </w:p>
    <w:p w14:paraId="6CA9FF39" w14:textId="084E9656" w:rsidR="004B466F" w:rsidRPr="00BD1319" w:rsidRDefault="004B466F" w:rsidP="004B466F">
      <w:pPr>
        <w:rPr>
          <w:rFonts w:cs="Arial"/>
          <w:spacing w:val="-3"/>
        </w:rPr>
      </w:pPr>
      <w:r w:rsidRPr="00BD1319">
        <w:t xml:space="preserve">Si </w:t>
      </w:r>
      <w:r w:rsidRPr="00BD1319">
        <w:rPr>
          <w:rFonts w:cs="Arial"/>
        </w:rPr>
        <w:t>como consecuencia</w:t>
      </w:r>
      <w:r w:rsidRPr="00BD1319">
        <w:t xml:space="preserve"> del </w:t>
      </w:r>
      <w:r w:rsidRPr="00BD1319">
        <w:rPr>
          <w:rFonts w:cs="Arial"/>
        </w:rPr>
        <w:t xml:space="preserve">desarrollo del </w:t>
      </w:r>
      <w:r w:rsidRPr="00BD1319">
        <w:t>proyecto, obra o actividad</w:t>
      </w:r>
      <w:r w:rsidRPr="00BD1319">
        <w:rPr>
          <w:rFonts w:cs="Arial"/>
        </w:rPr>
        <w:t xml:space="preserve"> se </w:t>
      </w:r>
      <w:r w:rsidRPr="00BD1319">
        <w:rPr>
          <w:rFonts w:cs="Arial"/>
          <w:spacing w:val="-3"/>
        </w:rPr>
        <w:t>requieren</w:t>
      </w:r>
      <w:r w:rsidRPr="00BD1319">
        <w:rPr>
          <w:rFonts w:cs="Arial"/>
        </w:rPr>
        <w:t xml:space="preserve"> procesos de reasentamiento involuntario de población</w:t>
      </w:r>
      <w:r w:rsidR="00A02529" w:rsidRPr="00BD1319">
        <w:rPr>
          <w:rStyle w:val="Refdenotaalpie"/>
          <w:rFonts w:cs="Arial"/>
          <w:lang w:val="es-CO"/>
        </w:rPr>
        <w:footnoteReference w:id="162"/>
      </w:r>
      <w:r w:rsidRPr="00BD1319">
        <w:rPr>
          <w:rFonts w:cs="Arial"/>
        </w:rPr>
        <w:t>, la caracterización de la población objeto de reasentamiento</w:t>
      </w:r>
      <w:r w:rsidRPr="00BD1319">
        <w:t xml:space="preserve"> </w:t>
      </w:r>
      <w:r w:rsidRPr="00BD1319">
        <w:rPr>
          <w:rFonts w:cs="Arial"/>
          <w:spacing w:val="-3"/>
        </w:rPr>
        <w:t xml:space="preserve">o </w:t>
      </w:r>
      <w:r w:rsidR="008D6E95" w:rsidRPr="00BD1319">
        <w:rPr>
          <w:rFonts w:cs="Arial"/>
          <w:spacing w:val="-3"/>
        </w:rPr>
        <w:t xml:space="preserve">reubicación </w:t>
      </w:r>
      <w:r w:rsidRPr="00BD1319">
        <w:rPr>
          <w:rFonts w:cs="Arial"/>
          <w:spacing w:val="-3"/>
        </w:rPr>
        <w:t>debe realizarse in situ</w:t>
      </w:r>
      <w:r w:rsidRPr="00BD1319">
        <w:t xml:space="preserve"> mediante un </w:t>
      </w:r>
      <w:r w:rsidRPr="00BD1319">
        <w:rPr>
          <w:rFonts w:cs="Arial"/>
        </w:rPr>
        <w:t xml:space="preserve">censo o registro, </w:t>
      </w:r>
      <w:r w:rsidRPr="00BD1319">
        <w:rPr>
          <w:rFonts w:cs="Arial"/>
          <w:spacing w:val="-3"/>
        </w:rPr>
        <w:t>así como mediante estudios de caracterización complementarios, que permitan</w:t>
      </w:r>
      <w:r w:rsidR="00257555" w:rsidRPr="00BD1319">
        <w:rPr>
          <w:rFonts w:cs="Arial"/>
          <w:spacing w:val="-3"/>
        </w:rPr>
        <w:t xml:space="preserve"> determinar y conocer</w:t>
      </w:r>
      <w:r w:rsidR="00FF7157" w:rsidRPr="00BD1319">
        <w:rPr>
          <w:rFonts w:cs="Arial"/>
          <w:spacing w:val="-3"/>
        </w:rPr>
        <w:t xml:space="preserve"> lo siguiente</w:t>
      </w:r>
      <w:r w:rsidRPr="00BD1319">
        <w:rPr>
          <w:rFonts w:cs="Arial"/>
          <w:spacing w:val="-3"/>
        </w:rPr>
        <w:t>:</w:t>
      </w:r>
    </w:p>
    <w:p w14:paraId="558A4827" w14:textId="77777777" w:rsidR="004B466F" w:rsidRPr="00BD1319" w:rsidRDefault="004B466F" w:rsidP="009420F5">
      <w:pPr>
        <w:tabs>
          <w:tab w:val="left" w:pos="-2268"/>
        </w:tabs>
        <w:suppressAutoHyphens/>
        <w:contextualSpacing/>
        <w:rPr>
          <w:rFonts w:eastAsiaTheme="minorHAnsi" w:cs="Arial"/>
          <w:spacing w:val="-3"/>
        </w:rPr>
      </w:pPr>
    </w:p>
    <w:p w14:paraId="34FEF5E2" w14:textId="49EA1012" w:rsidR="004B466F" w:rsidRPr="00BD1319" w:rsidRDefault="00257555" w:rsidP="004B466F">
      <w:pPr>
        <w:pStyle w:val="Prrafodelista"/>
        <w:numPr>
          <w:ilvl w:val="0"/>
          <w:numId w:val="401"/>
        </w:numPr>
        <w:tabs>
          <w:tab w:val="left" w:pos="-2268"/>
        </w:tabs>
        <w:suppressAutoHyphens/>
        <w:ind w:left="567" w:hanging="567"/>
        <w:contextualSpacing/>
        <w:rPr>
          <w:rFonts w:eastAsiaTheme="minorHAnsi" w:cs="Arial"/>
          <w:spacing w:val="-3"/>
          <w:lang w:val="es-CO"/>
        </w:rPr>
      </w:pPr>
      <w:r w:rsidRPr="00BD1319">
        <w:rPr>
          <w:rFonts w:eastAsiaTheme="minorHAnsi" w:cs="Arial"/>
          <w:spacing w:val="-3"/>
          <w:lang w:val="es-CO"/>
        </w:rPr>
        <w:t>L</w:t>
      </w:r>
      <w:r w:rsidR="004B466F" w:rsidRPr="00BD1319">
        <w:rPr>
          <w:rFonts w:eastAsiaTheme="minorHAnsi" w:cs="Arial"/>
          <w:spacing w:val="-3"/>
          <w:lang w:val="es-CO"/>
        </w:rPr>
        <w:t>ocalización (georreferenciación) de los predios que serán afectados por el reasentamiento y las áreas susceptibles de afectación.</w:t>
      </w:r>
    </w:p>
    <w:p w14:paraId="78F9B4D1" w14:textId="77777777" w:rsidR="00707980" w:rsidRPr="00BD1319" w:rsidRDefault="00707980" w:rsidP="000D6E21">
      <w:pPr>
        <w:tabs>
          <w:tab w:val="left" w:pos="-2268"/>
        </w:tabs>
        <w:suppressAutoHyphens/>
        <w:contextualSpacing/>
        <w:rPr>
          <w:rFonts w:eastAsiaTheme="minorHAnsi" w:cs="Arial"/>
          <w:spacing w:val="-3"/>
        </w:rPr>
      </w:pPr>
    </w:p>
    <w:p w14:paraId="0CDFE0B0" w14:textId="46AEBC8C" w:rsidR="00707980" w:rsidRPr="00BD1319" w:rsidRDefault="00FF7157" w:rsidP="004B466F">
      <w:pPr>
        <w:pStyle w:val="Prrafodelista"/>
        <w:numPr>
          <w:ilvl w:val="0"/>
          <w:numId w:val="401"/>
        </w:numPr>
        <w:tabs>
          <w:tab w:val="left" w:pos="-2268"/>
        </w:tabs>
        <w:suppressAutoHyphens/>
        <w:ind w:left="567" w:hanging="567"/>
        <w:contextualSpacing/>
        <w:rPr>
          <w:rFonts w:eastAsiaTheme="minorHAnsi" w:cs="Arial"/>
          <w:spacing w:val="-3"/>
          <w:lang w:val="es-CO"/>
        </w:rPr>
      </w:pPr>
      <w:r w:rsidRPr="00BD1319">
        <w:rPr>
          <w:rFonts w:eastAsiaTheme="minorHAnsi" w:cs="Arial"/>
          <w:spacing w:val="-3"/>
          <w:lang w:val="es-CO"/>
        </w:rPr>
        <w:t>C</w:t>
      </w:r>
      <w:r w:rsidR="00707980" w:rsidRPr="00BD1319">
        <w:rPr>
          <w:rFonts w:eastAsiaTheme="minorHAnsi" w:cs="Arial"/>
          <w:spacing w:val="-3"/>
          <w:lang w:val="es-CO"/>
        </w:rPr>
        <w:t>antidad de población objeto de reasentamiento involuntario en cada unidad de análisis territorial.</w:t>
      </w:r>
    </w:p>
    <w:p w14:paraId="342BA04A" w14:textId="77777777" w:rsidR="004B466F" w:rsidRPr="00BD1319" w:rsidRDefault="004B466F" w:rsidP="009420F5">
      <w:pPr>
        <w:rPr>
          <w:rFonts w:cs="Arial"/>
          <w:spacing w:val="-3"/>
        </w:rPr>
      </w:pPr>
    </w:p>
    <w:p w14:paraId="08B111C6" w14:textId="0F1BF6A0" w:rsidR="004B466F" w:rsidRPr="00BD1319" w:rsidRDefault="00FF7157" w:rsidP="004B466F">
      <w:pPr>
        <w:pStyle w:val="Prrafodelista"/>
        <w:numPr>
          <w:ilvl w:val="0"/>
          <w:numId w:val="401"/>
        </w:numPr>
        <w:tabs>
          <w:tab w:val="left" w:pos="-2268"/>
        </w:tabs>
        <w:suppressAutoHyphens/>
        <w:ind w:left="567" w:hanging="567"/>
        <w:contextualSpacing/>
        <w:rPr>
          <w:rFonts w:cs="Arial"/>
          <w:spacing w:val="-3"/>
          <w:lang w:val="es-CO"/>
        </w:rPr>
      </w:pPr>
      <w:bookmarkStart w:id="2977" w:name="_Hlk79262823"/>
      <w:r w:rsidRPr="00BD1319">
        <w:rPr>
          <w:rFonts w:eastAsiaTheme="minorHAnsi" w:cs="Arial"/>
          <w:spacing w:val="-3"/>
          <w:lang w:val="es-CO"/>
        </w:rPr>
        <w:t>C</w:t>
      </w:r>
      <w:r w:rsidR="004B466F" w:rsidRPr="00BD1319">
        <w:rPr>
          <w:rFonts w:eastAsiaTheme="minorHAnsi" w:cs="Arial"/>
          <w:spacing w:val="-3"/>
          <w:lang w:val="es-CO"/>
        </w:rPr>
        <w:t>aracterísticas de la población a reasentar o re</w:t>
      </w:r>
      <w:r w:rsidR="00707980" w:rsidRPr="00BD1319">
        <w:rPr>
          <w:rFonts w:eastAsiaTheme="minorHAnsi" w:cs="Arial"/>
          <w:spacing w:val="-3"/>
          <w:lang w:val="es-CO"/>
        </w:rPr>
        <w:t>ubicar</w:t>
      </w:r>
      <w:r w:rsidR="004B466F" w:rsidRPr="00BD1319">
        <w:rPr>
          <w:rFonts w:eastAsiaTheme="minorHAnsi" w:cs="Arial"/>
          <w:spacing w:val="-3"/>
          <w:lang w:val="es-CO"/>
        </w:rPr>
        <w:t xml:space="preserve"> a través de la recolección de información primaria (censos, registros, estudios de caracterización).</w:t>
      </w:r>
      <w:bookmarkEnd w:id="2977"/>
    </w:p>
    <w:p w14:paraId="0C039912" w14:textId="77777777" w:rsidR="004B466F" w:rsidRPr="00BD1319" w:rsidRDefault="004B466F" w:rsidP="009420F5">
      <w:pPr>
        <w:rPr>
          <w:rFonts w:cs="Arial"/>
          <w:spacing w:val="-3"/>
        </w:rPr>
      </w:pPr>
    </w:p>
    <w:p w14:paraId="01140D9A" w14:textId="291604A4" w:rsidR="004B466F" w:rsidRPr="00BD1319" w:rsidRDefault="00FF7157" w:rsidP="004B466F">
      <w:pPr>
        <w:pStyle w:val="Prrafodelista"/>
        <w:numPr>
          <w:ilvl w:val="0"/>
          <w:numId w:val="401"/>
        </w:numPr>
        <w:tabs>
          <w:tab w:val="left" w:pos="-2268"/>
        </w:tabs>
        <w:suppressAutoHyphens/>
        <w:ind w:left="567" w:hanging="567"/>
        <w:contextualSpacing/>
        <w:rPr>
          <w:rFonts w:cs="Arial"/>
          <w:spacing w:val="-3"/>
          <w:lang w:val="es-CO"/>
        </w:rPr>
      </w:pPr>
      <w:r w:rsidRPr="00BD1319">
        <w:rPr>
          <w:rFonts w:cs="Arial"/>
          <w:spacing w:val="-3"/>
          <w:lang w:val="es-CO"/>
        </w:rPr>
        <w:t>T</w:t>
      </w:r>
      <w:r w:rsidR="004B466F" w:rsidRPr="00BD1319">
        <w:rPr>
          <w:rFonts w:eastAsiaTheme="minorHAnsi" w:cs="Arial"/>
          <w:spacing w:val="-3"/>
          <w:lang w:val="es-CO" w:eastAsia="en-US"/>
        </w:rPr>
        <w:t>ipo</w:t>
      </w:r>
      <w:r w:rsidR="004B466F" w:rsidRPr="00BD1319">
        <w:rPr>
          <w:rFonts w:eastAsiaTheme="minorHAnsi"/>
          <w:spacing w:val="-3"/>
          <w:lang w:val="es-CO"/>
        </w:rPr>
        <w:t xml:space="preserve"> de unidades sociales (residente, productiva, mixta</w:t>
      </w:r>
      <w:r w:rsidR="004B466F" w:rsidRPr="00BD1319">
        <w:rPr>
          <w:rFonts w:eastAsiaTheme="minorHAnsi" w:cs="Arial"/>
          <w:spacing w:val="-3"/>
          <w:lang w:val="es-CO" w:eastAsia="en-US"/>
        </w:rPr>
        <w:t>) y número de hogares por cada unidad social</w:t>
      </w:r>
    </w:p>
    <w:p w14:paraId="795A7A0D" w14:textId="77777777" w:rsidR="004B466F" w:rsidRPr="00BD1319" w:rsidRDefault="004B466F" w:rsidP="009420F5">
      <w:pPr>
        <w:rPr>
          <w:rFonts w:cs="Arial"/>
          <w:spacing w:val="-3"/>
        </w:rPr>
      </w:pPr>
    </w:p>
    <w:p w14:paraId="1F092BE7" w14:textId="0138448D" w:rsidR="004B466F" w:rsidRPr="00BD1319" w:rsidRDefault="00FF7157" w:rsidP="004B466F">
      <w:pPr>
        <w:pStyle w:val="Prrafodelista"/>
        <w:numPr>
          <w:ilvl w:val="0"/>
          <w:numId w:val="401"/>
        </w:numPr>
        <w:tabs>
          <w:tab w:val="left" w:pos="-2268"/>
        </w:tabs>
        <w:suppressAutoHyphens/>
        <w:ind w:left="567" w:hanging="567"/>
        <w:contextualSpacing/>
        <w:rPr>
          <w:rFonts w:cs="Arial"/>
          <w:spacing w:val="-3"/>
          <w:lang w:val="es-CO"/>
        </w:rPr>
      </w:pPr>
      <w:r w:rsidRPr="00BD1319">
        <w:rPr>
          <w:rFonts w:cs="Arial"/>
          <w:spacing w:val="-3"/>
          <w:lang w:val="es-CO"/>
        </w:rPr>
        <w:t>C</w:t>
      </w:r>
      <w:r w:rsidR="004B466F" w:rsidRPr="00BD1319">
        <w:rPr>
          <w:rFonts w:cs="Arial"/>
          <w:spacing w:val="-3"/>
          <w:lang w:val="es-CO"/>
        </w:rPr>
        <w:t>aracterísticas físicas de las viviendas y acceso a servicios públicos de las unidades sociales.</w:t>
      </w:r>
    </w:p>
    <w:p w14:paraId="3DE6006E" w14:textId="77777777" w:rsidR="004B466F" w:rsidRPr="00BD1319" w:rsidRDefault="004B466F" w:rsidP="004B466F">
      <w:pPr>
        <w:numPr>
          <w:ilvl w:val="12"/>
          <w:numId w:val="0"/>
        </w:numPr>
        <w:tabs>
          <w:tab w:val="left" w:pos="-2268"/>
        </w:tabs>
        <w:suppressAutoHyphens/>
        <w:rPr>
          <w:rFonts w:cs="Arial"/>
          <w:spacing w:val="-3"/>
        </w:rPr>
      </w:pPr>
    </w:p>
    <w:p w14:paraId="3BAB48B0" w14:textId="396D3421" w:rsidR="004B466F" w:rsidRPr="00BD1319" w:rsidRDefault="00FF7157" w:rsidP="004B466F">
      <w:pPr>
        <w:pStyle w:val="Prrafodelista"/>
        <w:numPr>
          <w:ilvl w:val="0"/>
          <w:numId w:val="401"/>
        </w:numPr>
        <w:tabs>
          <w:tab w:val="left" w:pos="-2268"/>
        </w:tabs>
        <w:suppressAutoHyphens/>
        <w:ind w:left="567" w:hanging="567"/>
        <w:contextualSpacing/>
        <w:rPr>
          <w:rFonts w:cs="Arial"/>
          <w:spacing w:val="-3"/>
          <w:lang w:val="es-CO"/>
        </w:rPr>
      </w:pPr>
      <w:r w:rsidRPr="00BD1319">
        <w:rPr>
          <w:rFonts w:eastAsiaTheme="minorHAnsi" w:cs="Arial"/>
          <w:spacing w:val="-3"/>
          <w:lang w:val="es-CO" w:eastAsia="en-US"/>
        </w:rPr>
        <w:t>C</w:t>
      </w:r>
      <w:r w:rsidR="004B466F" w:rsidRPr="00BD1319">
        <w:rPr>
          <w:rFonts w:eastAsiaTheme="minorHAnsi" w:cs="Arial"/>
          <w:spacing w:val="-3"/>
          <w:lang w:val="es-CO" w:eastAsia="en-US"/>
        </w:rPr>
        <w:t>aracterísticas de los hogares de cada unidad social.</w:t>
      </w:r>
    </w:p>
    <w:p w14:paraId="351061C7" w14:textId="77777777" w:rsidR="004B466F" w:rsidRPr="00BD1319" w:rsidRDefault="004B466F" w:rsidP="004B466F">
      <w:pPr>
        <w:tabs>
          <w:tab w:val="left" w:pos="-2268"/>
        </w:tabs>
        <w:suppressAutoHyphens/>
        <w:contextualSpacing/>
        <w:rPr>
          <w:rFonts w:cs="Arial"/>
          <w:spacing w:val="-3"/>
        </w:rPr>
      </w:pPr>
    </w:p>
    <w:p w14:paraId="5083E0F7" w14:textId="163211D6" w:rsidR="004B466F" w:rsidRPr="00BD1319" w:rsidRDefault="00FF7157" w:rsidP="004B466F">
      <w:pPr>
        <w:pStyle w:val="Prrafodelista"/>
        <w:numPr>
          <w:ilvl w:val="0"/>
          <w:numId w:val="401"/>
        </w:numPr>
        <w:tabs>
          <w:tab w:val="left" w:pos="-2268"/>
        </w:tabs>
        <w:suppressAutoHyphens/>
        <w:ind w:left="567" w:hanging="567"/>
        <w:contextualSpacing/>
        <w:rPr>
          <w:rFonts w:cs="Arial"/>
          <w:spacing w:val="-3"/>
          <w:lang w:val="es-CO"/>
        </w:rPr>
      </w:pPr>
      <w:r w:rsidRPr="00BD1319">
        <w:rPr>
          <w:rFonts w:cs="Arial"/>
          <w:spacing w:val="-3"/>
          <w:lang w:val="es-CO"/>
        </w:rPr>
        <w:t>C</w:t>
      </w:r>
      <w:r w:rsidR="004B466F" w:rsidRPr="00BD1319">
        <w:rPr>
          <w:rFonts w:cs="Arial"/>
          <w:spacing w:val="-3"/>
          <w:lang w:val="es-CO"/>
        </w:rPr>
        <w:t>aracterísticas socioeconómicas de las personas susceptibles de reasentamiento.</w:t>
      </w:r>
    </w:p>
    <w:p w14:paraId="6E5A3D1E" w14:textId="77777777" w:rsidR="004B466F" w:rsidRPr="00BD1319" w:rsidRDefault="004B466F" w:rsidP="004B466F">
      <w:pPr>
        <w:tabs>
          <w:tab w:val="left" w:pos="-2268"/>
        </w:tabs>
        <w:suppressAutoHyphens/>
        <w:contextualSpacing/>
        <w:rPr>
          <w:spacing w:val="-3"/>
        </w:rPr>
      </w:pPr>
    </w:p>
    <w:p w14:paraId="16E79C7D" w14:textId="36CB8DF8" w:rsidR="004B466F" w:rsidRPr="00BD1319" w:rsidRDefault="00FF7157" w:rsidP="004B466F">
      <w:pPr>
        <w:pStyle w:val="Prrafodelista"/>
        <w:numPr>
          <w:ilvl w:val="0"/>
          <w:numId w:val="401"/>
        </w:numPr>
        <w:tabs>
          <w:tab w:val="left" w:pos="-2268"/>
        </w:tabs>
        <w:suppressAutoHyphens/>
        <w:ind w:left="567" w:hanging="567"/>
        <w:contextualSpacing/>
        <w:rPr>
          <w:spacing w:val="-3"/>
          <w:lang w:val="es-CO"/>
        </w:rPr>
      </w:pPr>
      <w:r w:rsidRPr="00BD1319">
        <w:rPr>
          <w:rFonts w:eastAsiaTheme="minorHAnsi"/>
          <w:spacing w:val="-3"/>
          <w:lang w:val="es-CO"/>
        </w:rPr>
        <w:t>P</w:t>
      </w:r>
      <w:r w:rsidR="004B466F" w:rsidRPr="00BD1319">
        <w:rPr>
          <w:rFonts w:eastAsiaTheme="minorHAnsi"/>
          <w:spacing w:val="-3"/>
          <w:lang w:val="es-CO"/>
        </w:rPr>
        <w:t>ermanencia o tiempo vivido en los predios y en el área</w:t>
      </w:r>
      <w:r w:rsidR="004B466F" w:rsidRPr="00BD1319">
        <w:rPr>
          <w:rFonts w:eastAsiaTheme="minorHAnsi" w:cs="Arial"/>
          <w:spacing w:val="-3"/>
          <w:lang w:val="es-CO" w:eastAsia="en-US"/>
        </w:rPr>
        <w:t>,</w:t>
      </w:r>
      <w:r w:rsidR="004B466F" w:rsidRPr="00BD1319">
        <w:rPr>
          <w:rFonts w:eastAsiaTheme="minorHAnsi"/>
          <w:spacing w:val="-3"/>
          <w:lang w:val="es-CO"/>
        </w:rPr>
        <w:t xml:space="preserve"> y situaciones anteriores de desplazamiento, de ser el caso.</w:t>
      </w:r>
    </w:p>
    <w:p w14:paraId="4E6B3329" w14:textId="77777777" w:rsidR="004B466F" w:rsidRPr="00BD1319" w:rsidRDefault="004B466F" w:rsidP="004B466F">
      <w:pPr>
        <w:tabs>
          <w:tab w:val="left" w:pos="-2268"/>
        </w:tabs>
        <w:suppressAutoHyphens/>
        <w:contextualSpacing/>
        <w:rPr>
          <w:spacing w:val="-3"/>
        </w:rPr>
      </w:pPr>
    </w:p>
    <w:p w14:paraId="01969E3D" w14:textId="655CF52A" w:rsidR="004B466F" w:rsidRPr="00BD1319" w:rsidRDefault="00FF7157" w:rsidP="004B466F">
      <w:pPr>
        <w:pStyle w:val="Prrafodelista"/>
        <w:numPr>
          <w:ilvl w:val="0"/>
          <w:numId w:val="401"/>
        </w:numPr>
        <w:tabs>
          <w:tab w:val="left" w:pos="-2268"/>
        </w:tabs>
        <w:suppressAutoHyphens/>
        <w:ind w:left="567" w:hanging="567"/>
        <w:contextualSpacing/>
        <w:rPr>
          <w:spacing w:val="-3"/>
          <w:lang w:val="es-CO"/>
        </w:rPr>
      </w:pPr>
      <w:r w:rsidRPr="00BD1319">
        <w:rPr>
          <w:rFonts w:eastAsiaTheme="minorHAnsi"/>
          <w:spacing w:val="-3"/>
          <w:lang w:val="es-CO"/>
        </w:rPr>
        <w:t>F</w:t>
      </w:r>
      <w:r w:rsidR="004B466F" w:rsidRPr="00BD1319">
        <w:rPr>
          <w:rFonts w:eastAsiaTheme="minorHAnsi"/>
          <w:spacing w:val="-3"/>
          <w:lang w:val="es-CO"/>
        </w:rPr>
        <w:t>orma de tenencia de los inmuebles</w:t>
      </w:r>
      <w:r w:rsidR="004B466F" w:rsidRPr="00BD1319">
        <w:rPr>
          <w:rFonts w:cs="Arial"/>
          <w:spacing w:val="-3"/>
          <w:lang w:val="es-CO"/>
        </w:rPr>
        <w:t>.</w:t>
      </w:r>
    </w:p>
    <w:p w14:paraId="0A4144AF" w14:textId="77777777" w:rsidR="004B466F" w:rsidRPr="00BD1319" w:rsidRDefault="004B466F" w:rsidP="004B466F">
      <w:pPr>
        <w:tabs>
          <w:tab w:val="left" w:pos="-2268"/>
        </w:tabs>
        <w:suppressAutoHyphens/>
        <w:contextualSpacing/>
        <w:rPr>
          <w:spacing w:val="-3"/>
        </w:rPr>
      </w:pPr>
    </w:p>
    <w:p w14:paraId="04F49BBC" w14:textId="4AFE77A4" w:rsidR="004B466F" w:rsidRPr="00BD1319" w:rsidRDefault="00FF7157" w:rsidP="004B466F">
      <w:pPr>
        <w:pStyle w:val="Prrafodelista"/>
        <w:numPr>
          <w:ilvl w:val="0"/>
          <w:numId w:val="401"/>
        </w:numPr>
        <w:tabs>
          <w:tab w:val="left" w:pos="-2268"/>
        </w:tabs>
        <w:suppressAutoHyphens/>
        <w:ind w:left="567" w:hanging="567"/>
        <w:contextualSpacing/>
        <w:rPr>
          <w:spacing w:val="-3"/>
          <w:lang w:val="es-CO"/>
        </w:rPr>
      </w:pPr>
      <w:r w:rsidRPr="00BD1319">
        <w:rPr>
          <w:spacing w:val="-3"/>
          <w:lang w:val="es-CO"/>
        </w:rPr>
        <w:t>E</w:t>
      </w:r>
      <w:r w:rsidR="004B466F" w:rsidRPr="00BD1319">
        <w:rPr>
          <w:spacing w:val="-3"/>
          <w:lang w:val="es-CO"/>
        </w:rPr>
        <w:t xml:space="preserve">xistencia de unidades sociales con factores de vulnerabilidad social, tales como discapacidad, enfermedades terminales, senectud </w:t>
      </w:r>
      <w:r w:rsidR="004B466F" w:rsidRPr="00BD1319">
        <w:rPr>
          <w:rFonts w:cs="Arial"/>
          <w:spacing w:val="-3"/>
          <w:lang w:val="es-CO"/>
        </w:rPr>
        <w:t xml:space="preserve">(vejez), necesidades básicas insatisfechas, </w:t>
      </w:r>
      <w:r w:rsidR="004B466F" w:rsidRPr="00BD1319">
        <w:rPr>
          <w:rFonts w:cs="Arial"/>
          <w:spacing w:val="-3"/>
          <w:lang w:val="es-CO" w:eastAsia="en-US"/>
        </w:rPr>
        <w:t>mujeres cabeza de hogar</w:t>
      </w:r>
      <w:r w:rsidR="004B466F" w:rsidRPr="00BD1319">
        <w:rPr>
          <w:spacing w:val="-3"/>
          <w:lang w:val="es-CO"/>
        </w:rPr>
        <w:t>.</w:t>
      </w:r>
    </w:p>
    <w:p w14:paraId="37073614" w14:textId="77777777" w:rsidR="004B466F" w:rsidRPr="00BD1319" w:rsidRDefault="004B466F" w:rsidP="004B466F">
      <w:pPr>
        <w:tabs>
          <w:tab w:val="left" w:pos="-2268"/>
        </w:tabs>
        <w:suppressAutoHyphens/>
        <w:contextualSpacing/>
        <w:rPr>
          <w:spacing w:val="-3"/>
        </w:rPr>
      </w:pPr>
    </w:p>
    <w:p w14:paraId="2AB276FE" w14:textId="0EFFBD3E" w:rsidR="004B466F" w:rsidRPr="00BD1319" w:rsidRDefault="00FF7157" w:rsidP="004B466F">
      <w:pPr>
        <w:pStyle w:val="Prrafodelista"/>
        <w:numPr>
          <w:ilvl w:val="0"/>
          <w:numId w:val="401"/>
        </w:numPr>
        <w:tabs>
          <w:tab w:val="left" w:pos="-2268"/>
        </w:tabs>
        <w:suppressAutoHyphens/>
        <w:ind w:left="567" w:hanging="567"/>
        <w:contextualSpacing/>
        <w:rPr>
          <w:spacing w:val="-3"/>
          <w:lang w:val="es-CO"/>
        </w:rPr>
      </w:pPr>
      <w:r w:rsidRPr="00BD1319">
        <w:rPr>
          <w:rFonts w:eastAsiaTheme="minorHAnsi"/>
          <w:spacing w:val="-3"/>
          <w:lang w:val="es-CO"/>
        </w:rPr>
        <w:lastRenderedPageBreak/>
        <w:t>A</w:t>
      </w:r>
      <w:r w:rsidR="004B466F" w:rsidRPr="00BD1319">
        <w:rPr>
          <w:rFonts w:eastAsiaTheme="minorHAnsi"/>
          <w:spacing w:val="-3"/>
          <w:lang w:val="es-CO"/>
        </w:rPr>
        <w:t>ctividades económicas</w:t>
      </w:r>
      <w:r w:rsidR="004B466F" w:rsidRPr="00BD1319">
        <w:rPr>
          <w:rFonts w:eastAsiaTheme="minorHAnsi" w:cs="Arial"/>
          <w:spacing w:val="-3"/>
          <w:lang w:val="es-CO" w:eastAsia="en-US"/>
        </w:rPr>
        <w:t xml:space="preserve"> (industria, comercio, servicios, agricultura, ganadería, renta, entre otras) de </w:t>
      </w:r>
      <w:r w:rsidR="004B466F" w:rsidRPr="00BD1319">
        <w:rPr>
          <w:rFonts w:eastAsiaTheme="minorHAnsi"/>
          <w:spacing w:val="-3"/>
          <w:lang w:val="es-CO"/>
        </w:rPr>
        <w:t xml:space="preserve">las </w:t>
      </w:r>
      <w:r w:rsidR="004B466F" w:rsidRPr="00BD1319">
        <w:rPr>
          <w:rFonts w:eastAsiaTheme="minorHAnsi" w:cs="Arial"/>
          <w:spacing w:val="-3"/>
          <w:lang w:val="es-CO" w:eastAsia="en-US"/>
        </w:rPr>
        <w:t xml:space="preserve">unidades sociales productivas o mixtas, realizando una descripción de </w:t>
      </w:r>
      <w:r w:rsidR="008740E1" w:rsidRPr="00BD1319">
        <w:rPr>
          <w:rFonts w:eastAsiaTheme="minorHAnsi" w:cs="Arial"/>
          <w:spacing w:val="-3"/>
          <w:lang w:val="es-CO" w:eastAsia="en-US"/>
        </w:rPr>
        <w:t>éstas</w:t>
      </w:r>
      <w:r w:rsidR="004B466F" w:rsidRPr="00BD1319">
        <w:rPr>
          <w:rFonts w:eastAsiaTheme="minorHAnsi" w:cs="Arial"/>
          <w:spacing w:val="-3"/>
          <w:lang w:val="es-CO" w:eastAsia="en-US"/>
        </w:rPr>
        <w:t>.</w:t>
      </w:r>
    </w:p>
    <w:p w14:paraId="1B8BC8B7" w14:textId="77777777" w:rsidR="004B466F" w:rsidRPr="00BD1319" w:rsidRDefault="004B466F" w:rsidP="004B466F">
      <w:pPr>
        <w:tabs>
          <w:tab w:val="left" w:pos="-2268"/>
        </w:tabs>
        <w:suppressAutoHyphens/>
        <w:contextualSpacing/>
        <w:rPr>
          <w:spacing w:val="-3"/>
        </w:rPr>
      </w:pPr>
    </w:p>
    <w:p w14:paraId="5C9FD12C" w14:textId="516DF601" w:rsidR="004B466F" w:rsidRPr="00BD1319" w:rsidRDefault="00FF7157" w:rsidP="004B466F">
      <w:pPr>
        <w:pStyle w:val="Prrafodelista"/>
        <w:numPr>
          <w:ilvl w:val="0"/>
          <w:numId w:val="401"/>
        </w:numPr>
        <w:tabs>
          <w:tab w:val="left" w:pos="-2268"/>
        </w:tabs>
        <w:suppressAutoHyphens/>
        <w:ind w:left="567" w:hanging="567"/>
        <w:contextualSpacing/>
        <w:rPr>
          <w:rFonts w:cs="Arial"/>
          <w:spacing w:val="-3"/>
          <w:lang w:val="es-CO"/>
        </w:rPr>
      </w:pPr>
      <w:r w:rsidRPr="00BD1319">
        <w:rPr>
          <w:rFonts w:eastAsiaTheme="minorHAnsi" w:cs="Arial"/>
          <w:spacing w:val="-3"/>
          <w:lang w:val="es-CO" w:eastAsia="en-US"/>
        </w:rPr>
        <w:t>A</w:t>
      </w:r>
      <w:r w:rsidR="004B466F" w:rsidRPr="00BD1319">
        <w:rPr>
          <w:rFonts w:eastAsiaTheme="minorHAnsi" w:cs="Arial"/>
          <w:spacing w:val="-3"/>
          <w:lang w:val="es-CO" w:eastAsia="en-US"/>
        </w:rPr>
        <w:t>ctividades económicas predominantes en el entorno e ingresos económicos promedio por unidad social.</w:t>
      </w:r>
    </w:p>
    <w:p w14:paraId="7A2863C4" w14:textId="77777777" w:rsidR="004B466F" w:rsidRPr="00BD1319" w:rsidRDefault="004B466F" w:rsidP="004B466F">
      <w:pPr>
        <w:tabs>
          <w:tab w:val="left" w:pos="-2268"/>
        </w:tabs>
        <w:suppressAutoHyphens/>
        <w:contextualSpacing/>
        <w:rPr>
          <w:rFonts w:cs="Arial"/>
          <w:spacing w:val="-3"/>
        </w:rPr>
      </w:pPr>
    </w:p>
    <w:p w14:paraId="700CE11F" w14:textId="37AD9523" w:rsidR="00FF7157" w:rsidRPr="00BD1319" w:rsidRDefault="00FF7157" w:rsidP="000D6E21">
      <w:pPr>
        <w:pStyle w:val="Prrafodelista"/>
        <w:numPr>
          <w:ilvl w:val="0"/>
          <w:numId w:val="401"/>
        </w:numPr>
        <w:tabs>
          <w:tab w:val="left" w:pos="-2268"/>
        </w:tabs>
        <w:suppressAutoHyphens/>
        <w:ind w:left="567" w:hanging="567"/>
        <w:contextualSpacing/>
        <w:rPr>
          <w:rFonts w:eastAsiaTheme="minorHAnsi" w:cs="Arial"/>
          <w:spacing w:val="-3"/>
          <w:lang w:val="es-CO" w:eastAsia="en-US"/>
        </w:rPr>
      </w:pPr>
      <w:r w:rsidRPr="00BD1319">
        <w:rPr>
          <w:rFonts w:eastAsiaTheme="minorHAnsi" w:cs="Arial"/>
          <w:spacing w:val="-3"/>
          <w:lang w:val="es-CO" w:eastAsia="en-US"/>
        </w:rPr>
        <w:t xml:space="preserve">Cantidad de animales domésticos que deben ser reubicados. </w:t>
      </w:r>
    </w:p>
    <w:p w14:paraId="3DA7AC85" w14:textId="77777777" w:rsidR="00FF7157" w:rsidRPr="00BD1319" w:rsidRDefault="00FF7157" w:rsidP="000D6E21">
      <w:pPr>
        <w:rPr>
          <w:rFonts w:eastAsiaTheme="minorHAnsi"/>
          <w:spacing w:val="-3"/>
        </w:rPr>
      </w:pPr>
    </w:p>
    <w:p w14:paraId="7A884DC9" w14:textId="04012B3B" w:rsidR="004B466F" w:rsidRPr="00BD1319" w:rsidRDefault="00FF7157" w:rsidP="004B466F">
      <w:pPr>
        <w:pStyle w:val="Prrafodelista"/>
        <w:numPr>
          <w:ilvl w:val="0"/>
          <w:numId w:val="401"/>
        </w:numPr>
        <w:tabs>
          <w:tab w:val="left" w:pos="-2268"/>
        </w:tabs>
        <w:suppressAutoHyphens/>
        <w:ind w:left="567" w:hanging="567"/>
        <w:contextualSpacing/>
        <w:rPr>
          <w:spacing w:val="-3"/>
          <w:lang w:val="es-CO"/>
        </w:rPr>
      </w:pPr>
      <w:r w:rsidRPr="00BD1319">
        <w:rPr>
          <w:rFonts w:eastAsiaTheme="minorHAnsi"/>
          <w:spacing w:val="-3"/>
          <w:lang w:val="es-CO"/>
        </w:rPr>
        <w:t>G</w:t>
      </w:r>
      <w:r w:rsidR="004B466F" w:rsidRPr="00BD1319">
        <w:rPr>
          <w:rFonts w:eastAsiaTheme="minorHAnsi"/>
          <w:spacing w:val="-3"/>
          <w:lang w:val="es-CO"/>
        </w:rPr>
        <w:t>rado de dependencia frente a los recursos naturales dispuestos en los predios o en la zona.</w:t>
      </w:r>
    </w:p>
    <w:p w14:paraId="5A1D1453" w14:textId="77777777" w:rsidR="004B466F" w:rsidRPr="00BD1319" w:rsidRDefault="004B466F" w:rsidP="004B466F">
      <w:pPr>
        <w:tabs>
          <w:tab w:val="left" w:pos="-2268"/>
        </w:tabs>
        <w:suppressAutoHyphens/>
        <w:contextualSpacing/>
        <w:rPr>
          <w:spacing w:val="-3"/>
        </w:rPr>
      </w:pPr>
    </w:p>
    <w:p w14:paraId="28A19B2E" w14:textId="3C39CC06" w:rsidR="004B466F" w:rsidRPr="00BD1319" w:rsidRDefault="00FF7157" w:rsidP="00626B20">
      <w:pPr>
        <w:pStyle w:val="Prrafodelista"/>
        <w:numPr>
          <w:ilvl w:val="0"/>
          <w:numId w:val="401"/>
        </w:numPr>
        <w:tabs>
          <w:tab w:val="left" w:pos="-2268"/>
        </w:tabs>
        <w:suppressAutoHyphens/>
        <w:ind w:left="567" w:hanging="567"/>
        <w:contextualSpacing/>
        <w:rPr>
          <w:rFonts w:cs="Arial"/>
          <w:spacing w:val="-3"/>
          <w:lang w:val="es-CO"/>
        </w:rPr>
      </w:pPr>
      <w:r w:rsidRPr="00BD1319">
        <w:rPr>
          <w:rFonts w:eastAsiaTheme="minorHAnsi"/>
          <w:spacing w:val="-3"/>
          <w:lang w:val="es-CO"/>
        </w:rPr>
        <w:t>C</w:t>
      </w:r>
      <w:r w:rsidR="004B466F" w:rsidRPr="00BD1319">
        <w:rPr>
          <w:rFonts w:eastAsiaTheme="minorHAnsi"/>
          <w:spacing w:val="-3"/>
          <w:lang w:val="es-CO"/>
        </w:rPr>
        <w:t>aracterísticas generales de las unidades sociales e infraestructura comunitaria asociada</w:t>
      </w:r>
      <w:r w:rsidRPr="00BD1319">
        <w:rPr>
          <w:rFonts w:eastAsiaTheme="minorHAnsi"/>
          <w:spacing w:val="-3"/>
          <w:lang w:val="es-CO"/>
        </w:rPr>
        <w:t xml:space="preserve"> susceptible de afectación, daño o reubicación</w:t>
      </w:r>
      <w:r w:rsidR="004B466F" w:rsidRPr="00BD1319">
        <w:rPr>
          <w:rFonts w:cs="Arial"/>
          <w:spacing w:val="-3"/>
          <w:lang w:val="es-CO" w:eastAsia="en-US"/>
        </w:rPr>
        <w:t>.</w:t>
      </w:r>
    </w:p>
    <w:p w14:paraId="5ACB042F" w14:textId="77777777" w:rsidR="004B466F" w:rsidRPr="00BD1319" w:rsidRDefault="004B466F" w:rsidP="004B466F">
      <w:pPr>
        <w:tabs>
          <w:tab w:val="left" w:pos="-2268"/>
        </w:tabs>
        <w:suppressAutoHyphens/>
        <w:contextualSpacing/>
        <w:rPr>
          <w:rFonts w:cs="Arial"/>
          <w:spacing w:val="-3"/>
        </w:rPr>
      </w:pPr>
    </w:p>
    <w:p w14:paraId="396C5C10" w14:textId="2363F3A9" w:rsidR="004B466F" w:rsidRPr="00BD1319" w:rsidRDefault="00FF7157" w:rsidP="004B466F">
      <w:pPr>
        <w:pStyle w:val="Prrafodelista"/>
        <w:numPr>
          <w:ilvl w:val="0"/>
          <w:numId w:val="401"/>
        </w:numPr>
        <w:tabs>
          <w:tab w:val="left" w:pos="-2268"/>
        </w:tabs>
        <w:suppressAutoHyphens/>
        <w:ind w:left="567" w:hanging="567"/>
        <w:contextualSpacing/>
        <w:rPr>
          <w:spacing w:val="-3"/>
          <w:lang w:val="es-CO"/>
        </w:rPr>
      </w:pPr>
      <w:r w:rsidRPr="00BD1319">
        <w:rPr>
          <w:spacing w:val="-3"/>
          <w:lang w:val="es-CO"/>
        </w:rPr>
        <w:t>E</w:t>
      </w:r>
      <w:r w:rsidR="004B466F" w:rsidRPr="00BD1319">
        <w:rPr>
          <w:spacing w:val="-3"/>
          <w:lang w:val="es-CO"/>
        </w:rPr>
        <w:t>xistencia de organizaciones sociales en la zona en la que están ubicadas las unidades sociales a reasentar y niveles de participación de la población.</w:t>
      </w:r>
    </w:p>
    <w:p w14:paraId="0D149540" w14:textId="77777777" w:rsidR="004B466F" w:rsidRPr="00BD1319" w:rsidRDefault="004B466F" w:rsidP="004B466F">
      <w:pPr>
        <w:tabs>
          <w:tab w:val="left" w:pos="-2268"/>
        </w:tabs>
        <w:suppressAutoHyphens/>
        <w:contextualSpacing/>
        <w:rPr>
          <w:spacing w:val="-3"/>
        </w:rPr>
      </w:pPr>
    </w:p>
    <w:p w14:paraId="69AE7E02" w14:textId="02803F1D" w:rsidR="004B466F" w:rsidRPr="00BD1319" w:rsidRDefault="00FF7157" w:rsidP="004B466F">
      <w:pPr>
        <w:numPr>
          <w:ilvl w:val="0"/>
          <w:numId w:val="401"/>
        </w:numPr>
        <w:tabs>
          <w:tab w:val="left" w:pos="-2268"/>
        </w:tabs>
        <w:suppressAutoHyphens/>
        <w:overflowPunct/>
        <w:autoSpaceDE/>
        <w:autoSpaceDN/>
        <w:adjustRightInd/>
        <w:ind w:left="567" w:hanging="567"/>
        <w:contextualSpacing/>
        <w:textAlignment w:val="auto"/>
        <w:rPr>
          <w:spacing w:val="-3"/>
        </w:rPr>
      </w:pPr>
      <w:r w:rsidRPr="00BD1319">
        <w:rPr>
          <w:spacing w:val="-3"/>
        </w:rPr>
        <w:t>P</w:t>
      </w:r>
      <w:r w:rsidR="004B466F" w:rsidRPr="00BD1319">
        <w:rPr>
          <w:spacing w:val="-3"/>
        </w:rPr>
        <w:t xml:space="preserve">rogramas o servicios sociales de los que la unidad social y sus integrantes son beneficiarios, señalando si el </w:t>
      </w:r>
      <w:r w:rsidR="004B466F" w:rsidRPr="00BD1319">
        <w:rPr>
          <w:rFonts w:cs="Arial"/>
          <w:spacing w:val="-3"/>
          <w:lang w:eastAsia="en-US"/>
        </w:rPr>
        <w:t>reasentamiento</w:t>
      </w:r>
      <w:r w:rsidR="004B466F" w:rsidRPr="00BD1319">
        <w:rPr>
          <w:spacing w:val="-3"/>
        </w:rPr>
        <w:t xml:space="preserve"> involuntario puede afectar la vinculación a los mismos.</w:t>
      </w:r>
    </w:p>
    <w:p w14:paraId="6624F0AF" w14:textId="77777777" w:rsidR="004B466F" w:rsidRPr="00BD1319" w:rsidRDefault="004B466F" w:rsidP="004B466F">
      <w:pPr>
        <w:tabs>
          <w:tab w:val="left" w:pos="-2268"/>
        </w:tabs>
        <w:suppressAutoHyphens/>
        <w:overflowPunct/>
        <w:autoSpaceDE/>
        <w:autoSpaceDN/>
        <w:adjustRightInd/>
        <w:contextualSpacing/>
        <w:textAlignment w:val="auto"/>
        <w:rPr>
          <w:spacing w:val="-3"/>
        </w:rPr>
      </w:pPr>
    </w:p>
    <w:p w14:paraId="3232613C" w14:textId="1C412E87" w:rsidR="004B466F" w:rsidRPr="00BD1319" w:rsidRDefault="00FF7157" w:rsidP="004B466F">
      <w:pPr>
        <w:numPr>
          <w:ilvl w:val="0"/>
          <w:numId w:val="401"/>
        </w:numPr>
        <w:tabs>
          <w:tab w:val="left" w:pos="-2268"/>
        </w:tabs>
        <w:suppressAutoHyphens/>
        <w:overflowPunct/>
        <w:autoSpaceDE/>
        <w:autoSpaceDN/>
        <w:adjustRightInd/>
        <w:ind w:left="567" w:hanging="567"/>
        <w:contextualSpacing/>
        <w:textAlignment w:val="auto"/>
        <w:rPr>
          <w:spacing w:val="-3"/>
        </w:rPr>
      </w:pPr>
      <w:r w:rsidRPr="00BD1319">
        <w:rPr>
          <w:spacing w:val="-3"/>
        </w:rPr>
        <w:t>P</w:t>
      </w:r>
      <w:r w:rsidR="004B466F" w:rsidRPr="00BD1319">
        <w:rPr>
          <w:spacing w:val="-3"/>
        </w:rPr>
        <w:t>atrimonio cultural inmaterial, señalando prácticas sociales, culturales, tradiciones estéticas y modos de conocimiento perpetuados en el seno de la comunidad.</w:t>
      </w:r>
    </w:p>
    <w:p w14:paraId="7D879708" w14:textId="77777777" w:rsidR="00FF7157" w:rsidRPr="00BD1319" w:rsidRDefault="00FF7157" w:rsidP="000D6E21">
      <w:pPr>
        <w:tabs>
          <w:tab w:val="left" w:pos="-2268"/>
        </w:tabs>
        <w:suppressAutoHyphens/>
        <w:overflowPunct/>
        <w:autoSpaceDE/>
        <w:autoSpaceDN/>
        <w:adjustRightInd/>
        <w:contextualSpacing/>
        <w:textAlignment w:val="auto"/>
        <w:rPr>
          <w:spacing w:val="-3"/>
        </w:rPr>
      </w:pPr>
    </w:p>
    <w:p w14:paraId="6272F2E1" w14:textId="5B032F19" w:rsidR="00FF7157" w:rsidRPr="00BD1319" w:rsidRDefault="00FF7157" w:rsidP="00FF7157">
      <w:pPr>
        <w:numPr>
          <w:ilvl w:val="0"/>
          <w:numId w:val="401"/>
        </w:numPr>
        <w:tabs>
          <w:tab w:val="left" w:pos="-2268"/>
        </w:tabs>
        <w:suppressAutoHyphens/>
        <w:overflowPunct/>
        <w:autoSpaceDE/>
        <w:autoSpaceDN/>
        <w:adjustRightInd/>
        <w:ind w:left="567" w:hanging="567"/>
        <w:contextualSpacing/>
        <w:textAlignment w:val="auto"/>
        <w:rPr>
          <w:spacing w:val="-3"/>
        </w:rPr>
      </w:pPr>
      <w:r w:rsidRPr="00BD1319">
        <w:rPr>
          <w:spacing w:val="-3"/>
        </w:rPr>
        <w:t>Sitios sagrados, centros religiosos y lugares con importancia para la memoria histórica susceptibles de afectación, daño o desaparición.</w:t>
      </w:r>
    </w:p>
    <w:p w14:paraId="51C917B5" w14:textId="77777777" w:rsidR="004B466F" w:rsidRPr="00BD1319" w:rsidRDefault="004B466F" w:rsidP="004B466F">
      <w:pPr>
        <w:tabs>
          <w:tab w:val="left" w:pos="-2268"/>
        </w:tabs>
        <w:suppressAutoHyphens/>
        <w:overflowPunct/>
        <w:autoSpaceDE/>
        <w:autoSpaceDN/>
        <w:adjustRightInd/>
        <w:contextualSpacing/>
        <w:textAlignment w:val="auto"/>
        <w:rPr>
          <w:spacing w:val="-3"/>
        </w:rPr>
      </w:pPr>
    </w:p>
    <w:p w14:paraId="2A9F5D96" w14:textId="764BE0D1" w:rsidR="004B466F" w:rsidRPr="00BD1319" w:rsidRDefault="00FF7157" w:rsidP="004B466F">
      <w:pPr>
        <w:numPr>
          <w:ilvl w:val="0"/>
          <w:numId w:val="401"/>
        </w:numPr>
        <w:tabs>
          <w:tab w:val="left" w:pos="-2268"/>
        </w:tabs>
        <w:suppressAutoHyphens/>
        <w:overflowPunct/>
        <w:autoSpaceDE/>
        <w:autoSpaceDN/>
        <w:adjustRightInd/>
        <w:ind w:left="567" w:hanging="567"/>
        <w:contextualSpacing/>
        <w:textAlignment w:val="auto"/>
        <w:rPr>
          <w:spacing w:val="-3"/>
        </w:rPr>
      </w:pPr>
      <w:r w:rsidRPr="00BD1319">
        <w:rPr>
          <w:rFonts w:cs="Arial"/>
          <w:spacing w:val="-3"/>
          <w:lang w:eastAsia="en-US"/>
        </w:rPr>
        <w:t>E</w:t>
      </w:r>
      <w:r w:rsidR="004B466F" w:rsidRPr="00BD1319">
        <w:rPr>
          <w:rFonts w:cs="Arial"/>
          <w:spacing w:val="-3"/>
          <w:lang w:eastAsia="en-US"/>
        </w:rPr>
        <w:t xml:space="preserve">structura social, entendida como la forma que adopta el sistema de relaciones entre individuos de una sociedad o grupo, involucrando como mínimo el </w:t>
      </w:r>
      <w:r w:rsidR="004B466F" w:rsidRPr="00BD1319">
        <w:rPr>
          <w:spacing w:val="-3"/>
        </w:rPr>
        <w:t>grado de cohesión entre los vecinos, grado de participación, existencia de redes sociales de apoyo</w:t>
      </w:r>
      <w:r w:rsidR="004B466F" w:rsidRPr="00BD1319">
        <w:rPr>
          <w:rFonts w:cs="Arial"/>
          <w:spacing w:val="-3"/>
          <w:lang w:eastAsia="en-US"/>
        </w:rPr>
        <w:t xml:space="preserve"> de parentesco, vecindad, compadrazgo</w:t>
      </w:r>
      <w:r w:rsidR="004B466F" w:rsidRPr="00BD1319">
        <w:rPr>
          <w:rFonts w:cs="Arial"/>
          <w:spacing w:val="-3"/>
        </w:rPr>
        <w:t xml:space="preserve">; </w:t>
      </w:r>
    </w:p>
    <w:p w14:paraId="3ED60D5F" w14:textId="77777777" w:rsidR="004B466F" w:rsidRPr="00BD1319" w:rsidRDefault="004B466F" w:rsidP="009420F5">
      <w:pPr>
        <w:rPr>
          <w:rFonts w:cs="Arial"/>
          <w:spacing w:val="-3"/>
        </w:rPr>
      </w:pPr>
    </w:p>
    <w:p w14:paraId="34CBD319" w14:textId="15670102" w:rsidR="004B466F" w:rsidRPr="00BD1319" w:rsidRDefault="00FF7157" w:rsidP="004B466F">
      <w:pPr>
        <w:numPr>
          <w:ilvl w:val="0"/>
          <w:numId w:val="401"/>
        </w:numPr>
        <w:tabs>
          <w:tab w:val="left" w:pos="-2268"/>
        </w:tabs>
        <w:suppressAutoHyphens/>
        <w:overflowPunct/>
        <w:autoSpaceDE/>
        <w:autoSpaceDN/>
        <w:adjustRightInd/>
        <w:ind w:left="567" w:hanging="567"/>
        <w:contextualSpacing/>
        <w:textAlignment w:val="auto"/>
        <w:rPr>
          <w:spacing w:val="-3"/>
        </w:rPr>
      </w:pPr>
      <w:r w:rsidRPr="00BD1319">
        <w:rPr>
          <w:rFonts w:cs="Arial"/>
          <w:spacing w:val="-3"/>
        </w:rPr>
        <w:t>R</w:t>
      </w:r>
      <w:r w:rsidR="004B466F" w:rsidRPr="00BD1319">
        <w:rPr>
          <w:color w:val="000000"/>
        </w:rPr>
        <w:t>edes culturales presentes en el territorio que pueden alterarse por la ejecución del proyecto, obra o actividad</w:t>
      </w:r>
      <w:r w:rsidR="004B466F" w:rsidRPr="00BD1319">
        <w:rPr>
          <w:spacing w:val="-3"/>
        </w:rPr>
        <w:t>.</w:t>
      </w:r>
    </w:p>
    <w:p w14:paraId="0A6E3AE8" w14:textId="77777777" w:rsidR="004B466F" w:rsidRPr="00BD1319" w:rsidRDefault="004B466F" w:rsidP="004B466F">
      <w:pPr>
        <w:tabs>
          <w:tab w:val="left" w:pos="-2268"/>
        </w:tabs>
        <w:suppressAutoHyphens/>
        <w:overflowPunct/>
        <w:autoSpaceDE/>
        <w:autoSpaceDN/>
        <w:adjustRightInd/>
        <w:contextualSpacing/>
        <w:textAlignment w:val="auto"/>
        <w:rPr>
          <w:spacing w:val="-3"/>
        </w:rPr>
      </w:pPr>
    </w:p>
    <w:p w14:paraId="41D67B12" w14:textId="79895619" w:rsidR="004B466F" w:rsidRPr="00BD1319" w:rsidRDefault="00FF7157" w:rsidP="004B466F">
      <w:pPr>
        <w:numPr>
          <w:ilvl w:val="0"/>
          <w:numId w:val="401"/>
        </w:numPr>
        <w:tabs>
          <w:tab w:val="left" w:pos="-2268"/>
        </w:tabs>
        <w:suppressAutoHyphens/>
        <w:overflowPunct/>
        <w:autoSpaceDE/>
        <w:autoSpaceDN/>
        <w:adjustRightInd/>
        <w:ind w:left="567" w:hanging="567"/>
        <w:contextualSpacing/>
        <w:textAlignment w:val="auto"/>
        <w:rPr>
          <w:spacing w:val="-3"/>
        </w:rPr>
      </w:pPr>
      <w:r w:rsidRPr="00BD1319">
        <w:rPr>
          <w:spacing w:val="-3"/>
        </w:rPr>
        <w:t>C</w:t>
      </w:r>
      <w:r w:rsidR="004B466F" w:rsidRPr="00BD1319">
        <w:rPr>
          <w:spacing w:val="-3"/>
        </w:rPr>
        <w:t>aracterísticas de la población que continuará residiendo en el lugar y de las redes socioeconómicas existentes entre las personas que se quedan y la población objeto de reasentamiento.</w:t>
      </w:r>
    </w:p>
    <w:p w14:paraId="5C3C427F" w14:textId="77777777" w:rsidR="004B466F" w:rsidRPr="00BD1319" w:rsidRDefault="004B466F" w:rsidP="004B466F">
      <w:pPr>
        <w:tabs>
          <w:tab w:val="left" w:pos="-2268"/>
        </w:tabs>
        <w:suppressAutoHyphens/>
        <w:overflowPunct/>
        <w:autoSpaceDE/>
        <w:autoSpaceDN/>
        <w:adjustRightInd/>
        <w:contextualSpacing/>
        <w:textAlignment w:val="auto"/>
        <w:rPr>
          <w:spacing w:val="-3"/>
        </w:rPr>
      </w:pPr>
    </w:p>
    <w:p w14:paraId="0ECFDDA1" w14:textId="6558A807" w:rsidR="004B466F" w:rsidRPr="00BD1319" w:rsidRDefault="00FF7157" w:rsidP="004B466F">
      <w:pPr>
        <w:numPr>
          <w:ilvl w:val="0"/>
          <w:numId w:val="401"/>
        </w:numPr>
        <w:overflowPunct/>
        <w:autoSpaceDE/>
        <w:autoSpaceDN/>
        <w:adjustRightInd/>
        <w:ind w:left="567" w:hanging="567"/>
        <w:contextualSpacing/>
        <w:jc w:val="left"/>
        <w:textAlignment w:val="auto"/>
        <w:rPr>
          <w:spacing w:val="-3"/>
        </w:rPr>
      </w:pPr>
      <w:r w:rsidRPr="00BD1319">
        <w:rPr>
          <w:spacing w:val="-3"/>
        </w:rPr>
        <w:lastRenderedPageBreak/>
        <w:t>O</w:t>
      </w:r>
      <w:r w:rsidR="004B466F" w:rsidRPr="00BD1319">
        <w:rPr>
          <w:spacing w:val="-3"/>
        </w:rPr>
        <w:t xml:space="preserve">ferta de suelo y las áreas disponibles para el </w:t>
      </w:r>
      <w:r w:rsidR="004B466F" w:rsidRPr="00BD1319">
        <w:rPr>
          <w:rFonts w:cs="Arial"/>
          <w:spacing w:val="-3"/>
          <w:lang w:eastAsia="en-US"/>
        </w:rPr>
        <w:t>reasentamiento,</w:t>
      </w:r>
      <w:r w:rsidR="004B466F" w:rsidRPr="00BD1319">
        <w:rPr>
          <w:spacing w:val="-3"/>
        </w:rPr>
        <w:t xml:space="preserve"> según los usos del suelo establecidos en el POT, PBOT o EOT.</w:t>
      </w:r>
    </w:p>
    <w:p w14:paraId="577614A5" w14:textId="77777777" w:rsidR="004B466F" w:rsidRPr="00BD1319" w:rsidRDefault="004B466F" w:rsidP="004B466F"/>
    <w:p w14:paraId="6802EFC1" w14:textId="77777777" w:rsidR="004B466F" w:rsidRPr="00BD1319" w:rsidRDefault="004B466F" w:rsidP="004B466F">
      <w:pPr>
        <w:tabs>
          <w:tab w:val="left" w:pos="-2268"/>
        </w:tabs>
        <w:suppressAutoHyphens/>
        <w:overflowPunct/>
        <w:autoSpaceDE/>
        <w:autoSpaceDN/>
        <w:adjustRightInd/>
        <w:contextualSpacing/>
        <w:textAlignment w:val="auto"/>
        <w:rPr>
          <w:rFonts w:cs="Arial"/>
          <w:spacing w:val="-3"/>
          <w:lang w:eastAsia="en-US"/>
        </w:rPr>
      </w:pPr>
      <w:r w:rsidRPr="00BD1319">
        <w:rPr>
          <w:rFonts w:cs="Arial"/>
          <w:spacing w:val="-3"/>
          <w:lang w:eastAsia="en-US"/>
        </w:rPr>
        <w:t>El resultado de la caracterización debe estar acompañado de registros fílmicos, fotográficos, encuestas, entre otros que permitan evidenciar las características generales de las unidades sociales que resulten afectadas por las actividades del proyecto, obra o actividad.</w:t>
      </w:r>
    </w:p>
    <w:p w14:paraId="53B4BBF1" w14:textId="77777777" w:rsidR="004B466F" w:rsidRPr="00BD1319" w:rsidRDefault="004B466F" w:rsidP="004B466F">
      <w:pPr>
        <w:numPr>
          <w:ilvl w:val="12"/>
          <w:numId w:val="0"/>
        </w:numPr>
        <w:tabs>
          <w:tab w:val="left" w:pos="-2268"/>
        </w:tabs>
        <w:suppressAutoHyphens/>
        <w:rPr>
          <w:rFonts w:cs="Arial"/>
          <w:spacing w:val="-3"/>
        </w:rPr>
      </w:pPr>
    </w:p>
    <w:p w14:paraId="579AFDEB" w14:textId="77777777" w:rsidR="004B466F" w:rsidRPr="00BD1319" w:rsidRDefault="004B466F" w:rsidP="004B466F">
      <w:pPr>
        <w:suppressAutoHyphens/>
      </w:pPr>
      <w:r w:rsidRPr="00BD1319">
        <w:rPr>
          <w:rFonts w:cs="Arial"/>
        </w:rPr>
        <w:t>Tanto el diseño metodológico como la ejecución del censo o registro de población susceptible de reasentamiento involuntario deben ser desarrollados por una universidad con acreditación de alta calidad o una entidad de carácter público competente</w:t>
      </w:r>
      <w:r w:rsidRPr="00BD1319">
        <w:t>. Asimismo, la ejecución del censo o registro debe ser auditada por una firma independiente y hacerse públicos los resultados de dicha auditoría.</w:t>
      </w:r>
    </w:p>
    <w:p w14:paraId="700BF364" w14:textId="77777777" w:rsidR="004B466F" w:rsidRPr="00BD1319" w:rsidRDefault="004B466F" w:rsidP="004B466F">
      <w:pPr>
        <w:suppressAutoHyphens/>
      </w:pPr>
    </w:p>
    <w:p w14:paraId="608C5630" w14:textId="7CBBB29E" w:rsidR="006E4249" w:rsidRPr="00BD1319" w:rsidRDefault="004B466F" w:rsidP="00EC3F7B">
      <w:pPr>
        <w:suppressAutoHyphens/>
        <w:rPr>
          <w:rFonts w:cs="Arial"/>
        </w:rPr>
      </w:pPr>
      <w:r w:rsidRPr="00BD1319">
        <w:rPr>
          <w:rFonts w:cs="Arial"/>
        </w:rPr>
        <w:t>Los resultados del censo o registro de población a reasentar, junto con los estudios complementarios de caracterización son el insumo base para la formulación del programa de reasentamiento involuntario de población.</w:t>
      </w:r>
      <w:bookmarkEnd w:id="2974"/>
      <w:bookmarkEnd w:id="2975"/>
      <w:bookmarkEnd w:id="2976"/>
    </w:p>
    <w:p w14:paraId="02AE4C6E" w14:textId="77777777" w:rsidR="006E4249" w:rsidRPr="00BD1319" w:rsidRDefault="006E4249" w:rsidP="00EC3F7B">
      <w:pPr>
        <w:suppressAutoHyphens/>
        <w:rPr>
          <w:rFonts w:cs="Arial"/>
        </w:rPr>
      </w:pPr>
    </w:p>
    <w:p w14:paraId="2DD2781A" w14:textId="6612A63C" w:rsidR="004575EE" w:rsidRPr="00BD1319" w:rsidRDefault="004575EE" w:rsidP="0068149C">
      <w:pPr>
        <w:pStyle w:val="Ttulo2"/>
        <w:rPr>
          <w:lang w:val="es-CO"/>
        </w:rPr>
      </w:pPr>
      <w:bookmarkStart w:id="2978" w:name="_Toc79443076"/>
      <w:bookmarkStart w:id="2979" w:name="_Toc79443077"/>
      <w:bookmarkStart w:id="2980" w:name="_Toc79443078"/>
      <w:bookmarkStart w:id="2981" w:name="_Toc43485724"/>
      <w:bookmarkStart w:id="2982" w:name="_Toc437936039"/>
      <w:bookmarkStart w:id="2983" w:name="_Ref78536127"/>
      <w:bookmarkStart w:id="2984" w:name="_Ref79477507"/>
      <w:bookmarkStart w:id="2985" w:name="_Toc175326776"/>
      <w:bookmarkEnd w:id="2978"/>
      <w:bookmarkEnd w:id="2979"/>
      <w:bookmarkEnd w:id="2980"/>
      <w:bookmarkEnd w:id="2981"/>
      <w:r w:rsidRPr="00BD1319">
        <w:rPr>
          <w:lang w:val="es-CO"/>
        </w:rPr>
        <w:t>SERVICIOS ECOSISTÉMICOS</w:t>
      </w:r>
      <w:bookmarkEnd w:id="2982"/>
      <w:bookmarkEnd w:id="2983"/>
      <w:bookmarkEnd w:id="2984"/>
      <w:bookmarkEnd w:id="2985"/>
    </w:p>
    <w:p w14:paraId="4A836830" w14:textId="1CDF8EFB" w:rsidR="00AB51C7" w:rsidRPr="00BD1319" w:rsidRDefault="00AB51C7" w:rsidP="00C86DA5"/>
    <w:p w14:paraId="1DC671C7" w14:textId="5CE9C17B" w:rsidR="00093AC0" w:rsidRPr="00BD1319" w:rsidRDefault="00093AC0" w:rsidP="00C86DA5">
      <w:pPr>
        <w:numPr>
          <w:ilvl w:val="12"/>
          <w:numId w:val="0"/>
        </w:numPr>
        <w:tabs>
          <w:tab w:val="left" w:pos="-2268"/>
        </w:tabs>
        <w:suppressAutoHyphens/>
        <w:rPr>
          <w:spacing w:val="-3"/>
        </w:rPr>
      </w:pPr>
      <w:r w:rsidRPr="00BD1319">
        <w:rPr>
          <w:rFonts w:cs="Arial"/>
          <w:spacing w:val="-3"/>
        </w:rPr>
        <w:t>En el marco del licenciamiento ambiental</w:t>
      </w:r>
      <w:r w:rsidRPr="00BD1319">
        <w:rPr>
          <w:spacing w:val="-3"/>
        </w:rPr>
        <w:t xml:space="preserve"> los Servicios Ecosistémicos (</w:t>
      </w:r>
      <w:r w:rsidR="006E2E3F" w:rsidRPr="00BD1319">
        <w:rPr>
          <w:spacing w:val="-3"/>
        </w:rPr>
        <w:t>SE</w:t>
      </w:r>
      <w:r w:rsidRPr="00BD1319">
        <w:rPr>
          <w:spacing w:val="-3"/>
        </w:rPr>
        <w:t xml:space="preserve">) deben entenderse como los beneficios </w:t>
      </w:r>
      <w:r w:rsidRPr="00BD1319">
        <w:rPr>
          <w:rFonts w:cs="Arial"/>
          <w:spacing w:val="-3"/>
        </w:rPr>
        <w:t xml:space="preserve">que la humanidad recibe de la naturaleza, en especial de su diversidad biológica, de sus ecosistemas (inclusive del funcionamiento de los mismos), de sus procesos evolutivos, de la biosfera como conjunto, del patrimonio evolutivo que comparte la humanidad y de la diversidad biocultural (IPBES, s. f.); esta noción amplia de los </w:t>
      </w:r>
      <w:r w:rsidR="006E2E3F" w:rsidRPr="00BD1319">
        <w:rPr>
          <w:rFonts w:cs="Arial"/>
          <w:spacing w:val="-3"/>
        </w:rPr>
        <w:t>SE</w:t>
      </w:r>
      <w:r w:rsidRPr="00BD1319">
        <w:rPr>
          <w:rFonts w:cs="Arial"/>
          <w:spacing w:val="-3"/>
        </w:rPr>
        <w:t xml:space="preserve"> propicia un marco de conocimiento integral del ambiente que es útil para el </w:t>
      </w:r>
      <w:r w:rsidR="00085DCC" w:rsidRPr="00BD1319">
        <w:rPr>
          <w:rFonts w:cs="Arial"/>
          <w:spacing w:val="-3"/>
        </w:rPr>
        <w:t xml:space="preserve">manejo </w:t>
      </w:r>
      <w:r w:rsidRPr="00BD1319">
        <w:rPr>
          <w:rFonts w:cs="Arial"/>
          <w:spacing w:val="-3"/>
        </w:rPr>
        <w:t>de los impactos ambientales y la toma de decisiones de las autoridades ambientales</w:t>
      </w:r>
      <w:r w:rsidRPr="00BD1319">
        <w:rPr>
          <w:spacing w:val="-3"/>
        </w:rPr>
        <w:t>.</w:t>
      </w:r>
    </w:p>
    <w:p w14:paraId="61078F78" w14:textId="77777777" w:rsidR="00093AC0" w:rsidRPr="00BD1319" w:rsidRDefault="00093AC0" w:rsidP="00C86DA5">
      <w:pPr>
        <w:numPr>
          <w:ilvl w:val="12"/>
          <w:numId w:val="0"/>
        </w:numPr>
        <w:tabs>
          <w:tab w:val="left" w:pos="-2268"/>
        </w:tabs>
        <w:suppressAutoHyphens/>
        <w:rPr>
          <w:spacing w:val="-3"/>
        </w:rPr>
      </w:pPr>
    </w:p>
    <w:p w14:paraId="7A17E6ED" w14:textId="2FD518AC" w:rsidR="00093AC0" w:rsidRPr="00BD1319" w:rsidRDefault="00093AC0" w:rsidP="00093AC0">
      <w:pPr>
        <w:numPr>
          <w:ilvl w:val="12"/>
          <w:numId w:val="0"/>
        </w:numPr>
        <w:tabs>
          <w:tab w:val="left" w:pos="-2268"/>
        </w:tabs>
        <w:suppressAutoHyphens/>
        <w:rPr>
          <w:rFonts w:cs="Arial"/>
          <w:spacing w:val="-3"/>
        </w:rPr>
      </w:pPr>
      <w:r w:rsidRPr="00BD1319">
        <w:rPr>
          <w:spacing w:val="-3"/>
        </w:rPr>
        <w:t xml:space="preserve">Si </w:t>
      </w:r>
      <w:r w:rsidRPr="00BD1319">
        <w:rPr>
          <w:rFonts w:cs="Arial"/>
          <w:spacing w:val="-3"/>
        </w:rPr>
        <w:t xml:space="preserve">bien las sociedades consideran valiosos a los </w:t>
      </w:r>
      <w:r w:rsidR="006E2E3F" w:rsidRPr="00BD1319">
        <w:rPr>
          <w:rFonts w:cs="Arial"/>
          <w:spacing w:val="-3"/>
        </w:rPr>
        <w:t>SE</w:t>
      </w:r>
      <w:r w:rsidRPr="00BD1319">
        <w:rPr>
          <w:rFonts w:cs="Arial"/>
          <w:spacing w:val="-3"/>
        </w:rPr>
        <w:t xml:space="preserve"> por ser la base del mantenimiento de </w:t>
      </w:r>
      <w:r w:rsidR="00DE6F2E" w:rsidRPr="00BD1319">
        <w:rPr>
          <w:rFonts w:cs="Arial"/>
          <w:spacing w:val="-3"/>
        </w:rPr>
        <w:t xml:space="preserve">su </w:t>
      </w:r>
      <w:r w:rsidRPr="00BD1319">
        <w:rPr>
          <w:rFonts w:cs="Arial"/>
          <w:spacing w:val="-3"/>
        </w:rPr>
        <w:t xml:space="preserve">calidad de vida y por ser parte de las relaciones que las culturas históricamente han establecido con su entorno, </w:t>
      </w:r>
      <w:r w:rsidR="00DE6F2E" w:rsidRPr="00BD1319">
        <w:rPr>
          <w:rFonts w:cs="Arial"/>
          <w:spacing w:val="-3"/>
        </w:rPr>
        <w:t xml:space="preserve">se </w:t>
      </w:r>
      <w:r w:rsidRPr="00BD1319">
        <w:rPr>
          <w:rFonts w:cs="Arial"/>
          <w:spacing w:val="-3"/>
        </w:rPr>
        <w:t xml:space="preserve">debe reconocer que la naturaleza tiene un valor intrínseco que le es inherente e independiente de la experiencia humana, </w:t>
      </w:r>
      <w:r w:rsidR="00C52E25" w:rsidRPr="00BD1319">
        <w:rPr>
          <w:rFonts w:cs="Arial"/>
          <w:spacing w:val="-3"/>
        </w:rPr>
        <w:t xml:space="preserve">y </w:t>
      </w:r>
      <w:r w:rsidRPr="00BD1319">
        <w:rPr>
          <w:rFonts w:cs="Arial"/>
          <w:spacing w:val="-3"/>
        </w:rPr>
        <w:t xml:space="preserve">que es reconocido en el ámbito internacional </w:t>
      </w:r>
      <w:r w:rsidR="00143AEA" w:rsidRPr="00BD1319">
        <w:rPr>
          <w:rFonts w:cs="Arial"/>
          <w:spacing w:val="-3"/>
        </w:rPr>
        <w:t xml:space="preserve">entre otras </w:t>
      </w:r>
      <w:r w:rsidRPr="00BD1319">
        <w:rPr>
          <w:rFonts w:cs="Arial"/>
          <w:spacing w:val="-3"/>
        </w:rPr>
        <w:t>iniciativas</w:t>
      </w:r>
      <w:r w:rsidR="00143AEA" w:rsidRPr="00BD1319">
        <w:rPr>
          <w:rFonts w:cs="Arial"/>
          <w:spacing w:val="-3"/>
        </w:rPr>
        <w:t>,</w:t>
      </w:r>
      <w:r w:rsidRPr="00BD1319">
        <w:rPr>
          <w:rFonts w:cs="Arial"/>
          <w:spacing w:val="-3"/>
        </w:rPr>
        <w:t xml:space="preserve"> </w:t>
      </w:r>
      <w:r w:rsidR="00143AEA" w:rsidRPr="00BD1319">
        <w:rPr>
          <w:rFonts w:cs="Arial"/>
          <w:spacing w:val="-3"/>
        </w:rPr>
        <w:t xml:space="preserve">por </w:t>
      </w:r>
      <w:r w:rsidRPr="00BD1319">
        <w:rPr>
          <w:rFonts w:cs="Arial"/>
          <w:spacing w:val="-3"/>
        </w:rPr>
        <w:t xml:space="preserve">la Evaluación de los Ecosistemas del Milenio y </w:t>
      </w:r>
      <w:r w:rsidR="000B50FF" w:rsidRPr="00BD1319">
        <w:rPr>
          <w:rFonts w:cs="Arial"/>
          <w:spacing w:val="-3"/>
        </w:rPr>
        <w:t xml:space="preserve">por </w:t>
      </w:r>
      <w:r w:rsidRPr="00BD1319">
        <w:rPr>
          <w:rFonts w:cs="Arial"/>
          <w:spacing w:val="-3"/>
        </w:rPr>
        <w:t>la Plataforma Intergubernamental Científico-Normativa sobre Biodiversidad y Servicios Ecosistémicos</w:t>
      </w:r>
      <w:r w:rsidR="0072054C" w:rsidRPr="00BD1319">
        <w:rPr>
          <w:rFonts w:cs="Arial"/>
          <w:spacing w:val="-3"/>
        </w:rPr>
        <w:t xml:space="preserve"> </w:t>
      </w:r>
      <w:r w:rsidRPr="00BD1319">
        <w:rPr>
          <w:rFonts w:cs="Arial"/>
          <w:spacing w:val="-3"/>
        </w:rPr>
        <w:t>(</w:t>
      </w:r>
      <w:r w:rsidR="00C52E25" w:rsidRPr="00BD1319">
        <w:rPr>
          <w:rFonts w:cs="Arial"/>
          <w:spacing w:val="-3"/>
        </w:rPr>
        <w:t xml:space="preserve">IPBES, </w:t>
      </w:r>
      <w:r w:rsidRPr="00BD1319">
        <w:rPr>
          <w:rFonts w:cs="Arial"/>
          <w:spacing w:val="-3"/>
        </w:rPr>
        <w:t>por sus siglas en inglés).</w:t>
      </w:r>
    </w:p>
    <w:p w14:paraId="0203075D" w14:textId="77777777" w:rsidR="00093AC0" w:rsidRPr="00BD1319" w:rsidRDefault="00093AC0" w:rsidP="00093AC0">
      <w:pPr>
        <w:numPr>
          <w:ilvl w:val="12"/>
          <w:numId w:val="0"/>
        </w:numPr>
        <w:tabs>
          <w:tab w:val="left" w:pos="-2268"/>
        </w:tabs>
        <w:suppressAutoHyphens/>
        <w:rPr>
          <w:rFonts w:cs="Arial"/>
          <w:spacing w:val="-3"/>
        </w:rPr>
      </w:pPr>
    </w:p>
    <w:p w14:paraId="493E389A" w14:textId="5A3FAEC9" w:rsidR="00093AC0" w:rsidRPr="00BD1319" w:rsidRDefault="00093AC0" w:rsidP="00093AC0">
      <w:pPr>
        <w:numPr>
          <w:ilvl w:val="12"/>
          <w:numId w:val="0"/>
        </w:numPr>
        <w:tabs>
          <w:tab w:val="left" w:pos="-2268"/>
        </w:tabs>
        <w:suppressAutoHyphens/>
        <w:rPr>
          <w:rFonts w:cs="Arial"/>
          <w:spacing w:val="-3"/>
        </w:rPr>
      </w:pPr>
      <w:r w:rsidRPr="00BD1319">
        <w:rPr>
          <w:rFonts w:cs="Arial"/>
          <w:spacing w:val="-3"/>
        </w:rPr>
        <w:t xml:space="preserve">El propósito fundamental de este </w:t>
      </w:r>
      <w:r w:rsidR="009346BF" w:rsidRPr="00BD1319">
        <w:rPr>
          <w:rFonts w:cs="Arial"/>
          <w:spacing w:val="-3"/>
        </w:rPr>
        <w:t>numeral</w:t>
      </w:r>
      <w:r w:rsidRPr="00BD1319">
        <w:rPr>
          <w:rFonts w:cs="Arial"/>
          <w:spacing w:val="-3"/>
        </w:rPr>
        <w:t xml:space="preserve"> es </w:t>
      </w:r>
      <w:r w:rsidR="008C4C17" w:rsidRPr="00BD1319">
        <w:rPr>
          <w:rFonts w:cs="Arial"/>
          <w:spacing w:val="-3"/>
        </w:rPr>
        <w:t xml:space="preserve">caracterizar </w:t>
      </w:r>
      <w:r w:rsidR="00143AEA" w:rsidRPr="00BD1319">
        <w:rPr>
          <w:rFonts w:cs="Arial"/>
          <w:spacing w:val="-3"/>
        </w:rPr>
        <w:t xml:space="preserve">los SE </w:t>
      </w:r>
      <w:r w:rsidR="00501EC4" w:rsidRPr="00BD1319">
        <w:rPr>
          <w:rFonts w:cs="Arial"/>
          <w:spacing w:val="-3"/>
        </w:rPr>
        <w:t xml:space="preserve">del área de influencia </w:t>
      </w:r>
      <w:r w:rsidR="00143AEA" w:rsidRPr="00BD1319">
        <w:rPr>
          <w:rFonts w:cs="Arial"/>
          <w:spacing w:val="-3"/>
        </w:rPr>
        <w:t xml:space="preserve">que pueden ser impactados por </w:t>
      </w:r>
      <w:r w:rsidR="007B605B" w:rsidRPr="00BD1319">
        <w:rPr>
          <w:rFonts w:cs="Arial"/>
          <w:spacing w:val="-3"/>
        </w:rPr>
        <w:t xml:space="preserve">el </w:t>
      </w:r>
      <w:r w:rsidRPr="00BD1319">
        <w:rPr>
          <w:rFonts w:cs="Arial"/>
          <w:spacing w:val="-3"/>
        </w:rPr>
        <w:t xml:space="preserve">proyecto, obra o actividad, con el fin de brindar una imagen sintética del estado actual (de línea base) de las contribuciones que la naturaleza brinda a la </w:t>
      </w:r>
      <w:r w:rsidRPr="00BD1319">
        <w:rPr>
          <w:spacing w:val="-3"/>
        </w:rPr>
        <w:t>sociedad</w:t>
      </w:r>
      <w:r w:rsidRPr="00BD1319">
        <w:rPr>
          <w:rFonts w:cs="Arial"/>
          <w:spacing w:val="-3"/>
        </w:rPr>
        <w:t xml:space="preserve">. Para ello, se debe integrar de forma coherente la información de los elementos del ambiente que se han caracterizado de forma </w:t>
      </w:r>
      <w:r w:rsidRPr="00BD1319">
        <w:rPr>
          <w:rFonts w:cs="Arial"/>
          <w:spacing w:val="-3"/>
        </w:rPr>
        <w:lastRenderedPageBreak/>
        <w:t>separada para cada uno de los medios, componentes y factores ambientales, identificando, describiendo y evaluando las relaciones en las cuales exista una contribución de la naturaleza, ya sea recono</w:t>
      </w:r>
      <w:r w:rsidR="000B50FF" w:rsidRPr="00BD1319">
        <w:rPr>
          <w:rFonts w:cs="Arial"/>
          <w:spacing w:val="-3"/>
        </w:rPr>
        <w:t xml:space="preserve">cida </w:t>
      </w:r>
      <w:r w:rsidRPr="00BD1319">
        <w:rPr>
          <w:rFonts w:cs="Arial"/>
          <w:spacing w:val="-3"/>
        </w:rPr>
        <w:t>o no por las comunidades.</w:t>
      </w:r>
    </w:p>
    <w:p w14:paraId="730E402A" w14:textId="77777777" w:rsidR="00093AC0" w:rsidRPr="00BD1319" w:rsidRDefault="00093AC0" w:rsidP="00093AC0">
      <w:pPr>
        <w:numPr>
          <w:ilvl w:val="12"/>
          <w:numId w:val="0"/>
        </w:numPr>
        <w:tabs>
          <w:tab w:val="left" w:pos="-2268"/>
        </w:tabs>
        <w:suppressAutoHyphens/>
        <w:rPr>
          <w:rFonts w:cs="Arial"/>
          <w:spacing w:val="-3"/>
        </w:rPr>
      </w:pPr>
    </w:p>
    <w:p w14:paraId="04C08266" w14:textId="0B1B2A97" w:rsidR="00093AC0" w:rsidRPr="00BD1319" w:rsidRDefault="00093AC0" w:rsidP="00093AC0">
      <w:pPr>
        <w:numPr>
          <w:ilvl w:val="12"/>
          <w:numId w:val="0"/>
        </w:numPr>
        <w:tabs>
          <w:tab w:val="left" w:pos="-2268"/>
        </w:tabs>
        <w:suppressAutoHyphens/>
        <w:rPr>
          <w:rFonts w:cs="Arial"/>
          <w:spacing w:val="-3"/>
        </w:rPr>
      </w:pPr>
      <w:r w:rsidRPr="00BD1319">
        <w:rPr>
          <w:rFonts w:cs="Arial"/>
          <w:spacing w:val="-3"/>
        </w:rPr>
        <w:t>Est</w:t>
      </w:r>
      <w:r w:rsidR="007B605B" w:rsidRPr="00BD1319">
        <w:rPr>
          <w:rFonts w:cs="Arial"/>
          <w:spacing w:val="-3"/>
        </w:rPr>
        <w:t xml:space="preserve">e numeral </w:t>
      </w:r>
      <w:r w:rsidRPr="00BD1319">
        <w:rPr>
          <w:rFonts w:cs="Arial"/>
          <w:spacing w:val="-3"/>
        </w:rPr>
        <w:t xml:space="preserve">debe incluir además de la </w:t>
      </w:r>
      <w:r w:rsidR="007B605B" w:rsidRPr="00BD1319">
        <w:rPr>
          <w:rFonts w:cs="Arial"/>
          <w:spacing w:val="-3"/>
        </w:rPr>
        <w:t xml:space="preserve">caracterización </w:t>
      </w:r>
      <w:r w:rsidRPr="00BD1319">
        <w:rPr>
          <w:rFonts w:cs="Arial"/>
          <w:spacing w:val="-3"/>
        </w:rPr>
        <w:t xml:space="preserve">del estado actual de los </w:t>
      </w:r>
      <w:r w:rsidR="006E2E3F" w:rsidRPr="00BD1319">
        <w:rPr>
          <w:rFonts w:cs="Arial"/>
          <w:spacing w:val="-3"/>
        </w:rPr>
        <w:t>SE</w:t>
      </w:r>
      <w:r w:rsidRPr="00BD1319">
        <w:rPr>
          <w:rFonts w:cs="Arial"/>
          <w:spacing w:val="-3"/>
        </w:rPr>
        <w:t xml:space="preserve">, una estimación de su tendencia futura en el escenario sin proyecto, y una </w:t>
      </w:r>
      <w:r w:rsidR="00D534E3" w:rsidRPr="00BD1319">
        <w:rPr>
          <w:rFonts w:cs="Arial"/>
          <w:spacing w:val="-3"/>
        </w:rPr>
        <w:t xml:space="preserve">determinación </w:t>
      </w:r>
      <w:r w:rsidRPr="00BD1319">
        <w:rPr>
          <w:rFonts w:cs="Arial"/>
          <w:spacing w:val="-3"/>
        </w:rPr>
        <w:t xml:space="preserve">de las comunidades y de la cantidad de beneficiarios que goza de tales </w:t>
      </w:r>
      <w:r w:rsidR="006E2E3F" w:rsidRPr="00BD1319">
        <w:rPr>
          <w:rFonts w:cs="Arial"/>
          <w:spacing w:val="-3"/>
        </w:rPr>
        <w:t>SE</w:t>
      </w:r>
      <w:r w:rsidRPr="00BD1319">
        <w:rPr>
          <w:rFonts w:cs="Arial"/>
          <w:spacing w:val="-3"/>
        </w:rPr>
        <w:t>, elementos que son indispensables para desarrollar otros apartados del estudio ambiental y que proveen criterios adicionales para que la autoridad ambiental se pronuncie sobre la viabilidad ambiental del proyecto, obra o actividad.</w:t>
      </w:r>
    </w:p>
    <w:p w14:paraId="68572F56" w14:textId="77777777" w:rsidR="00093AC0" w:rsidRPr="00BD1319" w:rsidRDefault="00093AC0" w:rsidP="00093AC0">
      <w:pPr>
        <w:numPr>
          <w:ilvl w:val="12"/>
          <w:numId w:val="0"/>
        </w:numPr>
        <w:tabs>
          <w:tab w:val="left" w:pos="-2268"/>
        </w:tabs>
        <w:suppressAutoHyphens/>
        <w:rPr>
          <w:rFonts w:cs="Arial"/>
          <w:spacing w:val="-3"/>
        </w:rPr>
      </w:pPr>
    </w:p>
    <w:p w14:paraId="73BFDD7E" w14:textId="0FEA7EFE" w:rsidR="00093AC0" w:rsidRPr="00BD1319" w:rsidRDefault="00093AC0" w:rsidP="00093AC0">
      <w:pPr>
        <w:numPr>
          <w:ilvl w:val="12"/>
          <w:numId w:val="0"/>
        </w:numPr>
        <w:tabs>
          <w:tab w:val="left" w:pos="-2268"/>
        </w:tabs>
        <w:suppressAutoHyphens/>
        <w:rPr>
          <w:rFonts w:cs="Arial"/>
          <w:spacing w:val="-3"/>
        </w:rPr>
      </w:pPr>
      <w:r w:rsidRPr="00BD1319">
        <w:rPr>
          <w:rFonts w:cs="Arial"/>
          <w:spacing w:val="-3"/>
        </w:rPr>
        <w:t xml:space="preserve">Son múltiples los numerales del estudio ambiental que se relacionan estrechamente con el capítulo de </w:t>
      </w:r>
      <w:r w:rsidR="008C4C17" w:rsidRPr="00BD1319">
        <w:rPr>
          <w:rFonts w:cs="Arial"/>
          <w:spacing w:val="-3"/>
        </w:rPr>
        <w:t xml:space="preserve">caracterización </w:t>
      </w:r>
      <w:r w:rsidRPr="00BD1319">
        <w:rPr>
          <w:rFonts w:cs="Arial"/>
          <w:spacing w:val="-3"/>
        </w:rPr>
        <w:t xml:space="preserve">de </w:t>
      </w:r>
      <w:r w:rsidR="006E2E3F" w:rsidRPr="00BD1319">
        <w:rPr>
          <w:rFonts w:cs="Arial"/>
          <w:spacing w:val="-3"/>
        </w:rPr>
        <w:t>SE</w:t>
      </w:r>
      <w:r w:rsidRPr="00BD1319">
        <w:rPr>
          <w:rFonts w:cs="Arial"/>
          <w:spacing w:val="-3"/>
        </w:rPr>
        <w:t xml:space="preserve">. </w:t>
      </w:r>
      <w:r w:rsidR="004459CC" w:rsidRPr="00BD1319">
        <w:rPr>
          <w:rFonts w:cs="Arial"/>
          <w:spacing w:val="-3"/>
        </w:rPr>
        <w:t xml:space="preserve">Conocer </w:t>
      </w:r>
      <w:r w:rsidRPr="00BD1319">
        <w:rPr>
          <w:rFonts w:cs="Arial"/>
          <w:spacing w:val="-3"/>
        </w:rPr>
        <w:t xml:space="preserve">el estado actual de los </w:t>
      </w:r>
      <w:r w:rsidR="006E2E3F" w:rsidRPr="00BD1319">
        <w:rPr>
          <w:rFonts w:cs="Arial"/>
          <w:spacing w:val="-3"/>
        </w:rPr>
        <w:t>SE</w:t>
      </w:r>
      <w:r w:rsidRPr="00BD1319">
        <w:rPr>
          <w:rFonts w:cs="Arial"/>
          <w:spacing w:val="-3"/>
        </w:rPr>
        <w:t xml:space="preserve"> constituye la base para la determinar la sensibilidad ambiental de tales </w:t>
      </w:r>
      <w:r w:rsidR="006E2E3F" w:rsidRPr="00BD1319">
        <w:rPr>
          <w:rFonts w:cs="Arial"/>
          <w:spacing w:val="-3"/>
        </w:rPr>
        <w:t>SE</w:t>
      </w:r>
      <w:r w:rsidRPr="00BD1319">
        <w:rPr>
          <w:rFonts w:cs="Arial"/>
          <w:spacing w:val="-3"/>
        </w:rPr>
        <w:t>, y para estimar el grado con el que las actividades de un proyecto</w:t>
      </w:r>
      <w:r w:rsidR="008C4C17" w:rsidRPr="00BD1319">
        <w:rPr>
          <w:rFonts w:cs="Arial"/>
          <w:spacing w:val="-3"/>
        </w:rPr>
        <w:t>,</w:t>
      </w:r>
      <w:r w:rsidRPr="00BD1319">
        <w:rPr>
          <w:rFonts w:cs="Arial"/>
          <w:spacing w:val="-3"/>
        </w:rPr>
        <w:t xml:space="preserve"> obra</w:t>
      </w:r>
      <w:r w:rsidR="008C4C17" w:rsidRPr="00BD1319">
        <w:rPr>
          <w:rFonts w:cs="Arial"/>
          <w:spacing w:val="-3"/>
        </w:rPr>
        <w:t xml:space="preserve"> o actividad</w:t>
      </w:r>
      <w:r w:rsidRPr="00BD1319">
        <w:rPr>
          <w:rFonts w:cs="Arial"/>
          <w:spacing w:val="-3"/>
        </w:rPr>
        <w:t xml:space="preserve">, así como </w:t>
      </w:r>
      <w:r w:rsidR="008C4C17" w:rsidRPr="00BD1319">
        <w:rPr>
          <w:rFonts w:cs="Arial"/>
          <w:spacing w:val="-3"/>
        </w:rPr>
        <w:t xml:space="preserve">el </w:t>
      </w:r>
      <w:r w:rsidRPr="00BD1319">
        <w:rPr>
          <w:rFonts w:cs="Arial"/>
          <w:spacing w:val="-3"/>
        </w:rPr>
        <w:t>uso y aprovechamiento de recursos naturales renovables</w:t>
      </w:r>
      <w:r w:rsidR="000F1A7E" w:rsidRPr="00BD1319">
        <w:rPr>
          <w:rFonts w:cs="Arial"/>
          <w:spacing w:val="-3"/>
        </w:rPr>
        <w:t xml:space="preserve"> que implican</w:t>
      </w:r>
      <w:r w:rsidRPr="00BD1319">
        <w:rPr>
          <w:rFonts w:cs="Arial"/>
          <w:spacing w:val="-3"/>
        </w:rPr>
        <w:t xml:space="preserve">, generan modificaciones en las condiciones de </w:t>
      </w:r>
      <w:r w:rsidR="008C4C17" w:rsidRPr="00BD1319">
        <w:rPr>
          <w:rFonts w:cs="Arial"/>
          <w:spacing w:val="-3"/>
        </w:rPr>
        <w:t xml:space="preserve">tales </w:t>
      </w:r>
      <w:r w:rsidR="006E2E3F" w:rsidRPr="00BD1319">
        <w:rPr>
          <w:rFonts w:cs="Arial"/>
          <w:spacing w:val="-3"/>
        </w:rPr>
        <w:t>SE</w:t>
      </w:r>
      <w:r w:rsidRPr="00BD1319">
        <w:rPr>
          <w:rFonts w:cs="Arial"/>
          <w:spacing w:val="-3"/>
        </w:rPr>
        <w:t xml:space="preserve">. Es decir, este numeral constituye uno de los elementos a </w:t>
      </w:r>
      <w:r w:rsidR="008C4C17" w:rsidRPr="00BD1319">
        <w:rPr>
          <w:rFonts w:cs="Arial"/>
          <w:spacing w:val="-3"/>
        </w:rPr>
        <w:t xml:space="preserve">emplear </w:t>
      </w:r>
      <w:r w:rsidRPr="00BD1319">
        <w:rPr>
          <w:rFonts w:cs="Arial"/>
          <w:spacing w:val="-3"/>
        </w:rPr>
        <w:t xml:space="preserve">para el desarrollo de la </w:t>
      </w:r>
      <w:proofErr w:type="gramStart"/>
      <w:r w:rsidRPr="00BD1319">
        <w:rPr>
          <w:rFonts w:cs="Arial"/>
          <w:spacing w:val="-3"/>
        </w:rPr>
        <w:t>zonificación ambiental y la evaluación ambiental</w:t>
      </w:r>
      <w:proofErr w:type="gramEnd"/>
      <w:r w:rsidRPr="00BD1319">
        <w:rPr>
          <w:rFonts w:cs="Arial"/>
          <w:spacing w:val="-3"/>
        </w:rPr>
        <w:t xml:space="preserve"> (numerales </w:t>
      </w:r>
      <w:r w:rsidR="00501EC4" w:rsidRPr="00BD1319">
        <w:rPr>
          <w:rFonts w:cs="Arial"/>
          <w:spacing w:val="-3"/>
        </w:rPr>
        <w:t>5</w:t>
      </w:r>
      <w:r w:rsidRPr="00BD1319">
        <w:rPr>
          <w:rFonts w:cs="Arial"/>
          <w:spacing w:val="-3"/>
        </w:rPr>
        <w:t xml:space="preserve"> y </w:t>
      </w:r>
      <w:r w:rsidR="00501EC4" w:rsidRPr="00BD1319">
        <w:rPr>
          <w:rFonts w:cs="Arial"/>
          <w:spacing w:val="-3"/>
        </w:rPr>
        <w:t>7</w:t>
      </w:r>
      <w:r w:rsidRPr="00BD1319">
        <w:rPr>
          <w:rFonts w:cs="Arial"/>
          <w:spacing w:val="-3"/>
        </w:rPr>
        <w:t xml:space="preserve"> de este </w:t>
      </w:r>
      <w:r w:rsidR="00CB7535" w:rsidRPr="00BD1319">
        <w:rPr>
          <w:rFonts w:cs="Arial"/>
          <w:spacing w:val="-3"/>
        </w:rPr>
        <w:t>capítulo</w:t>
      </w:r>
      <w:r w:rsidRPr="00BD1319">
        <w:rPr>
          <w:rFonts w:cs="Arial"/>
          <w:spacing w:val="-3"/>
        </w:rPr>
        <w:t>, respectivamente).</w:t>
      </w:r>
    </w:p>
    <w:p w14:paraId="22A11027" w14:textId="77777777" w:rsidR="00093AC0" w:rsidRPr="00BD1319" w:rsidRDefault="00093AC0" w:rsidP="00093AC0">
      <w:pPr>
        <w:numPr>
          <w:ilvl w:val="12"/>
          <w:numId w:val="0"/>
        </w:numPr>
        <w:tabs>
          <w:tab w:val="left" w:pos="-2268"/>
        </w:tabs>
        <w:suppressAutoHyphens/>
        <w:rPr>
          <w:rFonts w:cs="Arial"/>
          <w:spacing w:val="-3"/>
        </w:rPr>
      </w:pPr>
    </w:p>
    <w:p w14:paraId="17F578DE" w14:textId="269DF1B1" w:rsidR="00093AC0" w:rsidRPr="00BD1319" w:rsidRDefault="00093AC0">
      <w:pPr>
        <w:numPr>
          <w:ilvl w:val="12"/>
          <w:numId w:val="0"/>
        </w:numPr>
        <w:tabs>
          <w:tab w:val="left" w:pos="-2268"/>
        </w:tabs>
        <w:suppressAutoHyphens/>
        <w:rPr>
          <w:spacing w:val="-3"/>
        </w:rPr>
      </w:pPr>
      <w:r w:rsidRPr="00BD1319">
        <w:rPr>
          <w:rFonts w:cs="Arial"/>
          <w:spacing w:val="-3"/>
        </w:rPr>
        <w:t xml:space="preserve">Asimismo, la </w:t>
      </w:r>
      <w:r w:rsidR="00117721" w:rsidRPr="00BD1319">
        <w:rPr>
          <w:rFonts w:cs="Arial"/>
          <w:spacing w:val="-3"/>
        </w:rPr>
        <w:t xml:space="preserve">caracterización </w:t>
      </w:r>
      <w:r w:rsidRPr="00BD1319">
        <w:rPr>
          <w:rFonts w:cs="Arial"/>
          <w:spacing w:val="-3"/>
        </w:rPr>
        <w:t xml:space="preserve">de los </w:t>
      </w:r>
      <w:r w:rsidR="006E2E3F" w:rsidRPr="00BD1319">
        <w:rPr>
          <w:rFonts w:cs="Arial"/>
          <w:spacing w:val="-3"/>
        </w:rPr>
        <w:t>SE</w:t>
      </w:r>
      <w:r w:rsidRPr="00BD1319">
        <w:rPr>
          <w:rFonts w:cs="Arial"/>
          <w:spacing w:val="-3"/>
        </w:rPr>
        <w:t xml:space="preserve"> constituye el fundamento para el desarrollo de la Evaluación Económica Ambiental (EEA), herramienta que evalúa el cambio que ocurriría en </w:t>
      </w:r>
      <w:r w:rsidRPr="00BD1319">
        <w:rPr>
          <w:spacing w:val="-3"/>
        </w:rPr>
        <w:t xml:space="preserve">el bienestar </w:t>
      </w:r>
      <w:r w:rsidRPr="00BD1319">
        <w:rPr>
          <w:rFonts w:cs="Arial"/>
          <w:spacing w:val="-3"/>
        </w:rPr>
        <w:t xml:space="preserve">de la población dada la ejecución de un proyecto, obra o actividad, y que toma como base de su análisis, los cambios que tal propuesta </w:t>
      </w:r>
      <w:r w:rsidR="00BD4398" w:rsidRPr="00BD1319">
        <w:rPr>
          <w:rFonts w:cs="Arial"/>
          <w:spacing w:val="-3"/>
        </w:rPr>
        <w:t xml:space="preserve">generaría </w:t>
      </w:r>
      <w:r w:rsidRPr="00BD1319">
        <w:rPr>
          <w:rFonts w:cs="Arial"/>
          <w:spacing w:val="-3"/>
        </w:rPr>
        <w:t xml:space="preserve">en diferentes parámetros ambientales, </w:t>
      </w:r>
      <w:r w:rsidR="006E2E3F" w:rsidRPr="00BD1319">
        <w:rPr>
          <w:rFonts w:cs="Arial"/>
          <w:spacing w:val="-3"/>
        </w:rPr>
        <w:t>SE</w:t>
      </w:r>
      <w:r w:rsidRPr="00BD1319">
        <w:rPr>
          <w:rFonts w:cs="Arial"/>
          <w:spacing w:val="-3"/>
        </w:rPr>
        <w:t xml:space="preserve"> </w:t>
      </w:r>
      <w:r w:rsidR="00117721" w:rsidRPr="00BD1319">
        <w:rPr>
          <w:rFonts w:cs="Arial"/>
          <w:spacing w:val="-3"/>
        </w:rPr>
        <w:t>o</w:t>
      </w:r>
      <w:r w:rsidRPr="00BD1319">
        <w:rPr>
          <w:rFonts w:cs="Arial"/>
          <w:spacing w:val="-3"/>
        </w:rPr>
        <w:t xml:space="preserve"> en otros elementos generadores de bienestar. La </w:t>
      </w:r>
      <w:r w:rsidR="002B1773" w:rsidRPr="00BD1319">
        <w:rPr>
          <w:rFonts w:cs="Arial"/>
          <w:spacing w:val="-3"/>
        </w:rPr>
        <w:t xml:space="preserve">definición </w:t>
      </w:r>
      <w:r w:rsidRPr="00BD1319">
        <w:rPr>
          <w:rFonts w:cs="Arial"/>
          <w:spacing w:val="-3"/>
        </w:rPr>
        <w:t xml:space="preserve">de indicadores es necesaria y fundamental tanto para la evaluación de los </w:t>
      </w:r>
      <w:r w:rsidR="006E2E3F" w:rsidRPr="00BD1319">
        <w:rPr>
          <w:rFonts w:cs="Arial"/>
          <w:spacing w:val="-3"/>
        </w:rPr>
        <w:t>SE</w:t>
      </w:r>
      <w:r w:rsidRPr="00BD1319">
        <w:rPr>
          <w:rFonts w:cs="Arial"/>
          <w:spacing w:val="-3"/>
        </w:rPr>
        <w:t xml:space="preserve">, como para la EEA, pues es a partir de ellos, que se miden los cambios del sistema y se desarrolla </w:t>
      </w:r>
      <w:r w:rsidR="000F1A7E" w:rsidRPr="00BD1319">
        <w:rPr>
          <w:rFonts w:cs="Arial"/>
          <w:spacing w:val="-3"/>
        </w:rPr>
        <w:t xml:space="preserve">tanto la caracterización de SE como </w:t>
      </w:r>
      <w:r w:rsidRPr="00BD1319">
        <w:rPr>
          <w:rFonts w:cs="Arial"/>
          <w:spacing w:val="-3"/>
        </w:rPr>
        <w:t xml:space="preserve">la </w:t>
      </w:r>
      <w:r w:rsidR="000F1A7E" w:rsidRPr="00BD1319">
        <w:rPr>
          <w:rFonts w:cs="Arial"/>
          <w:spacing w:val="-3"/>
        </w:rPr>
        <w:t>EEA</w:t>
      </w:r>
      <w:r w:rsidRPr="00BD1319">
        <w:rPr>
          <w:spacing w:val="-3"/>
        </w:rPr>
        <w:t>.</w:t>
      </w:r>
    </w:p>
    <w:p w14:paraId="3F2AA82D" w14:textId="77777777" w:rsidR="00093AC0" w:rsidRPr="00BD1319" w:rsidRDefault="00093AC0">
      <w:pPr>
        <w:numPr>
          <w:ilvl w:val="12"/>
          <w:numId w:val="0"/>
        </w:numPr>
        <w:tabs>
          <w:tab w:val="left" w:pos="-2268"/>
        </w:tabs>
        <w:suppressAutoHyphens/>
        <w:rPr>
          <w:spacing w:val="-3"/>
        </w:rPr>
      </w:pPr>
    </w:p>
    <w:p w14:paraId="6282A3C8" w14:textId="41C02F6E" w:rsidR="00093AC0" w:rsidRPr="00BD1319" w:rsidRDefault="00093AC0" w:rsidP="00093AC0">
      <w:pPr>
        <w:numPr>
          <w:ilvl w:val="12"/>
          <w:numId w:val="0"/>
        </w:numPr>
        <w:tabs>
          <w:tab w:val="left" w:pos="-2268"/>
        </w:tabs>
        <w:suppressAutoHyphens/>
        <w:rPr>
          <w:rFonts w:cs="Arial"/>
          <w:spacing w:val="-3"/>
        </w:rPr>
      </w:pPr>
      <w:r w:rsidRPr="00BD1319">
        <w:rPr>
          <w:rFonts w:cs="Arial"/>
          <w:spacing w:val="-3"/>
        </w:rPr>
        <w:t xml:space="preserve">El estado de línea base de los </w:t>
      </w:r>
      <w:r w:rsidR="006E2E3F" w:rsidRPr="00BD1319">
        <w:rPr>
          <w:rFonts w:cs="Arial"/>
          <w:spacing w:val="-3"/>
        </w:rPr>
        <w:t>SE</w:t>
      </w:r>
      <w:r w:rsidRPr="00BD1319">
        <w:rPr>
          <w:rFonts w:cs="Arial"/>
          <w:spacing w:val="-3"/>
        </w:rPr>
        <w:t xml:space="preserve">, la localización espacial de tales </w:t>
      </w:r>
      <w:r w:rsidR="006E2E3F" w:rsidRPr="00BD1319">
        <w:rPr>
          <w:rFonts w:cs="Arial"/>
          <w:spacing w:val="-3"/>
        </w:rPr>
        <w:t>SE</w:t>
      </w:r>
      <w:r w:rsidRPr="00BD1319">
        <w:rPr>
          <w:rFonts w:cs="Arial"/>
          <w:spacing w:val="-3"/>
        </w:rPr>
        <w:t xml:space="preserve"> y de sus beneficiarios, así como la forma en que se impactarían dada la ejecución del proyecto, obra o actividad, brindan las pautas para la formulación integral de medidas que tengan la capacidad de </w:t>
      </w:r>
      <w:r w:rsidR="00085DCC" w:rsidRPr="00BD1319">
        <w:rPr>
          <w:rFonts w:cs="Arial"/>
          <w:spacing w:val="-3"/>
        </w:rPr>
        <w:t xml:space="preserve">manejar </w:t>
      </w:r>
      <w:r w:rsidRPr="00BD1319">
        <w:rPr>
          <w:rFonts w:cs="Arial"/>
          <w:spacing w:val="-3"/>
        </w:rPr>
        <w:t xml:space="preserve">de forma eficaz sus impactos ambientales, gracias a que la visión </w:t>
      </w:r>
      <w:r w:rsidR="00117721" w:rsidRPr="00BD1319">
        <w:rPr>
          <w:rFonts w:cs="Arial"/>
          <w:spacing w:val="-3"/>
        </w:rPr>
        <w:t xml:space="preserve">con la que se abordan </w:t>
      </w:r>
      <w:r w:rsidRPr="00BD1319">
        <w:rPr>
          <w:rFonts w:cs="Arial"/>
          <w:spacing w:val="-3"/>
        </w:rPr>
        <w:t xml:space="preserve">los </w:t>
      </w:r>
      <w:r w:rsidR="006E2E3F" w:rsidRPr="00BD1319">
        <w:rPr>
          <w:rFonts w:cs="Arial"/>
          <w:spacing w:val="-3"/>
        </w:rPr>
        <w:t>SE</w:t>
      </w:r>
      <w:r w:rsidR="00117721" w:rsidRPr="00BD1319">
        <w:rPr>
          <w:rFonts w:cs="Arial"/>
          <w:spacing w:val="-3"/>
        </w:rPr>
        <w:t xml:space="preserve"> en los estudios ambientales</w:t>
      </w:r>
      <w:r w:rsidRPr="00BD1319">
        <w:rPr>
          <w:rFonts w:cs="Arial"/>
          <w:spacing w:val="-3"/>
        </w:rPr>
        <w:t xml:space="preserve">, </w:t>
      </w:r>
      <w:r w:rsidR="00117721" w:rsidRPr="00BD1319">
        <w:rPr>
          <w:rFonts w:cs="Arial"/>
          <w:spacing w:val="-3"/>
        </w:rPr>
        <w:t xml:space="preserve">es </w:t>
      </w:r>
      <w:r w:rsidRPr="00BD1319">
        <w:rPr>
          <w:rFonts w:cs="Arial"/>
          <w:spacing w:val="-3"/>
        </w:rPr>
        <w:t xml:space="preserve">implícitamente contextual e integradora. </w:t>
      </w:r>
      <w:r w:rsidR="00117721" w:rsidRPr="00BD1319">
        <w:rPr>
          <w:rFonts w:cs="Arial"/>
          <w:spacing w:val="-3"/>
        </w:rPr>
        <w:t>P</w:t>
      </w:r>
      <w:r w:rsidRPr="00BD1319">
        <w:rPr>
          <w:rFonts w:cs="Arial"/>
          <w:spacing w:val="-3"/>
        </w:rPr>
        <w:t xml:space="preserve">or ello, la evaluación de los </w:t>
      </w:r>
      <w:r w:rsidR="006E2E3F" w:rsidRPr="00BD1319">
        <w:rPr>
          <w:rFonts w:cs="Arial"/>
          <w:spacing w:val="-3"/>
        </w:rPr>
        <w:t>SE</w:t>
      </w:r>
      <w:r w:rsidRPr="00BD1319">
        <w:rPr>
          <w:rFonts w:cs="Arial"/>
          <w:spacing w:val="-3"/>
        </w:rPr>
        <w:t xml:space="preserve"> es indispensable para que la autoridad ambiental tome la mejor decisión sobre la viabilidad ambiental de un proyecto, obra o actividad.</w:t>
      </w:r>
    </w:p>
    <w:p w14:paraId="48D21CE7" w14:textId="77777777" w:rsidR="00093AC0" w:rsidRPr="00BD1319" w:rsidRDefault="00093AC0" w:rsidP="00093AC0">
      <w:pPr>
        <w:numPr>
          <w:ilvl w:val="12"/>
          <w:numId w:val="0"/>
        </w:numPr>
        <w:tabs>
          <w:tab w:val="left" w:pos="-2268"/>
        </w:tabs>
        <w:suppressAutoHyphens/>
        <w:rPr>
          <w:rFonts w:cs="Arial"/>
          <w:spacing w:val="-3"/>
        </w:rPr>
      </w:pPr>
    </w:p>
    <w:p w14:paraId="3FAB9D50" w14:textId="2D936F48" w:rsidR="00093AC0" w:rsidRPr="00BD1319" w:rsidRDefault="00093AC0" w:rsidP="00093AC0">
      <w:pPr>
        <w:numPr>
          <w:ilvl w:val="12"/>
          <w:numId w:val="0"/>
        </w:numPr>
        <w:tabs>
          <w:tab w:val="left" w:pos="-2268"/>
        </w:tabs>
        <w:suppressAutoHyphens/>
        <w:rPr>
          <w:rFonts w:cs="Arial"/>
          <w:spacing w:val="-3"/>
        </w:rPr>
      </w:pPr>
      <w:r w:rsidRPr="00BD1319">
        <w:rPr>
          <w:rFonts w:cs="Arial"/>
          <w:spacing w:val="-3"/>
        </w:rPr>
        <w:t xml:space="preserve">Un propósito adicional de este </w:t>
      </w:r>
      <w:r w:rsidR="00434EA7" w:rsidRPr="00BD1319">
        <w:rPr>
          <w:rFonts w:cs="Arial"/>
          <w:spacing w:val="-3"/>
        </w:rPr>
        <w:t>numeral</w:t>
      </w:r>
      <w:r w:rsidRPr="00BD1319">
        <w:rPr>
          <w:rFonts w:cs="Arial"/>
          <w:spacing w:val="-3"/>
        </w:rPr>
        <w:t xml:space="preserve"> es consolidar información </w:t>
      </w:r>
      <w:r w:rsidR="00BA152F" w:rsidRPr="00BD1319">
        <w:rPr>
          <w:rFonts w:cs="Arial"/>
          <w:spacing w:val="-3"/>
        </w:rPr>
        <w:t xml:space="preserve">clave </w:t>
      </w:r>
      <w:r w:rsidR="002868BA" w:rsidRPr="00BD1319">
        <w:rPr>
          <w:rFonts w:cs="Arial"/>
          <w:spacing w:val="-3"/>
        </w:rPr>
        <w:t xml:space="preserve">y sintética </w:t>
      </w:r>
      <w:r w:rsidRPr="00BD1319">
        <w:rPr>
          <w:rFonts w:cs="Arial"/>
          <w:spacing w:val="-3"/>
        </w:rPr>
        <w:t xml:space="preserve">relacionada con los </w:t>
      </w:r>
      <w:r w:rsidR="006E2E3F" w:rsidRPr="00BD1319">
        <w:rPr>
          <w:rFonts w:cs="Arial"/>
          <w:spacing w:val="-3"/>
        </w:rPr>
        <w:t>SE</w:t>
      </w:r>
      <w:r w:rsidRPr="00BD1319">
        <w:rPr>
          <w:rFonts w:cs="Arial"/>
          <w:spacing w:val="-3"/>
        </w:rPr>
        <w:t xml:space="preserve"> así ésta haya </w:t>
      </w:r>
      <w:r w:rsidR="000F1A7E" w:rsidRPr="00BD1319">
        <w:rPr>
          <w:rFonts w:cs="Arial"/>
          <w:spacing w:val="-3"/>
        </w:rPr>
        <w:t xml:space="preserve">sido </w:t>
      </w:r>
      <w:r w:rsidRPr="00BD1319">
        <w:rPr>
          <w:rFonts w:cs="Arial"/>
          <w:spacing w:val="-3"/>
        </w:rPr>
        <w:t>desarrollad</w:t>
      </w:r>
      <w:r w:rsidR="000F1A7E" w:rsidRPr="00BD1319">
        <w:rPr>
          <w:rFonts w:cs="Arial"/>
          <w:spacing w:val="-3"/>
        </w:rPr>
        <w:t>a</w:t>
      </w:r>
      <w:r w:rsidRPr="00BD1319">
        <w:rPr>
          <w:rFonts w:cs="Arial"/>
          <w:spacing w:val="-3"/>
        </w:rPr>
        <w:t xml:space="preserve"> </w:t>
      </w:r>
      <w:r w:rsidR="000F1A7E" w:rsidRPr="00BD1319">
        <w:rPr>
          <w:rFonts w:cs="Arial"/>
          <w:spacing w:val="-3"/>
        </w:rPr>
        <w:t>y presentada</w:t>
      </w:r>
      <w:r w:rsidR="002868BA" w:rsidRPr="00BD1319">
        <w:rPr>
          <w:rFonts w:cs="Arial"/>
          <w:spacing w:val="-3"/>
        </w:rPr>
        <w:t xml:space="preserve"> </w:t>
      </w:r>
      <w:r w:rsidRPr="00BD1319">
        <w:rPr>
          <w:rFonts w:cs="Arial"/>
          <w:spacing w:val="-3"/>
        </w:rPr>
        <w:t xml:space="preserve">en otros numerales del estudio ambiental; </w:t>
      </w:r>
      <w:r w:rsidR="002868BA" w:rsidRPr="00BD1319">
        <w:rPr>
          <w:rFonts w:cs="Arial"/>
          <w:spacing w:val="-3"/>
        </w:rPr>
        <w:t>de esta forma</w:t>
      </w:r>
      <w:r w:rsidRPr="00BD1319">
        <w:rPr>
          <w:rFonts w:cs="Arial"/>
          <w:spacing w:val="-3"/>
        </w:rPr>
        <w:t xml:space="preserve">, </w:t>
      </w:r>
      <w:r w:rsidR="00117721" w:rsidRPr="00BD1319">
        <w:rPr>
          <w:rFonts w:cs="Arial"/>
          <w:spacing w:val="-3"/>
        </w:rPr>
        <w:t xml:space="preserve">para complementar </w:t>
      </w:r>
      <w:r w:rsidRPr="00BD1319">
        <w:rPr>
          <w:rFonts w:cs="Arial"/>
          <w:spacing w:val="-3"/>
        </w:rPr>
        <w:t xml:space="preserve">la información sobre el estado de los </w:t>
      </w:r>
      <w:r w:rsidR="006E2E3F" w:rsidRPr="00BD1319">
        <w:rPr>
          <w:rFonts w:cs="Arial"/>
          <w:spacing w:val="-3"/>
        </w:rPr>
        <w:t>SE</w:t>
      </w:r>
      <w:r w:rsidRPr="00BD1319">
        <w:rPr>
          <w:rFonts w:cs="Arial"/>
          <w:spacing w:val="-3"/>
        </w:rPr>
        <w:t xml:space="preserve">, sus beneficiarios y sus tendencias futuras en el escenario </w:t>
      </w:r>
      <w:r w:rsidRPr="00BD1319">
        <w:rPr>
          <w:rFonts w:cs="Arial"/>
          <w:spacing w:val="-3"/>
        </w:rPr>
        <w:lastRenderedPageBreak/>
        <w:t xml:space="preserve">sin proyecto, </w:t>
      </w:r>
      <w:r w:rsidR="00117721" w:rsidRPr="00BD1319">
        <w:rPr>
          <w:rFonts w:cs="Arial"/>
          <w:spacing w:val="-3"/>
        </w:rPr>
        <w:t xml:space="preserve">en este </w:t>
      </w:r>
      <w:r w:rsidR="002868BA" w:rsidRPr="00BD1319">
        <w:rPr>
          <w:rFonts w:cs="Arial"/>
          <w:spacing w:val="-3"/>
        </w:rPr>
        <w:t>aparte del estudio ambiental</w:t>
      </w:r>
      <w:r w:rsidR="00117721" w:rsidRPr="00BD1319">
        <w:rPr>
          <w:rFonts w:cs="Arial"/>
          <w:spacing w:val="-3"/>
        </w:rPr>
        <w:t xml:space="preserve"> </w:t>
      </w:r>
      <w:r w:rsidRPr="00BD1319">
        <w:rPr>
          <w:rFonts w:cs="Arial"/>
          <w:spacing w:val="-3"/>
        </w:rPr>
        <w:t>se debe</w:t>
      </w:r>
      <w:r w:rsidR="002868BA" w:rsidRPr="00BD1319">
        <w:rPr>
          <w:rFonts w:cs="Arial"/>
          <w:spacing w:val="-3"/>
        </w:rPr>
        <w:t>n</w:t>
      </w:r>
      <w:r w:rsidRPr="00BD1319">
        <w:rPr>
          <w:rFonts w:cs="Arial"/>
          <w:spacing w:val="-3"/>
        </w:rPr>
        <w:t xml:space="preserve"> </w:t>
      </w:r>
      <w:r w:rsidRPr="00BD1319">
        <w:rPr>
          <w:rFonts w:cs="Arial"/>
          <w:i/>
          <w:iCs/>
          <w:spacing w:val="-3"/>
        </w:rPr>
        <w:t>mencionar</w:t>
      </w:r>
      <w:r w:rsidRPr="00BD1319">
        <w:rPr>
          <w:rFonts w:cs="Arial"/>
          <w:spacing w:val="-3"/>
        </w:rPr>
        <w:t xml:space="preserve"> los impactos ambientales sobre los </w:t>
      </w:r>
      <w:r w:rsidR="006E2E3F" w:rsidRPr="00BD1319">
        <w:rPr>
          <w:rFonts w:cs="Arial"/>
          <w:spacing w:val="-3"/>
        </w:rPr>
        <w:t>SE</w:t>
      </w:r>
      <w:r w:rsidR="002868BA" w:rsidRPr="00BD1319">
        <w:rPr>
          <w:rFonts w:cs="Arial"/>
          <w:spacing w:val="-3"/>
        </w:rPr>
        <w:t xml:space="preserve"> </w:t>
      </w:r>
      <w:r w:rsidR="000F1A7E" w:rsidRPr="00BD1319">
        <w:rPr>
          <w:rFonts w:cs="Arial"/>
          <w:spacing w:val="-3"/>
        </w:rPr>
        <w:t xml:space="preserve">y </w:t>
      </w:r>
      <w:r w:rsidRPr="00BD1319">
        <w:rPr>
          <w:rFonts w:cs="Arial"/>
          <w:spacing w:val="-3"/>
        </w:rPr>
        <w:t xml:space="preserve">la calificación </w:t>
      </w:r>
      <w:r w:rsidR="0004417E" w:rsidRPr="00BD1319">
        <w:rPr>
          <w:rFonts w:cs="Arial"/>
          <w:spacing w:val="-3"/>
        </w:rPr>
        <w:t xml:space="preserve">normalizada </w:t>
      </w:r>
      <w:r w:rsidRPr="00BD1319">
        <w:rPr>
          <w:rFonts w:cs="Arial"/>
          <w:spacing w:val="-3"/>
        </w:rPr>
        <w:t xml:space="preserve">de </w:t>
      </w:r>
      <w:r w:rsidR="00117721" w:rsidRPr="00BD1319">
        <w:rPr>
          <w:rFonts w:cs="Arial"/>
          <w:spacing w:val="-3"/>
        </w:rPr>
        <w:t>los mismos</w:t>
      </w:r>
      <w:r w:rsidRPr="00BD1319">
        <w:rPr>
          <w:rFonts w:cs="Arial"/>
          <w:spacing w:val="-3"/>
        </w:rPr>
        <w:t>. Estos datos deben incluirse en una tabla</w:t>
      </w:r>
      <w:r w:rsidR="000F1A7E" w:rsidRPr="00BD1319">
        <w:rPr>
          <w:rFonts w:cs="Arial"/>
          <w:spacing w:val="-3"/>
        </w:rPr>
        <w:t xml:space="preserve"> que sintetice la información más importante respecto de los SE</w:t>
      </w:r>
      <w:r w:rsidR="002868BA" w:rsidRPr="00BD1319">
        <w:rPr>
          <w:rFonts w:cs="Arial"/>
          <w:spacing w:val="-3"/>
        </w:rPr>
        <w:t>,</w:t>
      </w:r>
      <w:r w:rsidRPr="00BD1319">
        <w:rPr>
          <w:rFonts w:cs="Arial"/>
          <w:spacing w:val="-3"/>
        </w:rPr>
        <w:t xml:space="preserve"> </w:t>
      </w:r>
      <w:r w:rsidR="002868BA" w:rsidRPr="00BD1319">
        <w:rPr>
          <w:rFonts w:cs="Arial"/>
          <w:spacing w:val="-3"/>
        </w:rPr>
        <w:t xml:space="preserve">tomando el modelo de la </w:t>
      </w:r>
      <w:r w:rsidR="003968FB" w:rsidRPr="00BD1319">
        <w:rPr>
          <w:rFonts w:cs="Arial"/>
          <w:spacing w:val="-3"/>
        </w:rPr>
        <w:fldChar w:fldCharType="begin"/>
      </w:r>
      <w:r w:rsidR="003968FB" w:rsidRPr="00BD1319">
        <w:rPr>
          <w:rFonts w:cs="Arial"/>
          <w:spacing w:val="-3"/>
        </w:rPr>
        <w:instrText xml:space="preserve"> REF _Ref78536291 \h  \* MERGEFORMAT </w:instrText>
      </w:r>
      <w:r w:rsidR="003968FB" w:rsidRPr="00BD1319">
        <w:rPr>
          <w:rFonts w:cs="Arial"/>
          <w:spacing w:val="-3"/>
        </w:rPr>
      </w:r>
      <w:r w:rsidR="003968FB" w:rsidRPr="00BD1319">
        <w:rPr>
          <w:rFonts w:cs="Arial"/>
          <w:spacing w:val="-3"/>
        </w:rPr>
        <w:fldChar w:fldCharType="separate"/>
      </w:r>
      <w:r w:rsidR="00296654" w:rsidRPr="00BD1319">
        <w:rPr>
          <w:rFonts w:cs="Arial"/>
          <w:spacing w:val="-3"/>
        </w:rPr>
        <w:t>Tabla 29</w:t>
      </w:r>
      <w:r w:rsidR="003968FB" w:rsidRPr="00BD1319">
        <w:rPr>
          <w:rFonts w:cs="Arial"/>
          <w:spacing w:val="-3"/>
        </w:rPr>
        <w:fldChar w:fldCharType="end"/>
      </w:r>
      <w:r w:rsidR="000F1A7E" w:rsidRPr="00BD1319">
        <w:rPr>
          <w:rFonts w:cs="Arial"/>
          <w:spacing w:val="-3"/>
        </w:rPr>
        <w:t xml:space="preserve"> del presente documento</w:t>
      </w:r>
      <w:r w:rsidRPr="00BD1319">
        <w:rPr>
          <w:rFonts w:cs="Arial"/>
          <w:spacing w:val="-3"/>
        </w:rPr>
        <w:t>.</w:t>
      </w:r>
    </w:p>
    <w:p w14:paraId="35BEE645" w14:textId="77777777" w:rsidR="00093AC0" w:rsidRPr="00BD1319" w:rsidRDefault="00093AC0" w:rsidP="00093AC0">
      <w:pPr>
        <w:numPr>
          <w:ilvl w:val="12"/>
          <w:numId w:val="0"/>
        </w:numPr>
        <w:tabs>
          <w:tab w:val="left" w:pos="-2268"/>
        </w:tabs>
        <w:suppressAutoHyphens/>
        <w:rPr>
          <w:rFonts w:cs="Arial"/>
          <w:spacing w:val="-3"/>
        </w:rPr>
      </w:pPr>
    </w:p>
    <w:p w14:paraId="4906995E" w14:textId="15E58909" w:rsidR="005A0DD9" w:rsidRPr="00BD1319" w:rsidRDefault="005A0DD9" w:rsidP="00216955">
      <w:pPr>
        <w:pStyle w:val="Ttulo3"/>
      </w:pPr>
      <w:bookmarkStart w:id="2986" w:name="_Toc175326777"/>
      <w:r w:rsidRPr="00BD1319">
        <w:t>Procedimiento general para caracterizar los SE</w:t>
      </w:r>
      <w:bookmarkEnd w:id="2986"/>
    </w:p>
    <w:p w14:paraId="1D369194" w14:textId="77777777" w:rsidR="005A0DD9" w:rsidRPr="00BD1319" w:rsidRDefault="005A0DD9" w:rsidP="00093AC0">
      <w:pPr>
        <w:numPr>
          <w:ilvl w:val="12"/>
          <w:numId w:val="0"/>
        </w:numPr>
        <w:tabs>
          <w:tab w:val="left" w:pos="-2268"/>
        </w:tabs>
        <w:suppressAutoHyphens/>
        <w:rPr>
          <w:rFonts w:cs="Arial"/>
          <w:spacing w:val="-3"/>
        </w:rPr>
      </w:pPr>
    </w:p>
    <w:p w14:paraId="2178A26B" w14:textId="6060CAC6" w:rsidR="003B4E8F" w:rsidRPr="00BD1319" w:rsidRDefault="00AB142C" w:rsidP="00093AC0">
      <w:pPr>
        <w:numPr>
          <w:ilvl w:val="12"/>
          <w:numId w:val="0"/>
        </w:numPr>
        <w:tabs>
          <w:tab w:val="left" w:pos="-2268"/>
        </w:tabs>
        <w:suppressAutoHyphens/>
        <w:rPr>
          <w:rFonts w:cs="Arial"/>
          <w:spacing w:val="-3"/>
        </w:rPr>
      </w:pPr>
      <w:r w:rsidRPr="00BD1319">
        <w:rPr>
          <w:rFonts w:cs="Arial"/>
          <w:spacing w:val="-3"/>
        </w:rPr>
        <w:t xml:space="preserve">Para caracterizar los SE es necesario </w:t>
      </w:r>
      <w:r w:rsidR="00093AC0" w:rsidRPr="00BD1319">
        <w:rPr>
          <w:spacing w:val="-3"/>
        </w:rPr>
        <w:t>defini</w:t>
      </w:r>
      <w:r w:rsidR="00B31D36" w:rsidRPr="00BD1319">
        <w:rPr>
          <w:spacing w:val="-3"/>
        </w:rPr>
        <w:t xml:space="preserve">r </w:t>
      </w:r>
      <w:r w:rsidR="00093AC0" w:rsidRPr="00BD1319">
        <w:rPr>
          <w:spacing w:val="-3"/>
        </w:rPr>
        <w:t>unidad</w:t>
      </w:r>
      <w:r w:rsidR="00B31D36" w:rsidRPr="00BD1319">
        <w:rPr>
          <w:spacing w:val="-3"/>
        </w:rPr>
        <w:t>es</w:t>
      </w:r>
      <w:r w:rsidR="00093AC0" w:rsidRPr="00BD1319">
        <w:rPr>
          <w:spacing w:val="-3"/>
        </w:rPr>
        <w:t xml:space="preserve"> de análisis, clasifica</w:t>
      </w:r>
      <w:r w:rsidR="00B31D36" w:rsidRPr="00BD1319">
        <w:rPr>
          <w:spacing w:val="-3"/>
        </w:rPr>
        <w:t>r</w:t>
      </w:r>
      <w:r w:rsidR="00093AC0" w:rsidRPr="00BD1319">
        <w:rPr>
          <w:spacing w:val="-3"/>
        </w:rPr>
        <w:t xml:space="preserve"> </w:t>
      </w:r>
      <w:r w:rsidR="00B31D36" w:rsidRPr="00BD1319">
        <w:rPr>
          <w:spacing w:val="-3"/>
        </w:rPr>
        <w:t xml:space="preserve">los </w:t>
      </w:r>
      <w:r w:rsidR="006E2E3F" w:rsidRPr="00BD1319">
        <w:rPr>
          <w:spacing w:val="-3"/>
        </w:rPr>
        <w:t>SE</w:t>
      </w:r>
      <w:r w:rsidR="00093AC0" w:rsidRPr="00BD1319">
        <w:rPr>
          <w:spacing w:val="-3"/>
        </w:rPr>
        <w:t xml:space="preserve"> </w:t>
      </w:r>
      <w:r w:rsidR="00093AC0" w:rsidRPr="00BD1319">
        <w:rPr>
          <w:rFonts w:cs="Arial"/>
          <w:spacing w:val="-3"/>
        </w:rPr>
        <w:t xml:space="preserve">y </w:t>
      </w:r>
      <w:r w:rsidR="007B605B" w:rsidRPr="00BD1319">
        <w:rPr>
          <w:rFonts w:cs="Arial"/>
          <w:spacing w:val="-3"/>
        </w:rPr>
        <w:t>evalua</w:t>
      </w:r>
      <w:r w:rsidR="00B31D36" w:rsidRPr="00BD1319">
        <w:rPr>
          <w:rFonts w:cs="Arial"/>
          <w:spacing w:val="-3"/>
        </w:rPr>
        <w:t xml:space="preserve">r </w:t>
      </w:r>
      <w:r w:rsidRPr="00BD1319">
        <w:rPr>
          <w:rFonts w:cs="Arial"/>
          <w:spacing w:val="-3"/>
        </w:rPr>
        <w:t>y d</w:t>
      </w:r>
      <w:r w:rsidRPr="00BD1319">
        <w:rPr>
          <w:spacing w:val="-3"/>
        </w:rPr>
        <w:t>escri</w:t>
      </w:r>
      <w:r w:rsidR="00B31D36" w:rsidRPr="00BD1319">
        <w:rPr>
          <w:spacing w:val="-3"/>
        </w:rPr>
        <w:t xml:space="preserve">bir </w:t>
      </w:r>
      <w:r w:rsidR="00093AC0" w:rsidRPr="00BD1319">
        <w:rPr>
          <w:rFonts w:cs="Arial"/>
          <w:spacing w:val="-3"/>
        </w:rPr>
        <w:t xml:space="preserve">los </w:t>
      </w:r>
      <w:r w:rsidR="006E2E3F" w:rsidRPr="00BD1319">
        <w:rPr>
          <w:rFonts w:cs="Arial"/>
          <w:spacing w:val="-3"/>
        </w:rPr>
        <w:t>SE</w:t>
      </w:r>
      <w:r w:rsidRPr="00BD1319">
        <w:rPr>
          <w:rFonts w:cs="Arial"/>
          <w:spacing w:val="-3"/>
          <w:vertAlign w:val="superscript"/>
        </w:rPr>
        <w:footnoteReference w:id="163"/>
      </w:r>
      <w:r w:rsidR="002C59A5" w:rsidRPr="00BD1319">
        <w:rPr>
          <w:rFonts w:cs="Arial"/>
          <w:spacing w:val="-3"/>
        </w:rPr>
        <w:t>.</w:t>
      </w:r>
      <w:r w:rsidRPr="00BD1319">
        <w:rPr>
          <w:rFonts w:cs="Arial"/>
          <w:spacing w:val="-3"/>
        </w:rPr>
        <w:t xml:space="preserve"> E</w:t>
      </w:r>
      <w:r w:rsidR="003B4E8F" w:rsidRPr="00BD1319">
        <w:rPr>
          <w:rFonts w:cs="Arial"/>
          <w:spacing w:val="-3"/>
        </w:rPr>
        <w:t xml:space="preserve">n razón a que </w:t>
      </w:r>
      <w:r w:rsidRPr="00BD1319">
        <w:rPr>
          <w:rFonts w:cs="Arial"/>
          <w:spacing w:val="-3"/>
        </w:rPr>
        <w:t xml:space="preserve">esta tarea </w:t>
      </w:r>
      <w:r w:rsidR="003B4E8F" w:rsidRPr="00BD1319">
        <w:rPr>
          <w:rFonts w:cs="Arial"/>
          <w:spacing w:val="-3"/>
        </w:rPr>
        <w:t xml:space="preserve">implica un alto grado de complejidad, </w:t>
      </w:r>
      <w:r w:rsidRPr="00BD1319">
        <w:rPr>
          <w:rFonts w:cs="Arial"/>
          <w:spacing w:val="-3"/>
        </w:rPr>
        <w:t xml:space="preserve">es fundamental adelantarla </w:t>
      </w:r>
      <w:r w:rsidR="003B4E8F" w:rsidRPr="00BD1319">
        <w:rPr>
          <w:rFonts w:cs="Arial"/>
          <w:spacing w:val="-3"/>
        </w:rPr>
        <w:t>mediante un trabajo interdisciplinar en el que se complementen los enfoques y métodos propios de las ciencias naturales y de las ciencias sociales.</w:t>
      </w:r>
    </w:p>
    <w:p w14:paraId="798FB47E" w14:textId="77777777" w:rsidR="00093AC0" w:rsidRPr="00BD1319" w:rsidRDefault="00093AC0">
      <w:pPr>
        <w:numPr>
          <w:ilvl w:val="12"/>
          <w:numId w:val="0"/>
        </w:numPr>
        <w:tabs>
          <w:tab w:val="left" w:pos="-2268"/>
        </w:tabs>
        <w:suppressAutoHyphens/>
        <w:rPr>
          <w:spacing w:val="-3"/>
        </w:rPr>
      </w:pPr>
    </w:p>
    <w:p w14:paraId="514B1D86" w14:textId="5F0967CD" w:rsidR="00970A40" w:rsidRPr="00BD1319" w:rsidRDefault="00B31D36" w:rsidP="00970A40">
      <w:pPr>
        <w:numPr>
          <w:ilvl w:val="12"/>
          <w:numId w:val="0"/>
        </w:numPr>
        <w:tabs>
          <w:tab w:val="left" w:pos="-2268"/>
        </w:tabs>
        <w:suppressAutoHyphens/>
        <w:rPr>
          <w:spacing w:val="-3"/>
        </w:rPr>
      </w:pPr>
      <w:r w:rsidRPr="00BD1319">
        <w:rPr>
          <w:spacing w:val="-3"/>
        </w:rPr>
        <w:t xml:space="preserve">El desarrollo de estas actividades de </w:t>
      </w:r>
      <w:r w:rsidR="00970A40" w:rsidRPr="00BD1319">
        <w:rPr>
          <w:spacing w:val="-3"/>
        </w:rPr>
        <w:t>caracterización</w:t>
      </w:r>
      <w:r w:rsidRPr="00BD1319">
        <w:rPr>
          <w:spacing w:val="-3"/>
        </w:rPr>
        <w:t>,</w:t>
      </w:r>
      <w:r w:rsidR="00970A40" w:rsidRPr="00BD1319">
        <w:rPr>
          <w:spacing w:val="-3"/>
        </w:rPr>
        <w:t xml:space="preserve"> </w:t>
      </w:r>
      <w:r w:rsidRPr="00BD1319">
        <w:rPr>
          <w:spacing w:val="-3"/>
        </w:rPr>
        <w:t xml:space="preserve">que implica la definición de </w:t>
      </w:r>
      <w:r w:rsidR="00970A40" w:rsidRPr="00BD1319">
        <w:rPr>
          <w:spacing w:val="-3"/>
        </w:rPr>
        <w:t>indicadores, unidades de medida,</w:t>
      </w:r>
      <w:r w:rsidRPr="00BD1319">
        <w:rPr>
          <w:spacing w:val="-3"/>
        </w:rPr>
        <w:t xml:space="preserve"> </w:t>
      </w:r>
      <w:r w:rsidR="00970A40" w:rsidRPr="00BD1319">
        <w:rPr>
          <w:spacing w:val="-3"/>
        </w:rPr>
        <w:t xml:space="preserve">métodos de </w:t>
      </w:r>
      <w:r w:rsidRPr="00BD1319">
        <w:rPr>
          <w:spacing w:val="-3"/>
        </w:rPr>
        <w:t>evaluación y mecanismos de presentación de la información</w:t>
      </w:r>
      <w:r w:rsidR="00970A40" w:rsidRPr="00BD1319">
        <w:rPr>
          <w:spacing w:val="-3"/>
        </w:rPr>
        <w:t xml:space="preserve">, </w:t>
      </w:r>
      <w:r w:rsidR="00800CB4" w:rsidRPr="00BD1319">
        <w:rPr>
          <w:spacing w:val="-3"/>
        </w:rPr>
        <w:t xml:space="preserve">debe </w:t>
      </w:r>
      <w:r w:rsidR="00970A40" w:rsidRPr="00BD1319">
        <w:rPr>
          <w:rFonts w:cs="Arial"/>
          <w:spacing w:val="-3"/>
        </w:rPr>
        <w:t xml:space="preserve">partir de </w:t>
      </w:r>
      <w:r w:rsidR="00970A40" w:rsidRPr="00BD1319">
        <w:rPr>
          <w:spacing w:val="-3"/>
        </w:rPr>
        <w:t xml:space="preserve">las </w:t>
      </w:r>
      <w:r w:rsidR="00970A40" w:rsidRPr="00BD1319">
        <w:rPr>
          <w:i/>
          <w:spacing w:val="-3"/>
        </w:rPr>
        <w:t xml:space="preserve">relaciones </w:t>
      </w:r>
      <w:r w:rsidR="00970A40" w:rsidRPr="00BD1319">
        <w:rPr>
          <w:rFonts w:cs="Arial"/>
          <w:i/>
          <w:spacing w:val="-3"/>
        </w:rPr>
        <w:t>teóricas</w:t>
      </w:r>
      <w:r w:rsidR="00970A40" w:rsidRPr="00BD1319">
        <w:rPr>
          <w:rFonts w:cs="Arial"/>
          <w:spacing w:val="-3"/>
        </w:rPr>
        <w:t xml:space="preserve"> que existen </w:t>
      </w:r>
      <w:r w:rsidR="00970A40" w:rsidRPr="00BD1319">
        <w:rPr>
          <w:spacing w:val="-3"/>
        </w:rPr>
        <w:t xml:space="preserve">entre procesos ecosistémicos, funciones ecosistémicas, estructuras y SE, </w:t>
      </w:r>
      <w:r w:rsidR="00970A40" w:rsidRPr="00BD1319">
        <w:rPr>
          <w:rFonts w:cs="Arial"/>
          <w:spacing w:val="-3"/>
        </w:rPr>
        <w:t>identificando para el caso de estudio,</w:t>
      </w:r>
      <w:r w:rsidR="00970A40" w:rsidRPr="00BD1319">
        <w:rPr>
          <w:spacing w:val="-3"/>
        </w:rPr>
        <w:t xml:space="preserve"> qué procesos permiten el desarrollo de qué funciones, qué funciones se vinculan a qué estructuras, y qué estructuras proveen cuáles SE</w:t>
      </w:r>
      <w:r w:rsidR="00970A40" w:rsidRPr="00BD1319">
        <w:rPr>
          <w:rStyle w:val="Refdenotaalpie"/>
          <w:spacing w:val="-3"/>
          <w:lang w:val="es-CO"/>
        </w:rPr>
        <w:footnoteReference w:id="164"/>
      </w:r>
      <w:r w:rsidR="00970A40" w:rsidRPr="00BD1319">
        <w:rPr>
          <w:spacing w:val="-3"/>
        </w:rPr>
        <w:t>.</w:t>
      </w:r>
    </w:p>
    <w:p w14:paraId="63A52361" w14:textId="77777777" w:rsidR="00970A40" w:rsidRPr="00BD1319" w:rsidRDefault="00970A40">
      <w:pPr>
        <w:numPr>
          <w:ilvl w:val="12"/>
          <w:numId w:val="0"/>
        </w:numPr>
        <w:tabs>
          <w:tab w:val="left" w:pos="-2268"/>
        </w:tabs>
        <w:suppressAutoHyphens/>
        <w:rPr>
          <w:spacing w:val="-3"/>
        </w:rPr>
      </w:pPr>
    </w:p>
    <w:p w14:paraId="190C4D65" w14:textId="421E9E78" w:rsidR="00093AC0" w:rsidRPr="00BD1319" w:rsidRDefault="00093AC0" w:rsidP="009420F5">
      <w:pPr>
        <w:pStyle w:val="Ttulo4"/>
        <w:tabs>
          <w:tab w:val="clear" w:pos="1844"/>
          <w:tab w:val="num" w:pos="1134"/>
        </w:tabs>
        <w:ind w:left="0"/>
        <w:rPr>
          <w:lang w:val="es-CO"/>
        </w:rPr>
      </w:pPr>
      <w:bookmarkStart w:id="2987" w:name="_Toc515787473"/>
      <w:bookmarkStart w:id="2988" w:name="_Toc515789173"/>
      <w:bookmarkStart w:id="2989" w:name="_Toc515790022"/>
      <w:bookmarkStart w:id="2990" w:name="_Toc515790871"/>
      <w:bookmarkStart w:id="2991" w:name="_Toc515791726"/>
      <w:bookmarkStart w:id="2992" w:name="_Toc515792576"/>
      <w:bookmarkStart w:id="2993" w:name="_Toc515793476"/>
      <w:bookmarkStart w:id="2994" w:name="_Toc515794381"/>
      <w:bookmarkStart w:id="2995" w:name="_Toc515796140"/>
      <w:bookmarkEnd w:id="2987"/>
      <w:bookmarkEnd w:id="2988"/>
      <w:bookmarkEnd w:id="2989"/>
      <w:bookmarkEnd w:id="2990"/>
      <w:bookmarkEnd w:id="2991"/>
      <w:bookmarkEnd w:id="2992"/>
      <w:bookmarkEnd w:id="2993"/>
      <w:bookmarkEnd w:id="2994"/>
      <w:bookmarkEnd w:id="2995"/>
      <w:r w:rsidRPr="00BD1319">
        <w:rPr>
          <w:lang w:val="es-CO"/>
        </w:rPr>
        <w:t>Definición de la</w:t>
      </w:r>
      <w:r w:rsidR="00AB142C" w:rsidRPr="00BD1319">
        <w:rPr>
          <w:lang w:val="es-CO"/>
        </w:rPr>
        <w:t>s</w:t>
      </w:r>
      <w:r w:rsidRPr="00BD1319">
        <w:rPr>
          <w:lang w:val="es-CO"/>
        </w:rPr>
        <w:t xml:space="preserve"> unidad</w:t>
      </w:r>
      <w:r w:rsidR="00AB142C" w:rsidRPr="00BD1319">
        <w:rPr>
          <w:lang w:val="es-CO"/>
        </w:rPr>
        <w:t>es</w:t>
      </w:r>
      <w:r w:rsidRPr="00BD1319">
        <w:rPr>
          <w:lang w:val="es-CO"/>
        </w:rPr>
        <w:t xml:space="preserve"> de análisis</w:t>
      </w:r>
    </w:p>
    <w:p w14:paraId="0801ECD8" w14:textId="77777777" w:rsidR="00093AC0" w:rsidRPr="00BD1319" w:rsidRDefault="00093AC0">
      <w:pPr>
        <w:numPr>
          <w:ilvl w:val="12"/>
          <w:numId w:val="0"/>
        </w:numPr>
        <w:tabs>
          <w:tab w:val="left" w:pos="-2268"/>
        </w:tabs>
        <w:suppressAutoHyphens/>
        <w:rPr>
          <w:spacing w:val="-3"/>
        </w:rPr>
      </w:pPr>
    </w:p>
    <w:p w14:paraId="4CE7C314" w14:textId="7C4FE764" w:rsidR="00093AC0" w:rsidRPr="00BD1319" w:rsidRDefault="00093AC0" w:rsidP="00093AC0">
      <w:pPr>
        <w:numPr>
          <w:ilvl w:val="12"/>
          <w:numId w:val="0"/>
        </w:numPr>
        <w:tabs>
          <w:tab w:val="left" w:pos="-2268"/>
        </w:tabs>
        <w:suppressAutoHyphens/>
        <w:rPr>
          <w:rFonts w:cs="Arial"/>
          <w:spacing w:val="-3"/>
        </w:rPr>
      </w:pPr>
      <w:r w:rsidRPr="00BD1319">
        <w:rPr>
          <w:rFonts w:cs="Arial"/>
          <w:spacing w:val="-3"/>
        </w:rPr>
        <w:t xml:space="preserve">Se deben definir como unidades de análisis para la </w:t>
      </w:r>
      <w:r w:rsidR="00AD3F90" w:rsidRPr="00BD1319">
        <w:rPr>
          <w:rFonts w:cs="Arial"/>
          <w:spacing w:val="-3"/>
        </w:rPr>
        <w:t>determinación</w:t>
      </w:r>
      <w:r w:rsidRPr="00BD1319">
        <w:rPr>
          <w:rFonts w:cs="Arial"/>
          <w:spacing w:val="-3"/>
        </w:rPr>
        <w:t xml:space="preserve">, clasificación, </w:t>
      </w:r>
      <w:r w:rsidR="00FD0050" w:rsidRPr="00BD1319">
        <w:rPr>
          <w:rFonts w:cs="Arial"/>
          <w:spacing w:val="-3"/>
        </w:rPr>
        <w:t xml:space="preserve">evaluación </w:t>
      </w:r>
      <w:r w:rsidR="00AB142C" w:rsidRPr="00BD1319">
        <w:rPr>
          <w:rFonts w:cs="Arial"/>
          <w:spacing w:val="-3"/>
        </w:rPr>
        <w:t xml:space="preserve">y descripción </w:t>
      </w:r>
      <w:r w:rsidRPr="00BD1319">
        <w:rPr>
          <w:rFonts w:cs="Arial"/>
          <w:spacing w:val="-3"/>
        </w:rPr>
        <w:t xml:space="preserve">de los servicios ecosistémicos, las mismas unidades de </w:t>
      </w:r>
      <w:r w:rsidRPr="00BD1319">
        <w:rPr>
          <w:rFonts w:cs="Arial"/>
          <w:spacing w:val="-3"/>
        </w:rPr>
        <w:lastRenderedPageBreak/>
        <w:t xml:space="preserve">análisis utilizadas para delimitar el área de influencia del proyecto, obra o actividad. De esta forma, pueden </w:t>
      </w:r>
      <w:r w:rsidR="00AB142C" w:rsidRPr="00BD1319">
        <w:rPr>
          <w:rFonts w:cs="Arial"/>
          <w:spacing w:val="-3"/>
        </w:rPr>
        <w:t xml:space="preserve">emplearse </w:t>
      </w:r>
      <w:r w:rsidRPr="00BD1319">
        <w:rPr>
          <w:rFonts w:cs="Arial"/>
          <w:spacing w:val="-3"/>
        </w:rPr>
        <w:t xml:space="preserve">tanto las unidades de análisis del medio biótico (ecosistemas o coberturas de la tierra, por ejemplo), como a las unidades de análisis </w:t>
      </w:r>
      <w:r w:rsidR="00AB142C" w:rsidRPr="00BD1319">
        <w:rPr>
          <w:rFonts w:cs="Arial"/>
          <w:spacing w:val="-3"/>
        </w:rPr>
        <w:t>definidas para</w:t>
      </w:r>
      <w:r w:rsidRPr="00BD1319">
        <w:rPr>
          <w:rFonts w:cs="Arial"/>
          <w:spacing w:val="-3"/>
        </w:rPr>
        <w:t xml:space="preserve"> la delimitación del área de influencia del medio abiótico (unidades geológicas, unidades </w:t>
      </w:r>
      <w:r w:rsidR="00EA024C" w:rsidRPr="00BD1319">
        <w:rPr>
          <w:rFonts w:cs="Arial"/>
          <w:spacing w:val="-3"/>
        </w:rPr>
        <w:t xml:space="preserve">cartográficas </w:t>
      </w:r>
      <w:r w:rsidRPr="00BD1319">
        <w:rPr>
          <w:rFonts w:cs="Arial"/>
          <w:spacing w:val="-3"/>
        </w:rPr>
        <w:t>de suelos, entre otras) y del medio socioeconómico (</w:t>
      </w:r>
      <w:r w:rsidR="00DE54AB" w:rsidRPr="00BD1319">
        <w:rPr>
          <w:rFonts w:cs="Arial"/>
          <w:spacing w:val="-3"/>
        </w:rPr>
        <w:t xml:space="preserve">como </w:t>
      </w:r>
      <w:r w:rsidRPr="00BD1319">
        <w:rPr>
          <w:rFonts w:cs="Arial"/>
          <w:spacing w:val="-3"/>
        </w:rPr>
        <w:t>veredas, corregimientos, sectores de vereda</w:t>
      </w:r>
      <w:r w:rsidR="00DE54AB" w:rsidRPr="00BD1319">
        <w:rPr>
          <w:rFonts w:cs="Arial"/>
          <w:spacing w:val="-3"/>
        </w:rPr>
        <w:t xml:space="preserve"> y</w:t>
      </w:r>
      <w:r w:rsidRPr="00BD1319">
        <w:rPr>
          <w:rFonts w:cs="Arial"/>
          <w:spacing w:val="-3"/>
        </w:rPr>
        <w:t xml:space="preserve"> barrios).</w:t>
      </w:r>
    </w:p>
    <w:p w14:paraId="71788CD2" w14:textId="77777777" w:rsidR="004C3CF6" w:rsidRPr="00BD1319" w:rsidRDefault="004C3CF6" w:rsidP="00093AC0">
      <w:pPr>
        <w:numPr>
          <w:ilvl w:val="12"/>
          <w:numId w:val="0"/>
        </w:numPr>
        <w:tabs>
          <w:tab w:val="left" w:pos="-2268"/>
        </w:tabs>
        <w:suppressAutoHyphens/>
        <w:rPr>
          <w:rFonts w:cs="Arial"/>
          <w:spacing w:val="-3"/>
        </w:rPr>
      </w:pPr>
    </w:p>
    <w:p w14:paraId="75C25D01" w14:textId="69F05B72" w:rsidR="00EC4F9D" w:rsidRPr="00BD1319" w:rsidRDefault="007271A9" w:rsidP="009420F5">
      <w:pPr>
        <w:numPr>
          <w:ilvl w:val="12"/>
          <w:numId w:val="0"/>
        </w:numPr>
        <w:tabs>
          <w:tab w:val="left" w:pos="-2268"/>
        </w:tabs>
        <w:suppressAutoHyphens/>
        <w:rPr>
          <w:rFonts w:cs="Arial"/>
          <w:spacing w:val="-3"/>
        </w:rPr>
      </w:pPr>
      <w:r w:rsidRPr="00BD1319">
        <w:rPr>
          <w:rFonts w:cs="Arial"/>
          <w:spacing w:val="-3"/>
        </w:rPr>
        <w:t>L</w:t>
      </w:r>
      <w:r w:rsidR="00CC3F47" w:rsidRPr="00BD1319">
        <w:rPr>
          <w:rFonts w:cs="Arial"/>
          <w:spacing w:val="-3"/>
        </w:rPr>
        <w:t>a</w:t>
      </w:r>
      <w:r w:rsidR="008420F2" w:rsidRPr="00BD1319">
        <w:rPr>
          <w:rFonts w:cs="Arial"/>
          <w:spacing w:val="-3"/>
        </w:rPr>
        <w:t>s</w:t>
      </w:r>
      <w:r w:rsidR="00CC3F47" w:rsidRPr="00BD1319">
        <w:rPr>
          <w:rFonts w:cs="Arial"/>
          <w:spacing w:val="-3"/>
        </w:rPr>
        <w:t xml:space="preserve"> unidad</w:t>
      </w:r>
      <w:r w:rsidR="008420F2" w:rsidRPr="00BD1319">
        <w:rPr>
          <w:rFonts w:cs="Arial"/>
          <w:spacing w:val="-3"/>
        </w:rPr>
        <w:t>es</w:t>
      </w:r>
      <w:r w:rsidR="00CC3F47" w:rsidRPr="00BD1319">
        <w:rPr>
          <w:rFonts w:cs="Arial"/>
          <w:spacing w:val="-3"/>
        </w:rPr>
        <w:t xml:space="preserve"> de análisis </w:t>
      </w:r>
      <w:r w:rsidR="008420F2" w:rsidRPr="00BD1319">
        <w:rPr>
          <w:rFonts w:cs="Arial"/>
          <w:spacing w:val="-3"/>
        </w:rPr>
        <w:t xml:space="preserve">empleadas </w:t>
      </w:r>
      <w:r w:rsidR="00CC3F47" w:rsidRPr="00BD1319">
        <w:rPr>
          <w:rFonts w:cs="Arial"/>
          <w:spacing w:val="-3"/>
        </w:rPr>
        <w:t xml:space="preserve">para </w:t>
      </w:r>
      <w:r w:rsidR="008420F2" w:rsidRPr="00BD1319">
        <w:rPr>
          <w:rFonts w:cs="Arial"/>
          <w:spacing w:val="-3"/>
        </w:rPr>
        <w:t xml:space="preserve">la caracterización </w:t>
      </w:r>
      <w:r w:rsidR="00CC3F47" w:rsidRPr="00BD1319">
        <w:rPr>
          <w:rFonts w:cs="Arial"/>
          <w:spacing w:val="-3"/>
        </w:rPr>
        <w:t xml:space="preserve">de los </w:t>
      </w:r>
      <w:r w:rsidR="008420F2" w:rsidRPr="00BD1319">
        <w:rPr>
          <w:rFonts w:cs="Arial"/>
          <w:spacing w:val="-3"/>
        </w:rPr>
        <w:t xml:space="preserve">componentes de los </w:t>
      </w:r>
      <w:r w:rsidR="00CC3F47" w:rsidRPr="00BD1319">
        <w:rPr>
          <w:rFonts w:cs="Arial"/>
          <w:spacing w:val="-3"/>
        </w:rPr>
        <w:t>medios abiótico, biótico y socioeconómico</w:t>
      </w:r>
      <w:r w:rsidR="00486CA3" w:rsidRPr="00BD1319">
        <w:rPr>
          <w:rFonts w:cs="Arial"/>
          <w:spacing w:val="-3"/>
        </w:rPr>
        <w:t>,</w:t>
      </w:r>
      <w:r w:rsidR="008420F2" w:rsidRPr="00BD1319">
        <w:rPr>
          <w:rFonts w:cs="Arial"/>
          <w:spacing w:val="-3"/>
        </w:rPr>
        <w:t xml:space="preserve"> </w:t>
      </w:r>
      <w:r w:rsidR="004264F2" w:rsidRPr="00BD1319">
        <w:rPr>
          <w:rFonts w:cs="Arial"/>
          <w:spacing w:val="-3"/>
        </w:rPr>
        <w:t xml:space="preserve">así </w:t>
      </w:r>
      <w:r w:rsidR="008420F2" w:rsidRPr="00BD1319">
        <w:rPr>
          <w:rFonts w:cs="Arial"/>
          <w:spacing w:val="-3"/>
        </w:rPr>
        <w:t xml:space="preserve">como de los SE, deben tener un </w:t>
      </w:r>
      <w:r w:rsidR="002843A5" w:rsidRPr="00BD1319">
        <w:rPr>
          <w:rFonts w:cs="Arial"/>
          <w:spacing w:val="-3"/>
        </w:rPr>
        <w:t xml:space="preserve">grado de </w:t>
      </w:r>
      <w:r w:rsidR="00486CA3" w:rsidRPr="00BD1319">
        <w:rPr>
          <w:rFonts w:cs="Arial"/>
          <w:spacing w:val="-3"/>
        </w:rPr>
        <w:t xml:space="preserve">detalle </w:t>
      </w:r>
      <w:r w:rsidR="008420F2" w:rsidRPr="00BD1319">
        <w:rPr>
          <w:rFonts w:cs="Arial"/>
          <w:spacing w:val="-3"/>
        </w:rPr>
        <w:t>tal</w:t>
      </w:r>
      <w:r w:rsidR="00297080" w:rsidRPr="00BD1319">
        <w:rPr>
          <w:rFonts w:cs="Arial"/>
          <w:spacing w:val="-3"/>
        </w:rPr>
        <w:t>,</w:t>
      </w:r>
      <w:r w:rsidR="008420F2" w:rsidRPr="00BD1319">
        <w:rPr>
          <w:rFonts w:cs="Arial"/>
          <w:spacing w:val="-3"/>
        </w:rPr>
        <w:t xml:space="preserve"> que </w:t>
      </w:r>
      <w:r w:rsidR="00486CA3" w:rsidRPr="00BD1319">
        <w:rPr>
          <w:rFonts w:cs="Arial"/>
          <w:spacing w:val="-3"/>
        </w:rPr>
        <w:t xml:space="preserve">permita medir y </w:t>
      </w:r>
      <w:r w:rsidRPr="00BD1319">
        <w:rPr>
          <w:rFonts w:cs="Arial"/>
          <w:spacing w:val="-3"/>
        </w:rPr>
        <w:t>constatar</w:t>
      </w:r>
      <w:r w:rsidR="00486CA3" w:rsidRPr="00BD1319">
        <w:rPr>
          <w:rFonts w:cs="Arial"/>
          <w:spacing w:val="-3"/>
        </w:rPr>
        <w:t xml:space="preserve"> mediante indicadores</w:t>
      </w:r>
      <w:r w:rsidR="00FD0050" w:rsidRPr="00BD1319">
        <w:rPr>
          <w:rFonts w:cs="Arial"/>
          <w:spacing w:val="-3"/>
        </w:rPr>
        <w:t>,</w:t>
      </w:r>
      <w:r w:rsidRPr="00BD1319">
        <w:rPr>
          <w:rFonts w:cs="Arial"/>
          <w:spacing w:val="-3"/>
        </w:rPr>
        <w:t xml:space="preserve"> </w:t>
      </w:r>
      <w:r w:rsidR="00486CA3" w:rsidRPr="00BD1319">
        <w:rPr>
          <w:rFonts w:cs="Arial"/>
          <w:spacing w:val="-3"/>
        </w:rPr>
        <w:t xml:space="preserve">los impactos que el proyecto, obra o actividad </w:t>
      </w:r>
      <w:r w:rsidRPr="00BD1319">
        <w:rPr>
          <w:rFonts w:cs="Arial"/>
          <w:spacing w:val="-3"/>
        </w:rPr>
        <w:t>pueda</w:t>
      </w:r>
      <w:r w:rsidR="008420F2" w:rsidRPr="00BD1319">
        <w:rPr>
          <w:rFonts w:cs="Arial"/>
          <w:spacing w:val="-3"/>
        </w:rPr>
        <w:t xml:space="preserve"> ocasionar </w:t>
      </w:r>
      <w:r w:rsidR="00486CA3" w:rsidRPr="00BD1319">
        <w:rPr>
          <w:rFonts w:cs="Arial"/>
          <w:spacing w:val="-3"/>
        </w:rPr>
        <w:t xml:space="preserve">sobre </w:t>
      </w:r>
      <w:r w:rsidR="002843A5" w:rsidRPr="00BD1319">
        <w:rPr>
          <w:rFonts w:cs="Arial"/>
          <w:spacing w:val="-3"/>
        </w:rPr>
        <w:t>los SE</w:t>
      </w:r>
      <w:r w:rsidR="00486CA3" w:rsidRPr="00BD1319">
        <w:rPr>
          <w:rFonts w:cs="Arial"/>
          <w:spacing w:val="-3"/>
        </w:rPr>
        <w:t xml:space="preserve">, teniendo en cuenta </w:t>
      </w:r>
      <w:r w:rsidR="004C3CF6" w:rsidRPr="00BD1319">
        <w:rPr>
          <w:rFonts w:cs="Arial"/>
          <w:spacing w:val="-3"/>
        </w:rPr>
        <w:t xml:space="preserve">que </w:t>
      </w:r>
      <w:r w:rsidR="00FD0050" w:rsidRPr="00BD1319">
        <w:rPr>
          <w:rFonts w:cs="Arial"/>
          <w:spacing w:val="-3"/>
        </w:rPr>
        <w:t>los SE,</w:t>
      </w:r>
      <w:r w:rsidR="004264F2" w:rsidRPr="00BD1319">
        <w:rPr>
          <w:rFonts w:cs="Arial"/>
          <w:spacing w:val="-3"/>
        </w:rPr>
        <w:t xml:space="preserve"> </w:t>
      </w:r>
      <w:r w:rsidRPr="00BD1319">
        <w:rPr>
          <w:rFonts w:cs="Arial"/>
          <w:spacing w:val="-3"/>
        </w:rPr>
        <w:t xml:space="preserve">las </w:t>
      </w:r>
      <w:r w:rsidR="008420F2" w:rsidRPr="00BD1319">
        <w:rPr>
          <w:rFonts w:cs="Arial"/>
          <w:spacing w:val="-3"/>
        </w:rPr>
        <w:t xml:space="preserve">estructuras </w:t>
      </w:r>
      <w:r w:rsidRPr="00BD1319">
        <w:rPr>
          <w:rFonts w:cs="Arial"/>
          <w:spacing w:val="-3"/>
        </w:rPr>
        <w:t>y los procesos ecosistémicos</w:t>
      </w:r>
      <w:r w:rsidR="008420F2" w:rsidRPr="00BD1319">
        <w:rPr>
          <w:rFonts w:cs="Arial"/>
          <w:spacing w:val="-3"/>
        </w:rPr>
        <w:t xml:space="preserve"> </w:t>
      </w:r>
      <w:r w:rsidR="00D10527" w:rsidRPr="00BD1319">
        <w:rPr>
          <w:rFonts w:cs="Arial"/>
          <w:spacing w:val="-3"/>
        </w:rPr>
        <w:t xml:space="preserve">sólo </w:t>
      </w:r>
      <w:r w:rsidRPr="00BD1319">
        <w:rPr>
          <w:rFonts w:cs="Arial"/>
          <w:spacing w:val="-3"/>
        </w:rPr>
        <w:t>se evidencian</w:t>
      </w:r>
      <w:r w:rsidR="008420F2" w:rsidRPr="00BD1319">
        <w:rPr>
          <w:rFonts w:cs="Arial"/>
          <w:spacing w:val="-3"/>
        </w:rPr>
        <w:t xml:space="preserve"> en </w:t>
      </w:r>
      <w:r w:rsidR="00302175" w:rsidRPr="00BD1319">
        <w:rPr>
          <w:rFonts w:cs="Arial"/>
          <w:spacing w:val="-3"/>
        </w:rPr>
        <w:t xml:space="preserve">determinadas </w:t>
      </w:r>
      <w:r w:rsidR="008420F2" w:rsidRPr="00BD1319">
        <w:rPr>
          <w:rFonts w:cs="Arial"/>
          <w:spacing w:val="-3"/>
        </w:rPr>
        <w:t xml:space="preserve">escalas </w:t>
      </w:r>
      <w:r w:rsidR="004C3CF6" w:rsidRPr="00BD1319">
        <w:rPr>
          <w:rFonts w:cs="Arial"/>
          <w:spacing w:val="-3"/>
        </w:rPr>
        <w:t>espaciales y temporales</w:t>
      </w:r>
      <w:r w:rsidR="00712EAE" w:rsidRPr="00BD1319">
        <w:rPr>
          <w:rFonts w:cs="Arial"/>
          <w:spacing w:val="-3"/>
        </w:rPr>
        <w:t>.</w:t>
      </w:r>
    </w:p>
    <w:p w14:paraId="468CEFBC" w14:textId="10C5B3DC" w:rsidR="00093AC0" w:rsidRPr="00BD1319" w:rsidRDefault="00093AC0" w:rsidP="00093AC0">
      <w:pPr>
        <w:numPr>
          <w:ilvl w:val="12"/>
          <w:numId w:val="0"/>
        </w:numPr>
        <w:tabs>
          <w:tab w:val="left" w:pos="-2268"/>
        </w:tabs>
        <w:suppressAutoHyphens/>
        <w:rPr>
          <w:rFonts w:cs="Arial"/>
          <w:spacing w:val="-3"/>
        </w:rPr>
      </w:pPr>
    </w:p>
    <w:p w14:paraId="27D5E3ED" w14:textId="206CE2E3" w:rsidR="00093AC0" w:rsidRPr="00BD1319" w:rsidRDefault="00AD3F90" w:rsidP="009420F5">
      <w:pPr>
        <w:pStyle w:val="Ttulo4"/>
        <w:tabs>
          <w:tab w:val="clear" w:pos="1844"/>
          <w:tab w:val="num" w:pos="1134"/>
        </w:tabs>
        <w:ind w:left="0"/>
        <w:rPr>
          <w:lang w:val="es-CO"/>
        </w:rPr>
      </w:pPr>
      <w:r w:rsidRPr="00BD1319">
        <w:rPr>
          <w:lang w:val="es-CO"/>
        </w:rPr>
        <w:t xml:space="preserve">Determinación </w:t>
      </w:r>
      <w:r w:rsidR="00093AC0" w:rsidRPr="00BD1319">
        <w:rPr>
          <w:lang w:val="es-CO"/>
        </w:rPr>
        <w:t>y clasificación de los servicios ecosistémicos</w:t>
      </w:r>
    </w:p>
    <w:p w14:paraId="5395D2C3" w14:textId="77777777" w:rsidR="00093AC0" w:rsidRPr="00BD1319" w:rsidRDefault="00093AC0" w:rsidP="00093AC0">
      <w:pPr>
        <w:numPr>
          <w:ilvl w:val="12"/>
          <w:numId w:val="0"/>
        </w:numPr>
        <w:tabs>
          <w:tab w:val="left" w:pos="-2268"/>
        </w:tabs>
        <w:suppressAutoHyphens/>
        <w:rPr>
          <w:rFonts w:cs="Arial"/>
          <w:spacing w:val="-3"/>
        </w:rPr>
      </w:pPr>
    </w:p>
    <w:p w14:paraId="35C3709C" w14:textId="759BDDDB" w:rsidR="00093AC0" w:rsidRPr="00BD1319" w:rsidRDefault="00FD0050" w:rsidP="00093AC0">
      <w:pPr>
        <w:numPr>
          <w:ilvl w:val="12"/>
          <w:numId w:val="0"/>
        </w:numPr>
        <w:tabs>
          <w:tab w:val="left" w:pos="-2268"/>
        </w:tabs>
        <w:suppressAutoHyphens/>
        <w:rPr>
          <w:rFonts w:cs="Arial"/>
          <w:spacing w:val="-3"/>
        </w:rPr>
      </w:pPr>
      <w:r w:rsidRPr="00BD1319">
        <w:rPr>
          <w:rFonts w:cs="Arial"/>
          <w:spacing w:val="-3"/>
        </w:rPr>
        <w:t>A partir de</w:t>
      </w:r>
      <w:r w:rsidR="00834828" w:rsidRPr="00BD1319">
        <w:rPr>
          <w:rFonts w:cs="Arial"/>
          <w:spacing w:val="-3"/>
        </w:rPr>
        <w:t xml:space="preserve"> </w:t>
      </w:r>
      <w:r w:rsidR="00093AC0" w:rsidRPr="00BD1319">
        <w:rPr>
          <w:rFonts w:cs="Arial"/>
          <w:spacing w:val="-3"/>
        </w:rPr>
        <w:t xml:space="preserve">las características de los elementos del ambiente (medios, componentes y factores), </w:t>
      </w:r>
      <w:r w:rsidR="00093AC0" w:rsidRPr="00BD1319">
        <w:rPr>
          <w:spacing w:val="-3"/>
        </w:rPr>
        <w:t xml:space="preserve">así como </w:t>
      </w:r>
      <w:r w:rsidR="00093AC0" w:rsidRPr="00BD1319">
        <w:rPr>
          <w:rFonts w:cs="Arial"/>
          <w:spacing w:val="-3"/>
        </w:rPr>
        <w:t>de las relaciones existentes entre ellos, se debe</w:t>
      </w:r>
      <w:r w:rsidR="00BA152F" w:rsidRPr="00BD1319">
        <w:rPr>
          <w:rFonts w:cs="Arial"/>
          <w:spacing w:val="-3"/>
        </w:rPr>
        <w:t>n</w:t>
      </w:r>
      <w:r w:rsidR="00093AC0" w:rsidRPr="00BD1319">
        <w:rPr>
          <w:rFonts w:cs="Arial"/>
          <w:spacing w:val="-3"/>
        </w:rPr>
        <w:t xml:space="preserve"> </w:t>
      </w:r>
      <w:r w:rsidR="0041436F" w:rsidRPr="00BD1319">
        <w:rPr>
          <w:rFonts w:cs="Arial"/>
          <w:spacing w:val="-3"/>
        </w:rPr>
        <w:t xml:space="preserve">determinar </w:t>
      </w:r>
      <w:r w:rsidR="00796BCA" w:rsidRPr="00BD1319">
        <w:rPr>
          <w:rFonts w:cs="Arial"/>
          <w:spacing w:val="-3"/>
        </w:rPr>
        <w:t xml:space="preserve">los </w:t>
      </w:r>
      <w:r w:rsidR="00093AC0" w:rsidRPr="00BD1319">
        <w:rPr>
          <w:rFonts w:cs="Arial"/>
          <w:spacing w:val="-3"/>
        </w:rPr>
        <w:t xml:space="preserve">beneficios </w:t>
      </w:r>
      <w:r w:rsidR="00796BCA" w:rsidRPr="00BD1319">
        <w:rPr>
          <w:rFonts w:cs="Arial"/>
          <w:spacing w:val="-3"/>
        </w:rPr>
        <w:t xml:space="preserve">que </w:t>
      </w:r>
      <w:r w:rsidR="00093AC0" w:rsidRPr="00BD1319">
        <w:rPr>
          <w:rFonts w:cs="Arial"/>
          <w:spacing w:val="-3"/>
        </w:rPr>
        <w:t>provee la naturaleza a la sociedad</w:t>
      </w:r>
      <w:r w:rsidRPr="00BD1319">
        <w:rPr>
          <w:rFonts w:cs="Arial"/>
          <w:spacing w:val="-3"/>
        </w:rPr>
        <w:t xml:space="preserve"> que pueden ser impactados por el proyecto, obra o actividad</w:t>
      </w:r>
      <w:r w:rsidR="00093AC0" w:rsidRPr="00BD1319">
        <w:rPr>
          <w:rFonts w:cs="Arial"/>
          <w:spacing w:val="-3"/>
        </w:rPr>
        <w:t xml:space="preserve">. Para </w:t>
      </w:r>
      <w:r w:rsidR="00AD3F90" w:rsidRPr="00BD1319">
        <w:rPr>
          <w:rFonts w:cs="Arial"/>
          <w:spacing w:val="-3"/>
        </w:rPr>
        <w:t>determina</w:t>
      </w:r>
      <w:r w:rsidR="0041436F" w:rsidRPr="00BD1319">
        <w:rPr>
          <w:rFonts w:cs="Arial"/>
          <w:spacing w:val="-3"/>
        </w:rPr>
        <w:t xml:space="preserve">r los </w:t>
      </w:r>
      <w:r w:rsidR="006E2E3F" w:rsidRPr="00BD1319">
        <w:rPr>
          <w:rFonts w:cs="Arial"/>
          <w:spacing w:val="-3"/>
        </w:rPr>
        <w:t>SE</w:t>
      </w:r>
      <w:r w:rsidR="00093AC0" w:rsidRPr="00BD1319">
        <w:rPr>
          <w:rFonts w:cs="Arial"/>
          <w:spacing w:val="-3"/>
        </w:rPr>
        <w:t xml:space="preserve"> es </w:t>
      </w:r>
      <w:r w:rsidR="00BA152F" w:rsidRPr="00BD1319">
        <w:rPr>
          <w:rFonts w:cs="Arial"/>
          <w:spacing w:val="-3"/>
        </w:rPr>
        <w:t xml:space="preserve">necesario </w:t>
      </w:r>
      <w:r w:rsidR="00AD3F90" w:rsidRPr="00BD1319">
        <w:rPr>
          <w:rFonts w:cs="Arial"/>
          <w:spacing w:val="-3"/>
        </w:rPr>
        <w:t xml:space="preserve">establecer </w:t>
      </w:r>
      <w:r w:rsidR="00093AC0" w:rsidRPr="00BD1319">
        <w:rPr>
          <w:rFonts w:cs="Arial"/>
          <w:spacing w:val="-3"/>
        </w:rPr>
        <w:t>de qué manera los elementos de los medios abiótico y biótico</w:t>
      </w:r>
      <w:r w:rsidR="00093AC0" w:rsidRPr="00BD1319">
        <w:rPr>
          <w:spacing w:val="-3"/>
        </w:rPr>
        <w:t xml:space="preserve">, </w:t>
      </w:r>
      <w:r w:rsidR="00093AC0" w:rsidRPr="00BD1319">
        <w:rPr>
          <w:rFonts w:cs="Arial"/>
          <w:spacing w:val="-3"/>
        </w:rPr>
        <w:t xml:space="preserve">brindan beneficios al medio socioeconómico y qué relaciones culturales se han </w:t>
      </w:r>
      <w:r w:rsidR="00796BCA" w:rsidRPr="00BD1319">
        <w:rPr>
          <w:rFonts w:cs="Arial"/>
          <w:spacing w:val="-3"/>
        </w:rPr>
        <w:t xml:space="preserve">desarrollado </w:t>
      </w:r>
      <w:r w:rsidR="00093AC0" w:rsidRPr="00BD1319">
        <w:rPr>
          <w:rFonts w:cs="Arial"/>
          <w:spacing w:val="-3"/>
        </w:rPr>
        <w:t>desde el medio socioeconómico hacia los medios abiótico y biótico</w:t>
      </w:r>
      <w:r w:rsidR="00302175" w:rsidRPr="00BD1319">
        <w:rPr>
          <w:rFonts w:cs="Arial"/>
          <w:spacing w:val="-3"/>
        </w:rPr>
        <w:t>, incorporando al estudio únicamente aquellas relaciones que puedan ser afectadas por la ejecución del proyecto.</w:t>
      </w:r>
    </w:p>
    <w:p w14:paraId="25C3EE7C" w14:textId="77777777" w:rsidR="00093AC0" w:rsidRPr="00BD1319" w:rsidRDefault="00093AC0" w:rsidP="00093AC0">
      <w:pPr>
        <w:numPr>
          <w:ilvl w:val="12"/>
          <w:numId w:val="0"/>
        </w:numPr>
        <w:tabs>
          <w:tab w:val="left" w:pos="-2268"/>
        </w:tabs>
        <w:suppressAutoHyphens/>
        <w:rPr>
          <w:rFonts w:cs="Arial"/>
          <w:spacing w:val="-3"/>
        </w:rPr>
      </w:pPr>
    </w:p>
    <w:p w14:paraId="68A0CE68" w14:textId="779B027B" w:rsidR="00093AC0" w:rsidRPr="00BD1319" w:rsidRDefault="00DE54AB">
      <w:pPr>
        <w:numPr>
          <w:ilvl w:val="12"/>
          <w:numId w:val="0"/>
        </w:numPr>
        <w:tabs>
          <w:tab w:val="left" w:pos="-2268"/>
        </w:tabs>
        <w:suppressAutoHyphens/>
        <w:rPr>
          <w:rFonts w:cs="Arial"/>
          <w:spacing w:val="-3"/>
        </w:rPr>
      </w:pPr>
      <w:r w:rsidRPr="00BD1319">
        <w:rPr>
          <w:rFonts w:cs="Arial"/>
          <w:spacing w:val="-3"/>
        </w:rPr>
        <w:t>Así</w:t>
      </w:r>
      <w:r w:rsidR="00093AC0" w:rsidRPr="00BD1319">
        <w:rPr>
          <w:rFonts w:cs="Arial"/>
          <w:spacing w:val="-3"/>
        </w:rPr>
        <w:t>,</w:t>
      </w:r>
      <w:r w:rsidR="00093AC0" w:rsidRPr="00BD1319">
        <w:rPr>
          <w:spacing w:val="-3"/>
        </w:rPr>
        <w:t xml:space="preserve"> la información de caracterización </w:t>
      </w:r>
      <w:r w:rsidR="00BC4C47" w:rsidRPr="00BD1319">
        <w:rPr>
          <w:spacing w:val="-3"/>
        </w:rPr>
        <w:t xml:space="preserve">de los elementos </w:t>
      </w:r>
      <w:r w:rsidR="00093AC0" w:rsidRPr="00BD1319">
        <w:rPr>
          <w:spacing w:val="-3"/>
        </w:rPr>
        <w:t>abiótic</w:t>
      </w:r>
      <w:r w:rsidR="00BC4C47" w:rsidRPr="00BD1319">
        <w:rPr>
          <w:spacing w:val="-3"/>
        </w:rPr>
        <w:t>os</w:t>
      </w:r>
      <w:r w:rsidR="00093AC0" w:rsidRPr="00BD1319">
        <w:rPr>
          <w:spacing w:val="-3"/>
        </w:rPr>
        <w:t>, biótic</w:t>
      </w:r>
      <w:r w:rsidR="00BC4C47" w:rsidRPr="00BD1319">
        <w:rPr>
          <w:spacing w:val="-3"/>
        </w:rPr>
        <w:t>os</w:t>
      </w:r>
      <w:r w:rsidR="00093AC0" w:rsidRPr="00BD1319">
        <w:rPr>
          <w:spacing w:val="-3"/>
        </w:rPr>
        <w:t xml:space="preserve"> y </w:t>
      </w:r>
      <w:r w:rsidR="00434EA7" w:rsidRPr="00BD1319">
        <w:rPr>
          <w:spacing w:val="-3"/>
        </w:rPr>
        <w:t>socioeconómicos</w:t>
      </w:r>
      <w:r w:rsidR="00093AC0" w:rsidRPr="00BD1319">
        <w:rPr>
          <w:spacing w:val="-3"/>
        </w:rPr>
        <w:t xml:space="preserve"> debe ser integrada </w:t>
      </w:r>
      <w:r w:rsidR="00093AC0" w:rsidRPr="00BD1319">
        <w:rPr>
          <w:rFonts w:cs="Arial"/>
          <w:spacing w:val="-3"/>
        </w:rPr>
        <w:t xml:space="preserve">de forma coherente </w:t>
      </w:r>
      <w:r w:rsidR="00093AC0" w:rsidRPr="00BD1319">
        <w:rPr>
          <w:spacing w:val="-3"/>
        </w:rPr>
        <w:t xml:space="preserve">para </w:t>
      </w:r>
      <w:r w:rsidRPr="00BD1319">
        <w:rPr>
          <w:spacing w:val="-3"/>
        </w:rPr>
        <w:t xml:space="preserve">evidenciar </w:t>
      </w:r>
      <w:r w:rsidR="00302175" w:rsidRPr="00BD1319">
        <w:rPr>
          <w:spacing w:val="-3"/>
        </w:rPr>
        <w:t xml:space="preserve">y caracterizar </w:t>
      </w:r>
      <w:r w:rsidR="00093AC0" w:rsidRPr="00BD1319">
        <w:rPr>
          <w:spacing w:val="-3"/>
        </w:rPr>
        <w:t xml:space="preserve">las interrelaciones </w:t>
      </w:r>
      <w:r w:rsidR="00AD333A" w:rsidRPr="00BD1319">
        <w:rPr>
          <w:rFonts w:cs="Arial"/>
          <w:spacing w:val="-3"/>
        </w:rPr>
        <w:t xml:space="preserve">que </w:t>
      </w:r>
      <w:r w:rsidR="00BC4C47" w:rsidRPr="00BD1319">
        <w:rPr>
          <w:rFonts w:cs="Arial"/>
          <w:spacing w:val="-3"/>
        </w:rPr>
        <w:t xml:space="preserve">permiten que </w:t>
      </w:r>
      <w:r w:rsidR="00093AC0" w:rsidRPr="00BD1319">
        <w:rPr>
          <w:rFonts w:cs="Arial"/>
          <w:spacing w:val="-3"/>
        </w:rPr>
        <w:t>las sociedades</w:t>
      </w:r>
      <w:r w:rsidR="00093AC0" w:rsidRPr="00BD1319">
        <w:rPr>
          <w:spacing w:val="-3"/>
        </w:rPr>
        <w:t xml:space="preserve"> se benefici</w:t>
      </w:r>
      <w:r w:rsidR="004C3CF6" w:rsidRPr="00BD1319">
        <w:rPr>
          <w:spacing w:val="-3"/>
        </w:rPr>
        <w:t>e</w:t>
      </w:r>
      <w:r w:rsidR="00093AC0" w:rsidRPr="00BD1319">
        <w:rPr>
          <w:spacing w:val="-3"/>
        </w:rPr>
        <w:t xml:space="preserve">n de los ecosistemas y a la vez, </w:t>
      </w:r>
      <w:r w:rsidR="006631B2" w:rsidRPr="00BD1319">
        <w:rPr>
          <w:spacing w:val="-3"/>
        </w:rPr>
        <w:t xml:space="preserve">las relaciones </w:t>
      </w:r>
      <w:r w:rsidR="00BC4C47" w:rsidRPr="00BD1319">
        <w:rPr>
          <w:spacing w:val="-3"/>
        </w:rPr>
        <w:t xml:space="preserve">que </w:t>
      </w:r>
      <w:r w:rsidR="006631B2" w:rsidRPr="00BD1319">
        <w:rPr>
          <w:spacing w:val="-3"/>
        </w:rPr>
        <w:t xml:space="preserve">posibilitan que </w:t>
      </w:r>
      <w:r w:rsidR="00093AC0" w:rsidRPr="00BD1319">
        <w:rPr>
          <w:spacing w:val="-3"/>
        </w:rPr>
        <w:t xml:space="preserve">los ecosistemas </w:t>
      </w:r>
      <w:r w:rsidR="00BC4C47" w:rsidRPr="00BD1319">
        <w:rPr>
          <w:spacing w:val="-3"/>
        </w:rPr>
        <w:t xml:space="preserve">sean </w:t>
      </w:r>
      <w:r w:rsidR="00093AC0" w:rsidRPr="00BD1319">
        <w:rPr>
          <w:spacing w:val="-3"/>
        </w:rPr>
        <w:t>modificados por las acciones humanas.</w:t>
      </w:r>
      <w:r w:rsidR="00093AC0" w:rsidRPr="00BD1319">
        <w:rPr>
          <w:rFonts w:cs="Arial"/>
          <w:spacing w:val="-3"/>
        </w:rPr>
        <w:t xml:space="preserve"> Se debe tener en cuenta que además de la información particular sobre los elementos del ambiente (medios, componentes y factores), resulta necesario obtener información primaria o secundaria específica sobre los </w:t>
      </w:r>
      <w:r w:rsidR="006E2E3F" w:rsidRPr="00BD1319">
        <w:rPr>
          <w:rFonts w:cs="Arial"/>
          <w:spacing w:val="-3"/>
        </w:rPr>
        <w:t>SE</w:t>
      </w:r>
      <w:r w:rsidR="00093AC0" w:rsidRPr="00BD1319">
        <w:rPr>
          <w:rFonts w:cs="Arial"/>
          <w:spacing w:val="-3"/>
        </w:rPr>
        <w:t xml:space="preserve"> con el propósito de afinar la </w:t>
      </w:r>
      <w:r w:rsidR="00AD3F90" w:rsidRPr="00BD1319">
        <w:rPr>
          <w:rFonts w:cs="Arial"/>
          <w:spacing w:val="-3"/>
        </w:rPr>
        <w:t xml:space="preserve">determinación </w:t>
      </w:r>
      <w:r w:rsidR="00093AC0" w:rsidRPr="00BD1319">
        <w:rPr>
          <w:rFonts w:cs="Arial"/>
          <w:spacing w:val="-3"/>
        </w:rPr>
        <w:t xml:space="preserve">y descripción de </w:t>
      </w:r>
      <w:r w:rsidR="008740E1" w:rsidRPr="00BD1319">
        <w:rPr>
          <w:rFonts w:cs="Arial"/>
          <w:spacing w:val="-3"/>
        </w:rPr>
        <w:t>éstos</w:t>
      </w:r>
      <w:r w:rsidR="00093AC0" w:rsidRPr="00BD1319">
        <w:rPr>
          <w:rFonts w:cs="Arial"/>
          <w:spacing w:val="-3"/>
        </w:rPr>
        <w:t>.</w:t>
      </w:r>
    </w:p>
    <w:p w14:paraId="2293EB22" w14:textId="77777777" w:rsidR="00302175" w:rsidRPr="00BD1319" w:rsidRDefault="00302175">
      <w:pPr>
        <w:numPr>
          <w:ilvl w:val="12"/>
          <w:numId w:val="0"/>
        </w:numPr>
        <w:tabs>
          <w:tab w:val="left" w:pos="-2268"/>
        </w:tabs>
        <w:suppressAutoHyphens/>
        <w:rPr>
          <w:rFonts w:cs="Arial"/>
          <w:spacing w:val="-3"/>
        </w:rPr>
      </w:pPr>
    </w:p>
    <w:p w14:paraId="1FB0449B" w14:textId="792E3D3C" w:rsidR="00302175" w:rsidRPr="00BD1319" w:rsidRDefault="00302175">
      <w:pPr>
        <w:numPr>
          <w:ilvl w:val="12"/>
          <w:numId w:val="0"/>
        </w:numPr>
        <w:tabs>
          <w:tab w:val="left" w:pos="-2268"/>
        </w:tabs>
        <w:suppressAutoHyphens/>
        <w:rPr>
          <w:spacing w:val="-3"/>
        </w:rPr>
      </w:pPr>
      <w:r w:rsidRPr="00BD1319">
        <w:rPr>
          <w:rFonts w:cs="Arial"/>
          <w:spacing w:val="-3"/>
        </w:rPr>
        <w:t xml:space="preserve">Tras </w:t>
      </w:r>
      <w:r w:rsidR="00DD190C" w:rsidRPr="00BD1319">
        <w:rPr>
          <w:rFonts w:cs="Arial"/>
          <w:spacing w:val="-3"/>
        </w:rPr>
        <w:t xml:space="preserve">determinar </w:t>
      </w:r>
      <w:r w:rsidRPr="00BD1319">
        <w:rPr>
          <w:rFonts w:cs="Arial"/>
          <w:spacing w:val="-3"/>
        </w:rPr>
        <w:t xml:space="preserve">los SE que pueden ser impactados por el proyecto, obra o actividad, éstos </w:t>
      </w:r>
      <w:r w:rsidRPr="00BD1319">
        <w:rPr>
          <w:spacing w:val="-3"/>
        </w:rPr>
        <w:t xml:space="preserve">deben ser clasificarlos en SE de </w:t>
      </w:r>
      <w:r w:rsidRPr="00BD1319">
        <w:rPr>
          <w:rFonts w:cs="Arial"/>
          <w:spacing w:val="-3"/>
        </w:rPr>
        <w:t xml:space="preserve">soporte, regulación </w:t>
      </w:r>
      <w:r w:rsidRPr="00BD1319">
        <w:rPr>
          <w:spacing w:val="-3"/>
        </w:rPr>
        <w:t>aprovisionamiento y culturales. En la</w:t>
      </w:r>
      <w:r w:rsidR="00800CB4" w:rsidRPr="00BD1319">
        <w:rPr>
          <w:spacing w:val="-3"/>
        </w:rPr>
        <w:t xml:space="preserve"> </w:t>
      </w:r>
      <w:r w:rsidR="00800CB4" w:rsidRPr="00BD1319">
        <w:rPr>
          <w:spacing w:val="-3"/>
        </w:rPr>
        <w:fldChar w:fldCharType="begin"/>
      </w:r>
      <w:r w:rsidR="00800CB4" w:rsidRPr="00BD1319">
        <w:rPr>
          <w:spacing w:val="-3"/>
        </w:rPr>
        <w:instrText xml:space="preserve"> REF _Ref78536291 \h  \* MERGEFORMAT </w:instrText>
      </w:r>
      <w:r w:rsidR="00800CB4" w:rsidRPr="00BD1319">
        <w:rPr>
          <w:spacing w:val="-3"/>
        </w:rPr>
      </w:r>
      <w:r w:rsidR="00800CB4" w:rsidRPr="00BD1319">
        <w:rPr>
          <w:spacing w:val="-3"/>
        </w:rPr>
        <w:fldChar w:fldCharType="separate"/>
      </w:r>
      <w:r w:rsidR="00296654" w:rsidRPr="00BD1319">
        <w:rPr>
          <w:rFonts w:cs="Arial"/>
          <w:spacing w:val="-3"/>
        </w:rPr>
        <w:t>Tabla 29</w:t>
      </w:r>
      <w:r w:rsidR="00800CB4" w:rsidRPr="00BD1319">
        <w:rPr>
          <w:spacing w:val="-3"/>
        </w:rPr>
        <w:fldChar w:fldCharType="end"/>
      </w:r>
      <w:r w:rsidRPr="00BD1319">
        <w:rPr>
          <w:spacing w:val="-3"/>
        </w:rPr>
        <w:t xml:space="preserve"> se relacionan algunos ejemplos que ilustran esta categorización</w:t>
      </w:r>
      <w:r w:rsidR="00247ABF" w:rsidRPr="00BD1319">
        <w:rPr>
          <w:spacing w:val="-3"/>
        </w:rPr>
        <w:t xml:space="preserve"> de SE</w:t>
      </w:r>
      <w:r w:rsidRPr="00BD1319">
        <w:rPr>
          <w:spacing w:val="-3"/>
        </w:rPr>
        <w:t>.</w:t>
      </w:r>
    </w:p>
    <w:p w14:paraId="73FBB5DC" w14:textId="1EC54B53" w:rsidR="004707DC" w:rsidRPr="00BD1319" w:rsidRDefault="004707DC">
      <w:pPr>
        <w:numPr>
          <w:ilvl w:val="12"/>
          <w:numId w:val="0"/>
        </w:numPr>
        <w:tabs>
          <w:tab w:val="left" w:pos="-2268"/>
        </w:tabs>
        <w:suppressAutoHyphens/>
        <w:rPr>
          <w:spacing w:val="-3"/>
        </w:rPr>
      </w:pPr>
    </w:p>
    <w:p w14:paraId="2E20911F" w14:textId="77602DE5" w:rsidR="00093AC0" w:rsidRPr="00BD1319" w:rsidRDefault="00A15BD4" w:rsidP="009420F5">
      <w:pPr>
        <w:pStyle w:val="Ttulo4"/>
        <w:tabs>
          <w:tab w:val="clear" w:pos="1844"/>
          <w:tab w:val="num" w:pos="1134"/>
        </w:tabs>
        <w:ind w:left="0"/>
        <w:rPr>
          <w:lang w:val="es-CO"/>
        </w:rPr>
      </w:pPr>
      <w:r w:rsidRPr="00BD1319">
        <w:rPr>
          <w:lang w:val="es-CO"/>
        </w:rPr>
        <w:t>Evaluación del e</w:t>
      </w:r>
      <w:r w:rsidR="00970A40" w:rsidRPr="00BD1319">
        <w:rPr>
          <w:lang w:val="es-CO"/>
        </w:rPr>
        <w:t xml:space="preserve">stado </w:t>
      </w:r>
      <w:r w:rsidR="00481805" w:rsidRPr="00BD1319">
        <w:rPr>
          <w:lang w:val="es-CO"/>
        </w:rPr>
        <w:t xml:space="preserve">y descripción </w:t>
      </w:r>
      <w:r w:rsidR="00093AC0" w:rsidRPr="00BD1319">
        <w:rPr>
          <w:lang w:val="es-CO"/>
        </w:rPr>
        <w:t>de los servicios ecosistémicos</w:t>
      </w:r>
    </w:p>
    <w:p w14:paraId="65EC8FC9" w14:textId="77777777" w:rsidR="00B31D36" w:rsidRPr="00BD1319" w:rsidRDefault="00B31D36">
      <w:pPr>
        <w:numPr>
          <w:ilvl w:val="12"/>
          <w:numId w:val="0"/>
        </w:numPr>
        <w:tabs>
          <w:tab w:val="left" w:pos="-2268"/>
        </w:tabs>
        <w:suppressAutoHyphens/>
        <w:rPr>
          <w:spacing w:val="-3"/>
        </w:rPr>
      </w:pPr>
    </w:p>
    <w:p w14:paraId="1EDFD1F2" w14:textId="5EC6881A" w:rsidR="00093AC0" w:rsidRPr="00BD1319" w:rsidRDefault="00486448">
      <w:pPr>
        <w:numPr>
          <w:ilvl w:val="12"/>
          <w:numId w:val="0"/>
        </w:numPr>
        <w:tabs>
          <w:tab w:val="left" w:pos="-2268"/>
        </w:tabs>
        <w:suppressAutoHyphens/>
        <w:rPr>
          <w:spacing w:val="-3"/>
        </w:rPr>
      </w:pPr>
      <w:r w:rsidRPr="00BD1319">
        <w:rPr>
          <w:spacing w:val="-3"/>
        </w:rPr>
        <w:lastRenderedPageBreak/>
        <w:t xml:space="preserve">Se debe evaluar </w:t>
      </w:r>
      <w:r w:rsidR="00B31D36" w:rsidRPr="00BD1319">
        <w:rPr>
          <w:spacing w:val="-3"/>
        </w:rPr>
        <w:t>el estado de los SE, tanto de los que poseen dimensiones biofísicas que son susceptibles de medición</w:t>
      </w:r>
      <w:r w:rsidRPr="00BD1319">
        <w:rPr>
          <w:spacing w:val="-3"/>
        </w:rPr>
        <w:t xml:space="preserve"> cuantitativa</w:t>
      </w:r>
      <w:r w:rsidR="00B31D36" w:rsidRPr="00BD1319">
        <w:rPr>
          <w:spacing w:val="-3"/>
        </w:rPr>
        <w:t>, como de los que sólo pueden expresarse mediante parámetros cualitativos.</w:t>
      </w:r>
      <w:r w:rsidR="007C36B4" w:rsidRPr="00BD1319">
        <w:rPr>
          <w:spacing w:val="-3"/>
        </w:rPr>
        <w:t xml:space="preserve"> Esta evaluación debe basarse en </w:t>
      </w:r>
      <w:r w:rsidRPr="00BD1319">
        <w:rPr>
          <w:spacing w:val="-3"/>
        </w:rPr>
        <w:t xml:space="preserve">la </w:t>
      </w:r>
      <w:r w:rsidR="00093AC0" w:rsidRPr="00BD1319">
        <w:rPr>
          <w:spacing w:val="-3"/>
        </w:rPr>
        <w:t>información primaria y secundaria</w:t>
      </w:r>
      <w:r w:rsidRPr="00BD1319">
        <w:rPr>
          <w:spacing w:val="-3"/>
        </w:rPr>
        <w:t xml:space="preserve"> que se haya recolectado para los elementos ambientales de forma individual, y para </w:t>
      </w:r>
      <w:r w:rsidR="007C36B4" w:rsidRPr="00BD1319">
        <w:rPr>
          <w:spacing w:val="-3"/>
        </w:rPr>
        <w:t xml:space="preserve">las relaciones entre los </w:t>
      </w:r>
      <w:r w:rsidRPr="00BD1319">
        <w:rPr>
          <w:spacing w:val="-3"/>
        </w:rPr>
        <w:t xml:space="preserve">mismos </w:t>
      </w:r>
      <w:r w:rsidR="007C36B4" w:rsidRPr="00BD1319">
        <w:rPr>
          <w:rFonts w:cs="Arial"/>
          <w:spacing w:val="-3"/>
        </w:rPr>
        <w:t>que configuran los SE</w:t>
      </w:r>
      <w:r w:rsidR="007C36B4" w:rsidRPr="00BD1319">
        <w:rPr>
          <w:spacing w:val="-3"/>
        </w:rPr>
        <w:t>.</w:t>
      </w:r>
    </w:p>
    <w:p w14:paraId="0B86036A" w14:textId="77777777" w:rsidR="00093AC0" w:rsidRPr="00BD1319" w:rsidRDefault="00093AC0">
      <w:pPr>
        <w:tabs>
          <w:tab w:val="left" w:pos="-2268"/>
        </w:tabs>
        <w:suppressAutoHyphens/>
        <w:rPr>
          <w:spacing w:val="-3"/>
        </w:rPr>
      </w:pPr>
    </w:p>
    <w:p w14:paraId="3DE914CB" w14:textId="4D89E179" w:rsidR="00970A40" w:rsidRPr="00BD1319" w:rsidRDefault="007C36B4" w:rsidP="009420F5">
      <w:pPr>
        <w:tabs>
          <w:tab w:val="left" w:pos="-2268"/>
        </w:tabs>
        <w:suppressAutoHyphens/>
        <w:rPr>
          <w:spacing w:val="-3"/>
          <w:u w:val="single"/>
        </w:rPr>
      </w:pPr>
      <w:r w:rsidRPr="00BD1319">
        <w:rPr>
          <w:spacing w:val="-3"/>
        </w:rPr>
        <w:t xml:space="preserve">Para </w:t>
      </w:r>
      <w:r w:rsidR="00220E86" w:rsidRPr="00BD1319">
        <w:rPr>
          <w:spacing w:val="-3"/>
        </w:rPr>
        <w:t xml:space="preserve">establecer </w:t>
      </w:r>
      <w:r w:rsidR="00970A40" w:rsidRPr="00BD1319">
        <w:rPr>
          <w:spacing w:val="-3"/>
        </w:rPr>
        <w:t xml:space="preserve">el estado de los SE </w:t>
      </w:r>
      <w:r w:rsidRPr="00BD1319">
        <w:rPr>
          <w:spacing w:val="-3"/>
        </w:rPr>
        <w:t xml:space="preserve">es necesario </w:t>
      </w:r>
      <w:r w:rsidR="00970A40" w:rsidRPr="00BD1319">
        <w:rPr>
          <w:spacing w:val="-3"/>
        </w:rPr>
        <w:t>defini</w:t>
      </w:r>
      <w:r w:rsidRPr="00BD1319">
        <w:rPr>
          <w:spacing w:val="-3"/>
        </w:rPr>
        <w:t xml:space="preserve">r </w:t>
      </w:r>
      <w:r w:rsidR="00970A40" w:rsidRPr="00BD1319">
        <w:rPr>
          <w:spacing w:val="-3"/>
        </w:rPr>
        <w:t>indicadores cuantitativos y cualitativos</w:t>
      </w:r>
      <w:r w:rsidR="00970A40" w:rsidRPr="00BD1319">
        <w:rPr>
          <w:rFonts w:cs="Arial"/>
          <w:spacing w:val="-3"/>
        </w:rPr>
        <w:t xml:space="preserve"> que permitan </w:t>
      </w:r>
      <w:r w:rsidR="00DD190C" w:rsidRPr="00BD1319">
        <w:rPr>
          <w:rFonts w:cs="Arial"/>
          <w:spacing w:val="-3"/>
        </w:rPr>
        <w:t xml:space="preserve">determinar </w:t>
      </w:r>
      <w:r w:rsidR="00220E86" w:rsidRPr="00BD1319">
        <w:rPr>
          <w:rFonts w:cs="Arial"/>
          <w:spacing w:val="-3"/>
        </w:rPr>
        <w:t xml:space="preserve">y evaluar, en </w:t>
      </w:r>
      <w:r w:rsidR="009B3D19" w:rsidRPr="00BD1319">
        <w:rPr>
          <w:rFonts w:cs="Arial"/>
          <w:spacing w:val="-3"/>
        </w:rPr>
        <w:t xml:space="preserve">la </w:t>
      </w:r>
      <w:r w:rsidR="00220E86" w:rsidRPr="00BD1319">
        <w:rPr>
          <w:rFonts w:cs="Arial"/>
          <w:spacing w:val="-3"/>
        </w:rPr>
        <w:t>evaluación ambiental</w:t>
      </w:r>
      <w:r w:rsidR="009B3D19" w:rsidRPr="00BD1319">
        <w:rPr>
          <w:rFonts w:cs="Arial"/>
          <w:spacing w:val="-3"/>
        </w:rPr>
        <w:t xml:space="preserve"> del EIA</w:t>
      </w:r>
      <w:r w:rsidR="00220E86" w:rsidRPr="00BD1319">
        <w:rPr>
          <w:rFonts w:cs="Arial"/>
          <w:spacing w:val="-3"/>
        </w:rPr>
        <w:t xml:space="preserve">, </w:t>
      </w:r>
      <w:r w:rsidR="00970A40" w:rsidRPr="00BD1319">
        <w:rPr>
          <w:rFonts w:cs="Arial"/>
          <w:spacing w:val="-3"/>
        </w:rPr>
        <w:t xml:space="preserve">los impactos </w:t>
      </w:r>
      <w:r w:rsidR="00510FB4" w:rsidRPr="00BD1319">
        <w:rPr>
          <w:rFonts w:cs="Arial"/>
          <w:spacing w:val="-3"/>
        </w:rPr>
        <w:t xml:space="preserve">que </w:t>
      </w:r>
      <w:r w:rsidRPr="00BD1319">
        <w:rPr>
          <w:rFonts w:cs="Arial"/>
          <w:spacing w:val="-3"/>
        </w:rPr>
        <w:t xml:space="preserve">el proyecto, obra o actividad </w:t>
      </w:r>
      <w:r w:rsidR="00970A40" w:rsidRPr="00BD1319">
        <w:rPr>
          <w:rFonts w:cs="Arial"/>
          <w:spacing w:val="-3"/>
        </w:rPr>
        <w:t xml:space="preserve">puede </w:t>
      </w:r>
      <w:r w:rsidR="00510FB4" w:rsidRPr="00BD1319">
        <w:rPr>
          <w:rFonts w:cs="Arial"/>
          <w:spacing w:val="-3"/>
        </w:rPr>
        <w:t xml:space="preserve">producir sobre los </w:t>
      </w:r>
      <w:r w:rsidR="00970A40" w:rsidRPr="00BD1319">
        <w:rPr>
          <w:rFonts w:cs="Arial"/>
          <w:spacing w:val="-3"/>
        </w:rPr>
        <w:t>servicio</w:t>
      </w:r>
      <w:r w:rsidR="00510FB4" w:rsidRPr="00BD1319">
        <w:rPr>
          <w:rFonts w:cs="Arial"/>
          <w:spacing w:val="-3"/>
        </w:rPr>
        <w:t>s</w:t>
      </w:r>
      <w:r w:rsidR="00970A40" w:rsidRPr="00BD1319">
        <w:rPr>
          <w:rFonts w:cs="Arial"/>
          <w:spacing w:val="-3"/>
        </w:rPr>
        <w:t xml:space="preserve"> ecosistémico</w:t>
      </w:r>
      <w:r w:rsidR="00510FB4" w:rsidRPr="00BD1319">
        <w:rPr>
          <w:rFonts w:cs="Arial"/>
          <w:spacing w:val="-3"/>
        </w:rPr>
        <w:t>s</w:t>
      </w:r>
      <w:r w:rsidRPr="00BD1319">
        <w:rPr>
          <w:rFonts w:cs="Arial"/>
          <w:spacing w:val="-3"/>
        </w:rPr>
        <w:t xml:space="preserve">, </w:t>
      </w:r>
      <w:r w:rsidR="00220E86" w:rsidRPr="00BD1319">
        <w:rPr>
          <w:rFonts w:cs="Arial"/>
          <w:spacing w:val="-3"/>
        </w:rPr>
        <w:t xml:space="preserve">así como desarrollar el </w:t>
      </w:r>
      <w:r w:rsidR="00510FB4" w:rsidRPr="00BD1319">
        <w:rPr>
          <w:rFonts w:cs="Arial"/>
          <w:spacing w:val="-3"/>
        </w:rPr>
        <w:t xml:space="preserve">proceso de </w:t>
      </w:r>
      <w:r w:rsidR="00970A40" w:rsidRPr="00BD1319">
        <w:rPr>
          <w:spacing w:val="-3"/>
        </w:rPr>
        <w:t xml:space="preserve">seguimiento </w:t>
      </w:r>
      <w:r w:rsidR="00510FB4" w:rsidRPr="00BD1319">
        <w:rPr>
          <w:spacing w:val="-3"/>
        </w:rPr>
        <w:t xml:space="preserve">ambiental </w:t>
      </w:r>
      <w:r w:rsidR="00220E86" w:rsidRPr="00BD1319">
        <w:rPr>
          <w:spacing w:val="-3"/>
        </w:rPr>
        <w:t>durante la etapa de ejecución</w:t>
      </w:r>
      <w:r w:rsidR="00510FB4" w:rsidRPr="00BD1319">
        <w:rPr>
          <w:spacing w:val="-3"/>
        </w:rPr>
        <w:t>.</w:t>
      </w:r>
    </w:p>
    <w:p w14:paraId="31CF8AEF" w14:textId="77777777" w:rsidR="00970A40" w:rsidRPr="00BD1319" w:rsidRDefault="00970A40" w:rsidP="009420F5">
      <w:pPr>
        <w:tabs>
          <w:tab w:val="left" w:pos="-2268"/>
        </w:tabs>
        <w:suppressAutoHyphens/>
        <w:rPr>
          <w:spacing w:val="-3"/>
        </w:rPr>
      </w:pPr>
    </w:p>
    <w:p w14:paraId="09E99F04" w14:textId="001BAD96" w:rsidR="00B5495D" w:rsidRPr="00BD1319" w:rsidRDefault="006468FE" w:rsidP="009420F5">
      <w:pPr>
        <w:tabs>
          <w:tab w:val="left" w:pos="-2268"/>
        </w:tabs>
        <w:suppressAutoHyphens/>
        <w:rPr>
          <w:rFonts w:cs="Arial"/>
          <w:spacing w:val="-3"/>
        </w:rPr>
      </w:pPr>
      <w:r w:rsidRPr="00BD1319">
        <w:rPr>
          <w:spacing w:val="-3"/>
        </w:rPr>
        <w:t>L</w:t>
      </w:r>
      <w:r w:rsidR="00970A40" w:rsidRPr="00BD1319">
        <w:rPr>
          <w:spacing w:val="-3"/>
        </w:rPr>
        <w:t xml:space="preserve">os indicadores </w:t>
      </w:r>
      <w:r w:rsidRPr="00BD1319">
        <w:rPr>
          <w:spacing w:val="-3"/>
        </w:rPr>
        <w:t xml:space="preserve">seleccionados </w:t>
      </w:r>
      <w:r w:rsidR="00970A40" w:rsidRPr="00BD1319">
        <w:rPr>
          <w:spacing w:val="-3"/>
        </w:rPr>
        <w:t>debe</w:t>
      </w:r>
      <w:r w:rsidRPr="00BD1319">
        <w:rPr>
          <w:spacing w:val="-3"/>
        </w:rPr>
        <w:t>n</w:t>
      </w:r>
      <w:r w:rsidR="00970A40" w:rsidRPr="00BD1319">
        <w:rPr>
          <w:spacing w:val="-3"/>
        </w:rPr>
        <w:t xml:space="preserve"> </w:t>
      </w:r>
      <w:r w:rsidR="00510FB4" w:rsidRPr="00BD1319">
        <w:rPr>
          <w:spacing w:val="-3"/>
        </w:rPr>
        <w:t>ser coherente</w:t>
      </w:r>
      <w:r w:rsidRPr="00BD1319">
        <w:rPr>
          <w:spacing w:val="-3"/>
        </w:rPr>
        <w:t>s</w:t>
      </w:r>
      <w:r w:rsidR="00510FB4" w:rsidRPr="00BD1319">
        <w:rPr>
          <w:spacing w:val="-3"/>
        </w:rPr>
        <w:t xml:space="preserve"> con </w:t>
      </w:r>
      <w:r w:rsidR="00E84CD8" w:rsidRPr="00BD1319">
        <w:rPr>
          <w:spacing w:val="-3"/>
        </w:rPr>
        <w:t xml:space="preserve">los </w:t>
      </w:r>
      <w:r w:rsidR="00510FB4" w:rsidRPr="00BD1319">
        <w:rPr>
          <w:spacing w:val="-3"/>
        </w:rPr>
        <w:t>tipo</w:t>
      </w:r>
      <w:r w:rsidR="00E84CD8" w:rsidRPr="00BD1319">
        <w:rPr>
          <w:spacing w:val="-3"/>
        </w:rPr>
        <w:t>s</w:t>
      </w:r>
      <w:r w:rsidR="00970A40" w:rsidRPr="00BD1319">
        <w:rPr>
          <w:spacing w:val="-3"/>
        </w:rPr>
        <w:t xml:space="preserve"> de SE evaluado</w:t>
      </w:r>
      <w:r w:rsidR="00E84CD8" w:rsidRPr="00BD1319">
        <w:rPr>
          <w:spacing w:val="-3"/>
        </w:rPr>
        <w:t>s</w:t>
      </w:r>
      <w:r w:rsidR="00510FB4" w:rsidRPr="00BD1319">
        <w:rPr>
          <w:spacing w:val="-3"/>
        </w:rPr>
        <w:t xml:space="preserve"> </w:t>
      </w:r>
      <w:r w:rsidRPr="00BD1319">
        <w:rPr>
          <w:spacing w:val="-3"/>
        </w:rPr>
        <w:t xml:space="preserve">(aprovisionamiento, regulación, soporte y cultural) </w:t>
      </w:r>
      <w:r w:rsidR="00510FB4" w:rsidRPr="00BD1319">
        <w:rPr>
          <w:spacing w:val="-3"/>
        </w:rPr>
        <w:t>y</w:t>
      </w:r>
      <w:r w:rsidR="00970A40" w:rsidRPr="00BD1319">
        <w:rPr>
          <w:spacing w:val="-3"/>
        </w:rPr>
        <w:t xml:space="preserve"> </w:t>
      </w:r>
      <w:r w:rsidR="00510FB4" w:rsidRPr="00BD1319">
        <w:rPr>
          <w:spacing w:val="-3"/>
        </w:rPr>
        <w:t>con</w:t>
      </w:r>
      <w:r w:rsidR="00970A40" w:rsidRPr="00BD1319">
        <w:rPr>
          <w:spacing w:val="-3"/>
        </w:rPr>
        <w:t xml:space="preserve"> la</w:t>
      </w:r>
      <w:r w:rsidRPr="00BD1319">
        <w:rPr>
          <w:spacing w:val="-3"/>
        </w:rPr>
        <w:t xml:space="preserve"> </w:t>
      </w:r>
      <w:r w:rsidR="00970A40" w:rsidRPr="00BD1319">
        <w:rPr>
          <w:spacing w:val="-3"/>
        </w:rPr>
        <w:t>temporal</w:t>
      </w:r>
      <w:r w:rsidRPr="00BD1319">
        <w:rPr>
          <w:spacing w:val="-3"/>
        </w:rPr>
        <w:t xml:space="preserve">idad </w:t>
      </w:r>
      <w:r w:rsidR="00970A40" w:rsidRPr="00BD1319">
        <w:rPr>
          <w:spacing w:val="-3"/>
        </w:rPr>
        <w:t>y espacial</w:t>
      </w:r>
      <w:r w:rsidRPr="00BD1319">
        <w:rPr>
          <w:spacing w:val="-3"/>
        </w:rPr>
        <w:t xml:space="preserve">idad </w:t>
      </w:r>
      <w:r w:rsidR="000F60F8" w:rsidRPr="00BD1319">
        <w:rPr>
          <w:spacing w:val="-3"/>
        </w:rPr>
        <w:t>en</w:t>
      </w:r>
      <w:r w:rsidR="0072054C" w:rsidRPr="00BD1319">
        <w:rPr>
          <w:spacing w:val="-3"/>
        </w:rPr>
        <w:t xml:space="preserve"> </w:t>
      </w:r>
      <w:r w:rsidR="00970A40" w:rsidRPr="00BD1319">
        <w:rPr>
          <w:spacing w:val="-3"/>
        </w:rPr>
        <w:t>las cuales ést</w:t>
      </w:r>
      <w:r w:rsidR="00E84CD8" w:rsidRPr="00BD1319">
        <w:rPr>
          <w:spacing w:val="-3"/>
        </w:rPr>
        <w:t>os</w:t>
      </w:r>
      <w:r w:rsidR="00970A40" w:rsidRPr="00BD1319">
        <w:rPr>
          <w:spacing w:val="-3"/>
        </w:rPr>
        <w:t xml:space="preserve"> </w:t>
      </w:r>
      <w:r w:rsidR="00510FB4" w:rsidRPr="00BD1319">
        <w:rPr>
          <w:spacing w:val="-3"/>
        </w:rPr>
        <w:t>se evidencia</w:t>
      </w:r>
      <w:r w:rsidR="00E84CD8" w:rsidRPr="00BD1319">
        <w:rPr>
          <w:spacing w:val="-3"/>
        </w:rPr>
        <w:t>n</w:t>
      </w:r>
      <w:r w:rsidR="00510FB4" w:rsidRPr="00BD1319">
        <w:rPr>
          <w:spacing w:val="-3"/>
        </w:rPr>
        <w:t xml:space="preserve">; </w:t>
      </w:r>
      <w:r w:rsidR="00E84CD8" w:rsidRPr="00BD1319">
        <w:rPr>
          <w:spacing w:val="-3"/>
        </w:rPr>
        <w:t xml:space="preserve">por lo tanto, </w:t>
      </w:r>
      <w:r w:rsidR="00B5495D" w:rsidRPr="00BD1319">
        <w:rPr>
          <w:spacing w:val="-3"/>
        </w:rPr>
        <w:t xml:space="preserve">es necesario </w:t>
      </w:r>
      <w:r w:rsidR="00E84CD8" w:rsidRPr="00BD1319">
        <w:rPr>
          <w:spacing w:val="-3"/>
        </w:rPr>
        <w:t xml:space="preserve">ser conscientes que los indicadores operan en ciertas </w:t>
      </w:r>
      <w:r w:rsidRPr="00BD1319">
        <w:rPr>
          <w:spacing w:val="-3"/>
        </w:rPr>
        <w:t>escala</w:t>
      </w:r>
      <w:r w:rsidR="00E84CD8" w:rsidRPr="00BD1319">
        <w:rPr>
          <w:spacing w:val="-3"/>
        </w:rPr>
        <w:t>s</w:t>
      </w:r>
      <w:r w:rsidRPr="00BD1319">
        <w:rPr>
          <w:spacing w:val="-3"/>
        </w:rPr>
        <w:t xml:space="preserve"> </w:t>
      </w:r>
      <w:r w:rsidR="00E84CD8" w:rsidRPr="00BD1319">
        <w:rPr>
          <w:spacing w:val="-3"/>
        </w:rPr>
        <w:t xml:space="preserve">espaciales y temporales y que ello </w:t>
      </w:r>
      <w:r w:rsidRPr="00BD1319">
        <w:rPr>
          <w:spacing w:val="-3"/>
        </w:rPr>
        <w:t xml:space="preserve">se debe reflejar en </w:t>
      </w:r>
      <w:r w:rsidR="00E84CD8" w:rsidRPr="00BD1319">
        <w:rPr>
          <w:spacing w:val="-3"/>
        </w:rPr>
        <w:t xml:space="preserve">la </w:t>
      </w:r>
      <w:r w:rsidRPr="00BD1319">
        <w:rPr>
          <w:spacing w:val="-3"/>
        </w:rPr>
        <w:t>unidad de medida</w:t>
      </w:r>
      <w:r w:rsidR="00E84CD8" w:rsidRPr="00BD1319">
        <w:rPr>
          <w:spacing w:val="-3"/>
        </w:rPr>
        <w:t xml:space="preserve"> de los indicadores cuantitativos</w:t>
      </w:r>
      <w:r w:rsidR="00970A40" w:rsidRPr="00BD1319">
        <w:rPr>
          <w:spacing w:val="-3"/>
        </w:rPr>
        <w:t>.</w:t>
      </w:r>
      <w:r w:rsidR="00B5495D" w:rsidRPr="00BD1319">
        <w:rPr>
          <w:spacing w:val="-3"/>
        </w:rPr>
        <w:t xml:space="preserve"> </w:t>
      </w:r>
      <w:r w:rsidR="000F60F8" w:rsidRPr="00BD1319">
        <w:rPr>
          <w:spacing w:val="-3"/>
        </w:rPr>
        <w:t xml:space="preserve">Así, los indicadores </w:t>
      </w:r>
      <w:r w:rsidR="00B44DE1" w:rsidRPr="00BD1319">
        <w:rPr>
          <w:spacing w:val="-3"/>
        </w:rPr>
        <w:t>deben comunicar</w:t>
      </w:r>
      <w:r w:rsidR="00B5495D" w:rsidRPr="00BD1319">
        <w:rPr>
          <w:spacing w:val="-3"/>
        </w:rPr>
        <w:t xml:space="preserve"> eficientemente las características de los SE</w:t>
      </w:r>
      <w:r w:rsidR="00B44DE1" w:rsidRPr="00BD1319">
        <w:rPr>
          <w:spacing w:val="-3"/>
        </w:rPr>
        <w:t xml:space="preserve"> </w:t>
      </w:r>
      <w:r w:rsidR="00816BC8" w:rsidRPr="00BD1319">
        <w:rPr>
          <w:spacing w:val="-3"/>
        </w:rPr>
        <w:t xml:space="preserve">que se quieren medir </w:t>
      </w:r>
      <w:r w:rsidR="00B44DE1" w:rsidRPr="00BD1319">
        <w:rPr>
          <w:spacing w:val="-3"/>
        </w:rPr>
        <w:t xml:space="preserve">y </w:t>
      </w:r>
      <w:r w:rsidR="00B5495D" w:rsidRPr="00BD1319">
        <w:rPr>
          <w:rFonts w:cs="Arial"/>
          <w:spacing w:val="-3"/>
        </w:rPr>
        <w:t xml:space="preserve">ser sensibles espacial y temporalmente a los </w:t>
      </w:r>
      <w:r w:rsidR="00197E47" w:rsidRPr="00BD1319">
        <w:rPr>
          <w:rFonts w:cs="Arial"/>
          <w:spacing w:val="-3"/>
        </w:rPr>
        <w:t>impactos</w:t>
      </w:r>
      <w:r w:rsidR="00B5495D" w:rsidRPr="00BD1319">
        <w:rPr>
          <w:rFonts w:cs="Arial"/>
          <w:spacing w:val="-3"/>
        </w:rPr>
        <w:t xml:space="preserve"> </w:t>
      </w:r>
      <w:r w:rsidR="00541D7C" w:rsidRPr="00BD1319">
        <w:rPr>
          <w:rFonts w:cs="Arial"/>
          <w:spacing w:val="-3"/>
        </w:rPr>
        <w:t xml:space="preserve">a los </w:t>
      </w:r>
      <w:r w:rsidR="0045217B" w:rsidRPr="00BD1319">
        <w:rPr>
          <w:rFonts w:cs="Arial"/>
          <w:spacing w:val="-3"/>
        </w:rPr>
        <w:t xml:space="preserve">cuáles </w:t>
      </w:r>
      <w:r w:rsidR="00541D7C" w:rsidRPr="00BD1319">
        <w:rPr>
          <w:rFonts w:cs="Arial"/>
          <w:spacing w:val="-3"/>
        </w:rPr>
        <w:t>se asocia</w:t>
      </w:r>
      <w:r w:rsidR="00816BC8" w:rsidRPr="00BD1319">
        <w:rPr>
          <w:rFonts w:cs="Arial"/>
          <w:spacing w:val="-3"/>
        </w:rPr>
        <w:t>n</w:t>
      </w:r>
      <w:r w:rsidR="00B5495D" w:rsidRPr="00BD1319">
        <w:rPr>
          <w:rFonts w:cs="Arial"/>
          <w:spacing w:val="-3"/>
        </w:rPr>
        <w:t>.</w:t>
      </w:r>
    </w:p>
    <w:p w14:paraId="0211CED7" w14:textId="4B5315A2" w:rsidR="00970A40" w:rsidRPr="00BD1319" w:rsidRDefault="00970A40" w:rsidP="009420F5">
      <w:pPr>
        <w:tabs>
          <w:tab w:val="left" w:pos="-2268"/>
        </w:tabs>
        <w:suppressAutoHyphens/>
        <w:rPr>
          <w:spacing w:val="-3"/>
        </w:rPr>
      </w:pPr>
    </w:p>
    <w:p w14:paraId="44194FF0" w14:textId="5878C7E3" w:rsidR="009B0013" w:rsidRPr="00BD1319" w:rsidRDefault="00970A40" w:rsidP="009420F5">
      <w:pPr>
        <w:tabs>
          <w:tab w:val="left" w:pos="-2268"/>
        </w:tabs>
        <w:suppressAutoHyphens/>
        <w:rPr>
          <w:spacing w:val="-3"/>
        </w:rPr>
      </w:pPr>
      <w:r w:rsidRPr="00BD1319">
        <w:rPr>
          <w:spacing w:val="-3"/>
        </w:rPr>
        <w:t>Una vez se definan los indicadores</w:t>
      </w:r>
      <w:r w:rsidR="00A15BD4" w:rsidRPr="00BD1319">
        <w:rPr>
          <w:spacing w:val="-3"/>
        </w:rPr>
        <w:t xml:space="preserve">, </w:t>
      </w:r>
      <w:r w:rsidR="00020571" w:rsidRPr="00BD1319">
        <w:rPr>
          <w:spacing w:val="-3"/>
        </w:rPr>
        <w:t xml:space="preserve">y </w:t>
      </w:r>
      <w:r w:rsidR="00A15BD4" w:rsidRPr="00BD1319">
        <w:rPr>
          <w:spacing w:val="-3"/>
        </w:rPr>
        <w:t xml:space="preserve">sus escalas </w:t>
      </w:r>
      <w:r w:rsidRPr="00BD1319">
        <w:rPr>
          <w:spacing w:val="-3"/>
        </w:rPr>
        <w:t xml:space="preserve">y </w:t>
      </w:r>
      <w:r w:rsidR="00A15BD4" w:rsidRPr="00BD1319">
        <w:rPr>
          <w:spacing w:val="-3"/>
        </w:rPr>
        <w:t xml:space="preserve">unidades </w:t>
      </w:r>
      <w:r w:rsidRPr="00BD1319">
        <w:rPr>
          <w:spacing w:val="-3"/>
        </w:rPr>
        <w:t>de medida, se debe</w:t>
      </w:r>
      <w:r w:rsidR="00443789" w:rsidRPr="00BD1319">
        <w:rPr>
          <w:spacing w:val="-3"/>
        </w:rPr>
        <w:t>n</w:t>
      </w:r>
      <w:r w:rsidRPr="00BD1319">
        <w:rPr>
          <w:spacing w:val="-3"/>
        </w:rPr>
        <w:t xml:space="preserve"> </w:t>
      </w:r>
      <w:r w:rsidR="00443789" w:rsidRPr="00BD1319">
        <w:rPr>
          <w:spacing w:val="-3"/>
        </w:rPr>
        <w:t xml:space="preserve">establecer </w:t>
      </w:r>
      <w:r w:rsidRPr="00BD1319">
        <w:rPr>
          <w:spacing w:val="-3"/>
        </w:rPr>
        <w:t>los métodos para obtener e integrar la información necesaria para evaluarlos</w:t>
      </w:r>
      <w:r w:rsidR="00443789" w:rsidRPr="00BD1319">
        <w:rPr>
          <w:spacing w:val="-3"/>
        </w:rPr>
        <w:t>.</w:t>
      </w:r>
      <w:r w:rsidRPr="00BD1319">
        <w:rPr>
          <w:spacing w:val="-3"/>
        </w:rPr>
        <w:t xml:space="preserve"> </w:t>
      </w:r>
      <w:r w:rsidR="00E7232C" w:rsidRPr="00BD1319">
        <w:rPr>
          <w:spacing w:val="-3"/>
        </w:rPr>
        <w:t xml:space="preserve">Los métodos pueden recurrir tanto a </w:t>
      </w:r>
      <w:r w:rsidRPr="00BD1319">
        <w:rPr>
          <w:spacing w:val="-3"/>
        </w:rPr>
        <w:t>medici</w:t>
      </w:r>
      <w:r w:rsidR="00443789" w:rsidRPr="00BD1319">
        <w:rPr>
          <w:spacing w:val="-3"/>
        </w:rPr>
        <w:t xml:space="preserve">ones </w:t>
      </w:r>
      <w:r w:rsidRPr="00BD1319">
        <w:rPr>
          <w:spacing w:val="-3"/>
        </w:rPr>
        <w:t>directa</w:t>
      </w:r>
      <w:r w:rsidR="00443789" w:rsidRPr="00BD1319">
        <w:rPr>
          <w:spacing w:val="-3"/>
        </w:rPr>
        <w:t>s</w:t>
      </w:r>
      <w:r w:rsidRPr="00BD1319">
        <w:rPr>
          <w:spacing w:val="-3"/>
        </w:rPr>
        <w:t xml:space="preserve"> (</w:t>
      </w:r>
      <w:r w:rsidR="00041844" w:rsidRPr="00BD1319">
        <w:rPr>
          <w:spacing w:val="-3"/>
        </w:rPr>
        <w:t>p. ej.</w:t>
      </w:r>
      <w:r w:rsidRPr="00BD1319">
        <w:rPr>
          <w:spacing w:val="-3"/>
        </w:rPr>
        <w:t xml:space="preserve"> caudal de agua (m</w:t>
      </w:r>
      <w:r w:rsidRPr="00BD1319">
        <w:rPr>
          <w:spacing w:val="-3"/>
          <w:vertAlign w:val="superscript"/>
        </w:rPr>
        <w:t>3</w:t>
      </w:r>
      <w:r w:rsidRPr="00BD1319">
        <w:rPr>
          <w:spacing w:val="-3"/>
        </w:rPr>
        <w:t xml:space="preserve">/s), </w:t>
      </w:r>
      <w:r w:rsidR="00443789" w:rsidRPr="00BD1319">
        <w:rPr>
          <w:spacing w:val="-3"/>
        </w:rPr>
        <w:t xml:space="preserve">volumen de madera </w:t>
      </w:r>
      <w:r w:rsidRPr="00BD1319">
        <w:rPr>
          <w:spacing w:val="-3"/>
        </w:rPr>
        <w:t>aprovecha</w:t>
      </w:r>
      <w:r w:rsidR="00443789" w:rsidRPr="00BD1319">
        <w:rPr>
          <w:spacing w:val="-3"/>
        </w:rPr>
        <w:t xml:space="preserve">do </w:t>
      </w:r>
      <w:r w:rsidRPr="00BD1319">
        <w:rPr>
          <w:spacing w:val="-3"/>
        </w:rPr>
        <w:t>(m</w:t>
      </w:r>
      <w:r w:rsidRPr="00BD1319">
        <w:rPr>
          <w:spacing w:val="-3"/>
          <w:vertAlign w:val="superscript"/>
        </w:rPr>
        <w:t>3</w:t>
      </w:r>
      <w:r w:rsidRPr="00BD1319">
        <w:rPr>
          <w:spacing w:val="-3"/>
        </w:rPr>
        <w:t>/año)</w:t>
      </w:r>
      <w:r w:rsidR="00443789" w:rsidRPr="00BD1319">
        <w:rPr>
          <w:spacing w:val="-3"/>
        </w:rPr>
        <w:t>,</w:t>
      </w:r>
      <w:r w:rsidRPr="00BD1319">
        <w:rPr>
          <w:spacing w:val="-3"/>
        </w:rPr>
        <w:t xml:space="preserve"> producción de alimentos (t/año)</w:t>
      </w:r>
      <w:r w:rsidR="00443789" w:rsidRPr="00BD1319">
        <w:rPr>
          <w:spacing w:val="-3"/>
        </w:rPr>
        <w:t xml:space="preserve">, o </w:t>
      </w:r>
      <w:r w:rsidR="000D662E" w:rsidRPr="00BD1319">
        <w:rPr>
          <w:spacing w:val="-3"/>
        </w:rPr>
        <w:t>grado de disfrute del paisaje</w:t>
      </w:r>
      <w:r w:rsidRPr="00BD1319">
        <w:rPr>
          <w:spacing w:val="-3"/>
        </w:rPr>
        <w:t xml:space="preserve">, </w:t>
      </w:r>
      <w:r w:rsidR="00E7232C" w:rsidRPr="00BD1319">
        <w:rPr>
          <w:spacing w:val="-3"/>
        </w:rPr>
        <w:t xml:space="preserve">como a </w:t>
      </w:r>
      <w:r w:rsidRPr="00BD1319">
        <w:rPr>
          <w:spacing w:val="-3"/>
        </w:rPr>
        <w:t>medici</w:t>
      </w:r>
      <w:r w:rsidR="000D662E" w:rsidRPr="00BD1319">
        <w:rPr>
          <w:spacing w:val="-3"/>
        </w:rPr>
        <w:t xml:space="preserve">ones </w:t>
      </w:r>
      <w:r w:rsidRPr="00BD1319">
        <w:rPr>
          <w:spacing w:val="-3"/>
        </w:rPr>
        <w:t>indirecta</w:t>
      </w:r>
      <w:r w:rsidR="000D662E" w:rsidRPr="00BD1319">
        <w:rPr>
          <w:spacing w:val="-3"/>
        </w:rPr>
        <w:t>s</w:t>
      </w:r>
      <w:r w:rsidRPr="00BD1319">
        <w:rPr>
          <w:spacing w:val="-3"/>
        </w:rPr>
        <w:t xml:space="preserve"> que </w:t>
      </w:r>
      <w:r w:rsidR="00C539A3" w:rsidRPr="00BD1319">
        <w:rPr>
          <w:spacing w:val="-3"/>
        </w:rPr>
        <w:t xml:space="preserve">pueden emplearse como proxy del indicador seleccionado </w:t>
      </w:r>
      <w:r w:rsidR="00BE507F" w:rsidRPr="00BD1319">
        <w:rPr>
          <w:spacing w:val="-3"/>
        </w:rPr>
        <w:t>(</w:t>
      </w:r>
      <w:r w:rsidR="00041844" w:rsidRPr="00BD1319">
        <w:rPr>
          <w:spacing w:val="-3"/>
        </w:rPr>
        <w:t>p. ej.</w:t>
      </w:r>
      <w:r w:rsidR="00C539A3" w:rsidRPr="00BD1319">
        <w:rPr>
          <w:spacing w:val="-3"/>
        </w:rPr>
        <w:t xml:space="preserve"> </w:t>
      </w:r>
      <w:r w:rsidR="00020571" w:rsidRPr="00BD1319">
        <w:rPr>
          <w:spacing w:val="-3"/>
        </w:rPr>
        <w:t>datos de</w:t>
      </w:r>
      <w:r w:rsidR="00C539A3" w:rsidRPr="00BD1319">
        <w:rPr>
          <w:spacing w:val="-3"/>
        </w:rPr>
        <w:t xml:space="preserve"> sensores remotos para evaluar la biomasa en bosques, la humedad del suelo o la calidad del agua en lagos, </w:t>
      </w:r>
      <w:r w:rsidR="00020571" w:rsidRPr="00BD1319">
        <w:rPr>
          <w:spacing w:val="-3"/>
        </w:rPr>
        <w:t>así como</w:t>
      </w:r>
      <w:r w:rsidR="00C539A3" w:rsidRPr="00BD1319">
        <w:rPr>
          <w:spacing w:val="-3"/>
        </w:rPr>
        <w:t xml:space="preserve"> la disponibilidad a pagar por la conservación de un área natural</w:t>
      </w:r>
      <w:r w:rsidR="00020571" w:rsidRPr="00BD1319">
        <w:rPr>
          <w:spacing w:val="-3"/>
        </w:rPr>
        <w:t xml:space="preserve"> para dar cuenta de </w:t>
      </w:r>
      <w:r w:rsidR="00B977EA" w:rsidRPr="00BD1319">
        <w:rPr>
          <w:spacing w:val="-3"/>
        </w:rPr>
        <w:t>servicios como la provisión de agua potable</w:t>
      </w:r>
      <w:r w:rsidRPr="00BD1319">
        <w:rPr>
          <w:spacing w:val="-3"/>
        </w:rPr>
        <w:t>)</w:t>
      </w:r>
      <w:r w:rsidR="009B0013" w:rsidRPr="00BD1319">
        <w:rPr>
          <w:spacing w:val="-3"/>
        </w:rPr>
        <w:t>.</w:t>
      </w:r>
    </w:p>
    <w:p w14:paraId="5377ACE9" w14:textId="77777777" w:rsidR="009B0013" w:rsidRPr="00BD1319" w:rsidRDefault="009B0013" w:rsidP="009420F5">
      <w:pPr>
        <w:tabs>
          <w:tab w:val="left" w:pos="-2268"/>
        </w:tabs>
        <w:suppressAutoHyphens/>
        <w:rPr>
          <w:spacing w:val="-3"/>
        </w:rPr>
      </w:pPr>
    </w:p>
    <w:p w14:paraId="3228E3C2" w14:textId="781BE391" w:rsidR="00970A40" w:rsidRPr="00BD1319" w:rsidRDefault="009B0013" w:rsidP="009420F5">
      <w:pPr>
        <w:tabs>
          <w:tab w:val="left" w:pos="-2268"/>
        </w:tabs>
        <w:suppressAutoHyphens/>
        <w:rPr>
          <w:spacing w:val="-3"/>
        </w:rPr>
      </w:pPr>
      <w:r w:rsidRPr="00BD1319">
        <w:rPr>
          <w:spacing w:val="-3"/>
        </w:rPr>
        <w:t>L</w:t>
      </w:r>
      <w:r w:rsidR="00020571" w:rsidRPr="00BD1319">
        <w:rPr>
          <w:spacing w:val="-3"/>
        </w:rPr>
        <w:t xml:space="preserve">os métodos </w:t>
      </w:r>
      <w:r w:rsidRPr="00BD1319">
        <w:rPr>
          <w:spacing w:val="-3"/>
        </w:rPr>
        <w:t xml:space="preserve">de medición de los indicadores </w:t>
      </w:r>
      <w:r w:rsidR="00020571" w:rsidRPr="00BD1319">
        <w:rPr>
          <w:spacing w:val="-3"/>
        </w:rPr>
        <w:t xml:space="preserve">también pueden </w:t>
      </w:r>
      <w:r w:rsidRPr="00BD1319">
        <w:rPr>
          <w:spacing w:val="-3"/>
        </w:rPr>
        <w:t xml:space="preserve">recurrir al desarrollo de </w:t>
      </w:r>
      <w:r w:rsidR="00970A40" w:rsidRPr="00BD1319">
        <w:rPr>
          <w:spacing w:val="-3"/>
        </w:rPr>
        <w:t>modelizaci</w:t>
      </w:r>
      <w:r w:rsidR="00E7232C" w:rsidRPr="00BD1319">
        <w:rPr>
          <w:spacing w:val="-3"/>
        </w:rPr>
        <w:t>ones</w:t>
      </w:r>
      <w:r w:rsidRPr="00BD1319">
        <w:rPr>
          <w:spacing w:val="-3"/>
        </w:rPr>
        <w:t xml:space="preserve"> que simulen el comportamiento del SE a partir de la información ecológica y socioeconómica de la zona</w:t>
      </w:r>
      <w:r w:rsidR="00B826D3" w:rsidRPr="00BD1319">
        <w:rPr>
          <w:spacing w:val="-3"/>
        </w:rPr>
        <w:t xml:space="preserve">, es decir, mediante </w:t>
      </w:r>
      <w:r w:rsidR="00970A40" w:rsidRPr="00BD1319">
        <w:rPr>
          <w:spacing w:val="-3"/>
        </w:rPr>
        <w:t>múltiples mediciones</w:t>
      </w:r>
      <w:r w:rsidR="000D662E" w:rsidRPr="00BD1319">
        <w:rPr>
          <w:spacing w:val="-3"/>
        </w:rPr>
        <w:t xml:space="preserve"> cualitativas o cuantitativas</w:t>
      </w:r>
      <w:r w:rsidR="00970A40" w:rsidRPr="00BD1319">
        <w:rPr>
          <w:spacing w:val="-3"/>
        </w:rPr>
        <w:t xml:space="preserve">, relaciones causales, </w:t>
      </w:r>
      <w:r w:rsidR="000D662E" w:rsidRPr="00BD1319">
        <w:rPr>
          <w:spacing w:val="-3"/>
        </w:rPr>
        <w:t>interacciones teóricas entre elementos del ambiente</w:t>
      </w:r>
      <w:r w:rsidR="00C539A3" w:rsidRPr="00BD1319">
        <w:rPr>
          <w:spacing w:val="-3"/>
        </w:rPr>
        <w:t>, entre otro</w:t>
      </w:r>
      <w:r w:rsidR="00970A40" w:rsidRPr="00BD1319">
        <w:rPr>
          <w:spacing w:val="-3"/>
        </w:rPr>
        <w:t>s</w:t>
      </w:r>
      <w:r w:rsidR="00C539A3" w:rsidRPr="00BD1319">
        <w:rPr>
          <w:spacing w:val="-3"/>
        </w:rPr>
        <w:t xml:space="preserve"> elementos</w:t>
      </w:r>
      <w:r w:rsidR="00970A40" w:rsidRPr="00BD1319">
        <w:rPr>
          <w:spacing w:val="-3"/>
        </w:rPr>
        <w:t>.</w:t>
      </w:r>
      <w:r w:rsidR="00B826D3" w:rsidRPr="00BD1319">
        <w:rPr>
          <w:spacing w:val="-3"/>
        </w:rPr>
        <w:t xml:space="preserve"> </w:t>
      </w:r>
      <w:r w:rsidR="00020571" w:rsidRPr="00BD1319">
        <w:rPr>
          <w:spacing w:val="-3"/>
        </w:rPr>
        <w:t xml:space="preserve">Importante tener en cuenta que los </w:t>
      </w:r>
      <w:r w:rsidR="00970A40" w:rsidRPr="00BD1319">
        <w:rPr>
          <w:spacing w:val="-3"/>
        </w:rPr>
        <w:t xml:space="preserve">modelos son especialmente útiles para </w:t>
      </w:r>
      <w:r w:rsidR="00020571" w:rsidRPr="00BD1319">
        <w:rPr>
          <w:spacing w:val="-3"/>
        </w:rPr>
        <w:t xml:space="preserve">evaluar los SE </w:t>
      </w:r>
      <w:r w:rsidR="00970A40" w:rsidRPr="00BD1319">
        <w:rPr>
          <w:spacing w:val="-3"/>
        </w:rPr>
        <w:t>de regulación</w:t>
      </w:r>
      <w:r w:rsidR="00020571" w:rsidRPr="00BD1319">
        <w:rPr>
          <w:spacing w:val="-3"/>
        </w:rPr>
        <w:t xml:space="preserve"> y en general para </w:t>
      </w:r>
      <w:r w:rsidR="00970A40" w:rsidRPr="00BD1319">
        <w:rPr>
          <w:spacing w:val="-3"/>
        </w:rPr>
        <w:t xml:space="preserve">casos en </w:t>
      </w:r>
      <w:r w:rsidR="00020571" w:rsidRPr="00BD1319">
        <w:rPr>
          <w:spacing w:val="-3"/>
        </w:rPr>
        <w:t xml:space="preserve">los que </w:t>
      </w:r>
      <w:r w:rsidR="00127BE1" w:rsidRPr="00BD1319">
        <w:rPr>
          <w:spacing w:val="-3"/>
        </w:rPr>
        <w:t xml:space="preserve">hay una gran </w:t>
      </w:r>
      <w:r w:rsidR="00020571" w:rsidRPr="00BD1319">
        <w:rPr>
          <w:spacing w:val="-3"/>
        </w:rPr>
        <w:t>complejidad</w:t>
      </w:r>
      <w:r w:rsidR="00970A40" w:rsidRPr="00BD1319">
        <w:rPr>
          <w:spacing w:val="-3"/>
        </w:rPr>
        <w:t>.</w:t>
      </w:r>
    </w:p>
    <w:p w14:paraId="19DF9B4A" w14:textId="77777777" w:rsidR="00F40B29" w:rsidRPr="00BD1319" w:rsidRDefault="00F40B29" w:rsidP="009420F5">
      <w:pPr>
        <w:tabs>
          <w:tab w:val="left" w:pos="-2268"/>
        </w:tabs>
        <w:suppressAutoHyphens/>
        <w:rPr>
          <w:spacing w:val="-3"/>
        </w:rPr>
      </w:pPr>
    </w:p>
    <w:p w14:paraId="4A0BA90A" w14:textId="39B00308" w:rsidR="00F40B29" w:rsidRPr="00BD1319" w:rsidRDefault="00F40B29" w:rsidP="00F40B29">
      <w:pPr>
        <w:tabs>
          <w:tab w:val="left" w:pos="-2268"/>
        </w:tabs>
        <w:suppressAutoHyphens/>
        <w:rPr>
          <w:spacing w:val="-3"/>
        </w:rPr>
      </w:pPr>
      <w:r w:rsidRPr="00BD1319">
        <w:rPr>
          <w:spacing w:val="-3"/>
        </w:rPr>
        <w:t>Para el caso de la caracterización, descripción y evaluación de los indicadores cualitativos, es necesario señalar el marco de referencia que permite su análisis e interpretación</w:t>
      </w:r>
      <w:r w:rsidR="00DF602C" w:rsidRPr="00BD1319">
        <w:rPr>
          <w:spacing w:val="-3"/>
        </w:rPr>
        <w:t>, mencionando los supuestos, hechos históricos y demás condiciones socioculturales y ecológicas en los que se basan.</w:t>
      </w:r>
    </w:p>
    <w:p w14:paraId="081934CF" w14:textId="77777777" w:rsidR="00F40B29" w:rsidRPr="00BD1319" w:rsidRDefault="00F40B29" w:rsidP="009420F5">
      <w:pPr>
        <w:tabs>
          <w:tab w:val="left" w:pos="-2268"/>
        </w:tabs>
        <w:suppressAutoHyphens/>
        <w:rPr>
          <w:spacing w:val="-3"/>
        </w:rPr>
      </w:pPr>
    </w:p>
    <w:p w14:paraId="2A48E9A2" w14:textId="5A9C6256" w:rsidR="00D2164B" w:rsidRPr="00BD1319" w:rsidRDefault="00DF602C" w:rsidP="00D2164B">
      <w:pPr>
        <w:numPr>
          <w:ilvl w:val="12"/>
          <w:numId w:val="0"/>
        </w:numPr>
        <w:tabs>
          <w:tab w:val="left" w:pos="-2268"/>
        </w:tabs>
        <w:suppressAutoHyphens/>
        <w:rPr>
          <w:rFonts w:cs="Arial"/>
          <w:spacing w:val="-3"/>
        </w:rPr>
      </w:pPr>
      <w:r w:rsidRPr="00BD1319">
        <w:rPr>
          <w:rFonts w:cs="Arial"/>
          <w:spacing w:val="-3"/>
        </w:rPr>
        <w:t>Asimismo, l</w:t>
      </w:r>
      <w:r w:rsidR="00D2164B" w:rsidRPr="00BD1319">
        <w:rPr>
          <w:rFonts w:cs="Arial"/>
          <w:spacing w:val="-3"/>
        </w:rPr>
        <w:t>os</w:t>
      </w:r>
      <w:r w:rsidR="00D2164B" w:rsidRPr="00BD1319">
        <w:rPr>
          <w:spacing w:val="-3"/>
        </w:rPr>
        <w:t xml:space="preserve"> SE </w:t>
      </w:r>
      <w:r w:rsidR="00D2164B" w:rsidRPr="00BD1319">
        <w:rPr>
          <w:rFonts w:cs="Arial"/>
          <w:spacing w:val="-3"/>
        </w:rPr>
        <w:t xml:space="preserve">deben ser </w:t>
      </w:r>
      <w:r w:rsidR="00D2164B" w:rsidRPr="00BD1319">
        <w:rPr>
          <w:spacing w:val="-3"/>
        </w:rPr>
        <w:t xml:space="preserve">descritos </w:t>
      </w:r>
      <w:r w:rsidR="00D2164B" w:rsidRPr="00BD1319">
        <w:rPr>
          <w:rFonts w:cs="Arial"/>
          <w:spacing w:val="-3"/>
        </w:rPr>
        <w:t>señalando</w:t>
      </w:r>
      <w:r w:rsidR="00D2164B" w:rsidRPr="00BD1319">
        <w:rPr>
          <w:spacing w:val="-3"/>
        </w:rPr>
        <w:t xml:space="preserve"> en </w:t>
      </w:r>
      <w:r w:rsidR="00D2164B" w:rsidRPr="00BD1319">
        <w:rPr>
          <w:rFonts w:cs="Arial"/>
          <w:spacing w:val="-3"/>
        </w:rPr>
        <w:t>qué consisten, cómo son las interacciones entre los componentes</w:t>
      </w:r>
      <w:r w:rsidR="00D2164B" w:rsidRPr="00BD1319">
        <w:rPr>
          <w:spacing w:val="-3"/>
        </w:rPr>
        <w:t xml:space="preserve"> del </w:t>
      </w:r>
      <w:r w:rsidR="00D2164B" w:rsidRPr="00BD1319">
        <w:rPr>
          <w:rFonts w:cs="Arial"/>
          <w:spacing w:val="-3"/>
        </w:rPr>
        <w:t>ambiente involucrados, dónde ocurren</w:t>
      </w:r>
      <w:r w:rsidRPr="00BD1319">
        <w:rPr>
          <w:rFonts w:cs="Arial"/>
          <w:spacing w:val="-3"/>
        </w:rPr>
        <w:t>, qué extensión tienen las áreas que los proveen</w:t>
      </w:r>
      <w:r w:rsidR="00D2164B" w:rsidRPr="00BD1319">
        <w:rPr>
          <w:rFonts w:cs="Arial"/>
          <w:spacing w:val="-3"/>
        </w:rPr>
        <w:t>, qué situaciones influyen en ellos, qué aspectos tienen la capacidad de inducirles cambios</w:t>
      </w:r>
      <w:r w:rsidR="00D2164B" w:rsidRPr="00BD1319">
        <w:rPr>
          <w:spacing w:val="-3"/>
        </w:rPr>
        <w:t>, entre otras</w:t>
      </w:r>
      <w:r w:rsidR="00D2164B" w:rsidRPr="00BD1319">
        <w:rPr>
          <w:rFonts w:cs="Arial"/>
          <w:spacing w:val="-3"/>
        </w:rPr>
        <w:t>.</w:t>
      </w:r>
    </w:p>
    <w:p w14:paraId="56D63DEC" w14:textId="77777777" w:rsidR="00D2164B" w:rsidRPr="00BD1319" w:rsidRDefault="00D2164B" w:rsidP="00D2164B">
      <w:pPr>
        <w:numPr>
          <w:ilvl w:val="12"/>
          <w:numId w:val="0"/>
        </w:numPr>
        <w:tabs>
          <w:tab w:val="left" w:pos="-2268"/>
        </w:tabs>
        <w:suppressAutoHyphens/>
        <w:rPr>
          <w:rFonts w:cs="Arial"/>
          <w:spacing w:val="-3"/>
        </w:rPr>
      </w:pPr>
    </w:p>
    <w:p w14:paraId="619BCD15" w14:textId="6F31C475" w:rsidR="00E335C9" w:rsidRPr="00BD1319" w:rsidRDefault="00E335C9" w:rsidP="00216955">
      <w:pPr>
        <w:pStyle w:val="Ttulo3"/>
      </w:pPr>
      <w:bookmarkStart w:id="2996" w:name="_Toc79443081"/>
      <w:bookmarkStart w:id="2997" w:name="_Toc79443082"/>
      <w:bookmarkStart w:id="2998" w:name="_Toc79443083"/>
      <w:bookmarkStart w:id="2999" w:name="_Toc79443084"/>
      <w:bookmarkStart w:id="3000" w:name="_Toc79443085"/>
      <w:bookmarkStart w:id="3001" w:name="_Toc79443086"/>
      <w:bookmarkStart w:id="3002" w:name="_Toc79443087"/>
      <w:bookmarkStart w:id="3003" w:name="_Toc79443088"/>
      <w:bookmarkStart w:id="3004" w:name="_Toc79443089"/>
      <w:bookmarkStart w:id="3005" w:name="_Toc79443090"/>
      <w:bookmarkStart w:id="3006" w:name="_Toc79443091"/>
      <w:bookmarkStart w:id="3007" w:name="_Toc79443092"/>
      <w:bookmarkStart w:id="3008" w:name="_Toc79443093"/>
      <w:bookmarkStart w:id="3009" w:name="_Toc79443094"/>
      <w:bookmarkStart w:id="3010" w:name="_Toc79443095"/>
      <w:bookmarkStart w:id="3011" w:name="_Toc79443096"/>
      <w:bookmarkStart w:id="3012" w:name="_Toc79443097"/>
      <w:bookmarkStart w:id="3013" w:name="_Toc79443098"/>
      <w:bookmarkStart w:id="3014" w:name="_Toc79443099"/>
      <w:bookmarkStart w:id="3015" w:name="_Toc79443100"/>
      <w:bookmarkStart w:id="3016" w:name="_Toc79443101"/>
      <w:bookmarkStart w:id="3017" w:name="_Toc79443102"/>
      <w:bookmarkStart w:id="3018" w:name="_Toc79443103"/>
      <w:bookmarkStart w:id="3019" w:name="_Toc79443104"/>
      <w:bookmarkStart w:id="3020" w:name="_Toc79443105"/>
      <w:bookmarkStart w:id="3021" w:name="_Toc79443106"/>
      <w:bookmarkStart w:id="3022" w:name="_Toc79443107"/>
      <w:bookmarkStart w:id="3023" w:name="_Toc79443108"/>
      <w:bookmarkStart w:id="3024" w:name="_Toc79443109"/>
      <w:bookmarkStart w:id="3025" w:name="_Toc79443110"/>
      <w:bookmarkStart w:id="3026" w:name="_Toc79443111"/>
      <w:bookmarkStart w:id="3027" w:name="_Toc79443112"/>
      <w:bookmarkStart w:id="3028" w:name="_Toc79443113"/>
      <w:bookmarkStart w:id="3029" w:name="_Toc79443141"/>
      <w:bookmarkStart w:id="3030" w:name="_Toc79443154"/>
      <w:bookmarkStart w:id="3031" w:name="_Toc79443180"/>
      <w:bookmarkStart w:id="3032" w:name="_Toc79443193"/>
      <w:bookmarkStart w:id="3033" w:name="_Toc79443206"/>
      <w:bookmarkStart w:id="3034" w:name="_Toc79443219"/>
      <w:bookmarkStart w:id="3035" w:name="_Toc79443234"/>
      <w:bookmarkStart w:id="3036" w:name="_Toc79443260"/>
      <w:bookmarkStart w:id="3037" w:name="_Toc79443288"/>
      <w:bookmarkStart w:id="3038" w:name="_Toc79443301"/>
      <w:bookmarkStart w:id="3039" w:name="_Toc79443316"/>
      <w:bookmarkStart w:id="3040" w:name="_Toc79443317"/>
      <w:bookmarkStart w:id="3041" w:name="_Toc79443318"/>
      <w:bookmarkStart w:id="3042" w:name="_Toc79443319"/>
      <w:bookmarkStart w:id="3043" w:name="_Toc175326778"/>
      <w:bookmarkStart w:id="3044" w:name="_Toc412812762"/>
      <w:bookmarkStart w:id="3045" w:name="_Toc437936018"/>
      <w:bookmarkStart w:id="3046" w:name="_Toc42764359"/>
      <w:bookmarkStart w:id="3047" w:name="_Toc437936040"/>
      <w:bookmarkStart w:id="3048" w:name="_Ref510090181"/>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r w:rsidRPr="00BD1319">
        <w:t xml:space="preserve">Lineamientos </w:t>
      </w:r>
      <w:r w:rsidR="005A0DD9" w:rsidRPr="00BD1319">
        <w:t xml:space="preserve">generales para la caracterización de </w:t>
      </w:r>
      <w:r w:rsidRPr="00BD1319">
        <w:t xml:space="preserve">los SE </w:t>
      </w:r>
      <w:r w:rsidR="00FA35FD" w:rsidRPr="00BD1319">
        <w:t>asociados</w:t>
      </w:r>
      <w:r w:rsidRPr="00BD1319">
        <w:t xml:space="preserve"> </w:t>
      </w:r>
      <w:r w:rsidR="00FA35FD" w:rsidRPr="00BD1319">
        <w:t>a</w:t>
      </w:r>
      <w:r w:rsidRPr="00BD1319">
        <w:t>l suelo</w:t>
      </w:r>
      <w:bookmarkEnd w:id="3043"/>
    </w:p>
    <w:p w14:paraId="6AC80135" w14:textId="77777777" w:rsidR="00E335C9" w:rsidRPr="00BD1319" w:rsidRDefault="00E335C9" w:rsidP="00E335C9">
      <w:pPr>
        <w:numPr>
          <w:ilvl w:val="12"/>
          <w:numId w:val="0"/>
        </w:numPr>
        <w:tabs>
          <w:tab w:val="left" w:pos="-2268"/>
        </w:tabs>
        <w:suppressAutoHyphens/>
        <w:rPr>
          <w:rFonts w:cs="Arial"/>
          <w:spacing w:val="-3"/>
        </w:rPr>
      </w:pPr>
    </w:p>
    <w:p w14:paraId="4ED94B54" w14:textId="1A5F41F2" w:rsidR="00186CD1" w:rsidRPr="00BD1319" w:rsidRDefault="005A0DD9" w:rsidP="00E335C9">
      <w:pPr>
        <w:numPr>
          <w:ilvl w:val="12"/>
          <w:numId w:val="0"/>
        </w:numPr>
        <w:tabs>
          <w:tab w:val="left" w:pos="-2268"/>
        </w:tabs>
        <w:suppressAutoHyphens/>
        <w:rPr>
          <w:rFonts w:cs="Arial"/>
          <w:spacing w:val="-3"/>
        </w:rPr>
      </w:pPr>
      <w:r w:rsidRPr="00BD1319">
        <w:rPr>
          <w:rFonts w:cs="Arial"/>
          <w:spacing w:val="-3"/>
        </w:rPr>
        <w:t xml:space="preserve">A </w:t>
      </w:r>
      <w:r w:rsidR="00434EA7" w:rsidRPr="00BD1319">
        <w:rPr>
          <w:rFonts w:cs="Arial"/>
          <w:spacing w:val="-3"/>
        </w:rPr>
        <w:t>continuación,</w:t>
      </w:r>
      <w:r w:rsidRPr="00BD1319">
        <w:rPr>
          <w:rFonts w:cs="Arial"/>
          <w:spacing w:val="-3"/>
        </w:rPr>
        <w:t xml:space="preserve"> se señalan algunos lineamientos para </w:t>
      </w:r>
      <w:r w:rsidR="00894C79" w:rsidRPr="00BD1319">
        <w:rPr>
          <w:rFonts w:cs="Arial"/>
          <w:spacing w:val="-3"/>
        </w:rPr>
        <w:t>caracterizar</w:t>
      </w:r>
      <w:r w:rsidRPr="00BD1319">
        <w:rPr>
          <w:rFonts w:cs="Arial"/>
          <w:spacing w:val="-3"/>
        </w:rPr>
        <w:t xml:space="preserve"> los SE </w:t>
      </w:r>
      <w:r w:rsidR="00B32ED0" w:rsidRPr="00BD1319">
        <w:rPr>
          <w:rFonts w:cs="Arial"/>
          <w:spacing w:val="-3"/>
        </w:rPr>
        <w:t xml:space="preserve">asociados </w:t>
      </w:r>
      <w:r w:rsidRPr="00BD1319">
        <w:rPr>
          <w:rFonts w:cs="Arial"/>
          <w:spacing w:val="-3"/>
        </w:rPr>
        <w:t xml:space="preserve">a los suelos. </w:t>
      </w:r>
      <w:r w:rsidR="00B32ED0" w:rsidRPr="00BD1319">
        <w:rPr>
          <w:rFonts w:cs="Arial"/>
          <w:spacing w:val="-3"/>
        </w:rPr>
        <w:t xml:space="preserve">En razón a </w:t>
      </w:r>
      <w:r w:rsidR="00894C79" w:rsidRPr="00BD1319">
        <w:rPr>
          <w:rFonts w:cs="Arial"/>
          <w:spacing w:val="-3"/>
        </w:rPr>
        <w:t xml:space="preserve">que </w:t>
      </w:r>
      <w:r w:rsidR="00B32ED0" w:rsidRPr="00BD1319">
        <w:rPr>
          <w:rFonts w:cs="Arial"/>
          <w:spacing w:val="-3"/>
        </w:rPr>
        <w:t xml:space="preserve">estos </w:t>
      </w:r>
      <w:r w:rsidR="00894C79" w:rsidRPr="00BD1319">
        <w:rPr>
          <w:rFonts w:cs="Arial"/>
          <w:spacing w:val="-3"/>
        </w:rPr>
        <w:t>lineamientos no son exhaustivos</w:t>
      </w:r>
      <w:r w:rsidR="00B32ED0" w:rsidRPr="00BD1319">
        <w:rPr>
          <w:rFonts w:cs="Arial"/>
          <w:spacing w:val="-3"/>
        </w:rPr>
        <w:t>,</w:t>
      </w:r>
      <w:r w:rsidR="00894C79" w:rsidRPr="00BD1319">
        <w:rPr>
          <w:rFonts w:cs="Arial"/>
          <w:spacing w:val="-3"/>
        </w:rPr>
        <w:t xml:space="preserve"> </w:t>
      </w:r>
      <w:r w:rsidR="00B32ED0" w:rsidRPr="00BD1319">
        <w:rPr>
          <w:rFonts w:cs="Arial"/>
          <w:spacing w:val="-3"/>
        </w:rPr>
        <w:t xml:space="preserve">a que </w:t>
      </w:r>
      <w:r w:rsidR="00894C79" w:rsidRPr="00BD1319">
        <w:rPr>
          <w:rFonts w:cs="Arial"/>
          <w:spacing w:val="-3"/>
        </w:rPr>
        <w:t>n</w:t>
      </w:r>
      <w:r w:rsidR="00B32ED0" w:rsidRPr="00BD1319">
        <w:rPr>
          <w:rFonts w:cs="Arial"/>
          <w:spacing w:val="-3"/>
        </w:rPr>
        <w:t>o</w:t>
      </w:r>
      <w:r w:rsidR="00894C79" w:rsidRPr="00BD1319">
        <w:rPr>
          <w:rFonts w:cs="Arial"/>
          <w:spacing w:val="-3"/>
        </w:rPr>
        <w:t xml:space="preserve"> abarcan la totalidad de </w:t>
      </w:r>
      <w:r w:rsidR="00B32ED0" w:rsidRPr="00BD1319">
        <w:rPr>
          <w:rFonts w:cs="Arial"/>
          <w:spacing w:val="-3"/>
        </w:rPr>
        <w:t xml:space="preserve">los </w:t>
      </w:r>
      <w:r w:rsidR="00894C79" w:rsidRPr="00BD1319">
        <w:rPr>
          <w:rFonts w:cs="Arial"/>
          <w:spacing w:val="-3"/>
        </w:rPr>
        <w:t xml:space="preserve">SE asociados al suelo, ni tampoco los SE relacionados con otros elementos del ambiente como la biodiversidad o la hidrología, </w:t>
      </w:r>
      <w:r w:rsidR="00B32ED0" w:rsidRPr="00BD1319">
        <w:rPr>
          <w:rFonts w:cs="Arial"/>
          <w:spacing w:val="-3"/>
        </w:rPr>
        <w:t xml:space="preserve">es necesario </w:t>
      </w:r>
      <w:r w:rsidR="00894C79" w:rsidRPr="00BD1319">
        <w:rPr>
          <w:rFonts w:cs="Arial"/>
          <w:spacing w:val="-3"/>
        </w:rPr>
        <w:t>emplear información (cuantitativa o cualitativa)</w:t>
      </w:r>
      <w:r w:rsidR="00B32ED0" w:rsidRPr="00BD1319">
        <w:rPr>
          <w:rFonts w:cs="Arial"/>
          <w:spacing w:val="-3"/>
        </w:rPr>
        <w:t xml:space="preserve">, indicadores, </w:t>
      </w:r>
      <w:r w:rsidR="00894C79" w:rsidRPr="00BD1319">
        <w:rPr>
          <w:rFonts w:cs="Arial"/>
          <w:spacing w:val="-3"/>
        </w:rPr>
        <w:t xml:space="preserve">modelos </w:t>
      </w:r>
      <w:r w:rsidR="00B32ED0" w:rsidRPr="00BD1319">
        <w:rPr>
          <w:rFonts w:cs="Arial"/>
          <w:spacing w:val="-3"/>
        </w:rPr>
        <w:t xml:space="preserve">y métodos </w:t>
      </w:r>
      <w:r w:rsidR="00894C79" w:rsidRPr="00BD1319">
        <w:rPr>
          <w:rFonts w:cs="Arial"/>
          <w:spacing w:val="-3"/>
        </w:rPr>
        <w:t xml:space="preserve">adicionales </w:t>
      </w:r>
      <w:r w:rsidR="00B32ED0" w:rsidRPr="00BD1319">
        <w:rPr>
          <w:rFonts w:cs="Arial"/>
          <w:spacing w:val="-3"/>
        </w:rPr>
        <w:t xml:space="preserve">que permitan </w:t>
      </w:r>
      <w:r w:rsidR="00894C79" w:rsidRPr="00BD1319">
        <w:rPr>
          <w:rFonts w:cs="Arial"/>
          <w:spacing w:val="-3"/>
        </w:rPr>
        <w:t xml:space="preserve">evaluar los SE que puedan </w:t>
      </w:r>
      <w:r w:rsidR="00B32ED0" w:rsidRPr="00BD1319">
        <w:rPr>
          <w:rFonts w:cs="Arial"/>
          <w:spacing w:val="-3"/>
        </w:rPr>
        <w:t xml:space="preserve">ser </w:t>
      </w:r>
      <w:r w:rsidR="00894C79" w:rsidRPr="00BD1319">
        <w:rPr>
          <w:rFonts w:cs="Arial"/>
          <w:spacing w:val="-3"/>
        </w:rPr>
        <w:t>impactados en el área de influencia del proyecto, obra o actividad</w:t>
      </w:r>
      <w:r w:rsidR="00186CD1" w:rsidRPr="00BD1319">
        <w:rPr>
          <w:rFonts w:cs="Arial"/>
          <w:spacing w:val="-3"/>
        </w:rPr>
        <w:t>.</w:t>
      </w:r>
    </w:p>
    <w:p w14:paraId="012BB49B" w14:textId="77777777" w:rsidR="00186CD1" w:rsidRPr="00BD1319" w:rsidRDefault="00186CD1" w:rsidP="00E335C9">
      <w:pPr>
        <w:numPr>
          <w:ilvl w:val="12"/>
          <w:numId w:val="0"/>
        </w:numPr>
        <w:tabs>
          <w:tab w:val="left" w:pos="-2268"/>
        </w:tabs>
        <w:suppressAutoHyphens/>
        <w:rPr>
          <w:rFonts w:cs="Arial"/>
          <w:spacing w:val="-3"/>
        </w:rPr>
      </w:pPr>
    </w:p>
    <w:p w14:paraId="0B9F6F60" w14:textId="6DB98ADE" w:rsidR="00E335C9" w:rsidRPr="00BD1319" w:rsidRDefault="00721AAE" w:rsidP="00E335C9">
      <w:pPr>
        <w:numPr>
          <w:ilvl w:val="12"/>
          <w:numId w:val="0"/>
        </w:numPr>
        <w:tabs>
          <w:tab w:val="left" w:pos="-2268"/>
        </w:tabs>
        <w:suppressAutoHyphens/>
        <w:rPr>
          <w:rFonts w:cs="Arial"/>
          <w:spacing w:val="-3"/>
        </w:rPr>
      </w:pPr>
      <w:r w:rsidRPr="00BD1319">
        <w:rPr>
          <w:rFonts w:cs="Arial"/>
          <w:spacing w:val="-3"/>
        </w:rPr>
        <w:t>De esta forma, a</w:t>
      </w:r>
      <w:r w:rsidR="00E335C9" w:rsidRPr="00BD1319">
        <w:rPr>
          <w:rFonts w:cs="Arial"/>
          <w:spacing w:val="-3"/>
        </w:rPr>
        <w:t xml:space="preserve"> partir de la información sobre las propiedades morfológicas, físicas, químicas y biológicas de los suelos</w:t>
      </w:r>
      <w:r w:rsidRPr="00BD1319">
        <w:rPr>
          <w:rFonts w:cs="Arial"/>
          <w:spacing w:val="-3"/>
        </w:rPr>
        <w:t xml:space="preserve"> (que evidencian entre otras</w:t>
      </w:r>
      <w:r w:rsidR="000A65B6" w:rsidRPr="00BD1319">
        <w:rPr>
          <w:rFonts w:cs="Arial"/>
          <w:spacing w:val="-3"/>
        </w:rPr>
        <w:t xml:space="preserve"> cosas</w:t>
      </w:r>
      <w:r w:rsidRPr="00BD1319">
        <w:rPr>
          <w:rFonts w:cs="Arial"/>
          <w:spacing w:val="-3"/>
        </w:rPr>
        <w:t>, su estado de degradación)</w:t>
      </w:r>
      <w:r w:rsidR="00A37F6B" w:rsidRPr="00BD1319">
        <w:rPr>
          <w:rFonts w:cs="Arial"/>
          <w:spacing w:val="-3"/>
        </w:rPr>
        <w:t xml:space="preserve"> </w:t>
      </w:r>
      <w:r w:rsidR="00F831F7" w:rsidRPr="00BD1319">
        <w:rPr>
          <w:rFonts w:cs="Arial"/>
          <w:spacing w:val="-3"/>
        </w:rPr>
        <w:t>obt</w:t>
      </w:r>
      <w:r w:rsidRPr="00BD1319">
        <w:rPr>
          <w:rFonts w:cs="Arial"/>
          <w:spacing w:val="-3"/>
        </w:rPr>
        <w:t xml:space="preserve">enida </w:t>
      </w:r>
      <w:r w:rsidR="00A37F6B" w:rsidRPr="00BD1319">
        <w:rPr>
          <w:rFonts w:cs="Arial"/>
          <w:spacing w:val="-3"/>
        </w:rPr>
        <w:t xml:space="preserve">mediante </w:t>
      </w:r>
      <w:r w:rsidR="00F831F7" w:rsidRPr="00BD1319">
        <w:rPr>
          <w:rFonts w:cs="Arial"/>
          <w:spacing w:val="-3"/>
        </w:rPr>
        <w:t>la caracterización del medio abiótico</w:t>
      </w:r>
      <w:r w:rsidR="00E335C9" w:rsidRPr="00BD1319">
        <w:rPr>
          <w:rFonts w:cs="Arial"/>
          <w:spacing w:val="-3"/>
        </w:rPr>
        <w:t xml:space="preserve">, </w:t>
      </w:r>
      <w:r w:rsidRPr="00BD1319">
        <w:rPr>
          <w:rFonts w:cs="Arial"/>
          <w:spacing w:val="-3"/>
        </w:rPr>
        <w:t xml:space="preserve">así como </w:t>
      </w:r>
      <w:r w:rsidR="00F831F7" w:rsidRPr="00BD1319">
        <w:rPr>
          <w:rFonts w:cs="Arial"/>
          <w:spacing w:val="-3"/>
        </w:rPr>
        <w:t xml:space="preserve">de </w:t>
      </w:r>
      <w:r w:rsidRPr="00BD1319">
        <w:rPr>
          <w:rFonts w:cs="Arial"/>
          <w:spacing w:val="-3"/>
        </w:rPr>
        <w:t xml:space="preserve">las </w:t>
      </w:r>
      <w:r w:rsidR="00F831F7" w:rsidRPr="00BD1319">
        <w:rPr>
          <w:rFonts w:cs="Arial"/>
          <w:spacing w:val="-3"/>
        </w:rPr>
        <w:t xml:space="preserve">consideraciones </w:t>
      </w:r>
      <w:r w:rsidRPr="00BD1319">
        <w:rPr>
          <w:rFonts w:cs="Arial"/>
          <w:spacing w:val="-3"/>
        </w:rPr>
        <w:t xml:space="preserve">adicionales </w:t>
      </w:r>
      <w:r w:rsidR="00F831F7" w:rsidRPr="00BD1319">
        <w:rPr>
          <w:rFonts w:cs="Arial"/>
          <w:spacing w:val="-3"/>
        </w:rPr>
        <w:t xml:space="preserve">contenidas en la Política para la gestión sostenible del suelo, se deben caracterizar los servicios ecosistémicos </w:t>
      </w:r>
      <w:r w:rsidR="00A37F6B" w:rsidRPr="00BD1319">
        <w:rPr>
          <w:rFonts w:cs="Arial"/>
          <w:spacing w:val="-3"/>
        </w:rPr>
        <w:t xml:space="preserve">que se </w:t>
      </w:r>
      <w:r w:rsidRPr="00BD1319">
        <w:rPr>
          <w:rFonts w:cs="Arial"/>
          <w:spacing w:val="-3"/>
        </w:rPr>
        <w:t xml:space="preserve">le </w:t>
      </w:r>
      <w:r w:rsidR="00F831F7" w:rsidRPr="00BD1319">
        <w:rPr>
          <w:rFonts w:cs="Arial"/>
          <w:spacing w:val="-3"/>
        </w:rPr>
        <w:t>asocia</w:t>
      </w:r>
      <w:r w:rsidR="00A37F6B" w:rsidRPr="00BD1319">
        <w:rPr>
          <w:rFonts w:cs="Arial"/>
          <w:spacing w:val="-3"/>
        </w:rPr>
        <w:t>n</w:t>
      </w:r>
      <w:r w:rsidR="00E335C9" w:rsidRPr="00BD1319">
        <w:rPr>
          <w:rFonts w:cs="Arial"/>
          <w:spacing w:val="-3"/>
        </w:rPr>
        <w:t xml:space="preserve">. </w:t>
      </w:r>
      <w:r w:rsidR="00F831F7" w:rsidRPr="00BD1319">
        <w:rPr>
          <w:rFonts w:cs="Arial"/>
          <w:spacing w:val="-3"/>
        </w:rPr>
        <w:t>L</w:t>
      </w:r>
      <w:r w:rsidR="00E335C9" w:rsidRPr="00BD1319">
        <w:rPr>
          <w:rFonts w:cs="Arial"/>
          <w:spacing w:val="-3"/>
        </w:rPr>
        <w:t xml:space="preserve">a </w:t>
      </w:r>
      <w:r w:rsidR="00FA35FD" w:rsidRPr="00BD1319">
        <w:rPr>
          <w:rFonts w:cs="Arial"/>
          <w:spacing w:val="-3"/>
        </w:rPr>
        <w:fldChar w:fldCharType="begin"/>
      </w:r>
      <w:r w:rsidR="00FA35FD" w:rsidRPr="00BD1319">
        <w:rPr>
          <w:rFonts w:cs="Arial"/>
          <w:spacing w:val="-3"/>
        </w:rPr>
        <w:instrText xml:space="preserve"> REF _Ref69831198 \h  \* MERGEFORMAT </w:instrText>
      </w:r>
      <w:r w:rsidR="00FA35FD" w:rsidRPr="00BD1319">
        <w:rPr>
          <w:rFonts w:cs="Arial"/>
          <w:spacing w:val="-3"/>
        </w:rPr>
      </w:r>
      <w:r w:rsidR="00FA35FD" w:rsidRPr="00BD1319">
        <w:rPr>
          <w:rFonts w:cs="Arial"/>
          <w:spacing w:val="-3"/>
        </w:rPr>
        <w:fldChar w:fldCharType="separate"/>
      </w:r>
      <w:r w:rsidR="00296654" w:rsidRPr="00BD1319">
        <w:rPr>
          <w:rFonts w:cs="Arial"/>
          <w:bCs/>
          <w:spacing w:val="-3"/>
        </w:rPr>
        <w:t>Tabla 28</w:t>
      </w:r>
      <w:r w:rsidR="00FA35FD" w:rsidRPr="00BD1319">
        <w:rPr>
          <w:rFonts w:cs="Arial"/>
          <w:spacing w:val="-3"/>
        </w:rPr>
        <w:fldChar w:fldCharType="end"/>
      </w:r>
      <w:r w:rsidR="00E335C9" w:rsidRPr="00BD1319">
        <w:rPr>
          <w:rFonts w:cs="Arial"/>
          <w:spacing w:val="-3"/>
        </w:rPr>
        <w:t xml:space="preserve"> señala de forma ilustrativa algunas de las relaciones que existen entre las propiedades del suelo y </w:t>
      </w:r>
      <w:r w:rsidR="00A37F6B" w:rsidRPr="00BD1319">
        <w:rPr>
          <w:rFonts w:cs="Arial"/>
          <w:spacing w:val="-3"/>
        </w:rPr>
        <w:t xml:space="preserve">los </w:t>
      </w:r>
      <w:r w:rsidR="00E335C9" w:rsidRPr="00BD1319">
        <w:rPr>
          <w:rFonts w:cs="Arial"/>
          <w:spacing w:val="-3"/>
        </w:rPr>
        <w:t>servicios ecosistémicos.</w:t>
      </w:r>
    </w:p>
    <w:p w14:paraId="0DFC2803" w14:textId="77777777" w:rsidR="00FA35FD" w:rsidRPr="00BD1319" w:rsidRDefault="00FA35FD" w:rsidP="00E335C9">
      <w:pPr>
        <w:numPr>
          <w:ilvl w:val="12"/>
          <w:numId w:val="0"/>
        </w:numPr>
        <w:tabs>
          <w:tab w:val="left" w:pos="-2268"/>
        </w:tabs>
        <w:suppressAutoHyphens/>
        <w:rPr>
          <w:rFonts w:cs="Arial"/>
          <w:spacing w:val="-3"/>
        </w:rPr>
      </w:pPr>
    </w:p>
    <w:p w14:paraId="318BF7A6" w14:textId="77777777" w:rsidR="00B40D21" w:rsidRPr="00BD1319" w:rsidRDefault="00B40D21" w:rsidP="00B40D21">
      <w:pPr>
        <w:numPr>
          <w:ilvl w:val="12"/>
          <w:numId w:val="0"/>
        </w:numPr>
        <w:tabs>
          <w:tab w:val="left" w:pos="-2268"/>
        </w:tabs>
        <w:suppressAutoHyphens/>
        <w:rPr>
          <w:rFonts w:cs="Arial"/>
          <w:spacing w:val="-3"/>
        </w:rPr>
      </w:pPr>
      <w:r w:rsidRPr="00BD1319">
        <w:rPr>
          <w:rFonts w:cs="Arial"/>
          <w:spacing w:val="-3"/>
        </w:rPr>
        <w:t>Para estimar el servicio de regulación hídrica de los suelos, se debe emplear la fórmula para el cálculo del almacenamiento y retención de humedad en el suelo, la cual está en función de los puntos de retención de humedad a saturación, capacidad de campo y marchitez permanente, de la profundidad efectiva del suelo y de las densidades de cada horizonte.</w:t>
      </w:r>
    </w:p>
    <w:p w14:paraId="2835C324" w14:textId="77777777" w:rsidR="00B40D21" w:rsidRPr="00BD1319" w:rsidRDefault="00B40D21" w:rsidP="00E335C9">
      <w:pPr>
        <w:numPr>
          <w:ilvl w:val="12"/>
          <w:numId w:val="0"/>
        </w:numPr>
        <w:tabs>
          <w:tab w:val="left" w:pos="-2268"/>
        </w:tabs>
        <w:suppressAutoHyphens/>
        <w:rPr>
          <w:rFonts w:cs="Arial"/>
          <w:spacing w:val="-3"/>
        </w:rPr>
      </w:pPr>
    </w:p>
    <w:p w14:paraId="1FB82EF9" w14:textId="6F5D3B31" w:rsidR="00E335C9" w:rsidRPr="00BD1319" w:rsidRDefault="00E335C9" w:rsidP="00E335C9">
      <w:pPr>
        <w:numPr>
          <w:ilvl w:val="12"/>
          <w:numId w:val="0"/>
        </w:numPr>
        <w:tabs>
          <w:tab w:val="left" w:pos="-2268"/>
        </w:tabs>
        <w:suppressAutoHyphens/>
        <w:rPr>
          <w:rFonts w:cs="Arial"/>
          <w:b/>
          <w:bCs/>
          <w:spacing w:val="-3"/>
        </w:rPr>
      </w:pPr>
      <w:bookmarkStart w:id="3049" w:name="_Ref69831198"/>
      <w:r w:rsidRPr="00BD1319">
        <w:rPr>
          <w:rFonts w:cs="Arial"/>
          <w:b/>
          <w:bCs/>
          <w:spacing w:val="-3"/>
        </w:rPr>
        <w:t xml:space="preserve">Tabla </w:t>
      </w:r>
      <w:r w:rsidRPr="00BD1319">
        <w:rPr>
          <w:rFonts w:cs="Arial"/>
          <w:b/>
          <w:bCs/>
          <w:spacing w:val="-3"/>
        </w:rPr>
        <w:fldChar w:fldCharType="begin"/>
      </w:r>
      <w:r w:rsidRPr="00BD1319">
        <w:rPr>
          <w:rFonts w:cs="Arial"/>
          <w:b/>
          <w:bCs/>
          <w:spacing w:val="-3"/>
        </w:rPr>
        <w:instrText xml:space="preserve"> SEQ Tabla \* ARABIC </w:instrText>
      </w:r>
      <w:r w:rsidRPr="00BD1319">
        <w:rPr>
          <w:rFonts w:cs="Arial"/>
          <w:b/>
          <w:bCs/>
          <w:spacing w:val="-3"/>
        </w:rPr>
        <w:fldChar w:fldCharType="separate"/>
      </w:r>
      <w:r w:rsidR="00296654" w:rsidRPr="00BD1319">
        <w:rPr>
          <w:rFonts w:cs="Arial"/>
          <w:b/>
          <w:bCs/>
          <w:noProof/>
          <w:spacing w:val="-3"/>
        </w:rPr>
        <w:t>28</w:t>
      </w:r>
      <w:r w:rsidRPr="00BD1319">
        <w:rPr>
          <w:rFonts w:cs="Arial"/>
          <w:b/>
          <w:spacing w:val="-3"/>
        </w:rPr>
        <w:fldChar w:fldCharType="end"/>
      </w:r>
      <w:bookmarkEnd w:id="3049"/>
      <w:r w:rsidRPr="00BD1319">
        <w:rPr>
          <w:rFonts w:cs="Arial"/>
          <w:b/>
          <w:spacing w:val="-3"/>
        </w:rPr>
        <w:t>.</w:t>
      </w:r>
      <w:r w:rsidRPr="00BD1319">
        <w:rPr>
          <w:rFonts w:cs="Arial"/>
          <w:b/>
          <w:bCs/>
          <w:spacing w:val="-3"/>
        </w:rPr>
        <w:t xml:space="preserve"> Parámetros </w:t>
      </w:r>
      <w:r w:rsidR="00A37F6B" w:rsidRPr="00BD1319">
        <w:rPr>
          <w:rFonts w:cs="Arial"/>
          <w:b/>
          <w:bCs/>
          <w:spacing w:val="-3"/>
        </w:rPr>
        <w:t xml:space="preserve">de caracterización del suelo </w:t>
      </w:r>
      <w:r w:rsidR="00721AAE" w:rsidRPr="00BD1319">
        <w:rPr>
          <w:rFonts w:cs="Arial"/>
          <w:b/>
          <w:bCs/>
          <w:spacing w:val="-3"/>
        </w:rPr>
        <w:t>y su</w:t>
      </w:r>
      <w:r w:rsidR="00B80000" w:rsidRPr="00BD1319">
        <w:rPr>
          <w:rFonts w:cs="Arial"/>
          <w:b/>
          <w:bCs/>
          <w:spacing w:val="-3"/>
        </w:rPr>
        <w:t>s</w:t>
      </w:r>
      <w:r w:rsidR="00721AAE" w:rsidRPr="00BD1319">
        <w:rPr>
          <w:rFonts w:cs="Arial"/>
          <w:b/>
          <w:bCs/>
          <w:spacing w:val="-3"/>
        </w:rPr>
        <w:t xml:space="preserve"> </w:t>
      </w:r>
      <w:r w:rsidRPr="00BD1319">
        <w:rPr>
          <w:rFonts w:cs="Arial"/>
          <w:b/>
          <w:bCs/>
          <w:spacing w:val="-3"/>
        </w:rPr>
        <w:t>servicios ecosistémicos</w:t>
      </w:r>
      <w:r w:rsidR="00B80000" w:rsidRPr="00BD1319">
        <w:rPr>
          <w:rFonts w:cs="Arial"/>
          <w:b/>
          <w:bCs/>
          <w:spacing w:val="-3"/>
        </w:rPr>
        <w:t xml:space="preserve"> relacionados</w:t>
      </w:r>
      <w:r w:rsidRPr="00BD1319">
        <w:rPr>
          <w:rFonts w:cs="Arial"/>
          <w:b/>
          <w:bCs/>
          <w:spacing w:val="-3"/>
        </w:rPr>
        <w:t>.</w:t>
      </w:r>
    </w:p>
    <w:tbl>
      <w:tblPr>
        <w:tblStyle w:val="Tablaconcuadrcula"/>
        <w:tblW w:w="9634" w:type="dxa"/>
        <w:jc w:val="center"/>
        <w:tblLook w:val="04A0" w:firstRow="1" w:lastRow="0" w:firstColumn="1" w:lastColumn="0" w:noHBand="0" w:noVBand="1"/>
      </w:tblPr>
      <w:tblGrid>
        <w:gridCol w:w="4248"/>
        <w:gridCol w:w="5386"/>
      </w:tblGrid>
      <w:tr w:rsidR="00E335C9" w:rsidRPr="00BD1319" w14:paraId="3B2A21B9" w14:textId="77777777" w:rsidTr="006D5535">
        <w:trPr>
          <w:trHeight w:val="604"/>
          <w:jc w:val="center"/>
        </w:trPr>
        <w:tc>
          <w:tcPr>
            <w:tcW w:w="4248" w:type="dxa"/>
            <w:vAlign w:val="center"/>
          </w:tcPr>
          <w:p w14:paraId="77EEC6D1" w14:textId="6F97493E" w:rsidR="00E335C9" w:rsidRPr="00BD1319" w:rsidRDefault="000A65B6" w:rsidP="00B32ED0">
            <w:pPr>
              <w:numPr>
                <w:ilvl w:val="12"/>
                <w:numId w:val="0"/>
              </w:numPr>
              <w:tabs>
                <w:tab w:val="left" w:pos="-2268"/>
              </w:tabs>
              <w:suppressAutoHyphens/>
              <w:jc w:val="center"/>
              <w:rPr>
                <w:rFonts w:cs="Arial"/>
                <w:b/>
                <w:spacing w:val="-3"/>
                <w:sz w:val="20"/>
                <w:szCs w:val="20"/>
              </w:rPr>
            </w:pPr>
            <w:r w:rsidRPr="00BD1319">
              <w:rPr>
                <w:rFonts w:cs="Arial"/>
                <w:b/>
                <w:spacing w:val="-3"/>
                <w:sz w:val="20"/>
                <w:szCs w:val="20"/>
              </w:rPr>
              <w:t>Parámetro</w:t>
            </w:r>
          </w:p>
        </w:tc>
        <w:tc>
          <w:tcPr>
            <w:tcW w:w="5386" w:type="dxa"/>
            <w:vAlign w:val="center"/>
          </w:tcPr>
          <w:p w14:paraId="1E4E4141" w14:textId="1A734DE5" w:rsidR="00E335C9" w:rsidRPr="00BD1319" w:rsidRDefault="00E335C9" w:rsidP="00B32ED0">
            <w:pPr>
              <w:numPr>
                <w:ilvl w:val="12"/>
                <w:numId w:val="0"/>
              </w:numPr>
              <w:tabs>
                <w:tab w:val="left" w:pos="-2268"/>
              </w:tabs>
              <w:suppressAutoHyphens/>
              <w:jc w:val="center"/>
              <w:rPr>
                <w:rFonts w:cs="Arial"/>
                <w:b/>
                <w:spacing w:val="-3"/>
                <w:sz w:val="20"/>
                <w:szCs w:val="20"/>
              </w:rPr>
            </w:pPr>
            <w:r w:rsidRPr="00BD1319">
              <w:rPr>
                <w:rFonts w:cs="Arial"/>
                <w:b/>
                <w:spacing w:val="-3"/>
                <w:sz w:val="20"/>
                <w:szCs w:val="20"/>
              </w:rPr>
              <w:t>SE</w:t>
            </w:r>
            <w:r w:rsidR="00721AAE" w:rsidRPr="00BD1319">
              <w:rPr>
                <w:rFonts w:cs="Arial"/>
                <w:b/>
                <w:spacing w:val="-3"/>
                <w:sz w:val="20"/>
                <w:szCs w:val="20"/>
              </w:rPr>
              <w:t xml:space="preserve"> relacionado</w:t>
            </w:r>
          </w:p>
        </w:tc>
      </w:tr>
      <w:tr w:rsidR="00E335C9" w:rsidRPr="00BD1319" w14:paraId="0DE6DD61" w14:textId="77777777" w:rsidTr="006D5535">
        <w:trPr>
          <w:jc w:val="center"/>
        </w:trPr>
        <w:tc>
          <w:tcPr>
            <w:tcW w:w="4248" w:type="dxa"/>
            <w:vAlign w:val="center"/>
          </w:tcPr>
          <w:p w14:paraId="5A5C7825" w14:textId="433B9F2C" w:rsidR="00E335C9" w:rsidRPr="00BD1319" w:rsidRDefault="00E335C9" w:rsidP="009420F5">
            <w:pPr>
              <w:numPr>
                <w:ilvl w:val="0"/>
                <w:numId w:val="480"/>
              </w:numPr>
              <w:tabs>
                <w:tab w:val="left" w:pos="-2268"/>
              </w:tabs>
              <w:suppressAutoHyphens/>
              <w:ind w:left="426" w:hanging="426"/>
              <w:rPr>
                <w:rFonts w:cs="Arial"/>
                <w:spacing w:val="-3"/>
                <w:sz w:val="20"/>
                <w:szCs w:val="20"/>
              </w:rPr>
            </w:pPr>
            <w:r w:rsidRPr="00BD1319">
              <w:rPr>
                <w:rFonts w:cs="Arial"/>
                <w:spacing w:val="-3"/>
                <w:sz w:val="20"/>
                <w:szCs w:val="20"/>
              </w:rPr>
              <w:t>Textura (porce</w:t>
            </w:r>
            <w:r w:rsidR="00ED17E7" w:rsidRPr="00BD1319">
              <w:rPr>
                <w:rFonts w:cs="Arial"/>
                <w:spacing w:val="-3"/>
                <w:sz w:val="20"/>
                <w:szCs w:val="20"/>
              </w:rPr>
              <w:t>ntaje de arena, limo y arcilla).</w:t>
            </w:r>
          </w:p>
          <w:p w14:paraId="2879F74A" w14:textId="615640BC" w:rsidR="00E335C9" w:rsidRPr="00BD1319" w:rsidRDefault="00E335C9" w:rsidP="009420F5">
            <w:pPr>
              <w:numPr>
                <w:ilvl w:val="0"/>
                <w:numId w:val="480"/>
              </w:numPr>
              <w:tabs>
                <w:tab w:val="left" w:pos="-2268"/>
              </w:tabs>
              <w:suppressAutoHyphens/>
              <w:ind w:left="426" w:hanging="426"/>
              <w:rPr>
                <w:rFonts w:cs="Arial"/>
                <w:spacing w:val="-3"/>
                <w:sz w:val="20"/>
                <w:szCs w:val="20"/>
              </w:rPr>
            </w:pPr>
            <w:r w:rsidRPr="00BD1319">
              <w:rPr>
                <w:rFonts w:cs="Arial"/>
                <w:spacing w:val="-3"/>
                <w:sz w:val="20"/>
                <w:szCs w:val="20"/>
              </w:rPr>
              <w:t>Conductividad hidráulica</w:t>
            </w:r>
            <w:r w:rsidR="00ED17E7" w:rsidRPr="00BD1319">
              <w:rPr>
                <w:rFonts w:cs="Arial"/>
                <w:spacing w:val="-3"/>
                <w:sz w:val="20"/>
                <w:szCs w:val="20"/>
              </w:rPr>
              <w:t>.</w:t>
            </w:r>
          </w:p>
          <w:p w14:paraId="6A108F2C" w14:textId="4FA0CE51" w:rsidR="00E335C9" w:rsidRPr="00BD1319" w:rsidRDefault="00B80000" w:rsidP="009420F5">
            <w:pPr>
              <w:numPr>
                <w:ilvl w:val="0"/>
                <w:numId w:val="480"/>
              </w:numPr>
              <w:tabs>
                <w:tab w:val="left" w:pos="-2268"/>
              </w:tabs>
              <w:suppressAutoHyphens/>
              <w:ind w:left="426" w:hanging="426"/>
              <w:rPr>
                <w:rFonts w:cs="Arial"/>
                <w:spacing w:val="-3"/>
                <w:sz w:val="20"/>
                <w:szCs w:val="20"/>
              </w:rPr>
            </w:pPr>
            <w:r w:rsidRPr="00BD1319">
              <w:rPr>
                <w:rFonts w:cs="Arial"/>
                <w:spacing w:val="-3"/>
                <w:sz w:val="20"/>
                <w:szCs w:val="20"/>
              </w:rPr>
              <w:t>Retención de h</w:t>
            </w:r>
            <w:r w:rsidR="00E335C9" w:rsidRPr="00BD1319">
              <w:rPr>
                <w:rFonts w:cs="Arial"/>
                <w:spacing w:val="-3"/>
                <w:sz w:val="20"/>
                <w:szCs w:val="20"/>
              </w:rPr>
              <w:t>umedad</w:t>
            </w:r>
            <w:r w:rsidR="00ED17E7" w:rsidRPr="00BD1319">
              <w:rPr>
                <w:rFonts w:cs="Arial"/>
                <w:spacing w:val="-3"/>
                <w:sz w:val="20"/>
                <w:szCs w:val="20"/>
              </w:rPr>
              <w:t>.</w:t>
            </w:r>
          </w:p>
          <w:p w14:paraId="18517B28" w14:textId="55FFF4E8" w:rsidR="00E335C9" w:rsidRPr="00BD1319" w:rsidRDefault="00B80000" w:rsidP="009420F5">
            <w:pPr>
              <w:numPr>
                <w:ilvl w:val="0"/>
                <w:numId w:val="480"/>
              </w:numPr>
              <w:tabs>
                <w:tab w:val="left" w:pos="-2268"/>
              </w:tabs>
              <w:suppressAutoHyphens/>
              <w:ind w:left="426" w:hanging="426"/>
              <w:rPr>
                <w:rFonts w:cs="Arial"/>
                <w:spacing w:val="-3"/>
                <w:sz w:val="20"/>
                <w:szCs w:val="20"/>
              </w:rPr>
            </w:pPr>
            <w:r w:rsidRPr="00BD1319">
              <w:rPr>
                <w:rFonts w:cs="Arial"/>
                <w:spacing w:val="-3"/>
                <w:sz w:val="20"/>
                <w:szCs w:val="20"/>
              </w:rPr>
              <w:t>Velocidad de i</w:t>
            </w:r>
            <w:r w:rsidR="00E335C9" w:rsidRPr="00BD1319">
              <w:rPr>
                <w:rFonts w:cs="Arial"/>
                <w:spacing w:val="-3"/>
                <w:sz w:val="20"/>
                <w:szCs w:val="20"/>
              </w:rPr>
              <w:t>nfiltración</w:t>
            </w:r>
            <w:r w:rsidR="0072054C" w:rsidRPr="00BD1319">
              <w:rPr>
                <w:rFonts w:cs="Arial"/>
                <w:spacing w:val="-3"/>
                <w:sz w:val="20"/>
                <w:szCs w:val="20"/>
              </w:rPr>
              <w:t xml:space="preserve"> </w:t>
            </w:r>
            <w:r w:rsidR="00E335C9" w:rsidRPr="00BD1319">
              <w:rPr>
                <w:rFonts w:cs="Arial"/>
                <w:spacing w:val="-3"/>
                <w:sz w:val="20"/>
                <w:szCs w:val="20"/>
              </w:rPr>
              <w:t>in situ</w:t>
            </w:r>
            <w:r w:rsidR="00ED17E7" w:rsidRPr="00BD1319">
              <w:rPr>
                <w:rFonts w:cs="Arial"/>
                <w:spacing w:val="-3"/>
                <w:sz w:val="20"/>
                <w:szCs w:val="20"/>
              </w:rPr>
              <w:t>.</w:t>
            </w:r>
          </w:p>
          <w:p w14:paraId="08EE5DCA" w14:textId="106FEBF7" w:rsidR="00E335C9" w:rsidRPr="00BD1319" w:rsidRDefault="00E335C9" w:rsidP="009420F5">
            <w:pPr>
              <w:numPr>
                <w:ilvl w:val="0"/>
                <w:numId w:val="480"/>
              </w:numPr>
              <w:tabs>
                <w:tab w:val="left" w:pos="-2268"/>
              </w:tabs>
              <w:suppressAutoHyphens/>
              <w:ind w:left="426" w:hanging="426"/>
              <w:rPr>
                <w:rFonts w:cs="Arial"/>
                <w:spacing w:val="-3"/>
                <w:sz w:val="20"/>
                <w:szCs w:val="20"/>
              </w:rPr>
            </w:pPr>
            <w:r w:rsidRPr="00BD1319">
              <w:rPr>
                <w:rFonts w:cs="Arial"/>
                <w:spacing w:val="-3"/>
                <w:sz w:val="20"/>
                <w:szCs w:val="20"/>
              </w:rPr>
              <w:t>Conductividad hidráulica in situ</w:t>
            </w:r>
            <w:r w:rsidR="00ED17E7" w:rsidRPr="00BD1319">
              <w:rPr>
                <w:rFonts w:cs="Arial"/>
                <w:spacing w:val="-3"/>
                <w:sz w:val="20"/>
                <w:szCs w:val="20"/>
              </w:rPr>
              <w:t>.</w:t>
            </w:r>
          </w:p>
          <w:p w14:paraId="3B90C0F6" w14:textId="30BC17B5" w:rsidR="00E335C9" w:rsidRPr="00BD1319" w:rsidRDefault="00E335C9" w:rsidP="009420F5">
            <w:pPr>
              <w:numPr>
                <w:ilvl w:val="0"/>
                <w:numId w:val="480"/>
              </w:numPr>
              <w:tabs>
                <w:tab w:val="left" w:pos="-2268"/>
              </w:tabs>
              <w:suppressAutoHyphens/>
              <w:ind w:left="426" w:hanging="426"/>
              <w:rPr>
                <w:rFonts w:cs="Arial"/>
                <w:spacing w:val="-3"/>
                <w:sz w:val="20"/>
                <w:szCs w:val="20"/>
              </w:rPr>
            </w:pPr>
            <w:r w:rsidRPr="00BD1319">
              <w:rPr>
                <w:rFonts w:cs="Arial"/>
                <w:spacing w:val="-3"/>
                <w:sz w:val="20"/>
                <w:szCs w:val="20"/>
              </w:rPr>
              <w:t>Densidad real</w:t>
            </w:r>
            <w:r w:rsidR="00ED17E7" w:rsidRPr="00BD1319">
              <w:rPr>
                <w:rFonts w:cs="Arial"/>
                <w:spacing w:val="-3"/>
                <w:sz w:val="20"/>
                <w:szCs w:val="20"/>
              </w:rPr>
              <w:t>.</w:t>
            </w:r>
          </w:p>
          <w:p w14:paraId="3D7337EC" w14:textId="3AE63E57" w:rsidR="00E335C9" w:rsidRPr="00BD1319" w:rsidRDefault="00E335C9" w:rsidP="009420F5">
            <w:pPr>
              <w:numPr>
                <w:ilvl w:val="0"/>
                <w:numId w:val="480"/>
              </w:numPr>
              <w:tabs>
                <w:tab w:val="left" w:pos="-2268"/>
              </w:tabs>
              <w:suppressAutoHyphens/>
              <w:ind w:left="426" w:hanging="426"/>
              <w:rPr>
                <w:rFonts w:cs="Arial"/>
                <w:spacing w:val="-3"/>
                <w:sz w:val="20"/>
                <w:szCs w:val="20"/>
              </w:rPr>
            </w:pPr>
            <w:r w:rsidRPr="00BD1319">
              <w:rPr>
                <w:rFonts w:cs="Arial"/>
                <w:spacing w:val="-3"/>
                <w:sz w:val="20"/>
                <w:szCs w:val="20"/>
              </w:rPr>
              <w:t>Densidad aparente</w:t>
            </w:r>
            <w:r w:rsidR="00ED17E7" w:rsidRPr="00BD1319">
              <w:rPr>
                <w:rFonts w:cs="Arial"/>
                <w:spacing w:val="-3"/>
                <w:sz w:val="20"/>
                <w:szCs w:val="20"/>
              </w:rPr>
              <w:t>.</w:t>
            </w:r>
          </w:p>
        </w:tc>
        <w:tc>
          <w:tcPr>
            <w:tcW w:w="5386" w:type="dxa"/>
            <w:vAlign w:val="center"/>
          </w:tcPr>
          <w:p w14:paraId="08352278" w14:textId="4459F774" w:rsidR="00E335C9" w:rsidRPr="00BD1319" w:rsidRDefault="00B80000" w:rsidP="009420F5">
            <w:pPr>
              <w:numPr>
                <w:ilvl w:val="0"/>
                <w:numId w:val="480"/>
              </w:numPr>
              <w:tabs>
                <w:tab w:val="left" w:pos="-2268"/>
              </w:tabs>
              <w:suppressAutoHyphens/>
              <w:ind w:left="426" w:hanging="426"/>
              <w:rPr>
                <w:rFonts w:cs="Arial"/>
                <w:spacing w:val="-3"/>
                <w:sz w:val="20"/>
                <w:szCs w:val="20"/>
              </w:rPr>
            </w:pPr>
            <w:r w:rsidRPr="00BD1319">
              <w:rPr>
                <w:rFonts w:cs="Arial"/>
                <w:spacing w:val="-3"/>
                <w:sz w:val="20"/>
                <w:szCs w:val="20"/>
              </w:rPr>
              <w:t>S</w:t>
            </w:r>
            <w:r w:rsidR="00E335C9" w:rsidRPr="00BD1319">
              <w:rPr>
                <w:rFonts w:cs="Arial"/>
                <w:spacing w:val="-3"/>
                <w:sz w:val="20"/>
                <w:szCs w:val="20"/>
              </w:rPr>
              <w:t>uministr</w:t>
            </w:r>
            <w:r w:rsidRPr="00BD1319">
              <w:rPr>
                <w:rFonts w:cs="Arial"/>
                <w:spacing w:val="-3"/>
                <w:sz w:val="20"/>
                <w:szCs w:val="20"/>
              </w:rPr>
              <w:t xml:space="preserve">o </w:t>
            </w:r>
            <w:r w:rsidR="00E335C9" w:rsidRPr="00BD1319">
              <w:rPr>
                <w:rFonts w:cs="Arial"/>
                <w:spacing w:val="-3"/>
                <w:sz w:val="20"/>
                <w:szCs w:val="20"/>
              </w:rPr>
              <w:t>y filtra</w:t>
            </w:r>
            <w:r w:rsidRPr="00BD1319">
              <w:rPr>
                <w:rFonts w:cs="Arial"/>
                <w:spacing w:val="-3"/>
                <w:sz w:val="20"/>
                <w:szCs w:val="20"/>
              </w:rPr>
              <w:t xml:space="preserve">ción de agua </w:t>
            </w:r>
            <w:r w:rsidR="00E335C9" w:rsidRPr="00BD1319">
              <w:rPr>
                <w:rFonts w:cs="Arial"/>
                <w:spacing w:val="-3"/>
                <w:sz w:val="20"/>
                <w:szCs w:val="20"/>
              </w:rPr>
              <w:t>por los suelos en zonas de recarga de acuíferos</w:t>
            </w:r>
            <w:r w:rsidR="00ED17E7" w:rsidRPr="00BD1319">
              <w:rPr>
                <w:rFonts w:cs="Arial"/>
                <w:spacing w:val="-3"/>
                <w:sz w:val="20"/>
                <w:szCs w:val="20"/>
              </w:rPr>
              <w:t>.</w:t>
            </w:r>
          </w:p>
          <w:p w14:paraId="7977FEE0" w14:textId="790BDACF" w:rsidR="00E335C9" w:rsidRPr="00BD1319" w:rsidRDefault="00E335C9" w:rsidP="009420F5">
            <w:pPr>
              <w:numPr>
                <w:ilvl w:val="0"/>
                <w:numId w:val="480"/>
              </w:numPr>
              <w:tabs>
                <w:tab w:val="left" w:pos="-2268"/>
              </w:tabs>
              <w:suppressAutoHyphens/>
              <w:ind w:left="426" w:hanging="426"/>
              <w:rPr>
                <w:rFonts w:cs="Arial"/>
                <w:spacing w:val="-3"/>
                <w:sz w:val="20"/>
                <w:szCs w:val="20"/>
              </w:rPr>
            </w:pPr>
            <w:r w:rsidRPr="00BD1319">
              <w:rPr>
                <w:rFonts w:cs="Arial"/>
                <w:spacing w:val="-3"/>
                <w:sz w:val="20"/>
                <w:szCs w:val="20"/>
              </w:rPr>
              <w:t>Regulación del ciclo hidrológico, evitando o minimizando eventos extremos, almacenando aguas lluvias y distribuyendo aguas cuenca abajo incluso en épocas sin lluvias</w:t>
            </w:r>
            <w:r w:rsidR="00ED17E7" w:rsidRPr="00BD1319">
              <w:rPr>
                <w:rFonts w:cs="Arial"/>
                <w:spacing w:val="-3"/>
                <w:sz w:val="20"/>
                <w:szCs w:val="20"/>
              </w:rPr>
              <w:t>.</w:t>
            </w:r>
          </w:p>
          <w:p w14:paraId="0B79DACE" w14:textId="4FFDE53A" w:rsidR="00E335C9" w:rsidRPr="00BD1319" w:rsidRDefault="00E335C9" w:rsidP="009420F5">
            <w:pPr>
              <w:numPr>
                <w:ilvl w:val="0"/>
                <w:numId w:val="480"/>
              </w:numPr>
              <w:tabs>
                <w:tab w:val="left" w:pos="-2268"/>
              </w:tabs>
              <w:suppressAutoHyphens/>
              <w:ind w:left="426" w:hanging="426"/>
              <w:rPr>
                <w:rFonts w:cs="Arial"/>
                <w:spacing w:val="-3"/>
                <w:sz w:val="20"/>
                <w:szCs w:val="20"/>
              </w:rPr>
            </w:pPr>
            <w:r w:rsidRPr="00BD1319">
              <w:rPr>
                <w:rFonts w:cs="Arial"/>
                <w:spacing w:val="-3"/>
                <w:sz w:val="20"/>
                <w:szCs w:val="20"/>
              </w:rPr>
              <w:t>Filtr</w:t>
            </w:r>
            <w:r w:rsidR="00B80000" w:rsidRPr="00BD1319">
              <w:rPr>
                <w:rFonts w:cs="Arial"/>
                <w:spacing w:val="-3"/>
                <w:sz w:val="20"/>
                <w:szCs w:val="20"/>
              </w:rPr>
              <w:t xml:space="preserve">ación </w:t>
            </w:r>
            <w:r w:rsidRPr="00BD1319">
              <w:rPr>
                <w:rFonts w:cs="Arial"/>
                <w:spacing w:val="-3"/>
                <w:sz w:val="20"/>
                <w:szCs w:val="20"/>
              </w:rPr>
              <w:t>de aguas lluvias</w:t>
            </w:r>
            <w:r w:rsidR="00ED17E7" w:rsidRPr="00BD1319">
              <w:rPr>
                <w:rFonts w:cs="Arial"/>
                <w:spacing w:val="-3"/>
                <w:sz w:val="20"/>
                <w:szCs w:val="20"/>
              </w:rPr>
              <w:t>.</w:t>
            </w:r>
          </w:p>
          <w:p w14:paraId="5CCBB4E0" w14:textId="713B11A1" w:rsidR="00E335C9" w:rsidRPr="00BD1319" w:rsidRDefault="00E335C9" w:rsidP="009420F5">
            <w:pPr>
              <w:numPr>
                <w:ilvl w:val="0"/>
                <w:numId w:val="480"/>
              </w:numPr>
              <w:tabs>
                <w:tab w:val="left" w:pos="-2268"/>
              </w:tabs>
              <w:suppressAutoHyphens/>
              <w:ind w:left="426" w:hanging="426"/>
              <w:rPr>
                <w:rFonts w:cs="Arial"/>
                <w:spacing w:val="-3"/>
                <w:sz w:val="20"/>
                <w:szCs w:val="20"/>
              </w:rPr>
            </w:pPr>
            <w:r w:rsidRPr="00BD1319">
              <w:rPr>
                <w:rFonts w:cs="Arial"/>
                <w:spacing w:val="-3"/>
                <w:sz w:val="20"/>
                <w:szCs w:val="20"/>
              </w:rPr>
              <w:t>Mejoramiento de la calidad del aire y la calidad de las aguas subterráneas y superficiales</w:t>
            </w:r>
            <w:r w:rsidR="00ED17E7" w:rsidRPr="00BD1319">
              <w:rPr>
                <w:rFonts w:cs="Arial"/>
                <w:spacing w:val="-3"/>
                <w:sz w:val="20"/>
                <w:szCs w:val="20"/>
              </w:rPr>
              <w:t>.</w:t>
            </w:r>
          </w:p>
        </w:tc>
      </w:tr>
      <w:tr w:rsidR="00E335C9" w:rsidRPr="00BD1319" w14:paraId="0BBD2063" w14:textId="77777777" w:rsidTr="006D5535">
        <w:trPr>
          <w:jc w:val="center"/>
        </w:trPr>
        <w:tc>
          <w:tcPr>
            <w:tcW w:w="4248" w:type="dxa"/>
            <w:vAlign w:val="center"/>
          </w:tcPr>
          <w:p w14:paraId="6CC78A35" w14:textId="2DF2634D" w:rsidR="00E335C9" w:rsidRPr="00BD1319" w:rsidRDefault="00E335C9" w:rsidP="009420F5">
            <w:pPr>
              <w:numPr>
                <w:ilvl w:val="0"/>
                <w:numId w:val="480"/>
              </w:numPr>
              <w:tabs>
                <w:tab w:val="left" w:pos="-2268"/>
              </w:tabs>
              <w:suppressAutoHyphens/>
              <w:ind w:left="426" w:hanging="426"/>
              <w:rPr>
                <w:rFonts w:cs="Arial"/>
                <w:spacing w:val="-3"/>
                <w:sz w:val="20"/>
                <w:szCs w:val="20"/>
              </w:rPr>
            </w:pPr>
            <w:r w:rsidRPr="00BD1319">
              <w:rPr>
                <w:rFonts w:cs="Arial"/>
                <w:spacing w:val="-3"/>
                <w:sz w:val="20"/>
                <w:szCs w:val="20"/>
              </w:rPr>
              <w:lastRenderedPageBreak/>
              <w:t>Contenido de carbono orgánico</w:t>
            </w:r>
            <w:r w:rsidR="00ED17E7" w:rsidRPr="00BD1319">
              <w:rPr>
                <w:rFonts w:cs="Arial"/>
                <w:spacing w:val="-3"/>
                <w:sz w:val="20"/>
                <w:szCs w:val="20"/>
              </w:rPr>
              <w:t>.</w:t>
            </w:r>
          </w:p>
          <w:p w14:paraId="3E0E0765" w14:textId="46D856B1" w:rsidR="00E335C9" w:rsidRPr="00BD1319" w:rsidRDefault="00E335C9" w:rsidP="009420F5">
            <w:pPr>
              <w:numPr>
                <w:ilvl w:val="0"/>
                <w:numId w:val="480"/>
              </w:numPr>
              <w:tabs>
                <w:tab w:val="left" w:pos="-2268"/>
              </w:tabs>
              <w:suppressAutoHyphens/>
              <w:ind w:left="426" w:hanging="426"/>
              <w:rPr>
                <w:rFonts w:cs="Arial"/>
                <w:spacing w:val="-3"/>
                <w:sz w:val="20"/>
                <w:szCs w:val="20"/>
              </w:rPr>
            </w:pPr>
            <w:r w:rsidRPr="00BD1319">
              <w:rPr>
                <w:rFonts w:cs="Arial"/>
                <w:spacing w:val="-3"/>
                <w:sz w:val="20"/>
                <w:szCs w:val="20"/>
              </w:rPr>
              <w:t>Capacidad de intercambio catiónico</w:t>
            </w:r>
            <w:r w:rsidR="00ED17E7" w:rsidRPr="00BD1319">
              <w:rPr>
                <w:rFonts w:cs="Arial"/>
                <w:spacing w:val="-3"/>
                <w:sz w:val="20"/>
                <w:szCs w:val="20"/>
              </w:rPr>
              <w:t>.</w:t>
            </w:r>
          </w:p>
          <w:p w14:paraId="3B3E75FF" w14:textId="78F8A95A" w:rsidR="00E335C9" w:rsidRPr="00BD1319" w:rsidRDefault="00B80000" w:rsidP="009420F5">
            <w:pPr>
              <w:numPr>
                <w:ilvl w:val="0"/>
                <w:numId w:val="480"/>
              </w:numPr>
              <w:tabs>
                <w:tab w:val="left" w:pos="-2268"/>
              </w:tabs>
              <w:suppressAutoHyphens/>
              <w:ind w:left="426" w:hanging="426"/>
              <w:rPr>
                <w:rFonts w:cs="Arial"/>
                <w:spacing w:val="-3"/>
                <w:sz w:val="20"/>
                <w:szCs w:val="20"/>
              </w:rPr>
            </w:pPr>
            <w:r w:rsidRPr="00BD1319">
              <w:rPr>
                <w:rFonts w:cs="Arial"/>
                <w:spacing w:val="-3"/>
                <w:sz w:val="20"/>
                <w:szCs w:val="20"/>
              </w:rPr>
              <w:t>Cantidad</w:t>
            </w:r>
            <w:r w:rsidR="00E335C9" w:rsidRPr="00BD1319">
              <w:rPr>
                <w:rFonts w:cs="Arial"/>
                <w:spacing w:val="-3"/>
                <w:sz w:val="20"/>
                <w:szCs w:val="20"/>
              </w:rPr>
              <w:t xml:space="preserve"> de microorganismos del ciclo del </w:t>
            </w:r>
            <w:r w:rsidRPr="00BD1319">
              <w:rPr>
                <w:rFonts w:cs="Arial"/>
                <w:spacing w:val="-3"/>
                <w:sz w:val="20"/>
                <w:szCs w:val="20"/>
              </w:rPr>
              <w:t>n</w:t>
            </w:r>
            <w:r w:rsidR="00E335C9" w:rsidRPr="00BD1319">
              <w:rPr>
                <w:rFonts w:cs="Arial"/>
                <w:spacing w:val="-3"/>
                <w:sz w:val="20"/>
                <w:szCs w:val="20"/>
              </w:rPr>
              <w:t xml:space="preserve">itrógeno </w:t>
            </w:r>
            <w:r w:rsidRPr="00BD1319">
              <w:rPr>
                <w:rFonts w:cs="Arial"/>
                <w:spacing w:val="-3"/>
                <w:sz w:val="20"/>
                <w:szCs w:val="20"/>
              </w:rPr>
              <w:t>(n</w:t>
            </w:r>
            <w:r w:rsidR="00E335C9" w:rsidRPr="00BD1319">
              <w:rPr>
                <w:rFonts w:cs="Arial"/>
                <w:spacing w:val="-3"/>
                <w:sz w:val="20"/>
                <w:szCs w:val="20"/>
              </w:rPr>
              <w:t>itrificantes</w:t>
            </w:r>
            <w:r w:rsidRPr="00BD1319">
              <w:rPr>
                <w:rFonts w:cs="Arial"/>
                <w:spacing w:val="-3"/>
                <w:sz w:val="20"/>
                <w:szCs w:val="20"/>
              </w:rPr>
              <w:t>)</w:t>
            </w:r>
            <w:r w:rsidR="00ED17E7" w:rsidRPr="00BD1319">
              <w:rPr>
                <w:rFonts w:cs="Arial"/>
                <w:spacing w:val="-3"/>
                <w:sz w:val="20"/>
                <w:szCs w:val="20"/>
              </w:rPr>
              <w:t>.</w:t>
            </w:r>
          </w:p>
        </w:tc>
        <w:tc>
          <w:tcPr>
            <w:tcW w:w="5386" w:type="dxa"/>
            <w:vAlign w:val="center"/>
          </w:tcPr>
          <w:p w14:paraId="66419C57" w14:textId="02204DC5" w:rsidR="00E335C9" w:rsidRPr="00BD1319" w:rsidRDefault="00E335C9" w:rsidP="009420F5">
            <w:pPr>
              <w:numPr>
                <w:ilvl w:val="0"/>
                <w:numId w:val="480"/>
              </w:numPr>
              <w:tabs>
                <w:tab w:val="left" w:pos="-2268"/>
              </w:tabs>
              <w:suppressAutoHyphens/>
              <w:ind w:left="426" w:hanging="426"/>
              <w:rPr>
                <w:rFonts w:cs="Arial"/>
                <w:spacing w:val="-3"/>
                <w:sz w:val="20"/>
                <w:szCs w:val="20"/>
              </w:rPr>
            </w:pPr>
            <w:r w:rsidRPr="00BD1319">
              <w:rPr>
                <w:rFonts w:cs="Arial"/>
                <w:spacing w:val="-3"/>
                <w:sz w:val="20"/>
                <w:szCs w:val="20"/>
              </w:rPr>
              <w:t>Regulación del clima global y regional</w:t>
            </w:r>
            <w:r w:rsidR="00ED17E7" w:rsidRPr="00BD1319">
              <w:rPr>
                <w:rFonts w:cs="Arial"/>
                <w:spacing w:val="-3"/>
                <w:sz w:val="20"/>
                <w:szCs w:val="20"/>
              </w:rPr>
              <w:t>.</w:t>
            </w:r>
          </w:p>
          <w:p w14:paraId="7E17943D" w14:textId="2C5430D8" w:rsidR="00E335C9" w:rsidRPr="00BD1319" w:rsidRDefault="00E335C9" w:rsidP="009420F5">
            <w:pPr>
              <w:numPr>
                <w:ilvl w:val="0"/>
                <w:numId w:val="480"/>
              </w:numPr>
              <w:tabs>
                <w:tab w:val="left" w:pos="-2268"/>
              </w:tabs>
              <w:suppressAutoHyphens/>
              <w:ind w:left="426" w:hanging="426"/>
              <w:rPr>
                <w:rFonts w:cs="Arial"/>
                <w:spacing w:val="-3"/>
                <w:sz w:val="20"/>
                <w:szCs w:val="20"/>
              </w:rPr>
            </w:pPr>
            <w:r w:rsidRPr="00BD1319">
              <w:rPr>
                <w:rFonts w:cs="Arial"/>
                <w:spacing w:val="-3"/>
                <w:sz w:val="20"/>
                <w:szCs w:val="20"/>
              </w:rPr>
              <w:t>Captura de CO</w:t>
            </w:r>
            <w:r w:rsidRPr="00BD1319">
              <w:rPr>
                <w:rFonts w:cs="Arial"/>
                <w:spacing w:val="-3"/>
                <w:sz w:val="20"/>
                <w:szCs w:val="20"/>
                <w:vertAlign w:val="subscript"/>
              </w:rPr>
              <w:t>2</w:t>
            </w:r>
            <w:r w:rsidR="00ED17E7" w:rsidRPr="00BD1319">
              <w:rPr>
                <w:rFonts w:cs="Arial"/>
                <w:spacing w:val="-3"/>
                <w:sz w:val="20"/>
                <w:szCs w:val="20"/>
              </w:rPr>
              <w:t>.</w:t>
            </w:r>
          </w:p>
          <w:p w14:paraId="699ED1CF" w14:textId="34E2A3BE" w:rsidR="00E335C9" w:rsidRPr="00BD1319" w:rsidRDefault="00E335C9" w:rsidP="009420F5">
            <w:pPr>
              <w:numPr>
                <w:ilvl w:val="0"/>
                <w:numId w:val="480"/>
              </w:numPr>
              <w:tabs>
                <w:tab w:val="left" w:pos="-2268"/>
              </w:tabs>
              <w:suppressAutoHyphens/>
              <w:ind w:left="426" w:hanging="426"/>
              <w:rPr>
                <w:rFonts w:cs="Arial"/>
                <w:spacing w:val="-3"/>
                <w:sz w:val="20"/>
                <w:szCs w:val="20"/>
              </w:rPr>
            </w:pPr>
            <w:r w:rsidRPr="00BD1319">
              <w:rPr>
                <w:rFonts w:cs="Arial"/>
                <w:spacing w:val="-3"/>
                <w:sz w:val="20"/>
                <w:szCs w:val="20"/>
              </w:rPr>
              <w:t>Purificación del aire</w:t>
            </w:r>
            <w:r w:rsidR="00ED17E7" w:rsidRPr="00BD1319">
              <w:rPr>
                <w:rFonts w:cs="Arial"/>
                <w:spacing w:val="-3"/>
                <w:sz w:val="20"/>
                <w:szCs w:val="20"/>
              </w:rPr>
              <w:t>.</w:t>
            </w:r>
          </w:p>
          <w:p w14:paraId="0CE3D063" w14:textId="75B06F43" w:rsidR="00E335C9" w:rsidRPr="00BD1319" w:rsidRDefault="00E335C9" w:rsidP="009420F5">
            <w:pPr>
              <w:numPr>
                <w:ilvl w:val="0"/>
                <w:numId w:val="480"/>
              </w:numPr>
              <w:tabs>
                <w:tab w:val="left" w:pos="-2268"/>
              </w:tabs>
              <w:suppressAutoHyphens/>
              <w:ind w:left="426" w:hanging="426"/>
              <w:rPr>
                <w:rFonts w:cs="Arial"/>
                <w:spacing w:val="-3"/>
                <w:sz w:val="20"/>
                <w:szCs w:val="20"/>
              </w:rPr>
            </w:pPr>
            <w:r w:rsidRPr="00BD1319">
              <w:rPr>
                <w:rFonts w:cs="Arial"/>
                <w:spacing w:val="-3"/>
                <w:sz w:val="20"/>
                <w:szCs w:val="20"/>
              </w:rPr>
              <w:t>Reciclaje de nutrientes</w:t>
            </w:r>
            <w:r w:rsidR="00ED17E7" w:rsidRPr="00BD1319">
              <w:rPr>
                <w:rFonts w:cs="Arial"/>
                <w:spacing w:val="-3"/>
                <w:sz w:val="20"/>
                <w:szCs w:val="20"/>
              </w:rPr>
              <w:t>.</w:t>
            </w:r>
          </w:p>
          <w:p w14:paraId="1ABE25CE" w14:textId="0CA942DF" w:rsidR="00E335C9" w:rsidRPr="00BD1319" w:rsidRDefault="00E335C9" w:rsidP="009420F5">
            <w:pPr>
              <w:numPr>
                <w:ilvl w:val="0"/>
                <w:numId w:val="480"/>
              </w:numPr>
              <w:tabs>
                <w:tab w:val="left" w:pos="-2268"/>
              </w:tabs>
              <w:suppressAutoHyphens/>
              <w:ind w:left="426" w:hanging="426"/>
              <w:rPr>
                <w:rFonts w:cs="Arial"/>
                <w:spacing w:val="-3"/>
                <w:sz w:val="20"/>
                <w:szCs w:val="20"/>
              </w:rPr>
            </w:pPr>
            <w:r w:rsidRPr="00BD1319">
              <w:rPr>
                <w:rFonts w:cs="Arial"/>
                <w:spacing w:val="-3"/>
                <w:sz w:val="20"/>
                <w:szCs w:val="20"/>
              </w:rPr>
              <w:t>Producción de alimentos, fibras, medicinas bioenergía</w:t>
            </w:r>
            <w:r w:rsidR="00ED17E7" w:rsidRPr="00BD1319">
              <w:rPr>
                <w:rFonts w:cs="Arial"/>
                <w:spacing w:val="-3"/>
                <w:sz w:val="20"/>
                <w:szCs w:val="20"/>
              </w:rPr>
              <w:t>.</w:t>
            </w:r>
          </w:p>
        </w:tc>
      </w:tr>
      <w:tr w:rsidR="00E335C9" w:rsidRPr="00BD1319" w14:paraId="56B7E646" w14:textId="77777777" w:rsidTr="006D5535">
        <w:trPr>
          <w:jc w:val="center"/>
        </w:trPr>
        <w:tc>
          <w:tcPr>
            <w:tcW w:w="4248" w:type="dxa"/>
            <w:vAlign w:val="center"/>
          </w:tcPr>
          <w:p w14:paraId="7190338E" w14:textId="165816D4" w:rsidR="00E335C9" w:rsidRPr="00BD1319" w:rsidRDefault="00B80000" w:rsidP="009420F5">
            <w:pPr>
              <w:numPr>
                <w:ilvl w:val="0"/>
                <w:numId w:val="480"/>
              </w:numPr>
              <w:tabs>
                <w:tab w:val="left" w:pos="-2268"/>
              </w:tabs>
              <w:suppressAutoHyphens/>
              <w:ind w:left="426" w:hanging="426"/>
              <w:rPr>
                <w:rFonts w:cs="Arial"/>
                <w:spacing w:val="-3"/>
                <w:sz w:val="20"/>
                <w:szCs w:val="20"/>
              </w:rPr>
            </w:pPr>
            <w:r w:rsidRPr="00BD1319">
              <w:rPr>
                <w:rFonts w:cs="Arial"/>
                <w:spacing w:val="-3"/>
                <w:sz w:val="20"/>
                <w:szCs w:val="20"/>
              </w:rPr>
              <w:t>Estabilidad e</w:t>
            </w:r>
            <w:r w:rsidR="00E335C9" w:rsidRPr="00BD1319">
              <w:rPr>
                <w:rFonts w:cs="Arial"/>
                <w:spacing w:val="-3"/>
                <w:sz w:val="20"/>
                <w:szCs w:val="20"/>
              </w:rPr>
              <w:t>structural</w:t>
            </w:r>
            <w:r w:rsidR="00ED17E7" w:rsidRPr="00BD1319">
              <w:rPr>
                <w:rFonts w:cs="Arial"/>
                <w:spacing w:val="-3"/>
                <w:sz w:val="20"/>
                <w:szCs w:val="20"/>
              </w:rPr>
              <w:t>.</w:t>
            </w:r>
          </w:p>
          <w:p w14:paraId="4416B444" w14:textId="23644683" w:rsidR="00E335C9" w:rsidRPr="00BD1319" w:rsidRDefault="00E335C9" w:rsidP="009420F5">
            <w:pPr>
              <w:numPr>
                <w:ilvl w:val="0"/>
                <w:numId w:val="480"/>
              </w:numPr>
              <w:tabs>
                <w:tab w:val="left" w:pos="-2268"/>
              </w:tabs>
              <w:suppressAutoHyphens/>
              <w:ind w:left="426" w:hanging="426"/>
              <w:rPr>
                <w:rFonts w:cs="Arial"/>
                <w:spacing w:val="-3"/>
                <w:sz w:val="20"/>
                <w:szCs w:val="20"/>
              </w:rPr>
            </w:pPr>
            <w:r w:rsidRPr="00BD1319">
              <w:rPr>
                <w:rFonts w:cs="Arial"/>
                <w:spacing w:val="-3"/>
                <w:sz w:val="20"/>
                <w:szCs w:val="20"/>
              </w:rPr>
              <w:t>Porosidad</w:t>
            </w:r>
            <w:r w:rsidR="00ED17E7" w:rsidRPr="00BD1319">
              <w:rPr>
                <w:rFonts w:cs="Arial"/>
                <w:spacing w:val="-3"/>
                <w:sz w:val="20"/>
                <w:szCs w:val="20"/>
              </w:rPr>
              <w:t>.</w:t>
            </w:r>
          </w:p>
          <w:p w14:paraId="360E5AE9" w14:textId="58F1DD37" w:rsidR="00E335C9" w:rsidRPr="00BD1319" w:rsidRDefault="00E335C9" w:rsidP="009420F5">
            <w:pPr>
              <w:numPr>
                <w:ilvl w:val="0"/>
                <w:numId w:val="480"/>
              </w:numPr>
              <w:tabs>
                <w:tab w:val="left" w:pos="-2268"/>
              </w:tabs>
              <w:suppressAutoHyphens/>
              <w:ind w:left="426" w:hanging="426"/>
              <w:rPr>
                <w:rFonts w:cs="Arial"/>
                <w:spacing w:val="-3"/>
                <w:sz w:val="20"/>
                <w:szCs w:val="20"/>
              </w:rPr>
            </w:pPr>
            <w:r w:rsidRPr="00BD1319">
              <w:rPr>
                <w:rFonts w:cs="Arial"/>
                <w:spacing w:val="-3"/>
                <w:sz w:val="20"/>
                <w:szCs w:val="20"/>
              </w:rPr>
              <w:t>Resistencia a la penetración</w:t>
            </w:r>
            <w:r w:rsidR="00ED17E7" w:rsidRPr="00BD1319">
              <w:rPr>
                <w:rFonts w:cs="Arial"/>
                <w:spacing w:val="-3"/>
                <w:sz w:val="20"/>
                <w:szCs w:val="20"/>
              </w:rPr>
              <w:t>.</w:t>
            </w:r>
          </w:p>
          <w:p w14:paraId="5FC27E0D" w14:textId="77777777" w:rsidR="00E335C9" w:rsidRPr="00BD1319" w:rsidRDefault="00E335C9" w:rsidP="009420F5">
            <w:pPr>
              <w:numPr>
                <w:ilvl w:val="12"/>
                <w:numId w:val="0"/>
              </w:numPr>
              <w:tabs>
                <w:tab w:val="left" w:pos="-2268"/>
                <w:tab w:val="num" w:pos="567"/>
              </w:tabs>
              <w:suppressAutoHyphens/>
              <w:ind w:left="426" w:hanging="426"/>
              <w:rPr>
                <w:rFonts w:cs="Arial"/>
                <w:spacing w:val="-3"/>
                <w:sz w:val="20"/>
                <w:szCs w:val="20"/>
              </w:rPr>
            </w:pPr>
          </w:p>
        </w:tc>
        <w:tc>
          <w:tcPr>
            <w:tcW w:w="5386" w:type="dxa"/>
            <w:vAlign w:val="center"/>
          </w:tcPr>
          <w:p w14:paraId="436A97A8" w14:textId="54771D48" w:rsidR="00E335C9" w:rsidRPr="00BD1319" w:rsidRDefault="00E335C9" w:rsidP="009420F5">
            <w:pPr>
              <w:numPr>
                <w:ilvl w:val="0"/>
                <w:numId w:val="480"/>
              </w:numPr>
              <w:tabs>
                <w:tab w:val="left" w:pos="-2268"/>
              </w:tabs>
              <w:suppressAutoHyphens/>
              <w:ind w:left="426" w:hanging="426"/>
              <w:rPr>
                <w:rFonts w:cs="Arial"/>
                <w:spacing w:val="-3"/>
                <w:sz w:val="20"/>
                <w:szCs w:val="20"/>
              </w:rPr>
            </w:pPr>
            <w:r w:rsidRPr="00BD1319">
              <w:rPr>
                <w:rFonts w:cs="Arial"/>
                <w:spacing w:val="-3"/>
                <w:sz w:val="20"/>
                <w:szCs w:val="20"/>
              </w:rPr>
              <w:t>Soporte de la estructura socioeconómica (industria, infraestructura, recreación y estética)</w:t>
            </w:r>
            <w:r w:rsidR="00ED17E7" w:rsidRPr="00BD1319">
              <w:rPr>
                <w:rFonts w:cs="Arial"/>
                <w:spacing w:val="-3"/>
                <w:sz w:val="20"/>
                <w:szCs w:val="20"/>
              </w:rPr>
              <w:t>.</w:t>
            </w:r>
          </w:p>
          <w:p w14:paraId="6B48E730" w14:textId="78AB3CCD" w:rsidR="00E335C9" w:rsidRPr="00BD1319" w:rsidRDefault="00E335C9" w:rsidP="009420F5">
            <w:pPr>
              <w:numPr>
                <w:ilvl w:val="0"/>
                <w:numId w:val="480"/>
              </w:numPr>
              <w:tabs>
                <w:tab w:val="left" w:pos="-2268"/>
              </w:tabs>
              <w:suppressAutoHyphens/>
              <w:ind w:left="426" w:hanging="426"/>
              <w:rPr>
                <w:rFonts w:cs="Arial"/>
                <w:spacing w:val="-3"/>
                <w:sz w:val="20"/>
                <w:szCs w:val="20"/>
              </w:rPr>
            </w:pPr>
            <w:r w:rsidRPr="00BD1319">
              <w:rPr>
                <w:rFonts w:cs="Arial"/>
                <w:spacing w:val="-3"/>
                <w:sz w:val="20"/>
                <w:szCs w:val="20"/>
              </w:rPr>
              <w:t>Soporte y mantenimiento de la biodiversidad</w:t>
            </w:r>
            <w:r w:rsidR="00ED17E7" w:rsidRPr="00BD1319">
              <w:rPr>
                <w:rFonts w:cs="Arial"/>
                <w:spacing w:val="-3"/>
                <w:sz w:val="20"/>
                <w:szCs w:val="20"/>
              </w:rPr>
              <w:t>.</w:t>
            </w:r>
          </w:p>
          <w:p w14:paraId="66DA1080" w14:textId="5C488905" w:rsidR="00E335C9" w:rsidRPr="00BD1319" w:rsidRDefault="00E335C9" w:rsidP="009420F5">
            <w:pPr>
              <w:numPr>
                <w:ilvl w:val="0"/>
                <w:numId w:val="480"/>
              </w:numPr>
              <w:tabs>
                <w:tab w:val="left" w:pos="-2268"/>
              </w:tabs>
              <w:suppressAutoHyphens/>
              <w:ind w:left="426" w:hanging="426"/>
              <w:rPr>
                <w:rFonts w:cs="Arial"/>
                <w:spacing w:val="-3"/>
                <w:sz w:val="20"/>
                <w:szCs w:val="20"/>
              </w:rPr>
            </w:pPr>
            <w:r w:rsidRPr="00BD1319">
              <w:rPr>
                <w:rFonts w:cs="Arial"/>
                <w:spacing w:val="-3"/>
                <w:sz w:val="20"/>
                <w:szCs w:val="20"/>
              </w:rPr>
              <w:t>Valor cultural, conservación del patrimonio histórico (conservación arqueológica, paleontológica, rasgos de la historia humana y del planeta)</w:t>
            </w:r>
            <w:r w:rsidR="00ED17E7" w:rsidRPr="00BD1319">
              <w:rPr>
                <w:rFonts w:cs="Arial"/>
                <w:spacing w:val="-3"/>
                <w:sz w:val="20"/>
                <w:szCs w:val="20"/>
              </w:rPr>
              <w:t>.</w:t>
            </w:r>
          </w:p>
        </w:tc>
      </w:tr>
      <w:tr w:rsidR="00E335C9" w:rsidRPr="00BD1319" w14:paraId="0C3D81BE" w14:textId="77777777" w:rsidTr="006D5535">
        <w:trPr>
          <w:jc w:val="center"/>
        </w:trPr>
        <w:tc>
          <w:tcPr>
            <w:tcW w:w="4248" w:type="dxa"/>
            <w:vAlign w:val="center"/>
          </w:tcPr>
          <w:p w14:paraId="6809FB38" w14:textId="0E7BF811" w:rsidR="00E335C9" w:rsidRPr="00BD1319" w:rsidRDefault="00B80000" w:rsidP="009420F5">
            <w:pPr>
              <w:numPr>
                <w:ilvl w:val="0"/>
                <w:numId w:val="480"/>
              </w:numPr>
              <w:tabs>
                <w:tab w:val="left" w:pos="-2268"/>
              </w:tabs>
              <w:suppressAutoHyphens/>
              <w:ind w:left="426" w:hanging="426"/>
              <w:rPr>
                <w:rFonts w:cs="Arial"/>
                <w:spacing w:val="-3"/>
                <w:sz w:val="20"/>
                <w:szCs w:val="20"/>
              </w:rPr>
            </w:pPr>
            <w:r w:rsidRPr="00BD1319">
              <w:rPr>
                <w:rFonts w:cs="Arial"/>
                <w:spacing w:val="-3"/>
                <w:sz w:val="20"/>
                <w:szCs w:val="20"/>
              </w:rPr>
              <w:t xml:space="preserve">Cantidad </w:t>
            </w:r>
            <w:r w:rsidR="00E335C9" w:rsidRPr="00BD1319">
              <w:rPr>
                <w:rFonts w:cs="Arial"/>
                <w:spacing w:val="-3"/>
                <w:sz w:val="20"/>
                <w:szCs w:val="20"/>
              </w:rPr>
              <w:t xml:space="preserve">de </w:t>
            </w:r>
            <w:r w:rsidRPr="00BD1319">
              <w:rPr>
                <w:rFonts w:cs="Arial"/>
                <w:spacing w:val="-3"/>
                <w:sz w:val="20"/>
                <w:szCs w:val="20"/>
              </w:rPr>
              <w:t>h</w:t>
            </w:r>
            <w:r w:rsidR="00E335C9" w:rsidRPr="00BD1319">
              <w:rPr>
                <w:rFonts w:cs="Arial"/>
                <w:spacing w:val="-3"/>
                <w:sz w:val="20"/>
                <w:szCs w:val="20"/>
              </w:rPr>
              <w:t xml:space="preserve">ongos y </w:t>
            </w:r>
            <w:r w:rsidRPr="00BD1319">
              <w:rPr>
                <w:rFonts w:cs="Arial"/>
                <w:spacing w:val="-3"/>
                <w:sz w:val="20"/>
                <w:szCs w:val="20"/>
              </w:rPr>
              <w:t>b</w:t>
            </w:r>
            <w:r w:rsidR="00E335C9" w:rsidRPr="00BD1319">
              <w:rPr>
                <w:rFonts w:cs="Arial"/>
                <w:spacing w:val="-3"/>
                <w:sz w:val="20"/>
                <w:szCs w:val="20"/>
              </w:rPr>
              <w:t>acterias</w:t>
            </w:r>
            <w:r w:rsidR="00ED17E7" w:rsidRPr="00BD1319">
              <w:rPr>
                <w:rFonts w:cs="Arial"/>
                <w:spacing w:val="-3"/>
                <w:sz w:val="20"/>
                <w:szCs w:val="20"/>
              </w:rPr>
              <w:t>.</w:t>
            </w:r>
          </w:p>
          <w:p w14:paraId="61F793D8" w14:textId="42E2400F" w:rsidR="00E335C9" w:rsidRPr="00BD1319" w:rsidRDefault="00B80000" w:rsidP="009420F5">
            <w:pPr>
              <w:numPr>
                <w:ilvl w:val="0"/>
                <w:numId w:val="480"/>
              </w:numPr>
              <w:tabs>
                <w:tab w:val="left" w:pos="-2268"/>
              </w:tabs>
              <w:suppressAutoHyphens/>
              <w:ind w:left="426" w:hanging="426"/>
              <w:rPr>
                <w:rFonts w:cs="Arial"/>
                <w:spacing w:val="-3"/>
                <w:sz w:val="20"/>
                <w:szCs w:val="20"/>
              </w:rPr>
            </w:pPr>
            <w:r w:rsidRPr="00BD1319">
              <w:rPr>
                <w:rFonts w:cs="Arial"/>
                <w:spacing w:val="-3"/>
                <w:sz w:val="20"/>
                <w:szCs w:val="20"/>
              </w:rPr>
              <w:t xml:space="preserve">Cantidad </w:t>
            </w:r>
            <w:r w:rsidR="00E335C9" w:rsidRPr="00BD1319">
              <w:rPr>
                <w:rFonts w:cs="Arial"/>
                <w:spacing w:val="-3"/>
                <w:sz w:val="20"/>
                <w:szCs w:val="20"/>
              </w:rPr>
              <w:t>de actinomicetos</w:t>
            </w:r>
            <w:r w:rsidR="00ED17E7" w:rsidRPr="00BD1319">
              <w:rPr>
                <w:rFonts w:cs="Arial"/>
                <w:spacing w:val="-3"/>
                <w:sz w:val="20"/>
                <w:szCs w:val="20"/>
              </w:rPr>
              <w:t>.</w:t>
            </w:r>
          </w:p>
          <w:p w14:paraId="71EFB303" w14:textId="34F4F3E6" w:rsidR="00E335C9" w:rsidRPr="005A685F" w:rsidRDefault="00B80000" w:rsidP="009420F5">
            <w:pPr>
              <w:numPr>
                <w:ilvl w:val="0"/>
                <w:numId w:val="480"/>
              </w:numPr>
              <w:tabs>
                <w:tab w:val="left" w:pos="-2268"/>
              </w:tabs>
              <w:suppressAutoHyphens/>
              <w:ind w:left="426" w:hanging="426"/>
              <w:rPr>
                <w:rFonts w:cs="Arial"/>
                <w:spacing w:val="-3"/>
                <w:sz w:val="20"/>
                <w:szCs w:val="20"/>
                <w:lang w:val="pt-PT"/>
              </w:rPr>
            </w:pPr>
            <w:r w:rsidRPr="005A685F">
              <w:rPr>
                <w:rFonts w:cs="Arial"/>
                <w:spacing w:val="-3"/>
                <w:sz w:val="20"/>
                <w:szCs w:val="20"/>
                <w:lang w:val="pt-PT"/>
              </w:rPr>
              <w:t xml:space="preserve">Cantidad </w:t>
            </w:r>
            <w:r w:rsidR="00E335C9" w:rsidRPr="005A685F">
              <w:rPr>
                <w:rFonts w:cs="Arial"/>
                <w:spacing w:val="-3"/>
                <w:sz w:val="20"/>
                <w:szCs w:val="20"/>
                <w:lang w:val="pt-PT"/>
              </w:rPr>
              <w:t>de microorganismos solubilizadores de fosfato</w:t>
            </w:r>
            <w:r w:rsidR="00ED17E7" w:rsidRPr="005A685F">
              <w:rPr>
                <w:rFonts w:cs="Arial"/>
                <w:spacing w:val="-3"/>
                <w:sz w:val="20"/>
                <w:szCs w:val="20"/>
                <w:lang w:val="pt-PT"/>
              </w:rPr>
              <w:t>.</w:t>
            </w:r>
          </w:p>
          <w:p w14:paraId="13B3695D" w14:textId="3B25DFB1" w:rsidR="00E335C9" w:rsidRPr="00BD1319" w:rsidRDefault="00B80000" w:rsidP="009420F5">
            <w:pPr>
              <w:numPr>
                <w:ilvl w:val="0"/>
                <w:numId w:val="480"/>
              </w:numPr>
              <w:tabs>
                <w:tab w:val="left" w:pos="-2268"/>
              </w:tabs>
              <w:suppressAutoHyphens/>
              <w:ind w:left="426" w:hanging="426"/>
              <w:rPr>
                <w:rFonts w:cs="Arial"/>
                <w:spacing w:val="-3"/>
                <w:sz w:val="20"/>
                <w:szCs w:val="20"/>
              </w:rPr>
            </w:pPr>
            <w:r w:rsidRPr="00BD1319">
              <w:rPr>
                <w:rFonts w:cs="Arial"/>
                <w:spacing w:val="-3"/>
                <w:sz w:val="20"/>
                <w:szCs w:val="20"/>
              </w:rPr>
              <w:t xml:space="preserve">Cantidad </w:t>
            </w:r>
            <w:r w:rsidR="00E335C9" w:rsidRPr="00BD1319">
              <w:rPr>
                <w:rFonts w:cs="Arial"/>
                <w:spacing w:val="-3"/>
                <w:sz w:val="20"/>
                <w:szCs w:val="20"/>
              </w:rPr>
              <w:t xml:space="preserve">de microorganismos </w:t>
            </w:r>
            <w:proofErr w:type="spellStart"/>
            <w:r w:rsidR="00E335C9" w:rsidRPr="00BD1319">
              <w:rPr>
                <w:rFonts w:cs="Arial"/>
                <w:spacing w:val="-3"/>
                <w:sz w:val="20"/>
                <w:szCs w:val="20"/>
              </w:rPr>
              <w:t>celulolíticos</w:t>
            </w:r>
            <w:proofErr w:type="spellEnd"/>
            <w:r w:rsidR="00E335C9" w:rsidRPr="00BD1319">
              <w:rPr>
                <w:rFonts w:cs="Arial"/>
                <w:spacing w:val="-3"/>
                <w:sz w:val="20"/>
                <w:szCs w:val="20"/>
              </w:rPr>
              <w:t xml:space="preserve"> aerobios</w:t>
            </w:r>
            <w:r w:rsidR="00ED17E7" w:rsidRPr="00BD1319">
              <w:rPr>
                <w:rFonts w:cs="Arial"/>
                <w:spacing w:val="-3"/>
                <w:sz w:val="20"/>
                <w:szCs w:val="20"/>
              </w:rPr>
              <w:t>.</w:t>
            </w:r>
          </w:p>
        </w:tc>
        <w:tc>
          <w:tcPr>
            <w:tcW w:w="5386" w:type="dxa"/>
            <w:vAlign w:val="center"/>
          </w:tcPr>
          <w:p w14:paraId="64DDBE38" w14:textId="010C2A36" w:rsidR="00E335C9" w:rsidRPr="00BD1319" w:rsidRDefault="00E335C9" w:rsidP="009420F5">
            <w:pPr>
              <w:numPr>
                <w:ilvl w:val="0"/>
                <w:numId w:val="480"/>
              </w:numPr>
              <w:tabs>
                <w:tab w:val="left" w:pos="-2268"/>
              </w:tabs>
              <w:suppressAutoHyphens/>
              <w:ind w:left="426" w:hanging="426"/>
              <w:rPr>
                <w:rFonts w:cs="Arial"/>
                <w:spacing w:val="-3"/>
                <w:sz w:val="20"/>
                <w:szCs w:val="20"/>
              </w:rPr>
            </w:pPr>
            <w:r w:rsidRPr="00BD1319">
              <w:rPr>
                <w:rFonts w:cs="Arial"/>
                <w:spacing w:val="-3"/>
                <w:sz w:val="20"/>
                <w:szCs w:val="20"/>
              </w:rPr>
              <w:t>Reserva de genes base de la biodiversidad</w:t>
            </w:r>
            <w:r w:rsidR="00B80000" w:rsidRPr="00BD1319">
              <w:rPr>
                <w:rFonts w:cs="Arial"/>
                <w:spacing w:val="-3"/>
                <w:sz w:val="20"/>
                <w:szCs w:val="20"/>
              </w:rPr>
              <w:t>.</w:t>
            </w:r>
          </w:p>
          <w:p w14:paraId="29D75558" w14:textId="65BD6B17" w:rsidR="00E335C9" w:rsidRPr="00BD1319" w:rsidRDefault="00E335C9" w:rsidP="009420F5">
            <w:pPr>
              <w:numPr>
                <w:ilvl w:val="0"/>
                <w:numId w:val="480"/>
              </w:numPr>
              <w:tabs>
                <w:tab w:val="left" w:pos="-2268"/>
              </w:tabs>
              <w:suppressAutoHyphens/>
              <w:ind w:left="426" w:hanging="426"/>
              <w:rPr>
                <w:rFonts w:cs="Arial"/>
                <w:spacing w:val="-3"/>
                <w:sz w:val="20"/>
                <w:szCs w:val="20"/>
              </w:rPr>
            </w:pPr>
            <w:r w:rsidRPr="00BD1319">
              <w:rPr>
                <w:rFonts w:cs="Arial"/>
                <w:spacing w:val="-3"/>
                <w:sz w:val="20"/>
                <w:szCs w:val="20"/>
              </w:rPr>
              <w:t>Hábitat fauna y flora</w:t>
            </w:r>
            <w:r w:rsidR="00ED17E7" w:rsidRPr="00BD1319">
              <w:rPr>
                <w:rFonts w:cs="Arial"/>
                <w:spacing w:val="-3"/>
                <w:sz w:val="20"/>
                <w:szCs w:val="20"/>
              </w:rPr>
              <w:t>.</w:t>
            </w:r>
          </w:p>
          <w:p w14:paraId="44F1D321" w14:textId="2EC24F3D" w:rsidR="00E335C9" w:rsidRPr="00BD1319" w:rsidRDefault="00E335C9" w:rsidP="009420F5">
            <w:pPr>
              <w:numPr>
                <w:ilvl w:val="0"/>
                <w:numId w:val="480"/>
              </w:numPr>
              <w:tabs>
                <w:tab w:val="left" w:pos="-2268"/>
              </w:tabs>
              <w:suppressAutoHyphens/>
              <w:ind w:left="426" w:hanging="426"/>
              <w:rPr>
                <w:rFonts w:cs="Arial"/>
                <w:spacing w:val="-3"/>
                <w:sz w:val="20"/>
                <w:szCs w:val="20"/>
              </w:rPr>
            </w:pPr>
            <w:r w:rsidRPr="00BD1319">
              <w:rPr>
                <w:rFonts w:cs="Arial"/>
                <w:spacing w:val="-3"/>
                <w:sz w:val="20"/>
                <w:szCs w:val="20"/>
              </w:rPr>
              <w:t>Conservación de la biodiversidad</w:t>
            </w:r>
            <w:r w:rsidR="00ED17E7" w:rsidRPr="00BD1319">
              <w:rPr>
                <w:rFonts w:cs="Arial"/>
                <w:spacing w:val="-3"/>
                <w:sz w:val="20"/>
                <w:szCs w:val="20"/>
              </w:rPr>
              <w:t>.</w:t>
            </w:r>
          </w:p>
        </w:tc>
      </w:tr>
    </w:tbl>
    <w:p w14:paraId="2EA706F4" w14:textId="77777777" w:rsidR="00E335C9" w:rsidRPr="00BD1319" w:rsidRDefault="00E335C9" w:rsidP="00E335C9">
      <w:pPr>
        <w:numPr>
          <w:ilvl w:val="12"/>
          <w:numId w:val="0"/>
        </w:numPr>
        <w:tabs>
          <w:tab w:val="left" w:pos="-2268"/>
        </w:tabs>
        <w:suppressAutoHyphens/>
        <w:rPr>
          <w:rFonts w:cs="Arial"/>
          <w:spacing w:val="-3"/>
        </w:rPr>
      </w:pPr>
    </w:p>
    <w:p w14:paraId="2339C435" w14:textId="497E9856" w:rsidR="00E335C9" w:rsidRPr="00BD1319" w:rsidRDefault="00FA35FD" w:rsidP="00E335C9">
      <w:pPr>
        <w:numPr>
          <w:ilvl w:val="12"/>
          <w:numId w:val="0"/>
        </w:numPr>
        <w:tabs>
          <w:tab w:val="left" w:pos="-2268"/>
        </w:tabs>
        <w:suppressAutoHyphens/>
        <w:rPr>
          <w:rFonts w:cs="Arial"/>
          <w:spacing w:val="-3"/>
        </w:rPr>
      </w:pPr>
      <w:r w:rsidRPr="00BD1319">
        <w:rPr>
          <w:rFonts w:cs="Arial"/>
          <w:spacing w:val="-3"/>
        </w:rPr>
        <w:t xml:space="preserve">Ya que </w:t>
      </w:r>
      <w:r w:rsidR="00E335C9" w:rsidRPr="00BD1319">
        <w:rPr>
          <w:rFonts w:cs="Arial"/>
          <w:spacing w:val="-3"/>
        </w:rPr>
        <w:t>el suelo juega un papel fundamental en la captura y reserva de carbono orgánico</w:t>
      </w:r>
      <w:r w:rsidRPr="00BD1319">
        <w:rPr>
          <w:rFonts w:cs="Arial"/>
          <w:spacing w:val="-3"/>
        </w:rPr>
        <w:t xml:space="preserve">, las estimaciones del servicio de regulación climática relacionadas con gases efecto invernadero, en particular de carbono, deben incorporar </w:t>
      </w:r>
      <w:r w:rsidR="00E335C9" w:rsidRPr="00BD1319">
        <w:rPr>
          <w:rFonts w:cs="Arial"/>
          <w:spacing w:val="-3"/>
        </w:rPr>
        <w:t>el contenido de carbono orgánico en los diferentes horizontes de</w:t>
      </w:r>
      <w:r w:rsidRPr="00BD1319">
        <w:rPr>
          <w:rFonts w:cs="Arial"/>
          <w:spacing w:val="-3"/>
        </w:rPr>
        <w:t>l</w:t>
      </w:r>
      <w:r w:rsidR="00E335C9" w:rsidRPr="00BD1319">
        <w:rPr>
          <w:rFonts w:cs="Arial"/>
          <w:spacing w:val="-3"/>
        </w:rPr>
        <w:t xml:space="preserve"> suelo </w:t>
      </w:r>
      <w:r w:rsidRPr="00BD1319">
        <w:rPr>
          <w:rFonts w:cs="Arial"/>
          <w:spacing w:val="-3"/>
        </w:rPr>
        <w:t xml:space="preserve">(de acuerdo con </w:t>
      </w:r>
      <w:r w:rsidR="00E335C9" w:rsidRPr="00BD1319">
        <w:rPr>
          <w:rFonts w:cs="Arial"/>
          <w:spacing w:val="-3"/>
        </w:rPr>
        <w:t>la metodología del IPCC</w:t>
      </w:r>
      <w:r w:rsidRPr="00BD1319">
        <w:rPr>
          <w:rFonts w:cs="Arial"/>
          <w:spacing w:val="-3"/>
        </w:rPr>
        <w:t xml:space="preserve">, </w:t>
      </w:r>
      <w:r w:rsidR="00E335C9" w:rsidRPr="00BD1319">
        <w:rPr>
          <w:rFonts w:cs="Arial"/>
          <w:spacing w:val="-3"/>
        </w:rPr>
        <w:t>hasta 50 c</w:t>
      </w:r>
      <w:r w:rsidR="009467EC" w:rsidRPr="00BD1319">
        <w:rPr>
          <w:rFonts w:cs="Arial"/>
          <w:spacing w:val="-3"/>
        </w:rPr>
        <w:t xml:space="preserve">entímetros </w:t>
      </w:r>
      <w:r w:rsidR="00E335C9" w:rsidRPr="00BD1319">
        <w:rPr>
          <w:rFonts w:cs="Arial"/>
          <w:spacing w:val="-3"/>
        </w:rPr>
        <w:t>de profundidad) y la densidad aparente.</w:t>
      </w:r>
    </w:p>
    <w:p w14:paraId="7A28F5A6" w14:textId="77777777" w:rsidR="00E335C9" w:rsidRPr="00BD1319" w:rsidRDefault="00E335C9" w:rsidP="00E335C9">
      <w:pPr>
        <w:numPr>
          <w:ilvl w:val="12"/>
          <w:numId w:val="0"/>
        </w:numPr>
        <w:tabs>
          <w:tab w:val="left" w:pos="-2268"/>
        </w:tabs>
        <w:suppressAutoHyphens/>
        <w:rPr>
          <w:rFonts w:cs="Arial"/>
          <w:spacing w:val="-3"/>
        </w:rPr>
      </w:pPr>
    </w:p>
    <w:p w14:paraId="1064DDB0" w14:textId="45763E18" w:rsidR="00E335C9" w:rsidRPr="00BD1319" w:rsidRDefault="00E335C9" w:rsidP="00E335C9">
      <w:pPr>
        <w:numPr>
          <w:ilvl w:val="12"/>
          <w:numId w:val="0"/>
        </w:numPr>
        <w:tabs>
          <w:tab w:val="left" w:pos="-2268"/>
        </w:tabs>
        <w:suppressAutoHyphens/>
        <w:rPr>
          <w:rFonts w:cs="Arial"/>
          <w:spacing w:val="-3"/>
        </w:rPr>
      </w:pPr>
      <w:r w:rsidRPr="00BD1319">
        <w:rPr>
          <w:rFonts w:cs="Arial"/>
          <w:spacing w:val="-3"/>
        </w:rPr>
        <w:t xml:space="preserve">Para el servicio de regulación de sedimentos o control de erosión, </w:t>
      </w:r>
      <w:r w:rsidR="00B977EA" w:rsidRPr="00BD1319">
        <w:rPr>
          <w:rFonts w:cs="Arial"/>
          <w:spacing w:val="-3"/>
        </w:rPr>
        <w:t xml:space="preserve">es posible emplear </w:t>
      </w:r>
      <w:r w:rsidRPr="00BD1319">
        <w:rPr>
          <w:rFonts w:cs="Arial"/>
          <w:spacing w:val="-3"/>
        </w:rPr>
        <w:t xml:space="preserve">la metodología de la </w:t>
      </w:r>
      <w:r w:rsidR="00BA762C" w:rsidRPr="00BD1319">
        <w:rPr>
          <w:rFonts w:cs="Arial"/>
          <w:spacing w:val="-3"/>
        </w:rPr>
        <w:t>e</w:t>
      </w:r>
      <w:r w:rsidRPr="00BD1319">
        <w:rPr>
          <w:rFonts w:cs="Arial"/>
          <w:spacing w:val="-3"/>
        </w:rPr>
        <w:t>cuación universal de pérdida de suelo (</w:t>
      </w:r>
      <w:r w:rsidR="00B977EA" w:rsidRPr="00BD1319">
        <w:rPr>
          <w:rFonts w:cs="Arial"/>
          <w:spacing w:val="-3"/>
        </w:rPr>
        <w:t xml:space="preserve">USLE, por sus </w:t>
      </w:r>
      <w:r w:rsidRPr="00BD1319">
        <w:rPr>
          <w:rFonts w:cs="Arial"/>
          <w:spacing w:val="-3"/>
        </w:rPr>
        <w:t xml:space="preserve">siglas en inglés), donde la </w:t>
      </w:r>
      <w:proofErr w:type="spellStart"/>
      <w:r w:rsidRPr="00BD1319">
        <w:rPr>
          <w:rFonts w:cs="Arial"/>
          <w:spacing w:val="-3"/>
        </w:rPr>
        <w:t>erodabilidad</w:t>
      </w:r>
      <w:proofErr w:type="spellEnd"/>
      <w:r w:rsidRPr="00BD1319">
        <w:rPr>
          <w:rFonts w:cs="Arial"/>
          <w:spacing w:val="-3"/>
        </w:rPr>
        <w:t xml:space="preserve"> de los suelos (factor K de la ecuación) se calcul</w:t>
      </w:r>
      <w:r w:rsidR="00916D00" w:rsidRPr="00BD1319">
        <w:rPr>
          <w:rFonts w:cs="Arial"/>
          <w:spacing w:val="-3"/>
        </w:rPr>
        <w:t>a</w:t>
      </w:r>
      <w:r w:rsidRPr="00BD1319">
        <w:rPr>
          <w:rFonts w:cs="Arial"/>
          <w:spacing w:val="-3"/>
        </w:rPr>
        <w:t xml:space="preserve"> por medio de sus diferentes características de textura, materia orgánica, estructura e infiltración.</w:t>
      </w:r>
    </w:p>
    <w:p w14:paraId="705518A5" w14:textId="77777777" w:rsidR="00E335C9" w:rsidRPr="00BD1319" w:rsidRDefault="00E335C9" w:rsidP="009420F5"/>
    <w:p w14:paraId="49C54E9D" w14:textId="57635168" w:rsidR="00970A40" w:rsidRPr="00BD1319" w:rsidRDefault="00970A40" w:rsidP="00216955">
      <w:pPr>
        <w:pStyle w:val="Ttulo3"/>
      </w:pPr>
      <w:bookmarkStart w:id="3050" w:name="_Toc175326779"/>
      <w:r w:rsidRPr="00BD1319">
        <w:t>Información de los SE a presentar</w:t>
      </w:r>
      <w:bookmarkEnd w:id="3050"/>
    </w:p>
    <w:p w14:paraId="25830AF5" w14:textId="77777777" w:rsidR="00970A40" w:rsidRPr="00BD1319" w:rsidRDefault="00970A40" w:rsidP="00970A40">
      <w:pPr>
        <w:tabs>
          <w:tab w:val="left" w:pos="-2268"/>
        </w:tabs>
        <w:suppressAutoHyphens/>
        <w:rPr>
          <w:spacing w:val="-3"/>
        </w:rPr>
      </w:pPr>
    </w:p>
    <w:p w14:paraId="087C2561" w14:textId="0C84737C" w:rsidR="00B5495D" w:rsidRPr="00BD1319" w:rsidRDefault="00B5495D" w:rsidP="00970A40">
      <w:pPr>
        <w:tabs>
          <w:tab w:val="left" w:pos="-2268"/>
        </w:tabs>
        <w:suppressAutoHyphens/>
        <w:rPr>
          <w:spacing w:val="-3"/>
        </w:rPr>
      </w:pPr>
      <w:r w:rsidRPr="00BD1319">
        <w:rPr>
          <w:spacing w:val="-3"/>
        </w:rPr>
        <w:t xml:space="preserve">A partir de la caracterización de los SE es necesario presentar </w:t>
      </w:r>
      <w:r w:rsidR="007D7C43" w:rsidRPr="00BD1319">
        <w:rPr>
          <w:spacing w:val="-3"/>
        </w:rPr>
        <w:t>la siguiente información:</w:t>
      </w:r>
    </w:p>
    <w:p w14:paraId="3B83EFC6" w14:textId="77777777" w:rsidR="007D7C43" w:rsidRPr="00BD1319" w:rsidRDefault="007D7C43" w:rsidP="00970A40">
      <w:pPr>
        <w:tabs>
          <w:tab w:val="left" w:pos="-2268"/>
        </w:tabs>
        <w:suppressAutoHyphens/>
        <w:rPr>
          <w:spacing w:val="-3"/>
        </w:rPr>
      </w:pPr>
    </w:p>
    <w:p w14:paraId="2F4811BA" w14:textId="7698B905" w:rsidR="00970A40" w:rsidRPr="00BD1319" w:rsidRDefault="00970A40" w:rsidP="00970A40">
      <w:pPr>
        <w:numPr>
          <w:ilvl w:val="0"/>
          <w:numId w:val="70"/>
        </w:numPr>
        <w:tabs>
          <w:tab w:val="left" w:pos="-2268"/>
        </w:tabs>
        <w:suppressAutoHyphens/>
        <w:ind w:left="567" w:hanging="567"/>
        <w:rPr>
          <w:spacing w:val="-3"/>
          <w:u w:val="single"/>
        </w:rPr>
      </w:pPr>
      <w:r w:rsidRPr="00BD1319">
        <w:rPr>
          <w:spacing w:val="-3"/>
        </w:rPr>
        <w:t xml:space="preserve">Estado de los SE mediante </w:t>
      </w:r>
      <w:r w:rsidRPr="00BD1319">
        <w:rPr>
          <w:rFonts w:cs="Arial"/>
          <w:spacing w:val="-3"/>
        </w:rPr>
        <w:t xml:space="preserve">la </w:t>
      </w:r>
      <w:r w:rsidRPr="00BD1319">
        <w:rPr>
          <w:spacing w:val="-3"/>
        </w:rPr>
        <w:t xml:space="preserve">definición y </w:t>
      </w:r>
      <w:r w:rsidRPr="00BD1319">
        <w:rPr>
          <w:rFonts w:cs="Arial"/>
          <w:spacing w:val="-3"/>
        </w:rPr>
        <w:t>medición</w:t>
      </w:r>
      <w:r w:rsidRPr="00BD1319">
        <w:rPr>
          <w:spacing w:val="-3"/>
        </w:rPr>
        <w:t xml:space="preserve"> de indicadores (cuantitativos y cualitativos</w:t>
      </w:r>
      <w:r w:rsidRPr="00BD1319">
        <w:rPr>
          <w:rFonts w:cs="Arial"/>
          <w:spacing w:val="-3"/>
        </w:rPr>
        <w:t>).</w:t>
      </w:r>
    </w:p>
    <w:p w14:paraId="7ADCD34D" w14:textId="77777777" w:rsidR="00970A40" w:rsidRPr="00BD1319" w:rsidRDefault="00970A40" w:rsidP="009420F5">
      <w:pPr>
        <w:tabs>
          <w:tab w:val="left" w:pos="-2268"/>
        </w:tabs>
        <w:suppressAutoHyphens/>
        <w:rPr>
          <w:spacing w:val="-3"/>
        </w:rPr>
      </w:pPr>
    </w:p>
    <w:p w14:paraId="187717D5" w14:textId="4B81D9C2" w:rsidR="00970A40" w:rsidRPr="00BD1319" w:rsidRDefault="00970A40" w:rsidP="00970A40">
      <w:pPr>
        <w:numPr>
          <w:ilvl w:val="0"/>
          <w:numId w:val="70"/>
        </w:numPr>
        <w:tabs>
          <w:tab w:val="left" w:pos="-2268"/>
        </w:tabs>
        <w:suppressAutoHyphens/>
        <w:ind w:left="567" w:hanging="567"/>
        <w:rPr>
          <w:spacing w:val="-3"/>
        </w:rPr>
      </w:pPr>
      <w:r w:rsidRPr="00BD1319">
        <w:rPr>
          <w:spacing w:val="-3"/>
        </w:rPr>
        <w:t>Tipo y cantidad de beneficiarios directos de los SE.</w:t>
      </w:r>
    </w:p>
    <w:p w14:paraId="2BD9FF53" w14:textId="77777777" w:rsidR="00970A40" w:rsidRPr="00BD1319" w:rsidRDefault="00970A40" w:rsidP="00970A40">
      <w:pPr>
        <w:tabs>
          <w:tab w:val="left" w:pos="-2268"/>
        </w:tabs>
        <w:suppressAutoHyphens/>
        <w:rPr>
          <w:spacing w:val="-3"/>
        </w:rPr>
      </w:pPr>
    </w:p>
    <w:p w14:paraId="6524EECA" w14:textId="6F19E4F3" w:rsidR="00970A40" w:rsidRPr="00BD1319" w:rsidRDefault="00970A40" w:rsidP="00970A40">
      <w:pPr>
        <w:numPr>
          <w:ilvl w:val="0"/>
          <w:numId w:val="70"/>
        </w:numPr>
        <w:tabs>
          <w:tab w:val="left" w:pos="-2268"/>
        </w:tabs>
        <w:suppressAutoHyphens/>
        <w:ind w:left="567" w:hanging="567"/>
        <w:rPr>
          <w:spacing w:val="-3"/>
        </w:rPr>
      </w:pPr>
      <w:r w:rsidRPr="00BD1319">
        <w:rPr>
          <w:spacing w:val="-3"/>
        </w:rPr>
        <w:t>Dependencia estimada de las comunidades a los SE y clasificación de dicha dependencia en categorías (alta, media o baja), de acuerdo con las siguientes consideraciones:</w:t>
      </w:r>
    </w:p>
    <w:p w14:paraId="54E99AD7" w14:textId="77777777" w:rsidR="00970A40" w:rsidRPr="00BD1319" w:rsidRDefault="00970A40" w:rsidP="00970A40">
      <w:pPr>
        <w:tabs>
          <w:tab w:val="left" w:pos="-2268"/>
        </w:tabs>
        <w:suppressAutoHyphens/>
        <w:rPr>
          <w:spacing w:val="-3"/>
        </w:rPr>
      </w:pPr>
    </w:p>
    <w:p w14:paraId="20E613AF" w14:textId="77777777" w:rsidR="00970A40" w:rsidRPr="00BD1319" w:rsidRDefault="00970A40" w:rsidP="00970A40">
      <w:pPr>
        <w:numPr>
          <w:ilvl w:val="0"/>
          <w:numId w:val="37"/>
        </w:numPr>
        <w:tabs>
          <w:tab w:val="left" w:pos="-2268"/>
        </w:tabs>
        <w:suppressAutoHyphens/>
        <w:ind w:left="1134" w:hanging="567"/>
        <w:rPr>
          <w:spacing w:val="-3"/>
        </w:rPr>
      </w:pPr>
      <w:r w:rsidRPr="00BD1319">
        <w:rPr>
          <w:spacing w:val="-3"/>
        </w:rPr>
        <w:t>Dependencia alta: los medios de subsistencia de la comunidad dependen directamente del servicio ecosistémico.</w:t>
      </w:r>
    </w:p>
    <w:p w14:paraId="358DD16E" w14:textId="77777777" w:rsidR="00970A40" w:rsidRPr="00BD1319" w:rsidRDefault="00970A40" w:rsidP="00970A40">
      <w:pPr>
        <w:tabs>
          <w:tab w:val="left" w:pos="-2268"/>
        </w:tabs>
        <w:suppressAutoHyphens/>
        <w:rPr>
          <w:spacing w:val="-3"/>
        </w:rPr>
      </w:pPr>
    </w:p>
    <w:p w14:paraId="1CA82CEC" w14:textId="77777777" w:rsidR="00970A40" w:rsidRPr="00BD1319" w:rsidRDefault="00970A40" w:rsidP="00970A40">
      <w:pPr>
        <w:numPr>
          <w:ilvl w:val="0"/>
          <w:numId w:val="37"/>
        </w:numPr>
        <w:tabs>
          <w:tab w:val="left" w:pos="-2268"/>
        </w:tabs>
        <w:suppressAutoHyphens/>
        <w:ind w:left="1134" w:hanging="567"/>
        <w:rPr>
          <w:spacing w:val="-3"/>
        </w:rPr>
      </w:pPr>
      <w:r w:rsidRPr="00BD1319">
        <w:rPr>
          <w:spacing w:val="-3"/>
        </w:rPr>
        <w:t>Dependencia media: la comunidad se beneficia del servicio ecosistémico, pero su subsistencia no depende directamente del mismo.</w:t>
      </w:r>
    </w:p>
    <w:p w14:paraId="7AD029E8" w14:textId="77777777" w:rsidR="00970A40" w:rsidRPr="00BD1319" w:rsidRDefault="00970A40" w:rsidP="00970A40">
      <w:pPr>
        <w:tabs>
          <w:tab w:val="left" w:pos="-2268"/>
        </w:tabs>
        <w:suppressAutoHyphens/>
        <w:rPr>
          <w:spacing w:val="-3"/>
        </w:rPr>
      </w:pPr>
    </w:p>
    <w:p w14:paraId="1EE490C2" w14:textId="66A96433" w:rsidR="00970A40" w:rsidRPr="00BD1319" w:rsidRDefault="00970A40" w:rsidP="00970A40">
      <w:pPr>
        <w:numPr>
          <w:ilvl w:val="0"/>
          <w:numId w:val="37"/>
        </w:numPr>
        <w:tabs>
          <w:tab w:val="left" w:pos="-2268"/>
        </w:tabs>
        <w:suppressAutoHyphens/>
        <w:ind w:left="1134" w:hanging="567"/>
        <w:rPr>
          <w:spacing w:val="-3"/>
        </w:rPr>
      </w:pPr>
      <w:r w:rsidRPr="00BD1319">
        <w:rPr>
          <w:spacing w:val="-3"/>
        </w:rPr>
        <w:t xml:space="preserve">Dependencia baja: la comunidad se beneficia del servicio ecosistémico, pero su subsistencia no depende directa ni indirectamente del mismo; existen múltiples </w:t>
      </w:r>
      <w:r w:rsidR="004A21E7" w:rsidRPr="00BD1319">
        <w:rPr>
          <w:spacing w:val="-3"/>
        </w:rPr>
        <w:t>alternativas</w:t>
      </w:r>
      <w:r w:rsidRPr="00BD1319">
        <w:rPr>
          <w:spacing w:val="-3"/>
        </w:rPr>
        <w:t xml:space="preserve"> para el aprovechamiento del servicio ecosistémico.</w:t>
      </w:r>
    </w:p>
    <w:p w14:paraId="41923679" w14:textId="77777777" w:rsidR="00970A40" w:rsidRPr="00BD1319" w:rsidRDefault="00970A40" w:rsidP="00970A40">
      <w:pPr>
        <w:tabs>
          <w:tab w:val="left" w:pos="-2268"/>
        </w:tabs>
        <w:suppressAutoHyphens/>
        <w:rPr>
          <w:spacing w:val="-3"/>
        </w:rPr>
      </w:pPr>
    </w:p>
    <w:p w14:paraId="21408B30" w14:textId="0F615DE0" w:rsidR="00970A40" w:rsidRPr="00BD1319" w:rsidRDefault="00D2164B" w:rsidP="00970A40">
      <w:pPr>
        <w:numPr>
          <w:ilvl w:val="0"/>
          <w:numId w:val="70"/>
        </w:numPr>
        <w:tabs>
          <w:tab w:val="left" w:pos="-2268"/>
        </w:tabs>
        <w:suppressAutoHyphens/>
        <w:ind w:left="567" w:hanging="567"/>
        <w:rPr>
          <w:spacing w:val="-3"/>
        </w:rPr>
      </w:pPr>
      <w:r w:rsidRPr="00BD1319">
        <w:rPr>
          <w:spacing w:val="-3"/>
        </w:rPr>
        <w:t>D</w:t>
      </w:r>
      <w:r w:rsidR="00970A40" w:rsidRPr="00BD1319">
        <w:rPr>
          <w:spacing w:val="-3"/>
        </w:rPr>
        <w:t>inámica de los SE:</w:t>
      </w:r>
    </w:p>
    <w:p w14:paraId="44287200" w14:textId="77777777" w:rsidR="00970A40" w:rsidRPr="00BD1319" w:rsidRDefault="00970A40" w:rsidP="00970A40">
      <w:pPr>
        <w:tabs>
          <w:tab w:val="left" w:pos="-2268"/>
        </w:tabs>
        <w:suppressAutoHyphens/>
        <w:rPr>
          <w:spacing w:val="-3"/>
        </w:rPr>
      </w:pPr>
    </w:p>
    <w:p w14:paraId="5EAA415D" w14:textId="49DDE7DB" w:rsidR="00970A40" w:rsidRPr="00BD1319" w:rsidRDefault="00DF602C" w:rsidP="00970A40">
      <w:pPr>
        <w:numPr>
          <w:ilvl w:val="0"/>
          <w:numId w:val="37"/>
        </w:numPr>
        <w:tabs>
          <w:tab w:val="left" w:pos="-2268"/>
        </w:tabs>
        <w:suppressAutoHyphens/>
        <w:ind w:left="1134" w:hanging="567"/>
        <w:rPr>
          <w:spacing w:val="-3"/>
        </w:rPr>
      </w:pPr>
      <w:r w:rsidRPr="00BD1319">
        <w:rPr>
          <w:spacing w:val="-3"/>
        </w:rPr>
        <w:t>E</w:t>
      </w:r>
      <w:r w:rsidR="00D2164B" w:rsidRPr="00BD1319">
        <w:rPr>
          <w:spacing w:val="-3"/>
        </w:rPr>
        <w:t>stimación c</w:t>
      </w:r>
      <w:r w:rsidR="00970A40" w:rsidRPr="00BD1319">
        <w:rPr>
          <w:spacing w:val="-3"/>
        </w:rPr>
        <w:t>uantitativa o cualitativa</w:t>
      </w:r>
      <w:r w:rsidR="00D2164B" w:rsidRPr="00BD1319">
        <w:rPr>
          <w:spacing w:val="-3"/>
        </w:rPr>
        <w:t xml:space="preserve"> de</w:t>
      </w:r>
      <w:r w:rsidR="00970A40" w:rsidRPr="00BD1319">
        <w:rPr>
          <w:spacing w:val="-3"/>
        </w:rPr>
        <w:t xml:space="preserve"> la tendencia </w:t>
      </w:r>
      <w:r w:rsidR="00970A40" w:rsidRPr="00BD1319">
        <w:rPr>
          <w:rFonts w:cs="Arial"/>
          <w:spacing w:val="-3"/>
        </w:rPr>
        <w:t xml:space="preserve">del estado </w:t>
      </w:r>
      <w:r w:rsidR="00970A40" w:rsidRPr="00BD1319">
        <w:rPr>
          <w:spacing w:val="-3"/>
        </w:rPr>
        <w:t xml:space="preserve">de los SE de acuerdo con la forma en que se prevea </w:t>
      </w:r>
      <w:r w:rsidR="00970A40" w:rsidRPr="00BD1319">
        <w:rPr>
          <w:rFonts w:cs="Arial"/>
          <w:spacing w:val="-3"/>
        </w:rPr>
        <w:t>evolucionen</w:t>
      </w:r>
      <w:r w:rsidR="00970A40" w:rsidRPr="00BD1319">
        <w:rPr>
          <w:spacing w:val="-3"/>
        </w:rPr>
        <w:t xml:space="preserve"> en el escenario sin proyecto, teniendo en cuenta parámetros relacionados con ellos, así como las tendencias de desarrollo identificadas, </w:t>
      </w:r>
      <w:r w:rsidR="005C43EF" w:rsidRPr="00BD1319">
        <w:rPr>
          <w:spacing w:val="-3"/>
        </w:rPr>
        <w:t xml:space="preserve">cambio climático, </w:t>
      </w:r>
      <w:r w:rsidR="00970A40" w:rsidRPr="00BD1319">
        <w:rPr>
          <w:spacing w:val="-3"/>
        </w:rPr>
        <w:t>entre otras variables. Dicha estimación puede categorizarse de la siguiente forma para señalar la evolución prevista en los SE:</w:t>
      </w:r>
    </w:p>
    <w:p w14:paraId="449A850C" w14:textId="77777777" w:rsidR="00970A40" w:rsidRPr="00BD1319" w:rsidRDefault="00970A40" w:rsidP="00970A40">
      <w:pPr>
        <w:tabs>
          <w:tab w:val="left" w:pos="-2268"/>
        </w:tabs>
        <w:suppressAutoHyphens/>
        <w:rPr>
          <w:spacing w:val="-3"/>
        </w:rPr>
      </w:pPr>
    </w:p>
    <w:p w14:paraId="76EEE54A" w14:textId="77777777" w:rsidR="00970A40" w:rsidRPr="00BD1319" w:rsidRDefault="00970A40" w:rsidP="00970A40">
      <w:pPr>
        <w:numPr>
          <w:ilvl w:val="0"/>
          <w:numId w:val="72"/>
        </w:numPr>
        <w:tabs>
          <w:tab w:val="left" w:pos="-3828"/>
        </w:tabs>
        <w:suppressAutoHyphens/>
        <w:ind w:left="1701" w:hanging="567"/>
      </w:pPr>
      <w:r w:rsidRPr="00BD1319">
        <w:t>Tendencia creciente: la proyección del comportamiento del estado del servicio ecosistémico es ascendente.</w:t>
      </w:r>
    </w:p>
    <w:p w14:paraId="771A4AA0" w14:textId="77777777" w:rsidR="00DF602C" w:rsidRPr="00BD1319" w:rsidRDefault="00DF602C" w:rsidP="009420F5">
      <w:pPr>
        <w:tabs>
          <w:tab w:val="left" w:pos="-3828"/>
        </w:tabs>
        <w:suppressAutoHyphens/>
      </w:pPr>
    </w:p>
    <w:p w14:paraId="45DF301C" w14:textId="77777777" w:rsidR="00970A40" w:rsidRPr="00BD1319" w:rsidRDefault="00970A40" w:rsidP="00970A40">
      <w:pPr>
        <w:numPr>
          <w:ilvl w:val="0"/>
          <w:numId w:val="72"/>
        </w:numPr>
        <w:tabs>
          <w:tab w:val="left" w:pos="-3828"/>
        </w:tabs>
        <w:suppressAutoHyphens/>
        <w:ind w:left="1701" w:hanging="567"/>
      </w:pPr>
      <w:r w:rsidRPr="00BD1319">
        <w:t>Tendencia estable: la proyección del comportamiento del estado del servicio ecosistémico se mantiene en la magnitud registrada actualmente.</w:t>
      </w:r>
    </w:p>
    <w:p w14:paraId="46ADCF5D" w14:textId="77777777" w:rsidR="00DF602C" w:rsidRPr="00BD1319" w:rsidRDefault="00DF602C" w:rsidP="009420F5">
      <w:pPr>
        <w:tabs>
          <w:tab w:val="left" w:pos="-3828"/>
        </w:tabs>
        <w:suppressAutoHyphens/>
      </w:pPr>
    </w:p>
    <w:p w14:paraId="1E456F20" w14:textId="77777777" w:rsidR="00970A40" w:rsidRPr="00BD1319" w:rsidRDefault="00970A40" w:rsidP="00970A40">
      <w:pPr>
        <w:numPr>
          <w:ilvl w:val="0"/>
          <w:numId w:val="72"/>
        </w:numPr>
        <w:tabs>
          <w:tab w:val="left" w:pos="-3828"/>
        </w:tabs>
        <w:suppressAutoHyphens/>
        <w:ind w:left="1701" w:hanging="567"/>
      </w:pPr>
      <w:r w:rsidRPr="00BD1319">
        <w:t>Tendencia decreciente: la proyección del comportamiento del estado del servicio ecosistémico es descendente.</w:t>
      </w:r>
    </w:p>
    <w:p w14:paraId="68C4E701" w14:textId="77777777" w:rsidR="00970A40" w:rsidRPr="00BD1319" w:rsidRDefault="00970A40" w:rsidP="00970A40">
      <w:pPr>
        <w:tabs>
          <w:tab w:val="left" w:pos="-3828"/>
        </w:tabs>
        <w:suppressAutoHyphens/>
      </w:pPr>
    </w:p>
    <w:p w14:paraId="64DEFD09" w14:textId="02BD48BF" w:rsidR="00970A40" w:rsidRPr="00BD1319" w:rsidRDefault="00D2164B" w:rsidP="00970A40">
      <w:pPr>
        <w:numPr>
          <w:ilvl w:val="0"/>
          <w:numId w:val="70"/>
        </w:numPr>
        <w:tabs>
          <w:tab w:val="left" w:pos="-2268"/>
        </w:tabs>
        <w:suppressAutoHyphens/>
        <w:ind w:left="567" w:hanging="567"/>
        <w:rPr>
          <w:spacing w:val="-3"/>
        </w:rPr>
      </w:pPr>
      <w:r w:rsidRPr="00BD1319">
        <w:rPr>
          <w:rFonts w:cs="Arial"/>
          <w:spacing w:val="-3"/>
        </w:rPr>
        <w:t>I</w:t>
      </w:r>
      <w:r w:rsidR="00970A40" w:rsidRPr="00BD1319">
        <w:rPr>
          <w:spacing w:val="-3"/>
        </w:rPr>
        <w:t xml:space="preserve">mpacto que el proyecto, obra o actividad tendría sobre </w:t>
      </w:r>
      <w:r w:rsidR="00970A40" w:rsidRPr="00BD1319">
        <w:rPr>
          <w:rFonts w:cs="Arial"/>
          <w:spacing w:val="-3"/>
        </w:rPr>
        <w:t xml:space="preserve">los SE, así como su </w:t>
      </w:r>
      <w:r w:rsidR="005C43EF" w:rsidRPr="00BD1319">
        <w:rPr>
          <w:rFonts w:cs="Arial"/>
          <w:spacing w:val="-3"/>
        </w:rPr>
        <w:t>categoría de calificación</w:t>
      </w:r>
      <w:r w:rsidR="00970A40" w:rsidRPr="00BD1319">
        <w:rPr>
          <w:rFonts w:cs="Arial"/>
          <w:spacing w:val="-3"/>
        </w:rPr>
        <w:t>,</w:t>
      </w:r>
      <w:r w:rsidR="00970A40" w:rsidRPr="00BD1319">
        <w:rPr>
          <w:spacing w:val="-3"/>
        </w:rPr>
        <w:t xml:space="preserve"> de </w:t>
      </w:r>
      <w:r w:rsidR="00970A40" w:rsidRPr="00BD1319">
        <w:rPr>
          <w:rFonts w:cs="Arial"/>
          <w:spacing w:val="-3"/>
        </w:rPr>
        <w:t>acuerdo con los resultados referidos a los SE</w:t>
      </w:r>
      <w:r w:rsidR="00970A40" w:rsidRPr="00BD1319" w:rsidDel="00260147">
        <w:rPr>
          <w:rFonts w:cs="Arial"/>
          <w:spacing w:val="-3"/>
        </w:rPr>
        <w:t xml:space="preserve"> </w:t>
      </w:r>
      <w:r w:rsidR="00970A40" w:rsidRPr="00BD1319">
        <w:rPr>
          <w:rFonts w:cs="Arial"/>
          <w:spacing w:val="-3"/>
        </w:rPr>
        <w:t xml:space="preserve">del numeral de </w:t>
      </w:r>
      <w:r w:rsidR="00970A40" w:rsidRPr="00BD1319">
        <w:rPr>
          <w:spacing w:val="-3"/>
        </w:rPr>
        <w:t>evaluación ambiental.</w:t>
      </w:r>
      <w:r w:rsidRPr="00BD1319">
        <w:rPr>
          <w:spacing w:val="-3"/>
        </w:rPr>
        <w:t xml:space="preserve"> </w:t>
      </w:r>
    </w:p>
    <w:p w14:paraId="599E1CC8" w14:textId="77777777" w:rsidR="00970A40" w:rsidRPr="00BD1319" w:rsidRDefault="00970A40" w:rsidP="00970A40">
      <w:pPr>
        <w:numPr>
          <w:ilvl w:val="12"/>
          <w:numId w:val="0"/>
        </w:numPr>
        <w:tabs>
          <w:tab w:val="left" w:pos="-2268"/>
        </w:tabs>
        <w:suppressAutoHyphens/>
        <w:rPr>
          <w:spacing w:val="-3"/>
        </w:rPr>
      </w:pPr>
    </w:p>
    <w:p w14:paraId="21C30EAF" w14:textId="00255CC2" w:rsidR="00970A40" w:rsidRPr="00BD1319" w:rsidRDefault="00970A40" w:rsidP="00970A40">
      <w:pPr>
        <w:numPr>
          <w:ilvl w:val="12"/>
          <w:numId w:val="0"/>
        </w:numPr>
        <w:tabs>
          <w:tab w:val="left" w:pos="-2268"/>
        </w:tabs>
        <w:suppressAutoHyphens/>
        <w:rPr>
          <w:rFonts w:cs="Arial"/>
          <w:spacing w:val="-3"/>
        </w:rPr>
      </w:pPr>
      <w:r w:rsidRPr="00BD1319">
        <w:rPr>
          <w:spacing w:val="-3"/>
        </w:rPr>
        <w:t xml:space="preserve">La información obtenida y analizada respecto de los SE, debe </w:t>
      </w:r>
      <w:r w:rsidR="007D7C43" w:rsidRPr="00BD1319">
        <w:rPr>
          <w:spacing w:val="-3"/>
        </w:rPr>
        <w:t>sintetizarse</w:t>
      </w:r>
      <w:r w:rsidRPr="00BD1319">
        <w:rPr>
          <w:spacing w:val="-3"/>
        </w:rPr>
        <w:t xml:space="preserve"> </w:t>
      </w:r>
      <w:r w:rsidR="007D7C43" w:rsidRPr="00BD1319">
        <w:rPr>
          <w:spacing w:val="-3"/>
        </w:rPr>
        <w:t xml:space="preserve">en </w:t>
      </w:r>
      <w:r w:rsidRPr="00BD1319">
        <w:rPr>
          <w:spacing w:val="-3"/>
        </w:rPr>
        <w:t xml:space="preserve">la </w:t>
      </w:r>
      <w:r w:rsidR="00FC2D5D" w:rsidRPr="00BD1319">
        <w:rPr>
          <w:spacing w:val="-3"/>
        </w:rPr>
        <w:fldChar w:fldCharType="begin"/>
      </w:r>
      <w:r w:rsidR="00FC2D5D" w:rsidRPr="00BD1319">
        <w:rPr>
          <w:spacing w:val="-3"/>
        </w:rPr>
        <w:instrText xml:space="preserve"> REF _Ref78536291 \h  \* MERGEFORMAT </w:instrText>
      </w:r>
      <w:r w:rsidR="00FC2D5D" w:rsidRPr="00BD1319">
        <w:rPr>
          <w:spacing w:val="-3"/>
        </w:rPr>
      </w:r>
      <w:r w:rsidR="00FC2D5D" w:rsidRPr="00BD1319">
        <w:rPr>
          <w:spacing w:val="-3"/>
        </w:rPr>
        <w:fldChar w:fldCharType="separate"/>
      </w:r>
      <w:r w:rsidR="00296654" w:rsidRPr="00BD1319">
        <w:rPr>
          <w:rFonts w:cs="Arial"/>
          <w:spacing w:val="-3"/>
        </w:rPr>
        <w:t>Tabla 29</w:t>
      </w:r>
      <w:r w:rsidR="00FC2D5D" w:rsidRPr="00BD1319">
        <w:rPr>
          <w:spacing w:val="-3"/>
        </w:rPr>
        <w:fldChar w:fldCharType="end"/>
      </w:r>
      <w:r w:rsidRPr="00BD1319">
        <w:rPr>
          <w:rFonts w:cs="Arial"/>
          <w:spacing w:val="-3"/>
        </w:rPr>
        <w:t>,</w:t>
      </w:r>
      <w:r w:rsidRPr="00BD1319">
        <w:rPr>
          <w:spacing w:val="-3"/>
        </w:rPr>
        <w:t xml:space="preserve"> a fin de facilitar el proceso de evaluación </w:t>
      </w:r>
      <w:r w:rsidRPr="00BD1319">
        <w:rPr>
          <w:rFonts w:cs="Arial"/>
          <w:spacing w:val="-3"/>
        </w:rPr>
        <w:t xml:space="preserve">que efectúan las autoridades ambientales </w:t>
      </w:r>
      <w:r w:rsidRPr="00BD1319">
        <w:rPr>
          <w:spacing w:val="-3"/>
        </w:rPr>
        <w:t xml:space="preserve">y de servir como insumo de otros capítulos del </w:t>
      </w:r>
      <w:r w:rsidRPr="00BD1319">
        <w:rPr>
          <w:rFonts w:cs="Arial"/>
          <w:spacing w:val="-3"/>
        </w:rPr>
        <w:t>estudio ambiental,</w:t>
      </w:r>
      <w:r w:rsidRPr="00BD1319">
        <w:rPr>
          <w:spacing w:val="-3"/>
        </w:rPr>
        <w:t xml:space="preserve"> como la </w:t>
      </w:r>
      <w:r w:rsidRPr="00BD1319">
        <w:rPr>
          <w:rFonts w:cs="Arial"/>
          <w:spacing w:val="-3"/>
        </w:rPr>
        <w:t>evaluación económica ambiental</w:t>
      </w:r>
      <w:r w:rsidRPr="00BD1319">
        <w:rPr>
          <w:spacing w:val="-3"/>
        </w:rPr>
        <w:t xml:space="preserve"> y la formulación de planes y programas</w:t>
      </w:r>
      <w:r w:rsidRPr="00BD1319">
        <w:rPr>
          <w:rFonts w:cs="Arial"/>
          <w:spacing w:val="-3"/>
        </w:rPr>
        <w:t xml:space="preserve">. La información consignada </w:t>
      </w:r>
      <w:r w:rsidR="00F71A83" w:rsidRPr="00BD1319">
        <w:rPr>
          <w:rFonts w:cs="Arial"/>
          <w:spacing w:val="-3"/>
        </w:rPr>
        <w:t xml:space="preserve">la </w:t>
      </w:r>
      <w:r w:rsidR="00F71A83" w:rsidRPr="00BD1319">
        <w:rPr>
          <w:spacing w:val="-3"/>
        </w:rPr>
        <w:fldChar w:fldCharType="begin"/>
      </w:r>
      <w:r w:rsidR="00F71A83" w:rsidRPr="00BD1319">
        <w:rPr>
          <w:spacing w:val="-3"/>
        </w:rPr>
        <w:instrText xml:space="preserve"> REF _Ref78536291 \h  \* MERGEFORMAT </w:instrText>
      </w:r>
      <w:r w:rsidR="00F71A83" w:rsidRPr="00BD1319">
        <w:rPr>
          <w:spacing w:val="-3"/>
        </w:rPr>
      </w:r>
      <w:r w:rsidR="00F71A83" w:rsidRPr="00BD1319">
        <w:rPr>
          <w:spacing w:val="-3"/>
        </w:rPr>
        <w:fldChar w:fldCharType="separate"/>
      </w:r>
      <w:r w:rsidR="00296654" w:rsidRPr="00BD1319">
        <w:rPr>
          <w:rFonts w:cs="Arial"/>
          <w:spacing w:val="-3"/>
        </w:rPr>
        <w:t>Tabla 29</w:t>
      </w:r>
      <w:r w:rsidR="00F71A83" w:rsidRPr="00BD1319">
        <w:rPr>
          <w:spacing w:val="-3"/>
        </w:rPr>
        <w:fldChar w:fldCharType="end"/>
      </w:r>
      <w:r w:rsidR="00F71A83" w:rsidRPr="00BD1319">
        <w:rPr>
          <w:spacing w:val="-3"/>
        </w:rPr>
        <w:t xml:space="preserve"> </w:t>
      </w:r>
      <w:r w:rsidR="00F71A83" w:rsidRPr="00BD1319">
        <w:rPr>
          <w:rFonts w:cs="Arial"/>
          <w:spacing w:val="-3"/>
        </w:rPr>
        <w:t xml:space="preserve">de este documento </w:t>
      </w:r>
      <w:r w:rsidRPr="00BD1319">
        <w:rPr>
          <w:rFonts w:cs="Arial"/>
          <w:spacing w:val="-3"/>
        </w:rPr>
        <w:t xml:space="preserve">es sólo de referencia, y siempre se debe evaluar su pertinencia y aplicabilidad, </w:t>
      </w:r>
      <w:r w:rsidR="00467CE5" w:rsidRPr="00BD1319">
        <w:rPr>
          <w:rFonts w:cs="Arial"/>
          <w:spacing w:val="-3"/>
        </w:rPr>
        <w:t>de acuerdo con</w:t>
      </w:r>
      <w:r w:rsidRPr="00BD1319">
        <w:rPr>
          <w:rFonts w:cs="Arial"/>
          <w:spacing w:val="-3"/>
        </w:rPr>
        <w:t xml:space="preserve"> las particularidades de cada caso.</w:t>
      </w:r>
    </w:p>
    <w:p w14:paraId="531703E0" w14:textId="77777777" w:rsidR="00970A40" w:rsidRPr="00BD1319" w:rsidRDefault="00970A40" w:rsidP="00970A40">
      <w:pPr>
        <w:numPr>
          <w:ilvl w:val="12"/>
          <w:numId w:val="0"/>
        </w:numPr>
        <w:tabs>
          <w:tab w:val="left" w:pos="-2268"/>
        </w:tabs>
        <w:suppressAutoHyphens/>
        <w:rPr>
          <w:rFonts w:cs="Arial"/>
          <w:spacing w:val="-3"/>
        </w:rPr>
      </w:pPr>
    </w:p>
    <w:p w14:paraId="2C223403" w14:textId="5DC53175" w:rsidR="00970A40" w:rsidRPr="00BD1319" w:rsidRDefault="00970A40" w:rsidP="00970A40">
      <w:pPr>
        <w:numPr>
          <w:ilvl w:val="12"/>
          <w:numId w:val="0"/>
        </w:numPr>
        <w:tabs>
          <w:tab w:val="left" w:pos="-2268"/>
        </w:tabs>
        <w:suppressAutoHyphens/>
        <w:rPr>
          <w:rFonts w:cs="Arial"/>
          <w:spacing w:val="-3"/>
        </w:rPr>
        <w:sectPr w:rsidR="00970A40" w:rsidRPr="00BD1319" w:rsidSect="006D5535">
          <w:headerReference w:type="default" r:id="rId61"/>
          <w:endnotePr>
            <w:numFmt w:val="decimal"/>
          </w:endnotePr>
          <w:pgSz w:w="12242" w:h="15842" w:code="1"/>
          <w:pgMar w:top="2268" w:right="1701" w:bottom="1701" w:left="1701" w:header="1134" w:footer="851" w:gutter="0"/>
          <w:cols w:space="720"/>
          <w:docGrid w:linePitch="326"/>
        </w:sectPr>
      </w:pPr>
      <w:r w:rsidRPr="00BD1319">
        <w:rPr>
          <w:rFonts w:cs="Arial"/>
          <w:spacing w:val="-3"/>
        </w:rPr>
        <w:t>Asimismo, se debe</w:t>
      </w:r>
      <w:r w:rsidRPr="00BD1319">
        <w:rPr>
          <w:spacing w:val="-3"/>
        </w:rPr>
        <w:t xml:space="preserve"> representar cartográficamente la información producto de este análisis a fin de señalar la distribución de los SE en el </w:t>
      </w:r>
      <w:r w:rsidRPr="00BD1319">
        <w:rPr>
          <w:rFonts w:cs="Arial"/>
          <w:spacing w:val="-3"/>
        </w:rPr>
        <w:t>área de influencia del proyecto</w:t>
      </w:r>
      <w:r w:rsidR="00FC2D5D" w:rsidRPr="00BD1319">
        <w:rPr>
          <w:rFonts w:cs="Arial"/>
          <w:spacing w:val="-3"/>
        </w:rPr>
        <w:t xml:space="preserve">, </w:t>
      </w:r>
      <w:r w:rsidR="00FC2D5D" w:rsidRPr="00BD1319">
        <w:rPr>
          <w:rFonts w:cs="Arial"/>
          <w:spacing w:val="-3"/>
        </w:rPr>
        <w:lastRenderedPageBreak/>
        <w:t>obra o actividad, identificando las áreas que los proveen, así como las zonas en las que se ubican sus beneficiarios</w:t>
      </w:r>
      <w:r w:rsidRPr="00BD1319">
        <w:rPr>
          <w:spacing w:val="-3"/>
        </w:rPr>
        <w:t>.</w:t>
      </w:r>
    </w:p>
    <w:p w14:paraId="37322637" w14:textId="23793778" w:rsidR="00970A40" w:rsidRPr="00BD1319" w:rsidRDefault="00970A40" w:rsidP="00970A40">
      <w:pPr>
        <w:numPr>
          <w:ilvl w:val="12"/>
          <w:numId w:val="0"/>
        </w:numPr>
        <w:tabs>
          <w:tab w:val="left" w:pos="-2268"/>
        </w:tabs>
        <w:suppressAutoHyphens/>
        <w:jc w:val="center"/>
        <w:rPr>
          <w:b/>
          <w:spacing w:val="-3"/>
        </w:rPr>
      </w:pPr>
      <w:bookmarkStart w:id="3051" w:name="_Ref78536291"/>
      <w:r w:rsidRPr="00BD1319">
        <w:rPr>
          <w:rFonts w:cs="Arial"/>
          <w:b/>
          <w:spacing w:val="-3"/>
        </w:rPr>
        <w:lastRenderedPageBreak/>
        <w:t xml:space="preserve">Tabla </w:t>
      </w:r>
      <w:r w:rsidRPr="00BD1319">
        <w:rPr>
          <w:b/>
          <w:spacing w:val="-3"/>
        </w:rPr>
        <w:fldChar w:fldCharType="begin"/>
      </w:r>
      <w:r w:rsidRPr="00BD1319">
        <w:rPr>
          <w:rFonts w:cs="Arial"/>
          <w:b/>
          <w:spacing w:val="-3"/>
        </w:rPr>
        <w:instrText xml:space="preserve"> SEQ Tabla \* ARABIC </w:instrText>
      </w:r>
      <w:r w:rsidRPr="00BD1319">
        <w:rPr>
          <w:b/>
          <w:spacing w:val="-3"/>
        </w:rPr>
        <w:fldChar w:fldCharType="separate"/>
      </w:r>
      <w:r w:rsidR="00296654" w:rsidRPr="00BD1319">
        <w:rPr>
          <w:rFonts w:cs="Arial"/>
          <w:b/>
          <w:noProof/>
          <w:spacing w:val="-3"/>
        </w:rPr>
        <w:t>29</w:t>
      </w:r>
      <w:r w:rsidRPr="00BD1319">
        <w:rPr>
          <w:b/>
          <w:spacing w:val="-3"/>
        </w:rPr>
        <w:fldChar w:fldCharType="end"/>
      </w:r>
      <w:bookmarkEnd w:id="3051"/>
      <w:r w:rsidRPr="00BD1319">
        <w:rPr>
          <w:b/>
          <w:spacing w:val="-3"/>
        </w:rPr>
        <w:t xml:space="preserve">. </w:t>
      </w:r>
      <w:r w:rsidRPr="00BD1319">
        <w:rPr>
          <w:rFonts w:cs="Arial"/>
          <w:b/>
          <w:spacing w:val="-3"/>
        </w:rPr>
        <w:t>Evaluación</w:t>
      </w:r>
      <w:r w:rsidRPr="00BD1319">
        <w:rPr>
          <w:b/>
          <w:spacing w:val="-3"/>
        </w:rPr>
        <w:t xml:space="preserve"> del estado y tendencia de los </w:t>
      </w:r>
      <w:r w:rsidRPr="00BD1319">
        <w:rPr>
          <w:rFonts w:cs="Arial"/>
          <w:b/>
          <w:spacing w:val="-3"/>
        </w:rPr>
        <w:t>servicios ecosistémicos (</w:t>
      </w:r>
      <w:r w:rsidRPr="00BD1319">
        <w:rPr>
          <w:b/>
          <w:spacing w:val="-3"/>
        </w:rPr>
        <w:t>SE</w:t>
      </w:r>
      <w:r w:rsidRPr="00BD1319">
        <w:rPr>
          <w:rFonts w:cs="Arial"/>
          <w:b/>
          <w:spacing w:val="-3"/>
        </w:rPr>
        <w:t>)</w:t>
      </w:r>
    </w:p>
    <w:tbl>
      <w:tblPr>
        <w:tblW w:w="133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4"/>
        <w:gridCol w:w="1036"/>
        <w:gridCol w:w="2158"/>
        <w:gridCol w:w="1446"/>
        <w:gridCol w:w="1169"/>
        <w:gridCol w:w="1308"/>
        <w:gridCol w:w="1290"/>
        <w:gridCol w:w="1351"/>
        <w:gridCol w:w="1418"/>
        <w:gridCol w:w="1559"/>
      </w:tblGrid>
      <w:tr w:rsidR="00970A40" w:rsidRPr="00BD1319" w14:paraId="4A212A8D" w14:textId="77777777" w:rsidTr="0082127E">
        <w:trPr>
          <w:cantSplit/>
          <w:trHeight w:val="1274"/>
          <w:tblHeader/>
          <w:jc w:val="center"/>
        </w:trPr>
        <w:tc>
          <w:tcPr>
            <w:tcW w:w="654" w:type="dxa"/>
            <w:shd w:val="clear" w:color="auto" w:fill="auto"/>
            <w:vAlign w:val="center"/>
          </w:tcPr>
          <w:p w14:paraId="19F0DEA1" w14:textId="77777777" w:rsidR="00970A40" w:rsidRPr="00BD1319" w:rsidRDefault="00970A40" w:rsidP="00B31D36">
            <w:pPr>
              <w:numPr>
                <w:ilvl w:val="12"/>
                <w:numId w:val="0"/>
              </w:numPr>
              <w:tabs>
                <w:tab w:val="left" w:pos="-2268"/>
              </w:tabs>
              <w:suppressAutoHyphens/>
              <w:jc w:val="center"/>
              <w:rPr>
                <w:rFonts w:cs="Arial"/>
                <w:b/>
                <w:bCs/>
                <w:spacing w:val="-3"/>
                <w:sz w:val="20"/>
                <w:szCs w:val="20"/>
              </w:rPr>
            </w:pPr>
            <w:r w:rsidRPr="00BD1319">
              <w:rPr>
                <w:rFonts w:cs="Arial"/>
                <w:b/>
                <w:bCs/>
                <w:spacing w:val="-3"/>
                <w:sz w:val="20"/>
                <w:szCs w:val="20"/>
              </w:rPr>
              <w:t>Tipo de SE</w:t>
            </w:r>
          </w:p>
        </w:tc>
        <w:tc>
          <w:tcPr>
            <w:tcW w:w="1036" w:type="dxa"/>
            <w:shd w:val="clear" w:color="auto" w:fill="auto"/>
            <w:tcMar>
              <w:left w:w="28" w:type="dxa"/>
              <w:right w:w="28" w:type="dxa"/>
            </w:tcMar>
            <w:vAlign w:val="center"/>
          </w:tcPr>
          <w:p w14:paraId="48998760" w14:textId="77777777" w:rsidR="00970A40" w:rsidRPr="00BD1319" w:rsidRDefault="00970A40">
            <w:pPr>
              <w:numPr>
                <w:ilvl w:val="12"/>
                <w:numId w:val="0"/>
              </w:numPr>
              <w:tabs>
                <w:tab w:val="left" w:pos="-2268"/>
              </w:tabs>
              <w:suppressAutoHyphens/>
              <w:jc w:val="center"/>
              <w:rPr>
                <w:rFonts w:cs="Arial"/>
                <w:b/>
                <w:spacing w:val="-3"/>
                <w:sz w:val="18"/>
                <w:szCs w:val="18"/>
              </w:rPr>
            </w:pPr>
            <w:r w:rsidRPr="00BD1319">
              <w:rPr>
                <w:rFonts w:cs="Arial"/>
                <w:b/>
                <w:spacing w:val="-3"/>
                <w:sz w:val="18"/>
                <w:szCs w:val="18"/>
              </w:rPr>
              <w:t xml:space="preserve">Categoría </w:t>
            </w:r>
            <w:r w:rsidRPr="00BD1319">
              <w:rPr>
                <w:rFonts w:cs="Arial"/>
                <w:b/>
                <w:bCs/>
                <w:spacing w:val="-3"/>
                <w:sz w:val="18"/>
                <w:szCs w:val="18"/>
              </w:rPr>
              <w:t>del SE</w:t>
            </w:r>
            <w:r w:rsidRPr="00BD1319">
              <w:rPr>
                <w:rFonts w:cs="Arial"/>
                <w:b/>
                <w:bCs/>
                <w:spacing w:val="-3"/>
                <w:sz w:val="18"/>
                <w:szCs w:val="18"/>
                <w:vertAlign w:val="superscript"/>
              </w:rPr>
              <w:t>1</w:t>
            </w:r>
          </w:p>
        </w:tc>
        <w:tc>
          <w:tcPr>
            <w:tcW w:w="2158" w:type="dxa"/>
            <w:shd w:val="clear" w:color="auto" w:fill="auto"/>
            <w:vAlign w:val="center"/>
          </w:tcPr>
          <w:p w14:paraId="44EB5341" w14:textId="77777777" w:rsidR="00970A40" w:rsidRPr="00BD1319" w:rsidRDefault="00970A40" w:rsidP="00B31D36">
            <w:pPr>
              <w:numPr>
                <w:ilvl w:val="12"/>
                <w:numId w:val="0"/>
              </w:numPr>
              <w:tabs>
                <w:tab w:val="left" w:pos="-2268"/>
              </w:tabs>
              <w:suppressAutoHyphens/>
              <w:jc w:val="center"/>
              <w:rPr>
                <w:rFonts w:cs="Arial"/>
                <w:b/>
                <w:spacing w:val="-3"/>
                <w:sz w:val="20"/>
                <w:szCs w:val="20"/>
              </w:rPr>
            </w:pPr>
            <w:r w:rsidRPr="00BD1319">
              <w:rPr>
                <w:rFonts w:cs="Arial"/>
                <w:b/>
                <w:bCs/>
                <w:spacing w:val="-3"/>
                <w:sz w:val="20"/>
                <w:szCs w:val="20"/>
              </w:rPr>
              <w:t>Descripción de la categoría del SE</w:t>
            </w:r>
          </w:p>
        </w:tc>
        <w:tc>
          <w:tcPr>
            <w:tcW w:w="1446" w:type="dxa"/>
            <w:shd w:val="clear" w:color="auto" w:fill="auto"/>
            <w:tcMar>
              <w:left w:w="28" w:type="dxa"/>
              <w:right w:w="28" w:type="dxa"/>
            </w:tcMar>
            <w:vAlign w:val="center"/>
          </w:tcPr>
          <w:p w14:paraId="12E5B53D" w14:textId="77777777" w:rsidR="00970A40" w:rsidRPr="00BD1319" w:rsidRDefault="00970A40" w:rsidP="00B31D36">
            <w:pPr>
              <w:numPr>
                <w:ilvl w:val="12"/>
                <w:numId w:val="0"/>
              </w:numPr>
              <w:tabs>
                <w:tab w:val="left" w:pos="-2268"/>
              </w:tabs>
              <w:suppressAutoHyphens/>
              <w:jc w:val="center"/>
              <w:rPr>
                <w:rFonts w:cs="Arial"/>
                <w:b/>
                <w:spacing w:val="-3"/>
                <w:sz w:val="20"/>
                <w:szCs w:val="20"/>
              </w:rPr>
            </w:pPr>
            <w:r w:rsidRPr="00BD1319">
              <w:rPr>
                <w:rFonts w:cs="Arial"/>
                <w:b/>
                <w:spacing w:val="-3"/>
                <w:sz w:val="20"/>
                <w:szCs w:val="20"/>
              </w:rPr>
              <w:t>Unidad de medida</w:t>
            </w:r>
            <w:r w:rsidRPr="00BD1319">
              <w:rPr>
                <w:rFonts w:cs="Arial"/>
                <w:b/>
                <w:spacing w:val="-3"/>
                <w:sz w:val="20"/>
                <w:szCs w:val="20"/>
                <w:vertAlign w:val="superscript"/>
              </w:rPr>
              <w:t>2</w:t>
            </w:r>
          </w:p>
        </w:tc>
        <w:tc>
          <w:tcPr>
            <w:tcW w:w="1169" w:type="dxa"/>
            <w:vAlign w:val="center"/>
          </w:tcPr>
          <w:p w14:paraId="1166A9B9" w14:textId="77777777" w:rsidR="00970A40" w:rsidRPr="00BD1319" w:rsidRDefault="00970A40" w:rsidP="00B31D36">
            <w:pPr>
              <w:numPr>
                <w:ilvl w:val="12"/>
                <w:numId w:val="0"/>
              </w:numPr>
              <w:tabs>
                <w:tab w:val="left" w:pos="-2268"/>
              </w:tabs>
              <w:suppressAutoHyphens/>
              <w:jc w:val="center"/>
              <w:rPr>
                <w:rFonts w:cs="Arial"/>
                <w:b/>
                <w:spacing w:val="-3"/>
                <w:sz w:val="20"/>
                <w:szCs w:val="20"/>
              </w:rPr>
            </w:pPr>
            <w:r w:rsidRPr="00BD1319">
              <w:rPr>
                <w:rFonts w:cs="Arial"/>
                <w:b/>
                <w:spacing w:val="-3"/>
                <w:sz w:val="20"/>
                <w:szCs w:val="20"/>
              </w:rPr>
              <w:t>Estado actual del SE</w:t>
            </w:r>
          </w:p>
          <w:p w14:paraId="2A89D967" w14:textId="77777777" w:rsidR="00970A40" w:rsidRPr="00BD1319" w:rsidRDefault="00970A40" w:rsidP="00B31D36">
            <w:pPr>
              <w:numPr>
                <w:ilvl w:val="12"/>
                <w:numId w:val="0"/>
              </w:numPr>
              <w:tabs>
                <w:tab w:val="left" w:pos="-2268"/>
              </w:tabs>
              <w:suppressAutoHyphens/>
              <w:jc w:val="center"/>
              <w:rPr>
                <w:rFonts w:cs="Arial"/>
                <w:b/>
                <w:spacing w:val="-3"/>
                <w:sz w:val="20"/>
                <w:szCs w:val="20"/>
              </w:rPr>
            </w:pPr>
            <w:r w:rsidRPr="00BD1319">
              <w:rPr>
                <w:rFonts w:cs="Arial"/>
                <w:b/>
                <w:spacing w:val="-3"/>
                <w:sz w:val="20"/>
                <w:szCs w:val="20"/>
              </w:rPr>
              <w:t>(valor del indicador)</w:t>
            </w:r>
          </w:p>
        </w:tc>
        <w:tc>
          <w:tcPr>
            <w:tcW w:w="1308" w:type="dxa"/>
            <w:shd w:val="clear" w:color="auto" w:fill="auto"/>
            <w:tcMar>
              <w:left w:w="28" w:type="dxa"/>
              <w:right w:w="28" w:type="dxa"/>
            </w:tcMar>
            <w:vAlign w:val="center"/>
          </w:tcPr>
          <w:p w14:paraId="05660AEE" w14:textId="77777777" w:rsidR="00970A40" w:rsidRPr="00BD1319" w:rsidRDefault="00970A40" w:rsidP="00B31D36">
            <w:pPr>
              <w:numPr>
                <w:ilvl w:val="12"/>
                <w:numId w:val="0"/>
              </w:numPr>
              <w:tabs>
                <w:tab w:val="left" w:pos="-2268"/>
              </w:tabs>
              <w:suppressAutoHyphens/>
              <w:jc w:val="center"/>
              <w:rPr>
                <w:rFonts w:cs="Arial"/>
                <w:b/>
                <w:spacing w:val="-3"/>
                <w:sz w:val="20"/>
                <w:szCs w:val="20"/>
              </w:rPr>
            </w:pPr>
            <w:r w:rsidRPr="00BD1319">
              <w:rPr>
                <w:rFonts w:cs="Arial"/>
                <w:b/>
                <w:spacing w:val="-3"/>
                <w:sz w:val="20"/>
                <w:szCs w:val="20"/>
              </w:rPr>
              <w:t>Tendencia futura del SE</w:t>
            </w:r>
            <w:r w:rsidRPr="00BD1319">
              <w:rPr>
                <w:rFonts w:cs="Arial"/>
                <w:b/>
                <w:bCs/>
                <w:spacing w:val="-3"/>
                <w:sz w:val="20"/>
                <w:szCs w:val="20"/>
              </w:rPr>
              <w:t xml:space="preserve"> en el escenario sin proyecto</w:t>
            </w:r>
            <w:r w:rsidRPr="00BD1319">
              <w:rPr>
                <w:rFonts w:cs="Arial"/>
                <w:b/>
                <w:spacing w:val="-3"/>
                <w:sz w:val="20"/>
                <w:szCs w:val="20"/>
                <w:vertAlign w:val="superscript"/>
              </w:rPr>
              <w:t>3</w:t>
            </w:r>
          </w:p>
        </w:tc>
        <w:tc>
          <w:tcPr>
            <w:tcW w:w="1290" w:type="dxa"/>
            <w:shd w:val="clear" w:color="auto" w:fill="auto"/>
            <w:vAlign w:val="center"/>
          </w:tcPr>
          <w:p w14:paraId="36BDFD04" w14:textId="77777777" w:rsidR="00970A40" w:rsidRPr="00BD1319" w:rsidRDefault="00970A40" w:rsidP="00B31D36">
            <w:pPr>
              <w:numPr>
                <w:ilvl w:val="12"/>
                <w:numId w:val="0"/>
              </w:numPr>
              <w:tabs>
                <w:tab w:val="left" w:pos="-2268"/>
              </w:tabs>
              <w:suppressAutoHyphens/>
              <w:jc w:val="center"/>
              <w:rPr>
                <w:rFonts w:cs="Arial"/>
                <w:b/>
                <w:bCs/>
                <w:spacing w:val="-3"/>
                <w:sz w:val="20"/>
                <w:szCs w:val="20"/>
              </w:rPr>
            </w:pPr>
            <w:r w:rsidRPr="00BD1319">
              <w:rPr>
                <w:rFonts w:cs="Arial"/>
                <w:b/>
                <w:bCs/>
                <w:spacing w:val="-3"/>
                <w:sz w:val="20"/>
                <w:szCs w:val="20"/>
              </w:rPr>
              <w:t>Impacto del proyecto asociado al SE</w:t>
            </w:r>
            <w:r w:rsidRPr="00BD1319">
              <w:rPr>
                <w:rFonts w:cs="Arial"/>
                <w:b/>
                <w:bCs/>
                <w:spacing w:val="-3"/>
                <w:sz w:val="20"/>
                <w:szCs w:val="20"/>
                <w:vertAlign w:val="superscript"/>
              </w:rPr>
              <w:t>4</w:t>
            </w:r>
          </w:p>
        </w:tc>
        <w:tc>
          <w:tcPr>
            <w:tcW w:w="1351" w:type="dxa"/>
            <w:shd w:val="clear" w:color="auto" w:fill="auto"/>
            <w:tcMar>
              <w:left w:w="28" w:type="dxa"/>
              <w:right w:w="28" w:type="dxa"/>
            </w:tcMar>
            <w:vAlign w:val="center"/>
          </w:tcPr>
          <w:p w14:paraId="31A050E7" w14:textId="77777777" w:rsidR="00970A40" w:rsidRPr="00BD1319" w:rsidRDefault="00970A40" w:rsidP="00B31D36">
            <w:pPr>
              <w:numPr>
                <w:ilvl w:val="12"/>
                <w:numId w:val="0"/>
              </w:numPr>
              <w:tabs>
                <w:tab w:val="left" w:pos="-2268"/>
              </w:tabs>
              <w:suppressAutoHyphens/>
              <w:jc w:val="center"/>
              <w:rPr>
                <w:rFonts w:cs="Arial"/>
                <w:b/>
                <w:bCs/>
                <w:spacing w:val="-3"/>
                <w:sz w:val="20"/>
                <w:szCs w:val="20"/>
              </w:rPr>
            </w:pPr>
            <w:r w:rsidRPr="00BD1319">
              <w:rPr>
                <w:rFonts w:cs="Arial"/>
                <w:b/>
                <w:bCs/>
                <w:spacing w:val="-3"/>
                <w:sz w:val="20"/>
                <w:szCs w:val="20"/>
              </w:rPr>
              <w:t>Categoría de calificación del impacto al SE</w:t>
            </w:r>
            <w:r w:rsidRPr="00BD1319">
              <w:rPr>
                <w:rFonts w:cs="Arial"/>
                <w:b/>
                <w:bCs/>
                <w:spacing w:val="-3"/>
                <w:sz w:val="20"/>
                <w:szCs w:val="20"/>
                <w:vertAlign w:val="superscript"/>
              </w:rPr>
              <w:t>4</w:t>
            </w:r>
          </w:p>
        </w:tc>
        <w:tc>
          <w:tcPr>
            <w:tcW w:w="1418" w:type="dxa"/>
            <w:shd w:val="clear" w:color="auto" w:fill="auto"/>
            <w:vAlign w:val="center"/>
          </w:tcPr>
          <w:p w14:paraId="6E4C8E93" w14:textId="77777777" w:rsidR="00970A40" w:rsidRPr="00BD1319" w:rsidRDefault="00970A40" w:rsidP="00B31D36">
            <w:pPr>
              <w:numPr>
                <w:ilvl w:val="12"/>
                <w:numId w:val="0"/>
              </w:numPr>
              <w:tabs>
                <w:tab w:val="left" w:pos="-2268"/>
              </w:tabs>
              <w:suppressAutoHyphens/>
              <w:jc w:val="center"/>
              <w:rPr>
                <w:rFonts w:cs="Arial"/>
                <w:b/>
                <w:spacing w:val="-3"/>
                <w:sz w:val="20"/>
                <w:szCs w:val="20"/>
              </w:rPr>
            </w:pPr>
            <w:r w:rsidRPr="00BD1319">
              <w:rPr>
                <w:rFonts w:cs="Arial"/>
                <w:b/>
                <w:bCs/>
                <w:spacing w:val="-3"/>
                <w:sz w:val="20"/>
                <w:szCs w:val="20"/>
              </w:rPr>
              <w:t>Cantidad</w:t>
            </w:r>
            <w:r w:rsidRPr="00BD1319">
              <w:rPr>
                <w:rFonts w:cs="Arial"/>
                <w:b/>
                <w:spacing w:val="-3"/>
                <w:sz w:val="20"/>
                <w:szCs w:val="20"/>
              </w:rPr>
              <w:t xml:space="preserve"> de usuarios del SE</w:t>
            </w:r>
          </w:p>
          <w:p w14:paraId="0A068362" w14:textId="77777777" w:rsidR="00970A40" w:rsidRPr="00BD1319" w:rsidRDefault="00970A40" w:rsidP="00B31D36">
            <w:pPr>
              <w:numPr>
                <w:ilvl w:val="12"/>
                <w:numId w:val="0"/>
              </w:numPr>
              <w:tabs>
                <w:tab w:val="left" w:pos="-2268"/>
              </w:tabs>
              <w:suppressAutoHyphens/>
              <w:jc w:val="center"/>
              <w:rPr>
                <w:rFonts w:cs="Arial"/>
                <w:b/>
                <w:bCs/>
                <w:spacing w:val="-3"/>
                <w:sz w:val="20"/>
                <w:szCs w:val="20"/>
              </w:rPr>
            </w:pPr>
            <w:r w:rsidRPr="00BD1319">
              <w:rPr>
                <w:rFonts w:cs="Arial"/>
                <w:b/>
                <w:spacing w:val="-3"/>
                <w:sz w:val="20"/>
                <w:szCs w:val="20"/>
              </w:rPr>
              <w:t>(número de personas)</w:t>
            </w:r>
            <w:r w:rsidRPr="00BD1319">
              <w:rPr>
                <w:rFonts w:cs="Arial"/>
                <w:b/>
                <w:bCs/>
                <w:spacing w:val="-3"/>
                <w:sz w:val="20"/>
                <w:szCs w:val="20"/>
                <w:vertAlign w:val="superscript"/>
              </w:rPr>
              <w:t>5</w:t>
            </w:r>
          </w:p>
        </w:tc>
        <w:tc>
          <w:tcPr>
            <w:tcW w:w="1559" w:type="dxa"/>
            <w:shd w:val="clear" w:color="auto" w:fill="auto"/>
            <w:vAlign w:val="center"/>
          </w:tcPr>
          <w:p w14:paraId="36EB0252" w14:textId="77777777" w:rsidR="00970A40" w:rsidRPr="00BD1319" w:rsidRDefault="00970A40" w:rsidP="00B31D36">
            <w:pPr>
              <w:numPr>
                <w:ilvl w:val="12"/>
                <w:numId w:val="0"/>
              </w:numPr>
              <w:tabs>
                <w:tab w:val="left" w:pos="-2268"/>
              </w:tabs>
              <w:suppressAutoHyphens/>
              <w:jc w:val="center"/>
              <w:rPr>
                <w:rFonts w:cs="Arial"/>
                <w:b/>
                <w:spacing w:val="-3"/>
                <w:sz w:val="20"/>
                <w:szCs w:val="20"/>
              </w:rPr>
            </w:pPr>
            <w:r w:rsidRPr="00BD1319">
              <w:rPr>
                <w:rFonts w:cs="Arial"/>
                <w:b/>
                <w:spacing w:val="-3"/>
                <w:sz w:val="20"/>
                <w:szCs w:val="20"/>
              </w:rPr>
              <w:t>Dependencia de las comunidades al SE</w:t>
            </w:r>
          </w:p>
          <w:p w14:paraId="70C4D4B5" w14:textId="77777777" w:rsidR="00970A40" w:rsidRPr="00BD1319" w:rsidRDefault="00970A40" w:rsidP="00B31D36">
            <w:pPr>
              <w:numPr>
                <w:ilvl w:val="12"/>
                <w:numId w:val="0"/>
              </w:numPr>
              <w:tabs>
                <w:tab w:val="left" w:pos="-2268"/>
              </w:tabs>
              <w:suppressAutoHyphens/>
              <w:jc w:val="center"/>
              <w:rPr>
                <w:rFonts w:cs="Arial"/>
                <w:b/>
                <w:bCs/>
                <w:spacing w:val="-3"/>
                <w:sz w:val="20"/>
                <w:szCs w:val="20"/>
              </w:rPr>
            </w:pPr>
            <w:r w:rsidRPr="00BD1319">
              <w:rPr>
                <w:rFonts w:cs="Arial"/>
                <w:b/>
                <w:spacing w:val="-3"/>
                <w:sz w:val="20"/>
                <w:szCs w:val="20"/>
              </w:rPr>
              <w:t>(Alta, Media, Baja)</w:t>
            </w:r>
          </w:p>
        </w:tc>
      </w:tr>
      <w:tr w:rsidR="00970A40" w:rsidRPr="00BD1319" w14:paraId="7985C15A" w14:textId="77777777" w:rsidTr="0082127E">
        <w:trPr>
          <w:cantSplit/>
          <w:trHeight w:val="1134"/>
          <w:jc w:val="center"/>
        </w:trPr>
        <w:tc>
          <w:tcPr>
            <w:tcW w:w="654" w:type="dxa"/>
            <w:vMerge w:val="restart"/>
            <w:textDirection w:val="btLr"/>
            <w:vAlign w:val="center"/>
          </w:tcPr>
          <w:p w14:paraId="756A345E" w14:textId="77777777" w:rsidR="00970A40" w:rsidRPr="00BD1319" w:rsidRDefault="00970A40" w:rsidP="00B31D36">
            <w:pPr>
              <w:numPr>
                <w:ilvl w:val="12"/>
                <w:numId w:val="0"/>
              </w:numPr>
              <w:tabs>
                <w:tab w:val="left" w:pos="-2268"/>
              </w:tabs>
              <w:suppressAutoHyphens/>
              <w:ind w:left="113" w:right="113"/>
              <w:jc w:val="center"/>
              <w:rPr>
                <w:rFonts w:cs="Arial"/>
                <w:color w:val="000000"/>
                <w:sz w:val="20"/>
              </w:rPr>
            </w:pPr>
            <w:r w:rsidRPr="00BD1319">
              <w:rPr>
                <w:rFonts w:cs="Arial"/>
                <w:b/>
                <w:bCs/>
                <w:color w:val="000000"/>
                <w:sz w:val="20"/>
                <w:lang w:eastAsia="es-CO"/>
              </w:rPr>
              <w:t>Aprovisionamiento</w:t>
            </w:r>
          </w:p>
        </w:tc>
        <w:tc>
          <w:tcPr>
            <w:tcW w:w="1036" w:type="dxa"/>
            <w:tcMar>
              <w:left w:w="28" w:type="dxa"/>
              <w:right w:w="28" w:type="dxa"/>
            </w:tcMar>
            <w:textDirection w:val="btLr"/>
            <w:vAlign w:val="center"/>
          </w:tcPr>
          <w:p w14:paraId="0667EF7D" w14:textId="77777777" w:rsidR="00970A40" w:rsidRPr="00BD1319" w:rsidRDefault="00970A40">
            <w:pPr>
              <w:numPr>
                <w:ilvl w:val="12"/>
                <w:numId w:val="0"/>
              </w:numPr>
              <w:tabs>
                <w:tab w:val="left" w:pos="-2268"/>
              </w:tabs>
              <w:suppressAutoHyphens/>
              <w:jc w:val="center"/>
              <w:rPr>
                <w:rFonts w:cs="Arial"/>
                <w:spacing w:val="-3"/>
                <w:sz w:val="18"/>
                <w:szCs w:val="18"/>
              </w:rPr>
            </w:pPr>
            <w:r w:rsidRPr="00BD1319">
              <w:rPr>
                <w:rFonts w:cs="Arial"/>
                <w:color w:val="000000"/>
                <w:sz w:val="18"/>
                <w:szCs w:val="18"/>
                <w:lang w:eastAsia="es-CO"/>
              </w:rPr>
              <w:t>Provisión de agua</w:t>
            </w:r>
          </w:p>
        </w:tc>
        <w:tc>
          <w:tcPr>
            <w:tcW w:w="2158" w:type="dxa"/>
            <w:vAlign w:val="center"/>
          </w:tcPr>
          <w:p w14:paraId="5C5B531E" w14:textId="77777777" w:rsidR="00970A40" w:rsidRPr="00BD1319" w:rsidRDefault="00970A40" w:rsidP="00B31D36">
            <w:pPr>
              <w:numPr>
                <w:ilvl w:val="12"/>
                <w:numId w:val="0"/>
              </w:numPr>
              <w:tabs>
                <w:tab w:val="left" w:pos="-2268"/>
              </w:tabs>
              <w:suppressAutoHyphens/>
              <w:jc w:val="center"/>
              <w:rPr>
                <w:rFonts w:cs="Arial"/>
                <w:b/>
                <w:spacing w:val="-3"/>
                <w:sz w:val="16"/>
                <w:szCs w:val="16"/>
              </w:rPr>
            </w:pPr>
            <w:r w:rsidRPr="00BD1319">
              <w:rPr>
                <w:rFonts w:cs="Arial"/>
                <w:color w:val="000000"/>
                <w:sz w:val="16"/>
                <w:szCs w:val="16"/>
                <w:lang w:eastAsia="es-CO"/>
              </w:rPr>
              <w:t>Contribución del ecosistema al aporte del recurso hídrico superficial y/o subterráneo necesario para el consumo humano y el desarrollo de sus actividades socioeconómicas, conforme a sus requerimientos particulares de calidad.</w:t>
            </w:r>
          </w:p>
        </w:tc>
        <w:tc>
          <w:tcPr>
            <w:tcW w:w="1446" w:type="dxa"/>
            <w:tcMar>
              <w:left w:w="28" w:type="dxa"/>
              <w:right w:w="28" w:type="dxa"/>
            </w:tcMar>
            <w:vAlign w:val="center"/>
          </w:tcPr>
          <w:p w14:paraId="36909565" w14:textId="77777777" w:rsidR="00970A40" w:rsidRPr="00BD1319" w:rsidRDefault="00970A40" w:rsidP="00B31D36">
            <w:pPr>
              <w:jc w:val="center"/>
              <w:rPr>
                <w:rFonts w:cs="Arial"/>
                <w:color w:val="000000"/>
                <w:sz w:val="16"/>
                <w:szCs w:val="16"/>
                <w:lang w:eastAsia="es-CO"/>
              </w:rPr>
            </w:pPr>
            <w:r w:rsidRPr="00BD1319">
              <w:rPr>
                <w:rFonts w:cs="Arial"/>
                <w:color w:val="000000"/>
                <w:sz w:val="16"/>
                <w:szCs w:val="16"/>
                <w:lang w:eastAsia="es-CO"/>
              </w:rPr>
              <w:t>Caudal de agua por unidad de área</w:t>
            </w:r>
          </w:p>
          <w:p w14:paraId="63C001F4" w14:textId="77777777" w:rsidR="00970A40" w:rsidRPr="00BD1319" w:rsidRDefault="00970A40" w:rsidP="00B31D36">
            <w:pPr>
              <w:jc w:val="center"/>
              <w:rPr>
                <w:rFonts w:cs="Arial"/>
                <w:color w:val="000000"/>
                <w:sz w:val="16"/>
                <w:szCs w:val="16"/>
                <w:lang w:eastAsia="es-CO"/>
              </w:rPr>
            </w:pPr>
          </w:p>
          <w:p w14:paraId="5817EBAB" w14:textId="77777777" w:rsidR="00970A40" w:rsidRPr="00BD1319" w:rsidRDefault="00970A40" w:rsidP="00B31D36">
            <w:pPr>
              <w:numPr>
                <w:ilvl w:val="12"/>
                <w:numId w:val="0"/>
              </w:numPr>
              <w:tabs>
                <w:tab w:val="left" w:pos="-2268"/>
              </w:tabs>
              <w:suppressAutoHyphens/>
              <w:jc w:val="center"/>
              <w:rPr>
                <w:rFonts w:cs="Arial"/>
                <w:spacing w:val="-3"/>
                <w:sz w:val="16"/>
                <w:szCs w:val="16"/>
              </w:rPr>
            </w:pPr>
            <w:r w:rsidRPr="00BD1319">
              <w:rPr>
                <w:rFonts w:cs="Arial"/>
                <w:color w:val="000000"/>
                <w:sz w:val="16"/>
                <w:szCs w:val="16"/>
                <w:lang w:eastAsia="es-CO"/>
              </w:rPr>
              <w:t>(m</w:t>
            </w:r>
            <w:r w:rsidRPr="00BD1319">
              <w:rPr>
                <w:rFonts w:cs="Arial"/>
                <w:color w:val="000000"/>
                <w:sz w:val="16"/>
                <w:szCs w:val="16"/>
                <w:vertAlign w:val="superscript"/>
                <w:lang w:eastAsia="es-CO"/>
              </w:rPr>
              <w:t>3</w:t>
            </w:r>
            <w:r w:rsidRPr="00BD1319">
              <w:rPr>
                <w:rFonts w:cs="Arial"/>
                <w:color w:val="000000"/>
                <w:sz w:val="16"/>
                <w:szCs w:val="16"/>
                <w:lang w:eastAsia="es-CO"/>
              </w:rPr>
              <w:t>/s/ha)</w:t>
            </w:r>
          </w:p>
        </w:tc>
        <w:tc>
          <w:tcPr>
            <w:tcW w:w="1169" w:type="dxa"/>
          </w:tcPr>
          <w:p w14:paraId="28B8ECE5" w14:textId="77777777" w:rsidR="00970A40" w:rsidRPr="00BD1319" w:rsidRDefault="00970A40" w:rsidP="00B31D36">
            <w:pPr>
              <w:numPr>
                <w:ilvl w:val="12"/>
                <w:numId w:val="0"/>
              </w:numPr>
              <w:tabs>
                <w:tab w:val="left" w:pos="-2268"/>
              </w:tabs>
              <w:suppressAutoHyphens/>
              <w:rPr>
                <w:rFonts w:cs="Arial"/>
                <w:spacing w:val="-3"/>
                <w:sz w:val="22"/>
              </w:rPr>
            </w:pPr>
          </w:p>
        </w:tc>
        <w:tc>
          <w:tcPr>
            <w:tcW w:w="1308" w:type="dxa"/>
            <w:tcMar>
              <w:left w:w="28" w:type="dxa"/>
              <w:right w:w="28" w:type="dxa"/>
            </w:tcMar>
          </w:tcPr>
          <w:p w14:paraId="5964C4A3" w14:textId="77777777" w:rsidR="00970A40" w:rsidRPr="00BD1319" w:rsidRDefault="00970A40" w:rsidP="00B31D36">
            <w:pPr>
              <w:numPr>
                <w:ilvl w:val="12"/>
                <w:numId w:val="0"/>
              </w:numPr>
              <w:tabs>
                <w:tab w:val="left" w:pos="-2268"/>
              </w:tabs>
              <w:suppressAutoHyphens/>
              <w:rPr>
                <w:rFonts w:cs="Arial"/>
                <w:spacing w:val="-3"/>
                <w:sz w:val="22"/>
              </w:rPr>
            </w:pPr>
          </w:p>
        </w:tc>
        <w:tc>
          <w:tcPr>
            <w:tcW w:w="1290" w:type="dxa"/>
          </w:tcPr>
          <w:p w14:paraId="09D88AF1" w14:textId="77777777" w:rsidR="00970A40" w:rsidRPr="00BD1319" w:rsidRDefault="00970A40" w:rsidP="00B31D36">
            <w:pPr>
              <w:numPr>
                <w:ilvl w:val="12"/>
                <w:numId w:val="0"/>
              </w:numPr>
              <w:tabs>
                <w:tab w:val="left" w:pos="-2268"/>
              </w:tabs>
              <w:suppressAutoHyphens/>
              <w:rPr>
                <w:rFonts w:cs="Arial"/>
                <w:spacing w:val="-3"/>
                <w:sz w:val="22"/>
              </w:rPr>
            </w:pPr>
          </w:p>
        </w:tc>
        <w:tc>
          <w:tcPr>
            <w:tcW w:w="1351" w:type="dxa"/>
            <w:tcMar>
              <w:left w:w="28" w:type="dxa"/>
              <w:right w:w="28" w:type="dxa"/>
            </w:tcMar>
          </w:tcPr>
          <w:p w14:paraId="5356FE57" w14:textId="77777777" w:rsidR="00970A40" w:rsidRPr="00BD1319" w:rsidRDefault="00970A40" w:rsidP="00B31D36">
            <w:pPr>
              <w:numPr>
                <w:ilvl w:val="12"/>
                <w:numId w:val="0"/>
              </w:numPr>
              <w:tabs>
                <w:tab w:val="left" w:pos="-2268"/>
              </w:tabs>
              <w:suppressAutoHyphens/>
              <w:rPr>
                <w:rFonts w:cs="Arial"/>
                <w:spacing w:val="-3"/>
                <w:sz w:val="22"/>
              </w:rPr>
            </w:pPr>
          </w:p>
        </w:tc>
        <w:tc>
          <w:tcPr>
            <w:tcW w:w="1418" w:type="dxa"/>
          </w:tcPr>
          <w:p w14:paraId="4B6831B0" w14:textId="77777777" w:rsidR="00970A40" w:rsidRPr="00BD1319" w:rsidRDefault="00970A40" w:rsidP="00B31D36">
            <w:pPr>
              <w:numPr>
                <w:ilvl w:val="12"/>
                <w:numId w:val="0"/>
              </w:numPr>
              <w:tabs>
                <w:tab w:val="left" w:pos="-2268"/>
              </w:tabs>
              <w:suppressAutoHyphens/>
              <w:rPr>
                <w:rFonts w:cs="Arial"/>
                <w:spacing w:val="-3"/>
                <w:sz w:val="22"/>
              </w:rPr>
            </w:pPr>
          </w:p>
        </w:tc>
        <w:tc>
          <w:tcPr>
            <w:tcW w:w="1559" w:type="dxa"/>
          </w:tcPr>
          <w:p w14:paraId="7746FDDB" w14:textId="77777777" w:rsidR="00970A40" w:rsidRPr="00BD1319" w:rsidRDefault="00970A40" w:rsidP="00B31D36">
            <w:pPr>
              <w:numPr>
                <w:ilvl w:val="12"/>
                <w:numId w:val="0"/>
              </w:numPr>
              <w:tabs>
                <w:tab w:val="left" w:pos="-2268"/>
              </w:tabs>
              <w:suppressAutoHyphens/>
              <w:rPr>
                <w:rFonts w:cs="Arial"/>
                <w:spacing w:val="-3"/>
                <w:sz w:val="22"/>
              </w:rPr>
            </w:pPr>
          </w:p>
        </w:tc>
      </w:tr>
      <w:tr w:rsidR="00970A40" w:rsidRPr="00BD1319" w14:paraId="6A697949" w14:textId="77777777" w:rsidTr="0082127E">
        <w:trPr>
          <w:cantSplit/>
          <w:trHeight w:val="1134"/>
          <w:jc w:val="center"/>
        </w:trPr>
        <w:tc>
          <w:tcPr>
            <w:tcW w:w="654" w:type="dxa"/>
            <w:vMerge/>
            <w:textDirection w:val="btLr"/>
          </w:tcPr>
          <w:p w14:paraId="1B579135" w14:textId="77777777" w:rsidR="00970A40" w:rsidRPr="00BD1319" w:rsidRDefault="00970A40" w:rsidP="00B31D36">
            <w:pPr>
              <w:numPr>
                <w:ilvl w:val="12"/>
                <w:numId w:val="0"/>
              </w:numPr>
              <w:tabs>
                <w:tab w:val="left" w:pos="-2268"/>
              </w:tabs>
              <w:suppressAutoHyphens/>
              <w:rPr>
                <w:rFonts w:cs="Arial"/>
                <w:color w:val="000000"/>
                <w:sz w:val="20"/>
              </w:rPr>
            </w:pPr>
          </w:p>
        </w:tc>
        <w:tc>
          <w:tcPr>
            <w:tcW w:w="1036" w:type="dxa"/>
            <w:tcMar>
              <w:left w:w="28" w:type="dxa"/>
              <w:right w:w="28" w:type="dxa"/>
            </w:tcMar>
            <w:textDirection w:val="btLr"/>
            <w:vAlign w:val="center"/>
          </w:tcPr>
          <w:p w14:paraId="096A6D4F" w14:textId="77777777" w:rsidR="00970A40" w:rsidRPr="00BD1319" w:rsidRDefault="00970A40">
            <w:pPr>
              <w:numPr>
                <w:ilvl w:val="12"/>
                <w:numId w:val="0"/>
              </w:numPr>
              <w:tabs>
                <w:tab w:val="left" w:pos="-2268"/>
              </w:tabs>
              <w:suppressAutoHyphens/>
              <w:jc w:val="center"/>
              <w:rPr>
                <w:rFonts w:cs="Arial"/>
                <w:spacing w:val="-3"/>
                <w:sz w:val="18"/>
                <w:szCs w:val="18"/>
              </w:rPr>
            </w:pPr>
            <w:r w:rsidRPr="00BD1319">
              <w:rPr>
                <w:rFonts w:cs="Arial"/>
                <w:color w:val="000000"/>
                <w:sz w:val="18"/>
                <w:szCs w:val="18"/>
                <w:lang w:eastAsia="es-CO"/>
              </w:rPr>
              <w:t>Provisión de alimentos</w:t>
            </w:r>
          </w:p>
        </w:tc>
        <w:tc>
          <w:tcPr>
            <w:tcW w:w="2158" w:type="dxa"/>
            <w:vAlign w:val="center"/>
          </w:tcPr>
          <w:p w14:paraId="52F01503" w14:textId="77777777" w:rsidR="00970A40" w:rsidRPr="00BD1319" w:rsidRDefault="00970A40" w:rsidP="00B31D36">
            <w:pPr>
              <w:numPr>
                <w:ilvl w:val="12"/>
                <w:numId w:val="0"/>
              </w:numPr>
              <w:tabs>
                <w:tab w:val="left" w:pos="-2268"/>
              </w:tabs>
              <w:suppressAutoHyphens/>
              <w:jc w:val="center"/>
              <w:rPr>
                <w:rFonts w:cs="Arial"/>
                <w:b/>
                <w:spacing w:val="-3"/>
                <w:sz w:val="16"/>
                <w:szCs w:val="16"/>
              </w:rPr>
            </w:pPr>
            <w:r w:rsidRPr="00BD1319">
              <w:rPr>
                <w:rFonts w:cs="Arial"/>
                <w:color w:val="000000"/>
                <w:sz w:val="16"/>
                <w:szCs w:val="16"/>
                <w:lang w:eastAsia="es-CO"/>
              </w:rPr>
              <w:t>Contribución del ecosistema</w:t>
            </w:r>
            <w:r w:rsidRPr="00BD1319" w:rsidDel="00A03955">
              <w:rPr>
                <w:rFonts w:cs="Arial"/>
                <w:color w:val="000000"/>
                <w:sz w:val="16"/>
                <w:szCs w:val="16"/>
                <w:lang w:eastAsia="es-CO"/>
              </w:rPr>
              <w:t xml:space="preserve"> </w:t>
            </w:r>
            <w:r w:rsidRPr="00BD1319">
              <w:rPr>
                <w:rFonts w:cs="Arial"/>
                <w:color w:val="000000"/>
                <w:sz w:val="16"/>
                <w:szCs w:val="16"/>
                <w:lang w:eastAsia="es-CO"/>
              </w:rPr>
              <w:t>a la provisión de alimentos en sistemas naturales (bosques, sabanas, lagunas, ciénagas, océanos, entre otros) y a la producción de alimentos en sistemas transformados (agropecuarios y acuícolas).</w:t>
            </w:r>
          </w:p>
        </w:tc>
        <w:tc>
          <w:tcPr>
            <w:tcW w:w="1446" w:type="dxa"/>
            <w:tcMar>
              <w:left w:w="28" w:type="dxa"/>
              <w:right w:w="28" w:type="dxa"/>
            </w:tcMar>
            <w:vAlign w:val="center"/>
          </w:tcPr>
          <w:p w14:paraId="5F62FF76" w14:textId="77777777" w:rsidR="00970A40" w:rsidRPr="00BD1319" w:rsidRDefault="00970A40" w:rsidP="00B31D36">
            <w:pPr>
              <w:jc w:val="center"/>
              <w:rPr>
                <w:rFonts w:cs="Arial"/>
                <w:color w:val="000000"/>
                <w:sz w:val="16"/>
                <w:szCs w:val="16"/>
                <w:lang w:eastAsia="es-CO"/>
              </w:rPr>
            </w:pPr>
            <w:r w:rsidRPr="00BD1319">
              <w:rPr>
                <w:rFonts w:cs="Arial"/>
                <w:color w:val="000000"/>
                <w:sz w:val="16"/>
                <w:szCs w:val="16"/>
                <w:lang w:eastAsia="es-CO"/>
              </w:rPr>
              <w:t>Cantidad o volumen de provisión y/o producción por unidad de área y tiempo</w:t>
            </w:r>
          </w:p>
          <w:p w14:paraId="73EF36DE" w14:textId="77777777" w:rsidR="00970A40" w:rsidRPr="00BD1319" w:rsidRDefault="00970A40" w:rsidP="00B31D36">
            <w:pPr>
              <w:jc w:val="center"/>
              <w:rPr>
                <w:rFonts w:cs="Arial"/>
                <w:color w:val="000000"/>
                <w:sz w:val="16"/>
                <w:szCs w:val="16"/>
                <w:lang w:eastAsia="es-CO"/>
              </w:rPr>
            </w:pPr>
          </w:p>
          <w:p w14:paraId="3B18DD28" w14:textId="77777777" w:rsidR="00970A40" w:rsidRPr="00BD1319" w:rsidRDefault="00970A40" w:rsidP="00B31D36">
            <w:pPr>
              <w:numPr>
                <w:ilvl w:val="12"/>
                <w:numId w:val="0"/>
              </w:numPr>
              <w:tabs>
                <w:tab w:val="left" w:pos="-2268"/>
              </w:tabs>
              <w:suppressAutoHyphens/>
              <w:jc w:val="center"/>
              <w:rPr>
                <w:rFonts w:cs="Arial"/>
                <w:spacing w:val="-3"/>
                <w:sz w:val="16"/>
                <w:szCs w:val="16"/>
              </w:rPr>
            </w:pPr>
            <w:r w:rsidRPr="00BD1319">
              <w:rPr>
                <w:rFonts w:cs="Arial"/>
                <w:color w:val="000000"/>
                <w:sz w:val="16"/>
                <w:szCs w:val="16"/>
                <w:lang w:eastAsia="es-CO"/>
              </w:rPr>
              <w:t>(t/ha/año; m</w:t>
            </w:r>
            <w:r w:rsidRPr="00BD1319">
              <w:rPr>
                <w:rFonts w:cs="Arial"/>
                <w:color w:val="000000"/>
                <w:sz w:val="16"/>
                <w:szCs w:val="16"/>
                <w:vertAlign w:val="superscript"/>
                <w:lang w:eastAsia="es-CO"/>
              </w:rPr>
              <w:t>3</w:t>
            </w:r>
            <w:r w:rsidRPr="00BD1319">
              <w:rPr>
                <w:rFonts w:cs="Arial"/>
                <w:color w:val="000000"/>
                <w:sz w:val="16"/>
                <w:szCs w:val="16"/>
                <w:lang w:eastAsia="es-CO"/>
              </w:rPr>
              <w:t>/ha/año)</w:t>
            </w:r>
          </w:p>
        </w:tc>
        <w:tc>
          <w:tcPr>
            <w:tcW w:w="1169" w:type="dxa"/>
          </w:tcPr>
          <w:p w14:paraId="43E920C5" w14:textId="77777777" w:rsidR="00970A40" w:rsidRPr="00BD1319" w:rsidRDefault="00970A40" w:rsidP="00B31D36">
            <w:pPr>
              <w:numPr>
                <w:ilvl w:val="12"/>
                <w:numId w:val="0"/>
              </w:numPr>
              <w:tabs>
                <w:tab w:val="left" w:pos="-2268"/>
              </w:tabs>
              <w:suppressAutoHyphens/>
              <w:rPr>
                <w:rFonts w:cs="Arial"/>
                <w:spacing w:val="-3"/>
                <w:sz w:val="22"/>
              </w:rPr>
            </w:pPr>
          </w:p>
        </w:tc>
        <w:tc>
          <w:tcPr>
            <w:tcW w:w="1308" w:type="dxa"/>
            <w:tcMar>
              <w:left w:w="28" w:type="dxa"/>
              <w:right w:w="28" w:type="dxa"/>
            </w:tcMar>
          </w:tcPr>
          <w:p w14:paraId="619B0C37" w14:textId="77777777" w:rsidR="00970A40" w:rsidRPr="00BD1319" w:rsidRDefault="00970A40" w:rsidP="00B31D36">
            <w:pPr>
              <w:numPr>
                <w:ilvl w:val="12"/>
                <w:numId w:val="0"/>
              </w:numPr>
              <w:tabs>
                <w:tab w:val="left" w:pos="-2268"/>
              </w:tabs>
              <w:suppressAutoHyphens/>
              <w:rPr>
                <w:rFonts w:cs="Arial"/>
                <w:spacing w:val="-3"/>
                <w:sz w:val="22"/>
              </w:rPr>
            </w:pPr>
          </w:p>
        </w:tc>
        <w:tc>
          <w:tcPr>
            <w:tcW w:w="1290" w:type="dxa"/>
          </w:tcPr>
          <w:p w14:paraId="14309457" w14:textId="77777777" w:rsidR="00970A40" w:rsidRPr="00BD1319" w:rsidRDefault="00970A40" w:rsidP="00B31D36">
            <w:pPr>
              <w:numPr>
                <w:ilvl w:val="12"/>
                <w:numId w:val="0"/>
              </w:numPr>
              <w:tabs>
                <w:tab w:val="left" w:pos="-2268"/>
              </w:tabs>
              <w:suppressAutoHyphens/>
              <w:rPr>
                <w:rFonts w:cs="Arial"/>
                <w:spacing w:val="-3"/>
                <w:sz w:val="22"/>
              </w:rPr>
            </w:pPr>
          </w:p>
        </w:tc>
        <w:tc>
          <w:tcPr>
            <w:tcW w:w="1351" w:type="dxa"/>
            <w:tcMar>
              <w:left w:w="28" w:type="dxa"/>
              <w:right w:w="28" w:type="dxa"/>
            </w:tcMar>
          </w:tcPr>
          <w:p w14:paraId="26B798D6" w14:textId="77777777" w:rsidR="00970A40" w:rsidRPr="00BD1319" w:rsidRDefault="00970A40" w:rsidP="00B31D36">
            <w:pPr>
              <w:numPr>
                <w:ilvl w:val="12"/>
                <w:numId w:val="0"/>
              </w:numPr>
              <w:tabs>
                <w:tab w:val="left" w:pos="-2268"/>
              </w:tabs>
              <w:suppressAutoHyphens/>
              <w:rPr>
                <w:rFonts w:cs="Arial"/>
                <w:spacing w:val="-3"/>
                <w:sz w:val="22"/>
              </w:rPr>
            </w:pPr>
          </w:p>
        </w:tc>
        <w:tc>
          <w:tcPr>
            <w:tcW w:w="1418" w:type="dxa"/>
          </w:tcPr>
          <w:p w14:paraId="6C6F0B4D" w14:textId="77777777" w:rsidR="00970A40" w:rsidRPr="00BD1319" w:rsidRDefault="00970A40" w:rsidP="00B31D36">
            <w:pPr>
              <w:numPr>
                <w:ilvl w:val="12"/>
                <w:numId w:val="0"/>
              </w:numPr>
              <w:tabs>
                <w:tab w:val="left" w:pos="-2268"/>
              </w:tabs>
              <w:suppressAutoHyphens/>
              <w:rPr>
                <w:rFonts w:cs="Arial"/>
                <w:spacing w:val="-3"/>
                <w:sz w:val="22"/>
              </w:rPr>
            </w:pPr>
          </w:p>
        </w:tc>
        <w:tc>
          <w:tcPr>
            <w:tcW w:w="1559" w:type="dxa"/>
          </w:tcPr>
          <w:p w14:paraId="7B1186B3" w14:textId="77777777" w:rsidR="00970A40" w:rsidRPr="00BD1319" w:rsidRDefault="00970A40" w:rsidP="00B31D36">
            <w:pPr>
              <w:numPr>
                <w:ilvl w:val="12"/>
                <w:numId w:val="0"/>
              </w:numPr>
              <w:tabs>
                <w:tab w:val="left" w:pos="-2268"/>
              </w:tabs>
              <w:suppressAutoHyphens/>
              <w:rPr>
                <w:rFonts w:cs="Arial"/>
                <w:spacing w:val="-3"/>
                <w:sz w:val="22"/>
              </w:rPr>
            </w:pPr>
          </w:p>
        </w:tc>
      </w:tr>
      <w:tr w:rsidR="00970A40" w:rsidRPr="00BD1319" w14:paraId="6F26A8EA" w14:textId="77777777" w:rsidTr="0082127E">
        <w:trPr>
          <w:cantSplit/>
          <w:trHeight w:val="1134"/>
          <w:jc w:val="center"/>
        </w:trPr>
        <w:tc>
          <w:tcPr>
            <w:tcW w:w="654" w:type="dxa"/>
            <w:vMerge/>
            <w:textDirection w:val="btLr"/>
          </w:tcPr>
          <w:p w14:paraId="6B5ED3E3" w14:textId="77777777" w:rsidR="00970A40" w:rsidRPr="00BD1319" w:rsidRDefault="00970A40" w:rsidP="00B31D36">
            <w:pPr>
              <w:numPr>
                <w:ilvl w:val="12"/>
                <w:numId w:val="0"/>
              </w:numPr>
              <w:tabs>
                <w:tab w:val="left" w:pos="-2268"/>
              </w:tabs>
              <w:suppressAutoHyphens/>
              <w:rPr>
                <w:rFonts w:cs="Arial"/>
                <w:color w:val="000000"/>
                <w:sz w:val="20"/>
              </w:rPr>
            </w:pPr>
          </w:p>
        </w:tc>
        <w:tc>
          <w:tcPr>
            <w:tcW w:w="1036" w:type="dxa"/>
            <w:tcMar>
              <w:left w:w="28" w:type="dxa"/>
              <w:right w:w="28" w:type="dxa"/>
            </w:tcMar>
            <w:textDirection w:val="btLr"/>
            <w:vAlign w:val="center"/>
          </w:tcPr>
          <w:p w14:paraId="2FF39AA9" w14:textId="77777777" w:rsidR="00970A40" w:rsidRPr="00BD1319" w:rsidRDefault="00970A40">
            <w:pPr>
              <w:numPr>
                <w:ilvl w:val="12"/>
                <w:numId w:val="0"/>
              </w:numPr>
              <w:tabs>
                <w:tab w:val="left" w:pos="-2268"/>
              </w:tabs>
              <w:suppressAutoHyphens/>
              <w:jc w:val="center"/>
              <w:rPr>
                <w:rFonts w:cs="Arial"/>
                <w:spacing w:val="-3"/>
                <w:sz w:val="18"/>
                <w:szCs w:val="18"/>
              </w:rPr>
            </w:pPr>
            <w:r w:rsidRPr="00BD1319">
              <w:rPr>
                <w:rFonts w:cs="Arial"/>
                <w:color w:val="000000"/>
                <w:sz w:val="18"/>
                <w:szCs w:val="18"/>
                <w:lang w:eastAsia="es-CO"/>
              </w:rPr>
              <w:t>Provisión de materias primas</w:t>
            </w:r>
          </w:p>
        </w:tc>
        <w:tc>
          <w:tcPr>
            <w:tcW w:w="2158" w:type="dxa"/>
            <w:vAlign w:val="center"/>
          </w:tcPr>
          <w:p w14:paraId="2F810E27" w14:textId="77777777" w:rsidR="00970A40" w:rsidRPr="00BD1319" w:rsidRDefault="00970A40" w:rsidP="00B31D36">
            <w:pPr>
              <w:numPr>
                <w:ilvl w:val="12"/>
                <w:numId w:val="0"/>
              </w:numPr>
              <w:tabs>
                <w:tab w:val="left" w:pos="-2268"/>
              </w:tabs>
              <w:suppressAutoHyphens/>
              <w:jc w:val="center"/>
              <w:rPr>
                <w:rFonts w:cs="Arial"/>
                <w:b/>
                <w:bCs/>
                <w:spacing w:val="-3"/>
                <w:sz w:val="16"/>
                <w:szCs w:val="16"/>
              </w:rPr>
            </w:pPr>
            <w:r w:rsidRPr="00BD1319">
              <w:rPr>
                <w:rFonts w:cs="Arial"/>
                <w:color w:val="000000"/>
                <w:sz w:val="16"/>
                <w:szCs w:val="16"/>
                <w:lang w:eastAsia="es-CO"/>
              </w:rPr>
              <w:t>Contribución del ecosistema a la provisión y producción, en sistemas naturales y transformados, de maderas, fibras, resinas, medicinas, productos no maderables, entre otros.</w:t>
            </w:r>
          </w:p>
        </w:tc>
        <w:tc>
          <w:tcPr>
            <w:tcW w:w="1446" w:type="dxa"/>
            <w:tcMar>
              <w:left w:w="28" w:type="dxa"/>
              <w:right w:w="28" w:type="dxa"/>
            </w:tcMar>
            <w:vAlign w:val="center"/>
          </w:tcPr>
          <w:p w14:paraId="0508AFF5" w14:textId="77777777" w:rsidR="00970A40" w:rsidRPr="00BD1319" w:rsidRDefault="00970A40" w:rsidP="00B31D36">
            <w:pPr>
              <w:jc w:val="center"/>
              <w:rPr>
                <w:rFonts w:cs="Arial"/>
                <w:color w:val="000000"/>
                <w:sz w:val="16"/>
                <w:szCs w:val="16"/>
                <w:lang w:eastAsia="es-CO"/>
              </w:rPr>
            </w:pPr>
            <w:r w:rsidRPr="00BD1319">
              <w:rPr>
                <w:rFonts w:cs="Arial"/>
                <w:color w:val="000000"/>
                <w:sz w:val="16"/>
                <w:szCs w:val="16"/>
                <w:lang w:eastAsia="es-CO"/>
              </w:rPr>
              <w:t>Cantidad o volumen de provisión y/o producción por unidad de área y tiempo</w:t>
            </w:r>
          </w:p>
          <w:p w14:paraId="39530FEA" w14:textId="77777777" w:rsidR="00970A40" w:rsidRPr="00BD1319" w:rsidRDefault="00970A40" w:rsidP="00B31D36">
            <w:pPr>
              <w:jc w:val="center"/>
              <w:rPr>
                <w:rFonts w:cs="Arial"/>
                <w:color w:val="000000"/>
                <w:sz w:val="16"/>
                <w:szCs w:val="16"/>
                <w:lang w:eastAsia="es-CO"/>
              </w:rPr>
            </w:pPr>
          </w:p>
          <w:p w14:paraId="4296498B" w14:textId="77777777" w:rsidR="00970A40" w:rsidRPr="00BD1319" w:rsidRDefault="00970A40" w:rsidP="00B31D36">
            <w:pPr>
              <w:numPr>
                <w:ilvl w:val="12"/>
                <w:numId w:val="0"/>
              </w:numPr>
              <w:tabs>
                <w:tab w:val="left" w:pos="-2268"/>
              </w:tabs>
              <w:suppressAutoHyphens/>
              <w:jc w:val="center"/>
              <w:rPr>
                <w:rFonts w:cs="Arial"/>
                <w:spacing w:val="-3"/>
                <w:sz w:val="16"/>
                <w:szCs w:val="16"/>
              </w:rPr>
            </w:pPr>
            <w:r w:rsidRPr="00BD1319">
              <w:rPr>
                <w:rFonts w:cs="Arial"/>
                <w:color w:val="000000"/>
                <w:sz w:val="16"/>
                <w:szCs w:val="16"/>
                <w:lang w:eastAsia="es-CO"/>
              </w:rPr>
              <w:t>(t/ha/año; m</w:t>
            </w:r>
            <w:r w:rsidRPr="00BD1319">
              <w:rPr>
                <w:rFonts w:cs="Arial"/>
                <w:color w:val="000000"/>
                <w:sz w:val="16"/>
                <w:szCs w:val="16"/>
                <w:vertAlign w:val="superscript"/>
                <w:lang w:eastAsia="es-CO"/>
              </w:rPr>
              <w:t>3</w:t>
            </w:r>
            <w:r w:rsidRPr="00BD1319">
              <w:rPr>
                <w:rFonts w:cs="Arial"/>
                <w:color w:val="000000"/>
                <w:sz w:val="16"/>
                <w:szCs w:val="16"/>
                <w:lang w:eastAsia="es-CO"/>
              </w:rPr>
              <w:t>/ha/año)</w:t>
            </w:r>
          </w:p>
        </w:tc>
        <w:tc>
          <w:tcPr>
            <w:tcW w:w="1169" w:type="dxa"/>
          </w:tcPr>
          <w:p w14:paraId="1A90228E" w14:textId="77777777" w:rsidR="00970A40" w:rsidRPr="00BD1319" w:rsidRDefault="00970A40" w:rsidP="00B31D36">
            <w:pPr>
              <w:numPr>
                <w:ilvl w:val="12"/>
                <w:numId w:val="0"/>
              </w:numPr>
              <w:tabs>
                <w:tab w:val="left" w:pos="-2268"/>
              </w:tabs>
              <w:suppressAutoHyphens/>
              <w:rPr>
                <w:rFonts w:cs="Arial"/>
                <w:spacing w:val="-3"/>
                <w:sz w:val="22"/>
              </w:rPr>
            </w:pPr>
          </w:p>
        </w:tc>
        <w:tc>
          <w:tcPr>
            <w:tcW w:w="1308" w:type="dxa"/>
            <w:tcMar>
              <w:left w:w="28" w:type="dxa"/>
              <w:right w:w="28" w:type="dxa"/>
            </w:tcMar>
          </w:tcPr>
          <w:p w14:paraId="268A58E3" w14:textId="77777777" w:rsidR="00970A40" w:rsidRPr="00BD1319" w:rsidRDefault="00970A40" w:rsidP="00B31D36">
            <w:pPr>
              <w:numPr>
                <w:ilvl w:val="12"/>
                <w:numId w:val="0"/>
              </w:numPr>
              <w:tabs>
                <w:tab w:val="left" w:pos="-2268"/>
              </w:tabs>
              <w:suppressAutoHyphens/>
              <w:rPr>
                <w:rFonts w:cs="Arial"/>
                <w:spacing w:val="-3"/>
                <w:sz w:val="22"/>
              </w:rPr>
            </w:pPr>
          </w:p>
        </w:tc>
        <w:tc>
          <w:tcPr>
            <w:tcW w:w="1290" w:type="dxa"/>
          </w:tcPr>
          <w:p w14:paraId="2480B1E4" w14:textId="77777777" w:rsidR="00970A40" w:rsidRPr="00BD1319" w:rsidRDefault="00970A40" w:rsidP="00B31D36">
            <w:pPr>
              <w:numPr>
                <w:ilvl w:val="12"/>
                <w:numId w:val="0"/>
              </w:numPr>
              <w:tabs>
                <w:tab w:val="left" w:pos="-2268"/>
              </w:tabs>
              <w:suppressAutoHyphens/>
              <w:rPr>
                <w:rFonts w:cs="Arial"/>
                <w:spacing w:val="-3"/>
                <w:sz w:val="22"/>
              </w:rPr>
            </w:pPr>
          </w:p>
        </w:tc>
        <w:tc>
          <w:tcPr>
            <w:tcW w:w="1351" w:type="dxa"/>
            <w:tcMar>
              <w:left w:w="28" w:type="dxa"/>
              <w:right w:w="28" w:type="dxa"/>
            </w:tcMar>
          </w:tcPr>
          <w:p w14:paraId="78353EDB" w14:textId="77777777" w:rsidR="00970A40" w:rsidRPr="00BD1319" w:rsidRDefault="00970A40" w:rsidP="00B31D36">
            <w:pPr>
              <w:numPr>
                <w:ilvl w:val="12"/>
                <w:numId w:val="0"/>
              </w:numPr>
              <w:tabs>
                <w:tab w:val="left" w:pos="-2268"/>
              </w:tabs>
              <w:suppressAutoHyphens/>
              <w:rPr>
                <w:rFonts w:cs="Arial"/>
                <w:spacing w:val="-3"/>
                <w:sz w:val="22"/>
              </w:rPr>
            </w:pPr>
          </w:p>
        </w:tc>
        <w:tc>
          <w:tcPr>
            <w:tcW w:w="1418" w:type="dxa"/>
          </w:tcPr>
          <w:p w14:paraId="2DB95F41" w14:textId="77777777" w:rsidR="00970A40" w:rsidRPr="00BD1319" w:rsidRDefault="00970A40" w:rsidP="00B31D36">
            <w:pPr>
              <w:numPr>
                <w:ilvl w:val="12"/>
                <w:numId w:val="0"/>
              </w:numPr>
              <w:tabs>
                <w:tab w:val="left" w:pos="-2268"/>
              </w:tabs>
              <w:suppressAutoHyphens/>
              <w:rPr>
                <w:rFonts w:cs="Arial"/>
                <w:spacing w:val="-3"/>
                <w:sz w:val="22"/>
              </w:rPr>
            </w:pPr>
          </w:p>
        </w:tc>
        <w:tc>
          <w:tcPr>
            <w:tcW w:w="1559" w:type="dxa"/>
          </w:tcPr>
          <w:p w14:paraId="3B8818A8" w14:textId="77777777" w:rsidR="00970A40" w:rsidRPr="00BD1319" w:rsidRDefault="00970A40" w:rsidP="00B31D36">
            <w:pPr>
              <w:numPr>
                <w:ilvl w:val="12"/>
                <w:numId w:val="0"/>
              </w:numPr>
              <w:tabs>
                <w:tab w:val="left" w:pos="-2268"/>
              </w:tabs>
              <w:suppressAutoHyphens/>
              <w:rPr>
                <w:rFonts w:cs="Arial"/>
                <w:spacing w:val="-3"/>
                <w:sz w:val="22"/>
              </w:rPr>
            </w:pPr>
          </w:p>
        </w:tc>
      </w:tr>
      <w:tr w:rsidR="00576E9D" w:rsidRPr="00BD1319" w14:paraId="1503E4A9" w14:textId="77777777" w:rsidTr="0082127E">
        <w:trPr>
          <w:cantSplit/>
          <w:trHeight w:val="1134"/>
          <w:jc w:val="center"/>
        </w:trPr>
        <w:tc>
          <w:tcPr>
            <w:tcW w:w="654" w:type="dxa"/>
            <w:vMerge w:val="restart"/>
            <w:textDirection w:val="btLr"/>
            <w:vAlign w:val="center"/>
          </w:tcPr>
          <w:p w14:paraId="392B0894" w14:textId="77777777" w:rsidR="00576E9D" w:rsidRPr="00BD1319" w:rsidRDefault="00576E9D" w:rsidP="00B31D36">
            <w:pPr>
              <w:numPr>
                <w:ilvl w:val="12"/>
                <w:numId w:val="0"/>
              </w:numPr>
              <w:tabs>
                <w:tab w:val="left" w:pos="-2268"/>
              </w:tabs>
              <w:suppressAutoHyphens/>
              <w:ind w:left="113" w:right="113"/>
              <w:jc w:val="center"/>
              <w:rPr>
                <w:rFonts w:cs="Arial"/>
                <w:color w:val="000000"/>
                <w:sz w:val="20"/>
              </w:rPr>
            </w:pPr>
            <w:r w:rsidRPr="00BD1319">
              <w:rPr>
                <w:rFonts w:cs="Arial"/>
                <w:b/>
                <w:color w:val="000000"/>
                <w:sz w:val="20"/>
              </w:rPr>
              <w:lastRenderedPageBreak/>
              <w:t>Regulación</w:t>
            </w:r>
          </w:p>
        </w:tc>
        <w:tc>
          <w:tcPr>
            <w:tcW w:w="1036" w:type="dxa"/>
            <w:tcMar>
              <w:left w:w="28" w:type="dxa"/>
              <w:right w:w="28" w:type="dxa"/>
            </w:tcMar>
            <w:textDirection w:val="btLr"/>
            <w:vAlign w:val="center"/>
          </w:tcPr>
          <w:p w14:paraId="42F4DB13" w14:textId="77777777" w:rsidR="00576E9D" w:rsidRPr="00BD1319" w:rsidRDefault="00576E9D">
            <w:pPr>
              <w:numPr>
                <w:ilvl w:val="12"/>
                <w:numId w:val="0"/>
              </w:numPr>
              <w:tabs>
                <w:tab w:val="left" w:pos="-2268"/>
              </w:tabs>
              <w:suppressAutoHyphens/>
              <w:jc w:val="center"/>
              <w:rPr>
                <w:rFonts w:cs="Arial"/>
                <w:spacing w:val="-3"/>
                <w:sz w:val="18"/>
                <w:szCs w:val="18"/>
              </w:rPr>
            </w:pPr>
            <w:r w:rsidRPr="00BD1319">
              <w:rPr>
                <w:rFonts w:cs="Arial"/>
                <w:color w:val="000000"/>
                <w:sz w:val="18"/>
                <w:szCs w:val="18"/>
                <w:lang w:eastAsia="es-CO"/>
              </w:rPr>
              <w:t>Regulación de la calidad del aire</w:t>
            </w:r>
          </w:p>
        </w:tc>
        <w:tc>
          <w:tcPr>
            <w:tcW w:w="2158" w:type="dxa"/>
            <w:vAlign w:val="center"/>
          </w:tcPr>
          <w:p w14:paraId="4685426A" w14:textId="77777777" w:rsidR="00576E9D" w:rsidRPr="00BD1319" w:rsidRDefault="00576E9D" w:rsidP="00B31D36">
            <w:pPr>
              <w:numPr>
                <w:ilvl w:val="12"/>
                <w:numId w:val="0"/>
              </w:numPr>
              <w:tabs>
                <w:tab w:val="left" w:pos="-2268"/>
              </w:tabs>
              <w:suppressAutoHyphens/>
              <w:jc w:val="center"/>
              <w:rPr>
                <w:rFonts w:cs="Arial"/>
                <w:b/>
                <w:spacing w:val="-3"/>
                <w:sz w:val="16"/>
                <w:szCs w:val="16"/>
              </w:rPr>
            </w:pPr>
            <w:r w:rsidRPr="00BD1319">
              <w:rPr>
                <w:rFonts w:cs="Arial"/>
                <w:color w:val="000000"/>
                <w:sz w:val="16"/>
                <w:szCs w:val="16"/>
                <w:lang w:eastAsia="es-CO"/>
              </w:rPr>
              <w:t>Contribución del ecosistema para modificar la dispersión de contaminantes atmosféricos, y evitar efectos adversos en receptores sensibles por el deterioro de la calidad del aire.</w:t>
            </w:r>
          </w:p>
        </w:tc>
        <w:tc>
          <w:tcPr>
            <w:tcW w:w="1446" w:type="dxa"/>
            <w:tcMar>
              <w:left w:w="28" w:type="dxa"/>
              <w:right w:w="28" w:type="dxa"/>
            </w:tcMar>
            <w:vAlign w:val="center"/>
          </w:tcPr>
          <w:p w14:paraId="0151C689" w14:textId="77777777" w:rsidR="00576E9D" w:rsidRPr="00BD1319" w:rsidRDefault="00576E9D" w:rsidP="00B31D36">
            <w:pPr>
              <w:jc w:val="center"/>
              <w:rPr>
                <w:rFonts w:cs="Arial"/>
                <w:color w:val="000000"/>
                <w:sz w:val="16"/>
                <w:szCs w:val="16"/>
                <w:lang w:eastAsia="es-CO"/>
              </w:rPr>
            </w:pPr>
            <w:r w:rsidRPr="00BD1319">
              <w:rPr>
                <w:rFonts w:cs="Arial"/>
                <w:color w:val="000000"/>
                <w:sz w:val="16"/>
                <w:szCs w:val="16"/>
                <w:lang w:eastAsia="es-CO"/>
              </w:rPr>
              <w:t>Cantidad de contaminantes criterio por unidad de volumen en un periodo determinado</w:t>
            </w:r>
          </w:p>
          <w:p w14:paraId="393A2A12" w14:textId="77777777" w:rsidR="00576E9D" w:rsidRPr="00BD1319" w:rsidRDefault="00576E9D" w:rsidP="00B31D36">
            <w:pPr>
              <w:jc w:val="center"/>
              <w:rPr>
                <w:rFonts w:cs="Arial"/>
                <w:color w:val="000000"/>
                <w:sz w:val="16"/>
                <w:szCs w:val="16"/>
                <w:lang w:eastAsia="es-CO"/>
              </w:rPr>
            </w:pPr>
          </w:p>
          <w:p w14:paraId="076CC624" w14:textId="77777777" w:rsidR="00576E9D" w:rsidRPr="00BD1319" w:rsidRDefault="00576E9D" w:rsidP="00B31D36">
            <w:pPr>
              <w:numPr>
                <w:ilvl w:val="12"/>
                <w:numId w:val="0"/>
              </w:numPr>
              <w:tabs>
                <w:tab w:val="left" w:pos="-2268"/>
              </w:tabs>
              <w:suppressAutoHyphens/>
              <w:jc w:val="center"/>
              <w:rPr>
                <w:rFonts w:cs="Arial"/>
                <w:spacing w:val="-3"/>
                <w:sz w:val="16"/>
                <w:szCs w:val="16"/>
              </w:rPr>
            </w:pPr>
            <w:r w:rsidRPr="00BD1319">
              <w:rPr>
                <w:rFonts w:cs="Arial"/>
                <w:color w:val="000000"/>
                <w:sz w:val="16"/>
                <w:szCs w:val="16"/>
                <w:lang w:eastAsia="es-CO"/>
              </w:rPr>
              <w:t>(µg/m</w:t>
            </w:r>
            <w:r w:rsidRPr="00BD1319">
              <w:rPr>
                <w:rFonts w:cs="Arial"/>
                <w:color w:val="000000"/>
                <w:sz w:val="16"/>
                <w:szCs w:val="16"/>
                <w:vertAlign w:val="superscript"/>
                <w:lang w:eastAsia="es-CO"/>
              </w:rPr>
              <w:t>3</w:t>
            </w:r>
            <w:r w:rsidRPr="00BD1319">
              <w:rPr>
                <w:rFonts w:cs="Arial"/>
                <w:color w:val="000000"/>
                <w:sz w:val="16"/>
                <w:szCs w:val="16"/>
                <w:lang w:eastAsia="es-CO"/>
              </w:rPr>
              <w:t>)</w:t>
            </w:r>
          </w:p>
        </w:tc>
        <w:tc>
          <w:tcPr>
            <w:tcW w:w="1169" w:type="dxa"/>
          </w:tcPr>
          <w:p w14:paraId="72FA0A99" w14:textId="77777777" w:rsidR="00576E9D" w:rsidRPr="00BD1319" w:rsidRDefault="00576E9D" w:rsidP="00B31D36">
            <w:pPr>
              <w:numPr>
                <w:ilvl w:val="12"/>
                <w:numId w:val="0"/>
              </w:numPr>
              <w:tabs>
                <w:tab w:val="left" w:pos="-2268"/>
              </w:tabs>
              <w:suppressAutoHyphens/>
              <w:rPr>
                <w:rFonts w:cs="Arial"/>
                <w:spacing w:val="-3"/>
                <w:sz w:val="22"/>
              </w:rPr>
            </w:pPr>
          </w:p>
        </w:tc>
        <w:tc>
          <w:tcPr>
            <w:tcW w:w="1308" w:type="dxa"/>
            <w:tcMar>
              <w:left w:w="28" w:type="dxa"/>
              <w:right w:w="28" w:type="dxa"/>
            </w:tcMar>
          </w:tcPr>
          <w:p w14:paraId="7D758045" w14:textId="77777777" w:rsidR="00576E9D" w:rsidRPr="00BD1319" w:rsidRDefault="00576E9D" w:rsidP="00B31D36">
            <w:pPr>
              <w:numPr>
                <w:ilvl w:val="12"/>
                <w:numId w:val="0"/>
              </w:numPr>
              <w:tabs>
                <w:tab w:val="left" w:pos="-2268"/>
              </w:tabs>
              <w:suppressAutoHyphens/>
              <w:rPr>
                <w:rFonts w:cs="Arial"/>
                <w:spacing w:val="-3"/>
                <w:sz w:val="22"/>
              </w:rPr>
            </w:pPr>
          </w:p>
        </w:tc>
        <w:tc>
          <w:tcPr>
            <w:tcW w:w="1290" w:type="dxa"/>
          </w:tcPr>
          <w:p w14:paraId="1FC6DE77" w14:textId="77777777" w:rsidR="00576E9D" w:rsidRPr="00BD1319" w:rsidRDefault="00576E9D" w:rsidP="00B31D36">
            <w:pPr>
              <w:numPr>
                <w:ilvl w:val="12"/>
                <w:numId w:val="0"/>
              </w:numPr>
              <w:tabs>
                <w:tab w:val="left" w:pos="-2268"/>
              </w:tabs>
              <w:suppressAutoHyphens/>
              <w:rPr>
                <w:rFonts w:cs="Arial"/>
                <w:spacing w:val="-3"/>
                <w:sz w:val="22"/>
              </w:rPr>
            </w:pPr>
          </w:p>
        </w:tc>
        <w:tc>
          <w:tcPr>
            <w:tcW w:w="1351" w:type="dxa"/>
            <w:tcMar>
              <w:left w:w="28" w:type="dxa"/>
              <w:right w:w="28" w:type="dxa"/>
            </w:tcMar>
          </w:tcPr>
          <w:p w14:paraId="2B513766" w14:textId="77777777" w:rsidR="00576E9D" w:rsidRPr="00BD1319" w:rsidRDefault="00576E9D" w:rsidP="00B31D36">
            <w:pPr>
              <w:numPr>
                <w:ilvl w:val="12"/>
                <w:numId w:val="0"/>
              </w:numPr>
              <w:tabs>
                <w:tab w:val="left" w:pos="-2268"/>
              </w:tabs>
              <w:suppressAutoHyphens/>
              <w:rPr>
                <w:rFonts w:cs="Arial"/>
                <w:spacing w:val="-3"/>
                <w:sz w:val="22"/>
              </w:rPr>
            </w:pPr>
          </w:p>
        </w:tc>
        <w:tc>
          <w:tcPr>
            <w:tcW w:w="1418" w:type="dxa"/>
          </w:tcPr>
          <w:p w14:paraId="65C7186C" w14:textId="77777777" w:rsidR="00576E9D" w:rsidRPr="00BD1319" w:rsidRDefault="00576E9D" w:rsidP="00B31D36">
            <w:pPr>
              <w:numPr>
                <w:ilvl w:val="12"/>
                <w:numId w:val="0"/>
              </w:numPr>
              <w:tabs>
                <w:tab w:val="left" w:pos="-2268"/>
              </w:tabs>
              <w:suppressAutoHyphens/>
              <w:rPr>
                <w:rFonts w:cs="Arial"/>
                <w:spacing w:val="-3"/>
                <w:sz w:val="22"/>
              </w:rPr>
            </w:pPr>
          </w:p>
        </w:tc>
        <w:tc>
          <w:tcPr>
            <w:tcW w:w="1559" w:type="dxa"/>
          </w:tcPr>
          <w:p w14:paraId="2200D54E" w14:textId="77777777" w:rsidR="00576E9D" w:rsidRPr="00BD1319" w:rsidRDefault="00576E9D" w:rsidP="00B31D36">
            <w:pPr>
              <w:numPr>
                <w:ilvl w:val="12"/>
                <w:numId w:val="0"/>
              </w:numPr>
              <w:tabs>
                <w:tab w:val="left" w:pos="-2268"/>
              </w:tabs>
              <w:suppressAutoHyphens/>
              <w:rPr>
                <w:rFonts w:cs="Arial"/>
                <w:spacing w:val="-3"/>
                <w:sz w:val="22"/>
              </w:rPr>
            </w:pPr>
          </w:p>
        </w:tc>
      </w:tr>
      <w:tr w:rsidR="00576E9D" w:rsidRPr="00BD1319" w14:paraId="4382E823" w14:textId="77777777" w:rsidTr="0082127E">
        <w:trPr>
          <w:cantSplit/>
          <w:trHeight w:val="1134"/>
          <w:jc w:val="center"/>
        </w:trPr>
        <w:tc>
          <w:tcPr>
            <w:tcW w:w="654" w:type="dxa"/>
            <w:vMerge/>
          </w:tcPr>
          <w:p w14:paraId="5167DA45" w14:textId="77777777" w:rsidR="00576E9D" w:rsidRPr="00BD1319" w:rsidRDefault="00576E9D" w:rsidP="00B31D36">
            <w:pPr>
              <w:numPr>
                <w:ilvl w:val="12"/>
                <w:numId w:val="0"/>
              </w:numPr>
              <w:tabs>
                <w:tab w:val="left" w:pos="-2268"/>
              </w:tabs>
              <w:suppressAutoHyphens/>
              <w:rPr>
                <w:rFonts w:cs="Arial"/>
                <w:color w:val="000000"/>
                <w:sz w:val="20"/>
                <w:lang w:eastAsia="es-CO"/>
              </w:rPr>
            </w:pPr>
          </w:p>
        </w:tc>
        <w:tc>
          <w:tcPr>
            <w:tcW w:w="1036" w:type="dxa"/>
            <w:tcMar>
              <w:left w:w="28" w:type="dxa"/>
              <w:right w:w="28" w:type="dxa"/>
            </w:tcMar>
            <w:textDirection w:val="btLr"/>
            <w:vAlign w:val="center"/>
          </w:tcPr>
          <w:p w14:paraId="182D6FB9" w14:textId="77777777" w:rsidR="00576E9D" w:rsidRPr="00BD1319" w:rsidRDefault="00576E9D" w:rsidP="0082127E">
            <w:pPr>
              <w:numPr>
                <w:ilvl w:val="12"/>
                <w:numId w:val="0"/>
              </w:numPr>
              <w:tabs>
                <w:tab w:val="left" w:pos="-2268"/>
              </w:tabs>
              <w:suppressAutoHyphens/>
              <w:ind w:left="113" w:right="113"/>
              <w:jc w:val="center"/>
              <w:rPr>
                <w:rFonts w:cs="Arial"/>
                <w:spacing w:val="-3"/>
                <w:sz w:val="18"/>
                <w:szCs w:val="18"/>
              </w:rPr>
            </w:pPr>
            <w:r w:rsidRPr="00BD1319">
              <w:rPr>
                <w:rFonts w:cs="Arial"/>
                <w:color w:val="000000"/>
                <w:sz w:val="18"/>
                <w:szCs w:val="18"/>
                <w:lang w:eastAsia="es-CO"/>
              </w:rPr>
              <w:t>Regulación de fenómenos naturales extremos</w:t>
            </w:r>
          </w:p>
        </w:tc>
        <w:tc>
          <w:tcPr>
            <w:tcW w:w="2158" w:type="dxa"/>
            <w:vAlign w:val="center"/>
          </w:tcPr>
          <w:p w14:paraId="2223B9D7" w14:textId="77777777" w:rsidR="00576E9D" w:rsidRPr="00BD1319" w:rsidRDefault="00576E9D" w:rsidP="00B31D36">
            <w:pPr>
              <w:numPr>
                <w:ilvl w:val="12"/>
                <w:numId w:val="0"/>
              </w:numPr>
              <w:tabs>
                <w:tab w:val="left" w:pos="-2268"/>
              </w:tabs>
              <w:suppressAutoHyphens/>
              <w:jc w:val="center"/>
              <w:rPr>
                <w:rFonts w:cs="Arial"/>
                <w:b/>
                <w:bCs/>
                <w:spacing w:val="-3"/>
                <w:sz w:val="16"/>
                <w:szCs w:val="16"/>
              </w:rPr>
            </w:pPr>
            <w:r w:rsidRPr="00BD1319">
              <w:rPr>
                <w:rFonts w:cs="Arial"/>
                <w:color w:val="000000"/>
                <w:sz w:val="16"/>
                <w:szCs w:val="16"/>
                <w:lang w:eastAsia="es-CO"/>
              </w:rPr>
              <w:t>Contribución del ecosistema a la protección y adaptación a fluctuaciones de fenómenos naturales (inundaciones, vendavales, erosión costera, entre otros).</w:t>
            </w:r>
          </w:p>
        </w:tc>
        <w:tc>
          <w:tcPr>
            <w:tcW w:w="1446" w:type="dxa"/>
            <w:tcMar>
              <w:left w:w="28" w:type="dxa"/>
              <w:right w:w="28" w:type="dxa"/>
            </w:tcMar>
            <w:vAlign w:val="center"/>
          </w:tcPr>
          <w:p w14:paraId="4F9D3855" w14:textId="77777777" w:rsidR="00576E9D" w:rsidRPr="00BD1319" w:rsidRDefault="00576E9D" w:rsidP="00B31D36">
            <w:pPr>
              <w:jc w:val="center"/>
              <w:rPr>
                <w:rFonts w:cs="Arial"/>
                <w:color w:val="000000"/>
                <w:sz w:val="16"/>
                <w:szCs w:val="16"/>
                <w:lang w:eastAsia="es-CO"/>
              </w:rPr>
            </w:pPr>
            <w:r w:rsidRPr="00BD1319">
              <w:rPr>
                <w:rFonts w:cs="Arial"/>
                <w:color w:val="000000"/>
                <w:sz w:val="16"/>
                <w:szCs w:val="16"/>
                <w:lang w:eastAsia="es-CO"/>
              </w:rPr>
              <w:t>Área protegida y/o regulada por el ecosistema</w:t>
            </w:r>
          </w:p>
          <w:p w14:paraId="5D86FCCE" w14:textId="77777777" w:rsidR="00576E9D" w:rsidRPr="00BD1319" w:rsidRDefault="00576E9D" w:rsidP="00B31D36">
            <w:pPr>
              <w:jc w:val="center"/>
              <w:rPr>
                <w:rFonts w:cs="Arial"/>
                <w:color w:val="000000"/>
                <w:sz w:val="16"/>
                <w:szCs w:val="16"/>
                <w:lang w:eastAsia="es-CO"/>
              </w:rPr>
            </w:pPr>
          </w:p>
          <w:p w14:paraId="1E9D4234" w14:textId="77777777" w:rsidR="00576E9D" w:rsidRPr="00BD1319" w:rsidRDefault="00576E9D" w:rsidP="00B31D36">
            <w:pPr>
              <w:numPr>
                <w:ilvl w:val="12"/>
                <w:numId w:val="0"/>
              </w:numPr>
              <w:tabs>
                <w:tab w:val="left" w:pos="-2268"/>
              </w:tabs>
              <w:suppressAutoHyphens/>
              <w:jc w:val="center"/>
              <w:rPr>
                <w:rFonts w:cs="Arial"/>
                <w:spacing w:val="-3"/>
                <w:sz w:val="16"/>
                <w:szCs w:val="16"/>
              </w:rPr>
            </w:pPr>
            <w:r w:rsidRPr="00BD1319">
              <w:rPr>
                <w:rFonts w:cs="Arial"/>
                <w:color w:val="000000"/>
                <w:sz w:val="16"/>
                <w:szCs w:val="16"/>
                <w:lang w:eastAsia="es-CO"/>
              </w:rPr>
              <w:t>(ha)</w:t>
            </w:r>
          </w:p>
        </w:tc>
        <w:tc>
          <w:tcPr>
            <w:tcW w:w="1169" w:type="dxa"/>
          </w:tcPr>
          <w:p w14:paraId="120196CA" w14:textId="77777777" w:rsidR="00576E9D" w:rsidRPr="00BD1319" w:rsidRDefault="00576E9D" w:rsidP="00B31D36">
            <w:pPr>
              <w:numPr>
                <w:ilvl w:val="12"/>
                <w:numId w:val="0"/>
              </w:numPr>
              <w:tabs>
                <w:tab w:val="left" w:pos="-2268"/>
              </w:tabs>
              <w:suppressAutoHyphens/>
              <w:rPr>
                <w:rFonts w:cs="Arial"/>
                <w:spacing w:val="-3"/>
                <w:sz w:val="22"/>
                <w:szCs w:val="22"/>
              </w:rPr>
            </w:pPr>
          </w:p>
        </w:tc>
        <w:tc>
          <w:tcPr>
            <w:tcW w:w="1308" w:type="dxa"/>
            <w:tcMar>
              <w:left w:w="28" w:type="dxa"/>
              <w:right w:w="28" w:type="dxa"/>
            </w:tcMar>
          </w:tcPr>
          <w:p w14:paraId="62028B50" w14:textId="77777777" w:rsidR="00576E9D" w:rsidRPr="00BD1319" w:rsidRDefault="00576E9D" w:rsidP="00B31D36">
            <w:pPr>
              <w:numPr>
                <w:ilvl w:val="12"/>
                <w:numId w:val="0"/>
              </w:numPr>
              <w:tabs>
                <w:tab w:val="left" w:pos="-2268"/>
              </w:tabs>
              <w:suppressAutoHyphens/>
              <w:rPr>
                <w:rFonts w:cs="Arial"/>
                <w:spacing w:val="-3"/>
                <w:sz w:val="22"/>
                <w:szCs w:val="22"/>
              </w:rPr>
            </w:pPr>
          </w:p>
        </w:tc>
        <w:tc>
          <w:tcPr>
            <w:tcW w:w="1290" w:type="dxa"/>
          </w:tcPr>
          <w:p w14:paraId="16A7644A" w14:textId="77777777" w:rsidR="00576E9D" w:rsidRPr="00BD1319" w:rsidRDefault="00576E9D" w:rsidP="00B31D36">
            <w:pPr>
              <w:numPr>
                <w:ilvl w:val="12"/>
                <w:numId w:val="0"/>
              </w:numPr>
              <w:tabs>
                <w:tab w:val="left" w:pos="-2268"/>
              </w:tabs>
              <w:suppressAutoHyphens/>
              <w:rPr>
                <w:rFonts w:cs="Arial"/>
                <w:spacing w:val="-3"/>
                <w:sz w:val="22"/>
                <w:szCs w:val="22"/>
              </w:rPr>
            </w:pPr>
          </w:p>
        </w:tc>
        <w:tc>
          <w:tcPr>
            <w:tcW w:w="1351" w:type="dxa"/>
            <w:tcMar>
              <w:left w:w="28" w:type="dxa"/>
              <w:right w:w="28" w:type="dxa"/>
            </w:tcMar>
          </w:tcPr>
          <w:p w14:paraId="2EBF37C3" w14:textId="77777777" w:rsidR="00576E9D" w:rsidRPr="00BD1319" w:rsidRDefault="00576E9D" w:rsidP="00B31D36">
            <w:pPr>
              <w:numPr>
                <w:ilvl w:val="12"/>
                <w:numId w:val="0"/>
              </w:numPr>
              <w:tabs>
                <w:tab w:val="left" w:pos="-2268"/>
              </w:tabs>
              <w:suppressAutoHyphens/>
              <w:rPr>
                <w:rFonts w:cs="Arial"/>
                <w:spacing w:val="-3"/>
                <w:sz w:val="22"/>
                <w:szCs w:val="22"/>
              </w:rPr>
            </w:pPr>
          </w:p>
        </w:tc>
        <w:tc>
          <w:tcPr>
            <w:tcW w:w="1418" w:type="dxa"/>
          </w:tcPr>
          <w:p w14:paraId="78CAF540" w14:textId="77777777" w:rsidR="00576E9D" w:rsidRPr="00BD1319" w:rsidRDefault="00576E9D" w:rsidP="00B31D36">
            <w:pPr>
              <w:numPr>
                <w:ilvl w:val="12"/>
                <w:numId w:val="0"/>
              </w:numPr>
              <w:tabs>
                <w:tab w:val="left" w:pos="-2268"/>
              </w:tabs>
              <w:suppressAutoHyphens/>
              <w:rPr>
                <w:rFonts w:cs="Arial"/>
                <w:spacing w:val="-3"/>
                <w:sz w:val="22"/>
                <w:szCs w:val="22"/>
              </w:rPr>
            </w:pPr>
          </w:p>
        </w:tc>
        <w:tc>
          <w:tcPr>
            <w:tcW w:w="1559" w:type="dxa"/>
          </w:tcPr>
          <w:p w14:paraId="1D2F880C" w14:textId="77777777" w:rsidR="00576E9D" w:rsidRPr="00BD1319" w:rsidRDefault="00576E9D" w:rsidP="00B31D36">
            <w:pPr>
              <w:numPr>
                <w:ilvl w:val="12"/>
                <w:numId w:val="0"/>
              </w:numPr>
              <w:tabs>
                <w:tab w:val="left" w:pos="-2268"/>
              </w:tabs>
              <w:suppressAutoHyphens/>
              <w:rPr>
                <w:rFonts w:cs="Arial"/>
                <w:spacing w:val="-3"/>
                <w:sz w:val="22"/>
                <w:szCs w:val="22"/>
              </w:rPr>
            </w:pPr>
          </w:p>
        </w:tc>
      </w:tr>
      <w:tr w:rsidR="00576E9D" w:rsidRPr="00BD1319" w14:paraId="6617E322" w14:textId="77777777" w:rsidTr="0082127E">
        <w:trPr>
          <w:cantSplit/>
          <w:trHeight w:val="1134"/>
          <w:jc w:val="center"/>
        </w:trPr>
        <w:tc>
          <w:tcPr>
            <w:tcW w:w="654" w:type="dxa"/>
            <w:vMerge/>
          </w:tcPr>
          <w:p w14:paraId="10104DE6" w14:textId="77777777" w:rsidR="00576E9D" w:rsidRPr="00BD1319" w:rsidRDefault="00576E9D" w:rsidP="00B31D36">
            <w:pPr>
              <w:numPr>
                <w:ilvl w:val="12"/>
                <w:numId w:val="0"/>
              </w:numPr>
              <w:tabs>
                <w:tab w:val="left" w:pos="-2268"/>
              </w:tabs>
              <w:suppressAutoHyphens/>
              <w:rPr>
                <w:rFonts w:cs="Arial"/>
                <w:color w:val="000000"/>
                <w:sz w:val="20"/>
              </w:rPr>
            </w:pPr>
          </w:p>
        </w:tc>
        <w:tc>
          <w:tcPr>
            <w:tcW w:w="1036" w:type="dxa"/>
            <w:tcMar>
              <w:left w:w="28" w:type="dxa"/>
              <w:right w:w="28" w:type="dxa"/>
            </w:tcMar>
            <w:textDirection w:val="btLr"/>
            <w:vAlign w:val="center"/>
          </w:tcPr>
          <w:p w14:paraId="5C893975" w14:textId="77777777" w:rsidR="00576E9D" w:rsidRPr="00BD1319" w:rsidRDefault="00576E9D" w:rsidP="0082127E">
            <w:pPr>
              <w:numPr>
                <w:ilvl w:val="12"/>
                <w:numId w:val="0"/>
              </w:numPr>
              <w:tabs>
                <w:tab w:val="left" w:pos="-2268"/>
              </w:tabs>
              <w:suppressAutoHyphens/>
              <w:ind w:left="113" w:right="113"/>
              <w:jc w:val="center"/>
              <w:rPr>
                <w:rFonts w:cs="Arial"/>
                <w:spacing w:val="-3"/>
                <w:sz w:val="18"/>
                <w:szCs w:val="18"/>
              </w:rPr>
            </w:pPr>
            <w:r w:rsidRPr="00BD1319">
              <w:rPr>
                <w:rFonts w:cs="Arial"/>
                <w:color w:val="000000"/>
                <w:sz w:val="18"/>
                <w:szCs w:val="18"/>
              </w:rPr>
              <w:t xml:space="preserve">Regulación del </w:t>
            </w:r>
            <w:r w:rsidRPr="00BD1319">
              <w:rPr>
                <w:rFonts w:cs="Arial"/>
                <w:color w:val="000000"/>
                <w:sz w:val="18"/>
                <w:szCs w:val="18"/>
                <w:lang w:eastAsia="es-CO"/>
              </w:rPr>
              <w:t>clima</w:t>
            </w:r>
          </w:p>
        </w:tc>
        <w:tc>
          <w:tcPr>
            <w:tcW w:w="2158" w:type="dxa"/>
            <w:vAlign w:val="center"/>
          </w:tcPr>
          <w:p w14:paraId="176E3398" w14:textId="77777777" w:rsidR="00576E9D" w:rsidRPr="00BD1319" w:rsidRDefault="00576E9D" w:rsidP="00B31D36">
            <w:pPr>
              <w:numPr>
                <w:ilvl w:val="12"/>
                <w:numId w:val="0"/>
              </w:numPr>
              <w:tabs>
                <w:tab w:val="left" w:pos="-2268"/>
              </w:tabs>
              <w:suppressAutoHyphens/>
              <w:jc w:val="center"/>
              <w:rPr>
                <w:rFonts w:cs="Arial"/>
                <w:b/>
                <w:spacing w:val="-3"/>
                <w:sz w:val="16"/>
                <w:szCs w:val="16"/>
              </w:rPr>
            </w:pPr>
            <w:r w:rsidRPr="00BD1319">
              <w:rPr>
                <w:rFonts w:cs="Arial"/>
                <w:color w:val="000000"/>
                <w:sz w:val="16"/>
                <w:szCs w:val="16"/>
                <w:lang w:eastAsia="es-CO"/>
              </w:rPr>
              <w:t>Contribución del ecosistema a la captura y almacenamiento de carbono.</w:t>
            </w:r>
          </w:p>
        </w:tc>
        <w:tc>
          <w:tcPr>
            <w:tcW w:w="1446" w:type="dxa"/>
            <w:tcMar>
              <w:left w:w="28" w:type="dxa"/>
              <w:right w:w="28" w:type="dxa"/>
            </w:tcMar>
            <w:vAlign w:val="center"/>
          </w:tcPr>
          <w:p w14:paraId="79BE0BE2" w14:textId="77777777" w:rsidR="00576E9D" w:rsidRPr="00BD1319" w:rsidRDefault="00576E9D" w:rsidP="00B31D36">
            <w:pPr>
              <w:jc w:val="center"/>
              <w:rPr>
                <w:rFonts w:cs="Arial"/>
                <w:color w:val="000000"/>
                <w:sz w:val="16"/>
                <w:szCs w:val="16"/>
                <w:lang w:eastAsia="es-CO"/>
              </w:rPr>
            </w:pPr>
            <w:r w:rsidRPr="00BD1319">
              <w:rPr>
                <w:rFonts w:cs="Arial"/>
                <w:color w:val="000000"/>
                <w:sz w:val="16"/>
                <w:szCs w:val="16"/>
                <w:lang w:eastAsia="es-CO"/>
              </w:rPr>
              <w:t>Masa de carbono por unidad de área</w:t>
            </w:r>
          </w:p>
          <w:p w14:paraId="0ADAC9C0" w14:textId="77777777" w:rsidR="00576E9D" w:rsidRPr="00BD1319" w:rsidRDefault="00576E9D" w:rsidP="00B31D36">
            <w:pPr>
              <w:jc w:val="center"/>
              <w:rPr>
                <w:rFonts w:cs="Arial"/>
                <w:color w:val="000000"/>
                <w:sz w:val="16"/>
                <w:szCs w:val="16"/>
                <w:lang w:eastAsia="es-CO"/>
              </w:rPr>
            </w:pPr>
          </w:p>
          <w:p w14:paraId="067A8CC4" w14:textId="20713128" w:rsidR="00576E9D" w:rsidRPr="00BD1319" w:rsidRDefault="00576E9D" w:rsidP="00B31D36">
            <w:pPr>
              <w:numPr>
                <w:ilvl w:val="12"/>
                <w:numId w:val="0"/>
              </w:numPr>
              <w:tabs>
                <w:tab w:val="left" w:pos="-2268"/>
              </w:tabs>
              <w:suppressAutoHyphens/>
              <w:jc w:val="center"/>
              <w:rPr>
                <w:rFonts w:cs="Arial"/>
                <w:spacing w:val="-3"/>
                <w:sz w:val="16"/>
                <w:szCs w:val="16"/>
              </w:rPr>
            </w:pPr>
            <w:r w:rsidRPr="00BD1319">
              <w:rPr>
                <w:rFonts w:cs="Arial"/>
                <w:color w:val="000000"/>
                <w:sz w:val="16"/>
                <w:szCs w:val="16"/>
                <w:lang w:eastAsia="es-CO"/>
              </w:rPr>
              <w:t>(t</w:t>
            </w:r>
            <w:r w:rsidR="002A4465" w:rsidRPr="00BD1319">
              <w:rPr>
                <w:rFonts w:cs="Arial"/>
                <w:color w:val="000000"/>
                <w:sz w:val="16"/>
                <w:szCs w:val="16"/>
                <w:lang w:eastAsia="es-CO"/>
              </w:rPr>
              <w:t xml:space="preserve"> </w:t>
            </w:r>
            <w:r w:rsidRPr="00BD1319">
              <w:rPr>
                <w:rFonts w:cs="Arial"/>
                <w:color w:val="000000"/>
                <w:sz w:val="16"/>
                <w:szCs w:val="16"/>
                <w:lang w:eastAsia="es-CO"/>
              </w:rPr>
              <w:t>C/ha)</w:t>
            </w:r>
          </w:p>
        </w:tc>
        <w:tc>
          <w:tcPr>
            <w:tcW w:w="1169" w:type="dxa"/>
          </w:tcPr>
          <w:p w14:paraId="2676EFA8" w14:textId="77777777" w:rsidR="00576E9D" w:rsidRPr="00BD1319" w:rsidRDefault="00576E9D" w:rsidP="00B31D36">
            <w:pPr>
              <w:numPr>
                <w:ilvl w:val="12"/>
                <w:numId w:val="0"/>
              </w:numPr>
              <w:tabs>
                <w:tab w:val="left" w:pos="-2268"/>
              </w:tabs>
              <w:suppressAutoHyphens/>
              <w:rPr>
                <w:rFonts w:cs="Arial"/>
                <w:spacing w:val="-3"/>
                <w:sz w:val="22"/>
              </w:rPr>
            </w:pPr>
          </w:p>
        </w:tc>
        <w:tc>
          <w:tcPr>
            <w:tcW w:w="1308" w:type="dxa"/>
            <w:tcMar>
              <w:left w:w="28" w:type="dxa"/>
              <w:right w:w="28" w:type="dxa"/>
            </w:tcMar>
          </w:tcPr>
          <w:p w14:paraId="3BD4B934" w14:textId="77777777" w:rsidR="00576E9D" w:rsidRPr="00BD1319" w:rsidRDefault="00576E9D" w:rsidP="00B31D36">
            <w:pPr>
              <w:numPr>
                <w:ilvl w:val="12"/>
                <w:numId w:val="0"/>
              </w:numPr>
              <w:tabs>
                <w:tab w:val="left" w:pos="-2268"/>
              </w:tabs>
              <w:suppressAutoHyphens/>
              <w:rPr>
                <w:rFonts w:cs="Arial"/>
                <w:spacing w:val="-3"/>
                <w:sz w:val="22"/>
              </w:rPr>
            </w:pPr>
          </w:p>
        </w:tc>
        <w:tc>
          <w:tcPr>
            <w:tcW w:w="1290" w:type="dxa"/>
          </w:tcPr>
          <w:p w14:paraId="6AD1CA11" w14:textId="77777777" w:rsidR="00576E9D" w:rsidRPr="00BD1319" w:rsidRDefault="00576E9D" w:rsidP="00B31D36">
            <w:pPr>
              <w:numPr>
                <w:ilvl w:val="12"/>
                <w:numId w:val="0"/>
              </w:numPr>
              <w:tabs>
                <w:tab w:val="left" w:pos="-2268"/>
              </w:tabs>
              <w:suppressAutoHyphens/>
              <w:rPr>
                <w:rFonts w:cs="Arial"/>
                <w:spacing w:val="-3"/>
                <w:sz w:val="22"/>
              </w:rPr>
            </w:pPr>
          </w:p>
        </w:tc>
        <w:tc>
          <w:tcPr>
            <w:tcW w:w="1351" w:type="dxa"/>
            <w:tcMar>
              <w:left w:w="28" w:type="dxa"/>
              <w:right w:w="28" w:type="dxa"/>
            </w:tcMar>
          </w:tcPr>
          <w:p w14:paraId="0D41E7A3" w14:textId="77777777" w:rsidR="00576E9D" w:rsidRPr="00BD1319" w:rsidRDefault="00576E9D" w:rsidP="00B31D36">
            <w:pPr>
              <w:numPr>
                <w:ilvl w:val="12"/>
                <w:numId w:val="0"/>
              </w:numPr>
              <w:tabs>
                <w:tab w:val="left" w:pos="-2268"/>
              </w:tabs>
              <w:suppressAutoHyphens/>
              <w:rPr>
                <w:rFonts w:cs="Arial"/>
                <w:spacing w:val="-3"/>
                <w:sz w:val="22"/>
              </w:rPr>
            </w:pPr>
          </w:p>
        </w:tc>
        <w:tc>
          <w:tcPr>
            <w:tcW w:w="1418" w:type="dxa"/>
          </w:tcPr>
          <w:p w14:paraId="34601CA0" w14:textId="77777777" w:rsidR="00576E9D" w:rsidRPr="00BD1319" w:rsidRDefault="00576E9D" w:rsidP="00B31D36">
            <w:pPr>
              <w:numPr>
                <w:ilvl w:val="12"/>
                <w:numId w:val="0"/>
              </w:numPr>
              <w:tabs>
                <w:tab w:val="left" w:pos="-2268"/>
              </w:tabs>
              <w:suppressAutoHyphens/>
              <w:rPr>
                <w:rFonts w:cs="Arial"/>
                <w:spacing w:val="-3"/>
                <w:sz w:val="22"/>
              </w:rPr>
            </w:pPr>
          </w:p>
        </w:tc>
        <w:tc>
          <w:tcPr>
            <w:tcW w:w="1559" w:type="dxa"/>
          </w:tcPr>
          <w:p w14:paraId="6636F9BE" w14:textId="77777777" w:rsidR="00576E9D" w:rsidRPr="00BD1319" w:rsidRDefault="00576E9D" w:rsidP="00B31D36">
            <w:pPr>
              <w:numPr>
                <w:ilvl w:val="12"/>
                <w:numId w:val="0"/>
              </w:numPr>
              <w:tabs>
                <w:tab w:val="left" w:pos="-2268"/>
              </w:tabs>
              <w:suppressAutoHyphens/>
              <w:rPr>
                <w:rFonts w:cs="Arial"/>
                <w:spacing w:val="-3"/>
                <w:sz w:val="22"/>
              </w:rPr>
            </w:pPr>
          </w:p>
        </w:tc>
      </w:tr>
      <w:tr w:rsidR="00576E9D" w:rsidRPr="00BD1319" w14:paraId="49D6AAC8" w14:textId="77777777" w:rsidTr="0082127E">
        <w:trPr>
          <w:cantSplit/>
          <w:trHeight w:val="1134"/>
          <w:jc w:val="center"/>
        </w:trPr>
        <w:tc>
          <w:tcPr>
            <w:tcW w:w="654" w:type="dxa"/>
            <w:vMerge/>
          </w:tcPr>
          <w:p w14:paraId="3D718BE2" w14:textId="77777777" w:rsidR="00576E9D" w:rsidRPr="00BD1319" w:rsidRDefault="00576E9D" w:rsidP="00B31D36">
            <w:pPr>
              <w:numPr>
                <w:ilvl w:val="12"/>
                <w:numId w:val="0"/>
              </w:numPr>
              <w:tabs>
                <w:tab w:val="left" w:pos="-2268"/>
              </w:tabs>
              <w:suppressAutoHyphens/>
              <w:rPr>
                <w:rFonts w:cs="Arial"/>
                <w:color w:val="000000"/>
                <w:sz w:val="20"/>
              </w:rPr>
            </w:pPr>
          </w:p>
        </w:tc>
        <w:tc>
          <w:tcPr>
            <w:tcW w:w="1036" w:type="dxa"/>
            <w:tcMar>
              <w:left w:w="28" w:type="dxa"/>
              <w:right w:w="28" w:type="dxa"/>
            </w:tcMar>
            <w:textDirection w:val="btLr"/>
            <w:vAlign w:val="center"/>
          </w:tcPr>
          <w:p w14:paraId="48103298" w14:textId="77777777" w:rsidR="00576E9D" w:rsidRPr="00BD1319" w:rsidRDefault="00576E9D" w:rsidP="0082127E">
            <w:pPr>
              <w:numPr>
                <w:ilvl w:val="12"/>
                <w:numId w:val="0"/>
              </w:numPr>
              <w:tabs>
                <w:tab w:val="left" w:pos="-2268"/>
              </w:tabs>
              <w:suppressAutoHyphens/>
              <w:ind w:left="113" w:right="113"/>
              <w:jc w:val="center"/>
              <w:rPr>
                <w:rFonts w:cs="Arial"/>
                <w:spacing w:val="-3"/>
                <w:sz w:val="18"/>
                <w:szCs w:val="18"/>
              </w:rPr>
            </w:pPr>
            <w:r w:rsidRPr="00BD1319">
              <w:rPr>
                <w:rFonts w:cs="Arial"/>
                <w:color w:val="000000"/>
                <w:sz w:val="18"/>
                <w:szCs w:val="18"/>
                <w:lang w:eastAsia="es-CO"/>
              </w:rPr>
              <w:t>Regulación de nutrientes</w:t>
            </w:r>
          </w:p>
        </w:tc>
        <w:tc>
          <w:tcPr>
            <w:tcW w:w="2158" w:type="dxa"/>
            <w:vAlign w:val="center"/>
          </w:tcPr>
          <w:p w14:paraId="3071D4BA" w14:textId="77777777" w:rsidR="00576E9D" w:rsidRPr="00BD1319" w:rsidRDefault="00576E9D" w:rsidP="00B31D36">
            <w:pPr>
              <w:numPr>
                <w:ilvl w:val="12"/>
                <w:numId w:val="0"/>
              </w:numPr>
              <w:tabs>
                <w:tab w:val="left" w:pos="-2268"/>
              </w:tabs>
              <w:suppressAutoHyphens/>
              <w:jc w:val="center"/>
              <w:rPr>
                <w:rFonts w:cs="Arial"/>
                <w:b/>
                <w:spacing w:val="-3"/>
                <w:sz w:val="16"/>
                <w:szCs w:val="16"/>
              </w:rPr>
            </w:pPr>
            <w:r w:rsidRPr="00BD1319">
              <w:rPr>
                <w:rFonts w:cs="Arial"/>
                <w:color w:val="000000"/>
                <w:sz w:val="16"/>
                <w:szCs w:val="16"/>
                <w:lang w:eastAsia="es-CO"/>
              </w:rPr>
              <w:t>Contribución del ecosistema al almacenamiento y aporte de nutrientes en el suelo</w:t>
            </w:r>
          </w:p>
        </w:tc>
        <w:tc>
          <w:tcPr>
            <w:tcW w:w="1446" w:type="dxa"/>
            <w:tcMar>
              <w:left w:w="28" w:type="dxa"/>
              <w:right w:w="28" w:type="dxa"/>
            </w:tcMar>
            <w:vAlign w:val="center"/>
          </w:tcPr>
          <w:p w14:paraId="19FA9F71" w14:textId="77777777" w:rsidR="00576E9D" w:rsidRPr="00BD1319" w:rsidRDefault="00576E9D" w:rsidP="00B31D36">
            <w:pPr>
              <w:jc w:val="center"/>
              <w:rPr>
                <w:rFonts w:cs="Arial"/>
                <w:color w:val="000000"/>
                <w:sz w:val="16"/>
                <w:szCs w:val="16"/>
                <w:lang w:eastAsia="es-CO"/>
              </w:rPr>
            </w:pPr>
            <w:r w:rsidRPr="00BD1319">
              <w:rPr>
                <w:rFonts w:cs="Arial"/>
                <w:color w:val="000000"/>
                <w:sz w:val="16"/>
                <w:szCs w:val="16"/>
                <w:lang w:eastAsia="es-CO"/>
              </w:rPr>
              <w:t>Cantidad o flujo de nutrientes por unidad de área</w:t>
            </w:r>
          </w:p>
          <w:p w14:paraId="3EC36A8C" w14:textId="77777777" w:rsidR="00576E9D" w:rsidRPr="00BD1319" w:rsidRDefault="00576E9D" w:rsidP="00B31D36">
            <w:pPr>
              <w:jc w:val="center"/>
              <w:rPr>
                <w:rFonts w:cs="Arial"/>
                <w:color w:val="000000"/>
                <w:sz w:val="16"/>
                <w:szCs w:val="16"/>
                <w:lang w:eastAsia="es-CO"/>
              </w:rPr>
            </w:pPr>
          </w:p>
          <w:p w14:paraId="69DB550C" w14:textId="77777777" w:rsidR="00576E9D" w:rsidRPr="00BD1319" w:rsidRDefault="00576E9D" w:rsidP="00B31D36">
            <w:pPr>
              <w:numPr>
                <w:ilvl w:val="12"/>
                <w:numId w:val="0"/>
              </w:numPr>
              <w:tabs>
                <w:tab w:val="left" w:pos="-2268"/>
              </w:tabs>
              <w:suppressAutoHyphens/>
              <w:jc w:val="center"/>
              <w:rPr>
                <w:rFonts w:cs="Arial"/>
                <w:spacing w:val="-3"/>
                <w:sz w:val="16"/>
                <w:szCs w:val="16"/>
              </w:rPr>
            </w:pPr>
            <w:r w:rsidRPr="00BD1319">
              <w:rPr>
                <w:rFonts w:cs="Arial"/>
                <w:color w:val="000000"/>
                <w:sz w:val="16"/>
                <w:szCs w:val="16"/>
                <w:lang w:eastAsia="es-CO"/>
              </w:rPr>
              <w:t>(cantidad de nutriente/ha)</w:t>
            </w:r>
          </w:p>
        </w:tc>
        <w:tc>
          <w:tcPr>
            <w:tcW w:w="1169" w:type="dxa"/>
          </w:tcPr>
          <w:p w14:paraId="1E5AA58C" w14:textId="77777777" w:rsidR="00576E9D" w:rsidRPr="00BD1319" w:rsidRDefault="00576E9D" w:rsidP="00B31D36">
            <w:pPr>
              <w:numPr>
                <w:ilvl w:val="12"/>
                <w:numId w:val="0"/>
              </w:numPr>
              <w:tabs>
                <w:tab w:val="left" w:pos="-2268"/>
              </w:tabs>
              <w:suppressAutoHyphens/>
              <w:rPr>
                <w:rFonts w:cs="Arial"/>
                <w:spacing w:val="-3"/>
                <w:sz w:val="22"/>
              </w:rPr>
            </w:pPr>
          </w:p>
        </w:tc>
        <w:tc>
          <w:tcPr>
            <w:tcW w:w="1308" w:type="dxa"/>
            <w:tcMar>
              <w:left w:w="28" w:type="dxa"/>
              <w:right w:w="28" w:type="dxa"/>
            </w:tcMar>
          </w:tcPr>
          <w:p w14:paraId="168DACD3" w14:textId="77777777" w:rsidR="00576E9D" w:rsidRPr="00BD1319" w:rsidRDefault="00576E9D" w:rsidP="00B31D36">
            <w:pPr>
              <w:numPr>
                <w:ilvl w:val="12"/>
                <w:numId w:val="0"/>
              </w:numPr>
              <w:tabs>
                <w:tab w:val="left" w:pos="-2268"/>
              </w:tabs>
              <w:suppressAutoHyphens/>
              <w:rPr>
                <w:rFonts w:cs="Arial"/>
                <w:spacing w:val="-3"/>
                <w:sz w:val="22"/>
              </w:rPr>
            </w:pPr>
          </w:p>
        </w:tc>
        <w:tc>
          <w:tcPr>
            <w:tcW w:w="1290" w:type="dxa"/>
          </w:tcPr>
          <w:p w14:paraId="542BE0A2" w14:textId="77777777" w:rsidR="00576E9D" w:rsidRPr="00BD1319" w:rsidRDefault="00576E9D" w:rsidP="00B31D36">
            <w:pPr>
              <w:numPr>
                <w:ilvl w:val="12"/>
                <w:numId w:val="0"/>
              </w:numPr>
              <w:tabs>
                <w:tab w:val="left" w:pos="-2268"/>
              </w:tabs>
              <w:suppressAutoHyphens/>
              <w:rPr>
                <w:rFonts w:cs="Arial"/>
                <w:spacing w:val="-3"/>
                <w:sz w:val="22"/>
              </w:rPr>
            </w:pPr>
          </w:p>
        </w:tc>
        <w:tc>
          <w:tcPr>
            <w:tcW w:w="1351" w:type="dxa"/>
            <w:tcMar>
              <w:left w:w="28" w:type="dxa"/>
              <w:right w:w="28" w:type="dxa"/>
            </w:tcMar>
          </w:tcPr>
          <w:p w14:paraId="325599B8" w14:textId="77777777" w:rsidR="00576E9D" w:rsidRPr="00BD1319" w:rsidRDefault="00576E9D" w:rsidP="00B31D36">
            <w:pPr>
              <w:numPr>
                <w:ilvl w:val="12"/>
                <w:numId w:val="0"/>
              </w:numPr>
              <w:tabs>
                <w:tab w:val="left" w:pos="-2268"/>
              </w:tabs>
              <w:suppressAutoHyphens/>
              <w:rPr>
                <w:rFonts w:cs="Arial"/>
                <w:spacing w:val="-3"/>
                <w:sz w:val="22"/>
              </w:rPr>
            </w:pPr>
          </w:p>
        </w:tc>
        <w:tc>
          <w:tcPr>
            <w:tcW w:w="1418" w:type="dxa"/>
          </w:tcPr>
          <w:p w14:paraId="18F6ECC8" w14:textId="77777777" w:rsidR="00576E9D" w:rsidRPr="00BD1319" w:rsidRDefault="00576E9D" w:rsidP="00B31D36">
            <w:pPr>
              <w:numPr>
                <w:ilvl w:val="12"/>
                <w:numId w:val="0"/>
              </w:numPr>
              <w:tabs>
                <w:tab w:val="left" w:pos="-2268"/>
              </w:tabs>
              <w:suppressAutoHyphens/>
              <w:rPr>
                <w:rFonts w:cs="Arial"/>
                <w:spacing w:val="-3"/>
                <w:sz w:val="22"/>
              </w:rPr>
            </w:pPr>
          </w:p>
        </w:tc>
        <w:tc>
          <w:tcPr>
            <w:tcW w:w="1559" w:type="dxa"/>
          </w:tcPr>
          <w:p w14:paraId="53E66C54" w14:textId="77777777" w:rsidR="00576E9D" w:rsidRPr="00BD1319" w:rsidRDefault="00576E9D" w:rsidP="00B31D36">
            <w:pPr>
              <w:numPr>
                <w:ilvl w:val="12"/>
                <w:numId w:val="0"/>
              </w:numPr>
              <w:tabs>
                <w:tab w:val="left" w:pos="-2268"/>
              </w:tabs>
              <w:suppressAutoHyphens/>
              <w:rPr>
                <w:rFonts w:cs="Arial"/>
                <w:spacing w:val="-3"/>
                <w:sz w:val="22"/>
              </w:rPr>
            </w:pPr>
          </w:p>
        </w:tc>
      </w:tr>
      <w:tr w:rsidR="00576E9D" w:rsidRPr="00BD1319" w14:paraId="72E3CB16" w14:textId="77777777" w:rsidTr="0082127E">
        <w:trPr>
          <w:cantSplit/>
          <w:trHeight w:val="1134"/>
          <w:jc w:val="center"/>
        </w:trPr>
        <w:tc>
          <w:tcPr>
            <w:tcW w:w="654" w:type="dxa"/>
            <w:vMerge/>
          </w:tcPr>
          <w:p w14:paraId="4B629372" w14:textId="77777777" w:rsidR="00576E9D" w:rsidRPr="00BD1319" w:rsidRDefault="00576E9D" w:rsidP="00B31D36">
            <w:pPr>
              <w:numPr>
                <w:ilvl w:val="12"/>
                <w:numId w:val="0"/>
              </w:numPr>
              <w:tabs>
                <w:tab w:val="left" w:pos="-2268"/>
              </w:tabs>
              <w:suppressAutoHyphens/>
              <w:rPr>
                <w:rFonts w:cs="Arial"/>
                <w:color w:val="000000"/>
                <w:sz w:val="20"/>
              </w:rPr>
            </w:pPr>
          </w:p>
        </w:tc>
        <w:tc>
          <w:tcPr>
            <w:tcW w:w="1036" w:type="dxa"/>
            <w:tcMar>
              <w:left w:w="28" w:type="dxa"/>
              <w:right w:w="28" w:type="dxa"/>
            </w:tcMar>
            <w:textDirection w:val="btLr"/>
            <w:vAlign w:val="center"/>
          </w:tcPr>
          <w:p w14:paraId="1FBF5F9F" w14:textId="77777777" w:rsidR="00576E9D" w:rsidRPr="00BD1319" w:rsidRDefault="00576E9D" w:rsidP="0082127E">
            <w:pPr>
              <w:numPr>
                <w:ilvl w:val="12"/>
                <w:numId w:val="0"/>
              </w:numPr>
              <w:tabs>
                <w:tab w:val="left" w:pos="-2268"/>
              </w:tabs>
              <w:suppressAutoHyphens/>
              <w:ind w:left="113" w:right="113"/>
              <w:jc w:val="center"/>
              <w:rPr>
                <w:rFonts w:cs="Arial"/>
                <w:spacing w:val="-3"/>
                <w:sz w:val="18"/>
                <w:szCs w:val="18"/>
              </w:rPr>
            </w:pPr>
            <w:r w:rsidRPr="00BD1319">
              <w:rPr>
                <w:rFonts w:cs="Arial"/>
                <w:color w:val="000000"/>
                <w:sz w:val="18"/>
                <w:szCs w:val="18"/>
                <w:lang w:eastAsia="es-CO"/>
              </w:rPr>
              <w:t>Regulación oferta hídrica</w:t>
            </w:r>
          </w:p>
        </w:tc>
        <w:tc>
          <w:tcPr>
            <w:tcW w:w="2158" w:type="dxa"/>
            <w:vAlign w:val="center"/>
          </w:tcPr>
          <w:p w14:paraId="0BC41D1F" w14:textId="77777777" w:rsidR="00576E9D" w:rsidRPr="00BD1319" w:rsidRDefault="00576E9D" w:rsidP="00B31D36">
            <w:pPr>
              <w:numPr>
                <w:ilvl w:val="12"/>
                <w:numId w:val="0"/>
              </w:numPr>
              <w:tabs>
                <w:tab w:val="left" w:pos="-2268"/>
              </w:tabs>
              <w:suppressAutoHyphens/>
              <w:jc w:val="center"/>
              <w:rPr>
                <w:rFonts w:cs="Arial"/>
                <w:b/>
                <w:spacing w:val="-3"/>
                <w:sz w:val="16"/>
                <w:szCs w:val="16"/>
              </w:rPr>
            </w:pPr>
            <w:r w:rsidRPr="00BD1319">
              <w:rPr>
                <w:rFonts w:cs="Arial"/>
                <w:color w:val="000000"/>
                <w:sz w:val="16"/>
                <w:szCs w:val="16"/>
                <w:lang w:eastAsia="es-CO"/>
              </w:rPr>
              <w:t>Contribución del ecosistema al flujo base (agua subterránea) y a la escorrentía superficial.</w:t>
            </w:r>
          </w:p>
        </w:tc>
        <w:tc>
          <w:tcPr>
            <w:tcW w:w="1446" w:type="dxa"/>
            <w:tcMar>
              <w:left w:w="28" w:type="dxa"/>
              <w:right w:w="28" w:type="dxa"/>
            </w:tcMar>
            <w:vAlign w:val="center"/>
          </w:tcPr>
          <w:p w14:paraId="7D9DF73D" w14:textId="77777777" w:rsidR="00576E9D" w:rsidRPr="00BD1319" w:rsidRDefault="00576E9D" w:rsidP="00B31D36">
            <w:pPr>
              <w:jc w:val="center"/>
              <w:rPr>
                <w:rFonts w:cs="Arial"/>
                <w:color w:val="000000"/>
                <w:sz w:val="16"/>
                <w:szCs w:val="16"/>
                <w:lang w:eastAsia="es-CO"/>
              </w:rPr>
            </w:pPr>
            <w:r w:rsidRPr="00BD1319">
              <w:rPr>
                <w:rFonts w:cs="Arial"/>
                <w:color w:val="000000"/>
                <w:sz w:val="16"/>
                <w:szCs w:val="16"/>
                <w:lang w:eastAsia="es-CO"/>
              </w:rPr>
              <w:t>Caudal de agua de flujo base por unidad de área</w:t>
            </w:r>
          </w:p>
          <w:p w14:paraId="3022DC37" w14:textId="77777777" w:rsidR="00576E9D" w:rsidRPr="00BD1319" w:rsidRDefault="00576E9D" w:rsidP="00B31D36">
            <w:pPr>
              <w:jc w:val="center"/>
              <w:rPr>
                <w:rFonts w:cs="Arial"/>
                <w:color w:val="000000"/>
                <w:sz w:val="16"/>
                <w:szCs w:val="16"/>
                <w:lang w:eastAsia="es-CO"/>
              </w:rPr>
            </w:pPr>
          </w:p>
          <w:p w14:paraId="446709F7" w14:textId="77777777" w:rsidR="00576E9D" w:rsidRPr="00BD1319" w:rsidRDefault="00576E9D" w:rsidP="00B31D36">
            <w:pPr>
              <w:jc w:val="center"/>
              <w:rPr>
                <w:rFonts w:cs="Arial"/>
                <w:color w:val="000000"/>
                <w:sz w:val="16"/>
                <w:szCs w:val="16"/>
                <w:lang w:eastAsia="es-CO"/>
              </w:rPr>
            </w:pPr>
            <w:r w:rsidRPr="00BD1319">
              <w:rPr>
                <w:rFonts w:cs="Arial"/>
                <w:color w:val="000000"/>
                <w:sz w:val="16"/>
                <w:szCs w:val="16"/>
                <w:lang w:eastAsia="es-CO"/>
              </w:rPr>
              <w:t>(caudal de escorrentía superficial por unidad de área)</w:t>
            </w:r>
          </w:p>
          <w:p w14:paraId="3FF6165B" w14:textId="77777777" w:rsidR="00576E9D" w:rsidRPr="00BD1319" w:rsidRDefault="00576E9D" w:rsidP="00B31D36">
            <w:pPr>
              <w:jc w:val="center"/>
              <w:rPr>
                <w:rFonts w:cs="Arial"/>
                <w:color w:val="000000"/>
                <w:sz w:val="16"/>
                <w:szCs w:val="16"/>
                <w:lang w:eastAsia="es-CO"/>
              </w:rPr>
            </w:pPr>
          </w:p>
          <w:p w14:paraId="5EC481CA" w14:textId="77777777" w:rsidR="00576E9D" w:rsidRPr="00BD1319" w:rsidRDefault="00576E9D" w:rsidP="00B31D36">
            <w:pPr>
              <w:numPr>
                <w:ilvl w:val="12"/>
                <w:numId w:val="0"/>
              </w:numPr>
              <w:tabs>
                <w:tab w:val="left" w:pos="-2268"/>
              </w:tabs>
              <w:suppressAutoHyphens/>
              <w:jc w:val="center"/>
              <w:rPr>
                <w:rFonts w:cs="Arial"/>
                <w:spacing w:val="-3"/>
                <w:sz w:val="16"/>
                <w:szCs w:val="16"/>
              </w:rPr>
            </w:pPr>
            <w:r w:rsidRPr="00BD1319">
              <w:rPr>
                <w:rFonts w:cs="Arial"/>
                <w:color w:val="000000"/>
                <w:sz w:val="16"/>
                <w:szCs w:val="16"/>
                <w:lang w:eastAsia="es-CO"/>
              </w:rPr>
              <w:t>(m</w:t>
            </w:r>
            <w:r w:rsidRPr="00BD1319">
              <w:rPr>
                <w:rFonts w:cs="Arial"/>
                <w:color w:val="000000"/>
                <w:sz w:val="16"/>
                <w:szCs w:val="16"/>
                <w:vertAlign w:val="superscript"/>
                <w:lang w:eastAsia="es-CO"/>
              </w:rPr>
              <w:t>3</w:t>
            </w:r>
            <w:r w:rsidRPr="00BD1319">
              <w:rPr>
                <w:rFonts w:cs="Arial"/>
                <w:color w:val="000000"/>
                <w:sz w:val="16"/>
                <w:szCs w:val="16"/>
                <w:lang w:eastAsia="es-CO"/>
              </w:rPr>
              <w:t>/s/ha)</w:t>
            </w:r>
          </w:p>
        </w:tc>
        <w:tc>
          <w:tcPr>
            <w:tcW w:w="1169" w:type="dxa"/>
          </w:tcPr>
          <w:p w14:paraId="33B40F54" w14:textId="77777777" w:rsidR="00576E9D" w:rsidRPr="00BD1319" w:rsidRDefault="00576E9D" w:rsidP="00B31D36">
            <w:pPr>
              <w:numPr>
                <w:ilvl w:val="12"/>
                <w:numId w:val="0"/>
              </w:numPr>
              <w:tabs>
                <w:tab w:val="left" w:pos="-2268"/>
              </w:tabs>
              <w:suppressAutoHyphens/>
              <w:rPr>
                <w:rFonts w:cs="Arial"/>
                <w:spacing w:val="-3"/>
                <w:sz w:val="22"/>
              </w:rPr>
            </w:pPr>
          </w:p>
        </w:tc>
        <w:tc>
          <w:tcPr>
            <w:tcW w:w="1308" w:type="dxa"/>
            <w:tcMar>
              <w:left w:w="28" w:type="dxa"/>
              <w:right w:w="28" w:type="dxa"/>
            </w:tcMar>
          </w:tcPr>
          <w:p w14:paraId="1DBCE767" w14:textId="77777777" w:rsidR="00576E9D" w:rsidRPr="00BD1319" w:rsidRDefault="00576E9D" w:rsidP="00B31D36">
            <w:pPr>
              <w:numPr>
                <w:ilvl w:val="12"/>
                <w:numId w:val="0"/>
              </w:numPr>
              <w:tabs>
                <w:tab w:val="left" w:pos="-2268"/>
              </w:tabs>
              <w:suppressAutoHyphens/>
              <w:rPr>
                <w:rFonts w:cs="Arial"/>
                <w:spacing w:val="-3"/>
                <w:sz w:val="22"/>
              </w:rPr>
            </w:pPr>
          </w:p>
        </w:tc>
        <w:tc>
          <w:tcPr>
            <w:tcW w:w="1290" w:type="dxa"/>
          </w:tcPr>
          <w:p w14:paraId="730624BE" w14:textId="77777777" w:rsidR="00576E9D" w:rsidRPr="00BD1319" w:rsidRDefault="00576E9D" w:rsidP="00B31D36">
            <w:pPr>
              <w:numPr>
                <w:ilvl w:val="12"/>
                <w:numId w:val="0"/>
              </w:numPr>
              <w:tabs>
                <w:tab w:val="left" w:pos="-2268"/>
              </w:tabs>
              <w:suppressAutoHyphens/>
              <w:rPr>
                <w:rFonts w:cs="Arial"/>
                <w:spacing w:val="-3"/>
                <w:sz w:val="22"/>
              </w:rPr>
            </w:pPr>
          </w:p>
        </w:tc>
        <w:tc>
          <w:tcPr>
            <w:tcW w:w="1351" w:type="dxa"/>
            <w:tcMar>
              <w:left w:w="28" w:type="dxa"/>
              <w:right w:w="28" w:type="dxa"/>
            </w:tcMar>
          </w:tcPr>
          <w:p w14:paraId="4DBC946B" w14:textId="77777777" w:rsidR="00576E9D" w:rsidRPr="00BD1319" w:rsidRDefault="00576E9D" w:rsidP="00B31D36">
            <w:pPr>
              <w:numPr>
                <w:ilvl w:val="12"/>
                <w:numId w:val="0"/>
              </w:numPr>
              <w:tabs>
                <w:tab w:val="left" w:pos="-2268"/>
              </w:tabs>
              <w:suppressAutoHyphens/>
              <w:rPr>
                <w:rFonts w:cs="Arial"/>
                <w:spacing w:val="-3"/>
                <w:sz w:val="22"/>
              </w:rPr>
            </w:pPr>
          </w:p>
        </w:tc>
        <w:tc>
          <w:tcPr>
            <w:tcW w:w="1418" w:type="dxa"/>
          </w:tcPr>
          <w:p w14:paraId="5696AF67" w14:textId="77777777" w:rsidR="00576E9D" w:rsidRPr="00BD1319" w:rsidRDefault="00576E9D" w:rsidP="00B31D36">
            <w:pPr>
              <w:numPr>
                <w:ilvl w:val="12"/>
                <w:numId w:val="0"/>
              </w:numPr>
              <w:tabs>
                <w:tab w:val="left" w:pos="-2268"/>
              </w:tabs>
              <w:suppressAutoHyphens/>
              <w:rPr>
                <w:rFonts w:cs="Arial"/>
                <w:spacing w:val="-3"/>
                <w:sz w:val="22"/>
              </w:rPr>
            </w:pPr>
          </w:p>
        </w:tc>
        <w:tc>
          <w:tcPr>
            <w:tcW w:w="1559" w:type="dxa"/>
          </w:tcPr>
          <w:p w14:paraId="6DD3D6C9" w14:textId="77777777" w:rsidR="00576E9D" w:rsidRPr="00BD1319" w:rsidRDefault="00576E9D" w:rsidP="00B31D36">
            <w:pPr>
              <w:numPr>
                <w:ilvl w:val="12"/>
                <w:numId w:val="0"/>
              </w:numPr>
              <w:tabs>
                <w:tab w:val="left" w:pos="-2268"/>
              </w:tabs>
              <w:suppressAutoHyphens/>
              <w:rPr>
                <w:rFonts w:cs="Arial"/>
                <w:spacing w:val="-3"/>
                <w:sz w:val="22"/>
              </w:rPr>
            </w:pPr>
          </w:p>
        </w:tc>
      </w:tr>
      <w:tr w:rsidR="00576E9D" w:rsidRPr="00BD1319" w14:paraId="47F42442" w14:textId="77777777" w:rsidTr="0082127E">
        <w:trPr>
          <w:cantSplit/>
          <w:trHeight w:val="1134"/>
          <w:jc w:val="center"/>
        </w:trPr>
        <w:tc>
          <w:tcPr>
            <w:tcW w:w="654" w:type="dxa"/>
            <w:vMerge/>
          </w:tcPr>
          <w:p w14:paraId="27F304C1" w14:textId="77777777" w:rsidR="00576E9D" w:rsidRPr="00BD1319" w:rsidRDefault="00576E9D" w:rsidP="00B31D36">
            <w:pPr>
              <w:numPr>
                <w:ilvl w:val="12"/>
                <w:numId w:val="0"/>
              </w:numPr>
              <w:tabs>
                <w:tab w:val="left" w:pos="-2268"/>
              </w:tabs>
              <w:suppressAutoHyphens/>
              <w:rPr>
                <w:rFonts w:cs="Arial"/>
                <w:color w:val="000000"/>
                <w:sz w:val="20"/>
              </w:rPr>
            </w:pPr>
          </w:p>
        </w:tc>
        <w:tc>
          <w:tcPr>
            <w:tcW w:w="1036" w:type="dxa"/>
            <w:tcMar>
              <w:left w:w="28" w:type="dxa"/>
              <w:right w:w="28" w:type="dxa"/>
            </w:tcMar>
            <w:textDirection w:val="btLr"/>
            <w:vAlign w:val="center"/>
          </w:tcPr>
          <w:p w14:paraId="310A1A09" w14:textId="77777777" w:rsidR="00576E9D" w:rsidRPr="00BD1319" w:rsidRDefault="00576E9D" w:rsidP="0082127E">
            <w:pPr>
              <w:numPr>
                <w:ilvl w:val="12"/>
                <w:numId w:val="0"/>
              </w:numPr>
              <w:tabs>
                <w:tab w:val="left" w:pos="-2268"/>
              </w:tabs>
              <w:suppressAutoHyphens/>
              <w:ind w:left="113" w:right="113"/>
              <w:jc w:val="center"/>
              <w:rPr>
                <w:rFonts w:cs="Arial"/>
                <w:spacing w:val="-3"/>
                <w:sz w:val="18"/>
                <w:szCs w:val="18"/>
              </w:rPr>
            </w:pPr>
            <w:r w:rsidRPr="00BD1319">
              <w:rPr>
                <w:rFonts w:cs="Arial"/>
                <w:color w:val="000000"/>
                <w:sz w:val="18"/>
                <w:szCs w:val="18"/>
              </w:rPr>
              <w:t xml:space="preserve">Regulación </w:t>
            </w:r>
            <w:r w:rsidRPr="00BD1319">
              <w:rPr>
                <w:rFonts w:cs="Arial"/>
                <w:color w:val="000000"/>
                <w:sz w:val="18"/>
                <w:szCs w:val="18"/>
                <w:lang w:eastAsia="es-CO"/>
              </w:rPr>
              <w:t xml:space="preserve">calidad </w:t>
            </w:r>
            <w:r w:rsidRPr="00BD1319">
              <w:rPr>
                <w:rFonts w:cs="Arial"/>
                <w:color w:val="000000"/>
                <w:sz w:val="18"/>
                <w:szCs w:val="18"/>
              </w:rPr>
              <w:t>hídrica</w:t>
            </w:r>
          </w:p>
        </w:tc>
        <w:tc>
          <w:tcPr>
            <w:tcW w:w="2158" w:type="dxa"/>
            <w:vAlign w:val="center"/>
          </w:tcPr>
          <w:p w14:paraId="6B958E67" w14:textId="77777777" w:rsidR="00576E9D" w:rsidRPr="00BD1319" w:rsidRDefault="00576E9D" w:rsidP="00B31D36">
            <w:pPr>
              <w:numPr>
                <w:ilvl w:val="12"/>
                <w:numId w:val="0"/>
              </w:numPr>
              <w:tabs>
                <w:tab w:val="left" w:pos="-2268"/>
              </w:tabs>
              <w:suppressAutoHyphens/>
              <w:jc w:val="center"/>
              <w:rPr>
                <w:rFonts w:cs="Arial"/>
                <w:b/>
                <w:spacing w:val="-3"/>
                <w:sz w:val="16"/>
                <w:szCs w:val="16"/>
              </w:rPr>
            </w:pPr>
            <w:r w:rsidRPr="00BD1319">
              <w:rPr>
                <w:rFonts w:cs="Arial"/>
                <w:color w:val="000000"/>
                <w:sz w:val="16"/>
                <w:szCs w:val="16"/>
                <w:lang w:eastAsia="es-CO"/>
              </w:rPr>
              <w:t>Capacidad del sistema para asimilar una carga de contaminantes en aguas superficiales y/o subterráneas</w:t>
            </w:r>
          </w:p>
        </w:tc>
        <w:tc>
          <w:tcPr>
            <w:tcW w:w="1446" w:type="dxa"/>
            <w:tcMar>
              <w:left w:w="28" w:type="dxa"/>
              <w:right w:w="28" w:type="dxa"/>
            </w:tcMar>
            <w:vAlign w:val="center"/>
          </w:tcPr>
          <w:p w14:paraId="22DC633C" w14:textId="77777777" w:rsidR="00A86832" w:rsidRPr="00BD1319" w:rsidRDefault="00A86832" w:rsidP="00B31D36">
            <w:pPr>
              <w:jc w:val="center"/>
              <w:rPr>
                <w:rFonts w:cs="Arial"/>
                <w:color w:val="000000"/>
                <w:sz w:val="16"/>
                <w:szCs w:val="16"/>
                <w:lang w:eastAsia="es-CO"/>
              </w:rPr>
            </w:pPr>
          </w:p>
          <w:p w14:paraId="6384FC07" w14:textId="1375A234" w:rsidR="00576E9D" w:rsidRPr="00BD1319" w:rsidRDefault="00576E9D" w:rsidP="00B31D36">
            <w:pPr>
              <w:jc w:val="center"/>
              <w:rPr>
                <w:rFonts w:cs="Arial"/>
                <w:color w:val="000000"/>
                <w:sz w:val="16"/>
                <w:szCs w:val="16"/>
                <w:lang w:eastAsia="es-CO"/>
              </w:rPr>
            </w:pPr>
            <w:r w:rsidRPr="00BD1319">
              <w:rPr>
                <w:rFonts w:cs="Arial"/>
                <w:color w:val="000000"/>
                <w:sz w:val="16"/>
                <w:szCs w:val="16"/>
                <w:lang w:eastAsia="es-CO"/>
              </w:rPr>
              <w:t>Cantidad o concentración de contaminantes por unidad de volumen en época seca y de lluvias.</w:t>
            </w:r>
          </w:p>
          <w:p w14:paraId="7FC5870F" w14:textId="77777777" w:rsidR="00576E9D" w:rsidRPr="00BD1319" w:rsidRDefault="00576E9D" w:rsidP="00B31D36">
            <w:pPr>
              <w:jc w:val="center"/>
              <w:rPr>
                <w:rFonts w:cs="Arial"/>
                <w:color w:val="000000"/>
                <w:sz w:val="16"/>
                <w:szCs w:val="16"/>
                <w:lang w:eastAsia="es-CO"/>
              </w:rPr>
            </w:pPr>
          </w:p>
          <w:p w14:paraId="01B8392A" w14:textId="77777777" w:rsidR="00576E9D" w:rsidRPr="00BD1319" w:rsidRDefault="00576E9D" w:rsidP="00B31D36">
            <w:pPr>
              <w:jc w:val="center"/>
              <w:rPr>
                <w:rFonts w:cs="Arial"/>
                <w:color w:val="000000"/>
                <w:sz w:val="16"/>
                <w:szCs w:val="16"/>
                <w:lang w:eastAsia="es-CO"/>
              </w:rPr>
            </w:pPr>
            <w:r w:rsidRPr="00BD1319">
              <w:rPr>
                <w:rFonts w:cs="Arial"/>
                <w:color w:val="000000"/>
                <w:sz w:val="16"/>
                <w:szCs w:val="16"/>
                <w:lang w:eastAsia="es-CO"/>
              </w:rPr>
              <w:t>(cantidad del contaminante / m</w:t>
            </w:r>
            <w:r w:rsidRPr="00BD1319">
              <w:rPr>
                <w:rFonts w:cs="Arial"/>
                <w:color w:val="000000"/>
                <w:sz w:val="16"/>
                <w:szCs w:val="16"/>
                <w:vertAlign w:val="superscript"/>
                <w:lang w:eastAsia="es-CO"/>
              </w:rPr>
              <w:t>3</w:t>
            </w:r>
            <w:r w:rsidRPr="00BD1319">
              <w:rPr>
                <w:rFonts w:cs="Arial"/>
                <w:color w:val="000000"/>
                <w:sz w:val="16"/>
                <w:szCs w:val="16"/>
                <w:lang w:eastAsia="es-CO"/>
              </w:rPr>
              <w:t>)</w:t>
            </w:r>
          </w:p>
          <w:p w14:paraId="57DB4794" w14:textId="64E35EC9" w:rsidR="00A86832" w:rsidRPr="00BD1319" w:rsidRDefault="00A86832" w:rsidP="00B31D36">
            <w:pPr>
              <w:jc w:val="center"/>
              <w:rPr>
                <w:rFonts w:cs="Arial"/>
                <w:spacing w:val="-3"/>
                <w:sz w:val="16"/>
                <w:szCs w:val="16"/>
              </w:rPr>
            </w:pPr>
          </w:p>
        </w:tc>
        <w:tc>
          <w:tcPr>
            <w:tcW w:w="1169" w:type="dxa"/>
          </w:tcPr>
          <w:p w14:paraId="1255DFA5" w14:textId="77777777" w:rsidR="00576E9D" w:rsidRPr="00BD1319" w:rsidRDefault="00576E9D" w:rsidP="00B31D36">
            <w:pPr>
              <w:numPr>
                <w:ilvl w:val="12"/>
                <w:numId w:val="0"/>
              </w:numPr>
              <w:tabs>
                <w:tab w:val="left" w:pos="-2268"/>
              </w:tabs>
              <w:suppressAutoHyphens/>
              <w:rPr>
                <w:rFonts w:cs="Arial"/>
                <w:spacing w:val="-3"/>
                <w:sz w:val="22"/>
              </w:rPr>
            </w:pPr>
          </w:p>
        </w:tc>
        <w:tc>
          <w:tcPr>
            <w:tcW w:w="1308" w:type="dxa"/>
            <w:tcMar>
              <w:left w:w="28" w:type="dxa"/>
              <w:right w:w="28" w:type="dxa"/>
            </w:tcMar>
          </w:tcPr>
          <w:p w14:paraId="03717F7B" w14:textId="77777777" w:rsidR="00576E9D" w:rsidRPr="00BD1319" w:rsidRDefault="00576E9D" w:rsidP="00B31D36">
            <w:pPr>
              <w:numPr>
                <w:ilvl w:val="12"/>
                <w:numId w:val="0"/>
              </w:numPr>
              <w:tabs>
                <w:tab w:val="left" w:pos="-2268"/>
              </w:tabs>
              <w:suppressAutoHyphens/>
              <w:rPr>
                <w:rFonts w:cs="Arial"/>
                <w:spacing w:val="-3"/>
                <w:sz w:val="22"/>
              </w:rPr>
            </w:pPr>
          </w:p>
        </w:tc>
        <w:tc>
          <w:tcPr>
            <w:tcW w:w="1290" w:type="dxa"/>
          </w:tcPr>
          <w:p w14:paraId="3434508D" w14:textId="77777777" w:rsidR="00576E9D" w:rsidRPr="00BD1319" w:rsidRDefault="00576E9D" w:rsidP="00B31D36">
            <w:pPr>
              <w:numPr>
                <w:ilvl w:val="12"/>
                <w:numId w:val="0"/>
              </w:numPr>
              <w:tabs>
                <w:tab w:val="left" w:pos="-2268"/>
              </w:tabs>
              <w:suppressAutoHyphens/>
              <w:rPr>
                <w:rFonts w:cs="Arial"/>
                <w:spacing w:val="-3"/>
                <w:sz w:val="22"/>
              </w:rPr>
            </w:pPr>
          </w:p>
        </w:tc>
        <w:tc>
          <w:tcPr>
            <w:tcW w:w="1351" w:type="dxa"/>
            <w:tcMar>
              <w:left w:w="28" w:type="dxa"/>
              <w:right w:w="28" w:type="dxa"/>
            </w:tcMar>
          </w:tcPr>
          <w:p w14:paraId="5602F3E8" w14:textId="77777777" w:rsidR="00576E9D" w:rsidRPr="00BD1319" w:rsidRDefault="00576E9D" w:rsidP="00B31D36">
            <w:pPr>
              <w:numPr>
                <w:ilvl w:val="12"/>
                <w:numId w:val="0"/>
              </w:numPr>
              <w:tabs>
                <w:tab w:val="left" w:pos="-2268"/>
              </w:tabs>
              <w:suppressAutoHyphens/>
              <w:rPr>
                <w:rFonts w:cs="Arial"/>
                <w:spacing w:val="-3"/>
                <w:sz w:val="22"/>
              </w:rPr>
            </w:pPr>
          </w:p>
        </w:tc>
        <w:tc>
          <w:tcPr>
            <w:tcW w:w="1418" w:type="dxa"/>
          </w:tcPr>
          <w:p w14:paraId="4A53FE72" w14:textId="77777777" w:rsidR="00576E9D" w:rsidRPr="00BD1319" w:rsidRDefault="00576E9D" w:rsidP="00B31D36">
            <w:pPr>
              <w:numPr>
                <w:ilvl w:val="12"/>
                <w:numId w:val="0"/>
              </w:numPr>
              <w:tabs>
                <w:tab w:val="left" w:pos="-2268"/>
              </w:tabs>
              <w:suppressAutoHyphens/>
              <w:rPr>
                <w:rFonts w:cs="Arial"/>
                <w:spacing w:val="-3"/>
                <w:sz w:val="22"/>
              </w:rPr>
            </w:pPr>
          </w:p>
        </w:tc>
        <w:tc>
          <w:tcPr>
            <w:tcW w:w="1559" w:type="dxa"/>
          </w:tcPr>
          <w:p w14:paraId="13553C39" w14:textId="77777777" w:rsidR="00576E9D" w:rsidRPr="00BD1319" w:rsidRDefault="00576E9D" w:rsidP="00B31D36">
            <w:pPr>
              <w:numPr>
                <w:ilvl w:val="12"/>
                <w:numId w:val="0"/>
              </w:numPr>
              <w:tabs>
                <w:tab w:val="left" w:pos="-2268"/>
              </w:tabs>
              <w:suppressAutoHyphens/>
              <w:rPr>
                <w:rFonts w:cs="Arial"/>
                <w:spacing w:val="-3"/>
                <w:sz w:val="22"/>
              </w:rPr>
            </w:pPr>
          </w:p>
        </w:tc>
      </w:tr>
      <w:tr w:rsidR="00A86832" w:rsidRPr="00BD1319" w14:paraId="27614964" w14:textId="77777777" w:rsidTr="0082127E">
        <w:trPr>
          <w:cantSplit/>
          <w:trHeight w:val="1134"/>
          <w:jc w:val="center"/>
        </w:trPr>
        <w:tc>
          <w:tcPr>
            <w:tcW w:w="654" w:type="dxa"/>
            <w:vMerge w:val="restart"/>
            <w:textDirection w:val="btLr"/>
            <w:vAlign w:val="center"/>
          </w:tcPr>
          <w:p w14:paraId="7C1FD1BD" w14:textId="0AD1BBEA" w:rsidR="00A86832" w:rsidRPr="00BD1319" w:rsidRDefault="00A86832" w:rsidP="0082127E">
            <w:pPr>
              <w:numPr>
                <w:ilvl w:val="12"/>
                <w:numId w:val="0"/>
              </w:numPr>
              <w:tabs>
                <w:tab w:val="left" w:pos="-2268"/>
              </w:tabs>
              <w:suppressAutoHyphens/>
              <w:ind w:left="113" w:right="113"/>
              <w:jc w:val="center"/>
              <w:rPr>
                <w:rFonts w:cs="Arial"/>
                <w:color w:val="000000"/>
                <w:sz w:val="20"/>
              </w:rPr>
            </w:pPr>
            <w:r w:rsidRPr="00BD1319">
              <w:rPr>
                <w:rFonts w:cs="Arial"/>
                <w:b/>
                <w:color w:val="000000"/>
                <w:sz w:val="20"/>
              </w:rPr>
              <w:t>Soporte</w:t>
            </w:r>
          </w:p>
        </w:tc>
        <w:tc>
          <w:tcPr>
            <w:tcW w:w="1036" w:type="dxa"/>
            <w:tcMar>
              <w:left w:w="28" w:type="dxa"/>
              <w:right w:w="28" w:type="dxa"/>
            </w:tcMar>
            <w:textDirection w:val="btLr"/>
            <w:vAlign w:val="center"/>
          </w:tcPr>
          <w:p w14:paraId="6BBE30BA" w14:textId="77777777" w:rsidR="00A86832" w:rsidRPr="00BD1319" w:rsidRDefault="00A86832" w:rsidP="0082127E">
            <w:pPr>
              <w:numPr>
                <w:ilvl w:val="12"/>
                <w:numId w:val="0"/>
              </w:numPr>
              <w:tabs>
                <w:tab w:val="left" w:pos="-2268"/>
              </w:tabs>
              <w:suppressAutoHyphens/>
              <w:ind w:left="113" w:right="113"/>
              <w:jc w:val="center"/>
              <w:rPr>
                <w:rFonts w:cs="Arial"/>
                <w:spacing w:val="-3"/>
                <w:sz w:val="18"/>
                <w:szCs w:val="18"/>
              </w:rPr>
            </w:pPr>
            <w:r w:rsidRPr="00BD1319">
              <w:rPr>
                <w:rFonts w:cs="Arial"/>
                <w:color w:val="000000"/>
                <w:sz w:val="18"/>
                <w:szCs w:val="18"/>
                <w:lang w:eastAsia="es-CO"/>
              </w:rPr>
              <w:t>Polinización</w:t>
            </w:r>
          </w:p>
        </w:tc>
        <w:tc>
          <w:tcPr>
            <w:tcW w:w="2158" w:type="dxa"/>
            <w:vAlign w:val="center"/>
          </w:tcPr>
          <w:p w14:paraId="7A602D27" w14:textId="77777777" w:rsidR="00A86832" w:rsidRPr="00BD1319" w:rsidRDefault="00A86832" w:rsidP="00B31D36">
            <w:pPr>
              <w:numPr>
                <w:ilvl w:val="12"/>
                <w:numId w:val="0"/>
              </w:numPr>
              <w:tabs>
                <w:tab w:val="left" w:pos="-2268"/>
              </w:tabs>
              <w:suppressAutoHyphens/>
              <w:jc w:val="center"/>
              <w:rPr>
                <w:rFonts w:cs="Arial"/>
                <w:b/>
                <w:spacing w:val="-3"/>
                <w:sz w:val="16"/>
                <w:szCs w:val="16"/>
              </w:rPr>
            </w:pPr>
            <w:r w:rsidRPr="00BD1319">
              <w:rPr>
                <w:rFonts w:cs="Arial"/>
                <w:color w:val="000000"/>
                <w:sz w:val="16"/>
                <w:szCs w:val="16"/>
                <w:lang w:eastAsia="es-CO"/>
              </w:rPr>
              <w:t>Proceso que se da en el ecosistema para transferir polen desde los estambres hasta el estigma o parte receptiva de las flores por medio de polinizadores naturales</w:t>
            </w:r>
            <w:r w:rsidRPr="00BD1319">
              <w:rPr>
                <w:rStyle w:val="Refdenotaalpie"/>
                <w:rFonts w:cs="Arial"/>
                <w:color w:val="000000"/>
                <w:sz w:val="16"/>
                <w:szCs w:val="8"/>
                <w:lang w:val="es-CO" w:eastAsia="es-CO"/>
              </w:rPr>
              <w:footnoteReference w:id="165"/>
            </w:r>
            <w:r w:rsidRPr="00BD1319">
              <w:rPr>
                <w:rFonts w:cs="Arial"/>
                <w:color w:val="000000"/>
                <w:sz w:val="16"/>
                <w:szCs w:val="16"/>
                <w:lang w:eastAsia="es-CO"/>
              </w:rPr>
              <w:t>.</w:t>
            </w:r>
          </w:p>
        </w:tc>
        <w:tc>
          <w:tcPr>
            <w:tcW w:w="1446" w:type="dxa"/>
            <w:tcMar>
              <w:left w:w="28" w:type="dxa"/>
              <w:right w:w="28" w:type="dxa"/>
            </w:tcMar>
            <w:vAlign w:val="center"/>
          </w:tcPr>
          <w:p w14:paraId="56B12C6D" w14:textId="77777777" w:rsidR="00A86832" w:rsidRPr="00BD1319" w:rsidRDefault="00A86832" w:rsidP="00B31D36">
            <w:pPr>
              <w:numPr>
                <w:ilvl w:val="12"/>
                <w:numId w:val="0"/>
              </w:numPr>
              <w:tabs>
                <w:tab w:val="left" w:pos="-2268"/>
              </w:tabs>
              <w:suppressAutoHyphens/>
              <w:jc w:val="center"/>
              <w:rPr>
                <w:rFonts w:cs="Arial"/>
                <w:color w:val="000000"/>
                <w:sz w:val="16"/>
                <w:szCs w:val="16"/>
                <w:lang w:eastAsia="es-CO"/>
              </w:rPr>
            </w:pPr>
            <w:r w:rsidRPr="00BD1319">
              <w:rPr>
                <w:rFonts w:cs="Arial"/>
                <w:color w:val="000000"/>
                <w:sz w:val="16"/>
                <w:szCs w:val="16"/>
                <w:lang w:eastAsia="es-CO"/>
              </w:rPr>
              <w:t>Abundancia de potenciales polinizadores por especie y unidad de área</w:t>
            </w:r>
          </w:p>
          <w:p w14:paraId="660223CB" w14:textId="77777777" w:rsidR="00A86832" w:rsidRPr="00BD1319" w:rsidRDefault="00A86832" w:rsidP="00B31D36">
            <w:pPr>
              <w:numPr>
                <w:ilvl w:val="12"/>
                <w:numId w:val="0"/>
              </w:numPr>
              <w:tabs>
                <w:tab w:val="left" w:pos="-2268"/>
              </w:tabs>
              <w:suppressAutoHyphens/>
              <w:jc w:val="center"/>
              <w:rPr>
                <w:rFonts w:cs="Arial"/>
                <w:color w:val="000000"/>
                <w:sz w:val="16"/>
                <w:szCs w:val="16"/>
                <w:lang w:eastAsia="es-CO"/>
              </w:rPr>
            </w:pPr>
          </w:p>
          <w:p w14:paraId="7B24068C" w14:textId="10BB5646" w:rsidR="00A86832" w:rsidRPr="00BD1319" w:rsidRDefault="00A86832" w:rsidP="00B31D36">
            <w:pPr>
              <w:numPr>
                <w:ilvl w:val="12"/>
                <w:numId w:val="0"/>
              </w:numPr>
              <w:tabs>
                <w:tab w:val="left" w:pos="-2268"/>
              </w:tabs>
              <w:suppressAutoHyphens/>
              <w:jc w:val="center"/>
              <w:rPr>
                <w:rFonts w:cs="Arial"/>
                <w:spacing w:val="-3"/>
                <w:sz w:val="16"/>
                <w:szCs w:val="16"/>
              </w:rPr>
            </w:pPr>
            <w:r w:rsidRPr="00BD1319">
              <w:rPr>
                <w:rFonts w:cs="Arial"/>
                <w:color w:val="000000"/>
                <w:sz w:val="16"/>
                <w:szCs w:val="16"/>
                <w:lang w:eastAsia="es-CO"/>
              </w:rPr>
              <w:t>(cantidad/especie/ ha)</w:t>
            </w:r>
          </w:p>
        </w:tc>
        <w:tc>
          <w:tcPr>
            <w:tcW w:w="1169" w:type="dxa"/>
          </w:tcPr>
          <w:p w14:paraId="301C26F7" w14:textId="77777777" w:rsidR="00A86832" w:rsidRPr="00BD1319" w:rsidRDefault="00A86832" w:rsidP="00B31D36">
            <w:pPr>
              <w:numPr>
                <w:ilvl w:val="12"/>
                <w:numId w:val="0"/>
              </w:numPr>
              <w:tabs>
                <w:tab w:val="left" w:pos="-2268"/>
              </w:tabs>
              <w:suppressAutoHyphens/>
              <w:rPr>
                <w:rFonts w:cs="Arial"/>
                <w:spacing w:val="-3"/>
                <w:sz w:val="22"/>
              </w:rPr>
            </w:pPr>
          </w:p>
        </w:tc>
        <w:tc>
          <w:tcPr>
            <w:tcW w:w="1308" w:type="dxa"/>
            <w:tcMar>
              <w:left w:w="28" w:type="dxa"/>
              <w:right w:w="28" w:type="dxa"/>
            </w:tcMar>
          </w:tcPr>
          <w:p w14:paraId="430FA02E" w14:textId="77777777" w:rsidR="00A86832" w:rsidRPr="00BD1319" w:rsidRDefault="00A86832" w:rsidP="00B31D36">
            <w:pPr>
              <w:numPr>
                <w:ilvl w:val="12"/>
                <w:numId w:val="0"/>
              </w:numPr>
              <w:tabs>
                <w:tab w:val="left" w:pos="-2268"/>
              </w:tabs>
              <w:suppressAutoHyphens/>
              <w:rPr>
                <w:rFonts w:cs="Arial"/>
                <w:spacing w:val="-3"/>
                <w:sz w:val="22"/>
              </w:rPr>
            </w:pPr>
          </w:p>
        </w:tc>
        <w:tc>
          <w:tcPr>
            <w:tcW w:w="1290" w:type="dxa"/>
          </w:tcPr>
          <w:p w14:paraId="4980E55E" w14:textId="77777777" w:rsidR="00A86832" w:rsidRPr="00BD1319" w:rsidRDefault="00A86832" w:rsidP="00B31D36">
            <w:pPr>
              <w:numPr>
                <w:ilvl w:val="12"/>
                <w:numId w:val="0"/>
              </w:numPr>
              <w:tabs>
                <w:tab w:val="left" w:pos="-2268"/>
              </w:tabs>
              <w:suppressAutoHyphens/>
              <w:rPr>
                <w:rFonts w:cs="Arial"/>
                <w:spacing w:val="-3"/>
                <w:sz w:val="22"/>
              </w:rPr>
            </w:pPr>
          </w:p>
        </w:tc>
        <w:tc>
          <w:tcPr>
            <w:tcW w:w="1351" w:type="dxa"/>
            <w:tcMar>
              <w:left w:w="28" w:type="dxa"/>
              <w:right w:w="28" w:type="dxa"/>
            </w:tcMar>
          </w:tcPr>
          <w:p w14:paraId="70EC2D20" w14:textId="77777777" w:rsidR="00A86832" w:rsidRPr="00BD1319" w:rsidRDefault="00A86832" w:rsidP="00B31D36">
            <w:pPr>
              <w:numPr>
                <w:ilvl w:val="12"/>
                <w:numId w:val="0"/>
              </w:numPr>
              <w:tabs>
                <w:tab w:val="left" w:pos="-2268"/>
              </w:tabs>
              <w:suppressAutoHyphens/>
              <w:rPr>
                <w:rFonts w:cs="Arial"/>
                <w:spacing w:val="-3"/>
                <w:sz w:val="22"/>
              </w:rPr>
            </w:pPr>
          </w:p>
        </w:tc>
        <w:tc>
          <w:tcPr>
            <w:tcW w:w="1418" w:type="dxa"/>
          </w:tcPr>
          <w:p w14:paraId="2F8C06A2" w14:textId="77777777" w:rsidR="00A86832" w:rsidRPr="00BD1319" w:rsidRDefault="00A86832" w:rsidP="00B31D36">
            <w:pPr>
              <w:numPr>
                <w:ilvl w:val="12"/>
                <w:numId w:val="0"/>
              </w:numPr>
              <w:tabs>
                <w:tab w:val="left" w:pos="-2268"/>
              </w:tabs>
              <w:suppressAutoHyphens/>
              <w:rPr>
                <w:rFonts w:cs="Arial"/>
                <w:spacing w:val="-3"/>
                <w:sz w:val="22"/>
              </w:rPr>
            </w:pPr>
          </w:p>
        </w:tc>
        <w:tc>
          <w:tcPr>
            <w:tcW w:w="1559" w:type="dxa"/>
          </w:tcPr>
          <w:p w14:paraId="29E73ECF" w14:textId="77777777" w:rsidR="00A86832" w:rsidRPr="00BD1319" w:rsidRDefault="00A86832" w:rsidP="00B31D36">
            <w:pPr>
              <w:numPr>
                <w:ilvl w:val="12"/>
                <w:numId w:val="0"/>
              </w:numPr>
              <w:tabs>
                <w:tab w:val="left" w:pos="-2268"/>
              </w:tabs>
              <w:suppressAutoHyphens/>
              <w:rPr>
                <w:rFonts w:cs="Arial"/>
                <w:spacing w:val="-3"/>
                <w:sz w:val="22"/>
              </w:rPr>
            </w:pPr>
          </w:p>
        </w:tc>
      </w:tr>
      <w:tr w:rsidR="00A86832" w:rsidRPr="00BD1319" w14:paraId="012068E1" w14:textId="77777777" w:rsidTr="0082127E">
        <w:trPr>
          <w:cantSplit/>
          <w:trHeight w:val="1134"/>
          <w:jc w:val="center"/>
        </w:trPr>
        <w:tc>
          <w:tcPr>
            <w:tcW w:w="654" w:type="dxa"/>
            <w:vMerge/>
          </w:tcPr>
          <w:p w14:paraId="5A495206" w14:textId="00D8EFFD" w:rsidR="00A86832" w:rsidRPr="00BD1319" w:rsidRDefault="00A86832" w:rsidP="00B31D36">
            <w:pPr>
              <w:numPr>
                <w:ilvl w:val="12"/>
                <w:numId w:val="0"/>
              </w:numPr>
              <w:tabs>
                <w:tab w:val="left" w:pos="-2268"/>
              </w:tabs>
              <w:suppressAutoHyphens/>
              <w:rPr>
                <w:rFonts w:cs="Arial"/>
                <w:color w:val="000000"/>
                <w:sz w:val="20"/>
                <w:lang w:eastAsia="es-CO"/>
              </w:rPr>
            </w:pPr>
          </w:p>
        </w:tc>
        <w:tc>
          <w:tcPr>
            <w:tcW w:w="1036" w:type="dxa"/>
            <w:tcMar>
              <w:left w:w="28" w:type="dxa"/>
              <w:right w:w="28" w:type="dxa"/>
            </w:tcMar>
            <w:textDirection w:val="btLr"/>
            <w:vAlign w:val="center"/>
          </w:tcPr>
          <w:p w14:paraId="49DCA212" w14:textId="77777777" w:rsidR="00A86832" w:rsidRPr="00BD1319" w:rsidRDefault="00A86832" w:rsidP="0082127E">
            <w:pPr>
              <w:numPr>
                <w:ilvl w:val="12"/>
                <w:numId w:val="0"/>
              </w:numPr>
              <w:tabs>
                <w:tab w:val="left" w:pos="-2268"/>
              </w:tabs>
              <w:suppressAutoHyphens/>
              <w:ind w:left="113" w:right="113"/>
              <w:jc w:val="center"/>
              <w:rPr>
                <w:rFonts w:cs="Arial"/>
                <w:spacing w:val="-3"/>
                <w:sz w:val="18"/>
                <w:szCs w:val="18"/>
              </w:rPr>
            </w:pPr>
            <w:r w:rsidRPr="00BD1319">
              <w:rPr>
                <w:rFonts w:cs="Arial"/>
                <w:color w:val="000000"/>
                <w:sz w:val="18"/>
                <w:szCs w:val="18"/>
                <w:lang w:eastAsia="es-CO"/>
              </w:rPr>
              <w:t>Calidad de hábitat</w:t>
            </w:r>
          </w:p>
        </w:tc>
        <w:tc>
          <w:tcPr>
            <w:tcW w:w="2158" w:type="dxa"/>
            <w:vAlign w:val="center"/>
          </w:tcPr>
          <w:p w14:paraId="304269FA" w14:textId="77777777" w:rsidR="00A86832" w:rsidRPr="00BD1319" w:rsidRDefault="00A86832" w:rsidP="00B31D36">
            <w:pPr>
              <w:numPr>
                <w:ilvl w:val="12"/>
                <w:numId w:val="0"/>
              </w:numPr>
              <w:tabs>
                <w:tab w:val="left" w:pos="-2268"/>
              </w:tabs>
              <w:suppressAutoHyphens/>
              <w:jc w:val="center"/>
              <w:rPr>
                <w:rFonts w:cs="Arial"/>
                <w:b/>
                <w:bCs/>
                <w:spacing w:val="-3"/>
                <w:sz w:val="16"/>
                <w:szCs w:val="16"/>
              </w:rPr>
            </w:pPr>
            <w:r w:rsidRPr="00BD1319">
              <w:rPr>
                <w:rFonts w:cs="Arial"/>
                <w:color w:val="000000"/>
                <w:sz w:val="16"/>
                <w:szCs w:val="16"/>
                <w:lang w:eastAsia="es-CO"/>
              </w:rPr>
              <w:t>Capacidad del ecosistema para proveer el hábitat necesario para el desarrollo natural de la biodiversidad</w:t>
            </w:r>
          </w:p>
        </w:tc>
        <w:tc>
          <w:tcPr>
            <w:tcW w:w="1446" w:type="dxa"/>
            <w:tcMar>
              <w:left w:w="28" w:type="dxa"/>
              <w:right w:w="28" w:type="dxa"/>
            </w:tcMar>
            <w:vAlign w:val="center"/>
          </w:tcPr>
          <w:p w14:paraId="341F66C9" w14:textId="77777777" w:rsidR="00A86832" w:rsidRPr="00BD1319" w:rsidRDefault="00A86832" w:rsidP="00B31D36">
            <w:pPr>
              <w:jc w:val="center"/>
              <w:rPr>
                <w:rFonts w:cs="Arial"/>
                <w:color w:val="000000"/>
                <w:sz w:val="16"/>
                <w:szCs w:val="16"/>
                <w:lang w:eastAsia="es-CO"/>
              </w:rPr>
            </w:pPr>
          </w:p>
          <w:p w14:paraId="33B70D4E" w14:textId="2B22A792" w:rsidR="00A86832" w:rsidRPr="00BD1319" w:rsidRDefault="00A86832" w:rsidP="00B31D36">
            <w:pPr>
              <w:jc w:val="center"/>
              <w:rPr>
                <w:rFonts w:cs="Arial"/>
                <w:color w:val="000000"/>
                <w:sz w:val="16"/>
                <w:szCs w:val="16"/>
                <w:lang w:eastAsia="es-CO"/>
              </w:rPr>
            </w:pPr>
            <w:r w:rsidRPr="00BD1319">
              <w:rPr>
                <w:rFonts w:cs="Arial"/>
                <w:color w:val="000000"/>
                <w:sz w:val="16"/>
                <w:szCs w:val="16"/>
                <w:lang w:eastAsia="es-CO"/>
              </w:rPr>
              <w:t>(Área potencial de hábitat/área intervenida)</w:t>
            </w:r>
          </w:p>
          <w:p w14:paraId="10862C7A" w14:textId="77777777" w:rsidR="00A86832" w:rsidRPr="00BD1319" w:rsidRDefault="00A86832" w:rsidP="00B31D36">
            <w:pPr>
              <w:jc w:val="center"/>
              <w:rPr>
                <w:rFonts w:cs="Arial"/>
                <w:color w:val="000000"/>
                <w:sz w:val="16"/>
                <w:szCs w:val="16"/>
                <w:lang w:eastAsia="es-CO"/>
              </w:rPr>
            </w:pPr>
          </w:p>
          <w:p w14:paraId="0664EE36" w14:textId="77777777" w:rsidR="00A86832" w:rsidRPr="00BD1319" w:rsidRDefault="00A86832" w:rsidP="00B31D36">
            <w:pPr>
              <w:numPr>
                <w:ilvl w:val="12"/>
                <w:numId w:val="0"/>
              </w:numPr>
              <w:tabs>
                <w:tab w:val="left" w:pos="-2268"/>
              </w:tabs>
              <w:suppressAutoHyphens/>
              <w:jc w:val="center"/>
              <w:rPr>
                <w:rFonts w:cs="Arial"/>
                <w:spacing w:val="-3"/>
                <w:sz w:val="16"/>
                <w:szCs w:val="16"/>
              </w:rPr>
            </w:pPr>
            <w:r w:rsidRPr="00BD1319">
              <w:rPr>
                <w:rFonts w:cs="Arial"/>
                <w:color w:val="000000"/>
                <w:sz w:val="16"/>
                <w:szCs w:val="16"/>
                <w:lang w:eastAsia="es-CO"/>
              </w:rPr>
              <w:t>(factor de compensación)</w:t>
            </w:r>
          </w:p>
        </w:tc>
        <w:tc>
          <w:tcPr>
            <w:tcW w:w="1169" w:type="dxa"/>
          </w:tcPr>
          <w:p w14:paraId="69132F55" w14:textId="77777777" w:rsidR="00A86832" w:rsidRPr="00BD1319" w:rsidRDefault="00A86832" w:rsidP="00B31D36">
            <w:pPr>
              <w:numPr>
                <w:ilvl w:val="12"/>
                <w:numId w:val="0"/>
              </w:numPr>
              <w:tabs>
                <w:tab w:val="left" w:pos="-2268"/>
              </w:tabs>
              <w:suppressAutoHyphens/>
              <w:rPr>
                <w:rFonts w:cs="Arial"/>
                <w:spacing w:val="-3"/>
                <w:sz w:val="22"/>
                <w:szCs w:val="22"/>
              </w:rPr>
            </w:pPr>
          </w:p>
        </w:tc>
        <w:tc>
          <w:tcPr>
            <w:tcW w:w="1308" w:type="dxa"/>
            <w:tcMar>
              <w:left w:w="28" w:type="dxa"/>
              <w:right w:w="28" w:type="dxa"/>
            </w:tcMar>
          </w:tcPr>
          <w:p w14:paraId="200BC60B" w14:textId="77777777" w:rsidR="00A86832" w:rsidRPr="00BD1319" w:rsidRDefault="00A86832" w:rsidP="00B31D36">
            <w:pPr>
              <w:numPr>
                <w:ilvl w:val="12"/>
                <w:numId w:val="0"/>
              </w:numPr>
              <w:tabs>
                <w:tab w:val="left" w:pos="-2268"/>
              </w:tabs>
              <w:suppressAutoHyphens/>
              <w:rPr>
                <w:rFonts w:cs="Arial"/>
                <w:spacing w:val="-3"/>
                <w:sz w:val="22"/>
                <w:szCs w:val="22"/>
              </w:rPr>
            </w:pPr>
          </w:p>
        </w:tc>
        <w:tc>
          <w:tcPr>
            <w:tcW w:w="1290" w:type="dxa"/>
          </w:tcPr>
          <w:p w14:paraId="7EB958A0" w14:textId="77777777" w:rsidR="00A86832" w:rsidRPr="00BD1319" w:rsidRDefault="00A86832" w:rsidP="00B31D36">
            <w:pPr>
              <w:numPr>
                <w:ilvl w:val="12"/>
                <w:numId w:val="0"/>
              </w:numPr>
              <w:tabs>
                <w:tab w:val="left" w:pos="-2268"/>
              </w:tabs>
              <w:suppressAutoHyphens/>
              <w:rPr>
                <w:rFonts w:cs="Arial"/>
                <w:spacing w:val="-3"/>
                <w:sz w:val="22"/>
                <w:szCs w:val="22"/>
              </w:rPr>
            </w:pPr>
          </w:p>
        </w:tc>
        <w:tc>
          <w:tcPr>
            <w:tcW w:w="1351" w:type="dxa"/>
            <w:tcMar>
              <w:left w:w="28" w:type="dxa"/>
              <w:right w:w="28" w:type="dxa"/>
            </w:tcMar>
          </w:tcPr>
          <w:p w14:paraId="278A0104" w14:textId="77777777" w:rsidR="00A86832" w:rsidRPr="00BD1319" w:rsidRDefault="00A86832" w:rsidP="00B31D36">
            <w:pPr>
              <w:numPr>
                <w:ilvl w:val="12"/>
                <w:numId w:val="0"/>
              </w:numPr>
              <w:tabs>
                <w:tab w:val="left" w:pos="-2268"/>
              </w:tabs>
              <w:suppressAutoHyphens/>
              <w:rPr>
                <w:rFonts w:cs="Arial"/>
                <w:spacing w:val="-3"/>
                <w:sz w:val="22"/>
                <w:szCs w:val="22"/>
              </w:rPr>
            </w:pPr>
          </w:p>
        </w:tc>
        <w:tc>
          <w:tcPr>
            <w:tcW w:w="1418" w:type="dxa"/>
          </w:tcPr>
          <w:p w14:paraId="7455B8E9" w14:textId="77777777" w:rsidR="00A86832" w:rsidRPr="00BD1319" w:rsidRDefault="00A86832" w:rsidP="00B31D36">
            <w:pPr>
              <w:numPr>
                <w:ilvl w:val="12"/>
                <w:numId w:val="0"/>
              </w:numPr>
              <w:tabs>
                <w:tab w:val="left" w:pos="-2268"/>
              </w:tabs>
              <w:suppressAutoHyphens/>
              <w:rPr>
                <w:rFonts w:cs="Arial"/>
                <w:spacing w:val="-3"/>
                <w:sz w:val="22"/>
                <w:szCs w:val="22"/>
              </w:rPr>
            </w:pPr>
          </w:p>
        </w:tc>
        <w:tc>
          <w:tcPr>
            <w:tcW w:w="1559" w:type="dxa"/>
          </w:tcPr>
          <w:p w14:paraId="17A3C745" w14:textId="77777777" w:rsidR="00A86832" w:rsidRPr="00BD1319" w:rsidRDefault="00A86832" w:rsidP="00B31D36">
            <w:pPr>
              <w:numPr>
                <w:ilvl w:val="12"/>
                <w:numId w:val="0"/>
              </w:numPr>
              <w:tabs>
                <w:tab w:val="left" w:pos="-2268"/>
              </w:tabs>
              <w:suppressAutoHyphens/>
              <w:rPr>
                <w:rFonts w:cs="Arial"/>
                <w:spacing w:val="-3"/>
                <w:sz w:val="22"/>
                <w:szCs w:val="22"/>
              </w:rPr>
            </w:pPr>
          </w:p>
        </w:tc>
      </w:tr>
      <w:tr w:rsidR="00970A40" w:rsidRPr="00BD1319" w14:paraId="5A97E845" w14:textId="77777777" w:rsidTr="0082127E">
        <w:trPr>
          <w:cantSplit/>
          <w:trHeight w:val="1134"/>
          <w:jc w:val="center"/>
        </w:trPr>
        <w:tc>
          <w:tcPr>
            <w:tcW w:w="654" w:type="dxa"/>
            <w:vMerge w:val="restart"/>
            <w:textDirection w:val="btLr"/>
            <w:vAlign w:val="center"/>
          </w:tcPr>
          <w:p w14:paraId="536425CD" w14:textId="77777777" w:rsidR="00970A40" w:rsidRPr="00BD1319" w:rsidRDefault="00970A40" w:rsidP="00B31D36">
            <w:pPr>
              <w:numPr>
                <w:ilvl w:val="12"/>
                <w:numId w:val="0"/>
              </w:numPr>
              <w:tabs>
                <w:tab w:val="left" w:pos="-2268"/>
              </w:tabs>
              <w:suppressAutoHyphens/>
              <w:ind w:left="113" w:right="113"/>
              <w:jc w:val="center"/>
              <w:rPr>
                <w:rFonts w:cs="Arial"/>
                <w:color w:val="000000"/>
                <w:sz w:val="20"/>
              </w:rPr>
            </w:pPr>
            <w:r w:rsidRPr="00BD1319">
              <w:rPr>
                <w:rFonts w:cs="Arial"/>
                <w:b/>
                <w:color w:val="000000"/>
                <w:sz w:val="20"/>
              </w:rPr>
              <w:lastRenderedPageBreak/>
              <w:t>Culturales</w:t>
            </w:r>
          </w:p>
        </w:tc>
        <w:tc>
          <w:tcPr>
            <w:tcW w:w="1036" w:type="dxa"/>
            <w:tcMar>
              <w:left w:w="28" w:type="dxa"/>
              <w:right w:w="28" w:type="dxa"/>
            </w:tcMar>
            <w:textDirection w:val="btLr"/>
            <w:vAlign w:val="center"/>
          </w:tcPr>
          <w:p w14:paraId="440B0DCE" w14:textId="77777777" w:rsidR="00970A40" w:rsidRPr="00BD1319" w:rsidRDefault="00970A40" w:rsidP="0082127E">
            <w:pPr>
              <w:numPr>
                <w:ilvl w:val="12"/>
                <w:numId w:val="0"/>
              </w:numPr>
              <w:tabs>
                <w:tab w:val="left" w:pos="-2268"/>
              </w:tabs>
              <w:suppressAutoHyphens/>
              <w:ind w:left="113" w:right="113"/>
              <w:jc w:val="center"/>
              <w:rPr>
                <w:rFonts w:cs="Arial"/>
                <w:spacing w:val="-3"/>
                <w:sz w:val="18"/>
                <w:szCs w:val="18"/>
              </w:rPr>
            </w:pPr>
            <w:r w:rsidRPr="00BD1319">
              <w:rPr>
                <w:rFonts w:cs="Arial"/>
                <w:color w:val="000000"/>
                <w:sz w:val="18"/>
                <w:szCs w:val="18"/>
              </w:rPr>
              <w:t>Recreación y turismo</w:t>
            </w:r>
          </w:p>
        </w:tc>
        <w:tc>
          <w:tcPr>
            <w:tcW w:w="2158" w:type="dxa"/>
            <w:vAlign w:val="center"/>
          </w:tcPr>
          <w:p w14:paraId="771D5F17" w14:textId="77777777" w:rsidR="00970A40" w:rsidRPr="00BD1319" w:rsidRDefault="00970A40" w:rsidP="00B31D36">
            <w:pPr>
              <w:numPr>
                <w:ilvl w:val="12"/>
                <w:numId w:val="0"/>
              </w:numPr>
              <w:tabs>
                <w:tab w:val="left" w:pos="-2268"/>
              </w:tabs>
              <w:suppressAutoHyphens/>
              <w:jc w:val="center"/>
              <w:rPr>
                <w:rFonts w:cs="Arial"/>
                <w:b/>
                <w:spacing w:val="-3"/>
                <w:sz w:val="16"/>
                <w:szCs w:val="16"/>
              </w:rPr>
            </w:pPr>
            <w:r w:rsidRPr="00BD1319">
              <w:rPr>
                <w:rFonts w:cs="Arial"/>
                <w:color w:val="000000"/>
                <w:sz w:val="16"/>
                <w:szCs w:val="16"/>
                <w:lang w:eastAsia="es-CO"/>
              </w:rPr>
              <w:t>Contribución del ecosistema de proveer lugares y/o sitios para el desarrollo de actividades de recreación y turismo que contribuyen con el bienestar de la sociedad</w:t>
            </w:r>
          </w:p>
        </w:tc>
        <w:tc>
          <w:tcPr>
            <w:tcW w:w="1446" w:type="dxa"/>
            <w:tcMar>
              <w:left w:w="28" w:type="dxa"/>
              <w:right w:w="28" w:type="dxa"/>
            </w:tcMar>
            <w:vAlign w:val="center"/>
          </w:tcPr>
          <w:p w14:paraId="3CD5EB98" w14:textId="3AE9B975" w:rsidR="00970A40" w:rsidRPr="00BD1319" w:rsidRDefault="00970A40" w:rsidP="00B31D36">
            <w:pPr>
              <w:numPr>
                <w:ilvl w:val="12"/>
                <w:numId w:val="0"/>
              </w:numPr>
              <w:tabs>
                <w:tab w:val="left" w:pos="-2268"/>
              </w:tabs>
              <w:suppressAutoHyphens/>
              <w:jc w:val="center"/>
              <w:rPr>
                <w:rFonts w:cs="Arial"/>
                <w:color w:val="000000"/>
                <w:sz w:val="16"/>
                <w:szCs w:val="16"/>
                <w:lang w:eastAsia="es-CO"/>
              </w:rPr>
            </w:pPr>
            <w:r w:rsidRPr="00BD1319">
              <w:rPr>
                <w:rFonts w:cs="Arial"/>
                <w:color w:val="000000"/>
                <w:sz w:val="16"/>
                <w:szCs w:val="16"/>
                <w:lang w:eastAsia="es-CO"/>
              </w:rPr>
              <w:t>Cantidad de beneficiarios residentes en el área de Influencia y/o número de beneficiarios no residentes en el área de influencia por unidad de tiempo</w:t>
            </w:r>
          </w:p>
          <w:p w14:paraId="337C94C2" w14:textId="77777777" w:rsidR="00A86832" w:rsidRPr="00BD1319" w:rsidRDefault="00A86832" w:rsidP="00B31D36">
            <w:pPr>
              <w:numPr>
                <w:ilvl w:val="12"/>
                <w:numId w:val="0"/>
              </w:numPr>
              <w:tabs>
                <w:tab w:val="left" w:pos="-2268"/>
              </w:tabs>
              <w:suppressAutoHyphens/>
              <w:jc w:val="center"/>
              <w:rPr>
                <w:rFonts w:cs="Arial"/>
                <w:color w:val="000000"/>
                <w:sz w:val="16"/>
                <w:szCs w:val="16"/>
                <w:lang w:eastAsia="es-CO"/>
              </w:rPr>
            </w:pPr>
          </w:p>
          <w:p w14:paraId="4638E9B1" w14:textId="1BEA27E5" w:rsidR="00970A40" w:rsidRPr="00BD1319" w:rsidRDefault="00970A40" w:rsidP="00B31D36">
            <w:pPr>
              <w:numPr>
                <w:ilvl w:val="12"/>
                <w:numId w:val="0"/>
              </w:numPr>
              <w:tabs>
                <w:tab w:val="left" w:pos="-2268"/>
              </w:tabs>
              <w:suppressAutoHyphens/>
              <w:jc w:val="center"/>
              <w:rPr>
                <w:rFonts w:cs="Arial"/>
                <w:spacing w:val="-3"/>
                <w:sz w:val="16"/>
                <w:szCs w:val="16"/>
              </w:rPr>
            </w:pPr>
            <w:r w:rsidRPr="00BD1319">
              <w:rPr>
                <w:rFonts w:cs="Arial"/>
                <w:color w:val="000000"/>
                <w:sz w:val="16"/>
                <w:szCs w:val="16"/>
                <w:lang w:eastAsia="es-CO"/>
              </w:rPr>
              <w:t>(</w:t>
            </w:r>
            <w:r w:rsidR="00434EA7" w:rsidRPr="00BD1319">
              <w:rPr>
                <w:rFonts w:cs="Arial"/>
                <w:color w:val="000000"/>
                <w:sz w:val="16"/>
                <w:szCs w:val="16"/>
                <w:lang w:eastAsia="es-CO"/>
              </w:rPr>
              <w:t>No. /</w:t>
            </w:r>
            <w:r w:rsidRPr="00BD1319">
              <w:rPr>
                <w:rFonts w:cs="Arial"/>
                <w:color w:val="000000"/>
                <w:sz w:val="16"/>
                <w:szCs w:val="16"/>
                <w:lang w:eastAsia="es-CO"/>
              </w:rPr>
              <w:t>mes, año)</w:t>
            </w:r>
          </w:p>
        </w:tc>
        <w:tc>
          <w:tcPr>
            <w:tcW w:w="1169" w:type="dxa"/>
          </w:tcPr>
          <w:p w14:paraId="106A146E" w14:textId="77777777" w:rsidR="00970A40" w:rsidRPr="00BD1319" w:rsidRDefault="00970A40" w:rsidP="00B31D36">
            <w:pPr>
              <w:numPr>
                <w:ilvl w:val="12"/>
                <w:numId w:val="0"/>
              </w:numPr>
              <w:tabs>
                <w:tab w:val="left" w:pos="-2268"/>
              </w:tabs>
              <w:suppressAutoHyphens/>
              <w:rPr>
                <w:rFonts w:cs="Arial"/>
                <w:spacing w:val="-3"/>
                <w:sz w:val="22"/>
              </w:rPr>
            </w:pPr>
          </w:p>
        </w:tc>
        <w:tc>
          <w:tcPr>
            <w:tcW w:w="1308" w:type="dxa"/>
            <w:tcMar>
              <w:left w:w="28" w:type="dxa"/>
              <w:right w:w="28" w:type="dxa"/>
            </w:tcMar>
          </w:tcPr>
          <w:p w14:paraId="509E6D5E" w14:textId="77777777" w:rsidR="00970A40" w:rsidRPr="00BD1319" w:rsidRDefault="00970A40" w:rsidP="00B31D36">
            <w:pPr>
              <w:numPr>
                <w:ilvl w:val="12"/>
                <w:numId w:val="0"/>
              </w:numPr>
              <w:tabs>
                <w:tab w:val="left" w:pos="-2268"/>
              </w:tabs>
              <w:suppressAutoHyphens/>
              <w:rPr>
                <w:rFonts w:cs="Arial"/>
                <w:spacing w:val="-3"/>
                <w:sz w:val="22"/>
              </w:rPr>
            </w:pPr>
          </w:p>
        </w:tc>
        <w:tc>
          <w:tcPr>
            <w:tcW w:w="1290" w:type="dxa"/>
          </w:tcPr>
          <w:p w14:paraId="68D68BD5" w14:textId="77777777" w:rsidR="00970A40" w:rsidRPr="00BD1319" w:rsidRDefault="00970A40" w:rsidP="00B31D36">
            <w:pPr>
              <w:numPr>
                <w:ilvl w:val="12"/>
                <w:numId w:val="0"/>
              </w:numPr>
              <w:tabs>
                <w:tab w:val="left" w:pos="-2268"/>
              </w:tabs>
              <w:suppressAutoHyphens/>
              <w:rPr>
                <w:rFonts w:cs="Arial"/>
                <w:spacing w:val="-3"/>
                <w:sz w:val="22"/>
              </w:rPr>
            </w:pPr>
          </w:p>
        </w:tc>
        <w:tc>
          <w:tcPr>
            <w:tcW w:w="1351" w:type="dxa"/>
            <w:tcMar>
              <w:left w:w="28" w:type="dxa"/>
              <w:right w:w="28" w:type="dxa"/>
            </w:tcMar>
          </w:tcPr>
          <w:p w14:paraId="09BF5EAC" w14:textId="77777777" w:rsidR="00970A40" w:rsidRPr="00BD1319" w:rsidRDefault="00970A40" w:rsidP="00B31D36">
            <w:pPr>
              <w:numPr>
                <w:ilvl w:val="12"/>
                <w:numId w:val="0"/>
              </w:numPr>
              <w:tabs>
                <w:tab w:val="left" w:pos="-2268"/>
              </w:tabs>
              <w:suppressAutoHyphens/>
              <w:rPr>
                <w:rFonts w:cs="Arial"/>
                <w:spacing w:val="-3"/>
                <w:sz w:val="22"/>
              </w:rPr>
            </w:pPr>
          </w:p>
        </w:tc>
        <w:tc>
          <w:tcPr>
            <w:tcW w:w="1418" w:type="dxa"/>
          </w:tcPr>
          <w:p w14:paraId="0D9F9C5E" w14:textId="77777777" w:rsidR="00970A40" w:rsidRPr="00BD1319" w:rsidRDefault="00970A40" w:rsidP="00B31D36">
            <w:pPr>
              <w:numPr>
                <w:ilvl w:val="12"/>
                <w:numId w:val="0"/>
              </w:numPr>
              <w:tabs>
                <w:tab w:val="left" w:pos="-2268"/>
              </w:tabs>
              <w:suppressAutoHyphens/>
              <w:rPr>
                <w:rFonts w:cs="Arial"/>
                <w:spacing w:val="-3"/>
                <w:sz w:val="22"/>
              </w:rPr>
            </w:pPr>
          </w:p>
        </w:tc>
        <w:tc>
          <w:tcPr>
            <w:tcW w:w="1559" w:type="dxa"/>
          </w:tcPr>
          <w:p w14:paraId="3F3E783F" w14:textId="77777777" w:rsidR="00970A40" w:rsidRPr="00BD1319" w:rsidRDefault="00970A40" w:rsidP="00B31D36">
            <w:pPr>
              <w:numPr>
                <w:ilvl w:val="12"/>
                <w:numId w:val="0"/>
              </w:numPr>
              <w:tabs>
                <w:tab w:val="left" w:pos="-2268"/>
              </w:tabs>
              <w:suppressAutoHyphens/>
              <w:rPr>
                <w:rFonts w:cs="Arial"/>
                <w:spacing w:val="-3"/>
                <w:sz w:val="22"/>
              </w:rPr>
            </w:pPr>
          </w:p>
        </w:tc>
      </w:tr>
      <w:tr w:rsidR="00970A40" w:rsidRPr="00BD1319" w14:paraId="290F82FF" w14:textId="77777777" w:rsidTr="0082127E">
        <w:trPr>
          <w:cantSplit/>
          <w:trHeight w:val="1134"/>
          <w:jc w:val="center"/>
        </w:trPr>
        <w:tc>
          <w:tcPr>
            <w:tcW w:w="654" w:type="dxa"/>
            <w:vMerge/>
          </w:tcPr>
          <w:p w14:paraId="10B681AD" w14:textId="77777777" w:rsidR="00970A40" w:rsidRPr="00BD1319" w:rsidRDefault="00970A40" w:rsidP="00B31D36">
            <w:pPr>
              <w:numPr>
                <w:ilvl w:val="12"/>
                <w:numId w:val="0"/>
              </w:numPr>
              <w:tabs>
                <w:tab w:val="left" w:pos="-2268"/>
              </w:tabs>
              <w:suppressAutoHyphens/>
              <w:rPr>
                <w:rFonts w:cs="Arial"/>
                <w:color w:val="000000"/>
                <w:sz w:val="20"/>
                <w:lang w:eastAsia="es-CO"/>
              </w:rPr>
            </w:pPr>
          </w:p>
        </w:tc>
        <w:tc>
          <w:tcPr>
            <w:tcW w:w="1036" w:type="dxa"/>
            <w:tcMar>
              <w:left w:w="28" w:type="dxa"/>
              <w:right w:w="28" w:type="dxa"/>
            </w:tcMar>
            <w:textDirection w:val="btLr"/>
            <w:vAlign w:val="center"/>
          </w:tcPr>
          <w:p w14:paraId="44997ED2" w14:textId="77777777" w:rsidR="00970A40" w:rsidRPr="00BD1319" w:rsidRDefault="00970A40" w:rsidP="0082127E">
            <w:pPr>
              <w:numPr>
                <w:ilvl w:val="12"/>
                <w:numId w:val="0"/>
              </w:numPr>
              <w:tabs>
                <w:tab w:val="left" w:pos="-2268"/>
              </w:tabs>
              <w:suppressAutoHyphens/>
              <w:ind w:left="113" w:right="113"/>
              <w:jc w:val="center"/>
              <w:rPr>
                <w:rFonts w:cs="Arial"/>
                <w:spacing w:val="-3"/>
                <w:sz w:val="18"/>
                <w:szCs w:val="18"/>
              </w:rPr>
            </w:pPr>
            <w:r w:rsidRPr="00BD1319">
              <w:rPr>
                <w:rFonts w:cs="Arial"/>
                <w:color w:val="000000"/>
                <w:sz w:val="18"/>
                <w:szCs w:val="18"/>
                <w:lang w:eastAsia="es-CO"/>
              </w:rPr>
              <w:t>Calidad escénica</w:t>
            </w:r>
          </w:p>
        </w:tc>
        <w:tc>
          <w:tcPr>
            <w:tcW w:w="2158" w:type="dxa"/>
            <w:vAlign w:val="center"/>
          </w:tcPr>
          <w:p w14:paraId="4FA3283D" w14:textId="77777777" w:rsidR="00970A40" w:rsidRPr="00BD1319" w:rsidRDefault="00970A40" w:rsidP="00B31D36">
            <w:pPr>
              <w:numPr>
                <w:ilvl w:val="12"/>
                <w:numId w:val="0"/>
              </w:numPr>
              <w:tabs>
                <w:tab w:val="left" w:pos="-2268"/>
              </w:tabs>
              <w:suppressAutoHyphens/>
              <w:jc w:val="center"/>
              <w:rPr>
                <w:rFonts w:cs="Arial"/>
                <w:b/>
                <w:bCs/>
                <w:spacing w:val="-3"/>
                <w:sz w:val="16"/>
                <w:szCs w:val="16"/>
              </w:rPr>
            </w:pPr>
            <w:r w:rsidRPr="00BD1319">
              <w:rPr>
                <w:rFonts w:cs="Arial"/>
                <w:color w:val="000000"/>
                <w:sz w:val="16"/>
                <w:szCs w:val="16"/>
                <w:lang w:eastAsia="es-CO"/>
              </w:rPr>
              <w:t>Contribución del ecosistema en entornos naturales que generan bienestar en la sociedad por la percepción de la calidad escénica.</w:t>
            </w:r>
          </w:p>
        </w:tc>
        <w:tc>
          <w:tcPr>
            <w:tcW w:w="1446" w:type="dxa"/>
            <w:tcMar>
              <w:left w:w="28" w:type="dxa"/>
              <w:right w:w="28" w:type="dxa"/>
            </w:tcMar>
            <w:vAlign w:val="center"/>
          </w:tcPr>
          <w:p w14:paraId="414B7FDB" w14:textId="77777777" w:rsidR="00970A40" w:rsidRPr="00BD1319" w:rsidRDefault="00970A40" w:rsidP="00B31D36">
            <w:pPr>
              <w:numPr>
                <w:ilvl w:val="12"/>
                <w:numId w:val="0"/>
              </w:numPr>
              <w:tabs>
                <w:tab w:val="left" w:pos="-2268"/>
              </w:tabs>
              <w:suppressAutoHyphens/>
              <w:jc w:val="center"/>
              <w:rPr>
                <w:rFonts w:cs="Arial"/>
                <w:color w:val="000000"/>
                <w:sz w:val="16"/>
                <w:szCs w:val="16"/>
                <w:lang w:eastAsia="es-CO"/>
              </w:rPr>
            </w:pPr>
            <w:r w:rsidRPr="00BD1319">
              <w:rPr>
                <w:rFonts w:cs="Arial"/>
                <w:color w:val="000000"/>
                <w:sz w:val="16"/>
                <w:szCs w:val="16"/>
                <w:lang w:eastAsia="es-CO"/>
              </w:rPr>
              <w:t>Área afectada en la calidad escénica</w:t>
            </w:r>
          </w:p>
          <w:p w14:paraId="0874CA48" w14:textId="77777777" w:rsidR="00970A40" w:rsidRPr="00BD1319" w:rsidRDefault="00970A40" w:rsidP="00B31D36">
            <w:pPr>
              <w:numPr>
                <w:ilvl w:val="12"/>
                <w:numId w:val="0"/>
              </w:numPr>
              <w:tabs>
                <w:tab w:val="left" w:pos="-2268"/>
              </w:tabs>
              <w:suppressAutoHyphens/>
              <w:jc w:val="center"/>
              <w:rPr>
                <w:rFonts w:cs="Arial"/>
                <w:color w:val="000000"/>
                <w:sz w:val="16"/>
                <w:szCs w:val="16"/>
                <w:lang w:eastAsia="es-CO"/>
              </w:rPr>
            </w:pPr>
          </w:p>
          <w:p w14:paraId="0380D7D8" w14:textId="77777777" w:rsidR="00970A40" w:rsidRPr="00BD1319" w:rsidRDefault="00970A40" w:rsidP="00B31D36">
            <w:pPr>
              <w:numPr>
                <w:ilvl w:val="12"/>
                <w:numId w:val="0"/>
              </w:numPr>
              <w:tabs>
                <w:tab w:val="left" w:pos="-2268"/>
              </w:tabs>
              <w:suppressAutoHyphens/>
              <w:jc w:val="center"/>
              <w:rPr>
                <w:rFonts w:cs="Arial"/>
                <w:spacing w:val="-3"/>
                <w:sz w:val="16"/>
                <w:szCs w:val="16"/>
              </w:rPr>
            </w:pPr>
            <w:r w:rsidRPr="00BD1319">
              <w:rPr>
                <w:rFonts w:cs="Arial"/>
                <w:color w:val="000000"/>
                <w:sz w:val="16"/>
                <w:szCs w:val="16"/>
                <w:lang w:eastAsia="es-CO"/>
              </w:rPr>
              <w:t>(ha)</w:t>
            </w:r>
          </w:p>
        </w:tc>
        <w:tc>
          <w:tcPr>
            <w:tcW w:w="1169" w:type="dxa"/>
          </w:tcPr>
          <w:p w14:paraId="00E528FA" w14:textId="77777777" w:rsidR="00970A40" w:rsidRPr="00BD1319" w:rsidRDefault="00970A40" w:rsidP="00B31D36">
            <w:pPr>
              <w:numPr>
                <w:ilvl w:val="12"/>
                <w:numId w:val="0"/>
              </w:numPr>
              <w:tabs>
                <w:tab w:val="left" w:pos="-2268"/>
              </w:tabs>
              <w:suppressAutoHyphens/>
              <w:rPr>
                <w:rFonts w:cs="Arial"/>
                <w:spacing w:val="-3"/>
                <w:sz w:val="22"/>
                <w:szCs w:val="22"/>
              </w:rPr>
            </w:pPr>
          </w:p>
        </w:tc>
        <w:tc>
          <w:tcPr>
            <w:tcW w:w="1308" w:type="dxa"/>
            <w:tcMar>
              <w:left w:w="28" w:type="dxa"/>
              <w:right w:w="28" w:type="dxa"/>
            </w:tcMar>
          </w:tcPr>
          <w:p w14:paraId="7261B870" w14:textId="77777777" w:rsidR="00970A40" w:rsidRPr="00BD1319" w:rsidRDefault="00970A40" w:rsidP="00B31D36">
            <w:pPr>
              <w:numPr>
                <w:ilvl w:val="12"/>
                <w:numId w:val="0"/>
              </w:numPr>
              <w:tabs>
                <w:tab w:val="left" w:pos="-2268"/>
              </w:tabs>
              <w:suppressAutoHyphens/>
              <w:rPr>
                <w:rFonts w:cs="Arial"/>
                <w:spacing w:val="-3"/>
                <w:sz w:val="22"/>
                <w:szCs w:val="22"/>
              </w:rPr>
            </w:pPr>
          </w:p>
        </w:tc>
        <w:tc>
          <w:tcPr>
            <w:tcW w:w="1290" w:type="dxa"/>
          </w:tcPr>
          <w:p w14:paraId="29ED94AE" w14:textId="77777777" w:rsidR="00970A40" w:rsidRPr="00BD1319" w:rsidRDefault="00970A40" w:rsidP="00B31D36">
            <w:pPr>
              <w:numPr>
                <w:ilvl w:val="12"/>
                <w:numId w:val="0"/>
              </w:numPr>
              <w:tabs>
                <w:tab w:val="left" w:pos="-2268"/>
              </w:tabs>
              <w:suppressAutoHyphens/>
              <w:rPr>
                <w:rFonts w:cs="Arial"/>
                <w:spacing w:val="-3"/>
                <w:sz w:val="22"/>
                <w:szCs w:val="22"/>
              </w:rPr>
            </w:pPr>
          </w:p>
        </w:tc>
        <w:tc>
          <w:tcPr>
            <w:tcW w:w="1351" w:type="dxa"/>
            <w:tcMar>
              <w:left w:w="28" w:type="dxa"/>
              <w:right w:w="28" w:type="dxa"/>
            </w:tcMar>
          </w:tcPr>
          <w:p w14:paraId="1A6D9D1F" w14:textId="77777777" w:rsidR="00970A40" w:rsidRPr="00BD1319" w:rsidRDefault="00970A40" w:rsidP="00B31D36">
            <w:pPr>
              <w:numPr>
                <w:ilvl w:val="12"/>
                <w:numId w:val="0"/>
              </w:numPr>
              <w:tabs>
                <w:tab w:val="left" w:pos="-2268"/>
              </w:tabs>
              <w:suppressAutoHyphens/>
              <w:rPr>
                <w:rFonts w:cs="Arial"/>
                <w:spacing w:val="-3"/>
                <w:sz w:val="22"/>
                <w:szCs w:val="22"/>
              </w:rPr>
            </w:pPr>
          </w:p>
        </w:tc>
        <w:tc>
          <w:tcPr>
            <w:tcW w:w="1418" w:type="dxa"/>
          </w:tcPr>
          <w:p w14:paraId="7A3173CB" w14:textId="77777777" w:rsidR="00970A40" w:rsidRPr="00BD1319" w:rsidRDefault="00970A40" w:rsidP="00B31D36">
            <w:pPr>
              <w:numPr>
                <w:ilvl w:val="12"/>
                <w:numId w:val="0"/>
              </w:numPr>
              <w:tabs>
                <w:tab w:val="left" w:pos="-2268"/>
              </w:tabs>
              <w:suppressAutoHyphens/>
              <w:rPr>
                <w:rFonts w:cs="Arial"/>
                <w:spacing w:val="-3"/>
                <w:sz w:val="22"/>
                <w:szCs w:val="22"/>
              </w:rPr>
            </w:pPr>
          </w:p>
        </w:tc>
        <w:tc>
          <w:tcPr>
            <w:tcW w:w="1559" w:type="dxa"/>
          </w:tcPr>
          <w:p w14:paraId="5634222A" w14:textId="77777777" w:rsidR="00970A40" w:rsidRPr="00BD1319" w:rsidRDefault="00970A40" w:rsidP="00B31D36">
            <w:pPr>
              <w:numPr>
                <w:ilvl w:val="12"/>
                <w:numId w:val="0"/>
              </w:numPr>
              <w:tabs>
                <w:tab w:val="left" w:pos="-2268"/>
              </w:tabs>
              <w:suppressAutoHyphens/>
              <w:rPr>
                <w:rFonts w:cs="Arial"/>
                <w:spacing w:val="-3"/>
                <w:sz w:val="22"/>
                <w:szCs w:val="22"/>
              </w:rPr>
            </w:pPr>
          </w:p>
        </w:tc>
      </w:tr>
      <w:tr w:rsidR="00970A40" w:rsidRPr="00BD1319" w14:paraId="60C3857A" w14:textId="77777777" w:rsidTr="0082127E">
        <w:trPr>
          <w:cantSplit/>
          <w:trHeight w:val="1134"/>
          <w:jc w:val="center"/>
        </w:trPr>
        <w:tc>
          <w:tcPr>
            <w:tcW w:w="654" w:type="dxa"/>
            <w:vMerge/>
          </w:tcPr>
          <w:p w14:paraId="53212D07" w14:textId="77777777" w:rsidR="00970A40" w:rsidRPr="00BD1319" w:rsidRDefault="00970A40" w:rsidP="00B31D36">
            <w:pPr>
              <w:numPr>
                <w:ilvl w:val="12"/>
                <w:numId w:val="0"/>
              </w:numPr>
              <w:tabs>
                <w:tab w:val="left" w:pos="-2268"/>
              </w:tabs>
              <w:suppressAutoHyphens/>
              <w:rPr>
                <w:rFonts w:cs="Arial"/>
                <w:color w:val="000000"/>
                <w:sz w:val="20"/>
              </w:rPr>
            </w:pPr>
          </w:p>
        </w:tc>
        <w:tc>
          <w:tcPr>
            <w:tcW w:w="1036" w:type="dxa"/>
            <w:tcMar>
              <w:left w:w="28" w:type="dxa"/>
              <w:right w:w="28" w:type="dxa"/>
            </w:tcMar>
            <w:textDirection w:val="btLr"/>
            <w:vAlign w:val="center"/>
          </w:tcPr>
          <w:p w14:paraId="3AC94ED1" w14:textId="77777777" w:rsidR="00970A40" w:rsidRPr="00BD1319" w:rsidRDefault="00970A40" w:rsidP="0082127E">
            <w:pPr>
              <w:numPr>
                <w:ilvl w:val="12"/>
                <w:numId w:val="0"/>
              </w:numPr>
              <w:tabs>
                <w:tab w:val="left" w:pos="-2268"/>
              </w:tabs>
              <w:suppressAutoHyphens/>
              <w:ind w:left="113" w:right="113"/>
              <w:jc w:val="center"/>
              <w:rPr>
                <w:rFonts w:cs="Arial"/>
                <w:spacing w:val="-3"/>
                <w:sz w:val="18"/>
                <w:szCs w:val="18"/>
              </w:rPr>
            </w:pPr>
            <w:r w:rsidRPr="00BD1319">
              <w:rPr>
                <w:rFonts w:cs="Arial"/>
                <w:color w:val="000000"/>
                <w:sz w:val="18"/>
                <w:szCs w:val="18"/>
              </w:rPr>
              <w:t>Espirituales y religiosos</w:t>
            </w:r>
          </w:p>
        </w:tc>
        <w:tc>
          <w:tcPr>
            <w:tcW w:w="2158" w:type="dxa"/>
            <w:vAlign w:val="center"/>
          </w:tcPr>
          <w:p w14:paraId="57E189A2" w14:textId="77777777" w:rsidR="00970A40" w:rsidRPr="00BD1319" w:rsidRDefault="00970A40" w:rsidP="00B31D36">
            <w:pPr>
              <w:numPr>
                <w:ilvl w:val="12"/>
                <w:numId w:val="0"/>
              </w:numPr>
              <w:tabs>
                <w:tab w:val="left" w:pos="-2268"/>
              </w:tabs>
              <w:suppressAutoHyphens/>
              <w:jc w:val="center"/>
              <w:rPr>
                <w:rFonts w:cs="Arial"/>
                <w:b/>
                <w:spacing w:val="-3"/>
                <w:sz w:val="16"/>
                <w:szCs w:val="16"/>
              </w:rPr>
            </w:pPr>
            <w:r w:rsidRPr="00BD1319">
              <w:rPr>
                <w:rFonts w:cs="Arial"/>
                <w:color w:val="000000"/>
                <w:sz w:val="16"/>
                <w:szCs w:val="16"/>
                <w:lang w:eastAsia="es-CO"/>
              </w:rPr>
              <w:t>Contribución de la naturaleza a proveer espacios o recursos para el sistema de creencias espirituales y/o religiosas.</w:t>
            </w:r>
          </w:p>
        </w:tc>
        <w:tc>
          <w:tcPr>
            <w:tcW w:w="1446" w:type="dxa"/>
            <w:tcMar>
              <w:left w:w="28" w:type="dxa"/>
              <w:right w:w="28" w:type="dxa"/>
            </w:tcMar>
            <w:vAlign w:val="center"/>
          </w:tcPr>
          <w:p w14:paraId="0269E04D" w14:textId="77777777" w:rsidR="00970A40" w:rsidRPr="00BD1319" w:rsidRDefault="00970A40" w:rsidP="00B31D36">
            <w:pPr>
              <w:jc w:val="center"/>
              <w:rPr>
                <w:rFonts w:cs="Arial"/>
                <w:color w:val="000000"/>
                <w:sz w:val="16"/>
                <w:szCs w:val="16"/>
                <w:lang w:eastAsia="es-CO"/>
              </w:rPr>
            </w:pPr>
            <w:r w:rsidRPr="00BD1319">
              <w:rPr>
                <w:rFonts w:cs="Arial"/>
                <w:color w:val="000000"/>
                <w:sz w:val="16"/>
                <w:szCs w:val="16"/>
                <w:lang w:eastAsia="es-CO"/>
              </w:rPr>
              <w:t>Cantidad de personas asociada a prácticas religiosas o espirituales en los espacios afectados</w:t>
            </w:r>
          </w:p>
          <w:p w14:paraId="048F83AE" w14:textId="77777777" w:rsidR="00A86832" w:rsidRPr="00BD1319" w:rsidRDefault="00A86832" w:rsidP="00B31D36">
            <w:pPr>
              <w:jc w:val="center"/>
              <w:rPr>
                <w:rFonts w:cs="Arial"/>
                <w:color w:val="000000"/>
                <w:sz w:val="16"/>
                <w:szCs w:val="16"/>
                <w:lang w:eastAsia="es-CO"/>
              </w:rPr>
            </w:pPr>
          </w:p>
          <w:p w14:paraId="39CEC9B9" w14:textId="77777777" w:rsidR="00970A40" w:rsidRPr="00BD1319" w:rsidRDefault="00970A40" w:rsidP="00B31D36">
            <w:pPr>
              <w:jc w:val="center"/>
              <w:rPr>
                <w:rFonts w:cs="Arial"/>
                <w:color w:val="000000"/>
                <w:sz w:val="16"/>
                <w:szCs w:val="16"/>
                <w:lang w:eastAsia="es-CO"/>
              </w:rPr>
            </w:pPr>
            <w:r w:rsidRPr="00BD1319">
              <w:rPr>
                <w:rFonts w:cs="Arial"/>
                <w:color w:val="000000"/>
                <w:sz w:val="16"/>
                <w:szCs w:val="16"/>
                <w:lang w:eastAsia="es-CO"/>
              </w:rPr>
              <w:t>(No.)</w:t>
            </w:r>
          </w:p>
          <w:p w14:paraId="4D1D8876" w14:textId="77777777" w:rsidR="00970A40" w:rsidRPr="00BD1319" w:rsidRDefault="00970A40" w:rsidP="00B31D36">
            <w:pPr>
              <w:jc w:val="center"/>
              <w:rPr>
                <w:rFonts w:cs="Arial"/>
                <w:color w:val="000000"/>
                <w:sz w:val="16"/>
                <w:szCs w:val="16"/>
                <w:lang w:eastAsia="es-CO"/>
              </w:rPr>
            </w:pPr>
          </w:p>
          <w:p w14:paraId="0108F0EF" w14:textId="77777777" w:rsidR="00970A40" w:rsidRPr="00BD1319" w:rsidRDefault="00970A40" w:rsidP="00B31D36">
            <w:pPr>
              <w:numPr>
                <w:ilvl w:val="12"/>
                <w:numId w:val="0"/>
              </w:numPr>
              <w:tabs>
                <w:tab w:val="left" w:pos="-2268"/>
              </w:tabs>
              <w:suppressAutoHyphens/>
              <w:jc w:val="center"/>
              <w:rPr>
                <w:rFonts w:cs="Arial"/>
                <w:spacing w:val="-3"/>
                <w:sz w:val="16"/>
                <w:szCs w:val="16"/>
              </w:rPr>
            </w:pPr>
            <w:r w:rsidRPr="00BD1319">
              <w:rPr>
                <w:rFonts w:cs="Arial"/>
                <w:color w:val="000000"/>
                <w:sz w:val="16"/>
                <w:szCs w:val="16"/>
                <w:lang w:eastAsia="es-CO"/>
              </w:rPr>
              <w:t>Localización geográfica del área dedicada a las prácticas religiosas o espirituales afectadas</w:t>
            </w:r>
          </w:p>
        </w:tc>
        <w:tc>
          <w:tcPr>
            <w:tcW w:w="1169" w:type="dxa"/>
          </w:tcPr>
          <w:p w14:paraId="4F0FC10A" w14:textId="77777777" w:rsidR="00970A40" w:rsidRPr="00BD1319" w:rsidRDefault="00970A40" w:rsidP="00B31D36">
            <w:pPr>
              <w:numPr>
                <w:ilvl w:val="12"/>
                <w:numId w:val="0"/>
              </w:numPr>
              <w:tabs>
                <w:tab w:val="left" w:pos="-2268"/>
              </w:tabs>
              <w:suppressAutoHyphens/>
              <w:rPr>
                <w:rFonts w:cs="Arial"/>
                <w:spacing w:val="-3"/>
                <w:sz w:val="22"/>
              </w:rPr>
            </w:pPr>
          </w:p>
        </w:tc>
        <w:tc>
          <w:tcPr>
            <w:tcW w:w="1308" w:type="dxa"/>
            <w:tcMar>
              <w:left w:w="28" w:type="dxa"/>
              <w:right w:w="28" w:type="dxa"/>
            </w:tcMar>
          </w:tcPr>
          <w:p w14:paraId="2A6D69A9" w14:textId="77777777" w:rsidR="00970A40" w:rsidRPr="00BD1319" w:rsidRDefault="00970A40" w:rsidP="00B31D36">
            <w:pPr>
              <w:numPr>
                <w:ilvl w:val="12"/>
                <w:numId w:val="0"/>
              </w:numPr>
              <w:tabs>
                <w:tab w:val="left" w:pos="-2268"/>
              </w:tabs>
              <w:suppressAutoHyphens/>
              <w:rPr>
                <w:rFonts w:cs="Arial"/>
                <w:spacing w:val="-3"/>
                <w:sz w:val="22"/>
              </w:rPr>
            </w:pPr>
          </w:p>
        </w:tc>
        <w:tc>
          <w:tcPr>
            <w:tcW w:w="1290" w:type="dxa"/>
          </w:tcPr>
          <w:p w14:paraId="427B5335" w14:textId="77777777" w:rsidR="00970A40" w:rsidRPr="00BD1319" w:rsidRDefault="00970A40" w:rsidP="00B31D36">
            <w:pPr>
              <w:numPr>
                <w:ilvl w:val="12"/>
                <w:numId w:val="0"/>
              </w:numPr>
              <w:tabs>
                <w:tab w:val="left" w:pos="-2268"/>
              </w:tabs>
              <w:suppressAutoHyphens/>
              <w:rPr>
                <w:rFonts w:cs="Arial"/>
                <w:spacing w:val="-3"/>
                <w:sz w:val="22"/>
              </w:rPr>
            </w:pPr>
          </w:p>
        </w:tc>
        <w:tc>
          <w:tcPr>
            <w:tcW w:w="1351" w:type="dxa"/>
            <w:tcMar>
              <w:left w:w="28" w:type="dxa"/>
              <w:right w:w="28" w:type="dxa"/>
            </w:tcMar>
          </w:tcPr>
          <w:p w14:paraId="1033F7CA" w14:textId="77777777" w:rsidR="00970A40" w:rsidRPr="00BD1319" w:rsidRDefault="00970A40" w:rsidP="00B31D36">
            <w:pPr>
              <w:numPr>
                <w:ilvl w:val="12"/>
                <w:numId w:val="0"/>
              </w:numPr>
              <w:tabs>
                <w:tab w:val="left" w:pos="-2268"/>
              </w:tabs>
              <w:suppressAutoHyphens/>
              <w:rPr>
                <w:rFonts w:cs="Arial"/>
                <w:spacing w:val="-3"/>
                <w:sz w:val="22"/>
              </w:rPr>
            </w:pPr>
          </w:p>
        </w:tc>
        <w:tc>
          <w:tcPr>
            <w:tcW w:w="1418" w:type="dxa"/>
          </w:tcPr>
          <w:p w14:paraId="34B5CA90" w14:textId="77777777" w:rsidR="00970A40" w:rsidRPr="00BD1319" w:rsidRDefault="00970A40" w:rsidP="00B31D36">
            <w:pPr>
              <w:numPr>
                <w:ilvl w:val="12"/>
                <w:numId w:val="0"/>
              </w:numPr>
              <w:tabs>
                <w:tab w:val="left" w:pos="-2268"/>
              </w:tabs>
              <w:suppressAutoHyphens/>
              <w:rPr>
                <w:rFonts w:cs="Arial"/>
                <w:spacing w:val="-3"/>
                <w:sz w:val="22"/>
              </w:rPr>
            </w:pPr>
          </w:p>
        </w:tc>
        <w:tc>
          <w:tcPr>
            <w:tcW w:w="1559" w:type="dxa"/>
          </w:tcPr>
          <w:p w14:paraId="3D28C969" w14:textId="77777777" w:rsidR="00970A40" w:rsidRPr="00BD1319" w:rsidRDefault="00970A40" w:rsidP="00B31D36">
            <w:pPr>
              <w:numPr>
                <w:ilvl w:val="12"/>
                <w:numId w:val="0"/>
              </w:numPr>
              <w:tabs>
                <w:tab w:val="left" w:pos="-2268"/>
              </w:tabs>
              <w:suppressAutoHyphens/>
              <w:rPr>
                <w:rFonts w:cs="Arial"/>
                <w:spacing w:val="-3"/>
                <w:sz w:val="22"/>
              </w:rPr>
            </w:pPr>
          </w:p>
        </w:tc>
      </w:tr>
    </w:tbl>
    <w:p w14:paraId="47E48C56" w14:textId="6B836247" w:rsidR="00970A40" w:rsidRPr="00BD1319" w:rsidRDefault="00970A40" w:rsidP="00970A40">
      <w:pPr>
        <w:numPr>
          <w:ilvl w:val="12"/>
          <w:numId w:val="0"/>
        </w:numPr>
        <w:tabs>
          <w:tab w:val="left" w:pos="-2268"/>
        </w:tabs>
        <w:suppressAutoHyphens/>
        <w:ind w:left="142" w:hanging="142"/>
        <w:rPr>
          <w:spacing w:val="-3"/>
          <w:sz w:val="16"/>
        </w:rPr>
      </w:pPr>
      <w:r w:rsidRPr="00BD1319">
        <w:rPr>
          <w:spacing w:val="-3"/>
          <w:sz w:val="16"/>
          <w:vertAlign w:val="superscript"/>
        </w:rPr>
        <w:t>1</w:t>
      </w:r>
      <w:r w:rsidRPr="00BD1319">
        <w:rPr>
          <w:spacing w:val="-3"/>
          <w:sz w:val="16"/>
        </w:rPr>
        <w:tab/>
      </w:r>
      <w:proofErr w:type="gramStart"/>
      <w:r w:rsidRPr="00BD1319">
        <w:rPr>
          <w:spacing w:val="-3"/>
          <w:sz w:val="16"/>
        </w:rPr>
        <w:t>Este</w:t>
      </w:r>
      <w:proofErr w:type="gramEnd"/>
      <w:r w:rsidRPr="00BD1319">
        <w:rPr>
          <w:spacing w:val="-3"/>
          <w:sz w:val="16"/>
        </w:rPr>
        <w:t xml:space="preserve"> es un listado ilustrativo de </w:t>
      </w:r>
      <w:r w:rsidRPr="00BD1319">
        <w:rPr>
          <w:rFonts w:cs="Arial"/>
          <w:spacing w:val="-3"/>
          <w:sz w:val="16"/>
          <w:szCs w:val="16"/>
        </w:rPr>
        <w:t xml:space="preserve">categorías de </w:t>
      </w:r>
      <w:r w:rsidRPr="00BD1319">
        <w:rPr>
          <w:spacing w:val="-3"/>
          <w:sz w:val="16"/>
        </w:rPr>
        <w:t xml:space="preserve">SE </w:t>
      </w:r>
      <w:r w:rsidRPr="00BD1319">
        <w:rPr>
          <w:rFonts w:cs="Arial"/>
          <w:spacing w:val="-3"/>
          <w:sz w:val="16"/>
          <w:szCs w:val="16"/>
        </w:rPr>
        <w:t xml:space="preserve">en el marco del licenciamiento ambiental </w:t>
      </w:r>
      <w:r w:rsidRPr="00BD1319">
        <w:rPr>
          <w:spacing w:val="-3"/>
          <w:sz w:val="16"/>
        </w:rPr>
        <w:t xml:space="preserve">que debe ser ajustado </w:t>
      </w:r>
      <w:r w:rsidRPr="00BD1319">
        <w:rPr>
          <w:rFonts w:cs="Arial"/>
          <w:spacing w:val="-3"/>
          <w:sz w:val="16"/>
          <w:szCs w:val="16"/>
        </w:rPr>
        <w:t xml:space="preserve">(incluyendo o retirando categorías) </w:t>
      </w:r>
      <w:r w:rsidR="00467CE5" w:rsidRPr="00BD1319">
        <w:rPr>
          <w:spacing w:val="-3"/>
          <w:sz w:val="16"/>
        </w:rPr>
        <w:t>de acuerdo con</w:t>
      </w:r>
      <w:r w:rsidRPr="00BD1319">
        <w:rPr>
          <w:spacing w:val="-3"/>
          <w:sz w:val="16"/>
        </w:rPr>
        <w:t xml:space="preserve"> los SE identificados en cada caso particular.</w:t>
      </w:r>
    </w:p>
    <w:p w14:paraId="25E8921D" w14:textId="77777777" w:rsidR="00970A40" w:rsidRPr="00BD1319" w:rsidRDefault="00970A40" w:rsidP="00970A40">
      <w:pPr>
        <w:numPr>
          <w:ilvl w:val="12"/>
          <w:numId w:val="0"/>
        </w:numPr>
        <w:tabs>
          <w:tab w:val="left" w:pos="-2268"/>
        </w:tabs>
        <w:suppressAutoHyphens/>
        <w:ind w:left="142" w:hanging="142"/>
        <w:rPr>
          <w:spacing w:val="-3"/>
          <w:sz w:val="16"/>
        </w:rPr>
      </w:pPr>
      <w:r w:rsidRPr="00BD1319">
        <w:rPr>
          <w:spacing w:val="-3"/>
          <w:sz w:val="16"/>
          <w:vertAlign w:val="superscript"/>
        </w:rPr>
        <w:t>2</w:t>
      </w:r>
      <w:r w:rsidRPr="00BD1319">
        <w:rPr>
          <w:spacing w:val="-3"/>
          <w:sz w:val="16"/>
        </w:rPr>
        <w:tab/>
      </w:r>
      <w:proofErr w:type="gramStart"/>
      <w:r w:rsidRPr="00BD1319">
        <w:rPr>
          <w:spacing w:val="-3"/>
          <w:sz w:val="16"/>
        </w:rPr>
        <w:t>La</w:t>
      </w:r>
      <w:proofErr w:type="gramEnd"/>
      <w:r w:rsidRPr="00BD1319">
        <w:rPr>
          <w:spacing w:val="-3"/>
          <w:sz w:val="16"/>
        </w:rPr>
        <w:t xml:space="preserve"> unidad de medida debe corresponder en lo posible a indicadores cuantitativos, pero puede referirse también a indicadores cualitativos cuando </w:t>
      </w:r>
      <w:r w:rsidRPr="00BD1319">
        <w:rPr>
          <w:rFonts w:cs="Arial"/>
          <w:spacing w:val="-3"/>
          <w:sz w:val="16"/>
          <w:szCs w:val="16"/>
        </w:rPr>
        <w:t>un SE es inconmensurable o representa valores superiores</w:t>
      </w:r>
      <w:r w:rsidRPr="00BD1319">
        <w:rPr>
          <w:spacing w:val="-3"/>
          <w:sz w:val="16"/>
        </w:rPr>
        <w:t xml:space="preserve">. Se debe argumentar </w:t>
      </w:r>
      <w:r w:rsidRPr="00BD1319">
        <w:rPr>
          <w:rFonts w:cs="Arial"/>
          <w:spacing w:val="-3"/>
          <w:sz w:val="16"/>
          <w:szCs w:val="16"/>
        </w:rPr>
        <w:t xml:space="preserve">científica y </w:t>
      </w:r>
      <w:r w:rsidRPr="00BD1319">
        <w:rPr>
          <w:spacing w:val="-3"/>
          <w:sz w:val="16"/>
        </w:rPr>
        <w:t>técnicamente la decisión de utilizar indicadores cualitativos o de definir unidades de medida diferentes a las sugeridas en esta tabla</w:t>
      </w:r>
      <w:r w:rsidRPr="00BD1319">
        <w:rPr>
          <w:rFonts w:cs="Arial"/>
          <w:spacing w:val="-3"/>
          <w:sz w:val="16"/>
          <w:szCs w:val="16"/>
        </w:rPr>
        <w:t>.</w:t>
      </w:r>
    </w:p>
    <w:p w14:paraId="663A3853" w14:textId="77777777" w:rsidR="00970A40" w:rsidRPr="00BD1319" w:rsidRDefault="00970A40" w:rsidP="00970A40">
      <w:pPr>
        <w:numPr>
          <w:ilvl w:val="12"/>
          <w:numId w:val="0"/>
        </w:numPr>
        <w:tabs>
          <w:tab w:val="left" w:pos="-2268"/>
        </w:tabs>
        <w:suppressAutoHyphens/>
        <w:ind w:left="142" w:hanging="142"/>
        <w:rPr>
          <w:spacing w:val="-3"/>
          <w:sz w:val="16"/>
        </w:rPr>
      </w:pPr>
      <w:r w:rsidRPr="00BD1319">
        <w:rPr>
          <w:rFonts w:cs="Arial"/>
          <w:spacing w:val="-3"/>
          <w:sz w:val="16"/>
          <w:szCs w:val="16"/>
          <w:vertAlign w:val="superscript"/>
        </w:rPr>
        <w:t>3</w:t>
      </w:r>
      <w:r w:rsidRPr="00BD1319">
        <w:rPr>
          <w:rFonts w:cs="Arial"/>
          <w:spacing w:val="-3"/>
          <w:sz w:val="16"/>
          <w:szCs w:val="16"/>
          <w:vertAlign w:val="superscript"/>
        </w:rPr>
        <w:tab/>
      </w:r>
      <w:proofErr w:type="gramStart"/>
      <w:r w:rsidRPr="00BD1319">
        <w:rPr>
          <w:spacing w:val="-3"/>
          <w:sz w:val="16"/>
        </w:rPr>
        <w:t>Estimación</w:t>
      </w:r>
      <w:proofErr w:type="gramEnd"/>
      <w:r w:rsidRPr="00BD1319">
        <w:rPr>
          <w:spacing w:val="-3"/>
          <w:sz w:val="16"/>
        </w:rPr>
        <w:t xml:space="preserve"> cuantitativa o cualitativa de la forma en que se prevé cambiarán los SE en el escenario sin proyecto.</w:t>
      </w:r>
    </w:p>
    <w:p w14:paraId="628FC787" w14:textId="02813375" w:rsidR="00970A40" w:rsidRPr="00BD1319" w:rsidRDefault="00970A40" w:rsidP="00970A40">
      <w:pPr>
        <w:numPr>
          <w:ilvl w:val="12"/>
          <w:numId w:val="0"/>
        </w:numPr>
        <w:tabs>
          <w:tab w:val="left" w:pos="-2268"/>
        </w:tabs>
        <w:suppressAutoHyphens/>
        <w:ind w:left="142" w:hanging="142"/>
        <w:rPr>
          <w:rFonts w:cs="Arial"/>
          <w:spacing w:val="-3"/>
          <w:sz w:val="16"/>
          <w:szCs w:val="16"/>
        </w:rPr>
      </w:pPr>
      <w:r w:rsidRPr="00BD1319">
        <w:rPr>
          <w:rFonts w:cs="Arial"/>
          <w:spacing w:val="-3"/>
          <w:sz w:val="16"/>
          <w:szCs w:val="16"/>
          <w:vertAlign w:val="superscript"/>
        </w:rPr>
        <w:t>4</w:t>
      </w:r>
      <w:r w:rsidRPr="00BD1319">
        <w:rPr>
          <w:rFonts w:cs="Arial"/>
          <w:spacing w:val="-3"/>
          <w:sz w:val="16"/>
          <w:szCs w:val="16"/>
        </w:rPr>
        <w:tab/>
      </w:r>
      <w:proofErr w:type="gramStart"/>
      <w:r w:rsidRPr="00BD1319">
        <w:rPr>
          <w:rFonts w:cs="Arial"/>
          <w:spacing w:val="-3"/>
          <w:sz w:val="16"/>
          <w:szCs w:val="16"/>
        </w:rPr>
        <w:t>Debe</w:t>
      </w:r>
      <w:proofErr w:type="gramEnd"/>
      <w:r w:rsidRPr="00BD1319">
        <w:rPr>
          <w:rFonts w:cs="Arial"/>
          <w:spacing w:val="-3"/>
          <w:sz w:val="16"/>
          <w:szCs w:val="16"/>
        </w:rPr>
        <w:t xml:space="preserve"> corresponder a un impacto y a su categoría normalizada de calificación, de acuerdo con los resultados de la evaluación ambiental (capítulo </w:t>
      </w:r>
      <w:r w:rsidRPr="00BD1319">
        <w:rPr>
          <w:rFonts w:cs="Arial"/>
          <w:spacing w:val="-3"/>
          <w:sz w:val="16"/>
          <w:szCs w:val="16"/>
        </w:rPr>
        <w:fldChar w:fldCharType="begin"/>
      </w:r>
      <w:r w:rsidRPr="00BD1319">
        <w:rPr>
          <w:rFonts w:cs="Arial"/>
          <w:spacing w:val="-3"/>
          <w:sz w:val="16"/>
          <w:szCs w:val="16"/>
        </w:rPr>
        <w:instrText xml:space="preserve"> REF _Ref515723704 \r \h  \* MERGEFORMAT </w:instrText>
      </w:r>
      <w:r w:rsidRPr="00BD1319">
        <w:rPr>
          <w:rFonts w:cs="Arial"/>
          <w:spacing w:val="-3"/>
          <w:sz w:val="16"/>
          <w:szCs w:val="16"/>
        </w:rPr>
      </w:r>
      <w:r w:rsidRPr="00BD1319">
        <w:rPr>
          <w:rFonts w:cs="Arial"/>
          <w:spacing w:val="-3"/>
          <w:sz w:val="16"/>
          <w:szCs w:val="16"/>
        </w:rPr>
        <w:fldChar w:fldCharType="separate"/>
      </w:r>
      <w:r w:rsidR="00296654" w:rsidRPr="00BD1319">
        <w:rPr>
          <w:rFonts w:cs="Arial"/>
          <w:spacing w:val="-3"/>
          <w:sz w:val="16"/>
          <w:szCs w:val="16"/>
        </w:rPr>
        <w:t>7</w:t>
      </w:r>
      <w:r w:rsidRPr="00BD1319">
        <w:rPr>
          <w:rFonts w:cs="Arial"/>
          <w:spacing w:val="-3"/>
          <w:sz w:val="16"/>
          <w:szCs w:val="16"/>
        </w:rPr>
        <w:fldChar w:fldCharType="end"/>
      </w:r>
      <w:r w:rsidRPr="00BD1319">
        <w:rPr>
          <w:rFonts w:cs="Arial"/>
          <w:spacing w:val="-3"/>
          <w:sz w:val="16"/>
          <w:szCs w:val="16"/>
        </w:rPr>
        <w:t>).</w:t>
      </w:r>
    </w:p>
    <w:p w14:paraId="40E67E27" w14:textId="22A8A8D0" w:rsidR="00970A40" w:rsidRPr="00BD1319" w:rsidRDefault="00970A40" w:rsidP="00970A40">
      <w:pPr>
        <w:numPr>
          <w:ilvl w:val="12"/>
          <w:numId w:val="0"/>
        </w:numPr>
        <w:tabs>
          <w:tab w:val="left" w:pos="-2268"/>
        </w:tabs>
        <w:suppressAutoHyphens/>
        <w:ind w:left="142" w:hanging="142"/>
        <w:rPr>
          <w:spacing w:val="-3"/>
          <w:sz w:val="16"/>
        </w:rPr>
      </w:pPr>
      <w:r w:rsidRPr="00BD1319">
        <w:rPr>
          <w:rFonts w:cs="Arial"/>
          <w:spacing w:val="-3"/>
          <w:sz w:val="16"/>
          <w:szCs w:val="16"/>
          <w:vertAlign w:val="superscript"/>
        </w:rPr>
        <w:t>5</w:t>
      </w:r>
      <w:r w:rsidRPr="00BD1319">
        <w:rPr>
          <w:spacing w:val="-3"/>
          <w:sz w:val="16"/>
        </w:rPr>
        <w:tab/>
      </w:r>
      <w:proofErr w:type="gramStart"/>
      <w:r w:rsidRPr="00BD1319">
        <w:rPr>
          <w:spacing w:val="-3"/>
          <w:sz w:val="16"/>
        </w:rPr>
        <w:t>La</w:t>
      </w:r>
      <w:proofErr w:type="gramEnd"/>
      <w:r w:rsidRPr="00BD1319">
        <w:rPr>
          <w:spacing w:val="-3"/>
          <w:sz w:val="16"/>
        </w:rPr>
        <w:t xml:space="preserve"> cuantificación de los usuarios del SE debe ser realizada a partir de la caracterización de la línea base del medio socioeconómico.</w:t>
      </w:r>
    </w:p>
    <w:p w14:paraId="65827E86" w14:textId="4823234C" w:rsidR="00970A40" w:rsidRPr="00BD1319" w:rsidRDefault="00970A40" w:rsidP="00970A40">
      <w:pPr>
        <w:numPr>
          <w:ilvl w:val="12"/>
          <w:numId w:val="0"/>
        </w:numPr>
        <w:tabs>
          <w:tab w:val="left" w:pos="-2268"/>
        </w:tabs>
        <w:suppressAutoHyphens/>
        <w:rPr>
          <w:rFonts w:cs="Arial"/>
          <w:spacing w:val="-3"/>
          <w:sz w:val="16"/>
          <w:szCs w:val="16"/>
        </w:rPr>
        <w:sectPr w:rsidR="00970A40" w:rsidRPr="00BD1319" w:rsidSect="00544833">
          <w:headerReference w:type="even" r:id="rId62"/>
          <w:headerReference w:type="default" r:id="rId63"/>
          <w:footerReference w:type="default" r:id="rId64"/>
          <w:headerReference w:type="first" r:id="rId65"/>
          <w:footerReference w:type="first" r:id="rId66"/>
          <w:endnotePr>
            <w:numFmt w:val="decimal"/>
          </w:endnotePr>
          <w:pgSz w:w="15842" w:h="12242" w:orient="landscape" w:code="1"/>
          <w:pgMar w:top="1701" w:right="2268" w:bottom="1134" w:left="1701" w:header="1134" w:footer="1009" w:gutter="0"/>
          <w:cols w:space="720"/>
          <w:docGrid w:linePitch="326"/>
        </w:sectPr>
      </w:pPr>
    </w:p>
    <w:p w14:paraId="3877BCD7" w14:textId="77777777" w:rsidR="004C29D0" w:rsidRPr="00BD1319" w:rsidRDefault="004C29D0" w:rsidP="0068149C">
      <w:pPr>
        <w:pStyle w:val="Ttulo2"/>
        <w:rPr>
          <w:lang w:val="es-CO"/>
        </w:rPr>
      </w:pPr>
      <w:bookmarkStart w:id="3052" w:name="_Toc175326780"/>
      <w:r w:rsidRPr="00BD1319">
        <w:rPr>
          <w:lang w:val="es-CO"/>
        </w:rPr>
        <w:lastRenderedPageBreak/>
        <w:t>PAISAJE</w:t>
      </w:r>
      <w:bookmarkEnd w:id="3044"/>
      <w:bookmarkEnd w:id="3045"/>
      <w:bookmarkEnd w:id="3046"/>
      <w:bookmarkEnd w:id="3052"/>
    </w:p>
    <w:p w14:paraId="6494655D" w14:textId="77777777" w:rsidR="004C29D0" w:rsidRPr="00BD1319" w:rsidRDefault="004C29D0">
      <w:pPr>
        <w:numPr>
          <w:ilvl w:val="12"/>
          <w:numId w:val="0"/>
        </w:numPr>
        <w:tabs>
          <w:tab w:val="left" w:pos="-2268"/>
        </w:tabs>
        <w:suppressAutoHyphens/>
        <w:rPr>
          <w:rFonts w:cs="Arial"/>
          <w:spacing w:val="-3"/>
        </w:rPr>
      </w:pPr>
    </w:p>
    <w:p w14:paraId="3C9445C2" w14:textId="5CE031F7" w:rsidR="00EB1591" w:rsidRPr="00BD1319" w:rsidRDefault="00114ED3">
      <w:pPr>
        <w:rPr>
          <w:rStyle w:val="normaltextrun"/>
          <w:rFonts w:cs="Arial"/>
          <w:lang w:eastAsia="es-419"/>
        </w:rPr>
      </w:pPr>
      <w:r w:rsidRPr="00BD1319">
        <w:rPr>
          <w:rStyle w:val="normaltextrun"/>
          <w:rFonts w:cs="Arial"/>
          <w:lang w:eastAsia="es-419"/>
        </w:rPr>
        <w:t>L</w:t>
      </w:r>
      <w:r w:rsidR="006A4A5A" w:rsidRPr="00BD1319">
        <w:rPr>
          <w:rStyle w:val="normaltextrun"/>
          <w:rFonts w:cs="Arial"/>
          <w:lang w:eastAsia="es-419"/>
        </w:rPr>
        <w:t xml:space="preserve">a caracterización del paisaje </w:t>
      </w:r>
      <w:r w:rsidR="00EB1908" w:rsidRPr="00BD1319">
        <w:rPr>
          <w:rStyle w:val="normaltextrun"/>
          <w:rFonts w:cs="Arial"/>
          <w:lang w:eastAsia="es-419"/>
        </w:rPr>
        <w:t xml:space="preserve">se realiza mediante </w:t>
      </w:r>
      <w:r w:rsidR="00D15D7A" w:rsidRPr="00BD1319">
        <w:rPr>
          <w:rStyle w:val="normaltextrun"/>
          <w:rFonts w:cs="Arial"/>
          <w:lang w:eastAsia="es-419"/>
        </w:rPr>
        <w:t xml:space="preserve">diferentes </w:t>
      </w:r>
      <w:r w:rsidR="006A4A5A" w:rsidRPr="00BD1319">
        <w:rPr>
          <w:rStyle w:val="normaltextrun"/>
          <w:rFonts w:cs="Arial"/>
          <w:lang w:eastAsia="es-419"/>
        </w:rPr>
        <w:t xml:space="preserve">análisis </w:t>
      </w:r>
      <w:r w:rsidR="00EB1908" w:rsidRPr="00BD1319">
        <w:rPr>
          <w:rStyle w:val="normaltextrun"/>
          <w:rFonts w:cs="Arial"/>
          <w:lang w:eastAsia="es-419"/>
        </w:rPr>
        <w:t>para su área de influencia, es decir el área que</w:t>
      </w:r>
      <w:r w:rsidR="00434EA7" w:rsidRPr="00BD1319">
        <w:rPr>
          <w:rStyle w:val="normaltextrun"/>
          <w:rFonts w:cs="Arial"/>
          <w:lang w:eastAsia="es-419"/>
        </w:rPr>
        <w:t>,</w:t>
      </w:r>
      <w:r w:rsidR="00EB1908" w:rsidRPr="00BD1319">
        <w:rPr>
          <w:rStyle w:val="normaltextrun"/>
          <w:rFonts w:cs="Arial"/>
          <w:lang w:eastAsia="es-419"/>
        </w:rPr>
        <w:t xml:space="preserve"> de acuerdo con el lugar de emplazamiento </w:t>
      </w:r>
      <w:r w:rsidR="006A4A5A" w:rsidRPr="00BD1319">
        <w:rPr>
          <w:rStyle w:val="normaltextrun"/>
          <w:rFonts w:cs="Arial"/>
          <w:lang w:eastAsia="es-419"/>
        </w:rPr>
        <w:t>de la</w:t>
      </w:r>
      <w:r w:rsidR="00EB1908" w:rsidRPr="00BD1319">
        <w:rPr>
          <w:rStyle w:val="normaltextrun"/>
          <w:rFonts w:cs="Arial"/>
          <w:lang w:eastAsia="es-419"/>
        </w:rPr>
        <w:t>s</w:t>
      </w:r>
      <w:r w:rsidR="006A4A5A" w:rsidRPr="00BD1319">
        <w:rPr>
          <w:rStyle w:val="normaltextrun"/>
          <w:rFonts w:cs="Arial"/>
          <w:lang w:eastAsia="es-419"/>
        </w:rPr>
        <w:t xml:space="preserve"> </w:t>
      </w:r>
      <w:r w:rsidR="00EB1908" w:rsidRPr="00BD1319">
        <w:rPr>
          <w:rStyle w:val="normaltextrun"/>
          <w:rFonts w:cs="Arial"/>
          <w:lang w:eastAsia="es-419"/>
        </w:rPr>
        <w:t xml:space="preserve">obras, </w:t>
      </w:r>
      <w:r w:rsidR="006A4A5A" w:rsidRPr="00BD1319">
        <w:rPr>
          <w:rStyle w:val="normaltextrun"/>
          <w:rFonts w:cs="Arial"/>
          <w:lang w:eastAsia="es-419"/>
        </w:rPr>
        <w:t>infraestructura</w:t>
      </w:r>
      <w:r w:rsidR="00EB1908" w:rsidRPr="00BD1319">
        <w:rPr>
          <w:rStyle w:val="normaltextrun"/>
          <w:rFonts w:cs="Arial"/>
          <w:lang w:eastAsia="es-419"/>
        </w:rPr>
        <w:t xml:space="preserve">s, adecuaciones y demás actividades principales </w:t>
      </w:r>
      <w:r w:rsidR="00EB1908" w:rsidRPr="00BD1319">
        <w:rPr>
          <w:rStyle w:val="normaltextrun"/>
          <w:rFonts w:cs="Arial"/>
        </w:rPr>
        <w:t>y conexas del proyecto, obra o actividad</w:t>
      </w:r>
      <w:r w:rsidR="009B1BB3" w:rsidRPr="00BD1319">
        <w:rPr>
          <w:rStyle w:val="normaltextrun"/>
          <w:rFonts w:cs="Arial"/>
          <w:lang w:eastAsia="es-419"/>
        </w:rPr>
        <w:t>,</w:t>
      </w:r>
      <w:r w:rsidR="006A4A5A" w:rsidRPr="00BD1319">
        <w:rPr>
          <w:rStyle w:val="normaltextrun"/>
          <w:rFonts w:cs="Arial"/>
          <w:lang w:eastAsia="es-419"/>
        </w:rPr>
        <w:t xml:space="preserve"> </w:t>
      </w:r>
      <w:r w:rsidR="00EB1908" w:rsidRPr="00BD1319">
        <w:rPr>
          <w:rStyle w:val="normaltextrun"/>
          <w:rFonts w:cs="Arial"/>
          <w:lang w:eastAsia="es-419"/>
        </w:rPr>
        <w:t>resulta impactada de forma significativa</w:t>
      </w:r>
      <w:r w:rsidR="00E91C0A" w:rsidRPr="00BD1319">
        <w:rPr>
          <w:rStyle w:val="normaltextrun"/>
          <w:rFonts w:cs="Arial"/>
          <w:lang w:eastAsia="es-419"/>
        </w:rPr>
        <w:t>.</w:t>
      </w:r>
      <w:r w:rsidR="00EB1908" w:rsidRPr="00BD1319">
        <w:rPr>
          <w:rStyle w:val="normaltextrun"/>
          <w:rFonts w:cs="Arial"/>
          <w:lang w:eastAsia="es-419"/>
        </w:rPr>
        <w:t xml:space="preserve"> </w:t>
      </w:r>
      <w:r w:rsidR="00E91C0A" w:rsidRPr="00BD1319">
        <w:rPr>
          <w:rStyle w:val="normaltextrun"/>
          <w:rFonts w:cs="Arial"/>
          <w:lang w:eastAsia="es-419"/>
        </w:rPr>
        <w:t>E</w:t>
      </w:r>
      <w:r w:rsidR="006A4A5A" w:rsidRPr="00BD1319">
        <w:rPr>
          <w:rStyle w:val="normaltextrun"/>
          <w:rFonts w:cs="Arial"/>
          <w:lang w:eastAsia="es-419"/>
        </w:rPr>
        <w:t>n aquellos casos donde no se cuente con la</w:t>
      </w:r>
      <w:r w:rsidR="00E91C0A" w:rsidRPr="00BD1319">
        <w:rPr>
          <w:rStyle w:val="normaltextrun"/>
          <w:rFonts w:cs="Arial"/>
          <w:lang w:eastAsia="es-419"/>
        </w:rPr>
        <w:t>s</w:t>
      </w:r>
      <w:r w:rsidR="006A4A5A" w:rsidRPr="00BD1319">
        <w:rPr>
          <w:rStyle w:val="normaltextrun"/>
          <w:rFonts w:cs="Arial"/>
          <w:lang w:eastAsia="es-419"/>
        </w:rPr>
        <w:t xml:space="preserve"> localizaci</w:t>
      </w:r>
      <w:r w:rsidR="00EB1908" w:rsidRPr="00BD1319">
        <w:rPr>
          <w:rStyle w:val="normaltextrun"/>
          <w:rFonts w:cs="Arial"/>
          <w:lang w:eastAsia="es-419"/>
        </w:rPr>
        <w:t xml:space="preserve">ones </w:t>
      </w:r>
      <w:r w:rsidR="006A4A5A" w:rsidRPr="00BD1319">
        <w:rPr>
          <w:rStyle w:val="normaltextrun"/>
          <w:rFonts w:cs="Arial"/>
          <w:lang w:eastAsia="es-419"/>
        </w:rPr>
        <w:t>definitiva</w:t>
      </w:r>
      <w:r w:rsidR="00EB1908" w:rsidRPr="00BD1319">
        <w:rPr>
          <w:rStyle w:val="normaltextrun"/>
          <w:rFonts w:cs="Arial"/>
          <w:lang w:eastAsia="es-419"/>
        </w:rPr>
        <w:t>s</w:t>
      </w:r>
      <w:r w:rsidR="006A4A5A" w:rsidRPr="00BD1319">
        <w:rPr>
          <w:rStyle w:val="normaltextrun"/>
          <w:rFonts w:cs="Arial"/>
          <w:lang w:eastAsia="es-419"/>
        </w:rPr>
        <w:t xml:space="preserve">, </w:t>
      </w:r>
      <w:r w:rsidR="00EB1908" w:rsidRPr="00BD1319">
        <w:rPr>
          <w:rStyle w:val="normaltextrun"/>
          <w:rFonts w:cs="Arial"/>
          <w:lang w:eastAsia="es-419"/>
        </w:rPr>
        <w:t xml:space="preserve">se debe </w:t>
      </w:r>
      <w:r w:rsidR="006A4A5A" w:rsidRPr="00BD1319">
        <w:rPr>
          <w:rStyle w:val="normaltextrun"/>
          <w:rFonts w:cs="Arial"/>
          <w:lang w:eastAsia="es-419"/>
        </w:rPr>
        <w:t xml:space="preserve">hacer uso de alternativas preliminares de </w:t>
      </w:r>
      <w:r w:rsidR="00EB1908" w:rsidRPr="00BD1319">
        <w:rPr>
          <w:rStyle w:val="normaltextrun"/>
          <w:rFonts w:cs="Arial"/>
          <w:lang w:eastAsia="es-419"/>
        </w:rPr>
        <w:t>ubicación</w:t>
      </w:r>
      <w:r w:rsidR="006A4A5A" w:rsidRPr="00BD1319">
        <w:rPr>
          <w:rStyle w:val="normaltextrun"/>
          <w:rFonts w:cs="Arial"/>
          <w:lang w:eastAsia="es-419"/>
        </w:rPr>
        <w:t>.</w:t>
      </w:r>
    </w:p>
    <w:p w14:paraId="32ABCCA4" w14:textId="77777777" w:rsidR="00EB1591" w:rsidRPr="00BD1319" w:rsidRDefault="00EB1591">
      <w:pPr>
        <w:rPr>
          <w:rStyle w:val="normaltextrun"/>
          <w:rFonts w:cs="Arial"/>
          <w:lang w:eastAsia="es-419"/>
        </w:rPr>
      </w:pPr>
    </w:p>
    <w:p w14:paraId="433B4B63" w14:textId="14E936F6" w:rsidR="00CF3D81" w:rsidRPr="00BD1319" w:rsidRDefault="004F5F7D">
      <w:pPr>
        <w:rPr>
          <w:rStyle w:val="eop"/>
          <w:rFonts w:cs="Arial"/>
        </w:rPr>
      </w:pPr>
      <w:r w:rsidRPr="00BD1319">
        <w:rPr>
          <w:rStyle w:val="eop"/>
          <w:rFonts w:cs="Arial"/>
        </w:rPr>
        <w:t>L</w:t>
      </w:r>
      <w:r w:rsidR="004C29D0" w:rsidRPr="00BD1319">
        <w:rPr>
          <w:rStyle w:val="eop"/>
          <w:rFonts w:cs="Arial"/>
        </w:rPr>
        <w:t xml:space="preserve">a </w:t>
      </w:r>
      <w:r w:rsidRPr="00BD1319">
        <w:rPr>
          <w:rStyle w:val="eop"/>
          <w:rFonts w:cs="Arial"/>
        </w:rPr>
        <w:t xml:space="preserve">caracterización del </w:t>
      </w:r>
      <w:r w:rsidR="004C29D0" w:rsidRPr="00BD1319">
        <w:rPr>
          <w:rStyle w:val="eop"/>
          <w:rFonts w:cs="Arial"/>
        </w:rPr>
        <w:t>paisaj</w:t>
      </w:r>
      <w:r w:rsidRPr="00BD1319">
        <w:rPr>
          <w:rStyle w:val="eop"/>
          <w:rFonts w:cs="Arial"/>
        </w:rPr>
        <w:t xml:space="preserve">e </w:t>
      </w:r>
      <w:r w:rsidR="00E91C0A" w:rsidRPr="00BD1319">
        <w:rPr>
          <w:rStyle w:val="eop"/>
          <w:rFonts w:cs="Arial"/>
        </w:rPr>
        <w:t xml:space="preserve">parte del análisis de tres </w:t>
      </w:r>
      <w:r w:rsidR="00EB1591" w:rsidRPr="00BD1319">
        <w:rPr>
          <w:rStyle w:val="eop"/>
          <w:rFonts w:cs="Arial"/>
        </w:rPr>
        <w:t xml:space="preserve">elementos </w:t>
      </w:r>
      <w:r w:rsidR="004C29D0" w:rsidRPr="00BD1319">
        <w:rPr>
          <w:rStyle w:val="eop"/>
          <w:rFonts w:cs="Arial"/>
        </w:rPr>
        <w:t>principales</w:t>
      </w:r>
      <w:r w:rsidR="00EB1591" w:rsidRPr="00BD1319">
        <w:rPr>
          <w:rStyle w:val="eop"/>
          <w:rFonts w:cs="Arial"/>
        </w:rPr>
        <w:t xml:space="preserve">, a saber: i) </w:t>
      </w:r>
      <w:r w:rsidR="00CB686E" w:rsidRPr="00BD1319">
        <w:rPr>
          <w:rStyle w:val="eop"/>
          <w:rFonts w:cs="Arial"/>
        </w:rPr>
        <w:t xml:space="preserve">fisiografía </w:t>
      </w:r>
      <w:r w:rsidR="004C29D0" w:rsidRPr="00BD1319">
        <w:rPr>
          <w:rStyle w:val="eop"/>
          <w:rFonts w:cs="Arial"/>
        </w:rPr>
        <w:t>y geomorfol</w:t>
      </w:r>
      <w:r w:rsidR="00CB686E" w:rsidRPr="00BD1319">
        <w:rPr>
          <w:rStyle w:val="eop"/>
          <w:rFonts w:cs="Arial"/>
        </w:rPr>
        <w:t>ogía</w:t>
      </w:r>
      <w:r w:rsidR="004C29D0" w:rsidRPr="00BD1319">
        <w:rPr>
          <w:rStyle w:val="eop"/>
          <w:rFonts w:cs="Arial"/>
        </w:rPr>
        <w:t xml:space="preserve">, </w:t>
      </w:r>
      <w:proofErr w:type="spellStart"/>
      <w:r w:rsidR="00EB1591" w:rsidRPr="00BD1319">
        <w:rPr>
          <w:rStyle w:val="eop"/>
          <w:rFonts w:cs="Arial"/>
        </w:rPr>
        <w:t>ii</w:t>
      </w:r>
      <w:proofErr w:type="spellEnd"/>
      <w:r w:rsidR="00EB1591" w:rsidRPr="00BD1319">
        <w:rPr>
          <w:rStyle w:val="eop"/>
          <w:rFonts w:cs="Arial"/>
        </w:rPr>
        <w:t xml:space="preserve">) </w:t>
      </w:r>
      <w:r w:rsidR="004C29D0" w:rsidRPr="00BD1319">
        <w:rPr>
          <w:rStyle w:val="eop"/>
          <w:rFonts w:cs="Arial"/>
        </w:rPr>
        <w:t>coberturas de la tierra</w:t>
      </w:r>
      <w:r w:rsidR="00EB1591" w:rsidRPr="00BD1319">
        <w:rPr>
          <w:rStyle w:val="eop"/>
          <w:rFonts w:cs="Arial"/>
        </w:rPr>
        <w:t xml:space="preserve"> asociadas a cada ecosistema </w:t>
      </w:r>
      <w:r w:rsidR="00CE0E6F" w:rsidRPr="00BD1319">
        <w:rPr>
          <w:rStyle w:val="eop"/>
          <w:rFonts w:cs="Arial"/>
        </w:rPr>
        <w:t>(</w:t>
      </w:r>
      <w:r w:rsidR="00ED166E" w:rsidRPr="00BD1319">
        <w:rPr>
          <w:rStyle w:val="eop"/>
          <w:rFonts w:cs="Arial"/>
        </w:rPr>
        <w:t xml:space="preserve">lo cual </w:t>
      </w:r>
      <w:r w:rsidR="00EB1591" w:rsidRPr="00BD1319">
        <w:rPr>
          <w:rStyle w:val="eop"/>
          <w:rFonts w:cs="Arial"/>
        </w:rPr>
        <w:t>incluye</w:t>
      </w:r>
      <w:r w:rsidR="00ED166E" w:rsidRPr="00BD1319">
        <w:rPr>
          <w:rStyle w:val="eop"/>
          <w:rFonts w:cs="Arial"/>
        </w:rPr>
        <w:t xml:space="preserve"> a los</w:t>
      </w:r>
      <w:r w:rsidR="00EB1591" w:rsidRPr="00BD1319">
        <w:rPr>
          <w:rStyle w:val="eop"/>
          <w:rFonts w:cs="Arial"/>
        </w:rPr>
        <w:t xml:space="preserve"> ecosistemas estratégicos terrestres, marinos y marino</w:t>
      </w:r>
      <w:r w:rsidR="003562D7" w:rsidRPr="00BD1319">
        <w:rPr>
          <w:rStyle w:val="eop"/>
          <w:rFonts w:cs="Arial"/>
        </w:rPr>
        <w:t xml:space="preserve"> </w:t>
      </w:r>
      <w:r w:rsidR="00EB1591" w:rsidRPr="00BD1319">
        <w:rPr>
          <w:rStyle w:val="eop"/>
          <w:rFonts w:cs="Arial"/>
        </w:rPr>
        <w:t>costeros</w:t>
      </w:r>
      <w:r w:rsidR="00CE0E6F" w:rsidRPr="00BD1319">
        <w:rPr>
          <w:rStyle w:val="eop"/>
          <w:rFonts w:cs="Arial"/>
        </w:rPr>
        <w:t>)</w:t>
      </w:r>
      <w:r w:rsidR="00EB1591" w:rsidRPr="00BD1319">
        <w:rPr>
          <w:rStyle w:val="eop"/>
          <w:rFonts w:cs="Arial"/>
        </w:rPr>
        <w:t xml:space="preserve"> y</w:t>
      </w:r>
      <w:r w:rsidR="003562D7" w:rsidRPr="00BD1319">
        <w:rPr>
          <w:rStyle w:val="eop"/>
          <w:rFonts w:cs="Arial"/>
        </w:rPr>
        <w:t>,</w:t>
      </w:r>
      <w:r w:rsidR="00EB1591" w:rsidRPr="00BD1319">
        <w:rPr>
          <w:rStyle w:val="eop"/>
          <w:rFonts w:cs="Arial"/>
        </w:rPr>
        <w:t xml:space="preserve"> </w:t>
      </w:r>
      <w:proofErr w:type="spellStart"/>
      <w:r w:rsidR="00EB1591" w:rsidRPr="00BD1319">
        <w:rPr>
          <w:rStyle w:val="eop"/>
          <w:rFonts w:cs="Arial"/>
        </w:rPr>
        <w:t>iii</w:t>
      </w:r>
      <w:proofErr w:type="spellEnd"/>
      <w:r w:rsidR="00EB1591" w:rsidRPr="00BD1319">
        <w:rPr>
          <w:rStyle w:val="eop"/>
          <w:rFonts w:cs="Arial"/>
        </w:rPr>
        <w:t xml:space="preserve">) </w:t>
      </w:r>
      <w:r w:rsidR="004C29D0" w:rsidRPr="00BD1319">
        <w:rPr>
          <w:rStyle w:val="eop"/>
          <w:rFonts w:cs="Arial"/>
        </w:rPr>
        <w:t xml:space="preserve">percepción </w:t>
      </w:r>
      <w:r w:rsidR="00F3350B" w:rsidRPr="00BD1319">
        <w:rPr>
          <w:rStyle w:val="eop"/>
          <w:rFonts w:cs="Arial"/>
        </w:rPr>
        <w:t xml:space="preserve">visual </w:t>
      </w:r>
      <w:r w:rsidR="004C29D0" w:rsidRPr="00BD1319">
        <w:rPr>
          <w:rStyle w:val="eop"/>
          <w:rFonts w:cs="Arial"/>
        </w:rPr>
        <w:t>del paisaje</w:t>
      </w:r>
      <w:r w:rsidR="003562D7" w:rsidRPr="00BD1319">
        <w:rPr>
          <w:rStyle w:val="eop"/>
          <w:rFonts w:cs="Arial"/>
        </w:rPr>
        <w:t>.</w:t>
      </w:r>
      <w:r w:rsidR="004C29D0" w:rsidRPr="00BD1319">
        <w:rPr>
          <w:rStyle w:val="eop"/>
          <w:rFonts w:cs="Arial"/>
        </w:rPr>
        <w:t xml:space="preserve"> </w:t>
      </w:r>
      <w:r w:rsidR="003562D7" w:rsidRPr="00BD1319">
        <w:rPr>
          <w:rStyle w:val="eop"/>
          <w:rFonts w:cs="Arial"/>
        </w:rPr>
        <w:t>P</w:t>
      </w:r>
      <w:r w:rsidR="004C29D0" w:rsidRPr="00BD1319">
        <w:rPr>
          <w:rStyle w:val="eop"/>
          <w:rFonts w:cs="Arial"/>
        </w:rPr>
        <w:t xml:space="preserve">or tanto, </w:t>
      </w:r>
      <w:r w:rsidR="003562D7" w:rsidRPr="00BD1319">
        <w:rPr>
          <w:rStyle w:val="eop"/>
          <w:rFonts w:cs="Arial"/>
        </w:rPr>
        <w:t xml:space="preserve">la caracterización del paisaje </w:t>
      </w:r>
      <w:r w:rsidR="004C29D0" w:rsidRPr="00BD1319">
        <w:rPr>
          <w:rStyle w:val="eop"/>
          <w:rFonts w:cs="Arial"/>
        </w:rPr>
        <w:t xml:space="preserve">obedece a </w:t>
      </w:r>
      <w:r w:rsidR="00CE0E6F" w:rsidRPr="00BD1319">
        <w:rPr>
          <w:rStyle w:val="eop"/>
          <w:rFonts w:cs="Arial"/>
        </w:rPr>
        <w:t xml:space="preserve">una </w:t>
      </w:r>
      <w:r w:rsidR="004C29D0" w:rsidRPr="00BD1319">
        <w:rPr>
          <w:rStyle w:val="eop"/>
          <w:rFonts w:cs="Arial"/>
        </w:rPr>
        <w:t xml:space="preserve">integración de los componentes </w:t>
      </w:r>
      <w:r w:rsidR="00CE0E6F" w:rsidRPr="00BD1319">
        <w:rPr>
          <w:rStyle w:val="eop"/>
          <w:rFonts w:cs="Arial"/>
        </w:rPr>
        <w:t>de</w:t>
      </w:r>
      <w:r w:rsidR="004C29D0" w:rsidRPr="00BD1319">
        <w:rPr>
          <w:rStyle w:val="eop"/>
          <w:rFonts w:cs="Arial"/>
        </w:rPr>
        <w:t xml:space="preserve"> los medios abiótico, biótico y socioeconómico</w:t>
      </w:r>
      <w:r w:rsidR="00CB686E" w:rsidRPr="00BD1319">
        <w:rPr>
          <w:rStyle w:val="eop"/>
          <w:rFonts w:cs="Arial"/>
        </w:rPr>
        <w:t xml:space="preserve"> que se le asocian</w:t>
      </w:r>
      <w:r w:rsidR="004C29D0" w:rsidRPr="00BD1319">
        <w:rPr>
          <w:rStyle w:val="eop"/>
          <w:rFonts w:cs="Arial"/>
        </w:rPr>
        <w:t>.</w:t>
      </w:r>
    </w:p>
    <w:p w14:paraId="2C0188CA" w14:textId="05BE146B" w:rsidR="004C29D0" w:rsidRPr="00BD1319" w:rsidRDefault="004C29D0">
      <w:pPr>
        <w:rPr>
          <w:rStyle w:val="eop"/>
          <w:rFonts w:cs="Arial"/>
        </w:rPr>
      </w:pPr>
    </w:p>
    <w:p w14:paraId="5B38D70C" w14:textId="1D231749" w:rsidR="004C29D0" w:rsidRPr="00BD1319" w:rsidRDefault="007C6392">
      <w:pPr>
        <w:pStyle w:val="paragraph"/>
        <w:spacing w:before="0" w:beforeAutospacing="0" w:after="0" w:afterAutospacing="0"/>
        <w:textAlignment w:val="baseline"/>
        <w:rPr>
          <w:rFonts w:cs="Arial"/>
          <w:lang w:val="es-CO"/>
        </w:rPr>
      </w:pPr>
      <w:r w:rsidRPr="00BD1319">
        <w:rPr>
          <w:rStyle w:val="eop"/>
          <w:rFonts w:cs="Arial"/>
          <w:lang w:val="es-CO"/>
        </w:rPr>
        <w:t xml:space="preserve">Para </w:t>
      </w:r>
      <w:r w:rsidR="00CE0E6F" w:rsidRPr="00BD1319">
        <w:rPr>
          <w:rStyle w:val="eop"/>
          <w:rFonts w:cs="Arial"/>
          <w:lang w:val="es-CO"/>
        </w:rPr>
        <w:t>caracteriza</w:t>
      </w:r>
      <w:r w:rsidR="00045627" w:rsidRPr="00BD1319">
        <w:rPr>
          <w:rStyle w:val="eop"/>
          <w:rFonts w:cs="Arial"/>
          <w:lang w:val="es-CO"/>
        </w:rPr>
        <w:t xml:space="preserve">r </w:t>
      </w:r>
      <w:r w:rsidR="00CE0E6F" w:rsidRPr="00BD1319">
        <w:rPr>
          <w:rStyle w:val="eop"/>
          <w:rFonts w:cs="Arial"/>
          <w:lang w:val="es-CO"/>
        </w:rPr>
        <w:t>los elementos principales del paisaje se debe</w:t>
      </w:r>
      <w:r w:rsidR="00045627" w:rsidRPr="00BD1319">
        <w:rPr>
          <w:rStyle w:val="eop"/>
          <w:rFonts w:cs="Arial"/>
          <w:lang w:val="es-CO"/>
        </w:rPr>
        <w:t>n</w:t>
      </w:r>
      <w:r w:rsidR="00CE0E6F" w:rsidRPr="00BD1319">
        <w:rPr>
          <w:rStyle w:val="eop"/>
          <w:rFonts w:cs="Arial"/>
          <w:lang w:val="es-CO"/>
        </w:rPr>
        <w:t xml:space="preserve"> </w:t>
      </w:r>
      <w:r w:rsidR="00F01244" w:rsidRPr="00BD1319">
        <w:rPr>
          <w:rStyle w:val="eop"/>
          <w:rFonts w:cs="Arial"/>
          <w:lang w:val="es-CO"/>
        </w:rPr>
        <w:t>emplear imágenes de satélite, de radar o fotografías aéreas, entre otras fuentes de información</w:t>
      </w:r>
      <w:r w:rsidR="00045627" w:rsidRPr="00BD1319">
        <w:rPr>
          <w:rStyle w:val="eop"/>
          <w:rFonts w:cs="Arial"/>
          <w:lang w:val="es-CO"/>
        </w:rPr>
        <w:t xml:space="preserve">, y </w:t>
      </w:r>
      <w:r w:rsidR="00CE0E6F" w:rsidRPr="00BD1319">
        <w:rPr>
          <w:rStyle w:val="eop"/>
          <w:rFonts w:cs="Arial"/>
          <w:lang w:val="es-CO"/>
        </w:rPr>
        <w:t>realizar lo siguiente</w:t>
      </w:r>
      <w:r w:rsidR="004C29D0" w:rsidRPr="00BD1319">
        <w:rPr>
          <w:rStyle w:val="eop"/>
          <w:rFonts w:cs="Arial"/>
          <w:lang w:val="es-CO"/>
        </w:rPr>
        <w:t>:</w:t>
      </w:r>
    </w:p>
    <w:p w14:paraId="3DC369AE" w14:textId="77777777" w:rsidR="0021741A" w:rsidRPr="00BD1319" w:rsidRDefault="0021741A">
      <w:pPr>
        <w:pStyle w:val="paragraph"/>
        <w:spacing w:before="0" w:beforeAutospacing="0" w:after="0" w:afterAutospacing="0"/>
        <w:textAlignment w:val="baseline"/>
        <w:rPr>
          <w:rStyle w:val="eop"/>
          <w:rFonts w:cs="Arial"/>
          <w:lang w:val="es-CO"/>
        </w:rPr>
      </w:pPr>
    </w:p>
    <w:p w14:paraId="0DFBBA64" w14:textId="57D9281C" w:rsidR="0021741A" w:rsidRPr="00BD1319" w:rsidRDefault="00903F2D" w:rsidP="00C86DA5">
      <w:pPr>
        <w:numPr>
          <w:ilvl w:val="0"/>
          <w:numId w:val="70"/>
        </w:numPr>
        <w:tabs>
          <w:tab w:val="left" w:pos="-2268"/>
        </w:tabs>
        <w:suppressAutoHyphens/>
        <w:ind w:left="567" w:hanging="567"/>
        <w:rPr>
          <w:spacing w:val="-3"/>
        </w:rPr>
      </w:pPr>
      <w:r w:rsidRPr="00BD1319">
        <w:rPr>
          <w:spacing w:val="-3"/>
        </w:rPr>
        <w:t>F</w:t>
      </w:r>
      <w:r w:rsidR="004C29D0" w:rsidRPr="00BD1319">
        <w:rPr>
          <w:spacing w:val="-3"/>
        </w:rPr>
        <w:t>isiogr</w:t>
      </w:r>
      <w:r w:rsidRPr="00BD1319">
        <w:rPr>
          <w:spacing w:val="-3"/>
        </w:rPr>
        <w:t xml:space="preserve">afía </w:t>
      </w:r>
      <w:r w:rsidR="004C29D0" w:rsidRPr="00BD1319">
        <w:rPr>
          <w:spacing w:val="-3"/>
        </w:rPr>
        <w:t>y geomorfol</w:t>
      </w:r>
      <w:r w:rsidRPr="00BD1319">
        <w:rPr>
          <w:spacing w:val="-3"/>
        </w:rPr>
        <w:t>ogía</w:t>
      </w:r>
      <w:r w:rsidR="0021741A" w:rsidRPr="00BD1319">
        <w:rPr>
          <w:spacing w:val="-3"/>
        </w:rPr>
        <w:t>.</w:t>
      </w:r>
    </w:p>
    <w:p w14:paraId="1D077774" w14:textId="31514B43" w:rsidR="004C29D0" w:rsidRPr="00BD1319" w:rsidRDefault="004C29D0" w:rsidP="00C86DA5">
      <w:pPr>
        <w:tabs>
          <w:tab w:val="left" w:pos="-2268"/>
        </w:tabs>
        <w:suppressAutoHyphens/>
        <w:rPr>
          <w:spacing w:val="-3"/>
        </w:rPr>
      </w:pPr>
    </w:p>
    <w:p w14:paraId="653F79C7" w14:textId="335A05EA" w:rsidR="0021741A" w:rsidRPr="00BD1319" w:rsidRDefault="004C29D0" w:rsidP="005050B4">
      <w:pPr>
        <w:numPr>
          <w:ilvl w:val="0"/>
          <w:numId w:val="386"/>
        </w:numPr>
        <w:tabs>
          <w:tab w:val="left" w:pos="-2268"/>
        </w:tabs>
        <w:suppressAutoHyphens/>
        <w:overflowPunct/>
        <w:autoSpaceDE/>
        <w:autoSpaceDN/>
        <w:adjustRightInd/>
        <w:ind w:left="1134" w:hanging="567"/>
        <w:textAlignment w:val="auto"/>
        <w:rPr>
          <w:rFonts w:cs="Arial"/>
          <w:spacing w:val="-3"/>
        </w:rPr>
      </w:pPr>
      <w:r w:rsidRPr="00BD1319">
        <w:rPr>
          <w:rFonts w:cs="Arial"/>
          <w:spacing w:val="-3"/>
        </w:rPr>
        <w:t>De</w:t>
      </w:r>
      <w:r w:rsidR="00ED166E" w:rsidRPr="00BD1319">
        <w:rPr>
          <w:rFonts w:cs="Arial"/>
          <w:spacing w:val="-3"/>
        </w:rPr>
        <w:t>limitar</w:t>
      </w:r>
      <w:r w:rsidRPr="00BD1319">
        <w:rPr>
          <w:rFonts w:cs="Arial"/>
          <w:spacing w:val="-3"/>
        </w:rPr>
        <w:t xml:space="preserve">, describir y representar cartográficamente los elementos del paisaje fisiográfico en el área de influencia del </w:t>
      </w:r>
      <w:r w:rsidR="00EB1591" w:rsidRPr="00BD1319">
        <w:rPr>
          <w:rFonts w:cs="Arial"/>
          <w:spacing w:val="-3"/>
        </w:rPr>
        <w:t>componente</w:t>
      </w:r>
      <w:r w:rsidR="00903F2D" w:rsidRPr="00BD1319">
        <w:rPr>
          <w:rFonts w:cs="Arial"/>
          <w:spacing w:val="-3"/>
        </w:rPr>
        <w:t xml:space="preserve"> considerando la información presentada en el numeral </w:t>
      </w:r>
      <w:r w:rsidR="00E22D1A" w:rsidRPr="00BD1319">
        <w:rPr>
          <w:rFonts w:cs="Arial"/>
          <w:spacing w:val="-3"/>
        </w:rPr>
        <w:fldChar w:fldCharType="begin"/>
      </w:r>
      <w:r w:rsidR="00E22D1A" w:rsidRPr="00BD1319">
        <w:rPr>
          <w:rFonts w:cs="Arial"/>
          <w:spacing w:val="-3"/>
        </w:rPr>
        <w:instrText xml:space="preserve"> REF _Ref144301989 \r \h </w:instrText>
      </w:r>
      <w:r w:rsidR="00BD1319">
        <w:rPr>
          <w:rFonts w:cs="Arial"/>
          <w:spacing w:val="-3"/>
        </w:rPr>
        <w:instrText xml:space="preserve"> \* MERGEFORMAT </w:instrText>
      </w:r>
      <w:r w:rsidR="00E22D1A" w:rsidRPr="00BD1319">
        <w:rPr>
          <w:rFonts w:cs="Arial"/>
          <w:spacing w:val="-3"/>
        </w:rPr>
      </w:r>
      <w:r w:rsidR="00E22D1A" w:rsidRPr="00BD1319">
        <w:rPr>
          <w:rFonts w:cs="Arial"/>
          <w:spacing w:val="-3"/>
        </w:rPr>
        <w:fldChar w:fldCharType="separate"/>
      </w:r>
      <w:r w:rsidR="00296654" w:rsidRPr="00BD1319">
        <w:rPr>
          <w:rFonts w:cs="Arial"/>
          <w:spacing w:val="-3"/>
        </w:rPr>
        <w:t>4.1</w:t>
      </w:r>
      <w:r w:rsidR="00E22D1A" w:rsidRPr="00BD1319">
        <w:rPr>
          <w:rFonts w:cs="Arial"/>
          <w:spacing w:val="-3"/>
        </w:rPr>
        <w:fldChar w:fldCharType="end"/>
      </w:r>
      <w:r w:rsidR="00E22D1A" w:rsidRPr="00BD1319">
        <w:rPr>
          <w:rFonts w:cs="Arial"/>
          <w:spacing w:val="-3"/>
        </w:rPr>
        <w:t xml:space="preserve"> del capítulo III</w:t>
      </w:r>
      <w:r w:rsidRPr="00BD1319">
        <w:rPr>
          <w:rFonts w:cs="Arial"/>
          <w:spacing w:val="-3"/>
        </w:rPr>
        <w:t>.</w:t>
      </w:r>
    </w:p>
    <w:p w14:paraId="427E575C" w14:textId="16C111CC" w:rsidR="004C29D0" w:rsidRPr="00BD1319" w:rsidRDefault="004C29D0" w:rsidP="00C86DA5">
      <w:pPr>
        <w:tabs>
          <w:tab w:val="left" w:pos="-2268"/>
        </w:tabs>
        <w:suppressAutoHyphens/>
        <w:rPr>
          <w:spacing w:val="-3"/>
        </w:rPr>
      </w:pPr>
    </w:p>
    <w:p w14:paraId="03EA436F" w14:textId="21C86763" w:rsidR="004C29D0" w:rsidRPr="00BD1319" w:rsidRDefault="00ED166E" w:rsidP="005050B4">
      <w:pPr>
        <w:numPr>
          <w:ilvl w:val="0"/>
          <w:numId w:val="386"/>
        </w:numPr>
        <w:tabs>
          <w:tab w:val="left" w:pos="-2268"/>
        </w:tabs>
        <w:suppressAutoHyphens/>
        <w:overflowPunct/>
        <w:autoSpaceDE/>
        <w:autoSpaceDN/>
        <w:adjustRightInd/>
        <w:ind w:left="1134" w:hanging="567"/>
        <w:textAlignment w:val="auto"/>
        <w:rPr>
          <w:rFonts w:cs="Arial"/>
          <w:spacing w:val="-3"/>
        </w:rPr>
      </w:pPr>
      <w:r w:rsidRPr="00BD1319">
        <w:rPr>
          <w:rFonts w:cs="Arial"/>
          <w:spacing w:val="-3"/>
        </w:rPr>
        <w:t xml:space="preserve">Delimitar </w:t>
      </w:r>
      <w:r w:rsidR="004C29D0" w:rsidRPr="00BD1319">
        <w:rPr>
          <w:rFonts w:cs="Arial"/>
          <w:spacing w:val="-3"/>
        </w:rPr>
        <w:t xml:space="preserve">las unidades de paisaje local, </w:t>
      </w:r>
      <w:r w:rsidRPr="00BD1319">
        <w:rPr>
          <w:rFonts w:cs="Arial"/>
          <w:spacing w:val="-3"/>
        </w:rPr>
        <w:t xml:space="preserve">describir </w:t>
      </w:r>
      <w:r w:rsidR="004C29D0" w:rsidRPr="00BD1319">
        <w:rPr>
          <w:rFonts w:cs="Arial"/>
          <w:spacing w:val="-3"/>
        </w:rPr>
        <w:t xml:space="preserve">sus características, </w:t>
      </w:r>
      <w:r w:rsidRPr="00BD1319">
        <w:rPr>
          <w:rFonts w:cs="Arial"/>
          <w:spacing w:val="-3"/>
        </w:rPr>
        <w:t xml:space="preserve">señalar su </w:t>
      </w:r>
      <w:r w:rsidR="00EB1591" w:rsidRPr="00BD1319">
        <w:rPr>
          <w:rFonts w:cs="Arial"/>
          <w:spacing w:val="-3"/>
        </w:rPr>
        <w:t xml:space="preserve">porcentaje de ocupación </w:t>
      </w:r>
      <w:r w:rsidRPr="00BD1319">
        <w:rPr>
          <w:rFonts w:cs="Arial"/>
          <w:spacing w:val="-3"/>
        </w:rPr>
        <w:t xml:space="preserve">con </w:t>
      </w:r>
      <w:r w:rsidR="00EB1591" w:rsidRPr="00BD1319">
        <w:rPr>
          <w:rFonts w:cs="Arial"/>
          <w:spacing w:val="-3"/>
        </w:rPr>
        <w:t xml:space="preserve">respecto al </w:t>
      </w:r>
      <w:r w:rsidR="004C29D0" w:rsidRPr="00BD1319">
        <w:rPr>
          <w:rFonts w:cs="Arial"/>
          <w:spacing w:val="-3"/>
        </w:rPr>
        <w:t xml:space="preserve">área </w:t>
      </w:r>
      <w:r w:rsidR="00EB1591" w:rsidRPr="00BD1319">
        <w:rPr>
          <w:rFonts w:cs="Arial"/>
          <w:spacing w:val="-3"/>
        </w:rPr>
        <w:t>de influencia del componente</w:t>
      </w:r>
      <w:r w:rsidR="0039433C" w:rsidRPr="00BD1319">
        <w:rPr>
          <w:rFonts w:cs="Arial"/>
          <w:spacing w:val="-3"/>
        </w:rPr>
        <w:t xml:space="preserve">, </w:t>
      </w:r>
      <w:r w:rsidR="00CE0E6F" w:rsidRPr="00BD1319">
        <w:rPr>
          <w:rFonts w:cs="Arial"/>
          <w:spacing w:val="-3"/>
        </w:rPr>
        <w:t xml:space="preserve">así como la </w:t>
      </w:r>
      <w:r w:rsidR="0039433C" w:rsidRPr="00BD1319">
        <w:rPr>
          <w:rFonts w:cs="Arial"/>
          <w:spacing w:val="-3"/>
        </w:rPr>
        <w:t xml:space="preserve">proporción de cada unidad </w:t>
      </w:r>
      <w:r w:rsidR="007C6392" w:rsidRPr="00BD1319">
        <w:rPr>
          <w:rFonts w:cs="Arial"/>
          <w:spacing w:val="-3"/>
        </w:rPr>
        <w:t xml:space="preserve">que </w:t>
      </w:r>
      <w:r w:rsidR="0039433C" w:rsidRPr="00BD1319">
        <w:rPr>
          <w:rFonts w:cs="Arial"/>
          <w:spacing w:val="-3"/>
        </w:rPr>
        <w:t xml:space="preserve">será afectada </w:t>
      </w:r>
      <w:r w:rsidR="00350BBA" w:rsidRPr="00BD1319">
        <w:rPr>
          <w:rFonts w:cs="Arial"/>
          <w:spacing w:val="-3"/>
        </w:rPr>
        <w:t xml:space="preserve">por </w:t>
      </w:r>
      <w:r w:rsidR="004C29D0" w:rsidRPr="00BD1319">
        <w:rPr>
          <w:rFonts w:cs="Arial"/>
          <w:spacing w:val="-3"/>
        </w:rPr>
        <w:t xml:space="preserve">el proyecto, </w:t>
      </w:r>
      <w:r w:rsidR="00EB1591" w:rsidRPr="00BD1319">
        <w:rPr>
          <w:rFonts w:cs="Arial"/>
          <w:spacing w:val="-3"/>
        </w:rPr>
        <w:t>obra o actividad</w:t>
      </w:r>
      <w:r w:rsidR="004C29D0" w:rsidRPr="00BD1319">
        <w:rPr>
          <w:rFonts w:cs="Arial"/>
          <w:spacing w:val="-3"/>
        </w:rPr>
        <w:t>.</w:t>
      </w:r>
    </w:p>
    <w:p w14:paraId="76055051" w14:textId="77777777" w:rsidR="0021741A" w:rsidRPr="00BD1319" w:rsidRDefault="0021741A" w:rsidP="00C86DA5">
      <w:pPr>
        <w:tabs>
          <w:tab w:val="left" w:pos="-2268"/>
        </w:tabs>
        <w:suppressAutoHyphens/>
        <w:rPr>
          <w:spacing w:val="-3"/>
        </w:rPr>
      </w:pPr>
    </w:p>
    <w:p w14:paraId="73EABF25" w14:textId="174B302B" w:rsidR="00F3350B" w:rsidRPr="00BD1319" w:rsidRDefault="00F3350B" w:rsidP="009420F5">
      <w:pPr>
        <w:numPr>
          <w:ilvl w:val="0"/>
          <w:numId w:val="70"/>
        </w:numPr>
        <w:tabs>
          <w:tab w:val="left" w:pos="-2268"/>
        </w:tabs>
        <w:suppressAutoHyphens/>
        <w:ind w:left="567" w:hanging="567"/>
        <w:rPr>
          <w:spacing w:val="-3"/>
        </w:rPr>
      </w:pPr>
      <w:r w:rsidRPr="00BD1319">
        <w:rPr>
          <w:spacing w:val="-3"/>
        </w:rPr>
        <w:t xml:space="preserve">Coberturas de la tierra asociadas a ecosistemas terrestres, marinos y marino costeros. </w:t>
      </w:r>
    </w:p>
    <w:p w14:paraId="0FB3F744" w14:textId="77777777" w:rsidR="00F3350B" w:rsidRPr="00BD1319" w:rsidRDefault="00F3350B" w:rsidP="00C86DA5">
      <w:pPr>
        <w:tabs>
          <w:tab w:val="left" w:pos="-2268"/>
        </w:tabs>
        <w:suppressAutoHyphens/>
        <w:rPr>
          <w:spacing w:val="-3"/>
        </w:rPr>
      </w:pPr>
    </w:p>
    <w:p w14:paraId="50B3988C" w14:textId="4A8BA61E" w:rsidR="00F3350B" w:rsidRPr="00BD1319" w:rsidRDefault="00CE0E6F" w:rsidP="005050B4">
      <w:pPr>
        <w:numPr>
          <w:ilvl w:val="0"/>
          <w:numId w:val="386"/>
        </w:numPr>
        <w:tabs>
          <w:tab w:val="left" w:pos="-2268"/>
        </w:tabs>
        <w:suppressAutoHyphens/>
        <w:overflowPunct/>
        <w:autoSpaceDE/>
        <w:autoSpaceDN/>
        <w:adjustRightInd/>
        <w:ind w:left="1134" w:hanging="567"/>
        <w:textAlignment w:val="auto"/>
        <w:rPr>
          <w:rFonts w:cs="Arial"/>
          <w:spacing w:val="-3"/>
        </w:rPr>
      </w:pPr>
      <w:r w:rsidRPr="00BD1319">
        <w:rPr>
          <w:rFonts w:cs="Arial"/>
          <w:spacing w:val="-3"/>
        </w:rPr>
        <w:t>D</w:t>
      </w:r>
      <w:r w:rsidR="00F3350B" w:rsidRPr="00BD1319">
        <w:rPr>
          <w:rFonts w:cs="Arial"/>
          <w:spacing w:val="-3"/>
        </w:rPr>
        <w:t xml:space="preserve">escribir </w:t>
      </w:r>
      <w:r w:rsidRPr="00BD1319">
        <w:rPr>
          <w:rFonts w:cs="Arial"/>
          <w:spacing w:val="-3"/>
        </w:rPr>
        <w:t xml:space="preserve">los elementos de las coberturas que caracterizan el paisaje predominante, a partir de la delimitación, </w:t>
      </w:r>
      <w:r w:rsidR="00F3350B" w:rsidRPr="00BD1319">
        <w:rPr>
          <w:rFonts w:cs="Arial"/>
          <w:spacing w:val="-3"/>
        </w:rPr>
        <w:t>representa</w:t>
      </w:r>
      <w:r w:rsidRPr="00BD1319">
        <w:rPr>
          <w:rFonts w:cs="Arial"/>
          <w:spacing w:val="-3"/>
        </w:rPr>
        <w:t xml:space="preserve">ción </w:t>
      </w:r>
      <w:r w:rsidR="00F3350B" w:rsidRPr="00BD1319">
        <w:rPr>
          <w:rFonts w:cs="Arial"/>
          <w:spacing w:val="-3"/>
        </w:rPr>
        <w:t>cartográfica</w:t>
      </w:r>
      <w:r w:rsidRPr="00BD1319">
        <w:rPr>
          <w:rFonts w:cs="Arial"/>
          <w:spacing w:val="-3"/>
        </w:rPr>
        <w:t xml:space="preserve"> y demás características que fueron identificadas siguiendo los lineamientos sobre coberturas de la tierra señalados en </w:t>
      </w:r>
      <w:r w:rsidR="00F3350B" w:rsidRPr="00BD1319">
        <w:rPr>
          <w:rFonts w:cs="Arial"/>
          <w:spacing w:val="-3"/>
        </w:rPr>
        <w:t xml:space="preserve">el numeral </w:t>
      </w:r>
      <w:r w:rsidR="00F3350B" w:rsidRPr="00BD1319">
        <w:rPr>
          <w:rFonts w:cs="Arial"/>
          <w:spacing w:val="-3"/>
        </w:rPr>
        <w:fldChar w:fldCharType="begin"/>
      </w:r>
      <w:r w:rsidR="00F3350B" w:rsidRPr="00BD1319">
        <w:rPr>
          <w:rFonts w:cs="Arial"/>
          <w:spacing w:val="-3"/>
        </w:rPr>
        <w:instrText xml:space="preserve"> REF _Ref78538891 \r \h  \* MERGEFORMAT </w:instrText>
      </w:r>
      <w:r w:rsidR="00F3350B" w:rsidRPr="00BD1319">
        <w:rPr>
          <w:rFonts w:cs="Arial"/>
          <w:spacing w:val="-3"/>
        </w:rPr>
      </w:r>
      <w:r w:rsidR="00F3350B" w:rsidRPr="00BD1319">
        <w:rPr>
          <w:rFonts w:cs="Arial"/>
          <w:spacing w:val="-3"/>
        </w:rPr>
        <w:fldChar w:fldCharType="separate"/>
      </w:r>
      <w:r w:rsidR="00296654" w:rsidRPr="00BD1319">
        <w:rPr>
          <w:rFonts w:cs="Arial"/>
          <w:spacing w:val="-3"/>
        </w:rPr>
        <w:t>4.2.1</w:t>
      </w:r>
      <w:r w:rsidR="00F3350B" w:rsidRPr="00BD1319">
        <w:rPr>
          <w:rFonts w:cs="Arial"/>
          <w:spacing w:val="-3"/>
        </w:rPr>
        <w:fldChar w:fldCharType="end"/>
      </w:r>
      <w:r w:rsidR="00F3350B" w:rsidRPr="00BD1319">
        <w:rPr>
          <w:rFonts w:cs="Arial"/>
          <w:spacing w:val="-3"/>
        </w:rPr>
        <w:t xml:space="preserve"> de este capítulo.</w:t>
      </w:r>
    </w:p>
    <w:p w14:paraId="35EFEF14" w14:textId="77777777" w:rsidR="00F3350B" w:rsidRPr="00BD1319" w:rsidRDefault="00F3350B" w:rsidP="00C86DA5">
      <w:pPr>
        <w:tabs>
          <w:tab w:val="left" w:pos="-2268"/>
        </w:tabs>
        <w:suppressAutoHyphens/>
        <w:rPr>
          <w:spacing w:val="-3"/>
        </w:rPr>
      </w:pPr>
    </w:p>
    <w:p w14:paraId="4D29B916" w14:textId="46ED1248" w:rsidR="004C29D0" w:rsidRPr="00BD1319" w:rsidRDefault="004C29D0" w:rsidP="00C86DA5">
      <w:pPr>
        <w:numPr>
          <w:ilvl w:val="0"/>
          <w:numId w:val="70"/>
        </w:numPr>
        <w:tabs>
          <w:tab w:val="left" w:pos="-2268"/>
        </w:tabs>
        <w:suppressAutoHyphens/>
        <w:ind w:left="567" w:hanging="567"/>
        <w:rPr>
          <w:spacing w:val="-3"/>
        </w:rPr>
      </w:pPr>
      <w:r w:rsidRPr="00BD1319">
        <w:rPr>
          <w:spacing w:val="-3"/>
        </w:rPr>
        <w:t>Percepción visual del paisaje</w:t>
      </w:r>
      <w:r w:rsidR="0021741A" w:rsidRPr="00BD1319">
        <w:rPr>
          <w:spacing w:val="-3"/>
        </w:rPr>
        <w:t>.</w:t>
      </w:r>
    </w:p>
    <w:p w14:paraId="1DFB25FD" w14:textId="77777777" w:rsidR="0021741A" w:rsidRPr="00BD1319" w:rsidRDefault="0021741A" w:rsidP="00C86DA5">
      <w:pPr>
        <w:tabs>
          <w:tab w:val="left" w:pos="-2268"/>
        </w:tabs>
        <w:suppressAutoHyphens/>
        <w:rPr>
          <w:spacing w:val="-3"/>
        </w:rPr>
      </w:pPr>
    </w:p>
    <w:p w14:paraId="1E74B7E4" w14:textId="3EA56668" w:rsidR="001014CD" w:rsidRPr="00BD1319" w:rsidRDefault="001014CD" w:rsidP="005050B4">
      <w:pPr>
        <w:numPr>
          <w:ilvl w:val="0"/>
          <w:numId w:val="386"/>
        </w:numPr>
        <w:tabs>
          <w:tab w:val="left" w:pos="-2268"/>
        </w:tabs>
        <w:suppressAutoHyphens/>
        <w:overflowPunct/>
        <w:autoSpaceDE/>
        <w:autoSpaceDN/>
        <w:adjustRightInd/>
        <w:ind w:left="1134" w:hanging="567"/>
        <w:textAlignment w:val="auto"/>
        <w:rPr>
          <w:rFonts w:cs="Arial"/>
          <w:spacing w:val="-3"/>
        </w:rPr>
      </w:pPr>
      <w:r w:rsidRPr="00BD1319">
        <w:rPr>
          <w:rFonts w:cs="Arial"/>
          <w:spacing w:val="-3"/>
        </w:rPr>
        <w:t xml:space="preserve">Realizar el análisis de visibilidad teniendo en cuenta diferentes puntos de observación, identificando las escalas o planos en los cuales es visible cada </w:t>
      </w:r>
      <w:r w:rsidRPr="00BD1319">
        <w:rPr>
          <w:rFonts w:cs="Arial"/>
          <w:spacing w:val="-3"/>
        </w:rPr>
        <w:lastRenderedPageBreak/>
        <w:t>unidad de paisaje. La definición de estos puntos se debe realizar a partir de la concentración demográfica, la accesibilidad y el flujo de personas. Se deben priorizar puntos cercanos a centros poblados o que tengan interés paisajístico (</w:t>
      </w:r>
      <w:r w:rsidR="00041844" w:rsidRPr="00BD1319">
        <w:rPr>
          <w:rFonts w:cs="Arial"/>
          <w:spacing w:val="-3"/>
        </w:rPr>
        <w:t>p. ej.</w:t>
      </w:r>
      <w:r w:rsidRPr="00BD1319">
        <w:rPr>
          <w:rFonts w:cs="Arial"/>
          <w:spacing w:val="-3"/>
        </w:rPr>
        <w:t xml:space="preserve"> </w:t>
      </w:r>
      <w:r w:rsidR="00B524D5" w:rsidRPr="00BD1319">
        <w:rPr>
          <w:rFonts w:cs="Arial"/>
          <w:spacing w:val="-3"/>
        </w:rPr>
        <w:t xml:space="preserve">los </w:t>
      </w:r>
      <w:r w:rsidRPr="00BD1319">
        <w:rPr>
          <w:rFonts w:cs="Arial"/>
          <w:spacing w:val="-3"/>
        </w:rPr>
        <w:t>identificados por la comunidad).</w:t>
      </w:r>
    </w:p>
    <w:p w14:paraId="432F68E6" w14:textId="7FF42B5B" w:rsidR="004C29D0" w:rsidRPr="00BD1319" w:rsidRDefault="004C29D0" w:rsidP="00C86DA5">
      <w:pPr>
        <w:tabs>
          <w:tab w:val="left" w:pos="-2268"/>
        </w:tabs>
        <w:suppressAutoHyphens/>
        <w:rPr>
          <w:spacing w:val="-3"/>
        </w:rPr>
      </w:pPr>
    </w:p>
    <w:p w14:paraId="0358A4C5" w14:textId="623ED253" w:rsidR="00EB2C29" w:rsidRPr="00BD1319" w:rsidRDefault="004C29D0" w:rsidP="00045627">
      <w:pPr>
        <w:numPr>
          <w:ilvl w:val="0"/>
          <w:numId w:val="386"/>
        </w:numPr>
        <w:tabs>
          <w:tab w:val="left" w:pos="-2268"/>
        </w:tabs>
        <w:suppressAutoHyphens/>
        <w:overflowPunct/>
        <w:autoSpaceDE/>
        <w:autoSpaceDN/>
        <w:adjustRightInd/>
        <w:ind w:left="1134" w:hanging="567"/>
        <w:textAlignment w:val="auto"/>
        <w:rPr>
          <w:rFonts w:cs="Arial"/>
          <w:spacing w:val="-3"/>
        </w:rPr>
      </w:pPr>
      <w:r w:rsidRPr="00BD1319">
        <w:rPr>
          <w:rFonts w:cs="Arial"/>
          <w:spacing w:val="-3"/>
        </w:rPr>
        <w:t xml:space="preserve">Definir y sustentar los puntos </w:t>
      </w:r>
      <w:r w:rsidR="001014CD" w:rsidRPr="00BD1319">
        <w:rPr>
          <w:rFonts w:cs="Arial"/>
          <w:spacing w:val="-3"/>
        </w:rPr>
        <w:t xml:space="preserve">de observación </w:t>
      </w:r>
      <w:r w:rsidRPr="00BD1319">
        <w:rPr>
          <w:rFonts w:cs="Arial"/>
          <w:spacing w:val="-3"/>
        </w:rPr>
        <w:t>desde los cuales se realiza la evaluación</w:t>
      </w:r>
      <w:r w:rsidR="0021741A" w:rsidRPr="00BD1319">
        <w:rPr>
          <w:rFonts w:cs="Arial"/>
          <w:spacing w:val="-3"/>
        </w:rPr>
        <w:t xml:space="preserve"> </w:t>
      </w:r>
      <w:r w:rsidR="001014CD" w:rsidRPr="00BD1319">
        <w:rPr>
          <w:rFonts w:cs="Arial"/>
          <w:spacing w:val="-3"/>
        </w:rPr>
        <w:t xml:space="preserve">de los atributos paisajísticos. Presentar la ubicación geográfica de estos puntos </w:t>
      </w:r>
      <w:r w:rsidR="00E55273" w:rsidRPr="00BD1319">
        <w:rPr>
          <w:rFonts w:cs="Arial"/>
          <w:spacing w:val="-3"/>
        </w:rPr>
        <w:t>dentro d</w:t>
      </w:r>
      <w:r w:rsidR="001014CD" w:rsidRPr="00BD1319">
        <w:rPr>
          <w:rFonts w:cs="Arial"/>
          <w:spacing w:val="-3"/>
        </w:rPr>
        <w:t>el área de</w:t>
      </w:r>
      <w:r w:rsidR="00F3350B" w:rsidRPr="00BD1319">
        <w:rPr>
          <w:rFonts w:cs="Arial"/>
          <w:spacing w:val="-3"/>
        </w:rPr>
        <w:t xml:space="preserve"> influencia del componente</w:t>
      </w:r>
      <w:r w:rsidRPr="00BD1319">
        <w:rPr>
          <w:rFonts w:cs="Arial"/>
          <w:spacing w:val="-3"/>
        </w:rPr>
        <w:t>.</w:t>
      </w:r>
    </w:p>
    <w:p w14:paraId="621FC594" w14:textId="344E44B1" w:rsidR="00CF3D81" w:rsidRPr="00BD1319" w:rsidRDefault="00CF3D81" w:rsidP="00C86DA5">
      <w:pPr>
        <w:pStyle w:val="paragraph"/>
        <w:spacing w:before="0" w:beforeAutospacing="0" w:after="0" w:afterAutospacing="0"/>
        <w:rPr>
          <w:rStyle w:val="eop"/>
          <w:rFonts w:cs="Arial"/>
          <w:lang w:val="es-CO" w:eastAsia="es-ES"/>
        </w:rPr>
      </w:pPr>
    </w:p>
    <w:p w14:paraId="11152C93" w14:textId="0F322196" w:rsidR="00A53AFB" w:rsidRPr="00BD1319" w:rsidRDefault="00A53AFB" w:rsidP="000D6E21">
      <w:pPr>
        <w:tabs>
          <w:tab w:val="left" w:pos="-2268"/>
        </w:tabs>
        <w:suppressAutoHyphens/>
        <w:overflowPunct/>
        <w:autoSpaceDE/>
        <w:autoSpaceDN/>
        <w:adjustRightInd/>
        <w:ind w:left="567"/>
        <w:textAlignment w:val="auto"/>
        <w:rPr>
          <w:rFonts w:cs="Arial"/>
          <w:spacing w:val="-3"/>
        </w:rPr>
      </w:pPr>
      <w:r w:rsidRPr="00BD1319">
        <w:rPr>
          <w:rFonts w:cs="Arial"/>
          <w:spacing w:val="-3"/>
        </w:rPr>
        <w:t>En análisis de visibilidad debe realizarse empleando modelos que consideren como mínimo la localización de puntos de observación, el relieve y la cobertura de la tierra. Es necesario señalar los insumos de entrada del modelo.</w:t>
      </w:r>
    </w:p>
    <w:p w14:paraId="6683E6B5" w14:textId="77777777" w:rsidR="00A53AFB" w:rsidRPr="00BD1319" w:rsidRDefault="00A53AFB" w:rsidP="00C86DA5">
      <w:pPr>
        <w:pStyle w:val="paragraph"/>
        <w:spacing w:before="0" w:beforeAutospacing="0" w:after="0" w:afterAutospacing="0"/>
        <w:rPr>
          <w:rStyle w:val="eop"/>
          <w:rFonts w:cs="Arial"/>
          <w:lang w:val="es-CO" w:eastAsia="es-ES"/>
        </w:rPr>
      </w:pPr>
    </w:p>
    <w:p w14:paraId="41877045" w14:textId="38D1662E" w:rsidR="00795476" w:rsidRPr="00BD1319" w:rsidRDefault="00795476" w:rsidP="00716053">
      <w:pPr>
        <w:pStyle w:val="paragraph"/>
        <w:spacing w:before="0" w:beforeAutospacing="0" w:after="0" w:afterAutospacing="0"/>
        <w:rPr>
          <w:rStyle w:val="eop"/>
          <w:rFonts w:cs="Arial"/>
          <w:lang w:val="es-CO" w:eastAsia="es-ES"/>
        </w:rPr>
      </w:pPr>
      <w:r w:rsidRPr="00BD1319">
        <w:rPr>
          <w:rStyle w:val="eop"/>
          <w:rFonts w:cs="Arial"/>
          <w:lang w:val="es-CO"/>
        </w:rPr>
        <w:t>Se deben definir unidades de paisaje local</w:t>
      </w:r>
      <w:r w:rsidR="00D336AA" w:rsidRPr="00BD1319">
        <w:rPr>
          <w:rStyle w:val="eop"/>
          <w:rFonts w:cs="Arial"/>
          <w:lang w:val="es-CO"/>
        </w:rPr>
        <w:t>,</w:t>
      </w:r>
      <w:r w:rsidRPr="00BD1319">
        <w:rPr>
          <w:rStyle w:val="eop"/>
          <w:rFonts w:cs="Arial"/>
          <w:lang w:val="es-CO"/>
        </w:rPr>
        <w:t xml:space="preserve"> a la escala establecida en los términos de referencia (</w:t>
      </w:r>
      <w:r w:rsidRPr="00BD1319">
        <w:rPr>
          <w:spacing w:val="-3"/>
          <w:lang w:val="es-CO"/>
        </w:rPr>
        <w:t>o a una más detallada si el análisis lo requiere</w:t>
      </w:r>
      <w:r w:rsidRPr="00BD1319">
        <w:rPr>
          <w:rStyle w:val="eop"/>
          <w:rFonts w:cs="Arial"/>
          <w:lang w:val="es-CO"/>
        </w:rPr>
        <w:t>)</w:t>
      </w:r>
      <w:r w:rsidR="00D336AA" w:rsidRPr="00BD1319">
        <w:rPr>
          <w:rStyle w:val="eop"/>
          <w:rFonts w:cs="Arial"/>
          <w:lang w:val="es-CO"/>
        </w:rPr>
        <w:t>,</w:t>
      </w:r>
      <w:r w:rsidRPr="00BD1319">
        <w:rPr>
          <w:rStyle w:val="eop"/>
          <w:rFonts w:cs="Arial"/>
          <w:lang w:val="es-CO"/>
        </w:rPr>
        <w:t xml:space="preserve"> a partir de métodos de delimitación aceptados internacionalmente y empleando </w:t>
      </w:r>
      <w:r w:rsidR="00716053" w:rsidRPr="00BD1319">
        <w:rPr>
          <w:rStyle w:val="eop"/>
          <w:rFonts w:cs="Arial"/>
          <w:lang w:val="es-CO" w:eastAsia="es-ES"/>
        </w:rPr>
        <w:t>los resultados de los análisis de los tres elementos principales del paisaje</w:t>
      </w:r>
      <w:r w:rsidRPr="00BD1319">
        <w:rPr>
          <w:rStyle w:val="eop"/>
          <w:rFonts w:cs="Arial"/>
          <w:lang w:val="es-CO" w:eastAsia="es-ES"/>
        </w:rPr>
        <w:t xml:space="preserve">. </w:t>
      </w:r>
      <w:r w:rsidR="00716053" w:rsidRPr="00BD1319">
        <w:rPr>
          <w:rStyle w:val="eop"/>
          <w:rFonts w:cs="Arial"/>
          <w:lang w:val="es-CO" w:eastAsia="es-ES"/>
        </w:rPr>
        <w:t>S</w:t>
      </w:r>
      <w:r w:rsidRPr="00BD1319">
        <w:rPr>
          <w:rStyle w:val="eop"/>
          <w:rFonts w:cs="Arial"/>
          <w:lang w:val="es-CO" w:eastAsia="es-ES"/>
        </w:rPr>
        <w:t xml:space="preserve">e deben </w:t>
      </w:r>
      <w:r w:rsidR="00D336AA" w:rsidRPr="00BD1319">
        <w:rPr>
          <w:rStyle w:val="eop"/>
          <w:rFonts w:cs="Arial"/>
          <w:lang w:val="es-CO" w:eastAsia="es-ES"/>
        </w:rPr>
        <w:t xml:space="preserve">señalar </w:t>
      </w:r>
      <w:r w:rsidR="00716053" w:rsidRPr="00BD1319">
        <w:rPr>
          <w:rStyle w:val="eop"/>
          <w:rFonts w:cs="Arial"/>
          <w:lang w:val="es-CO" w:eastAsia="es-ES"/>
        </w:rPr>
        <w:t xml:space="preserve">las </w:t>
      </w:r>
      <w:r w:rsidRPr="00BD1319">
        <w:rPr>
          <w:rStyle w:val="eop"/>
          <w:rFonts w:cs="Arial"/>
          <w:lang w:val="es-CO" w:eastAsia="es-ES"/>
        </w:rPr>
        <w:t xml:space="preserve">características </w:t>
      </w:r>
      <w:r w:rsidR="00D336AA" w:rsidRPr="00BD1319">
        <w:rPr>
          <w:rStyle w:val="eop"/>
          <w:rFonts w:cs="Arial"/>
          <w:lang w:val="es-CO" w:eastAsia="es-ES"/>
        </w:rPr>
        <w:t xml:space="preserve">más importantes </w:t>
      </w:r>
      <w:r w:rsidR="00716053" w:rsidRPr="00BD1319">
        <w:rPr>
          <w:rStyle w:val="eop"/>
          <w:rFonts w:cs="Arial"/>
          <w:lang w:val="es-CO" w:eastAsia="es-ES"/>
        </w:rPr>
        <w:t>de cada unidad de paisaje</w:t>
      </w:r>
      <w:r w:rsidR="00D336AA" w:rsidRPr="00BD1319">
        <w:rPr>
          <w:rStyle w:val="eop"/>
          <w:rFonts w:cs="Arial"/>
          <w:lang w:val="es-CO" w:eastAsia="es-ES"/>
        </w:rPr>
        <w:t xml:space="preserve">, así como </w:t>
      </w:r>
      <w:r w:rsidRPr="00BD1319">
        <w:rPr>
          <w:rStyle w:val="eop"/>
          <w:rFonts w:cs="Arial"/>
          <w:lang w:val="es-CO" w:eastAsia="es-ES"/>
        </w:rPr>
        <w:t>su porcentaje de ocupación con respecto al área de influencia del componente</w:t>
      </w:r>
      <w:r w:rsidR="00716053" w:rsidRPr="00BD1319">
        <w:rPr>
          <w:rStyle w:val="eop"/>
          <w:rFonts w:cs="Arial"/>
          <w:lang w:val="es-CO" w:eastAsia="es-ES"/>
        </w:rPr>
        <w:t>.</w:t>
      </w:r>
    </w:p>
    <w:p w14:paraId="491C120E" w14:textId="77777777" w:rsidR="00CB686E" w:rsidRPr="00BD1319" w:rsidRDefault="00CB686E" w:rsidP="00C86DA5">
      <w:pPr>
        <w:pStyle w:val="paragraph"/>
        <w:spacing w:before="0" w:beforeAutospacing="0" w:after="0" w:afterAutospacing="0"/>
        <w:rPr>
          <w:rStyle w:val="eop"/>
          <w:rFonts w:cs="Arial"/>
          <w:lang w:val="es-CO" w:eastAsia="es-ES"/>
        </w:rPr>
      </w:pPr>
    </w:p>
    <w:p w14:paraId="77EBBBAB" w14:textId="39AE02FB" w:rsidR="00CF3D81" w:rsidRPr="00BD1319" w:rsidRDefault="004C29D0" w:rsidP="00C86DA5">
      <w:pPr>
        <w:pStyle w:val="paragraph"/>
        <w:spacing w:before="0" w:beforeAutospacing="0" w:after="0" w:afterAutospacing="0"/>
        <w:rPr>
          <w:rStyle w:val="eop"/>
          <w:rFonts w:cs="Arial"/>
          <w:lang w:val="es-CO"/>
        </w:rPr>
      </w:pPr>
      <w:r w:rsidRPr="00BD1319">
        <w:rPr>
          <w:rStyle w:val="eop"/>
          <w:rFonts w:cs="Arial"/>
          <w:lang w:val="es-CO"/>
        </w:rPr>
        <w:t xml:space="preserve">Teniendo en cuenta los insumos mencionados anteriormente, se deben realizar los siguientes </w:t>
      </w:r>
      <w:r w:rsidR="00F3350B" w:rsidRPr="00BD1319">
        <w:rPr>
          <w:rStyle w:val="eop"/>
          <w:rFonts w:cs="Arial"/>
          <w:lang w:val="es-CO"/>
        </w:rPr>
        <w:t>análisis</w:t>
      </w:r>
      <w:r w:rsidRPr="00BD1319">
        <w:rPr>
          <w:rStyle w:val="eop"/>
          <w:rFonts w:cs="Arial"/>
          <w:lang w:val="es-CO"/>
        </w:rPr>
        <w:t>:</w:t>
      </w:r>
    </w:p>
    <w:p w14:paraId="49B05772" w14:textId="214E090C" w:rsidR="004C29D0" w:rsidRPr="00BD1319" w:rsidRDefault="004C29D0" w:rsidP="00C86DA5">
      <w:pPr>
        <w:pStyle w:val="paragraph"/>
        <w:spacing w:before="0" w:beforeAutospacing="0" w:after="0" w:afterAutospacing="0"/>
        <w:rPr>
          <w:rStyle w:val="eop"/>
          <w:rFonts w:cs="Arial"/>
          <w:lang w:val="es-CO"/>
        </w:rPr>
      </w:pPr>
    </w:p>
    <w:p w14:paraId="58FBFAEE" w14:textId="26EE3F5D" w:rsidR="00CF3D81" w:rsidRPr="00BD1319" w:rsidRDefault="004C29D0" w:rsidP="00C86DA5">
      <w:pPr>
        <w:numPr>
          <w:ilvl w:val="0"/>
          <w:numId w:val="70"/>
        </w:numPr>
        <w:tabs>
          <w:tab w:val="left" w:pos="-2268"/>
        </w:tabs>
        <w:suppressAutoHyphens/>
        <w:ind w:left="567" w:hanging="567"/>
        <w:rPr>
          <w:spacing w:val="-3"/>
        </w:rPr>
      </w:pPr>
      <w:r w:rsidRPr="00BD1319">
        <w:rPr>
          <w:spacing w:val="-3"/>
        </w:rPr>
        <w:t xml:space="preserve">Valoración de la </w:t>
      </w:r>
      <w:r w:rsidR="00CF3D81" w:rsidRPr="00BD1319">
        <w:rPr>
          <w:spacing w:val="-3"/>
        </w:rPr>
        <w:t>c</w:t>
      </w:r>
      <w:r w:rsidRPr="00BD1319">
        <w:rPr>
          <w:spacing w:val="-3"/>
        </w:rPr>
        <w:t>alidad visual del paisaje</w:t>
      </w:r>
      <w:r w:rsidR="00B524D5" w:rsidRPr="00BD1319">
        <w:rPr>
          <w:rStyle w:val="Refdenotaalpie"/>
          <w:spacing w:val="-3"/>
          <w:lang w:val="es-CO"/>
        </w:rPr>
        <w:footnoteReference w:id="166"/>
      </w:r>
      <w:r w:rsidR="00B524D5" w:rsidRPr="00BD1319">
        <w:rPr>
          <w:spacing w:val="-3"/>
        </w:rPr>
        <w:t xml:space="preserve">, contemplando como mínimo </w:t>
      </w:r>
      <w:r w:rsidRPr="00BD1319">
        <w:rPr>
          <w:spacing w:val="-3"/>
        </w:rPr>
        <w:t xml:space="preserve">los </w:t>
      </w:r>
      <w:r w:rsidR="00EB1591" w:rsidRPr="00BD1319">
        <w:rPr>
          <w:spacing w:val="-3"/>
        </w:rPr>
        <w:t xml:space="preserve">elementos </w:t>
      </w:r>
      <w:r w:rsidRPr="00BD1319">
        <w:rPr>
          <w:spacing w:val="-3"/>
        </w:rPr>
        <w:t xml:space="preserve">que se </w:t>
      </w:r>
      <w:r w:rsidR="00B524D5" w:rsidRPr="00BD1319">
        <w:rPr>
          <w:spacing w:val="-3"/>
        </w:rPr>
        <w:t>mencionan a continuación</w:t>
      </w:r>
      <w:r w:rsidRPr="00BD1319">
        <w:rPr>
          <w:spacing w:val="-3"/>
        </w:rPr>
        <w:t>:</w:t>
      </w:r>
    </w:p>
    <w:p w14:paraId="0D179199" w14:textId="14F500B6" w:rsidR="004C29D0" w:rsidRPr="00BD1319" w:rsidRDefault="004C29D0" w:rsidP="00C86DA5">
      <w:pPr>
        <w:tabs>
          <w:tab w:val="left" w:pos="-2268"/>
        </w:tabs>
        <w:suppressAutoHyphens/>
        <w:rPr>
          <w:spacing w:val="-3"/>
        </w:rPr>
      </w:pPr>
    </w:p>
    <w:p w14:paraId="3D83A722" w14:textId="62991B32" w:rsidR="00CF3D81" w:rsidRPr="00BD1319" w:rsidRDefault="004C29D0" w:rsidP="005050B4">
      <w:pPr>
        <w:numPr>
          <w:ilvl w:val="0"/>
          <w:numId w:val="386"/>
        </w:numPr>
        <w:tabs>
          <w:tab w:val="left" w:pos="-2268"/>
        </w:tabs>
        <w:suppressAutoHyphens/>
        <w:overflowPunct/>
        <w:autoSpaceDE/>
        <w:autoSpaceDN/>
        <w:adjustRightInd/>
        <w:ind w:left="1134" w:hanging="567"/>
        <w:textAlignment w:val="auto"/>
        <w:rPr>
          <w:rFonts w:cs="Arial"/>
          <w:spacing w:val="-3"/>
        </w:rPr>
      </w:pPr>
      <w:r w:rsidRPr="00BD1319">
        <w:rPr>
          <w:rFonts w:cs="Arial"/>
          <w:spacing w:val="-3"/>
        </w:rPr>
        <w:t xml:space="preserve">Agua: </w:t>
      </w:r>
      <w:r w:rsidR="00B524D5" w:rsidRPr="00BD1319">
        <w:rPr>
          <w:rFonts w:cs="Arial"/>
          <w:spacing w:val="-3"/>
        </w:rPr>
        <w:t>p</w:t>
      </w:r>
      <w:r w:rsidRPr="00BD1319">
        <w:rPr>
          <w:rFonts w:cs="Arial"/>
          <w:spacing w:val="-3"/>
        </w:rPr>
        <w:t>resencia o ausencia de cuerpos de agua</w:t>
      </w:r>
      <w:r w:rsidR="00CF3D81" w:rsidRPr="00BD1319">
        <w:rPr>
          <w:rFonts w:cs="Arial"/>
          <w:spacing w:val="-3"/>
        </w:rPr>
        <w:t>.</w:t>
      </w:r>
    </w:p>
    <w:p w14:paraId="5C39649C" w14:textId="16290EA7" w:rsidR="004C29D0" w:rsidRPr="00BD1319" w:rsidRDefault="004C29D0" w:rsidP="00C86DA5">
      <w:pPr>
        <w:tabs>
          <w:tab w:val="left" w:pos="-2268"/>
        </w:tabs>
        <w:suppressAutoHyphens/>
        <w:rPr>
          <w:spacing w:val="-3"/>
        </w:rPr>
      </w:pPr>
    </w:p>
    <w:p w14:paraId="535EC6ED" w14:textId="6E364CB3" w:rsidR="004C29D0" w:rsidRPr="00BD1319" w:rsidRDefault="004C29D0" w:rsidP="005050B4">
      <w:pPr>
        <w:numPr>
          <w:ilvl w:val="0"/>
          <w:numId w:val="386"/>
        </w:numPr>
        <w:tabs>
          <w:tab w:val="left" w:pos="-2268"/>
        </w:tabs>
        <w:suppressAutoHyphens/>
        <w:overflowPunct/>
        <w:autoSpaceDE/>
        <w:autoSpaceDN/>
        <w:adjustRightInd/>
        <w:ind w:left="1134" w:hanging="567"/>
        <w:textAlignment w:val="auto"/>
        <w:rPr>
          <w:rFonts w:cs="Arial"/>
          <w:spacing w:val="-3"/>
        </w:rPr>
      </w:pPr>
      <w:r w:rsidRPr="00BD1319">
        <w:rPr>
          <w:rFonts w:cs="Arial"/>
          <w:spacing w:val="-3"/>
        </w:rPr>
        <w:t>Vegetación: variedad de tipos de vegetación, texturas y contrastes.</w:t>
      </w:r>
    </w:p>
    <w:p w14:paraId="06501A95" w14:textId="77777777" w:rsidR="00CF3D81" w:rsidRPr="00BD1319" w:rsidRDefault="00CF3D81" w:rsidP="00C86DA5">
      <w:pPr>
        <w:tabs>
          <w:tab w:val="left" w:pos="-2268"/>
        </w:tabs>
        <w:suppressAutoHyphens/>
        <w:rPr>
          <w:spacing w:val="-3"/>
        </w:rPr>
      </w:pPr>
    </w:p>
    <w:p w14:paraId="76024C02" w14:textId="32F38F52" w:rsidR="004C29D0" w:rsidRPr="00BD1319" w:rsidRDefault="004C29D0" w:rsidP="005050B4">
      <w:pPr>
        <w:numPr>
          <w:ilvl w:val="0"/>
          <w:numId w:val="386"/>
        </w:numPr>
        <w:tabs>
          <w:tab w:val="left" w:pos="-2268"/>
        </w:tabs>
        <w:suppressAutoHyphens/>
        <w:overflowPunct/>
        <w:autoSpaceDE/>
        <w:autoSpaceDN/>
        <w:adjustRightInd/>
        <w:ind w:left="1134" w:hanging="567"/>
        <w:textAlignment w:val="auto"/>
        <w:rPr>
          <w:rFonts w:cs="Arial"/>
          <w:spacing w:val="-3"/>
        </w:rPr>
      </w:pPr>
      <w:r w:rsidRPr="00BD1319">
        <w:rPr>
          <w:rFonts w:cs="Arial"/>
          <w:spacing w:val="-3"/>
        </w:rPr>
        <w:t xml:space="preserve">Modificaciones culturales: </w:t>
      </w:r>
      <w:r w:rsidR="00926C59" w:rsidRPr="00BD1319">
        <w:rPr>
          <w:rFonts w:cs="Arial"/>
          <w:spacing w:val="-3"/>
        </w:rPr>
        <w:t>i</w:t>
      </w:r>
      <w:r w:rsidRPr="00BD1319">
        <w:rPr>
          <w:rFonts w:cs="Arial"/>
          <w:spacing w:val="-3"/>
        </w:rPr>
        <w:t xml:space="preserve">ntensidad de las modificaciones que ha tenido el paisaje por actividades </w:t>
      </w:r>
      <w:r w:rsidR="00926C59" w:rsidRPr="00BD1319">
        <w:rPr>
          <w:rFonts w:cs="Arial"/>
          <w:spacing w:val="-3"/>
        </w:rPr>
        <w:t>antrópicas</w:t>
      </w:r>
      <w:r w:rsidR="00CF3D81" w:rsidRPr="00BD1319">
        <w:rPr>
          <w:rFonts w:cs="Arial"/>
          <w:spacing w:val="-3"/>
        </w:rPr>
        <w:t>.</w:t>
      </w:r>
    </w:p>
    <w:p w14:paraId="6F564039" w14:textId="77777777" w:rsidR="00FB3E00" w:rsidRPr="00BD1319" w:rsidRDefault="00FB3E00" w:rsidP="000D6E21">
      <w:pPr>
        <w:rPr>
          <w:rFonts w:cs="Arial"/>
          <w:spacing w:val="-3"/>
        </w:rPr>
      </w:pPr>
    </w:p>
    <w:p w14:paraId="5AEAC1FE" w14:textId="01EF8268" w:rsidR="00FB3E00" w:rsidRPr="00BD1319" w:rsidRDefault="00FB3E00" w:rsidP="00FB3E00">
      <w:pPr>
        <w:numPr>
          <w:ilvl w:val="0"/>
          <w:numId w:val="386"/>
        </w:numPr>
        <w:tabs>
          <w:tab w:val="left" w:pos="-2268"/>
        </w:tabs>
        <w:suppressAutoHyphens/>
        <w:overflowPunct/>
        <w:autoSpaceDE/>
        <w:autoSpaceDN/>
        <w:adjustRightInd/>
        <w:ind w:left="1134" w:hanging="567"/>
        <w:textAlignment w:val="auto"/>
        <w:rPr>
          <w:rFonts w:cs="Arial"/>
          <w:spacing w:val="-3"/>
        </w:rPr>
      </w:pPr>
      <w:r w:rsidRPr="00BD1319">
        <w:rPr>
          <w:rFonts w:cs="Arial"/>
          <w:spacing w:val="-3"/>
        </w:rPr>
        <w:t>Atributos estéticos: color, contraste y fondo escénico.</w:t>
      </w:r>
    </w:p>
    <w:p w14:paraId="7FE4C321" w14:textId="77777777" w:rsidR="00EB1591" w:rsidRPr="00BD1319" w:rsidRDefault="00EB1591" w:rsidP="00C86DA5">
      <w:pPr>
        <w:tabs>
          <w:tab w:val="left" w:pos="-2268"/>
        </w:tabs>
        <w:suppressAutoHyphens/>
        <w:rPr>
          <w:spacing w:val="-3"/>
        </w:rPr>
      </w:pPr>
    </w:p>
    <w:p w14:paraId="39D97048" w14:textId="037DFD22" w:rsidR="0029529C" w:rsidRPr="00BD1319" w:rsidRDefault="0029529C" w:rsidP="009420F5">
      <w:pPr>
        <w:tabs>
          <w:tab w:val="left" w:pos="-2268"/>
        </w:tabs>
        <w:suppressAutoHyphens/>
        <w:ind w:left="567"/>
        <w:rPr>
          <w:spacing w:val="-3"/>
        </w:rPr>
      </w:pPr>
      <w:r w:rsidRPr="00BD1319">
        <w:rPr>
          <w:spacing w:val="-3"/>
        </w:rPr>
        <w:t>A partir de est</w:t>
      </w:r>
      <w:r w:rsidR="00E55273" w:rsidRPr="00BD1319">
        <w:rPr>
          <w:spacing w:val="-3"/>
        </w:rPr>
        <w:t>a</w:t>
      </w:r>
      <w:r w:rsidRPr="00BD1319">
        <w:rPr>
          <w:spacing w:val="-3"/>
        </w:rPr>
        <w:t xml:space="preserve"> </w:t>
      </w:r>
      <w:r w:rsidR="00E55273" w:rsidRPr="00BD1319">
        <w:rPr>
          <w:spacing w:val="-3"/>
        </w:rPr>
        <w:t xml:space="preserve">valoración </w:t>
      </w:r>
      <w:r w:rsidRPr="00BD1319">
        <w:rPr>
          <w:spacing w:val="-3"/>
        </w:rPr>
        <w:t>se debe establecer la calidad visual de las unidades paisajísticas empleando las categorías “baja”, “media” y “alta”.</w:t>
      </w:r>
    </w:p>
    <w:p w14:paraId="590C0DC7" w14:textId="77777777" w:rsidR="0029529C" w:rsidRPr="00BD1319" w:rsidRDefault="0029529C" w:rsidP="00E05070">
      <w:pPr>
        <w:tabs>
          <w:tab w:val="left" w:pos="-2268"/>
        </w:tabs>
        <w:suppressAutoHyphens/>
        <w:rPr>
          <w:spacing w:val="-3"/>
        </w:rPr>
      </w:pPr>
    </w:p>
    <w:p w14:paraId="7B3F497A" w14:textId="486B429A" w:rsidR="00CF3D81" w:rsidRPr="00BD1319" w:rsidRDefault="004C29D0" w:rsidP="00C86DA5">
      <w:pPr>
        <w:numPr>
          <w:ilvl w:val="0"/>
          <w:numId w:val="70"/>
        </w:numPr>
        <w:tabs>
          <w:tab w:val="left" w:pos="-2268"/>
        </w:tabs>
        <w:suppressAutoHyphens/>
        <w:ind w:left="567" w:hanging="567"/>
        <w:rPr>
          <w:spacing w:val="-3"/>
        </w:rPr>
      </w:pPr>
      <w:r w:rsidRPr="00BD1319">
        <w:rPr>
          <w:spacing w:val="-3"/>
        </w:rPr>
        <w:lastRenderedPageBreak/>
        <w:t xml:space="preserve">Valoración de la </w:t>
      </w:r>
      <w:r w:rsidR="00CF3D81" w:rsidRPr="00BD1319">
        <w:rPr>
          <w:spacing w:val="-3"/>
        </w:rPr>
        <w:t>f</w:t>
      </w:r>
      <w:r w:rsidRPr="00BD1319">
        <w:rPr>
          <w:spacing w:val="-3"/>
        </w:rPr>
        <w:t>ragilidad visual del paisaje</w:t>
      </w:r>
      <w:r w:rsidR="00926C59" w:rsidRPr="00BD1319">
        <w:rPr>
          <w:rStyle w:val="Refdenotaalpie"/>
          <w:spacing w:val="-3"/>
          <w:lang w:val="es-CO"/>
        </w:rPr>
        <w:footnoteReference w:id="167"/>
      </w:r>
      <w:r w:rsidR="00926C59" w:rsidRPr="00BD1319">
        <w:rPr>
          <w:spacing w:val="-3"/>
        </w:rPr>
        <w:t xml:space="preserve">, </w:t>
      </w:r>
      <w:r w:rsidRPr="00BD1319">
        <w:rPr>
          <w:spacing w:val="-3"/>
        </w:rPr>
        <w:t>contempla</w:t>
      </w:r>
      <w:r w:rsidR="00926C59" w:rsidRPr="00BD1319">
        <w:rPr>
          <w:spacing w:val="-3"/>
        </w:rPr>
        <w:t xml:space="preserve">ndo </w:t>
      </w:r>
      <w:r w:rsidRPr="00BD1319">
        <w:rPr>
          <w:spacing w:val="-3"/>
        </w:rPr>
        <w:t>como mínimo</w:t>
      </w:r>
      <w:r w:rsidR="00CF3D81" w:rsidRPr="00BD1319">
        <w:rPr>
          <w:spacing w:val="-3"/>
        </w:rPr>
        <w:t xml:space="preserve"> </w:t>
      </w:r>
      <w:r w:rsidR="00926C59" w:rsidRPr="00BD1319">
        <w:rPr>
          <w:spacing w:val="-3"/>
        </w:rPr>
        <w:t>las</w:t>
      </w:r>
      <w:r w:rsidR="00CF3D81" w:rsidRPr="00BD1319">
        <w:rPr>
          <w:spacing w:val="-3"/>
        </w:rPr>
        <w:t xml:space="preserve"> siguiente</w:t>
      </w:r>
      <w:r w:rsidR="00926C59" w:rsidRPr="00BD1319">
        <w:rPr>
          <w:spacing w:val="-3"/>
        </w:rPr>
        <w:t>s características</w:t>
      </w:r>
      <w:r w:rsidRPr="00BD1319">
        <w:rPr>
          <w:spacing w:val="-3"/>
        </w:rPr>
        <w:t>:</w:t>
      </w:r>
    </w:p>
    <w:p w14:paraId="512AE7BB" w14:textId="2E26176F" w:rsidR="004C29D0" w:rsidRPr="00BD1319" w:rsidRDefault="004C29D0" w:rsidP="00C86DA5">
      <w:pPr>
        <w:tabs>
          <w:tab w:val="left" w:pos="-2268"/>
        </w:tabs>
        <w:suppressAutoHyphens/>
        <w:rPr>
          <w:spacing w:val="-3"/>
        </w:rPr>
      </w:pPr>
    </w:p>
    <w:p w14:paraId="7608C646" w14:textId="6FC4D9B9" w:rsidR="004C29D0" w:rsidRPr="00BD1319" w:rsidRDefault="004C29D0" w:rsidP="005050B4">
      <w:pPr>
        <w:numPr>
          <w:ilvl w:val="0"/>
          <w:numId w:val="386"/>
        </w:numPr>
        <w:tabs>
          <w:tab w:val="left" w:pos="-2268"/>
        </w:tabs>
        <w:suppressAutoHyphens/>
        <w:overflowPunct/>
        <w:autoSpaceDE/>
        <w:autoSpaceDN/>
        <w:adjustRightInd/>
        <w:ind w:left="1134" w:hanging="567"/>
        <w:textAlignment w:val="auto"/>
        <w:rPr>
          <w:rFonts w:cs="Arial"/>
          <w:spacing w:val="-3"/>
        </w:rPr>
      </w:pPr>
      <w:r w:rsidRPr="00BD1319">
        <w:rPr>
          <w:rFonts w:cs="Arial"/>
          <w:spacing w:val="-3"/>
        </w:rPr>
        <w:t>Densidad de la vegetación: presencia de vegetación como elemento de mitigación de las posibles afectaciones visuales.</w:t>
      </w:r>
    </w:p>
    <w:p w14:paraId="4EB7D35D" w14:textId="77777777" w:rsidR="00CF3D81" w:rsidRPr="00BD1319" w:rsidRDefault="00CF3D81" w:rsidP="00C86DA5">
      <w:pPr>
        <w:tabs>
          <w:tab w:val="left" w:pos="-2268"/>
        </w:tabs>
        <w:suppressAutoHyphens/>
        <w:rPr>
          <w:spacing w:val="-3"/>
        </w:rPr>
      </w:pPr>
    </w:p>
    <w:p w14:paraId="49AB675C" w14:textId="7E3E650D" w:rsidR="004C29D0" w:rsidRPr="00BD1319" w:rsidRDefault="004C29D0" w:rsidP="005050B4">
      <w:pPr>
        <w:numPr>
          <w:ilvl w:val="0"/>
          <w:numId w:val="386"/>
        </w:numPr>
        <w:tabs>
          <w:tab w:val="left" w:pos="-2268"/>
        </w:tabs>
        <w:suppressAutoHyphens/>
        <w:overflowPunct/>
        <w:autoSpaceDE/>
        <w:autoSpaceDN/>
        <w:adjustRightInd/>
        <w:ind w:left="1134" w:hanging="567"/>
        <w:textAlignment w:val="auto"/>
        <w:rPr>
          <w:rFonts w:cs="Arial"/>
          <w:spacing w:val="-3"/>
        </w:rPr>
      </w:pPr>
      <w:r w:rsidRPr="00BD1319">
        <w:rPr>
          <w:rFonts w:cs="Arial"/>
          <w:spacing w:val="-3"/>
        </w:rPr>
        <w:t>Estabilidad del suelo y erosionabilidad: características visibles de procesos erosivos actuales y potenciales.</w:t>
      </w:r>
    </w:p>
    <w:p w14:paraId="25C0C7BE" w14:textId="77777777" w:rsidR="00CF3D81" w:rsidRPr="00BD1319" w:rsidRDefault="00CF3D81" w:rsidP="00C86DA5">
      <w:pPr>
        <w:tabs>
          <w:tab w:val="left" w:pos="-2268"/>
        </w:tabs>
        <w:suppressAutoHyphens/>
        <w:rPr>
          <w:spacing w:val="-3"/>
        </w:rPr>
      </w:pPr>
    </w:p>
    <w:p w14:paraId="4FA91F0B" w14:textId="568E5CD7" w:rsidR="004C29D0" w:rsidRPr="00BD1319" w:rsidRDefault="004C29D0" w:rsidP="005050B4">
      <w:pPr>
        <w:numPr>
          <w:ilvl w:val="0"/>
          <w:numId w:val="386"/>
        </w:numPr>
        <w:tabs>
          <w:tab w:val="left" w:pos="-2268"/>
        </w:tabs>
        <w:suppressAutoHyphens/>
        <w:overflowPunct/>
        <w:autoSpaceDE/>
        <w:autoSpaceDN/>
        <w:adjustRightInd/>
        <w:ind w:left="1134" w:hanging="567"/>
        <w:textAlignment w:val="auto"/>
        <w:rPr>
          <w:rFonts w:cs="Arial"/>
          <w:spacing w:val="-3"/>
        </w:rPr>
      </w:pPr>
      <w:r w:rsidRPr="00BD1319">
        <w:rPr>
          <w:rFonts w:cs="Arial"/>
          <w:spacing w:val="-3"/>
        </w:rPr>
        <w:t xml:space="preserve">Distancias </w:t>
      </w:r>
      <w:r w:rsidR="0029529C" w:rsidRPr="00BD1319">
        <w:rPr>
          <w:rFonts w:cs="Arial"/>
          <w:spacing w:val="-3"/>
        </w:rPr>
        <w:t xml:space="preserve">entre la infraestructura propuesta para la implementación del proyecto, obra o actividad </w:t>
      </w:r>
      <w:r w:rsidRPr="00BD1319">
        <w:rPr>
          <w:rFonts w:cs="Arial"/>
          <w:spacing w:val="-3"/>
        </w:rPr>
        <w:t>a centros poblados, vías, e infraestructura social</w:t>
      </w:r>
      <w:r w:rsidR="0029529C" w:rsidRPr="00BD1319">
        <w:rPr>
          <w:rFonts w:cs="Arial"/>
          <w:spacing w:val="-3"/>
        </w:rPr>
        <w:t>, industrial</w:t>
      </w:r>
      <w:r w:rsidRPr="00BD1319">
        <w:rPr>
          <w:rFonts w:cs="Arial"/>
          <w:spacing w:val="-3"/>
        </w:rPr>
        <w:t xml:space="preserve"> y comercial</w:t>
      </w:r>
      <w:r w:rsidR="0029529C" w:rsidRPr="00BD1319">
        <w:rPr>
          <w:rFonts w:cs="Arial"/>
          <w:spacing w:val="-3"/>
        </w:rPr>
        <w:t xml:space="preserve">, determinando la </w:t>
      </w:r>
      <w:r w:rsidR="00CF3D81" w:rsidRPr="00BD1319">
        <w:rPr>
          <w:rFonts w:cs="Arial"/>
          <w:spacing w:val="-3"/>
        </w:rPr>
        <w:t>i</w:t>
      </w:r>
      <w:r w:rsidRPr="00BD1319">
        <w:rPr>
          <w:rFonts w:cs="Arial"/>
          <w:spacing w:val="-3"/>
        </w:rPr>
        <w:t>ncidencia de este tipo de infraestructura en la asimilación de intervenci</w:t>
      </w:r>
      <w:r w:rsidR="00E55273" w:rsidRPr="00BD1319">
        <w:rPr>
          <w:rFonts w:cs="Arial"/>
          <w:spacing w:val="-3"/>
        </w:rPr>
        <w:t xml:space="preserve">ones </w:t>
      </w:r>
      <w:r w:rsidRPr="00BD1319">
        <w:rPr>
          <w:rFonts w:cs="Arial"/>
          <w:spacing w:val="-3"/>
        </w:rPr>
        <w:t>en el paisaje</w:t>
      </w:r>
      <w:r w:rsidR="00E55273" w:rsidRPr="00BD1319">
        <w:rPr>
          <w:rFonts w:cs="Arial"/>
          <w:spacing w:val="-3"/>
        </w:rPr>
        <w:t>.</w:t>
      </w:r>
      <w:r w:rsidR="00E94228" w:rsidRPr="00BD1319">
        <w:rPr>
          <w:rFonts w:cs="Arial"/>
          <w:spacing w:val="-3"/>
        </w:rPr>
        <w:t xml:space="preserve"> </w:t>
      </w:r>
      <w:r w:rsidR="00E55273" w:rsidRPr="00BD1319">
        <w:rPr>
          <w:rFonts w:cs="Arial"/>
          <w:spacing w:val="-3"/>
        </w:rPr>
        <w:t>E</w:t>
      </w:r>
      <w:r w:rsidR="00E94228" w:rsidRPr="00BD1319">
        <w:rPr>
          <w:spacing w:val="-3"/>
        </w:rPr>
        <w:t xml:space="preserve">n aquellos casos donde no se cuente con la localización definitiva de las actividades, </w:t>
      </w:r>
      <w:r w:rsidR="00E55273" w:rsidRPr="00BD1319">
        <w:rPr>
          <w:spacing w:val="-3"/>
        </w:rPr>
        <w:t xml:space="preserve">obras e infraestructuras, se deben considerar </w:t>
      </w:r>
      <w:r w:rsidR="00E94228" w:rsidRPr="00BD1319">
        <w:rPr>
          <w:spacing w:val="-3"/>
        </w:rPr>
        <w:t>alternativas preliminares de</w:t>
      </w:r>
      <w:r w:rsidR="00E55273" w:rsidRPr="00BD1319">
        <w:rPr>
          <w:spacing w:val="-3"/>
        </w:rPr>
        <w:t xml:space="preserve"> ubicación de éstas</w:t>
      </w:r>
      <w:r w:rsidR="00E94228" w:rsidRPr="00BD1319">
        <w:rPr>
          <w:spacing w:val="-3"/>
        </w:rPr>
        <w:t>.</w:t>
      </w:r>
    </w:p>
    <w:p w14:paraId="37D18433" w14:textId="6AC66777" w:rsidR="00CF3D81" w:rsidRPr="00BD1319" w:rsidRDefault="00CF3D81" w:rsidP="00C86DA5">
      <w:pPr>
        <w:tabs>
          <w:tab w:val="left" w:pos="-2268"/>
        </w:tabs>
        <w:suppressAutoHyphens/>
        <w:rPr>
          <w:spacing w:val="-3"/>
        </w:rPr>
      </w:pPr>
    </w:p>
    <w:p w14:paraId="783E293A" w14:textId="73A00B82" w:rsidR="00E94228" w:rsidRPr="00BD1319" w:rsidRDefault="00E94228" w:rsidP="005050B4">
      <w:pPr>
        <w:numPr>
          <w:ilvl w:val="0"/>
          <w:numId w:val="386"/>
        </w:numPr>
        <w:tabs>
          <w:tab w:val="left" w:pos="-2268"/>
        </w:tabs>
        <w:suppressAutoHyphens/>
        <w:overflowPunct/>
        <w:autoSpaceDE/>
        <w:autoSpaceDN/>
        <w:adjustRightInd/>
        <w:ind w:left="1134" w:hanging="567"/>
        <w:textAlignment w:val="auto"/>
        <w:rPr>
          <w:rFonts w:cs="Arial"/>
          <w:spacing w:val="-3"/>
        </w:rPr>
      </w:pPr>
      <w:r w:rsidRPr="00BD1319">
        <w:rPr>
          <w:rFonts w:cs="Arial"/>
          <w:spacing w:val="-3"/>
        </w:rPr>
        <w:t>Valor de integridad escénica del paisaje</w:t>
      </w:r>
      <w:r w:rsidR="002D02BA" w:rsidRPr="00BD1319">
        <w:rPr>
          <w:rFonts w:cs="Arial"/>
          <w:vertAlign w:val="superscript"/>
        </w:rPr>
        <w:footnoteReference w:id="168"/>
      </w:r>
      <w:r w:rsidR="002D02BA" w:rsidRPr="00BD1319">
        <w:rPr>
          <w:rFonts w:cs="Arial"/>
          <w:spacing w:val="-3"/>
        </w:rPr>
        <w:t xml:space="preserve"> a partir de</w:t>
      </w:r>
      <w:r w:rsidR="00C93EA7" w:rsidRPr="00BD1319">
        <w:rPr>
          <w:rFonts w:cs="Arial"/>
          <w:spacing w:val="-3"/>
        </w:rPr>
        <w:t xml:space="preserve"> la determinación de elementos discordantes en términos de</w:t>
      </w:r>
      <w:r w:rsidRPr="00BD1319">
        <w:rPr>
          <w:rFonts w:cs="Arial"/>
          <w:spacing w:val="-3"/>
        </w:rPr>
        <w:t>:</w:t>
      </w:r>
    </w:p>
    <w:p w14:paraId="03C08D0F" w14:textId="77777777" w:rsidR="00E94228" w:rsidRPr="00BD1319" w:rsidRDefault="00E94228" w:rsidP="00E94228">
      <w:pPr>
        <w:tabs>
          <w:tab w:val="left" w:pos="-2268"/>
        </w:tabs>
        <w:suppressAutoHyphens/>
        <w:rPr>
          <w:spacing w:val="-3"/>
        </w:rPr>
      </w:pPr>
    </w:p>
    <w:p w14:paraId="0CF03D03" w14:textId="76F22954" w:rsidR="00E94228" w:rsidRPr="00BD1319" w:rsidRDefault="002D02BA" w:rsidP="00E94228">
      <w:pPr>
        <w:numPr>
          <w:ilvl w:val="0"/>
          <w:numId w:val="72"/>
        </w:numPr>
        <w:tabs>
          <w:tab w:val="left" w:pos="-3828"/>
        </w:tabs>
        <w:suppressAutoHyphens/>
        <w:ind w:left="1701" w:hanging="567"/>
      </w:pPr>
      <w:r w:rsidRPr="00BD1319">
        <w:t xml:space="preserve">La </w:t>
      </w:r>
      <w:r w:rsidR="00C93EA7" w:rsidRPr="00BD1319">
        <w:t xml:space="preserve">cantidad de </w:t>
      </w:r>
      <w:r w:rsidR="00E94228" w:rsidRPr="00BD1319">
        <w:t>elementos discordantes.</w:t>
      </w:r>
    </w:p>
    <w:p w14:paraId="15367742" w14:textId="77777777" w:rsidR="00E94228" w:rsidRPr="00BD1319" w:rsidRDefault="00E94228" w:rsidP="009420F5">
      <w:pPr>
        <w:tabs>
          <w:tab w:val="left" w:pos="-3828"/>
        </w:tabs>
        <w:suppressAutoHyphens/>
      </w:pPr>
    </w:p>
    <w:p w14:paraId="77615748" w14:textId="6C1D0C94" w:rsidR="00E94228" w:rsidRPr="00BD1319" w:rsidRDefault="002D02BA" w:rsidP="00E94228">
      <w:pPr>
        <w:numPr>
          <w:ilvl w:val="0"/>
          <w:numId w:val="72"/>
        </w:numPr>
        <w:tabs>
          <w:tab w:val="left" w:pos="-3828"/>
        </w:tabs>
        <w:suppressAutoHyphens/>
        <w:ind w:left="1701" w:hanging="567"/>
      </w:pPr>
      <w:r w:rsidRPr="00BD1319">
        <w:rPr>
          <w:spacing w:val="-3"/>
        </w:rPr>
        <w:t>La v</w:t>
      </w:r>
      <w:r w:rsidR="00E94228" w:rsidRPr="00BD1319">
        <w:rPr>
          <w:spacing w:val="-3"/>
        </w:rPr>
        <w:t xml:space="preserve">aloración del </w:t>
      </w:r>
      <w:r w:rsidR="00E94228" w:rsidRPr="00BD1319">
        <w:t>tamaño de la discordancia.</w:t>
      </w:r>
    </w:p>
    <w:p w14:paraId="70C54415" w14:textId="77777777" w:rsidR="00E94228" w:rsidRPr="00BD1319" w:rsidRDefault="00E94228" w:rsidP="009420F5">
      <w:pPr>
        <w:tabs>
          <w:tab w:val="left" w:pos="-3828"/>
        </w:tabs>
        <w:suppressAutoHyphens/>
      </w:pPr>
    </w:p>
    <w:p w14:paraId="6C5E5206" w14:textId="52F53137" w:rsidR="00E94228" w:rsidRPr="00BD1319" w:rsidRDefault="002D02BA" w:rsidP="00E94228">
      <w:pPr>
        <w:numPr>
          <w:ilvl w:val="0"/>
          <w:numId w:val="72"/>
        </w:numPr>
        <w:tabs>
          <w:tab w:val="left" w:pos="-3828"/>
        </w:tabs>
        <w:suppressAutoHyphens/>
        <w:ind w:left="1701" w:hanging="567"/>
      </w:pPr>
      <w:r w:rsidRPr="00BD1319">
        <w:rPr>
          <w:spacing w:val="-3"/>
        </w:rPr>
        <w:t>El a</w:t>
      </w:r>
      <w:r w:rsidR="00E94228" w:rsidRPr="00BD1319">
        <w:rPr>
          <w:spacing w:val="-3"/>
        </w:rPr>
        <w:t xml:space="preserve">nálisis de </w:t>
      </w:r>
      <w:r w:rsidR="00E94228" w:rsidRPr="00BD1319">
        <w:t>correspondencia cromática.</w:t>
      </w:r>
    </w:p>
    <w:p w14:paraId="587C362B" w14:textId="77777777" w:rsidR="00E94228" w:rsidRPr="00BD1319" w:rsidRDefault="00E94228" w:rsidP="00C86DA5">
      <w:pPr>
        <w:tabs>
          <w:tab w:val="left" w:pos="-2268"/>
        </w:tabs>
        <w:suppressAutoHyphens/>
        <w:rPr>
          <w:spacing w:val="-3"/>
        </w:rPr>
      </w:pPr>
    </w:p>
    <w:p w14:paraId="1A857908" w14:textId="2CA84E36" w:rsidR="002D02BA" w:rsidRPr="00BD1319" w:rsidRDefault="00E55273" w:rsidP="002D02BA">
      <w:pPr>
        <w:tabs>
          <w:tab w:val="left" w:pos="-2268"/>
        </w:tabs>
        <w:suppressAutoHyphens/>
        <w:ind w:left="567"/>
        <w:rPr>
          <w:spacing w:val="-3"/>
        </w:rPr>
      </w:pPr>
      <w:r w:rsidRPr="00BD1319">
        <w:rPr>
          <w:spacing w:val="-3"/>
        </w:rPr>
        <w:t xml:space="preserve">Mediante esta valoración </w:t>
      </w:r>
      <w:r w:rsidR="002D02BA" w:rsidRPr="00BD1319">
        <w:rPr>
          <w:spacing w:val="-3"/>
        </w:rPr>
        <w:t>se debe establecer la fragilidad visual empleando las categorías “baja”, “media” y “alta”.</w:t>
      </w:r>
    </w:p>
    <w:p w14:paraId="303280D9" w14:textId="77777777" w:rsidR="007F6983" w:rsidRPr="00BD1319" w:rsidRDefault="007F6983" w:rsidP="009420F5">
      <w:pPr>
        <w:tabs>
          <w:tab w:val="left" w:pos="-2268"/>
        </w:tabs>
        <w:suppressAutoHyphens/>
        <w:rPr>
          <w:spacing w:val="-3"/>
        </w:rPr>
      </w:pPr>
    </w:p>
    <w:p w14:paraId="28B7D9FD" w14:textId="54336F09" w:rsidR="007F6983" w:rsidRPr="00BD1319" w:rsidRDefault="00310A9D" w:rsidP="007F6983">
      <w:pPr>
        <w:numPr>
          <w:ilvl w:val="0"/>
          <w:numId w:val="70"/>
        </w:numPr>
        <w:tabs>
          <w:tab w:val="left" w:pos="-2268"/>
        </w:tabs>
        <w:suppressAutoHyphens/>
        <w:ind w:left="567" w:hanging="567"/>
        <w:rPr>
          <w:spacing w:val="-3"/>
        </w:rPr>
      </w:pPr>
      <w:r w:rsidRPr="00BD1319">
        <w:rPr>
          <w:spacing w:val="-3"/>
        </w:rPr>
        <w:t>Valora</w:t>
      </w:r>
      <w:r w:rsidR="007F6983" w:rsidRPr="00BD1319">
        <w:rPr>
          <w:spacing w:val="-3"/>
        </w:rPr>
        <w:t>ción del atractivo escénico</w:t>
      </w:r>
      <w:r w:rsidRPr="00BD1319">
        <w:rPr>
          <w:rStyle w:val="Refdenotaalpie"/>
          <w:spacing w:val="-3"/>
          <w:lang w:val="es-CO"/>
        </w:rPr>
        <w:footnoteReference w:id="169"/>
      </w:r>
      <w:r w:rsidR="00E91C0A" w:rsidRPr="00BD1319">
        <w:rPr>
          <w:spacing w:val="-3"/>
        </w:rPr>
        <w:t>,</w:t>
      </w:r>
      <w:r w:rsidR="00E55273" w:rsidRPr="00BD1319">
        <w:rPr>
          <w:spacing w:val="-3"/>
        </w:rPr>
        <w:t xml:space="preserve"> considerando los siguientes elementos:</w:t>
      </w:r>
      <w:r w:rsidR="007F6983" w:rsidRPr="00BD1319">
        <w:rPr>
          <w:spacing w:val="-3"/>
        </w:rPr>
        <w:t xml:space="preserve"> </w:t>
      </w:r>
    </w:p>
    <w:p w14:paraId="2F487B58" w14:textId="77777777" w:rsidR="0029529C" w:rsidRPr="00BD1319" w:rsidRDefault="0029529C" w:rsidP="00C86DA5">
      <w:pPr>
        <w:tabs>
          <w:tab w:val="left" w:pos="-2268"/>
        </w:tabs>
        <w:suppressAutoHyphens/>
        <w:rPr>
          <w:spacing w:val="-3"/>
        </w:rPr>
      </w:pPr>
    </w:p>
    <w:p w14:paraId="302D99FD" w14:textId="55A8423C" w:rsidR="00310A9D" w:rsidRPr="00BD1319" w:rsidRDefault="00E55273" w:rsidP="005050B4">
      <w:pPr>
        <w:numPr>
          <w:ilvl w:val="0"/>
          <w:numId w:val="386"/>
        </w:numPr>
        <w:tabs>
          <w:tab w:val="left" w:pos="-2268"/>
        </w:tabs>
        <w:suppressAutoHyphens/>
        <w:overflowPunct/>
        <w:autoSpaceDE/>
        <w:autoSpaceDN/>
        <w:adjustRightInd/>
        <w:ind w:left="1134" w:hanging="567"/>
        <w:textAlignment w:val="auto"/>
        <w:rPr>
          <w:rFonts w:cs="Arial"/>
          <w:spacing w:val="-3"/>
        </w:rPr>
      </w:pPr>
      <w:r w:rsidRPr="00BD1319">
        <w:rPr>
          <w:rFonts w:cs="Arial"/>
          <w:spacing w:val="-3"/>
        </w:rPr>
        <w:t>F</w:t>
      </w:r>
      <w:r w:rsidR="00310A9D" w:rsidRPr="00BD1319">
        <w:rPr>
          <w:rFonts w:cs="Arial"/>
          <w:spacing w:val="-3"/>
        </w:rPr>
        <w:t>orma del terreno.</w:t>
      </w:r>
    </w:p>
    <w:p w14:paraId="3BB5FF66" w14:textId="77777777" w:rsidR="00310A9D" w:rsidRPr="00BD1319" w:rsidRDefault="00310A9D">
      <w:pPr>
        <w:tabs>
          <w:tab w:val="left" w:pos="-2268"/>
        </w:tabs>
        <w:suppressAutoHyphens/>
        <w:rPr>
          <w:spacing w:val="-3"/>
        </w:rPr>
      </w:pPr>
    </w:p>
    <w:p w14:paraId="60794DCF" w14:textId="670AF4F0" w:rsidR="00310A9D" w:rsidRPr="00BD1319" w:rsidRDefault="00E55273" w:rsidP="005050B4">
      <w:pPr>
        <w:numPr>
          <w:ilvl w:val="0"/>
          <w:numId w:val="386"/>
        </w:numPr>
        <w:tabs>
          <w:tab w:val="left" w:pos="-2268"/>
        </w:tabs>
        <w:suppressAutoHyphens/>
        <w:overflowPunct/>
        <w:autoSpaceDE/>
        <w:autoSpaceDN/>
        <w:adjustRightInd/>
        <w:ind w:left="1134" w:hanging="567"/>
        <w:textAlignment w:val="auto"/>
        <w:rPr>
          <w:rFonts w:cs="Arial"/>
          <w:spacing w:val="-3"/>
        </w:rPr>
      </w:pPr>
      <w:r w:rsidRPr="00BD1319">
        <w:rPr>
          <w:rFonts w:cs="Arial"/>
          <w:spacing w:val="-3"/>
        </w:rPr>
        <w:t>P</w:t>
      </w:r>
      <w:r w:rsidR="00310A9D" w:rsidRPr="00BD1319">
        <w:rPr>
          <w:rFonts w:cs="Arial"/>
          <w:spacing w:val="-3"/>
        </w:rPr>
        <w:t>atrón de la vegetación.</w:t>
      </w:r>
    </w:p>
    <w:p w14:paraId="78AD02C6" w14:textId="77777777" w:rsidR="00310A9D" w:rsidRPr="00BD1319" w:rsidRDefault="00310A9D">
      <w:pPr>
        <w:tabs>
          <w:tab w:val="left" w:pos="-2268"/>
        </w:tabs>
        <w:suppressAutoHyphens/>
        <w:rPr>
          <w:spacing w:val="-3"/>
        </w:rPr>
      </w:pPr>
    </w:p>
    <w:p w14:paraId="28AAE24E" w14:textId="4778BD97" w:rsidR="00310A9D" w:rsidRPr="00BD1319" w:rsidRDefault="00E55273" w:rsidP="005050B4">
      <w:pPr>
        <w:numPr>
          <w:ilvl w:val="0"/>
          <w:numId w:val="386"/>
        </w:numPr>
        <w:tabs>
          <w:tab w:val="left" w:pos="-2268"/>
        </w:tabs>
        <w:suppressAutoHyphens/>
        <w:overflowPunct/>
        <w:autoSpaceDE/>
        <w:autoSpaceDN/>
        <w:adjustRightInd/>
        <w:ind w:left="1134" w:hanging="567"/>
        <w:textAlignment w:val="auto"/>
        <w:rPr>
          <w:rFonts w:cs="Arial"/>
          <w:spacing w:val="-3"/>
        </w:rPr>
      </w:pPr>
      <w:r w:rsidRPr="00BD1319">
        <w:rPr>
          <w:rFonts w:cs="Arial"/>
          <w:spacing w:val="-3"/>
        </w:rPr>
        <w:t>A</w:t>
      </w:r>
      <w:r w:rsidR="00310A9D" w:rsidRPr="00BD1319">
        <w:rPr>
          <w:rFonts w:cs="Arial"/>
          <w:spacing w:val="-3"/>
        </w:rPr>
        <w:t>guas superficiales.</w:t>
      </w:r>
    </w:p>
    <w:p w14:paraId="297961E6" w14:textId="77777777" w:rsidR="00310A9D" w:rsidRPr="00BD1319" w:rsidRDefault="00310A9D">
      <w:pPr>
        <w:tabs>
          <w:tab w:val="left" w:pos="-2268"/>
        </w:tabs>
        <w:suppressAutoHyphens/>
        <w:rPr>
          <w:spacing w:val="-3"/>
        </w:rPr>
      </w:pPr>
    </w:p>
    <w:p w14:paraId="3EB89796" w14:textId="7FD27174" w:rsidR="00310A9D" w:rsidRPr="00BD1319" w:rsidRDefault="00E55273" w:rsidP="005050B4">
      <w:pPr>
        <w:numPr>
          <w:ilvl w:val="0"/>
          <w:numId w:val="386"/>
        </w:numPr>
        <w:tabs>
          <w:tab w:val="left" w:pos="-2268"/>
        </w:tabs>
        <w:suppressAutoHyphens/>
        <w:overflowPunct/>
        <w:autoSpaceDE/>
        <w:autoSpaceDN/>
        <w:adjustRightInd/>
        <w:ind w:left="1134" w:hanging="567"/>
        <w:textAlignment w:val="auto"/>
        <w:rPr>
          <w:rFonts w:cs="Arial"/>
          <w:spacing w:val="-3"/>
        </w:rPr>
      </w:pPr>
      <w:r w:rsidRPr="00BD1319">
        <w:rPr>
          <w:rFonts w:cs="Arial"/>
          <w:spacing w:val="-3"/>
        </w:rPr>
        <w:t>P</w:t>
      </w:r>
      <w:r w:rsidR="00310A9D" w:rsidRPr="00BD1319">
        <w:rPr>
          <w:rFonts w:cs="Arial"/>
          <w:spacing w:val="-3"/>
        </w:rPr>
        <w:t>atrones de uso del suelo.</w:t>
      </w:r>
    </w:p>
    <w:p w14:paraId="76C21173" w14:textId="77777777" w:rsidR="00310A9D" w:rsidRPr="00BD1319" w:rsidRDefault="00310A9D">
      <w:pPr>
        <w:tabs>
          <w:tab w:val="left" w:pos="-2268"/>
        </w:tabs>
        <w:suppressAutoHyphens/>
        <w:rPr>
          <w:spacing w:val="-3"/>
        </w:rPr>
      </w:pPr>
    </w:p>
    <w:p w14:paraId="4A9C39BF" w14:textId="7EFE643B" w:rsidR="00310A9D" w:rsidRPr="00BD1319" w:rsidRDefault="00E55273" w:rsidP="005050B4">
      <w:pPr>
        <w:numPr>
          <w:ilvl w:val="0"/>
          <w:numId w:val="386"/>
        </w:numPr>
        <w:tabs>
          <w:tab w:val="left" w:pos="-2268"/>
        </w:tabs>
        <w:suppressAutoHyphens/>
        <w:overflowPunct/>
        <w:autoSpaceDE/>
        <w:autoSpaceDN/>
        <w:adjustRightInd/>
        <w:ind w:left="1134" w:hanging="567"/>
        <w:textAlignment w:val="auto"/>
        <w:rPr>
          <w:rFonts w:cs="Arial"/>
          <w:spacing w:val="-3"/>
        </w:rPr>
      </w:pPr>
      <w:r w:rsidRPr="00BD1319">
        <w:rPr>
          <w:rFonts w:cs="Arial"/>
          <w:spacing w:val="-3"/>
        </w:rPr>
        <w:t>C</w:t>
      </w:r>
      <w:r w:rsidR="00310A9D" w:rsidRPr="00BD1319">
        <w:rPr>
          <w:rFonts w:cs="Arial"/>
          <w:spacing w:val="-3"/>
        </w:rPr>
        <w:t>aracterísticas culturales.</w:t>
      </w:r>
    </w:p>
    <w:p w14:paraId="5ACA441B" w14:textId="77777777" w:rsidR="00310A9D" w:rsidRPr="00BD1319" w:rsidRDefault="00310A9D" w:rsidP="00310A9D">
      <w:pPr>
        <w:tabs>
          <w:tab w:val="left" w:pos="-2268"/>
        </w:tabs>
        <w:suppressAutoHyphens/>
        <w:rPr>
          <w:spacing w:val="-3"/>
        </w:rPr>
      </w:pPr>
    </w:p>
    <w:p w14:paraId="1DA1F24D" w14:textId="64EFCB4D" w:rsidR="0011329F" w:rsidRPr="00BD1319" w:rsidRDefault="00E55273" w:rsidP="009420F5">
      <w:pPr>
        <w:tabs>
          <w:tab w:val="left" w:pos="-2268"/>
        </w:tabs>
        <w:suppressAutoHyphens/>
        <w:ind w:left="567"/>
        <w:rPr>
          <w:spacing w:val="-3"/>
        </w:rPr>
      </w:pPr>
      <w:r w:rsidRPr="00BD1319">
        <w:rPr>
          <w:spacing w:val="-3"/>
        </w:rPr>
        <w:t>Tomando como base la valoración de tales elementos, se debe establecer el grado de atractivo escénico y clasificar cada unidad paisajística en las categorías “singular” (calidad escénica única, inusual, extraordinaria), “típico” (calidad escénica común y ordinaria) o “deteriorado” (baja calidad escénica, atributos débiles o desaparecidos).</w:t>
      </w:r>
    </w:p>
    <w:p w14:paraId="65F8EBB1" w14:textId="77777777" w:rsidR="00310A9D" w:rsidRPr="00BD1319" w:rsidRDefault="00310A9D" w:rsidP="009420F5">
      <w:pPr>
        <w:tabs>
          <w:tab w:val="left" w:pos="-2268"/>
        </w:tabs>
        <w:suppressAutoHyphens/>
        <w:ind w:left="709" w:hanging="709"/>
        <w:rPr>
          <w:spacing w:val="-3"/>
        </w:rPr>
      </w:pPr>
    </w:p>
    <w:p w14:paraId="5C89D31A" w14:textId="5C40202C" w:rsidR="004C29D0" w:rsidRPr="00BD1319" w:rsidRDefault="007C6392" w:rsidP="00C86DA5">
      <w:pPr>
        <w:numPr>
          <w:ilvl w:val="0"/>
          <w:numId w:val="70"/>
        </w:numPr>
        <w:tabs>
          <w:tab w:val="left" w:pos="-2268"/>
        </w:tabs>
        <w:suppressAutoHyphens/>
        <w:ind w:left="567" w:hanging="567"/>
        <w:rPr>
          <w:spacing w:val="-3"/>
        </w:rPr>
      </w:pPr>
      <w:r w:rsidRPr="00BD1319">
        <w:rPr>
          <w:spacing w:val="-3"/>
        </w:rPr>
        <w:t>Valoración</w:t>
      </w:r>
      <w:r w:rsidR="00C04941" w:rsidRPr="00BD1319">
        <w:rPr>
          <w:spacing w:val="-3"/>
        </w:rPr>
        <w:t xml:space="preserve"> de la p</w:t>
      </w:r>
      <w:r w:rsidR="004C29D0" w:rsidRPr="00BD1319">
        <w:rPr>
          <w:spacing w:val="-3"/>
        </w:rPr>
        <w:t>ercepción social del paisaje</w:t>
      </w:r>
      <w:r w:rsidR="00C04941" w:rsidRPr="00BD1319">
        <w:rPr>
          <w:spacing w:val="-3"/>
        </w:rPr>
        <w:t xml:space="preserve"> de acuerdo con </w:t>
      </w:r>
      <w:r w:rsidR="004C29D0" w:rsidRPr="00BD1319">
        <w:rPr>
          <w:spacing w:val="-3"/>
        </w:rPr>
        <w:t>lo siguiente:</w:t>
      </w:r>
    </w:p>
    <w:p w14:paraId="2192543D" w14:textId="77777777" w:rsidR="00CF3D81" w:rsidRPr="00BD1319" w:rsidRDefault="00CF3D81" w:rsidP="00C86DA5">
      <w:pPr>
        <w:tabs>
          <w:tab w:val="left" w:pos="-2268"/>
        </w:tabs>
        <w:suppressAutoHyphens/>
        <w:rPr>
          <w:spacing w:val="-3"/>
        </w:rPr>
      </w:pPr>
    </w:p>
    <w:p w14:paraId="2E746E61" w14:textId="79C28622" w:rsidR="004C29D0" w:rsidRPr="00BD1319" w:rsidRDefault="004C29D0" w:rsidP="005050B4">
      <w:pPr>
        <w:numPr>
          <w:ilvl w:val="0"/>
          <w:numId w:val="386"/>
        </w:numPr>
        <w:tabs>
          <w:tab w:val="left" w:pos="-2268"/>
        </w:tabs>
        <w:suppressAutoHyphens/>
        <w:overflowPunct/>
        <w:autoSpaceDE/>
        <w:autoSpaceDN/>
        <w:adjustRightInd/>
        <w:ind w:left="1134" w:hanging="567"/>
        <w:textAlignment w:val="auto"/>
        <w:rPr>
          <w:rFonts w:cs="Arial"/>
          <w:spacing w:val="-3"/>
        </w:rPr>
      </w:pPr>
      <w:r w:rsidRPr="00BD1319">
        <w:rPr>
          <w:rFonts w:cs="Arial"/>
          <w:spacing w:val="-3"/>
        </w:rPr>
        <w:t>Sitios de interés paisajístico</w:t>
      </w:r>
      <w:r w:rsidR="00C04941" w:rsidRPr="00BD1319">
        <w:rPr>
          <w:rFonts w:cs="Arial"/>
          <w:spacing w:val="-3"/>
        </w:rPr>
        <w:t xml:space="preserve"> identificados mediante</w:t>
      </w:r>
      <w:r w:rsidRPr="00BD1319">
        <w:rPr>
          <w:rFonts w:cs="Arial"/>
          <w:spacing w:val="-3"/>
        </w:rPr>
        <w:t xml:space="preserve"> información primaria </w:t>
      </w:r>
      <w:r w:rsidR="00C04941" w:rsidRPr="00BD1319">
        <w:rPr>
          <w:rFonts w:cs="Arial"/>
          <w:spacing w:val="-3"/>
        </w:rPr>
        <w:t xml:space="preserve">y </w:t>
      </w:r>
      <w:r w:rsidRPr="00BD1319">
        <w:rPr>
          <w:rFonts w:cs="Arial"/>
          <w:spacing w:val="-3"/>
        </w:rPr>
        <w:t>secundaria</w:t>
      </w:r>
      <w:r w:rsidR="00C04941" w:rsidRPr="00BD1319">
        <w:rPr>
          <w:rFonts w:cs="Arial"/>
          <w:spacing w:val="-3"/>
        </w:rPr>
        <w:t>, los cuales</w:t>
      </w:r>
      <w:r w:rsidRPr="00BD1319">
        <w:rPr>
          <w:rFonts w:cs="Arial"/>
          <w:spacing w:val="-3"/>
        </w:rPr>
        <w:t xml:space="preserve"> </w:t>
      </w:r>
      <w:r w:rsidR="00E94228" w:rsidRPr="00BD1319">
        <w:rPr>
          <w:rFonts w:cs="Arial"/>
          <w:spacing w:val="-3"/>
        </w:rPr>
        <w:t>p</w:t>
      </w:r>
      <w:r w:rsidR="00C04941" w:rsidRPr="00BD1319">
        <w:rPr>
          <w:rFonts w:cs="Arial"/>
          <w:spacing w:val="-3"/>
        </w:rPr>
        <w:t xml:space="preserve">ueden </w:t>
      </w:r>
      <w:r w:rsidR="00E94228" w:rsidRPr="00BD1319">
        <w:rPr>
          <w:rFonts w:cs="Arial"/>
          <w:spacing w:val="-3"/>
        </w:rPr>
        <w:t xml:space="preserve">corresponder </w:t>
      </w:r>
      <w:r w:rsidR="00C04941" w:rsidRPr="00BD1319">
        <w:rPr>
          <w:rFonts w:cs="Arial"/>
          <w:spacing w:val="-3"/>
        </w:rPr>
        <w:t xml:space="preserve">tanto a </w:t>
      </w:r>
      <w:r w:rsidR="00E94228" w:rsidRPr="00BD1319">
        <w:rPr>
          <w:rFonts w:cs="Arial"/>
          <w:spacing w:val="-3"/>
        </w:rPr>
        <w:t xml:space="preserve">puntos </w:t>
      </w:r>
      <w:r w:rsidR="00C04941" w:rsidRPr="00BD1319">
        <w:rPr>
          <w:rFonts w:cs="Arial"/>
          <w:spacing w:val="-3"/>
        </w:rPr>
        <w:t xml:space="preserve">como </w:t>
      </w:r>
      <w:r w:rsidR="00E94228" w:rsidRPr="00BD1319">
        <w:rPr>
          <w:rFonts w:cs="Arial"/>
          <w:spacing w:val="-3"/>
        </w:rPr>
        <w:t xml:space="preserve">a </w:t>
      </w:r>
      <w:r w:rsidR="002D02BA" w:rsidRPr="00BD1319">
        <w:rPr>
          <w:rFonts w:cs="Arial"/>
          <w:spacing w:val="-3"/>
        </w:rPr>
        <w:t>áreas</w:t>
      </w:r>
      <w:r w:rsidR="00E94228" w:rsidRPr="00BD1319">
        <w:rPr>
          <w:rFonts w:cs="Arial"/>
          <w:spacing w:val="-3"/>
        </w:rPr>
        <w:t xml:space="preserve"> </w:t>
      </w:r>
      <w:r w:rsidR="002D02BA" w:rsidRPr="00BD1319">
        <w:rPr>
          <w:rFonts w:cs="Arial"/>
          <w:spacing w:val="-3"/>
        </w:rPr>
        <w:t>o segmentos d</w:t>
      </w:r>
      <w:r w:rsidR="00E94228" w:rsidRPr="00BD1319">
        <w:rPr>
          <w:rFonts w:cs="Arial"/>
          <w:spacing w:val="-3"/>
        </w:rPr>
        <w:t>el terreno</w:t>
      </w:r>
      <w:r w:rsidR="00603397" w:rsidRPr="00BD1319">
        <w:rPr>
          <w:rFonts w:cs="Arial"/>
          <w:spacing w:val="-3"/>
        </w:rPr>
        <w:t>; es necesario presentar la localización geográfica de estos sitios</w:t>
      </w:r>
      <w:r w:rsidR="00E94228" w:rsidRPr="00BD1319">
        <w:rPr>
          <w:rFonts w:cs="Arial"/>
          <w:spacing w:val="-3"/>
        </w:rPr>
        <w:t xml:space="preserve">. Para proyectos ubicados en zonas costeras, </w:t>
      </w:r>
      <w:r w:rsidR="00C04941" w:rsidRPr="00BD1319">
        <w:rPr>
          <w:rFonts w:cs="Arial"/>
          <w:spacing w:val="-3"/>
        </w:rPr>
        <w:t xml:space="preserve">se deben </w:t>
      </w:r>
      <w:r w:rsidR="00E94228" w:rsidRPr="00BD1319">
        <w:rPr>
          <w:rFonts w:cs="Arial"/>
          <w:spacing w:val="-3"/>
        </w:rPr>
        <w:t xml:space="preserve">tener en cuenta aquellos sitios de interés turístico localizados tanto en </w:t>
      </w:r>
      <w:r w:rsidR="00C04941" w:rsidRPr="00BD1319">
        <w:rPr>
          <w:rFonts w:cs="Arial"/>
          <w:spacing w:val="-3"/>
        </w:rPr>
        <w:t xml:space="preserve">áreas </w:t>
      </w:r>
      <w:r w:rsidR="00E94228" w:rsidRPr="00BD1319">
        <w:rPr>
          <w:rFonts w:cs="Arial"/>
          <w:spacing w:val="-3"/>
        </w:rPr>
        <w:t>terrestre</w:t>
      </w:r>
      <w:r w:rsidR="00C04941" w:rsidRPr="00BD1319">
        <w:rPr>
          <w:rFonts w:cs="Arial"/>
          <w:spacing w:val="-3"/>
        </w:rPr>
        <w:t>s</w:t>
      </w:r>
      <w:r w:rsidR="00E94228" w:rsidRPr="00BD1319">
        <w:rPr>
          <w:rFonts w:cs="Arial"/>
          <w:spacing w:val="-3"/>
        </w:rPr>
        <w:t xml:space="preserve"> como marina</w:t>
      </w:r>
      <w:r w:rsidR="00C04941" w:rsidRPr="00BD1319">
        <w:rPr>
          <w:rFonts w:cs="Arial"/>
          <w:spacing w:val="-3"/>
        </w:rPr>
        <w:t>s</w:t>
      </w:r>
      <w:r w:rsidRPr="00BD1319">
        <w:rPr>
          <w:rFonts w:cs="Arial"/>
          <w:spacing w:val="-3"/>
        </w:rPr>
        <w:t>.</w:t>
      </w:r>
    </w:p>
    <w:p w14:paraId="05B65B7D" w14:textId="77777777" w:rsidR="00CF3D81" w:rsidRPr="00BD1319" w:rsidRDefault="00CF3D81" w:rsidP="00C86DA5">
      <w:pPr>
        <w:tabs>
          <w:tab w:val="left" w:pos="-2268"/>
        </w:tabs>
        <w:suppressAutoHyphens/>
        <w:rPr>
          <w:spacing w:val="-3"/>
        </w:rPr>
      </w:pPr>
    </w:p>
    <w:p w14:paraId="6C37BDEB" w14:textId="7819AC5A" w:rsidR="001014CD" w:rsidRPr="00BD1319" w:rsidRDefault="004C29D0" w:rsidP="005050B4">
      <w:pPr>
        <w:numPr>
          <w:ilvl w:val="0"/>
          <w:numId w:val="386"/>
        </w:numPr>
        <w:tabs>
          <w:tab w:val="left" w:pos="-2268"/>
        </w:tabs>
        <w:suppressAutoHyphens/>
        <w:overflowPunct/>
        <w:autoSpaceDE/>
        <w:autoSpaceDN/>
        <w:adjustRightInd/>
        <w:ind w:left="1134" w:hanging="567"/>
        <w:textAlignment w:val="auto"/>
        <w:rPr>
          <w:rFonts w:cs="Arial"/>
          <w:spacing w:val="-3"/>
        </w:rPr>
      </w:pPr>
      <w:r w:rsidRPr="00BD1319">
        <w:rPr>
          <w:rFonts w:cs="Arial"/>
          <w:spacing w:val="-3"/>
        </w:rPr>
        <w:t xml:space="preserve">Percepción de </w:t>
      </w:r>
      <w:r w:rsidR="002E3AEF" w:rsidRPr="00BD1319">
        <w:rPr>
          <w:rFonts w:cs="Arial"/>
          <w:spacing w:val="-3"/>
        </w:rPr>
        <w:t xml:space="preserve">grupos de interés </w:t>
      </w:r>
      <w:r w:rsidRPr="00BD1319">
        <w:rPr>
          <w:rFonts w:cs="Arial"/>
          <w:spacing w:val="-3"/>
        </w:rPr>
        <w:t>respecto del valor paisajístico y de la relación de éste con su cultura e identidad local y regional</w:t>
      </w:r>
      <w:r w:rsidR="008774FD" w:rsidRPr="00BD1319">
        <w:rPr>
          <w:rFonts w:cs="Arial"/>
          <w:spacing w:val="-3"/>
        </w:rPr>
        <w:t>, donde se establezca la importancia de los elementos del paisaje, los cambios percibidos en el tiempo y la percepción de los posibles cambios generados por el desarrollo del proyecto, obra o actividad</w:t>
      </w:r>
      <w:r w:rsidRPr="00BD1319">
        <w:rPr>
          <w:rFonts w:cs="Arial"/>
          <w:spacing w:val="-3"/>
        </w:rPr>
        <w:t>.</w:t>
      </w:r>
      <w:r w:rsidR="00287F0A" w:rsidRPr="00BD1319">
        <w:rPr>
          <w:rFonts w:cs="Arial"/>
          <w:spacing w:val="-3"/>
        </w:rPr>
        <w:t xml:space="preserve"> Para ello, se debe i</w:t>
      </w:r>
      <w:r w:rsidRPr="00BD1319">
        <w:rPr>
          <w:rFonts w:cs="Arial"/>
          <w:spacing w:val="-3"/>
        </w:rPr>
        <w:t xml:space="preserve">ncorporar y analizar la información </w:t>
      </w:r>
      <w:r w:rsidR="00287F0A" w:rsidRPr="00BD1319">
        <w:rPr>
          <w:rFonts w:cs="Arial"/>
          <w:spacing w:val="-3"/>
        </w:rPr>
        <w:t xml:space="preserve">primaria relativa al </w:t>
      </w:r>
      <w:r w:rsidRPr="00BD1319">
        <w:rPr>
          <w:rFonts w:cs="Arial"/>
          <w:spacing w:val="-3"/>
        </w:rPr>
        <w:t xml:space="preserve">paisaje </w:t>
      </w:r>
      <w:r w:rsidR="00287F0A" w:rsidRPr="00BD1319">
        <w:rPr>
          <w:rFonts w:cs="Arial"/>
          <w:spacing w:val="-3"/>
        </w:rPr>
        <w:t>y a los componentes que se le asocian</w:t>
      </w:r>
      <w:r w:rsidR="002D02BA" w:rsidRPr="00BD1319">
        <w:rPr>
          <w:rFonts w:cs="Arial"/>
          <w:spacing w:val="-3"/>
        </w:rPr>
        <w:t>,</w:t>
      </w:r>
      <w:r w:rsidR="00287F0A" w:rsidRPr="00BD1319">
        <w:rPr>
          <w:rFonts w:cs="Arial"/>
          <w:spacing w:val="-3"/>
        </w:rPr>
        <w:t xml:space="preserve"> que se haya recabado en </w:t>
      </w:r>
      <w:r w:rsidRPr="00BD1319">
        <w:rPr>
          <w:rFonts w:cs="Arial"/>
          <w:spacing w:val="-3"/>
        </w:rPr>
        <w:t xml:space="preserve">los espacios de participación </w:t>
      </w:r>
      <w:r w:rsidR="001014CD" w:rsidRPr="00BD1319">
        <w:rPr>
          <w:rFonts w:cs="Arial"/>
          <w:spacing w:val="-3"/>
        </w:rPr>
        <w:t xml:space="preserve">con </w:t>
      </w:r>
      <w:r w:rsidR="002E3AEF" w:rsidRPr="00BD1319">
        <w:rPr>
          <w:rFonts w:cs="Arial"/>
          <w:spacing w:val="-3"/>
        </w:rPr>
        <w:t>los grupos de interés</w:t>
      </w:r>
      <w:r w:rsidRPr="00BD1319">
        <w:rPr>
          <w:rFonts w:cs="Arial"/>
          <w:spacing w:val="-3"/>
        </w:rPr>
        <w:t xml:space="preserve">. </w:t>
      </w:r>
      <w:r w:rsidR="00E110B2" w:rsidRPr="00BD1319">
        <w:rPr>
          <w:rFonts w:cs="Arial"/>
          <w:spacing w:val="-3"/>
        </w:rPr>
        <w:t>E</w:t>
      </w:r>
      <w:r w:rsidRPr="00BD1319">
        <w:rPr>
          <w:rFonts w:cs="Arial"/>
          <w:spacing w:val="-3"/>
        </w:rPr>
        <w:t xml:space="preserve">stos </w:t>
      </w:r>
      <w:r w:rsidR="009371BA" w:rsidRPr="00BD1319">
        <w:rPr>
          <w:rFonts w:cs="Arial"/>
          <w:spacing w:val="-3"/>
        </w:rPr>
        <w:t>espacios contemplan</w:t>
      </w:r>
      <w:r w:rsidR="00E110B2" w:rsidRPr="00BD1319">
        <w:rPr>
          <w:rFonts w:cs="Arial"/>
          <w:spacing w:val="-3"/>
        </w:rPr>
        <w:t>, entre otras herramientas,</w:t>
      </w:r>
      <w:r w:rsidR="009371BA" w:rsidRPr="00BD1319">
        <w:rPr>
          <w:rFonts w:cs="Arial"/>
          <w:spacing w:val="-3"/>
        </w:rPr>
        <w:t xml:space="preserve"> </w:t>
      </w:r>
      <w:r w:rsidR="00E110B2" w:rsidRPr="00BD1319">
        <w:rPr>
          <w:rFonts w:cs="Arial"/>
          <w:spacing w:val="-3"/>
        </w:rPr>
        <w:t xml:space="preserve">la </w:t>
      </w:r>
      <w:r w:rsidRPr="00BD1319">
        <w:rPr>
          <w:rFonts w:cs="Arial"/>
          <w:spacing w:val="-3"/>
        </w:rPr>
        <w:t>cartografía social, reuniones, entrevistas o encuestas.</w:t>
      </w:r>
    </w:p>
    <w:p w14:paraId="33C83491" w14:textId="77777777" w:rsidR="007F6983" w:rsidRPr="00BD1319" w:rsidRDefault="007F6983" w:rsidP="001014CD">
      <w:pPr>
        <w:tabs>
          <w:tab w:val="left" w:pos="-2268"/>
        </w:tabs>
        <w:suppressAutoHyphens/>
        <w:rPr>
          <w:spacing w:val="-3"/>
        </w:rPr>
      </w:pPr>
    </w:p>
    <w:p w14:paraId="72E138CF" w14:textId="10397425" w:rsidR="00890440" w:rsidRPr="00BD1319" w:rsidRDefault="00890440" w:rsidP="00890440">
      <w:pPr>
        <w:pStyle w:val="paragraph"/>
        <w:spacing w:before="0" w:beforeAutospacing="0" w:after="0" w:afterAutospacing="0"/>
        <w:textAlignment w:val="baseline"/>
        <w:rPr>
          <w:rStyle w:val="eop"/>
          <w:rFonts w:cs="Arial"/>
          <w:lang w:val="es-CO"/>
        </w:rPr>
      </w:pPr>
      <w:r w:rsidRPr="00BD1319">
        <w:rPr>
          <w:rStyle w:val="eop"/>
          <w:rFonts w:cs="Arial"/>
          <w:lang w:val="es-CO"/>
        </w:rPr>
        <w:t xml:space="preserve">Una vez realizados los análisis de visibilidad, calidad visual, fragilidad visual, atractivo escénico y percepción </w:t>
      </w:r>
      <w:r w:rsidR="000207D2" w:rsidRPr="00BD1319">
        <w:rPr>
          <w:rStyle w:val="eop"/>
          <w:rFonts w:cs="Arial"/>
          <w:lang w:val="es-CO"/>
        </w:rPr>
        <w:t xml:space="preserve">visual </w:t>
      </w:r>
      <w:r w:rsidRPr="00BD1319">
        <w:rPr>
          <w:rStyle w:val="eop"/>
          <w:rFonts w:cs="Arial"/>
          <w:lang w:val="es-CO"/>
        </w:rPr>
        <w:t>del paisaje</w:t>
      </w:r>
      <w:r w:rsidRPr="00BD1319">
        <w:rPr>
          <w:rStyle w:val="Refdenotaalpie"/>
          <w:rFonts w:cs="Arial"/>
          <w:lang w:val="es-CO"/>
        </w:rPr>
        <w:footnoteReference w:id="170"/>
      </w:r>
      <w:r w:rsidRPr="00BD1319">
        <w:rPr>
          <w:rStyle w:val="eop"/>
          <w:rFonts w:cs="Arial"/>
          <w:lang w:val="es-CO"/>
        </w:rPr>
        <w:t>, se debe zonificar el área de influencia</w:t>
      </w:r>
      <w:r w:rsidRPr="00BD1319">
        <w:rPr>
          <w:rStyle w:val="Refdenotaalpie"/>
          <w:rFonts w:cs="Arial"/>
          <w:lang w:val="es-CO"/>
        </w:rPr>
        <w:t xml:space="preserve"> </w:t>
      </w:r>
      <w:r w:rsidRPr="00BD1319">
        <w:rPr>
          <w:rStyle w:val="eop"/>
          <w:rFonts w:cs="Arial"/>
          <w:lang w:val="es-CO"/>
        </w:rPr>
        <w:t>del componente paisaje de acuerdo con el grado de sensibilidad que tiene cada unidad de paisaje a las intervenciones del proyecto</w:t>
      </w:r>
      <w:r w:rsidR="002D3C96" w:rsidRPr="00BD1319">
        <w:rPr>
          <w:rStyle w:val="eop"/>
          <w:rFonts w:cs="Arial"/>
          <w:lang w:val="es-CO"/>
        </w:rPr>
        <w:t xml:space="preserve">, insumo que se </w:t>
      </w:r>
      <w:r w:rsidR="000207D2" w:rsidRPr="00BD1319">
        <w:rPr>
          <w:rStyle w:val="eop"/>
          <w:rFonts w:cs="Arial"/>
          <w:lang w:val="es-CO"/>
        </w:rPr>
        <w:t xml:space="preserve">debe emplear para establecer </w:t>
      </w:r>
      <w:r w:rsidR="002D3C96" w:rsidRPr="00BD1319">
        <w:rPr>
          <w:rStyle w:val="eop"/>
          <w:rFonts w:cs="Arial"/>
          <w:lang w:val="es-CO"/>
        </w:rPr>
        <w:t>la zonificación ambiental del área de influencia del proyecto, obra o actividad</w:t>
      </w:r>
      <w:r w:rsidRPr="00BD1319">
        <w:rPr>
          <w:rStyle w:val="eop"/>
          <w:rFonts w:cs="Arial"/>
          <w:lang w:val="es-CO"/>
        </w:rPr>
        <w:t>.</w:t>
      </w:r>
    </w:p>
    <w:p w14:paraId="722F80C3" w14:textId="77777777" w:rsidR="00C75DF7" w:rsidRPr="00BD1319" w:rsidRDefault="00C75DF7" w:rsidP="009420F5">
      <w:pPr>
        <w:tabs>
          <w:tab w:val="left" w:pos="-2268"/>
        </w:tabs>
        <w:suppressAutoHyphens/>
        <w:rPr>
          <w:spacing w:val="-3"/>
        </w:rPr>
      </w:pPr>
    </w:p>
    <w:p w14:paraId="0256012D" w14:textId="77777777" w:rsidR="004C29D0" w:rsidRPr="00BD1319" w:rsidRDefault="004C29D0" w:rsidP="00C86DA5"/>
    <w:p w14:paraId="427B4D24" w14:textId="16CA7534" w:rsidR="001D3FF9" w:rsidRPr="00BD1319" w:rsidRDefault="001D3FF9" w:rsidP="00CB4557">
      <w:pPr>
        <w:pStyle w:val="Ttulo1"/>
        <w:numPr>
          <w:ilvl w:val="0"/>
          <w:numId w:val="8"/>
        </w:numPr>
        <w:rPr>
          <w:lang w:val="es-CO"/>
        </w:rPr>
      </w:pPr>
      <w:bookmarkStart w:id="3053" w:name="_Ref79297297"/>
      <w:bookmarkStart w:id="3054" w:name="_Ref79297302"/>
      <w:bookmarkStart w:id="3055" w:name="_Toc175326781"/>
      <w:r w:rsidRPr="00BD1319">
        <w:rPr>
          <w:lang w:val="es-CO"/>
        </w:rPr>
        <w:t>ZONIFICACIÓN AMBIENTAL</w:t>
      </w:r>
      <w:r w:rsidR="00C41281" w:rsidRPr="00BD1319">
        <w:rPr>
          <w:rStyle w:val="Refdenotaalpie"/>
          <w:spacing w:val="-3"/>
          <w:lang w:val="es-CO"/>
        </w:rPr>
        <w:footnoteReference w:id="171"/>
      </w:r>
      <w:bookmarkEnd w:id="3047"/>
      <w:bookmarkEnd w:id="3048"/>
      <w:bookmarkEnd w:id="3053"/>
      <w:bookmarkEnd w:id="3054"/>
      <w:bookmarkEnd w:id="3055"/>
    </w:p>
    <w:p w14:paraId="0F4B403D" w14:textId="4CBC531D" w:rsidR="001D3FF9" w:rsidRPr="00BD1319" w:rsidRDefault="001D3FF9">
      <w:pPr>
        <w:numPr>
          <w:ilvl w:val="12"/>
          <w:numId w:val="0"/>
        </w:numPr>
        <w:tabs>
          <w:tab w:val="left" w:pos="-2268"/>
        </w:tabs>
        <w:suppressAutoHyphens/>
        <w:rPr>
          <w:spacing w:val="-3"/>
        </w:rPr>
      </w:pPr>
    </w:p>
    <w:p w14:paraId="2AECBBD4" w14:textId="44EC1400" w:rsidR="00E67139" w:rsidRPr="00BD1319" w:rsidRDefault="00E67139" w:rsidP="00E67139">
      <w:pPr>
        <w:numPr>
          <w:ilvl w:val="12"/>
          <w:numId w:val="0"/>
        </w:numPr>
        <w:tabs>
          <w:tab w:val="left" w:pos="-2268"/>
        </w:tabs>
        <w:suppressAutoHyphens/>
        <w:rPr>
          <w:spacing w:val="-3"/>
        </w:rPr>
      </w:pPr>
      <w:r w:rsidRPr="00BD1319">
        <w:rPr>
          <w:rFonts w:cs="Arial"/>
          <w:spacing w:val="-3"/>
        </w:rPr>
        <w:t xml:space="preserve">La zonificación ambiental es el proceso de sectorización del área de influencia en áreas homogéneas de acuerdo </w:t>
      </w:r>
      <w:r w:rsidR="006F13EC" w:rsidRPr="00BD1319">
        <w:rPr>
          <w:rFonts w:cs="Arial"/>
          <w:spacing w:val="-3"/>
        </w:rPr>
        <w:t>con</w:t>
      </w:r>
      <w:r w:rsidRPr="00BD1319">
        <w:rPr>
          <w:rFonts w:cs="Arial"/>
          <w:spacing w:val="-3"/>
        </w:rPr>
        <w:t xml:space="preserve"> la sensibilidad ambiental de los componentes de los medios </w:t>
      </w:r>
      <w:r w:rsidRPr="00BD1319">
        <w:rPr>
          <w:rFonts w:cs="Arial"/>
          <w:spacing w:val="-3"/>
        </w:rPr>
        <w:lastRenderedPageBreak/>
        <w:t xml:space="preserve">abiótico, biótico y socioeconómico. Por lo tanto, es un proceso </w:t>
      </w:r>
      <w:r w:rsidR="00EA4EAD" w:rsidRPr="00BD1319">
        <w:rPr>
          <w:rFonts w:cs="Arial"/>
          <w:spacing w:val="-3"/>
        </w:rPr>
        <w:t xml:space="preserve">que sintetiza </w:t>
      </w:r>
      <w:r w:rsidRPr="00BD1319">
        <w:rPr>
          <w:rFonts w:cs="Arial"/>
          <w:spacing w:val="-3"/>
        </w:rPr>
        <w:t>la información de la caracterización ambiental de línea base</w:t>
      </w:r>
      <w:r w:rsidR="00EA4EAD" w:rsidRPr="00BD1319">
        <w:rPr>
          <w:rFonts w:cs="Arial"/>
          <w:spacing w:val="-3"/>
        </w:rPr>
        <w:t xml:space="preserve"> en términos de sensibilidad ambiental, </w:t>
      </w:r>
      <w:r w:rsidR="003D25D2" w:rsidRPr="00BD1319">
        <w:rPr>
          <w:rFonts w:cs="Arial"/>
          <w:spacing w:val="-3"/>
        </w:rPr>
        <w:t xml:space="preserve">a partir de </w:t>
      </w:r>
      <w:r w:rsidRPr="00BD1319">
        <w:rPr>
          <w:rFonts w:cs="Arial"/>
          <w:spacing w:val="-3"/>
        </w:rPr>
        <w:t xml:space="preserve">las propiedades de </w:t>
      </w:r>
      <w:r w:rsidR="00EA4EAD" w:rsidRPr="00BD1319">
        <w:rPr>
          <w:rFonts w:cs="Arial"/>
          <w:spacing w:val="-3"/>
        </w:rPr>
        <w:t xml:space="preserve">los </w:t>
      </w:r>
      <w:r w:rsidR="006F13EC" w:rsidRPr="00BD1319">
        <w:rPr>
          <w:rFonts w:cs="Arial"/>
          <w:spacing w:val="-3"/>
        </w:rPr>
        <w:t>factores</w:t>
      </w:r>
      <w:r w:rsidRPr="00BD1319">
        <w:rPr>
          <w:rFonts w:cs="Arial"/>
          <w:spacing w:val="-3"/>
        </w:rPr>
        <w:t xml:space="preserve"> ambientales</w:t>
      </w:r>
      <w:r w:rsidR="002D4EBB" w:rsidRPr="00BD1319">
        <w:rPr>
          <w:rFonts w:cs="Arial"/>
          <w:spacing w:val="-3"/>
        </w:rPr>
        <w:t xml:space="preserve"> y </w:t>
      </w:r>
      <w:r w:rsidR="00EA4EAD" w:rsidRPr="00BD1319">
        <w:rPr>
          <w:rFonts w:cs="Arial"/>
          <w:spacing w:val="-3"/>
        </w:rPr>
        <w:t xml:space="preserve">de </w:t>
      </w:r>
      <w:r w:rsidR="002D4EBB" w:rsidRPr="00BD1319">
        <w:rPr>
          <w:rFonts w:cs="Arial"/>
          <w:spacing w:val="-3"/>
        </w:rPr>
        <w:t>la normativa ambiental vigente</w:t>
      </w:r>
      <w:r w:rsidR="002D4EBB" w:rsidRPr="00BD1319">
        <w:rPr>
          <w:rStyle w:val="Refdenotaalpie"/>
          <w:rFonts w:cs="Arial"/>
          <w:spacing w:val="-3"/>
          <w:lang w:val="es-CO"/>
        </w:rPr>
        <w:footnoteReference w:id="172"/>
      </w:r>
      <w:r w:rsidRPr="00BD1319">
        <w:rPr>
          <w:spacing w:val="-3"/>
        </w:rPr>
        <w:t>.</w:t>
      </w:r>
    </w:p>
    <w:p w14:paraId="5179D5DE" w14:textId="77777777" w:rsidR="00E67139" w:rsidRPr="00BD1319" w:rsidRDefault="00E67139" w:rsidP="00E67139">
      <w:pPr>
        <w:numPr>
          <w:ilvl w:val="12"/>
          <w:numId w:val="0"/>
        </w:numPr>
        <w:tabs>
          <w:tab w:val="left" w:pos="-2268"/>
        </w:tabs>
        <w:suppressAutoHyphens/>
        <w:rPr>
          <w:rFonts w:cs="Arial"/>
          <w:spacing w:val="-3"/>
        </w:rPr>
      </w:pPr>
    </w:p>
    <w:p w14:paraId="6C801598" w14:textId="2E9C8F31" w:rsidR="006F13EC" w:rsidRPr="00BD1319" w:rsidRDefault="00E67139" w:rsidP="00E67139">
      <w:pPr>
        <w:numPr>
          <w:ilvl w:val="12"/>
          <w:numId w:val="0"/>
        </w:numPr>
        <w:tabs>
          <w:tab w:val="left" w:pos="-2268"/>
        </w:tabs>
        <w:suppressAutoHyphens/>
        <w:rPr>
          <w:rFonts w:cs="Arial"/>
          <w:spacing w:val="-3"/>
        </w:rPr>
      </w:pPr>
      <w:r w:rsidRPr="00BD1319">
        <w:rPr>
          <w:rFonts w:cs="Arial"/>
          <w:spacing w:val="-3"/>
        </w:rPr>
        <w:t xml:space="preserve">La sensibilidad del área de influencia </w:t>
      </w:r>
      <w:r w:rsidR="00C06FA2" w:rsidRPr="00BD1319">
        <w:rPr>
          <w:rFonts w:cs="Arial"/>
          <w:spacing w:val="-3"/>
        </w:rPr>
        <w:t xml:space="preserve">del proyecto </w:t>
      </w:r>
      <w:r w:rsidRPr="00BD1319">
        <w:rPr>
          <w:rFonts w:cs="Arial"/>
          <w:spacing w:val="-3"/>
        </w:rPr>
        <w:t xml:space="preserve">resulta de la integración </w:t>
      </w:r>
      <w:r w:rsidR="00C06FA2" w:rsidRPr="00BD1319">
        <w:rPr>
          <w:rFonts w:cs="Arial"/>
          <w:spacing w:val="-3"/>
        </w:rPr>
        <w:t xml:space="preserve">geográfica </w:t>
      </w:r>
      <w:r w:rsidRPr="00BD1319">
        <w:rPr>
          <w:rFonts w:cs="Arial"/>
          <w:spacing w:val="-3"/>
        </w:rPr>
        <w:t>de la sensibilidad ambiental de los componentes de los medios abiótico, biótico y socioeconómico</w:t>
      </w:r>
      <w:r w:rsidR="002C1E4E" w:rsidRPr="00BD1319">
        <w:rPr>
          <w:rFonts w:cs="Arial"/>
          <w:spacing w:val="-3"/>
        </w:rPr>
        <w:t>;</w:t>
      </w:r>
      <w:r w:rsidRPr="00BD1319">
        <w:rPr>
          <w:rFonts w:cs="Arial"/>
          <w:spacing w:val="-3"/>
        </w:rPr>
        <w:t xml:space="preserve"> </w:t>
      </w:r>
      <w:r w:rsidR="002C1E4E" w:rsidRPr="00BD1319">
        <w:rPr>
          <w:rFonts w:cs="Arial"/>
          <w:spacing w:val="-3"/>
        </w:rPr>
        <w:t>e</w:t>
      </w:r>
      <w:r w:rsidRPr="00BD1319">
        <w:rPr>
          <w:rFonts w:cs="Arial"/>
          <w:spacing w:val="-3"/>
        </w:rPr>
        <w:t xml:space="preserve">n este sentido, cada componente debe ser zonificado de forma independiente de acuerdo con </w:t>
      </w:r>
      <w:r w:rsidR="00342606" w:rsidRPr="00BD1319">
        <w:rPr>
          <w:rFonts w:cs="Arial"/>
          <w:spacing w:val="-3"/>
        </w:rPr>
        <w:t xml:space="preserve">su </w:t>
      </w:r>
      <w:r w:rsidR="00C06FA2" w:rsidRPr="00BD1319">
        <w:rPr>
          <w:rFonts w:cs="Arial"/>
          <w:spacing w:val="-3"/>
        </w:rPr>
        <w:t xml:space="preserve">sensibilidad </w:t>
      </w:r>
      <w:r w:rsidR="00342606" w:rsidRPr="00BD1319">
        <w:rPr>
          <w:rFonts w:cs="Arial"/>
          <w:spacing w:val="-3"/>
        </w:rPr>
        <w:t>ambiental</w:t>
      </w:r>
      <w:r w:rsidR="002C1E4E" w:rsidRPr="00BD1319">
        <w:rPr>
          <w:rFonts w:cs="Arial"/>
          <w:spacing w:val="-3"/>
        </w:rPr>
        <w:t>.</w:t>
      </w:r>
      <w:r w:rsidRPr="00BD1319">
        <w:rPr>
          <w:rFonts w:cs="Arial"/>
          <w:spacing w:val="-3"/>
        </w:rPr>
        <w:t xml:space="preserve"> </w:t>
      </w:r>
      <w:r w:rsidR="00C06FA2" w:rsidRPr="00BD1319">
        <w:rPr>
          <w:rFonts w:cs="Arial"/>
          <w:spacing w:val="-3"/>
        </w:rPr>
        <w:t xml:space="preserve">Por ello, es necesario </w:t>
      </w:r>
      <w:r w:rsidRPr="00BD1319">
        <w:rPr>
          <w:rFonts w:cs="Arial"/>
          <w:spacing w:val="-3"/>
        </w:rPr>
        <w:t>clasificar</w:t>
      </w:r>
      <w:r w:rsidR="00D16FEB" w:rsidRPr="00BD1319">
        <w:rPr>
          <w:rFonts w:cs="Arial"/>
          <w:spacing w:val="-3"/>
        </w:rPr>
        <w:t xml:space="preserve"> cada unidad de análisis </w:t>
      </w:r>
      <w:r w:rsidRPr="00BD1319">
        <w:rPr>
          <w:rFonts w:cs="Arial"/>
          <w:spacing w:val="-3"/>
        </w:rPr>
        <w:t>en grados de sensibilidad (muy alta, alta, media, baja</w:t>
      </w:r>
      <w:r w:rsidR="00203F64" w:rsidRPr="00BD1319">
        <w:rPr>
          <w:rFonts w:cs="Arial"/>
          <w:spacing w:val="-3"/>
        </w:rPr>
        <w:t xml:space="preserve"> y</w:t>
      </w:r>
      <w:r w:rsidRPr="00BD1319">
        <w:rPr>
          <w:rFonts w:cs="Arial"/>
          <w:spacing w:val="-3"/>
        </w:rPr>
        <w:t xml:space="preserve"> muy baja) </w:t>
      </w:r>
      <w:r w:rsidR="00203F64" w:rsidRPr="00BD1319">
        <w:rPr>
          <w:rFonts w:cs="Arial"/>
          <w:spacing w:val="-3"/>
        </w:rPr>
        <w:t xml:space="preserve">para </w:t>
      </w:r>
      <w:r w:rsidRPr="00BD1319">
        <w:rPr>
          <w:rFonts w:cs="Arial"/>
          <w:spacing w:val="-3"/>
        </w:rPr>
        <w:t>que el área de influencia de cada componente pueda representarse cartográficamente en tér</w:t>
      </w:r>
      <w:r w:rsidR="006F13EC" w:rsidRPr="00BD1319">
        <w:rPr>
          <w:rFonts w:cs="Arial"/>
          <w:spacing w:val="-3"/>
        </w:rPr>
        <w:t>minos de sensibilidad ambiental.</w:t>
      </w:r>
    </w:p>
    <w:p w14:paraId="304D9947" w14:textId="77777777" w:rsidR="006F13EC" w:rsidRPr="00BD1319" w:rsidRDefault="006F13EC" w:rsidP="00E67139">
      <w:pPr>
        <w:numPr>
          <w:ilvl w:val="12"/>
          <w:numId w:val="0"/>
        </w:numPr>
        <w:tabs>
          <w:tab w:val="left" w:pos="-2268"/>
        </w:tabs>
        <w:suppressAutoHyphens/>
        <w:rPr>
          <w:rFonts w:cs="Arial"/>
          <w:spacing w:val="-3"/>
        </w:rPr>
      </w:pPr>
    </w:p>
    <w:p w14:paraId="7DE3B732" w14:textId="7D02C2ED" w:rsidR="00E67139" w:rsidRPr="00BD1319" w:rsidRDefault="006F13EC" w:rsidP="00E67139">
      <w:pPr>
        <w:numPr>
          <w:ilvl w:val="12"/>
          <w:numId w:val="0"/>
        </w:numPr>
        <w:tabs>
          <w:tab w:val="left" w:pos="-2268"/>
        </w:tabs>
        <w:suppressAutoHyphens/>
        <w:rPr>
          <w:rFonts w:cs="Arial"/>
          <w:spacing w:val="-3"/>
        </w:rPr>
      </w:pPr>
      <w:r w:rsidRPr="00BD1319">
        <w:rPr>
          <w:rFonts w:cs="Arial"/>
          <w:spacing w:val="-3"/>
        </w:rPr>
        <w:t xml:space="preserve">Es importante tener en cuenta que el proceso de zonificación ambiental se vale de la </w:t>
      </w:r>
      <w:r w:rsidRPr="00BD1319">
        <w:rPr>
          <w:rFonts w:cs="Arial"/>
          <w:i/>
          <w:iCs/>
          <w:spacing w:val="-3"/>
        </w:rPr>
        <w:t>sensibilidad</w:t>
      </w:r>
      <w:r w:rsidRPr="00BD1319">
        <w:rPr>
          <w:rFonts w:cs="Arial"/>
          <w:spacing w:val="-3"/>
        </w:rPr>
        <w:t xml:space="preserve"> para efectuar el proceso de integración </w:t>
      </w:r>
      <w:r w:rsidR="00EA4EAD" w:rsidRPr="00BD1319">
        <w:rPr>
          <w:rFonts w:cs="Arial"/>
          <w:spacing w:val="-3"/>
        </w:rPr>
        <w:t>geográfica</w:t>
      </w:r>
      <w:r w:rsidRPr="00BD1319">
        <w:rPr>
          <w:rFonts w:cs="Arial"/>
          <w:spacing w:val="-3"/>
        </w:rPr>
        <w:t>,</w:t>
      </w:r>
      <w:r w:rsidR="00E67139" w:rsidRPr="00BD1319">
        <w:rPr>
          <w:rFonts w:cs="Arial"/>
          <w:spacing w:val="-3"/>
        </w:rPr>
        <w:t xml:space="preserve"> es decir, </w:t>
      </w:r>
      <w:r w:rsidRPr="00BD1319">
        <w:rPr>
          <w:rFonts w:cs="Arial"/>
          <w:spacing w:val="-3"/>
        </w:rPr>
        <w:t xml:space="preserve">establece zonas homogéneas </w:t>
      </w:r>
      <w:r w:rsidR="00E67139" w:rsidRPr="00BD1319">
        <w:rPr>
          <w:rFonts w:cs="Arial"/>
          <w:spacing w:val="-3"/>
        </w:rPr>
        <w:t xml:space="preserve">de un elemento adimensional (sensibilidad) que </w:t>
      </w:r>
      <w:r w:rsidR="00203F64" w:rsidRPr="00BD1319">
        <w:rPr>
          <w:rFonts w:cs="Arial"/>
          <w:spacing w:val="-3"/>
        </w:rPr>
        <w:t xml:space="preserve">puede </w:t>
      </w:r>
      <w:r w:rsidRPr="00BD1319">
        <w:rPr>
          <w:rFonts w:cs="Arial"/>
          <w:spacing w:val="-3"/>
        </w:rPr>
        <w:t>conjugar</w:t>
      </w:r>
      <w:r w:rsidR="00203F64" w:rsidRPr="00BD1319">
        <w:rPr>
          <w:rFonts w:cs="Arial"/>
          <w:spacing w:val="-3"/>
        </w:rPr>
        <w:t>se</w:t>
      </w:r>
      <w:r w:rsidRPr="00BD1319">
        <w:rPr>
          <w:rFonts w:cs="Arial"/>
          <w:spacing w:val="-3"/>
        </w:rPr>
        <w:t xml:space="preserve"> </w:t>
      </w:r>
      <w:r w:rsidR="00203F64" w:rsidRPr="00BD1319">
        <w:rPr>
          <w:rFonts w:cs="Arial"/>
          <w:spacing w:val="-3"/>
        </w:rPr>
        <w:t>geográficamente</w:t>
      </w:r>
      <w:r w:rsidRPr="00BD1319">
        <w:rPr>
          <w:rFonts w:cs="Arial"/>
          <w:spacing w:val="-3"/>
        </w:rPr>
        <w:t>.</w:t>
      </w:r>
    </w:p>
    <w:p w14:paraId="23F80309" w14:textId="77777777" w:rsidR="00E67139" w:rsidRPr="00BD1319" w:rsidRDefault="00E67139" w:rsidP="00E67139">
      <w:pPr>
        <w:numPr>
          <w:ilvl w:val="12"/>
          <w:numId w:val="0"/>
        </w:numPr>
        <w:tabs>
          <w:tab w:val="left" w:pos="-2268"/>
        </w:tabs>
        <w:suppressAutoHyphens/>
        <w:rPr>
          <w:rFonts w:cs="Arial"/>
          <w:spacing w:val="-3"/>
        </w:rPr>
      </w:pPr>
    </w:p>
    <w:p w14:paraId="7C992C22" w14:textId="6DFD0378" w:rsidR="00E67139" w:rsidRPr="00BD1319" w:rsidRDefault="00DB343A" w:rsidP="00E67139">
      <w:pPr>
        <w:numPr>
          <w:ilvl w:val="12"/>
          <w:numId w:val="0"/>
        </w:numPr>
        <w:tabs>
          <w:tab w:val="left" w:pos="-2268"/>
        </w:tabs>
        <w:suppressAutoHyphens/>
        <w:rPr>
          <w:rFonts w:cs="Arial"/>
          <w:spacing w:val="-3"/>
        </w:rPr>
      </w:pPr>
      <w:r w:rsidRPr="00BD1319">
        <w:rPr>
          <w:rFonts w:cs="Arial"/>
          <w:spacing w:val="-3"/>
        </w:rPr>
        <w:t xml:space="preserve">Luego </w:t>
      </w:r>
      <w:r w:rsidR="00E67139" w:rsidRPr="00BD1319">
        <w:rPr>
          <w:rFonts w:cs="Arial"/>
          <w:spacing w:val="-3"/>
        </w:rPr>
        <w:t xml:space="preserve">de sintetizar la información de línea base en función de la susceptibilidad intrínseca de los </w:t>
      </w:r>
      <w:r w:rsidR="00203F64" w:rsidRPr="00BD1319">
        <w:rPr>
          <w:rFonts w:cs="Arial"/>
          <w:spacing w:val="-3"/>
        </w:rPr>
        <w:t xml:space="preserve">factores </w:t>
      </w:r>
      <w:r w:rsidR="00E67139" w:rsidRPr="00BD1319">
        <w:rPr>
          <w:rFonts w:cs="Arial"/>
          <w:spacing w:val="-3"/>
        </w:rPr>
        <w:t>del ambiente</w:t>
      </w:r>
      <w:r w:rsidR="007A7881" w:rsidRPr="00BD1319">
        <w:rPr>
          <w:rFonts w:cs="Arial"/>
          <w:spacing w:val="-3"/>
        </w:rPr>
        <w:t xml:space="preserve">, </w:t>
      </w:r>
      <w:r w:rsidRPr="00BD1319">
        <w:rPr>
          <w:rFonts w:cs="Arial"/>
          <w:spacing w:val="-3"/>
        </w:rPr>
        <w:t>expres</w:t>
      </w:r>
      <w:r w:rsidR="007A7881" w:rsidRPr="00BD1319">
        <w:rPr>
          <w:rFonts w:cs="Arial"/>
          <w:spacing w:val="-3"/>
        </w:rPr>
        <w:t xml:space="preserve">ándola </w:t>
      </w:r>
      <w:r w:rsidRPr="00BD1319">
        <w:rPr>
          <w:rFonts w:cs="Arial"/>
          <w:spacing w:val="-3"/>
        </w:rPr>
        <w:t>en términos de sensibilidad ambiental (muy alta, alta, media, baja, muy baja)</w:t>
      </w:r>
      <w:r w:rsidR="00E67139" w:rsidRPr="00BD1319">
        <w:rPr>
          <w:rFonts w:cs="Arial"/>
          <w:spacing w:val="-3"/>
        </w:rPr>
        <w:t xml:space="preserve">, </w:t>
      </w:r>
      <w:r w:rsidRPr="00BD1319">
        <w:rPr>
          <w:rFonts w:cs="Arial"/>
          <w:spacing w:val="-3"/>
        </w:rPr>
        <w:t xml:space="preserve">se debe </w:t>
      </w:r>
      <w:r w:rsidR="00E67139" w:rsidRPr="00BD1319">
        <w:rPr>
          <w:rFonts w:cs="Arial"/>
          <w:spacing w:val="-3"/>
        </w:rPr>
        <w:t xml:space="preserve">establecer </w:t>
      </w:r>
      <w:r w:rsidRPr="00BD1319">
        <w:rPr>
          <w:rFonts w:cs="Arial"/>
          <w:spacing w:val="-3"/>
        </w:rPr>
        <w:t>un método</w:t>
      </w:r>
      <w:r w:rsidR="00E67139" w:rsidRPr="00BD1319">
        <w:rPr>
          <w:rFonts w:cs="Arial"/>
          <w:spacing w:val="-3"/>
        </w:rPr>
        <w:t xml:space="preserve"> para integrar tal información en el área de influencia de los componente</w:t>
      </w:r>
      <w:r w:rsidR="00CC2698" w:rsidRPr="00BD1319">
        <w:rPr>
          <w:rFonts w:cs="Arial"/>
          <w:spacing w:val="-3"/>
        </w:rPr>
        <w:t xml:space="preserve">s, de los medios </w:t>
      </w:r>
      <w:r w:rsidR="00D24EBF" w:rsidRPr="00BD1319">
        <w:rPr>
          <w:rFonts w:cs="Arial"/>
          <w:spacing w:val="-3"/>
        </w:rPr>
        <w:t>y del proyecto.</w:t>
      </w:r>
    </w:p>
    <w:p w14:paraId="5EC4F497" w14:textId="77777777" w:rsidR="00E67139" w:rsidRPr="00BD1319" w:rsidRDefault="00E67139" w:rsidP="00E67139">
      <w:pPr>
        <w:numPr>
          <w:ilvl w:val="12"/>
          <w:numId w:val="0"/>
        </w:numPr>
        <w:tabs>
          <w:tab w:val="left" w:pos="-2268"/>
        </w:tabs>
        <w:suppressAutoHyphens/>
        <w:rPr>
          <w:rFonts w:cs="Arial"/>
          <w:spacing w:val="-3"/>
        </w:rPr>
      </w:pPr>
    </w:p>
    <w:p w14:paraId="44E83D0A" w14:textId="15F15D11" w:rsidR="00E67139" w:rsidRPr="00BD1319" w:rsidRDefault="00570397" w:rsidP="00E67139">
      <w:pPr>
        <w:numPr>
          <w:ilvl w:val="12"/>
          <w:numId w:val="0"/>
        </w:numPr>
        <w:tabs>
          <w:tab w:val="left" w:pos="-2268"/>
        </w:tabs>
        <w:suppressAutoHyphens/>
        <w:rPr>
          <w:rFonts w:cs="Arial"/>
          <w:spacing w:val="-3"/>
        </w:rPr>
      </w:pPr>
      <w:r w:rsidRPr="00BD1319">
        <w:rPr>
          <w:rFonts w:cs="Arial"/>
          <w:spacing w:val="-3"/>
        </w:rPr>
        <w:t>S</w:t>
      </w:r>
      <w:r w:rsidR="00E67139" w:rsidRPr="00BD1319">
        <w:rPr>
          <w:rFonts w:cs="Arial"/>
          <w:spacing w:val="-3"/>
        </w:rPr>
        <w:t>e debe describir tanto el método para establecer la sensibilidad de los componentes</w:t>
      </w:r>
      <w:r w:rsidR="002E32A3" w:rsidRPr="00BD1319">
        <w:rPr>
          <w:rFonts w:cs="Arial"/>
          <w:spacing w:val="-3"/>
        </w:rPr>
        <w:t xml:space="preserve"> ambientales</w:t>
      </w:r>
      <w:r w:rsidR="00E67139" w:rsidRPr="00BD1319">
        <w:rPr>
          <w:rFonts w:cs="Arial"/>
          <w:spacing w:val="-3"/>
        </w:rPr>
        <w:t xml:space="preserve">, como el </w:t>
      </w:r>
      <w:r w:rsidR="00457F51" w:rsidRPr="00BD1319">
        <w:rPr>
          <w:rFonts w:cs="Arial"/>
          <w:spacing w:val="-3"/>
        </w:rPr>
        <w:t xml:space="preserve">método de </w:t>
      </w:r>
      <w:r w:rsidR="001D64E0" w:rsidRPr="00BD1319">
        <w:rPr>
          <w:rFonts w:cs="Arial"/>
          <w:spacing w:val="-3"/>
        </w:rPr>
        <w:t xml:space="preserve">procesamiento de información </w:t>
      </w:r>
      <w:r w:rsidR="00457F51" w:rsidRPr="00BD1319">
        <w:rPr>
          <w:rFonts w:cs="Arial"/>
          <w:spacing w:val="-3"/>
        </w:rPr>
        <w:t xml:space="preserve">espacial </w:t>
      </w:r>
      <w:r w:rsidR="00E67139" w:rsidRPr="00BD1319">
        <w:rPr>
          <w:rFonts w:cs="Arial"/>
          <w:spacing w:val="-3"/>
        </w:rPr>
        <w:t xml:space="preserve">empleado para integrar tales susceptibilidades en los mapas de zonificación ambiental del área de influencia los </w:t>
      </w:r>
      <w:r w:rsidR="00E67139" w:rsidRPr="00BD1319">
        <w:rPr>
          <w:spacing w:val="-3"/>
        </w:rPr>
        <w:t>medios abiótico, biótico y socioeconómico</w:t>
      </w:r>
      <w:r w:rsidR="00457F51" w:rsidRPr="00BD1319">
        <w:rPr>
          <w:spacing w:val="-3"/>
        </w:rPr>
        <w:t xml:space="preserve"> (uno para cada medio)</w:t>
      </w:r>
      <w:r w:rsidR="00E67139" w:rsidRPr="00BD1319">
        <w:rPr>
          <w:spacing w:val="-3"/>
        </w:rPr>
        <w:t xml:space="preserve"> </w:t>
      </w:r>
      <w:r w:rsidR="00457F51" w:rsidRPr="00BD1319">
        <w:rPr>
          <w:spacing w:val="-3"/>
        </w:rPr>
        <w:t xml:space="preserve">y de </w:t>
      </w:r>
      <w:r w:rsidR="002E32A3" w:rsidRPr="00BD1319">
        <w:rPr>
          <w:rFonts w:cs="Arial"/>
          <w:spacing w:val="-3"/>
        </w:rPr>
        <w:t xml:space="preserve">zonificación ambiental </w:t>
      </w:r>
      <w:r w:rsidR="00457F51" w:rsidRPr="00BD1319">
        <w:rPr>
          <w:rFonts w:cs="Arial"/>
          <w:spacing w:val="-3"/>
        </w:rPr>
        <w:t xml:space="preserve">del área de influencia del proyecto, </w:t>
      </w:r>
      <w:r w:rsidRPr="00BD1319">
        <w:rPr>
          <w:rFonts w:cs="Arial"/>
          <w:spacing w:val="-3"/>
        </w:rPr>
        <w:t xml:space="preserve">obra o actividad, </w:t>
      </w:r>
      <w:r w:rsidR="007A7881" w:rsidRPr="00BD1319">
        <w:rPr>
          <w:rFonts w:cs="Arial"/>
          <w:spacing w:val="-3"/>
        </w:rPr>
        <w:t xml:space="preserve">los cuales </w:t>
      </w:r>
      <w:r w:rsidR="00E67139" w:rsidRPr="00BD1319">
        <w:rPr>
          <w:spacing w:val="-3"/>
        </w:rPr>
        <w:t xml:space="preserve">deben ser </w:t>
      </w:r>
      <w:r w:rsidR="00EA4EAD" w:rsidRPr="00BD1319">
        <w:rPr>
          <w:spacing w:val="-3"/>
        </w:rPr>
        <w:t xml:space="preserve">presentados </w:t>
      </w:r>
      <w:r w:rsidR="00E67139" w:rsidRPr="00BD1319">
        <w:rPr>
          <w:spacing w:val="-3"/>
        </w:rPr>
        <w:t>a la autoridad ambiental</w:t>
      </w:r>
      <w:r w:rsidR="00E67139" w:rsidRPr="00BD1319">
        <w:rPr>
          <w:rFonts w:cs="Arial"/>
          <w:spacing w:val="-3"/>
        </w:rPr>
        <w:t>.</w:t>
      </w:r>
    </w:p>
    <w:p w14:paraId="74A88379" w14:textId="77777777" w:rsidR="00FA74AA" w:rsidRPr="00BD1319" w:rsidRDefault="00FA74AA" w:rsidP="00FA74AA">
      <w:pPr>
        <w:numPr>
          <w:ilvl w:val="12"/>
          <w:numId w:val="0"/>
        </w:numPr>
        <w:tabs>
          <w:tab w:val="left" w:pos="-2268"/>
        </w:tabs>
        <w:suppressAutoHyphens/>
        <w:rPr>
          <w:rFonts w:cs="Arial"/>
          <w:spacing w:val="-3"/>
        </w:rPr>
      </w:pPr>
    </w:p>
    <w:p w14:paraId="11710247" w14:textId="77777777" w:rsidR="00FA74AA" w:rsidRPr="00BD1319" w:rsidRDefault="00FA74AA" w:rsidP="00FA74AA">
      <w:pPr>
        <w:numPr>
          <w:ilvl w:val="12"/>
          <w:numId w:val="0"/>
        </w:numPr>
        <w:tabs>
          <w:tab w:val="left" w:pos="-2268"/>
        </w:tabs>
        <w:suppressAutoHyphens/>
        <w:rPr>
          <w:rFonts w:cs="Arial"/>
          <w:spacing w:val="-3"/>
        </w:rPr>
      </w:pPr>
      <w:r w:rsidRPr="00BD1319">
        <w:rPr>
          <w:rFonts w:cs="Arial"/>
          <w:spacing w:val="-3"/>
        </w:rPr>
        <w:t xml:space="preserve">La descripción detallada del </w:t>
      </w:r>
      <w:r w:rsidRPr="00BD1319">
        <w:rPr>
          <w:spacing w:val="-3"/>
        </w:rPr>
        <w:t xml:space="preserve">método utilizado para </w:t>
      </w:r>
      <w:r w:rsidRPr="00BD1319">
        <w:rPr>
          <w:rFonts w:cs="Arial"/>
          <w:spacing w:val="-3"/>
        </w:rPr>
        <w:t>obtener la zonificación ambiental debe indicar lo siguiente:</w:t>
      </w:r>
    </w:p>
    <w:p w14:paraId="37711072" w14:textId="77777777" w:rsidR="00FA74AA" w:rsidRPr="00BD1319" w:rsidRDefault="00FA74AA" w:rsidP="00FA74AA">
      <w:pPr>
        <w:numPr>
          <w:ilvl w:val="12"/>
          <w:numId w:val="0"/>
        </w:numPr>
        <w:tabs>
          <w:tab w:val="left" w:pos="-2268"/>
        </w:tabs>
        <w:suppressAutoHyphens/>
        <w:rPr>
          <w:rFonts w:cs="Arial"/>
          <w:spacing w:val="-3"/>
        </w:rPr>
      </w:pPr>
    </w:p>
    <w:p w14:paraId="0790B72A" w14:textId="05F4BA4A" w:rsidR="00FA74AA" w:rsidRPr="00BD1319" w:rsidRDefault="00FA74AA" w:rsidP="00456AB1">
      <w:pPr>
        <w:numPr>
          <w:ilvl w:val="0"/>
          <w:numId w:val="19"/>
        </w:numPr>
        <w:tabs>
          <w:tab w:val="left" w:pos="-2268"/>
        </w:tabs>
        <w:suppressAutoHyphens/>
        <w:ind w:left="567" w:hanging="567"/>
        <w:rPr>
          <w:rFonts w:cs="Arial"/>
          <w:spacing w:val="-3"/>
        </w:rPr>
      </w:pPr>
      <w:r w:rsidRPr="00BD1319">
        <w:rPr>
          <w:rFonts w:cs="Arial"/>
          <w:spacing w:val="-3"/>
        </w:rPr>
        <w:t>La</w:t>
      </w:r>
      <w:r w:rsidR="00793CE4" w:rsidRPr="00BD1319">
        <w:rPr>
          <w:rFonts w:cs="Arial"/>
          <w:spacing w:val="-3"/>
        </w:rPr>
        <w:t>s</w:t>
      </w:r>
      <w:r w:rsidRPr="00BD1319">
        <w:rPr>
          <w:rFonts w:cs="Arial"/>
          <w:spacing w:val="-3"/>
        </w:rPr>
        <w:t xml:space="preserve"> unidades </w:t>
      </w:r>
      <w:r w:rsidR="00793CE4" w:rsidRPr="00BD1319">
        <w:rPr>
          <w:rFonts w:cs="Arial"/>
          <w:spacing w:val="-3"/>
        </w:rPr>
        <w:t xml:space="preserve">de análisis </w:t>
      </w:r>
      <w:r w:rsidRPr="00BD1319">
        <w:rPr>
          <w:rFonts w:cs="Arial"/>
          <w:spacing w:val="-3"/>
        </w:rPr>
        <w:t>de los componentes</w:t>
      </w:r>
      <w:r w:rsidR="004E0E56" w:rsidRPr="00BD1319">
        <w:rPr>
          <w:rFonts w:cs="Arial"/>
          <w:spacing w:val="-3"/>
        </w:rPr>
        <w:t xml:space="preserve"> que se</w:t>
      </w:r>
      <w:r w:rsidR="00793CE4" w:rsidRPr="00BD1319">
        <w:rPr>
          <w:rFonts w:cs="Arial"/>
          <w:spacing w:val="-3"/>
        </w:rPr>
        <w:t xml:space="preserve"> </w:t>
      </w:r>
      <w:r w:rsidR="004E0E56" w:rsidRPr="00BD1319">
        <w:rPr>
          <w:rFonts w:cs="Arial"/>
          <w:spacing w:val="-3"/>
        </w:rPr>
        <w:t xml:space="preserve">emplearon para </w:t>
      </w:r>
      <w:r w:rsidRPr="00BD1319">
        <w:rPr>
          <w:rFonts w:cs="Arial"/>
          <w:spacing w:val="-3"/>
        </w:rPr>
        <w:t>la zonificación ambiental de cada medio.</w:t>
      </w:r>
    </w:p>
    <w:p w14:paraId="55CF8040" w14:textId="77777777" w:rsidR="00FA74AA" w:rsidRPr="00BD1319" w:rsidRDefault="00FA74AA" w:rsidP="00FA74AA">
      <w:pPr>
        <w:tabs>
          <w:tab w:val="left" w:pos="-2268"/>
        </w:tabs>
        <w:suppressAutoHyphens/>
        <w:rPr>
          <w:rFonts w:cs="Arial"/>
          <w:spacing w:val="-3"/>
        </w:rPr>
      </w:pPr>
    </w:p>
    <w:p w14:paraId="147807B8" w14:textId="5BB4C920" w:rsidR="00FA74AA" w:rsidRPr="00BD1319" w:rsidRDefault="00793CE4" w:rsidP="00C86DA5">
      <w:pPr>
        <w:numPr>
          <w:ilvl w:val="0"/>
          <w:numId w:val="19"/>
        </w:numPr>
        <w:tabs>
          <w:tab w:val="left" w:pos="-2268"/>
        </w:tabs>
        <w:suppressAutoHyphens/>
        <w:ind w:left="567" w:hanging="567"/>
        <w:rPr>
          <w:spacing w:val="-3"/>
        </w:rPr>
      </w:pPr>
      <w:r w:rsidRPr="00BD1319">
        <w:rPr>
          <w:rFonts w:cs="Arial"/>
          <w:spacing w:val="-3"/>
        </w:rPr>
        <w:t>L</w:t>
      </w:r>
      <w:r w:rsidR="00FA74AA" w:rsidRPr="00BD1319">
        <w:rPr>
          <w:rFonts w:cs="Arial"/>
          <w:spacing w:val="-3"/>
        </w:rPr>
        <w:t xml:space="preserve">os criterios </w:t>
      </w:r>
      <w:r w:rsidR="004E0E56" w:rsidRPr="00BD1319">
        <w:rPr>
          <w:rFonts w:cs="Arial"/>
          <w:spacing w:val="-3"/>
        </w:rPr>
        <w:t xml:space="preserve">utilizados </w:t>
      </w:r>
      <w:r w:rsidR="00FA74AA" w:rsidRPr="00BD1319">
        <w:rPr>
          <w:rFonts w:cs="Arial"/>
          <w:spacing w:val="-3"/>
        </w:rPr>
        <w:t xml:space="preserve">para </w:t>
      </w:r>
      <w:r w:rsidRPr="00BD1319">
        <w:rPr>
          <w:rFonts w:cs="Arial"/>
          <w:spacing w:val="-3"/>
        </w:rPr>
        <w:t>valora</w:t>
      </w:r>
      <w:r w:rsidR="004E0E56" w:rsidRPr="00BD1319">
        <w:rPr>
          <w:rFonts w:cs="Arial"/>
          <w:spacing w:val="-3"/>
        </w:rPr>
        <w:t xml:space="preserve">r </w:t>
      </w:r>
      <w:r w:rsidR="00570397" w:rsidRPr="00BD1319">
        <w:rPr>
          <w:rFonts w:cs="Arial"/>
          <w:spacing w:val="-3"/>
        </w:rPr>
        <w:t>cuantitativa</w:t>
      </w:r>
      <w:r w:rsidR="00570397" w:rsidRPr="00BD1319" w:rsidDel="00570397">
        <w:rPr>
          <w:rFonts w:cs="Arial"/>
          <w:spacing w:val="-3"/>
        </w:rPr>
        <w:t xml:space="preserve"> </w:t>
      </w:r>
      <w:r w:rsidRPr="00BD1319">
        <w:rPr>
          <w:rFonts w:cs="Arial"/>
          <w:spacing w:val="-3"/>
        </w:rPr>
        <w:t>o</w:t>
      </w:r>
      <w:r w:rsidR="00FA74AA" w:rsidRPr="00BD1319">
        <w:rPr>
          <w:rFonts w:cs="Arial"/>
          <w:spacing w:val="-3"/>
        </w:rPr>
        <w:t xml:space="preserve"> </w:t>
      </w:r>
      <w:r w:rsidR="00570397" w:rsidRPr="00BD1319">
        <w:rPr>
          <w:rFonts w:cs="Arial"/>
          <w:spacing w:val="-3"/>
        </w:rPr>
        <w:t>cualitativa</w:t>
      </w:r>
      <w:r w:rsidR="004E0E56" w:rsidRPr="00BD1319">
        <w:rPr>
          <w:rFonts w:cs="Arial"/>
          <w:spacing w:val="-3"/>
        </w:rPr>
        <w:t>mente</w:t>
      </w:r>
      <w:r w:rsidR="00FA74AA" w:rsidRPr="00BD1319">
        <w:rPr>
          <w:rFonts w:cs="Arial"/>
          <w:spacing w:val="-3"/>
        </w:rPr>
        <w:t xml:space="preserve"> la sensibilidad ambiental de las unidades </w:t>
      </w:r>
      <w:r w:rsidR="004E0E56" w:rsidRPr="00BD1319">
        <w:rPr>
          <w:rFonts w:cs="Arial"/>
          <w:spacing w:val="-3"/>
        </w:rPr>
        <w:t xml:space="preserve">de análisis de </w:t>
      </w:r>
      <w:r w:rsidR="00FA74AA" w:rsidRPr="00BD1319">
        <w:rPr>
          <w:rFonts w:cs="Arial"/>
          <w:spacing w:val="-3"/>
        </w:rPr>
        <w:t>cada componente</w:t>
      </w:r>
      <w:r w:rsidR="004E0E56" w:rsidRPr="00BD1319">
        <w:rPr>
          <w:rFonts w:cs="Arial"/>
          <w:spacing w:val="-3"/>
        </w:rPr>
        <w:t xml:space="preserve">, teniendo en cuenta </w:t>
      </w:r>
      <w:r w:rsidR="00A54F45" w:rsidRPr="00BD1319">
        <w:rPr>
          <w:rFonts w:cs="Arial"/>
          <w:spacing w:val="-3"/>
        </w:rPr>
        <w:t xml:space="preserve">los </w:t>
      </w:r>
      <w:r w:rsidR="00A54F45" w:rsidRPr="00BD1319">
        <w:rPr>
          <w:rFonts w:cs="Arial"/>
          <w:spacing w:val="-3"/>
        </w:rPr>
        <w:lastRenderedPageBreak/>
        <w:t>valores de los p</w:t>
      </w:r>
      <w:r w:rsidR="00A54F45" w:rsidRPr="00BD1319">
        <w:rPr>
          <w:spacing w:val="-3"/>
        </w:rPr>
        <w:t>arámetros</w:t>
      </w:r>
      <w:r w:rsidR="00A54F45" w:rsidRPr="00BD1319">
        <w:rPr>
          <w:rFonts w:cs="Arial"/>
          <w:spacing w:val="-3"/>
        </w:rPr>
        <w:t>,</w:t>
      </w:r>
      <w:r w:rsidR="00A54F45" w:rsidRPr="00BD1319">
        <w:rPr>
          <w:spacing w:val="-3"/>
        </w:rPr>
        <w:t xml:space="preserve"> indicadores</w:t>
      </w:r>
      <w:r w:rsidR="00A54F45" w:rsidRPr="00BD1319">
        <w:rPr>
          <w:rFonts w:cs="Arial"/>
          <w:spacing w:val="-3"/>
        </w:rPr>
        <w:t xml:space="preserve"> o índices</w:t>
      </w:r>
      <w:r w:rsidR="007D4BC0" w:rsidRPr="00BD1319">
        <w:rPr>
          <w:rStyle w:val="Refdenotaalpie"/>
          <w:rFonts w:cs="Arial"/>
          <w:spacing w:val="-3"/>
        </w:rPr>
        <w:footnoteReference w:id="173"/>
      </w:r>
      <w:r w:rsidR="00A54F45" w:rsidRPr="00BD1319">
        <w:rPr>
          <w:spacing w:val="-3"/>
        </w:rPr>
        <w:t xml:space="preserve"> </w:t>
      </w:r>
      <w:r w:rsidR="00A54F45" w:rsidRPr="00BD1319">
        <w:rPr>
          <w:rFonts w:cs="Arial"/>
          <w:spacing w:val="-3"/>
        </w:rPr>
        <w:t>que describen sus factores</w:t>
      </w:r>
      <w:r w:rsidR="00E21DA4" w:rsidRPr="00BD1319">
        <w:rPr>
          <w:rFonts w:cs="Arial"/>
          <w:spacing w:val="-3"/>
        </w:rPr>
        <w:t xml:space="preserve"> ambientales</w:t>
      </w:r>
      <w:r w:rsidR="00A54F45" w:rsidRPr="00BD1319">
        <w:rPr>
          <w:rFonts w:cs="Arial"/>
          <w:spacing w:val="-3"/>
        </w:rPr>
        <w:t xml:space="preserve"> constitutivos</w:t>
      </w:r>
      <w:r w:rsidR="007D4BC0" w:rsidRPr="00BD1319">
        <w:rPr>
          <w:rFonts w:cs="Arial"/>
          <w:spacing w:val="-3"/>
        </w:rPr>
        <w:t>.</w:t>
      </w:r>
    </w:p>
    <w:p w14:paraId="5BCCE9F8" w14:textId="77777777" w:rsidR="00FA74AA" w:rsidRPr="00BD1319" w:rsidRDefault="00FA74AA">
      <w:pPr>
        <w:tabs>
          <w:tab w:val="left" w:pos="-2268"/>
        </w:tabs>
        <w:suppressAutoHyphens/>
        <w:rPr>
          <w:spacing w:val="-3"/>
        </w:rPr>
      </w:pPr>
    </w:p>
    <w:p w14:paraId="025E2109" w14:textId="4194B747" w:rsidR="004E0E56" w:rsidRPr="00BD1319" w:rsidRDefault="00FA74AA" w:rsidP="00C86DA5">
      <w:pPr>
        <w:numPr>
          <w:ilvl w:val="0"/>
          <w:numId w:val="19"/>
        </w:numPr>
        <w:tabs>
          <w:tab w:val="left" w:pos="-2268"/>
        </w:tabs>
        <w:suppressAutoHyphens/>
        <w:ind w:left="567" w:hanging="567"/>
        <w:rPr>
          <w:spacing w:val="-3"/>
        </w:rPr>
      </w:pPr>
      <w:r w:rsidRPr="00BD1319">
        <w:rPr>
          <w:spacing w:val="-3"/>
        </w:rPr>
        <w:t xml:space="preserve">El </w:t>
      </w:r>
      <w:r w:rsidR="004E0E56" w:rsidRPr="00BD1319">
        <w:rPr>
          <w:spacing w:val="-3"/>
        </w:rPr>
        <w:t xml:space="preserve">método </w:t>
      </w:r>
      <w:r w:rsidRPr="00BD1319">
        <w:rPr>
          <w:spacing w:val="-3"/>
        </w:rPr>
        <w:t xml:space="preserve">de procesamiento de </w:t>
      </w:r>
      <w:r w:rsidRPr="00BD1319">
        <w:rPr>
          <w:rFonts w:cs="Arial"/>
          <w:spacing w:val="-3"/>
        </w:rPr>
        <w:t xml:space="preserve">información geográfica, señalando los cálculos, funciones, ponderaciones y demás procedimientos </w:t>
      </w:r>
      <w:r w:rsidR="00B96EB5" w:rsidRPr="00BD1319">
        <w:rPr>
          <w:rFonts w:cs="Arial"/>
          <w:spacing w:val="-3"/>
        </w:rPr>
        <w:t xml:space="preserve">empleados </w:t>
      </w:r>
      <w:r w:rsidRPr="00BD1319">
        <w:rPr>
          <w:rFonts w:cs="Arial"/>
          <w:spacing w:val="-3"/>
        </w:rPr>
        <w:t xml:space="preserve">para establecer la sensibilidad de las unidades </w:t>
      </w:r>
      <w:r w:rsidR="004E0E56" w:rsidRPr="00BD1319">
        <w:rPr>
          <w:rFonts w:cs="Arial"/>
          <w:spacing w:val="-3"/>
        </w:rPr>
        <w:t xml:space="preserve">de análisis </w:t>
      </w:r>
      <w:r w:rsidRPr="00BD1319">
        <w:rPr>
          <w:rFonts w:cs="Arial"/>
          <w:spacing w:val="-3"/>
        </w:rPr>
        <w:t xml:space="preserve">de los componentes, así como para agrupar y obtener áreas homogéneas con diferentes </w:t>
      </w:r>
      <w:r w:rsidR="004E0E56" w:rsidRPr="00BD1319">
        <w:rPr>
          <w:rFonts w:cs="Arial"/>
          <w:spacing w:val="-3"/>
        </w:rPr>
        <w:t xml:space="preserve">categorías </w:t>
      </w:r>
      <w:r w:rsidRPr="00BD1319">
        <w:rPr>
          <w:rFonts w:cs="Arial"/>
          <w:spacing w:val="-3"/>
        </w:rPr>
        <w:t xml:space="preserve">de sensibilidad ambiental para el </w:t>
      </w:r>
      <w:r w:rsidR="004E0E56" w:rsidRPr="00BD1319">
        <w:rPr>
          <w:rFonts w:cs="Arial"/>
          <w:spacing w:val="-3"/>
        </w:rPr>
        <w:t xml:space="preserve">área de influencia de los medios abiótico, biótico y socioeconómico y para el </w:t>
      </w:r>
      <w:r w:rsidRPr="00BD1319">
        <w:rPr>
          <w:rFonts w:cs="Arial"/>
          <w:spacing w:val="-3"/>
        </w:rPr>
        <w:t>área de influencia</w:t>
      </w:r>
      <w:r w:rsidR="004E0E56" w:rsidRPr="00BD1319">
        <w:rPr>
          <w:rFonts w:cs="Arial"/>
          <w:spacing w:val="-3"/>
        </w:rPr>
        <w:t xml:space="preserve"> del proyecto, obra o actividad</w:t>
      </w:r>
      <w:r w:rsidRPr="00BD1319">
        <w:rPr>
          <w:rFonts w:cs="Arial"/>
          <w:spacing w:val="-3"/>
        </w:rPr>
        <w:t>.</w:t>
      </w:r>
    </w:p>
    <w:p w14:paraId="37D71172" w14:textId="77777777" w:rsidR="002D4EBB" w:rsidRPr="00BD1319" w:rsidRDefault="002D4EBB" w:rsidP="009420F5">
      <w:pPr>
        <w:rPr>
          <w:spacing w:val="-3"/>
        </w:rPr>
      </w:pPr>
    </w:p>
    <w:p w14:paraId="4C822520" w14:textId="63A3861B" w:rsidR="002D4EBB" w:rsidRPr="00BD1319" w:rsidRDefault="002D4EBB" w:rsidP="009420F5">
      <w:pPr>
        <w:numPr>
          <w:ilvl w:val="0"/>
          <w:numId w:val="19"/>
        </w:numPr>
        <w:tabs>
          <w:tab w:val="left" w:pos="-2268"/>
        </w:tabs>
        <w:suppressAutoHyphens/>
        <w:ind w:left="567" w:hanging="567"/>
        <w:rPr>
          <w:spacing w:val="-3"/>
        </w:rPr>
      </w:pPr>
      <w:r w:rsidRPr="00BD1319">
        <w:rPr>
          <w:spacing w:val="-3"/>
        </w:rPr>
        <w:t>Las restricciones impuestas por las figuras de protección ambiental adoptadas mediante la reglamentación expedida por la autoridad competente que se tuvieron en cuenta para establecer la zonificación ambiental.</w:t>
      </w:r>
    </w:p>
    <w:p w14:paraId="7D1D23E5" w14:textId="77777777" w:rsidR="004E0E56" w:rsidRPr="00BD1319" w:rsidRDefault="004E0E56" w:rsidP="009420F5">
      <w:pPr>
        <w:rPr>
          <w:rFonts w:cs="Arial"/>
          <w:spacing w:val="-3"/>
        </w:rPr>
      </w:pPr>
    </w:p>
    <w:p w14:paraId="00BF9B95" w14:textId="570C00CE" w:rsidR="004E0E56" w:rsidRPr="00BD1319" w:rsidRDefault="00FA74AA" w:rsidP="004E0E56">
      <w:pPr>
        <w:numPr>
          <w:ilvl w:val="12"/>
          <w:numId w:val="0"/>
        </w:numPr>
        <w:tabs>
          <w:tab w:val="left" w:pos="-2268"/>
        </w:tabs>
        <w:suppressAutoHyphens/>
        <w:rPr>
          <w:rFonts w:cs="Arial"/>
          <w:spacing w:val="-3"/>
        </w:rPr>
      </w:pPr>
      <w:r w:rsidRPr="00BD1319">
        <w:rPr>
          <w:rFonts w:cs="Arial"/>
          <w:spacing w:val="-3"/>
        </w:rPr>
        <w:t xml:space="preserve">La zonificación ambiental </w:t>
      </w:r>
      <w:r w:rsidR="00DC4B55" w:rsidRPr="00BD1319">
        <w:rPr>
          <w:rFonts w:cs="Arial"/>
          <w:spacing w:val="-3"/>
        </w:rPr>
        <w:t xml:space="preserve">del área de influencia </w:t>
      </w:r>
      <w:r w:rsidRPr="00BD1319">
        <w:rPr>
          <w:rFonts w:cs="Arial"/>
          <w:spacing w:val="-3"/>
        </w:rPr>
        <w:t xml:space="preserve">de cada medio </w:t>
      </w:r>
      <w:r w:rsidR="00DC4B55" w:rsidRPr="00BD1319">
        <w:rPr>
          <w:rFonts w:cs="Arial"/>
          <w:spacing w:val="-3"/>
        </w:rPr>
        <w:t xml:space="preserve">y del área de influencia del proyecto, obra o actividad, debe </w:t>
      </w:r>
      <w:r w:rsidRPr="00BD1319">
        <w:rPr>
          <w:rFonts w:cs="Arial"/>
          <w:spacing w:val="-3"/>
        </w:rPr>
        <w:t>cartografiarse a la escala que establezcan los términos de referencia, o a una más detallada de acuerdo con la sensibilidad ambiental del componente analizado</w:t>
      </w:r>
      <w:r w:rsidR="00C65E6C" w:rsidRPr="00BD1319">
        <w:rPr>
          <w:rFonts w:cs="Arial"/>
          <w:spacing w:val="-3"/>
        </w:rPr>
        <w:t>;</w:t>
      </w:r>
      <w:r w:rsidR="004E0E56" w:rsidRPr="00BD1319">
        <w:rPr>
          <w:rFonts w:cs="Arial"/>
          <w:spacing w:val="-3"/>
        </w:rPr>
        <w:t xml:space="preserve"> </w:t>
      </w:r>
      <w:r w:rsidR="00C65E6C" w:rsidRPr="00BD1319">
        <w:rPr>
          <w:rFonts w:cs="Arial"/>
          <w:spacing w:val="-3"/>
        </w:rPr>
        <w:t xml:space="preserve">esta </w:t>
      </w:r>
      <w:r w:rsidR="004E0E56" w:rsidRPr="00BD1319">
        <w:rPr>
          <w:rFonts w:cs="Arial"/>
          <w:spacing w:val="-3"/>
        </w:rPr>
        <w:t>información geográfica debe presentarse en la estructura definida por la Resolución 2182 de 2016 o aquella que la modifique o sustituya.</w:t>
      </w:r>
    </w:p>
    <w:p w14:paraId="66D9F223" w14:textId="75B375EA" w:rsidR="00FA74AA" w:rsidRPr="00BD1319" w:rsidRDefault="00FA74AA" w:rsidP="00FA74AA">
      <w:pPr>
        <w:numPr>
          <w:ilvl w:val="12"/>
          <w:numId w:val="0"/>
        </w:numPr>
        <w:tabs>
          <w:tab w:val="left" w:pos="-2268"/>
        </w:tabs>
        <w:suppressAutoHyphens/>
        <w:rPr>
          <w:rFonts w:cs="Arial"/>
          <w:spacing w:val="-3"/>
        </w:rPr>
      </w:pPr>
    </w:p>
    <w:p w14:paraId="5BEDEFBF" w14:textId="399808A4" w:rsidR="00C41281" w:rsidRPr="00BD1319" w:rsidRDefault="00C41281" w:rsidP="00C41281">
      <w:pPr>
        <w:tabs>
          <w:tab w:val="left" w:pos="-2268"/>
        </w:tabs>
        <w:suppressAutoHyphens/>
        <w:rPr>
          <w:rFonts w:cs="Arial"/>
          <w:spacing w:val="-3"/>
        </w:rPr>
      </w:pPr>
      <w:r w:rsidRPr="00BD1319">
        <w:rPr>
          <w:rFonts w:cs="Arial"/>
          <w:spacing w:val="-3"/>
        </w:rPr>
        <w:t>Asimismo, se debe realizar un análisis</w:t>
      </w:r>
      <w:r w:rsidRPr="00BD1319">
        <w:rPr>
          <w:spacing w:val="-3"/>
        </w:rPr>
        <w:t xml:space="preserve"> de los resultados obtenidos de la zonificación ambiental, señalando para el área de influencia de cada medio y para el área de influencia del proyecto, obra o actividad (zonificación ambiental final), la extensión en hectáreas </w:t>
      </w:r>
      <w:r w:rsidRPr="00BD1319">
        <w:rPr>
          <w:rFonts w:cs="Arial"/>
          <w:spacing w:val="-3"/>
        </w:rPr>
        <w:t>de cada categoría de sensibilidad ambiental y su participación porcentual con relación a la superficie total del área de influencia a la cual corresponde.</w:t>
      </w:r>
    </w:p>
    <w:p w14:paraId="2872A0DE" w14:textId="77777777" w:rsidR="00C41281" w:rsidRPr="00BD1319" w:rsidRDefault="00C41281" w:rsidP="00FA74AA">
      <w:pPr>
        <w:numPr>
          <w:ilvl w:val="12"/>
          <w:numId w:val="0"/>
        </w:numPr>
        <w:tabs>
          <w:tab w:val="left" w:pos="-2268"/>
        </w:tabs>
        <w:suppressAutoHyphens/>
        <w:rPr>
          <w:rFonts w:cs="Arial"/>
          <w:spacing w:val="-3"/>
        </w:rPr>
      </w:pPr>
    </w:p>
    <w:p w14:paraId="587AF9D6" w14:textId="0287D36E" w:rsidR="00FA74AA" w:rsidRPr="00BD1319" w:rsidRDefault="00FA74AA">
      <w:pPr>
        <w:numPr>
          <w:ilvl w:val="12"/>
          <w:numId w:val="0"/>
        </w:numPr>
        <w:tabs>
          <w:tab w:val="left" w:pos="-2268"/>
        </w:tabs>
        <w:suppressAutoHyphens/>
        <w:rPr>
          <w:spacing w:val="-3"/>
        </w:rPr>
      </w:pPr>
      <w:r w:rsidRPr="00BD1319">
        <w:rPr>
          <w:rFonts w:cs="Arial"/>
          <w:spacing w:val="-3"/>
        </w:rPr>
        <w:t xml:space="preserve">A continuación, se </w:t>
      </w:r>
      <w:r w:rsidR="00E44EAD" w:rsidRPr="00BD1319">
        <w:rPr>
          <w:rFonts w:cs="Arial"/>
          <w:spacing w:val="-3"/>
        </w:rPr>
        <w:t xml:space="preserve">señala </w:t>
      </w:r>
      <w:r w:rsidRPr="00BD1319">
        <w:rPr>
          <w:rFonts w:cs="Arial"/>
          <w:spacing w:val="-3"/>
        </w:rPr>
        <w:t>un listado de</w:t>
      </w:r>
      <w:r w:rsidRPr="00BD1319">
        <w:rPr>
          <w:spacing w:val="-3"/>
        </w:rPr>
        <w:t xml:space="preserve"> áreas </w:t>
      </w:r>
      <w:r w:rsidR="00E44EAD" w:rsidRPr="00BD1319">
        <w:rPr>
          <w:spacing w:val="-3"/>
        </w:rPr>
        <w:t xml:space="preserve">cuyas </w:t>
      </w:r>
      <w:r w:rsidRPr="00BD1319">
        <w:rPr>
          <w:spacing w:val="-3"/>
        </w:rPr>
        <w:t xml:space="preserve">características </w:t>
      </w:r>
      <w:r w:rsidR="00DC4B55" w:rsidRPr="00BD1319">
        <w:rPr>
          <w:spacing w:val="-3"/>
        </w:rPr>
        <w:t xml:space="preserve">ambientales </w:t>
      </w:r>
      <w:r w:rsidR="00D632DF" w:rsidRPr="00BD1319">
        <w:rPr>
          <w:spacing w:val="-3"/>
        </w:rPr>
        <w:t xml:space="preserve">y restricciones legales </w:t>
      </w:r>
      <w:r w:rsidR="00602E26" w:rsidRPr="00BD1319">
        <w:rPr>
          <w:spacing w:val="-3"/>
        </w:rPr>
        <w:t xml:space="preserve">pueden </w:t>
      </w:r>
      <w:r w:rsidR="00E44EAD" w:rsidRPr="00BD1319">
        <w:rPr>
          <w:spacing w:val="-3"/>
        </w:rPr>
        <w:t>conf</w:t>
      </w:r>
      <w:r w:rsidR="00602E26" w:rsidRPr="00BD1319">
        <w:rPr>
          <w:spacing w:val="-3"/>
        </w:rPr>
        <w:t xml:space="preserve">erirles </w:t>
      </w:r>
      <w:r w:rsidR="00DC4B55" w:rsidRPr="00BD1319">
        <w:rPr>
          <w:spacing w:val="-3"/>
        </w:rPr>
        <w:t>una fuerte sensibilidad</w:t>
      </w:r>
      <w:r w:rsidRPr="00BD1319">
        <w:rPr>
          <w:spacing w:val="-3"/>
        </w:rPr>
        <w:t xml:space="preserve">, </w:t>
      </w:r>
      <w:r w:rsidR="00E44EAD" w:rsidRPr="00BD1319">
        <w:rPr>
          <w:spacing w:val="-3"/>
        </w:rPr>
        <w:t xml:space="preserve">las cuales </w:t>
      </w:r>
      <w:r w:rsidRPr="00BD1319">
        <w:rPr>
          <w:rFonts w:cs="Arial"/>
          <w:spacing w:val="-3"/>
        </w:rPr>
        <w:t>deben</w:t>
      </w:r>
      <w:r w:rsidRPr="00BD1319">
        <w:rPr>
          <w:spacing w:val="-3"/>
        </w:rPr>
        <w:t xml:space="preserve"> </w:t>
      </w:r>
      <w:r w:rsidR="00DC4B55" w:rsidRPr="00BD1319">
        <w:rPr>
          <w:spacing w:val="-3"/>
        </w:rPr>
        <w:t xml:space="preserve">ser </w:t>
      </w:r>
      <w:r w:rsidR="00E44EAD" w:rsidRPr="00BD1319">
        <w:rPr>
          <w:spacing w:val="-3"/>
        </w:rPr>
        <w:t xml:space="preserve">delimitadas </w:t>
      </w:r>
      <w:r w:rsidR="007A7881" w:rsidRPr="00BD1319">
        <w:rPr>
          <w:spacing w:val="-3"/>
        </w:rPr>
        <w:t xml:space="preserve">y </w:t>
      </w:r>
      <w:r w:rsidR="00DC4B55" w:rsidRPr="00BD1319">
        <w:rPr>
          <w:spacing w:val="-3"/>
        </w:rPr>
        <w:t xml:space="preserve">estudiadas en profundidad </w:t>
      </w:r>
      <w:r w:rsidR="00DC4B55" w:rsidRPr="00BD1319">
        <w:rPr>
          <w:rFonts w:cs="Arial"/>
          <w:spacing w:val="-3"/>
        </w:rPr>
        <w:t xml:space="preserve">para </w:t>
      </w:r>
      <w:r w:rsidRPr="00BD1319">
        <w:rPr>
          <w:spacing w:val="-3"/>
        </w:rPr>
        <w:t>establecer la zonificación ambiental:</w:t>
      </w:r>
    </w:p>
    <w:p w14:paraId="00CF64C8" w14:textId="77777777" w:rsidR="00FA74AA" w:rsidRPr="00BD1319" w:rsidRDefault="00FA74AA">
      <w:pPr>
        <w:numPr>
          <w:ilvl w:val="12"/>
          <w:numId w:val="0"/>
        </w:numPr>
        <w:tabs>
          <w:tab w:val="left" w:pos="-2268"/>
        </w:tabs>
        <w:suppressAutoHyphens/>
        <w:rPr>
          <w:spacing w:val="-3"/>
        </w:rPr>
      </w:pPr>
    </w:p>
    <w:p w14:paraId="2F59FE8F" w14:textId="5BB44BEA" w:rsidR="00FA74AA" w:rsidRPr="00BD1319" w:rsidRDefault="0086126A" w:rsidP="00C86DA5">
      <w:pPr>
        <w:numPr>
          <w:ilvl w:val="0"/>
          <w:numId w:val="19"/>
        </w:numPr>
        <w:tabs>
          <w:tab w:val="left" w:pos="-2268"/>
        </w:tabs>
        <w:suppressAutoHyphens/>
        <w:ind w:left="567" w:hanging="567"/>
        <w:rPr>
          <w:spacing w:val="-3"/>
        </w:rPr>
      </w:pPr>
      <w:r w:rsidRPr="00BD1319">
        <w:rPr>
          <w:spacing w:val="-3"/>
        </w:rPr>
        <w:t>Áreas Ambientales Estratégicas</w:t>
      </w:r>
      <w:r w:rsidR="00FA74AA" w:rsidRPr="00BD1319">
        <w:rPr>
          <w:spacing w:val="-3"/>
        </w:rPr>
        <w:t xml:space="preserve"> (</w:t>
      </w:r>
      <w:r w:rsidRPr="00BD1319">
        <w:rPr>
          <w:spacing w:val="-3"/>
        </w:rPr>
        <w:t>AAE</w:t>
      </w:r>
      <w:r w:rsidR="00FA74AA" w:rsidRPr="00BD1319">
        <w:rPr>
          <w:spacing w:val="-3"/>
        </w:rPr>
        <w:t>)</w:t>
      </w:r>
      <w:r w:rsidR="007A7881" w:rsidRPr="00BD1319">
        <w:rPr>
          <w:spacing w:val="-3"/>
        </w:rPr>
        <w:t xml:space="preserve"> (</w:t>
      </w:r>
      <w:r w:rsidR="00393225" w:rsidRPr="00BD1319">
        <w:rPr>
          <w:spacing w:val="-3"/>
        </w:rPr>
        <w:t xml:space="preserve">ver </w:t>
      </w:r>
      <w:r w:rsidR="00393225" w:rsidRPr="00BD1319">
        <w:rPr>
          <w:spacing w:val="-3"/>
        </w:rPr>
        <w:fldChar w:fldCharType="begin"/>
      </w:r>
      <w:r w:rsidR="00393225" w:rsidRPr="00BD1319">
        <w:rPr>
          <w:spacing w:val="-3"/>
        </w:rPr>
        <w:instrText xml:space="preserve"> REF _Ref43383247 \h </w:instrText>
      </w:r>
      <w:r w:rsidR="006A4128" w:rsidRPr="00BD1319">
        <w:rPr>
          <w:spacing w:val="-3"/>
        </w:rPr>
        <w:instrText xml:space="preserve"> \* MERGEFORMAT </w:instrText>
      </w:r>
      <w:r w:rsidR="00393225" w:rsidRPr="00BD1319">
        <w:rPr>
          <w:spacing w:val="-3"/>
        </w:rPr>
      </w:r>
      <w:r w:rsidR="00393225" w:rsidRPr="00BD1319">
        <w:rPr>
          <w:spacing w:val="-3"/>
        </w:rPr>
        <w:fldChar w:fldCharType="separate"/>
      </w:r>
      <w:r w:rsidR="00296654" w:rsidRPr="00BD1319">
        <w:t>Tabla 27</w:t>
      </w:r>
      <w:r w:rsidR="00393225" w:rsidRPr="00BD1319">
        <w:rPr>
          <w:spacing w:val="-3"/>
        </w:rPr>
        <w:fldChar w:fldCharType="end"/>
      </w:r>
      <w:r w:rsidR="007A7881" w:rsidRPr="00BD1319">
        <w:rPr>
          <w:spacing w:val="-3"/>
        </w:rPr>
        <w:t>)</w:t>
      </w:r>
      <w:r w:rsidR="00FA74AA" w:rsidRPr="00BD1319">
        <w:rPr>
          <w:spacing w:val="-3"/>
        </w:rPr>
        <w:t>.</w:t>
      </w:r>
    </w:p>
    <w:p w14:paraId="2A878CBE" w14:textId="77777777" w:rsidR="00FA74AA" w:rsidRPr="00BD1319" w:rsidRDefault="00FA74AA">
      <w:pPr>
        <w:tabs>
          <w:tab w:val="left" w:pos="-2268"/>
        </w:tabs>
        <w:suppressAutoHyphens/>
        <w:rPr>
          <w:spacing w:val="-3"/>
        </w:rPr>
      </w:pPr>
    </w:p>
    <w:p w14:paraId="3BDD1FB2" w14:textId="08434334" w:rsidR="00234810" w:rsidRPr="00BD1319" w:rsidRDefault="00234810" w:rsidP="00234810">
      <w:pPr>
        <w:numPr>
          <w:ilvl w:val="0"/>
          <w:numId w:val="19"/>
        </w:numPr>
        <w:tabs>
          <w:tab w:val="left" w:pos="-2268"/>
        </w:tabs>
        <w:suppressAutoHyphens/>
        <w:ind w:left="567" w:hanging="567"/>
        <w:rPr>
          <w:rFonts w:cs="Arial"/>
          <w:spacing w:val="-3"/>
        </w:rPr>
      </w:pPr>
      <w:r w:rsidRPr="00BD1319">
        <w:rPr>
          <w:rFonts w:cs="Arial"/>
          <w:spacing w:val="-3"/>
        </w:rPr>
        <w:t>Áreas con reglamentación especial definida en los instrumentos de ordenamiento territorial y planificación ambiental del territorio (</w:t>
      </w:r>
      <w:r w:rsidR="00041844" w:rsidRPr="00BD1319">
        <w:rPr>
          <w:rFonts w:cs="Arial"/>
          <w:spacing w:val="-3"/>
        </w:rPr>
        <w:t>p. ej.</w:t>
      </w:r>
      <w:r w:rsidRPr="00BD1319">
        <w:rPr>
          <w:rFonts w:cs="Arial"/>
          <w:spacing w:val="-3"/>
        </w:rPr>
        <w:t xml:space="preserve"> POT, EOT, PBOT, </w:t>
      </w:r>
      <w:proofErr w:type="spellStart"/>
      <w:r w:rsidR="003C70CD" w:rsidRPr="00BD1319">
        <w:rPr>
          <w:rFonts w:cs="Arial"/>
          <w:spacing w:val="-3"/>
        </w:rPr>
        <w:t>Pomca</w:t>
      </w:r>
      <w:proofErr w:type="spellEnd"/>
      <w:r w:rsidRPr="00BD1319">
        <w:rPr>
          <w:rFonts w:cs="Arial"/>
          <w:spacing w:val="-3"/>
        </w:rPr>
        <w:t xml:space="preserve">, PORH, </w:t>
      </w:r>
      <w:proofErr w:type="spellStart"/>
      <w:r w:rsidR="00733FEA" w:rsidRPr="00BD1319">
        <w:rPr>
          <w:rFonts w:cs="Arial"/>
          <w:spacing w:val="-3"/>
        </w:rPr>
        <w:t>Pomiuac</w:t>
      </w:r>
      <w:proofErr w:type="spellEnd"/>
      <w:r w:rsidRPr="00BD1319">
        <w:rPr>
          <w:rFonts w:cs="Arial"/>
          <w:spacing w:val="-3"/>
        </w:rPr>
        <w:t>).</w:t>
      </w:r>
    </w:p>
    <w:p w14:paraId="2D15B799" w14:textId="77777777" w:rsidR="00234810" w:rsidRPr="00BD1319" w:rsidRDefault="00234810" w:rsidP="009420F5">
      <w:pPr>
        <w:tabs>
          <w:tab w:val="left" w:pos="-2268"/>
        </w:tabs>
        <w:suppressAutoHyphens/>
        <w:rPr>
          <w:spacing w:val="-3"/>
        </w:rPr>
      </w:pPr>
    </w:p>
    <w:p w14:paraId="5822EBEC" w14:textId="1775C689" w:rsidR="00FA74AA" w:rsidRPr="00BD1319" w:rsidRDefault="00FA74AA" w:rsidP="00C86DA5">
      <w:pPr>
        <w:numPr>
          <w:ilvl w:val="0"/>
          <w:numId w:val="19"/>
        </w:numPr>
        <w:tabs>
          <w:tab w:val="left" w:pos="-2268"/>
        </w:tabs>
        <w:suppressAutoHyphens/>
        <w:ind w:left="567" w:hanging="567"/>
        <w:rPr>
          <w:spacing w:val="-3"/>
        </w:rPr>
      </w:pPr>
      <w:r w:rsidRPr="00BD1319">
        <w:rPr>
          <w:spacing w:val="-3"/>
        </w:rPr>
        <w:t>Áreas degradadas (</w:t>
      </w:r>
      <w:r w:rsidR="00041844" w:rsidRPr="00BD1319">
        <w:rPr>
          <w:spacing w:val="-3"/>
        </w:rPr>
        <w:t>p. ej.</w:t>
      </w:r>
      <w:r w:rsidRPr="00BD1319">
        <w:rPr>
          <w:spacing w:val="-3"/>
        </w:rPr>
        <w:t xml:space="preserve"> por erosión, salinización o contaminación del suelo</w:t>
      </w:r>
      <w:r w:rsidRPr="00BD1319">
        <w:rPr>
          <w:rFonts w:cs="Arial"/>
          <w:spacing w:val="-3"/>
        </w:rPr>
        <w:t>), áreas</w:t>
      </w:r>
      <w:r w:rsidRPr="00BD1319">
        <w:rPr>
          <w:spacing w:val="-3"/>
        </w:rPr>
        <w:t xml:space="preserve"> en recuperación ambiental o en las que se prevé adelantar acciones de recuperación ambiental y, áreas con conflicto por uso del suelo.</w:t>
      </w:r>
    </w:p>
    <w:p w14:paraId="4EC1A692" w14:textId="77777777" w:rsidR="00FA74AA" w:rsidRPr="00BD1319" w:rsidRDefault="00FA74AA">
      <w:pPr>
        <w:tabs>
          <w:tab w:val="left" w:pos="-2268"/>
        </w:tabs>
        <w:suppressAutoHyphens/>
        <w:rPr>
          <w:spacing w:val="-3"/>
        </w:rPr>
      </w:pPr>
    </w:p>
    <w:p w14:paraId="76200B7F" w14:textId="77777777" w:rsidR="00FA74AA" w:rsidRPr="00BD1319" w:rsidRDefault="00FA74AA" w:rsidP="00C86DA5">
      <w:pPr>
        <w:numPr>
          <w:ilvl w:val="0"/>
          <w:numId w:val="19"/>
        </w:numPr>
        <w:tabs>
          <w:tab w:val="left" w:pos="-2268"/>
        </w:tabs>
        <w:suppressAutoHyphens/>
        <w:ind w:left="567" w:hanging="567"/>
        <w:rPr>
          <w:spacing w:val="-3"/>
        </w:rPr>
      </w:pPr>
      <w:r w:rsidRPr="00BD1319">
        <w:rPr>
          <w:spacing w:val="-3"/>
        </w:rPr>
        <w:t>Áreas susceptibles a eventos amenazantes de origen hidrometeorológico y geológico, como inundaciones, movimientos en masa, avenidas torrenciales, sismos, erupciones volcánicas, tsunamis, entre otros, en los ámbitos nacional, regional y local.</w:t>
      </w:r>
    </w:p>
    <w:p w14:paraId="46660CE2" w14:textId="77777777" w:rsidR="00FA74AA" w:rsidRPr="00BD1319" w:rsidRDefault="00FA74AA">
      <w:pPr>
        <w:tabs>
          <w:tab w:val="left" w:pos="-2268"/>
        </w:tabs>
        <w:suppressAutoHyphens/>
        <w:rPr>
          <w:spacing w:val="-3"/>
        </w:rPr>
      </w:pPr>
    </w:p>
    <w:p w14:paraId="54091CC8" w14:textId="77777777" w:rsidR="00FA74AA" w:rsidRPr="00BD1319" w:rsidRDefault="00FA74AA" w:rsidP="00C86DA5">
      <w:pPr>
        <w:numPr>
          <w:ilvl w:val="0"/>
          <w:numId w:val="19"/>
        </w:numPr>
        <w:tabs>
          <w:tab w:val="left" w:pos="-2268"/>
        </w:tabs>
        <w:suppressAutoHyphens/>
        <w:ind w:left="567" w:hanging="567"/>
        <w:rPr>
          <w:spacing w:val="-3"/>
        </w:rPr>
      </w:pPr>
      <w:r w:rsidRPr="00BD1319">
        <w:rPr>
          <w:spacing w:val="-3"/>
        </w:rPr>
        <w:t>Áreas destinadas a la producción económica agropecuaria, forestal, pesquera, acuícola, minera, entre otras.</w:t>
      </w:r>
    </w:p>
    <w:p w14:paraId="7CA206F5" w14:textId="77777777" w:rsidR="00FA74AA" w:rsidRPr="00BD1319" w:rsidRDefault="00FA74AA">
      <w:pPr>
        <w:tabs>
          <w:tab w:val="left" w:pos="-2268"/>
        </w:tabs>
        <w:suppressAutoHyphens/>
        <w:rPr>
          <w:spacing w:val="-3"/>
        </w:rPr>
      </w:pPr>
    </w:p>
    <w:p w14:paraId="6EF1F131" w14:textId="154F08F9" w:rsidR="00FA74AA" w:rsidRPr="00BD1319" w:rsidRDefault="00FA74AA" w:rsidP="00C86DA5">
      <w:pPr>
        <w:numPr>
          <w:ilvl w:val="0"/>
          <w:numId w:val="19"/>
        </w:numPr>
        <w:tabs>
          <w:tab w:val="left" w:pos="-2268"/>
        </w:tabs>
        <w:suppressAutoHyphens/>
        <w:ind w:left="567" w:hanging="567"/>
        <w:rPr>
          <w:spacing w:val="-3"/>
        </w:rPr>
      </w:pPr>
      <w:r w:rsidRPr="00BD1319">
        <w:rPr>
          <w:spacing w:val="-3"/>
        </w:rPr>
        <w:t>Áreas de importancia social tales como asentamientos humanos</w:t>
      </w:r>
      <w:r w:rsidR="00FB6981" w:rsidRPr="00BD1319">
        <w:rPr>
          <w:spacing w:val="-3"/>
        </w:rPr>
        <w:t>,</w:t>
      </w:r>
      <w:r w:rsidRPr="00BD1319">
        <w:rPr>
          <w:spacing w:val="-3"/>
        </w:rPr>
        <w:t xml:space="preserve"> y áreas con infraestructura física y social y de importancia histórica cultural</w:t>
      </w:r>
      <w:r w:rsidRPr="00BD1319">
        <w:rPr>
          <w:rFonts w:cs="Arial"/>
          <w:spacing w:val="-3"/>
        </w:rPr>
        <w:t xml:space="preserve"> o religiosa</w:t>
      </w:r>
      <w:r w:rsidRPr="00BD1319">
        <w:rPr>
          <w:spacing w:val="-3"/>
        </w:rPr>
        <w:t>.</w:t>
      </w:r>
    </w:p>
    <w:p w14:paraId="52BEDF4F" w14:textId="77777777" w:rsidR="00FA74AA" w:rsidRPr="00BD1319" w:rsidRDefault="00FA74AA" w:rsidP="00C86DA5">
      <w:pPr>
        <w:rPr>
          <w:spacing w:val="-3"/>
        </w:rPr>
      </w:pPr>
    </w:p>
    <w:p w14:paraId="7F89B2EF" w14:textId="75101F47" w:rsidR="00FA74AA" w:rsidRPr="00BD1319" w:rsidRDefault="00FA74AA" w:rsidP="00456AB1">
      <w:pPr>
        <w:numPr>
          <w:ilvl w:val="0"/>
          <w:numId w:val="19"/>
        </w:numPr>
        <w:tabs>
          <w:tab w:val="left" w:pos="-2268"/>
        </w:tabs>
        <w:suppressAutoHyphens/>
        <w:ind w:left="567" w:hanging="567"/>
        <w:rPr>
          <w:rFonts w:cs="Arial"/>
          <w:spacing w:val="-3"/>
        </w:rPr>
      </w:pPr>
      <w:r w:rsidRPr="00BD1319">
        <w:rPr>
          <w:rFonts w:cs="Arial"/>
          <w:spacing w:val="-3"/>
        </w:rPr>
        <w:t>Áreas</w:t>
      </w:r>
      <w:r w:rsidRPr="00BD1319">
        <w:rPr>
          <w:spacing w:val="-3"/>
        </w:rPr>
        <w:t xml:space="preserve"> de </w:t>
      </w:r>
      <w:r w:rsidRPr="00BD1319">
        <w:rPr>
          <w:rFonts w:cs="Arial"/>
          <w:spacing w:val="-3"/>
        </w:rPr>
        <w:t xml:space="preserve">inversión estatal </w:t>
      </w:r>
      <w:r w:rsidRPr="00BD1319">
        <w:rPr>
          <w:spacing w:val="-3"/>
        </w:rPr>
        <w:t xml:space="preserve">para </w:t>
      </w:r>
      <w:r w:rsidRPr="00BD1319">
        <w:rPr>
          <w:rFonts w:cs="Arial"/>
          <w:spacing w:val="-3"/>
        </w:rPr>
        <w:t>conservación y protección de microcuencas, ya sea adquiridas para tal fin o con fines de reforestación o protección de suelos.</w:t>
      </w:r>
    </w:p>
    <w:p w14:paraId="563378B0" w14:textId="77777777" w:rsidR="00393225" w:rsidRPr="00BD1319" w:rsidRDefault="00393225" w:rsidP="00C86DA5">
      <w:pPr>
        <w:tabs>
          <w:tab w:val="left" w:pos="-2268"/>
        </w:tabs>
        <w:suppressAutoHyphens/>
        <w:rPr>
          <w:rFonts w:cs="Arial"/>
          <w:spacing w:val="-3"/>
        </w:rPr>
      </w:pPr>
    </w:p>
    <w:p w14:paraId="56421740" w14:textId="72C17C4D" w:rsidR="00FA74AA" w:rsidRPr="00BD1319" w:rsidRDefault="00FA74AA" w:rsidP="00456AB1">
      <w:pPr>
        <w:numPr>
          <w:ilvl w:val="0"/>
          <w:numId w:val="19"/>
        </w:numPr>
        <w:tabs>
          <w:tab w:val="left" w:pos="-2268"/>
        </w:tabs>
        <w:suppressAutoHyphens/>
        <w:ind w:left="567" w:hanging="567"/>
        <w:rPr>
          <w:rFonts w:cs="Arial"/>
          <w:spacing w:val="-3"/>
        </w:rPr>
      </w:pPr>
      <w:r w:rsidRPr="00BD1319">
        <w:rPr>
          <w:rFonts w:cs="Arial"/>
          <w:spacing w:val="-3"/>
        </w:rPr>
        <w:t xml:space="preserve">Distritos de </w:t>
      </w:r>
      <w:r w:rsidR="00B66978" w:rsidRPr="00BD1319">
        <w:rPr>
          <w:rFonts w:cs="Arial"/>
          <w:spacing w:val="-3"/>
        </w:rPr>
        <w:t>r</w:t>
      </w:r>
      <w:r w:rsidRPr="00BD1319">
        <w:rPr>
          <w:rFonts w:cs="Arial"/>
          <w:spacing w:val="-3"/>
        </w:rPr>
        <w:t>iego.</w:t>
      </w:r>
    </w:p>
    <w:p w14:paraId="4082CB6A" w14:textId="77777777" w:rsidR="00FA74AA" w:rsidRPr="00BD1319" w:rsidRDefault="00FA74AA" w:rsidP="00FA74AA">
      <w:pPr>
        <w:numPr>
          <w:ilvl w:val="12"/>
          <w:numId w:val="0"/>
        </w:numPr>
        <w:tabs>
          <w:tab w:val="left" w:pos="-2268"/>
        </w:tabs>
        <w:suppressAutoHyphens/>
        <w:rPr>
          <w:rFonts w:cs="Arial"/>
          <w:spacing w:val="-3"/>
        </w:rPr>
      </w:pPr>
    </w:p>
    <w:p w14:paraId="74C28130" w14:textId="119FCE4B" w:rsidR="00FA74AA" w:rsidRPr="00BD1319" w:rsidRDefault="00C65E6C" w:rsidP="007F1776">
      <w:pPr>
        <w:numPr>
          <w:ilvl w:val="12"/>
          <w:numId w:val="0"/>
        </w:numPr>
        <w:tabs>
          <w:tab w:val="left" w:pos="-2268"/>
        </w:tabs>
        <w:suppressAutoHyphens/>
        <w:rPr>
          <w:rFonts w:cs="Arial"/>
          <w:spacing w:val="-3"/>
        </w:rPr>
      </w:pPr>
      <w:r w:rsidRPr="00BD1319">
        <w:rPr>
          <w:rFonts w:cs="Arial"/>
          <w:spacing w:val="-3"/>
        </w:rPr>
        <w:t xml:space="preserve">Asimismo, </w:t>
      </w:r>
      <w:r w:rsidR="00FA74AA" w:rsidRPr="00BD1319">
        <w:rPr>
          <w:rFonts w:cs="Arial"/>
          <w:spacing w:val="-3"/>
        </w:rPr>
        <w:t>a partir del</w:t>
      </w:r>
      <w:r w:rsidR="00BA5F4E" w:rsidRPr="00BD1319">
        <w:rPr>
          <w:rFonts w:cs="Arial"/>
          <w:spacing w:val="-3"/>
        </w:rPr>
        <w:t xml:space="preserve"> </w:t>
      </w:r>
      <w:r w:rsidR="00FA74AA" w:rsidRPr="00BD1319">
        <w:rPr>
          <w:rFonts w:cs="Arial"/>
          <w:spacing w:val="-3"/>
        </w:rPr>
        <w:t>m</w:t>
      </w:r>
      <w:r w:rsidR="00BA5F4E" w:rsidRPr="00BD1319">
        <w:rPr>
          <w:rFonts w:cs="Arial"/>
          <w:spacing w:val="-3"/>
        </w:rPr>
        <w:t xml:space="preserve">étodo </w:t>
      </w:r>
      <w:r w:rsidR="00FA74AA" w:rsidRPr="00BD1319">
        <w:rPr>
          <w:rFonts w:cs="Arial"/>
          <w:spacing w:val="-3"/>
        </w:rPr>
        <w:t xml:space="preserve">y </w:t>
      </w:r>
      <w:r w:rsidR="00CC40C3" w:rsidRPr="00BD1319">
        <w:rPr>
          <w:rFonts w:cs="Arial"/>
          <w:spacing w:val="-3"/>
        </w:rPr>
        <w:t xml:space="preserve">de </w:t>
      </w:r>
      <w:r w:rsidR="00BA5F4E" w:rsidRPr="00BD1319">
        <w:rPr>
          <w:rFonts w:cs="Arial"/>
          <w:spacing w:val="-3"/>
        </w:rPr>
        <w:t xml:space="preserve">los </w:t>
      </w:r>
      <w:r w:rsidR="00FA74AA" w:rsidRPr="00BD1319">
        <w:rPr>
          <w:rFonts w:cs="Arial"/>
          <w:spacing w:val="-3"/>
        </w:rPr>
        <w:t>criterios elegidos para la construcción de la zonificación ambiental</w:t>
      </w:r>
      <w:r w:rsidRPr="00BD1319">
        <w:rPr>
          <w:rFonts w:cs="Arial"/>
          <w:spacing w:val="-3"/>
        </w:rPr>
        <w:t xml:space="preserve"> en general y de </w:t>
      </w:r>
      <w:r w:rsidRPr="00BD1319">
        <w:rPr>
          <w:spacing w:val="-3"/>
        </w:rPr>
        <w:t>cada uno de los medios</w:t>
      </w:r>
      <w:r w:rsidR="00FA74AA" w:rsidRPr="00BD1319">
        <w:rPr>
          <w:rFonts w:cs="Arial"/>
          <w:spacing w:val="-3"/>
        </w:rPr>
        <w:t xml:space="preserve">, se </w:t>
      </w:r>
      <w:r w:rsidR="00103345" w:rsidRPr="00BD1319">
        <w:rPr>
          <w:rFonts w:cs="Arial"/>
          <w:spacing w:val="-3"/>
        </w:rPr>
        <w:t>debe</w:t>
      </w:r>
      <w:r w:rsidR="00182386" w:rsidRPr="00BD1319">
        <w:rPr>
          <w:rFonts w:cs="Arial"/>
          <w:spacing w:val="-3"/>
        </w:rPr>
        <w:t>n</w:t>
      </w:r>
      <w:r w:rsidR="00FA74AA" w:rsidRPr="00BD1319">
        <w:rPr>
          <w:rFonts w:cs="Arial"/>
          <w:spacing w:val="-3"/>
        </w:rPr>
        <w:t xml:space="preserve"> tener en cuenta por lo menos los siguientes </w:t>
      </w:r>
      <w:r w:rsidR="007A7881" w:rsidRPr="00BD1319">
        <w:rPr>
          <w:rFonts w:cs="Arial"/>
          <w:spacing w:val="-3"/>
        </w:rPr>
        <w:t>elementos</w:t>
      </w:r>
      <w:r w:rsidR="00FA74AA" w:rsidRPr="00BD1319">
        <w:rPr>
          <w:rFonts w:cs="Arial"/>
          <w:spacing w:val="-3"/>
        </w:rPr>
        <w:t>, según aplique:</w:t>
      </w:r>
    </w:p>
    <w:p w14:paraId="3021D527" w14:textId="3460A15B" w:rsidR="00FA74AA" w:rsidRPr="00BD1319" w:rsidRDefault="00FA74AA" w:rsidP="00FA74AA">
      <w:pPr>
        <w:numPr>
          <w:ilvl w:val="12"/>
          <w:numId w:val="0"/>
        </w:numPr>
        <w:tabs>
          <w:tab w:val="left" w:pos="-2268"/>
        </w:tabs>
        <w:suppressAutoHyphens/>
        <w:rPr>
          <w:rFonts w:cs="Arial"/>
          <w:spacing w:val="-3"/>
        </w:rPr>
      </w:pPr>
    </w:p>
    <w:p w14:paraId="344109A2" w14:textId="702A7E17" w:rsidR="00FA74AA" w:rsidRPr="00BD1319" w:rsidRDefault="00182386" w:rsidP="009420F5">
      <w:pPr>
        <w:numPr>
          <w:ilvl w:val="0"/>
          <w:numId w:val="19"/>
        </w:numPr>
        <w:tabs>
          <w:tab w:val="left" w:pos="-2268"/>
        </w:tabs>
        <w:suppressAutoHyphens/>
        <w:ind w:left="567" w:hanging="567"/>
        <w:rPr>
          <w:rFonts w:cs="Arial"/>
          <w:spacing w:val="-3"/>
        </w:rPr>
      </w:pPr>
      <w:bookmarkStart w:id="3056" w:name="_Toc32847439"/>
      <w:bookmarkStart w:id="3057" w:name="_Toc42710681"/>
      <w:r w:rsidRPr="00BD1319">
        <w:rPr>
          <w:rFonts w:cs="Arial"/>
          <w:spacing w:val="-3"/>
        </w:rPr>
        <w:t xml:space="preserve">Medio </w:t>
      </w:r>
      <w:r w:rsidR="00FB6981" w:rsidRPr="00BD1319">
        <w:rPr>
          <w:rFonts w:cs="Arial"/>
          <w:spacing w:val="-3"/>
        </w:rPr>
        <w:t>a</w:t>
      </w:r>
      <w:r w:rsidRPr="00BD1319">
        <w:rPr>
          <w:rFonts w:cs="Arial"/>
          <w:spacing w:val="-3"/>
        </w:rPr>
        <w:t>biótico</w:t>
      </w:r>
      <w:bookmarkEnd w:id="3056"/>
      <w:bookmarkEnd w:id="3057"/>
      <w:r w:rsidRPr="00BD1319">
        <w:rPr>
          <w:rFonts w:cs="Arial"/>
          <w:spacing w:val="-3"/>
        </w:rPr>
        <w:t>.</w:t>
      </w:r>
    </w:p>
    <w:p w14:paraId="3E1B4CAA" w14:textId="77777777" w:rsidR="00FA74AA" w:rsidRPr="00BD1319" w:rsidRDefault="00FA74AA" w:rsidP="00FA74AA">
      <w:pPr>
        <w:numPr>
          <w:ilvl w:val="12"/>
          <w:numId w:val="0"/>
        </w:numPr>
        <w:tabs>
          <w:tab w:val="left" w:pos="-2268"/>
        </w:tabs>
        <w:suppressAutoHyphens/>
        <w:rPr>
          <w:rFonts w:cs="Arial"/>
          <w:spacing w:val="-3"/>
        </w:rPr>
      </w:pPr>
    </w:p>
    <w:p w14:paraId="39D387E3" w14:textId="5B5BD42E" w:rsidR="00FA74AA" w:rsidRPr="00BD1319" w:rsidRDefault="00FA74AA" w:rsidP="009420F5">
      <w:pPr>
        <w:numPr>
          <w:ilvl w:val="1"/>
          <w:numId w:val="573"/>
        </w:numPr>
        <w:tabs>
          <w:tab w:val="left" w:pos="-2268"/>
        </w:tabs>
        <w:suppressAutoHyphens/>
        <w:ind w:left="1134" w:hanging="567"/>
        <w:rPr>
          <w:rFonts w:cs="Arial"/>
          <w:spacing w:val="-3"/>
        </w:rPr>
      </w:pPr>
      <w:r w:rsidRPr="00BD1319">
        <w:rPr>
          <w:rFonts w:cs="Arial"/>
          <w:spacing w:val="-3"/>
        </w:rPr>
        <w:t>Geotécnica</w:t>
      </w:r>
      <w:r w:rsidR="009D3C76" w:rsidRPr="00BD1319">
        <w:rPr>
          <w:rFonts w:cs="Arial"/>
          <w:spacing w:val="-3"/>
        </w:rPr>
        <w:t>.</w:t>
      </w:r>
      <w:r w:rsidR="00393225" w:rsidRPr="00BD1319">
        <w:rPr>
          <w:rFonts w:cs="Arial"/>
          <w:spacing w:val="-3"/>
        </w:rPr>
        <w:t xml:space="preserve"> </w:t>
      </w:r>
      <w:r w:rsidR="009D3C76" w:rsidRPr="00BD1319">
        <w:rPr>
          <w:rFonts w:cs="Arial"/>
          <w:spacing w:val="-3"/>
        </w:rPr>
        <w:t>E</w:t>
      </w:r>
      <w:r w:rsidRPr="00BD1319">
        <w:rPr>
          <w:rFonts w:cs="Arial"/>
          <w:spacing w:val="-3"/>
        </w:rPr>
        <w:t xml:space="preserve">l </w:t>
      </w:r>
      <w:r w:rsidR="009D3C76" w:rsidRPr="00BD1319">
        <w:rPr>
          <w:rFonts w:cs="Arial"/>
          <w:spacing w:val="-3"/>
        </w:rPr>
        <w:t xml:space="preserve">grado </w:t>
      </w:r>
      <w:r w:rsidRPr="00BD1319">
        <w:rPr>
          <w:rFonts w:cs="Arial"/>
          <w:spacing w:val="-3"/>
        </w:rPr>
        <w:t xml:space="preserve">de sensibilidad ambiental </w:t>
      </w:r>
      <w:r w:rsidR="009D3C76" w:rsidRPr="00BD1319">
        <w:rPr>
          <w:rFonts w:cs="Arial"/>
          <w:spacing w:val="-3"/>
        </w:rPr>
        <w:t xml:space="preserve">está asociado </w:t>
      </w:r>
      <w:r w:rsidRPr="00BD1319">
        <w:rPr>
          <w:rFonts w:cs="Arial"/>
          <w:spacing w:val="-3"/>
        </w:rPr>
        <w:t>a movimientos en masa</w:t>
      </w:r>
      <w:r w:rsidR="009D3C76" w:rsidRPr="00BD1319">
        <w:rPr>
          <w:rFonts w:cs="Arial"/>
          <w:spacing w:val="-3"/>
        </w:rPr>
        <w:t xml:space="preserve"> y </w:t>
      </w:r>
      <w:r w:rsidRPr="00BD1319">
        <w:rPr>
          <w:rFonts w:cs="Arial"/>
          <w:spacing w:val="-3"/>
        </w:rPr>
        <w:t>a la potencialización de fenómenos erosivos, como consecuencia de la dinámica e interacción de variables físicas tales como pendiente, geomorfología, sismicidad, hidrología, litología, entre otras, con agentes naturales y antrópicos.</w:t>
      </w:r>
    </w:p>
    <w:p w14:paraId="0310D05B" w14:textId="77777777" w:rsidR="00FA74AA" w:rsidRPr="00BD1319" w:rsidRDefault="00FA74AA" w:rsidP="00FA74AA">
      <w:pPr>
        <w:tabs>
          <w:tab w:val="left" w:pos="-2268"/>
        </w:tabs>
        <w:suppressAutoHyphens/>
        <w:rPr>
          <w:rFonts w:cs="Arial"/>
          <w:spacing w:val="-3"/>
        </w:rPr>
      </w:pPr>
    </w:p>
    <w:p w14:paraId="44CC7D9B" w14:textId="75E5546E" w:rsidR="00FA74AA" w:rsidRPr="00BD1319" w:rsidRDefault="009D3C76" w:rsidP="009420F5">
      <w:pPr>
        <w:numPr>
          <w:ilvl w:val="1"/>
          <w:numId w:val="573"/>
        </w:numPr>
        <w:tabs>
          <w:tab w:val="left" w:pos="-2268"/>
        </w:tabs>
        <w:suppressAutoHyphens/>
        <w:ind w:left="1134" w:hanging="567"/>
        <w:rPr>
          <w:rFonts w:cs="Arial"/>
          <w:spacing w:val="-3"/>
        </w:rPr>
      </w:pPr>
      <w:r w:rsidRPr="00BD1319">
        <w:rPr>
          <w:rFonts w:cs="Arial"/>
          <w:spacing w:val="-3"/>
        </w:rPr>
        <w:t xml:space="preserve">Edafológico. </w:t>
      </w:r>
      <w:r w:rsidR="00C65E6C" w:rsidRPr="00BD1319">
        <w:rPr>
          <w:rFonts w:cs="Arial"/>
          <w:spacing w:val="-3"/>
        </w:rPr>
        <w:t>T</w:t>
      </w:r>
      <w:r w:rsidR="00FA74AA" w:rsidRPr="00BD1319">
        <w:rPr>
          <w:rFonts w:cs="Arial"/>
          <w:spacing w:val="-3"/>
        </w:rPr>
        <w:t xml:space="preserve">ener en cuenta </w:t>
      </w:r>
      <w:r w:rsidRPr="00BD1319">
        <w:rPr>
          <w:rFonts w:cs="Arial"/>
          <w:spacing w:val="-3"/>
        </w:rPr>
        <w:t>la susceptibilidad del suelo y sus servicios ecosistémicos de acuerdo con sus características físicas, químicas y biológicas. Los mapas de capacidad de uso de las tierras pueden dar una aproximación inicial a la determinación de la susceptibilidad del suelo</w:t>
      </w:r>
      <w:r w:rsidR="00FA74AA" w:rsidRPr="00BD1319">
        <w:rPr>
          <w:rFonts w:cs="Arial"/>
          <w:spacing w:val="-3"/>
        </w:rPr>
        <w:t>.</w:t>
      </w:r>
    </w:p>
    <w:p w14:paraId="73FB7BCC" w14:textId="77777777" w:rsidR="00FA74AA" w:rsidRPr="00BD1319" w:rsidRDefault="00FA74AA" w:rsidP="00FA74AA">
      <w:pPr>
        <w:tabs>
          <w:tab w:val="left" w:pos="-2268"/>
        </w:tabs>
        <w:suppressAutoHyphens/>
        <w:rPr>
          <w:rFonts w:cs="Arial"/>
          <w:spacing w:val="-3"/>
        </w:rPr>
      </w:pPr>
    </w:p>
    <w:p w14:paraId="46D0B9B1" w14:textId="200773A0" w:rsidR="00FA74AA" w:rsidRPr="00BD1319" w:rsidRDefault="00FA74AA" w:rsidP="009420F5">
      <w:pPr>
        <w:numPr>
          <w:ilvl w:val="1"/>
          <w:numId w:val="573"/>
        </w:numPr>
        <w:tabs>
          <w:tab w:val="left" w:pos="-2268"/>
        </w:tabs>
        <w:suppressAutoHyphens/>
        <w:ind w:left="1134" w:hanging="567"/>
        <w:rPr>
          <w:rFonts w:cs="Arial"/>
          <w:spacing w:val="-3"/>
        </w:rPr>
      </w:pPr>
      <w:r w:rsidRPr="00BD1319">
        <w:rPr>
          <w:rFonts w:cs="Arial"/>
          <w:spacing w:val="-3"/>
        </w:rPr>
        <w:t>Hidrol</w:t>
      </w:r>
      <w:r w:rsidR="009D3C76" w:rsidRPr="00BD1319">
        <w:rPr>
          <w:rFonts w:cs="Arial"/>
          <w:spacing w:val="-3"/>
        </w:rPr>
        <w:t>ógico.</w:t>
      </w:r>
      <w:r w:rsidR="00393225" w:rsidRPr="00BD1319">
        <w:rPr>
          <w:rFonts w:cs="Arial"/>
          <w:spacing w:val="-3"/>
        </w:rPr>
        <w:t xml:space="preserve"> </w:t>
      </w:r>
      <w:r w:rsidR="009D3C76" w:rsidRPr="00BD1319">
        <w:rPr>
          <w:rFonts w:cs="Arial"/>
          <w:spacing w:val="-3"/>
        </w:rPr>
        <w:t xml:space="preserve">La sensibilidad ambiental de los cuerpos de agua debe ser establecida </w:t>
      </w:r>
      <w:r w:rsidR="00C65E6C" w:rsidRPr="00BD1319">
        <w:rPr>
          <w:rFonts w:cs="Arial"/>
          <w:spacing w:val="-3"/>
        </w:rPr>
        <w:t xml:space="preserve">incorporando al análisis </w:t>
      </w:r>
      <w:r w:rsidRPr="00BD1319">
        <w:rPr>
          <w:rFonts w:cs="Arial"/>
          <w:spacing w:val="-3"/>
        </w:rPr>
        <w:t xml:space="preserve">estimaciones de oferta hídrica disponible neta y </w:t>
      </w:r>
      <w:r w:rsidR="009D3C76" w:rsidRPr="00BD1319">
        <w:rPr>
          <w:rFonts w:cs="Arial"/>
          <w:spacing w:val="-3"/>
        </w:rPr>
        <w:t xml:space="preserve">de </w:t>
      </w:r>
      <w:r w:rsidRPr="00BD1319">
        <w:rPr>
          <w:rFonts w:cs="Arial"/>
          <w:spacing w:val="-3"/>
        </w:rPr>
        <w:t xml:space="preserve">demanda del recurso en el área de influencia del </w:t>
      </w:r>
      <w:r w:rsidR="009D3C76" w:rsidRPr="00BD1319">
        <w:rPr>
          <w:rFonts w:cs="Arial"/>
          <w:spacing w:val="-3"/>
        </w:rPr>
        <w:t>componente</w:t>
      </w:r>
      <w:r w:rsidRPr="00BD1319">
        <w:rPr>
          <w:rFonts w:cs="Arial"/>
          <w:spacing w:val="-3"/>
        </w:rPr>
        <w:t xml:space="preserve">, haciendo uso de metodologías establecidas por el </w:t>
      </w:r>
      <w:proofErr w:type="spellStart"/>
      <w:r w:rsidR="00A92356" w:rsidRPr="00BD1319">
        <w:rPr>
          <w:rFonts w:cs="Arial"/>
          <w:spacing w:val="-3"/>
        </w:rPr>
        <w:t>Ideam</w:t>
      </w:r>
      <w:proofErr w:type="spellEnd"/>
      <w:r w:rsidR="009D3C76" w:rsidRPr="00BD1319">
        <w:rPr>
          <w:rFonts w:cs="Arial"/>
          <w:spacing w:val="-3"/>
        </w:rPr>
        <w:t xml:space="preserve"> (</w:t>
      </w:r>
      <w:r w:rsidR="00041844" w:rsidRPr="00BD1319">
        <w:rPr>
          <w:rFonts w:cs="Arial"/>
          <w:spacing w:val="-3"/>
        </w:rPr>
        <w:t>p. ej.</w:t>
      </w:r>
      <w:r w:rsidR="009D3C76" w:rsidRPr="00BD1319">
        <w:rPr>
          <w:rFonts w:cs="Arial"/>
          <w:spacing w:val="-3"/>
        </w:rPr>
        <w:t xml:space="preserve"> </w:t>
      </w:r>
      <w:r w:rsidRPr="00BD1319">
        <w:rPr>
          <w:rFonts w:cs="Arial"/>
          <w:spacing w:val="-3"/>
        </w:rPr>
        <w:t>el índice de escasez</w:t>
      </w:r>
      <w:r w:rsidRPr="00BD1319">
        <w:rPr>
          <w:rFonts w:cs="Arial"/>
          <w:spacing w:val="-3"/>
          <w:vertAlign w:val="superscript"/>
        </w:rPr>
        <w:footnoteReference w:id="174"/>
      </w:r>
      <w:r w:rsidR="009D3C76" w:rsidRPr="00BD1319">
        <w:rPr>
          <w:rFonts w:cs="Arial"/>
          <w:spacing w:val="-3"/>
        </w:rPr>
        <w:t>)</w:t>
      </w:r>
      <w:r w:rsidR="00734D45" w:rsidRPr="00BD1319">
        <w:rPr>
          <w:rFonts w:cs="Arial"/>
          <w:spacing w:val="-3"/>
        </w:rPr>
        <w:t>, y c</w:t>
      </w:r>
      <w:r w:rsidR="009D3C76" w:rsidRPr="00BD1319">
        <w:rPr>
          <w:rFonts w:cs="Arial"/>
          <w:spacing w:val="-3"/>
        </w:rPr>
        <w:t>onsiderar</w:t>
      </w:r>
      <w:r w:rsidR="00734D45" w:rsidRPr="00BD1319">
        <w:rPr>
          <w:rFonts w:cs="Arial"/>
          <w:spacing w:val="-3"/>
        </w:rPr>
        <w:t>,</w:t>
      </w:r>
      <w:r w:rsidR="009D3C76" w:rsidRPr="00BD1319">
        <w:rPr>
          <w:rFonts w:cs="Arial"/>
          <w:spacing w:val="-3"/>
        </w:rPr>
        <w:t xml:space="preserve"> la huella de inundación de los cuerpos de agua sujetos a afectación. </w:t>
      </w:r>
    </w:p>
    <w:p w14:paraId="4AACB074" w14:textId="77777777" w:rsidR="00FA74AA" w:rsidRPr="00BD1319" w:rsidRDefault="00FA74AA" w:rsidP="00FA74AA">
      <w:pPr>
        <w:tabs>
          <w:tab w:val="left" w:pos="-2268"/>
        </w:tabs>
        <w:suppressAutoHyphens/>
        <w:rPr>
          <w:rFonts w:cs="Arial"/>
          <w:spacing w:val="-3"/>
        </w:rPr>
      </w:pPr>
    </w:p>
    <w:p w14:paraId="61AEA350" w14:textId="7934151F" w:rsidR="00FA74AA" w:rsidRPr="00BD1319" w:rsidRDefault="00FA74AA" w:rsidP="009420F5">
      <w:pPr>
        <w:numPr>
          <w:ilvl w:val="1"/>
          <w:numId w:val="573"/>
        </w:numPr>
        <w:tabs>
          <w:tab w:val="left" w:pos="-2268"/>
        </w:tabs>
        <w:suppressAutoHyphens/>
        <w:ind w:left="1134" w:hanging="567"/>
        <w:rPr>
          <w:rFonts w:cs="Arial"/>
          <w:spacing w:val="-3"/>
        </w:rPr>
      </w:pPr>
      <w:r w:rsidRPr="00BD1319">
        <w:rPr>
          <w:rFonts w:cs="Arial"/>
          <w:spacing w:val="-3"/>
        </w:rPr>
        <w:lastRenderedPageBreak/>
        <w:t>Hidrogeología</w:t>
      </w:r>
      <w:r w:rsidR="00734D45" w:rsidRPr="00BD1319">
        <w:rPr>
          <w:rFonts w:cs="Arial"/>
          <w:spacing w:val="-3"/>
        </w:rPr>
        <w:t>.</w:t>
      </w:r>
      <w:r w:rsidR="00393225" w:rsidRPr="00BD1319">
        <w:rPr>
          <w:rFonts w:cs="Arial"/>
          <w:spacing w:val="-3"/>
        </w:rPr>
        <w:t xml:space="preserve"> </w:t>
      </w:r>
      <w:r w:rsidR="00583EE1" w:rsidRPr="00BD1319">
        <w:rPr>
          <w:rFonts w:cs="Arial"/>
          <w:spacing w:val="-3"/>
        </w:rPr>
        <w:t>L</w:t>
      </w:r>
      <w:r w:rsidRPr="00BD1319">
        <w:rPr>
          <w:rFonts w:cs="Arial"/>
          <w:spacing w:val="-3"/>
        </w:rPr>
        <w:t xml:space="preserve">os grados de sensibilidad ambiental </w:t>
      </w:r>
      <w:r w:rsidR="00C65E6C" w:rsidRPr="00BD1319">
        <w:rPr>
          <w:rFonts w:cs="Arial"/>
          <w:spacing w:val="-3"/>
        </w:rPr>
        <w:t xml:space="preserve">están relacionados con </w:t>
      </w:r>
      <w:r w:rsidRPr="00BD1319">
        <w:rPr>
          <w:rFonts w:cs="Arial"/>
          <w:spacing w:val="-3"/>
        </w:rPr>
        <w:t>características físicas como porosidad, permeabilidad, litología y capacidad.</w:t>
      </w:r>
    </w:p>
    <w:p w14:paraId="03BC0FB4" w14:textId="77777777" w:rsidR="00FA74AA" w:rsidRPr="00BD1319" w:rsidRDefault="00FA74AA" w:rsidP="00FA74AA">
      <w:pPr>
        <w:tabs>
          <w:tab w:val="left" w:pos="-2268"/>
        </w:tabs>
        <w:suppressAutoHyphens/>
        <w:rPr>
          <w:rFonts w:cs="Arial"/>
          <w:spacing w:val="-3"/>
        </w:rPr>
      </w:pPr>
    </w:p>
    <w:p w14:paraId="6C427DFA" w14:textId="2243E88B" w:rsidR="00FA74AA" w:rsidRPr="00BD1319" w:rsidRDefault="00B1110E" w:rsidP="009420F5">
      <w:pPr>
        <w:numPr>
          <w:ilvl w:val="1"/>
          <w:numId w:val="573"/>
        </w:numPr>
        <w:tabs>
          <w:tab w:val="left" w:pos="-2268"/>
        </w:tabs>
        <w:suppressAutoHyphens/>
        <w:ind w:left="1134" w:hanging="567"/>
        <w:rPr>
          <w:rFonts w:cs="Arial"/>
          <w:spacing w:val="-3"/>
        </w:rPr>
      </w:pPr>
      <w:r w:rsidRPr="00BD1319">
        <w:rPr>
          <w:rFonts w:cs="Arial"/>
          <w:spacing w:val="-3"/>
        </w:rPr>
        <w:t>P</w:t>
      </w:r>
      <w:r w:rsidR="00FA74AA" w:rsidRPr="00BD1319">
        <w:rPr>
          <w:rFonts w:cs="Arial"/>
          <w:spacing w:val="-3"/>
        </w:rPr>
        <w:t>aisaje</w:t>
      </w:r>
      <w:r w:rsidRPr="00BD1319">
        <w:rPr>
          <w:rFonts w:cs="Arial"/>
          <w:spacing w:val="-3"/>
        </w:rPr>
        <w:t>.</w:t>
      </w:r>
      <w:r w:rsidR="00393225" w:rsidRPr="00BD1319">
        <w:rPr>
          <w:rFonts w:cs="Arial"/>
          <w:spacing w:val="-3"/>
        </w:rPr>
        <w:t xml:space="preserve"> </w:t>
      </w:r>
      <w:r w:rsidR="00AE7F37" w:rsidRPr="00BD1319">
        <w:rPr>
          <w:rFonts w:cs="Arial"/>
          <w:spacing w:val="-3"/>
        </w:rPr>
        <w:t xml:space="preserve">Se debe establecer la sensibilidad ambiental de </w:t>
      </w:r>
      <w:r w:rsidR="00AE7F37" w:rsidRPr="00BD1319">
        <w:rPr>
          <w:spacing w:val="-3"/>
        </w:rPr>
        <w:t xml:space="preserve">cada unidad de paisaje de acuerdo con los resultados de </w:t>
      </w:r>
      <w:r w:rsidRPr="00BD1319">
        <w:rPr>
          <w:rFonts w:cs="Arial"/>
          <w:spacing w:val="-3"/>
        </w:rPr>
        <w:t xml:space="preserve">los </w:t>
      </w:r>
      <w:r w:rsidRPr="00BD1319">
        <w:rPr>
          <w:spacing w:val="-3"/>
        </w:rPr>
        <w:t>análisis de visibilidad, calidad visual, fragilidad visual, atractivo escénico y percepción social del paisaje.</w:t>
      </w:r>
    </w:p>
    <w:p w14:paraId="5243FB98" w14:textId="77777777" w:rsidR="00E44EAD" w:rsidRPr="00BD1319" w:rsidRDefault="00E44EAD" w:rsidP="00FA74AA">
      <w:pPr>
        <w:numPr>
          <w:ilvl w:val="12"/>
          <w:numId w:val="0"/>
        </w:numPr>
        <w:tabs>
          <w:tab w:val="left" w:pos="-2268"/>
        </w:tabs>
        <w:suppressAutoHyphens/>
        <w:rPr>
          <w:rFonts w:cs="Arial"/>
          <w:spacing w:val="-3"/>
        </w:rPr>
      </w:pPr>
    </w:p>
    <w:p w14:paraId="04F27DE8" w14:textId="223CD9DD" w:rsidR="00FA74AA" w:rsidRPr="00BD1319" w:rsidRDefault="00182386" w:rsidP="009420F5">
      <w:pPr>
        <w:numPr>
          <w:ilvl w:val="0"/>
          <w:numId w:val="19"/>
        </w:numPr>
        <w:tabs>
          <w:tab w:val="left" w:pos="-2268"/>
        </w:tabs>
        <w:suppressAutoHyphens/>
        <w:ind w:left="567" w:hanging="567"/>
        <w:rPr>
          <w:rFonts w:cs="Arial"/>
          <w:spacing w:val="-3"/>
        </w:rPr>
      </w:pPr>
      <w:bookmarkStart w:id="3058" w:name="_Toc32847440"/>
      <w:bookmarkStart w:id="3059" w:name="_Toc42710682"/>
      <w:r w:rsidRPr="00BD1319">
        <w:rPr>
          <w:rFonts w:cs="Arial"/>
          <w:spacing w:val="-3"/>
        </w:rPr>
        <w:t>Medio biótico</w:t>
      </w:r>
      <w:bookmarkEnd w:id="3058"/>
      <w:bookmarkEnd w:id="3059"/>
      <w:r w:rsidRPr="00BD1319">
        <w:rPr>
          <w:rFonts w:cs="Arial"/>
          <w:spacing w:val="-3"/>
        </w:rPr>
        <w:t>.</w:t>
      </w:r>
    </w:p>
    <w:p w14:paraId="65D4DE6F" w14:textId="77777777" w:rsidR="00FA74AA" w:rsidRPr="00BD1319" w:rsidRDefault="00FA74AA" w:rsidP="00FA74AA">
      <w:pPr>
        <w:numPr>
          <w:ilvl w:val="12"/>
          <w:numId w:val="0"/>
        </w:numPr>
        <w:tabs>
          <w:tab w:val="left" w:pos="-2268"/>
        </w:tabs>
        <w:suppressAutoHyphens/>
        <w:rPr>
          <w:rFonts w:cs="Arial"/>
          <w:spacing w:val="-3"/>
        </w:rPr>
      </w:pPr>
    </w:p>
    <w:p w14:paraId="41DC8AB4" w14:textId="7D18F6F2" w:rsidR="00FA74AA" w:rsidRPr="00BD1319" w:rsidRDefault="00FA74AA" w:rsidP="009420F5">
      <w:pPr>
        <w:numPr>
          <w:ilvl w:val="1"/>
          <w:numId w:val="573"/>
        </w:numPr>
        <w:tabs>
          <w:tab w:val="left" w:pos="-2268"/>
        </w:tabs>
        <w:suppressAutoHyphens/>
        <w:ind w:left="1134" w:hanging="567"/>
        <w:rPr>
          <w:rFonts w:cs="Arial"/>
          <w:spacing w:val="-3"/>
        </w:rPr>
      </w:pPr>
      <w:r w:rsidRPr="00BD1319">
        <w:rPr>
          <w:rFonts w:cs="Arial"/>
          <w:spacing w:val="-3"/>
        </w:rPr>
        <w:t>Áreas de importancia para la conectividad</w:t>
      </w:r>
      <w:r w:rsidR="003372C3" w:rsidRPr="00BD1319">
        <w:rPr>
          <w:rFonts w:cs="Arial"/>
          <w:spacing w:val="-3"/>
        </w:rPr>
        <w:t xml:space="preserve"> ecológica potencial</w:t>
      </w:r>
      <w:r w:rsidRPr="00BD1319">
        <w:rPr>
          <w:rFonts w:cs="Arial"/>
          <w:spacing w:val="-3"/>
        </w:rPr>
        <w:t xml:space="preserve"> </w:t>
      </w:r>
      <w:r w:rsidR="003372C3" w:rsidRPr="00BD1319">
        <w:rPr>
          <w:rFonts w:cs="Arial"/>
          <w:spacing w:val="-3"/>
        </w:rPr>
        <w:t>y</w:t>
      </w:r>
      <w:r w:rsidR="001A3806" w:rsidRPr="00BD1319">
        <w:rPr>
          <w:rFonts w:cs="Arial"/>
          <w:spacing w:val="-3"/>
        </w:rPr>
        <w:t xml:space="preserve"> para</w:t>
      </w:r>
      <w:r w:rsidR="003372C3" w:rsidRPr="00BD1319">
        <w:rPr>
          <w:rFonts w:cs="Arial"/>
          <w:spacing w:val="-3"/>
        </w:rPr>
        <w:t xml:space="preserve"> </w:t>
      </w:r>
      <w:r w:rsidRPr="00BD1319">
        <w:rPr>
          <w:rFonts w:cs="Arial"/>
          <w:spacing w:val="-3"/>
        </w:rPr>
        <w:t xml:space="preserve">la </w:t>
      </w:r>
      <w:r w:rsidR="001A3806" w:rsidRPr="00BD1319">
        <w:rPr>
          <w:rFonts w:cs="Arial"/>
          <w:spacing w:val="-3"/>
        </w:rPr>
        <w:t xml:space="preserve">conformación </w:t>
      </w:r>
      <w:r w:rsidRPr="00BD1319">
        <w:rPr>
          <w:rFonts w:cs="Arial"/>
          <w:spacing w:val="-3"/>
        </w:rPr>
        <w:t xml:space="preserve">y conservación de corredores biológicos. </w:t>
      </w:r>
    </w:p>
    <w:p w14:paraId="44C1FAB3" w14:textId="77777777" w:rsidR="00FA74AA" w:rsidRPr="00BD1319" w:rsidRDefault="00FA74AA" w:rsidP="00C86DA5">
      <w:pPr>
        <w:rPr>
          <w:spacing w:val="-3"/>
        </w:rPr>
      </w:pPr>
    </w:p>
    <w:p w14:paraId="60BB80AA" w14:textId="24922AB1" w:rsidR="00FA74AA" w:rsidRPr="00BD1319" w:rsidRDefault="00FA74AA" w:rsidP="009420F5">
      <w:pPr>
        <w:numPr>
          <w:ilvl w:val="1"/>
          <w:numId w:val="573"/>
        </w:numPr>
        <w:tabs>
          <w:tab w:val="left" w:pos="-2268"/>
        </w:tabs>
        <w:suppressAutoHyphens/>
        <w:ind w:left="1134" w:hanging="567"/>
        <w:rPr>
          <w:rFonts w:cs="Arial"/>
          <w:spacing w:val="-3"/>
        </w:rPr>
      </w:pPr>
      <w:r w:rsidRPr="00BD1319">
        <w:rPr>
          <w:rFonts w:cs="Arial"/>
          <w:spacing w:val="-3"/>
        </w:rPr>
        <w:t>Zonas de paso de especies migratorias</w:t>
      </w:r>
      <w:r w:rsidR="008A202D" w:rsidRPr="00BD1319">
        <w:rPr>
          <w:rFonts w:cs="Arial"/>
          <w:spacing w:val="-3"/>
        </w:rPr>
        <w:t>.</w:t>
      </w:r>
      <w:r w:rsidR="0072054C" w:rsidRPr="00BD1319">
        <w:rPr>
          <w:rFonts w:cs="Arial"/>
          <w:spacing w:val="-3"/>
        </w:rPr>
        <w:t xml:space="preserve"> </w:t>
      </w:r>
      <w:r w:rsidR="008A202D" w:rsidRPr="00BD1319">
        <w:rPr>
          <w:rFonts w:cs="Arial"/>
          <w:spacing w:val="-3"/>
        </w:rPr>
        <w:t xml:space="preserve">Zonas en las </w:t>
      </w:r>
      <w:r w:rsidRPr="00BD1319">
        <w:rPr>
          <w:rFonts w:cs="Arial"/>
          <w:spacing w:val="-3"/>
        </w:rPr>
        <w:t>se avist</w:t>
      </w:r>
      <w:r w:rsidR="008A202D" w:rsidRPr="00BD1319">
        <w:rPr>
          <w:rFonts w:cs="Arial"/>
          <w:spacing w:val="-3"/>
        </w:rPr>
        <w:t xml:space="preserve">en </w:t>
      </w:r>
      <w:r w:rsidRPr="00BD1319">
        <w:rPr>
          <w:rFonts w:cs="Arial"/>
          <w:spacing w:val="-3"/>
        </w:rPr>
        <w:t>e identifi</w:t>
      </w:r>
      <w:r w:rsidR="008A202D" w:rsidRPr="00BD1319">
        <w:rPr>
          <w:rFonts w:cs="Arial"/>
          <w:spacing w:val="-3"/>
        </w:rPr>
        <w:t xml:space="preserve">quen </w:t>
      </w:r>
      <w:r w:rsidRPr="00BD1319">
        <w:rPr>
          <w:rFonts w:cs="Arial"/>
          <w:spacing w:val="-3"/>
        </w:rPr>
        <w:t>especies con comportamiento migratorio</w:t>
      </w:r>
      <w:r w:rsidR="00C65E6C" w:rsidRPr="00BD1319">
        <w:rPr>
          <w:rFonts w:cs="Arial"/>
          <w:spacing w:val="-3"/>
        </w:rPr>
        <w:t xml:space="preserve"> </w:t>
      </w:r>
      <w:r w:rsidR="003645C5" w:rsidRPr="00BD1319">
        <w:rPr>
          <w:rFonts w:cs="Arial"/>
          <w:spacing w:val="-3"/>
        </w:rPr>
        <w:t>durante el muestreo realizado para la caracterización de la línea base de</w:t>
      </w:r>
      <w:r w:rsidR="003625DE" w:rsidRPr="00BD1319">
        <w:rPr>
          <w:rFonts w:cs="Arial"/>
          <w:spacing w:val="-3"/>
        </w:rPr>
        <w:t xml:space="preserve"> la</w:t>
      </w:r>
      <w:r w:rsidR="00240F94" w:rsidRPr="00BD1319">
        <w:rPr>
          <w:rFonts w:cs="Arial"/>
          <w:spacing w:val="-3"/>
        </w:rPr>
        <w:t xml:space="preserve"> </w:t>
      </w:r>
      <w:r w:rsidR="003645C5" w:rsidRPr="00BD1319">
        <w:rPr>
          <w:rFonts w:cs="Arial"/>
          <w:spacing w:val="-3"/>
        </w:rPr>
        <w:t xml:space="preserve">fauna, </w:t>
      </w:r>
      <w:r w:rsidR="008A202D" w:rsidRPr="00BD1319">
        <w:rPr>
          <w:rFonts w:cs="Arial"/>
          <w:spacing w:val="-3"/>
        </w:rPr>
        <w:t>asocia</w:t>
      </w:r>
      <w:r w:rsidR="00AA2CA4" w:rsidRPr="00BD1319">
        <w:rPr>
          <w:rFonts w:cs="Arial"/>
          <w:spacing w:val="-3"/>
        </w:rPr>
        <w:t>das</w:t>
      </w:r>
      <w:r w:rsidR="003645C5" w:rsidRPr="00BD1319">
        <w:rPr>
          <w:rFonts w:cs="Arial"/>
          <w:spacing w:val="-3"/>
        </w:rPr>
        <w:t xml:space="preserve"> a </w:t>
      </w:r>
      <w:r w:rsidR="008A202D" w:rsidRPr="00BD1319">
        <w:rPr>
          <w:rFonts w:cs="Arial"/>
          <w:spacing w:val="-3"/>
        </w:rPr>
        <w:t>las coberturas vegetales de preferencia</w:t>
      </w:r>
      <w:r w:rsidR="003645C5" w:rsidRPr="00BD1319">
        <w:rPr>
          <w:rFonts w:cs="Arial"/>
          <w:spacing w:val="-3"/>
        </w:rPr>
        <w:t>,</w:t>
      </w:r>
      <w:r w:rsidR="008A202D" w:rsidRPr="00BD1319">
        <w:rPr>
          <w:rFonts w:cs="Arial"/>
          <w:spacing w:val="-3"/>
        </w:rPr>
        <w:t xml:space="preserve"> paso o establecimiento temporal </w:t>
      </w:r>
      <w:r w:rsidR="00AA2CA4" w:rsidRPr="00BD1319">
        <w:rPr>
          <w:rFonts w:cs="Arial"/>
          <w:spacing w:val="-3"/>
        </w:rPr>
        <w:t>de tales especies</w:t>
      </w:r>
      <w:r w:rsidR="003645C5" w:rsidRPr="00BD1319">
        <w:rPr>
          <w:rFonts w:cs="Arial"/>
          <w:spacing w:val="-3"/>
        </w:rPr>
        <w:t>.</w:t>
      </w:r>
    </w:p>
    <w:p w14:paraId="1443D938" w14:textId="77777777" w:rsidR="00FA74AA" w:rsidRPr="00BD1319" w:rsidRDefault="00FA74AA" w:rsidP="00C86DA5">
      <w:pPr>
        <w:rPr>
          <w:rFonts w:cs="Arial"/>
          <w:spacing w:val="-3"/>
        </w:rPr>
      </w:pPr>
    </w:p>
    <w:p w14:paraId="09F0FC8F" w14:textId="66B0ED17" w:rsidR="00FA74AA" w:rsidRPr="00BD1319" w:rsidRDefault="00FA74AA" w:rsidP="009420F5">
      <w:pPr>
        <w:numPr>
          <w:ilvl w:val="1"/>
          <w:numId w:val="573"/>
        </w:numPr>
        <w:tabs>
          <w:tab w:val="left" w:pos="-2268"/>
        </w:tabs>
        <w:suppressAutoHyphens/>
        <w:ind w:left="1134" w:hanging="567"/>
        <w:rPr>
          <w:rFonts w:cs="Arial"/>
          <w:spacing w:val="-3"/>
        </w:rPr>
      </w:pPr>
      <w:r w:rsidRPr="005A685F">
        <w:rPr>
          <w:rFonts w:cs="Arial"/>
          <w:spacing w:val="-3"/>
          <w:lang w:val="pt-PT"/>
        </w:rPr>
        <w:t>Áreas de bosque seco tropical</w:t>
      </w:r>
      <w:r w:rsidR="003645C5" w:rsidRPr="005A685F">
        <w:rPr>
          <w:rFonts w:cs="Arial"/>
          <w:spacing w:val="-3"/>
          <w:lang w:val="pt-PT"/>
        </w:rPr>
        <w:t>.</w:t>
      </w:r>
      <w:r w:rsidRPr="005A685F">
        <w:rPr>
          <w:rFonts w:cs="Arial"/>
          <w:spacing w:val="-3"/>
          <w:lang w:val="pt-PT"/>
        </w:rPr>
        <w:t xml:space="preserve"> </w:t>
      </w:r>
      <w:r w:rsidR="003645C5" w:rsidRPr="00BD1319">
        <w:rPr>
          <w:rFonts w:cs="Arial"/>
          <w:spacing w:val="-3"/>
        </w:rPr>
        <w:t xml:space="preserve">Áreas de coberturas naturales del mapa de coberturas de la tierra del área de influencia de los </w:t>
      </w:r>
      <w:r w:rsidR="00C65E6C" w:rsidRPr="00BD1319">
        <w:rPr>
          <w:rFonts w:cs="Arial"/>
          <w:spacing w:val="-3"/>
        </w:rPr>
        <w:t>ecosistemas terrestres</w:t>
      </w:r>
      <w:r w:rsidR="00AA2CA4" w:rsidRPr="00BD1319">
        <w:rPr>
          <w:rFonts w:cs="Arial"/>
          <w:spacing w:val="-3"/>
        </w:rPr>
        <w:t>,</w:t>
      </w:r>
      <w:r w:rsidR="003645C5" w:rsidRPr="00BD1319">
        <w:rPr>
          <w:rFonts w:cs="Arial"/>
          <w:spacing w:val="-3"/>
        </w:rPr>
        <w:t xml:space="preserve"> que se encuentren en </w:t>
      </w:r>
      <w:r w:rsidR="00C65E6C" w:rsidRPr="00BD1319">
        <w:rPr>
          <w:rFonts w:cs="Arial"/>
          <w:spacing w:val="-3"/>
        </w:rPr>
        <w:t xml:space="preserve">la </w:t>
      </w:r>
      <w:r w:rsidR="003645C5" w:rsidRPr="00BD1319">
        <w:rPr>
          <w:rFonts w:cs="Arial"/>
          <w:spacing w:val="-3"/>
        </w:rPr>
        <w:t xml:space="preserve">zona de vida de bosque seco tropical (bs-T) de acuerdo </w:t>
      </w:r>
      <w:r w:rsidR="00AA2CA4" w:rsidRPr="00BD1319">
        <w:rPr>
          <w:rFonts w:cs="Arial"/>
          <w:spacing w:val="-3"/>
        </w:rPr>
        <w:t xml:space="preserve">con </w:t>
      </w:r>
      <w:r w:rsidR="003645C5" w:rsidRPr="00BD1319">
        <w:rPr>
          <w:rFonts w:cs="Arial"/>
          <w:spacing w:val="-3"/>
        </w:rPr>
        <w:t>la clasificación de Holdridge</w:t>
      </w:r>
      <w:r w:rsidR="00C65E6C" w:rsidRPr="00BD1319">
        <w:rPr>
          <w:rFonts w:cs="Arial"/>
          <w:spacing w:val="-3"/>
        </w:rPr>
        <w:t xml:space="preserve">; es pertinente realizar una </w:t>
      </w:r>
      <w:r w:rsidR="003645C5" w:rsidRPr="00BD1319">
        <w:rPr>
          <w:rFonts w:cs="Arial"/>
          <w:spacing w:val="-3"/>
        </w:rPr>
        <w:t xml:space="preserve">comprobación </w:t>
      </w:r>
      <w:r w:rsidR="00AA2CA4" w:rsidRPr="00BD1319">
        <w:rPr>
          <w:rFonts w:cs="Arial"/>
          <w:spacing w:val="-3"/>
        </w:rPr>
        <w:t xml:space="preserve">en </w:t>
      </w:r>
      <w:r w:rsidR="003645C5" w:rsidRPr="00BD1319">
        <w:rPr>
          <w:rFonts w:cs="Arial"/>
          <w:spacing w:val="-3"/>
        </w:rPr>
        <w:t xml:space="preserve">campo de </w:t>
      </w:r>
      <w:r w:rsidR="00C65E6C" w:rsidRPr="00BD1319">
        <w:rPr>
          <w:rFonts w:cs="Arial"/>
          <w:spacing w:val="-3"/>
        </w:rPr>
        <w:t xml:space="preserve">tales coberturas y de </w:t>
      </w:r>
      <w:r w:rsidR="003645C5" w:rsidRPr="00BD1319">
        <w:rPr>
          <w:rFonts w:cs="Arial"/>
          <w:spacing w:val="-3"/>
        </w:rPr>
        <w:t xml:space="preserve">sus condiciones </w:t>
      </w:r>
      <w:r w:rsidR="00434EA7" w:rsidRPr="00BD1319">
        <w:rPr>
          <w:rFonts w:cs="Arial"/>
          <w:spacing w:val="-3"/>
        </w:rPr>
        <w:t>físico-bióticas</w:t>
      </w:r>
      <w:r w:rsidRPr="00BD1319">
        <w:rPr>
          <w:rFonts w:cs="Arial"/>
          <w:spacing w:val="-3"/>
        </w:rPr>
        <w:t>.</w:t>
      </w:r>
    </w:p>
    <w:p w14:paraId="7D15AACD" w14:textId="77777777" w:rsidR="00FA74AA" w:rsidRPr="00BD1319" w:rsidRDefault="00FA74AA" w:rsidP="00C86DA5">
      <w:pPr>
        <w:rPr>
          <w:rFonts w:cs="Arial"/>
          <w:spacing w:val="-3"/>
        </w:rPr>
      </w:pPr>
    </w:p>
    <w:p w14:paraId="434664CC" w14:textId="167C7C14" w:rsidR="00FA74AA" w:rsidRPr="00BD1319" w:rsidRDefault="001A3806" w:rsidP="009420F5">
      <w:pPr>
        <w:numPr>
          <w:ilvl w:val="1"/>
          <w:numId w:val="573"/>
        </w:numPr>
        <w:tabs>
          <w:tab w:val="left" w:pos="-2268"/>
        </w:tabs>
        <w:suppressAutoHyphens/>
        <w:ind w:left="1134" w:hanging="567"/>
        <w:rPr>
          <w:rFonts w:cs="Arial"/>
          <w:spacing w:val="-3"/>
        </w:rPr>
      </w:pPr>
      <w:r w:rsidRPr="00BD1319">
        <w:rPr>
          <w:rFonts w:cs="Arial"/>
          <w:spacing w:val="-3"/>
        </w:rPr>
        <w:t xml:space="preserve">Ecosistemas </w:t>
      </w:r>
      <w:r w:rsidR="00437DC3" w:rsidRPr="00BD1319">
        <w:rPr>
          <w:rFonts w:cs="Arial"/>
          <w:spacing w:val="-3"/>
        </w:rPr>
        <w:t xml:space="preserve">de la Lista roja de ecosistemas de Colombia (versión 2.0 - IUCN) </w:t>
      </w:r>
      <w:r w:rsidRPr="00BD1319">
        <w:rPr>
          <w:rFonts w:cs="Arial"/>
          <w:spacing w:val="-3"/>
        </w:rPr>
        <w:t xml:space="preserve">en </w:t>
      </w:r>
      <w:r w:rsidR="003645C5" w:rsidRPr="00BD1319">
        <w:rPr>
          <w:rFonts w:cs="Arial"/>
          <w:spacing w:val="-3"/>
        </w:rPr>
        <w:t xml:space="preserve">las categorías </w:t>
      </w:r>
      <w:r w:rsidRPr="00BD1319">
        <w:rPr>
          <w:rFonts w:cs="Arial"/>
          <w:spacing w:val="-3"/>
        </w:rPr>
        <w:t xml:space="preserve">de amenaza </w:t>
      </w:r>
      <w:r w:rsidR="007C35F3" w:rsidRPr="00BD1319">
        <w:rPr>
          <w:rFonts w:cs="Arial"/>
          <w:spacing w:val="-3"/>
        </w:rPr>
        <w:t>“E</w:t>
      </w:r>
      <w:r w:rsidR="003645C5" w:rsidRPr="00BD1319">
        <w:rPr>
          <w:rFonts w:cs="Arial"/>
          <w:spacing w:val="-3"/>
        </w:rPr>
        <w:t>n peligro</w:t>
      </w:r>
      <w:r w:rsidR="007C35F3" w:rsidRPr="00BD1319">
        <w:rPr>
          <w:rFonts w:cs="Arial"/>
          <w:spacing w:val="-3"/>
        </w:rPr>
        <w:t>”</w:t>
      </w:r>
      <w:r w:rsidR="003645C5" w:rsidRPr="00BD1319">
        <w:rPr>
          <w:rFonts w:cs="Arial"/>
          <w:spacing w:val="-3"/>
        </w:rPr>
        <w:t xml:space="preserve"> (EN) y </w:t>
      </w:r>
      <w:r w:rsidR="007C35F3" w:rsidRPr="00BD1319">
        <w:rPr>
          <w:rFonts w:cs="Arial"/>
          <w:spacing w:val="-3"/>
        </w:rPr>
        <w:t>“P</w:t>
      </w:r>
      <w:r w:rsidR="003645C5" w:rsidRPr="00BD1319">
        <w:rPr>
          <w:rFonts w:cs="Arial"/>
          <w:spacing w:val="-3"/>
        </w:rPr>
        <w:t>eligro crítico</w:t>
      </w:r>
      <w:r w:rsidR="007C35F3" w:rsidRPr="00BD1319">
        <w:rPr>
          <w:rFonts w:cs="Arial"/>
          <w:spacing w:val="-3"/>
        </w:rPr>
        <w:t>”</w:t>
      </w:r>
      <w:r w:rsidR="003645C5" w:rsidRPr="00BD1319">
        <w:rPr>
          <w:rFonts w:cs="Arial"/>
          <w:spacing w:val="-3"/>
        </w:rPr>
        <w:t xml:space="preserve"> (CR)</w:t>
      </w:r>
      <w:r w:rsidRPr="00BD1319">
        <w:rPr>
          <w:rFonts w:cs="Arial"/>
          <w:spacing w:val="-3"/>
        </w:rPr>
        <w:t xml:space="preserve">. Ecosistemas </w:t>
      </w:r>
      <w:r w:rsidR="003645C5" w:rsidRPr="00BD1319">
        <w:rPr>
          <w:rFonts w:cs="Arial"/>
          <w:spacing w:val="-3"/>
        </w:rPr>
        <w:t>identifica</w:t>
      </w:r>
      <w:r w:rsidRPr="00BD1319">
        <w:rPr>
          <w:rFonts w:cs="Arial"/>
          <w:spacing w:val="-3"/>
        </w:rPr>
        <w:t xml:space="preserve">dos a la escala que establezcan los términos de referencia para la caracterización </w:t>
      </w:r>
      <w:r w:rsidR="003645C5" w:rsidRPr="00BD1319">
        <w:rPr>
          <w:rFonts w:cs="Arial"/>
          <w:spacing w:val="-3"/>
        </w:rPr>
        <w:t>de los componentes del medio biótico</w:t>
      </w:r>
      <w:r w:rsidRPr="00BD1319">
        <w:rPr>
          <w:rFonts w:cs="Arial"/>
          <w:spacing w:val="-3"/>
        </w:rPr>
        <w:t xml:space="preserve"> </w:t>
      </w:r>
      <w:r w:rsidR="007C35F3" w:rsidRPr="00BD1319">
        <w:rPr>
          <w:rFonts w:cs="Arial"/>
          <w:spacing w:val="-3"/>
        </w:rPr>
        <w:t xml:space="preserve">y </w:t>
      </w:r>
      <w:r w:rsidR="003645C5" w:rsidRPr="00BD1319">
        <w:rPr>
          <w:rFonts w:cs="Arial"/>
          <w:spacing w:val="-3"/>
        </w:rPr>
        <w:t>corrobora</w:t>
      </w:r>
      <w:r w:rsidRPr="00BD1319">
        <w:rPr>
          <w:rFonts w:cs="Arial"/>
          <w:spacing w:val="-3"/>
        </w:rPr>
        <w:t xml:space="preserve">ción en </w:t>
      </w:r>
      <w:r w:rsidR="003645C5" w:rsidRPr="00BD1319">
        <w:rPr>
          <w:rFonts w:cs="Arial"/>
          <w:spacing w:val="-3"/>
        </w:rPr>
        <w:t>campo</w:t>
      </w:r>
      <w:r w:rsidRPr="00BD1319">
        <w:rPr>
          <w:rFonts w:cs="Arial"/>
          <w:spacing w:val="-3"/>
        </w:rPr>
        <w:t>. Estos ecosistemas requieren acciones de gestión y monitoreo especial.</w:t>
      </w:r>
    </w:p>
    <w:p w14:paraId="6EBFFF54" w14:textId="77777777" w:rsidR="00FA74AA" w:rsidRPr="00BD1319" w:rsidRDefault="00FA74AA" w:rsidP="00FA74AA">
      <w:pPr>
        <w:numPr>
          <w:ilvl w:val="12"/>
          <w:numId w:val="0"/>
        </w:numPr>
        <w:tabs>
          <w:tab w:val="left" w:pos="-2268"/>
        </w:tabs>
        <w:suppressAutoHyphens/>
        <w:rPr>
          <w:rFonts w:cs="Arial"/>
          <w:spacing w:val="-3"/>
        </w:rPr>
      </w:pPr>
    </w:p>
    <w:p w14:paraId="762A1310" w14:textId="6ABF0BEC" w:rsidR="00FA74AA" w:rsidRPr="00BD1319" w:rsidRDefault="00182386" w:rsidP="009420F5">
      <w:pPr>
        <w:numPr>
          <w:ilvl w:val="0"/>
          <w:numId w:val="19"/>
        </w:numPr>
        <w:tabs>
          <w:tab w:val="left" w:pos="-2268"/>
        </w:tabs>
        <w:suppressAutoHyphens/>
        <w:ind w:left="567" w:hanging="567"/>
        <w:rPr>
          <w:rFonts w:cs="Arial"/>
          <w:spacing w:val="-3"/>
        </w:rPr>
      </w:pPr>
      <w:bookmarkStart w:id="3060" w:name="_Toc32847441"/>
      <w:bookmarkStart w:id="3061" w:name="_Toc42710683"/>
      <w:r w:rsidRPr="00BD1319">
        <w:rPr>
          <w:rFonts w:cs="Arial"/>
          <w:spacing w:val="-3"/>
        </w:rPr>
        <w:t>Medio socioeconómico</w:t>
      </w:r>
      <w:bookmarkEnd w:id="3060"/>
      <w:bookmarkEnd w:id="3061"/>
      <w:r w:rsidRPr="00BD1319">
        <w:rPr>
          <w:rFonts w:cs="Arial"/>
          <w:spacing w:val="-3"/>
        </w:rPr>
        <w:t>.</w:t>
      </w:r>
    </w:p>
    <w:p w14:paraId="07FB7374" w14:textId="3AF5C399" w:rsidR="00AE6A7E" w:rsidRPr="00BD1319" w:rsidRDefault="00AE6A7E" w:rsidP="00AE6A7E">
      <w:pPr>
        <w:numPr>
          <w:ilvl w:val="12"/>
          <w:numId w:val="0"/>
        </w:numPr>
        <w:tabs>
          <w:tab w:val="left" w:pos="-2268"/>
        </w:tabs>
        <w:suppressAutoHyphens/>
        <w:rPr>
          <w:rFonts w:cs="Arial"/>
          <w:spacing w:val="-3"/>
        </w:rPr>
      </w:pPr>
    </w:p>
    <w:p w14:paraId="28804694" w14:textId="59F392D6" w:rsidR="00FA74AA" w:rsidRPr="00BD1319" w:rsidRDefault="00FA74AA" w:rsidP="009420F5">
      <w:pPr>
        <w:numPr>
          <w:ilvl w:val="1"/>
          <w:numId w:val="573"/>
        </w:numPr>
        <w:tabs>
          <w:tab w:val="left" w:pos="-2268"/>
        </w:tabs>
        <w:suppressAutoHyphens/>
        <w:ind w:left="1134" w:hanging="567"/>
        <w:rPr>
          <w:rFonts w:cs="Arial"/>
          <w:spacing w:val="-3"/>
        </w:rPr>
      </w:pPr>
      <w:r w:rsidRPr="00BD1319">
        <w:rPr>
          <w:rFonts w:cs="Arial"/>
          <w:spacing w:val="-3"/>
        </w:rPr>
        <w:t>Demográfico</w:t>
      </w:r>
      <w:r w:rsidR="00182386" w:rsidRPr="00BD1319">
        <w:rPr>
          <w:rFonts w:cs="Arial"/>
          <w:spacing w:val="-3"/>
        </w:rPr>
        <w:t>.</w:t>
      </w:r>
      <w:r w:rsidR="00393225" w:rsidRPr="00BD1319">
        <w:rPr>
          <w:rFonts w:cs="Arial"/>
          <w:spacing w:val="-3"/>
        </w:rPr>
        <w:t xml:space="preserve"> </w:t>
      </w:r>
      <w:r w:rsidR="00182386" w:rsidRPr="00BD1319">
        <w:rPr>
          <w:rFonts w:cs="Arial"/>
          <w:spacing w:val="-3"/>
        </w:rPr>
        <w:t>G</w:t>
      </w:r>
      <w:r w:rsidRPr="00BD1319">
        <w:rPr>
          <w:rFonts w:cs="Arial"/>
          <w:spacing w:val="-3"/>
        </w:rPr>
        <w:t>rupos poblaciones, los niveles de concentración de la población, su composición</w:t>
      </w:r>
      <w:r w:rsidR="008F17E9" w:rsidRPr="00BD1319">
        <w:rPr>
          <w:rFonts w:cs="Arial"/>
          <w:spacing w:val="-3"/>
        </w:rPr>
        <w:t xml:space="preserve"> y </w:t>
      </w:r>
      <w:r w:rsidRPr="00BD1319">
        <w:rPr>
          <w:rFonts w:cs="Arial"/>
          <w:spacing w:val="-3"/>
        </w:rPr>
        <w:t>distribución</w:t>
      </w:r>
      <w:r w:rsidR="008F17E9" w:rsidRPr="00BD1319">
        <w:rPr>
          <w:rFonts w:cs="Arial"/>
          <w:spacing w:val="-3"/>
        </w:rPr>
        <w:t>. Importante</w:t>
      </w:r>
      <w:r w:rsidRPr="00BD1319">
        <w:rPr>
          <w:rFonts w:cs="Arial"/>
          <w:spacing w:val="-3"/>
        </w:rPr>
        <w:t xml:space="preserve"> </w:t>
      </w:r>
      <w:r w:rsidR="008F17E9" w:rsidRPr="00BD1319">
        <w:rPr>
          <w:rFonts w:cs="Arial"/>
          <w:spacing w:val="-3"/>
        </w:rPr>
        <w:t xml:space="preserve">analizar </w:t>
      </w:r>
      <w:r w:rsidRPr="00BD1319">
        <w:rPr>
          <w:rFonts w:cs="Arial"/>
          <w:spacing w:val="-3"/>
        </w:rPr>
        <w:t>la presión que se genera sobre los recursos naturales y la infraestructura social</w:t>
      </w:r>
      <w:r w:rsidR="008F17E9" w:rsidRPr="00BD1319">
        <w:rPr>
          <w:rFonts w:cs="Arial"/>
          <w:spacing w:val="-3"/>
        </w:rPr>
        <w:t xml:space="preserve"> para determinar su sensibilidad ambiental</w:t>
      </w:r>
      <w:r w:rsidRPr="00BD1319">
        <w:rPr>
          <w:rFonts w:cs="Arial"/>
          <w:spacing w:val="-3"/>
        </w:rPr>
        <w:t xml:space="preserve">. </w:t>
      </w:r>
    </w:p>
    <w:p w14:paraId="6322FA53" w14:textId="77777777" w:rsidR="00394826" w:rsidRPr="00BD1319" w:rsidRDefault="00394826">
      <w:pPr>
        <w:numPr>
          <w:ilvl w:val="12"/>
          <w:numId w:val="0"/>
        </w:numPr>
        <w:tabs>
          <w:tab w:val="left" w:pos="-2268"/>
        </w:tabs>
        <w:suppressAutoHyphens/>
        <w:rPr>
          <w:spacing w:val="-3"/>
        </w:rPr>
      </w:pPr>
    </w:p>
    <w:p w14:paraId="40AEC0D3" w14:textId="27480225" w:rsidR="00FA74AA" w:rsidRPr="00BD1319" w:rsidRDefault="00FA74AA" w:rsidP="009420F5">
      <w:pPr>
        <w:numPr>
          <w:ilvl w:val="1"/>
          <w:numId w:val="573"/>
        </w:numPr>
        <w:tabs>
          <w:tab w:val="left" w:pos="-2268"/>
        </w:tabs>
        <w:suppressAutoHyphens/>
        <w:ind w:left="1134" w:hanging="567"/>
        <w:rPr>
          <w:rFonts w:cs="Arial"/>
          <w:spacing w:val="-3"/>
        </w:rPr>
      </w:pPr>
      <w:r w:rsidRPr="00BD1319">
        <w:rPr>
          <w:rFonts w:cs="Arial"/>
          <w:spacing w:val="-3"/>
        </w:rPr>
        <w:t>Espacial</w:t>
      </w:r>
      <w:r w:rsidR="00182386" w:rsidRPr="00BD1319">
        <w:rPr>
          <w:rFonts w:cs="Arial"/>
          <w:spacing w:val="-3"/>
        </w:rPr>
        <w:t>.</w:t>
      </w:r>
      <w:r w:rsidR="00393225" w:rsidRPr="00BD1319">
        <w:rPr>
          <w:rFonts w:cs="Arial"/>
          <w:spacing w:val="-3"/>
        </w:rPr>
        <w:t xml:space="preserve"> </w:t>
      </w:r>
      <w:r w:rsidR="00182386" w:rsidRPr="00BD1319">
        <w:rPr>
          <w:rFonts w:cs="Arial"/>
          <w:spacing w:val="-3"/>
        </w:rPr>
        <w:t>A</w:t>
      </w:r>
      <w:r w:rsidRPr="00BD1319">
        <w:rPr>
          <w:rFonts w:cs="Arial"/>
          <w:spacing w:val="-3"/>
        </w:rPr>
        <w:t>cceso y cobertura de servicios públicos y sociales, infraestructura de vivienda y servicios de salud, transporte, recreación, e</w:t>
      </w:r>
      <w:r w:rsidR="008F17E9" w:rsidRPr="00BD1319">
        <w:rPr>
          <w:rFonts w:cs="Arial"/>
          <w:spacing w:val="-3"/>
        </w:rPr>
        <w:t>ntre otros</w:t>
      </w:r>
      <w:r w:rsidRPr="00BD1319">
        <w:rPr>
          <w:rFonts w:cs="Arial"/>
          <w:spacing w:val="-3"/>
        </w:rPr>
        <w:t>, así como condiciones de calidad de vida de la población.</w:t>
      </w:r>
    </w:p>
    <w:p w14:paraId="0B284562" w14:textId="77777777" w:rsidR="00FA74AA" w:rsidRPr="00BD1319" w:rsidRDefault="00FA74AA" w:rsidP="00FA74AA">
      <w:pPr>
        <w:numPr>
          <w:ilvl w:val="12"/>
          <w:numId w:val="0"/>
        </w:numPr>
        <w:tabs>
          <w:tab w:val="left" w:pos="-2268"/>
        </w:tabs>
        <w:suppressAutoHyphens/>
        <w:rPr>
          <w:rFonts w:cs="Arial"/>
          <w:spacing w:val="-3"/>
        </w:rPr>
      </w:pPr>
    </w:p>
    <w:p w14:paraId="2938A8F0" w14:textId="2F0800AB" w:rsidR="00FA74AA" w:rsidRPr="00BD1319" w:rsidRDefault="00FA74AA" w:rsidP="009420F5">
      <w:pPr>
        <w:numPr>
          <w:ilvl w:val="1"/>
          <w:numId w:val="573"/>
        </w:numPr>
        <w:tabs>
          <w:tab w:val="left" w:pos="-2268"/>
        </w:tabs>
        <w:suppressAutoHyphens/>
        <w:ind w:left="1134" w:hanging="567"/>
        <w:rPr>
          <w:rFonts w:cs="Arial"/>
          <w:spacing w:val="-3"/>
        </w:rPr>
      </w:pPr>
      <w:r w:rsidRPr="00BD1319">
        <w:rPr>
          <w:rFonts w:cs="Arial"/>
          <w:spacing w:val="-3"/>
        </w:rPr>
        <w:lastRenderedPageBreak/>
        <w:t>Económico</w:t>
      </w:r>
      <w:r w:rsidR="00182386" w:rsidRPr="00BD1319">
        <w:rPr>
          <w:rFonts w:cs="Arial"/>
          <w:spacing w:val="-3"/>
        </w:rPr>
        <w:t>. E</w:t>
      </w:r>
      <w:r w:rsidRPr="00BD1319">
        <w:rPr>
          <w:rFonts w:cs="Arial"/>
          <w:spacing w:val="-3"/>
        </w:rPr>
        <w:t xml:space="preserve">structura de la propiedad (latifundios, minifundios, microfundios), uso del suelo, sistemas de producción y dependencia de las comunidades a las actividades económicas </w:t>
      </w:r>
      <w:r w:rsidR="00096EF3" w:rsidRPr="00BD1319">
        <w:rPr>
          <w:rFonts w:cs="Arial"/>
          <w:spacing w:val="-3"/>
        </w:rPr>
        <w:t xml:space="preserve">presentes en </w:t>
      </w:r>
      <w:r w:rsidRPr="00BD1319">
        <w:rPr>
          <w:rFonts w:cs="Arial"/>
          <w:spacing w:val="-3"/>
        </w:rPr>
        <w:t xml:space="preserve">el área de influencia del </w:t>
      </w:r>
      <w:r w:rsidR="00096EF3" w:rsidRPr="00BD1319">
        <w:rPr>
          <w:rFonts w:cs="Arial"/>
          <w:spacing w:val="-3"/>
        </w:rPr>
        <w:t>componente</w:t>
      </w:r>
      <w:r w:rsidRPr="00BD1319">
        <w:rPr>
          <w:rFonts w:cs="Arial"/>
          <w:spacing w:val="-3"/>
        </w:rPr>
        <w:t>.</w:t>
      </w:r>
    </w:p>
    <w:p w14:paraId="7DB5D307" w14:textId="77777777" w:rsidR="00FA74AA" w:rsidRPr="00BD1319" w:rsidRDefault="00FA74AA" w:rsidP="00FA74AA">
      <w:pPr>
        <w:numPr>
          <w:ilvl w:val="12"/>
          <w:numId w:val="0"/>
        </w:numPr>
        <w:tabs>
          <w:tab w:val="left" w:pos="-2268"/>
        </w:tabs>
        <w:suppressAutoHyphens/>
        <w:rPr>
          <w:rFonts w:cs="Arial"/>
          <w:spacing w:val="-3"/>
        </w:rPr>
      </w:pPr>
    </w:p>
    <w:p w14:paraId="0939A043" w14:textId="2AFA9650" w:rsidR="00FA74AA" w:rsidRPr="00BD1319" w:rsidRDefault="00FA74AA" w:rsidP="009420F5">
      <w:pPr>
        <w:numPr>
          <w:ilvl w:val="1"/>
          <w:numId w:val="573"/>
        </w:numPr>
        <w:tabs>
          <w:tab w:val="left" w:pos="-2268"/>
        </w:tabs>
        <w:suppressAutoHyphens/>
        <w:ind w:left="1134" w:hanging="567"/>
        <w:rPr>
          <w:rFonts w:cs="Arial"/>
          <w:spacing w:val="-3"/>
        </w:rPr>
      </w:pPr>
      <w:r w:rsidRPr="00BD1319">
        <w:rPr>
          <w:rFonts w:cs="Arial"/>
          <w:spacing w:val="-3"/>
        </w:rPr>
        <w:t>Cultural</w:t>
      </w:r>
      <w:r w:rsidR="00182386" w:rsidRPr="00BD1319">
        <w:rPr>
          <w:rFonts w:cs="Arial"/>
          <w:spacing w:val="-3"/>
        </w:rPr>
        <w:t>.</w:t>
      </w:r>
      <w:r w:rsidR="00393225" w:rsidRPr="00BD1319">
        <w:rPr>
          <w:rFonts w:cs="Arial"/>
          <w:spacing w:val="-3"/>
        </w:rPr>
        <w:t xml:space="preserve"> </w:t>
      </w:r>
      <w:r w:rsidR="00182386" w:rsidRPr="00BD1319">
        <w:rPr>
          <w:rFonts w:cs="Arial"/>
          <w:spacing w:val="-3"/>
        </w:rPr>
        <w:t>G</w:t>
      </w:r>
      <w:r w:rsidRPr="00BD1319">
        <w:rPr>
          <w:rFonts w:cs="Arial"/>
          <w:spacing w:val="-3"/>
        </w:rPr>
        <w:t xml:space="preserve">rado de relacionamiento establecido entre la comunidad y </w:t>
      </w:r>
      <w:r w:rsidR="00240F94" w:rsidRPr="00BD1319">
        <w:rPr>
          <w:rFonts w:cs="Arial"/>
          <w:spacing w:val="-3"/>
        </w:rPr>
        <w:t>los</w:t>
      </w:r>
      <w:r w:rsidR="006F4FD7" w:rsidRPr="00BD1319">
        <w:rPr>
          <w:rFonts w:cs="Arial"/>
          <w:spacing w:val="-3"/>
        </w:rPr>
        <w:t xml:space="preserve"> </w:t>
      </w:r>
      <w:r w:rsidR="00240F94" w:rsidRPr="00BD1319">
        <w:rPr>
          <w:rFonts w:cs="Arial"/>
          <w:spacing w:val="-3"/>
        </w:rPr>
        <w:t xml:space="preserve">ecosistemas </w:t>
      </w:r>
      <w:r w:rsidRPr="00BD1319">
        <w:rPr>
          <w:rFonts w:cs="Arial"/>
          <w:spacing w:val="-3"/>
        </w:rPr>
        <w:t>natural</w:t>
      </w:r>
      <w:r w:rsidR="00240F94" w:rsidRPr="00BD1319">
        <w:rPr>
          <w:rFonts w:cs="Arial"/>
          <w:spacing w:val="-3"/>
        </w:rPr>
        <w:t>es</w:t>
      </w:r>
      <w:r w:rsidRPr="00BD1319">
        <w:rPr>
          <w:rFonts w:cs="Arial"/>
          <w:spacing w:val="-3"/>
        </w:rPr>
        <w:t>, grado de reconocimiento por sus tradiciones, así como presencia de sitios de valor cultural e histórico.</w:t>
      </w:r>
    </w:p>
    <w:p w14:paraId="02C5D4AE" w14:textId="183BDA10" w:rsidR="00F84343" w:rsidRPr="00BD1319" w:rsidRDefault="00F84343">
      <w:pPr>
        <w:overflowPunct/>
        <w:autoSpaceDE/>
        <w:autoSpaceDN/>
        <w:adjustRightInd/>
        <w:jc w:val="left"/>
        <w:textAlignment w:val="auto"/>
        <w:rPr>
          <w:rFonts w:cs="Arial"/>
          <w:spacing w:val="-3"/>
        </w:rPr>
      </w:pPr>
    </w:p>
    <w:p w14:paraId="504DA10F" w14:textId="0CB1EEF4" w:rsidR="007D4BC0" w:rsidRPr="00BD1319" w:rsidRDefault="008F17E9" w:rsidP="007D4BC0">
      <w:pPr>
        <w:numPr>
          <w:ilvl w:val="1"/>
          <w:numId w:val="573"/>
        </w:numPr>
        <w:tabs>
          <w:tab w:val="left" w:pos="-2268"/>
        </w:tabs>
        <w:suppressAutoHyphens/>
        <w:ind w:left="1134" w:hanging="567"/>
        <w:rPr>
          <w:rFonts w:cs="Arial"/>
          <w:spacing w:val="-3"/>
        </w:rPr>
      </w:pPr>
      <w:r w:rsidRPr="00BD1319">
        <w:rPr>
          <w:rFonts w:cs="Arial"/>
          <w:spacing w:val="-3"/>
        </w:rPr>
        <w:t xml:space="preserve">Político </w:t>
      </w:r>
      <w:r w:rsidR="00FA74AA" w:rsidRPr="00BD1319">
        <w:rPr>
          <w:rFonts w:cs="Arial"/>
          <w:spacing w:val="-3"/>
        </w:rPr>
        <w:t>organizativ</w:t>
      </w:r>
      <w:r w:rsidRPr="00BD1319">
        <w:rPr>
          <w:rFonts w:cs="Arial"/>
          <w:spacing w:val="-3"/>
        </w:rPr>
        <w:t>o</w:t>
      </w:r>
      <w:r w:rsidR="00182386" w:rsidRPr="00BD1319">
        <w:rPr>
          <w:rFonts w:cs="Arial"/>
          <w:spacing w:val="-3"/>
        </w:rPr>
        <w:t>.</w:t>
      </w:r>
      <w:r w:rsidR="00393225" w:rsidRPr="00BD1319">
        <w:rPr>
          <w:rFonts w:cs="Arial"/>
          <w:spacing w:val="-3"/>
        </w:rPr>
        <w:t xml:space="preserve"> </w:t>
      </w:r>
      <w:r w:rsidR="00182386" w:rsidRPr="00BD1319">
        <w:rPr>
          <w:rFonts w:cs="Arial"/>
          <w:spacing w:val="-3"/>
        </w:rPr>
        <w:t>N</w:t>
      </w:r>
      <w:r w:rsidR="00FA74AA" w:rsidRPr="00BD1319">
        <w:rPr>
          <w:rFonts w:cs="Arial"/>
          <w:spacing w:val="-3"/>
        </w:rPr>
        <w:t xml:space="preserve">iveles de participación y capacidad que tienen las comunidades y organizaciones presentes en las unidades de análisis territorial, para la gestión de recursos y la organización del territorio con el propósito de mejorar </w:t>
      </w:r>
      <w:r w:rsidR="007C35F3" w:rsidRPr="00BD1319">
        <w:rPr>
          <w:rFonts w:cs="Arial"/>
          <w:spacing w:val="-3"/>
        </w:rPr>
        <w:t xml:space="preserve">su </w:t>
      </w:r>
      <w:r w:rsidR="00FA74AA" w:rsidRPr="00BD1319">
        <w:rPr>
          <w:rFonts w:cs="Arial"/>
          <w:spacing w:val="-3"/>
        </w:rPr>
        <w:t>calidad de vida.</w:t>
      </w:r>
    </w:p>
    <w:p w14:paraId="486C3640" w14:textId="77777777" w:rsidR="007D4BC0" w:rsidRPr="00BD1319" w:rsidRDefault="007D4BC0" w:rsidP="000D6E21">
      <w:pPr>
        <w:rPr>
          <w:rFonts w:cs="Arial"/>
          <w:spacing w:val="-3"/>
        </w:rPr>
      </w:pPr>
    </w:p>
    <w:p w14:paraId="321A5F8E" w14:textId="77777777" w:rsidR="007D4BC0" w:rsidRPr="00BD1319" w:rsidRDefault="007D4BC0" w:rsidP="007D4BC0">
      <w:pPr>
        <w:numPr>
          <w:ilvl w:val="1"/>
          <w:numId w:val="573"/>
        </w:numPr>
        <w:tabs>
          <w:tab w:val="left" w:pos="-2268"/>
        </w:tabs>
        <w:suppressAutoHyphens/>
        <w:ind w:left="1134" w:hanging="567"/>
        <w:rPr>
          <w:rFonts w:cs="Arial"/>
          <w:spacing w:val="-3"/>
        </w:rPr>
      </w:pPr>
      <w:r w:rsidRPr="00BD1319">
        <w:rPr>
          <w:rFonts w:cs="Arial"/>
          <w:spacing w:val="-3"/>
        </w:rPr>
        <w:t>Conflictividad socioambiental. Conflictos socioambientales activos que pueden ser exacerbados por los impactos y el uso y aprovechamiento de recursos naturales renovables que implicarían la ejecución del proyecto.</w:t>
      </w:r>
    </w:p>
    <w:p w14:paraId="38D0A1F4" w14:textId="77777777" w:rsidR="007D4BC0" w:rsidRPr="00BD1319" w:rsidRDefault="007D4BC0" w:rsidP="007D4BC0">
      <w:pPr>
        <w:numPr>
          <w:ilvl w:val="12"/>
          <w:numId w:val="0"/>
        </w:numPr>
        <w:tabs>
          <w:tab w:val="left" w:pos="-2268"/>
        </w:tabs>
        <w:suppressAutoHyphens/>
        <w:rPr>
          <w:spacing w:val="-3"/>
        </w:rPr>
      </w:pPr>
    </w:p>
    <w:p w14:paraId="36E1DF8A" w14:textId="77777777" w:rsidR="007D4BC0" w:rsidRPr="00BD1319" w:rsidRDefault="007D4BC0" w:rsidP="007D4BC0">
      <w:pPr>
        <w:numPr>
          <w:ilvl w:val="0"/>
          <w:numId w:val="19"/>
        </w:numPr>
        <w:tabs>
          <w:tab w:val="left" w:pos="-2268"/>
        </w:tabs>
        <w:suppressAutoHyphens/>
        <w:ind w:left="567" w:hanging="567"/>
        <w:rPr>
          <w:rFonts w:cs="Arial"/>
          <w:spacing w:val="-3"/>
        </w:rPr>
      </w:pPr>
      <w:r w:rsidRPr="00BD1319">
        <w:rPr>
          <w:rFonts w:cs="Arial"/>
          <w:spacing w:val="-3"/>
        </w:rPr>
        <w:t>Paisaje.</w:t>
      </w:r>
      <w:r w:rsidRPr="00BD1319">
        <w:rPr>
          <w:spacing w:val="-3"/>
        </w:rPr>
        <w:t xml:space="preserve"> Se debe establecer la sensibilidad ambiental de cada unidad de paisaje de acuerdo con los resultados de los análisis de calidad visual, fragilidad visual, atractivo escénico y percepción social del paisaje.</w:t>
      </w:r>
    </w:p>
    <w:p w14:paraId="4F7D7480" w14:textId="22C9E758" w:rsidR="00692D52" w:rsidRPr="00BD1319" w:rsidRDefault="00692D52">
      <w:pPr>
        <w:numPr>
          <w:ilvl w:val="12"/>
          <w:numId w:val="0"/>
        </w:numPr>
        <w:tabs>
          <w:tab w:val="left" w:pos="-2268"/>
        </w:tabs>
        <w:suppressAutoHyphens/>
        <w:rPr>
          <w:spacing w:val="-3"/>
        </w:rPr>
      </w:pPr>
    </w:p>
    <w:p w14:paraId="236BA1E4" w14:textId="77777777" w:rsidR="00C75DF7" w:rsidRPr="00BD1319" w:rsidRDefault="00C75DF7">
      <w:pPr>
        <w:numPr>
          <w:ilvl w:val="12"/>
          <w:numId w:val="0"/>
        </w:numPr>
        <w:tabs>
          <w:tab w:val="left" w:pos="-2268"/>
        </w:tabs>
        <w:suppressAutoHyphens/>
        <w:rPr>
          <w:spacing w:val="-3"/>
        </w:rPr>
      </w:pPr>
    </w:p>
    <w:p w14:paraId="3F6BBB1B" w14:textId="7999AFA6" w:rsidR="001D3FF9" w:rsidRPr="00BD1319" w:rsidRDefault="001D3FF9" w:rsidP="00CB4557">
      <w:pPr>
        <w:pStyle w:val="Ttulo1"/>
        <w:numPr>
          <w:ilvl w:val="0"/>
          <w:numId w:val="8"/>
        </w:numPr>
        <w:rPr>
          <w:lang w:val="es-CO"/>
        </w:rPr>
      </w:pPr>
      <w:bookmarkStart w:id="3062" w:name="_Toc405366856"/>
      <w:bookmarkStart w:id="3063" w:name="_Toc405372403"/>
      <w:bookmarkStart w:id="3064" w:name="_Toc412803201"/>
      <w:bookmarkStart w:id="3065" w:name="_Toc437936041"/>
      <w:bookmarkStart w:id="3066" w:name="_Ref510089186"/>
      <w:bookmarkStart w:id="3067" w:name="_Toc175326782"/>
      <w:r w:rsidRPr="00BD1319">
        <w:rPr>
          <w:lang w:val="es-CO"/>
        </w:rPr>
        <w:t>DEMANDA, USO, APROVECHAMIENTO Y AFECTACIÓN DE RECURSOS NATURALES</w:t>
      </w:r>
      <w:bookmarkEnd w:id="3062"/>
      <w:bookmarkEnd w:id="3063"/>
      <w:bookmarkEnd w:id="3064"/>
      <w:bookmarkEnd w:id="3065"/>
      <w:bookmarkEnd w:id="3066"/>
      <w:bookmarkEnd w:id="3067"/>
    </w:p>
    <w:p w14:paraId="22F5DC38" w14:textId="77777777" w:rsidR="001D3FF9" w:rsidRPr="00BD1319" w:rsidRDefault="001D3FF9">
      <w:pPr>
        <w:numPr>
          <w:ilvl w:val="12"/>
          <w:numId w:val="0"/>
        </w:numPr>
        <w:tabs>
          <w:tab w:val="left" w:pos="-2268"/>
        </w:tabs>
        <w:suppressAutoHyphens/>
        <w:rPr>
          <w:spacing w:val="-3"/>
        </w:rPr>
      </w:pPr>
    </w:p>
    <w:p w14:paraId="04789B2B" w14:textId="4380502A" w:rsidR="004A1B3C" w:rsidRPr="00BD1319" w:rsidRDefault="004A1B3C">
      <w:pPr>
        <w:numPr>
          <w:ilvl w:val="12"/>
          <w:numId w:val="0"/>
        </w:numPr>
        <w:tabs>
          <w:tab w:val="left" w:pos="-2268"/>
        </w:tabs>
        <w:suppressAutoHyphens/>
        <w:rPr>
          <w:spacing w:val="-3"/>
        </w:rPr>
      </w:pPr>
      <w:r w:rsidRPr="00BD1319">
        <w:rPr>
          <w:spacing w:val="-3"/>
        </w:rPr>
        <w:t>Presentar una caracterización detallada de los recursos naturales renovables que demanda el proyecto</w:t>
      </w:r>
      <w:r w:rsidR="00953BF3" w:rsidRPr="00BD1319">
        <w:rPr>
          <w:spacing w:val="-3"/>
        </w:rPr>
        <w:t>, obra o actividad</w:t>
      </w:r>
      <w:r w:rsidRPr="00BD1319">
        <w:rPr>
          <w:spacing w:val="-3"/>
        </w:rPr>
        <w:t xml:space="preserve"> </w:t>
      </w:r>
      <w:r w:rsidRPr="00BD1319">
        <w:rPr>
          <w:rFonts w:cs="Arial"/>
          <w:spacing w:val="-3"/>
        </w:rPr>
        <w:t xml:space="preserve">objeto de licenciamiento ambiental </w:t>
      </w:r>
      <w:r w:rsidRPr="00BD1319">
        <w:rPr>
          <w:spacing w:val="-3"/>
        </w:rPr>
        <w:t xml:space="preserve">y que serían utilizados, aprovechados o afectados durante las diferentes fases </w:t>
      </w:r>
      <w:r w:rsidR="008740E1" w:rsidRPr="00BD1319">
        <w:rPr>
          <w:spacing w:val="-3"/>
        </w:rPr>
        <w:t>de éste</w:t>
      </w:r>
      <w:r w:rsidRPr="00BD1319">
        <w:rPr>
          <w:spacing w:val="-3"/>
        </w:rPr>
        <w:t>.</w:t>
      </w:r>
    </w:p>
    <w:p w14:paraId="21E56F87" w14:textId="77777777" w:rsidR="004A1B3C" w:rsidRPr="00BD1319" w:rsidRDefault="004A1B3C">
      <w:pPr>
        <w:numPr>
          <w:ilvl w:val="12"/>
          <w:numId w:val="0"/>
        </w:numPr>
        <w:tabs>
          <w:tab w:val="left" w:pos="-2268"/>
        </w:tabs>
        <w:suppressAutoHyphens/>
        <w:rPr>
          <w:spacing w:val="-3"/>
        </w:rPr>
      </w:pPr>
    </w:p>
    <w:p w14:paraId="79F45CA4" w14:textId="1E41F61E" w:rsidR="004A1B3C" w:rsidRPr="00BD1319" w:rsidRDefault="004A1B3C">
      <w:pPr>
        <w:numPr>
          <w:ilvl w:val="12"/>
          <w:numId w:val="0"/>
        </w:numPr>
        <w:tabs>
          <w:tab w:val="left" w:pos="-2268"/>
        </w:tabs>
        <w:suppressAutoHyphens/>
        <w:rPr>
          <w:spacing w:val="-3"/>
        </w:rPr>
      </w:pPr>
      <w:r w:rsidRPr="00BD1319">
        <w:rPr>
          <w:spacing w:val="-3"/>
        </w:rPr>
        <w:t>En cuanto a los permisos, concesiones y autorizaciones para aprovechamiento de los recursos naturales, se debe</w:t>
      </w:r>
      <w:r w:rsidR="00972B99" w:rsidRPr="00BD1319">
        <w:rPr>
          <w:spacing w:val="-3"/>
        </w:rPr>
        <w:t>n</w:t>
      </w:r>
      <w:r w:rsidRPr="00BD1319">
        <w:rPr>
          <w:spacing w:val="-3"/>
        </w:rPr>
        <w:t xml:space="preserve"> presentar los Formularios Únicos Nacionales</w:t>
      </w:r>
      <w:r w:rsidR="00E77B0F" w:rsidRPr="00BD1319">
        <w:rPr>
          <w:spacing w:val="-3"/>
        </w:rPr>
        <w:t xml:space="preserve"> (FUN)</w:t>
      </w:r>
      <w:r w:rsidR="00212C87" w:rsidRPr="00BD1319">
        <w:rPr>
          <w:spacing w:val="-3"/>
        </w:rPr>
        <w:t xml:space="preserve"> para la solicitud de permisos, autorizaciones y concesiones ambientales</w:t>
      </w:r>
      <w:r w:rsidRPr="00BD1319">
        <w:rPr>
          <w:spacing w:val="-3"/>
        </w:rPr>
        <w:t xml:space="preserve"> existentes para tal fin</w:t>
      </w:r>
      <w:r w:rsidR="00972B99" w:rsidRPr="00BD1319">
        <w:rPr>
          <w:spacing w:val="-3"/>
        </w:rPr>
        <w:t>, con los anexos correspondientes.</w:t>
      </w:r>
      <w:r w:rsidR="00972B99" w:rsidRPr="00BD1319">
        <w:rPr>
          <w:rFonts w:cs="Arial"/>
          <w:spacing w:val="-3"/>
        </w:rPr>
        <w:t xml:space="preserve"> Para aquellos permisos, concesiones y autorizaciones que requieran</w:t>
      </w:r>
      <w:r w:rsidRPr="00BD1319">
        <w:rPr>
          <w:rFonts w:cs="Arial"/>
          <w:spacing w:val="-3"/>
        </w:rPr>
        <w:t xml:space="preserve"> toma de muestras y análisis </w:t>
      </w:r>
      <w:r w:rsidR="00972B99" w:rsidRPr="00BD1319">
        <w:rPr>
          <w:rFonts w:cs="Arial"/>
          <w:spacing w:val="-3"/>
        </w:rPr>
        <w:t xml:space="preserve">de laboratorio, dichos procedimientos </w:t>
      </w:r>
      <w:r w:rsidRPr="00BD1319">
        <w:rPr>
          <w:rFonts w:cs="Arial"/>
          <w:spacing w:val="-3"/>
        </w:rPr>
        <w:t xml:space="preserve">deben </w:t>
      </w:r>
      <w:r w:rsidR="00972B99" w:rsidRPr="00BD1319">
        <w:rPr>
          <w:rFonts w:cs="Arial"/>
          <w:spacing w:val="-3"/>
        </w:rPr>
        <w:t xml:space="preserve">ser </w:t>
      </w:r>
      <w:r w:rsidRPr="00BD1319">
        <w:rPr>
          <w:rFonts w:cs="Arial"/>
          <w:spacing w:val="-3"/>
        </w:rPr>
        <w:t>realiza</w:t>
      </w:r>
      <w:r w:rsidR="00972B99" w:rsidRPr="00BD1319">
        <w:rPr>
          <w:rFonts w:cs="Arial"/>
          <w:spacing w:val="-3"/>
        </w:rPr>
        <w:t>dos</w:t>
      </w:r>
      <w:r w:rsidRPr="00BD1319">
        <w:rPr>
          <w:rFonts w:cs="Arial"/>
          <w:spacing w:val="-3"/>
        </w:rPr>
        <w:t xml:space="preserve"> por laboratorios con acreditación vigente ante el </w:t>
      </w:r>
      <w:proofErr w:type="spellStart"/>
      <w:r w:rsidR="00A92356" w:rsidRPr="00BD1319">
        <w:rPr>
          <w:rFonts w:cs="Arial"/>
          <w:spacing w:val="-3"/>
        </w:rPr>
        <w:t>Ideam</w:t>
      </w:r>
      <w:proofErr w:type="spellEnd"/>
      <w:r w:rsidRPr="00BD1319">
        <w:rPr>
          <w:rFonts w:cs="Arial"/>
          <w:spacing w:val="-3"/>
        </w:rPr>
        <w:t>.</w:t>
      </w:r>
    </w:p>
    <w:p w14:paraId="0103CE73" w14:textId="77777777" w:rsidR="00972B99" w:rsidRPr="00BD1319" w:rsidRDefault="00972B99" w:rsidP="00972B99">
      <w:pPr>
        <w:numPr>
          <w:ilvl w:val="12"/>
          <w:numId w:val="0"/>
        </w:numPr>
        <w:tabs>
          <w:tab w:val="left" w:pos="-2268"/>
        </w:tabs>
        <w:suppressAutoHyphens/>
        <w:rPr>
          <w:spacing w:val="-3"/>
        </w:rPr>
      </w:pPr>
    </w:p>
    <w:p w14:paraId="2F2030FB" w14:textId="210BC435" w:rsidR="00972B99" w:rsidRPr="00BD1319" w:rsidRDefault="00972B99" w:rsidP="00972B99">
      <w:pPr>
        <w:numPr>
          <w:ilvl w:val="12"/>
          <w:numId w:val="0"/>
        </w:numPr>
        <w:tabs>
          <w:tab w:val="left" w:pos="-2268"/>
        </w:tabs>
        <w:suppressAutoHyphens/>
        <w:rPr>
          <w:spacing w:val="-3"/>
        </w:rPr>
      </w:pPr>
      <w:r w:rsidRPr="00BD1319">
        <w:rPr>
          <w:spacing w:val="-3"/>
        </w:rPr>
        <w:t>En caso de que no se cuente con la capacidad analítica en el país, se aceptan los resultados de análisis que provengan de laboratorios extranjeros acreditados en la norma ISO 17025 (versión vigente).</w:t>
      </w:r>
    </w:p>
    <w:p w14:paraId="73556C14" w14:textId="77777777" w:rsidR="00972B99" w:rsidRPr="00BD1319" w:rsidRDefault="00972B99">
      <w:pPr>
        <w:numPr>
          <w:ilvl w:val="12"/>
          <w:numId w:val="0"/>
        </w:numPr>
        <w:tabs>
          <w:tab w:val="left" w:pos="-2268"/>
        </w:tabs>
        <w:suppressAutoHyphens/>
        <w:rPr>
          <w:spacing w:val="-3"/>
        </w:rPr>
      </w:pPr>
    </w:p>
    <w:p w14:paraId="55C7EBB8" w14:textId="638B9B63" w:rsidR="004A1B3C" w:rsidRPr="00BD1319" w:rsidRDefault="004A1B3C">
      <w:pPr>
        <w:numPr>
          <w:ilvl w:val="12"/>
          <w:numId w:val="0"/>
        </w:numPr>
        <w:tabs>
          <w:tab w:val="left" w:pos="-2268"/>
        </w:tabs>
        <w:suppressAutoHyphens/>
        <w:rPr>
          <w:spacing w:val="-3"/>
        </w:rPr>
      </w:pPr>
      <w:r w:rsidRPr="00BD1319">
        <w:rPr>
          <w:spacing w:val="-3"/>
        </w:rPr>
        <w:lastRenderedPageBreak/>
        <w:t>De acuerdo con la Ley 373 de 1997, la Política Nacional para la Gestión Integral del Recurso Hídrico y la Política de Producción más Limpia y Consumo Sostenible, se deben presentar programas de ahorro y uso eficiente del agua para las concesiones solicitadas.</w:t>
      </w:r>
    </w:p>
    <w:p w14:paraId="71AAD499" w14:textId="77777777" w:rsidR="004A1B3C" w:rsidRPr="00BD1319" w:rsidRDefault="004A1B3C">
      <w:pPr>
        <w:numPr>
          <w:ilvl w:val="12"/>
          <w:numId w:val="0"/>
        </w:numPr>
        <w:tabs>
          <w:tab w:val="left" w:pos="-2268"/>
        </w:tabs>
        <w:suppressAutoHyphens/>
        <w:rPr>
          <w:spacing w:val="-3"/>
        </w:rPr>
      </w:pPr>
    </w:p>
    <w:p w14:paraId="63B61BE8" w14:textId="4BA3E736" w:rsidR="004806B5" w:rsidRPr="00BD1319" w:rsidRDefault="004A1B3C">
      <w:pPr>
        <w:numPr>
          <w:ilvl w:val="12"/>
          <w:numId w:val="0"/>
        </w:numPr>
        <w:tabs>
          <w:tab w:val="left" w:pos="-2268"/>
        </w:tabs>
        <w:suppressAutoHyphens/>
        <w:rPr>
          <w:spacing w:val="-3"/>
        </w:rPr>
      </w:pPr>
      <w:r w:rsidRPr="00BD1319">
        <w:rPr>
          <w:spacing w:val="-3"/>
        </w:rPr>
        <w:t xml:space="preserve">El desarrollo de este </w:t>
      </w:r>
      <w:r w:rsidR="00E77B0F" w:rsidRPr="00BD1319">
        <w:rPr>
          <w:spacing w:val="-3"/>
        </w:rPr>
        <w:t xml:space="preserve">numeral </w:t>
      </w:r>
      <w:r w:rsidRPr="00BD1319">
        <w:rPr>
          <w:spacing w:val="-3"/>
        </w:rPr>
        <w:t xml:space="preserve">debe tener en cuenta e incorporar, en caso de ser pertinentes, </w:t>
      </w:r>
      <w:r w:rsidR="004806B5" w:rsidRPr="00BD1319">
        <w:rPr>
          <w:spacing w:val="-3"/>
        </w:rPr>
        <w:t xml:space="preserve">los insumos, saberes, sugerencias, recomendaciones o alertas que resulten de los procesos de información y participación con los grupos de interés del área de influencia. Dichos aportes deben ser incorporados de manera expresa en el documento, de tal forma que se evidencie su incidencia en el resultado de este numeral y, en caso de estimarlos como no pertinentes, o de que no haya aportes por parte de los grupos de interés, se deben indicar y sustentar las razones por las cuales no se incluyen </w:t>
      </w:r>
      <w:r w:rsidR="00440C46" w:rsidRPr="00BD1319">
        <w:rPr>
          <w:spacing w:val="-3"/>
        </w:rPr>
        <w:t>como parte de la información sobre demanda, uso, aprovechamiento y afectación de recursos naturales</w:t>
      </w:r>
      <w:r w:rsidR="004806B5" w:rsidRPr="00BD1319">
        <w:rPr>
          <w:spacing w:val="-3"/>
        </w:rPr>
        <w:t>.</w:t>
      </w:r>
    </w:p>
    <w:p w14:paraId="529AE557" w14:textId="77777777" w:rsidR="004A1B3C" w:rsidRPr="00BD1319" w:rsidRDefault="004A1B3C">
      <w:pPr>
        <w:numPr>
          <w:ilvl w:val="12"/>
          <w:numId w:val="0"/>
        </w:numPr>
        <w:tabs>
          <w:tab w:val="left" w:pos="-2268"/>
        </w:tabs>
        <w:suppressAutoHyphens/>
        <w:rPr>
          <w:spacing w:val="-3"/>
        </w:rPr>
      </w:pPr>
    </w:p>
    <w:p w14:paraId="1B5D1605" w14:textId="50765105" w:rsidR="004A1B3C" w:rsidRPr="00BD1319" w:rsidRDefault="004A1B3C" w:rsidP="0068149C">
      <w:pPr>
        <w:pStyle w:val="Ttulo2"/>
        <w:rPr>
          <w:lang w:val="es-CO"/>
        </w:rPr>
      </w:pPr>
      <w:bookmarkStart w:id="3068" w:name="_Toc393967340"/>
      <w:bookmarkStart w:id="3069" w:name="_Toc405366857"/>
      <w:bookmarkStart w:id="3070" w:name="_Toc405372404"/>
      <w:bookmarkStart w:id="3071" w:name="_Toc412803202"/>
      <w:bookmarkStart w:id="3072" w:name="_Toc437936042"/>
      <w:bookmarkStart w:id="3073" w:name="_Toc42874871"/>
      <w:bookmarkStart w:id="3074" w:name="_Toc175326783"/>
      <w:r w:rsidRPr="00BD1319">
        <w:rPr>
          <w:lang w:val="es-CO"/>
        </w:rPr>
        <w:t>CONCESIÓN DE AGUA SUPERFICIAL</w:t>
      </w:r>
      <w:bookmarkEnd w:id="3068"/>
      <w:bookmarkEnd w:id="3069"/>
      <w:bookmarkEnd w:id="3070"/>
      <w:bookmarkEnd w:id="3071"/>
      <w:bookmarkEnd w:id="3072"/>
      <w:bookmarkEnd w:id="3073"/>
      <w:bookmarkEnd w:id="3074"/>
    </w:p>
    <w:p w14:paraId="5D22885E" w14:textId="77777777" w:rsidR="004A1B3C" w:rsidRPr="00BD1319" w:rsidRDefault="004A1B3C">
      <w:pPr>
        <w:numPr>
          <w:ilvl w:val="12"/>
          <w:numId w:val="0"/>
        </w:numPr>
        <w:tabs>
          <w:tab w:val="left" w:pos="-2268"/>
        </w:tabs>
        <w:suppressAutoHyphens/>
        <w:rPr>
          <w:spacing w:val="-3"/>
        </w:rPr>
      </w:pPr>
    </w:p>
    <w:p w14:paraId="10D67417" w14:textId="4EBAC3A5" w:rsidR="004A1B3C" w:rsidRPr="00BD1319" w:rsidRDefault="004A1B3C">
      <w:pPr>
        <w:numPr>
          <w:ilvl w:val="12"/>
          <w:numId w:val="0"/>
        </w:numPr>
        <w:tabs>
          <w:tab w:val="left" w:pos="-2268"/>
        </w:tabs>
        <w:suppressAutoHyphens/>
        <w:rPr>
          <w:spacing w:val="-3"/>
        </w:rPr>
      </w:pPr>
      <w:r w:rsidRPr="00BD1319">
        <w:rPr>
          <w:spacing w:val="-3"/>
        </w:rPr>
        <w:t xml:space="preserve">Cuando se requiera el </w:t>
      </w:r>
      <w:r w:rsidRPr="00BD1319">
        <w:rPr>
          <w:rFonts w:cs="Arial"/>
          <w:spacing w:val="-3"/>
        </w:rPr>
        <w:t>permiso de concesión de agua</w:t>
      </w:r>
      <w:r w:rsidR="005472C6" w:rsidRPr="00BD1319">
        <w:rPr>
          <w:rFonts w:cs="Arial"/>
          <w:spacing w:val="-3"/>
        </w:rPr>
        <w:t xml:space="preserve">, sea </w:t>
      </w:r>
      <w:r w:rsidR="006762EC" w:rsidRPr="00BD1319">
        <w:rPr>
          <w:rFonts w:cs="Arial"/>
          <w:spacing w:val="-3"/>
        </w:rPr>
        <w:t xml:space="preserve">ésta </w:t>
      </w:r>
      <w:r w:rsidRPr="00BD1319">
        <w:rPr>
          <w:rFonts w:cs="Arial"/>
          <w:spacing w:val="-3"/>
        </w:rPr>
        <w:t>superficial</w:t>
      </w:r>
      <w:r w:rsidR="005472C6" w:rsidRPr="00BD1319">
        <w:rPr>
          <w:rFonts w:cs="Arial"/>
          <w:spacing w:val="-3"/>
        </w:rPr>
        <w:t xml:space="preserve"> o </w:t>
      </w:r>
      <w:r w:rsidR="00F1505A" w:rsidRPr="00BD1319">
        <w:rPr>
          <w:rFonts w:cs="Arial"/>
          <w:spacing w:val="-3"/>
        </w:rPr>
        <w:t>residual (según lo establecido en la Resolución 1256 de 2021 o aquella que la modifique o sustituya),</w:t>
      </w:r>
      <w:r w:rsidRPr="00BD1319">
        <w:rPr>
          <w:spacing w:val="-3"/>
        </w:rPr>
        <w:t xml:space="preserve"> se debe presentar el </w:t>
      </w:r>
      <w:r w:rsidR="00FF0811" w:rsidRPr="00BD1319">
        <w:rPr>
          <w:rFonts w:cs="Arial"/>
          <w:spacing w:val="-3"/>
        </w:rPr>
        <w:t>FUN</w:t>
      </w:r>
      <w:r w:rsidRPr="00BD1319">
        <w:rPr>
          <w:rFonts w:cs="Arial"/>
          <w:spacing w:val="-3"/>
        </w:rPr>
        <w:t xml:space="preserve"> de </w:t>
      </w:r>
      <w:r w:rsidR="00E77B0F" w:rsidRPr="00BD1319">
        <w:rPr>
          <w:rFonts w:cs="Arial"/>
          <w:spacing w:val="-3"/>
        </w:rPr>
        <w:t>s</w:t>
      </w:r>
      <w:r w:rsidRPr="00BD1319">
        <w:rPr>
          <w:rFonts w:cs="Arial"/>
          <w:spacing w:val="-3"/>
        </w:rPr>
        <w:t xml:space="preserve">olicitud de </w:t>
      </w:r>
      <w:r w:rsidR="00E77B0F" w:rsidRPr="00BD1319">
        <w:rPr>
          <w:rFonts w:cs="Arial"/>
          <w:spacing w:val="-3"/>
        </w:rPr>
        <w:t>c</w:t>
      </w:r>
      <w:r w:rsidRPr="00BD1319">
        <w:rPr>
          <w:rFonts w:cs="Arial"/>
          <w:spacing w:val="-3"/>
        </w:rPr>
        <w:t xml:space="preserve">oncesión de </w:t>
      </w:r>
      <w:r w:rsidR="00E77B0F" w:rsidRPr="00BD1319">
        <w:rPr>
          <w:rFonts w:cs="Arial"/>
          <w:spacing w:val="-3"/>
        </w:rPr>
        <w:t>a</w:t>
      </w:r>
      <w:r w:rsidRPr="00BD1319">
        <w:rPr>
          <w:rFonts w:cs="Arial"/>
          <w:spacing w:val="-3"/>
        </w:rPr>
        <w:t xml:space="preserve">guas </w:t>
      </w:r>
      <w:r w:rsidR="00E77B0F" w:rsidRPr="00BD1319">
        <w:rPr>
          <w:rFonts w:cs="Arial"/>
          <w:spacing w:val="-3"/>
        </w:rPr>
        <w:t>s</w:t>
      </w:r>
      <w:r w:rsidRPr="00BD1319">
        <w:rPr>
          <w:rFonts w:cs="Arial"/>
          <w:spacing w:val="-3"/>
        </w:rPr>
        <w:t xml:space="preserve">uperficiales adoptado por la Resolución </w:t>
      </w:r>
      <w:r w:rsidR="00E72182" w:rsidRPr="00BD1319">
        <w:rPr>
          <w:rFonts w:cs="Arial"/>
          <w:spacing w:val="-3"/>
        </w:rPr>
        <w:t>1058</w:t>
      </w:r>
      <w:r w:rsidRPr="00BD1319">
        <w:rPr>
          <w:rFonts w:cs="Arial"/>
          <w:spacing w:val="-3"/>
        </w:rPr>
        <w:t xml:space="preserve"> de 20</w:t>
      </w:r>
      <w:r w:rsidR="00E72182" w:rsidRPr="00BD1319">
        <w:rPr>
          <w:rFonts w:cs="Arial"/>
          <w:spacing w:val="-3"/>
        </w:rPr>
        <w:t>21</w:t>
      </w:r>
      <w:r w:rsidRPr="00BD1319">
        <w:rPr>
          <w:rFonts w:cs="Arial"/>
          <w:spacing w:val="-3"/>
        </w:rPr>
        <w:t xml:space="preserve"> o por aquella norma que la modifique o sustituya, así como lo estipulado en los artículos 2.2.3.2.9.1. Solicitud de concesión y 2.2.3.2.9.2. Anexos a la </w:t>
      </w:r>
      <w:r w:rsidRPr="00BD1319">
        <w:rPr>
          <w:spacing w:val="-3"/>
        </w:rPr>
        <w:t>solicitud</w:t>
      </w:r>
      <w:r w:rsidRPr="00BD1319">
        <w:rPr>
          <w:rFonts w:cs="Arial"/>
          <w:spacing w:val="-3"/>
        </w:rPr>
        <w:t xml:space="preserve"> del Decreto 1076</w:t>
      </w:r>
      <w:r w:rsidRPr="00BD1319">
        <w:rPr>
          <w:spacing w:val="-3"/>
        </w:rPr>
        <w:t xml:space="preserve"> de </w:t>
      </w:r>
      <w:r w:rsidRPr="00BD1319">
        <w:rPr>
          <w:rFonts w:cs="Arial"/>
          <w:spacing w:val="-3"/>
        </w:rPr>
        <w:t>2015</w:t>
      </w:r>
      <w:r w:rsidR="00BE6C44" w:rsidRPr="00BD1319">
        <w:rPr>
          <w:rFonts w:cs="Arial"/>
          <w:spacing w:val="-3"/>
        </w:rPr>
        <w:t>,</w:t>
      </w:r>
      <w:r w:rsidRPr="00BD1319">
        <w:rPr>
          <w:spacing w:val="-3"/>
        </w:rPr>
        <w:t xml:space="preserve"> que incluye</w:t>
      </w:r>
      <w:r w:rsidR="00BE6C44" w:rsidRPr="00BD1319">
        <w:rPr>
          <w:spacing w:val="-3"/>
        </w:rPr>
        <w:t>n</w:t>
      </w:r>
      <w:r w:rsidRPr="00BD1319">
        <w:rPr>
          <w:spacing w:val="-3"/>
        </w:rPr>
        <w:t xml:space="preserve"> entre otra, la siguiente información:</w:t>
      </w:r>
    </w:p>
    <w:p w14:paraId="0E304617" w14:textId="77777777" w:rsidR="004A1B3C" w:rsidRPr="00BD1319" w:rsidRDefault="004A1B3C">
      <w:pPr>
        <w:numPr>
          <w:ilvl w:val="12"/>
          <w:numId w:val="0"/>
        </w:numPr>
        <w:tabs>
          <w:tab w:val="left" w:pos="-2268"/>
        </w:tabs>
        <w:suppressAutoHyphens/>
        <w:rPr>
          <w:spacing w:val="-3"/>
        </w:rPr>
      </w:pPr>
    </w:p>
    <w:p w14:paraId="6CFD8884" w14:textId="2FD732A8" w:rsidR="004A1B3C" w:rsidRPr="00BD1319" w:rsidRDefault="004A1B3C" w:rsidP="00C86DA5">
      <w:pPr>
        <w:pStyle w:val="Prrafodelista"/>
        <w:numPr>
          <w:ilvl w:val="0"/>
          <w:numId w:val="5"/>
        </w:numPr>
        <w:tabs>
          <w:tab w:val="left" w:pos="-2268"/>
        </w:tabs>
        <w:suppressAutoHyphens/>
        <w:ind w:left="567" w:hanging="567"/>
        <w:rPr>
          <w:spacing w:val="-3"/>
          <w:lang w:val="es-CO"/>
        </w:rPr>
      </w:pPr>
      <w:r w:rsidRPr="00BD1319">
        <w:rPr>
          <w:spacing w:val="-3"/>
          <w:lang w:val="es-CO"/>
        </w:rPr>
        <w:t xml:space="preserve">Caudal de agua solicitado, expresado en litros por segundo, así como el estimativo del consumo de agua requerido para las diferentes </w:t>
      </w:r>
      <w:r w:rsidRPr="00BD1319">
        <w:rPr>
          <w:rFonts w:cs="Arial"/>
          <w:spacing w:val="-3"/>
          <w:lang w:val="es-CO"/>
        </w:rPr>
        <w:t>actividades</w:t>
      </w:r>
      <w:r w:rsidRPr="00BD1319">
        <w:rPr>
          <w:spacing w:val="-3"/>
          <w:lang w:val="es-CO"/>
        </w:rPr>
        <w:t xml:space="preserve"> del proyecto</w:t>
      </w:r>
      <w:r w:rsidRPr="00BD1319">
        <w:rPr>
          <w:rFonts w:cs="Arial"/>
          <w:spacing w:val="-3"/>
          <w:lang w:val="es-CO"/>
        </w:rPr>
        <w:t xml:space="preserve"> en cada una de sus fases</w:t>
      </w:r>
      <w:r w:rsidRPr="00BD1319">
        <w:rPr>
          <w:spacing w:val="-3"/>
          <w:lang w:val="es-CO"/>
        </w:rPr>
        <w:t>, expresado en las mismas unidades, discriminando el tipo de uso (doméstico, industrial)</w:t>
      </w:r>
      <w:r w:rsidR="00E45478" w:rsidRPr="00BD1319">
        <w:rPr>
          <w:spacing w:val="-3"/>
          <w:lang w:val="es-CO"/>
        </w:rPr>
        <w:t xml:space="preserve">, tal como lo indica la Resolución </w:t>
      </w:r>
      <w:r w:rsidR="00CA4BEC" w:rsidRPr="00BD1319">
        <w:rPr>
          <w:rFonts w:cs="Arial"/>
          <w:spacing w:val="-3"/>
          <w:lang w:val="es-CO"/>
        </w:rPr>
        <w:t>1058 de 2021</w:t>
      </w:r>
      <w:r w:rsidR="00E45478" w:rsidRPr="00BD1319">
        <w:rPr>
          <w:spacing w:val="-3"/>
          <w:lang w:val="es-CO"/>
        </w:rPr>
        <w:t xml:space="preserve"> o aquella que la modifique o sustituya</w:t>
      </w:r>
      <w:r w:rsidRPr="00BD1319">
        <w:rPr>
          <w:spacing w:val="-3"/>
          <w:lang w:val="es-CO"/>
        </w:rPr>
        <w:t>.</w:t>
      </w:r>
      <w:r w:rsidRPr="00BD1319">
        <w:rPr>
          <w:rFonts w:cs="Arial"/>
          <w:spacing w:val="-3"/>
          <w:lang w:val="es-CO"/>
        </w:rPr>
        <w:t xml:space="preserve"> </w:t>
      </w:r>
    </w:p>
    <w:p w14:paraId="556B1794" w14:textId="77777777" w:rsidR="004A1B3C" w:rsidRPr="00BD1319" w:rsidRDefault="004A1B3C" w:rsidP="00C86DA5">
      <w:pPr>
        <w:pStyle w:val="Prrafodelista"/>
        <w:tabs>
          <w:tab w:val="left" w:pos="-2268"/>
        </w:tabs>
        <w:suppressAutoHyphens/>
        <w:ind w:left="567" w:hanging="567"/>
        <w:rPr>
          <w:spacing w:val="-3"/>
          <w:lang w:val="es-CO"/>
        </w:rPr>
      </w:pPr>
    </w:p>
    <w:p w14:paraId="08746AB3" w14:textId="6DF0768B" w:rsidR="004A1B3C" w:rsidRPr="00BD1319" w:rsidRDefault="00F61EA4" w:rsidP="00C86DA5">
      <w:pPr>
        <w:pStyle w:val="Prrafodelista"/>
        <w:numPr>
          <w:ilvl w:val="0"/>
          <w:numId w:val="5"/>
        </w:numPr>
        <w:tabs>
          <w:tab w:val="left" w:pos="-2268"/>
        </w:tabs>
        <w:suppressAutoHyphens/>
        <w:ind w:left="567" w:hanging="567"/>
        <w:rPr>
          <w:spacing w:val="-3"/>
          <w:lang w:val="es-CO"/>
        </w:rPr>
      </w:pPr>
      <w:r w:rsidRPr="00BD1319">
        <w:rPr>
          <w:spacing w:val="-3"/>
          <w:lang w:val="es-CO"/>
        </w:rPr>
        <w:t xml:space="preserve">Determinación </w:t>
      </w:r>
      <w:r w:rsidR="004A1B3C" w:rsidRPr="00BD1319">
        <w:rPr>
          <w:spacing w:val="-3"/>
          <w:lang w:val="es-CO"/>
        </w:rPr>
        <w:t>de la fuente o sitio de captación, indicando los siguientes datos:</w:t>
      </w:r>
    </w:p>
    <w:p w14:paraId="2D2806B4" w14:textId="77777777" w:rsidR="00BE6C44" w:rsidRPr="00BD1319" w:rsidRDefault="00BE6C44" w:rsidP="009420F5">
      <w:pPr>
        <w:tabs>
          <w:tab w:val="left" w:pos="-2268"/>
        </w:tabs>
        <w:suppressAutoHyphens/>
        <w:rPr>
          <w:spacing w:val="-3"/>
        </w:rPr>
      </w:pPr>
    </w:p>
    <w:p w14:paraId="045C13C5" w14:textId="7DE7555B" w:rsidR="004A1B3C" w:rsidRPr="00BD1319" w:rsidRDefault="004A1B3C" w:rsidP="005050B4">
      <w:pPr>
        <w:numPr>
          <w:ilvl w:val="1"/>
          <w:numId w:val="573"/>
        </w:numPr>
        <w:tabs>
          <w:tab w:val="left" w:pos="-2268"/>
        </w:tabs>
        <w:suppressAutoHyphens/>
        <w:ind w:left="1134" w:hanging="567"/>
        <w:rPr>
          <w:rFonts w:cs="Arial"/>
          <w:spacing w:val="-3"/>
        </w:rPr>
      </w:pPr>
      <w:r w:rsidRPr="00BD1319">
        <w:rPr>
          <w:rFonts w:cs="Arial"/>
          <w:spacing w:val="-3"/>
        </w:rPr>
        <w:t xml:space="preserve">Nombre de la fuente a utilizar de acuerdo con las clasificaciones establecidas en el Registro </w:t>
      </w:r>
      <w:r w:rsidR="00BE6C44" w:rsidRPr="00BD1319">
        <w:rPr>
          <w:rFonts w:cs="Arial"/>
          <w:spacing w:val="-3"/>
        </w:rPr>
        <w:t>ú</w:t>
      </w:r>
      <w:r w:rsidRPr="00BD1319">
        <w:rPr>
          <w:rFonts w:cs="Arial"/>
          <w:spacing w:val="-3"/>
        </w:rPr>
        <w:t xml:space="preserve">nico de </w:t>
      </w:r>
      <w:r w:rsidR="00BE6C44" w:rsidRPr="00BD1319">
        <w:rPr>
          <w:rFonts w:cs="Arial"/>
          <w:spacing w:val="-3"/>
        </w:rPr>
        <w:t>r</w:t>
      </w:r>
      <w:r w:rsidRPr="00BD1319">
        <w:rPr>
          <w:rFonts w:cs="Arial"/>
          <w:spacing w:val="-3"/>
        </w:rPr>
        <w:t xml:space="preserve">ecurso </w:t>
      </w:r>
      <w:r w:rsidR="00BE6C44" w:rsidRPr="00BD1319">
        <w:rPr>
          <w:rFonts w:cs="Arial"/>
          <w:spacing w:val="-3"/>
        </w:rPr>
        <w:t>h</w:t>
      </w:r>
      <w:r w:rsidRPr="00BD1319">
        <w:rPr>
          <w:rFonts w:cs="Arial"/>
          <w:spacing w:val="-3"/>
        </w:rPr>
        <w:t>ídrico.</w:t>
      </w:r>
    </w:p>
    <w:p w14:paraId="5B6F169A" w14:textId="77777777" w:rsidR="004A1B3C" w:rsidRPr="00BD1319" w:rsidRDefault="004A1B3C" w:rsidP="009420F5">
      <w:pPr>
        <w:rPr>
          <w:spacing w:val="-3"/>
        </w:rPr>
      </w:pPr>
    </w:p>
    <w:p w14:paraId="4FC2E7F6" w14:textId="77777777" w:rsidR="004A1B3C" w:rsidRPr="00BD1319" w:rsidRDefault="004A1B3C" w:rsidP="005050B4">
      <w:pPr>
        <w:numPr>
          <w:ilvl w:val="1"/>
          <w:numId w:val="573"/>
        </w:numPr>
        <w:tabs>
          <w:tab w:val="left" w:pos="-2268"/>
        </w:tabs>
        <w:suppressAutoHyphens/>
        <w:ind w:left="1134" w:hanging="567"/>
        <w:rPr>
          <w:rFonts w:cs="Arial"/>
          <w:spacing w:val="-3"/>
        </w:rPr>
      </w:pPr>
      <w:r w:rsidRPr="00BD1319">
        <w:rPr>
          <w:rFonts w:cs="Arial"/>
          <w:spacing w:val="-3"/>
        </w:rPr>
        <w:t>Localización georreferenciada del punto o tramo homogéneo de captación propuesto.</w:t>
      </w:r>
    </w:p>
    <w:p w14:paraId="0349B64B" w14:textId="77777777" w:rsidR="004A1B3C" w:rsidRPr="00BD1319" w:rsidRDefault="004A1B3C" w:rsidP="009420F5">
      <w:pPr>
        <w:rPr>
          <w:spacing w:val="-3"/>
        </w:rPr>
      </w:pPr>
    </w:p>
    <w:p w14:paraId="47A7E430" w14:textId="5CFFE709" w:rsidR="004A1B3C" w:rsidRPr="00BD1319" w:rsidRDefault="004A1B3C" w:rsidP="005050B4">
      <w:pPr>
        <w:numPr>
          <w:ilvl w:val="1"/>
          <w:numId w:val="573"/>
        </w:numPr>
        <w:tabs>
          <w:tab w:val="left" w:pos="-2268"/>
        </w:tabs>
        <w:suppressAutoHyphens/>
        <w:ind w:left="1134" w:hanging="567"/>
        <w:rPr>
          <w:rFonts w:cs="Arial"/>
          <w:spacing w:val="-3"/>
        </w:rPr>
      </w:pPr>
      <w:r w:rsidRPr="00BD1319">
        <w:rPr>
          <w:rFonts w:cs="Arial"/>
          <w:spacing w:val="-3"/>
        </w:rPr>
        <w:t>Predio en donde se ubica la fuente o a través del cual se accede directamente a</w:t>
      </w:r>
      <w:r w:rsidR="00E77B0F" w:rsidRPr="00BD1319">
        <w:rPr>
          <w:rFonts w:cs="Arial"/>
          <w:spacing w:val="-3"/>
        </w:rPr>
        <w:t xml:space="preserve"> </w:t>
      </w:r>
      <w:r w:rsidRPr="00BD1319">
        <w:rPr>
          <w:rFonts w:cs="Arial"/>
          <w:spacing w:val="-3"/>
        </w:rPr>
        <w:t>ésta (nombre del predio, propietario, vereda y municipio).</w:t>
      </w:r>
    </w:p>
    <w:p w14:paraId="0EE9DBFC" w14:textId="77777777" w:rsidR="004A1B3C" w:rsidRPr="00BD1319" w:rsidRDefault="004A1B3C" w:rsidP="009420F5">
      <w:pPr>
        <w:rPr>
          <w:spacing w:val="-3"/>
        </w:rPr>
      </w:pPr>
    </w:p>
    <w:p w14:paraId="3CA8FE28" w14:textId="75DAC351" w:rsidR="004A1B3C" w:rsidRPr="00BD1319" w:rsidRDefault="004A1B3C" w:rsidP="00C86DA5">
      <w:pPr>
        <w:pStyle w:val="Prrafodelista"/>
        <w:numPr>
          <w:ilvl w:val="0"/>
          <w:numId w:val="5"/>
        </w:numPr>
        <w:tabs>
          <w:tab w:val="left" w:pos="-2268"/>
        </w:tabs>
        <w:suppressAutoHyphens/>
        <w:ind w:left="567" w:hanging="567"/>
        <w:rPr>
          <w:spacing w:val="-3"/>
          <w:lang w:val="es-CO"/>
        </w:rPr>
      </w:pPr>
      <w:r w:rsidRPr="00BD1319">
        <w:rPr>
          <w:spacing w:val="-3"/>
          <w:lang w:val="es-CO"/>
        </w:rPr>
        <w:t xml:space="preserve">Análisis de los conflictos actuales y potenciales sobre la disponibilidad del recurso hídrico, teniendo en cuenta el análisis hidrológico de caudales mínimos; así como el inventario y cuantificación aguas abajo de la captación hasta el límite del área de </w:t>
      </w:r>
      <w:r w:rsidRPr="00BD1319">
        <w:rPr>
          <w:spacing w:val="-3"/>
          <w:lang w:val="es-CO"/>
        </w:rPr>
        <w:lastRenderedPageBreak/>
        <w:t>influencia del componente hidrológico, de los usos y usuarios registrados y no registrados ante la autoridad ambiental competente (analizando los volúmenes y caudales captados), de acuerdo con la caracterización del recurso hídrico superficial presentado en la línea base ambiental para el componente hidrológico (oferta hídrica total</w:t>
      </w:r>
      <w:r w:rsidR="00E45478" w:rsidRPr="00BD1319">
        <w:rPr>
          <w:spacing w:val="-3"/>
          <w:lang w:val="es-CO"/>
        </w:rPr>
        <w:t xml:space="preserve"> y</w:t>
      </w:r>
      <w:r w:rsidRPr="00BD1319">
        <w:rPr>
          <w:spacing w:val="-3"/>
          <w:lang w:val="es-CO"/>
        </w:rPr>
        <w:t xml:space="preserve"> oferta hídrica disponible </w:t>
      </w:r>
      <w:r w:rsidR="00E45478" w:rsidRPr="00BD1319">
        <w:rPr>
          <w:spacing w:val="-3"/>
          <w:lang w:val="es-CO"/>
        </w:rPr>
        <w:t>considerando el</w:t>
      </w:r>
      <w:r w:rsidRPr="00BD1319">
        <w:rPr>
          <w:spacing w:val="-3"/>
          <w:lang w:val="es-CO"/>
        </w:rPr>
        <w:t xml:space="preserve"> caudal ambiental). Para cada punto a intervenir, calcular el Índice de Uso de Agua (IUA), índice de Vulnerabilidad Hídrica (IVH) e Índice de Retención y Regulación Hídrica (IRH), de acuerdo </w:t>
      </w:r>
      <w:r w:rsidR="00E45478" w:rsidRPr="00BD1319">
        <w:rPr>
          <w:spacing w:val="-3"/>
          <w:lang w:val="es-CO"/>
        </w:rPr>
        <w:t>con</w:t>
      </w:r>
      <w:r w:rsidRPr="00BD1319">
        <w:rPr>
          <w:spacing w:val="-3"/>
          <w:lang w:val="es-CO"/>
        </w:rPr>
        <w:t xml:space="preserve"> la metodología del ENA </w:t>
      </w:r>
      <w:r w:rsidRPr="00BD1319">
        <w:rPr>
          <w:rFonts w:cs="Arial"/>
          <w:spacing w:val="-3"/>
          <w:lang w:val="es-CO"/>
        </w:rPr>
        <w:t>2018</w:t>
      </w:r>
      <w:r w:rsidRPr="00BD1319">
        <w:rPr>
          <w:spacing w:val="-3"/>
          <w:lang w:val="es-CO"/>
        </w:rPr>
        <w:t xml:space="preserve"> o su versión más actualizada.</w:t>
      </w:r>
    </w:p>
    <w:p w14:paraId="3A2B136E" w14:textId="77777777" w:rsidR="004A1B3C" w:rsidRPr="00BD1319" w:rsidRDefault="004A1B3C" w:rsidP="00E77B0F">
      <w:pPr>
        <w:tabs>
          <w:tab w:val="left" w:pos="-2268"/>
        </w:tabs>
        <w:suppressAutoHyphens/>
        <w:ind w:left="567" w:hanging="567"/>
        <w:rPr>
          <w:spacing w:val="-3"/>
        </w:rPr>
      </w:pPr>
    </w:p>
    <w:p w14:paraId="21954711" w14:textId="377E96B1" w:rsidR="004A1B3C" w:rsidRPr="00BD1319" w:rsidRDefault="00E45478" w:rsidP="00C86DA5">
      <w:pPr>
        <w:pStyle w:val="Prrafodelista"/>
        <w:numPr>
          <w:ilvl w:val="0"/>
          <w:numId w:val="5"/>
        </w:numPr>
        <w:tabs>
          <w:tab w:val="left" w:pos="-2268"/>
        </w:tabs>
        <w:suppressAutoHyphens/>
        <w:ind w:left="567" w:hanging="567"/>
        <w:rPr>
          <w:spacing w:val="-3"/>
          <w:lang w:val="es-CO"/>
        </w:rPr>
      </w:pPr>
      <w:r w:rsidRPr="00BD1319">
        <w:rPr>
          <w:rFonts w:cs="Arial"/>
          <w:spacing w:val="-3"/>
          <w:lang w:val="es-CO"/>
        </w:rPr>
        <w:t>Información sobre los</w:t>
      </w:r>
      <w:r w:rsidR="004A1B3C" w:rsidRPr="00BD1319">
        <w:rPr>
          <w:spacing w:val="-3"/>
          <w:lang w:val="es-CO"/>
        </w:rPr>
        <w:t xml:space="preserve"> sistemas </w:t>
      </w:r>
      <w:r w:rsidRPr="00BD1319">
        <w:rPr>
          <w:rFonts w:cs="Arial"/>
          <w:spacing w:val="-3"/>
          <w:lang w:val="es-CO"/>
        </w:rPr>
        <w:t>previstos para la</w:t>
      </w:r>
      <w:r w:rsidR="004A1B3C" w:rsidRPr="00BD1319">
        <w:rPr>
          <w:spacing w:val="-3"/>
          <w:lang w:val="es-CO"/>
        </w:rPr>
        <w:t xml:space="preserve"> captación, derivación, conducción, restitución de sobrantes y distribución</w:t>
      </w:r>
      <w:r w:rsidRPr="00BD1319">
        <w:rPr>
          <w:spacing w:val="-3"/>
          <w:lang w:val="es-CO"/>
        </w:rPr>
        <w:t xml:space="preserve"> </w:t>
      </w:r>
      <w:r w:rsidRPr="00BD1319">
        <w:rPr>
          <w:rFonts w:cs="Arial"/>
          <w:spacing w:val="-3"/>
          <w:lang w:val="es-CO"/>
        </w:rPr>
        <w:t>y drenaje</w:t>
      </w:r>
      <w:r w:rsidR="004A1B3C" w:rsidRPr="00BD1319">
        <w:rPr>
          <w:spacing w:val="-3"/>
          <w:lang w:val="es-CO"/>
        </w:rPr>
        <w:t>.</w:t>
      </w:r>
    </w:p>
    <w:p w14:paraId="76D4246D" w14:textId="77777777" w:rsidR="004A1B3C" w:rsidRPr="00BD1319" w:rsidRDefault="004A1B3C" w:rsidP="00E77B0F">
      <w:pPr>
        <w:tabs>
          <w:tab w:val="left" w:pos="-2268"/>
        </w:tabs>
        <w:suppressAutoHyphens/>
        <w:ind w:left="567" w:hanging="567"/>
        <w:rPr>
          <w:spacing w:val="-3"/>
        </w:rPr>
      </w:pPr>
    </w:p>
    <w:p w14:paraId="43864DDA" w14:textId="41E9C333" w:rsidR="004A1B3C" w:rsidRPr="00BD1319" w:rsidRDefault="004A1B3C" w:rsidP="00C86DA5">
      <w:pPr>
        <w:pStyle w:val="Prrafodelista"/>
        <w:numPr>
          <w:ilvl w:val="0"/>
          <w:numId w:val="5"/>
        </w:numPr>
        <w:tabs>
          <w:tab w:val="left" w:pos="-2268"/>
        </w:tabs>
        <w:suppressAutoHyphens/>
        <w:ind w:left="567" w:hanging="567"/>
        <w:rPr>
          <w:spacing w:val="-3"/>
          <w:lang w:val="es-CO"/>
        </w:rPr>
      </w:pPr>
      <w:r w:rsidRPr="00BD1319">
        <w:rPr>
          <w:spacing w:val="-3"/>
          <w:lang w:val="es-CO"/>
        </w:rPr>
        <w:t>Si la concesión de agua incluye el uso para consumo humano y doméstico, se debe dar cumplimiento al Decreto 1575 de 2007 y a la Resolución 2115 de 2007, o a aquellas normas que los modifiquen</w:t>
      </w:r>
      <w:r w:rsidRPr="00BD1319">
        <w:rPr>
          <w:rFonts w:cs="Arial"/>
          <w:spacing w:val="-3"/>
          <w:lang w:val="es-CO"/>
        </w:rPr>
        <w:t xml:space="preserve"> o</w:t>
      </w:r>
      <w:r w:rsidRPr="00BD1319">
        <w:rPr>
          <w:spacing w:val="-3"/>
          <w:lang w:val="es-CO"/>
        </w:rPr>
        <w:t xml:space="preserve"> sustituyan.</w:t>
      </w:r>
    </w:p>
    <w:p w14:paraId="12657F89" w14:textId="77777777" w:rsidR="004A1B3C" w:rsidRPr="00BD1319" w:rsidRDefault="004A1B3C" w:rsidP="00C86DA5">
      <w:pPr>
        <w:tabs>
          <w:tab w:val="left" w:pos="-2268"/>
        </w:tabs>
        <w:suppressAutoHyphens/>
        <w:rPr>
          <w:spacing w:val="-3"/>
        </w:rPr>
      </w:pPr>
    </w:p>
    <w:p w14:paraId="5ADA6E5B" w14:textId="2F1809BF" w:rsidR="004A1B3C" w:rsidRPr="00BD1319" w:rsidRDefault="004A1B3C" w:rsidP="00C86DA5">
      <w:pPr>
        <w:tabs>
          <w:tab w:val="left" w:pos="-2268"/>
        </w:tabs>
        <w:suppressAutoHyphens/>
        <w:rPr>
          <w:spacing w:val="-3"/>
        </w:rPr>
      </w:pPr>
      <w:r w:rsidRPr="00BD1319">
        <w:rPr>
          <w:spacing w:val="-3"/>
        </w:rPr>
        <w:t xml:space="preserve">Para aguas </w:t>
      </w:r>
      <w:r w:rsidR="00434EA7" w:rsidRPr="00BD1319">
        <w:rPr>
          <w:spacing w:val="-3"/>
        </w:rPr>
        <w:t>marino</w:t>
      </w:r>
      <w:r w:rsidR="00434EA7" w:rsidRPr="00BD1319">
        <w:rPr>
          <w:rFonts w:cs="Arial"/>
          <w:spacing w:val="-3"/>
        </w:rPr>
        <w:t>-costeras</w:t>
      </w:r>
      <w:r w:rsidRPr="00BD1319">
        <w:rPr>
          <w:spacing w:val="-3"/>
        </w:rPr>
        <w:t xml:space="preserve"> se deben tener en cuenta las obligaciones y metodologías establecidas por la normativa vigente.</w:t>
      </w:r>
    </w:p>
    <w:p w14:paraId="08C86CC2" w14:textId="77777777" w:rsidR="004A1B3C" w:rsidRPr="00BD1319" w:rsidRDefault="004A1B3C">
      <w:pPr>
        <w:numPr>
          <w:ilvl w:val="12"/>
          <w:numId w:val="0"/>
        </w:numPr>
        <w:tabs>
          <w:tab w:val="left" w:pos="-2268"/>
        </w:tabs>
        <w:suppressAutoHyphens/>
        <w:rPr>
          <w:spacing w:val="-3"/>
        </w:rPr>
      </w:pPr>
    </w:p>
    <w:p w14:paraId="0C00FDD6" w14:textId="3971456D" w:rsidR="004A1B3C" w:rsidRPr="00BD1319" w:rsidRDefault="004A1B3C" w:rsidP="0068149C">
      <w:pPr>
        <w:pStyle w:val="Ttulo2"/>
        <w:rPr>
          <w:lang w:val="es-CO"/>
        </w:rPr>
      </w:pPr>
      <w:bookmarkStart w:id="3075" w:name="_Toc150593803"/>
      <w:bookmarkStart w:id="3076" w:name="_Toc274067220"/>
      <w:bookmarkStart w:id="3077" w:name="_Toc370214521"/>
      <w:bookmarkStart w:id="3078" w:name="_Toc378923308"/>
      <w:bookmarkStart w:id="3079" w:name="_Toc387312766"/>
      <w:bookmarkStart w:id="3080" w:name="_Toc393967341"/>
      <w:bookmarkStart w:id="3081" w:name="_Toc393464171"/>
      <w:bookmarkStart w:id="3082" w:name="_Toc405366858"/>
      <w:bookmarkStart w:id="3083" w:name="_Toc405372405"/>
      <w:bookmarkStart w:id="3084" w:name="_Toc412803203"/>
      <w:bookmarkStart w:id="3085" w:name="_Toc437936043"/>
      <w:bookmarkStart w:id="3086" w:name="_Toc42874872"/>
      <w:bookmarkStart w:id="3087" w:name="_Ref77316770"/>
      <w:bookmarkStart w:id="3088" w:name="_Hlk135387259"/>
      <w:bookmarkStart w:id="3089" w:name="_Toc175326784"/>
      <w:r w:rsidRPr="00BD1319">
        <w:rPr>
          <w:lang w:val="es-CO"/>
        </w:rPr>
        <w:t>EXPLORACIÓN DE AGUA SUBTERRÁNEA</w:t>
      </w:r>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p>
    <w:p w14:paraId="1D16A66E" w14:textId="77777777" w:rsidR="004A1B3C" w:rsidRPr="00BD1319" w:rsidRDefault="004A1B3C">
      <w:pPr>
        <w:numPr>
          <w:ilvl w:val="12"/>
          <w:numId w:val="0"/>
        </w:numPr>
        <w:tabs>
          <w:tab w:val="left" w:pos="-2268"/>
        </w:tabs>
        <w:suppressAutoHyphens/>
        <w:rPr>
          <w:spacing w:val="-3"/>
        </w:rPr>
      </w:pPr>
    </w:p>
    <w:p w14:paraId="08FB7978" w14:textId="3D009806" w:rsidR="004A1B3C" w:rsidRPr="00BD1319" w:rsidRDefault="004A1B3C">
      <w:pPr>
        <w:numPr>
          <w:ilvl w:val="12"/>
          <w:numId w:val="0"/>
        </w:numPr>
        <w:tabs>
          <w:tab w:val="left" w:pos="-2268"/>
        </w:tabs>
        <w:suppressAutoHyphens/>
        <w:rPr>
          <w:spacing w:val="-3"/>
        </w:rPr>
      </w:pPr>
      <w:r w:rsidRPr="00BD1319">
        <w:rPr>
          <w:rFonts w:cs="Arial"/>
          <w:spacing w:val="-3"/>
        </w:rPr>
        <w:t xml:space="preserve">Cuando se requiera el permiso de exploración de aguas subterráneas se debe presentar debidamente diligenciado el </w:t>
      </w:r>
      <w:r w:rsidR="00FF0811" w:rsidRPr="00BD1319">
        <w:rPr>
          <w:rFonts w:cs="Arial"/>
          <w:spacing w:val="-3"/>
        </w:rPr>
        <w:t xml:space="preserve">FUN </w:t>
      </w:r>
      <w:r w:rsidRPr="00BD1319">
        <w:rPr>
          <w:rFonts w:cs="Arial"/>
          <w:spacing w:val="-3"/>
        </w:rPr>
        <w:t xml:space="preserve">de </w:t>
      </w:r>
      <w:r w:rsidR="00FF0811" w:rsidRPr="00BD1319">
        <w:rPr>
          <w:rFonts w:cs="Arial"/>
          <w:spacing w:val="-3"/>
        </w:rPr>
        <w:t>s</w:t>
      </w:r>
      <w:r w:rsidRPr="00BD1319">
        <w:rPr>
          <w:rFonts w:cs="Arial"/>
          <w:spacing w:val="-3"/>
        </w:rPr>
        <w:t xml:space="preserve">olicitud de </w:t>
      </w:r>
      <w:bookmarkStart w:id="3090" w:name="_Hlk96499047"/>
      <w:r w:rsidR="00FF0811" w:rsidRPr="00BD1319">
        <w:rPr>
          <w:rFonts w:cs="Arial"/>
          <w:spacing w:val="-3"/>
        </w:rPr>
        <w:t>p</w:t>
      </w:r>
      <w:r w:rsidRPr="00BD1319">
        <w:rPr>
          <w:rFonts w:cs="Arial"/>
          <w:spacing w:val="-3"/>
        </w:rPr>
        <w:t xml:space="preserve">rospección y </w:t>
      </w:r>
      <w:r w:rsidR="00FF0811" w:rsidRPr="00BD1319">
        <w:rPr>
          <w:rFonts w:cs="Arial"/>
          <w:spacing w:val="-3"/>
        </w:rPr>
        <w:t>e</w:t>
      </w:r>
      <w:r w:rsidRPr="00BD1319">
        <w:rPr>
          <w:rFonts w:cs="Arial"/>
          <w:spacing w:val="-3"/>
        </w:rPr>
        <w:t xml:space="preserve">xploración de </w:t>
      </w:r>
      <w:r w:rsidR="00FF0811" w:rsidRPr="00BD1319">
        <w:rPr>
          <w:rFonts w:cs="Arial"/>
          <w:spacing w:val="-3"/>
        </w:rPr>
        <w:t>a</w:t>
      </w:r>
      <w:r w:rsidRPr="00BD1319">
        <w:rPr>
          <w:rFonts w:cs="Arial"/>
          <w:spacing w:val="-3"/>
        </w:rPr>
        <w:t xml:space="preserve">guas </w:t>
      </w:r>
      <w:r w:rsidR="00FF0811" w:rsidRPr="00BD1319">
        <w:rPr>
          <w:rFonts w:cs="Arial"/>
          <w:spacing w:val="-3"/>
        </w:rPr>
        <w:t>s</w:t>
      </w:r>
      <w:r w:rsidRPr="00BD1319">
        <w:rPr>
          <w:rFonts w:cs="Arial"/>
          <w:spacing w:val="-3"/>
        </w:rPr>
        <w:t>ubterráneas</w:t>
      </w:r>
      <w:bookmarkEnd w:id="3090"/>
      <w:r w:rsidRPr="00BD1319">
        <w:rPr>
          <w:rFonts w:cs="Arial"/>
          <w:spacing w:val="-3"/>
        </w:rPr>
        <w:t xml:space="preserve"> adoptado por la Resolución </w:t>
      </w:r>
      <w:r w:rsidR="00017DA7" w:rsidRPr="00BD1319">
        <w:rPr>
          <w:rFonts w:cs="Arial"/>
          <w:spacing w:val="-3"/>
        </w:rPr>
        <w:t>1058 de 2021</w:t>
      </w:r>
      <w:r w:rsidRPr="00BD1319">
        <w:rPr>
          <w:rFonts w:cs="Arial"/>
          <w:spacing w:val="-3"/>
        </w:rPr>
        <w:t xml:space="preserve"> o aquella que lo modifique o sustituya, así como lo estipulado en los artículos 2.2.3.2.16.5. Requisitos para la obtención del permiso, 2.2.3.2.16.6. Anexos solicitud de permiso y 2.2.3.2.16.9</w:t>
      </w:r>
      <w:r w:rsidR="00FF0811" w:rsidRPr="00BD1319">
        <w:rPr>
          <w:rFonts w:cs="Arial"/>
          <w:spacing w:val="-3"/>
        </w:rPr>
        <w:t>.</w:t>
      </w:r>
      <w:r w:rsidRPr="00BD1319">
        <w:rPr>
          <w:rFonts w:cs="Arial"/>
          <w:spacing w:val="-3"/>
        </w:rPr>
        <w:t xml:space="preserve"> </w:t>
      </w:r>
      <w:proofErr w:type="gramStart"/>
      <w:r w:rsidR="00FF0811" w:rsidRPr="00BD1319">
        <w:rPr>
          <w:rFonts w:cs="Arial"/>
          <w:spacing w:val="-3"/>
        </w:rPr>
        <w:t>E</w:t>
      </w:r>
      <w:r w:rsidRPr="00BD1319">
        <w:rPr>
          <w:rFonts w:cs="Arial"/>
          <w:spacing w:val="-3"/>
        </w:rPr>
        <w:t>xploración y aspectos a considerar</w:t>
      </w:r>
      <w:proofErr w:type="gramEnd"/>
      <w:r w:rsidRPr="00BD1319">
        <w:rPr>
          <w:rFonts w:cs="Arial"/>
          <w:spacing w:val="-3"/>
        </w:rPr>
        <w:t xml:space="preserve"> del Decreto 1076 de 2015. Teniendo en cuenta lo anterior y con</w:t>
      </w:r>
      <w:r w:rsidRPr="00BD1319">
        <w:rPr>
          <w:spacing w:val="-3"/>
        </w:rPr>
        <w:t xml:space="preserve"> base en la caracterización hidrogeológica, para la exploración de agua subterránea se debe presentar:</w:t>
      </w:r>
    </w:p>
    <w:p w14:paraId="326FAA37" w14:textId="77777777" w:rsidR="004A1B3C" w:rsidRPr="00BD1319" w:rsidRDefault="004A1B3C">
      <w:pPr>
        <w:numPr>
          <w:ilvl w:val="12"/>
          <w:numId w:val="0"/>
        </w:numPr>
        <w:tabs>
          <w:tab w:val="left" w:pos="-2268"/>
        </w:tabs>
        <w:suppressAutoHyphens/>
        <w:rPr>
          <w:spacing w:val="-3"/>
        </w:rPr>
      </w:pPr>
    </w:p>
    <w:p w14:paraId="00E1CD9C" w14:textId="5AD4FCD0" w:rsidR="004A1B3C" w:rsidRPr="00BD1319" w:rsidRDefault="004A1B3C" w:rsidP="00C86DA5">
      <w:pPr>
        <w:pStyle w:val="Prrafodelista"/>
        <w:numPr>
          <w:ilvl w:val="0"/>
          <w:numId w:val="5"/>
        </w:numPr>
        <w:tabs>
          <w:tab w:val="left" w:pos="-2268"/>
        </w:tabs>
        <w:suppressAutoHyphens/>
        <w:ind w:left="567" w:hanging="567"/>
        <w:rPr>
          <w:spacing w:val="-3"/>
          <w:lang w:val="es-CO"/>
        </w:rPr>
      </w:pPr>
      <w:r w:rsidRPr="00BD1319">
        <w:rPr>
          <w:spacing w:val="-3"/>
          <w:lang w:val="es-CO"/>
        </w:rPr>
        <w:t xml:space="preserve">Localización georreferenciada de los polígonos en los que se </w:t>
      </w:r>
      <w:r w:rsidR="00972B99" w:rsidRPr="00BD1319">
        <w:rPr>
          <w:spacing w:val="-3"/>
          <w:lang w:val="es-CO"/>
        </w:rPr>
        <w:t xml:space="preserve">plantea </w:t>
      </w:r>
      <w:r w:rsidRPr="00BD1319">
        <w:rPr>
          <w:spacing w:val="-3"/>
          <w:lang w:val="es-CO"/>
        </w:rPr>
        <w:t xml:space="preserve">ubicar los sitios propuestos para realizar las perforaciones exploratorias, presentando la cartografía a la escala que establezcan los términos de referencia, o a una más detallada si el análisis lo requiere, señalando los predios en los que se localizan y la </w:t>
      </w:r>
      <w:r w:rsidR="00972B99" w:rsidRPr="00BD1319">
        <w:rPr>
          <w:spacing w:val="-3"/>
          <w:lang w:val="es-CO"/>
        </w:rPr>
        <w:t xml:space="preserve">tenencia </w:t>
      </w:r>
      <w:r w:rsidRPr="00BD1319">
        <w:rPr>
          <w:spacing w:val="-3"/>
          <w:lang w:val="es-CO"/>
        </w:rPr>
        <w:t xml:space="preserve">de </w:t>
      </w:r>
      <w:r w:rsidR="00FF0811" w:rsidRPr="00BD1319">
        <w:rPr>
          <w:spacing w:val="-3"/>
          <w:lang w:val="es-CO"/>
        </w:rPr>
        <w:t>é</w:t>
      </w:r>
      <w:r w:rsidR="00E45478" w:rsidRPr="00BD1319">
        <w:rPr>
          <w:spacing w:val="-3"/>
          <w:lang w:val="es-CO"/>
        </w:rPr>
        <w:t xml:space="preserve">stos (propios, ajenos o baldíos). En los proyectos en donde la zonificación </w:t>
      </w:r>
      <w:r w:rsidR="00E91078" w:rsidRPr="00BD1319">
        <w:rPr>
          <w:spacing w:val="-3"/>
          <w:lang w:val="es-CO"/>
        </w:rPr>
        <w:t xml:space="preserve">ambiental </w:t>
      </w:r>
      <w:r w:rsidR="002F2681" w:rsidRPr="00BD1319">
        <w:rPr>
          <w:spacing w:val="-3"/>
          <w:lang w:val="es-CO"/>
        </w:rPr>
        <w:t xml:space="preserve">constituye el elemento fundamental </w:t>
      </w:r>
      <w:r w:rsidR="00E91078" w:rsidRPr="00BD1319">
        <w:rPr>
          <w:spacing w:val="-3"/>
          <w:lang w:val="es-CO"/>
        </w:rPr>
        <w:t xml:space="preserve">para </w:t>
      </w:r>
      <w:r w:rsidR="002F2681" w:rsidRPr="00BD1319">
        <w:rPr>
          <w:spacing w:val="-3"/>
          <w:lang w:val="es-CO"/>
        </w:rPr>
        <w:t xml:space="preserve">su </w:t>
      </w:r>
      <w:r w:rsidR="00E45478" w:rsidRPr="00BD1319">
        <w:rPr>
          <w:spacing w:val="-3"/>
          <w:lang w:val="es-CO"/>
        </w:rPr>
        <w:t>planificación</w:t>
      </w:r>
      <w:r w:rsidR="002F2681" w:rsidRPr="00BD1319">
        <w:rPr>
          <w:spacing w:val="-3"/>
          <w:lang w:val="es-CO"/>
        </w:rPr>
        <w:t xml:space="preserve"> (</w:t>
      </w:r>
      <w:r w:rsidR="00041844" w:rsidRPr="00BD1319">
        <w:rPr>
          <w:spacing w:val="-3"/>
          <w:lang w:val="es-CO"/>
        </w:rPr>
        <w:t>p. ej.</w:t>
      </w:r>
      <w:r w:rsidR="002F2681" w:rsidRPr="00BD1319">
        <w:rPr>
          <w:spacing w:val="-3"/>
          <w:lang w:val="es-CO"/>
        </w:rPr>
        <w:t xml:space="preserve"> proyectos del sector hidrocarburos)</w:t>
      </w:r>
      <w:r w:rsidR="00E45478" w:rsidRPr="00BD1319">
        <w:rPr>
          <w:spacing w:val="-3"/>
          <w:lang w:val="es-CO"/>
        </w:rPr>
        <w:t>, se debe presentar la localización georreferenciada más aproximada del sitio en donde se proyecta realizar la exploración de aguas subterráneas</w:t>
      </w:r>
      <w:r w:rsidR="00FF0811" w:rsidRPr="00BD1319">
        <w:rPr>
          <w:spacing w:val="-3"/>
          <w:lang w:val="es-CO"/>
        </w:rPr>
        <w:t xml:space="preserve">; la ubicación definitiva se informa </w:t>
      </w:r>
      <w:r w:rsidR="00E45478" w:rsidRPr="00BD1319">
        <w:rPr>
          <w:spacing w:val="-3"/>
          <w:lang w:val="es-CO"/>
        </w:rPr>
        <w:t>en los Planes de Manejo Ambiental específicos</w:t>
      </w:r>
      <w:r w:rsidRPr="00BD1319">
        <w:rPr>
          <w:spacing w:val="-3"/>
          <w:lang w:val="es-CO"/>
        </w:rPr>
        <w:t>.</w:t>
      </w:r>
    </w:p>
    <w:p w14:paraId="7199940A" w14:textId="77777777" w:rsidR="004A1B3C" w:rsidRPr="00BD1319" w:rsidRDefault="004A1B3C" w:rsidP="00E77B0F">
      <w:pPr>
        <w:tabs>
          <w:tab w:val="left" w:pos="-2268"/>
        </w:tabs>
        <w:suppressAutoHyphens/>
        <w:ind w:left="567" w:hanging="567"/>
        <w:rPr>
          <w:spacing w:val="-3"/>
        </w:rPr>
      </w:pPr>
    </w:p>
    <w:p w14:paraId="2BD13095" w14:textId="354D30B4" w:rsidR="004A1B3C" w:rsidRPr="00BD1319" w:rsidRDefault="004A1B3C" w:rsidP="00C86DA5">
      <w:pPr>
        <w:pStyle w:val="Prrafodelista"/>
        <w:numPr>
          <w:ilvl w:val="0"/>
          <w:numId w:val="5"/>
        </w:numPr>
        <w:tabs>
          <w:tab w:val="left" w:pos="-2268"/>
        </w:tabs>
        <w:suppressAutoHyphens/>
        <w:ind w:left="567" w:hanging="567"/>
        <w:rPr>
          <w:spacing w:val="-3"/>
          <w:lang w:val="es-CO"/>
        </w:rPr>
      </w:pPr>
      <w:r w:rsidRPr="00BD1319">
        <w:rPr>
          <w:spacing w:val="-3"/>
          <w:lang w:val="es-CO"/>
        </w:rPr>
        <w:t xml:space="preserve">Inventario de puntos de agua subterránea del área donde se proyecta realizar la exploración diligenciando el </w:t>
      </w:r>
      <w:r w:rsidR="00E91078" w:rsidRPr="00BD1319">
        <w:rPr>
          <w:spacing w:val="-3"/>
          <w:lang w:val="es-CO"/>
        </w:rPr>
        <w:t xml:space="preserve">correspondiente </w:t>
      </w:r>
      <w:r w:rsidR="00317CBA" w:rsidRPr="00BD1319">
        <w:rPr>
          <w:spacing w:val="-3"/>
          <w:lang w:val="es-CO"/>
        </w:rPr>
        <w:t>FUN</w:t>
      </w:r>
      <w:r w:rsidRPr="00BD1319">
        <w:rPr>
          <w:spacing w:val="-3"/>
          <w:lang w:val="es-CO"/>
        </w:rPr>
        <w:t>.</w:t>
      </w:r>
    </w:p>
    <w:p w14:paraId="13418731" w14:textId="77777777" w:rsidR="004A1B3C" w:rsidRPr="00BD1319" w:rsidRDefault="004A1B3C" w:rsidP="00E77B0F">
      <w:pPr>
        <w:tabs>
          <w:tab w:val="left" w:pos="-2268"/>
        </w:tabs>
        <w:suppressAutoHyphens/>
        <w:ind w:left="567" w:hanging="567"/>
        <w:rPr>
          <w:spacing w:val="-3"/>
        </w:rPr>
      </w:pPr>
    </w:p>
    <w:p w14:paraId="53EC2C14" w14:textId="77777777" w:rsidR="004A1B3C" w:rsidRPr="00BD1319" w:rsidRDefault="004A1B3C" w:rsidP="00C86DA5">
      <w:pPr>
        <w:pStyle w:val="Prrafodelista"/>
        <w:numPr>
          <w:ilvl w:val="0"/>
          <w:numId w:val="5"/>
        </w:numPr>
        <w:tabs>
          <w:tab w:val="left" w:pos="-2268"/>
        </w:tabs>
        <w:suppressAutoHyphens/>
        <w:ind w:left="567" w:hanging="567"/>
        <w:rPr>
          <w:spacing w:val="-3"/>
          <w:lang w:val="es-CO"/>
        </w:rPr>
      </w:pPr>
      <w:r w:rsidRPr="00BD1319">
        <w:rPr>
          <w:spacing w:val="-3"/>
          <w:lang w:val="es-CO"/>
        </w:rPr>
        <w:t>Estudio geofísico empleado para determinar la localización de los pozos exploratorios, con la ubicación y la interpretación de los sondeos eléctricos verticales (u otros métodos geofísicos) y los perfiles geológico-geofísicos realizados. Se deben adjuntar los datos de campo.</w:t>
      </w:r>
    </w:p>
    <w:p w14:paraId="2663EDD5" w14:textId="77777777" w:rsidR="004A1B3C" w:rsidRPr="00BD1319" w:rsidRDefault="004A1B3C" w:rsidP="00E77B0F">
      <w:pPr>
        <w:tabs>
          <w:tab w:val="left" w:pos="-2268"/>
        </w:tabs>
        <w:suppressAutoHyphens/>
        <w:ind w:left="567" w:hanging="567"/>
        <w:rPr>
          <w:spacing w:val="-3"/>
        </w:rPr>
      </w:pPr>
    </w:p>
    <w:p w14:paraId="62A7D3CD" w14:textId="6D523597" w:rsidR="004A1B3C" w:rsidRPr="00BD1319" w:rsidRDefault="004A1B3C" w:rsidP="00C86DA5">
      <w:pPr>
        <w:pStyle w:val="Prrafodelista"/>
        <w:numPr>
          <w:ilvl w:val="0"/>
          <w:numId w:val="5"/>
        </w:numPr>
        <w:tabs>
          <w:tab w:val="left" w:pos="-2268"/>
        </w:tabs>
        <w:suppressAutoHyphens/>
        <w:ind w:left="567" w:hanging="567"/>
        <w:rPr>
          <w:spacing w:val="-3"/>
          <w:lang w:val="es-CO"/>
        </w:rPr>
      </w:pPr>
      <w:r w:rsidRPr="00BD1319">
        <w:rPr>
          <w:spacing w:val="-3"/>
          <w:lang w:val="es-CO"/>
        </w:rPr>
        <w:t xml:space="preserve">Localización georreferenciada de los sitios propuestos para realizar las perforaciones exploratorias en cartografía con la escala que definan los términos de referencia o </w:t>
      </w:r>
      <w:r w:rsidR="00317CBA" w:rsidRPr="00BD1319">
        <w:rPr>
          <w:spacing w:val="-3"/>
          <w:lang w:val="es-CO"/>
        </w:rPr>
        <w:t xml:space="preserve">una </w:t>
      </w:r>
      <w:r w:rsidRPr="00BD1319">
        <w:rPr>
          <w:spacing w:val="-3"/>
          <w:lang w:val="es-CO"/>
        </w:rPr>
        <w:t>más detallada, de ser necesario.</w:t>
      </w:r>
    </w:p>
    <w:p w14:paraId="5B754DFE" w14:textId="77777777" w:rsidR="004A1B3C" w:rsidRPr="00BD1319" w:rsidRDefault="004A1B3C" w:rsidP="00E77B0F">
      <w:pPr>
        <w:tabs>
          <w:tab w:val="left" w:pos="-2268"/>
        </w:tabs>
        <w:suppressAutoHyphens/>
        <w:ind w:left="567" w:hanging="567"/>
        <w:rPr>
          <w:spacing w:val="-3"/>
        </w:rPr>
      </w:pPr>
    </w:p>
    <w:p w14:paraId="3E3DE00A" w14:textId="77777777" w:rsidR="004A1B3C" w:rsidRPr="00BD1319" w:rsidRDefault="004A1B3C" w:rsidP="00C86DA5">
      <w:pPr>
        <w:pStyle w:val="Prrafodelista"/>
        <w:numPr>
          <w:ilvl w:val="0"/>
          <w:numId w:val="5"/>
        </w:numPr>
        <w:tabs>
          <w:tab w:val="left" w:pos="-2268"/>
        </w:tabs>
        <w:suppressAutoHyphens/>
        <w:ind w:left="567" w:hanging="567"/>
        <w:rPr>
          <w:spacing w:val="-3"/>
          <w:lang w:val="es-CO"/>
        </w:rPr>
      </w:pPr>
      <w:r w:rsidRPr="00BD1319">
        <w:rPr>
          <w:spacing w:val="-3"/>
          <w:lang w:val="es-CO"/>
        </w:rPr>
        <w:t>Descripción del sistema de perforación a emplear, señalando las especificaciones del equipo, características técnicas, manejo ambiental, registros físicos del pozo y diseño preliminar del mismo (profundidad, diámetro, material de entubado, ubicación tentativa de filtros, tubería ciega y sello sanitario).</w:t>
      </w:r>
    </w:p>
    <w:p w14:paraId="66C8C682" w14:textId="77777777" w:rsidR="004A1B3C" w:rsidRPr="00BD1319" w:rsidRDefault="004A1B3C" w:rsidP="00C86DA5">
      <w:pPr>
        <w:numPr>
          <w:ilvl w:val="12"/>
          <w:numId w:val="0"/>
        </w:numPr>
        <w:tabs>
          <w:tab w:val="left" w:pos="-2268"/>
        </w:tabs>
        <w:suppressAutoHyphens/>
        <w:rPr>
          <w:spacing w:val="-3"/>
        </w:rPr>
      </w:pPr>
    </w:p>
    <w:p w14:paraId="4215ADE1" w14:textId="17926900" w:rsidR="005010C7" w:rsidRPr="00BD1319" w:rsidRDefault="00A7482C" w:rsidP="00C86DA5">
      <w:pPr>
        <w:numPr>
          <w:ilvl w:val="12"/>
          <w:numId w:val="0"/>
        </w:numPr>
        <w:tabs>
          <w:tab w:val="left" w:pos="-2268"/>
        </w:tabs>
        <w:suppressAutoHyphens/>
        <w:rPr>
          <w:rFonts w:cs="Arial"/>
          <w:spacing w:val="-3"/>
        </w:rPr>
      </w:pPr>
      <w:r w:rsidRPr="00BD1319">
        <w:rPr>
          <w:rFonts w:cs="Arial"/>
          <w:spacing w:val="-3"/>
        </w:rPr>
        <w:t>E</w:t>
      </w:r>
      <w:r w:rsidR="005010C7" w:rsidRPr="00BD1319">
        <w:rPr>
          <w:rFonts w:cs="Arial"/>
          <w:spacing w:val="-3"/>
        </w:rPr>
        <w:t xml:space="preserve">s posible que no sea necesario solicitar el permiso </w:t>
      </w:r>
      <w:r w:rsidRPr="00BD1319">
        <w:rPr>
          <w:rFonts w:cs="Arial"/>
          <w:spacing w:val="-3"/>
        </w:rPr>
        <w:t xml:space="preserve">de exploración de aguas subterráneas ni de </w:t>
      </w:r>
      <w:r w:rsidR="005010C7" w:rsidRPr="00BD1319">
        <w:rPr>
          <w:rFonts w:cs="Arial"/>
          <w:spacing w:val="-3"/>
        </w:rPr>
        <w:t xml:space="preserve">adelantar </w:t>
      </w:r>
      <w:r w:rsidRPr="00BD1319">
        <w:rPr>
          <w:rFonts w:cs="Arial"/>
          <w:spacing w:val="-3"/>
        </w:rPr>
        <w:t xml:space="preserve">dicho </w:t>
      </w:r>
      <w:r w:rsidR="005010C7" w:rsidRPr="00BD1319">
        <w:rPr>
          <w:rFonts w:cs="Arial"/>
          <w:spacing w:val="-3"/>
        </w:rPr>
        <w:t>proceso de exploración</w:t>
      </w:r>
      <w:r w:rsidR="0072054C" w:rsidRPr="00BD1319">
        <w:rPr>
          <w:rFonts w:cs="Arial"/>
          <w:spacing w:val="-3"/>
        </w:rPr>
        <w:t xml:space="preserve"> </w:t>
      </w:r>
      <w:r w:rsidRPr="00BD1319">
        <w:rPr>
          <w:rFonts w:cs="Arial"/>
          <w:spacing w:val="-3"/>
        </w:rPr>
        <w:t xml:space="preserve">(de acuerdo con el artículo 2.2.3.2.16.15. del Decreto 1076 de 2015 o aquel que lo modifique o sustituya). </w:t>
      </w:r>
      <w:r w:rsidR="005010C7" w:rsidRPr="00BD1319">
        <w:rPr>
          <w:rFonts w:cs="Arial"/>
          <w:spacing w:val="-3"/>
        </w:rPr>
        <w:t xml:space="preserve">Para que la autoridad ambiental evalúe esta posibilidad, debe presentarse en el EIA información que </w:t>
      </w:r>
      <w:r w:rsidRPr="00BD1319">
        <w:rPr>
          <w:rFonts w:cs="Arial"/>
          <w:spacing w:val="-3"/>
        </w:rPr>
        <w:t xml:space="preserve">le </w:t>
      </w:r>
      <w:r w:rsidR="005010C7" w:rsidRPr="00BD1319">
        <w:rPr>
          <w:rFonts w:cs="Arial"/>
          <w:spacing w:val="-3"/>
        </w:rPr>
        <w:t>permita establecer con claridad el conocimiento y potencial hídrico</w:t>
      </w:r>
      <w:r w:rsidRPr="00BD1319">
        <w:rPr>
          <w:rFonts w:cs="Arial"/>
          <w:spacing w:val="-3"/>
        </w:rPr>
        <w:t xml:space="preserve"> de la cuenca subterránea que se plantea intervenir</w:t>
      </w:r>
      <w:r w:rsidR="005010C7" w:rsidRPr="00BD1319">
        <w:rPr>
          <w:rFonts w:cs="Arial"/>
          <w:spacing w:val="-3"/>
        </w:rPr>
        <w:t>, incluyendo el modelo hidrogeológico</w:t>
      </w:r>
      <w:r w:rsidRPr="00BD1319">
        <w:rPr>
          <w:rFonts w:cs="Arial"/>
          <w:spacing w:val="-3"/>
        </w:rPr>
        <w:t>,</w:t>
      </w:r>
      <w:r w:rsidR="005010C7" w:rsidRPr="00BD1319">
        <w:rPr>
          <w:rFonts w:cs="Arial"/>
          <w:spacing w:val="-3"/>
        </w:rPr>
        <w:t xml:space="preserve"> pronunciamientos de las autoridades respectivas, estudios regionales</w:t>
      </w:r>
      <w:r w:rsidRPr="00BD1319">
        <w:rPr>
          <w:rFonts w:cs="Arial"/>
          <w:spacing w:val="-3"/>
        </w:rPr>
        <w:t xml:space="preserve"> u otros soportes</w:t>
      </w:r>
      <w:r w:rsidR="00AF5874" w:rsidRPr="00BD1319">
        <w:rPr>
          <w:rFonts w:cs="Arial"/>
          <w:spacing w:val="-3"/>
        </w:rPr>
        <w:t xml:space="preserve"> relacionados</w:t>
      </w:r>
      <w:r w:rsidRPr="00BD1319">
        <w:rPr>
          <w:rFonts w:cs="Arial"/>
          <w:spacing w:val="-3"/>
        </w:rPr>
        <w:t>.</w:t>
      </w:r>
    </w:p>
    <w:p w14:paraId="54FEB6EC" w14:textId="77777777" w:rsidR="005010C7" w:rsidRPr="00BD1319" w:rsidRDefault="005010C7" w:rsidP="00C86DA5">
      <w:pPr>
        <w:numPr>
          <w:ilvl w:val="12"/>
          <w:numId w:val="0"/>
        </w:numPr>
        <w:tabs>
          <w:tab w:val="left" w:pos="-2268"/>
        </w:tabs>
        <w:suppressAutoHyphens/>
        <w:rPr>
          <w:spacing w:val="-3"/>
        </w:rPr>
      </w:pPr>
    </w:p>
    <w:p w14:paraId="71D6D674" w14:textId="081CF3AE" w:rsidR="00E45478" w:rsidRPr="00BD1319" w:rsidRDefault="00E91078" w:rsidP="00C86DA5">
      <w:pPr>
        <w:numPr>
          <w:ilvl w:val="12"/>
          <w:numId w:val="0"/>
        </w:numPr>
        <w:tabs>
          <w:tab w:val="left" w:pos="-2268"/>
        </w:tabs>
        <w:suppressAutoHyphens/>
        <w:rPr>
          <w:spacing w:val="-3"/>
        </w:rPr>
      </w:pPr>
      <w:r w:rsidRPr="00BD1319">
        <w:rPr>
          <w:spacing w:val="-3"/>
        </w:rPr>
        <w:t>En caso de que la</w:t>
      </w:r>
      <w:r w:rsidR="00840EAA" w:rsidRPr="00BD1319">
        <w:rPr>
          <w:spacing w:val="-3"/>
        </w:rPr>
        <w:t>s</w:t>
      </w:r>
      <w:r w:rsidRPr="00BD1319">
        <w:rPr>
          <w:spacing w:val="-3"/>
        </w:rPr>
        <w:t xml:space="preserve"> </w:t>
      </w:r>
      <w:r w:rsidR="00840EAA" w:rsidRPr="00BD1319">
        <w:rPr>
          <w:spacing w:val="-3"/>
        </w:rPr>
        <w:t xml:space="preserve">actividades de </w:t>
      </w:r>
      <w:r w:rsidRPr="00BD1319">
        <w:rPr>
          <w:spacing w:val="-3"/>
        </w:rPr>
        <w:t xml:space="preserve">exploración </w:t>
      </w:r>
      <w:r w:rsidR="00840EAA" w:rsidRPr="00BD1319">
        <w:rPr>
          <w:spacing w:val="-3"/>
        </w:rPr>
        <w:t>establezcan que hay potencial de aprovechamiento de aguas subterráneas</w:t>
      </w:r>
      <w:r w:rsidR="00602E26" w:rsidRPr="00BD1319">
        <w:rPr>
          <w:spacing w:val="-3"/>
        </w:rPr>
        <w:t xml:space="preserve"> y que la licencia ambiental sea otorgada para tal aprovechamiento</w:t>
      </w:r>
      <w:r w:rsidR="00E45478" w:rsidRPr="00BD1319">
        <w:rPr>
          <w:spacing w:val="-3"/>
        </w:rPr>
        <w:t xml:space="preserve">, </w:t>
      </w:r>
      <w:r w:rsidR="00840EAA" w:rsidRPr="00BD1319">
        <w:rPr>
          <w:spacing w:val="-3"/>
        </w:rPr>
        <w:t xml:space="preserve">se debe solicitar la </w:t>
      </w:r>
      <w:r w:rsidR="00E45478" w:rsidRPr="00BD1319">
        <w:rPr>
          <w:spacing w:val="-3"/>
        </w:rPr>
        <w:t>modifica</w:t>
      </w:r>
      <w:r w:rsidRPr="00BD1319">
        <w:rPr>
          <w:spacing w:val="-3"/>
        </w:rPr>
        <w:t xml:space="preserve">ción de </w:t>
      </w:r>
      <w:r w:rsidR="00E45478" w:rsidRPr="00BD1319">
        <w:rPr>
          <w:spacing w:val="-3"/>
        </w:rPr>
        <w:t xml:space="preserve">la licencia ambiental </w:t>
      </w:r>
      <w:r w:rsidRPr="00BD1319">
        <w:rPr>
          <w:spacing w:val="-3"/>
        </w:rPr>
        <w:t xml:space="preserve">a fin de </w:t>
      </w:r>
      <w:r w:rsidR="00E45478" w:rsidRPr="00BD1319">
        <w:rPr>
          <w:spacing w:val="-3"/>
        </w:rPr>
        <w:t>tramitar el permiso de concesión de aguas</w:t>
      </w:r>
      <w:r w:rsidRPr="00BD1319">
        <w:rPr>
          <w:spacing w:val="-3"/>
        </w:rPr>
        <w:t xml:space="preserve"> subterráneas</w:t>
      </w:r>
      <w:r w:rsidR="00E45478" w:rsidRPr="00BD1319">
        <w:rPr>
          <w:spacing w:val="-3"/>
        </w:rPr>
        <w:t>.</w:t>
      </w:r>
    </w:p>
    <w:p w14:paraId="1D1CBB95" w14:textId="77777777" w:rsidR="00E45478" w:rsidRPr="00BD1319" w:rsidRDefault="00E45478" w:rsidP="00C86DA5">
      <w:pPr>
        <w:numPr>
          <w:ilvl w:val="12"/>
          <w:numId w:val="0"/>
        </w:numPr>
        <w:tabs>
          <w:tab w:val="left" w:pos="-2268"/>
        </w:tabs>
        <w:suppressAutoHyphens/>
        <w:rPr>
          <w:spacing w:val="-3"/>
        </w:rPr>
      </w:pPr>
    </w:p>
    <w:p w14:paraId="3F745220" w14:textId="6E2C92A5" w:rsidR="004A1B3C" w:rsidRPr="00BD1319" w:rsidRDefault="004A1B3C" w:rsidP="0068149C">
      <w:pPr>
        <w:pStyle w:val="Ttulo2"/>
        <w:rPr>
          <w:lang w:val="es-CO"/>
        </w:rPr>
      </w:pPr>
      <w:bookmarkStart w:id="3091" w:name="_Toc42874873"/>
      <w:bookmarkStart w:id="3092" w:name="_Toc175326785"/>
      <w:r w:rsidRPr="00BD1319">
        <w:rPr>
          <w:lang w:val="es-CO"/>
        </w:rPr>
        <w:t>CONCESIÓN DE AGUA SUBTERRÁNEA</w:t>
      </w:r>
      <w:bookmarkEnd w:id="3091"/>
      <w:bookmarkEnd w:id="3092"/>
    </w:p>
    <w:p w14:paraId="6C7F7ADA" w14:textId="77777777" w:rsidR="004A1B3C" w:rsidRPr="00BD1319" w:rsidRDefault="004A1B3C" w:rsidP="004A1B3C">
      <w:pPr>
        <w:numPr>
          <w:ilvl w:val="12"/>
          <w:numId w:val="0"/>
        </w:numPr>
        <w:tabs>
          <w:tab w:val="left" w:pos="-2268"/>
        </w:tabs>
        <w:suppressAutoHyphens/>
        <w:rPr>
          <w:rFonts w:cs="Arial"/>
          <w:spacing w:val="-3"/>
        </w:rPr>
      </w:pPr>
    </w:p>
    <w:p w14:paraId="3BC79DBC" w14:textId="2CF107F6" w:rsidR="00E45478" w:rsidRPr="00BD1319" w:rsidRDefault="004A1B3C">
      <w:pPr>
        <w:numPr>
          <w:ilvl w:val="12"/>
          <w:numId w:val="0"/>
        </w:numPr>
        <w:tabs>
          <w:tab w:val="left" w:pos="-2268"/>
        </w:tabs>
        <w:suppressAutoHyphens/>
        <w:rPr>
          <w:rFonts w:cs="Arial"/>
          <w:spacing w:val="-3"/>
        </w:rPr>
      </w:pPr>
      <w:r w:rsidRPr="00BD1319">
        <w:rPr>
          <w:rFonts w:cs="Arial"/>
          <w:spacing w:val="-3"/>
        </w:rPr>
        <w:t>En caso</w:t>
      </w:r>
      <w:r w:rsidRPr="00BD1319">
        <w:rPr>
          <w:spacing w:val="-3"/>
        </w:rPr>
        <w:t xml:space="preserve"> de </w:t>
      </w:r>
      <w:r w:rsidRPr="00BD1319">
        <w:rPr>
          <w:rFonts w:cs="Arial"/>
          <w:spacing w:val="-3"/>
        </w:rPr>
        <w:t>requerir</w:t>
      </w:r>
      <w:r w:rsidRPr="00BD1319">
        <w:rPr>
          <w:spacing w:val="-3"/>
        </w:rPr>
        <w:t xml:space="preserve"> una concesión de agua</w:t>
      </w:r>
      <w:r w:rsidR="005472C6" w:rsidRPr="00BD1319">
        <w:rPr>
          <w:spacing w:val="-3"/>
        </w:rPr>
        <w:t xml:space="preserve">, </w:t>
      </w:r>
      <w:r w:rsidR="006762EC" w:rsidRPr="00BD1319">
        <w:rPr>
          <w:spacing w:val="-3"/>
        </w:rPr>
        <w:t xml:space="preserve">sea ésta </w:t>
      </w:r>
      <w:r w:rsidR="005472C6" w:rsidRPr="00BD1319">
        <w:rPr>
          <w:spacing w:val="-3"/>
        </w:rPr>
        <w:t>subterránea</w:t>
      </w:r>
      <w:r w:rsidR="005472C6" w:rsidRPr="00BD1319">
        <w:rPr>
          <w:rFonts w:cs="Arial"/>
          <w:spacing w:val="-3"/>
        </w:rPr>
        <w:t xml:space="preserve"> o residual (según lo establecido en la Resolución 1256 de 2021 o aquella que la modifique o sustituya)</w:t>
      </w:r>
      <w:r w:rsidRPr="00BD1319">
        <w:rPr>
          <w:rFonts w:cs="Arial"/>
          <w:spacing w:val="-3"/>
        </w:rPr>
        <w:t xml:space="preserve">, se debe </w:t>
      </w:r>
      <w:r w:rsidR="00E45478" w:rsidRPr="00BD1319">
        <w:rPr>
          <w:rFonts w:cs="Arial"/>
          <w:spacing w:val="-3"/>
        </w:rPr>
        <w:t xml:space="preserve">contar previamente con </w:t>
      </w:r>
      <w:r w:rsidRPr="00BD1319">
        <w:rPr>
          <w:rFonts w:cs="Arial"/>
          <w:spacing w:val="-3"/>
        </w:rPr>
        <w:t xml:space="preserve">el permiso de exploración de agua subterránea de acuerdo con lo establecido en el numeral </w:t>
      </w:r>
      <w:r w:rsidR="00FC23F8" w:rsidRPr="00BD1319">
        <w:rPr>
          <w:rFonts w:cs="Arial"/>
          <w:spacing w:val="-3"/>
        </w:rPr>
        <w:fldChar w:fldCharType="begin"/>
      </w:r>
      <w:r w:rsidR="00FC23F8" w:rsidRPr="00BD1319">
        <w:rPr>
          <w:rFonts w:cs="Arial"/>
          <w:spacing w:val="-3"/>
        </w:rPr>
        <w:instrText xml:space="preserve"> REF _Ref77316770 \r \h </w:instrText>
      </w:r>
      <w:r w:rsidR="006A4128" w:rsidRPr="00BD1319">
        <w:rPr>
          <w:rFonts w:cs="Arial"/>
          <w:spacing w:val="-3"/>
        </w:rPr>
        <w:instrText xml:space="preserve"> \* MERGEFORMAT </w:instrText>
      </w:r>
      <w:r w:rsidR="00FC23F8" w:rsidRPr="00BD1319">
        <w:rPr>
          <w:rFonts w:cs="Arial"/>
          <w:spacing w:val="-3"/>
        </w:rPr>
      </w:r>
      <w:r w:rsidR="00FC23F8" w:rsidRPr="00BD1319">
        <w:rPr>
          <w:rFonts w:cs="Arial"/>
          <w:spacing w:val="-3"/>
        </w:rPr>
        <w:fldChar w:fldCharType="separate"/>
      </w:r>
      <w:r w:rsidR="00296654" w:rsidRPr="00BD1319">
        <w:rPr>
          <w:rFonts w:cs="Arial"/>
          <w:spacing w:val="-3"/>
        </w:rPr>
        <w:t>6.2</w:t>
      </w:r>
      <w:r w:rsidR="00FC23F8" w:rsidRPr="00BD1319">
        <w:rPr>
          <w:rFonts w:cs="Arial"/>
          <w:spacing w:val="-3"/>
        </w:rPr>
        <w:fldChar w:fldCharType="end"/>
      </w:r>
      <w:r w:rsidR="00FC23F8" w:rsidRPr="00BD1319">
        <w:rPr>
          <w:rFonts w:cs="Arial"/>
          <w:spacing w:val="-3"/>
        </w:rPr>
        <w:t xml:space="preserve"> </w:t>
      </w:r>
      <w:r w:rsidRPr="00BD1319">
        <w:rPr>
          <w:rFonts w:cs="Arial"/>
          <w:spacing w:val="-3"/>
        </w:rPr>
        <w:t xml:space="preserve">del </w:t>
      </w:r>
      <w:r w:rsidR="00FC23F8" w:rsidRPr="00BD1319">
        <w:rPr>
          <w:rFonts w:cs="Arial"/>
          <w:spacing w:val="-3"/>
        </w:rPr>
        <w:t xml:space="preserve">capítulo III del </w:t>
      </w:r>
      <w:r w:rsidRPr="00BD1319">
        <w:rPr>
          <w:rFonts w:cs="Arial"/>
          <w:spacing w:val="-3"/>
        </w:rPr>
        <w:t>presente documento.</w:t>
      </w:r>
    </w:p>
    <w:p w14:paraId="027D7803" w14:textId="77777777" w:rsidR="00E45478" w:rsidRPr="00BD1319" w:rsidRDefault="00E45478">
      <w:pPr>
        <w:numPr>
          <w:ilvl w:val="12"/>
          <w:numId w:val="0"/>
        </w:numPr>
        <w:tabs>
          <w:tab w:val="left" w:pos="-2268"/>
        </w:tabs>
        <w:suppressAutoHyphens/>
        <w:rPr>
          <w:rFonts w:cs="Arial"/>
          <w:spacing w:val="-3"/>
        </w:rPr>
      </w:pPr>
    </w:p>
    <w:p w14:paraId="7198E63E" w14:textId="4887B12B" w:rsidR="004A1B3C" w:rsidRPr="00BD1319" w:rsidRDefault="004A1B3C">
      <w:pPr>
        <w:numPr>
          <w:ilvl w:val="12"/>
          <w:numId w:val="0"/>
        </w:numPr>
        <w:tabs>
          <w:tab w:val="left" w:pos="-2268"/>
        </w:tabs>
        <w:suppressAutoHyphens/>
        <w:rPr>
          <w:spacing w:val="-3"/>
        </w:rPr>
      </w:pPr>
      <w:r w:rsidRPr="00BD1319">
        <w:rPr>
          <w:rFonts w:cs="Arial"/>
          <w:spacing w:val="-3"/>
        </w:rPr>
        <w:t>Una vez obtenido este permiso,</w:t>
      </w:r>
      <w:r w:rsidRPr="00BD1319">
        <w:rPr>
          <w:spacing w:val="-3"/>
        </w:rPr>
        <w:t xml:space="preserve"> se debe presentar la información requerida en el </w:t>
      </w:r>
      <w:r w:rsidR="00FC23F8" w:rsidRPr="00BD1319">
        <w:rPr>
          <w:spacing w:val="-3"/>
        </w:rPr>
        <w:t xml:space="preserve">FUN </w:t>
      </w:r>
      <w:r w:rsidRPr="00BD1319">
        <w:rPr>
          <w:spacing w:val="-3"/>
        </w:rPr>
        <w:t xml:space="preserve">de </w:t>
      </w:r>
      <w:r w:rsidR="00FC23F8" w:rsidRPr="00BD1319">
        <w:rPr>
          <w:spacing w:val="-3"/>
        </w:rPr>
        <w:t>s</w:t>
      </w:r>
      <w:r w:rsidRPr="00BD1319">
        <w:rPr>
          <w:spacing w:val="-3"/>
        </w:rPr>
        <w:t xml:space="preserve">olicitud de </w:t>
      </w:r>
      <w:r w:rsidR="00FC23F8" w:rsidRPr="00BD1319">
        <w:rPr>
          <w:spacing w:val="-3"/>
        </w:rPr>
        <w:t>c</w:t>
      </w:r>
      <w:r w:rsidRPr="00BD1319">
        <w:rPr>
          <w:spacing w:val="-3"/>
        </w:rPr>
        <w:t xml:space="preserve">oncesión de </w:t>
      </w:r>
      <w:r w:rsidR="00FC23F8" w:rsidRPr="00BD1319">
        <w:rPr>
          <w:spacing w:val="-3"/>
        </w:rPr>
        <w:t>a</w:t>
      </w:r>
      <w:r w:rsidRPr="00BD1319">
        <w:rPr>
          <w:spacing w:val="-3"/>
        </w:rPr>
        <w:t xml:space="preserve">guas </w:t>
      </w:r>
      <w:r w:rsidR="00FC23F8" w:rsidRPr="00BD1319">
        <w:rPr>
          <w:spacing w:val="-3"/>
        </w:rPr>
        <w:t>s</w:t>
      </w:r>
      <w:r w:rsidRPr="00BD1319">
        <w:rPr>
          <w:spacing w:val="-3"/>
        </w:rPr>
        <w:t>ubterráneas</w:t>
      </w:r>
      <w:r w:rsidRPr="00BD1319">
        <w:rPr>
          <w:rFonts w:cs="Arial"/>
          <w:spacing w:val="-3"/>
        </w:rPr>
        <w:t xml:space="preserve"> adoptado por la Resolución </w:t>
      </w:r>
      <w:r w:rsidR="00017DA7" w:rsidRPr="00BD1319">
        <w:rPr>
          <w:rFonts w:cs="Arial"/>
          <w:spacing w:val="-3"/>
        </w:rPr>
        <w:t>1058 de 2021</w:t>
      </w:r>
      <w:r w:rsidRPr="00BD1319">
        <w:rPr>
          <w:rFonts w:cs="Arial"/>
          <w:spacing w:val="-3"/>
        </w:rPr>
        <w:t>, l</w:t>
      </w:r>
      <w:r w:rsidR="00FC23F8" w:rsidRPr="00BD1319">
        <w:rPr>
          <w:rFonts w:cs="Arial"/>
          <w:spacing w:val="-3"/>
        </w:rPr>
        <w:t>a</w:t>
      </w:r>
      <w:r w:rsidRPr="00BD1319">
        <w:rPr>
          <w:rFonts w:cs="Arial"/>
          <w:spacing w:val="-3"/>
        </w:rPr>
        <w:t xml:space="preserve"> estipulad</w:t>
      </w:r>
      <w:r w:rsidR="00FC23F8" w:rsidRPr="00BD1319">
        <w:rPr>
          <w:rFonts w:cs="Arial"/>
          <w:spacing w:val="-3"/>
        </w:rPr>
        <w:t>a</w:t>
      </w:r>
      <w:r w:rsidRPr="00BD1319">
        <w:rPr>
          <w:rFonts w:cs="Arial"/>
          <w:spacing w:val="-3"/>
        </w:rPr>
        <w:t xml:space="preserve"> en los artículos 2.2.3.2.16.14</w:t>
      </w:r>
      <w:r w:rsidR="00BA1EE1" w:rsidRPr="00BD1319">
        <w:rPr>
          <w:rFonts w:cs="Arial"/>
          <w:spacing w:val="-3"/>
        </w:rPr>
        <w:t>.</w:t>
      </w:r>
      <w:r w:rsidRPr="00BD1319">
        <w:rPr>
          <w:rFonts w:cs="Arial"/>
          <w:spacing w:val="-3"/>
        </w:rPr>
        <w:t xml:space="preserve"> Requisitos y trámite concesión, 2.2.3.2.9.1</w:t>
      </w:r>
      <w:r w:rsidR="00BA1EE1" w:rsidRPr="00BD1319">
        <w:rPr>
          <w:rFonts w:cs="Arial"/>
          <w:spacing w:val="-3"/>
        </w:rPr>
        <w:t>.</w:t>
      </w:r>
      <w:r w:rsidRPr="00BD1319">
        <w:rPr>
          <w:rFonts w:cs="Arial"/>
          <w:spacing w:val="-3"/>
        </w:rPr>
        <w:t xml:space="preserve"> Solicitud de concesión y 2.2.3.2.9.2. </w:t>
      </w:r>
      <w:r w:rsidR="00E77B0F" w:rsidRPr="00BD1319">
        <w:rPr>
          <w:rFonts w:cs="Arial"/>
          <w:spacing w:val="-3"/>
        </w:rPr>
        <w:t>A</w:t>
      </w:r>
      <w:r w:rsidRPr="00BD1319">
        <w:rPr>
          <w:rFonts w:cs="Arial"/>
          <w:spacing w:val="-3"/>
        </w:rPr>
        <w:t>nexos a la solicitud, del Decreto 1076 de 2015 o aquella norma que lo modifique o sustituya</w:t>
      </w:r>
      <w:r w:rsidR="00BA1EE1" w:rsidRPr="00BD1319">
        <w:rPr>
          <w:rFonts w:cs="Arial"/>
          <w:spacing w:val="-3"/>
        </w:rPr>
        <w:t>,</w:t>
      </w:r>
      <w:r w:rsidRPr="00BD1319">
        <w:rPr>
          <w:rFonts w:cs="Arial"/>
          <w:spacing w:val="-3"/>
        </w:rPr>
        <w:t xml:space="preserve"> así como la siguiente información</w:t>
      </w:r>
      <w:r w:rsidRPr="00BD1319">
        <w:rPr>
          <w:spacing w:val="-3"/>
        </w:rPr>
        <w:t>:</w:t>
      </w:r>
    </w:p>
    <w:p w14:paraId="11C5CBD7" w14:textId="77777777" w:rsidR="004A1B3C" w:rsidRPr="00BD1319" w:rsidRDefault="004A1B3C">
      <w:pPr>
        <w:numPr>
          <w:ilvl w:val="12"/>
          <w:numId w:val="0"/>
        </w:numPr>
        <w:tabs>
          <w:tab w:val="left" w:pos="-2268"/>
        </w:tabs>
        <w:suppressAutoHyphens/>
        <w:rPr>
          <w:spacing w:val="-3"/>
        </w:rPr>
      </w:pPr>
    </w:p>
    <w:p w14:paraId="6C29BF8F" w14:textId="2BB80E59" w:rsidR="004A1B3C" w:rsidRPr="00BD1319" w:rsidRDefault="004A1B3C" w:rsidP="00C86DA5">
      <w:pPr>
        <w:pStyle w:val="Prrafodelista"/>
        <w:numPr>
          <w:ilvl w:val="0"/>
          <w:numId w:val="5"/>
        </w:numPr>
        <w:tabs>
          <w:tab w:val="left" w:pos="-2268"/>
        </w:tabs>
        <w:suppressAutoHyphens/>
        <w:ind w:left="567" w:hanging="567"/>
        <w:rPr>
          <w:spacing w:val="-3"/>
          <w:lang w:val="es-CO"/>
        </w:rPr>
      </w:pPr>
      <w:r w:rsidRPr="00BD1319">
        <w:rPr>
          <w:rFonts w:cs="Arial"/>
          <w:spacing w:val="-3"/>
          <w:lang w:val="es-CO"/>
        </w:rPr>
        <w:lastRenderedPageBreak/>
        <w:t>Descripción</w:t>
      </w:r>
      <w:r w:rsidRPr="00BD1319">
        <w:rPr>
          <w:spacing w:val="-3"/>
          <w:lang w:val="es-CO"/>
        </w:rPr>
        <w:t xml:space="preserve"> de los requerimientos de agua en términos de volumen, caudal y régimen de explotación.</w:t>
      </w:r>
    </w:p>
    <w:p w14:paraId="18A6C398" w14:textId="77777777" w:rsidR="004A1B3C" w:rsidRPr="00BD1319" w:rsidRDefault="004A1B3C" w:rsidP="00C86DA5">
      <w:pPr>
        <w:numPr>
          <w:ilvl w:val="12"/>
          <w:numId w:val="0"/>
        </w:numPr>
        <w:tabs>
          <w:tab w:val="left" w:pos="-2268"/>
        </w:tabs>
        <w:suppressAutoHyphens/>
        <w:ind w:left="567" w:hanging="567"/>
        <w:rPr>
          <w:spacing w:val="-3"/>
        </w:rPr>
      </w:pPr>
    </w:p>
    <w:p w14:paraId="50AA4E66" w14:textId="68D705D9" w:rsidR="004A1B3C" w:rsidRPr="00BD1319" w:rsidRDefault="004A1B3C" w:rsidP="00C86DA5">
      <w:pPr>
        <w:pStyle w:val="Prrafodelista"/>
        <w:numPr>
          <w:ilvl w:val="0"/>
          <w:numId w:val="5"/>
        </w:numPr>
        <w:tabs>
          <w:tab w:val="left" w:pos="-2268"/>
        </w:tabs>
        <w:suppressAutoHyphens/>
        <w:ind w:left="567" w:hanging="567"/>
        <w:rPr>
          <w:spacing w:val="-3"/>
          <w:lang w:val="es-CO"/>
        </w:rPr>
      </w:pPr>
      <w:r w:rsidRPr="00BD1319">
        <w:rPr>
          <w:spacing w:val="-3"/>
          <w:lang w:val="es-CO"/>
        </w:rPr>
        <w:t xml:space="preserve">Localización georreferenciada de los pozos exploratorios perforados en mapas con la escala definida en los términos de referencia </w:t>
      </w:r>
      <w:r w:rsidR="00037008" w:rsidRPr="00BD1319">
        <w:rPr>
          <w:spacing w:val="-3"/>
          <w:lang w:val="es-CO"/>
        </w:rPr>
        <w:t xml:space="preserve">que correspondan, </w:t>
      </w:r>
      <w:r w:rsidRPr="00BD1319">
        <w:rPr>
          <w:spacing w:val="-3"/>
          <w:lang w:val="es-CO"/>
        </w:rPr>
        <w:t>o más detallada, si ello se requiere.</w:t>
      </w:r>
    </w:p>
    <w:p w14:paraId="308E7107" w14:textId="77777777" w:rsidR="004A1B3C" w:rsidRPr="00BD1319" w:rsidRDefault="004A1B3C" w:rsidP="00C86DA5">
      <w:pPr>
        <w:numPr>
          <w:ilvl w:val="12"/>
          <w:numId w:val="0"/>
        </w:numPr>
        <w:tabs>
          <w:tab w:val="left" w:pos="-2268"/>
        </w:tabs>
        <w:suppressAutoHyphens/>
        <w:ind w:left="567" w:hanging="567"/>
        <w:rPr>
          <w:spacing w:val="-3"/>
        </w:rPr>
      </w:pPr>
    </w:p>
    <w:p w14:paraId="6392E871" w14:textId="77777777" w:rsidR="004A1B3C" w:rsidRPr="00BD1319" w:rsidRDefault="004A1B3C" w:rsidP="00C86DA5">
      <w:pPr>
        <w:pStyle w:val="Prrafodelista"/>
        <w:numPr>
          <w:ilvl w:val="0"/>
          <w:numId w:val="5"/>
        </w:numPr>
        <w:tabs>
          <w:tab w:val="left" w:pos="-2268"/>
        </w:tabs>
        <w:suppressAutoHyphens/>
        <w:ind w:left="567" w:hanging="567"/>
        <w:rPr>
          <w:spacing w:val="-3"/>
          <w:lang w:val="es-CO"/>
        </w:rPr>
      </w:pPr>
      <w:r w:rsidRPr="00BD1319">
        <w:rPr>
          <w:spacing w:val="-3"/>
          <w:lang w:val="es-CO"/>
        </w:rPr>
        <w:t xml:space="preserve">Informe de los resultados de los estudios de exploración, que incluya los estudios hidrogeológicos que se hubieran realizado indicando el tipo de investigación, método y análisis de las pruebas realizadas y los parámetros </w:t>
      </w:r>
      <w:proofErr w:type="spellStart"/>
      <w:r w:rsidRPr="00BD1319">
        <w:rPr>
          <w:spacing w:val="-3"/>
          <w:lang w:val="es-CO"/>
        </w:rPr>
        <w:t>geohidráulicos</w:t>
      </w:r>
      <w:proofErr w:type="spellEnd"/>
      <w:r w:rsidRPr="00BD1319">
        <w:rPr>
          <w:spacing w:val="-3"/>
          <w:lang w:val="es-CO"/>
        </w:rPr>
        <w:t xml:space="preserve"> de los acuíferos</w:t>
      </w:r>
      <w:r w:rsidRPr="00BD1319">
        <w:rPr>
          <w:rStyle w:val="Refdenotaalpie"/>
          <w:rFonts w:cs="Arial"/>
          <w:spacing w:val="-3"/>
          <w:lang w:val="es-CO"/>
        </w:rPr>
        <w:footnoteReference w:id="175"/>
      </w:r>
      <w:r w:rsidRPr="00BD1319">
        <w:rPr>
          <w:spacing w:val="-3"/>
          <w:lang w:val="es-CO"/>
        </w:rPr>
        <w:t xml:space="preserve"> identificados en los estudios.</w:t>
      </w:r>
    </w:p>
    <w:p w14:paraId="15EC1B28" w14:textId="77777777" w:rsidR="004A1B3C" w:rsidRPr="00BD1319" w:rsidRDefault="004A1B3C" w:rsidP="00C86DA5">
      <w:pPr>
        <w:pStyle w:val="Prrafodelista"/>
        <w:ind w:left="567" w:hanging="567"/>
        <w:rPr>
          <w:spacing w:val="-3"/>
          <w:lang w:val="es-CO"/>
        </w:rPr>
      </w:pPr>
    </w:p>
    <w:p w14:paraId="1DDA9AC9" w14:textId="187C72CE" w:rsidR="004A1B3C" w:rsidRPr="00BD1319" w:rsidRDefault="00F61EA4" w:rsidP="00E77B0F">
      <w:pPr>
        <w:pStyle w:val="Prrafodelista"/>
        <w:numPr>
          <w:ilvl w:val="0"/>
          <w:numId w:val="5"/>
        </w:numPr>
        <w:tabs>
          <w:tab w:val="left" w:pos="-2268"/>
        </w:tabs>
        <w:suppressAutoHyphens/>
        <w:ind w:left="567" w:hanging="567"/>
        <w:rPr>
          <w:rFonts w:cs="Arial"/>
          <w:spacing w:val="-3"/>
          <w:lang w:val="es-CO"/>
        </w:rPr>
      </w:pPr>
      <w:r w:rsidRPr="00BD1319">
        <w:rPr>
          <w:rFonts w:cs="Arial"/>
          <w:spacing w:val="-3"/>
          <w:lang w:val="es-CO"/>
        </w:rPr>
        <w:t xml:space="preserve">Determinación </w:t>
      </w:r>
      <w:r w:rsidR="004A1B3C" w:rsidRPr="00BD1319">
        <w:rPr>
          <w:rFonts w:cs="Arial"/>
          <w:spacing w:val="-3"/>
          <w:lang w:val="es-CO"/>
        </w:rPr>
        <w:t xml:space="preserve">y análisis de los posibles conflictos por la disponibilidad y usos del recurso, de acuerdo con la caracterización hidrogeológica del área que se presenta </w:t>
      </w:r>
      <w:r w:rsidR="00BA1EE1" w:rsidRPr="00BD1319">
        <w:rPr>
          <w:rFonts w:cs="Arial"/>
          <w:spacing w:val="-3"/>
          <w:lang w:val="es-CO"/>
        </w:rPr>
        <w:t xml:space="preserve">en </w:t>
      </w:r>
      <w:r w:rsidR="004A1B3C" w:rsidRPr="00BD1319">
        <w:rPr>
          <w:rFonts w:cs="Arial"/>
          <w:spacing w:val="-3"/>
          <w:lang w:val="es-CO"/>
        </w:rPr>
        <w:t>la caracterización del medio abiótico (</w:t>
      </w:r>
      <w:r w:rsidR="00041844" w:rsidRPr="00BD1319">
        <w:rPr>
          <w:rFonts w:cs="Arial"/>
          <w:spacing w:val="-3"/>
          <w:lang w:val="es-CO"/>
        </w:rPr>
        <w:t>p. ej.</w:t>
      </w:r>
      <w:r w:rsidR="004A1B3C" w:rsidRPr="00BD1319">
        <w:rPr>
          <w:rFonts w:cs="Arial"/>
          <w:spacing w:val="-3"/>
          <w:lang w:val="es-CO"/>
        </w:rPr>
        <w:t xml:space="preserve"> inventario de los puntos de agua subterránea).</w:t>
      </w:r>
    </w:p>
    <w:p w14:paraId="6670CEE9" w14:textId="77777777" w:rsidR="004A1B3C" w:rsidRPr="00BD1319" w:rsidRDefault="004A1B3C" w:rsidP="00E77B0F">
      <w:pPr>
        <w:numPr>
          <w:ilvl w:val="12"/>
          <w:numId w:val="0"/>
        </w:numPr>
        <w:tabs>
          <w:tab w:val="left" w:pos="-2268"/>
        </w:tabs>
        <w:suppressAutoHyphens/>
        <w:ind w:left="567" w:hanging="567"/>
        <w:rPr>
          <w:rFonts w:cs="Arial"/>
          <w:spacing w:val="-3"/>
        </w:rPr>
      </w:pPr>
    </w:p>
    <w:p w14:paraId="10BE9BD6" w14:textId="1C083658" w:rsidR="004A1B3C" w:rsidRPr="00BD1319" w:rsidRDefault="004A1B3C" w:rsidP="00C86DA5">
      <w:pPr>
        <w:pStyle w:val="Prrafodelista"/>
        <w:numPr>
          <w:ilvl w:val="0"/>
          <w:numId w:val="5"/>
        </w:numPr>
        <w:tabs>
          <w:tab w:val="left" w:pos="-2268"/>
        </w:tabs>
        <w:suppressAutoHyphens/>
        <w:ind w:left="567" w:hanging="567"/>
        <w:rPr>
          <w:spacing w:val="-3"/>
          <w:lang w:val="es-CO"/>
        </w:rPr>
      </w:pPr>
      <w:r w:rsidRPr="00BD1319">
        <w:rPr>
          <w:spacing w:val="-3"/>
          <w:lang w:val="es-CO"/>
        </w:rPr>
        <w:t xml:space="preserve">Descripción litológica de las muestras obtenidas de la perforación exploratoria (para todos los pozos perforados, contengan agua o no), señalando </w:t>
      </w:r>
      <w:r w:rsidRPr="00BD1319">
        <w:rPr>
          <w:rFonts w:cs="Arial"/>
          <w:spacing w:val="-3"/>
          <w:lang w:val="es-CO"/>
        </w:rPr>
        <w:t xml:space="preserve">como mínimo </w:t>
      </w:r>
      <w:r w:rsidRPr="00BD1319">
        <w:rPr>
          <w:spacing w:val="-3"/>
          <w:lang w:val="es-CO"/>
        </w:rPr>
        <w:t>su espesor, composición, textura, granulometría y porosidad primaria o secundaria.</w:t>
      </w:r>
    </w:p>
    <w:p w14:paraId="7B6D1663" w14:textId="77777777" w:rsidR="004A1B3C" w:rsidRPr="00BD1319" w:rsidRDefault="004A1B3C" w:rsidP="00C86DA5">
      <w:pPr>
        <w:numPr>
          <w:ilvl w:val="12"/>
          <w:numId w:val="0"/>
        </w:numPr>
        <w:tabs>
          <w:tab w:val="left" w:pos="-2268"/>
        </w:tabs>
        <w:suppressAutoHyphens/>
        <w:ind w:left="567" w:hanging="567"/>
        <w:rPr>
          <w:spacing w:val="-3"/>
        </w:rPr>
      </w:pPr>
    </w:p>
    <w:p w14:paraId="2300D644" w14:textId="02198B1D" w:rsidR="004A1B3C" w:rsidRPr="00BD1319" w:rsidRDefault="004A1B3C" w:rsidP="00C86DA5">
      <w:pPr>
        <w:pStyle w:val="Prrafodelista"/>
        <w:numPr>
          <w:ilvl w:val="0"/>
          <w:numId w:val="5"/>
        </w:numPr>
        <w:tabs>
          <w:tab w:val="left" w:pos="-2268"/>
        </w:tabs>
        <w:suppressAutoHyphens/>
        <w:ind w:left="567" w:hanging="567"/>
        <w:rPr>
          <w:spacing w:val="-3"/>
          <w:lang w:val="es-CO"/>
        </w:rPr>
      </w:pPr>
      <w:r w:rsidRPr="00BD1319">
        <w:rPr>
          <w:spacing w:val="-3"/>
          <w:lang w:val="es-CO"/>
        </w:rPr>
        <w:t>Perfil estratigráfico de los pozos perforados y descripción de las formaciones geológicas, elaborado con base en la descripción litológica, determinando el espesor y la porosidad primaria o secundaria de todos los pozos perforados, tengan o no agua.</w:t>
      </w:r>
    </w:p>
    <w:p w14:paraId="7228C3BE" w14:textId="77777777" w:rsidR="004A1B3C" w:rsidRPr="00BD1319" w:rsidRDefault="004A1B3C" w:rsidP="00C86DA5">
      <w:pPr>
        <w:numPr>
          <w:ilvl w:val="12"/>
          <w:numId w:val="0"/>
        </w:numPr>
        <w:tabs>
          <w:tab w:val="left" w:pos="-2268"/>
        </w:tabs>
        <w:suppressAutoHyphens/>
        <w:ind w:left="567" w:hanging="567"/>
        <w:rPr>
          <w:spacing w:val="-3"/>
        </w:rPr>
      </w:pPr>
    </w:p>
    <w:p w14:paraId="20EA5672" w14:textId="003853FE" w:rsidR="004A1B3C" w:rsidRPr="00BD1319" w:rsidRDefault="004A1B3C" w:rsidP="00C86DA5">
      <w:pPr>
        <w:pStyle w:val="Prrafodelista"/>
        <w:numPr>
          <w:ilvl w:val="0"/>
          <w:numId w:val="5"/>
        </w:numPr>
        <w:tabs>
          <w:tab w:val="left" w:pos="-2268"/>
        </w:tabs>
        <w:suppressAutoHyphens/>
        <w:ind w:left="567" w:hanging="567"/>
        <w:rPr>
          <w:spacing w:val="-3"/>
          <w:lang w:val="es-CO"/>
        </w:rPr>
      </w:pPr>
      <w:r w:rsidRPr="00BD1319">
        <w:rPr>
          <w:spacing w:val="-3"/>
          <w:lang w:val="es-CO"/>
        </w:rPr>
        <w:t xml:space="preserve">Registros geofísicos de los pozos perforados, aportando los perfiles Gamma Ray, potencial espontáneo y resistividad sonda larga y corta con su correspondiente escala horizontal y vertical (profundidad). Se debe presentar la correlación de estos resultados con la rata de perforación del pozo y con el perfil estratigráfico, </w:t>
      </w:r>
      <w:r w:rsidR="00BA1EE1" w:rsidRPr="00BD1319">
        <w:rPr>
          <w:spacing w:val="-3"/>
          <w:lang w:val="es-CO"/>
        </w:rPr>
        <w:t xml:space="preserve">a partir de la </w:t>
      </w:r>
      <w:r w:rsidRPr="00BD1319">
        <w:rPr>
          <w:spacing w:val="-3"/>
          <w:lang w:val="es-CO"/>
        </w:rPr>
        <w:t>cual se debe sustentar el diseño definitivo del pozo, el tamaño de apertura de los filtros y el tamaño del empaque de grava.</w:t>
      </w:r>
    </w:p>
    <w:p w14:paraId="59032828" w14:textId="77777777" w:rsidR="004A1B3C" w:rsidRPr="00BD1319" w:rsidRDefault="004A1B3C" w:rsidP="00C86DA5">
      <w:pPr>
        <w:numPr>
          <w:ilvl w:val="12"/>
          <w:numId w:val="0"/>
        </w:numPr>
        <w:tabs>
          <w:tab w:val="left" w:pos="-2268"/>
        </w:tabs>
        <w:suppressAutoHyphens/>
        <w:ind w:left="567" w:hanging="567"/>
        <w:rPr>
          <w:spacing w:val="-3"/>
        </w:rPr>
      </w:pPr>
    </w:p>
    <w:p w14:paraId="69287114" w14:textId="6625573F" w:rsidR="004A1B3C" w:rsidRPr="00BD1319" w:rsidRDefault="004A1B3C" w:rsidP="00C86DA5">
      <w:pPr>
        <w:pStyle w:val="Prrafodelista"/>
        <w:numPr>
          <w:ilvl w:val="0"/>
          <w:numId w:val="5"/>
        </w:numPr>
        <w:tabs>
          <w:tab w:val="left" w:pos="-2268"/>
        </w:tabs>
        <w:suppressAutoHyphens/>
        <w:ind w:left="567" w:hanging="567"/>
        <w:rPr>
          <w:spacing w:val="-3"/>
          <w:lang w:val="es-CO"/>
        </w:rPr>
      </w:pPr>
      <w:r w:rsidRPr="00BD1319">
        <w:rPr>
          <w:spacing w:val="-3"/>
          <w:lang w:val="es-CO"/>
        </w:rPr>
        <w:t>Diseño definitivo de los pozos perforados, incluyendo la descripción del tipo de tubería de revestimiento, filtros, empaque de grava y material utilizado para el sello sanitario,</w:t>
      </w:r>
      <w:r w:rsidR="00BA1EE1" w:rsidRPr="00BD1319">
        <w:rPr>
          <w:spacing w:val="-3"/>
          <w:lang w:val="es-CO"/>
        </w:rPr>
        <w:t xml:space="preserve"> así como</w:t>
      </w:r>
      <w:r w:rsidRPr="00BD1319">
        <w:rPr>
          <w:spacing w:val="-3"/>
          <w:lang w:val="es-CO"/>
        </w:rPr>
        <w:t xml:space="preserve"> nivelación topográfica. Ubicación y descripción de la infraestructura instalada (bomba sumergible, tubería de conducción y accesorios para su funcionamiento y tubería para medición de niveles, entre otras).</w:t>
      </w:r>
    </w:p>
    <w:p w14:paraId="4F86F158" w14:textId="77777777" w:rsidR="004A1B3C" w:rsidRPr="00BD1319" w:rsidRDefault="004A1B3C" w:rsidP="00C86DA5">
      <w:pPr>
        <w:numPr>
          <w:ilvl w:val="12"/>
          <w:numId w:val="0"/>
        </w:numPr>
        <w:tabs>
          <w:tab w:val="left" w:pos="-2268"/>
        </w:tabs>
        <w:suppressAutoHyphens/>
        <w:ind w:left="567" w:hanging="567"/>
        <w:rPr>
          <w:spacing w:val="-3"/>
        </w:rPr>
      </w:pPr>
    </w:p>
    <w:p w14:paraId="26D73748" w14:textId="27E9EE51" w:rsidR="005010C7" w:rsidRPr="00BD1319" w:rsidRDefault="004A1B3C" w:rsidP="00C86DA5">
      <w:pPr>
        <w:pStyle w:val="Prrafodelista"/>
        <w:numPr>
          <w:ilvl w:val="0"/>
          <w:numId w:val="5"/>
        </w:numPr>
        <w:tabs>
          <w:tab w:val="left" w:pos="-2268"/>
        </w:tabs>
        <w:suppressAutoHyphens/>
        <w:ind w:left="567" w:hanging="567"/>
        <w:rPr>
          <w:spacing w:val="-3"/>
          <w:lang w:val="es-CO"/>
        </w:rPr>
      </w:pPr>
      <w:r w:rsidRPr="00BD1319">
        <w:rPr>
          <w:spacing w:val="-3"/>
          <w:lang w:val="es-CO"/>
        </w:rPr>
        <w:lastRenderedPageBreak/>
        <w:t xml:space="preserve">Datos de campo </w:t>
      </w:r>
      <w:r w:rsidR="00BA1EE1" w:rsidRPr="00BD1319">
        <w:rPr>
          <w:spacing w:val="-3"/>
          <w:lang w:val="es-CO"/>
        </w:rPr>
        <w:t xml:space="preserve">sobre la </w:t>
      </w:r>
      <w:r w:rsidRPr="00BD1319">
        <w:rPr>
          <w:spacing w:val="-3"/>
          <w:lang w:val="es-CO"/>
        </w:rPr>
        <w:t>variación de los niveles del agua subterránea con relación al tiempo y resultados de las pruebas de bombeo escalonadas, a caudal constante y de recuperación, especificando tipo, duración y caudal de la prueba</w:t>
      </w:r>
      <w:r w:rsidR="005010C7" w:rsidRPr="00BD1319">
        <w:rPr>
          <w:spacing w:val="-3"/>
          <w:lang w:val="es-CO"/>
        </w:rPr>
        <w:t>,</w:t>
      </w:r>
      <w:r w:rsidRPr="00BD1319">
        <w:rPr>
          <w:spacing w:val="-3"/>
          <w:lang w:val="es-CO"/>
        </w:rPr>
        <w:t xml:space="preserve"> así como la interpretación de las mismas, describiendo el método de análisis empleado, los parámetros hidráulicos obtenidos (</w:t>
      </w:r>
      <w:proofErr w:type="spellStart"/>
      <w:r w:rsidRPr="00BD1319">
        <w:rPr>
          <w:spacing w:val="-3"/>
          <w:lang w:val="es-CO"/>
        </w:rPr>
        <w:t>trasmisividad</w:t>
      </w:r>
      <w:proofErr w:type="spellEnd"/>
      <w:r w:rsidRPr="00BD1319">
        <w:rPr>
          <w:spacing w:val="-3"/>
          <w:lang w:val="es-CO"/>
        </w:rPr>
        <w:t xml:space="preserve">, conductividad hidráulica, coeficiente de almacenamiento, capacidad específica, entre otros), la delimitación del radio de influencia del pozo y el caudal óptimo de producción. </w:t>
      </w:r>
    </w:p>
    <w:p w14:paraId="5F9EF92C" w14:textId="77777777" w:rsidR="005010C7" w:rsidRPr="00BD1319" w:rsidRDefault="005010C7" w:rsidP="009420F5">
      <w:pPr>
        <w:rPr>
          <w:spacing w:val="-3"/>
        </w:rPr>
      </w:pPr>
    </w:p>
    <w:p w14:paraId="36992BDC" w14:textId="43141C3A" w:rsidR="005010C7" w:rsidRPr="00BD1319" w:rsidRDefault="004A1B3C" w:rsidP="009420F5">
      <w:pPr>
        <w:pStyle w:val="Prrafodelista"/>
        <w:tabs>
          <w:tab w:val="left" w:pos="-2268"/>
        </w:tabs>
        <w:suppressAutoHyphens/>
        <w:ind w:left="567"/>
        <w:rPr>
          <w:spacing w:val="-3"/>
          <w:lang w:val="es-CO"/>
        </w:rPr>
      </w:pPr>
      <w:r w:rsidRPr="00BD1319">
        <w:rPr>
          <w:spacing w:val="-3"/>
          <w:lang w:val="es-CO"/>
        </w:rPr>
        <w:t>Las pruebas de bombeo deben realizarse midiendo niveles tanto en el pozo bombeado como en pozos de observación que capten de los mismos niveles</w:t>
      </w:r>
      <w:r w:rsidR="005010C7" w:rsidRPr="00BD1319">
        <w:rPr>
          <w:spacing w:val="-3"/>
          <w:lang w:val="es-CO"/>
        </w:rPr>
        <w:t>,</w:t>
      </w:r>
      <w:r w:rsidRPr="00BD1319">
        <w:rPr>
          <w:spacing w:val="-3"/>
          <w:lang w:val="es-CO"/>
        </w:rPr>
        <w:t xml:space="preserve"> para lo cual </w:t>
      </w:r>
      <w:r w:rsidR="00BA1EE1" w:rsidRPr="00BD1319">
        <w:rPr>
          <w:spacing w:val="-3"/>
          <w:lang w:val="es-CO"/>
        </w:rPr>
        <w:t xml:space="preserve">se </w:t>
      </w:r>
      <w:r w:rsidRPr="00BD1319">
        <w:rPr>
          <w:spacing w:val="-3"/>
          <w:lang w:val="es-CO"/>
        </w:rPr>
        <w:t>pueden utilizar piezómetros o pozos existentes, siempre y cuando se conozca su diseño, para garantizar que capte la misma unidad hidrogeológica y que permita la accesibilidad del personal</w:t>
      </w:r>
      <w:r w:rsidR="005010C7" w:rsidRPr="00BD1319">
        <w:rPr>
          <w:spacing w:val="-3"/>
          <w:lang w:val="es-CO"/>
        </w:rPr>
        <w:t xml:space="preserve"> y la</w:t>
      </w:r>
      <w:r w:rsidRPr="00BD1319">
        <w:rPr>
          <w:spacing w:val="-3"/>
          <w:lang w:val="es-CO"/>
        </w:rPr>
        <w:t xml:space="preserve"> toma de muestra</w:t>
      </w:r>
      <w:r w:rsidR="005010C7" w:rsidRPr="00BD1319">
        <w:rPr>
          <w:spacing w:val="-3"/>
          <w:lang w:val="es-CO"/>
        </w:rPr>
        <w:t>s</w:t>
      </w:r>
      <w:r w:rsidRPr="00BD1319">
        <w:rPr>
          <w:spacing w:val="-3"/>
          <w:lang w:val="es-CO"/>
        </w:rPr>
        <w:t xml:space="preserve"> (considerando que la bomba no obstruya esta actividad).</w:t>
      </w:r>
    </w:p>
    <w:p w14:paraId="4DDFB125" w14:textId="77777777" w:rsidR="005010C7" w:rsidRPr="00BD1319" w:rsidRDefault="005010C7" w:rsidP="009420F5">
      <w:pPr>
        <w:tabs>
          <w:tab w:val="left" w:pos="-2268"/>
        </w:tabs>
        <w:suppressAutoHyphens/>
        <w:rPr>
          <w:spacing w:val="-3"/>
        </w:rPr>
      </w:pPr>
    </w:p>
    <w:p w14:paraId="06E59816" w14:textId="758BC7C4" w:rsidR="004A1B3C" w:rsidRPr="00BD1319" w:rsidRDefault="004A1B3C" w:rsidP="009420F5">
      <w:pPr>
        <w:pStyle w:val="Prrafodelista"/>
        <w:tabs>
          <w:tab w:val="left" w:pos="-2268"/>
        </w:tabs>
        <w:suppressAutoHyphens/>
        <w:ind w:left="567"/>
        <w:rPr>
          <w:spacing w:val="-3"/>
          <w:lang w:val="es-CO"/>
        </w:rPr>
      </w:pPr>
      <w:r w:rsidRPr="00BD1319">
        <w:rPr>
          <w:spacing w:val="-3"/>
          <w:lang w:val="es-CO"/>
        </w:rPr>
        <w:t>En pozos productivos, para garantizar que el nivel de inicio de la prueba sea el más cercano al estático, se debe suspender el bombeo con por lo menos 12 horas de antelación al inicio de la prueba. A partir de esta información es posible determinar además de los parámetros hidráulicos antes mencionados, el cono de abatimiento o radio de influencia del pozo.</w:t>
      </w:r>
    </w:p>
    <w:p w14:paraId="310832AC" w14:textId="77777777" w:rsidR="004A1B3C" w:rsidRPr="00BD1319" w:rsidRDefault="004A1B3C" w:rsidP="00C86DA5">
      <w:pPr>
        <w:numPr>
          <w:ilvl w:val="12"/>
          <w:numId w:val="0"/>
        </w:numPr>
        <w:tabs>
          <w:tab w:val="left" w:pos="-2268"/>
        </w:tabs>
        <w:suppressAutoHyphens/>
        <w:ind w:left="567" w:hanging="567"/>
        <w:rPr>
          <w:spacing w:val="-3"/>
        </w:rPr>
      </w:pPr>
    </w:p>
    <w:p w14:paraId="228CD08B" w14:textId="794D08AC" w:rsidR="004A1B3C" w:rsidRPr="00BD1319" w:rsidRDefault="004A1B3C" w:rsidP="00C86DA5">
      <w:pPr>
        <w:pStyle w:val="Prrafodelista"/>
        <w:numPr>
          <w:ilvl w:val="0"/>
          <w:numId w:val="5"/>
        </w:numPr>
        <w:tabs>
          <w:tab w:val="left" w:pos="-2268"/>
        </w:tabs>
        <w:suppressAutoHyphens/>
        <w:ind w:left="567" w:hanging="567"/>
        <w:rPr>
          <w:spacing w:val="-3"/>
          <w:lang w:val="es-CO"/>
        </w:rPr>
      </w:pPr>
      <w:r w:rsidRPr="00BD1319">
        <w:rPr>
          <w:spacing w:val="-3"/>
          <w:lang w:val="es-CO"/>
        </w:rPr>
        <w:t xml:space="preserve">Inventario de puntos de agua subterránea (manantiales, aljibes, pozos y piezómetros) existentes en el radio de influencia de cada pozo, </w:t>
      </w:r>
      <w:r w:rsidR="00F61EA4" w:rsidRPr="00BD1319">
        <w:rPr>
          <w:spacing w:val="-3"/>
          <w:lang w:val="es-CO"/>
        </w:rPr>
        <w:t xml:space="preserve">y determinación </w:t>
      </w:r>
      <w:r w:rsidRPr="00BD1319">
        <w:rPr>
          <w:spacing w:val="-3"/>
          <w:lang w:val="es-CO"/>
        </w:rPr>
        <w:t>de usos y usuarios que puedan verse afectados por la captación.</w:t>
      </w:r>
    </w:p>
    <w:p w14:paraId="0F293918" w14:textId="77777777" w:rsidR="004A1B3C" w:rsidRPr="00BD1319" w:rsidRDefault="004A1B3C" w:rsidP="00C86DA5">
      <w:pPr>
        <w:numPr>
          <w:ilvl w:val="12"/>
          <w:numId w:val="0"/>
        </w:numPr>
        <w:tabs>
          <w:tab w:val="left" w:pos="-2268"/>
        </w:tabs>
        <w:suppressAutoHyphens/>
        <w:ind w:left="567" w:hanging="567"/>
        <w:rPr>
          <w:spacing w:val="-3"/>
        </w:rPr>
      </w:pPr>
    </w:p>
    <w:p w14:paraId="3B8003F8" w14:textId="4E53A3FB" w:rsidR="004A1B3C" w:rsidRPr="00BD1319" w:rsidRDefault="004A1B3C" w:rsidP="00C86DA5">
      <w:pPr>
        <w:pStyle w:val="Prrafodelista"/>
        <w:numPr>
          <w:ilvl w:val="0"/>
          <w:numId w:val="5"/>
        </w:numPr>
        <w:tabs>
          <w:tab w:val="left" w:pos="-2268"/>
        </w:tabs>
        <w:suppressAutoHyphens/>
        <w:ind w:left="567" w:hanging="567"/>
        <w:rPr>
          <w:spacing w:val="-3"/>
          <w:lang w:val="es-CO"/>
        </w:rPr>
      </w:pPr>
      <w:r w:rsidRPr="00BD1319">
        <w:rPr>
          <w:spacing w:val="-3"/>
          <w:lang w:val="es-CO"/>
        </w:rPr>
        <w:t>Análisis f</w:t>
      </w:r>
      <w:r w:rsidR="00520B78" w:rsidRPr="00BD1319">
        <w:rPr>
          <w:spacing w:val="-3"/>
          <w:lang w:val="es-CO"/>
        </w:rPr>
        <w:t>i</w:t>
      </w:r>
      <w:r w:rsidRPr="00BD1319">
        <w:rPr>
          <w:spacing w:val="-3"/>
          <w:lang w:val="es-CO"/>
        </w:rPr>
        <w:t>sicoquímico y microbiológico del agua, incluyendo los parámetros de calidad de acuerdo con la destinación de uso (</w:t>
      </w:r>
      <w:r w:rsidRPr="00BD1319">
        <w:rPr>
          <w:rFonts w:cs="Arial"/>
          <w:spacing w:val="-3"/>
          <w:lang w:val="es-CO"/>
        </w:rPr>
        <w:t>artículos</w:t>
      </w:r>
      <w:r w:rsidRPr="00BD1319">
        <w:rPr>
          <w:spacing w:val="-3"/>
          <w:lang w:val="es-CO"/>
        </w:rPr>
        <w:t xml:space="preserve"> 2</w:t>
      </w:r>
      <w:r w:rsidRPr="00BD1319">
        <w:rPr>
          <w:rFonts w:cs="Arial"/>
          <w:spacing w:val="-3"/>
          <w:lang w:val="es-CO"/>
        </w:rPr>
        <w:t>.</w:t>
      </w:r>
      <w:r w:rsidRPr="00BD1319">
        <w:rPr>
          <w:spacing w:val="-3"/>
          <w:lang w:val="es-CO"/>
        </w:rPr>
        <w:t>2</w:t>
      </w:r>
      <w:r w:rsidRPr="00BD1319">
        <w:rPr>
          <w:rFonts w:cs="Arial"/>
          <w:spacing w:val="-3"/>
          <w:lang w:val="es-CO"/>
        </w:rPr>
        <w:t>.3.3.9.1 al</w:t>
      </w:r>
      <w:r w:rsidRPr="00BD1319">
        <w:rPr>
          <w:spacing w:val="-3"/>
          <w:lang w:val="es-CO"/>
        </w:rPr>
        <w:t xml:space="preserve"> 2</w:t>
      </w:r>
      <w:r w:rsidRPr="00BD1319">
        <w:rPr>
          <w:rFonts w:cs="Arial"/>
          <w:spacing w:val="-3"/>
          <w:lang w:val="es-CO"/>
        </w:rPr>
        <w:t>.2.3.3.9.13</w:t>
      </w:r>
      <w:r w:rsidRPr="00BD1319">
        <w:rPr>
          <w:spacing w:val="-3"/>
          <w:lang w:val="es-CO"/>
        </w:rPr>
        <w:t xml:space="preserve"> del Decreto 1076 de 2015, o las normas que lo modifiquen</w:t>
      </w:r>
      <w:r w:rsidRPr="00BD1319">
        <w:rPr>
          <w:rFonts w:cs="Arial"/>
          <w:spacing w:val="-3"/>
          <w:lang w:val="es-CO"/>
        </w:rPr>
        <w:t xml:space="preserve"> o</w:t>
      </w:r>
      <w:r w:rsidRPr="00BD1319">
        <w:rPr>
          <w:spacing w:val="-3"/>
          <w:lang w:val="es-CO"/>
        </w:rPr>
        <w:t xml:space="preserve"> sustituyan) y considerando los lineamientos establecidos en el numeral </w:t>
      </w:r>
      <w:r w:rsidR="00520B78" w:rsidRPr="00BD1319">
        <w:rPr>
          <w:spacing w:val="-3"/>
          <w:lang w:val="es-CO"/>
        </w:rPr>
        <w:fldChar w:fldCharType="begin"/>
      </w:r>
      <w:r w:rsidR="00520B78" w:rsidRPr="00BD1319">
        <w:rPr>
          <w:spacing w:val="-3"/>
          <w:lang w:val="es-CO"/>
        </w:rPr>
        <w:instrText xml:space="preserve"> REF _Ref516121352 \r \h </w:instrText>
      </w:r>
      <w:r w:rsidR="006A4128" w:rsidRPr="00BD1319">
        <w:rPr>
          <w:spacing w:val="-3"/>
          <w:lang w:val="es-CO"/>
        </w:rPr>
        <w:instrText xml:space="preserve"> \* MERGEFORMAT </w:instrText>
      </w:r>
      <w:r w:rsidR="00520B78" w:rsidRPr="00BD1319">
        <w:rPr>
          <w:spacing w:val="-3"/>
          <w:lang w:val="es-CO"/>
        </w:rPr>
      </w:r>
      <w:r w:rsidR="00520B78" w:rsidRPr="00BD1319">
        <w:rPr>
          <w:spacing w:val="-3"/>
          <w:lang w:val="es-CO"/>
        </w:rPr>
        <w:fldChar w:fldCharType="separate"/>
      </w:r>
      <w:r w:rsidR="00296654" w:rsidRPr="00BD1319">
        <w:rPr>
          <w:spacing w:val="-3"/>
          <w:lang w:val="es-CO"/>
        </w:rPr>
        <w:t>4.1.5</w:t>
      </w:r>
      <w:r w:rsidR="00520B78" w:rsidRPr="00BD1319">
        <w:rPr>
          <w:spacing w:val="-3"/>
          <w:lang w:val="es-CO"/>
        </w:rPr>
        <w:fldChar w:fldCharType="end"/>
      </w:r>
      <w:r w:rsidR="00520B78" w:rsidRPr="00BD1319">
        <w:rPr>
          <w:spacing w:val="-3"/>
          <w:lang w:val="es-CO"/>
        </w:rPr>
        <w:t xml:space="preserve"> </w:t>
      </w:r>
      <w:r w:rsidRPr="00BD1319">
        <w:rPr>
          <w:spacing w:val="-3"/>
          <w:lang w:val="es-CO"/>
        </w:rPr>
        <w:t>de las especificaciones técnicas del EIA, referidos a la calidad del agua subterránea.</w:t>
      </w:r>
    </w:p>
    <w:p w14:paraId="3925080D" w14:textId="77777777" w:rsidR="004A1B3C" w:rsidRPr="00BD1319" w:rsidRDefault="004A1B3C" w:rsidP="00C86DA5">
      <w:pPr>
        <w:numPr>
          <w:ilvl w:val="12"/>
          <w:numId w:val="0"/>
        </w:numPr>
        <w:tabs>
          <w:tab w:val="left" w:pos="-2268"/>
        </w:tabs>
        <w:suppressAutoHyphens/>
        <w:ind w:left="567" w:hanging="567"/>
        <w:rPr>
          <w:spacing w:val="-3"/>
        </w:rPr>
      </w:pPr>
    </w:p>
    <w:p w14:paraId="5CB2B516" w14:textId="11FFEF20" w:rsidR="004A1B3C" w:rsidRPr="00BD1319" w:rsidRDefault="004A1B3C" w:rsidP="00C86DA5">
      <w:pPr>
        <w:pStyle w:val="Prrafodelista"/>
        <w:numPr>
          <w:ilvl w:val="0"/>
          <w:numId w:val="5"/>
        </w:numPr>
        <w:tabs>
          <w:tab w:val="left" w:pos="-2268"/>
        </w:tabs>
        <w:suppressAutoHyphens/>
        <w:ind w:left="567" w:hanging="567"/>
        <w:rPr>
          <w:spacing w:val="-3"/>
          <w:lang w:val="es-CO"/>
        </w:rPr>
      </w:pPr>
      <w:r w:rsidRPr="00BD1319">
        <w:rPr>
          <w:rFonts w:cs="Arial"/>
          <w:spacing w:val="-3"/>
          <w:lang w:val="es-CO"/>
        </w:rPr>
        <w:t>Descripción de las obras</w:t>
      </w:r>
      <w:r w:rsidRPr="00BD1319">
        <w:rPr>
          <w:spacing w:val="-3"/>
          <w:lang w:val="es-CO"/>
        </w:rPr>
        <w:t xml:space="preserve"> de conducción almacenamiento y sistema de tratamiento a construir</w:t>
      </w:r>
      <w:r w:rsidR="00520B78" w:rsidRPr="00BD1319">
        <w:rPr>
          <w:spacing w:val="-3"/>
          <w:lang w:val="es-CO"/>
        </w:rPr>
        <w:t>,</w:t>
      </w:r>
      <w:r w:rsidRPr="00BD1319">
        <w:rPr>
          <w:spacing w:val="-3"/>
          <w:lang w:val="es-CO"/>
        </w:rPr>
        <w:t xml:space="preserve"> incluidos los sistemas de regulación y medición.</w:t>
      </w:r>
    </w:p>
    <w:p w14:paraId="4ED9E914" w14:textId="77777777" w:rsidR="004A1B3C" w:rsidRPr="00BD1319" w:rsidRDefault="004A1B3C" w:rsidP="00C86DA5">
      <w:pPr>
        <w:numPr>
          <w:ilvl w:val="12"/>
          <w:numId w:val="0"/>
        </w:numPr>
        <w:tabs>
          <w:tab w:val="left" w:pos="-2268"/>
        </w:tabs>
        <w:suppressAutoHyphens/>
        <w:ind w:left="567" w:hanging="567"/>
        <w:rPr>
          <w:spacing w:val="-3"/>
        </w:rPr>
      </w:pPr>
    </w:p>
    <w:p w14:paraId="18CF872C" w14:textId="6D52DAD5" w:rsidR="004A1B3C" w:rsidRPr="00BD1319" w:rsidRDefault="004A1B3C" w:rsidP="00C86DA5">
      <w:pPr>
        <w:pStyle w:val="Prrafodelista"/>
        <w:numPr>
          <w:ilvl w:val="0"/>
          <w:numId w:val="5"/>
        </w:numPr>
        <w:tabs>
          <w:tab w:val="left" w:pos="-2268"/>
        </w:tabs>
        <w:suppressAutoHyphens/>
        <w:ind w:left="567" w:hanging="567"/>
        <w:rPr>
          <w:spacing w:val="-3"/>
          <w:lang w:val="es-CO"/>
        </w:rPr>
      </w:pPr>
      <w:r w:rsidRPr="00BD1319">
        <w:rPr>
          <w:rFonts w:cs="Arial"/>
          <w:spacing w:val="-3"/>
          <w:lang w:val="es-CO"/>
        </w:rPr>
        <w:t>Descripción de los elementos</w:t>
      </w:r>
      <w:r w:rsidRPr="00BD1319">
        <w:rPr>
          <w:spacing w:val="-3"/>
          <w:lang w:val="es-CO"/>
        </w:rPr>
        <w:t xml:space="preserve"> de medición y control de niveles (estáticos y dinámicos), caudales y régimen de bombeo.</w:t>
      </w:r>
    </w:p>
    <w:p w14:paraId="6C8173D4" w14:textId="77777777" w:rsidR="004A1B3C" w:rsidRPr="00BD1319" w:rsidRDefault="004A1B3C" w:rsidP="00C86DA5">
      <w:pPr>
        <w:numPr>
          <w:ilvl w:val="12"/>
          <w:numId w:val="0"/>
        </w:numPr>
        <w:tabs>
          <w:tab w:val="left" w:pos="-2268"/>
        </w:tabs>
        <w:suppressAutoHyphens/>
        <w:ind w:left="567" w:hanging="567"/>
        <w:rPr>
          <w:spacing w:val="-3"/>
        </w:rPr>
      </w:pPr>
    </w:p>
    <w:p w14:paraId="3D458BD8" w14:textId="1EA200E3" w:rsidR="004A1B3C" w:rsidRPr="00BD1319" w:rsidRDefault="004A1B3C" w:rsidP="00C86DA5">
      <w:pPr>
        <w:pStyle w:val="Prrafodelista"/>
        <w:numPr>
          <w:ilvl w:val="0"/>
          <w:numId w:val="5"/>
        </w:numPr>
        <w:tabs>
          <w:tab w:val="left" w:pos="-2268"/>
        </w:tabs>
        <w:suppressAutoHyphens/>
        <w:ind w:left="567" w:hanging="567"/>
        <w:rPr>
          <w:spacing w:val="-3"/>
          <w:lang w:val="es-CO"/>
        </w:rPr>
      </w:pPr>
      <w:r w:rsidRPr="00BD1319">
        <w:rPr>
          <w:spacing w:val="-3"/>
          <w:lang w:val="es-CO"/>
        </w:rPr>
        <w:t>Medidas de protección del pozo, incluyendo sello sanitario, aislamiento, cerra</w:t>
      </w:r>
      <w:r w:rsidR="00163A42" w:rsidRPr="00BD1319">
        <w:rPr>
          <w:spacing w:val="-3"/>
          <w:lang w:val="es-CO"/>
        </w:rPr>
        <w:t xml:space="preserve">miento y manejo del agua </w:t>
      </w:r>
      <w:r w:rsidR="00163A42" w:rsidRPr="00BD1319">
        <w:rPr>
          <w:rFonts w:cs="Arial"/>
          <w:spacing w:val="-3"/>
          <w:lang w:val="es-CO"/>
        </w:rPr>
        <w:t>lluvia</w:t>
      </w:r>
      <w:r w:rsidRPr="00BD1319">
        <w:rPr>
          <w:spacing w:val="-3"/>
          <w:lang w:val="es-CO"/>
        </w:rPr>
        <w:t>.</w:t>
      </w:r>
    </w:p>
    <w:p w14:paraId="4C07FEC1" w14:textId="77777777" w:rsidR="004A1B3C" w:rsidRPr="00BD1319" w:rsidRDefault="004A1B3C" w:rsidP="00C86DA5">
      <w:pPr>
        <w:tabs>
          <w:tab w:val="left" w:pos="-2268"/>
        </w:tabs>
        <w:suppressAutoHyphens/>
        <w:rPr>
          <w:spacing w:val="-3"/>
        </w:rPr>
      </w:pPr>
    </w:p>
    <w:p w14:paraId="358EBFEF" w14:textId="60E6F468" w:rsidR="00E45478" w:rsidRPr="00BD1319" w:rsidRDefault="00E45478" w:rsidP="00C86DA5">
      <w:pPr>
        <w:tabs>
          <w:tab w:val="left" w:pos="-2268"/>
        </w:tabs>
        <w:suppressAutoHyphens/>
        <w:rPr>
          <w:spacing w:val="-3"/>
        </w:rPr>
      </w:pPr>
      <w:r w:rsidRPr="00BD1319">
        <w:rPr>
          <w:spacing w:val="-3"/>
        </w:rPr>
        <w:t xml:space="preserve">Cuando se contemple la concesión de aguas subterráneas de fuentes como manantiales, drenes </w:t>
      </w:r>
      <w:proofErr w:type="spellStart"/>
      <w:r w:rsidRPr="00BD1319">
        <w:rPr>
          <w:spacing w:val="-3"/>
        </w:rPr>
        <w:t>subhorizontales</w:t>
      </w:r>
      <w:proofErr w:type="spellEnd"/>
      <w:r w:rsidRPr="00BD1319">
        <w:rPr>
          <w:spacing w:val="-3"/>
        </w:rPr>
        <w:t xml:space="preserve"> de las obras que se construyan y diseñen, aguas de infiltración de </w:t>
      </w:r>
      <w:r w:rsidRPr="00BD1319">
        <w:rPr>
          <w:spacing w:val="-3"/>
        </w:rPr>
        <w:lastRenderedPageBreak/>
        <w:t>excavaciones subterráneas, aguas de infiltración de minas de tajo abierto y demás aguas alumbradas</w:t>
      </w:r>
      <w:r w:rsidR="00520B78" w:rsidRPr="00BD1319">
        <w:rPr>
          <w:spacing w:val="-3"/>
        </w:rPr>
        <w:t>,</w:t>
      </w:r>
      <w:r w:rsidRPr="00BD1319">
        <w:rPr>
          <w:spacing w:val="-3"/>
        </w:rPr>
        <w:t xml:space="preserve"> se debe realizar el trámite de solicitud de concesión de aguas subterráneas en tanto </w:t>
      </w:r>
      <w:r w:rsidR="00520B78" w:rsidRPr="00BD1319">
        <w:rPr>
          <w:spacing w:val="-3"/>
        </w:rPr>
        <w:t>é</w:t>
      </w:r>
      <w:r w:rsidRPr="00BD1319">
        <w:rPr>
          <w:spacing w:val="-3"/>
        </w:rPr>
        <w:t>stas siguen siendo aguas subterráneas. En ese sentido, se deben seguir los lineamientos descritos para la solicitud de esta concesión</w:t>
      </w:r>
      <w:r w:rsidR="00520B78" w:rsidRPr="00BD1319">
        <w:rPr>
          <w:spacing w:val="-3"/>
        </w:rPr>
        <w:t xml:space="preserve">, a excepción de </w:t>
      </w:r>
      <w:r w:rsidRPr="00BD1319">
        <w:rPr>
          <w:spacing w:val="-3"/>
        </w:rPr>
        <w:t>la presentación del permiso de exploración.</w:t>
      </w:r>
    </w:p>
    <w:p w14:paraId="233E85ED" w14:textId="77777777" w:rsidR="00E45478" w:rsidRPr="00BD1319" w:rsidRDefault="00E45478" w:rsidP="00C86DA5">
      <w:pPr>
        <w:tabs>
          <w:tab w:val="left" w:pos="-2268"/>
        </w:tabs>
        <w:suppressAutoHyphens/>
        <w:rPr>
          <w:spacing w:val="-3"/>
        </w:rPr>
      </w:pPr>
    </w:p>
    <w:p w14:paraId="69C515B1" w14:textId="359F0C3C" w:rsidR="004A1B3C" w:rsidRPr="00BD1319" w:rsidRDefault="004A1B3C" w:rsidP="0068149C">
      <w:pPr>
        <w:pStyle w:val="Ttulo2"/>
        <w:rPr>
          <w:lang w:val="es-CO"/>
        </w:rPr>
      </w:pPr>
      <w:bookmarkStart w:id="3093" w:name="_Toc393967342"/>
      <w:bookmarkStart w:id="3094" w:name="_Toc393464172"/>
      <w:bookmarkStart w:id="3095" w:name="_Toc405366859"/>
      <w:bookmarkStart w:id="3096" w:name="_Toc405372406"/>
      <w:bookmarkStart w:id="3097" w:name="_Toc412803204"/>
      <w:bookmarkStart w:id="3098" w:name="_Toc437936044"/>
      <w:bookmarkStart w:id="3099" w:name="_Toc42874874"/>
      <w:bookmarkStart w:id="3100" w:name="_Toc175326786"/>
      <w:r w:rsidRPr="00BD1319">
        <w:rPr>
          <w:lang w:val="es-CO"/>
        </w:rPr>
        <w:t>PERMISO DE VERTIMIENTO</w:t>
      </w:r>
      <w:bookmarkEnd w:id="3093"/>
      <w:bookmarkEnd w:id="3094"/>
      <w:bookmarkEnd w:id="3095"/>
      <w:bookmarkEnd w:id="3096"/>
      <w:bookmarkEnd w:id="3097"/>
      <w:bookmarkEnd w:id="3098"/>
      <w:bookmarkEnd w:id="3099"/>
      <w:bookmarkEnd w:id="3100"/>
    </w:p>
    <w:p w14:paraId="48DE1080" w14:textId="77777777" w:rsidR="004A1B3C" w:rsidRPr="00BD1319" w:rsidRDefault="004A1B3C">
      <w:pPr>
        <w:numPr>
          <w:ilvl w:val="12"/>
          <w:numId w:val="0"/>
        </w:numPr>
        <w:tabs>
          <w:tab w:val="left" w:pos="-2268"/>
        </w:tabs>
        <w:suppressAutoHyphens/>
        <w:rPr>
          <w:spacing w:val="-3"/>
        </w:rPr>
      </w:pPr>
    </w:p>
    <w:p w14:paraId="3AF2AC2B" w14:textId="4335782C" w:rsidR="00EC0FED" w:rsidRPr="00BD1319" w:rsidRDefault="004A1B3C">
      <w:pPr>
        <w:numPr>
          <w:ilvl w:val="12"/>
          <w:numId w:val="0"/>
        </w:numPr>
        <w:tabs>
          <w:tab w:val="left" w:pos="-2268"/>
        </w:tabs>
        <w:suppressAutoHyphens/>
        <w:rPr>
          <w:spacing w:val="-3"/>
        </w:rPr>
      </w:pPr>
      <w:r w:rsidRPr="00BD1319">
        <w:rPr>
          <w:spacing w:val="-3"/>
        </w:rPr>
        <w:t>Cuando se requiera realizar vertimientos de aguas residuales domésticas y no domésticas, se debe presentar el F</w:t>
      </w:r>
      <w:r w:rsidR="00520B78" w:rsidRPr="00BD1319">
        <w:rPr>
          <w:spacing w:val="-3"/>
        </w:rPr>
        <w:t xml:space="preserve">UN </w:t>
      </w:r>
      <w:r w:rsidRPr="00BD1319">
        <w:rPr>
          <w:spacing w:val="-3"/>
        </w:rPr>
        <w:t xml:space="preserve">de </w:t>
      </w:r>
      <w:r w:rsidR="00E77B0F" w:rsidRPr="00BD1319">
        <w:rPr>
          <w:spacing w:val="-3"/>
        </w:rPr>
        <w:t>p</w:t>
      </w:r>
      <w:r w:rsidRPr="00BD1319">
        <w:rPr>
          <w:spacing w:val="-3"/>
        </w:rPr>
        <w:t xml:space="preserve">ermiso de </w:t>
      </w:r>
      <w:r w:rsidR="00E77B0F" w:rsidRPr="00BD1319">
        <w:rPr>
          <w:spacing w:val="-3"/>
        </w:rPr>
        <w:t>v</w:t>
      </w:r>
      <w:r w:rsidRPr="00BD1319">
        <w:rPr>
          <w:spacing w:val="-3"/>
        </w:rPr>
        <w:t xml:space="preserve">ertimientos establecido mediante la Resolución </w:t>
      </w:r>
      <w:r w:rsidR="00017DA7" w:rsidRPr="00BD1319">
        <w:rPr>
          <w:rFonts w:cs="Arial"/>
          <w:spacing w:val="-3"/>
        </w:rPr>
        <w:t>1058 de 2021</w:t>
      </w:r>
      <w:r w:rsidRPr="00BD1319">
        <w:rPr>
          <w:spacing w:val="-3"/>
        </w:rPr>
        <w:t xml:space="preserve"> o lo que disponga aquella norma que la modifique</w:t>
      </w:r>
      <w:r w:rsidRPr="00BD1319">
        <w:rPr>
          <w:rFonts w:cs="Arial"/>
          <w:spacing w:val="-3"/>
        </w:rPr>
        <w:t xml:space="preserve"> o</w:t>
      </w:r>
      <w:r w:rsidR="0072054C" w:rsidRPr="00BD1319">
        <w:rPr>
          <w:rFonts w:cs="Arial"/>
          <w:spacing w:val="-3"/>
        </w:rPr>
        <w:t xml:space="preserve"> </w:t>
      </w:r>
      <w:r w:rsidRPr="00BD1319">
        <w:rPr>
          <w:spacing w:val="-3"/>
        </w:rPr>
        <w:t>sustituya y la información que dicta la sección 5 del capítulo 3</w:t>
      </w:r>
      <w:r w:rsidR="00E90CB9" w:rsidRPr="00BD1319">
        <w:rPr>
          <w:spacing w:val="-3"/>
        </w:rPr>
        <w:t>, del Título 3, de la Parte 2, del Libro 2</w:t>
      </w:r>
      <w:r w:rsidR="0072054C" w:rsidRPr="00BD1319">
        <w:rPr>
          <w:spacing w:val="-3"/>
        </w:rPr>
        <w:t xml:space="preserve"> </w:t>
      </w:r>
      <w:r w:rsidRPr="00BD1319">
        <w:rPr>
          <w:spacing w:val="-3"/>
        </w:rPr>
        <w:t xml:space="preserve">del </w:t>
      </w:r>
      <w:r w:rsidR="001F5560" w:rsidRPr="00BD1319">
        <w:rPr>
          <w:spacing w:val="-3"/>
        </w:rPr>
        <w:t xml:space="preserve">Decreto </w:t>
      </w:r>
      <w:r w:rsidRPr="00BD1319">
        <w:rPr>
          <w:spacing w:val="-3"/>
        </w:rPr>
        <w:t xml:space="preserve">1076 de 2015 </w:t>
      </w:r>
      <w:r w:rsidR="00E90CB9" w:rsidRPr="00BD1319">
        <w:rPr>
          <w:spacing w:val="-3"/>
        </w:rPr>
        <w:t xml:space="preserve">(de la obtención de los permisos de vertimiento y planes de cumplimiento) </w:t>
      </w:r>
      <w:r w:rsidRPr="00BD1319">
        <w:rPr>
          <w:spacing w:val="-3"/>
        </w:rPr>
        <w:t xml:space="preserve">o aquella norma que lo modifique o </w:t>
      </w:r>
      <w:r w:rsidRPr="00BD1319">
        <w:rPr>
          <w:rFonts w:cs="Arial"/>
          <w:spacing w:val="-3"/>
        </w:rPr>
        <w:t>sustituya</w:t>
      </w:r>
      <w:r w:rsidR="00EC0FED" w:rsidRPr="00BD1319">
        <w:rPr>
          <w:spacing w:val="-3"/>
        </w:rPr>
        <w:t>.</w:t>
      </w:r>
      <w:r w:rsidRPr="00BD1319">
        <w:rPr>
          <w:spacing w:val="-3"/>
        </w:rPr>
        <w:t xml:space="preserve"> </w:t>
      </w:r>
      <w:r w:rsidR="00EC0FED" w:rsidRPr="00BD1319">
        <w:rPr>
          <w:spacing w:val="-3"/>
        </w:rPr>
        <w:t>En función de la matriz receptora del vertimiento s</w:t>
      </w:r>
      <w:r w:rsidRPr="00BD1319">
        <w:rPr>
          <w:spacing w:val="-3"/>
        </w:rPr>
        <w:t xml:space="preserve">e debe dar cumplimiento a la regulación </w:t>
      </w:r>
      <w:r w:rsidR="00AC52D8" w:rsidRPr="00BD1319">
        <w:rPr>
          <w:spacing w:val="-3"/>
        </w:rPr>
        <w:t xml:space="preserve">vigente </w:t>
      </w:r>
      <w:r w:rsidR="00EC0FED" w:rsidRPr="00BD1319">
        <w:rPr>
          <w:spacing w:val="-3"/>
        </w:rPr>
        <w:t>aplicable</w:t>
      </w:r>
      <w:r w:rsidR="00AE6840" w:rsidRPr="00BD1319">
        <w:rPr>
          <w:spacing w:val="-3"/>
        </w:rPr>
        <w:t>,</w:t>
      </w:r>
      <w:r w:rsidR="00EC0FED" w:rsidRPr="00BD1319">
        <w:rPr>
          <w:spacing w:val="-3"/>
        </w:rPr>
        <w:t xml:space="preserve"> </w:t>
      </w:r>
      <w:r w:rsidR="00AC52D8" w:rsidRPr="00BD1319">
        <w:rPr>
          <w:spacing w:val="-3"/>
        </w:rPr>
        <w:t xml:space="preserve">por ejemplo, para vertimientos en suelos </w:t>
      </w:r>
      <w:r w:rsidR="00AC52D8" w:rsidRPr="00BD1319">
        <w:rPr>
          <w:rFonts w:cs="Arial"/>
          <w:lang w:eastAsia="en-US"/>
        </w:rPr>
        <w:t>el Decreto 1076 de 2015 y la Resolución 699 de 2021</w:t>
      </w:r>
      <w:r w:rsidR="00AE6840" w:rsidRPr="00BD1319">
        <w:rPr>
          <w:rFonts w:cs="Arial"/>
          <w:lang w:eastAsia="en-US"/>
        </w:rPr>
        <w:t>,</w:t>
      </w:r>
      <w:r w:rsidR="00AC52D8" w:rsidRPr="00BD1319">
        <w:rPr>
          <w:spacing w:val="-3"/>
        </w:rPr>
        <w:t xml:space="preserve"> para aguas marino-costeras la Resolución 883 de 2018</w:t>
      </w:r>
      <w:r w:rsidR="00AE6840" w:rsidRPr="00BD1319">
        <w:rPr>
          <w:spacing w:val="-3"/>
        </w:rPr>
        <w:t>,</w:t>
      </w:r>
      <w:r w:rsidR="00AC52D8" w:rsidRPr="00BD1319">
        <w:rPr>
          <w:spacing w:val="-3"/>
        </w:rPr>
        <w:t xml:space="preserve"> y para aguas superficiales el Decreto 1076 de 2015 y la Resolución 631 de 2015</w:t>
      </w:r>
      <w:r w:rsidR="00214F8F" w:rsidRPr="00BD1319">
        <w:rPr>
          <w:spacing w:val="-3"/>
        </w:rPr>
        <w:t xml:space="preserve"> o aquella norma que la modifique o sustituya</w:t>
      </w:r>
      <w:r w:rsidR="00AC52D8" w:rsidRPr="00BD1319">
        <w:rPr>
          <w:spacing w:val="-3"/>
        </w:rPr>
        <w:t>.</w:t>
      </w:r>
    </w:p>
    <w:p w14:paraId="14578513" w14:textId="77777777" w:rsidR="00EC0FED" w:rsidRPr="00BD1319" w:rsidRDefault="00EC0FED">
      <w:pPr>
        <w:numPr>
          <w:ilvl w:val="12"/>
          <w:numId w:val="0"/>
        </w:numPr>
        <w:tabs>
          <w:tab w:val="left" w:pos="-2268"/>
        </w:tabs>
        <w:suppressAutoHyphens/>
        <w:rPr>
          <w:spacing w:val="-3"/>
        </w:rPr>
      </w:pPr>
    </w:p>
    <w:p w14:paraId="0A2BD93E" w14:textId="11A439B5" w:rsidR="004A1B3C" w:rsidRPr="00BD1319" w:rsidRDefault="00EC0FED">
      <w:pPr>
        <w:numPr>
          <w:ilvl w:val="12"/>
          <w:numId w:val="0"/>
        </w:numPr>
        <w:tabs>
          <w:tab w:val="left" w:pos="-2268"/>
        </w:tabs>
        <w:suppressAutoHyphens/>
        <w:rPr>
          <w:spacing w:val="-3"/>
        </w:rPr>
      </w:pPr>
      <w:r w:rsidRPr="00BD1319">
        <w:rPr>
          <w:spacing w:val="-3"/>
        </w:rPr>
        <w:t>Para el caso de vertimientos a cuerpos de aguas superficiales la información presentada en el estudio debe permitir</w:t>
      </w:r>
      <w:r w:rsidR="00520B78" w:rsidRPr="00BD1319">
        <w:rPr>
          <w:spacing w:val="-3"/>
        </w:rPr>
        <w:t>:</w:t>
      </w:r>
    </w:p>
    <w:p w14:paraId="4F39D1BA" w14:textId="77777777" w:rsidR="004A1B3C" w:rsidRPr="00BD1319" w:rsidRDefault="004A1B3C">
      <w:pPr>
        <w:numPr>
          <w:ilvl w:val="12"/>
          <w:numId w:val="0"/>
        </w:numPr>
        <w:tabs>
          <w:tab w:val="left" w:pos="-2268"/>
        </w:tabs>
        <w:suppressAutoHyphens/>
        <w:rPr>
          <w:spacing w:val="-3"/>
        </w:rPr>
      </w:pPr>
    </w:p>
    <w:p w14:paraId="369DE8F6" w14:textId="4C9FF7B8" w:rsidR="0061134E" w:rsidRPr="00BD1319" w:rsidRDefault="00753425" w:rsidP="0061134E">
      <w:pPr>
        <w:pStyle w:val="Prrafodelista"/>
        <w:numPr>
          <w:ilvl w:val="0"/>
          <w:numId w:val="5"/>
        </w:numPr>
        <w:tabs>
          <w:tab w:val="left" w:pos="-2268"/>
        </w:tabs>
        <w:suppressAutoHyphens/>
        <w:ind w:left="567" w:hanging="567"/>
        <w:rPr>
          <w:spacing w:val="-3"/>
          <w:lang w:val="es-CO"/>
        </w:rPr>
      </w:pPr>
      <w:r w:rsidRPr="00BD1319">
        <w:rPr>
          <w:spacing w:val="-3"/>
          <w:lang w:val="es-CO"/>
        </w:rPr>
        <w:t xml:space="preserve">Determinar </w:t>
      </w:r>
      <w:r w:rsidR="0061134E" w:rsidRPr="00BD1319">
        <w:rPr>
          <w:spacing w:val="-3"/>
          <w:lang w:val="es-CO"/>
        </w:rPr>
        <w:t>y localiza</w:t>
      </w:r>
      <w:r w:rsidR="00EC0FED" w:rsidRPr="00BD1319">
        <w:rPr>
          <w:spacing w:val="-3"/>
          <w:lang w:val="es-CO"/>
        </w:rPr>
        <w:t xml:space="preserve">r </w:t>
      </w:r>
      <w:r w:rsidR="0061134E" w:rsidRPr="00BD1319">
        <w:rPr>
          <w:spacing w:val="-3"/>
          <w:lang w:val="es-CO"/>
        </w:rPr>
        <w:t>(georreferencia</w:t>
      </w:r>
      <w:r w:rsidR="00EC0FED" w:rsidRPr="00BD1319">
        <w:rPr>
          <w:spacing w:val="-3"/>
          <w:lang w:val="es-CO"/>
        </w:rPr>
        <w:t>r</w:t>
      </w:r>
      <w:r w:rsidR="0061134E" w:rsidRPr="00BD1319">
        <w:rPr>
          <w:spacing w:val="-3"/>
          <w:lang w:val="es-CO"/>
        </w:rPr>
        <w:t>) las corrientes o tramos homogéneos receptores de las descargas de agua residual.</w:t>
      </w:r>
    </w:p>
    <w:p w14:paraId="62FEE774" w14:textId="77777777" w:rsidR="0061134E" w:rsidRPr="00BD1319" w:rsidRDefault="0061134E" w:rsidP="0061134E">
      <w:pPr>
        <w:pStyle w:val="Prrafodelista"/>
        <w:tabs>
          <w:tab w:val="left" w:pos="-2268"/>
        </w:tabs>
        <w:suppressAutoHyphens/>
        <w:ind w:left="567" w:hanging="567"/>
        <w:rPr>
          <w:spacing w:val="-3"/>
          <w:lang w:val="es-CO"/>
        </w:rPr>
      </w:pPr>
    </w:p>
    <w:p w14:paraId="68022EEC" w14:textId="5E951AC1" w:rsidR="0061134E" w:rsidRPr="00BD1319" w:rsidRDefault="0061134E" w:rsidP="0061134E">
      <w:pPr>
        <w:pStyle w:val="Prrafodelista"/>
        <w:numPr>
          <w:ilvl w:val="0"/>
          <w:numId w:val="5"/>
        </w:numPr>
        <w:tabs>
          <w:tab w:val="left" w:pos="-2268"/>
        </w:tabs>
        <w:suppressAutoHyphens/>
        <w:ind w:left="567" w:hanging="567"/>
        <w:rPr>
          <w:spacing w:val="-3"/>
          <w:lang w:val="es-CO"/>
        </w:rPr>
      </w:pPr>
      <w:r w:rsidRPr="00BD1319">
        <w:rPr>
          <w:spacing w:val="-3"/>
          <w:lang w:val="es-CO"/>
        </w:rPr>
        <w:t>Determina</w:t>
      </w:r>
      <w:r w:rsidR="00EC0FED" w:rsidRPr="00BD1319">
        <w:rPr>
          <w:spacing w:val="-3"/>
          <w:lang w:val="es-CO"/>
        </w:rPr>
        <w:t xml:space="preserve">r </w:t>
      </w:r>
      <w:r w:rsidRPr="00BD1319">
        <w:rPr>
          <w:spacing w:val="-3"/>
          <w:lang w:val="es-CO"/>
        </w:rPr>
        <w:t>los caudales o niveles característicos del tramo o sector estudiado, los cuales deben ser consistentes con el estudio hidrológico presentado en la caracterización ambiental.</w:t>
      </w:r>
    </w:p>
    <w:p w14:paraId="610C797F" w14:textId="77777777" w:rsidR="0061134E" w:rsidRPr="00BD1319" w:rsidRDefault="0061134E" w:rsidP="004A1B3C">
      <w:pPr>
        <w:numPr>
          <w:ilvl w:val="12"/>
          <w:numId w:val="0"/>
        </w:numPr>
        <w:tabs>
          <w:tab w:val="left" w:pos="-2268"/>
        </w:tabs>
        <w:suppressAutoHyphens/>
        <w:rPr>
          <w:rFonts w:cs="Arial"/>
          <w:spacing w:val="-3"/>
        </w:rPr>
      </w:pPr>
    </w:p>
    <w:p w14:paraId="4BB7AD28" w14:textId="19304870" w:rsidR="004A1B3C" w:rsidRPr="00BD1319" w:rsidRDefault="004A1B3C">
      <w:pPr>
        <w:numPr>
          <w:ilvl w:val="12"/>
          <w:numId w:val="0"/>
        </w:numPr>
        <w:tabs>
          <w:tab w:val="left" w:pos="-2268"/>
        </w:tabs>
        <w:suppressAutoHyphens/>
        <w:rPr>
          <w:spacing w:val="-3"/>
        </w:rPr>
      </w:pPr>
      <w:r w:rsidRPr="00BD1319">
        <w:rPr>
          <w:spacing w:val="-3"/>
        </w:rPr>
        <w:t>Para la model</w:t>
      </w:r>
      <w:r w:rsidR="00A60447" w:rsidRPr="00BD1319">
        <w:rPr>
          <w:spacing w:val="-3"/>
        </w:rPr>
        <w:t>iz</w:t>
      </w:r>
      <w:r w:rsidRPr="00BD1319">
        <w:rPr>
          <w:spacing w:val="-3"/>
        </w:rPr>
        <w:t xml:space="preserve">ación de la capacidad de asimilación del cuerpo de agua receptor frente a las descargas de agua residual producidas por las actividades del proyecto, </w:t>
      </w:r>
      <w:r w:rsidR="00520B78" w:rsidRPr="00BD1319">
        <w:rPr>
          <w:spacing w:val="-3"/>
        </w:rPr>
        <w:t xml:space="preserve">obra o actividad, </w:t>
      </w:r>
      <w:r w:rsidRPr="00BD1319">
        <w:rPr>
          <w:spacing w:val="-3"/>
        </w:rPr>
        <w:t xml:space="preserve">se debe tener en cuenta lo estipulado en la Guía </w:t>
      </w:r>
      <w:r w:rsidR="00E77B0F" w:rsidRPr="00BD1319">
        <w:rPr>
          <w:spacing w:val="-3"/>
        </w:rPr>
        <w:t>n</w:t>
      </w:r>
      <w:r w:rsidRPr="00BD1319">
        <w:rPr>
          <w:spacing w:val="-3"/>
        </w:rPr>
        <w:t xml:space="preserve">acional de </w:t>
      </w:r>
      <w:r w:rsidR="00E77B0F" w:rsidRPr="00BD1319">
        <w:rPr>
          <w:spacing w:val="-3"/>
        </w:rPr>
        <w:t>m</w:t>
      </w:r>
      <w:r w:rsidRPr="00BD1319">
        <w:rPr>
          <w:spacing w:val="-3"/>
        </w:rPr>
        <w:t xml:space="preserve">odelación del </w:t>
      </w:r>
      <w:r w:rsidR="00E77B0F" w:rsidRPr="00BD1319">
        <w:rPr>
          <w:spacing w:val="-3"/>
        </w:rPr>
        <w:t>r</w:t>
      </w:r>
      <w:r w:rsidRPr="00BD1319">
        <w:rPr>
          <w:spacing w:val="-3"/>
        </w:rPr>
        <w:t xml:space="preserve">ecurso </w:t>
      </w:r>
      <w:r w:rsidR="00E77B0F" w:rsidRPr="00BD1319">
        <w:rPr>
          <w:spacing w:val="-3"/>
        </w:rPr>
        <w:t>h</w:t>
      </w:r>
      <w:r w:rsidRPr="00BD1319">
        <w:rPr>
          <w:spacing w:val="-3"/>
        </w:rPr>
        <w:t xml:space="preserve">ídrico, presentando como mínimo </w:t>
      </w:r>
      <w:r w:rsidR="00E77B0F" w:rsidRPr="00BD1319">
        <w:rPr>
          <w:spacing w:val="-3"/>
        </w:rPr>
        <w:t xml:space="preserve">la </w:t>
      </w:r>
      <w:r w:rsidRPr="00BD1319">
        <w:rPr>
          <w:spacing w:val="-3"/>
        </w:rPr>
        <w:t>siguiente</w:t>
      </w:r>
      <w:r w:rsidR="00E77B0F" w:rsidRPr="00BD1319">
        <w:rPr>
          <w:spacing w:val="-3"/>
        </w:rPr>
        <w:t xml:space="preserve"> información</w:t>
      </w:r>
      <w:r w:rsidR="00520B78" w:rsidRPr="00BD1319">
        <w:rPr>
          <w:spacing w:val="-3"/>
        </w:rPr>
        <w:t>:</w:t>
      </w:r>
    </w:p>
    <w:p w14:paraId="607AC407" w14:textId="77777777" w:rsidR="004A1B3C" w:rsidRPr="00BD1319" w:rsidRDefault="004A1B3C">
      <w:pPr>
        <w:numPr>
          <w:ilvl w:val="12"/>
          <w:numId w:val="0"/>
        </w:numPr>
        <w:tabs>
          <w:tab w:val="left" w:pos="-2268"/>
        </w:tabs>
        <w:suppressAutoHyphens/>
        <w:rPr>
          <w:spacing w:val="-3"/>
        </w:rPr>
      </w:pPr>
    </w:p>
    <w:p w14:paraId="60BF1AFB" w14:textId="2E81BAD6" w:rsidR="004A1B3C" w:rsidRPr="00BD1319" w:rsidRDefault="004A1B3C" w:rsidP="00C86DA5">
      <w:pPr>
        <w:pStyle w:val="Prrafodelista"/>
        <w:numPr>
          <w:ilvl w:val="0"/>
          <w:numId w:val="5"/>
        </w:numPr>
        <w:tabs>
          <w:tab w:val="left" w:pos="-2268"/>
        </w:tabs>
        <w:suppressAutoHyphens/>
        <w:ind w:left="567" w:hanging="567"/>
        <w:rPr>
          <w:spacing w:val="-3"/>
          <w:lang w:val="es-CO"/>
        </w:rPr>
      </w:pPr>
      <w:r w:rsidRPr="00BD1319">
        <w:rPr>
          <w:spacing w:val="-3"/>
          <w:lang w:val="es-CO"/>
        </w:rPr>
        <w:t>Estudio de model</w:t>
      </w:r>
      <w:r w:rsidR="00520B78" w:rsidRPr="00BD1319">
        <w:rPr>
          <w:spacing w:val="-3"/>
          <w:lang w:val="es-CO"/>
        </w:rPr>
        <w:t>ización</w:t>
      </w:r>
      <w:r w:rsidRPr="00BD1319">
        <w:rPr>
          <w:spacing w:val="-3"/>
          <w:lang w:val="es-CO"/>
        </w:rPr>
        <w:t xml:space="preserve"> hidrodinámica</w:t>
      </w:r>
      <w:r w:rsidR="00214F8F" w:rsidRPr="00BD1319">
        <w:rPr>
          <w:spacing w:val="-3"/>
          <w:lang w:val="es-CO"/>
        </w:rPr>
        <w:t xml:space="preserve"> </w:t>
      </w:r>
      <w:r w:rsidRPr="00BD1319">
        <w:rPr>
          <w:spacing w:val="-3"/>
          <w:lang w:val="es-CO"/>
        </w:rPr>
        <w:t>o de ensayos con trazadores con el fin de caracterizar la variación espacial y temporal de la velocidad y profundidad del agua y de las principales propiedades geométricas en cada tramo o sector de análisis</w:t>
      </w:r>
      <w:r w:rsidR="004E1DDB" w:rsidRPr="00BD1319">
        <w:rPr>
          <w:spacing w:val="-3"/>
          <w:lang w:val="es-CO"/>
        </w:rPr>
        <w:t>;</w:t>
      </w:r>
      <w:r w:rsidRPr="00BD1319">
        <w:rPr>
          <w:spacing w:val="-3"/>
          <w:lang w:val="es-CO"/>
        </w:rPr>
        <w:t xml:space="preserve"> </w:t>
      </w:r>
      <w:r w:rsidR="004E1DDB" w:rsidRPr="00BD1319">
        <w:rPr>
          <w:spacing w:val="-3"/>
          <w:lang w:val="es-CO"/>
        </w:rPr>
        <w:t>e</w:t>
      </w:r>
      <w:r w:rsidRPr="00BD1319">
        <w:rPr>
          <w:spacing w:val="-3"/>
          <w:lang w:val="es-CO"/>
        </w:rPr>
        <w:t>sto debe hacerse previamente a las campañas de monitoreo. Específicamente, para el caso de cuerpos lóticos model</w:t>
      </w:r>
      <w:r w:rsidR="00A60447" w:rsidRPr="00BD1319">
        <w:rPr>
          <w:spacing w:val="-3"/>
          <w:lang w:val="es-CO"/>
        </w:rPr>
        <w:t>iz</w:t>
      </w:r>
      <w:r w:rsidRPr="00BD1319">
        <w:rPr>
          <w:spacing w:val="-3"/>
          <w:lang w:val="es-CO"/>
        </w:rPr>
        <w:t xml:space="preserve">ados unidimensionalmente, se requieren curvas de calibración de profundidad, área mojada, perímetro mojado, ancho superficial, velocidad media y velocidad máxima como función del caudal; asimismo, se debe </w:t>
      </w:r>
      <w:r w:rsidRPr="00BD1319">
        <w:rPr>
          <w:spacing w:val="-3"/>
          <w:lang w:val="es-CO"/>
        </w:rPr>
        <w:lastRenderedPageBreak/>
        <w:t>reportar la pendiente longitudinal y la descripción o caracterización del material del lecho para el tramo homogéneo analizado.</w:t>
      </w:r>
    </w:p>
    <w:p w14:paraId="1E7AF23E" w14:textId="77777777" w:rsidR="004A1B3C" w:rsidRPr="00BD1319" w:rsidRDefault="004A1B3C" w:rsidP="00E77B0F">
      <w:pPr>
        <w:tabs>
          <w:tab w:val="left" w:pos="-2268"/>
        </w:tabs>
        <w:suppressAutoHyphens/>
        <w:ind w:left="567" w:hanging="567"/>
        <w:rPr>
          <w:spacing w:val="-3"/>
        </w:rPr>
      </w:pPr>
    </w:p>
    <w:p w14:paraId="6DABECF1" w14:textId="658ED313" w:rsidR="004A1B3C" w:rsidRPr="00BD1319" w:rsidRDefault="004A1B3C" w:rsidP="00C86DA5">
      <w:pPr>
        <w:pStyle w:val="Prrafodelista"/>
        <w:numPr>
          <w:ilvl w:val="0"/>
          <w:numId w:val="5"/>
        </w:numPr>
        <w:tabs>
          <w:tab w:val="left" w:pos="-2268"/>
        </w:tabs>
        <w:suppressAutoHyphens/>
        <w:ind w:left="567" w:hanging="567"/>
        <w:rPr>
          <w:spacing w:val="-3"/>
          <w:lang w:val="es-CO"/>
        </w:rPr>
      </w:pPr>
      <w:r w:rsidRPr="00BD1319">
        <w:rPr>
          <w:spacing w:val="-3"/>
          <w:lang w:val="es-CO"/>
        </w:rPr>
        <w:t>Modelo de tiempos de viaje, debidamente calibrado a partir de datos de ensayos con trazadores, model</w:t>
      </w:r>
      <w:r w:rsidR="00A60447" w:rsidRPr="00BD1319">
        <w:rPr>
          <w:spacing w:val="-3"/>
          <w:lang w:val="es-CO"/>
        </w:rPr>
        <w:t>iz</w:t>
      </w:r>
      <w:r w:rsidRPr="00BD1319">
        <w:rPr>
          <w:spacing w:val="-3"/>
          <w:lang w:val="es-CO"/>
        </w:rPr>
        <w:t>ación hidrodinámica en dos o tres dimensiones o model</w:t>
      </w:r>
      <w:r w:rsidR="00A60447" w:rsidRPr="00BD1319">
        <w:rPr>
          <w:spacing w:val="-3"/>
          <w:lang w:val="es-CO"/>
        </w:rPr>
        <w:t>iz</w:t>
      </w:r>
      <w:r w:rsidRPr="00BD1319">
        <w:rPr>
          <w:spacing w:val="-3"/>
          <w:lang w:val="es-CO"/>
        </w:rPr>
        <w:t>ación hidráulica para flujo uniforme, no uniforme o no permanente. En el caso de reali</w:t>
      </w:r>
      <w:r w:rsidR="007D7A77" w:rsidRPr="00BD1319">
        <w:rPr>
          <w:spacing w:val="-3"/>
          <w:lang w:val="es-CO"/>
        </w:rPr>
        <w:t>zar</w:t>
      </w:r>
      <w:r w:rsidRPr="00BD1319">
        <w:rPr>
          <w:spacing w:val="-3"/>
          <w:lang w:val="es-CO"/>
        </w:rPr>
        <w:t xml:space="preserve"> ensayos con trazadores, se debe reportar la siguiente información para cada tramo o sector estudiado, a partir de la calibración de modelos de transporte de solutos y/o </w:t>
      </w:r>
      <w:r w:rsidR="004E1DDB" w:rsidRPr="00BD1319">
        <w:rPr>
          <w:spacing w:val="-3"/>
          <w:lang w:val="es-CO"/>
        </w:rPr>
        <w:t>d</w:t>
      </w:r>
      <w:r w:rsidRPr="00BD1319">
        <w:rPr>
          <w:spacing w:val="-3"/>
          <w:lang w:val="es-CO"/>
        </w:rPr>
        <w:t>el análisis estadístico de los datos obtenidos en campo:</w:t>
      </w:r>
    </w:p>
    <w:p w14:paraId="0B02AF35" w14:textId="77777777" w:rsidR="00E77B0F" w:rsidRPr="00BD1319" w:rsidRDefault="00E77B0F" w:rsidP="00C86DA5">
      <w:pPr>
        <w:tabs>
          <w:tab w:val="left" w:pos="-2268"/>
        </w:tabs>
        <w:suppressAutoHyphens/>
        <w:rPr>
          <w:spacing w:val="-3"/>
        </w:rPr>
      </w:pPr>
    </w:p>
    <w:p w14:paraId="623D01A8" w14:textId="77777777" w:rsidR="004A1B3C" w:rsidRPr="00BD1319" w:rsidRDefault="004A1B3C" w:rsidP="00C86DA5">
      <w:pPr>
        <w:pStyle w:val="Prrafodelista"/>
        <w:numPr>
          <w:ilvl w:val="0"/>
          <w:numId w:val="402"/>
        </w:numPr>
        <w:tabs>
          <w:tab w:val="left" w:pos="-2268"/>
        </w:tabs>
        <w:suppressAutoHyphens/>
        <w:ind w:left="1134" w:hanging="567"/>
        <w:rPr>
          <w:spacing w:val="-3"/>
          <w:lang w:val="es-CO"/>
        </w:rPr>
      </w:pPr>
      <w:r w:rsidRPr="00BD1319">
        <w:rPr>
          <w:spacing w:val="-3"/>
          <w:lang w:val="es-CO"/>
        </w:rPr>
        <w:t>Para cuerpos lóticos:</w:t>
      </w:r>
    </w:p>
    <w:p w14:paraId="5975710E" w14:textId="77777777" w:rsidR="004A1B3C" w:rsidRPr="00BD1319" w:rsidRDefault="004A1B3C" w:rsidP="009420F5">
      <w:pPr>
        <w:numPr>
          <w:ilvl w:val="12"/>
          <w:numId w:val="0"/>
        </w:numPr>
        <w:tabs>
          <w:tab w:val="left" w:pos="-2268"/>
        </w:tabs>
        <w:suppressAutoHyphens/>
        <w:rPr>
          <w:spacing w:val="-3"/>
        </w:rPr>
      </w:pPr>
    </w:p>
    <w:p w14:paraId="097F1CED" w14:textId="77777777" w:rsidR="004A1B3C" w:rsidRPr="00BD1319" w:rsidRDefault="004A1B3C" w:rsidP="00C86DA5">
      <w:pPr>
        <w:pStyle w:val="Prrafodelista"/>
        <w:numPr>
          <w:ilvl w:val="0"/>
          <w:numId w:val="403"/>
        </w:numPr>
        <w:tabs>
          <w:tab w:val="left" w:pos="-2268"/>
        </w:tabs>
        <w:suppressAutoHyphens/>
        <w:ind w:left="1701" w:hanging="567"/>
        <w:rPr>
          <w:spacing w:val="-3"/>
          <w:lang w:val="es-CO"/>
        </w:rPr>
      </w:pPr>
      <w:r w:rsidRPr="00BD1319">
        <w:rPr>
          <w:spacing w:val="-3"/>
          <w:lang w:val="es-CO"/>
        </w:rPr>
        <w:t>Modelo de tiempos de viaje debidamente calibrado.</w:t>
      </w:r>
    </w:p>
    <w:p w14:paraId="782B7B48" w14:textId="77777777" w:rsidR="00A43243" w:rsidRPr="00BD1319" w:rsidRDefault="00A43243" w:rsidP="009420F5">
      <w:pPr>
        <w:tabs>
          <w:tab w:val="left" w:pos="-2268"/>
        </w:tabs>
        <w:suppressAutoHyphens/>
        <w:rPr>
          <w:spacing w:val="-3"/>
        </w:rPr>
      </w:pPr>
    </w:p>
    <w:p w14:paraId="6C8566B8" w14:textId="77777777" w:rsidR="004A1B3C" w:rsidRPr="00BD1319" w:rsidRDefault="004A1B3C" w:rsidP="00C86DA5">
      <w:pPr>
        <w:pStyle w:val="Prrafodelista"/>
        <w:numPr>
          <w:ilvl w:val="0"/>
          <w:numId w:val="403"/>
        </w:numPr>
        <w:tabs>
          <w:tab w:val="left" w:pos="-2268"/>
        </w:tabs>
        <w:suppressAutoHyphens/>
        <w:ind w:left="1701" w:hanging="567"/>
        <w:rPr>
          <w:spacing w:val="-3"/>
          <w:lang w:val="es-CO"/>
        </w:rPr>
      </w:pPr>
      <w:r w:rsidRPr="00BD1319">
        <w:rPr>
          <w:spacing w:val="-3"/>
          <w:lang w:val="es-CO"/>
        </w:rPr>
        <w:t>Tiempo de primer arribo.</w:t>
      </w:r>
    </w:p>
    <w:p w14:paraId="1E944838" w14:textId="3F9B325F" w:rsidR="00A43243" w:rsidRPr="00BD1319" w:rsidRDefault="00A43243" w:rsidP="009420F5">
      <w:pPr>
        <w:tabs>
          <w:tab w:val="left" w:pos="-2268"/>
          <w:tab w:val="left" w:pos="1875"/>
        </w:tabs>
        <w:suppressAutoHyphens/>
        <w:rPr>
          <w:spacing w:val="-3"/>
        </w:rPr>
      </w:pPr>
    </w:p>
    <w:p w14:paraId="54C28AA4" w14:textId="77777777" w:rsidR="004A1B3C" w:rsidRPr="00BD1319" w:rsidRDefault="004A1B3C" w:rsidP="00C86DA5">
      <w:pPr>
        <w:pStyle w:val="Prrafodelista"/>
        <w:numPr>
          <w:ilvl w:val="0"/>
          <w:numId w:val="403"/>
        </w:numPr>
        <w:tabs>
          <w:tab w:val="left" w:pos="-2268"/>
        </w:tabs>
        <w:suppressAutoHyphens/>
        <w:ind w:left="1701" w:hanging="567"/>
        <w:rPr>
          <w:spacing w:val="-3"/>
          <w:lang w:val="es-CO"/>
        </w:rPr>
      </w:pPr>
      <w:r w:rsidRPr="00BD1319">
        <w:rPr>
          <w:spacing w:val="-3"/>
          <w:lang w:val="es-CO"/>
        </w:rPr>
        <w:t>Tiempo medio de viaje (en el caso de inyección instantánea).</w:t>
      </w:r>
    </w:p>
    <w:p w14:paraId="5A843EA3" w14:textId="77777777" w:rsidR="00A43243" w:rsidRPr="00BD1319" w:rsidRDefault="00A43243" w:rsidP="009420F5">
      <w:pPr>
        <w:tabs>
          <w:tab w:val="left" w:pos="-2268"/>
        </w:tabs>
        <w:suppressAutoHyphens/>
        <w:rPr>
          <w:spacing w:val="-3"/>
        </w:rPr>
      </w:pPr>
    </w:p>
    <w:p w14:paraId="464DA1B3" w14:textId="77777777" w:rsidR="004A1B3C" w:rsidRPr="00BD1319" w:rsidRDefault="004A1B3C" w:rsidP="00C86DA5">
      <w:pPr>
        <w:pStyle w:val="Prrafodelista"/>
        <w:numPr>
          <w:ilvl w:val="0"/>
          <w:numId w:val="403"/>
        </w:numPr>
        <w:tabs>
          <w:tab w:val="left" w:pos="-2268"/>
        </w:tabs>
        <w:suppressAutoHyphens/>
        <w:ind w:left="1701" w:hanging="567"/>
        <w:rPr>
          <w:spacing w:val="-3"/>
          <w:lang w:val="es-CO"/>
        </w:rPr>
      </w:pPr>
      <w:r w:rsidRPr="00BD1319">
        <w:rPr>
          <w:spacing w:val="-3"/>
          <w:lang w:val="es-CO"/>
        </w:rPr>
        <w:t>Tiempo al pico.</w:t>
      </w:r>
    </w:p>
    <w:p w14:paraId="5942F0E1" w14:textId="77777777" w:rsidR="00A43243" w:rsidRPr="00BD1319" w:rsidRDefault="00A43243" w:rsidP="009420F5">
      <w:pPr>
        <w:tabs>
          <w:tab w:val="left" w:pos="-2268"/>
        </w:tabs>
        <w:suppressAutoHyphens/>
        <w:rPr>
          <w:spacing w:val="-3"/>
        </w:rPr>
      </w:pPr>
    </w:p>
    <w:p w14:paraId="2B412DFD" w14:textId="77777777" w:rsidR="004A1B3C" w:rsidRPr="00BD1319" w:rsidRDefault="004A1B3C" w:rsidP="00C86DA5">
      <w:pPr>
        <w:pStyle w:val="Prrafodelista"/>
        <w:numPr>
          <w:ilvl w:val="0"/>
          <w:numId w:val="403"/>
        </w:numPr>
        <w:tabs>
          <w:tab w:val="left" w:pos="-2268"/>
        </w:tabs>
        <w:suppressAutoHyphens/>
        <w:ind w:left="1701" w:hanging="567"/>
        <w:rPr>
          <w:spacing w:val="-3"/>
          <w:lang w:val="es-CO"/>
        </w:rPr>
      </w:pPr>
      <w:r w:rsidRPr="00BD1319">
        <w:rPr>
          <w:spacing w:val="-3"/>
          <w:lang w:val="es-CO"/>
        </w:rPr>
        <w:t>Tiempo de pasaje.</w:t>
      </w:r>
    </w:p>
    <w:p w14:paraId="2FC2E8E1" w14:textId="77777777" w:rsidR="00A43243" w:rsidRPr="00BD1319" w:rsidRDefault="00A43243" w:rsidP="009420F5">
      <w:pPr>
        <w:tabs>
          <w:tab w:val="left" w:pos="-2268"/>
        </w:tabs>
        <w:suppressAutoHyphens/>
        <w:rPr>
          <w:spacing w:val="-3"/>
        </w:rPr>
      </w:pPr>
    </w:p>
    <w:p w14:paraId="7E8E1434" w14:textId="77777777" w:rsidR="004A1B3C" w:rsidRPr="00BD1319" w:rsidRDefault="004A1B3C" w:rsidP="00C86DA5">
      <w:pPr>
        <w:pStyle w:val="Prrafodelista"/>
        <w:numPr>
          <w:ilvl w:val="0"/>
          <w:numId w:val="403"/>
        </w:numPr>
        <w:tabs>
          <w:tab w:val="left" w:pos="-2268"/>
        </w:tabs>
        <w:suppressAutoHyphens/>
        <w:ind w:left="1701" w:hanging="567"/>
        <w:rPr>
          <w:spacing w:val="-3"/>
          <w:lang w:val="es-CO"/>
        </w:rPr>
      </w:pPr>
      <w:r w:rsidRPr="00BD1319">
        <w:rPr>
          <w:spacing w:val="-3"/>
          <w:lang w:val="es-CO"/>
        </w:rPr>
        <w:t>Coeficiente de dispersión longitudinal y área transversal efectiva del tramo.</w:t>
      </w:r>
    </w:p>
    <w:p w14:paraId="60EF1708" w14:textId="77777777" w:rsidR="00A43243" w:rsidRPr="00BD1319" w:rsidRDefault="00A43243" w:rsidP="009420F5">
      <w:pPr>
        <w:tabs>
          <w:tab w:val="left" w:pos="-2268"/>
        </w:tabs>
        <w:suppressAutoHyphens/>
        <w:rPr>
          <w:spacing w:val="-3"/>
        </w:rPr>
      </w:pPr>
    </w:p>
    <w:p w14:paraId="2BAA122B" w14:textId="77777777" w:rsidR="004A1B3C" w:rsidRPr="00BD1319" w:rsidRDefault="004A1B3C" w:rsidP="00C86DA5">
      <w:pPr>
        <w:pStyle w:val="Prrafodelista"/>
        <w:numPr>
          <w:ilvl w:val="0"/>
          <w:numId w:val="403"/>
        </w:numPr>
        <w:tabs>
          <w:tab w:val="left" w:pos="-2268"/>
        </w:tabs>
        <w:suppressAutoHyphens/>
        <w:ind w:left="1701" w:hanging="567"/>
        <w:rPr>
          <w:spacing w:val="-3"/>
          <w:lang w:val="es-CO"/>
        </w:rPr>
      </w:pPr>
      <w:r w:rsidRPr="00BD1319">
        <w:rPr>
          <w:spacing w:val="-3"/>
          <w:lang w:val="es-CO"/>
        </w:rPr>
        <w:t>Coeficientes de dispersión longitudinal, transversal y/o vertical, cuando se realicen ensayos con trazadores de inyección continúa.</w:t>
      </w:r>
    </w:p>
    <w:p w14:paraId="20C14C71" w14:textId="77777777" w:rsidR="00A43243" w:rsidRPr="00BD1319" w:rsidRDefault="00A43243" w:rsidP="009420F5">
      <w:pPr>
        <w:tabs>
          <w:tab w:val="left" w:pos="-2268"/>
        </w:tabs>
        <w:suppressAutoHyphens/>
        <w:rPr>
          <w:spacing w:val="-3"/>
        </w:rPr>
      </w:pPr>
    </w:p>
    <w:p w14:paraId="3687B817" w14:textId="77777777" w:rsidR="004A1B3C" w:rsidRPr="00BD1319" w:rsidRDefault="004A1B3C" w:rsidP="00C86DA5">
      <w:pPr>
        <w:pStyle w:val="Prrafodelista"/>
        <w:numPr>
          <w:ilvl w:val="0"/>
          <w:numId w:val="403"/>
        </w:numPr>
        <w:tabs>
          <w:tab w:val="left" w:pos="-2268"/>
        </w:tabs>
        <w:suppressAutoHyphens/>
        <w:ind w:left="1701" w:hanging="567"/>
        <w:rPr>
          <w:spacing w:val="-3"/>
          <w:lang w:val="es-CO"/>
        </w:rPr>
      </w:pPr>
      <w:r w:rsidRPr="00BD1319">
        <w:rPr>
          <w:spacing w:val="-3"/>
          <w:lang w:val="es-CO"/>
        </w:rPr>
        <w:t>Fracción dispersiva.</w:t>
      </w:r>
    </w:p>
    <w:p w14:paraId="0FAE143D" w14:textId="77777777" w:rsidR="004A1B3C" w:rsidRPr="00BD1319" w:rsidRDefault="004A1B3C" w:rsidP="009420F5">
      <w:pPr>
        <w:tabs>
          <w:tab w:val="left" w:pos="-2268"/>
        </w:tabs>
        <w:suppressAutoHyphens/>
        <w:rPr>
          <w:spacing w:val="-3"/>
        </w:rPr>
      </w:pPr>
    </w:p>
    <w:p w14:paraId="244B1F62" w14:textId="77777777" w:rsidR="004A1B3C" w:rsidRPr="00BD1319" w:rsidRDefault="004A1B3C" w:rsidP="00C86DA5">
      <w:pPr>
        <w:pStyle w:val="Prrafodelista"/>
        <w:numPr>
          <w:ilvl w:val="0"/>
          <w:numId w:val="402"/>
        </w:numPr>
        <w:tabs>
          <w:tab w:val="left" w:pos="-2268"/>
        </w:tabs>
        <w:suppressAutoHyphens/>
        <w:ind w:left="1134" w:hanging="567"/>
        <w:rPr>
          <w:spacing w:val="-3"/>
          <w:lang w:val="es-CO"/>
        </w:rPr>
      </w:pPr>
      <w:r w:rsidRPr="00BD1319">
        <w:rPr>
          <w:spacing w:val="-3"/>
          <w:lang w:val="es-CO"/>
        </w:rPr>
        <w:t>Para cuerpos lénticos:</w:t>
      </w:r>
    </w:p>
    <w:p w14:paraId="70FFC76B" w14:textId="77777777" w:rsidR="004A1B3C" w:rsidRPr="00BD1319" w:rsidRDefault="004A1B3C" w:rsidP="009420F5">
      <w:pPr>
        <w:tabs>
          <w:tab w:val="left" w:pos="-2268"/>
        </w:tabs>
        <w:suppressAutoHyphens/>
        <w:rPr>
          <w:spacing w:val="-3"/>
          <w:u w:val="single"/>
        </w:rPr>
      </w:pPr>
    </w:p>
    <w:p w14:paraId="1F924564" w14:textId="77777777" w:rsidR="004A1B3C" w:rsidRPr="00BD1319" w:rsidRDefault="004A1B3C" w:rsidP="00C86DA5">
      <w:pPr>
        <w:pStyle w:val="Prrafodelista"/>
        <w:numPr>
          <w:ilvl w:val="0"/>
          <w:numId w:val="403"/>
        </w:numPr>
        <w:tabs>
          <w:tab w:val="left" w:pos="-2268"/>
        </w:tabs>
        <w:suppressAutoHyphens/>
        <w:ind w:left="1701" w:hanging="567"/>
        <w:rPr>
          <w:spacing w:val="-3"/>
          <w:lang w:val="es-CO"/>
        </w:rPr>
      </w:pPr>
      <w:r w:rsidRPr="00BD1319">
        <w:rPr>
          <w:spacing w:val="-3"/>
          <w:lang w:val="es-CO"/>
        </w:rPr>
        <w:t>Coeficientes de dispersión/difusión longitudinal, transversal y/o vertical.</w:t>
      </w:r>
    </w:p>
    <w:p w14:paraId="497CC7FF" w14:textId="77777777" w:rsidR="004A1B3C" w:rsidRPr="00BD1319" w:rsidRDefault="004A1B3C" w:rsidP="009420F5">
      <w:pPr>
        <w:tabs>
          <w:tab w:val="left" w:pos="-2268"/>
        </w:tabs>
        <w:suppressAutoHyphens/>
        <w:rPr>
          <w:spacing w:val="-3"/>
        </w:rPr>
      </w:pPr>
    </w:p>
    <w:p w14:paraId="53116417" w14:textId="41E95CEA" w:rsidR="004A1B3C" w:rsidRPr="00BD1319" w:rsidRDefault="004A1B3C" w:rsidP="00C86DA5">
      <w:pPr>
        <w:pStyle w:val="Prrafodelista"/>
        <w:numPr>
          <w:ilvl w:val="0"/>
          <w:numId w:val="404"/>
        </w:numPr>
        <w:tabs>
          <w:tab w:val="left" w:pos="-2268"/>
        </w:tabs>
        <w:suppressAutoHyphens/>
        <w:ind w:left="567" w:hanging="567"/>
        <w:rPr>
          <w:spacing w:val="-3"/>
          <w:lang w:val="es-CO"/>
        </w:rPr>
      </w:pPr>
      <w:r w:rsidRPr="00BD1319">
        <w:rPr>
          <w:spacing w:val="-3"/>
          <w:lang w:val="es-CO"/>
        </w:rPr>
        <w:t xml:space="preserve">Estimación de la longitud o dimensión del tramo o </w:t>
      </w:r>
      <w:r w:rsidR="00214F8F" w:rsidRPr="00BD1319">
        <w:rPr>
          <w:spacing w:val="-3"/>
          <w:lang w:val="es-CO"/>
        </w:rPr>
        <w:t xml:space="preserve">área </w:t>
      </w:r>
      <w:r w:rsidRPr="00BD1319">
        <w:rPr>
          <w:spacing w:val="-3"/>
          <w:lang w:val="es-CO"/>
        </w:rPr>
        <w:t>de model</w:t>
      </w:r>
      <w:r w:rsidR="004E1DDB" w:rsidRPr="00BD1319">
        <w:rPr>
          <w:spacing w:val="-3"/>
          <w:lang w:val="es-CO"/>
        </w:rPr>
        <w:t>iza</w:t>
      </w:r>
      <w:r w:rsidRPr="00BD1319">
        <w:rPr>
          <w:spacing w:val="-3"/>
          <w:lang w:val="es-CO"/>
        </w:rPr>
        <w:t>ción, respectivamente, mediante una metodología debidamente sustentada y justificada</w:t>
      </w:r>
      <w:r w:rsidRPr="00BD1319">
        <w:rPr>
          <w:spacing w:val="-3"/>
          <w:vertAlign w:val="superscript"/>
          <w:lang w:val="es-CO"/>
        </w:rPr>
        <w:footnoteReference w:id="176"/>
      </w:r>
      <w:r w:rsidRPr="00BD1319">
        <w:rPr>
          <w:spacing w:val="-3"/>
          <w:lang w:val="es-CO"/>
        </w:rPr>
        <w:t>.</w:t>
      </w:r>
    </w:p>
    <w:p w14:paraId="5D39BA1E" w14:textId="77777777" w:rsidR="004A1B3C" w:rsidRPr="00BD1319" w:rsidRDefault="004A1B3C" w:rsidP="00C86DA5">
      <w:pPr>
        <w:tabs>
          <w:tab w:val="left" w:pos="-2268"/>
        </w:tabs>
        <w:suppressAutoHyphens/>
        <w:rPr>
          <w:spacing w:val="-3"/>
        </w:rPr>
      </w:pPr>
    </w:p>
    <w:p w14:paraId="0AA60318" w14:textId="0CABFB77" w:rsidR="004A1B3C" w:rsidRPr="00BD1319" w:rsidRDefault="004A1B3C">
      <w:pPr>
        <w:numPr>
          <w:ilvl w:val="12"/>
          <w:numId w:val="0"/>
        </w:numPr>
        <w:tabs>
          <w:tab w:val="left" w:pos="-2268"/>
        </w:tabs>
        <w:suppressAutoHyphens/>
        <w:rPr>
          <w:spacing w:val="-3"/>
        </w:rPr>
      </w:pPr>
      <w:r w:rsidRPr="00BD1319">
        <w:rPr>
          <w:spacing w:val="-3"/>
        </w:rPr>
        <w:t>Para el caso de cuerpos lóticos, con la información hidráulica obtenida, se debe reportar la longitud de mezcla en cada sitio de medición, estimada a partir de ecuaciones empíricas (</w:t>
      </w:r>
      <w:r w:rsidR="00041844" w:rsidRPr="00BD1319">
        <w:rPr>
          <w:spacing w:val="-3"/>
        </w:rPr>
        <w:t xml:space="preserve">p. </w:t>
      </w:r>
      <w:r w:rsidR="00041844" w:rsidRPr="00BD1319">
        <w:rPr>
          <w:spacing w:val="-3"/>
        </w:rPr>
        <w:lastRenderedPageBreak/>
        <w:t>ej.</w:t>
      </w:r>
      <w:r w:rsidRPr="00BD1319">
        <w:rPr>
          <w:spacing w:val="-3"/>
        </w:rPr>
        <w:t xml:space="preserve"> </w:t>
      </w:r>
      <w:proofErr w:type="spellStart"/>
      <w:r w:rsidRPr="00BD1319">
        <w:rPr>
          <w:spacing w:val="-3"/>
        </w:rPr>
        <w:t>Yotsukura</w:t>
      </w:r>
      <w:proofErr w:type="spellEnd"/>
      <w:r w:rsidRPr="00BD1319">
        <w:rPr>
          <w:spacing w:val="-3"/>
        </w:rPr>
        <w:t xml:space="preserve"> y Cobb, 1972; Fischer et al., 1979; Day, 1977; </w:t>
      </w:r>
      <w:proofErr w:type="spellStart"/>
      <w:r w:rsidRPr="00BD1319">
        <w:rPr>
          <w:spacing w:val="-3"/>
        </w:rPr>
        <w:t>Thomann</w:t>
      </w:r>
      <w:proofErr w:type="spellEnd"/>
      <w:r w:rsidRPr="00BD1319">
        <w:rPr>
          <w:spacing w:val="-3"/>
        </w:rPr>
        <w:t xml:space="preserve"> y Mueller, 1987; Kilpatrick y Wilson, 1989; </w:t>
      </w:r>
      <w:proofErr w:type="spellStart"/>
      <w:r w:rsidRPr="00BD1319">
        <w:rPr>
          <w:spacing w:val="-3"/>
        </w:rPr>
        <w:t>Dingman</w:t>
      </w:r>
      <w:proofErr w:type="spellEnd"/>
      <w:r w:rsidRPr="00BD1319">
        <w:rPr>
          <w:spacing w:val="-3"/>
        </w:rPr>
        <w:t>, 2002) y/o de la simulación de modelos de zona de mezcla (</w:t>
      </w:r>
      <w:r w:rsidR="00041844" w:rsidRPr="00BD1319">
        <w:rPr>
          <w:spacing w:val="-3"/>
        </w:rPr>
        <w:t>p. ej.</w:t>
      </w:r>
      <w:r w:rsidRPr="00BD1319">
        <w:rPr>
          <w:spacing w:val="-3"/>
        </w:rPr>
        <w:t xml:space="preserve"> </w:t>
      </w:r>
      <w:proofErr w:type="spellStart"/>
      <w:r w:rsidR="00AF5874" w:rsidRPr="00BD1319">
        <w:rPr>
          <w:spacing w:val="-3"/>
        </w:rPr>
        <w:t>Cormix</w:t>
      </w:r>
      <w:proofErr w:type="spellEnd"/>
      <w:r w:rsidRPr="00BD1319">
        <w:rPr>
          <w:spacing w:val="-3"/>
        </w:rPr>
        <w:t xml:space="preserve">, Visual </w:t>
      </w:r>
      <w:r w:rsidR="00AF5874" w:rsidRPr="00BD1319">
        <w:rPr>
          <w:spacing w:val="-3"/>
        </w:rPr>
        <w:t>p</w:t>
      </w:r>
      <w:r w:rsidRPr="00BD1319">
        <w:rPr>
          <w:spacing w:val="-3"/>
        </w:rPr>
        <w:t>lumes, tubos de corriente, dinámica de fluidos computacional), considerando diferentes condiciones de localización de la descarga (</w:t>
      </w:r>
      <w:r w:rsidR="00041844" w:rsidRPr="00BD1319">
        <w:rPr>
          <w:spacing w:val="-3"/>
        </w:rPr>
        <w:t>p. ej.</w:t>
      </w:r>
      <w:r w:rsidRPr="00BD1319">
        <w:rPr>
          <w:spacing w:val="-3"/>
        </w:rPr>
        <w:t xml:space="preserve"> central y lateral). Para el caso de cuerpos lénticos, se debe reportar la extensión de la pluma contaminante proveniente de tributarios y/o vertimientos directos bajo diferentes escenarios de caudal descargado y nivel en el cuerpo receptor.</w:t>
      </w:r>
    </w:p>
    <w:p w14:paraId="1DD15C4E" w14:textId="77777777" w:rsidR="004A1B3C" w:rsidRPr="00BD1319" w:rsidRDefault="004A1B3C">
      <w:pPr>
        <w:numPr>
          <w:ilvl w:val="12"/>
          <w:numId w:val="0"/>
        </w:numPr>
        <w:tabs>
          <w:tab w:val="left" w:pos="-2268"/>
        </w:tabs>
        <w:suppressAutoHyphens/>
        <w:rPr>
          <w:spacing w:val="-3"/>
        </w:rPr>
      </w:pPr>
    </w:p>
    <w:p w14:paraId="03CED2BD" w14:textId="20A5F328" w:rsidR="004A1B3C" w:rsidRPr="00BD1319" w:rsidRDefault="004A1B3C">
      <w:pPr>
        <w:numPr>
          <w:ilvl w:val="12"/>
          <w:numId w:val="0"/>
        </w:numPr>
        <w:tabs>
          <w:tab w:val="left" w:pos="-2268"/>
        </w:tabs>
        <w:suppressAutoHyphens/>
        <w:rPr>
          <w:spacing w:val="-3"/>
        </w:rPr>
      </w:pPr>
      <w:r w:rsidRPr="00BD1319">
        <w:rPr>
          <w:spacing w:val="-3"/>
        </w:rPr>
        <w:t xml:space="preserve">Se debe justificar la selección del modelo </w:t>
      </w:r>
      <w:r w:rsidRPr="00BD1319">
        <w:rPr>
          <w:rFonts w:cs="Arial"/>
          <w:spacing w:val="-3"/>
        </w:rPr>
        <w:t>empleado de acuerdo con</w:t>
      </w:r>
      <w:r w:rsidRPr="00BD1319">
        <w:rPr>
          <w:spacing w:val="-3"/>
        </w:rPr>
        <w:t xml:space="preserve"> las condiciones del sistema a model</w:t>
      </w:r>
      <w:r w:rsidR="00A60447" w:rsidRPr="00BD1319">
        <w:rPr>
          <w:spacing w:val="-3"/>
        </w:rPr>
        <w:t>iz</w:t>
      </w:r>
      <w:r w:rsidRPr="00BD1319">
        <w:rPr>
          <w:spacing w:val="-3"/>
        </w:rPr>
        <w:t xml:space="preserve">ar, teniendo en cuenta los procesos dominantes, la complejidad </w:t>
      </w:r>
      <w:r w:rsidRPr="00BD1319">
        <w:rPr>
          <w:rFonts w:cs="Arial"/>
          <w:spacing w:val="-3"/>
        </w:rPr>
        <w:t>de la condición a model</w:t>
      </w:r>
      <w:r w:rsidR="00A60447" w:rsidRPr="00BD1319">
        <w:rPr>
          <w:rFonts w:cs="Arial"/>
          <w:spacing w:val="-3"/>
        </w:rPr>
        <w:t>iz</w:t>
      </w:r>
      <w:r w:rsidRPr="00BD1319">
        <w:rPr>
          <w:rFonts w:cs="Arial"/>
          <w:spacing w:val="-3"/>
        </w:rPr>
        <w:t>ar</w:t>
      </w:r>
      <w:r w:rsidRPr="00BD1319">
        <w:rPr>
          <w:spacing w:val="-3"/>
        </w:rPr>
        <w:t>, la variación espacial (unidimensional, bidimensional o tridimensional) y temporal (dinámico</w:t>
      </w:r>
      <w:r w:rsidR="00407751" w:rsidRPr="00BD1319">
        <w:rPr>
          <w:spacing w:val="-3"/>
        </w:rPr>
        <w:t xml:space="preserve"> o</w:t>
      </w:r>
      <w:r w:rsidRPr="00BD1319">
        <w:rPr>
          <w:spacing w:val="-3"/>
        </w:rPr>
        <w:t xml:space="preserve"> estado estable) de la calidad del agua y </w:t>
      </w:r>
      <w:r w:rsidRPr="00BD1319">
        <w:rPr>
          <w:rFonts w:cs="Arial"/>
          <w:spacing w:val="-3"/>
        </w:rPr>
        <w:t xml:space="preserve">condiciones de frecuencia </w:t>
      </w:r>
      <w:r w:rsidRPr="00BD1319">
        <w:rPr>
          <w:spacing w:val="-3"/>
        </w:rPr>
        <w:t xml:space="preserve">de las descargas existentes en el tramo o </w:t>
      </w:r>
      <w:r w:rsidR="00214F8F" w:rsidRPr="00BD1319">
        <w:rPr>
          <w:spacing w:val="-3"/>
        </w:rPr>
        <w:t xml:space="preserve">área </w:t>
      </w:r>
      <w:r w:rsidRPr="00BD1319">
        <w:rPr>
          <w:spacing w:val="-3"/>
        </w:rPr>
        <w:t>estudiad</w:t>
      </w:r>
      <w:r w:rsidR="00214F8F" w:rsidRPr="00BD1319">
        <w:rPr>
          <w:spacing w:val="-3"/>
        </w:rPr>
        <w:t>a</w:t>
      </w:r>
      <w:r w:rsidRPr="00BD1319">
        <w:rPr>
          <w:spacing w:val="-3"/>
        </w:rPr>
        <w:t xml:space="preserve">. </w:t>
      </w:r>
      <w:r w:rsidR="00214F8F" w:rsidRPr="00BD1319">
        <w:rPr>
          <w:spacing w:val="-3"/>
        </w:rPr>
        <w:t xml:space="preserve">Adicionalmente, se deben señalar los procesos y variables empleados en el modelo, dado que no todos permiten evaluar las posibles transformaciones fisicoquímicas o microbiológicas del tramo o área estudiada. </w:t>
      </w:r>
      <w:r w:rsidRPr="00BD1319">
        <w:rPr>
          <w:spacing w:val="-3"/>
        </w:rPr>
        <w:t>El programa de monitoreo debe ajustarse de acuerdo con el modelo seleccionado.</w:t>
      </w:r>
    </w:p>
    <w:p w14:paraId="30774B31" w14:textId="77777777" w:rsidR="004A1B3C" w:rsidRPr="00BD1319" w:rsidRDefault="004A1B3C">
      <w:pPr>
        <w:numPr>
          <w:ilvl w:val="12"/>
          <w:numId w:val="0"/>
        </w:numPr>
        <w:tabs>
          <w:tab w:val="left" w:pos="-2268"/>
        </w:tabs>
        <w:suppressAutoHyphens/>
        <w:rPr>
          <w:spacing w:val="-3"/>
        </w:rPr>
      </w:pPr>
    </w:p>
    <w:p w14:paraId="6B8C68EB" w14:textId="5E0C8D68" w:rsidR="004A1B3C" w:rsidRPr="00BD1319" w:rsidRDefault="004A1B3C">
      <w:pPr>
        <w:numPr>
          <w:ilvl w:val="12"/>
          <w:numId w:val="0"/>
        </w:numPr>
        <w:tabs>
          <w:tab w:val="left" w:pos="-2268"/>
        </w:tabs>
        <w:suppressAutoHyphens/>
        <w:rPr>
          <w:spacing w:val="-3"/>
        </w:rPr>
      </w:pPr>
      <w:r w:rsidRPr="00BD1319">
        <w:rPr>
          <w:spacing w:val="-3"/>
        </w:rPr>
        <w:t>Definir la estructura conceptual para la model</w:t>
      </w:r>
      <w:r w:rsidR="00407751" w:rsidRPr="00BD1319">
        <w:rPr>
          <w:spacing w:val="-3"/>
        </w:rPr>
        <w:t>iz</w:t>
      </w:r>
      <w:r w:rsidRPr="00BD1319">
        <w:rPr>
          <w:spacing w:val="-3"/>
        </w:rPr>
        <w:t>ación de la calidad del agua, incluyendo como mínimo los siguientes puntos:</w:t>
      </w:r>
    </w:p>
    <w:p w14:paraId="04A20293" w14:textId="77777777" w:rsidR="004A1B3C" w:rsidRPr="00BD1319" w:rsidRDefault="004A1B3C">
      <w:pPr>
        <w:numPr>
          <w:ilvl w:val="12"/>
          <w:numId w:val="0"/>
        </w:numPr>
        <w:tabs>
          <w:tab w:val="left" w:pos="-2268"/>
        </w:tabs>
        <w:suppressAutoHyphens/>
        <w:rPr>
          <w:spacing w:val="-3"/>
        </w:rPr>
      </w:pPr>
    </w:p>
    <w:p w14:paraId="564976FA" w14:textId="2299C1B9" w:rsidR="004A1B3C" w:rsidRPr="00BD1319" w:rsidRDefault="004A1B3C" w:rsidP="00C86DA5">
      <w:pPr>
        <w:pStyle w:val="Prrafodelista"/>
        <w:numPr>
          <w:ilvl w:val="0"/>
          <w:numId w:val="5"/>
        </w:numPr>
        <w:tabs>
          <w:tab w:val="left" w:pos="-2268"/>
        </w:tabs>
        <w:suppressAutoHyphens/>
        <w:ind w:left="567" w:hanging="567"/>
        <w:rPr>
          <w:spacing w:val="-3"/>
          <w:lang w:val="es-CO"/>
        </w:rPr>
      </w:pPr>
      <w:r w:rsidRPr="00BD1319">
        <w:rPr>
          <w:spacing w:val="-3"/>
          <w:lang w:val="es-CO"/>
        </w:rPr>
        <w:t>Protocolo o marco de model</w:t>
      </w:r>
      <w:r w:rsidR="00407751" w:rsidRPr="00BD1319">
        <w:rPr>
          <w:spacing w:val="-3"/>
          <w:lang w:val="es-CO"/>
        </w:rPr>
        <w:t>iz</w:t>
      </w:r>
      <w:r w:rsidRPr="00BD1319">
        <w:rPr>
          <w:spacing w:val="-3"/>
          <w:lang w:val="es-CO"/>
        </w:rPr>
        <w:t>ación.</w:t>
      </w:r>
    </w:p>
    <w:p w14:paraId="5B6629CA" w14:textId="77777777" w:rsidR="004A1B3C" w:rsidRPr="00BD1319" w:rsidRDefault="004A1B3C" w:rsidP="00C86DA5">
      <w:pPr>
        <w:pStyle w:val="Prrafodelista"/>
        <w:tabs>
          <w:tab w:val="left" w:pos="-2268"/>
        </w:tabs>
        <w:suppressAutoHyphens/>
        <w:ind w:left="567" w:hanging="567"/>
        <w:rPr>
          <w:spacing w:val="-3"/>
          <w:lang w:val="es-CO"/>
        </w:rPr>
      </w:pPr>
    </w:p>
    <w:p w14:paraId="795E0378" w14:textId="77777777" w:rsidR="004A1B3C" w:rsidRPr="00BD1319" w:rsidRDefault="004A1B3C" w:rsidP="00C86DA5">
      <w:pPr>
        <w:pStyle w:val="Prrafodelista"/>
        <w:numPr>
          <w:ilvl w:val="0"/>
          <w:numId w:val="5"/>
        </w:numPr>
        <w:tabs>
          <w:tab w:val="left" w:pos="-2268"/>
        </w:tabs>
        <w:suppressAutoHyphens/>
        <w:ind w:left="567" w:hanging="567"/>
        <w:rPr>
          <w:spacing w:val="-3"/>
          <w:lang w:val="es-CO"/>
        </w:rPr>
      </w:pPr>
      <w:r w:rsidRPr="00BD1319">
        <w:rPr>
          <w:spacing w:val="-3"/>
          <w:lang w:val="es-CO"/>
        </w:rPr>
        <w:t>Síntesis de la información preliminar para definir el modelo conceptual.</w:t>
      </w:r>
    </w:p>
    <w:p w14:paraId="26B811AD" w14:textId="77777777" w:rsidR="004A1B3C" w:rsidRPr="00BD1319" w:rsidRDefault="004A1B3C" w:rsidP="00C86DA5">
      <w:pPr>
        <w:pStyle w:val="Prrafodelista"/>
        <w:ind w:left="567" w:hanging="567"/>
        <w:rPr>
          <w:spacing w:val="-3"/>
          <w:lang w:val="es-CO"/>
        </w:rPr>
      </w:pPr>
    </w:p>
    <w:p w14:paraId="7E8ACFB8" w14:textId="3B6D6986" w:rsidR="004A1B3C" w:rsidRPr="00BD1319" w:rsidRDefault="004A1B3C" w:rsidP="00C86DA5">
      <w:pPr>
        <w:pStyle w:val="Prrafodelista"/>
        <w:numPr>
          <w:ilvl w:val="0"/>
          <w:numId w:val="5"/>
        </w:numPr>
        <w:tabs>
          <w:tab w:val="left" w:pos="-2268"/>
        </w:tabs>
        <w:suppressAutoHyphens/>
        <w:ind w:left="567" w:hanging="567"/>
        <w:rPr>
          <w:spacing w:val="-3"/>
          <w:lang w:val="es-CO"/>
        </w:rPr>
      </w:pPr>
      <w:r w:rsidRPr="00BD1319">
        <w:rPr>
          <w:spacing w:val="-3"/>
          <w:lang w:val="es-CO"/>
        </w:rPr>
        <w:t>Esquemas que indiquen entradas, salidas, fuentes</w:t>
      </w:r>
      <w:r w:rsidR="002465AA" w:rsidRPr="00BD1319">
        <w:rPr>
          <w:spacing w:val="-3"/>
          <w:lang w:val="es-CO"/>
        </w:rPr>
        <w:t xml:space="preserve"> puntuales o difusas</w:t>
      </w:r>
      <w:r w:rsidRPr="00BD1319">
        <w:rPr>
          <w:spacing w:val="-3"/>
          <w:lang w:val="es-CO"/>
        </w:rPr>
        <w:t xml:space="preserve">, sumideros y procesos </w:t>
      </w:r>
      <w:r w:rsidRPr="00BD1319">
        <w:rPr>
          <w:rFonts w:cs="Arial"/>
          <w:spacing w:val="-3"/>
          <w:lang w:val="es-CO"/>
        </w:rPr>
        <w:t>fisicoquímicos</w:t>
      </w:r>
      <w:r w:rsidRPr="00BD1319">
        <w:rPr>
          <w:spacing w:val="-3"/>
          <w:lang w:val="es-CO"/>
        </w:rPr>
        <w:t xml:space="preserve"> y biológicos dominantes identificados en el sistema a model</w:t>
      </w:r>
      <w:r w:rsidR="00A60447" w:rsidRPr="00BD1319">
        <w:rPr>
          <w:spacing w:val="-3"/>
          <w:lang w:val="es-CO"/>
        </w:rPr>
        <w:t>iz</w:t>
      </w:r>
      <w:r w:rsidRPr="00BD1319">
        <w:rPr>
          <w:spacing w:val="-3"/>
          <w:lang w:val="es-CO"/>
        </w:rPr>
        <w:t>ar.</w:t>
      </w:r>
    </w:p>
    <w:p w14:paraId="2E4FB6B0" w14:textId="77777777" w:rsidR="004A1B3C" w:rsidRPr="00BD1319" w:rsidRDefault="004A1B3C" w:rsidP="00C86DA5">
      <w:pPr>
        <w:pStyle w:val="Prrafodelista"/>
        <w:ind w:left="567" w:hanging="567"/>
        <w:rPr>
          <w:spacing w:val="-3"/>
          <w:lang w:val="es-CO"/>
        </w:rPr>
      </w:pPr>
    </w:p>
    <w:p w14:paraId="432046B1" w14:textId="77777777" w:rsidR="004A1B3C" w:rsidRPr="00BD1319" w:rsidRDefault="004A1B3C" w:rsidP="00C86DA5">
      <w:pPr>
        <w:pStyle w:val="Prrafodelista"/>
        <w:numPr>
          <w:ilvl w:val="0"/>
          <w:numId w:val="5"/>
        </w:numPr>
        <w:tabs>
          <w:tab w:val="left" w:pos="-2268"/>
        </w:tabs>
        <w:suppressAutoHyphens/>
        <w:ind w:left="567" w:hanging="567"/>
        <w:rPr>
          <w:spacing w:val="-3"/>
          <w:lang w:val="es-CO"/>
        </w:rPr>
      </w:pPr>
      <w:r w:rsidRPr="00BD1319">
        <w:rPr>
          <w:spacing w:val="-3"/>
          <w:lang w:val="es-CO"/>
        </w:rPr>
        <w:t>Segmentación inicial del sistema, teniendo en cuenta la definición de los tramos o sectores de análisis y, si es necesario, la estabilidad y precisión numérica para la implementación del código del modelo seleccionado.</w:t>
      </w:r>
    </w:p>
    <w:p w14:paraId="4844DC73" w14:textId="77777777" w:rsidR="004A1B3C" w:rsidRPr="00BD1319" w:rsidRDefault="004A1B3C" w:rsidP="00C86DA5">
      <w:pPr>
        <w:pStyle w:val="Prrafodelista"/>
        <w:ind w:left="567" w:hanging="567"/>
        <w:rPr>
          <w:spacing w:val="-3"/>
          <w:lang w:val="es-CO"/>
        </w:rPr>
      </w:pPr>
    </w:p>
    <w:p w14:paraId="14CA140D" w14:textId="0AC96FCD" w:rsidR="004A1B3C" w:rsidRPr="00BD1319" w:rsidRDefault="004A1B3C" w:rsidP="00C86DA5">
      <w:pPr>
        <w:pStyle w:val="Prrafodelista"/>
        <w:numPr>
          <w:ilvl w:val="0"/>
          <w:numId w:val="5"/>
        </w:numPr>
        <w:tabs>
          <w:tab w:val="left" w:pos="-2268"/>
        </w:tabs>
        <w:suppressAutoHyphens/>
        <w:ind w:left="567" w:hanging="567"/>
        <w:rPr>
          <w:spacing w:val="-3"/>
          <w:lang w:val="es-CO"/>
        </w:rPr>
      </w:pPr>
      <w:r w:rsidRPr="00BD1319">
        <w:rPr>
          <w:spacing w:val="-3"/>
          <w:lang w:val="es-CO"/>
        </w:rPr>
        <w:t xml:space="preserve">Definición </w:t>
      </w:r>
      <w:r w:rsidR="004770C9" w:rsidRPr="00BD1319">
        <w:rPr>
          <w:spacing w:val="-3"/>
          <w:lang w:val="es-CO"/>
        </w:rPr>
        <w:t xml:space="preserve">y justificación </w:t>
      </w:r>
      <w:r w:rsidRPr="00BD1319">
        <w:rPr>
          <w:spacing w:val="-3"/>
          <w:lang w:val="es-CO"/>
        </w:rPr>
        <w:t>de los determinantes de calidad del agua a simular.</w:t>
      </w:r>
    </w:p>
    <w:p w14:paraId="276FFC42" w14:textId="77777777" w:rsidR="004A1B3C" w:rsidRPr="00BD1319" w:rsidRDefault="004A1B3C" w:rsidP="00C86DA5">
      <w:pPr>
        <w:pStyle w:val="Prrafodelista"/>
        <w:ind w:left="567" w:hanging="567"/>
        <w:rPr>
          <w:spacing w:val="-3"/>
          <w:lang w:val="es-CO"/>
        </w:rPr>
      </w:pPr>
    </w:p>
    <w:p w14:paraId="0E2D3909" w14:textId="2CF5A2C3" w:rsidR="004A1B3C" w:rsidRPr="00BD1319" w:rsidRDefault="004A1B3C" w:rsidP="00C86DA5">
      <w:pPr>
        <w:pStyle w:val="Prrafodelista"/>
        <w:numPr>
          <w:ilvl w:val="0"/>
          <w:numId w:val="5"/>
        </w:numPr>
        <w:tabs>
          <w:tab w:val="left" w:pos="-2268"/>
        </w:tabs>
        <w:suppressAutoHyphens/>
        <w:ind w:left="567" w:hanging="567"/>
        <w:rPr>
          <w:spacing w:val="-3"/>
          <w:lang w:val="es-CO"/>
        </w:rPr>
      </w:pPr>
      <w:r w:rsidRPr="00BD1319">
        <w:rPr>
          <w:spacing w:val="-3"/>
          <w:lang w:val="es-CO"/>
        </w:rPr>
        <w:t>Descripción general de la estructura del modelo seleccionado</w:t>
      </w:r>
      <w:r w:rsidR="00407751" w:rsidRPr="00BD1319">
        <w:rPr>
          <w:spacing w:val="-3"/>
          <w:lang w:val="es-CO"/>
        </w:rPr>
        <w:t>, señalando</w:t>
      </w:r>
      <w:r w:rsidRPr="00BD1319">
        <w:rPr>
          <w:spacing w:val="-3"/>
          <w:lang w:val="es-CO"/>
        </w:rPr>
        <w:t xml:space="preserve"> procesos model</w:t>
      </w:r>
      <w:r w:rsidR="00407751" w:rsidRPr="00BD1319">
        <w:rPr>
          <w:spacing w:val="-3"/>
          <w:lang w:val="es-CO"/>
        </w:rPr>
        <w:t>iz</w:t>
      </w:r>
      <w:r w:rsidRPr="00BD1319">
        <w:rPr>
          <w:spacing w:val="-3"/>
          <w:lang w:val="es-CO"/>
        </w:rPr>
        <w:t>ados, ecuaciones matemáticas, variables de estado, parámetros del modelo, condiciones de frontera, condiciones iniciales, método de solución numérica o analítica, plataforma de solución, ventajas, limitaciones y suposiciones.</w:t>
      </w:r>
    </w:p>
    <w:p w14:paraId="77F1C590" w14:textId="77777777" w:rsidR="004A1B3C" w:rsidRPr="00BD1319" w:rsidRDefault="004A1B3C" w:rsidP="00C86DA5">
      <w:pPr>
        <w:numPr>
          <w:ilvl w:val="12"/>
          <w:numId w:val="0"/>
        </w:numPr>
        <w:tabs>
          <w:tab w:val="left" w:pos="-2268"/>
        </w:tabs>
        <w:suppressAutoHyphens/>
        <w:ind w:left="567" w:hanging="567"/>
        <w:rPr>
          <w:spacing w:val="-3"/>
        </w:rPr>
      </w:pPr>
    </w:p>
    <w:p w14:paraId="6E425BC2" w14:textId="2F7FDF27" w:rsidR="00A43243" w:rsidRPr="00BD1319" w:rsidRDefault="004A1B3C" w:rsidP="00C86DA5">
      <w:pPr>
        <w:pStyle w:val="Prrafodelista"/>
        <w:tabs>
          <w:tab w:val="left" w:pos="-2268"/>
        </w:tabs>
        <w:suppressAutoHyphens/>
        <w:ind w:left="567"/>
        <w:rPr>
          <w:spacing w:val="-3"/>
          <w:lang w:val="es-CO"/>
        </w:rPr>
      </w:pPr>
      <w:r w:rsidRPr="00BD1319">
        <w:rPr>
          <w:spacing w:val="-3"/>
          <w:lang w:val="es-CO"/>
        </w:rPr>
        <w:t>Definición de criterios para la calibración</w:t>
      </w:r>
      <w:r w:rsidR="002465AA" w:rsidRPr="00BD1319">
        <w:rPr>
          <w:spacing w:val="-3"/>
          <w:lang w:val="es-CO"/>
        </w:rPr>
        <w:t>,</w:t>
      </w:r>
      <w:r w:rsidRPr="00BD1319">
        <w:rPr>
          <w:spacing w:val="-3"/>
          <w:lang w:val="es-CO"/>
        </w:rPr>
        <w:t xml:space="preserve"> validación </w:t>
      </w:r>
      <w:r w:rsidR="002465AA" w:rsidRPr="00BD1319">
        <w:rPr>
          <w:spacing w:val="-3"/>
          <w:lang w:val="es-CO"/>
        </w:rPr>
        <w:t>y análisis de sensibilidad paramétrica del modelo</w:t>
      </w:r>
      <w:r w:rsidRPr="00BD1319">
        <w:rPr>
          <w:spacing w:val="-3"/>
          <w:lang w:val="es-CO"/>
        </w:rPr>
        <w:t xml:space="preserve">, lo cual incluye la descripción de la función objetivo, las tasas, </w:t>
      </w:r>
      <w:r w:rsidRPr="00BD1319">
        <w:rPr>
          <w:spacing w:val="-3"/>
          <w:lang w:val="es-CO"/>
        </w:rPr>
        <w:lastRenderedPageBreak/>
        <w:t>constantes y velocidades de transformación por calibrar, y rangos, algoritmos de calibración y validación y criterios de aceptabilidad del modelo.</w:t>
      </w:r>
    </w:p>
    <w:p w14:paraId="3F37C756" w14:textId="77777777" w:rsidR="004A1B3C" w:rsidRPr="00BD1319" w:rsidRDefault="004A1B3C" w:rsidP="00C86DA5">
      <w:pPr>
        <w:tabs>
          <w:tab w:val="left" w:pos="-2268"/>
        </w:tabs>
        <w:suppressAutoHyphens/>
        <w:rPr>
          <w:spacing w:val="-3"/>
        </w:rPr>
      </w:pPr>
    </w:p>
    <w:p w14:paraId="59E7168B" w14:textId="77777777" w:rsidR="004A1B3C" w:rsidRPr="00BD1319" w:rsidRDefault="004A1B3C" w:rsidP="00C86DA5">
      <w:pPr>
        <w:tabs>
          <w:tab w:val="left" w:pos="-2268"/>
        </w:tabs>
        <w:suppressAutoHyphens/>
        <w:rPr>
          <w:spacing w:val="-3"/>
        </w:rPr>
      </w:pPr>
      <w:r w:rsidRPr="00BD1319">
        <w:rPr>
          <w:spacing w:val="-3"/>
        </w:rPr>
        <w:t>Plantear la simulación como mínimo, en los siguientes escenarios:</w:t>
      </w:r>
    </w:p>
    <w:p w14:paraId="1158A658" w14:textId="77777777" w:rsidR="004A1B3C" w:rsidRPr="00BD1319" w:rsidRDefault="004A1B3C" w:rsidP="00C86DA5">
      <w:pPr>
        <w:tabs>
          <w:tab w:val="left" w:pos="-2268"/>
        </w:tabs>
        <w:suppressAutoHyphens/>
        <w:rPr>
          <w:spacing w:val="-3"/>
        </w:rPr>
      </w:pPr>
    </w:p>
    <w:p w14:paraId="10F23B43" w14:textId="77777777" w:rsidR="004A1B3C" w:rsidRPr="00BD1319" w:rsidRDefault="004A1B3C" w:rsidP="00C86DA5">
      <w:pPr>
        <w:pStyle w:val="Prrafodelista"/>
        <w:numPr>
          <w:ilvl w:val="0"/>
          <w:numId w:val="5"/>
        </w:numPr>
        <w:tabs>
          <w:tab w:val="left" w:pos="-2268"/>
        </w:tabs>
        <w:suppressAutoHyphens/>
        <w:ind w:left="567" w:hanging="567"/>
        <w:rPr>
          <w:spacing w:val="-3"/>
          <w:lang w:val="es-CO"/>
        </w:rPr>
      </w:pPr>
      <w:r w:rsidRPr="00BD1319">
        <w:rPr>
          <w:spacing w:val="-3"/>
          <w:lang w:val="es-CO"/>
        </w:rPr>
        <w:t>Condición sin proyecto (línea base).</w:t>
      </w:r>
    </w:p>
    <w:p w14:paraId="37D84325" w14:textId="77777777" w:rsidR="004A1B3C" w:rsidRPr="00BD1319" w:rsidRDefault="004A1B3C" w:rsidP="00A43243">
      <w:pPr>
        <w:tabs>
          <w:tab w:val="left" w:pos="-2268"/>
        </w:tabs>
        <w:suppressAutoHyphens/>
        <w:ind w:left="567" w:hanging="567"/>
        <w:rPr>
          <w:spacing w:val="-3"/>
        </w:rPr>
      </w:pPr>
    </w:p>
    <w:p w14:paraId="7E94B90E" w14:textId="77777777" w:rsidR="004A1B3C" w:rsidRPr="00BD1319" w:rsidRDefault="004A1B3C" w:rsidP="00C86DA5">
      <w:pPr>
        <w:pStyle w:val="Prrafodelista"/>
        <w:numPr>
          <w:ilvl w:val="0"/>
          <w:numId w:val="5"/>
        </w:numPr>
        <w:tabs>
          <w:tab w:val="left" w:pos="-2268"/>
        </w:tabs>
        <w:suppressAutoHyphens/>
        <w:ind w:left="567" w:hanging="567"/>
        <w:rPr>
          <w:spacing w:val="-3"/>
          <w:lang w:val="es-CO"/>
        </w:rPr>
      </w:pPr>
      <w:r w:rsidRPr="00BD1319">
        <w:rPr>
          <w:spacing w:val="-3"/>
          <w:lang w:val="es-CO"/>
        </w:rPr>
        <w:t>Carga máxima en el vertimiento tratado y caudal/nivel característico de condiciones mínimas sobre el cuerpo de agua receptor.</w:t>
      </w:r>
    </w:p>
    <w:p w14:paraId="2A8C4D64" w14:textId="77777777" w:rsidR="004A1B3C" w:rsidRPr="00BD1319" w:rsidRDefault="004A1B3C" w:rsidP="00A43243">
      <w:pPr>
        <w:tabs>
          <w:tab w:val="left" w:pos="-2268"/>
        </w:tabs>
        <w:suppressAutoHyphens/>
        <w:ind w:left="567" w:hanging="567"/>
        <w:rPr>
          <w:spacing w:val="-3"/>
        </w:rPr>
      </w:pPr>
    </w:p>
    <w:p w14:paraId="6381C02E" w14:textId="77777777" w:rsidR="004A1B3C" w:rsidRPr="00BD1319" w:rsidRDefault="004A1B3C" w:rsidP="00C86DA5">
      <w:pPr>
        <w:pStyle w:val="Prrafodelista"/>
        <w:numPr>
          <w:ilvl w:val="0"/>
          <w:numId w:val="5"/>
        </w:numPr>
        <w:tabs>
          <w:tab w:val="left" w:pos="-2268"/>
        </w:tabs>
        <w:suppressAutoHyphens/>
        <w:ind w:left="567" w:hanging="567"/>
        <w:rPr>
          <w:spacing w:val="-3"/>
          <w:lang w:val="es-CO"/>
        </w:rPr>
      </w:pPr>
      <w:r w:rsidRPr="00BD1319">
        <w:rPr>
          <w:spacing w:val="-3"/>
          <w:lang w:val="es-CO"/>
        </w:rPr>
        <w:t>Carga promedio en el vertimiento tratado y caudal/nivel promedio sobre el cuerpo de agua receptor.</w:t>
      </w:r>
    </w:p>
    <w:p w14:paraId="03B6902A" w14:textId="77777777" w:rsidR="004A1B3C" w:rsidRPr="00BD1319" w:rsidRDefault="004A1B3C" w:rsidP="00C86DA5">
      <w:pPr>
        <w:pStyle w:val="Prrafodelista"/>
        <w:tabs>
          <w:tab w:val="left" w:pos="-2268"/>
        </w:tabs>
        <w:suppressAutoHyphens/>
        <w:ind w:left="567" w:hanging="567"/>
        <w:rPr>
          <w:spacing w:val="-3"/>
          <w:lang w:val="es-CO"/>
        </w:rPr>
      </w:pPr>
    </w:p>
    <w:p w14:paraId="0DC53A82" w14:textId="3D299FFB" w:rsidR="004A1B3C" w:rsidRPr="00BD1319" w:rsidRDefault="004A1B3C" w:rsidP="00C86DA5">
      <w:pPr>
        <w:pStyle w:val="Prrafodelista"/>
        <w:numPr>
          <w:ilvl w:val="0"/>
          <w:numId w:val="5"/>
        </w:numPr>
        <w:tabs>
          <w:tab w:val="left" w:pos="-2268"/>
        </w:tabs>
        <w:suppressAutoHyphens/>
        <w:ind w:left="567" w:hanging="567"/>
        <w:rPr>
          <w:spacing w:val="-3"/>
          <w:lang w:val="es-CO"/>
        </w:rPr>
      </w:pPr>
      <w:r w:rsidRPr="00BD1319">
        <w:rPr>
          <w:spacing w:val="-3"/>
          <w:lang w:val="es-CO"/>
        </w:rPr>
        <w:t xml:space="preserve">Carga máxima en el vertimiento tratado y caudal/nivel máximo ordinario sobre el cuerpo de agua receptor. En este escenario y para el caso de cuerpos lóticos, se debe considerar la </w:t>
      </w:r>
      <w:proofErr w:type="spellStart"/>
      <w:r w:rsidRPr="00BD1319">
        <w:rPr>
          <w:spacing w:val="-3"/>
          <w:lang w:val="es-CO"/>
        </w:rPr>
        <w:t>resuspensión</w:t>
      </w:r>
      <w:proofErr w:type="spellEnd"/>
      <w:r w:rsidRPr="00BD1319">
        <w:rPr>
          <w:spacing w:val="-3"/>
          <w:lang w:val="es-CO"/>
        </w:rPr>
        <w:t xml:space="preserve"> de sustancias (sedimentos, patógenos, </w:t>
      </w:r>
      <w:r w:rsidR="002465AA" w:rsidRPr="00BD1319">
        <w:rPr>
          <w:spacing w:val="-3"/>
          <w:lang w:val="es-CO"/>
        </w:rPr>
        <w:t xml:space="preserve">sustancias o compuestos </w:t>
      </w:r>
      <w:r w:rsidRPr="00BD1319">
        <w:rPr>
          <w:spacing w:val="-3"/>
          <w:lang w:val="es-CO"/>
        </w:rPr>
        <w:t>tóxicos) provenientes del fondo del cauce.</w:t>
      </w:r>
    </w:p>
    <w:p w14:paraId="626236E3" w14:textId="77777777" w:rsidR="004A1B3C" w:rsidRPr="00BD1319" w:rsidRDefault="004A1B3C" w:rsidP="00C86DA5">
      <w:pPr>
        <w:pStyle w:val="Prrafodelista"/>
        <w:tabs>
          <w:tab w:val="left" w:pos="-2268"/>
        </w:tabs>
        <w:suppressAutoHyphens/>
        <w:ind w:left="567" w:hanging="567"/>
        <w:rPr>
          <w:spacing w:val="-3"/>
          <w:lang w:val="es-CO"/>
        </w:rPr>
      </w:pPr>
    </w:p>
    <w:p w14:paraId="26B42968" w14:textId="7248E816" w:rsidR="001F5560" w:rsidRPr="00BD1319" w:rsidRDefault="004A1B3C" w:rsidP="001F5560">
      <w:pPr>
        <w:pStyle w:val="Prrafodelista"/>
        <w:numPr>
          <w:ilvl w:val="0"/>
          <w:numId w:val="5"/>
        </w:numPr>
        <w:tabs>
          <w:tab w:val="left" w:pos="-2268"/>
        </w:tabs>
        <w:suppressAutoHyphens/>
        <w:ind w:left="567" w:hanging="567"/>
        <w:rPr>
          <w:spacing w:val="-3"/>
          <w:lang w:val="es-CO"/>
        </w:rPr>
      </w:pPr>
      <w:r w:rsidRPr="00BD1319">
        <w:rPr>
          <w:spacing w:val="-3"/>
          <w:lang w:val="es-CO"/>
        </w:rPr>
        <w:t>Carga máxima en el vertimiento antes del tratamiento y caudal/nivel característico de condiciones mínimas sobre el cuerpo de agua receptor.</w:t>
      </w:r>
      <w:r w:rsidR="001F5560" w:rsidRPr="00BD1319">
        <w:rPr>
          <w:spacing w:val="-3"/>
          <w:lang w:val="es-CO"/>
        </w:rPr>
        <w:t xml:space="preserve"> </w:t>
      </w:r>
      <w:r w:rsidR="00407751" w:rsidRPr="00BD1319">
        <w:rPr>
          <w:spacing w:val="-3"/>
          <w:lang w:val="es-CO"/>
        </w:rPr>
        <w:t xml:space="preserve">Se </w:t>
      </w:r>
      <w:r w:rsidR="001F5560" w:rsidRPr="00BD1319">
        <w:rPr>
          <w:spacing w:val="-3"/>
          <w:lang w:val="es-CO"/>
        </w:rPr>
        <w:t xml:space="preserve">debe presentar información que permita establecer la carga máxima de este tipo de vertimiento, de acuerdo con las actividades generadoras y </w:t>
      </w:r>
      <w:r w:rsidR="00407751" w:rsidRPr="00BD1319">
        <w:rPr>
          <w:spacing w:val="-3"/>
          <w:lang w:val="es-CO"/>
        </w:rPr>
        <w:t>e</w:t>
      </w:r>
      <w:r w:rsidR="001F5560" w:rsidRPr="00BD1319">
        <w:rPr>
          <w:spacing w:val="-3"/>
          <w:lang w:val="es-CO"/>
        </w:rPr>
        <w:t>l tipo de tratamiento a utilizar.</w:t>
      </w:r>
    </w:p>
    <w:p w14:paraId="7B020E86" w14:textId="77777777" w:rsidR="004A1B3C" w:rsidRPr="00BD1319" w:rsidRDefault="004A1B3C">
      <w:pPr>
        <w:numPr>
          <w:ilvl w:val="12"/>
          <w:numId w:val="0"/>
        </w:numPr>
        <w:tabs>
          <w:tab w:val="left" w:pos="-2268"/>
        </w:tabs>
        <w:suppressAutoHyphens/>
        <w:rPr>
          <w:spacing w:val="-3"/>
        </w:rPr>
      </w:pPr>
    </w:p>
    <w:p w14:paraId="5C774CA6" w14:textId="7F54E71D" w:rsidR="00AF7A30" w:rsidRPr="00BD1319" w:rsidRDefault="00AF7A30" w:rsidP="000D6E21">
      <w:pPr>
        <w:pStyle w:val="Prrafodelista"/>
        <w:numPr>
          <w:ilvl w:val="0"/>
          <w:numId w:val="5"/>
        </w:numPr>
        <w:tabs>
          <w:tab w:val="left" w:pos="-2268"/>
        </w:tabs>
        <w:suppressAutoHyphens/>
        <w:ind w:left="567" w:hanging="567"/>
        <w:rPr>
          <w:spacing w:val="-3"/>
        </w:rPr>
      </w:pPr>
      <w:r w:rsidRPr="00BD1319">
        <w:rPr>
          <w:spacing w:val="-3"/>
          <w:lang w:val="es-CO"/>
        </w:rPr>
        <w:t>Carga máxima en el vertimiento tratado y caudal / nivel característico de condiciones mínimas sobre el cuerpo de agua receptor en escenarios de cambio climático.</w:t>
      </w:r>
    </w:p>
    <w:p w14:paraId="1F1A8DA3" w14:textId="77777777" w:rsidR="00AF7A30" w:rsidRPr="00BD1319" w:rsidRDefault="00AF7A30" w:rsidP="00C86DA5">
      <w:pPr>
        <w:numPr>
          <w:ilvl w:val="12"/>
          <w:numId w:val="0"/>
        </w:numPr>
        <w:tabs>
          <w:tab w:val="left" w:pos="-2268"/>
        </w:tabs>
        <w:suppressAutoHyphens/>
        <w:ind w:left="567"/>
        <w:rPr>
          <w:spacing w:val="-3"/>
        </w:rPr>
      </w:pPr>
    </w:p>
    <w:p w14:paraId="18F414B5" w14:textId="384DE36D" w:rsidR="004A1B3C" w:rsidRPr="00BD1319" w:rsidRDefault="004A1B3C" w:rsidP="00C86DA5">
      <w:pPr>
        <w:numPr>
          <w:ilvl w:val="12"/>
          <w:numId w:val="0"/>
        </w:numPr>
        <w:tabs>
          <w:tab w:val="left" w:pos="-2268"/>
        </w:tabs>
        <w:suppressAutoHyphens/>
        <w:ind w:left="567"/>
        <w:rPr>
          <w:spacing w:val="-3"/>
        </w:rPr>
      </w:pPr>
      <w:r w:rsidRPr="00BD1319">
        <w:rPr>
          <w:spacing w:val="-3"/>
        </w:rPr>
        <w:t>Realizar una comparación entre todos los escenarios de model</w:t>
      </w:r>
      <w:r w:rsidR="00407751" w:rsidRPr="00BD1319">
        <w:rPr>
          <w:spacing w:val="-3"/>
        </w:rPr>
        <w:t>iz</w:t>
      </w:r>
      <w:r w:rsidRPr="00BD1319">
        <w:rPr>
          <w:spacing w:val="-3"/>
        </w:rPr>
        <w:t>ación, y analizarlos teniendo en cuenta los criterios de calidad para la destinación del recurso hídrico establecidos por la autoridad ambiental competente (si existen) o los definidos para el ámbito nacional, y los análisis de los conflictos de usos actuales y potenciales del recurso hídrico.</w:t>
      </w:r>
    </w:p>
    <w:p w14:paraId="66CB1820" w14:textId="77777777" w:rsidR="004A1B3C" w:rsidRPr="00BD1319" w:rsidRDefault="004A1B3C">
      <w:pPr>
        <w:numPr>
          <w:ilvl w:val="12"/>
          <w:numId w:val="0"/>
        </w:numPr>
        <w:tabs>
          <w:tab w:val="left" w:pos="-2268"/>
        </w:tabs>
        <w:suppressAutoHyphens/>
        <w:rPr>
          <w:spacing w:val="-3"/>
        </w:rPr>
      </w:pPr>
    </w:p>
    <w:p w14:paraId="1869828E" w14:textId="77777777" w:rsidR="004A1B3C" w:rsidRPr="00BD1319" w:rsidRDefault="004A1B3C" w:rsidP="00C86DA5">
      <w:pPr>
        <w:pStyle w:val="Prrafodelista"/>
        <w:numPr>
          <w:ilvl w:val="0"/>
          <w:numId w:val="5"/>
        </w:numPr>
        <w:tabs>
          <w:tab w:val="left" w:pos="-2268"/>
        </w:tabs>
        <w:suppressAutoHyphens/>
        <w:ind w:left="567" w:hanging="567"/>
        <w:rPr>
          <w:spacing w:val="-3"/>
          <w:lang w:val="es-CO"/>
        </w:rPr>
      </w:pPr>
      <w:r w:rsidRPr="00BD1319">
        <w:rPr>
          <w:spacing w:val="-3"/>
          <w:lang w:val="es-CO"/>
        </w:rPr>
        <w:t>Cálculo de los factores de asimilación de cada corriente.</w:t>
      </w:r>
    </w:p>
    <w:p w14:paraId="22C24FE3" w14:textId="77777777" w:rsidR="004A1B3C" w:rsidRPr="00BD1319" w:rsidRDefault="004A1B3C">
      <w:pPr>
        <w:numPr>
          <w:ilvl w:val="12"/>
          <w:numId w:val="0"/>
        </w:numPr>
        <w:tabs>
          <w:tab w:val="left" w:pos="-2268"/>
        </w:tabs>
        <w:suppressAutoHyphens/>
        <w:rPr>
          <w:spacing w:val="-3"/>
        </w:rPr>
      </w:pPr>
    </w:p>
    <w:p w14:paraId="137F8A30" w14:textId="77777777" w:rsidR="004A1B3C" w:rsidRPr="00BD1319" w:rsidRDefault="004A1B3C" w:rsidP="00A43243">
      <w:pPr>
        <w:numPr>
          <w:ilvl w:val="12"/>
          <w:numId w:val="0"/>
        </w:numPr>
        <w:tabs>
          <w:tab w:val="left" w:pos="-2268"/>
        </w:tabs>
        <w:suppressAutoHyphens/>
        <w:ind w:left="567"/>
        <w:rPr>
          <w:spacing w:val="-3"/>
        </w:rPr>
      </w:pPr>
      <w:r w:rsidRPr="00BD1319">
        <w:rPr>
          <w:spacing w:val="-3"/>
        </w:rPr>
        <w:t>En estos análisis se debe tener en cuenta lo dispuesto en los instrumentos de planificación y administración del recurso hídrico, contenidos en la Política Nacional para la Gestión Integral del Recurso Hídrico (PNGIRH).</w:t>
      </w:r>
    </w:p>
    <w:p w14:paraId="1EE51B4C" w14:textId="77777777" w:rsidR="004A1B3C" w:rsidRPr="00BD1319" w:rsidRDefault="004A1B3C" w:rsidP="00A43243">
      <w:pPr>
        <w:numPr>
          <w:ilvl w:val="12"/>
          <w:numId w:val="0"/>
        </w:numPr>
        <w:tabs>
          <w:tab w:val="left" w:pos="-2268"/>
        </w:tabs>
        <w:suppressAutoHyphens/>
        <w:ind w:left="567"/>
        <w:rPr>
          <w:spacing w:val="-3"/>
        </w:rPr>
      </w:pPr>
    </w:p>
    <w:p w14:paraId="13283EDD" w14:textId="3713D49D" w:rsidR="004A1B3C" w:rsidRPr="00BD1319" w:rsidRDefault="004A1B3C" w:rsidP="00A43243">
      <w:pPr>
        <w:numPr>
          <w:ilvl w:val="12"/>
          <w:numId w:val="0"/>
        </w:numPr>
        <w:tabs>
          <w:tab w:val="left" w:pos="-2268"/>
        </w:tabs>
        <w:suppressAutoHyphens/>
        <w:ind w:left="567"/>
        <w:rPr>
          <w:rFonts w:cs="Arial"/>
          <w:spacing w:val="-3"/>
        </w:rPr>
      </w:pPr>
      <w:r w:rsidRPr="00BD1319">
        <w:rPr>
          <w:spacing w:val="-3"/>
        </w:rPr>
        <w:t>Para la toma de los parámetros f</w:t>
      </w:r>
      <w:r w:rsidR="00407751" w:rsidRPr="00BD1319">
        <w:rPr>
          <w:spacing w:val="-3"/>
        </w:rPr>
        <w:t>i</w:t>
      </w:r>
      <w:r w:rsidRPr="00BD1319">
        <w:rPr>
          <w:spacing w:val="-3"/>
        </w:rPr>
        <w:t>sicoquímicos y microbiológicos se debe considerar lo</w:t>
      </w:r>
      <w:r w:rsidR="00A43243" w:rsidRPr="00BD1319">
        <w:rPr>
          <w:rFonts w:cs="Arial"/>
          <w:spacing w:val="-3"/>
        </w:rPr>
        <w:t xml:space="preserve"> </w:t>
      </w:r>
      <w:r w:rsidRPr="00BD1319">
        <w:rPr>
          <w:rFonts w:cs="Arial"/>
          <w:spacing w:val="-3"/>
        </w:rPr>
        <w:t>siguiente:</w:t>
      </w:r>
    </w:p>
    <w:p w14:paraId="0A006554" w14:textId="77777777" w:rsidR="004A1B3C" w:rsidRPr="00BD1319" w:rsidRDefault="004A1B3C">
      <w:pPr>
        <w:numPr>
          <w:ilvl w:val="12"/>
          <w:numId w:val="0"/>
        </w:numPr>
        <w:tabs>
          <w:tab w:val="left" w:pos="-2268"/>
        </w:tabs>
        <w:suppressAutoHyphens/>
        <w:rPr>
          <w:spacing w:val="-3"/>
        </w:rPr>
      </w:pPr>
    </w:p>
    <w:p w14:paraId="4C3BEE1A" w14:textId="77777777" w:rsidR="004A1B3C" w:rsidRPr="00BD1319" w:rsidRDefault="004A1B3C" w:rsidP="00C86DA5">
      <w:pPr>
        <w:pStyle w:val="Prrafodelista"/>
        <w:numPr>
          <w:ilvl w:val="0"/>
          <w:numId w:val="402"/>
        </w:numPr>
        <w:tabs>
          <w:tab w:val="left" w:pos="-2268"/>
        </w:tabs>
        <w:suppressAutoHyphens/>
        <w:ind w:left="1134" w:hanging="567"/>
        <w:rPr>
          <w:spacing w:val="-3"/>
          <w:lang w:val="es-CO"/>
        </w:rPr>
      </w:pPr>
      <w:r w:rsidRPr="00BD1319">
        <w:rPr>
          <w:spacing w:val="-3"/>
          <w:lang w:val="es-CO"/>
        </w:rPr>
        <w:t>Para cuerpos lóticos:</w:t>
      </w:r>
    </w:p>
    <w:p w14:paraId="322A4A31" w14:textId="77777777" w:rsidR="004A1B3C" w:rsidRPr="00BD1319" w:rsidRDefault="004A1B3C" w:rsidP="00C86DA5">
      <w:pPr>
        <w:tabs>
          <w:tab w:val="left" w:pos="-2268"/>
        </w:tabs>
        <w:suppressAutoHyphens/>
        <w:rPr>
          <w:spacing w:val="-3"/>
        </w:rPr>
      </w:pPr>
    </w:p>
    <w:p w14:paraId="1B6CFF1D" w14:textId="77777777" w:rsidR="004A1B3C" w:rsidRPr="00BD1319" w:rsidRDefault="004A1B3C" w:rsidP="00C86DA5">
      <w:pPr>
        <w:pStyle w:val="Prrafodelista"/>
        <w:numPr>
          <w:ilvl w:val="0"/>
          <w:numId w:val="403"/>
        </w:numPr>
        <w:tabs>
          <w:tab w:val="left" w:pos="-2268"/>
        </w:tabs>
        <w:suppressAutoHyphens/>
        <w:ind w:left="1701" w:hanging="567"/>
        <w:rPr>
          <w:spacing w:val="-3"/>
          <w:lang w:val="es-CO"/>
        </w:rPr>
      </w:pPr>
      <w:r w:rsidRPr="00BD1319">
        <w:rPr>
          <w:spacing w:val="-3"/>
          <w:lang w:val="es-CO"/>
        </w:rPr>
        <w:t>La toma de muestras se debe realizar siguiendo la misma masa de agua, desde aguas arriba hacia aguas abajo, incluyendo los afluentes y vertimientos en el orden que confluyen en la corriente principal, para lo cual se debe generar previamente un programa de monitoreo y tiempos de viaje.</w:t>
      </w:r>
    </w:p>
    <w:p w14:paraId="3F83AFB0" w14:textId="77777777" w:rsidR="004A1B3C" w:rsidRPr="00BD1319" w:rsidRDefault="004A1B3C" w:rsidP="009420F5">
      <w:pPr>
        <w:tabs>
          <w:tab w:val="left" w:pos="-2268"/>
        </w:tabs>
        <w:suppressAutoHyphens/>
        <w:rPr>
          <w:spacing w:val="-3"/>
        </w:rPr>
      </w:pPr>
    </w:p>
    <w:p w14:paraId="39F7B699" w14:textId="6B7B79E4" w:rsidR="004A1B3C" w:rsidRPr="00BD1319" w:rsidRDefault="004A1B3C" w:rsidP="00C86DA5">
      <w:pPr>
        <w:pStyle w:val="Prrafodelista"/>
        <w:numPr>
          <w:ilvl w:val="0"/>
          <w:numId w:val="403"/>
        </w:numPr>
        <w:tabs>
          <w:tab w:val="left" w:pos="-2268"/>
        </w:tabs>
        <w:suppressAutoHyphens/>
        <w:ind w:left="1701" w:hanging="567"/>
        <w:rPr>
          <w:spacing w:val="-3"/>
          <w:lang w:val="es-CO"/>
        </w:rPr>
      </w:pPr>
      <w:r w:rsidRPr="00BD1319">
        <w:rPr>
          <w:spacing w:val="-3"/>
          <w:lang w:val="es-CO"/>
        </w:rPr>
        <w:t>Las muestras tomadas para los parámetros f</w:t>
      </w:r>
      <w:r w:rsidR="003F4048" w:rsidRPr="00BD1319">
        <w:rPr>
          <w:spacing w:val="-3"/>
          <w:lang w:val="es-CO"/>
        </w:rPr>
        <w:t>i</w:t>
      </w:r>
      <w:r w:rsidRPr="00BD1319">
        <w:rPr>
          <w:spacing w:val="-3"/>
          <w:lang w:val="es-CO"/>
        </w:rPr>
        <w:t>sicoquímicos sobre los cuerpos de agua deben ser integradas en la sección transversal y en la profundidad, en los parámetros a los que haya lugar.</w:t>
      </w:r>
    </w:p>
    <w:p w14:paraId="6F24E63E" w14:textId="77777777" w:rsidR="004A1B3C" w:rsidRPr="00BD1319" w:rsidRDefault="004A1B3C" w:rsidP="009420F5">
      <w:pPr>
        <w:tabs>
          <w:tab w:val="left" w:pos="-2268"/>
        </w:tabs>
        <w:suppressAutoHyphens/>
        <w:rPr>
          <w:spacing w:val="-3"/>
        </w:rPr>
      </w:pPr>
    </w:p>
    <w:p w14:paraId="75A1D07B" w14:textId="77777777" w:rsidR="004A1B3C" w:rsidRPr="00BD1319" w:rsidRDefault="004A1B3C" w:rsidP="00C86DA5">
      <w:pPr>
        <w:pStyle w:val="Prrafodelista"/>
        <w:numPr>
          <w:ilvl w:val="0"/>
          <w:numId w:val="403"/>
        </w:numPr>
        <w:tabs>
          <w:tab w:val="left" w:pos="-2268"/>
        </w:tabs>
        <w:suppressAutoHyphens/>
        <w:ind w:left="1701" w:hanging="567"/>
        <w:rPr>
          <w:spacing w:val="-3"/>
          <w:lang w:val="es-CO"/>
        </w:rPr>
      </w:pPr>
      <w:r w:rsidRPr="00BD1319">
        <w:rPr>
          <w:spacing w:val="-3"/>
          <w:lang w:val="es-CO"/>
        </w:rPr>
        <w:t>Las muestras de los parámetros microbiológicos se deben tomar de forma puntual, en lo posible, en el centro del cauce o en la vertical asociada con el punto más profundo en la sección transversal.</w:t>
      </w:r>
    </w:p>
    <w:p w14:paraId="5BC7F78B" w14:textId="77777777" w:rsidR="004A1B3C" w:rsidRPr="00BD1319" w:rsidRDefault="004A1B3C" w:rsidP="00C86DA5">
      <w:pPr>
        <w:tabs>
          <w:tab w:val="left" w:pos="-2268"/>
        </w:tabs>
        <w:suppressAutoHyphens/>
        <w:rPr>
          <w:spacing w:val="-3"/>
        </w:rPr>
      </w:pPr>
    </w:p>
    <w:p w14:paraId="217068E3" w14:textId="77777777" w:rsidR="004A1B3C" w:rsidRPr="00BD1319" w:rsidRDefault="004A1B3C" w:rsidP="00C86DA5">
      <w:pPr>
        <w:tabs>
          <w:tab w:val="left" w:pos="-2268"/>
        </w:tabs>
        <w:suppressAutoHyphens/>
        <w:ind w:left="1134"/>
        <w:rPr>
          <w:spacing w:val="-3"/>
        </w:rPr>
      </w:pPr>
      <w:r w:rsidRPr="00BD1319">
        <w:rPr>
          <w:spacing w:val="-3"/>
        </w:rPr>
        <w:t>Para la toma de muestras siguiendo la misma masa de agua, se deben tener en cuenta los resultados obtenidos en el modelo de tiempos de viaje.</w:t>
      </w:r>
    </w:p>
    <w:p w14:paraId="70749AB0" w14:textId="77777777" w:rsidR="004A1B3C" w:rsidRPr="00BD1319" w:rsidRDefault="004A1B3C" w:rsidP="00C86DA5">
      <w:pPr>
        <w:tabs>
          <w:tab w:val="left" w:pos="-2268"/>
        </w:tabs>
        <w:suppressAutoHyphens/>
        <w:rPr>
          <w:spacing w:val="-3"/>
        </w:rPr>
      </w:pPr>
    </w:p>
    <w:p w14:paraId="445F440E" w14:textId="77777777" w:rsidR="004A1B3C" w:rsidRPr="00BD1319" w:rsidRDefault="004A1B3C" w:rsidP="00C86DA5">
      <w:pPr>
        <w:pStyle w:val="Prrafodelista"/>
        <w:numPr>
          <w:ilvl w:val="0"/>
          <w:numId w:val="402"/>
        </w:numPr>
        <w:tabs>
          <w:tab w:val="left" w:pos="-2268"/>
        </w:tabs>
        <w:suppressAutoHyphens/>
        <w:ind w:left="1134" w:hanging="567"/>
        <w:rPr>
          <w:spacing w:val="-3"/>
          <w:lang w:val="es-CO"/>
        </w:rPr>
      </w:pPr>
      <w:r w:rsidRPr="00BD1319">
        <w:rPr>
          <w:spacing w:val="-3"/>
          <w:lang w:val="es-CO"/>
        </w:rPr>
        <w:t>Para cuerpos lénticos:</w:t>
      </w:r>
    </w:p>
    <w:p w14:paraId="15C29924" w14:textId="77777777" w:rsidR="004A1B3C" w:rsidRPr="00BD1319" w:rsidRDefault="004A1B3C" w:rsidP="00C86DA5">
      <w:pPr>
        <w:tabs>
          <w:tab w:val="left" w:pos="-2268"/>
        </w:tabs>
        <w:suppressAutoHyphens/>
        <w:rPr>
          <w:spacing w:val="-3"/>
        </w:rPr>
      </w:pPr>
    </w:p>
    <w:p w14:paraId="6579BB90" w14:textId="77777777" w:rsidR="004A1B3C" w:rsidRPr="00BD1319" w:rsidRDefault="004A1B3C" w:rsidP="00C86DA5">
      <w:pPr>
        <w:pStyle w:val="Prrafodelista"/>
        <w:numPr>
          <w:ilvl w:val="0"/>
          <w:numId w:val="403"/>
        </w:numPr>
        <w:tabs>
          <w:tab w:val="left" w:pos="-2268"/>
        </w:tabs>
        <w:suppressAutoHyphens/>
        <w:ind w:left="1701" w:hanging="567"/>
        <w:rPr>
          <w:spacing w:val="-3"/>
          <w:lang w:val="es-CO"/>
        </w:rPr>
      </w:pPr>
      <w:r w:rsidRPr="00BD1319">
        <w:rPr>
          <w:spacing w:val="-3"/>
          <w:lang w:val="es-CO"/>
        </w:rPr>
        <w:t xml:space="preserve">Tomar una muestra integrada en la profundidad o varias puntuales representativas en la zona fótica y otras puntuales representativas de la zona afótica o el </w:t>
      </w:r>
      <w:proofErr w:type="spellStart"/>
      <w:r w:rsidRPr="00BD1319">
        <w:rPr>
          <w:spacing w:val="-3"/>
          <w:lang w:val="es-CO"/>
        </w:rPr>
        <w:t>hipolimnio</w:t>
      </w:r>
      <w:proofErr w:type="spellEnd"/>
      <w:r w:rsidRPr="00BD1319">
        <w:rPr>
          <w:spacing w:val="-3"/>
          <w:lang w:val="es-CO"/>
        </w:rPr>
        <w:t>, para su caracterización fisicoquímica, microbiológica e hidrobiológica (fitoplancton y zooplancton).</w:t>
      </w:r>
    </w:p>
    <w:p w14:paraId="0A1D7A14" w14:textId="77777777" w:rsidR="004A1B3C" w:rsidRPr="00BD1319" w:rsidRDefault="004A1B3C" w:rsidP="009420F5">
      <w:pPr>
        <w:tabs>
          <w:tab w:val="left" w:pos="-2268"/>
        </w:tabs>
        <w:suppressAutoHyphens/>
        <w:rPr>
          <w:spacing w:val="-3"/>
        </w:rPr>
      </w:pPr>
    </w:p>
    <w:p w14:paraId="27E100EC" w14:textId="77777777" w:rsidR="004A1B3C" w:rsidRPr="00BD1319" w:rsidRDefault="004A1B3C" w:rsidP="00C86DA5">
      <w:pPr>
        <w:pStyle w:val="Prrafodelista"/>
        <w:numPr>
          <w:ilvl w:val="0"/>
          <w:numId w:val="403"/>
        </w:numPr>
        <w:tabs>
          <w:tab w:val="left" w:pos="-2268"/>
        </w:tabs>
        <w:suppressAutoHyphens/>
        <w:ind w:left="1701" w:hanging="567"/>
        <w:rPr>
          <w:spacing w:val="-3"/>
          <w:lang w:val="es-CO"/>
        </w:rPr>
      </w:pPr>
      <w:r w:rsidRPr="00BD1319">
        <w:rPr>
          <w:spacing w:val="-3"/>
          <w:lang w:val="es-CO"/>
        </w:rPr>
        <w:t>Cuando haya captaciones de agua para consumo humano, se debe tomar y analizar una muestra puntual a la altura de cada captación.</w:t>
      </w:r>
    </w:p>
    <w:p w14:paraId="577197B4" w14:textId="77777777" w:rsidR="00A43243" w:rsidRPr="00BD1319" w:rsidRDefault="00A43243" w:rsidP="009420F5">
      <w:pPr>
        <w:rPr>
          <w:spacing w:val="-3"/>
        </w:rPr>
      </w:pPr>
    </w:p>
    <w:p w14:paraId="7DED254A" w14:textId="4B1F4F97" w:rsidR="004A1B3C" w:rsidRPr="00BD1319" w:rsidRDefault="004A1B3C" w:rsidP="00C86DA5">
      <w:pPr>
        <w:pStyle w:val="Prrafodelista"/>
        <w:numPr>
          <w:ilvl w:val="0"/>
          <w:numId w:val="403"/>
        </w:numPr>
        <w:tabs>
          <w:tab w:val="left" w:pos="-2268"/>
        </w:tabs>
        <w:suppressAutoHyphens/>
        <w:ind w:left="1701" w:hanging="567"/>
        <w:rPr>
          <w:spacing w:val="-3"/>
          <w:lang w:val="es-CO"/>
        </w:rPr>
      </w:pPr>
      <w:r w:rsidRPr="00BD1319">
        <w:rPr>
          <w:spacing w:val="-3"/>
          <w:lang w:val="es-CO"/>
        </w:rPr>
        <w:t xml:space="preserve">Se deben obtener los perfiles de temperatura, conductividad y de oxígeno disuelto en toda la profundidad con un equipo perfilador tipo CTD-O (Conductividad-Temperatura-Profundidad con sensor de oxígeno disuelto) o mediante un método alternativo, y a partir de dichos perfiles </w:t>
      </w:r>
      <w:r w:rsidR="003F4048" w:rsidRPr="00BD1319">
        <w:rPr>
          <w:spacing w:val="-3"/>
          <w:lang w:val="es-CO"/>
        </w:rPr>
        <w:t>s</w:t>
      </w:r>
      <w:r w:rsidRPr="00BD1319">
        <w:rPr>
          <w:spacing w:val="-3"/>
          <w:lang w:val="es-CO"/>
        </w:rPr>
        <w:t xml:space="preserve">e debe determinar la estratificación del cuerpo de agua (reportando, por ejemplo, el </w:t>
      </w:r>
      <w:proofErr w:type="spellStart"/>
      <w:r w:rsidRPr="00BD1319">
        <w:rPr>
          <w:spacing w:val="-3"/>
          <w:lang w:val="es-CO"/>
        </w:rPr>
        <w:t>epilimnio</w:t>
      </w:r>
      <w:proofErr w:type="spellEnd"/>
      <w:r w:rsidRPr="00BD1319">
        <w:rPr>
          <w:spacing w:val="-3"/>
          <w:lang w:val="es-CO"/>
        </w:rPr>
        <w:t xml:space="preserve">, el </w:t>
      </w:r>
      <w:proofErr w:type="spellStart"/>
      <w:r w:rsidRPr="00BD1319">
        <w:rPr>
          <w:spacing w:val="-3"/>
          <w:lang w:val="es-CO"/>
        </w:rPr>
        <w:t>mesolimnio</w:t>
      </w:r>
      <w:proofErr w:type="spellEnd"/>
      <w:r w:rsidRPr="00BD1319">
        <w:rPr>
          <w:spacing w:val="-3"/>
          <w:lang w:val="es-CO"/>
        </w:rPr>
        <w:t xml:space="preserve">, el </w:t>
      </w:r>
      <w:proofErr w:type="spellStart"/>
      <w:r w:rsidRPr="00BD1319">
        <w:rPr>
          <w:spacing w:val="-3"/>
          <w:lang w:val="es-CO"/>
        </w:rPr>
        <w:t>hipolimnio</w:t>
      </w:r>
      <w:proofErr w:type="spellEnd"/>
      <w:r w:rsidRPr="00BD1319">
        <w:rPr>
          <w:spacing w:val="-3"/>
          <w:lang w:val="es-CO"/>
        </w:rPr>
        <w:t xml:space="preserve"> y la termoclina).</w:t>
      </w:r>
    </w:p>
    <w:p w14:paraId="0DBC73A2" w14:textId="77777777" w:rsidR="004A1B3C" w:rsidRPr="00BD1319" w:rsidRDefault="004A1B3C" w:rsidP="009420F5">
      <w:pPr>
        <w:tabs>
          <w:tab w:val="left" w:pos="-2268"/>
        </w:tabs>
        <w:suppressAutoHyphens/>
        <w:rPr>
          <w:spacing w:val="-3"/>
        </w:rPr>
      </w:pPr>
    </w:p>
    <w:p w14:paraId="11ACC91F" w14:textId="77777777" w:rsidR="004A1B3C" w:rsidRPr="00BD1319" w:rsidRDefault="004A1B3C" w:rsidP="00C86DA5">
      <w:pPr>
        <w:pStyle w:val="Prrafodelista"/>
        <w:numPr>
          <w:ilvl w:val="0"/>
          <w:numId w:val="403"/>
        </w:numPr>
        <w:tabs>
          <w:tab w:val="left" w:pos="-2268"/>
        </w:tabs>
        <w:suppressAutoHyphens/>
        <w:ind w:left="1701" w:hanging="567"/>
        <w:rPr>
          <w:spacing w:val="-3"/>
          <w:lang w:val="es-CO"/>
        </w:rPr>
      </w:pPr>
      <w:r w:rsidRPr="00BD1319">
        <w:rPr>
          <w:spacing w:val="-3"/>
          <w:lang w:val="es-CO"/>
        </w:rPr>
        <w:t>Se debe estimar la profundidad de la zona fótica y reportar las profundidades de toma de las muestras en la zona fótica y afótica.</w:t>
      </w:r>
    </w:p>
    <w:p w14:paraId="2CAC77BD" w14:textId="77777777" w:rsidR="004A1B3C" w:rsidRPr="00BD1319" w:rsidRDefault="004A1B3C" w:rsidP="00C86DA5">
      <w:pPr>
        <w:tabs>
          <w:tab w:val="left" w:pos="-2268"/>
        </w:tabs>
        <w:suppressAutoHyphens/>
        <w:rPr>
          <w:spacing w:val="-3"/>
        </w:rPr>
      </w:pPr>
    </w:p>
    <w:p w14:paraId="6F7A6074" w14:textId="517A1491" w:rsidR="004A1B3C" w:rsidRPr="00BD1319" w:rsidRDefault="004A1B3C" w:rsidP="00C86DA5">
      <w:pPr>
        <w:tabs>
          <w:tab w:val="left" w:pos="-2268"/>
        </w:tabs>
        <w:suppressAutoHyphens/>
        <w:rPr>
          <w:spacing w:val="-3"/>
        </w:rPr>
      </w:pPr>
      <w:r w:rsidRPr="00BD1319">
        <w:rPr>
          <w:spacing w:val="-3"/>
        </w:rPr>
        <w:t>Las consideraciones para la model</w:t>
      </w:r>
      <w:r w:rsidR="00171DF2" w:rsidRPr="00BD1319">
        <w:rPr>
          <w:spacing w:val="-3"/>
        </w:rPr>
        <w:t>iz</w:t>
      </w:r>
      <w:r w:rsidRPr="00BD1319">
        <w:rPr>
          <w:spacing w:val="-3"/>
        </w:rPr>
        <w:t xml:space="preserve">ación de la capacidad de asimilación del cuerpo receptor frente a las descargas del agua residual producida por las </w:t>
      </w:r>
      <w:r w:rsidR="003D2F41" w:rsidRPr="00BD1319">
        <w:rPr>
          <w:spacing w:val="-3"/>
        </w:rPr>
        <w:t>actividades</w:t>
      </w:r>
      <w:r w:rsidRPr="00BD1319">
        <w:rPr>
          <w:spacing w:val="-3"/>
        </w:rPr>
        <w:t xml:space="preserve"> </w:t>
      </w:r>
      <w:r w:rsidRPr="00BD1319">
        <w:rPr>
          <w:rFonts w:cs="Arial"/>
          <w:spacing w:val="-3"/>
        </w:rPr>
        <w:t>están</w:t>
      </w:r>
      <w:r w:rsidRPr="00BD1319">
        <w:rPr>
          <w:spacing w:val="-3"/>
        </w:rPr>
        <w:t xml:space="preserve"> establecidas por Minambiente mediante la Guía </w:t>
      </w:r>
      <w:r w:rsidR="00A43243" w:rsidRPr="00BD1319">
        <w:rPr>
          <w:spacing w:val="-3"/>
        </w:rPr>
        <w:t>n</w:t>
      </w:r>
      <w:r w:rsidRPr="00BD1319">
        <w:rPr>
          <w:spacing w:val="-3"/>
        </w:rPr>
        <w:t xml:space="preserve">acional de </w:t>
      </w:r>
      <w:r w:rsidR="00A43243" w:rsidRPr="00BD1319">
        <w:rPr>
          <w:spacing w:val="-3"/>
        </w:rPr>
        <w:t>m</w:t>
      </w:r>
      <w:r w:rsidRPr="00BD1319">
        <w:rPr>
          <w:spacing w:val="-3"/>
        </w:rPr>
        <w:t xml:space="preserve">odelación del </w:t>
      </w:r>
      <w:r w:rsidR="00A43243" w:rsidRPr="00BD1319">
        <w:rPr>
          <w:spacing w:val="-3"/>
        </w:rPr>
        <w:t>r</w:t>
      </w:r>
      <w:r w:rsidRPr="00BD1319">
        <w:rPr>
          <w:spacing w:val="-3"/>
        </w:rPr>
        <w:t xml:space="preserve">ecurso </w:t>
      </w:r>
      <w:r w:rsidR="00A43243" w:rsidRPr="00BD1319">
        <w:rPr>
          <w:spacing w:val="-3"/>
        </w:rPr>
        <w:t>h</w:t>
      </w:r>
      <w:r w:rsidRPr="00BD1319">
        <w:rPr>
          <w:spacing w:val="-3"/>
        </w:rPr>
        <w:t>ídrico</w:t>
      </w:r>
      <w:r w:rsidRPr="00BD1319">
        <w:rPr>
          <w:rFonts w:cs="Arial"/>
          <w:spacing w:val="-3"/>
        </w:rPr>
        <w:t xml:space="preserve"> </w:t>
      </w:r>
      <w:r w:rsidR="000D11AE" w:rsidRPr="00BD1319">
        <w:rPr>
          <w:rFonts w:cs="Arial"/>
          <w:spacing w:val="-3"/>
        </w:rPr>
        <w:t xml:space="preserve">para aguas superficiales continentales </w:t>
      </w:r>
      <w:r w:rsidRPr="00BD1319">
        <w:rPr>
          <w:rFonts w:cs="Arial"/>
          <w:spacing w:val="-3"/>
        </w:rPr>
        <w:t>(2018)</w:t>
      </w:r>
      <w:r w:rsidR="001F5560" w:rsidRPr="00BD1319">
        <w:rPr>
          <w:rFonts w:cs="Arial"/>
          <w:spacing w:val="-3"/>
        </w:rPr>
        <w:t xml:space="preserve"> o su versión más reciente</w:t>
      </w:r>
      <w:r w:rsidRPr="00BD1319">
        <w:rPr>
          <w:rFonts w:cs="Arial"/>
          <w:spacing w:val="-3"/>
        </w:rPr>
        <w:t>.</w:t>
      </w:r>
    </w:p>
    <w:p w14:paraId="75FE6EA6" w14:textId="77777777" w:rsidR="004A1B3C" w:rsidRPr="00BD1319" w:rsidRDefault="004A1B3C">
      <w:pPr>
        <w:numPr>
          <w:ilvl w:val="12"/>
          <w:numId w:val="0"/>
        </w:numPr>
        <w:tabs>
          <w:tab w:val="left" w:pos="-2268"/>
        </w:tabs>
        <w:suppressAutoHyphens/>
        <w:rPr>
          <w:spacing w:val="-3"/>
        </w:rPr>
      </w:pPr>
    </w:p>
    <w:p w14:paraId="1A4554E3" w14:textId="61FAE973" w:rsidR="001F5560" w:rsidRPr="00BD1319" w:rsidRDefault="001F5560" w:rsidP="001F5560">
      <w:pPr>
        <w:tabs>
          <w:tab w:val="left" w:pos="-2268"/>
        </w:tabs>
        <w:suppressAutoHyphens/>
        <w:rPr>
          <w:rFonts w:cs="Arial"/>
          <w:spacing w:val="-3"/>
        </w:rPr>
      </w:pPr>
      <w:r w:rsidRPr="00BD1319">
        <w:rPr>
          <w:rFonts w:cs="Arial"/>
          <w:spacing w:val="-3"/>
        </w:rPr>
        <w:lastRenderedPageBreak/>
        <w:t xml:space="preserve">La información para la evaluación de los vertimientos generados por el proyecto, obra o actividad a cuerpos de agua o al suelo, debe contener como mínimo los requisitos establecidos en el artículo 2.2.3.3.5.3 del Decreto 1076 del 2015, y para vertimientos puntuales a cuerpos de agua, </w:t>
      </w:r>
      <w:r w:rsidR="003D5E7A" w:rsidRPr="00BD1319">
        <w:rPr>
          <w:rFonts w:cs="Arial"/>
          <w:spacing w:val="-3"/>
        </w:rPr>
        <w:t xml:space="preserve">se </w:t>
      </w:r>
      <w:r w:rsidRPr="00BD1319">
        <w:rPr>
          <w:rFonts w:cs="Arial"/>
          <w:spacing w:val="-3"/>
        </w:rPr>
        <w:t>debe tener en cuenta que cuando exista un P</w:t>
      </w:r>
      <w:r w:rsidR="003F4048" w:rsidRPr="00BD1319">
        <w:rPr>
          <w:rFonts w:cs="Arial"/>
          <w:spacing w:val="-3"/>
        </w:rPr>
        <w:t xml:space="preserve">ORH </w:t>
      </w:r>
      <w:r w:rsidRPr="00BD1319">
        <w:rPr>
          <w:rFonts w:cs="Arial"/>
          <w:spacing w:val="-3"/>
        </w:rPr>
        <w:t xml:space="preserve">adoptado o la </w:t>
      </w:r>
      <w:r w:rsidR="003F4048" w:rsidRPr="00BD1319">
        <w:rPr>
          <w:rFonts w:cs="Arial"/>
          <w:spacing w:val="-3"/>
        </w:rPr>
        <w:t>a</w:t>
      </w:r>
      <w:r w:rsidRPr="00BD1319">
        <w:rPr>
          <w:rFonts w:cs="Arial"/>
          <w:spacing w:val="-3"/>
        </w:rPr>
        <w:t xml:space="preserve">utoridad </w:t>
      </w:r>
      <w:r w:rsidR="003F4048" w:rsidRPr="00BD1319">
        <w:rPr>
          <w:rFonts w:cs="Arial"/>
          <w:spacing w:val="-3"/>
        </w:rPr>
        <w:t>a</w:t>
      </w:r>
      <w:r w:rsidRPr="00BD1319">
        <w:rPr>
          <w:rFonts w:cs="Arial"/>
          <w:spacing w:val="-3"/>
        </w:rPr>
        <w:t xml:space="preserve">mbiental competente cuente con un modelo regional de calidad del agua, la predicción del impacto del vertimiento la realizará dicha autoridad. </w:t>
      </w:r>
    </w:p>
    <w:p w14:paraId="70D6387E" w14:textId="77777777" w:rsidR="001F5560" w:rsidRPr="00BD1319" w:rsidRDefault="001F5560" w:rsidP="001F5560">
      <w:pPr>
        <w:tabs>
          <w:tab w:val="left" w:pos="-2268"/>
        </w:tabs>
        <w:suppressAutoHyphens/>
        <w:rPr>
          <w:rFonts w:cs="Arial"/>
          <w:spacing w:val="-3"/>
        </w:rPr>
      </w:pPr>
    </w:p>
    <w:p w14:paraId="6542242B" w14:textId="57A0A545" w:rsidR="001F5560" w:rsidRPr="00BD1319" w:rsidRDefault="001F5560" w:rsidP="001F5560">
      <w:pPr>
        <w:tabs>
          <w:tab w:val="left" w:pos="-2268"/>
        </w:tabs>
        <w:suppressAutoHyphens/>
        <w:rPr>
          <w:rFonts w:cs="Arial"/>
          <w:spacing w:val="-3"/>
        </w:rPr>
      </w:pPr>
      <w:r w:rsidRPr="00BD1319">
        <w:rPr>
          <w:rFonts w:cs="Arial"/>
          <w:spacing w:val="-3"/>
        </w:rPr>
        <w:t xml:space="preserve">Para los vertimientos generados por el proyecto, obra o actividad a suelos, se </w:t>
      </w:r>
      <w:r w:rsidR="003F4048" w:rsidRPr="00BD1319">
        <w:rPr>
          <w:rFonts w:cs="Arial"/>
          <w:spacing w:val="-3"/>
        </w:rPr>
        <w:t xml:space="preserve">debe </w:t>
      </w:r>
      <w:r w:rsidRPr="00BD1319">
        <w:rPr>
          <w:rFonts w:cs="Arial"/>
          <w:spacing w:val="-3"/>
        </w:rPr>
        <w:t xml:space="preserve">considerar su vocación conforme a lo dispuesto en los instrumentos de ordenamiento territorial y </w:t>
      </w:r>
      <w:r w:rsidR="003F4048" w:rsidRPr="00BD1319">
        <w:rPr>
          <w:rFonts w:cs="Arial"/>
          <w:spacing w:val="-3"/>
        </w:rPr>
        <w:t xml:space="preserve">en </w:t>
      </w:r>
      <w:r w:rsidRPr="00BD1319">
        <w:rPr>
          <w:rFonts w:cs="Arial"/>
          <w:spacing w:val="-3"/>
        </w:rPr>
        <w:t xml:space="preserve">los </w:t>
      </w:r>
      <w:r w:rsidR="003F4048" w:rsidRPr="00BD1319">
        <w:rPr>
          <w:rFonts w:cs="Arial"/>
          <w:spacing w:val="-3"/>
        </w:rPr>
        <w:t>p</w:t>
      </w:r>
      <w:r w:rsidRPr="00BD1319">
        <w:rPr>
          <w:rFonts w:cs="Arial"/>
          <w:spacing w:val="-3"/>
        </w:rPr>
        <w:t xml:space="preserve">lanes de </w:t>
      </w:r>
      <w:r w:rsidR="003F4048" w:rsidRPr="00BD1319">
        <w:rPr>
          <w:rFonts w:cs="Arial"/>
          <w:spacing w:val="-3"/>
        </w:rPr>
        <w:t>m</w:t>
      </w:r>
      <w:r w:rsidRPr="00BD1319">
        <w:rPr>
          <w:rFonts w:cs="Arial"/>
          <w:spacing w:val="-3"/>
        </w:rPr>
        <w:t xml:space="preserve">anejo </w:t>
      </w:r>
      <w:r w:rsidR="003F4048" w:rsidRPr="00BD1319">
        <w:rPr>
          <w:rFonts w:cs="Arial"/>
          <w:spacing w:val="-3"/>
        </w:rPr>
        <w:t>a</w:t>
      </w:r>
      <w:r w:rsidRPr="00BD1319">
        <w:rPr>
          <w:rFonts w:cs="Arial"/>
          <w:spacing w:val="-3"/>
        </w:rPr>
        <w:t xml:space="preserve">mbiental de </w:t>
      </w:r>
      <w:r w:rsidR="003F4048" w:rsidRPr="00BD1319">
        <w:rPr>
          <w:rFonts w:cs="Arial"/>
          <w:spacing w:val="-3"/>
        </w:rPr>
        <w:t>a</w:t>
      </w:r>
      <w:r w:rsidRPr="00BD1319">
        <w:rPr>
          <w:rFonts w:cs="Arial"/>
          <w:spacing w:val="-3"/>
        </w:rPr>
        <w:t>cuíferos. En caso de no existir dichos instrumentos</w:t>
      </w:r>
      <w:r w:rsidR="003F4048" w:rsidRPr="00BD1319">
        <w:rPr>
          <w:rFonts w:cs="Arial"/>
          <w:spacing w:val="-3"/>
        </w:rPr>
        <w:t>,</w:t>
      </w:r>
      <w:r w:rsidRPr="00BD1319">
        <w:rPr>
          <w:rFonts w:cs="Arial"/>
          <w:spacing w:val="-3"/>
        </w:rPr>
        <w:t xml:space="preserve"> la autoridad ambiental competente defin</w:t>
      </w:r>
      <w:r w:rsidR="003F4048" w:rsidRPr="00BD1319">
        <w:rPr>
          <w:rFonts w:cs="Arial"/>
          <w:spacing w:val="-3"/>
        </w:rPr>
        <w:t>e</w:t>
      </w:r>
      <w:r w:rsidRPr="00BD1319">
        <w:rPr>
          <w:rFonts w:cs="Arial"/>
          <w:spacing w:val="-3"/>
        </w:rPr>
        <w:t xml:space="preserve"> los términos y condiciones bajo los cuales se debe realizar la </w:t>
      </w:r>
      <w:r w:rsidR="00F61EA4" w:rsidRPr="00BD1319">
        <w:rPr>
          <w:rFonts w:cs="Arial"/>
          <w:spacing w:val="-3"/>
        </w:rPr>
        <w:t xml:space="preserve">determinación </w:t>
      </w:r>
      <w:r w:rsidRPr="00BD1319">
        <w:rPr>
          <w:rFonts w:cs="Arial"/>
          <w:spacing w:val="-3"/>
        </w:rPr>
        <w:t>de los impactos y la gestión ambiental de los mismos.</w:t>
      </w:r>
    </w:p>
    <w:p w14:paraId="60438B56" w14:textId="77777777" w:rsidR="001F5560" w:rsidRPr="00BD1319" w:rsidRDefault="001F5560">
      <w:pPr>
        <w:numPr>
          <w:ilvl w:val="12"/>
          <w:numId w:val="0"/>
        </w:numPr>
        <w:tabs>
          <w:tab w:val="left" w:pos="-2268"/>
        </w:tabs>
        <w:suppressAutoHyphens/>
        <w:rPr>
          <w:spacing w:val="-3"/>
        </w:rPr>
      </w:pPr>
    </w:p>
    <w:p w14:paraId="3CE7CE0A" w14:textId="088A4DF7" w:rsidR="004A1B3C" w:rsidRPr="00BD1319" w:rsidRDefault="004A1B3C" w:rsidP="0068149C">
      <w:pPr>
        <w:pStyle w:val="Ttulo2"/>
        <w:rPr>
          <w:lang w:val="es-CO"/>
        </w:rPr>
      </w:pPr>
      <w:bookmarkStart w:id="3101" w:name="_Toc393967345"/>
      <w:bookmarkStart w:id="3102" w:name="_Toc393464175"/>
      <w:bookmarkStart w:id="3103" w:name="_Toc405366862"/>
      <w:bookmarkStart w:id="3104" w:name="_Toc405372410"/>
      <w:bookmarkStart w:id="3105" w:name="_Toc412803206"/>
      <w:bookmarkStart w:id="3106" w:name="_Toc437936045"/>
      <w:bookmarkStart w:id="3107" w:name="_Toc42874875"/>
      <w:bookmarkStart w:id="3108" w:name="_Toc175326787"/>
      <w:r w:rsidRPr="00BD1319">
        <w:rPr>
          <w:lang w:val="es-CO"/>
        </w:rPr>
        <w:t>OCUPACIÓN DE CAUCE</w:t>
      </w:r>
      <w:bookmarkEnd w:id="3101"/>
      <w:bookmarkEnd w:id="3102"/>
      <w:bookmarkEnd w:id="3103"/>
      <w:bookmarkEnd w:id="3104"/>
      <w:bookmarkEnd w:id="3105"/>
      <w:bookmarkEnd w:id="3106"/>
      <w:r w:rsidRPr="00BD1319">
        <w:rPr>
          <w:lang w:val="es-CO"/>
        </w:rPr>
        <w:t>S, PLAYAS Y LECHOS</w:t>
      </w:r>
      <w:bookmarkEnd w:id="3107"/>
      <w:r w:rsidR="001F5560" w:rsidRPr="00BD1319">
        <w:rPr>
          <w:rStyle w:val="Refdenotaalpie"/>
          <w:lang w:val="es-CO"/>
        </w:rPr>
        <w:footnoteReference w:id="177"/>
      </w:r>
      <w:bookmarkEnd w:id="3108"/>
    </w:p>
    <w:p w14:paraId="23D839AA" w14:textId="77777777" w:rsidR="004A1B3C" w:rsidRPr="00BD1319" w:rsidRDefault="004A1B3C" w:rsidP="004A1B3C">
      <w:pPr>
        <w:numPr>
          <w:ilvl w:val="12"/>
          <w:numId w:val="0"/>
        </w:numPr>
        <w:tabs>
          <w:tab w:val="left" w:pos="-2268"/>
        </w:tabs>
        <w:suppressAutoHyphens/>
        <w:rPr>
          <w:rFonts w:cs="Arial"/>
          <w:spacing w:val="-3"/>
        </w:rPr>
      </w:pPr>
    </w:p>
    <w:p w14:paraId="701EDB5B" w14:textId="621ECAB7" w:rsidR="003B6E5C" w:rsidRPr="00BD1319" w:rsidRDefault="003B6E5C" w:rsidP="00C86DA5">
      <w:pPr>
        <w:tabs>
          <w:tab w:val="left" w:pos="-2268"/>
        </w:tabs>
        <w:suppressAutoHyphens/>
        <w:rPr>
          <w:spacing w:val="-3"/>
        </w:rPr>
      </w:pPr>
      <w:r w:rsidRPr="00BD1319">
        <w:rPr>
          <w:rFonts w:cs="Arial"/>
          <w:spacing w:val="-3"/>
        </w:rPr>
        <w:t>Para tener un mayor entendimiento</w:t>
      </w:r>
      <w:r w:rsidRPr="00BD1319">
        <w:rPr>
          <w:spacing w:val="-3"/>
        </w:rPr>
        <w:t xml:space="preserve"> de </w:t>
      </w:r>
      <w:r w:rsidRPr="00BD1319">
        <w:rPr>
          <w:rFonts w:cs="Arial"/>
          <w:spacing w:val="-3"/>
        </w:rPr>
        <w:t>la información a presentar para la obtención de este permiso</w:t>
      </w:r>
      <w:r w:rsidRPr="00BD1319">
        <w:rPr>
          <w:spacing w:val="-3"/>
        </w:rPr>
        <w:t xml:space="preserve">, se </w:t>
      </w:r>
      <w:r w:rsidR="001F5560" w:rsidRPr="00BD1319">
        <w:rPr>
          <w:rFonts w:cs="Arial"/>
          <w:spacing w:val="-3"/>
        </w:rPr>
        <w:t xml:space="preserve">deben dividir las ocupaciones </w:t>
      </w:r>
      <w:r w:rsidRPr="00BD1319">
        <w:rPr>
          <w:rFonts w:cs="Arial"/>
          <w:spacing w:val="-3"/>
        </w:rPr>
        <w:t xml:space="preserve">de cauce </w:t>
      </w:r>
      <w:r w:rsidR="002749DD" w:rsidRPr="00BD1319">
        <w:rPr>
          <w:rFonts w:cs="Arial"/>
          <w:spacing w:val="-3"/>
        </w:rPr>
        <w:t xml:space="preserve">según la dimensión de las obras </w:t>
      </w:r>
      <w:r w:rsidR="00845A02" w:rsidRPr="00BD1319">
        <w:rPr>
          <w:rFonts w:cs="Arial"/>
          <w:spacing w:val="-3"/>
        </w:rPr>
        <w:t xml:space="preserve">hidráulicas </w:t>
      </w:r>
      <w:r w:rsidR="002749DD" w:rsidRPr="00BD1319">
        <w:rPr>
          <w:rFonts w:cs="Arial"/>
          <w:spacing w:val="-3"/>
        </w:rPr>
        <w:t>a ejecutar, a saber,</w:t>
      </w:r>
      <w:r w:rsidRPr="00BD1319">
        <w:rPr>
          <w:rFonts w:cs="Arial"/>
          <w:spacing w:val="-3"/>
        </w:rPr>
        <w:t xml:space="preserve"> obras mayores y obras menores</w:t>
      </w:r>
      <w:r w:rsidR="00845A02" w:rsidRPr="00BD1319">
        <w:rPr>
          <w:rStyle w:val="Refdenotaalpie"/>
          <w:rFonts w:cs="Arial"/>
          <w:spacing w:val="-3"/>
          <w:lang w:val="es-CO"/>
        </w:rPr>
        <w:footnoteReference w:id="178"/>
      </w:r>
      <w:r w:rsidRPr="00BD1319">
        <w:rPr>
          <w:rFonts w:cs="Arial"/>
          <w:spacing w:val="-3"/>
        </w:rPr>
        <w:t xml:space="preserve">. Teniendo </w:t>
      </w:r>
      <w:r w:rsidRPr="00BD1319">
        <w:rPr>
          <w:spacing w:val="-3"/>
        </w:rPr>
        <w:t xml:space="preserve">en cuenta lo </w:t>
      </w:r>
      <w:r w:rsidRPr="00BD1319">
        <w:rPr>
          <w:rFonts w:cs="Arial"/>
          <w:spacing w:val="-3"/>
        </w:rPr>
        <w:t>anterior, cuándo</w:t>
      </w:r>
      <w:r w:rsidRPr="00BD1319">
        <w:rPr>
          <w:spacing w:val="-3"/>
        </w:rPr>
        <w:t xml:space="preserve"> el proyecto</w:t>
      </w:r>
      <w:r w:rsidR="00953BF3" w:rsidRPr="00BD1319">
        <w:rPr>
          <w:spacing w:val="-3"/>
        </w:rPr>
        <w:t>, obra o actividad</w:t>
      </w:r>
      <w:r w:rsidRPr="00BD1319">
        <w:rPr>
          <w:spacing w:val="-3"/>
        </w:rPr>
        <w:t xml:space="preserve"> requiera realizar ocupación de cauces</w:t>
      </w:r>
      <w:r w:rsidR="004770C9" w:rsidRPr="00BD1319">
        <w:rPr>
          <w:spacing w:val="-3"/>
        </w:rPr>
        <w:t xml:space="preserve"> (y su ronda de protección)</w:t>
      </w:r>
      <w:r w:rsidRPr="00BD1319">
        <w:rPr>
          <w:rFonts w:cs="Arial"/>
          <w:spacing w:val="-3"/>
        </w:rPr>
        <w:t xml:space="preserve">, playas o lechos en </w:t>
      </w:r>
      <w:r w:rsidRPr="00BD1319">
        <w:rPr>
          <w:spacing w:val="-3"/>
        </w:rPr>
        <w:t>cuerpos de agua</w:t>
      </w:r>
      <w:r w:rsidR="00195E7B" w:rsidRPr="00BD1319">
        <w:rPr>
          <w:spacing w:val="-3"/>
        </w:rPr>
        <w:t xml:space="preserve"> para la construcción de obras hidráulicas únicamente</w:t>
      </w:r>
      <w:r w:rsidRPr="00BD1319">
        <w:rPr>
          <w:spacing w:val="-3"/>
        </w:rPr>
        <w:t>, se debe</w:t>
      </w:r>
      <w:r w:rsidRPr="00BD1319">
        <w:rPr>
          <w:rFonts w:cs="Arial"/>
          <w:spacing w:val="-3"/>
        </w:rPr>
        <w:t xml:space="preserve"> presentar la siguiente información.</w:t>
      </w:r>
    </w:p>
    <w:p w14:paraId="734D6901" w14:textId="77777777" w:rsidR="004A1B3C" w:rsidRPr="00BD1319" w:rsidRDefault="004A1B3C">
      <w:pPr>
        <w:numPr>
          <w:ilvl w:val="12"/>
          <w:numId w:val="0"/>
        </w:numPr>
        <w:tabs>
          <w:tab w:val="left" w:pos="-2268"/>
        </w:tabs>
        <w:suppressAutoHyphens/>
        <w:rPr>
          <w:spacing w:val="-3"/>
        </w:rPr>
      </w:pPr>
    </w:p>
    <w:p w14:paraId="5444E4BC" w14:textId="1FA1A153" w:rsidR="00591A1D" w:rsidRPr="00BD1319" w:rsidRDefault="00591A1D" w:rsidP="00C86DA5">
      <w:pPr>
        <w:pStyle w:val="Prrafodelista"/>
        <w:numPr>
          <w:ilvl w:val="0"/>
          <w:numId w:val="5"/>
        </w:numPr>
        <w:tabs>
          <w:tab w:val="left" w:pos="-2268"/>
        </w:tabs>
        <w:suppressAutoHyphens/>
        <w:ind w:left="567" w:hanging="567"/>
        <w:rPr>
          <w:spacing w:val="-3"/>
          <w:lang w:val="es-CO"/>
        </w:rPr>
      </w:pPr>
      <w:r w:rsidRPr="00BD1319">
        <w:rPr>
          <w:spacing w:val="-3"/>
          <w:lang w:val="es-CO"/>
        </w:rPr>
        <w:t xml:space="preserve">La relacionada en el numeral </w:t>
      </w:r>
      <w:r w:rsidRPr="00BD1319">
        <w:rPr>
          <w:spacing w:val="-3"/>
          <w:lang w:val="es-CO"/>
        </w:rPr>
        <w:fldChar w:fldCharType="begin"/>
      </w:r>
      <w:r w:rsidRPr="00BD1319">
        <w:rPr>
          <w:spacing w:val="-3"/>
          <w:lang w:val="es-CO"/>
        </w:rPr>
        <w:instrText xml:space="preserve"> REF _Ref152580735 \r \h </w:instrText>
      </w:r>
      <w:r w:rsidR="00BD1319">
        <w:rPr>
          <w:spacing w:val="-3"/>
          <w:lang w:val="es-CO"/>
        </w:rPr>
        <w:instrText xml:space="preserve"> \* MERGEFORMAT </w:instrText>
      </w:r>
      <w:r w:rsidRPr="00BD1319">
        <w:rPr>
          <w:spacing w:val="-3"/>
          <w:lang w:val="es-CO"/>
        </w:rPr>
      </w:r>
      <w:r w:rsidRPr="00BD1319">
        <w:rPr>
          <w:spacing w:val="-3"/>
          <w:lang w:val="es-CO"/>
        </w:rPr>
        <w:fldChar w:fldCharType="separate"/>
      </w:r>
      <w:r w:rsidR="00296654" w:rsidRPr="00BD1319">
        <w:rPr>
          <w:spacing w:val="-3"/>
          <w:lang w:val="es-CO"/>
        </w:rPr>
        <w:t>4.1.4</w:t>
      </w:r>
      <w:r w:rsidRPr="00BD1319">
        <w:rPr>
          <w:spacing w:val="-3"/>
          <w:lang w:val="es-CO"/>
        </w:rPr>
        <w:fldChar w:fldCharType="end"/>
      </w:r>
      <w:r w:rsidRPr="00BD1319">
        <w:rPr>
          <w:spacing w:val="-3"/>
          <w:lang w:val="es-CO"/>
        </w:rPr>
        <w:t xml:space="preserve"> en cuanto caracterización hidrológica.</w:t>
      </w:r>
    </w:p>
    <w:p w14:paraId="76EC25CB" w14:textId="77777777" w:rsidR="00591A1D" w:rsidRPr="00BD1319" w:rsidRDefault="00591A1D" w:rsidP="000D6E21">
      <w:pPr>
        <w:tabs>
          <w:tab w:val="left" w:pos="-2268"/>
        </w:tabs>
        <w:suppressAutoHyphens/>
        <w:rPr>
          <w:spacing w:val="-3"/>
        </w:rPr>
      </w:pPr>
    </w:p>
    <w:p w14:paraId="7BC24C89" w14:textId="47F7A1D2" w:rsidR="004A1B3C" w:rsidRPr="00BD1319" w:rsidRDefault="00F26B48" w:rsidP="00C86DA5">
      <w:pPr>
        <w:pStyle w:val="Prrafodelista"/>
        <w:numPr>
          <w:ilvl w:val="0"/>
          <w:numId w:val="5"/>
        </w:numPr>
        <w:tabs>
          <w:tab w:val="left" w:pos="-2268"/>
        </w:tabs>
        <w:suppressAutoHyphens/>
        <w:ind w:left="567" w:hanging="567"/>
        <w:rPr>
          <w:spacing w:val="-3"/>
          <w:lang w:val="es-CO"/>
        </w:rPr>
      </w:pPr>
      <w:r w:rsidRPr="00BD1319">
        <w:rPr>
          <w:spacing w:val="-3"/>
          <w:lang w:val="es-CO"/>
        </w:rPr>
        <w:t>A</w:t>
      </w:r>
      <w:r w:rsidR="004A1B3C" w:rsidRPr="00BD1319">
        <w:rPr>
          <w:spacing w:val="-3"/>
          <w:lang w:val="es-CO"/>
        </w:rPr>
        <w:t xml:space="preserve">nálisis de frecuencia para caudales </w:t>
      </w:r>
      <w:r w:rsidR="004A1B3C" w:rsidRPr="00BD1319">
        <w:rPr>
          <w:rFonts w:cs="Arial"/>
          <w:spacing w:val="-3"/>
          <w:lang w:val="es-CO"/>
        </w:rPr>
        <w:t xml:space="preserve">medios y </w:t>
      </w:r>
      <w:r w:rsidR="004A1B3C" w:rsidRPr="00BD1319">
        <w:rPr>
          <w:spacing w:val="-3"/>
          <w:lang w:val="es-CO"/>
        </w:rPr>
        <w:t xml:space="preserve">máximos, justificándolos técnicamente mediante el uso de metodologías de valores extremos. </w:t>
      </w:r>
      <w:r w:rsidR="00591A1D" w:rsidRPr="00BD1319">
        <w:rPr>
          <w:spacing w:val="-3"/>
          <w:lang w:val="es-CO"/>
        </w:rPr>
        <w:t>Los períodos de retorno mínimos a considerar en caudales máximos deben ser, 2, 5, 10, 15, 25, 50 y 100 años.</w:t>
      </w:r>
    </w:p>
    <w:p w14:paraId="67FF29AA" w14:textId="77777777" w:rsidR="004A1B3C" w:rsidRPr="00BD1319" w:rsidRDefault="004A1B3C" w:rsidP="00C86DA5">
      <w:pPr>
        <w:pStyle w:val="Prrafodelista"/>
        <w:tabs>
          <w:tab w:val="left" w:pos="-2268"/>
        </w:tabs>
        <w:suppressAutoHyphens/>
        <w:ind w:left="567" w:hanging="567"/>
        <w:rPr>
          <w:spacing w:val="-3"/>
          <w:lang w:val="es-CO"/>
        </w:rPr>
      </w:pPr>
    </w:p>
    <w:p w14:paraId="42EE4F60" w14:textId="3DFA4DEF" w:rsidR="004A1B3C" w:rsidRPr="00BD1319" w:rsidRDefault="00F26B48" w:rsidP="00C86DA5">
      <w:pPr>
        <w:pStyle w:val="Prrafodelista"/>
        <w:numPr>
          <w:ilvl w:val="0"/>
          <w:numId w:val="5"/>
        </w:numPr>
        <w:tabs>
          <w:tab w:val="left" w:pos="-2268"/>
        </w:tabs>
        <w:suppressAutoHyphens/>
        <w:ind w:left="567" w:hanging="567"/>
        <w:rPr>
          <w:spacing w:val="-3"/>
          <w:lang w:val="es-CO"/>
        </w:rPr>
      </w:pPr>
      <w:r w:rsidRPr="00BD1319">
        <w:rPr>
          <w:spacing w:val="-3"/>
          <w:lang w:val="es-CO"/>
        </w:rPr>
        <w:t>U</w:t>
      </w:r>
      <w:r w:rsidR="004A1B3C" w:rsidRPr="00BD1319">
        <w:rPr>
          <w:spacing w:val="-3"/>
          <w:lang w:val="es-CO"/>
        </w:rPr>
        <w:t>bicación georreferenciada de los tramos donde se implementarán las obras</w:t>
      </w:r>
      <w:r w:rsidR="00591A1D" w:rsidRPr="00BD1319">
        <w:rPr>
          <w:spacing w:val="-3"/>
          <w:lang w:val="es-CO"/>
        </w:rPr>
        <w:t>, de acuerdo con lo establecido en el MAG vigente</w:t>
      </w:r>
      <w:r w:rsidR="004A1B3C" w:rsidRPr="00BD1319">
        <w:rPr>
          <w:spacing w:val="-3"/>
          <w:lang w:val="es-CO"/>
        </w:rPr>
        <w:t>.</w:t>
      </w:r>
    </w:p>
    <w:p w14:paraId="4B67EFF0" w14:textId="77777777" w:rsidR="004A1B3C" w:rsidRPr="00BD1319" w:rsidRDefault="004A1B3C" w:rsidP="00C86DA5">
      <w:pPr>
        <w:pStyle w:val="Prrafodelista"/>
        <w:tabs>
          <w:tab w:val="left" w:pos="-2268"/>
        </w:tabs>
        <w:suppressAutoHyphens/>
        <w:ind w:left="567" w:hanging="567"/>
        <w:rPr>
          <w:spacing w:val="-3"/>
          <w:lang w:val="es-CO"/>
        </w:rPr>
      </w:pPr>
    </w:p>
    <w:p w14:paraId="6D6CB0C3" w14:textId="6567996D" w:rsidR="004A1B3C" w:rsidRPr="00BD1319" w:rsidRDefault="00F26B48" w:rsidP="00A43243">
      <w:pPr>
        <w:pStyle w:val="Prrafodelista"/>
        <w:numPr>
          <w:ilvl w:val="0"/>
          <w:numId w:val="5"/>
        </w:numPr>
        <w:tabs>
          <w:tab w:val="left" w:pos="-2268"/>
        </w:tabs>
        <w:suppressAutoHyphens/>
        <w:ind w:left="567" w:hanging="567"/>
        <w:rPr>
          <w:rFonts w:cs="Arial"/>
          <w:spacing w:val="-3"/>
          <w:lang w:val="es-CO"/>
        </w:rPr>
      </w:pPr>
      <w:r w:rsidRPr="00BD1319">
        <w:rPr>
          <w:rFonts w:cs="Arial"/>
          <w:spacing w:val="-3"/>
          <w:lang w:val="es-CO"/>
        </w:rPr>
        <w:t>L</w:t>
      </w:r>
      <w:r w:rsidR="004A1B3C" w:rsidRPr="00BD1319">
        <w:rPr>
          <w:rFonts w:cs="Arial"/>
          <w:spacing w:val="-3"/>
          <w:lang w:val="es-CO"/>
        </w:rPr>
        <w:t>a relacionada en la siguiente tabla</w:t>
      </w:r>
      <w:r w:rsidRPr="00BD1319">
        <w:rPr>
          <w:rFonts w:cs="Arial"/>
          <w:spacing w:val="-3"/>
          <w:lang w:val="es-CO"/>
        </w:rPr>
        <w:t>, teniendo en cuenta el tipo de obra a realizar</w:t>
      </w:r>
      <w:r w:rsidR="004A1B3C" w:rsidRPr="00BD1319">
        <w:rPr>
          <w:rFonts w:cs="Arial"/>
          <w:spacing w:val="-3"/>
          <w:lang w:val="es-CO"/>
        </w:rPr>
        <w:t>:</w:t>
      </w:r>
    </w:p>
    <w:p w14:paraId="09261D12" w14:textId="77777777" w:rsidR="004A1B3C" w:rsidRPr="00BD1319" w:rsidRDefault="004A1B3C" w:rsidP="009420F5">
      <w:pPr>
        <w:tabs>
          <w:tab w:val="left" w:pos="-2268"/>
        </w:tabs>
        <w:suppressAutoHyphens/>
        <w:rPr>
          <w:rFonts w:cs="Arial"/>
          <w:spacing w:val="-3"/>
        </w:rPr>
      </w:pPr>
    </w:p>
    <w:p w14:paraId="1635FEAD" w14:textId="0EA59876" w:rsidR="004A1B3C" w:rsidRPr="00BD1319" w:rsidRDefault="004A1B3C" w:rsidP="004A1B3C">
      <w:pPr>
        <w:pStyle w:val="Descripcin"/>
        <w:keepNext/>
        <w:jc w:val="center"/>
        <w:rPr>
          <w:rFonts w:cs="Arial"/>
          <w:b w:val="0"/>
          <w:spacing w:val="-3"/>
        </w:rPr>
      </w:pPr>
      <w:r w:rsidRPr="00BD1319">
        <w:rPr>
          <w:rFonts w:cs="Arial"/>
        </w:rPr>
        <w:t xml:space="preserve">Tabla </w:t>
      </w:r>
      <w:r w:rsidRPr="00BD1319">
        <w:rPr>
          <w:rFonts w:cs="Arial"/>
        </w:rPr>
        <w:fldChar w:fldCharType="begin"/>
      </w:r>
      <w:r w:rsidRPr="00BD1319">
        <w:rPr>
          <w:rFonts w:cs="Arial"/>
        </w:rPr>
        <w:instrText xml:space="preserve"> SEQ Tabla \* ARABIC </w:instrText>
      </w:r>
      <w:r w:rsidRPr="00BD1319">
        <w:rPr>
          <w:rFonts w:cs="Arial"/>
        </w:rPr>
        <w:fldChar w:fldCharType="separate"/>
      </w:r>
      <w:r w:rsidR="00296654" w:rsidRPr="00BD1319">
        <w:rPr>
          <w:rFonts w:cs="Arial"/>
          <w:noProof/>
        </w:rPr>
        <w:t>30</w:t>
      </w:r>
      <w:r w:rsidRPr="00BD1319">
        <w:rPr>
          <w:rFonts w:cs="Arial"/>
        </w:rPr>
        <w:fldChar w:fldCharType="end"/>
      </w:r>
      <w:r w:rsidR="00A43243" w:rsidRPr="00BD1319">
        <w:rPr>
          <w:rFonts w:cs="Arial"/>
        </w:rPr>
        <w:t>.</w:t>
      </w:r>
      <w:r w:rsidRPr="00BD1319">
        <w:rPr>
          <w:rFonts w:cs="Arial"/>
          <w:b w:val="0"/>
          <w:spacing w:val="-3"/>
        </w:rPr>
        <w:t xml:space="preserve"> Información </w:t>
      </w:r>
      <w:r w:rsidR="00262C6C" w:rsidRPr="00BD1319">
        <w:rPr>
          <w:rFonts w:cs="Arial"/>
          <w:b w:val="0"/>
          <w:spacing w:val="-3"/>
        </w:rPr>
        <w:t>por</w:t>
      </w:r>
      <w:r w:rsidRPr="00BD1319">
        <w:rPr>
          <w:rFonts w:cs="Arial"/>
          <w:b w:val="0"/>
          <w:spacing w:val="-3"/>
        </w:rPr>
        <w:t xml:space="preserve"> presentar de acuerdo con el tipo de obra a construir</w:t>
      </w:r>
      <w:r w:rsidR="00B0379E" w:rsidRPr="00BD1319">
        <w:rPr>
          <w:rFonts w:cs="Arial"/>
          <w:b w:val="0"/>
          <w:spacing w:val="-3"/>
        </w:rPr>
        <w:t>.</w:t>
      </w:r>
    </w:p>
    <w:tbl>
      <w:tblPr>
        <w:tblStyle w:val="Tablaconcuadrcula"/>
        <w:tblW w:w="0" w:type="auto"/>
        <w:tblLook w:val="04A0" w:firstRow="1" w:lastRow="0" w:firstColumn="1" w:lastColumn="0" w:noHBand="0" w:noVBand="1"/>
      </w:tblPr>
      <w:tblGrid>
        <w:gridCol w:w="4698"/>
        <w:gridCol w:w="4699"/>
      </w:tblGrid>
      <w:tr w:rsidR="004A1B3C" w:rsidRPr="00BD1319" w14:paraId="498F810E" w14:textId="77777777" w:rsidTr="00C86DA5">
        <w:trPr>
          <w:trHeight w:val="587"/>
          <w:tblHeader/>
        </w:trPr>
        <w:tc>
          <w:tcPr>
            <w:tcW w:w="4698" w:type="dxa"/>
            <w:shd w:val="clear" w:color="auto" w:fill="auto"/>
            <w:vAlign w:val="center"/>
          </w:tcPr>
          <w:p w14:paraId="30780319" w14:textId="34ACE319" w:rsidR="004A1B3C" w:rsidRPr="00BD1319" w:rsidRDefault="00A43243" w:rsidP="00BA45DD">
            <w:pPr>
              <w:tabs>
                <w:tab w:val="left" w:pos="-2268"/>
              </w:tabs>
              <w:suppressAutoHyphens/>
              <w:jc w:val="center"/>
              <w:rPr>
                <w:rFonts w:cs="Arial"/>
                <w:b/>
                <w:spacing w:val="-3"/>
                <w:sz w:val="22"/>
                <w:szCs w:val="22"/>
              </w:rPr>
            </w:pPr>
            <w:r w:rsidRPr="00BD1319">
              <w:rPr>
                <w:rFonts w:cs="Arial"/>
                <w:b/>
                <w:spacing w:val="-3"/>
                <w:sz w:val="22"/>
                <w:szCs w:val="22"/>
              </w:rPr>
              <w:t>Para obras mayores</w:t>
            </w:r>
          </w:p>
        </w:tc>
        <w:tc>
          <w:tcPr>
            <w:tcW w:w="4699" w:type="dxa"/>
            <w:shd w:val="clear" w:color="auto" w:fill="auto"/>
            <w:vAlign w:val="center"/>
          </w:tcPr>
          <w:p w14:paraId="071B9E2B" w14:textId="446A1368" w:rsidR="004A1B3C" w:rsidRPr="00BD1319" w:rsidRDefault="00A43243" w:rsidP="00BA45DD">
            <w:pPr>
              <w:tabs>
                <w:tab w:val="left" w:pos="-2268"/>
              </w:tabs>
              <w:suppressAutoHyphens/>
              <w:jc w:val="center"/>
              <w:rPr>
                <w:rFonts w:cs="Arial"/>
                <w:b/>
                <w:spacing w:val="-3"/>
                <w:sz w:val="22"/>
                <w:szCs w:val="22"/>
              </w:rPr>
            </w:pPr>
            <w:r w:rsidRPr="00BD1319">
              <w:rPr>
                <w:rFonts w:cs="Arial"/>
                <w:b/>
                <w:spacing w:val="-3"/>
                <w:sz w:val="22"/>
                <w:szCs w:val="22"/>
              </w:rPr>
              <w:t>Para obras menores</w:t>
            </w:r>
          </w:p>
        </w:tc>
      </w:tr>
      <w:tr w:rsidR="004A1B3C" w:rsidRPr="00BD1319" w14:paraId="024F7FEC" w14:textId="77777777" w:rsidTr="00BA45DD">
        <w:tc>
          <w:tcPr>
            <w:tcW w:w="4698" w:type="dxa"/>
            <w:vAlign w:val="center"/>
          </w:tcPr>
          <w:p w14:paraId="2156E116" w14:textId="21194997" w:rsidR="004A1B3C" w:rsidRPr="00BD1319" w:rsidRDefault="00F26B48">
            <w:pPr>
              <w:tabs>
                <w:tab w:val="left" w:pos="-2268"/>
              </w:tabs>
              <w:suppressAutoHyphens/>
              <w:rPr>
                <w:rFonts w:cs="Arial"/>
                <w:spacing w:val="-3"/>
                <w:sz w:val="22"/>
                <w:szCs w:val="22"/>
              </w:rPr>
            </w:pPr>
            <w:r w:rsidRPr="00BD1319">
              <w:rPr>
                <w:rFonts w:cs="Arial"/>
                <w:spacing w:val="-3"/>
                <w:sz w:val="22"/>
                <w:szCs w:val="22"/>
              </w:rPr>
              <w:t>S</w:t>
            </w:r>
            <w:r w:rsidR="004A1B3C" w:rsidRPr="00BD1319">
              <w:rPr>
                <w:rFonts w:cs="Arial"/>
                <w:spacing w:val="-3"/>
                <w:sz w:val="22"/>
                <w:szCs w:val="22"/>
              </w:rPr>
              <w:t xml:space="preserve">ección topo-batimétrica, aguas arriba y aguas abajo de </w:t>
            </w:r>
            <w:r w:rsidRPr="00BD1319">
              <w:rPr>
                <w:rFonts w:cs="Arial"/>
                <w:spacing w:val="-3"/>
                <w:sz w:val="22"/>
                <w:szCs w:val="22"/>
              </w:rPr>
              <w:t xml:space="preserve">la </w:t>
            </w:r>
            <w:r w:rsidR="004A1B3C" w:rsidRPr="00BD1319">
              <w:rPr>
                <w:rFonts w:cs="Arial"/>
                <w:spacing w:val="-3"/>
                <w:sz w:val="22"/>
                <w:szCs w:val="22"/>
              </w:rPr>
              <w:t>ocupación, incluyendo la llanura inundable</w:t>
            </w:r>
            <w:r w:rsidR="008D3F9A" w:rsidRPr="00BD1319">
              <w:rPr>
                <w:rFonts w:cs="Arial"/>
                <w:spacing w:val="-3"/>
                <w:sz w:val="22"/>
                <w:szCs w:val="22"/>
              </w:rPr>
              <w:t xml:space="preserve"> y aforo de caudal</w:t>
            </w:r>
            <w:r w:rsidR="004A1B3C" w:rsidRPr="00BD1319">
              <w:rPr>
                <w:rFonts w:cs="Arial"/>
                <w:spacing w:val="-3"/>
                <w:sz w:val="22"/>
                <w:szCs w:val="22"/>
              </w:rPr>
              <w:t>.</w:t>
            </w:r>
          </w:p>
        </w:tc>
        <w:tc>
          <w:tcPr>
            <w:tcW w:w="4699" w:type="dxa"/>
            <w:vAlign w:val="center"/>
          </w:tcPr>
          <w:p w14:paraId="1D05CB28" w14:textId="19E7A68D" w:rsidR="004A1B3C" w:rsidRPr="00BD1319" w:rsidRDefault="00F26B48">
            <w:pPr>
              <w:tabs>
                <w:tab w:val="left" w:pos="-2268"/>
              </w:tabs>
              <w:suppressAutoHyphens/>
              <w:rPr>
                <w:rFonts w:cs="Arial"/>
                <w:spacing w:val="-3"/>
                <w:sz w:val="22"/>
                <w:szCs w:val="22"/>
              </w:rPr>
            </w:pPr>
            <w:r w:rsidRPr="00BD1319">
              <w:rPr>
                <w:rFonts w:cs="Arial"/>
                <w:spacing w:val="-3"/>
                <w:sz w:val="22"/>
                <w:szCs w:val="22"/>
              </w:rPr>
              <w:t>S</w:t>
            </w:r>
            <w:r w:rsidR="004A1B3C" w:rsidRPr="00BD1319">
              <w:rPr>
                <w:rFonts w:cs="Arial"/>
                <w:spacing w:val="-3"/>
                <w:sz w:val="22"/>
                <w:szCs w:val="22"/>
              </w:rPr>
              <w:t xml:space="preserve">ección representativa (teniendo en cuenta ancho y profundidad del cauce a intervenir) aguas arriba y aguas </w:t>
            </w:r>
            <w:r w:rsidRPr="00BD1319">
              <w:rPr>
                <w:rFonts w:cs="Arial"/>
                <w:spacing w:val="-3"/>
                <w:sz w:val="22"/>
                <w:szCs w:val="22"/>
              </w:rPr>
              <w:t>a</w:t>
            </w:r>
            <w:r w:rsidR="004A1B3C" w:rsidRPr="00BD1319">
              <w:rPr>
                <w:rFonts w:cs="Arial"/>
                <w:spacing w:val="-3"/>
                <w:sz w:val="22"/>
                <w:szCs w:val="22"/>
              </w:rPr>
              <w:t>bajo de dicha ocupación</w:t>
            </w:r>
            <w:r w:rsidR="008D3F9A" w:rsidRPr="00BD1319">
              <w:rPr>
                <w:rFonts w:cs="Arial"/>
                <w:spacing w:val="-3"/>
                <w:sz w:val="22"/>
                <w:szCs w:val="22"/>
              </w:rPr>
              <w:t xml:space="preserve"> y aforo de caudal</w:t>
            </w:r>
            <w:r w:rsidR="004A1B3C" w:rsidRPr="00BD1319">
              <w:rPr>
                <w:rFonts w:cs="Arial"/>
                <w:spacing w:val="-3"/>
                <w:sz w:val="22"/>
                <w:szCs w:val="22"/>
              </w:rPr>
              <w:t>.</w:t>
            </w:r>
          </w:p>
        </w:tc>
      </w:tr>
      <w:tr w:rsidR="004A1B3C" w:rsidRPr="00BD1319" w14:paraId="3EFC6FFE" w14:textId="77777777" w:rsidTr="00BA45DD">
        <w:tc>
          <w:tcPr>
            <w:tcW w:w="4698" w:type="dxa"/>
            <w:vAlign w:val="center"/>
          </w:tcPr>
          <w:p w14:paraId="3EEB31AA" w14:textId="456060D9" w:rsidR="004A1B3C" w:rsidRPr="00BD1319" w:rsidRDefault="00F26B48">
            <w:pPr>
              <w:tabs>
                <w:tab w:val="left" w:pos="-2268"/>
              </w:tabs>
              <w:suppressAutoHyphens/>
              <w:rPr>
                <w:rFonts w:cs="Arial"/>
                <w:spacing w:val="-3"/>
                <w:sz w:val="22"/>
                <w:szCs w:val="22"/>
              </w:rPr>
            </w:pPr>
            <w:r w:rsidRPr="00BD1319">
              <w:rPr>
                <w:rFonts w:cs="Arial"/>
                <w:spacing w:val="-3"/>
                <w:sz w:val="22"/>
                <w:szCs w:val="22"/>
              </w:rPr>
              <w:t>E</w:t>
            </w:r>
            <w:r w:rsidR="004A1B3C" w:rsidRPr="00BD1319">
              <w:rPr>
                <w:rFonts w:cs="Arial"/>
                <w:spacing w:val="-3"/>
                <w:sz w:val="22"/>
                <w:szCs w:val="22"/>
              </w:rPr>
              <w:t>studio de dinámica fluvial que contenga estudios hidráulicos</w:t>
            </w:r>
            <w:r w:rsidR="008D3F9A" w:rsidRPr="00BD1319">
              <w:rPr>
                <w:rFonts w:cs="Arial"/>
                <w:spacing w:val="-3"/>
                <w:sz w:val="22"/>
                <w:szCs w:val="22"/>
              </w:rPr>
              <w:t xml:space="preserve"> (modelización hidráulica)</w:t>
            </w:r>
            <w:r w:rsidR="004A1B3C" w:rsidRPr="00BD1319">
              <w:rPr>
                <w:rFonts w:cs="Arial"/>
                <w:spacing w:val="-3"/>
                <w:sz w:val="22"/>
                <w:szCs w:val="22"/>
              </w:rPr>
              <w:t>, hidrológicos, sedimentológicos (</w:t>
            </w:r>
            <w:r w:rsidR="008D3F9A" w:rsidRPr="00BD1319">
              <w:rPr>
                <w:rFonts w:cs="Arial"/>
                <w:spacing w:val="-3"/>
                <w:sz w:val="22"/>
                <w:szCs w:val="22"/>
              </w:rPr>
              <w:t xml:space="preserve">profundidades de socavación y </w:t>
            </w:r>
            <w:r w:rsidR="004A1B3C" w:rsidRPr="00BD1319">
              <w:rPr>
                <w:rFonts w:cs="Arial"/>
                <w:spacing w:val="-3"/>
                <w:sz w:val="22"/>
                <w:szCs w:val="22"/>
              </w:rPr>
              <w:t>model</w:t>
            </w:r>
            <w:r w:rsidRPr="00BD1319">
              <w:rPr>
                <w:rFonts w:cs="Arial"/>
                <w:spacing w:val="-3"/>
                <w:sz w:val="22"/>
                <w:szCs w:val="22"/>
              </w:rPr>
              <w:t>iz</w:t>
            </w:r>
            <w:r w:rsidR="004A1B3C" w:rsidRPr="00BD1319">
              <w:rPr>
                <w:rFonts w:cs="Arial"/>
                <w:spacing w:val="-3"/>
                <w:sz w:val="22"/>
                <w:szCs w:val="22"/>
              </w:rPr>
              <w:t xml:space="preserve">ación de transporte de sedimentos), geológicos y geomorfológicos (asociados </w:t>
            </w:r>
            <w:r w:rsidR="008D3F9A" w:rsidRPr="00BD1319">
              <w:rPr>
                <w:rFonts w:cs="Arial"/>
                <w:spacing w:val="-3"/>
                <w:sz w:val="22"/>
                <w:szCs w:val="22"/>
              </w:rPr>
              <w:t xml:space="preserve">al cauce y </w:t>
            </w:r>
            <w:r w:rsidR="004A1B3C" w:rsidRPr="00BD1319">
              <w:rPr>
                <w:rFonts w:cs="Arial"/>
                <w:spacing w:val="-3"/>
                <w:sz w:val="22"/>
                <w:szCs w:val="22"/>
              </w:rPr>
              <w:t xml:space="preserve">a la llanura de inundación establecida en el </w:t>
            </w:r>
            <w:r w:rsidRPr="00BD1319">
              <w:rPr>
                <w:rFonts w:cs="Arial"/>
                <w:spacing w:val="-3"/>
                <w:sz w:val="22"/>
                <w:szCs w:val="22"/>
              </w:rPr>
              <w:t xml:space="preserve">punto </w:t>
            </w:r>
            <w:r w:rsidR="004A1B3C" w:rsidRPr="00BD1319">
              <w:rPr>
                <w:rFonts w:cs="Arial"/>
                <w:spacing w:val="-3"/>
                <w:sz w:val="22"/>
                <w:szCs w:val="22"/>
              </w:rPr>
              <w:t>anterior</w:t>
            </w:r>
            <w:r w:rsidR="008D3F9A" w:rsidRPr="00BD1319">
              <w:rPr>
                <w:rFonts w:cs="Arial"/>
                <w:spacing w:val="-3"/>
                <w:sz w:val="22"/>
                <w:szCs w:val="22"/>
              </w:rPr>
              <w:t xml:space="preserve"> para diferentes épocas representativas</w:t>
            </w:r>
            <w:r w:rsidR="004A1B3C" w:rsidRPr="00BD1319">
              <w:rPr>
                <w:rFonts w:cs="Arial"/>
                <w:spacing w:val="-3"/>
                <w:sz w:val="22"/>
                <w:szCs w:val="22"/>
              </w:rPr>
              <w:t>), asociados al tramo de obra a diseñar, incluyendo niveles y áreas de inundación para diferentes escenarios hidrológicos.</w:t>
            </w:r>
            <w:r w:rsidR="008D3F9A" w:rsidRPr="00BD1319">
              <w:rPr>
                <w:rFonts w:cs="Arial"/>
                <w:spacing w:val="-3"/>
                <w:sz w:val="22"/>
                <w:szCs w:val="22"/>
              </w:rPr>
              <w:t xml:space="preserve"> Se deben comparar las condiciones con y sin proyecto.</w:t>
            </w:r>
          </w:p>
        </w:tc>
        <w:tc>
          <w:tcPr>
            <w:tcW w:w="4699" w:type="dxa"/>
            <w:vAlign w:val="center"/>
          </w:tcPr>
          <w:p w14:paraId="5FDD11B0" w14:textId="49B3BFBD" w:rsidR="004A1B3C" w:rsidRPr="00BD1319" w:rsidRDefault="00F26B48">
            <w:pPr>
              <w:tabs>
                <w:tab w:val="left" w:pos="-2268"/>
              </w:tabs>
              <w:suppressAutoHyphens/>
              <w:rPr>
                <w:rFonts w:cs="Arial"/>
                <w:spacing w:val="-3"/>
                <w:sz w:val="22"/>
                <w:szCs w:val="22"/>
              </w:rPr>
            </w:pPr>
            <w:r w:rsidRPr="00BD1319">
              <w:rPr>
                <w:rFonts w:cs="Arial"/>
                <w:spacing w:val="-3"/>
                <w:sz w:val="22"/>
                <w:szCs w:val="22"/>
              </w:rPr>
              <w:t>E</w:t>
            </w:r>
            <w:r w:rsidR="004A1B3C" w:rsidRPr="00BD1319">
              <w:rPr>
                <w:rFonts w:cs="Arial"/>
                <w:spacing w:val="-3"/>
                <w:sz w:val="22"/>
                <w:szCs w:val="22"/>
              </w:rPr>
              <w:t xml:space="preserve">studio de dinámica fluvial que contenga estudios hidrológicos, </w:t>
            </w:r>
            <w:r w:rsidR="008D3F9A" w:rsidRPr="00BD1319">
              <w:rPr>
                <w:rFonts w:cs="Arial"/>
                <w:spacing w:val="-3"/>
                <w:sz w:val="22"/>
                <w:szCs w:val="22"/>
              </w:rPr>
              <w:t xml:space="preserve">análisis hidráulicos, </w:t>
            </w:r>
            <w:r w:rsidR="001F5560" w:rsidRPr="00BD1319">
              <w:rPr>
                <w:rFonts w:cs="Arial"/>
                <w:spacing w:val="-3"/>
                <w:sz w:val="22"/>
                <w:szCs w:val="22"/>
              </w:rPr>
              <w:t xml:space="preserve">de socavación </w:t>
            </w:r>
            <w:r w:rsidR="004A1B3C" w:rsidRPr="00BD1319">
              <w:rPr>
                <w:rFonts w:cs="Arial"/>
                <w:spacing w:val="-3"/>
                <w:sz w:val="22"/>
                <w:szCs w:val="22"/>
              </w:rPr>
              <w:t xml:space="preserve">y geomorfológicos, asociados al tramo de </w:t>
            </w:r>
            <w:r w:rsidRPr="00BD1319">
              <w:rPr>
                <w:rFonts w:cs="Arial"/>
                <w:spacing w:val="-3"/>
                <w:sz w:val="22"/>
                <w:szCs w:val="22"/>
              </w:rPr>
              <w:t xml:space="preserve">la </w:t>
            </w:r>
            <w:r w:rsidR="004A1B3C" w:rsidRPr="00BD1319">
              <w:rPr>
                <w:rFonts w:cs="Arial"/>
                <w:spacing w:val="-3"/>
                <w:sz w:val="22"/>
                <w:szCs w:val="22"/>
              </w:rPr>
              <w:t xml:space="preserve">obra, incluyendo niveles y áreas de inundación </w:t>
            </w:r>
            <w:r w:rsidR="001F5560" w:rsidRPr="00BD1319">
              <w:rPr>
                <w:rFonts w:cs="Arial"/>
                <w:spacing w:val="-3"/>
                <w:sz w:val="22"/>
                <w:szCs w:val="22"/>
              </w:rPr>
              <w:t xml:space="preserve">y profundidades de socavación </w:t>
            </w:r>
            <w:r w:rsidR="004A1B3C" w:rsidRPr="00BD1319">
              <w:rPr>
                <w:rFonts w:cs="Arial"/>
                <w:spacing w:val="-3"/>
                <w:sz w:val="22"/>
                <w:szCs w:val="22"/>
              </w:rPr>
              <w:t>para diferentes escenarios hidrológicos</w:t>
            </w:r>
            <w:r w:rsidR="008D3F9A" w:rsidRPr="00BD1319">
              <w:rPr>
                <w:rFonts w:cs="Arial"/>
                <w:spacing w:val="-3"/>
                <w:sz w:val="22"/>
                <w:szCs w:val="22"/>
              </w:rPr>
              <w:t>. Se deben comparar las condiciones con y sin proyecto.</w:t>
            </w:r>
          </w:p>
        </w:tc>
      </w:tr>
      <w:tr w:rsidR="004A1B3C" w:rsidRPr="00BD1319" w14:paraId="2F300AAC" w14:textId="77777777" w:rsidTr="00BA45DD">
        <w:tc>
          <w:tcPr>
            <w:tcW w:w="9397" w:type="dxa"/>
            <w:gridSpan w:val="2"/>
            <w:vAlign w:val="center"/>
          </w:tcPr>
          <w:p w14:paraId="7561420E" w14:textId="046442FF" w:rsidR="004A1B3C" w:rsidRPr="00BD1319" w:rsidRDefault="004A1B3C">
            <w:pPr>
              <w:tabs>
                <w:tab w:val="left" w:pos="-2268"/>
              </w:tabs>
              <w:suppressAutoHyphens/>
              <w:rPr>
                <w:rFonts w:cs="Arial"/>
                <w:spacing w:val="-3"/>
                <w:sz w:val="22"/>
                <w:szCs w:val="22"/>
              </w:rPr>
            </w:pPr>
            <w:r w:rsidRPr="00BD1319">
              <w:rPr>
                <w:rFonts w:cs="Arial"/>
                <w:spacing w:val="-3"/>
                <w:sz w:val="22"/>
                <w:szCs w:val="22"/>
              </w:rPr>
              <w:t xml:space="preserve">Para el caso de cuerpos lénticos, se debe levantar la </w:t>
            </w:r>
            <w:r w:rsidR="00C25130" w:rsidRPr="00BD1319">
              <w:rPr>
                <w:rFonts w:cs="Arial"/>
                <w:spacing w:val="-3"/>
                <w:sz w:val="22"/>
                <w:szCs w:val="22"/>
              </w:rPr>
              <w:t>topo-</w:t>
            </w:r>
            <w:r w:rsidRPr="00BD1319">
              <w:rPr>
                <w:rFonts w:cs="Arial"/>
                <w:spacing w:val="-3"/>
                <w:sz w:val="22"/>
                <w:szCs w:val="22"/>
              </w:rPr>
              <w:t>batimetría</w:t>
            </w:r>
            <w:r w:rsidR="00EF1A28" w:rsidRPr="00BD1319">
              <w:rPr>
                <w:rFonts w:cs="Arial"/>
                <w:spacing w:val="-3"/>
                <w:sz w:val="22"/>
                <w:szCs w:val="22"/>
              </w:rPr>
              <w:t xml:space="preserve"> y</w:t>
            </w:r>
            <w:r w:rsidRPr="00BD1319">
              <w:rPr>
                <w:rFonts w:cs="Arial"/>
                <w:spacing w:val="-3"/>
                <w:sz w:val="22"/>
                <w:szCs w:val="22"/>
              </w:rPr>
              <w:t xml:space="preserve"> obten</w:t>
            </w:r>
            <w:r w:rsidR="00EF1A28" w:rsidRPr="00BD1319">
              <w:rPr>
                <w:rFonts w:cs="Arial"/>
                <w:spacing w:val="-3"/>
                <w:sz w:val="22"/>
                <w:szCs w:val="22"/>
              </w:rPr>
              <w:t>er</w:t>
            </w:r>
            <w:r w:rsidRPr="00BD1319">
              <w:rPr>
                <w:rFonts w:cs="Arial"/>
                <w:spacing w:val="-3"/>
                <w:sz w:val="22"/>
                <w:szCs w:val="22"/>
              </w:rPr>
              <w:t xml:space="preserve"> además las curvas nivel – volumen y nivel – área superficial.</w:t>
            </w:r>
          </w:p>
        </w:tc>
      </w:tr>
    </w:tbl>
    <w:p w14:paraId="61163E6D" w14:textId="77777777" w:rsidR="004A1B3C" w:rsidRPr="00BD1319" w:rsidRDefault="004A1B3C" w:rsidP="004A1B3C">
      <w:pPr>
        <w:numPr>
          <w:ilvl w:val="12"/>
          <w:numId w:val="0"/>
        </w:numPr>
        <w:tabs>
          <w:tab w:val="left" w:pos="-2268"/>
        </w:tabs>
        <w:suppressAutoHyphens/>
        <w:rPr>
          <w:rFonts w:cs="Arial"/>
          <w:spacing w:val="-3"/>
        </w:rPr>
      </w:pPr>
    </w:p>
    <w:p w14:paraId="2D65C28D" w14:textId="3F7438FA" w:rsidR="004A1B3C" w:rsidRPr="00BD1319" w:rsidRDefault="004A1B3C" w:rsidP="00FB4B5C">
      <w:pPr>
        <w:pStyle w:val="Prrafodelista"/>
        <w:numPr>
          <w:ilvl w:val="0"/>
          <w:numId w:val="5"/>
        </w:numPr>
        <w:tabs>
          <w:tab w:val="left" w:pos="-2268"/>
        </w:tabs>
        <w:suppressAutoHyphens/>
        <w:ind w:left="567" w:hanging="567"/>
        <w:rPr>
          <w:rFonts w:cs="Arial"/>
          <w:spacing w:val="-3"/>
          <w:lang w:val="es-CO"/>
        </w:rPr>
      </w:pPr>
      <w:r w:rsidRPr="00BD1319">
        <w:rPr>
          <w:rFonts w:cs="Arial"/>
          <w:spacing w:val="-3"/>
          <w:lang w:val="es-CO"/>
        </w:rPr>
        <w:t>Análisis de estabilidad geotécnica del tramo analizado para la ocupación de cauce.</w:t>
      </w:r>
    </w:p>
    <w:p w14:paraId="33E564BA" w14:textId="77777777" w:rsidR="004A1B3C" w:rsidRPr="00BD1319" w:rsidRDefault="004A1B3C" w:rsidP="00C86DA5">
      <w:pPr>
        <w:numPr>
          <w:ilvl w:val="12"/>
          <w:numId w:val="0"/>
        </w:numPr>
        <w:tabs>
          <w:tab w:val="left" w:pos="-2268"/>
        </w:tabs>
        <w:suppressAutoHyphens/>
        <w:ind w:left="567" w:hanging="567"/>
        <w:rPr>
          <w:spacing w:val="-3"/>
        </w:rPr>
      </w:pPr>
    </w:p>
    <w:p w14:paraId="025614AE" w14:textId="3D797995" w:rsidR="004A1B3C" w:rsidRPr="00BD1319" w:rsidRDefault="00EF1A28" w:rsidP="00C86DA5">
      <w:pPr>
        <w:pStyle w:val="Prrafodelista"/>
        <w:numPr>
          <w:ilvl w:val="0"/>
          <w:numId w:val="5"/>
        </w:numPr>
        <w:tabs>
          <w:tab w:val="left" w:pos="-2268"/>
        </w:tabs>
        <w:suppressAutoHyphens/>
        <w:ind w:left="567" w:hanging="567"/>
        <w:rPr>
          <w:spacing w:val="-3"/>
          <w:lang w:val="es-CO"/>
        </w:rPr>
      </w:pPr>
      <w:r w:rsidRPr="00BD1319">
        <w:rPr>
          <w:spacing w:val="-3"/>
          <w:lang w:val="es-CO"/>
        </w:rPr>
        <w:t>A</w:t>
      </w:r>
      <w:r w:rsidR="004A1B3C" w:rsidRPr="00BD1319">
        <w:rPr>
          <w:spacing w:val="-3"/>
          <w:lang w:val="es-CO"/>
        </w:rPr>
        <w:t xml:space="preserve">nálisis de dinámica fluvial anteriormente mencionado </w:t>
      </w:r>
      <w:r w:rsidR="00D14170" w:rsidRPr="00BD1319">
        <w:rPr>
          <w:spacing w:val="-3"/>
          <w:lang w:val="es-CO"/>
        </w:rPr>
        <w:t xml:space="preserve">(incluyendo los análisis hidrológico, hidráulico y sedimentológico) </w:t>
      </w:r>
      <w:r w:rsidR="004A1B3C" w:rsidRPr="00BD1319">
        <w:rPr>
          <w:spacing w:val="-3"/>
          <w:lang w:val="es-CO"/>
        </w:rPr>
        <w:t>para garantizar la estabilidad ambiental del cauce en el tramo analizado</w:t>
      </w:r>
      <w:r w:rsidRPr="00BD1319">
        <w:rPr>
          <w:spacing w:val="-3"/>
          <w:lang w:val="es-CO"/>
        </w:rPr>
        <w:t xml:space="preserve"> (en caso de existir obras de protección permanentes asociadas a la infraestructura proyectada)</w:t>
      </w:r>
      <w:r w:rsidR="004A1B3C" w:rsidRPr="00BD1319">
        <w:rPr>
          <w:spacing w:val="-3"/>
          <w:lang w:val="es-CO"/>
        </w:rPr>
        <w:t>.</w:t>
      </w:r>
    </w:p>
    <w:p w14:paraId="55CB0152" w14:textId="77777777" w:rsidR="004A1B3C" w:rsidRPr="00BD1319" w:rsidRDefault="004A1B3C" w:rsidP="00C86DA5">
      <w:pPr>
        <w:pStyle w:val="Prrafodelista"/>
        <w:tabs>
          <w:tab w:val="left" w:pos="-2268"/>
        </w:tabs>
        <w:suppressAutoHyphens/>
        <w:ind w:left="567" w:hanging="567"/>
        <w:rPr>
          <w:spacing w:val="-3"/>
          <w:lang w:val="es-CO"/>
        </w:rPr>
      </w:pPr>
    </w:p>
    <w:p w14:paraId="2C6DD192" w14:textId="5D314425" w:rsidR="004A1B3C" w:rsidRPr="00BD1319" w:rsidRDefault="00EF1A28" w:rsidP="009420F5">
      <w:pPr>
        <w:pStyle w:val="Prrafodelista"/>
        <w:numPr>
          <w:ilvl w:val="0"/>
          <w:numId w:val="5"/>
        </w:numPr>
        <w:tabs>
          <w:tab w:val="left" w:pos="-2268"/>
        </w:tabs>
        <w:suppressAutoHyphens/>
        <w:ind w:left="567" w:hanging="567"/>
        <w:rPr>
          <w:spacing w:val="-3"/>
          <w:lang w:val="es-CO"/>
        </w:rPr>
      </w:pPr>
      <w:r w:rsidRPr="00BD1319">
        <w:rPr>
          <w:spacing w:val="-3"/>
          <w:lang w:val="es-CO"/>
        </w:rPr>
        <w:t>D</w:t>
      </w:r>
      <w:r w:rsidR="005E3668" w:rsidRPr="00BD1319">
        <w:rPr>
          <w:spacing w:val="-3"/>
          <w:lang w:val="es-CO"/>
        </w:rPr>
        <w:t>iseños de las obras a construir</w:t>
      </w:r>
      <w:r w:rsidR="00772312" w:rsidRPr="00BD1319">
        <w:rPr>
          <w:spacing w:val="-3"/>
          <w:lang w:val="es-CO"/>
        </w:rPr>
        <w:t xml:space="preserve"> </w:t>
      </w:r>
      <w:r w:rsidR="00D14170" w:rsidRPr="00BD1319">
        <w:rPr>
          <w:spacing w:val="-3"/>
          <w:lang w:val="es-CO"/>
        </w:rPr>
        <w:t xml:space="preserve">(planos planta, perfil y detalles) y procedimientos constructivos </w:t>
      </w:r>
      <w:r w:rsidR="005E3668" w:rsidRPr="00BD1319">
        <w:rPr>
          <w:spacing w:val="-3"/>
          <w:lang w:val="es-CO"/>
        </w:rPr>
        <w:t xml:space="preserve">de acuerdo con </w:t>
      </w:r>
      <w:r w:rsidR="00664FAF" w:rsidRPr="00BD1319">
        <w:rPr>
          <w:spacing w:val="-3"/>
          <w:lang w:val="es-CO"/>
        </w:rPr>
        <w:t xml:space="preserve">el </w:t>
      </w:r>
      <w:r w:rsidR="00AE6840" w:rsidRPr="00BD1319">
        <w:rPr>
          <w:spacing w:val="-3"/>
          <w:lang w:val="es-CO"/>
        </w:rPr>
        <w:t xml:space="preserve">grado de detalle requerido en los términos de </w:t>
      </w:r>
      <w:r w:rsidR="00AE6840" w:rsidRPr="00BD1319">
        <w:rPr>
          <w:spacing w:val="-3"/>
          <w:lang w:val="es-CO"/>
        </w:rPr>
        <w:lastRenderedPageBreak/>
        <w:t>referencia, así como</w:t>
      </w:r>
      <w:r w:rsidR="00AE6840" w:rsidRPr="00BD1319" w:rsidDel="00AE6840">
        <w:rPr>
          <w:spacing w:val="-3"/>
          <w:lang w:val="es-CO"/>
        </w:rPr>
        <w:t xml:space="preserve"> </w:t>
      </w:r>
      <w:r w:rsidR="00772312" w:rsidRPr="00BD1319">
        <w:rPr>
          <w:spacing w:val="-3"/>
          <w:lang w:val="es-CO"/>
        </w:rPr>
        <w:t xml:space="preserve">con </w:t>
      </w:r>
      <w:r w:rsidR="003508EB" w:rsidRPr="00BD1319">
        <w:rPr>
          <w:spacing w:val="-3"/>
          <w:lang w:val="es-CO"/>
        </w:rPr>
        <w:t xml:space="preserve">lo exigido </w:t>
      </w:r>
      <w:r w:rsidR="00664FAF" w:rsidRPr="00BD1319">
        <w:rPr>
          <w:spacing w:val="-3"/>
          <w:lang w:val="es-CO"/>
        </w:rPr>
        <w:t xml:space="preserve">por </w:t>
      </w:r>
      <w:r w:rsidR="00772312" w:rsidRPr="00BD1319">
        <w:rPr>
          <w:spacing w:val="-3"/>
          <w:lang w:val="es-CO"/>
        </w:rPr>
        <w:t xml:space="preserve">la </w:t>
      </w:r>
      <w:r w:rsidR="005E0C78" w:rsidRPr="00BD1319">
        <w:rPr>
          <w:spacing w:val="-3"/>
          <w:lang w:val="es-CO"/>
        </w:rPr>
        <w:t>normativa vigente</w:t>
      </w:r>
      <w:r w:rsidR="007C0EA7" w:rsidRPr="00BD1319">
        <w:rPr>
          <w:spacing w:val="-3"/>
          <w:lang w:val="es-CO"/>
        </w:rPr>
        <w:t xml:space="preserve"> para el trámite de autorizaciones o permisos para la</w:t>
      </w:r>
      <w:r w:rsidR="008E269A" w:rsidRPr="00BD1319">
        <w:rPr>
          <w:spacing w:val="-3"/>
          <w:lang w:val="es-CO"/>
        </w:rPr>
        <w:t xml:space="preserve"> ocupación de playas, cauces y lechos</w:t>
      </w:r>
      <w:r w:rsidR="007C0EA7" w:rsidRPr="00BD1319">
        <w:rPr>
          <w:spacing w:val="-3"/>
          <w:lang w:val="es-CO"/>
        </w:rPr>
        <w:t>.</w:t>
      </w:r>
    </w:p>
    <w:p w14:paraId="4A0E73A9" w14:textId="77777777" w:rsidR="00D0396C" w:rsidRPr="00BD1319" w:rsidRDefault="00D0396C" w:rsidP="000D6E21">
      <w:pPr>
        <w:rPr>
          <w:spacing w:val="-3"/>
        </w:rPr>
      </w:pPr>
    </w:p>
    <w:p w14:paraId="6953AC86" w14:textId="774B2C56" w:rsidR="00D0396C" w:rsidRPr="00BD1319" w:rsidRDefault="00D0396C" w:rsidP="00D0396C">
      <w:pPr>
        <w:pStyle w:val="Prrafodelista"/>
        <w:numPr>
          <w:ilvl w:val="0"/>
          <w:numId w:val="5"/>
        </w:numPr>
        <w:tabs>
          <w:tab w:val="left" w:pos="-2268"/>
        </w:tabs>
        <w:suppressAutoHyphens/>
        <w:ind w:left="567" w:hanging="567"/>
        <w:rPr>
          <w:spacing w:val="-3"/>
          <w:lang w:val="es-CO"/>
        </w:rPr>
      </w:pPr>
      <w:r w:rsidRPr="00BD1319">
        <w:rPr>
          <w:spacing w:val="-3"/>
          <w:lang w:val="es-CO"/>
        </w:rPr>
        <w:t>Modelos numéricos físicamente basados según el tipo de cuerpo de agua, de acuerdo con la Tabla 31.</w:t>
      </w:r>
    </w:p>
    <w:p w14:paraId="20E17807" w14:textId="77777777" w:rsidR="007C0EA7" w:rsidRPr="00BD1319" w:rsidRDefault="007C0EA7" w:rsidP="009420F5">
      <w:pPr>
        <w:tabs>
          <w:tab w:val="left" w:pos="-2268"/>
        </w:tabs>
        <w:suppressAutoHyphens/>
        <w:rPr>
          <w:spacing w:val="-3"/>
        </w:rPr>
      </w:pPr>
    </w:p>
    <w:p w14:paraId="08ACDAB3" w14:textId="5DDADE6A" w:rsidR="00D0396C" w:rsidRPr="00BD1319" w:rsidRDefault="00D0396C" w:rsidP="00D0396C">
      <w:pPr>
        <w:numPr>
          <w:ilvl w:val="12"/>
          <w:numId w:val="0"/>
        </w:numPr>
        <w:tabs>
          <w:tab w:val="left" w:pos="-2268"/>
        </w:tabs>
        <w:suppressAutoHyphens/>
        <w:jc w:val="center"/>
        <w:rPr>
          <w:spacing w:val="-3"/>
          <w:lang w:val="es-ES"/>
        </w:rPr>
      </w:pPr>
      <w:r w:rsidRPr="00BD1319">
        <w:rPr>
          <w:b/>
          <w:bCs/>
          <w:spacing w:val="-3"/>
          <w:lang w:val="es-ES"/>
        </w:rPr>
        <w:t xml:space="preserve">Tabla </w:t>
      </w:r>
      <w:r w:rsidRPr="00BD1319">
        <w:rPr>
          <w:b/>
          <w:bCs/>
          <w:spacing w:val="-3"/>
          <w:lang w:val="es-ES"/>
        </w:rPr>
        <w:fldChar w:fldCharType="begin"/>
      </w:r>
      <w:r w:rsidRPr="00BD1319">
        <w:rPr>
          <w:b/>
          <w:bCs/>
          <w:spacing w:val="-3"/>
          <w:lang w:val="es-ES"/>
        </w:rPr>
        <w:instrText xml:space="preserve"> SEQ Tabla \* ARABIC </w:instrText>
      </w:r>
      <w:r w:rsidRPr="00BD1319">
        <w:rPr>
          <w:b/>
          <w:bCs/>
          <w:spacing w:val="-3"/>
          <w:lang w:val="es-ES"/>
        </w:rPr>
        <w:fldChar w:fldCharType="separate"/>
      </w:r>
      <w:r w:rsidR="00296654" w:rsidRPr="00BD1319">
        <w:rPr>
          <w:b/>
          <w:bCs/>
          <w:noProof/>
          <w:spacing w:val="-3"/>
          <w:lang w:val="es-ES"/>
        </w:rPr>
        <w:t>31</w:t>
      </w:r>
      <w:r w:rsidRPr="00BD1319">
        <w:rPr>
          <w:b/>
          <w:bCs/>
          <w:spacing w:val="-3"/>
        </w:rPr>
        <w:fldChar w:fldCharType="end"/>
      </w:r>
      <w:r w:rsidRPr="00BD1319">
        <w:rPr>
          <w:b/>
          <w:bCs/>
          <w:spacing w:val="-3"/>
          <w:lang w:val="es-ES"/>
        </w:rPr>
        <w:t>.</w:t>
      </w:r>
      <w:r w:rsidRPr="00BD1319">
        <w:rPr>
          <w:spacing w:val="-3"/>
          <w:lang w:val="es-ES"/>
        </w:rPr>
        <w:t xml:space="preserve"> </w:t>
      </w:r>
      <w:proofErr w:type="gramStart"/>
      <w:r w:rsidRPr="00BD1319">
        <w:rPr>
          <w:spacing w:val="-3"/>
          <w:lang w:val="es-ES"/>
        </w:rPr>
        <w:t>Ecuaciones a solucionar</w:t>
      </w:r>
      <w:proofErr w:type="gramEnd"/>
      <w:r w:rsidRPr="00BD1319">
        <w:rPr>
          <w:spacing w:val="-3"/>
          <w:lang w:val="es-ES"/>
        </w:rPr>
        <w:t xml:space="preserve"> según cuerpo de agua a modelizar</w:t>
      </w:r>
    </w:p>
    <w:tbl>
      <w:tblPr>
        <w:tblStyle w:val="Tablaconcuadrcula"/>
        <w:tblW w:w="0" w:type="auto"/>
        <w:jc w:val="center"/>
        <w:tblLook w:val="04A0" w:firstRow="1" w:lastRow="0" w:firstColumn="1" w:lastColumn="0" w:noHBand="0" w:noVBand="1"/>
      </w:tblPr>
      <w:tblGrid>
        <w:gridCol w:w="3064"/>
        <w:gridCol w:w="2992"/>
      </w:tblGrid>
      <w:tr w:rsidR="00D0396C" w:rsidRPr="00BD1319" w14:paraId="6C04E983" w14:textId="77777777" w:rsidTr="002548A8">
        <w:trPr>
          <w:trHeight w:val="469"/>
          <w:tblHeader/>
          <w:jc w:val="center"/>
        </w:trPr>
        <w:tc>
          <w:tcPr>
            <w:tcW w:w="0" w:type="auto"/>
            <w:shd w:val="clear" w:color="auto" w:fill="auto"/>
            <w:vAlign w:val="center"/>
          </w:tcPr>
          <w:p w14:paraId="6A4EB009" w14:textId="77777777" w:rsidR="00D0396C" w:rsidRPr="00BD1319" w:rsidRDefault="00D0396C" w:rsidP="002548A8">
            <w:pPr>
              <w:numPr>
                <w:ilvl w:val="12"/>
                <w:numId w:val="0"/>
              </w:numPr>
              <w:tabs>
                <w:tab w:val="left" w:pos="-2268"/>
              </w:tabs>
              <w:suppressAutoHyphens/>
              <w:jc w:val="center"/>
              <w:rPr>
                <w:b/>
                <w:spacing w:val="-3"/>
                <w:sz w:val="20"/>
                <w:szCs w:val="20"/>
                <w:lang w:val="es-ES"/>
              </w:rPr>
            </w:pPr>
            <w:r w:rsidRPr="00BD1319">
              <w:rPr>
                <w:b/>
                <w:spacing w:val="-3"/>
                <w:sz w:val="20"/>
                <w:szCs w:val="20"/>
                <w:lang w:val="es-ES"/>
              </w:rPr>
              <w:t>Tipo</w:t>
            </w:r>
          </w:p>
        </w:tc>
        <w:tc>
          <w:tcPr>
            <w:tcW w:w="0" w:type="auto"/>
            <w:shd w:val="clear" w:color="auto" w:fill="auto"/>
            <w:vAlign w:val="center"/>
          </w:tcPr>
          <w:p w14:paraId="67C42D26" w14:textId="77777777" w:rsidR="00D0396C" w:rsidRPr="00BD1319" w:rsidRDefault="00D0396C" w:rsidP="002548A8">
            <w:pPr>
              <w:numPr>
                <w:ilvl w:val="12"/>
                <w:numId w:val="0"/>
              </w:numPr>
              <w:tabs>
                <w:tab w:val="left" w:pos="-2268"/>
              </w:tabs>
              <w:suppressAutoHyphens/>
              <w:jc w:val="center"/>
              <w:rPr>
                <w:b/>
                <w:spacing w:val="-3"/>
                <w:sz w:val="20"/>
                <w:szCs w:val="20"/>
                <w:lang w:val="es-ES"/>
              </w:rPr>
            </w:pPr>
            <w:r w:rsidRPr="00BD1319">
              <w:rPr>
                <w:b/>
                <w:spacing w:val="-3"/>
                <w:sz w:val="20"/>
                <w:szCs w:val="20"/>
                <w:lang w:val="es-ES"/>
              </w:rPr>
              <w:t>Ecuación</w:t>
            </w:r>
          </w:p>
        </w:tc>
      </w:tr>
      <w:tr w:rsidR="00D0396C" w:rsidRPr="00E002E9" w14:paraId="4B48D7DF" w14:textId="77777777" w:rsidTr="002548A8">
        <w:trPr>
          <w:trHeight w:val="429"/>
          <w:jc w:val="center"/>
        </w:trPr>
        <w:tc>
          <w:tcPr>
            <w:tcW w:w="0" w:type="auto"/>
            <w:shd w:val="clear" w:color="auto" w:fill="auto"/>
            <w:vAlign w:val="center"/>
          </w:tcPr>
          <w:p w14:paraId="137F3736" w14:textId="77777777" w:rsidR="00D0396C" w:rsidRPr="00BD1319" w:rsidRDefault="00D0396C" w:rsidP="002548A8">
            <w:pPr>
              <w:numPr>
                <w:ilvl w:val="12"/>
                <w:numId w:val="0"/>
              </w:numPr>
              <w:tabs>
                <w:tab w:val="left" w:pos="-2268"/>
              </w:tabs>
              <w:suppressAutoHyphens/>
              <w:rPr>
                <w:spacing w:val="-3"/>
                <w:sz w:val="20"/>
                <w:szCs w:val="20"/>
                <w:lang w:val="es-ES"/>
              </w:rPr>
            </w:pPr>
            <w:r w:rsidRPr="00BD1319">
              <w:rPr>
                <w:spacing w:val="-3"/>
                <w:sz w:val="20"/>
                <w:szCs w:val="20"/>
                <w:lang w:val="es-ES"/>
              </w:rPr>
              <w:t>Ríos sinuosos o meándricos</w:t>
            </w:r>
          </w:p>
        </w:tc>
        <w:tc>
          <w:tcPr>
            <w:tcW w:w="0" w:type="auto"/>
            <w:shd w:val="clear" w:color="auto" w:fill="auto"/>
            <w:vAlign w:val="center"/>
          </w:tcPr>
          <w:p w14:paraId="1275C665" w14:textId="77777777" w:rsidR="00D0396C" w:rsidRPr="00BD1319" w:rsidRDefault="00D0396C" w:rsidP="002548A8">
            <w:pPr>
              <w:numPr>
                <w:ilvl w:val="12"/>
                <w:numId w:val="0"/>
              </w:numPr>
              <w:tabs>
                <w:tab w:val="left" w:pos="-2268"/>
              </w:tabs>
              <w:suppressAutoHyphens/>
              <w:rPr>
                <w:spacing w:val="-3"/>
                <w:sz w:val="20"/>
                <w:szCs w:val="20"/>
                <w:lang w:val="fr-FR"/>
              </w:rPr>
            </w:pPr>
            <w:r w:rsidRPr="00BD1319">
              <w:rPr>
                <w:spacing w:val="-3"/>
                <w:sz w:val="20"/>
                <w:szCs w:val="20"/>
                <w:lang w:val="fr-FR"/>
              </w:rPr>
              <w:t xml:space="preserve">Saint-Venant 2D u onda </w:t>
            </w:r>
            <w:proofErr w:type="spellStart"/>
            <w:r w:rsidRPr="00BD1319">
              <w:rPr>
                <w:spacing w:val="-3"/>
                <w:sz w:val="20"/>
                <w:szCs w:val="20"/>
                <w:lang w:val="fr-FR"/>
              </w:rPr>
              <w:t>difusiva</w:t>
            </w:r>
            <w:proofErr w:type="spellEnd"/>
          </w:p>
        </w:tc>
      </w:tr>
      <w:tr w:rsidR="00D0396C" w:rsidRPr="00E002E9" w14:paraId="3EB20DC5" w14:textId="77777777" w:rsidTr="002548A8">
        <w:trPr>
          <w:trHeight w:val="407"/>
          <w:jc w:val="center"/>
        </w:trPr>
        <w:tc>
          <w:tcPr>
            <w:tcW w:w="0" w:type="auto"/>
            <w:shd w:val="clear" w:color="auto" w:fill="auto"/>
            <w:vAlign w:val="center"/>
          </w:tcPr>
          <w:p w14:paraId="448E7548" w14:textId="77777777" w:rsidR="00D0396C" w:rsidRPr="00BD1319" w:rsidRDefault="00D0396C" w:rsidP="002548A8">
            <w:pPr>
              <w:numPr>
                <w:ilvl w:val="12"/>
                <w:numId w:val="0"/>
              </w:numPr>
              <w:tabs>
                <w:tab w:val="left" w:pos="-2268"/>
              </w:tabs>
              <w:suppressAutoHyphens/>
              <w:rPr>
                <w:spacing w:val="-3"/>
                <w:sz w:val="20"/>
                <w:szCs w:val="20"/>
                <w:lang w:val="es-ES"/>
              </w:rPr>
            </w:pPr>
            <w:r w:rsidRPr="00BD1319">
              <w:rPr>
                <w:spacing w:val="-3"/>
                <w:sz w:val="20"/>
                <w:szCs w:val="20"/>
                <w:lang w:val="es-ES"/>
              </w:rPr>
              <w:t>Ríos rectilíneos</w:t>
            </w:r>
          </w:p>
        </w:tc>
        <w:tc>
          <w:tcPr>
            <w:tcW w:w="0" w:type="auto"/>
            <w:shd w:val="clear" w:color="auto" w:fill="auto"/>
            <w:vAlign w:val="center"/>
          </w:tcPr>
          <w:p w14:paraId="28361AE2" w14:textId="77777777" w:rsidR="00D0396C" w:rsidRPr="00BD1319" w:rsidRDefault="00D0396C" w:rsidP="002548A8">
            <w:pPr>
              <w:numPr>
                <w:ilvl w:val="12"/>
                <w:numId w:val="0"/>
              </w:numPr>
              <w:tabs>
                <w:tab w:val="left" w:pos="-2268"/>
              </w:tabs>
              <w:suppressAutoHyphens/>
              <w:rPr>
                <w:spacing w:val="-3"/>
                <w:sz w:val="20"/>
                <w:szCs w:val="20"/>
                <w:lang w:val="fr-FR"/>
              </w:rPr>
            </w:pPr>
            <w:r w:rsidRPr="00BD1319">
              <w:rPr>
                <w:spacing w:val="-3"/>
                <w:sz w:val="20"/>
                <w:szCs w:val="20"/>
                <w:lang w:val="fr-FR"/>
              </w:rPr>
              <w:t>Saint-Venant 1D o FGV</w:t>
            </w:r>
          </w:p>
        </w:tc>
      </w:tr>
      <w:tr w:rsidR="00D0396C" w:rsidRPr="00E002E9" w14:paraId="45F98911" w14:textId="77777777" w:rsidTr="002548A8">
        <w:trPr>
          <w:trHeight w:val="428"/>
          <w:jc w:val="center"/>
        </w:trPr>
        <w:tc>
          <w:tcPr>
            <w:tcW w:w="0" w:type="auto"/>
            <w:shd w:val="clear" w:color="auto" w:fill="auto"/>
            <w:vAlign w:val="center"/>
          </w:tcPr>
          <w:p w14:paraId="4FC704D9" w14:textId="77777777" w:rsidR="00D0396C" w:rsidRPr="00BD1319" w:rsidRDefault="00D0396C" w:rsidP="002548A8">
            <w:pPr>
              <w:numPr>
                <w:ilvl w:val="12"/>
                <w:numId w:val="0"/>
              </w:numPr>
              <w:tabs>
                <w:tab w:val="left" w:pos="-2268"/>
              </w:tabs>
              <w:suppressAutoHyphens/>
              <w:rPr>
                <w:spacing w:val="-3"/>
                <w:sz w:val="20"/>
                <w:szCs w:val="20"/>
                <w:lang w:val="es-ES"/>
              </w:rPr>
            </w:pPr>
            <w:r w:rsidRPr="00BD1319">
              <w:rPr>
                <w:spacing w:val="-3"/>
                <w:sz w:val="20"/>
                <w:szCs w:val="20"/>
                <w:lang w:val="es-ES"/>
              </w:rPr>
              <w:t>Ciénagas</w:t>
            </w:r>
          </w:p>
        </w:tc>
        <w:tc>
          <w:tcPr>
            <w:tcW w:w="0" w:type="auto"/>
            <w:shd w:val="clear" w:color="auto" w:fill="auto"/>
            <w:vAlign w:val="center"/>
          </w:tcPr>
          <w:p w14:paraId="2111E136" w14:textId="77777777" w:rsidR="00D0396C" w:rsidRPr="00BD1319" w:rsidRDefault="00D0396C" w:rsidP="002548A8">
            <w:pPr>
              <w:numPr>
                <w:ilvl w:val="12"/>
                <w:numId w:val="0"/>
              </w:numPr>
              <w:tabs>
                <w:tab w:val="left" w:pos="-2268"/>
              </w:tabs>
              <w:suppressAutoHyphens/>
              <w:rPr>
                <w:spacing w:val="-3"/>
                <w:sz w:val="20"/>
                <w:szCs w:val="20"/>
                <w:lang w:val="fr-FR"/>
              </w:rPr>
            </w:pPr>
            <w:r w:rsidRPr="00BD1319">
              <w:rPr>
                <w:spacing w:val="-3"/>
                <w:sz w:val="20"/>
                <w:szCs w:val="20"/>
                <w:lang w:val="fr-FR"/>
              </w:rPr>
              <w:t xml:space="preserve">Saint-Venant 2D u onda </w:t>
            </w:r>
            <w:proofErr w:type="spellStart"/>
            <w:r w:rsidRPr="00BD1319">
              <w:rPr>
                <w:spacing w:val="-3"/>
                <w:sz w:val="20"/>
                <w:szCs w:val="20"/>
                <w:lang w:val="fr-FR"/>
              </w:rPr>
              <w:t>difusiva</w:t>
            </w:r>
            <w:proofErr w:type="spellEnd"/>
          </w:p>
        </w:tc>
      </w:tr>
      <w:tr w:rsidR="00D0396C" w:rsidRPr="00E002E9" w14:paraId="1D07B6B5" w14:textId="77777777" w:rsidTr="002548A8">
        <w:trPr>
          <w:trHeight w:val="406"/>
          <w:jc w:val="center"/>
        </w:trPr>
        <w:tc>
          <w:tcPr>
            <w:tcW w:w="0" w:type="auto"/>
            <w:shd w:val="clear" w:color="auto" w:fill="auto"/>
            <w:vAlign w:val="center"/>
          </w:tcPr>
          <w:p w14:paraId="110C30B6" w14:textId="77777777" w:rsidR="00D0396C" w:rsidRPr="00BD1319" w:rsidRDefault="00D0396C" w:rsidP="002548A8">
            <w:pPr>
              <w:numPr>
                <w:ilvl w:val="12"/>
                <w:numId w:val="0"/>
              </w:numPr>
              <w:tabs>
                <w:tab w:val="left" w:pos="-2268"/>
              </w:tabs>
              <w:suppressAutoHyphens/>
              <w:rPr>
                <w:spacing w:val="-3"/>
                <w:sz w:val="20"/>
                <w:szCs w:val="20"/>
                <w:lang w:val="es-ES"/>
              </w:rPr>
            </w:pPr>
            <w:r w:rsidRPr="00BD1319">
              <w:rPr>
                <w:spacing w:val="-3"/>
                <w:sz w:val="20"/>
                <w:szCs w:val="20"/>
                <w:lang w:val="es-ES"/>
              </w:rPr>
              <w:t>Zonas estuarinas</w:t>
            </w:r>
          </w:p>
        </w:tc>
        <w:tc>
          <w:tcPr>
            <w:tcW w:w="0" w:type="auto"/>
            <w:shd w:val="clear" w:color="auto" w:fill="auto"/>
            <w:vAlign w:val="center"/>
          </w:tcPr>
          <w:p w14:paraId="1BB5804C" w14:textId="77777777" w:rsidR="00D0396C" w:rsidRPr="00BD1319" w:rsidRDefault="00D0396C" w:rsidP="002548A8">
            <w:pPr>
              <w:numPr>
                <w:ilvl w:val="12"/>
                <w:numId w:val="0"/>
              </w:numPr>
              <w:tabs>
                <w:tab w:val="left" w:pos="-2268"/>
              </w:tabs>
              <w:suppressAutoHyphens/>
              <w:rPr>
                <w:spacing w:val="-3"/>
                <w:sz w:val="20"/>
                <w:szCs w:val="20"/>
                <w:lang w:val="fr-FR"/>
              </w:rPr>
            </w:pPr>
            <w:r w:rsidRPr="00BD1319">
              <w:rPr>
                <w:spacing w:val="-3"/>
                <w:sz w:val="20"/>
                <w:szCs w:val="20"/>
                <w:lang w:val="fr-FR"/>
              </w:rPr>
              <w:t xml:space="preserve">Saint-Venant 2D u onda </w:t>
            </w:r>
            <w:proofErr w:type="spellStart"/>
            <w:r w:rsidRPr="00BD1319">
              <w:rPr>
                <w:spacing w:val="-3"/>
                <w:sz w:val="20"/>
                <w:szCs w:val="20"/>
                <w:lang w:val="fr-FR"/>
              </w:rPr>
              <w:t>difusiva</w:t>
            </w:r>
            <w:proofErr w:type="spellEnd"/>
          </w:p>
        </w:tc>
      </w:tr>
      <w:tr w:rsidR="00D0396C" w:rsidRPr="00E002E9" w14:paraId="544A9499" w14:textId="77777777" w:rsidTr="002548A8">
        <w:trPr>
          <w:trHeight w:val="425"/>
          <w:jc w:val="center"/>
        </w:trPr>
        <w:tc>
          <w:tcPr>
            <w:tcW w:w="0" w:type="auto"/>
            <w:shd w:val="clear" w:color="auto" w:fill="auto"/>
            <w:vAlign w:val="center"/>
          </w:tcPr>
          <w:p w14:paraId="4BF90217" w14:textId="77777777" w:rsidR="00D0396C" w:rsidRPr="00BD1319" w:rsidRDefault="00D0396C" w:rsidP="002548A8">
            <w:pPr>
              <w:numPr>
                <w:ilvl w:val="12"/>
                <w:numId w:val="0"/>
              </w:numPr>
              <w:tabs>
                <w:tab w:val="left" w:pos="-2268"/>
              </w:tabs>
              <w:suppressAutoHyphens/>
              <w:rPr>
                <w:spacing w:val="-3"/>
                <w:sz w:val="20"/>
                <w:szCs w:val="20"/>
                <w:lang w:val="es-ES"/>
              </w:rPr>
            </w:pPr>
            <w:r w:rsidRPr="00BD1319">
              <w:rPr>
                <w:spacing w:val="-3"/>
                <w:sz w:val="20"/>
                <w:szCs w:val="20"/>
                <w:lang w:val="es-ES"/>
              </w:rPr>
              <w:t>Canales rectilíneos</w:t>
            </w:r>
          </w:p>
        </w:tc>
        <w:tc>
          <w:tcPr>
            <w:tcW w:w="0" w:type="auto"/>
            <w:shd w:val="clear" w:color="auto" w:fill="auto"/>
            <w:vAlign w:val="center"/>
          </w:tcPr>
          <w:p w14:paraId="2AD1F902" w14:textId="77777777" w:rsidR="00D0396C" w:rsidRPr="00BD1319" w:rsidRDefault="00D0396C" w:rsidP="002548A8">
            <w:pPr>
              <w:numPr>
                <w:ilvl w:val="12"/>
                <w:numId w:val="0"/>
              </w:numPr>
              <w:tabs>
                <w:tab w:val="left" w:pos="-2268"/>
              </w:tabs>
              <w:suppressAutoHyphens/>
              <w:rPr>
                <w:spacing w:val="-3"/>
                <w:sz w:val="20"/>
                <w:szCs w:val="20"/>
                <w:lang w:val="fr-FR"/>
              </w:rPr>
            </w:pPr>
            <w:r w:rsidRPr="00BD1319">
              <w:rPr>
                <w:spacing w:val="-3"/>
                <w:sz w:val="20"/>
                <w:szCs w:val="20"/>
                <w:lang w:val="fr-FR"/>
              </w:rPr>
              <w:t>Saint-Venant 1D o FGV</w:t>
            </w:r>
          </w:p>
        </w:tc>
      </w:tr>
      <w:tr w:rsidR="00D0396C" w:rsidRPr="00BD1319" w14:paraId="16F56A94" w14:textId="77777777" w:rsidTr="002548A8">
        <w:trPr>
          <w:trHeight w:val="403"/>
          <w:jc w:val="center"/>
        </w:trPr>
        <w:tc>
          <w:tcPr>
            <w:tcW w:w="0" w:type="auto"/>
            <w:shd w:val="clear" w:color="auto" w:fill="auto"/>
            <w:vAlign w:val="center"/>
          </w:tcPr>
          <w:p w14:paraId="4C338760" w14:textId="77777777" w:rsidR="00D0396C" w:rsidRPr="00BD1319" w:rsidRDefault="00D0396C" w:rsidP="002548A8">
            <w:pPr>
              <w:numPr>
                <w:ilvl w:val="12"/>
                <w:numId w:val="0"/>
              </w:numPr>
              <w:tabs>
                <w:tab w:val="left" w:pos="-2268"/>
              </w:tabs>
              <w:suppressAutoHyphens/>
              <w:rPr>
                <w:spacing w:val="-3"/>
                <w:sz w:val="20"/>
                <w:szCs w:val="20"/>
                <w:lang w:val="es-ES"/>
              </w:rPr>
            </w:pPr>
            <w:r w:rsidRPr="00BD1319">
              <w:rPr>
                <w:spacing w:val="-3"/>
                <w:sz w:val="20"/>
                <w:szCs w:val="20"/>
                <w:lang w:val="es-ES"/>
              </w:rPr>
              <w:t>Modelos hidrológicos distribuidos</w:t>
            </w:r>
          </w:p>
        </w:tc>
        <w:tc>
          <w:tcPr>
            <w:tcW w:w="0" w:type="auto"/>
            <w:shd w:val="clear" w:color="auto" w:fill="auto"/>
            <w:vAlign w:val="center"/>
          </w:tcPr>
          <w:p w14:paraId="6FDD46E3" w14:textId="77777777" w:rsidR="00D0396C" w:rsidRPr="00BD1319" w:rsidRDefault="00D0396C" w:rsidP="002548A8">
            <w:pPr>
              <w:numPr>
                <w:ilvl w:val="12"/>
                <w:numId w:val="0"/>
              </w:numPr>
              <w:tabs>
                <w:tab w:val="left" w:pos="-2268"/>
              </w:tabs>
              <w:suppressAutoHyphens/>
              <w:rPr>
                <w:spacing w:val="-3"/>
                <w:sz w:val="20"/>
                <w:szCs w:val="20"/>
                <w:lang w:val="en-US"/>
              </w:rPr>
            </w:pPr>
            <w:r w:rsidRPr="00BD1319">
              <w:rPr>
                <w:spacing w:val="-3"/>
                <w:sz w:val="20"/>
                <w:szCs w:val="20"/>
                <w:lang w:val="fr-FR"/>
              </w:rPr>
              <w:t xml:space="preserve">Onda </w:t>
            </w:r>
            <w:proofErr w:type="spellStart"/>
            <w:r w:rsidRPr="00BD1319">
              <w:rPr>
                <w:spacing w:val="-3"/>
                <w:sz w:val="20"/>
                <w:szCs w:val="20"/>
                <w:lang w:val="fr-FR"/>
              </w:rPr>
              <w:t>difusiva</w:t>
            </w:r>
            <w:proofErr w:type="spellEnd"/>
          </w:p>
        </w:tc>
      </w:tr>
    </w:tbl>
    <w:p w14:paraId="600669D5" w14:textId="77777777" w:rsidR="00D0396C" w:rsidRPr="00BD1319" w:rsidRDefault="00D0396C" w:rsidP="00D0396C">
      <w:pPr>
        <w:tabs>
          <w:tab w:val="left" w:pos="-2268"/>
        </w:tabs>
        <w:suppressAutoHyphens/>
        <w:ind w:left="1701" w:right="1752"/>
        <w:jc w:val="center"/>
        <w:rPr>
          <w:rFonts w:cs="Arial"/>
          <w:spacing w:val="-3"/>
          <w:sz w:val="20"/>
        </w:rPr>
      </w:pPr>
      <w:r w:rsidRPr="00BD1319">
        <w:rPr>
          <w:rFonts w:cs="Arial"/>
          <w:b/>
          <w:spacing w:val="-3"/>
          <w:sz w:val="20"/>
        </w:rPr>
        <w:t>Fuente:</w:t>
      </w:r>
      <w:r w:rsidRPr="00BD1319">
        <w:rPr>
          <w:rFonts w:cs="Arial"/>
          <w:spacing w:val="-3"/>
          <w:sz w:val="20"/>
        </w:rPr>
        <w:t xml:space="preserve"> ANLA -2020.</w:t>
      </w:r>
    </w:p>
    <w:p w14:paraId="70E3955C" w14:textId="77777777" w:rsidR="00D0396C" w:rsidRPr="00BD1319" w:rsidRDefault="00D0396C" w:rsidP="009420F5">
      <w:pPr>
        <w:tabs>
          <w:tab w:val="left" w:pos="-2268"/>
        </w:tabs>
        <w:suppressAutoHyphens/>
        <w:rPr>
          <w:spacing w:val="-3"/>
        </w:rPr>
      </w:pPr>
    </w:p>
    <w:p w14:paraId="0C0DA4BC" w14:textId="1766653D" w:rsidR="004A1B3C" w:rsidRPr="00BD1319" w:rsidRDefault="004A1B3C" w:rsidP="0068149C">
      <w:pPr>
        <w:pStyle w:val="Ttulo2"/>
        <w:rPr>
          <w:lang w:val="es-CO"/>
        </w:rPr>
      </w:pPr>
      <w:bookmarkStart w:id="3109" w:name="_Toc393967346"/>
      <w:bookmarkStart w:id="3110" w:name="_Toc405366863"/>
      <w:bookmarkStart w:id="3111" w:name="_Toc405372411"/>
      <w:bookmarkStart w:id="3112" w:name="_Toc412803208"/>
      <w:bookmarkStart w:id="3113" w:name="_Toc437936046"/>
      <w:bookmarkStart w:id="3114" w:name="_Toc42874876"/>
      <w:bookmarkStart w:id="3115" w:name="_Toc175326788"/>
      <w:r w:rsidRPr="00BD1319">
        <w:rPr>
          <w:lang w:val="es-CO"/>
        </w:rPr>
        <w:t>APROVECHAMIENTO FORESTAL</w:t>
      </w:r>
      <w:bookmarkEnd w:id="3109"/>
      <w:bookmarkEnd w:id="3110"/>
      <w:bookmarkEnd w:id="3111"/>
      <w:bookmarkEnd w:id="3112"/>
      <w:bookmarkEnd w:id="3113"/>
      <w:bookmarkEnd w:id="3114"/>
      <w:bookmarkEnd w:id="3115"/>
    </w:p>
    <w:p w14:paraId="027579D9" w14:textId="77777777" w:rsidR="004A1B3C" w:rsidRPr="00BD1319" w:rsidRDefault="004A1B3C">
      <w:pPr>
        <w:numPr>
          <w:ilvl w:val="12"/>
          <w:numId w:val="0"/>
        </w:numPr>
        <w:tabs>
          <w:tab w:val="left" w:pos="-2268"/>
        </w:tabs>
        <w:suppressAutoHyphens/>
        <w:rPr>
          <w:spacing w:val="-3"/>
        </w:rPr>
      </w:pPr>
    </w:p>
    <w:p w14:paraId="6FD01A20" w14:textId="1830FE65" w:rsidR="004A1B3C" w:rsidRPr="00BD1319" w:rsidRDefault="004A1B3C" w:rsidP="00C86DA5">
      <w:pPr>
        <w:rPr>
          <w:spacing w:val="-3"/>
        </w:rPr>
      </w:pPr>
      <w:r w:rsidRPr="00BD1319">
        <w:rPr>
          <w:rFonts w:cs="Arial"/>
          <w:spacing w:val="-3"/>
        </w:rPr>
        <w:t xml:space="preserve">Para la solicitud y tramite del </w:t>
      </w:r>
      <w:r w:rsidRPr="00BD1319">
        <w:rPr>
          <w:spacing w:val="-3"/>
        </w:rPr>
        <w:t xml:space="preserve">permiso </w:t>
      </w:r>
      <w:r w:rsidRPr="00BD1319">
        <w:rPr>
          <w:rFonts w:cs="Arial"/>
          <w:spacing w:val="-3"/>
        </w:rPr>
        <w:t>de</w:t>
      </w:r>
      <w:r w:rsidRPr="00BD1319">
        <w:rPr>
          <w:spacing w:val="-3"/>
        </w:rPr>
        <w:t xml:space="preserve"> aprovechamiento forestal</w:t>
      </w:r>
      <w:r w:rsidRPr="00BD1319">
        <w:rPr>
          <w:rStyle w:val="Refdenotaalpie"/>
          <w:rFonts w:cs="Arial"/>
          <w:spacing w:val="-3"/>
          <w:lang w:val="es-CO"/>
        </w:rPr>
        <w:footnoteReference w:id="179"/>
      </w:r>
      <w:r w:rsidRPr="00BD1319">
        <w:rPr>
          <w:spacing w:val="-3"/>
        </w:rPr>
        <w:t xml:space="preserve">, se debe </w:t>
      </w:r>
      <w:r w:rsidRPr="00BD1319">
        <w:rPr>
          <w:rFonts w:cs="Arial"/>
          <w:spacing w:val="-3"/>
        </w:rPr>
        <w:t xml:space="preserve">consultar el Decreto 1076 de 2015, Parte 2 Reglamentaciones, Título 2 Biodiversidad, Capítulo 1 Flora </w:t>
      </w:r>
      <w:r w:rsidR="004E1960" w:rsidRPr="00BD1319">
        <w:rPr>
          <w:rFonts w:cs="Arial"/>
          <w:spacing w:val="-3"/>
        </w:rPr>
        <w:t>s</w:t>
      </w:r>
      <w:r w:rsidRPr="00BD1319">
        <w:rPr>
          <w:rFonts w:cs="Arial"/>
          <w:spacing w:val="-3"/>
        </w:rPr>
        <w:t>ilvestre</w:t>
      </w:r>
      <w:r w:rsidR="004E1960" w:rsidRPr="00BD1319">
        <w:rPr>
          <w:rFonts w:cs="Arial"/>
          <w:spacing w:val="-3"/>
        </w:rPr>
        <w:t>;</w:t>
      </w:r>
      <w:r w:rsidRPr="00BD1319">
        <w:rPr>
          <w:rFonts w:cs="Arial"/>
          <w:spacing w:val="-3"/>
        </w:rPr>
        <w:t xml:space="preserve"> </w:t>
      </w:r>
      <w:r w:rsidR="00F23EFB" w:rsidRPr="00BD1319">
        <w:rPr>
          <w:rFonts w:cs="Arial"/>
          <w:spacing w:val="-3"/>
        </w:rPr>
        <w:t>as</w:t>
      </w:r>
      <w:r w:rsidR="004E1960" w:rsidRPr="00BD1319">
        <w:rPr>
          <w:rFonts w:cs="Arial"/>
          <w:spacing w:val="-3"/>
        </w:rPr>
        <w:t>i</w:t>
      </w:r>
      <w:r w:rsidR="00F23EFB" w:rsidRPr="00BD1319">
        <w:rPr>
          <w:rFonts w:cs="Arial"/>
          <w:spacing w:val="-3"/>
        </w:rPr>
        <w:t>mismo, en caso de requerir la intervención y aprovechamiento en plantaciones forestales</w:t>
      </w:r>
      <w:r w:rsidR="004E1960" w:rsidRPr="00BD1319">
        <w:rPr>
          <w:rFonts w:cs="Arial"/>
          <w:spacing w:val="-3"/>
        </w:rPr>
        <w:t>,</w:t>
      </w:r>
      <w:r w:rsidR="00F23EFB" w:rsidRPr="00BD1319">
        <w:rPr>
          <w:rFonts w:cs="Arial"/>
          <w:spacing w:val="-3"/>
        </w:rPr>
        <w:t xml:space="preserve"> se debe considerar lo establecido </w:t>
      </w:r>
      <w:r w:rsidR="004E1960" w:rsidRPr="00BD1319">
        <w:rPr>
          <w:rFonts w:cs="Arial"/>
          <w:spacing w:val="-3"/>
        </w:rPr>
        <w:t xml:space="preserve">en </w:t>
      </w:r>
      <w:r w:rsidR="00F23EFB" w:rsidRPr="00BD1319">
        <w:rPr>
          <w:rFonts w:cs="Arial"/>
          <w:spacing w:val="-3"/>
        </w:rPr>
        <w:t>el Decreto 1532 de 2019</w:t>
      </w:r>
      <w:r w:rsidR="00AF5CFC" w:rsidRPr="00BD1319">
        <w:rPr>
          <w:rFonts w:cs="Arial"/>
          <w:spacing w:val="-3"/>
        </w:rPr>
        <w:t xml:space="preserve"> o aquella norma que modifique o sustituya</w:t>
      </w:r>
      <w:r w:rsidR="004E1960" w:rsidRPr="00BD1319">
        <w:rPr>
          <w:rFonts w:cs="Arial"/>
          <w:spacing w:val="-3"/>
        </w:rPr>
        <w:t>.</w:t>
      </w:r>
      <w:r w:rsidR="00F23EFB" w:rsidRPr="00BD1319">
        <w:rPr>
          <w:rFonts w:cs="Arial"/>
          <w:spacing w:val="-3"/>
        </w:rPr>
        <w:t xml:space="preserve"> </w:t>
      </w:r>
      <w:r w:rsidR="004E1960" w:rsidRPr="00BD1319">
        <w:rPr>
          <w:rFonts w:cs="Arial"/>
          <w:spacing w:val="-3"/>
        </w:rPr>
        <w:t>En ambos casos</w:t>
      </w:r>
      <w:r w:rsidR="004E1960" w:rsidRPr="00BD1319">
        <w:rPr>
          <w:rStyle w:val="Refdecomentario"/>
        </w:rPr>
        <w:t xml:space="preserve"> </w:t>
      </w:r>
      <w:r w:rsidRPr="00BD1319">
        <w:rPr>
          <w:rFonts w:cs="Arial"/>
          <w:spacing w:val="-3"/>
        </w:rPr>
        <w:t xml:space="preserve">se </w:t>
      </w:r>
      <w:r w:rsidR="004E1960" w:rsidRPr="00BD1319">
        <w:rPr>
          <w:rFonts w:cs="Arial"/>
          <w:spacing w:val="-3"/>
        </w:rPr>
        <w:t xml:space="preserve">deben </w:t>
      </w:r>
      <w:r w:rsidRPr="00BD1319">
        <w:rPr>
          <w:rFonts w:cs="Arial"/>
          <w:spacing w:val="-3"/>
        </w:rPr>
        <w:t>contempl</w:t>
      </w:r>
      <w:r w:rsidR="004E1960" w:rsidRPr="00BD1319">
        <w:rPr>
          <w:rFonts w:cs="Arial"/>
          <w:spacing w:val="-3"/>
        </w:rPr>
        <w:t>ar</w:t>
      </w:r>
      <w:r w:rsidRPr="00BD1319">
        <w:rPr>
          <w:rFonts w:cs="Arial"/>
          <w:spacing w:val="-3"/>
        </w:rPr>
        <w:t xml:space="preserve"> </w:t>
      </w:r>
      <w:r w:rsidR="004E1960" w:rsidRPr="00BD1319">
        <w:rPr>
          <w:rFonts w:cs="Arial"/>
          <w:spacing w:val="-3"/>
        </w:rPr>
        <w:t xml:space="preserve">e </w:t>
      </w:r>
      <w:r w:rsidRPr="00BD1319">
        <w:rPr>
          <w:rFonts w:cs="Arial"/>
          <w:spacing w:val="-3"/>
        </w:rPr>
        <w:t>inclu</w:t>
      </w:r>
      <w:r w:rsidR="004E1960" w:rsidRPr="00BD1319">
        <w:rPr>
          <w:rFonts w:cs="Arial"/>
          <w:spacing w:val="-3"/>
        </w:rPr>
        <w:t>ir</w:t>
      </w:r>
      <w:r w:rsidRPr="00BD1319">
        <w:rPr>
          <w:rFonts w:cs="Arial"/>
          <w:spacing w:val="-3"/>
        </w:rPr>
        <w:t xml:space="preserve"> los requerimientos establecidos por la norma </w:t>
      </w:r>
      <w:r w:rsidR="004E1960" w:rsidRPr="00BD1319">
        <w:rPr>
          <w:rFonts w:cs="Arial"/>
          <w:spacing w:val="-3"/>
        </w:rPr>
        <w:t xml:space="preserve">que corresponda </w:t>
      </w:r>
      <w:r w:rsidRPr="00BD1319">
        <w:rPr>
          <w:rFonts w:cs="Arial"/>
          <w:spacing w:val="-3"/>
        </w:rPr>
        <w:t xml:space="preserve">o aquella que la modifique o sustituya. En este sentido, </w:t>
      </w:r>
      <w:r w:rsidR="004E1960" w:rsidRPr="00BD1319">
        <w:rPr>
          <w:rFonts w:cs="Arial"/>
          <w:spacing w:val="-3"/>
        </w:rPr>
        <w:t xml:space="preserve">para </w:t>
      </w:r>
      <w:r w:rsidRPr="00BD1319">
        <w:rPr>
          <w:rFonts w:cs="Arial"/>
          <w:spacing w:val="-3"/>
        </w:rPr>
        <w:t xml:space="preserve">la solicitud del permiso de aprovechamiento forestal </w:t>
      </w:r>
      <w:r w:rsidR="009661A1" w:rsidRPr="00BD1319">
        <w:rPr>
          <w:rFonts w:cs="Arial"/>
          <w:spacing w:val="-3"/>
        </w:rPr>
        <w:t>es necesario atender los siguientes lineamientos</w:t>
      </w:r>
      <w:r w:rsidR="004E1960" w:rsidRPr="00BD1319">
        <w:rPr>
          <w:spacing w:val="-3"/>
        </w:rPr>
        <w:t>.</w:t>
      </w:r>
    </w:p>
    <w:p w14:paraId="1D87227C" w14:textId="77777777" w:rsidR="004A1B3C" w:rsidRPr="00BD1319" w:rsidRDefault="004A1B3C" w:rsidP="00C86DA5">
      <w:pPr>
        <w:rPr>
          <w:spacing w:val="-3"/>
        </w:rPr>
      </w:pPr>
    </w:p>
    <w:p w14:paraId="6442A5F8" w14:textId="74FC3F25" w:rsidR="004A1B3C" w:rsidRPr="00BD1319" w:rsidRDefault="004E1960" w:rsidP="004A1B3C">
      <w:pPr>
        <w:rPr>
          <w:rFonts w:cs="Arial"/>
          <w:spacing w:val="-3"/>
        </w:rPr>
      </w:pPr>
      <w:r w:rsidRPr="00BD1319">
        <w:rPr>
          <w:spacing w:val="-3"/>
        </w:rPr>
        <w:t>De acuerdo c</w:t>
      </w:r>
      <w:r w:rsidR="00F23EFB" w:rsidRPr="00BD1319">
        <w:rPr>
          <w:spacing w:val="-3"/>
        </w:rPr>
        <w:t xml:space="preserve">on </w:t>
      </w:r>
      <w:r w:rsidRPr="00BD1319">
        <w:rPr>
          <w:spacing w:val="-3"/>
        </w:rPr>
        <w:t xml:space="preserve">las </w:t>
      </w:r>
      <w:r w:rsidR="00F23EFB" w:rsidRPr="00BD1319">
        <w:rPr>
          <w:rFonts w:cs="Arial"/>
          <w:spacing w:val="-3"/>
        </w:rPr>
        <w:t>características del proyecto</w:t>
      </w:r>
      <w:r w:rsidR="00F23EFB" w:rsidRPr="00BD1319">
        <w:rPr>
          <w:spacing w:val="-3"/>
        </w:rPr>
        <w:t xml:space="preserve">, obra o actividad, </w:t>
      </w:r>
      <w:r w:rsidRPr="00BD1319">
        <w:rPr>
          <w:spacing w:val="-3"/>
        </w:rPr>
        <w:t xml:space="preserve">se debe </w:t>
      </w:r>
      <w:r w:rsidR="00F23EFB" w:rsidRPr="00BD1319">
        <w:rPr>
          <w:rFonts w:cs="Arial"/>
          <w:spacing w:val="-3"/>
        </w:rPr>
        <w:t xml:space="preserve">realizar </w:t>
      </w:r>
      <w:r w:rsidRPr="00BD1319">
        <w:rPr>
          <w:rFonts w:cs="Arial"/>
          <w:spacing w:val="-3"/>
        </w:rPr>
        <w:t>un</w:t>
      </w:r>
      <w:r w:rsidR="004A1B3C" w:rsidRPr="00BD1319">
        <w:rPr>
          <w:rFonts w:cs="Arial"/>
          <w:spacing w:val="-3"/>
        </w:rPr>
        <w:t xml:space="preserve"> muestreo o </w:t>
      </w:r>
      <w:r w:rsidRPr="00BD1319">
        <w:rPr>
          <w:rFonts w:cs="Arial"/>
          <w:spacing w:val="-3"/>
        </w:rPr>
        <w:t xml:space="preserve">un </w:t>
      </w:r>
      <w:r w:rsidR="004A1B3C" w:rsidRPr="00BD1319">
        <w:rPr>
          <w:rFonts w:cs="Arial"/>
          <w:spacing w:val="-3"/>
        </w:rPr>
        <w:t>censo</w:t>
      </w:r>
      <w:r w:rsidR="00F23EFB" w:rsidRPr="00BD1319">
        <w:rPr>
          <w:rFonts w:cs="Arial"/>
          <w:spacing w:val="-3"/>
        </w:rPr>
        <w:t xml:space="preserve"> forestal</w:t>
      </w:r>
      <w:r w:rsidR="004A1B3C" w:rsidRPr="00BD1319">
        <w:rPr>
          <w:rFonts w:cs="Arial"/>
          <w:vertAlign w:val="superscript"/>
        </w:rPr>
        <w:footnoteReference w:id="180"/>
      </w:r>
      <w:r w:rsidR="004A1B3C" w:rsidRPr="00BD1319">
        <w:rPr>
          <w:spacing w:val="-3"/>
        </w:rPr>
        <w:t xml:space="preserve"> en l</w:t>
      </w:r>
      <w:r w:rsidR="00E85A32" w:rsidRPr="00BD1319">
        <w:rPr>
          <w:spacing w:val="-3"/>
        </w:rPr>
        <w:t>o</w:t>
      </w:r>
      <w:r w:rsidR="004A1B3C" w:rsidRPr="00BD1319">
        <w:rPr>
          <w:spacing w:val="-3"/>
        </w:rPr>
        <w:t xml:space="preserve">s </w:t>
      </w:r>
      <w:r w:rsidR="00E85A32" w:rsidRPr="00BD1319">
        <w:rPr>
          <w:spacing w:val="-3"/>
        </w:rPr>
        <w:t xml:space="preserve">ecosistemas </w:t>
      </w:r>
      <w:r w:rsidR="009661A1" w:rsidRPr="00BD1319">
        <w:rPr>
          <w:spacing w:val="-3"/>
        </w:rPr>
        <w:t>en l</w:t>
      </w:r>
      <w:r w:rsidR="00E85A32" w:rsidRPr="00BD1319">
        <w:rPr>
          <w:spacing w:val="-3"/>
        </w:rPr>
        <w:t>o</w:t>
      </w:r>
      <w:r w:rsidR="009661A1" w:rsidRPr="00BD1319">
        <w:rPr>
          <w:spacing w:val="-3"/>
        </w:rPr>
        <w:t xml:space="preserve">s que </w:t>
      </w:r>
      <w:r w:rsidR="004A1B3C" w:rsidRPr="00BD1319">
        <w:rPr>
          <w:spacing w:val="-3"/>
        </w:rPr>
        <w:t>se prevé realizar el aprovechamiento forestal (</w:t>
      </w:r>
      <w:r w:rsidR="00C73C64" w:rsidRPr="00BD1319">
        <w:rPr>
          <w:spacing w:val="-3"/>
        </w:rPr>
        <w:t xml:space="preserve">dadas </w:t>
      </w:r>
      <w:r w:rsidR="004A1B3C" w:rsidRPr="00BD1319">
        <w:rPr>
          <w:spacing w:val="-3"/>
        </w:rPr>
        <w:t>las actividades y obras del proyecto)</w:t>
      </w:r>
      <w:r w:rsidR="009661A1" w:rsidRPr="00BD1319">
        <w:rPr>
          <w:spacing w:val="-3"/>
        </w:rPr>
        <w:t xml:space="preserve">; el periodo de tiempo </w:t>
      </w:r>
      <w:r w:rsidR="004A1B3C" w:rsidRPr="00BD1319">
        <w:rPr>
          <w:rFonts w:cs="Arial"/>
          <w:spacing w:val="-3"/>
        </w:rPr>
        <w:t xml:space="preserve">entre la toma de datos y la solicitud del permiso no </w:t>
      </w:r>
      <w:r w:rsidR="009661A1" w:rsidRPr="00BD1319">
        <w:rPr>
          <w:rFonts w:cs="Arial"/>
          <w:spacing w:val="-3"/>
        </w:rPr>
        <w:t xml:space="preserve">debe </w:t>
      </w:r>
      <w:r w:rsidR="004A1B3C" w:rsidRPr="00BD1319">
        <w:rPr>
          <w:rFonts w:cs="Arial"/>
          <w:spacing w:val="-3"/>
        </w:rPr>
        <w:t>exced</w:t>
      </w:r>
      <w:r w:rsidR="009661A1" w:rsidRPr="00BD1319">
        <w:rPr>
          <w:rFonts w:cs="Arial"/>
          <w:spacing w:val="-3"/>
        </w:rPr>
        <w:t>er</w:t>
      </w:r>
      <w:r w:rsidR="004A1B3C" w:rsidRPr="00BD1319">
        <w:rPr>
          <w:rFonts w:cs="Arial"/>
          <w:spacing w:val="-3"/>
        </w:rPr>
        <w:t xml:space="preserve"> los 3 años.</w:t>
      </w:r>
    </w:p>
    <w:p w14:paraId="6BE5FA66" w14:textId="77777777" w:rsidR="004A1B3C" w:rsidRPr="00BD1319" w:rsidRDefault="004A1B3C" w:rsidP="00C86DA5">
      <w:pPr>
        <w:numPr>
          <w:ilvl w:val="12"/>
          <w:numId w:val="0"/>
        </w:numPr>
        <w:tabs>
          <w:tab w:val="left" w:pos="-2268"/>
        </w:tabs>
        <w:suppressAutoHyphens/>
        <w:rPr>
          <w:spacing w:val="-3"/>
        </w:rPr>
      </w:pPr>
    </w:p>
    <w:p w14:paraId="70C41D0D" w14:textId="19F66C8A" w:rsidR="004A1B3C" w:rsidRPr="00BD1319" w:rsidRDefault="009D3113" w:rsidP="00C86DA5">
      <w:pPr>
        <w:rPr>
          <w:spacing w:val="-3"/>
        </w:rPr>
      </w:pPr>
      <w:r w:rsidRPr="00BD1319">
        <w:rPr>
          <w:spacing w:val="-3"/>
        </w:rPr>
        <w:t xml:space="preserve">Se deben indicar las técnicas empleadas en cualquiera de los casos (muestreo o censo), teniendo en cuenta que, para los muestreos en cada ecosistema de manera independiente, </w:t>
      </w:r>
      <w:r w:rsidRPr="00BD1319">
        <w:rPr>
          <w:spacing w:val="-3"/>
        </w:rPr>
        <w:lastRenderedPageBreak/>
        <w:t>el error de muestreo no puede ser superior al 15% y la probabilidad debe ser del 95% utilizando como variables el volumen total o el área basal de las unidades de ecosistemas en las que se prevé el aprovechamiento; se deben presentar los análisis estadísticos detallados incluyendo los soportes correspondientes a los inventarios forestales. Asimismo, se debe presentar un cuadro resumen por tipo de ecosistema de los principales parámetros estadísticos conducentes al cálculo del error de muestreo.</w:t>
      </w:r>
    </w:p>
    <w:p w14:paraId="2E9B819F" w14:textId="77777777" w:rsidR="004A1B3C" w:rsidRPr="00BD1319" w:rsidRDefault="004A1B3C" w:rsidP="00C86DA5">
      <w:pPr>
        <w:rPr>
          <w:spacing w:val="-3"/>
        </w:rPr>
      </w:pPr>
    </w:p>
    <w:p w14:paraId="1EC87B05" w14:textId="210E438F" w:rsidR="004A1B3C" w:rsidRPr="00BD1319" w:rsidRDefault="004A1B3C" w:rsidP="004A1B3C">
      <w:pPr>
        <w:rPr>
          <w:rFonts w:cs="Arial"/>
          <w:spacing w:val="-3"/>
        </w:rPr>
      </w:pPr>
      <w:bookmarkStart w:id="3116" w:name="_Hlk42766209"/>
      <w:r w:rsidRPr="00BD1319">
        <w:rPr>
          <w:rFonts w:cs="Arial"/>
          <w:spacing w:val="-3"/>
        </w:rPr>
        <w:t>En caso de requ</w:t>
      </w:r>
      <w:r w:rsidR="007D7A77" w:rsidRPr="00BD1319">
        <w:rPr>
          <w:rFonts w:cs="Arial"/>
          <w:spacing w:val="-3"/>
        </w:rPr>
        <w:t>erir</w:t>
      </w:r>
      <w:r w:rsidRPr="00BD1319">
        <w:rPr>
          <w:rFonts w:cs="Arial"/>
          <w:spacing w:val="-3"/>
        </w:rPr>
        <w:t xml:space="preserve"> el aprovechamiento de especies en veda nacional o regional, se debe presentar la información específica de </w:t>
      </w:r>
      <w:r w:rsidR="00FB4B5C" w:rsidRPr="00BD1319">
        <w:rPr>
          <w:rFonts w:cs="Arial"/>
          <w:spacing w:val="-3"/>
        </w:rPr>
        <w:t xml:space="preserve">tales </w:t>
      </w:r>
      <w:r w:rsidRPr="00BD1319">
        <w:rPr>
          <w:rFonts w:cs="Arial"/>
          <w:spacing w:val="-3"/>
        </w:rPr>
        <w:t>individuos de acuerdo con l</w:t>
      </w:r>
      <w:r w:rsidR="005678D8" w:rsidRPr="00BD1319">
        <w:rPr>
          <w:rFonts w:cs="Arial"/>
          <w:spacing w:val="-3"/>
        </w:rPr>
        <w:t>o</w:t>
      </w:r>
      <w:r w:rsidRPr="00BD1319">
        <w:rPr>
          <w:rFonts w:cs="Arial"/>
          <w:spacing w:val="-3"/>
        </w:rPr>
        <w:t xml:space="preserve"> </w:t>
      </w:r>
      <w:r w:rsidR="001352A3" w:rsidRPr="00BD1319">
        <w:rPr>
          <w:rFonts w:cs="Arial"/>
          <w:spacing w:val="-3"/>
        </w:rPr>
        <w:t>identificado</w:t>
      </w:r>
      <w:r w:rsidR="005678D8" w:rsidRPr="00BD1319">
        <w:rPr>
          <w:rFonts w:cs="Arial"/>
          <w:spacing w:val="-3"/>
        </w:rPr>
        <w:t xml:space="preserve"> en </w:t>
      </w:r>
      <w:r w:rsidR="001352A3" w:rsidRPr="00BD1319">
        <w:rPr>
          <w:rFonts w:cs="Arial"/>
          <w:spacing w:val="-3"/>
        </w:rPr>
        <w:t xml:space="preserve">la </w:t>
      </w:r>
      <w:r w:rsidRPr="00BD1319">
        <w:rPr>
          <w:rFonts w:cs="Arial"/>
          <w:spacing w:val="-3"/>
        </w:rPr>
        <w:t>caracterización</w:t>
      </w:r>
      <w:r w:rsidR="005678D8" w:rsidRPr="00BD1319">
        <w:rPr>
          <w:rFonts w:cs="Arial"/>
          <w:spacing w:val="-3"/>
        </w:rPr>
        <w:t xml:space="preserve"> ambiental</w:t>
      </w:r>
      <w:r w:rsidR="001352A3" w:rsidRPr="00BD1319">
        <w:rPr>
          <w:rFonts w:cs="Arial"/>
          <w:spacing w:val="-3"/>
        </w:rPr>
        <w:t xml:space="preserve"> (numeral </w:t>
      </w:r>
      <w:r w:rsidR="001352A3" w:rsidRPr="00BD1319">
        <w:rPr>
          <w:rFonts w:cs="Arial"/>
          <w:spacing w:val="-3"/>
        </w:rPr>
        <w:fldChar w:fldCharType="begin"/>
      </w:r>
      <w:r w:rsidR="001352A3" w:rsidRPr="00BD1319">
        <w:rPr>
          <w:rFonts w:cs="Arial"/>
          <w:spacing w:val="-3"/>
        </w:rPr>
        <w:instrText xml:space="preserve"> REF _Ref78450392 \r \h  \* MERGEFORMAT </w:instrText>
      </w:r>
      <w:r w:rsidR="001352A3" w:rsidRPr="00BD1319">
        <w:rPr>
          <w:rFonts w:cs="Arial"/>
          <w:spacing w:val="-3"/>
        </w:rPr>
      </w:r>
      <w:r w:rsidR="001352A3" w:rsidRPr="00BD1319">
        <w:rPr>
          <w:rFonts w:cs="Arial"/>
          <w:spacing w:val="-3"/>
        </w:rPr>
        <w:fldChar w:fldCharType="separate"/>
      </w:r>
      <w:r w:rsidR="00296654" w:rsidRPr="00BD1319">
        <w:rPr>
          <w:rFonts w:cs="Arial"/>
          <w:spacing w:val="-3"/>
        </w:rPr>
        <w:t>4.2.2.1.1.1</w:t>
      </w:r>
      <w:r w:rsidR="001352A3" w:rsidRPr="00BD1319">
        <w:rPr>
          <w:rFonts w:cs="Arial"/>
          <w:spacing w:val="-3"/>
        </w:rPr>
        <w:fldChar w:fldCharType="end"/>
      </w:r>
      <w:r w:rsidR="001352A3" w:rsidRPr="00BD1319">
        <w:rPr>
          <w:rFonts w:cs="Arial"/>
          <w:spacing w:val="-3"/>
        </w:rPr>
        <w:t>)</w:t>
      </w:r>
      <w:r w:rsidR="005678D8" w:rsidRPr="00BD1319">
        <w:rPr>
          <w:rFonts w:cs="Arial"/>
          <w:spacing w:val="-3"/>
        </w:rPr>
        <w:t>,</w:t>
      </w:r>
      <w:r w:rsidRPr="00BD1319">
        <w:rPr>
          <w:rFonts w:cs="Arial"/>
          <w:spacing w:val="-3"/>
        </w:rPr>
        <w:t xml:space="preserve"> en </w:t>
      </w:r>
      <w:r w:rsidR="005678D8" w:rsidRPr="00BD1319">
        <w:rPr>
          <w:rFonts w:cs="Arial"/>
          <w:spacing w:val="-3"/>
        </w:rPr>
        <w:t>e</w:t>
      </w:r>
      <w:r w:rsidRPr="00BD1319">
        <w:rPr>
          <w:rFonts w:cs="Arial"/>
          <w:spacing w:val="-3"/>
        </w:rPr>
        <w:t xml:space="preserve">l cual se establecen los lineamientos para la </w:t>
      </w:r>
      <w:r w:rsidR="005678D8" w:rsidRPr="00BD1319">
        <w:rPr>
          <w:rFonts w:cs="Arial"/>
          <w:spacing w:val="-3"/>
        </w:rPr>
        <w:t xml:space="preserve">recolección </w:t>
      </w:r>
      <w:r w:rsidRPr="00BD1319">
        <w:rPr>
          <w:rFonts w:cs="Arial"/>
          <w:spacing w:val="-3"/>
        </w:rPr>
        <w:t xml:space="preserve">de información de </w:t>
      </w:r>
      <w:r w:rsidR="001352A3" w:rsidRPr="00BD1319">
        <w:rPr>
          <w:rFonts w:cs="Arial"/>
          <w:spacing w:val="-3"/>
        </w:rPr>
        <w:t xml:space="preserve">especies arbóreas y helechos arborescentes </w:t>
      </w:r>
      <w:r w:rsidR="005678D8" w:rsidRPr="00BD1319">
        <w:rPr>
          <w:rFonts w:cs="Arial"/>
          <w:spacing w:val="-3"/>
        </w:rPr>
        <w:t>en veda</w:t>
      </w:r>
      <w:r w:rsidRPr="00BD1319">
        <w:rPr>
          <w:rFonts w:cs="Arial"/>
          <w:spacing w:val="-3"/>
        </w:rPr>
        <w:t>.</w:t>
      </w:r>
    </w:p>
    <w:bookmarkEnd w:id="3116"/>
    <w:p w14:paraId="0C242285" w14:textId="77777777" w:rsidR="004A1B3C" w:rsidRPr="00BD1319" w:rsidRDefault="004A1B3C" w:rsidP="004A1B3C">
      <w:pPr>
        <w:numPr>
          <w:ilvl w:val="12"/>
          <w:numId w:val="0"/>
        </w:numPr>
        <w:tabs>
          <w:tab w:val="left" w:pos="-2268"/>
        </w:tabs>
        <w:suppressAutoHyphens/>
        <w:rPr>
          <w:rFonts w:cs="Arial"/>
          <w:spacing w:val="-3"/>
        </w:rPr>
      </w:pPr>
    </w:p>
    <w:p w14:paraId="614D0887" w14:textId="76D9F58D" w:rsidR="004A1B3C" w:rsidRPr="00BD1319" w:rsidRDefault="004A1B3C" w:rsidP="00C86DA5">
      <w:pPr>
        <w:rPr>
          <w:spacing w:val="-3"/>
        </w:rPr>
      </w:pPr>
      <w:r w:rsidRPr="00BD1319">
        <w:rPr>
          <w:rFonts w:cs="Arial"/>
          <w:spacing w:val="-3"/>
        </w:rPr>
        <w:t>Se debe presentar el tipo</w:t>
      </w:r>
      <w:r w:rsidRPr="00BD1319">
        <w:rPr>
          <w:spacing w:val="-3"/>
        </w:rPr>
        <w:t xml:space="preserve"> de muestreo realizado, incluyendo el número</w:t>
      </w:r>
      <w:r w:rsidR="00FB4B5C" w:rsidRPr="00BD1319">
        <w:rPr>
          <w:spacing w:val="-3"/>
        </w:rPr>
        <w:t>,</w:t>
      </w:r>
      <w:r w:rsidRPr="00BD1319">
        <w:rPr>
          <w:spacing w:val="-3"/>
        </w:rPr>
        <w:t xml:space="preserve"> tamaño </w:t>
      </w:r>
      <w:r w:rsidR="00FB4B5C" w:rsidRPr="00BD1319">
        <w:rPr>
          <w:spacing w:val="-3"/>
        </w:rPr>
        <w:t xml:space="preserve">y forma </w:t>
      </w:r>
      <w:r w:rsidRPr="00BD1319">
        <w:rPr>
          <w:spacing w:val="-3"/>
        </w:rPr>
        <w:t>de las parcelas de muestreo</w:t>
      </w:r>
      <w:r w:rsidRPr="00BD1319">
        <w:rPr>
          <w:rFonts w:cs="Arial"/>
          <w:spacing w:val="-3"/>
        </w:rPr>
        <w:t>,</w:t>
      </w:r>
      <w:r w:rsidRPr="00BD1319">
        <w:rPr>
          <w:spacing w:val="-3"/>
        </w:rPr>
        <w:t xml:space="preserve"> los volúmenes totales de aprovechamiento por cada tipo de </w:t>
      </w:r>
      <w:r w:rsidR="005678D8" w:rsidRPr="00BD1319">
        <w:rPr>
          <w:spacing w:val="-3"/>
        </w:rPr>
        <w:t xml:space="preserve">unidad de </w:t>
      </w:r>
      <w:r w:rsidRPr="00BD1319">
        <w:rPr>
          <w:spacing w:val="-3"/>
        </w:rPr>
        <w:t xml:space="preserve">cobertura vegetal y </w:t>
      </w:r>
      <w:r w:rsidR="005678D8" w:rsidRPr="00BD1319">
        <w:rPr>
          <w:spacing w:val="-3"/>
        </w:rPr>
        <w:t xml:space="preserve">los </w:t>
      </w:r>
      <w:r w:rsidRPr="00BD1319">
        <w:rPr>
          <w:spacing w:val="-3"/>
        </w:rPr>
        <w:t>cálculos que soporten el volumen promedio por hectárea, especificando las fórmulas utilizadas y el factor de forma. De igual manera, se deben presentar los cálculos para la determinación del tamaño de la muestra para cada unidad de cobertura vegetal.</w:t>
      </w:r>
    </w:p>
    <w:p w14:paraId="634D166E" w14:textId="77777777" w:rsidR="004A1B3C" w:rsidRPr="00BD1319" w:rsidRDefault="004A1B3C" w:rsidP="00C86DA5">
      <w:pPr>
        <w:rPr>
          <w:spacing w:val="-3"/>
        </w:rPr>
      </w:pPr>
    </w:p>
    <w:p w14:paraId="1F626FAD" w14:textId="77777777" w:rsidR="004A1B3C" w:rsidRPr="00BD1319" w:rsidRDefault="004A1B3C" w:rsidP="004A1B3C">
      <w:pPr>
        <w:rPr>
          <w:rFonts w:cs="Arial"/>
          <w:spacing w:val="-3"/>
        </w:rPr>
      </w:pPr>
      <w:r w:rsidRPr="00BD1319">
        <w:rPr>
          <w:rFonts w:cs="Arial"/>
          <w:spacing w:val="-3"/>
        </w:rPr>
        <w:t>Cada individuo muestreado o censado debe ser marcado mediante un sistema que permita su clara identificación en el marco de la evaluación y seguimiento de las actividades de ejecución del proyecto, sin que esto implique el detrimento del estado fitosanitario del individuo.</w:t>
      </w:r>
    </w:p>
    <w:p w14:paraId="1E63010A" w14:textId="77777777" w:rsidR="004A1B3C" w:rsidRPr="00BD1319" w:rsidRDefault="004A1B3C" w:rsidP="004A1B3C">
      <w:pPr>
        <w:rPr>
          <w:rFonts w:cs="Arial"/>
          <w:spacing w:val="-3"/>
        </w:rPr>
      </w:pPr>
    </w:p>
    <w:p w14:paraId="572B9128" w14:textId="62B5E397" w:rsidR="004A1B3C" w:rsidRPr="00BD1319" w:rsidRDefault="005678D8" w:rsidP="004A1B3C">
      <w:pPr>
        <w:rPr>
          <w:rFonts w:cs="Arial"/>
          <w:spacing w:val="-3"/>
        </w:rPr>
      </w:pPr>
      <w:r w:rsidRPr="00BD1319">
        <w:rPr>
          <w:rFonts w:cs="Arial"/>
          <w:spacing w:val="-3"/>
        </w:rPr>
        <w:t xml:space="preserve">Se deben </w:t>
      </w:r>
      <w:r w:rsidR="00753425" w:rsidRPr="00BD1319">
        <w:rPr>
          <w:rFonts w:cs="Arial"/>
          <w:spacing w:val="-3"/>
        </w:rPr>
        <w:t xml:space="preserve">determinar </w:t>
      </w:r>
      <w:r w:rsidR="004A1B3C" w:rsidRPr="00BD1319">
        <w:rPr>
          <w:rFonts w:cs="Arial"/>
          <w:spacing w:val="-3"/>
        </w:rPr>
        <w:t>todos los individuos a nivel de especie (genero, epíteto espec</w:t>
      </w:r>
      <w:r w:rsidR="00F23EFB" w:rsidRPr="00BD1319">
        <w:rPr>
          <w:rFonts w:cs="Arial"/>
          <w:spacing w:val="-3"/>
        </w:rPr>
        <w:t>í</w:t>
      </w:r>
      <w:r w:rsidR="004A1B3C" w:rsidRPr="00BD1319">
        <w:rPr>
          <w:rFonts w:cs="Arial"/>
          <w:spacing w:val="-3"/>
        </w:rPr>
        <w:t>fico y autor)</w:t>
      </w:r>
      <w:r w:rsidRPr="00BD1319">
        <w:rPr>
          <w:rFonts w:cs="Arial"/>
          <w:spacing w:val="-3"/>
        </w:rPr>
        <w:t>,</w:t>
      </w:r>
      <w:r w:rsidR="004A1B3C" w:rsidRPr="00BD1319">
        <w:rPr>
          <w:rFonts w:cs="Arial"/>
          <w:spacing w:val="-3"/>
        </w:rPr>
        <w:t xml:space="preserve"> </w:t>
      </w:r>
      <w:r w:rsidRPr="00BD1319">
        <w:rPr>
          <w:rFonts w:cs="Arial"/>
          <w:spacing w:val="-3"/>
        </w:rPr>
        <w:t xml:space="preserve">señalando </w:t>
      </w:r>
      <w:r w:rsidR="00A76DFF" w:rsidRPr="00BD1319">
        <w:rPr>
          <w:rFonts w:cs="Arial"/>
          <w:spacing w:val="-3"/>
        </w:rPr>
        <w:t xml:space="preserve">el estado de conservación de </w:t>
      </w:r>
      <w:r w:rsidR="001352A3" w:rsidRPr="00BD1319">
        <w:rPr>
          <w:rFonts w:cs="Arial"/>
          <w:spacing w:val="-3"/>
        </w:rPr>
        <w:t>ésta</w:t>
      </w:r>
      <w:r w:rsidR="00A76DFF" w:rsidRPr="00BD1319">
        <w:rPr>
          <w:rFonts w:cs="Arial"/>
          <w:spacing w:val="-3"/>
        </w:rPr>
        <w:t xml:space="preserve"> (categoría de amenaza) y sus condiciones particulares de </w:t>
      </w:r>
      <w:r w:rsidR="004A1B3C" w:rsidRPr="00BD1319">
        <w:rPr>
          <w:rFonts w:cs="Arial"/>
          <w:spacing w:val="-3"/>
        </w:rPr>
        <w:t>veda o endemismo.</w:t>
      </w:r>
    </w:p>
    <w:p w14:paraId="3D6C9209" w14:textId="77777777" w:rsidR="004A1B3C" w:rsidRPr="00BD1319" w:rsidRDefault="004A1B3C" w:rsidP="004A1B3C">
      <w:pPr>
        <w:rPr>
          <w:rFonts w:cs="Arial"/>
          <w:spacing w:val="-3"/>
        </w:rPr>
      </w:pPr>
    </w:p>
    <w:p w14:paraId="092B2955" w14:textId="5A8F7FC8" w:rsidR="004A1B3C" w:rsidRPr="00BD1319" w:rsidRDefault="00A76DFF" w:rsidP="004A1B3C">
      <w:pPr>
        <w:rPr>
          <w:rFonts w:cs="Arial"/>
          <w:spacing w:val="-3"/>
        </w:rPr>
      </w:pPr>
      <w:r w:rsidRPr="00BD1319">
        <w:rPr>
          <w:rFonts w:cs="Arial"/>
          <w:spacing w:val="-3"/>
        </w:rPr>
        <w:t>Se debe elaborar c</w:t>
      </w:r>
      <w:r w:rsidR="004A1B3C" w:rsidRPr="00BD1319">
        <w:rPr>
          <w:rFonts w:cs="Arial"/>
          <w:spacing w:val="-3"/>
        </w:rPr>
        <w:t>artografía de acuerdo con la estructura del Modelo de Almacenamiento Geográfico que contenga</w:t>
      </w:r>
      <w:r w:rsidRPr="00BD1319">
        <w:rPr>
          <w:rFonts w:cs="Arial"/>
          <w:spacing w:val="-3"/>
        </w:rPr>
        <w:t xml:space="preserve"> la siguiente información</w:t>
      </w:r>
      <w:r w:rsidR="004A1B3C" w:rsidRPr="00BD1319">
        <w:rPr>
          <w:rFonts w:cs="Arial"/>
          <w:spacing w:val="-3"/>
        </w:rPr>
        <w:t>:</w:t>
      </w:r>
    </w:p>
    <w:p w14:paraId="57DD4EFC" w14:textId="77777777" w:rsidR="004A1B3C" w:rsidRPr="00BD1319" w:rsidRDefault="004A1B3C" w:rsidP="004A1B3C">
      <w:pPr>
        <w:numPr>
          <w:ilvl w:val="12"/>
          <w:numId w:val="0"/>
        </w:numPr>
        <w:tabs>
          <w:tab w:val="left" w:pos="-2268"/>
        </w:tabs>
        <w:suppressAutoHyphens/>
        <w:rPr>
          <w:rFonts w:cs="Arial"/>
          <w:spacing w:val="-3"/>
        </w:rPr>
      </w:pPr>
    </w:p>
    <w:p w14:paraId="602C00B9" w14:textId="4FB1D8F0" w:rsidR="004A1B3C" w:rsidRPr="00BD1319" w:rsidRDefault="004A1B3C" w:rsidP="00C86DA5">
      <w:pPr>
        <w:pStyle w:val="Prrafodelista"/>
        <w:numPr>
          <w:ilvl w:val="0"/>
          <w:numId w:val="76"/>
        </w:numPr>
        <w:ind w:left="567" w:hanging="567"/>
        <w:rPr>
          <w:spacing w:val="-3"/>
          <w:lang w:val="es-CO"/>
        </w:rPr>
      </w:pPr>
      <w:r w:rsidRPr="00BD1319">
        <w:rPr>
          <w:spacing w:val="-3"/>
          <w:lang w:val="es-CO"/>
        </w:rPr>
        <w:t xml:space="preserve">Localización y georreferenciación de </w:t>
      </w:r>
      <w:r w:rsidRPr="00BD1319">
        <w:rPr>
          <w:rFonts w:cs="Arial"/>
          <w:spacing w:val="-3"/>
          <w:lang w:val="es-CO"/>
        </w:rPr>
        <w:t xml:space="preserve">individuos censados o </w:t>
      </w:r>
      <w:r w:rsidR="00A76DFF" w:rsidRPr="00BD1319">
        <w:rPr>
          <w:rFonts w:cs="Arial"/>
          <w:spacing w:val="-3"/>
          <w:lang w:val="es-CO"/>
        </w:rPr>
        <w:t xml:space="preserve">de </w:t>
      </w:r>
      <w:r w:rsidRPr="00BD1319">
        <w:rPr>
          <w:spacing w:val="-3"/>
          <w:lang w:val="es-CO"/>
        </w:rPr>
        <w:t xml:space="preserve">las parcelas </w:t>
      </w:r>
      <w:r w:rsidRPr="00BD1319">
        <w:rPr>
          <w:rFonts w:cs="Arial"/>
          <w:spacing w:val="-3"/>
          <w:lang w:val="es-CO"/>
        </w:rPr>
        <w:t>de muestreo asociad</w:t>
      </w:r>
      <w:r w:rsidR="00A76DFF" w:rsidRPr="00BD1319">
        <w:rPr>
          <w:rFonts w:cs="Arial"/>
          <w:spacing w:val="-3"/>
          <w:lang w:val="es-CO"/>
        </w:rPr>
        <w:t>a</w:t>
      </w:r>
      <w:r w:rsidRPr="00BD1319">
        <w:rPr>
          <w:rFonts w:cs="Arial"/>
          <w:spacing w:val="-3"/>
          <w:lang w:val="es-CO"/>
        </w:rPr>
        <w:t xml:space="preserve">s a las </w:t>
      </w:r>
      <w:r w:rsidR="00A76DFF" w:rsidRPr="00BD1319">
        <w:rPr>
          <w:rFonts w:cs="Arial"/>
          <w:spacing w:val="-3"/>
          <w:lang w:val="es-CO"/>
        </w:rPr>
        <w:t xml:space="preserve">unidades de </w:t>
      </w:r>
      <w:r w:rsidRPr="00BD1319">
        <w:rPr>
          <w:rFonts w:cs="Arial"/>
          <w:spacing w:val="-3"/>
          <w:lang w:val="es-CO"/>
        </w:rPr>
        <w:t xml:space="preserve">cobertura de la tierra, </w:t>
      </w:r>
      <w:r w:rsidRPr="00BD1319">
        <w:rPr>
          <w:spacing w:val="-3"/>
          <w:lang w:val="es-CO"/>
        </w:rPr>
        <w:t xml:space="preserve">en un mapa a la escala que establezcan los términos de referencia, o a una más detallada si el análisis lo requiere, relacionando las veredas o los corregimientos </w:t>
      </w:r>
      <w:r w:rsidR="00F23EFB" w:rsidRPr="00BD1319">
        <w:rPr>
          <w:spacing w:val="-3"/>
          <w:lang w:val="es-CO"/>
        </w:rPr>
        <w:t xml:space="preserve">municipales </w:t>
      </w:r>
      <w:r w:rsidRPr="00BD1319">
        <w:rPr>
          <w:spacing w:val="-3"/>
          <w:lang w:val="es-CO"/>
        </w:rPr>
        <w:t>y municipios en los cuales se ubican.</w:t>
      </w:r>
    </w:p>
    <w:p w14:paraId="1324979F" w14:textId="77777777" w:rsidR="004A1B3C" w:rsidRPr="00BD1319" w:rsidRDefault="004A1B3C" w:rsidP="00C86DA5">
      <w:pPr>
        <w:ind w:left="567" w:hanging="567"/>
        <w:rPr>
          <w:spacing w:val="-3"/>
        </w:rPr>
      </w:pPr>
    </w:p>
    <w:p w14:paraId="7DD95D24" w14:textId="0AAC14E8" w:rsidR="004A1B3C" w:rsidRPr="00BD1319" w:rsidRDefault="004A1B3C" w:rsidP="00C86DA5">
      <w:pPr>
        <w:pStyle w:val="Prrafodelista"/>
        <w:numPr>
          <w:ilvl w:val="0"/>
          <w:numId w:val="76"/>
        </w:numPr>
        <w:ind w:left="567" w:hanging="567"/>
        <w:rPr>
          <w:spacing w:val="-3"/>
          <w:lang w:val="es-CO"/>
        </w:rPr>
      </w:pPr>
      <w:r w:rsidRPr="00BD1319">
        <w:rPr>
          <w:rFonts w:cs="Arial"/>
          <w:spacing w:val="-3"/>
          <w:lang w:val="es-CO"/>
        </w:rPr>
        <w:t>Cantidad</w:t>
      </w:r>
      <w:r w:rsidRPr="00BD1319">
        <w:rPr>
          <w:spacing w:val="-3"/>
          <w:lang w:val="es-CO"/>
        </w:rPr>
        <w:t xml:space="preserve"> y superficie </w:t>
      </w:r>
      <w:r w:rsidR="008E68CA" w:rsidRPr="00BD1319">
        <w:rPr>
          <w:spacing w:val="-3"/>
          <w:lang w:val="es-CO"/>
        </w:rPr>
        <w:t xml:space="preserve">(área) ocupada </w:t>
      </w:r>
      <w:r w:rsidRPr="00BD1319">
        <w:rPr>
          <w:spacing w:val="-3"/>
          <w:lang w:val="es-CO"/>
        </w:rPr>
        <w:t>de la</w:t>
      </w:r>
      <w:r w:rsidR="00A76DFF" w:rsidRPr="00BD1319">
        <w:rPr>
          <w:spacing w:val="-3"/>
          <w:lang w:val="es-CO"/>
        </w:rPr>
        <w:t xml:space="preserve"> infraestructura,</w:t>
      </w:r>
      <w:r w:rsidRPr="00BD1319">
        <w:rPr>
          <w:spacing w:val="-3"/>
          <w:lang w:val="es-CO"/>
        </w:rPr>
        <w:t xml:space="preserve"> obras y/o actividades constructivas del proyecto que implican efectuar el aprovechamiento forestal, estableciendo las unidades de cobertura vegetal a intervenir</w:t>
      </w:r>
      <w:r w:rsidR="001352A3" w:rsidRPr="00BD1319">
        <w:rPr>
          <w:spacing w:val="-3"/>
          <w:lang w:val="es-CO"/>
        </w:rPr>
        <w:t xml:space="preserve"> y el estimado del volumen de aprovechamiento</w:t>
      </w:r>
      <w:r w:rsidR="008E68CA" w:rsidRPr="00BD1319">
        <w:rPr>
          <w:spacing w:val="-3"/>
          <w:lang w:val="es-CO"/>
        </w:rPr>
        <w:t xml:space="preserve"> en cada una de ellas</w:t>
      </w:r>
      <w:r w:rsidRPr="00BD1319">
        <w:rPr>
          <w:rFonts w:cs="Arial"/>
          <w:spacing w:val="-3"/>
          <w:lang w:val="es-CO"/>
        </w:rPr>
        <w:t>.</w:t>
      </w:r>
    </w:p>
    <w:p w14:paraId="16D718A1" w14:textId="77777777" w:rsidR="004A1B3C" w:rsidRPr="00BD1319" w:rsidRDefault="004A1B3C" w:rsidP="00C86DA5">
      <w:pPr>
        <w:pStyle w:val="Prrafodelista"/>
        <w:ind w:left="567" w:hanging="567"/>
        <w:rPr>
          <w:spacing w:val="-3"/>
          <w:lang w:val="es-CO"/>
        </w:rPr>
      </w:pPr>
    </w:p>
    <w:p w14:paraId="54D8975A" w14:textId="2B720CF3" w:rsidR="004A1B3C" w:rsidRPr="00BD1319" w:rsidRDefault="00A76DFF" w:rsidP="00C86DA5">
      <w:pPr>
        <w:pStyle w:val="Prrafodelista"/>
        <w:numPr>
          <w:ilvl w:val="0"/>
          <w:numId w:val="76"/>
        </w:numPr>
        <w:ind w:left="567" w:hanging="567"/>
        <w:rPr>
          <w:spacing w:val="-3"/>
          <w:lang w:val="es-CO"/>
        </w:rPr>
      </w:pPr>
      <w:r w:rsidRPr="00BD1319">
        <w:rPr>
          <w:spacing w:val="-3"/>
          <w:lang w:val="es-CO"/>
        </w:rPr>
        <w:lastRenderedPageBreak/>
        <w:t>I</w:t>
      </w:r>
      <w:r w:rsidR="004A1B3C" w:rsidRPr="00BD1319">
        <w:rPr>
          <w:spacing w:val="-3"/>
          <w:lang w:val="es-CO"/>
        </w:rPr>
        <w:t>dentifica</w:t>
      </w:r>
      <w:r w:rsidRPr="00BD1319">
        <w:rPr>
          <w:spacing w:val="-3"/>
          <w:lang w:val="es-CO"/>
        </w:rPr>
        <w:t>ción de los puntos. D</w:t>
      </w:r>
      <w:r w:rsidR="004A1B3C" w:rsidRPr="00BD1319">
        <w:rPr>
          <w:spacing w:val="-3"/>
          <w:lang w:val="es-CO"/>
        </w:rPr>
        <w:t xml:space="preserve">ebe coincidir con la marcación de los individuos en campo </w:t>
      </w:r>
      <w:r w:rsidR="004A1B3C" w:rsidRPr="00BD1319">
        <w:rPr>
          <w:rFonts w:cs="Arial"/>
          <w:spacing w:val="-3"/>
          <w:lang w:val="es-CO"/>
        </w:rPr>
        <w:t>o</w:t>
      </w:r>
      <w:r w:rsidR="004A1B3C" w:rsidRPr="00BD1319">
        <w:rPr>
          <w:spacing w:val="-3"/>
          <w:lang w:val="es-CO"/>
        </w:rPr>
        <w:t xml:space="preserve"> con la numeración </w:t>
      </w:r>
      <w:r w:rsidR="004A1B3C" w:rsidRPr="00BD1319">
        <w:rPr>
          <w:rFonts w:cs="Arial"/>
          <w:spacing w:val="-3"/>
          <w:lang w:val="es-CO"/>
        </w:rPr>
        <w:t xml:space="preserve">de las parcelas </w:t>
      </w:r>
      <w:r w:rsidRPr="00BD1319">
        <w:rPr>
          <w:rFonts w:cs="Arial"/>
          <w:spacing w:val="-3"/>
          <w:lang w:val="es-CO"/>
        </w:rPr>
        <w:t xml:space="preserve">levantadas </w:t>
      </w:r>
      <w:r w:rsidR="004A1B3C" w:rsidRPr="00BD1319">
        <w:rPr>
          <w:rFonts w:cs="Arial"/>
          <w:spacing w:val="-3"/>
          <w:lang w:val="es-CO"/>
        </w:rPr>
        <w:t>para el</w:t>
      </w:r>
      <w:r w:rsidR="004A1B3C" w:rsidRPr="00BD1319">
        <w:rPr>
          <w:spacing w:val="-3"/>
          <w:lang w:val="es-CO"/>
        </w:rPr>
        <w:t xml:space="preserve"> inventario forestal.</w:t>
      </w:r>
    </w:p>
    <w:p w14:paraId="143340BF" w14:textId="77777777" w:rsidR="004A1B3C" w:rsidRPr="00BD1319" w:rsidRDefault="004A1B3C" w:rsidP="00C86DA5">
      <w:pPr>
        <w:numPr>
          <w:ilvl w:val="12"/>
          <w:numId w:val="0"/>
        </w:numPr>
        <w:tabs>
          <w:tab w:val="left" w:pos="-2268"/>
        </w:tabs>
        <w:suppressAutoHyphens/>
        <w:rPr>
          <w:spacing w:val="-3"/>
        </w:rPr>
      </w:pPr>
    </w:p>
    <w:p w14:paraId="0D47AC31" w14:textId="6A0A4739" w:rsidR="004A1B3C" w:rsidRPr="00BD1319" w:rsidRDefault="004A1B3C" w:rsidP="00C86DA5">
      <w:pPr>
        <w:rPr>
          <w:spacing w:val="-3"/>
        </w:rPr>
      </w:pPr>
      <w:r w:rsidRPr="00BD1319">
        <w:rPr>
          <w:rFonts w:cs="Arial"/>
          <w:spacing w:val="-3"/>
        </w:rPr>
        <w:t>La</w:t>
      </w:r>
      <w:r w:rsidRPr="00BD1319">
        <w:rPr>
          <w:spacing w:val="-3"/>
        </w:rPr>
        <w:t xml:space="preserve"> información </w:t>
      </w:r>
      <w:r w:rsidR="00C161BC" w:rsidRPr="00BD1319">
        <w:rPr>
          <w:spacing w:val="-3"/>
        </w:rPr>
        <w:t xml:space="preserve">obtenida en </w:t>
      </w:r>
      <w:r w:rsidRPr="00BD1319">
        <w:rPr>
          <w:spacing w:val="-3"/>
        </w:rPr>
        <w:t>campo</w:t>
      </w:r>
      <w:r w:rsidR="00C161BC" w:rsidRPr="00BD1319">
        <w:rPr>
          <w:spacing w:val="-3"/>
        </w:rPr>
        <w:t>, que incluye los</w:t>
      </w:r>
      <w:r w:rsidRPr="00BD1319">
        <w:rPr>
          <w:spacing w:val="-3"/>
        </w:rPr>
        <w:t xml:space="preserve"> datos </w:t>
      </w:r>
      <w:r w:rsidR="00C161BC" w:rsidRPr="00BD1319">
        <w:rPr>
          <w:spacing w:val="-3"/>
        </w:rPr>
        <w:t xml:space="preserve">registrados mediante </w:t>
      </w:r>
      <w:r w:rsidRPr="00BD1319">
        <w:rPr>
          <w:spacing w:val="-3"/>
        </w:rPr>
        <w:t>el inventario forestal</w:t>
      </w:r>
      <w:r w:rsidR="00C161BC" w:rsidRPr="00BD1319">
        <w:rPr>
          <w:spacing w:val="-3"/>
        </w:rPr>
        <w:t>,</w:t>
      </w:r>
      <w:r w:rsidRPr="00BD1319">
        <w:rPr>
          <w:spacing w:val="-3"/>
        </w:rPr>
        <w:t xml:space="preserve"> </w:t>
      </w:r>
      <w:r w:rsidRPr="00BD1319">
        <w:rPr>
          <w:rFonts w:cs="Arial"/>
          <w:spacing w:val="-3"/>
        </w:rPr>
        <w:t>debe incluir</w:t>
      </w:r>
      <w:r w:rsidRPr="00BD1319">
        <w:rPr>
          <w:spacing w:val="-3"/>
        </w:rPr>
        <w:t xml:space="preserve"> como mínimo </w:t>
      </w:r>
      <w:r w:rsidRPr="00BD1319">
        <w:rPr>
          <w:rFonts w:cs="Arial"/>
          <w:spacing w:val="-3"/>
        </w:rPr>
        <w:t>lo</w:t>
      </w:r>
      <w:r w:rsidRPr="00BD1319">
        <w:rPr>
          <w:spacing w:val="-3"/>
        </w:rPr>
        <w:t xml:space="preserve"> siguiente: </w:t>
      </w:r>
      <w:r w:rsidR="00A76DFF" w:rsidRPr="00BD1319">
        <w:rPr>
          <w:spacing w:val="-3"/>
        </w:rPr>
        <w:t xml:space="preserve">unidad </w:t>
      </w:r>
      <w:r w:rsidRPr="00BD1319">
        <w:rPr>
          <w:spacing w:val="-3"/>
        </w:rPr>
        <w:t>de cobertura</w:t>
      </w:r>
      <w:r w:rsidR="00A76DFF" w:rsidRPr="00BD1319">
        <w:rPr>
          <w:spacing w:val="-3"/>
        </w:rPr>
        <w:t xml:space="preserve"> vegetal</w:t>
      </w:r>
      <w:r w:rsidRPr="00BD1319">
        <w:rPr>
          <w:spacing w:val="-3"/>
        </w:rPr>
        <w:t xml:space="preserve">, superficie a aprovechar (medida en hectáreas), localización (coordenadas </w:t>
      </w:r>
      <w:r w:rsidRPr="00BD1319">
        <w:rPr>
          <w:rFonts w:cs="Arial"/>
          <w:spacing w:val="-3"/>
        </w:rPr>
        <w:t>planas</w:t>
      </w:r>
      <w:r w:rsidRPr="00BD1319">
        <w:rPr>
          <w:spacing w:val="-3"/>
        </w:rPr>
        <w:t>, vereda, municipio), individuos inventariados</w:t>
      </w:r>
      <w:r w:rsidRPr="00BD1319">
        <w:rPr>
          <w:rFonts w:cs="Arial"/>
          <w:spacing w:val="-3"/>
        </w:rPr>
        <w:t>,</w:t>
      </w:r>
      <w:r w:rsidRPr="00BD1319">
        <w:rPr>
          <w:spacing w:val="-3"/>
        </w:rPr>
        <w:t xml:space="preserve"> clasificación taxonómica (al nivel </w:t>
      </w:r>
      <w:r w:rsidRPr="00BD1319">
        <w:rPr>
          <w:rFonts w:cs="Arial"/>
          <w:spacing w:val="-3"/>
        </w:rPr>
        <w:t>de especie</w:t>
      </w:r>
      <w:r w:rsidRPr="00BD1319">
        <w:rPr>
          <w:spacing w:val="-3"/>
        </w:rPr>
        <w:t xml:space="preserve">), DAP, área basal, altura total, </w:t>
      </w:r>
      <w:r w:rsidR="001352A3" w:rsidRPr="00BD1319">
        <w:rPr>
          <w:spacing w:val="-3"/>
        </w:rPr>
        <w:t xml:space="preserve">altura comercial </w:t>
      </w:r>
      <w:r w:rsidRPr="00BD1319">
        <w:rPr>
          <w:spacing w:val="-3"/>
        </w:rPr>
        <w:t>y observaciones</w:t>
      </w:r>
      <w:r w:rsidR="00A76DFF" w:rsidRPr="00BD1319">
        <w:rPr>
          <w:spacing w:val="-3"/>
        </w:rPr>
        <w:t>,</w:t>
      </w:r>
      <w:r w:rsidRPr="00BD1319">
        <w:rPr>
          <w:rFonts w:cs="Arial"/>
          <w:spacing w:val="-3"/>
        </w:rPr>
        <w:t xml:space="preserve"> entre otras</w:t>
      </w:r>
      <w:r w:rsidRPr="00BD1319">
        <w:rPr>
          <w:spacing w:val="-3"/>
        </w:rPr>
        <w:t>.</w:t>
      </w:r>
    </w:p>
    <w:p w14:paraId="11A58E3F" w14:textId="77777777" w:rsidR="004A1B3C" w:rsidRPr="00BD1319" w:rsidRDefault="004A1B3C" w:rsidP="00C86DA5">
      <w:pPr>
        <w:rPr>
          <w:spacing w:val="-3"/>
        </w:rPr>
      </w:pPr>
    </w:p>
    <w:p w14:paraId="174ED471" w14:textId="5D9FEF36" w:rsidR="004A1B3C" w:rsidRPr="00BD1319" w:rsidRDefault="004A1B3C" w:rsidP="00C86DA5">
      <w:pPr>
        <w:rPr>
          <w:spacing w:val="-3"/>
        </w:rPr>
      </w:pPr>
      <w:r w:rsidRPr="00BD1319">
        <w:rPr>
          <w:rFonts w:cs="Arial"/>
          <w:spacing w:val="-3"/>
        </w:rPr>
        <w:t xml:space="preserve">En caso </w:t>
      </w:r>
      <w:r w:rsidR="00353C55" w:rsidRPr="00BD1319">
        <w:rPr>
          <w:rFonts w:cs="Arial"/>
          <w:spacing w:val="-3"/>
        </w:rPr>
        <w:t>de requerirse</w:t>
      </w:r>
      <w:r w:rsidR="00353C55" w:rsidRPr="00BD1319">
        <w:rPr>
          <w:spacing w:val="-3"/>
        </w:rPr>
        <w:t xml:space="preserve"> </w:t>
      </w:r>
      <w:r w:rsidRPr="00BD1319">
        <w:rPr>
          <w:spacing w:val="-3"/>
        </w:rPr>
        <w:t xml:space="preserve">la movilización de productos forestales en primer grado de transformación derivados del aprovechamiento, se debe tramitar con anterioridad ante la autoridad ambiental competente </w:t>
      </w:r>
      <w:r w:rsidRPr="00BD1319">
        <w:rPr>
          <w:rFonts w:cs="Arial"/>
          <w:spacing w:val="-3"/>
        </w:rPr>
        <w:t xml:space="preserve">el salvoconducto único nacional en línea (SUNL) para la movilización de especímenes de la diversidad biológica, </w:t>
      </w:r>
      <w:r w:rsidRPr="00BD1319">
        <w:rPr>
          <w:spacing w:val="-3"/>
        </w:rPr>
        <w:t>atendiendo las disposiciones de la Resolución 1909 de 2017 o aquella que la modifique</w:t>
      </w:r>
      <w:r w:rsidRPr="00BD1319">
        <w:rPr>
          <w:rFonts w:cs="Arial"/>
          <w:spacing w:val="-3"/>
        </w:rPr>
        <w:t xml:space="preserve"> o</w:t>
      </w:r>
      <w:r w:rsidRPr="00BD1319">
        <w:rPr>
          <w:spacing w:val="-3"/>
        </w:rPr>
        <w:t xml:space="preserve"> sustituya.</w:t>
      </w:r>
    </w:p>
    <w:p w14:paraId="3CA47705" w14:textId="2BF52782" w:rsidR="004A1B3C" w:rsidRPr="00BD1319" w:rsidRDefault="004A1B3C" w:rsidP="004A1B3C">
      <w:pPr>
        <w:rPr>
          <w:rFonts w:cs="Arial"/>
        </w:rPr>
      </w:pPr>
    </w:p>
    <w:p w14:paraId="0C76CAEB" w14:textId="67602C07" w:rsidR="004A1B3C" w:rsidRPr="00BD1319" w:rsidRDefault="004A1B3C" w:rsidP="0068149C">
      <w:pPr>
        <w:pStyle w:val="Ttulo2"/>
        <w:rPr>
          <w:lang w:val="es-CO"/>
        </w:rPr>
      </w:pPr>
      <w:bookmarkStart w:id="3117" w:name="_Toc150593808"/>
      <w:bookmarkStart w:id="3118" w:name="_Toc274067225"/>
      <w:bookmarkStart w:id="3119" w:name="_Toc378923316"/>
      <w:bookmarkStart w:id="3120" w:name="_Toc387312773"/>
      <w:bookmarkStart w:id="3121" w:name="_Toc393967347"/>
      <w:bookmarkStart w:id="3122" w:name="_Toc405366864"/>
      <w:bookmarkStart w:id="3123" w:name="_Toc405372412"/>
      <w:bookmarkStart w:id="3124" w:name="_Toc412803209"/>
      <w:bookmarkStart w:id="3125" w:name="_Toc42874878"/>
      <w:bookmarkStart w:id="3126" w:name="_Toc437936048"/>
      <w:bookmarkStart w:id="3127" w:name="_Toc175326789"/>
      <w:r w:rsidRPr="00BD1319">
        <w:rPr>
          <w:lang w:val="es-CO"/>
        </w:rPr>
        <w:t>PERMISO DE EMISIÓN ATMOSFÉRIC</w:t>
      </w:r>
      <w:bookmarkEnd w:id="3117"/>
      <w:bookmarkEnd w:id="3118"/>
      <w:bookmarkEnd w:id="3119"/>
      <w:bookmarkEnd w:id="3120"/>
      <w:bookmarkEnd w:id="3121"/>
      <w:bookmarkEnd w:id="3122"/>
      <w:bookmarkEnd w:id="3123"/>
      <w:bookmarkEnd w:id="3124"/>
      <w:r w:rsidRPr="00BD1319">
        <w:rPr>
          <w:lang w:val="es-CO"/>
        </w:rPr>
        <w:t>A</w:t>
      </w:r>
      <w:bookmarkEnd w:id="3125"/>
      <w:bookmarkEnd w:id="3126"/>
      <w:bookmarkEnd w:id="3127"/>
    </w:p>
    <w:p w14:paraId="44535384" w14:textId="77777777" w:rsidR="004A1B3C" w:rsidRPr="00BD1319" w:rsidRDefault="004A1B3C" w:rsidP="00C86DA5"/>
    <w:p w14:paraId="5ECE3D6E" w14:textId="46583FEF" w:rsidR="00F23EFB" w:rsidRPr="00BD1319" w:rsidRDefault="00F23EFB" w:rsidP="00F23EFB">
      <w:r w:rsidRPr="00BD1319">
        <w:t>Para las fuentes fijas de emisión que requieran permiso de acuerdo con lo establecido en el Capítulo 1, Titulo 5, Parte 2, Libro 2 del Decreto 1076 de 2015 y en la Resolución 619 de 1997, o aquellas normas que l</w:t>
      </w:r>
      <w:r w:rsidR="00183309" w:rsidRPr="00BD1319">
        <w:t>o</w:t>
      </w:r>
      <w:r w:rsidRPr="00BD1319">
        <w:t xml:space="preserve">s modifiquen o sustituyan, se debe entregar la información allí prevista. De la misma manera, </w:t>
      </w:r>
      <w:r w:rsidR="00183309" w:rsidRPr="00BD1319">
        <w:t xml:space="preserve">se </w:t>
      </w:r>
      <w:r w:rsidRPr="00BD1319">
        <w:t xml:space="preserve">debe </w:t>
      </w:r>
      <w:r w:rsidR="00183309" w:rsidRPr="00BD1319">
        <w:t xml:space="preserve">entregar </w:t>
      </w:r>
      <w:r w:rsidRPr="00BD1319">
        <w:t xml:space="preserve">debidamente diligenciado el </w:t>
      </w:r>
      <w:r w:rsidR="00183309" w:rsidRPr="00BD1319">
        <w:t xml:space="preserve">FUN </w:t>
      </w:r>
      <w:r w:rsidRPr="00BD1319">
        <w:t xml:space="preserve">de </w:t>
      </w:r>
      <w:r w:rsidR="00183309" w:rsidRPr="00BD1319">
        <w:t>s</w:t>
      </w:r>
      <w:r w:rsidRPr="00BD1319">
        <w:t xml:space="preserve">olicitud de </w:t>
      </w:r>
      <w:r w:rsidR="00183309" w:rsidRPr="00BD1319">
        <w:t>p</w:t>
      </w:r>
      <w:r w:rsidRPr="00BD1319">
        <w:t xml:space="preserve">ermiso de </w:t>
      </w:r>
      <w:r w:rsidR="00183309" w:rsidRPr="00BD1319">
        <w:t>e</w:t>
      </w:r>
      <w:r w:rsidRPr="00BD1319">
        <w:t xml:space="preserve">misiones </w:t>
      </w:r>
      <w:r w:rsidR="00183309" w:rsidRPr="00BD1319">
        <w:t>a</w:t>
      </w:r>
      <w:r w:rsidRPr="00BD1319">
        <w:t xml:space="preserve">tmosféricas </w:t>
      </w:r>
      <w:r w:rsidR="00183309" w:rsidRPr="00BD1319">
        <w:t>f</w:t>
      </w:r>
      <w:r w:rsidRPr="00BD1319">
        <w:t xml:space="preserve">uentes </w:t>
      </w:r>
      <w:r w:rsidR="00183309" w:rsidRPr="00BD1319">
        <w:t>f</w:t>
      </w:r>
      <w:r w:rsidRPr="00BD1319">
        <w:t>ijas establecido mediante la Resolución 2202 de 200</w:t>
      </w:r>
      <w:r w:rsidR="0088239C" w:rsidRPr="00BD1319">
        <w:t>5</w:t>
      </w:r>
      <w:r w:rsidRPr="00BD1319">
        <w:t xml:space="preserve"> o lo que disponga aquella norma que la modifique o sustituya.</w:t>
      </w:r>
    </w:p>
    <w:p w14:paraId="29178266" w14:textId="77777777" w:rsidR="00F23EFB" w:rsidRPr="00BD1319" w:rsidRDefault="00F23EFB" w:rsidP="00F23EFB"/>
    <w:p w14:paraId="340614D7" w14:textId="6C0B6918" w:rsidR="00624C16" w:rsidRPr="00BD1319" w:rsidRDefault="00624C16" w:rsidP="00F23EFB">
      <w:r w:rsidRPr="00BD1319">
        <w:t xml:space="preserve">En caso de que el proyecto, obra o actividad genere olores ofensivos, se debe tramitar el permiso de emisión atmosférica para actividades generadoras de olores ofensivos </w:t>
      </w:r>
      <w:r w:rsidR="00562399" w:rsidRPr="00BD1319">
        <w:t>solicitándolo en el EIA y describiendo de manera detallada las características de las fuentes y de sus emisiones en el numeral de descripción del proyecto.</w:t>
      </w:r>
    </w:p>
    <w:p w14:paraId="685A557E" w14:textId="77777777" w:rsidR="00624C16" w:rsidRPr="00BD1319" w:rsidRDefault="00624C16" w:rsidP="00F23EFB"/>
    <w:p w14:paraId="4BB7C6FE" w14:textId="1EBA3A87" w:rsidR="004A1B3C" w:rsidRPr="00BD1319" w:rsidRDefault="00F23EFB" w:rsidP="00F23EFB">
      <w:r w:rsidRPr="00BD1319">
        <w:t xml:space="preserve">En caso de que el proyecto contemple fuentes de emisiones sujetas o no a permiso de emisiones, se debe presentar </w:t>
      </w:r>
      <w:r w:rsidR="004A1B3C" w:rsidRPr="00BD1319">
        <w:t xml:space="preserve">un inventario de emisiones atmosféricas de </w:t>
      </w:r>
      <w:r w:rsidR="00796EEA" w:rsidRPr="00BD1319">
        <w:t xml:space="preserve">todas las </w:t>
      </w:r>
      <w:r w:rsidR="004A1B3C" w:rsidRPr="00BD1319">
        <w:t>fuentes asociadas al proyecto</w:t>
      </w:r>
      <w:r w:rsidR="00953BF3" w:rsidRPr="00BD1319">
        <w:rPr>
          <w:spacing w:val="-3"/>
        </w:rPr>
        <w:t>, obra o actividad</w:t>
      </w:r>
      <w:r w:rsidR="00796EEA" w:rsidRPr="00BD1319">
        <w:t xml:space="preserve"> </w:t>
      </w:r>
      <w:r w:rsidR="00183309" w:rsidRPr="00BD1319">
        <w:t xml:space="preserve">siguiendo los lineamientos señalados en el </w:t>
      </w:r>
      <w:r w:rsidR="00796EEA" w:rsidRPr="00BD1319">
        <w:t xml:space="preserve">numeral </w:t>
      </w:r>
      <w:r w:rsidR="00183309" w:rsidRPr="00BD1319">
        <w:fldChar w:fldCharType="begin"/>
      </w:r>
      <w:r w:rsidR="00183309" w:rsidRPr="00BD1319">
        <w:instrText xml:space="preserve"> REF _Ref77325696 \r \h  \* MERGEFORMAT </w:instrText>
      </w:r>
      <w:r w:rsidR="00183309" w:rsidRPr="00BD1319">
        <w:fldChar w:fldCharType="separate"/>
      </w:r>
      <w:r w:rsidR="00296654" w:rsidRPr="00BD1319">
        <w:t>6.7.1</w:t>
      </w:r>
      <w:r w:rsidR="00183309" w:rsidRPr="00BD1319">
        <w:fldChar w:fldCharType="end"/>
      </w:r>
      <w:r w:rsidR="00183309" w:rsidRPr="00BD1319">
        <w:t xml:space="preserve"> del capítulo III de este documento,</w:t>
      </w:r>
      <w:r w:rsidR="004A1B3C" w:rsidRPr="00BD1319">
        <w:t xml:space="preserve"> y una model</w:t>
      </w:r>
      <w:r w:rsidR="00183309" w:rsidRPr="00BD1319">
        <w:t>iz</w:t>
      </w:r>
      <w:r w:rsidR="004A1B3C" w:rsidRPr="00BD1319">
        <w:t xml:space="preserve">ación de dispersión de contaminantes para tres escenarios posibles (actual sin proyecto, futuro con proyecto sin medidas de control y futuro con proyecto con medidas de control) </w:t>
      </w:r>
      <w:r w:rsidR="00183309" w:rsidRPr="00BD1319">
        <w:t xml:space="preserve">de acuerdo con los lineamientos mencionados en el </w:t>
      </w:r>
      <w:r w:rsidR="00796EEA" w:rsidRPr="00BD1319">
        <w:t xml:space="preserve">numeral </w:t>
      </w:r>
      <w:r w:rsidR="00183309" w:rsidRPr="00BD1319">
        <w:fldChar w:fldCharType="begin"/>
      </w:r>
      <w:r w:rsidR="00183309" w:rsidRPr="00BD1319">
        <w:instrText xml:space="preserve"> REF _Ref77325705 \r \h  \* MERGEFORMAT </w:instrText>
      </w:r>
      <w:r w:rsidR="00183309" w:rsidRPr="00BD1319">
        <w:fldChar w:fldCharType="separate"/>
      </w:r>
      <w:r w:rsidR="00296654" w:rsidRPr="00BD1319">
        <w:t>6.7.2</w:t>
      </w:r>
      <w:r w:rsidR="00183309" w:rsidRPr="00BD1319">
        <w:fldChar w:fldCharType="end"/>
      </w:r>
      <w:r w:rsidR="00183309" w:rsidRPr="00BD1319">
        <w:t xml:space="preserve"> del capítulo III de esta metodología</w:t>
      </w:r>
      <w:r w:rsidR="004A1B3C" w:rsidRPr="00BD1319">
        <w:t>.</w:t>
      </w:r>
    </w:p>
    <w:p w14:paraId="6459E885" w14:textId="77777777" w:rsidR="004A1B3C" w:rsidRPr="00BD1319" w:rsidRDefault="004A1B3C" w:rsidP="00C86DA5"/>
    <w:p w14:paraId="683A25E2" w14:textId="61E7CBA9" w:rsidR="004A1B3C" w:rsidRPr="00BD1319" w:rsidRDefault="004A1B3C" w:rsidP="00216955">
      <w:pPr>
        <w:pStyle w:val="Ttulo3"/>
      </w:pPr>
      <w:bookmarkStart w:id="3128" w:name="_Toc42874879"/>
      <w:bookmarkStart w:id="3129" w:name="_Toc437936049"/>
      <w:bookmarkStart w:id="3130" w:name="_Ref77325696"/>
      <w:bookmarkStart w:id="3131" w:name="_Toc175326790"/>
      <w:r w:rsidRPr="00BD1319">
        <w:t xml:space="preserve">Emisión de contaminantes del aire – </w:t>
      </w:r>
      <w:r w:rsidR="00953BF3" w:rsidRPr="00BD1319">
        <w:t>f</w:t>
      </w:r>
      <w:r w:rsidRPr="00BD1319">
        <w:t>uentes de emisión</w:t>
      </w:r>
      <w:bookmarkEnd w:id="3128"/>
      <w:bookmarkEnd w:id="3129"/>
      <w:bookmarkEnd w:id="3130"/>
      <w:bookmarkEnd w:id="3131"/>
    </w:p>
    <w:p w14:paraId="19CC3AB4" w14:textId="77777777" w:rsidR="004A1B3C" w:rsidRPr="00BD1319" w:rsidRDefault="004A1B3C" w:rsidP="00C86DA5">
      <w:bookmarkStart w:id="3132" w:name="_Toc274067227"/>
    </w:p>
    <w:p w14:paraId="4AF4B892" w14:textId="1D34DAB8" w:rsidR="004A1B3C" w:rsidRPr="00BD1319" w:rsidRDefault="004A1B3C">
      <w:pPr>
        <w:numPr>
          <w:ilvl w:val="12"/>
          <w:numId w:val="0"/>
        </w:numPr>
        <w:tabs>
          <w:tab w:val="left" w:pos="-2268"/>
        </w:tabs>
        <w:suppressAutoHyphens/>
      </w:pPr>
      <w:r w:rsidRPr="00BD1319">
        <w:t xml:space="preserve">Adicionalmente, para </w:t>
      </w:r>
      <w:r w:rsidR="0035104C" w:rsidRPr="00BD1319">
        <w:t xml:space="preserve">todas </w:t>
      </w:r>
      <w:r w:rsidRPr="00BD1319">
        <w:t>las fuentes de emisión del proyecto</w:t>
      </w:r>
      <w:r w:rsidR="00953BF3" w:rsidRPr="00BD1319">
        <w:rPr>
          <w:spacing w:val="-3"/>
        </w:rPr>
        <w:t>, obra o actividad</w:t>
      </w:r>
      <w:r w:rsidRPr="00BD1319">
        <w:t xml:space="preserve"> se debe realizar lo siguiente:</w:t>
      </w:r>
    </w:p>
    <w:p w14:paraId="2959A72F" w14:textId="77777777" w:rsidR="004A1B3C" w:rsidRPr="00BD1319" w:rsidRDefault="004A1B3C" w:rsidP="00C86DA5"/>
    <w:p w14:paraId="6F6F905C" w14:textId="76E909D2" w:rsidR="004A1B3C" w:rsidRPr="00BD1319" w:rsidRDefault="00753425" w:rsidP="00C86DA5">
      <w:pPr>
        <w:pStyle w:val="Prrafodelista"/>
        <w:numPr>
          <w:ilvl w:val="0"/>
          <w:numId w:val="5"/>
        </w:numPr>
        <w:tabs>
          <w:tab w:val="left" w:pos="-2268"/>
        </w:tabs>
        <w:suppressAutoHyphens/>
        <w:ind w:left="567" w:hanging="567"/>
        <w:rPr>
          <w:spacing w:val="-3"/>
          <w:lang w:val="es-CO"/>
        </w:rPr>
      </w:pPr>
      <w:r w:rsidRPr="00BD1319">
        <w:rPr>
          <w:spacing w:val="-3"/>
          <w:lang w:val="es-CO"/>
        </w:rPr>
        <w:t xml:space="preserve">Determinar </w:t>
      </w:r>
      <w:r w:rsidR="004A1B3C" w:rsidRPr="00BD1319">
        <w:rPr>
          <w:spacing w:val="-3"/>
          <w:lang w:val="es-CO"/>
        </w:rPr>
        <w:t xml:space="preserve">las fuentes de emisiones atmosféricas </w:t>
      </w:r>
      <w:r w:rsidR="00E3246B" w:rsidRPr="00BD1319">
        <w:rPr>
          <w:spacing w:val="-3"/>
          <w:lang w:val="es-CO"/>
        </w:rPr>
        <w:t xml:space="preserve">fijas, de área y móviles </w:t>
      </w:r>
      <w:r w:rsidR="004A1B3C" w:rsidRPr="00BD1319">
        <w:rPr>
          <w:spacing w:val="-3"/>
          <w:lang w:val="es-CO"/>
        </w:rPr>
        <w:t>asociadas a cada una de las fases del proyecto</w:t>
      </w:r>
      <w:r w:rsidR="00E3246B" w:rsidRPr="00BD1319">
        <w:rPr>
          <w:spacing w:val="-3"/>
          <w:lang w:val="es-CO"/>
        </w:rPr>
        <w:t xml:space="preserve">. Para las móviles se debe </w:t>
      </w:r>
      <w:r w:rsidR="004A1B3C" w:rsidRPr="00BD1319">
        <w:rPr>
          <w:spacing w:val="-3"/>
          <w:lang w:val="es-CO"/>
        </w:rPr>
        <w:t>ten</w:t>
      </w:r>
      <w:r w:rsidR="00E3246B" w:rsidRPr="00BD1319">
        <w:rPr>
          <w:spacing w:val="-3"/>
          <w:lang w:val="es-CO"/>
        </w:rPr>
        <w:t xml:space="preserve">er </w:t>
      </w:r>
      <w:r w:rsidR="004A1B3C" w:rsidRPr="00BD1319">
        <w:rPr>
          <w:spacing w:val="-3"/>
          <w:lang w:val="es-CO"/>
        </w:rPr>
        <w:t xml:space="preserve">en cuenta los trazados de operación </w:t>
      </w:r>
      <w:r w:rsidR="00E3246B" w:rsidRPr="00BD1319">
        <w:rPr>
          <w:spacing w:val="-3"/>
          <w:lang w:val="es-CO"/>
        </w:rPr>
        <w:t xml:space="preserve">y </w:t>
      </w:r>
      <w:r w:rsidR="004A1B3C" w:rsidRPr="00BD1319">
        <w:rPr>
          <w:spacing w:val="-3"/>
          <w:lang w:val="es-CO"/>
        </w:rPr>
        <w:t>sus respectivos aforos.</w:t>
      </w:r>
    </w:p>
    <w:p w14:paraId="260214E8" w14:textId="77777777" w:rsidR="004A1B3C" w:rsidRPr="00BD1319" w:rsidRDefault="004A1B3C" w:rsidP="00C86DA5">
      <w:pPr>
        <w:ind w:left="567" w:hanging="567"/>
      </w:pPr>
    </w:p>
    <w:p w14:paraId="38E8C8F2" w14:textId="77777777" w:rsidR="004A1B3C" w:rsidRPr="00BD1319" w:rsidRDefault="004A1B3C" w:rsidP="00C86DA5">
      <w:pPr>
        <w:pStyle w:val="Prrafodelista"/>
        <w:numPr>
          <w:ilvl w:val="0"/>
          <w:numId w:val="5"/>
        </w:numPr>
        <w:tabs>
          <w:tab w:val="left" w:pos="-2268"/>
        </w:tabs>
        <w:suppressAutoHyphens/>
        <w:ind w:left="567" w:hanging="567"/>
        <w:rPr>
          <w:spacing w:val="-3"/>
          <w:lang w:val="es-CO"/>
        </w:rPr>
      </w:pPr>
      <w:r w:rsidRPr="00BD1319">
        <w:rPr>
          <w:spacing w:val="-3"/>
          <w:lang w:val="es-CO"/>
        </w:rPr>
        <w:t>Incluir el plan de contingencia de los sistemas de control de emisiones.</w:t>
      </w:r>
    </w:p>
    <w:p w14:paraId="5571BC63" w14:textId="77777777" w:rsidR="004A1B3C" w:rsidRPr="00BD1319" w:rsidRDefault="004A1B3C" w:rsidP="00C86DA5">
      <w:pPr>
        <w:pStyle w:val="Prrafodelista"/>
        <w:tabs>
          <w:tab w:val="left" w:pos="-2268"/>
        </w:tabs>
        <w:suppressAutoHyphens/>
        <w:ind w:left="567" w:hanging="567"/>
        <w:rPr>
          <w:spacing w:val="-3"/>
          <w:lang w:val="es-CO"/>
        </w:rPr>
      </w:pPr>
    </w:p>
    <w:p w14:paraId="0754FEF4" w14:textId="652AA1B1" w:rsidR="004A1B3C" w:rsidRPr="00BD1319" w:rsidRDefault="004A1B3C" w:rsidP="00C86DA5">
      <w:pPr>
        <w:pStyle w:val="Prrafodelista"/>
        <w:numPr>
          <w:ilvl w:val="0"/>
          <w:numId w:val="5"/>
        </w:numPr>
        <w:tabs>
          <w:tab w:val="left" w:pos="-2268"/>
        </w:tabs>
        <w:suppressAutoHyphens/>
        <w:ind w:left="567" w:hanging="567"/>
        <w:rPr>
          <w:spacing w:val="-3"/>
          <w:lang w:val="es-CO"/>
        </w:rPr>
      </w:pPr>
      <w:r w:rsidRPr="00BD1319">
        <w:rPr>
          <w:spacing w:val="-3"/>
          <w:lang w:val="es-CO"/>
        </w:rPr>
        <w:t>Ubicar en planos georreferenciados las fuentes de emisiones de línea base y proyectadas de la actividad</w:t>
      </w:r>
      <w:r w:rsidR="0035104C" w:rsidRPr="00BD1319">
        <w:t xml:space="preserve"> </w:t>
      </w:r>
      <w:r w:rsidR="0035104C" w:rsidRPr="00BD1319">
        <w:rPr>
          <w:spacing w:val="-3"/>
          <w:lang w:val="es-CO"/>
        </w:rPr>
        <w:t>diferenciadas para cada una de las fases del proyecto</w:t>
      </w:r>
      <w:r w:rsidRPr="00BD1319">
        <w:rPr>
          <w:spacing w:val="-3"/>
          <w:lang w:val="es-CO"/>
        </w:rPr>
        <w:t>.</w:t>
      </w:r>
      <w:r w:rsidR="00796EEA" w:rsidRPr="00BD1319">
        <w:rPr>
          <w:spacing w:val="-3"/>
          <w:lang w:val="es-CO"/>
        </w:rPr>
        <w:t xml:space="preserve"> </w:t>
      </w:r>
      <w:r w:rsidR="00A7482C" w:rsidRPr="00BD1319">
        <w:rPr>
          <w:spacing w:val="-3"/>
          <w:lang w:val="es-CO"/>
        </w:rPr>
        <w:t>En los proyectos en donde la zonificación ambiental constituye el elemento fundamental para su planificación (</w:t>
      </w:r>
      <w:r w:rsidR="00041844" w:rsidRPr="00BD1319">
        <w:rPr>
          <w:spacing w:val="-3"/>
          <w:lang w:val="es-CO"/>
        </w:rPr>
        <w:t>p. ej.</w:t>
      </w:r>
      <w:r w:rsidR="00A7482C" w:rsidRPr="00BD1319">
        <w:rPr>
          <w:spacing w:val="-3"/>
          <w:lang w:val="es-CO"/>
        </w:rPr>
        <w:t xml:space="preserve"> proyectos del sector hidrocarburos)</w:t>
      </w:r>
      <w:r w:rsidR="00796EEA" w:rsidRPr="00BD1319">
        <w:rPr>
          <w:spacing w:val="-3"/>
          <w:lang w:val="es-CO"/>
        </w:rPr>
        <w:t>, se debe presentar la posible localización de las fuentes de emisión.</w:t>
      </w:r>
    </w:p>
    <w:p w14:paraId="62C59A13" w14:textId="77777777" w:rsidR="004A1B3C" w:rsidRPr="00BD1319" w:rsidRDefault="004A1B3C" w:rsidP="00C86DA5">
      <w:pPr>
        <w:ind w:left="567" w:hanging="567"/>
      </w:pPr>
    </w:p>
    <w:p w14:paraId="397F7D68" w14:textId="2F89EC6D" w:rsidR="0035104C" w:rsidRPr="00BD1319" w:rsidRDefault="004A1B3C" w:rsidP="009420F5">
      <w:pPr>
        <w:pStyle w:val="Prrafodelista"/>
        <w:numPr>
          <w:ilvl w:val="0"/>
          <w:numId w:val="5"/>
        </w:numPr>
        <w:tabs>
          <w:tab w:val="left" w:pos="-2268"/>
        </w:tabs>
        <w:suppressAutoHyphens/>
        <w:ind w:left="567" w:hanging="567"/>
        <w:rPr>
          <w:spacing w:val="-3"/>
          <w:lang w:val="es-CO"/>
        </w:rPr>
      </w:pPr>
      <w:r w:rsidRPr="00BD1319">
        <w:rPr>
          <w:spacing w:val="-3"/>
          <w:lang w:val="es-CO"/>
        </w:rPr>
        <w:t>Estimar la masa de descarga de los contaminantes atmosféricos previstos en los procesos y actividades, identificados como fuentes de emisión</w:t>
      </w:r>
      <w:r w:rsidR="0035104C" w:rsidRPr="00BD1319">
        <w:rPr>
          <w:spacing w:val="-3"/>
          <w:lang w:val="es-CO"/>
        </w:rPr>
        <w:t xml:space="preserve"> en cada una de sus fases</w:t>
      </w:r>
      <w:r w:rsidRPr="00BD1319">
        <w:rPr>
          <w:spacing w:val="-3"/>
          <w:lang w:val="es-CO"/>
        </w:rPr>
        <w:t>.</w:t>
      </w:r>
    </w:p>
    <w:p w14:paraId="6AFAC104" w14:textId="77777777" w:rsidR="0035104C" w:rsidRPr="00BD1319" w:rsidRDefault="0035104C" w:rsidP="000D6E21">
      <w:pPr>
        <w:rPr>
          <w:spacing w:val="-3"/>
        </w:rPr>
      </w:pPr>
    </w:p>
    <w:p w14:paraId="420FA58D" w14:textId="77777777" w:rsidR="0035104C" w:rsidRPr="00BD1319" w:rsidRDefault="004A1B3C" w:rsidP="0035104C">
      <w:pPr>
        <w:pStyle w:val="Prrafodelista"/>
        <w:tabs>
          <w:tab w:val="left" w:pos="-2268"/>
        </w:tabs>
        <w:suppressAutoHyphens/>
        <w:ind w:left="567"/>
        <w:rPr>
          <w:spacing w:val="-3"/>
          <w:lang w:val="es-CO"/>
        </w:rPr>
      </w:pPr>
      <w:r w:rsidRPr="00BD1319">
        <w:rPr>
          <w:spacing w:val="-3"/>
          <w:lang w:val="es-CO"/>
        </w:rPr>
        <w:t xml:space="preserve">Esta estimación se debe realizar con base en los lineamientos establecidos en </w:t>
      </w:r>
      <w:r w:rsidR="00796EEA" w:rsidRPr="00BD1319">
        <w:rPr>
          <w:spacing w:val="-3"/>
          <w:lang w:val="es-CO"/>
        </w:rPr>
        <w:t xml:space="preserve">documentos como </w:t>
      </w:r>
      <w:r w:rsidRPr="00BD1319">
        <w:rPr>
          <w:spacing w:val="-3"/>
          <w:lang w:val="es-CO"/>
        </w:rPr>
        <w:t xml:space="preserve">el Protocolo para el </w:t>
      </w:r>
      <w:r w:rsidR="00E3246B" w:rsidRPr="00BD1319">
        <w:rPr>
          <w:spacing w:val="-3"/>
          <w:lang w:val="es-CO"/>
        </w:rPr>
        <w:t>c</w:t>
      </w:r>
      <w:r w:rsidRPr="00BD1319">
        <w:rPr>
          <w:spacing w:val="-3"/>
          <w:lang w:val="es-CO"/>
        </w:rPr>
        <w:t>ontrol y vigilancia de la contaminación atmosférica generada por fuentes fijas (MAVDT, 2010b)</w:t>
      </w:r>
      <w:r w:rsidR="00796EEA" w:rsidRPr="00BD1319">
        <w:rPr>
          <w:spacing w:val="-3"/>
          <w:lang w:val="es-CO"/>
        </w:rPr>
        <w:t xml:space="preserve"> y la Guía para la </w:t>
      </w:r>
      <w:r w:rsidR="00E3246B" w:rsidRPr="00BD1319">
        <w:rPr>
          <w:spacing w:val="-3"/>
          <w:lang w:val="es-CO"/>
        </w:rPr>
        <w:t>e</w:t>
      </w:r>
      <w:r w:rsidR="00796EEA" w:rsidRPr="00BD1319">
        <w:rPr>
          <w:spacing w:val="-3"/>
          <w:lang w:val="es-CO"/>
        </w:rPr>
        <w:t xml:space="preserve">laboración de </w:t>
      </w:r>
      <w:r w:rsidR="00E3246B" w:rsidRPr="00BD1319">
        <w:rPr>
          <w:spacing w:val="-3"/>
          <w:lang w:val="es-CO"/>
        </w:rPr>
        <w:t>i</w:t>
      </w:r>
      <w:r w:rsidR="00796EEA" w:rsidRPr="00BD1319">
        <w:rPr>
          <w:spacing w:val="-3"/>
          <w:lang w:val="es-CO"/>
        </w:rPr>
        <w:t xml:space="preserve">nventarios de </w:t>
      </w:r>
      <w:r w:rsidR="00E3246B" w:rsidRPr="00BD1319">
        <w:rPr>
          <w:spacing w:val="-3"/>
          <w:lang w:val="es-CO"/>
        </w:rPr>
        <w:t>e</w:t>
      </w:r>
      <w:r w:rsidR="00796EEA" w:rsidRPr="00BD1319">
        <w:rPr>
          <w:spacing w:val="-3"/>
          <w:lang w:val="es-CO"/>
        </w:rPr>
        <w:t xml:space="preserve">misiones </w:t>
      </w:r>
      <w:r w:rsidR="00E3246B" w:rsidRPr="00BD1319">
        <w:rPr>
          <w:spacing w:val="-3"/>
          <w:lang w:val="es-CO"/>
        </w:rPr>
        <w:t>a</w:t>
      </w:r>
      <w:r w:rsidR="00796EEA" w:rsidRPr="00BD1319">
        <w:rPr>
          <w:spacing w:val="-3"/>
          <w:lang w:val="es-CO"/>
        </w:rPr>
        <w:t>tmosféricas (</w:t>
      </w:r>
      <w:r w:rsidR="008F453F" w:rsidRPr="00BD1319">
        <w:rPr>
          <w:spacing w:val="-3"/>
          <w:lang w:val="es-CO"/>
        </w:rPr>
        <w:t>Gaitán &amp; Cárdenas</w:t>
      </w:r>
      <w:r w:rsidR="00796EEA" w:rsidRPr="00BD1319">
        <w:rPr>
          <w:spacing w:val="-3"/>
          <w:lang w:val="es-CO"/>
        </w:rPr>
        <w:t>, 2017)</w:t>
      </w:r>
      <w:r w:rsidRPr="00BD1319">
        <w:rPr>
          <w:spacing w:val="-3"/>
          <w:lang w:val="es-CO"/>
        </w:rPr>
        <w:t>.</w:t>
      </w:r>
    </w:p>
    <w:p w14:paraId="08BEB077" w14:textId="77777777" w:rsidR="0035104C" w:rsidRPr="00BD1319" w:rsidRDefault="0035104C" w:rsidP="000D6E21">
      <w:pPr>
        <w:tabs>
          <w:tab w:val="left" w:pos="-2268"/>
        </w:tabs>
        <w:suppressAutoHyphens/>
        <w:rPr>
          <w:spacing w:val="-3"/>
        </w:rPr>
      </w:pPr>
    </w:p>
    <w:p w14:paraId="1BBC5B8A" w14:textId="0E1E96AC" w:rsidR="0035104C" w:rsidRPr="00BD1319" w:rsidRDefault="00A74731" w:rsidP="0035104C">
      <w:pPr>
        <w:pStyle w:val="Prrafodelista"/>
        <w:tabs>
          <w:tab w:val="left" w:pos="-2268"/>
        </w:tabs>
        <w:suppressAutoHyphens/>
        <w:ind w:left="567"/>
        <w:rPr>
          <w:spacing w:val="-3"/>
          <w:lang w:val="es-CO"/>
        </w:rPr>
      </w:pPr>
      <w:r w:rsidRPr="00BD1319">
        <w:rPr>
          <w:spacing w:val="-3"/>
          <w:lang w:val="es-CO"/>
        </w:rPr>
        <w:t>Hasta tanto se adopten factores de emisión locales</w:t>
      </w:r>
      <w:r w:rsidR="004A1B3C" w:rsidRPr="00BD1319">
        <w:rPr>
          <w:spacing w:val="-3"/>
          <w:lang w:val="es-CO"/>
        </w:rPr>
        <w:t>, se debe</w:t>
      </w:r>
      <w:r w:rsidR="005A371C" w:rsidRPr="00BD1319">
        <w:rPr>
          <w:spacing w:val="-3"/>
          <w:lang w:val="es-CO"/>
        </w:rPr>
        <w:t>n</w:t>
      </w:r>
      <w:r w:rsidR="004A1B3C" w:rsidRPr="00BD1319">
        <w:rPr>
          <w:spacing w:val="-3"/>
          <w:lang w:val="es-CO"/>
        </w:rPr>
        <w:t xml:space="preserve"> tener </w:t>
      </w:r>
      <w:r w:rsidR="0035104C" w:rsidRPr="00BD1319">
        <w:rPr>
          <w:spacing w:val="-3"/>
          <w:lang w:val="es-CO"/>
        </w:rPr>
        <w:t xml:space="preserve">emplear </w:t>
      </w:r>
      <w:r w:rsidR="004A1B3C" w:rsidRPr="00BD1319">
        <w:rPr>
          <w:spacing w:val="-3"/>
          <w:lang w:val="es-CO"/>
        </w:rPr>
        <w:t xml:space="preserve">los factores de emisión reportados por </w:t>
      </w:r>
      <w:r w:rsidR="00300B16" w:rsidRPr="00BD1319">
        <w:rPr>
          <w:spacing w:val="-3"/>
          <w:lang w:val="es-CO"/>
        </w:rPr>
        <w:t xml:space="preserve">la </w:t>
      </w:r>
      <w:r w:rsidR="006E0938" w:rsidRPr="00BD1319">
        <w:rPr>
          <w:spacing w:val="-3"/>
          <w:lang w:val="es-CO"/>
        </w:rPr>
        <w:t xml:space="preserve">U.S. </w:t>
      </w:r>
      <w:proofErr w:type="spellStart"/>
      <w:r w:rsidR="006E0938" w:rsidRPr="00BD1319">
        <w:rPr>
          <w:spacing w:val="-3"/>
          <w:lang w:val="es-CO"/>
        </w:rPr>
        <w:t>Environmental</w:t>
      </w:r>
      <w:proofErr w:type="spellEnd"/>
      <w:r w:rsidR="006E0938" w:rsidRPr="00BD1319">
        <w:rPr>
          <w:spacing w:val="-3"/>
          <w:lang w:val="es-CO"/>
        </w:rPr>
        <w:t xml:space="preserve"> </w:t>
      </w:r>
      <w:proofErr w:type="spellStart"/>
      <w:r w:rsidR="006E0938" w:rsidRPr="00BD1319">
        <w:rPr>
          <w:spacing w:val="-3"/>
          <w:lang w:val="es-CO"/>
        </w:rPr>
        <w:t>Protection</w:t>
      </w:r>
      <w:proofErr w:type="spellEnd"/>
      <w:r w:rsidR="006E0938" w:rsidRPr="00BD1319">
        <w:rPr>
          <w:spacing w:val="-3"/>
          <w:lang w:val="es-CO"/>
        </w:rPr>
        <w:t xml:space="preserve"> Agency</w:t>
      </w:r>
      <w:r w:rsidR="00D64853" w:rsidRPr="00BD1319">
        <w:rPr>
          <w:spacing w:val="-3"/>
          <w:lang w:val="es-CO"/>
        </w:rPr>
        <w:t xml:space="preserve"> </w:t>
      </w:r>
      <w:r w:rsidR="00300B16" w:rsidRPr="00BD1319">
        <w:rPr>
          <w:spacing w:val="-3"/>
          <w:lang w:val="es-CO"/>
        </w:rPr>
        <w:t xml:space="preserve">(US </w:t>
      </w:r>
      <w:r w:rsidR="004A1B3C" w:rsidRPr="00BD1319">
        <w:rPr>
          <w:spacing w:val="-3"/>
          <w:lang w:val="es-CO"/>
        </w:rPr>
        <w:t>EPA</w:t>
      </w:r>
      <w:r w:rsidR="00300B16" w:rsidRPr="00BD1319">
        <w:rPr>
          <w:spacing w:val="-3"/>
          <w:lang w:val="es-CO"/>
        </w:rPr>
        <w:t>)</w:t>
      </w:r>
      <w:r w:rsidR="004A1B3C" w:rsidRPr="00BD1319">
        <w:rPr>
          <w:spacing w:val="-3"/>
          <w:lang w:val="es-CO"/>
        </w:rPr>
        <w:t xml:space="preserve">, </w:t>
      </w:r>
      <w:r w:rsidR="006E0938" w:rsidRPr="00BD1319">
        <w:rPr>
          <w:spacing w:val="-3"/>
          <w:lang w:val="es-CO"/>
        </w:rPr>
        <w:t xml:space="preserve">el </w:t>
      </w:r>
      <w:r w:rsidR="005A371C" w:rsidRPr="00BD1319">
        <w:rPr>
          <w:spacing w:val="-3"/>
          <w:lang w:val="es-CO"/>
        </w:rPr>
        <w:t xml:space="preserve">EMEP/EEA air </w:t>
      </w:r>
      <w:proofErr w:type="spellStart"/>
      <w:r w:rsidR="005A371C" w:rsidRPr="00BD1319">
        <w:rPr>
          <w:spacing w:val="-3"/>
          <w:lang w:val="es-CO"/>
        </w:rPr>
        <w:t>pollutant</w:t>
      </w:r>
      <w:proofErr w:type="spellEnd"/>
      <w:r w:rsidR="005A371C" w:rsidRPr="00BD1319">
        <w:rPr>
          <w:spacing w:val="-3"/>
          <w:lang w:val="es-CO"/>
        </w:rPr>
        <w:t xml:space="preserve"> </w:t>
      </w:r>
      <w:proofErr w:type="spellStart"/>
      <w:r w:rsidR="005A371C" w:rsidRPr="00BD1319">
        <w:rPr>
          <w:spacing w:val="-3"/>
          <w:lang w:val="es-CO"/>
        </w:rPr>
        <w:t>emission</w:t>
      </w:r>
      <w:proofErr w:type="spellEnd"/>
      <w:r w:rsidR="005A371C" w:rsidRPr="00BD1319">
        <w:rPr>
          <w:spacing w:val="-3"/>
          <w:lang w:val="es-CO"/>
        </w:rPr>
        <w:t xml:space="preserve"> </w:t>
      </w:r>
      <w:proofErr w:type="spellStart"/>
      <w:r w:rsidR="005A371C" w:rsidRPr="00BD1319">
        <w:rPr>
          <w:spacing w:val="-3"/>
          <w:lang w:val="es-CO"/>
        </w:rPr>
        <w:t>inventory</w:t>
      </w:r>
      <w:proofErr w:type="spellEnd"/>
      <w:r w:rsidR="005A371C" w:rsidRPr="00BD1319">
        <w:rPr>
          <w:spacing w:val="-3"/>
          <w:lang w:val="es-CO"/>
        </w:rPr>
        <w:t xml:space="preserve"> </w:t>
      </w:r>
      <w:proofErr w:type="spellStart"/>
      <w:r w:rsidR="005A371C" w:rsidRPr="00BD1319">
        <w:rPr>
          <w:spacing w:val="-3"/>
          <w:lang w:val="es-CO"/>
        </w:rPr>
        <w:t>guidebook</w:t>
      </w:r>
      <w:proofErr w:type="spellEnd"/>
      <w:r w:rsidR="005A371C" w:rsidRPr="00BD1319">
        <w:rPr>
          <w:spacing w:val="-3"/>
          <w:lang w:val="es-CO"/>
        </w:rPr>
        <w:t xml:space="preserve"> 2019</w:t>
      </w:r>
      <w:r w:rsidR="005A371C" w:rsidRPr="00BD1319">
        <w:rPr>
          <w:iCs/>
          <w:spacing w:val="-3"/>
          <w:lang w:val="es-CO"/>
        </w:rPr>
        <w:t xml:space="preserve"> (EMEP &amp; EEA, 2019)</w:t>
      </w:r>
      <w:r w:rsidR="004A1B3C" w:rsidRPr="00BD1319">
        <w:rPr>
          <w:spacing w:val="-3"/>
          <w:lang w:val="es-CO"/>
        </w:rPr>
        <w:t xml:space="preserve"> y </w:t>
      </w:r>
      <w:r w:rsidR="00FC03A0" w:rsidRPr="00BD1319">
        <w:rPr>
          <w:spacing w:val="-3"/>
          <w:lang w:val="es-CO"/>
        </w:rPr>
        <w:t xml:space="preserve">el </w:t>
      </w:r>
      <w:proofErr w:type="spellStart"/>
      <w:r w:rsidR="00FC03A0" w:rsidRPr="00BD1319">
        <w:rPr>
          <w:spacing w:val="-3"/>
          <w:lang w:val="es-CO"/>
        </w:rPr>
        <w:t>The</w:t>
      </w:r>
      <w:proofErr w:type="spellEnd"/>
      <w:r w:rsidR="00FC03A0" w:rsidRPr="00BD1319">
        <w:rPr>
          <w:spacing w:val="-3"/>
          <w:lang w:val="es-CO"/>
        </w:rPr>
        <w:t xml:space="preserve"> </w:t>
      </w:r>
      <w:proofErr w:type="spellStart"/>
      <w:r w:rsidR="00FC03A0" w:rsidRPr="00BD1319">
        <w:rPr>
          <w:spacing w:val="-3"/>
          <w:lang w:val="es-CO"/>
        </w:rPr>
        <w:t>National</w:t>
      </w:r>
      <w:proofErr w:type="spellEnd"/>
      <w:r w:rsidR="00FC03A0" w:rsidRPr="00BD1319">
        <w:rPr>
          <w:spacing w:val="-3"/>
          <w:lang w:val="es-CO"/>
        </w:rPr>
        <w:t xml:space="preserve"> </w:t>
      </w:r>
      <w:proofErr w:type="spellStart"/>
      <w:r w:rsidR="00FC03A0" w:rsidRPr="00BD1319">
        <w:rPr>
          <w:spacing w:val="-3"/>
          <w:lang w:val="es-CO"/>
        </w:rPr>
        <w:t>Pollutant</w:t>
      </w:r>
      <w:proofErr w:type="spellEnd"/>
      <w:r w:rsidR="00FC03A0" w:rsidRPr="00BD1319">
        <w:rPr>
          <w:spacing w:val="-3"/>
          <w:lang w:val="es-CO"/>
        </w:rPr>
        <w:t xml:space="preserve"> </w:t>
      </w:r>
      <w:proofErr w:type="spellStart"/>
      <w:r w:rsidR="00FC03A0" w:rsidRPr="00BD1319">
        <w:rPr>
          <w:spacing w:val="-3"/>
          <w:lang w:val="es-CO"/>
        </w:rPr>
        <w:t>Inventory</w:t>
      </w:r>
      <w:proofErr w:type="spellEnd"/>
      <w:r w:rsidR="00FC03A0" w:rsidRPr="00BD1319">
        <w:rPr>
          <w:spacing w:val="-3"/>
          <w:lang w:val="es-CO"/>
        </w:rPr>
        <w:t xml:space="preserve"> (NPI) de Australia</w:t>
      </w:r>
      <w:r w:rsidR="004A1B3C" w:rsidRPr="00BD1319">
        <w:rPr>
          <w:rFonts w:cs="Arial"/>
          <w:spacing w:val="-3"/>
          <w:lang w:val="es-CO"/>
        </w:rPr>
        <w:t>, u otr</w:t>
      </w:r>
      <w:r w:rsidR="00FC03A0" w:rsidRPr="00BD1319">
        <w:rPr>
          <w:rFonts w:cs="Arial"/>
          <w:spacing w:val="-3"/>
          <w:lang w:val="es-CO"/>
        </w:rPr>
        <w:t>a</w:t>
      </w:r>
      <w:r w:rsidR="004A1B3C" w:rsidRPr="00BD1319">
        <w:rPr>
          <w:rFonts w:cs="Arial"/>
          <w:spacing w:val="-3"/>
          <w:lang w:val="es-CO"/>
        </w:rPr>
        <w:t xml:space="preserve"> </w:t>
      </w:r>
      <w:r w:rsidR="00FC03A0" w:rsidRPr="00BD1319">
        <w:rPr>
          <w:rFonts w:cs="Arial"/>
          <w:spacing w:val="-3"/>
          <w:lang w:val="es-CO"/>
        </w:rPr>
        <w:t xml:space="preserve">fuente </w:t>
      </w:r>
      <w:r w:rsidR="004A1B3C" w:rsidRPr="00BD1319">
        <w:rPr>
          <w:rFonts w:cs="Arial"/>
          <w:spacing w:val="-3"/>
          <w:lang w:val="es-CO"/>
        </w:rPr>
        <w:t>que cuente con reconocimiento técnico y científico a nivel nacional e internacional</w:t>
      </w:r>
      <w:r w:rsidR="0035104C" w:rsidRPr="00BD1319">
        <w:rPr>
          <w:rFonts w:cs="Arial"/>
          <w:spacing w:val="-3"/>
          <w:lang w:val="es-CO"/>
        </w:rPr>
        <w:t>.</w:t>
      </w:r>
      <w:r w:rsidR="0035104C" w:rsidRPr="00BD1319">
        <w:t xml:space="preserve"> </w:t>
      </w:r>
      <w:r w:rsidR="0035104C" w:rsidRPr="00BD1319">
        <w:rPr>
          <w:rFonts w:cs="Arial"/>
          <w:spacing w:val="-3"/>
          <w:lang w:val="es-CO"/>
        </w:rPr>
        <w:t>El uso de estos factores debe ser fiel a la metodología seleccionada y realizarse dentro de los rangos recomendados, evitando la subestimación</w:t>
      </w:r>
      <w:r w:rsidR="004A1B3C" w:rsidRPr="00BD1319">
        <w:rPr>
          <w:rFonts w:cs="Arial"/>
          <w:spacing w:val="-3"/>
          <w:lang w:val="es-CO"/>
        </w:rPr>
        <w:t>.</w:t>
      </w:r>
    </w:p>
    <w:p w14:paraId="4F72C77C" w14:textId="77777777" w:rsidR="0035104C" w:rsidRPr="00BD1319" w:rsidRDefault="0035104C" w:rsidP="000D6E21">
      <w:pPr>
        <w:tabs>
          <w:tab w:val="left" w:pos="-2268"/>
        </w:tabs>
        <w:suppressAutoHyphens/>
        <w:rPr>
          <w:spacing w:val="-3"/>
        </w:rPr>
      </w:pPr>
    </w:p>
    <w:p w14:paraId="51B4B706" w14:textId="306C361B" w:rsidR="004A1B3C" w:rsidRPr="00BD1319" w:rsidRDefault="0035104C" w:rsidP="0035104C">
      <w:pPr>
        <w:pStyle w:val="Prrafodelista"/>
        <w:tabs>
          <w:tab w:val="left" w:pos="-2268"/>
        </w:tabs>
        <w:suppressAutoHyphens/>
        <w:ind w:left="567"/>
        <w:rPr>
          <w:spacing w:val="-3"/>
          <w:lang w:val="es-CO"/>
        </w:rPr>
      </w:pPr>
      <w:r w:rsidRPr="00BD1319">
        <w:rPr>
          <w:spacing w:val="-3"/>
          <w:lang w:val="es-CO"/>
        </w:rPr>
        <w:t>Se debe a</w:t>
      </w:r>
      <w:r w:rsidR="004A1B3C" w:rsidRPr="00BD1319">
        <w:rPr>
          <w:spacing w:val="-3"/>
          <w:lang w:val="es-CO"/>
        </w:rPr>
        <w:t xml:space="preserve">nexar sustento de los cálculos </w:t>
      </w:r>
      <w:r w:rsidR="008F453F" w:rsidRPr="00BD1319">
        <w:rPr>
          <w:spacing w:val="-3"/>
          <w:lang w:val="es-CO"/>
        </w:rPr>
        <w:t>con</w:t>
      </w:r>
      <w:r w:rsidR="00796EEA" w:rsidRPr="00BD1319">
        <w:rPr>
          <w:spacing w:val="-3"/>
          <w:lang w:val="es-CO"/>
        </w:rPr>
        <w:t xml:space="preserve"> suposiciones realizadas en formato editable</w:t>
      </w:r>
      <w:r w:rsidRPr="00BD1319">
        <w:rPr>
          <w:spacing w:val="-3"/>
          <w:lang w:val="es-CO"/>
        </w:rPr>
        <w:t xml:space="preserve"> en un archivo Excel o similar</w:t>
      </w:r>
      <w:r w:rsidR="00796EEA" w:rsidRPr="00BD1319">
        <w:rPr>
          <w:spacing w:val="-3"/>
          <w:lang w:val="es-CO"/>
        </w:rPr>
        <w:t xml:space="preserve">, </w:t>
      </w:r>
      <w:r w:rsidRPr="00BD1319">
        <w:rPr>
          <w:spacing w:val="-3"/>
          <w:lang w:val="es-CO"/>
        </w:rPr>
        <w:t xml:space="preserve">formulado y sin restricciones de ningún tipo, en el que se presenten </w:t>
      </w:r>
      <w:r w:rsidR="00796EEA" w:rsidRPr="00BD1319">
        <w:rPr>
          <w:spacing w:val="-3"/>
          <w:lang w:val="es-CO"/>
        </w:rPr>
        <w:t>las referencias usadas en la selección en factores de actividad, factores de emisión, parámetros</w:t>
      </w:r>
      <w:r w:rsidRPr="00BD1319">
        <w:rPr>
          <w:spacing w:val="-3"/>
          <w:lang w:val="es-CO"/>
        </w:rPr>
        <w:t xml:space="preserve"> de cálculo</w:t>
      </w:r>
      <w:r w:rsidR="00796EEA" w:rsidRPr="00BD1319">
        <w:rPr>
          <w:spacing w:val="-3"/>
          <w:lang w:val="es-CO"/>
        </w:rPr>
        <w:t>, entre otros</w:t>
      </w:r>
      <w:r w:rsidRPr="00BD1319">
        <w:rPr>
          <w:spacing w:val="-3"/>
          <w:lang w:val="es-CO"/>
        </w:rPr>
        <w:t>.</w:t>
      </w:r>
      <w:r w:rsidR="00796EEA" w:rsidRPr="00BD1319">
        <w:rPr>
          <w:spacing w:val="-3"/>
          <w:lang w:val="es-CO"/>
        </w:rPr>
        <w:t xml:space="preserve"> </w:t>
      </w:r>
      <w:r w:rsidRPr="00BD1319">
        <w:rPr>
          <w:spacing w:val="-3"/>
          <w:lang w:val="es-CO"/>
        </w:rPr>
        <w:t xml:space="preserve">Lo anterior para que sea posible </w:t>
      </w:r>
      <w:r w:rsidR="00796EEA" w:rsidRPr="00BD1319">
        <w:rPr>
          <w:spacing w:val="-3"/>
          <w:lang w:val="es-CO"/>
        </w:rPr>
        <w:t xml:space="preserve">verificar </w:t>
      </w:r>
      <w:r w:rsidRPr="00BD1319">
        <w:rPr>
          <w:spacing w:val="-3"/>
          <w:lang w:val="es-CO"/>
        </w:rPr>
        <w:t xml:space="preserve">toda </w:t>
      </w:r>
      <w:r w:rsidR="00796EEA" w:rsidRPr="00BD1319">
        <w:rPr>
          <w:spacing w:val="-3"/>
          <w:lang w:val="es-CO"/>
        </w:rPr>
        <w:t xml:space="preserve">la trazabilidad de </w:t>
      </w:r>
      <w:r w:rsidRPr="00BD1319">
        <w:rPr>
          <w:spacing w:val="-3"/>
          <w:lang w:val="es-CO"/>
        </w:rPr>
        <w:t xml:space="preserve">los niveles de actividad y de </w:t>
      </w:r>
      <w:r w:rsidR="00796EEA" w:rsidRPr="00BD1319">
        <w:rPr>
          <w:spacing w:val="-3"/>
          <w:lang w:val="es-CO"/>
        </w:rPr>
        <w:t xml:space="preserve">las estimaciones </w:t>
      </w:r>
      <w:r w:rsidRPr="00BD1319">
        <w:rPr>
          <w:spacing w:val="-3"/>
          <w:lang w:val="es-CO"/>
        </w:rPr>
        <w:t xml:space="preserve">de emisiones </w:t>
      </w:r>
      <w:r w:rsidR="00796EEA" w:rsidRPr="00BD1319">
        <w:rPr>
          <w:spacing w:val="-3"/>
          <w:lang w:val="es-CO"/>
        </w:rPr>
        <w:t>obtenidas</w:t>
      </w:r>
      <w:r w:rsidR="004A1B3C" w:rsidRPr="00BD1319">
        <w:rPr>
          <w:spacing w:val="-3"/>
          <w:lang w:val="es-CO"/>
        </w:rPr>
        <w:t>.</w:t>
      </w:r>
    </w:p>
    <w:p w14:paraId="4F5CE736" w14:textId="77777777" w:rsidR="00AF6F4B" w:rsidRPr="00BD1319" w:rsidRDefault="00AF6F4B" w:rsidP="000D6E21">
      <w:pPr>
        <w:tabs>
          <w:tab w:val="left" w:pos="-2268"/>
        </w:tabs>
        <w:suppressAutoHyphens/>
        <w:rPr>
          <w:spacing w:val="-3"/>
        </w:rPr>
      </w:pPr>
    </w:p>
    <w:p w14:paraId="1CCF9ADA" w14:textId="0FC437DC" w:rsidR="00AF6F4B" w:rsidRPr="00BD1319" w:rsidRDefault="007F4BC6" w:rsidP="000D6E21">
      <w:pPr>
        <w:pStyle w:val="Prrafodelista"/>
        <w:tabs>
          <w:tab w:val="left" w:pos="-2268"/>
        </w:tabs>
        <w:suppressAutoHyphens/>
        <w:ind w:left="567"/>
        <w:rPr>
          <w:spacing w:val="-3"/>
          <w:lang w:val="es-CO"/>
        </w:rPr>
      </w:pPr>
      <w:r w:rsidRPr="00BD1319">
        <w:rPr>
          <w:spacing w:val="-3"/>
          <w:lang w:val="es-CO"/>
        </w:rPr>
        <w:t xml:space="preserve">En caso de que </w:t>
      </w:r>
      <w:r w:rsidR="00AF6F4B" w:rsidRPr="00BD1319">
        <w:rPr>
          <w:spacing w:val="-3"/>
          <w:lang w:val="es-CO"/>
        </w:rPr>
        <w:t>no se encuentre información que permita la estimación de las emisiones, se debe</w:t>
      </w:r>
      <w:r w:rsidRPr="00BD1319">
        <w:rPr>
          <w:spacing w:val="-3"/>
          <w:lang w:val="es-CO"/>
        </w:rPr>
        <w:t>n</w:t>
      </w:r>
      <w:r w:rsidR="00AF6F4B" w:rsidRPr="00BD1319">
        <w:rPr>
          <w:spacing w:val="-3"/>
          <w:lang w:val="es-CO"/>
        </w:rPr>
        <w:t xml:space="preserve"> realizar homologaciones </w:t>
      </w:r>
      <w:r w:rsidR="00063F94" w:rsidRPr="00BD1319">
        <w:rPr>
          <w:spacing w:val="-3"/>
          <w:lang w:val="es-CO"/>
        </w:rPr>
        <w:t xml:space="preserve">y justificar </w:t>
      </w:r>
      <w:r w:rsidR="00AF6F4B" w:rsidRPr="00BD1319">
        <w:rPr>
          <w:spacing w:val="-3"/>
          <w:lang w:val="es-CO"/>
        </w:rPr>
        <w:t xml:space="preserve">adecuadamente </w:t>
      </w:r>
      <w:r w:rsidR="00063F94" w:rsidRPr="00BD1319">
        <w:rPr>
          <w:spacing w:val="-3"/>
          <w:lang w:val="es-CO"/>
        </w:rPr>
        <w:t xml:space="preserve">su uso; si ello </w:t>
      </w:r>
      <w:r w:rsidR="00AF6F4B" w:rsidRPr="00BD1319">
        <w:rPr>
          <w:spacing w:val="-3"/>
          <w:lang w:val="es-CO"/>
        </w:rPr>
        <w:t xml:space="preserve">no </w:t>
      </w:r>
      <w:r w:rsidR="00063F94" w:rsidRPr="00BD1319">
        <w:rPr>
          <w:spacing w:val="-3"/>
          <w:lang w:val="es-CO"/>
        </w:rPr>
        <w:t>es</w:t>
      </w:r>
      <w:r w:rsidR="00AF6F4B" w:rsidRPr="00BD1319">
        <w:rPr>
          <w:spacing w:val="-3"/>
          <w:lang w:val="es-CO"/>
        </w:rPr>
        <w:t xml:space="preserve"> posible</w:t>
      </w:r>
      <w:r w:rsidR="00063F94" w:rsidRPr="00BD1319">
        <w:rPr>
          <w:spacing w:val="-3"/>
          <w:lang w:val="es-CO"/>
        </w:rPr>
        <w:t>,</w:t>
      </w:r>
      <w:r w:rsidR="00AF6F4B" w:rsidRPr="00BD1319">
        <w:rPr>
          <w:spacing w:val="-3"/>
          <w:lang w:val="es-CO"/>
        </w:rPr>
        <w:t xml:space="preserve"> se debe</w:t>
      </w:r>
      <w:r w:rsidR="00063F94" w:rsidRPr="00BD1319">
        <w:rPr>
          <w:spacing w:val="-3"/>
          <w:lang w:val="es-CO"/>
        </w:rPr>
        <w:t xml:space="preserve">n señalar las razones que no permiten emplearlas </w:t>
      </w:r>
      <w:r w:rsidR="00006901" w:rsidRPr="00BD1319">
        <w:rPr>
          <w:spacing w:val="-3"/>
          <w:lang w:val="es-CO"/>
        </w:rPr>
        <w:t xml:space="preserve">ni </w:t>
      </w:r>
      <w:r w:rsidR="00AF6F4B" w:rsidRPr="00BD1319">
        <w:rPr>
          <w:spacing w:val="-3"/>
          <w:lang w:val="es-CO"/>
        </w:rPr>
        <w:t>inclu</w:t>
      </w:r>
      <w:r w:rsidR="00006901" w:rsidRPr="00BD1319">
        <w:rPr>
          <w:spacing w:val="-3"/>
          <w:lang w:val="es-CO"/>
        </w:rPr>
        <w:t xml:space="preserve">ir </w:t>
      </w:r>
      <w:r w:rsidR="00AF6F4B" w:rsidRPr="00BD1319">
        <w:rPr>
          <w:spacing w:val="-3"/>
          <w:lang w:val="es-CO"/>
        </w:rPr>
        <w:t xml:space="preserve">la actividad </w:t>
      </w:r>
      <w:r w:rsidR="00006901" w:rsidRPr="00BD1319">
        <w:rPr>
          <w:spacing w:val="-3"/>
          <w:lang w:val="es-CO"/>
        </w:rPr>
        <w:t xml:space="preserve">asociada </w:t>
      </w:r>
      <w:r w:rsidR="00AF6F4B" w:rsidRPr="00BD1319">
        <w:rPr>
          <w:spacing w:val="-3"/>
          <w:lang w:val="es-CO"/>
        </w:rPr>
        <w:t>en el inventario.</w:t>
      </w:r>
    </w:p>
    <w:p w14:paraId="1CDE3F24" w14:textId="77777777" w:rsidR="004A1B3C" w:rsidRPr="00BD1319" w:rsidRDefault="004A1B3C" w:rsidP="00C86DA5"/>
    <w:p w14:paraId="207D6307" w14:textId="57E67A05" w:rsidR="0087262F" w:rsidRPr="00BD1319" w:rsidRDefault="0087262F" w:rsidP="000D6E21">
      <w:pPr>
        <w:pStyle w:val="Prrafodelista"/>
        <w:numPr>
          <w:ilvl w:val="0"/>
          <w:numId w:val="5"/>
        </w:numPr>
        <w:tabs>
          <w:tab w:val="left" w:pos="-2268"/>
        </w:tabs>
        <w:suppressAutoHyphens/>
        <w:ind w:left="567" w:hanging="567"/>
        <w:rPr>
          <w:spacing w:val="-3"/>
        </w:rPr>
      </w:pPr>
      <w:r w:rsidRPr="00BD1319">
        <w:rPr>
          <w:spacing w:val="-3"/>
          <w:lang w:val="es-CO"/>
        </w:rPr>
        <w:lastRenderedPageBreak/>
        <w:t>Incluir, para las fuentes que cuenten con equipos de control al final del proceso, el plan de contingencia de los sistemas de control de emisiones, así como las demás obligaciones para este tipo de fuentes definidas por el Protocolo para el Control y Vigilancia de la Contaminación Atmosférica generada por Fuentes Fijas adoptado mediante la Resolución 760 de 2010, ajustado por la Resolución 2153 de 2010 y adicionado mediante Resolución 1632 de 2012, o aquellas normas que las modifiquen o sustituyan.</w:t>
      </w:r>
    </w:p>
    <w:p w14:paraId="11C02F69" w14:textId="77777777" w:rsidR="0087262F" w:rsidRPr="00BD1319" w:rsidRDefault="0087262F" w:rsidP="00C86DA5"/>
    <w:p w14:paraId="15291961" w14:textId="42648525" w:rsidR="004A1B3C" w:rsidRPr="00BD1319" w:rsidRDefault="004A1B3C" w:rsidP="00C86DA5">
      <w:r w:rsidRPr="00BD1319">
        <w:t xml:space="preserve">Para </w:t>
      </w:r>
      <w:r w:rsidR="00306946" w:rsidRPr="00BD1319">
        <w:t xml:space="preserve">las </w:t>
      </w:r>
      <w:r w:rsidRPr="00BD1319">
        <w:t>fuentes móviles se pueden utilizar modelos de emisión de fuentes móviles (</w:t>
      </w:r>
      <w:r w:rsidR="00041844" w:rsidRPr="00BD1319">
        <w:t>p. ej.</w:t>
      </w:r>
      <w:r w:rsidRPr="00BD1319">
        <w:t xml:space="preserve"> IVE, MOBILE, MOVES y COPERT) combinados con variables locales (distancias viajadas por la flota, </w:t>
      </w:r>
      <w:r w:rsidR="00306946" w:rsidRPr="00BD1319">
        <w:t xml:space="preserve">estimaciones de viaje de la flota ida y vuelta, </w:t>
      </w:r>
      <w:r w:rsidRPr="00BD1319">
        <w:t>velocidades</w:t>
      </w:r>
      <w:r w:rsidR="00306946" w:rsidRPr="00BD1319">
        <w:t xml:space="preserve"> de vehículos</w:t>
      </w:r>
      <w:r w:rsidRPr="00BD1319">
        <w:t>, entre otros), o factores de emisión de entidades de reconocida idoneidad en la materia.</w:t>
      </w:r>
    </w:p>
    <w:p w14:paraId="64BF54C9" w14:textId="77777777" w:rsidR="004A1B3C" w:rsidRPr="00BD1319" w:rsidRDefault="004A1B3C" w:rsidP="00C86DA5"/>
    <w:p w14:paraId="1B2485DA" w14:textId="2554C664" w:rsidR="004A1B3C" w:rsidRPr="00BD1319" w:rsidRDefault="004A1B3C" w:rsidP="00C86DA5">
      <w:r w:rsidRPr="00BD1319">
        <w:t>El aforo vehicular</w:t>
      </w:r>
      <w:r w:rsidRPr="00BD1319">
        <w:rPr>
          <w:rFonts w:cs="Arial"/>
        </w:rPr>
        <w:t xml:space="preserve"> </w:t>
      </w:r>
      <w:r w:rsidR="00262C6C" w:rsidRPr="00BD1319">
        <w:rPr>
          <w:rFonts w:cs="Arial"/>
        </w:rPr>
        <w:t xml:space="preserve">que se debe </w:t>
      </w:r>
      <w:r w:rsidR="008F453F" w:rsidRPr="00BD1319">
        <w:t xml:space="preserve">realizar </w:t>
      </w:r>
      <w:r w:rsidRPr="00BD1319">
        <w:rPr>
          <w:rFonts w:cs="Arial"/>
        </w:rPr>
        <w:t xml:space="preserve">(diario o nocturno, dependiendo de las particularidades del </w:t>
      </w:r>
      <w:r w:rsidR="00676DE6" w:rsidRPr="00BD1319">
        <w:rPr>
          <w:rFonts w:cs="Arial"/>
        </w:rPr>
        <w:t>proyecto, obra o actividad</w:t>
      </w:r>
      <w:r w:rsidRPr="00BD1319">
        <w:rPr>
          <w:rFonts w:cs="Arial"/>
        </w:rPr>
        <w:t>)</w:t>
      </w:r>
      <w:r w:rsidRPr="00BD1319">
        <w:t xml:space="preserve"> tiene como propósito la </w:t>
      </w:r>
      <w:r w:rsidR="00B624F9" w:rsidRPr="00BD1319">
        <w:t xml:space="preserve">determinación </w:t>
      </w:r>
      <w:r w:rsidRPr="00BD1319">
        <w:t xml:space="preserve">de las fuentes móviles que </w:t>
      </w:r>
      <w:r w:rsidR="008F453F" w:rsidRPr="00BD1319">
        <w:t xml:space="preserve">han de </w:t>
      </w:r>
      <w:r w:rsidRPr="00BD1319">
        <w:t>transita</w:t>
      </w:r>
      <w:r w:rsidR="008F453F" w:rsidRPr="00BD1319">
        <w:t>r</w:t>
      </w:r>
      <w:r w:rsidRPr="00BD1319">
        <w:t xml:space="preserve"> por las vías del proyecto o que se encuentr</w:t>
      </w:r>
      <w:r w:rsidR="008F453F" w:rsidRPr="00BD1319">
        <w:t>e</w:t>
      </w:r>
      <w:r w:rsidRPr="00BD1319">
        <w:t>n en el área de influencia.</w:t>
      </w:r>
    </w:p>
    <w:p w14:paraId="632FC613" w14:textId="77777777" w:rsidR="004A1B3C" w:rsidRPr="00BD1319" w:rsidRDefault="004A1B3C" w:rsidP="00C86DA5"/>
    <w:p w14:paraId="3ACEA47D" w14:textId="7C8F5AC7" w:rsidR="004A1B3C" w:rsidRPr="00BD1319" w:rsidRDefault="004A1B3C" w:rsidP="00216955">
      <w:pPr>
        <w:pStyle w:val="Ttulo3"/>
      </w:pPr>
      <w:bookmarkStart w:id="3133" w:name="_Toc42874880"/>
      <w:bookmarkStart w:id="3134" w:name="_Toc344298126"/>
      <w:bookmarkStart w:id="3135" w:name="_Toc344461218"/>
      <w:bookmarkStart w:id="3136" w:name="_Toc351541457"/>
      <w:bookmarkStart w:id="3137" w:name="_Toc378923318"/>
      <w:bookmarkStart w:id="3138" w:name="_Toc387312775"/>
      <w:bookmarkStart w:id="3139" w:name="_Toc393967349"/>
      <w:bookmarkStart w:id="3140" w:name="_Toc405366866"/>
      <w:bookmarkStart w:id="3141" w:name="_Toc405372414"/>
      <w:bookmarkStart w:id="3142" w:name="_Toc412803211"/>
      <w:bookmarkStart w:id="3143" w:name="_Toc437936050"/>
      <w:bookmarkStart w:id="3144" w:name="_Ref77325705"/>
      <w:bookmarkStart w:id="3145" w:name="_Toc175326791"/>
      <w:r w:rsidRPr="00BD1319">
        <w:t>Modelo de dispersión</w:t>
      </w:r>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p>
    <w:p w14:paraId="2489243B" w14:textId="77777777" w:rsidR="004A1B3C" w:rsidRPr="00BD1319" w:rsidRDefault="004A1B3C" w:rsidP="00C86DA5"/>
    <w:p w14:paraId="3C3FB696" w14:textId="1073FD0C" w:rsidR="004A1B3C" w:rsidRPr="00BD1319" w:rsidRDefault="004A1B3C" w:rsidP="00C86DA5">
      <w:r w:rsidRPr="00BD1319">
        <w:t xml:space="preserve">Los parámetros </w:t>
      </w:r>
      <w:r w:rsidR="00262C6C" w:rsidRPr="00BD1319">
        <w:t xml:space="preserve">objeto de </w:t>
      </w:r>
      <w:r w:rsidRPr="00BD1319">
        <w:t>model</w:t>
      </w:r>
      <w:r w:rsidR="008F325D" w:rsidRPr="00BD1319">
        <w:t>iz</w:t>
      </w:r>
      <w:r w:rsidRPr="00BD1319">
        <w:t>a</w:t>
      </w:r>
      <w:r w:rsidR="00262C6C" w:rsidRPr="00BD1319">
        <w:t>ción</w:t>
      </w:r>
      <w:r w:rsidRPr="00BD1319">
        <w:t xml:space="preserve"> deben ser aquellos que se identifi</w:t>
      </w:r>
      <w:r w:rsidR="008F325D" w:rsidRPr="00BD1319">
        <w:t xml:space="preserve">quen </w:t>
      </w:r>
      <w:r w:rsidRPr="00BD1319">
        <w:t>durante la estimación de emisiones atmosféricas.</w:t>
      </w:r>
      <w:r w:rsidR="00796EEA" w:rsidRPr="00BD1319">
        <w:t xml:space="preserve"> En caso de que los parámetros evaluados no cuenten con niveles máximos permisibles </w:t>
      </w:r>
      <w:r w:rsidR="001F6F00" w:rsidRPr="00BD1319">
        <w:t xml:space="preserve">en el ámbito </w:t>
      </w:r>
      <w:r w:rsidR="00796EEA" w:rsidRPr="00BD1319">
        <w:t xml:space="preserve">nacional, se deben utilizar niveles máximos permisibles </w:t>
      </w:r>
      <w:r w:rsidR="001F6F00" w:rsidRPr="00BD1319">
        <w:t xml:space="preserve">definidos </w:t>
      </w:r>
      <w:r w:rsidR="00796EEA" w:rsidRPr="00BD1319">
        <w:t>internacional</w:t>
      </w:r>
      <w:r w:rsidR="009F4208" w:rsidRPr="00BD1319">
        <w:t>mente</w:t>
      </w:r>
      <w:r w:rsidR="00796EEA" w:rsidRPr="00BD1319">
        <w:t xml:space="preserve"> (</w:t>
      </w:r>
      <w:r w:rsidR="00041844" w:rsidRPr="00BD1319">
        <w:t>p. ej.</w:t>
      </w:r>
      <w:r w:rsidR="00796EEA" w:rsidRPr="00BD1319">
        <w:t xml:space="preserve"> </w:t>
      </w:r>
      <w:r w:rsidR="008F325D" w:rsidRPr="00BD1319">
        <w:t xml:space="preserve">los establecidos para Estados Unidos </w:t>
      </w:r>
      <w:r w:rsidR="00796EEA" w:rsidRPr="00BD1319">
        <w:t xml:space="preserve">o </w:t>
      </w:r>
      <w:r w:rsidR="008F325D" w:rsidRPr="00BD1319">
        <w:t xml:space="preserve">para la </w:t>
      </w:r>
      <w:r w:rsidR="00796EEA" w:rsidRPr="00BD1319">
        <w:t>Unión Europea).</w:t>
      </w:r>
    </w:p>
    <w:p w14:paraId="734C7972" w14:textId="77777777" w:rsidR="004A1B3C" w:rsidRPr="00BD1319" w:rsidRDefault="004A1B3C" w:rsidP="00C86DA5"/>
    <w:p w14:paraId="57DC0C43" w14:textId="27B79AF2" w:rsidR="004A1B3C" w:rsidRPr="00BD1319" w:rsidRDefault="00DD6F38" w:rsidP="00C86DA5">
      <w:r w:rsidRPr="00BD1319">
        <w:t xml:space="preserve">En tanto Minambiente adopte </w:t>
      </w:r>
      <w:r w:rsidR="00A74731" w:rsidRPr="00BD1319">
        <w:t xml:space="preserve">el instrumento </w:t>
      </w:r>
      <w:r w:rsidRPr="00BD1319">
        <w:t xml:space="preserve">de modelización de calidad del aire, la modelización de contaminantes atmosféricos </w:t>
      </w:r>
      <w:r w:rsidR="004A1B3C" w:rsidRPr="00BD1319">
        <w:t xml:space="preserve">debe seguir los lineamientos </w:t>
      </w:r>
      <w:r w:rsidR="006E0938" w:rsidRPr="00BD1319">
        <w:t xml:space="preserve">que se establecen a </w:t>
      </w:r>
      <w:r w:rsidR="00796EEA" w:rsidRPr="00BD1319">
        <w:t>continuación</w:t>
      </w:r>
      <w:r w:rsidR="004A1B3C" w:rsidRPr="00BD1319">
        <w:t>:</w:t>
      </w:r>
    </w:p>
    <w:p w14:paraId="2FCF5E4D" w14:textId="77777777" w:rsidR="004A1B3C" w:rsidRPr="00BD1319" w:rsidRDefault="004A1B3C" w:rsidP="00C86DA5"/>
    <w:p w14:paraId="41618265" w14:textId="49BFF2C1" w:rsidR="004A1B3C" w:rsidRPr="00BD1319" w:rsidRDefault="004A1B3C" w:rsidP="00C86DA5">
      <w:pPr>
        <w:pStyle w:val="Prrafodelista"/>
        <w:numPr>
          <w:ilvl w:val="0"/>
          <w:numId w:val="5"/>
        </w:numPr>
        <w:tabs>
          <w:tab w:val="left" w:pos="-2268"/>
        </w:tabs>
        <w:suppressAutoHyphens/>
        <w:ind w:left="567" w:hanging="567"/>
        <w:rPr>
          <w:spacing w:val="-3"/>
          <w:lang w:val="es-CO"/>
        </w:rPr>
      </w:pPr>
      <w:r w:rsidRPr="00BD1319">
        <w:rPr>
          <w:spacing w:val="-3"/>
          <w:lang w:val="es-CO"/>
        </w:rPr>
        <w:t xml:space="preserve">Formulación </w:t>
      </w:r>
      <w:r w:rsidRPr="00BD1319">
        <w:rPr>
          <w:rFonts w:cs="Arial"/>
          <w:spacing w:val="-3"/>
          <w:lang w:val="es-CO"/>
        </w:rPr>
        <w:t>de la condición a simular</w:t>
      </w:r>
      <w:r w:rsidRPr="00BD1319">
        <w:rPr>
          <w:spacing w:val="-3"/>
          <w:lang w:val="es-CO"/>
        </w:rPr>
        <w:t xml:space="preserve">: procedimiento que conlleva la selección de los procesos a representar y de las escalas y resoluciones </w:t>
      </w:r>
      <w:r w:rsidR="00735E9F" w:rsidRPr="00BD1319">
        <w:rPr>
          <w:spacing w:val="-3"/>
          <w:lang w:val="es-CO"/>
        </w:rPr>
        <w:t xml:space="preserve">para desarrollar </w:t>
      </w:r>
      <w:r w:rsidRPr="00BD1319">
        <w:rPr>
          <w:spacing w:val="-3"/>
          <w:lang w:val="es-CO"/>
        </w:rPr>
        <w:t>la representación. En esta fase se identifican también las fuentes y receptores de interés y se elige el método más adecuado para su representación.</w:t>
      </w:r>
    </w:p>
    <w:p w14:paraId="54D42F09" w14:textId="77777777" w:rsidR="004A1B3C" w:rsidRPr="00BD1319" w:rsidRDefault="004A1B3C" w:rsidP="00C86DA5">
      <w:pPr>
        <w:pStyle w:val="Prrafodelista"/>
        <w:tabs>
          <w:tab w:val="left" w:pos="-2268"/>
        </w:tabs>
        <w:suppressAutoHyphens/>
        <w:ind w:left="567" w:hanging="567"/>
        <w:rPr>
          <w:spacing w:val="-3"/>
          <w:lang w:val="es-CO"/>
        </w:rPr>
      </w:pPr>
    </w:p>
    <w:p w14:paraId="6B1D5E02" w14:textId="77777777" w:rsidR="004A1B3C" w:rsidRPr="00BD1319" w:rsidRDefault="004A1B3C" w:rsidP="00C86DA5">
      <w:pPr>
        <w:pStyle w:val="Prrafodelista"/>
        <w:numPr>
          <w:ilvl w:val="0"/>
          <w:numId w:val="5"/>
        </w:numPr>
        <w:tabs>
          <w:tab w:val="left" w:pos="-2268"/>
        </w:tabs>
        <w:suppressAutoHyphens/>
        <w:ind w:left="567" w:hanging="567"/>
        <w:rPr>
          <w:spacing w:val="-3"/>
          <w:lang w:val="es-CO"/>
        </w:rPr>
      </w:pPr>
      <w:r w:rsidRPr="00BD1319">
        <w:rPr>
          <w:spacing w:val="-3"/>
          <w:lang w:val="es-CO"/>
        </w:rPr>
        <w:t>Selección y validación de los datos de entrada: procedimiento estándar dentro del proceso experimental que resulta de suma importancia en razón a que la disponibilidad de los datos es con frecuencia uno de los criterios decisivos en la formulación o selección del modelo matemático. Se deben describir los criterios de selección y validación utilizados.</w:t>
      </w:r>
    </w:p>
    <w:p w14:paraId="60AC6896" w14:textId="77777777" w:rsidR="004A1B3C" w:rsidRPr="00BD1319" w:rsidRDefault="004A1B3C" w:rsidP="00C86DA5">
      <w:pPr>
        <w:ind w:left="567" w:hanging="567"/>
      </w:pPr>
    </w:p>
    <w:p w14:paraId="5135380E" w14:textId="61C9210B" w:rsidR="004A1B3C" w:rsidRPr="00BD1319" w:rsidRDefault="00796EEA" w:rsidP="00C86DA5">
      <w:pPr>
        <w:pStyle w:val="Prrafodelista"/>
        <w:numPr>
          <w:ilvl w:val="0"/>
          <w:numId w:val="5"/>
        </w:numPr>
        <w:tabs>
          <w:tab w:val="left" w:pos="-2268"/>
        </w:tabs>
        <w:suppressAutoHyphens/>
        <w:ind w:left="567" w:hanging="567"/>
        <w:rPr>
          <w:spacing w:val="-3"/>
          <w:lang w:val="es-CO"/>
        </w:rPr>
      </w:pPr>
      <w:r w:rsidRPr="00BD1319">
        <w:rPr>
          <w:rFonts w:cs="Arial"/>
          <w:spacing w:val="-3"/>
          <w:lang w:val="es-CO"/>
        </w:rPr>
        <w:lastRenderedPageBreak/>
        <w:t>Formulación</w:t>
      </w:r>
      <w:r w:rsidRPr="00BD1319">
        <w:rPr>
          <w:spacing w:val="-3"/>
          <w:lang w:val="es-CO"/>
        </w:rPr>
        <w:t xml:space="preserve"> del modelo matemático: se selecciona la aproximación matemática más adecuada para la representación del problema (por ejemplo, Gaussiana, Lagrangiana, Euleriana) y se define el modelo computacional que mejor represente el escenario, justificando los criterios tenidos en cuenta para la selección del modelo, así como las configuraciones y parametrizaciones utilizadas. En caso de utilizar los modelos matemáticos recomendados por la Agencia de Protección Ambiental de los Estados Unidos (US-EPA) se deberá formular el modelo matemático a implementar</w:t>
      </w:r>
      <w:r w:rsidR="004A1B3C" w:rsidRPr="00BD1319">
        <w:rPr>
          <w:spacing w:val="-3"/>
          <w:lang w:val="es-CO"/>
        </w:rPr>
        <w:t>.</w:t>
      </w:r>
    </w:p>
    <w:p w14:paraId="01B44AB4" w14:textId="77777777" w:rsidR="004A1B3C" w:rsidRPr="00BD1319" w:rsidRDefault="004A1B3C" w:rsidP="00C86DA5">
      <w:pPr>
        <w:ind w:left="567" w:hanging="567"/>
      </w:pPr>
    </w:p>
    <w:p w14:paraId="1180685B" w14:textId="170A89B4" w:rsidR="00796EEA" w:rsidRPr="00BD1319" w:rsidRDefault="00796EEA" w:rsidP="00796EEA">
      <w:pPr>
        <w:pStyle w:val="Prrafodelista"/>
        <w:numPr>
          <w:ilvl w:val="0"/>
          <w:numId w:val="5"/>
        </w:numPr>
        <w:tabs>
          <w:tab w:val="left" w:pos="-2268"/>
        </w:tabs>
        <w:suppressAutoHyphens/>
        <w:ind w:left="567" w:hanging="567"/>
        <w:rPr>
          <w:spacing w:val="-3"/>
          <w:lang w:val="es-CO"/>
        </w:rPr>
      </w:pPr>
      <w:r w:rsidRPr="00BD1319">
        <w:rPr>
          <w:spacing w:val="-3"/>
          <w:lang w:val="es-CO"/>
        </w:rPr>
        <w:t>El análisis de sensibilidad se enfoca a aquellos parámetros o variables que son asumidas y de las cuales no se tienen datos medidos en campo, por ejemplo, la estimación de emisiones por métodos indirectos (contenido de finos, contenido de humedad, factores de emisión, factores de actividad, capacidades caloríficas de combustibles, entre otros).</w:t>
      </w:r>
    </w:p>
    <w:p w14:paraId="6551E30D" w14:textId="77777777" w:rsidR="00796EEA" w:rsidRPr="00BD1319" w:rsidRDefault="00796EEA" w:rsidP="00C86DA5">
      <w:pPr>
        <w:ind w:left="567" w:hanging="567"/>
      </w:pPr>
    </w:p>
    <w:p w14:paraId="217DE157" w14:textId="61923078" w:rsidR="00796EEA" w:rsidRPr="00BD1319" w:rsidRDefault="00796EEA" w:rsidP="00796EEA">
      <w:pPr>
        <w:pStyle w:val="Prrafodelista"/>
        <w:numPr>
          <w:ilvl w:val="0"/>
          <w:numId w:val="5"/>
        </w:numPr>
        <w:tabs>
          <w:tab w:val="left" w:pos="-2268"/>
        </w:tabs>
        <w:suppressAutoHyphens/>
        <w:ind w:left="567" w:hanging="567"/>
        <w:rPr>
          <w:spacing w:val="-3"/>
          <w:lang w:val="es-CO"/>
        </w:rPr>
      </w:pPr>
      <w:r w:rsidRPr="00BD1319">
        <w:rPr>
          <w:spacing w:val="-3"/>
          <w:lang w:val="es-CO"/>
        </w:rPr>
        <w:t>Además, se debe realizar la validación de la información meteorológica e información de elevación de terreno (modelo digital de terreno) mediante su comparación con datos primarios.</w:t>
      </w:r>
    </w:p>
    <w:p w14:paraId="04B41C4A" w14:textId="5FABAF76" w:rsidR="004A1B3C" w:rsidRPr="00BD1319" w:rsidRDefault="004A1B3C" w:rsidP="00C86DA5">
      <w:pPr>
        <w:ind w:left="567" w:hanging="567"/>
      </w:pPr>
    </w:p>
    <w:p w14:paraId="0CAE00B4" w14:textId="1D81F409" w:rsidR="004A1B3C" w:rsidRPr="00BD1319" w:rsidRDefault="004A1B3C" w:rsidP="00C86DA5">
      <w:pPr>
        <w:pStyle w:val="Prrafodelista"/>
        <w:numPr>
          <w:ilvl w:val="0"/>
          <w:numId w:val="5"/>
        </w:numPr>
        <w:tabs>
          <w:tab w:val="left" w:pos="-2268"/>
        </w:tabs>
        <w:suppressAutoHyphens/>
        <w:ind w:left="567" w:hanging="567"/>
        <w:rPr>
          <w:spacing w:val="-3"/>
          <w:lang w:val="es-CO"/>
        </w:rPr>
      </w:pPr>
      <w:r w:rsidRPr="00BD1319">
        <w:rPr>
          <w:spacing w:val="-3"/>
          <w:lang w:val="es-CO"/>
        </w:rPr>
        <w:t>Definición del dominio de model</w:t>
      </w:r>
      <w:r w:rsidR="00A60447" w:rsidRPr="00BD1319">
        <w:rPr>
          <w:spacing w:val="-3"/>
          <w:lang w:val="es-CO"/>
        </w:rPr>
        <w:t>iz</w:t>
      </w:r>
      <w:r w:rsidRPr="00BD1319">
        <w:rPr>
          <w:spacing w:val="-3"/>
          <w:lang w:val="es-CO"/>
        </w:rPr>
        <w:t>ación: durante esta etapa se determina el área de influencia del componente atmosférico, la cual debe incluir todas las fuentes de emisión y los receptores que se tendrán en cuenta dentro del proceso de model</w:t>
      </w:r>
      <w:r w:rsidR="00A60447" w:rsidRPr="00BD1319">
        <w:rPr>
          <w:spacing w:val="-3"/>
          <w:lang w:val="es-CO"/>
        </w:rPr>
        <w:t>iz</w:t>
      </w:r>
      <w:r w:rsidRPr="00BD1319">
        <w:rPr>
          <w:spacing w:val="-3"/>
          <w:lang w:val="es-CO"/>
        </w:rPr>
        <w:t>ación. El tamaño del dominio de model</w:t>
      </w:r>
      <w:r w:rsidR="00A60447" w:rsidRPr="00BD1319">
        <w:rPr>
          <w:spacing w:val="-3"/>
          <w:lang w:val="es-CO"/>
        </w:rPr>
        <w:t>iz</w:t>
      </w:r>
      <w:r w:rsidRPr="00BD1319">
        <w:rPr>
          <w:spacing w:val="-3"/>
          <w:lang w:val="es-CO"/>
        </w:rPr>
        <w:t>ación depende del tipo de fuente, de las emisiones másicas, del tipo de contaminante y del modelo seleccionado para llevar a cabo el estudio. Modelos simples pueden requerir información de las actividades presentes en el dominio de model</w:t>
      </w:r>
      <w:r w:rsidR="00A60447" w:rsidRPr="00BD1319">
        <w:rPr>
          <w:spacing w:val="-3"/>
          <w:lang w:val="es-CO"/>
        </w:rPr>
        <w:t>iz</w:t>
      </w:r>
      <w:r w:rsidRPr="00BD1319">
        <w:rPr>
          <w:spacing w:val="-3"/>
          <w:lang w:val="es-CO"/>
        </w:rPr>
        <w:t>ación (rural o urbano) y la complejidad del terreno. Para elegir el tamaño del dominio de model</w:t>
      </w:r>
      <w:r w:rsidR="00A60447" w:rsidRPr="00BD1319">
        <w:rPr>
          <w:spacing w:val="-3"/>
          <w:lang w:val="es-CO"/>
        </w:rPr>
        <w:t>iz</w:t>
      </w:r>
      <w:r w:rsidRPr="00BD1319">
        <w:rPr>
          <w:spacing w:val="-3"/>
          <w:lang w:val="es-CO"/>
        </w:rPr>
        <w:t>ación se deben considerar:</w:t>
      </w:r>
    </w:p>
    <w:p w14:paraId="0A5DA740" w14:textId="77777777" w:rsidR="004A1B3C" w:rsidRPr="00BD1319" w:rsidRDefault="004A1B3C" w:rsidP="00C86DA5"/>
    <w:p w14:paraId="45E5FC05" w14:textId="77777777" w:rsidR="004A1B3C" w:rsidRPr="00BD1319" w:rsidRDefault="004A1B3C" w:rsidP="005050B4">
      <w:pPr>
        <w:numPr>
          <w:ilvl w:val="1"/>
          <w:numId w:val="573"/>
        </w:numPr>
        <w:tabs>
          <w:tab w:val="left" w:pos="-2268"/>
        </w:tabs>
        <w:suppressAutoHyphens/>
        <w:ind w:left="1134" w:hanging="567"/>
        <w:rPr>
          <w:rFonts w:cs="Arial"/>
          <w:spacing w:val="-3"/>
        </w:rPr>
      </w:pPr>
      <w:r w:rsidRPr="00BD1319">
        <w:rPr>
          <w:rFonts w:cs="Arial"/>
          <w:spacing w:val="-3"/>
        </w:rPr>
        <w:t>Las áreas donde los receptores sean sensibles a la dispersión.</w:t>
      </w:r>
    </w:p>
    <w:p w14:paraId="23022762" w14:textId="77777777" w:rsidR="004A1B3C" w:rsidRPr="00BD1319" w:rsidRDefault="004A1B3C" w:rsidP="009420F5"/>
    <w:p w14:paraId="30FCA944" w14:textId="587729A4" w:rsidR="004A1B3C" w:rsidRPr="00BD1319" w:rsidRDefault="004A1B3C" w:rsidP="005050B4">
      <w:pPr>
        <w:numPr>
          <w:ilvl w:val="1"/>
          <w:numId w:val="573"/>
        </w:numPr>
        <w:tabs>
          <w:tab w:val="left" w:pos="-2268"/>
        </w:tabs>
        <w:suppressAutoHyphens/>
        <w:ind w:left="1134" w:hanging="567"/>
        <w:rPr>
          <w:rFonts w:cs="Arial"/>
          <w:spacing w:val="-3"/>
        </w:rPr>
      </w:pPr>
      <w:r w:rsidRPr="00BD1319">
        <w:rPr>
          <w:rFonts w:cs="Arial"/>
          <w:spacing w:val="-3"/>
        </w:rPr>
        <w:t>Otras fuentes de emisión que deban ser incluidas en la model</w:t>
      </w:r>
      <w:r w:rsidR="00A60447" w:rsidRPr="00BD1319">
        <w:rPr>
          <w:rFonts w:cs="Arial"/>
          <w:spacing w:val="-3"/>
        </w:rPr>
        <w:t>iz</w:t>
      </w:r>
      <w:r w:rsidRPr="00BD1319">
        <w:rPr>
          <w:rFonts w:cs="Arial"/>
          <w:spacing w:val="-3"/>
        </w:rPr>
        <w:t>ación, en la medida</w:t>
      </w:r>
      <w:r w:rsidR="00032616" w:rsidRPr="00BD1319">
        <w:rPr>
          <w:rFonts w:cs="Arial"/>
          <w:spacing w:val="-3"/>
        </w:rPr>
        <w:t xml:space="preserve"> </w:t>
      </w:r>
      <w:r w:rsidRPr="00BD1319">
        <w:rPr>
          <w:rFonts w:cs="Arial"/>
          <w:spacing w:val="-3"/>
        </w:rPr>
        <w:t xml:space="preserve">que </w:t>
      </w:r>
      <w:r w:rsidR="00796EEA" w:rsidRPr="00BD1319">
        <w:rPr>
          <w:rFonts w:cs="Arial"/>
          <w:spacing w:val="-3"/>
        </w:rPr>
        <w:t xml:space="preserve">sus emisiones no sean adecuadamente representadas por </w:t>
      </w:r>
      <w:r w:rsidRPr="00BD1319">
        <w:rPr>
          <w:rFonts w:cs="Arial"/>
          <w:spacing w:val="-3"/>
        </w:rPr>
        <w:t>la concentración de fondo</w:t>
      </w:r>
      <w:r w:rsidR="00796EEA" w:rsidRPr="00BD1319">
        <w:rPr>
          <w:rFonts w:cs="Arial"/>
          <w:spacing w:val="-3"/>
        </w:rPr>
        <w:t xml:space="preserve"> determinada a partir de monitoreos de calidad del aire</w:t>
      </w:r>
      <w:r w:rsidRPr="00BD1319">
        <w:rPr>
          <w:rFonts w:cs="Arial"/>
          <w:spacing w:val="-3"/>
        </w:rPr>
        <w:t>.</w:t>
      </w:r>
    </w:p>
    <w:p w14:paraId="67F66C8B" w14:textId="77777777" w:rsidR="004A1B3C" w:rsidRPr="00BD1319" w:rsidRDefault="004A1B3C" w:rsidP="00C86DA5"/>
    <w:p w14:paraId="73AEFE57" w14:textId="4CBF75DF" w:rsidR="004A1B3C" w:rsidRPr="00BD1319" w:rsidRDefault="004A1B3C" w:rsidP="00C86DA5">
      <w:pPr>
        <w:pStyle w:val="Prrafodelista"/>
        <w:numPr>
          <w:ilvl w:val="0"/>
          <w:numId w:val="5"/>
        </w:numPr>
        <w:tabs>
          <w:tab w:val="left" w:pos="-2268"/>
        </w:tabs>
        <w:suppressAutoHyphens/>
        <w:ind w:left="567" w:hanging="567"/>
        <w:rPr>
          <w:spacing w:val="-3"/>
          <w:lang w:val="es-CO"/>
        </w:rPr>
      </w:pPr>
      <w:r w:rsidRPr="00BD1319">
        <w:rPr>
          <w:spacing w:val="-3"/>
          <w:lang w:val="es-CO"/>
        </w:rPr>
        <w:t xml:space="preserve">Simulación atmosférica de la dispersión de contaminantes: el objetivo de esta fase es </w:t>
      </w:r>
      <w:r w:rsidR="00753425" w:rsidRPr="00BD1319">
        <w:rPr>
          <w:spacing w:val="-3"/>
          <w:lang w:val="es-CO"/>
        </w:rPr>
        <w:t xml:space="preserve">determinar </w:t>
      </w:r>
      <w:r w:rsidRPr="00BD1319">
        <w:rPr>
          <w:spacing w:val="-3"/>
          <w:lang w:val="es-CO"/>
        </w:rPr>
        <w:t>el comportamiento de los contaminantes en el dominio de model</w:t>
      </w:r>
      <w:r w:rsidR="00A60447" w:rsidRPr="00BD1319">
        <w:rPr>
          <w:spacing w:val="-3"/>
          <w:lang w:val="es-CO"/>
        </w:rPr>
        <w:t>iz</w:t>
      </w:r>
      <w:r w:rsidRPr="00BD1319">
        <w:rPr>
          <w:spacing w:val="-3"/>
          <w:lang w:val="es-CO"/>
        </w:rPr>
        <w:t>ación. Se deben model</w:t>
      </w:r>
      <w:r w:rsidR="00A60447" w:rsidRPr="00BD1319">
        <w:rPr>
          <w:spacing w:val="-3"/>
          <w:lang w:val="es-CO"/>
        </w:rPr>
        <w:t>iz</w:t>
      </w:r>
      <w:r w:rsidRPr="00BD1319">
        <w:rPr>
          <w:spacing w:val="-3"/>
          <w:lang w:val="es-CO"/>
        </w:rPr>
        <w:t>ar bajo los siguientes escenarios:</w:t>
      </w:r>
    </w:p>
    <w:p w14:paraId="1B603463" w14:textId="77777777" w:rsidR="004A1B3C" w:rsidRPr="00BD1319" w:rsidRDefault="004A1B3C">
      <w:pPr>
        <w:tabs>
          <w:tab w:val="left" w:pos="-2268"/>
        </w:tabs>
        <w:suppressAutoHyphens/>
        <w:rPr>
          <w:spacing w:val="-3"/>
        </w:rPr>
      </w:pPr>
    </w:p>
    <w:p w14:paraId="54C67947" w14:textId="7C9B2119" w:rsidR="004A1B3C" w:rsidRPr="00BD1319" w:rsidRDefault="004A1B3C" w:rsidP="005050B4">
      <w:pPr>
        <w:numPr>
          <w:ilvl w:val="1"/>
          <w:numId w:val="573"/>
        </w:numPr>
        <w:tabs>
          <w:tab w:val="left" w:pos="-2268"/>
        </w:tabs>
        <w:suppressAutoHyphens/>
        <w:ind w:left="1134" w:hanging="567"/>
        <w:rPr>
          <w:rFonts w:cs="Arial"/>
          <w:spacing w:val="-3"/>
        </w:rPr>
      </w:pPr>
      <w:r w:rsidRPr="00BD1319">
        <w:rPr>
          <w:rFonts w:cs="Arial"/>
          <w:spacing w:val="-3"/>
        </w:rPr>
        <w:t xml:space="preserve">Primer escenario: </w:t>
      </w:r>
      <w:r w:rsidR="00796EEA" w:rsidRPr="00BD1319">
        <w:rPr>
          <w:rFonts w:cs="Arial"/>
          <w:spacing w:val="-3"/>
        </w:rPr>
        <w:t>actual</w:t>
      </w:r>
      <w:r w:rsidRPr="00BD1319">
        <w:rPr>
          <w:rFonts w:cs="Arial"/>
          <w:spacing w:val="-3"/>
        </w:rPr>
        <w:t xml:space="preserve"> (aplica en caso de contar con inventario de emisiones formal de la zona</w:t>
      </w:r>
      <w:r w:rsidR="00796EEA" w:rsidRPr="00BD1319">
        <w:rPr>
          <w:rFonts w:cs="Arial"/>
          <w:spacing w:val="-3"/>
        </w:rPr>
        <w:t xml:space="preserve"> o en el marco de una modificación del instrumento ambiental)</w:t>
      </w:r>
      <w:r w:rsidRPr="00BD1319">
        <w:rPr>
          <w:rFonts w:cs="Arial"/>
          <w:spacing w:val="-3"/>
        </w:rPr>
        <w:t xml:space="preserve">. Si no se posee inventario de emisiones, </w:t>
      </w:r>
      <w:r w:rsidR="00796EEA" w:rsidRPr="00BD1319">
        <w:rPr>
          <w:rFonts w:cs="Arial"/>
          <w:spacing w:val="-3"/>
        </w:rPr>
        <w:t>se debe prescindir de la model</w:t>
      </w:r>
      <w:r w:rsidR="00A60447" w:rsidRPr="00BD1319">
        <w:rPr>
          <w:rFonts w:cs="Arial"/>
          <w:spacing w:val="-3"/>
        </w:rPr>
        <w:t>iz</w:t>
      </w:r>
      <w:r w:rsidR="00796EEA" w:rsidRPr="00BD1319">
        <w:rPr>
          <w:rFonts w:cs="Arial"/>
          <w:spacing w:val="-3"/>
        </w:rPr>
        <w:t xml:space="preserve">ación y considerar </w:t>
      </w:r>
      <w:r w:rsidRPr="00BD1319">
        <w:rPr>
          <w:rFonts w:cs="Arial"/>
          <w:spacing w:val="-3"/>
        </w:rPr>
        <w:t xml:space="preserve">la línea base </w:t>
      </w:r>
      <w:r w:rsidR="00796EEA" w:rsidRPr="00BD1319">
        <w:rPr>
          <w:rFonts w:cs="Arial"/>
          <w:spacing w:val="-3"/>
        </w:rPr>
        <w:t xml:space="preserve">que </w:t>
      </w:r>
      <w:r w:rsidRPr="00BD1319">
        <w:rPr>
          <w:rFonts w:cs="Arial"/>
          <w:spacing w:val="-3"/>
        </w:rPr>
        <w:t>corresponderá a las concentraciones de los niveles de inmisión del monitoreo de calidad</w:t>
      </w:r>
      <w:r w:rsidR="00796EEA" w:rsidRPr="00BD1319">
        <w:rPr>
          <w:rFonts w:cs="Arial"/>
          <w:spacing w:val="-3"/>
        </w:rPr>
        <w:t xml:space="preserve"> del aire</w:t>
      </w:r>
      <w:r w:rsidRPr="00BD1319">
        <w:rPr>
          <w:rFonts w:cs="Arial"/>
          <w:spacing w:val="-3"/>
        </w:rPr>
        <w:t xml:space="preserve"> según su cobertura espacial).</w:t>
      </w:r>
    </w:p>
    <w:p w14:paraId="5D27854A" w14:textId="77777777" w:rsidR="004A1B3C" w:rsidRPr="00BD1319" w:rsidRDefault="004A1B3C" w:rsidP="009420F5">
      <w:pPr>
        <w:tabs>
          <w:tab w:val="left" w:pos="-2268"/>
        </w:tabs>
        <w:suppressAutoHyphens/>
        <w:rPr>
          <w:spacing w:val="-3"/>
        </w:rPr>
      </w:pPr>
    </w:p>
    <w:p w14:paraId="50314252" w14:textId="0F01DEA7" w:rsidR="004A1B3C" w:rsidRPr="00BD1319" w:rsidRDefault="004A1B3C" w:rsidP="005050B4">
      <w:pPr>
        <w:numPr>
          <w:ilvl w:val="1"/>
          <w:numId w:val="573"/>
        </w:numPr>
        <w:tabs>
          <w:tab w:val="left" w:pos="-2268"/>
        </w:tabs>
        <w:suppressAutoHyphens/>
        <w:ind w:left="1134" w:hanging="567"/>
        <w:rPr>
          <w:rFonts w:cs="Arial"/>
          <w:spacing w:val="-3"/>
        </w:rPr>
      </w:pPr>
      <w:r w:rsidRPr="00BD1319">
        <w:rPr>
          <w:rFonts w:cs="Arial"/>
          <w:spacing w:val="-3"/>
        </w:rPr>
        <w:t>Segundo escenario: proyecto</w:t>
      </w:r>
      <w:r w:rsidR="009F4208" w:rsidRPr="00BD1319">
        <w:rPr>
          <w:rFonts w:cs="Arial"/>
          <w:vertAlign w:val="superscript"/>
        </w:rPr>
        <w:footnoteReference w:id="181"/>
      </w:r>
      <w:r w:rsidRPr="00BD1319">
        <w:rPr>
          <w:rFonts w:cs="Arial"/>
          <w:spacing w:val="-3"/>
        </w:rPr>
        <w:t xml:space="preserve"> sin medidas de control</w:t>
      </w:r>
      <w:r w:rsidR="00796EEA" w:rsidRPr="00BD1319">
        <w:rPr>
          <w:rFonts w:cs="Arial"/>
          <w:spacing w:val="-3"/>
          <w:vertAlign w:val="superscript"/>
        </w:rPr>
        <w:footnoteReference w:id="182"/>
      </w:r>
      <w:r w:rsidRPr="00BD1319">
        <w:rPr>
          <w:rFonts w:cs="Arial"/>
          <w:spacing w:val="-3"/>
        </w:rPr>
        <w:t>.</w:t>
      </w:r>
    </w:p>
    <w:p w14:paraId="0CCA26D9" w14:textId="77777777" w:rsidR="004A1B3C" w:rsidRPr="00BD1319" w:rsidRDefault="004A1B3C" w:rsidP="009420F5">
      <w:pPr>
        <w:tabs>
          <w:tab w:val="left" w:pos="-2268"/>
        </w:tabs>
        <w:suppressAutoHyphens/>
        <w:rPr>
          <w:spacing w:val="-3"/>
        </w:rPr>
      </w:pPr>
    </w:p>
    <w:p w14:paraId="42410B41" w14:textId="55C773EC" w:rsidR="004A1B3C" w:rsidRPr="00BD1319" w:rsidRDefault="004A1B3C" w:rsidP="005050B4">
      <w:pPr>
        <w:numPr>
          <w:ilvl w:val="1"/>
          <w:numId w:val="573"/>
        </w:numPr>
        <w:tabs>
          <w:tab w:val="left" w:pos="-2268"/>
        </w:tabs>
        <w:suppressAutoHyphens/>
        <w:ind w:left="1134" w:hanging="567"/>
        <w:rPr>
          <w:rFonts w:cs="Arial"/>
          <w:spacing w:val="-3"/>
        </w:rPr>
      </w:pPr>
      <w:r w:rsidRPr="00BD1319">
        <w:rPr>
          <w:rFonts w:cs="Arial"/>
          <w:spacing w:val="-3"/>
        </w:rPr>
        <w:t>Tercer escenario: proyecto con medidas de control.</w:t>
      </w:r>
    </w:p>
    <w:p w14:paraId="54598DD6" w14:textId="77777777" w:rsidR="004A1B3C" w:rsidRPr="00BD1319" w:rsidRDefault="004A1B3C" w:rsidP="00C86DA5"/>
    <w:p w14:paraId="0AA320B0" w14:textId="77777777" w:rsidR="004A1B3C" w:rsidRPr="00BD1319" w:rsidRDefault="004A1B3C" w:rsidP="00C86DA5">
      <w:pPr>
        <w:ind w:left="567"/>
      </w:pPr>
      <w:r w:rsidRPr="00BD1319">
        <w:t>Para cada escenario se debe aplicar un modelo de dispersión en cuyo procedimiento contemple, como mínimo un análisis de los datos de entrada y de salida utilizados (anexar los archivos de entrada y de salida originales del modelo o software) y que describa el procedimiento utilizado y los criterios de selección y validación de la información de entrada. Se debe presentar información detallada de los parámetros requeridos para ejecutar la simulación, entre los cuales se encuentran:</w:t>
      </w:r>
    </w:p>
    <w:p w14:paraId="5A1FC750" w14:textId="77777777" w:rsidR="00032616" w:rsidRPr="00BD1319" w:rsidRDefault="00032616" w:rsidP="00C86DA5"/>
    <w:p w14:paraId="6FCBC48C" w14:textId="61DFB52F" w:rsidR="004A1B3C" w:rsidRPr="00BD1319" w:rsidRDefault="004A1B3C" w:rsidP="005050B4">
      <w:pPr>
        <w:numPr>
          <w:ilvl w:val="1"/>
          <w:numId w:val="573"/>
        </w:numPr>
        <w:tabs>
          <w:tab w:val="left" w:pos="-2268"/>
        </w:tabs>
        <w:suppressAutoHyphens/>
        <w:ind w:left="1134" w:hanging="567"/>
        <w:rPr>
          <w:rFonts w:cs="Arial"/>
          <w:spacing w:val="-3"/>
        </w:rPr>
      </w:pPr>
      <w:r w:rsidRPr="00BD1319">
        <w:rPr>
          <w:rFonts w:cs="Arial"/>
          <w:spacing w:val="-3"/>
        </w:rPr>
        <w:t>Inventario y posible localización de todas las fuentes de emisión de material particulado que contempla el proyecto, las cuales deben ser incluidas como parte de los datos de entrada para alimentar la model</w:t>
      </w:r>
      <w:r w:rsidR="00A60447" w:rsidRPr="00BD1319">
        <w:rPr>
          <w:rFonts w:cs="Arial"/>
          <w:spacing w:val="-3"/>
        </w:rPr>
        <w:t>iz</w:t>
      </w:r>
      <w:r w:rsidRPr="00BD1319">
        <w:rPr>
          <w:rFonts w:cs="Arial"/>
          <w:spacing w:val="-3"/>
        </w:rPr>
        <w:t>ación (fuentes fijas que a su vez pueden ser dispersas, de área o puntuales, y fuentes móviles). A partir de los criterios adoptados internacionalmente para el análisis de emisiones, se deben estimar las emisiones de cada una de las fuentes del proyecto.</w:t>
      </w:r>
    </w:p>
    <w:p w14:paraId="77400FF7" w14:textId="77777777" w:rsidR="004A1B3C" w:rsidRPr="00BD1319" w:rsidRDefault="004A1B3C" w:rsidP="009420F5"/>
    <w:p w14:paraId="6FB16027" w14:textId="6651B6AA" w:rsidR="004A1B3C" w:rsidRPr="00BD1319" w:rsidRDefault="004A1B3C" w:rsidP="005050B4">
      <w:pPr>
        <w:numPr>
          <w:ilvl w:val="1"/>
          <w:numId w:val="573"/>
        </w:numPr>
        <w:tabs>
          <w:tab w:val="left" w:pos="-2268"/>
        </w:tabs>
        <w:suppressAutoHyphens/>
        <w:ind w:left="1134" w:hanging="567"/>
        <w:rPr>
          <w:rFonts w:cs="Arial"/>
          <w:spacing w:val="-3"/>
        </w:rPr>
      </w:pPr>
      <w:r w:rsidRPr="00BD1319">
        <w:rPr>
          <w:rFonts w:cs="Arial"/>
          <w:spacing w:val="-3"/>
        </w:rPr>
        <w:t>Análisis de la información meteorológica utilizada (velocidad y dirección del viento, temperatura, precipitación, radiación solar, nubosidad, altura de mezcla y estabilidad atmosférica, entre otros) y características de la estación o estaciones de donde se tome dicha información (mínimo un año de información de las variables meteorológicas). Se deben precisar los análisis de consistencia que se realicen a los datos meteorológicos disponibles y a los utilizados en la model</w:t>
      </w:r>
      <w:r w:rsidR="00A60447" w:rsidRPr="00BD1319">
        <w:rPr>
          <w:rFonts w:cs="Arial"/>
          <w:spacing w:val="-3"/>
        </w:rPr>
        <w:t>iz</w:t>
      </w:r>
      <w:r w:rsidRPr="00BD1319">
        <w:rPr>
          <w:rFonts w:cs="Arial"/>
          <w:spacing w:val="-3"/>
        </w:rPr>
        <w:t>ación</w:t>
      </w:r>
      <w:r w:rsidR="00CC4E11" w:rsidRPr="00BD1319">
        <w:rPr>
          <w:rFonts w:cs="Arial"/>
          <w:spacing w:val="-3"/>
        </w:rPr>
        <w:t xml:space="preserve"> y se debe garantizar que estos presenten coherencia y representatividad espacial de acuerdo con la ubicación del proyecto y temporal, es decir, con información no mayor a dos (2) años de antigüedad</w:t>
      </w:r>
      <w:r w:rsidRPr="00BD1319">
        <w:rPr>
          <w:rFonts w:cs="Arial"/>
          <w:spacing w:val="-3"/>
        </w:rPr>
        <w:t>. Se debe tener en cuenta que para que un modelo de dispersión provea estimaciones precisas, la información meteorológica usada en el mismo debe ser representativa de las condiciones de transporte y dispersión de partículas (anexar los archivos meteorológicos de model</w:t>
      </w:r>
      <w:r w:rsidR="00A60447" w:rsidRPr="00BD1319">
        <w:rPr>
          <w:rFonts w:cs="Arial"/>
          <w:spacing w:val="-3"/>
        </w:rPr>
        <w:t>iz</w:t>
      </w:r>
      <w:r w:rsidRPr="00BD1319">
        <w:rPr>
          <w:rFonts w:cs="Arial"/>
          <w:spacing w:val="-3"/>
        </w:rPr>
        <w:t>ación y aquellos utilizados para su generación y construcción).</w:t>
      </w:r>
      <w:r w:rsidR="00CC4E11" w:rsidRPr="00BD1319">
        <w:rPr>
          <w:rFonts w:cs="Arial"/>
          <w:spacing w:val="-3"/>
        </w:rPr>
        <w:t xml:space="preserve"> La estación meteorológica considerada, debe proveer información que cumpla con los estándares de calidad de acuerdo con lo especificado por el </w:t>
      </w:r>
      <w:proofErr w:type="spellStart"/>
      <w:r w:rsidR="00A92356" w:rsidRPr="00BD1319">
        <w:rPr>
          <w:rFonts w:cs="Arial"/>
          <w:spacing w:val="-3"/>
        </w:rPr>
        <w:t>Ideam</w:t>
      </w:r>
      <w:proofErr w:type="spellEnd"/>
      <w:r w:rsidR="00CC4E11" w:rsidRPr="00BD1319">
        <w:rPr>
          <w:rFonts w:cs="Arial"/>
          <w:spacing w:val="-3"/>
        </w:rPr>
        <w:t>.</w:t>
      </w:r>
    </w:p>
    <w:p w14:paraId="02C2A7E4" w14:textId="77777777" w:rsidR="004A1B3C" w:rsidRPr="00BD1319" w:rsidRDefault="004A1B3C" w:rsidP="009420F5"/>
    <w:p w14:paraId="00861F58" w14:textId="6819D4E9" w:rsidR="004F4764" w:rsidRPr="00BD1319" w:rsidRDefault="004F4764" w:rsidP="005050B4">
      <w:pPr>
        <w:numPr>
          <w:ilvl w:val="1"/>
          <w:numId w:val="573"/>
        </w:numPr>
        <w:tabs>
          <w:tab w:val="left" w:pos="-2268"/>
        </w:tabs>
        <w:suppressAutoHyphens/>
        <w:ind w:left="1134" w:hanging="567"/>
        <w:rPr>
          <w:rFonts w:cs="Arial"/>
          <w:spacing w:val="-3"/>
        </w:rPr>
      </w:pPr>
      <w:r w:rsidRPr="00BD1319">
        <w:rPr>
          <w:rFonts w:cs="Arial"/>
          <w:spacing w:val="-3"/>
        </w:rPr>
        <w:lastRenderedPageBreak/>
        <w:t xml:space="preserve">Cuando no exista información disponible de estaciones meteorológicas avaladas por el </w:t>
      </w:r>
      <w:proofErr w:type="spellStart"/>
      <w:r w:rsidR="00A92356" w:rsidRPr="00BD1319">
        <w:rPr>
          <w:rFonts w:cs="Arial"/>
          <w:spacing w:val="-3"/>
        </w:rPr>
        <w:t>Ideam</w:t>
      </w:r>
      <w:proofErr w:type="spellEnd"/>
      <w:r w:rsidRPr="00BD1319">
        <w:rPr>
          <w:rFonts w:cs="Arial"/>
          <w:spacing w:val="-3"/>
        </w:rPr>
        <w:t>, la información meteorológica puede ser tomada de resultados de simulaciones con modelos meteorológicos (</w:t>
      </w:r>
      <w:r w:rsidR="00041844" w:rsidRPr="00BD1319">
        <w:rPr>
          <w:rFonts w:cs="Arial"/>
          <w:spacing w:val="-3"/>
        </w:rPr>
        <w:t>p. ej.</w:t>
      </w:r>
      <w:r w:rsidRPr="00BD1319">
        <w:rPr>
          <w:rFonts w:cs="Arial"/>
          <w:spacing w:val="-3"/>
        </w:rPr>
        <w:t xml:space="preserve"> </w:t>
      </w:r>
      <w:proofErr w:type="spellStart"/>
      <w:r w:rsidRPr="00BD1319">
        <w:rPr>
          <w:rFonts w:cs="Arial"/>
          <w:spacing w:val="-3"/>
        </w:rPr>
        <w:t>Weather</w:t>
      </w:r>
      <w:proofErr w:type="spellEnd"/>
      <w:r w:rsidRPr="00BD1319">
        <w:rPr>
          <w:rFonts w:cs="Arial"/>
          <w:spacing w:val="-3"/>
        </w:rPr>
        <w:t xml:space="preserve"> </w:t>
      </w:r>
      <w:proofErr w:type="spellStart"/>
      <w:r w:rsidRPr="00BD1319">
        <w:rPr>
          <w:rFonts w:cs="Arial"/>
          <w:spacing w:val="-3"/>
        </w:rPr>
        <w:t>Research</w:t>
      </w:r>
      <w:proofErr w:type="spellEnd"/>
      <w:r w:rsidRPr="00BD1319">
        <w:rPr>
          <w:rFonts w:cs="Arial"/>
          <w:spacing w:val="-3"/>
        </w:rPr>
        <w:t xml:space="preserve"> and </w:t>
      </w:r>
      <w:proofErr w:type="spellStart"/>
      <w:r w:rsidRPr="00BD1319">
        <w:rPr>
          <w:rFonts w:cs="Arial"/>
          <w:spacing w:val="-3"/>
        </w:rPr>
        <w:t>Forecasting</w:t>
      </w:r>
      <w:proofErr w:type="spellEnd"/>
      <w:r w:rsidRPr="00BD1319">
        <w:rPr>
          <w:rFonts w:cs="Arial"/>
          <w:spacing w:val="-3"/>
        </w:rPr>
        <w:t>) siempre y cuando se garantice su representatividad espacial y temporal de acuerdo con las características del proyecto. As</w:t>
      </w:r>
      <w:r w:rsidR="00A47385" w:rsidRPr="00BD1319">
        <w:rPr>
          <w:rFonts w:cs="Arial"/>
          <w:spacing w:val="-3"/>
        </w:rPr>
        <w:t>i</w:t>
      </w:r>
      <w:r w:rsidRPr="00BD1319">
        <w:rPr>
          <w:rFonts w:cs="Arial"/>
          <w:spacing w:val="-3"/>
        </w:rPr>
        <w:t xml:space="preserve">mismo, la resolución espacial y temporal debe permitir evidenciar variaciones que influyan en la dispersión de contaminantes. Se debe realizar un análisis de validación de los resultados de este modelo, en función de información monitoreada por parte del </w:t>
      </w:r>
      <w:proofErr w:type="spellStart"/>
      <w:r w:rsidR="00A92356" w:rsidRPr="00BD1319">
        <w:rPr>
          <w:rFonts w:cs="Arial"/>
          <w:spacing w:val="-3"/>
        </w:rPr>
        <w:t>Ideam</w:t>
      </w:r>
      <w:proofErr w:type="spellEnd"/>
      <w:r w:rsidRPr="00BD1319">
        <w:rPr>
          <w:rFonts w:cs="Arial"/>
          <w:spacing w:val="-3"/>
        </w:rPr>
        <w:t xml:space="preserve"> o redes de Autoridades Ambientales en la zona cercana al proyecto.</w:t>
      </w:r>
    </w:p>
    <w:p w14:paraId="3E78B6B6" w14:textId="77777777" w:rsidR="004F4764" w:rsidRPr="00BD1319" w:rsidRDefault="004F4764" w:rsidP="009420F5"/>
    <w:p w14:paraId="00AF82B7" w14:textId="73140EEC" w:rsidR="004A1B3C" w:rsidRPr="00BD1319" w:rsidRDefault="004A1B3C" w:rsidP="005050B4">
      <w:pPr>
        <w:numPr>
          <w:ilvl w:val="1"/>
          <w:numId w:val="573"/>
        </w:numPr>
        <w:tabs>
          <w:tab w:val="left" w:pos="-2268"/>
        </w:tabs>
        <w:suppressAutoHyphens/>
        <w:ind w:left="1134" w:hanging="567"/>
        <w:rPr>
          <w:rFonts w:cs="Arial"/>
          <w:spacing w:val="-3"/>
        </w:rPr>
      </w:pPr>
      <w:r w:rsidRPr="00BD1319">
        <w:rPr>
          <w:rFonts w:cs="Arial"/>
          <w:spacing w:val="-3"/>
        </w:rPr>
        <w:t xml:space="preserve">Información topográfica </w:t>
      </w:r>
      <w:r w:rsidR="00CC4E11" w:rsidRPr="00BD1319">
        <w:rPr>
          <w:rFonts w:cs="Arial"/>
          <w:spacing w:val="-3"/>
        </w:rPr>
        <w:t xml:space="preserve">o de herramientas virtuales </w:t>
      </w:r>
      <w:r w:rsidRPr="00BD1319">
        <w:rPr>
          <w:rFonts w:cs="Arial"/>
          <w:spacing w:val="-3"/>
        </w:rPr>
        <w:t>del área model</w:t>
      </w:r>
      <w:r w:rsidR="00A60447" w:rsidRPr="00BD1319">
        <w:rPr>
          <w:rFonts w:cs="Arial"/>
          <w:spacing w:val="-3"/>
        </w:rPr>
        <w:t>iz</w:t>
      </w:r>
      <w:r w:rsidRPr="00BD1319">
        <w:rPr>
          <w:rFonts w:cs="Arial"/>
          <w:spacing w:val="-3"/>
        </w:rPr>
        <w:t>ada que pueda influir en los resultados de la model</w:t>
      </w:r>
      <w:r w:rsidR="00A60447" w:rsidRPr="00BD1319">
        <w:rPr>
          <w:rFonts w:cs="Arial"/>
          <w:spacing w:val="-3"/>
        </w:rPr>
        <w:t>iz</w:t>
      </w:r>
      <w:r w:rsidRPr="00BD1319">
        <w:rPr>
          <w:rFonts w:cs="Arial"/>
          <w:spacing w:val="-3"/>
        </w:rPr>
        <w:t xml:space="preserve">ación (anexar los archivos topográficos </w:t>
      </w:r>
      <w:r w:rsidR="00CC4E11" w:rsidRPr="00BD1319">
        <w:rPr>
          <w:rFonts w:cs="Arial"/>
          <w:spacing w:val="-3"/>
        </w:rPr>
        <w:t xml:space="preserve">o de herramientas virtuales </w:t>
      </w:r>
      <w:r w:rsidRPr="00BD1319">
        <w:rPr>
          <w:rFonts w:cs="Arial"/>
          <w:spacing w:val="-3"/>
        </w:rPr>
        <w:t>ingresados al modelo).</w:t>
      </w:r>
    </w:p>
    <w:p w14:paraId="68365263" w14:textId="77777777" w:rsidR="004A1B3C" w:rsidRPr="00BD1319" w:rsidRDefault="004A1B3C" w:rsidP="009420F5"/>
    <w:p w14:paraId="0703A1BD" w14:textId="4209D3DF" w:rsidR="004A1B3C" w:rsidRPr="00BD1319" w:rsidRDefault="004A1B3C" w:rsidP="005050B4">
      <w:pPr>
        <w:numPr>
          <w:ilvl w:val="1"/>
          <w:numId w:val="573"/>
        </w:numPr>
        <w:tabs>
          <w:tab w:val="left" w:pos="-2268"/>
        </w:tabs>
        <w:suppressAutoHyphens/>
        <w:ind w:left="1134" w:hanging="567"/>
        <w:rPr>
          <w:rFonts w:cs="Arial"/>
          <w:spacing w:val="-3"/>
        </w:rPr>
      </w:pPr>
      <w:r w:rsidRPr="00BD1319">
        <w:rPr>
          <w:rFonts w:cs="Arial"/>
          <w:spacing w:val="-3"/>
        </w:rPr>
        <w:t xml:space="preserve">Localización de los lugares o sitios de interés (receptores) sobre los cuales se debe enfocar el análisis del impacto atmosférico, teniendo en cuenta especialmente las áreas pobladas localizadas en el área de influencia del componente (anexar la cartografía base utilizada en la </w:t>
      </w:r>
      <w:r w:rsidR="00A86BC5" w:rsidRPr="00BD1319">
        <w:rPr>
          <w:rFonts w:cs="Arial"/>
          <w:spacing w:val="-3"/>
        </w:rPr>
        <w:t xml:space="preserve">determinación </w:t>
      </w:r>
      <w:r w:rsidRPr="00BD1319">
        <w:rPr>
          <w:rFonts w:cs="Arial"/>
          <w:spacing w:val="-3"/>
        </w:rPr>
        <w:t>de centros poblados o receptores).</w:t>
      </w:r>
    </w:p>
    <w:p w14:paraId="3160871C" w14:textId="77777777" w:rsidR="004A1B3C" w:rsidRPr="00BD1319" w:rsidRDefault="004A1B3C" w:rsidP="009420F5"/>
    <w:p w14:paraId="5F2C0088" w14:textId="0E928E10" w:rsidR="004A1B3C" w:rsidRPr="00BD1319" w:rsidRDefault="00CC4E11" w:rsidP="005050B4">
      <w:pPr>
        <w:numPr>
          <w:ilvl w:val="1"/>
          <w:numId w:val="573"/>
        </w:numPr>
        <w:tabs>
          <w:tab w:val="left" w:pos="-2268"/>
        </w:tabs>
        <w:suppressAutoHyphens/>
        <w:ind w:left="1134" w:hanging="567"/>
        <w:rPr>
          <w:rFonts w:cs="Arial"/>
          <w:spacing w:val="-3"/>
        </w:rPr>
      </w:pPr>
      <w:r w:rsidRPr="00BD1319">
        <w:rPr>
          <w:rFonts w:cs="Arial"/>
          <w:spacing w:val="-3"/>
        </w:rPr>
        <w:t>Información disponible de monitoreo de la calidad del aire que permita determinar las concentraciones de fondo del dominio de model</w:t>
      </w:r>
      <w:r w:rsidR="00A60447" w:rsidRPr="00BD1319">
        <w:rPr>
          <w:rFonts w:cs="Arial"/>
          <w:spacing w:val="-3"/>
        </w:rPr>
        <w:t>iz</w:t>
      </w:r>
      <w:r w:rsidRPr="00BD1319">
        <w:rPr>
          <w:rFonts w:cs="Arial"/>
          <w:spacing w:val="-3"/>
        </w:rPr>
        <w:t>ación y sirvan como insumo para validar los resultados de las simulaciones realizadas para el escenario en particular</w:t>
      </w:r>
      <w:r w:rsidR="004A1B3C" w:rsidRPr="00BD1319">
        <w:rPr>
          <w:rFonts w:cs="Arial"/>
          <w:spacing w:val="-3"/>
        </w:rPr>
        <w:t>.</w:t>
      </w:r>
    </w:p>
    <w:p w14:paraId="361D468F" w14:textId="77777777" w:rsidR="004A1B3C" w:rsidRPr="00BD1319" w:rsidRDefault="004A1B3C" w:rsidP="00C86DA5"/>
    <w:p w14:paraId="1C28BE08" w14:textId="2760B9DB" w:rsidR="004A1B3C" w:rsidRPr="00BD1319" w:rsidRDefault="009E0510" w:rsidP="00C86DA5">
      <w:pPr>
        <w:pStyle w:val="Prrafodelista"/>
        <w:numPr>
          <w:ilvl w:val="0"/>
          <w:numId w:val="5"/>
        </w:numPr>
        <w:tabs>
          <w:tab w:val="left" w:pos="-2268"/>
        </w:tabs>
        <w:suppressAutoHyphens/>
        <w:ind w:left="567" w:hanging="567"/>
        <w:rPr>
          <w:spacing w:val="-3"/>
          <w:lang w:val="es-CO"/>
        </w:rPr>
      </w:pPr>
      <w:r w:rsidRPr="00BD1319">
        <w:rPr>
          <w:spacing w:val="-3"/>
          <w:lang w:val="es-CO"/>
        </w:rPr>
        <w:t>V</w:t>
      </w:r>
      <w:r w:rsidR="004A1B3C" w:rsidRPr="00BD1319">
        <w:rPr>
          <w:spacing w:val="-3"/>
          <w:lang w:val="es-CO"/>
        </w:rPr>
        <w:t>alidación de datos simulados: el propósito principal de este proceso es definir la metodología mediante la cual van a compararse</w:t>
      </w:r>
      <w:r w:rsidR="004A1B3C" w:rsidRPr="00BD1319">
        <w:rPr>
          <w:rFonts w:cs="Arial"/>
          <w:spacing w:val="-3"/>
          <w:lang w:val="es-CO"/>
        </w:rPr>
        <w:t xml:space="preserve"> y analizar</w:t>
      </w:r>
      <w:r w:rsidR="004A1B3C" w:rsidRPr="00BD1319">
        <w:rPr>
          <w:spacing w:val="-3"/>
          <w:lang w:val="es-CO"/>
        </w:rPr>
        <w:t xml:space="preserve"> los resultados del modelo con las concentraciones atmosféricas reales obtenidas mediante monitoreo de calidad del aire</w:t>
      </w:r>
      <w:r w:rsidRPr="00BD1319">
        <w:rPr>
          <w:spacing w:val="-3"/>
          <w:lang w:val="es-CO"/>
        </w:rPr>
        <w:t xml:space="preserve"> o información de sensores remotos</w:t>
      </w:r>
      <w:r w:rsidR="004A1B3C" w:rsidRPr="00BD1319">
        <w:rPr>
          <w:spacing w:val="-3"/>
          <w:lang w:val="es-CO"/>
        </w:rPr>
        <w:t>, en un rango que se considere aceptable. Como mínimo, deben calcularse los índices estadísticos típicamente usados en la validación de modelos matemáticos: el coeficiente de correlación (CR), el error cuadrático promedio normalizado (NMSE) y el sesgo fraccional (FB). Estos índices pueden compararse directamente con la coordenada correspondiente en el modelo o calcularse como el promedio de los índices entre el punto observado y las celdas adyacentes al punto.</w:t>
      </w:r>
    </w:p>
    <w:p w14:paraId="620F09D4" w14:textId="77777777" w:rsidR="004A1B3C" w:rsidRPr="00BD1319" w:rsidRDefault="004A1B3C" w:rsidP="00C86DA5">
      <w:pPr>
        <w:ind w:left="567" w:hanging="567"/>
      </w:pPr>
    </w:p>
    <w:p w14:paraId="75F8EA72" w14:textId="32FD6567" w:rsidR="004A1B3C" w:rsidRPr="00BD1319" w:rsidRDefault="004A1B3C" w:rsidP="00C86DA5">
      <w:pPr>
        <w:pStyle w:val="Prrafodelista"/>
        <w:numPr>
          <w:ilvl w:val="0"/>
          <w:numId w:val="5"/>
        </w:numPr>
        <w:tabs>
          <w:tab w:val="left" w:pos="-2268"/>
        </w:tabs>
        <w:suppressAutoHyphens/>
        <w:ind w:left="567" w:hanging="567"/>
        <w:rPr>
          <w:spacing w:val="-3"/>
          <w:lang w:val="es-CO"/>
        </w:rPr>
      </w:pPr>
      <w:r w:rsidRPr="00BD1319">
        <w:rPr>
          <w:spacing w:val="-3"/>
          <w:lang w:val="es-CO"/>
        </w:rPr>
        <w:t>Informe de resultados de model</w:t>
      </w:r>
      <w:r w:rsidR="00A60447" w:rsidRPr="00BD1319">
        <w:rPr>
          <w:spacing w:val="-3"/>
          <w:lang w:val="es-CO"/>
        </w:rPr>
        <w:t>iz</w:t>
      </w:r>
      <w:r w:rsidRPr="00BD1319">
        <w:rPr>
          <w:spacing w:val="-3"/>
          <w:lang w:val="es-CO"/>
        </w:rPr>
        <w:t>ación: los resultados de la model</w:t>
      </w:r>
      <w:r w:rsidR="00A60447" w:rsidRPr="00BD1319">
        <w:rPr>
          <w:spacing w:val="-3"/>
          <w:lang w:val="es-CO"/>
        </w:rPr>
        <w:t>iz</w:t>
      </w:r>
      <w:r w:rsidRPr="00BD1319">
        <w:rPr>
          <w:spacing w:val="-3"/>
          <w:lang w:val="es-CO"/>
        </w:rPr>
        <w:t>ación deben ser reportados de manera concisa y clara. El desarrollo de la model</w:t>
      </w:r>
      <w:r w:rsidR="00A60447" w:rsidRPr="00BD1319">
        <w:rPr>
          <w:spacing w:val="-3"/>
          <w:lang w:val="es-CO"/>
        </w:rPr>
        <w:t>iz</w:t>
      </w:r>
      <w:r w:rsidRPr="00BD1319">
        <w:rPr>
          <w:spacing w:val="-3"/>
          <w:lang w:val="es-CO"/>
        </w:rPr>
        <w:t xml:space="preserve">ación debe indicar cuáles son los aportes de contaminación producto de las actividades del proyecto, en relación con las concentraciones de fondo y los aportes de las fuentes ajenas al proyecto que tienen incidencia en la zona, haciendo estimaciones de inmisión para las </w:t>
      </w:r>
      <w:r w:rsidRPr="00BD1319">
        <w:rPr>
          <w:spacing w:val="-3"/>
          <w:lang w:val="es-CO"/>
        </w:rPr>
        <w:lastRenderedPageBreak/>
        <w:t>áreas de asentamientos humanos y zonas críticas identificadas. Por otra parte, la model</w:t>
      </w:r>
      <w:r w:rsidR="00A60447" w:rsidRPr="00BD1319">
        <w:rPr>
          <w:spacing w:val="-3"/>
          <w:lang w:val="es-CO"/>
        </w:rPr>
        <w:t>iz</w:t>
      </w:r>
      <w:r w:rsidRPr="00BD1319">
        <w:rPr>
          <w:spacing w:val="-3"/>
          <w:lang w:val="es-CO"/>
        </w:rPr>
        <w:t>ación debe permitir:</w:t>
      </w:r>
    </w:p>
    <w:p w14:paraId="69470ED9" w14:textId="77777777" w:rsidR="004A1B3C" w:rsidRPr="00BD1319" w:rsidRDefault="004A1B3C" w:rsidP="00C86DA5"/>
    <w:p w14:paraId="66118959" w14:textId="0E11FB11" w:rsidR="004A1B3C" w:rsidRPr="00BD1319" w:rsidRDefault="00753425" w:rsidP="005050B4">
      <w:pPr>
        <w:numPr>
          <w:ilvl w:val="1"/>
          <w:numId w:val="573"/>
        </w:numPr>
        <w:tabs>
          <w:tab w:val="left" w:pos="-2268"/>
        </w:tabs>
        <w:suppressAutoHyphens/>
        <w:ind w:left="1134" w:hanging="567"/>
        <w:rPr>
          <w:rFonts w:cs="Arial"/>
          <w:spacing w:val="-3"/>
        </w:rPr>
      </w:pPr>
      <w:r w:rsidRPr="00BD1319">
        <w:rPr>
          <w:rFonts w:cs="Arial"/>
          <w:spacing w:val="-3"/>
        </w:rPr>
        <w:t xml:space="preserve">Determinar </w:t>
      </w:r>
      <w:r w:rsidR="004A1B3C" w:rsidRPr="00BD1319">
        <w:rPr>
          <w:rFonts w:cs="Arial"/>
          <w:spacing w:val="-3"/>
        </w:rPr>
        <w:t>las zonas de mayor incremento en la presencia de contaminantes de interés para cada uno de los escenarios del proyecto.</w:t>
      </w:r>
    </w:p>
    <w:p w14:paraId="49CF1876" w14:textId="77777777" w:rsidR="004A1B3C" w:rsidRPr="00BD1319" w:rsidRDefault="004A1B3C" w:rsidP="009420F5"/>
    <w:p w14:paraId="28EA4DBF" w14:textId="19262290" w:rsidR="004A1B3C" w:rsidRPr="00BD1319" w:rsidRDefault="004A1B3C" w:rsidP="005050B4">
      <w:pPr>
        <w:numPr>
          <w:ilvl w:val="1"/>
          <w:numId w:val="573"/>
        </w:numPr>
        <w:tabs>
          <w:tab w:val="left" w:pos="-2268"/>
        </w:tabs>
        <w:suppressAutoHyphens/>
        <w:ind w:left="1134" w:hanging="567"/>
        <w:rPr>
          <w:rFonts w:cs="Arial"/>
          <w:spacing w:val="-3"/>
        </w:rPr>
      </w:pPr>
      <w:r w:rsidRPr="00BD1319">
        <w:rPr>
          <w:rFonts w:cs="Arial"/>
          <w:spacing w:val="-3"/>
        </w:rPr>
        <w:t xml:space="preserve">Valorar la magnitud del impacto ocasionado por los procesos del proyecto, obra o actividad, sobre las condiciones de la calidad del aire en poblaciones potencialmente afectadas, teniendo en cuenta el marco normativo vigente (Resolución </w:t>
      </w:r>
      <w:r w:rsidR="00CC4E11" w:rsidRPr="00BD1319">
        <w:rPr>
          <w:rFonts w:cs="Arial"/>
          <w:spacing w:val="-3"/>
        </w:rPr>
        <w:t>2254 de 2017 o aquella que la modifique o sustituya</w:t>
      </w:r>
      <w:r w:rsidRPr="00BD1319">
        <w:rPr>
          <w:rFonts w:cs="Arial"/>
          <w:spacing w:val="-3"/>
        </w:rPr>
        <w:t>).</w:t>
      </w:r>
    </w:p>
    <w:p w14:paraId="3FB55AEC" w14:textId="77777777" w:rsidR="004A1B3C" w:rsidRPr="00BD1319" w:rsidRDefault="004A1B3C" w:rsidP="009420F5"/>
    <w:p w14:paraId="2B6DF4F7" w14:textId="62D9619D" w:rsidR="004A1B3C" w:rsidRPr="00BD1319" w:rsidRDefault="00753425" w:rsidP="005050B4">
      <w:pPr>
        <w:numPr>
          <w:ilvl w:val="1"/>
          <w:numId w:val="573"/>
        </w:numPr>
        <w:tabs>
          <w:tab w:val="left" w:pos="-2268"/>
        </w:tabs>
        <w:suppressAutoHyphens/>
        <w:ind w:left="1134" w:hanging="567"/>
        <w:rPr>
          <w:rFonts w:cs="Arial"/>
          <w:spacing w:val="-3"/>
        </w:rPr>
      </w:pPr>
      <w:r w:rsidRPr="00BD1319">
        <w:rPr>
          <w:rFonts w:cs="Arial"/>
          <w:spacing w:val="-3"/>
        </w:rPr>
        <w:t xml:space="preserve">Establecer </w:t>
      </w:r>
      <w:r w:rsidR="004A1B3C" w:rsidRPr="00BD1319">
        <w:rPr>
          <w:rFonts w:cs="Arial"/>
          <w:spacing w:val="-3"/>
        </w:rPr>
        <w:t>el aporte de contaminantes que realiza cada fuente o grupos de fuentes sobre la calidad del aire.</w:t>
      </w:r>
    </w:p>
    <w:p w14:paraId="345B6A6B" w14:textId="77777777" w:rsidR="004A1B3C" w:rsidRPr="00BD1319" w:rsidRDefault="004A1B3C" w:rsidP="009420F5"/>
    <w:p w14:paraId="320E57AC" w14:textId="77777777" w:rsidR="004A1B3C" w:rsidRPr="00BD1319" w:rsidRDefault="004A1B3C" w:rsidP="00C86DA5">
      <w:pPr>
        <w:ind w:left="567"/>
      </w:pPr>
      <w:r w:rsidRPr="00BD1319">
        <w:t>La estructura del informe debe incorporar el contenido señalado en la siguiente tabla:</w:t>
      </w:r>
    </w:p>
    <w:p w14:paraId="6B46424A" w14:textId="77777777" w:rsidR="004A1B3C" w:rsidRPr="00BD1319" w:rsidRDefault="004A1B3C" w:rsidP="00C86DA5"/>
    <w:p w14:paraId="4AC9DD0E" w14:textId="7C43CAAD" w:rsidR="00FA6ABA" w:rsidRPr="00BD1319" w:rsidRDefault="00FA6ABA" w:rsidP="009420F5">
      <w:pPr>
        <w:jc w:val="center"/>
      </w:pPr>
      <w:r w:rsidRPr="00BD1319">
        <w:rPr>
          <w:b/>
        </w:rPr>
        <w:t xml:space="preserve">Tabla </w:t>
      </w:r>
      <w:r w:rsidRPr="00BD1319">
        <w:rPr>
          <w:b/>
        </w:rPr>
        <w:fldChar w:fldCharType="begin"/>
      </w:r>
      <w:r w:rsidRPr="00BD1319">
        <w:rPr>
          <w:b/>
        </w:rPr>
        <w:instrText xml:space="preserve"> SEQ Tabla \* ARABIC </w:instrText>
      </w:r>
      <w:r w:rsidRPr="00BD1319">
        <w:rPr>
          <w:b/>
        </w:rPr>
        <w:fldChar w:fldCharType="separate"/>
      </w:r>
      <w:r w:rsidR="00296654" w:rsidRPr="00BD1319">
        <w:rPr>
          <w:b/>
          <w:noProof/>
        </w:rPr>
        <w:t>32</w:t>
      </w:r>
      <w:r w:rsidRPr="00BD1319">
        <w:rPr>
          <w:b/>
        </w:rPr>
        <w:fldChar w:fldCharType="end"/>
      </w:r>
      <w:r w:rsidRPr="00BD1319">
        <w:t>. Estructura y contenido de resultados de la model</w:t>
      </w:r>
      <w:r w:rsidR="00A60447" w:rsidRPr="00BD1319">
        <w:t>iz</w:t>
      </w:r>
      <w:r w:rsidRPr="00BD1319">
        <w:t>ación de dispersión</w:t>
      </w:r>
    </w:p>
    <w:tbl>
      <w:tblPr>
        <w:tblStyle w:val="Tablaconcuadrcula"/>
        <w:tblW w:w="0" w:type="auto"/>
        <w:tblLayout w:type="fixed"/>
        <w:tblLook w:val="04A0" w:firstRow="1" w:lastRow="0" w:firstColumn="1" w:lastColumn="0" w:noHBand="0" w:noVBand="1"/>
      </w:tblPr>
      <w:tblGrid>
        <w:gridCol w:w="1980"/>
        <w:gridCol w:w="7417"/>
      </w:tblGrid>
      <w:tr w:rsidR="004A1B3C" w:rsidRPr="00BD1319" w14:paraId="291DD522" w14:textId="77777777" w:rsidTr="00C86DA5">
        <w:trPr>
          <w:trHeight w:val="561"/>
          <w:tblHeader/>
        </w:trPr>
        <w:tc>
          <w:tcPr>
            <w:tcW w:w="1980" w:type="dxa"/>
            <w:shd w:val="clear" w:color="auto" w:fill="auto"/>
            <w:vAlign w:val="center"/>
          </w:tcPr>
          <w:p w14:paraId="5B46DFF2" w14:textId="10B09E3B" w:rsidR="004A1B3C" w:rsidRPr="00BD1319" w:rsidRDefault="00032616" w:rsidP="00C86DA5">
            <w:pPr>
              <w:jc w:val="center"/>
              <w:rPr>
                <w:b/>
                <w:sz w:val="22"/>
              </w:rPr>
            </w:pPr>
            <w:r w:rsidRPr="00BD1319">
              <w:rPr>
                <w:rFonts w:cs="Arial"/>
                <w:b/>
                <w:sz w:val="22"/>
                <w:szCs w:val="22"/>
              </w:rPr>
              <w:t>Sección</w:t>
            </w:r>
          </w:p>
        </w:tc>
        <w:tc>
          <w:tcPr>
            <w:tcW w:w="7417" w:type="dxa"/>
            <w:shd w:val="clear" w:color="auto" w:fill="auto"/>
            <w:vAlign w:val="center"/>
          </w:tcPr>
          <w:p w14:paraId="490A3EF3" w14:textId="08507F8C" w:rsidR="004A1B3C" w:rsidRPr="00BD1319" w:rsidRDefault="00032616" w:rsidP="00C86DA5">
            <w:pPr>
              <w:jc w:val="center"/>
              <w:rPr>
                <w:b/>
                <w:sz w:val="22"/>
              </w:rPr>
            </w:pPr>
            <w:r w:rsidRPr="00BD1319">
              <w:rPr>
                <w:rFonts w:cs="Arial"/>
                <w:b/>
                <w:sz w:val="22"/>
                <w:szCs w:val="22"/>
              </w:rPr>
              <w:t>Contenido</w:t>
            </w:r>
          </w:p>
        </w:tc>
      </w:tr>
      <w:tr w:rsidR="004A1B3C" w:rsidRPr="00BD1319" w14:paraId="4D35ABFE" w14:textId="77777777" w:rsidTr="00C86DA5">
        <w:tc>
          <w:tcPr>
            <w:tcW w:w="1980" w:type="dxa"/>
            <w:vAlign w:val="center"/>
          </w:tcPr>
          <w:p w14:paraId="78863F8E" w14:textId="1A9F56DB" w:rsidR="004A1B3C" w:rsidRPr="00BD1319" w:rsidRDefault="004A1B3C" w:rsidP="00C86DA5">
            <w:pPr>
              <w:rPr>
                <w:sz w:val="22"/>
              </w:rPr>
            </w:pPr>
            <w:r w:rsidRPr="00BD1319">
              <w:rPr>
                <w:sz w:val="22"/>
              </w:rPr>
              <w:t>Objetivo de la model</w:t>
            </w:r>
            <w:r w:rsidR="00A60447" w:rsidRPr="00BD1319">
              <w:rPr>
                <w:sz w:val="22"/>
              </w:rPr>
              <w:t>iz</w:t>
            </w:r>
            <w:r w:rsidRPr="00BD1319">
              <w:rPr>
                <w:sz w:val="22"/>
              </w:rPr>
              <w:t>ación / simulación</w:t>
            </w:r>
          </w:p>
        </w:tc>
        <w:tc>
          <w:tcPr>
            <w:tcW w:w="7417" w:type="dxa"/>
            <w:vAlign w:val="center"/>
          </w:tcPr>
          <w:p w14:paraId="5141325B" w14:textId="1339C187" w:rsidR="004A1B3C" w:rsidRPr="00BD1319" w:rsidRDefault="004A1B3C" w:rsidP="00C86DA5">
            <w:pPr>
              <w:pStyle w:val="Prrafodelista"/>
              <w:numPr>
                <w:ilvl w:val="0"/>
                <w:numId w:val="74"/>
              </w:numPr>
              <w:ind w:left="320"/>
              <w:rPr>
                <w:sz w:val="22"/>
                <w:lang w:val="es-CO"/>
              </w:rPr>
            </w:pPr>
            <w:r w:rsidRPr="00BD1319">
              <w:rPr>
                <w:sz w:val="22"/>
                <w:lang w:val="es-CO"/>
              </w:rPr>
              <w:t xml:space="preserve">Descripción </w:t>
            </w:r>
            <w:r w:rsidRPr="00BD1319">
              <w:rPr>
                <w:rFonts w:cs="Arial"/>
                <w:sz w:val="22"/>
                <w:szCs w:val="22"/>
                <w:lang w:val="es-CO"/>
              </w:rPr>
              <w:t>de la condición a simular</w:t>
            </w:r>
            <w:r w:rsidRPr="00BD1319">
              <w:rPr>
                <w:sz w:val="22"/>
                <w:lang w:val="es-CO"/>
              </w:rPr>
              <w:t xml:space="preserve"> a representar y las preguntas a responder.</w:t>
            </w:r>
          </w:p>
        </w:tc>
      </w:tr>
      <w:tr w:rsidR="004A1B3C" w:rsidRPr="00BD1319" w14:paraId="501625A6" w14:textId="77777777" w:rsidTr="00C86DA5">
        <w:tc>
          <w:tcPr>
            <w:tcW w:w="1980" w:type="dxa"/>
            <w:vAlign w:val="center"/>
          </w:tcPr>
          <w:p w14:paraId="1F140E6F" w14:textId="17A40376" w:rsidR="004A1B3C" w:rsidRPr="00BD1319" w:rsidRDefault="009E0510" w:rsidP="00C86DA5">
            <w:pPr>
              <w:rPr>
                <w:sz w:val="22"/>
              </w:rPr>
            </w:pPr>
            <w:r w:rsidRPr="00BD1319">
              <w:rPr>
                <w:sz w:val="22"/>
              </w:rPr>
              <w:t>Escenarios</w:t>
            </w:r>
          </w:p>
        </w:tc>
        <w:tc>
          <w:tcPr>
            <w:tcW w:w="7417" w:type="dxa"/>
            <w:vAlign w:val="center"/>
          </w:tcPr>
          <w:p w14:paraId="0B682F1F" w14:textId="77777777" w:rsidR="009E0510" w:rsidRPr="00BD1319" w:rsidRDefault="009E0510" w:rsidP="009E0510">
            <w:pPr>
              <w:pStyle w:val="Prrafodelista"/>
              <w:numPr>
                <w:ilvl w:val="0"/>
                <w:numId w:val="74"/>
              </w:numPr>
              <w:ind w:left="320"/>
              <w:rPr>
                <w:sz w:val="22"/>
                <w:lang w:val="es-CO"/>
              </w:rPr>
            </w:pPr>
            <w:r w:rsidRPr="00BD1319">
              <w:rPr>
                <w:sz w:val="22"/>
                <w:lang w:val="es-CO"/>
              </w:rPr>
              <w:t>Descripción de los escenarios: propósito de cada escenario, fuentes de emisión correspondientes, receptores sensibles identificados, entre otros.</w:t>
            </w:r>
          </w:p>
          <w:p w14:paraId="61C14F90" w14:textId="40F7259A" w:rsidR="004A1B3C" w:rsidRPr="00BD1319" w:rsidRDefault="009E0510" w:rsidP="00C86DA5">
            <w:pPr>
              <w:pStyle w:val="Prrafodelista"/>
              <w:numPr>
                <w:ilvl w:val="0"/>
                <w:numId w:val="74"/>
              </w:numPr>
              <w:ind w:left="320"/>
              <w:rPr>
                <w:sz w:val="22"/>
                <w:lang w:val="es-CO"/>
              </w:rPr>
            </w:pPr>
            <w:r w:rsidRPr="00BD1319">
              <w:rPr>
                <w:sz w:val="22"/>
                <w:lang w:val="es-CO"/>
              </w:rPr>
              <w:t>Contraste de escenarios: selección de alternativas, entre otros.</w:t>
            </w:r>
          </w:p>
        </w:tc>
      </w:tr>
      <w:tr w:rsidR="004A1B3C" w:rsidRPr="00BD1319" w14:paraId="17F16264" w14:textId="77777777" w:rsidTr="00C86DA5">
        <w:tc>
          <w:tcPr>
            <w:tcW w:w="1980" w:type="dxa"/>
            <w:vAlign w:val="center"/>
          </w:tcPr>
          <w:p w14:paraId="654830EF" w14:textId="2CD848BA" w:rsidR="004A1B3C" w:rsidRPr="00BD1319" w:rsidRDefault="009E0510" w:rsidP="00C86DA5">
            <w:pPr>
              <w:rPr>
                <w:sz w:val="22"/>
              </w:rPr>
            </w:pPr>
            <w:r w:rsidRPr="00BD1319">
              <w:rPr>
                <w:sz w:val="22"/>
              </w:rPr>
              <w:t>Modelo conceptual</w:t>
            </w:r>
          </w:p>
        </w:tc>
        <w:tc>
          <w:tcPr>
            <w:tcW w:w="7417" w:type="dxa"/>
            <w:vAlign w:val="center"/>
          </w:tcPr>
          <w:p w14:paraId="0D139615" w14:textId="77777777" w:rsidR="009E0510" w:rsidRPr="00BD1319" w:rsidRDefault="009E0510" w:rsidP="009E0510">
            <w:pPr>
              <w:pStyle w:val="Prrafodelista"/>
              <w:numPr>
                <w:ilvl w:val="0"/>
                <w:numId w:val="74"/>
              </w:numPr>
              <w:ind w:left="320"/>
              <w:rPr>
                <w:sz w:val="22"/>
                <w:lang w:val="es-CO"/>
              </w:rPr>
            </w:pPr>
            <w:r w:rsidRPr="00BD1319">
              <w:rPr>
                <w:sz w:val="22"/>
                <w:lang w:val="es-CO"/>
              </w:rPr>
              <w:t>Características de las fuentes: número, tipo, ubicación, geometría, altura, entre otras.</w:t>
            </w:r>
          </w:p>
          <w:p w14:paraId="437163EB" w14:textId="77777777" w:rsidR="009E0510" w:rsidRPr="00BD1319" w:rsidRDefault="009E0510" w:rsidP="009E0510">
            <w:pPr>
              <w:pStyle w:val="Prrafodelista"/>
              <w:numPr>
                <w:ilvl w:val="0"/>
                <w:numId w:val="74"/>
              </w:numPr>
              <w:ind w:left="320"/>
              <w:rPr>
                <w:sz w:val="22"/>
                <w:lang w:val="es-CO"/>
              </w:rPr>
            </w:pPr>
            <w:r w:rsidRPr="00BD1319">
              <w:rPr>
                <w:sz w:val="22"/>
                <w:lang w:val="es-CO"/>
              </w:rPr>
              <w:t>Características de la emisión: contaminantes emitidos, tasas de emisión, factores de emisión, temperaturas, velocidades, entre otras.</w:t>
            </w:r>
          </w:p>
          <w:p w14:paraId="7013025D" w14:textId="77777777" w:rsidR="009E0510" w:rsidRPr="00BD1319" w:rsidRDefault="009E0510" w:rsidP="009E0510">
            <w:pPr>
              <w:pStyle w:val="Prrafodelista"/>
              <w:numPr>
                <w:ilvl w:val="0"/>
                <w:numId w:val="74"/>
              </w:numPr>
              <w:ind w:left="320"/>
              <w:rPr>
                <w:sz w:val="22"/>
                <w:lang w:val="es-CO"/>
              </w:rPr>
            </w:pPr>
            <w:r w:rsidRPr="00BD1319">
              <w:rPr>
                <w:sz w:val="22"/>
                <w:lang w:val="es-CO"/>
              </w:rPr>
              <w:t>Condiciones iniciales y de frontera: concentración de fondo, topografía, usos del suelo y coberturas.</w:t>
            </w:r>
          </w:p>
          <w:p w14:paraId="57D16A8C" w14:textId="3E4C320B" w:rsidR="004A1B3C" w:rsidRPr="00BD1319" w:rsidRDefault="009E0510" w:rsidP="00C86DA5">
            <w:pPr>
              <w:pStyle w:val="Prrafodelista"/>
              <w:numPr>
                <w:ilvl w:val="0"/>
                <w:numId w:val="74"/>
              </w:numPr>
              <w:ind w:left="320"/>
              <w:rPr>
                <w:sz w:val="22"/>
                <w:lang w:val="es-CO"/>
              </w:rPr>
            </w:pPr>
            <w:r w:rsidRPr="00BD1319">
              <w:rPr>
                <w:sz w:val="22"/>
                <w:lang w:val="es-CO"/>
              </w:rPr>
              <w:t xml:space="preserve">Información meteorológica inicial (sondeos, superficie, salida de modelos </w:t>
            </w:r>
            <w:proofErr w:type="spellStart"/>
            <w:r w:rsidRPr="00BD1319">
              <w:rPr>
                <w:sz w:val="22"/>
                <w:lang w:val="es-CO"/>
              </w:rPr>
              <w:t>mesoescala</w:t>
            </w:r>
            <w:proofErr w:type="spellEnd"/>
            <w:r w:rsidRPr="00BD1319">
              <w:rPr>
                <w:sz w:val="22"/>
                <w:lang w:val="es-CO"/>
              </w:rPr>
              <w:t>).</w:t>
            </w:r>
          </w:p>
        </w:tc>
      </w:tr>
      <w:tr w:rsidR="004A1B3C" w:rsidRPr="00BD1319" w14:paraId="426F7220" w14:textId="77777777" w:rsidTr="00C86DA5">
        <w:tc>
          <w:tcPr>
            <w:tcW w:w="1980" w:type="dxa"/>
            <w:vAlign w:val="center"/>
          </w:tcPr>
          <w:p w14:paraId="6F48C445" w14:textId="77777777" w:rsidR="009E0510" w:rsidRPr="00BD1319" w:rsidRDefault="009E0510" w:rsidP="009E0510">
            <w:pPr>
              <w:rPr>
                <w:rFonts w:cs="Arial"/>
                <w:sz w:val="22"/>
                <w:szCs w:val="22"/>
              </w:rPr>
            </w:pPr>
            <w:r w:rsidRPr="00BD1319">
              <w:rPr>
                <w:sz w:val="22"/>
              </w:rPr>
              <w:t>Descripción del</w:t>
            </w:r>
          </w:p>
          <w:p w14:paraId="22584E87" w14:textId="0C289ABE" w:rsidR="004A1B3C" w:rsidRPr="00BD1319" w:rsidRDefault="009E0510" w:rsidP="009E0510">
            <w:pPr>
              <w:rPr>
                <w:sz w:val="22"/>
              </w:rPr>
            </w:pPr>
            <w:r w:rsidRPr="00BD1319">
              <w:rPr>
                <w:sz w:val="22"/>
              </w:rPr>
              <w:t>modelo</w:t>
            </w:r>
          </w:p>
        </w:tc>
        <w:tc>
          <w:tcPr>
            <w:tcW w:w="7417" w:type="dxa"/>
            <w:vAlign w:val="center"/>
          </w:tcPr>
          <w:p w14:paraId="1DBF2E23" w14:textId="77777777" w:rsidR="009E0510" w:rsidRPr="00BD1319" w:rsidRDefault="009E0510" w:rsidP="009E0510">
            <w:pPr>
              <w:pStyle w:val="Prrafodelista"/>
              <w:numPr>
                <w:ilvl w:val="0"/>
                <w:numId w:val="74"/>
              </w:numPr>
              <w:ind w:left="320"/>
              <w:rPr>
                <w:sz w:val="22"/>
                <w:lang w:val="es-CO"/>
              </w:rPr>
            </w:pPr>
            <w:r w:rsidRPr="00BD1319">
              <w:rPr>
                <w:rFonts w:cs="Arial"/>
                <w:sz w:val="22"/>
                <w:szCs w:val="22"/>
                <w:lang w:val="es-CO"/>
              </w:rPr>
              <w:t>Modelo y justificación de los criterios usados para su selección, y de su capacidad para representar los escenarios planteados para el proyecto</w:t>
            </w:r>
            <w:r w:rsidRPr="00BD1319">
              <w:rPr>
                <w:sz w:val="22"/>
                <w:lang w:val="es-CO"/>
              </w:rPr>
              <w:t>.</w:t>
            </w:r>
          </w:p>
          <w:p w14:paraId="48215966" w14:textId="02AF3A3D" w:rsidR="004A1B3C" w:rsidRPr="00BD1319" w:rsidRDefault="009E0510" w:rsidP="00C86DA5">
            <w:pPr>
              <w:pStyle w:val="Prrafodelista"/>
              <w:numPr>
                <w:ilvl w:val="0"/>
                <w:numId w:val="74"/>
              </w:numPr>
              <w:ind w:left="320"/>
              <w:rPr>
                <w:sz w:val="22"/>
                <w:lang w:val="es-CO"/>
              </w:rPr>
            </w:pPr>
            <w:r w:rsidRPr="00BD1319">
              <w:rPr>
                <w:sz w:val="22"/>
                <w:lang w:val="es-CO"/>
              </w:rPr>
              <w:t>Configuraciones y parametrizaciones utilizadas</w:t>
            </w:r>
          </w:p>
        </w:tc>
      </w:tr>
      <w:tr w:rsidR="004A1B3C" w:rsidRPr="00BD1319" w14:paraId="1F518C3F" w14:textId="77777777" w:rsidTr="00C86DA5">
        <w:tc>
          <w:tcPr>
            <w:tcW w:w="1980" w:type="dxa"/>
            <w:vAlign w:val="center"/>
          </w:tcPr>
          <w:p w14:paraId="487A07D2" w14:textId="77777777" w:rsidR="004A1B3C" w:rsidRPr="00BD1319" w:rsidRDefault="004A1B3C" w:rsidP="00C86DA5">
            <w:pPr>
              <w:rPr>
                <w:sz w:val="22"/>
              </w:rPr>
            </w:pPr>
            <w:r w:rsidRPr="00BD1319">
              <w:rPr>
                <w:sz w:val="22"/>
              </w:rPr>
              <w:t>Validación</w:t>
            </w:r>
          </w:p>
        </w:tc>
        <w:tc>
          <w:tcPr>
            <w:tcW w:w="7417" w:type="dxa"/>
            <w:vAlign w:val="center"/>
          </w:tcPr>
          <w:p w14:paraId="0C8AE719" w14:textId="77777777" w:rsidR="004A1B3C" w:rsidRPr="00BD1319" w:rsidRDefault="004A1B3C" w:rsidP="00C86DA5">
            <w:pPr>
              <w:pStyle w:val="Prrafodelista"/>
              <w:numPr>
                <w:ilvl w:val="0"/>
                <w:numId w:val="74"/>
              </w:numPr>
              <w:ind w:left="320"/>
              <w:rPr>
                <w:sz w:val="22"/>
                <w:lang w:val="es-CO"/>
              </w:rPr>
            </w:pPr>
            <w:r w:rsidRPr="00BD1319">
              <w:rPr>
                <w:sz w:val="22"/>
                <w:lang w:val="es-CO"/>
              </w:rPr>
              <w:t>Descripción de los escenarios de validación: diferencias con el escenario calibrado, cambios en el modelo conceptual, entre otros.</w:t>
            </w:r>
          </w:p>
          <w:p w14:paraId="47D05B76" w14:textId="77777777" w:rsidR="004A1B3C" w:rsidRPr="00BD1319" w:rsidRDefault="004A1B3C" w:rsidP="00C86DA5">
            <w:pPr>
              <w:pStyle w:val="Prrafodelista"/>
              <w:numPr>
                <w:ilvl w:val="0"/>
                <w:numId w:val="74"/>
              </w:numPr>
              <w:ind w:left="320"/>
              <w:rPr>
                <w:sz w:val="22"/>
                <w:lang w:val="es-CO"/>
              </w:rPr>
            </w:pPr>
            <w:r w:rsidRPr="00BD1319">
              <w:rPr>
                <w:sz w:val="22"/>
                <w:lang w:val="es-CO"/>
              </w:rPr>
              <w:t>Criterios de validación y resultado de la prueba: descripción de estadísticos, límites de aceptación, referencias relevantes, tabla de evaluación.</w:t>
            </w:r>
          </w:p>
        </w:tc>
      </w:tr>
      <w:tr w:rsidR="004A1B3C" w:rsidRPr="00BD1319" w14:paraId="2BF7E14B" w14:textId="77777777" w:rsidTr="00C86DA5">
        <w:tc>
          <w:tcPr>
            <w:tcW w:w="1980" w:type="dxa"/>
            <w:vAlign w:val="center"/>
          </w:tcPr>
          <w:p w14:paraId="71F67B2D" w14:textId="77777777" w:rsidR="004A1B3C" w:rsidRPr="00BD1319" w:rsidRDefault="004A1B3C" w:rsidP="00C86DA5">
            <w:pPr>
              <w:rPr>
                <w:sz w:val="22"/>
              </w:rPr>
            </w:pPr>
            <w:r w:rsidRPr="00BD1319">
              <w:rPr>
                <w:sz w:val="22"/>
              </w:rPr>
              <w:lastRenderedPageBreak/>
              <w:t>Análisis de resultados</w:t>
            </w:r>
          </w:p>
        </w:tc>
        <w:tc>
          <w:tcPr>
            <w:tcW w:w="7417" w:type="dxa"/>
            <w:vAlign w:val="center"/>
          </w:tcPr>
          <w:p w14:paraId="409251DC" w14:textId="567DF7F1" w:rsidR="009E0510" w:rsidRPr="00BD1319" w:rsidRDefault="009E0510" w:rsidP="009420F5">
            <w:pPr>
              <w:rPr>
                <w:sz w:val="22"/>
              </w:rPr>
            </w:pPr>
            <w:r w:rsidRPr="00BD1319">
              <w:rPr>
                <w:sz w:val="22"/>
              </w:rPr>
              <w:t>Para los escenarios simulados:</w:t>
            </w:r>
          </w:p>
          <w:p w14:paraId="14F68CE2" w14:textId="77777777" w:rsidR="009E0510" w:rsidRPr="00BD1319" w:rsidRDefault="009E0510" w:rsidP="009420F5">
            <w:pPr>
              <w:rPr>
                <w:sz w:val="22"/>
              </w:rPr>
            </w:pPr>
          </w:p>
          <w:p w14:paraId="17E07139" w14:textId="1759F195" w:rsidR="004A1B3C" w:rsidRPr="00BD1319" w:rsidRDefault="004A1B3C" w:rsidP="00C86DA5">
            <w:pPr>
              <w:pStyle w:val="Prrafodelista"/>
              <w:numPr>
                <w:ilvl w:val="0"/>
                <w:numId w:val="74"/>
              </w:numPr>
              <w:ind w:left="320"/>
              <w:rPr>
                <w:sz w:val="22"/>
                <w:lang w:val="es-CO"/>
              </w:rPr>
            </w:pPr>
            <w:r w:rsidRPr="00BD1319">
              <w:rPr>
                <w:sz w:val="22"/>
                <w:lang w:val="es-CO"/>
              </w:rPr>
              <w:t>Análisis de sensibilidad de los resultados y validación.</w:t>
            </w:r>
          </w:p>
          <w:p w14:paraId="1864658F" w14:textId="77777777" w:rsidR="004A1B3C" w:rsidRPr="00BD1319" w:rsidRDefault="004A1B3C" w:rsidP="00C86DA5">
            <w:pPr>
              <w:pStyle w:val="Prrafodelista"/>
              <w:numPr>
                <w:ilvl w:val="0"/>
                <w:numId w:val="74"/>
              </w:numPr>
              <w:ind w:left="320"/>
              <w:rPr>
                <w:sz w:val="22"/>
                <w:lang w:val="es-CO"/>
              </w:rPr>
            </w:pPr>
            <w:r w:rsidRPr="00BD1319">
              <w:rPr>
                <w:sz w:val="22"/>
                <w:lang w:val="es-CO"/>
              </w:rPr>
              <w:t>Valores simulados (presentados en tablas), estadísticos, gráficos, mapas, entre otros. Según sea relevante.</w:t>
            </w:r>
          </w:p>
          <w:p w14:paraId="104DC955" w14:textId="77777777" w:rsidR="004A1B3C" w:rsidRPr="00BD1319" w:rsidRDefault="004A1B3C" w:rsidP="00C86DA5">
            <w:pPr>
              <w:pStyle w:val="Prrafodelista"/>
              <w:numPr>
                <w:ilvl w:val="0"/>
                <w:numId w:val="74"/>
              </w:numPr>
              <w:ind w:left="320"/>
              <w:rPr>
                <w:sz w:val="22"/>
                <w:lang w:val="es-CO"/>
              </w:rPr>
            </w:pPr>
            <w:r w:rsidRPr="00BD1319">
              <w:rPr>
                <w:sz w:val="22"/>
                <w:lang w:val="es-CO"/>
              </w:rPr>
              <w:t>Análisis de las concentraciones simuladas en términos de la normativa aplicable.</w:t>
            </w:r>
          </w:p>
          <w:p w14:paraId="5E98EE39" w14:textId="2FBD765F" w:rsidR="009E0510" w:rsidRPr="00BD1319" w:rsidRDefault="009E0510" w:rsidP="00C86DA5">
            <w:pPr>
              <w:pStyle w:val="Prrafodelista"/>
              <w:numPr>
                <w:ilvl w:val="0"/>
                <w:numId w:val="74"/>
              </w:numPr>
              <w:ind w:left="320"/>
              <w:rPr>
                <w:sz w:val="22"/>
                <w:lang w:val="es-CO"/>
              </w:rPr>
            </w:pPr>
            <w:r w:rsidRPr="00BD1319">
              <w:rPr>
                <w:sz w:val="22"/>
                <w:lang w:val="es-CO"/>
              </w:rPr>
              <w:t>Tablas con valores simulados para los principales receptores de interés para los diferentes escenarios simulados.</w:t>
            </w:r>
          </w:p>
        </w:tc>
      </w:tr>
      <w:tr w:rsidR="004A1B3C" w:rsidRPr="00BD1319" w14:paraId="2EFA1296" w14:textId="77777777" w:rsidTr="00C86DA5">
        <w:tc>
          <w:tcPr>
            <w:tcW w:w="1980" w:type="dxa"/>
            <w:vAlign w:val="center"/>
          </w:tcPr>
          <w:p w14:paraId="5F8AB2E4" w14:textId="77777777" w:rsidR="004A1B3C" w:rsidRPr="00BD1319" w:rsidRDefault="004A1B3C" w:rsidP="00C86DA5">
            <w:pPr>
              <w:rPr>
                <w:sz w:val="22"/>
              </w:rPr>
            </w:pPr>
            <w:r w:rsidRPr="00BD1319">
              <w:rPr>
                <w:sz w:val="22"/>
              </w:rPr>
              <w:t>Conclusiones y recomendaciones</w:t>
            </w:r>
          </w:p>
        </w:tc>
        <w:tc>
          <w:tcPr>
            <w:tcW w:w="7417" w:type="dxa"/>
            <w:vAlign w:val="center"/>
          </w:tcPr>
          <w:p w14:paraId="66FDBAF4" w14:textId="77777777" w:rsidR="004A1B3C" w:rsidRPr="00BD1319" w:rsidRDefault="004A1B3C" w:rsidP="00C86DA5">
            <w:pPr>
              <w:pStyle w:val="Prrafodelista"/>
              <w:numPr>
                <w:ilvl w:val="0"/>
                <w:numId w:val="74"/>
              </w:numPr>
              <w:ind w:left="320"/>
              <w:rPr>
                <w:sz w:val="22"/>
                <w:lang w:val="es-CO"/>
              </w:rPr>
            </w:pPr>
            <w:r w:rsidRPr="00BD1319">
              <w:rPr>
                <w:sz w:val="22"/>
                <w:lang w:val="es-CO"/>
              </w:rPr>
              <w:t>Deben ser congruentes con el objetivo y las preguntas.</w:t>
            </w:r>
          </w:p>
        </w:tc>
      </w:tr>
      <w:tr w:rsidR="004A1B3C" w:rsidRPr="00BD1319" w14:paraId="38A0ADD2" w14:textId="77777777" w:rsidTr="00C86DA5">
        <w:tc>
          <w:tcPr>
            <w:tcW w:w="1980" w:type="dxa"/>
            <w:vAlign w:val="center"/>
          </w:tcPr>
          <w:p w14:paraId="4AA7C634" w14:textId="77777777" w:rsidR="004A1B3C" w:rsidRPr="00BD1319" w:rsidRDefault="004A1B3C" w:rsidP="00C86DA5">
            <w:pPr>
              <w:rPr>
                <w:sz w:val="22"/>
              </w:rPr>
            </w:pPr>
            <w:r w:rsidRPr="00BD1319">
              <w:rPr>
                <w:sz w:val="22"/>
              </w:rPr>
              <w:t>Referencias</w:t>
            </w:r>
          </w:p>
        </w:tc>
        <w:tc>
          <w:tcPr>
            <w:tcW w:w="7417" w:type="dxa"/>
            <w:vAlign w:val="center"/>
          </w:tcPr>
          <w:p w14:paraId="216B9E32" w14:textId="77777777" w:rsidR="004A1B3C" w:rsidRPr="00BD1319" w:rsidRDefault="004A1B3C" w:rsidP="00C86DA5">
            <w:pPr>
              <w:pStyle w:val="Prrafodelista"/>
              <w:numPr>
                <w:ilvl w:val="0"/>
                <w:numId w:val="74"/>
              </w:numPr>
              <w:ind w:left="320"/>
              <w:rPr>
                <w:sz w:val="22"/>
                <w:lang w:val="es-CO"/>
              </w:rPr>
            </w:pPr>
            <w:r w:rsidRPr="00BD1319">
              <w:rPr>
                <w:sz w:val="22"/>
                <w:lang w:val="es-CO"/>
              </w:rPr>
              <w:t>Referencias a trabajos citados</w:t>
            </w:r>
            <w:r w:rsidRPr="00BD1319">
              <w:rPr>
                <w:rFonts w:cs="Arial"/>
                <w:sz w:val="22"/>
                <w:szCs w:val="22"/>
                <w:lang w:val="es-CO"/>
              </w:rPr>
              <w:t>.</w:t>
            </w:r>
          </w:p>
        </w:tc>
      </w:tr>
      <w:tr w:rsidR="004A1B3C" w:rsidRPr="00BD1319" w14:paraId="64310DD2" w14:textId="77777777" w:rsidTr="00C86DA5">
        <w:tc>
          <w:tcPr>
            <w:tcW w:w="1980" w:type="dxa"/>
            <w:vAlign w:val="center"/>
          </w:tcPr>
          <w:p w14:paraId="073919F9" w14:textId="77777777" w:rsidR="004A1B3C" w:rsidRPr="00BD1319" w:rsidRDefault="004A1B3C" w:rsidP="00C86DA5">
            <w:pPr>
              <w:rPr>
                <w:sz w:val="22"/>
              </w:rPr>
            </w:pPr>
            <w:r w:rsidRPr="00BD1319">
              <w:rPr>
                <w:sz w:val="22"/>
              </w:rPr>
              <w:t>Anexos electrónicos</w:t>
            </w:r>
          </w:p>
        </w:tc>
        <w:tc>
          <w:tcPr>
            <w:tcW w:w="7417" w:type="dxa"/>
            <w:vAlign w:val="center"/>
          </w:tcPr>
          <w:p w14:paraId="34A62047" w14:textId="77777777" w:rsidR="004A1B3C" w:rsidRPr="00BD1319" w:rsidRDefault="004A1B3C" w:rsidP="00C86DA5">
            <w:pPr>
              <w:pStyle w:val="Prrafodelista"/>
              <w:numPr>
                <w:ilvl w:val="0"/>
                <w:numId w:val="74"/>
              </w:numPr>
              <w:ind w:left="320"/>
              <w:rPr>
                <w:sz w:val="22"/>
                <w:lang w:val="es-CO"/>
              </w:rPr>
            </w:pPr>
            <w:r w:rsidRPr="00BD1319">
              <w:rPr>
                <w:sz w:val="22"/>
                <w:lang w:val="es-CO"/>
              </w:rPr>
              <w:t>Archivos de entrada y salida, archivos de control y demás información necesaria para reproducir los resultados.</w:t>
            </w:r>
          </w:p>
        </w:tc>
      </w:tr>
    </w:tbl>
    <w:p w14:paraId="48EC1CD0" w14:textId="77777777" w:rsidR="004A1B3C" w:rsidRPr="00BD1319" w:rsidRDefault="004A1B3C" w:rsidP="00C86DA5"/>
    <w:p w14:paraId="251A2424" w14:textId="6CA55994" w:rsidR="004A1B3C" w:rsidRPr="00BD1319" w:rsidRDefault="004A1B3C" w:rsidP="00C86DA5">
      <w:r w:rsidRPr="00BD1319">
        <w:t xml:space="preserve">Los mapas de dispersión de contaminantes se deben presentar con el tiempo de exposición para cada parámetro de acuerdo </w:t>
      </w:r>
      <w:r w:rsidRPr="00BD1319">
        <w:rPr>
          <w:rFonts w:cs="Arial"/>
        </w:rPr>
        <w:t>con</w:t>
      </w:r>
      <w:r w:rsidRPr="00BD1319">
        <w:t xml:space="preserve"> la normativa vigente, teniendo en cuenta la adición de la concentración de fondo (</w:t>
      </w:r>
      <w:r w:rsidR="00306946" w:rsidRPr="00BD1319">
        <w:t>m</w:t>
      </w:r>
      <w:r w:rsidRPr="00BD1319">
        <w:t xml:space="preserve">onitoreo de </w:t>
      </w:r>
      <w:r w:rsidR="00306946" w:rsidRPr="00BD1319">
        <w:t>c</w:t>
      </w:r>
      <w:r w:rsidRPr="00BD1319">
        <w:t xml:space="preserve">alidad del </w:t>
      </w:r>
      <w:r w:rsidR="00306946" w:rsidRPr="00BD1319">
        <w:t>a</w:t>
      </w:r>
      <w:r w:rsidRPr="00BD1319">
        <w:t>ire en caso no contar con inventario de emisiones), con la cual se determine el área de afectación debido a las fuentes presentes hacia cada uno de los receptores o centros poblados identificados, para los tres escenarios definidos.</w:t>
      </w:r>
    </w:p>
    <w:p w14:paraId="55FB57A9" w14:textId="77777777" w:rsidR="00CC4E11" w:rsidRPr="00BD1319" w:rsidRDefault="00CC4E11" w:rsidP="00CC4E11">
      <w:pPr>
        <w:numPr>
          <w:ilvl w:val="12"/>
          <w:numId w:val="0"/>
        </w:numPr>
        <w:tabs>
          <w:tab w:val="left" w:pos="-2268"/>
        </w:tabs>
        <w:suppressAutoHyphens/>
        <w:rPr>
          <w:rFonts w:cs="Arial"/>
          <w:spacing w:val="-3"/>
        </w:rPr>
      </w:pPr>
    </w:p>
    <w:p w14:paraId="7E477ACA" w14:textId="2DE344EE" w:rsidR="00CC4E11" w:rsidRPr="00BD1319" w:rsidRDefault="00624C16" w:rsidP="00CC4E11">
      <w:pPr>
        <w:numPr>
          <w:ilvl w:val="12"/>
          <w:numId w:val="0"/>
        </w:numPr>
        <w:tabs>
          <w:tab w:val="left" w:pos="-2268"/>
        </w:tabs>
        <w:suppressAutoHyphens/>
        <w:rPr>
          <w:rFonts w:cs="Arial"/>
          <w:spacing w:val="-3"/>
        </w:rPr>
      </w:pPr>
      <w:r w:rsidRPr="00BD1319">
        <w:rPr>
          <w:rFonts w:cs="Arial"/>
          <w:spacing w:val="-3"/>
        </w:rPr>
        <w:t>Para mejorar la calidad y representatividad de los resultados</w:t>
      </w:r>
      <w:r w:rsidR="00306946" w:rsidRPr="00BD1319">
        <w:rPr>
          <w:rFonts w:cs="Arial"/>
          <w:spacing w:val="-3"/>
        </w:rPr>
        <w:t>,</w:t>
      </w:r>
      <w:r w:rsidRPr="00BD1319">
        <w:rPr>
          <w:rFonts w:cs="Arial"/>
          <w:spacing w:val="-3"/>
        </w:rPr>
        <w:t xml:space="preserve"> los modelos de dispersión </w:t>
      </w:r>
      <w:r w:rsidR="00CC4E11" w:rsidRPr="00BD1319">
        <w:rPr>
          <w:rFonts w:cs="Arial"/>
          <w:spacing w:val="-3"/>
        </w:rPr>
        <w:t xml:space="preserve">de contaminantes atmosféricos (partículas y gases), además de ser alimentados con el monitoreo ambiental que se realice para la caracterización del respectivo estudio ambiental, </w:t>
      </w:r>
      <w:r w:rsidRPr="00BD1319">
        <w:rPr>
          <w:rFonts w:cs="Arial"/>
          <w:spacing w:val="-3"/>
        </w:rPr>
        <w:t xml:space="preserve">éstos pueden </w:t>
      </w:r>
      <w:r w:rsidR="00CC4E11" w:rsidRPr="00BD1319">
        <w:rPr>
          <w:rFonts w:cs="Arial"/>
          <w:spacing w:val="-3"/>
        </w:rPr>
        <w:t>nutr</w:t>
      </w:r>
      <w:r w:rsidRPr="00BD1319">
        <w:rPr>
          <w:rFonts w:cs="Arial"/>
          <w:spacing w:val="-3"/>
        </w:rPr>
        <w:t xml:space="preserve">irse </w:t>
      </w:r>
      <w:r w:rsidR="00CC4E11" w:rsidRPr="00BD1319">
        <w:rPr>
          <w:rFonts w:cs="Arial"/>
          <w:spacing w:val="-3"/>
        </w:rPr>
        <w:t>de la información referente a monitoreos contenida en el modelo de almacenamiento geográfico (MAG) de los ICA o de las licencias ambientales otorgadas a proyectos aledaños; asimismo</w:t>
      </w:r>
      <w:r w:rsidR="00E227C3" w:rsidRPr="00BD1319">
        <w:rPr>
          <w:rFonts w:cs="Arial"/>
          <w:spacing w:val="-3"/>
        </w:rPr>
        <w:t xml:space="preserve"> y en la medida de los posible</w:t>
      </w:r>
      <w:r w:rsidR="00CC4E11" w:rsidRPr="00BD1319">
        <w:rPr>
          <w:rFonts w:cs="Arial"/>
          <w:spacing w:val="-3"/>
        </w:rPr>
        <w:t xml:space="preserve">, </w:t>
      </w:r>
      <w:r w:rsidR="00E227C3" w:rsidRPr="00BD1319">
        <w:rPr>
          <w:rFonts w:cs="Arial"/>
          <w:spacing w:val="-3"/>
        </w:rPr>
        <w:t xml:space="preserve">se debe </w:t>
      </w:r>
      <w:r w:rsidR="00CC4E11" w:rsidRPr="00BD1319">
        <w:rPr>
          <w:rFonts w:cs="Arial"/>
          <w:spacing w:val="-3"/>
        </w:rPr>
        <w:t>hacer uso de la información oficial que las autoridades ambientales han dispuesto en sus herramientas de planificación, redes de monitoreo, estudios específicos, entre otras fuentes de datos e información.</w:t>
      </w:r>
    </w:p>
    <w:p w14:paraId="173E811C" w14:textId="77777777" w:rsidR="00CC4E11" w:rsidRPr="00BD1319" w:rsidRDefault="00CC4E11" w:rsidP="00CC4E11"/>
    <w:p w14:paraId="53EBCE09" w14:textId="124A0CE7" w:rsidR="00CC4E11" w:rsidRPr="00BD1319" w:rsidRDefault="00CC4E11" w:rsidP="00CC4E11">
      <w:bookmarkStart w:id="3146" w:name="_Hlk59166855"/>
      <w:r w:rsidRPr="00BD1319">
        <w:t>Es importante destacar que para tiempos de exposición cortos (inferiores a 24 horas), los mapas de dispersión deben representar condiciones críticas dentro del periodo simulado.</w:t>
      </w:r>
      <w:bookmarkEnd w:id="3146"/>
    </w:p>
    <w:p w14:paraId="6C2A7637" w14:textId="77777777" w:rsidR="00624C16" w:rsidRPr="00BD1319" w:rsidRDefault="00624C16" w:rsidP="00CC4E11"/>
    <w:p w14:paraId="3E165F25" w14:textId="77C4A4CF" w:rsidR="004F01DD" w:rsidRPr="00BD1319" w:rsidRDefault="004A1B3C" w:rsidP="00402FB4">
      <w:pPr>
        <w:numPr>
          <w:ilvl w:val="12"/>
          <w:numId w:val="0"/>
        </w:numPr>
        <w:tabs>
          <w:tab w:val="left" w:pos="-2268"/>
        </w:tabs>
        <w:suppressAutoHyphens/>
        <w:rPr>
          <w:rFonts w:cs="Arial"/>
          <w:spacing w:val="-3"/>
        </w:rPr>
      </w:pPr>
      <w:r w:rsidRPr="00BD1319">
        <w:t xml:space="preserve">La metodología de modelos de dispersión utilizada para parámetros generadores de olores ofensivos corresponde a la establecida mediante la Resolución 2087 de 2014, la cual adopta el Protocolo para el monitoreo, control y vigilancia de </w:t>
      </w:r>
      <w:r w:rsidR="00085DCC" w:rsidRPr="00BD1319">
        <w:t>o</w:t>
      </w:r>
      <w:r w:rsidRPr="00BD1319">
        <w:t xml:space="preserve">lores </w:t>
      </w:r>
      <w:r w:rsidR="00085DCC" w:rsidRPr="00BD1319">
        <w:t>o</w:t>
      </w:r>
      <w:r w:rsidRPr="00BD1319">
        <w:t>fensivos</w:t>
      </w:r>
      <w:r w:rsidR="00306946" w:rsidRPr="00BD1319">
        <w:t>, o aquella norma que la modifique o sustituya</w:t>
      </w:r>
      <w:r w:rsidRPr="00BD1319">
        <w:t>.</w:t>
      </w:r>
    </w:p>
    <w:p w14:paraId="5D46BF36" w14:textId="77777777" w:rsidR="004845DE" w:rsidRPr="00BD1319" w:rsidRDefault="004845DE" w:rsidP="00402FB4">
      <w:pPr>
        <w:numPr>
          <w:ilvl w:val="12"/>
          <w:numId w:val="0"/>
        </w:numPr>
        <w:tabs>
          <w:tab w:val="left" w:pos="-2268"/>
        </w:tabs>
        <w:suppressAutoHyphens/>
        <w:rPr>
          <w:rFonts w:cs="Arial"/>
          <w:spacing w:val="-3"/>
        </w:rPr>
      </w:pPr>
    </w:p>
    <w:p w14:paraId="7C5F60AD" w14:textId="74EA8FF6" w:rsidR="00511B28" w:rsidRPr="00BD1319" w:rsidRDefault="009E17F6" w:rsidP="00511B28">
      <w:pPr>
        <w:pStyle w:val="Ttulo2"/>
        <w:rPr>
          <w:lang w:val="es-CO"/>
        </w:rPr>
      </w:pPr>
      <w:bookmarkStart w:id="3147" w:name="_Toc175326792"/>
      <w:r w:rsidRPr="00BD1319">
        <w:rPr>
          <w:lang w:val="es-CO"/>
        </w:rPr>
        <w:t xml:space="preserve">PERMISO DE </w:t>
      </w:r>
      <w:r w:rsidR="0040217B" w:rsidRPr="00BD1319">
        <w:rPr>
          <w:lang w:val="es-CO"/>
        </w:rPr>
        <w:t>CAZA DE FOMENTO</w:t>
      </w:r>
      <w:bookmarkEnd w:id="3147"/>
    </w:p>
    <w:p w14:paraId="1FA02BF2" w14:textId="77777777" w:rsidR="00511B28" w:rsidRPr="00BD1319" w:rsidRDefault="00511B28" w:rsidP="00402FB4">
      <w:pPr>
        <w:numPr>
          <w:ilvl w:val="12"/>
          <w:numId w:val="0"/>
        </w:numPr>
        <w:tabs>
          <w:tab w:val="left" w:pos="-2268"/>
        </w:tabs>
        <w:suppressAutoHyphens/>
        <w:rPr>
          <w:rFonts w:cs="Arial"/>
          <w:spacing w:val="-3"/>
        </w:rPr>
      </w:pPr>
    </w:p>
    <w:p w14:paraId="63872E3C" w14:textId="3CC0AF55" w:rsidR="00511B28" w:rsidRPr="00BD1319" w:rsidRDefault="0040217B" w:rsidP="00402FB4">
      <w:pPr>
        <w:numPr>
          <w:ilvl w:val="12"/>
          <w:numId w:val="0"/>
        </w:numPr>
        <w:tabs>
          <w:tab w:val="left" w:pos="-2268"/>
        </w:tabs>
        <w:suppressAutoHyphens/>
        <w:rPr>
          <w:rFonts w:cs="Arial"/>
          <w:spacing w:val="-3"/>
        </w:rPr>
      </w:pPr>
      <w:r w:rsidRPr="00BD1319">
        <w:rPr>
          <w:rFonts w:cs="Arial"/>
          <w:spacing w:val="-3"/>
        </w:rPr>
        <w:t xml:space="preserve">Para solicitar </w:t>
      </w:r>
      <w:r w:rsidR="0060637A" w:rsidRPr="00BD1319">
        <w:rPr>
          <w:rFonts w:cs="Arial"/>
          <w:spacing w:val="-3"/>
        </w:rPr>
        <w:t xml:space="preserve">el permiso de </w:t>
      </w:r>
      <w:r w:rsidRPr="00BD1319">
        <w:rPr>
          <w:rFonts w:cs="Arial"/>
          <w:spacing w:val="-3"/>
        </w:rPr>
        <w:t xml:space="preserve">caza de fomento es necesario atender las directrices y requerimientos establecidos en la Ley 611 de 2000, el Decreto-Ley 2811 de 1974, el Decreto 1608 de 1978 (compilado en el Decreto 1076 de 2015), el Decreto 1076 de 2015 y la Resolución 1317 de 2000, así como los lineamientos que se señalan </w:t>
      </w:r>
      <w:r w:rsidR="006F0E9F" w:rsidRPr="00BD1319">
        <w:rPr>
          <w:rFonts w:cs="Arial"/>
          <w:spacing w:val="-3"/>
        </w:rPr>
        <w:t>más adelante</w:t>
      </w:r>
      <w:r w:rsidRPr="00BD1319">
        <w:rPr>
          <w:rFonts w:cs="Arial"/>
          <w:spacing w:val="-3"/>
        </w:rPr>
        <w:t>.</w:t>
      </w:r>
      <w:r w:rsidR="003B1A38" w:rsidRPr="00BD1319">
        <w:rPr>
          <w:rFonts w:cs="Arial"/>
          <w:spacing w:val="-3"/>
        </w:rPr>
        <w:t xml:space="preserve"> En cualquier caso, es pertinente que de forma previa a la solicitud de este permiso se evalúe si es posible recurrir a ejemplares que hayan sido rehabilita</w:t>
      </w:r>
      <w:r w:rsidR="00D1505E" w:rsidRPr="00BD1319">
        <w:rPr>
          <w:rFonts w:cs="Arial"/>
          <w:spacing w:val="-3"/>
        </w:rPr>
        <w:t xml:space="preserve">dos o que se encuentren en centros de fauna silvestre decomisada, </w:t>
      </w:r>
      <w:r w:rsidR="003B1A38" w:rsidRPr="00BD1319">
        <w:rPr>
          <w:rFonts w:cs="Arial"/>
          <w:spacing w:val="-3"/>
        </w:rPr>
        <w:t xml:space="preserve">con el fin de </w:t>
      </w:r>
      <w:r w:rsidR="00A11F0C" w:rsidRPr="00BD1319">
        <w:rPr>
          <w:rFonts w:cs="Arial"/>
          <w:spacing w:val="-3"/>
        </w:rPr>
        <w:t xml:space="preserve">suplir </w:t>
      </w:r>
      <w:r w:rsidR="00D1505E" w:rsidRPr="00BD1319">
        <w:rPr>
          <w:rFonts w:cs="Arial"/>
          <w:spacing w:val="-3"/>
        </w:rPr>
        <w:t xml:space="preserve">con ellos </w:t>
      </w:r>
      <w:r w:rsidR="00A11F0C" w:rsidRPr="00BD1319">
        <w:rPr>
          <w:rFonts w:cs="Arial"/>
          <w:spacing w:val="-3"/>
        </w:rPr>
        <w:t xml:space="preserve">el pie parental y de esta forma obviar la necesidad del </w:t>
      </w:r>
      <w:r w:rsidR="003B1A38" w:rsidRPr="00BD1319">
        <w:rPr>
          <w:rFonts w:cs="Arial"/>
          <w:spacing w:val="-3"/>
        </w:rPr>
        <w:t>permiso</w:t>
      </w:r>
      <w:r w:rsidR="00A11F0C" w:rsidRPr="00BD1319">
        <w:rPr>
          <w:rFonts w:cs="Arial"/>
          <w:spacing w:val="-3"/>
        </w:rPr>
        <w:t>.</w:t>
      </w:r>
    </w:p>
    <w:p w14:paraId="5327D579" w14:textId="77777777" w:rsidR="0040217B" w:rsidRPr="00BD1319" w:rsidRDefault="0040217B" w:rsidP="00402FB4">
      <w:pPr>
        <w:numPr>
          <w:ilvl w:val="12"/>
          <w:numId w:val="0"/>
        </w:numPr>
        <w:tabs>
          <w:tab w:val="left" w:pos="-2268"/>
        </w:tabs>
        <w:suppressAutoHyphens/>
        <w:rPr>
          <w:rFonts w:cs="Arial"/>
          <w:spacing w:val="-3"/>
        </w:rPr>
      </w:pPr>
    </w:p>
    <w:p w14:paraId="58CC313A" w14:textId="657FD16F" w:rsidR="00255FB6" w:rsidRPr="00255FB6" w:rsidRDefault="00255FB6" w:rsidP="00255FB6">
      <w:pPr>
        <w:numPr>
          <w:ilvl w:val="12"/>
          <w:numId w:val="0"/>
        </w:numPr>
        <w:tabs>
          <w:tab w:val="left" w:pos="-2268"/>
        </w:tabs>
        <w:suppressAutoHyphens/>
        <w:rPr>
          <w:rFonts w:cs="Arial"/>
          <w:spacing w:val="-3"/>
        </w:rPr>
      </w:pPr>
      <w:r w:rsidRPr="00523DF3">
        <w:rPr>
          <w:rFonts w:cs="Arial"/>
          <w:spacing w:val="-3"/>
        </w:rPr>
        <w:t xml:space="preserve">Considerando que de conformidad con el Decreto 1608 de 1978, compilado en el Decreto 1076 de 2015, la caza de fomento se entiende como </w:t>
      </w:r>
      <w:r w:rsidRPr="00523DF3">
        <w:rPr>
          <w:rFonts w:cs="Arial"/>
          <w:i/>
          <w:iCs/>
          <w:spacing w:val="-3"/>
        </w:rPr>
        <w:t xml:space="preserve">aquella que se realiza con el exclusivo propósito de adquirir individuos o especímenes de la fauna silvestre para el establecimiento de </w:t>
      </w:r>
      <w:proofErr w:type="spellStart"/>
      <w:r w:rsidRPr="00523DF3">
        <w:rPr>
          <w:rFonts w:cs="Arial"/>
          <w:i/>
          <w:iCs/>
          <w:spacing w:val="-3"/>
        </w:rPr>
        <w:t>zoocriaderos</w:t>
      </w:r>
      <w:proofErr w:type="spellEnd"/>
      <w:r w:rsidRPr="00523DF3">
        <w:rPr>
          <w:rFonts w:cs="Arial"/>
          <w:i/>
          <w:iCs/>
          <w:spacing w:val="-3"/>
        </w:rPr>
        <w:t xml:space="preserve"> o cotos de caza</w:t>
      </w:r>
      <w:r w:rsidRPr="00523DF3">
        <w:rPr>
          <w:rFonts w:cs="Arial"/>
          <w:spacing w:val="-3"/>
        </w:rPr>
        <w:t xml:space="preserve"> y que, según lo establecido en el parágrafo 2 del artículo 2.2.2.3.2.3, la licencia ambiental para el establecimiento de </w:t>
      </w:r>
      <w:proofErr w:type="spellStart"/>
      <w:r w:rsidRPr="00523DF3">
        <w:rPr>
          <w:rFonts w:cs="Arial"/>
          <w:spacing w:val="-3"/>
        </w:rPr>
        <w:t>zoocriaderos</w:t>
      </w:r>
      <w:proofErr w:type="spellEnd"/>
      <w:r w:rsidRPr="00523DF3">
        <w:rPr>
          <w:rFonts w:cs="Arial"/>
          <w:spacing w:val="-3"/>
        </w:rPr>
        <w:t xml:space="preserve"> con fines comerciales </w:t>
      </w:r>
      <w:r w:rsidRPr="00523DF3">
        <w:rPr>
          <w:rFonts w:cs="Arial"/>
          <w:i/>
          <w:iCs/>
          <w:spacing w:val="-3"/>
        </w:rPr>
        <w:t xml:space="preserve">“contemplará las fases experimental y comercial. La fase experimental incluye las actividades de caza de fomento, construcción o instalación del </w:t>
      </w:r>
      <w:proofErr w:type="spellStart"/>
      <w:r w:rsidRPr="00523DF3">
        <w:rPr>
          <w:rFonts w:cs="Arial"/>
          <w:i/>
          <w:iCs/>
          <w:spacing w:val="-3"/>
        </w:rPr>
        <w:t>zoocriadero</w:t>
      </w:r>
      <w:proofErr w:type="spellEnd"/>
      <w:r w:rsidRPr="00523DF3">
        <w:rPr>
          <w:rFonts w:cs="Arial"/>
          <w:i/>
          <w:iCs/>
          <w:spacing w:val="-3"/>
        </w:rPr>
        <w:t xml:space="preserve"> y las actividades de investigación del proyecto”</w:t>
      </w:r>
      <w:r w:rsidRPr="00523DF3">
        <w:rPr>
          <w:rFonts w:cs="Arial"/>
          <w:spacing w:val="-3"/>
        </w:rPr>
        <w:t xml:space="preserve">, la caza de fomento se incluye en la licencia ambiental como una actividad para el establecimiento de </w:t>
      </w:r>
      <w:proofErr w:type="spellStart"/>
      <w:r w:rsidRPr="00523DF3">
        <w:rPr>
          <w:rFonts w:cs="Arial"/>
          <w:spacing w:val="-3"/>
        </w:rPr>
        <w:t>zoocriaderos</w:t>
      </w:r>
      <w:proofErr w:type="spellEnd"/>
      <w:r w:rsidRPr="00523DF3">
        <w:rPr>
          <w:rFonts w:cs="Arial"/>
          <w:spacing w:val="-3"/>
        </w:rPr>
        <w:t xml:space="preserve"> con fines comerciales, en concordancia con el artículo 2 de la Resolución 1317 de 2000, el cual señala que, cuando sea viable, se otorgará una licencia ambiental que incluya todas las actividades del </w:t>
      </w:r>
      <w:proofErr w:type="spellStart"/>
      <w:r w:rsidRPr="00523DF3">
        <w:rPr>
          <w:rFonts w:cs="Arial"/>
          <w:spacing w:val="-3"/>
        </w:rPr>
        <w:t>zoocriadero</w:t>
      </w:r>
      <w:proofErr w:type="spellEnd"/>
      <w:r w:rsidRPr="00523DF3">
        <w:rPr>
          <w:rFonts w:cs="Arial"/>
          <w:spacing w:val="-3"/>
        </w:rPr>
        <w:t>, incluyendo la caza con fines de fomento</w:t>
      </w:r>
      <w:r w:rsidRPr="00523DF3">
        <w:rPr>
          <w:sz w:val="22"/>
          <w:szCs w:val="22"/>
        </w:rPr>
        <w:t>.</w:t>
      </w:r>
    </w:p>
    <w:p w14:paraId="52789357" w14:textId="77777777" w:rsidR="00363B4C" w:rsidRPr="00BD1319" w:rsidRDefault="00363B4C" w:rsidP="00402FB4">
      <w:pPr>
        <w:numPr>
          <w:ilvl w:val="12"/>
          <w:numId w:val="0"/>
        </w:numPr>
        <w:tabs>
          <w:tab w:val="left" w:pos="-2268"/>
        </w:tabs>
        <w:suppressAutoHyphens/>
        <w:rPr>
          <w:rFonts w:cs="Arial"/>
          <w:spacing w:val="-3"/>
        </w:rPr>
      </w:pPr>
    </w:p>
    <w:p w14:paraId="52399645" w14:textId="71243C51" w:rsidR="006F0E9F" w:rsidRPr="00BD1319" w:rsidRDefault="006F0E9F" w:rsidP="00402FB4">
      <w:pPr>
        <w:numPr>
          <w:ilvl w:val="12"/>
          <w:numId w:val="0"/>
        </w:numPr>
        <w:tabs>
          <w:tab w:val="left" w:pos="-2268"/>
        </w:tabs>
        <w:suppressAutoHyphens/>
        <w:rPr>
          <w:rFonts w:cs="Arial"/>
          <w:spacing w:val="-3"/>
        </w:rPr>
      </w:pPr>
      <w:r w:rsidRPr="00BD1319">
        <w:rPr>
          <w:rFonts w:cs="Arial"/>
          <w:spacing w:val="-3"/>
        </w:rPr>
        <w:t xml:space="preserve">En caso de que el área en la cual se busca desarrollar la actividad de caza de fomento se localice en la jurisdicción de una autoridad ambiental diferente a la </w:t>
      </w:r>
      <w:r w:rsidR="001068D5" w:rsidRPr="00BD1319">
        <w:rPr>
          <w:rFonts w:cs="Arial"/>
          <w:spacing w:val="-3"/>
        </w:rPr>
        <w:t xml:space="preserve">jurisdicción </w:t>
      </w:r>
      <w:r w:rsidRPr="00BD1319">
        <w:rPr>
          <w:rFonts w:cs="Arial"/>
          <w:spacing w:val="-3"/>
        </w:rPr>
        <w:t xml:space="preserve">de la </w:t>
      </w:r>
      <w:r w:rsidR="001068D5" w:rsidRPr="00BD1319">
        <w:rPr>
          <w:rFonts w:cs="Arial"/>
          <w:spacing w:val="-3"/>
        </w:rPr>
        <w:t xml:space="preserve">autoridad </w:t>
      </w:r>
      <w:r w:rsidRPr="00BD1319">
        <w:rPr>
          <w:rFonts w:cs="Arial"/>
          <w:spacing w:val="-3"/>
        </w:rPr>
        <w:t xml:space="preserve">competente para evaluar la licencia de establecimiento del </w:t>
      </w:r>
      <w:proofErr w:type="spellStart"/>
      <w:r w:rsidRPr="00BD1319">
        <w:rPr>
          <w:rFonts w:cs="Arial"/>
          <w:spacing w:val="-3"/>
        </w:rPr>
        <w:t>zoocriadero</w:t>
      </w:r>
      <w:proofErr w:type="spellEnd"/>
      <w:r w:rsidRPr="00BD1319">
        <w:rPr>
          <w:rFonts w:cs="Arial"/>
          <w:spacing w:val="-3"/>
        </w:rPr>
        <w:t xml:space="preserve"> con fines comerciales, es necesario solicitar </w:t>
      </w:r>
      <w:r w:rsidR="0060637A" w:rsidRPr="00BD1319">
        <w:rPr>
          <w:rFonts w:cs="Arial"/>
          <w:spacing w:val="-3"/>
        </w:rPr>
        <w:t xml:space="preserve">el permiso </w:t>
      </w:r>
      <w:r w:rsidR="005369C2" w:rsidRPr="00BD1319">
        <w:rPr>
          <w:rFonts w:cs="Arial"/>
          <w:spacing w:val="-3"/>
        </w:rPr>
        <w:t xml:space="preserve">de caza de fomento </w:t>
      </w:r>
      <w:r w:rsidRPr="00BD1319">
        <w:rPr>
          <w:rFonts w:cs="Arial"/>
          <w:spacing w:val="-3"/>
        </w:rPr>
        <w:t xml:space="preserve">ante la autoridad ambiental con jurisdicción en el área de distribución del recurso </w:t>
      </w:r>
      <w:r w:rsidR="001068D5" w:rsidRPr="00BD1319">
        <w:rPr>
          <w:rFonts w:cs="Arial"/>
          <w:spacing w:val="-3"/>
        </w:rPr>
        <w:t xml:space="preserve">de forma posterior </w:t>
      </w:r>
      <w:r w:rsidRPr="00BD1319">
        <w:rPr>
          <w:rFonts w:cs="Arial"/>
          <w:spacing w:val="-3"/>
        </w:rPr>
        <w:t xml:space="preserve">a la obtención de la licencia para el establecimiento de </w:t>
      </w:r>
      <w:proofErr w:type="spellStart"/>
      <w:r w:rsidRPr="00BD1319">
        <w:rPr>
          <w:rFonts w:cs="Arial"/>
          <w:spacing w:val="-3"/>
        </w:rPr>
        <w:t>zoocriaderos</w:t>
      </w:r>
      <w:proofErr w:type="spellEnd"/>
      <w:r w:rsidRPr="00BD1319">
        <w:rPr>
          <w:rFonts w:cs="Arial"/>
          <w:spacing w:val="-3"/>
        </w:rPr>
        <w:t xml:space="preserve"> con fines comerciales.</w:t>
      </w:r>
    </w:p>
    <w:p w14:paraId="796141E3" w14:textId="77777777" w:rsidR="00C52839" w:rsidRPr="00BD1319" w:rsidRDefault="00C52839" w:rsidP="00402FB4">
      <w:pPr>
        <w:numPr>
          <w:ilvl w:val="12"/>
          <w:numId w:val="0"/>
        </w:numPr>
        <w:tabs>
          <w:tab w:val="left" w:pos="-2268"/>
        </w:tabs>
        <w:suppressAutoHyphens/>
        <w:rPr>
          <w:rFonts w:cs="Arial"/>
          <w:spacing w:val="-3"/>
        </w:rPr>
      </w:pPr>
    </w:p>
    <w:p w14:paraId="36C5373D" w14:textId="7CDF835A" w:rsidR="002555F4" w:rsidRPr="00BD1319" w:rsidRDefault="002555F4" w:rsidP="00402FB4">
      <w:pPr>
        <w:numPr>
          <w:ilvl w:val="12"/>
          <w:numId w:val="0"/>
        </w:numPr>
        <w:tabs>
          <w:tab w:val="left" w:pos="-2268"/>
        </w:tabs>
        <w:suppressAutoHyphens/>
        <w:rPr>
          <w:rFonts w:cs="Arial"/>
          <w:spacing w:val="-3"/>
        </w:rPr>
      </w:pPr>
      <w:r w:rsidRPr="00BD1319">
        <w:rPr>
          <w:rFonts w:cs="Arial"/>
          <w:spacing w:val="-3"/>
        </w:rPr>
        <w:t xml:space="preserve">En caso de requerir un permiso de caza de fomento para alguna de las especies listadas en los Apéndices CITES, se deben atender las recomendaciones de las </w:t>
      </w:r>
      <w:r w:rsidR="00EC5312" w:rsidRPr="00BD1319">
        <w:rPr>
          <w:rFonts w:cs="Arial"/>
          <w:spacing w:val="-3"/>
        </w:rPr>
        <w:t xml:space="preserve">entidades que fueron </w:t>
      </w:r>
      <w:r w:rsidRPr="00BD1319">
        <w:rPr>
          <w:rFonts w:cs="Arial"/>
          <w:spacing w:val="-3"/>
        </w:rPr>
        <w:t xml:space="preserve">designadas </w:t>
      </w:r>
      <w:r w:rsidR="00EC5312" w:rsidRPr="00BD1319">
        <w:rPr>
          <w:rFonts w:cs="Arial"/>
          <w:spacing w:val="-3"/>
        </w:rPr>
        <w:t xml:space="preserve">mediante la Resolución 1317 de 2000 como autoridades científicas de Colombia </w:t>
      </w:r>
      <w:r w:rsidRPr="00BD1319">
        <w:rPr>
          <w:rFonts w:cs="Arial"/>
          <w:spacing w:val="-3"/>
        </w:rPr>
        <w:t>ante dicha convención.</w:t>
      </w:r>
    </w:p>
    <w:p w14:paraId="58AFEC7E" w14:textId="77777777" w:rsidR="002555F4" w:rsidRPr="00BD1319" w:rsidRDefault="002555F4" w:rsidP="00402FB4">
      <w:pPr>
        <w:numPr>
          <w:ilvl w:val="12"/>
          <w:numId w:val="0"/>
        </w:numPr>
        <w:tabs>
          <w:tab w:val="left" w:pos="-2268"/>
        </w:tabs>
        <w:suppressAutoHyphens/>
        <w:rPr>
          <w:rFonts w:cs="Arial"/>
          <w:spacing w:val="-3"/>
        </w:rPr>
      </w:pPr>
    </w:p>
    <w:p w14:paraId="72FD4019" w14:textId="162ADA80" w:rsidR="00363B4C" w:rsidRPr="00BD1319" w:rsidRDefault="00EA7226" w:rsidP="00402FB4">
      <w:pPr>
        <w:numPr>
          <w:ilvl w:val="12"/>
          <w:numId w:val="0"/>
        </w:numPr>
        <w:tabs>
          <w:tab w:val="left" w:pos="-2268"/>
        </w:tabs>
        <w:suppressAutoHyphens/>
        <w:rPr>
          <w:rFonts w:cs="Arial"/>
          <w:spacing w:val="-3"/>
        </w:rPr>
      </w:pPr>
      <w:r w:rsidRPr="00BD1319">
        <w:rPr>
          <w:rFonts w:cs="Arial"/>
          <w:spacing w:val="-3"/>
        </w:rPr>
        <w:t xml:space="preserve">Para solicitar </w:t>
      </w:r>
      <w:r w:rsidR="0060637A" w:rsidRPr="00BD1319">
        <w:rPr>
          <w:rFonts w:cs="Arial"/>
          <w:spacing w:val="-3"/>
        </w:rPr>
        <w:t xml:space="preserve">el permiso </w:t>
      </w:r>
      <w:r w:rsidR="005369C2" w:rsidRPr="00BD1319">
        <w:rPr>
          <w:rFonts w:cs="Arial"/>
          <w:spacing w:val="-3"/>
        </w:rPr>
        <w:t xml:space="preserve">de caza de fomento </w:t>
      </w:r>
      <w:r w:rsidR="00F56B5D" w:rsidRPr="00BD1319">
        <w:rPr>
          <w:rFonts w:cs="Arial"/>
          <w:spacing w:val="-3"/>
        </w:rPr>
        <w:t>en el marco de un</w:t>
      </w:r>
      <w:r w:rsidR="00434497" w:rsidRPr="00BD1319">
        <w:rPr>
          <w:rFonts w:cs="Arial"/>
          <w:spacing w:val="-3"/>
        </w:rPr>
        <w:t xml:space="preserve"> EIA elaborado con el fin de obtener un</w:t>
      </w:r>
      <w:r w:rsidR="00F56B5D" w:rsidRPr="00BD1319">
        <w:rPr>
          <w:rFonts w:cs="Arial"/>
          <w:spacing w:val="-3"/>
        </w:rPr>
        <w:t xml:space="preserve">a licencia ambiental </w:t>
      </w:r>
      <w:r w:rsidR="00434497" w:rsidRPr="00BD1319">
        <w:rPr>
          <w:rFonts w:cs="Arial"/>
          <w:spacing w:val="-3"/>
        </w:rPr>
        <w:t xml:space="preserve">para </w:t>
      </w:r>
      <w:r w:rsidR="00F56B5D" w:rsidRPr="00BD1319">
        <w:rPr>
          <w:rFonts w:cs="Arial"/>
          <w:spacing w:val="-3"/>
        </w:rPr>
        <w:t xml:space="preserve">un </w:t>
      </w:r>
      <w:proofErr w:type="spellStart"/>
      <w:r w:rsidR="00F56B5D" w:rsidRPr="00BD1319">
        <w:rPr>
          <w:rFonts w:cs="Arial"/>
          <w:spacing w:val="-3"/>
        </w:rPr>
        <w:t>zoocriadero</w:t>
      </w:r>
      <w:proofErr w:type="spellEnd"/>
      <w:r w:rsidR="00F56B5D" w:rsidRPr="00BD1319">
        <w:rPr>
          <w:rFonts w:cs="Arial"/>
          <w:spacing w:val="-3"/>
        </w:rPr>
        <w:t xml:space="preserve">, </w:t>
      </w:r>
      <w:r w:rsidRPr="00BD1319">
        <w:rPr>
          <w:rFonts w:cs="Arial"/>
          <w:spacing w:val="-3"/>
        </w:rPr>
        <w:t>se debe</w:t>
      </w:r>
      <w:r w:rsidR="00A11F0C" w:rsidRPr="00BD1319">
        <w:rPr>
          <w:rFonts w:cs="Arial"/>
          <w:spacing w:val="-3"/>
        </w:rPr>
        <w:t>n realizar las siguientes actividades</w:t>
      </w:r>
      <w:r w:rsidRPr="00BD1319">
        <w:rPr>
          <w:rFonts w:cs="Arial"/>
          <w:spacing w:val="-3"/>
        </w:rPr>
        <w:t>:</w:t>
      </w:r>
    </w:p>
    <w:p w14:paraId="0D939DAF" w14:textId="4403C2F8" w:rsidR="00CB0B9E" w:rsidRPr="00BD1319" w:rsidRDefault="00CB0B9E" w:rsidP="00434497">
      <w:pPr>
        <w:tabs>
          <w:tab w:val="left" w:pos="-2268"/>
        </w:tabs>
        <w:suppressAutoHyphens/>
        <w:rPr>
          <w:spacing w:val="-3"/>
        </w:rPr>
      </w:pPr>
    </w:p>
    <w:p w14:paraId="32092D58" w14:textId="2DC95635" w:rsidR="00434497" w:rsidRPr="00BD1319" w:rsidRDefault="0079660E" w:rsidP="000D6E21">
      <w:pPr>
        <w:pStyle w:val="Ttulo3"/>
      </w:pPr>
      <w:bookmarkStart w:id="3148" w:name="_Toc175326793"/>
      <w:r w:rsidRPr="00BD1319">
        <w:t>Caracterización del área donde se pretende llevar a cabo la caza de fomento</w:t>
      </w:r>
      <w:bookmarkEnd w:id="3148"/>
    </w:p>
    <w:p w14:paraId="251D5E50" w14:textId="77777777" w:rsidR="00434497" w:rsidRPr="00BD1319" w:rsidRDefault="00434497" w:rsidP="000D6E21">
      <w:pPr>
        <w:rPr>
          <w:spacing w:val="-3"/>
        </w:rPr>
      </w:pPr>
    </w:p>
    <w:p w14:paraId="17F57B4A" w14:textId="16B6B34A" w:rsidR="0079660E" w:rsidRPr="00BD1319" w:rsidRDefault="002D248F" w:rsidP="000D6E21">
      <w:pPr>
        <w:pStyle w:val="Prrafodelista"/>
        <w:tabs>
          <w:tab w:val="left" w:pos="-2268"/>
        </w:tabs>
        <w:suppressAutoHyphens/>
        <w:ind w:left="0"/>
        <w:rPr>
          <w:spacing w:val="-3"/>
        </w:rPr>
      </w:pPr>
      <w:r w:rsidRPr="00BD1319">
        <w:rPr>
          <w:spacing w:val="-3"/>
        </w:rPr>
        <w:t xml:space="preserve">Adicional a la información señalada en el numeral de caracterización ambiental, es necesario </w:t>
      </w:r>
      <w:r w:rsidR="0079660E" w:rsidRPr="00BD1319">
        <w:rPr>
          <w:spacing w:val="-3"/>
        </w:rPr>
        <w:t xml:space="preserve">describir las principales amenazas a las especies objeto de caza en las áreas </w:t>
      </w:r>
      <w:r w:rsidR="0079660E" w:rsidRPr="00BD1319">
        <w:rPr>
          <w:spacing w:val="-3"/>
        </w:rPr>
        <w:lastRenderedPageBreak/>
        <w:t xml:space="preserve">seleccionadas, en especial las señaladas en los reportes de tráfico ilegal de especies generados por las autoridades ambientales regionales. Asimismo, se debe </w:t>
      </w:r>
      <w:r w:rsidRPr="00BD1319">
        <w:rPr>
          <w:spacing w:val="-3"/>
        </w:rPr>
        <w:t xml:space="preserve">mencionar cuán cerca se prevé ejecutar </w:t>
      </w:r>
      <w:r w:rsidR="0079660E" w:rsidRPr="00BD1319">
        <w:rPr>
          <w:spacing w:val="-3"/>
        </w:rPr>
        <w:t xml:space="preserve">las actividades de caza de fomento </w:t>
      </w:r>
      <w:r w:rsidRPr="00BD1319">
        <w:rPr>
          <w:spacing w:val="-3"/>
        </w:rPr>
        <w:t xml:space="preserve">de </w:t>
      </w:r>
      <w:r w:rsidR="0079660E" w:rsidRPr="00BD1319">
        <w:rPr>
          <w:spacing w:val="-3"/>
        </w:rPr>
        <w:t xml:space="preserve">las Áreas Ambientales Estratégicas (AAE) señaladas en el numeral </w:t>
      </w:r>
      <w:r w:rsidR="00F6719F" w:rsidRPr="00BD1319">
        <w:rPr>
          <w:spacing w:val="-3"/>
        </w:rPr>
        <w:fldChar w:fldCharType="begin"/>
      </w:r>
      <w:r w:rsidR="00F6719F" w:rsidRPr="00BD1319">
        <w:rPr>
          <w:spacing w:val="-3"/>
        </w:rPr>
        <w:instrText xml:space="preserve"> REF _Ref161735715 \r \h </w:instrText>
      </w:r>
      <w:r w:rsidR="00BD1319">
        <w:rPr>
          <w:spacing w:val="-3"/>
        </w:rPr>
        <w:instrText xml:space="preserve"> \* MERGEFORMAT </w:instrText>
      </w:r>
      <w:r w:rsidR="00F6719F" w:rsidRPr="00BD1319">
        <w:rPr>
          <w:spacing w:val="-3"/>
        </w:rPr>
      </w:r>
      <w:r w:rsidR="00F6719F" w:rsidRPr="00BD1319">
        <w:rPr>
          <w:spacing w:val="-3"/>
        </w:rPr>
        <w:fldChar w:fldCharType="separate"/>
      </w:r>
      <w:r w:rsidR="00296654" w:rsidRPr="00BD1319">
        <w:rPr>
          <w:spacing w:val="-3"/>
        </w:rPr>
        <w:t>4.2.4</w:t>
      </w:r>
      <w:r w:rsidR="00F6719F" w:rsidRPr="00BD1319">
        <w:rPr>
          <w:spacing w:val="-3"/>
        </w:rPr>
        <w:fldChar w:fldCharType="end"/>
      </w:r>
      <w:r w:rsidR="0079660E" w:rsidRPr="00BD1319">
        <w:rPr>
          <w:spacing w:val="-3"/>
        </w:rPr>
        <w:t xml:space="preserve"> de este capítulo</w:t>
      </w:r>
      <w:r w:rsidRPr="00BD1319">
        <w:rPr>
          <w:spacing w:val="-3"/>
        </w:rPr>
        <w:t xml:space="preserve"> o, si en efecto, se plantea desarrollarlas al interior de éstas</w:t>
      </w:r>
      <w:r w:rsidR="0079660E" w:rsidRPr="00BD1319">
        <w:rPr>
          <w:spacing w:val="-3"/>
        </w:rPr>
        <w:t>.</w:t>
      </w:r>
    </w:p>
    <w:p w14:paraId="2F231997" w14:textId="77777777" w:rsidR="0079660E" w:rsidRPr="00BD1319" w:rsidRDefault="0079660E">
      <w:pPr>
        <w:tabs>
          <w:tab w:val="left" w:pos="-2268"/>
        </w:tabs>
        <w:suppressAutoHyphens/>
        <w:rPr>
          <w:spacing w:val="-3"/>
          <w:lang w:val="es-ES_tradnl"/>
        </w:rPr>
      </w:pPr>
    </w:p>
    <w:p w14:paraId="5249C367" w14:textId="7686672A" w:rsidR="00DD6627" w:rsidRPr="00BD1319" w:rsidRDefault="00DD6627" w:rsidP="000D6E21">
      <w:pPr>
        <w:pStyle w:val="Ttulo3"/>
      </w:pPr>
      <w:bookmarkStart w:id="3149" w:name="_Toc175326794"/>
      <w:r w:rsidRPr="00BD1319">
        <w:t xml:space="preserve">Recopilación de información </w:t>
      </w:r>
      <w:r w:rsidR="00A11F0C" w:rsidRPr="00BD1319">
        <w:t xml:space="preserve">actual </w:t>
      </w:r>
      <w:r w:rsidRPr="00BD1319">
        <w:t xml:space="preserve">sobre </w:t>
      </w:r>
      <w:r w:rsidR="00A11F0C" w:rsidRPr="00BD1319">
        <w:t>las poblaciones naturales en el país</w:t>
      </w:r>
      <w:bookmarkEnd w:id="3149"/>
    </w:p>
    <w:p w14:paraId="49383468" w14:textId="77777777" w:rsidR="00DD6627" w:rsidRPr="00BD1319" w:rsidRDefault="00DD6627" w:rsidP="000D6E21">
      <w:pPr>
        <w:tabs>
          <w:tab w:val="left" w:pos="-2268"/>
        </w:tabs>
        <w:suppressAutoHyphens/>
        <w:rPr>
          <w:spacing w:val="-3"/>
        </w:rPr>
      </w:pPr>
    </w:p>
    <w:p w14:paraId="37A1EE84" w14:textId="51E3825E" w:rsidR="00A11F0C" w:rsidRPr="00BD1319" w:rsidRDefault="00DD6627" w:rsidP="000D6E21">
      <w:pPr>
        <w:pStyle w:val="Prrafodelista"/>
        <w:tabs>
          <w:tab w:val="left" w:pos="-2268"/>
        </w:tabs>
        <w:suppressAutoHyphens/>
        <w:ind w:left="0"/>
        <w:rPr>
          <w:spacing w:val="-3"/>
        </w:rPr>
      </w:pPr>
      <w:r w:rsidRPr="00BD1319">
        <w:rPr>
          <w:spacing w:val="-3"/>
        </w:rPr>
        <w:t xml:space="preserve">Se debe recopilar la siguiente información a partir de fuentes </w:t>
      </w:r>
      <w:r w:rsidR="00EA7DB9" w:rsidRPr="00BD1319">
        <w:rPr>
          <w:spacing w:val="-3"/>
        </w:rPr>
        <w:t xml:space="preserve">disponibles </w:t>
      </w:r>
      <w:r w:rsidRPr="00BD1319">
        <w:rPr>
          <w:spacing w:val="-3"/>
        </w:rPr>
        <w:t>como revistas científicas, publicaciones de centros o institutos de investigación, estudios académicos</w:t>
      </w:r>
      <w:r w:rsidR="00DB1603" w:rsidRPr="00BD1319">
        <w:rPr>
          <w:spacing w:val="-3"/>
        </w:rPr>
        <w:t xml:space="preserve"> o</w:t>
      </w:r>
      <w:r w:rsidRPr="00BD1319">
        <w:rPr>
          <w:spacing w:val="-3"/>
        </w:rPr>
        <w:t xml:space="preserve"> bases de datos especializadas:</w:t>
      </w:r>
    </w:p>
    <w:p w14:paraId="5A481624" w14:textId="77777777" w:rsidR="00A11F0C" w:rsidRPr="00BD1319" w:rsidRDefault="00A11F0C" w:rsidP="000D6E21">
      <w:pPr>
        <w:rPr>
          <w:spacing w:val="-3"/>
        </w:rPr>
      </w:pPr>
    </w:p>
    <w:p w14:paraId="1A865B44" w14:textId="7939421E" w:rsidR="00A11F0C" w:rsidRPr="00BD1319" w:rsidRDefault="00DD6627" w:rsidP="000D6E21">
      <w:pPr>
        <w:pStyle w:val="Prrafodelista"/>
        <w:numPr>
          <w:ilvl w:val="0"/>
          <w:numId w:val="5"/>
        </w:numPr>
        <w:tabs>
          <w:tab w:val="left" w:pos="-2268"/>
        </w:tabs>
        <w:suppressAutoHyphens/>
        <w:ind w:left="567" w:hanging="567"/>
        <w:rPr>
          <w:spacing w:val="-3"/>
        </w:rPr>
      </w:pPr>
      <w:r w:rsidRPr="00BD1319">
        <w:rPr>
          <w:spacing w:val="-3"/>
          <w:lang w:val="es-CO"/>
        </w:rPr>
        <w:t>B</w:t>
      </w:r>
      <w:r w:rsidR="00A11F0C" w:rsidRPr="00BD1319">
        <w:rPr>
          <w:spacing w:val="-3"/>
          <w:lang w:val="es-CO"/>
        </w:rPr>
        <w:t>iología de la</w:t>
      </w:r>
      <w:r w:rsidRPr="00BD1319">
        <w:rPr>
          <w:spacing w:val="-3"/>
          <w:lang w:val="es-CO"/>
        </w:rPr>
        <w:t>s</w:t>
      </w:r>
      <w:r w:rsidR="00A11F0C" w:rsidRPr="00BD1319">
        <w:rPr>
          <w:spacing w:val="-3"/>
          <w:lang w:val="es-CO"/>
        </w:rPr>
        <w:t xml:space="preserve"> especie</w:t>
      </w:r>
      <w:r w:rsidRPr="00BD1319">
        <w:rPr>
          <w:spacing w:val="-3"/>
          <w:lang w:val="es-CO"/>
        </w:rPr>
        <w:t>s</w:t>
      </w:r>
      <w:r w:rsidR="00A11F0C" w:rsidRPr="00BD1319">
        <w:rPr>
          <w:spacing w:val="-3"/>
          <w:lang w:val="es-CO"/>
        </w:rPr>
        <w:t xml:space="preserve"> </w:t>
      </w:r>
      <w:r w:rsidRPr="00BD1319">
        <w:rPr>
          <w:spacing w:val="-3"/>
          <w:lang w:val="es-CO"/>
        </w:rPr>
        <w:t>respecto de sus</w:t>
      </w:r>
      <w:r w:rsidR="00A11F0C" w:rsidRPr="00BD1319">
        <w:rPr>
          <w:spacing w:val="-3"/>
          <w:lang w:val="es-CO"/>
        </w:rPr>
        <w:t xml:space="preserve"> estrategias reproductivas, tasas de crecimiento y natalidad y comportamientos sexuales.</w:t>
      </w:r>
    </w:p>
    <w:p w14:paraId="646DBE25" w14:textId="77777777" w:rsidR="00A11F0C" w:rsidRPr="00BD1319" w:rsidRDefault="00A11F0C" w:rsidP="000D6E21">
      <w:pPr>
        <w:tabs>
          <w:tab w:val="left" w:pos="-2268"/>
        </w:tabs>
        <w:suppressAutoHyphens/>
        <w:rPr>
          <w:spacing w:val="-3"/>
        </w:rPr>
      </w:pPr>
    </w:p>
    <w:p w14:paraId="2F6800AB" w14:textId="78547E4F" w:rsidR="00A11F0C" w:rsidRPr="00BD1319" w:rsidRDefault="00DD6627" w:rsidP="000D6E21">
      <w:pPr>
        <w:pStyle w:val="Prrafodelista"/>
        <w:numPr>
          <w:ilvl w:val="0"/>
          <w:numId w:val="5"/>
        </w:numPr>
        <w:tabs>
          <w:tab w:val="left" w:pos="-2268"/>
        </w:tabs>
        <w:suppressAutoHyphens/>
        <w:ind w:left="567" w:hanging="567"/>
        <w:rPr>
          <w:spacing w:val="-3"/>
        </w:rPr>
      </w:pPr>
      <w:r w:rsidRPr="00BD1319">
        <w:rPr>
          <w:spacing w:val="-3"/>
          <w:lang w:val="es-CO"/>
        </w:rPr>
        <w:t>E</w:t>
      </w:r>
      <w:r w:rsidR="00A11F0C" w:rsidRPr="00BD1319">
        <w:rPr>
          <w:spacing w:val="-3"/>
          <w:lang w:val="es-CO"/>
        </w:rPr>
        <w:t>cología de la</w:t>
      </w:r>
      <w:r w:rsidRPr="00BD1319">
        <w:rPr>
          <w:spacing w:val="-3"/>
          <w:lang w:val="es-CO"/>
        </w:rPr>
        <w:t>s</w:t>
      </w:r>
      <w:r w:rsidR="00A11F0C" w:rsidRPr="00BD1319">
        <w:rPr>
          <w:spacing w:val="-3"/>
          <w:lang w:val="es-CO"/>
        </w:rPr>
        <w:t xml:space="preserve"> especie</w:t>
      </w:r>
      <w:r w:rsidRPr="00BD1319">
        <w:rPr>
          <w:spacing w:val="-3"/>
          <w:lang w:val="es-CO"/>
        </w:rPr>
        <w:t>s</w:t>
      </w:r>
      <w:r w:rsidR="00A11F0C" w:rsidRPr="00BD1319">
        <w:rPr>
          <w:spacing w:val="-3"/>
          <w:lang w:val="es-CO"/>
        </w:rPr>
        <w:t xml:space="preserve"> </w:t>
      </w:r>
      <w:r w:rsidRPr="00BD1319">
        <w:rPr>
          <w:spacing w:val="-3"/>
          <w:lang w:val="es-CO"/>
        </w:rPr>
        <w:t xml:space="preserve">respecto </w:t>
      </w:r>
      <w:r w:rsidR="00F85E87" w:rsidRPr="00BD1319">
        <w:rPr>
          <w:spacing w:val="-3"/>
          <w:lang w:val="es-CO"/>
        </w:rPr>
        <w:t>de</w:t>
      </w:r>
      <w:r w:rsidR="00A11F0C" w:rsidRPr="00BD1319">
        <w:rPr>
          <w:spacing w:val="-3"/>
          <w:lang w:val="es-CO"/>
        </w:rPr>
        <w:t xml:space="preserve"> la estructura, dinámica y estado</w:t>
      </w:r>
      <w:r w:rsidR="00EA7DB9" w:rsidRPr="00BD1319">
        <w:rPr>
          <w:spacing w:val="-3"/>
          <w:lang w:val="es-CO"/>
        </w:rPr>
        <w:t xml:space="preserve"> de sus poblaciones</w:t>
      </w:r>
      <w:r w:rsidR="00A11F0C" w:rsidRPr="00BD1319">
        <w:rPr>
          <w:spacing w:val="-3"/>
          <w:lang w:val="es-CO"/>
        </w:rPr>
        <w:t>.</w:t>
      </w:r>
    </w:p>
    <w:p w14:paraId="48DFAC9D" w14:textId="77777777" w:rsidR="00A11F0C" w:rsidRPr="00BD1319" w:rsidRDefault="00A11F0C" w:rsidP="000D6E21">
      <w:pPr>
        <w:tabs>
          <w:tab w:val="left" w:pos="-2268"/>
        </w:tabs>
        <w:suppressAutoHyphens/>
        <w:rPr>
          <w:spacing w:val="-3"/>
        </w:rPr>
      </w:pPr>
    </w:p>
    <w:p w14:paraId="43EE661B" w14:textId="4B2A3DDF" w:rsidR="00A11F0C" w:rsidRPr="00BD1319" w:rsidRDefault="00EA7DB9" w:rsidP="000D6E21">
      <w:pPr>
        <w:pStyle w:val="Prrafodelista"/>
        <w:numPr>
          <w:ilvl w:val="0"/>
          <w:numId w:val="5"/>
        </w:numPr>
        <w:tabs>
          <w:tab w:val="left" w:pos="-2268"/>
        </w:tabs>
        <w:suppressAutoHyphens/>
        <w:ind w:left="567" w:hanging="567"/>
        <w:rPr>
          <w:spacing w:val="-3"/>
        </w:rPr>
      </w:pPr>
      <w:r w:rsidRPr="00BD1319">
        <w:rPr>
          <w:spacing w:val="-3"/>
          <w:lang w:val="es-CO"/>
        </w:rPr>
        <w:t>V</w:t>
      </w:r>
      <w:r w:rsidR="00A11F0C" w:rsidRPr="00BD1319">
        <w:rPr>
          <w:spacing w:val="-3"/>
          <w:lang w:val="es-CO"/>
        </w:rPr>
        <w:t>ariables y parámetros ecológicos reportados para las especies (</w:t>
      </w:r>
      <w:r w:rsidRPr="00BD1319">
        <w:rPr>
          <w:spacing w:val="-3"/>
          <w:lang w:val="es-CO"/>
        </w:rPr>
        <w:t xml:space="preserve">p. ej. </w:t>
      </w:r>
      <w:r w:rsidR="00A11F0C" w:rsidRPr="00BD1319">
        <w:rPr>
          <w:spacing w:val="-3"/>
          <w:lang w:val="es-CO"/>
        </w:rPr>
        <w:t>frecuencias absolutas y relativas, proporción sexual, población de inmaduros).</w:t>
      </w:r>
    </w:p>
    <w:p w14:paraId="6CD3EB10" w14:textId="77777777" w:rsidR="00A11F0C" w:rsidRPr="00BD1319" w:rsidRDefault="00A11F0C" w:rsidP="000D6E21">
      <w:pPr>
        <w:tabs>
          <w:tab w:val="left" w:pos="-2268"/>
        </w:tabs>
        <w:suppressAutoHyphens/>
        <w:rPr>
          <w:spacing w:val="-3"/>
        </w:rPr>
      </w:pPr>
    </w:p>
    <w:p w14:paraId="2BCFE650" w14:textId="076305F0" w:rsidR="00A11F0C" w:rsidRPr="00BD1319" w:rsidRDefault="00EA7DB9" w:rsidP="000D6E21">
      <w:pPr>
        <w:pStyle w:val="Prrafodelista"/>
        <w:numPr>
          <w:ilvl w:val="0"/>
          <w:numId w:val="5"/>
        </w:numPr>
        <w:tabs>
          <w:tab w:val="left" w:pos="-2268"/>
        </w:tabs>
        <w:suppressAutoHyphens/>
        <w:ind w:left="567" w:hanging="567"/>
        <w:rPr>
          <w:spacing w:val="-3"/>
        </w:rPr>
      </w:pPr>
      <w:r w:rsidRPr="00BD1319">
        <w:rPr>
          <w:spacing w:val="-3"/>
          <w:lang w:val="es-CO"/>
        </w:rPr>
        <w:t>C</w:t>
      </w:r>
      <w:r w:rsidR="00A11F0C" w:rsidRPr="00BD1319">
        <w:rPr>
          <w:spacing w:val="-3"/>
          <w:lang w:val="es-CO"/>
        </w:rPr>
        <w:t>aracterizaci</w:t>
      </w:r>
      <w:r w:rsidRPr="00BD1319">
        <w:rPr>
          <w:spacing w:val="-3"/>
          <w:lang w:val="es-CO"/>
        </w:rPr>
        <w:t xml:space="preserve">ones </w:t>
      </w:r>
      <w:r w:rsidR="00A11F0C" w:rsidRPr="00BD1319">
        <w:rPr>
          <w:spacing w:val="-3"/>
          <w:lang w:val="es-CO"/>
        </w:rPr>
        <w:t>taxonómica</w:t>
      </w:r>
      <w:r w:rsidRPr="00BD1319">
        <w:rPr>
          <w:spacing w:val="-3"/>
          <w:lang w:val="es-CO"/>
        </w:rPr>
        <w:t>s</w:t>
      </w:r>
      <w:r w:rsidR="00A11F0C" w:rsidRPr="00BD1319">
        <w:rPr>
          <w:spacing w:val="-3"/>
          <w:lang w:val="es-CO"/>
        </w:rPr>
        <w:t xml:space="preserve"> </w:t>
      </w:r>
      <w:r w:rsidR="00F85E87" w:rsidRPr="00BD1319">
        <w:rPr>
          <w:spacing w:val="-3"/>
          <w:lang w:val="es-CO"/>
        </w:rPr>
        <w:t xml:space="preserve">del </w:t>
      </w:r>
      <w:r w:rsidRPr="00BD1319">
        <w:rPr>
          <w:spacing w:val="-3"/>
          <w:lang w:val="es-CO"/>
        </w:rPr>
        <w:t xml:space="preserve">mayor detalle taxonómico posible </w:t>
      </w:r>
      <w:r w:rsidR="00F85E87" w:rsidRPr="00BD1319">
        <w:rPr>
          <w:spacing w:val="-3"/>
          <w:lang w:val="es-CO"/>
        </w:rPr>
        <w:t xml:space="preserve">que permitan </w:t>
      </w:r>
      <w:r w:rsidRPr="00BD1319">
        <w:rPr>
          <w:spacing w:val="-3"/>
          <w:lang w:val="es-CO"/>
        </w:rPr>
        <w:t xml:space="preserve">determinar </w:t>
      </w:r>
      <w:r w:rsidR="00A11F0C" w:rsidRPr="00BD1319">
        <w:rPr>
          <w:spacing w:val="-3"/>
          <w:lang w:val="es-CO"/>
        </w:rPr>
        <w:t>complejos de especies o subespecies.</w:t>
      </w:r>
    </w:p>
    <w:p w14:paraId="0BC5A773" w14:textId="77777777" w:rsidR="00B67706" w:rsidRPr="00BD1319" w:rsidRDefault="00B67706" w:rsidP="000D6E21">
      <w:pPr>
        <w:rPr>
          <w:spacing w:val="-3"/>
        </w:rPr>
      </w:pPr>
    </w:p>
    <w:p w14:paraId="64EBA363" w14:textId="10486DFD" w:rsidR="00CB0B9E" w:rsidRPr="00BD1319" w:rsidRDefault="00F97215" w:rsidP="000D6E21">
      <w:pPr>
        <w:pStyle w:val="Ttulo3"/>
      </w:pPr>
      <w:bookmarkStart w:id="3150" w:name="_Toc175326795"/>
      <w:r w:rsidRPr="00BD1319">
        <w:t>E</w:t>
      </w:r>
      <w:r w:rsidR="00DB1603" w:rsidRPr="00BD1319">
        <w:t>laboración del e</w:t>
      </w:r>
      <w:r w:rsidR="00CB0B9E" w:rsidRPr="00BD1319">
        <w:t xml:space="preserve">studio </w:t>
      </w:r>
      <w:r w:rsidR="000509FD" w:rsidRPr="00BD1319">
        <w:t>para determinar la viabilidad biológica de la caza de fomento</w:t>
      </w:r>
      <w:bookmarkEnd w:id="3150"/>
    </w:p>
    <w:p w14:paraId="1B65E3D8" w14:textId="77777777" w:rsidR="000F37A5" w:rsidRPr="00BD1319" w:rsidRDefault="000F37A5" w:rsidP="000D6E21">
      <w:pPr>
        <w:rPr>
          <w:spacing w:val="-3"/>
        </w:rPr>
      </w:pPr>
    </w:p>
    <w:p w14:paraId="655CEECF" w14:textId="6A2C2E5C" w:rsidR="00DD6627" w:rsidRPr="00BD1319" w:rsidRDefault="00DB1603" w:rsidP="000D6E21">
      <w:pPr>
        <w:pStyle w:val="Prrafodelista"/>
        <w:tabs>
          <w:tab w:val="left" w:pos="-2268"/>
        </w:tabs>
        <w:suppressAutoHyphens/>
        <w:ind w:left="0"/>
        <w:rPr>
          <w:spacing w:val="-3"/>
        </w:rPr>
      </w:pPr>
      <w:r w:rsidRPr="00BD1319">
        <w:rPr>
          <w:spacing w:val="-3"/>
        </w:rPr>
        <w:t xml:space="preserve">Para elaborar este </w:t>
      </w:r>
      <w:r w:rsidR="000F37A5" w:rsidRPr="00BD1319">
        <w:rPr>
          <w:spacing w:val="-3"/>
        </w:rPr>
        <w:t xml:space="preserve">estudio </w:t>
      </w:r>
      <w:r w:rsidRPr="00BD1319">
        <w:rPr>
          <w:spacing w:val="-3"/>
        </w:rPr>
        <w:t xml:space="preserve">se </w:t>
      </w:r>
      <w:r w:rsidR="000F37A5" w:rsidRPr="00BD1319">
        <w:rPr>
          <w:spacing w:val="-3"/>
        </w:rPr>
        <w:t>debe</w:t>
      </w:r>
      <w:r w:rsidRPr="00BD1319">
        <w:rPr>
          <w:spacing w:val="-3"/>
        </w:rPr>
        <w:t>n</w:t>
      </w:r>
      <w:r w:rsidR="000F37A5" w:rsidRPr="00BD1319">
        <w:rPr>
          <w:spacing w:val="-3"/>
        </w:rPr>
        <w:t xml:space="preserve"> </w:t>
      </w:r>
      <w:r w:rsidR="007A4185" w:rsidRPr="00BD1319">
        <w:rPr>
          <w:spacing w:val="-3"/>
        </w:rPr>
        <w:t xml:space="preserve">desarrollar </w:t>
      </w:r>
      <w:r w:rsidR="00221904" w:rsidRPr="00BD1319">
        <w:rPr>
          <w:spacing w:val="-3"/>
        </w:rPr>
        <w:t xml:space="preserve">los </w:t>
      </w:r>
      <w:r w:rsidR="007A4185" w:rsidRPr="00BD1319">
        <w:rPr>
          <w:spacing w:val="-3"/>
        </w:rPr>
        <w:t xml:space="preserve">contenidos que </w:t>
      </w:r>
      <w:r w:rsidR="00221904" w:rsidRPr="00BD1319">
        <w:rPr>
          <w:spacing w:val="-3"/>
        </w:rPr>
        <w:t>se señalan a continuación</w:t>
      </w:r>
      <w:r w:rsidRPr="00BD1319">
        <w:rPr>
          <w:spacing w:val="-3"/>
        </w:rPr>
        <w:t>,</w:t>
      </w:r>
      <w:r w:rsidR="00221904" w:rsidRPr="00BD1319">
        <w:rPr>
          <w:spacing w:val="-3"/>
        </w:rPr>
        <w:t xml:space="preserve"> </w:t>
      </w:r>
      <w:r w:rsidR="000F37A5" w:rsidRPr="00BD1319">
        <w:rPr>
          <w:spacing w:val="-3"/>
        </w:rPr>
        <w:t xml:space="preserve">empleando información </w:t>
      </w:r>
      <w:r w:rsidRPr="00BD1319">
        <w:rPr>
          <w:spacing w:val="-3"/>
        </w:rPr>
        <w:t xml:space="preserve">primaria y secundaria </w:t>
      </w:r>
      <w:r w:rsidR="000F37A5" w:rsidRPr="00BD1319">
        <w:rPr>
          <w:spacing w:val="-3"/>
        </w:rPr>
        <w:t>de al menos dos épocas climáticas y una réplica de éstas</w:t>
      </w:r>
      <w:r w:rsidR="00221904" w:rsidRPr="00BD1319">
        <w:rPr>
          <w:spacing w:val="-3"/>
        </w:rPr>
        <w:t xml:space="preserve">, </w:t>
      </w:r>
      <w:r w:rsidR="000F37A5" w:rsidRPr="00BD1319">
        <w:rPr>
          <w:spacing w:val="-3"/>
        </w:rPr>
        <w:t xml:space="preserve">a fin de contar con datos poblacionales suficientes y ajustados a </w:t>
      </w:r>
      <w:r w:rsidR="00221904" w:rsidRPr="00BD1319">
        <w:rPr>
          <w:spacing w:val="-3"/>
        </w:rPr>
        <w:t xml:space="preserve">la </w:t>
      </w:r>
      <w:r w:rsidR="000F37A5" w:rsidRPr="00BD1319">
        <w:rPr>
          <w:spacing w:val="-3"/>
        </w:rPr>
        <w:t>realidad espaciotemporal</w:t>
      </w:r>
      <w:r w:rsidR="00221904" w:rsidRPr="00BD1319">
        <w:rPr>
          <w:spacing w:val="-3"/>
        </w:rPr>
        <w:t xml:space="preserve"> de las poblaciones de las especies objeto de caza</w:t>
      </w:r>
      <w:r w:rsidR="000F37A5" w:rsidRPr="00BD1319">
        <w:rPr>
          <w:spacing w:val="-3"/>
        </w:rPr>
        <w:t>.</w:t>
      </w:r>
      <w:r w:rsidRPr="00BD1319">
        <w:rPr>
          <w:spacing w:val="-3"/>
        </w:rPr>
        <w:t xml:space="preserve"> Es importante señalar que esta información también puede ser </w:t>
      </w:r>
      <w:r w:rsidR="007A4185" w:rsidRPr="00BD1319">
        <w:rPr>
          <w:spacing w:val="-3"/>
        </w:rPr>
        <w:t xml:space="preserve">complementada con </w:t>
      </w:r>
      <w:r w:rsidRPr="00BD1319">
        <w:rPr>
          <w:spacing w:val="-3"/>
        </w:rPr>
        <w:t xml:space="preserve">los </w:t>
      </w:r>
      <w:r w:rsidR="007A4185" w:rsidRPr="00BD1319">
        <w:rPr>
          <w:spacing w:val="-3"/>
        </w:rPr>
        <w:t xml:space="preserve">aportes que surjan de los </w:t>
      </w:r>
      <w:r w:rsidR="00DD6627" w:rsidRPr="00BD1319">
        <w:rPr>
          <w:spacing w:val="-3"/>
        </w:rPr>
        <w:t>espacios de participación</w:t>
      </w:r>
      <w:r w:rsidRPr="00BD1319">
        <w:rPr>
          <w:spacing w:val="-3"/>
        </w:rPr>
        <w:t xml:space="preserve"> ejecutados con los grupos de interés.</w:t>
      </w:r>
    </w:p>
    <w:p w14:paraId="190F0B77" w14:textId="002E8F0A" w:rsidR="00CB0B9E" w:rsidRPr="00BD1319" w:rsidRDefault="00CB0B9E" w:rsidP="00FC4B25">
      <w:pPr>
        <w:tabs>
          <w:tab w:val="left" w:pos="-2268"/>
        </w:tabs>
        <w:suppressAutoHyphens/>
        <w:rPr>
          <w:iCs/>
          <w:spacing w:val="-3"/>
        </w:rPr>
      </w:pPr>
    </w:p>
    <w:p w14:paraId="157CD407" w14:textId="2355AC22" w:rsidR="00776615" w:rsidRPr="00BD1319" w:rsidRDefault="00776615" w:rsidP="000D6E21">
      <w:pPr>
        <w:pStyle w:val="Prrafodelista"/>
        <w:numPr>
          <w:ilvl w:val="0"/>
          <w:numId w:val="5"/>
        </w:numPr>
        <w:tabs>
          <w:tab w:val="left" w:pos="-2268"/>
        </w:tabs>
        <w:suppressAutoHyphens/>
        <w:ind w:left="567" w:hanging="567"/>
        <w:rPr>
          <w:spacing w:val="-3"/>
        </w:rPr>
      </w:pPr>
      <w:r w:rsidRPr="00BD1319">
        <w:rPr>
          <w:spacing w:val="-3"/>
          <w:lang w:val="es-CO"/>
        </w:rPr>
        <w:t xml:space="preserve">Información sobre </w:t>
      </w:r>
      <w:r w:rsidR="006A74A3" w:rsidRPr="00BD1319">
        <w:rPr>
          <w:spacing w:val="-3"/>
          <w:lang w:val="es-CO"/>
        </w:rPr>
        <w:t xml:space="preserve">la </w:t>
      </w:r>
      <w:r w:rsidRPr="00BD1319">
        <w:rPr>
          <w:spacing w:val="-3"/>
          <w:lang w:val="es-CO"/>
        </w:rPr>
        <w:t xml:space="preserve">biología de las especies </w:t>
      </w:r>
      <w:r w:rsidR="006A74A3" w:rsidRPr="00BD1319">
        <w:rPr>
          <w:spacing w:val="-3"/>
          <w:lang w:val="es-CO"/>
        </w:rPr>
        <w:t xml:space="preserve">respecto de </w:t>
      </w:r>
      <w:r w:rsidRPr="00BD1319">
        <w:rPr>
          <w:spacing w:val="-3"/>
          <w:lang w:val="es-CO"/>
        </w:rPr>
        <w:t>sus ciclos de vida y comportamientos sexuales.</w:t>
      </w:r>
    </w:p>
    <w:p w14:paraId="70DED0C1" w14:textId="77777777" w:rsidR="00776615" w:rsidRPr="00BD1319" w:rsidRDefault="00776615" w:rsidP="00776615">
      <w:pPr>
        <w:tabs>
          <w:tab w:val="left" w:pos="-2268"/>
        </w:tabs>
        <w:suppressAutoHyphens/>
        <w:rPr>
          <w:iCs/>
          <w:spacing w:val="-3"/>
        </w:rPr>
      </w:pPr>
    </w:p>
    <w:p w14:paraId="2EFB6F81" w14:textId="62AF5FF1" w:rsidR="00776615" w:rsidRPr="00BD1319" w:rsidRDefault="00776615" w:rsidP="000D6E21">
      <w:pPr>
        <w:numPr>
          <w:ilvl w:val="1"/>
          <w:numId w:val="40"/>
        </w:numPr>
        <w:tabs>
          <w:tab w:val="left" w:pos="-2268"/>
        </w:tabs>
        <w:suppressAutoHyphens/>
        <w:ind w:left="1134" w:hanging="567"/>
        <w:rPr>
          <w:iCs/>
          <w:spacing w:val="-3"/>
        </w:rPr>
      </w:pPr>
      <w:r w:rsidRPr="00BD1319">
        <w:rPr>
          <w:iCs/>
          <w:spacing w:val="-3"/>
        </w:rPr>
        <w:t>Duración fases del ciclo de vida.</w:t>
      </w:r>
    </w:p>
    <w:p w14:paraId="64044F3F" w14:textId="77777777" w:rsidR="006A74A3" w:rsidRPr="00BD1319" w:rsidRDefault="006A74A3" w:rsidP="007B763A">
      <w:pPr>
        <w:tabs>
          <w:tab w:val="left" w:pos="-2268"/>
        </w:tabs>
        <w:suppressAutoHyphens/>
        <w:rPr>
          <w:iCs/>
          <w:spacing w:val="-3"/>
        </w:rPr>
      </w:pPr>
    </w:p>
    <w:p w14:paraId="7EF17735" w14:textId="73C7700C" w:rsidR="00776615" w:rsidRPr="00BD1319" w:rsidRDefault="00776615" w:rsidP="000D6E21">
      <w:pPr>
        <w:numPr>
          <w:ilvl w:val="1"/>
          <w:numId w:val="40"/>
        </w:numPr>
        <w:tabs>
          <w:tab w:val="left" w:pos="-2268"/>
        </w:tabs>
        <w:suppressAutoHyphens/>
        <w:ind w:left="1134" w:hanging="567"/>
        <w:rPr>
          <w:iCs/>
          <w:spacing w:val="-3"/>
        </w:rPr>
      </w:pPr>
      <w:r w:rsidRPr="00BD1319">
        <w:rPr>
          <w:iCs/>
          <w:spacing w:val="-3"/>
        </w:rPr>
        <w:t>Longevidad adultos hembra y macho.</w:t>
      </w:r>
    </w:p>
    <w:p w14:paraId="2B6A8F22" w14:textId="77777777" w:rsidR="006A74A3" w:rsidRPr="00BD1319" w:rsidRDefault="006A74A3" w:rsidP="000D6E21">
      <w:pPr>
        <w:tabs>
          <w:tab w:val="left" w:pos="-2268"/>
        </w:tabs>
        <w:suppressAutoHyphens/>
        <w:rPr>
          <w:iCs/>
          <w:spacing w:val="-3"/>
        </w:rPr>
      </w:pPr>
    </w:p>
    <w:p w14:paraId="10773A2C" w14:textId="27F6BF28" w:rsidR="00776615" w:rsidRPr="00BD1319" w:rsidRDefault="00776615" w:rsidP="000D6E21">
      <w:pPr>
        <w:numPr>
          <w:ilvl w:val="1"/>
          <w:numId w:val="40"/>
        </w:numPr>
        <w:tabs>
          <w:tab w:val="left" w:pos="-2268"/>
        </w:tabs>
        <w:suppressAutoHyphens/>
        <w:ind w:left="1134" w:hanging="567"/>
        <w:rPr>
          <w:iCs/>
          <w:spacing w:val="-3"/>
        </w:rPr>
      </w:pPr>
      <w:r w:rsidRPr="00BD1319">
        <w:rPr>
          <w:iCs/>
          <w:spacing w:val="-3"/>
        </w:rPr>
        <w:lastRenderedPageBreak/>
        <w:t>Proporción sexual</w:t>
      </w:r>
      <w:r w:rsidR="00264135" w:rsidRPr="00BD1319">
        <w:rPr>
          <w:iCs/>
          <w:spacing w:val="-3"/>
        </w:rPr>
        <w:t xml:space="preserve"> establecida mediante </w:t>
      </w:r>
      <w:r w:rsidRPr="00BD1319">
        <w:rPr>
          <w:iCs/>
          <w:spacing w:val="-3"/>
        </w:rPr>
        <w:t>un m</w:t>
      </w:r>
      <w:r w:rsidR="00264135" w:rsidRPr="00BD1319">
        <w:rPr>
          <w:iCs/>
          <w:spacing w:val="-3"/>
        </w:rPr>
        <w:t xml:space="preserve">étodo </w:t>
      </w:r>
      <w:r w:rsidRPr="00BD1319">
        <w:rPr>
          <w:iCs/>
          <w:spacing w:val="-3"/>
        </w:rPr>
        <w:t xml:space="preserve">de </w:t>
      </w:r>
      <w:proofErr w:type="spellStart"/>
      <w:r w:rsidRPr="00BD1319">
        <w:rPr>
          <w:iCs/>
          <w:spacing w:val="-3"/>
        </w:rPr>
        <w:t>sexaje</w:t>
      </w:r>
      <w:proofErr w:type="spellEnd"/>
      <w:r w:rsidRPr="00BD1319">
        <w:rPr>
          <w:iCs/>
          <w:spacing w:val="-3"/>
        </w:rPr>
        <w:t xml:space="preserve"> adecuad</w:t>
      </w:r>
      <w:r w:rsidR="00264135" w:rsidRPr="00BD1319">
        <w:rPr>
          <w:iCs/>
          <w:spacing w:val="-3"/>
        </w:rPr>
        <w:t>o</w:t>
      </w:r>
      <w:r w:rsidR="006A74A3" w:rsidRPr="00BD1319">
        <w:rPr>
          <w:iCs/>
          <w:spacing w:val="-3"/>
        </w:rPr>
        <w:t xml:space="preserve"> y</w:t>
      </w:r>
      <w:r w:rsidRPr="00BD1319">
        <w:rPr>
          <w:iCs/>
          <w:spacing w:val="-3"/>
        </w:rPr>
        <w:t xml:space="preserve"> considerando que en algunas especies no hay dimorfismo sexual.</w:t>
      </w:r>
    </w:p>
    <w:p w14:paraId="1B08EC97" w14:textId="340C5591" w:rsidR="006A74A3" w:rsidRPr="00BD1319" w:rsidRDefault="006A74A3" w:rsidP="000D6E21">
      <w:pPr>
        <w:tabs>
          <w:tab w:val="left" w:pos="-2268"/>
        </w:tabs>
        <w:suppressAutoHyphens/>
        <w:rPr>
          <w:iCs/>
          <w:spacing w:val="-3"/>
        </w:rPr>
      </w:pPr>
    </w:p>
    <w:p w14:paraId="48FF5EA9" w14:textId="5D65876B" w:rsidR="00776615" w:rsidRPr="00BD1319" w:rsidRDefault="00776615" w:rsidP="000D6E21">
      <w:pPr>
        <w:numPr>
          <w:ilvl w:val="1"/>
          <w:numId w:val="40"/>
        </w:numPr>
        <w:tabs>
          <w:tab w:val="left" w:pos="-2268"/>
        </w:tabs>
        <w:suppressAutoHyphens/>
        <w:ind w:left="1134" w:hanging="567"/>
        <w:rPr>
          <w:iCs/>
          <w:spacing w:val="-3"/>
        </w:rPr>
      </w:pPr>
      <w:r w:rsidRPr="00BD1319">
        <w:rPr>
          <w:iCs/>
          <w:spacing w:val="-3"/>
        </w:rPr>
        <w:t>Fecundidad media de las hembras.</w:t>
      </w:r>
    </w:p>
    <w:p w14:paraId="36DD977B" w14:textId="77777777" w:rsidR="006A74A3" w:rsidRPr="00BD1319" w:rsidRDefault="006A74A3" w:rsidP="000D6E21">
      <w:pPr>
        <w:tabs>
          <w:tab w:val="left" w:pos="-2268"/>
        </w:tabs>
        <w:suppressAutoHyphens/>
        <w:rPr>
          <w:iCs/>
          <w:spacing w:val="-3"/>
        </w:rPr>
      </w:pPr>
    </w:p>
    <w:p w14:paraId="07DF4779" w14:textId="1AA13E3E" w:rsidR="00776615" w:rsidRPr="00BD1319" w:rsidRDefault="00776615" w:rsidP="000D6E21">
      <w:pPr>
        <w:numPr>
          <w:ilvl w:val="1"/>
          <w:numId w:val="40"/>
        </w:numPr>
        <w:tabs>
          <w:tab w:val="left" w:pos="-2268"/>
        </w:tabs>
        <w:suppressAutoHyphens/>
        <w:ind w:left="1134" w:hanging="567"/>
        <w:rPr>
          <w:iCs/>
          <w:spacing w:val="-3"/>
        </w:rPr>
      </w:pPr>
      <w:r w:rsidRPr="00BD1319">
        <w:rPr>
          <w:iCs/>
          <w:spacing w:val="-3"/>
        </w:rPr>
        <w:t>Comportamiento reproductivo de los adultos.</w:t>
      </w:r>
    </w:p>
    <w:p w14:paraId="27E178B5" w14:textId="77777777" w:rsidR="006A74A3" w:rsidRPr="00BD1319" w:rsidRDefault="006A74A3" w:rsidP="000D6E21">
      <w:pPr>
        <w:tabs>
          <w:tab w:val="left" w:pos="-2268"/>
        </w:tabs>
        <w:suppressAutoHyphens/>
        <w:rPr>
          <w:iCs/>
          <w:spacing w:val="-3"/>
        </w:rPr>
      </w:pPr>
    </w:p>
    <w:p w14:paraId="1BC5AAC7" w14:textId="7F4C2983" w:rsidR="00776615" w:rsidRPr="00BD1319" w:rsidRDefault="00776615" w:rsidP="000D6E21">
      <w:pPr>
        <w:numPr>
          <w:ilvl w:val="1"/>
          <w:numId w:val="40"/>
        </w:numPr>
        <w:tabs>
          <w:tab w:val="left" w:pos="-2268"/>
        </w:tabs>
        <w:suppressAutoHyphens/>
        <w:ind w:left="1134" w:hanging="567"/>
        <w:rPr>
          <w:iCs/>
          <w:spacing w:val="-3"/>
        </w:rPr>
      </w:pPr>
      <w:r w:rsidRPr="00BD1319">
        <w:rPr>
          <w:iCs/>
          <w:spacing w:val="-3"/>
        </w:rPr>
        <w:t>Conducta sexual (monogamia, poligamia).</w:t>
      </w:r>
    </w:p>
    <w:p w14:paraId="55D4B7B3" w14:textId="77777777" w:rsidR="006A74A3" w:rsidRPr="00BD1319" w:rsidRDefault="006A74A3" w:rsidP="000D6E21">
      <w:pPr>
        <w:tabs>
          <w:tab w:val="left" w:pos="-2268"/>
        </w:tabs>
        <w:suppressAutoHyphens/>
        <w:rPr>
          <w:iCs/>
          <w:spacing w:val="-3"/>
        </w:rPr>
      </w:pPr>
    </w:p>
    <w:p w14:paraId="33C7DBA5" w14:textId="4A3E4AFA" w:rsidR="00484EE2" w:rsidRPr="00BD1319" w:rsidRDefault="00484EE2" w:rsidP="007B763A">
      <w:pPr>
        <w:numPr>
          <w:ilvl w:val="1"/>
          <w:numId w:val="40"/>
        </w:numPr>
        <w:tabs>
          <w:tab w:val="left" w:pos="-2268"/>
        </w:tabs>
        <w:suppressAutoHyphens/>
        <w:ind w:left="1134" w:hanging="567"/>
        <w:rPr>
          <w:iCs/>
          <w:spacing w:val="-3"/>
        </w:rPr>
      </w:pPr>
      <w:r w:rsidRPr="00BD1319">
        <w:rPr>
          <w:iCs/>
          <w:spacing w:val="-3"/>
        </w:rPr>
        <w:t>Cantidad de parejas establecidas</w:t>
      </w:r>
    </w:p>
    <w:p w14:paraId="15421346" w14:textId="77777777" w:rsidR="00484EE2" w:rsidRPr="00BD1319" w:rsidRDefault="00484EE2" w:rsidP="000D6E21">
      <w:pPr>
        <w:rPr>
          <w:iCs/>
          <w:spacing w:val="-3"/>
        </w:rPr>
      </w:pPr>
    </w:p>
    <w:p w14:paraId="09354227" w14:textId="058754AB" w:rsidR="00776615" w:rsidRPr="00BD1319" w:rsidRDefault="00776615" w:rsidP="000D6E21">
      <w:pPr>
        <w:numPr>
          <w:ilvl w:val="1"/>
          <w:numId w:val="40"/>
        </w:numPr>
        <w:tabs>
          <w:tab w:val="left" w:pos="-2268"/>
        </w:tabs>
        <w:suppressAutoHyphens/>
        <w:ind w:left="1134" w:hanging="567"/>
        <w:rPr>
          <w:iCs/>
          <w:spacing w:val="-3"/>
        </w:rPr>
      </w:pPr>
      <w:r w:rsidRPr="00BD1319">
        <w:rPr>
          <w:iCs/>
          <w:spacing w:val="-3"/>
        </w:rPr>
        <w:t>Patologías reproductivas</w:t>
      </w:r>
      <w:r w:rsidR="00484EE2" w:rsidRPr="00BD1319">
        <w:rPr>
          <w:iCs/>
          <w:spacing w:val="-3"/>
        </w:rPr>
        <w:t>.</w:t>
      </w:r>
    </w:p>
    <w:p w14:paraId="7E5A6E83" w14:textId="7B69945A" w:rsidR="00CB0B9E" w:rsidRPr="00BD1319" w:rsidRDefault="00CB0B9E" w:rsidP="007B763A">
      <w:pPr>
        <w:tabs>
          <w:tab w:val="left" w:pos="-2268"/>
        </w:tabs>
        <w:suppressAutoHyphens/>
        <w:rPr>
          <w:spacing w:val="-3"/>
        </w:rPr>
      </w:pPr>
    </w:p>
    <w:p w14:paraId="2F19028C" w14:textId="4CE069CD" w:rsidR="00873056" w:rsidRPr="00BD1319" w:rsidRDefault="00873056" w:rsidP="000D6E21">
      <w:pPr>
        <w:pStyle w:val="Prrafodelista"/>
        <w:numPr>
          <w:ilvl w:val="0"/>
          <w:numId w:val="5"/>
        </w:numPr>
        <w:tabs>
          <w:tab w:val="left" w:pos="-2268"/>
        </w:tabs>
        <w:suppressAutoHyphens/>
        <w:ind w:left="567" w:hanging="567"/>
        <w:rPr>
          <w:spacing w:val="-3"/>
        </w:rPr>
      </w:pPr>
      <w:r w:rsidRPr="00BD1319">
        <w:rPr>
          <w:spacing w:val="-3"/>
          <w:lang w:val="es-CO"/>
        </w:rPr>
        <w:t xml:space="preserve">Información sobre </w:t>
      </w:r>
      <w:r w:rsidR="004D352C" w:rsidRPr="00BD1319">
        <w:rPr>
          <w:spacing w:val="-3"/>
          <w:lang w:val="es-CO"/>
        </w:rPr>
        <w:t xml:space="preserve">la </w:t>
      </w:r>
      <w:r w:rsidRPr="00BD1319">
        <w:rPr>
          <w:spacing w:val="-3"/>
          <w:lang w:val="es-CO"/>
        </w:rPr>
        <w:t>biología de la</w:t>
      </w:r>
      <w:r w:rsidR="004D352C" w:rsidRPr="00BD1319">
        <w:rPr>
          <w:spacing w:val="-3"/>
          <w:lang w:val="es-CO"/>
        </w:rPr>
        <w:t>s</w:t>
      </w:r>
      <w:r w:rsidRPr="00BD1319">
        <w:rPr>
          <w:spacing w:val="-3"/>
          <w:lang w:val="es-CO"/>
        </w:rPr>
        <w:t xml:space="preserve"> especie</w:t>
      </w:r>
      <w:r w:rsidR="004D352C" w:rsidRPr="00BD1319">
        <w:rPr>
          <w:spacing w:val="-3"/>
          <w:lang w:val="es-CO"/>
        </w:rPr>
        <w:t>s</w:t>
      </w:r>
      <w:r w:rsidRPr="00BD1319">
        <w:rPr>
          <w:spacing w:val="-3"/>
          <w:lang w:val="es-CO"/>
        </w:rPr>
        <w:t xml:space="preserve"> </w:t>
      </w:r>
      <w:r w:rsidR="004D352C" w:rsidRPr="00BD1319">
        <w:rPr>
          <w:spacing w:val="-3"/>
          <w:lang w:val="es-CO"/>
        </w:rPr>
        <w:t xml:space="preserve">respecto de su </w:t>
      </w:r>
      <w:r w:rsidRPr="00BD1319">
        <w:rPr>
          <w:spacing w:val="-3"/>
          <w:lang w:val="es-CO"/>
        </w:rPr>
        <w:t>dinámica poblacional</w:t>
      </w:r>
      <w:r w:rsidR="004D352C" w:rsidRPr="00BD1319">
        <w:rPr>
          <w:spacing w:val="-3"/>
          <w:lang w:val="es-CO"/>
        </w:rPr>
        <w:t xml:space="preserve">, </w:t>
      </w:r>
      <w:r w:rsidR="00264135" w:rsidRPr="00BD1319">
        <w:rPr>
          <w:spacing w:val="-3"/>
          <w:lang w:val="es-CO"/>
        </w:rPr>
        <w:t xml:space="preserve">estimando </w:t>
      </w:r>
      <w:r w:rsidR="004D352C" w:rsidRPr="00BD1319">
        <w:rPr>
          <w:spacing w:val="-3"/>
          <w:lang w:val="es-CO"/>
        </w:rPr>
        <w:t>como mínimo</w:t>
      </w:r>
      <w:r w:rsidR="00573ED0" w:rsidRPr="00BD1319">
        <w:rPr>
          <w:spacing w:val="-3"/>
          <w:lang w:val="es-CO"/>
        </w:rPr>
        <w:t xml:space="preserve"> lo siguiente:</w:t>
      </w:r>
    </w:p>
    <w:p w14:paraId="6D838E2C" w14:textId="77777777" w:rsidR="00873056" w:rsidRPr="00BD1319" w:rsidRDefault="00873056" w:rsidP="00873056">
      <w:pPr>
        <w:tabs>
          <w:tab w:val="left" w:pos="-2268"/>
        </w:tabs>
        <w:suppressAutoHyphens/>
        <w:rPr>
          <w:iCs/>
          <w:spacing w:val="-3"/>
        </w:rPr>
      </w:pPr>
    </w:p>
    <w:p w14:paraId="6AF21B9A" w14:textId="7E232DE6" w:rsidR="00873056" w:rsidRPr="00BD1319" w:rsidRDefault="00B1738D" w:rsidP="000D6E21">
      <w:pPr>
        <w:numPr>
          <w:ilvl w:val="1"/>
          <w:numId w:val="40"/>
        </w:numPr>
        <w:tabs>
          <w:tab w:val="left" w:pos="-2268"/>
        </w:tabs>
        <w:suppressAutoHyphens/>
        <w:ind w:left="1134" w:hanging="567"/>
        <w:rPr>
          <w:iCs/>
          <w:spacing w:val="-3"/>
        </w:rPr>
      </w:pPr>
      <w:r w:rsidRPr="00BD1319">
        <w:rPr>
          <w:iCs/>
          <w:spacing w:val="-3"/>
        </w:rPr>
        <w:t>P</w:t>
      </w:r>
      <w:r w:rsidR="00873056" w:rsidRPr="00BD1319">
        <w:rPr>
          <w:iCs/>
          <w:spacing w:val="-3"/>
        </w:rPr>
        <w:t>arámetros demográficos de densidad poblacional.</w:t>
      </w:r>
    </w:p>
    <w:p w14:paraId="7F6734C2" w14:textId="77777777" w:rsidR="001142BE" w:rsidRPr="00BD1319" w:rsidRDefault="001142BE" w:rsidP="00573ED0">
      <w:pPr>
        <w:tabs>
          <w:tab w:val="left" w:pos="-2268"/>
        </w:tabs>
        <w:suppressAutoHyphens/>
        <w:rPr>
          <w:iCs/>
          <w:spacing w:val="-3"/>
        </w:rPr>
      </w:pPr>
    </w:p>
    <w:p w14:paraId="6519D941" w14:textId="486CBADE" w:rsidR="00873056" w:rsidRPr="00BD1319" w:rsidRDefault="00873056" w:rsidP="000D6E21">
      <w:pPr>
        <w:numPr>
          <w:ilvl w:val="1"/>
          <w:numId w:val="40"/>
        </w:numPr>
        <w:tabs>
          <w:tab w:val="left" w:pos="-2268"/>
        </w:tabs>
        <w:suppressAutoHyphens/>
        <w:ind w:left="1134" w:hanging="567"/>
        <w:rPr>
          <w:iCs/>
          <w:spacing w:val="-3"/>
        </w:rPr>
      </w:pPr>
      <w:r w:rsidRPr="00BD1319">
        <w:rPr>
          <w:iCs/>
          <w:spacing w:val="-3"/>
        </w:rPr>
        <w:t>Tasa de natalidad (porcentaje de éxito de eclosión de neonatos).</w:t>
      </w:r>
    </w:p>
    <w:p w14:paraId="31BBCB66" w14:textId="77777777" w:rsidR="001142BE" w:rsidRPr="00BD1319" w:rsidRDefault="001142BE" w:rsidP="000D6E21">
      <w:pPr>
        <w:tabs>
          <w:tab w:val="left" w:pos="-2268"/>
        </w:tabs>
        <w:suppressAutoHyphens/>
        <w:rPr>
          <w:iCs/>
          <w:spacing w:val="-3"/>
        </w:rPr>
      </w:pPr>
    </w:p>
    <w:p w14:paraId="2BB08BA0" w14:textId="0EF6EBAB" w:rsidR="00873056" w:rsidRPr="00BD1319" w:rsidRDefault="00873056" w:rsidP="000D6E21">
      <w:pPr>
        <w:numPr>
          <w:ilvl w:val="1"/>
          <w:numId w:val="40"/>
        </w:numPr>
        <w:tabs>
          <w:tab w:val="left" w:pos="-2268"/>
        </w:tabs>
        <w:suppressAutoHyphens/>
        <w:ind w:left="1134" w:hanging="567"/>
        <w:rPr>
          <w:iCs/>
          <w:spacing w:val="-3"/>
        </w:rPr>
      </w:pPr>
      <w:r w:rsidRPr="00BD1319">
        <w:rPr>
          <w:iCs/>
          <w:spacing w:val="-3"/>
        </w:rPr>
        <w:t>Tasa de mortalidad.</w:t>
      </w:r>
    </w:p>
    <w:p w14:paraId="6E584A20" w14:textId="77777777" w:rsidR="001142BE" w:rsidRPr="00BD1319" w:rsidRDefault="001142BE" w:rsidP="000D6E21">
      <w:pPr>
        <w:tabs>
          <w:tab w:val="left" w:pos="-2268"/>
        </w:tabs>
        <w:suppressAutoHyphens/>
        <w:rPr>
          <w:iCs/>
          <w:spacing w:val="-3"/>
        </w:rPr>
      </w:pPr>
    </w:p>
    <w:p w14:paraId="2EE93A04" w14:textId="293EEEB4" w:rsidR="00873056" w:rsidRPr="00BD1319" w:rsidRDefault="00873056" w:rsidP="000D6E21">
      <w:pPr>
        <w:numPr>
          <w:ilvl w:val="1"/>
          <w:numId w:val="40"/>
        </w:numPr>
        <w:tabs>
          <w:tab w:val="left" w:pos="-2268"/>
        </w:tabs>
        <w:suppressAutoHyphens/>
        <w:ind w:left="1134" w:hanging="567"/>
        <w:rPr>
          <w:iCs/>
          <w:spacing w:val="-3"/>
        </w:rPr>
      </w:pPr>
      <w:r w:rsidRPr="00BD1319">
        <w:rPr>
          <w:iCs/>
          <w:spacing w:val="-3"/>
        </w:rPr>
        <w:t>Tasa de inmigración.</w:t>
      </w:r>
    </w:p>
    <w:p w14:paraId="55E280A0" w14:textId="77777777" w:rsidR="001142BE" w:rsidRPr="00BD1319" w:rsidRDefault="001142BE" w:rsidP="000D6E21">
      <w:pPr>
        <w:tabs>
          <w:tab w:val="left" w:pos="-2268"/>
        </w:tabs>
        <w:suppressAutoHyphens/>
        <w:rPr>
          <w:iCs/>
          <w:spacing w:val="-3"/>
        </w:rPr>
      </w:pPr>
    </w:p>
    <w:p w14:paraId="44636A78" w14:textId="3FEF2EC8" w:rsidR="00873056" w:rsidRPr="00BD1319" w:rsidRDefault="00873056" w:rsidP="000D6E21">
      <w:pPr>
        <w:numPr>
          <w:ilvl w:val="1"/>
          <w:numId w:val="40"/>
        </w:numPr>
        <w:tabs>
          <w:tab w:val="left" w:pos="-2268"/>
        </w:tabs>
        <w:suppressAutoHyphens/>
        <w:ind w:left="1134" w:hanging="567"/>
        <w:rPr>
          <w:iCs/>
          <w:spacing w:val="-3"/>
        </w:rPr>
      </w:pPr>
      <w:r w:rsidRPr="00BD1319">
        <w:rPr>
          <w:iCs/>
          <w:spacing w:val="-3"/>
        </w:rPr>
        <w:t>Tasa de emigración.</w:t>
      </w:r>
    </w:p>
    <w:p w14:paraId="5839C2CE" w14:textId="77777777" w:rsidR="001142BE" w:rsidRPr="00BD1319" w:rsidRDefault="001142BE" w:rsidP="000D6E21">
      <w:pPr>
        <w:tabs>
          <w:tab w:val="left" w:pos="-2268"/>
        </w:tabs>
        <w:suppressAutoHyphens/>
        <w:rPr>
          <w:iCs/>
          <w:spacing w:val="-3"/>
        </w:rPr>
      </w:pPr>
    </w:p>
    <w:p w14:paraId="34F84E38" w14:textId="7FAE2E79" w:rsidR="00873056" w:rsidRPr="00BD1319" w:rsidRDefault="00873056" w:rsidP="000D6E21">
      <w:pPr>
        <w:numPr>
          <w:ilvl w:val="1"/>
          <w:numId w:val="40"/>
        </w:numPr>
        <w:tabs>
          <w:tab w:val="left" w:pos="-2268"/>
        </w:tabs>
        <w:suppressAutoHyphens/>
        <w:ind w:left="1134" w:hanging="567"/>
        <w:rPr>
          <w:iCs/>
          <w:spacing w:val="-3"/>
        </w:rPr>
      </w:pPr>
      <w:r w:rsidRPr="00BD1319">
        <w:rPr>
          <w:iCs/>
          <w:spacing w:val="-3"/>
        </w:rPr>
        <w:t>Tasa intrínseca de crecimiento poblacional.</w:t>
      </w:r>
    </w:p>
    <w:p w14:paraId="4EC0A55B" w14:textId="77777777" w:rsidR="001142BE" w:rsidRPr="00BD1319" w:rsidRDefault="001142BE" w:rsidP="000D6E21">
      <w:pPr>
        <w:tabs>
          <w:tab w:val="left" w:pos="-2268"/>
        </w:tabs>
        <w:suppressAutoHyphens/>
        <w:rPr>
          <w:iCs/>
          <w:spacing w:val="-3"/>
        </w:rPr>
      </w:pPr>
    </w:p>
    <w:p w14:paraId="34DD7EE7" w14:textId="04305F32" w:rsidR="00873056" w:rsidRPr="00BD1319" w:rsidRDefault="00873056" w:rsidP="000D6E21">
      <w:pPr>
        <w:numPr>
          <w:ilvl w:val="1"/>
          <w:numId w:val="40"/>
        </w:numPr>
        <w:tabs>
          <w:tab w:val="left" w:pos="-2268"/>
        </w:tabs>
        <w:suppressAutoHyphens/>
        <w:ind w:left="1134" w:hanging="567"/>
        <w:rPr>
          <w:iCs/>
          <w:spacing w:val="-3"/>
        </w:rPr>
      </w:pPr>
      <w:r w:rsidRPr="00BD1319">
        <w:rPr>
          <w:iCs/>
          <w:spacing w:val="-3"/>
        </w:rPr>
        <w:t>Tasa neta de recambio de la población.</w:t>
      </w:r>
    </w:p>
    <w:p w14:paraId="21B6AC1B" w14:textId="77777777" w:rsidR="001142BE" w:rsidRPr="00BD1319" w:rsidRDefault="001142BE" w:rsidP="000D6E21">
      <w:pPr>
        <w:tabs>
          <w:tab w:val="left" w:pos="-2268"/>
        </w:tabs>
        <w:suppressAutoHyphens/>
        <w:rPr>
          <w:iCs/>
          <w:spacing w:val="-3"/>
        </w:rPr>
      </w:pPr>
    </w:p>
    <w:p w14:paraId="18420CA6" w14:textId="73E7E12F" w:rsidR="00873056" w:rsidRPr="00BD1319" w:rsidRDefault="00873056" w:rsidP="000D6E21">
      <w:pPr>
        <w:numPr>
          <w:ilvl w:val="1"/>
          <w:numId w:val="40"/>
        </w:numPr>
        <w:tabs>
          <w:tab w:val="left" w:pos="-2268"/>
        </w:tabs>
        <w:suppressAutoHyphens/>
        <w:ind w:left="1134" w:hanging="567"/>
        <w:rPr>
          <w:iCs/>
          <w:spacing w:val="-3"/>
        </w:rPr>
      </w:pPr>
      <w:r w:rsidRPr="00BD1319">
        <w:rPr>
          <w:iCs/>
          <w:spacing w:val="-3"/>
        </w:rPr>
        <w:t>Tiempo generacional.</w:t>
      </w:r>
    </w:p>
    <w:p w14:paraId="443D3263" w14:textId="77777777" w:rsidR="00873056" w:rsidRPr="00BD1319" w:rsidRDefault="00873056" w:rsidP="00FC4B25">
      <w:pPr>
        <w:tabs>
          <w:tab w:val="left" w:pos="-2268"/>
        </w:tabs>
        <w:suppressAutoHyphens/>
        <w:rPr>
          <w:iCs/>
          <w:spacing w:val="-3"/>
        </w:rPr>
      </w:pPr>
    </w:p>
    <w:p w14:paraId="6A7FC41C" w14:textId="2F3E0970" w:rsidR="00720D42" w:rsidRPr="00BD1319" w:rsidRDefault="00720D42" w:rsidP="000D6E21">
      <w:pPr>
        <w:pStyle w:val="Prrafodelista"/>
        <w:numPr>
          <w:ilvl w:val="0"/>
          <w:numId w:val="5"/>
        </w:numPr>
        <w:tabs>
          <w:tab w:val="left" w:pos="-2268"/>
        </w:tabs>
        <w:suppressAutoHyphens/>
        <w:ind w:left="567" w:hanging="567"/>
        <w:rPr>
          <w:spacing w:val="-3"/>
        </w:rPr>
      </w:pPr>
      <w:r w:rsidRPr="00BD1319">
        <w:rPr>
          <w:spacing w:val="-3"/>
          <w:lang w:val="es-CO"/>
        </w:rPr>
        <w:t>Información sobre la biología de las especies respecto de su estructura poblacional.</w:t>
      </w:r>
    </w:p>
    <w:p w14:paraId="4293579D" w14:textId="77777777" w:rsidR="00720D42" w:rsidRPr="00BD1319" w:rsidRDefault="00720D42" w:rsidP="00720D42">
      <w:pPr>
        <w:tabs>
          <w:tab w:val="left" w:pos="-2268"/>
        </w:tabs>
        <w:suppressAutoHyphens/>
        <w:rPr>
          <w:iCs/>
          <w:spacing w:val="-3"/>
        </w:rPr>
      </w:pPr>
    </w:p>
    <w:p w14:paraId="2994FC07" w14:textId="4E734C3B" w:rsidR="00720D42" w:rsidRPr="00BD1319" w:rsidRDefault="00720D42" w:rsidP="000D6E21">
      <w:pPr>
        <w:numPr>
          <w:ilvl w:val="1"/>
          <w:numId w:val="40"/>
        </w:numPr>
        <w:tabs>
          <w:tab w:val="left" w:pos="-2268"/>
        </w:tabs>
        <w:suppressAutoHyphens/>
        <w:ind w:left="1134" w:hanging="567"/>
        <w:rPr>
          <w:iCs/>
          <w:spacing w:val="-3"/>
        </w:rPr>
      </w:pPr>
      <w:r w:rsidRPr="00BD1319">
        <w:rPr>
          <w:iCs/>
          <w:spacing w:val="-3"/>
        </w:rPr>
        <w:t>Tamaño meta</w:t>
      </w:r>
      <w:r w:rsidR="00B30D53" w:rsidRPr="00BD1319">
        <w:rPr>
          <w:iCs/>
          <w:spacing w:val="-3"/>
        </w:rPr>
        <w:t>-</w:t>
      </w:r>
      <w:r w:rsidRPr="00BD1319">
        <w:rPr>
          <w:iCs/>
          <w:spacing w:val="-3"/>
        </w:rPr>
        <w:t xml:space="preserve">poblacional, distribución de área, uniformidad o agrupación, hábitats de encuentro de los ejemplares (estableciendo el patrón de distribución, ya sea aleatorio, agregado o uniforme). </w:t>
      </w:r>
      <w:r w:rsidR="00B30D53" w:rsidRPr="00BD1319">
        <w:rPr>
          <w:iCs/>
          <w:spacing w:val="-3"/>
        </w:rPr>
        <w:t xml:space="preserve">Se debe realizar un análisis </w:t>
      </w:r>
      <w:r w:rsidR="006653B9" w:rsidRPr="00BD1319">
        <w:rPr>
          <w:iCs/>
          <w:spacing w:val="-3"/>
        </w:rPr>
        <w:t>a partir de los valores que tome cada una de las variables.</w:t>
      </w:r>
    </w:p>
    <w:p w14:paraId="1F823A8F" w14:textId="77777777" w:rsidR="00720D42" w:rsidRPr="00BD1319" w:rsidRDefault="00720D42" w:rsidP="000D6E21">
      <w:pPr>
        <w:tabs>
          <w:tab w:val="left" w:pos="-2268"/>
        </w:tabs>
        <w:suppressAutoHyphens/>
        <w:rPr>
          <w:iCs/>
          <w:spacing w:val="-3"/>
        </w:rPr>
      </w:pPr>
    </w:p>
    <w:p w14:paraId="539551CA" w14:textId="5C50B6D0" w:rsidR="00720D42" w:rsidRPr="00BD1319" w:rsidRDefault="00720D42" w:rsidP="000D6E21">
      <w:pPr>
        <w:numPr>
          <w:ilvl w:val="1"/>
          <w:numId w:val="40"/>
        </w:numPr>
        <w:tabs>
          <w:tab w:val="left" w:pos="-2268"/>
        </w:tabs>
        <w:suppressAutoHyphens/>
        <w:ind w:left="1134" w:hanging="567"/>
        <w:rPr>
          <w:iCs/>
          <w:spacing w:val="-3"/>
        </w:rPr>
      </w:pPr>
      <w:r w:rsidRPr="00BD1319">
        <w:rPr>
          <w:iCs/>
          <w:spacing w:val="-3"/>
        </w:rPr>
        <w:t>Abundancia absoluta y relativa.</w:t>
      </w:r>
    </w:p>
    <w:p w14:paraId="35CCC551" w14:textId="77777777" w:rsidR="00720D42" w:rsidRPr="00BD1319" w:rsidRDefault="00720D42" w:rsidP="000D6E21">
      <w:pPr>
        <w:tabs>
          <w:tab w:val="left" w:pos="-2268"/>
        </w:tabs>
        <w:suppressAutoHyphens/>
        <w:rPr>
          <w:iCs/>
          <w:spacing w:val="-3"/>
        </w:rPr>
      </w:pPr>
    </w:p>
    <w:p w14:paraId="226F8388" w14:textId="7380F891" w:rsidR="00720D42" w:rsidRPr="00BD1319" w:rsidRDefault="00720D42" w:rsidP="000D6E21">
      <w:pPr>
        <w:numPr>
          <w:ilvl w:val="1"/>
          <w:numId w:val="40"/>
        </w:numPr>
        <w:tabs>
          <w:tab w:val="left" w:pos="-2268"/>
        </w:tabs>
        <w:suppressAutoHyphens/>
        <w:ind w:left="1134" w:hanging="567"/>
        <w:rPr>
          <w:iCs/>
          <w:spacing w:val="-3"/>
        </w:rPr>
      </w:pPr>
      <w:r w:rsidRPr="00BD1319">
        <w:rPr>
          <w:iCs/>
          <w:spacing w:val="-3"/>
        </w:rPr>
        <w:t>Estructura de edades de la población.</w:t>
      </w:r>
    </w:p>
    <w:p w14:paraId="51F484F7" w14:textId="77777777" w:rsidR="00720D42" w:rsidRPr="00BD1319" w:rsidRDefault="00720D42" w:rsidP="000D6E21">
      <w:pPr>
        <w:tabs>
          <w:tab w:val="left" w:pos="-2268"/>
        </w:tabs>
        <w:suppressAutoHyphens/>
        <w:rPr>
          <w:iCs/>
          <w:spacing w:val="-3"/>
        </w:rPr>
      </w:pPr>
    </w:p>
    <w:p w14:paraId="2B15C762" w14:textId="02613BCA" w:rsidR="00720D42" w:rsidRPr="00BD1319" w:rsidRDefault="00720D42" w:rsidP="000D6E21">
      <w:pPr>
        <w:numPr>
          <w:ilvl w:val="1"/>
          <w:numId w:val="40"/>
        </w:numPr>
        <w:tabs>
          <w:tab w:val="left" w:pos="-2268"/>
        </w:tabs>
        <w:suppressAutoHyphens/>
        <w:ind w:left="1134" w:hanging="567"/>
        <w:rPr>
          <w:iCs/>
          <w:spacing w:val="-3"/>
        </w:rPr>
      </w:pPr>
      <w:r w:rsidRPr="00BD1319">
        <w:rPr>
          <w:iCs/>
          <w:spacing w:val="-3"/>
        </w:rPr>
        <w:t xml:space="preserve">Cantidad de posturas, nidadas, huevos, inmaduros, </w:t>
      </w:r>
      <w:r w:rsidR="0051059C" w:rsidRPr="00BD1319">
        <w:rPr>
          <w:iCs/>
          <w:spacing w:val="-3"/>
        </w:rPr>
        <w:t>entre otras variables</w:t>
      </w:r>
      <w:r w:rsidRPr="00BD1319">
        <w:rPr>
          <w:iCs/>
          <w:spacing w:val="-3"/>
        </w:rPr>
        <w:t>, según el grupo de interés de que se trate.</w:t>
      </w:r>
    </w:p>
    <w:p w14:paraId="257921DD" w14:textId="77777777" w:rsidR="00720D42" w:rsidRPr="00BD1319" w:rsidRDefault="00720D42" w:rsidP="000D6E21">
      <w:pPr>
        <w:tabs>
          <w:tab w:val="left" w:pos="-2268"/>
        </w:tabs>
        <w:suppressAutoHyphens/>
        <w:rPr>
          <w:iCs/>
          <w:spacing w:val="-3"/>
        </w:rPr>
      </w:pPr>
    </w:p>
    <w:p w14:paraId="0DF35DAB" w14:textId="0C07E216" w:rsidR="00720D42" w:rsidRPr="00BD1319" w:rsidRDefault="00720D42" w:rsidP="000D6E21">
      <w:pPr>
        <w:numPr>
          <w:ilvl w:val="1"/>
          <w:numId w:val="40"/>
        </w:numPr>
        <w:tabs>
          <w:tab w:val="left" w:pos="-2268"/>
        </w:tabs>
        <w:suppressAutoHyphens/>
        <w:ind w:left="1134" w:hanging="567"/>
        <w:rPr>
          <w:iCs/>
          <w:spacing w:val="-3"/>
        </w:rPr>
      </w:pPr>
      <w:r w:rsidRPr="00BD1319">
        <w:rPr>
          <w:iCs/>
          <w:spacing w:val="-3"/>
        </w:rPr>
        <w:t>Sobrevivencia por categorías de edades.</w:t>
      </w:r>
    </w:p>
    <w:p w14:paraId="2916A2AA" w14:textId="77777777" w:rsidR="00720D42" w:rsidRPr="00BD1319" w:rsidRDefault="00720D42" w:rsidP="00FC4B25">
      <w:pPr>
        <w:tabs>
          <w:tab w:val="left" w:pos="-2268"/>
        </w:tabs>
        <w:suppressAutoHyphens/>
        <w:rPr>
          <w:iCs/>
          <w:spacing w:val="-3"/>
        </w:rPr>
      </w:pPr>
    </w:p>
    <w:p w14:paraId="196A44D5" w14:textId="142EB2E1" w:rsidR="002B3AE7" w:rsidRPr="00BD1319" w:rsidRDefault="002B3AE7" w:rsidP="000D6E21">
      <w:pPr>
        <w:pStyle w:val="Prrafodelista"/>
        <w:numPr>
          <w:ilvl w:val="0"/>
          <w:numId w:val="5"/>
        </w:numPr>
        <w:tabs>
          <w:tab w:val="left" w:pos="-2268"/>
        </w:tabs>
        <w:suppressAutoHyphens/>
        <w:ind w:left="567" w:hanging="567"/>
        <w:rPr>
          <w:spacing w:val="-3"/>
        </w:rPr>
      </w:pPr>
      <w:r w:rsidRPr="00BD1319">
        <w:rPr>
          <w:spacing w:val="-3"/>
          <w:lang w:val="es-CO"/>
        </w:rPr>
        <w:t xml:space="preserve">Determinación de la capacidad de las poblaciones y </w:t>
      </w:r>
      <w:r w:rsidR="006D0E6A" w:rsidRPr="00BD1319">
        <w:rPr>
          <w:spacing w:val="-3"/>
          <w:lang w:val="es-CO"/>
        </w:rPr>
        <w:t xml:space="preserve">de </w:t>
      </w:r>
      <w:r w:rsidRPr="00BD1319">
        <w:rPr>
          <w:spacing w:val="-3"/>
          <w:lang w:val="es-CO"/>
        </w:rPr>
        <w:t>su hábitat para mantener su estabilidad frente al desarrollo de la actividad de caza de fomento</w:t>
      </w:r>
      <w:r w:rsidR="006D0E6A" w:rsidRPr="00BD1319">
        <w:rPr>
          <w:spacing w:val="-3"/>
          <w:lang w:val="es-CO"/>
        </w:rPr>
        <w:t>.</w:t>
      </w:r>
      <w:r w:rsidR="00EA0AA9" w:rsidRPr="00BD1319">
        <w:rPr>
          <w:spacing w:val="-3"/>
          <w:lang w:val="es-CO"/>
        </w:rPr>
        <w:t xml:space="preserve"> Con este propósito se deben ejecutar las siguientes acciones.</w:t>
      </w:r>
    </w:p>
    <w:p w14:paraId="6F4DC690" w14:textId="77777777" w:rsidR="006D0E6A" w:rsidRPr="00BD1319" w:rsidRDefault="006D0E6A" w:rsidP="000D6E21">
      <w:pPr>
        <w:tabs>
          <w:tab w:val="left" w:pos="-2268"/>
        </w:tabs>
        <w:suppressAutoHyphens/>
        <w:rPr>
          <w:iCs/>
          <w:spacing w:val="-3"/>
        </w:rPr>
      </w:pPr>
    </w:p>
    <w:p w14:paraId="739264E7" w14:textId="4DFA2933" w:rsidR="006D0E6A" w:rsidRPr="00BD1319" w:rsidRDefault="006D0E6A" w:rsidP="000D6E21">
      <w:pPr>
        <w:numPr>
          <w:ilvl w:val="1"/>
          <w:numId w:val="40"/>
        </w:numPr>
        <w:tabs>
          <w:tab w:val="left" w:pos="-2268"/>
        </w:tabs>
        <w:suppressAutoHyphens/>
        <w:ind w:left="1134" w:hanging="567"/>
        <w:rPr>
          <w:iCs/>
          <w:spacing w:val="-3"/>
        </w:rPr>
      </w:pPr>
      <w:r w:rsidRPr="00BD1319">
        <w:rPr>
          <w:iCs/>
          <w:spacing w:val="-3"/>
        </w:rPr>
        <w:t xml:space="preserve">Evaluación de </w:t>
      </w:r>
      <w:r w:rsidR="00EA0AA9" w:rsidRPr="00BD1319">
        <w:rPr>
          <w:iCs/>
          <w:spacing w:val="-3"/>
        </w:rPr>
        <w:t xml:space="preserve">la </w:t>
      </w:r>
      <w:r w:rsidRPr="00BD1319">
        <w:rPr>
          <w:iCs/>
          <w:spacing w:val="-3"/>
        </w:rPr>
        <w:t xml:space="preserve">representatividad estadística de las capturas en relación </w:t>
      </w:r>
      <w:r w:rsidR="00EA0AA9" w:rsidRPr="00BD1319">
        <w:rPr>
          <w:iCs/>
          <w:spacing w:val="-3"/>
        </w:rPr>
        <w:t xml:space="preserve">con </w:t>
      </w:r>
      <w:r w:rsidRPr="00BD1319">
        <w:rPr>
          <w:iCs/>
          <w:spacing w:val="-3"/>
        </w:rPr>
        <w:t xml:space="preserve">las poblaciones y el área de posible ubicación de los ejemplares, o </w:t>
      </w:r>
      <w:r w:rsidR="00EA0AA9" w:rsidRPr="00BD1319">
        <w:rPr>
          <w:iCs/>
          <w:spacing w:val="-3"/>
        </w:rPr>
        <w:t xml:space="preserve">con los </w:t>
      </w:r>
      <w:r w:rsidRPr="00BD1319">
        <w:rPr>
          <w:iCs/>
          <w:spacing w:val="-3"/>
        </w:rPr>
        <w:t>modelos de predicción de hábitat.</w:t>
      </w:r>
    </w:p>
    <w:p w14:paraId="6A146302" w14:textId="77777777" w:rsidR="006D0E6A" w:rsidRPr="00BD1319" w:rsidRDefault="006D0E6A" w:rsidP="000D6E21">
      <w:pPr>
        <w:tabs>
          <w:tab w:val="left" w:pos="-2268"/>
        </w:tabs>
        <w:suppressAutoHyphens/>
        <w:rPr>
          <w:iCs/>
          <w:spacing w:val="-3"/>
        </w:rPr>
      </w:pPr>
    </w:p>
    <w:p w14:paraId="5235D8A5" w14:textId="65914851" w:rsidR="006D0E6A" w:rsidRPr="00BD1319" w:rsidRDefault="006D0E6A" w:rsidP="000D6E21">
      <w:pPr>
        <w:numPr>
          <w:ilvl w:val="1"/>
          <w:numId w:val="40"/>
        </w:numPr>
        <w:tabs>
          <w:tab w:val="left" w:pos="-2268"/>
        </w:tabs>
        <w:suppressAutoHyphens/>
        <w:ind w:left="1134" w:hanging="567"/>
        <w:rPr>
          <w:iCs/>
          <w:spacing w:val="-3"/>
        </w:rPr>
      </w:pPr>
      <w:r w:rsidRPr="00BD1319">
        <w:rPr>
          <w:iCs/>
          <w:spacing w:val="-3"/>
        </w:rPr>
        <w:t xml:space="preserve">Determinación de </w:t>
      </w:r>
      <w:r w:rsidR="00EA0AA9" w:rsidRPr="00BD1319">
        <w:rPr>
          <w:iCs/>
          <w:spacing w:val="-3"/>
        </w:rPr>
        <w:t xml:space="preserve">la cantidad </w:t>
      </w:r>
      <w:r w:rsidRPr="00BD1319">
        <w:rPr>
          <w:iCs/>
          <w:spacing w:val="-3"/>
        </w:rPr>
        <w:t>poblacional con relación al área y la ubicación de las poblaciones respecto a un territorio.</w:t>
      </w:r>
    </w:p>
    <w:p w14:paraId="21B88955" w14:textId="77777777" w:rsidR="006D0E6A" w:rsidRPr="00BD1319" w:rsidRDefault="006D0E6A" w:rsidP="000D6E21">
      <w:pPr>
        <w:tabs>
          <w:tab w:val="left" w:pos="-2268"/>
        </w:tabs>
        <w:suppressAutoHyphens/>
        <w:rPr>
          <w:iCs/>
          <w:spacing w:val="-3"/>
        </w:rPr>
      </w:pPr>
    </w:p>
    <w:p w14:paraId="76C523E8" w14:textId="75B4D69E" w:rsidR="006D0E6A" w:rsidRPr="00BD1319" w:rsidRDefault="00EA0AA9" w:rsidP="000D6E21">
      <w:pPr>
        <w:numPr>
          <w:ilvl w:val="1"/>
          <w:numId w:val="40"/>
        </w:numPr>
        <w:tabs>
          <w:tab w:val="left" w:pos="-2268"/>
        </w:tabs>
        <w:suppressAutoHyphens/>
        <w:ind w:left="1134" w:hanging="567"/>
        <w:rPr>
          <w:iCs/>
          <w:spacing w:val="-3"/>
        </w:rPr>
      </w:pPr>
      <w:r w:rsidRPr="00BD1319">
        <w:rPr>
          <w:iCs/>
          <w:spacing w:val="-3"/>
        </w:rPr>
        <w:t>Desarrollo de un m</w:t>
      </w:r>
      <w:r w:rsidR="006D0E6A" w:rsidRPr="00BD1319">
        <w:rPr>
          <w:iCs/>
          <w:spacing w:val="-3"/>
        </w:rPr>
        <w:t>odelo poblacional</w:t>
      </w:r>
      <w:r w:rsidRPr="00BD1319">
        <w:rPr>
          <w:iCs/>
          <w:spacing w:val="-3"/>
        </w:rPr>
        <w:t xml:space="preserve"> que </w:t>
      </w:r>
      <w:r w:rsidR="006D0E6A" w:rsidRPr="00BD1319">
        <w:rPr>
          <w:iCs/>
          <w:spacing w:val="-3"/>
        </w:rPr>
        <w:t>incluy</w:t>
      </w:r>
      <w:r w:rsidRPr="00BD1319">
        <w:rPr>
          <w:iCs/>
          <w:spacing w:val="-3"/>
        </w:rPr>
        <w:t xml:space="preserve">a la </w:t>
      </w:r>
      <w:r w:rsidR="006D0E6A" w:rsidRPr="00BD1319">
        <w:rPr>
          <w:iCs/>
          <w:spacing w:val="-3"/>
        </w:rPr>
        <w:t>estructura de edades, parámetros de sobrevivencia, reproducción y tasas de recambio neto de la población</w:t>
      </w:r>
      <w:r w:rsidRPr="00BD1319">
        <w:rPr>
          <w:iCs/>
          <w:spacing w:val="-3"/>
        </w:rPr>
        <w:t xml:space="preserve">, con el fin de </w:t>
      </w:r>
      <w:r w:rsidR="006D0E6A" w:rsidRPr="00BD1319">
        <w:rPr>
          <w:iCs/>
          <w:spacing w:val="-3"/>
        </w:rPr>
        <w:t>establecer si la población se encuentra en aumento, estabilización o reducción.</w:t>
      </w:r>
    </w:p>
    <w:p w14:paraId="6A05D551" w14:textId="77777777" w:rsidR="006D0E6A" w:rsidRPr="00BD1319" w:rsidRDefault="006D0E6A" w:rsidP="000D6E21">
      <w:pPr>
        <w:tabs>
          <w:tab w:val="left" w:pos="-2268"/>
        </w:tabs>
        <w:suppressAutoHyphens/>
        <w:rPr>
          <w:iCs/>
          <w:spacing w:val="-3"/>
        </w:rPr>
      </w:pPr>
    </w:p>
    <w:p w14:paraId="03FF5FB0" w14:textId="58DCEE46" w:rsidR="006D0E6A" w:rsidRPr="00BD1319" w:rsidRDefault="006D0E6A" w:rsidP="000D6E21">
      <w:pPr>
        <w:numPr>
          <w:ilvl w:val="1"/>
          <w:numId w:val="40"/>
        </w:numPr>
        <w:tabs>
          <w:tab w:val="left" w:pos="-2268"/>
        </w:tabs>
        <w:suppressAutoHyphens/>
        <w:ind w:left="1134" w:hanging="567"/>
        <w:rPr>
          <w:iCs/>
          <w:spacing w:val="-3"/>
        </w:rPr>
      </w:pPr>
      <w:r w:rsidRPr="00BD1319">
        <w:rPr>
          <w:iCs/>
          <w:spacing w:val="-3"/>
        </w:rPr>
        <w:t>Justificación de</w:t>
      </w:r>
      <w:r w:rsidR="00EA0AA9" w:rsidRPr="00BD1319">
        <w:rPr>
          <w:iCs/>
          <w:spacing w:val="-3"/>
        </w:rPr>
        <w:t xml:space="preserve"> </w:t>
      </w:r>
      <w:r w:rsidRPr="00BD1319">
        <w:rPr>
          <w:iCs/>
          <w:spacing w:val="-3"/>
        </w:rPr>
        <w:t>l</w:t>
      </w:r>
      <w:r w:rsidR="00EA0AA9" w:rsidRPr="00BD1319">
        <w:rPr>
          <w:iCs/>
          <w:spacing w:val="-3"/>
        </w:rPr>
        <w:t>a</w:t>
      </w:r>
      <w:r w:rsidRPr="00BD1319">
        <w:rPr>
          <w:iCs/>
          <w:spacing w:val="-3"/>
        </w:rPr>
        <w:t xml:space="preserve"> </w:t>
      </w:r>
      <w:r w:rsidR="00EA0AA9" w:rsidRPr="00BD1319">
        <w:rPr>
          <w:iCs/>
          <w:spacing w:val="-3"/>
        </w:rPr>
        <w:t xml:space="preserve">cantidad </w:t>
      </w:r>
      <w:r w:rsidRPr="00BD1319">
        <w:rPr>
          <w:iCs/>
          <w:spacing w:val="-3"/>
        </w:rPr>
        <w:t xml:space="preserve">de especímenes de cada especie </w:t>
      </w:r>
      <w:r w:rsidR="00897CE5" w:rsidRPr="00BD1319">
        <w:rPr>
          <w:iCs/>
          <w:spacing w:val="-3"/>
        </w:rPr>
        <w:t xml:space="preserve">que se solicita cazar </w:t>
      </w:r>
      <w:r w:rsidRPr="00BD1319">
        <w:rPr>
          <w:iCs/>
          <w:spacing w:val="-3"/>
        </w:rPr>
        <w:t>para conformar el pie parental</w:t>
      </w:r>
      <w:r w:rsidR="00897CE5" w:rsidRPr="00BD1319">
        <w:rPr>
          <w:iCs/>
          <w:spacing w:val="-3"/>
        </w:rPr>
        <w:t xml:space="preserve">, así como </w:t>
      </w:r>
      <w:r w:rsidRPr="00BD1319">
        <w:rPr>
          <w:iCs/>
          <w:spacing w:val="-3"/>
        </w:rPr>
        <w:t>su proporción por sexo y edad.</w:t>
      </w:r>
    </w:p>
    <w:p w14:paraId="00A21A0A" w14:textId="77777777" w:rsidR="006D0E6A" w:rsidRPr="00BD1319" w:rsidRDefault="006D0E6A" w:rsidP="000D6E21">
      <w:pPr>
        <w:tabs>
          <w:tab w:val="left" w:pos="-2268"/>
        </w:tabs>
        <w:suppressAutoHyphens/>
        <w:rPr>
          <w:iCs/>
          <w:spacing w:val="-3"/>
        </w:rPr>
      </w:pPr>
    </w:p>
    <w:p w14:paraId="7706A5B2" w14:textId="1970B4C3" w:rsidR="006D0E6A" w:rsidRPr="00BD1319" w:rsidRDefault="00897CE5" w:rsidP="000D6E21">
      <w:pPr>
        <w:numPr>
          <w:ilvl w:val="1"/>
          <w:numId w:val="40"/>
        </w:numPr>
        <w:tabs>
          <w:tab w:val="left" w:pos="-2268"/>
        </w:tabs>
        <w:suppressAutoHyphens/>
        <w:ind w:left="1134" w:hanging="567"/>
        <w:rPr>
          <w:iCs/>
          <w:spacing w:val="-3"/>
        </w:rPr>
      </w:pPr>
      <w:r w:rsidRPr="00BD1319">
        <w:rPr>
          <w:iCs/>
          <w:spacing w:val="-3"/>
        </w:rPr>
        <w:t xml:space="preserve">Definición de la </w:t>
      </w:r>
      <w:r w:rsidR="006D0E6A" w:rsidRPr="00BD1319">
        <w:rPr>
          <w:iCs/>
          <w:spacing w:val="-3"/>
        </w:rPr>
        <w:t xml:space="preserve">periodicidad de extracción de ejemplares </w:t>
      </w:r>
      <w:r w:rsidRPr="00BD1319">
        <w:rPr>
          <w:iCs/>
          <w:spacing w:val="-3"/>
        </w:rPr>
        <w:t xml:space="preserve">que </w:t>
      </w:r>
      <w:r w:rsidR="006D0E6A" w:rsidRPr="00BD1319">
        <w:rPr>
          <w:iCs/>
          <w:spacing w:val="-3"/>
        </w:rPr>
        <w:t xml:space="preserve">es poblacionalmente viable, teniendo en cuenta el tipo de </w:t>
      </w:r>
      <w:proofErr w:type="spellStart"/>
      <w:r w:rsidR="006D0E6A" w:rsidRPr="00BD1319">
        <w:rPr>
          <w:iCs/>
          <w:spacing w:val="-3"/>
        </w:rPr>
        <w:t>zoocriadero</w:t>
      </w:r>
      <w:proofErr w:type="spellEnd"/>
      <w:r w:rsidR="006D0E6A" w:rsidRPr="00BD1319">
        <w:rPr>
          <w:iCs/>
          <w:spacing w:val="-3"/>
        </w:rPr>
        <w:t xml:space="preserve"> que se establecerá (ciclo cerrado, abierto o mixto).</w:t>
      </w:r>
    </w:p>
    <w:p w14:paraId="1A9B5B4C" w14:textId="77777777" w:rsidR="006D0E6A" w:rsidRPr="00BD1319" w:rsidRDefault="006D0E6A" w:rsidP="000D6E21">
      <w:pPr>
        <w:tabs>
          <w:tab w:val="left" w:pos="-2268"/>
        </w:tabs>
        <w:suppressAutoHyphens/>
        <w:rPr>
          <w:iCs/>
          <w:spacing w:val="-3"/>
        </w:rPr>
      </w:pPr>
    </w:p>
    <w:p w14:paraId="4C979526" w14:textId="153E9E95" w:rsidR="002B3AE7" w:rsidRPr="00BD1319" w:rsidRDefault="00A244A7" w:rsidP="000D6E21">
      <w:pPr>
        <w:numPr>
          <w:ilvl w:val="1"/>
          <w:numId w:val="40"/>
        </w:numPr>
        <w:tabs>
          <w:tab w:val="left" w:pos="-2268"/>
        </w:tabs>
        <w:suppressAutoHyphens/>
        <w:ind w:left="1134" w:hanging="567"/>
        <w:rPr>
          <w:iCs/>
          <w:spacing w:val="-3"/>
        </w:rPr>
      </w:pPr>
      <w:r w:rsidRPr="00BD1319">
        <w:rPr>
          <w:iCs/>
          <w:spacing w:val="-3"/>
        </w:rPr>
        <w:t>Fo</w:t>
      </w:r>
      <w:r w:rsidR="005D1F3D" w:rsidRPr="00BD1319">
        <w:rPr>
          <w:iCs/>
          <w:spacing w:val="-3"/>
        </w:rPr>
        <w:t>r</w:t>
      </w:r>
      <w:r w:rsidRPr="00BD1319">
        <w:rPr>
          <w:iCs/>
          <w:spacing w:val="-3"/>
        </w:rPr>
        <w:t xml:space="preserve">mulación de </w:t>
      </w:r>
      <w:r w:rsidR="006D0E6A" w:rsidRPr="00BD1319">
        <w:rPr>
          <w:iCs/>
          <w:spacing w:val="-3"/>
        </w:rPr>
        <w:t xml:space="preserve">modelos ecológicos </w:t>
      </w:r>
      <w:r w:rsidRPr="00BD1319">
        <w:rPr>
          <w:iCs/>
          <w:spacing w:val="-3"/>
        </w:rPr>
        <w:t xml:space="preserve">que </w:t>
      </w:r>
      <w:r w:rsidR="005C41AB" w:rsidRPr="00BD1319">
        <w:rPr>
          <w:iCs/>
          <w:spacing w:val="-3"/>
        </w:rPr>
        <w:t xml:space="preserve">permitan evaluar </w:t>
      </w:r>
      <w:r w:rsidR="006D0E6A" w:rsidRPr="00BD1319">
        <w:rPr>
          <w:iCs/>
          <w:spacing w:val="-3"/>
        </w:rPr>
        <w:t xml:space="preserve">la viabilidad de </w:t>
      </w:r>
      <w:r w:rsidR="005C41AB" w:rsidRPr="00BD1319">
        <w:rPr>
          <w:iCs/>
          <w:spacing w:val="-3"/>
        </w:rPr>
        <w:t xml:space="preserve">ejecución de las actividades de </w:t>
      </w:r>
      <w:r w:rsidR="006D0E6A" w:rsidRPr="00BD1319">
        <w:rPr>
          <w:iCs/>
          <w:spacing w:val="-3"/>
        </w:rPr>
        <w:t>caza de fomento</w:t>
      </w:r>
      <w:r w:rsidR="005D1F3D" w:rsidRPr="00BD1319">
        <w:rPr>
          <w:iCs/>
          <w:spacing w:val="-3"/>
        </w:rPr>
        <w:t xml:space="preserve"> propuesta</w:t>
      </w:r>
      <w:r w:rsidR="005C41AB" w:rsidRPr="00BD1319">
        <w:rPr>
          <w:iCs/>
          <w:spacing w:val="-3"/>
        </w:rPr>
        <w:t>s</w:t>
      </w:r>
      <w:r w:rsidR="006D0E6A" w:rsidRPr="00BD1319">
        <w:rPr>
          <w:iCs/>
          <w:spacing w:val="-3"/>
        </w:rPr>
        <w:t>.</w:t>
      </w:r>
    </w:p>
    <w:p w14:paraId="3DDA44AB" w14:textId="77777777" w:rsidR="006D0E6A" w:rsidRPr="00BD1319" w:rsidRDefault="006D0E6A">
      <w:pPr>
        <w:rPr>
          <w:spacing w:val="-3"/>
        </w:rPr>
      </w:pPr>
    </w:p>
    <w:p w14:paraId="4D8A3854" w14:textId="5B79332F" w:rsidR="00CA3F4E" w:rsidRPr="00BD1319" w:rsidRDefault="00CA3F4E">
      <w:pPr>
        <w:rPr>
          <w:spacing w:val="-3"/>
        </w:rPr>
      </w:pPr>
      <w:r w:rsidRPr="00BD1319">
        <w:rPr>
          <w:spacing w:val="-3"/>
        </w:rPr>
        <w:t xml:space="preserve">Dado que </w:t>
      </w:r>
      <w:r w:rsidR="00C50F8A" w:rsidRPr="00BD1319">
        <w:rPr>
          <w:spacing w:val="-3"/>
        </w:rPr>
        <w:t xml:space="preserve">cada ecosistema </w:t>
      </w:r>
      <w:r w:rsidR="008913E4" w:rsidRPr="00BD1319">
        <w:rPr>
          <w:spacing w:val="-3"/>
        </w:rPr>
        <w:t>tiene</w:t>
      </w:r>
      <w:r w:rsidR="00C50F8A" w:rsidRPr="00BD1319">
        <w:rPr>
          <w:spacing w:val="-3"/>
        </w:rPr>
        <w:t xml:space="preserve"> </w:t>
      </w:r>
      <w:r w:rsidRPr="00BD1319">
        <w:rPr>
          <w:spacing w:val="-3"/>
        </w:rPr>
        <w:t xml:space="preserve">características </w:t>
      </w:r>
      <w:r w:rsidR="00C50F8A" w:rsidRPr="00BD1319">
        <w:rPr>
          <w:spacing w:val="-3"/>
        </w:rPr>
        <w:t xml:space="preserve">bióticas y abióticas únicas, </w:t>
      </w:r>
      <w:r w:rsidRPr="00BD1319">
        <w:rPr>
          <w:spacing w:val="-3"/>
        </w:rPr>
        <w:t>se deben incorporar variables ecosistémicas complementarias y realizar análisis locales sobre la biología de las especies objetivo</w:t>
      </w:r>
      <w:r w:rsidR="00C50F8A" w:rsidRPr="00BD1319">
        <w:rPr>
          <w:spacing w:val="-3"/>
        </w:rPr>
        <w:t xml:space="preserve"> en caso de que la información sobre </w:t>
      </w:r>
      <w:r w:rsidR="008913E4" w:rsidRPr="00BD1319">
        <w:rPr>
          <w:spacing w:val="-3"/>
        </w:rPr>
        <w:t xml:space="preserve">sus </w:t>
      </w:r>
      <w:r w:rsidR="00C50F8A" w:rsidRPr="00BD1319">
        <w:rPr>
          <w:spacing w:val="-3"/>
        </w:rPr>
        <w:t>ciclos de vida</w:t>
      </w:r>
      <w:r w:rsidR="008913E4" w:rsidRPr="00BD1319">
        <w:rPr>
          <w:spacing w:val="-3"/>
        </w:rPr>
        <w:t>,</w:t>
      </w:r>
      <w:r w:rsidR="00C50F8A" w:rsidRPr="00BD1319">
        <w:rPr>
          <w:spacing w:val="-3"/>
        </w:rPr>
        <w:t xml:space="preserve"> comportamientos sexuales</w:t>
      </w:r>
      <w:r w:rsidR="008913E4" w:rsidRPr="00BD1319">
        <w:rPr>
          <w:spacing w:val="-3"/>
        </w:rPr>
        <w:t xml:space="preserve"> y</w:t>
      </w:r>
      <w:r w:rsidR="00C50F8A" w:rsidRPr="00BD1319">
        <w:rPr>
          <w:spacing w:val="-3"/>
        </w:rPr>
        <w:t xml:space="preserve"> estructura y dinámica poblacional no sea suficiente para </w:t>
      </w:r>
      <w:r w:rsidR="008913E4" w:rsidRPr="00BD1319">
        <w:rPr>
          <w:spacing w:val="-3"/>
        </w:rPr>
        <w:t>d</w:t>
      </w:r>
      <w:r w:rsidR="00C50F8A" w:rsidRPr="00BD1319">
        <w:rPr>
          <w:spacing w:val="-3"/>
        </w:rPr>
        <w:t>etermina</w:t>
      </w:r>
      <w:r w:rsidR="008913E4" w:rsidRPr="00BD1319">
        <w:rPr>
          <w:spacing w:val="-3"/>
        </w:rPr>
        <w:t xml:space="preserve">r </w:t>
      </w:r>
      <w:r w:rsidR="00C50F8A" w:rsidRPr="00BD1319">
        <w:rPr>
          <w:spacing w:val="-3"/>
        </w:rPr>
        <w:t xml:space="preserve">la capacidad de </w:t>
      </w:r>
      <w:r w:rsidR="008913E4" w:rsidRPr="00BD1319">
        <w:rPr>
          <w:spacing w:val="-3"/>
        </w:rPr>
        <w:t xml:space="preserve">sus </w:t>
      </w:r>
      <w:r w:rsidR="00C50F8A" w:rsidRPr="00BD1319">
        <w:rPr>
          <w:spacing w:val="-3"/>
        </w:rPr>
        <w:t>poblaciones y de su</w:t>
      </w:r>
      <w:r w:rsidR="008913E4" w:rsidRPr="00BD1319">
        <w:rPr>
          <w:spacing w:val="-3"/>
        </w:rPr>
        <w:t>s</w:t>
      </w:r>
      <w:r w:rsidR="00C50F8A" w:rsidRPr="00BD1319">
        <w:rPr>
          <w:spacing w:val="-3"/>
        </w:rPr>
        <w:t xml:space="preserve"> hábitat</w:t>
      </w:r>
      <w:r w:rsidR="008913E4" w:rsidRPr="00BD1319">
        <w:rPr>
          <w:spacing w:val="-3"/>
        </w:rPr>
        <w:t>s</w:t>
      </w:r>
      <w:r w:rsidR="00C50F8A" w:rsidRPr="00BD1319">
        <w:rPr>
          <w:spacing w:val="-3"/>
        </w:rPr>
        <w:t xml:space="preserve"> para </w:t>
      </w:r>
      <w:r w:rsidR="008913E4" w:rsidRPr="00BD1319">
        <w:rPr>
          <w:spacing w:val="-3"/>
        </w:rPr>
        <w:t>soportar e</w:t>
      </w:r>
      <w:r w:rsidR="00C50F8A" w:rsidRPr="00BD1319">
        <w:rPr>
          <w:spacing w:val="-3"/>
        </w:rPr>
        <w:t>l desarrollo de actividad</w:t>
      </w:r>
      <w:r w:rsidR="008913E4" w:rsidRPr="00BD1319">
        <w:rPr>
          <w:spacing w:val="-3"/>
        </w:rPr>
        <w:t>es</w:t>
      </w:r>
      <w:r w:rsidR="00C50F8A" w:rsidRPr="00BD1319">
        <w:rPr>
          <w:spacing w:val="-3"/>
        </w:rPr>
        <w:t xml:space="preserve"> de caza de fomento</w:t>
      </w:r>
      <w:r w:rsidRPr="00BD1319">
        <w:rPr>
          <w:spacing w:val="-3"/>
        </w:rPr>
        <w:t>.</w:t>
      </w:r>
    </w:p>
    <w:p w14:paraId="6F4357D0" w14:textId="77777777" w:rsidR="00CA3F4E" w:rsidRPr="00BD1319" w:rsidRDefault="00CA3F4E">
      <w:pPr>
        <w:rPr>
          <w:spacing w:val="-3"/>
        </w:rPr>
      </w:pPr>
    </w:p>
    <w:p w14:paraId="78E42F9F" w14:textId="2907D404" w:rsidR="00751EF1" w:rsidRPr="00BD1319" w:rsidRDefault="00751EF1" w:rsidP="000D6E21">
      <w:pPr>
        <w:rPr>
          <w:spacing w:val="-3"/>
        </w:rPr>
      </w:pPr>
      <w:r w:rsidRPr="00BD1319">
        <w:rPr>
          <w:spacing w:val="-3"/>
        </w:rPr>
        <w:t xml:space="preserve">Asimismo, se deben desarrollar </w:t>
      </w:r>
      <w:r w:rsidR="006964FD" w:rsidRPr="00BD1319">
        <w:rPr>
          <w:spacing w:val="-3"/>
        </w:rPr>
        <w:t xml:space="preserve">información </w:t>
      </w:r>
      <w:r w:rsidRPr="00BD1319">
        <w:rPr>
          <w:spacing w:val="-3"/>
        </w:rPr>
        <w:t xml:space="preserve">geográfica que señale la distribución potencial y la distribución real de las especies objeto del permiso de caza de fomento. La información geográfica sobre la distribución potencial debe elaborase mediante un análisis espacial que </w:t>
      </w:r>
      <w:r w:rsidRPr="00BD1319">
        <w:rPr>
          <w:spacing w:val="-3"/>
        </w:rPr>
        <w:lastRenderedPageBreak/>
        <w:t>relacione las preferencias de las especies objeto de captura con variables climáticas como precipitación, humedad, temperatura máxima y mínima e intensidad lumínica y, la información geográfica sobre la distribución real de tales especies debe desarrollarse a partir de los resultados de los estudios poblacionales y de registros biológicos existentes en sistemas de información oficial. Esta información geográfica debe presentarse de acuerdo con la estructura establecida en el MAG.</w:t>
      </w:r>
    </w:p>
    <w:p w14:paraId="7304F3E3" w14:textId="77777777" w:rsidR="00751EF1" w:rsidRPr="00BD1319" w:rsidRDefault="00751EF1" w:rsidP="000D6E21">
      <w:pPr>
        <w:rPr>
          <w:spacing w:val="-3"/>
        </w:rPr>
      </w:pPr>
    </w:p>
    <w:p w14:paraId="6813548A" w14:textId="511B6E2C" w:rsidR="001E530C" w:rsidRPr="00BD1319" w:rsidRDefault="001E530C" w:rsidP="000D6E21">
      <w:pPr>
        <w:tabs>
          <w:tab w:val="left" w:pos="-2268"/>
        </w:tabs>
        <w:suppressAutoHyphens/>
        <w:rPr>
          <w:spacing w:val="-3"/>
        </w:rPr>
      </w:pPr>
      <w:r w:rsidRPr="00BD1319">
        <w:rPr>
          <w:spacing w:val="-3"/>
        </w:rPr>
        <w:t>Si para la elaboración del estudio para determinar la viabilidad biológica de la caza de fomento</w:t>
      </w:r>
      <w:r w:rsidRPr="00BD1319" w:rsidDel="000509FD">
        <w:rPr>
          <w:spacing w:val="-3"/>
        </w:rPr>
        <w:t xml:space="preserve"> </w:t>
      </w:r>
      <w:r w:rsidRPr="00BD1319">
        <w:rPr>
          <w:spacing w:val="-3"/>
        </w:rPr>
        <w:t xml:space="preserve">resulta necesario recolectar especímenes de especies silvestres, se debe tramitar el permiso de estudio para la recolección de especímenes de especies silvestres de la diversidad biológica con fines de elaboración de estudios ambientales, de acuerdo con lo establecido en la Sección 2, Capítulo 9, Título 2, Parte 2, Libro 2 del Decreto 1076 de 2015, o </w:t>
      </w:r>
      <w:r w:rsidRPr="00BD1319">
        <w:rPr>
          <w:rFonts w:cs="Arial"/>
          <w:spacing w:val="-3"/>
        </w:rPr>
        <w:t>aquella</w:t>
      </w:r>
      <w:r w:rsidRPr="00BD1319">
        <w:rPr>
          <w:spacing w:val="-3"/>
        </w:rPr>
        <w:t xml:space="preserve"> norma que </w:t>
      </w:r>
      <w:r w:rsidRPr="00BD1319">
        <w:rPr>
          <w:rFonts w:cs="Arial"/>
          <w:spacing w:val="-3"/>
        </w:rPr>
        <w:t>lo</w:t>
      </w:r>
      <w:r w:rsidRPr="00BD1319">
        <w:rPr>
          <w:spacing w:val="-3"/>
        </w:rPr>
        <w:t xml:space="preserve"> modifique</w:t>
      </w:r>
      <w:r w:rsidRPr="00BD1319">
        <w:rPr>
          <w:rFonts w:cs="Arial"/>
          <w:spacing w:val="-3"/>
        </w:rPr>
        <w:t xml:space="preserve"> o</w:t>
      </w:r>
      <w:r w:rsidRPr="00BD1319">
        <w:rPr>
          <w:spacing w:val="-3"/>
        </w:rPr>
        <w:t xml:space="preserve"> sustituya.</w:t>
      </w:r>
      <w:r w:rsidR="00DB0301" w:rsidRPr="00BD1319">
        <w:rPr>
          <w:spacing w:val="-3"/>
        </w:rPr>
        <w:t xml:space="preserve"> En este caso</w:t>
      </w:r>
      <w:r w:rsidRPr="00BD1319">
        <w:rPr>
          <w:spacing w:val="-3"/>
        </w:rPr>
        <w:t xml:space="preserve">, </w:t>
      </w:r>
      <w:r w:rsidR="00DB0301" w:rsidRPr="00BD1319">
        <w:rPr>
          <w:spacing w:val="-3"/>
        </w:rPr>
        <w:t xml:space="preserve">con el fin de adelantar las acciones de </w:t>
      </w:r>
      <w:r w:rsidRPr="00BD1319">
        <w:rPr>
          <w:spacing w:val="-3"/>
        </w:rPr>
        <w:t>recolección o captura de especímenes fomento, es necesario lo siguiente:</w:t>
      </w:r>
    </w:p>
    <w:p w14:paraId="5A8FC12E" w14:textId="77777777" w:rsidR="001E530C" w:rsidRPr="00BD1319" w:rsidRDefault="001E530C" w:rsidP="000D6E21">
      <w:pPr>
        <w:tabs>
          <w:tab w:val="left" w:pos="-2268"/>
        </w:tabs>
        <w:suppressAutoHyphens/>
        <w:rPr>
          <w:spacing w:val="-3"/>
        </w:rPr>
      </w:pPr>
    </w:p>
    <w:p w14:paraId="58194B16" w14:textId="09E1221D" w:rsidR="00B90B2D" w:rsidRPr="00BD1319" w:rsidRDefault="00B90B2D" w:rsidP="000D6E21">
      <w:pPr>
        <w:pStyle w:val="Prrafodelista"/>
        <w:numPr>
          <w:ilvl w:val="0"/>
          <w:numId w:val="5"/>
        </w:numPr>
        <w:tabs>
          <w:tab w:val="left" w:pos="-2268"/>
        </w:tabs>
        <w:suppressAutoHyphens/>
        <w:ind w:left="567" w:hanging="567"/>
        <w:rPr>
          <w:spacing w:val="-3"/>
          <w:lang w:val="es-CO"/>
        </w:rPr>
      </w:pPr>
      <w:r w:rsidRPr="00BD1319">
        <w:rPr>
          <w:spacing w:val="-3"/>
          <w:lang w:val="es-CO"/>
        </w:rPr>
        <w:t>Especificar los objetivos y alcances de la captura de los ejemplares para el estudio poblacional.</w:t>
      </w:r>
    </w:p>
    <w:p w14:paraId="1C7F6193" w14:textId="77777777" w:rsidR="001E530C" w:rsidRPr="00BD1319" w:rsidRDefault="001E530C" w:rsidP="000D6E21">
      <w:pPr>
        <w:tabs>
          <w:tab w:val="left" w:pos="-2268"/>
        </w:tabs>
        <w:suppressAutoHyphens/>
        <w:rPr>
          <w:spacing w:val="-3"/>
        </w:rPr>
      </w:pPr>
    </w:p>
    <w:p w14:paraId="5D627B15" w14:textId="383B8AAF" w:rsidR="00B90B2D" w:rsidRPr="00BD1319" w:rsidRDefault="00B90B2D" w:rsidP="000D6E21">
      <w:pPr>
        <w:pStyle w:val="Prrafodelista"/>
        <w:numPr>
          <w:ilvl w:val="0"/>
          <w:numId w:val="5"/>
        </w:numPr>
        <w:tabs>
          <w:tab w:val="left" w:pos="-2268"/>
        </w:tabs>
        <w:suppressAutoHyphens/>
        <w:ind w:left="567" w:hanging="567"/>
        <w:rPr>
          <w:spacing w:val="-3"/>
        </w:rPr>
      </w:pPr>
      <w:r w:rsidRPr="00BD1319">
        <w:rPr>
          <w:spacing w:val="-3"/>
          <w:lang w:val="es-CO"/>
        </w:rPr>
        <w:t xml:space="preserve">Estructurar </w:t>
      </w:r>
      <w:r w:rsidR="00DB0301" w:rsidRPr="00BD1319">
        <w:rPr>
          <w:spacing w:val="-3"/>
          <w:lang w:val="es-CO"/>
        </w:rPr>
        <w:t xml:space="preserve">el método </w:t>
      </w:r>
      <w:r w:rsidRPr="00BD1319">
        <w:rPr>
          <w:spacing w:val="-3"/>
          <w:lang w:val="es-CO"/>
        </w:rPr>
        <w:t xml:space="preserve">y la representatividad de </w:t>
      </w:r>
      <w:r w:rsidR="00EF632D" w:rsidRPr="00BD1319">
        <w:rPr>
          <w:spacing w:val="-3"/>
          <w:lang w:val="es-CO"/>
        </w:rPr>
        <w:t>los muestreos</w:t>
      </w:r>
      <w:r w:rsidRPr="00BD1319">
        <w:rPr>
          <w:spacing w:val="-3"/>
          <w:lang w:val="es-CO"/>
        </w:rPr>
        <w:t>, en unidades y esfuerzos de muestreo, tanto de encuentro como de registros poblacionales</w:t>
      </w:r>
      <w:r w:rsidR="00EF632D" w:rsidRPr="00BD1319">
        <w:rPr>
          <w:spacing w:val="-3"/>
          <w:lang w:val="es-CO"/>
        </w:rPr>
        <w:t xml:space="preserve">. Si resulta pertinente, es posible emplear técnicas de </w:t>
      </w:r>
      <w:r w:rsidRPr="00BD1319">
        <w:rPr>
          <w:spacing w:val="-3"/>
          <w:lang w:val="es-CO"/>
        </w:rPr>
        <w:t>marcaje o anillamiento de individuos</w:t>
      </w:r>
      <w:r w:rsidR="00EF632D" w:rsidRPr="00BD1319">
        <w:rPr>
          <w:spacing w:val="-3"/>
          <w:lang w:val="es-CO"/>
        </w:rPr>
        <w:t xml:space="preserve"> para </w:t>
      </w:r>
      <w:r w:rsidRPr="00BD1319">
        <w:rPr>
          <w:spacing w:val="-3"/>
          <w:lang w:val="es-CO"/>
        </w:rPr>
        <w:t xml:space="preserve">obtener información de </w:t>
      </w:r>
      <w:r w:rsidR="00123A5C" w:rsidRPr="00BD1319">
        <w:rPr>
          <w:spacing w:val="-3"/>
          <w:lang w:val="es-CO"/>
        </w:rPr>
        <w:t xml:space="preserve">ejemplares </w:t>
      </w:r>
      <w:r w:rsidRPr="00BD1319">
        <w:rPr>
          <w:spacing w:val="-3"/>
          <w:lang w:val="es-CO"/>
        </w:rPr>
        <w:t>individuales</w:t>
      </w:r>
      <w:r w:rsidR="00123A5C" w:rsidRPr="00BD1319">
        <w:rPr>
          <w:spacing w:val="-3"/>
          <w:lang w:val="es-CO"/>
        </w:rPr>
        <w:t>.</w:t>
      </w:r>
    </w:p>
    <w:p w14:paraId="1E0F5603" w14:textId="77777777" w:rsidR="001E530C" w:rsidRPr="00BD1319" w:rsidRDefault="001E530C" w:rsidP="000D6E21">
      <w:pPr>
        <w:tabs>
          <w:tab w:val="left" w:pos="-2268"/>
        </w:tabs>
        <w:suppressAutoHyphens/>
        <w:rPr>
          <w:spacing w:val="-3"/>
        </w:rPr>
      </w:pPr>
    </w:p>
    <w:p w14:paraId="2618CAA5" w14:textId="2A83999F" w:rsidR="00B90B2D" w:rsidRPr="00BD1319" w:rsidRDefault="00B90B2D" w:rsidP="000D6E21">
      <w:pPr>
        <w:pStyle w:val="Prrafodelista"/>
        <w:numPr>
          <w:ilvl w:val="0"/>
          <w:numId w:val="5"/>
        </w:numPr>
        <w:tabs>
          <w:tab w:val="left" w:pos="-2268"/>
        </w:tabs>
        <w:suppressAutoHyphens/>
        <w:ind w:left="567" w:hanging="567"/>
        <w:rPr>
          <w:spacing w:val="-3"/>
        </w:rPr>
      </w:pPr>
      <w:r w:rsidRPr="00BD1319">
        <w:rPr>
          <w:spacing w:val="-3"/>
          <w:lang w:val="es-CO"/>
        </w:rPr>
        <w:t xml:space="preserve">Realizar </w:t>
      </w:r>
      <w:r w:rsidR="00BA65F5" w:rsidRPr="00BD1319">
        <w:rPr>
          <w:spacing w:val="-3"/>
          <w:lang w:val="es-CO"/>
        </w:rPr>
        <w:t xml:space="preserve">el muestreo contemplando </w:t>
      </w:r>
      <w:r w:rsidRPr="00BD1319">
        <w:rPr>
          <w:spacing w:val="-3"/>
          <w:lang w:val="es-CO"/>
        </w:rPr>
        <w:t>diferentes sitios</w:t>
      </w:r>
      <w:r w:rsidR="00BA65F5" w:rsidRPr="00BD1319">
        <w:rPr>
          <w:spacing w:val="-3"/>
          <w:lang w:val="es-CO"/>
        </w:rPr>
        <w:t xml:space="preserve"> y</w:t>
      </w:r>
      <w:r w:rsidRPr="00BD1319">
        <w:rPr>
          <w:spacing w:val="-3"/>
          <w:lang w:val="es-CO"/>
        </w:rPr>
        <w:t xml:space="preserve"> periodos climáticos o temporales, </w:t>
      </w:r>
      <w:r w:rsidR="00BA65F5" w:rsidRPr="00BD1319">
        <w:rPr>
          <w:spacing w:val="-3"/>
          <w:lang w:val="es-CO"/>
        </w:rPr>
        <w:t xml:space="preserve">a fin de asegurar su </w:t>
      </w:r>
      <w:r w:rsidRPr="00BD1319">
        <w:rPr>
          <w:spacing w:val="-3"/>
          <w:lang w:val="es-CO"/>
        </w:rPr>
        <w:t>representativ</w:t>
      </w:r>
      <w:r w:rsidR="00BA65F5" w:rsidRPr="00BD1319">
        <w:rPr>
          <w:spacing w:val="-3"/>
          <w:lang w:val="es-CO"/>
        </w:rPr>
        <w:t xml:space="preserve">idad y así </w:t>
      </w:r>
      <w:r w:rsidRPr="00BD1319">
        <w:rPr>
          <w:spacing w:val="-3"/>
          <w:lang w:val="es-CO"/>
        </w:rPr>
        <w:t>ten</w:t>
      </w:r>
      <w:r w:rsidR="00BA65F5" w:rsidRPr="00BD1319">
        <w:rPr>
          <w:spacing w:val="-3"/>
          <w:lang w:val="es-CO"/>
        </w:rPr>
        <w:t xml:space="preserve">er </w:t>
      </w:r>
      <w:r w:rsidRPr="00BD1319">
        <w:rPr>
          <w:spacing w:val="-3"/>
          <w:lang w:val="es-CO"/>
        </w:rPr>
        <w:t xml:space="preserve">certeza del comportamiento </w:t>
      </w:r>
      <w:r w:rsidR="00BA65F5" w:rsidRPr="00BD1319">
        <w:rPr>
          <w:spacing w:val="-3"/>
          <w:lang w:val="es-CO"/>
        </w:rPr>
        <w:t>de las poblaciones</w:t>
      </w:r>
      <w:r w:rsidRPr="00BD1319">
        <w:rPr>
          <w:spacing w:val="-3"/>
          <w:lang w:val="es-CO"/>
        </w:rPr>
        <w:t>.</w:t>
      </w:r>
      <w:r w:rsidR="00DB0301" w:rsidRPr="00BD1319">
        <w:rPr>
          <w:spacing w:val="-3"/>
          <w:lang w:val="es-CO"/>
        </w:rPr>
        <w:t xml:space="preserve"> Los datos deben ser registrados en tablas que evidencien la información referida a cada individuo de las especies de interés.</w:t>
      </w:r>
    </w:p>
    <w:p w14:paraId="3DFC9DE2" w14:textId="77777777" w:rsidR="001E530C" w:rsidRPr="00BD1319" w:rsidRDefault="001E530C" w:rsidP="000D6E21">
      <w:pPr>
        <w:tabs>
          <w:tab w:val="left" w:pos="-2268"/>
        </w:tabs>
        <w:suppressAutoHyphens/>
        <w:rPr>
          <w:spacing w:val="-3"/>
        </w:rPr>
      </w:pPr>
    </w:p>
    <w:p w14:paraId="2022D2A4" w14:textId="70A7FF7C" w:rsidR="00B90B2D" w:rsidRPr="00BD1319" w:rsidRDefault="00BA65F5" w:rsidP="000D6E21">
      <w:pPr>
        <w:pStyle w:val="Prrafodelista"/>
        <w:numPr>
          <w:ilvl w:val="0"/>
          <w:numId w:val="5"/>
        </w:numPr>
        <w:tabs>
          <w:tab w:val="left" w:pos="-2268"/>
        </w:tabs>
        <w:suppressAutoHyphens/>
        <w:ind w:left="567" w:hanging="567"/>
        <w:rPr>
          <w:spacing w:val="-3"/>
        </w:rPr>
      </w:pPr>
      <w:r w:rsidRPr="00BD1319">
        <w:rPr>
          <w:spacing w:val="-3"/>
          <w:lang w:val="es-CO"/>
        </w:rPr>
        <w:t>Socializar</w:t>
      </w:r>
      <w:r w:rsidR="00B90B2D" w:rsidRPr="00BD1319">
        <w:rPr>
          <w:spacing w:val="-3"/>
          <w:lang w:val="es-CO"/>
        </w:rPr>
        <w:t xml:space="preserve"> el esfuerzo de muestreo con cada uno de los miembros del equipo que realizará las capturas </w:t>
      </w:r>
      <w:r w:rsidRPr="00BD1319">
        <w:rPr>
          <w:spacing w:val="-3"/>
          <w:lang w:val="es-CO"/>
        </w:rPr>
        <w:t xml:space="preserve">y </w:t>
      </w:r>
      <w:r w:rsidR="00B90B2D" w:rsidRPr="00BD1319">
        <w:rPr>
          <w:spacing w:val="-3"/>
          <w:lang w:val="es-CO"/>
        </w:rPr>
        <w:t xml:space="preserve">especificar si las búsquedas de los diferentes colectores se </w:t>
      </w:r>
      <w:r w:rsidR="00DB0301" w:rsidRPr="00BD1319">
        <w:rPr>
          <w:spacing w:val="-3"/>
          <w:lang w:val="es-CO"/>
        </w:rPr>
        <w:t>localizan</w:t>
      </w:r>
      <w:r w:rsidR="00B90B2D" w:rsidRPr="00BD1319">
        <w:rPr>
          <w:spacing w:val="-3"/>
          <w:lang w:val="es-CO"/>
        </w:rPr>
        <w:t xml:space="preserve"> en las mism</w:t>
      </w:r>
      <w:r w:rsidRPr="00BD1319">
        <w:rPr>
          <w:spacing w:val="-3"/>
          <w:lang w:val="es-CO"/>
        </w:rPr>
        <w:t>a</w:t>
      </w:r>
      <w:r w:rsidR="00B90B2D" w:rsidRPr="00BD1319">
        <w:rPr>
          <w:spacing w:val="-3"/>
          <w:lang w:val="es-CO"/>
        </w:rPr>
        <w:t>s o en diferentes unidades de muestreo. El esfuerzo de muestreo debe estar respaldado por curvas de acumulación, análisis de captura/recaptura y otros análisis estadísticos que demuestren la suficiencia del muestreo.</w:t>
      </w:r>
    </w:p>
    <w:p w14:paraId="7B00DE06" w14:textId="77777777" w:rsidR="001E530C" w:rsidRPr="00BD1319" w:rsidRDefault="001E530C" w:rsidP="000D6E21">
      <w:pPr>
        <w:tabs>
          <w:tab w:val="left" w:pos="-2268"/>
        </w:tabs>
        <w:suppressAutoHyphens/>
        <w:rPr>
          <w:spacing w:val="-3"/>
        </w:rPr>
      </w:pPr>
    </w:p>
    <w:p w14:paraId="72F7A7FB" w14:textId="7DC38F5D" w:rsidR="00B90B2D" w:rsidRPr="00BD1319" w:rsidRDefault="00B90B2D" w:rsidP="000D6E21">
      <w:pPr>
        <w:pStyle w:val="Prrafodelista"/>
        <w:numPr>
          <w:ilvl w:val="0"/>
          <w:numId w:val="5"/>
        </w:numPr>
        <w:tabs>
          <w:tab w:val="left" w:pos="-2268"/>
        </w:tabs>
        <w:suppressAutoHyphens/>
        <w:ind w:left="567" w:hanging="567"/>
        <w:rPr>
          <w:spacing w:val="-3"/>
        </w:rPr>
      </w:pPr>
      <w:r w:rsidRPr="00BD1319">
        <w:rPr>
          <w:spacing w:val="-3"/>
          <w:lang w:val="es-CO"/>
        </w:rPr>
        <w:t xml:space="preserve">Establecer </w:t>
      </w:r>
      <w:r w:rsidR="00DD4E34" w:rsidRPr="00BD1319">
        <w:rPr>
          <w:spacing w:val="-3"/>
          <w:lang w:val="es-CO"/>
        </w:rPr>
        <w:t xml:space="preserve">métodos </w:t>
      </w:r>
      <w:r w:rsidRPr="00BD1319">
        <w:rPr>
          <w:spacing w:val="-3"/>
          <w:lang w:val="es-CO"/>
        </w:rPr>
        <w:t>de encuentro o reporte de nidos, huevos, polluelos, juveniles o inmaduros, según el grupo de fauna de interés.</w:t>
      </w:r>
    </w:p>
    <w:p w14:paraId="7A5FD9AD" w14:textId="77777777" w:rsidR="001E530C" w:rsidRPr="00BD1319" w:rsidRDefault="001E530C" w:rsidP="000D6E21">
      <w:pPr>
        <w:tabs>
          <w:tab w:val="left" w:pos="-2268"/>
        </w:tabs>
        <w:suppressAutoHyphens/>
        <w:rPr>
          <w:spacing w:val="-3"/>
        </w:rPr>
      </w:pPr>
    </w:p>
    <w:p w14:paraId="21F43030" w14:textId="2EA72F4B" w:rsidR="00B90B2D" w:rsidRPr="00BD1319" w:rsidRDefault="00B90B2D" w:rsidP="00573ED0">
      <w:pPr>
        <w:pStyle w:val="Prrafodelista"/>
        <w:numPr>
          <w:ilvl w:val="0"/>
          <w:numId w:val="5"/>
        </w:numPr>
        <w:tabs>
          <w:tab w:val="left" w:pos="-2268"/>
        </w:tabs>
        <w:suppressAutoHyphens/>
        <w:ind w:left="567" w:hanging="567"/>
        <w:rPr>
          <w:spacing w:val="-3"/>
          <w:lang w:val="es-CO"/>
        </w:rPr>
      </w:pPr>
      <w:r w:rsidRPr="00BD1319">
        <w:rPr>
          <w:spacing w:val="-3"/>
          <w:lang w:val="es-CO"/>
        </w:rPr>
        <w:t xml:space="preserve">Considerar la posible sub o sobrestimación de los ejemplares de acuerdo con la proporción sexual de cada especie. </w:t>
      </w:r>
      <w:r w:rsidR="000A276B" w:rsidRPr="00BD1319">
        <w:rPr>
          <w:spacing w:val="-3"/>
          <w:lang w:val="es-CO"/>
        </w:rPr>
        <w:t xml:space="preserve">En este sentido, </w:t>
      </w:r>
      <w:r w:rsidRPr="00BD1319">
        <w:rPr>
          <w:spacing w:val="-3"/>
          <w:lang w:val="es-CO"/>
        </w:rPr>
        <w:t xml:space="preserve">se debe realizar el marcaje o anillamiento de individuos </w:t>
      </w:r>
      <w:r w:rsidR="000A276B" w:rsidRPr="00BD1319">
        <w:rPr>
          <w:spacing w:val="-3"/>
          <w:lang w:val="es-CO"/>
        </w:rPr>
        <w:t xml:space="preserve">y </w:t>
      </w:r>
      <w:r w:rsidRPr="00BD1319">
        <w:rPr>
          <w:spacing w:val="-3"/>
          <w:lang w:val="es-CO"/>
        </w:rPr>
        <w:t xml:space="preserve">obtener información sobre el sexo de </w:t>
      </w:r>
      <w:r w:rsidR="000A276B" w:rsidRPr="00BD1319">
        <w:rPr>
          <w:spacing w:val="-3"/>
          <w:lang w:val="es-CO"/>
        </w:rPr>
        <w:t xml:space="preserve">éstos con el fin de determinar el </w:t>
      </w:r>
      <w:r w:rsidRPr="00BD1319">
        <w:rPr>
          <w:spacing w:val="-3"/>
          <w:lang w:val="es-CO"/>
        </w:rPr>
        <w:t xml:space="preserve">efecto </w:t>
      </w:r>
      <w:r w:rsidR="00272CBF" w:rsidRPr="00BD1319">
        <w:rPr>
          <w:spacing w:val="-3"/>
          <w:lang w:val="es-CO"/>
        </w:rPr>
        <w:t xml:space="preserve">que tendrá </w:t>
      </w:r>
      <w:r w:rsidR="000A276B" w:rsidRPr="00BD1319">
        <w:rPr>
          <w:spacing w:val="-3"/>
          <w:lang w:val="es-CO"/>
        </w:rPr>
        <w:t xml:space="preserve">la captura </w:t>
      </w:r>
      <w:r w:rsidRPr="00BD1319">
        <w:rPr>
          <w:spacing w:val="-3"/>
          <w:lang w:val="es-CO"/>
        </w:rPr>
        <w:t xml:space="preserve">durante las actividades de caza, así como </w:t>
      </w:r>
      <w:r w:rsidR="000A276B" w:rsidRPr="00BD1319">
        <w:rPr>
          <w:spacing w:val="-3"/>
          <w:lang w:val="es-CO"/>
        </w:rPr>
        <w:lastRenderedPageBreak/>
        <w:t xml:space="preserve">de </w:t>
      </w:r>
      <w:r w:rsidRPr="00BD1319">
        <w:rPr>
          <w:spacing w:val="-3"/>
          <w:lang w:val="es-CO"/>
        </w:rPr>
        <w:t>garantizar la independencia de los datos y evitar el registro de ejemplares “repetidos”.</w:t>
      </w:r>
    </w:p>
    <w:p w14:paraId="6E67F08F" w14:textId="77777777" w:rsidR="00DB0301" w:rsidRPr="00BD1319" w:rsidRDefault="00DB0301" w:rsidP="000D6E21">
      <w:pPr>
        <w:tabs>
          <w:tab w:val="left" w:pos="-2268"/>
        </w:tabs>
        <w:suppressAutoHyphens/>
        <w:rPr>
          <w:spacing w:val="-3"/>
        </w:rPr>
      </w:pPr>
    </w:p>
    <w:p w14:paraId="2FE95969" w14:textId="1069CBA8" w:rsidR="00B90B2D" w:rsidRPr="00BD1319" w:rsidRDefault="000A276B" w:rsidP="000D6E21">
      <w:pPr>
        <w:pStyle w:val="Prrafodelista"/>
        <w:numPr>
          <w:ilvl w:val="0"/>
          <w:numId w:val="5"/>
        </w:numPr>
        <w:tabs>
          <w:tab w:val="left" w:pos="-2268"/>
        </w:tabs>
        <w:suppressAutoHyphens/>
        <w:ind w:left="567" w:hanging="567"/>
        <w:rPr>
          <w:spacing w:val="-3"/>
        </w:rPr>
      </w:pPr>
      <w:r w:rsidRPr="00BD1319">
        <w:rPr>
          <w:iCs/>
          <w:spacing w:val="-3"/>
        </w:rPr>
        <w:t>E</w:t>
      </w:r>
      <w:r w:rsidR="00B90B2D" w:rsidRPr="00BD1319">
        <w:rPr>
          <w:iCs/>
          <w:spacing w:val="-3"/>
        </w:rPr>
        <w:t xml:space="preserve">specificar si las especies presentan monogamia, y en caso tal, establecer </w:t>
      </w:r>
      <w:r w:rsidRPr="00BD1319">
        <w:rPr>
          <w:iCs/>
          <w:spacing w:val="-3"/>
        </w:rPr>
        <w:t xml:space="preserve">acciones que </w:t>
      </w:r>
      <w:r w:rsidR="00B90B2D" w:rsidRPr="00BD1319">
        <w:rPr>
          <w:iCs/>
          <w:spacing w:val="-3"/>
        </w:rPr>
        <w:t>evit</w:t>
      </w:r>
      <w:r w:rsidRPr="00BD1319">
        <w:rPr>
          <w:iCs/>
          <w:spacing w:val="-3"/>
        </w:rPr>
        <w:t>en</w:t>
      </w:r>
      <w:r w:rsidR="00B90B2D" w:rsidRPr="00BD1319">
        <w:rPr>
          <w:iCs/>
          <w:spacing w:val="-3"/>
        </w:rPr>
        <w:t xml:space="preserve"> la separación de parejas establecidas. </w:t>
      </w:r>
      <w:r w:rsidRPr="00BD1319">
        <w:rPr>
          <w:iCs/>
          <w:spacing w:val="-3"/>
        </w:rPr>
        <w:t xml:space="preserve">La cantidad de parejas establecidas </w:t>
      </w:r>
      <w:r w:rsidR="00B90B2D" w:rsidRPr="00BD1319">
        <w:rPr>
          <w:iCs/>
          <w:spacing w:val="-3"/>
        </w:rPr>
        <w:t>debe ser registrad</w:t>
      </w:r>
      <w:r w:rsidRPr="00BD1319">
        <w:rPr>
          <w:iCs/>
          <w:spacing w:val="-3"/>
        </w:rPr>
        <w:t>a</w:t>
      </w:r>
      <w:r w:rsidR="00B90B2D" w:rsidRPr="00BD1319">
        <w:rPr>
          <w:iCs/>
          <w:spacing w:val="-3"/>
        </w:rPr>
        <w:t xml:space="preserve"> como un parámetro dentro de los estudios poblacionales</w:t>
      </w:r>
      <w:r w:rsidRPr="00BD1319">
        <w:rPr>
          <w:iCs/>
          <w:spacing w:val="-3"/>
        </w:rPr>
        <w:t xml:space="preserve">, con el propósito de brindar un criterio adicional que complemente </w:t>
      </w:r>
      <w:r w:rsidR="00B90B2D" w:rsidRPr="00BD1319">
        <w:rPr>
          <w:iCs/>
          <w:spacing w:val="-3"/>
        </w:rPr>
        <w:t xml:space="preserve">la estimación del </w:t>
      </w:r>
      <w:r w:rsidRPr="00BD1319">
        <w:rPr>
          <w:iCs/>
          <w:spacing w:val="-3"/>
        </w:rPr>
        <w:t xml:space="preserve">impacto </w:t>
      </w:r>
      <w:r w:rsidR="00B90B2D" w:rsidRPr="00BD1319">
        <w:rPr>
          <w:iCs/>
          <w:spacing w:val="-3"/>
        </w:rPr>
        <w:t>de la caza de fomento</w:t>
      </w:r>
      <w:r w:rsidRPr="00BD1319">
        <w:rPr>
          <w:iCs/>
          <w:spacing w:val="-3"/>
        </w:rPr>
        <w:t xml:space="preserve"> en las poblaciones naturales</w:t>
      </w:r>
      <w:r w:rsidR="00B90B2D" w:rsidRPr="00BD1319">
        <w:rPr>
          <w:iCs/>
          <w:spacing w:val="-3"/>
        </w:rPr>
        <w:t>.</w:t>
      </w:r>
    </w:p>
    <w:p w14:paraId="2949F52C" w14:textId="77777777" w:rsidR="001E530C" w:rsidRPr="00BD1319" w:rsidRDefault="001E530C" w:rsidP="000D6E21">
      <w:pPr>
        <w:tabs>
          <w:tab w:val="left" w:pos="-2268"/>
        </w:tabs>
        <w:suppressAutoHyphens/>
        <w:rPr>
          <w:iCs/>
          <w:spacing w:val="-3"/>
        </w:rPr>
      </w:pPr>
    </w:p>
    <w:p w14:paraId="2617DEEC" w14:textId="13C953C1" w:rsidR="00B90B2D" w:rsidRPr="00BD1319" w:rsidRDefault="000A276B" w:rsidP="000D6E21">
      <w:pPr>
        <w:pStyle w:val="Prrafodelista"/>
        <w:numPr>
          <w:ilvl w:val="0"/>
          <w:numId w:val="5"/>
        </w:numPr>
        <w:tabs>
          <w:tab w:val="left" w:pos="-2268"/>
        </w:tabs>
        <w:suppressAutoHyphens/>
        <w:ind w:left="567" w:hanging="567"/>
        <w:rPr>
          <w:spacing w:val="-3"/>
          <w:lang w:val="es-CO"/>
        </w:rPr>
      </w:pPr>
      <w:r w:rsidRPr="00BD1319">
        <w:rPr>
          <w:spacing w:val="-3"/>
          <w:lang w:val="es-CO"/>
        </w:rPr>
        <w:t>G</w:t>
      </w:r>
      <w:r w:rsidR="00B90B2D" w:rsidRPr="00BD1319">
        <w:rPr>
          <w:spacing w:val="-3"/>
          <w:lang w:val="es-CO"/>
        </w:rPr>
        <w:t>arantizar la liberación de los individuos colectados en campo exactamente en el mismo lugar de captura en el sentido micro</w:t>
      </w:r>
      <w:r w:rsidRPr="00BD1319">
        <w:rPr>
          <w:spacing w:val="-3"/>
          <w:lang w:val="es-CO"/>
        </w:rPr>
        <w:t xml:space="preserve"> </w:t>
      </w:r>
      <w:r w:rsidR="00B90B2D" w:rsidRPr="00BD1319">
        <w:rPr>
          <w:spacing w:val="-3"/>
          <w:lang w:val="es-CO"/>
        </w:rPr>
        <w:t>espacial</w:t>
      </w:r>
      <w:r w:rsidRPr="00BD1319">
        <w:rPr>
          <w:spacing w:val="-3"/>
          <w:lang w:val="es-CO"/>
        </w:rPr>
        <w:t>; por ello</w:t>
      </w:r>
      <w:r w:rsidR="00B90B2D" w:rsidRPr="00BD1319">
        <w:rPr>
          <w:spacing w:val="-3"/>
          <w:lang w:val="es-CO"/>
        </w:rPr>
        <w:t>, todo evento de colecta de individuos durante el estudio poblacional debe registra</w:t>
      </w:r>
      <w:r w:rsidRPr="00BD1319">
        <w:rPr>
          <w:spacing w:val="-3"/>
          <w:lang w:val="es-CO"/>
        </w:rPr>
        <w:t xml:space="preserve">rse </w:t>
      </w:r>
      <w:r w:rsidR="00B90B2D" w:rsidRPr="00BD1319">
        <w:rPr>
          <w:spacing w:val="-3"/>
          <w:lang w:val="es-CO"/>
        </w:rPr>
        <w:t>fotográficamente y con GPS. L</w:t>
      </w:r>
      <w:r w:rsidRPr="00BD1319">
        <w:rPr>
          <w:spacing w:val="-3"/>
          <w:lang w:val="es-CO"/>
        </w:rPr>
        <w:t>os</w:t>
      </w:r>
      <w:r w:rsidR="00B90B2D" w:rsidRPr="00BD1319">
        <w:rPr>
          <w:spacing w:val="-3"/>
          <w:lang w:val="es-CO"/>
        </w:rPr>
        <w:t xml:space="preserve"> metadat</w:t>
      </w:r>
      <w:r w:rsidRPr="00BD1319">
        <w:rPr>
          <w:spacing w:val="-3"/>
          <w:lang w:val="es-CO"/>
        </w:rPr>
        <w:t>os</w:t>
      </w:r>
      <w:r w:rsidR="00B90B2D" w:rsidRPr="00BD1319">
        <w:rPr>
          <w:spacing w:val="-3"/>
          <w:lang w:val="es-CO"/>
        </w:rPr>
        <w:t xml:space="preserve"> de la fotografía debe</w:t>
      </w:r>
      <w:r w:rsidRPr="00BD1319">
        <w:rPr>
          <w:spacing w:val="-3"/>
          <w:lang w:val="es-CO"/>
        </w:rPr>
        <w:t xml:space="preserve">n </w:t>
      </w:r>
      <w:r w:rsidR="00B90B2D" w:rsidRPr="00BD1319">
        <w:rPr>
          <w:spacing w:val="-3"/>
          <w:lang w:val="es-CO"/>
        </w:rPr>
        <w:t xml:space="preserve">incluir </w:t>
      </w:r>
      <w:r w:rsidRPr="00BD1319">
        <w:rPr>
          <w:spacing w:val="-3"/>
          <w:lang w:val="es-CO"/>
        </w:rPr>
        <w:t>los datos espaciales</w:t>
      </w:r>
      <w:r w:rsidR="00B90B2D" w:rsidRPr="00BD1319">
        <w:rPr>
          <w:spacing w:val="-3"/>
          <w:lang w:val="es-CO"/>
        </w:rPr>
        <w:t>.</w:t>
      </w:r>
    </w:p>
    <w:p w14:paraId="46A44922" w14:textId="77777777" w:rsidR="001E530C" w:rsidRPr="00BD1319" w:rsidRDefault="001E530C" w:rsidP="000D6E21">
      <w:pPr>
        <w:tabs>
          <w:tab w:val="left" w:pos="-2268"/>
        </w:tabs>
        <w:suppressAutoHyphens/>
        <w:rPr>
          <w:spacing w:val="-3"/>
        </w:rPr>
      </w:pPr>
    </w:p>
    <w:p w14:paraId="7CCFCC09" w14:textId="6592B92E" w:rsidR="00B90B2D" w:rsidRPr="00BD1319" w:rsidRDefault="00B90B2D" w:rsidP="000D6E21">
      <w:pPr>
        <w:pStyle w:val="Prrafodelista"/>
        <w:numPr>
          <w:ilvl w:val="0"/>
          <w:numId w:val="5"/>
        </w:numPr>
        <w:tabs>
          <w:tab w:val="left" w:pos="-2268"/>
        </w:tabs>
        <w:suppressAutoHyphens/>
        <w:ind w:left="567" w:hanging="567"/>
        <w:rPr>
          <w:spacing w:val="-3"/>
        </w:rPr>
      </w:pPr>
      <w:r w:rsidRPr="00BD1319">
        <w:rPr>
          <w:spacing w:val="-3"/>
          <w:lang w:val="es-CO"/>
        </w:rPr>
        <w:t xml:space="preserve">Presentar la información espacial, incluidos los registros biológicos de colectas de individuos y de las estaciones de muestreo en </w:t>
      </w:r>
      <w:r w:rsidR="000A276B" w:rsidRPr="00BD1319">
        <w:rPr>
          <w:spacing w:val="-3"/>
          <w:lang w:val="es-CO"/>
        </w:rPr>
        <w:t xml:space="preserve">tablas </w:t>
      </w:r>
      <w:r w:rsidRPr="00BD1319">
        <w:rPr>
          <w:spacing w:val="-3"/>
          <w:lang w:val="es-CO"/>
        </w:rPr>
        <w:t>de datos estandarizad</w:t>
      </w:r>
      <w:r w:rsidR="000A276B" w:rsidRPr="00BD1319">
        <w:rPr>
          <w:spacing w:val="-3"/>
          <w:lang w:val="es-CO"/>
        </w:rPr>
        <w:t>as</w:t>
      </w:r>
      <w:r w:rsidRPr="00BD1319">
        <w:rPr>
          <w:spacing w:val="-3"/>
          <w:lang w:val="es-CO"/>
        </w:rPr>
        <w:t>. La información cartográfica debe incluir los puntos de muestreo y las tablas de atributos asociadas a cada registro, de acuerdo con los parámetros establecidos en la Resolución 2182 de 2016 o aquella que la modifique o sustituya.</w:t>
      </w:r>
    </w:p>
    <w:p w14:paraId="4C6D2CFB" w14:textId="77777777" w:rsidR="001E530C" w:rsidRPr="00BD1319" w:rsidRDefault="001E530C" w:rsidP="000D6E21">
      <w:pPr>
        <w:tabs>
          <w:tab w:val="left" w:pos="-2268"/>
        </w:tabs>
        <w:suppressAutoHyphens/>
        <w:rPr>
          <w:spacing w:val="-3"/>
        </w:rPr>
      </w:pPr>
    </w:p>
    <w:p w14:paraId="30321BE5" w14:textId="43850BF1" w:rsidR="00B90B2D" w:rsidRPr="00BD1319" w:rsidRDefault="00B90B2D" w:rsidP="000D6E21">
      <w:pPr>
        <w:pStyle w:val="Prrafodelista"/>
        <w:numPr>
          <w:ilvl w:val="0"/>
          <w:numId w:val="5"/>
        </w:numPr>
        <w:tabs>
          <w:tab w:val="left" w:pos="-2268"/>
        </w:tabs>
        <w:suppressAutoHyphens/>
        <w:ind w:left="567" w:hanging="567"/>
        <w:rPr>
          <w:spacing w:val="-3"/>
        </w:rPr>
      </w:pPr>
      <w:r w:rsidRPr="00BD1319">
        <w:rPr>
          <w:spacing w:val="-3"/>
          <w:lang w:val="es-CO"/>
        </w:rPr>
        <w:t xml:space="preserve">Entregar al </w:t>
      </w:r>
      <w:proofErr w:type="spellStart"/>
      <w:r w:rsidR="002C22B8" w:rsidRPr="00BD1319">
        <w:rPr>
          <w:spacing w:val="-3"/>
          <w:lang w:val="es-CO"/>
        </w:rPr>
        <w:t>SiB</w:t>
      </w:r>
      <w:proofErr w:type="spellEnd"/>
      <w:r w:rsidR="002C22B8" w:rsidRPr="00BD1319">
        <w:rPr>
          <w:spacing w:val="-3"/>
          <w:lang w:val="es-CO"/>
        </w:rPr>
        <w:t xml:space="preserve"> Colombia</w:t>
      </w:r>
      <w:r w:rsidRPr="00BD1319">
        <w:rPr>
          <w:spacing w:val="-3"/>
          <w:lang w:val="es-CO"/>
        </w:rPr>
        <w:t xml:space="preserve"> toda la información de colecta de individuos, incluyendo los conteos realizados, las especies identificadas, las localidades de colecta, las coordenadas registradas y demás información solicitada en el aplicativo </w:t>
      </w:r>
      <w:r w:rsidR="002C22B8" w:rsidRPr="00BD1319">
        <w:rPr>
          <w:spacing w:val="-3"/>
          <w:lang w:val="es-CO"/>
        </w:rPr>
        <w:t>de dicho sistema</w:t>
      </w:r>
      <w:r w:rsidRPr="00BD1319">
        <w:rPr>
          <w:spacing w:val="-3"/>
          <w:lang w:val="es-CO"/>
        </w:rPr>
        <w:t>.</w:t>
      </w:r>
    </w:p>
    <w:p w14:paraId="09E18702" w14:textId="44CD4292" w:rsidR="00FF2506" w:rsidRPr="00BD1319" w:rsidRDefault="00FF2506">
      <w:pPr>
        <w:tabs>
          <w:tab w:val="left" w:pos="-2268"/>
        </w:tabs>
        <w:suppressAutoHyphens/>
        <w:rPr>
          <w:spacing w:val="-3"/>
        </w:rPr>
      </w:pPr>
    </w:p>
    <w:p w14:paraId="694F6B76" w14:textId="45B03D47" w:rsidR="007A3BA6" w:rsidRPr="00BD1319" w:rsidRDefault="007A3BA6" w:rsidP="000D6E21">
      <w:pPr>
        <w:pStyle w:val="Ttulo3"/>
      </w:pPr>
      <w:bookmarkStart w:id="3151" w:name="_Toc175326796"/>
      <w:r w:rsidRPr="00BD1319">
        <w:t>Determinación de las especies y cantidad de especímenes que compondrán la población parental</w:t>
      </w:r>
      <w:bookmarkEnd w:id="3151"/>
    </w:p>
    <w:p w14:paraId="0F8DFC8B" w14:textId="77777777" w:rsidR="007A3BA6" w:rsidRPr="00BD1319" w:rsidRDefault="007A3BA6">
      <w:pPr>
        <w:tabs>
          <w:tab w:val="left" w:pos="-2268"/>
        </w:tabs>
        <w:suppressAutoHyphens/>
        <w:rPr>
          <w:spacing w:val="-3"/>
        </w:rPr>
      </w:pPr>
    </w:p>
    <w:p w14:paraId="7B26FC80" w14:textId="177C1251" w:rsidR="007A3BA6" w:rsidRPr="00BD1319" w:rsidRDefault="007A3BA6">
      <w:pPr>
        <w:tabs>
          <w:tab w:val="left" w:pos="-2268"/>
        </w:tabs>
        <w:suppressAutoHyphens/>
        <w:rPr>
          <w:spacing w:val="-3"/>
        </w:rPr>
      </w:pPr>
      <w:r w:rsidRPr="00BD1319">
        <w:rPr>
          <w:spacing w:val="-3"/>
        </w:rPr>
        <w:t xml:space="preserve">A partir de los resultados del estudio para determinar la viabilidad biológica de las actividades de caza de fomento, se debe </w:t>
      </w:r>
      <w:r w:rsidR="00801D9C" w:rsidRPr="00BD1319">
        <w:rPr>
          <w:spacing w:val="-3"/>
        </w:rPr>
        <w:t>establecer</w:t>
      </w:r>
      <w:r w:rsidRPr="00BD1319">
        <w:rPr>
          <w:spacing w:val="-3"/>
        </w:rPr>
        <w:t xml:space="preserve"> tanto las especies, como la cantidad de especímenes </w:t>
      </w:r>
      <w:r w:rsidR="00F83C9D" w:rsidRPr="00BD1319">
        <w:rPr>
          <w:spacing w:val="-3"/>
        </w:rPr>
        <w:t xml:space="preserve">destinada a componer </w:t>
      </w:r>
      <w:r w:rsidRPr="00BD1319">
        <w:rPr>
          <w:spacing w:val="-3"/>
        </w:rPr>
        <w:t xml:space="preserve">la población parental </w:t>
      </w:r>
      <w:r w:rsidR="00004DA5" w:rsidRPr="00BD1319">
        <w:rPr>
          <w:spacing w:val="-3"/>
        </w:rPr>
        <w:t xml:space="preserve">para </w:t>
      </w:r>
      <w:r w:rsidR="00F83C9D" w:rsidRPr="00BD1319">
        <w:rPr>
          <w:spacing w:val="-3"/>
        </w:rPr>
        <w:t xml:space="preserve">las cuales se solicita el permiso </w:t>
      </w:r>
      <w:r w:rsidRPr="00BD1319">
        <w:rPr>
          <w:spacing w:val="-3"/>
        </w:rPr>
        <w:t>de caza</w:t>
      </w:r>
      <w:r w:rsidR="00F83C9D" w:rsidRPr="00BD1319">
        <w:rPr>
          <w:spacing w:val="-3"/>
        </w:rPr>
        <w:t xml:space="preserve"> de fomento</w:t>
      </w:r>
      <w:r w:rsidRPr="00BD1319">
        <w:rPr>
          <w:spacing w:val="-3"/>
        </w:rPr>
        <w:t>.</w:t>
      </w:r>
    </w:p>
    <w:p w14:paraId="1BFD9BE2" w14:textId="77777777" w:rsidR="007A3BA6" w:rsidRPr="00BD1319" w:rsidRDefault="007A3BA6" w:rsidP="000D6E21">
      <w:pPr>
        <w:tabs>
          <w:tab w:val="left" w:pos="-2268"/>
        </w:tabs>
        <w:suppressAutoHyphens/>
        <w:rPr>
          <w:spacing w:val="-3"/>
        </w:rPr>
      </w:pPr>
    </w:p>
    <w:p w14:paraId="4321B1DD" w14:textId="152BB9BE" w:rsidR="00BE1894" w:rsidRPr="00BD1319" w:rsidRDefault="00BE1894" w:rsidP="000D6E21">
      <w:pPr>
        <w:pStyle w:val="Ttulo3"/>
      </w:pPr>
      <w:bookmarkStart w:id="3152" w:name="_Toc175326458"/>
      <w:bookmarkStart w:id="3153" w:name="_Toc175326459"/>
      <w:bookmarkStart w:id="3154" w:name="_Toc175326460"/>
      <w:bookmarkStart w:id="3155" w:name="_Toc175326461"/>
      <w:bookmarkStart w:id="3156" w:name="_Toc175326797"/>
      <w:bookmarkEnd w:id="3152"/>
      <w:bookmarkEnd w:id="3153"/>
      <w:bookmarkEnd w:id="3154"/>
      <w:bookmarkEnd w:id="3155"/>
      <w:r w:rsidRPr="00BD1319">
        <w:t xml:space="preserve">Descripción de los sistemas de selección de especímenes, de caza y </w:t>
      </w:r>
      <w:r w:rsidR="00503070" w:rsidRPr="00BD1319">
        <w:t xml:space="preserve">de </w:t>
      </w:r>
      <w:r w:rsidRPr="00BD1319">
        <w:t>captura a emplear, señalando la época de ejecución de estas labores</w:t>
      </w:r>
      <w:bookmarkEnd w:id="3156"/>
    </w:p>
    <w:p w14:paraId="3ABC051D" w14:textId="77777777" w:rsidR="005E0D79" w:rsidRPr="00BD1319" w:rsidRDefault="005E0D79" w:rsidP="000D6E21">
      <w:pPr>
        <w:rPr>
          <w:rFonts w:cs="Arial"/>
          <w:spacing w:val="-3"/>
        </w:rPr>
      </w:pPr>
    </w:p>
    <w:p w14:paraId="1E1DBDDE" w14:textId="77777777" w:rsidR="00387CD2" w:rsidRPr="00BD1319" w:rsidRDefault="00743F14" w:rsidP="003D211E">
      <w:pPr>
        <w:rPr>
          <w:rFonts w:cs="Arial"/>
          <w:spacing w:val="-3"/>
        </w:rPr>
      </w:pPr>
      <w:r w:rsidRPr="00BD1319">
        <w:rPr>
          <w:rFonts w:cs="Arial"/>
          <w:spacing w:val="-3"/>
        </w:rPr>
        <w:t xml:space="preserve">La descripción de las actividades asociadas a la caza de fomento debe </w:t>
      </w:r>
      <w:r w:rsidR="006517C1" w:rsidRPr="00BD1319">
        <w:rPr>
          <w:rFonts w:cs="Arial"/>
          <w:spacing w:val="-3"/>
        </w:rPr>
        <w:t xml:space="preserve">especificar las técnicas a emplear para </w:t>
      </w:r>
      <w:r w:rsidR="00CA64D6" w:rsidRPr="00BD1319">
        <w:rPr>
          <w:rFonts w:cs="Arial"/>
          <w:spacing w:val="-3"/>
        </w:rPr>
        <w:t xml:space="preserve">seleccionar y </w:t>
      </w:r>
      <w:r w:rsidR="006517C1" w:rsidRPr="00BD1319">
        <w:rPr>
          <w:rFonts w:cs="Arial"/>
          <w:spacing w:val="-3"/>
        </w:rPr>
        <w:t>captura</w:t>
      </w:r>
      <w:r w:rsidR="00CA64D6" w:rsidRPr="00BD1319">
        <w:rPr>
          <w:rFonts w:cs="Arial"/>
          <w:spacing w:val="-3"/>
        </w:rPr>
        <w:t>r</w:t>
      </w:r>
      <w:r w:rsidR="006517C1" w:rsidRPr="00BD1319">
        <w:rPr>
          <w:rFonts w:cs="Arial"/>
          <w:spacing w:val="-3"/>
        </w:rPr>
        <w:t xml:space="preserve"> los individuos</w:t>
      </w:r>
      <w:r w:rsidR="00594B4C" w:rsidRPr="00BD1319">
        <w:rPr>
          <w:rFonts w:cs="Arial"/>
          <w:spacing w:val="-3"/>
        </w:rPr>
        <w:t>, así como</w:t>
      </w:r>
      <w:r w:rsidR="006517C1" w:rsidRPr="00BD1319">
        <w:rPr>
          <w:rFonts w:cs="Arial"/>
          <w:spacing w:val="-3"/>
        </w:rPr>
        <w:t xml:space="preserve"> </w:t>
      </w:r>
      <w:r w:rsidRPr="00BD1319">
        <w:rPr>
          <w:rFonts w:cs="Arial"/>
          <w:spacing w:val="-3"/>
        </w:rPr>
        <w:t xml:space="preserve">acompañarse de </w:t>
      </w:r>
      <w:r w:rsidR="00FF2506" w:rsidRPr="00BD1319">
        <w:rPr>
          <w:rFonts w:cs="Arial"/>
          <w:spacing w:val="-3"/>
        </w:rPr>
        <w:t>un cronograma detallado</w:t>
      </w:r>
      <w:r w:rsidRPr="00BD1319">
        <w:rPr>
          <w:rFonts w:cs="Arial"/>
          <w:spacing w:val="-3"/>
        </w:rPr>
        <w:t xml:space="preserve"> que señale el periodo de </w:t>
      </w:r>
      <w:r w:rsidR="00FF2506" w:rsidRPr="00BD1319">
        <w:rPr>
          <w:rFonts w:cs="Arial"/>
          <w:spacing w:val="-3"/>
        </w:rPr>
        <w:t xml:space="preserve">tiempo estimado de </w:t>
      </w:r>
      <w:r w:rsidRPr="00BD1319">
        <w:rPr>
          <w:rFonts w:cs="Arial"/>
          <w:spacing w:val="-3"/>
        </w:rPr>
        <w:t xml:space="preserve">ejecución de </w:t>
      </w:r>
      <w:r w:rsidR="00FF2506" w:rsidRPr="00BD1319">
        <w:rPr>
          <w:rFonts w:cs="Arial"/>
          <w:spacing w:val="-3"/>
        </w:rPr>
        <w:t>cada actividad</w:t>
      </w:r>
      <w:r w:rsidR="006517C1" w:rsidRPr="00BD1319">
        <w:rPr>
          <w:rFonts w:cs="Arial"/>
          <w:spacing w:val="-3"/>
        </w:rPr>
        <w:t xml:space="preserve"> y</w:t>
      </w:r>
      <w:r w:rsidR="00FF2506" w:rsidRPr="00BD1319">
        <w:rPr>
          <w:rFonts w:cs="Arial"/>
          <w:spacing w:val="-3"/>
        </w:rPr>
        <w:t xml:space="preserve"> la cantidad de individuos a ser capturados para cada una de las especies objeto de </w:t>
      </w:r>
      <w:r w:rsidRPr="00BD1319">
        <w:rPr>
          <w:rFonts w:cs="Arial"/>
          <w:spacing w:val="-3"/>
        </w:rPr>
        <w:t>caza</w:t>
      </w:r>
      <w:r w:rsidR="00FF2506" w:rsidRPr="00BD1319">
        <w:rPr>
          <w:rFonts w:cs="Arial"/>
          <w:spacing w:val="-3"/>
        </w:rPr>
        <w:t>. Dicho cronograma debe ser presentado en formato Gantt en escala semanal.</w:t>
      </w:r>
    </w:p>
    <w:p w14:paraId="6D7C5781" w14:textId="77777777" w:rsidR="00387CD2" w:rsidRPr="00BD1319" w:rsidRDefault="00387CD2" w:rsidP="003D211E">
      <w:pPr>
        <w:rPr>
          <w:rFonts w:cs="Arial"/>
          <w:spacing w:val="-3"/>
        </w:rPr>
      </w:pPr>
    </w:p>
    <w:p w14:paraId="7D760A6E" w14:textId="568BCD3E" w:rsidR="005D1F3D" w:rsidRPr="00BD1319" w:rsidRDefault="00801D9C" w:rsidP="000D6E21">
      <w:pPr>
        <w:rPr>
          <w:spacing w:val="-3"/>
        </w:rPr>
      </w:pPr>
      <w:r w:rsidRPr="00BD1319">
        <w:rPr>
          <w:rFonts w:cs="Arial"/>
          <w:spacing w:val="-3"/>
        </w:rPr>
        <w:lastRenderedPageBreak/>
        <w:t xml:space="preserve">La </w:t>
      </w:r>
      <w:r w:rsidR="00387CD2" w:rsidRPr="00BD1319">
        <w:rPr>
          <w:rFonts w:cs="Arial"/>
          <w:spacing w:val="-3"/>
        </w:rPr>
        <w:t xml:space="preserve">descripción de las </w:t>
      </w:r>
      <w:r w:rsidRPr="00BD1319">
        <w:rPr>
          <w:rFonts w:cs="Arial"/>
          <w:spacing w:val="-3"/>
        </w:rPr>
        <w:t>actividades de caza de fomento debe</w:t>
      </w:r>
      <w:r w:rsidR="00387CD2" w:rsidRPr="00BD1319">
        <w:rPr>
          <w:rFonts w:cs="Arial"/>
          <w:spacing w:val="-3"/>
        </w:rPr>
        <w:t xml:space="preserve"> referirse también a los sistemas de transporte a emplear, </w:t>
      </w:r>
      <w:r w:rsidR="00387CD2" w:rsidRPr="00BD1319">
        <w:rPr>
          <w:spacing w:val="-3"/>
        </w:rPr>
        <w:t xml:space="preserve">mencionando </w:t>
      </w:r>
      <w:r w:rsidR="005D1F3D" w:rsidRPr="00BD1319">
        <w:rPr>
          <w:spacing w:val="-3"/>
        </w:rPr>
        <w:t xml:space="preserve">detalladamente cómo se </w:t>
      </w:r>
      <w:r w:rsidR="00387CD2" w:rsidRPr="00BD1319">
        <w:rPr>
          <w:spacing w:val="-3"/>
        </w:rPr>
        <w:t xml:space="preserve">prevé </w:t>
      </w:r>
      <w:r w:rsidR="005D1F3D" w:rsidRPr="00BD1319">
        <w:rPr>
          <w:spacing w:val="-3"/>
        </w:rPr>
        <w:t xml:space="preserve">el transporte de los especímenes desde el lugar de captura hasta el lugar de experimentación o hasta el </w:t>
      </w:r>
      <w:proofErr w:type="spellStart"/>
      <w:r w:rsidR="005D1F3D" w:rsidRPr="00BD1319">
        <w:rPr>
          <w:spacing w:val="-3"/>
        </w:rPr>
        <w:t>zoocriadero</w:t>
      </w:r>
      <w:proofErr w:type="spellEnd"/>
      <w:r w:rsidR="005D1F3D" w:rsidRPr="00BD1319">
        <w:rPr>
          <w:spacing w:val="-3"/>
        </w:rPr>
        <w:t>.</w:t>
      </w:r>
    </w:p>
    <w:p w14:paraId="659176FA" w14:textId="77777777" w:rsidR="00BE1894" w:rsidRPr="00BD1319" w:rsidRDefault="00BE1894" w:rsidP="00402FB4">
      <w:pPr>
        <w:numPr>
          <w:ilvl w:val="12"/>
          <w:numId w:val="0"/>
        </w:numPr>
        <w:tabs>
          <w:tab w:val="left" w:pos="-2268"/>
        </w:tabs>
        <w:suppressAutoHyphens/>
        <w:rPr>
          <w:rFonts w:cs="Arial"/>
          <w:spacing w:val="-3"/>
        </w:rPr>
      </w:pPr>
    </w:p>
    <w:p w14:paraId="2C83F26D" w14:textId="6E5C8E28" w:rsidR="000870C1" w:rsidRPr="00BD1319" w:rsidRDefault="00387CD2" w:rsidP="000D6E21">
      <w:pPr>
        <w:rPr>
          <w:rFonts w:cs="Arial"/>
          <w:spacing w:val="-3"/>
        </w:rPr>
      </w:pPr>
      <w:r w:rsidRPr="00BD1319">
        <w:rPr>
          <w:rFonts w:cs="Arial"/>
          <w:spacing w:val="-3"/>
        </w:rPr>
        <w:t xml:space="preserve">Asimismo, las actividades de caza de fomento deben considerar las medidas de bienestar animal señaladas más adelante con el fin de </w:t>
      </w:r>
      <w:r w:rsidR="000870C1" w:rsidRPr="00BD1319">
        <w:rPr>
          <w:rFonts w:cs="Arial"/>
          <w:spacing w:val="-3"/>
        </w:rPr>
        <w:t>garantizar la calidad de vida de los animales</w:t>
      </w:r>
      <w:r w:rsidRPr="00BD1319">
        <w:rPr>
          <w:rFonts w:cs="Arial"/>
          <w:spacing w:val="-3"/>
        </w:rPr>
        <w:t>.</w:t>
      </w:r>
    </w:p>
    <w:p w14:paraId="26199447" w14:textId="77777777" w:rsidR="000870C1" w:rsidRPr="00BD1319" w:rsidRDefault="000870C1" w:rsidP="000870C1">
      <w:pPr>
        <w:numPr>
          <w:ilvl w:val="12"/>
          <w:numId w:val="0"/>
        </w:numPr>
        <w:tabs>
          <w:tab w:val="left" w:pos="-2268"/>
        </w:tabs>
        <w:suppressAutoHyphens/>
        <w:rPr>
          <w:rFonts w:cs="Arial"/>
          <w:spacing w:val="-3"/>
        </w:rPr>
      </w:pPr>
    </w:p>
    <w:p w14:paraId="5CF808BA" w14:textId="29BAD7BB" w:rsidR="000870C1" w:rsidRPr="00BD1319" w:rsidRDefault="000870C1" w:rsidP="000D6E21">
      <w:pPr>
        <w:pStyle w:val="Prrafodelista"/>
        <w:numPr>
          <w:ilvl w:val="0"/>
          <w:numId w:val="5"/>
        </w:numPr>
        <w:tabs>
          <w:tab w:val="left" w:pos="-2268"/>
        </w:tabs>
        <w:suppressAutoHyphens/>
        <w:ind w:left="567" w:hanging="567"/>
        <w:rPr>
          <w:spacing w:val="-3"/>
        </w:rPr>
      </w:pPr>
      <w:r w:rsidRPr="00BD1319">
        <w:rPr>
          <w:spacing w:val="-3"/>
          <w:lang w:val="es-CO"/>
        </w:rPr>
        <w:t>Acceso permanente a una cantidad apropiada de agua fresca y a una dieta saludable.</w:t>
      </w:r>
    </w:p>
    <w:p w14:paraId="390A2558" w14:textId="77777777" w:rsidR="000870C1" w:rsidRPr="00BD1319" w:rsidRDefault="000870C1" w:rsidP="000D6E21">
      <w:pPr>
        <w:tabs>
          <w:tab w:val="left" w:pos="-2268"/>
        </w:tabs>
        <w:suppressAutoHyphens/>
        <w:rPr>
          <w:spacing w:val="-3"/>
        </w:rPr>
      </w:pPr>
    </w:p>
    <w:p w14:paraId="3273AC33" w14:textId="70344D5A" w:rsidR="000870C1" w:rsidRPr="00BD1319" w:rsidRDefault="000870C1" w:rsidP="000D6E21">
      <w:pPr>
        <w:pStyle w:val="Prrafodelista"/>
        <w:numPr>
          <w:ilvl w:val="0"/>
          <w:numId w:val="5"/>
        </w:numPr>
        <w:tabs>
          <w:tab w:val="left" w:pos="-2268"/>
        </w:tabs>
        <w:suppressAutoHyphens/>
        <w:ind w:left="567" w:hanging="567"/>
        <w:rPr>
          <w:spacing w:val="-3"/>
        </w:rPr>
      </w:pPr>
      <w:r w:rsidRPr="00BD1319">
        <w:rPr>
          <w:spacing w:val="-3"/>
          <w:lang w:val="es-CO"/>
        </w:rPr>
        <w:t>Aseguramiento de espacios limpios y confortables en los que los animales no sufran frío o calor, o permanezcan en condiciones insalubres.</w:t>
      </w:r>
    </w:p>
    <w:p w14:paraId="1E7B4B7D" w14:textId="77777777" w:rsidR="000870C1" w:rsidRPr="00BD1319" w:rsidRDefault="000870C1" w:rsidP="000D6E21">
      <w:pPr>
        <w:tabs>
          <w:tab w:val="left" w:pos="-2268"/>
        </w:tabs>
        <w:suppressAutoHyphens/>
        <w:rPr>
          <w:spacing w:val="-3"/>
        </w:rPr>
      </w:pPr>
    </w:p>
    <w:p w14:paraId="1AA1F832" w14:textId="30E7FF83" w:rsidR="000870C1" w:rsidRPr="00BD1319" w:rsidRDefault="000870C1" w:rsidP="000D6E21">
      <w:pPr>
        <w:pStyle w:val="Prrafodelista"/>
        <w:numPr>
          <w:ilvl w:val="0"/>
          <w:numId w:val="5"/>
        </w:numPr>
        <w:tabs>
          <w:tab w:val="left" w:pos="-2268"/>
        </w:tabs>
        <w:suppressAutoHyphens/>
        <w:ind w:left="567" w:hanging="567"/>
        <w:rPr>
          <w:spacing w:val="-3"/>
        </w:rPr>
      </w:pPr>
      <w:r w:rsidRPr="00BD1319">
        <w:rPr>
          <w:spacing w:val="-3"/>
          <w:lang w:val="es-CO"/>
        </w:rPr>
        <w:t>Acceso a la salud. En este sentido, debe haber disponibilidad de un veterinario para efectuar chequeos, diagnósticos y tratamientos, si fuera necesario, procurando que tales actividades se realicen mitigando el dolor</w:t>
      </w:r>
      <w:r w:rsidR="00534558" w:rsidRPr="00BD1319">
        <w:rPr>
          <w:spacing w:val="-3"/>
          <w:lang w:val="es-CO"/>
        </w:rPr>
        <w:t xml:space="preserve"> de los animales</w:t>
      </w:r>
      <w:r w:rsidRPr="00BD1319">
        <w:rPr>
          <w:spacing w:val="-3"/>
          <w:lang w:val="es-CO"/>
        </w:rPr>
        <w:t>.</w:t>
      </w:r>
    </w:p>
    <w:p w14:paraId="01B401DD" w14:textId="77777777" w:rsidR="000870C1" w:rsidRPr="00BD1319" w:rsidRDefault="000870C1" w:rsidP="000D6E21">
      <w:pPr>
        <w:tabs>
          <w:tab w:val="left" w:pos="-2268"/>
        </w:tabs>
        <w:suppressAutoHyphens/>
        <w:rPr>
          <w:spacing w:val="-3"/>
        </w:rPr>
      </w:pPr>
    </w:p>
    <w:p w14:paraId="52BB5D92" w14:textId="2A582206" w:rsidR="000870C1" w:rsidRPr="00BD1319" w:rsidRDefault="00534558" w:rsidP="000D6E21">
      <w:pPr>
        <w:pStyle w:val="Prrafodelista"/>
        <w:numPr>
          <w:ilvl w:val="0"/>
          <w:numId w:val="5"/>
        </w:numPr>
        <w:tabs>
          <w:tab w:val="left" w:pos="-2268"/>
        </w:tabs>
        <w:suppressAutoHyphens/>
        <w:ind w:left="567" w:hanging="567"/>
        <w:rPr>
          <w:spacing w:val="-3"/>
        </w:rPr>
      </w:pPr>
      <w:r w:rsidRPr="00BD1319">
        <w:rPr>
          <w:spacing w:val="-3"/>
          <w:lang w:val="es-CO"/>
        </w:rPr>
        <w:t>Aseguramiento de s</w:t>
      </w:r>
      <w:r w:rsidR="000870C1" w:rsidRPr="00BD1319">
        <w:rPr>
          <w:spacing w:val="-3"/>
          <w:lang w:val="es-CO"/>
        </w:rPr>
        <w:t>uficiente espacio en su hábitat o en instalaciones adecuadas y compañía de individuos de la misma especie para actuar según su naturaleza.</w:t>
      </w:r>
    </w:p>
    <w:p w14:paraId="08EEC2DE" w14:textId="77777777" w:rsidR="000870C1" w:rsidRPr="00BD1319" w:rsidRDefault="000870C1" w:rsidP="000D6E21">
      <w:pPr>
        <w:tabs>
          <w:tab w:val="left" w:pos="-2268"/>
        </w:tabs>
        <w:suppressAutoHyphens/>
        <w:rPr>
          <w:spacing w:val="-3"/>
        </w:rPr>
      </w:pPr>
    </w:p>
    <w:p w14:paraId="13C4FDCA" w14:textId="4C4DA1DC" w:rsidR="007D0B49" w:rsidRPr="00BD1319" w:rsidRDefault="00534558" w:rsidP="000D6E21">
      <w:pPr>
        <w:pStyle w:val="Prrafodelista"/>
        <w:numPr>
          <w:ilvl w:val="0"/>
          <w:numId w:val="5"/>
        </w:numPr>
        <w:tabs>
          <w:tab w:val="left" w:pos="-2268"/>
        </w:tabs>
        <w:suppressAutoHyphens/>
        <w:ind w:left="567" w:hanging="567"/>
        <w:rPr>
          <w:spacing w:val="-3"/>
        </w:rPr>
      </w:pPr>
      <w:r w:rsidRPr="00BD1319">
        <w:rPr>
          <w:spacing w:val="-3"/>
          <w:lang w:val="es-CO"/>
        </w:rPr>
        <w:t>Aseguramiento de c</w:t>
      </w:r>
      <w:r w:rsidR="000870C1" w:rsidRPr="00BD1319">
        <w:rPr>
          <w:spacing w:val="-3"/>
          <w:lang w:val="es-CO"/>
        </w:rPr>
        <w:t xml:space="preserve">ondiciones que le provean un ámbito saludable y tranquilo, </w:t>
      </w:r>
      <w:r w:rsidRPr="00BD1319">
        <w:rPr>
          <w:spacing w:val="-3"/>
          <w:lang w:val="es-CO"/>
        </w:rPr>
        <w:t xml:space="preserve">y </w:t>
      </w:r>
      <w:r w:rsidR="000870C1" w:rsidRPr="00BD1319">
        <w:rPr>
          <w:spacing w:val="-3"/>
          <w:lang w:val="es-CO"/>
        </w:rPr>
        <w:t>evitando cualquier tipo de sufrimiento mental.</w:t>
      </w:r>
    </w:p>
    <w:p w14:paraId="066A7E76" w14:textId="77777777" w:rsidR="00FF2506" w:rsidRPr="00BD1319" w:rsidRDefault="00FF2506" w:rsidP="00FF2506">
      <w:pPr>
        <w:numPr>
          <w:ilvl w:val="12"/>
          <w:numId w:val="0"/>
        </w:numPr>
        <w:tabs>
          <w:tab w:val="left" w:pos="-2268"/>
        </w:tabs>
        <w:suppressAutoHyphens/>
        <w:rPr>
          <w:rFonts w:cs="Arial"/>
          <w:spacing w:val="-3"/>
        </w:rPr>
      </w:pPr>
    </w:p>
    <w:p w14:paraId="3E8227E5" w14:textId="4981658C" w:rsidR="00FF2506" w:rsidRPr="00BD1319" w:rsidRDefault="009E1EAA" w:rsidP="000D6E21">
      <w:pPr>
        <w:pStyle w:val="Ttulo3"/>
      </w:pPr>
      <w:bookmarkStart w:id="3157" w:name="_Toc175326798"/>
      <w:r w:rsidRPr="00BD1319">
        <w:t>Delimitación de los l</w:t>
      </w:r>
      <w:r w:rsidR="00FF2506" w:rsidRPr="00BD1319">
        <w:t>ugares en los que se propone capturar los especímenes para los cuales se solicita el permiso</w:t>
      </w:r>
      <w:bookmarkEnd w:id="3157"/>
    </w:p>
    <w:p w14:paraId="22414A6B" w14:textId="77777777" w:rsidR="00FF2506" w:rsidRPr="00BD1319" w:rsidRDefault="00FF2506" w:rsidP="00FF2506">
      <w:pPr>
        <w:tabs>
          <w:tab w:val="left" w:pos="-2268"/>
        </w:tabs>
        <w:suppressAutoHyphens/>
        <w:rPr>
          <w:spacing w:val="-3"/>
        </w:rPr>
      </w:pPr>
    </w:p>
    <w:p w14:paraId="15431D1E" w14:textId="324DC359" w:rsidR="002F21B8" w:rsidRPr="00BD1319" w:rsidRDefault="006A30EF" w:rsidP="009E1EAA">
      <w:pPr>
        <w:tabs>
          <w:tab w:val="left" w:pos="-2268"/>
        </w:tabs>
        <w:suppressAutoHyphens/>
        <w:rPr>
          <w:spacing w:val="-3"/>
        </w:rPr>
      </w:pPr>
      <w:r w:rsidRPr="00BD1319">
        <w:rPr>
          <w:spacing w:val="-3"/>
        </w:rPr>
        <w:t>L</w:t>
      </w:r>
      <w:r w:rsidR="0001351F" w:rsidRPr="00BD1319">
        <w:rPr>
          <w:spacing w:val="-3"/>
        </w:rPr>
        <w:t xml:space="preserve">as áreas en las que se prevé </w:t>
      </w:r>
      <w:r w:rsidRPr="00BD1319">
        <w:rPr>
          <w:spacing w:val="-3"/>
        </w:rPr>
        <w:t xml:space="preserve">capturar los especímenes objeto del permiso deben delimitarse </w:t>
      </w:r>
      <w:r w:rsidR="009C3C40" w:rsidRPr="00BD1319">
        <w:rPr>
          <w:spacing w:val="-3"/>
        </w:rPr>
        <w:t xml:space="preserve">a partir de </w:t>
      </w:r>
      <w:r w:rsidR="0083650C" w:rsidRPr="00BD1319">
        <w:rPr>
          <w:spacing w:val="-3"/>
        </w:rPr>
        <w:t>l</w:t>
      </w:r>
      <w:r w:rsidR="006964FD" w:rsidRPr="00BD1319">
        <w:rPr>
          <w:spacing w:val="-3"/>
        </w:rPr>
        <w:t xml:space="preserve">os resultados del </w:t>
      </w:r>
      <w:r w:rsidR="0083650C" w:rsidRPr="00BD1319">
        <w:rPr>
          <w:spacing w:val="-3"/>
        </w:rPr>
        <w:t>estudio para determinar la viabilidad biológica de la caza de fomento</w:t>
      </w:r>
      <w:r w:rsidR="006964FD" w:rsidRPr="00BD1319">
        <w:rPr>
          <w:spacing w:val="-3"/>
        </w:rPr>
        <w:t>, especialmente de la información geográfica sobre la distribución potencial y sobre la distribución real de las especies objeto del permiso</w:t>
      </w:r>
      <w:r w:rsidR="0083650C" w:rsidRPr="00BD1319">
        <w:rPr>
          <w:spacing w:val="-3"/>
        </w:rPr>
        <w:t>.</w:t>
      </w:r>
      <w:r w:rsidR="006964FD" w:rsidRPr="00BD1319">
        <w:rPr>
          <w:spacing w:val="-3"/>
        </w:rPr>
        <w:t xml:space="preserve"> </w:t>
      </w:r>
      <w:r w:rsidR="009C3C40" w:rsidRPr="00BD1319">
        <w:rPr>
          <w:spacing w:val="-3"/>
        </w:rPr>
        <w:t>L</w:t>
      </w:r>
      <w:r w:rsidR="00852DAA" w:rsidRPr="00BD1319">
        <w:rPr>
          <w:spacing w:val="-3"/>
        </w:rPr>
        <w:t>a</w:t>
      </w:r>
      <w:r w:rsidR="009C3C40" w:rsidRPr="00BD1319">
        <w:rPr>
          <w:spacing w:val="-3"/>
        </w:rPr>
        <w:t xml:space="preserve"> </w:t>
      </w:r>
      <w:r w:rsidR="00852DAA" w:rsidRPr="00BD1319">
        <w:rPr>
          <w:spacing w:val="-3"/>
        </w:rPr>
        <w:t xml:space="preserve">información geográfica </w:t>
      </w:r>
      <w:r w:rsidR="006964FD" w:rsidRPr="00BD1319">
        <w:rPr>
          <w:spacing w:val="-3"/>
        </w:rPr>
        <w:t xml:space="preserve">relativa a las </w:t>
      </w:r>
      <w:r w:rsidR="009C3C40" w:rsidRPr="00BD1319">
        <w:rPr>
          <w:spacing w:val="-3"/>
        </w:rPr>
        <w:t>áreas de caza de fomento se debe presentar de acuerdo con la estructura establecida en el MAG.</w:t>
      </w:r>
    </w:p>
    <w:p w14:paraId="46562127" w14:textId="77777777" w:rsidR="002F21B8" w:rsidRPr="00BD1319" w:rsidRDefault="002F21B8" w:rsidP="002F21B8">
      <w:pPr>
        <w:tabs>
          <w:tab w:val="left" w:pos="-2268"/>
        </w:tabs>
        <w:suppressAutoHyphens/>
        <w:rPr>
          <w:spacing w:val="-3"/>
        </w:rPr>
      </w:pPr>
    </w:p>
    <w:p w14:paraId="2678E15D" w14:textId="5FA2846D" w:rsidR="00FF2506" w:rsidRPr="00BD1319" w:rsidRDefault="00431EDF" w:rsidP="000D6E21">
      <w:pPr>
        <w:rPr>
          <w:rFonts w:cs="Arial"/>
          <w:spacing w:val="-3"/>
        </w:rPr>
      </w:pPr>
      <w:r w:rsidRPr="00BD1319">
        <w:rPr>
          <w:rFonts w:cs="Arial"/>
          <w:spacing w:val="-3"/>
        </w:rPr>
        <w:t>Est</w:t>
      </w:r>
      <w:r w:rsidR="000C153E" w:rsidRPr="00BD1319">
        <w:rPr>
          <w:rFonts w:cs="Arial"/>
          <w:spacing w:val="-3"/>
        </w:rPr>
        <w:t xml:space="preserve">a información geográfica </w:t>
      </w:r>
      <w:r w:rsidRPr="00BD1319">
        <w:rPr>
          <w:rFonts w:cs="Arial"/>
          <w:spacing w:val="-3"/>
        </w:rPr>
        <w:t xml:space="preserve">se debe acompañar de </w:t>
      </w:r>
      <w:r w:rsidR="00FF2506" w:rsidRPr="00BD1319">
        <w:rPr>
          <w:rFonts w:cs="Arial"/>
          <w:spacing w:val="-3"/>
        </w:rPr>
        <w:t xml:space="preserve">una tabla </w:t>
      </w:r>
      <w:r w:rsidRPr="00BD1319">
        <w:rPr>
          <w:rFonts w:cs="Arial"/>
          <w:spacing w:val="-3"/>
        </w:rPr>
        <w:t xml:space="preserve">que señale </w:t>
      </w:r>
      <w:r w:rsidR="00FF2506" w:rsidRPr="00BD1319">
        <w:rPr>
          <w:rFonts w:cs="Arial"/>
          <w:spacing w:val="-3"/>
        </w:rPr>
        <w:t xml:space="preserve">las especies, </w:t>
      </w:r>
      <w:r w:rsidR="002F21B8" w:rsidRPr="00BD1319">
        <w:rPr>
          <w:rFonts w:cs="Arial"/>
          <w:spacing w:val="-3"/>
        </w:rPr>
        <w:t xml:space="preserve">la cantidad </w:t>
      </w:r>
      <w:r w:rsidR="00FF2506" w:rsidRPr="00BD1319">
        <w:rPr>
          <w:rFonts w:cs="Arial"/>
          <w:spacing w:val="-3"/>
        </w:rPr>
        <w:t xml:space="preserve">de individuos a ser colectados y la autoridad ambiental </w:t>
      </w:r>
      <w:r w:rsidR="002F21B8" w:rsidRPr="00BD1319">
        <w:rPr>
          <w:rFonts w:cs="Arial"/>
          <w:spacing w:val="-3"/>
        </w:rPr>
        <w:t xml:space="preserve">con </w:t>
      </w:r>
      <w:r w:rsidR="00FF2506" w:rsidRPr="00BD1319">
        <w:rPr>
          <w:rFonts w:cs="Arial"/>
          <w:spacing w:val="-3"/>
        </w:rPr>
        <w:t>jurisdicción</w:t>
      </w:r>
      <w:r w:rsidR="00303765" w:rsidRPr="00BD1319">
        <w:rPr>
          <w:rFonts w:cs="Arial"/>
          <w:spacing w:val="-3"/>
        </w:rPr>
        <w:t xml:space="preserve"> </w:t>
      </w:r>
      <w:r w:rsidR="00E27BF5" w:rsidRPr="00BD1319">
        <w:rPr>
          <w:rFonts w:cs="Arial"/>
          <w:spacing w:val="-3"/>
        </w:rPr>
        <w:t xml:space="preserve">en cada una de </w:t>
      </w:r>
      <w:r w:rsidR="00303765" w:rsidRPr="00BD1319">
        <w:rPr>
          <w:rFonts w:cs="Arial"/>
          <w:spacing w:val="-3"/>
        </w:rPr>
        <w:t xml:space="preserve">las localidades en </w:t>
      </w:r>
      <w:r w:rsidR="00E27BF5" w:rsidRPr="00BD1319">
        <w:rPr>
          <w:rFonts w:cs="Arial"/>
          <w:spacing w:val="-3"/>
        </w:rPr>
        <w:t xml:space="preserve">las que </w:t>
      </w:r>
      <w:r w:rsidR="00303765" w:rsidRPr="00BD1319">
        <w:rPr>
          <w:rFonts w:cs="Arial"/>
          <w:spacing w:val="-3"/>
        </w:rPr>
        <w:t xml:space="preserve">se prevé </w:t>
      </w:r>
      <w:r w:rsidR="00E27BF5" w:rsidRPr="00BD1319">
        <w:rPr>
          <w:rFonts w:cs="Arial"/>
          <w:spacing w:val="-3"/>
        </w:rPr>
        <w:t xml:space="preserve">ejecutar </w:t>
      </w:r>
      <w:r w:rsidR="00303765" w:rsidRPr="00BD1319">
        <w:rPr>
          <w:rFonts w:cs="Arial"/>
          <w:spacing w:val="-3"/>
        </w:rPr>
        <w:t>la caza de fomento</w:t>
      </w:r>
      <w:r w:rsidR="00E27BF5" w:rsidRPr="00BD1319">
        <w:rPr>
          <w:rFonts w:cs="Arial"/>
          <w:spacing w:val="-3"/>
        </w:rPr>
        <w:t>. Asimismo</w:t>
      </w:r>
      <w:r w:rsidR="00303765" w:rsidRPr="00BD1319">
        <w:rPr>
          <w:rFonts w:cs="Arial"/>
          <w:spacing w:val="-3"/>
        </w:rPr>
        <w:t>,</w:t>
      </w:r>
      <w:r w:rsidR="00FF2506" w:rsidRPr="00BD1319">
        <w:rPr>
          <w:rFonts w:cs="Arial"/>
          <w:spacing w:val="-3"/>
        </w:rPr>
        <w:t xml:space="preserve"> </w:t>
      </w:r>
      <w:r w:rsidR="00E27BF5" w:rsidRPr="00BD1319">
        <w:rPr>
          <w:rFonts w:cs="Arial"/>
          <w:spacing w:val="-3"/>
        </w:rPr>
        <w:t xml:space="preserve">se deben </w:t>
      </w:r>
      <w:r w:rsidR="00303765" w:rsidRPr="00BD1319">
        <w:rPr>
          <w:rFonts w:cs="Arial"/>
          <w:spacing w:val="-3"/>
        </w:rPr>
        <w:t>menciona</w:t>
      </w:r>
      <w:r w:rsidR="00E27BF5" w:rsidRPr="00BD1319">
        <w:rPr>
          <w:rFonts w:cs="Arial"/>
          <w:spacing w:val="-3"/>
        </w:rPr>
        <w:t>r</w:t>
      </w:r>
      <w:r w:rsidR="00303765" w:rsidRPr="00BD1319">
        <w:rPr>
          <w:rFonts w:cs="Arial"/>
          <w:spacing w:val="-3"/>
        </w:rPr>
        <w:t xml:space="preserve"> las coordenadas que enmarcan </w:t>
      </w:r>
      <w:r w:rsidR="000C153E" w:rsidRPr="00BD1319">
        <w:rPr>
          <w:rFonts w:cs="Arial"/>
          <w:spacing w:val="-3"/>
        </w:rPr>
        <w:t xml:space="preserve">dichas </w:t>
      </w:r>
      <w:r w:rsidR="00E27BF5" w:rsidRPr="00BD1319">
        <w:rPr>
          <w:rFonts w:cs="Arial"/>
          <w:spacing w:val="-3"/>
        </w:rPr>
        <w:t xml:space="preserve">áreas de </w:t>
      </w:r>
      <w:r w:rsidR="000C153E" w:rsidRPr="00BD1319">
        <w:rPr>
          <w:rFonts w:cs="Arial"/>
          <w:spacing w:val="-3"/>
        </w:rPr>
        <w:t>captura</w:t>
      </w:r>
      <w:r w:rsidR="00303765" w:rsidRPr="00BD1319">
        <w:rPr>
          <w:rFonts w:cs="Arial"/>
          <w:spacing w:val="-3"/>
        </w:rPr>
        <w:t>.</w:t>
      </w:r>
    </w:p>
    <w:p w14:paraId="41E8476C" w14:textId="77777777" w:rsidR="007D0B49" w:rsidRPr="00BD1319" w:rsidRDefault="007D0B49" w:rsidP="007D0B49">
      <w:pPr>
        <w:numPr>
          <w:ilvl w:val="12"/>
          <w:numId w:val="0"/>
        </w:numPr>
        <w:tabs>
          <w:tab w:val="left" w:pos="-2268"/>
        </w:tabs>
        <w:suppressAutoHyphens/>
        <w:rPr>
          <w:rFonts w:cs="Arial"/>
          <w:spacing w:val="-3"/>
        </w:rPr>
      </w:pPr>
    </w:p>
    <w:p w14:paraId="0FD13533" w14:textId="7A08D1F4" w:rsidR="009E1EAA" w:rsidRPr="00BD1319" w:rsidRDefault="00231695" w:rsidP="009E1EAA">
      <w:pPr>
        <w:tabs>
          <w:tab w:val="left" w:pos="-2268"/>
        </w:tabs>
        <w:suppressAutoHyphens/>
        <w:rPr>
          <w:rFonts w:cs="Arial"/>
          <w:spacing w:val="-3"/>
        </w:rPr>
      </w:pPr>
      <w:r w:rsidRPr="00BD1319">
        <w:rPr>
          <w:rFonts w:cs="Arial"/>
          <w:spacing w:val="-3"/>
        </w:rPr>
        <w:t xml:space="preserve">Finalmente, </w:t>
      </w:r>
      <w:r w:rsidR="009E1EAA" w:rsidRPr="00BD1319">
        <w:rPr>
          <w:rFonts w:cs="Arial"/>
          <w:spacing w:val="-3"/>
        </w:rPr>
        <w:t xml:space="preserve">se debe </w:t>
      </w:r>
      <w:r w:rsidRPr="00BD1319">
        <w:rPr>
          <w:rFonts w:cs="Arial"/>
          <w:spacing w:val="-3"/>
        </w:rPr>
        <w:t xml:space="preserve">recordar que la información que se genera para solicitar el permiso de caza de fomento, fundamentalmente la referida a la caracterización, </w:t>
      </w:r>
      <w:r w:rsidR="00087FA2" w:rsidRPr="00BD1319">
        <w:rPr>
          <w:rFonts w:cs="Arial"/>
          <w:spacing w:val="-3"/>
        </w:rPr>
        <w:t>a</w:t>
      </w:r>
      <w:r w:rsidRPr="00BD1319">
        <w:rPr>
          <w:rFonts w:cs="Arial"/>
          <w:spacing w:val="-3"/>
        </w:rPr>
        <w:t xml:space="preserve">l estudio de viabilidad biológica, </w:t>
      </w:r>
      <w:r w:rsidR="00087FA2" w:rsidRPr="00BD1319">
        <w:rPr>
          <w:rFonts w:cs="Arial"/>
          <w:spacing w:val="-3"/>
        </w:rPr>
        <w:t xml:space="preserve">a </w:t>
      </w:r>
      <w:r w:rsidRPr="00BD1319">
        <w:rPr>
          <w:rFonts w:cs="Arial"/>
          <w:spacing w:val="-3"/>
        </w:rPr>
        <w:t xml:space="preserve">la descripción de las actividades de caza y </w:t>
      </w:r>
      <w:r w:rsidR="00087FA2" w:rsidRPr="00BD1319">
        <w:rPr>
          <w:rFonts w:cs="Arial"/>
          <w:spacing w:val="-3"/>
        </w:rPr>
        <w:t xml:space="preserve">a </w:t>
      </w:r>
      <w:r w:rsidRPr="00BD1319">
        <w:rPr>
          <w:rFonts w:cs="Arial"/>
          <w:spacing w:val="-3"/>
        </w:rPr>
        <w:t xml:space="preserve">la delimitación de los lugares en los que se planea ejecutar tales actividades, deben emplearse en el numeral de evaluación </w:t>
      </w:r>
      <w:r w:rsidRPr="00BD1319">
        <w:rPr>
          <w:rFonts w:cs="Arial"/>
          <w:spacing w:val="-3"/>
        </w:rPr>
        <w:lastRenderedPageBreak/>
        <w:t>ambiental de este capítulo (</w:t>
      </w:r>
      <w:r w:rsidRPr="00BD1319">
        <w:rPr>
          <w:rFonts w:cs="Arial"/>
          <w:spacing w:val="-3"/>
        </w:rPr>
        <w:fldChar w:fldCharType="begin"/>
      </w:r>
      <w:r w:rsidRPr="00BD1319">
        <w:rPr>
          <w:rFonts w:cs="Arial"/>
          <w:spacing w:val="-3"/>
        </w:rPr>
        <w:instrText xml:space="preserve"> REF _Ref161750678 \r \h </w:instrText>
      </w:r>
      <w:r w:rsidR="00BD1319">
        <w:rPr>
          <w:rFonts w:cs="Arial"/>
          <w:spacing w:val="-3"/>
        </w:rPr>
        <w:instrText xml:space="preserve"> \* MERGEFORMAT </w:instrText>
      </w:r>
      <w:r w:rsidRPr="00BD1319">
        <w:rPr>
          <w:rFonts w:cs="Arial"/>
          <w:spacing w:val="-3"/>
        </w:rPr>
      </w:r>
      <w:r w:rsidRPr="00BD1319">
        <w:rPr>
          <w:rFonts w:cs="Arial"/>
          <w:spacing w:val="-3"/>
        </w:rPr>
        <w:fldChar w:fldCharType="separate"/>
      </w:r>
      <w:r w:rsidR="00296654" w:rsidRPr="00BD1319">
        <w:rPr>
          <w:rFonts w:cs="Arial"/>
          <w:spacing w:val="-3"/>
        </w:rPr>
        <w:t>7</w:t>
      </w:r>
      <w:r w:rsidRPr="00BD1319">
        <w:rPr>
          <w:rFonts w:cs="Arial"/>
          <w:spacing w:val="-3"/>
        </w:rPr>
        <w:fldChar w:fldCharType="end"/>
      </w:r>
      <w:r w:rsidRPr="00BD1319">
        <w:rPr>
          <w:rFonts w:cs="Arial"/>
          <w:spacing w:val="-3"/>
        </w:rPr>
        <w:t xml:space="preserve">) con el fin de asegurar </w:t>
      </w:r>
      <w:r w:rsidR="009E1EAA" w:rsidRPr="00BD1319">
        <w:rPr>
          <w:rFonts w:cs="Arial"/>
          <w:spacing w:val="-3"/>
        </w:rPr>
        <w:t xml:space="preserve">que </w:t>
      </w:r>
      <w:r w:rsidR="009E1EAA" w:rsidRPr="00BD1319">
        <w:rPr>
          <w:spacing w:val="-3"/>
        </w:rPr>
        <w:t xml:space="preserve">los impactos ambientales significativos que resulten de </w:t>
      </w:r>
      <w:r w:rsidRPr="00BD1319">
        <w:rPr>
          <w:spacing w:val="-3"/>
        </w:rPr>
        <w:t xml:space="preserve">estas </w:t>
      </w:r>
      <w:r w:rsidR="009E1EAA" w:rsidRPr="00BD1319">
        <w:rPr>
          <w:spacing w:val="-3"/>
        </w:rPr>
        <w:t xml:space="preserve">actividades </w:t>
      </w:r>
      <w:r w:rsidRPr="00BD1319">
        <w:rPr>
          <w:spacing w:val="-3"/>
        </w:rPr>
        <w:t xml:space="preserve">se </w:t>
      </w:r>
      <w:r w:rsidR="009E1EAA" w:rsidRPr="00BD1319">
        <w:rPr>
          <w:spacing w:val="-3"/>
        </w:rPr>
        <w:t>emple</w:t>
      </w:r>
      <w:r w:rsidRPr="00BD1319">
        <w:rPr>
          <w:spacing w:val="-3"/>
        </w:rPr>
        <w:t xml:space="preserve">en </w:t>
      </w:r>
      <w:r w:rsidR="009E1EAA" w:rsidRPr="00BD1319">
        <w:rPr>
          <w:spacing w:val="-3"/>
        </w:rPr>
        <w:t xml:space="preserve">para delimitar </w:t>
      </w:r>
      <w:r w:rsidR="009E1EAA" w:rsidRPr="00BD1319">
        <w:rPr>
          <w:rFonts w:cs="Arial"/>
          <w:spacing w:val="-3"/>
        </w:rPr>
        <w:t>el área de influencia.</w:t>
      </w:r>
    </w:p>
    <w:p w14:paraId="2BE47986" w14:textId="77777777" w:rsidR="009E1EAA" w:rsidRPr="00BD1319" w:rsidRDefault="009E1EAA" w:rsidP="007D0B49">
      <w:pPr>
        <w:numPr>
          <w:ilvl w:val="12"/>
          <w:numId w:val="0"/>
        </w:numPr>
        <w:tabs>
          <w:tab w:val="left" w:pos="-2268"/>
        </w:tabs>
        <w:suppressAutoHyphens/>
        <w:rPr>
          <w:rFonts w:cs="Arial"/>
          <w:spacing w:val="-3"/>
        </w:rPr>
      </w:pPr>
    </w:p>
    <w:p w14:paraId="20BA18F8" w14:textId="7A619DFD" w:rsidR="00231695" w:rsidRPr="00BD1319" w:rsidRDefault="00231695" w:rsidP="007D0B49">
      <w:pPr>
        <w:numPr>
          <w:ilvl w:val="12"/>
          <w:numId w:val="0"/>
        </w:numPr>
        <w:tabs>
          <w:tab w:val="left" w:pos="-2268"/>
        </w:tabs>
        <w:suppressAutoHyphens/>
        <w:rPr>
          <w:rFonts w:cs="Arial"/>
          <w:spacing w:val="-3"/>
        </w:rPr>
      </w:pPr>
      <w:r w:rsidRPr="00BD1319">
        <w:rPr>
          <w:rFonts w:cs="Arial"/>
          <w:spacing w:val="-3"/>
        </w:rPr>
        <w:t xml:space="preserve">En este sentido, se debe tener en cuenta que la caza de fomento además de generar impactos inmediatos sobre una especie al remover individuos de sus poblaciones naturales genera impactos sobre otras especies de fauna y flora y sobre los ecosistemas terrestres y acuáticos, especialmente sobre aquellos ambientalmente críticos, sensibles y de importancia ecológica y ambiental. Por ello, es necesario basarse en las cadenas tróficas y </w:t>
      </w:r>
      <w:r w:rsidR="00C96E17" w:rsidRPr="00BD1319">
        <w:rPr>
          <w:rFonts w:cs="Arial"/>
          <w:spacing w:val="-3"/>
        </w:rPr>
        <w:t xml:space="preserve">en </w:t>
      </w:r>
      <w:r w:rsidRPr="00BD1319">
        <w:rPr>
          <w:rFonts w:cs="Arial"/>
          <w:spacing w:val="-3"/>
        </w:rPr>
        <w:t xml:space="preserve">las relaciones de dependencia directa o indirecta que existen entre las especies objeto de caza y otras especies de fauna y flora, para determinar y valorar </w:t>
      </w:r>
      <w:r w:rsidR="00C96E17" w:rsidRPr="00BD1319">
        <w:rPr>
          <w:rFonts w:cs="Arial"/>
          <w:spacing w:val="-3"/>
        </w:rPr>
        <w:t xml:space="preserve">los </w:t>
      </w:r>
      <w:r w:rsidRPr="00BD1319">
        <w:rPr>
          <w:rFonts w:cs="Arial"/>
          <w:spacing w:val="-3"/>
        </w:rPr>
        <w:t>impactos ambientales</w:t>
      </w:r>
      <w:r w:rsidR="00C96E17" w:rsidRPr="00BD1319">
        <w:rPr>
          <w:rFonts w:cs="Arial"/>
          <w:spacing w:val="-3"/>
        </w:rPr>
        <w:t xml:space="preserve"> de esta actividad</w:t>
      </w:r>
      <w:r w:rsidRPr="00BD1319">
        <w:rPr>
          <w:rFonts w:cs="Arial"/>
          <w:spacing w:val="-3"/>
        </w:rPr>
        <w:t>.</w:t>
      </w:r>
    </w:p>
    <w:p w14:paraId="1DCB4DF3" w14:textId="77777777" w:rsidR="00C96E17" w:rsidRPr="00BD1319" w:rsidRDefault="00C96E17" w:rsidP="007D0B49">
      <w:pPr>
        <w:numPr>
          <w:ilvl w:val="12"/>
          <w:numId w:val="0"/>
        </w:numPr>
        <w:tabs>
          <w:tab w:val="left" w:pos="-2268"/>
        </w:tabs>
        <w:suppressAutoHyphens/>
        <w:rPr>
          <w:rFonts w:cs="Arial"/>
          <w:spacing w:val="-3"/>
        </w:rPr>
      </w:pPr>
    </w:p>
    <w:p w14:paraId="5C2B586B" w14:textId="77777777" w:rsidR="00CB479F" w:rsidRPr="00BD1319" w:rsidRDefault="00CB479F" w:rsidP="00402FB4">
      <w:pPr>
        <w:numPr>
          <w:ilvl w:val="12"/>
          <w:numId w:val="0"/>
        </w:numPr>
        <w:tabs>
          <w:tab w:val="left" w:pos="-2268"/>
        </w:tabs>
        <w:suppressAutoHyphens/>
        <w:rPr>
          <w:rFonts w:cs="Arial"/>
          <w:spacing w:val="-3"/>
        </w:rPr>
      </w:pPr>
    </w:p>
    <w:p w14:paraId="39A7E5A5" w14:textId="3446A10D" w:rsidR="00402FB4" w:rsidRPr="00BD1319" w:rsidRDefault="00402FB4" w:rsidP="00696453">
      <w:pPr>
        <w:pStyle w:val="Ttulo1"/>
        <w:numPr>
          <w:ilvl w:val="0"/>
          <w:numId w:val="8"/>
        </w:numPr>
        <w:rPr>
          <w:lang w:val="es-CO"/>
        </w:rPr>
      </w:pPr>
      <w:bookmarkStart w:id="3158" w:name="_Toc43485746"/>
      <w:bookmarkStart w:id="3159" w:name="_Toc43485747"/>
      <w:bookmarkStart w:id="3160" w:name="_Toc43485748"/>
      <w:bookmarkStart w:id="3161" w:name="_Toc43485749"/>
      <w:bookmarkStart w:id="3162" w:name="_Toc43485750"/>
      <w:bookmarkStart w:id="3163" w:name="_Toc43485751"/>
      <w:bookmarkStart w:id="3164" w:name="_Toc43485752"/>
      <w:bookmarkStart w:id="3165" w:name="_Toc43485753"/>
      <w:bookmarkStart w:id="3166" w:name="_Toc43485754"/>
      <w:bookmarkStart w:id="3167" w:name="_Toc43485755"/>
      <w:bookmarkStart w:id="3168" w:name="_Toc43485756"/>
      <w:bookmarkStart w:id="3169" w:name="_Toc43485757"/>
      <w:bookmarkStart w:id="3170" w:name="_Toc43485758"/>
      <w:bookmarkStart w:id="3171" w:name="_Toc43485759"/>
      <w:bookmarkStart w:id="3172" w:name="_Toc43485760"/>
      <w:bookmarkStart w:id="3173" w:name="_Toc43485761"/>
      <w:bookmarkStart w:id="3174" w:name="_Toc43485762"/>
      <w:bookmarkStart w:id="3175" w:name="_Toc43485763"/>
      <w:bookmarkStart w:id="3176" w:name="_Toc43485764"/>
      <w:bookmarkStart w:id="3177" w:name="_Toc43485765"/>
      <w:bookmarkStart w:id="3178" w:name="_Toc43485766"/>
      <w:bookmarkStart w:id="3179" w:name="_Toc43485767"/>
      <w:bookmarkStart w:id="3180" w:name="_Toc43485768"/>
      <w:bookmarkStart w:id="3181" w:name="_Toc43485769"/>
      <w:bookmarkStart w:id="3182" w:name="_Toc43485770"/>
      <w:bookmarkStart w:id="3183" w:name="_Toc43485771"/>
      <w:bookmarkStart w:id="3184" w:name="_Toc43485774"/>
      <w:bookmarkStart w:id="3185" w:name="_Toc43485775"/>
      <w:bookmarkStart w:id="3186" w:name="_Toc43485776"/>
      <w:bookmarkStart w:id="3187" w:name="_Toc43485777"/>
      <w:bookmarkStart w:id="3188" w:name="_Toc43485778"/>
      <w:bookmarkStart w:id="3189" w:name="_Toc43485779"/>
      <w:bookmarkStart w:id="3190" w:name="_Toc43485780"/>
      <w:bookmarkStart w:id="3191" w:name="_Toc437936053"/>
      <w:bookmarkStart w:id="3192" w:name="_Ref507574346"/>
      <w:bookmarkStart w:id="3193" w:name="_Ref510089213"/>
      <w:bookmarkStart w:id="3194" w:name="_Ref515428734"/>
      <w:bookmarkStart w:id="3195" w:name="_Ref515723704"/>
      <w:bookmarkStart w:id="3196" w:name="_Ref43356983"/>
      <w:bookmarkStart w:id="3197" w:name="_Ref78556131"/>
      <w:bookmarkStart w:id="3198" w:name="_Ref82611206"/>
      <w:bookmarkStart w:id="3199" w:name="_Ref161750678"/>
      <w:bookmarkStart w:id="3200" w:name="_Toc175326799"/>
      <w:bookmarkStart w:id="3201" w:name="_Hlk153184706"/>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r w:rsidRPr="00BD1319">
        <w:rPr>
          <w:lang w:val="es-CO"/>
        </w:rPr>
        <w:t>EVALUACIÓN AMBIENTAL</w:t>
      </w:r>
      <w:bookmarkEnd w:id="3191"/>
      <w:bookmarkEnd w:id="3192"/>
      <w:bookmarkEnd w:id="3193"/>
      <w:bookmarkEnd w:id="3194"/>
      <w:bookmarkEnd w:id="3195"/>
      <w:bookmarkEnd w:id="3196"/>
      <w:bookmarkEnd w:id="3197"/>
      <w:bookmarkEnd w:id="3198"/>
      <w:bookmarkEnd w:id="3199"/>
      <w:bookmarkEnd w:id="3200"/>
    </w:p>
    <w:bookmarkEnd w:id="3201"/>
    <w:p w14:paraId="6BBB1FD5" w14:textId="77777777" w:rsidR="000B7129" w:rsidRPr="00BD1319" w:rsidRDefault="000B7129">
      <w:pPr>
        <w:numPr>
          <w:ilvl w:val="12"/>
          <w:numId w:val="0"/>
        </w:numPr>
        <w:tabs>
          <w:tab w:val="left" w:pos="-2268"/>
        </w:tabs>
        <w:suppressAutoHyphens/>
        <w:rPr>
          <w:spacing w:val="-3"/>
        </w:rPr>
      </w:pPr>
    </w:p>
    <w:p w14:paraId="7FFD4565" w14:textId="443846AB" w:rsidR="007B7358" w:rsidRPr="00BD1319" w:rsidRDefault="007B7358" w:rsidP="007B7358">
      <w:pPr>
        <w:numPr>
          <w:ilvl w:val="12"/>
          <w:numId w:val="0"/>
        </w:numPr>
        <w:tabs>
          <w:tab w:val="left" w:pos="-2268"/>
        </w:tabs>
        <w:suppressAutoHyphens/>
        <w:rPr>
          <w:rFonts w:cs="Arial"/>
          <w:spacing w:val="-3"/>
        </w:rPr>
      </w:pPr>
      <w:bookmarkStart w:id="3202" w:name="_Toc343187974"/>
      <w:r w:rsidRPr="00BD1319">
        <w:rPr>
          <w:rFonts w:cs="Arial"/>
          <w:spacing w:val="-3"/>
        </w:rPr>
        <w:t xml:space="preserve">Este numeral </w:t>
      </w:r>
      <w:r w:rsidR="008E1F8C" w:rsidRPr="00BD1319">
        <w:rPr>
          <w:rFonts w:cs="Arial"/>
          <w:spacing w:val="-3"/>
        </w:rPr>
        <w:t xml:space="preserve">del EIA </w:t>
      </w:r>
      <w:r w:rsidRPr="00BD1319">
        <w:rPr>
          <w:rFonts w:cs="Arial"/>
          <w:spacing w:val="-3"/>
        </w:rPr>
        <w:t>tiene como propósito evaluar los impactos ambientales que podría generar un proyecto, obra o actividad, es decir, evaluar los cambios que sufriría</w:t>
      </w:r>
      <w:r w:rsidR="008E1F8C" w:rsidRPr="00BD1319">
        <w:rPr>
          <w:rFonts w:cs="Arial"/>
          <w:spacing w:val="-3"/>
        </w:rPr>
        <w:t xml:space="preserve"> un conjunto de </w:t>
      </w:r>
      <w:r w:rsidRPr="00BD1319">
        <w:rPr>
          <w:rFonts w:cs="Arial"/>
          <w:spacing w:val="-3"/>
        </w:rPr>
        <w:t>parámetro</w:t>
      </w:r>
      <w:r w:rsidR="008E1F8C" w:rsidRPr="00BD1319">
        <w:rPr>
          <w:rFonts w:cs="Arial"/>
          <w:spacing w:val="-3"/>
        </w:rPr>
        <w:t>s</w:t>
      </w:r>
      <w:r w:rsidRPr="00BD1319">
        <w:rPr>
          <w:rFonts w:cs="Arial"/>
          <w:spacing w:val="-3"/>
        </w:rPr>
        <w:t xml:space="preserve"> ambiental</w:t>
      </w:r>
      <w:r w:rsidR="008E1F8C" w:rsidRPr="00BD1319">
        <w:rPr>
          <w:rFonts w:cs="Arial"/>
          <w:spacing w:val="-3"/>
        </w:rPr>
        <w:t>es</w:t>
      </w:r>
      <w:r w:rsidRPr="00BD1319">
        <w:rPr>
          <w:rFonts w:cs="Arial"/>
          <w:spacing w:val="-3"/>
        </w:rPr>
        <w:t xml:space="preserve"> (cualitativo</w:t>
      </w:r>
      <w:r w:rsidR="008E1F8C" w:rsidRPr="00BD1319">
        <w:rPr>
          <w:rFonts w:cs="Arial"/>
          <w:spacing w:val="-3"/>
        </w:rPr>
        <w:t>s</w:t>
      </w:r>
      <w:r w:rsidRPr="00BD1319">
        <w:rPr>
          <w:rFonts w:cs="Arial"/>
          <w:spacing w:val="-3"/>
        </w:rPr>
        <w:t xml:space="preserve"> o cuantitativo</w:t>
      </w:r>
      <w:r w:rsidR="008E1F8C" w:rsidRPr="00BD1319">
        <w:rPr>
          <w:rFonts w:cs="Arial"/>
          <w:spacing w:val="-3"/>
        </w:rPr>
        <w:t>s</w:t>
      </w:r>
      <w:r w:rsidRPr="00BD1319">
        <w:rPr>
          <w:rFonts w:cs="Arial"/>
          <w:spacing w:val="-3"/>
        </w:rPr>
        <w:t>) entre dos escenarios diferentes, uno en el que no se desarrolla el proyecto</w:t>
      </w:r>
      <w:r w:rsidR="00953BF3" w:rsidRPr="00BD1319">
        <w:rPr>
          <w:spacing w:val="-3"/>
        </w:rPr>
        <w:t>, obra o actividad</w:t>
      </w:r>
      <w:r w:rsidRPr="00BD1319">
        <w:rPr>
          <w:rFonts w:cs="Arial"/>
          <w:spacing w:val="-3"/>
        </w:rPr>
        <w:t xml:space="preserve"> y otro en el que sí. Mediante este ejercicio de predicción de las repercusiones ambientales se gener</w:t>
      </w:r>
      <w:r w:rsidR="00D7628F" w:rsidRPr="00BD1319">
        <w:rPr>
          <w:rFonts w:cs="Arial"/>
          <w:spacing w:val="-3"/>
        </w:rPr>
        <w:t>a</w:t>
      </w:r>
      <w:r w:rsidRPr="00BD1319">
        <w:rPr>
          <w:rFonts w:cs="Arial"/>
          <w:spacing w:val="-3"/>
        </w:rPr>
        <w:t xml:space="preserve"> conocimiento para la toma de decisiones, ya sea</w:t>
      </w:r>
      <w:r w:rsidR="00963B99" w:rsidRPr="00BD1319">
        <w:rPr>
          <w:rFonts w:cs="Arial"/>
          <w:spacing w:val="-3"/>
        </w:rPr>
        <w:t xml:space="preserve"> por parte de </w:t>
      </w:r>
      <w:r w:rsidRPr="00BD1319">
        <w:rPr>
          <w:rFonts w:cs="Arial"/>
          <w:spacing w:val="-3"/>
        </w:rPr>
        <w:t>quien está formulando un proyecto</w:t>
      </w:r>
      <w:r w:rsidR="00953BF3" w:rsidRPr="00BD1319">
        <w:rPr>
          <w:rFonts w:cs="Arial"/>
          <w:spacing w:val="-3"/>
        </w:rPr>
        <w:t>,</w:t>
      </w:r>
      <w:r w:rsidRPr="00BD1319">
        <w:rPr>
          <w:rFonts w:cs="Arial"/>
          <w:spacing w:val="-3"/>
        </w:rPr>
        <w:t xml:space="preserve"> obra o actividad, o </w:t>
      </w:r>
      <w:r w:rsidR="00963B99" w:rsidRPr="00BD1319">
        <w:rPr>
          <w:rFonts w:cs="Arial"/>
          <w:spacing w:val="-3"/>
        </w:rPr>
        <w:t xml:space="preserve">por parte de </w:t>
      </w:r>
      <w:r w:rsidRPr="00BD1319">
        <w:rPr>
          <w:rFonts w:cs="Arial"/>
          <w:spacing w:val="-3"/>
        </w:rPr>
        <w:t xml:space="preserve">la autoridad </w:t>
      </w:r>
      <w:r w:rsidR="000D7E4F" w:rsidRPr="00BD1319">
        <w:rPr>
          <w:rFonts w:cs="Arial"/>
          <w:spacing w:val="-3"/>
        </w:rPr>
        <w:t xml:space="preserve">que evalúa su </w:t>
      </w:r>
      <w:r w:rsidRPr="00BD1319">
        <w:rPr>
          <w:rFonts w:cs="Arial"/>
          <w:spacing w:val="-3"/>
        </w:rPr>
        <w:t>viabilidad ambiental.</w:t>
      </w:r>
    </w:p>
    <w:p w14:paraId="325C2570" w14:textId="77777777" w:rsidR="007B7358" w:rsidRPr="00BD1319" w:rsidRDefault="007B7358" w:rsidP="007B7358">
      <w:pPr>
        <w:numPr>
          <w:ilvl w:val="12"/>
          <w:numId w:val="0"/>
        </w:numPr>
        <w:tabs>
          <w:tab w:val="left" w:pos="-2268"/>
        </w:tabs>
        <w:suppressAutoHyphens/>
        <w:rPr>
          <w:rFonts w:cs="Arial"/>
          <w:spacing w:val="-3"/>
        </w:rPr>
      </w:pPr>
    </w:p>
    <w:p w14:paraId="6EE92356" w14:textId="06741DB8" w:rsidR="00571B66" w:rsidRPr="00BD1319" w:rsidRDefault="007B7358" w:rsidP="007B7358">
      <w:pPr>
        <w:numPr>
          <w:ilvl w:val="12"/>
          <w:numId w:val="0"/>
        </w:numPr>
        <w:tabs>
          <w:tab w:val="left" w:pos="-2268"/>
        </w:tabs>
        <w:suppressAutoHyphens/>
        <w:rPr>
          <w:rFonts w:cs="Arial"/>
          <w:spacing w:val="-3"/>
        </w:rPr>
      </w:pPr>
      <w:r w:rsidRPr="00BD1319">
        <w:rPr>
          <w:rFonts w:cs="Arial"/>
          <w:spacing w:val="-3"/>
        </w:rPr>
        <w:t xml:space="preserve">En la medida en que la evaluación ambiental permite prever cuáles son los impactos y cómo modificarían las condiciones ambientales, quien formula un proyecto, obra o actividad, puede utilizar esta información para replantear tanto su ubicación o trazado, como sus características de ingeniería, tecnología y diseño a fin de que su propuesta genere menos impactos o </w:t>
      </w:r>
      <w:r w:rsidR="00B30B8E" w:rsidRPr="00BD1319">
        <w:rPr>
          <w:rFonts w:cs="Arial"/>
          <w:spacing w:val="-3"/>
        </w:rPr>
        <w:t xml:space="preserve">de </w:t>
      </w:r>
      <w:r w:rsidRPr="00BD1319">
        <w:rPr>
          <w:rFonts w:cs="Arial"/>
          <w:spacing w:val="-3"/>
        </w:rPr>
        <w:t>que éstos modifiquen en menor medida las condiciones ambientales, especialmente, las de las áreas ambiental</w:t>
      </w:r>
      <w:r w:rsidR="0086126A" w:rsidRPr="00BD1319">
        <w:rPr>
          <w:rFonts w:cs="Arial"/>
          <w:spacing w:val="-3"/>
        </w:rPr>
        <w:t>es estratégicas</w:t>
      </w:r>
      <w:r w:rsidRPr="00BD1319">
        <w:rPr>
          <w:rFonts w:cs="Arial"/>
          <w:spacing w:val="-3"/>
        </w:rPr>
        <w:t>.</w:t>
      </w:r>
    </w:p>
    <w:p w14:paraId="03BE2035" w14:textId="77777777" w:rsidR="007B7358" w:rsidRPr="00BD1319" w:rsidRDefault="007B7358" w:rsidP="007B7358">
      <w:pPr>
        <w:numPr>
          <w:ilvl w:val="12"/>
          <w:numId w:val="0"/>
        </w:numPr>
        <w:tabs>
          <w:tab w:val="left" w:pos="-2268"/>
        </w:tabs>
        <w:suppressAutoHyphens/>
        <w:rPr>
          <w:rFonts w:cs="Arial"/>
          <w:spacing w:val="-3"/>
        </w:rPr>
      </w:pPr>
    </w:p>
    <w:p w14:paraId="2FE6427C" w14:textId="3B72F119" w:rsidR="007B7358" w:rsidRPr="00BD1319" w:rsidRDefault="007A53B4" w:rsidP="007B7358">
      <w:pPr>
        <w:numPr>
          <w:ilvl w:val="12"/>
          <w:numId w:val="0"/>
        </w:numPr>
        <w:tabs>
          <w:tab w:val="left" w:pos="-2268"/>
        </w:tabs>
        <w:suppressAutoHyphens/>
        <w:rPr>
          <w:rFonts w:cs="Arial"/>
          <w:spacing w:val="-3"/>
        </w:rPr>
      </w:pPr>
      <w:r w:rsidRPr="00BD1319">
        <w:rPr>
          <w:rFonts w:cs="Arial"/>
          <w:spacing w:val="-3"/>
        </w:rPr>
        <w:t>La</w:t>
      </w:r>
      <w:r w:rsidR="007B7358" w:rsidRPr="00BD1319">
        <w:rPr>
          <w:rFonts w:cs="Arial"/>
          <w:spacing w:val="-3"/>
        </w:rPr>
        <w:t xml:space="preserve"> evaluación ambiental </w:t>
      </w:r>
      <w:r w:rsidR="0029057E" w:rsidRPr="00BD1319">
        <w:rPr>
          <w:rFonts w:cs="Arial"/>
          <w:spacing w:val="-3"/>
        </w:rPr>
        <w:t xml:space="preserve">brinda información que permite </w:t>
      </w:r>
      <w:r w:rsidR="007B7358" w:rsidRPr="00BD1319">
        <w:rPr>
          <w:rFonts w:cs="Arial"/>
          <w:spacing w:val="-3"/>
        </w:rPr>
        <w:t xml:space="preserve">disminuciones importantes </w:t>
      </w:r>
      <w:r w:rsidR="0029057E" w:rsidRPr="00BD1319">
        <w:rPr>
          <w:rFonts w:cs="Arial"/>
          <w:spacing w:val="-3"/>
        </w:rPr>
        <w:t xml:space="preserve">en los </w:t>
      </w:r>
      <w:r w:rsidR="007B7358" w:rsidRPr="00BD1319">
        <w:rPr>
          <w:rFonts w:cs="Arial"/>
          <w:spacing w:val="-3"/>
        </w:rPr>
        <w:t>costos</w:t>
      </w:r>
      <w:r w:rsidR="0029057E" w:rsidRPr="00BD1319">
        <w:rPr>
          <w:rFonts w:cs="Arial"/>
          <w:spacing w:val="-3"/>
        </w:rPr>
        <w:t xml:space="preserve"> de un proyecto, obra o actividad</w:t>
      </w:r>
      <w:r w:rsidR="007B7358" w:rsidRPr="00BD1319">
        <w:rPr>
          <w:rFonts w:cs="Arial"/>
          <w:spacing w:val="-3"/>
        </w:rPr>
        <w:t>, pues un proyecto concebido con un óptimo desempeño ambiental, además de tener un área de influencia más pequeña o ubicada en áreas poco sensibles, requerirá de un manejo menos intensivo y complejo, y seguramente, de una menor cantidad de solicitudes de permisos o autorizaciones ambientales.</w:t>
      </w:r>
    </w:p>
    <w:p w14:paraId="2F914F7D" w14:textId="77777777" w:rsidR="007B7358" w:rsidRPr="00BD1319" w:rsidRDefault="007B7358" w:rsidP="007B7358">
      <w:pPr>
        <w:numPr>
          <w:ilvl w:val="12"/>
          <w:numId w:val="0"/>
        </w:numPr>
        <w:tabs>
          <w:tab w:val="left" w:pos="-2268"/>
        </w:tabs>
        <w:suppressAutoHyphens/>
        <w:rPr>
          <w:rFonts w:cs="Arial"/>
          <w:spacing w:val="-3"/>
        </w:rPr>
      </w:pPr>
    </w:p>
    <w:p w14:paraId="74A329FA" w14:textId="03211516" w:rsidR="007B7358" w:rsidRPr="00BD1319" w:rsidRDefault="007B7358" w:rsidP="007B7358">
      <w:pPr>
        <w:numPr>
          <w:ilvl w:val="12"/>
          <w:numId w:val="0"/>
        </w:numPr>
        <w:tabs>
          <w:tab w:val="left" w:pos="-2268"/>
        </w:tabs>
        <w:suppressAutoHyphens/>
        <w:rPr>
          <w:rFonts w:cs="Arial"/>
          <w:spacing w:val="-3"/>
        </w:rPr>
      </w:pPr>
      <w:r w:rsidRPr="00BD1319">
        <w:rPr>
          <w:rFonts w:cs="Arial"/>
          <w:spacing w:val="-3"/>
        </w:rPr>
        <w:t xml:space="preserve">En este mismo sentido, la evaluación ambiental es esencial para el proceso de elaboración del </w:t>
      </w:r>
      <w:r w:rsidR="009B68FD" w:rsidRPr="00BD1319">
        <w:rPr>
          <w:rFonts w:cs="Arial"/>
          <w:spacing w:val="-3"/>
        </w:rPr>
        <w:t>estudio ambiental</w:t>
      </w:r>
      <w:r w:rsidRPr="00BD1319">
        <w:rPr>
          <w:rFonts w:cs="Arial"/>
          <w:spacing w:val="-3"/>
        </w:rPr>
        <w:t xml:space="preserve">, pues es mediante la información que en ella se genera, que es posible </w:t>
      </w:r>
      <w:r w:rsidR="009B68FD" w:rsidRPr="00BD1319">
        <w:rPr>
          <w:rFonts w:cs="Arial"/>
          <w:spacing w:val="-3"/>
        </w:rPr>
        <w:t xml:space="preserve">delimitar el área de influencia, </w:t>
      </w:r>
      <w:r w:rsidRPr="00BD1319">
        <w:rPr>
          <w:rFonts w:cs="Arial"/>
          <w:spacing w:val="-3"/>
        </w:rPr>
        <w:t xml:space="preserve">formular medidas de manejo que eviten, mitiguen, corrijan y compensen de forma eficaz los impactos que puede </w:t>
      </w:r>
      <w:r w:rsidR="00CA04FC" w:rsidRPr="00BD1319">
        <w:rPr>
          <w:rFonts w:cs="Arial"/>
          <w:spacing w:val="-3"/>
        </w:rPr>
        <w:t xml:space="preserve">generar </w:t>
      </w:r>
      <w:r w:rsidRPr="00BD1319">
        <w:rPr>
          <w:rFonts w:cs="Arial"/>
          <w:spacing w:val="-3"/>
        </w:rPr>
        <w:t>un proyecto</w:t>
      </w:r>
      <w:r w:rsidR="00953BF3" w:rsidRPr="00BD1319">
        <w:rPr>
          <w:rFonts w:cs="Arial"/>
          <w:spacing w:val="-3"/>
        </w:rPr>
        <w:t>,</w:t>
      </w:r>
      <w:r w:rsidRPr="00BD1319">
        <w:rPr>
          <w:rFonts w:cs="Arial"/>
          <w:spacing w:val="-3"/>
        </w:rPr>
        <w:t xml:space="preserve"> obra o actividad, </w:t>
      </w:r>
      <w:r w:rsidR="009B68FD" w:rsidRPr="00BD1319">
        <w:rPr>
          <w:rFonts w:cs="Arial"/>
          <w:spacing w:val="-3"/>
        </w:rPr>
        <w:t xml:space="preserve">entre otras acciones que </w:t>
      </w:r>
      <w:r w:rsidRPr="00BD1319">
        <w:rPr>
          <w:rFonts w:cs="Arial"/>
          <w:spacing w:val="-3"/>
        </w:rPr>
        <w:t>aseguran el cumplimiento de los propósitos de la licencia ambiental como instrumento de manejo y control.</w:t>
      </w:r>
    </w:p>
    <w:p w14:paraId="328E452C" w14:textId="77777777" w:rsidR="007B7358" w:rsidRPr="00BD1319" w:rsidRDefault="007B7358" w:rsidP="007B7358">
      <w:pPr>
        <w:numPr>
          <w:ilvl w:val="12"/>
          <w:numId w:val="0"/>
        </w:numPr>
        <w:tabs>
          <w:tab w:val="left" w:pos="-2268"/>
        </w:tabs>
        <w:suppressAutoHyphens/>
        <w:rPr>
          <w:rFonts w:cs="Arial"/>
          <w:spacing w:val="-3"/>
        </w:rPr>
      </w:pPr>
    </w:p>
    <w:p w14:paraId="17006B4C" w14:textId="6ED8588C" w:rsidR="007B7358" w:rsidRPr="00BD1319" w:rsidRDefault="0044028B" w:rsidP="007B7358">
      <w:pPr>
        <w:numPr>
          <w:ilvl w:val="12"/>
          <w:numId w:val="0"/>
        </w:numPr>
        <w:tabs>
          <w:tab w:val="left" w:pos="-2268"/>
        </w:tabs>
        <w:suppressAutoHyphens/>
        <w:rPr>
          <w:rFonts w:cs="Arial"/>
          <w:spacing w:val="-3"/>
        </w:rPr>
      </w:pPr>
      <w:r w:rsidRPr="00BD1319">
        <w:rPr>
          <w:rFonts w:cs="Arial"/>
          <w:spacing w:val="-3"/>
        </w:rPr>
        <w:t xml:space="preserve">Los lineamientos sobre la evaluación ambiental se dividen en </w:t>
      </w:r>
      <w:r w:rsidR="009B4646" w:rsidRPr="00BD1319">
        <w:rPr>
          <w:rFonts w:cs="Arial"/>
          <w:spacing w:val="-3"/>
        </w:rPr>
        <w:t>cuatro</w:t>
      </w:r>
      <w:r w:rsidR="000A0928" w:rsidRPr="00BD1319">
        <w:rPr>
          <w:rFonts w:cs="Arial"/>
          <w:spacing w:val="-3"/>
        </w:rPr>
        <w:t xml:space="preserve"> </w:t>
      </w:r>
      <w:r w:rsidRPr="00BD1319">
        <w:rPr>
          <w:rFonts w:cs="Arial"/>
          <w:spacing w:val="-3"/>
        </w:rPr>
        <w:t>secciones</w:t>
      </w:r>
      <w:r w:rsidR="000D7E4F" w:rsidRPr="00BD1319">
        <w:rPr>
          <w:rFonts w:cs="Arial"/>
          <w:spacing w:val="-3"/>
        </w:rPr>
        <w:t xml:space="preserve">. </w:t>
      </w:r>
      <w:r w:rsidRPr="00BD1319">
        <w:rPr>
          <w:rFonts w:cs="Arial"/>
          <w:spacing w:val="-3"/>
        </w:rPr>
        <w:t xml:space="preserve">La </w:t>
      </w:r>
      <w:r w:rsidR="000D7E4F" w:rsidRPr="00BD1319">
        <w:rPr>
          <w:rFonts w:cs="Arial"/>
          <w:spacing w:val="-3"/>
        </w:rPr>
        <w:t>primer</w:t>
      </w:r>
      <w:r w:rsidRPr="00BD1319">
        <w:rPr>
          <w:rFonts w:cs="Arial"/>
          <w:spacing w:val="-3"/>
        </w:rPr>
        <w:t>a</w:t>
      </w:r>
      <w:r w:rsidR="000D7E4F" w:rsidRPr="00BD1319">
        <w:rPr>
          <w:rFonts w:cs="Arial"/>
          <w:spacing w:val="-3"/>
        </w:rPr>
        <w:t xml:space="preserve"> de ell</w:t>
      </w:r>
      <w:r w:rsidRPr="00BD1319">
        <w:rPr>
          <w:rFonts w:cs="Arial"/>
          <w:spacing w:val="-3"/>
        </w:rPr>
        <w:t>a</w:t>
      </w:r>
      <w:r w:rsidR="000D7E4F" w:rsidRPr="00BD1319">
        <w:rPr>
          <w:rFonts w:cs="Arial"/>
          <w:spacing w:val="-3"/>
        </w:rPr>
        <w:t xml:space="preserve">s </w:t>
      </w:r>
      <w:r w:rsidR="000A0928" w:rsidRPr="00BD1319">
        <w:rPr>
          <w:rFonts w:cs="Arial"/>
          <w:spacing w:val="-3"/>
        </w:rPr>
        <w:t xml:space="preserve">ofrece </w:t>
      </w:r>
      <w:r w:rsidR="007B7358" w:rsidRPr="00BD1319">
        <w:rPr>
          <w:rFonts w:cs="Arial"/>
          <w:spacing w:val="-3"/>
        </w:rPr>
        <w:t xml:space="preserve">lineamientos y reglas generales </w:t>
      </w:r>
      <w:r w:rsidR="000A0928" w:rsidRPr="00BD1319">
        <w:rPr>
          <w:rFonts w:cs="Arial"/>
          <w:spacing w:val="-3"/>
        </w:rPr>
        <w:t xml:space="preserve">que aplican tanto a </w:t>
      </w:r>
      <w:r w:rsidR="007B7358" w:rsidRPr="00BD1319">
        <w:rPr>
          <w:rFonts w:cs="Arial"/>
          <w:spacing w:val="-3"/>
        </w:rPr>
        <w:t xml:space="preserve">la evaluación ambiental </w:t>
      </w:r>
      <w:r w:rsidR="00FA2D91" w:rsidRPr="00BD1319">
        <w:rPr>
          <w:rFonts w:cs="Arial"/>
          <w:spacing w:val="-3"/>
        </w:rPr>
        <w:t>d</w:t>
      </w:r>
      <w:r w:rsidR="003E7CC2" w:rsidRPr="00BD1319">
        <w:rPr>
          <w:rFonts w:cs="Arial"/>
          <w:spacing w:val="-3"/>
        </w:rPr>
        <w:t>e</w:t>
      </w:r>
      <w:r w:rsidR="000A0928" w:rsidRPr="00BD1319">
        <w:rPr>
          <w:rFonts w:cs="Arial"/>
          <w:spacing w:val="-3"/>
        </w:rPr>
        <w:t xml:space="preserve">l escenario </w:t>
      </w:r>
      <w:r w:rsidR="003E7CC2" w:rsidRPr="00BD1319">
        <w:rPr>
          <w:rFonts w:cs="Arial"/>
          <w:spacing w:val="-3"/>
        </w:rPr>
        <w:t xml:space="preserve">sin </w:t>
      </w:r>
      <w:r w:rsidR="000A0928" w:rsidRPr="00BD1319">
        <w:rPr>
          <w:rFonts w:cs="Arial"/>
          <w:spacing w:val="-3"/>
        </w:rPr>
        <w:t xml:space="preserve">proyecto, como a la evaluación ambiental del escenario con </w:t>
      </w:r>
      <w:r w:rsidR="003E7CC2" w:rsidRPr="00BD1319">
        <w:rPr>
          <w:rFonts w:cs="Arial"/>
          <w:spacing w:val="-3"/>
        </w:rPr>
        <w:t>proyecto</w:t>
      </w:r>
      <w:r w:rsidR="000A0928" w:rsidRPr="00BD1319">
        <w:rPr>
          <w:rFonts w:cs="Arial"/>
          <w:spacing w:val="-3"/>
        </w:rPr>
        <w:t>; l</w:t>
      </w:r>
      <w:r w:rsidRPr="00BD1319">
        <w:rPr>
          <w:rFonts w:cs="Arial"/>
          <w:spacing w:val="-3"/>
        </w:rPr>
        <w:t>a</w:t>
      </w:r>
      <w:r w:rsidR="000A0928" w:rsidRPr="00BD1319">
        <w:rPr>
          <w:rFonts w:cs="Arial"/>
          <w:spacing w:val="-3"/>
        </w:rPr>
        <w:t xml:space="preserve"> segund</w:t>
      </w:r>
      <w:r w:rsidRPr="00BD1319">
        <w:rPr>
          <w:rFonts w:cs="Arial"/>
          <w:spacing w:val="-3"/>
        </w:rPr>
        <w:t>a</w:t>
      </w:r>
      <w:r w:rsidR="000A0928" w:rsidRPr="00BD1319">
        <w:rPr>
          <w:rFonts w:cs="Arial"/>
          <w:spacing w:val="-3"/>
        </w:rPr>
        <w:t xml:space="preserve"> y tercer</w:t>
      </w:r>
      <w:r w:rsidRPr="00BD1319">
        <w:rPr>
          <w:rFonts w:cs="Arial"/>
          <w:spacing w:val="-3"/>
        </w:rPr>
        <w:t>a</w:t>
      </w:r>
      <w:r w:rsidR="000A0928" w:rsidRPr="00BD1319">
        <w:rPr>
          <w:rFonts w:cs="Arial"/>
          <w:spacing w:val="-3"/>
        </w:rPr>
        <w:t xml:space="preserve"> establece</w:t>
      </w:r>
      <w:r w:rsidRPr="00BD1319">
        <w:rPr>
          <w:rFonts w:cs="Arial"/>
          <w:spacing w:val="-3"/>
        </w:rPr>
        <w:t>n</w:t>
      </w:r>
      <w:r w:rsidR="000A0928" w:rsidRPr="00BD1319">
        <w:rPr>
          <w:rFonts w:cs="Arial"/>
          <w:spacing w:val="-3"/>
        </w:rPr>
        <w:t xml:space="preserve"> orientaciones específicas para el escenario sin proyecto y para el escenario con proyecto, respectivamente</w:t>
      </w:r>
      <w:r w:rsidR="009B4646" w:rsidRPr="00BD1319">
        <w:rPr>
          <w:rFonts w:cs="Arial"/>
          <w:spacing w:val="-3"/>
        </w:rPr>
        <w:t xml:space="preserve"> y</w:t>
      </w:r>
      <w:r w:rsidR="000A0928" w:rsidRPr="00BD1319">
        <w:rPr>
          <w:rFonts w:cs="Arial"/>
          <w:spacing w:val="-3"/>
        </w:rPr>
        <w:t>; l</w:t>
      </w:r>
      <w:r w:rsidRPr="00BD1319">
        <w:rPr>
          <w:rFonts w:cs="Arial"/>
          <w:spacing w:val="-3"/>
        </w:rPr>
        <w:t>a</w:t>
      </w:r>
      <w:r w:rsidR="000A0928" w:rsidRPr="00BD1319">
        <w:rPr>
          <w:rFonts w:cs="Arial"/>
          <w:spacing w:val="-3"/>
        </w:rPr>
        <w:t xml:space="preserve"> cuart</w:t>
      </w:r>
      <w:r w:rsidRPr="00BD1319">
        <w:rPr>
          <w:rFonts w:cs="Arial"/>
          <w:spacing w:val="-3"/>
        </w:rPr>
        <w:t>a</w:t>
      </w:r>
      <w:r w:rsidR="000A0928" w:rsidRPr="00BD1319">
        <w:rPr>
          <w:rFonts w:cs="Arial"/>
          <w:spacing w:val="-3"/>
        </w:rPr>
        <w:t xml:space="preserve"> brinda </w:t>
      </w:r>
      <w:r w:rsidRPr="00BD1319">
        <w:rPr>
          <w:rFonts w:cs="Arial"/>
          <w:spacing w:val="-3"/>
        </w:rPr>
        <w:t xml:space="preserve">orientaciones </w:t>
      </w:r>
      <w:r w:rsidR="00483053" w:rsidRPr="00BD1319">
        <w:rPr>
          <w:rFonts w:cs="Arial"/>
          <w:spacing w:val="-3"/>
        </w:rPr>
        <w:t xml:space="preserve">para desarrollar </w:t>
      </w:r>
      <w:r w:rsidR="00B129E0" w:rsidRPr="00BD1319">
        <w:rPr>
          <w:rFonts w:cs="Arial"/>
          <w:spacing w:val="-3"/>
        </w:rPr>
        <w:t xml:space="preserve">los </w:t>
      </w:r>
      <w:r w:rsidR="00483053" w:rsidRPr="00BD1319">
        <w:rPr>
          <w:rFonts w:cs="Arial"/>
          <w:spacing w:val="-3"/>
        </w:rPr>
        <w:t>modelos de algunos de los escenarios prospectivos empleados en la evaluación ambiental</w:t>
      </w:r>
      <w:r w:rsidR="003E7CC2" w:rsidRPr="00BD1319">
        <w:rPr>
          <w:rFonts w:cs="Arial"/>
          <w:spacing w:val="-3"/>
        </w:rPr>
        <w:t>.</w:t>
      </w:r>
    </w:p>
    <w:p w14:paraId="547F352F" w14:textId="77777777" w:rsidR="000D7E4F" w:rsidRPr="00BD1319" w:rsidRDefault="000D7E4F" w:rsidP="007B7358">
      <w:pPr>
        <w:numPr>
          <w:ilvl w:val="12"/>
          <w:numId w:val="0"/>
        </w:numPr>
        <w:tabs>
          <w:tab w:val="left" w:pos="-2268"/>
        </w:tabs>
        <w:suppressAutoHyphens/>
        <w:rPr>
          <w:rFonts w:cs="Arial"/>
          <w:spacing w:val="-3"/>
        </w:rPr>
      </w:pPr>
    </w:p>
    <w:p w14:paraId="062112F0" w14:textId="7123513C" w:rsidR="007B7358" w:rsidRPr="00BD1319" w:rsidRDefault="0044028B" w:rsidP="008A4FE9">
      <w:pPr>
        <w:pStyle w:val="Ttulo2"/>
      </w:pPr>
      <w:bookmarkStart w:id="3203" w:name="_Toc138760020"/>
      <w:bookmarkStart w:id="3204" w:name="_Toc153811861"/>
      <w:bookmarkStart w:id="3205" w:name="_Toc153812075"/>
      <w:bookmarkStart w:id="3206" w:name="_Toc153812480"/>
      <w:bookmarkStart w:id="3207" w:name="_Toc153817512"/>
      <w:bookmarkStart w:id="3208" w:name="_Toc158907191"/>
      <w:bookmarkStart w:id="3209" w:name="_Toc159826191"/>
      <w:bookmarkStart w:id="3210" w:name="_Toc159826625"/>
      <w:bookmarkStart w:id="3211" w:name="_Toc175326465"/>
      <w:bookmarkStart w:id="3212" w:name="_Ref136953274"/>
      <w:bookmarkStart w:id="3213" w:name="_Toc175326800"/>
      <w:bookmarkEnd w:id="3203"/>
      <w:bookmarkEnd w:id="3204"/>
      <w:bookmarkEnd w:id="3205"/>
      <w:bookmarkEnd w:id="3206"/>
      <w:bookmarkEnd w:id="3207"/>
      <w:bookmarkEnd w:id="3208"/>
      <w:bookmarkEnd w:id="3209"/>
      <w:bookmarkEnd w:id="3210"/>
      <w:bookmarkEnd w:id="3211"/>
      <w:r w:rsidRPr="00BD1319">
        <w:rPr>
          <w:lang w:val="es-CO"/>
        </w:rPr>
        <w:t>LINEAMIENTOS GENERALES PARA LA EVALUACIÓN AMBIENTAL</w:t>
      </w:r>
      <w:bookmarkEnd w:id="3212"/>
      <w:bookmarkEnd w:id="3213"/>
    </w:p>
    <w:p w14:paraId="7AFB9380" w14:textId="77777777" w:rsidR="0044028B" w:rsidRPr="00BD1319" w:rsidRDefault="0044028B" w:rsidP="007B7358">
      <w:pPr>
        <w:numPr>
          <w:ilvl w:val="12"/>
          <w:numId w:val="0"/>
        </w:numPr>
        <w:tabs>
          <w:tab w:val="left" w:pos="-2268"/>
        </w:tabs>
        <w:suppressAutoHyphens/>
        <w:rPr>
          <w:rFonts w:cs="Arial"/>
          <w:spacing w:val="-3"/>
        </w:rPr>
      </w:pPr>
    </w:p>
    <w:p w14:paraId="1D482560" w14:textId="4D596A96" w:rsidR="0068381C" w:rsidRPr="00BD1319" w:rsidRDefault="00B129E0" w:rsidP="007B7358">
      <w:pPr>
        <w:numPr>
          <w:ilvl w:val="12"/>
          <w:numId w:val="0"/>
        </w:numPr>
        <w:tabs>
          <w:tab w:val="left" w:pos="-2268"/>
        </w:tabs>
        <w:suppressAutoHyphens/>
        <w:rPr>
          <w:rFonts w:cs="Arial"/>
          <w:spacing w:val="-3"/>
        </w:rPr>
      </w:pPr>
      <w:bookmarkStart w:id="3214" w:name="_Hlk137116874"/>
      <w:r w:rsidRPr="00BD1319">
        <w:rPr>
          <w:rFonts w:cs="Arial"/>
          <w:spacing w:val="-3"/>
        </w:rPr>
        <w:t xml:space="preserve">La evaluación ambiental implica la determinación y valoración de los impactos ambientales en </w:t>
      </w:r>
      <w:r w:rsidR="00C21E68" w:rsidRPr="00BD1319">
        <w:rPr>
          <w:rFonts w:cs="Arial"/>
          <w:spacing w:val="-3"/>
        </w:rPr>
        <w:t xml:space="preserve">el escenario sin proyecto y en el </w:t>
      </w:r>
      <w:r w:rsidRPr="00BD1319">
        <w:rPr>
          <w:rFonts w:cs="Arial"/>
          <w:spacing w:val="-3"/>
        </w:rPr>
        <w:t>escenario</w:t>
      </w:r>
      <w:r w:rsidR="00C21E68" w:rsidRPr="00BD1319">
        <w:rPr>
          <w:rFonts w:cs="Arial"/>
          <w:spacing w:val="-3"/>
        </w:rPr>
        <w:t xml:space="preserve"> con proyecto</w:t>
      </w:r>
      <w:r w:rsidR="0068381C" w:rsidRPr="00BD1319">
        <w:rPr>
          <w:rFonts w:cs="Arial"/>
          <w:spacing w:val="-3"/>
        </w:rPr>
        <w:t>. A continuación, se establecen las orientaciones metodológicas que son comunes a ambos escenarios y</w:t>
      </w:r>
      <w:r w:rsidR="007C3085" w:rsidRPr="00BD1319">
        <w:rPr>
          <w:rFonts w:cs="Arial"/>
          <w:spacing w:val="-3"/>
        </w:rPr>
        <w:t xml:space="preserve"> que,</w:t>
      </w:r>
      <w:r w:rsidR="0068381C" w:rsidRPr="00BD1319">
        <w:rPr>
          <w:rFonts w:cs="Arial"/>
          <w:spacing w:val="-3"/>
        </w:rPr>
        <w:t xml:space="preserve"> por tanto, deben emplearse para evaluarlos.</w:t>
      </w:r>
    </w:p>
    <w:bookmarkEnd w:id="3214"/>
    <w:p w14:paraId="2AF8E5A2" w14:textId="472B6E67" w:rsidR="0044028B" w:rsidRPr="00BD1319" w:rsidRDefault="0044028B" w:rsidP="007B7358">
      <w:pPr>
        <w:numPr>
          <w:ilvl w:val="12"/>
          <w:numId w:val="0"/>
        </w:numPr>
        <w:tabs>
          <w:tab w:val="left" w:pos="-2268"/>
        </w:tabs>
        <w:suppressAutoHyphens/>
        <w:rPr>
          <w:rFonts w:cs="Arial"/>
          <w:spacing w:val="-3"/>
        </w:rPr>
      </w:pPr>
    </w:p>
    <w:p w14:paraId="3DE029E0" w14:textId="3800D049" w:rsidR="007B7358" w:rsidRPr="00BD1319" w:rsidRDefault="00A86BC5" w:rsidP="00216955">
      <w:pPr>
        <w:pStyle w:val="Ttulo3"/>
      </w:pPr>
      <w:bookmarkStart w:id="3215" w:name="_Toc175326801"/>
      <w:r w:rsidRPr="00BD1319">
        <w:t xml:space="preserve">Determinación </w:t>
      </w:r>
      <w:r w:rsidR="007B7358" w:rsidRPr="00BD1319">
        <w:t>de impactos ambientales</w:t>
      </w:r>
      <w:bookmarkEnd w:id="3215"/>
    </w:p>
    <w:p w14:paraId="1B61EB3D" w14:textId="77777777" w:rsidR="00665402" w:rsidRPr="00BD1319" w:rsidRDefault="00665402" w:rsidP="007B7358">
      <w:pPr>
        <w:numPr>
          <w:ilvl w:val="12"/>
          <w:numId w:val="0"/>
        </w:numPr>
        <w:tabs>
          <w:tab w:val="left" w:pos="-2268"/>
        </w:tabs>
        <w:suppressAutoHyphens/>
        <w:rPr>
          <w:rFonts w:cs="Arial"/>
          <w:spacing w:val="-3"/>
        </w:rPr>
      </w:pPr>
    </w:p>
    <w:p w14:paraId="2AEF84E6" w14:textId="75E25DBA" w:rsidR="007E0934" w:rsidRPr="00BD1319" w:rsidRDefault="007E0934" w:rsidP="00665402">
      <w:pPr>
        <w:numPr>
          <w:ilvl w:val="12"/>
          <w:numId w:val="0"/>
        </w:numPr>
        <w:tabs>
          <w:tab w:val="left" w:pos="-2268"/>
        </w:tabs>
        <w:suppressAutoHyphens/>
        <w:rPr>
          <w:rFonts w:cs="Arial"/>
          <w:spacing w:val="-3"/>
        </w:rPr>
      </w:pPr>
      <w:r w:rsidRPr="00BD1319">
        <w:rPr>
          <w:rFonts w:cs="Arial"/>
          <w:spacing w:val="-3"/>
        </w:rPr>
        <w:t xml:space="preserve">La primera actividad de la evaluación ambiental consiste en determinar qué impactos ambientales van a ocurrir en dos escenarios futuros, uno en el que las condiciones ambientales evolucionan sin la influencia del proyecto, obra o actividad propuesto, y otro en el que tales condiciones </w:t>
      </w:r>
      <w:r w:rsidR="00C21E68" w:rsidRPr="00BD1319">
        <w:rPr>
          <w:rFonts w:cs="Arial"/>
          <w:spacing w:val="-3"/>
        </w:rPr>
        <w:t xml:space="preserve">sí </w:t>
      </w:r>
      <w:r w:rsidRPr="00BD1319">
        <w:rPr>
          <w:rFonts w:cs="Arial"/>
          <w:spacing w:val="-3"/>
        </w:rPr>
        <w:t>se ven modificadas por éste.</w:t>
      </w:r>
    </w:p>
    <w:p w14:paraId="044EC853" w14:textId="77777777" w:rsidR="007E0934" w:rsidRPr="00BD1319" w:rsidRDefault="007E0934" w:rsidP="00665402">
      <w:pPr>
        <w:numPr>
          <w:ilvl w:val="12"/>
          <w:numId w:val="0"/>
        </w:numPr>
        <w:tabs>
          <w:tab w:val="left" w:pos="-2268"/>
        </w:tabs>
        <w:suppressAutoHyphens/>
        <w:rPr>
          <w:rFonts w:cs="Arial"/>
          <w:spacing w:val="-3"/>
        </w:rPr>
      </w:pPr>
    </w:p>
    <w:p w14:paraId="4DA7118D" w14:textId="432275FB" w:rsidR="007B7358" w:rsidRPr="00BD1319" w:rsidRDefault="007B7358" w:rsidP="007B7358">
      <w:pPr>
        <w:numPr>
          <w:ilvl w:val="12"/>
          <w:numId w:val="0"/>
        </w:numPr>
        <w:tabs>
          <w:tab w:val="left" w:pos="-2268"/>
        </w:tabs>
        <w:suppressAutoHyphens/>
        <w:rPr>
          <w:rFonts w:cs="Arial"/>
          <w:spacing w:val="-3"/>
        </w:rPr>
      </w:pPr>
      <w:r w:rsidRPr="00BD1319">
        <w:rPr>
          <w:rFonts w:cs="Arial"/>
          <w:spacing w:val="-3"/>
        </w:rPr>
        <w:t xml:space="preserve">Con el propósito de </w:t>
      </w:r>
      <w:r w:rsidR="00F34A5B" w:rsidRPr="00BD1319">
        <w:rPr>
          <w:rFonts w:cs="Arial"/>
          <w:spacing w:val="-3"/>
        </w:rPr>
        <w:t xml:space="preserve">determinar </w:t>
      </w:r>
      <w:r w:rsidRPr="00BD1319">
        <w:rPr>
          <w:rFonts w:cs="Arial"/>
          <w:spacing w:val="-3"/>
        </w:rPr>
        <w:t xml:space="preserve">los impactos ambientales </w:t>
      </w:r>
      <w:r w:rsidR="004C40EA" w:rsidRPr="00BD1319">
        <w:rPr>
          <w:rFonts w:cs="Arial"/>
          <w:spacing w:val="-3"/>
        </w:rPr>
        <w:t xml:space="preserve">para los escenarios sin proyecto y con proyecto </w:t>
      </w:r>
      <w:r w:rsidRPr="00BD1319">
        <w:rPr>
          <w:rFonts w:cs="Arial"/>
          <w:spacing w:val="-3"/>
        </w:rPr>
        <w:t xml:space="preserve">es posible hacer uso de las herramientas que se emplean </w:t>
      </w:r>
      <w:r w:rsidR="00225FD8" w:rsidRPr="00BD1319">
        <w:rPr>
          <w:rFonts w:cs="Arial"/>
          <w:spacing w:val="-3"/>
        </w:rPr>
        <w:t xml:space="preserve">habitualmente con este fin </w:t>
      </w:r>
      <w:r w:rsidRPr="00BD1319">
        <w:rPr>
          <w:rFonts w:cs="Arial"/>
          <w:spacing w:val="-3"/>
        </w:rPr>
        <w:t>en los métodos de evaluación ambiental, entre ellas las listas de chequeo, diagramas de flujo, matrices causa-efecto</w:t>
      </w:r>
      <w:r w:rsidR="00C124EC" w:rsidRPr="00BD1319">
        <w:rPr>
          <w:rStyle w:val="Refdenotaalpie"/>
          <w:rFonts w:cs="Arial"/>
          <w:spacing w:val="-3"/>
          <w:lang w:val="es-CO"/>
        </w:rPr>
        <w:footnoteReference w:id="183"/>
      </w:r>
      <w:r w:rsidRPr="00BD1319">
        <w:rPr>
          <w:rFonts w:cs="Arial"/>
          <w:spacing w:val="-3"/>
        </w:rPr>
        <w:t xml:space="preserve"> o consultas a expertos; </w:t>
      </w:r>
      <w:r w:rsidR="007509B8" w:rsidRPr="00BD1319">
        <w:rPr>
          <w:rFonts w:cs="Arial"/>
          <w:spacing w:val="-3"/>
        </w:rPr>
        <w:t>asimismo</w:t>
      </w:r>
      <w:r w:rsidR="00CC7B68" w:rsidRPr="00BD1319">
        <w:rPr>
          <w:rFonts w:cs="Arial"/>
          <w:spacing w:val="-3"/>
        </w:rPr>
        <w:t>,</w:t>
      </w:r>
      <w:r w:rsidRPr="00BD1319">
        <w:rPr>
          <w:rFonts w:cs="Arial"/>
          <w:spacing w:val="-3"/>
        </w:rPr>
        <w:t xml:space="preserve"> </w:t>
      </w:r>
      <w:r w:rsidR="007509B8" w:rsidRPr="00BD1319">
        <w:rPr>
          <w:rFonts w:cs="Arial"/>
          <w:spacing w:val="-3"/>
        </w:rPr>
        <w:t xml:space="preserve">es posible utilizar </w:t>
      </w:r>
      <w:r w:rsidRPr="00BD1319">
        <w:rPr>
          <w:rFonts w:cs="Arial"/>
          <w:spacing w:val="-3"/>
        </w:rPr>
        <w:t>el concepto de impacto ambiental potencial</w:t>
      </w:r>
      <w:r w:rsidRPr="00BD1319">
        <w:rPr>
          <w:rStyle w:val="Refdenotaalpie"/>
          <w:rFonts w:cs="Arial"/>
          <w:spacing w:val="-3"/>
          <w:lang w:val="es-CO"/>
        </w:rPr>
        <w:footnoteReference w:id="184"/>
      </w:r>
      <w:r w:rsidRPr="00BD1319">
        <w:rPr>
          <w:rFonts w:cs="Arial"/>
          <w:spacing w:val="-3"/>
        </w:rPr>
        <w:t xml:space="preserve"> </w:t>
      </w:r>
      <w:r w:rsidR="004C40EA" w:rsidRPr="00BD1319">
        <w:rPr>
          <w:rFonts w:cs="Arial"/>
          <w:spacing w:val="-3"/>
        </w:rPr>
        <w:t xml:space="preserve">de forma complementaria a estas herramientas, con el fin de </w:t>
      </w:r>
      <w:r w:rsidRPr="00BD1319">
        <w:rPr>
          <w:rFonts w:cs="Arial"/>
          <w:spacing w:val="-3"/>
        </w:rPr>
        <w:t xml:space="preserve">abordar la primera aproximación a la </w:t>
      </w:r>
      <w:r w:rsidR="00A86BC5" w:rsidRPr="00BD1319">
        <w:rPr>
          <w:rFonts w:cs="Arial"/>
          <w:spacing w:val="-3"/>
        </w:rPr>
        <w:t xml:space="preserve">determinación </w:t>
      </w:r>
      <w:r w:rsidRPr="00BD1319">
        <w:rPr>
          <w:rFonts w:cs="Arial"/>
          <w:spacing w:val="-3"/>
        </w:rPr>
        <w:t>de los impactos ambientales.</w:t>
      </w:r>
    </w:p>
    <w:p w14:paraId="1D591A21" w14:textId="77777777" w:rsidR="007B7358" w:rsidRPr="00BD1319" w:rsidRDefault="007B7358" w:rsidP="007B7358">
      <w:pPr>
        <w:numPr>
          <w:ilvl w:val="12"/>
          <w:numId w:val="0"/>
        </w:numPr>
        <w:tabs>
          <w:tab w:val="left" w:pos="-2268"/>
        </w:tabs>
        <w:suppressAutoHyphens/>
        <w:rPr>
          <w:rFonts w:cs="Arial"/>
          <w:spacing w:val="-3"/>
        </w:rPr>
      </w:pPr>
    </w:p>
    <w:p w14:paraId="7E4C1789" w14:textId="74184726" w:rsidR="007B7358" w:rsidRPr="00BD1319" w:rsidRDefault="00C21E68" w:rsidP="007B7358">
      <w:pPr>
        <w:numPr>
          <w:ilvl w:val="12"/>
          <w:numId w:val="0"/>
        </w:numPr>
        <w:tabs>
          <w:tab w:val="left" w:pos="-2268"/>
        </w:tabs>
        <w:suppressAutoHyphens/>
        <w:rPr>
          <w:rFonts w:cs="Arial"/>
          <w:spacing w:val="-3"/>
        </w:rPr>
      </w:pPr>
      <w:r w:rsidRPr="00BD1319">
        <w:rPr>
          <w:rFonts w:cs="Arial"/>
          <w:spacing w:val="-3"/>
        </w:rPr>
        <w:t>Así</w:t>
      </w:r>
      <w:r w:rsidR="007B7358" w:rsidRPr="00BD1319">
        <w:rPr>
          <w:rFonts w:cs="Arial"/>
          <w:spacing w:val="-3"/>
        </w:rPr>
        <w:t xml:space="preserve">, </w:t>
      </w:r>
      <w:r w:rsidR="00EF41AA" w:rsidRPr="00BD1319">
        <w:rPr>
          <w:rFonts w:cs="Arial"/>
          <w:spacing w:val="-3"/>
        </w:rPr>
        <w:t xml:space="preserve">la </w:t>
      </w:r>
      <w:r w:rsidR="00A86BC5" w:rsidRPr="00BD1319">
        <w:rPr>
          <w:rFonts w:cs="Arial"/>
          <w:spacing w:val="-3"/>
        </w:rPr>
        <w:t xml:space="preserve">determinación </w:t>
      </w:r>
      <w:r w:rsidR="007B7358" w:rsidRPr="00BD1319">
        <w:rPr>
          <w:rFonts w:cs="Arial"/>
          <w:spacing w:val="-3"/>
        </w:rPr>
        <w:t xml:space="preserve">puede iniciar </w:t>
      </w:r>
      <w:r w:rsidR="00EF41AA" w:rsidRPr="00BD1319">
        <w:rPr>
          <w:rFonts w:cs="Arial"/>
          <w:spacing w:val="-3"/>
        </w:rPr>
        <w:t xml:space="preserve">identificando </w:t>
      </w:r>
      <w:r w:rsidR="007B7358" w:rsidRPr="00BD1319">
        <w:rPr>
          <w:rFonts w:cs="Arial"/>
          <w:spacing w:val="-3"/>
        </w:rPr>
        <w:t xml:space="preserve">los impactos ambientales potenciales del proyecto, obra o actividad, es decir, los impactos que </w:t>
      </w:r>
      <w:r w:rsidR="00B846D8" w:rsidRPr="00BD1319">
        <w:rPr>
          <w:rFonts w:cs="Arial"/>
          <w:spacing w:val="-3"/>
        </w:rPr>
        <w:t xml:space="preserve">generaría </w:t>
      </w:r>
      <w:r w:rsidR="007B7358" w:rsidRPr="00BD1319">
        <w:rPr>
          <w:rFonts w:cs="Arial"/>
          <w:spacing w:val="-3"/>
        </w:rPr>
        <w:t xml:space="preserve">de manera inevitable independientemente de su lugar de ejecución, </w:t>
      </w:r>
      <w:r w:rsidR="00F640D4" w:rsidRPr="00BD1319">
        <w:rPr>
          <w:rFonts w:cs="Arial"/>
          <w:spacing w:val="-3"/>
        </w:rPr>
        <w:t xml:space="preserve">para luego </w:t>
      </w:r>
      <w:r w:rsidR="007B7358" w:rsidRPr="00BD1319">
        <w:rPr>
          <w:rFonts w:cs="Arial"/>
          <w:spacing w:val="-3"/>
        </w:rPr>
        <w:t>afina</w:t>
      </w:r>
      <w:r w:rsidR="00F640D4" w:rsidRPr="00BD1319">
        <w:rPr>
          <w:rFonts w:cs="Arial"/>
          <w:spacing w:val="-3"/>
        </w:rPr>
        <w:t>r</w:t>
      </w:r>
      <w:r w:rsidR="007B7358" w:rsidRPr="00BD1319">
        <w:rPr>
          <w:rFonts w:cs="Arial"/>
          <w:spacing w:val="-3"/>
        </w:rPr>
        <w:t xml:space="preserve"> el análisis con las herramientas antes mencionadas, </w:t>
      </w:r>
      <w:r w:rsidR="0066273E" w:rsidRPr="00BD1319">
        <w:rPr>
          <w:rFonts w:cs="Arial"/>
          <w:spacing w:val="-3"/>
        </w:rPr>
        <w:t xml:space="preserve">o con </w:t>
      </w:r>
      <w:r w:rsidR="007B7358" w:rsidRPr="00BD1319">
        <w:rPr>
          <w:rFonts w:cs="Arial"/>
          <w:spacing w:val="-3"/>
        </w:rPr>
        <w:t xml:space="preserve">otras </w:t>
      </w:r>
      <w:r w:rsidR="00225FD8" w:rsidRPr="00BD1319">
        <w:rPr>
          <w:rFonts w:cs="Arial"/>
          <w:spacing w:val="-3"/>
        </w:rPr>
        <w:t xml:space="preserve">que sean apropiadas para conocer </w:t>
      </w:r>
      <w:r w:rsidR="007B7358" w:rsidRPr="00BD1319">
        <w:rPr>
          <w:rFonts w:cs="Arial"/>
          <w:spacing w:val="-3"/>
        </w:rPr>
        <w:t>de forma precisa</w:t>
      </w:r>
      <w:r w:rsidR="00EF41AA" w:rsidRPr="00BD1319">
        <w:rPr>
          <w:rFonts w:cs="Arial"/>
          <w:spacing w:val="-3"/>
        </w:rPr>
        <w:t>, según las condiciones particulares del área de influencia,</w:t>
      </w:r>
      <w:r w:rsidR="007B7358" w:rsidRPr="00BD1319">
        <w:rPr>
          <w:rFonts w:cs="Arial"/>
          <w:spacing w:val="-3"/>
        </w:rPr>
        <w:t xml:space="preserve"> </w:t>
      </w:r>
      <w:r w:rsidR="00225FD8" w:rsidRPr="00BD1319">
        <w:rPr>
          <w:rFonts w:cs="Arial"/>
          <w:spacing w:val="-3"/>
        </w:rPr>
        <w:t xml:space="preserve">qué </w:t>
      </w:r>
      <w:r w:rsidR="007B7358" w:rsidRPr="00BD1319">
        <w:rPr>
          <w:rFonts w:cs="Arial"/>
          <w:spacing w:val="-3"/>
        </w:rPr>
        <w:t xml:space="preserve">impactos </w:t>
      </w:r>
      <w:r w:rsidR="00CF4008" w:rsidRPr="00BD1319">
        <w:rPr>
          <w:rFonts w:cs="Arial"/>
          <w:spacing w:val="-3"/>
        </w:rPr>
        <w:t xml:space="preserve">generan los proyectos y actividades presentes en el área de influencia, y aquellos que </w:t>
      </w:r>
      <w:r w:rsidR="00225FD8" w:rsidRPr="00BD1319">
        <w:rPr>
          <w:rFonts w:cs="Arial"/>
          <w:spacing w:val="-3"/>
        </w:rPr>
        <w:t xml:space="preserve">se </w:t>
      </w:r>
      <w:r w:rsidR="007B7358" w:rsidRPr="00BD1319">
        <w:rPr>
          <w:rFonts w:cs="Arial"/>
          <w:spacing w:val="-3"/>
        </w:rPr>
        <w:t>generaría</w:t>
      </w:r>
      <w:r w:rsidR="00225FD8" w:rsidRPr="00BD1319">
        <w:rPr>
          <w:rFonts w:cs="Arial"/>
          <w:spacing w:val="-3"/>
        </w:rPr>
        <w:t>n</w:t>
      </w:r>
      <w:r w:rsidR="007B7358" w:rsidRPr="00BD1319">
        <w:rPr>
          <w:rFonts w:cs="Arial"/>
          <w:spacing w:val="-3"/>
        </w:rPr>
        <w:t xml:space="preserve"> </w:t>
      </w:r>
      <w:r w:rsidR="00CF4008" w:rsidRPr="00BD1319">
        <w:rPr>
          <w:rFonts w:cs="Arial"/>
          <w:spacing w:val="-3"/>
        </w:rPr>
        <w:t xml:space="preserve">por </w:t>
      </w:r>
      <w:r w:rsidR="00CF4008" w:rsidRPr="00BD1319">
        <w:rPr>
          <w:rFonts w:cs="Arial"/>
          <w:spacing w:val="-3"/>
        </w:rPr>
        <w:lastRenderedPageBreak/>
        <w:t>el proyecto en formulación</w:t>
      </w:r>
      <w:r w:rsidR="00353A0E" w:rsidRPr="00BD1319">
        <w:rPr>
          <w:rFonts w:cs="Arial"/>
          <w:spacing w:val="-3"/>
        </w:rPr>
        <w:t xml:space="preserve">, </w:t>
      </w:r>
      <w:r w:rsidR="006E7A71" w:rsidRPr="00BD1319">
        <w:rPr>
          <w:rFonts w:cs="Arial"/>
          <w:spacing w:val="-3"/>
        </w:rPr>
        <w:t xml:space="preserve">contemplando </w:t>
      </w:r>
      <w:r w:rsidR="003920A9" w:rsidRPr="00BD1319">
        <w:rPr>
          <w:rFonts w:cs="Arial"/>
          <w:spacing w:val="-3"/>
        </w:rPr>
        <w:t xml:space="preserve">en ambos casos, escenarios </w:t>
      </w:r>
      <w:r w:rsidR="00353A0E" w:rsidRPr="00BD1319">
        <w:rPr>
          <w:rFonts w:cs="Arial"/>
          <w:spacing w:val="-3"/>
        </w:rPr>
        <w:t>previsibles de cambio climático</w:t>
      </w:r>
      <w:r w:rsidR="007B7358" w:rsidRPr="00BD1319">
        <w:rPr>
          <w:rFonts w:cs="Arial"/>
          <w:spacing w:val="-3"/>
        </w:rPr>
        <w:t>.</w:t>
      </w:r>
    </w:p>
    <w:p w14:paraId="482FE1C6" w14:textId="77777777" w:rsidR="007B7358" w:rsidRPr="00BD1319" w:rsidRDefault="007B7358" w:rsidP="007B7358">
      <w:pPr>
        <w:numPr>
          <w:ilvl w:val="12"/>
          <w:numId w:val="0"/>
        </w:numPr>
        <w:tabs>
          <w:tab w:val="left" w:pos="-2268"/>
        </w:tabs>
        <w:suppressAutoHyphens/>
        <w:rPr>
          <w:rFonts w:cs="Arial"/>
          <w:spacing w:val="-3"/>
        </w:rPr>
      </w:pPr>
    </w:p>
    <w:p w14:paraId="6FF53E45" w14:textId="132FDD0D" w:rsidR="007B7358" w:rsidRPr="00BD1319" w:rsidRDefault="007B7358" w:rsidP="007B7358">
      <w:pPr>
        <w:numPr>
          <w:ilvl w:val="12"/>
          <w:numId w:val="0"/>
        </w:numPr>
        <w:tabs>
          <w:tab w:val="left" w:pos="-2268"/>
        </w:tabs>
        <w:suppressAutoHyphens/>
        <w:rPr>
          <w:rFonts w:cs="Arial"/>
          <w:spacing w:val="-3"/>
        </w:rPr>
      </w:pPr>
      <w:r w:rsidRPr="00BD1319">
        <w:rPr>
          <w:rFonts w:cs="Arial"/>
          <w:spacing w:val="-3"/>
        </w:rPr>
        <w:t>Se pone a disposición de los elaboradores de estudios ambientales la calificación de los impactos ambientales potenciales de los proyectos, obras o actividades sujetos a licenciamiento ambiental</w:t>
      </w:r>
      <w:r w:rsidRPr="00BD1319">
        <w:rPr>
          <w:rStyle w:val="Refdenotaalpie"/>
          <w:rFonts w:cs="Arial"/>
          <w:spacing w:val="-3"/>
          <w:lang w:val="es-CO"/>
        </w:rPr>
        <w:footnoteReference w:id="185"/>
      </w:r>
      <w:r w:rsidRPr="00BD1319">
        <w:rPr>
          <w:rFonts w:cs="Arial"/>
          <w:spacing w:val="-3"/>
        </w:rPr>
        <w:t xml:space="preserve">, a fin de que pueda ser empleada tanto en este proceso de </w:t>
      </w:r>
      <w:r w:rsidR="00A86BC5" w:rsidRPr="00BD1319">
        <w:rPr>
          <w:rFonts w:cs="Arial"/>
          <w:spacing w:val="-3"/>
        </w:rPr>
        <w:t xml:space="preserve">determinación </w:t>
      </w:r>
      <w:r w:rsidRPr="00BD1319">
        <w:rPr>
          <w:rFonts w:cs="Arial"/>
          <w:spacing w:val="-3"/>
        </w:rPr>
        <w:t xml:space="preserve">de impactos, como en el de </w:t>
      </w:r>
      <w:r w:rsidR="00773D14" w:rsidRPr="00BD1319">
        <w:rPr>
          <w:rFonts w:cs="Arial"/>
          <w:spacing w:val="-3"/>
        </w:rPr>
        <w:t xml:space="preserve">su </w:t>
      </w:r>
      <w:r w:rsidRPr="00BD1319">
        <w:rPr>
          <w:rFonts w:cs="Arial"/>
          <w:spacing w:val="-3"/>
        </w:rPr>
        <w:t xml:space="preserve">calificación, e incluso como insumo </w:t>
      </w:r>
      <w:r w:rsidR="00773D14" w:rsidRPr="00BD1319">
        <w:rPr>
          <w:rFonts w:cs="Arial"/>
          <w:spacing w:val="-3"/>
        </w:rPr>
        <w:t xml:space="preserve">inicial </w:t>
      </w:r>
      <w:r w:rsidRPr="00BD1319">
        <w:rPr>
          <w:rFonts w:cs="Arial"/>
          <w:spacing w:val="-3"/>
        </w:rPr>
        <w:t>para la delimitación del área de influencia.</w:t>
      </w:r>
    </w:p>
    <w:p w14:paraId="2E62D900" w14:textId="77777777" w:rsidR="007B7358" w:rsidRPr="00BD1319" w:rsidRDefault="007B7358" w:rsidP="007B7358">
      <w:pPr>
        <w:numPr>
          <w:ilvl w:val="12"/>
          <w:numId w:val="0"/>
        </w:numPr>
        <w:tabs>
          <w:tab w:val="left" w:pos="-2268"/>
        </w:tabs>
        <w:suppressAutoHyphens/>
        <w:rPr>
          <w:rFonts w:cs="Arial"/>
          <w:spacing w:val="-3"/>
        </w:rPr>
      </w:pPr>
    </w:p>
    <w:p w14:paraId="212B991D" w14:textId="70CA8604" w:rsidR="007B7358" w:rsidRPr="00BD1319" w:rsidRDefault="00C21E68" w:rsidP="007B7358">
      <w:pPr>
        <w:numPr>
          <w:ilvl w:val="12"/>
          <w:numId w:val="0"/>
        </w:numPr>
        <w:tabs>
          <w:tab w:val="left" w:pos="-2268"/>
        </w:tabs>
        <w:suppressAutoHyphens/>
        <w:rPr>
          <w:rFonts w:cs="Arial"/>
          <w:spacing w:val="-3"/>
        </w:rPr>
      </w:pPr>
      <w:r w:rsidRPr="00BD1319">
        <w:rPr>
          <w:rFonts w:cs="Arial"/>
          <w:spacing w:val="-3"/>
        </w:rPr>
        <w:t>L</w:t>
      </w:r>
      <w:r w:rsidR="007B7358" w:rsidRPr="00BD1319">
        <w:rPr>
          <w:rFonts w:cs="Arial"/>
          <w:spacing w:val="-3"/>
        </w:rPr>
        <w:t xml:space="preserve">a </w:t>
      </w:r>
      <w:r w:rsidR="00A86BC5" w:rsidRPr="00BD1319">
        <w:rPr>
          <w:rFonts w:cs="Arial"/>
          <w:spacing w:val="-3"/>
        </w:rPr>
        <w:t xml:space="preserve">determinación </w:t>
      </w:r>
      <w:r w:rsidR="007B7358" w:rsidRPr="00BD1319">
        <w:rPr>
          <w:rFonts w:cs="Arial"/>
          <w:spacing w:val="-3"/>
        </w:rPr>
        <w:t xml:space="preserve">de impactos </w:t>
      </w:r>
      <w:r w:rsidRPr="00BD1319">
        <w:rPr>
          <w:rFonts w:cs="Arial"/>
          <w:spacing w:val="-3"/>
        </w:rPr>
        <w:t xml:space="preserve">idealmente debe corresponder </w:t>
      </w:r>
      <w:r w:rsidR="007B7358" w:rsidRPr="00BD1319">
        <w:rPr>
          <w:rFonts w:cs="Arial"/>
          <w:spacing w:val="-3"/>
        </w:rPr>
        <w:t>a un parámetro ambiental cuantitativo o cualitativo, por lo cual</w:t>
      </w:r>
      <w:r w:rsidR="002A7FFB" w:rsidRPr="00BD1319">
        <w:rPr>
          <w:rFonts w:cs="Arial"/>
          <w:spacing w:val="-3"/>
        </w:rPr>
        <w:t>, con</w:t>
      </w:r>
      <w:r w:rsidR="007B7358" w:rsidRPr="00BD1319">
        <w:rPr>
          <w:rFonts w:cs="Arial"/>
          <w:spacing w:val="-3"/>
        </w:rPr>
        <w:t xml:space="preserve"> </w:t>
      </w:r>
      <w:r w:rsidR="002A7FFB" w:rsidRPr="00BD1319">
        <w:rPr>
          <w:rFonts w:cs="Arial"/>
          <w:spacing w:val="-3"/>
        </w:rPr>
        <w:t xml:space="preserve">el propósito de seleccionar los parámetros que mejor describan los impactos del caso en evaluación, </w:t>
      </w:r>
      <w:r w:rsidR="007B7358" w:rsidRPr="00BD1319">
        <w:rPr>
          <w:rFonts w:cs="Arial"/>
          <w:spacing w:val="-3"/>
        </w:rPr>
        <w:t>conviene revisar documentos especializados sobre los impactos que pueden ocurrir en los factores del ambiente</w:t>
      </w:r>
      <w:r w:rsidR="00822F1C" w:rsidRPr="00BD1319">
        <w:rPr>
          <w:rFonts w:cs="Arial"/>
          <w:spacing w:val="-3"/>
        </w:rPr>
        <w:t xml:space="preserve"> y sus parámetros asociados</w:t>
      </w:r>
      <w:r w:rsidR="007B7358" w:rsidRPr="00BD1319">
        <w:rPr>
          <w:rFonts w:cs="Arial"/>
          <w:spacing w:val="-3"/>
        </w:rPr>
        <w:t xml:space="preserve">, </w:t>
      </w:r>
      <w:r w:rsidR="00CA04FC" w:rsidRPr="00BD1319">
        <w:rPr>
          <w:rFonts w:cs="Arial"/>
          <w:spacing w:val="-3"/>
        </w:rPr>
        <w:t xml:space="preserve">los términos de referencia aplicables al proyecto, obra o actividad para el que se elabora el estudio ambiental, </w:t>
      </w:r>
      <w:r w:rsidR="007B7358" w:rsidRPr="00BD1319">
        <w:rPr>
          <w:rFonts w:cs="Arial"/>
          <w:spacing w:val="-3"/>
        </w:rPr>
        <w:t xml:space="preserve">así como el listado de impactos ambientales </w:t>
      </w:r>
      <w:r w:rsidR="00CA04FC" w:rsidRPr="00BD1319">
        <w:rPr>
          <w:rFonts w:cs="Arial"/>
          <w:spacing w:val="-3"/>
        </w:rPr>
        <w:t xml:space="preserve">específicos </w:t>
      </w:r>
      <w:r w:rsidR="007B7358" w:rsidRPr="00BD1319">
        <w:rPr>
          <w:rFonts w:cs="Arial"/>
          <w:spacing w:val="-3"/>
        </w:rPr>
        <w:t>que pueden resultar de los proyectos obras, o actividades sujetos a licenciamiento ambiental que suministra Minambiente</w:t>
      </w:r>
      <w:r w:rsidR="007B7358" w:rsidRPr="00BD1319">
        <w:rPr>
          <w:rStyle w:val="Refdenotaalpie"/>
          <w:rFonts w:cs="Arial"/>
          <w:spacing w:val="-3"/>
          <w:lang w:val="es-CO"/>
        </w:rPr>
        <w:footnoteReference w:id="186"/>
      </w:r>
      <w:r w:rsidR="007B7358" w:rsidRPr="00BD1319">
        <w:rPr>
          <w:rFonts w:cs="Arial"/>
          <w:spacing w:val="-3"/>
        </w:rPr>
        <w:t>.</w:t>
      </w:r>
    </w:p>
    <w:p w14:paraId="574BE9C7" w14:textId="77777777" w:rsidR="00246F69" w:rsidRPr="00BD1319" w:rsidRDefault="00246F69" w:rsidP="007B7358">
      <w:pPr>
        <w:numPr>
          <w:ilvl w:val="12"/>
          <w:numId w:val="0"/>
        </w:numPr>
        <w:tabs>
          <w:tab w:val="left" w:pos="-2268"/>
        </w:tabs>
        <w:suppressAutoHyphens/>
        <w:rPr>
          <w:rFonts w:cs="Arial"/>
          <w:spacing w:val="-3"/>
        </w:rPr>
      </w:pPr>
    </w:p>
    <w:p w14:paraId="587267BA" w14:textId="0667DC38" w:rsidR="003A37C2" w:rsidRPr="00BD1319" w:rsidRDefault="007B7358" w:rsidP="007B7358">
      <w:pPr>
        <w:numPr>
          <w:ilvl w:val="12"/>
          <w:numId w:val="0"/>
        </w:numPr>
        <w:tabs>
          <w:tab w:val="left" w:pos="-2268"/>
        </w:tabs>
        <w:suppressAutoHyphens/>
        <w:rPr>
          <w:rFonts w:cs="Arial"/>
          <w:spacing w:val="-3"/>
        </w:rPr>
      </w:pPr>
      <w:r w:rsidRPr="00BD1319">
        <w:rPr>
          <w:rFonts w:cs="Arial"/>
          <w:spacing w:val="-3"/>
        </w:rPr>
        <w:t xml:space="preserve">Una vez se </w:t>
      </w:r>
      <w:r w:rsidR="00F34A5B" w:rsidRPr="00BD1319">
        <w:rPr>
          <w:rFonts w:cs="Arial"/>
          <w:spacing w:val="-3"/>
        </w:rPr>
        <w:t xml:space="preserve">determinen </w:t>
      </w:r>
      <w:r w:rsidRPr="00BD1319">
        <w:rPr>
          <w:rFonts w:cs="Arial"/>
          <w:spacing w:val="-3"/>
        </w:rPr>
        <w:t xml:space="preserve">los impactos ambientales </w:t>
      </w:r>
      <w:r w:rsidR="00C21E68" w:rsidRPr="00BD1319">
        <w:rPr>
          <w:rFonts w:cs="Arial"/>
          <w:spacing w:val="-3"/>
        </w:rPr>
        <w:t>de cada escenario</w:t>
      </w:r>
      <w:r w:rsidR="008C2516" w:rsidRPr="00BD1319">
        <w:rPr>
          <w:rFonts w:cs="Arial"/>
          <w:spacing w:val="-3"/>
        </w:rPr>
        <w:t>, empleando para ello las denominaciones establecidas en el listado de impactos ambientales específicos</w:t>
      </w:r>
      <w:r w:rsidRPr="00BD1319">
        <w:rPr>
          <w:rFonts w:cs="Arial"/>
          <w:spacing w:val="-3"/>
        </w:rPr>
        <w:t xml:space="preserve">, </w:t>
      </w:r>
      <w:r w:rsidR="00F02995" w:rsidRPr="00BD1319">
        <w:rPr>
          <w:rFonts w:cs="Arial"/>
          <w:spacing w:val="-3"/>
        </w:rPr>
        <w:t xml:space="preserve">éstos deben ser </w:t>
      </w:r>
      <w:r w:rsidR="008C2516" w:rsidRPr="00BD1319">
        <w:rPr>
          <w:rFonts w:cs="Arial"/>
          <w:spacing w:val="-3"/>
        </w:rPr>
        <w:t xml:space="preserve">clasificados </w:t>
      </w:r>
      <w:r w:rsidRPr="00BD1319">
        <w:rPr>
          <w:rFonts w:cs="Arial"/>
          <w:spacing w:val="-3"/>
        </w:rPr>
        <w:t xml:space="preserve">en la alguna de las categorías </w:t>
      </w:r>
      <w:r w:rsidR="009842E0" w:rsidRPr="00BD1319">
        <w:rPr>
          <w:rFonts w:cs="Arial"/>
          <w:spacing w:val="-3"/>
        </w:rPr>
        <w:t xml:space="preserve">estandarizadas </w:t>
      </w:r>
      <w:r w:rsidRPr="00BD1319">
        <w:rPr>
          <w:rFonts w:cs="Arial"/>
          <w:spacing w:val="-3"/>
        </w:rPr>
        <w:t xml:space="preserve">de impactos ambientales </w:t>
      </w:r>
      <w:r w:rsidR="008C2516" w:rsidRPr="00BD1319">
        <w:rPr>
          <w:rFonts w:cs="Arial"/>
          <w:spacing w:val="-3"/>
        </w:rPr>
        <w:t xml:space="preserve">de acuerdo con la información y definiciones presentadas </w:t>
      </w:r>
      <w:r w:rsidRPr="00BD1319">
        <w:rPr>
          <w:rFonts w:cs="Arial"/>
          <w:spacing w:val="-3"/>
        </w:rPr>
        <w:t xml:space="preserve">en la </w:t>
      </w:r>
      <w:r w:rsidR="00D965C3" w:rsidRPr="00BD1319">
        <w:rPr>
          <w:rFonts w:cs="Arial"/>
          <w:spacing w:val="-3"/>
        </w:rPr>
        <w:t xml:space="preserve">Tabla </w:t>
      </w:r>
      <w:r w:rsidR="00700BDB" w:rsidRPr="00BD1319">
        <w:rPr>
          <w:rFonts w:cs="Arial"/>
          <w:spacing w:val="-3"/>
        </w:rPr>
        <w:t>de categorías estandarizadas de impactos ambientales publicada en</w:t>
      </w:r>
      <w:r w:rsidR="00525999" w:rsidRPr="00BD1319">
        <w:rPr>
          <w:rFonts w:cs="Arial"/>
          <w:spacing w:val="-3"/>
        </w:rPr>
        <w:t xml:space="preserve"> la página Web de Minambiente</w:t>
      </w:r>
      <w:r w:rsidR="00700BDB" w:rsidRPr="00BD1319">
        <w:rPr>
          <w:rStyle w:val="Refdenotaalpie"/>
          <w:rFonts w:cs="Arial"/>
          <w:spacing w:val="-3"/>
          <w:lang w:val="es-CO"/>
        </w:rPr>
        <w:footnoteReference w:id="187"/>
      </w:r>
      <w:r w:rsidR="00D965C3" w:rsidRPr="00BD1319">
        <w:rPr>
          <w:rFonts w:cs="Arial"/>
          <w:spacing w:val="-3"/>
        </w:rPr>
        <w:t xml:space="preserve">; dado </w:t>
      </w:r>
      <w:r w:rsidR="00D965C3" w:rsidRPr="00BD1319">
        <w:rPr>
          <w:rFonts w:cs="Arial"/>
          <w:szCs w:val="20"/>
        </w:rPr>
        <w:t xml:space="preserve">que esta </w:t>
      </w:r>
      <w:r w:rsidR="005D750B" w:rsidRPr="00BD1319">
        <w:rPr>
          <w:rFonts w:cs="Arial"/>
          <w:szCs w:val="20"/>
        </w:rPr>
        <w:t>tabla</w:t>
      </w:r>
      <w:r w:rsidR="00D965C3" w:rsidRPr="00BD1319">
        <w:rPr>
          <w:rFonts w:cs="Arial"/>
          <w:szCs w:val="20"/>
        </w:rPr>
        <w:t xml:space="preserve"> tiene un carácter dinámico, es necesario mencionar en el estudio ambiental la versión empleada para clasificar los impactos ambientales</w:t>
      </w:r>
      <w:r w:rsidRPr="00BD1319">
        <w:rPr>
          <w:rFonts w:cs="Arial"/>
          <w:spacing w:val="-3"/>
        </w:rPr>
        <w:t xml:space="preserve">. </w:t>
      </w:r>
      <w:r w:rsidR="009E6424" w:rsidRPr="00BD1319">
        <w:rPr>
          <w:rFonts w:cs="Arial"/>
          <w:spacing w:val="-3"/>
        </w:rPr>
        <w:t>Si</w:t>
      </w:r>
      <w:r w:rsidRPr="00BD1319">
        <w:rPr>
          <w:rFonts w:cs="Arial"/>
          <w:spacing w:val="-3"/>
        </w:rPr>
        <w:t xml:space="preserve"> uno o más impactos identificados no pued</w:t>
      </w:r>
      <w:r w:rsidR="009E6424" w:rsidRPr="00BD1319">
        <w:rPr>
          <w:rFonts w:cs="Arial"/>
          <w:spacing w:val="-3"/>
        </w:rPr>
        <w:t>e</w:t>
      </w:r>
      <w:r w:rsidRPr="00BD1319">
        <w:rPr>
          <w:rFonts w:cs="Arial"/>
          <w:spacing w:val="-3"/>
        </w:rPr>
        <w:t xml:space="preserve">n ser asociados a las categorías de </w:t>
      </w:r>
      <w:r w:rsidR="00700BDB" w:rsidRPr="00BD1319">
        <w:rPr>
          <w:rFonts w:cs="Arial"/>
          <w:spacing w:val="-3"/>
        </w:rPr>
        <w:t xml:space="preserve">dicha </w:t>
      </w:r>
      <w:r w:rsidR="00C21E68" w:rsidRPr="00BD1319">
        <w:rPr>
          <w:rFonts w:cs="Arial"/>
          <w:spacing w:val="-3"/>
        </w:rPr>
        <w:t>tabla</w:t>
      </w:r>
      <w:r w:rsidR="00037008" w:rsidRPr="00BD1319">
        <w:rPr>
          <w:rFonts w:cs="Arial"/>
          <w:spacing w:val="-3"/>
        </w:rPr>
        <w:t>,</w:t>
      </w:r>
      <w:r w:rsidRPr="00BD1319">
        <w:rPr>
          <w:rFonts w:cs="Arial"/>
          <w:spacing w:val="-3"/>
        </w:rPr>
        <w:t xml:space="preserve"> </w:t>
      </w:r>
      <w:r w:rsidR="000B0392" w:rsidRPr="00BD1319">
        <w:rPr>
          <w:rFonts w:cs="Arial"/>
          <w:spacing w:val="-3"/>
        </w:rPr>
        <w:t>es necesario</w:t>
      </w:r>
      <w:r w:rsidRPr="00BD1319">
        <w:rPr>
          <w:rFonts w:cs="Arial"/>
          <w:spacing w:val="-3"/>
        </w:rPr>
        <w:t xml:space="preserve"> plantear nuevas categorías en las cuales se puedan clasificar, </w:t>
      </w:r>
      <w:r w:rsidR="000B0392" w:rsidRPr="00BD1319">
        <w:rPr>
          <w:rFonts w:cs="Arial"/>
          <w:spacing w:val="-3"/>
        </w:rPr>
        <w:t xml:space="preserve">así como </w:t>
      </w:r>
      <w:r w:rsidRPr="00BD1319">
        <w:rPr>
          <w:rFonts w:cs="Arial"/>
          <w:spacing w:val="-3"/>
        </w:rPr>
        <w:t>establecer sus definiciones</w:t>
      </w:r>
      <w:r w:rsidR="000B0392" w:rsidRPr="00BD1319">
        <w:rPr>
          <w:rFonts w:cs="Arial"/>
          <w:spacing w:val="-3"/>
        </w:rPr>
        <w:t xml:space="preserve"> y </w:t>
      </w:r>
      <w:r w:rsidRPr="00BD1319">
        <w:rPr>
          <w:rFonts w:cs="Arial"/>
          <w:spacing w:val="-3"/>
        </w:rPr>
        <w:t>justificar la necesidad de su inclusión.</w:t>
      </w:r>
    </w:p>
    <w:p w14:paraId="4CC7CD76" w14:textId="77777777" w:rsidR="00D965C3" w:rsidRPr="00BD1319" w:rsidRDefault="00D965C3" w:rsidP="007B7358">
      <w:pPr>
        <w:numPr>
          <w:ilvl w:val="12"/>
          <w:numId w:val="0"/>
        </w:numPr>
        <w:tabs>
          <w:tab w:val="left" w:pos="-2268"/>
        </w:tabs>
        <w:suppressAutoHyphens/>
        <w:rPr>
          <w:rFonts w:cs="Arial"/>
          <w:spacing w:val="-3"/>
        </w:rPr>
      </w:pPr>
    </w:p>
    <w:p w14:paraId="00F27141" w14:textId="0AEF2D84" w:rsidR="005347C6" w:rsidRPr="00BD1319" w:rsidRDefault="005347C6" w:rsidP="005347C6">
      <w:pPr>
        <w:numPr>
          <w:ilvl w:val="12"/>
          <w:numId w:val="0"/>
        </w:numPr>
        <w:tabs>
          <w:tab w:val="left" w:pos="-2268"/>
        </w:tabs>
        <w:suppressAutoHyphens/>
      </w:pPr>
      <w:r w:rsidRPr="00BD1319">
        <w:t xml:space="preserve">Adicionalmente, y con el </w:t>
      </w:r>
      <w:r w:rsidR="00866820" w:rsidRPr="00BD1319">
        <w:t xml:space="preserve">fin </w:t>
      </w:r>
      <w:r w:rsidRPr="00BD1319">
        <w:t xml:space="preserve">de identificar </w:t>
      </w:r>
      <w:r w:rsidR="005E2777" w:rsidRPr="00BD1319">
        <w:t xml:space="preserve">las categorías estandarizadas de </w:t>
      </w:r>
      <w:r w:rsidRPr="00BD1319">
        <w:t xml:space="preserve">impactos que mínimamente deben incorporarse en un estudio ambiental de acuerdo con el tipo de proyecto, obra o actividad, se debe emplear como referencia la herramienta </w:t>
      </w:r>
      <w:r w:rsidRPr="00BD1319">
        <w:lastRenderedPageBreak/>
        <w:t>Estandarización y jerarquización por frecuencia de impactos ambientales de proyectos licenciados</w:t>
      </w:r>
      <w:r w:rsidRPr="00BD1319">
        <w:rPr>
          <w:rStyle w:val="Refdenotaalpie"/>
          <w:lang w:val="es-CO"/>
        </w:rPr>
        <w:footnoteReference w:id="188"/>
      </w:r>
      <w:r w:rsidR="00C21E68" w:rsidRPr="00BD1319">
        <w:t>.</w:t>
      </w:r>
      <w:r w:rsidRPr="00BD1319">
        <w:t xml:space="preserve"> </w:t>
      </w:r>
      <w:r w:rsidR="00C21E68" w:rsidRPr="00BD1319">
        <w:t>E</w:t>
      </w:r>
      <w:r w:rsidR="00866820" w:rsidRPr="00BD1319">
        <w:t xml:space="preserve">n razón a </w:t>
      </w:r>
      <w:r w:rsidRPr="00BD1319">
        <w:rPr>
          <w:rFonts w:cs="Arial"/>
          <w:szCs w:val="20"/>
        </w:rPr>
        <w:t xml:space="preserve">que esta herramienta tiene un carácter dinámico, es necesario mencionar en el estudio ambiental la versión empleada para </w:t>
      </w:r>
      <w:r w:rsidR="008C2516" w:rsidRPr="00BD1319">
        <w:rPr>
          <w:rFonts w:cs="Arial"/>
          <w:szCs w:val="20"/>
        </w:rPr>
        <w:t>identificar estas categorías estandarizadas</w:t>
      </w:r>
      <w:r w:rsidRPr="00BD1319">
        <w:rPr>
          <w:rFonts w:cs="Arial"/>
          <w:szCs w:val="20"/>
        </w:rPr>
        <w:t>.</w:t>
      </w:r>
    </w:p>
    <w:p w14:paraId="77728F5A" w14:textId="77777777" w:rsidR="005347C6" w:rsidRPr="00BD1319" w:rsidRDefault="005347C6" w:rsidP="007B7358">
      <w:pPr>
        <w:numPr>
          <w:ilvl w:val="12"/>
          <w:numId w:val="0"/>
        </w:numPr>
        <w:tabs>
          <w:tab w:val="left" w:pos="-2268"/>
        </w:tabs>
        <w:suppressAutoHyphens/>
        <w:rPr>
          <w:rFonts w:cs="Arial"/>
          <w:spacing w:val="-3"/>
        </w:rPr>
      </w:pPr>
    </w:p>
    <w:p w14:paraId="34829438" w14:textId="0451FB98" w:rsidR="007B7358" w:rsidRPr="00BD1319" w:rsidRDefault="007B7358" w:rsidP="007B7358">
      <w:pPr>
        <w:numPr>
          <w:ilvl w:val="12"/>
          <w:numId w:val="0"/>
        </w:numPr>
        <w:tabs>
          <w:tab w:val="left" w:pos="-2268"/>
        </w:tabs>
        <w:suppressAutoHyphens/>
        <w:rPr>
          <w:rFonts w:cs="Arial"/>
          <w:spacing w:val="-3"/>
        </w:rPr>
      </w:pPr>
      <w:r w:rsidRPr="00BD1319">
        <w:rPr>
          <w:rFonts w:cs="Arial"/>
          <w:spacing w:val="-3"/>
        </w:rPr>
        <w:t>El objetivo, tanto del listado de impactos ambientales</w:t>
      </w:r>
      <w:r w:rsidR="00F640D4" w:rsidRPr="00BD1319">
        <w:rPr>
          <w:rFonts w:cs="Arial"/>
          <w:spacing w:val="-3"/>
        </w:rPr>
        <w:t xml:space="preserve"> específicos</w:t>
      </w:r>
      <w:r w:rsidRPr="00BD1319">
        <w:rPr>
          <w:rFonts w:cs="Arial"/>
          <w:spacing w:val="-3"/>
        </w:rPr>
        <w:t xml:space="preserve">, como de las categorías estandarizadas en las cuales se clasifican, es dar total coherencia al proceso de licenciamiento ambiental, de manera que los parámetros a los cuales se refieren los impactos </w:t>
      </w:r>
      <w:r w:rsidR="00F640D4" w:rsidRPr="00BD1319">
        <w:rPr>
          <w:rFonts w:cs="Arial"/>
          <w:spacing w:val="-3"/>
        </w:rPr>
        <w:t xml:space="preserve">se empleen en </w:t>
      </w:r>
      <w:r w:rsidRPr="00BD1319">
        <w:rPr>
          <w:rFonts w:cs="Arial"/>
          <w:spacing w:val="-3"/>
        </w:rPr>
        <w:t xml:space="preserve">la elaboración del estudio </w:t>
      </w:r>
      <w:r w:rsidR="00ED702E" w:rsidRPr="00BD1319">
        <w:rPr>
          <w:rFonts w:cs="Arial"/>
          <w:spacing w:val="-3"/>
        </w:rPr>
        <w:t>ambiental</w:t>
      </w:r>
      <w:r w:rsidRPr="00BD1319">
        <w:rPr>
          <w:rFonts w:cs="Arial"/>
          <w:spacing w:val="-3"/>
        </w:rPr>
        <w:t xml:space="preserve">, sean </w:t>
      </w:r>
      <w:r w:rsidR="00ED702E" w:rsidRPr="00BD1319">
        <w:rPr>
          <w:rFonts w:cs="Arial"/>
          <w:spacing w:val="-3"/>
        </w:rPr>
        <w:t>fácilmente</w:t>
      </w:r>
      <w:r w:rsidRPr="00BD1319">
        <w:rPr>
          <w:rFonts w:cs="Arial"/>
          <w:spacing w:val="-3"/>
        </w:rPr>
        <w:t xml:space="preserve"> identificados e interpretados en el proceso de evaluación de los estudios que le </w:t>
      </w:r>
      <w:r w:rsidR="00ED702E" w:rsidRPr="00BD1319">
        <w:rPr>
          <w:rFonts w:cs="Arial"/>
          <w:spacing w:val="-3"/>
        </w:rPr>
        <w:t>corresponde</w:t>
      </w:r>
      <w:r w:rsidRPr="00BD1319">
        <w:rPr>
          <w:rFonts w:cs="Arial"/>
          <w:spacing w:val="-3"/>
        </w:rPr>
        <w:t xml:space="preserve"> a las autoridades ambientales, y permitan que el monitoreo y seguimiento a las condiciones ambientales y a las medidas de manejo</w:t>
      </w:r>
      <w:r w:rsidR="000A3DB9" w:rsidRPr="00BD1319">
        <w:rPr>
          <w:rFonts w:cs="Arial"/>
          <w:spacing w:val="-3"/>
        </w:rPr>
        <w:t xml:space="preserve"> durante la fase de ejecución del proyecto, obra o actividad (si se concede la licencia)</w:t>
      </w:r>
      <w:r w:rsidR="00001F0C" w:rsidRPr="00BD1319">
        <w:rPr>
          <w:rFonts w:cs="Arial"/>
          <w:spacing w:val="-3"/>
        </w:rPr>
        <w:t xml:space="preserve"> se desarrolle de forma consistente con la línea base</w:t>
      </w:r>
      <w:r w:rsidRPr="00BD1319">
        <w:rPr>
          <w:rFonts w:cs="Arial"/>
          <w:spacing w:val="-3"/>
        </w:rPr>
        <w:t>.</w:t>
      </w:r>
    </w:p>
    <w:p w14:paraId="5A10A3F3" w14:textId="77777777" w:rsidR="00C21E68" w:rsidRPr="00BD1319" w:rsidRDefault="00C21E68" w:rsidP="007B7358">
      <w:pPr>
        <w:numPr>
          <w:ilvl w:val="12"/>
          <w:numId w:val="0"/>
        </w:numPr>
        <w:tabs>
          <w:tab w:val="left" w:pos="-2268"/>
        </w:tabs>
        <w:suppressAutoHyphens/>
        <w:rPr>
          <w:rFonts w:cs="Arial"/>
          <w:spacing w:val="-3"/>
        </w:rPr>
      </w:pPr>
    </w:p>
    <w:p w14:paraId="559908E8" w14:textId="6B2DA21E" w:rsidR="00C21E68" w:rsidRPr="00BD1319" w:rsidRDefault="00C21E68" w:rsidP="007B7358">
      <w:pPr>
        <w:numPr>
          <w:ilvl w:val="12"/>
          <w:numId w:val="0"/>
        </w:numPr>
        <w:tabs>
          <w:tab w:val="left" w:pos="-2268"/>
        </w:tabs>
        <w:suppressAutoHyphens/>
        <w:rPr>
          <w:rFonts w:cs="Arial"/>
          <w:spacing w:val="-3"/>
        </w:rPr>
      </w:pPr>
      <w:r w:rsidRPr="00BD1319">
        <w:rPr>
          <w:rFonts w:cs="Arial"/>
          <w:spacing w:val="-3"/>
        </w:rPr>
        <w:t>S</w:t>
      </w:r>
      <w:r w:rsidR="00040A8A" w:rsidRPr="00BD1319">
        <w:rPr>
          <w:rFonts w:cs="Arial"/>
          <w:spacing w:val="-3"/>
        </w:rPr>
        <w:t xml:space="preserve">ólo se deben </w:t>
      </w:r>
      <w:r w:rsidRPr="00BD1319">
        <w:rPr>
          <w:rFonts w:cs="Arial"/>
          <w:spacing w:val="-3"/>
        </w:rPr>
        <w:t xml:space="preserve">establecer los impactos ambientales específicos si </w:t>
      </w:r>
      <w:r w:rsidR="00040A8A" w:rsidRPr="00BD1319">
        <w:rPr>
          <w:rFonts w:cs="Arial"/>
          <w:spacing w:val="-3"/>
        </w:rPr>
        <w:t xml:space="preserve">ello es necesario para </w:t>
      </w:r>
      <w:r w:rsidRPr="00BD1319">
        <w:rPr>
          <w:rFonts w:cs="Arial"/>
          <w:spacing w:val="-3"/>
        </w:rPr>
        <w:t xml:space="preserve">formular medidas </w:t>
      </w:r>
      <w:r w:rsidR="00040A8A" w:rsidRPr="00BD1319">
        <w:rPr>
          <w:rFonts w:cs="Arial"/>
          <w:spacing w:val="-3"/>
        </w:rPr>
        <w:t xml:space="preserve">de </w:t>
      </w:r>
      <w:r w:rsidRPr="00BD1319">
        <w:rPr>
          <w:rFonts w:cs="Arial"/>
          <w:spacing w:val="-3"/>
        </w:rPr>
        <w:t>manejo</w:t>
      </w:r>
      <w:r w:rsidR="00040A8A" w:rsidRPr="00BD1319">
        <w:rPr>
          <w:rFonts w:cs="Arial"/>
          <w:spacing w:val="-3"/>
        </w:rPr>
        <w:t xml:space="preserve"> eficaces</w:t>
      </w:r>
      <w:r w:rsidRPr="00BD1319">
        <w:rPr>
          <w:rFonts w:cs="Arial"/>
          <w:spacing w:val="-3"/>
        </w:rPr>
        <w:t xml:space="preserve">; si en una categoría ocurre más de un impacto </w:t>
      </w:r>
      <w:r w:rsidR="00040A8A" w:rsidRPr="00BD1319">
        <w:rPr>
          <w:rFonts w:cs="Arial"/>
          <w:spacing w:val="-3"/>
        </w:rPr>
        <w:t xml:space="preserve">ambiental </w:t>
      </w:r>
      <w:r w:rsidRPr="00BD1319">
        <w:rPr>
          <w:rFonts w:cs="Arial"/>
          <w:spacing w:val="-3"/>
        </w:rPr>
        <w:t xml:space="preserve">específico y todos ellos pueden ser manejados mediante la misma medida, no </w:t>
      </w:r>
      <w:r w:rsidR="00001F0C" w:rsidRPr="00BD1319">
        <w:rPr>
          <w:rFonts w:cs="Arial"/>
          <w:spacing w:val="-3"/>
        </w:rPr>
        <w:t>hace falta</w:t>
      </w:r>
      <w:r w:rsidR="00040A8A" w:rsidRPr="00BD1319">
        <w:rPr>
          <w:rFonts w:cs="Arial"/>
          <w:spacing w:val="-3"/>
        </w:rPr>
        <w:t xml:space="preserve"> </w:t>
      </w:r>
      <w:r w:rsidRPr="00BD1319">
        <w:rPr>
          <w:rFonts w:cs="Arial"/>
          <w:spacing w:val="-3"/>
        </w:rPr>
        <w:t xml:space="preserve">señalar cuáles son </w:t>
      </w:r>
      <w:r w:rsidR="00040A8A" w:rsidRPr="00BD1319">
        <w:rPr>
          <w:rFonts w:cs="Arial"/>
          <w:spacing w:val="-3"/>
        </w:rPr>
        <w:t xml:space="preserve">los </w:t>
      </w:r>
      <w:r w:rsidRPr="00BD1319">
        <w:rPr>
          <w:rFonts w:cs="Arial"/>
          <w:spacing w:val="-3"/>
        </w:rPr>
        <w:t xml:space="preserve">impactos ambientales específicos ni tampoco valorarlos de forma independiente, </w:t>
      </w:r>
      <w:r w:rsidR="00040A8A" w:rsidRPr="00BD1319">
        <w:rPr>
          <w:rFonts w:cs="Arial"/>
          <w:spacing w:val="-3"/>
        </w:rPr>
        <w:t xml:space="preserve">en ese caso, basta con determinar y valorar </w:t>
      </w:r>
      <w:r w:rsidRPr="00BD1319">
        <w:rPr>
          <w:rFonts w:cs="Arial"/>
          <w:spacing w:val="-3"/>
        </w:rPr>
        <w:t xml:space="preserve">la categoría estandarizada. </w:t>
      </w:r>
      <w:r w:rsidR="00040A8A" w:rsidRPr="00BD1319">
        <w:rPr>
          <w:rFonts w:cs="Arial"/>
          <w:spacing w:val="-3"/>
        </w:rPr>
        <w:t>No obstante</w:t>
      </w:r>
      <w:r w:rsidRPr="00BD1319">
        <w:rPr>
          <w:rFonts w:cs="Arial"/>
          <w:spacing w:val="-3"/>
        </w:rPr>
        <w:t xml:space="preserve">, </w:t>
      </w:r>
      <w:r w:rsidR="00040A8A" w:rsidRPr="00BD1319">
        <w:rPr>
          <w:rFonts w:cs="Arial"/>
          <w:spacing w:val="-3"/>
        </w:rPr>
        <w:t xml:space="preserve">procedimentalmente </w:t>
      </w:r>
      <w:r w:rsidRPr="00BD1319">
        <w:rPr>
          <w:rFonts w:cs="Arial"/>
          <w:spacing w:val="-3"/>
        </w:rPr>
        <w:t>es conveniente determinar</w:t>
      </w:r>
      <w:r w:rsidR="00001F0C" w:rsidRPr="00BD1319">
        <w:rPr>
          <w:rFonts w:cs="Arial"/>
          <w:spacing w:val="-3"/>
        </w:rPr>
        <w:t xml:space="preserve"> todos</w:t>
      </w:r>
      <w:r w:rsidRPr="00BD1319">
        <w:rPr>
          <w:rFonts w:cs="Arial"/>
          <w:spacing w:val="-3"/>
        </w:rPr>
        <w:t xml:space="preserve"> los impactos ambientales específicos que ocurren para establecer</w:t>
      </w:r>
      <w:r w:rsidR="00040A8A" w:rsidRPr="00BD1319">
        <w:rPr>
          <w:rFonts w:cs="Arial"/>
          <w:spacing w:val="-3"/>
        </w:rPr>
        <w:t>,</w:t>
      </w:r>
      <w:r w:rsidRPr="00BD1319">
        <w:rPr>
          <w:rFonts w:cs="Arial"/>
          <w:spacing w:val="-3"/>
        </w:rPr>
        <w:t xml:space="preserve"> si pueden o no</w:t>
      </w:r>
      <w:r w:rsidR="00040A8A" w:rsidRPr="00BD1319">
        <w:rPr>
          <w:rFonts w:cs="Arial"/>
          <w:spacing w:val="-3"/>
        </w:rPr>
        <w:t>,</w:t>
      </w:r>
      <w:r w:rsidRPr="00BD1319">
        <w:rPr>
          <w:rFonts w:cs="Arial"/>
          <w:spacing w:val="-3"/>
        </w:rPr>
        <w:t xml:space="preserve"> ser manejados mediante la misma medida.</w:t>
      </w:r>
    </w:p>
    <w:p w14:paraId="51B7D4C4" w14:textId="77777777" w:rsidR="00C21E68" w:rsidRPr="00BD1319" w:rsidRDefault="00C21E68" w:rsidP="007B7358">
      <w:pPr>
        <w:numPr>
          <w:ilvl w:val="12"/>
          <w:numId w:val="0"/>
        </w:numPr>
        <w:tabs>
          <w:tab w:val="left" w:pos="-2268"/>
        </w:tabs>
        <w:suppressAutoHyphens/>
        <w:rPr>
          <w:rFonts w:cs="Arial"/>
          <w:spacing w:val="-3"/>
        </w:rPr>
      </w:pPr>
    </w:p>
    <w:p w14:paraId="392565F1" w14:textId="5365705C" w:rsidR="00C21E68" w:rsidRPr="00BD1319" w:rsidRDefault="000B112F" w:rsidP="007B7358">
      <w:pPr>
        <w:numPr>
          <w:ilvl w:val="12"/>
          <w:numId w:val="0"/>
        </w:numPr>
        <w:tabs>
          <w:tab w:val="left" w:pos="-2268"/>
        </w:tabs>
        <w:suppressAutoHyphens/>
        <w:rPr>
          <w:rFonts w:cs="Arial"/>
          <w:spacing w:val="-3"/>
        </w:rPr>
      </w:pPr>
      <w:r w:rsidRPr="00BD1319">
        <w:rPr>
          <w:rFonts w:cs="Arial"/>
          <w:spacing w:val="-3"/>
        </w:rPr>
        <w:t>Es importante que la determinación de impactos ambientales del escenario sin proyecto se acote a los impactos que puede generar el proyecto, obra o actividad objeto de evaluación</w:t>
      </w:r>
      <w:r w:rsidR="00E30393" w:rsidRPr="00BD1319">
        <w:rPr>
          <w:rFonts w:cs="Arial"/>
          <w:spacing w:val="-3"/>
        </w:rPr>
        <w:t>, lo anterior para brindar una base de comparación que permita evidenciar el cambio ambiental ocasionado exclusivamente por el proyecto de interés.</w:t>
      </w:r>
    </w:p>
    <w:p w14:paraId="107CEB2F" w14:textId="77777777" w:rsidR="007B7358" w:rsidRPr="00BD1319" w:rsidRDefault="007B7358" w:rsidP="007B7358">
      <w:pPr>
        <w:numPr>
          <w:ilvl w:val="12"/>
          <w:numId w:val="0"/>
        </w:numPr>
        <w:tabs>
          <w:tab w:val="left" w:pos="-2268"/>
        </w:tabs>
        <w:suppressAutoHyphens/>
        <w:rPr>
          <w:rFonts w:cs="Arial"/>
          <w:spacing w:val="-3"/>
        </w:rPr>
      </w:pPr>
    </w:p>
    <w:p w14:paraId="77E7E407" w14:textId="77777777" w:rsidR="007B7358" w:rsidRPr="00BD1319" w:rsidRDefault="007B7358" w:rsidP="00216955">
      <w:pPr>
        <w:pStyle w:val="Ttulo3"/>
      </w:pPr>
      <w:bookmarkStart w:id="3216" w:name="_Toc175326802"/>
      <w:r w:rsidRPr="00BD1319">
        <w:t>Valoración de impactos ambientales</w:t>
      </w:r>
      <w:bookmarkEnd w:id="3216"/>
    </w:p>
    <w:p w14:paraId="1623DDFA" w14:textId="77777777" w:rsidR="007B7358" w:rsidRPr="00BD1319" w:rsidRDefault="007B7358" w:rsidP="007B7358">
      <w:pPr>
        <w:numPr>
          <w:ilvl w:val="12"/>
          <w:numId w:val="0"/>
        </w:numPr>
        <w:tabs>
          <w:tab w:val="left" w:pos="-2268"/>
        </w:tabs>
        <w:suppressAutoHyphens/>
        <w:rPr>
          <w:rFonts w:cs="Arial"/>
          <w:spacing w:val="-3"/>
        </w:rPr>
      </w:pPr>
    </w:p>
    <w:p w14:paraId="20379E37" w14:textId="6C523222" w:rsidR="00133E5B" w:rsidRPr="00BD1319" w:rsidRDefault="007B7358">
      <w:pPr>
        <w:numPr>
          <w:ilvl w:val="12"/>
          <w:numId w:val="0"/>
        </w:numPr>
        <w:tabs>
          <w:tab w:val="left" w:pos="-2268"/>
        </w:tabs>
        <w:suppressAutoHyphens/>
        <w:rPr>
          <w:rFonts w:cs="Arial"/>
          <w:spacing w:val="-3"/>
        </w:rPr>
      </w:pPr>
      <w:r w:rsidRPr="00BD1319">
        <w:rPr>
          <w:rFonts w:cs="Arial"/>
          <w:spacing w:val="-3"/>
        </w:rPr>
        <w:t xml:space="preserve">Este proceso consiste en asignar valores cuantitativos o cualitativos, positivos o negativos, a todos los impactos </w:t>
      </w:r>
      <w:r w:rsidR="004460F2" w:rsidRPr="00BD1319">
        <w:rPr>
          <w:rFonts w:cs="Arial"/>
          <w:spacing w:val="-3"/>
        </w:rPr>
        <w:t>que se determinen</w:t>
      </w:r>
      <w:r w:rsidRPr="00BD1319">
        <w:rPr>
          <w:rFonts w:cs="Arial"/>
          <w:spacing w:val="-3"/>
        </w:rPr>
        <w:t>, en función del grado con el cual pueden modificar las condiciones ambientales del área que se está estudiando.</w:t>
      </w:r>
    </w:p>
    <w:p w14:paraId="4DB3B3F0" w14:textId="77777777" w:rsidR="00133E5B" w:rsidRPr="00BD1319" w:rsidRDefault="00133E5B">
      <w:pPr>
        <w:numPr>
          <w:ilvl w:val="12"/>
          <w:numId w:val="0"/>
        </w:numPr>
        <w:tabs>
          <w:tab w:val="left" w:pos="-2268"/>
        </w:tabs>
        <w:suppressAutoHyphens/>
        <w:rPr>
          <w:rFonts w:cs="Arial"/>
          <w:spacing w:val="-3"/>
        </w:rPr>
      </w:pPr>
    </w:p>
    <w:p w14:paraId="1C19896A" w14:textId="3F6B870F" w:rsidR="00B61DE7" w:rsidRPr="00BD1319" w:rsidRDefault="009658F3">
      <w:pPr>
        <w:numPr>
          <w:ilvl w:val="12"/>
          <w:numId w:val="0"/>
        </w:numPr>
        <w:tabs>
          <w:tab w:val="left" w:pos="-2268"/>
        </w:tabs>
        <w:suppressAutoHyphens/>
        <w:rPr>
          <w:rFonts w:cs="Arial"/>
          <w:spacing w:val="-3"/>
        </w:rPr>
      </w:pPr>
      <w:r w:rsidRPr="00BD1319">
        <w:rPr>
          <w:rFonts w:cs="Arial"/>
          <w:spacing w:val="-3"/>
        </w:rPr>
        <w:t>La</w:t>
      </w:r>
      <w:r w:rsidR="007B7358" w:rsidRPr="00BD1319">
        <w:rPr>
          <w:rFonts w:cs="Arial"/>
          <w:spacing w:val="-3"/>
        </w:rPr>
        <w:t xml:space="preserve"> valoración </w:t>
      </w:r>
      <w:r w:rsidR="004D023E" w:rsidRPr="00BD1319">
        <w:rPr>
          <w:rFonts w:cs="Arial"/>
          <w:spacing w:val="-3"/>
        </w:rPr>
        <w:t xml:space="preserve">para el escenario con proyecto </w:t>
      </w:r>
      <w:r w:rsidR="007B7358" w:rsidRPr="00BD1319">
        <w:rPr>
          <w:rFonts w:cs="Arial"/>
          <w:spacing w:val="-3"/>
        </w:rPr>
        <w:t xml:space="preserve">implica conjugar la información </w:t>
      </w:r>
      <w:r w:rsidR="00A33A87" w:rsidRPr="00BD1319">
        <w:rPr>
          <w:rFonts w:cs="Arial"/>
          <w:spacing w:val="-3"/>
        </w:rPr>
        <w:t xml:space="preserve">de línea base </w:t>
      </w:r>
      <w:r w:rsidR="0060552F" w:rsidRPr="00BD1319">
        <w:rPr>
          <w:rFonts w:cs="Arial"/>
          <w:spacing w:val="-3"/>
        </w:rPr>
        <w:t xml:space="preserve">sobre </w:t>
      </w:r>
      <w:r w:rsidR="004460F2" w:rsidRPr="00BD1319">
        <w:rPr>
          <w:rFonts w:cs="Arial"/>
          <w:spacing w:val="-3"/>
        </w:rPr>
        <w:t xml:space="preserve">las condiciones </w:t>
      </w:r>
      <w:r w:rsidR="00A33A87" w:rsidRPr="00BD1319">
        <w:rPr>
          <w:rFonts w:cs="Arial"/>
          <w:spacing w:val="-3"/>
        </w:rPr>
        <w:t xml:space="preserve">ambientales </w:t>
      </w:r>
      <w:r w:rsidR="00AD01A7" w:rsidRPr="00BD1319">
        <w:rPr>
          <w:rFonts w:cs="Arial"/>
          <w:spacing w:val="-3"/>
        </w:rPr>
        <w:t xml:space="preserve">que se </w:t>
      </w:r>
      <w:r w:rsidR="00B61DE7" w:rsidRPr="00BD1319">
        <w:rPr>
          <w:rFonts w:cs="Arial"/>
          <w:spacing w:val="-3"/>
        </w:rPr>
        <w:t>obtenga</w:t>
      </w:r>
      <w:r w:rsidR="00AD01A7" w:rsidRPr="00BD1319">
        <w:rPr>
          <w:rFonts w:cs="Arial"/>
          <w:spacing w:val="-3"/>
        </w:rPr>
        <w:t xml:space="preserve"> </w:t>
      </w:r>
      <w:r w:rsidR="007B7358" w:rsidRPr="00BD1319">
        <w:rPr>
          <w:rFonts w:cs="Arial"/>
          <w:spacing w:val="-3"/>
        </w:rPr>
        <w:t xml:space="preserve">en la caracterización del área de influencia y </w:t>
      </w:r>
      <w:r w:rsidR="00A33A87" w:rsidRPr="00BD1319">
        <w:rPr>
          <w:rFonts w:cs="Arial"/>
          <w:spacing w:val="-3"/>
        </w:rPr>
        <w:t xml:space="preserve">en </w:t>
      </w:r>
      <w:r w:rsidR="007B7358" w:rsidRPr="00BD1319">
        <w:rPr>
          <w:rFonts w:cs="Arial"/>
          <w:spacing w:val="-3"/>
        </w:rPr>
        <w:t xml:space="preserve">la zonificación ambiental, con la información que describe </w:t>
      </w:r>
      <w:r w:rsidR="008F4F24" w:rsidRPr="00BD1319">
        <w:rPr>
          <w:rFonts w:cs="Arial"/>
          <w:spacing w:val="-3"/>
        </w:rPr>
        <w:t xml:space="preserve">las </w:t>
      </w:r>
      <w:r w:rsidR="007B7358" w:rsidRPr="00BD1319">
        <w:rPr>
          <w:rFonts w:cs="Arial"/>
          <w:spacing w:val="-3"/>
        </w:rPr>
        <w:t>particularidades de ubicación, tecnología y diseño, uso, aprovechamiento y afectación a los recursos naturales, entre otras</w:t>
      </w:r>
      <w:r w:rsidR="008F4F24" w:rsidRPr="00BD1319">
        <w:rPr>
          <w:rFonts w:cs="Arial"/>
          <w:spacing w:val="-3"/>
        </w:rPr>
        <w:t xml:space="preserve"> propiedades del proyecto</w:t>
      </w:r>
      <w:r w:rsidR="007B7358" w:rsidRPr="00BD1319">
        <w:rPr>
          <w:rFonts w:cs="Arial"/>
          <w:spacing w:val="-3"/>
        </w:rPr>
        <w:t xml:space="preserve">, </w:t>
      </w:r>
      <w:r w:rsidR="006B696D" w:rsidRPr="00BD1319">
        <w:rPr>
          <w:rFonts w:cs="Arial"/>
          <w:spacing w:val="-3"/>
        </w:rPr>
        <w:t xml:space="preserve">obra o actividad, </w:t>
      </w:r>
      <w:r w:rsidR="00AD01A7" w:rsidRPr="00BD1319">
        <w:rPr>
          <w:rFonts w:cs="Arial"/>
          <w:spacing w:val="-3"/>
        </w:rPr>
        <w:t xml:space="preserve">a fin </w:t>
      </w:r>
      <w:r w:rsidR="007B7358" w:rsidRPr="00BD1319">
        <w:rPr>
          <w:rFonts w:cs="Arial"/>
          <w:spacing w:val="-3"/>
        </w:rPr>
        <w:t xml:space="preserve">de establecer cómo y en qué medida </w:t>
      </w:r>
      <w:r w:rsidR="004460F2" w:rsidRPr="00BD1319">
        <w:rPr>
          <w:rFonts w:cs="Arial"/>
          <w:spacing w:val="-3"/>
        </w:rPr>
        <w:t xml:space="preserve">se modificarían las condiciones ambientales </w:t>
      </w:r>
      <w:r w:rsidR="004D023E" w:rsidRPr="00BD1319">
        <w:rPr>
          <w:rFonts w:cs="Arial"/>
          <w:spacing w:val="-3"/>
        </w:rPr>
        <w:t xml:space="preserve">con su ejecución; </w:t>
      </w:r>
      <w:r w:rsidR="00E14741" w:rsidRPr="00BD1319">
        <w:rPr>
          <w:rFonts w:cs="Arial"/>
          <w:spacing w:val="-3"/>
        </w:rPr>
        <w:t xml:space="preserve">para </w:t>
      </w:r>
      <w:r w:rsidR="0060552F" w:rsidRPr="00BD1319">
        <w:rPr>
          <w:rFonts w:cs="Arial"/>
          <w:spacing w:val="-3"/>
        </w:rPr>
        <w:t>e</w:t>
      </w:r>
      <w:r w:rsidR="00E14741" w:rsidRPr="00BD1319">
        <w:rPr>
          <w:rFonts w:cs="Arial"/>
          <w:spacing w:val="-3"/>
        </w:rPr>
        <w:t>l</w:t>
      </w:r>
      <w:r w:rsidR="0060552F" w:rsidRPr="00BD1319">
        <w:rPr>
          <w:rFonts w:cs="Arial"/>
          <w:spacing w:val="-3"/>
        </w:rPr>
        <w:t xml:space="preserve"> </w:t>
      </w:r>
      <w:r w:rsidR="00E14741" w:rsidRPr="00BD1319">
        <w:rPr>
          <w:rFonts w:cs="Arial"/>
          <w:spacing w:val="-3"/>
        </w:rPr>
        <w:t xml:space="preserve">escenario </w:t>
      </w:r>
      <w:r w:rsidR="004D023E" w:rsidRPr="00BD1319">
        <w:rPr>
          <w:rFonts w:cs="Arial"/>
          <w:spacing w:val="-3"/>
        </w:rPr>
        <w:t xml:space="preserve">sin </w:t>
      </w:r>
      <w:r w:rsidR="00E14741" w:rsidRPr="00BD1319">
        <w:rPr>
          <w:rFonts w:cs="Arial"/>
          <w:spacing w:val="-3"/>
        </w:rPr>
        <w:t>proyecto</w:t>
      </w:r>
      <w:r w:rsidR="004D023E" w:rsidRPr="00BD1319">
        <w:rPr>
          <w:rFonts w:cs="Arial"/>
          <w:spacing w:val="-3"/>
        </w:rPr>
        <w:t xml:space="preserve"> la valoración se basa en un </w:t>
      </w:r>
      <w:r w:rsidR="004D023E" w:rsidRPr="00BD1319">
        <w:rPr>
          <w:color w:val="000000"/>
        </w:rPr>
        <w:t xml:space="preserve">análisis tendencial de las condiciones </w:t>
      </w:r>
      <w:r w:rsidR="004D023E" w:rsidRPr="00BD1319">
        <w:rPr>
          <w:color w:val="000000"/>
        </w:rPr>
        <w:lastRenderedPageBreak/>
        <w:t>ambientales de línea base</w:t>
      </w:r>
      <w:r w:rsidR="007B7358" w:rsidRPr="00BD1319">
        <w:rPr>
          <w:rFonts w:cs="Arial"/>
          <w:spacing w:val="-3"/>
        </w:rPr>
        <w:t>.</w:t>
      </w:r>
      <w:r w:rsidR="00B61DE7" w:rsidRPr="00BD1319">
        <w:rPr>
          <w:rFonts w:cs="Arial"/>
          <w:spacing w:val="-3"/>
        </w:rPr>
        <w:t xml:space="preserve"> Para la valoración de ambos escenarios se debe considerar la forma en que el cambio climático</w:t>
      </w:r>
      <w:r w:rsidR="003B7E99" w:rsidRPr="00BD1319">
        <w:rPr>
          <w:rFonts w:cs="Arial"/>
          <w:spacing w:val="-3"/>
        </w:rPr>
        <w:t xml:space="preserve"> afecta la significancia de los impactos</w:t>
      </w:r>
      <w:r w:rsidR="00257FA8" w:rsidRPr="00BD1319">
        <w:rPr>
          <w:rFonts w:cs="Arial"/>
          <w:spacing w:val="-3"/>
        </w:rPr>
        <w:t xml:space="preserve">, asumiendo </w:t>
      </w:r>
      <w:r w:rsidR="00525E86" w:rsidRPr="00BD1319">
        <w:rPr>
          <w:rFonts w:cs="Arial"/>
          <w:spacing w:val="-3"/>
        </w:rPr>
        <w:t xml:space="preserve">los </w:t>
      </w:r>
      <w:r w:rsidR="00257FA8" w:rsidRPr="00BD1319">
        <w:rPr>
          <w:rFonts w:cs="Arial"/>
          <w:spacing w:val="-3"/>
        </w:rPr>
        <w:t xml:space="preserve">escenarios </w:t>
      </w:r>
      <w:r w:rsidR="00525E86" w:rsidRPr="00BD1319">
        <w:rPr>
          <w:rFonts w:cs="Arial"/>
          <w:spacing w:val="-3"/>
        </w:rPr>
        <w:t xml:space="preserve">prospectivos de </w:t>
      </w:r>
      <w:r w:rsidR="00257FA8" w:rsidRPr="00BD1319">
        <w:rPr>
          <w:rFonts w:cs="Arial"/>
          <w:spacing w:val="-3"/>
        </w:rPr>
        <w:t xml:space="preserve">cambio </w:t>
      </w:r>
      <w:r w:rsidR="00525E86" w:rsidRPr="00BD1319">
        <w:rPr>
          <w:rFonts w:cs="Arial"/>
          <w:spacing w:val="-3"/>
        </w:rPr>
        <w:t xml:space="preserve">para las variables precipitación y temperatura que se </w:t>
      </w:r>
      <w:r w:rsidR="009C4490" w:rsidRPr="00BD1319">
        <w:rPr>
          <w:rFonts w:cs="Arial"/>
          <w:spacing w:val="-3"/>
        </w:rPr>
        <w:t xml:space="preserve">empleen, de acuerdo con </w:t>
      </w:r>
      <w:r w:rsidR="00525E86" w:rsidRPr="00BD1319">
        <w:rPr>
          <w:rFonts w:cs="Arial"/>
          <w:spacing w:val="-3"/>
        </w:rPr>
        <w:t>los lineamientos del numeral</w:t>
      </w:r>
      <w:r w:rsidR="008A007F" w:rsidRPr="00BD1319">
        <w:rPr>
          <w:rFonts w:cs="Arial"/>
          <w:spacing w:val="-3"/>
        </w:rPr>
        <w:t xml:space="preserve"> </w:t>
      </w:r>
      <w:r w:rsidR="0060697B" w:rsidRPr="00BD1319">
        <w:rPr>
          <w:rFonts w:cs="Arial"/>
          <w:spacing w:val="-3"/>
        </w:rPr>
        <w:fldChar w:fldCharType="begin"/>
      </w:r>
      <w:r w:rsidR="0060697B" w:rsidRPr="00BD1319">
        <w:rPr>
          <w:rFonts w:cs="Arial"/>
          <w:spacing w:val="-3"/>
        </w:rPr>
        <w:instrText xml:space="preserve"> REF _Ref175324153 \r \h </w:instrText>
      </w:r>
      <w:r w:rsidR="00BD1319">
        <w:rPr>
          <w:rFonts w:cs="Arial"/>
          <w:spacing w:val="-3"/>
        </w:rPr>
        <w:instrText xml:space="preserve"> \* MERGEFORMAT </w:instrText>
      </w:r>
      <w:r w:rsidR="0060697B" w:rsidRPr="00BD1319">
        <w:rPr>
          <w:rFonts w:cs="Arial"/>
          <w:spacing w:val="-3"/>
        </w:rPr>
      </w:r>
      <w:r w:rsidR="0060697B" w:rsidRPr="00BD1319">
        <w:rPr>
          <w:rFonts w:cs="Arial"/>
          <w:spacing w:val="-3"/>
        </w:rPr>
        <w:fldChar w:fldCharType="separate"/>
      </w:r>
      <w:r w:rsidR="00296654" w:rsidRPr="00BD1319">
        <w:rPr>
          <w:rFonts w:cs="Arial"/>
          <w:spacing w:val="-3"/>
        </w:rPr>
        <w:t>10.7.2.1</w:t>
      </w:r>
      <w:r w:rsidR="0060697B" w:rsidRPr="00BD1319">
        <w:rPr>
          <w:rFonts w:cs="Arial"/>
          <w:spacing w:val="-3"/>
        </w:rPr>
        <w:fldChar w:fldCharType="end"/>
      </w:r>
      <w:r w:rsidR="00B61DE7" w:rsidRPr="00BD1319">
        <w:rPr>
          <w:rFonts w:cs="Arial"/>
          <w:spacing w:val="-3"/>
        </w:rPr>
        <w:t>.</w:t>
      </w:r>
    </w:p>
    <w:p w14:paraId="1B54C1D9" w14:textId="77777777" w:rsidR="00C037A6" w:rsidRPr="00BD1319" w:rsidRDefault="00C037A6" w:rsidP="007B7358">
      <w:pPr>
        <w:numPr>
          <w:ilvl w:val="12"/>
          <w:numId w:val="0"/>
        </w:numPr>
        <w:tabs>
          <w:tab w:val="left" w:pos="-2268"/>
        </w:tabs>
        <w:suppressAutoHyphens/>
        <w:rPr>
          <w:rFonts w:cs="Arial"/>
          <w:spacing w:val="-3"/>
        </w:rPr>
      </w:pPr>
    </w:p>
    <w:p w14:paraId="091F312A" w14:textId="59192133" w:rsidR="00C037A6" w:rsidRPr="00BD1319" w:rsidRDefault="00C037A6" w:rsidP="007B7358">
      <w:pPr>
        <w:numPr>
          <w:ilvl w:val="12"/>
          <w:numId w:val="0"/>
        </w:numPr>
        <w:tabs>
          <w:tab w:val="left" w:pos="-2268"/>
        </w:tabs>
        <w:suppressAutoHyphens/>
        <w:rPr>
          <w:rFonts w:cs="Arial"/>
          <w:spacing w:val="-3"/>
          <w:lang w:val="es-MX"/>
        </w:rPr>
      </w:pPr>
      <w:r w:rsidRPr="00BD1319">
        <w:rPr>
          <w:rFonts w:cs="Arial"/>
          <w:spacing w:val="-3"/>
        </w:rPr>
        <w:t xml:space="preserve">Asimismo, con el fin de </w:t>
      </w:r>
      <w:r w:rsidRPr="00BD1319">
        <w:rPr>
          <w:rFonts w:cs="Arial"/>
          <w:lang w:val="es-ES"/>
        </w:rPr>
        <w:t xml:space="preserve">hacer efectivo el principio de debida diligencia en materia de derechos humanos, es necesario que en esta etapa se </w:t>
      </w:r>
      <w:r w:rsidR="002B6FA3" w:rsidRPr="00BD1319">
        <w:rPr>
          <w:rFonts w:cs="Arial"/>
          <w:lang w:val="es-ES"/>
        </w:rPr>
        <w:t xml:space="preserve">aborde una evaluación de </w:t>
      </w:r>
      <w:r w:rsidR="00F13E9C" w:rsidRPr="00BD1319">
        <w:rPr>
          <w:rFonts w:cs="Arial"/>
          <w:lang w:val="es-ES"/>
        </w:rPr>
        <w:t xml:space="preserve">los </w:t>
      </w:r>
      <w:r w:rsidR="0030099D" w:rsidRPr="00BD1319">
        <w:rPr>
          <w:rFonts w:cs="Arial"/>
          <w:lang w:val="es-ES"/>
        </w:rPr>
        <w:t>impactos sobre</w:t>
      </w:r>
      <w:r w:rsidRPr="00BD1319">
        <w:rPr>
          <w:rFonts w:cs="Arial"/>
          <w:lang w:val="es-ES"/>
        </w:rPr>
        <w:t xml:space="preserve"> los derechos humanos</w:t>
      </w:r>
      <w:r w:rsidR="002B6FA3" w:rsidRPr="00BD1319">
        <w:rPr>
          <w:rFonts w:cs="Arial"/>
          <w:lang w:val="es-ES"/>
        </w:rPr>
        <w:t xml:space="preserve"> </w:t>
      </w:r>
      <w:r w:rsidR="002B6FA3" w:rsidRPr="00BD1319">
        <w:rPr>
          <w:rFonts w:cs="Arial"/>
          <w:spacing w:val="-3"/>
        </w:rPr>
        <w:t xml:space="preserve">para </w:t>
      </w:r>
      <w:r w:rsidR="0004793C" w:rsidRPr="00BD1319">
        <w:rPr>
          <w:rFonts w:cs="Arial"/>
          <w:spacing w:val="-3"/>
        </w:rPr>
        <w:t>los dos</w:t>
      </w:r>
      <w:r w:rsidR="002B6FA3" w:rsidRPr="00BD1319">
        <w:rPr>
          <w:rFonts w:cs="Arial"/>
          <w:spacing w:val="-3"/>
        </w:rPr>
        <w:t xml:space="preserve"> escenarios</w:t>
      </w:r>
      <w:r w:rsidRPr="00BD1319">
        <w:rPr>
          <w:rStyle w:val="Refdenotaalpie"/>
          <w:rFonts w:cs="Arial"/>
        </w:rPr>
        <w:footnoteReference w:id="189"/>
      </w:r>
      <w:r w:rsidRPr="00BD1319">
        <w:rPr>
          <w:rFonts w:cs="Arial"/>
          <w:lang w:val="es-ES"/>
        </w:rPr>
        <w:t>.</w:t>
      </w:r>
    </w:p>
    <w:p w14:paraId="2E40B7E3" w14:textId="77777777" w:rsidR="007B7358" w:rsidRPr="00BD1319" w:rsidRDefault="007B7358" w:rsidP="007B7358">
      <w:pPr>
        <w:numPr>
          <w:ilvl w:val="12"/>
          <w:numId w:val="0"/>
        </w:numPr>
        <w:tabs>
          <w:tab w:val="left" w:pos="-2268"/>
        </w:tabs>
        <w:suppressAutoHyphens/>
        <w:rPr>
          <w:rFonts w:cs="Arial"/>
          <w:spacing w:val="-3"/>
        </w:rPr>
      </w:pPr>
    </w:p>
    <w:p w14:paraId="03DB3FD5" w14:textId="6B33BA6C" w:rsidR="007B7358" w:rsidRPr="00BD1319" w:rsidRDefault="0060552F" w:rsidP="007B7358">
      <w:pPr>
        <w:numPr>
          <w:ilvl w:val="12"/>
          <w:numId w:val="0"/>
        </w:numPr>
        <w:tabs>
          <w:tab w:val="left" w:pos="-2268"/>
        </w:tabs>
        <w:suppressAutoHyphens/>
        <w:rPr>
          <w:rFonts w:cs="Arial"/>
          <w:spacing w:val="-3"/>
        </w:rPr>
      </w:pPr>
      <w:r w:rsidRPr="00BD1319">
        <w:rPr>
          <w:rFonts w:cs="Arial"/>
          <w:spacing w:val="-3"/>
        </w:rPr>
        <w:t xml:space="preserve">Para </w:t>
      </w:r>
      <w:r w:rsidR="007B7358" w:rsidRPr="00BD1319">
        <w:rPr>
          <w:rFonts w:cs="Arial"/>
          <w:spacing w:val="-3"/>
        </w:rPr>
        <w:t>valora</w:t>
      </w:r>
      <w:r w:rsidRPr="00BD1319">
        <w:rPr>
          <w:rFonts w:cs="Arial"/>
          <w:spacing w:val="-3"/>
        </w:rPr>
        <w:t xml:space="preserve">r </w:t>
      </w:r>
      <w:r w:rsidR="00DF0F1C" w:rsidRPr="00BD1319">
        <w:rPr>
          <w:rFonts w:cs="Arial"/>
          <w:spacing w:val="-3"/>
        </w:rPr>
        <w:t xml:space="preserve">cada impacto </w:t>
      </w:r>
      <w:r w:rsidRPr="00BD1319">
        <w:rPr>
          <w:rFonts w:cs="Arial"/>
          <w:spacing w:val="-3"/>
        </w:rPr>
        <w:t xml:space="preserve">se </w:t>
      </w:r>
      <w:r w:rsidR="007B7358" w:rsidRPr="00BD1319">
        <w:rPr>
          <w:rFonts w:cs="Arial"/>
          <w:spacing w:val="-3"/>
        </w:rPr>
        <w:t xml:space="preserve">debe considerar </w:t>
      </w:r>
      <w:r w:rsidR="0016339C" w:rsidRPr="00BD1319">
        <w:rPr>
          <w:rFonts w:cs="Arial"/>
          <w:spacing w:val="-3"/>
        </w:rPr>
        <w:t xml:space="preserve">uno o </w:t>
      </w:r>
      <w:r w:rsidR="007B7358" w:rsidRPr="00BD1319">
        <w:rPr>
          <w:rFonts w:cs="Arial"/>
          <w:spacing w:val="-3"/>
        </w:rPr>
        <w:t>múltiples criterios</w:t>
      </w:r>
      <w:r w:rsidR="00DF0F1C" w:rsidRPr="00BD1319">
        <w:rPr>
          <w:rFonts w:cs="Arial"/>
          <w:spacing w:val="-3"/>
        </w:rPr>
        <w:t xml:space="preserve"> que sean aplicables</w:t>
      </w:r>
      <w:r w:rsidR="007B7358" w:rsidRPr="00BD1319">
        <w:rPr>
          <w:rFonts w:cs="Arial"/>
          <w:spacing w:val="-3"/>
        </w:rPr>
        <w:t xml:space="preserve">. De esta forma, se deben incorporar aquellos </w:t>
      </w:r>
      <w:r w:rsidR="00E14741" w:rsidRPr="00BD1319">
        <w:rPr>
          <w:rFonts w:cs="Arial"/>
          <w:spacing w:val="-3"/>
        </w:rPr>
        <w:t xml:space="preserve">criterios </w:t>
      </w:r>
      <w:r w:rsidR="007B7358" w:rsidRPr="00BD1319">
        <w:rPr>
          <w:rFonts w:cs="Arial"/>
          <w:spacing w:val="-3"/>
        </w:rPr>
        <w:t xml:space="preserve">referidos a los límites permisibles de los contaminantes </w:t>
      </w:r>
      <w:r w:rsidR="00F27D51" w:rsidRPr="00BD1319">
        <w:rPr>
          <w:rFonts w:cs="Arial"/>
          <w:spacing w:val="-3"/>
        </w:rPr>
        <w:t xml:space="preserve">que define </w:t>
      </w:r>
      <w:r w:rsidR="007B7358" w:rsidRPr="00BD1319">
        <w:rPr>
          <w:rFonts w:cs="Arial"/>
          <w:spacing w:val="-3"/>
        </w:rPr>
        <w:t>la normativa ambienta</w:t>
      </w:r>
      <w:r w:rsidR="006145E8" w:rsidRPr="00BD1319">
        <w:rPr>
          <w:rFonts w:cs="Arial"/>
          <w:spacing w:val="-3"/>
        </w:rPr>
        <w:t>l</w:t>
      </w:r>
      <w:r w:rsidR="007B7358" w:rsidRPr="00BD1319">
        <w:rPr>
          <w:rFonts w:cs="Arial"/>
          <w:spacing w:val="-3"/>
        </w:rPr>
        <w:t xml:space="preserve"> vigente</w:t>
      </w:r>
      <w:r w:rsidR="007B7358" w:rsidRPr="00BD1319">
        <w:rPr>
          <w:rStyle w:val="Refdenotaalpie"/>
          <w:rFonts w:cs="Arial"/>
          <w:spacing w:val="-3"/>
          <w:lang w:val="es-CO"/>
        </w:rPr>
        <w:footnoteReference w:id="190"/>
      </w:r>
      <w:r w:rsidR="007B7358" w:rsidRPr="00BD1319">
        <w:rPr>
          <w:rFonts w:cs="Arial"/>
          <w:spacing w:val="-3"/>
        </w:rPr>
        <w:t xml:space="preserve">, </w:t>
      </w:r>
      <w:r w:rsidR="00F27D51" w:rsidRPr="00BD1319">
        <w:rPr>
          <w:rFonts w:cs="Arial"/>
          <w:spacing w:val="-3"/>
        </w:rPr>
        <w:t xml:space="preserve">a la sensibilidad ambiental y a la capacidad de asimilación de los elementos ambientales que son impactados, </w:t>
      </w:r>
      <w:r w:rsidR="007B7358" w:rsidRPr="00BD1319">
        <w:rPr>
          <w:rFonts w:cs="Arial"/>
          <w:spacing w:val="-3"/>
        </w:rPr>
        <w:t xml:space="preserve">a las consecuencias sobre especies y ecosistemas amenazados, a las repercusiones sobre especies endémicas o con distribución restringida, a los cambios sobre la </w:t>
      </w:r>
      <w:r w:rsidR="00E21108" w:rsidRPr="00BD1319">
        <w:rPr>
          <w:rFonts w:cs="Arial"/>
          <w:spacing w:val="-3"/>
        </w:rPr>
        <w:t xml:space="preserve">composición y </w:t>
      </w:r>
      <w:r w:rsidR="007B7358" w:rsidRPr="00BD1319">
        <w:rPr>
          <w:rFonts w:cs="Arial"/>
          <w:spacing w:val="-3"/>
        </w:rPr>
        <w:t xml:space="preserve">estructura de los ecosistemas que puedan resultar irreversibles, </w:t>
      </w:r>
      <w:r w:rsidR="009D170A" w:rsidRPr="00BD1319">
        <w:rPr>
          <w:rFonts w:cs="Arial"/>
          <w:spacing w:val="-3"/>
        </w:rPr>
        <w:t xml:space="preserve">a </w:t>
      </w:r>
      <w:r w:rsidR="007B7358" w:rsidRPr="00BD1319">
        <w:rPr>
          <w:rFonts w:cs="Arial"/>
          <w:spacing w:val="-3"/>
        </w:rPr>
        <w:t xml:space="preserve">las consecuencias en los sistemas sociales, la producción económica y sitios de especial importancia para las tradiciones y la cultura, </w:t>
      </w:r>
      <w:r w:rsidR="0016339C" w:rsidRPr="00BD1319">
        <w:rPr>
          <w:rFonts w:cs="Arial"/>
          <w:spacing w:val="-3"/>
        </w:rPr>
        <w:t xml:space="preserve">así como a las relaciones causales entre </w:t>
      </w:r>
      <w:r w:rsidR="004F07F8" w:rsidRPr="00BD1319">
        <w:rPr>
          <w:rFonts w:cs="Arial"/>
          <w:spacing w:val="-3"/>
        </w:rPr>
        <w:t xml:space="preserve">actividades del proyecto </w:t>
      </w:r>
      <w:r w:rsidR="0016339C" w:rsidRPr="00BD1319">
        <w:rPr>
          <w:rFonts w:cs="Arial"/>
          <w:spacing w:val="-3"/>
        </w:rPr>
        <w:t>e impactos, o entre impactos e impactos</w:t>
      </w:r>
      <w:r w:rsidR="00D0231D" w:rsidRPr="00BD1319">
        <w:rPr>
          <w:rFonts w:cs="Arial"/>
          <w:spacing w:val="-3"/>
        </w:rPr>
        <w:t>, por ejemplo</w:t>
      </w:r>
      <w:r w:rsidR="007B7358" w:rsidRPr="00BD1319">
        <w:rPr>
          <w:rFonts w:cs="Arial"/>
          <w:spacing w:val="-3"/>
        </w:rPr>
        <w:t>.</w:t>
      </w:r>
    </w:p>
    <w:p w14:paraId="0D2C82FB" w14:textId="77777777" w:rsidR="007B7358" w:rsidRPr="00BD1319" w:rsidRDefault="007B7358" w:rsidP="007B7358">
      <w:pPr>
        <w:numPr>
          <w:ilvl w:val="12"/>
          <w:numId w:val="0"/>
        </w:numPr>
        <w:tabs>
          <w:tab w:val="left" w:pos="-2268"/>
        </w:tabs>
        <w:suppressAutoHyphens/>
        <w:rPr>
          <w:rFonts w:cs="Arial"/>
          <w:spacing w:val="-3"/>
        </w:rPr>
      </w:pPr>
    </w:p>
    <w:p w14:paraId="7313CFC1" w14:textId="03D676E3" w:rsidR="00BC7B85" w:rsidRPr="00BD1319" w:rsidRDefault="00C26FB6" w:rsidP="00BC7B85">
      <w:pPr>
        <w:numPr>
          <w:ilvl w:val="12"/>
          <w:numId w:val="0"/>
        </w:numPr>
        <w:tabs>
          <w:tab w:val="left" w:pos="-2268"/>
        </w:tabs>
        <w:suppressAutoHyphens/>
        <w:rPr>
          <w:rFonts w:cs="Arial"/>
          <w:spacing w:val="-3"/>
        </w:rPr>
      </w:pPr>
      <w:r w:rsidRPr="00BD1319">
        <w:rPr>
          <w:rFonts w:cs="Arial"/>
          <w:spacing w:val="-3"/>
        </w:rPr>
        <w:t>Al aplicar los criterios mencionados previamente</w:t>
      </w:r>
      <w:r w:rsidR="00D95617" w:rsidRPr="00BD1319">
        <w:rPr>
          <w:rFonts w:cs="Arial"/>
          <w:spacing w:val="-3"/>
        </w:rPr>
        <w:t>,</w:t>
      </w:r>
      <w:r w:rsidRPr="00BD1319">
        <w:rPr>
          <w:rFonts w:cs="Arial"/>
          <w:spacing w:val="-3"/>
        </w:rPr>
        <w:t xml:space="preserve"> </w:t>
      </w:r>
      <w:r w:rsidR="00D95617" w:rsidRPr="00BD1319">
        <w:rPr>
          <w:rFonts w:cs="Arial"/>
          <w:spacing w:val="-3"/>
        </w:rPr>
        <w:t xml:space="preserve">u </w:t>
      </w:r>
      <w:r w:rsidRPr="00BD1319">
        <w:rPr>
          <w:rFonts w:cs="Arial"/>
          <w:spacing w:val="-3"/>
        </w:rPr>
        <w:t>otros que se consideren pertinentes</w:t>
      </w:r>
      <w:r w:rsidR="002B355A" w:rsidRPr="00BD1319">
        <w:rPr>
          <w:rFonts w:cs="Arial"/>
          <w:spacing w:val="-3"/>
        </w:rPr>
        <w:t xml:space="preserve">, </w:t>
      </w:r>
      <w:r w:rsidR="00D95617" w:rsidRPr="00BD1319">
        <w:rPr>
          <w:rFonts w:cs="Arial"/>
          <w:spacing w:val="-3"/>
        </w:rPr>
        <w:t xml:space="preserve">es </w:t>
      </w:r>
      <w:r w:rsidR="00B70C36" w:rsidRPr="00BD1319">
        <w:rPr>
          <w:rFonts w:cs="Arial"/>
          <w:spacing w:val="-3"/>
        </w:rPr>
        <w:t>necesario</w:t>
      </w:r>
      <w:r w:rsidR="00D95617" w:rsidRPr="00BD1319">
        <w:rPr>
          <w:rFonts w:cs="Arial"/>
          <w:spacing w:val="-3"/>
        </w:rPr>
        <w:t xml:space="preserve"> </w:t>
      </w:r>
      <w:r w:rsidR="00FD3902" w:rsidRPr="00BD1319">
        <w:rPr>
          <w:rFonts w:cs="Arial"/>
          <w:spacing w:val="-3"/>
        </w:rPr>
        <w:t>evaluar</w:t>
      </w:r>
      <w:r w:rsidR="002B355A" w:rsidRPr="00BD1319">
        <w:rPr>
          <w:rFonts w:cs="Arial"/>
          <w:spacing w:val="-3"/>
        </w:rPr>
        <w:t xml:space="preserve"> cómo se manifiesta </w:t>
      </w:r>
      <w:r w:rsidR="00D95617" w:rsidRPr="00BD1319">
        <w:rPr>
          <w:rFonts w:cs="Arial"/>
          <w:spacing w:val="-3"/>
        </w:rPr>
        <w:t xml:space="preserve">cada impacto </w:t>
      </w:r>
      <w:r w:rsidR="002B355A" w:rsidRPr="00BD1319">
        <w:rPr>
          <w:rFonts w:cs="Arial"/>
          <w:spacing w:val="-3"/>
        </w:rPr>
        <w:t>en el tiempo y en el espacio</w:t>
      </w:r>
      <w:r w:rsidR="00E14741" w:rsidRPr="00BD1319">
        <w:rPr>
          <w:rFonts w:cs="Arial"/>
          <w:spacing w:val="-3"/>
        </w:rPr>
        <w:t>,</w:t>
      </w:r>
      <w:r w:rsidR="002B355A" w:rsidRPr="00BD1319">
        <w:rPr>
          <w:rFonts w:cs="Arial"/>
          <w:spacing w:val="-3"/>
        </w:rPr>
        <w:t xml:space="preserve"> con el fin </w:t>
      </w:r>
      <w:r w:rsidR="00D95617" w:rsidRPr="00BD1319">
        <w:rPr>
          <w:rFonts w:cs="Arial"/>
          <w:spacing w:val="-3"/>
        </w:rPr>
        <w:t xml:space="preserve">de </w:t>
      </w:r>
      <w:r w:rsidR="00E14741" w:rsidRPr="00BD1319">
        <w:rPr>
          <w:rFonts w:cs="Arial"/>
          <w:spacing w:val="-3"/>
        </w:rPr>
        <w:t xml:space="preserve">que la </w:t>
      </w:r>
      <w:r w:rsidR="00B70C36" w:rsidRPr="00BD1319">
        <w:rPr>
          <w:rFonts w:cs="Arial"/>
          <w:spacing w:val="-3"/>
        </w:rPr>
        <w:t>valora</w:t>
      </w:r>
      <w:r w:rsidR="00E14741" w:rsidRPr="00BD1319">
        <w:rPr>
          <w:rFonts w:cs="Arial"/>
          <w:spacing w:val="-3"/>
        </w:rPr>
        <w:t>ción se refiera a</w:t>
      </w:r>
      <w:r w:rsidR="00FD3902" w:rsidRPr="00BD1319">
        <w:rPr>
          <w:rFonts w:cs="Arial"/>
          <w:spacing w:val="-3"/>
        </w:rPr>
        <w:t xml:space="preserve">l </w:t>
      </w:r>
      <w:r w:rsidR="00D95617" w:rsidRPr="00BD1319">
        <w:rPr>
          <w:rFonts w:cs="Arial"/>
          <w:spacing w:val="-3"/>
        </w:rPr>
        <w:t xml:space="preserve">momento y </w:t>
      </w:r>
      <w:r w:rsidR="00E14741" w:rsidRPr="00BD1319">
        <w:rPr>
          <w:rFonts w:cs="Arial"/>
          <w:spacing w:val="-3"/>
        </w:rPr>
        <w:t>a</w:t>
      </w:r>
      <w:r w:rsidR="00072AD5" w:rsidRPr="00BD1319">
        <w:rPr>
          <w:rFonts w:cs="Arial"/>
          <w:spacing w:val="-3"/>
        </w:rPr>
        <w:t xml:space="preserve">l </w:t>
      </w:r>
      <w:r w:rsidR="00D95617" w:rsidRPr="00BD1319">
        <w:rPr>
          <w:rFonts w:cs="Arial"/>
          <w:spacing w:val="-3"/>
        </w:rPr>
        <w:t xml:space="preserve">lugar en </w:t>
      </w:r>
      <w:r w:rsidR="00E14741" w:rsidRPr="00BD1319">
        <w:rPr>
          <w:rFonts w:cs="Arial"/>
          <w:spacing w:val="-3"/>
        </w:rPr>
        <w:t xml:space="preserve">el </w:t>
      </w:r>
      <w:r w:rsidR="00D95617" w:rsidRPr="00BD1319">
        <w:rPr>
          <w:rFonts w:cs="Arial"/>
          <w:spacing w:val="-3"/>
        </w:rPr>
        <w:t>que alcanzaría su máxima capacidad de generar cambios</w:t>
      </w:r>
      <w:r w:rsidR="00B70C36" w:rsidRPr="00BD1319">
        <w:rPr>
          <w:rFonts w:cs="Arial"/>
          <w:spacing w:val="-3"/>
        </w:rPr>
        <w:t xml:space="preserve">, así como </w:t>
      </w:r>
      <w:r w:rsidR="00D95617" w:rsidRPr="00BD1319">
        <w:rPr>
          <w:rFonts w:cs="Arial"/>
          <w:spacing w:val="-3"/>
        </w:rPr>
        <w:t xml:space="preserve">de plantear medidas de manejo efectivas </w:t>
      </w:r>
      <w:r w:rsidR="00B70C36" w:rsidRPr="00BD1319">
        <w:rPr>
          <w:rFonts w:cs="Arial"/>
          <w:spacing w:val="-3"/>
        </w:rPr>
        <w:t>para tal situación</w:t>
      </w:r>
      <w:r w:rsidR="00D95617" w:rsidRPr="00BD1319">
        <w:rPr>
          <w:rFonts w:cs="Arial"/>
          <w:spacing w:val="-3"/>
        </w:rPr>
        <w:t>.</w:t>
      </w:r>
      <w:r w:rsidR="00B70C36" w:rsidRPr="00BD1319">
        <w:rPr>
          <w:rFonts w:cs="Arial"/>
          <w:spacing w:val="-3"/>
        </w:rPr>
        <w:t xml:space="preserve"> </w:t>
      </w:r>
      <w:r w:rsidR="004C1CDB" w:rsidRPr="00BD1319">
        <w:rPr>
          <w:rFonts w:cs="Arial"/>
          <w:spacing w:val="-3"/>
        </w:rPr>
        <w:t>Con este propósito e</w:t>
      </w:r>
      <w:r w:rsidR="00B70C36" w:rsidRPr="00BD1319">
        <w:rPr>
          <w:rFonts w:cs="Arial"/>
          <w:spacing w:val="-3"/>
        </w:rPr>
        <w:t xml:space="preserve">s útil desarrollar análisis espaciales y gráficas que </w:t>
      </w:r>
      <w:r w:rsidR="004C1CDB" w:rsidRPr="00BD1319">
        <w:rPr>
          <w:rFonts w:cs="Arial"/>
          <w:spacing w:val="-3"/>
        </w:rPr>
        <w:t>estimen de forma cuantitativa, de ser posible, el comportamiento del impacto en el tiempo.</w:t>
      </w:r>
    </w:p>
    <w:p w14:paraId="454E6638" w14:textId="77777777" w:rsidR="004758B0" w:rsidRPr="00BD1319" w:rsidRDefault="004758B0" w:rsidP="007B7358">
      <w:pPr>
        <w:numPr>
          <w:ilvl w:val="12"/>
          <w:numId w:val="0"/>
        </w:numPr>
        <w:tabs>
          <w:tab w:val="left" w:pos="-2268"/>
        </w:tabs>
        <w:suppressAutoHyphens/>
        <w:rPr>
          <w:rFonts w:cs="Arial"/>
          <w:spacing w:val="-3"/>
        </w:rPr>
      </w:pPr>
    </w:p>
    <w:p w14:paraId="7FA99E49" w14:textId="37D804CF" w:rsidR="007B7358" w:rsidRPr="00BD1319" w:rsidRDefault="00403635" w:rsidP="007B7358">
      <w:pPr>
        <w:numPr>
          <w:ilvl w:val="12"/>
          <w:numId w:val="0"/>
        </w:numPr>
        <w:tabs>
          <w:tab w:val="left" w:pos="-2268"/>
        </w:tabs>
        <w:suppressAutoHyphens/>
        <w:rPr>
          <w:rFonts w:cs="Arial"/>
          <w:spacing w:val="-3"/>
        </w:rPr>
      </w:pPr>
      <w:r w:rsidRPr="00BD1319">
        <w:rPr>
          <w:rFonts w:cs="Arial"/>
          <w:spacing w:val="-3"/>
        </w:rPr>
        <w:t>La</w:t>
      </w:r>
      <w:r w:rsidR="007B7358" w:rsidRPr="00BD1319">
        <w:rPr>
          <w:rFonts w:cs="Arial"/>
          <w:spacing w:val="-3"/>
        </w:rPr>
        <w:t xml:space="preserve"> valoración de impactos debe incorporar</w:t>
      </w:r>
      <w:r w:rsidR="00072AD5" w:rsidRPr="00BD1319">
        <w:rPr>
          <w:rFonts w:cs="Arial"/>
          <w:spacing w:val="-3"/>
        </w:rPr>
        <w:t xml:space="preserve"> </w:t>
      </w:r>
      <w:r w:rsidR="004C48A6" w:rsidRPr="00BD1319">
        <w:rPr>
          <w:rFonts w:cs="Arial"/>
          <w:spacing w:val="-3"/>
        </w:rPr>
        <w:t xml:space="preserve">de forma expresa </w:t>
      </w:r>
      <w:r w:rsidR="007B7358" w:rsidRPr="00BD1319">
        <w:rPr>
          <w:rFonts w:cs="Arial"/>
          <w:spacing w:val="-3"/>
        </w:rPr>
        <w:t>l</w:t>
      </w:r>
      <w:r w:rsidR="004C48A6" w:rsidRPr="00BD1319">
        <w:rPr>
          <w:rFonts w:cs="Arial"/>
          <w:spacing w:val="-3"/>
        </w:rPr>
        <w:t>o</w:t>
      </w:r>
      <w:r w:rsidR="007B7358" w:rsidRPr="00BD1319">
        <w:rPr>
          <w:rFonts w:cs="Arial"/>
          <w:spacing w:val="-3"/>
        </w:rPr>
        <w:t xml:space="preserve">s </w:t>
      </w:r>
      <w:r w:rsidR="004C48A6" w:rsidRPr="00BD1319">
        <w:t>saberes, sugerencias, recomendaciones, alertas,</w:t>
      </w:r>
      <w:r w:rsidR="004C48A6" w:rsidRPr="00BD1319" w:rsidDel="00822306">
        <w:rPr>
          <w:rFonts w:cs="Arial"/>
          <w:spacing w:val="-3"/>
          <w:lang w:val="es-419"/>
        </w:rPr>
        <w:t xml:space="preserve"> </w:t>
      </w:r>
      <w:r w:rsidR="007B7358" w:rsidRPr="00BD1319">
        <w:rPr>
          <w:rFonts w:cs="Arial"/>
          <w:spacing w:val="-3"/>
        </w:rPr>
        <w:t xml:space="preserve">percepciones y comentarios que se reciban en los procesos participativos con </w:t>
      </w:r>
      <w:r w:rsidR="004C48A6" w:rsidRPr="00BD1319">
        <w:rPr>
          <w:rFonts w:cs="Arial"/>
          <w:spacing w:val="-3"/>
        </w:rPr>
        <w:t>los grupos de interés</w:t>
      </w:r>
      <w:r w:rsidR="007B7358" w:rsidRPr="00BD1319">
        <w:rPr>
          <w:rFonts w:cs="Arial"/>
          <w:spacing w:val="-3"/>
        </w:rPr>
        <w:t xml:space="preserve"> y autoridades del área de influencia</w:t>
      </w:r>
      <w:r w:rsidR="00072AD5" w:rsidRPr="00BD1319">
        <w:rPr>
          <w:rFonts w:cs="Arial"/>
          <w:spacing w:val="-3"/>
        </w:rPr>
        <w:t xml:space="preserve"> cuando estos aportes permitan una mejor valoración y sean razonablemente acertados</w:t>
      </w:r>
      <w:r w:rsidR="004C48A6" w:rsidRPr="00BD1319">
        <w:rPr>
          <w:rFonts w:cs="Arial"/>
          <w:spacing w:val="-3"/>
        </w:rPr>
        <w:t xml:space="preserve">; </w:t>
      </w:r>
      <w:r w:rsidR="007B7358" w:rsidRPr="00BD1319">
        <w:rPr>
          <w:rFonts w:cs="Arial"/>
          <w:spacing w:val="-3"/>
        </w:rPr>
        <w:t>en caso de estim</w:t>
      </w:r>
      <w:r w:rsidR="009E6424" w:rsidRPr="00BD1319">
        <w:rPr>
          <w:rFonts w:cs="Arial"/>
          <w:spacing w:val="-3"/>
        </w:rPr>
        <w:t>ar</w:t>
      </w:r>
      <w:r w:rsidR="004C48A6" w:rsidRPr="00BD1319">
        <w:rPr>
          <w:rFonts w:cs="Arial"/>
          <w:spacing w:val="-3"/>
        </w:rPr>
        <w:t>los</w:t>
      </w:r>
      <w:r w:rsidR="007B7358" w:rsidRPr="00BD1319">
        <w:rPr>
          <w:rFonts w:cs="Arial"/>
          <w:spacing w:val="-3"/>
        </w:rPr>
        <w:t xml:space="preserve"> </w:t>
      </w:r>
      <w:r w:rsidR="009E6424" w:rsidRPr="00BD1319">
        <w:rPr>
          <w:rFonts w:cs="Arial"/>
          <w:spacing w:val="-3"/>
        </w:rPr>
        <w:t xml:space="preserve">como no </w:t>
      </w:r>
      <w:r w:rsidR="007B7358" w:rsidRPr="00BD1319">
        <w:rPr>
          <w:rFonts w:cs="Arial"/>
          <w:spacing w:val="-3"/>
        </w:rPr>
        <w:t>pertinentes</w:t>
      </w:r>
      <w:r w:rsidR="004C48A6" w:rsidRPr="00BD1319">
        <w:rPr>
          <w:rFonts w:cs="Arial"/>
          <w:spacing w:val="-3"/>
          <w:lang w:val="es-419"/>
        </w:rPr>
        <w:t>, se deben indicar y sustentar</w:t>
      </w:r>
      <w:r w:rsidR="007B7358" w:rsidRPr="00BD1319">
        <w:rPr>
          <w:rFonts w:cs="Arial"/>
          <w:spacing w:val="-3"/>
        </w:rPr>
        <w:t xml:space="preserve"> las razones por las cuales no se toman en cuenta para la valoración. De haber realizado consulta previa, los impactos ambientales </w:t>
      </w:r>
      <w:r w:rsidR="00921041" w:rsidRPr="00BD1319">
        <w:rPr>
          <w:rFonts w:cs="Arial"/>
          <w:spacing w:val="-3"/>
        </w:rPr>
        <w:t xml:space="preserve">determinados </w:t>
      </w:r>
      <w:r w:rsidR="007B7358" w:rsidRPr="00BD1319">
        <w:rPr>
          <w:rFonts w:cs="Arial"/>
          <w:spacing w:val="-3"/>
        </w:rPr>
        <w:t>y valorados en dicho proceso deben ser incorporados en el EIA.</w:t>
      </w:r>
    </w:p>
    <w:p w14:paraId="292A652F" w14:textId="77777777" w:rsidR="007B7358" w:rsidRPr="00BD1319" w:rsidRDefault="007B7358" w:rsidP="007B7358">
      <w:pPr>
        <w:numPr>
          <w:ilvl w:val="12"/>
          <w:numId w:val="0"/>
        </w:numPr>
        <w:tabs>
          <w:tab w:val="left" w:pos="-2268"/>
        </w:tabs>
        <w:suppressAutoHyphens/>
        <w:rPr>
          <w:rFonts w:cs="Arial"/>
          <w:spacing w:val="-3"/>
        </w:rPr>
      </w:pPr>
    </w:p>
    <w:p w14:paraId="5A788FEB" w14:textId="753D3E94" w:rsidR="007B7358" w:rsidRPr="00BD1319" w:rsidRDefault="007B7358" w:rsidP="007B7358">
      <w:pPr>
        <w:numPr>
          <w:ilvl w:val="12"/>
          <w:numId w:val="0"/>
        </w:numPr>
        <w:tabs>
          <w:tab w:val="left" w:pos="-2268"/>
        </w:tabs>
        <w:suppressAutoHyphens/>
        <w:rPr>
          <w:rFonts w:cs="Arial"/>
          <w:spacing w:val="-3"/>
        </w:rPr>
      </w:pPr>
      <w:r w:rsidRPr="00BD1319">
        <w:rPr>
          <w:rFonts w:cs="Arial"/>
          <w:spacing w:val="-3"/>
        </w:rPr>
        <w:lastRenderedPageBreak/>
        <w:t xml:space="preserve">En razón a que los impactos tienen diferentes propiedades que los caracterizan </w:t>
      </w:r>
      <w:r w:rsidR="000B706B" w:rsidRPr="00BD1319">
        <w:rPr>
          <w:rFonts w:cs="Arial"/>
          <w:spacing w:val="-3"/>
        </w:rPr>
        <w:t xml:space="preserve">y </w:t>
      </w:r>
      <w:r w:rsidR="00921041" w:rsidRPr="00BD1319">
        <w:rPr>
          <w:rFonts w:cs="Arial"/>
          <w:spacing w:val="-3"/>
        </w:rPr>
        <w:t xml:space="preserve">a </w:t>
      </w:r>
      <w:r w:rsidRPr="00BD1319">
        <w:rPr>
          <w:rFonts w:cs="Arial"/>
          <w:spacing w:val="-3"/>
        </w:rPr>
        <w:t xml:space="preserve">que varían </w:t>
      </w:r>
      <w:r w:rsidR="00467CE5" w:rsidRPr="00BD1319">
        <w:rPr>
          <w:rFonts w:cs="Arial"/>
          <w:spacing w:val="-3"/>
        </w:rPr>
        <w:t>de acuerdo con</w:t>
      </w:r>
      <w:r w:rsidRPr="00BD1319">
        <w:rPr>
          <w:rFonts w:cs="Arial"/>
          <w:spacing w:val="-3"/>
        </w:rPr>
        <w:t xml:space="preserve"> la gran multiplicidad de condiciones ambientales que ocurren en el país, es posible hacer uso de cualquier método de valoración de impactos, sea </w:t>
      </w:r>
      <w:r w:rsidR="003D2F41" w:rsidRPr="00BD1319">
        <w:rPr>
          <w:rFonts w:cs="Arial"/>
          <w:spacing w:val="-3"/>
        </w:rPr>
        <w:t>este</w:t>
      </w:r>
      <w:r w:rsidRPr="00BD1319">
        <w:rPr>
          <w:rFonts w:cs="Arial"/>
          <w:spacing w:val="-3"/>
        </w:rPr>
        <w:t xml:space="preserve"> uno definido en el ámbito académico, de investigación, o de ejecución de proyectos sectoriales, o bien, uno desarrollado por el formulador del estudio ambiental.</w:t>
      </w:r>
    </w:p>
    <w:p w14:paraId="5E360E06" w14:textId="77777777" w:rsidR="007B7358" w:rsidRPr="00BD1319" w:rsidRDefault="007B7358" w:rsidP="007B7358">
      <w:pPr>
        <w:numPr>
          <w:ilvl w:val="12"/>
          <w:numId w:val="0"/>
        </w:numPr>
        <w:tabs>
          <w:tab w:val="left" w:pos="-2268"/>
        </w:tabs>
        <w:suppressAutoHyphens/>
        <w:rPr>
          <w:rFonts w:cs="Arial"/>
          <w:spacing w:val="-3"/>
        </w:rPr>
      </w:pPr>
    </w:p>
    <w:p w14:paraId="5AC4EC59" w14:textId="78F066C1" w:rsidR="007B7358" w:rsidRPr="00BD1319" w:rsidRDefault="007B7358" w:rsidP="007B7358">
      <w:pPr>
        <w:numPr>
          <w:ilvl w:val="12"/>
          <w:numId w:val="0"/>
        </w:numPr>
        <w:tabs>
          <w:tab w:val="left" w:pos="-2268"/>
        </w:tabs>
        <w:suppressAutoHyphens/>
        <w:rPr>
          <w:rFonts w:cs="Arial"/>
          <w:spacing w:val="-3"/>
        </w:rPr>
      </w:pPr>
      <w:r w:rsidRPr="00BD1319">
        <w:rPr>
          <w:rFonts w:cs="Arial"/>
          <w:spacing w:val="-3"/>
        </w:rPr>
        <w:t>Si se opta por el uso de un método ya establecido y documentado (</w:t>
      </w:r>
      <w:r w:rsidR="00041844" w:rsidRPr="00BD1319">
        <w:rPr>
          <w:rFonts w:cs="Arial"/>
          <w:spacing w:val="-3"/>
        </w:rPr>
        <w:t>p. ej.</w:t>
      </w:r>
      <w:r w:rsidRPr="00BD1319">
        <w:rPr>
          <w:rFonts w:cs="Arial"/>
          <w:spacing w:val="-3"/>
        </w:rPr>
        <w:t xml:space="preserve"> Battelle-Columbus, cualitativ</w:t>
      </w:r>
      <w:r w:rsidR="00C50661" w:rsidRPr="00BD1319">
        <w:rPr>
          <w:rFonts w:cs="Arial"/>
          <w:spacing w:val="-3"/>
        </w:rPr>
        <w:t>o</w:t>
      </w:r>
      <w:r w:rsidRPr="00BD1319">
        <w:rPr>
          <w:rFonts w:cs="Arial"/>
          <w:spacing w:val="-3"/>
        </w:rPr>
        <w:t xml:space="preserve"> de Conesa, EPM, Ecopetrol), su aplicación debe </w:t>
      </w:r>
      <w:r w:rsidR="0016339C" w:rsidRPr="00BD1319">
        <w:rPr>
          <w:rFonts w:cs="Arial"/>
          <w:spacing w:val="-3"/>
        </w:rPr>
        <w:t xml:space="preserve">seguir </w:t>
      </w:r>
      <w:r w:rsidRPr="00BD1319">
        <w:rPr>
          <w:rFonts w:cs="Arial"/>
          <w:spacing w:val="-3"/>
        </w:rPr>
        <w:t xml:space="preserve">las definiciones, conceptos y procedimientos propios de dicho método. Si se emplea un método resultado de la modificación de una </w:t>
      </w:r>
      <w:r w:rsidR="0016339C" w:rsidRPr="00BD1319">
        <w:rPr>
          <w:rFonts w:cs="Arial"/>
          <w:spacing w:val="-3"/>
        </w:rPr>
        <w:t>metodología ya instaurada</w:t>
      </w:r>
      <w:r w:rsidRPr="00BD1319">
        <w:rPr>
          <w:rFonts w:cs="Arial"/>
          <w:spacing w:val="-3"/>
        </w:rPr>
        <w:t>, se deben utilizar en la medida de lo posible, los mismos conceptos y definiciones del método en el que se basa, sin in</w:t>
      </w:r>
      <w:r w:rsidR="00791FD5" w:rsidRPr="00BD1319">
        <w:rPr>
          <w:rFonts w:cs="Arial"/>
          <w:spacing w:val="-3"/>
        </w:rPr>
        <w:t>t</w:t>
      </w:r>
      <w:r w:rsidRPr="00BD1319">
        <w:rPr>
          <w:rFonts w:cs="Arial"/>
          <w:spacing w:val="-3"/>
        </w:rPr>
        <w:t xml:space="preserve">roducir cambios a los nombres y </w:t>
      </w:r>
      <w:r w:rsidR="00A27AAA" w:rsidRPr="00BD1319">
        <w:rPr>
          <w:rFonts w:cs="Arial"/>
          <w:spacing w:val="-3"/>
        </w:rPr>
        <w:t xml:space="preserve">a los </w:t>
      </w:r>
      <w:r w:rsidRPr="00BD1319">
        <w:rPr>
          <w:rFonts w:cs="Arial"/>
          <w:spacing w:val="-3"/>
        </w:rPr>
        <w:t>significados de los atributos de valoración.</w:t>
      </w:r>
    </w:p>
    <w:p w14:paraId="4FABE8F3" w14:textId="77777777" w:rsidR="007B7358" w:rsidRPr="00BD1319" w:rsidRDefault="007B7358" w:rsidP="007B7358">
      <w:pPr>
        <w:numPr>
          <w:ilvl w:val="12"/>
          <w:numId w:val="0"/>
        </w:numPr>
        <w:tabs>
          <w:tab w:val="left" w:pos="-2268"/>
        </w:tabs>
        <w:suppressAutoHyphens/>
        <w:rPr>
          <w:rFonts w:cs="Arial"/>
          <w:spacing w:val="-3"/>
        </w:rPr>
      </w:pPr>
    </w:p>
    <w:p w14:paraId="11148B38" w14:textId="6F700374" w:rsidR="007B7358" w:rsidRPr="00BD1319" w:rsidRDefault="007B7358" w:rsidP="007B7358">
      <w:pPr>
        <w:numPr>
          <w:ilvl w:val="12"/>
          <w:numId w:val="0"/>
        </w:numPr>
        <w:tabs>
          <w:tab w:val="left" w:pos="-2268"/>
        </w:tabs>
        <w:suppressAutoHyphens/>
        <w:rPr>
          <w:rFonts w:cs="Arial"/>
          <w:spacing w:val="-3"/>
        </w:rPr>
      </w:pPr>
      <w:r w:rsidRPr="00BD1319">
        <w:rPr>
          <w:rFonts w:cs="Arial"/>
          <w:spacing w:val="-3"/>
        </w:rPr>
        <w:t>Si se utiliza un método de valoración que no esté soportado por un documento técnico, como en el caso de la modificación a métodos reconocidos o del desarrollo de un método nuevo, es necesario descri</w:t>
      </w:r>
      <w:r w:rsidR="007417CF" w:rsidRPr="00BD1319">
        <w:rPr>
          <w:rFonts w:cs="Arial"/>
          <w:spacing w:val="-3"/>
        </w:rPr>
        <w:t xml:space="preserve">bir </w:t>
      </w:r>
      <w:r w:rsidRPr="00BD1319">
        <w:rPr>
          <w:rFonts w:cs="Arial"/>
          <w:spacing w:val="-3"/>
        </w:rPr>
        <w:t>detallada</w:t>
      </w:r>
      <w:r w:rsidR="007417CF" w:rsidRPr="00BD1319">
        <w:rPr>
          <w:rFonts w:cs="Arial"/>
          <w:spacing w:val="-3"/>
        </w:rPr>
        <w:t>mente</w:t>
      </w:r>
      <w:r w:rsidRPr="00BD1319">
        <w:rPr>
          <w:rFonts w:cs="Arial"/>
          <w:spacing w:val="-3"/>
        </w:rPr>
        <w:t xml:space="preserve"> cómo se valoran los impactos (por ejemplo mediante múltiples atributos cualitativos o cuantitativos, haciendo uso de la lógica difusa o recurriendo a </w:t>
      </w:r>
      <w:r w:rsidR="007417CF" w:rsidRPr="00BD1319">
        <w:rPr>
          <w:rFonts w:cs="Arial"/>
          <w:spacing w:val="-3"/>
        </w:rPr>
        <w:t>los análisis de redes</w:t>
      </w:r>
      <w:r w:rsidRPr="00BD1319">
        <w:rPr>
          <w:rFonts w:cs="Arial"/>
          <w:spacing w:val="-3"/>
        </w:rPr>
        <w:t xml:space="preserve">), cuál es la escala espacial y temporal de la valoración, cuál es la relación matemática o la regla de ponderación de los atributos utilizados (en caso de que se incorporen al método), cómo se definen las categorías </w:t>
      </w:r>
      <w:r w:rsidR="00403635" w:rsidRPr="00BD1319">
        <w:rPr>
          <w:rFonts w:cs="Arial"/>
          <w:spacing w:val="-3"/>
        </w:rPr>
        <w:t xml:space="preserve">cualitativas o cuantitativas </w:t>
      </w:r>
      <w:r w:rsidRPr="00BD1319">
        <w:rPr>
          <w:rFonts w:cs="Arial"/>
          <w:spacing w:val="-3"/>
        </w:rPr>
        <w:t>de valoración, y por último, cómo se interpretan los resultados.</w:t>
      </w:r>
    </w:p>
    <w:p w14:paraId="5C2DAE1F" w14:textId="77777777" w:rsidR="007B7358" w:rsidRPr="00BD1319" w:rsidRDefault="007B7358" w:rsidP="007B7358">
      <w:pPr>
        <w:numPr>
          <w:ilvl w:val="12"/>
          <w:numId w:val="0"/>
        </w:numPr>
        <w:tabs>
          <w:tab w:val="left" w:pos="-2268"/>
        </w:tabs>
        <w:suppressAutoHyphens/>
        <w:rPr>
          <w:rFonts w:cs="Arial"/>
          <w:spacing w:val="-3"/>
        </w:rPr>
      </w:pPr>
    </w:p>
    <w:p w14:paraId="5F7DBFBD" w14:textId="76BE9F2F" w:rsidR="007B7358" w:rsidRPr="00BD1319" w:rsidRDefault="007B7358" w:rsidP="007B7358">
      <w:pPr>
        <w:numPr>
          <w:ilvl w:val="12"/>
          <w:numId w:val="0"/>
        </w:numPr>
        <w:tabs>
          <w:tab w:val="left" w:pos="-2268"/>
        </w:tabs>
        <w:suppressAutoHyphens/>
        <w:rPr>
          <w:rFonts w:cs="Arial"/>
          <w:spacing w:val="-3"/>
        </w:rPr>
      </w:pPr>
      <w:r w:rsidRPr="00BD1319">
        <w:rPr>
          <w:rFonts w:cs="Arial"/>
          <w:spacing w:val="-3"/>
        </w:rPr>
        <w:t xml:space="preserve">Es necesario que el método seleccionado para la elaboración del estudio ambiental sea aplicable al caso objeto de evaluación, que incorpore las relaciones causales que pueden ocurrir no solo entre actividades e impactos, sino también entre diferentes tipos de impactos, que señale con la mayor certidumbre posible la forma en que el impacto modifica las condiciones </w:t>
      </w:r>
      <w:r w:rsidR="000B1336" w:rsidRPr="00BD1319">
        <w:rPr>
          <w:rFonts w:cs="Arial"/>
          <w:spacing w:val="-3"/>
        </w:rPr>
        <w:t xml:space="preserve">ambientales </w:t>
      </w:r>
      <w:r w:rsidRPr="00BD1319">
        <w:rPr>
          <w:rFonts w:cs="Arial"/>
          <w:spacing w:val="-3"/>
        </w:rPr>
        <w:t xml:space="preserve">del área de influencia, y que propenda por un proceso integrado, global, sistemático y multidisciplinario para la evaluación de los impactos ambientales </w:t>
      </w:r>
      <w:r w:rsidR="007417CF" w:rsidRPr="00BD1319">
        <w:rPr>
          <w:rFonts w:cs="Arial"/>
          <w:spacing w:val="-3"/>
        </w:rPr>
        <w:t>que se determinaron</w:t>
      </w:r>
      <w:r w:rsidRPr="00BD1319">
        <w:rPr>
          <w:rFonts w:cs="Arial"/>
          <w:spacing w:val="-3"/>
        </w:rPr>
        <w:t>.</w:t>
      </w:r>
    </w:p>
    <w:p w14:paraId="7631A5C0" w14:textId="77777777" w:rsidR="007B7358" w:rsidRPr="00BD1319" w:rsidRDefault="007B7358" w:rsidP="007B7358">
      <w:pPr>
        <w:numPr>
          <w:ilvl w:val="12"/>
          <w:numId w:val="0"/>
        </w:numPr>
        <w:tabs>
          <w:tab w:val="left" w:pos="-2268"/>
        </w:tabs>
        <w:suppressAutoHyphens/>
        <w:rPr>
          <w:rFonts w:cs="Arial"/>
          <w:spacing w:val="-3"/>
        </w:rPr>
      </w:pPr>
    </w:p>
    <w:p w14:paraId="69B0ACC3" w14:textId="7910D41B" w:rsidR="007B7358" w:rsidRPr="00BD1319" w:rsidRDefault="007B7358" w:rsidP="007B7358">
      <w:pPr>
        <w:numPr>
          <w:ilvl w:val="12"/>
          <w:numId w:val="0"/>
        </w:numPr>
        <w:tabs>
          <w:tab w:val="left" w:pos="-2268"/>
        </w:tabs>
        <w:suppressAutoHyphens/>
        <w:rPr>
          <w:rFonts w:cs="Arial"/>
          <w:spacing w:val="-3"/>
        </w:rPr>
      </w:pPr>
      <w:r w:rsidRPr="00BD1319">
        <w:rPr>
          <w:rFonts w:cs="Arial"/>
          <w:spacing w:val="-3"/>
        </w:rPr>
        <w:t xml:space="preserve">Independientemente del método de valoración de impactos que se utilice, es imprescindible que la valoración (positiva o negativa) que se adjudique a cada impacto, sea justificada mediante textos de manera clara y sucinta. Para el caso de los métodos que utilizan varios atributos (cualitativos y cuantitativos), se debe realizar la justificación del </w:t>
      </w:r>
      <w:r w:rsidR="00B61DE7" w:rsidRPr="00BD1319">
        <w:rPr>
          <w:rFonts w:cs="Arial"/>
          <w:spacing w:val="-3"/>
        </w:rPr>
        <w:t xml:space="preserve">porqué del </w:t>
      </w:r>
      <w:r w:rsidRPr="00BD1319">
        <w:rPr>
          <w:rFonts w:cs="Arial"/>
          <w:spacing w:val="-3"/>
        </w:rPr>
        <w:t>valor asignado a cada uno de los atributos utilizados para valorar cada impacto.</w:t>
      </w:r>
    </w:p>
    <w:p w14:paraId="47991321" w14:textId="77777777" w:rsidR="00466C84" w:rsidRPr="00BD1319" w:rsidRDefault="00466C84">
      <w:pPr>
        <w:numPr>
          <w:ilvl w:val="12"/>
          <w:numId w:val="0"/>
        </w:numPr>
        <w:tabs>
          <w:tab w:val="left" w:pos="-2268"/>
        </w:tabs>
        <w:suppressAutoHyphens/>
        <w:rPr>
          <w:spacing w:val="-3"/>
        </w:rPr>
      </w:pPr>
    </w:p>
    <w:p w14:paraId="76EBD029" w14:textId="6638BB19" w:rsidR="00402FB4" w:rsidRPr="00BD1319" w:rsidRDefault="000845EB" w:rsidP="0068149C">
      <w:pPr>
        <w:pStyle w:val="Ttulo2"/>
        <w:rPr>
          <w:lang w:val="es-CO"/>
        </w:rPr>
      </w:pPr>
      <w:bookmarkStart w:id="3217" w:name="_Toc378923320"/>
      <w:bookmarkStart w:id="3218" w:name="_Toc405366869"/>
      <w:bookmarkStart w:id="3219" w:name="_Toc405372417"/>
      <w:bookmarkStart w:id="3220" w:name="_Toc437936054"/>
      <w:bookmarkStart w:id="3221" w:name="_Toc175326803"/>
      <w:r w:rsidRPr="00BD1319">
        <w:rPr>
          <w:lang w:val="es-CO"/>
        </w:rPr>
        <w:t>DETERMINACIÓN</w:t>
      </w:r>
      <w:r w:rsidRPr="00BD1319" w:rsidDel="000845EB">
        <w:rPr>
          <w:lang w:val="es-CO"/>
        </w:rPr>
        <w:t xml:space="preserve"> </w:t>
      </w:r>
      <w:r w:rsidR="00402FB4" w:rsidRPr="00BD1319">
        <w:rPr>
          <w:lang w:val="es-CO"/>
        </w:rPr>
        <w:t xml:space="preserve">Y </w:t>
      </w:r>
      <w:r w:rsidR="00E011AD" w:rsidRPr="00BD1319">
        <w:rPr>
          <w:lang w:val="es-CO"/>
        </w:rPr>
        <w:t xml:space="preserve">VALORACIÓN </w:t>
      </w:r>
      <w:r w:rsidR="00402FB4" w:rsidRPr="00BD1319">
        <w:rPr>
          <w:lang w:val="es-CO"/>
        </w:rPr>
        <w:t>DE IMPACTOS PARA EL ESCENARIO SIN PROYECTO</w:t>
      </w:r>
      <w:bookmarkEnd w:id="3202"/>
      <w:bookmarkEnd w:id="3217"/>
      <w:bookmarkEnd w:id="3218"/>
      <w:bookmarkEnd w:id="3219"/>
      <w:bookmarkEnd w:id="3220"/>
      <w:bookmarkEnd w:id="3221"/>
    </w:p>
    <w:p w14:paraId="4F9DA702" w14:textId="77777777" w:rsidR="00402FB4" w:rsidRPr="00BD1319" w:rsidRDefault="00402FB4">
      <w:pPr>
        <w:numPr>
          <w:ilvl w:val="12"/>
          <w:numId w:val="0"/>
        </w:numPr>
        <w:tabs>
          <w:tab w:val="left" w:pos="-2268"/>
        </w:tabs>
        <w:suppressAutoHyphens/>
        <w:rPr>
          <w:spacing w:val="-3"/>
        </w:rPr>
      </w:pPr>
    </w:p>
    <w:p w14:paraId="6A6D2642" w14:textId="1B292963" w:rsidR="00BC7538" w:rsidRPr="00BD1319" w:rsidRDefault="00BC7538" w:rsidP="00BC7538">
      <w:pPr>
        <w:overflowPunct/>
        <w:textAlignment w:val="auto"/>
        <w:rPr>
          <w:color w:val="000000"/>
        </w:rPr>
      </w:pPr>
      <w:r w:rsidRPr="00BD1319">
        <w:rPr>
          <w:color w:val="000000"/>
        </w:rPr>
        <w:t>La evaluación ambiental para el escenario sin proyecto debe desarrollar un análisis tendencial de la evolución que tendrían las condiciones ambientales del área de influencia que refleje los cambios previsibles en ésta</w:t>
      </w:r>
      <w:r w:rsidR="00711B15" w:rsidRPr="00BD1319">
        <w:rPr>
          <w:color w:val="000000"/>
        </w:rPr>
        <w:t xml:space="preserve">; este </w:t>
      </w:r>
      <w:r w:rsidRPr="00BD1319">
        <w:rPr>
          <w:color w:val="000000"/>
        </w:rPr>
        <w:t>análisis</w:t>
      </w:r>
      <w:r w:rsidR="00711B15" w:rsidRPr="00BD1319">
        <w:rPr>
          <w:color w:val="000000"/>
        </w:rPr>
        <w:t xml:space="preserve"> debe considerar </w:t>
      </w:r>
      <w:r w:rsidRPr="00BD1319">
        <w:rPr>
          <w:color w:val="000000"/>
        </w:rPr>
        <w:t xml:space="preserve">las </w:t>
      </w:r>
      <w:r w:rsidRPr="00BD1319">
        <w:rPr>
          <w:color w:val="000000"/>
        </w:rPr>
        <w:lastRenderedPageBreak/>
        <w:t xml:space="preserve">orientaciones del numeral </w:t>
      </w:r>
      <w:r w:rsidRPr="00BD1319">
        <w:rPr>
          <w:color w:val="000000"/>
        </w:rPr>
        <w:fldChar w:fldCharType="begin"/>
      </w:r>
      <w:r w:rsidRPr="00BD1319">
        <w:rPr>
          <w:color w:val="000000"/>
        </w:rPr>
        <w:instrText xml:space="preserve"> REF _Ref136953274 \r \h </w:instrText>
      </w:r>
      <w:r w:rsidR="00BD1319">
        <w:rPr>
          <w:color w:val="000000"/>
        </w:rPr>
        <w:instrText xml:space="preserve"> \* MERGEFORMAT </w:instrText>
      </w:r>
      <w:r w:rsidRPr="00BD1319">
        <w:rPr>
          <w:color w:val="000000"/>
        </w:rPr>
      </w:r>
      <w:r w:rsidRPr="00BD1319">
        <w:rPr>
          <w:color w:val="000000"/>
        </w:rPr>
        <w:fldChar w:fldCharType="separate"/>
      </w:r>
      <w:r w:rsidR="00296654" w:rsidRPr="00BD1319">
        <w:rPr>
          <w:color w:val="000000"/>
        </w:rPr>
        <w:t>7.1</w:t>
      </w:r>
      <w:r w:rsidRPr="00BD1319">
        <w:rPr>
          <w:color w:val="000000"/>
        </w:rPr>
        <w:fldChar w:fldCharType="end"/>
      </w:r>
      <w:r w:rsidRPr="00BD1319">
        <w:rPr>
          <w:color w:val="000000"/>
        </w:rPr>
        <w:t xml:space="preserve"> para determinar y valorar los impactos ambientales que llevarían a ese cambio ambiental futuro.</w:t>
      </w:r>
    </w:p>
    <w:p w14:paraId="0FD49BE4" w14:textId="77777777" w:rsidR="00BC7538" w:rsidRPr="00BD1319" w:rsidRDefault="00BC7538" w:rsidP="003C56DE">
      <w:pPr>
        <w:overflowPunct/>
        <w:textAlignment w:val="auto"/>
        <w:rPr>
          <w:color w:val="000000"/>
        </w:rPr>
      </w:pPr>
    </w:p>
    <w:p w14:paraId="0B31C8B8" w14:textId="2DC4F9D8" w:rsidR="00711B15" w:rsidRPr="00BD1319" w:rsidRDefault="00650285" w:rsidP="00C86DA5">
      <w:pPr>
        <w:overflowPunct/>
        <w:textAlignment w:val="auto"/>
        <w:rPr>
          <w:color w:val="000000"/>
        </w:rPr>
      </w:pPr>
      <w:r w:rsidRPr="00BD1319">
        <w:rPr>
          <w:color w:val="000000"/>
        </w:rPr>
        <w:t xml:space="preserve">El análisis tendencial debe </w:t>
      </w:r>
      <w:r w:rsidR="003945B4" w:rsidRPr="00BD1319">
        <w:rPr>
          <w:color w:val="000000"/>
        </w:rPr>
        <w:t xml:space="preserve">integrar y </w:t>
      </w:r>
      <w:r w:rsidRPr="00BD1319">
        <w:rPr>
          <w:color w:val="000000"/>
        </w:rPr>
        <w:t xml:space="preserve">valerse de </w:t>
      </w:r>
      <w:r w:rsidR="00DB0E1D" w:rsidRPr="00BD1319">
        <w:rPr>
          <w:color w:val="000000"/>
        </w:rPr>
        <w:t>la caracterización ambiental de los medios abiótico, biótico y socioeconómico</w:t>
      </w:r>
      <w:r w:rsidR="00711B15" w:rsidRPr="00BD1319">
        <w:rPr>
          <w:color w:val="000000"/>
        </w:rPr>
        <w:t xml:space="preserve">, del paisaje y de los servicios ecosistémicos, de la </w:t>
      </w:r>
      <w:r w:rsidR="00DB0E1D" w:rsidRPr="00BD1319">
        <w:rPr>
          <w:color w:val="000000"/>
        </w:rPr>
        <w:t xml:space="preserve">sensibilidad ambiental, </w:t>
      </w:r>
      <w:r w:rsidRPr="00BD1319">
        <w:rPr>
          <w:color w:val="000000"/>
        </w:rPr>
        <w:t xml:space="preserve">así como </w:t>
      </w:r>
      <w:r w:rsidR="003C56DE" w:rsidRPr="00BD1319">
        <w:rPr>
          <w:color w:val="000000"/>
        </w:rPr>
        <w:t>de la determinación de las</w:t>
      </w:r>
      <w:r w:rsidR="001154B5" w:rsidRPr="00BD1319">
        <w:rPr>
          <w:color w:val="000000"/>
        </w:rPr>
        <w:t xml:space="preserve"> actividades que han tenido la mayor incidencia en la modificación ambiental </w:t>
      </w:r>
      <w:r w:rsidR="003C56DE" w:rsidRPr="00BD1319">
        <w:rPr>
          <w:color w:val="000000"/>
        </w:rPr>
        <w:t>del área de influencia, de</w:t>
      </w:r>
      <w:r w:rsidR="001154B5" w:rsidRPr="00BD1319">
        <w:rPr>
          <w:color w:val="000000"/>
        </w:rPr>
        <w:t xml:space="preserve"> las interacciones entre éstas, </w:t>
      </w:r>
      <w:r w:rsidR="003C56DE" w:rsidRPr="00BD1319">
        <w:rPr>
          <w:color w:val="000000"/>
        </w:rPr>
        <w:t xml:space="preserve">de </w:t>
      </w:r>
      <w:r w:rsidR="004F01DD" w:rsidRPr="00BD1319">
        <w:rPr>
          <w:color w:val="000000"/>
        </w:rPr>
        <w:t xml:space="preserve">la perspectiva del desarrollo regional y local, </w:t>
      </w:r>
      <w:r w:rsidR="003C56DE" w:rsidRPr="00BD1319">
        <w:rPr>
          <w:color w:val="000000"/>
        </w:rPr>
        <w:t xml:space="preserve">de </w:t>
      </w:r>
      <w:r w:rsidR="004F01DD" w:rsidRPr="00BD1319">
        <w:rPr>
          <w:color w:val="000000"/>
        </w:rPr>
        <w:t xml:space="preserve">la dinámica económica, </w:t>
      </w:r>
      <w:r w:rsidR="003C56DE" w:rsidRPr="00BD1319">
        <w:rPr>
          <w:color w:val="000000"/>
        </w:rPr>
        <w:t xml:space="preserve">de </w:t>
      </w:r>
      <w:r w:rsidR="004F01DD" w:rsidRPr="00BD1319">
        <w:rPr>
          <w:color w:val="000000"/>
        </w:rPr>
        <w:t>los planes gubernamentales</w:t>
      </w:r>
      <w:r w:rsidR="001154B5" w:rsidRPr="00BD1319">
        <w:rPr>
          <w:color w:val="000000"/>
        </w:rPr>
        <w:t>,</w:t>
      </w:r>
      <w:r w:rsidR="003945B4" w:rsidRPr="00BD1319">
        <w:rPr>
          <w:color w:val="000000"/>
        </w:rPr>
        <w:t xml:space="preserve"> de los</w:t>
      </w:r>
      <w:r w:rsidR="004F01DD" w:rsidRPr="00BD1319">
        <w:rPr>
          <w:color w:val="000000"/>
        </w:rPr>
        <w:t xml:space="preserve"> </w:t>
      </w:r>
      <w:r w:rsidR="003945B4" w:rsidRPr="00BD1319">
        <w:rPr>
          <w:color w:val="000000"/>
        </w:rPr>
        <w:t xml:space="preserve">conflictos socioambientales existentes (incluyendo los que se presentan por el uso de recursos naturales como agua, suelo, bosque), </w:t>
      </w:r>
      <w:r w:rsidR="003C56DE" w:rsidRPr="00BD1319">
        <w:rPr>
          <w:color w:val="000000"/>
        </w:rPr>
        <w:t xml:space="preserve">de </w:t>
      </w:r>
      <w:r w:rsidR="004F01DD" w:rsidRPr="00BD1319">
        <w:rPr>
          <w:color w:val="000000"/>
        </w:rPr>
        <w:t xml:space="preserve">las figuras </w:t>
      </w:r>
      <w:r w:rsidR="004F01DD" w:rsidRPr="00BD1319">
        <w:rPr>
          <w:rFonts w:cs="Arial"/>
          <w:color w:val="000000"/>
          <w:lang w:eastAsia="es-CO"/>
        </w:rPr>
        <w:t xml:space="preserve">y estrategias </w:t>
      </w:r>
      <w:r w:rsidR="004F01DD" w:rsidRPr="00BD1319">
        <w:rPr>
          <w:color w:val="000000"/>
        </w:rPr>
        <w:t>de conservación</w:t>
      </w:r>
      <w:r w:rsidR="001154B5" w:rsidRPr="00BD1319">
        <w:rPr>
          <w:color w:val="000000"/>
        </w:rPr>
        <w:t xml:space="preserve"> y </w:t>
      </w:r>
      <w:r w:rsidR="003C56DE" w:rsidRPr="00BD1319">
        <w:rPr>
          <w:color w:val="000000"/>
        </w:rPr>
        <w:t xml:space="preserve">de </w:t>
      </w:r>
      <w:r w:rsidR="001154B5" w:rsidRPr="00BD1319">
        <w:rPr>
          <w:color w:val="000000"/>
        </w:rPr>
        <w:t xml:space="preserve">los procesos </w:t>
      </w:r>
      <w:r w:rsidR="00A30F71" w:rsidRPr="00BD1319">
        <w:rPr>
          <w:color w:val="000000"/>
        </w:rPr>
        <w:t xml:space="preserve">de cambio </w:t>
      </w:r>
      <w:r w:rsidR="001154B5" w:rsidRPr="00BD1319">
        <w:rPr>
          <w:color w:val="000000"/>
        </w:rPr>
        <w:t xml:space="preserve">natural propios de la región, </w:t>
      </w:r>
      <w:r w:rsidRPr="00BD1319">
        <w:rPr>
          <w:color w:val="000000"/>
        </w:rPr>
        <w:t xml:space="preserve">para </w:t>
      </w:r>
      <w:r w:rsidR="001154B5" w:rsidRPr="00BD1319">
        <w:rPr>
          <w:color w:val="000000"/>
        </w:rPr>
        <w:t>estim</w:t>
      </w:r>
      <w:r w:rsidRPr="00BD1319">
        <w:rPr>
          <w:color w:val="000000"/>
        </w:rPr>
        <w:t>ar</w:t>
      </w:r>
      <w:r w:rsidR="001154B5" w:rsidRPr="00BD1319">
        <w:rPr>
          <w:color w:val="000000"/>
        </w:rPr>
        <w:t xml:space="preserve"> las </w:t>
      </w:r>
      <w:r w:rsidR="00D31193" w:rsidRPr="00BD1319">
        <w:rPr>
          <w:color w:val="000000"/>
        </w:rPr>
        <w:t xml:space="preserve">condiciones </w:t>
      </w:r>
      <w:r w:rsidR="001154B5" w:rsidRPr="00BD1319">
        <w:rPr>
          <w:color w:val="000000"/>
        </w:rPr>
        <w:t xml:space="preserve">ambientales </w:t>
      </w:r>
      <w:r w:rsidR="00D31193" w:rsidRPr="00BD1319">
        <w:rPr>
          <w:color w:val="000000"/>
        </w:rPr>
        <w:t xml:space="preserve">que tendría </w:t>
      </w:r>
      <w:r w:rsidR="001154B5" w:rsidRPr="00BD1319">
        <w:rPr>
          <w:color w:val="000000"/>
        </w:rPr>
        <w:t>el área de influencia</w:t>
      </w:r>
      <w:r w:rsidR="00D31193" w:rsidRPr="00BD1319">
        <w:rPr>
          <w:color w:val="000000"/>
        </w:rPr>
        <w:t xml:space="preserve"> en el futuro</w:t>
      </w:r>
      <w:r w:rsidR="00DB0E1D" w:rsidRPr="00BD1319">
        <w:rPr>
          <w:color w:val="000000"/>
        </w:rPr>
        <w:t>.</w:t>
      </w:r>
    </w:p>
    <w:p w14:paraId="127536D3" w14:textId="77777777" w:rsidR="004F01DD" w:rsidRPr="00BD1319" w:rsidRDefault="004F01DD" w:rsidP="00C86DA5">
      <w:pPr>
        <w:overflowPunct/>
        <w:textAlignment w:val="auto"/>
        <w:rPr>
          <w:color w:val="000000"/>
        </w:rPr>
      </w:pPr>
    </w:p>
    <w:p w14:paraId="75D48211" w14:textId="480332DA" w:rsidR="00402FB4" w:rsidRPr="00BD1319" w:rsidRDefault="000845EB" w:rsidP="0068149C">
      <w:pPr>
        <w:pStyle w:val="Ttulo2"/>
        <w:rPr>
          <w:lang w:val="es-CO"/>
        </w:rPr>
      </w:pPr>
      <w:bookmarkStart w:id="3222" w:name="_Toc138760025"/>
      <w:bookmarkStart w:id="3223" w:name="_Toc153811866"/>
      <w:bookmarkStart w:id="3224" w:name="_Toc153812080"/>
      <w:bookmarkStart w:id="3225" w:name="_Toc153812485"/>
      <w:bookmarkStart w:id="3226" w:name="_Toc158907196"/>
      <w:bookmarkStart w:id="3227" w:name="_Toc159826196"/>
      <w:bookmarkStart w:id="3228" w:name="_Toc159826630"/>
      <w:bookmarkStart w:id="3229" w:name="_Toc175326470"/>
      <w:bookmarkStart w:id="3230" w:name="_Toc138760026"/>
      <w:bookmarkStart w:id="3231" w:name="_Toc153811867"/>
      <w:bookmarkStart w:id="3232" w:name="_Toc153812081"/>
      <w:bookmarkStart w:id="3233" w:name="_Toc153812486"/>
      <w:bookmarkStart w:id="3234" w:name="_Toc158907197"/>
      <w:bookmarkStart w:id="3235" w:name="_Toc159826197"/>
      <w:bookmarkStart w:id="3236" w:name="_Toc159826631"/>
      <w:bookmarkStart w:id="3237" w:name="_Toc175326471"/>
      <w:bookmarkStart w:id="3238" w:name="_Toc138760027"/>
      <w:bookmarkStart w:id="3239" w:name="_Toc153811868"/>
      <w:bookmarkStart w:id="3240" w:name="_Toc153812082"/>
      <w:bookmarkStart w:id="3241" w:name="_Toc153812487"/>
      <w:bookmarkStart w:id="3242" w:name="_Toc158907198"/>
      <w:bookmarkStart w:id="3243" w:name="_Toc159826198"/>
      <w:bookmarkStart w:id="3244" w:name="_Toc159826632"/>
      <w:bookmarkStart w:id="3245" w:name="_Toc175326472"/>
      <w:bookmarkStart w:id="3246" w:name="_Toc138760028"/>
      <w:bookmarkStart w:id="3247" w:name="_Toc153811869"/>
      <w:bookmarkStart w:id="3248" w:name="_Toc153812083"/>
      <w:bookmarkStart w:id="3249" w:name="_Toc153812488"/>
      <w:bookmarkStart w:id="3250" w:name="_Toc158907199"/>
      <w:bookmarkStart w:id="3251" w:name="_Toc159826199"/>
      <w:bookmarkStart w:id="3252" w:name="_Toc159826633"/>
      <w:bookmarkStart w:id="3253" w:name="_Toc175326473"/>
      <w:bookmarkStart w:id="3254" w:name="_Toc343187975"/>
      <w:bookmarkStart w:id="3255" w:name="_Toc378923321"/>
      <w:bookmarkStart w:id="3256" w:name="_Toc405366870"/>
      <w:bookmarkStart w:id="3257" w:name="_Toc405372418"/>
      <w:bookmarkStart w:id="3258" w:name="_Toc437936055"/>
      <w:bookmarkStart w:id="3259" w:name="_Ref508612278"/>
      <w:bookmarkStart w:id="3260" w:name="_Toc175326804"/>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r w:rsidRPr="00BD1319">
        <w:rPr>
          <w:lang w:val="es-CO"/>
        </w:rPr>
        <w:t>DETERMINACIÓN</w:t>
      </w:r>
      <w:r w:rsidRPr="00BD1319" w:rsidDel="000845EB">
        <w:rPr>
          <w:lang w:val="es-CO"/>
        </w:rPr>
        <w:t xml:space="preserve"> </w:t>
      </w:r>
      <w:r w:rsidR="00402FB4" w:rsidRPr="00BD1319">
        <w:rPr>
          <w:lang w:val="es-CO"/>
        </w:rPr>
        <w:t xml:space="preserve">Y </w:t>
      </w:r>
      <w:r w:rsidR="00B30AD0" w:rsidRPr="00BD1319">
        <w:rPr>
          <w:lang w:val="es-CO"/>
        </w:rPr>
        <w:t xml:space="preserve">VALORACIÓN </w:t>
      </w:r>
      <w:r w:rsidR="00402FB4" w:rsidRPr="00BD1319">
        <w:rPr>
          <w:lang w:val="es-CO"/>
        </w:rPr>
        <w:t>DE IMPACTOS PARA EL ESCENARIO CON PROYECTO</w:t>
      </w:r>
      <w:bookmarkEnd w:id="3254"/>
      <w:bookmarkEnd w:id="3255"/>
      <w:bookmarkEnd w:id="3256"/>
      <w:bookmarkEnd w:id="3257"/>
      <w:bookmarkEnd w:id="3258"/>
      <w:bookmarkEnd w:id="3259"/>
      <w:bookmarkEnd w:id="3260"/>
    </w:p>
    <w:p w14:paraId="52F9053C" w14:textId="6C1B90CB" w:rsidR="00A20F0D" w:rsidRPr="00BD1319" w:rsidRDefault="00A20F0D">
      <w:pPr>
        <w:numPr>
          <w:ilvl w:val="12"/>
          <w:numId w:val="0"/>
        </w:numPr>
        <w:tabs>
          <w:tab w:val="left" w:pos="-2268"/>
        </w:tabs>
        <w:suppressAutoHyphens/>
        <w:rPr>
          <w:spacing w:val="-3"/>
        </w:rPr>
      </w:pPr>
    </w:p>
    <w:p w14:paraId="7BA66279" w14:textId="152573C3" w:rsidR="0042485A" w:rsidRPr="00BD1319" w:rsidRDefault="0042485A" w:rsidP="00EB2D82">
      <w:pPr>
        <w:overflowPunct/>
        <w:textAlignment w:val="auto"/>
        <w:rPr>
          <w:color w:val="000000"/>
        </w:rPr>
      </w:pPr>
      <w:r w:rsidRPr="00BD1319">
        <w:rPr>
          <w:color w:val="000000"/>
        </w:rPr>
        <w:t>A partir de lo</w:t>
      </w:r>
      <w:r w:rsidR="002F1FA8" w:rsidRPr="00BD1319">
        <w:rPr>
          <w:color w:val="000000"/>
        </w:rPr>
        <w:t xml:space="preserve">s lineamientos </w:t>
      </w:r>
      <w:r w:rsidRPr="00BD1319">
        <w:rPr>
          <w:color w:val="000000"/>
        </w:rPr>
        <w:t>establecido</w:t>
      </w:r>
      <w:r w:rsidR="002F1FA8" w:rsidRPr="00BD1319">
        <w:rPr>
          <w:color w:val="000000"/>
        </w:rPr>
        <w:t>s</w:t>
      </w:r>
      <w:r w:rsidRPr="00BD1319">
        <w:rPr>
          <w:color w:val="000000"/>
        </w:rPr>
        <w:t xml:space="preserve"> en el numeral </w:t>
      </w:r>
      <w:r w:rsidRPr="00BD1319">
        <w:rPr>
          <w:color w:val="000000"/>
        </w:rPr>
        <w:fldChar w:fldCharType="begin"/>
      </w:r>
      <w:r w:rsidRPr="00BD1319">
        <w:rPr>
          <w:color w:val="000000"/>
        </w:rPr>
        <w:instrText xml:space="preserve"> REF _Ref136953274 \r \h </w:instrText>
      </w:r>
      <w:r w:rsidR="00BD1319">
        <w:rPr>
          <w:color w:val="000000"/>
        </w:rPr>
        <w:instrText xml:space="preserve"> \* MERGEFORMAT </w:instrText>
      </w:r>
      <w:r w:rsidRPr="00BD1319">
        <w:rPr>
          <w:color w:val="000000"/>
        </w:rPr>
      </w:r>
      <w:r w:rsidRPr="00BD1319">
        <w:rPr>
          <w:color w:val="000000"/>
        </w:rPr>
        <w:fldChar w:fldCharType="separate"/>
      </w:r>
      <w:r w:rsidR="00296654" w:rsidRPr="00BD1319">
        <w:rPr>
          <w:color w:val="000000"/>
        </w:rPr>
        <w:t>7.1</w:t>
      </w:r>
      <w:r w:rsidRPr="00BD1319">
        <w:rPr>
          <w:color w:val="000000"/>
        </w:rPr>
        <w:fldChar w:fldCharType="end"/>
      </w:r>
      <w:r w:rsidRPr="00BD1319">
        <w:rPr>
          <w:color w:val="000000"/>
        </w:rPr>
        <w:t xml:space="preserve">, del estudio de las interacciones </w:t>
      </w:r>
      <w:r w:rsidR="00BD6A30" w:rsidRPr="00BD1319">
        <w:rPr>
          <w:color w:val="000000"/>
        </w:rPr>
        <w:t xml:space="preserve">de </w:t>
      </w:r>
      <w:r w:rsidRPr="00BD1319">
        <w:rPr>
          <w:color w:val="000000"/>
        </w:rPr>
        <w:t xml:space="preserve">las actividades del proyecto, obra o actividad </w:t>
      </w:r>
      <w:r w:rsidR="00BD6A30" w:rsidRPr="00BD1319">
        <w:rPr>
          <w:color w:val="000000"/>
        </w:rPr>
        <w:t xml:space="preserve">con </w:t>
      </w:r>
      <w:r w:rsidRPr="00BD1319">
        <w:rPr>
          <w:color w:val="000000"/>
        </w:rPr>
        <w:t>los factores de cada componente, y de las orientaciones que se señalan a continuación, se deben determinar</w:t>
      </w:r>
      <w:r w:rsidR="00A64E70" w:rsidRPr="00BD1319">
        <w:rPr>
          <w:color w:val="000000"/>
        </w:rPr>
        <w:t xml:space="preserve"> </w:t>
      </w:r>
      <w:r w:rsidRPr="00BD1319">
        <w:rPr>
          <w:color w:val="000000"/>
        </w:rPr>
        <w:t xml:space="preserve">y valorar los impactos que el proyecto genera sobre el </w:t>
      </w:r>
      <w:r w:rsidR="0021080F" w:rsidRPr="00BD1319">
        <w:rPr>
          <w:color w:val="000000"/>
        </w:rPr>
        <w:t>escenario sin proyecto</w:t>
      </w:r>
      <w:r w:rsidR="00015E78" w:rsidRPr="00BD1319">
        <w:rPr>
          <w:color w:val="000000"/>
        </w:rPr>
        <w:t>, determinar cuáles de ellos son significativos</w:t>
      </w:r>
      <w:r w:rsidR="00E61AE9" w:rsidRPr="00BD1319">
        <w:rPr>
          <w:color w:val="000000"/>
        </w:rPr>
        <w:t>, así como evaluar los impactos ambientales residuales acumulativos y sinérgicos</w:t>
      </w:r>
      <w:r w:rsidRPr="00BD1319">
        <w:rPr>
          <w:color w:val="000000"/>
        </w:rPr>
        <w:t>.</w:t>
      </w:r>
    </w:p>
    <w:p w14:paraId="26572216" w14:textId="77777777" w:rsidR="00653280" w:rsidRPr="00BD1319" w:rsidRDefault="00653280" w:rsidP="00EB2D82">
      <w:pPr>
        <w:overflowPunct/>
        <w:textAlignment w:val="auto"/>
        <w:rPr>
          <w:color w:val="000000"/>
        </w:rPr>
      </w:pPr>
    </w:p>
    <w:p w14:paraId="1737B6F5" w14:textId="5AC45F5C" w:rsidR="00260064" w:rsidRPr="00BD1319" w:rsidRDefault="00260064" w:rsidP="00260064">
      <w:pPr>
        <w:overflowPunct/>
        <w:textAlignment w:val="auto"/>
        <w:rPr>
          <w:rFonts w:cs="Arial"/>
          <w:spacing w:val="-3"/>
        </w:rPr>
      </w:pPr>
      <w:r w:rsidRPr="00BD1319">
        <w:rPr>
          <w:rFonts w:cs="Arial"/>
          <w:spacing w:val="-3"/>
        </w:rPr>
        <w:t>No se debe perder de vista que el propósito de la determinación</w:t>
      </w:r>
      <w:r w:rsidR="00A64E70" w:rsidRPr="00BD1319">
        <w:rPr>
          <w:rFonts w:cs="Arial"/>
          <w:spacing w:val="-3"/>
        </w:rPr>
        <w:t xml:space="preserve"> </w:t>
      </w:r>
      <w:r w:rsidRPr="00BD1319">
        <w:rPr>
          <w:rFonts w:cs="Arial"/>
          <w:spacing w:val="-3"/>
        </w:rPr>
        <w:t xml:space="preserve">y valoración de impactos es prever entre otras situaciones, por qué suceden, cómo ocurren, cuándo y dónde se manifiestan, qué grado de modificación al ambiente pueden ocasionar en el tiempo, a tal punto que </w:t>
      </w:r>
      <w:r w:rsidR="00BD6A30" w:rsidRPr="00BD1319">
        <w:rPr>
          <w:rFonts w:cs="Arial"/>
          <w:spacing w:val="-3"/>
        </w:rPr>
        <w:t xml:space="preserve">sea </w:t>
      </w:r>
      <w:r w:rsidRPr="00BD1319">
        <w:rPr>
          <w:rFonts w:cs="Arial"/>
          <w:spacing w:val="-3"/>
        </w:rPr>
        <w:t>posible tomar determinaciones sobre las características del proyecto, obra o actividad o sobre las medidas que deben aplicarse para gestionar sus impactos.</w:t>
      </w:r>
    </w:p>
    <w:p w14:paraId="68428114" w14:textId="77777777" w:rsidR="00260064" w:rsidRPr="00BD1319" w:rsidRDefault="00260064" w:rsidP="00EB2D82">
      <w:pPr>
        <w:overflowPunct/>
        <w:textAlignment w:val="auto"/>
        <w:rPr>
          <w:color w:val="000000"/>
        </w:rPr>
      </w:pPr>
    </w:p>
    <w:p w14:paraId="35ED9ED3" w14:textId="1DE07FD1" w:rsidR="00EB2D82" w:rsidRPr="00BD1319" w:rsidRDefault="00EB2D82" w:rsidP="00216955">
      <w:pPr>
        <w:pStyle w:val="Ttulo3"/>
      </w:pPr>
      <w:bookmarkStart w:id="3261" w:name="_Toc175326805"/>
      <w:r w:rsidRPr="00BD1319">
        <w:t>Determinación</w:t>
      </w:r>
      <w:r w:rsidR="00A64E70" w:rsidRPr="00BD1319">
        <w:t xml:space="preserve"> en el escenario con proyecto</w:t>
      </w:r>
      <w:bookmarkEnd w:id="3261"/>
    </w:p>
    <w:p w14:paraId="64BB1D4C" w14:textId="77777777" w:rsidR="00EB2D82" w:rsidRPr="00BD1319" w:rsidRDefault="00EB2D82" w:rsidP="007B7358">
      <w:pPr>
        <w:overflowPunct/>
        <w:textAlignment w:val="auto"/>
        <w:rPr>
          <w:color w:val="000000"/>
        </w:rPr>
      </w:pPr>
    </w:p>
    <w:p w14:paraId="1D8B660F" w14:textId="68793CC1" w:rsidR="00AF4967" w:rsidRPr="00BD1319" w:rsidRDefault="00E63F45" w:rsidP="00E63F45">
      <w:pPr>
        <w:numPr>
          <w:ilvl w:val="12"/>
          <w:numId w:val="0"/>
        </w:numPr>
        <w:tabs>
          <w:tab w:val="left" w:pos="-2268"/>
        </w:tabs>
        <w:suppressAutoHyphens/>
        <w:rPr>
          <w:rFonts w:cs="Arial"/>
          <w:spacing w:val="-3"/>
        </w:rPr>
      </w:pPr>
      <w:r w:rsidRPr="00BD1319">
        <w:rPr>
          <w:rFonts w:cs="Arial"/>
          <w:spacing w:val="-3"/>
        </w:rPr>
        <w:t xml:space="preserve">La determinación de los impactos ambientales que puede ocasionar la ejecución de un proyecto, obra o actividad es fundamental para asegurar la calidad del estudio ambiental y como se mencionó en el capítulo I de esta metodología, es un momento crucial para el proceso de licenciamiento ambiental, pues tiene repercusiones en la </w:t>
      </w:r>
      <w:r w:rsidR="00AF4967" w:rsidRPr="00BD1319">
        <w:rPr>
          <w:rFonts w:cs="Arial"/>
          <w:spacing w:val="-3"/>
        </w:rPr>
        <w:t xml:space="preserve">valoración </w:t>
      </w:r>
      <w:r w:rsidRPr="00BD1319">
        <w:rPr>
          <w:rFonts w:cs="Arial"/>
          <w:spacing w:val="-3"/>
        </w:rPr>
        <w:t>de impactos, en la delimitación del área de influencia, en la formulación de las medidas de manejo, en la zonificación de manejo ambiental, en la evaluación económica, en las decisiones que tomen las autoridades ambientales frente a la viabilidad ambiental del proyecto, obra o actividad, y por supuesto, en el cumplimiento de los objetivos del licenciamiento ambiental</w:t>
      </w:r>
      <w:r w:rsidR="0009764E" w:rsidRPr="00BD1319">
        <w:rPr>
          <w:rFonts w:cs="Arial"/>
          <w:spacing w:val="-3"/>
        </w:rPr>
        <w:t>.</w:t>
      </w:r>
    </w:p>
    <w:p w14:paraId="7E7625E7" w14:textId="77777777" w:rsidR="00AF4967" w:rsidRPr="00BD1319" w:rsidRDefault="00AF4967" w:rsidP="00E63F45">
      <w:pPr>
        <w:numPr>
          <w:ilvl w:val="12"/>
          <w:numId w:val="0"/>
        </w:numPr>
        <w:tabs>
          <w:tab w:val="left" w:pos="-2268"/>
        </w:tabs>
        <w:suppressAutoHyphens/>
        <w:rPr>
          <w:rFonts w:cs="Arial"/>
          <w:spacing w:val="-3"/>
        </w:rPr>
      </w:pPr>
    </w:p>
    <w:p w14:paraId="47035CDB" w14:textId="5C11EC55" w:rsidR="00E63F45" w:rsidRPr="00BD1319" w:rsidRDefault="0009764E" w:rsidP="00E63F45">
      <w:pPr>
        <w:numPr>
          <w:ilvl w:val="12"/>
          <w:numId w:val="0"/>
        </w:numPr>
        <w:tabs>
          <w:tab w:val="left" w:pos="-2268"/>
        </w:tabs>
        <w:suppressAutoHyphens/>
        <w:rPr>
          <w:rFonts w:cs="Arial"/>
          <w:spacing w:val="-3"/>
        </w:rPr>
      </w:pPr>
      <w:r w:rsidRPr="00BD1319">
        <w:rPr>
          <w:rFonts w:cs="Arial"/>
          <w:spacing w:val="-3"/>
        </w:rPr>
        <w:lastRenderedPageBreak/>
        <w:t>U</w:t>
      </w:r>
      <w:r w:rsidR="00E63F45" w:rsidRPr="00BD1319">
        <w:rPr>
          <w:rFonts w:cs="Arial"/>
          <w:spacing w:val="-3"/>
        </w:rPr>
        <w:t>na buena determinación reduce la posibilidad de que una vez se ponga en marcha el proyecto</w:t>
      </w:r>
      <w:r w:rsidR="00E63F45" w:rsidRPr="00BD1319">
        <w:rPr>
          <w:spacing w:val="-3"/>
        </w:rPr>
        <w:t>, obra o actividad</w:t>
      </w:r>
      <w:r w:rsidR="00E63F45" w:rsidRPr="00BD1319">
        <w:rPr>
          <w:rFonts w:cs="Arial"/>
          <w:spacing w:val="-3"/>
        </w:rPr>
        <w:t xml:space="preserve"> (si las autoridades deciden licenciarlo), se configuren impactos ambientales no previstos.</w:t>
      </w:r>
    </w:p>
    <w:p w14:paraId="670E14B3" w14:textId="77777777" w:rsidR="00E63F45" w:rsidRPr="00BD1319" w:rsidRDefault="00E63F45" w:rsidP="00E63F45">
      <w:pPr>
        <w:numPr>
          <w:ilvl w:val="12"/>
          <w:numId w:val="0"/>
        </w:numPr>
        <w:tabs>
          <w:tab w:val="left" w:pos="-2268"/>
        </w:tabs>
        <w:suppressAutoHyphens/>
        <w:rPr>
          <w:rFonts w:cs="Arial"/>
          <w:spacing w:val="-3"/>
        </w:rPr>
      </w:pPr>
    </w:p>
    <w:p w14:paraId="223CFA62" w14:textId="3BFDEBD0" w:rsidR="00E63F45" w:rsidRPr="00BD1319" w:rsidRDefault="002F1FA8" w:rsidP="008A4FE9">
      <w:pPr>
        <w:overflowPunct/>
        <w:textAlignment w:val="auto"/>
        <w:rPr>
          <w:rFonts w:cs="Arial"/>
          <w:spacing w:val="-3"/>
        </w:rPr>
      </w:pPr>
      <w:r w:rsidRPr="00BD1319">
        <w:rPr>
          <w:rFonts w:cs="Arial"/>
          <w:spacing w:val="-3"/>
        </w:rPr>
        <w:t>En este escenario, l</w:t>
      </w:r>
      <w:r w:rsidR="00E63F45" w:rsidRPr="00BD1319">
        <w:rPr>
          <w:rFonts w:cs="Arial"/>
          <w:spacing w:val="-3"/>
        </w:rPr>
        <w:t>os impactos ambientales corresponden a cualquier alteración del ambiente motivada por el desarrollo de un proyecto, obra o actividad, en un periodo específico de tiempo y dentro de un área definida, que se describe como el cambio en un parámetro ambiental cualitativo o cuantitativo</w:t>
      </w:r>
      <w:r w:rsidR="00E63F45" w:rsidRPr="00BD1319">
        <w:rPr>
          <w:rStyle w:val="Refdenotaalpie"/>
          <w:rFonts w:cs="Arial"/>
          <w:spacing w:val="-3"/>
          <w:lang w:val="es-CO"/>
        </w:rPr>
        <w:footnoteReference w:id="191"/>
      </w:r>
      <w:r w:rsidR="00E63F45" w:rsidRPr="00BD1319">
        <w:rPr>
          <w:rFonts w:cs="Arial"/>
          <w:spacing w:val="-3"/>
        </w:rPr>
        <w:t>. Esta alteración es el resultado de la interacción entre una actividad que ejerce presión (aspecto ambiental), y un factor ambiental que tiene ciertas condiciones de susceptibilidad al cambio que le son inherentes (sensibilidad ambiental); por ello, tanto el impacto como sus características adquieren una configuración única de acuerdo con la actividad y las condiciones ambientales que se estén evaluando.</w:t>
      </w:r>
      <w:r w:rsidR="00BD53D6" w:rsidRPr="00BD1319">
        <w:rPr>
          <w:rFonts w:cs="Arial"/>
          <w:spacing w:val="-3"/>
        </w:rPr>
        <w:t xml:space="preserve"> </w:t>
      </w:r>
      <w:r w:rsidR="00BD53D6" w:rsidRPr="00BD1319">
        <w:rPr>
          <w:color w:val="000000"/>
        </w:rPr>
        <w:t>Cabe aclarar que la valoración de impactos para el escenario con proyecto mide el grado con el cual una actividad genera un cambio en un parámetro ambiental sin que medie ninguna medida de manejo.</w:t>
      </w:r>
    </w:p>
    <w:p w14:paraId="185E55E6" w14:textId="77777777" w:rsidR="00E63F45" w:rsidRPr="00BD1319" w:rsidRDefault="00E63F45" w:rsidP="00E63F45">
      <w:pPr>
        <w:numPr>
          <w:ilvl w:val="12"/>
          <w:numId w:val="0"/>
        </w:numPr>
        <w:tabs>
          <w:tab w:val="left" w:pos="-2268"/>
        </w:tabs>
        <w:suppressAutoHyphens/>
        <w:rPr>
          <w:rFonts w:cs="Arial"/>
          <w:spacing w:val="-3"/>
        </w:rPr>
      </w:pPr>
    </w:p>
    <w:p w14:paraId="4996DC1C" w14:textId="65EEF37D" w:rsidR="00BD53D6" w:rsidRPr="00BD1319" w:rsidRDefault="00BD53D6" w:rsidP="00AD1136">
      <w:pPr>
        <w:numPr>
          <w:ilvl w:val="12"/>
          <w:numId w:val="0"/>
        </w:numPr>
        <w:tabs>
          <w:tab w:val="left" w:pos="-2268"/>
        </w:tabs>
        <w:suppressAutoHyphens/>
        <w:rPr>
          <w:rFonts w:cs="Arial"/>
        </w:rPr>
      </w:pPr>
      <w:r w:rsidRPr="00BD1319">
        <w:rPr>
          <w:rFonts w:cs="Arial"/>
          <w:spacing w:val="-3"/>
        </w:rPr>
        <w:t>S</w:t>
      </w:r>
      <w:r w:rsidR="00E63F45" w:rsidRPr="00BD1319">
        <w:rPr>
          <w:rFonts w:cs="Arial"/>
          <w:spacing w:val="-3"/>
        </w:rPr>
        <w:t xml:space="preserve">e deben determinar </w:t>
      </w:r>
      <w:r w:rsidR="00E63F45" w:rsidRPr="00BD1319">
        <w:rPr>
          <w:rFonts w:cs="Arial"/>
          <w:i/>
          <w:spacing w:val="-3"/>
        </w:rPr>
        <w:t xml:space="preserve">todos </w:t>
      </w:r>
      <w:r w:rsidR="00E63F45" w:rsidRPr="00BD1319">
        <w:rPr>
          <w:rFonts w:cs="Arial"/>
          <w:spacing w:val="-3"/>
        </w:rPr>
        <w:t>los</w:t>
      </w:r>
      <w:r w:rsidR="00E63F45" w:rsidRPr="00BD1319">
        <w:rPr>
          <w:rFonts w:cs="Arial"/>
          <w:i/>
          <w:spacing w:val="-3"/>
        </w:rPr>
        <w:t xml:space="preserve"> </w:t>
      </w:r>
      <w:r w:rsidR="00E63F45" w:rsidRPr="00BD1319">
        <w:rPr>
          <w:rFonts w:cs="Arial"/>
          <w:spacing w:val="-3"/>
        </w:rPr>
        <w:t>impactos ambientales positivos y negativos que puede ocasionar el normal desarrollo del proyecto, obra o actividad, y no, aquellos impactos ambientales producto de contingencias o de eventos no planeados. Esta determinación debe contemplar no sólo los impactos directos, también debe referirse a los impactos indirectos</w:t>
      </w:r>
      <w:r w:rsidRPr="00BD1319">
        <w:rPr>
          <w:rFonts w:cs="Arial"/>
          <w:spacing w:val="-3"/>
        </w:rPr>
        <w:t xml:space="preserve"> que son causados por el proyecto</w:t>
      </w:r>
      <w:r w:rsidR="00AD1136" w:rsidRPr="00BD1319">
        <w:rPr>
          <w:rFonts w:cs="Arial"/>
          <w:spacing w:val="-3"/>
        </w:rPr>
        <w:t xml:space="preserve">, </w:t>
      </w:r>
      <w:proofErr w:type="gramStart"/>
      <w:r w:rsidR="00AD1136" w:rsidRPr="00BD1319">
        <w:rPr>
          <w:rFonts w:cs="Arial"/>
          <w:spacing w:val="-3"/>
        </w:rPr>
        <w:t>como</w:t>
      </w:r>
      <w:proofErr w:type="gramEnd"/>
      <w:r w:rsidR="00AD1136" w:rsidRPr="00BD1319">
        <w:rPr>
          <w:rFonts w:cs="Arial"/>
          <w:spacing w:val="-3"/>
        </w:rPr>
        <w:t xml:space="preserve"> por </w:t>
      </w:r>
      <w:r w:rsidR="00744FB7" w:rsidRPr="00BD1319">
        <w:rPr>
          <w:rFonts w:cs="Arial"/>
        </w:rPr>
        <w:t xml:space="preserve">ejemplo, los </w:t>
      </w:r>
      <w:r w:rsidR="00AD1136" w:rsidRPr="00BD1319">
        <w:rPr>
          <w:rFonts w:cs="Arial"/>
        </w:rPr>
        <w:t xml:space="preserve">causados </w:t>
      </w:r>
      <w:r w:rsidR="00744FB7" w:rsidRPr="00BD1319">
        <w:rPr>
          <w:rFonts w:cs="Arial"/>
        </w:rPr>
        <w:t xml:space="preserve">sobre el medio socioeconómico </w:t>
      </w:r>
      <w:r w:rsidR="00AD1136" w:rsidRPr="00BD1319">
        <w:rPr>
          <w:rFonts w:cs="Arial"/>
        </w:rPr>
        <w:t xml:space="preserve">que tienen origen de forma indirecta en </w:t>
      </w:r>
      <w:r w:rsidR="00744FB7" w:rsidRPr="00BD1319">
        <w:rPr>
          <w:rFonts w:cs="Arial"/>
        </w:rPr>
        <w:t xml:space="preserve">otros </w:t>
      </w:r>
      <w:r w:rsidRPr="00BD1319">
        <w:rPr>
          <w:rFonts w:cs="Arial"/>
        </w:rPr>
        <w:t xml:space="preserve">impactos </w:t>
      </w:r>
      <w:r w:rsidR="00744FB7" w:rsidRPr="00BD1319">
        <w:rPr>
          <w:rFonts w:cs="Arial"/>
        </w:rPr>
        <w:t xml:space="preserve">del proyecto sobre </w:t>
      </w:r>
      <w:r w:rsidRPr="00BD1319">
        <w:rPr>
          <w:rFonts w:cs="Arial"/>
        </w:rPr>
        <w:t>los medios abiótico, biótico y socioeconómico.</w:t>
      </w:r>
    </w:p>
    <w:p w14:paraId="73FD2FA0" w14:textId="77777777" w:rsidR="00744FB7" w:rsidRPr="00BD1319" w:rsidRDefault="00744FB7" w:rsidP="00BD53D6">
      <w:pPr>
        <w:numPr>
          <w:ilvl w:val="12"/>
          <w:numId w:val="0"/>
        </w:numPr>
        <w:tabs>
          <w:tab w:val="left" w:pos="-2268"/>
        </w:tabs>
        <w:suppressAutoHyphens/>
        <w:rPr>
          <w:rFonts w:cs="Arial"/>
        </w:rPr>
      </w:pPr>
    </w:p>
    <w:p w14:paraId="071DB422" w14:textId="58D6CD8A" w:rsidR="00744FB7" w:rsidRPr="00BD1319" w:rsidRDefault="00744FB7" w:rsidP="00744FB7">
      <w:pPr>
        <w:numPr>
          <w:ilvl w:val="12"/>
          <w:numId w:val="0"/>
        </w:numPr>
        <w:tabs>
          <w:tab w:val="left" w:pos="-2268"/>
        </w:tabs>
        <w:suppressAutoHyphens/>
        <w:rPr>
          <w:rFonts w:cs="Arial"/>
          <w:spacing w:val="-3"/>
        </w:rPr>
      </w:pPr>
      <w:r w:rsidRPr="00BD1319">
        <w:rPr>
          <w:rFonts w:cs="Arial"/>
          <w:spacing w:val="-3"/>
        </w:rPr>
        <w:t xml:space="preserve">Asimismo, la determinación de impactos debe considerar que la propuesta de desarrollo puede desencadenar impactos sinérgicos e impactos con la capacidad de </w:t>
      </w:r>
      <w:r w:rsidRPr="00BD1319">
        <w:rPr>
          <w:rFonts w:cs="Arial"/>
          <w:iCs/>
          <w:spacing w:val="-3"/>
        </w:rPr>
        <w:t>acumularse en el tiempo</w:t>
      </w:r>
      <w:r w:rsidRPr="00BD1319">
        <w:rPr>
          <w:rFonts w:cs="Arial"/>
          <w:spacing w:val="-3"/>
        </w:rPr>
        <w:t>.</w:t>
      </w:r>
      <w:r w:rsidR="004B192B" w:rsidRPr="00BD1319">
        <w:rPr>
          <w:rFonts w:cs="Arial"/>
          <w:spacing w:val="-3"/>
        </w:rPr>
        <w:t xml:space="preserve"> </w:t>
      </w:r>
      <w:r w:rsidR="005A4981" w:rsidRPr="00BD1319">
        <w:rPr>
          <w:rFonts w:cs="Arial"/>
          <w:spacing w:val="-3"/>
        </w:rPr>
        <w:t xml:space="preserve">En el numeral </w:t>
      </w:r>
      <w:r w:rsidR="008C5243" w:rsidRPr="00BD1319">
        <w:rPr>
          <w:rFonts w:cs="Arial"/>
          <w:spacing w:val="-3"/>
        </w:rPr>
        <w:fldChar w:fldCharType="begin"/>
      </w:r>
      <w:r w:rsidR="008C5243" w:rsidRPr="00BD1319">
        <w:rPr>
          <w:rFonts w:cs="Arial"/>
          <w:spacing w:val="-3"/>
        </w:rPr>
        <w:instrText xml:space="preserve"> REF _Ref148077260 \r \h </w:instrText>
      </w:r>
      <w:r w:rsidR="00BD1319">
        <w:rPr>
          <w:rFonts w:cs="Arial"/>
          <w:spacing w:val="-3"/>
        </w:rPr>
        <w:instrText xml:space="preserve"> \* MERGEFORMAT </w:instrText>
      </w:r>
      <w:r w:rsidR="008C5243" w:rsidRPr="00BD1319">
        <w:rPr>
          <w:rFonts w:cs="Arial"/>
          <w:spacing w:val="-3"/>
        </w:rPr>
      </w:r>
      <w:r w:rsidR="008C5243" w:rsidRPr="00BD1319">
        <w:rPr>
          <w:rFonts w:cs="Arial"/>
          <w:spacing w:val="-3"/>
        </w:rPr>
        <w:fldChar w:fldCharType="separate"/>
      </w:r>
      <w:r w:rsidR="00296654" w:rsidRPr="00BD1319">
        <w:rPr>
          <w:rFonts w:cs="Arial"/>
          <w:spacing w:val="-3"/>
        </w:rPr>
        <w:t>7.3.4</w:t>
      </w:r>
      <w:r w:rsidR="008C5243" w:rsidRPr="00BD1319">
        <w:rPr>
          <w:rFonts w:cs="Arial"/>
          <w:spacing w:val="-3"/>
        </w:rPr>
        <w:fldChar w:fldCharType="end"/>
      </w:r>
      <w:r w:rsidR="0082276F" w:rsidRPr="00BD1319">
        <w:rPr>
          <w:rFonts w:cs="Arial"/>
          <w:spacing w:val="-3"/>
        </w:rPr>
        <w:t xml:space="preserve"> </w:t>
      </w:r>
      <w:r w:rsidR="005A4981" w:rsidRPr="00BD1319">
        <w:rPr>
          <w:rFonts w:cs="Arial"/>
          <w:spacing w:val="-3"/>
        </w:rPr>
        <w:t>se brindan lineamientos específicos para evaluar</w:t>
      </w:r>
      <w:r w:rsidR="00EB2D82" w:rsidRPr="00BD1319">
        <w:rPr>
          <w:rFonts w:cs="Arial"/>
          <w:spacing w:val="-3"/>
        </w:rPr>
        <w:t>los</w:t>
      </w:r>
      <w:r w:rsidR="005A4981" w:rsidRPr="00BD1319">
        <w:rPr>
          <w:rFonts w:cs="Arial"/>
          <w:spacing w:val="-3"/>
        </w:rPr>
        <w:t>.</w:t>
      </w:r>
    </w:p>
    <w:p w14:paraId="34578B0E" w14:textId="77777777" w:rsidR="00E63F45" w:rsidRPr="00BD1319" w:rsidRDefault="00E63F45" w:rsidP="00E63F45">
      <w:pPr>
        <w:numPr>
          <w:ilvl w:val="12"/>
          <w:numId w:val="0"/>
        </w:numPr>
        <w:tabs>
          <w:tab w:val="left" w:pos="-2268"/>
        </w:tabs>
        <w:suppressAutoHyphens/>
        <w:rPr>
          <w:rFonts w:cs="Arial"/>
          <w:spacing w:val="-3"/>
        </w:rPr>
      </w:pPr>
    </w:p>
    <w:p w14:paraId="1D7E67BD" w14:textId="33D5B925" w:rsidR="00E63F45" w:rsidRPr="00BD1319" w:rsidRDefault="00E63F45" w:rsidP="00E63F45">
      <w:pPr>
        <w:numPr>
          <w:ilvl w:val="12"/>
          <w:numId w:val="0"/>
        </w:numPr>
        <w:tabs>
          <w:tab w:val="left" w:pos="-2268"/>
        </w:tabs>
        <w:suppressAutoHyphens/>
        <w:rPr>
          <w:rFonts w:cs="Arial"/>
          <w:spacing w:val="-3"/>
        </w:rPr>
      </w:pPr>
      <w:r w:rsidRPr="00BD1319">
        <w:rPr>
          <w:rFonts w:cs="Arial"/>
          <w:spacing w:val="-3"/>
        </w:rPr>
        <w:t xml:space="preserve">La determinación de impactos </w:t>
      </w:r>
      <w:r w:rsidR="0082276F" w:rsidRPr="00BD1319">
        <w:rPr>
          <w:rFonts w:cs="Arial"/>
          <w:spacing w:val="-3"/>
        </w:rPr>
        <w:t xml:space="preserve">aborda </w:t>
      </w:r>
      <w:r w:rsidRPr="00BD1319">
        <w:rPr>
          <w:rFonts w:cs="Arial"/>
          <w:spacing w:val="-3"/>
        </w:rPr>
        <w:t>también aquellos que el proyecto, obra o actividad ocasiona en el paisaje y los servicios ecosistémicos, de modo que resulta imprescindible estudiar las relaciones entre los factores biofísicos y socioeconómicos del ambiente para establecer, de acuerdo con las características propias de las actividades a ejecutar, qué parámetros (cualitativos o cuantitativos) referidos al paisaje o a estos servicios, resultarían alterados de forma directa o indirecta.</w:t>
      </w:r>
    </w:p>
    <w:p w14:paraId="04F2BD43" w14:textId="77777777" w:rsidR="0009764E" w:rsidRPr="00BD1319" w:rsidRDefault="0009764E" w:rsidP="004A1C59">
      <w:pPr>
        <w:overflowPunct/>
        <w:textAlignment w:val="auto"/>
        <w:rPr>
          <w:color w:val="000000"/>
        </w:rPr>
      </w:pPr>
    </w:p>
    <w:p w14:paraId="20868A8F" w14:textId="470B9070" w:rsidR="00EB2D82" w:rsidRPr="00BD1319" w:rsidRDefault="00291E57" w:rsidP="004A1C59">
      <w:pPr>
        <w:overflowPunct/>
        <w:textAlignment w:val="auto"/>
        <w:rPr>
          <w:color w:val="000000"/>
        </w:rPr>
      </w:pPr>
      <w:r w:rsidRPr="00BD1319">
        <w:rPr>
          <w:color w:val="000000"/>
        </w:rPr>
        <w:t>Los impactos determinados deben ser descritos de forma sucinta señalando en qué consisten</w:t>
      </w:r>
      <w:r w:rsidR="00EB2D82" w:rsidRPr="00BD1319">
        <w:rPr>
          <w:color w:val="000000"/>
        </w:rPr>
        <w:t xml:space="preserve"> y cómo, dónde, cuándo</w:t>
      </w:r>
      <w:r w:rsidR="00BC05FF" w:rsidRPr="00BD1319">
        <w:rPr>
          <w:color w:val="000000"/>
        </w:rPr>
        <w:t>,</w:t>
      </w:r>
      <w:r w:rsidR="00EB2D82" w:rsidRPr="00BD1319">
        <w:rPr>
          <w:color w:val="000000"/>
        </w:rPr>
        <w:t xml:space="preserve"> en qué medida alteran las condiciones ambientales, </w:t>
      </w:r>
      <w:r w:rsidR="002D3D20" w:rsidRPr="00BD1319">
        <w:rPr>
          <w:color w:val="000000"/>
        </w:rPr>
        <w:t xml:space="preserve">y </w:t>
      </w:r>
      <w:r w:rsidR="00EB2D82" w:rsidRPr="00BD1319">
        <w:rPr>
          <w:color w:val="000000"/>
        </w:rPr>
        <w:t>mencionando, de ser posible, cómo varía</w:t>
      </w:r>
      <w:r w:rsidR="002D3D20" w:rsidRPr="00BD1319">
        <w:rPr>
          <w:color w:val="000000"/>
        </w:rPr>
        <w:t>n</w:t>
      </w:r>
      <w:r w:rsidR="00EB2D82" w:rsidRPr="00BD1319">
        <w:rPr>
          <w:color w:val="000000"/>
        </w:rPr>
        <w:t xml:space="preserve"> en el tiempo.</w:t>
      </w:r>
    </w:p>
    <w:p w14:paraId="2B02DEC5" w14:textId="77777777" w:rsidR="00EB2D82" w:rsidRPr="00BD1319" w:rsidRDefault="00EB2D82" w:rsidP="004A1C59">
      <w:pPr>
        <w:overflowPunct/>
        <w:textAlignment w:val="auto"/>
        <w:rPr>
          <w:color w:val="000000"/>
        </w:rPr>
      </w:pPr>
    </w:p>
    <w:p w14:paraId="74487E94" w14:textId="39C84CC5" w:rsidR="00E63F45" w:rsidRPr="00BD1319" w:rsidRDefault="00E63F45" w:rsidP="00216955">
      <w:pPr>
        <w:pStyle w:val="Ttulo3"/>
      </w:pPr>
      <w:bookmarkStart w:id="3262" w:name="_Toc138760031"/>
      <w:bookmarkStart w:id="3263" w:name="_Toc153811872"/>
      <w:bookmarkStart w:id="3264" w:name="_Toc153812086"/>
      <w:bookmarkStart w:id="3265" w:name="_Toc153812491"/>
      <w:bookmarkStart w:id="3266" w:name="_Toc153817519"/>
      <w:bookmarkStart w:id="3267" w:name="_Toc158907202"/>
      <w:bookmarkStart w:id="3268" w:name="_Toc159826202"/>
      <w:bookmarkStart w:id="3269" w:name="_Toc159826636"/>
      <w:bookmarkStart w:id="3270" w:name="_Toc175326476"/>
      <w:bookmarkStart w:id="3271" w:name="_Ref137114509"/>
      <w:bookmarkStart w:id="3272" w:name="_Toc175326806"/>
      <w:bookmarkEnd w:id="3262"/>
      <w:bookmarkEnd w:id="3263"/>
      <w:bookmarkEnd w:id="3264"/>
      <w:bookmarkEnd w:id="3265"/>
      <w:bookmarkEnd w:id="3266"/>
      <w:bookmarkEnd w:id="3267"/>
      <w:bookmarkEnd w:id="3268"/>
      <w:bookmarkEnd w:id="3269"/>
      <w:bookmarkEnd w:id="3270"/>
      <w:r w:rsidRPr="00BD1319">
        <w:t>Valoración</w:t>
      </w:r>
      <w:bookmarkEnd w:id="3271"/>
      <w:r w:rsidR="00A64E70" w:rsidRPr="00BD1319">
        <w:t xml:space="preserve"> en el escenario con proyecto</w:t>
      </w:r>
      <w:bookmarkEnd w:id="3272"/>
    </w:p>
    <w:p w14:paraId="7D798DE3" w14:textId="77777777" w:rsidR="00F97F99" w:rsidRPr="00BD1319" w:rsidRDefault="00F97F99" w:rsidP="00E63F45">
      <w:pPr>
        <w:numPr>
          <w:ilvl w:val="12"/>
          <w:numId w:val="0"/>
        </w:numPr>
        <w:tabs>
          <w:tab w:val="left" w:pos="-2268"/>
        </w:tabs>
        <w:suppressAutoHyphens/>
        <w:rPr>
          <w:rFonts w:cs="Arial"/>
          <w:spacing w:val="-3"/>
        </w:rPr>
      </w:pPr>
    </w:p>
    <w:p w14:paraId="20754A71" w14:textId="4A9EF05F" w:rsidR="003F28B9" w:rsidRPr="00BD1319" w:rsidRDefault="003F28B9" w:rsidP="003F28B9">
      <w:pPr>
        <w:overflowPunct/>
        <w:textAlignment w:val="auto"/>
        <w:rPr>
          <w:rFonts w:cs="Arial"/>
          <w:spacing w:val="-3"/>
        </w:rPr>
      </w:pPr>
      <w:r w:rsidRPr="00BD1319">
        <w:rPr>
          <w:color w:val="000000"/>
        </w:rPr>
        <w:t xml:space="preserve">La valoración debe realizarse para todos los impactos positivos y negativos determinados previamente, así como </w:t>
      </w:r>
      <w:r w:rsidR="001A5057" w:rsidRPr="00BD1319">
        <w:rPr>
          <w:rFonts w:cs="Arial"/>
          <w:spacing w:val="-3"/>
        </w:rPr>
        <w:t xml:space="preserve">considerar las variaciones y tendencias </w:t>
      </w:r>
      <w:r w:rsidR="00F45523" w:rsidRPr="00BD1319">
        <w:rPr>
          <w:rFonts w:cs="Arial"/>
          <w:spacing w:val="-3"/>
        </w:rPr>
        <w:t xml:space="preserve">ambientales </w:t>
      </w:r>
      <w:r w:rsidR="001A5057" w:rsidRPr="00BD1319">
        <w:rPr>
          <w:rFonts w:cs="Arial"/>
          <w:spacing w:val="-3"/>
        </w:rPr>
        <w:t xml:space="preserve">esperadas en </w:t>
      </w:r>
      <w:r w:rsidR="00F97F99" w:rsidRPr="00BD1319">
        <w:rPr>
          <w:rFonts w:cs="Arial"/>
          <w:spacing w:val="-3"/>
        </w:rPr>
        <w:t>el escenario sin proyecto</w:t>
      </w:r>
      <w:r w:rsidR="001A5057" w:rsidRPr="00BD1319">
        <w:rPr>
          <w:rFonts w:cs="Arial"/>
          <w:spacing w:val="-3"/>
        </w:rPr>
        <w:t>, con el fin</w:t>
      </w:r>
      <w:r w:rsidR="00F97F99" w:rsidRPr="00BD1319">
        <w:rPr>
          <w:rFonts w:cs="Arial"/>
          <w:spacing w:val="-3"/>
        </w:rPr>
        <w:t xml:space="preserve"> </w:t>
      </w:r>
      <w:r w:rsidR="001A5057" w:rsidRPr="00BD1319">
        <w:rPr>
          <w:rFonts w:cs="Arial"/>
          <w:spacing w:val="-3"/>
        </w:rPr>
        <w:t>de establecer la</w:t>
      </w:r>
      <w:r w:rsidR="00730600" w:rsidRPr="00BD1319">
        <w:rPr>
          <w:rFonts w:cs="Arial"/>
          <w:spacing w:val="-3"/>
        </w:rPr>
        <w:t>s</w:t>
      </w:r>
      <w:r w:rsidR="001A5057" w:rsidRPr="00BD1319">
        <w:rPr>
          <w:rFonts w:cs="Arial"/>
          <w:spacing w:val="-3"/>
        </w:rPr>
        <w:t xml:space="preserve"> diferencia</w:t>
      </w:r>
      <w:r w:rsidR="00730600" w:rsidRPr="00BD1319">
        <w:rPr>
          <w:rFonts w:cs="Arial"/>
          <w:spacing w:val="-3"/>
        </w:rPr>
        <w:t>s</w:t>
      </w:r>
      <w:r w:rsidR="001A5057" w:rsidRPr="00BD1319">
        <w:rPr>
          <w:rFonts w:cs="Arial"/>
          <w:spacing w:val="-3"/>
        </w:rPr>
        <w:t xml:space="preserve"> </w:t>
      </w:r>
      <w:r w:rsidRPr="00BD1319">
        <w:rPr>
          <w:rFonts w:cs="Arial"/>
          <w:spacing w:val="-3"/>
        </w:rPr>
        <w:t xml:space="preserve">entre escenarios </w:t>
      </w:r>
      <w:r w:rsidR="00730600" w:rsidRPr="00BD1319">
        <w:rPr>
          <w:rFonts w:cs="Arial"/>
          <w:spacing w:val="-3"/>
        </w:rPr>
        <w:t xml:space="preserve">y en tal medida valorar </w:t>
      </w:r>
      <w:r w:rsidRPr="00BD1319">
        <w:rPr>
          <w:rFonts w:cs="Arial"/>
          <w:spacing w:val="-3"/>
        </w:rPr>
        <w:t xml:space="preserve">los </w:t>
      </w:r>
      <w:r w:rsidR="00730600" w:rsidRPr="00BD1319">
        <w:rPr>
          <w:rFonts w:cs="Arial"/>
          <w:spacing w:val="-3"/>
        </w:rPr>
        <w:t>impactos</w:t>
      </w:r>
      <w:r w:rsidRPr="00BD1319">
        <w:rPr>
          <w:rFonts w:cs="Arial"/>
          <w:spacing w:val="-3"/>
        </w:rPr>
        <w:t xml:space="preserve"> del escenario con proyecto</w:t>
      </w:r>
      <w:r w:rsidR="001A5057" w:rsidRPr="00BD1319">
        <w:rPr>
          <w:rFonts w:cs="Arial"/>
          <w:spacing w:val="-3"/>
        </w:rPr>
        <w:t>.</w:t>
      </w:r>
    </w:p>
    <w:p w14:paraId="74004247" w14:textId="77777777" w:rsidR="003F28B9" w:rsidRPr="00BD1319" w:rsidRDefault="003F28B9" w:rsidP="003F28B9">
      <w:pPr>
        <w:overflowPunct/>
        <w:textAlignment w:val="auto"/>
        <w:rPr>
          <w:rFonts w:cs="Arial"/>
          <w:spacing w:val="-3"/>
        </w:rPr>
      </w:pPr>
    </w:p>
    <w:p w14:paraId="00D96556" w14:textId="45D13640" w:rsidR="001A5057" w:rsidRPr="00BD1319" w:rsidRDefault="00730600" w:rsidP="008A4FE9">
      <w:pPr>
        <w:overflowPunct/>
        <w:textAlignment w:val="auto"/>
        <w:rPr>
          <w:rFonts w:cs="Arial"/>
          <w:spacing w:val="-3"/>
        </w:rPr>
      </w:pPr>
      <w:r w:rsidRPr="00BD1319">
        <w:rPr>
          <w:rFonts w:cs="Arial"/>
          <w:spacing w:val="-3"/>
        </w:rPr>
        <w:t xml:space="preserve">Dependiendo del método de </w:t>
      </w:r>
      <w:r w:rsidR="004758B0" w:rsidRPr="00BD1319">
        <w:rPr>
          <w:rFonts w:cs="Arial"/>
          <w:spacing w:val="-3"/>
        </w:rPr>
        <w:t xml:space="preserve">valoración </w:t>
      </w:r>
      <w:r w:rsidRPr="00BD1319">
        <w:rPr>
          <w:rFonts w:cs="Arial"/>
          <w:spacing w:val="-3"/>
        </w:rPr>
        <w:t>empleado y de ser posible, la comparación debe medir con escalas cuantitativas las diferencias</w:t>
      </w:r>
      <w:r w:rsidR="00F45523" w:rsidRPr="00BD1319">
        <w:rPr>
          <w:rFonts w:cs="Arial"/>
          <w:spacing w:val="-3"/>
        </w:rPr>
        <w:t xml:space="preserve"> entre escenarios</w:t>
      </w:r>
      <w:r w:rsidR="004E46FF" w:rsidRPr="00BD1319">
        <w:rPr>
          <w:rFonts w:cs="Arial"/>
          <w:spacing w:val="-3"/>
        </w:rPr>
        <w:t>.</w:t>
      </w:r>
      <w:r w:rsidRPr="00BD1319">
        <w:rPr>
          <w:rFonts w:cs="Arial"/>
          <w:spacing w:val="-3"/>
        </w:rPr>
        <w:t xml:space="preserve"> </w:t>
      </w:r>
      <w:r w:rsidR="004E46FF" w:rsidRPr="00BD1319">
        <w:rPr>
          <w:rFonts w:cs="Arial"/>
          <w:spacing w:val="-3"/>
        </w:rPr>
        <w:t>A</w:t>
      </w:r>
      <w:r w:rsidRPr="00BD1319">
        <w:rPr>
          <w:rFonts w:cs="Arial"/>
          <w:spacing w:val="-3"/>
        </w:rPr>
        <w:t xml:space="preserve">l emplear métodos basados en </w:t>
      </w:r>
      <w:r w:rsidR="004E46FF" w:rsidRPr="00BD1319">
        <w:rPr>
          <w:rFonts w:cs="Arial"/>
          <w:spacing w:val="-3"/>
        </w:rPr>
        <w:t>el análisis de redes</w:t>
      </w:r>
      <w:r w:rsidRPr="00BD1319">
        <w:rPr>
          <w:rFonts w:cs="Arial"/>
          <w:spacing w:val="-3"/>
        </w:rPr>
        <w:t xml:space="preserve">, </w:t>
      </w:r>
      <w:r w:rsidR="00F45523" w:rsidRPr="00BD1319">
        <w:rPr>
          <w:rFonts w:cs="Arial"/>
          <w:spacing w:val="-3"/>
        </w:rPr>
        <w:t xml:space="preserve">el análisis de estas </w:t>
      </w:r>
      <w:r w:rsidRPr="00BD1319">
        <w:rPr>
          <w:rFonts w:cs="Arial"/>
          <w:spacing w:val="-3"/>
        </w:rPr>
        <w:t>diferencias debe enfocarse en determinar los impactos adicionales generados por el proyecto, obra o actividad y en establecer la variaci</w:t>
      </w:r>
      <w:r w:rsidR="00F45523" w:rsidRPr="00BD1319">
        <w:rPr>
          <w:rFonts w:cs="Arial"/>
          <w:spacing w:val="-3"/>
        </w:rPr>
        <w:t>ón</w:t>
      </w:r>
      <w:r w:rsidRPr="00BD1319">
        <w:rPr>
          <w:rFonts w:cs="Arial"/>
          <w:spacing w:val="-3"/>
        </w:rPr>
        <w:t xml:space="preserve"> en el total de relaciones (grado total) de los nodos que se fijen (actividades o impactos).</w:t>
      </w:r>
    </w:p>
    <w:p w14:paraId="2C78790B" w14:textId="77777777" w:rsidR="001A5057" w:rsidRPr="00BD1319" w:rsidRDefault="001A5057" w:rsidP="00E63F45">
      <w:pPr>
        <w:numPr>
          <w:ilvl w:val="12"/>
          <w:numId w:val="0"/>
        </w:numPr>
        <w:tabs>
          <w:tab w:val="left" w:pos="-2268"/>
        </w:tabs>
        <w:suppressAutoHyphens/>
        <w:rPr>
          <w:rFonts w:cs="Arial"/>
          <w:spacing w:val="-3"/>
        </w:rPr>
      </w:pPr>
    </w:p>
    <w:p w14:paraId="4B9C25CE" w14:textId="6C5AC6E6" w:rsidR="00ED0A2C" w:rsidRPr="00BD1319" w:rsidRDefault="004758B0" w:rsidP="00ED0A2C">
      <w:pPr>
        <w:overflowPunct/>
        <w:textAlignment w:val="auto"/>
        <w:rPr>
          <w:color w:val="000000"/>
        </w:rPr>
      </w:pPr>
      <w:r w:rsidRPr="00BD1319">
        <w:rPr>
          <w:rFonts w:cs="Arial"/>
          <w:spacing w:val="-3"/>
        </w:rPr>
        <w:t>Al estudiar la manifestación de los impactos en el tiempo y en el espacio</w:t>
      </w:r>
      <w:r w:rsidR="004E46FF" w:rsidRPr="00BD1319">
        <w:rPr>
          <w:rFonts w:cs="Arial"/>
          <w:spacing w:val="-3"/>
        </w:rPr>
        <w:t xml:space="preserve"> (según las </w:t>
      </w:r>
      <w:r w:rsidR="004E46FF" w:rsidRPr="00BD1319">
        <w:rPr>
          <w:color w:val="000000"/>
        </w:rPr>
        <w:t>fases de ejecución del proyecto</w:t>
      </w:r>
      <w:r w:rsidR="004E46FF" w:rsidRPr="00BD1319">
        <w:rPr>
          <w:rFonts w:cs="Arial"/>
          <w:spacing w:val="-3"/>
        </w:rPr>
        <w:t>)</w:t>
      </w:r>
      <w:r w:rsidRPr="00BD1319">
        <w:rPr>
          <w:rFonts w:cs="Arial"/>
          <w:spacing w:val="-3"/>
        </w:rPr>
        <w:t xml:space="preserve">, y concluir que </w:t>
      </w:r>
      <w:r w:rsidR="00ED0A2C" w:rsidRPr="00BD1319">
        <w:rPr>
          <w:color w:val="000000"/>
        </w:rPr>
        <w:t>exist</w:t>
      </w:r>
      <w:r w:rsidRPr="00BD1319">
        <w:rPr>
          <w:color w:val="000000"/>
        </w:rPr>
        <w:t>e</w:t>
      </w:r>
      <w:r w:rsidR="00ED0A2C" w:rsidRPr="00BD1319">
        <w:rPr>
          <w:color w:val="000000"/>
        </w:rPr>
        <w:t xml:space="preserve"> un alto grado de incertidumbre acerca de la magnitud o alcance de </w:t>
      </w:r>
      <w:r w:rsidRPr="00BD1319">
        <w:rPr>
          <w:color w:val="000000"/>
        </w:rPr>
        <w:t>uno de ellos</w:t>
      </w:r>
      <w:r w:rsidR="00ED0A2C" w:rsidRPr="00BD1319">
        <w:rPr>
          <w:color w:val="000000"/>
        </w:rPr>
        <w:t xml:space="preserve">, </w:t>
      </w:r>
      <w:r w:rsidRPr="00BD1319">
        <w:rPr>
          <w:color w:val="000000"/>
        </w:rPr>
        <w:t xml:space="preserve">las </w:t>
      </w:r>
      <w:r w:rsidR="00ED0A2C" w:rsidRPr="00BD1319">
        <w:rPr>
          <w:color w:val="000000"/>
        </w:rPr>
        <w:t xml:space="preserve">predicciones </w:t>
      </w:r>
      <w:r w:rsidRPr="00BD1319">
        <w:rPr>
          <w:color w:val="000000"/>
        </w:rPr>
        <w:t xml:space="preserve">deben realizarse </w:t>
      </w:r>
      <w:r w:rsidR="00ED0A2C" w:rsidRPr="00BD1319">
        <w:rPr>
          <w:color w:val="000000"/>
        </w:rPr>
        <w:t>para el escenario más crítico posible</w:t>
      </w:r>
      <w:r w:rsidRPr="00BD1319">
        <w:rPr>
          <w:color w:val="000000"/>
        </w:rPr>
        <w:t xml:space="preserve">, es decir, </w:t>
      </w:r>
      <w:r w:rsidR="000B666B" w:rsidRPr="00BD1319">
        <w:rPr>
          <w:color w:val="000000"/>
        </w:rPr>
        <w:t>debe</w:t>
      </w:r>
      <w:r w:rsidR="004E46FF" w:rsidRPr="00BD1319">
        <w:rPr>
          <w:color w:val="000000"/>
        </w:rPr>
        <w:t>n</w:t>
      </w:r>
      <w:r w:rsidR="000B666B" w:rsidRPr="00BD1319">
        <w:rPr>
          <w:color w:val="000000"/>
        </w:rPr>
        <w:t xml:space="preserve"> </w:t>
      </w:r>
      <w:r w:rsidR="00E23939" w:rsidRPr="00BD1319">
        <w:rPr>
          <w:color w:val="000000"/>
        </w:rPr>
        <w:t xml:space="preserve">tomar como referente </w:t>
      </w:r>
      <w:r w:rsidR="000B666B" w:rsidRPr="00BD1319">
        <w:rPr>
          <w:color w:val="000000"/>
        </w:rPr>
        <w:t xml:space="preserve">el </w:t>
      </w:r>
      <w:r w:rsidR="00ED0A2C" w:rsidRPr="00BD1319">
        <w:rPr>
          <w:color w:val="000000"/>
        </w:rPr>
        <w:t>impacto con mayor grado de significancia negativa que haya ocurrido históricamente por el desarrollo de la actividad o tipo de proyecto objeto de estudio</w:t>
      </w:r>
      <w:r w:rsidR="00E84039" w:rsidRPr="00BD1319">
        <w:rPr>
          <w:rStyle w:val="Refdenotaalpie"/>
          <w:color w:val="000000"/>
        </w:rPr>
        <w:footnoteReference w:id="192"/>
      </w:r>
      <w:r w:rsidR="004E46FF" w:rsidRPr="00BD1319">
        <w:rPr>
          <w:color w:val="000000"/>
        </w:rPr>
        <w:t>.</w:t>
      </w:r>
      <w:r w:rsidR="00E23939" w:rsidRPr="00BD1319">
        <w:rPr>
          <w:color w:val="000000"/>
        </w:rPr>
        <w:t xml:space="preserve"> </w:t>
      </w:r>
      <w:r w:rsidR="004E46FF" w:rsidRPr="00BD1319">
        <w:rPr>
          <w:color w:val="000000"/>
        </w:rPr>
        <w:t>E</w:t>
      </w:r>
      <w:r w:rsidR="000B666B" w:rsidRPr="00BD1319">
        <w:rPr>
          <w:color w:val="000000"/>
        </w:rPr>
        <w:t xml:space="preserve">n </w:t>
      </w:r>
      <w:r w:rsidR="00ED0A2C" w:rsidRPr="00BD1319">
        <w:rPr>
          <w:color w:val="000000"/>
        </w:rPr>
        <w:t>consecuen</w:t>
      </w:r>
      <w:r w:rsidR="000B666B" w:rsidRPr="00BD1319">
        <w:rPr>
          <w:color w:val="000000"/>
        </w:rPr>
        <w:t>cia</w:t>
      </w:r>
      <w:r w:rsidR="00ED0A2C" w:rsidRPr="00BD1319">
        <w:rPr>
          <w:color w:val="000000"/>
        </w:rPr>
        <w:t xml:space="preserve">, </w:t>
      </w:r>
      <w:r w:rsidR="000B666B" w:rsidRPr="00BD1319">
        <w:rPr>
          <w:color w:val="000000"/>
        </w:rPr>
        <w:t xml:space="preserve">los </w:t>
      </w:r>
      <w:r w:rsidR="00ED0A2C" w:rsidRPr="00BD1319">
        <w:rPr>
          <w:color w:val="000000"/>
        </w:rPr>
        <w:t xml:space="preserve">impactos </w:t>
      </w:r>
      <w:r w:rsidR="000B666B" w:rsidRPr="00BD1319">
        <w:rPr>
          <w:color w:val="000000"/>
        </w:rPr>
        <w:t xml:space="preserve">con alta incertidumbre </w:t>
      </w:r>
      <w:r w:rsidR="00ED0A2C" w:rsidRPr="00BD1319">
        <w:rPr>
          <w:color w:val="000000"/>
        </w:rPr>
        <w:t xml:space="preserve">deben ser valorados con el mayor valor posible </w:t>
      </w:r>
      <w:r w:rsidR="000B666B" w:rsidRPr="00BD1319">
        <w:rPr>
          <w:color w:val="000000"/>
        </w:rPr>
        <w:t xml:space="preserve">de significancia </w:t>
      </w:r>
      <w:r w:rsidR="00ED0A2C" w:rsidRPr="00BD1319">
        <w:rPr>
          <w:color w:val="000000"/>
        </w:rPr>
        <w:t xml:space="preserve">de acuerdo con </w:t>
      </w:r>
      <w:r w:rsidR="00E23939" w:rsidRPr="00BD1319">
        <w:rPr>
          <w:color w:val="000000"/>
        </w:rPr>
        <w:t>el método empleado</w:t>
      </w:r>
      <w:r w:rsidR="00ED0A2C" w:rsidRPr="00BD1319">
        <w:rPr>
          <w:color w:val="000000"/>
        </w:rPr>
        <w:t>.</w:t>
      </w:r>
    </w:p>
    <w:p w14:paraId="3EFD00AE" w14:textId="77777777" w:rsidR="004758B0" w:rsidRPr="00BD1319" w:rsidRDefault="004758B0" w:rsidP="00ED0A2C">
      <w:pPr>
        <w:overflowPunct/>
        <w:textAlignment w:val="auto"/>
        <w:rPr>
          <w:color w:val="000000"/>
        </w:rPr>
      </w:pPr>
    </w:p>
    <w:p w14:paraId="7804DB8C" w14:textId="0CBF8ED1" w:rsidR="00E63F45" w:rsidRPr="00BD1319" w:rsidRDefault="00E63F45" w:rsidP="00E63F45">
      <w:pPr>
        <w:numPr>
          <w:ilvl w:val="12"/>
          <w:numId w:val="0"/>
        </w:numPr>
        <w:tabs>
          <w:tab w:val="left" w:pos="-2268"/>
        </w:tabs>
        <w:suppressAutoHyphens/>
        <w:rPr>
          <w:rFonts w:cs="Arial"/>
          <w:spacing w:val="-3"/>
        </w:rPr>
      </w:pPr>
      <w:r w:rsidRPr="00BD1319">
        <w:rPr>
          <w:rFonts w:cs="Arial"/>
          <w:spacing w:val="-3"/>
        </w:rPr>
        <w:t xml:space="preserve">Los métodos de valoración de impactos ambientales que se usen deben ofrecer la posibilidad de organizar los impactos que genera </w:t>
      </w:r>
      <w:r w:rsidR="00664FBA" w:rsidRPr="00BD1319">
        <w:rPr>
          <w:rFonts w:cs="Arial"/>
          <w:spacing w:val="-3"/>
        </w:rPr>
        <w:t xml:space="preserve">el </w:t>
      </w:r>
      <w:r w:rsidRPr="00BD1319">
        <w:rPr>
          <w:rFonts w:cs="Arial"/>
          <w:spacing w:val="-3"/>
        </w:rPr>
        <w:t xml:space="preserve">proyecto, obra o actividad, de acuerdo con el grado con el cual </w:t>
      </w:r>
      <w:r w:rsidR="00EB2D82" w:rsidRPr="00BD1319">
        <w:rPr>
          <w:rFonts w:cs="Arial"/>
          <w:spacing w:val="-3"/>
        </w:rPr>
        <w:t xml:space="preserve">puede </w:t>
      </w:r>
      <w:r w:rsidRPr="00BD1319">
        <w:rPr>
          <w:rFonts w:cs="Arial"/>
          <w:spacing w:val="-3"/>
        </w:rPr>
        <w:t>modifica</w:t>
      </w:r>
      <w:r w:rsidR="00EB2D82" w:rsidRPr="00BD1319">
        <w:rPr>
          <w:rFonts w:cs="Arial"/>
          <w:spacing w:val="-3"/>
        </w:rPr>
        <w:t>r</w:t>
      </w:r>
      <w:r w:rsidRPr="00BD1319">
        <w:rPr>
          <w:rFonts w:cs="Arial"/>
          <w:spacing w:val="-3"/>
        </w:rPr>
        <w:t xml:space="preserve"> las condiciones ambientales, no sólo con el propósito de evaluarlos de forma individual, sino también, de evaluar la manera en que el proyecto como conjunto impacta al ambiente. Por ejemplo, si la mayor parte de los impactos ambientales, de acuerdo con la clasificación propia del método elegido, se clasifica en la categoría de mayor grado de impacto, habrá una señal clara sobre las decisiones que deberían tomar tanto los formuladores del proyecto</w:t>
      </w:r>
      <w:r w:rsidRPr="00BD1319">
        <w:rPr>
          <w:spacing w:val="-3"/>
        </w:rPr>
        <w:t>, obra o actividad</w:t>
      </w:r>
      <w:r w:rsidRPr="00BD1319">
        <w:rPr>
          <w:rFonts w:cs="Arial"/>
          <w:spacing w:val="-3"/>
        </w:rPr>
        <w:t xml:space="preserve"> y del estudio ambiental, como las autoridades ambientales que lo evalúen.</w:t>
      </w:r>
    </w:p>
    <w:p w14:paraId="6D676FAF" w14:textId="77777777" w:rsidR="00E63F45" w:rsidRPr="00BD1319" w:rsidRDefault="00E63F45" w:rsidP="00E63F45">
      <w:pPr>
        <w:numPr>
          <w:ilvl w:val="12"/>
          <w:numId w:val="0"/>
        </w:numPr>
        <w:tabs>
          <w:tab w:val="left" w:pos="-2268"/>
        </w:tabs>
        <w:suppressAutoHyphens/>
        <w:rPr>
          <w:rFonts w:cs="Arial"/>
          <w:spacing w:val="-3"/>
        </w:rPr>
      </w:pPr>
    </w:p>
    <w:p w14:paraId="34348715" w14:textId="4D635304" w:rsidR="00E63F45" w:rsidRPr="00BD1319" w:rsidRDefault="00664FBA" w:rsidP="00E63F45">
      <w:pPr>
        <w:numPr>
          <w:ilvl w:val="12"/>
          <w:numId w:val="0"/>
        </w:numPr>
        <w:tabs>
          <w:tab w:val="left" w:pos="-2268"/>
        </w:tabs>
        <w:suppressAutoHyphens/>
        <w:rPr>
          <w:rFonts w:cs="Arial"/>
          <w:spacing w:val="-3"/>
        </w:rPr>
      </w:pPr>
      <w:r w:rsidRPr="00BD1319">
        <w:rPr>
          <w:rFonts w:cs="Arial"/>
          <w:spacing w:val="-3"/>
        </w:rPr>
        <w:t>La c</w:t>
      </w:r>
      <w:r w:rsidR="00E63F45" w:rsidRPr="00BD1319">
        <w:rPr>
          <w:rFonts w:cs="Arial"/>
          <w:spacing w:val="-3"/>
        </w:rPr>
        <w:t>lasifica</w:t>
      </w:r>
      <w:r w:rsidRPr="00BD1319">
        <w:rPr>
          <w:rFonts w:cs="Arial"/>
          <w:spacing w:val="-3"/>
        </w:rPr>
        <w:t xml:space="preserve">ción de </w:t>
      </w:r>
      <w:r w:rsidR="00E63F45" w:rsidRPr="00BD1319">
        <w:rPr>
          <w:rFonts w:cs="Arial"/>
          <w:spacing w:val="-3"/>
        </w:rPr>
        <w:t>los impactos</w:t>
      </w:r>
      <w:r w:rsidRPr="00BD1319">
        <w:rPr>
          <w:rFonts w:cs="Arial"/>
          <w:spacing w:val="-3"/>
        </w:rPr>
        <w:t>,</w:t>
      </w:r>
      <w:r w:rsidR="00E63F45" w:rsidRPr="00BD1319">
        <w:rPr>
          <w:rFonts w:cs="Arial"/>
          <w:spacing w:val="-3"/>
        </w:rPr>
        <w:t xml:space="preserve"> de acuerdo con la valoración que resulte de la aplicación de</w:t>
      </w:r>
      <w:r w:rsidRPr="00BD1319">
        <w:rPr>
          <w:rFonts w:cs="Arial"/>
          <w:spacing w:val="-3"/>
        </w:rPr>
        <w:t xml:space="preserve">l </w:t>
      </w:r>
      <w:r w:rsidR="00E63F45" w:rsidRPr="00BD1319">
        <w:rPr>
          <w:rFonts w:cs="Arial"/>
          <w:spacing w:val="-3"/>
        </w:rPr>
        <w:t xml:space="preserve">método </w:t>
      </w:r>
      <w:r w:rsidRPr="00BD1319">
        <w:rPr>
          <w:rFonts w:cs="Arial"/>
          <w:spacing w:val="-3"/>
        </w:rPr>
        <w:t>seleccionado</w:t>
      </w:r>
      <w:r w:rsidR="00E63F45" w:rsidRPr="00BD1319">
        <w:rPr>
          <w:rFonts w:cs="Arial"/>
          <w:spacing w:val="-3"/>
        </w:rPr>
        <w:t xml:space="preserve">, </w:t>
      </w:r>
      <w:r w:rsidRPr="00BD1319">
        <w:rPr>
          <w:rFonts w:cs="Arial"/>
          <w:spacing w:val="-3"/>
        </w:rPr>
        <w:t xml:space="preserve">debe emplearse para </w:t>
      </w:r>
      <w:r w:rsidR="00E63F45" w:rsidRPr="00BD1319">
        <w:rPr>
          <w:rFonts w:cs="Arial"/>
          <w:spacing w:val="-3"/>
        </w:rPr>
        <w:t>tomar decisiones en consonancia con los lineamientos de la jerarquía de las medidas de manejo; es decir, idealmente y en la medida de lo posible, los impactos que tienen mayor potencial de alteración negativa</w:t>
      </w:r>
      <w:r w:rsidRPr="00BD1319">
        <w:rPr>
          <w:rFonts w:cs="Arial"/>
          <w:spacing w:val="-3"/>
        </w:rPr>
        <w:t xml:space="preserve"> debe</w:t>
      </w:r>
      <w:r w:rsidR="00765FF6" w:rsidRPr="00BD1319">
        <w:rPr>
          <w:rFonts w:cs="Arial"/>
          <w:spacing w:val="-3"/>
        </w:rPr>
        <w:t xml:space="preserve">rían </w:t>
      </w:r>
      <w:r w:rsidRPr="00BD1319">
        <w:rPr>
          <w:rFonts w:cs="Arial"/>
          <w:spacing w:val="-3"/>
        </w:rPr>
        <w:t>ser preven</w:t>
      </w:r>
      <w:r w:rsidR="00765FF6" w:rsidRPr="00BD1319">
        <w:rPr>
          <w:rFonts w:cs="Arial"/>
          <w:spacing w:val="-3"/>
        </w:rPr>
        <w:t>idos</w:t>
      </w:r>
      <w:r w:rsidR="00E63F45" w:rsidRPr="00BD1319">
        <w:rPr>
          <w:rFonts w:cs="Arial"/>
          <w:spacing w:val="-3"/>
        </w:rPr>
        <w:t>, los que tienen un grado intermedio</w:t>
      </w:r>
      <w:r w:rsidRPr="00BD1319">
        <w:rPr>
          <w:rFonts w:cs="Arial"/>
          <w:spacing w:val="-3"/>
        </w:rPr>
        <w:t xml:space="preserve"> </w:t>
      </w:r>
      <w:r w:rsidR="00765FF6" w:rsidRPr="00BD1319">
        <w:rPr>
          <w:rFonts w:cs="Arial"/>
          <w:spacing w:val="-3"/>
        </w:rPr>
        <w:t xml:space="preserve">de potencial de modificación </w:t>
      </w:r>
      <w:r w:rsidR="000779D7" w:rsidRPr="00BD1319">
        <w:rPr>
          <w:rFonts w:cs="Arial"/>
          <w:spacing w:val="-3"/>
        </w:rPr>
        <w:t xml:space="preserve">negativa </w:t>
      </w:r>
      <w:r w:rsidR="00765FF6" w:rsidRPr="00BD1319">
        <w:rPr>
          <w:rFonts w:cs="Arial"/>
          <w:spacing w:val="-3"/>
        </w:rPr>
        <w:t xml:space="preserve">deberían ser </w:t>
      </w:r>
      <w:r w:rsidRPr="00BD1319">
        <w:rPr>
          <w:rFonts w:cs="Arial"/>
          <w:spacing w:val="-3"/>
        </w:rPr>
        <w:t>mitiga</w:t>
      </w:r>
      <w:r w:rsidR="00765FF6" w:rsidRPr="00BD1319">
        <w:rPr>
          <w:rFonts w:cs="Arial"/>
          <w:spacing w:val="-3"/>
        </w:rPr>
        <w:t xml:space="preserve">dos o </w:t>
      </w:r>
      <w:r w:rsidRPr="00BD1319">
        <w:rPr>
          <w:rFonts w:cs="Arial"/>
          <w:spacing w:val="-3"/>
        </w:rPr>
        <w:t>corre</w:t>
      </w:r>
      <w:r w:rsidR="00765FF6" w:rsidRPr="00BD1319">
        <w:rPr>
          <w:rFonts w:cs="Arial"/>
          <w:spacing w:val="-3"/>
        </w:rPr>
        <w:t>gidos</w:t>
      </w:r>
      <w:r w:rsidR="00E63F45" w:rsidRPr="00BD1319">
        <w:rPr>
          <w:rFonts w:cs="Arial"/>
          <w:spacing w:val="-3"/>
        </w:rPr>
        <w:t>, y los impactos de las categorías con menor potencial de afectación</w:t>
      </w:r>
      <w:r w:rsidRPr="00BD1319">
        <w:rPr>
          <w:rFonts w:cs="Arial"/>
          <w:spacing w:val="-3"/>
        </w:rPr>
        <w:t xml:space="preserve"> </w:t>
      </w:r>
      <w:r w:rsidR="000779D7" w:rsidRPr="00BD1319">
        <w:rPr>
          <w:rFonts w:cs="Arial"/>
          <w:spacing w:val="-3"/>
        </w:rPr>
        <w:t xml:space="preserve">negativa </w:t>
      </w:r>
      <w:r w:rsidR="00765FF6" w:rsidRPr="00BD1319">
        <w:rPr>
          <w:rFonts w:cs="Arial"/>
          <w:spacing w:val="-3"/>
        </w:rPr>
        <w:t xml:space="preserve">deberían ser </w:t>
      </w:r>
      <w:r w:rsidRPr="00BD1319">
        <w:rPr>
          <w:rFonts w:cs="Arial"/>
          <w:spacing w:val="-3"/>
        </w:rPr>
        <w:t>compensa</w:t>
      </w:r>
      <w:r w:rsidR="00765FF6" w:rsidRPr="00BD1319">
        <w:rPr>
          <w:rFonts w:cs="Arial"/>
          <w:spacing w:val="-3"/>
        </w:rPr>
        <w:t>dos</w:t>
      </w:r>
      <w:r w:rsidR="00E63F45" w:rsidRPr="00BD1319">
        <w:rPr>
          <w:rFonts w:cs="Arial"/>
          <w:spacing w:val="-3"/>
        </w:rPr>
        <w:t>.</w:t>
      </w:r>
    </w:p>
    <w:p w14:paraId="5E2F09DE" w14:textId="77777777" w:rsidR="00E63F45" w:rsidRPr="00BD1319" w:rsidRDefault="00E63F45" w:rsidP="00E63F45">
      <w:pPr>
        <w:numPr>
          <w:ilvl w:val="12"/>
          <w:numId w:val="0"/>
        </w:numPr>
        <w:tabs>
          <w:tab w:val="left" w:pos="-2268"/>
        </w:tabs>
        <w:suppressAutoHyphens/>
        <w:rPr>
          <w:rFonts w:cs="Arial"/>
          <w:spacing w:val="-3"/>
        </w:rPr>
      </w:pPr>
    </w:p>
    <w:p w14:paraId="56A875FE" w14:textId="7837EFF5" w:rsidR="00DA652F" w:rsidRPr="00BD1319" w:rsidRDefault="009774E8" w:rsidP="00DA652F">
      <w:pPr>
        <w:numPr>
          <w:ilvl w:val="12"/>
          <w:numId w:val="0"/>
        </w:numPr>
        <w:tabs>
          <w:tab w:val="left" w:pos="-2268"/>
        </w:tabs>
        <w:suppressAutoHyphens/>
        <w:rPr>
          <w:rFonts w:cs="Arial"/>
          <w:spacing w:val="-3"/>
        </w:rPr>
      </w:pPr>
      <w:r w:rsidRPr="00BD1319">
        <w:rPr>
          <w:rFonts w:cs="Arial"/>
          <w:spacing w:val="-3"/>
        </w:rPr>
        <w:t>Por otra parte</w:t>
      </w:r>
      <w:r w:rsidR="00DA652F" w:rsidRPr="00BD1319">
        <w:rPr>
          <w:rFonts w:cs="Arial"/>
          <w:spacing w:val="-3"/>
        </w:rPr>
        <w:t xml:space="preserve">, </w:t>
      </w:r>
      <w:r w:rsidRPr="00BD1319">
        <w:rPr>
          <w:rFonts w:cs="Arial"/>
          <w:spacing w:val="-3"/>
        </w:rPr>
        <w:t xml:space="preserve">para </w:t>
      </w:r>
      <w:r w:rsidR="0004331B" w:rsidRPr="00BD1319">
        <w:rPr>
          <w:rFonts w:cs="Arial"/>
          <w:spacing w:val="-3"/>
        </w:rPr>
        <w:t xml:space="preserve">estudiar la forma en que el proyecto, obra o actividad modifica las condiciones ambientales </w:t>
      </w:r>
      <w:r w:rsidRPr="00BD1319">
        <w:rPr>
          <w:rFonts w:cs="Arial"/>
          <w:spacing w:val="-3"/>
        </w:rPr>
        <w:t xml:space="preserve">del área de influencia </w:t>
      </w:r>
      <w:r w:rsidR="0004331B" w:rsidRPr="00BD1319">
        <w:rPr>
          <w:rFonts w:cs="Arial"/>
          <w:spacing w:val="-3"/>
        </w:rPr>
        <w:t>en su conjunto</w:t>
      </w:r>
      <w:r w:rsidRPr="00BD1319">
        <w:rPr>
          <w:rFonts w:cs="Arial"/>
          <w:spacing w:val="-3"/>
        </w:rPr>
        <w:t xml:space="preserve">, </w:t>
      </w:r>
      <w:r w:rsidR="0004331B" w:rsidRPr="00BD1319">
        <w:rPr>
          <w:rFonts w:cs="Arial"/>
          <w:spacing w:val="-3"/>
        </w:rPr>
        <w:t xml:space="preserve">es conveniente </w:t>
      </w:r>
      <w:r w:rsidR="00DA652F" w:rsidRPr="00BD1319">
        <w:rPr>
          <w:rFonts w:cs="Arial"/>
          <w:spacing w:val="-3"/>
        </w:rPr>
        <w:t xml:space="preserve">representar </w:t>
      </w:r>
      <w:r w:rsidR="0004331B" w:rsidRPr="00BD1319">
        <w:rPr>
          <w:rFonts w:cs="Arial"/>
          <w:spacing w:val="-3"/>
        </w:rPr>
        <w:t xml:space="preserve">en un diagrama similar al de Gantt la </w:t>
      </w:r>
      <w:r w:rsidR="00DA652F" w:rsidRPr="00BD1319">
        <w:rPr>
          <w:rFonts w:cs="Arial"/>
          <w:spacing w:val="-3"/>
        </w:rPr>
        <w:t xml:space="preserve">manifestación de los impactos </w:t>
      </w:r>
      <w:r w:rsidR="0004331B" w:rsidRPr="00BD1319">
        <w:rPr>
          <w:rFonts w:cs="Arial"/>
          <w:spacing w:val="-3"/>
        </w:rPr>
        <w:t>el tiempo</w:t>
      </w:r>
      <w:r w:rsidRPr="00BD1319">
        <w:rPr>
          <w:rFonts w:cs="Arial"/>
          <w:spacing w:val="-3"/>
        </w:rPr>
        <w:t xml:space="preserve"> y así determinar </w:t>
      </w:r>
      <w:r w:rsidR="00DA652F" w:rsidRPr="00BD1319">
        <w:rPr>
          <w:rFonts w:cs="Arial"/>
          <w:spacing w:val="-3"/>
        </w:rPr>
        <w:t xml:space="preserve">si hay impactos que </w:t>
      </w:r>
      <w:r w:rsidR="00F97F99" w:rsidRPr="00BD1319">
        <w:rPr>
          <w:rFonts w:cs="Arial"/>
          <w:spacing w:val="-3"/>
        </w:rPr>
        <w:t>ocurr</w:t>
      </w:r>
      <w:r w:rsidRPr="00BD1319">
        <w:rPr>
          <w:rFonts w:cs="Arial"/>
          <w:spacing w:val="-3"/>
        </w:rPr>
        <w:t>e</w:t>
      </w:r>
      <w:r w:rsidR="00F97F99" w:rsidRPr="00BD1319">
        <w:rPr>
          <w:rFonts w:cs="Arial"/>
          <w:spacing w:val="-3"/>
        </w:rPr>
        <w:t xml:space="preserve">n </w:t>
      </w:r>
      <w:r w:rsidR="00DA652F" w:rsidRPr="00BD1319">
        <w:rPr>
          <w:rFonts w:cs="Arial"/>
          <w:spacing w:val="-3"/>
        </w:rPr>
        <w:t xml:space="preserve">de manera simultánea, si tienen la capacidad de interactuar (apoyándose para ello en </w:t>
      </w:r>
      <w:r w:rsidR="00F45A2E" w:rsidRPr="00BD1319">
        <w:rPr>
          <w:rFonts w:cs="Arial"/>
          <w:spacing w:val="-3"/>
        </w:rPr>
        <w:t xml:space="preserve">un </w:t>
      </w:r>
      <w:r w:rsidR="00DA652F" w:rsidRPr="00BD1319">
        <w:rPr>
          <w:rFonts w:cs="Arial"/>
          <w:spacing w:val="-3"/>
        </w:rPr>
        <w:t xml:space="preserve">análisis de causalidad y de redes) y si pueden desencadenar un </w:t>
      </w:r>
      <w:r w:rsidR="00DA652F" w:rsidRPr="00BD1319">
        <w:rPr>
          <w:rFonts w:cs="Arial"/>
          <w:i/>
          <w:iCs/>
          <w:spacing w:val="-3"/>
        </w:rPr>
        <w:t>cambio ambiental acumulativo</w:t>
      </w:r>
      <w:r w:rsidR="00DA652F" w:rsidRPr="00BD1319">
        <w:rPr>
          <w:rStyle w:val="Refdenotaalpie"/>
          <w:rFonts w:cs="Arial"/>
          <w:spacing w:val="-3"/>
          <w:lang w:val="es-CO"/>
        </w:rPr>
        <w:footnoteReference w:id="193"/>
      </w:r>
      <w:r w:rsidR="00DA652F" w:rsidRPr="00BD1319">
        <w:rPr>
          <w:rFonts w:cs="Arial"/>
          <w:spacing w:val="-3"/>
        </w:rPr>
        <w:t xml:space="preserve"> en el área de influencia.</w:t>
      </w:r>
    </w:p>
    <w:p w14:paraId="75837027" w14:textId="77777777" w:rsidR="00DA652F" w:rsidRPr="00BD1319" w:rsidRDefault="00DA652F" w:rsidP="00E63F45">
      <w:pPr>
        <w:numPr>
          <w:ilvl w:val="12"/>
          <w:numId w:val="0"/>
        </w:numPr>
        <w:tabs>
          <w:tab w:val="left" w:pos="-2268"/>
        </w:tabs>
        <w:suppressAutoHyphens/>
        <w:rPr>
          <w:rFonts w:cs="Arial"/>
          <w:spacing w:val="-3"/>
        </w:rPr>
      </w:pPr>
    </w:p>
    <w:p w14:paraId="7923A87E" w14:textId="5048643C" w:rsidR="003F28B9" w:rsidRPr="00BD1319" w:rsidRDefault="003F28B9" w:rsidP="003F28B9">
      <w:pPr>
        <w:overflowPunct/>
        <w:textAlignment w:val="auto"/>
        <w:rPr>
          <w:color w:val="000000"/>
        </w:rPr>
      </w:pPr>
      <w:r w:rsidRPr="00BD1319">
        <w:rPr>
          <w:color w:val="000000"/>
        </w:rPr>
        <w:t xml:space="preserve">La </w:t>
      </w:r>
      <w:r w:rsidR="008F5DE4" w:rsidRPr="00BD1319">
        <w:rPr>
          <w:color w:val="000000"/>
        </w:rPr>
        <w:t xml:space="preserve">valoración </w:t>
      </w:r>
      <w:r w:rsidRPr="00BD1319">
        <w:rPr>
          <w:color w:val="000000"/>
        </w:rPr>
        <w:t xml:space="preserve">de los impactos asociados a conflictos </w:t>
      </w:r>
      <w:r w:rsidR="008C5243" w:rsidRPr="00BD1319">
        <w:rPr>
          <w:color w:val="000000"/>
        </w:rPr>
        <w:t>socio</w:t>
      </w:r>
      <w:r w:rsidRPr="00BD1319">
        <w:rPr>
          <w:color w:val="000000"/>
        </w:rPr>
        <w:t xml:space="preserve">ambientales como los que se presentan por el uso de los recursos naturales (agua, suelo, bosque, entre otros), debe </w:t>
      </w:r>
      <w:r w:rsidR="008F5DE4" w:rsidRPr="00BD1319">
        <w:rPr>
          <w:color w:val="000000"/>
        </w:rPr>
        <w:t xml:space="preserve">prever </w:t>
      </w:r>
      <w:r w:rsidRPr="00BD1319">
        <w:rPr>
          <w:color w:val="000000"/>
        </w:rPr>
        <w:t>cómo los conflictos existentes pueden</w:t>
      </w:r>
      <w:r w:rsidR="008C5243" w:rsidRPr="00BD1319">
        <w:rPr>
          <w:color w:val="000000"/>
        </w:rPr>
        <w:t xml:space="preserve"> tramitarse o</w:t>
      </w:r>
      <w:r w:rsidRPr="00BD1319">
        <w:rPr>
          <w:color w:val="000000"/>
        </w:rPr>
        <w:t xml:space="preserve"> potenciarse </w:t>
      </w:r>
      <w:r w:rsidR="008F5DE4" w:rsidRPr="00BD1319">
        <w:rPr>
          <w:color w:val="000000"/>
        </w:rPr>
        <w:t xml:space="preserve">y cómo </w:t>
      </w:r>
      <w:r w:rsidRPr="00BD1319">
        <w:rPr>
          <w:color w:val="000000"/>
        </w:rPr>
        <w:t xml:space="preserve">podrían configurarse </w:t>
      </w:r>
      <w:r w:rsidR="008F5DE4" w:rsidRPr="00BD1319">
        <w:rPr>
          <w:color w:val="000000"/>
        </w:rPr>
        <w:t xml:space="preserve">nuevos conflictos </w:t>
      </w:r>
      <w:r w:rsidRPr="00BD1319">
        <w:rPr>
          <w:color w:val="000000"/>
        </w:rPr>
        <w:t>debido a la ejecución del proyecto</w:t>
      </w:r>
      <w:r w:rsidR="00AC0075" w:rsidRPr="00BD1319">
        <w:rPr>
          <w:color w:val="000000"/>
        </w:rPr>
        <w:t>, obra o actividad</w:t>
      </w:r>
      <w:r w:rsidRPr="00BD1319">
        <w:rPr>
          <w:color w:val="000000"/>
        </w:rPr>
        <w:t>.</w:t>
      </w:r>
    </w:p>
    <w:p w14:paraId="6803F54A" w14:textId="77777777" w:rsidR="003F28B9" w:rsidRPr="00BD1319" w:rsidRDefault="003F28B9" w:rsidP="003F28B9">
      <w:pPr>
        <w:overflowPunct/>
        <w:textAlignment w:val="auto"/>
        <w:rPr>
          <w:color w:val="000000"/>
        </w:rPr>
      </w:pPr>
    </w:p>
    <w:p w14:paraId="5A63D17B" w14:textId="0919FB51" w:rsidR="0004331B" w:rsidRPr="00BD1319" w:rsidRDefault="0004331B" w:rsidP="00E63F45">
      <w:pPr>
        <w:numPr>
          <w:ilvl w:val="12"/>
          <w:numId w:val="0"/>
        </w:numPr>
        <w:tabs>
          <w:tab w:val="left" w:pos="-2268"/>
        </w:tabs>
        <w:suppressAutoHyphens/>
        <w:rPr>
          <w:rFonts w:cs="Arial"/>
          <w:spacing w:val="-3"/>
        </w:rPr>
      </w:pPr>
      <w:r w:rsidRPr="00BD1319">
        <w:rPr>
          <w:rFonts w:cs="Arial"/>
          <w:spacing w:val="-3"/>
        </w:rPr>
        <w:t>Adicional</w:t>
      </w:r>
      <w:r w:rsidR="009774E8" w:rsidRPr="00BD1319">
        <w:rPr>
          <w:rFonts w:cs="Arial"/>
          <w:spacing w:val="-3"/>
        </w:rPr>
        <w:t xml:space="preserve"> a la </w:t>
      </w:r>
      <w:r w:rsidR="00ED0A2C" w:rsidRPr="00BD1319">
        <w:rPr>
          <w:rFonts w:cs="Arial"/>
          <w:spacing w:val="-3"/>
        </w:rPr>
        <w:t xml:space="preserve">aplicación del método de </w:t>
      </w:r>
      <w:r w:rsidR="009774E8" w:rsidRPr="00BD1319">
        <w:rPr>
          <w:rFonts w:cs="Arial"/>
          <w:spacing w:val="-3"/>
        </w:rPr>
        <w:t>valoración de impactos</w:t>
      </w:r>
      <w:r w:rsidR="00ED0A2C" w:rsidRPr="00BD1319">
        <w:rPr>
          <w:rFonts w:cs="Arial"/>
          <w:spacing w:val="-3"/>
        </w:rPr>
        <w:t xml:space="preserve"> que se seleccione</w:t>
      </w:r>
      <w:r w:rsidRPr="00BD1319">
        <w:rPr>
          <w:rFonts w:cs="Arial"/>
          <w:spacing w:val="-3"/>
        </w:rPr>
        <w:t xml:space="preserve">, </w:t>
      </w:r>
      <w:r w:rsidR="006979EC" w:rsidRPr="00BD1319">
        <w:rPr>
          <w:rFonts w:cs="Arial"/>
          <w:spacing w:val="-3"/>
        </w:rPr>
        <w:t xml:space="preserve">para </w:t>
      </w:r>
      <w:r w:rsidRPr="00BD1319">
        <w:rPr>
          <w:rFonts w:cs="Arial"/>
          <w:spacing w:val="-3"/>
        </w:rPr>
        <w:t>determina</w:t>
      </w:r>
      <w:r w:rsidR="006979EC" w:rsidRPr="00BD1319">
        <w:rPr>
          <w:rFonts w:cs="Arial"/>
          <w:spacing w:val="-3"/>
        </w:rPr>
        <w:t xml:space="preserve">r </w:t>
      </w:r>
      <w:r w:rsidRPr="00BD1319">
        <w:rPr>
          <w:rFonts w:cs="Arial"/>
          <w:spacing w:val="-3"/>
        </w:rPr>
        <w:t>los impactos ambientales significativos</w:t>
      </w:r>
      <w:r w:rsidR="006979EC" w:rsidRPr="00BD1319">
        <w:rPr>
          <w:rFonts w:cs="Arial"/>
          <w:spacing w:val="-3"/>
        </w:rPr>
        <w:t>, que</w:t>
      </w:r>
      <w:r w:rsidRPr="00BD1319">
        <w:rPr>
          <w:rFonts w:cs="Arial"/>
          <w:spacing w:val="-3"/>
        </w:rPr>
        <w:t xml:space="preserve"> en el marco del licenciamiento ambiental son indispensables para la delimitación del área de influencia, </w:t>
      </w:r>
      <w:r w:rsidR="006979EC" w:rsidRPr="00BD1319">
        <w:rPr>
          <w:rFonts w:cs="Arial"/>
          <w:spacing w:val="-3"/>
        </w:rPr>
        <w:t xml:space="preserve">se </w:t>
      </w:r>
      <w:r w:rsidR="009774E8" w:rsidRPr="00BD1319">
        <w:rPr>
          <w:rFonts w:cs="Arial"/>
          <w:spacing w:val="-3"/>
        </w:rPr>
        <w:t xml:space="preserve">debe </w:t>
      </w:r>
      <w:r w:rsidR="006979EC" w:rsidRPr="00BD1319">
        <w:rPr>
          <w:rFonts w:cs="Arial"/>
          <w:spacing w:val="-3"/>
        </w:rPr>
        <w:t xml:space="preserve">desarrollar </w:t>
      </w:r>
      <w:r w:rsidR="009774E8" w:rsidRPr="00BD1319">
        <w:rPr>
          <w:rFonts w:cs="Arial"/>
          <w:spacing w:val="-3"/>
        </w:rPr>
        <w:t xml:space="preserve">el </w:t>
      </w:r>
      <w:r w:rsidRPr="00BD1319">
        <w:rPr>
          <w:rFonts w:cs="Arial"/>
          <w:spacing w:val="-3"/>
        </w:rPr>
        <w:t>proce</w:t>
      </w:r>
      <w:r w:rsidR="00ED0A2C" w:rsidRPr="00BD1319">
        <w:rPr>
          <w:rFonts w:cs="Arial"/>
          <w:spacing w:val="-3"/>
        </w:rPr>
        <w:t xml:space="preserve">dimiento </w:t>
      </w:r>
      <w:r w:rsidRPr="00BD1319">
        <w:rPr>
          <w:rFonts w:cs="Arial"/>
          <w:spacing w:val="-3"/>
        </w:rPr>
        <w:t xml:space="preserve">que se </w:t>
      </w:r>
      <w:r w:rsidR="006979EC" w:rsidRPr="00BD1319">
        <w:rPr>
          <w:rFonts w:cs="Arial"/>
          <w:spacing w:val="-3"/>
        </w:rPr>
        <w:t xml:space="preserve">fija </w:t>
      </w:r>
      <w:r w:rsidRPr="00BD1319">
        <w:rPr>
          <w:rFonts w:cs="Arial"/>
          <w:spacing w:val="-3"/>
        </w:rPr>
        <w:t>en el numeral</w:t>
      </w:r>
      <w:r w:rsidR="00767FEF" w:rsidRPr="00BD1319">
        <w:rPr>
          <w:rFonts w:cs="Arial"/>
          <w:spacing w:val="-3"/>
        </w:rPr>
        <w:t xml:space="preserve"> </w:t>
      </w:r>
      <w:r w:rsidR="001167C8" w:rsidRPr="00BD1319">
        <w:rPr>
          <w:rFonts w:cs="Arial"/>
          <w:spacing w:val="-3"/>
        </w:rPr>
        <w:fldChar w:fldCharType="begin"/>
      </w:r>
      <w:r w:rsidR="001167C8" w:rsidRPr="00BD1319">
        <w:rPr>
          <w:rFonts w:cs="Arial"/>
          <w:spacing w:val="-3"/>
        </w:rPr>
        <w:instrText xml:space="preserve"> REF _Ref137112878 \r \h  \* MERGEFORMAT </w:instrText>
      </w:r>
      <w:r w:rsidR="001167C8" w:rsidRPr="00BD1319">
        <w:rPr>
          <w:rFonts w:cs="Arial"/>
          <w:spacing w:val="-3"/>
        </w:rPr>
      </w:r>
      <w:r w:rsidR="001167C8" w:rsidRPr="00BD1319">
        <w:rPr>
          <w:rFonts w:cs="Arial"/>
          <w:spacing w:val="-3"/>
        </w:rPr>
        <w:fldChar w:fldCharType="separate"/>
      </w:r>
      <w:r w:rsidR="00296654" w:rsidRPr="00BD1319">
        <w:rPr>
          <w:rFonts w:cs="Arial"/>
          <w:spacing w:val="-3"/>
        </w:rPr>
        <w:t>7.3.3</w:t>
      </w:r>
      <w:r w:rsidR="001167C8" w:rsidRPr="00BD1319">
        <w:rPr>
          <w:rFonts w:cs="Arial"/>
          <w:spacing w:val="-3"/>
        </w:rPr>
        <w:fldChar w:fldCharType="end"/>
      </w:r>
      <w:r w:rsidRPr="00BD1319">
        <w:rPr>
          <w:rFonts w:cs="Arial"/>
          <w:spacing w:val="-3"/>
        </w:rPr>
        <w:t>.</w:t>
      </w:r>
    </w:p>
    <w:p w14:paraId="2193C715" w14:textId="77777777" w:rsidR="008C5243" w:rsidRPr="00BD1319" w:rsidRDefault="008C5243" w:rsidP="00212816">
      <w:pPr>
        <w:overflowPunct/>
        <w:textAlignment w:val="auto"/>
        <w:rPr>
          <w:color w:val="000000"/>
        </w:rPr>
      </w:pPr>
    </w:p>
    <w:p w14:paraId="2E90F62D" w14:textId="434E73C0" w:rsidR="00276D10" w:rsidRPr="00BD1319" w:rsidRDefault="00276D10" w:rsidP="00212816">
      <w:pPr>
        <w:numPr>
          <w:ilvl w:val="12"/>
          <w:numId w:val="0"/>
        </w:numPr>
        <w:tabs>
          <w:tab w:val="left" w:pos="-2268"/>
        </w:tabs>
        <w:suppressAutoHyphens/>
        <w:rPr>
          <w:b/>
          <w:bCs/>
          <w:spacing w:val="-3"/>
          <w:u w:val="single"/>
        </w:rPr>
      </w:pPr>
      <w:r w:rsidRPr="00BD1319">
        <w:rPr>
          <w:b/>
          <w:bCs/>
          <w:spacing w:val="-3"/>
          <w:u w:val="single"/>
        </w:rPr>
        <w:t xml:space="preserve">Sobre </w:t>
      </w:r>
      <w:r w:rsidR="0068433C" w:rsidRPr="00BD1319">
        <w:rPr>
          <w:b/>
          <w:bCs/>
          <w:spacing w:val="-3"/>
          <w:u w:val="single"/>
        </w:rPr>
        <w:t xml:space="preserve">la valoración de </w:t>
      </w:r>
      <w:r w:rsidRPr="00BD1319">
        <w:rPr>
          <w:b/>
          <w:bCs/>
          <w:spacing w:val="-3"/>
          <w:u w:val="single"/>
        </w:rPr>
        <w:t xml:space="preserve">los impactos ambientales acumulativos y </w:t>
      </w:r>
      <w:r w:rsidR="0068433C" w:rsidRPr="00BD1319">
        <w:rPr>
          <w:b/>
          <w:bCs/>
          <w:spacing w:val="-3"/>
          <w:u w:val="single"/>
        </w:rPr>
        <w:t xml:space="preserve">de </w:t>
      </w:r>
      <w:r w:rsidRPr="00BD1319">
        <w:rPr>
          <w:b/>
          <w:bCs/>
          <w:spacing w:val="-3"/>
          <w:u w:val="single"/>
        </w:rPr>
        <w:t>los impactos ambientales sinérg</w:t>
      </w:r>
      <w:r w:rsidR="007867F2" w:rsidRPr="00BD1319">
        <w:rPr>
          <w:b/>
          <w:bCs/>
          <w:spacing w:val="-3"/>
          <w:u w:val="single"/>
        </w:rPr>
        <w:t>i</w:t>
      </w:r>
      <w:r w:rsidRPr="00BD1319">
        <w:rPr>
          <w:b/>
          <w:bCs/>
          <w:spacing w:val="-3"/>
          <w:u w:val="single"/>
        </w:rPr>
        <w:t>cos</w:t>
      </w:r>
    </w:p>
    <w:p w14:paraId="73112E2F" w14:textId="77777777" w:rsidR="00276D10" w:rsidRPr="00BD1319" w:rsidRDefault="00276D10" w:rsidP="00212816">
      <w:pPr>
        <w:numPr>
          <w:ilvl w:val="12"/>
          <w:numId w:val="0"/>
        </w:numPr>
        <w:tabs>
          <w:tab w:val="left" w:pos="-2268"/>
        </w:tabs>
        <w:suppressAutoHyphens/>
        <w:rPr>
          <w:spacing w:val="-3"/>
        </w:rPr>
      </w:pPr>
    </w:p>
    <w:p w14:paraId="2F737D6B" w14:textId="3F54FAFC" w:rsidR="00212816" w:rsidRPr="00BD1319" w:rsidRDefault="00212816" w:rsidP="00212816">
      <w:pPr>
        <w:numPr>
          <w:ilvl w:val="12"/>
          <w:numId w:val="0"/>
        </w:numPr>
        <w:tabs>
          <w:tab w:val="left" w:pos="-2268"/>
        </w:tabs>
        <w:suppressAutoHyphens/>
        <w:rPr>
          <w:rFonts w:cs="Arial"/>
          <w:spacing w:val="-3"/>
        </w:rPr>
      </w:pPr>
      <w:r w:rsidRPr="00BD1319">
        <w:rPr>
          <w:rFonts w:cs="Arial"/>
          <w:spacing w:val="-3"/>
        </w:rPr>
        <w:t xml:space="preserve">Con el propósito de dar mayor precisión a la evaluación ambiental </w:t>
      </w:r>
      <w:r w:rsidR="00A64E70" w:rsidRPr="00BD1319">
        <w:rPr>
          <w:rFonts w:cs="Arial"/>
          <w:spacing w:val="-3"/>
        </w:rPr>
        <w:t xml:space="preserve">del escenario con proyecto </w:t>
      </w:r>
      <w:r w:rsidRPr="00BD1319">
        <w:rPr>
          <w:rFonts w:cs="Arial"/>
          <w:spacing w:val="-3"/>
        </w:rPr>
        <w:t>es preciso adelantar un estudio detallado de los impactos ambientales acumulativos y de los impactos sinérgicos.</w:t>
      </w:r>
    </w:p>
    <w:p w14:paraId="7C9F31EE" w14:textId="77777777" w:rsidR="00212816" w:rsidRPr="00BD1319" w:rsidRDefault="00212816" w:rsidP="00212816">
      <w:pPr>
        <w:numPr>
          <w:ilvl w:val="12"/>
          <w:numId w:val="0"/>
        </w:numPr>
        <w:tabs>
          <w:tab w:val="left" w:pos="-2268"/>
        </w:tabs>
        <w:suppressAutoHyphens/>
        <w:rPr>
          <w:rFonts w:cs="Arial"/>
          <w:spacing w:val="-3"/>
        </w:rPr>
      </w:pPr>
    </w:p>
    <w:p w14:paraId="38EBE026" w14:textId="3D336DEC" w:rsidR="00212816" w:rsidRPr="00BD1319" w:rsidRDefault="00212816" w:rsidP="00212816">
      <w:pPr>
        <w:numPr>
          <w:ilvl w:val="12"/>
          <w:numId w:val="0"/>
        </w:numPr>
        <w:tabs>
          <w:tab w:val="left" w:pos="-2268"/>
        </w:tabs>
        <w:suppressAutoHyphens/>
        <w:rPr>
          <w:rFonts w:cs="Arial"/>
          <w:spacing w:val="-3"/>
        </w:rPr>
      </w:pPr>
      <w:r w:rsidRPr="00BD1319">
        <w:rPr>
          <w:rFonts w:cs="Arial"/>
          <w:spacing w:val="-3"/>
        </w:rPr>
        <w:t>En el marco del licenciamiento ambiental, un impacto ambiental acumulativo es aquel impacto cuya significancia se incrementa, no necesariamente de forma lineal, con el tiempo. Los impactos acumulativos pueden presentarse cuando un impacto ambiental del proyecto, obra o actividad se acumula con uno igual (referido al mismo parámetro ambiental) preexistente en el área de influencia, o bien, cuando no existiendo dicho impacto en el escenario sin proyecto, su significancia se incrementa progresivamente dada la ejecución de las actividades del proyecto, obra o actividad.</w:t>
      </w:r>
    </w:p>
    <w:p w14:paraId="4C02DC22" w14:textId="77777777" w:rsidR="00212816" w:rsidRPr="00BD1319" w:rsidRDefault="00212816" w:rsidP="00212816">
      <w:pPr>
        <w:numPr>
          <w:ilvl w:val="12"/>
          <w:numId w:val="0"/>
        </w:numPr>
        <w:tabs>
          <w:tab w:val="left" w:pos="-2268"/>
        </w:tabs>
        <w:suppressAutoHyphens/>
        <w:rPr>
          <w:rFonts w:cs="Arial"/>
          <w:spacing w:val="-3"/>
        </w:rPr>
      </w:pPr>
    </w:p>
    <w:p w14:paraId="24C3E563" w14:textId="77777777" w:rsidR="00212816" w:rsidRPr="00BD1319" w:rsidRDefault="00212816" w:rsidP="00212816">
      <w:pPr>
        <w:numPr>
          <w:ilvl w:val="12"/>
          <w:numId w:val="0"/>
        </w:numPr>
        <w:tabs>
          <w:tab w:val="left" w:pos="-2268"/>
        </w:tabs>
        <w:suppressAutoHyphens/>
        <w:rPr>
          <w:rFonts w:cs="Arial"/>
          <w:spacing w:val="-3"/>
        </w:rPr>
      </w:pPr>
      <w:r w:rsidRPr="00BD1319">
        <w:rPr>
          <w:rFonts w:cs="Arial"/>
          <w:spacing w:val="-3"/>
        </w:rPr>
        <w:t xml:space="preserve">El aumento de la significancia puede generarse por varios motivos, entre ellos, por un incremento en la intensidad de la actividad que genera el impacto, porque la actividad que desencadena el impacto se ejecuta con una frecuencia más alta que la tasa de recuperación del sistema que lo recibe, o porque la actividad que ocasiona el impacto se desarrolla en varios lugares, y dada la distancia que los separa, las áreas de manifestación de los impactos se superponen y los impactos terminan acumulándose. Es importante tener en </w:t>
      </w:r>
      <w:r w:rsidRPr="00BD1319">
        <w:rPr>
          <w:rFonts w:cs="Arial"/>
          <w:spacing w:val="-3"/>
        </w:rPr>
        <w:lastRenderedPageBreak/>
        <w:t>cuenta estos mecanismos de acumulación para evaluar los impactos y para formular medidas efectivas de manejo.</w:t>
      </w:r>
    </w:p>
    <w:p w14:paraId="0A43C310" w14:textId="77777777" w:rsidR="00212816" w:rsidRPr="00BD1319" w:rsidRDefault="00212816" w:rsidP="00212816">
      <w:pPr>
        <w:numPr>
          <w:ilvl w:val="12"/>
          <w:numId w:val="0"/>
        </w:numPr>
        <w:tabs>
          <w:tab w:val="left" w:pos="-2268"/>
        </w:tabs>
        <w:suppressAutoHyphens/>
        <w:rPr>
          <w:rFonts w:cs="Arial"/>
          <w:spacing w:val="-3"/>
        </w:rPr>
      </w:pPr>
    </w:p>
    <w:p w14:paraId="649EE3D9" w14:textId="12FE513C" w:rsidR="00212816" w:rsidRPr="00BD1319" w:rsidRDefault="00212816" w:rsidP="00212816">
      <w:pPr>
        <w:numPr>
          <w:ilvl w:val="12"/>
          <w:numId w:val="0"/>
        </w:numPr>
        <w:tabs>
          <w:tab w:val="left" w:pos="-2268"/>
        </w:tabs>
        <w:suppressAutoHyphens/>
        <w:rPr>
          <w:rFonts w:cs="Arial"/>
          <w:spacing w:val="-3"/>
        </w:rPr>
      </w:pPr>
      <w:r w:rsidRPr="00BD1319">
        <w:rPr>
          <w:rFonts w:cs="Arial"/>
          <w:spacing w:val="-3"/>
        </w:rPr>
        <w:t xml:space="preserve">De otra parte, los impactos ambientales sinérgicos son aquellos impactos que </w:t>
      </w:r>
      <w:r w:rsidR="00A95B91" w:rsidRPr="00BD1319">
        <w:rPr>
          <w:rFonts w:cs="Arial"/>
          <w:spacing w:val="-3"/>
        </w:rPr>
        <w:t>tienen la capacidad de interactuar con otros impactos y gracias a esa interacción</w:t>
      </w:r>
      <w:r w:rsidRPr="00BD1319">
        <w:rPr>
          <w:rFonts w:cs="Arial"/>
          <w:spacing w:val="-3"/>
        </w:rPr>
        <w:t xml:space="preserve">, </w:t>
      </w:r>
      <w:r w:rsidR="00A95B91" w:rsidRPr="00BD1319">
        <w:rPr>
          <w:rFonts w:cs="Arial"/>
          <w:spacing w:val="-3"/>
        </w:rPr>
        <w:t>pueden producir un incremento en la significancia de los impactos interactuantes o bien, generar otros impactos no contemplados previamente</w:t>
      </w:r>
      <w:r w:rsidRPr="00BD1319">
        <w:rPr>
          <w:rFonts w:cs="Arial"/>
          <w:spacing w:val="-3"/>
        </w:rPr>
        <w:t xml:space="preserve">. Las relaciones sinérgicas producto de un proyecto, obra o actividad pueden trascender e ir más allá de la generación de un </w:t>
      </w:r>
      <w:r w:rsidR="00A95B91" w:rsidRPr="00BD1319">
        <w:rPr>
          <w:rFonts w:cs="Arial"/>
          <w:spacing w:val="-3"/>
        </w:rPr>
        <w:t xml:space="preserve">sólo </w:t>
      </w:r>
      <w:r w:rsidRPr="00BD1319">
        <w:rPr>
          <w:rFonts w:cs="Arial"/>
          <w:spacing w:val="-3"/>
        </w:rPr>
        <w:t>impacto sinérgico y desencadenar</w:t>
      </w:r>
      <w:r w:rsidR="00960D91" w:rsidRPr="00BD1319">
        <w:rPr>
          <w:rFonts w:cs="Arial"/>
          <w:spacing w:val="-3"/>
        </w:rPr>
        <w:t xml:space="preserve"> en su lugar</w:t>
      </w:r>
      <w:r w:rsidRPr="00BD1319">
        <w:rPr>
          <w:rFonts w:cs="Arial"/>
          <w:spacing w:val="-3"/>
        </w:rPr>
        <w:t xml:space="preserve"> </w:t>
      </w:r>
      <w:r w:rsidRPr="00BD1319">
        <w:rPr>
          <w:rFonts w:cs="Arial"/>
          <w:i/>
          <w:iCs/>
          <w:spacing w:val="-3"/>
        </w:rPr>
        <w:t>cambios</w:t>
      </w:r>
      <w:r w:rsidRPr="00BD1319">
        <w:rPr>
          <w:rFonts w:cs="Arial"/>
          <w:spacing w:val="-3"/>
        </w:rPr>
        <w:t xml:space="preserve"> ambientales acumulativos</w:t>
      </w:r>
      <w:r w:rsidRPr="00BD1319">
        <w:rPr>
          <w:rStyle w:val="Refdenotaalpie"/>
          <w:rFonts w:cs="Arial"/>
          <w:spacing w:val="-3"/>
          <w:lang w:val="es-CO"/>
        </w:rPr>
        <w:footnoteReference w:id="194"/>
      </w:r>
      <w:r w:rsidRPr="00BD1319">
        <w:rPr>
          <w:rFonts w:cs="Arial"/>
          <w:spacing w:val="-3"/>
        </w:rPr>
        <w:t xml:space="preserve"> en las condiciones ambientales globales del área de influencia, </w:t>
      </w:r>
      <w:r w:rsidR="007867F2" w:rsidRPr="00BD1319">
        <w:rPr>
          <w:rFonts w:cs="Arial"/>
          <w:spacing w:val="-3"/>
        </w:rPr>
        <w:t xml:space="preserve">las cuales </w:t>
      </w:r>
      <w:r w:rsidRPr="00BD1319">
        <w:rPr>
          <w:rFonts w:cs="Arial"/>
          <w:spacing w:val="-3"/>
        </w:rPr>
        <w:t>no se hubiesen desarrollado ni presentarían una tendencia creciente, de no ser por la concurrencia sinérgica de varios impactos en el mismo escenario temporal y espacial.</w:t>
      </w:r>
    </w:p>
    <w:p w14:paraId="3E97EE06" w14:textId="77777777" w:rsidR="00212816" w:rsidRPr="00BD1319" w:rsidRDefault="00212816" w:rsidP="00212816">
      <w:pPr>
        <w:numPr>
          <w:ilvl w:val="12"/>
          <w:numId w:val="0"/>
        </w:numPr>
        <w:tabs>
          <w:tab w:val="left" w:pos="-2268"/>
        </w:tabs>
        <w:suppressAutoHyphens/>
        <w:rPr>
          <w:rFonts w:cs="Arial"/>
          <w:spacing w:val="-3"/>
        </w:rPr>
      </w:pPr>
    </w:p>
    <w:p w14:paraId="65932F20" w14:textId="27669B99" w:rsidR="00212816" w:rsidRPr="00BD1319" w:rsidRDefault="00212816" w:rsidP="00212816">
      <w:pPr>
        <w:numPr>
          <w:ilvl w:val="12"/>
          <w:numId w:val="0"/>
        </w:numPr>
        <w:tabs>
          <w:tab w:val="left" w:pos="-2268"/>
        </w:tabs>
        <w:suppressAutoHyphens/>
        <w:rPr>
          <w:rFonts w:cs="Arial"/>
          <w:spacing w:val="-3"/>
        </w:rPr>
      </w:pPr>
      <w:r w:rsidRPr="00BD1319">
        <w:rPr>
          <w:rFonts w:cs="Arial"/>
          <w:spacing w:val="-3"/>
        </w:rPr>
        <w:t xml:space="preserve">Por lo tanto, para determinar y valorar impactos y establecer si se acumulan en el tiempo o </w:t>
      </w:r>
      <w:r w:rsidR="007B1E3C" w:rsidRPr="00BD1319">
        <w:rPr>
          <w:rFonts w:cs="Arial"/>
          <w:spacing w:val="-3"/>
        </w:rPr>
        <w:t xml:space="preserve">si generan </w:t>
      </w:r>
      <w:r w:rsidRPr="00BD1319">
        <w:rPr>
          <w:rFonts w:cs="Arial"/>
          <w:spacing w:val="-3"/>
        </w:rPr>
        <w:t>relaciones sinérgicas, debe realizarse un estudio de las relaciones causales o un análisis de redes que permita, teniendo como base las características del proyecto y las condiciones ambientales de</w:t>
      </w:r>
      <w:r w:rsidR="0006119E" w:rsidRPr="00BD1319">
        <w:rPr>
          <w:rFonts w:cs="Arial"/>
          <w:spacing w:val="-3"/>
        </w:rPr>
        <w:t xml:space="preserve"> línea base y del escenario sin proyecto de</w:t>
      </w:r>
      <w:r w:rsidRPr="00BD1319">
        <w:rPr>
          <w:rFonts w:cs="Arial"/>
          <w:spacing w:val="-3"/>
        </w:rPr>
        <w:t>l área de influencia, relacionar coherentemente las actividades del proyecto con los impactos, así como precisar si tales impactos</w:t>
      </w:r>
      <w:r w:rsidR="005A61C0" w:rsidRPr="00BD1319">
        <w:rPr>
          <w:rFonts w:cs="Arial"/>
          <w:spacing w:val="-3"/>
        </w:rPr>
        <w:t xml:space="preserve"> pueden acumularse</w:t>
      </w:r>
      <w:r w:rsidR="00453DF9" w:rsidRPr="00BD1319">
        <w:rPr>
          <w:rFonts w:cs="Arial"/>
          <w:spacing w:val="-3"/>
        </w:rPr>
        <w:t>,</w:t>
      </w:r>
      <w:r w:rsidR="005A61C0" w:rsidRPr="00BD1319">
        <w:rPr>
          <w:rFonts w:cs="Arial"/>
          <w:spacing w:val="-3"/>
        </w:rPr>
        <w:t xml:space="preserve"> </w:t>
      </w:r>
      <w:r w:rsidRPr="00BD1319">
        <w:rPr>
          <w:rFonts w:cs="Arial"/>
          <w:spacing w:val="-3"/>
        </w:rPr>
        <w:t xml:space="preserve">producir impactos secundarios (que pueden ser sinérgicos) </w:t>
      </w:r>
      <w:r w:rsidR="005A61C0" w:rsidRPr="00BD1319">
        <w:rPr>
          <w:rFonts w:cs="Arial"/>
          <w:spacing w:val="-3"/>
        </w:rPr>
        <w:t>o</w:t>
      </w:r>
      <w:r w:rsidRPr="00BD1319">
        <w:rPr>
          <w:rFonts w:cs="Arial"/>
          <w:spacing w:val="-3"/>
        </w:rPr>
        <w:t xml:space="preserve"> </w:t>
      </w:r>
      <w:r w:rsidR="00453DF9" w:rsidRPr="00BD1319">
        <w:rPr>
          <w:rFonts w:cs="Arial"/>
          <w:spacing w:val="-3"/>
        </w:rPr>
        <w:t xml:space="preserve">derivar en </w:t>
      </w:r>
      <w:r w:rsidRPr="00BD1319">
        <w:rPr>
          <w:rFonts w:cs="Arial"/>
          <w:spacing w:val="-3"/>
        </w:rPr>
        <w:t xml:space="preserve">procesos de retroalimentación que </w:t>
      </w:r>
      <w:r w:rsidR="00453DF9" w:rsidRPr="00BD1319">
        <w:rPr>
          <w:rFonts w:cs="Arial"/>
          <w:spacing w:val="-3"/>
        </w:rPr>
        <w:t xml:space="preserve">se </w:t>
      </w:r>
      <w:r w:rsidRPr="00BD1319">
        <w:rPr>
          <w:rFonts w:cs="Arial"/>
          <w:spacing w:val="-3"/>
        </w:rPr>
        <w:t xml:space="preserve">magnifiquen </w:t>
      </w:r>
      <w:r w:rsidR="00453DF9" w:rsidRPr="00BD1319">
        <w:rPr>
          <w:rFonts w:cs="Arial"/>
          <w:spacing w:val="-3"/>
        </w:rPr>
        <w:t xml:space="preserve">y produzcan </w:t>
      </w:r>
      <w:r w:rsidRPr="00BD1319">
        <w:rPr>
          <w:rFonts w:cs="Arial"/>
          <w:i/>
          <w:iCs/>
          <w:spacing w:val="-3"/>
        </w:rPr>
        <w:t>cambios</w:t>
      </w:r>
      <w:r w:rsidRPr="00BD1319">
        <w:rPr>
          <w:rFonts w:cs="Arial"/>
          <w:spacing w:val="-3"/>
        </w:rPr>
        <w:t xml:space="preserve"> ambientales globales del área de influencia.</w:t>
      </w:r>
    </w:p>
    <w:p w14:paraId="5A83BB63" w14:textId="77777777" w:rsidR="00212816" w:rsidRPr="00BD1319" w:rsidRDefault="00212816" w:rsidP="00212816">
      <w:pPr>
        <w:numPr>
          <w:ilvl w:val="12"/>
          <w:numId w:val="0"/>
        </w:numPr>
        <w:tabs>
          <w:tab w:val="left" w:pos="-2268"/>
        </w:tabs>
        <w:suppressAutoHyphens/>
        <w:rPr>
          <w:rFonts w:cs="Arial"/>
          <w:spacing w:val="-3"/>
        </w:rPr>
      </w:pPr>
    </w:p>
    <w:p w14:paraId="4353FA37" w14:textId="099C82FC" w:rsidR="00DD02ED" w:rsidRPr="00BD1319" w:rsidRDefault="00212816" w:rsidP="00212816">
      <w:pPr>
        <w:numPr>
          <w:ilvl w:val="12"/>
          <w:numId w:val="0"/>
        </w:numPr>
        <w:tabs>
          <w:tab w:val="left" w:pos="-2268"/>
        </w:tabs>
        <w:suppressAutoHyphens/>
        <w:rPr>
          <w:rFonts w:cs="Arial"/>
          <w:spacing w:val="-3"/>
        </w:rPr>
      </w:pPr>
      <w:r w:rsidRPr="00BD1319">
        <w:rPr>
          <w:rFonts w:cs="Arial"/>
          <w:spacing w:val="-3"/>
        </w:rPr>
        <w:t>Dado que no basta con conocer las relaciones que existen entre actividades e impactos y entre impactos y otros impactos, es necesario determinar las principales características de los impactos acumulativos y de los impactos sinérgicos</w:t>
      </w:r>
      <w:r w:rsidRPr="00BD1319" w:rsidDel="0061287E">
        <w:rPr>
          <w:rFonts w:cs="Arial"/>
          <w:spacing w:val="-3"/>
        </w:rPr>
        <w:t xml:space="preserve"> </w:t>
      </w:r>
      <w:r w:rsidRPr="00BD1319">
        <w:rPr>
          <w:rFonts w:cs="Arial"/>
          <w:spacing w:val="-3"/>
        </w:rPr>
        <w:t xml:space="preserve">mediante paneles de expertos, modelos, análisis de la capacidad asimilativa u otros métodos, con el fin de prever con qué magnitud se pueden presentar y cómo </w:t>
      </w:r>
      <w:r w:rsidR="0068433C" w:rsidRPr="00BD1319">
        <w:rPr>
          <w:rFonts w:cs="Arial"/>
          <w:spacing w:val="-3"/>
        </w:rPr>
        <w:t>e</w:t>
      </w:r>
      <w:r w:rsidRPr="00BD1319">
        <w:rPr>
          <w:rFonts w:cs="Arial"/>
          <w:spacing w:val="-3"/>
        </w:rPr>
        <w:t xml:space="preserve">sta </w:t>
      </w:r>
      <w:r w:rsidR="0068433C" w:rsidRPr="00BD1319">
        <w:rPr>
          <w:rFonts w:cs="Arial"/>
          <w:spacing w:val="-3"/>
        </w:rPr>
        <w:t xml:space="preserve">magnitud </w:t>
      </w:r>
      <w:r w:rsidRPr="00BD1319">
        <w:rPr>
          <w:rFonts w:cs="Arial"/>
          <w:spacing w:val="-3"/>
        </w:rPr>
        <w:t xml:space="preserve">puede cambiar en el tiempo, en qué lugares se manifestarían, cuán rápido </w:t>
      </w:r>
      <w:r w:rsidR="00960D91" w:rsidRPr="00BD1319">
        <w:rPr>
          <w:rFonts w:cs="Arial"/>
          <w:spacing w:val="-3"/>
        </w:rPr>
        <w:t xml:space="preserve">podrían </w:t>
      </w:r>
      <w:r w:rsidRPr="00BD1319">
        <w:rPr>
          <w:rFonts w:cs="Arial"/>
          <w:spacing w:val="-3"/>
        </w:rPr>
        <w:t>ser asimilados por los sistemas que impactan, entre otras</w:t>
      </w:r>
      <w:r w:rsidR="00DD02ED" w:rsidRPr="00BD1319">
        <w:rPr>
          <w:rFonts w:cs="Arial"/>
          <w:spacing w:val="-3"/>
        </w:rPr>
        <w:t>.</w:t>
      </w:r>
    </w:p>
    <w:p w14:paraId="73654A1E" w14:textId="77777777" w:rsidR="00DD02ED" w:rsidRPr="00BD1319" w:rsidRDefault="00DD02ED" w:rsidP="00212816">
      <w:pPr>
        <w:numPr>
          <w:ilvl w:val="12"/>
          <w:numId w:val="0"/>
        </w:numPr>
        <w:tabs>
          <w:tab w:val="left" w:pos="-2268"/>
        </w:tabs>
        <w:suppressAutoHyphens/>
        <w:rPr>
          <w:rFonts w:cs="Arial"/>
          <w:spacing w:val="-3"/>
        </w:rPr>
      </w:pPr>
    </w:p>
    <w:p w14:paraId="0AB899DD" w14:textId="43980ED5" w:rsidR="00212816" w:rsidRPr="00BD1319" w:rsidRDefault="00925881" w:rsidP="00212816">
      <w:pPr>
        <w:numPr>
          <w:ilvl w:val="12"/>
          <w:numId w:val="0"/>
        </w:numPr>
        <w:tabs>
          <w:tab w:val="left" w:pos="-2268"/>
        </w:tabs>
        <w:suppressAutoHyphens/>
        <w:rPr>
          <w:rFonts w:cs="Arial"/>
          <w:spacing w:val="-3"/>
        </w:rPr>
      </w:pPr>
      <w:r w:rsidRPr="00BD1319">
        <w:rPr>
          <w:rFonts w:cs="Arial"/>
          <w:spacing w:val="-3"/>
        </w:rPr>
        <w:t>La</w:t>
      </w:r>
      <w:r w:rsidR="00174E51" w:rsidRPr="00BD1319">
        <w:rPr>
          <w:rFonts w:cs="Arial"/>
          <w:spacing w:val="-3"/>
        </w:rPr>
        <w:t>s</w:t>
      </w:r>
      <w:r w:rsidRPr="00BD1319">
        <w:rPr>
          <w:rFonts w:cs="Arial"/>
          <w:spacing w:val="-3"/>
        </w:rPr>
        <w:t xml:space="preserve"> </w:t>
      </w:r>
      <w:r w:rsidR="00174E51" w:rsidRPr="00BD1319">
        <w:rPr>
          <w:rFonts w:cs="Arial"/>
          <w:spacing w:val="-3"/>
        </w:rPr>
        <w:t xml:space="preserve">relaciones y principales características de </w:t>
      </w:r>
      <w:r w:rsidR="007867F2" w:rsidRPr="00BD1319">
        <w:rPr>
          <w:rFonts w:cs="Arial"/>
          <w:spacing w:val="-3"/>
        </w:rPr>
        <w:t>los impactos acumulativos y de los impactos sinérgicos</w:t>
      </w:r>
      <w:r w:rsidRPr="00BD1319">
        <w:rPr>
          <w:rFonts w:cs="Arial"/>
          <w:spacing w:val="-3"/>
        </w:rPr>
        <w:t xml:space="preserve"> debe</w:t>
      </w:r>
      <w:r w:rsidR="00174E51" w:rsidRPr="00BD1319">
        <w:rPr>
          <w:rFonts w:cs="Arial"/>
          <w:spacing w:val="-3"/>
        </w:rPr>
        <w:t>n</w:t>
      </w:r>
      <w:r w:rsidRPr="00BD1319">
        <w:rPr>
          <w:rFonts w:cs="Arial"/>
          <w:spacing w:val="-3"/>
        </w:rPr>
        <w:t xml:space="preserve"> emplearse para </w:t>
      </w:r>
      <w:r w:rsidR="00212816" w:rsidRPr="00BD1319">
        <w:rPr>
          <w:rFonts w:cs="Arial"/>
          <w:spacing w:val="-3"/>
        </w:rPr>
        <w:t>valorarlos a través de los atributos o del método de valoración de impactos elegido para la elaboración del estudio ambiental</w:t>
      </w:r>
      <w:r w:rsidR="00960D91" w:rsidRPr="00BD1319">
        <w:rPr>
          <w:rFonts w:cs="Arial"/>
          <w:spacing w:val="-3"/>
        </w:rPr>
        <w:t>,</w:t>
      </w:r>
      <w:r w:rsidR="00DD02ED" w:rsidRPr="00BD1319">
        <w:rPr>
          <w:rFonts w:cs="Arial"/>
          <w:spacing w:val="-3"/>
        </w:rPr>
        <w:t xml:space="preserve"> </w:t>
      </w:r>
      <w:r w:rsidR="00CD1AD6" w:rsidRPr="00BD1319">
        <w:rPr>
          <w:rFonts w:cs="Arial"/>
          <w:spacing w:val="-3"/>
        </w:rPr>
        <w:t xml:space="preserve">considerando </w:t>
      </w:r>
      <w:r w:rsidR="00DD02ED" w:rsidRPr="00BD1319">
        <w:rPr>
          <w:rFonts w:cs="Arial"/>
          <w:spacing w:val="-3"/>
        </w:rPr>
        <w:t xml:space="preserve">las orientaciones dadas en </w:t>
      </w:r>
      <w:r w:rsidR="0068433C" w:rsidRPr="00BD1319">
        <w:rPr>
          <w:rFonts w:cs="Arial"/>
          <w:spacing w:val="-3"/>
        </w:rPr>
        <w:t xml:space="preserve">la parte inicial de este </w:t>
      </w:r>
      <w:r w:rsidR="00DD02ED" w:rsidRPr="00BD1319">
        <w:rPr>
          <w:rFonts w:cs="Arial"/>
          <w:spacing w:val="-3"/>
        </w:rPr>
        <w:t xml:space="preserve">numeral </w:t>
      </w:r>
      <w:r w:rsidR="0068433C" w:rsidRPr="00BD1319">
        <w:rPr>
          <w:rFonts w:cs="Arial"/>
          <w:spacing w:val="-3"/>
        </w:rPr>
        <w:t>(</w:t>
      </w:r>
      <w:r w:rsidR="00DD02ED" w:rsidRPr="00BD1319">
        <w:rPr>
          <w:rFonts w:cs="Arial"/>
          <w:spacing w:val="-3"/>
        </w:rPr>
        <w:fldChar w:fldCharType="begin"/>
      </w:r>
      <w:r w:rsidR="00DD02ED" w:rsidRPr="00BD1319">
        <w:rPr>
          <w:rFonts w:cs="Arial"/>
          <w:spacing w:val="-3"/>
        </w:rPr>
        <w:instrText xml:space="preserve"> REF _Ref137114509 \r \h </w:instrText>
      </w:r>
      <w:r w:rsidR="00BD1319">
        <w:rPr>
          <w:rFonts w:cs="Arial"/>
          <w:spacing w:val="-3"/>
        </w:rPr>
        <w:instrText xml:space="preserve"> \* MERGEFORMAT </w:instrText>
      </w:r>
      <w:r w:rsidR="00DD02ED" w:rsidRPr="00BD1319">
        <w:rPr>
          <w:rFonts w:cs="Arial"/>
          <w:spacing w:val="-3"/>
        </w:rPr>
      </w:r>
      <w:r w:rsidR="00DD02ED" w:rsidRPr="00BD1319">
        <w:rPr>
          <w:rFonts w:cs="Arial"/>
          <w:spacing w:val="-3"/>
        </w:rPr>
        <w:fldChar w:fldCharType="separate"/>
      </w:r>
      <w:r w:rsidR="00296654" w:rsidRPr="00BD1319">
        <w:rPr>
          <w:rFonts w:cs="Arial"/>
          <w:spacing w:val="-3"/>
        </w:rPr>
        <w:t>7.3.2</w:t>
      </w:r>
      <w:r w:rsidR="00DD02ED" w:rsidRPr="00BD1319">
        <w:rPr>
          <w:rFonts w:cs="Arial"/>
          <w:spacing w:val="-3"/>
        </w:rPr>
        <w:fldChar w:fldCharType="end"/>
      </w:r>
      <w:r w:rsidR="0068433C" w:rsidRPr="00BD1319">
        <w:rPr>
          <w:rFonts w:cs="Arial"/>
          <w:spacing w:val="-3"/>
        </w:rPr>
        <w:t>, capítulo I)</w:t>
      </w:r>
      <w:r w:rsidR="00212816" w:rsidRPr="00BD1319">
        <w:rPr>
          <w:rFonts w:cs="Arial"/>
          <w:spacing w:val="-3"/>
        </w:rPr>
        <w:t xml:space="preserve">. </w:t>
      </w:r>
      <w:r w:rsidR="00DD02ED" w:rsidRPr="00BD1319">
        <w:rPr>
          <w:rFonts w:cs="Arial"/>
          <w:spacing w:val="-3"/>
        </w:rPr>
        <w:t>Ya</w:t>
      </w:r>
      <w:r w:rsidR="00212816" w:rsidRPr="00BD1319">
        <w:rPr>
          <w:rFonts w:cs="Arial"/>
          <w:spacing w:val="-3"/>
        </w:rPr>
        <w:t xml:space="preserve"> que la significancia de los impactos acumulativos cambia en el tiempo, su valoración final debe reflejar la máxima significancia posible.</w:t>
      </w:r>
    </w:p>
    <w:p w14:paraId="66F35F0B" w14:textId="77777777" w:rsidR="00212816" w:rsidRPr="00BD1319" w:rsidRDefault="00212816" w:rsidP="00212816">
      <w:pPr>
        <w:numPr>
          <w:ilvl w:val="12"/>
          <w:numId w:val="0"/>
        </w:numPr>
        <w:tabs>
          <w:tab w:val="left" w:pos="-2268"/>
        </w:tabs>
        <w:suppressAutoHyphens/>
        <w:rPr>
          <w:rFonts w:cs="Arial"/>
          <w:spacing w:val="-3"/>
        </w:rPr>
      </w:pPr>
    </w:p>
    <w:p w14:paraId="219205D6" w14:textId="60C73864" w:rsidR="00212816" w:rsidRPr="00BD1319" w:rsidRDefault="00212816" w:rsidP="00212816">
      <w:pPr>
        <w:numPr>
          <w:ilvl w:val="12"/>
          <w:numId w:val="0"/>
        </w:numPr>
        <w:tabs>
          <w:tab w:val="left" w:pos="-2268"/>
        </w:tabs>
        <w:suppressAutoHyphens/>
        <w:rPr>
          <w:rFonts w:cs="Arial"/>
          <w:spacing w:val="-3"/>
        </w:rPr>
      </w:pPr>
      <w:r w:rsidRPr="00BD1319">
        <w:rPr>
          <w:rFonts w:cs="Arial"/>
          <w:spacing w:val="-3"/>
        </w:rPr>
        <w:t xml:space="preserve">Los resultados de esta </w:t>
      </w:r>
      <w:r w:rsidR="00CD1AD6" w:rsidRPr="00BD1319">
        <w:rPr>
          <w:rFonts w:cs="Arial"/>
          <w:spacing w:val="-3"/>
        </w:rPr>
        <w:t>valoración</w:t>
      </w:r>
      <w:r w:rsidRPr="00BD1319">
        <w:rPr>
          <w:rFonts w:cs="Arial"/>
          <w:spacing w:val="-3"/>
        </w:rPr>
        <w:t xml:space="preserve"> deben emplearse para ajustar las características del proyecto, obra o actividad con el propósito de disminuir las situaciones de acumulación</w:t>
      </w:r>
      <w:r w:rsidR="00AF0022" w:rsidRPr="00BD1319">
        <w:rPr>
          <w:rFonts w:cs="Arial"/>
          <w:spacing w:val="-3"/>
        </w:rPr>
        <w:t xml:space="preserve"> o sinergia</w:t>
      </w:r>
      <w:r w:rsidRPr="00BD1319">
        <w:rPr>
          <w:rFonts w:cs="Arial"/>
          <w:spacing w:val="-3"/>
        </w:rPr>
        <w:t xml:space="preserve">, o bien, para la formulación de medidas de manejo apropiadas al grado variable de </w:t>
      </w:r>
      <w:r w:rsidRPr="00BD1319">
        <w:rPr>
          <w:rFonts w:cs="Arial"/>
          <w:spacing w:val="-3"/>
        </w:rPr>
        <w:lastRenderedPageBreak/>
        <w:t>significancia que pueda experimentar un impacto acumulativo en el tiempo</w:t>
      </w:r>
      <w:r w:rsidR="00AF0022" w:rsidRPr="00BD1319">
        <w:rPr>
          <w:rFonts w:cs="Arial"/>
          <w:spacing w:val="-3"/>
        </w:rPr>
        <w:t xml:space="preserve"> y a las cadenas causales de impactos, incluso previendo los cambios en las condiciones del área de influencia generados por otras actividades económicas o proyectos que puedan exacerbar los impactos </w:t>
      </w:r>
      <w:r w:rsidR="00504C11" w:rsidRPr="00BD1319">
        <w:rPr>
          <w:rFonts w:cs="Arial"/>
          <w:spacing w:val="-3"/>
        </w:rPr>
        <w:t xml:space="preserve">acumulativos o sinérgicos </w:t>
      </w:r>
      <w:r w:rsidR="00AF0022" w:rsidRPr="00BD1319">
        <w:rPr>
          <w:rFonts w:cs="Arial"/>
          <w:spacing w:val="-3"/>
        </w:rPr>
        <w:t>que genera el proyecto objeto de evaluación</w:t>
      </w:r>
      <w:r w:rsidRPr="00BD1319">
        <w:rPr>
          <w:rFonts w:cs="Arial"/>
          <w:spacing w:val="-3"/>
        </w:rPr>
        <w:t>.</w:t>
      </w:r>
    </w:p>
    <w:p w14:paraId="79F6983D" w14:textId="77777777" w:rsidR="00212816" w:rsidRPr="00BD1319" w:rsidRDefault="00212816" w:rsidP="00212816">
      <w:pPr>
        <w:numPr>
          <w:ilvl w:val="12"/>
          <w:numId w:val="0"/>
        </w:numPr>
        <w:tabs>
          <w:tab w:val="left" w:pos="-2268"/>
        </w:tabs>
        <w:suppressAutoHyphens/>
        <w:rPr>
          <w:rFonts w:cs="Arial"/>
          <w:spacing w:val="-3"/>
        </w:rPr>
      </w:pPr>
    </w:p>
    <w:p w14:paraId="043B5087" w14:textId="6987B49B" w:rsidR="00212816" w:rsidRPr="00BD1319" w:rsidRDefault="00212816" w:rsidP="00212816">
      <w:pPr>
        <w:numPr>
          <w:ilvl w:val="12"/>
          <w:numId w:val="0"/>
        </w:numPr>
        <w:tabs>
          <w:tab w:val="left" w:pos="-2268"/>
        </w:tabs>
        <w:suppressAutoHyphens/>
        <w:rPr>
          <w:rFonts w:cs="Arial"/>
          <w:spacing w:val="-3"/>
        </w:rPr>
      </w:pPr>
      <w:r w:rsidRPr="00BD1319">
        <w:rPr>
          <w:rFonts w:cs="Arial"/>
          <w:spacing w:val="-3"/>
        </w:rPr>
        <w:t>Cuando el área de influencia del proyecto se superponga con las áreas de influencia de proyectos, obras o actividades licenciados, la evaluación debe establecer cómo y en qué medida los impactos del proyecto podrían acumularse o producir comportamientos sinérgicos, a fin de determinar si a la luz de tales impactos, de las medidas de manejo que se formulen y de la responsabilidad individual que se fije para cada uno de ellos en el área superpuesta, el proyecto de interés puede coexistir con los proyectos licenciados de acuerdo con lo establecido en el artículo 2.2.2.3.6.4 del Decreto 1076 de 2015, o aquella norma que lo modifique o sustituya.</w:t>
      </w:r>
    </w:p>
    <w:p w14:paraId="728D01F6" w14:textId="77777777" w:rsidR="00212816" w:rsidRPr="00BD1319" w:rsidRDefault="00212816" w:rsidP="00212816">
      <w:pPr>
        <w:numPr>
          <w:ilvl w:val="12"/>
          <w:numId w:val="0"/>
        </w:numPr>
        <w:tabs>
          <w:tab w:val="left" w:pos="-2268"/>
        </w:tabs>
        <w:suppressAutoHyphens/>
        <w:rPr>
          <w:rFonts w:cs="Arial"/>
          <w:spacing w:val="-3"/>
        </w:rPr>
      </w:pPr>
    </w:p>
    <w:p w14:paraId="306C94F5" w14:textId="1862D266" w:rsidR="007E09E8" w:rsidRPr="00BD1319" w:rsidRDefault="007E09E8" w:rsidP="005B5E95">
      <w:pPr>
        <w:numPr>
          <w:ilvl w:val="12"/>
          <w:numId w:val="0"/>
        </w:numPr>
        <w:tabs>
          <w:tab w:val="left" w:pos="-2268"/>
        </w:tabs>
        <w:suppressAutoHyphens/>
        <w:rPr>
          <w:rFonts w:cs="Arial"/>
          <w:spacing w:val="-3"/>
        </w:rPr>
      </w:pPr>
      <w:r w:rsidRPr="00BD1319">
        <w:rPr>
          <w:rFonts w:cs="Arial"/>
          <w:spacing w:val="-3"/>
        </w:rPr>
        <w:t xml:space="preserve">Dado que </w:t>
      </w:r>
      <w:r w:rsidR="006D753D" w:rsidRPr="00BD1319">
        <w:rPr>
          <w:rFonts w:cs="Arial"/>
          <w:spacing w:val="-3"/>
        </w:rPr>
        <w:t xml:space="preserve">la </w:t>
      </w:r>
      <w:r w:rsidRPr="00BD1319">
        <w:rPr>
          <w:rFonts w:cs="Arial"/>
          <w:spacing w:val="-3"/>
        </w:rPr>
        <w:t>evalua</w:t>
      </w:r>
      <w:r w:rsidR="006D753D" w:rsidRPr="00BD1319">
        <w:rPr>
          <w:rFonts w:cs="Arial"/>
          <w:spacing w:val="-3"/>
        </w:rPr>
        <w:t xml:space="preserve">ción de </w:t>
      </w:r>
      <w:r w:rsidRPr="00BD1319">
        <w:rPr>
          <w:rFonts w:cs="Arial"/>
          <w:spacing w:val="-3"/>
        </w:rPr>
        <w:t xml:space="preserve">los impactos acumulativos y </w:t>
      </w:r>
      <w:r w:rsidR="006D753D" w:rsidRPr="00BD1319">
        <w:rPr>
          <w:rFonts w:cs="Arial"/>
          <w:spacing w:val="-3"/>
        </w:rPr>
        <w:t xml:space="preserve">de </w:t>
      </w:r>
      <w:r w:rsidRPr="00BD1319">
        <w:rPr>
          <w:rFonts w:cs="Arial"/>
          <w:spacing w:val="-3"/>
        </w:rPr>
        <w:t xml:space="preserve">los impactos sinérgicos </w:t>
      </w:r>
      <w:r w:rsidR="006D753D" w:rsidRPr="00BD1319">
        <w:rPr>
          <w:rFonts w:cs="Arial"/>
          <w:spacing w:val="-3"/>
        </w:rPr>
        <w:t xml:space="preserve">debe considerar tanto las condiciones ambientales como los impactos que generan </w:t>
      </w:r>
      <w:r w:rsidRPr="00BD1319">
        <w:rPr>
          <w:rFonts w:cs="Arial"/>
          <w:spacing w:val="-3"/>
        </w:rPr>
        <w:t xml:space="preserve">otras actividades económicas o proyectos </w:t>
      </w:r>
      <w:r w:rsidR="005B5E95" w:rsidRPr="00BD1319">
        <w:rPr>
          <w:rFonts w:cs="Arial"/>
          <w:spacing w:val="-3"/>
        </w:rPr>
        <w:t>licenciados en el área de influencia</w:t>
      </w:r>
      <w:r w:rsidR="006D753D" w:rsidRPr="00BD1319">
        <w:rPr>
          <w:rFonts w:cs="Arial"/>
          <w:spacing w:val="-3"/>
        </w:rPr>
        <w:t>,</w:t>
      </w:r>
      <w:r w:rsidR="005B5E95" w:rsidRPr="00BD1319">
        <w:rPr>
          <w:rFonts w:cs="Arial"/>
          <w:spacing w:val="-3"/>
        </w:rPr>
        <w:t xml:space="preserve"> es necesario que </w:t>
      </w:r>
      <w:r w:rsidR="006D753D" w:rsidRPr="00BD1319">
        <w:rPr>
          <w:rFonts w:cs="Arial"/>
          <w:spacing w:val="-3"/>
        </w:rPr>
        <w:t xml:space="preserve">este ejercicio </w:t>
      </w:r>
      <w:r w:rsidR="005B5E95" w:rsidRPr="00BD1319">
        <w:rPr>
          <w:rFonts w:cs="Arial"/>
          <w:spacing w:val="-3"/>
        </w:rPr>
        <w:t xml:space="preserve">emplee </w:t>
      </w:r>
      <w:r w:rsidRPr="00BD1319">
        <w:rPr>
          <w:rFonts w:cs="Arial"/>
          <w:spacing w:val="-3"/>
        </w:rPr>
        <w:t xml:space="preserve">los análisis regionales </w:t>
      </w:r>
      <w:r w:rsidR="00453DF9" w:rsidRPr="00BD1319">
        <w:rPr>
          <w:rFonts w:cs="Arial"/>
          <w:spacing w:val="-3"/>
        </w:rPr>
        <w:t xml:space="preserve">sobre evaluación de impactos </w:t>
      </w:r>
      <w:r w:rsidRPr="00BD1319">
        <w:rPr>
          <w:rFonts w:cs="Arial"/>
          <w:spacing w:val="-3"/>
        </w:rPr>
        <w:t xml:space="preserve">que </w:t>
      </w:r>
      <w:r w:rsidR="00AC005E" w:rsidRPr="00BD1319">
        <w:rPr>
          <w:rFonts w:cs="Arial"/>
          <w:spacing w:val="-3"/>
        </w:rPr>
        <w:t>las autoridades ambientales pongan a disposición del público</w:t>
      </w:r>
      <w:r w:rsidRPr="00BD1319">
        <w:rPr>
          <w:rFonts w:cs="Arial"/>
          <w:spacing w:val="-3"/>
        </w:rPr>
        <w:t>.</w:t>
      </w:r>
    </w:p>
    <w:p w14:paraId="00CF9593" w14:textId="77777777" w:rsidR="00212816" w:rsidRPr="00BD1319" w:rsidRDefault="00212816" w:rsidP="00E63F45">
      <w:pPr>
        <w:numPr>
          <w:ilvl w:val="12"/>
          <w:numId w:val="0"/>
        </w:numPr>
        <w:tabs>
          <w:tab w:val="left" w:pos="-2268"/>
        </w:tabs>
        <w:suppressAutoHyphens/>
        <w:rPr>
          <w:rFonts w:cs="Arial"/>
          <w:spacing w:val="-3"/>
        </w:rPr>
      </w:pPr>
    </w:p>
    <w:p w14:paraId="60CD94CA" w14:textId="0875915E" w:rsidR="0092109F" w:rsidRPr="00BD1319" w:rsidRDefault="001167C8" w:rsidP="00216955">
      <w:pPr>
        <w:pStyle w:val="Ttulo3"/>
      </w:pPr>
      <w:bookmarkStart w:id="3273" w:name="_Ref137112878"/>
      <w:bookmarkStart w:id="3274" w:name="_Toc175326807"/>
      <w:r w:rsidRPr="00BD1319">
        <w:t>Determinación de impactos ambientales significativos</w:t>
      </w:r>
      <w:r w:rsidRPr="00BD1319">
        <w:rPr>
          <w:vertAlign w:val="superscript"/>
        </w:rPr>
        <w:footnoteReference w:id="195"/>
      </w:r>
      <w:bookmarkEnd w:id="3273"/>
      <w:bookmarkEnd w:id="3274"/>
    </w:p>
    <w:p w14:paraId="171938C1" w14:textId="77777777" w:rsidR="0092109F" w:rsidRPr="00BD1319" w:rsidRDefault="0092109F" w:rsidP="00E63F45">
      <w:pPr>
        <w:numPr>
          <w:ilvl w:val="12"/>
          <w:numId w:val="0"/>
        </w:numPr>
        <w:tabs>
          <w:tab w:val="left" w:pos="-2268"/>
        </w:tabs>
        <w:suppressAutoHyphens/>
        <w:rPr>
          <w:rFonts w:cs="Arial"/>
          <w:spacing w:val="-3"/>
        </w:rPr>
      </w:pPr>
    </w:p>
    <w:p w14:paraId="7B0F3467" w14:textId="5A554DCA" w:rsidR="00E63F45" w:rsidRPr="00BD1319" w:rsidRDefault="00E63F45" w:rsidP="00E63F45">
      <w:pPr>
        <w:numPr>
          <w:ilvl w:val="12"/>
          <w:numId w:val="0"/>
        </w:numPr>
        <w:tabs>
          <w:tab w:val="left" w:pos="-2268"/>
        </w:tabs>
        <w:suppressAutoHyphens/>
        <w:rPr>
          <w:rFonts w:cs="Arial"/>
          <w:spacing w:val="-3"/>
        </w:rPr>
      </w:pPr>
      <w:bookmarkStart w:id="3275" w:name="_Toc153817523"/>
      <w:bookmarkStart w:id="3276" w:name="_Toc153817524"/>
      <w:bookmarkEnd w:id="3275"/>
      <w:bookmarkEnd w:id="3276"/>
      <w:r w:rsidRPr="00BD1319">
        <w:rPr>
          <w:rFonts w:cs="Arial"/>
          <w:spacing w:val="-3"/>
        </w:rPr>
        <w:t>El procedimiento que se menciona a continuación busca normalizar la valoración y clasificación de los impactos ambientales de un proyecto, obra o actividad sujeto a licenciamiento ambiental, a fin de aplicar una regla de decisión que permite determinar cuáles de ellos son significativos, y así contar con los insumos necesarios para la delimitación del área de influencia.</w:t>
      </w:r>
    </w:p>
    <w:p w14:paraId="115A507A" w14:textId="77777777" w:rsidR="00E63F45" w:rsidRPr="00BD1319" w:rsidRDefault="00E63F45" w:rsidP="00E63F45">
      <w:pPr>
        <w:numPr>
          <w:ilvl w:val="12"/>
          <w:numId w:val="0"/>
        </w:numPr>
        <w:tabs>
          <w:tab w:val="left" w:pos="-2268"/>
        </w:tabs>
        <w:suppressAutoHyphens/>
        <w:rPr>
          <w:rFonts w:cs="Arial"/>
          <w:spacing w:val="-3"/>
        </w:rPr>
      </w:pPr>
    </w:p>
    <w:p w14:paraId="50CE11F1" w14:textId="15962137" w:rsidR="00E63F45" w:rsidRPr="00BD1319" w:rsidRDefault="00E63F45" w:rsidP="00E63F45">
      <w:pPr>
        <w:numPr>
          <w:ilvl w:val="12"/>
          <w:numId w:val="0"/>
        </w:numPr>
        <w:tabs>
          <w:tab w:val="left" w:pos="-2268"/>
        </w:tabs>
        <w:suppressAutoHyphens/>
        <w:rPr>
          <w:rFonts w:cs="Arial"/>
          <w:spacing w:val="-3"/>
        </w:rPr>
      </w:pPr>
      <w:r w:rsidRPr="00BD1319">
        <w:rPr>
          <w:rFonts w:cs="Arial"/>
          <w:spacing w:val="-3"/>
        </w:rPr>
        <w:t xml:space="preserve">El primer paso de este procedimiento es desarrollar una valoración de impactos </w:t>
      </w:r>
      <w:r w:rsidRPr="00BD1319">
        <w:rPr>
          <w:rFonts w:cs="Arial"/>
          <w:i/>
          <w:iCs/>
          <w:spacing w:val="-3"/>
        </w:rPr>
        <w:t>específica para la determinación de impactos significativos</w:t>
      </w:r>
      <w:r w:rsidRPr="00BD1319">
        <w:rPr>
          <w:rFonts w:cs="Arial"/>
          <w:spacing w:val="-3"/>
        </w:rPr>
        <w:t>. Esta valoración específica, únicamente emplea atributos que caracterizan directamente el grado con el que los impactos pueden modificar las condiciones ambientales, y por tal motivo, no admite el uso de los siguientes tipos de atributos de valoración:</w:t>
      </w:r>
    </w:p>
    <w:p w14:paraId="0C93182E" w14:textId="77777777" w:rsidR="00E63F45" w:rsidRPr="00BD1319" w:rsidRDefault="00E63F45" w:rsidP="00E63F45">
      <w:pPr>
        <w:numPr>
          <w:ilvl w:val="12"/>
          <w:numId w:val="0"/>
        </w:numPr>
        <w:tabs>
          <w:tab w:val="left" w:pos="-2268"/>
        </w:tabs>
        <w:suppressAutoHyphens/>
        <w:rPr>
          <w:rFonts w:cs="Arial"/>
          <w:spacing w:val="-3"/>
        </w:rPr>
      </w:pPr>
    </w:p>
    <w:p w14:paraId="02135716" w14:textId="3B8504DC" w:rsidR="00E63F45" w:rsidRPr="00BD1319" w:rsidRDefault="00E63F45" w:rsidP="00E63F45">
      <w:pPr>
        <w:pStyle w:val="Prrafodelista"/>
        <w:numPr>
          <w:ilvl w:val="0"/>
          <w:numId w:val="409"/>
        </w:numPr>
        <w:tabs>
          <w:tab w:val="left" w:pos="-2268"/>
        </w:tabs>
        <w:suppressAutoHyphens/>
        <w:ind w:left="567" w:hanging="567"/>
        <w:rPr>
          <w:rFonts w:cs="Arial"/>
          <w:spacing w:val="-3"/>
          <w:lang w:val="es-CO"/>
        </w:rPr>
      </w:pPr>
      <w:r w:rsidRPr="00BD1319">
        <w:rPr>
          <w:rFonts w:cs="Arial"/>
          <w:spacing w:val="-3"/>
          <w:lang w:val="es-CO"/>
        </w:rPr>
        <w:t>Relativos a la probabilidad de ocurrencia (p. ej. posibilidad de ocurrencia, presencia).</w:t>
      </w:r>
    </w:p>
    <w:p w14:paraId="3B008736" w14:textId="77777777" w:rsidR="00E63F45" w:rsidRPr="00BD1319" w:rsidRDefault="00E63F45" w:rsidP="00E63F45">
      <w:pPr>
        <w:numPr>
          <w:ilvl w:val="12"/>
          <w:numId w:val="0"/>
        </w:numPr>
        <w:tabs>
          <w:tab w:val="left" w:pos="-2268"/>
        </w:tabs>
        <w:suppressAutoHyphens/>
        <w:ind w:left="567" w:hanging="567"/>
        <w:rPr>
          <w:rFonts w:cs="Arial"/>
          <w:spacing w:val="-3"/>
        </w:rPr>
      </w:pPr>
    </w:p>
    <w:p w14:paraId="1E500082" w14:textId="79184981" w:rsidR="00E63F45" w:rsidRPr="00BD1319" w:rsidRDefault="00E63F45" w:rsidP="00E63F45">
      <w:pPr>
        <w:pStyle w:val="Prrafodelista"/>
        <w:numPr>
          <w:ilvl w:val="0"/>
          <w:numId w:val="409"/>
        </w:numPr>
        <w:tabs>
          <w:tab w:val="left" w:pos="-2268"/>
        </w:tabs>
        <w:suppressAutoHyphens/>
        <w:ind w:left="567" w:hanging="567"/>
        <w:rPr>
          <w:rFonts w:cs="Arial"/>
          <w:spacing w:val="-3"/>
          <w:lang w:val="es-CO"/>
        </w:rPr>
      </w:pPr>
      <w:r w:rsidRPr="00BD1319">
        <w:rPr>
          <w:rFonts w:cs="Arial"/>
          <w:spacing w:val="-3"/>
          <w:lang w:val="es-CO"/>
        </w:rPr>
        <w:t>Relativos a la posibilidad de restauración o de recuperación del impacto mediante actividades humanas (p. ej. recuperabilidad).</w:t>
      </w:r>
    </w:p>
    <w:p w14:paraId="7E303631" w14:textId="77777777" w:rsidR="00E63F45" w:rsidRPr="00BD1319" w:rsidRDefault="00E63F45" w:rsidP="00E63F45">
      <w:pPr>
        <w:numPr>
          <w:ilvl w:val="12"/>
          <w:numId w:val="0"/>
        </w:numPr>
        <w:tabs>
          <w:tab w:val="left" w:pos="-2268"/>
        </w:tabs>
        <w:suppressAutoHyphens/>
        <w:ind w:left="567" w:hanging="567"/>
        <w:rPr>
          <w:rFonts w:cs="Arial"/>
          <w:spacing w:val="-3"/>
        </w:rPr>
      </w:pPr>
    </w:p>
    <w:p w14:paraId="1A9BF422" w14:textId="33C8D50C" w:rsidR="00E63F45" w:rsidRPr="00BD1319" w:rsidRDefault="00E63F45" w:rsidP="00E63F45">
      <w:pPr>
        <w:pStyle w:val="Prrafodelista"/>
        <w:numPr>
          <w:ilvl w:val="0"/>
          <w:numId w:val="409"/>
        </w:numPr>
        <w:tabs>
          <w:tab w:val="left" w:pos="-2268"/>
        </w:tabs>
        <w:suppressAutoHyphens/>
        <w:ind w:left="567" w:hanging="567"/>
        <w:rPr>
          <w:rFonts w:cs="Arial"/>
          <w:spacing w:val="-3"/>
          <w:lang w:val="es-CO"/>
        </w:rPr>
      </w:pPr>
      <w:r w:rsidRPr="00BD1319">
        <w:rPr>
          <w:rFonts w:cs="Arial"/>
          <w:spacing w:val="-3"/>
          <w:lang w:val="es-CO"/>
        </w:rPr>
        <w:lastRenderedPageBreak/>
        <w:t>Que adjudiquen per se, un grado de capacidad de modificar el ambiente de acuerdo con el periodo de tiempo en el que tardan en manifestarse los impactos (p. ej. momento, evolución).</w:t>
      </w:r>
    </w:p>
    <w:p w14:paraId="6BF1796A" w14:textId="77777777" w:rsidR="00E63F45" w:rsidRPr="00BD1319" w:rsidRDefault="00E63F45" w:rsidP="00E63F45">
      <w:pPr>
        <w:numPr>
          <w:ilvl w:val="12"/>
          <w:numId w:val="0"/>
        </w:numPr>
        <w:tabs>
          <w:tab w:val="left" w:pos="-2268"/>
        </w:tabs>
        <w:suppressAutoHyphens/>
        <w:ind w:left="567" w:hanging="567"/>
        <w:rPr>
          <w:rFonts w:cs="Arial"/>
          <w:spacing w:val="-3"/>
        </w:rPr>
      </w:pPr>
    </w:p>
    <w:p w14:paraId="29CBD923" w14:textId="3AA1F883" w:rsidR="00E63F45" w:rsidRPr="00BD1319" w:rsidRDefault="00E63F45" w:rsidP="00E63F45">
      <w:pPr>
        <w:pStyle w:val="Prrafodelista"/>
        <w:numPr>
          <w:ilvl w:val="0"/>
          <w:numId w:val="409"/>
        </w:numPr>
        <w:tabs>
          <w:tab w:val="left" w:pos="-2268"/>
        </w:tabs>
        <w:suppressAutoHyphens/>
        <w:ind w:left="567" w:hanging="567"/>
        <w:rPr>
          <w:rFonts w:cs="Arial"/>
          <w:spacing w:val="-3"/>
          <w:lang w:val="es-CO"/>
        </w:rPr>
      </w:pPr>
      <w:r w:rsidRPr="00BD1319">
        <w:rPr>
          <w:rFonts w:cs="Arial"/>
          <w:spacing w:val="-3"/>
          <w:lang w:val="es-CO"/>
        </w:rPr>
        <w:t>Que adjudiquen per se, un grado de capacidad de modificar el ambiente a impactos ambientales directos e indirectos (p. ej. efecto).</w:t>
      </w:r>
    </w:p>
    <w:p w14:paraId="0C55D07C" w14:textId="77777777" w:rsidR="00E63F45" w:rsidRPr="00BD1319" w:rsidRDefault="00E63F45" w:rsidP="00E63F45">
      <w:pPr>
        <w:numPr>
          <w:ilvl w:val="12"/>
          <w:numId w:val="0"/>
        </w:numPr>
        <w:tabs>
          <w:tab w:val="left" w:pos="-2268"/>
        </w:tabs>
        <w:suppressAutoHyphens/>
        <w:rPr>
          <w:rFonts w:cs="Arial"/>
          <w:spacing w:val="-3"/>
        </w:rPr>
      </w:pPr>
    </w:p>
    <w:p w14:paraId="532BE46F" w14:textId="3CC0B695" w:rsidR="00E63F45" w:rsidRPr="00BD1319" w:rsidRDefault="00E63F45" w:rsidP="00E63F45">
      <w:pPr>
        <w:numPr>
          <w:ilvl w:val="12"/>
          <w:numId w:val="0"/>
        </w:numPr>
        <w:tabs>
          <w:tab w:val="left" w:pos="-2268"/>
        </w:tabs>
        <w:suppressAutoHyphens/>
        <w:rPr>
          <w:rFonts w:cs="Arial"/>
          <w:spacing w:val="-3"/>
        </w:rPr>
      </w:pPr>
      <w:r w:rsidRPr="00BD1319">
        <w:rPr>
          <w:rFonts w:cs="Arial"/>
          <w:spacing w:val="-3"/>
        </w:rPr>
        <w:t>De acuerdo con esta condición, y si existe la necesidad, se debe ajustar el método de valoración de impactos utilizado en primera instancia</w:t>
      </w:r>
      <w:r w:rsidR="00DE0B17" w:rsidRPr="00BD1319">
        <w:rPr>
          <w:rFonts w:cs="Arial"/>
          <w:spacing w:val="-3"/>
        </w:rPr>
        <w:t xml:space="preserve"> en la evaluación de los escenarios sin y con proyecto</w:t>
      </w:r>
      <w:r w:rsidRPr="00BD1319">
        <w:rPr>
          <w:rFonts w:cs="Arial"/>
          <w:spacing w:val="-3"/>
        </w:rPr>
        <w:t>, para asegurar que no incorpore estos tipos de atributos</w:t>
      </w:r>
      <w:r w:rsidRPr="00BD1319">
        <w:rPr>
          <w:rStyle w:val="Refdenotaalpie"/>
          <w:rFonts w:cs="Arial"/>
          <w:spacing w:val="-3"/>
          <w:lang w:val="es-CO"/>
        </w:rPr>
        <w:footnoteReference w:id="196"/>
      </w:r>
      <w:r w:rsidRPr="00BD1319">
        <w:rPr>
          <w:rFonts w:cs="Arial"/>
          <w:spacing w:val="-3"/>
        </w:rPr>
        <w:t>, y para que las relaciones matemáticas, ponderaciones y demás procedimientos de valoración, se adecúen a la cantidad total de atributos finalmente seleccionados, así como al rango de valores que pueden tomar los impactos.</w:t>
      </w:r>
    </w:p>
    <w:p w14:paraId="55E769CA" w14:textId="77777777" w:rsidR="00E63F45" w:rsidRPr="00BD1319" w:rsidRDefault="00E63F45" w:rsidP="00E63F45">
      <w:pPr>
        <w:numPr>
          <w:ilvl w:val="12"/>
          <w:numId w:val="0"/>
        </w:numPr>
        <w:tabs>
          <w:tab w:val="left" w:pos="-2268"/>
        </w:tabs>
        <w:suppressAutoHyphens/>
        <w:rPr>
          <w:rFonts w:cs="Arial"/>
          <w:spacing w:val="-3"/>
        </w:rPr>
      </w:pPr>
    </w:p>
    <w:p w14:paraId="29D240B4" w14:textId="6E80C858" w:rsidR="00E63F45" w:rsidRPr="00BD1319" w:rsidRDefault="00E63F45" w:rsidP="00E63F45">
      <w:pPr>
        <w:numPr>
          <w:ilvl w:val="12"/>
          <w:numId w:val="0"/>
        </w:numPr>
        <w:tabs>
          <w:tab w:val="left" w:pos="-2268"/>
        </w:tabs>
        <w:suppressAutoHyphens/>
        <w:rPr>
          <w:rFonts w:cs="Arial"/>
          <w:spacing w:val="-3"/>
        </w:rPr>
      </w:pPr>
      <w:r w:rsidRPr="00BD1319">
        <w:rPr>
          <w:rFonts w:cs="Arial"/>
          <w:spacing w:val="-3"/>
        </w:rPr>
        <w:t xml:space="preserve">Luego de </w:t>
      </w:r>
      <w:r w:rsidR="00DE0B17" w:rsidRPr="00BD1319">
        <w:rPr>
          <w:rFonts w:cs="Arial"/>
          <w:spacing w:val="-3"/>
        </w:rPr>
        <w:t xml:space="preserve">establecer </w:t>
      </w:r>
      <w:r w:rsidRPr="00BD1319">
        <w:rPr>
          <w:rFonts w:cs="Arial"/>
          <w:spacing w:val="-3"/>
        </w:rPr>
        <w:t xml:space="preserve">mediante el método de valoración modificado los valores de cada uno de los impactos ambientales de carácter negativo </w:t>
      </w:r>
      <w:r w:rsidR="00DE0B17" w:rsidRPr="00BD1319">
        <w:rPr>
          <w:rFonts w:cs="Arial"/>
          <w:spacing w:val="-3"/>
        </w:rPr>
        <w:t>determinados</w:t>
      </w:r>
      <w:r w:rsidRPr="00BD1319">
        <w:rPr>
          <w:rFonts w:cs="Arial"/>
          <w:spacing w:val="-3"/>
        </w:rPr>
        <w:t>, es necesario normalizar tales resultados utilizando la siguiente relación matemática:</w:t>
      </w:r>
    </w:p>
    <w:p w14:paraId="0208F676" w14:textId="77777777" w:rsidR="00E63F45" w:rsidRPr="00BD1319" w:rsidRDefault="00E63F45" w:rsidP="00E63F45">
      <w:pPr>
        <w:numPr>
          <w:ilvl w:val="12"/>
          <w:numId w:val="0"/>
        </w:numPr>
        <w:tabs>
          <w:tab w:val="left" w:pos="-2268"/>
        </w:tabs>
        <w:suppressAutoHyphens/>
        <w:rPr>
          <w:rFonts w:cs="Arial"/>
          <w:spacing w:val="-3"/>
        </w:rPr>
      </w:pPr>
    </w:p>
    <w:p w14:paraId="2CE3C1C5" w14:textId="77777777" w:rsidR="00E63F45" w:rsidRPr="00BD1319" w:rsidRDefault="00000000" w:rsidP="00E63F45">
      <w:pPr>
        <w:numPr>
          <w:ilvl w:val="12"/>
          <w:numId w:val="0"/>
        </w:numPr>
        <w:tabs>
          <w:tab w:val="left" w:pos="-2268"/>
        </w:tabs>
        <w:suppressAutoHyphens/>
        <w:rPr>
          <w:rFonts w:cs="Arial"/>
          <w:spacing w:val="-3"/>
        </w:rPr>
      </w:pPr>
      <m:oMathPara>
        <m:oMathParaPr>
          <m:jc m:val="centerGroup"/>
        </m:oMathParaPr>
        <m:oMath>
          <m:sSub>
            <m:sSubPr>
              <m:ctrlPr>
                <w:rPr>
                  <w:rFonts w:ascii="Cambria Math" w:hAnsi="Cambria Math" w:cs="Arial"/>
                  <w:i/>
                  <w:iCs/>
                  <w:spacing w:val="-3"/>
                </w:rPr>
              </m:ctrlPr>
            </m:sSubPr>
            <m:e>
              <m:r>
                <w:rPr>
                  <w:rFonts w:ascii="Cambria Math" w:hAnsi="Cambria Math" w:cs="Arial"/>
                  <w:spacing w:val="-3"/>
                </w:rPr>
                <m:t>PNM</m:t>
              </m:r>
            </m:e>
            <m:sub>
              <m:r>
                <w:rPr>
                  <w:rFonts w:ascii="Cambria Math" w:hAnsi="Cambria Math" w:cs="Arial"/>
                  <w:spacing w:val="-3"/>
                </w:rPr>
                <m:t>i</m:t>
              </m:r>
            </m:sub>
          </m:sSub>
          <m:r>
            <w:rPr>
              <w:rFonts w:ascii="Cambria Math" w:hAnsi="Cambria Math" w:cs="Arial"/>
              <w:spacing w:val="-3"/>
            </w:rPr>
            <m:t>=</m:t>
          </m:r>
          <m:d>
            <m:dPr>
              <m:ctrlPr>
                <w:rPr>
                  <w:rFonts w:ascii="Cambria Math" w:hAnsi="Cambria Math" w:cs="Arial"/>
                  <w:i/>
                  <w:iCs/>
                  <w:spacing w:val="-3"/>
                </w:rPr>
              </m:ctrlPr>
            </m:dPr>
            <m:e>
              <m:f>
                <m:fPr>
                  <m:ctrlPr>
                    <w:rPr>
                      <w:rFonts w:ascii="Cambria Math" w:hAnsi="Cambria Math" w:cs="Arial"/>
                      <w:i/>
                      <w:iCs/>
                      <w:spacing w:val="-3"/>
                    </w:rPr>
                  </m:ctrlPr>
                </m:fPr>
                <m:num>
                  <m:sSub>
                    <m:sSubPr>
                      <m:ctrlPr>
                        <w:rPr>
                          <w:rFonts w:ascii="Cambria Math" w:hAnsi="Cambria Math" w:cs="Arial"/>
                          <w:i/>
                          <w:iCs/>
                          <w:spacing w:val="-3"/>
                        </w:rPr>
                      </m:ctrlPr>
                    </m:sSubPr>
                    <m:e>
                      <m:r>
                        <w:rPr>
                          <w:rFonts w:ascii="Cambria Math" w:hAnsi="Cambria Math" w:cs="Arial"/>
                          <w:spacing w:val="-3"/>
                        </w:rPr>
                        <m:t>C</m:t>
                      </m:r>
                    </m:e>
                    <m:sub>
                      <m:r>
                        <w:rPr>
                          <w:rFonts w:ascii="Cambria Math" w:hAnsi="Cambria Math" w:cs="Arial"/>
                          <w:spacing w:val="-3"/>
                        </w:rPr>
                        <m:t>i</m:t>
                      </m:r>
                    </m:sub>
                  </m:sSub>
                  <m:r>
                    <w:rPr>
                      <w:rFonts w:ascii="Cambria Math" w:hAnsi="Cambria Math" w:cs="Arial"/>
                      <w:spacing w:val="-3"/>
                    </w:rPr>
                    <m:t>-Cmin</m:t>
                  </m:r>
                </m:num>
                <m:den>
                  <m:r>
                    <w:rPr>
                      <w:rFonts w:ascii="Cambria Math" w:hAnsi="Cambria Math" w:cs="Arial"/>
                      <w:spacing w:val="-3"/>
                    </w:rPr>
                    <m:t>Cmax-Cmin </m:t>
                  </m:r>
                </m:den>
              </m:f>
            </m:e>
          </m:d>
          <m:r>
            <w:rPr>
              <w:rFonts w:ascii="Cambria Math" w:hAnsi="Cambria Math" w:cs="Arial"/>
              <w:spacing w:val="-3"/>
            </w:rPr>
            <m:t>X 100</m:t>
          </m:r>
        </m:oMath>
      </m:oMathPara>
    </w:p>
    <w:p w14:paraId="388D5F30" w14:textId="77777777" w:rsidR="00E63F45" w:rsidRPr="00BD1319" w:rsidRDefault="00E63F45" w:rsidP="00E63F45">
      <w:pPr>
        <w:numPr>
          <w:ilvl w:val="12"/>
          <w:numId w:val="0"/>
        </w:numPr>
        <w:tabs>
          <w:tab w:val="left" w:pos="-2268"/>
        </w:tabs>
        <w:suppressAutoHyphens/>
        <w:rPr>
          <w:rFonts w:cs="Arial"/>
          <w:i/>
          <w:iCs/>
          <w:spacing w:val="-3"/>
        </w:rPr>
      </w:pPr>
    </w:p>
    <w:p w14:paraId="22897CE5" w14:textId="77777777" w:rsidR="00E63F45" w:rsidRPr="00BD1319" w:rsidRDefault="00E63F45" w:rsidP="00E63F45">
      <w:pPr>
        <w:numPr>
          <w:ilvl w:val="12"/>
          <w:numId w:val="0"/>
        </w:numPr>
        <w:tabs>
          <w:tab w:val="left" w:pos="-2268"/>
        </w:tabs>
        <w:suppressAutoHyphens/>
        <w:rPr>
          <w:rFonts w:cs="Arial"/>
          <w:i/>
          <w:iCs/>
          <w:spacing w:val="-3"/>
        </w:rPr>
      </w:pPr>
      <w:r w:rsidRPr="00BD1319">
        <w:rPr>
          <w:rFonts w:cs="Arial"/>
          <w:i/>
          <w:iCs/>
          <w:spacing w:val="-3"/>
        </w:rPr>
        <w:t>Dónde:</w:t>
      </w:r>
    </w:p>
    <w:p w14:paraId="0F892979" w14:textId="77777777" w:rsidR="00E63F45" w:rsidRPr="00BD1319" w:rsidRDefault="00E63F45" w:rsidP="00E63F45">
      <w:pPr>
        <w:numPr>
          <w:ilvl w:val="12"/>
          <w:numId w:val="0"/>
        </w:numPr>
        <w:tabs>
          <w:tab w:val="left" w:pos="-2268"/>
        </w:tabs>
        <w:suppressAutoHyphens/>
        <w:rPr>
          <w:rFonts w:cs="Arial"/>
          <w:i/>
          <w:iCs/>
          <w:spacing w:val="-3"/>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1"/>
        <w:gridCol w:w="284"/>
        <w:gridCol w:w="8021"/>
      </w:tblGrid>
      <w:tr w:rsidR="00E63F45" w:rsidRPr="00BD1319" w14:paraId="79C62E70" w14:textId="77777777" w:rsidTr="004B2447">
        <w:trPr>
          <w:trHeight w:hRule="exact" w:val="567"/>
        </w:trPr>
        <w:tc>
          <w:tcPr>
            <w:tcW w:w="817" w:type="dxa"/>
            <w:vAlign w:val="center"/>
          </w:tcPr>
          <w:p w14:paraId="1C08B6FD" w14:textId="77777777" w:rsidR="00E63F45" w:rsidRPr="00BD1319" w:rsidRDefault="00E63F45" w:rsidP="004B2447">
            <w:pPr>
              <w:numPr>
                <w:ilvl w:val="12"/>
                <w:numId w:val="0"/>
              </w:numPr>
              <w:tabs>
                <w:tab w:val="left" w:pos="-2268"/>
              </w:tabs>
              <w:suppressAutoHyphens/>
              <w:ind w:right="-108"/>
              <w:jc w:val="left"/>
              <w:rPr>
                <w:rFonts w:cs="Arial"/>
                <w:i/>
                <w:iCs/>
                <w:spacing w:val="-3"/>
              </w:rPr>
            </w:pPr>
            <w:proofErr w:type="spellStart"/>
            <w:r w:rsidRPr="00BD1319">
              <w:rPr>
                <w:rFonts w:cs="Arial"/>
                <w:i/>
                <w:iCs/>
                <w:spacing w:val="-3"/>
              </w:rPr>
              <w:t>PNM</w:t>
            </w:r>
            <w:r w:rsidRPr="00BD1319">
              <w:rPr>
                <w:rFonts w:cs="Arial"/>
                <w:i/>
                <w:iCs/>
                <w:spacing w:val="-3"/>
                <w:vertAlign w:val="subscript"/>
              </w:rPr>
              <w:t>i</w:t>
            </w:r>
            <w:proofErr w:type="spellEnd"/>
          </w:p>
        </w:tc>
        <w:tc>
          <w:tcPr>
            <w:tcW w:w="284" w:type="dxa"/>
            <w:vAlign w:val="center"/>
          </w:tcPr>
          <w:p w14:paraId="1560CBF3" w14:textId="77777777" w:rsidR="00E63F45" w:rsidRPr="00BD1319" w:rsidRDefault="00E63F45" w:rsidP="004B2447">
            <w:pPr>
              <w:numPr>
                <w:ilvl w:val="12"/>
                <w:numId w:val="0"/>
              </w:numPr>
              <w:tabs>
                <w:tab w:val="left" w:pos="-2268"/>
              </w:tabs>
              <w:suppressAutoHyphens/>
              <w:ind w:left="-108" w:right="-533"/>
              <w:jc w:val="left"/>
              <w:rPr>
                <w:rFonts w:cs="Arial"/>
                <w:i/>
                <w:iCs/>
                <w:spacing w:val="-3"/>
              </w:rPr>
            </w:pPr>
            <w:r w:rsidRPr="00BD1319">
              <w:rPr>
                <w:rFonts w:cs="Arial"/>
                <w:i/>
                <w:iCs/>
                <w:spacing w:val="-3"/>
              </w:rPr>
              <w:t>=</w:t>
            </w:r>
          </w:p>
        </w:tc>
        <w:tc>
          <w:tcPr>
            <w:tcW w:w="8021" w:type="dxa"/>
            <w:vAlign w:val="center"/>
          </w:tcPr>
          <w:p w14:paraId="3D7CDA0E" w14:textId="77777777" w:rsidR="00E63F45" w:rsidRPr="00BD1319" w:rsidRDefault="00E63F45" w:rsidP="004B2447">
            <w:pPr>
              <w:numPr>
                <w:ilvl w:val="12"/>
                <w:numId w:val="0"/>
              </w:numPr>
              <w:tabs>
                <w:tab w:val="left" w:pos="-2268"/>
              </w:tabs>
              <w:suppressAutoHyphens/>
              <w:ind w:left="-108" w:right="-308"/>
              <w:jc w:val="left"/>
              <w:rPr>
                <w:rFonts w:cs="Arial"/>
                <w:i/>
                <w:iCs/>
                <w:spacing w:val="-3"/>
                <w:sz w:val="22"/>
              </w:rPr>
            </w:pPr>
            <w:r w:rsidRPr="00BD1319">
              <w:rPr>
                <w:rFonts w:cs="Arial"/>
                <w:spacing w:val="-3"/>
                <w:sz w:val="22"/>
              </w:rPr>
              <w:t xml:space="preserve">Potencial normalizado de modificación de las condiciones ambientales del impacto </w:t>
            </w:r>
            <w:r w:rsidRPr="00BD1319">
              <w:rPr>
                <w:rFonts w:cs="Arial"/>
                <w:i/>
                <w:iCs/>
                <w:spacing w:val="-3"/>
                <w:sz w:val="22"/>
              </w:rPr>
              <w:t>i</w:t>
            </w:r>
          </w:p>
        </w:tc>
      </w:tr>
      <w:tr w:rsidR="00E63F45" w:rsidRPr="00BD1319" w14:paraId="482510F0" w14:textId="77777777" w:rsidTr="004B2447">
        <w:trPr>
          <w:trHeight w:hRule="exact" w:val="567"/>
        </w:trPr>
        <w:tc>
          <w:tcPr>
            <w:tcW w:w="817" w:type="dxa"/>
            <w:vAlign w:val="center"/>
          </w:tcPr>
          <w:p w14:paraId="42F07958" w14:textId="77777777" w:rsidR="00E63F45" w:rsidRPr="00BD1319" w:rsidRDefault="00E63F45" w:rsidP="004B2447">
            <w:pPr>
              <w:numPr>
                <w:ilvl w:val="12"/>
                <w:numId w:val="0"/>
              </w:numPr>
              <w:tabs>
                <w:tab w:val="left" w:pos="-2268"/>
              </w:tabs>
              <w:suppressAutoHyphens/>
              <w:ind w:right="-108"/>
              <w:jc w:val="left"/>
              <w:rPr>
                <w:rFonts w:cs="Arial"/>
                <w:i/>
                <w:iCs/>
                <w:spacing w:val="-3"/>
              </w:rPr>
            </w:pPr>
            <w:r w:rsidRPr="00BD1319">
              <w:rPr>
                <w:rFonts w:cs="Arial"/>
                <w:i/>
                <w:spacing w:val="-3"/>
              </w:rPr>
              <w:t>C</w:t>
            </w:r>
            <w:r w:rsidRPr="00BD1319">
              <w:rPr>
                <w:rFonts w:cs="Arial"/>
                <w:i/>
                <w:spacing w:val="-3"/>
                <w:vertAlign w:val="subscript"/>
              </w:rPr>
              <w:t>i</w:t>
            </w:r>
          </w:p>
        </w:tc>
        <w:tc>
          <w:tcPr>
            <w:tcW w:w="284" w:type="dxa"/>
            <w:vAlign w:val="center"/>
          </w:tcPr>
          <w:p w14:paraId="1E6C0C26" w14:textId="77777777" w:rsidR="00E63F45" w:rsidRPr="00BD1319" w:rsidRDefault="00E63F45" w:rsidP="004B2447">
            <w:pPr>
              <w:numPr>
                <w:ilvl w:val="12"/>
                <w:numId w:val="0"/>
              </w:numPr>
              <w:tabs>
                <w:tab w:val="left" w:pos="-2268"/>
              </w:tabs>
              <w:suppressAutoHyphens/>
              <w:ind w:left="-108" w:right="-533"/>
              <w:jc w:val="left"/>
              <w:rPr>
                <w:rFonts w:cs="Arial"/>
                <w:i/>
                <w:iCs/>
                <w:spacing w:val="-3"/>
              </w:rPr>
            </w:pPr>
            <w:r w:rsidRPr="00BD1319">
              <w:rPr>
                <w:rFonts w:cs="Arial"/>
                <w:i/>
                <w:iCs/>
                <w:spacing w:val="-3"/>
              </w:rPr>
              <w:t>=</w:t>
            </w:r>
          </w:p>
        </w:tc>
        <w:tc>
          <w:tcPr>
            <w:tcW w:w="8021" w:type="dxa"/>
            <w:vAlign w:val="center"/>
          </w:tcPr>
          <w:p w14:paraId="321AC5DA" w14:textId="77777777" w:rsidR="00E63F45" w:rsidRPr="00BD1319" w:rsidRDefault="00E63F45" w:rsidP="004B2447">
            <w:pPr>
              <w:numPr>
                <w:ilvl w:val="12"/>
                <w:numId w:val="0"/>
              </w:numPr>
              <w:tabs>
                <w:tab w:val="left" w:pos="-2268"/>
              </w:tabs>
              <w:suppressAutoHyphens/>
              <w:ind w:left="-108" w:right="-308"/>
              <w:jc w:val="left"/>
              <w:rPr>
                <w:rFonts w:cs="Arial"/>
                <w:i/>
                <w:iCs/>
                <w:spacing w:val="-3"/>
                <w:sz w:val="22"/>
              </w:rPr>
            </w:pPr>
            <w:r w:rsidRPr="00BD1319">
              <w:rPr>
                <w:rFonts w:cs="Arial"/>
                <w:spacing w:val="-3"/>
                <w:sz w:val="22"/>
              </w:rPr>
              <w:t xml:space="preserve">Calificación del impacto </w:t>
            </w:r>
            <w:r w:rsidRPr="00BD1319">
              <w:rPr>
                <w:rFonts w:cs="Arial"/>
                <w:i/>
                <w:spacing w:val="-3"/>
                <w:sz w:val="22"/>
              </w:rPr>
              <w:t>i</w:t>
            </w:r>
            <w:r w:rsidRPr="00BD1319">
              <w:rPr>
                <w:rFonts w:cs="Arial"/>
                <w:spacing w:val="-3"/>
                <w:sz w:val="22"/>
              </w:rPr>
              <w:t xml:space="preserve"> obtenida mediante el método de valoración modificado</w:t>
            </w:r>
            <w:r w:rsidRPr="00BD1319">
              <w:rPr>
                <w:rStyle w:val="Refdenotaalpie"/>
                <w:rFonts w:cs="Arial"/>
                <w:spacing w:val="-3"/>
                <w:sz w:val="22"/>
                <w:lang w:val="es-CO"/>
              </w:rPr>
              <w:footnoteReference w:id="197"/>
            </w:r>
          </w:p>
        </w:tc>
      </w:tr>
      <w:tr w:rsidR="00E63F45" w:rsidRPr="00BD1319" w14:paraId="4D5FB5F4" w14:textId="77777777" w:rsidTr="004B2447">
        <w:trPr>
          <w:trHeight w:hRule="exact" w:val="567"/>
        </w:trPr>
        <w:tc>
          <w:tcPr>
            <w:tcW w:w="817" w:type="dxa"/>
            <w:vAlign w:val="center"/>
          </w:tcPr>
          <w:p w14:paraId="5107B1BC" w14:textId="77777777" w:rsidR="00E63F45" w:rsidRPr="00BD1319" w:rsidRDefault="00E63F45" w:rsidP="004B2447">
            <w:pPr>
              <w:numPr>
                <w:ilvl w:val="12"/>
                <w:numId w:val="0"/>
              </w:numPr>
              <w:tabs>
                <w:tab w:val="left" w:pos="-2268"/>
              </w:tabs>
              <w:suppressAutoHyphens/>
              <w:ind w:right="-108"/>
              <w:jc w:val="left"/>
              <w:rPr>
                <w:rFonts w:cs="Arial"/>
                <w:i/>
                <w:iCs/>
                <w:spacing w:val="-3"/>
              </w:rPr>
            </w:pPr>
            <w:proofErr w:type="spellStart"/>
            <w:r w:rsidRPr="00BD1319">
              <w:rPr>
                <w:rFonts w:cs="Arial"/>
                <w:i/>
                <w:spacing w:val="-3"/>
              </w:rPr>
              <w:t>Cmin</w:t>
            </w:r>
            <w:proofErr w:type="spellEnd"/>
          </w:p>
        </w:tc>
        <w:tc>
          <w:tcPr>
            <w:tcW w:w="284" w:type="dxa"/>
            <w:vAlign w:val="center"/>
          </w:tcPr>
          <w:p w14:paraId="2F3A5E60" w14:textId="77777777" w:rsidR="00E63F45" w:rsidRPr="00BD1319" w:rsidRDefault="00E63F45" w:rsidP="004B2447">
            <w:pPr>
              <w:numPr>
                <w:ilvl w:val="12"/>
                <w:numId w:val="0"/>
              </w:numPr>
              <w:tabs>
                <w:tab w:val="left" w:pos="-2268"/>
              </w:tabs>
              <w:suppressAutoHyphens/>
              <w:ind w:left="-108" w:right="-533"/>
              <w:jc w:val="left"/>
              <w:rPr>
                <w:rFonts w:cs="Arial"/>
                <w:i/>
                <w:iCs/>
                <w:spacing w:val="-3"/>
              </w:rPr>
            </w:pPr>
            <w:r w:rsidRPr="00BD1319">
              <w:rPr>
                <w:rFonts w:cs="Arial"/>
                <w:i/>
                <w:iCs/>
                <w:spacing w:val="-3"/>
              </w:rPr>
              <w:t>=</w:t>
            </w:r>
          </w:p>
        </w:tc>
        <w:tc>
          <w:tcPr>
            <w:tcW w:w="8021" w:type="dxa"/>
            <w:vAlign w:val="center"/>
          </w:tcPr>
          <w:p w14:paraId="6D4363FC" w14:textId="77777777" w:rsidR="00E63F45" w:rsidRPr="00BD1319" w:rsidRDefault="00E63F45" w:rsidP="004B2447">
            <w:pPr>
              <w:numPr>
                <w:ilvl w:val="12"/>
                <w:numId w:val="0"/>
              </w:numPr>
              <w:tabs>
                <w:tab w:val="left" w:pos="-2268"/>
              </w:tabs>
              <w:suppressAutoHyphens/>
              <w:ind w:left="-108" w:right="-308"/>
              <w:jc w:val="left"/>
              <w:rPr>
                <w:rFonts w:cs="Arial"/>
                <w:i/>
                <w:iCs/>
                <w:spacing w:val="-3"/>
                <w:sz w:val="22"/>
              </w:rPr>
            </w:pPr>
            <w:r w:rsidRPr="00BD1319">
              <w:rPr>
                <w:rFonts w:cs="Arial"/>
                <w:spacing w:val="-3"/>
                <w:sz w:val="22"/>
              </w:rPr>
              <w:t>Calificación mínima posible al aplicar el método de valoración modificado</w:t>
            </w:r>
          </w:p>
        </w:tc>
      </w:tr>
      <w:tr w:rsidR="00E63F45" w:rsidRPr="00BD1319" w14:paraId="62BB3DC6" w14:textId="77777777" w:rsidTr="004B2447">
        <w:trPr>
          <w:trHeight w:hRule="exact" w:val="567"/>
        </w:trPr>
        <w:tc>
          <w:tcPr>
            <w:tcW w:w="817" w:type="dxa"/>
            <w:vAlign w:val="center"/>
          </w:tcPr>
          <w:p w14:paraId="6BD431C5" w14:textId="77777777" w:rsidR="00E63F45" w:rsidRPr="00BD1319" w:rsidRDefault="00E63F45" w:rsidP="004B2447">
            <w:pPr>
              <w:numPr>
                <w:ilvl w:val="12"/>
                <w:numId w:val="0"/>
              </w:numPr>
              <w:tabs>
                <w:tab w:val="left" w:pos="-2268"/>
              </w:tabs>
              <w:suppressAutoHyphens/>
              <w:ind w:right="-108"/>
              <w:jc w:val="left"/>
              <w:rPr>
                <w:rFonts w:cs="Arial"/>
                <w:i/>
                <w:iCs/>
                <w:spacing w:val="-3"/>
              </w:rPr>
            </w:pPr>
            <w:proofErr w:type="spellStart"/>
            <w:r w:rsidRPr="00BD1319">
              <w:rPr>
                <w:rFonts w:cs="Arial"/>
                <w:i/>
                <w:spacing w:val="-3"/>
              </w:rPr>
              <w:t>Cmax</w:t>
            </w:r>
            <w:proofErr w:type="spellEnd"/>
          </w:p>
        </w:tc>
        <w:tc>
          <w:tcPr>
            <w:tcW w:w="284" w:type="dxa"/>
            <w:vAlign w:val="center"/>
          </w:tcPr>
          <w:p w14:paraId="4686547E" w14:textId="77777777" w:rsidR="00E63F45" w:rsidRPr="00BD1319" w:rsidRDefault="00E63F45" w:rsidP="004B2447">
            <w:pPr>
              <w:numPr>
                <w:ilvl w:val="12"/>
                <w:numId w:val="0"/>
              </w:numPr>
              <w:tabs>
                <w:tab w:val="left" w:pos="-2268"/>
              </w:tabs>
              <w:suppressAutoHyphens/>
              <w:ind w:left="-108" w:right="-533"/>
              <w:jc w:val="left"/>
              <w:rPr>
                <w:rFonts w:cs="Arial"/>
                <w:i/>
                <w:iCs/>
                <w:spacing w:val="-3"/>
              </w:rPr>
            </w:pPr>
            <w:r w:rsidRPr="00BD1319">
              <w:rPr>
                <w:rFonts w:cs="Arial"/>
                <w:i/>
                <w:iCs/>
                <w:spacing w:val="-3"/>
              </w:rPr>
              <w:t>=</w:t>
            </w:r>
          </w:p>
        </w:tc>
        <w:tc>
          <w:tcPr>
            <w:tcW w:w="8021" w:type="dxa"/>
            <w:vAlign w:val="center"/>
          </w:tcPr>
          <w:p w14:paraId="2A643E6A" w14:textId="77777777" w:rsidR="00E63F45" w:rsidRPr="00BD1319" w:rsidRDefault="00E63F45" w:rsidP="004B2447">
            <w:pPr>
              <w:numPr>
                <w:ilvl w:val="12"/>
                <w:numId w:val="0"/>
              </w:numPr>
              <w:tabs>
                <w:tab w:val="left" w:pos="-2268"/>
              </w:tabs>
              <w:suppressAutoHyphens/>
              <w:ind w:left="-108" w:right="-308"/>
              <w:jc w:val="left"/>
              <w:rPr>
                <w:rFonts w:cs="Arial"/>
                <w:i/>
                <w:iCs/>
                <w:spacing w:val="-3"/>
                <w:sz w:val="22"/>
              </w:rPr>
            </w:pPr>
            <w:r w:rsidRPr="00BD1319">
              <w:rPr>
                <w:rFonts w:cs="Arial"/>
                <w:spacing w:val="-3"/>
                <w:sz w:val="22"/>
              </w:rPr>
              <w:t>Calificación máxima posible al aplicar el método de valoración modificado</w:t>
            </w:r>
          </w:p>
        </w:tc>
      </w:tr>
    </w:tbl>
    <w:p w14:paraId="443DC9E5" w14:textId="77777777" w:rsidR="00E63F45" w:rsidRPr="00BD1319" w:rsidRDefault="00E63F45" w:rsidP="00E63F45">
      <w:pPr>
        <w:numPr>
          <w:ilvl w:val="12"/>
          <w:numId w:val="0"/>
        </w:numPr>
        <w:tabs>
          <w:tab w:val="left" w:pos="-2268"/>
        </w:tabs>
        <w:suppressAutoHyphens/>
        <w:rPr>
          <w:rFonts w:cs="Arial"/>
          <w:iCs/>
          <w:spacing w:val="-3"/>
        </w:rPr>
      </w:pPr>
    </w:p>
    <w:p w14:paraId="11771E6D" w14:textId="0357C60E" w:rsidR="00E63F45" w:rsidRPr="00BD1319" w:rsidRDefault="00E63F45" w:rsidP="00E63F45">
      <w:pPr>
        <w:numPr>
          <w:ilvl w:val="12"/>
          <w:numId w:val="0"/>
        </w:numPr>
        <w:tabs>
          <w:tab w:val="left" w:pos="-2268"/>
        </w:tabs>
        <w:suppressAutoHyphens/>
        <w:rPr>
          <w:rFonts w:cs="Arial"/>
          <w:iCs/>
          <w:spacing w:val="-3"/>
        </w:rPr>
      </w:pPr>
      <w:r w:rsidRPr="00BD1319">
        <w:rPr>
          <w:rFonts w:cs="Arial"/>
          <w:iCs/>
          <w:spacing w:val="-3"/>
        </w:rPr>
        <w:t xml:space="preserve">Mediante este proceso se determina el valor del potencial normalizado de modificación de las condiciones ambientales de cada impacto, el cual debe ser clasificado de acuerdo con los rangos y categorías establecidos en la </w:t>
      </w:r>
      <w:r w:rsidRPr="00BD1319">
        <w:rPr>
          <w:rFonts w:cs="Arial"/>
          <w:iCs/>
          <w:spacing w:val="-3"/>
        </w:rPr>
        <w:fldChar w:fldCharType="begin"/>
      </w:r>
      <w:r w:rsidRPr="00BD1319">
        <w:rPr>
          <w:rFonts w:cs="Arial"/>
          <w:iCs/>
          <w:spacing w:val="-3"/>
        </w:rPr>
        <w:instrText xml:space="preserve"> REF _Ref43476186 \h  \* MERGEFORMAT </w:instrText>
      </w:r>
      <w:r w:rsidRPr="00BD1319">
        <w:rPr>
          <w:rFonts w:cs="Arial"/>
          <w:iCs/>
          <w:spacing w:val="-3"/>
        </w:rPr>
      </w:r>
      <w:r w:rsidRPr="00BD1319">
        <w:rPr>
          <w:rFonts w:cs="Arial"/>
          <w:iCs/>
          <w:spacing w:val="-3"/>
        </w:rPr>
        <w:fldChar w:fldCharType="separate"/>
      </w:r>
      <w:r w:rsidR="00296654" w:rsidRPr="00BD1319">
        <w:rPr>
          <w:rFonts w:cs="Arial"/>
          <w:spacing w:val="-3"/>
        </w:rPr>
        <w:t>Tabla 33</w:t>
      </w:r>
      <w:r w:rsidRPr="00BD1319">
        <w:rPr>
          <w:rFonts w:cs="Arial"/>
          <w:iCs/>
          <w:spacing w:val="-3"/>
        </w:rPr>
        <w:fldChar w:fldCharType="end"/>
      </w:r>
      <w:r w:rsidRPr="00BD1319">
        <w:rPr>
          <w:rFonts w:cs="Arial"/>
          <w:iCs/>
          <w:spacing w:val="-3"/>
        </w:rPr>
        <w:t>, a fin de establecer si corresponde o no a un impacto ambiental significativo.</w:t>
      </w:r>
    </w:p>
    <w:p w14:paraId="21D6F2F9" w14:textId="77777777" w:rsidR="00E63F45" w:rsidRPr="00BD1319" w:rsidRDefault="00E63F45" w:rsidP="00E63F45">
      <w:pPr>
        <w:numPr>
          <w:ilvl w:val="12"/>
          <w:numId w:val="0"/>
        </w:numPr>
        <w:tabs>
          <w:tab w:val="left" w:pos="-2268"/>
        </w:tabs>
        <w:suppressAutoHyphens/>
        <w:rPr>
          <w:rFonts w:cs="Arial"/>
          <w:spacing w:val="-3"/>
        </w:rPr>
      </w:pPr>
    </w:p>
    <w:p w14:paraId="4E33F6D9" w14:textId="2CE09AE5" w:rsidR="00E63F45" w:rsidRPr="00BD1319" w:rsidRDefault="00E63F45" w:rsidP="00E63F45">
      <w:pPr>
        <w:numPr>
          <w:ilvl w:val="12"/>
          <w:numId w:val="0"/>
        </w:numPr>
        <w:tabs>
          <w:tab w:val="left" w:pos="-2268"/>
        </w:tabs>
        <w:suppressAutoHyphens/>
        <w:jc w:val="center"/>
        <w:rPr>
          <w:rFonts w:cs="Arial"/>
          <w:spacing w:val="-3"/>
        </w:rPr>
      </w:pPr>
      <w:bookmarkStart w:id="3277" w:name="_Ref43476186"/>
      <w:r w:rsidRPr="00BD1319">
        <w:rPr>
          <w:rFonts w:cs="Arial"/>
          <w:b/>
          <w:spacing w:val="-3"/>
        </w:rPr>
        <w:t xml:space="preserve">Tabla </w:t>
      </w:r>
      <w:r w:rsidRPr="00BD1319">
        <w:rPr>
          <w:rFonts w:cs="Arial"/>
          <w:b/>
          <w:spacing w:val="-3"/>
        </w:rPr>
        <w:fldChar w:fldCharType="begin"/>
      </w:r>
      <w:r w:rsidRPr="00BD1319">
        <w:rPr>
          <w:rFonts w:cs="Arial"/>
          <w:b/>
          <w:spacing w:val="-3"/>
        </w:rPr>
        <w:instrText xml:space="preserve"> SEQ Tabla \* ARABIC </w:instrText>
      </w:r>
      <w:r w:rsidRPr="00BD1319">
        <w:rPr>
          <w:rFonts w:cs="Arial"/>
          <w:b/>
          <w:spacing w:val="-3"/>
        </w:rPr>
        <w:fldChar w:fldCharType="separate"/>
      </w:r>
      <w:r w:rsidR="00296654" w:rsidRPr="00BD1319">
        <w:rPr>
          <w:rFonts w:cs="Arial"/>
          <w:b/>
          <w:noProof/>
          <w:spacing w:val="-3"/>
        </w:rPr>
        <w:t>33</w:t>
      </w:r>
      <w:r w:rsidRPr="00BD1319">
        <w:rPr>
          <w:rFonts w:cs="Arial"/>
          <w:b/>
          <w:spacing w:val="-3"/>
        </w:rPr>
        <w:fldChar w:fldCharType="end"/>
      </w:r>
      <w:bookmarkEnd w:id="3277"/>
      <w:r w:rsidRPr="00BD1319">
        <w:rPr>
          <w:rFonts w:cs="Arial"/>
          <w:b/>
          <w:spacing w:val="-3"/>
        </w:rPr>
        <w:t>.</w:t>
      </w:r>
      <w:r w:rsidRPr="00BD1319">
        <w:rPr>
          <w:rFonts w:cs="Arial"/>
          <w:spacing w:val="-3"/>
        </w:rPr>
        <w:t xml:space="preserve"> Regla de decisión para determinar impactos ambientales significativos</w:t>
      </w:r>
    </w:p>
    <w:tbl>
      <w:tblPr>
        <w:tblStyle w:val="Tablaconcuadrcula"/>
        <w:tblW w:w="6895" w:type="dxa"/>
        <w:jc w:val="center"/>
        <w:tblLook w:val="0420" w:firstRow="1" w:lastRow="0" w:firstColumn="0" w:lastColumn="0" w:noHBand="0" w:noVBand="1"/>
      </w:tblPr>
      <w:tblGrid>
        <w:gridCol w:w="2349"/>
        <w:gridCol w:w="2349"/>
        <w:gridCol w:w="2197"/>
      </w:tblGrid>
      <w:tr w:rsidR="00E63F45" w:rsidRPr="00BD1319" w14:paraId="4789E166" w14:textId="77777777" w:rsidTr="004B2447">
        <w:trPr>
          <w:trHeight w:val="584"/>
          <w:jc w:val="center"/>
        </w:trPr>
        <w:tc>
          <w:tcPr>
            <w:tcW w:w="4698" w:type="dxa"/>
            <w:gridSpan w:val="2"/>
            <w:vAlign w:val="center"/>
            <w:hideMark/>
          </w:tcPr>
          <w:p w14:paraId="3A91CC1B" w14:textId="77777777" w:rsidR="00E63F45" w:rsidRPr="00BD1319" w:rsidRDefault="00E63F45" w:rsidP="004B2447">
            <w:pPr>
              <w:overflowPunct/>
              <w:autoSpaceDE/>
              <w:autoSpaceDN/>
              <w:adjustRightInd/>
              <w:ind w:left="-57" w:right="-57"/>
              <w:jc w:val="center"/>
              <w:textAlignment w:val="auto"/>
              <w:rPr>
                <w:rFonts w:cs="Arial"/>
                <w:lang w:eastAsia="es-CO"/>
              </w:rPr>
            </w:pPr>
            <w:r w:rsidRPr="00BD1319">
              <w:rPr>
                <w:rFonts w:cs="Arial"/>
                <w:b/>
                <w:bCs/>
                <w:kern w:val="24"/>
                <w:lang w:eastAsia="es-CO"/>
              </w:rPr>
              <w:t>Potencial normalizado de modificación de las condiciones ambientales</w:t>
            </w:r>
          </w:p>
        </w:tc>
        <w:tc>
          <w:tcPr>
            <w:tcW w:w="2197" w:type="dxa"/>
            <w:vMerge w:val="restart"/>
            <w:vAlign w:val="center"/>
          </w:tcPr>
          <w:p w14:paraId="06500985" w14:textId="77777777" w:rsidR="00E63F45" w:rsidRPr="00BD1319" w:rsidRDefault="00E63F45" w:rsidP="004B2447">
            <w:pPr>
              <w:jc w:val="center"/>
              <w:rPr>
                <w:rFonts w:cs="Arial"/>
                <w:lang w:eastAsia="es-CO"/>
              </w:rPr>
            </w:pPr>
            <w:r w:rsidRPr="00BD1319">
              <w:rPr>
                <w:rFonts w:eastAsiaTheme="minorEastAsia" w:cs="Arial"/>
                <w:b/>
                <w:kern w:val="24"/>
                <w:lang w:eastAsia="es-CO"/>
              </w:rPr>
              <w:t>Tipo de impacto</w:t>
            </w:r>
          </w:p>
        </w:tc>
      </w:tr>
      <w:tr w:rsidR="00E63F45" w:rsidRPr="00BD1319" w14:paraId="6D68D4DC" w14:textId="77777777" w:rsidTr="004B2447">
        <w:trPr>
          <w:trHeight w:val="584"/>
          <w:jc w:val="center"/>
        </w:trPr>
        <w:tc>
          <w:tcPr>
            <w:tcW w:w="2349" w:type="dxa"/>
            <w:vAlign w:val="center"/>
          </w:tcPr>
          <w:p w14:paraId="0F98D4BC" w14:textId="77777777" w:rsidR="00E63F45" w:rsidRPr="00BD1319" w:rsidRDefault="00E63F45" w:rsidP="004B2447">
            <w:pPr>
              <w:overflowPunct/>
              <w:autoSpaceDE/>
              <w:autoSpaceDN/>
              <w:adjustRightInd/>
              <w:jc w:val="center"/>
              <w:textAlignment w:val="auto"/>
              <w:rPr>
                <w:rFonts w:cs="Arial"/>
                <w:b/>
                <w:kern w:val="24"/>
                <w:lang w:eastAsia="es-CO"/>
              </w:rPr>
            </w:pPr>
            <w:r w:rsidRPr="00BD1319">
              <w:rPr>
                <w:rFonts w:cs="Arial"/>
                <w:b/>
                <w:kern w:val="24"/>
                <w:lang w:eastAsia="es-CO"/>
              </w:rPr>
              <w:t>Rango</w:t>
            </w:r>
          </w:p>
        </w:tc>
        <w:tc>
          <w:tcPr>
            <w:tcW w:w="2349" w:type="dxa"/>
            <w:vAlign w:val="center"/>
          </w:tcPr>
          <w:p w14:paraId="7525D921" w14:textId="77777777" w:rsidR="00E63F45" w:rsidRPr="00BD1319" w:rsidRDefault="00E63F45" w:rsidP="004B2447">
            <w:pPr>
              <w:overflowPunct/>
              <w:autoSpaceDE/>
              <w:autoSpaceDN/>
              <w:adjustRightInd/>
              <w:jc w:val="center"/>
              <w:textAlignment w:val="auto"/>
              <w:rPr>
                <w:rFonts w:cs="Arial"/>
                <w:b/>
                <w:kern w:val="24"/>
                <w:lang w:eastAsia="es-CO"/>
              </w:rPr>
            </w:pPr>
            <w:r w:rsidRPr="00BD1319">
              <w:rPr>
                <w:rFonts w:cs="Arial"/>
                <w:b/>
                <w:kern w:val="24"/>
                <w:lang w:eastAsia="es-CO"/>
              </w:rPr>
              <w:t>Categoría</w:t>
            </w:r>
          </w:p>
        </w:tc>
        <w:tc>
          <w:tcPr>
            <w:tcW w:w="2197" w:type="dxa"/>
            <w:vMerge/>
            <w:vAlign w:val="center"/>
          </w:tcPr>
          <w:p w14:paraId="4807C6F7" w14:textId="77777777" w:rsidR="00E63F45" w:rsidRPr="00BD1319" w:rsidRDefault="00E63F45" w:rsidP="004B2447">
            <w:pPr>
              <w:overflowPunct/>
              <w:autoSpaceDE/>
              <w:autoSpaceDN/>
              <w:adjustRightInd/>
              <w:jc w:val="center"/>
              <w:textAlignment w:val="auto"/>
              <w:rPr>
                <w:rFonts w:eastAsiaTheme="minorEastAsia" w:cs="Arial"/>
                <w:b/>
                <w:kern w:val="24"/>
                <w:lang w:eastAsia="es-CO"/>
              </w:rPr>
            </w:pPr>
          </w:p>
        </w:tc>
      </w:tr>
      <w:tr w:rsidR="00E63F45" w:rsidRPr="00BD1319" w14:paraId="1A7F646F" w14:textId="77777777" w:rsidTr="004B2447">
        <w:trPr>
          <w:trHeight w:val="584"/>
          <w:jc w:val="center"/>
        </w:trPr>
        <w:tc>
          <w:tcPr>
            <w:tcW w:w="2349" w:type="dxa"/>
            <w:vAlign w:val="center"/>
            <w:hideMark/>
          </w:tcPr>
          <w:p w14:paraId="69BAE1AC" w14:textId="77777777" w:rsidR="00E63F45" w:rsidRPr="00BD1319" w:rsidRDefault="00E63F45" w:rsidP="004B2447">
            <w:pPr>
              <w:overflowPunct/>
              <w:autoSpaceDE/>
              <w:autoSpaceDN/>
              <w:adjustRightInd/>
              <w:ind w:right="662"/>
              <w:jc w:val="right"/>
              <w:textAlignment w:val="auto"/>
              <w:rPr>
                <w:rFonts w:cs="Arial"/>
                <w:lang w:eastAsia="es-CO"/>
              </w:rPr>
            </w:pPr>
            <w:r w:rsidRPr="00BD1319">
              <w:rPr>
                <w:rFonts w:cs="Arial"/>
                <w:kern w:val="24"/>
                <w:lang w:eastAsia="es-CO"/>
              </w:rPr>
              <w:t>0 - 25</w:t>
            </w:r>
          </w:p>
        </w:tc>
        <w:tc>
          <w:tcPr>
            <w:tcW w:w="2349" w:type="dxa"/>
            <w:vAlign w:val="center"/>
            <w:hideMark/>
          </w:tcPr>
          <w:p w14:paraId="41707719" w14:textId="77777777" w:rsidR="00E63F45" w:rsidRPr="00BD1319" w:rsidRDefault="00E63F45" w:rsidP="004B2447">
            <w:pPr>
              <w:overflowPunct/>
              <w:autoSpaceDE/>
              <w:autoSpaceDN/>
              <w:adjustRightInd/>
              <w:jc w:val="center"/>
              <w:textAlignment w:val="auto"/>
              <w:rPr>
                <w:rFonts w:cs="Arial"/>
                <w:lang w:eastAsia="es-CO"/>
              </w:rPr>
            </w:pPr>
            <w:r w:rsidRPr="00BD1319">
              <w:rPr>
                <w:rFonts w:cs="Arial"/>
                <w:kern w:val="24"/>
                <w:lang w:eastAsia="es-CO"/>
              </w:rPr>
              <w:t>Bajo</w:t>
            </w:r>
          </w:p>
        </w:tc>
        <w:tc>
          <w:tcPr>
            <w:tcW w:w="2197" w:type="dxa"/>
            <w:vAlign w:val="center"/>
            <w:hideMark/>
          </w:tcPr>
          <w:p w14:paraId="1295DE57" w14:textId="77777777" w:rsidR="00E63F45" w:rsidRPr="00BD1319" w:rsidRDefault="00E63F45" w:rsidP="004B2447">
            <w:pPr>
              <w:overflowPunct/>
              <w:autoSpaceDE/>
              <w:autoSpaceDN/>
              <w:adjustRightInd/>
              <w:jc w:val="center"/>
              <w:textAlignment w:val="auto"/>
              <w:rPr>
                <w:rFonts w:cs="Arial"/>
                <w:lang w:eastAsia="es-CO"/>
              </w:rPr>
            </w:pPr>
            <w:r w:rsidRPr="00BD1319">
              <w:rPr>
                <w:rFonts w:eastAsiaTheme="minorEastAsia" w:cs="Arial"/>
                <w:kern w:val="24"/>
                <w:lang w:eastAsia="es-CO"/>
              </w:rPr>
              <w:t>No significativo</w:t>
            </w:r>
          </w:p>
        </w:tc>
      </w:tr>
      <w:tr w:rsidR="00E63F45" w:rsidRPr="00BD1319" w14:paraId="5FA0CA7C" w14:textId="77777777" w:rsidTr="004B2447">
        <w:trPr>
          <w:trHeight w:val="584"/>
          <w:jc w:val="center"/>
        </w:trPr>
        <w:tc>
          <w:tcPr>
            <w:tcW w:w="2349" w:type="dxa"/>
            <w:vAlign w:val="center"/>
            <w:hideMark/>
          </w:tcPr>
          <w:p w14:paraId="243CABFA" w14:textId="77777777" w:rsidR="00E63F45" w:rsidRPr="00BD1319" w:rsidRDefault="00E63F45" w:rsidP="004B2447">
            <w:pPr>
              <w:overflowPunct/>
              <w:autoSpaceDE/>
              <w:autoSpaceDN/>
              <w:adjustRightInd/>
              <w:ind w:right="662"/>
              <w:jc w:val="right"/>
              <w:textAlignment w:val="auto"/>
              <w:rPr>
                <w:rFonts w:cs="Arial"/>
                <w:lang w:eastAsia="es-CO"/>
              </w:rPr>
            </w:pPr>
            <w:r w:rsidRPr="00BD1319">
              <w:rPr>
                <w:rFonts w:cs="Arial"/>
                <w:kern w:val="24"/>
                <w:lang w:eastAsia="es-CO"/>
              </w:rPr>
              <w:t>&gt; 25 - 50</w:t>
            </w:r>
          </w:p>
        </w:tc>
        <w:tc>
          <w:tcPr>
            <w:tcW w:w="2349" w:type="dxa"/>
            <w:vAlign w:val="center"/>
            <w:hideMark/>
          </w:tcPr>
          <w:p w14:paraId="469E4B65" w14:textId="77777777" w:rsidR="00E63F45" w:rsidRPr="00BD1319" w:rsidRDefault="00E63F45" w:rsidP="004B2447">
            <w:pPr>
              <w:overflowPunct/>
              <w:autoSpaceDE/>
              <w:autoSpaceDN/>
              <w:adjustRightInd/>
              <w:jc w:val="center"/>
              <w:textAlignment w:val="auto"/>
              <w:rPr>
                <w:rFonts w:cs="Arial"/>
                <w:lang w:eastAsia="es-CO"/>
              </w:rPr>
            </w:pPr>
            <w:r w:rsidRPr="00BD1319">
              <w:rPr>
                <w:rFonts w:cs="Arial"/>
                <w:kern w:val="24"/>
                <w:lang w:eastAsia="es-CO"/>
              </w:rPr>
              <w:t>Medio</w:t>
            </w:r>
          </w:p>
        </w:tc>
        <w:tc>
          <w:tcPr>
            <w:tcW w:w="2197" w:type="dxa"/>
            <w:vMerge w:val="restart"/>
            <w:vAlign w:val="center"/>
            <w:hideMark/>
          </w:tcPr>
          <w:p w14:paraId="41BF36A9" w14:textId="77777777" w:rsidR="00E63F45" w:rsidRPr="00BD1319" w:rsidRDefault="00E63F45" w:rsidP="004B2447">
            <w:pPr>
              <w:overflowPunct/>
              <w:autoSpaceDE/>
              <w:autoSpaceDN/>
              <w:adjustRightInd/>
              <w:jc w:val="center"/>
              <w:textAlignment w:val="auto"/>
              <w:rPr>
                <w:rFonts w:cs="Arial"/>
                <w:lang w:eastAsia="es-CO"/>
              </w:rPr>
            </w:pPr>
            <w:r w:rsidRPr="00BD1319">
              <w:rPr>
                <w:rFonts w:cs="Arial"/>
                <w:kern w:val="24"/>
                <w:lang w:eastAsia="es-CO"/>
              </w:rPr>
              <w:t>Significativo</w:t>
            </w:r>
          </w:p>
        </w:tc>
      </w:tr>
      <w:tr w:rsidR="00E63F45" w:rsidRPr="00BD1319" w14:paraId="4796F4FE" w14:textId="77777777" w:rsidTr="004B2447">
        <w:trPr>
          <w:trHeight w:val="584"/>
          <w:jc w:val="center"/>
        </w:trPr>
        <w:tc>
          <w:tcPr>
            <w:tcW w:w="2349" w:type="dxa"/>
            <w:vAlign w:val="center"/>
            <w:hideMark/>
          </w:tcPr>
          <w:p w14:paraId="3684CFC3" w14:textId="77777777" w:rsidR="00E63F45" w:rsidRPr="00BD1319" w:rsidRDefault="00E63F45" w:rsidP="004B2447">
            <w:pPr>
              <w:overflowPunct/>
              <w:autoSpaceDE/>
              <w:autoSpaceDN/>
              <w:adjustRightInd/>
              <w:ind w:right="662"/>
              <w:jc w:val="right"/>
              <w:textAlignment w:val="auto"/>
              <w:rPr>
                <w:rFonts w:cs="Arial"/>
                <w:lang w:eastAsia="es-CO"/>
              </w:rPr>
            </w:pPr>
            <w:r w:rsidRPr="00BD1319">
              <w:rPr>
                <w:rFonts w:cs="Arial"/>
                <w:kern w:val="24"/>
                <w:lang w:eastAsia="es-CO"/>
              </w:rPr>
              <w:t>&gt; 50 - 75</w:t>
            </w:r>
          </w:p>
        </w:tc>
        <w:tc>
          <w:tcPr>
            <w:tcW w:w="2349" w:type="dxa"/>
            <w:vAlign w:val="center"/>
            <w:hideMark/>
          </w:tcPr>
          <w:p w14:paraId="20234814" w14:textId="77777777" w:rsidR="00E63F45" w:rsidRPr="00BD1319" w:rsidRDefault="00E63F45" w:rsidP="004B2447">
            <w:pPr>
              <w:overflowPunct/>
              <w:autoSpaceDE/>
              <w:autoSpaceDN/>
              <w:adjustRightInd/>
              <w:jc w:val="center"/>
              <w:textAlignment w:val="auto"/>
              <w:rPr>
                <w:rFonts w:cs="Arial"/>
                <w:lang w:eastAsia="es-CO"/>
              </w:rPr>
            </w:pPr>
            <w:r w:rsidRPr="00BD1319">
              <w:rPr>
                <w:rFonts w:cs="Arial"/>
                <w:kern w:val="24"/>
                <w:lang w:eastAsia="es-CO"/>
              </w:rPr>
              <w:t>Alto</w:t>
            </w:r>
          </w:p>
        </w:tc>
        <w:tc>
          <w:tcPr>
            <w:tcW w:w="2197" w:type="dxa"/>
            <w:vMerge/>
            <w:vAlign w:val="center"/>
            <w:hideMark/>
          </w:tcPr>
          <w:p w14:paraId="0490F1C0" w14:textId="77777777" w:rsidR="00E63F45" w:rsidRPr="00BD1319" w:rsidRDefault="00E63F45" w:rsidP="004B2447">
            <w:pPr>
              <w:overflowPunct/>
              <w:autoSpaceDE/>
              <w:autoSpaceDN/>
              <w:adjustRightInd/>
              <w:jc w:val="left"/>
              <w:textAlignment w:val="auto"/>
              <w:rPr>
                <w:rFonts w:cs="Arial"/>
                <w:lang w:eastAsia="es-CO"/>
              </w:rPr>
            </w:pPr>
          </w:p>
        </w:tc>
      </w:tr>
      <w:tr w:rsidR="00E63F45" w:rsidRPr="00BD1319" w14:paraId="35E03B2E" w14:textId="77777777" w:rsidTr="004B2447">
        <w:trPr>
          <w:trHeight w:val="584"/>
          <w:jc w:val="center"/>
        </w:trPr>
        <w:tc>
          <w:tcPr>
            <w:tcW w:w="2349" w:type="dxa"/>
            <w:vAlign w:val="center"/>
            <w:hideMark/>
          </w:tcPr>
          <w:p w14:paraId="05418E7E" w14:textId="77777777" w:rsidR="00E63F45" w:rsidRPr="00BD1319" w:rsidRDefault="00E63F45" w:rsidP="004B2447">
            <w:pPr>
              <w:overflowPunct/>
              <w:autoSpaceDE/>
              <w:autoSpaceDN/>
              <w:adjustRightInd/>
              <w:ind w:right="662"/>
              <w:jc w:val="right"/>
              <w:textAlignment w:val="auto"/>
              <w:rPr>
                <w:rFonts w:cs="Arial"/>
                <w:lang w:eastAsia="es-CO"/>
              </w:rPr>
            </w:pPr>
            <w:r w:rsidRPr="00BD1319">
              <w:rPr>
                <w:rFonts w:cs="Arial"/>
                <w:kern w:val="24"/>
                <w:lang w:eastAsia="es-CO"/>
              </w:rPr>
              <w:t>&gt; 75 - 100</w:t>
            </w:r>
          </w:p>
        </w:tc>
        <w:tc>
          <w:tcPr>
            <w:tcW w:w="2349" w:type="dxa"/>
            <w:vAlign w:val="center"/>
            <w:hideMark/>
          </w:tcPr>
          <w:p w14:paraId="3F041F90" w14:textId="77777777" w:rsidR="00E63F45" w:rsidRPr="00BD1319" w:rsidRDefault="00E63F45" w:rsidP="004B2447">
            <w:pPr>
              <w:overflowPunct/>
              <w:autoSpaceDE/>
              <w:autoSpaceDN/>
              <w:adjustRightInd/>
              <w:jc w:val="center"/>
              <w:textAlignment w:val="auto"/>
              <w:rPr>
                <w:rFonts w:cs="Arial"/>
                <w:lang w:eastAsia="es-CO"/>
              </w:rPr>
            </w:pPr>
            <w:r w:rsidRPr="00BD1319">
              <w:rPr>
                <w:rFonts w:cs="Arial"/>
                <w:kern w:val="24"/>
                <w:lang w:eastAsia="es-CO"/>
              </w:rPr>
              <w:t>Muy alto</w:t>
            </w:r>
          </w:p>
        </w:tc>
        <w:tc>
          <w:tcPr>
            <w:tcW w:w="2197" w:type="dxa"/>
            <w:vMerge/>
            <w:vAlign w:val="center"/>
            <w:hideMark/>
          </w:tcPr>
          <w:p w14:paraId="1C3B9C19" w14:textId="77777777" w:rsidR="00E63F45" w:rsidRPr="00BD1319" w:rsidRDefault="00E63F45" w:rsidP="004B2447">
            <w:pPr>
              <w:overflowPunct/>
              <w:autoSpaceDE/>
              <w:autoSpaceDN/>
              <w:adjustRightInd/>
              <w:jc w:val="left"/>
              <w:textAlignment w:val="auto"/>
              <w:rPr>
                <w:rFonts w:cs="Arial"/>
                <w:lang w:eastAsia="es-CO"/>
              </w:rPr>
            </w:pPr>
          </w:p>
        </w:tc>
      </w:tr>
    </w:tbl>
    <w:p w14:paraId="764B3437" w14:textId="77777777" w:rsidR="00E63F45" w:rsidRPr="00BD1319" w:rsidRDefault="00E63F45" w:rsidP="00E63F45">
      <w:pPr>
        <w:numPr>
          <w:ilvl w:val="12"/>
          <w:numId w:val="0"/>
        </w:numPr>
        <w:tabs>
          <w:tab w:val="left" w:pos="-2268"/>
        </w:tabs>
        <w:suppressAutoHyphens/>
        <w:rPr>
          <w:rFonts w:cs="Arial"/>
          <w:spacing w:val="-3"/>
        </w:rPr>
      </w:pPr>
    </w:p>
    <w:p w14:paraId="3E1F2063" w14:textId="59A95D45" w:rsidR="00E63F45" w:rsidRPr="00BD1319" w:rsidRDefault="00E63F45" w:rsidP="00E63F45">
      <w:pPr>
        <w:numPr>
          <w:ilvl w:val="12"/>
          <w:numId w:val="0"/>
        </w:numPr>
        <w:tabs>
          <w:tab w:val="left" w:pos="-2268"/>
        </w:tabs>
        <w:suppressAutoHyphens/>
        <w:rPr>
          <w:rFonts w:cs="Arial"/>
          <w:spacing w:val="-3"/>
        </w:rPr>
      </w:pPr>
      <w:r w:rsidRPr="00BD1319">
        <w:rPr>
          <w:rFonts w:cs="Arial"/>
          <w:spacing w:val="-3"/>
        </w:rPr>
        <w:t xml:space="preserve">Teniendo en cuenta que la extensión, forma y ubicación del área de influencia de un proyecto, obra o actividad está en función de sus impactos ambientales significativos, y que tales impactos ambientales significativos dependen de las características ambientales únicas de dicha área, es necesario que los procesos de determinación de impactos, </w:t>
      </w:r>
      <w:r w:rsidR="0068433C" w:rsidRPr="00BD1319">
        <w:rPr>
          <w:rFonts w:cs="Arial"/>
          <w:spacing w:val="-3"/>
        </w:rPr>
        <w:t xml:space="preserve">valoración </w:t>
      </w:r>
      <w:r w:rsidRPr="00BD1319">
        <w:rPr>
          <w:rFonts w:cs="Arial"/>
          <w:spacing w:val="-3"/>
        </w:rPr>
        <w:t>de impactos, determinación de impactos ambientales significativos y de delimitación del área de influencia, se realicen de manera conjunta e iterativa.</w:t>
      </w:r>
    </w:p>
    <w:p w14:paraId="4B2A39ED" w14:textId="77777777" w:rsidR="00E63F45" w:rsidRPr="00BD1319" w:rsidRDefault="00E63F45" w:rsidP="00E63F45">
      <w:pPr>
        <w:numPr>
          <w:ilvl w:val="12"/>
          <w:numId w:val="0"/>
        </w:numPr>
        <w:tabs>
          <w:tab w:val="left" w:pos="-2268"/>
        </w:tabs>
        <w:suppressAutoHyphens/>
        <w:rPr>
          <w:rFonts w:cs="Arial"/>
          <w:spacing w:val="-3"/>
        </w:rPr>
      </w:pPr>
    </w:p>
    <w:p w14:paraId="2DFD0946" w14:textId="5F687268" w:rsidR="00E63F45" w:rsidRPr="00BD1319" w:rsidRDefault="00E63F45" w:rsidP="00E63F45">
      <w:pPr>
        <w:numPr>
          <w:ilvl w:val="12"/>
          <w:numId w:val="0"/>
        </w:numPr>
        <w:tabs>
          <w:tab w:val="left" w:pos="-2268"/>
        </w:tabs>
        <w:suppressAutoHyphens/>
        <w:rPr>
          <w:rFonts w:cs="Arial"/>
          <w:spacing w:val="-3"/>
        </w:rPr>
      </w:pPr>
      <w:r w:rsidRPr="00BD1319">
        <w:rPr>
          <w:rFonts w:cs="Arial"/>
          <w:spacing w:val="-3"/>
        </w:rPr>
        <w:t>Una determinación</w:t>
      </w:r>
      <w:r w:rsidRPr="00BD1319" w:rsidDel="000845EB">
        <w:rPr>
          <w:rFonts w:cs="Arial"/>
          <w:spacing w:val="-3"/>
        </w:rPr>
        <w:t xml:space="preserve"> </w:t>
      </w:r>
      <w:r w:rsidRPr="00BD1319">
        <w:rPr>
          <w:rFonts w:cs="Arial"/>
          <w:spacing w:val="-3"/>
        </w:rPr>
        <w:t xml:space="preserve">y valoración preliminar de impactos conlleva a una delimitación preliminar del área de influencia; sin embargo, al caracterizar y adquirir conocimiento de tal área de influencia preliminar es posible descartar o reconocer otros impactos generados por el proyecto, obra o actividad lo que, a su vez, implica ejecutar la </w:t>
      </w:r>
      <w:r w:rsidR="0068433C" w:rsidRPr="00BD1319">
        <w:rPr>
          <w:rFonts w:cs="Arial"/>
          <w:spacing w:val="-3"/>
        </w:rPr>
        <w:t xml:space="preserve">valoración </w:t>
      </w:r>
      <w:r w:rsidRPr="00BD1319">
        <w:rPr>
          <w:rFonts w:cs="Arial"/>
          <w:spacing w:val="-3"/>
        </w:rPr>
        <w:t xml:space="preserve">nuevamente y reconsiderar la extensión del área de influencia de acuerdo con los impactos que resulten significativos. Este proceso se debe ejecutar de forma sucesiva hasta hallar un área que cumpla con la definición de área de influencia según los impactos ambientales significativos que se </w:t>
      </w:r>
      <w:r w:rsidR="00117D2C" w:rsidRPr="00BD1319">
        <w:rPr>
          <w:rFonts w:cs="Arial"/>
          <w:spacing w:val="-3"/>
        </w:rPr>
        <w:t>determinen</w:t>
      </w:r>
      <w:r w:rsidRPr="00BD1319">
        <w:rPr>
          <w:rFonts w:cs="Arial"/>
          <w:spacing w:val="-3"/>
        </w:rPr>
        <w:t>.</w:t>
      </w:r>
    </w:p>
    <w:p w14:paraId="6CBD50EF" w14:textId="77777777" w:rsidR="00DB375D" w:rsidRPr="00BD1319" w:rsidRDefault="00DB375D" w:rsidP="00E63F45">
      <w:pPr>
        <w:numPr>
          <w:ilvl w:val="12"/>
          <w:numId w:val="0"/>
        </w:numPr>
        <w:tabs>
          <w:tab w:val="left" w:pos="-2268"/>
        </w:tabs>
        <w:suppressAutoHyphens/>
        <w:rPr>
          <w:rFonts w:cs="Arial"/>
          <w:spacing w:val="-3"/>
        </w:rPr>
      </w:pPr>
    </w:p>
    <w:p w14:paraId="5B4A46E2" w14:textId="77777777" w:rsidR="00715995" w:rsidRPr="00BD1319" w:rsidRDefault="00715995" w:rsidP="00216955">
      <w:pPr>
        <w:pStyle w:val="Ttulo3"/>
      </w:pPr>
      <w:bookmarkStart w:id="3278" w:name="_Ref148077260"/>
      <w:bookmarkStart w:id="3279" w:name="_Toc175326808"/>
      <w:r w:rsidRPr="00BD1319">
        <w:t>Evaluación de los impactos ambientales residuales acumulativos y sinérgicos</w:t>
      </w:r>
      <w:bookmarkEnd w:id="3278"/>
      <w:bookmarkEnd w:id="3279"/>
    </w:p>
    <w:p w14:paraId="4B8E4017" w14:textId="77777777" w:rsidR="00715995" w:rsidRPr="00BD1319" w:rsidRDefault="00715995" w:rsidP="00715995">
      <w:pPr>
        <w:numPr>
          <w:ilvl w:val="12"/>
          <w:numId w:val="0"/>
        </w:numPr>
        <w:tabs>
          <w:tab w:val="left" w:pos="-2268"/>
        </w:tabs>
        <w:suppressAutoHyphens/>
        <w:rPr>
          <w:spacing w:val="-3"/>
        </w:rPr>
      </w:pPr>
    </w:p>
    <w:p w14:paraId="3FF6950C" w14:textId="61FD978F" w:rsidR="00DB375D" w:rsidRPr="00BD1319" w:rsidRDefault="00DB375D" w:rsidP="00DB375D">
      <w:pPr>
        <w:numPr>
          <w:ilvl w:val="12"/>
          <w:numId w:val="0"/>
        </w:numPr>
        <w:tabs>
          <w:tab w:val="left" w:pos="-2268"/>
        </w:tabs>
        <w:suppressAutoHyphens/>
        <w:rPr>
          <w:rFonts w:cs="Arial"/>
          <w:spacing w:val="-3"/>
        </w:rPr>
      </w:pPr>
      <w:r w:rsidRPr="00BD1319">
        <w:rPr>
          <w:rFonts w:cs="Arial"/>
          <w:spacing w:val="-3"/>
        </w:rPr>
        <w:t>Como se ha mencionado previamente</w:t>
      </w:r>
      <w:r w:rsidR="009A0EBB" w:rsidRPr="00BD1319">
        <w:rPr>
          <w:rFonts w:cs="Arial"/>
          <w:spacing w:val="-3"/>
        </w:rPr>
        <w:t>,</w:t>
      </w:r>
      <w:r w:rsidRPr="00BD1319">
        <w:rPr>
          <w:rFonts w:cs="Arial"/>
          <w:spacing w:val="-3"/>
        </w:rPr>
        <w:t xml:space="preserve"> la evaluación ambiental de los impactos ambientales se realiza sin considerar la implementación de medidas de manejo y busca conocer el mecanismo mediante el que ocurren y su grado de significancia precisamente para formular</w:t>
      </w:r>
      <w:r w:rsidR="009A0EBB" w:rsidRPr="00BD1319">
        <w:rPr>
          <w:rFonts w:cs="Arial"/>
          <w:spacing w:val="-3"/>
        </w:rPr>
        <w:t xml:space="preserve"> tales medidas</w:t>
      </w:r>
      <w:r w:rsidRPr="00BD1319">
        <w:rPr>
          <w:rFonts w:cs="Arial"/>
          <w:spacing w:val="-3"/>
        </w:rPr>
        <w:t xml:space="preserve">; no obstante, a fin de incrementar la efectividad del proceso de licenciamiento ambiental es necesario ejecutar el procedimiento de evaluación de los impactos ambientales residuales acumulativos </w:t>
      </w:r>
      <w:r w:rsidR="00EA2999" w:rsidRPr="00BD1319">
        <w:rPr>
          <w:rFonts w:cs="Arial"/>
          <w:spacing w:val="-3"/>
        </w:rPr>
        <w:t>o</w:t>
      </w:r>
      <w:r w:rsidRPr="00BD1319">
        <w:rPr>
          <w:rFonts w:cs="Arial"/>
          <w:spacing w:val="-3"/>
        </w:rPr>
        <w:t xml:space="preserve"> sinérgicos que se describe a continuación y que a diferencia del anterior, sí considera las medidas de manejo.</w:t>
      </w:r>
    </w:p>
    <w:p w14:paraId="02970308" w14:textId="77777777" w:rsidR="00DB375D" w:rsidRPr="00BD1319" w:rsidRDefault="00DB375D" w:rsidP="00715995">
      <w:pPr>
        <w:numPr>
          <w:ilvl w:val="12"/>
          <w:numId w:val="0"/>
        </w:numPr>
        <w:tabs>
          <w:tab w:val="left" w:pos="-2268"/>
        </w:tabs>
        <w:suppressAutoHyphens/>
        <w:rPr>
          <w:spacing w:val="-3"/>
        </w:rPr>
      </w:pPr>
    </w:p>
    <w:p w14:paraId="2B3D9317" w14:textId="3B7DEA34" w:rsidR="00715995" w:rsidRPr="00BD1319" w:rsidRDefault="00715995" w:rsidP="00715995">
      <w:pPr>
        <w:numPr>
          <w:ilvl w:val="12"/>
          <w:numId w:val="0"/>
        </w:numPr>
        <w:tabs>
          <w:tab w:val="left" w:pos="-2268"/>
        </w:tabs>
        <w:suppressAutoHyphens/>
        <w:rPr>
          <w:spacing w:val="-3"/>
        </w:rPr>
      </w:pPr>
      <w:r w:rsidRPr="00BD1319">
        <w:rPr>
          <w:spacing w:val="-3"/>
        </w:rPr>
        <w:lastRenderedPageBreak/>
        <w:t xml:space="preserve">Una vez se ha realizado la determinación y valoración de los impactos ambientales y se han formulado las medidas para evitarlos, mitigarlos, corregirlos y compensarlos, se deben desarrollar las siguientes actividades para evaluar los impactos ambientales residuales </w:t>
      </w:r>
      <w:r w:rsidR="00F92443" w:rsidRPr="00BD1319">
        <w:rPr>
          <w:spacing w:val="-3"/>
        </w:rPr>
        <w:t xml:space="preserve">que son </w:t>
      </w:r>
      <w:r w:rsidRPr="00BD1319">
        <w:rPr>
          <w:spacing w:val="-3"/>
        </w:rPr>
        <w:t>acumulativos</w:t>
      </w:r>
      <w:r w:rsidR="00F43553" w:rsidRPr="00BD1319">
        <w:rPr>
          <w:spacing w:val="-3"/>
        </w:rPr>
        <w:t xml:space="preserve"> </w:t>
      </w:r>
      <w:r w:rsidR="00EA2999" w:rsidRPr="00BD1319">
        <w:rPr>
          <w:spacing w:val="-3"/>
        </w:rPr>
        <w:t>o</w:t>
      </w:r>
      <w:r w:rsidR="00F43553" w:rsidRPr="00BD1319">
        <w:rPr>
          <w:spacing w:val="-3"/>
        </w:rPr>
        <w:t xml:space="preserve"> sinérgicos</w:t>
      </w:r>
      <w:r w:rsidRPr="00BD1319">
        <w:rPr>
          <w:spacing w:val="-3"/>
        </w:rPr>
        <w:t xml:space="preserve"> (ver </w:t>
      </w:r>
      <w:r w:rsidRPr="00BD1319">
        <w:rPr>
          <w:spacing w:val="-3"/>
        </w:rPr>
        <w:fldChar w:fldCharType="begin"/>
      </w:r>
      <w:r w:rsidRPr="00BD1319">
        <w:rPr>
          <w:spacing w:val="-3"/>
        </w:rPr>
        <w:instrText xml:space="preserve"> REF _Ref138670056 \h </w:instrText>
      </w:r>
      <w:r w:rsidR="00BD1319">
        <w:rPr>
          <w:spacing w:val="-3"/>
        </w:rPr>
        <w:instrText xml:space="preserve"> \* MERGEFORMAT </w:instrText>
      </w:r>
      <w:r w:rsidRPr="00BD1319">
        <w:rPr>
          <w:spacing w:val="-3"/>
        </w:rPr>
      </w:r>
      <w:r w:rsidRPr="00BD1319">
        <w:rPr>
          <w:spacing w:val="-3"/>
        </w:rPr>
        <w:fldChar w:fldCharType="separate"/>
      </w:r>
      <w:r w:rsidR="00296654" w:rsidRPr="00BD1319">
        <w:t xml:space="preserve">Figura </w:t>
      </w:r>
      <w:r w:rsidR="00296654" w:rsidRPr="00BD1319">
        <w:rPr>
          <w:noProof/>
        </w:rPr>
        <w:t>16</w:t>
      </w:r>
      <w:r w:rsidRPr="00BD1319">
        <w:rPr>
          <w:spacing w:val="-3"/>
        </w:rPr>
        <w:fldChar w:fldCharType="end"/>
      </w:r>
      <w:r w:rsidRPr="00BD1319">
        <w:rPr>
          <w:spacing w:val="-3"/>
        </w:rPr>
        <w:t>):</w:t>
      </w:r>
    </w:p>
    <w:p w14:paraId="74409FEF" w14:textId="77777777" w:rsidR="00715995" w:rsidRPr="00BD1319" w:rsidRDefault="00715995" w:rsidP="00715995">
      <w:pPr>
        <w:numPr>
          <w:ilvl w:val="12"/>
          <w:numId w:val="0"/>
        </w:numPr>
        <w:tabs>
          <w:tab w:val="left" w:pos="-2268"/>
        </w:tabs>
        <w:suppressAutoHyphens/>
        <w:rPr>
          <w:spacing w:val="-3"/>
        </w:rPr>
      </w:pPr>
    </w:p>
    <w:p w14:paraId="6E449812" w14:textId="46FA2C81" w:rsidR="00715995" w:rsidRPr="00BD1319" w:rsidRDefault="00E15102" w:rsidP="00715995">
      <w:pPr>
        <w:pStyle w:val="Descripcin"/>
        <w:keepNext/>
      </w:pPr>
      <w:bookmarkStart w:id="3280" w:name="_Ref138670056"/>
      <w:r w:rsidRPr="00BD1319">
        <w:rPr>
          <w:rFonts w:ascii="Calibri" w:eastAsia="Calibri" w:hAnsi="Calibri" w:cs="Calibri"/>
          <w:noProof/>
          <w:lang w:eastAsia="es-CO"/>
        </w:rPr>
        <w:drawing>
          <wp:anchor distT="0" distB="0" distL="114300" distR="114300" simplePos="0" relativeHeight="251675136" behindDoc="0" locked="0" layoutInCell="1" allowOverlap="1" wp14:anchorId="0371AECD" wp14:editId="6ACE1F9D">
            <wp:simplePos x="0" y="0"/>
            <wp:positionH relativeFrom="column">
              <wp:posOffset>375285</wp:posOffset>
            </wp:positionH>
            <wp:positionV relativeFrom="paragraph">
              <wp:posOffset>350520</wp:posOffset>
            </wp:positionV>
            <wp:extent cx="5158740" cy="3200400"/>
            <wp:effectExtent l="0" t="0" r="0" b="19050"/>
            <wp:wrapTopAndBottom/>
            <wp:docPr id="764778720" name="Diagrama 76477872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7" r:lo="rId68" r:qs="rId69" r:cs="rId70"/>
              </a:graphicData>
            </a:graphic>
          </wp:anchor>
        </w:drawing>
      </w:r>
      <w:r w:rsidR="00715995" w:rsidRPr="00BD1319">
        <w:t xml:space="preserve">Figura </w:t>
      </w:r>
      <w:fldSimple w:instr=" SEQ Figura \* ARABIC ">
        <w:r w:rsidR="00296654" w:rsidRPr="00BD1319">
          <w:rPr>
            <w:noProof/>
          </w:rPr>
          <w:t>16</w:t>
        </w:r>
      </w:fldSimple>
      <w:bookmarkEnd w:id="3280"/>
      <w:r w:rsidR="00715995" w:rsidRPr="00BD1319">
        <w:t>.</w:t>
      </w:r>
      <w:r w:rsidR="00715995" w:rsidRPr="00BD1319">
        <w:rPr>
          <w:b w:val="0"/>
          <w:bCs w:val="0"/>
        </w:rPr>
        <w:t xml:space="preserve"> Procedimiento para la evaluación de los impactos ambientales residuales acumulativos y sinérgicos</w:t>
      </w:r>
    </w:p>
    <w:p w14:paraId="2173C3E8" w14:textId="77777777" w:rsidR="00F032DE" w:rsidRPr="00BD1319" w:rsidRDefault="00F032DE" w:rsidP="00715995">
      <w:pPr>
        <w:numPr>
          <w:ilvl w:val="12"/>
          <w:numId w:val="0"/>
        </w:numPr>
        <w:tabs>
          <w:tab w:val="left" w:pos="-2268"/>
        </w:tabs>
        <w:suppressAutoHyphens/>
        <w:rPr>
          <w:spacing w:val="-3"/>
        </w:rPr>
      </w:pPr>
    </w:p>
    <w:p w14:paraId="0750CC74" w14:textId="197750CA" w:rsidR="00715995" w:rsidRPr="00BD1319" w:rsidRDefault="00715995" w:rsidP="00715995">
      <w:pPr>
        <w:pStyle w:val="Prrafodelista"/>
        <w:numPr>
          <w:ilvl w:val="0"/>
          <w:numId w:val="631"/>
        </w:numPr>
        <w:tabs>
          <w:tab w:val="left" w:pos="-2268"/>
        </w:tabs>
        <w:suppressAutoHyphens/>
        <w:ind w:left="567" w:hanging="567"/>
        <w:rPr>
          <w:spacing w:val="-3"/>
          <w:lang w:val="es-CO"/>
        </w:rPr>
      </w:pPr>
      <w:r w:rsidRPr="00BD1319">
        <w:rPr>
          <w:spacing w:val="-3"/>
          <w:lang w:val="es-CO"/>
        </w:rPr>
        <w:t>Determinación, de los impactos ambientales residuales del proyecto, obra o actividad</w:t>
      </w:r>
      <w:r w:rsidR="00453DF9" w:rsidRPr="00BD1319">
        <w:rPr>
          <w:spacing w:val="-3"/>
          <w:lang w:val="es-CO"/>
        </w:rPr>
        <w:t xml:space="preserve"> a partir de los tipos y efectividad de las medidas de manejo;</w:t>
      </w:r>
      <w:r w:rsidRPr="00BD1319">
        <w:rPr>
          <w:spacing w:val="-3"/>
          <w:lang w:val="es-CO"/>
        </w:rPr>
        <w:t xml:space="preserve"> es decir, </w:t>
      </w:r>
      <w:r w:rsidR="00453DF9" w:rsidRPr="00BD1319">
        <w:rPr>
          <w:spacing w:val="-3"/>
          <w:lang w:val="es-CO"/>
        </w:rPr>
        <w:t xml:space="preserve">determinación </w:t>
      </w:r>
      <w:r w:rsidRPr="00BD1319">
        <w:rPr>
          <w:spacing w:val="-3"/>
          <w:lang w:val="es-CO"/>
        </w:rPr>
        <w:t>de los impactos que en razón a que no pueden ser evitados, mitigados o corregidos modifican permanentemente las condiciones del ambiente.</w:t>
      </w:r>
    </w:p>
    <w:p w14:paraId="41C0216F" w14:textId="77777777" w:rsidR="00715995" w:rsidRPr="00BD1319" w:rsidRDefault="00715995" w:rsidP="00715995">
      <w:pPr>
        <w:tabs>
          <w:tab w:val="left" w:pos="-2268"/>
        </w:tabs>
        <w:suppressAutoHyphens/>
        <w:rPr>
          <w:spacing w:val="-3"/>
        </w:rPr>
      </w:pPr>
    </w:p>
    <w:p w14:paraId="7C088048" w14:textId="4F3D498F" w:rsidR="00DB375D" w:rsidRPr="00BD1319" w:rsidRDefault="00715995" w:rsidP="000D6E21">
      <w:pPr>
        <w:pStyle w:val="Prrafodelista"/>
        <w:numPr>
          <w:ilvl w:val="0"/>
          <w:numId w:val="631"/>
        </w:numPr>
        <w:tabs>
          <w:tab w:val="left" w:pos="-2268"/>
        </w:tabs>
        <w:suppressAutoHyphens/>
        <w:ind w:left="567" w:hanging="567"/>
        <w:rPr>
          <w:spacing w:val="-3"/>
        </w:rPr>
      </w:pPr>
      <w:r w:rsidRPr="00BD1319">
        <w:rPr>
          <w:spacing w:val="-3"/>
          <w:lang w:val="es-CO"/>
        </w:rPr>
        <w:t>Determinación de los impactos residuales que pueden acumularse o generar sinergias, esto es, los impactos residuales cuya significancia pueda incrementarse en el tiempo dadas las condiciones propias del proyecto o las de las actividades y proyectos presentes en el área de influencia, o los impactos residuales que puedan interactuar con otros impactos que se manifiesten en el área de influencia.</w:t>
      </w:r>
    </w:p>
    <w:p w14:paraId="69D5CF8B" w14:textId="77777777" w:rsidR="00715995" w:rsidRPr="00BD1319" w:rsidRDefault="00715995" w:rsidP="00715995">
      <w:pPr>
        <w:tabs>
          <w:tab w:val="left" w:pos="-2268"/>
        </w:tabs>
        <w:suppressAutoHyphens/>
        <w:rPr>
          <w:spacing w:val="-3"/>
        </w:rPr>
      </w:pPr>
    </w:p>
    <w:p w14:paraId="4A87F7E4" w14:textId="77777777" w:rsidR="00715995" w:rsidRPr="00BD1319" w:rsidRDefault="00715995" w:rsidP="00715995">
      <w:pPr>
        <w:pStyle w:val="Prrafodelista"/>
        <w:tabs>
          <w:tab w:val="left" w:pos="-2268"/>
        </w:tabs>
        <w:suppressAutoHyphens/>
        <w:ind w:left="567"/>
        <w:rPr>
          <w:spacing w:val="-3"/>
          <w:lang w:val="es-CO"/>
        </w:rPr>
      </w:pPr>
      <w:r w:rsidRPr="00BD1319">
        <w:rPr>
          <w:spacing w:val="-3"/>
          <w:lang w:val="es-CO"/>
        </w:rPr>
        <w:t xml:space="preserve">Para apoyar este proceso de determinación, se debe desarrollar un análisis en el que se represente el tiempo de manifestación de los impactos residuales empleando una herramienta similar a un diagrama de Gantt, a fin de determinar si: i) hay impactos residuales que se manifiesten de manera simultánea, </w:t>
      </w:r>
      <w:proofErr w:type="spellStart"/>
      <w:r w:rsidRPr="00BD1319">
        <w:rPr>
          <w:spacing w:val="-3"/>
          <w:lang w:val="es-CO"/>
        </w:rPr>
        <w:t>ii</w:t>
      </w:r>
      <w:proofErr w:type="spellEnd"/>
      <w:r w:rsidRPr="00BD1319">
        <w:rPr>
          <w:spacing w:val="-3"/>
          <w:lang w:val="es-CO"/>
        </w:rPr>
        <w:t xml:space="preserve">) tienen la capacidad de interactuar y </w:t>
      </w:r>
      <w:proofErr w:type="spellStart"/>
      <w:r w:rsidRPr="00BD1319">
        <w:rPr>
          <w:spacing w:val="-3"/>
          <w:lang w:val="es-CO"/>
        </w:rPr>
        <w:t>iii</w:t>
      </w:r>
      <w:proofErr w:type="spellEnd"/>
      <w:r w:rsidRPr="00BD1319">
        <w:rPr>
          <w:spacing w:val="-3"/>
          <w:lang w:val="es-CO"/>
        </w:rPr>
        <w:t xml:space="preserve">) pueden desencadenar un </w:t>
      </w:r>
      <w:r w:rsidRPr="00BD1319">
        <w:rPr>
          <w:i/>
          <w:iCs/>
          <w:spacing w:val="-3"/>
          <w:lang w:val="es-CO"/>
        </w:rPr>
        <w:t xml:space="preserve">cambio </w:t>
      </w:r>
      <w:r w:rsidRPr="00BD1319">
        <w:rPr>
          <w:spacing w:val="-3"/>
          <w:lang w:val="es-CO"/>
        </w:rPr>
        <w:t>ambiental</w:t>
      </w:r>
      <w:r w:rsidRPr="00BD1319">
        <w:rPr>
          <w:i/>
          <w:iCs/>
          <w:spacing w:val="-3"/>
          <w:lang w:val="es-CO"/>
        </w:rPr>
        <w:t xml:space="preserve"> </w:t>
      </w:r>
      <w:r w:rsidRPr="00BD1319">
        <w:rPr>
          <w:spacing w:val="-3"/>
          <w:lang w:val="es-CO"/>
        </w:rPr>
        <w:t>acumulativo.</w:t>
      </w:r>
    </w:p>
    <w:p w14:paraId="5D3DC1FD" w14:textId="77777777" w:rsidR="00715995" w:rsidRPr="00BD1319" w:rsidRDefault="00715995" w:rsidP="00715995">
      <w:pPr>
        <w:tabs>
          <w:tab w:val="left" w:pos="-2268"/>
        </w:tabs>
        <w:suppressAutoHyphens/>
        <w:rPr>
          <w:spacing w:val="-3"/>
        </w:rPr>
      </w:pPr>
    </w:p>
    <w:p w14:paraId="2547F0C9" w14:textId="77777777" w:rsidR="00715995" w:rsidRPr="00BD1319" w:rsidRDefault="00715995" w:rsidP="00715995">
      <w:pPr>
        <w:pStyle w:val="Prrafodelista"/>
        <w:tabs>
          <w:tab w:val="left" w:pos="-2268"/>
        </w:tabs>
        <w:suppressAutoHyphens/>
        <w:ind w:left="567"/>
        <w:rPr>
          <w:spacing w:val="-3"/>
          <w:lang w:val="es-CO"/>
        </w:rPr>
      </w:pPr>
      <w:r w:rsidRPr="00BD1319">
        <w:rPr>
          <w:spacing w:val="-3"/>
          <w:lang w:val="es-CO"/>
        </w:rPr>
        <w:t xml:space="preserve">Adicionalmente, y a partir del estudio de relaciones causales o del análisis de redes desarrollado en la primera fase de la evaluación ambiental, se deben establecer las relaciones que, a partir de los impactos residuales llevan a que tales impactos se acumulen, a la manifestación de nuevos impactos o la generación de </w:t>
      </w:r>
      <w:r w:rsidRPr="00BD1319">
        <w:rPr>
          <w:i/>
          <w:iCs/>
          <w:spacing w:val="-3"/>
          <w:lang w:val="es-CO"/>
        </w:rPr>
        <w:t>cambios</w:t>
      </w:r>
      <w:r w:rsidRPr="00BD1319">
        <w:rPr>
          <w:spacing w:val="-3"/>
          <w:lang w:val="es-CO"/>
        </w:rPr>
        <w:t xml:space="preserve"> ambientales acumulativos.</w:t>
      </w:r>
    </w:p>
    <w:p w14:paraId="53ED1BBF" w14:textId="77777777" w:rsidR="00715995" w:rsidRPr="00BD1319" w:rsidRDefault="00715995" w:rsidP="00715995">
      <w:pPr>
        <w:tabs>
          <w:tab w:val="left" w:pos="-2268"/>
        </w:tabs>
        <w:suppressAutoHyphens/>
        <w:rPr>
          <w:spacing w:val="-3"/>
        </w:rPr>
      </w:pPr>
    </w:p>
    <w:p w14:paraId="4A4E483A" w14:textId="77777777" w:rsidR="00715995" w:rsidRPr="00BD1319" w:rsidRDefault="00715995" w:rsidP="00715995">
      <w:pPr>
        <w:pStyle w:val="Prrafodelista"/>
        <w:numPr>
          <w:ilvl w:val="0"/>
          <w:numId w:val="631"/>
        </w:numPr>
        <w:tabs>
          <w:tab w:val="left" w:pos="-2268"/>
        </w:tabs>
        <w:suppressAutoHyphens/>
        <w:ind w:left="567" w:hanging="567"/>
        <w:rPr>
          <w:spacing w:val="-3"/>
          <w:lang w:val="es-CO"/>
        </w:rPr>
      </w:pPr>
      <w:r w:rsidRPr="00BD1319">
        <w:rPr>
          <w:spacing w:val="-3"/>
          <w:lang w:val="es-CO"/>
        </w:rPr>
        <w:t xml:space="preserve">Evaluación de la acumulación y sinergia de los impactos residuales. Esta evaluación debe realizarse </w:t>
      </w:r>
      <w:r w:rsidRPr="00BD1319">
        <w:rPr>
          <w:i/>
          <w:iCs/>
          <w:spacing w:val="-3"/>
          <w:lang w:val="es-CO"/>
        </w:rPr>
        <w:t>mínimamente para un impacto ambiental residual</w:t>
      </w:r>
      <w:r w:rsidRPr="00BD1319">
        <w:rPr>
          <w:spacing w:val="-3"/>
          <w:lang w:val="es-CO"/>
        </w:rPr>
        <w:t xml:space="preserve"> por categoría estandarizada de impactos (en caso de que en dicha categoría se evidencie la existencia de impactos ambientales residuales acumulativos y sinérgicos).</w:t>
      </w:r>
    </w:p>
    <w:p w14:paraId="3835AABE" w14:textId="77777777" w:rsidR="00715995" w:rsidRPr="00BD1319" w:rsidRDefault="00715995" w:rsidP="00715995">
      <w:pPr>
        <w:rPr>
          <w:spacing w:val="-3"/>
        </w:rPr>
      </w:pPr>
    </w:p>
    <w:p w14:paraId="7DE41469" w14:textId="6E73862B" w:rsidR="00715995" w:rsidRPr="00BD1319" w:rsidRDefault="00715995" w:rsidP="00715995">
      <w:pPr>
        <w:pStyle w:val="Prrafodelista"/>
        <w:tabs>
          <w:tab w:val="left" w:pos="-2268"/>
        </w:tabs>
        <w:suppressAutoHyphens/>
        <w:ind w:left="567"/>
        <w:rPr>
          <w:spacing w:val="-3"/>
          <w:lang w:val="es-CO"/>
        </w:rPr>
      </w:pPr>
      <w:r w:rsidRPr="00BD1319">
        <w:rPr>
          <w:spacing w:val="-3"/>
          <w:lang w:val="es-CO"/>
        </w:rPr>
        <w:t xml:space="preserve">Se debe seleccionar el impacto ambiental residual con capacidad de acumularse o de generar sinergias cuyo parámetro o indicador asociado haya sido fijado por la autoridad ambiental como instrumento para evaluar el estado de un componente valorado del ecosistema (VEC). Si la autoridad no ha establecido ningún VEC ni tampoco un parámetro o indicador asociado, se debe seleccionar el impacto residual dentro de la categoría estandarizada de impactos que impacte el elemento ambiental </w:t>
      </w:r>
      <w:r w:rsidR="00DE3FF6" w:rsidRPr="00BD1319">
        <w:rPr>
          <w:spacing w:val="-3"/>
          <w:lang w:val="es-CO"/>
        </w:rPr>
        <w:t>que tiene</w:t>
      </w:r>
      <w:r w:rsidRPr="00BD1319">
        <w:rPr>
          <w:spacing w:val="-3"/>
          <w:lang w:val="es-CO"/>
        </w:rPr>
        <w:t xml:space="preserve"> mayor relevancia para la población del área de influencia.</w:t>
      </w:r>
    </w:p>
    <w:p w14:paraId="31EFF4BC" w14:textId="77777777" w:rsidR="00715995" w:rsidRPr="00BD1319" w:rsidRDefault="00715995" w:rsidP="00715995">
      <w:pPr>
        <w:tabs>
          <w:tab w:val="left" w:pos="-2268"/>
        </w:tabs>
        <w:suppressAutoHyphens/>
        <w:rPr>
          <w:spacing w:val="-3"/>
        </w:rPr>
      </w:pPr>
    </w:p>
    <w:p w14:paraId="5D8C9C0C" w14:textId="77777777" w:rsidR="00715995" w:rsidRPr="00BD1319" w:rsidRDefault="00715995" w:rsidP="00715995">
      <w:pPr>
        <w:pStyle w:val="Prrafodelista"/>
        <w:tabs>
          <w:tab w:val="left" w:pos="-2268"/>
        </w:tabs>
        <w:suppressAutoHyphens/>
        <w:ind w:left="567"/>
        <w:rPr>
          <w:spacing w:val="-3"/>
          <w:lang w:val="es-CO"/>
        </w:rPr>
      </w:pPr>
      <w:r w:rsidRPr="00BD1319">
        <w:rPr>
          <w:spacing w:val="-3"/>
          <w:lang w:val="es-CO"/>
        </w:rPr>
        <w:t>Esta evaluación debe tener en cuenta cómo se manifiestan temporal y espacialmente los impactos residuales con el fin de prever integralmente sus procesos de acumulación o sinergia.</w:t>
      </w:r>
    </w:p>
    <w:p w14:paraId="764B6AB2" w14:textId="77777777" w:rsidR="00715995" w:rsidRPr="00BD1319" w:rsidRDefault="00715995" w:rsidP="00715995">
      <w:pPr>
        <w:tabs>
          <w:tab w:val="left" w:pos="-2268"/>
        </w:tabs>
        <w:suppressAutoHyphens/>
        <w:rPr>
          <w:spacing w:val="-3"/>
        </w:rPr>
      </w:pPr>
    </w:p>
    <w:p w14:paraId="464935E9" w14:textId="77777777" w:rsidR="00715995" w:rsidRPr="00BD1319" w:rsidRDefault="00715995" w:rsidP="00715995">
      <w:pPr>
        <w:tabs>
          <w:tab w:val="left" w:pos="-2268"/>
        </w:tabs>
        <w:suppressAutoHyphens/>
        <w:ind w:left="567"/>
        <w:rPr>
          <w:spacing w:val="-3"/>
        </w:rPr>
      </w:pPr>
      <w:r w:rsidRPr="00BD1319">
        <w:rPr>
          <w:spacing w:val="-3"/>
        </w:rPr>
        <w:t>Para evaluar la dimensión temporal se debe estimar cómo cambia la significancia de los impactos residuales en el tiempo, ojalá de forma cuantitativa, teniendo en cuenta características ambientales como la sensibilidad ambiental y la capacidad de asimilación de los elementos ambientales que son impactados, así como las particularidades de las actividades que los generan, entre las que se encuentran la frecuencia, duración e intensidad de ejecución.</w:t>
      </w:r>
    </w:p>
    <w:p w14:paraId="01A6003E" w14:textId="77777777" w:rsidR="00715995" w:rsidRPr="00BD1319" w:rsidRDefault="00715995" w:rsidP="00715995">
      <w:pPr>
        <w:tabs>
          <w:tab w:val="left" w:pos="-2268"/>
        </w:tabs>
        <w:suppressAutoHyphens/>
        <w:rPr>
          <w:spacing w:val="-3"/>
        </w:rPr>
      </w:pPr>
    </w:p>
    <w:p w14:paraId="586400C5" w14:textId="6723ED27" w:rsidR="00715995" w:rsidRPr="00BD1319" w:rsidRDefault="00715995" w:rsidP="00715995">
      <w:pPr>
        <w:pStyle w:val="Prrafodelista"/>
        <w:tabs>
          <w:tab w:val="left" w:pos="-2268"/>
        </w:tabs>
        <w:suppressAutoHyphens/>
        <w:ind w:left="567"/>
        <w:rPr>
          <w:spacing w:val="-3"/>
          <w:lang w:val="es-CO"/>
        </w:rPr>
      </w:pPr>
      <w:r w:rsidRPr="00BD1319">
        <w:rPr>
          <w:spacing w:val="-3"/>
          <w:lang w:val="es-CO"/>
        </w:rPr>
        <w:t xml:space="preserve">De otra parte, para evaluar la dimensión espacial de la acumulación, debe realizarse un análisis espacial para los impactos residuales que se manifiesten en el mismo momento con el propósito de determinar si pueden acumularse o si pueden ocasionar impactos adicionales o cambios </w:t>
      </w:r>
      <w:r w:rsidR="00DE2EC9" w:rsidRPr="00BD1319">
        <w:rPr>
          <w:spacing w:val="-3"/>
          <w:lang w:val="es-CO"/>
        </w:rPr>
        <w:t xml:space="preserve">ambientales </w:t>
      </w:r>
      <w:r w:rsidRPr="00BD1319">
        <w:rPr>
          <w:spacing w:val="-3"/>
          <w:lang w:val="es-CO"/>
        </w:rPr>
        <w:t>acumulativos en el espacio</w:t>
      </w:r>
      <w:r w:rsidRPr="00BD1319">
        <w:rPr>
          <w:rStyle w:val="Refdenotaalpie"/>
          <w:spacing w:val="-3"/>
          <w:lang w:val="es-CO"/>
        </w:rPr>
        <w:footnoteReference w:id="198"/>
      </w:r>
      <w:r w:rsidRPr="00BD1319">
        <w:rPr>
          <w:spacing w:val="-3"/>
          <w:lang w:val="es-CO"/>
        </w:rPr>
        <w:t xml:space="preserve">. En todo caso, se debe entregar a la autoridad ambiental un mapa del área de manifestación de todos los impactos ambientales residuales que permita, además, identificar el periodo de tiempo en el que se estima </w:t>
      </w:r>
      <w:r w:rsidR="008926DE" w:rsidRPr="00BD1319">
        <w:rPr>
          <w:spacing w:val="-3"/>
          <w:lang w:val="es-CO"/>
        </w:rPr>
        <w:t xml:space="preserve">su </w:t>
      </w:r>
      <w:r w:rsidRPr="00BD1319">
        <w:rPr>
          <w:spacing w:val="-3"/>
          <w:lang w:val="es-CO"/>
        </w:rPr>
        <w:t>manifesta</w:t>
      </w:r>
      <w:r w:rsidR="008926DE" w:rsidRPr="00BD1319">
        <w:rPr>
          <w:spacing w:val="-3"/>
          <w:lang w:val="es-CO"/>
        </w:rPr>
        <w:t>ción</w:t>
      </w:r>
      <w:r w:rsidRPr="00BD1319">
        <w:rPr>
          <w:spacing w:val="-3"/>
          <w:lang w:val="es-CO"/>
        </w:rPr>
        <w:t>.</w:t>
      </w:r>
    </w:p>
    <w:p w14:paraId="0F7E72E4" w14:textId="77777777" w:rsidR="00715995" w:rsidRPr="00BD1319" w:rsidRDefault="00715995" w:rsidP="00715995">
      <w:pPr>
        <w:tabs>
          <w:tab w:val="left" w:pos="-2268"/>
        </w:tabs>
        <w:suppressAutoHyphens/>
        <w:rPr>
          <w:spacing w:val="-3"/>
        </w:rPr>
      </w:pPr>
    </w:p>
    <w:p w14:paraId="010A544C" w14:textId="77777777" w:rsidR="00715995" w:rsidRPr="00BD1319" w:rsidRDefault="00715995" w:rsidP="00715995">
      <w:pPr>
        <w:pStyle w:val="Prrafodelista"/>
        <w:tabs>
          <w:tab w:val="left" w:pos="-2268"/>
        </w:tabs>
        <w:suppressAutoHyphens/>
        <w:ind w:left="567"/>
        <w:rPr>
          <w:spacing w:val="-3"/>
          <w:lang w:val="es-CO"/>
        </w:rPr>
      </w:pPr>
      <w:r w:rsidRPr="00BD1319">
        <w:rPr>
          <w:spacing w:val="-3"/>
          <w:lang w:val="es-CO"/>
        </w:rPr>
        <w:lastRenderedPageBreak/>
        <w:t>La evaluación de los impactos residuales debe estimar de forma cuantitativa, en la medida de lo posible, el grado con el cual se acumula el impacto en el tiempo y en el espacio y para ello, es posible desarrollar modelos, análisis de la capacidad asimilativa, paneles de expertos, aplicación de atributos de valoración u otras herramientas que permitan evaluar cómo se incrementa su significancia en el tiempo.</w:t>
      </w:r>
    </w:p>
    <w:p w14:paraId="04509552" w14:textId="77777777" w:rsidR="00715995" w:rsidRPr="00BD1319" w:rsidRDefault="00715995" w:rsidP="00715995">
      <w:pPr>
        <w:tabs>
          <w:tab w:val="left" w:pos="-2268"/>
        </w:tabs>
        <w:suppressAutoHyphens/>
        <w:rPr>
          <w:spacing w:val="-3"/>
        </w:rPr>
      </w:pPr>
    </w:p>
    <w:p w14:paraId="227D16A0" w14:textId="1CF802BC" w:rsidR="00715995" w:rsidRPr="00BD1319" w:rsidRDefault="00715995" w:rsidP="00715995">
      <w:pPr>
        <w:pStyle w:val="Prrafodelista"/>
        <w:numPr>
          <w:ilvl w:val="0"/>
          <w:numId w:val="631"/>
        </w:numPr>
        <w:tabs>
          <w:tab w:val="left" w:pos="-2268"/>
        </w:tabs>
        <w:suppressAutoHyphens/>
        <w:ind w:left="567" w:hanging="567"/>
        <w:rPr>
          <w:spacing w:val="-3"/>
          <w:lang w:val="es-CO"/>
        </w:rPr>
      </w:pPr>
      <w:r w:rsidRPr="00BD1319">
        <w:rPr>
          <w:spacing w:val="-3"/>
          <w:lang w:val="es-CO"/>
        </w:rPr>
        <w:t xml:space="preserve">Replanteamiento o formulación de nuevas medidas de manejo para reducir la cantidad y significancia de los impactos residuales. El ajuste o </w:t>
      </w:r>
      <w:r w:rsidR="006868FD" w:rsidRPr="00BD1319">
        <w:rPr>
          <w:spacing w:val="-3"/>
          <w:lang w:val="es-CO"/>
        </w:rPr>
        <w:t xml:space="preserve">la </w:t>
      </w:r>
      <w:r w:rsidRPr="00BD1319">
        <w:rPr>
          <w:spacing w:val="-3"/>
          <w:lang w:val="es-CO"/>
        </w:rPr>
        <w:t xml:space="preserve">formulación de nuevas medidas puede considerar además de la forma en la que las actividades del proyecto generan impactos, los impactos ambientales ocasionados por otras acciones y proyectos presentes en el área de influencia que pueden modificar las condiciones ambientales de línea base y que, por esa vía, exacerban los impactos residuales acumulativos y sinérgicos que genera el proyecto objeto de </w:t>
      </w:r>
      <w:r w:rsidR="008926DE" w:rsidRPr="00BD1319">
        <w:rPr>
          <w:spacing w:val="-3"/>
          <w:lang w:val="es-CO"/>
        </w:rPr>
        <w:t>análisis</w:t>
      </w:r>
      <w:r w:rsidRPr="00BD1319">
        <w:rPr>
          <w:spacing w:val="-3"/>
          <w:lang w:val="es-CO"/>
        </w:rPr>
        <w:t>.</w:t>
      </w:r>
    </w:p>
    <w:p w14:paraId="16F67891" w14:textId="73420C0C" w:rsidR="00762C39" w:rsidRPr="00BD1319" w:rsidRDefault="008926DE" w:rsidP="000D6E21">
      <w:pPr>
        <w:numPr>
          <w:ilvl w:val="12"/>
          <w:numId w:val="0"/>
        </w:numPr>
        <w:tabs>
          <w:tab w:val="left" w:pos="-2268"/>
          <w:tab w:val="left" w:pos="7725"/>
        </w:tabs>
        <w:suppressAutoHyphens/>
        <w:rPr>
          <w:spacing w:val="-3"/>
        </w:rPr>
      </w:pPr>
      <w:r w:rsidRPr="00BD1319">
        <w:rPr>
          <w:spacing w:val="-3"/>
        </w:rPr>
        <w:tab/>
      </w:r>
    </w:p>
    <w:p w14:paraId="2A5C5763" w14:textId="513EDB1A" w:rsidR="00D22CB0" w:rsidRPr="00BD1319" w:rsidRDefault="00003FE7" w:rsidP="000D6E21">
      <w:pPr>
        <w:pStyle w:val="Ttulo2"/>
        <w:tabs>
          <w:tab w:val="clear" w:pos="0"/>
          <w:tab w:val="num" w:pos="709"/>
        </w:tabs>
        <w:ind w:left="709"/>
        <w:rPr>
          <w:lang w:val="es-CO"/>
        </w:rPr>
      </w:pPr>
      <w:bookmarkStart w:id="3281" w:name="_Ref79430805"/>
      <w:bookmarkStart w:id="3282" w:name="_Toc175326809"/>
      <w:r w:rsidRPr="00BD1319">
        <w:rPr>
          <w:lang w:val="es-CO"/>
        </w:rPr>
        <w:t>ESCENARIOS PROSPECTIVOS</w:t>
      </w:r>
      <w:bookmarkEnd w:id="3281"/>
      <w:bookmarkEnd w:id="3282"/>
    </w:p>
    <w:p w14:paraId="43261D98" w14:textId="77777777" w:rsidR="00D22CB0" w:rsidRPr="00BD1319" w:rsidRDefault="00D22CB0" w:rsidP="00FD6EAE">
      <w:pPr>
        <w:numPr>
          <w:ilvl w:val="12"/>
          <w:numId w:val="0"/>
        </w:numPr>
        <w:tabs>
          <w:tab w:val="left" w:pos="-2268"/>
        </w:tabs>
        <w:suppressAutoHyphens/>
        <w:rPr>
          <w:spacing w:val="-3"/>
        </w:rPr>
      </w:pPr>
    </w:p>
    <w:p w14:paraId="70EEC444" w14:textId="40BAAA68" w:rsidR="00634C5F" w:rsidRPr="00BD1319" w:rsidRDefault="00634C5F" w:rsidP="00D21627">
      <w:pPr>
        <w:numPr>
          <w:ilvl w:val="12"/>
          <w:numId w:val="0"/>
        </w:numPr>
        <w:tabs>
          <w:tab w:val="left" w:pos="-2268"/>
        </w:tabs>
        <w:suppressAutoHyphens/>
        <w:rPr>
          <w:rFonts w:cs="Arial"/>
          <w:spacing w:val="-3"/>
        </w:rPr>
      </w:pPr>
      <w:r w:rsidRPr="00BD1319">
        <w:rPr>
          <w:rFonts w:cs="Arial"/>
          <w:spacing w:val="-3"/>
        </w:rPr>
        <w:t xml:space="preserve">La modelización es una herramienta que puede emplearse en la elaboración de estudios ambientales dada la capacidad que tiene para </w:t>
      </w:r>
      <w:r w:rsidR="00AB3CE1" w:rsidRPr="00BD1319">
        <w:rPr>
          <w:rFonts w:cs="Arial"/>
          <w:spacing w:val="-3"/>
        </w:rPr>
        <w:t>estimar</w:t>
      </w:r>
      <w:r w:rsidRPr="00BD1319">
        <w:rPr>
          <w:rFonts w:cs="Arial"/>
          <w:spacing w:val="-3"/>
        </w:rPr>
        <w:t xml:space="preserve"> las condiciones ambientales de un área determinada bajo ciertas situaciones particulares, que pueden representar bien sea escenarios de línea base, de utilidad para la caracterización ambiental, o escenarios prospectivos que brinden elementos para el desarrollo de la evaluación ambiental o la solicitud de permisos ambientales. En este numeral se </w:t>
      </w:r>
      <w:r w:rsidR="00AE6840" w:rsidRPr="00BD1319">
        <w:rPr>
          <w:rFonts w:cs="Arial"/>
          <w:spacing w:val="-3"/>
        </w:rPr>
        <w:t xml:space="preserve">presentan los </w:t>
      </w:r>
      <w:r w:rsidRPr="00BD1319">
        <w:rPr>
          <w:rFonts w:cs="Arial"/>
          <w:spacing w:val="-3"/>
        </w:rPr>
        <w:t>lineamientos para el desarrollo de algunos de los modelos frecuentemente empleados en la elaboración de estudios ambientales</w:t>
      </w:r>
      <w:r w:rsidR="00C0275C" w:rsidRPr="00BD1319">
        <w:rPr>
          <w:rFonts w:cs="Arial"/>
          <w:spacing w:val="-3"/>
        </w:rPr>
        <w:t xml:space="preserve"> y de utilidad para la evaluación ambiental</w:t>
      </w:r>
      <w:r w:rsidR="00AE6840" w:rsidRPr="00BD1319">
        <w:rPr>
          <w:rFonts w:cs="Arial"/>
          <w:spacing w:val="-3"/>
        </w:rPr>
        <w:t xml:space="preserve">, </w:t>
      </w:r>
      <w:r w:rsidR="009665E3" w:rsidRPr="00BD1319">
        <w:rPr>
          <w:rFonts w:cs="Arial"/>
          <w:spacing w:val="-3"/>
        </w:rPr>
        <w:t xml:space="preserve">los cuales son </w:t>
      </w:r>
      <w:r w:rsidR="00AE6840" w:rsidRPr="00BD1319">
        <w:rPr>
          <w:rFonts w:cs="Arial"/>
          <w:spacing w:val="-3"/>
        </w:rPr>
        <w:t xml:space="preserve">complementarios a los requeridos </w:t>
      </w:r>
      <w:r w:rsidR="009665E3" w:rsidRPr="00BD1319">
        <w:rPr>
          <w:rFonts w:cs="Arial"/>
          <w:spacing w:val="-3"/>
        </w:rPr>
        <w:t xml:space="preserve">en </w:t>
      </w:r>
      <w:r w:rsidR="00AE6840" w:rsidRPr="00BD1319">
        <w:rPr>
          <w:rFonts w:cs="Arial"/>
          <w:spacing w:val="-3"/>
        </w:rPr>
        <w:t>los trámites de solicitud de aprovechamiento de recursos naturales</w:t>
      </w:r>
      <w:r w:rsidRPr="00BD1319">
        <w:rPr>
          <w:rFonts w:cs="Arial"/>
          <w:spacing w:val="-3"/>
        </w:rPr>
        <w:t>.</w:t>
      </w:r>
    </w:p>
    <w:p w14:paraId="01FFA74C" w14:textId="77777777" w:rsidR="00634C5F" w:rsidRPr="00BD1319" w:rsidRDefault="00634C5F" w:rsidP="00FD6EAE">
      <w:pPr>
        <w:numPr>
          <w:ilvl w:val="12"/>
          <w:numId w:val="0"/>
        </w:numPr>
        <w:tabs>
          <w:tab w:val="left" w:pos="-2268"/>
        </w:tabs>
        <w:suppressAutoHyphens/>
        <w:rPr>
          <w:rFonts w:cs="Arial"/>
          <w:spacing w:val="-3"/>
        </w:rPr>
      </w:pPr>
    </w:p>
    <w:p w14:paraId="5A77B8A1" w14:textId="2A307306" w:rsidR="00E86BC2" w:rsidRPr="00BD1319" w:rsidRDefault="00E86BC2" w:rsidP="00216955">
      <w:pPr>
        <w:pStyle w:val="Ttulo3"/>
      </w:pPr>
      <w:bookmarkStart w:id="3283" w:name="_Ref153206731"/>
      <w:bookmarkStart w:id="3284" w:name="_Toc175326810"/>
      <w:r w:rsidRPr="00BD1319">
        <w:t>Ruido</w:t>
      </w:r>
      <w:bookmarkEnd w:id="3283"/>
      <w:bookmarkEnd w:id="3284"/>
    </w:p>
    <w:p w14:paraId="1FB9647B" w14:textId="77777777" w:rsidR="00E86BC2" w:rsidRPr="00BD1319" w:rsidRDefault="00E86BC2" w:rsidP="000318F2">
      <w:pPr>
        <w:numPr>
          <w:ilvl w:val="12"/>
          <w:numId w:val="0"/>
        </w:numPr>
        <w:tabs>
          <w:tab w:val="left" w:pos="-2268"/>
        </w:tabs>
        <w:suppressAutoHyphens/>
        <w:rPr>
          <w:rFonts w:cs="Arial"/>
          <w:spacing w:val="-3"/>
        </w:rPr>
      </w:pPr>
    </w:p>
    <w:p w14:paraId="1C9BFCB8" w14:textId="663A2988" w:rsidR="000318F2" w:rsidRPr="00BD1319" w:rsidRDefault="000318F2" w:rsidP="000318F2">
      <w:pPr>
        <w:numPr>
          <w:ilvl w:val="12"/>
          <w:numId w:val="0"/>
        </w:numPr>
        <w:tabs>
          <w:tab w:val="left" w:pos="-2268"/>
        </w:tabs>
        <w:suppressAutoHyphens/>
        <w:rPr>
          <w:rFonts w:cs="Arial"/>
          <w:spacing w:val="-3"/>
        </w:rPr>
      </w:pPr>
      <w:r w:rsidRPr="00BD1319">
        <w:rPr>
          <w:rFonts w:cs="Arial"/>
          <w:spacing w:val="-3"/>
        </w:rPr>
        <w:t xml:space="preserve">La modelización de ruido debe </w:t>
      </w:r>
      <w:r w:rsidR="00C664F8" w:rsidRPr="00BD1319">
        <w:rPr>
          <w:rFonts w:cs="Arial"/>
          <w:spacing w:val="-3"/>
        </w:rPr>
        <w:t xml:space="preserve">realizarse a partir de la implementación métodos de cálculo específicos para cada tipo de fuente (industria, tráfico rodado, </w:t>
      </w:r>
      <w:proofErr w:type="spellStart"/>
      <w:r w:rsidR="00C664F8" w:rsidRPr="00BD1319">
        <w:rPr>
          <w:rFonts w:cs="Arial"/>
          <w:spacing w:val="-3"/>
        </w:rPr>
        <w:t>trafico</w:t>
      </w:r>
      <w:proofErr w:type="spellEnd"/>
      <w:r w:rsidR="00C664F8" w:rsidRPr="00BD1319">
        <w:rPr>
          <w:rFonts w:cs="Arial"/>
          <w:spacing w:val="-3"/>
        </w:rPr>
        <w:t xml:space="preserve"> férreo y tráfico de aeronaves) a través de software especializados para estimación de niveles de ruido y </w:t>
      </w:r>
      <w:r w:rsidRPr="00BD1319">
        <w:rPr>
          <w:rFonts w:cs="Arial"/>
          <w:spacing w:val="-3"/>
        </w:rPr>
        <w:t>contempla</w:t>
      </w:r>
      <w:r w:rsidR="00C664F8" w:rsidRPr="00BD1319">
        <w:rPr>
          <w:rFonts w:cs="Arial"/>
          <w:spacing w:val="-3"/>
        </w:rPr>
        <w:t xml:space="preserve">r </w:t>
      </w:r>
      <w:r w:rsidRPr="00BD1319">
        <w:rPr>
          <w:rFonts w:cs="Arial"/>
          <w:spacing w:val="-3"/>
        </w:rPr>
        <w:t xml:space="preserve">todas las actividades que generen emisiones de ruido al ambiente </w:t>
      </w:r>
      <w:r w:rsidR="00C664F8" w:rsidRPr="00BD1319">
        <w:rPr>
          <w:rFonts w:cs="Arial"/>
          <w:spacing w:val="-3"/>
        </w:rPr>
        <w:t xml:space="preserve">de acuerdo </w:t>
      </w:r>
      <w:r w:rsidRPr="00BD1319">
        <w:rPr>
          <w:rFonts w:cs="Arial"/>
          <w:spacing w:val="-3"/>
        </w:rPr>
        <w:t xml:space="preserve">con los elementos </w:t>
      </w:r>
      <w:r w:rsidR="00C664F8" w:rsidRPr="00BD1319">
        <w:rPr>
          <w:rFonts w:cs="Arial"/>
          <w:spacing w:val="-3"/>
        </w:rPr>
        <w:t xml:space="preserve">identificados para </w:t>
      </w:r>
      <w:r w:rsidRPr="00BD1319">
        <w:rPr>
          <w:rFonts w:cs="Arial"/>
          <w:spacing w:val="-3"/>
        </w:rPr>
        <w:t>el área de influencia y los indicados en la descripción del proyecto, obra o actividad.</w:t>
      </w:r>
    </w:p>
    <w:p w14:paraId="273ADE03" w14:textId="138195C6" w:rsidR="000318F2" w:rsidRPr="00BD1319" w:rsidRDefault="000318F2" w:rsidP="000318F2">
      <w:pPr>
        <w:numPr>
          <w:ilvl w:val="12"/>
          <w:numId w:val="0"/>
        </w:numPr>
        <w:tabs>
          <w:tab w:val="left" w:pos="-2268"/>
        </w:tabs>
        <w:suppressAutoHyphens/>
        <w:rPr>
          <w:rFonts w:cs="Arial"/>
          <w:spacing w:val="-3"/>
        </w:rPr>
      </w:pPr>
    </w:p>
    <w:p w14:paraId="2CE10DB2" w14:textId="688EAB26" w:rsidR="000318F2" w:rsidRPr="00BD1319" w:rsidRDefault="000318F2" w:rsidP="000318F2">
      <w:pPr>
        <w:numPr>
          <w:ilvl w:val="12"/>
          <w:numId w:val="0"/>
        </w:numPr>
        <w:tabs>
          <w:tab w:val="left" w:pos="-2268"/>
        </w:tabs>
        <w:suppressAutoHyphens/>
        <w:rPr>
          <w:rFonts w:cs="Arial"/>
          <w:spacing w:val="-3"/>
        </w:rPr>
      </w:pPr>
      <w:r w:rsidRPr="00BD1319">
        <w:rPr>
          <w:rFonts w:cs="Arial"/>
          <w:spacing w:val="-3"/>
        </w:rPr>
        <w:t xml:space="preserve">El modelo de propagación de ruido debe tener en cuenta </w:t>
      </w:r>
      <w:r w:rsidR="00DB23EE" w:rsidRPr="00BD1319">
        <w:rPr>
          <w:rFonts w:cs="Arial"/>
          <w:spacing w:val="-3"/>
        </w:rPr>
        <w:t xml:space="preserve">la cantidad necesaria de </w:t>
      </w:r>
      <w:r w:rsidRPr="00BD1319">
        <w:rPr>
          <w:rFonts w:cs="Arial"/>
          <w:spacing w:val="-3"/>
        </w:rPr>
        <w:t>escenarios para cumplir con los objetivos del estudio</w:t>
      </w:r>
      <w:r w:rsidR="00DB23EE" w:rsidRPr="00BD1319">
        <w:rPr>
          <w:rFonts w:cs="Arial"/>
          <w:spacing w:val="-3"/>
        </w:rPr>
        <w:t>;</w:t>
      </w:r>
      <w:r w:rsidRPr="00BD1319">
        <w:rPr>
          <w:rFonts w:cs="Arial"/>
          <w:spacing w:val="-3"/>
        </w:rPr>
        <w:t xml:space="preserve"> no obstante, según corresponda, debe tener en cuenta los escenarios señalados en la </w:t>
      </w:r>
      <w:r w:rsidR="00DB23EE" w:rsidRPr="00BD1319">
        <w:rPr>
          <w:rFonts w:cs="Arial"/>
          <w:spacing w:val="-3"/>
        </w:rPr>
        <w:fldChar w:fldCharType="begin"/>
      </w:r>
      <w:r w:rsidR="00DB23EE" w:rsidRPr="00BD1319">
        <w:rPr>
          <w:rFonts w:cs="Arial"/>
          <w:spacing w:val="-3"/>
        </w:rPr>
        <w:instrText xml:space="preserve"> REF _Ref81911911 \h </w:instrText>
      </w:r>
      <w:r w:rsidR="00BD1319">
        <w:rPr>
          <w:rFonts w:cs="Arial"/>
          <w:spacing w:val="-3"/>
        </w:rPr>
        <w:instrText xml:space="preserve"> \* MERGEFORMAT </w:instrText>
      </w:r>
      <w:r w:rsidR="00DB23EE" w:rsidRPr="00BD1319">
        <w:rPr>
          <w:rFonts w:cs="Arial"/>
          <w:spacing w:val="-3"/>
        </w:rPr>
      </w:r>
      <w:r w:rsidR="00DB23EE" w:rsidRPr="00BD1319">
        <w:rPr>
          <w:rFonts w:cs="Arial"/>
          <w:spacing w:val="-3"/>
        </w:rPr>
        <w:fldChar w:fldCharType="separate"/>
      </w:r>
      <w:r w:rsidR="00296654" w:rsidRPr="00BD1319">
        <w:t xml:space="preserve">Tabla </w:t>
      </w:r>
      <w:r w:rsidR="00296654" w:rsidRPr="00BD1319">
        <w:rPr>
          <w:noProof/>
        </w:rPr>
        <w:t>34</w:t>
      </w:r>
      <w:r w:rsidR="00DB23EE" w:rsidRPr="00BD1319">
        <w:rPr>
          <w:rFonts w:cs="Arial"/>
          <w:spacing w:val="-3"/>
        </w:rPr>
        <w:fldChar w:fldCharType="end"/>
      </w:r>
      <w:r w:rsidRPr="00BD1319">
        <w:rPr>
          <w:rFonts w:cs="Arial"/>
          <w:spacing w:val="-3"/>
        </w:rPr>
        <w:t>.</w:t>
      </w:r>
    </w:p>
    <w:p w14:paraId="6BFF914B" w14:textId="77777777" w:rsidR="000318F2" w:rsidRPr="00BD1319" w:rsidRDefault="000318F2" w:rsidP="00D21627">
      <w:pPr>
        <w:numPr>
          <w:ilvl w:val="12"/>
          <w:numId w:val="0"/>
        </w:numPr>
        <w:tabs>
          <w:tab w:val="left" w:pos="-2268"/>
        </w:tabs>
        <w:suppressAutoHyphens/>
        <w:rPr>
          <w:rFonts w:cs="Arial"/>
          <w:spacing w:val="-3"/>
        </w:rPr>
      </w:pPr>
    </w:p>
    <w:p w14:paraId="503925FE" w14:textId="48071F8C" w:rsidR="00D22CB0" w:rsidRPr="00BD1319" w:rsidRDefault="00D22CB0" w:rsidP="00DB23EE">
      <w:pPr>
        <w:pStyle w:val="Descripcin"/>
        <w:keepNext/>
        <w:ind w:left="709"/>
        <w:jc w:val="center"/>
        <w:rPr>
          <w:b w:val="0"/>
        </w:rPr>
      </w:pPr>
      <w:bookmarkStart w:id="3285" w:name="_Ref81911911"/>
      <w:r w:rsidRPr="00BD1319">
        <w:lastRenderedPageBreak/>
        <w:t xml:space="preserve">Tabla </w:t>
      </w:r>
      <w:fldSimple w:instr=" SEQ Tabla \* ARABIC ">
        <w:r w:rsidR="00296654" w:rsidRPr="00BD1319">
          <w:rPr>
            <w:noProof/>
          </w:rPr>
          <w:t>34</w:t>
        </w:r>
      </w:fldSimple>
      <w:bookmarkEnd w:id="3285"/>
      <w:r w:rsidRPr="00BD1319">
        <w:t>.</w:t>
      </w:r>
      <w:r w:rsidRPr="00BD1319">
        <w:rPr>
          <w:b w:val="0"/>
        </w:rPr>
        <w:t xml:space="preserve"> Escenarios para model</w:t>
      </w:r>
      <w:r w:rsidR="00A60447" w:rsidRPr="00BD1319">
        <w:rPr>
          <w:b w:val="0"/>
        </w:rPr>
        <w:t>iz</w:t>
      </w:r>
      <w:r w:rsidRPr="00BD1319">
        <w:rPr>
          <w:b w:val="0"/>
        </w:rPr>
        <w:t xml:space="preserve">ación </w:t>
      </w:r>
      <w:r w:rsidR="00B11257" w:rsidRPr="00BD1319">
        <w:rPr>
          <w:b w:val="0"/>
        </w:rPr>
        <w:t>de ruido</w:t>
      </w:r>
    </w:p>
    <w:tbl>
      <w:tblPr>
        <w:tblStyle w:val="Tablaconcuadrcula"/>
        <w:tblW w:w="5000" w:type="pct"/>
        <w:jc w:val="center"/>
        <w:tblLook w:val="04A0" w:firstRow="1" w:lastRow="0" w:firstColumn="1" w:lastColumn="0" w:noHBand="0" w:noVBand="1"/>
      </w:tblPr>
      <w:tblGrid>
        <w:gridCol w:w="1122"/>
        <w:gridCol w:w="3009"/>
        <w:gridCol w:w="5266"/>
      </w:tblGrid>
      <w:tr w:rsidR="00D22CB0" w:rsidRPr="00BD1319" w14:paraId="56E597B3" w14:textId="77777777" w:rsidTr="000D6E21">
        <w:trPr>
          <w:trHeight w:val="535"/>
          <w:tblHeader/>
          <w:jc w:val="center"/>
        </w:trPr>
        <w:tc>
          <w:tcPr>
            <w:tcW w:w="597" w:type="pct"/>
            <w:shd w:val="clear" w:color="auto" w:fill="auto"/>
            <w:vAlign w:val="center"/>
          </w:tcPr>
          <w:p w14:paraId="3B7353EC" w14:textId="77777777" w:rsidR="00D22CB0" w:rsidRPr="00BD1319" w:rsidRDefault="00D22CB0" w:rsidP="00BE0F96">
            <w:pPr>
              <w:numPr>
                <w:ilvl w:val="12"/>
                <w:numId w:val="0"/>
              </w:numPr>
              <w:tabs>
                <w:tab w:val="left" w:pos="-2268"/>
              </w:tabs>
              <w:suppressAutoHyphens/>
              <w:jc w:val="center"/>
              <w:rPr>
                <w:rFonts w:cs="Arial"/>
                <w:b/>
                <w:bCs/>
                <w:spacing w:val="-3"/>
                <w:sz w:val="22"/>
                <w:szCs w:val="22"/>
              </w:rPr>
            </w:pPr>
            <w:r w:rsidRPr="00BD1319">
              <w:rPr>
                <w:rFonts w:cs="Arial"/>
                <w:b/>
                <w:bCs/>
                <w:spacing w:val="-3"/>
                <w:sz w:val="22"/>
                <w:szCs w:val="22"/>
              </w:rPr>
              <w:t>Ítem</w:t>
            </w:r>
          </w:p>
        </w:tc>
        <w:tc>
          <w:tcPr>
            <w:tcW w:w="1601" w:type="pct"/>
            <w:shd w:val="clear" w:color="auto" w:fill="auto"/>
            <w:vAlign w:val="center"/>
          </w:tcPr>
          <w:p w14:paraId="5267459F" w14:textId="77777777" w:rsidR="00D22CB0" w:rsidRPr="00BD1319" w:rsidRDefault="00D22CB0" w:rsidP="00BE0F96">
            <w:pPr>
              <w:numPr>
                <w:ilvl w:val="12"/>
                <w:numId w:val="0"/>
              </w:numPr>
              <w:tabs>
                <w:tab w:val="left" w:pos="-2268"/>
              </w:tabs>
              <w:suppressAutoHyphens/>
              <w:jc w:val="center"/>
              <w:rPr>
                <w:rFonts w:cs="Arial"/>
                <w:b/>
                <w:bCs/>
                <w:spacing w:val="-3"/>
                <w:sz w:val="22"/>
                <w:szCs w:val="22"/>
              </w:rPr>
            </w:pPr>
            <w:r w:rsidRPr="00BD1319">
              <w:rPr>
                <w:rFonts w:cs="Arial"/>
                <w:b/>
                <w:bCs/>
                <w:spacing w:val="-3"/>
                <w:sz w:val="22"/>
                <w:szCs w:val="22"/>
              </w:rPr>
              <w:t>Escenario</w:t>
            </w:r>
          </w:p>
        </w:tc>
        <w:tc>
          <w:tcPr>
            <w:tcW w:w="2802" w:type="pct"/>
            <w:shd w:val="clear" w:color="auto" w:fill="auto"/>
            <w:vAlign w:val="center"/>
          </w:tcPr>
          <w:p w14:paraId="5EE6CA23" w14:textId="77777777" w:rsidR="00D22CB0" w:rsidRPr="00BD1319" w:rsidRDefault="00D22CB0" w:rsidP="00BE0F96">
            <w:pPr>
              <w:numPr>
                <w:ilvl w:val="12"/>
                <w:numId w:val="0"/>
              </w:numPr>
              <w:tabs>
                <w:tab w:val="left" w:pos="-2268"/>
              </w:tabs>
              <w:suppressAutoHyphens/>
              <w:jc w:val="center"/>
              <w:rPr>
                <w:rFonts w:cs="Arial"/>
                <w:b/>
                <w:bCs/>
                <w:spacing w:val="-3"/>
                <w:sz w:val="22"/>
                <w:szCs w:val="22"/>
              </w:rPr>
            </w:pPr>
            <w:r w:rsidRPr="00BD1319">
              <w:rPr>
                <w:rFonts w:cs="Arial"/>
                <w:b/>
                <w:bCs/>
                <w:spacing w:val="-3"/>
                <w:sz w:val="22"/>
                <w:szCs w:val="22"/>
              </w:rPr>
              <w:t>Observación</w:t>
            </w:r>
          </w:p>
        </w:tc>
      </w:tr>
      <w:tr w:rsidR="00D22CB0" w:rsidRPr="00BD1319" w14:paraId="6123C12A" w14:textId="77777777" w:rsidTr="000D6E21">
        <w:trPr>
          <w:jc w:val="center"/>
        </w:trPr>
        <w:tc>
          <w:tcPr>
            <w:tcW w:w="597" w:type="pct"/>
            <w:vAlign w:val="center"/>
          </w:tcPr>
          <w:p w14:paraId="40F998F3" w14:textId="77777777" w:rsidR="00D22CB0" w:rsidRPr="00BD1319" w:rsidRDefault="00D22CB0" w:rsidP="00BE0F96">
            <w:pPr>
              <w:numPr>
                <w:ilvl w:val="12"/>
                <w:numId w:val="0"/>
              </w:numPr>
              <w:tabs>
                <w:tab w:val="left" w:pos="-2268"/>
              </w:tabs>
              <w:suppressAutoHyphens/>
              <w:jc w:val="center"/>
              <w:rPr>
                <w:rFonts w:cs="Arial"/>
                <w:spacing w:val="-3"/>
                <w:sz w:val="22"/>
                <w:szCs w:val="22"/>
              </w:rPr>
            </w:pPr>
            <w:r w:rsidRPr="00BD1319">
              <w:rPr>
                <w:rFonts w:cs="Arial"/>
                <w:spacing w:val="-3"/>
                <w:sz w:val="22"/>
                <w:szCs w:val="22"/>
              </w:rPr>
              <w:t>1</w:t>
            </w:r>
          </w:p>
        </w:tc>
        <w:tc>
          <w:tcPr>
            <w:tcW w:w="1601" w:type="pct"/>
            <w:vAlign w:val="center"/>
          </w:tcPr>
          <w:p w14:paraId="426D83D6" w14:textId="77777777" w:rsidR="00D22CB0" w:rsidRPr="00BD1319" w:rsidRDefault="00D22CB0" w:rsidP="00BE0F96">
            <w:pPr>
              <w:numPr>
                <w:ilvl w:val="12"/>
                <w:numId w:val="0"/>
              </w:numPr>
              <w:tabs>
                <w:tab w:val="left" w:pos="-2268"/>
              </w:tabs>
              <w:suppressAutoHyphens/>
              <w:rPr>
                <w:rFonts w:cs="Arial"/>
                <w:spacing w:val="-3"/>
                <w:sz w:val="22"/>
                <w:szCs w:val="22"/>
              </w:rPr>
            </w:pPr>
            <w:r w:rsidRPr="00BD1319">
              <w:rPr>
                <w:rFonts w:cs="Arial"/>
                <w:spacing w:val="-3"/>
                <w:sz w:val="22"/>
                <w:szCs w:val="22"/>
              </w:rPr>
              <w:t>Actual sin proyecto</w:t>
            </w:r>
          </w:p>
        </w:tc>
        <w:tc>
          <w:tcPr>
            <w:tcW w:w="2802" w:type="pct"/>
            <w:vAlign w:val="center"/>
          </w:tcPr>
          <w:p w14:paraId="7E676F3F" w14:textId="77777777" w:rsidR="00D22CB0" w:rsidRPr="00BD1319" w:rsidRDefault="00D22CB0" w:rsidP="00BE0F96">
            <w:pPr>
              <w:numPr>
                <w:ilvl w:val="12"/>
                <w:numId w:val="0"/>
              </w:numPr>
              <w:tabs>
                <w:tab w:val="left" w:pos="-2268"/>
              </w:tabs>
              <w:suppressAutoHyphens/>
              <w:rPr>
                <w:rFonts w:cs="Arial"/>
                <w:spacing w:val="-3"/>
                <w:sz w:val="22"/>
                <w:szCs w:val="22"/>
              </w:rPr>
            </w:pPr>
            <w:r w:rsidRPr="00BD1319">
              <w:rPr>
                <w:rFonts w:cs="Arial"/>
                <w:spacing w:val="-3"/>
                <w:sz w:val="22"/>
                <w:szCs w:val="22"/>
              </w:rPr>
              <w:t>Corresponde a todas aquellas actividades asociadas a tramos viales (en caso de presentarse).</w:t>
            </w:r>
          </w:p>
        </w:tc>
      </w:tr>
      <w:tr w:rsidR="00D22CB0" w:rsidRPr="00BD1319" w14:paraId="064BD72A" w14:textId="77777777" w:rsidTr="000D6E21">
        <w:trPr>
          <w:jc w:val="center"/>
        </w:trPr>
        <w:tc>
          <w:tcPr>
            <w:tcW w:w="597" w:type="pct"/>
            <w:vAlign w:val="center"/>
          </w:tcPr>
          <w:p w14:paraId="33B65D12" w14:textId="77777777" w:rsidR="00D22CB0" w:rsidRPr="00BD1319" w:rsidRDefault="00D22CB0" w:rsidP="00BE0F96">
            <w:pPr>
              <w:numPr>
                <w:ilvl w:val="12"/>
                <w:numId w:val="0"/>
              </w:numPr>
              <w:tabs>
                <w:tab w:val="left" w:pos="-2268"/>
              </w:tabs>
              <w:suppressAutoHyphens/>
              <w:jc w:val="center"/>
              <w:rPr>
                <w:rFonts w:cs="Arial"/>
                <w:spacing w:val="-3"/>
                <w:sz w:val="22"/>
                <w:szCs w:val="22"/>
              </w:rPr>
            </w:pPr>
            <w:r w:rsidRPr="00BD1319">
              <w:rPr>
                <w:rFonts w:cs="Arial"/>
                <w:spacing w:val="-3"/>
                <w:sz w:val="22"/>
                <w:szCs w:val="22"/>
              </w:rPr>
              <w:t>2</w:t>
            </w:r>
          </w:p>
        </w:tc>
        <w:tc>
          <w:tcPr>
            <w:tcW w:w="1601" w:type="pct"/>
            <w:vAlign w:val="center"/>
          </w:tcPr>
          <w:p w14:paraId="761D5C32" w14:textId="77777777" w:rsidR="00D22CB0" w:rsidRPr="00BD1319" w:rsidRDefault="00D22CB0" w:rsidP="00BE0F96">
            <w:pPr>
              <w:numPr>
                <w:ilvl w:val="12"/>
                <w:numId w:val="0"/>
              </w:numPr>
              <w:tabs>
                <w:tab w:val="left" w:pos="-2268"/>
              </w:tabs>
              <w:suppressAutoHyphens/>
              <w:rPr>
                <w:rFonts w:cs="Arial"/>
                <w:spacing w:val="-3"/>
                <w:sz w:val="22"/>
                <w:szCs w:val="22"/>
              </w:rPr>
            </w:pPr>
            <w:r w:rsidRPr="00BD1319">
              <w:rPr>
                <w:rFonts w:cs="Arial"/>
                <w:spacing w:val="-3"/>
                <w:sz w:val="22"/>
                <w:szCs w:val="22"/>
              </w:rPr>
              <w:t>Proyecto en construcción sin medidas de control</w:t>
            </w:r>
          </w:p>
        </w:tc>
        <w:tc>
          <w:tcPr>
            <w:tcW w:w="2802" w:type="pct"/>
            <w:vAlign w:val="center"/>
          </w:tcPr>
          <w:p w14:paraId="5F66D024" w14:textId="77777777" w:rsidR="00D22CB0" w:rsidRPr="00BD1319" w:rsidRDefault="00D22CB0" w:rsidP="00BE0F96">
            <w:pPr>
              <w:numPr>
                <w:ilvl w:val="12"/>
                <w:numId w:val="0"/>
              </w:numPr>
              <w:tabs>
                <w:tab w:val="left" w:pos="-2268"/>
              </w:tabs>
              <w:suppressAutoHyphens/>
              <w:rPr>
                <w:rFonts w:cs="Arial"/>
                <w:spacing w:val="-3"/>
                <w:sz w:val="22"/>
                <w:szCs w:val="22"/>
              </w:rPr>
            </w:pPr>
            <w:r w:rsidRPr="00BD1319">
              <w:rPr>
                <w:rFonts w:cs="Arial"/>
                <w:spacing w:val="-3"/>
                <w:sz w:val="22"/>
                <w:szCs w:val="22"/>
              </w:rPr>
              <w:t>Corresponde a todas aquellas actividades asociadas a fuentes de ruido empleadas durante la construcción del proyecto.</w:t>
            </w:r>
          </w:p>
        </w:tc>
      </w:tr>
      <w:tr w:rsidR="00D22CB0" w:rsidRPr="00BD1319" w14:paraId="78755424" w14:textId="77777777" w:rsidTr="000D6E21">
        <w:trPr>
          <w:jc w:val="center"/>
        </w:trPr>
        <w:tc>
          <w:tcPr>
            <w:tcW w:w="597" w:type="pct"/>
            <w:vAlign w:val="center"/>
          </w:tcPr>
          <w:p w14:paraId="268A10D2" w14:textId="77777777" w:rsidR="00D22CB0" w:rsidRPr="00BD1319" w:rsidRDefault="00D22CB0" w:rsidP="00BE0F96">
            <w:pPr>
              <w:numPr>
                <w:ilvl w:val="12"/>
                <w:numId w:val="0"/>
              </w:numPr>
              <w:tabs>
                <w:tab w:val="left" w:pos="-2268"/>
              </w:tabs>
              <w:suppressAutoHyphens/>
              <w:jc w:val="center"/>
              <w:rPr>
                <w:rFonts w:cs="Arial"/>
                <w:spacing w:val="-3"/>
                <w:sz w:val="22"/>
                <w:szCs w:val="22"/>
              </w:rPr>
            </w:pPr>
            <w:r w:rsidRPr="00BD1319">
              <w:rPr>
                <w:rFonts w:cs="Arial"/>
                <w:spacing w:val="-3"/>
                <w:sz w:val="22"/>
                <w:szCs w:val="22"/>
              </w:rPr>
              <w:t>3</w:t>
            </w:r>
          </w:p>
        </w:tc>
        <w:tc>
          <w:tcPr>
            <w:tcW w:w="1601" w:type="pct"/>
            <w:vAlign w:val="center"/>
          </w:tcPr>
          <w:p w14:paraId="19B4025C" w14:textId="77777777" w:rsidR="00D22CB0" w:rsidRPr="00BD1319" w:rsidRDefault="00D22CB0" w:rsidP="00BE0F96">
            <w:pPr>
              <w:numPr>
                <w:ilvl w:val="12"/>
                <w:numId w:val="0"/>
              </w:numPr>
              <w:tabs>
                <w:tab w:val="left" w:pos="-2268"/>
              </w:tabs>
              <w:suppressAutoHyphens/>
              <w:rPr>
                <w:rFonts w:cs="Arial"/>
                <w:spacing w:val="-3"/>
                <w:sz w:val="22"/>
                <w:szCs w:val="22"/>
              </w:rPr>
            </w:pPr>
            <w:r w:rsidRPr="00BD1319">
              <w:rPr>
                <w:rFonts w:cs="Arial"/>
                <w:spacing w:val="-3"/>
                <w:sz w:val="22"/>
                <w:szCs w:val="22"/>
              </w:rPr>
              <w:t>Proyecto en operación sin medidas de control</w:t>
            </w:r>
          </w:p>
        </w:tc>
        <w:tc>
          <w:tcPr>
            <w:tcW w:w="2802" w:type="pct"/>
            <w:vAlign w:val="center"/>
          </w:tcPr>
          <w:p w14:paraId="29CB547F" w14:textId="77777777" w:rsidR="00D22CB0" w:rsidRPr="00BD1319" w:rsidRDefault="00D22CB0" w:rsidP="00BE0F96">
            <w:pPr>
              <w:numPr>
                <w:ilvl w:val="12"/>
                <w:numId w:val="0"/>
              </w:numPr>
              <w:tabs>
                <w:tab w:val="left" w:pos="-2268"/>
              </w:tabs>
              <w:suppressAutoHyphens/>
              <w:rPr>
                <w:rFonts w:cs="Arial"/>
                <w:spacing w:val="-3"/>
                <w:sz w:val="22"/>
                <w:szCs w:val="22"/>
              </w:rPr>
            </w:pPr>
            <w:r w:rsidRPr="00BD1319">
              <w:rPr>
                <w:rFonts w:cs="Arial"/>
                <w:spacing w:val="-3"/>
                <w:sz w:val="22"/>
                <w:szCs w:val="22"/>
              </w:rPr>
              <w:t>Corresponde a todas aquellas actividades asociadas a fuentes de ruido empleadas durante la operación del proyecto.</w:t>
            </w:r>
          </w:p>
        </w:tc>
      </w:tr>
      <w:tr w:rsidR="00D22CB0" w:rsidRPr="00BD1319" w14:paraId="36EBEBFB" w14:textId="77777777" w:rsidTr="000D6E21">
        <w:trPr>
          <w:jc w:val="center"/>
        </w:trPr>
        <w:tc>
          <w:tcPr>
            <w:tcW w:w="597" w:type="pct"/>
            <w:vAlign w:val="center"/>
          </w:tcPr>
          <w:p w14:paraId="4829D846" w14:textId="77777777" w:rsidR="00D22CB0" w:rsidRPr="00BD1319" w:rsidRDefault="00D22CB0" w:rsidP="00BE0F96">
            <w:pPr>
              <w:numPr>
                <w:ilvl w:val="12"/>
                <w:numId w:val="0"/>
              </w:numPr>
              <w:tabs>
                <w:tab w:val="left" w:pos="-2268"/>
              </w:tabs>
              <w:suppressAutoHyphens/>
              <w:jc w:val="center"/>
              <w:rPr>
                <w:rFonts w:cs="Arial"/>
                <w:spacing w:val="-3"/>
                <w:sz w:val="22"/>
                <w:szCs w:val="22"/>
              </w:rPr>
            </w:pPr>
            <w:r w:rsidRPr="00BD1319">
              <w:rPr>
                <w:rFonts w:cs="Arial"/>
                <w:spacing w:val="-3"/>
                <w:sz w:val="22"/>
                <w:szCs w:val="22"/>
              </w:rPr>
              <w:t>4*</w:t>
            </w:r>
          </w:p>
        </w:tc>
        <w:tc>
          <w:tcPr>
            <w:tcW w:w="1601" w:type="pct"/>
            <w:vAlign w:val="center"/>
          </w:tcPr>
          <w:p w14:paraId="085ABE30" w14:textId="77777777" w:rsidR="00D22CB0" w:rsidRPr="00BD1319" w:rsidRDefault="00D22CB0" w:rsidP="00BE0F96">
            <w:pPr>
              <w:numPr>
                <w:ilvl w:val="12"/>
                <w:numId w:val="0"/>
              </w:numPr>
              <w:tabs>
                <w:tab w:val="left" w:pos="-2268"/>
              </w:tabs>
              <w:suppressAutoHyphens/>
              <w:rPr>
                <w:rFonts w:cs="Arial"/>
                <w:spacing w:val="-3"/>
                <w:sz w:val="22"/>
                <w:szCs w:val="22"/>
              </w:rPr>
            </w:pPr>
            <w:r w:rsidRPr="00BD1319">
              <w:rPr>
                <w:rFonts w:cs="Arial"/>
                <w:spacing w:val="-3"/>
                <w:sz w:val="22"/>
                <w:szCs w:val="22"/>
              </w:rPr>
              <w:t>Proyecto en construcción con medidas de control</w:t>
            </w:r>
          </w:p>
        </w:tc>
        <w:tc>
          <w:tcPr>
            <w:tcW w:w="2802" w:type="pct"/>
            <w:vAlign w:val="center"/>
          </w:tcPr>
          <w:p w14:paraId="1C3EF93A" w14:textId="77777777" w:rsidR="00D22CB0" w:rsidRPr="00BD1319" w:rsidRDefault="00D22CB0" w:rsidP="00BE0F96">
            <w:pPr>
              <w:numPr>
                <w:ilvl w:val="12"/>
                <w:numId w:val="0"/>
              </w:numPr>
              <w:tabs>
                <w:tab w:val="left" w:pos="-2268"/>
              </w:tabs>
              <w:suppressAutoHyphens/>
              <w:rPr>
                <w:rFonts w:cs="Arial"/>
                <w:spacing w:val="-3"/>
                <w:sz w:val="22"/>
                <w:szCs w:val="22"/>
              </w:rPr>
            </w:pPr>
            <w:r w:rsidRPr="00BD1319">
              <w:rPr>
                <w:rFonts w:cs="Arial"/>
                <w:spacing w:val="-3"/>
                <w:sz w:val="22"/>
                <w:szCs w:val="22"/>
              </w:rPr>
              <w:t>Corresponde a todas aquellas actividades asociadas a fuentes de ruido empleadas durante la construcción del proyecto, teniendo en cuenta adicionalmente las medidas de manejo y los sistemas de control.</w:t>
            </w:r>
          </w:p>
        </w:tc>
      </w:tr>
      <w:tr w:rsidR="00D22CB0" w:rsidRPr="00BD1319" w14:paraId="517732C4" w14:textId="77777777" w:rsidTr="000D6E21">
        <w:trPr>
          <w:jc w:val="center"/>
        </w:trPr>
        <w:tc>
          <w:tcPr>
            <w:tcW w:w="597" w:type="pct"/>
            <w:vAlign w:val="center"/>
          </w:tcPr>
          <w:p w14:paraId="13C8C1B8" w14:textId="77777777" w:rsidR="00D22CB0" w:rsidRPr="00BD1319" w:rsidRDefault="00D22CB0" w:rsidP="00BE0F96">
            <w:pPr>
              <w:numPr>
                <w:ilvl w:val="12"/>
                <w:numId w:val="0"/>
              </w:numPr>
              <w:tabs>
                <w:tab w:val="left" w:pos="-2268"/>
              </w:tabs>
              <w:suppressAutoHyphens/>
              <w:jc w:val="center"/>
              <w:rPr>
                <w:rFonts w:cs="Arial"/>
                <w:spacing w:val="-3"/>
                <w:sz w:val="22"/>
                <w:szCs w:val="22"/>
              </w:rPr>
            </w:pPr>
            <w:r w:rsidRPr="00BD1319">
              <w:rPr>
                <w:rFonts w:cs="Arial"/>
                <w:spacing w:val="-3"/>
                <w:sz w:val="22"/>
                <w:szCs w:val="22"/>
              </w:rPr>
              <w:t>5*</w:t>
            </w:r>
          </w:p>
        </w:tc>
        <w:tc>
          <w:tcPr>
            <w:tcW w:w="1601" w:type="pct"/>
            <w:vAlign w:val="center"/>
          </w:tcPr>
          <w:p w14:paraId="17BC78E7" w14:textId="77777777" w:rsidR="00D22CB0" w:rsidRPr="00BD1319" w:rsidRDefault="00D22CB0" w:rsidP="00BE0F96">
            <w:pPr>
              <w:numPr>
                <w:ilvl w:val="12"/>
                <w:numId w:val="0"/>
              </w:numPr>
              <w:tabs>
                <w:tab w:val="left" w:pos="-2268"/>
              </w:tabs>
              <w:suppressAutoHyphens/>
              <w:rPr>
                <w:rFonts w:cs="Arial"/>
                <w:spacing w:val="-3"/>
                <w:sz w:val="22"/>
                <w:szCs w:val="22"/>
              </w:rPr>
            </w:pPr>
            <w:r w:rsidRPr="00BD1319">
              <w:rPr>
                <w:rFonts w:cs="Arial"/>
                <w:spacing w:val="-3"/>
                <w:sz w:val="22"/>
                <w:szCs w:val="22"/>
              </w:rPr>
              <w:t>Proyecto en operación con medidas de control</w:t>
            </w:r>
          </w:p>
        </w:tc>
        <w:tc>
          <w:tcPr>
            <w:tcW w:w="2802" w:type="pct"/>
            <w:vAlign w:val="center"/>
          </w:tcPr>
          <w:p w14:paraId="3476ED37" w14:textId="77777777" w:rsidR="00D22CB0" w:rsidRPr="00BD1319" w:rsidRDefault="00D22CB0" w:rsidP="00BE0F96">
            <w:pPr>
              <w:numPr>
                <w:ilvl w:val="12"/>
                <w:numId w:val="0"/>
              </w:numPr>
              <w:tabs>
                <w:tab w:val="left" w:pos="-2268"/>
              </w:tabs>
              <w:suppressAutoHyphens/>
              <w:rPr>
                <w:rFonts w:cs="Arial"/>
                <w:spacing w:val="-3"/>
                <w:sz w:val="22"/>
                <w:szCs w:val="22"/>
              </w:rPr>
            </w:pPr>
            <w:r w:rsidRPr="00BD1319">
              <w:rPr>
                <w:rFonts w:cs="Arial"/>
                <w:spacing w:val="-3"/>
                <w:sz w:val="22"/>
                <w:szCs w:val="22"/>
              </w:rPr>
              <w:t>Corresponde a todas aquellas actividades asociadas a fuentes de ruido empleadas durante la operación del proyecto, teniendo en cuenta adicionalmente las medidas de manejo y los sistemas de control.</w:t>
            </w:r>
          </w:p>
        </w:tc>
      </w:tr>
    </w:tbl>
    <w:p w14:paraId="64E37699" w14:textId="725CE700" w:rsidR="00D22CB0" w:rsidRPr="00BD1319" w:rsidRDefault="00B62F12" w:rsidP="00FD6EAE">
      <w:pPr>
        <w:numPr>
          <w:ilvl w:val="12"/>
          <w:numId w:val="0"/>
        </w:numPr>
        <w:tabs>
          <w:tab w:val="left" w:pos="-2268"/>
        </w:tabs>
        <w:suppressAutoHyphens/>
        <w:rPr>
          <w:rFonts w:cs="Arial"/>
          <w:spacing w:val="-3"/>
          <w:sz w:val="20"/>
          <w:szCs w:val="20"/>
        </w:rPr>
      </w:pPr>
      <w:r w:rsidRPr="00BD1319">
        <w:rPr>
          <w:rFonts w:cs="Arial"/>
          <w:spacing w:val="-3"/>
          <w:sz w:val="20"/>
          <w:szCs w:val="20"/>
        </w:rPr>
        <w:t xml:space="preserve">* </w:t>
      </w:r>
      <w:r w:rsidR="00D22CB0" w:rsidRPr="00BD1319">
        <w:rPr>
          <w:rFonts w:cs="Arial"/>
          <w:spacing w:val="-3"/>
          <w:sz w:val="20"/>
          <w:szCs w:val="20"/>
        </w:rPr>
        <w:t>Para los escenarios con medidas de control, se debe tener en cuenta que el sistema de control incorporado en los criterios de model</w:t>
      </w:r>
      <w:r w:rsidR="00A60447" w:rsidRPr="00BD1319">
        <w:rPr>
          <w:rFonts w:cs="Arial"/>
          <w:spacing w:val="-3"/>
          <w:sz w:val="20"/>
          <w:szCs w:val="20"/>
        </w:rPr>
        <w:t xml:space="preserve">ización </w:t>
      </w:r>
      <w:r w:rsidR="00D22CB0" w:rsidRPr="00BD1319">
        <w:rPr>
          <w:rFonts w:cs="Arial"/>
          <w:spacing w:val="-3"/>
          <w:sz w:val="20"/>
          <w:szCs w:val="20"/>
        </w:rPr>
        <w:t>debe corresponder con las medidas de manejo incorporadas en el PMA.</w:t>
      </w:r>
    </w:p>
    <w:p w14:paraId="0549ACEB" w14:textId="77777777" w:rsidR="00D22CB0" w:rsidRPr="00BD1319" w:rsidRDefault="00D22CB0" w:rsidP="00DB23EE">
      <w:pPr>
        <w:numPr>
          <w:ilvl w:val="12"/>
          <w:numId w:val="0"/>
        </w:numPr>
        <w:tabs>
          <w:tab w:val="left" w:pos="-2268"/>
        </w:tabs>
        <w:suppressAutoHyphens/>
        <w:rPr>
          <w:spacing w:val="-3"/>
        </w:rPr>
      </w:pPr>
    </w:p>
    <w:p w14:paraId="2A956DAC" w14:textId="2A65A369" w:rsidR="00DB23EE" w:rsidRPr="00BD1319" w:rsidRDefault="00DB23EE" w:rsidP="00DB23EE">
      <w:pPr>
        <w:numPr>
          <w:ilvl w:val="12"/>
          <w:numId w:val="0"/>
        </w:numPr>
        <w:tabs>
          <w:tab w:val="left" w:pos="-2268"/>
        </w:tabs>
        <w:suppressAutoHyphens/>
        <w:rPr>
          <w:spacing w:val="-3"/>
        </w:rPr>
      </w:pPr>
      <w:r w:rsidRPr="00BD1319">
        <w:rPr>
          <w:spacing w:val="-3"/>
        </w:rPr>
        <w:t>El software de modelación acústica, así como los métodos de cálculo empleados en éste, deben considerar estándares de calidad y lineamientos en relación con su adecuada ejecución que garanticen la rigurosidad (p. ej. sistemas de calidad ISO 17534) y la correcta aplicación del correspondiente estándar (p. ej. ISO 9613), considerando las versiones más actualizadas de los métodos aplicables en cada caso con el fin de asegurar la calidad de los resultados; adicionalmente debe presentar los programas de validación, actualización y mejora continua de los algoritmos de cálculo.</w:t>
      </w:r>
    </w:p>
    <w:p w14:paraId="419D2970" w14:textId="28320FA4" w:rsidR="00DB23EE" w:rsidRPr="00BD1319" w:rsidRDefault="00DB23EE" w:rsidP="00DB23EE">
      <w:pPr>
        <w:numPr>
          <w:ilvl w:val="12"/>
          <w:numId w:val="0"/>
        </w:numPr>
        <w:tabs>
          <w:tab w:val="left" w:pos="-2268"/>
        </w:tabs>
        <w:suppressAutoHyphens/>
        <w:rPr>
          <w:spacing w:val="-3"/>
        </w:rPr>
      </w:pPr>
    </w:p>
    <w:p w14:paraId="454B923E" w14:textId="6A8ABF86" w:rsidR="00DB23EE" w:rsidRPr="00BD1319" w:rsidRDefault="00DB23EE" w:rsidP="00DB23EE">
      <w:pPr>
        <w:numPr>
          <w:ilvl w:val="12"/>
          <w:numId w:val="0"/>
        </w:numPr>
        <w:tabs>
          <w:tab w:val="left" w:pos="-2268"/>
        </w:tabs>
        <w:suppressAutoHyphens/>
        <w:rPr>
          <w:spacing w:val="-3"/>
        </w:rPr>
      </w:pPr>
      <w:r w:rsidRPr="00BD1319">
        <w:rPr>
          <w:spacing w:val="-3"/>
        </w:rPr>
        <w:t xml:space="preserve">La selección del método de estimación de ruido debe tener plena correspondencia con el tipo de fuente objeto de estudio y el descriptor de ruido que se desea conocer (p. ej. LAeq, </w:t>
      </w:r>
      <w:proofErr w:type="spellStart"/>
      <w:r w:rsidRPr="00BD1319">
        <w:rPr>
          <w:spacing w:val="-3"/>
        </w:rPr>
        <w:t>Ld</w:t>
      </w:r>
      <w:proofErr w:type="spellEnd"/>
      <w:r w:rsidRPr="00BD1319">
        <w:rPr>
          <w:spacing w:val="-3"/>
        </w:rPr>
        <w:t xml:space="preserve"> y </w:t>
      </w:r>
      <w:proofErr w:type="spellStart"/>
      <w:r w:rsidRPr="00BD1319">
        <w:rPr>
          <w:spacing w:val="-3"/>
        </w:rPr>
        <w:t>Ln</w:t>
      </w:r>
      <w:proofErr w:type="spellEnd"/>
      <w:r w:rsidRPr="00BD1319">
        <w:rPr>
          <w:spacing w:val="-3"/>
        </w:rPr>
        <w:t xml:space="preserve">) respecto al tráfico vehicular, </w:t>
      </w:r>
      <w:proofErr w:type="spellStart"/>
      <w:r w:rsidRPr="00BD1319">
        <w:rPr>
          <w:spacing w:val="-3"/>
        </w:rPr>
        <w:t>trafico</w:t>
      </w:r>
      <w:proofErr w:type="spellEnd"/>
      <w:r w:rsidRPr="00BD1319">
        <w:rPr>
          <w:spacing w:val="-3"/>
        </w:rPr>
        <w:t xml:space="preserve"> férreo o tráfico aéreo. Debe tenerse en cuenta que a pesar de que existen numerosos métodos de estimación de niveles de ruido, la mayoría de éstos emplean variables estrictamente asociadas a la naturaleza de la fuente que pueden ser comunes entre métodos, como es el caso de las categorías o tipos de vehículos (pesados – livianos – categorías abiertas), velocidad de la vía, tipo de superficie de rodadura o rugosidad, características del tipo de tráfico, diseño de los ejes viales, tipo de vías (p. ej. viaductos o puentes) y condiciones meteorológicas.</w:t>
      </w:r>
    </w:p>
    <w:p w14:paraId="7F362538" w14:textId="2479FC3B" w:rsidR="00DB23EE" w:rsidRPr="00BD1319" w:rsidRDefault="00DB23EE" w:rsidP="00DB23EE">
      <w:pPr>
        <w:numPr>
          <w:ilvl w:val="12"/>
          <w:numId w:val="0"/>
        </w:numPr>
        <w:tabs>
          <w:tab w:val="left" w:pos="-2268"/>
        </w:tabs>
        <w:suppressAutoHyphens/>
        <w:rPr>
          <w:spacing w:val="-3"/>
        </w:rPr>
      </w:pPr>
    </w:p>
    <w:p w14:paraId="5B3EC73C" w14:textId="67E257BC" w:rsidR="00DB23EE" w:rsidRPr="00BD1319" w:rsidRDefault="00DB23EE" w:rsidP="00DB23EE">
      <w:pPr>
        <w:numPr>
          <w:ilvl w:val="12"/>
          <w:numId w:val="0"/>
        </w:numPr>
        <w:tabs>
          <w:tab w:val="left" w:pos="-2268"/>
        </w:tabs>
        <w:suppressAutoHyphens/>
        <w:rPr>
          <w:spacing w:val="-3"/>
        </w:rPr>
      </w:pPr>
      <w:r w:rsidRPr="00BD1319">
        <w:rPr>
          <w:spacing w:val="-3"/>
        </w:rPr>
        <w:t xml:space="preserve">De acuerdo con lo anterior se debe señalar el método empleado, la relación de las variables tenidas en cuenta y sus respectivos coeficientes, la identificación y clasificación clara de los tramos viales (tráfico vehicular o férreo) y la relación de los supuestos empleados en el </w:t>
      </w:r>
      <w:r w:rsidRPr="00BD1319">
        <w:rPr>
          <w:spacing w:val="-3"/>
        </w:rPr>
        <w:lastRenderedPageBreak/>
        <w:t>cálculo, los cuales deben corresponder a la condición de mayor criticidad de emisión de ruido.</w:t>
      </w:r>
    </w:p>
    <w:p w14:paraId="126E263C" w14:textId="714CC240" w:rsidR="00DB23EE" w:rsidRPr="00BD1319" w:rsidRDefault="00DB23EE" w:rsidP="00DB23EE">
      <w:pPr>
        <w:numPr>
          <w:ilvl w:val="12"/>
          <w:numId w:val="0"/>
        </w:numPr>
        <w:tabs>
          <w:tab w:val="left" w:pos="-2268"/>
        </w:tabs>
        <w:suppressAutoHyphens/>
        <w:rPr>
          <w:spacing w:val="-3"/>
        </w:rPr>
      </w:pPr>
    </w:p>
    <w:p w14:paraId="267AFDC8" w14:textId="7AFE5F71" w:rsidR="00DB23EE" w:rsidRPr="00BD1319" w:rsidRDefault="00DB23EE" w:rsidP="00DB23EE">
      <w:pPr>
        <w:numPr>
          <w:ilvl w:val="12"/>
          <w:numId w:val="0"/>
        </w:numPr>
        <w:tabs>
          <w:tab w:val="left" w:pos="-2268"/>
        </w:tabs>
        <w:suppressAutoHyphens/>
        <w:rPr>
          <w:spacing w:val="-3"/>
        </w:rPr>
      </w:pPr>
      <w:r w:rsidRPr="00BD1319">
        <w:rPr>
          <w:spacing w:val="-3"/>
        </w:rPr>
        <w:t>Respecto a la evaluación de ruido asociado al tráfico aéreo, para calcular las curvas de nivel de ruido en torno a los aeropuertos, se debe emplear el método recomendado por la Organización de Aviación Civil Internacional (OACI).</w:t>
      </w:r>
    </w:p>
    <w:p w14:paraId="159C4937" w14:textId="77777777" w:rsidR="00DB23EE" w:rsidRPr="00BD1319" w:rsidRDefault="00DB23EE" w:rsidP="00D21627">
      <w:pPr>
        <w:numPr>
          <w:ilvl w:val="12"/>
          <w:numId w:val="0"/>
        </w:numPr>
        <w:tabs>
          <w:tab w:val="left" w:pos="-2268"/>
        </w:tabs>
        <w:suppressAutoHyphens/>
        <w:rPr>
          <w:spacing w:val="-3"/>
        </w:rPr>
      </w:pPr>
    </w:p>
    <w:p w14:paraId="6113C725" w14:textId="2358ADCF" w:rsidR="00D22CB0" w:rsidRPr="00BD1319" w:rsidRDefault="00D21627" w:rsidP="00D21627">
      <w:pPr>
        <w:suppressAutoHyphens/>
        <w:rPr>
          <w:rFonts w:cs="Arial"/>
          <w:spacing w:val="-3"/>
        </w:rPr>
      </w:pPr>
      <w:r w:rsidRPr="00BD1319">
        <w:rPr>
          <w:spacing w:val="-3"/>
        </w:rPr>
        <w:t>Los resultados de dichos modelos deben permitir evidenciar por medio de un descriptor acústico la emisión de ruido crítica del proyecto, obra o actividad, así como la determinación de los conflictos de uso de suelo relacionados con la cobertura de ruido o isolíneas (isófonas), los instrumentos de ordenamiento territorial y los niveles de rudo establecidos para los sectores y subsectores de la Resolución 627 de 2006 o aquella que la que la modifique o sustituya, identificando los receptores sensibles presentes en el área de influencia del componente</w:t>
      </w:r>
      <w:r w:rsidR="00D22CB0" w:rsidRPr="00BD1319">
        <w:rPr>
          <w:rFonts w:cs="Arial"/>
          <w:spacing w:val="-3"/>
        </w:rPr>
        <w:t>.</w:t>
      </w:r>
    </w:p>
    <w:p w14:paraId="4ECBCB67" w14:textId="77777777" w:rsidR="00D22CB0" w:rsidRPr="00BD1319" w:rsidRDefault="00D22CB0" w:rsidP="00D21627">
      <w:pPr>
        <w:numPr>
          <w:ilvl w:val="12"/>
          <w:numId w:val="0"/>
        </w:numPr>
        <w:tabs>
          <w:tab w:val="left" w:pos="-2268"/>
        </w:tabs>
        <w:suppressAutoHyphens/>
        <w:rPr>
          <w:rFonts w:cs="Arial"/>
          <w:spacing w:val="-3"/>
        </w:rPr>
      </w:pPr>
    </w:p>
    <w:p w14:paraId="7B471D02" w14:textId="1C10B38C" w:rsidR="00D22CB0" w:rsidRPr="00BD1319" w:rsidRDefault="00D22CB0" w:rsidP="00D21627">
      <w:pPr>
        <w:numPr>
          <w:ilvl w:val="12"/>
          <w:numId w:val="0"/>
        </w:numPr>
        <w:tabs>
          <w:tab w:val="left" w:pos="-2268"/>
        </w:tabs>
        <w:suppressAutoHyphens/>
        <w:rPr>
          <w:rFonts w:cs="Arial"/>
          <w:spacing w:val="-3"/>
        </w:rPr>
      </w:pPr>
      <w:r w:rsidRPr="00BD1319">
        <w:rPr>
          <w:rFonts w:cs="Arial"/>
          <w:spacing w:val="-3"/>
        </w:rPr>
        <w:t xml:space="preserve">La presentación de resultados de la modelización sobre una situación acústica presente o pronosticada, debe permitir </w:t>
      </w:r>
      <w:r w:rsidR="00DC7B83" w:rsidRPr="00BD1319">
        <w:rPr>
          <w:rFonts w:cs="Arial"/>
          <w:spacing w:val="-3"/>
        </w:rPr>
        <w:t xml:space="preserve">determinar </w:t>
      </w:r>
      <w:r w:rsidRPr="00BD1319">
        <w:rPr>
          <w:rFonts w:cs="Arial"/>
          <w:spacing w:val="-3"/>
        </w:rPr>
        <w:t>lo siguiente:</w:t>
      </w:r>
    </w:p>
    <w:p w14:paraId="7230D9D3" w14:textId="77777777" w:rsidR="00D22CB0" w:rsidRPr="00BD1319" w:rsidRDefault="00D22CB0" w:rsidP="00D21627">
      <w:pPr>
        <w:numPr>
          <w:ilvl w:val="12"/>
          <w:numId w:val="0"/>
        </w:numPr>
        <w:tabs>
          <w:tab w:val="left" w:pos="-2268"/>
        </w:tabs>
        <w:suppressAutoHyphens/>
        <w:rPr>
          <w:rFonts w:cs="Arial"/>
          <w:spacing w:val="-3"/>
        </w:rPr>
      </w:pPr>
    </w:p>
    <w:p w14:paraId="5721567B" w14:textId="77777777" w:rsidR="00D22CB0" w:rsidRPr="00BD1319" w:rsidRDefault="00D22CB0" w:rsidP="00D21627">
      <w:pPr>
        <w:pStyle w:val="Textocomentario"/>
        <w:numPr>
          <w:ilvl w:val="0"/>
          <w:numId w:val="59"/>
        </w:numPr>
        <w:ind w:left="567" w:hanging="567"/>
        <w:rPr>
          <w:rFonts w:cs="Arial"/>
        </w:rPr>
      </w:pPr>
      <w:r w:rsidRPr="00BD1319">
        <w:rPr>
          <w:rFonts w:cs="Arial"/>
        </w:rPr>
        <w:t>Nivel de ruido sobre cada receptor inventariado previamente y sobre la ubicación de los puntos de monitoreo de línea base, para cada escenario evaluado.</w:t>
      </w:r>
    </w:p>
    <w:p w14:paraId="34FF9D01" w14:textId="77777777" w:rsidR="00D22CB0" w:rsidRPr="00BD1319" w:rsidRDefault="00D22CB0" w:rsidP="00D21627">
      <w:pPr>
        <w:pStyle w:val="Textocomentario"/>
        <w:rPr>
          <w:rFonts w:cs="Arial"/>
        </w:rPr>
      </w:pPr>
    </w:p>
    <w:p w14:paraId="4D36ED8E" w14:textId="5FC99D49" w:rsidR="00D22CB0" w:rsidRPr="00BD1319" w:rsidRDefault="00D22CB0" w:rsidP="00D21627">
      <w:pPr>
        <w:pStyle w:val="Textocomentario"/>
        <w:numPr>
          <w:ilvl w:val="0"/>
          <w:numId w:val="59"/>
        </w:numPr>
        <w:ind w:left="567" w:hanging="567"/>
        <w:rPr>
          <w:rFonts w:cs="Arial"/>
        </w:rPr>
      </w:pPr>
      <w:r w:rsidRPr="00BD1319">
        <w:rPr>
          <w:rFonts w:cs="Arial"/>
        </w:rPr>
        <w:t>Aporte de ruido de la fuente sobre receptores evaluados y puntos de monitoreo de ruido ambiente tomando como referencia los monitoreos de ruido ambient</w:t>
      </w:r>
      <w:r w:rsidR="00D21627" w:rsidRPr="00BD1319">
        <w:rPr>
          <w:rFonts w:cs="Arial"/>
        </w:rPr>
        <w:t>al</w:t>
      </w:r>
      <w:r w:rsidRPr="00BD1319">
        <w:rPr>
          <w:rFonts w:cs="Arial"/>
        </w:rPr>
        <w:t xml:space="preserve"> línea base del proyecto, para cada escenario evaluado.</w:t>
      </w:r>
    </w:p>
    <w:p w14:paraId="4F443148" w14:textId="77777777" w:rsidR="00D22CB0" w:rsidRPr="00BD1319" w:rsidRDefault="00D22CB0" w:rsidP="00D21627">
      <w:pPr>
        <w:numPr>
          <w:ilvl w:val="12"/>
          <w:numId w:val="0"/>
        </w:numPr>
        <w:tabs>
          <w:tab w:val="left" w:pos="-2268"/>
        </w:tabs>
        <w:suppressAutoHyphens/>
        <w:rPr>
          <w:rFonts w:cs="Arial"/>
          <w:spacing w:val="-3"/>
        </w:rPr>
      </w:pPr>
    </w:p>
    <w:p w14:paraId="0623890D" w14:textId="68AB3FFA" w:rsidR="00D22CB0" w:rsidRPr="00BD1319" w:rsidRDefault="00D22CB0" w:rsidP="00D21627">
      <w:pPr>
        <w:numPr>
          <w:ilvl w:val="12"/>
          <w:numId w:val="0"/>
        </w:numPr>
        <w:tabs>
          <w:tab w:val="left" w:pos="-2268"/>
        </w:tabs>
        <w:suppressAutoHyphens/>
        <w:rPr>
          <w:rFonts w:cs="Arial"/>
          <w:spacing w:val="-3"/>
        </w:rPr>
      </w:pPr>
      <w:r w:rsidRPr="00BD1319">
        <w:rPr>
          <w:rFonts w:cs="Arial"/>
          <w:spacing w:val="-3"/>
        </w:rPr>
        <w:t>Para aquellos proyectos que no presenten modelización de línea base debido a las condiciones inexistentes de fuentes de tráfico vehicular, se debe tomar como valor inicial los niveles línea base monitoreados en la zona como insumo para evaluar el aporte de ruido para cada escenario de model</w:t>
      </w:r>
      <w:r w:rsidR="00A60447" w:rsidRPr="00BD1319">
        <w:rPr>
          <w:rFonts w:cs="Arial"/>
          <w:spacing w:val="-3"/>
        </w:rPr>
        <w:t>iz</w:t>
      </w:r>
      <w:r w:rsidRPr="00BD1319">
        <w:rPr>
          <w:rFonts w:cs="Arial"/>
          <w:spacing w:val="-3"/>
        </w:rPr>
        <w:t>ación evaluado.</w:t>
      </w:r>
    </w:p>
    <w:p w14:paraId="1C4D6ECC" w14:textId="77777777" w:rsidR="00D22CB0" w:rsidRPr="00BD1319" w:rsidRDefault="00D22CB0" w:rsidP="00D21627">
      <w:pPr>
        <w:numPr>
          <w:ilvl w:val="12"/>
          <w:numId w:val="0"/>
        </w:numPr>
        <w:tabs>
          <w:tab w:val="left" w:pos="-2268"/>
        </w:tabs>
        <w:suppressAutoHyphens/>
        <w:rPr>
          <w:rFonts w:cs="Arial"/>
          <w:spacing w:val="-3"/>
        </w:rPr>
      </w:pPr>
    </w:p>
    <w:p w14:paraId="2640A67E" w14:textId="52D51A6A" w:rsidR="00D21627" w:rsidRPr="00BD1319" w:rsidRDefault="00D21627" w:rsidP="00D21627">
      <w:pPr>
        <w:numPr>
          <w:ilvl w:val="12"/>
          <w:numId w:val="0"/>
        </w:numPr>
        <w:tabs>
          <w:tab w:val="left" w:pos="-2268"/>
        </w:tabs>
        <w:suppressAutoHyphens/>
        <w:rPr>
          <w:rFonts w:cs="Arial"/>
          <w:spacing w:val="-3"/>
        </w:rPr>
      </w:pPr>
      <w:r w:rsidRPr="00BD1319">
        <w:rPr>
          <w:rFonts w:cs="Arial"/>
          <w:spacing w:val="-3"/>
        </w:rPr>
        <w:t>Además del modelo y sus resultados, se debe presentar un documento técnico que detalle el proceso metodológico utilizado, los insumos, la configuración del proceso de cálculo, el listado de fuentes, la descripción de escenarios y toda aquella información relevante para el proceso de modelización.</w:t>
      </w:r>
    </w:p>
    <w:p w14:paraId="47FFE63E" w14:textId="77777777" w:rsidR="00D21627" w:rsidRPr="00BD1319" w:rsidRDefault="00D21627" w:rsidP="00D21627">
      <w:pPr>
        <w:numPr>
          <w:ilvl w:val="12"/>
          <w:numId w:val="0"/>
        </w:numPr>
        <w:tabs>
          <w:tab w:val="left" w:pos="-2268"/>
        </w:tabs>
        <w:suppressAutoHyphens/>
        <w:rPr>
          <w:rFonts w:cs="Arial"/>
          <w:spacing w:val="-3"/>
        </w:rPr>
      </w:pPr>
    </w:p>
    <w:p w14:paraId="61A04EFD" w14:textId="77777777" w:rsidR="00D22CB0" w:rsidRPr="00BD1319" w:rsidRDefault="00D22CB0" w:rsidP="00D21627">
      <w:pPr>
        <w:numPr>
          <w:ilvl w:val="12"/>
          <w:numId w:val="0"/>
        </w:numPr>
        <w:tabs>
          <w:tab w:val="left" w:pos="-2268"/>
        </w:tabs>
        <w:suppressAutoHyphens/>
        <w:rPr>
          <w:rFonts w:cs="Arial"/>
          <w:spacing w:val="-3"/>
        </w:rPr>
      </w:pPr>
      <w:r w:rsidRPr="00BD1319">
        <w:rPr>
          <w:rFonts w:cs="Arial"/>
          <w:spacing w:val="-3"/>
        </w:rPr>
        <w:t>Dentro de la información asociada a las simulaciones de ruido para los proyectos se debe tener en cuenta lo siguiente:</w:t>
      </w:r>
    </w:p>
    <w:p w14:paraId="5E0339AB" w14:textId="77777777" w:rsidR="00D22CB0" w:rsidRPr="00BD1319" w:rsidRDefault="00D22CB0" w:rsidP="000D6E21">
      <w:pPr>
        <w:numPr>
          <w:ilvl w:val="12"/>
          <w:numId w:val="0"/>
        </w:numPr>
        <w:tabs>
          <w:tab w:val="left" w:pos="-2268"/>
        </w:tabs>
        <w:suppressAutoHyphens/>
        <w:ind w:left="709"/>
        <w:rPr>
          <w:rFonts w:cs="Arial"/>
          <w:spacing w:val="-3"/>
        </w:rPr>
      </w:pPr>
    </w:p>
    <w:p w14:paraId="3CC83554" w14:textId="48D1FFE0" w:rsidR="00D22CB0" w:rsidRPr="00BD1319" w:rsidRDefault="439A4240" w:rsidP="00D21627">
      <w:pPr>
        <w:pStyle w:val="Textocomentario"/>
        <w:numPr>
          <w:ilvl w:val="0"/>
          <w:numId w:val="59"/>
        </w:numPr>
        <w:ind w:left="567" w:hanging="567"/>
        <w:rPr>
          <w:rFonts w:cs="Arial"/>
        </w:rPr>
      </w:pPr>
      <w:r w:rsidRPr="00BD1319">
        <w:rPr>
          <w:rFonts w:cs="Arial"/>
        </w:rPr>
        <w:t xml:space="preserve">La modelización debe realizarse tomando como base </w:t>
      </w:r>
      <w:r w:rsidR="00D21627" w:rsidRPr="00BD1319">
        <w:rPr>
          <w:rFonts w:cs="Arial"/>
        </w:rPr>
        <w:t xml:space="preserve">un estándar que permita la caracterización y evaluación de la fuente de ruido objeto de análisis (p. ej. ISO 9613) </w:t>
      </w:r>
      <w:r w:rsidRPr="00BD1319">
        <w:rPr>
          <w:rFonts w:cs="Arial"/>
        </w:rPr>
        <w:t xml:space="preserve">y de forma complementaria para la obtención de datos de entrada al modelo y configuración de motores de cálculo, acogerse a recomendaciones internacionales </w:t>
      </w:r>
      <w:r w:rsidRPr="00BD1319">
        <w:rPr>
          <w:rFonts w:cs="Arial"/>
        </w:rPr>
        <w:lastRenderedPageBreak/>
        <w:t>que cuenten con rigor científico (</w:t>
      </w:r>
      <w:r w:rsidR="00041844" w:rsidRPr="00BD1319">
        <w:rPr>
          <w:rFonts w:cs="Arial"/>
        </w:rPr>
        <w:t>p. ej.</w:t>
      </w:r>
      <w:r w:rsidRPr="00BD1319">
        <w:rPr>
          <w:rFonts w:cs="Arial"/>
        </w:rPr>
        <w:t xml:space="preserve"> estándares internacionales, bases de datos de potencia sonora y de tipos de superficies). Adicionalmente se debe informar sobre el uso de métodos complementarios para cálculo de emisiones (provenientes de tráfico rodado, trenes, aeronaves, maquinaria, o cualquier otra fuente de emisión de ruido relevante), dichos modelos deben indicar supuestos, consideraciones y limitaciones de la información ingresada al software y de los resultados obtenidos. Para aquellos proyectos que por sus características presenten condiciones de operación industrial (</w:t>
      </w:r>
      <w:r w:rsidR="00041844" w:rsidRPr="00BD1319">
        <w:rPr>
          <w:rFonts w:cs="Arial"/>
        </w:rPr>
        <w:t>p. ej.</w:t>
      </w:r>
      <w:r w:rsidRPr="00BD1319">
        <w:rPr>
          <w:rFonts w:cs="Arial"/>
        </w:rPr>
        <w:t xml:space="preserve"> zonas portuarias), se debe tomar como referencia la información asociada al inventario de fuentes y su dispersión de acuerdo con un modelo de cálculo (estándar internacional ISO 9613).</w:t>
      </w:r>
    </w:p>
    <w:p w14:paraId="67B2BA0B" w14:textId="77777777" w:rsidR="00D22CB0" w:rsidRPr="00BD1319" w:rsidRDefault="00D22CB0" w:rsidP="000D6E21">
      <w:pPr>
        <w:pStyle w:val="Textocomentario"/>
        <w:ind w:left="567"/>
      </w:pPr>
    </w:p>
    <w:p w14:paraId="4E9832BA" w14:textId="11F8350A" w:rsidR="00D22CB0" w:rsidRPr="00BD1319" w:rsidRDefault="00D22CB0" w:rsidP="00D21627">
      <w:pPr>
        <w:pStyle w:val="Textocomentario"/>
        <w:numPr>
          <w:ilvl w:val="0"/>
          <w:numId w:val="59"/>
        </w:numPr>
        <w:ind w:left="567" w:hanging="567"/>
        <w:rPr>
          <w:rFonts w:cs="Arial"/>
        </w:rPr>
      </w:pPr>
      <w:r w:rsidRPr="00BD1319">
        <w:t xml:space="preserve">Topografía (modelo digital de elevación de terreno). </w:t>
      </w:r>
      <w:r w:rsidRPr="00BD1319">
        <w:rPr>
          <w:rFonts w:cs="Arial"/>
        </w:rPr>
        <w:t xml:space="preserve">Para calcular las emisiones </w:t>
      </w:r>
      <w:r w:rsidR="00D21627" w:rsidRPr="00BD1319">
        <w:rPr>
          <w:rFonts w:cs="Arial"/>
        </w:rPr>
        <w:t xml:space="preserve">de ruido </w:t>
      </w:r>
      <w:r w:rsidRPr="00BD1319">
        <w:rPr>
          <w:rFonts w:cs="Arial"/>
        </w:rPr>
        <w:t xml:space="preserve">se debe contar con un modelo digital de terreno que represente las condiciones del </w:t>
      </w:r>
      <w:r w:rsidR="00D21627" w:rsidRPr="00BD1319">
        <w:rPr>
          <w:rFonts w:cs="Arial"/>
        </w:rPr>
        <w:t xml:space="preserve">terreno </w:t>
      </w:r>
      <w:r w:rsidRPr="00BD1319">
        <w:rPr>
          <w:rFonts w:cs="Arial"/>
        </w:rPr>
        <w:t>del proyecto</w:t>
      </w:r>
      <w:r w:rsidRPr="00BD1319">
        <w:rPr>
          <w:spacing w:val="-3"/>
        </w:rPr>
        <w:t>, obra o actividad</w:t>
      </w:r>
      <w:r w:rsidRPr="00BD1319">
        <w:rPr>
          <w:rFonts w:cs="Arial"/>
        </w:rPr>
        <w:t xml:space="preserve"> y su área de influencia. Dicho modelo debe corresponder a las particularidades del terreno donde se consideren las fuentes de emisión, de tal manera que la escala o resolución de éste represente los obstáculos que influyen en la propagación del </w:t>
      </w:r>
      <w:r w:rsidR="00D21627" w:rsidRPr="00BD1319">
        <w:rPr>
          <w:rFonts w:cs="Arial"/>
        </w:rPr>
        <w:t xml:space="preserve">ruido </w:t>
      </w:r>
      <w:r w:rsidRPr="00BD1319">
        <w:rPr>
          <w:rFonts w:cs="Arial"/>
        </w:rPr>
        <w:t>entre la fuente y el receptor (zanjas, terraplenes, desniveles, áreas llanas) a fin de minimizar la incertidumbre de los resultados obtenidos.</w:t>
      </w:r>
    </w:p>
    <w:p w14:paraId="3FDEF7A4" w14:textId="77777777" w:rsidR="00D22CB0" w:rsidRPr="00BD1319" w:rsidRDefault="00D22CB0" w:rsidP="00D21627">
      <w:pPr>
        <w:pStyle w:val="Prrafodelista"/>
        <w:ind w:left="567" w:hanging="567"/>
        <w:rPr>
          <w:rFonts w:cs="Arial"/>
          <w:lang w:val="es-CO"/>
        </w:rPr>
      </w:pPr>
    </w:p>
    <w:p w14:paraId="67CF21E5" w14:textId="7A176891" w:rsidR="00D22CB0" w:rsidRPr="00BD1319" w:rsidRDefault="00D22CB0" w:rsidP="00D21627">
      <w:pPr>
        <w:pStyle w:val="Textocomentario"/>
        <w:numPr>
          <w:ilvl w:val="0"/>
          <w:numId w:val="59"/>
        </w:numPr>
        <w:ind w:left="567" w:hanging="567"/>
        <w:rPr>
          <w:rFonts w:cs="Arial"/>
        </w:rPr>
      </w:pPr>
      <w:r w:rsidRPr="00BD1319">
        <w:rPr>
          <w:rFonts w:cs="Arial"/>
        </w:rPr>
        <w:t>Para modelos digitales de superficie obtenidos a partir de sensores remotos, se debe revisar si la información representa la geometría del terreno adecuadamente, para</w:t>
      </w:r>
      <w:r w:rsidR="00D21627" w:rsidRPr="00BD1319">
        <w:rPr>
          <w:rFonts w:cs="Arial"/>
        </w:rPr>
        <w:t>,</w:t>
      </w:r>
      <w:r w:rsidRPr="00BD1319">
        <w:rPr>
          <w:rFonts w:cs="Arial"/>
        </w:rPr>
        <w:t xml:space="preserve"> en un proceso posterior ser tratada en los software de model</w:t>
      </w:r>
      <w:r w:rsidR="00A60447" w:rsidRPr="00BD1319">
        <w:rPr>
          <w:rFonts w:cs="Arial"/>
        </w:rPr>
        <w:t>iz</w:t>
      </w:r>
      <w:r w:rsidRPr="00BD1319">
        <w:rPr>
          <w:rFonts w:cs="Arial"/>
        </w:rPr>
        <w:t>ación, de lo contrario se recomienda realizar una adecuación de los mismos a fin de obtener un plano representativo del área con el fin de evitar incorporar elementos no representativos del terreno que generen distorsión en los resultados y no corresponden con la realidad ambiental del área de influencia o del proyecto, obra o actividad.</w:t>
      </w:r>
    </w:p>
    <w:p w14:paraId="10544DCC" w14:textId="77777777" w:rsidR="00D22CB0" w:rsidRPr="00BD1319" w:rsidRDefault="00D22CB0" w:rsidP="00D21627">
      <w:pPr>
        <w:pStyle w:val="Prrafodelista"/>
        <w:ind w:left="567" w:hanging="567"/>
        <w:rPr>
          <w:rFonts w:cs="Arial"/>
          <w:lang w:val="es-CO"/>
        </w:rPr>
      </w:pPr>
    </w:p>
    <w:p w14:paraId="0D394B67" w14:textId="6F137BC2" w:rsidR="00D22CB0" w:rsidRPr="00BD1319" w:rsidRDefault="00D22CB0" w:rsidP="00D21627">
      <w:pPr>
        <w:pStyle w:val="Textocomentario"/>
        <w:numPr>
          <w:ilvl w:val="0"/>
          <w:numId w:val="59"/>
        </w:numPr>
        <w:ind w:left="567" w:hanging="567"/>
        <w:rPr>
          <w:rFonts w:cs="Arial"/>
        </w:rPr>
      </w:pPr>
      <w:r w:rsidRPr="00BD1319">
        <w:rPr>
          <w:rFonts w:cs="Arial"/>
        </w:rPr>
        <w:t>El modelo de terreno debe abarcar el área total de cálculo o dominio de model</w:t>
      </w:r>
      <w:r w:rsidR="00A60447" w:rsidRPr="00BD1319">
        <w:rPr>
          <w:rFonts w:cs="Arial"/>
        </w:rPr>
        <w:t>iz</w:t>
      </w:r>
      <w:r w:rsidRPr="00BD1319">
        <w:rPr>
          <w:rFonts w:cs="Arial"/>
        </w:rPr>
        <w:t xml:space="preserve">ación, la cual debe incluir como mínimo los receptores identificados previamente </w:t>
      </w:r>
      <w:r w:rsidR="00D21627" w:rsidRPr="00BD1319">
        <w:rPr>
          <w:rFonts w:cs="Arial"/>
        </w:rPr>
        <w:t>y las principales fuentes de emisión de ruido existentes en el área de influencia (p. ej. vías)</w:t>
      </w:r>
      <w:r w:rsidRPr="00BD1319">
        <w:rPr>
          <w:rFonts w:cs="Arial"/>
        </w:rPr>
        <w:t>; se deben adjuntar archivos de entrada, de salida al motor de cálculo y archivos del modelo digital de elevación de terreno (curvas de nivel o puntos de elevación).</w:t>
      </w:r>
    </w:p>
    <w:p w14:paraId="6A0E5C0C" w14:textId="77777777" w:rsidR="00D22CB0" w:rsidRPr="00BD1319" w:rsidRDefault="00D22CB0" w:rsidP="00D21627">
      <w:pPr>
        <w:tabs>
          <w:tab w:val="left" w:pos="-2268"/>
        </w:tabs>
        <w:suppressAutoHyphens/>
        <w:ind w:left="567" w:hanging="567"/>
        <w:rPr>
          <w:rFonts w:cs="Arial"/>
          <w:spacing w:val="-3"/>
        </w:rPr>
      </w:pPr>
    </w:p>
    <w:p w14:paraId="43EE29F3" w14:textId="597FAFB2" w:rsidR="00D22CB0" w:rsidRPr="00BD1319" w:rsidRDefault="00D22CB0" w:rsidP="00D21627">
      <w:pPr>
        <w:pStyle w:val="Prrafodelista"/>
        <w:numPr>
          <w:ilvl w:val="0"/>
          <w:numId w:val="59"/>
        </w:numPr>
        <w:suppressAutoHyphens/>
        <w:ind w:left="567" w:hanging="567"/>
        <w:rPr>
          <w:rFonts w:cs="Arial"/>
          <w:spacing w:val="-3"/>
          <w:lang w:val="es-CO"/>
        </w:rPr>
      </w:pPr>
      <w:r w:rsidRPr="00BD1319">
        <w:rPr>
          <w:rFonts w:cs="Arial"/>
          <w:spacing w:val="-3"/>
          <w:lang w:val="es-CO"/>
        </w:rPr>
        <w:t xml:space="preserve">Adjuntar memorias de cálculo de potencia </w:t>
      </w:r>
      <w:r w:rsidR="00D21627" w:rsidRPr="00BD1319">
        <w:rPr>
          <w:rFonts w:cs="Arial"/>
          <w:spacing w:val="-3"/>
          <w:lang w:val="es-CO"/>
        </w:rPr>
        <w:t xml:space="preserve">sonora </w:t>
      </w:r>
      <w:r w:rsidRPr="00BD1319">
        <w:rPr>
          <w:rFonts w:cs="Arial"/>
          <w:spacing w:val="-3"/>
          <w:lang w:val="es-CO"/>
        </w:rPr>
        <w:t>de cada fuente (puntual, de área y lineal), así como los soportes en formatos de archivos intercambiable (editables), según el MAG.</w:t>
      </w:r>
    </w:p>
    <w:p w14:paraId="22CC3734" w14:textId="77777777" w:rsidR="00D22CB0" w:rsidRPr="00BD1319" w:rsidRDefault="00D22CB0" w:rsidP="00D21627">
      <w:pPr>
        <w:tabs>
          <w:tab w:val="left" w:pos="-2268"/>
        </w:tabs>
        <w:suppressAutoHyphens/>
        <w:ind w:left="567" w:hanging="567"/>
        <w:rPr>
          <w:spacing w:val="-3"/>
        </w:rPr>
      </w:pPr>
    </w:p>
    <w:p w14:paraId="0F6E9D43" w14:textId="391A12C7" w:rsidR="00D22CB0" w:rsidRPr="00BD1319" w:rsidRDefault="00D22CB0" w:rsidP="00D21627">
      <w:pPr>
        <w:pStyle w:val="Prrafodelista"/>
        <w:numPr>
          <w:ilvl w:val="0"/>
          <w:numId w:val="59"/>
        </w:numPr>
        <w:tabs>
          <w:tab w:val="left" w:pos="-2268"/>
        </w:tabs>
        <w:suppressAutoHyphens/>
        <w:ind w:left="567" w:hanging="567"/>
        <w:rPr>
          <w:rFonts w:cs="Arial"/>
          <w:spacing w:val="-3"/>
          <w:lang w:val="es-CO"/>
        </w:rPr>
      </w:pPr>
      <w:r w:rsidRPr="00BD1319">
        <w:rPr>
          <w:spacing w:val="-3"/>
          <w:lang w:val="es-CO"/>
        </w:rPr>
        <w:t xml:space="preserve">Meteorología: las variables meteorológicas a emplear corresponden a temperatura, presión atmosférica, </w:t>
      </w:r>
      <w:r w:rsidRPr="00BD1319">
        <w:rPr>
          <w:rFonts w:cs="Arial"/>
          <w:spacing w:val="-3"/>
          <w:lang w:val="es-CO"/>
        </w:rPr>
        <w:t xml:space="preserve">humedad relativa, viento (dirección y velocidad); la información </w:t>
      </w:r>
      <w:r w:rsidRPr="00BD1319">
        <w:rPr>
          <w:rFonts w:cs="Arial"/>
          <w:spacing w:val="-3"/>
          <w:lang w:val="es-CO"/>
        </w:rPr>
        <w:lastRenderedPageBreak/>
        <w:t>debe corresponder con los lineamientos establecidos en el numeral sobre Meteorología (</w:t>
      </w:r>
      <w:r w:rsidRPr="00BD1319">
        <w:rPr>
          <w:rFonts w:cs="Arial"/>
          <w:spacing w:val="-3"/>
          <w:lang w:val="es-CO"/>
        </w:rPr>
        <w:fldChar w:fldCharType="begin"/>
      </w:r>
      <w:r w:rsidRPr="00BD1319">
        <w:rPr>
          <w:rFonts w:cs="Arial"/>
          <w:spacing w:val="-3"/>
          <w:lang w:val="es-CO"/>
        </w:rPr>
        <w:instrText xml:space="preserve"> REF _Ref75795536 \r \h </w:instrText>
      </w:r>
      <w:r w:rsidR="006A4128" w:rsidRPr="00BD1319">
        <w:rPr>
          <w:rFonts w:cs="Arial"/>
          <w:spacing w:val="-3"/>
          <w:lang w:val="es-CO"/>
        </w:rPr>
        <w:instrText xml:space="preserve"> \* MERGEFORMAT </w:instrText>
      </w:r>
      <w:r w:rsidRPr="00BD1319">
        <w:rPr>
          <w:rFonts w:cs="Arial"/>
          <w:spacing w:val="-3"/>
          <w:lang w:val="es-CO"/>
        </w:rPr>
      </w:r>
      <w:r w:rsidRPr="00BD1319">
        <w:rPr>
          <w:rFonts w:cs="Arial"/>
          <w:spacing w:val="-3"/>
          <w:lang w:val="es-CO"/>
        </w:rPr>
        <w:fldChar w:fldCharType="separate"/>
      </w:r>
      <w:r w:rsidR="00296654" w:rsidRPr="00BD1319">
        <w:rPr>
          <w:rFonts w:cs="Arial"/>
          <w:spacing w:val="-3"/>
          <w:lang w:val="es-CO"/>
        </w:rPr>
        <w:t>4.1.7.1</w:t>
      </w:r>
      <w:r w:rsidRPr="00BD1319">
        <w:rPr>
          <w:rFonts w:cs="Arial"/>
          <w:spacing w:val="-3"/>
          <w:lang w:val="es-CO"/>
        </w:rPr>
        <w:fldChar w:fldCharType="end"/>
      </w:r>
      <w:r w:rsidRPr="00BD1319">
        <w:rPr>
          <w:rFonts w:cs="Arial"/>
          <w:spacing w:val="-3"/>
          <w:lang w:val="es-CO"/>
        </w:rPr>
        <w:t xml:space="preserve"> del presente capítulo).</w:t>
      </w:r>
    </w:p>
    <w:p w14:paraId="2193BEE0" w14:textId="77777777" w:rsidR="00D22CB0" w:rsidRPr="00BD1319" w:rsidRDefault="00D22CB0" w:rsidP="00D21627">
      <w:pPr>
        <w:pStyle w:val="Prrafodelista"/>
        <w:ind w:left="567" w:hanging="567"/>
        <w:rPr>
          <w:rFonts w:cs="Arial"/>
          <w:spacing w:val="-3"/>
          <w:lang w:val="es-CO"/>
        </w:rPr>
      </w:pPr>
    </w:p>
    <w:p w14:paraId="128548E6" w14:textId="5D359C09" w:rsidR="00D21627" w:rsidRPr="00BD1319" w:rsidRDefault="00D21627" w:rsidP="000D6E21">
      <w:pPr>
        <w:pStyle w:val="Prrafodelista"/>
        <w:numPr>
          <w:ilvl w:val="0"/>
          <w:numId w:val="59"/>
        </w:numPr>
        <w:suppressAutoHyphens/>
        <w:ind w:left="567" w:hanging="567"/>
        <w:rPr>
          <w:rFonts w:cs="Arial"/>
          <w:spacing w:val="-3"/>
          <w:lang w:val="es-CO"/>
        </w:rPr>
      </w:pPr>
      <w:r w:rsidRPr="00BD1319">
        <w:rPr>
          <w:rFonts w:cs="Arial"/>
          <w:spacing w:val="-3"/>
          <w:lang w:val="es-CO"/>
        </w:rPr>
        <w:t>Datos de entrada al modelo: presentar como anexo un inventario de fuentes de ruido (puntuales, de área y lineales) que contenga como mínimo el nombre de la fuente, niveles de potencias sonoras en dB(A) (con valores en 1/1 de octava o 1/3 de octava preferiblemente) y características de la fuente, por ejemplo, dimensiones, capacidad, cantidad de fuentes, coordenadas de ubicación y origen de la información de emisión de ruido (p. ej. estándares internacionales, bibliografía, bases de datos de los software); en el caso de que la emisión de ruido se estime mediante medición directa en la fuente o método analítico, se debe adjuntar la memoria técnica en formato editable que permita su validación y trazabilidad.</w:t>
      </w:r>
    </w:p>
    <w:p w14:paraId="1E4A54C2" w14:textId="77777777" w:rsidR="00D21627" w:rsidRPr="00BD1319" w:rsidRDefault="00D21627" w:rsidP="00D21627">
      <w:pPr>
        <w:pStyle w:val="Prrafodelista"/>
        <w:ind w:left="567" w:hanging="567"/>
        <w:rPr>
          <w:rFonts w:cs="Arial"/>
          <w:spacing w:val="-3"/>
          <w:lang w:val="es-CO"/>
        </w:rPr>
      </w:pPr>
    </w:p>
    <w:p w14:paraId="2AC2AE7F" w14:textId="2D31B4F6" w:rsidR="00D21627" w:rsidRPr="00BD1319" w:rsidRDefault="00D21627" w:rsidP="000D6E21">
      <w:pPr>
        <w:pStyle w:val="Prrafodelista"/>
        <w:numPr>
          <w:ilvl w:val="0"/>
          <w:numId w:val="59"/>
        </w:numPr>
        <w:suppressAutoHyphens/>
        <w:ind w:left="567" w:hanging="567"/>
        <w:rPr>
          <w:rFonts w:cs="Arial"/>
          <w:spacing w:val="-3"/>
          <w:lang w:val="es-CO"/>
        </w:rPr>
      </w:pPr>
      <w:r w:rsidRPr="00BD1319">
        <w:rPr>
          <w:rFonts w:cs="Arial"/>
          <w:spacing w:val="-3"/>
          <w:lang w:val="es-CO"/>
        </w:rPr>
        <w:t>Las fuentes puntuales, lineales o de área deben estar codificadas inequívocamente de forma que sea posible identificarlas en el documento, en el anexo del que trata el ítem anterior, así como en el software de modelación.</w:t>
      </w:r>
    </w:p>
    <w:p w14:paraId="0E6B1B91" w14:textId="3E040F2D" w:rsidR="00D22CB0" w:rsidRPr="00BD1319" w:rsidRDefault="00D22CB0" w:rsidP="00D21627">
      <w:pPr>
        <w:tabs>
          <w:tab w:val="left" w:pos="-2268"/>
        </w:tabs>
        <w:suppressAutoHyphens/>
        <w:ind w:left="567" w:hanging="567"/>
        <w:rPr>
          <w:rFonts w:cs="Arial"/>
          <w:spacing w:val="-3"/>
        </w:rPr>
      </w:pPr>
    </w:p>
    <w:p w14:paraId="3E0D3030" w14:textId="3CC6FFB9" w:rsidR="00D22CB0" w:rsidRPr="00BD1319" w:rsidRDefault="00D22CB0" w:rsidP="00D21627">
      <w:pPr>
        <w:pStyle w:val="Prrafodelista"/>
        <w:numPr>
          <w:ilvl w:val="0"/>
          <w:numId w:val="59"/>
        </w:numPr>
        <w:tabs>
          <w:tab w:val="left" w:pos="-2268"/>
        </w:tabs>
        <w:suppressAutoHyphens/>
        <w:ind w:left="567" w:hanging="567"/>
        <w:rPr>
          <w:rFonts w:cs="Arial"/>
          <w:spacing w:val="-3"/>
          <w:lang w:val="es-CO"/>
        </w:rPr>
      </w:pPr>
      <w:r w:rsidRPr="00BD1319">
        <w:rPr>
          <w:rFonts w:cs="Arial"/>
          <w:spacing w:val="-3"/>
          <w:lang w:val="es-CO"/>
        </w:rPr>
        <w:t xml:space="preserve">Datos de salida: se debe adjuntar al estudio los resultados del cálculo de las isófonas como archivo </w:t>
      </w:r>
      <w:proofErr w:type="spellStart"/>
      <w:r w:rsidRPr="00BD1319">
        <w:rPr>
          <w:rFonts w:cs="Arial"/>
          <w:spacing w:val="-3"/>
          <w:lang w:val="es-CO"/>
        </w:rPr>
        <w:t>shape</w:t>
      </w:r>
      <w:proofErr w:type="spellEnd"/>
      <w:r w:rsidRPr="00BD1319">
        <w:rPr>
          <w:rFonts w:cs="Arial"/>
          <w:spacing w:val="-3"/>
          <w:lang w:val="es-CO"/>
        </w:rPr>
        <w:t xml:space="preserve"> file y </w:t>
      </w:r>
      <w:proofErr w:type="spellStart"/>
      <w:r w:rsidRPr="00BD1319">
        <w:rPr>
          <w:rFonts w:cs="Arial"/>
          <w:spacing w:val="-3"/>
          <w:lang w:val="es-CO"/>
        </w:rPr>
        <w:t>raster</w:t>
      </w:r>
      <w:proofErr w:type="spellEnd"/>
      <w:r w:rsidRPr="00BD1319">
        <w:rPr>
          <w:rFonts w:cs="Arial"/>
          <w:spacing w:val="-3"/>
          <w:lang w:val="es-CO"/>
        </w:rPr>
        <w:t xml:space="preserve">, los valores de ruido asociados a receptores y </w:t>
      </w:r>
      <w:r w:rsidR="00F32F4B" w:rsidRPr="00BD1319">
        <w:rPr>
          <w:rFonts w:cs="Arial"/>
          <w:spacing w:val="-3"/>
          <w:lang w:val="es-CO"/>
        </w:rPr>
        <w:t>los archivos nativos del software de modelación empleados</w:t>
      </w:r>
      <w:r w:rsidRPr="00BD1319">
        <w:rPr>
          <w:rFonts w:cs="Arial"/>
          <w:spacing w:val="-3"/>
          <w:lang w:val="es-CO"/>
        </w:rPr>
        <w:t>.</w:t>
      </w:r>
    </w:p>
    <w:p w14:paraId="1AFE8937" w14:textId="77777777" w:rsidR="00D22CB0" w:rsidRPr="00BD1319" w:rsidRDefault="00D22CB0" w:rsidP="00D21627">
      <w:pPr>
        <w:pStyle w:val="Prrafodelista"/>
        <w:tabs>
          <w:tab w:val="left" w:pos="-2268"/>
        </w:tabs>
        <w:suppressAutoHyphens/>
        <w:ind w:left="567" w:hanging="567"/>
        <w:rPr>
          <w:spacing w:val="-3"/>
          <w:lang w:val="es-CO"/>
        </w:rPr>
      </w:pPr>
    </w:p>
    <w:p w14:paraId="31E2CC69" w14:textId="06C20485" w:rsidR="00D22CB0" w:rsidRPr="00BD1319" w:rsidRDefault="00D22CB0" w:rsidP="00D21627">
      <w:pPr>
        <w:pStyle w:val="Prrafodelista"/>
        <w:numPr>
          <w:ilvl w:val="0"/>
          <w:numId w:val="59"/>
        </w:numPr>
        <w:suppressAutoHyphens/>
        <w:ind w:left="567" w:hanging="567"/>
        <w:rPr>
          <w:rFonts w:cs="Arial"/>
          <w:spacing w:val="-3"/>
          <w:lang w:val="es-CO"/>
        </w:rPr>
      </w:pPr>
      <w:r w:rsidRPr="00BD1319">
        <w:rPr>
          <w:spacing w:val="-3"/>
          <w:lang w:val="es-CO"/>
        </w:rPr>
        <w:t xml:space="preserve">Reportar </w:t>
      </w:r>
      <w:r w:rsidRPr="00BD1319">
        <w:rPr>
          <w:rFonts w:cs="Arial"/>
          <w:spacing w:val="-3"/>
          <w:lang w:val="es-CO"/>
        </w:rPr>
        <w:t>el tipo de sistema de control empleado documentando sus características, métodos de cálculo, atenuación final obtenida</w:t>
      </w:r>
      <w:r w:rsidR="00F32F4B" w:rsidRPr="00BD1319">
        <w:rPr>
          <w:rFonts w:cs="Arial"/>
          <w:spacing w:val="-3"/>
          <w:lang w:val="es-CO"/>
        </w:rPr>
        <w:t xml:space="preserve"> (eficiencia acústica del sistema)</w:t>
      </w:r>
      <w:r w:rsidRPr="00BD1319">
        <w:rPr>
          <w:rFonts w:cs="Arial"/>
          <w:spacing w:val="-3"/>
          <w:lang w:val="es-CO"/>
        </w:rPr>
        <w:t>, y ubicación debidamente georreferenciada según el MAG.</w:t>
      </w:r>
    </w:p>
    <w:p w14:paraId="64C8B248" w14:textId="77777777" w:rsidR="00D22CB0" w:rsidRPr="00BD1319" w:rsidRDefault="00D22CB0" w:rsidP="00D21627">
      <w:pPr>
        <w:tabs>
          <w:tab w:val="left" w:pos="-2268"/>
        </w:tabs>
        <w:suppressAutoHyphens/>
        <w:ind w:left="567" w:hanging="567"/>
        <w:rPr>
          <w:rFonts w:cs="Arial"/>
          <w:spacing w:val="-3"/>
        </w:rPr>
      </w:pPr>
    </w:p>
    <w:p w14:paraId="026C61B5" w14:textId="535A93C1" w:rsidR="00D22CB0" w:rsidRPr="00BD1319" w:rsidRDefault="00D22CB0" w:rsidP="00D21627">
      <w:pPr>
        <w:pStyle w:val="Prrafodelista"/>
        <w:numPr>
          <w:ilvl w:val="0"/>
          <w:numId w:val="59"/>
        </w:numPr>
        <w:tabs>
          <w:tab w:val="left" w:pos="-2268"/>
        </w:tabs>
        <w:suppressAutoHyphens/>
        <w:ind w:left="567" w:hanging="567"/>
        <w:rPr>
          <w:rFonts w:cs="Arial"/>
          <w:spacing w:val="-3"/>
          <w:lang w:val="es-CO"/>
        </w:rPr>
      </w:pPr>
      <w:r w:rsidRPr="00BD1319">
        <w:rPr>
          <w:rFonts w:cs="Arial"/>
          <w:spacing w:val="-3"/>
          <w:lang w:val="es-CO"/>
        </w:rPr>
        <w:t xml:space="preserve">Los resultados de la modelización deben ser presentados en planos con curvas isófonas, donde se </w:t>
      </w:r>
      <w:r w:rsidR="00F32F4B" w:rsidRPr="00BD1319">
        <w:rPr>
          <w:rFonts w:cs="Arial"/>
          <w:spacing w:val="-3"/>
          <w:lang w:val="es-CO"/>
        </w:rPr>
        <w:t xml:space="preserve">muestren </w:t>
      </w:r>
      <w:r w:rsidRPr="00BD1319">
        <w:rPr>
          <w:rFonts w:cs="Arial"/>
          <w:spacing w:val="-3"/>
          <w:lang w:val="es-CO"/>
        </w:rPr>
        <w:t>claramente las fuentes de generación de ruido</w:t>
      </w:r>
      <w:r w:rsidR="00F32F4B" w:rsidRPr="00BD1319">
        <w:rPr>
          <w:rFonts w:cs="Arial"/>
          <w:spacing w:val="-3"/>
          <w:lang w:val="es-CO"/>
        </w:rPr>
        <w:t xml:space="preserve"> y </w:t>
      </w:r>
      <w:r w:rsidRPr="00BD1319">
        <w:rPr>
          <w:rFonts w:cs="Arial"/>
          <w:spacing w:val="-3"/>
          <w:lang w:val="es-CO"/>
        </w:rPr>
        <w:t>los receptores sensibles identificados.</w:t>
      </w:r>
    </w:p>
    <w:p w14:paraId="12ECFF4D" w14:textId="77777777" w:rsidR="00D22CB0" w:rsidRPr="00BD1319" w:rsidRDefault="00D22CB0" w:rsidP="00D21627">
      <w:pPr>
        <w:pStyle w:val="Prrafodelista"/>
        <w:ind w:left="567" w:hanging="567"/>
        <w:rPr>
          <w:rFonts w:cs="Arial"/>
          <w:spacing w:val="-3"/>
          <w:lang w:val="es-CO"/>
        </w:rPr>
      </w:pPr>
    </w:p>
    <w:p w14:paraId="28314F3A" w14:textId="51E2A473" w:rsidR="00D22CB0" w:rsidRPr="00BD1319" w:rsidRDefault="00D22CB0" w:rsidP="00D21627">
      <w:pPr>
        <w:tabs>
          <w:tab w:val="left" w:pos="-2268"/>
        </w:tabs>
        <w:suppressAutoHyphens/>
        <w:rPr>
          <w:rFonts w:cs="Arial"/>
          <w:spacing w:val="-3"/>
        </w:rPr>
      </w:pPr>
      <w:r w:rsidRPr="00BD1319">
        <w:rPr>
          <w:spacing w:val="-3"/>
        </w:rPr>
        <w:t xml:space="preserve">Las </w:t>
      </w:r>
      <w:r w:rsidRPr="00BD1319">
        <w:rPr>
          <w:rFonts w:cs="Arial"/>
          <w:spacing w:val="-3"/>
        </w:rPr>
        <w:t>modelizaciones deben permitir:</w:t>
      </w:r>
    </w:p>
    <w:p w14:paraId="06B926E9" w14:textId="77777777" w:rsidR="00D22CB0" w:rsidRPr="00BD1319" w:rsidRDefault="00D22CB0" w:rsidP="000D6E21">
      <w:pPr>
        <w:tabs>
          <w:tab w:val="left" w:pos="-2268"/>
        </w:tabs>
        <w:suppressAutoHyphens/>
        <w:ind w:left="709"/>
        <w:rPr>
          <w:spacing w:val="-3"/>
        </w:rPr>
      </w:pPr>
    </w:p>
    <w:p w14:paraId="08166D06" w14:textId="7ECBB65A" w:rsidR="00D22CB0" w:rsidRPr="00BD1319" w:rsidRDefault="00DC7B83" w:rsidP="00D21627">
      <w:pPr>
        <w:pStyle w:val="Prrafodelista"/>
        <w:numPr>
          <w:ilvl w:val="0"/>
          <w:numId w:val="122"/>
        </w:numPr>
        <w:tabs>
          <w:tab w:val="left" w:pos="-2268"/>
        </w:tabs>
        <w:suppressAutoHyphens/>
        <w:ind w:left="567" w:hanging="567"/>
        <w:rPr>
          <w:spacing w:val="-3"/>
          <w:lang w:val="es-CO"/>
        </w:rPr>
      </w:pPr>
      <w:r w:rsidRPr="00BD1319">
        <w:rPr>
          <w:spacing w:val="-3"/>
          <w:lang w:val="es-CO"/>
        </w:rPr>
        <w:t xml:space="preserve">Determinar </w:t>
      </w:r>
      <w:r w:rsidR="00D22CB0" w:rsidRPr="00BD1319">
        <w:rPr>
          <w:spacing w:val="-3"/>
          <w:lang w:val="es-CO"/>
        </w:rPr>
        <w:t>las zonas de mayor incremento en los niveles de ruido ambiental para cada uno de los escenarios del proyecto.</w:t>
      </w:r>
    </w:p>
    <w:p w14:paraId="5F613161" w14:textId="77777777" w:rsidR="00D22CB0" w:rsidRPr="00BD1319" w:rsidRDefault="00D22CB0" w:rsidP="00D21627">
      <w:pPr>
        <w:pStyle w:val="Prrafodelista"/>
        <w:tabs>
          <w:tab w:val="left" w:pos="-2268"/>
        </w:tabs>
        <w:suppressAutoHyphens/>
        <w:ind w:left="567" w:hanging="567"/>
        <w:rPr>
          <w:rFonts w:cs="Arial"/>
          <w:spacing w:val="-3"/>
          <w:lang w:val="es-CO"/>
        </w:rPr>
      </w:pPr>
    </w:p>
    <w:p w14:paraId="2EB04AE7" w14:textId="77777777" w:rsidR="00D22CB0" w:rsidRPr="00BD1319" w:rsidRDefault="00D22CB0" w:rsidP="00D21627">
      <w:pPr>
        <w:pStyle w:val="Prrafodelista"/>
        <w:numPr>
          <w:ilvl w:val="0"/>
          <w:numId w:val="122"/>
        </w:numPr>
        <w:tabs>
          <w:tab w:val="left" w:pos="-2268"/>
        </w:tabs>
        <w:suppressAutoHyphens/>
        <w:ind w:left="567" w:hanging="567"/>
        <w:rPr>
          <w:spacing w:val="-3"/>
          <w:lang w:val="es-CO"/>
        </w:rPr>
      </w:pPr>
      <w:r w:rsidRPr="00BD1319">
        <w:rPr>
          <w:spacing w:val="-3"/>
          <w:lang w:val="es-CO"/>
        </w:rPr>
        <w:t>Valorar la magnitud del impacto ocasionado por esta actividad sobre las condiciones del ruido ambiental en los receptores de interés teniendo en cuenta el marco normativo vigente (Resolución 627 de 2006 o aquella que la modifique o sustituya).</w:t>
      </w:r>
    </w:p>
    <w:p w14:paraId="3C3652A4" w14:textId="77777777" w:rsidR="00D22CB0" w:rsidRPr="00BD1319" w:rsidRDefault="00D22CB0" w:rsidP="00D21627">
      <w:pPr>
        <w:pStyle w:val="Prrafodelista"/>
        <w:tabs>
          <w:tab w:val="left" w:pos="-2268"/>
        </w:tabs>
        <w:suppressAutoHyphens/>
        <w:ind w:left="567" w:hanging="567"/>
        <w:rPr>
          <w:spacing w:val="-3"/>
          <w:lang w:val="es-CO"/>
        </w:rPr>
      </w:pPr>
    </w:p>
    <w:p w14:paraId="0B0D2570" w14:textId="681F8E15" w:rsidR="00D22CB0" w:rsidRPr="00BD1319" w:rsidRDefault="00DC7B83" w:rsidP="00D21627">
      <w:pPr>
        <w:pStyle w:val="Prrafodelista"/>
        <w:numPr>
          <w:ilvl w:val="0"/>
          <w:numId w:val="122"/>
        </w:numPr>
        <w:tabs>
          <w:tab w:val="left" w:pos="-2268"/>
        </w:tabs>
        <w:suppressAutoHyphens/>
        <w:ind w:left="567" w:hanging="567"/>
        <w:rPr>
          <w:rFonts w:cs="Arial"/>
          <w:spacing w:val="-3"/>
          <w:lang w:val="es-CO"/>
        </w:rPr>
      </w:pPr>
      <w:r w:rsidRPr="00BD1319">
        <w:rPr>
          <w:spacing w:val="-3"/>
          <w:lang w:val="es-CO"/>
        </w:rPr>
        <w:t xml:space="preserve">Determinar </w:t>
      </w:r>
      <w:r w:rsidR="00D22CB0" w:rsidRPr="00BD1319">
        <w:rPr>
          <w:rFonts w:cs="Arial"/>
          <w:spacing w:val="-3"/>
          <w:lang w:val="es-CO"/>
        </w:rPr>
        <w:t>el aporte de niveles de presión sonora que realiza cada fuente o grupos de fuentes sobre los niveles de ruido ambiental de la zona objeto de estudio, utilizando para esto los resultados de los modelos predictivos de ruido y la evaluación de éstos sobre los receptores.</w:t>
      </w:r>
    </w:p>
    <w:p w14:paraId="07EB16FD" w14:textId="77777777" w:rsidR="00A31408" w:rsidRPr="00BD1319" w:rsidRDefault="00A31408">
      <w:pPr>
        <w:numPr>
          <w:ilvl w:val="12"/>
          <w:numId w:val="0"/>
        </w:numPr>
        <w:tabs>
          <w:tab w:val="left" w:pos="-2268"/>
        </w:tabs>
        <w:suppressAutoHyphens/>
        <w:rPr>
          <w:spacing w:val="-3"/>
        </w:rPr>
      </w:pPr>
    </w:p>
    <w:p w14:paraId="31A09B65" w14:textId="2BD671F7" w:rsidR="00350BBA" w:rsidRPr="00BD1319" w:rsidRDefault="00554435" w:rsidP="00216955">
      <w:pPr>
        <w:pStyle w:val="Ttulo3"/>
      </w:pPr>
      <w:bookmarkStart w:id="3286" w:name="_Toc175326811"/>
      <w:r w:rsidRPr="00BD1319">
        <w:t>Paisaje</w:t>
      </w:r>
      <w:bookmarkEnd w:id="3286"/>
    </w:p>
    <w:p w14:paraId="00E541AC" w14:textId="77777777" w:rsidR="00350BBA" w:rsidRPr="00BD1319" w:rsidRDefault="00350BBA" w:rsidP="00350BBA">
      <w:pPr>
        <w:tabs>
          <w:tab w:val="left" w:pos="-2268"/>
        </w:tabs>
        <w:suppressAutoHyphens/>
        <w:rPr>
          <w:spacing w:val="-3"/>
        </w:rPr>
      </w:pPr>
    </w:p>
    <w:p w14:paraId="602BF465" w14:textId="77777777" w:rsidR="00890F2C" w:rsidRPr="00BD1319" w:rsidRDefault="003968FB" w:rsidP="009420F5">
      <w:pPr>
        <w:tabs>
          <w:tab w:val="left" w:pos="-2268"/>
        </w:tabs>
        <w:suppressAutoHyphens/>
        <w:rPr>
          <w:spacing w:val="-3"/>
        </w:rPr>
      </w:pPr>
      <w:r w:rsidRPr="00BD1319">
        <w:rPr>
          <w:spacing w:val="-3"/>
        </w:rPr>
        <w:t>Con el propósito de evaluar los impactos ambientales que genera el proyecto obra o actividad sobre el paisaje</w:t>
      </w:r>
      <w:r w:rsidR="00890F2C" w:rsidRPr="00BD1319">
        <w:rPr>
          <w:spacing w:val="-3"/>
        </w:rPr>
        <w:t xml:space="preserve"> y de delimitar el área de influencia a partir de los que resulten significativos</w:t>
      </w:r>
      <w:r w:rsidRPr="00BD1319">
        <w:rPr>
          <w:spacing w:val="-3"/>
        </w:rPr>
        <w:t>, se debe realizar una d</w:t>
      </w:r>
      <w:r w:rsidR="00350BBA" w:rsidRPr="00BD1319">
        <w:rPr>
          <w:spacing w:val="-3"/>
        </w:rPr>
        <w:t xml:space="preserve">escripción de la </w:t>
      </w:r>
      <w:r w:rsidR="00890F2C" w:rsidRPr="00BD1319">
        <w:rPr>
          <w:spacing w:val="-3"/>
        </w:rPr>
        <w:t xml:space="preserve">forma en que </w:t>
      </w:r>
      <w:r w:rsidR="00350BBA" w:rsidRPr="00BD1319">
        <w:rPr>
          <w:spacing w:val="-3"/>
        </w:rPr>
        <w:t>el proyecto, obra o actividad</w:t>
      </w:r>
      <w:r w:rsidR="00890F2C" w:rsidRPr="00BD1319">
        <w:rPr>
          <w:spacing w:val="-3"/>
        </w:rPr>
        <w:t xml:space="preserve"> interactuaría con el componente paisaje.</w:t>
      </w:r>
    </w:p>
    <w:p w14:paraId="36052622" w14:textId="77777777" w:rsidR="00890F2C" w:rsidRPr="00BD1319" w:rsidRDefault="00890F2C" w:rsidP="009420F5">
      <w:pPr>
        <w:tabs>
          <w:tab w:val="left" w:pos="-2268"/>
        </w:tabs>
        <w:suppressAutoHyphens/>
        <w:rPr>
          <w:spacing w:val="-3"/>
        </w:rPr>
      </w:pPr>
    </w:p>
    <w:p w14:paraId="54E6B308" w14:textId="0FBE0C08" w:rsidR="00350BBA" w:rsidRPr="00BD1319" w:rsidRDefault="00890F2C" w:rsidP="009420F5">
      <w:pPr>
        <w:tabs>
          <w:tab w:val="left" w:pos="-2268"/>
        </w:tabs>
        <w:suppressAutoHyphens/>
        <w:rPr>
          <w:spacing w:val="-3"/>
        </w:rPr>
      </w:pPr>
      <w:r w:rsidRPr="00BD1319">
        <w:rPr>
          <w:spacing w:val="-3"/>
        </w:rPr>
        <w:t xml:space="preserve">Dicha descripción debe </w:t>
      </w:r>
      <w:r w:rsidR="00494ABF" w:rsidRPr="00BD1319">
        <w:rPr>
          <w:spacing w:val="-3"/>
        </w:rPr>
        <w:t xml:space="preserve">enfocarse en </w:t>
      </w:r>
      <w:r w:rsidR="00350BBA" w:rsidRPr="00BD1319">
        <w:rPr>
          <w:spacing w:val="-3"/>
        </w:rPr>
        <w:t>la</w:t>
      </w:r>
      <w:r w:rsidR="00494ABF" w:rsidRPr="00BD1319">
        <w:rPr>
          <w:spacing w:val="-3"/>
        </w:rPr>
        <w:t>s</w:t>
      </w:r>
      <w:r w:rsidR="00350BBA" w:rsidRPr="00BD1319">
        <w:rPr>
          <w:spacing w:val="-3"/>
        </w:rPr>
        <w:t xml:space="preserve"> intervenci</w:t>
      </w:r>
      <w:r w:rsidR="00494ABF" w:rsidRPr="00BD1319">
        <w:rPr>
          <w:spacing w:val="-3"/>
        </w:rPr>
        <w:t xml:space="preserve">ones del proyecto, obra o actividad (las cuales resultan de la construcción de obras, infraestructura, y de actividades de uso y aprovechamiento de recursos naturales, entre otras) </w:t>
      </w:r>
      <w:r w:rsidR="00350BBA" w:rsidRPr="00BD1319">
        <w:rPr>
          <w:spacing w:val="-3"/>
        </w:rPr>
        <w:t>asociada</w:t>
      </w:r>
      <w:r w:rsidR="00494ABF" w:rsidRPr="00BD1319">
        <w:rPr>
          <w:spacing w:val="-3"/>
        </w:rPr>
        <w:t>s</w:t>
      </w:r>
      <w:r w:rsidR="00350BBA" w:rsidRPr="00BD1319">
        <w:rPr>
          <w:spacing w:val="-3"/>
        </w:rPr>
        <w:t xml:space="preserve"> a cada unidad de paisaje. En aquellos casos donde no se cuente con la localización definitiva de las actividades, </w:t>
      </w:r>
      <w:r w:rsidR="00494ABF" w:rsidRPr="00BD1319">
        <w:rPr>
          <w:spacing w:val="-3"/>
        </w:rPr>
        <w:t xml:space="preserve">se debe </w:t>
      </w:r>
      <w:r w:rsidR="00350BBA" w:rsidRPr="00BD1319">
        <w:rPr>
          <w:spacing w:val="-3"/>
        </w:rPr>
        <w:t>hacer uso de alternativas preliminares de localización.</w:t>
      </w:r>
    </w:p>
    <w:p w14:paraId="316F0CA1" w14:textId="77777777" w:rsidR="00350BBA" w:rsidRPr="00BD1319" w:rsidRDefault="00350BBA" w:rsidP="003968FB">
      <w:pPr>
        <w:tabs>
          <w:tab w:val="left" w:pos="-2268"/>
        </w:tabs>
        <w:suppressAutoHyphens/>
        <w:ind w:left="567" w:hanging="567"/>
        <w:rPr>
          <w:spacing w:val="-3"/>
        </w:rPr>
      </w:pPr>
    </w:p>
    <w:p w14:paraId="0C444459" w14:textId="6B694A62" w:rsidR="00350BBA" w:rsidRPr="00BD1319" w:rsidRDefault="00494ABF" w:rsidP="009420F5">
      <w:pPr>
        <w:tabs>
          <w:tab w:val="left" w:pos="-2268"/>
        </w:tabs>
        <w:suppressAutoHyphens/>
        <w:rPr>
          <w:spacing w:val="-3"/>
        </w:rPr>
      </w:pPr>
      <w:r w:rsidRPr="00BD1319">
        <w:rPr>
          <w:spacing w:val="-3"/>
        </w:rPr>
        <w:t xml:space="preserve">Asimismo, se deben contemplar </w:t>
      </w:r>
      <w:r w:rsidR="00350BBA" w:rsidRPr="00BD1319">
        <w:rPr>
          <w:spacing w:val="-3"/>
        </w:rPr>
        <w:t xml:space="preserve">los resultados </w:t>
      </w:r>
      <w:r w:rsidR="00FA1253" w:rsidRPr="00BD1319">
        <w:rPr>
          <w:spacing w:val="-3"/>
        </w:rPr>
        <w:t>sobre</w:t>
      </w:r>
      <w:r w:rsidR="00350BBA" w:rsidRPr="00BD1319">
        <w:rPr>
          <w:spacing w:val="-3"/>
        </w:rPr>
        <w:t xml:space="preserve"> calidad, fragilidad </w:t>
      </w:r>
      <w:r w:rsidR="008856F5" w:rsidRPr="00BD1319">
        <w:rPr>
          <w:spacing w:val="-3"/>
        </w:rPr>
        <w:t xml:space="preserve">y </w:t>
      </w:r>
      <w:r w:rsidR="00350BBA" w:rsidRPr="00BD1319">
        <w:rPr>
          <w:spacing w:val="-3"/>
        </w:rPr>
        <w:t xml:space="preserve">percepción </w:t>
      </w:r>
      <w:r w:rsidR="008856F5" w:rsidRPr="00BD1319">
        <w:rPr>
          <w:spacing w:val="-3"/>
        </w:rPr>
        <w:t>visual del paisaje</w:t>
      </w:r>
      <w:r w:rsidR="00FA1253" w:rsidRPr="00BD1319">
        <w:rPr>
          <w:spacing w:val="-3"/>
        </w:rPr>
        <w:t>,</w:t>
      </w:r>
      <w:r w:rsidR="008856F5" w:rsidRPr="00BD1319">
        <w:rPr>
          <w:spacing w:val="-3"/>
        </w:rPr>
        <w:t xml:space="preserve"> su integridad escénica</w:t>
      </w:r>
      <w:r w:rsidR="00E85CE7" w:rsidRPr="00BD1319">
        <w:rPr>
          <w:rStyle w:val="Refdenotaalpie"/>
          <w:spacing w:val="-3"/>
        </w:rPr>
        <w:footnoteReference w:id="199"/>
      </w:r>
      <w:r w:rsidR="00350BBA" w:rsidRPr="00BD1319">
        <w:rPr>
          <w:spacing w:val="-3"/>
        </w:rPr>
        <w:t xml:space="preserve">, </w:t>
      </w:r>
      <w:r w:rsidRPr="00BD1319">
        <w:rPr>
          <w:spacing w:val="-3"/>
        </w:rPr>
        <w:t xml:space="preserve">así como </w:t>
      </w:r>
      <w:r w:rsidR="00FA1253" w:rsidRPr="00BD1319">
        <w:rPr>
          <w:spacing w:val="-3"/>
        </w:rPr>
        <w:t xml:space="preserve">sobre </w:t>
      </w:r>
      <w:r w:rsidR="00350BBA" w:rsidRPr="00BD1319">
        <w:rPr>
          <w:spacing w:val="-3"/>
        </w:rPr>
        <w:t xml:space="preserve">zonificación </w:t>
      </w:r>
      <w:r w:rsidRPr="00BD1319">
        <w:rPr>
          <w:spacing w:val="-3"/>
        </w:rPr>
        <w:t xml:space="preserve">ambiental </w:t>
      </w:r>
      <w:r w:rsidR="00350BBA" w:rsidRPr="00BD1319">
        <w:rPr>
          <w:spacing w:val="-3"/>
        </w:rPr>
        <w:t xml:space="preserve">del </w:t>
      </w:r>
      <w:r w:rsidRPr="00BD1319">
        <w:rPr>
          <w:spacing w:val="-3"/>
        </w:rPr>
        <w:t>paisaje (</w:t>
      </w:r>
      <w:r w:rsidR="00350BBA" w:rsidRPr="00BD1319">
        <w:rPr>
          <w:spacing w:val="-3"/>
        </w:rPr>
        <w:t>resaltando las unidades de paisaje con mayor sensibilidad</w:t>
      </w:r>
      <w:r w:rsidRPr="00BD1319">
        <w:rPr>
          <w:spacing w:val="-3"/>
        </w:rPr>
        <w:t>), para desarrollar una síntesis que permita prever cómo la ejecución del proyecto, obra o actividad alteraría las condiciones</w:t>
      </w:r>
      <w:r w:rsidR="00C35631" w:rsidRPr="00BD1319">
        <w:rPr>
          <w:spacing w:val="-3"/>
        </w:rPr>
        <w:t xml:space="preserve"> paisajísticas y cuáles de sus alteraciones generan impactos ambientales significativos.</w:t>
      </w:r>
    </w:p>
    <w:p w14:paraId="31FEC53A" w14:textId="77777777" w:rsidR="00350BBA" w:rsidRPr="00BD1319" w:rsidRDefault="00350BBA" w:rsidP="003968FB">
      <w:pPr>
        <w:tabs>
          <w:tab w:val="left" w:pos="-2268"/>
        </w:tabs>
        <w:suppressAutoHyphens/>
        <w:ind w:left="567" w:hanging="567"/>
        <w:rPr>
          <w:spacing w:val="-3"/>
        </w:rPr>
      </w:pPr>
    </w:p>
    <w:p w14:paraId="2025ECAE" w14:textId="3114632B" w:rsidR="008856F5" w:rsidRPr="00BD1319" w:rsidRDefault="008856F5" w:rsidP="009420F5">
      <w:pPr>
        <w:tabs>
          <w:tab w:val="left" w:pos="-2268"/>
        </w:tabs>
        <w:suppressAutoHyphens/>
        <w:rPr>
          <w:spacing w:val="-3"/>
        </w:rPr>
      </w:pPr>
      <w:r w:rsidRPr="00BD1319">
        <w:rPr>
          <w:spacing w:val="-3"/>
        </w:rPr>
        <w:t xml:space="preserve">A fin de evaluar </w:t>
      </w:r>
      <w:r w:rsidR="0092118B" w:rsidRPr="00BD1319">
        <w:rPr>
          <w:spacing w:val="-3"/>
        </w:rPr>
        <w:t xml:space="preserve">y determinar estos </w:t>
      </w:r>
      <w:r w:rsidRPr="00BD1319">
        <w:rPr>
          <w:spacing w:val="-3"/>
        </w:rPr>
        <w:t xml:space="preserve">impactos se debe desarrollar un modelo de visibilidad en el escenario con proyecto, </w:t>
      </w:r>
      <w:r w:rsidR="0092118B" w:rsidRPr="00BD1319">
        <w:rPr>
          <w:spacing w:val="-3"/>
        </w:rPr>
        <w:t xml:space="preserve">que </w:t>
      </w:r>
      <w:r w:rsidRPr="00BD1319">
        <w:rPr>
          <w:spacing w:val="-3"/>
        </w:rPr>
        <w:t>part</w:t>
      </w:r>
      <w:r w:rsidR="0092118B" w:rsidRPr="00BD1319">
        <w:rPr>
          <w:spacing w:val="-3"/>
        </w:rPr>
        <w:t>a</w:t>
      </w:r>
      <w:r w:rsidRPr="00BD1319">
        <w:rPr>
          <w:spacing w:val="-3"/>
        </w:rPr>
        <w:t xml:space="preserve"> de la máxima intervención estimada </w:t>
      </w:r>
      <w:r w:rsidR="0092118B" w:rsidRPr="00BD1319">
        <w:rPr>
          <w:spacing w:val="-3"/>
        </w:rPr>
        <w:t xml:space="preserve">y </w:t>
      </w:r>
      <w:r w:rsidRPr="00BD1319">
        <w:rPr>
          <w:spacing w:val="-3"/>
        </w:rPr>
        <w:t xml:space="preserve">considere la localización de la infraestructura o adecuación de espacios asociados al proyecto, obra o actividad, así como las condiciones del relieve y la cobertura de la tierra. Se deben presentar los insumos cartográficos de entrada al modelo y los resultados de </w:t>
      </w:r>
      <w:r w:rsidR="0092118B" w:rsidRPr="00BD1319">
        <w:rPr>
          <w:spacing w:val="-3"/>
        </w:rPr>
        <w:t>é</w:t>
      </w:r>
      <w:r w:rsidRPr="00BD1319">
        <w:rPr>
          <w:spacing w:val="-3"/>
        </w:rPr>
        <w:t>stos. En caso de no contar con la ubicación definitiva de las actividades</w:t>
      </w:r>
      <w:r w:rsidR="0092118B" w:rsidRPr="00BD1319">
        <w:rPr>
          <w:spacing w:val="-3"/>
        </w:rPr>
        <w:t>, obras o infraestructuras</w:t>
      </w:r>
      <w:r w:rsidRPr="00BD1319">
        <w:rPr>
          <w:spacing w:val="-3"/>
        </w:rPr>
        <w:t xml:space="preserve">, </w:t>
      </w:r>
      <w:r w:rsidR="0092118B" w:rsidRPr="00BD1319">
        <w:rPr>
          <w:spacing w:val="-3"/>
        </w:rPr>
        <w:t xml:space="preserve">es posible emplear </w:t>
      </w:r>
      <w:r w:rsidRPr="00BD1319">
        <w:rPr>
          <w:spacing w:val="-3"/>
        </w:rPr>
        <w:t xml:space="preserve">alternativas preliminares de localización. Los resultados de este modelo deben analizarse en conjunto con los obtenidos para el modelo de visibilidad sin proyecto, estableciendo la </w:t>
      </w:r>
      <w:proofErr w:type="spellStart"/>
      <w:r w:rsidRPr="00BD1319">
        <w:rPr>
          <w:spacing w:val="-3"/>
        </w:rPr>
        <w:t>intervisibilidad</w:t>
      </w:r>
      <w:proofErr w:type="spellEnd"/>
      <w:r w:rsidRPr="00BD1319">
        <w:rPr>
          <w:spacing w:val="-3"/>
        </w:rPr>
        <w:t xml:space="preserve"> de los dos escenarios.</w:t>
      </w:r>
    </w:p>
    <w:p w14:paraId="459F073B" w14:textId="77777777" w:rsidR="00350BBA" w:rsidRPr="00BD1319" w:rsidRDefault="00350BBA">
      <w:pPr>
        <w:numPr>
          <w:ilvl w:val="12"/>
          <w:numId w:val="0"/>
        </w:numPr>
        <w:tabs>
          <w:tab w:val="left" w:pos="-2268"/>
        </w:tabs>
        <w:suppressAutoHyphens/>
        <w:rPr>
          <w:spacing w:val="-3"/>
        </w:rPr>
      </w:pPr>
    </w:p>
    <w:p w14:paraId="028F58E1" w14:textId="62EEB489" w:rsidR="00554435" w:rsidRPr="00BD1319" w:rsidRDefault="00554435" w:rsidP="00216955">
      <w:pPr>
        <w:pStyle w:val="Ttulo3"/>
      </w:pPr>
      <w:bookmarkStart w:id="3287" w:name="_Toc175326812"/>
      <w:r w:rsidRPr="00BD1319">
        <w:t>Oceanografía</w:t>
      </w:r>
      <w:bookmarkEnd w:id="3287"/>
    </w:p>
    <w:p w14:paraId="2D507A25" w14:textId="77777777" w:rsidR="00554435" w:rsidRPr="00BD1319" w:rsidRDefault="00554435">
      <w:pPr>
        <w:numPr>
          <w:ilvl w:val="12"/>
          <w:numId w:val="0"/>
        </w:numPr>
        <w:tabs>
          <w:tab w:val="left" w:pos="-2268"/>
        </w:tabs>
        <w:suppressAutoHyphens/>
        <w:rPr>
          <w:spacing w:val="-3"/>
        </w:rPr>
      </w:pPr>
    </w:p>
    <w:p w14:paraId="5346B768" w14:textId="762D3F4F" w:rsidR="00554435" w:rsidRPr="00BD1319" w:rsidRDefault="00554435">
      <w:pPr>
        <w:numPr>
          <w:ilvl w:val="12"/>
          <w:numId w:val="0"/>
        </w:numPr>
        <w:tabs>
          <w:tab w:val="left" w:pos="-2268"/>
        </w:tabs>
        <w:suppressAutoHyphens/>
        <w:rPr>
          <w:spacing w:val="-3"/>
        </w:rPr>
      </w:pPr>
      <w:r w:rsidRPr="00BD1319">
        <w:rPr>
          <w:spacing w:val="-3"/>
        </w:rPr>
        <w:t xml:space="preserve">Es importante que la </w:t>
      </w:r>
      <w:r w:rsidR="00682013" w:rsidRPr="00BD1319">
        <w:rPr>
          <w:rFonts w:cs="Arial"/>
          <w:spacing w:val="-3"/>
        </w:rPr>
        <w:t>determinación</w:t>
      </w:r>
      <w:r w:rsidR="00682013" w:rsidRPr="00BD1319" w:rsidDel="00682013">
        <w:rPr>
          <w:spacing w:val="-3"/>
        </w:rPr>
        <w:t xml:space="preserve"> </w:t>
      </w:r>
      <w:r w:rsidRPr="00BD1319">
        <w:rPr>
          <w:spacing w:val="-3"/>
        </w:rPr>
        <w:t xml:space="preserve">y valoración de impactos ambientales tenga en cuenta entre otros escenarios de cambio climático, la forma en que el aumento del nivel mar afecta el proyecto, obra o actividad </w:t>
      </w:r>
      <w:r w:rsidR="003D2F41" w:rsidRPr="00BD1319">
        <w:rPr>
          <w:spacing w:val="-3"/>
        </w:rPr>
        <w:t>y,</w:t>
      </w:r>
      <w:r w:rsidRPr="00BD1319">
        <w:rPr>
          <w:spacing w:val="-3"/>
        </w:rPr>
        <w:t xml:space="preserve"> por tanto, la manera en que ello modifica los impactos que éste puede generar en las condiciones ambientales. </w:t>
      </w:r>
      <w:r w:rsidR="009F4347" w:rsidRPr="00BD1319">
        <w:rPr>
          <w:spacing w:val="-3"/>
        </w:rPr>
        <w:t xml:space="preserve">Para estos </w:t>
      </w:r>
      <w:r w:rsidRPr="00BD1319">
        <w:rPr>
          <w:spacing w:val="-3"/>
        </w:rPr>
        <w:t xml:space="preserve">escenarios (principalmente mareas), se </w:t>
      </w:r>
      <w:r w:rsidR="009F4347" w:rsidRPr="00BD1319">
        <w:rPr>
          <w:spacing w:val="-3"/>
        </w:rPr>
        <w:t>debe</w:t>
      </w:r>
      <w:r w:rsidR="00AD14D3" w:rsidRPr="00BD1319">
        <w:rPr>
          <w:spacing w:val="-3"/>
        </w:rPr>
        <w:t>n</w:t>
      </w:r>
      <w:r w:rsidR="009F4347" w:rsidRPr="00BD1319">
        <w:rPr>
          <w:spacing w:val="-3"/>
        </w:rPr>
        <w:t xml:space="preserve"> </w:t>
      </w:r>
      <w:r w:rsidRPr="00BD1319">
        <w:rPr>
          <w:spacing w:val="-3"/>
        </w:rPr>
        <w:t xml:space="preserve">tomar como referencia </w:t>
      </w:r>
      <w:r w:rsidR="00AD14D3" w:rsidRPr="00BD1319">
        <w:rPr>
          <w:spacing w:val="-3"/>
        </w:rPr>
        <w:t xml:space="preserve">los </w:t>
      </w:r>
      <w:r w:rsidRPr="00BD1319">
        <w:rPr>
          <w:spacing w:val="-3"/>
        </w:rPr>
        <w:t>análisis contenido</w:t>
      </w:r>
      <w:r w:rsidR="00AD14D3" w:rsidRPr="00BD1319">
        <w:rPr>
          <w:spacing w:val="-3"/>
        </w:rPr>
        <w:t>s</w:t>
      </w:r>
      <w:r w:rsidRPr="00BD1319">
        <w:rPr>
          <w:spacing w:val="-3"/>
        </w:rPr>
        <w:t xml:space="preserve"> en el documento “Elaboración del análisis de vulnerabilidad </w:t>
      </w:r>
      <w:r w:rsidR="009E6987" w:rsidRPr="00BD1319">
        <w:rPr>
          <w:spacing w:val="-3"/>
        </w:rPr>
        <w:t xml:space="preserve">marino costera e insular ante el cambio climático </w:t>
      </w:r>
      <w:r w:rsidRPr="00BD1319">
        <w:rPr>
          <w:spacing w:val="-3"/>
        </w:rPr>
        <w:t xml:space="preserve">para el país” desarrollado por el </w:t>
      </w:r>
      <w:proofErr w:type="spellStart"/>
      <w:r w:rsidR="00A92356" w:rsidRPr="00BD1319">
        <w:rPr>
          <w:spacing w:val="-3"/>
        </w:rPr>
        <w:t>Invemar</w:t>
      </w:r>
      <w:proofErr w:type="spellEnd"/>
      <w:r w:rsidRPr="00BD1319">
        <w:rPr>
          <w:spacing w:val="-3"/>
        </w:rPr>
        <w:t xml:space="preserve"> </w:t>
      </w:r>
      <w:r w:rsidR="00AD14D3" w:rsidRPr="00BD1319">
        <w:rPr>
          <w:spacing w:val="-3"/>
        </w:rPr>
        <w:t>(201</w:t>
      </w:r>
      <w:r w:rsidR="00C0275C" w:rsidRPr="00BD1319">
        <w:rPr>
          <w:spacing w:val="-3"/>
        </w:rPr>
        <w:t>7</w:t>
      </w:r>
      <w:r w:rsidR="00AD14D3" w:rsidRPr="00BD1319">
        <w:rPr>
          <w:spacing w:val="-3"/>
        </w:rPr>
        <w:t xml:space="preserve">) </w:t>
      </w:r>
      <w:r w:rsidRPr="00BD1319">
        <w:rPr>
          <w:spacing w:val="-3"/>
        </w:rPr>
        <w:t xml:space="preserve">en el marco de la Tercera comunicación </w:t>
      </w:r>
      <w:r w:rsidRPr="00BD1319">
        <w:rPr>
          <w:spacing w:val="-3"/>
        </w:rPr>
        <w:lastRenderedPageBreak/>
        <w:t xml:space="preserve">nacional o </w:t>
      </w:r>
      <w:r w:rsidR="00AD14D3" w:rsidRPr="00BD1319">
        <w:rPr>
          <w:spacing w:val="-3"/>
        </w:rPr>
        <w:t xml:space="preserve">en </w:t>
      </w:r>
      <w:r w:rsidRPr="00BD1319">
        <w:rPr>
          <w:spacing w:val="-3"/>
        </w:rPr>
        <w:t xml:space="preserve">su versión más reciente, u otros </w:t>
      </w:r>
      <w:r w:rsidR="00AD14D3" w:rsidRPr="00BD1319">
        <w:rPr>
          <w:spacing w:val="-3"/>
        </w:rPr>
        <w:t xml:space="preserve">análisis </w:t>
      </w:r>
      <w:r w:rsidRPr="00BD1319">
        <w:rPr>
          <w:spacing w:val="-3"/>
        </w:rPr>
        <w:t>de fuentes de información alternativas que cuenten con idoneidad técnica y científica (universidades, centros de investigación, publicaciones especializadas en el tema, proyectos con licencia ambiental, entre otras).</w:t>
      </w:r>
    </w:p>
    <w:p w14:paraId="07BE3C77" w14:textId="77777777" w:rsidR="00EE7D77" w:rsidRPr="00BD1319" w:rsidRDefault="00EE7D77">
      <w:pPr>
        <w:numPr>
          <w:ilvl w:val="12"/>
          <w:numId w:val="0"/>
        </w:numPr>
        <w:tabs>
          <w:tab w:val="left" w:pos="-2268"/>
        </w:tabs>
        <w:suppressAutoHyphens/>
        <w:rPr>
          <w:spacing w:val="-3"/>
          <w:lang w:val="es-ES_tradnl"/>
        </w:rPr>
      </w:pPr>
    </w:p>
    <w:p w14:paraId="5BF81BB9" w14:textId="77777777" w:rsidR="00B11257" w:rsidRPr="00BD1319" w:rsidRDefault="00B11257">
      <w:pPr>
        <w:numPr>
          <w:ilvl w:val="12"/>
          <w:numId w:val="0"/>
        </w:numPr>
        <w:tabs>
          <w:tab w:val="left" w:pos="-2268"/>
        </w:tabs>
        <w:suppressAutoHyphens/>
        <w:rPr>
          <w:spacing w:val="-3"/>
        </w:rPr>
      </w:pPr>
    </w:p>
    <w:p w14:paraId="1795F4A2" w14:textId="179F1A2B" w:rsidR="00402FB4" w:rsidRPr="00BD1319" w:rsidRDefault="00402FB4" w:rsidP="00696453">
      <w:pPr>
        <w:pStyle w:val="Ttulo1"/>
        <w:numPr>
          <w:ilvl w:val="0"/>
          <w:numId w:val="8"/>
        </w:numPr>
        <w:rPr>
          <w:lang w:val="es-CO"/>
        </w:rPr>
      </w:pPr>
      <w:bookmarkStart w:id="3288" w:name="_Toc415577374"/>
      <w:bookmarkStart w:id="3289" w:name="_Toc437936056"/>
      <w:bookmarkStart w:id="3290" w:name="_Ref510089225"/>
      <w:bookmarkStart w:id="3291" w:name="_Toc175326813"/>
      <w:r w:rsidRPr="00BD1319">
        <w:rPr>
          <w:lang w:val="es-CO"/>
        </w:rPr>
        <w:t>EVALUACIÓN ECONÓMICA AMBIENTAL</w:t>
      </w:r>
      <w:bookmarkEnd w:id="3288"/>
      <w:bookmarkEnd w:id="3289"/>
      <w:bookmarkEnd w:id="3290"/>
      <w:bookmarkEnd w:id="3291"/>
    </w:p>
    <w:p w14:paraId="6ED6993B" w14:textId="0A66318F" w:rsidR="00402FB4" w:rsidRPr="00BD1319" w:rsidRDefault="00402FB4">
      <w:pPr>
        <w:numPr>
          <w:ilvl w:val="12"/>
          <w:numId w:val="0"/>
        </w:numPr>
        <w:tabs>
          <w:tab w:val="left" w:pos="-2268"/>
        </w:tabs>
        <w:suppressAutoHyphens/>
        <w:rPr>
          <w:spacing w:val="-3"/>
        </w:rPr>
      </w:pPr>
    </w:p>
    <w:p w14:paraId="3E2A792A" w14:textId="79CCAFBF" w:rsidR="0056088F" w:rsidRPr="00BD1319" w:rsidRDefault="0056088F">
      <w:pPr>
        <w:numPr>
          <w:ilvl w:val="12"/>
          <w:numId w:val="0"/>
        </w:numPr>
        <w:tabs>
          <w:tab w:val="left" w:pos="-2268"/>
        </w:tabs>
        <w:suppressAutoHyphens/>
        <w:rPr>
          <w:spacing w:val="-3"/>
        </w:rPr>
      </w:pPr>
      <w:r w:rsidRPr="00BD1319">
        <w:rPr>
          <w:spacing w:val="-3"/>
        </w:rPr>
        <w:t>El Decreto 1076 de 2015 exige en el numeral 6 de su artículo 2.2.2.3.5.1 la incorporación de una “</w:t>
      </w:r>
      <w:r w:rsidRPr="00BD1319">
        <w:rPr>
          <w:i/>
          <w:spacing w:val="-3"/>
        </w:rPr>
        <w:t>Evaluación económica de los impactos positivos y negativos del proyecto</w:t>
      </w:r>
      <w:r w:rsidRPr="00BD1319">
        <w:rPr>
          <w:spacing w:val="-3"/>
        </w:rPr>
        <w:t>” en los Estudios de Impacto Ambiental</w:t>
      </w:r>
      <w:r w:rsidR="00952E03" w:rsidRPr="00BD1319">
        <w:rPr>
          <w:spacing w:val="-3"/>
        </w:rPr>
        <w:t xml:space="preserve"> (EIA)</w:t>
      </w:r>
      <w:r w:rsidRPr="00BD1319">
        <w:rPr>
          <w:spacing w:val="-3"/>
        </w:rPr>
        <w:t>, con el propósito de incorporar los principios y mandatos estipulados por la Ley 99 de 1993, que buscan la evaluación de los costos ambientales para prevenir, corregir y restaurar el deterioro ambiental y para conservar los recursos naturales renovables, en los instrumentos de manejo y control ambiental.</w:t>
      </w:r>
    </w:p>
    <w:p w14:paraId="7E770663" w14:textId="77777777" w:rsidR="0056088F" w:rsidRPr="00BD1319" w:rsidRDefault="0056088F">
      <w:pPr>
        <w:numPr>
          <w:ilvl w:val="12"/>
          <w:numId w:val="0"/>
        </w:numPr>
        <w:tabs>
          <w:tab w:val="left" w:pos="-2268"/>
        </w:tabs>
        <w:suppressAutoHyphens/>
        <w:rPr>
          <w:spacing w:val="-3"/>
        </w:rPr>
      </w:pPr>
    </w:p>
    <w:p w14:paraId="373D04C4" w14:textId="63D4B0AD" w:rsidR="0056088F" w:rsidRPr="00BD1319" w:rsidRDefault="0056088F" w:rsidP="00C86DA5">
      <w:pPr>
        <w:tabs>
          <w:tab w:val="left" w:pos="-2268"/>
        </w:tabs>
        <w:suppressAutoHyphens/>
        <w:rPr>
          <w:spacing w:val="-3"/>
        </w:rPr>
      </w:pPr>
      <w:r w:rsidRPr="00BD1319">
        <w:rPr>
          <w:spacing w:val="-3"/>
        </w:rPr>
        <w:t xml:space="preserve">En este marco, la Evaluación Económica Ambiental (EEA) permite que el EIA se constituya en una herramienta técnica para garantizar la proporcionalidad entre las pérdidas de bienestar producidas por los impactos ambientales no </w:t>
      </w:r>
      <w:proofErr w:type="spellStart"/>
      <w:r w:rsidRPr="00BD1319">
        <w:rPr>
          <w:spacing w:val="-3"/>
        </w:rPr>
        <w:t>internalizables</w:t>
      </w:r>
      <w:proofErr w:type="spellEnd"/>
      <w:r w:rsidRPr="00BD1319">
        <w:rPr>
          <w:rStyle w:val="Refdenotaalpie"/>
          <w:rFonts w:cs="Arial"/>
          <w:spacing w:val="-3"/>
          <w:lang w:val="es-CO"/>
        </w:rPr>
        <w:footnoteReference w:id="200"/>
      </w:r>
      <w:r w:rsidRPr="00BD1319">
        <w:rPr>
          <w:spacing w:val="-3"/>
        </w:rPr>
        <w:t xml:space="preserve"> y las</w:t>
      </w:r>
      <w:r w:rsidRPr="00BD1319">
        <w:t xml:space="preserve"> </w:t>
      </w:r>
      <w:r w:rsidRPr="00BD1319">
        <w:rPr>
          <w:spacing w:val="-3"/>
        </w:rPr>
        <w:t>ganancias de bienestar generadas</w:t>
      </w:r>
      <w:r w:rsidRPr="00BD1319">
        <w:t xml:space="preserve"> </w:t>
      </w:r>
      <w:r w:rsidRPr="00BD1319">
        <w:rPr>
          <w:spacing w:val="-3"/>
        </w:rPr>
        <w:t xml:space="preserve">por </w:t>
      </w:r>
      <w:r w:rsidR="00203C59" w:rsidRPr="00BD1319">
        <w:rPr>
          <w:spacing w:val="-3"/>
        </w:rPr>
        <w:t xml:space="preserve">las externalidades positivas que conlleva el desarrollo de </w:t>
      </w:r>
      <w:r w:rsidR="00342547" w:rsidRPr="00BD1319">
        <w:rPr>
          <w:spacing w:val="-3"/>
        </w:rPr>
        <w:t xml:space="preserve">un </w:t>
      </w:r>
      <w:r w:rsidR="00203C59" w:rsidRPr="00BD1319">
        <w:rPr>
          <w:spacing w:val="-3"/>
        </w:rPr>
        <w:t>proyecto</w:t>
      </w:r>
      <w:r w:rsidR="00342547" w:rsidRPr="00BD1319">
        <w:rPr>
          <w:spacing w:val="-3"/>
        </w:rPr>
        <w:t>, obra o actividad</w:t>
      </w:r>
      <w:r w:rsidRPr="00BD1319">
        <w:rPr>
          <w:spacing w:val="-3"/>
        </w:rPr>
        <w:t xml:space="preserve">, es decir, para garantizar que los costos ambientales generados por </w:t>
      </w:r>
      <w:r w:rsidR="00D12EA8" w:rsidRPr="00BD1319">
        <w:rPr>
          <w:spacing w:val="-3"/>
        </w:rPr>
        <w:t xml:space="preserve">dichos </w:t>
      </w:r>
      <w:r w:rsidRPr="00BD1319">
        <w:rPr>
          <w:spacing w:val="-3"/>
        </w:rPr>
        <w:t xml:space="preserve">impactos sean menores </w:t>
      </w:r>
      <w:r w:rsidR="00952E03" w:rsidRPr="00BD1319">
        <w:rPr>
          <w:spacing w:val="-3"/>
        </w:rPr>
        <w:t xml:space="preserve">que </w:t>
      </w:r>
      <w:r w:rsidR="00D12EA8" w:rsidRPr="00BD1319">
        <w:rPr>
          <w:spacing w:val="-3"/>
        </w:rPr>
        <w:t>lo</w:t>
      </w:r>
      <w:r w:rsidR="00342547" w:rsidRPr="00BD1319">
        <w:rPr>
          <w:spacing w:val="-3"/>
        </w:rPr>
        <w:t xml:space="preserve">s </w:t>
      </w:r>
      <w:r w:rsidR="00952E03" w:rsidRPr="00BD1319">
        <w:rPr>
          <w:spacing w:val="-3"/>
        </w:rPr>
        <w:t xml:space="preserve">beneficios </w:t>
      </w:r>
      <w:r w:rsidR="00203C59" w:rsidRPr="00BD1319">
        <w:rPr>
          <w:spacing w:val="-3"/>
        </w:rPr>
        <w:t xml:space="preserve">y </w:t>
      </w:r>
      <w:r w:rsidR="00952E03" w:rsidRPr="00BD1319">
        <w:rPr>
          <w:spacing w:val="-3"/>
        </w:rPr>
        <w:t xml:space="preserve">que su </w:t>
      </w:r>
      <w:r w:rsidR="00342547" w:rsidRPr="00BD1319">
        <w:rPr>
          <w:spacing w:val="-3"/>
        </w:rPr>
        <w:t>ejecución</w:t>
      </w:r>
      <w:r w:rsidR="00952E03" w:rsidRPr="00BD1319">
        <w:rPr>
          <w:spacing w:val="-3"/>
        </w:rPr>
        <w:t xml:space="preserve"> propicie </w:t>
      </w:r>
      <w:r w:rsidR="00203C59" w:rsidRPr="00BD1319">
        <w:rPr>
          <w:spacing w:val="-3"/>
        </w:rPr>
        <w:t>ganancia</w:t>
      </w:r>
      <w:r w:rsidR="00952E03" w:rsidRPr="00BD1319">
        <w:rPr>
          <w:spacing w:val="-3"/>
        </w:rPr>
        <w:t>s</w:t>
      </w:r>
      <w:r w:rsidR="00203C59" w:rsidRPr="00BD1319">
        <w:rPr>
          <w:spacing w:val="-3"/>
        </w:rPr>
        <w:t xml:space="preserve"> en términos de bienestar social y ambiental. Además, la EEA permite la internalización de impactos </w:t>
      </w:r>
      <w:r w:rsidR="00952E03" w:rsidRPr="00BD1319">
        <w:rPr>
          <w:spacing w:val="-3"/>
        </w:rPr>
        <w:t>mediante</w:t>
      </w:r>
      <w:r w:rsidR="00203C59" w:rsidRPr="00BD1319">
        <w:rPr>
          <w:spacing w:val="-3"/>
        </w:rPr>
        <w:t xml:space="preserve"> las medidas </w:t>
      </w:r>
      <w:r w:rsidR="00D12EA8" w:rsidRPr="00BD1319">
        <w:rPr>
          <w:spacing w:val="-3"/>
        </w:rPr>
        <w:t xml:space="preserve">de </w:t>
      </w:r>
      <w:r w:rsidR="00203C59" w:rsidRPr="00BD1319">
        <w:rPr>
          <w:spacing w:val="-3"/>
        </w:rPr>
        <w:t>preven</w:t>
      </w:r>
      <w:r w:rsidR="00D12EA8" w:rsidRPr="00BD1319">
        <w:rPr>
          <w:spacing w:val="-3"/>
        </w:rPr>
        <w:t>ción</w:t>
      </w:r>
      <w:r w:rsidR="00203C59" w:rsidRPr="00BD1319">
        <w:rPr>
          <w:spacing w:val="-3"/>
        </w:rPr>
        <w:t>, corre</w:t>
      </w:r>
      <w:r w:rsidR="00D12EA8" w:rsidRPr="00BD1319">
        <w:rPr>
          <w:spacing w:val="-3"/>
        </w:rPr>
        <w:t>cción</w:t>
      </w:r>
      <w:r w:rsidR="00952E03" w:rsidRPr="00BD1319">
        <w:rPr>
          <w:spacing w:val="-3"/>
        </w:rPr>
        <w:t xml:space="preserve"> </w:t>
      </w:r>
      <w:r w:rsidR="00203C59" w:rsidRPr="00BD1319">
        <w:rPr>
          <w:spacing w:val="-3"/>
        </w:rPr>
        <w:t>o mitiga</w:t>
      </w:r>
      <w:r w:rsidR="00D12EA8" w:rsidRPr="00BD1319">
        <w:rPr>
          <w:spacing w:val="-3"/>
        </w:rPr>
        <w:t>ción</w:t>
      </w:r>
      <w:r w:rsidR="00952E03" w:rsidRPr="00BD1319">
        <w:rPr>
          <w:spacing w:val="-3"/>
        </w:rPr>
        <w:t xml:space="preserve"> (</w:t>
      </w:r>
      <w:r w:rsidR="00D12EA8" w:rsidRPr="00BD1319">
        <w:rPr>
          <w:spacing w:val="-3"/>
        </w:rPr>
        <w:t>e</w:t>
      </w:r>
      <w:r w:rsidR="00A136AB" w:rsidRPr="00BD1319">
        <w:rPr>
          <w:spacing w:val="-3"/>
        </w:rPr>
        <w:t>n</w:t>
      </w:r>
      <w:r w:rsidR="00D12EA8" w:rsidRPr="00BD1319">
        <w:rPr>
          <w:spacing w:val="-3"/>
        </w:rPr>
        <w:t xml:space="preserve"> este último caso, sólo una </w:t>
      </w:r>
      <w:r w:rsidR="00952E03" w:rsidRPr="00BD1319">
        <w:rPr>
          <w:spacing w:val="-3"/>
        </w:rPr>
        <w:t xml:space="preserve">porción </w:t>
      </w:r>
      <w:r w:rsidR="00D12EA8" w:rsidRPr="00BD1319">
        <w:rPr>
          <w:spacing w:val="-3"/>
        </w:rPr>
        <w:t xml:space="preserve">de los impactos es </w:t>
      </w:r>
      <w:r w:rsidR="00952E03" w:rsidRPr="00BD1319">
        <w:rPr>
          <w:spacing w:val="-3"/>
        </w:rPr>
        <w:t>internalizada)</w:t>
      </w:r>
      <w:r w:rsidR="00D12EA8" w:rsidRPr="00BD1319">
        <w:rPr>
          <w:spacing w:val="-3"/>
        </w:rPr>
        <w:t xml:space="preserve"> contempladas en el Plan de Manejo Ambiental (PMA)</w:t>
      </w:r>
      <w:r w:rsidRPr="00BD1319">
        <w:rPr>
          <w:spacing w:val="-3"/>
        </w:rPr>
        <w:t>.</w:t>
      </w:r>
    </w:p>
    <w:p w14:paraId="3AECB655" w14:textId="77777777" w:rsidR="0056088F" w:rsidRPr="00BD1319" w:rsidRDefault="0056088F">
      <w:pPr>
        <w:numPr>
          <w:ilvl w:val="12"/>
          <w:numId w:val="0"/>
        </w:numPr>
        <w:tabs>
          <w:tab w:val="left" w:pos="-2268"/>
        </w:tabs>
        <w:suppressAutoHyphens/>
        <w:rPr>
          <w:spacing w:val="-3"/>
        </w:rPr>
      </w:pPr>
    </w:p>
    <w:p w14:paraId="261BC0A2" w14:textId="45B88F63" w:rsidR="0056088F" w:rsidRPr="00BD1319" w:rsidRDefault="0056088F">
      <w:pPr>
        <w:numPr>
          <w:ilvl w:val="12"/>
          <w:numId w:val="0"/>
        </w:numPr>
        <w:tabs>
          <w:tab w:val="left" w:pos="-2268"/>
        </w:tabs>
        <w:suppressAutoHyphens/>
        <w:rPr>
          <w:spacing w:val="-3"/>
        </w:rPr>
      </w:pPr>
      <w:bookmarkStart w:id="3292" w:name="_Toc488244575"/>
      <w:bookmarkStart w:id="3293" w:name="_Toc488247695"/>
      <w:bookmarkStart w:id="3294" w:name="_Toc488248339"/>
      <w:bookmarkStart w:id="3295" w:name="_Toc488248955"/>
      <w:bookmarkStart w:id="3296" w:name="_Toc488249571"/>
      <w:bookmarkStart w:id="3297" w:name="_Toc488330059"/>
      <w:bookmarkStart w:id="3298" w:name="_Toc488386913"/>
      <w:bookmarkStart w:id="3299" w:name="_Toc488402372"/>
      <w:bookmarkStart w:id="3300" w:name="_Toc488403195"/>
      <w:bookmarkStart w:id="3301" w:name="_Toc488404024"/>
      <w:bookmarkStart w:id="3302" w:name="_Toc488404855"/>
      <w:bookmarkStart w:id="3303" w:name="_Toc488405678"/>
      <w:bookmarkStart w:id="3304" w:name="_Toc488406507"/>
      <w:bookmarkStart w:id="3305" w:name="_Toc491409738"/>
      <w:bookmarkStart w:id="3306" w:name="_Toc496018276"/>
      <w:bookmarkStart w:id="3307" w:name="_Toc515787495"/>
      <w:bookmarkStart w:id="3308" w:name="_Toc515789195"/>
      <w:bookmarkStart w:id="3309" w:name="_Toc515790044"/>
      <w:bookmarkStart w:id="3310" w:name="_Toc515790893"/>
      <w:bookmarkStart w:id="3311" w:name="_Toc515791748"/>
      <w:bookmarkStart w:id="3312" w:name="_Toc515792598"/>
      <w:bookmarkStart w:id="3313" w:name="_Toc515793500"/>
      <w:bookmarkStart w:id="3314" w:name="_Toc515794405"/>
      <w:bookmarkStart w:id="3315" w:name="_Toc515796162"/>
      <w:bookmarkStart w:id="3316" w:name="_Toc488244576"/>
      <w:bookmarkStart w:id="3317" w:name="_Toc488247696"/>
      <w:bookmarkStart w:id="3318" w:name="_Toc488248340"/>
      <w:bookmarkStart w:id="3319" w:name="_Toc488248956"/>
      <w:bookmarkStart w:id="3320" w:name="_Toc488249572"/>
      <w:bookmarkStart w:id="3321" w:name="_Toc488330060"/>
      <w:bookmarkStart w:id="3322" w:name="_Toc488386914"/>
      <w:bookmarkStart w:id="3323" w:name="_Toc488402373"/>
      <w:bookmarkStart w:id="3324" w:name="_Toc488403196"/>
      <w:bookmarkStart w:id="3325" w:name="_Toc488404025"/>
      <w:bookmarkStart w:id="3326" w:name="_Toc488404856"/>
      <w:bookmarkStart w:id="3327" w:name="_Toc488405679"/>
      <w:bookmarkStart w:id="3328" w:name="_Toc488406508"/>
      <w:bookmarkStart w:id="3329" w:name="_Toc491409739"/>
      <w:bookmarkStart w:id="3330" w:name="_Toc496018277"/>
      <w:bookmarkStart w:id="3331" w:name="_Toc515787496"/>
      <w:bookmarkStart w:id="3332" w:name="_Toc515789196"/>
      <w:bookmarkStart w:id="3333" w:name="_Toc515790045"/>
      <w:bookmarkStart w:id="3334" w:name="_Toc515790894"/>
      <w:bookmarkStart w:id="3335" w:name="_Toc515791749"/>
      <w:bookmarkStart w:id="3336" w:name="_Toc515792599"/>
      <w:bookmarkStart w:id="3337" w:name="_Toc515793501"/>
      <w:bookmarkStart w:id="3338" w:name="_Toc515794406"/>
      <w:bookmarkStart w:id="3339" w:name="_Toc515796163"/>
      <w:bookmarkStart w:id="3340" w:name="_Toc488244577"/>
      <w:bookmarkStart w:id="3341" w:name="_Toc488247697"/>
      <w:bookmarkStart w:id="3342" w:name="_Toc488248341"/>
      <w:bookmarkStart w:id="3343" w:name="_Toc488248957"/>
      <w:bookmarkStart w:id="3344" w:name="_Toc488249573"/>
      <w:bookmarkStart w:id="3345" w:name="_Toc488330061"/>
      <w:bookmarkStart w:id="3346" w:name="_Toc488386915"/>
      <w:bookmarkStart w:id="3347" w:name="_Toc488402374"/>
      <w:bookmarkStart w:id="3348" w:name="_Toc488403197"/>
      <w:bookmarkStart w:id="3349" w:name="_Toc488404026"/>
      <w:bookmarkStart w:id="3350" w:name="_Toc488404857"/>
      <w:bookmarkStart w:id="3351" w:name="_Toc488405680"/>
      <w:bookmarkStart w:id="3352" w:name="_Toc488406509"/>
      <w:bookmarkStart w:id="3353" w:name="_Toc491409740"/>
      <w:bookmarkStart w:id="3354" w:name="_Toc496018278"/>
      <w:bookmarkStart w:id="3355" w:name="_Toc515787497"/>
      <w:bookmarkStart w:id="3356" w:name="_Toc515789197"/>
      <w:bookmarkStart w:id="3357" w:name="_Toc515790046"/>
      <w:bookmarkStart w:id="3358" w:name="_Toc515790895"/>
      <w:bookmarkStart w:id="3359" w:name="_Toc515791750"/>
      <w:bookmarkStart w:id="3360" w:name="_Toc515792600"/>
      <w:bookmarkStart w:id="3361" w:name="_Toc515793502"/>
      <w:bookmarkStart w:id="3362" w:name="_Toc515794407"/>
      <w:bookmarkStart w:id="3363" w:name="_Toc515796164"/>
      <w:bookmarkStart w:id="3364" w:name="_Toc488244578"/>
      <w:bookmarkStart w:id="3365" w:name="_Toc488247698"/>
      <w:bookmarkStart w:id="3366" w:name="_Toc488248342"/>
      <w:bookmarkStart w:id="3367" w:name="_Toc488248958"/>
      <w:bookmarkStart w:id="3368" w:name="_Toc488249574"/>
      <w:bookmarkStart w:id="3369" w:name="_Toc488330062"/>
      <w:bookmarkStart w:id="3370" w:name="_Toc488386916"/>
      <w:bookmarkStart w:id="3371" w:name="_Toc488402375"/>
      <w:bookmarkStart w:id="3372" w:name="_Toc488403198"/>
      <w:bookmarkStart w:id="3373" w:name="_Toc488404027"/>
      <w:bookmarkStart w:id="3374" w:name="_Toc488404858"/>
      <w:bookmarkStart w:id="3375" w:name="_Toc488405681"/>
      <w:bookmarkStart w:id="3376" w:name="_Toc488406510"/>
      <w:bookmarkStart w:id="3377" w:name="_Toc491409741"/>
      <w:bookmarkStart w:id="3378" w:name="_Toc496018279"/>
      <w:bookmarkStart w:id="3379" w:name="_Toc515787498"/>
      <w:bookmarkStart w:id="3380" w:name="_Toc515789198"/>
      <w:bookmarkStart w:id="3381" w:name="_Toc515790047"/>
      <w:bookmarkStart w:id="3382" w:name="_Toc515790896"/>
      <w:bookmarkStart w:id="3383" w:name="_Toc515791751"/>
      <w:bookmarkStart w:id="3384" w:name="_Toc515792601"/>
      <w:bookmarkStart w:id="3385" w:name="_Toc515793503"/>
      <w:bookmarkStart w:id="3386" w:name="_Toc515794408"/>
      <w:bookmarkStart w:id="3387" w:name="_Toc515796165"/>
      <w:bookmarkStart w:id="3388" w:name="_Toc488244579"/>
      <w:bookmarkStart w:id="3389" w:name="_Toc488247699"/>
      <w:bookmarkStart w:id="3390" w:name="_Toc488248343"/>
      <w:bookmarkStart w:id="3391" w:name="_Toc488248959"/>
      <w:bookmarkStart w:id="3392" w:name="_Toc488249575"/>
      <w:bookmarkStart w:id="3393" w:name="_Toc488330063"/>
      <w:bookmarkStart w:id="3394" w:name="_Toc488386917"/>
      <w:bookmarkStart w:id="3395" w:name="_Toc488402376"/>
      <w:bookmarkStart w:id="3396" w:name="_Toc488403199"/>
      <w:bookmarkStart w:id="3397" w:name="_Toc488404028"/>
      <w:bookmarkStart w:id="3398" w:name="_Toc488404859"/>
      <w:bookmarkStart w:id="3399" w:name="_Toc488405682"/>
      <w:bookmarkStart w:id="3400" w:name="_Toc488406511"/>
      <w:bookmarkStart w:id="3401" w:name="_Toc491409742"/>
      <w:bookmarkStart w:id="3402" w:name="_Toc496018280"/>
      <w:bookmarkStart w:id="3403" w:name="_Toc515787499"/>
      <w:bookmarkStart w:id="3404" w:name="_Toc515789199"/>
      <w:bookmarkStart w:id="3405" w:name="_Toc515790048"/>
      <w:bookmarkStart w:id="3406" w:name="_Toc515790897"/>
      <w:bookmarkStart w:id="3407" w:name="_Toc515791752"/>
      <w:bookmarkStart w:id="3408" w:name="_Toc515792602"/>
      <w:bookmarkStart w:id="3409" w:name="_Toc515793504"/>
      <w:bookmarkStart w:id="3410" w:name="_Toc515794409"/>
      <w:bookmarkStart w:id="3411" w:name="_Toc515796166"/>
      <w:bookmarkStart w:id="3412" w:name="_Toc488244580"/>
      <w:bookmarkStart w:id="3413" w:name="_Toc488247700"/>
      <w:bookmarkStart w:id="3414" w:name="_Toc488248344"/>
      <w:bookmarkStart w:id="3415" w:name="_Toc488248960"/>
      <w:bookmarkStart w:id="3416" w:name="_Toc488249576"/>
      <w:bookmarkStart w:id="3417" w:name="_Toc488330064"/>
      <w:bookmarkStart w:id="3418" w:name="_Toc488386918"/>
      <w:bookmarkStart w:id="3419" w:name="_Toc488402377"/>
      <w:bookmarkStart w:id="3420" w:name="_Toc488403200"/>
      <w:bookmarkStart w:id="3421" w:name="_Toc488404029"/>
      <w:bookmarkStart w:id="3422" w:name="_Toc488404860"/>
      <w:bookmarkStart w:id="3423" w:name="_Toc488405683"/>
      <w:bookmarkStart w:id="3424" w:name="_Toc488406512"/>
      <w:bookmarkStart w:id="3425" w:name="_Toc491409743"/>
      <w:bookmarkStart w:id="3426" w:name="_Toc496018281"/>
      <w:bookmarkStart w:id="3427" w:name="_Toc515787500"/>
      <w:bookmarkStart w:id="3428" w:name="_Toc515789200"/>
      <w:bookmarkStart w:id="3429" w:name="_Toc515790049"/>
      <w:bookmarkStart w:id="3430" w:name="_Toc515790898"/>
      <w:bookmarkStart w:id="3431" w:name="_Toc515791753"/>
      <w:bookmarkStart w:id="3432" w:name="_Toc515792603"/>
      <w:bookmarkStart w:id="3433" w:name="_Toc515793505"/>
      <w:bookmarkStart w:id="3434" w:name="_Toc515794410"/>
      <w:bookmarkStart w:id="3435" w:name="_Toc515796167"/>
      <w:bookmarkStart w:id="3436" w:name="_Toc488244581"/>
      <w:bookmarkStart w:id="3437" w:name="_Toc488247701"/>
      <w:bookmarkStart w:id="3438" w:name="_Toc488248345"/>
      <w:bookmarkStart w:id="3439" w:name="_Toc488248961"/>
      <w:bookmarkStart w:id="3440" w:name="_Toc488249577"/>
      <w:bookmarkStart w:id="3441" w:name="_Toc488330065"/>
      <w:bookmarkStart w:id="3442" w:name="_Toc488386919"/>
      <w:bookmarkStart w:id="3443" w:name="_Toc488402378"/>
      <w:bookmarkStart w:id="3444" w:name="_Toc488403201"/>
      <w:bookmarkStart w:id="3445" w:name="_Toc488404030"/>
      <w:bookmarkStart w:id="3446" w:name="_Toc488404861"/>
      <w:bookmarkStart w:id="3447" w:name="_Toc488405684"/>
      <w:bookmarkStart w:id="3448" w:name="_Toc488406513"/>
      <w:bookmarkStart w:id="3449" w:name="_Toc491409744"/>
      <w:bookmarkStart w:id="3450" w:name="_Toc496018282"/>
      <w:bookmarkStart w:id="3451" w:name="_Toc515787501"/>
      <w:bookmarkStart w:id="3452" w:name="_Toc515789201"/>
      <w:bookmarkStart w:id="3453" w:name="_Toc515790050"/>
      <w:bookmarkStart w:id="3454" w:name="_Toc515790899"/>
      <w:bookmarkStart w:id="3455" w:name="_Toc515791754"/>
      <w:bookmarkStart w:id="3456" w:name="_Toc515792604"/>
      <w:bookmarkStart w:id="3457" w:name="_Toc515793506"/>
      <w:bookmarkStart w:id="3458" w:name="_Toc515794411"/>
      <w:bookmarkStart w:id="3459" w:name="_Toc515796168"/>
      <w:bookmarkStart w:id="3460" w:name="_Toc488244582"/>
      <w:bookmarkStart w:id="3461" w:name="_Toc488247702"/>
      <w:bookmarkStart w:id="3462" w:name="_Toc488248346"/>
      <w:bookmarkStart w:id="3463" w:name="_Toc488248962"/>
      <w:bookmarkStart w:id="3464" w:name="_Toc488249578"/>
      <w:bookmarkStart w:id="3465" w:name="_Toc488330066"/>
      <w:bookmarkStart w:id="3466" w:name="_Toc488386920"/>
      <w:bookmarkStart w:id="3467" w:name="_Toc488402379"/>
      <w:bookmarkStart w:id="3468" w:name="_Toc488403202"/>
      <w:bookmarkStart w:id="3469" w:name="_Toc488404031"/>
      <w:bookmarkStart w:id="3470" w:name="_Toc488404862"/>
      <w:bookmarkStart w:id="3471" w:name="_Toc488405685"/>
      <w:bookmarkStart w:id="3472" w:name="_Toc488406514"/>
      <w:bookmarkStart w:id="3473" w:name="_Toc491409745"/>
      <w:bookmarkStart w:id="3474" w:name="_Toc496018283"/>
      <w:bookmarkStart w:id="3475" w:name="_Toc515787502"/>
      <w:bookmarkStart w:id="3476" w:name="_Toc515789202"/>
      <w:bookmarkStart w:id="3477" w:name="_Toc515790051"/>
      <w:bookmarkStart w:id="3478" w:name="_Toc515790900"/>
      <w:bookmarkStart w:id="3479" w:name="_Toc515791755"/>
      <w:bookmarkStart w:id="3480" w:name="_Toc515792605"/>
      <w:bookmarkStart w:id="3481" w:name="_Toc515793507"/>
      <w:bookmarkStart w:id="3482" w:name="_Toc515794412"/>
      <w:bookmarkStart w:id="3483" w:name="_Toc515796169"/>
      <w:bookmarkStart w:id="3484" w:name="_Toc488244583"/>
      <w:bookmarkStart w:id="3485" w:name="_Toc488247703"/>
      <w:bookmarkStart w:id="3486" w:name="_Toc488248347"/>
      <w:bookmarkStart w:id="3487" w:name="_Toc488248963"/>
      <w:bookmarkStart w:id="3488" w:name="_Toc488249579"/>
      <w:bookmarkStart w:id="3489" w:name="_Toc488330067"/>
      <w:bookmarkStart w:id="3490" w:name="_Toc488386921"/>
      <w:bookmarkStart w:id="3491" w:name="_Toc488402380"/>
      <w:bookmarkStart w:id="3492" w:name="_Toc488403203"/>
      <w:bookmarkStart w:id="3493" w:name="_Toc488404032"/>
      <w:bookmarkStart w:id="3494" w:name="_Toc488404863"/>
      <w:bookmarkStart w:id="3495" w:name="_Toc488405686"/>
      <w:bookmarkStart w:id="3496" w:name="_Toc488406515"/>
      <w:bookmarkStart w:id="3497" w:name="_Toc491409746"/>
      <w:bookmarkStart w:id="3498" w:name="_Toc496018284"/>
      <w:bookmarkStart w:id="3499" w:name="_Toc515787503"/>
      <w:bookmarkStart w:id="3500" w:name="_Toc515789203"/>
      <w:bookmarkStart w:id="3501" w:name="_Toc515790052"/>
      <w:bookmarkStart w:id="3502" w:name="_Toc515790901"/>
      <w:bookmarkStart w:id="3503" w:name="_Toc515791756"/>
      <w:bookmarkStart w:id="3504" w:name="_Toc515792606"/>
      <w:bookmarkStart w:id="3505" w:name="_Toc515793508"/>
      <w:bookmarkStart w:id="3506" w:name="_Toc515794413"/>
      <w:bookmarkStart w:id="3507" w:name="_Toc515796170"/>
      <w:bookmarkStart w:id="3508" w:name="_Toc488244584"/>
      <w:bookmarkStart w:id="3509" w:name="_Toc488247704"/>
      <w:bookmarkStart w:id="3510" w:name="_Toc488248348"/>
      <w:bookmarkStart w:id="3511" w:name="_Toc488248964"/>
      <w:bookmarkStart w:id="3512" w:name="_Toc488249580"/>
      <w:bookmarkStart w:id="3513" w:name="_Toc488330068"/>
      <w:bookmarkStart w:id="3514" w:name="_Toc488386922"/>
      <w:bookmarkStart w:id="3515" w:name="_Toc488402381"/>
      <w:bookmarkStart w:id="3516" w:name="_Toc488403204"/>
      <w:bookmarkStart w:id="3517" w:name="_Toc488404033"/>
      <w:bookmarkStart w:id="3518" w:name="_Toc488404864"/>
      <w:bookmarkStart w:id="3519" w:name="_Toc488405687"/>
      <w:bookmarkStart w:id="3520" w:name="_Toc488406516"/>
      <w:bookmarkStart w:id="3521" w:name="_Toc491409747"/>
      <w:bookmarkStart w:id="3522" w:name="_Toc496018285"/>
      <w:bookmarkStart w:id="3523" w:name="_Toc515787504"/>
      <w:bookmarkStart w:id="3524" w:name="_Toc515789204"/>
      <w:bookmarkStart w:id="3525" w:name="_Toc515790053"/>
      <w:bookmarkStart w:id="3526" w:name="_Toc515790902"/>
      <w:bookmarkStart w:id="3527" w:name="_Toc515791757"/>
      <w:bookmarkStart w:id="3528" w:name="_Toc515792607"/>
      <w:bookmarkStart w:id="3529" w:name="_Toc515793509"/>
      <w:bookmarkStart w:id="3530" w:name="_Toc515794414"/>
      <w:bookmarkStart w:id="3531" w:name="_Toc515796171"/>
      <w:bookmarkStart w:id="3532" w:name="_Toc488244585"/>
      <w:bookmarkStart w:id="3533" w:name="_Toc488247705"/>
      <w:bookmarkStart w:id="3534" w:name="_Toc488248349"/>
      <w:bookmarkStart w:id="3535" w:name="_Toc488248965"/>
      <w:bookmarkStart w:id="3536" w:name="_Toc488249581"/>
      <w:bookmarkStart w:id="3537" w:name="_Toc488330069"/>
      <w:bookmarkStart w:id="3538" w:name="_Toc488386923"/>
      <w:bookmarkStart w:id="3539" w:name="_Toc488402382"/>
      <w:bookmarkStart w:id="3540" w:name="_Toc488403205"/>
      <w:bookmarkStart w:id="3541" w:name="_Toc488404034"/>
      <w:bookmarkStart w:id="3542" w:name="_Toc488404865"/>
      <w:bookmarkStart w:id="3543" w:name="_Toc488405688"/>
      <w:bookmarkStart w:id="3544" w:name="_Toc488406517"/>
      <w:bookmarkStart w:id="3545" w:name="_Toc491409748"/>
      <w:bookmarkStart w:id="3546" w:name="_Toc496018286"/>
      <w:bookmarkStart w:id="3547" w:name="_Toc515787505"/>
      <w:bookmarkStart w:id="3548" w:name="_Toc515789205"/>
      <w:bookmarkStart w:id="3549" w:name="_Toc515790054"/>
      <w:bookmarkStart w:id="3550" w:name="_Toc515790903"/>
      <w:bookmarkStart w:id="3551" w:name="_Toc515791758"/>
      <w:bookmarkStart w:id="3552" w:name="_Toc515792608"/>
      <w:bookmarkStart w:id="3553" w:name="_Toc515793510"/>
      <w:bookmarkStart w:id="3554" w:name="_Toc515794415"/>
      <w:bookmarkStart w:id="3555" w:name="_Toc515796172"/>
      <w:bookmarkStart w:id="3556" w:name="_Toc488244586"/>
      <w:bookmarkStart w:id="3557" w:name="_Toc488247706"/>
      <w:bookmarkStart w:id="3558" w:name="_Toc488248350"/>
      <w:bookmarkStart w:id="3559" w:name="_Toc488248966"/>
      <w:bookmarkStart w:id="3560" w:name="_Toc488249582"/>
      <w:bookmarkStart w:id="3561" w:name="_Toc488330070"/>
      <w:bookmarkStart w:id="3562" w:name="_Toc488386924"/>
      <w:bookmarkStart w:id="3563" w:name="_Toc488402383"/>
      <w:bookmarkStart w:id="3564" w:name="_Toc488403206"/>
      <w:bookmarkStart w:id="3565" w:name="_Toc488404035"/>
      <w:bookmarkStart w:id="3566" w:name="_Toc488404866"/>
      <w:bookmarkStart w:id="3567" w:name="_Toc488405689"/>
      <w:bookmarkStart w:id="3568" w:name="_Toc488406518"/>
      <w:bookmarkStart w:id="3569" w:name="_Toc491409749"/>
      <w:bookmarkStart w:id="3570" w:name="_Toc496018287"/>
      <w:bookmarkStart w:id="3571" w:name="_Toc515787506"/>
      <w:bookmarkStart w:id="3572" w:name="_Toc515789206"/>
      <w:bookmarkStart w:id="3573" w:name="_Toc515790055"/>
      <w:bookmarkStart w:id="3574" w:name="_Toc515790904"/>
      <w:bookmarkStart w:id="3575" w:name="_Toc515791759"/>
      <w:bookmarkStart w:id="3576" w:name="_Toc515792609"/>
      <w:bookmarkStart w:id="3577" w:name="_Toc515793511"/>
      <w:bookmarkStart w:id="3578" w:name="_Toc515794416"/>
      <w:bookmarkStart w:id="3579" w:name="_Toc515796173"/>
      <w:bookmarkStart w:id="3580" w:name="_Toc488244587"/>
      <w:bookmarkStart w:id="3581" w:name="_Toc488247707"/>
      <w:bookmarkStart w:id="3582" w:name="_Toc488248351"/>
      <w:bookmarkStart w:id="3583" w:name="_Toc488248967"/>
      <w:bookmarkStart w:id="3584" w:name="_Toc488249583"/>
      <w:bookmarkStart w:id="3585" w:name="_Toc488330071"/>
      <w:bookmarkStart w:id="3586" w:name="_Toc488386925"/>
      <w:bookmarkStart w:id="3587" w:name="_Toc488402384"/>
      <w:bookmarkStart w:id="3588" w:name="_Toc488403207"/>
      <w:bookmarkStart w:id="3589" w:name="_Toc488404036"/>
      <w:bookmarkStart w:id="3590" w:name="_Toc488404867"/>
      <w:bookmarkStart w:id="3591" w:name="_Toc488405690"/>
      <w:bookmarkStart w:id="3592" w:name="_Toc488406519"/>
      <w:bookmarkStart w:id="3593" w:name="_Toc491409750"/>
      <w:bookmarkStart w:id="3594" w:name="_Toc496018288"/>
      <w:bookmarkStart w:id="3595" w:name="_Toc515787507"/>
      <w:bookmarkStart w:id="3596" w:name="_Toc515789207"/>
      <w:bookmarkStart w:id="3597" w:name="_Toc515790056"/>
      <w:bookmarkStart w:id="3598" w:name="_Toc515790905"/>
      <w:bookmarkStart w:id="3599" w:name="_Toc515791760"/>
      <w:bookmarkStart w:id="3600" w:name="_Toc515792610"/>
      <w:bookmarkStart w:id="3601" w:name="_Toc515793512"/>
      <w:bookmarkStart w:id="3602" w:name="_Toc515794417"/>
      <w:bookmarkStart w:id="3603" w:name="_Toc515796174"/>
      <w:bookmarkStart w:id="3604" w:name="_Toc488244588"/>
      <w:bookmarkStart w:id="3605" w:name="_Toc488247708"/>
      <w:bookmarkStart w:id="3606" w:name="_Toc488248352"/>
      <w:bookmarkStart w:id="3607" w:name="_Toc488248968"/>
      <w:bookmarkStart w:id="3608" w:name="_Toc488249584"/>
      <w:bookmarkStart w:id="3609" w:name="_Toc488330072"/>
      <w:bookmarkStart w:id="3610" w:name="_Toc488386926"/>
      <w:bookmarkStart w:id="3611" w:name="_Toc488402385"/>
      <w:bookmarkStart w:id="3612" w:name="_Toc488403208"/>
      <w:bookmarkStart w:id="3613" w:name="_Toc488404037"/>
      <w:bookmarkStart w:id="3614" w:name="_Toc488404868"/>
      <w:bookmarkStart w:id="3615" w:name="_Toc488405691"/>
      <w:bookmarkStart w:id="3616" w:name="_Toc488406520"/>
      <w:bookmarkStart w:id="3617" w:name="_Toc491409751"/>
      <w:bookmarkStart w:id="3618" w:name="_Toc496018289"/>
      <w:bookmarkStart w:id="3619" w:name="_Toc515787508"/>
      <w:bookmarkStart w:id="3620" w:name="_Toc515789208"/>
      <w:bookmarkStart w:id="3621" w:name="_Toc515790057"/>
      <w:bookmarkStart w:id="3622" w:name="_Toc515790906"/>
      <w:bookmarkStart w:id="3623" w:name="_Toc515791761"/>
      <w:bookmarkStart w:id="3624" w:name="_Toc515792611"/>
      <w:bookmarkStart w:id="3625" w:name="_Toc515793513"/>
      <w:bookmarkStart w:id="3626" w:name="_Toc515794418"/>
      <w:bookmarkStart w:id="3627" w:name="_Toc515796175"/>
      <w:bookmarkStart w:id="3628" w:name="_Toc488244589"/>
      <w:bookmarkStart w:id="3629" w:name="_Toc488247709"/>
      <w:bookmarkStart w:id="3630" w:name="_Toc488248353"/>
      <w:bookmarkStart w:id="3631" w:name="_Toc488248969"/>
      <w:bookmarkStart w:id="3632" w:name="_Toc488249585"/>
      <w:bookmarkStart w:id="3633" w:name="_Toc488330073"/>
      <w:bookmarkStart w:id="3634" w:name="_Toc488386927"/>
      <w:bookmarkStart w:id="3635" w:name="_Toc488402386"/>
      <w:bookmarkStart w:id="3636" w:name="_Toc488403209"/>
      <w:bookmarkStart w:id="3637" w:name="_Toc488404038"/>
      <w:bookmarkStart w:id="3638" w:name="_Toc488404869"/>
      <w:bookmarkStart w:id="3639" w:name="_Toc488405692"/>
      <w:bookmarkStart w:id="3640" w:name="_Toc488406521"/>
      <w:bookmarkStart w:id="3641" w:name="_Toc491409752"/>
      <w:bookmarkStart w:id="3642" w:name="_Toc496018290"/>
      <w:bookmarkStart w:id="3643" w:name="_Toc515787509"/>
      <w:bookmarkStart w:id="3644" w:name="_Toc515789209"/>
      <w:bookmarkStart w:id="3645" w:name="_Toc515790058"/>
      <w:bookmarkStart w:id="3646" w:name="_Toc515790907"/>
      <w:bookmarkStart w:id="3647" w:name="_Toc515791762"/>
      <w:bookmarkStart w:id="3648" w:name="_Toc515792612"/>
      <w:bookmarkStart w:id="3649" w:name="_Toc515793514"/>
      <w:bookmarkStart w:id="3650" w:name="_Toc515794419"/>
      <w:bookmarkStart w:id="3651" w:name="_Toc515796176"/>
      <w:bookmarkStart w:id="3652" w:name="_Toc488244590"/>
      <w:bookmarkStart w:id="3653" w:name="_Toc488247710"/>
      <w:bookmarkStart w:id="3654" w:name="_Toc488248354"/>
      <w:bookmarkStart w:id="3655" w:name="_Toc488248970"/>
      <w:bookmarkStart w:id="3656" w:name="_Toc488249586"/>
      <w:bookmarkStart w:id="3657" w:name="_Toc488330074"/>
      <w:bookmarkStart w:id="3658" w:name="_Toc488386928"/>
      <w:bookmarkStart w:id="3659" w:name="_Toc488402387"/>
      <w:bookmarkStart w:id="3660" w:name="_Toc488403210"/>
      <w:bookmarkStart w:id="3661" w:name="_Toc488404039"/>
      <w:bookmarkStart w:id="3662" w:name="_Toc488404870"/>
      <w:bookmarkStart w:id="3663" w:name="_Toc488405693"/>
      <w:bookmarkStart w:id="3664" w:name="_Toc488406522"/>
      <w:bookmarkStart w:id="3665" w:name="_Toc491409753"/>
      <w:bookmarkStart w:id="3666" w:name="_Toc496018291"/>
      <w:bookmarkStart w:id="3667" w:name="_Toc515787510"/>
      <w:bookmarkStart w:id="3668" w:name="_Toc515789210"/>
      <w:bookmarkStart w:id="3669" w:name="_Toc515790059"/>
      <w:bookmarkStart w:id="3670" w:name="_Toc515790908"/>
      <w:bookmarkStart w:id="3671" w:name="_Toc515791763"/>
      <w:bookmarkStart w:id="3672" w:name="_Toc515792613"/>
      <w:bookmarkStart w:id="3673" w:name="_Toc515793515"/>
      <w:bookmarkStart w:id="3674" w:name="_Toc515794420"/>
      <w:bookmarkStart w:id="3675" w:name="_Toc515796177"/>
      <w:bookmarkStart w:id="3676" w:name="_Toc488244591"/>
      <w:bookmarkStart w:id="3677" w:name="_Toc488247711"/>
      <w:bookmarkStart w:id="3678" w:name="_Toc488248355"/>
      <w:bookmarkStart w:id="3679" w:name="_Toc488248971"/>
      <w:bookmarkStart w:id="3680" w:name="_Toc488249587"/>
      <w:bookmarkStart w:id="3681" w:name="_Toc488330075"/>
      <w:bookmarkStart w:id="3682" w:name="_Toc488386929"/>
      <w:bookmarkStart w:id="3683" w:name="_Toc488402388"/>
      <w:bookmarkStart w:id="3684" w:name="_Toc488403211"/>
      <w:bookmarkStart w:id="3685" w:name="_Toc488404040"/>
      <w:bookmarkStart w:id="3686" w:name="_Toc488404871"/>
      <w:bookmarkStart w:id="3687" w:name="_Toc488405694"/>
      <w:bookmarkStart w:id="3688" w:name="_Toc488406523"/>
      <w:bookmarkStart w:id="3689" w:name="_Toc491409754"/>
      <w:bookmarkStart w:id="3690" w:name="_Toc496018292"/>
      <w:bookmarkStart w:id="3691" w:name="_Toc515787511"/>
      <w:bookmarkStart w:id="3692" w:name="_Toc515789211"/>
      <w:bookmarkStart w:id="3693" w:name="_Toc515790060"/>
      <w:bookmarkStart w:id="3694" w:name="_Toc515790909"/>
      <w:bookmarkStart w:id="3695" w:name="_Toc515791764"/>
      <w:bookmarkStart w:id="3696" w:name="_Toc515792614"/>
      <w:bookmarkStart w:id="3697" w:name="_Toc515793516"/>
      <w:bookmarkStart w:id="3698" w:name="_Toc515794421"/>
      <w:bookmarkStart w:id="3699" w:name="_Toc515796178"/>
      <w:bookmarkStart w:id="3700" w:name="_Toc488244592"/>
      <w:bookmarkStart w:id="3701" w:name="_Toc488247712"/>
      <w:bookmarkStart w:id="3702" w:name="_Toc488248356"/>
      <w:bookmarkStart w:id="3703" w:name="_Toc488248972"/>
      <w:bookmarkStart w:id="3704" w:name="_Toc488249588"/>
      <w:bookmarkStart w:id="3705" w:name="_Toc488330076"/>
      <w:bookmarkStart w:id="3706" w:name="_Toc488386930"/>
      <w:bookmarkStart w:id="3707" w:name="_Toc488402389"/>
      <w:bookmarkStart w:id="3708" w:name="_Toc488403212"/>
      <w:bookmarkStart w:id="3709" w:name="_Toc488404041"/>
      <w:bookmarkStart w:id="3710" w:name="_Toc488404872"/>
      <w:bookmarkStart w:id="3711" w:name="_Toc488405695"/>
      <w:bookmarkStart w:id="3712" w:name="_Toc488406524"/>
      <w:bookmarkStart w:id="3713" w:name="_Toc491409755"/>
      <w:bookmarkStart w:id="3714" w:name="_Toc496018293"/>
      <w:bookmarkStart w:id="3715" w:name="_Toc515787512"/>
      <w:bookmarkStart w:id="3716" w:name="_Toc515789212"/>
      <w:bookmarkStart w:id="3717" w:name="_Toc515790061"/>
      <w:bookmarkStart w:id="3718" w:name="_Toc515790910"/>
      <w:bookmarkStart w:id="3719" w:name="_Toc515791765"/>
      <w:bookmarkStart w:id="3720" w:name="_Toc515792615"/>
      <w:bookmarkStart w:id="3721" w:name="_Toc515793517"/>
      <w:bookmarkStart w:id="3722" w:name="_Toc515794422"/>
      <w:bookmarkStart w:id="3723" w:name="_Toc515796179"/>
      <w:bookmarkStart w:id="3724" w:name="_Toc488244593"/>
      <w:bookmarkStart w:id="3725" w:name="_Toc488247713"/>
      <w:bookmarkStart w:id="3726" w:name="_Toc488248357"/>
      <w:bookmarkStart w:id="3727" w:name="_Toc488248973"/>
      <w:bookmarkStart w:id="3728" w:name="_Toc488249589"/>
      <w:bookmarkStart w:id="3729" w:name="_Toc488330077"/>
      <w:bookmarkStart w:id="3730" w:name="_Toc488386931"/>
      <w:bookmarkStart w:id="3731" w:name="_Toc488402390"/>
      <w:bookmarkStart w:id="3732" w:name="_Toc488403213"/>
      <w:bookmarkStart w:id="3733" w:name="_Toc488404042"/>
      <w:bookmarkStart w:id="3734" w:name="_Toc488404873"/>
      <w:bookmarkStart w:id="3735" w:name="_Toc488405696"/>
      <w:bookmarkStart w:id="3736" w:name="_Toc488406525"/>
      <w:bookmarkStart w:id="3737" w:name="_Toc491409756"/>
      <w:bookmarkStart w:id="3738" w:name="_Toc496018294"/>
      <w:bookmarkStart w:id="3739" w:name="_Toc515787513"/>
      <w:bookmarkStart w:id="3740" w:name="_Toc515789213"/>
      <w:bookmarkStart w:id="3741" w:name="_Toc515790062"/>
      <w:bookmarkStart w:id="3742" w:name="_Toc515790911"/>
      <w:bookmarkStart w:id="3743" w:name="_Toc515791766"/>
      <w:bookmarkStart w:id="3744" w:name="_Toc515792616"/>
      <w:bookmarkStart w:id="3745" w:name="_Toc515793518"/>
      <w:bookmarkStart w:id="3746" w:name="_Toc515794423"/>
      <w:bookmarkStart w:id="3747" w:name="_Toc515796180"/>
      <w:bookmarkStart w:id="3748" w:name="_Toc488244594"/>
      <w:bookmarkStart w:id="3749" w:name="_Toc488247714"/>
      <w:bookmarkStart w:id="3750" w:name="_Toc488248358"/>
      <w:bookmarkStart w:id="3751" w:name="_Toc488248974"/>
      <w:bookmarkStart w:id="3752" w:name="_Toc488249590"/>
      <w:bookmarkStart w:id="3753" w:name="_Toc488330078"/>
      <w:bookmarkStart w:id="3754" w:name="_Toc488386932"/>
      <w:bookmarkStart w:id="3755" w:name="_Toc488402391"/>
      <w:bookmarkStart w:id="3756" w:name="_Toc488403214"/>
      <w:bookmarkStart w:id="3757" w:name="_Toc488404043"/>
      <w:bookmarkStart w:id="3758" w:name="_Toc488404874"/>
      <w:bookmarkStart w:id="3759" w:name="_Toc488405697"/>
      <w:bookmarkStart w:id="3760" w:name="_Toc488406526"/>
      <w:bookmarkStart w:id="3761" w:name="_Toc491409757"/>
      <w:bookmarkStart w:id="3762" w:name="_Toc496018295"/>
      <w:bookmarkStart w:id="3763" w:name="_Toc515787514"/>
      <w:bookmarkStart w:id="3764" w:name="_Toc515789214"/>
      <w:bookmarkStart w:id="3765" w:name="_Toc515790063"/>
      <w:bookmarkStart w:id="3766" w:name="_Toc515790912"/>
      <w:bookmarkStart w:id="3767" w:name="_Toc515791767"/>
      <w:bookmarkStart w:id="3768" w:name="_Toc515792617"/>
      <w:bookmarkStart w:id="3769" w:name="_Toc515793519"/>
      <w:bookmarkStart w:id="3770" w:name="_Toc515794424"/>
      <w:bookmarkStart w:id="3771" w:name="_Toc515796181"/>
      <w:bookmarkStart w:id="3772" w:name="_Toc488244595"/>
      <w:bookmarkStart w:id="3773" w:name="_Toc488247715"/>
      <w:bookmarkStart w:id="3774" w:name="_Toc488248359"/>
      <w:bookmarkStart w:id="3775" w:name="_Toc488248975"/>
      <w:bookmarkStart w:id="3776" w:name="_Toc488249591"/>
      <w:bookmarkStart w:id="3777" w:name="_Toc488330079"/>
      <w:bookmarkStart w:id="3778" w:name="_Toc488386933"/>
      <w:bookmarkStart w:id="3779" w:name="_Toc488402392"/>
      <w:bookmarkStart w:id="3780" w:name="_Toc488403215"/>
      <w:bookmarkStart w:id="3781" w:name="_Toc488404044"/>
      <w:bookmarkStart w:id="3782" w:name="_Toc488404875"/>
      <w:bookmarkStart w:id="3783" w:name="_Toc488405698"/>
      <w:bookmarkStart w:id="3784" w:name="_Toc488406527"/>
      <w:bookmarkStart w:id="3785" w:name="_Toc491409758"/>
      <w:bookmarkStart w:id="3786" w:name="_Toc496018296"/>
      <w:bookmarkStart w:id="3787" w:name="_Toc515787515"/>
      <w:bookmarkStart w:id="3788" w:name="_Toc515789215"/>
      <w:bookmarkStart w:id="3789" w:name="_Toc515790064"/>
      <w:bookmarkStart w:id="3790" w:name="_Toc515790913"/>
      <w:bookmarkStart w:id="3791" w:name="_Toc515791768"/>
      <w:bookmarkStart w:id="3792" w:name="_Toc515792618"/>
      <w:bookmarkStart w:id="3793" w:name="_Toc515793520"/>
      <w:bookmarkStart w:id="3794" w:name="_Toc515794425"/>
      <w:bookmarkStart w:id="3795" w:name="_Toc515796182"/>
      <w:bookmarkStart w:id="3796" w:name="_Toc488244596"/>
      <w:bookmarkStart w:id="3797" w:name="_Toc488247716"/>
      <w:bookmarkStart w:id="3798" w:name="_Toc488248360"/>
      <w:bookmarkStart w:id="3799" w:name="_Toc488248976"/>
      <w:bookmarkStart w:id="3800" w:name="_Toc488249592"/>
      <w:bookmarkStart w:id="3801" w:name="_Toc488330080"/>
      <w:bookmarkStart w:id="3802" w:name="_Toc488386934"/>
      <w:bookmarkStart w:id="3803" w:name="_Toc488402393"/>
      <w:bookmarkStart w:id="3804" w:name="_Toc488403216"/>
      <w:bookmarkStart w:id="3805" w:name="_Toc488404045"/>
      <w:bookmarkStart w:id="3806" w:name="_Toc488404876"/>
      <w:bookmarkStart w:id="3807" w:name="_Toc488405699"/>
      <w:bookmarkStart w:id="3808" w:name="_Toc488406528"/>
      <w:bookmarkStart w:id="3809" w:name="_Toc491409759"/>
      <w:bookmarkStart w:id="3810" w:name="_Toc496018297"/>
      <w:bookmarkStart w:id="3811" w:name="_Toc515787516"/>
      <w:bookmarkStart w:id="3812" w:name="_Toc515789216"/>
      <w:bookmarkStart w:id="3813" w:name="_Toc515790065"/>
      <w:bookmarkStart w:id="3814" w:name="_Toc515790914"/>
      <w:bookmarkStart w:id="3815" w:name="_Toc515791769"/>
      <w:bookmarkStart w:id="3816" w:name="_Toc515792619"/>
      <w:bookmarkStart w:id="3817" w:name="_Toc515793521"/>
      <w:bookmarkStart w:id="3818" w:name="_Toc515794426"/>
      <w:bookmarkStart w:id="3819" w:name="_Toc515796183"/>
      <w:bookmarkStart w:id="3820" w:name="_Toc488244597"/>
      <w:bookmarkStart w:id="3821" w:name="_Toc488247717"/>
      <w:bookmarkStart w:id="3822" w:name="_Toc488248361"/>
      <w:bookmarkStart w:id="3823" w:name="_Toc488248977"/>
      <w:bookmarkStart w:id="3824" w:name="_Toc488249593"/>
      <w:bookmarkStart w:id="3825" w:name="_Toc488330081"/>
      <w:bookmarkStart w:id="3826" w:name="_Toc488386935"/>
      <w:bookmarkStart w:id="3827" w:name="_Toc488402394"/>
      <w:bookmarkStart w:id="3828" w:name="_Toc488403217"/>
      <w:bookmarkStart w:id="3829" w:name="_Toc488404046"/>
      <w:bookmarkStart w:id="3830" w:name="_Toc488404877"/>
      <w:bookmarkStart w:id="3831" w:name="_Toc488405700"/>
      <w:bookmarkStart w:id="3832" w:name="_Toc488406529"/>
      <w:bookmarkStart w:id="3833" w:name="_Toc491409760"/>
      <w:bookmarkStart w:id="3834" w:name="_Toc496018298"/>
      <w:bookmarkStart w:id="3835" w:name="_Toc515787517"/>
      <w:bookmarkStart w:id="3836" w:name="_Toc515789217"/>
      <w:bookmarkStart w:id="3837" w:name="_Toc515790066"/>
      <w:bookmarkStart w:id="3838" w:name="_Toc515790915"/>
      <w:bookmarkStart w:id="3839" w:name="_Toc515791770"/>
      <w:bookmarkStart w:id="3840" w:name="_Toc515792620"/>
      <w:bookmarkStart w:id="3841" w:name="_Toc515793522"/>
      <w:bookmarkStart w:id="3842" w:name="_Toc515794427"/>
      <w:bookmarkStart w:id="3843" w:name="_Toc515796184"/>
      <w:bookmarkStart w:id="3844" w:name="_Toc488244598"/>
      <w:bookmarkStart w:id="3845" w:name="_Toc488247718"/>
      <w:bookmarkStart w:id="3846" w:name="_Toc488248362"/>
      <w:bookmarkStart w:id="3847" w:name="_Toc488248978"/>
      <w:bookmarkStart w:id="3848" w:name="_Toc488249594"/>
      <w:bookmarkStart w:id="3849" w:name="_Toc488330082"/>
      <w:bookmarkStart w:id="3850" w:name="_Toc488386936"/>
      <w:bookmarkStart w:id="3851" w:name="_Toc488402395"/>
      <w:bookmarkStart w:id="3852" w:name="_Toc488403218"/>
      <w:bookmarkStart w:id="3853" w:name="_Toc488404047"/>
      <w:bookmarkStart w:id="3854" w:name="_Toc488404878"/>
      <w:bookmarkStart w:id="3855" w:name="_Toc488405701"/>
      <w:bookmarkStart w:id="3856" w:name="_Toc488406530"/>
      <w:bookmarkStart w:id="3857" w:name="_Toc491409761"/>
      <w:bookmarkStart w:id="3858" w:name="_Toc496018299"/>
      <w:bookmarkStart w:id="3859" w:name="_Toc515787518"/>
      <w:bookmarkStart w:id="3860" w:name="_Toc515789218"/>
      <w:bookmarkStart w:id="3861" w:name="_Toc515790067"/>
      <w:bookmarkStart w:id="3862" w:name="_Toc515790916"/>
      <w:bookmarkStart w:id="3863" w:name="_Toc515791771"/>
      <w:bookmarkStart w:id="3864" w:name="_Toc515792621"/>
      <w:bookmarkStart w:id="3865" w:name="_Toc515793523"/>
      <w:bookmarkStart w:id="3866" w:name="_Toc515794428"/>
      <w:bookmarkStart w:id="3867" w:name="_Toc515796185"/>
      <w:bookmarkStart w:id="3868" w:name="_Toc488244599"/>
      <w:bookmarkStart w:id="3869" w:name="_Toc488247719"/>
      <w:bookmarkStart w:id="3870" w:name="_Toc488248363"/>
      <w:bookmarkStart w:id="3871" w:name="_Toc488248979"/>
      <w:bookmarkStart w:id="3872" w:name="_Toc488249595"/>
      <w:bookmarkStart w:id="3873" w:name="_Toc488330083"/>
      <w:bookmarkStart w:id="3874" w:name="_Toc488386937"/>
      <w:bookmarkStart w:id="3875" w:name="_Toc488402396"/>
      <w:bookmarkStart w:id="3876" w:name="_Toc488403219"/>
      <w:bookmarkStart w:id="3877" w:name="_Toc488404048"/>
      <w:bookmarkStart w:id="3878" w:name="_Toc488404879"/>
      <w:bookmarkStart w:id="3879" w:name="_Toc488405702"/>
      <w:bookmarkStart w:id="3880" w:name="_Toc488406531"/>
      <w:bookmarkStart w:id="3881" w:name="_Toc491409762"/>
      <w:bookmarkStart w:id="3882" w:name="_Toc496018300"/>
      <w:bookmarkStart w:id="3883" w:name="_Toc515787519"/>
      <w:bookmarkStart w:id="3884" w:name="_Toc515789219"/>
      <w:bookmarkStart w:id="3885" w:name="_Toc515790068"/>
      <w:bookmarkStart w:id="3886" w:name="_Toc515790917"/>
      <w:bookmarkStart w:id="3887" w:name="_Toc515791772"/>
      <w:bookmarkStart w:id="3888" w:name="_Toc515792622"/>
      <w:bookmarkStart w:id="3889" w:name="_Toc515793524"/>
      <w:bookmarkStart w:id="3890" w:name="_Toc515794429"/>
      <w:bookmarkStart w:id="3891" w:name="_Toc515796186"/>
      <w:bookmarkStart w:id="3892" w:name="_Toc488244600"/>
      <w:bookmarkStart w:id="3893" w:name="_Toc488247720"/>
      <w:bookmarkStart w:id="3894" w:name="_Toc488248364"/>
      <w:bookmarkStart w:id="3895" w:name="_Toc488248980"/>
      <w:bookmarkStart w:id="3896" w:name="_Toc488249596"/>
      <w:bookmarkStart w:id="3897" w:name="_Toc488330084"/>
      <w:bookmarkStart w:id="3898" w:name="_Toc488386938"/>
      <w:bookmarkStart w:id="3899" w:name="_Toc488402397"/>
      <w:bookmarkStart w:id="3900" w:name="_Toc488403220"/>
      <w:bookmarkStart w:id="3901" w:name="_Toc488404049"/>
      <w:bookmarkStart w:id="3902" w:name="_Toc488404880"/>
      <w:bookmarkStart w:id="3903" w:name="_Toc488405703"/>
      <w:bookmarkStart w:id="3904" w:name="_Toc488406532"/>
      <w:bookmarkStart w:id="3905" w:name="_Toc491409763"/>
      <w:bookmarkStart w:id="3906" w:name="_Toc496018301"/>
      <w:bookmarkStart w:id="3907" w:name="_Toc515787520"/>
      <w:bookmarkStart w:id="3908" w:name="_Toc515789220"/>
      <w:bookmarkStart w:id="3909" w:name="_Toc515790069"/>
      <w:bookmarkStart w:id="3910" w:name="_Toc515790918"/>
      <w:bookmarkStart w:id="3911" w:name="_Toc515791773"/>
      <w:bookmarkStart w:id="3912" w:name="_Toc515792623"/>
      <w:bookmarkStart w:id="3913" w:name="_Toc515793525"/>
      <w:bookmarkStart w:id="3914" w:name="_Toc515794430"/>
      <w:bookmarkStart w:id="3915" w:name="_Toc515796187"/>
      <w:bookmarkStart w:id="3916" w:name="_Toc488244601"/>
      <w:bookmarkStart w:id="3917" w:name="_Toc488247721"/>
      <w:bookmarkStart w:id="3918" w:name="_Toc488248365"/>
      <w:bookmarkStart w:id="3919" w:name="_Toc488248981"/>
      <w:bookmarkStart w:id="3920" w:name="_Toc488249597"/>
      <w:bookmarkStart w:id="3921" w:name="_Toc488330085"/>
      <w:bookmarkStart w:id="3922" w:name="_Toc488386939"/>
      <w:bookmarkStart w:id="3923" w:name="_Toc488402398"/>
      <w:bookmarkStart w:id="3924" w:name="_Toc488403221"/>
      <w:bookmarkStart w:id="3925" w:name="_Toc488404050"/>
      <w:bookmarkStart w:id="3926" w:name="_Toc488404881"/>
      <w:bookmarkStart w:id="3927" w:name="_Toc488405704"/>
      <w:bookmarkStart w:id="3928" w:name="_Toc488406533"/>
      <w:bookmarkStart w:id="3929" w:name="_Toc491409764"/>
      <w:bookmarkStart w:id="3930" w:name="_Toc496018302"/>
      <w:bookmarkStart w:id="3931" w:name="_Toc515787521"/>
      <w:bookmarkStart w:id="3932" w:name="_Toc515789221"/>
      <w:bookmarkStart w:id="3933" w:name="_Toc515790070"/>
      <w:bookmarkStart w:id="3934" w:name="_Toc515790919"/>
      <w:bookmarkStart w:id="3935" w:name="_Toc515791774"/>
      <w:bookmarkStart w:id="3936" w:name="_Toc515792624"/>
      <w:bookmarkStart w:id="3937" w:name="_Toc515793526"/>
      <w:bookmarkStart w:id="3938" w:name="_Toc515794431"/>
      <w:bookmarkStart w:id="3939" w:name="_Toc515796188"/>
      <w:bookmarkStart w:id="3940" w:name="_Toc488244602"/>
      <w:bookmarkStart w:id="3941" w:name="_Toc488247722"/>
      <w:bookmarkStart w:id="3942" w:name="_Toc488248366"/>
      <w:bookmarkStart w:id="3943" w:name="_Toc488248982"/>
      <w:bookmarkStart w:id="3944" w:name="_Toc488249598"/>
      <w:bookmarkStart w:id="3945" w:name="_Toc488330086"/>
      <w:bookmarkStart w:id="3946" w:name="_Toc488386940"/>
      <w:bookmarkStart w:id="3947" w:name="_Toc488402399"/>
      <w:bookmarkStart w:id="3948" w:name="_Toc488403222"/>
      <w:bookmarkStart w:id="3949" w:name="_Toc488404051"/>
      <w:bookmarkStart w:id="3950" w:name="_Toc488404882"/>
      <w:bookmarkStart w:id="3951" w:name="_Toc488405705"/>
      <w:bookmarkStart w:id="3952" w:name="_Toc488406534"/>
      <w:bookmarkStart w:id="3953" w:name="_Toc491409765"/>
      <w:bookmarkStart w:id="3954" w:name="_Toc496018303"/>
      <w:bookmarkStart w:id="3955" w:name="_Toc515787522"/>
      <w:bookmarkStart w:id="3956" w:name="_Toc515789222"/>
      <w:bookmarkStart w:id="3957" w:name="_Toc515790071"/>
      <w:bookmarkStart w:id="3958" w:name="_Toc515790920"/>
      <w:bookmarkStart w:id="3959" w:name="_Toc515791775"/>
      <w:bookmarkStart w:id="3960" w:name="_Toc515792625"/>
      <w:bookmarkStart w:id="3961" w:name="_Toc515793527"/>
      <w:bookmarkStart w:id="3962" w:name="_Toc515794432"/>
      <w:bookmarkStart w:id="3963" w:name="_Toc515796189"/>
      <w:bookmarkStart w:id="3964" w:name="_Toc488244603"/>
      <w:bookmarkStart w:id="3965" w:name="_Toc488247723"/>
      <w:bookmarkStart w:id="3966" w:name="_Toc488248367"/>
      <w:bookmarkStart w:id="3967" w:name="_Toc488248983"/>
      <w:bookmarkStart w:id="3968" w:name="_Toc488249599"/>
      <w:bookmarkStart w:id="3969" w:name="_Toc488330087"/>
      <w:bookmarkStart w:id="3970" w:name="_Toc488386941"/>
      <w:bookmarkStart w:id="3971" w:name="_Toc488402400"/>
      <w:bookmarkStart w:id="3972" w:name="_Toc488403223"/>
      <w:bookmarkStart w:id="3973" w:name="_Toc488404052"/>
      <w:bookmarkStart w:id="3974" w:name="_Toc488404883"/>
      <w:bookmarkStart w:id="3975" w:name="_Toc488405706"/>
      <w:bookmarkStart w:id="3976" w:name="_Toc488406535"/>
      <w:bookmarkStart w:id="3977" w:name="_Toc491409766"/>
      <w:bookmarkStart w:id="3978" w:name="_Toc496018304"/>
      <w:bookmarkStart w:id="3979" w:name="_Toc515787523"/>
      <w:bookmarkStart w:id="3980" w:name="_Toc515789223"/>
      <w:bookmarkStart w:id="3981" w:name="_Toc515790072"/>
      <w:bookmarkStart w:id="3982" w:name="_Toc515790921"/>
      <w:bookmarkStart w:id="3983" w:name="_Toc515791776"/>
      <w:bookmarkStart w:id="3984" w:name="_Toc515792626"/>
      <w:bookmarkStart w:id="3985" w:name="_Toc515793528"/>
      <w:bookmarkStart w:id="3986" w:name="_Toc515794433"/>
      <w:bookmarkStart w:id="3987" w:name="_Toc515796190"/>
      <w:bookmarkStart w:id="3988" w:name="_Toc488244604"/>
      <w:bookmarkStart w:id="3989" w:name="_Toc488247724"/>
      <w:bookmarkStart w:id="3990" w:name="_Toc488248368"/>
      <w:bookmarkStart w:id="3991" w:name="_Toc488248984"/>
      <w:bookmarkStart w:id="3992" w:name="_Toc488249600"/>
      <w:bookmarkStart w:id="3993" w:name="_Toc488330088"/>
      <w:bookmarkStart w:id="3994" w:name="_Toc488386942"/>
      <w:bookmarkStart w:id="3995" w:name="_Toc488402401"/>
      <w:bookmarkStart w:id="3996" w:name="_Toc488403224"/>
      <w:bookmarkStart w:id="3997" w:name="_Toc488404053"/>
      <w:bookmarkStart w:id="3998" w:name="_Toc488404884"/>
      <w:bookmarkStart w:id="3999" w:name="_Toc488405707"/>
      <w:bookmarkStart w:id="4000" w:name="_Toc488406536"/>
      <w:bookmarkStart w:id="4001" w:name="_Toc491409767"/>
      <w:bookmarkStart w:id="4002" w:name="_Toc496018305"/>
      <w:bookmarkStart w:id="4003" w:name="_Toc515787524"/>
      <w:bookmarkStart w:id="4004" w:name="_Toc515789224"/>
      <w:bookmarkStart w:id="4005" w:name="_Toc515790073"/>
      <w:bookmarkStart w:id="4006" w:name="_Toc515790922"/>
      <w:bookmarkStart w:id="4007" w:name="_Toc515791777"/>
      <w:bookmarkStart w:id="4008" w:name="_Toc515792627"/>
      <w:bookmarkStart w:id="4009" w:name="_Toc515793529"/>
      <w:bookmarkStart w:id="4010" w:name="_Toc515794434"/>
      <w:bookmarkStart w:id="4011" w:name="_Toc515796191"/>
      <w:bookmarkStart w:id="4012" w:name="_Toc488244605"/>
      <w:bookmarkStart w:id="4013" w:name="_Toc488247725"/>
      <w:bookmarkStart w:id="4014" w:name="_Toc488248369"/>
      <w:bookmarkStart w:id="4015" w:name="_Toc488248985"/>
      <w:bookmarkStart w:id="4016" w:name="_Toc488249601"/>
      <w:bookmarkStart w:id="4017" w:name="_Toc488330089"/>
      <w:bookmarkStart w:id="4018" w:name="_Toc488386943"/>
      <w:bookmarkStart w:id="4019" w:name="_Toc488402402"/>
      <w:bookmarkStart w:id="4020" w:name="_Toc488403225"/>
      <w:bookmarkStart w:id="4021" w:name="_Toc488404054"/>
      <w:bookmarkStart w:id="4022" w:name="_Toc488404885"/>
      <w:bookmarkStart w:id="4023" w:name="_Toc488405708"/>
      <w:bookmarkStart w:id="4024" w:name="_Toc488406537"/>
      <w:bookmarkStart w:id="4025" w:name="_Toc491409768"/>
      <w:bookmarkStart w:id="4026" w:name="_Toc496018306"/>
      <w:bookmarkStart w:id="4027" w:name="_Toc515787525"/>
      <w:bookmarkStart w:id="4028" w:name="_Toc515789225"/>
      <w:bookmarkStart w:id="4029" w:name="_Toc515790074"/>
      <w:bookmarkStart w:id="4030" w:name="_Toc515790923"/>
      <w:bookmarkStart w:id="4031" w:name="_Toc515791778"/>
      <w:bookmarkStart w:id="4032" w:name="_Toc515792628"/>
      <w:bookmarkStart w:id="4033" w:name="_Toc515793530"/>
      <w:bookmarkStart w:id="4034" w:name="_Toc515794435"/>
      <w:bookmarkStart w:id="4035" w:name="_Toc515796192"/>
      <w:bookmarkStart w:id="4036" w:name="_Toc488244606"/>
      <w:bookmarkStart w:id="4037" w:name="_Toc488247726"/>
      <w:bookmarkStart w:id="4038" w:name="_Toc488248370"/>
      <w:bookmarkStart w:id="4039" w:name="_Toc488248986"/>
      <w:bookmarkStart w:id="4040" w:name="_Toc488249602"/>
      <w:bookmarkStart w:id="4041" w:name="_Toc488330090"/>
      <w:bookmarkStart w:id="4042" w:name="_Toc488386944"/>
      <w:bookmarkStart w:id="4043" w:name="_Toc488402403"/>
      <w:bookmarkStart w:id="4044" w:name="_Toc488403226"/>
      <w:bookmarkStart w:id="4045" w:name="_Toc488404055"/>
      <w:bookmarkStart w:id="4046" w:name="_Toc488404886"/>
      <w:bookmarkStart w:id="4047" w:name="_Toc488405709"/>
      <w:bookmarkStart w:id="4048" w:name="_Toc488406538"/>
      <w:bookmarkStart w:id="4049" w:name="_Toc491409769"/>
      <w:bookmarkStart w:id="4050" w:name="_Toc496018307"/>
      <w:bookmarkStart w:id="4051" w:name="_Toc515787526"/>
      <w:bookmarkStart w:id="4052" w:name="_Toc515789226"/>
      <w:bookmarkStart w:id="4053" w:name="_Toc515790075"/>
      <w:bookmarkStart w:id="4054" w:name="_Toc515790924"/>
      <w:bookmarkStart w:id="4055" w:name="_Toc515791779"/>
      <w:bookmarkStart w:id="4056" w:name="_Toc515792629"/>
      <w:bookmarkStart w:id="4057" w:name="_Toc515793531"/>
      <w:bookmarkStart w:id="4058" w:name="_Toc515794436"/>
      <w:bookmarkStart w:id="4059" w:name="_Toc515796193"/>
      <w:bookmarkStart w:id="4060" w:name="_Toc488244607"/>
      <w:bookmarkStart w:id="4061" w:name="_Toc488247727"/>
      <w:bookmarkStart w:id="4062" w:name="_Toc488248371"/>
      <w:bookmarkStart w:id="4063" w:name="_Toc488248987"/>
      <w:bookmarkStart w:id="4064" w:name="_Toc488249603"/>
      <w:bookmarkStart w:id="4065" w:name="_Toc488330091"/>
      <w:bookmarkStart w:id="4066" w:name="_Toc488386945"/>
      <w:bookmarkStart w:id="4067" w:name="_Toc488402404"/>
      <w:bookmarkStart w:id="4068" w:name="_Toc488403227"/>
      <w:bookmarkStart w:id="4069" w:name="_Toc488404056"/>
      <w:bookmarkStart w:id="4070" w:name="_Toc488404887"/>
      <w:bookmarkStart w:id="4071" w:name="_Toc488405710"/>
      <w:bookmarkStart w:id="4072" w:name="_Toc488406539"/>
      <w:bookmarkStart w:id="4073" w:name="_Toc491409770"/>
      <w:bookmarkStart w:id="4074" w:name="_Toc496018308"/>
      <w:bookmarkStart w:id="4075" w:name="_Toc515787527"/>
      <w:bookmarkStart w:id="4076" w:name="_Toc515789227"/>
      <w:bookmarkStart w:id="4077" w:name="_Toc515790076"/>
      <w:bookmarkStart w:id="4078" w:name="_Toc515790925"/>
      <w:bookmarkStart w:id="4079" w:name="_Toc515791780"/>
      <w:bookmarkStart w:id="4080" w:name="_Toc515792630"/>
      <w:bookmarkStart w:id="4081" w:name="_Toc515793532"/>
      <w:bookmarkStart w:id="4082" w:name="_Toc515794437"/>
      <w:bookmarkStart w:id="4083" w:name="_Toc515796194"/>
      <w:bookmarkStart w:id="4084" w:name="_Toc488244608"/>
      <w:bookmarkStart w:id="4085" w:name="_Toc488247728"/>
      <w:bookmarkStart w:id="4086" w:name="_Toc488248372"/>
      <w:bookmarkStart w:id="4087" w:name="_Toc488248988"/>
      <w:bookmarkStart w:id="4088" w:name="_Toc488249604"/>
      <w:bookmarkStart w:id="4089" w:name="_Toc488330092"/>
      <w:bookmarkStart w:id="4090" w:name="_Toc488386946"/>
      <w:bookmarkStart w:id="4091" w:name="_Toc488402405"/>
      <w:bookmarkStart w:id="4092" w:name="_Toc488403228"/>
      <w:bookmarkStart w:id="4093" w:name="_Toc488404057"/>
      <w:bookmarkStart w:id="4094" w:name="_Toc488404888"/>
      <w:bookmarkStart w:id="4095" w:name="_Toc488405711"/>
      <w:bookmarkStart w:id="4096" w:name="_Toc488406540"/>
      <w:bookmarkStart w:id="4097" w:name="_Toc491409771"/>
      <w:bookmarkStart w:id="4098" w:name="_Toc496018309"/>
      <w:bookmarkStart w:id="4099" w:name="_Toc515787528"/>
      <w:bookmarkStart w:id="4100" w:name="_Toc515789228"/>
      <w:bookmarkStart w:id="4101" w:name="_Toc515790077"/>
      <w:bookmarkStart w:id="4102" w:name="_Toc515790926"/>
      <w:bookmarkStart w:id="4103" w:name="_Toc515791781"/>
      <w:bookmarkStart w:id="4104" w:name="_Toc515792631"/>
      <w:bookmarkStart w:id="4105" w:name="_Toc515793533"/>
      <w:bookmarkStart w:id="4106" w:name="_Toc515794438"/>
      <w:bookmarkStart w:id="4107" w:name="_Toc515796195"/>
      <w:bookmarkStart w:id="4108" w:name="_Toc488244609"/>
      <w:bookmarkStart w:id="4109" w:name="_Toc488247729"/>
      <w:bookmarkStart w:id="4110" w:name="_Toc488248373"/>
      <w:bookmarkStart w:id="4111" w:name="_Toc488248989"/>
      <w:bookmarkStart w:id="4112" w:name="_Toc488249605"/>
      <w:bookmarkStart w:id="4113" w:name="_Toc488330093"/>
      <w:bookmarkStart w:id="4114" w:name="_Toc488386947"/>
      <w:bookmarkStart w:id="4115" w:name="_Toc488402406"/>
      <w:bookmarkStart w:id="4116" w:name="_Toc488403229"/>
      <w:bookmarkStart w:id="4117" w:name="_Toc488404058"/>
      <w:bookmarkStart w:id="4118" w:name="_Toc488404889"/>
      <w:bookmarkStart w:id="4119" w:name="_Toc488405712"/>
      <w:bookmarkStart w:id="4120" w:name="_Toc488406541"/>
      <w:bookmarkStart w:id="4121" w:name="_Toc491409772"/>
      <w:bookmarkStart w:id="4122" w:name="_Toc496018310"/>
      <w:bookmarkStart w:id="4123" w:name="_Toc515787529"/>
      <w:bookmarkStart w:id="4124" w:name="_Toc515789229"/>
      <w:bookmarkStart w:id="4125" w:name="_Toc515790078"/>
      <w:bookmarkStart w:id="4126" w:name="_Toc515790927"/>
      <w:bookmarkStart w:id="4127" w:name="_Toc515791782"/>
      <w:bookmarkStart w:id="4128" w:name="_Toc515792632"/>
      <w:bookmarkStart w:id="4129" w:name="_Toc515793534"/>
      <w:bookmarkStart w:id="4130" w:name="_Toc515794439"/>
      <w:bookmarkStart w:id="4131" w:name="_Toc515796196"/>
      <w:bookmarkStart w:id="4132" w:name="_Toc488244610"/>
      <w:bookmarkStart w:id="4133" w:name="_Toc488247730"/>
      <w:bookmarkStart w:id="4134" w:name="_Toc488248374"/>
      <w:bookmarkStart w:id="4135" w:name="_Toc488248990"/>
      <w:bookmarkStart w:id="4136" w:name="_Toc488249606"/>
      <w:bookmarkStart w:id="4137" w:name="_Toc488330094"/>
      <w:bookmarkStart w:id="4138" w:name="_Toc488386948"/>
      <w:bookmarkStart w:id="4139" w:name="_Toc488402407"/>
      <w:bookmarkStart w:id="4140" w:name="_Toc488403230"/>
      <w:bookmarkStart w:id="4141" w:name="_Toc488404059"/>
      <w:bookmarkStart w:id="4142" w:name="_Toc488404890"/>
      <w:bookmarkStart w:id="4143" w:name="_Toc488405713"/>
      <w:bookmarkStart w:id="4144" w:name="_Toc488406542"/>
      <w:bookmarkStart w:id="4145" w:name="_Toc491409773"/>
      <w:bookmarkStart w:id="4146" w:name="_Toc496018311"/>
      <w:bookmarkStart w:id="4147" w:name="_Toc515787530"/>
      <w:bookmarkStart w:id="4148" w:name="_Toc515789230"/>
      <w:bookmarkStart w:id="4149" w:name="_Toc515790079"/>
      <w:bookmarkStart w:id="4150" w:name="_Toc515790928"/>
      <w:bookmarkStart w:id="4151" w:name="_Toc515791783"/>
      <w:bookmarkStart w:id="4152" w:name="_Toc515792633"/>
      <w:bookmarkStart w:id="4153" w:name="_Toc515793535"/>
      <w:bookmarkStart w:id="4154" w:name="_Toc515794440"/>
      <w:bookmarkStart w:id="4155" w:name="_Toc515796197"/>
      <w:bookmarkStart w:id="4156" w:name="_Toc488244611"/>
      <w:bookmarkStart w:id="4157" w:name="_Toc488247731"/>
      <w:bookmarkStart w:id="4158" w:name="_Toc488248375"/>
      <w:bookmarkStart w:id="4159" w:name="_Toc488248991"/>
      <w:bookmarkStart w:id="4160" w:name="_Toc488249607"/>
      <w:bookmarkStart w:id="4161" w:name="_Toc488330095"/>
      <w:bookmarkStart w:id="4162" w:name="_Toc488386949"/>
      <w:bookmarkStart w:id="4163" w:name="_Toc488402408"/>
      <w:bookmarkStart w:id="4164" w:name="_Toc488403231"/>
      <w:bookmarkStart w:id="4165" w:name="_Toc488404060"/>
      <w:bookmarkStart w:id="4166" w:name="_Toc488404891"/>
      <w:bookmarkStart w:id="4167" w:name="_Toc488405714"/>
      <w:bookmarkStart w:id="4168" w:name="_Toc488406543"/>
      <w:bookmarkStart w:id="4169" w:name="_Toc491409774"/>
      <w:bookmarkStart w:id="4170" w:name="_Toc496018312"/>
      <w:bookmarkStart w:id="4171" w:name="_Toc515787531"/>
      <w:bookmarkStart w:id="4172" w:name="_Toc515789231"/>
      <w:bookmarkStart w:id="4173" w:name="_Toc515790080"/>
      <w:bookmarkStart w:id="4174" w:name="_Toc515790929"/>
      <w:bookmarkStart w:id="4175" w:name="_Toc515791784"/>
      <w:bookmarkStart w:id="4176" w:name="_Toc515792634"/>
      <w:bookmarkStart w:id="4177" w:name="_Toc515793536"/>
      <w:bookmarkStart w:id="4178" w:name="_Toc515794441"/>
      <w:bookmarkStart w:id="4179" w:name="_Toc515796198"/>
      <w:bookmarkStart w:id="4180" w:name="_Toc488244612"/>
      <w:bookmarkStart w:id="4181" w:name="_Toc488247732"/>
      <w:bookmarkStart w:id="4182" w:name="_Toc488248376"/>
      <w:bookmarkStart w:id="4183" w:name="_Toc488248992"/>
      <w:bookmarkStart w:id="4184" w:name="_Toc488249608"/>
      <w:bookmarkStart w:id="4185" w:name="_Toc488330096"/>
      <w:bookmarkStart w:id="4186" w:name="_Toc488386950"/>
      <w:bookmarkStart w:id="4187" w:name="_Toc488402409"/>
      <w:bookmarkStart w:id="4188" w:name="_Toc488403232"/>
      <w:bookmarkStart w:id="4189" w:name="_Toc488404061"/>
      <w:bookmarkStart w:id="4190" w:name="_Toc488404892"/>
      <w:bookmarkStart w:id="4191" w:name="_Toc488405715"/>
      <w:bookmarkStart w:id="4192" w:name="_Toc488406544"/>
      <w:bookmarkStart w:id="4193" w:name="_Toc491409775"/>
      <w:bookmarkStart w:id="4194" w:name="_Toc496018313"/>
      <w:bookmarkStart w:id="4195" w:name="_Toc515787532"/>
      <w:bookmarkStart w:id="4196" w:name="_Toc515789232"/>
      <w:bookmarkStart w:id="4197" w:name="_Toc515790081"/>
      <w:bookmarkStart w:id="4198" w:name="_Toc515790930"/>
      <w:bookmarkStart w:id="4199" w:name="_Toc515791785"/>
      <w:bookmarkStart w:id="4200" w:name="_Toc515792635"/>
      <w:bookmarkStart w:id="4201" w:name="_Toc515793537"/>
      <w:bookmarkStart w:id="4202" w:name="_Toc515794442"/>
      <w:bookmarkStart w:id="4203" w:name="_Toc515796199"/>
      <w:bookmarkStart w:id="4204" w:name="_Toc488244613"/>
      <w:bookmarkStart w:id="4205" w:name="_Toc488247733"/>
      <w:bookmarkStart w:id="4206" w:name="_Toc488248377"/>
      <w:bookmarkStart w:id="4207" w:name="_Toc488248993"/>
      <w:bookmarkStart w:id="4208" w:name="_Toc488249609"/>
      <w:bookmarkStart w:id="4209" w:name="_Toc488330097"/>
      <w:bookmarkStart w:id="4210" w:name="_Toc488386951"/>
      <w:bookmarkStart w:id="4211" w:name="_Toc488402410"/>
      <w:bookmarkStart w:id="4212" w:name="_Toc488403233"/>
      <w:bookmarkStart w:id="4213" w:name="_Toc488404062"/>
      <w:bookmarkStart w:id="4214" w:name="_Toc488404893"/>
      <w:bookmarkStart w:id="4215" w:name="_Toc488405716"/>
      <w:bookmarkStart w:id="4216" w:name="_Toc488406545"/>
      <w:bookmarkStart w:id="4217" w:name="_Toc491409776"/>
      <w:bookmarkStart w:id="4218" w:name="_Toc496018314"/>
      <w:bookmarkStart w:id="4219" w:name="_Toc515787533"/>
      <w:bookmarkStart w:id="4220" w:name="_Toc515789233"/>
      <w:bookmarkStart w:id="4221" w:name="_Toc515790082"/>
      <w:bookmarkStart w:id="4222" w:name="_Toc515790931"/>
      <w:bookmarkStart w:id="4223" w:name="_Toc515791786"/>
      <w:bookmarkStart w:id="4224" w:name="_Toc515792636"/>
      <w:bookmarkStart w:id="4225" w:name="_Toc515793538"/>
      <w:bookmarkStart w:id="4226" w:name="_Toc515794443"/>
      <w:bookmarkStart w:id="4227" w:name="_Toc515796200"/>
      <w:bookmarkStart w:id="4228" w:name="_Toc488244614"/>
      <w:bookmarkStart w:id="4229" w:name="_Toc488247734"/>
      <w:bookmarkStart w:id="4230" w:name="_Toc488248378"/>
      <w:bookmarkStart w:id="4231" w:name="_Toc488248994"/>
      <w:bookmarkStart w:id="4232" w:name="_Toc488249610"/>
      <w:bookmarkStart w:id="4233" w:name="_Toc488330098"/>
      <w:bookmarkStart w:id="4234" w:name="_Toc488386952"/>
      <w:bookmarkStart w:id="4235" w:name="_Toc488402411"/>
      <w:bookmarkStart w:id="4236" w:name="_Toc488403234"/>
      <w:bookmarkStart w:id="4237" w:name="_Toc488404063"/>
      <w:bookmarkStart w:id="4238" w:name="_Toc488404894"/>
      <w:bookmarkStart w:id="4239" w:name="_Toc488405717"/>
      <w:bookmarkStart w:id="4240" w:name="_Toc488406546"/>
      <w:bookmarkStart w:id="4241" w:name="_Toc491409777"/>
      <w:bookmarkStart w:id="4242" w:name="_Toc496018315"/>
      <w:bookmarkStart w:id="4243" w:name="_Toc515787534"/>
      <w:bookmarkStart w:id="4244" w:name="_Toc515789234"/>
      <w:bookmarkStart w:id="4245" w:name="_Toc515790083"/>
      <w:bookmarkStart w:id="4246" w:name="_Toc515790932"/>
      <w:bookmarkStart w:id="4247" w:name="_Toc515791787"/>
      <w:bookmarkStart w:id="4248" w:name="_Toc515792637"/>
      <w:bookmarkStart w:id="4249" w:name="_Toc515793539"/>
      <w:bookmarkStart w:id="4250" w:name="_Toc515794444"/>
      <w:bookmarkStart w:id="4251" w:name="_Toc515796201"/>
      <w:bookmarkStart w:id="4252" w:name="_Toc488244615"/>
      <w:bookmarkStart w:id="4253" w:name="_Toc488247735"/>
      <w:bookmarkStart w:id="4254" w:name="_Toc488248379"/>
      <w:bookmarkStart w:id="4255" w:name="_Toc488248995"/>
      <w:bookmarkStart w:id="4256" w:name="_Toc488249611"/>
      <w:bookmarkStart w:id="4257" w:name="_Toc488330099"/>
      <w:bookmarkStart w:id="4258" w:name="_Toc488386953"/>
      <w:bookmarkStart w:id="4259" w:name="_Toc488402412"/>
      <w:bookmarkStart w:id="4260" w:name="_Toc488403235"/>
      <w:bookmarkStart w:id="4261" w:name="_Toc488404064"/>
      <w:bookmarkStart w:id="4262" w:name="_Toc488404895"/>
      <w:bookmarkStart w:id="4263" w:name="_Toc488405718"/>
      <w:bookmarkStart w:id="4264" w:name="_Toc488406547"/>
      <w:bookmarkStart w:id="4265" w:name="_Toc491409778"/>
      <w:bookmarkStart w:id="4266" w:name="_Toc496018316"/>
      <w:bookmarkStart w:id="4267" w:name="_Toc515787535"/>
      <w:bookmarkStart w:id="4268" w:name="_Toc515789235"/>
      <w:bookmarkStart w:id="4269" w:name="_Toc515790084"/>
      <w:bookmarkStart w:id="4270" w:name="_Toc515790933"/>
      <w:bookmarkStart w:id="4271" w:name="_Toc515791788"/>
      <w:bookmarkStart w:id="4272" w:name="_Toc515792638"/>
      <w:bookmarkStart w:id="4273" w:name="_Toc515793540"/>
      <w:bookmarkStart w:id="4274" w:name="_Toc515794445"/>
      <w:bookmarkStart w:id="4275" w:name="_Toc515796202"/>
      <w:bookmarkStart w:id="4276" w:name="_Toc488244616"/>
      <w:bookmarkStart w:id="4277" w:name="_Toc488247736"/>
      <w:bookmarkStart w:id="4278" w:name="_Toc488248380"/>
      <w:bookmarkStart w:id="4279" w:name="_Toc488248996"/>
      <w:bookmarkStart w:id="4280" w:name="_Toc488249612"/>
      <w:bookmarkStart w:id="4281" w:name="_Toc488330100"/>
      <w:bookmarkStart w:id="4282" w:name="_Toc488386954"/>
      <w:bookmarkStart w:id="4283" w:name="_Toc488402413"/>
      <w:bookmarkStart w:id="4284" w:name="_Toc488403236"/>
      <w:bookmarkStart w:id="4285" w:name="_Toc488404065"/>
      <w:bookmarkStart w:id="4286" w:name="_Toc488404896"/>
      <w:bookmarkStart w:id="4287" w:name="_Toc488405719"/>
      <w:bookmarkStart w:id="4288" w:name="_Toc488406548"/>
      <w:bookmarkStart w:id="4289" w:name="_Toc491409779"/>
      <w:bookmarkStart w:id="4290" w:name="_Toc496018317"/>
      <w:bookmarkStart w:id="4291" w:name="_Toc515787536"/>
      <w:bookmarkStart w:id="4292" w:name="_Toc515789236"/>
      <w:bookmarkStart w:id="4293" w:name="_Toc515790085"/>
      <w:bookmarkStart w:id="4294" w:name="_Toc515790934"/>
      <w:bookmarkStart w:id="4295" w:name="_Toc515791789"/>
      <w:bookmarkStart w:id="4296" w:name="_Toc515792639"/>
      <w:bookmarkStart w:id="4297" w:name="_Toc515793541"/>
      <w:bookmarkStart w:id="4298" w:name="_Toc515794446"/>
      <w:bookmarkStart w:id="4299" w:name="_Toc515796203"/>
      <w:bookmarkStart w:id="4300" w:name="_Toc488244617"/>
      <w:bookmarkStart w:id="4301" w:name="_Toc488247737"/>
      <w:bookmarkStart w:id="4302" w:name="_Toc488248381"/>
      <w:bookmarkStart w:id="4303" w:name="_Toc488248997"/>
      <w:bookmarkStart w:id="4304" w:name="_Toc488249613"/>
      <w:bookmarkStart w:id="4305" w:name="_Toc488330101"/>
      <w:bookmarkStart w:id="4306" w:name="_Toc488386955"/>
      <w:bookmarkStart w:id="4307" w:name="_Toc488402414"/>
      <w:bookmarkStart w:id="4308" w:name="_Toc488403237"/>
      <w:bookmarkStart w:id="4309" w:name="_Toc488404066"/>
      <w:bookmarkStart w:id="4310" w:name="_Toc488404897"/>
      <w:bookmarkStart w:id="4311" w:name="_Toc488405720"/>
      <w:bookmarkStart w:id="4312" w:name="_Toc488406549"/>
      <w:bookmarkStart w:id="4313" w:name="_Toc491409780"/>
      <w:bookmarkStart w:id="4314" w:name="_Toc496018318"/>
      <w:bookmarkStart w:id="4315" w:name="_Toc515787537"/>
      <w:bookmarkStart w:id="4316" w:name="_Toc515789237"/>
      <w:bookmarkStart w:id="4317" w:name="_Toc515790086"/>
      <w:bookmarkStart w:id="4318" w:name="_Toc515790935"/>
      <w:bookmarkStart w:id="4319" w:name="_Toc515791790"/>
      <w:bookmarkStart w:id="4320" w:name="_Toc515792640"/>
      <w:bookmarkStart w:id="4321" w:name="_Toc515793542"/>
      <w:bookmarkStart w:id="4322" w:name="_Toc515794447"/>
      <w:bookmarkStart w:id="4323" w:name="_Toc515796204"/>
      <w:bookmarkStart w:id="4324" w:name="_Toc488244618"/>
      <w:bookmarkStart w:id="4325" w:name="_Toc488247738"/>
      <w:bookmarkStart w:id="4326" w:name="_Toc488248382"/>
      <w:bookmarkStart w:id="4327" w:name="_Toc488248998"/>
      <w:bookmarkStart w:id="4328" w:name="_Toc488249614"/>
      <w:bookmarkStart w:id="4329" w:name="_Toc488330102"/>
      <w:bookmarkStart w:id="4330" w:name="_Toc488386956"/>
      <w:bookmarkStart w:id="4331" w:name="_Toc488402415"/>
      <w:bookmarkStart w:id="4332" w:name="_Toc488403238"/>
      <w:bookmarkStart w:id="4333" w:name="_Toc488404067"/>
      <w:bookmarkStart w:id="4334" w:name="_Toc488404898"/>
      <w:bookmarkStart w:id="4335" w:name="_Toc488405721"/>
      <w:bookmarkStart w:id="4336" w:name="_Toc488406550"/>
      <w:bookmarkStart w:id="4337" w:name="_Toc491409781"/>
      <w:bookmarkStart w:id="4338" w:name="_Toc496018319"/>
      <w:bookmarkStart w:id="4339" w:name="_Toc515787538"/>
      <w:bookmarkStart w:id="4340" w:name="_Toc515789238"/>
      <w:bookmarkStart w:id="4341" w:name="_Toc515790087"/>
      <w:bookmarkStart w:id="4342" w:name="_Toc515790936"/>
      <w:bookmarkStart w:id="4343" w:name="_Toc515791791"/>
      <w:bookmarkStart w:id="4344" w:name="_Toc515792641"/>
      <w:bookmarkStart w:id="4345" w:name="_Toc515793543"/>
      <w:bookmarkStart w:id="4346" w:name="_Toc515794448"/>
      <w:bookmarkStart w:id="4347" w:name="_Toc515796205"/>
      <w:bookmarkStart w:id="4348" w:name="_Toc488244619"/>
      <w:bookmarkStart w:id="4349" w:name="_Toc488247739"/>
      <w:bookmarkStart w:id="4350" w:name="_Toc488248383"/>
      <w:bookmarkStart w:id="4351" w:name="_Toc488248999"/>
      <w:bookmarkStart w:id="4352" w:name="_Toc488249615"/>
      <w:bookmarkStart w:id="4353" w:name="_Toc488330103"/>
      <w:bookmarkStart w:id="4354" w:name="_Toc488386957"/>
      <w:bookmarkStart w:id="4355" w:name="_Toc488402416"/>
      <w:bookmarkStart w:id="4356" w:name="_Toc488403239"/>
      <w:bookmarkStart w:id="4357" w:name="_Toc488404068"/>
      <w:bookmarkStart w:id="4358" w:name="_Toc488404899"/>
      <w:bookmarkStart w:id="4359" w:name="_Toc488405722"/>
      <w:bookmarkStart w:id="4360" w:name="_Toc488406551"/>
      <w:bookmarkStart w:id="4361" w:name="_Toc491409782"/>
      <w:bookmarkStart w:id="4362" w:name="_Toc496018320"/>
      <w:bookmarkStart w:id="4363" w:name="_Toc515787539"/>
      <w:bookmarkStart w:id="4364" w:name="_Toc515789239"/>
      <w:bookmarkStart w:id="4365" w:name="_Toc515790088"/>
      <w:bookmarkStart w:id="4366" w:name="_Toc515790937"/>
      <w:bookmarkStart w:id="4367" w:name="_Toc515791792"/>
      <w:bookmarkStart w:id="4368" w:name="_Toc515792642"/>
      <w:bookmarkStart w:id="4369" w:name="_Toc515793544"/>
      <w:bookmarkStart w:id="4370" w:name="_Toc515794449"/>
      <w:bookmarkStart w:id="4371" w:name="_Toc515796206"/>
      <w:bookmarkStart w:id="4372" w:name="_Toc488244620"/>
      <w:bookmarkStart w:id="4373" w:name="_Toc488247740"/>
      <w:bookmarkStart w:id="4374" w:name="_Toc488248384"/>
      <w:bookmarkStart w:id="4375" w:name="_Toc488249000"/>
      <w:bookmarkStart w:id="4376" w:name="_Toc488249616"/>
      <w:bookmarkStart w:id="4377" w:name="_Toc488330104"/>
      <w:bookmarkStart w:id="4378" w:name="_Toc488386958"/>
      <w:bookmarkStart w:id="4379" w:name="_Toc488402417"/>
      <w:bookmarkStart w:id="4380" w:name="_Toc488403240"/>
      <w:bookmarkStart w:id="4381" w:name="_Toc488404069"/>
      <w:bookmarkStart w:id="4382" w:name="_Toc488404900"/>
      <w:bookmarkStart w:id="4383" w:name="_Toc488405723"/>
      <w:bookmarkStart w:id="4384" w:name="_Toc488406552"/>
      <w:bookmarkStart w:id="4385" w:name="_Toc491409783"/>
      <w:bookmarkStart w:id="4386" w:name="_Toc496018321"/>
      <w:bookmarkStart w:id="4387" w:name="_Toc515787540"/>
      <w:bookmarkStart w:id="4388" w:name="_Toc515789240"/>
      <w:bookmarkStart w:id="4389" w:name="_Toc515790089"/>
      <w:bookmarkStart w:id="4390" w:name="_Toc515790938"/>
      <w:bookmarkStart w:id="4391" w:name="_Toc515791793"/>
      <w:bookmarkStart w:id="4392" w:name="_Toc515792643"/>
      <w:bookmarkStart w:id="4393" w:name="_Toc515793545"/>
      <w:bookmarkStart w:id="4394" w:name="_Toc515794450"/>
      <w:bookmarkStart w:id="4395" w:name="_Toc515796207"/>
      <w:bookmarkStart w:id="4396" w:name="_Toc488244621"/>
      <w:bookmarkStart w:id="4397" w:name="_Toc488247741"/>
      <w:bookmarkStart w:id="4398" w:name="_Toc488248385"/>
      <w:bookmarkStart w:id="4399" w:name="_Toc488249001"/>
      <w:bookmarkStart w:id="4400" w:name="_Toc488249617"/>
      <w:bookmarkStart w:id="4401" w:name="_Toc488330105"/>
      <w:bookmarkStart w:id="4402" w:name="_Toc488386959"/>
      <w:bookmarkStart w:id="4403" w:name="_Toc488402418"/>
      <w:bookmarkStart w:id="4404" w:name="_Toc488403241"/>
      <w:bookmarkStart w:id="4405" w:name="_Toc488404070"/>
      <w:bookmarkStart w:id="4406" w:name="_Toc488404901"/>
      <w:bookmarkStart w:id="4407" w:name="_Toc488405724"/>
      <w:bookmarkStart w:id="4408" w:name="_Toc488406553"/>
      <w:bookmarkStart w:id="4409" w:name="_Toc491409784"/>
      <w:bookmarkStart w:id="4410" w:name="_Toc496018322"/>
      <w:bookmarkStart w:id="4411" w:name="_Toc515787541"/>
      <w:bookmarkStart w:id="4412" w:name="_Toc515789241"/>
      <w:bookmarkStart w:id="4413" w:name="_Toc515790090"/>
      <w:bookmarkStart w:id="4414" w:name="_Toc515790939"/>
      <w:bookmarkStart w:id="4415" w:name="_Toc515791794"/>
      <w:bookmarkStart w:id="4416" w:name="_Toc515792644"/>
      <w:bookmarkStart w:id="4417" w:name="_Toc515793546"/>
      <w:bookmarkStart w:id="4418" w:name="_Toc515794451"/>
      <w:bookmarkStart w:id="4419" w:name="_Toc515796208"/>
      <w:bookmarkStart w:id="4420" w:name="_Toc488244622"/>
      <w:bookmarkStart w:id="4421" w:name="_Toc488247742"/>
      <w:bookmarkStart w:id="4422" w:name="_Toc488248386"/>
      <w:bookmarkStart w:id="4423" w:name="_Toc488249002"/>
      <w:bookmarkStart w:id="4424" w:name="_Toc488249618"/>
      <w:bookmarkStart w:id="4425" w:name="_Toc488330106"/>
      <w:bookmarkStart w:id="4426" w:name="_Toc488386960"/>
      <w:bookmarkStart w:id="4427" w:name="_Toc488402419"/>
      <w:bookmarkStart w:id="4428" w:name="_Toc488403242"/>
      <w:bookmarkStart w:id="4429" w:name="_Toc488404071"/>
      <w:bookmarkStart w:id="4430" w:name="_Toc488404902"/>
      <w:bookmarkStart w:id="4431" w:name="_Toc488405725"/>
      <w:bookmarkStart w:id="4432" w:name="_Toc488406554"/>
      <w:bookmarkStart w:id="4433" w:name="_Toc491409785"/>
      <w:bookmarkStart w:id="4434" w:name="_Toc496018323"/>
      <w:bookmarkStart w:id="4435" w:name="_Toc515787542"/>
      <w:bookmarkStart w:id="4436" w:name="_Toc515789242"/>
      <w:bookmarkStart w:id="4437" w:name="_Toc515790091"/>
      <w:bookmarkStart w:id="4438" w:name="_Toc515790940"/>
      <w:bookmarkStart w:id="4439" w:name="_Toc515791795"/>
      <w:bookmarkStart w:id="4440" w:name="_Toc515792645"/>
      <w:bookmarkStart w:id="4441" w:name="_Toc515793547"/>
      <w:bookmarkStart w:id="4442" w:name="_Toc515794452"/>
      <w:bookmarkStart w:id="4443" w:name="_Toc515796209"/>
      <w:bookmarkStart w:id="4444" w:name="_Toc488244623"/>
      <w:bookmarkStart w:id="4445" w:name="_Toc488247743"/>
      <w:bookmarkStart w:id="4446" w:name="_Toc488248387"/>
      <w:bookmarkStart w:id="4447" w:name="_Toc488249003"/>
      <w:bookmarkStart w:id="4448" w:name="_Toc488249619"/>
      <w:bookmarkStart w:id="4449" w:name="_Toc488330107"/>
      <w:bookmarkStart w:id="4450" w:name="_Toc488386961"/>
      <w:bookmarkStart w:id="4451" w:name="_Toc488402420"/>
      <w:bookmarkStart w:id="4452" w:name="_Toc488403243"/>
      <w:bookmarkStart w:id="4453" w:name="_Toc488404072"/>
      <w:bookmarkStart w:id="4454" w:name="_Toc488404903"/>
      <w:bookmarkStart w:id="4455" w:name="_Toc488405726"/>
      <w:bookmarkStart w:id="4456" w:name="_Toc488406555"/>
      <w:bookmarkStart w:id="4457" w:name="_Toc491409786"/>
      <w:bookmarkStart w:id="4458" w:name="_Toc496018324"/>
      <w:bookmarkStart w:id="4459" w:name="_Toc515787543"/>
      <w:bookmarkStart w:id="4460" w:name="_Toc515789243"/>
      <w:bookmarkStart w:id="4461" w:name="_Toc515790092"/>
      <w:bookmarkStart w:id="4462" w:name="_Toc515790941"/>
      <w:bookmarkStart w:id="4463" w:name="_Toc515791796"/>
      <w:bookmarkStart w:id="4464" w:name="_Toc515792646"/>
      <w:bookmarkStart w:id="4465" w:name="_Toc515793548"/>
      <w:bookmarkStart w:id="4466" w:name="_Toc515794453"/>
      <w:bookmarkStart w:id="4467" w:name="_Toc515796210"/>
      <w:bookmarkStart w:id="4468" w:name="_Toc488244624"/>
      <w:bookmarkStart w:id="4469" w:name="_Toc488247744"/>
      <w:bookmarkStart w:id="4470" w:name="_Toc488248388"/>
      <w:bookmarkStart w:id="4471" w:name="_Toc488249004"/>
      <w:bookmarkStart w:id="4472" w:name="_Toc488249620"/>
      <w:bookmarkStart w:id="4473" w:name="_Toc488330108"/>
      <w:bookmarkStart w:id="4474" w:name="_Toc488386962"/>
      <w:bookmarkStart w:id="4475" w:name="_Toc488402421"/>
      <w:bookmarkStart w:id="4476" w:name="_Toc488403244"/>
      <w:bookmarkStart w:id="4477" w:name="_Toc488404073"/>
      <w:bookmarkStart w:id="4478" w:name="_Toc488404904"/>
      <w:bookmarkStart w:id="4479" w:name="_Toc488405727"/>
      <w:bookmarkStart w:id="4480" w:name="_Toc488406556"/>
      <w:bookmarkStart w:id="4481" w:name="_Toc491409787"/>
      <w:bookmarkStart w:id="4482" w:name="_Toc496018325"/>
      <w:bookmarkStart w:id="4483" w:name="_Toc515787544"/>
      <w:bookmarkStart w:id="4484" w:name="_Toc515789244"/>
      <w:bookmarkStart w:id="4485" w:name="_Toc515790093"/>
      <w:bookmarkStart w:id="4486" w:name="_Toc515790942"/>
      <w:bookmarkStart w:id="4487" w:name="_Toc515791797"/>
      <w:bookmarkStart w:id="4488" w:name="_Toc515792647"/>
      <w:bookmarkStart w:id="4489" w:name="_Toc515793549"/>
      <w:bookmarkStart w:id="4490" w:name="_Toc515794454"/>
      <w:bookmarkStart w:id="4491" w:name="_Toc515796211"/>
      <w:bookmarkStart w:id="4492" w:name="_Toc488244625"/>
      <w:bookmarkStart w:id="4493" w:name="_Toc488247745"/>
      <w:bookmarkStart w:id="4494" w:name="_Toc488248389"/>
      <w:bookmarkStart w:id="4495" w:name="_Toc488249005"/>
      <w:bookmarkStart w:id="4496" w:name="_Toc488249621"/>
      <w:bookmarkStart w:id="4497" w:name="_Toc488330109"/>
      <w:bookmarkStart w:id="4498" w:name="_Toc488386963"/>
      <w:bookmarkStart w:id="4499" w:name="_Toc488402422"/>
      <w:bookmarkStart w:id="4500" w:name="_Toc488403245"/>
      <w:bookmarkStart w:id="4501" w:name="_Toc488404074"/>
      <w:bookmarkStart w:id="4502" w:name="_Toc488404905"/>
      <w:bookmarkStart w:id="4503" w:name="_Toc488405728"/>
      <w:bookmarkStart w:id="4504" w:name="_Toc488406557"/>
      <w:bookmarkStart w:id="4505" w:name="_Toc491409788"/>
      <w:bookmarkStart w:id="4506" w:name="_Toc496018326"/>
      <w:bookmarkStart w:id="4507" w:name="_Toc515787545"/>
      <w:bookmarkStart w:id="4508" w:name="_Toc515789245"/>
      <w:bookmarkStart w:id="4509" w:name="_Toc515790094"/>
      <w:bookmarkStart w:id="4510" w:name="_Toc515790943"/>
      <w:bookmarkStart w:id="4511" w:name="_Toc515791798"/>
      <w:bookmarkStart w:id="4512" w:name="_Toc515792648"/>
      <w:bookmarkStart w:id="4513" w:name="_Toc515793550"/>
      <w:bookmarkStart w:id="4514" w:name="_Toc515794455"/>
      <w:bookmarkStart w:id="4515" w:name="_Toc515796212"/>
      <w:bookmarkStart w:id="4516" w:name="_Toc488244626"/>
      <w:bookmarkStart w:id="4517" w:name="_Toc488247746"/>
      <w:bookmarkStart w:id="4518" w:name="_Toc488248390"/>
      <w:bookmarkStart w:id="4519" w:name="_Toc488249006"/>
      <w:bookmarkStart w:id="4520" w:name="_Toc488249622"/>
      <w:bookmarkStart w:id="4521" w:name="_Toc488330110"/>
      <w:bookmarkStart w:id="4522" w:name="_Toc488386964"/>
      <w:bookmarkStart w:id="4523" w:name="_Toc488402423"/>
      <w:bookmarkStart w:id="4524" w:name="_Toc488403246"/>
      <w:bookmarkStart w:id="4525" w:name="_Toc488404075"/>
      <w:bookmarkStart w:id="4526" w:name="_Toc488404906"/>
      <w:bookmarkStart w:id="4527" w:name="_Toc488405729"/>
      <w:bookmarkStart w:id="4528" w:name="_Toc488406558"/>
      <w:bookmarkStart w:id="4529" w:name="_Toc491409789"/>
      <w:bookmarkStart w:id="4530" w:name="_Toc496018327"/>
      <w:bookmarkStart w:id="4531" w:name="_Toc515787546"/>
      <w:bookmarkStart w:id="4532" w:name="_Toc515789246"/>
      <w:bookmarkStart w:id="4533" w:name="_Toc515790095"/>
      <w:bookmarkStart w:id="4534" w:name="_Toc515790944"/>
      <w:bookmarkStart w:id="4535" w:name="_Toc515791799"/>
      <w:bookmarkStart w:id="4536" w:name="_Toc515792649"/>
      <w:bookmarkStart w:id="4537" w:name="_Toc515793551"/>
      <w:bookmarkStart w:id="4538" w:name="_Toc515794456"/>
      <w:bookmarkStart w:id="4539" w:name="_Toc515796213"/>
      <w:bookmarkStart w:id="4540" w:name="_Toc488244627"/>
      <w:bookmarkStart w:id="4541" w:name="_Toc488247747"/>
      <w:bookmarkStart w:id="4542" w:name="_Toc488248391"/>
      <w:bookmarkStart w:id="4543" w:name="_Toc488249007"/>
      <w:bookmarkStart w:id="4544" w:name="_Toc488249623"/>
      <w:bookmarkStart w:id="4545" w:name="_Toc488330111"/>
      <w:bookmarkStart w:id="4546" w:name="_Toc488386965"/>
      <w:bookmarkStart w:id="4547" w:name="_Toc488402424"/>
      <w:bookmarkStart w:id="4548" w:name="_Toc488403247"/>
      <w:bookmarkStart w:id="4549" w:name="_Toc488404076"/>
      <w:bookmarkStart w:id="4550" w:name="_Toc488404907"/>
      <w:bookmarkStart w:id="4551" w:name="_Toc488405730"/>
      <w:bookmarkStart w:id="4552" w:name="_Toc488406559"/>
      <w:bookmarkStart w:id="4553" w:name="_Toc491409790"/>
      <w:bookmarkStart w:id="4554" w:name="_Toc496018328"/>
      <w:bookmarkStart w:id="4555" w:name="_Toc515787547"/>
      <w:bookmarkStart w:id="4556" w:name="_Toc515789247"/>
      <w:bookmarkStart w:id="4557" w:name="_Toc515790096"/>
      <w:bookmarkStart w:id="4558" w:name="_Toc515790945"/>
      <w:bookmarkStart w:id="4559" w:name="_Toc515791800"/>
      <w:bookmarkStart w:id="4560" w:name="_Toc515792650"/>
      <w:bookmarkStart w:id="4561" w:name="_Toc515793552"/>
      <w:bookmarkStart w:id="4562" w:name="_Toc515794457"/>
      <w:bookmarkStart w:id="4563" w:name="_Toc515796214"/>
      <w:bookmarkStart w:id="4564" w:name="_Toc488244628"/>
      <w:bookmarkStart w:id="4565" w:name="_Toc488247748"/>
      <w:bookmarkStart w:id="4566" w:name="_Toc488248392"/>
      <w:bookmarkStart w:id="4567" w:name="_Toc488249008"/>
      <w:bookmarkStart w:id="4568" w:name="_Toc488249624"/>
      <w:bookmarkStart w:id="4569" w:name="_Toc488330112"/>
      <w:bookmarkStart w:id="4570" w:name="_Toc488386966"/>
      <w:bookmarkStart w:id="4571" w:name="_Toc488402425"/>
      <w:bookmarkStart w:id="4572" w:name="_Toc488403248"/>
      <w:bookmarkStart w:id="4573" w:name="_Toc488404077"/>
      <w:bookmarkStart w:id="4574" w:name="_Toc488404908"/>
      <w:bookmarkStart w:id="4575" w:name="_Toc488405731"/>
      <w:bookmarkStart w:id="4576" w:name="_Toc488406560"/>
      <w:bookmarkStart w:id="4577" w:name="_Toc491409791"/>
      <w:bookmarkStart w:id="4578" w:name="_Toc496018329"/>
      <w:bookmarkStart w:id="4579" w:name="_Toc515787548"/>
      <w:bookmarkStart w:id="4580" w:name="_Toc515789248"/>
      <w:bookmarkStart w:id="4581" w:name="_Toc515790097"/>
      <w:bookmarkStart w:id="4582" w:name="_Toc515790946"/>
      <w:bookmarkStart w:id="4583" w:name="_Toc515791801"/>
      <w:bookmarkStart w:id="4584" w:name="_Toc515792651"/>
      <w:bookmarkStart w:id="4585" w:name="_Toc515793553"/>
      <w:bookmarkStart w:id="4586" w:name="_Toc515794458"/>
      <w:bookmarkStart w:id="4587" w:name="_Toc515796215"/>
      <w:bookmarkStart w:id="4588" w:name="_Toc488244629"/>
      <w:bookmarkStart w:id="4589" w:name="_Toc488247749"/>
      <w:bookmarkStart w:id="4590" w:name="_Toc488248393"/>
      <w:bookmarkStart w:id="4591" w:name="_Toc488249009"/>
      <w:bookmarkStart w:id="4592" w:name="_Toc488249625"/>
      <w:bookmarkStart w:id="4593" w:name="_Toc488330113"/>
      <w:bookmarkStart w:id="4594" w:name="_Toc488386967"/>
      <w:bookmarkStart w:id="4595" w:name="_Toc488402426"/>
      <w:bookmarkStart w:id="4596" w:name="_Toc488403249"/>
      <w:bookmarkStart w:id="4597" w:name="_Toc488404078"/>
      <w:bookmarkStart w:id="4598" w:name="_Toc488404909"/>
      <w:bookmarkStart w:id="4599" w:name="_Toc488405732"/>
      <w:bookmarkStart w:id="4600" w:name="_Toc488406561"/>
      <w:bookmarkStart w:id="4601" w:name="_Toc491409792"/>
      <w:bookmarkStart w:id="4602" w:name="_Toc496018330"/>
      <w:bookmarkStart w:id="4603" w:name="_Toc515787549"/>
      <w:bookmarkStart w:id="4604" w:name="_Toc515789249"/>
      <w:bookmarkStart w:id="4605" w:name="_Toc515790098"/>
      <w:bookmarkStart w:id="4606" w:name="_Toc515790947"/>
      <w:bookmarkStart w:id="4607" w:name="_Toc515791802"/>
      <w:bookmarkStart w:id="4608" w:name="_Toc515792652"/>
      <w:bookmarkStart w:id="4609" w:name="_Toc515793554"/>
      <w:bookmarkStart w:id="4610" w:name="_Toc515794459"/>
      <w:bookmarkStart w:id="4611" w:name="_Toc515796216"/>
      <w:bookmarkStart w:id="4612" w:name="_Toc488244630"/>
      <w:bookmarkStart w:id="4613" w:name="_Toc488247750"/>
      <w:bookmarkStart w:id="4614" w:name="_Toc488248394"/>
      <w:bookmarkStart w:id="4615" w:name="_Toc488249010"/>
      <w:bookmarkStart w:id="4616" w:name="_Toc488249626"/>
      <w:bookmarkStart w:id="4617" w:name="_Toc488330114"/>
      <w:bookmarkStart w:id="4618" w:name="_Toc488386968"/>
      <w:bookmarkStart w:id="4619" w:name="_Toc488402427"/>
      <w:bookmarkStart w:id="4620" w:name="_Toc488403250"/>
      <w:bookmarkStart w:id="4621" w:name="_Toc488404079"/>
      <w:bookmarkStart w:id="4622" w:name="_Toc488404910"/>
      <w:bookmarkStart w:id="4623" w:name="_Toc488405733"/>
      <w:bookmarkStart w:id="4624" w:name="_Toc488406562"/>
      <w:bookmarkStart w:id="4625" w:name="_Toc491409793"/>
      <w:bookmarkStart w:id="4626" w:name="_Toc496018331"/>
      <w:bookmarkStart w:id="4627" w:name="_Toc515787550"/>
      <w:bookmarkStart w:id="4628" w:name="_Toc515789250"/>
      <w:bookmarkStart w:id="4629" w:name="_Toc515790099"/>
      <w:bookmarkStart w:id="4630" w:name="_Toc515790948"/>
      <w:bookmarkStart w:id="4631" w:name="_Toc515791803"/>
      <w:bookmarkStart w:id="4632" w:name="_Toc515792653"/>
      <w:bookmarkStart w:id="4633" w:name="_Toc515793555"/>
      <w:bookmarkStart w:id="4634" w:name="_Toc515794460"/>
      <w:bookmarkStart w:id="4635" w:name="_Toc515796217"/>
      <w:bookmarkStart w:id="4636" w:name="_Toc488244631"/>
      <w:bookmarkStart w:id="4637" w:name="_Toc488247751"/>
      <w:bookmarkStart w:id="4638" w:name="_Toc488248395"/>
      <w:bookmarkStart w:id="4639" w:name="_Toc488249011"/>
      <w:bookmarkStart w:id="4640" w:name="_Toc488249627"/>
      <w:bookmarkStart w:id="4641" w:name="_Toc488330115"/>
      <w:bookmarkStart w:id="4642" w:name="_Toc488386969"/>
      <w:bookmarkStart w:id="4643" w:name="_Toc488402428"/>
      <w:bookmarkStart w:id="4644" w:name="_Toc488403251"/>
      <w:bookmarkStart w:id="4645" w:name="_Toc488404080"/>
      <w:bookmarkStart w:id="4646" w:name="_Toc488404911"/>
      <w:bookmarkStart w:id="4647" w:name="_Toc488405734"/>
      <w:bookmarkStart w:id="4648" w:name="_Toc488406563"/>
      <w:bookmarkStart w:id="4649" w:name="_Toc491409794"/>
      <w:bookmarkStart w:id="4650" w:name="_Toc496018332"/>
      <w:bookmarkStart w:id="4651" w:name="_Toc515787551"/>
      <w:bookmarkStart w:id="4652" w:name="_Toc515789251"/>
      <w:bookmarkStart w:id="4653" w:name="_Toc515790100"/>
      <w:bookmarkStart w:id="4654" w:name="_Toc515790949"/>
      <w:bookmarkStart w:id="4655" w:name="_Toc515791804"/>
      <w:bookmarkStart w:id="4656" w:name="_Toc515792654"/>
      <w:bookmarkStart w:id="4657" w:name="_Toc515793556"/>
      <w:bookmarkStart w:id="4658" w:name="_Toc515794461"/>
      <w:bookmarkStart w:id="4659" w:name="_Toc515796218"/>
      <w:bookmarkStart w:id="4660" w:name="_Toc488244632"/>
      <w:bookmarkStart w:id="4661" w:name="_Toc488247752"/>
      <w:bookmarkStart w:id="4662" w:name="_Toc488248396"/>
      <w:bookmarkStart w:id="4663" w:name="_Toc488249012"/>
      <w:bookmarkStart w:id="4664" w:name="_Toc488249628"/>
      <w:bookmarkStart w:id="4665" w:name="_Toc488330116"/>
      <w:bookmarkStart w:id="4666" w:name="_Toc488386970"/>
      <w:bookmarkStart w:id="4667" w:name="_Toc488402429"/>
      <w:bookmarkStart w:id="4668" w:name="_Toc488403252"/>
      <w:bookmarkStart w:id="4669" w:name="_Toc488404081"/>
      <w:bookmarkStart w:id="4670" w:name="_Toc488404912"/>
      <w:bookmarkStart w:id="4671" w:name="_Toc488405735"/>
      <w:bookmarkStart w:id="4672" w:name="_Toc488406564"/>
      <w:bookmarkStart w:id="4673" w:name="_Toc491409795"/>
      <w:bookmarkStart w:id="4674" w:name="_Toc496018333"/>
      <w:bookmarkStart w:id="4675" w:name="_Toc515787552"/>
      <w:bookmarkStart w:id="4676" w:name="_Toc515789252"/>
      <w:bookmarkStart w:id="4677" w:name="_Toc515790101"/>
      <w:bookmarkStart w:id="4678" w:name="_Toc515790950"/>
      <w:bookmarkStart w:id="4679" w:name="_Toc515791805"/>
      <w:bookmarkStart w:id="4680" w:name="_Toc515792655"/>
      <w:bookmarkStart w:id="4681" w:name="_Toc515793557"/>
      <w:bookmarkStart w:id="4682" w:name="_Toc515794462"/>
      <w:bookmarkStart w:id="4683" w:name="_Toc515796219"/>
      <w:bookmarkStart w:id="4684" w:name="_Toc488244633"/>
      <w:bookmarkStart w:id="4685" w:name="_Toc488247753"/>
      <w:bookmarkStart w:id="4686" w:name="_Toc488248397"/>
      <w:bookmarkStart w:id="4687" w:name="_Toc488249013"/>
      <w:bookmarkStart w:id="4688" w:name="_Toc488249629"/>
      <w:bookmarkStart w:id="4689" w:name="_Toc488330117"/>
      <w:bookmarkStart w:id="4690" w:name="_Toc488386971"/>
      <w:bookmarkStart w:id="4691" w:name="_Toc488402430"/>
      <w:bookmarkStart w:id="4692" w:name="_Toc488403253"/>
      <w:bookmarkStart w:id="4693" w:name="_Toc488404082"/>
      <w:bookmarkStart w:id="4694" w:name="_Toc488404913"/>
      <w:bookmarkStart w:id="4695" w:name="_Toc488405736"/>
      <w:bookmarkStart w:id="4696" w:name="_Toc488406565"/>
      <w:bookmarkStart w:id="4697" w:name="_Toc491409796"/>
      <w:bookmarkStart w:id="4698" w:name="_Toc496018334"/>
      <w:bookmarkStart w:id="4699" w:name="_Toc515787553"/>
      <w:bookmarkStart w:id="4700" w:name="_Toc515789253"/>
      <w:bookmarkStart w:id="4701" w:name="_Toc515790102"/>
      <w:bookmarkStart w:id="4702" w:name="_Toc515790951"/>
      <w:bookmarkStart w:id="4703" w:name="_Toc515791806"/>
      <w:bookmarkStart w:id="4704" w:name="_Toc515792656"/>
      <w:bookmarkStart w:id="4705" w:name="_Toc515793558"/>
      <w:bookmarkStart w:id="4706" w:name="_Toc515794463"/>
      <w:bookmarkStart w:id="4707" w:name="_Toc515796220"/>
      <w:bookmarkStart w:id="4708" w:name="_Toc488244634"/>
      <w:bookmarkStart w:id="4709" w:name="_Toc488247754"/>
      <w:bookmarkStart w:id="4710" w:name="_Toc488248398"/>
      <w:bookmarkStart w:id="4711" w:name="_Toc488249014"/>
      <w:bookmarkStart w:id="4712" w:name="_Toc488249630"/>
      <w:bookmarkStart w:id="4713" w:name="_Toc488330118"/>
      <w:bookmarkStart w:id="4714" w:name="_Toc488386972"/>
      <w:bookmarkStart w:id="4715" w:name="_Toc488402431"/>
      <w:bookmarkStart w:id="4716" w:name="_Toc488403254"/>
      <w:bookmarkStart w:id="4717" w:name="_Toc488404083"/>
      <w:bookmarkStart w:id="4718" w:name="_Toc488404914"/>
      <w:bookmarkStart w:id="4719" w:name="_Toc488405737"/>
      <w:bookmarkStart w:id="4720" w:name="_Toc488406566"/>
      <w:bookmarkStart w:id="4721" w:name="_Toc491409797"/>
      <w:bookmarkStart w:id="4722" w:name="_Toc496018335"/>
      <w:bookmarkStart w:id="4723" w:name="_Toc515787554"/>
      <w:bookmarkStart w:id="4724" w:name="_Toc515789254"/>
      <w:bookmarkStart w:id="4725" w:name="_Toc515790103"/>
      <w:bookmarkStart w:id="4726" w:name="_Toc515790952"/>
      <w:bookmarkStart w:id="4727" w:name="_Toc515791807"/>
      <w:bookmarkStart w:id="4728" w:name="_Toc515792657"/>
      <w:bookmarkStart w:id="4729" w:name="_Toc515793559"/>
      <w:bookmarkStart w:id="4730" w:name="_Toc515794464"/>
      <w:bookmarkStart w:id="4731" w:name="_Toc515796221"/>
      <w:bookmarkStart w:id="4732" w:name="_Toc488244635"/>
      <w:bookmarkStart w:id="4733" w:name="_Toc488247755"/>
      <w:bookmarkStart w:id="4734" w:name="_Toc488248399"/>
      <w:bookmarkStart w:id="4735" w:name="_Toc488249015"/>
      <w:bookmarkStart w:id="4736" w:name="_Toc488249631"/>
      <w:bookmarkStart w:id="4737" w:name="_Toc488330119"/>
      <w:bookmarkStart w:id="4738" w:name="_Toc488386973"/>
      <w:bookmarkStart w:id="4739" w:name="_Toc488402432"/>
      <w:bookmarkStart w:id="4740" w:name="_Toc488403255"/>
      <w:bookmarkStart w:id="4741" w:name="_Toc488404084"/>
      <w:bookmarkStart w:id="4742" w:name="_Toc488404915"/>
      <w:bookmarkStart w:id="4743" w:name="_Toc488405738"/>
      <w:bookmarkStart w:id="4744" w:name="_Toc488406567"/>
      <w:bookmarkStart w:id="4745" w:name="_Toc491409798"/>
      <w:bookmarkStart w:id="4746" w:name="_Toc496018336"/>
      <w:bookmarkStart w:id="4747" w:name="_Toc515787555"/>
      <w:bookmarkStart w:id="4748" w:name="_Toc515789255"/>
      <w:bookmarkStart w:id="4749" w:name="_Toc515790104"/>
      <w:bookmarkStart w:id="4750" w:name="_Toc515790953"/>
      <w:bookmarkStart w:id="4751" w:name="_Toc515791808"/>
      <w:bookmarkStart w:id="4752" w:name="_Toc515792658"/>
      <w:bookmarkStart w:id="4753" w:name="_Toc515793560"/>
      <w:bookmarkStart w:id="4754" w:name="_Toc515794465"/>
      <w:bookmarkStart w:id="4755" w:name="_Toc515796222"/>
      <w:bookmarkStart w:id="4756" w:name="_Toc488244636"/>
      <w:bookmarkStart w:id="4757" w:name="_Toc488247756"/>
      <w:bookmarkStart w:id="4758" w:name="_Toc488248400"/>
      <w:bookmarkStart w:id="4759" w:name="_Toc488249016"/>
      <w:bookmarkStart w:id="4760" w:name="_Toc488249632"/>
      <w:bookmarkStart w:id="4761" w:name="_Toc488330120"/>
      <w:bookmarkStart w:id="4762" w:name="_Toc488386974"/>
      <w:bookmarkStart w:id="4763" w:name="_Toc488402433"/>
      <w:bookmarkStart w:id="4764" w:name="_Toc488403256"/>
      <w:bookmarkStart w:id="4765" w:name="_Toc488404085"/>
      <w:bookmarkStart w:id="4766" w:name="_Toc488404916"/>
      <w:bookmarkStart w:id="4767" w:name="_Toc488405739"/>
      <w:bookmarkStart w:id="4768" w:name="_Toc488406568"/>
      <w:bookmarkStart w:id="4769" w:name="_Toc491409799"/>
      <w:bookmarkStart w:id="4770" w:name="_Toc496018337"/>
      <w:bookmarkStart w:id="4771" w:name="_Toc515787556"/>
      <w:bookmarkStart w:id="4772" w:name="_Toc515789256"/>
      <w:bookmarkStart w:id="4773" w:name="_Toc515790105"/>
      <w:bookmarkStart w:id="4774" w:name="_Toc515790954"/>
      <w:bookmarkStart w:id="4775" w:name="_Toc515791809"/>
      <w:bookmarkStart w:id="4776" w:name="_Toc515792659"/>
      <w:bookmarkStart w:id="4777" w:name="_Toc515793561"/>
      <w:bookmarkStart w:id="4778" w:name="_Toc515794466"/>
      <w:bookmarkStart w:id="4779" w:name="_Toc515796223"/>
      <w:bookmarkStart w:id="4780" w:name="_Toc488244637"/>
      <w:bookmarkStart w:id="4781" w:name="_Toc488247757"/>
      <w:bookmarkStart w:id="4782" w:name="_Toc488248401"/>
      <w:bookmarkStart w:id="4783" w:name="_Toc488249017"/>
      <w:bookmarkStart w:id="4784" w:name="_Toc488249633"/>
      <w:bookmarkStart w:id="4785" w:name="_Toc488330121"/>
      <w:bookmarkStart w:id="4786" w:name="_Toc488386975"/>
      <w:bookmarkStart w:id="4787" w:name="_Toc488402434"/>
      <w:bookmarkStart w:id="4788" w:name="_Toc488403257"/>
      <w:bookmarkStart w:id="4789" w:name="_Toc488404086"/>
      <w:bookmarkStart w:id="4790" w:name="_Toc488404917"/>
      <w:bookmarkStart w:id="4791" w:name="_Toc488405740"/>
      <w:bookmarkStart w:id="4792" w:name="_Toc488406569"/>
      <w:bookmarkStart w:id="4793" w:name="_Toc491409800"/>
      <w:bookmarkStart w:id="4794" w:name="_Toc496018338"/>
      <w:bookmarkStart w:id="4795" w:name="_Toc515787557"/>
      <w:bookmarkStart w:id="4796" w:name="_Toc515789257"/>
      <w:bookmarkStart w:id="4797" w:name="_Toc515790106"/>
      <w:bookmarkStart w:id="4798" w:name="_Toc515790955"/>
      <w:bookmarkStart w:id="4799" w:name="_Toc515791810"/>
      <w:bookmarkStart w:id="4800" w:name="_Toc515792660"/>
      <w:bookmarkStart w:id="4801" w:name="_Toc515793562"/>
      <w:bookmarkStart w:id="4802" w:name="_Toc515794467"/>
      <w:bookmarkStart w:id="4803" w:name="_Toc515796224"/>
      <w:bookmarkStart w:id="4804" w:name="_Toc488244638"/>
      <w:bookmarkStart w:id="4805" w:name="_Toc488247758"/>
      <w:bookmarkStart w:id="4806" w:name="_Toc488248402"/>
      <w:bookmarkStart w:id="4807" w:name="_Toc488249018"/>
      <w:bookmarkStart w:id="4808" w:name="_Toc488249634"/>
      <w:bookmarkStart w:id="4809" w:name="_Toc488330122"/>
      <w:bookmarkStart w:id="4810" w:name="_Toc488386976"/>
      <w:bookmarkStart w:id="4811" w:name="_Toc488402435"/>
      <w:bookmarkStart w:id="4812" w:name="_Toc488403258"/>
      <w:bookmarkStart w:id="4813" w:name="_Toc488404087"/>
      <w:bookmarkStart w:id="4814" w:name="_Toc488404918"/>
      <w:bookmarkStart w:id="4815" w:name="_Toc488405741"/>
      <w:bookmarkStart w:id="4816" w:name="_Toc488406570"/>
      <w:bookmarkStart w:id="4817" w:name="_Toc491409801"/>
      <w:bookmarkStart w:id="4818" w:name="_Toc496018339"/>
      <w:bookmarkStart w:id="4819" w:name="_Toc515787558"/>
      <w:bookmarkStart w:id="4820" w:name="_Toc515789258"/>
      <w:bookmarkStart w:id="4821" w:name="_Toc515790107"/>
      <w:bookmarkStart w:id="4822" w:name="_Toc515790956"/>
      <w:bookmarkStart w:id="4823" w:name="_Toc515791811"/>
      <w:bookmarkStart w:id="4824" w:name="_Toc515792661"/>
      <w:bookmarkStart w:id="4825" w:name="_Toc515793563"/>
      <w:bookmarkStart w:id="4826" w:name="_Toc515794468"/>
      <w:bookmarkStart w:id="4827" w:name="_Toc515796225"/>
      <w:bookmarkStart w:id="4828" w:name="_Toc488244639"/>
      <w:bookmarkStart w:id="4829" w:name="_Toc488247759"/>
      <w:bookmarkStart w:id="4830" w:name="_Toc488248403"/>
      <w:bookmarkStart w:id="4831" w:name="_Toc488249019"/>
      <w:bookmarkStart w:id="4832" w:name="_Toc488249635"/>
      <w:bookmarkStart w:id="4833" w:name="_Toc488330123"/>
      <w:bookmarkStart w:id="4834" w:name="_Toc488386977"/>
      <w:bookmarkStart w:id="4835" w:name="_Toc488402436"/>
      <w:bookmarkStart w:id="4836" w:name="_Toc488403259"/>
      <w:bookmarkStart w:id="4837" w:name="_Toc488404088"/>
      <w:bookmarkStart w:id="4838" w:name="_Toc488404919"/>
      <w:bookmarkStart w:id="4839" w:name="_Toc488405742"/>
      <w:bookmarkStart w:id="4840" w:name="_Toc488406571"/>
      <w:bookmarkStart w:id="4841" w:name="_Toc491409802"/>
      <w:bookmarkStart w:id="4842" w:name="_Toc496018340"/>
      <w:bookmarkStart w:id="4843" w:name="_Toc515787559"/>
      <w:bookmarkStart w:id="4844" w:name="_Toc515789259"/>
      <w:bookmarkStart w:id="4845" w:name="_Toc515790108"/>
      <w:bookmarkStart w:id="4846" w:name="_Toc515790957"/>
      <w:bookmarkStart w:id="4847" w:name="_Toc515791812"/>
      <w:bookmarkStart w:id="4848" w:name="_Toc515792662"/>
      <w:bookmarkStart w:id="4849" w:name="_Toc515793564"/>
      <w:bookmarkStart w:id="4850" w:name="_Toc515794469"/>
      <w:bookmarkStart w:id="4851" w:name="_Toc515796226"/>
      <w:bookmarkStart w:id="4852" w:name="_Toc488244640"/>
      <w:bookmarkStart w:id="4853" w:name="_Toc488247760"/>
      <w:bookmarkStart w:id="4854" w:name="_Toc488248404"/>
      <w:bookmarkStart w:id="4855" w:name="_Toc488249020"/>
      <w:bookmarkStart w:id="4856" w:name="_Toc488249636"/>
      <w:bookmarkStart w:id="4857" w:name="_Toc488330124"/>
      <w:bookmarkStart w:id="4858" w:name="_Toc488386978"/>
      <w:bookmarkStart w:id="4859" w:name="_Toc488402437"/>
      <w:bookmarkStart w:id="4860" w:name="_Toc488403260"/>
      <w:bookmarkStart w:id="4861" w:name="_Toc488404089"/>
      <w:bookmarkStart w:id="4862" w:name="_Toc488404920"/>
      <w:bookmarkStart w:id="4863" w:name="_Toc488405743"/>
      <w:bookmarkStart w:id="4864" w:name="_Toc488406572"/>
      <w:bookmarkStart w:id="4865" w:name="_Toc491409803"/>
      <w:bookmarkStart w:id="4866" w:name="_Toc496018341"/>
      <w:bookmarkStart w:id="4867" w:name="_Toc515787560"/>
      <w:bookmarkStart w:id="4868" w:name="_Toc515789260"/>
      <w:bookmarkStart w:id="4869" w:name="_Toc515790109"/>
      <w:bookmarkStart w:id="4870" w:name="_Toc515790958"/>
      <w:bookmarkStart w:id="4871" w:name="_Toc515791813"/>
      <w:bookmarkStart w:id="4872" w:name="_Toc515792663"/>
      <w:bookmarkStart w:id="4873" w:name="_Toc515793565"/>
      <w:bookmarkStart w:id="4874" w:name="_Toc515794470"/>
      <w:bookmarkStart w:id="4875" w:name="_Toc515796227"/>
      <w:bookmarkStart w:id="4876" w:name="_Toc488244641"/>
      <w:bookmarkStart w:id="4877" w:name="_Toc488247761"/>
      <w:bookmarkStart w:id="4878" w:name="_Toc488248405"/>
      <w:bookmarkStart w:id="4879" w:name="_Toc488249021"/>
      <w:bookmarkStart w:id="4880" w:name="_Toc488249637"/>
      <w:bookmarkStart w:id="4881" w:name="_Toc488330125"/>
      <w:bookmarkStart w:id="4882" w:name="_Toc488386979"/>
      <w:bookmarkStart w:id="4883" w:name="_Toc488402438"/>
      <w:bookmarkStart w:id="4884" w:name="_Toc488403261"/>
      <w:bookmarkStart w:id="4885" w:name="_Toc488404090"/>
      <w:bookmarkStart w:id="4886" w:name="_Toc488404921"/>
      <w:bookmarkStart w:id="4887" w:name="_Toc488405744"/>
      <w:bookmarkStart w:id="4888" w:name="_Toc488406573"/>
      <w:bookmarkStart w:id="4889" w:name="_Toc491409804"/>
      <w:bookmarkStart w:id="4890" w:name="_Toc496018342"/>
      <w:bookmarkStart w:id="4891" w:name="_Toc515787561"/>
      <w:bookmarkStart w:id="4892" w:name="_Toc515789261"/>
      <w:bookmarkStart w:id="4893" w:name="_Toc515790110"/>
      <w:bookmarkStart w:id="4894" w:name="_Toc515790959"/>
      <w:bookmarkStart w:id="4895" w:name="_Toc515791814"/>
      <w:bookmarkStart w:id="4896" w:name="_Toc515792664"/>
      <w:bookmarkStart w:id="4897" w:name="_Toc515793566"/>
      <w:bookmarkStart w:id="4898" w:name="_Toc515794471"/>
      <w:bookmarkStart w:id="4899" w:name="_Toc515796228"/>
      <w:bookmarkStart w:id="4900" w:name="_Toc488244642"/>
      <w:bookmarkStart w:id="4901" w:name="_Toc488247762"/>
      <w:bookmarkStart w:id="4902" w:name="_Toc488248406"/>
      <w:bookmarkStart w:id="4903" w:name="_Toc488249022"/>
      <w:bookmarkStart w:id="4904" w:name="_Toc488249638"/>
      <w:bookmarkStart w:id="4905" w:name="_Toc488330126"/>
      <w:bookmarkStart w:id="4906" w:name="_Toc488386980"/>
      <w:bookmarkStart w:id="4907" w:name="_Toc488402439"/>
      <w:bookmarkStart w:id="4908" w:name="_Toc488403262"/>
      <w:bookmarkStart w:id="4909" w:name="_Toc488404091"/>
      <w:bookmarkStart w:id="4910" w:name="_Toc488404922"/>
      <w:bookmarkStart w:id="4911" w:name="_Toc488405745"/>
      <w:bookmarkStart w:id="4912" w:name="_Toc488406574"/>
      <w:bookmarkStart w:id="4913" w:name="_Toc491409805"/>
      <w:bookmarkStart w:id="4914" w:name="_Toc496018343"/>
      <w:bookmarkStart w:id="4915" w:name="_Toc515787562"/>
      <w:bookmarkStart w:id="4916" w:name="_Toc515789262"/>
      <w:bookmarkStart w:id="4917" w:name="_Toc515790111"/>
      <w:bookmarkStart w:id="4918" w:name="_Toc515790960"/>
      <w:bookmarkStart w:id="4919" w:name="_Toc515791815"/>
      <w:bookmarkStart w:id="4920" w:name="_Toc515792665"/>
      <w:bookmarkStart w:id="4921" w:name="_Toc515793567"/>
      <w:bookmarkStart w:id="4922" w:name="_Toc515794472"/>
      <w:bookmarkStart w:id="4923" w:name="_Toc515796229"/>
      <w:bookmarkStart w:id="4924" w:name="_Toc488244643"/>
      <w:bookmarkStart w:id="4925" w:name="_Toc488247763"/>
      <w:bookmarkStart w:id="4926" w:name="_Toc488248407"/>
      <w:bookmarkStart w:id="4927" w:name="_Toc488249023"/>
      <w:bookmarkStart w:id="4928" w:name="_Toc488249639"/>
      <w:bookmarkStart w:id="4929" w:name="_Toc488330127"/>
      <w:bookmarkStart w:id="4930" w:name="_Toc488386981"/>
      <w:bookmarkStart w:id="4931" w:name="_Toc488402440"/>
      <w:bookmarkStart w:id="4932" w:name="_Toc488403263"/>
      <w:bookmarkStart w:id="4933" w:name="_Toc488404092"/>
      <w:bookmarkStart w:id="4934" w:name="_Toc488404923"/>
      <w:bookmarkStart w:id="4935" w:name="_Toc488405746"/>
      <w:bookmarkStart w:id="4936" w:name="_Toc488406575"/>
      <w:bookmarkStart w:id="4937" w:name="_Toc491409806"/>
      <w:bookmarkStart w:id="4938" w:name="_Toc496018344"/>
      <w:bookmarkStart w:id="4939" w:name="_Toc515787563"/>
      <w:bookmarkStart w:id="4940" w:name="_Toc515789263"/>
      <w:bookmarkStart w:id="4941" w:name="_Toc515790112"/>
      <w:bookmarkStart w:id="4942" w:name="_Toc515790961"/>
      <w:bookmarkStart w:id="4943" w:name="_Toc515791816"/>
      <w:bookmarkStart w:id="4944" w:name="_Toc515792666"/>
      <w:bookmarkStart w:id="4945" w:name="_Toc515793568"/>
      <w:bookmarkStart w:id="4946" w:name="_Toc515794473"/>
      <w:bookmarkStart w:id="4947" w:name="_Toc515796230"/>
      <w:bookmarkStart w:id="4948" w:name="_Toc488244644"/>
      <w:bookmarkStart w:id="4949" w:name="_Toc488247764"/>
      <w:bookmarkStart w:id="4950" w:name="_Toc488248408"/>
      <w:bookmarkStart w:id="4951" w:name="_Toc488249024"/>
      <w:bookmarkStart w:id="4952" w:name="_Toc488249640"/>
      <w:bookmarkStart w:id="4953" w:name="_Toc488330128"/>
      <w:bookmarkStart w:id="4954" w:name="_Toc488386982"/>
      <w:bookmarkStart w:id="4955" w:name="_Toc488402441"/>
      <w:bookmarkStart w:id="4956" w:name="_Toc488403264"/>
      <w:bookmarkStart w:id="4957" w:name="_Toc488404093"/>
      <w:bookmarkStart w:id="4958" w:name="_Toc488404924"/>
      <w:bookmarkStart w:id="4959" w:name="_Toc488405747"/>
      <w:bookmarkStart w:id="4960" w:name="_Toc488406576"/>
      <w:bookmarkStart w:id="4961" w:name="_Toc491409807"/>
      <w:bookmarkStart w:id="4962" w:name="_Toc496018345"/>
      <w:bookmarkStart w:id="4963" w:name="_Toc515787564"/>
      <w:bookmarkStart w:id="4964" w:name="_Toc515789264"/>
      <w:bookmarkStart w:id="4965" w:name="_Toc515790113"/>
      <w:bookmarkStart w:id="4966" w:name="_Toc515790962"/>
      <w:bookmarkStart w:id="4967" w:name="_Toc515791817"/>
      <w:bookmarkStart w:id="4968" w:name="_Toc515792667"/>
      <w:bookmarkStart w:id="4969" w:name="_Toc515793569"/>
      <w:bookmarkStart w:id="4970" w:name="_Toc515794474"/>
      <w:bookmarkStart w:id="4971" w:name="_Toc515796231"/>
      <w:bookmarkStart w:id="4972" w:name="_Toc488244645"/>
      <w:bookmarkStart w:id="4973" w:name="_Toc488247765"/>
      <w:bookmarkStart w:id="4974" w:name="_Toc488248409"/>
      <w:bookmarkStart w:id="4975" w:name="_Toc488249025"/>
      <w:bookmarkStart w:id="4976" w:name="_Toc488249641"/>
      <w:bookmarkStart w:id="4977" w:name="_Toc488330129"/>
      <w:bookmarkStart w:id="4978" w:name="_Toc488386983"/>
      <w:bookmarkStart w:id="4979" w:name="_Toc488402442"/>
      <w:bookmarkStart w:id="4980" w:name="_Toc488403265"/>
      <w:bookmarkStart w:id="4981" w:name="_Toc488404094"/>
      <w:bookmarkStart w:id="4982" w:name="_Toc488404925"/>
      <w:bookmarkStart w:id="4983" w:name="_Toc488405748"/>
      <w:bookmarkStart w:id="4984" w:name="_Toc488406577"/>
      <w:bookmarkStart w:id="4985" w:name="_Toc491409808"/>
      <w:bookmarkStart w:id="4986" w:name="_Toc496018346"/>
      <w:bookmarkStart w:id="4987" w:name="_Toc515787565"/>
      <w:bookmarkStart w:id="4988" w:name="_Toc515789265"/>
      <w:bookmarkStart w:id="4989" w:name="_Toc515790114"/>
      <w:bookmarkStart w:id="4990" w:name="_Toc515790963"/>
      <w:bookmarkStart w:id="4991" w:name="_Toc515791818"/>
      <w:bookmarkStart w:id="4992" w:name="_Toc515792668"/>
      <w:bookmarkStart w:id="4993" w:name="_Toc515793570"/>
      <w:bookmarkStart w:id="4994" w:name="_Toc515794475"/>
      <w:bookmarkStart w:id="4995" w:name="_Toc515796232"/>
      <w:bookmarkStart w:id="4996" w:name="_Toc488244646"/>
      <w:bookmarkStart w:id="4997" w:name="_Toc488247766"/>
      <w:bookmarkStart w:id="4998" w:name="_Toc488248410"/>
      <w:bookmarkStart w:id="4999" w:name="_Toc488249026"/>
      <w:bookmarkStart w:id="5000" w:name="_Toc488249642"/>
      <w:bookmarkStart w:id="5001" w:name="_Toc488330130"/>
      <w:bookmarkStart w:id="5002" w:name="_Toc488386984"/>
      <w:bookmarkStart w:id="5003" w:name="_Toc488402443"/>
      <w:bookmarkStart w:id="5004" w:name="_Toc488403266"/>
      <w:bookmarkStart w:id="5005" w:name="_Toc488404095"/>
      <w:bookmarkStart w:id="5006" w:name="_Toc488404926"/>
      <w:bookmarkStart w:id="5007" w:name="_Toc488405749"/>
      <w:bookmarkStart w:id="5008" w:name="_Toc488406578"/>
      <w:bookmarkStart w:id="5009" w:name="_Toc491409809"/>
      <w:bookmarkStart w:id="5010" w:name="_Toc496018347"/>
      <w:bookmarkStart w:id="5011" w:name="_Toc515787566"/>
      <w:bookmarkStart w:id="5012" w:name="_Toc515789266"/>
      <w:bookmarkStart w:id="5013" w:name="_Toc515790115"/>
      <w:bookmarkStart w:id="5014" w:name="_Toc515790964"/>
      <w:bookmarkStart w:id="5015" w:name="_Toc515791819"/>
      <w:bookmarkStart w:id="5016" w:name="_Toc515792669"/>
      <w:bookmarkStart w:id="5017" w:name="_Toc515793571"/>
      <w:bookmarkStart w:id="5018" w:name="_Toc515794476"/>
      <w:bookmarkStart w:id="5019" w:name="_Toc515796233"/>
      <w:bookmarkStart w:id="5020" w:name="_Toc488244647"/>
      <w:bookmarkStart w:id="5021" w:name="_Toc488247767"/>
      <w:bookmarkStart w:id="5022" w:name="_Toc488248411"/>
      <w:bookmarkStart w:id="5023" w:name="_Toc488249027"/>
      <w:bookmarkStart w:id="5024" w:name="_Toc488249643"/>
      <w:bookmarkStart w:id="5025" w:name="_Toc488330131"/>
      <w:bookmarkStart w:id="5026" w:name="_Toc488386985"/>
      <w:bookmarkStart w:id="5027" w:name="_Toc488402444"/>
      <w:bookmarkStart w:id="5028" w:name="_Toc488403267"/>
      <w:bookmarkStart w:id="5029" w:name="_Toc488404096"/>
      <w:bookmarkStart w:id="5030" w:name="_Toc488404927"/>
      <w:bookmarkStart w:id="5031" w:name="_Toc488405750"/>
      <w:bookmarkStart w:id="5032" w:name="_Toc488406579"/>
      <w:bookmarkStart w:id="5033" w:name="_Toc491409810"/>
      <w:bookmarkStart w:id="5034" w:name="_Toc496018348"/>
      <w:bookmarkStart w:id="5035" w:name="_Toc515787567"/>
      <w:bookmarkStart w:id="5036" w:name="_Toc515789267"/>
      <w:bookmarkStart w:id="5037" w:name="_Toc515790116"/>
      <w:bookmarkStart w:id="5038" w:name="_Toc515790965"/>
      <w:bookmarkStart w:id="5039" w:name="_Toc515791820"/>
      <w:bookmarkStart w:id="5040" w:name="_Toc515792670"/>
      <w:bookmarkStart w:id="5041" w:name="_Toc515793572"/>
      <w:bookmarkStart w:id="5042" w:name="_Toc515794477"/>
      <w:bookmarkStart w:id="5043" w:name="_Toc515796234"/>
      <w:bookmarkStart w:id="5044" w:name="_Toc488244648"/>
      <w:bookmarkStart w:id="5045" w:name="_Toc488247768"/>
      <w:bookmarkStart w:id="5046" w:name="_Toc488248412"/>
      <w:bookmarkStart w:id="5047" w:name="_Toc488249028"/>
      <w:bookmarkStart w:id="5048" w:name="_Toc488249644"/>
      <w:bookmarkStart w:id="5049" w:name="_Toc488330132"/>
      <w:bookmarkStart w:id="5050" w:name="_Toc488386986"/>
      <w:bookmarkStart w:id="5051" w:name="_Toc488402445"/>
      <w:bookmarkStart w:id="5052" w:name="_Toc488403268"/>
      <w:bookmarkStart w:id="5053" w:name="_Toc488404097"/>
      <w:bookmarkStart w:id="5054" w:name="_Toc488404928"/>
      <w:bookmarkStart w:id="5055" w:name="_Toc488405751"/>
      <w:bookmarkStart w:id="5056" w:name="_Toc488406580"/>
      <w:bookmarkStart w:id="5057" w:name="_Toc491409811"/>
      <w:bookmarkStart w:id="5058" w:name="_Toc496018349"/>
      <w:bookmarkStart w:id="5059" w:name="_Toc515787568"/>
      <w:bookmarkStart w:id="5060" w:name="_Toc515789268"/>
      <w:bookmarkStart w:id="5061" w:name="_Toc515790117"/>
      <w:bookmarkStart w:id="5062" w:name="_Toc515790966"/>
      <w:bookmarkStart w:id="5063" w:name="_Toc515791821"/>
      <w:bookmarkStart w:id="5064" w:name="_Toc515792671"/>
      <w:bookmarkStart w:id="5065" w:name="_Toc515793573"/>
      <w:bookmarkStart w:id="5066" w:name="_Toc515794478"/>
      <w:bookmarkStart w:id="5067" w:name="_Toc515796235"/>
      <w:bookmarkStart w:id="5068" w:name="_Toc488244649"/>
      <w:bookmarkStart w:id="5069" w:name="_Toc488247769"/>
      <w:bookmarkStart w:id="5070" w:name="_Toc488248413"/>
      <w:bookmarkStart w:id="5071" w:name="_Toc488249029"/>
      <w:bookmarkStart w:id="5072" w:name="_Toc488249645"/>
      <w:bookmarkStart w:id="5073" w:name="_Toc488330133"/>
      <w:bookmarkStart w:id="5074" w:name="_Toc488386987"/>
      <w:bookmarkStart w:id="5075" w:name="_Toc488402446"/>
      <w:bookmarkStart w:id="5076" w:name="_Toc488403269"/>
      <w:bookmarkStart w:id="5077" w:name="_Toc488404098"/>
      <w:bookmarkStart w:id="5078" w:name="_Toc488404929"/>
      <w:bookmarkStart w:id="5079" w:name="_Toc488405752"/>
      <w:bookmarkStart w:id="5080" w:name="_Toc488406581"/>
      <w:bookmarkStart w:id="5081" w:name="_Toc491409812"/>
      <w:bookmarkStart w:id="5082" w:name="_Toc496018350"/>
      <w:bookmarkStart w:id="5083" w:name="_Toc515787569"/>
      <w:bookmarkStart w:id="5084" w:name="_Toc515789269"/>
      <w:bookmarkStart w:id="5085" w:name="_Toc515790118"/>
      <w:bookmarkStart w:id="5086" w:name="_Toc515790967"/>
      <w:bookmarkStart w:id="5087" w:name="_Toc515791822"/>
      <w:bookmarkStart w:id="5088" w:name="_Toc515792672"/>
      <w:bookmarkStart w:id="5089" w:name="_Toc515793574"/>
      <w:bookmarkStart w:id="5090" w:name="_Toc515794479"/>
      <w:bookmarkStart w:id="5091" w:name="_Toc515796236"/>
      <w:bookmarkStart w:id="5092" w:name="_Toc488244650"/>
      <w:bookmarkStart w:id="5093" w:name="_Toc488247770"/>
      <w:bookmarkStart w:id="5094" w:name="_Toc488248414"/>
      <w:bookmarkStart w:id="5095" w:name="_Toc488249030"/>
      <w:bookmarkStart w:id="5096" w:name="_Toc488249646"/>
      <w:bookmarkStart w:id="5097" w:name="_Toc488330134"/>
      <w:bookmarkStart w:id="5098" w:name="_Toc488386988"/>
      <w:bookmarkStart w:id="5099" w:name="_Toc488402447"/>
      <w:bookmarkStart w:id="5100" w:name="_Toc488403270"/>
      <w:bookmarkStart w:id="5101" w:name="_Toc488404099"/>
      <w:bookmarkStart w:id="5102" w:name="_Toc488404930"/>
      <w:bookmarkStart w:id="5103" w:name="_Toc488405753"/>
      <w:bookmarkStart w:id="5104" w:name="_Toc488406582"/>
      <w:bookmarkStart w:id="5105" w:name="_Toc491409813"/>
      <w:bookmarkStart w:id="5106" w:name="_Toc496018351"/>
      <w:bookmarkStart w:id="5107" w:name="_Toc515787570"/>
      <w:bookmarkStart w:id="5108" w:name="_Toc515789270"/>
      <w:bookmarkStart w:id="5109" w:name="_Toc515790119"/>
      <w:bookmarkStart w:id="5110" w:name="_Toc515790968"/>
      <w:bookmarkStart w:id="5111" w:name="_Toc515791823"/>
      <w:bookmarkStart w:id="5112" w:name="_Toc515792673"/>
      <w:bookmarkStart w:id="5113" w:name="_Toc515793575"/>
      <w:bookmarkStart w:id="5114" w:name="_Toc515794480"/>
      <w:bookmarkStart w:id="5115" w:name="_Toc515796237"/>
      <w:bookmarkStart w:id="5116" w:name="_Toc488244651"/>
      <w:bookmarkStart w:id="5117" w:name="_Toc488247771"/>
      <w:bookmarkStart w:id="5118" w:name="_Toc488248415"/>
      <w:bookmarkStart w:id="5119" w:name="_Toc488249031"/>
      <w:bookmarkStart w:id="5120" w:name="_Toc488249647"/>
      <w:bookmarkStart w:id="5121" w:name="_Toc488330135"/>
      <w:bookmarkStart w:id="5122" w:name="_Toc488386989"/>
      <w:bookmarkStart w:id="5123" w:name="_Toc488402448"/>
      <w:bookmarkStart w:id="5124" w:name="_Toc488403271"/>
      <w:bookmarkStart w:id="5125" w:name="_Toc488404100"/>
      <w:bookmarkStart w:id="5126" w:name="_Toc488404931"/>
      <w:bookmarkStart w:id="5127" w:name="_Toc488405754"/>
      <w:bookmarkStart w:id="5128" w:name="_Toc488406583"/>
      <w:bookmarkStart w:id="5129" w:name="_Toc491409814"/>
      <w:bookmarkStart w:id="5130" w:name="_Toc496018352"/>
      <w:bookmarkStart w:id="5131" w:name="_Toc515787571"/>
      <w:bookmarkStart w:id="5132" w:name="_Toc515789271"/>
      <w:bookmarkStart w:id="5133" w:name="_Toc515790120"/>
      <w:bookmarkStart w:id="5134" w:name="_Toc515790969"/>
      <w:bookmarkStart w:id="5135" w:name="_Toc515791824"/>
      <w:bookmarkStart w:id="5136" w:name="_Toc515792674"/>
      <w:bookmarkStart w:id="5137" w:name="_Toc515793576"/>
      <w:bookmarkStart w:id="5138" w:name="_Toc515794481"/>
      <w:bookmarkStart w:id="5139" w:name="_Toc515796238"/>
      <w:bookmarkStart w:id="5140" w:name="_Toc488244652"/>
      <w:bookmarkStart w:id="5141" w:name="_Toc488247772"/>
      <w:bookmarkStart w:id="5142" w:name="_Toc488248416"/>
      <w:bookmarkStart w:id="5143" w:name="_Toc488249032"/>
      <w:bookmarkStart w:id="5144" w:name="_Toc488249648"/>
      <w:bookmarkStart w:id="5145" w:name="_Toc488330136"/>
      <w:bookmarkStart w:id="5146" w:name="_Toc488386990"/>
      <w:bookmarkStart w:id="5147" w:name="_Toc488402449"/>
      <w:bookmarkStart w:id="5148" w:name="_Toc488403272"/>
      <w:bookmarkStart w:id="5149" w:name="_Toc488404101"/>
      <w:bookmarkStart w:id="5150" w:name="_Toc488404932"/>
      <w:bookmarkStart w:id="5151" w:name="_Toc488405755"/>
      <w:bookmarkStart w:id="5152" w:name="_Toc488406584"/>
      <w:bookmarkStart w:id="5153" w:name="_Toc491409815"/>
      <w:bookmarkStart w:id="5154" w:name="_Toc496018353"/>
      <w:bookmarkStart w:id="5155" w:name="_Toc515787572"/>
      <w:bookmarkStart w:id="5156" w:name="_Toc515789272"/>
      <w:bookmarkStart w:id="5157" w:name="_Toc515790121"/>
      <w:bookmarkStart w:id="5158" w:name="_Toc515790970"/>
      <w:bookmarkStart w:id="5159" w:name="_Toc515791825"/>
      <w:bookmarkStart w:id="5160" w:name="_Toc515792675"/>
      <w:bookmarkStart w:id="5161" w:name="_Toc515793577"/>
      <w:bookmarkStart w:id="5162" w:name="_Toc515794482"/>
      <w:bookmarkStart w:id="5163" w:name="_Toc515796239"/>
      <w:bookmarkStart w:id="5164" w:name="_Toc488244653"/>
      <w:bookmarkStart w:id="5165" w:name="_Toc488247773"/>
      <w:bookmarkStart w:id="5166" w:name="_Toc488248417"/>
      <w:bookmarkStart w:id="5167" w:name="_Toc488249033"/>
      <w:bookmarkStart w:id="5168" w:name="_Toc488249649"/>
      <w:bookmarkStart w:id="5169" w:name="_Toc488330137"/>
      <w:bookmarkStart w:id="5170" w:name="_Toc488386991"/>
      <w:bookmarkStart w:id="5171" w:name="_Toc488402450"/>
      <w:bookmarkStart w:id="5172" w:name="_Toc488403273"/>
      <w:bookmarkStart w:id="5173" w:name="_Toc488404102"/>
      <w:bookmarkStart w:id="5174" w:name="_Toc488404933"/>
      <w:bookmarkStart w:id="5175" w:name="_Toc488405756"/>
      <w:bookmarkStart w:id="5176" w:name="_Toc488406585"/>
      <w:bookmarkStart w:id="5177" w:name="_Toc491409816"/>
      <w:bookmarkStart w:id="5178" w:name="_Toc496018354"/>
      <w:bookmarkStart w:id="5179" w:name="_Toc515787573"/>
      <w:bookmarkStart w:id="5180" w:name="_Toc515789273"/>
      <w:bookmarkStart w:id="5181" w:name="_Toc515790122"/>
      <w:bookmarkStart w:id="5182" w:name="_Toc515790971"/>
      <w:bookmarkStart w:id="5183" w:name="_Toc515791826"/>
      <w:bookmarkStart w:id="5184" w:name="_Toc515792676"/>
      <w:bookmarkStart w:id="5185" w:name="_Toc515793578"/>
      <w:bookmarkStart w:id="5186" w:name="_Toc515794483"/>
      <w:bookmarkStart w:id="5187" w:name="_Toc515796240"/>
      <w:bookmarkStart w:id="5188" w:name="_Toc488244654"/>
      <w:bookmarkStart w:id="5189" w:name="_Toc488247774"/>
      <w:bookmarkStart w:id="5190" w:name="_Toc488248418"/>
      <w:bookmarkStart w:id="5191" w:name="_Toc488249034"/>
      <w:bookmarkStart w:id="5192" w:name="_Toc488249650"/>
      <w:bookmarkStart w:id="5193" w:name="_Toc488330138"/>
      <w:bookmarkStart w:id="5194" w:name="_Toc488386992"/>
      <w:bookmarkStart w:id="5195" w:name="_Toc488402451"/>
      <w:bookmarkStart w:id="5196" w:name="_Toc488403274"/>
      <w:bookmarkStart w:id="5197" w:name="_Toc488404103"/>
      <w:bookmarkStart w:id="5198" w:name="_Toc488404934"/>
      <w:bookmarkStart w:id="5199" w:name="_Toc488405757"/>
      <w:bookmarkStart w:id="5200" w:name="_Toc488406586"/>
      <w:bookmarkStart w:id="5201" w:name="_Toc491409817"/>
      <w:bookmarkStart w:id="5202" w:name="_Toc496018355"/>
      <w:bookmarkStart w:id="5203" w:name="_Toc515787574"/>
      <w:bookmarkStart w:id="5204" w:name="_Toc515789274"/>
      <w:bookmarkStart w:id="5205" w:name="_Toc515790123"/>
      <w:bookmarkStart w:id="5206" w:name="_Toc515790972"/>
      <w:bookmarkStart w:id="5207" w:name="_Toc515791827"/>
      <w:bookmarkStart w:id="5208" w:name="_Toc515792677"/>
      <w:bookmarkStart w:id="5209" w:name="_Toc515793579"/>
      <w:bookmarkStart w:id="5210" w:name="_Toc515794484"/>
      <w:bookmarkStart w:id="5211" w:name="_Toc515796241"/>
      <w:bookmarkStart w:id="5212" w:name="_Toc488244655"/>
      <w:bookmarkStart w:id="5213" w:name="_Toc488247775"/>
      <w:bookmarkStart w:id="5214" w:name="_Toc488248419"/>
      <w:bookmarkStart w:id="5215" w:name="_Toc488249035"/>
      <w:bookmarkStart w:id="5216" w:name="_Toc488249651"/>
      <w:bookmarkStart w:id="5217" w:name="_Toc488330139"/>
      <w:bookmarkStart w:id="5218" w:name="_Toc488386993"/>
      <w:bookmarkStart w:id="5219" w:name="_Toc488402452"/>
      <w:bookmarkStart w:id="5220" w:name="_Toc488403275"/>
      <w:bookmarkStart w:id="5221" w:name="_Toc488404104"/>
      <w:bookmarkStart w:id="5222" w:name="_Toc488404935"/>
      <w:bookmarkStart w:id="5223" w:name="_Toc488405758"/>
      <w:bookmarkStart w:id="5224" w:name="_Toc488406587"/>
      <w:bookmarkStart w:id="5225" w:name="_Toc491409818"/>
      <w:bookmarkStart w:id="5226" w:name="_Toc496018356"/>
      <w:bookmarkStart w:id="5227" w:name="_Toc515787575"/>
      <w:bookmarkStart w:id="5228" w:name="_Toc515789275"/>
      <w:bookmarkStart w:id="5229" w:name="_Toc515790124"/>
      <w:bookmarkStart w:id="5230" w:name="_Toc515790973"/>
      <w:bookmarkStart w:id="5231" w:name="_Toc515791828"/>
      <w:bookmarkStart w:id="5232" w:name="_Toc515792678"/>
      <w:bookmarkStart w:id="5233" w:name="_Toc515793580"/>
      <w:bookmarkStart w:id="5234" w:name="_Toc515794485"/>
      <w:bookmarkStart w:id="5235" w:name="_Toc515796242"/>
      <w:bookmarkStart w:id="5236" w:name="_Toc488244656"/>
      <w:bookmarkStart w:id="5237" w:name="_Toc488247776"/>
      <w:bookmarkStart w:id="5238" w:name="_Toc488248420"/>
      <w:bookmarkStart w:id="5239" w:name="_Toc488249036"/>
      <w:bookmarkStart w:id="5240" w:name="_Toc488249652"/>
      <w:bookmarkStart w:id="5241" w:name="_Toc488330140"/>
      <w:bookmarkStart w:id="5242" w:name="_Toc488386994"/>
      <w:bookmarkStart w:id="5243" w:name="_Toc488402453"/>
      <w:bookmarkStart w:id="5244" w:name="_Toc488403276"/>
      <w:bookmarkStart w:id="5245" w:name="_Toc488404105"/>
      <w:bookmarkStart w:id="5246" w:name="_Toc488404936"/>
      <w:bookmarkStart w:id="5247" w:name="_Toc488405759"/>
      <w:bookmarkStart w:id="5248" w:name="_Toc488406588"/>
      <w:bookmarkStart w:id="5249" w:name="_Toc491409819"/>
      <w:bookmarkStart w:id="5250" w:name="_Toc496018357"/>
      <w:bookmarkStart w:id="5251" w:name="_Toc515787576"/>
      <w:bookmarkStart w:id="5252" w:name="_Toc515789276"/>
      <w:bookmarkStart w:id="5253" w:name="_Toc515790125"/>
      <w:bookmarkStart w:id="5254" w:name="_Toc515790974"/>
      <w:bookmarkStart w:id="5255" w:name="_Toc515791829"/>
      <w:bookmarkStart w:id="5256" w:name="_Toc515792679"/>
      <w:bookmarkStart w:id="5257" w:name="_Toc515793581"/>
      <w:bookmarkStart w:id="5258" w:name="_Toc515794486"/>
      <w:bookmarkStart w:id="5259" w:name="_Toc515796243"/>
      <w:bookmarkStart w:id="5260" w:name="_Toc488244657"/>
      <w:bookmarkStart w:id="5261" w:name="_Toc488247777"/>
      <w:bookmarkStart w:id="5262" w:name="_Toc488248421"/>
      <w:bookmarkStart w:id="5263" w:name="_Toc488249037"/>
      <w:bookmarkStart w:id="5264" w:name="_Toc488249653"/>
      <w:bookmarkStart w:id="5265" w:name="_Toc488330141"/>
      <w:bookmarkStart w:id="5266" w:name="_Toc488386995"/>
      <w:bookmarkStart w:id="5267" w:name="_Toc488402454"/>
      <w:bookmarkStart w:id="5268" w:name="_Toc488403277"/>
      <w:bookmarkStart w:id="5269" w:name="_Toc488404106"/>
      <w:bookmarkStart w:id="5270" w:name="_Toc488404937"/>
      <w:bookmarkStart w:id="5271" w:name="_Toc488405760"/>
      <w:bookmarkStart w:id="5272" w:name="_Toc488406589"/>
      <w:bookmarkStart w:id="5273" w:name="_Toc491409820"/>
      <w:bookmarkStart w:id="5274" w:name="_Toc496018358"/>
      <w:bookmarkStart w:id="5275" w:name="_Toc515787577"/>
      <w:bookmarkStart w:id="5276" w:name="_Toc515789277"/>
      <w:bookmarkStart w:id="5277" w:name="_Toc515790126"/>
      <w:bookmarkStart w:id="5278" w:name="_Toc515790975"/>
      <w:bookmarkStart w:id="5279" w:name="_Toc515791830"/>
      <w:bookmarkStart w:id="5280" w:name="_Toc515792680"/>
      <w:bookmarkStart w:id="5281" w:name="_Toc515793582"/>
      <w:bookmarkStart w:id="5282" w:name="_Toc515794487"/>
      <w:bookmarkStart w:id="5283" w:name="_Toc515796244"/>
      <w:bookmarkStart w:id="5284" w:name="_Toc488244658"/>
      <w:bookmarkStart w:id="5285" w:name="_Toc488247778"/>
      <w:bookmarkStart w:id="5286" w:name="_Toc488248422"/>
      <w:bookmarkStart w:id="5287" w:name="_Toc488249038"/>
      <w:bookmarkStart w:id="5288" w:name="_Toc488249654"/>
      <w:bookmarkStart w:id="5289" w:name="_Toc488330142"/>
      <w:bookmarkStart w:id="5290" w:name="_Toc488386996"/>
      <w:bookmarkStart w:id="5291" w:name="_Toc488402455"/>
      <w:bookmarkStart w:id="5292" w:name="_Toc488403278"/>
      <w:bookmarkStart w:id="5293" w:name="_Toc488404107"/>
      <w:bookmarkStart w:id="5294" w:name="_Toc488404938"/>
      <w:bookmarkStart w:id="5295" w:name="_Toc488405761"/>
      <w:bookmarkStart w:id="5296" w:name="_Toc488406590"/>
      <w:bookmarkStart w:id="5297" w:name="_Toc491409821"/>
      <w:bookmarkStart w:id="5298" w:name="_Toc496018359"/>
      <w:bookmarkStart w:id="5299" w:name="_Toc515787578"/>
      <w:bookmarkStart w:id="5300" w:name="_Toc515789278"/>
      <w:bookmarkStart w:id="5301" w:name="_Toc515790127"/>
      <w:bookmarkStart w:id="5302" w:name="_Toc515790976"/>
      <w:bookmarkStart w:id="5303" w:name="_Toc515791831"/>
      <w:bookmarkStart w:id="5304" w:name="_Toc515792681"/>
      <w:bookmarkStart w:id="5305" w:name="_Toc515793583"/>
      <w:bookmarkStart w:id="5306" w:name="_Toc515794488"/>
      <w:bookmarkStart w:id="5307" w:name="_Toc515796245"/>
      <w:bookmarkStart w:id="5308" w:name="_Toc488244659"/>
      <w:bookmarkStart w:id="5309" w:name="_Toc488247779"/>
      <w:bookmarkStart w:id="5310" w:name="_Toc488248423"/>
      <w:bookmarkStart w:id="5311" w:name="_Toc488249039"/>
      <w:bookmarkStart w:id="5312" w:name="_Toc488249655"/>
      <w:bookmarkStart w:id="5313" w:name="_Toc488330143"/>
      <w:bookmarkStart w:id="5314" w:name="_Toc488386997"/>
      <w:bookmarkStart w:id="5315" w:name="_Toc488402456"/>
      <w:bookmarkStart w:id="5316" w:name="_Toc488403279"/>
      <w:bookmarkStart w:id="5317" w:name="_Toc488404108"/>
      <w:bookmarkStart w:id="5318" w:name="_Toc488404939"/>
      <w:bookmarkStart w:id="5319" w:name="_Toc488405762"/>
      <w:bookmarkStart w:id="5320" w:name="_Toc488406591"/>
      <w:bookmarkStart w:id="5321" w:name="_Toc491409822"/>
      <w:bookmarkStart w:id="5322" w:name="_Toc496018360"/>
      <w:bookmarkStart w:id="5323" w:name="_Toc515787579"/>
      <w:bookmarkStart w:id="5324" w:name="_Toc515789279"/>
      <w:bookmarkStart w:id="5325" w:name="_Toc515790128"/>
      <w:bookmarkStart w:id="5326" w:name="_Toc515790977"/>
      <w:bookmarkStart w:id="5327" w:name="_Toc515791832"/>
      <w:bookmarkStart w:id="5328" w:name="_Toc515792682"/>
      <w:bookmarkStart w:id="5329" w:name="_Toc515793584"/>
      <w:bookmarkStart w:id="5330" w:name="_Toc515794489"/>
      <w:bookmarkStart w:id="5331" w:name="_Toc515796246"/>
      <w:bookmarkStart w:id="5332" w:name="_Toc488244660"/>
      <w:bookmarkStart w:id="5333" w:name="_Toc488247780"/>
      <w:bookmarkStart w:id="5334" w:name="_Toc488248424"/>
      <w:bookmarkStart w:id="5335" w:name="_Toc488249040"/>
      <w:bookmarkStart w:id="5336" w:name="_Toc488249656"/>
      <w:bookmarkStart w:id="5337" w:name="_Toc488330144"/>
      <w:bookmarkStart w:id="5338" w:name="_Toc488386998"/>
      <w:bookmarkStart w:id="5339" w:name="_Toc488402457"/>
      <w:bookmarkStart w:id="5340" w:name="_Toc488403280"/>
      <w:bookmarkStart w:id="5341" w:name="_Toc488404109"/>
      <w:bookmarkStart w:id="5342" w:name="_Toc488404940"/>
      <w:bookmarkStart w:id="5343" w:name="_Toc488405763"/>
      <w:bookmarkStart w:id="5344" w:name="_Toc488406592"/>
      <w:bookmarkStart w:id="5345" w:name="_Toc491409823"/>
      <w:bookmarkStart w:id="5346" w:name="_Toc496018361"/>
      <w:bookmarkStart w:id="5347" w:name="_Toc515787580"/>
      <w:bookmarkStart w:id="5348" w:name="_Toc515789280"/>
      <w:bookmarkStart w:id="5349" w:name="_Toc515790129"/>
      <w:bookmarkStart w:id="5350" w:name="_Toc515790978"/>
      <w:bookmarkStart w:id="5351" w:name="_Toc515791833"/>
      <w:bookmarkStart w:id="5352" w:name="_Toc515792683"/>
      <w:bookmarkStart w:id="5353" w:name="_Toc515793585"/>
      <w:bookmarkStart w:id="5354" w:name="_Toc515794490"/>
      <w:bookmarkStart w:id="5355" w:name="_Toc515796247"/>
      <w:bookmarkStart w:id="5356" w:name="_Toc488244661"/>
      <w:bookmarkStart w:id="5357" w:name="_Toc488247781"/>
      <w:bookmarkStart w:id="5358" w:name="_Toc488248425"/>
      <w:bookmarkStart w:id="5359" w:name="_Toc488249041"/>
      <w:bookmarkStart w:id="5360" w:name="_Toc488249657"/>
      <w:bookmarkStart w:id="5361" w:name="_Toc488330145"/>
      <w:bookmarkStart w:id="5362" w:name="_Toc488386999"/>
      <w:bookmarkStart w:id="5363" w:name="_Toc488402458"/>
      <w:bookmarkStart w:id="5364" w:name="_Toc488403281"/>
      <w:bookmarkStart w:id="5365" w:name="_Toc488404110"/>
      <w:bookmarkStart w:id="5366" w:name="_Toc488404941"/>
      <w:bookmarkStart w:id="5367" w:name="_Toc488405764"/>
      <w:bookmarkStart w:id="5368" w:name="_Toc488406593"/>
      <w:bookmarkStart w:id="5369" w:name="_Toc491409824"/>
      <w:bookmarkStart w:id="5370" w:name="_Toc496018362"/>
      <w:bookmarkStart w:id="5371" w:name="_Toc515787581"/>
      <w:bookmarkStart w:id="5372" w:name="_Toc515789281"/>
      <w:bookmarkStart w:id="5373" w:name="_Toc515790130"/>
      <w:bookmarkStart w:id="5374" w:name="_Toc515790979"/>
      <w:bookmarkStart w:id="5375" w:name="_Toc515791834"/>
      <w:bookmarkStart w:id="5376" w:name="_Toc515792684"/>
      <w:bookmarkStart w:id="5377" w:name="_Toc515793586"/>
      <w:bookmarkStart w:id="5378" w:name="_Toc515794491"/>
      <w:bookmarkStart w:id="5379" w:name="_Toc515796248"/>
      <w:bookmarkStart w:id="5380" w:name="_Toc488244662"/>
      <w:bookmarkStart w:id="5381" w:name="_Toc488247782"/>
      <w:bookmarkStart w:id="5382" w:name="_Toc488248426"/>
      <w:bookmarkStart w:id="5383" w:name="_Toc488249042"/>
      <w:bookmarkStart w:id="5384" w:name="_Toc488249658"/>
      <w:bookmarkStart w:id="5385" w:name="_Toc488330146"/>
      <w:bookmarkStart w:id="5386" w:name="_Toc488387000"/>
      <w:bookmarkStart w:id="5387" w:name="_Toc488402459"/>
      <w:bookmarkStart w:id="5388" w:name="_Toc488403282"/>
      <w:bookmarkStart w:id="5389" w:name="_Toc488404111"/>
      <w:bookmarkStart w:id="5390" w:name="_Toc488404942"/>
      <w:bookmarkStart w:id="5391" w:name="_Toc488405765"/>
      <w:bookmarkStart w:id="5392" w:name="_Toc488406594"/>
      <w:bookmarkStart w:id="5393" w:name="_Toc491409825"/>
      <w:bookmarkStart w:id="5394" w:name="_Toc496018363"/>
      <w:bookmarkStart w:id="5395" w:name="_Toc515787582"/>
      <w:bookmarkStart w:id="5396" w:name="_Toc515789282"/>
      <w:bookmarkStart w:id="5397" w:name="_Toc515790131"/>
      <w:bookmarkStart w:id="5398" w:name="_Toc515790980"/>
      <w:bookmarkStart w:id="5399" w:name="_Toc515791835"/>
      <w:bookmarkStart w:id="5400" w:name="_Toc515792685"/>
      <w:bookmarkStart w:id="5401" w:name="_Toc515793587"/>
      <w:bookmarkStart w:id="5402" w:name="_Toc515794492"/>
      <w:bookmarkStart w:id="5403" w:name="_Toc515796249"/>
      <w:bookmarkStart w:id="5404" w:name="_Toc488244663"/>
      <w:bookmarkStart w:id="5405" w:name="_Toc488247783"/>
      <w:bookmarkStart w:id="5406" w:name="_Toc488248427"/>
      <w:bookmarkStart w:id="5407" w:name="_Toc488249043"/>
      <w:bookmarkStart w:id="5408" w:name="_Toc488249659"/>
      <w:bookmarkStart w:id="5409" w:name="_Toc488330147"/>
      <w:bookmarkStart w:id="5410" w:name="_Toc488387001"/>
      <w:bookmarkStart w:id="5411" w:name="_Toc488402460"/>
      <w:bookmarkStart w:id="5412" w:name="_Toc488403283"/>
      <w:bookmarkStart w:id="5413" w:name="_Toc488404112"/>
      <w:bookmarkStart w:id="5414" w:name="_Toc488404943"/>
      <w:bookmarkStart w:id="5415" w:name="_Toc488405766"/>
      <w:bookmarkStart w:id="5416" w:name="_Toc488406595"/>
      <w:bookmarkStart w:id="5417" w:name="_Toc491409826"/>
      <w:bookmarkStart w:id="5418" w:name="_Toc496018364"/>
      <w:bookmarkStart w:id="5419" w:name="_Toc515787583"/>
      <w:bookmarkStart w:id="5420" w:name="_Toc515789283"/>
      <w:bookmarkStart w:id="5421" w:name="_Toc515790132"/>
      <w:bookmarkStart w:id="5422" w:name="_Toc515790981"/>
      <w:bookmarkStart w:id="5423" w:name="_Toc515791836"/>
      <w:bookmarkStart w:id="5424" w:name="_Toc515792686"/>
      <w:bookmarkStart w:id="5425" w:name="_Toc515793588"/>
      <w:bookmarkStart w:id="5426" w:name="_Toc515794493"/>
      <w:bookmarkStart w:id="5427" w:name="_Toc515796250"/>
      <w:bookmarkStart w:id="5428" w:name="_Toc488244664"/>
      <w:bookmarkStart w:id="5429" w:name="_Toc488247784"/>
      <w:bookmarkStart w:id="5430" w:name="_Toc488248428"/>
      <w:bookmarkStart w:id="5431" w:name="_Toc488249044"/>
      <w:bookmarkStart w:id="5432" w:name="_Toc488249660"/>
      <w:bookmarkStart w:id="5433" w:name="_Toc488330148"/>
      <w:bookmarkStart w:id="5434" w:name="_Toc488387002"/>
      <w:bookmarkStart w:id="5435" w:name="_Toc488402461"/>
      <w:bookmarkStart w:id="5436" w:name="_Toc488403284"/>
      <w:bookmarkStart w:id="5437" w:name="_Toc488404113"/>
      <w:bookmarkStart w:id="5438" w:name="_Toc488404944"/>
      <w:bookmarkStart w:id="5439" w:name="_Toc488405767"/>
      <w:bookmarkStart w:id="5440" w:name="_Toc488406596"/>
      <w:bookmarkStart w:id="5441" w:name="_Toc491409827"/>
      <w:bookmarkStart w:id="5442" w:name="_Toc496018365"/>
      <w:bookmarkStart w:id="5443" w:name="_Toc515787584"/>
      <w:bookmarkStart w:id="5444" w:name="_Toc515789284"/>
      <w:bookmarkStart w:id="5445" w:name="_Toc515790133"/>
      <w:bookmarkStart w:id="5446" w:name="_Toc515790982"/>
      <w:bookmarkStart w:id="5447" w:name="_Toc515791837"/>
      <w:bookmarkStart w:id="5448" w:name="_Toc515792687"/>
      <w:bookmarkStart w:id="5449" w:name="_Toc515793589"/>
      <w:bookmarkStart w:id="5450" w:name="_Toc515794494"/>
      <w:bookmarkStart w:id="5451" w:name="_Toc515796251"/>
      <w:bookmarkStart w:id="5452" w:name="_Toc488244665"/>
      <w:bookmarkStart w:id="5453" w:name="_Toc488247785"/>
      <w:bookmarkStart w:id="5454" w:name="_Toc488248429"/>
      <w:bookmarkStart w:id="5455" w:name="_Toc488249045"/>
      <w:bookmarkStart w:id="5456" w:name="_Toc488249661"/>
      <w:bookmarkStart w:id="5457" w:name="_Toc488330149"/>
      <w:bookmarkStart w:id="5458" w:name="_Toc488387003"/>
      <w:bookmarkStart w:id="5459" w:name="_Toc488402462"/>
      <w:bookmarkStart w:id="5460" w:name="_Toc488403285"/>
      <w:bookmarkStart w:id="5461" w:name="_Toc488404114"/>
      <w:bookmarkStart w:id="5462" w:name="_Toc488404945"/>
      <w:bookmarkStart w:id="5463" w:name="_Toc488405768"/>
      <w:bookmarkStart w:id="5464" w:name="_Toc488406597"/>
      <w:bookmarkStart w:id="5465" w:name="_Toc491409828"/>
      <w:bookmarkStart w:id="5466" w:name="_Toc496018366"/>
      <w:bookmarkStart w:id="5467" w:name="_Toc515787585"/>
      <w:bookmarkStart w:id="5468" w:name="_Toc515789285"/>
      <w:bookmarkStart w:id="5469" w:name="_Toc515790134"/>
      <w:bookmarkStart w:id="5470" w:name="_Toc515790983"/>
      <w:bookmarkStart w:id="5471" w:name="_Toc515791838"/>
      <w:bookmarkStart w:id="5472" w:name="_Toc515792688"/>
      <w:bookmarkStart w:id="5473" w:name="_Toc515793590"/>
      <w:bookmarkStart w:id="5474" w:name="_Toc515794495"/>
      <w:bookmarkStart w:id="5475" w:name="_Toc515796252"/>
      <w:bookmarkStart w:id="5476" w:name="_Toc488244666"/>
      <w:bookmarkStart w:id="5477" w:name="_Toc488247786"/>
      <w:bookmarkStart w:id="5478" w:name="_Toc488248430"/>
      <w:bookmarkStart w:id="5479" w:name="_Toc488249046"/>
      <w:bookmarkStart w:id="5480" w:name="_Toc488249662"/>
      <w:bookmarkStart w:id="5481" w:name="_Toc488330150"/>
      <w:bookmarkStart w:id="5482" w:name="_Toc488387004"/>
      <w:bookmarkStart w:id="5483" w:name="_Toc488402463"/>
      <w:bookmarkStart w:id="5484" w:name="_Toc488403286"/>
      <w:bookmarkStart w:id="5485" w:name="_Toc488404115"/>
      <w:bookmarkStart w:id="5486" w:name="_Toc488404946"/>
      <w:bookmarkStart w:id="5487" w:name="_Toc488405769"/>
      <w:bookmarkStart w:id="5488" w:name="_Toc488406598"/>
      <w:bookmarkStart w:id="5489" w:name="_Toc491409829"/>
      <w:bookmarkStart w:id="5490" w:name="_Toc496018367"/>
      <w:bookmarkStart w:id="5491" w:name="_Toc515787586"/>
      <w:bookmarkStart w:id="5492" w:name="_Toc515789286"/>
      <w:bookmarkStart w:id="5493" w:name="_Toc515790135"/>
      <w:bookmarkStart w:id="5494" w:name="_Toc515790984"/>
      <w:bookmarkStart w:id="5495" w:name="_Toc515791839"/>
      <w:bookmarkStart w:id="5496" w:name="_Toc515792689"/>
      <w:bookmarkStart w:id="5497" w:name="_Toc515793591"/>
      <w:bookmarkStart w:id="5498" w:name="_Toc515794496"/>
      <w:bookmarkStart w:id="5499" w:name="_Toc515796253"/>
      <w:bookmarkStart w:id="5500" w:name="_Toc488244667"/>
      <w:bookmarkStart w:id="5501" w:name="_Toc488247787"/>
      <w:bookmarkStart w:id="5502" w:name="_Toc488248431"/>
      <w:bookmarkStart w:id="5503" w:name="_Toc488249047"/>
      <w:bookmarkStart w:id="5504" w:name="_Toc488249663"/>
      <w:bookmarkStart w:id="5505" w:name="_Toc488330151"/>
      <w:bookmarkStart w:id="5506" w:name="_Toc488387005"/>
      <w:bookmarkStart w:id="5507" w:name="_Toc488402464"/>
      <w:bookmarkStart w:id="5508" w:name="_Toc488403287"/>
      <w:bookmarkStart w:id="5509" w:name="_Toc488404116"/>
      <w:bookmarkStart w:id="5510" w:name="_Toc488404947"/>
      <w:bookmarkStart w:id="5511" w:name="_Toc488405770"/>
      <w:bookmarkStart w:id="5512" w:name="_Toc488406599"/>
      <w:bookmarkStart w:id="5513" w:name="_Toc491409830"/>
      <w:bookmarkStart w:id="5514" w:name="_Toc496018368"/>
      <w:bookmarkStart w:id="5515" w:name="_Toc515787587"/>
      <w:bookmarkStart w:id="5516" w:name="_Toc515789287"/>
      <w:bookmarkStart w:id="5517" w:name="_Toc515790136"/>
      <w:bookmarkStart w:id="5518" w:name="_Toc515790985"/>
      <w:bookmarkStart w:id="5519" w:name="_Toc515791840"/>
      <w:bookmarkStart w:id="5520" w:name="_Toc515792690"/>
      <w:bookmarkStart w:id="5521" w:name="_Toc515793592"/>
      <w:bookmarkStart w:id="5522" w:name="_Toc515794497"/>
      <w:bookmarkStart w:id="5523" w:name="_Toc515796254"/>
      <w:bookmarkStart w:id="5524" w:name="_Toc488244668"/>
      <w:bookmarkStart w:id="5525" w:name="_Toc488247788"/>
      <w:bookmarkStart w:id="5526" w:name="_Toc488248432"/>
      <w:bookmarkStart w:id="5527" w:name="_Toc488249048"/>
      <w:bookmarkStart w:id="5528" w:name="_Toc488249664"/>
      <w:bookmarkStart w:id="5529" w:name="_Toc488330152"/>
      <w:bookmarkStart w:id="5530" w:name="_Toc488387006"/>
      <w:bookmarkStart w:id="5531" w:name="_Toc488402465"/>
      <w:bookmarkStart w:id="5532" w:name="_Toc488403288"/>
      <w:bookmarkStart w:id="5533" w:name="_Toc488404117"/>
      <w:bookmarkStart w:id="5534" w:name="_Toc488404948"/>
      <w:bookmarkStart w:id="5535" w:name="_Toc488405771"/>
      <w:bookmarkStart w:id="5536" w:name="_Toc488406600"/>
      <w:bookmarkStart w:id="5537" w:name="_Toc491409831"/>
      <w:bookmarkStart w:id="5538" w:name="_Toc496018369"/>
      <w:bookmarkStart w:id="5539" w:name="_Toc515787588"/>
      <w:bookmarkStart w:id="5540" w:name="_Toc515789288"/>
      <w:bookmarkStart w:id="5541" w:name="_Toc515790137"/>
      <w:bookmarkStart w:id="5542" w:name="_Toc515790986"/>
      <w:bookmarkStart w:id="5543" w:name="_Toc515791841"/>
      <w:bookmarkStart w:id="5544" w:name="_Toc515792691"/>
      <w:bookmarkStart w:id="5545" w:name="_Toc515793593"/>
      <w:bookmarkStart w:id="5546" w:name="_Toc515794498"/>
      <w:bookmarkStart w:id="5547" w:name="_Toc515796255"/>
      <w:bookmarkStart w:id="5548" w:name="_Toc488244669"/>
      <w:bookmarkStart w:id="5549" w:name="_Toc488247789"/>
      <w:bookmarkStart w:id="5550" w:name="_Toc488248433"/>
      <w:bookmarkStart w:id="5551" w:name="_Toc488249049"/>
      <w:bookmarkStart w:id="5552" w:name="_Toc488249665"/>
      <w:bookmarkStart w:id="5553" w:name="_Toc488330153"/>
      <w:bookmarkStart w:id="5554" w:name="_Toc488387007"/>
      <w:bookmarkStart w:id="5555" w:name="_Toc488402466"/>
      <w:bookmarkStart w:id="5556" w:name="_Toc488403289"/>
      <w:bookmarkStart w:id="5557" w:name="_Toc488404118"/>
      <w:bookmarkStart w:id="5558" w:name="_Toc488404949"/>
      <w:bookmarkStart w:id="5559" w:name="_Toc488405772"/>
      <w:bookmarkStart w:id="5560" w:name="_Toc488406601"/>
      <w:bookmarkStart w:id="5561" w:name="_Toc491409832"/>
      <w:bookmarkStart w:id="5562" w:name="_Toc496018370"/>
      <w:bookmarkStart w:id="5563" w:name="_Toc515787589"/>
      <w:bookmarkStart w:id="5564" w:name="_Toc515789289"/>
      <w:bookmarkStart w:id="5565" w:name="_Toc515790138"/>
      <w:bookmarkStart w:id="5566" w:name="_Toc515790987"/>
      <w:bookmarkStart w:id="5567" w:name="_Toc515791842"/>
      <w:bookmarkStart w:id="5568" w:name="_Toc515792692"/>
      <w:bookmarkStart w:id="5569" w:name="_Toc515793594"/>
      <w:bookmarkStart w:id="5570" w:name="_Toc515794499"/>
      <w:bookmarkStart w:id="5571" w:name="_Toc515796256"/>
      <w:bookmarkStart w:id="5572" w:name="_Toc488244670"/>
      <w:bookmarkStart w:id="5573" w:name="_Toc488247790"/>
      <w:bookmarkStart w:id="5574" w:name="_Toc488248434"/>
      <w:bookmarkStart w:id="5575" w:name="_Toc488249050"/>
      <w:bookmarkStart w:id="5576" w:name="_Toc488249666"/>
      <w:bookmarkStart w:id="5577" w:name="_Toc488330154"/>
      <w:bookmarkStart w:id="5578" w:name="_Toc488387008"/>
      <w:bookmarkStart w:id="5579" w:name="_Toc488402467"/>
      <w:bookmarkStart w:id="5580" w:name="_Toc488403290"/>
      <w:bookmarkStart w:id="5581" w:name="_Toc488404119"/>
      <w:bookmarkStart w:id="5582" w:name="_Toc488404950"/>
      <w:bookmarkStart w:id="5583" w:name="_Toc488405773"/>
      <w:bookmarkStart w:id="5584" w:name="_Toc488406602"/>
      <w:bookmarkStart w:id="5585" w:name="_Toc491409833"/>
      <w:bookmarkStart w:id="5586" w:name="_Toc496018371"/>
      <w:bookmarkStart w:id="5587" w:name="_Toc515787590"/>
      <w:bookmarkStart w:id="5588" w:name="_Toc515789290"/>
      <w:bookmarkStart w:id="5589" w:name="_Toc515790139"/>
      <w:bookmarkStart w:id="5590" w:name="_Toc515790988"/>
      <w:bookmarkStart w:id="5591" w:name="_Toc515791843"/>
      <w:bookmarkStart w:id="5592" w:name="_Toc515792693"/>
      <w:bookmarkStart w:id="5593" w:name="_Toc515793595"/>
      <w:bookmarkStart w:id="5594" w:name="_Toc515794500"/>
      <w:bookmarkStart w:id="5595" w:name="_Toc515796257"/>
      <w:bookmarkStart w:id="5596" w:name="_Toc488244671"/>
      <w:bookmarkStart w:id="5597" w:name="_Toc488247791"/>
      <w:bookmarkStart w:id="5598" w:name="_Toc488248435"/>
      <w:bookmarkStart w:id="5599" w:name="_Toc488249051"/>
      <w:bookmarkStart w:id="5600" w:name="_Toc488249667"/>
      <w:bookmarkStart w:id="5601" w:name="_Toc488330155"/>
      <w:bookmarkStart w:id="5602" w:name="_Toc488387009"/>
      <w:bookmarkStart w:id="5603" w:name="_Toc488402468"/>
      <w:bookmarkStart w:id="5604" w:name="_Toc488403291"/>
      <w:bookmarkStart w:id="5605" w:name="_Toc488404120"/>
      <w:bookmarkStart w:id="5606" w:name="_Toc488404951"/>
      <w:bookmarkStart w:id="5607" w:name="_Toc488405774"/>
      <w:bookmarkStart w:id="5608" w:name="_Toc488406603"/>
      <w:bookmarkStart w:id="5609" w:name="_Toc491409834"/>
      <w:bookmarkStart w:id="5610" w:name="_Toc496018372"/>
      <w:bookmarkStart w:id="5611" w:name="_Toc515787591"/>
      <w:bookmarkStart w:id="5612" w:name="_Toc515789291"/>
      <w:bookmarkStart w:id="5613" w:name="_Toc515790140"/>
      <w:bookmarkStart w:id="5614" w:name="_Toc515790989"/>
      <w:bookmarkStart w:id="5615" w:name="_Toc515791844"/>
      <w:bookmarkStart w:id="5616" w:name="_Toc515792694"/>
      <w:bookmarkStart w:id="5617" w:name="_Toc515793596"/>
      <w:bookmarkStart w:id="5618" w:name="_Toc515794501"/>
      <w:bookmarkStart w:id="5619" w:name="_Toc515796258"/>
      <w:bookmarkStart w:id="5620" w:name="_Toc488244672"/>
      <w:bookmarkStart w:id="5621" w:name="_Toc488247792"/>
      <w:bookmarkStart w:id="5622" w:name="_Toc488248436"/>
      <w:bookmarkStart w:id="5623" w:name="_Toc488249052"/>
      <w:bookmarkStart w:id="5624" w:name="_Toc488249668"/>
      <w:bookmarkStart w:id="5625" w:name="_Toc488330156"/>
      <w:bookmarkStart w:id="5626" w:name="_Toc488387010"/>
      <w:bookmarkStart w:id="5627" w:name="_Toc488402469"/>
      <w:bookmarkStart w:id="5628" w:name="_Toc488403292"/>
      <w:bookmarkStart w:id="5629" w:name="_Toc488404121"/>
      <w:bookmarkStart w:id="5630" w:name="_Toc488404952"/>
      <w:bookmarkStart w:id="5631" w:name="_Toc488405775"/>
      <w:bookmarkStart w:id="5632" w:name="_Toc488406604"/>
      <w:bookmarkStart w:id="5633" w:name="_Toc491409835"/>
      <w:bookmarkStart w:id="5634" w:name="_Toc496018373"/>
      <w:bookmarkStart w:id="5635" w:name="_Toc515787592"/>
      <w:bookmarkStart w:id="5636" w:name="_Toc515789292"/>
      <w:bookmarkStart w:id="5637" w:name="_Toc515790141"/>
      <w:bookmarkStart w:id="5638" w:name="_Toc515790990"/>
      <w:bookmarkStart w:id="5639" w:name="_Toc515791845"/>
      <w:bookmarkStart w:id="5640" w:name="_Toc515792695"/>
      <w:bookmarkStart w:id="5641" w:name="_Toc515793597"/>
      <w:bookmarkStart w:id="5642" w:name="_Toc515794502"/>
      <w:bookmarkStart w:id="5643" w:name="_Toc515796259"/>
      <w:bookmarkStart w:id="5644" w:name="_Toc488244673"/>
      <w:bookmarkStart w:id="5645" w:name="_Toc488247793"/>
      <w:bookmarkStart w:id="5646" w:name="_Toc488248437"/>
      <w:bookmarkStart w:id="5647" w:name="_Toc488249053"/>
      <w:bookmarkStart w:id="5648" w:name="_Toc488249669"/>
      <w:bookmarkStart w:id="5649" w:name="_Toc488330157"/>
      <w:bookmarkStart w:id="5650" w:name="_Toc488387011"/>
      <w:bookmarkStart w:id="5651" w:name="_Toc488402470"/>
      <w:bookmarkStart w:id="5652" w:name="_Toc488403293"/>
      <w:bookmarkStart w:id="5653" w:name="_Toc488404122"/>
      <w:bookmarkStart w:id="5654" w:name="_Toc488404953"/>
      <w:bookmarkStart w:id="5655" w:name="_Toc488405776"/>
      <w:bookmarkStart w:id="5656" w:name="_Toc488406605"/>
      <w:bookmarkStart w:id="5657" w:name="_Toc491409836"/>
      <w:bookmarkStart w:id="5658" w:name="_Toc496018374"/>
      <w:bookmarkStart w:id="5659" w:name="_Toc515787593"/>
      <w:bookmarkStart w:id="5660" w:name="_Toc515789293"/>
      <w:bookmarkStart w:id="5661" w:name="_Toc515790142"/>
      <w:bookmarkStart w:id="5662" w:name="_Toc515790991"/>
      <w:bookmarkStart w:id="5663" w:name="_Toc515791846"/>
      <w:bookmarkStart w:id="5664" w:name="_Toc515792696"/>
      <w:bookmarkStart w:id="5665" w:name="_Toc515793598"/>
      <w:bookmarkStart w:id="5666" w:name="_Toc515794503"/>
      <w:bookmarkStart w:id="5667" w:name="_Toc515796260"/>
      <w:bookmarkStart w:id="5668" w:name="_Toc488244674"/>
      <w:bookmarkStart w:id="5669" w:name="_Toc488247794"/>
      <w:bookmarkStart w:id="5670" w:name="_Toc488248438"/>
      <w:bookmarkStart w:id="5671" w:name="_Toc488249054"/>
      <w:bookmarkStart w:id="5672" w:name="_Toc488249670"/>
      <w:bookmarkStart w:id="5673" w:name="_Toc488330158"/>
      <w:bookmarkStart w:id="5674" w:name="_Toc488387012"/>
      <w:bookmarkStart w:id="5675" w:name="_Toc488402471"/>
      <w:bookmarkStart w:id="5676" w:name="_Toc488403294"/>
      <w:bookmarkStart w:id="5677" w:name="_Toc488404123"/>
      <w:bookmarkStart w:id="5678" w:name="_Toc488404954"/>
      <w:bookmarkStart w:id="5679" w:name="_Toc488405777"/>
      <w:bookmarkStart w:id="5680" w:name="_Toc488406606"/>
      <w:bookmarkStart w:id="5681" w:name="_Toc491409837"/>
      <w:bookmarkStart w:id="5682" w:name="_Toc496018375"/>
      <w:bookmarkStart w:id="5683" w:name="_Toc515787594"/>
      <w:bookmarkStart w:id="5684" w:name="_Toc515789294"/>
      <w:bookmarkStart w:id="5685" w:name="_Toc515790143"/>
      <w:bookmarkStart w:id="5686" w:name="_Toc515790992"/>
      <w:bookmarkStart w:id="5687" w:name="_Toc515791847"/>
      <w:bookmarkStart w:id="5688" w:name="_Toc515792697"/>
      <w:bookmarkStart w:id="5689" w:name="_Toc515793599"/>
      <w:bookmarkStart w:id="5690" w:name="_Toc515794504"/>
      <w:bookmarkStart w:id="5691" w:name="_Toc515796261"/>
      <w:bookmarkStart w:id="5692" w:name="_Toc488244675"/>
      <w:bookmarkStart w:id="5693" w:name="_Toc488247795"/>
      <w:bookmarkStart w:id="5694" w:name="_Toc488248439"/>
      <w:bookmarkStart w:id="5695" w:name="_Toc488249055"/>
      <w:bookmarkStart w:id="5696" w:name="_Toc488249671"/>
      <w:bookmarkStart w:id="5697" w:name="_Toc488330159"/>
      <w:bookmarkStart w:id="5698" w:name="_Toc488387013"/>
      <w:bookmarkStart w:id="5699" w:name="_Toc488402472"/>
      <w:bookmarkStart w:id="5700" w:name="_Toc488403295"/>
      <w:bookmarkStart w:id="5701" w:name="_Toc488404124"/>
      <w:bookmarkStart w:id="5702" w:name="_Toc488404955"/>
      <w:bookmarkStart w:id="5703" w:name="_Toc488405778"/>
      <w:bookmarkStart w:id="5704" w:name="_Toc488406607"/>
      <w:bookmarkStart w:id="5705" w:name="_Toc491409838"/>
      <w:bookmarkStart w:id="5706" w:name="_Toc496018376"/>
      <w:bookmarkStart w:id="5707" w:name="_Toc515787595"/>
      <w:bookmarkStart w:id="5708" w:name="_Toc515789295"/>
      <w:bookmarkStart w:id="5709" w:name="_Toc515790144"/>
      <w:bookmarkStart w:id="5710" w:name="_Toc515790993"/>
      <w:bookmarkStart w:id="5711" w:name="_Toc515791848"/>
      <w:bookmarkStart w:id="5712" w:name="_Toc515792698"/>
      <w:bookmarkStart w:id="5713" w:name="_Toc515793600"/>
      <w:bookmarkStart w:id="5714" w:name="_Toc515794505"/>
      <w:bookmarkStart w:id="5715" w:name="_Toc515796262"/>
      <w:bookmarkStart w:id="5716" w:name="_Toc488244676"/>
      <w:bookmarkStart w:id="5717" w:name="_Toc488247796"/>
      <w:bookmarkStart w:id="5718" w:name="_Toc488248440"/>
      <w:bookmarkStart w:id="5719" w:name="_Toc488249056"/>
      <w:bookmarkStart w:id="5720" w:name="_Toc488249672"/>
      <w:bookmarkStart w:id="5721" w:name="_Toc488330160"/>
      <w:bookmarkStart w:id="5722" w:name="_Toc488387014"/>
      <w:bookmarkStart w:id="5723" w:name="_Toc488402473"/>
      <w:bookmarkStart w:id="5724" w:name="_Toc488403296"/>
      <w:bookmarkStart w:id="5725" w:name="_Toc488404125"/>
      <w:bookmarkStart w:id="5726" w:name="_Toc488404956"/>
      <w:bookmarkStart w:id="5727" w:name="_Toc488405779"/>
      <w:bookmarkStart w:id="5728" w:name="_Toc488406608"/>
      <w:bookmarkStart w:id="5729" w:name="_Toc491409839"/>
      <w:bookmarkStart w:id="5730" w:name="_Toc496018377"/>
      <w:bookmarkStart w:id="5731" w:name="_Toc515787596"/>
      <w:bookmarkStart w:id="5732" w:name="_Toc515789296"/>
      <w:bookmarkStart w:id="5733" w:name="_Toc515790145"/>
      <w:bookmarkStart w:id="5734" w:name="_Toc515790994"/>
      <w:bookmarkStart w:id="5735" w:name="_Toc515791849"/>
      <w:bookmarkStart w:id="5736" w:name="_Toc515792699"/>
      <w:bookmarkStart w:id="5737" w:name="_Toc515793601"/>
      <w:bookmarkStart w:id="5738" w:name="_Toc515794506"/>
      <w:bookmarkStart w:id="5739" w:name="_Toc515796263"/>
      <w:bookmarkStart w:id="5740" w:name="_Toc488244677"/>
      <w:bookmarkStart w:id="5741" w:name="_Toc488247797"/>
      <w:bookmarkStart w:id="5742" w:name="_Toc488248441"/>
      <w:bookmarkStart w:id="5743" w:name="_Toc488249057"/>
      <w:bookmarkStart w:id="5744" w:name="_Toc488249673"/>
      <w:bookmarkStart w:id="5745" w:name="_Toc488330161"/>
      <w:bookmarkStart w:id="5746" w:name="_Toc488387015"/>
      <w:bookmarkStart w:id="5747" w:name="_Toc488402474"/>
      <w:bookmarkStart w:id="5748" w:name="_Toc488403297"/>
      <w:bookmarkStart w:id="5749" w:name="_Toc488404126"/>
      <w:bookmarkStart w:id="5750" w:name="_Toc488404957"/>
      <w:bookmarkStart w:id="5751" w:name="_Toc488405780"/>
      <w:bookmarkStart w:id="5752" w:name="_Toc488406609"/>
      <w:bookmarkStart w:id="5753" w:name="_Toc491409840"/>
      <w:bookmarkStart w:id="5754" w:name="_Toc496018378"/>
      <w:bookmarkStart w:id="5755" w:name="_Toc515787597"/>
      <w:bookmarkStart w:id="5756" w:name="_Toc515789297"/>
      <w:bookmarkStart w:id="5757" w:name="_Toc515790146"/>
      <w:bookmarkStart w:id="5758" w:name="_Toc515790995"/>
      <w:bookmarkStart w:id="5759" w:name="_Toc515791850"/>
      <w:bookmarkStart w:id="5760" w:name="_Toc515792700"/>
      <w:bookmarkStart w:id="5761" w:name="_Toc515793602"/>
      <w:bookmarkStart w:id="5762" w:name="_Toc515794507"/>
      <w:bookmarkStart w:id="5763" w:name="_Toc515796264"/>
      <w:bookmarkStart w:id="5764" w:name="_Toc488244678"/>
      <w:bookmarkStart w:id="5765" w:name="_Toc488247798"/>
      <w:bookmarkStart w:id="5766" w:name="_Toc488248442"/>
      <w:bookmarkStart w:id="5767" w:name="_Toc488249058"/>
      <w:bookmarkStart w:id="5768" w:name="_Toc488249674"/>
      <w:bookmarkStart w:id="5769" w:name="_Toc488330162"/>
      <w:bookmarkStart w:id="5770" w:name="_Toc488387016"/>
      <w:bookmarkStart w:id="5771" w:name="_Toc488402475"/>
      <w:bookmarkStart w:id="5772" w:name="_Toc488403298"/>
      <w:bookmarkStart w:id="5773" w:name="_Toc488404127"/>
      <w:bookmarkStart w:id="5774" w:name="_Toc488404958"/>
      <w:bookmarkStart w:id="5775" w:name="_Toc488405781"/>
      <w:bookmarkStart w:id="5776" w:name="_Toc488406610"/>
      <w:bookmarkStart w:id="5777" w:name="_Toc491409841"/>
      <w:bookmarkStart w:id="5778" w:name="_Toc496018379"/>
      <w:bookmarkStart w:id="5779" w:name="_Toc515787598"/>
      <w:bookmarkStart w:id="5780" w:name="_Toc515789298"/>
      <w:bookmarkStart w:id="5781" w:name="_Toc515790147"/>
      <w:bookmarkStart w:id="5782" w:name="_Toc515790996"/>
      <w:bookmarkStart w:id="5783" w:name="_Toc515791851"/>
      <w:bookmarkStart w:id="5784" w:name="_Toc515792701"/>
      <w:bookmarkStart w:id="5785" w:name="_Toc515793603"/>
      <w:bookmarkStart w:id="5786" w:name="_Toc515794508"/>
      <w:bookmarkStart w:id="5787" w:name="_Toc515796265"/>
      <w:bookmarkStart w:id="5788" w:name="_Toc488244679"/>
      <w:bookmarkStart w:id="5789" w:name="_Toc488247799"/>
      <w:bookmarkStart w:id="5790" w:name="_Toc488248443"/>
      <w:bookmarkStart w:id="5791" w:name="_Toc488249059"/>
      <w:bookmarkStart w:id="5792" w:name="_Toc488249675"/>
      <w:bookmarkStart w:id="5793" w:name="_Toc488330163"/>
      <w:bookmarkStart w:id="5794" w:name="_Toc488387017"/>
      <w:bookmarkStart w:id="5795" w:name="_Toc488402476"/>
      <w:bookmarkStart w:id="5796" w:name="_Toc488403299"/>
      <w:bookmarkStart w:id="5797" w:name="_Toc488404128"/>
      <w:bookmarkStart w:id="5798" w:name="_Toc488404959"/>
      <w:bookmarkStart w:id="5799" w:name="_Toc488405782"/>
      <w:bookmarkStart w:id="5800" w:name="_Toc488406611"/>
      <w:bookmarkStart w:id="5801" w:name="_Toc491409842"/>
      <w:bookmarkStart w:id="5802" w:name="_Toc496018380"/>
      <w:bookmarkStart w:id="5803" w:name="_Toc515787599"/>
      <w:bookmarkStart w:id="5804" w:name="_Toc515789299"/>
      <w:bookmarkStart w:id="5805" w:name="_Toc515790148"/>
      <w:bookmarkStart w:id="5806" w:name="_Toc515790997"/>
      <w:bookmarkStart w:id="5807" w:name="_Toc515791852"/>
      <w:bookmarkStart w:id="5808" w:name="_Toc515792702"/>
      <w:bookmarkStart w:id="5809" w:name="_Toc515793604"/>
      <w:bookmarkStart w:id="5810" w:name="_Toc515794509"/>
      <w:bookmarkStart w:id="5811" w:name="_Toc515796266"/>
      <w:bookmarkStart w:id="5812" w:name="_Toc488244680"/>
      <w:bookmarkStart w:id="5813" w:name="_Toc488247800"/>
      <w:bookmarkStart w:id="5814" w:name="_Toc488248444"/>
      <w:bookmarkStart w:id="5815" w:name="_Toc488249060"/>
      <w:bookmarkStart w:id="5816" w:name="_Toc488249676"/>
      <w:bookmarkStart w:id="5817" w:name="_Toc488330164"/>
      <w:bookmarkStart w:id="5818" w:name="_Toc488387018"/>
      <w:bookmarkStart w:id="5819" w:name="_Toc488402477"/>
      <w:bookmarkStart w:id="5820" w:name="_Toc488403300"/>
      <w:bookmarkStart w:id="5821" w:name="_Toc488404129"/>
      <w:bookmarkStart w:id="5822" w:name="_Toc488404960"/>
      <w:bookmarkStart w:id="5823" w:name="_Toc488405783"/>
      <w:bookmarkStart w:id="5824" w:name="_Toc488406612"/>
      <w:bookmarkStart w:id="5825" w:name="_Toc491409843"/>
      <w:bookmarkStart w:id="5826" w:name="_Toc496018381"/>
      <w:bookmarkStart w:id="5827" w:name="_Toc515787600"/>
      <w:bookmarkStart w:id="5828" w:name="_Toc515789300"/>
      <w:bookmarkStart w:id="5829" w:name="_Toc515790149"/>
      <w:bookmarkStart w:id="5830" w:name="_Toc515790998"/>
      <w:bookmarkStart w:id="5831" w:name="_Toc515791853"/>
      <w:bookmarkStart w:id="5832" w:name="_Toc515792703"/>
      <w:bookmarkStart w:id="5833" w:name="_Toc515793605"/>
      <w:bookmarkStart w:id="5834" w:name="_Toc515794510"/>
      <w:bookmarkStart w:id="5835" w:name="_Toc515796267"/>
      <w:bookmarkStart w:id="5836" w:name="_Toc488244681"/>
      <w:bookmarkStart w:id="5837" w:name="_Toc488247801"/>
      <w:bookmarkStart w:id="5838" w:name="_Toc488248445"/>
      <w:bookmarkStart w:id="5839" w:name="_Toc488249061"/>
      <w:bookmarkStart w:id="5840" w:name="_Toc488249677"/>
      <w:bookmarkStart w:id="5841" w:name="_Toc488330165"/>
      <w:bookmarkStart w:id="5842" w:name="_Toc488387019"/>
      <w:bookmarkStart w:id="5843" w:name="_Toc488402478"/>
      <w:bookmarkStart w:id="5844" w:name="_Toc488403301"/>
      <w:bookmarkStart w:id="5845" w:name="_Toc488404130"/>
      <w:bookmarkStart w:id="5846" w:name="_Toc488404961"/>
      <w:bookmarkStart w:id="5847" w:name="_Toc488405784"/>
      <w:bookmarkStart w:id="5848" w:name="_Toc488406613"/>
      <w:bookmarkStart w:id="5849" w:name="_Toc491409844"/>
      <w:bookmarkStart w:id="5850" w:name="_Toc496018382"/>
      <w:bookmarkStart w:id="5851" w:name="_Toc515787601"/>
      <w:bookmarkStart w:id="5852" w:name="_Toc515789301"/>
      <w:bookmarkStart w:id="5853" w:name="_Toc515790150"/>
      <w:bookmarkStart w:id="5854" w:name="_Toc515790999"/>
      <w:bookmarkStart w:id="5855" w:name="_Toc515791854"/>
      <w:bookmarkStart w:id="5856" w:name="_Toc515792704"/>
      <w:bookmarkStart w:id="5857" w:name="_Toc515793606"/>
      <w:bookmarkStart w:id="5858" w:name="_Toc515794511"/>
      <w:bookmarkStart w:id="5859" w:name="_Toc515796268"/>
      <w:bookmarkStart w:id="5860" w:name="_Toc488244682"/>
      <w:bookmarkStart w:id="5861" w:name="_Toc488247802"/>
      <w:bookmarkStart w:id="5862" w:name="_Toc488248446"/>
      <w:bookmarkStart w:id="5863" w:name="_Toc488249062"/>
      <w:bookmarkStart w:id="5864" w:name="_Toc488249678"/>
      <w:bookmarkStart w:id="5865" w:name="_Toc488330166"/>
      <w:bookmarkStart w:id="5866" w:name="_Toc488387020"/>
      <w:bookmarkStart w:id="5867" w:name="_Toc488402479"/>
      <w:bookmarkStart w:id="5868" w:name="_Toc488403302"/>
      <w:bookmarkStart w:id="5869" w:name="_Toc488404131"/>
      <w:bookmarkStart w:id="5870" w:name="_Toc488404962"/>
      <w:bookmarkStart w:id="5871" w:name="_Toc488405785"/>
      <w:bookmarkStart w:id="5872" w:name="_Toc488406614"/>
      <w:bookmarkStart w:id="5873" w:name="_Toc491409845"/>
      <w:bookmarkStart w:id="5874" w:name="_Toc496018383"/>
      <w:bookmarkStart w:id="5875" w:name="_Toc515787602"/>
      <w:bookmarkStart w:id="5876" w:name="_Toc515789302"/>
      <w:bookmarkStart w:id="5877" w:name="_Toc515790151"/>
      <w:bookmarkStart w:id="5878" w:name="_Toc515791000"/>
      <w:bookmarkStart w:id="5879" w:name="_Toc515791855"/>
      <w:bookmarkStart w:id="5880" w:name="_Toc515792705"/>
      <w:bookmarkStart w:id="5881" w:name="_Toc515793607"/>
      <w:bookmarkStart w:id="5882" w:name="_Toc515794512"/>
      <w:bookmarkStart w:id="5883" w:name="_Toc515796269"/>
      <w:bookmarkStart w:id="5884" w:name="_Toc488244683"/>
      <w:bookmarkStart w:id="5885" w:name="_Toc488247803"/>
      <w:bookmarkStart w:id="5886" w:name="_Toc488248447"/>
      <w:bookmarkStart w:id="5887" w:name="_Toc488249063"/>
      <w:bookmarkStart w:id="5888" w:name="_Toc488249679"/>
      <w:bookmarkStart w:id="5889" w:name="_Toc488330167"/>
      <w:bookmarkStart w:id="5890" w:name="_Toc488387021"/>
      <w:bookmarkStart w:id="5891" w:name="_Toc488402480"/>
      <w:bookmarkStart w:id="5892" w:name="_Toc488403303"/>
      <w:bookmarkStart w:id="5893" w:name="_Toc488404132"/>
      <w:bookmarkStart w:id="5894" w:name="_Toc488404963"/>
      <w:bookmarkStart w:id="5895" w:name="_Toc488405786"/>
      <w:bookmarkStart w:id="5896" w:name="_Toc488406615"/>
      <w:bookmarkStart w:id="5897" w:name="_Toc491409846"/>
      <w:bookmarkStart w:id="5898" w:name="_Toc496018384"/>
      <w:bookmarkStart w:id="5899" w:name="_Toc515787603"/>
      <w:bookmarkStart w:id="5900" w:name="_Toc515789303"/>
      <w:bookmarkStart w:id="5901" w:name="_Toc515790152"/>
      <w:bookmarkStart w:id="5902" w:name="_Toc515791001"/>
      <w:bookmarkStart w:id="5903" w:name="_Toc515791856"/>
      <w:bookmarkStart w:id="5904" w:name="_Toc515792706"/>
      <w:bookmarkStart w:id="5905" w:name="_Toc515793608"/>
      <w:bookmarkStart w:id="5906" w:name="_Toc515794513"/>
      <w:bookmarkStart w:id="5907" w:name="_Toc515796270"/>
      <w:bookmarkStart w:id="5908" w:name="_Toc488244684"/>
      <w:bookmarkStart w:id="5909" w:name="_Toc488247804"/>
      <w:bookmarkStart w:id="5910" w:name="_Toc488248448"/>
      <w:bookmarkStart w:id="5911" w:name="_Toc488249064"/>
      <w:bookmarkStart w:id="5912" w:name="_Toc488249680"/>
      <w:bookmarkStart w:id="5913" w:name="_Toc488330168"/>
      <w:bookmarkStart w:id="5914" w:name="_Toc488387022"/>
      <w:bookmarkStart w:id="5915" w:name="_Toc488402481"/>
      <w:bookmarkStart w:id="5916" w:name="_Toc488403304"/>
      <w:bookmarkStart w:id="5917" w:name="_Toc488404133"/>
      <w:bookmarkStart w:id="5918" w:name="_Toc488404964"/>
      <w:bookmarkStart w:id="5919" w:name="_Toc488405787"/>
      <w:bookmarkStart w:id="5920" w:name="_Toc488406616"/>
      <w:bookmarkStart w:id="5921" w:name="_Toc491409847"/>
      <w:bookmarkStart w:id="5922" w:name="_Toc496018385"/>
      <w:bookmarkStart w:id="5923" w:name="_Toc515787604"/>
      <w:bookmarkStart w:id="5924" w:name="_Toc515789304"/>
      <w:bookmarkStart w:id="5925" w:name="_Toc515790153"/>
      <w:bookmarkStart w:id="5926" w:name="_Toc515791002"/>
      <w:bookmarkStart w:id="5927" w:name="_Toc515791857"/>
      <w:bookmarkStart w:id="5928" w:name="_Toc515792707"/>
      <w:bookmarkStart w:id="5929" w:name="_Toc515793609"/>
      <w:bookmarkStart w:id="5930" w:name="_Toc515794514"/>
      <w:bookmarkStart w:id="5931" w:name="_Toc515796271"/>
      <w:bookmarkStart w:id="5932" w:name="_Toc488244685"/>
      <w:bookmarkStart w:id="5933" w:name="_Toc488247805"/>
      <w:bookmarkStart w:id="5934" w:name="_Toc488248449"/>
      <w:bookmarkStart w:id="5935" w:name="_Toc488249065"/>
      <w:bookmarkStart w:id="5936" w:name="_Toc488249681"/>
      <w:bookmarkStart w:id="5937" w:name="_Toc488330169"/>
      <w:bookmarkStart w:id="5938" w:name="_Toc488387023"/>
      <w:bookmarkStart w:id="5939" w:name="_Toc488402482"/>
      <w:bookmarkStart w:id="5940" w:name="_Toc488403305"/>
      <w:bookmarkStart w:id="5941" w:name="_Toc488404134"/>
      <w:bookmarkStart w:id="5942" w:name="_Toc488404965"/>
      <w:bookmarkStart w:id="5943" w:name="_Toc488405788"/>
      <w:bookmarkStart w:id="5944" w:name="_Toc488406617"/>
      <w:bookmarkStart w:id="5945" w:name="_Toc491409848"/>
      <w:bookmarkStart w:id="5946" w:name="_Toc496018386"/>
      <w:bookmarkStart w:id="5947" w:name="_Toc515787605"/>
      <w:bookmarkStart w:id="5948" w:name="_Toc515789305"/>
      <w:bookmarkStart w:id="5949" w:name="_Toc515790154"/>
      <w:bookmarkStart w:id="5950" w:name="_Toc515791003"/>
      <w:bookmarkStart w:id="5951" w:name="_Toc515791858"/>
      <w:bookmarkStart w:id="5952" w:name="_Toc515792708"/>
      <w:bookmarkStart w:id="5953" w:name="_Toc515793610"/>
      <w:bookmarkStart w:id="5954" w:name="_Toc515794515"/>
      <w:bookmarkStart w:id="5955" w:name="_Toc515796272"/>
      <w:bookmarkStart w:id="5956" w:name="_Toc488244686"/>
      <w:bookmarkStart w:id="5957" w:name="_Toc488247806"/>
      <w:bookmarkStart w:id="5958" w:name="_Toc488248450"/>
      <w:bookmarkStart w:id="5959" w:name="_Toc488249066"/>
      <w:bookmarkStart w:id="5960" w:name="_Toc488249682"/>
      <w:bookmarkStart w:id="5961" w:name="_Toc488330170"/>
      <w:bookmarkStart w:id="5962" w:name="_Toc488387024"/>
      <w:bookmarkStart w:id="5963" w:name="_Toc488402483"/>
      <w:bookmarkStart w:id="5964" w:name="_Toc488403306"/>
      <w:bookmarkStart w:id="5965" w:name="_Toc488404135"/>
      <w:bookmarkStart w:id="5966" w:name="_Toc488404966"/>
      <w:bookmarkStart w:id="5967" w:name="_Toc488405789"/>
      <w:bookmarkStart w:id="5968" w:name="_Toc488406618"/>
      <w:bookmarkStart w:id="5969" w:name="_Toc491409849"/>
      <w:bookmarkStart w:id="5970" w:name="_Toc496018387"/>
      <w:bookmarkStart w:id="5971" w:name="_Toc515787606"/>
      <w:bookmarkStart w:id="5972" w:name="_Toc515789306"/>
      <w:bookmarkStart w:id="5973" w:name="_Toc515790155"/>
      <w:bookmarkStart w:id="5974" w:name="_Toc515791004"/>
      <w:bookmarkStart w:id="5975" w:name="_Toc515791859"/>
      <w:bookmarkStart w:id="5976" w:name="_Toc515792709"/>
      <w:bookmarkStart w:id="5977" w:name="_Toc515793611"/>
      <w:bookmarkStart w:id="5978" w:name="_Toc515794516"/>
      <w:bookmarkStart w:id="5979" w:name="_Toc515796273"/>
      <w:bookmarkStart w:id="5980" w:name="_Toc488244687"/>
      <w:bookmarkStart w:id="5981" w:name="_Toc488247807"/>
      <w:bookmarkStart w:id="5982" w:name="_Toc488248451"/>
      <w:bookmarkStart w:id="5983" w:name="_Toc488249067"/>
      <w:bookmarkStart w:id="5984" w:name="_Toc488249683"/>
      <w:bookmarkStart w:id="5985" w:name="_Toc488330171"/>
      <w:bookmarkStart w:id="5986" w:name="_Toc488387025"/>
      <w:bookmarkStart w:id="5987" w:name="_Toc488402484"/>
      <w:bookmarkStart w:id="5988" w:name="_Toc488403307"/>
      <w:bookmarkStart w:id="5989" w:name="_Toc488404136"/>
      <w:bookmarkStart w:id="5990" w:name="_Toc488404967"/>
      <w:bookmarkStart w:id="5991" w:name="_Toc488405790"/>
      <w:bookmarkStart w:id="5992" w:name="_Toc488406619"/>
      <w:bookmarkStart w:id="5993" w:name="_Toc491409850"/>
      <w:bookmarkStart w:id="5994" w:name="_Toc496018388"/>
      <w:bookmarkStart w:id="5995" w:name="_Toc515787607"/>
      <w:bookmarkStart w:id="5996" w:name="_Toc515789307"/>
      <w:bookmarkStart w:id="5997" w:name="_Toc515790156"/>
      <w:bookmarkStart w:id="5998" w:name="_Toc515791005"/>
      <w:bookmarkStart w:id="5999" w:name="_Toc515791860"/>
      <w:bookmarkStart w:id="6000" w:name="_Toc515792710"/>
      <w:bookmarkStart w:id="6001" w:name="_Toc515793612"/>
      <w:bookmarkStart w:id="6002" w:name="_Toc515794517"/>
      <w:bookmarkStart w:id="6003" w:name="_Toc515796274"/>
      <w:bookmarkStart w:id="6004" w:name="_Toc488244688"/>
      <w:bookmarkStart w:id="6005" w:name="_Toc488247808"/>
      <w:bookmarkStart w:id="6006" w:name="_Toc488248452"/>
      <w:bookmarkStart w:id="6007" w:name="_Toc488249068"/>
      <w:bookmarkStart w:id="6008" w:name="_Toc488249684"/>
      <w:bookmarkStart w:id="6009" w:name="_Toc488330172"/>
      <w:bookmarkStart w:id="6010" w:name="_Toc488387026"/>
      <w:bookmarkStart w:id="6011" w:name="_Toc488402485"/>
      <w:bookmarkStart w:id="6012" w:name="_Toc488403308"/>
      <w:bookmarkStart w:id="6013" w:name="_Toc488404137"/>
      <w:bookmarkStart w:id="6014" w:name="_Toc488404968"/>
      <w:bookmarkStart w:id="6015" w:name="_Toc488405791"/>
      <w:bookmarkStart w:id="6016" w:name="_Toc488406620"/>
      <w:bookmarkStart w:id="6017" w:name="_Toc491409851"/>
      <w:bookmarkStart w:id="6018" w:name="_Toc496018389"/>
      <w:bookmarkStart w:id="6019" w:name="_Toc515787608"/>
      <w:bookmarkStart w:id="6020" w:name="_Toc515789308"/>
      <w:bookmarkStart w:id="6021" w:name="_Toc515790157"/>
      <w:bookmarkStart w:id="6022" w:name="_Toc515791006"/>
      <w:bookmarkStart w:id="6023" w:name="_Toc515791861"/>
      <w:bookmarkStart w:id="6024" w:name="_Toc515792711"/>
      <w:bookmarkStart w:id="6025" w:name="_Toc515793613"/>
      <w:bookmarkStart w:id="6026" w:name="_Toc515794518"/>
      <w:bookmarkStart w:id="6027" w:name="_Toc515796275"/>
      <w:bookmarkStart w:id="6028" w:name="_Toc488244689"/>
      <w:bookmarkStart w:id="6029" w:name="_Toc488247809"/>
      <w:bookmarkStart w:id="6030" w:name="_Toc488248453"/>
      <w:bookmarkStart w:id="6031" w:name="_Toc488249069"/>
      <w:bookmarkStart w:id="6032" w:name="_Toc488249685"/>
      <w:bookmarkStart w:id="6033" w:name="_Toc488330173"/>
      <w:bookmarkStart w:id="6034" w:name="_Toc488387027"/>
      <w:bookmarkStart w:id="6035" w:name="_Toc488402486"/>
      <w:bookmarkStart w:id="6036" w:name="_Toc488403309"/>
      <w:bookmarkStart w:id="6037" w:name="_Toc488404138"/>
      <w:bookmarkStart w:id="6038" w:name="_Toc488404969"/>
      <w:bookmarkStart w:id="6039" w:name="_Toc488405792"/>
      <w:bookmarkStart w:id="6040" w:name="_Toc488406621"/>
      <w:bookmarkStart w:id="6041" w:name="_Toc491409852"/>
      <w:bookmarkStart w:id="6042" w:name="_Toc496018390"/>
      <w:bookmarkStart w:id="6043" w:name="_Toc515787609"/>
      <w:bookmarkStart w:id="6044" w:name="_Toc515789309"/>
      <w:bookmarkStart w:id="6045" w:name="_Toc515790158"/>
      <w:bookmarkStart w:id="6046" w:name="_Toc515791007"/>
      <w:bookmarkStart w:id="6047" w:name="_Toc515791862"/>
      <w:bookmarkStart w:id="6048" w:name="_Toc515792712"/>
      <w:bookmarkStart w:id="6049" w:name="_Toc515793614"/>
      <w:bookmarkStart w:id="6050" w:name="_Toc515794519"/>
      <w:bookmarkStart w:id="6051" w:name="_Toc515796276"/>
      <w:bookmarkStart w:id="6052" w:name="_Toc488244690"/>
      <w:bookmarkStart w:id="6053" w:name="_Toc488247810"/>
      <w:bookmarkStart w:id="6054" w:name="_Toc488248454"/>
      <w:bookmarkStart w:id="6055" w:name="_Toc488249070"/>
      <w:bookmarkStart w:id="6056" w:name="_Toc488249686"/>
      <w:bookmarkStart w:id="6057" w:name="_Toc488330174"/>
      <w:bookmarkStart w:id="6058" w:name="_Toc488387028"/>
      <w:bookmarkStart w:id="6059" w:name="_Toc488402487"/>
      <w:bookmarkStart w:id="6060" w:name="_Toc488403310"/>
      <w:bookmarkStart w:id="6061" w:name="_Toc488404139"/>
      <w:bookmarkStart w:id="6062" w:name="_Toc488404970"/>
      <w:bookmarkStart w:id="6063" w:name="_Toc488405793"/>
      <w:bookmarkStart w:id="6064" w:name="_Toc488406622"/>
      <w:bookmarkStart w:id="6065" w:name="_Toc491409853"/>
      <w:bookmarkStart w:id="6066" w:name="_Toc496018391"/>
      <w:bookmarkStart w:id="6067" w:name="_Toc515787610"/>
      <w:bookmarkStart w:id="6068" w:name="_Toc515789310"/>
      <w:bookmarkStart w:id="6069" w:name="_Toc515790159"/>
      <w:bookmarkStart w:id="6070" w:name="_Toc515791008"/>
      <w:bookmarkStart w:id="6071" w:name="_Toc515791863"/>
      <w:bookmarkStart w:id="6072" w:name="_Toc515792713"/>
      <w:bookmarkStart w:id="6073" w:name="_Toc515793615"/>
      <w:bookmarkStart w:id="6074" w:name="_Toc515794520"/>
      <w:bookmarkStart w:id="6075" w:name="_Toc515796277"/>
      <w:bookmarkStart w:id="6076" w:name="_Toc488244691"/>
      <w:bookmarkStart w:id="6077" w:name="_Toc488247811"/>
      <w:bookmarkStart w:id="6078" w:name="_Toc488248455"/>
      <w:bookmarkStart w:id="6079" w:name="_Toc488249071"/>
      <w:bookmarkStart w:id="6080" w:name="_Toc488249687"/>
      <w:bookmarkStart w:id="6081" w:name="_Toc488330175"/>
      <w:bookmarkStart w:id="6082" w:name="_Toc488387029"/>
      <w:bookmarkStart w:id="6083" w:name="_Toc488402488"/>
      <w:bookmarkStart w:id="6084" w:name="_Toc488403311"/>
      <w:bookmarkStart w:id="6085" w:name="_Toc488404140"/>
      <w:bookmarkStart w:id="6086" w:name="_Toc488404971"/>
      <w:bookmarkStart w:id="6087" w:name="_Toc488405794"/>
      <w:bookmarkStart w:id="6088" w:name="_Toc488406623"/>
      <w:bookmarkStart w:id="6089" w:name="_Toc491409854"/>
      <w:bookmarkStart w:id="6090" w:name="_Toc496018392"/>
      <w:bookmarkStart w:id="6091" w:name="_Toc515787611"/>
      <w:bookmarkStart w:id="6092" w:name="_Toc515789311"/>
      <w:bookmarkStart w:id="6093" w:name="_Toc515790160"/>
      <w:bookmarkStart w:id="6094" w:name="_Toc515791009"/>
      <w:bookmarkStart w:id="6095" w:name="_Toc515791864"/>
      <w:bookmarkStart w:id="6096" w:name="_Toc515792714"/>
      <w:bookmarkStart w:id="6097" w:name="_Toc515793616"/>
      <w:bookmarkStart w:id="6098" w:name="_Toc515794521"/>
      <w:bookmarkStart w:id="6099" w:name="_Toc515796278"/>
      <w:bookmarkStart w:id="6100" w:name="_Toc488244692"/>
      <w:bookmarkStart w:id="6101" w:name="_Toc488247812"/>
      <w:bookmarkStart w:id="6102" w:name="_Toc488248456"/>
      <w:bookmarkStart w:id="6103" w:name="_Toc488249072"/>
      <w:bookmarkStart w:id="6104" w:name="_Toc488249688"/>
      <w:bookmarkStart w:id="6105" w:name="_Toc488330176"/>
      <w:bookmarkStart w:id="6106" w:name="_Toc488387030"/>
      <w:bookmarkStart w:id="6107" w:name="_Toc488402489"/>
      <w:bookmarkStart w:id="6108" w:name="_Toc488403312"/>
      <w:bookmarkStart w:id="6109" w:name="_Toc488404141"/>
      <w:bookmarkStart w:id="6110" w:name="_Toc488404972"/>
      <w:bookmarkStart w:id="6111" w:name="_Toc488405795"/>
      <w:bookmarkStart w:id="6112" w:name="_Toc488406624"/>
      <w:bookmarkStart w:id="6113" w:name="_Toc491409855"/>
      <w:bookmarkStart w:id="6114" w:name="_Toc496018393"/>
      <w:bookmarkStart w:id="6115" w:name="_Toc515787612"/>
      <w:bookmarkStart w:id="6116" w:name="_Toc515789312"/>
      <w:bookmarkStart w:id="6117" w:name="_Toc515790161"/>
      <w:bookmarkStart w:id="6118" w:name="_Toc515791010"/>
      <w:bookmarkStart w:id="6119" w:name="_Toc515791865"/>
      <w:bookmarkStart w:id="6120" w:name="_Toc515792715"/>
      <w:bookmarkStart w:id="6121" w:name="_Toc515793617"/>
      <w:bookmarkStart w:id="6122" w:name="_Toc515794522"/>
      <w:bookmarkStart w:id="6123" w:name="_Toc515796279"/>
      <w:bookmarkStart w:id="6124" w:name="_Toc488244693"/>
      <w:bookmarkStart w:id="6125" w:name="_Toc488247813"/>
      <w:bookmarkStart w:id="6126" w:name="_Toc488248457"/>
      <w:bookmarkStart w:id="6127" w:name="_Toc488249073"/>
      <w:bookmarkStart w:id="6128" w:name="_Toc488249689"/>
      <w:bookmarkStart w:id="6129" w:name="_Toc488330177"/>
      <w:bookmarkStart w:id="6130" w:name="_Toc488387031"/>
      <w:bookmarkStart w:id="6131" w:name="_Toc488402490"/>
      <w:bookmarkStart w:id="6132" w:name="_Toc488403313"/>
      <w:bookmarkStart w:id="6133" w:name="_Toc488404142"/>
      <w:bookmarkStart w:id="6134" w:name="_Toc488404973"/>
      <w:bookmarkStart w:id="6135" w:name="_Toc488405796"/>
      <w:bookmarkStart w:id="6136" w:name="_Toc488406625"/>
      <w:bookmarkStart w:id="6137" w:name="_Toc491409856"/>
      <w:bookmarkStart w:id="6138" w:name="_Toc496018394"/>
      <w:bookmarkStart w:id="6139" w:name="_Toc515787613"/>
      <w:bookmarkStart w:id="6140" w:name="_Toc515789313"/>
      <w:bookmarkStart w:id="6141" w:name="_Toc515790162"/>
      <w:bookmarkStart w:id="6142" w:name="_Toc515791011"/>
      <w:bookmarkStart w:id="6143" w:name="_Toc515791866"/>
      <w:bookmarkStart w:id="6144" w:name="_Toc515792716"/>
      <w:bookmarkStart w:id="6145" w:name="_Toc515793618"/>
      <w:bookmarkStart w:id="6146" w:name="_Toc515794523"/>
      <w:bookmarkStart w:id="6147" w:name="_Toc515796280"/>
      <w:bookmarkStart w:id="6148" w:name="_Toc488244694"/>
      <w:bookmarkStart w:id="6149" w:name="_Toc488247814"/>
      <w:bookmarkStart w:id="6150" w:name="_Toc488248458"/>
      <w:bookmarkStart w:id="6151" w:name="_Toc488249074"/>
      <w:bookmarkStart w:id="6152" w:name="_Toc488249690"/>
      <w:bookmarkStart w:id="6153" w:name="_Toc488330178"/>
      <w:bookmarkStart w:id="6154" w:name="_Toc488387032"/>
      <w:bookmarkStart w:id="6155" w:name="_Toc488402491"/>
      <w:bookmarkStart w:id="6156" w:name="_Toc488403314"/>
      <w:bookmarkStart w:id="6157" w:name="_Toc488404143"/>
      <w:bookmarkStart w:id="6158" w:name="_Toc488404974"/>
      <w:bookmarkStart w:id="6159" w:name="_Toc488405797"/>
      <w:bookmarkStart w:id="6160" w:name="_Toc488406626"/>
      <w:bookmarkStart w:id="6161" w:name="_Toc491409857"/>
      <w:bookmarkStart w:id="6162" w:name="_Toc496018395"/>
      <w:bookmarkStart w:id="6163" w:name="_Toc515787614"/>
      <w:bookmarkStart w:id="6164" w:name="_Toc515789314"/>
      <w:bookmarkStart w:id="6165" w:name="_Toc515790163"/>
      <w:bookmarkStart w:id="6166" w:name="_Toc515791012"/>
      <w:bookmarkStart w:id="6167" w:name="_Toc515791867"/>
      <w:bookmarkStart w:id="6168" w:name="_Toc515792717"/>
      <w:bookmarkStart w:id="6169" w:name="_Toc515793619"/>
      <w:bookmarkStart w:id="6170" w:name="_Toc515794524"/>
      <w:bookmarkStart w:id="6171" w:name="_Toc515796281"/>
      <w:bookmarkStart w:id="6172" w:name="_Toc488244695"/>
      <w:bookmarkStart w:id="6173" w:name="_Toc488247815"/>
      <w:bookmarkStart w:id="6174" w:name="_Toc488248459"/>
      <w:bookmarkStart w:id="6175" w:name="_Toc488249075"/>
      <w:bookmarkStart w:id="6176" w:name="_Toc488249691"/>
      <w:bookmarkStart w:id="6177" w:name="_Toc488330179"/>
      <w:bookmarkStart w:id="6178" w:name="_Toc488387033"/>
      <w:bookmarkStart w:id="6179" w:name="_Toc488402492"/>
      <w:bookmarkStart w:id="6180" w:name="_Toc488403315"/>
      <w:bookmarkStart w:id="6181" w:name="_Toc488404144"/>
      <w:bookmarkStart w:id="6182" w:name="_Toc488404975"/>
      <w:bookmarkStart w:id="6183" w:name="_Toc488405798"/>
      <w:bookmarkStart w:id="6184" w:name="_Toc488406627"/>
      <w:bookmarkStart w:id="6185" w:name="_Toc491409858"/>
      <w:bookmarkStart w:id="6186" w:name="_Toc496018396"/>
      <w:bookmarkStart w:id="6187" w:name="_Toc515787615"/>
      <w:bookmarkStart w:id="6188" w:name="_Toc515789315"/>
      <w:bookmarkStart w:id="6189" w:name="_Toc515790164"/>
      <w:bookmarkStart w:id="6190" w:name="_Toc515791013"/>
      <w:bookmarkStart w:id="6191" w:name="_Toc515791868"/>
      <w:bookmarkStart w:id="6192" w:name="_Toc515792718"/>
      <w:bookmarkStart w:id="6193" w:name="_Toc515793620"/>
      <w:bookmarkStart w:id="6194" w:name="_Toc515794525"/>
      <w:bookmarkStart w:id="6195" w:name="_Toc515796282"/>
      <w:bookmarkStart w:id="6196" w:name="_Toc488244696"/>
      <w:bookmarkStart w:id="6197" w:name="_Toc488247816"/>
      <w:bookmarkStart w:id="6198" w:name="_Toc488248460"/>
      <w:bookmarkStart w:id="6199" w:name="_Toc488249076"/>
      <w:bookmarkStart w:id="6200" w:name="_Toc488249692"/>
      <w:bookmarkStart w:id="6201" w:name="_Toc488330180"/>
      <w:bookmarkStart w:id="6202" w:name="_Toc488387034"/>
      <w:bookmarkStart w:id="6203" w:name="_Toc488402493"/>
      <w:bookmarkStart w:id="6204" w:name="_Toc488403316"/>
      <w:bookmarkStart w:id="6205" w:name="_Toc488404145"/>
      <w:bookmarkStart w:id="6206" w:name="_Toc488404976"/>
      <w:bookmarkStart w:id="6207" w:name="_Toc488405799"/>
      <w:bookmarkStart w:id="6208" w:name="_Toc488406628"/>
      <w:bookmarkStart w:id="6209" w:name="_Toc491409859"/>
      <w:bookmarkStart w:id="6210" w:name="_Toc496018397"/>
      <w:bookmarkStart w:id="6211" w:name="_Toc515787616"/>
      <w:bookmarkStart w:id="6212" w:name="_Toc515789316"/>
      <w:bookmarkStart w:id="6213" w:name="_Toc515790165"/>
      <w:bookmarkStart w:id="6214" w:name="_Toc515791014"/>
      <w:bookmarkStart w:id="6215" w:name="_Toc515791869"/>
      <w:bookmarkStart w:id="6216" w:name="_Toc515792719"/>
      <w:bookmarkStart w:id="6217" w:name="_Toc515793621"/>
      <w:bookmarkStart w:id="6218" w:name="_Toc515794526"/>
      <w:bookmarkStart w:id="6219" w:name="_Toc515796283"/>
      <w:bookmarkStart w:id="6220" w:name="_Toc488244697"/>
      <w:bookmarkStart w:id="6221" w:name="_Toc488247817"/>
      <w:bookmarkStart w:id="6222" w:name="_Toc488248461"/>
      <w:bookmarkStart w:id="6223" w:name="_Toc488249077"/>
      <w:bookmarkStart w:id="6224" w:name="_Toc488249693"/>
      <w:bookmarkStart w:id="6225" w:name="_Toc488330181"/>
      <w:bookmarkStart w:id="6226" w:name="_Toc488387035"/>
      <w:bookmarkStart w:id="6227" w:name="_Toc488402494"/>
      <w:bookmarkStart w:id="6228" w:name="_Toc488403317"/>
      <w:bookmarkStart w:id="6229" w:name="_Toc488404146"/>
      <w:bookmarkStart w:id="6230" w:name="_Toc488404977"/>
      <w:bookmarkStart w:id="6231" w:name="_Toc488405800"/>
      <w:bookmarkStart w:id="6232" w:name="_Toc488406629"/>
      <w:bookmarkStart w:id="6233" w:name="_Toc491409860"/>
      <w:bookmarkStart w:id="6234" w:name="_Toc496018398"/>
      <w:bookmarkStart w:id="6235" w:name="_Toc515787617"/>
      <w:bookmarkStart w:id="6236" w:name="_Toc515789317"/>
      <w:bookmarkStart w:id="6237" w:name="_Toc515790166"/>
      <w:bookmarkStart w:id="6238" w:name="_Toc515791015"/>
      <w:bookmarkStart w:id="6239" w:name="_Toc515791870"/>
      <w:bookmarkStart w:id="6240" w:name="_Toc515792720"/>
      <w:bookmarkStart w:id="6241" w:name="_Toc515793622"/>
      <w:bookmarkStart w:id="6242" w:name="_Toc515794527"/>
      <w:bookmarkStart w:id="6243" w:name="_Toc515796284"/>
      <w:bookmarkStart w:id="6244" w:name="_Toc488244698"/>
      <w:bookmarkStart w:id="6245" w:name="_Toc488247818"/>
      <w:bookmarkStart w:id="6246" w:name="_Toc488248462"/>
      <w:bookmarkStart w:id="6247" w:name="_Toc488249078"/>
      <w:bookmarkStart w:id="6248" w:name="_Toc488249694"/>
      <w:bookmarkStart w:id="6249" w:name="_Toc488330182"/>
      <w:bookmarkStart w:id="6250" w:name="_Toc488387036"/>
      <w:bookmarkStart w:id="6251" w:name="_Toc488402495"/>
      <w:bookmarkStart w:id="6252" w:name="_Toc488403318"/>
      <w:bookmarkStart w:id="6253" w:name="_Toc488404147"/>
      <w:bookmarkStart w:id="6254" w:name="_Toc488404978"/>
      <w:bookmarkStart w:id="6255" w:name="_Toc488405801"/>
      <w:bookmarkStart w:id="6256" w:name="_Toc488406630"/>
      <w:bookmarkStart w:id="6257" w:name="_Toc491409861"/>
      <w:bookmarkStart w:id="6258" w:name="_Toc496018399"/>
      <w:bookmarkStart w:id="6259" w:name="_Toc515787618"/>
      <w:bookmarkStart w:id="6260" w:name="_Toc515789318"/>
      <w:bookmarkStart w:id="6261" w:name="_Toc515790167"/>
      <w:bookmarkStart w:id="6262" w:name="_Toc515791016"/>
      <w:bookmarkStart w:id="6263" w:name="_Toc515791871"/>
      <w:bookmarkStart w:id="6264" w:name="_Toc515792721"/>
      <w:bookmarkStart w:id="6265" w:name="_Toc515793623"/>
      <w:bookmarkStart w:id="6266" w:name="_Toc515794528"/>
      <w:bookmarkStart w:id="6267" w:name="_Toc515796285"/>
      <w:bookmarkStart w:id="6268" w:name="_Toc488244699"/>
      <w:bookmarkStart w:id="6269" w:name="_Toc488247819"/>
      <w:bookmarkStart w:id="6270" w:name="_Toc488248463"/>
      <w:bookmarkStart w:id="6271" w:name="_Toc488249079"/>
      <w:bookmarkStart w:id="6272" w:name="_Toc488249695"/>
      <w:bookmarkStart w:id="6273" w:name="_Toc488330183"/>
      <w:bookmarkStart w:id="6274" w:name="_Toc488387037"/>
      <w:bookmarkStart w:id="6275" w:name="_Toc488402496"/>
      <w:bookmarkStart w:id="6276" w:name="_Toc488403319"/>
      <w:bookmarkStart w:id="6277" w:name="_Toc488404148"/>
      <w:bookmarkStart w:id="6278" w:name="_Toc488404979"/>
      <w:bookmarkStart w:id="6279" w:name="_Toc488405802"/>
      <w:bookmarkStart w:id="6280" w:name="_Toc488406631"/>
      <w:bookmarkStart w:id="6281" w:name="_Toc491409862"/>
      <w:bookmarkStart w:id="6282" w:name="_Toc496018400"/>
      <w:bookmarkStart w:id="6283" w:name="_Toc515787619"/>
      <w:bookmarkStart w:id="6284" w:name="_Toc515789319"/>
      <w:bookmarkStart w:id="6285" w:name="_Toc515790168"/>
      <w:bookmarkStart w:id="6286" w:name="_Toc515791017"/>
      <w:bookmarkStart w:id="6287" w:name="_Toc515791872"/>
      <w:bookmarkStart w:id="6288" w:name="_Toc515792722"/>
      <w:bookmarkStart w:id="6289" w:name="_Toc515793624"/>
      <w:bookmarkStart w:id="6290" w:name="_Toc515794529"/>
      <w:bookmarkStart w:id="6291" w:name="_Toc515796286"/>
      <w:bookmarkStart w:id="6292" w:name="_Toc488244700"/>
      <w:bookmarkStart w:id="6293" w:name="_Toc488247820"/>
      <w:bookmarkStart w:id="6294" w:name="_Toc488248464"/>
      <w:bookmarkStart w:id="6295" w:name="_Toc488249080"/>
      <w:bookmarkStart w:id="6296" w:name="_Toc488249696"/>
      <w:bookmarkStart w:id="6297" w:name="_Toc488330184"/>
      <w:bookmarkStart w:id="6298" w:name="_Toc488387038"/>
      <w:bookmarkStart w:id="6299" w:name="_Toc488402497"/>
      <w:bookmarkStart w:id="6300" w:name="_Toc488403320"/>
      <w:bookmarkStart w:id="6301" w:name="_Toc488404149"/>
      <w:bookmarkStart w:id="6302" w:name="_Toc488404980"/>
      <w:bookmarkStart w:id="6303" w:name="_Toc488405803"/>
      <w:bookmarkStart w:id="6304" w:name="_Toc488406632"/>
      <w:bookmarkStart w:id="6305" w:name="_Toc491409863"/>
      <w:bookmarkStart w:id="6306" w:name="_Toc496018401"/>
      <w:bookmarkStart w:id="6307" w:name="_Toc515787620"/>
      <w:bookmarkStart w:id="6308" w:name="_Toc515789320"/>
      <w:bookmarkStart w:id="6309" w:name="_Toc515790169"/>
      <w:bookmarkStart w:id="6310" w:name="_Toc515791018"/>
      <w:bookmarkStart w:id="6311" w:name="_Toc515791873"/>
      <w:bookmarkStart w:id="6312" w:name="_Toc515792723"/>
      <w:bookmarkStart w:id="6313" w:name="_Toc515793625"/>
      <w:bookmarkStart w:id="6314" w:name="_Toc515794530"/>
      <w:bookmarkStart w:id="6315" w:name="_Toc515796287"/>
      <w:bookmarkStart w:id="6316" w:name="_Toc488244701"/>
      <w:bookmarkStart w:id="6317" w:name="_Toc488247821"/>
      <w:bookmarkStart w:id="6318" w:name="_Toc488248465"/>
      <w:bookmarkStart w:id="6319" w:name="_Toc488249081"/>
      <w:bookmarkStart w:id="6320" w:name="_Toc488249697"/>
      <w:bookmarkStart w:id="6321" w:name="_Toc488330185"/>
      <w:bookmarkStart w:id="6322" w:name="_Toc488387039"/>
      <w:bookmarkStart w:id="6323" w:name="_Toc488402498"/>
      <w:bookmarkStart w:id="6324" w:name="_Toc488403321"/>
      <w:bookmarkStart w:id="6325" w:name="_Toc488404150"/>
      <w:bookmarkStart w:id="6326" w:name="_Toc488404981"/>
      <w:bookmarkStart w:id="6327" w:name="_Toc488405804"/>
      <w:bookmarkStart w:id="6328" w:name="_Toc488406633"/>
      <w:bookmarkStart w:id="6329" w:name="_Toc491409864"/>
      <w:bookmarkStart w:id="6330" w:name="_Toc496018402"/>
      <w:bookmarkStart w:id="6331" w:name="_Toc515787621"/>
      <w:bookmarkStart w:id="6332" w:name="_Toc515789321"/>
      <w:bookmarkStart w:id="6333" w:name="_Toc515790170"/>
      <w:bookmarkStart w:id="6334" w:name="_Toc515791019"/>
      <w:bookmarkStart w:id="6335" w:name="_Toc515791874"/>
      <w:bookmarkStart w:id="6336" w:name="_Toc515792724"/>
      <w:bookmarkStart w:id="6337" w:name="_Toc515793626"/>
      <w:bookmarkStart w:id="6338" w:name="_Toc515794531"/>
      <w:bookmarkStart w:id="6339" w:name="_Toc515796288"/>
      <w:bookmarkStart w:id="6340" w:name="_Toc488244702"/>
      <w:bookmarkStart w:id="6341" w:name="_Toc488247822"/>
      <w:bookmarkStart w:id="6342" w:name="_Toc488248466"/>
      <w:bookmarkStart w:id="6343" w:name="_Toc488249082"/>
      <w:bookmarkStart w:id="6344" w:name="_Toc488249698"/>
      <w:bookmarkStart w:id="6345" w:name="_Toc488330186"/>
      <w:bookmarkStart w:id="6346" w:name="_Toc488387040"/>
      <w:bookmarkStart w:id="6347" w:name="_Toc488402499"/>
      <w:bookmarkStart w:id="6348" w:name="_Toc488403322"/>
      <w:bookmarkStart w:id="6349" w:name="_Toc488404151"/>
      <w:bookmarkStart w:id="6350" w:name="_Toc488404982"/>
      <w:bookmarkStart w:id="6351" w:name="_Toc488405805"/>
      <w:bookmarkStart w:id="6352" w:name="_Toc488406634"/>
      <w:bookmarkStart w:id="6353" w:name="_Toc491409865"/>
      <w:bookmarkStart w:id="6354" w:name="_Toc496018403"/>
      <w:bookmarkStart w:id="6355" w:name="_Toc515787622"/>
      <w:bookmarkStart w:id="6356" w:name="_Toc515789322"/>
      <w:bookmarkStart w:id="6357" w:name="_Toc515790171"/>
      <w:bookmarkStart w:id="6358" w:name="_Toc515791020"/>
      <w:bookmarkStart w:id="6359" w:name="_Toc515791875"/>
      <w:bookmarkStart w:id="6360" w:name="_Toc515792725"/>
      <w:bookmarkStart w:id="6361" w:name="_Toc515793627"/>
      <w:bookmarkStart w:id="6362" w:name="_Toc515794532"/>
      <w:bookmarkStart w:id="6363" w:name="_Toc515796289"/>
      <w:bookmarkStart w:id="6364" w:name="_Toc488244703"/>
      <w:bookmarkStart w:id="6365" w:name="_Toc488247823"/>
      <w:bookmarkStart w:id="6366" w:name="_Toc488248467"/>
      <w:bookmarkStart w:id="6367" w:name="_Toc488249083"/>
      <w:bookmarkStart w:id="6368" w:name="_Toc488249699"/>
      <w:bookmarkStart w:id="6369" w:name="_Toc488330187"/>
      <w:bookmarkStart w:id="6370" w:name="_Toc488387041"/>
      <w:bookmarkStart w:id="6371" w:name="_Toc488402500"/>
      <w:bookmarkStart w:id="6372" w:name="_Toc488403323"/>
      <w:bookmarkStart w:id="6373" w:name="_Toc488404152"/>
      <w:bookmarkStart w:id="6374" w:name="_Toc488404983"/>
      <w:bookmarkStart w:id="6375" w:name="_Toc488405806"/>
      <w:bookmarkStart w:id="6376" w:name="_Toc488406635"/>
      <w:bookmarkStart w:id="6377" w:name="_Toc491409866"/>
      <w:bookmarkStart w:id="6378" w:name="_Toc496018404"/>
      <w:bookmarkStart w:id="6379" w:name="_Toc515787623"/>
      <w:bookmarkStart w:id="6380" w:name="_Toc515789323"/>
      <w:bookmarkStart w:id="6381" w:name="_Toc515790172"/>
      <w:bookmarkStart w:id="6382" w:name="_Toc515791021"/>
      <w:bookmarkStart w:id="6383" w:name="_Toc515791876"/>
      <w:bookmarkStart w:id="6384" w:name="_Toc515792726"/>
      <w:bookmarkStart w:id="6385" w:name="_Toc515793628"/>
      <w:bookmarkStart w:id="6386" w:name="_Toc515794533"/>
      <w:bookmarkStart w:id="6387" w:name="_Toc515796290"/>
      <w:bookmarkStart w:id="6388" w:name="_Toc488244704"/>
      <w:bookmarkStart w:id="6389" w:name="_Toc488247824"/>
      <w:bookmarkStart w:id="6390" w:name="_Toc488248468"/>
      <w:bookmarkStart w:id="6391" w:name="_Toc488249084"/>
      <w:bookmarkStart w:id="6392" w:name="_Toc488249700"/>
      <w:bookmarkStart w:id="6393" w:name="_Toc488330188"/>
      <w:bookmarkStart w:id="6394" w:name="_Toc488387042"/>
      <w:bookmarkStart w:id="6395" w:name="_Toc488402501"/>
      <w:bookmarkStart w:id="6396" w:name="_Toc488403324"/>
      <w:bookmarkStart w:id="6397" w:name="_Toc488404153"/>
      <w:bookmarkStart w:id="6398" w:name="_Toc488404984"/>
      <w:bookmarkStart w:id="6399" w:name="_Toc488405807"/>
      <w:bookmarkStart w:id="6400" w:name="_Toc488406636"/>
      <w:bookmarkStart w:id="6401" w:name="_Toc491409867"/>
      <w:bookmarkStart w:id="6402" w:name="_Toc496018405"/>
      <w:bookmarkStart w:id="6403" w:name="_Toc515787624"/>
      <w:bookmarkStart w:id="6404" w:name="_Toc515789324"/>
      <w:bookmarkStart w:id="6405" w:name="_Toc515790173"/>
      <w:bookmarkStart w:id="6406" w:name="_Toc515791022"/>
      <w:bookmarkStart w:id="6407" w:name="_Toc515791877"/>
      <w:bookmarkStart w:id="6408" w:name="_Toc515792727"/>
      <w:bookmarkStart w:id="6409" w:name="_Toc515793629"/>
      <w:bookmarkStart w:id="6410" w:name="_Toc515794534"/>
      <w:bookmarkStart w:id="6411" w:name="_Toc515796291"/>
      <w:bookmarkStart w:id="6412" w:name="_Toc488244705"/>
      <w:bookmarkStart w:id="6413" w:name="_Toc488247825"/>
      <w:bookmarkStart w:id="6414" w:name="_Toc488248469"/>
      <w:bookmarkStart w:id="6415" w:name="_Toc488249085"/>
      <w:bookmarkStart w:id="6416" w:name="_Toc488249701"/>
      <w:bookmarkStart w:id="6417" w:name="_Toc488330189"/>
      <w:bookmarkStart w:id="6418" w:name="_Toc488387043"/>
      <w:bookmarkStart w:id="6419" w:name="_Toc488402502"/>
      <w:bookmarkStart w:id="6420" w:name="_Toc488403325"/>
      <w:bookmarkStart w:id="6421" w:name="_Toc488404154"/>
      <w:bookmarkStart w:id="6422" w:name="_Toc488404985"/>
      <w:bookmarkStart w:id="6423" w:name="_Toc488405808"/>
      <w:bookmarkStart w:id="6424" w:name="_Toc488406637"/>
      <w:bookmarkStart w:id="6425" w:name="_Toc491409868"/>
      <w:bookmarkStart w:id="6426" w:name="_Toc496018406"/>
      <w:bookmarkStart w:id="6427" w:name="_Toc515787625"/>
      <w:bookmarkStart w:id="6428" w:name="_Toc515789325"/>
      <w:bookmarkStart w:id="6429" w:name="_Toc515790174"/>
      <w:bookmarkStart w:id="6430" w:name="_Toc515791023"/>
      <w:bookmarkStart w:id="6431" w:name="_Toc515791878"/>
      <w:bookmarkStart w:id="6432" w:name="_Toc515792728"/>
      <w:bookmarkStart w:id="6433" w:name="_Toc515793630"/>
      <w:bookmarkStart w:id="6434" w:name="_Toc515794535"/>
      <w:bookmarkStart w:id="6435" w:name="_Toc515796292"/>
      <w:bookmarkStart w:id="6436" w:name="_Toc488244706"/>
      <w:bookmarkStart w:id="6437" w:name="_Toc488247826"/>
      <w:bookmarkStart w:id="6438" w:name="_Toc488248470"/>
      <w:bookmarkStart w:id="6439" w:name="_Toc488249086"/>
      <w:bookmarkStart w:id="6440" w:name="_Toc488249702"/>
      <w:bookmarkStart w:id="6441" w:name="_Toc488330190"/>
      <w:bookmarkStart w:id="6442" w:name="_Toc488387044"/>
      <w:bookmarkStart w:id="6443" w:name="_Toc488402503"/>
      <w:bookmarkStart w:id="6444" w:name="_Toc488403326"/>
      <w:bookmarkStart w:id="6445" w:name="_Toc488404155"/>
      <w:bookmarkStart w:id="6446" w:name="_Toc488404986"/>
      <w:bookmarkStart w:id="6447" w:name="_Toc488405809"/>
      <w:bookmarkStart w:id="6448" w:name="_Toc488406638"/>
      <w:bookmarkStart w:id="6449" w:name="_Toc491409869"/>
      <w:bookmarkStart w:id="6450" w:name="_Toc496018407"/>
      <w:bookmarkStart w:id="6451" w:name="_Toc515787626"/>
      <w:bookmarkStart w:id="6452" w:name="_Toc515789326"/>
      <w:bookmarkStart w:id="6453" w:name="_Toc515790175"/>
      <w:bookmarkStart w:id="6454" w:name="_Toc515791024"/>
      <w:bookmarkStart w:id="6455" w:name="_Toc515791879"/>
      <w:bookmarkStart w:id="6456" w:name="_Toc515792729"/>
      <w:bookmarkStart w:id="6457" w:name="_Toc515793631"/>
      <w:bookmarkStart w:id="6458" w:name="_Toc515794536"/>
      <w:bookmarkStart w:id="6459" w:name="_Toc515796293"/>
      <w:bookmarkStart w:id="6460" w:name="_Toc488244707"/>
      <w:bookmarkStart w:id="6461" w:name="_Toc488247827"/>
      <w:bookmarkStart w:id="6462" w:name="_Toc488248471"/>
      <w:bookmarkStart w:id="6463" w:name="_Toc488249087"/>
      <w:bookmarkStart w:id="6464" w:name="_Toc488249703"/>
      <w:bookmarkStart w:id="6465" w:name="_Toc488330191"/>
      <w:bookmarkStart w:id="6466" w:name="_Toc488387045"/>
      <w:bookmarkStart w:id="6467" w:name="_Toc488402504"/>
      <w:bookmarkStart w:id="6468" w:name="_Toc488403327"/>
      <w:bookmarkStart w:id="6469" w:name="_Toc488404156"/>
      <w:bookmarkStart w:id="6470" w:name="_Toc488404987"/>
      <w:bookmarkStart w:id="6471" w:name="_Toc488405810"/>
      <w:bookmarkStart w:id="6472" w:name="_Toc488406639"/>
      <w:bookmarkStart w:id="6473" w:name="_Toc491409870"/>
      <w:bookmarkStart w:id="6474" w:name="_Toc496018408"/>
      <w:bookmarkStart w:id="6475" w:name="_Toc515787627"/>
      <w:bookmarkStart w:id="6476" w:name="_Toc515789327"/>
      <w:bookmarkStart w:id="6477" w:name="_Toc515790176"/>
      <w:bookmarkStart w:id="6478" w:name="_Toc515791025"/>
      <w:bookmarkStart w:id="6479" w:name="_Toc515791880"/>
      <w:bookmarkStart w:id="6480" w:name="_Toc515792730"/>
      <w:bookmarkStart w:id="6481" w:name="_Toc515793632"/>
      <w:bookmarkStart w:id="6482" w:name="_Toc515794537"/>
      <w:bookmarkStart w:id="6483" w:name="_Toc515796294"/>
      <w:bookmarkStart w:id="6484" w:name="_Toc488244708"/>
      <w:bookmarkStart w:id="6485" w:name="_Toc488247828"/>
      <w:bookmarkStart w:id="6486" w:name="_Toc488248472"/>
      <w:bookmarkStart w:id="6487" w:name="_Toc488249088"/>
      <w:bookmarkStart w:id="6488" w:name="_Toc488249704"/>
      <w:bookmarkStart w:id="6489" w:name="_Toc488330192"/>
      <w:bookmarkStart w:id="6490" w:name="_Toc488387046"/>
      <w:bookmarkStart w:id="6491" w:name="_Toc488402505"/>
      <w:bookmarkStart w:id="6492" w:name="_Toc488403328"/>
      <w:bookmarkStart w:id="6493" w:name="_Toc488404157"/>
      <w:bookmarkStart w:id="6494" w:name="_Toc488404988"/>
      <w:bookmarkStart w:id="6495" w:name="_Toc488405811"/>
      <w:bookmarkStart w:id="6496" w:name="_Toc488406640"/>
      <w:bookmarkStart w:id="6497" w:name="_Toc491409871"/>
      <w:bookmarkStart w:id="6498" w:name="_Toc496018409"/>
      <w:bookmarkStart w:id="6499" w:name="_Toc515787628"/>
      <w:bookmarkStart w:id="6500" w:name="_Toc515789328"/>
      <w:bookmarkStart w:id="6501" w:name="_Toc515790177"/>
      <w:bookmarkStart w:id="6502" w:name="_Toc515791026"/>
      <w:bookmarkStart w:id="6503" w:name="_Toc515791881"/>
      <w:bookmarkStart w:id="6504" w:name="_Toc515792731"/>
      <w:bookmarkStart w:id="6505" w:name="_Toc515793633"/>
      <w:bookmarkStart w:id="6506" w:name="_Toc515794538"/>
      <w:bookmarkStart w:id="6507" w:name="_Toc515796295"/>
      <w:bookmarkStart w:id="6508" w:name="_Toc488244709"/>
      <w:bookmarkStart w:id="6509" w:name="_Toc488247829"/>
      <w:bookmarkStart w:id="6510" w:name="_Toc488248473"/>
      <w:bookmarkStart w:id="6511" w:name="_Toc488249089"/>
      <w:bookmarkStart w:id="6512" w:name="_Toc488249705"/>
      <w:bookmarkStart w:id="6513" w:name="_Toc488330193"/>
      <w:bookmarkStart w:id="6514" w:name="_Toc488387047"/>
      <w:bookmarkStart w:id="6515" w:name="_Toc488402506"/>
      <w:bookmarkStart w:id="6516" w:name="_Toc488403329"/>
      <w:bookmarkStart w:id="6517" w:name="_Toc488404158"/>
      <w:bookmarkStart w:id="6518" w:name="_Toc488404989"/>
      <w:bookmarkStart w:id="6519" w:name="_Toc488405812"/>
      <w:bookmarkStart w:id="6520" w:name="_Toc488406641"/>
      <w:bookmarkStart w:id="6521" w:name="_Toc491409872"/>
      <w:bookmarkStart w:id="6522" w:name="_Toc496018410"/>
      <w:bookmarkStart w:id="6523" w:name="_Toc515787629"/>
      <w:bookmarkStart w:id="6524" w:name="_Toc515789329"/>
      <w:bookmarkStart w:id="6525" w:name="_Toc515790178"/>
      <w:bookmarkStart w:id="6526" w:name="_Toc515791027"/>
      <w:bookmarkStart w:id="6527" w:name="_Toc515791882"/>
      <w:bookmarkStart w:id="6528" w:name="_Toc515792732"/>
      <w:bookmarkStart w:id="6529" w:name="_Toc515793634"/>
      <w:bookmarkStart w:id="6530" w:name="_Toc515794539"/>
      <w:bookmarkStart w:id="6531" w:name="_Toc515796296"/>
      <w:bookmarkStart w:id="6532" w:name="_Toc488244710"/>
      <w:bookmarkStart w:id="6533" w:name="_Toc488247830"/>
      <w:bookmarkStart w:id="6534" w:name="_Toc488248474"/>
      <w:bookmarkStart w:id="6535" w:name="_Toc488249090"/>
      <w:bookmarkStart w:id="6536" w:name="_Toc488249706"/>
      <w:bookmarkStart w:id="6537" w:name="_Toc488330194"/>
      <w:bookmarkStart w:id="6538" w:name="_Toc488387048"/>
      <w:bookmarkStart w:id="6539" w:name="_Toc488402507"/>
      <w:bookmarkStart w:id="6540" w:name="_Toc488403330"/>
      <w:bookmarkStart w:id="6541" w:name="_Toc488404159"/>
      <w:bookmarkStart w:id="6542" w:name="_Toc488404990"/>
      <w:bookmarkStart w:id="6543" w:name="_Toc488405813"/>
      <w:bookmarkStart w:id="6544" w:name="_Toc488406642"/>
      <w:bookmarkStart w:id="6545" w:name="_Toc491409873"/>
      <w:bookmarkStart w:id="6546" w:name="_Toc496018411"/>
      <w:bookmarkStart w:id="6547" w:name="_Toc515787630"/>
      <w:bookmarkStart w:id="6548" w:name="_Toc515789330"/>
      <w:bookmarkStart w:id="6549" w:name="_Toc515790179"/>
      <w:bookmarkStart w:id="6550" w:name="_Toc515791028"/>
      <w:bookmarkStart w:id="6551" w:name="_Toc515791883"/>
      <w:bookmarkStart w:id="6552" w:name="_Toc515792733"/>
      <w:bookmarkStart w:id="6553" w:name="_Toc515793635"/>
      <w:bookmarkStart w:id="6554" w:name="_Toc515794540"/>
      <w:bookmarkStart w:id="6555" w:name="_Toc515796297"/>
      <w:bookmarkStart w:id="6556" w:name="_Toc488244711"/>
      <w:bookmarkStart w:id="6557" w:name="_Toc488247831"/>
      <w:bookmarkStart w:id="6558" w:name="_Toc488248475"/>
      <w:bookmarkStart w:id="6559" w:name="_Toc488249091"/>
      <w:bookmarkStart w:id="6560" w:name="_Toc488249707"/>
      <w:bookmarkStart w:id="6561" w:name="_Toc488330195"/>
      <w:bookmarkStart w:id="6562" w:name="_Toc488387049"/>
      <w:bookmarkStart w:id="6563" w:name="_Toc488402508"/>
      <w:bookmarkStart w:id="6564" w:name="_Toc488403331"/>
      <w:bookmarkStart w:id="6565" w:name="_Toc488404160"/>
      <w:bookmarkStart w:id="6566" w:name="_Toc488404991"/>
      <w:bookmarkStart w:id="6567" w:name="_Toc488405814"/>
      <w:bookmarkStart w:id="6568" w:name="_Toc488406643"/>
      <w:bookmarkStart w:id="6569" w:name="_Toc491409874"/>
      <w:bookmarkStart w:id="6570" w:name="_Toc496018412"/>
      <w:bookmarkStart w:id="6571" w:name="_Toc515787631"/>
      <w:bookmarkStart w:id="6572" w:name="_Toc515789331"/>
      <w:bookmarkStart w:id="6573" w:name="_Toc515790180"/>
      <w:bookmarkStart w:id="6574" w:name="_Toc515791029"/>
      <w:bookmarkStart w:id="6575" w:name="_Toc515791884"/>
      <w:bookmarkStart w:id="6576" w:name="_Toc515792734"/>
      <w:bookmarkStart w:id="6577" w:name="_Toc515793636"/>
      <w:bookmarkStart w:id="6578" w:name="_Toc515794541"/>
      <w:bookmarkStart w:id="6579" w:name="_Toc515796298"/>
      <w:bookmarkStart w:id="6580" w:name="_Toc488244712"/>
      <w:bookmarkStart w:id="6581" w:name="_Toc488247832"/>
      <w:bookmarkStart w:id="6582" w:name="_Toc488248476"/>
      <w:bookmarkStart w:id="6583" w:name="_Toc488249092"/>
      <w:bookmarkStart w:id="6584" w:name="_Toc488249708"/>
      <w:bookmarkStart w:id="6585" w:name="_Toc488330196"/>
      <w:bookmarkStart w:id="6586" w:name="_Toc488387050"/>
      <w:bookmarkStart w:id="6587" w:name="_Toc488402509"/>
      <w:bookmarkStart w:id="6588" w:name="_Toc488403332"/>
      <w:bookmarkStart w:id="6589" w:name="_Toc488404161"/>
      <w:bookmarkStart w:id="6590" w:name="_Toc488404992"/>
      <w:bookmarkStart w:id="6591" w:name="_Toc488405815"/>
      <w:bookmarkStart w:id="6592" w:name="_Toc488406644"/>
      <w:bookmarkStart w:id="6593" w:name="_Toc491409875"/>
      <w:bookmarkStart w:id="6594" w:name="_Toc496018413"/>
      <w:bookmarkStart w:id="6595" w:name="_Toc515787632"/>
      <w:bookmarkStart w:id="6596" w:name="_Toc515789332"/>
      <w:bookmarkStart w:id="6597" w:name="_Toc515790181"/>
      <w:bookmarkStart w:id="6598" w:name="_Toc515791030"/>
      <w:bookmarkStart w:id="6599" w:name="_Toc515791885"/>
      <w:bookmarkStart w:id="6600" w:name="_Toc515792735"/>
      <w:bookmarkStart w:id="6601" w:name="_Toc515793637"/>
      <w:bookmarkStart w:id="6602" w:name="_Toc515794542"/>
      <w:bookmarkStart w:id="6603" w:name="_Toc515796299"/>
      <w:bookmarkStart w:id="6604" w:name="_Toc488244713"/>
      <w:bookmarkStart w:id="6605" w:name="_Toc488247833"/>
      <w:bookmarkStart w:id="6606" w:name="_Toc488248477"/>
      <w:bookmarkStart w:id="6607" w:name="_Toc488249093"/>
      <w:bookmarkStart w:id="6608" w:name="_Toc488249709"/>
      <w:bookmarkStart w:id="6609" w:name="_Toc488330197"/>
      <w:bookmarkStart w:id="6610" w:name="_Toc488387051"/>
      <w:bookmarkStart w:id="6611" w:name="_Toc488402510"/>
      <w:bookmarkStart w:id="6612" w:name="_Toc488403333"/>
      <w:bookmarkStart w:id="6613" w:name="_Toc488404162"/>
      <w:bookmarkStart w:id="6614" w:name="_Toc488404993"/>
      <w:bookmarkStart w:id="6615" w:name="_Toc488405816"/>
      <w:bookmarkStart w:id="6616" w:name="_Toc488406645"/>
      <w:bookmarkStart w:id="6617" w:name="_Toc491409876"/>
      <w:bookmarkStart w:id="6618" w:name="_Toc496018414"/>
      <w:bookmarkStart w:id="6619" w:name="_Toc515787633"/>
      <w:bookmarkStart w:id="6620" w:name="_Toc515789333"/>
      <w:bookmarkStart w:id="6621" w:name="_Toc515790182"/>
      <w:bookmarkStart w:id="6622" w:name="_Toc515791031"/>
      <w:bookmarkStart w:id="6623" w:name="_Toc515791886"/>
      <w:bookmarkStart w:id="6624" w:name="_Toc515792736"/>
      <w:bookmarkStart w:id="6625" w:name="_Toc515793638"/>
      <w:bookmarkStart w:id="6626" w:name="_Toc515794543"/>
      <w:bookmarkStart w:id="6627" w:name="_Toc515796300"/>
      <w:bookmarkStart w:id="6628" w:name="_Toc488244714"/>
      <w:bookmarkStart w:id="6629" w:name="_Toc488247834"/>
      <w:bookmarkStart w:id="6630" w:name="_Toc488248478"/>
      <w:bookmarkStart w:id="6631" w:name="_Toc488249094"/>
      <w:bookmarkStart w:id="6632" w:name="_Toc488249710"/>
      <w:bookmarkStart w:id="6633" w:name="_Toc488330198"/>
      <w:bookmarkStart w:id="6634" w:name="_Toc488387052"/>
      <w:bookmarkStart w:id="6635" w:name="_Toc488402511"/>
      <w:bookmarkStart w:id="6636" w:name="_Toc488403334"/>
      <w:bookmarkStart w:id="6637" w:name="_Toc488404163"/>
      <w:bookmarkStart w:id="6638" w:name="_Toc488404994"/>
      <w:bookmarkStart w:id="6639" w:name="_Toc488405817"/>
      <w:bookmarkStart w:id="6640" w:name="_Toc488406646"/>
      <w:bookmarkStart w:id="6641" w:name="_Toc491409877"/>
      <w:bookmarkStart w:id="6642" w:name="_Toc496018415"/>
      <w:bookmarkStart w:id="6643" w:name="_Toc515787634"/>
      <w:bookmarkStart w:id="6644" w:name="_Toc515789334"/>
      <w:bookmarkStart w:id="6645" w:name="_Toc515790183"/>
      <w:bookmarkStart w:id="6646" w:name="_Toc515791032"/>
      <w:bookmarkStart w:id="6647" w:name="_Toc515791887"/>
      <w:bookmarkStart w:id="6648" w:name="_Toc515792737"/>
      <w:bookmarkStart w:id="6649" w:name="_Toc515793639"/>
      <w:bookmarkStart w:id="6650" w:name="_Toc515794544"/>
      <w:bookmarkStart w:id="6651" w:name="_Toc515796301"/>
      <w:bookmarkStart w:id="6652" w:name="_Toc488244715"/>
      <w:bookmarkStart w:id="6653" w:name="_Toc488247835"/>
      <w:bookmarkStart w:id="6654" w:name="_Toc488248479"/>
      <w:bookmarkStart w:id="6655" w:name="_Toc488249095"/>
      <w:bookmarkStart w:id="6656" w:name="_Toc488249711"/>
      <w:bookmarkStart w:id="6657" w:name="_Toc488330199"/>
      <w:bookmarkStart w:id="6658" w:name="_Toc488387053"/>
      <w:bookmarkStart w:id="6659" w:name="_Toc488402512"/>
      <w:bookmarkStart w:id="6660" w:name="_Toc488403335"/>
      <w:bookmarkStart w:id="6661" w:name="_Toc488404164"/>
      <w:bookmarkStart w:id="6662" w:name="_Toc488404995"/>
      <w:bookmarkStart w:id="6663" w:name="_Toc488405818"/>
      <w:bookmarkStart w:id="6664" w:name="_Toc488406647"/>
      <w:bookmarkStart w:id="6665" w:name="_Toc491409878"/>
      <w:bookmarkStart w:id="6666" w:name="_Toc496018416"/>
      <w:bookmarkStart w:id="6667" w:name="_Toc515787635"/>
      <w:bookmarkStart w:id="6668" w:name="_Toc515789335"/>
      <w:bookmarkStart w:id="6669" w:name="_Toc515790184"/>
      <w:bookmarkStart w:id="6670" w:name="_Toc515791033"/>
      <w:bookmarkStart w:id="6671" w:name="_Toc515791888"/>
      <w:bookmarkStart w:id="6672" w:name="_Toc515792738"/>
      <w:bookmarkStart w:id="6673" w:name="_Toc515793640"/>
      <w:bookmarkStart w:id="6674" w:name="_Toc515794545"/>
      <w:bookmarkStart w:id="6675" w:name="_Toc515796302"/>
      <w:bookmarkStart w:id="6676" w:name="_Toc488244716"/>
      <w:bookmarkStart w:id="6677" w:name="_Toc488247836"/>
      <w:bookmarkStart w:id="6678" w:name="_Toc488248480"/>
      <w:bookmarkStart w:id="6679" w:name="_Toc488249096"/>
      <w:bookmarkStart w:id="6680" w:name="_Toc488249712"/>
      <w:bookmarkStart w:id="6681" w:name="_Toc488330200"/>
      <w:bookmarkStart w:id="6682" w:name="_Toc488387054"/>
      <w:bookmarkStart w:id="6683" w:name="_Toc488402513"/>
      <w:bookmarkStart w:id="6684" w:name="_Toc488403336"/>
      <w:bookmarkStart w:id="6685" w:name="_Toc488404165"/>
      <w:bookmarkStart w:id="6686" w:name="_Toc488404996"/>
      <w:bookmarkStart w:id="6687" w:name="_Toc488405819"/>
      <w:bookmarkStart w:id="6688" w:name="_Toc488406648"/>
      <w:bookmarkStart w:id="6689" w:name="_Toc491409879"/>
      <w:bookmarkStart w:id="6690" w:name="_Toc496018417"/>
      <w:bookmarkStart w:id="6691" w:name="_Toc515787636"/>
      <w:bookmarkStart w:id="6692" w:name="_Toc515789336"/>
      <w:bookmarkStart w:id="6693" w:name="_Toc515790185"/>
      <w:bookmarkStart w:id="6694" w:name="_Toc515791034"/>
      <w:bookmarkStart w:id="6695" w:name="_Toc515791889"/>
      <w:bookmarkStart w:id="6696" w:name="_Toc515792739"/>
      <w:bookmarkStart w:id="6697" w:name="_Toc515793641"/>
      <w:bookmarkStart w:id="6698" w:name="_Toc515794546"/>
      <w:bookmarkStart w:id="6699" w:name="_Toc515796303"/>
      <w:bookmarkStart w:id="6700" w:name="_Toc488244717"/>
      <w:bookmarkStart w:id="6701" w:name="_Toc488247837"/>
      <w:bookmarkStart w:id="6702" w:name="_Toc488248481"/>
      <w:bookmarkStart w:id="6703" w:name="_Toc488249097"/>
      <w:bookmarkStart w:id="6704" w:name="_Toc488249713"/>
      <w:bookmarkStart w:id="6705" w:name="_Toc488330201"/>
      <w:bookmarkStart w:id="6706" w:name="_Toc488387055"/>
      <w:bookmarkStart w:id="6707" w:name="_Toc488402514"/>
      <w:bookmarkStart w:id="6708" w:name="_Toc488403337"/>
      <w:bookmarkStart w:id="6709" w:name="_Toc488404166"/>
      <w:bookmarkStart w:id="6710" w:name="_Toc488404997"/>
      <w:bookmarkStart w:id="6711" w:name="_Toc488405820"/>
      <w:bookmarkStart w:id="6712" w:name="_Toc488406649"/>
      <w:bookmarkStart w:id="6713" w:name="_Toc491409880"/>
      <w:bookmarkStart w:id="6714" w:name="_Toc496018418"/>
      <w:bookmarkStart w:id="6715" w:name="_Toc515787637"/>
      <w:bookmarkStart w:id="6716" w:name="_Toc515789337"/>
      <w:bookmarkStart w:id="6717" w:name="_Toc515790186"/>
      <w:bookmarkStart w:id="6718" w:name="_Toc515791035"/>
      <w:bookmarkStart w:id="6719" w:name="_Toc515791890"/>
      <w:bookmarkStart w:id="6720" w:name="_Toc515792740"/>
      <w:bookmarkStart w:id="6721" w:name="_Toc515793642"/>
      <w:bookmarkStart w:id="6722" w:name="_Toc515794547"/>
      <w:bookmarkStart w:id="6723" w:name="_Toc515796304"/>
      <w:bookmarkStart w:id="6724" w:name="_Toc488244718"/>
      <w:bookmarkStart w:id="6725" w:name="_Toc488247838"/>
      <w:bookmarkStart w:id="6726" w:name="_Toc488248482"/>
      <w:bookmarkStart w:id="6727" w:name="_Toc488249098"/>
      <w:bookmarkStart w:id="6728" w:name="_Toc488249714"/>
      <w:bookmarkStart w:id="6729" w:name="_Toc488330202"/>
      <w:bookmarkStart w:id="6730" w:name="_Toc488387056"/>
      <w:bookmarkStart w:id="6731" w:name="_Toc488402515"/>
      <w:bookmarkStart w:id="6732" w:name="_Toc488403338"/>
      <w:bookmarkStart w:id="6733" w:name="_Toc488404167"/>
      <w:bookmarkStart w:id="6734" w:name="_Toc488404998"/>
      <w:bookmarkStart w:id="6735" w:name="_Toc488405821"/>
      <w:bookmarkStart w:id="6736" w:name="_Toc488406650"/>
      <w:bookmarkStart w:id="6737" w:name="_Toc491409881"/>
      <w:bookmarkStart w:id="6738" w:name="_Toc496018419"/>
      <w:bookmarkStart w:id="6739" w:name="_Toc515787638"/>
      <w:bookmarkStart w:id="6740" w:name="_Toc515789338"/>
      <w:bookmarkStart w:id="6741" w:name="_Toc515790187"/>
      <w:bookmarkStart w:id="6742" w:name="_Toc515791036"/>
      <w:bookmarkStart w:id="6743" w:name="_Toc515791891"/>
      <w:bookmarkStart w:id="6744" w:name="_Toc515792741"/>
      <w:bookmarkStart w:id="6745" w:name="_Toc515793643"/>
      <w:bookmarkStart w:id="6746" w:name="_Toc515794548"/>
      <w:bookmarkStart w:id="6747" w:name="_Toc515796305"/>
      <w:bookmarkStart w:id="6748" w:name="_Toc488244719"/>
      <w:bookmarkStart w:id="6749" w:name="_Toc488247839"/>
      <w:bookmarkStart w:id="6750" w:name="_Toc488248483"/>
      <w:bookmarkStart w:id="6751" w:name="_Toc488249099"/>
      <w:bookmarkStart w:id="6752" w:name="_Toc488249715"/>
      <w:bookmarkStart w:id="6753" w:name="_Toc488330203"/>
      <w:bookmarkStart w:id="6754" w:name="_Toc488387057"/>
      <w:bookmarkStart w:id="6755" w:name="_Toc488402516"/>
      <w:bookmarkStart w:id="6756" w:name="_Toc488403339"/>
      <w:bookmarkStart w:id="6757" w:name="_Toc488404168"/>
      <w:bookmarkStart w:id="6758" w:name="_Toc488404999"/>
      <w:bookmarkStart w:id="6759" w:name="_Toc488405822"/>
      <w:bookmarkStart w:id="6760" w:name="_Toc488406651"/>
      <w:bookmarkStart w:id="6761" w:name="_Toc491409882"/>
      <w:bookmarkStart w:id="6762" w:name="_Toc496018420"/>
      <w:bookmarkStart w:id="6763" w:name="_Toc515787639"/>
      <w:bookmarkStart w:id="6764" w:name="_Toc515789339"/>
      <w:bookmarkStart w:id="6765" w:name="_Toc515790188"/>
      <w:bookmarkStart w:id="6766" w:name="_Toc515791037"/>
      <w:bookmarkStart w:id="6767" w:name="_Toc515791892"/>
      <w:bookmarkStart w:id="6768" w:name="_Toc515792742"/>
      <w:bookmarkStart w:id="6769" w:name="_Toc515793644"/>
      <w:bookmarkStart w:id="6770" w:name="_Toc515794549"/>
      <w:bookmarkStart w:id="6771" w:name="_Toc515796306"/>
      <w:bookmarkStart w:id="6772" w:name="_Toc488244720"/>
      <w:bookmarkStart w:id="6773" w:name="_Toc488247840"/>
      <w:bookmarkStart w:id="6774" w:name="_Toc488248484"/>
      <w:bookmarkStart w:id="6775" w:name="_Toc488249100"/>
      <w:bookmarkStart w:id="6776" w:name="_Toc488249716"/>
      <w:bookmarkStart w:id="6777" w:name="_Toc488330204"/>
      <w:bookmarkStart w:id="6778" w:name="_Toc488387058"/>
      <w:bookmarkStart w:id="6779" w:name="_Toc488402517"/>
      <w:bookmarkStart w:id="6780" w:name="_Toc488403340"/>
      <w:bookmarkStart w:id="6781" w:name="_Toc488404169"/>
      <w:bookmarkStart w:id="6782" w:name="_Toc488405000"/>
      <w:bookmarkStart w:id="6783" w:name="_Toc488405823"/>
      <w:bookmarkStart w:id="6784" w:name="_Toc488406652"/>
      <w:bookmarkStart w:id="6785" w:name="_Toc491409883"/>
      <w:bookmarkStart w:id="6786" w:name="_Toc496018421"/>
      <w:bookmarkStart w:id="6787" w:name="_Toc515787640"/>
      <w:bookmarkStart w:id="6788" w:name="_Toc515789340"/>
      <w:bookmarkStart w:id="6789" w:name="_Toc515790189"/>
      <w:bookmarkStart w:id="6790" w:name="_Toc515791038"/>
      <w:bookmarkStart w:id="6791" w:name="_Toc515791893"/>
      <w:bookmarkStart w:id="6792" w:name="_Toc515792743"/>
      <w:bookmarkStart w:id="6793" w:name="_Toc515793645"/>
      <w:bookmarkStart w:id="6794" w:name="_Toc515794550"/>
      <w:bookmarkStart w:id="6795" w:name="_Toc515796307"/>
      <w:bookmarkStart w:id="6796" w:name="_Toc488244721"/>
      <w:bookmarkStart w:id="6797" w:name="_Toc488247841"/>
      <w:bookmarkStart w:id="6798" w:name="_Toc488248485"/>
      <w:bookmarkStart w:id="6799" w:name="_Toc488249101"/>
      <w:bookmarkStart w:id="6800" w:name="_Toc488249717"/>
      <w:bookmarkStart w:id="6801" w:name="_Toc488330205"/>
      <w:bookmarkStart w:id="6802" w:name="_Toc488387059"/>
      <w:bookmarkStart w:id="6803" w:name="_Toc488402518"/>
      <w:bookmarkStart w:id="6804" w:name="_Toc488403341"/>
      <w:bookmarkStart w:id="6805" w:name="_Toc488404170"/>
      <w:bookmarkStart w:id="6806" w:name="_Toc488405001"/>
      <w:bookmarkStart w:id="6807" w:name="_Toc488405824"/>
      <w:bookmarkStart w:id="6808" w:name="_Toc488406653"/>
      <w:bookmarkStart w:id="6809" w:name="_Toc491409884"/>
      <w:bookmarkStart w:id="6810" w:name="_Toc496018422"/>
      <w:bookmarkStart w:id="6811" w:name="_Toc515787641"/>
      <w:bookmarkStart w:id="6812" w:name="_Toc515789341"/>
      <w:bookmarkStart w:id="6813" w:name="_Toc515790190"/>
      <w:bookmarkStart w:id="6814" w:name="_Toc515791039"/>
      <w:bookmarkStart w:id="6815" w:name="_Toc515791894"/>
      <w:bookmarkStart w:id="6816" w:name="_Toc515792744"/>
      <w:bookmarkStart w:id="6817" w:name="_Toc515793646"/>
      <w:bookmarkStart w:id="6818" w:name="_Toc515794551"/>
      <w:bookmarkStart w:id="6819" w:name="_Toc515796308"/>
      <w:bookmarkStart w:id="6820" w:name="_Toc488244722"/>
      <w:bookmarkStart w:id="6821" w:name="_Toc488247842"/>
      <w:bookmarkStart w:id="6822" w:name="_Toc488248486"/>
      <w:bookmarkStart w:id="6823" w:name="_Toc488249102"/>
      <w:bookmarkStart w:id="6824" w:name="_Toc488249718"/>
      <w:bookmarkStart w:id="6825" w:name="_Toc488330206"/>
      <w:bookmarkStart w:id="6826" w:name="_Toc488387060"/>
      <w:bookmarkStart w:id="6827" w:name="_Toc488402519"/>
      <w:bookmarkStart w:id="6828" w:name="_Toc488403342"/>
      <w:bookmarkStart w:id="6829" w:name="_Toc488404171"/>
      <w:bookmarkStart w:id="6830" w:name="_Toc488405002"/>
      <w:bookmarkStart w:id="6831" w:name="_Toc488405825"/>
      <w:bookmarkStart w:id="6832" w:name="_Toc488406654"/>
      <w:bookmarkStart w:id="6833" w:name="_Toc491409885"/>
      <w:bookmarkStart w:id="6834" w:name="_Toc496018423"/>
      <w:bookmarkStart w:id="6835" w:name="_Toc515787642"/>
      <w:bookmarkStart w:id="6836" w:name="_Toc515789342"/>
      <w:bookmarkStart w:id="6837" w:name="_Toc515790191"/>
      <w:bookmarkStart w:id="6838" w:name="_Toc515791040"/>
      <w:bookmarkStart w:id="6839" w:name="_Toc515791895"/>
      <w:bookmarkStart w:id="6840" w:name="_Toc515792745"/>
      <w:bookmarkStart w:id="6841" w:name="_Toc515793647"/>
      <w:bookmarkStart w:id="6842" w:name="_Toc515794552"/>
      <w:bookmarkStart w:id="6843" w:name="_Toc515796309"/>
      <w:bookmarkStart w:id="6844" w:name="_Toc488244723"/>
      <w:bookmarkStart w:id="6845" w:name="_Toc488247843"/>
      <w:bookmarkStart w:id="6846" w:name="_Toc488248487"/>
      <w:bookmarkStart w:id="6847" w:name="_Toc488249103"/>
      <w:bookmarkStart w:id="6848" w:name="_Toc488249719"/>
      <w:bookmarkStart w:id="6849" w:name="_Toc488330207"/>
      <w:bookmarkStart w:id="6850" w:name="_Toc488387061"/>
      <w:bookmarkStart w:id="6851" w:name="_Toc488402520"/>
      <w:bookmarkStart w:id="6852" w:name="_Toc488403343"/>
      <w:bookmarkStart w:id="6853" w:name="_Toc488404172"/>
      <w:bookmarkStart w:id="6854" w:name="_Toc488405003"/>
      <w:bookmarkStart w:id="6855" w:name="_Toc488405826"/>
      <w:bookmarkStart w:id="6856" w:name="_Toc488406655"/>
      <w:bookmarkStart w:id="6857" w:name="_Toc491409886"/>
      <w:bookmarkStart w:id="6858" w:name="_Toc496018424"/>
      <w:bookmarkStart w:id="6859" w:name="_Toc515787643"/>
      <w:bookmarkStart w:id="6860" w:name="_Toc515789343"/>
      <w:bookmarkStart w:id="6861" w:name="_Toc515790192"/>
      <w:bookmarkStart w:id="6862" w:name="_Toc515791041"/>
      <w:bookmarkStart w:id="6863" w:name="_Toc515791896"/>
      <w:bookmarkStart w:id="6864" w:name="_Toc515792746"/>
      <w:bookmarkStart w:id="6865" w:name="_Toc515793648"/>
      <w:bookmarkStart w:id="6866" w:name="_Toc515794553"/>
      <w:bookmarkStart w:id="6867" w:name="_Toc515796310"/>
      <w:bookmarkStart w:id="6868" w:name="_Toc488244724"/>
      <w:bookmarkStart w:id="6869" w:name="_Toc488247844"/>
      <w:bookmarkStart w:id="6870" w:name="_Toc488248488"/>
      <w:bookmarkStart w:id="6871" w:name="_Toc488249104"/>
      <w:bookmarkStart w:id="6872" w:name="_Toc488249720"/>
      <w:bookmarkStart w:id="6873" w:name="_Toc488330208"/>
      <w:bookmarkStart w:id="6874" w:name="_Toc488387062"/>
      <w:bookmarkStart w:id="6875" w:name="_Toc488402521"/>
      <w:bookmarkStart w:id="6876" w:name="_Toc488403344"/>
      <w:bookmarkStart w:id="6877" w:name="_Toc488404173"/>
      <w:bookmarkStart w:id="6878" w:name="_Toc488405004"/>
      <w:bookmarkStart w:id="6879" w:name="_Toc488405827"/>
      <w:bookmarkStart w:id="6880" w:name="_Toc488406656"/>
      <w:bookmarkStart w:id="6881" w:name="_Toc491409887"/>
      <w:bookmarkStart w:id="6882" w:name="_Toc496018425"/>
      <w:bookmarkStart w:id="6883" w:name="_Toc515787644"/>
      <w:bookmarkStart w:id="6884" w:name="_Toc515789344"/>
      <w:bookmarkStart w:id="6885" w:name="_Toc515790193"/>
      <w:bookmarkStart w:id="6886" w:name="_Toc515791042"/>
      <w:bookmarkStart w:id="6887" w:name="_Toc515791897"/>
      <w:bookmarkStart w:id="6888" w:name="_Toc515792747"/>
      <w:bookmarkStart w:id="6889" w:name="_Toc515793649"/>
      <w:bookmarkStart w:id="6890" w:name="_Toc515794554"/>
      <w:bookmarkStart w:id="6891" w:name="_Toc515796311"/>
      <w:bookmarkStart w:id="6892" w:name="_Toc488244725"/>
      <w:bookmarkStart w:id="6893" w:name="_Toc488247845"/>
      <w:bookmarkStart w:id="6894" w:name="_Toc488248489"/>
      <w:bookmarkStart w:id="6895" w:name="_Toc488249105"/>
      <w:bookmarkStart w:id="6896" w:name="_Toc488249721"/>
      <w:bookmarkStart w:id="6897" w:name="_Toc488330209"/>
      <w:bookmarkStart w:id="6898" w:name="_Toc488387063"/>
      <w:bookmarkStart w:id="6899" w:name="_Toc488402522"/>
      <w:bookmarkStart w:id="6900" w:name="_Toc488403345"/>
      <w:bookmarkStart w:id="6901" w:name="_Toc488404174"/>
      <w:bookmarkStart w:id="6902" w:name="_Toc488405005"/>
      <w:bookmarkStart w:id="6903" w:name="_Toc488405828"/>
      <w:bookmarkStart w:id="6904" w:name="_Toc488406657"/>
      <w:bookmarkStart w:id="6905" w:name="_Toc491409888"/>
      <w:bookmarkStart w:id="6906" w:name="_Toc496018426"/>
      <w:bookmarkStart w:id="6907" w:name="_Toc515787645"/>
      <w:bookmarkStart w:id="6908" w:name="_Toc515789345"/>
      <w:bookmarkStart w:id="6909" w:name="_Toc515790194"/>
      <w:bookmarkStart w:id="6910" w:name="_Toc515791043"/>
      <w:bookmarkStart w:id="6911" w:name="_Toc515791898"/>
      <w:bookmarkStart w:id="6912" w:name="_Toc515792748"/>
      <w:bookmarkStart w:id="6913" w:name="_Toc515793650"/>
      <w:bookmarkStart w:id="6914" w:name="_Toc515794555"/>
      <w:bookmarkStart w:id="6915" w:name="_Toc515796312"/>
      <w:bookmarkStart w:id="6916" w:name="_Toc488244726"/>
      <w:bookmarkStart w:id="6917" w:name="_Toc488247846"/>
      <w:bookmarkStart w:id="6918" w:name="_Toc488248490"/>
      <w:bookmarkStart w:id="6919" w:name="_Toc488249106"/>
      <w:bookmarkStart w:id="6920" w:name="_Toc488249722"/>
      <w:bookmarkStart w:id="6921" w:name="_Toc488330210"/>
      <w:bookmarkStart w:id="6922" w:name="_Toc488387064"/>
      <w:bookmarkStart w:id="6923" w:name="_Toc488402523"/>
      <w:bookmarkStart w:id="6924" w:name="_Toc488403346"/>
      <w:bookmarkStart w:id="6925" w:name="_Toc488404175"/>
      <w:bookmarkStart w:id="6926" w:name="_Toc488405006"/>
      <w:bookmarkStart w:id="6927" w:name="_Toc488405829"/>
      <w:bookmarkStart w:id="6928" w:name="_Toc488406658"/>
      <w:bookmarkStart w:id="6929" w:name="_Toc491409889"/>
      <w:bookmarkStart w:id="6930" w:name="_Toc496018427"/>
      <w:bookmarkStart w:id="6931" w:name="_Toc515787646"/>
      <w:bookmarkStart w:id="6932" w:name="_Toc515789346"/>
      <w:bookmarkStart w:id="6933" w:name="_Toc515790195"/>
      <w:bookmarkStart w:id="6934" w:name="_Toc515791044"/>
      <w:bookmarkStart w:id="6935" w:name="_Toc515791899"/>
      <w:bookmarkStart w:id="6936" w:name="_Toc515792749"/>
      <w:bookmarkStart w:id="6937" w:name="_Toc515793651"/>
      <w:bookmarkStart w:id="6938" w:name="_Toc515794556"/>
      <w:bookmarkStart w:id="6939" w:name="_Toc515796313"/>
      <w:bookmarkStart w:id="6940" w:name="_Toc488244727"/>
      <w:bookmarkStart w:id="6941" w:name="_Toc488247847"/>
      <w:bookmarkStart w:id="6942" w:name="_Toc488248491"/>
      <w:bookmarkStart w:id="6943" w:name="_Toc488249107"/>
      <w:bookmarkStart w:id="6944" w:name="_Toc488249723"/>
      <w:bookmarkStart w:id="6945" w:name="_Toc488330211"/>
      <w:bookmarkStart w:id="6946" w:name="_Toc488387065"/>
      <w:bookmarkStart w:id="6947" w:name="_Toc488402524"/>
      <w:bookmarkStart w:id="6948" w:name="_Toc488403347"/>
      <w:bookmarkStart w:id="6949" w:name="_Toc488404176"/>
      <w:bookmarkStart w:id="6950" w:name="_Toc488405007"/>
      <w:bookmarkStart w:id="6951" w:name="_Toc488405830"/>
      <w:bookmarkStart w:id="6952" w:name="_Toc488406659"/>
      <w:bookmarkStart w:id="6953" w:name="_Toc491409890"/>
      <w:bookmarkStart w:id="6954" w:name="_Toc496018428"/>
      <w:bookmarkStart w:id="6955" w:name="_Toc515787647"/>
      <w:bookmarkStart w:id="6956" w:name="_Toc515789347"/>
      <w:bookmarkStart w:id="6957" w:name="_Toc515790196"/>
      <w:bookmarkStart w:id="6958" w:name="_Toc515791045"/>
      <w:bookmarkStart w:id="6959" w:name="_Toc515791900"/>
      <w:bookmarkStart w:id="6960" w:name="_Toc515792750"/>
      <w:bookmarkStart w:id="6961" w:name="_Toc515793652"/>
      <w:bookmarkStart w:id="6962" w:name="_Toc515794557"/>
      <w:bookmarkStart w:id="6963" w:name="_Toc515796314"/>
      <w:bookmarkStart w:id="6964" w:name="_Toc488244728"/>
      <w:bookmarkStart w:id="6965" w:name="_Toc488247848"/>
      <w:bookmarkStart w:id="6966" w:name="_Toc488248492"/>
      <w:bookmarkStart w:id="6967" w:name="_Toc488249108"/>
      <w:bookmarkStart w:id="6968" w:name="_Toc488249724"/>
      <w:bookmarkStart w:id="6969" w:name="_Toc488330212"/>
      <w:bookmarkStart w:id="6970" w:name="_Toc488387066"/>
      <w:bookmarkStart w:id="6971" w:name="_Toc488402525"/>
      <w:bookmarkStart w:id="6972" w:name="_Toc488403348"/>
      <w:bookmarkStart w:id="6973" w:name="_Toc488404177"/>
      <w:bookmarkStart w:id="6974" w:name="_Toc488405008"/>
      <w:bookmarkStart w:id="6975" w:name="_Toc488405831"/>
      <w:bookmarkStart w:id="6976" w:name="_Toc488406660"/>
      <w:bookmarkStart w:id="6977" w:name="_Toc491409891"/>
      <w:bookmarkStart w:id="6978" w:name="_Toc496018429"/>
      <w:bookmarkStart w:id="6979" w:name="_Toc515787648"/>
      <w:bookmarkStart w:id="6980" w:name="_Toc515789348"/>
      <w:bookmarkStart w:id="6981" w:name="_Toc515790197"/>
      <w:bookmarkStart w:id="6982" w:name="_Toc515791046"/>
      <w:bookmarkStart w:id="6983" w:name="_Toc515791901"/>
      <w:bookmarkStart w:id="6984" w:name="_Toc515792751"/>
      <w:bookmarkStart w:id="6985" w:name="_Toc515793653"/>
      <w:bookmarkStart w:id="6986" w:name="_Toc515794558"/>
      <w:bookmarkStart w:id="6987" w:name="_Toc515796315"/>
      <w:bookmarkStart w:id="6988" w:name="_Toc488244729"/>
      <w:bookmarkStart w:id="6989" w:name="_Toc488247849"/>
      <w:bookmarkStart w:id="6990" w:name="_Toc488248493"/>
      <w:bookmarkStart w:id="6991" w:name="_Toc488249109"/>
      <w:bookmarkStart w:id="6992" w:name="_Toc488249725"/>
      <w:bookmarkStart w:id="6993" w:name="_Toc488330213"/>
      <w:bookmarkStart w:id="6994" w:name="_Toc488387067"/>
      <w:bookmarkStart w:id="6995" w:name="_Toc488402526"/>
      <w:bookmarkStart w:id="6996" w:name="_Toc488403349"/>
      <w:bookmarkStart w:id="6997" w:name="_Toc488404178"/>
      <w:bookmarkStart w:id="6998" w:name="_Toc488405009"/>
      <w:bookmarkStart w:id="6999" w:name="_Toc488405832"/>
      <w:bookmarkStart w:id="7000" w:name="_Toc488406661"/>
      <w:bookmarkStart w:id="7001" w:name="_Toc491409892"/>
      <w:bookmarkStart w:id="7002" w:name="_Toc496018430"/>
      <w:bookmarkStart w:id="7003" w:name="_Toc515787649"/>
      <w:bookmarkStart w:id="7004" w:name="_Toc515789349"/>
      <w:bookmarkStart w:id="7005" w:name="_Toc515790198"/>
      <w:bookmarkStart w:id="7006" w:name="_Toc515791047"/>
      <w:bookmarkStart w:id="7007" w:name="_Toc515791902"/>
      <w:bookmarkStart w:id="7008" w:name="_Toc515792752"/>
      <w:bookmarkStart w:id="7009" w:name="_Toc515793654"/>
      <w:bookmarkStart w:id="7010" w:name="_Toc515794559"/>
      <w:bookmarkStart w:id="7011" w:name="_Toc515796316"/>
      <w:bookmarkStart w:id="7012" w:name="_Toc488244730"/>
      <w:bookmarkStart w:id="7013" w:name="_Toc488247850"/>
      <w:bookmarkStart w:id="7014" w:name="_Toc488248494"/>
      <w:bookmarkStart w:id="7015" w:name="_Toc488249110"/>
      <w:bookmarkStart w:id="7016" w:name="_Toc488249726"/>
      <w:bookmarkStart w:id="7017" w:name="_Toc488330214"/>
      <w:bookmarkStart w:id="7018" w:name="_Toc488387068"/>
      <w:bookmarkStart w:id="7019" w:name="_Toc488402527"/>
      <w:bookmarkStart w:id="7020" w:name="_Toc488403350"/>
      <w:bookmarkStart w:id="7021" w:name="_Toc488404179"/>
      <w:bookmarkStart w:id="7022" w:name="_Toc488405010"/>
      <w:bookmarkStart w:id="7023" w:name="_Toc488405833"/>
      <w:bookmarkStart w:id="7024" w:name="_Toc488406662"/>
      <w:bookmarkStart w:id="7025" w:name="_Toc491409893"/>
      <w:bookmarkStart w:id="7026" w:name="_Toc496018431"/>
      <w:bookmarkStart w:id="7027" w:name="_Toc515787650"/>
      <w:bookmarkStart w:id="7028" w:name="_Toc515789350"/>
      <w:bookmarkStart w:id="7029" w:name="_Toc515790199"/>
      <w:bookmarkStart w:id="7030" w:name="_Toc515791048"/>
      <w:bookmarkStart w:id="7031" w:name="_Toc515791903"/>
      <w:bookmarkStart w:id="7032" w:name="_Toc515792753"/>
      <w:bookmarkStart w:id="7033" w:name="_Toc515793655"/>
      <w:bookmarkStart w:id="7034" w:name="_Toc515794560"/>
      <w:bookmarkStart w:id="7035" w:name="_Toc515796317"/>
      <w:bookmarkStart w:id="7036" w:name="_Toc488244731"/>
      <w:bookmarkStart w:id="7037" w:name="_Toc488247851"/>
      <w:bookmarkStart w:id="7038" w:name="_Toc488248495"/>
      <w:bookmarkStart w:id="7039" w:name="_Toc488249111"/>
      <w:bookmarkStart w:id="7040" w:name="_Toc488249727"/>
      <w:bookmarkStart w:id="7041" w:name="_Toc488330215"/>
      <w:bookmarkStart w:id="7042" w:name="_Toc488387069"/>
      <w:bookmarkStart w:id="7043" w:name="_Toc488402528"/>
      <w:bookmarkStart w:id="7044" w:name="_Toc488403351"/>
      <w:bookmarkStart w:id="7045" w:name="_Toc488404180"/>
      <w:bookmarkStart w:id="7046" w:name="_Toc488405011"/>
      <w:bookmarkStart w:id="7047" w:name="_Toc488405834"/>
      <w:bookmarkStart w:id="7048" w:name="_Toc488406663"/>
      <w:bookmarkStart w:id="7049" w:name="_Toc491409894"/>
      <w:bookmarkStart w:id="7050" w:name="_Toc496018432"/>
      <w:bookmarkStart w:id="7051" w:name="_Toc515787651"/>
      <w:bookmarkStart w:id="7052" w:name="_Toc515789351"/>
      <w:bookmarkStart w:id="7053" w:name="_Toc515790200"/>
      <w:bookmarkStart w:id="7054" w:name="_Toc515791049"/>
      <w:bookmarkStart w:id="7055" w:name="_Toc515791904"/>
      <w:bookmarkStart w:id="7056" w:name="_Toc515792754"/>
      <w:bookmarkStart w:id="7057" w:name="_Toc515793656"/>
      <w:bookmarkStart w:id="7058" w:name="_Toc515794561"/>
      <w:bookmarkStart w:id="7059" w:name="_Toc515796318"/>
      <w:bookmarkStart w:id="7060" w:name="_Toc488244732"/>
      <w:bookmarkStart w:id="7061" w:name="_Toc488247852"/>
      <w:bookmarkStart w:id="7062" w:name="_Toc488248496"/>
      <w:bookmarkStart w:id="7063" w:name="_Toc488249112"/>
      <w:bookmarkStart w:id="7064" w:name="_Toc488249728"/>
      <w:bookmarkStart w:id="7065" w:name="_Toc488330216"/>
      <w:bookmarkStart w:id="7066" w:name="_Toc488387070"/>
      <w:bookmarkStart w:id="7067" w:name="_Toc488402529"/>
      <w:bookmarkStart w:id="7068" w:name="_Toc488403352"/>
      <w:bookmarkStart w:id="7069" w:name="_Toc488404181"/>
      <w:bookmarkStart w:id="7070" w:name="_Toc488405012"/>
      <w:bookmarkStart w:id="7071" w:name="_Toc488405835"/>
      <w:bookmarkStart w:id="7072" w:name="_Toc488406664"/>
      <w:bookmarkStart w:id="7073" w:name="_Toc491409895"/>
      <w:bookmarkStart w:id="7074" w:name="_Toc496018433"/>
      <w:bookmarkStart w:id="7075" w:name="_Toc515787652"/>
      <w:bookmarkStart w:id="7076" w:name="_Toc515789352"/>
      <w:bookmarkStart w:id="7077" w:name="_Toc515790201"/>
      <w:bookmarkStart w:id="7078" w:name="_Toc515791050"/>
      <w:bookmarkStart w:id="7079" w:name="_Toc515791905"/>
      <w:bookmarkStart w:id="7080" w:name="_Toc515792755"/>
      <w:bookmarkStart w:id="7081" w:name="_Toc515793657"/>
      <w:bookmarkStart w:id="7082" w:name="_Toc515794562"/>
      <w:bookmarkStart w:id="7083" w:name="_Toc515796319"/>
      <w:bookmarkStart w:id="7084" w:name="_Toc488244733"/>
      <w:bookmarkStart w:id="7085" w:name="_Toc488247853"/>
      <w:bookmarkStart w:id="7086" w:name="_Toc488248497"/>
      <w:bookmarkStart w:id="7087" w:name="_Toc488249113"/>
      <w:bookmarkStart w:id="7088" w:name="_Toc488249729"/>
      <w:bookmarkStart w:id="7089" w:name="_Toc488330217"/>
      <w:bookmarkStart w:id="7090" w:name="_Toc488387071"/>
      <w:bookmarkStart w:id="7091" w:name="_Toc488402530"/>
      <w:bookmarkStart w:id="7092" w:name="_Toc488403353"/>
      <w:bookmarkStart w:id="7093" w:name="_Toc488404182"/>
      <w:bookmarkStart w:id="7094" w:name="_Toc488405013"/>
      <w:bookmarkStart w:id="7095" w:name="_Toc488405836"/>
      <w:bookmarkStart w:id="7096" w:name="_Toc488406665"/>
      <w:bookmarkStart w:id="7097" w:name="_Toc491409896"/>
      <w:bookmarkStart w:id="7098" w:name="_Toc496018434"/>
      <w:bookmarkStart w:id="7099" w:name="_Toc515787653"/>
      <w:bookmarkStart w:id="7100" w:name="_Toc515789353"/>
      <w:bookmarkStart w:id="7101" w:name="_Toc515790202"/>
      <w:bookmarkStart w:id="7102" w:name="_Toc515791051"/>
      <w:bookmarkStart w:id="7103" w:name="_Toc515791906"/>
      <w:bookmarkStart w:id="7104" w:name="_Toc515792756"/>
      <w:bookmarkStart w:id="7105" w:name="_Toc515793658"/>
      <w:bookmarkStart w:id="7106" w:name="_Toc515794563"/>
      <w:bookmarkStart w:id="7107" w:name="_Toc515796320"/>
      <w:bookmarkStart w:id="7108" w:name="_Toc488244795"/>
      <w:bookmarkStart w:id="7109" w:name="_Toc488247915"/>
      <w:bookmarkStart w:id="7110" w:name="_Toc488248559"/>
      <w:bookmarkStart w:id="7111" w:name="_Toc488249175"/>
      <w:bookmarkStart w:id="7112" w:name="_Toc488249791"/>
      <w:bookmarkStart w:id="7113" w:name="_Toc488330279"/>
      <w:bookmarkStart w:id="7114" w:name="_Toc488387133"/>
      <w:bookmarkStart w:id="7115" w:name="_Toc488402592"/>
      <w:bookmarkStart w:id="7116" w:name="_Toc488403415"/>
      <w:bookmarkStart w:id="7117" w:name="_Toc488404244"/>
      <w:bookmarkStart w:id="7118" w:name="_Toc488405075"/>
      <w:bookmarkStart w:id="7119" w:name="_Toc488405898"/>
      <w:bookmarkStart w:id="7120" w:name="_Toc488406727"/>
      <w:bookmarkStart w:id="7121" w:name="_Toc491409958"/>
      <w:bookmarkStart w:id="7122" w:name="_Toc496018496"/>
      <w:bookmarkStart w:id="7123" w:name="_Toc515787715"/>
      <w:bookmarkStart w:id="7124" w:name="_Toc515789415"/>
      <w:bookmarkStart w:id="7125" w:name="_Toc515790264"/>
      <w:bookmarkStart w:id="7126" w:name="_Toc515791113"/>
      <w:bookmarkStart w:id="7127" w:name="_Toc515791968"/>
      <w:bookmarkStart w:id="7128" w:name="_Toc515792818"/>
      <w:bookmarkStart w:id="7129" w:name="_Toc515793720"/>
      <w:bookmarkStart w:id="7130" w:name="_Toc515794625"/>
      <w:bookmarkStart w:id="7131" w:name="_Toc515796382"/>
      <w:bookmarkStart w:id="7132" w:name="_Toc488244796"/>
      <w:bookmarkStart w:id="7133" w:name="_Toc488247916"/>
      <w:bookmarkStart w:id="7134" w:name="_Toc488248560"/>
      <w:bookmarkStart w:id="7135" w:name="_Toc488249176"/>
      <w:bookmarkStart w:id="7136" w:name="_Toc488249792"/>
      <w:bookmarkStart w:id="7137" w:name="_Toc488330280"/>
      <w:bookmarkStart w:id="7138" w:name="_Toc488387134"/>
      <w:bookmarkStart w:id="7139" w:name="_Toc488402593"/>
      <w:bookmarkStart w:id="7140" w:name="_Toc488403416"/>
      <w:bookmarkStart w:id="7141" w:name="_Toc488404245"/>
      <w:bookmarkStart w:id="7142" w:name="_Toc488405076"/>
      <w:bookmarkStart w:id="7143" w:name="_Toc488405899"/>
      <w:bookmarkStart w:id="7144" w:name="_Toc488406728"/>
      <w:bookmarkStart w:id="7145" w:name="_Toc491409959"/>
      <w:bookmarkStart w:id="7146" w:name="_Toc496018497"/>
      <w:bookmarkStart w:id="7147" w:name="_Toc515787716"/>
      <w:bookmarkStart w:id="7148" w:name="_Toc515789416"/>
      <w:bookmarkStart w:id="7149" w:name="_Toc515790265"/>
      <w:bookmarkStart w:id="7150" w:name="_Toc515791114"/>
      <w:bookmarkStart w:id="7151" w:name="_Toc515791969"/>
      <w:bookmarkStart w:id="7152" w:name="_Toc515792819"/>
      <w:bookmarkStart w:id="7153" w:name="_Toc515793721"/>
      <w:bookmarkStart w:id="7154" w:name="_Toc515794626"/>
      <w:bookmarkStart w:id="7155" w:name="_Toc515796383"/>
      <w:bookmarkStart w:id="7156" w:name="_Toc488244797"/>
      <w:bookmarkStart w:id="7157" w:name="_Toc488247917"/>
      <w:bookmarkStart w:id="7158" w:name="_Toc488248561"/>
      <w:bookmarkStart w:id="7159" w:name="_Toc488249177"/>
      <w:bookmarkStart w:id="7160" w:name="_Toc488249793"/>
      <w:bookmarkStart w:id="7161" w:name="_Toc488330281"/>
      <w:bookmarkStart w:id="7162" w:name="_Toc488387135"/>
      <w:bookmarkStart w:id="7163" w:name="_Toc488402594"/>
      <w:bookmarkStart w:id="7164" w:name="_Toc488403417"/>
      <w:bookmarkStart w:id="7165" w:name="_Toc488404246"/>
      <w:bookmarkStart w:id="7166" w:name="_Toc488405077"/>
      <w:bookmarkStart w:id="7167" w:name="_Toc488405900"/>
      <w:bookmarkStart w:id="7168" w:name="_Toc488406729"/>
      <w:bookmarkStart w:id="7169" w:name="_Toc491409960"/>
      <w:bookmarkStart w:id="7170" w:name="_Toc496018498"/>
      <w:bookmarkStart w:id="7171" w:name="_Toc515787717"/>
      <w:bookmarkStart w:id="7172" w:name="_Toc515789417"/>
      <w:bookmarkStart w:id="7173" w:name="_Toc515790266"/>
      <w:bookmarkStart w:id="7174" w:name="_Toc515791115"/>
      <w:bookmarkStart w:id="7175" w:name="_Toc515791970"/>
      <w:bookmarkStart w:id="7176" w:name="_Toc515792820"/>
      <w:bookmarkStart w:id="7177" w:name="_Toc515793722"/>
      <w:bookmarkStart w:id="7178" w:name="_Toc515794627"/>
      <w:bookmarkStart w:id="7179" w:name="_Toc515796384"/>
      <w:bookmarkStart w:id="7180" w:name="_Toc488244798"/>
      <w:bookmarkStart w:id="7181" w:name="_Toc488247918"/>
      <w:bookmarkStart w:id="7182" w:name="_Toc488248562"/>
      <w:bookmarkStart w:id="7183" w:name="_Toc488249178"/>
      <w:bookmarkStart w:id="7184" w:name="_Toc488249794"/>
      <w:bookmarkStart w:id="7185" w:name="_Toc488330282"/>
      <w:bookmarkStart w:id="7186" w:name="_Toc488387136"/>
      <w:bookmarkStart w:id="7187" w:name="_Toc488402595"/>
      <w:bookmarkStart w:id="7188" w:name="_Toc488403418"/>
      <w:bookmarkStart w:id="7189" w:name="_Toc488404247"/>
      <w:bookmarkStart w:id="7190" w:name="_Toc488405078"/>
      <w:bookmarkStart w:id="7191" w:name="_Toc488405901"/>
      <w:bookmarkStart w:id="7192" w:name="_Toc488406730"/>
      <w:bookmarkStart w:id="7193" w:name="_Toc491409961"/>
      <w:bookmarkStart w:id="7194" w:name="_Toc496018499"/>
      <w:bookmarkStart w:id="7195" w:name="_Toc515787718"/>
      <w:bookmarkStart w:id="7196" w:name="_Toc515789418"/>
      <w:bookmarkStart w:id="7197" w:name="_Toc515790267"/>
      <w:bookmarkStart w:id="7198" w:name="_Toc515791116"/>
      <w:bookmarkStart w:id="7199" w:name="_Toc515791971"/>
      <w:bookmarkStart w:id="7200" w:name="_Toc515792821"/>
      <w:bookmarkStart w:id="7201" w:name="_Toc515793723"/>
      <w:bookmarkStart w:id="7202" w:name="_Toc515794628"/>
      <w:bookmarkStart w:id="7203" w:name="_Toc515796385"/>
      <w:bookmarkStart w:id="7204" w:name="_Toc488244799"/>
      <w:bookmarkStart w:id="7205" w:name="_Toc488247919"/>
      <w:bookmarkStart w:id="7206" w:name="_Toc488248563"/>
      <w:bookmarkStart w:id="7207" w:name="_Toc488249179"/>
      <w:bookmarkStart w:id="7208" w:name="_Toc488249795"/>
      <w:bookmarkStart w:id="7209" w:name="_Toc488330283"/>
      <w:bookmarkStart w:id="7210" w:name="_Toc488387137"/>
      <w:bookmarkStart w:id="7211" w:name="_Toc488402596"/>
      <w:bookmarkStart w:id="7212" w:name="_Toc488403419"/>
      <w:bookmarkStart w:id="7213" w:name="_Toc488404248"/>
      <w:bookmarkStart w:id="7214" w:name="_Toc488405079"/>
      <w:bookmarkStart w:id="7215" w:name="_Toc488405902"/>
      <w:bookmarkStart w:id="7216" w:name="_Toc488406731"/>
      <w:bookmarkStart w:id="7217" w:name="_Toc491409962"/>
      <w:bookmarkStart w:id="7218" w:name="_Toc496018500"/>
      <w:bookmarkStart w:id="7219" w:name="_Toc515787719"/>
      <w:bookmarkStart w:id="7220" w:name="_Toc515789419"/>
      <w:bookmarkStart w:id="7221" w:name="_Toc515790268"/>
      <w:bookmarkStart w:id="7222" w:name="_Toc515791117"/>
      <w:bookmarkStart w:id="7223" w:name="_Toc515791972"/>
      <w:bookmarkStart w:id="7224" w:name="_Toc515792822"/>
      <w:bookmarkStart w:id="7225" w:name="_Toc515793724"/>
      <w:bookmarkStart w:id="7226" w:name="_Toc515794629"/>
      <w:bookmarkStart w:id="7227" w:name="_Toc515796386"/>
      <w:bookmarkStart w:id="7228" w:name="_Toc488244800"/>
      <w:bookmarkStart w:id="7229" w:name="_Toc488247920"/>
      <w:bookmarkStart w:id="7230" w:name="_Toc488248564"/>
      <w:bookmarkStart w:id="7231" w:name="_Toc488249180"/>
      <w:bookmarkStart w:id="7232" w:name="_Toc488249796"/>
      <w:bookmarkStart w:id="7233" w:name="_Toc488330284"/>
      <w:bookmarkStart w:id="7234" w:name="_Toc488387138"/>
      <w:bookmarkStart w:id="7235" w:name="_Toc488402597"/>
      <w:bookmarkStart w:id="7236" w:name="_Toc488403420"/>
      <w:bookmarkStart w:id="7237" w:name="_Toc488404249"/>
      <w:bookmarkStart w:id="7238" w:name="_Toc488405080"/>
      <w:bookmarkStart w:id="7239" w:name="_Toc488405903"/>
      <w:bookmarkStart w:id="7240" w:name="_Toc488406732"/>
      <w:bookmarkStart w:id="7241" w:name="_Toc491409963"/>
      <w:bookmarkStart w:id="7242" w:name="_Toc496018501"/>
      <w:bookmarkStart w:id="7243" w:name="_Toc515787720"/>
      <w:bookmarkStart w:id="7244" w:name="_Toc515789420"/>
      <w:bookmarkStart w:id="7245" w:name="_Toc515790269"/>
      <w:bookmarkStart w:id="7246" w:name="_Toc515791118"/>
      <w:bookmarkStart w:id="7247" w:name="_Toc515791973"/>
      <w:bookmarkStart w:id="7248" w:name="_Toc515792823"/>
      <w:bookmarkStart w:id="7249" w:name="_Toc515793725"/>
      <w:bookmarkStart w:id="7250" w:name="_Toc515794630"/>
      <w:bookmarkStart w:id="7251" w:name="_Toc515796387"/>
      <w:bookmarkStart w:id="7252" w:name="_Toc488244801"/>
      <w:bookmarkStart w:id="7253" w:name="_Toc488247921"/>
      <w:bookmarkStart w:id="7254" w:name="_Toc488248565"/>
      <w:bookmarkStart w:id="7255" w:name="_Toc488249181"/>
      <w:bookmarkStart w:id="7256" w:name="_Toc488249797"/>
      <w:bookmarkStart w:id="7257" w:name="_Toc488330285"/>
      <w:bookmarkStart w:id="7258" w:name="_Toc488387139"/>
      <w:bookmarkStart w:id="7259" w:name="_Toc488402598"/>
      <w:bookmarkStart w:id="7260" w:name="_Toc488403421"/>
      <w:bookmarkStart w:id="7261" w:name="_Toc488404250"/>
      <w:bookmarkStart w:id="7262" w:name="_Toc488405081"/>
      <w:bookmarkStart w:id="7263" w:name="_Toc488405904"/>
      <w:bookmarkStart w:id="7264" w:name="_Toc488406733"/>
      <w:bookmarkStart w:id="7265" w:name="_Toc491409964"/>
      <w:bookmarkStart w:id="7266" w:name="_Toc496018502"/>
      <w:bookmarkStart w:id="7267" w:name="_Toc515787721"/>
      <w:bookmarkStart w:id="7268" w:name="_Toc515789421"/>
      <w:bookmarkStart w:id="7269" w:name="_Toc515790270"/>
      <w:bookmarkStart w:id="7270" w:name="_Toc515791119"/>
      <w:bookmarkStart w:id="7271" w:name="_Toc515791974"/>
      <w:bookmarkStart w:id="7272" w:name="_Toc515792824"/>
      <w:bookmarkStart w:id="7273" w:name="_Toc515793726"/>
      <w:bookmarkStart w:id="7274" w:name="_Toc515794631"/>
      <w:bookmarkStart w:id="7275" w:name="_Toc515796388"/>
      <w:bookmarkStart w:id="7276" w:name="_Toc488244802"/>
      <w:bookmarkStart w:id="7277" w:name="_Toc488247922"/>
      <w:bookmarkStart w:id="7278" w:name="_Toc488248566"/>
      <w:bookmarkStart w:id="7279" w:name="_Toc488249182"/>
      <w:bookmarkStart w:id="7280" w:name="_Toc488249798"/>
      <w:bookmarkStart w:id="7281" w:name="_Toc488330286"/>
      <w:bookmarkStart w:id="7282" w:name="_Toc488387140"/>
      <w:bookmarkStart w:id="7283" w:name="_Toc488402599"/>
      <w:bookmarkStart w:id="7284" w:name="_Toc488403422"/>
      <w:bookmarkStart w:id="7285" w:name="_Toc488404251"/>
      <w:bookmarkStart w:id="7286" w:name="_Toc488405082"/>
      <w:bookmarkStart w:id="7287" w:name="_Toc488405905"/>
      <w:bookmarkStart w:id="7288" w:name="_Toc488406734"/>
      <w:bookmarkStart w:id="7289" w:name="_Toc491409965"/>
      <w:bookmarkStart w:id="7290" w:name="_Toc496018503"/>
      <w:bookmarkStart w:id="7291" w:name="_Toc515787722"/>
      <w:bookmarkStart w:id="7292" w:name="_Toc515789422"/>
      <w:bookmarkStart w:id="7293" w:name="_Toc515790271"/>
      <w:bookmarkStart w:id="7294" w:name="_Toc515791120"/>
      <w:bookmarkStart w:id="7295" w:name="_Toc515791975"/>
      <w:bookmarkStart w:id="7296" w:name="_Toc515792825"/>
      <w:bookmarkStart w:id="7297" w:name="_Toc515793727"/>
      <w:bookmarkStart w:id="7298" w:name="_Toc515794632"/>
      <w:bookmarkStart w:id="7299" w:name="_Toc515796389"/>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r w:rsidRPr="00BD1319">
        <w:rPr>
          <w:spacing w:val="-3"/>
        </w:rPr>
        <w:t xml:space="preserve">Igualmente, la EEA representa una herramienta técnica adicional para </w:t>
      </w:r>
      <w:r w:rsidR="00203C59" w:rsidRPr="00BD1319">
        <w:rPr>
          <w:spacing w:val="-3"/>
        </w:rPr>
        <w:t xml:space="preserve">la cuantificación biofísica y monetaria </w:t>
      </w:r>
      <w:r w:rsidR="00D12EA8" w:rsidRPr="00BD1319">
        <w:rPr>
          <w:spacing w:val="-3"/>
        </w:rPr>
        <w:t>que permite</w:t>
      </w:r>
      <w:r w:rsidRPr="00BD1319">
        <w:rPr>
          <w:spacing w:val="-3"/>
        </w:rPr>
        <w:t xml:space="preserve"> exigir la </w:t>
      </w:r>
      <w:r w:rsidR="00203C59" w:rsidRPr="00BD1319">
        <w:rPr>
          <w:spacing w:val="-3"/>
        </w:rPr>
        <w:t xml:space="preserve">compensación y </w:t>
      </w:r>
      <w:r w:rsidRPr="00BD1319">
        <w:rPr>
          <w:spacing w:val="-3"/>
        </w:rPr>
        <w:t xml:space="preserve">reparación de daños causados de acuerdo </w:t>
      </w:r>
      <w:r w:rsidR="00D12EA8" w:rsidRPr="00BD1319">
        <w:rPr>
          <w:spacing w:val="-3"/>
        </w:rPr>
        <w:t>con e</w:t>
      </w:r>
      <w:r w:rsidRPr="00BD1319">
        <w:rPr>
          <w:spacing w:val="-3"/>
        </w:rPr>
        <w:t xml:space="preserve">l artículo 80 de la Constitución </w:t>
      </w:r>
      <w:r w:rsidR="00C21ACA" w:rsidRPr="00BD1319">
        <w:rPr>
          <w:spacing w:val="-3"/>
        </w:rPr>
        <w:t>P</w:t>
      </w:r>
      <w:r w:rsidRPr="00BD1319">
        <w:rPr>
          <w:spacing w:val="-3"/>
        </w:rPr>
        <w:t>olítica de Colombia de 1991, sin perjuicio de lo dispuesto en el procedimiento sancionatorio ambiental establecido por la Ley 1333 de 2009, o la norma que la sustituya o modifique.</w:t>
      </w:r>
    </w:p>
    <w:p w14:paraId="620679C8" w14:textId="77777777" w:rsidR="0056088F" w:rsidRPr="00BD1319" w:rsidRDefault="0056088F" w:rsidP="00C86DA5"/>
    <w:p w14:paraId="2D7AD32F" w14:textId="2E277D9B" w:rsidR="0056088F" w:rsidRPr="00BD1319" w:rsidRDefault="0056088F" w:rsidP="00216955">
      <w:pPr>
        <w:pStyle w:val="Ttulo3"/>
      </w:pPr>
      <w:bookmarkStart w:id="7300" w:name="_Ref415493129"/>
      <w:bookmarkStart w:id="7301" w:name="_Ref42636652"/>
      <w:bookmarkStart w:id="7302" w:name="_Toc175326814"/>
      <w:r w:rsidRPr="00BD1319">
        <w:t>Etapas de la evaluación económica ambiental</w:t>
      </w:r>
      <w:bookmarkEnd w:id="7300"/>
      <w:r w:rsidRPr="00BD1319">
        <w:t xml:space="preserve"> en el proceso de elaboración del EIA</w:t>
      </w:r>
      <w:bookmarkEnd w:id="7301"/>
      <w:bookmarkEnd w:id="7302"/>
    </w:p>
    <w:p w14:paraId="5C0490A2" w14:textId="77777777" w:rsidR="0056088F" w:rsidRPr="00BD1319" w:rsidRDefault="0056088F">
      <w:pPr>
        <w:numPr>
          <w:ilvl w:val="12"/>
          <w:numId w:val="0"/>
        </w:numPr>
        <w:tabs>
          <w:tab w:val="left" w:pos="-2268"/>
        </w:tabs>
        <w:suppressAutoHyphens/>
        <w:rPr>
          <w:spacing w:val="-3"/>
        </w:rPr>
      </w:pPr>
    </w:p>
    <w:p w14:paraId="362D7988" w14:textId="18D0974E" w:rsidR="0056088F" w:rsidRPr="00BD1319" w:rsidRDefault="0056088F" w:rsidP="00C86DA5">
      <w:pPr>
        <w:tabs>
          <w:tab w:val="left" w:pos="-2268"/>
        </w:tabs>
        <w:suppressAutoHyphens/>
        <w:rPr>
          <w:spacing w:val="-3"/>
        </w:rPr>
      </w:pPr>
      <w:r w:rsidRPr="00BD1319">
        <w:rPr>
          <w:spacing w:val="-3"/>
        </w:rPr>
        <w:t xml:space="preserve">Una de las fuentes de información de las autoridades ambientales para el proceso de decisión respecto del otorgamiento o negación de la licencia ambiental de un proyecto, es la EEA. El proceso metodológico para desarrollar esta evaluación comprende las siguientes fases: i) identificación de los impactos ambientales calificados como </w:t>
      </w:r>
      <w:r w:rsidRPr="00BD1319">
        <w:rPr>
          <w:rFonts w:cs="Arial"/>
          <w:i/>
          <w:iCs/>
          <w:spacing w:val="-3"/>
        </w:rPr>
        <w:t>significativos</w:t>
      </w:r>
      <w:r w:rsidRPr="00BD1319">
        <w:rPr>
          <w:spacing w:val="-3"/>
        </w:rPr>
        <w:t xml:space="preserve"> de acuerdo </w:t>
      </w:r>
      <w:r w:rsidRPr="00BD1319">
        <w:rPr>
          <w:rFonts w:cs="Arial"/>
          <w:spacing w:val="-3"/>
        </w:rPr>
        <w:t>con</w:t>
      </w:r>
      <w:r w:rsidRPr="00BD1319">
        <w:rPr>
          <w:spacing w:val="-3"/>
        </w:rPr>
        <w:t xml:space="preserve"> los </w:t>
      </w:r>
      <w:r w:rsidRPr="00BD1319">
        <w:rPr>
          <w:rFonts w:cs="Arial"/>
          <w:spacing w:val="-3"/>
        </w:rPr>
        <w:t>resultados de la evaluación</w:t>
      </w:r>
      <w:r w:rsidRPr="00BD1319">
        <w:rPr>
          <w:spacing w:val="-3"/>
        </w:rPr>
        <w:t xml:space="preserve"> ambiental</w:t>
      </w:r>
      <w:r w:rsidRPr="00BD1319">
        <w:rPr>
          <w:rFonts w:cs="Arial"/>
          <w:spacing w:val="-3"/>
        </w:rPr>
        <w:t xml:space="preserve"> del EIA,</w:t>
      </w:r>
      <w:r w:rsidRPr="00BD1319">
        <w:rPr>
          <w:spacing w:val="-3"/>
        </w:rPr>
        <w:t xml:space="preserve"> </w:t>
      </w:r>
      <w:proofErr w:type="spellStart"/>
      <w:r w:rsidRPr="00BD1319">
        <w:rPr>
          <w:spacing w:val="-3"/>
        </w:rPr>
        <w:t>ii</w:t>
      </w:r>
      <w:proofErr w:type="spellEnd"/>
      <w:r w:rsidRPr="00BD1319">
        <w:rPr>
          <w:spacing w:val="-3"/>
        </w:rPr>
        <w:t xml:space="preserve">) </w:t>
      </w:r>
      <w:r w:rsidRPr="00BD1319">
        <w:rPr>
          <w:rFonts w:cs="Arial"/>
          <w:spacing w:val="-3"/>
        </w:rPr>
        <w:t xml:space="preserve">clasificación de los </w:t>
      </w:r>
      <w:r w:rsidRPr="00BD1319">
        <w:rPr>
          <w:rFonts w:cs="Arial"/>
          <w:spacing w:val="-3"/>
        </w:rPr>
        <w:lastRenderedPageBreak/>
        <w:t xml:space="preserve">impactos ambientales </w:t>
      </w:r>
      <w:r w:rsidRPr="00BD1319">
        <w:rPr>
          <w:rFonts w:cs="Arial"/>
        </w:rPr>
        <w:t>en</w:t>
      </w:r>
      <w:r w:rsidRPr="00BD1319">
        <w:t xml:space="preserve"> impactos</w:t>
      </w:r>
      <w:r w:rsidRPr="00BD1319">
        <w:rPr>
          <w:spacing w:val="-3"/>
        </w:rPr>
        <w:t xml:space="preserve"> </w:t>
      </w:r>
      <w:proofErr w:type="spellStart"/>
      <w:r w:rsidRPr="00BD1319">
        <w:rPr>
          <w:spacing w:val="-3"/>
        </w:rPr>
        <w:t>internalizables</w:t>
      </w:r>
      <w:proofErr w:type="spellEnd"/>
      <w:r w:rsidRPr="00BD1319">
        <w:rPr>
          <w:spacing w:val="-3"/>
        </w:rPr>
        <w:t xml:space="preserve"> y no </w:t>
      </w:r>
      <w:proofErr w:type="spellStart"/>
      <w:r w:rsidRPr="00BD1319">
        <w:rPr>
          <w:spacing w:val="-3"/>
        </w:rPr>
        <w:t>internalizables</w:t>
      </w:r>
      <w:proofErr w:type="spellEnd"/>
      <w:r w:rsidRPr="00BD1319">
        <w:rPr>
          <w:rFonts w:cs="Arial"/>
          <w:spacing w:val="-3"/>
        </w:rPr>
        <w:t>,</w:t>
      </w:r>
      <w:r w:rsidRPr="00BD1319">
        <w:rPr>
          <w:spacing w:val="-3"/>
        </w:rPr>
        <w:t xml:space="preserve"> </w:t>
      </w:r>
      <w:proofErr w:type="spellStart"/>
      <w:r w:rsidRPr="00BD1319">
        <w:rPr>
          <w:spacing w:val="-3"/>
        </w:rPr>
        <w:t>iii</w:t>
      </w:r>
      <w:proofErr w:type="spellEnd"/>
      <w:r w:rsidRPr="00BD1319">
        <w:rPr>
          <w:spacing w:val="-3"/>
        </w:rPr>
        <w:t xml:space="preserve">) cuantificación biofísica y; </w:t>
      </w:r>
      <w:proofErr w:type="spellStart"/>
      <w:r w:rsidRPr="00BD1319">
        <w:rPr>
          <w:spacing w:val="-3"/>
        </w:rPr>
        <w:t>iv</w:t>
      </w:r>
      <w:proofErr w:type="spellEnd"/>
      <w:r w:rsidRPr="00BD1319">
        <w:rPr>
          <w:spacing w:val="-3"/>
        </w:rPr>
        <w:t xml:space="preserve">) análisis económico de impactos (análisis de internalización para los </w:t>
      </w:r>
      <w:proofErr w:type="spellStart"/>
      <w:r w:rsidRPr="00BD1319">
        <w:rPr>
          <w:rFonts w:cs="Arial"/>
          <w:spacing w:val="-3"/>
        </w:rPr>
        <w:t>internaliza</w:t>
      </w:r>
      <w:r w:rsidRPr="00BD1319">
        <w:rPr>
          <w:rFonts w:cs="Arial"/>
        </w:rPr>
        <w:t>bles</w:t>
      </w:r>
      <w:proofErr w:type="spellEnd"/>
      <w:r w:rsidRPr="00BD1319">
        <w:rPr>
          <w:spacing w:val="-3"/>
        </w:rPr>
        <w:t xml:space="preserve"> y análisis costo beneficio para los no </w:t>
      </w:r>
      <w:proofErr w:type="spellStart"/>
      <w:r w:rsidRPr="00BD1319">
        <w:rPr>
          <w:rFonts w:cs="Arial"/>
          <w:spacing w:val="-3"/>
        </w:rPr>
        <w:t>internaliza</w:t>
      </w:r>
      <w:r w:rsidRPr="00BD1319">
        <w:rPr>
          <w:rFonts w:cs="Arial"/>
        </w:rPr>
        <w:t>bles</w:t>
      </w:r>
      <w:proofErr w:type="spellEnd"/>
      <w:r w:rsidRPr="00BD1319">
        <w:rPr>
          <w:spacing w:val="-3"/>
        </w:rPr>
        <w:t xml:space="preserve">) (ver </w:t>
      </w:r>
      <w:r w:rsidRPr="00BD1319">
        <w:rPr>
          <w:spacing w:val="-3"/>
        </w:rPr>
        <w:fldChar w:fldCharType="begin"/>
      </w:r>
      <w:r w:rsidRPr="00BD1319">
        <w:rPr>
          <w:spacing w:val="-3"/>
        </w:rPr>
        <w:instrText xml:space="preserve"> REF _Ref488134092 \h  \* MERGEFORMAT </w:instrText>
      </w:r>
      <w:r w:rsidRPr="00BD1319">
        <w:rPr>
          <w:spacing w:val="-3"/>
        </w:rPr>
      </w:r>
      <w:r w:rsidRPr="00BD1319">
        <w:rPr>
          <w:spacing w:val="-3"/>
        </w:rPr>
        <w:fldChar w:fldCharType="separate"/>
      </w:r>
      <w:r w:rsidR="00296654" w:rsidRPr="00BD1319">
        <w:rPr>
          <w:spacing w:val="-3"/>
        </w:rPr>
        <w:t xml:space="preserve">Figura </w:t>
      </w:r>
      <w:r w:rsidR="00296654" w:rsidRPr="00BD1319">
        <w:rPr>
          <w:rFonts w:cs="Arial"/>
          <w:spacing w:val="-3"/>
        </w:rPr>
        <w:t>17</w:t>
      </w:r>
      <w:r w:rsidRPr="00BD1319">
        <w:rPr>
          <w:spacing w:val="-3"/>
        </w:rPr>
        <w:fldChar w:fldCharType="end"/>
      </w:r>
      <w:r w:rsidRPr="00BD1319">
        <w:rPr>
          <w:spacing w:val="-3"/>
        </w:rPr>
        <w:t>).</w:t>
      </w:r>
    </w:p>
    <w:p w14:paraId="04E49421" w14:textId="482C1BFB" w:rsidR="0056088F" w:rsidRPr="00BD1319" w:rsidRDefault="0056088F" w:rsidP="00C86DA5">
      <w:pPr>
        <w:tabs>
          <w:tab w:val="left" w:pos="-2268"/>
        </w:tabs>
        <w:suppressAutoHyphens/>
        <w:rPr>
          <w:spacing w:val="-3"/>
        </w:rPr>
      </w:pPr>
    </w:p>
    <w:p w14:paraId="11DF5AEF" w14:textId="77777777" w:rsidR="003E079E" w:rsidRPr="00BD1319" w:rsidRDefault="003E079E" w:rsidP="003E079E">
      <w:pPr>
        <w:tabs>
          <w:tab w:val="left" w:pos="-2268"/>
        </w:tabs>
        <w:suppressAutoHyphens/>
        <w:rPr>
          <w:spacing w:val="-3"/>
        </w:rPr>
      </w:pPr>
      <w:r w:rsidRPr="00BD1319">
        <w:rPr>
          <w:spacing w:val="-3"/>
        </w:rPr>
        <w:t xml:space="preserve">La EEA no es un componente aislado en el EIA, se articula con </w:t>
      </w:r>
      <w:r w:rsidRPr="00BD1319">
        <w:rPr>
          <w:rFonts w:cs="Arial"/>
        </w:rPr>
        <w:t>los demás</w:t>
      </w:r>
      <w:r w:rsidRPr="00BD1319">
        <w:rPr>
          <w:spacing w:val="-3"/>
        </w:rPr>
        <w:t xml:space="preserve"> apartados de este estudio ambiental</w:t>
      </w:r>
      <w:r w:rsidRPr="00BD1319">
        <w:rPr>
          <w:rFonts w:cs="Arial"/>
        </w:rPr>
        <w:t>, especialmente con la evaluación ambiental (en</w:t>
      </w:r>
      <w:r w:rsidRPr="00BD1319">
        <w:t xml:space="preserve"> la </w:t>
      </w:r>
      <w:r w:rsidRPr="00BD1319">
        <w:rPr>
          <w:rFonts w:cs="Arial"/>
        </w:rPr>
        <w:t xml:space="preserve">que se identifican y califican los </w:t>
      </w:r>
      <w:r w:rsidRPr="00BD1319">
        <w:t>impactos</w:t>
      </w:r>
      <w:r w:rsidRPr="00BD1319">
        <w:rPr>
          <w:rFonts w:cs="Arial"/>
        </w:rPr>
        <w:t>),</w:t>
      </w:r>
      <w:r w:rsidRPr="00BD1319">
        <w:t xml:space="preserve"> la </w:t>
      </w:r>
      <w:r w:rsidRPr="00BD1319">
        <w:rPr>
          <w:rFonts w:cs="Arial"/>
        </w:rPr>
        <w:t>caracterización ambiental, la definición de la demanda, uso, aprovechamiento y/o afectación</w:t>
      </w:r>
      <w:r w:rsidRPr="00BD1319">
        <w:t xml:space="preserve"> de </w:t>
      </w:r>
      <w:r w:rsidRPr="00BD1319">
        <w:rPr>
          <w:rFonts w:cs="Arial"/>
        </w:rPr>
        <w:t xml:space="preserve">recursos naturales, </w:t>
      </w:r>
      <w:r w:rsidRPr="00BD1319">
        <w:rPr>
          <w:rFonts w:cs="Arial"/>
          <w:spacing w:val="-3"/>
        </w:rPr>
        <w:t>la evaluación</w:t>
      </w:r>
      <w:r w:rsidRPr="00BD1319">
        <w:rPr>
          <w:spacing w:val="-3"/>
        </w:rPr>
        <w:t xml:space="preserve"> de los servicios ecosistémicos</w:t>
      </w:r>
      <w:r w:rsidRPr="00BD1319">
        <w:rPr>
          <w:rFonts w:cs="Arial"/>
        </w:rPr>
        <w:t>, los programas de manejo ambiental, el plan de seguimiento y monitoreo, el plan de inversión de no menos del 1% y el plan de compensaciones del medio biótico</w:t>
      </w:r>
      <w:r w:rsidRPr="00BD1319">
        <w:t>.</w:t>
      </w:r>
    </w:p>
    <w:p w14:paraId="79F046F7" w14:textId="77777777" w:rsidR="003E079E" w:rsidRPr="00BD1319" w:rsidRDefault="003E079E" w:rsidP="00C86DA5">
      <w:pPr>
        <w:tabs>
          <w:tab w:val="left" w:pos="-2268"/>
        </w:tabs>
        <w:suppressAutoHyphens/>
        <w:rPr>
          <w:spacing w:val="-3"/>
        </w:rPr>
      </w:pPr>
    </w:p>
    <w:p w14:paraId="1F4BAF46" w14:textId="1BFB2687" w:rsidR="00B40D21" w:rsidRPr="00BD1319" w:rsidRDefault="00B40D21" w:rsidP="00B40D21">
      <w:pPr>
        <w:tabs>
          <w:tab w:val="left" w:pos="-2268"/>
        </w:tabs>
        <w:suppressAutoHyphens/>
        <w:rPr>
          <w:spacing w:val="-3"/>
        </w:rPr>
      </w:pPr>
      <w:r w:rsidRPr="00BD1319">
        <w:rPr>
          <w:rFonts w:cs="Arial"/>
          <w:spacing w:val="-3"/>
        </w:rPr>
        <w:t>Los</w:t>
      </w:r>
      <w:r w:rsidRPr="00BD1319">
        <w:rPr>
          <w:spacing w:val="-3"/>
        </w:rPr>
        <w:t xml:space="preserve"> requerimientos de información, procedimientos, consideraciones y referentes teóricos y metodológicos que se deben aplicar para desarrollar la EEA, </w:t>
      </w:r>
      <w:r w:rsidRPr="00BD1319">
        <w:rPr>
          <w:rFonts w:cs="Arial"/>
          <w:spacing w:val="-3"/>
        </w:rPr>
        <w:t>se encuentran</w:t>
      </w:r>
      <w:r w:rsidRPr="00BD1319">
        <w:rPr>
          <w:spacing w:val="-3"/>
        </w:rPr>
        <w:t xml:space="preserve"> descritos en detalle </w:t>
      </w:r>
      <w:r w:rsidRPr="00BD1319">
        <w:rPr>
          <w:rFonts w:cs="Arial"/>
        </w:rPr>
        <w:t>dentro del</w:t>
      </w:r>
      <w:r w:rsidRPr="00BD1319">
        <w:rPr>
          <w:spacing w:val="-3"/>
        </w:rPr>
        <w:t xml:space="preserve"> documento</w:t>
      </w:r>
      <w:r w:rsidRPr="00BD1319">
        <w:rPr>
          <w:rFonts w:cs="Arial"/>
          <w:spacing w:val="-3"/>
        </w:rPr>
        <w:t xml:space="preserve"> anexo a la Resolución 1669 de 2017</w:t>
      </w:r>
      <w:r w:rsidRPr="00BD1319">
        <w:rPr>
          <w:rFonts w:cs="Arial"/>
        </w:rPr>
        <w:t>, o aquella que la sustituya</w:t>
      </w:r>
      <w:r w:rsidRPr="00BD1319">
        <w:rPr>
          <w:rFonts w:cs="Arial"/>
          <w:i/>
          <w:iCs/>
          <w:spacing w:val="-3"/>
        </w:rPr>
        <w:t xml:space="preserve"> o </w:t>
      </w:r>
      <w:r w:rsidRPr="00BD1319">
        <w:rPr>
          <w:rFonts w:cs="Arial"/>
          <w:iCs/>
          <w:spacing w:val="-3"/>
        </w:rPr>
        <w:t>modifique</w:t>
      </w:r>
      <w:r w:rsidRPr="00BD1319">
        <w:rPr>
          <w:rFonts w:cs="Arial"/>
          <w:i/>
          <w:iCs/>
          <w:spacing w:val="-3"/>
        </w:rPr>
        <w:t xml:space="preserve">, </w:t>
      </w:r>
      <w:r w:rsidRPr="00BD1319">
        <w:rPr>
          <w:rFonts w:cs="Arial"/>
          <w:iCs/>
          <w:spacing w:val="-3"/>
        </w:rPr>
        <w:t>llamado</w:t>
      </w:r>
      <w:r w:rsidRPr="00BD1319">
        <w:rPr>
          <w:i/>
          <w:spacing w:val="-3"/>
        </w:rPr>
        <w:t xml:space="preserve"> Criterios técnicos para el uso de herramientas económicas en los proyectos, obras o actividades objeto de licenciamiento ambiental</w:t>
      </w:r>
      <w:r w:rsidRPr="00BD1319">
        <w:rPr>
          <w:rFonts w:cs="Arial"/>
        </w:rPr>
        <w:t>.</w:t>
      </w:r>
      <w:r w:rsidRPr="00BD1319">
        <w:rPr>
          <w:spacing w:val="-3"/>
        </w:rPr>
        <w:t xml:space="preserve"> Este documento, al ofrecer un panorama amplio de la aplicación de la economía ambiental en el marco del licenciamiento, facilita la comprensión y desarrollo de esta evaluación.</w:t>
      </w:r>
    </w:p>
    <w:p w14:paraId="13362590" w14:textId="77777777" w:rsidR="00B40D21" w:rsidRPr="00BD1319" w:rsidRDefault="00B40D21" w:rsidP="00C86DA5">
      <w:pPr>
        <w:tabs>
          <w:tab w:val="left" w:pos="-2268"/>
        </w:tabs>
        <w:suppressAutoHyphens/>
        <w:rPr>
          <w:spacing w:val="-3"/>
        </w:rPr>
      </w:pPr>
    </w:p>
    <w:p w14:paraId="692515BA" w14:textId="401B2DB6" w:rsidR="0056088F" w:rsidRPr="00BD1319" w:rsidRDefault="0056088F" w:rsidP="0056088F">
      <w:pPr>
        <w:numPr>
          <w:ilvl w:val="12"/>
          <w:numId w:val="0"/>
        </w:numPr>
        <w:tabs>
          <w:tab w:val="left" w:pos="-2268"/>
        </w:tabs>
        <w:suppressAutoHyphens/>
        <w:jc w:val="center"/>
        <w:rPr>
          <w:spacing w:val="-3"/>
        </w:rPr>
      </w:pPr>
      <w:bookmarkStart w:id="7303" w:name="_Ref488134092"/>
      <w:r w:rsidRPr="00BD1319">
        <w:rPr>
          <w:b/>
          <w:spacing w:val="-3"/>
        </w:rPr>
        <w:t xml:space="preserve">Figura </w:t>
      </w:r>
      <w:r w:rsidR="00752A78" w:rsidRPr="00BD1319">
        <w:rPr>
          <w:b/>
          <w:spacing w:val="-3"/>
        </w:rPr>
        <w:fldChar w:fldCharType="begin"/>
      </w:r>
      <w:r w:rsidR="00752A78" w:rsidRPr="00BD1319">
        <w:rPr>
          <w:b/>
          <w:spacing w:val="-3"/>
        </w:rPr>
        <w:instrText xml:space="preserve"> SEQ Figura \* ARABIC </w:instrText>
      </w:r>
      <w:r w:rsidR="00752A78" w:rsidRPr="00BD1319">
        <w:rPr>
          <w:b/>
          <w:spacing w:val="-3"/>
        </w:rPr>
        <w:fldChar w:fldCharType="separate"/>
      </w:r>
      <w:r w:rsidR="00296654" w:rsidRPr="00BD1319">
        <w:rPr>
          <w:b/>
          <w:noProof/>
          <w:spacing w:val="-3"/>
        </w:rPr>
        <w:t>17</w:t>
      </w:r>
      <w:r w:rsidR="00752A78" w:rsidRPr="00BD1319">
        <w:rPr>
          <w:b/>
          <w:spacing w:val="-3"/>
        </w:rPr>
        <w:fldChar w:fldCharType="end"/>
      </w:r>
      <w:bookmarkEnd w:id="7303"/>
      <w:r w:rsidRPr="00BD1319">
        <w:rPr>
          <w:b/>
          <w:spacing w:val="-3"/>
        </w:rPr>
        <w:t xml:space="preserve">. </w:t>
      </w:r>
      <w:r w:rsidRPr="00BD1319">
        <w:rPr>
          <w:spacing w:val="-3"/>
        </w:rPr>
        <w:t>Estructura general del proceso de evaluación económica ambiental en los EIA</w:t>
      </w:r>
    </w:p>
    <w:p w14:paraId="4EBF7F80" w14:textId="3FD6634A" w:rsidR="0056088F" w:rsidRPr="00BD1319" w:rsidRDefault="0056088F" w:rsidP="0056088F">
      <w:pPr>
        <w:numPr>
          <w:ilvl w:val="12"/>
          <w:numId w:val="0"/>
        </w:numPr>
        <w:tabs>
          <w:tab w:val="left" w:pos="-2268"/>
        </w:tabs>
        <w:suppressAutoHyphens/>
        <w:jc w:val="center"/>
        <w:rPr>
          <w:rFonts w:cs="Arial"/>
          <w:b/>
          <w:spacing w:val="-3"/>
        </w:rPr>
      </w:pPr>
      <w:r w:rsidRPr="00BD1319">
        <w:rPr>
          <w:rFonts w:cs="Arial"/>
          <w:b/>
          <w:noProof/>
          <w:lang w:eastAsia="es-CO"/>
        </w:rPr>
        <mc:AlternateContent>
          <mc:Choice Requires="wpg">
            <w:drawing>
              <wp:inline distT="0" distB="0" distL="0" distR="0" wp14:anchorId="2FA61C06" wp14:editId="128DCD14">
                <wp:extent cx="4463415" cy="3217653"/>
                <wp:effectExtent l="0" t="0" r="13335" b="20955"/>
                <wp:docPr id="2634" name="Grupo 2634"/>
                <wp:cNvGraphicFramePr/>
                <a:graphic xmlns:a="http://schemas.openxmlformats.org/drawingml/2006/main">
                  <a:graphicData uri="http://schemas.microsoft.com/office/word/2010/wordprocessingGroup">
                    <wpg:wgp>
                      <wpg:cNvGrpSpPr/>
                      <wpg:grpSpPr>
                        <a:xfrm>
                          <a:off x="0" y="0"/>
                          <a:ext cx="4463415" cy="3217653"/>
                          <a:chOff x="0" y="10201"/>
                          <a:chExt cx="4499595" cy="4016471"/>
                        </a:xfrm>
                      </wpg:grpSpPr>
                      <wpg:grpSp>
                        <wpg:cNvPr id="2635" name="49 Grupo"/>
                        <wpg:cNvGrpSpPr/>
                        <wpg:grpSpPr>
                          <a:xfrm>
                            <a:off x="0" y="10201"/>
                            <a:ext cx="4472393" cy="4016471"/>
                            <a:chOff x="0" y="10203"/>
                            <a:chExt cx="4472393" cy="4016688"/>
                          </a:xfrm>
                        </wpg:grpSpPr>
                        <wps:wsp>
                          <wps:cNvPr id="2636" name="2095 Rectángulo"/>
                          <wps:cNvSpPr/>
                          <wps:spPr>
                            <a:xfrm>
                              <a:off x="1330641" y="138230"/>
                              <a:ext cx="1800225" cy="593468"/>
                            </a:xfrm>
                            <a:prstGeom prst="rect">
                              <a:avLst/>
                            </a:prstGeom>
                            <a:ln w="19050">
                              <a:solidFill>
                                <a:schemeClr val="bg1">
                                  <a:lumMod val="65000"/>
                                </a:schemeClr>
                              </a:solidFill>
                            </a:ln>
                          </wps:spPr>
                          <wps:style>
                            <a:lnRef idx="2">
                              <a:schemeClr val="accent2"/>
                            </a:lnRef>
                            <a:fillRef idx="1">
                              <a:schemeClr val="lt1"/>
                            </a:fillRef>
                            <a:effectRef idx="0">
                              <a:schemeClr val="accent2"/>
                            </a:effectRef>
                            <a:fontRef idx="minor">
                              <a:schemeClr val="dk1"/>
                            </a:fontRef>
                          </wps:style>
                          <wps:txbx>
                            <w:txbxContent>
                              <w:p w14:paraId="57463F63" w14:textId="77777777" w:rsidR="00D55F13" w:rsidRPr="00394D50" w:rsidRDefault="00D55F13" w:rsidP="0056088F">
                                <w:pPr>
                                  <w:pStyle w:val="NormalWeb"/>
                                  <w:overflowPunct w:val="0"/>
                                  <w:spacing w:before="0" w:after="0"/>
                                  <w:jc w:val="center"/>
                                  <w:rPr>
                                    <w:sz w:val="22"/>
                                  </w:rPr>
                                </w:pPr>
                                <w:r w:rsidRPr="00394D50">
                                  <w:rPr>
                                    <w:rFonts w:cstheme="minorBidi"/>
                                    <w:color w:val="000000" w:themeColor="dark1"/>
                                    <w:kern w:val="24"/>
                                    <w:sz w:val="20"/>
                                    <w:szCs w:val="22"/>
                                  </w:rPr>
                                  <w:t>Identificación de impactos ambientales significativos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637" name="2096 Elipse"/>
                          <wps:cNvSpPr>
                            <a:spLocks noChangeAspect="1"/>
                          </wps:cNvSpPr>
                          <wps:spPr>
                            <a:xfrm>
                              <a:off x="1056173" y="10203"/>
                              <a:ext cx="342900" cy="342900"/>
                            </a:xfrm>
                            <a:prstGeom prst="ellipse">
                              <a:avLst/>
                            </a:prstGeom>
                            <a:ln w="19050">
                              <a:solidFill>
                                <a:schemeClr val="accent1">
                                  <a:lumMod val="75000"/>
                                </a:schemeClr>
                              </a:solidFill>
                            </a:ln>
                          </wps:spPr>
                          <wps:style>
                            <a:lnRef idx="2">
                              <a:schemeClr val="dk1"/>
                            </a:lnRef>
                            <a:fillRef idx="1">
                              <a:schemeClr val="lt1"/>
                            </a:fillRef>
                            <a:effectRef idx="0">
                              <a:schemeClr val="dk1"/>
                            </a:effectRef>
                            <a:fontRef idx="minor">
                              <a:schemeClr val="dk1"/>
                            </a:fontRef>
                          </wps:style>
                          <wps:txbx>
                            <w:txbxContent>
                              <w:p w14:paraId="77FDAB0B" w14:textId="77777777" w:rsidR="00D55F13" w:rsidRPr="00394D50" w:rsidRDefault="00D55F13" w:rsidP="0056088F">
                                <w:pPr>
                                  <w:pStyle w:val="NormalWeb"/>
                                  <w:overflowPunct w:val="0"/>
                                  <w:spacing w:before="0" w:after="0"/>
                                  <w:jc w:val="center"/>
                                </w:pPr>
                                <w:r w:rsidRPr="00394D50">
                                  <w:rPr>
                                    <w:rFonts w:cstheme="minorBidi"/>
                                    <w:color w:val="000000" w:themeColor="dark1"/>
                                    <w:kern w:val="24"/>
                                    <w:sz w:val="22"/>
                                    <w:szCs w:val="22"/>
                                  </w:rPr>
                                  <w:t>1</w:t>
                                </w:r>
                              </w:p>
                            </w:txbxContent>
                          </wps:txbx>
                          <wps:bodyPr rot="0" spcFirstLastPara="0" vert="horz" wrap="square" lIns="0" tIns="0" rIns="0" bIns="0" numCol="1" spcCol="0" rtlCol="0" fromWordArt="0" anchor="ctr" anchorCtr="0" forceAA="0" compatLnSpc="1">
                            <a:prstTxWarp prst="textNoShape">
                              <a:avLst/>
                            </a:prstTxWarp>
                            <a:noAutofit/>
                          </wps:bodyPr>
                        </wps:wsp>
                        <wpg:grpSp>
                          <wpg:cNvPr id="2638" name="45 Grupo"/>
                          <wpg:cNvGrpSpPr/>
                          <wpg:grpSpPr>
                            <a:xfrm>
                              <a:off x="0" y="816456"/>
                              <a:ext cx="2000252" cy="781473"/>
                              <a:chOff x="0" y="816456"/>
                              <a:chExt cx="2000252" cy="781473"/>
                            </a:xfrm>
                          </wpg:grpSpPr>
                          <wps:wsp>
                            <wps:cNvPr id="2639" name="2100 Rectángulo"/>
                            <wps:cNvSpPr/>
                            <wps:spPr>
                              <a:xfrm>
                                <a:off x="200026" y="1131206"/>
                                <a:ext cx="1800226" cy="466723"/>
                              </a:xfrm>
                              <a:prstGeom prst="rect">
                                <a:avLst/>
                              </a:prstGeom>
                              <a:ln w="19050">
                                <a:solidFill>
                                  <a:schemeClr val="bg1">
                                    <a:lumMod val="65000"/>
                                  </a:schemeClr>
                                </a:solidFill>
                              </a:ln>
                            </wps:spPr>
                            <wps:style>
                              <a:lnRef idx="2">
                                <a:schemeClr val="accent2"/>
                              </a:lnRef>
                              <a:fillRef idx="1">
                                <a:schemeClr val="lt1"/>
                              </a:fillRef>
                              <a:effectRef idx="0">
                                <a:schemeClr val="accent2"/>
                              </a:effectRef>
                              <a:fontRef idx="minor">
                                <a:schemeClr val="dk1"/>
                              </a:fontRef>
                            </wps:style>
                            <wps:txbx>
                              <w:txbxContent>
                                <w:p w14:paraId="2BF4040A" w14:textId="77777777" w:rsidR="00D55F13" w:rsidRPr="00394D50" w:rsidRDefault="00D55F13" w:rsidP="0056088F">
                                  <w:pPr>
                                    <w:pStyle w:val="NormalWeb"/>
                                    <w:overflowPunct w:val="0"/>
                                    <w:spacing w:before="0" w:after="0"/>
                                    <w:jc w:val="center"/>
                                    <w:rPr>
                                      <w:sz w:val="22"/>
                                    </w:rPr>
                                  </w:pPr>
                                  <w:r w:rsidRPr="00394D50">
                                    <w:rPr>
                                      <w:rFonts w:cstheme="minorBidi"/>
                                      <w:color w:val="000000" w:themeColor="dark1"/>
                                      <w:kern w:val="24"/>
                                      <w:sz w:val="20"/>
                                      <w:szCs w:val="22"/>
                                    </w:rPr>
                                    <w:t>Identificación de impactos internalizables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640" name="2101 Elipse"/>
                            <wps:cNvSpPr>
                              <a:spLocks noChangeAspect="1"/>
                            </wps:cNvSpPr>
                            <wps:spPr>
                              <a:xfrm>
                                <a:off x="0" y="816456"/>
                                <a:ext cx="342900" cy="342900"/>
                              </a:xfrm>
                              <a:prstGeom prst="ellipse">
                                <a:avLst/>
                              </a:prstGeom>
                              <a:ln w="19050">
                                <a:solidFill>
                                  <a:schemeClr val="accent1">
                                    <a:lumMod val="75000"/>
                                  </a:schemeClr>
                                </a:solidFill>
                              </a:ln>
                            </wps:spPr>
                            <wps:style>
                              <a:lnRef idx="2">
                                <a:schemeClr val="dk1"/>
                              </a:lnRef>
                              <a:fillRef idx="1">
                                <a:schemeClr val="lt1"/>
                              </a:fillRef>
                              <a:effectRef idx="0">
                                <a:schemeClr val="dk1"/>
                              </a:effectRef>
                              <a:fontRef idx="minor">
                                <a:schemeClr val="dk1"/>
                              </a:fontRef>
                            </wps:style>
                            <wps:txbx>
                              <w:txbxContent>
                                <w:p w14:paraId="35C31061" w14:textId="77777777" w:rsidR="00D55F13" w:rsidRPr="00394D50" w:rsidRDefault="00D55F13" w:rsidP="0056088F">
                                  <w:pPr>
                                    <w:pStyle w:val="NormalWeb"/>
                                    <w:overflowPunct w:val="0"/>
                                    <w:spacing w:before="0" w:after="0"/>
                                    <w:jc w:val="center"/>
                                  </w:pPr>
                                  <w:r w:rsidRPr="00394D50">
                                    <w:rPr>
                                      <w:rFonts w:cstheme="minorBidi"/>
                                      <w:color w:val="000000" w:themeColor="dark1"/>
                                      <w:kern w:val="24"/>
                                      <w:sz w:val="22"/>
                                      <w:szCs w:val="22"/>
                                    </w:rPr>
                                    <w:t>2</w:t>
                                  </w:r>
                                </w:p>
                              </w:txbxContent>
                            </wps:txbx>
                            <wps:bodyPr rot="0" spcFirstLastPara="0" vert="horz" wrap="square" lIns="0" tIns="0" rIns="0" bIns="0" numCol="1" spcCol="0" rtlCol="0" fromWordArt="0" anchor="ctr" anchorCtr="0" forceAA="0" compatLnSpc="1">
                              <a:prstTxWarp prst="textNoShape">
                                <a:avLst/>
                              </a:prstTxWarp>
                              <a:noAutofit/>
                            </wps:bodyPr>
                          </wps:wsp>
                        </wpg:grpSp>
                        <wpg:grpSp>
                          <wpg:cNvPr id="2641" name="46 Grupo"/>
                          <wpg:cNvGrpSpPr/>
                          <wpg:grpSpPr>
                            <a:xfrm>
                              <a:off x="2491599" y="816456"/>
                              <a:ext cx="1980794" cy="781473"/>
                              <a:chOff x="2491599" y="816456"/>
                              <a:chExt cx="1980794" cy="781473"/>
                            </a:xfrm>
                          </wpg:grpSpPr>
                          <wps:wsp>
                            <wps:cNvPr id="2642" name="2103 Rectángulo"/>
                            <wps:cNvSpPr/>
                            <wps:spPr>
                              <a:xfrm>
                                <a:off x="2491599" y="1131206"/>
                                <a:ext cx="1799693" cy="466723"/>
                              </a:xfrm>
                              <a:prstGeom prst="rect">
                                <a:avLst/>
                              </a:prstGeom>
                              <a:ln w="19050">
                                <a:solidFill>
                                  <a:schemeClr val="bg1">
                                    <a:lumMod val="65000"/>
                                  </a:schemeClr>
                                </a:solidFill>
                              </a:ln>
                            </wps:spPr>
                            <wps:style>
                              <a:lnRef idx="2">
                                <a:schemeClr val="accent2"/>
                              </a:lnRef>
                              <a:fillRef idx="1">
                                <a:schemeClr val="lt1"/>
                              </a:fillRef>
                              <a:effectRef idx="0">
                                <a:schemeClr val="accent2"/>
                              </a:effectRef>
                              <a:fontRef idx="minor">
                                <a:schemeClr val="dk1"/>
                              </a:fontRef>
                            </wps:style>
                            <wps:txbx>
                              <w:txbxContent>
                                <w:p w14:paraId="1C4A57C9" w14:textId="4357326F" w:rsidR="00D55F13" w:rsidRPr="00394D50" w:rsidRDefault="00D55F13" w:rsidP="0056088F">
                                  <w:pPr>
                                    <w:pStyle w:val="NormalWeb"/>
                                    <w:overflowPunct w:val="0"/>
                                    <w:spacing w:before="0" w:after="0"/>
                                    <w:jc w:val="center"/>
                                    <w:rPr>
                                      <w:sz w:val="20"/>
                                      <w:szCs w:val="20"/>
                                    </w:rPr>
                                  </w:pPr>
                                  <w:r w:rsidRPr="00394D50">
                                    <w:rPr>
                                      <w:rFonts w:cstheme="minorBidi"/>
                                      <w:color w:val="000000" w:themeColor="dark1"/>
                                      <w:kern w:val="24"/>
                                      <w:sz w:val="20"/>
                                      <w:szCs w:val="20"/>
                                    </w:rPr>
                                    <w:t>Identificación de impactos no internalizables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643" name="2104 Elipse"/>
                            <wps:cNvSpPr>
                              <a:spLocks noChangeAspect="1"/>
                            </wps:cNvSpPr>
                            <wps:spPr>
                              <a:xfrm>
                                <a:off x="4129493" y="816456"/>
                                <a:ext cx="342900" cy="342900"/>
                              </a:xfrm>
                              <a:prstGeom prst="ellipse">
                                <a:avLst/>
                              </a:prstGeom>
                              <a:ln w="19050">
                                <a:solidFill>
                                  <a:schemeClr val="accent1">
                                    <a:lumMod val="75000"/>
                                  </a:schemeClr>
                                </a:solidFill>
                              </a:ln>
                            </wps:spPr>
                            <wps:style>
                              <a:lnRef idx="2">
                                <a:schemeClr val="dk1"/>
                              </a:lnRef>
                              <a:fillRef idx="1">
                                <a:schemeClr val="lt1"/>
                              </a:fillRef>
                              <a:effectRef idx="0">
                                <a:schemeClr val="dk1"/>
                              </a:effectRef>
                              <a:fontRef idx="minor">
                                <a:schemeClr val="dk1"/>
                              </a:fontRef>
                            </wps:style>
                            <wps:txbx>
                              <w:txbxContent>
                                <w:p w14:paraId="57AFA495" w14:textId="77777777" w:rsidR="00D55F13" w:rsidRPr="00394D50" w:rsidRDefault="00D55F13" w:rsidP="0056088F">
                                  <w:pPr>
                                    <w:pStyle w:val="NormalWeb"/>
                                    <w:overflowPunct w:val="0"/>
                                    <w:spacing w:before="0" w:after="0"/>
                                    <w:jc w:val="center"/>
                                  </w:pPr>
                                  <w:r w:rsidRPr="00394D50">
                                    <w:rPr>
                                      <w:rFonts w:cstheme="minorBidi"/>
                                      <w:color w:val="000000" w:themeColor="dark1"/>
                                      <w:kern w:val="24"/>
                                      <w:sz w:val="22"/>
                                      <w:szCs w:val="22"/>
                                    </w:rPr>
                                    <w:t>2</w:t>
                                  </w:r>
                                </w:p>
                              </w:txbxContent>
                            </wps:txbx>
                            <wps:bodyPr rot="0" spcFirstLastPara="0" vert="horz" wrap="square" lIns="0" tIns="0" rIns="0" bIns="0" numCol="1" spcCol="0" rtlCol="0" fromWordArt="0" anchor="ctr" anchorCtr="0" forceAA="0" compatLnSpc="1">
                              <a:prstTxWarp prst="textNoShape">
                                <a:avLst/>
                              </a:prstTxWarp>
                              <a:noAutofit/>
                            </wps:bodyPr>
                          </wps:wsp>
                        </wpg:grpSp>
                        <wps:wsp>
                          <wps:cNvPr id="2644" name="2106 Rectángulo"/>
                          <wps:cNvSpPr/>
                          <wps:spPr>
                            <a:xfrm>
                              <a:off x="199331" y="2045129"/>
                              <a:ext cx="1800225" cy="466725"/>
                            </a:xfrm>
                            <a:prstGeom prst="rect">
                              <a:avLst/>
                            </a:prstGeom>
                            <a:ln w="19050">
                              <a:solidFill>
                                <a:schemeClr val="bg1">
                                  <a:lumMod val="65000"/>
                                </a:schemeClr>
                              </a:solidFill>
                            </a:ln>
                          </wps:spPr>
                          <wps:style>
                            <a:lnRef idx="2">
                              <a:schemeClr val="accent2"/>
                            </a:lnRef>
                            <a:fillRef idx="1">
                              <a:schemeClr val="lt1"/>
                            </a:fillRef>
                            <a:effectRef idx="0">
                              <a:schemeClr val="accent2"/>
                            </a:effectRef>
                            <a:fontRef idx="minor">
                              <a:schemeClr val="dk1"/>
                            </a:fontRef>
                          </wps:style>
                          <wps:txbx>
                            <w:txbxContent>
                              <w:p w14:paraId="11A00D63" w14:textId="77777777" w:rsidR="00D55F13" w:rsidRPr="00394D50" w:rsidRDefault="00D55F13" w:rsidP="0056088F">
                                <w:pPr>
                                  <w:pStyle w:val="NormalWeb"/>
                                  <w:overflowPunct w:val="0"/>
                                  <w:spacing w:before="0" w:after="0"/>
                                  <w:jc w:val="center"/>
                                  <w:rPr>
                                    <w:sz w:val="20"/>
                                    <w:szCs w:val="20"/>
                                  </w:rPr>
                                </w:pPr>
                                <w:r w:rsidRPr="00394D50">
                                  <w:rPr>
                                    <w:rFonts w:cstheme="minorBidi"/>
                                    <w:color w:val="000000" w:themeColor="dark1"/>
                                    <w:kern w:val="24"/>
                                    <w:sz w:val="20"/>
                                    <w:szCs w:val="20"/>
                                  </w:rPr>
                                  <w:t>Cuantificación biofísica de los impactos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645" name="2107 Elipse"/>
                          <wps:cNvSpPr>
                            <a:spLocks noChangeAspect="1"/>
                          </wps:cNvSpPr>
                          <wps:spPr>
                            <a:xfrm>
                              <a:off x="11195" y="1798439"/>
                              <a:ext cx="342900" cy="342900"/>
                            </a:xfrm>
                            <a:prstGeom prst="ellipse">
                              <a:avLst/>
                            </a:prstGeom>
                            <a:ln w="19050">
                              <a:solidFill>
                                <a:schemeClr val="accent1">
                                  <a:lumMod val="75000"/>
                                </a:schemeClr>
                              </a:solidFill>
                            </a:ln>
                          </wps:spPr>
                          <wps:style>
                            <a:lnRef idx="2">
                              <a:schemeClr val="dk1"/>
                            </a:lnRef>
                            <a:fillRef idx="1">
                              <a:schemeClr val="lt1"/>
                            </a:fillRef>
                            <a:effectRef idx="0">
                              <a:schemeClr val="dk1"/>
                            </a:effectRef>
                            <a:fontRef idx="minor">
                              <a:schemeClr val="dk1"/>
                            </a:fontRef>
                          </wps:style>
                          <wps:txbx>
                            <w:txbxContent>
                              <w:p w14:paraId="40CB574A" w14:textId="77777777" w:rsidR="00D55F13" w:rsidRPr="00394D50" w:rsidRDefault="00D55F13" w:rsidP="0056088F">
                                <w:pPr>
                                  <w:pStyle w:val="NormalWeb"/>
                                  <w:overflowPunct w:val="0"/>
                                  <w:spacing w:before="0" w:after="0"/>
                                  <w:jc w:val="center"/>
                                </w:pPr>
                                <w:r w:rsidRPr="00394D50">
                                  <w:rPr>
                                    <w:rFonts w:cstheme="minorBidi"/>
                                    <w:color w:val="000000" w:themeColor="dark1"/>
                                    <w:kern w:val="24"/>
                                    <w:sz w:val="22"/>
                                    <w:szCs w:val="22"/>
                                  </w:rPr>
                                  <w:t>3</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646" name="18 Conector angular"/>
                          <wps:cNvCnPr>
                            <a:stCxn id="2636" idx="2"/>
                            <a:endCxn id="2639" idx="0"/>
                          </wps:cNvCnPr>
                          <wps:spPr>
                            <a:xfrm rot="5400000">
                              <a:off x="1465693" y="366146"/>
                              <a:ext cx="399508" cy="1130614"/>
                            </a:xfrm>
                            <a:prstGeom prst="bentConnector3">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2647" name="19 Conector angular"/>
                          <wps:cNvCnPr>
                            <a:stCxn id="2636" idx="2"/>
                            <a:endCxn id="2642" idx="0"/>
                          </wps:cNvCnPr>
                          <wps:spPr>
                            <a:xfrm rot="16200000" flipH="1">
                              <a:off x="2611345" y="351106"/>
                              <a:ext cx="399508" cy="1160692"/>
                            </a:xfrm>
                            <a:prstGeom prst="bentConnector3">
                              <a:avLst>
                                <a:gd name="adj1" fmla="val 50000"/>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2648" name="22 Conector angular"/>
                          <wps:cNvCnPr>
                            <a:stCxn id="2642" idx="2"/>
                            <a:endCxn id="2659" idx="0"/>
                          </wps:cNvCnPr>
                          <wps:spPr>
                            <a:xfrm rot="16200000" flipH="1">
                              <a:off x="3159611" y="1829762"/>
                              <a:ext cx="467523" cy="3854"/>
                            </a:xfrm>
                            <a:prstGeom prst="bentConnector3">
                              <a:avLst>
                                <a:gd name="adj1" fmla="val 50000"/>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2649" name="25 Conector angular"/>
                          <wps:cNvCnPr>
                            <a:stCxn id="2639" idx="2"/>
                            <a:endCxn id="2644" idx="0"/>
                          </wps:cNvCnPr>
                          <wps:spPr>
                            <a:xfrm rot="5400000">
                              <a:off x="876193" y="1821180"/>
                              <a:ext cx="447200" cy="697"/>
                            </a:xfrm>
                            <a:prstGeom prst="bentConnector3">
                              <a:avLst>
                                <a:gd name="adj1" fmla="val 50000"/>
                              </a:avLst>
                            </a:prstGeom>
                            <a:ln>
                              <a:tailEnd type="arrow"/>
                            </a:ln>
                          </wps:spPr>
                          <wps:style>
                            <a:lnRef idx="1">
                              <a:schemeClr val="accent1"/>
                            </a:lnRef>
                            <a:fillRef idx="0">
                              <a:schemeClr val="accent1"/>
                            </a:fillRef>
                            <a:effectRef idx="0">
                              <a:schemeClr val="accent1"/>
                            </a:effectRef>
                            <a:fontRef idx="minor">
                              <a:schemeClr val="tx1"/>
                            </a:fontRef>
                          </wps:style>
                          <wps:bodyPr/>
                        </wps:wsp>
                        <wpg:grpSp>
                          <wpg:cNvPr id="2650" name="48 Grupo"/>
                          <wpg:cNvGrpSpPr/>
                          <wpg:grpSpPr>
                            <a:xfrm>
                              <a:off x="0" y="2804105"/>
                              <a:ext cx="2000250" cy="1201248"/>
                              <a:chOff x="0" y="2804105"/>
                              <a:chExt cx="2000250" cy="1201248"/>
                            </a:xfrm>
                          </wpg:grpSpPr>
                          <wps:wsp>
                            <wps:cNvPr id="2651" name="2100 Rectángulo"/>
                            <wps:cNvSpPr/>
                            <wps:spPr>
                              <a:xfrm>
                                <a:off x="200025" y="3013145"/>
                                <a:ext cx="1800225" cy="992208"/>
                              </a:xfrm>
                              <a:prstGeom prst="rect">
                                <a:avLst/>
                              </a:prstGeom>
                              <a:ln w="19050">
                                <a:solidFill>
                                  <a:schemeClr val="bg1">
                                    <a:lumMod val="65000"/>
                                  </a:schemeClr>
                                </a:solidFill>
                              </a:ln>
                            </wps:spPr>
                            <wps:style>
                              <a:lnRef idx="2">
                                <a:schemeClr val="accent2"/>
                              </a:lnRef>
                              <a:fillRef idx="1">
                                <a:schemeClr val="lt1"/>
                              </a:fillRef>
                              <a:effectRef idx="0">
                                <a:schemeClr val="accent2"/>
                              </a:effectRef>
                              <a:fontRef idx="minor">
                                <a:schemeClr val="dk1"/>
                              </a:fontRef>
                            </wps:style>
                            <wps:txbx>
                              <w:txbxContent>
                                <w:p w14:paraId="65CDA75D" w14:textId="77777777" w:rsidR="00D55F13" w:rsidRPr="00394D50" w:rsidRDefault="00D55F13" w:rsidP="0056088F">
                                  <w:pPr>
                                    <w:pStyle w:val="NormalWeb"/>
                                    <w:overflowPunct w:val="0"/>
                                    <w:spacing w:before="0" w:after="0"/>
                                    <w:jc w:val="center"/>
                                    <w:rPr>
                                      <w:rFonts w:cstheme="minorBidi"/>
                                      <w:color w:val="000000" w:themeColor="dark1"/>
                                      <w:kern w:val="24"/>
                                      <w:sz w:val="20"/>
                                      <w:szCs w:val="20"/>
                                    </w:rPr>
                                  </w:pPr>
                                  <w:r w:rsidRPr="00394D50">
                                    <w:rPr>
                                      <w:rFonts w:cstheme="minorBidi"/>
                                      <w:color w:val="000000" w:themeColor="dark1"/>
                                      <w:kern w:val="24"/>
                                      <w:sz w:val="20"/>
                                      <w:szCs w:val="20"/>
                                    </w:rPr>
                                    <w:t>Análisis económico de impactos:</w:t>
                                  </w:r>
                                </w:p>
                                <w:p w14:paraId="4C3C0FFB" w14:textId="0336A1D2" w:rsidR="00D55F13" w:rsidRPr="00394D50" w:rsidRDefault="00D55F13" w:rsidP="0056088F">
                                  <w:pPr>
                                    <w:pStyle w:val="NormalWeb"/>
                                    <w:overflowPunct w:val="0"/>
                                    <w:spacing w:before="0" w:after="0"/>
                                    <w:jc w:val="center"/>
                                    <w:rPr>
                                      <w:sz w:val="20"/>
                                      <w:szCs w:val="20"/>
                                    </w:rPr>
                                  </w:pPr>
                                  <w:r w:rsidRPr="00394D50">
                                    <w:rPr>
                                      <w:rFonts w:cstheme="minorBidi"/>
                                      <w:color w:val="000000" w:themeColor="dark1"/>
                                      <w:kern w:val="24"/>
                                      <w:sz w:val="20"/>
                                      <w:szCs w:val="20"/>
                                    </w:rPr>
                                    <w:t>Análisis de internalización (costos preventivos y correctivos)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652" name="2101 Elipse"/>
                            <wps:cNvSpPr>
                              <a:spLocks noChangeAspect="1"/>
                            </wps:cNvSpPr>
                            <wps:spPr>
                              <a:xfrm>
                                <a:off x="0" y="2804105"/>
                                <a:ext cx="342900" cy="342900"/>
                              </a:xfrm>
                              <a:prstGeom prst="ellipse">
                                <a:avLst/>
                              </a:prstGeom>
                              <a:ln w="19050">
                                <a:solidFill>
                                  <a:schemeClr val="accent1">
                                    <a:lumMod val="75000"/>
                                  </a:schemeClr>
                                </a:solidFill>
                              </a:ln>
                            </wps:spPr>
                            <wps:style>
                              <a:lnRef idx="2">
                                <a:schemeClr val="dk1"/>
                              </a:lnRef>
                              <a:fillRef idx="1">
                                <a:schemeClr val="lt1"/>
                              </a:fillRef>
                              <a:effectRef idx="0">
                                <a:schemeClr val="dk1"/>
                              </a:effectRef>
                              <a:fontRef idx="minor">
                                <a:schemeClr val="dk1"/>
                              </a:fontRef>
                            </wps:style>
                            <wps:txbx>
                              <w:txbxContent>
                                <w:p w14:paraId="6083949B" w14:textId="77777777" w:rsidR="00D55F13" w:rsidRPr="00394D50" w:rsidRDefault="00D55F13" w:rsidP="0056088F">
                                  <w:pPr>
                                    <w:pStyle w:val="NormalWeb"/>
                                    <w:overflowPunct w:val="0"/>
                                    <w:spacing w:before="0" w:after="0"/>
                                    <w:jc w:val="center"/>
                                  </w:pPr>
                                  <w:r w:rsidRPr="00394D50">
                                    <w:rPr>
                                      <w:rFonts w:cstheme="minorBidi"/>
                                      <w:color w:val="000000" w:themeColor="dark1"/>
                                      <w:kern w:val="24"/>
                                    </w:rPr>
                                    <w:t>4</w:t>
                                  </w:r>
                                </w:p>
                              </w:txbxContent>
                            </wps:txbx>
                            <wps:bodyPr rot="0" spcFirstLastPara="0" vert="horz" wrap="square" lIns="0" tIns="0" rIns="0" bIns="0" numCol="1" spcCol="0" rtlCol="0" fromWordArt="0" anchor="ctr" anchorCtr="0" forceAA="0" compatLnSpc="1">
                              <a:prstTxWarp prst="textNoShape">
                                <a:avLst/>
                              </a:prstTxWarp>
                              <a:noAutofit/>
                            </wps:bodyPr>
                          </wps:wsp>
                        </wpg:grpSp>
                        <wpg:grpSp>
                          <wpg:cNvPr id="2653" name="47 Grupo"/>
                          <wpg:cNvGrpSpPr/>
                          <wpg:grpSpPr>
                            <a:xfrm>
                              <a:off x="2492334" y="2785049"/>
                              <a:ext cx="1971103" cy="1241842"/>
                              <a:chOff x="2492334" y="2785049"/>
                              <a:chExt cx="1971103" cy="1241842"/>
                            </a:xfrm>
                          </wpg:grpSpPr>
                          <wps:wsp>
                            <wps:cNvPr id="2654" name="2103 Rectángulo"/>
                            <wps:cNvSpPr/>
                            <wps:spPr>
                              <a:xfrm>
                                <a:off x="2492334" y="3013054"/>
                                <a:ext cx="1800225" cy="1013837"/>
                              </a:xfrm>
                              <a:prstGeom prst="rect">
                                <a:avLst/>
                              </a:prstGeom>
                              <a:ln w="19050">
                                <a:solidFill>
                                  <a:schemeClr val="bg1">
                                    <a:lumMod val="65000"/>
                                  </a:schemeClr>
                                </a:solidFill>
                              </a:ln>
                            </wps:spPr>
                            <wps:style>
                              <a:lnRef idx="2">
                                <a:schemeClr val="accent2"/>
                              </a:lnRef>
                              <a:fillRef idx="1">
                                <a:schemeClr val="lt1"/>
                              </a:fillRef>
                              <a:effectRef idx="0">
                                <a:schemeClr val="accent2"/>
                              </a:effectRef>
                              <a:fontRef idx="minor">
                                <a:schemeClr val="dk1"/>
                              </a:fontRef>
                            </wps:style>
                            <wps:txbx>
                              <w:txbxContent>
                                <w:p w14:paraId="2A03B81E" w14:textId="77777777" w:rsidR="00D55F13" w:rsidRPr="00394D50" w:rsidRDefault="00D55F13" w:rsidP="0056088F">
                                  <w:pPr>
                                    <w:pStyle w:val="NormalWeb"/>
                                    <w:overflowPunct w:val="0"/>
                                    <w:spacing w:before="0" w:after="0"/>
                                    <w:jc w:val="center"/>
                                    <w:rPr>
                                      <w:rFonts w:cstheme="minorBidi"/>
                                      <w:color w:val="000000" w:themeColor="dark1"/>
                                      <w:kern w:val="24"/>
                                      <w:sz w:val="20"/>
                                      <w:szCs w:val="20"/>
                                    </w:rPr>
                                  </w:pPr>
                                  <w:r w:rsidRPr="00394D50">
                                    <w:rPr>
                                      <w:rFonts w:cstheme="minorBidi"/>
                                      <w:color w:val="000000" w:themeColor="dark1"/>
                                      <w:kern w:val="24"/>
                                      <w:sz w:val="20"/>
                                      <w:szCs w:val="20"/>
                                    </w:rPr>
                                    <w:t>Análisis económico de impactos:</w:t>
                                  </w:r>
                                </w:p>
                                <w:p w14:paraId="02A9499E" w14:textId="61EAB26E" w:rsidR="00D55F13" w:rsidRPr="00394D50" w:rsidRDefault="00D55F13" w:rsidP="0056088F">
                                  <w:pPr>
                                    <w:pStyle w:val="NormalWeb"/>
                                    <w:overflowPunct w:val="0"/>
                                    <w:spacing w:before="0" w:after="0"/>
                                    <w:jc w:val="center"/>
                                    <w:rPr>
                                      <w:rFonts w:cstheme="minorBidi"/>
                                      <w:color w:val="000000" w:themeColor="dark1"/>
                                      <w:kern w:val="24"/>
                                      <w:sz w:val="20"/>
                                      <w:szCs w:val="20"/>
                                    </w:rPr>
                                  </w:pPr>
                                  <w:r w:rsidRPr="00394D50">
                                    <w:rPr>
                                      <w:rFonts w:cstheme="minorBidi"/>
                                      <w:color w:val="000000" w:themeColor="dark1"/>
                                      <w:kern w:val="24"/>
                                      <w:sz w:val="20"/>
                                      <w:szCs w:val="20"/>
                                    </w:rPr>
                                    <w:t>Análisis Costo Beneficio de impactos positivos y negativos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655" name="2104 Elipse"/>
                            <wps:cNvSpPr>
                              <a:spLocks noChangeAspect="1"/>
                            </wps:cNvSpPr>
                            <wps:spPr>
                              <a:xfrm>
                                <a:off x="4120537" y="2785049"/>
                                <a:ext cx="342900" cy="342900"/>
                              </a:xfrm>
                              <a:prstGeom prst="ellipse">
                                <a:avLst/>
                              </a:prstGeom>
                              <a:ln w="19050">
                                <a:solidFill>
                                  <a:schemeClr val="accent1">
                                    <a:lumMod val="75000"/>
                                  </a:schemeClr>
                                </a:solidFill>
                              </a:ln>
                            </wps:spPr>
                            <wps:style>
                              <a:lnRef idx="2">
                                <a:schemeClr val="dk1"/>
                              </a:lnRef>
                              <a:fillRef idx="1">
                                <a:schemeClr val="lt1"/>
                              </a:fillRef>
                              <a:effectRef idx="0">
                                <a:schemeClr val="dk1"/>
                              </a:effectRef>
                              <a:fontRef idx="minor">
                                <a:schemeClr val="dk1"/>
                              </a:fontRef>
                            </wps:style>
                            <wps:txbx>
                              <w:txbxContent>
                                <w:p w14:paraId="67E4837E" w14:textId="77777777" w:rsidR="00D55F13" w:rsidRPr="00394D50" w:rsidRDefault="00D55F13" w:rsidP="0056088F">
                                  <w:pPr>
                                    <w:pStyle w:val="NormalWeb"/>
                                    <w:overflowPunct w:val="0"/>
                                    <w:spacing w:before="0" w:after="0"/>
                                    <w:jc w:val="center"/>
                                  </w:pPr>
                                  <w:r w:rsidRPr="00394D50">
                                    <w:rPr>
                                      <w:rFonts w:cstheme="minorBidi"/>
                                      <w:color w:val="000000" w:themeColor="dark1"/>
                                      <w:kern w:val="24"/>
                                    </w:rPr>
                                    <w:t>4</w:t>
                                  </w:r>
                                </w:p>
                              </w:txbxContent>
                            </wps:txbx>
                            <wps:bodyPr rot="0" spcFirstLastPara="0" vert="horz" wrap="square" lIns="0" tIns="0" rIns="0" bIns="0" numCol="1" spcCol="0" rtlCol="0" fromWordArt="0" anchor="ctr" anchorCtr="0" forceAA="0" compatLnSpc="1">
                              <a:prstTxWarp prst="textNoShape">
                                <a:avLst/>
                              </a:prstTxWarp>
                              <a:noAutofit/>
                            </wps:bodyPr>
                          </wps:wsp>
                        </wpg:grpSp>
                        <wps:wsp>
                          <wps:cNvPr id="2656" name="34 Conector angular"/>
                          <wps:cNvCnPr>
                            <a:stCxn id="2659" idx="2"/>
                            <a:endCxn id="2654" idx="0"/>
                          </wps:cNvCnPr>
                          <wps:spPr>
                            <a:xfrm rot="5400000">
                              <a:off x="3153130" y="2770883"/>
                              <a:ext cx="481487" cy="2853"/>
                            </a:xfrm>
                            <a:prstGeom prst="bentConnector3">
                              <a:avLst>
                                <a:gd name="adj1" fmla="val 50000"/>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2657" name="37 Conector angular"/>
                          <wps:cNvCnPr>
                            <a:stCxn id="2644" idx="2"/>
                            <a:endCxn id="2651" idx="0"/>
                          </wps:cNvCnPr>
                          <wps:spPr>
                            <a:xfrm rot="16200000" flipH="1">
                              <a:off x="849144" y="2762152"/>
                              <a:ext cx="501291" cy="695"/>
                            </a:xfrm>
                            <a:prstGeom prst="bentConnector3">
                              <a:avLst>
                                <a:gd name="adj1" fmla="val 50000"/>
                              </a:avLst>
                            </a:prstGeom>
                            <a:ln>
                              <a:tailEnd type="arrow"/>
                            </a:ln>
                          </wps:spPr>
                          <wps:style>
                            <a:lnRef idx="1">
                              <a:schemeClr val="accent1"/>
                            </a:lnRef>
                            <a:fillRef idx="0">
                              <a:schemeClr val="accent1"/>
                            </a:fillRef>
                            <a:effectRef idx="0">
                              <a:schemeClr val="accent1"/>
                            </a:effectRef>
                            <a:fontRef idx="minor">
                              <a:schemeClr val="tx1"/>
                            </a:fontRef>
                          </wps:style>
                          <wps:bodyPr/>
                        </wps:wsp>
                      </wpg:grpSp>
                      <wpg:grpSp>
                        <wpg:cNvPr id="2658" name="Grupo 2658"/>
                        <wpg:cNvGrpSpPr/>
                        <wpg:grpSpPr>
                          <a:xfrm>
                            <a:off x="2495753" y="1831009"/>
                            <a:ext cx="2003842" cy="700419"/>
                            <a:chOff x="18367" y="-19056"/>
                            <a:chExt cx="2003842" cy="700419"/>
                          </a:xfrm>
                        </wpg:grpSpPr>
                        <wps:wsp>
                          <wps:cNvPr id="2659" name="2106 Rectángulo"/>
                          <wps:cNvSpPr/>
                          <wps:spPr>
                            <a:xfrm>
                              <a:off x="18367" y="215273"/>
                              <a:ext cx="1799094" cy="466090"/>
                            </a:xfrm>
                            <a:prstGeom prst="rect">
                              <a:avLst/>
                            </a:prstGeom>
                            <a:ln w="19050">
                              <a:solidFill>
                                <a:schemeClr val="bg1">
                                  <a:lumMod val="65000"/>
                                </a:schemeClr>
                              </a:solidFill>
                            </a:ln>
                          </wps:spPr>
                          <wps:style>
                            <a:lnRef idx="2">
                              <a:schemeClr val="accent2"/>
                            </a:lnRef>
                            <a:fillRef idx="1">
                              <a:schemeClr val="lt1"/>
                            </a:fillRef>
                            <a:effectRef idx="0">
                              <a:schemeClr val="accent2"/>
                            </a:effectRef>
                            <a:fontRef idx="minor">
                              <a:schemeClr val="dk1"/>
                            </a:fontRef>
                          </wps:style>
                          <wps:txbx>
                            <w:txbxContent>
                              <w:p w14:paraId="34604B3A" w14:textId="77777777" w:rsidR="00D55F13" w:rsidRPr="00394D50" w:rsidRDefault="00D55F13" w:rsidP="0056088F">
                                <w:pPr>
                                  <w:pStyle w:val="NormalWeb"/>
                                  <w:overflowPunct w:val="0"/>
                                  <w:spacing w:before="0" w:after="0"/>
                                  <w:jc w:val="center"/>
                                  <w:rPr>
                                    <w:sz w:val="20"/>
                                    <w:szCs w:val="20"/>
                                  </w:rPr>
                                </w:pPr>
                                <w:r w:rsidRPr="00394D50">
                                  <w:rPr>
                                    <w:rFonts w:cstheme="minorBidi"/>
                                    <w:color w:val="000000" w:themeColor="dark1"/>
                                    <w:kern w:val="24"/>
                                    <w:sz w:val="20"/>
                                    <w:szCs w:val="20"/>
                                  </w:rPr>
                                  <w:t>Cuantificación biofísica de los impactos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660" name="2107 Elipse"/>
                          <wps:cNvSpPr>
                            <a:spLocks noChangeAspect="1"/>
                          </wps:cNvSpPr>
                          <wps:spPr>
                            <a:xfrm>
                              <a:off x="1679944" y="-19056"/>
                              <a:ext cx="342265" cy="342265"/>
                            </a:xfrm>
                            <a:prstGeom prst="ellipse">
                              <a:avLst/>
                            </a:prstGeom>
                            <a:ln w="19050">
                              <a:solidFill>
                                <a:schemeClr val="accent1">
                                  <a:lumMod val="75000"/>
                                </a:schemeClr>
                              </a:solidFill>
                            </a:ln>
                          </wps:spPr>
                          <wps:style>
                            <a:lnRef idx="2">
                              <a:schemeClr val="dk1"/>
                            </a:lnRef>
                            <a:fillRef idx="1">
                              <a:schemeClr val="lt1"/>
                            </a:fillRef>
                            <a:effectRef idx="0">
                              <a:schemeClr val="dk1"/>
                            </a:effectRef>
                            <a:fontRef idx="minor">
                              <a:schemeClr val="dk1"/>
                            </a:fontRef>
                          </wps:style>
                          <wps:txbx>
                            <w:txbxContent>
                              <w:p w14:paraId="4FEBE7A7" w14:textId="77777777" w:rsidR="00D55F13" w:rsidRPr="00394D50" w:rsidRDefault="00D55F13" w:rsidP="0056088F">
                                <w:pPr>
                                  <w:pStyle w:val="NormalWeb"/>
                                  <w:overflowPunct w:val="0"/>
                                  <w:spacing w:before="0" w:after="0"/>
                                  <w:jc w:val="center"/>
                                </w:pPr>
                                <w:r w:rsidRPr="00394D50">
                                  <w:rPr>
                                    <w:rFonts w:cstheme="minorBidi"/>
                                    <w:color w:val="000000" w:themeColor="dark1"/>
                                    <w:kern w:val="24"/>
                                    <w:sz w:val="22"/>
                                    <w:szCs w:val="22"/>
                                  </w:rPr>
                                  <w:t>3</w:t>
                                </w:r>
                              </w:p>
                            </w:txbxContent>
                          </wps:txbx>
                          <wps:bodyPr rot="0" spcFirstLastPara="0" vert="horz" wrap="square" lIns="0" tIns="0" rIns="0" bIns="0" numCol="1" spcCol="0" rtlCol="0" fromWordArt="0" anchor="ctr" anchorCtr="0" forceAA="0" compatLnSpc="1">
                            <a:prstTxWarp prst="textNoShape">
                              <a:avLst/>
                            </a:prstTxWarp>
                            <a:noAutofit/>
                          </wps:bodyPr>
                        </wps:wsp>
                      </wpg:grpSp>
                    </wpg:wgp>
                  </a:graphicData>
                </a:graphic>
              </wp:inline>
            </w:drawing>
          </mc:Choice>
          <mc:Fallback>
            <w:pict>
              <v:group w14:anchorId="2FA61C06" id="Grupo 2634" o:spid="_x0000_s1334" style="width:351.45pt;height:253.35pt;mso-position-horizontal-relative:char;mso-position-vertical-relative:line" coordorigin=",102" coordsize="44995,401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">
                <v:group id="49 Grupo" o:spid="_x0000_s1335" style="position:absolute;top:102;width:44723;height:40164" coordorigin=",102" coordsize="44723,401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">
                  <v:rect id="2095 Rectángulo" o:spid="_x0000_s1336" style="position:absolute;left:13306;top:1382;width:18002;height:59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" fillcolor="white [3201]" strokecolor="#a5a5a5 [2092]" strokeweight="1.5pt">
                    <v:textbox inset="0,0,0,0">
                      <w:txbxContent>
                        <w:p w14:paraId="57463F63" w14:textId="77777777" w:rsidR="00D55F13" w:rsidRPr="00394D50" w:rsidRDefault="00D55F13" w:rsidP="0056088F">
                          <w:pPr>
                            <w:pStyle w:val="NormalWeb"/>
                            <w:overflowPunct w:val="0"/>
                            <w:spacing w:before="0" w:after="0"/>
                            <w:jc w:val="center"/>
                            <w:rPr>
                              <w:sz w:val="22"/>
                            </w:rPr>
                          </w:pPr>
                          <w:r w:rsidRPr="00394D50">
                            <w:rPr>
                              <w:rFonts w:cstheme="minorBidi"/>
                              <w:color w:val="000000" w:themeColor="dark1"/>
                              <w:kern w:val="24"/>
                              <w:sz w:val="20"/>
                              <w:szCs w:val="22"/>
                            </w:rPr>
                            <w:t>Identificación de impactos ambientales significativos</w:t>
                          </w:r>
                        </w:p>
                      </w:txbxContent>
                    </v:textbox>
                  </v:rect>
                  <v:oval id="2096 Elipse" o:spid="_x0000_s1337" style="position:absolute;left:10561;top:102;width:3429;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" fillcolor="white [3201]" strokecolor="#365f91 [2404]" strokeweight="1.5pt">
                    <v:path arrowok="t"/>
                    <o:lock v:ext="edit" aspectratio="t"/>
                    <v:textbox inset="0,0,0,0">
                      <w:txbxContent>
                        <w:p w14:paraId="77FDAB0B" w14:textId="77777777" w:rsidR="00D55F13" w:rsidRPr="00394D50" w:rsidRDefault="00D55F13" w:rsidP="0056088F">
                          <w:pPr>
                            <w:pStyle w:val="NormalWeb"/>
                            <w:overflowPunct w:val="0"/>
                            <w:spacing w:before="0" w:after="0"/>
                            <w:jc w:val="center"/>
                          </w:pPr>
                          <w:r w:rsidRPr="00394D50">
                            <w:rPr>
                              <w:rFonts w:cstheme="minorBidi"/>
                              <w:color w:val="000000" w:themeColor="dark1"/>
                              <w:kern w:val="24"/>
                              <w:sz w:val="22"/>
                              <w:szCs w:val="22"/>
                            </w:rPr>
                            <w:t>1</w:t>
                          </w:r>
                        </w:p>
                      </w:txbxContent>
                    </v:textbox>
                  </v:oval>
                  <v:group id="45 Grupo" o:spid="_x0000_s1338" style="position:absolute;top:8164;width:20002;height:7815" coordorigin=",8164" coordsize="20002,78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">
                    <v:rect id="2100 Rectángulo" o:spid="_x0000_s1339" style="position:absolute;left:2000;top:11312;width:18002;height:4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" fillcolor="white [3201]" strokecolor="#a5a5a5 [2092]" strokeweight="1.5pt">
                      <v:textbox inset="0,0,0,0">
                        <w:txbxContent>
                          <w:p w14:paraId="2BF4040A" w14:textId="77777777" w:rsidR="00D55F13" w:rsidRPr="00394D50" w:rsidRDefault="00D55F13" w:rsidP="0056088F">
                            <w:pPr>
                              <w:pStyle w:val="NormalWeb"/>
                              <w:overflowPunct w:val="0"/>
                              <w:spacing w:before="0" w:after="0"/>
                              <w:jc w:val="center"/>
                              <w:rPr>
                                <w:sz w:val="22"/>
                              </w:rPr>
                            </w:pPr>
                            <w:r w:rsidRPr="00394D50">
                              <w:rPr>
                                <w:rFonts w:cstheme="minorBidi"/>
                                <w:color w:val="000000" w:themeColor="dark1"/>
                                <w:kern w:val="24"/>
                                <w:sz w:val="20"/>
                                <w:szCs w:val="22"/>
                              </w:rPr>
                              <w:t>Identificación de impactos internalizables</w:t>
                            </w:r>
                          </w:p>
                        </w:txbxContent>
                      </v:textbox>
                    </v:rect>
                    <v:oval id="2101 Elipse" o:spid="_x0000_s1340" style="position:absolute;top:8164;width:3429;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" fillcolor="white [3201]" strokecolor="#365f91 [2404]" strokeweight="1.5pt">
                      <v:path arrowok="t"/>
                      <o:lock v:ext="edit" aspectratio="t"/>
                      <v:textbox inset="0,0,0,0">
                        <w:txbxContent>
                          <w:p w14:paraId="35C31061" w14:textId="77777777" w:rsidR="00D55F13" w:rsidRPr="00394D50" w:rsidRDefault="00D55F13" w:rsidP="0056088F">
                            <w:pPr>
                              <w:pStyle w:val="NormalWeb"/>
                              <w:overflowPunct w:val="0"/>
                              <w:spacing w:before="0" w:after="0"/>
                              <w:jc w:val="center"/>
                            </w:pPr>
                            <w:r w:rsidRPr="00394D50">
                              <w:rPr>
                                <w:rFonts w:cstheme="minorBidi"/>
                                <w:color w:val="000000" w:themeColor="dark1"/>
                                <w:kern w:val="24"/>
                                <w:sz w:val="22"/>
                                <w:szCs w:val="22"/>
                              </w:rPr>
                              <w:t>2</w:t>
                            </w:r>
                          </w:p>
                        </w:txbxContent>
                      </v:textbox>
                    </v:oval>
                  </v:group>
                  <v:group id="46 Grupo" o:spid="_x0000_s1341" style="position:absolute;left:24915;top:8164;width:19808;height:7815" coordorigin="24915,8164" coordsize="19807,78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">
                    <v:rect id="2103 Rectángulo" o:spid="_x0000_s1342" style="position:absolute;left:24915;top:11312;width:17997;height:4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" fillcolor="white [3201]" strokecolor="#a5a5a5 [2092]" strokeweight="1.5pt">
                      <v:textbox inset="0,0,0,0">
                        <w:txbxContent>
                          <w:p w14:paraId="1C4A57C9" w14:textId="4357326F" w:rsidR="00D55F13" w:rsidRPr="00394D50" w:rsidRDefault="00D55F13" w:rsidP="0056088F">
                            <w:pPr>
                              <w:pStyle w:val="NormalWeb"/>
                              <w:overflowPunct w:val="0"/>
                              <w:spacing w:before="0" w:after="0"/>
                              <w:jc w:val="center"/>
                              <w:rPr>
                                <w:sz w:val="20"/>
                                <w:szCs w:val="20"/>
                              </w:rPr>
                            </w:pPr>
                            <w:r w:rsidRPr="00394D50">
                              <w:rPr>
                                <w:rFonts w:cstheme="minorBidi"/>
                                <w:color w:val="000000" w:themeColor="dark1"/>
                                <w:kern w:val="24"/>
                                <w:sz w:val="20"/>
                                <w:szCs w:val="20"/>
                              </w:rPr>
                              <w:t>Identificación de impactos no internalizables</w:t>
                            </w:r>
                          </w:p>
                        </w:txbxContent>
                      </v:textbox>
                    </v:rect>
                    <v:oval id="2104 Elipse" o:spid="_x0000_s1343" style="position:absolute;left:41294;top:8164;width:3429;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" fillcolor="white [3201]" strokecolor="#365f91 [2404]" strokeweight="1.5pt">
                      <v:path arrowok="t"/>
                      <o:lock v:ext="edit" aspectratio="t"/>
                      <v:textbox inset="0,0,0,0">
                        <w:txbxContent>
                          <w:p w14:paraId="57AFA495" w14:textId="77777777" w:rsidR="00D55F13" w:rsidRPr="00394D50" w:rsidRDefault="00D55F13" w:rsidP="0056088F">
                            <w:pPr>
                              <w:pStyle w:val="NormalWeb"/>
                              <w:overflowPunct w:val="0"/>
                              <w:spacing w:before="0" w:after="0"/>
                              <w:jc w:val="center"/>
                            </w:pPr>
                            <w:r w:rsidRPr="00394D50">
                              <w:rPr>
                                <w:rFonts w:cstheme="minorBidi"/>
                                <w:color w:val="000000" w:themeColor="dark1"/>
                                <w:kern w:val="24"/>
                                <w:sz w:val="22"/>
                                <w:szCs w:val="22"/>
                              </w:rPr>
                              <w:t>2</w:t>
                            </w:r>
                          </w:p>
                        </w:txbxContent>
                      </v:textbox>
                    </v:oval>
                  </v:group>
                  <v:rect id="2106 Rectángulo" o:spid="_x0000_s1344" style="position:absolute;left:1993;top:20451;width:18002;height:4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" fillcolor="white [3201]" strokecolor="#a5a5a5 [2092]" strokeweight="1.5pt">
                    <v:textbox inset="0,0,0,0">
                      <w:txbxContent>
                        <w:p w14:paraId="11A00D63" w14:textId="77777777" w:rsidR="00D55F13" w:rsidRPr="00394D50" w:rsidRDefault="00D55F13" w:rsidP="0056088F">
                          <w:pPr>
                            <w:pStyle w:val="NormalWeb"/>
                            <w:overflowPunct w:val="0"/>
                            <w:spacing w:before="0" w:after="0"/>
                            <w:jc w:val="center"/>
                            <w:rPr>
                              <w:sz w:val="20"/>
                              <w:szCs w:val="20"/>
                            </w:rPr>
                          </w:pPr>
                          <w:r w:rsidRPr="00394D50">
                            <w:rPr>
                              <w:rFonts w:cstheme="minorBidi"/>
                              <w:color w:val="000000" w:themeColor="dark1"/>
                              <w:kern w:val="24"/>
                              <w:sz w:val="20"/>
                              <w:szCs w:val="20"/>
                            </w:rPr>
                            <w:t>Cuantificación biofísica de los impactos</w:t>
                          </w:r>
                        </w:p>
                      </w:txbxContent>
                    </v:textbox>
                  </v:rect>
                  <v:oval id="2107 Elipse" o:spid="_x0000_s1345" style="position:absolute;left:111;top:17984;width:3429;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" fillcolor="white [3201]" strokecolor="#365f91 [2404]" strokeweight="1.5pt">
                    <v:path arrowok="t"/>
                    <o:lock v:ext="edit" aspectratio="t"/>
                    <v:textbox inset="0,0,0,0">
                      <w:txbxContent>
                        <w:p w14:paraId="40CB574A" w14:textId="77777777" w:rsidR="00D55F13" w:rsidRPr="00394D50" w:rsidRDefault="00D55F13" w:rsidP="0056088F">
                          <w:pPr>
                            <w:pStyle w:val="NormalWeb"/>
                            <w:overflowPunct w:val="0"/>
                            <w:spacing w:before="0" w:after="0"/>
                            <w:jc w:val="center"/>
                          </w:pPr>
                          <w:r w:rsidRPr="00394D50">
                            <w:rPr>
                              <w:rFonts w:cstheme="minorBidi"/>
                              <w:color w:val="000000" w:themeColor="dark1"/>
                              <w:kern w:val="24"/>
                              <w:sz w:val="22"/>
                              <w:szCs w:val="22"/>
                            </w:rPr>
                            <w:t>3</w:t>
                          </w:r>
                        </w:p>
                      </w:txbxContent>
                    </v:textbox>
                  </v:oval>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18 Conector angular" o:spid="_x0000_s1346" type="#_x0000_t34" style="position:absolute;left:14656;top:3661;width:3996;height:11306;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" strokecolor="#4579b8 [3044]">
                    <v:stroke endarrow="open"/>
                  </v:shape>
                  <v:shape id="19 Conector angular" o:spid="_x0000_s1347" type="#_x0000_t34" style="position:absolute;left:26113;top:3510;width:3996;height:11607;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" strokecolor="#4579b8 [3044]">
                    <v:stroke endarrow="open"/>
                  </v:shape>
                  <v:shape id="22 Conector angular" o:spid="_x0000_s1348" type="#_x0000_t34" style="position:absolute;left:31596;top:18297;width:4675;height:39;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" strokecolor="#4579b8 [3044]">
                    <v:stroke endarrow="open"/>
                  </v:shape>
                  <v:shape id="25 Conector angular" o:spid="_x0000_s1349" type="#_x0000_t34" style="position:absolute;left:8762;top:18211;width:4472;height:7;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" strokecolor="#4579b8 [3044]">
                    <v:stroke endarrow="open"/>
                  </v:shape>
                  <v:group id="48 Grupo" o:spid="_x0000_s1350" style="position:absolute;top:28041;width:20002;height:12012" coordorigin=",28041" coordsize="20002,12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">
                    <v:rect id="2100 Rectángulo" o:spid="_x0000_s1351" style="position:absolute;left:2000;top:30131;width:18002;height:99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" fillcolor="white [3201]" strokecolor="#a5a5a5 [2092]" strokeweight="1.5pt">
                      <v:textbox inset="0,0,0,0">
                        <w:txbxContent>
                          <w:p w14:paraId="65CDA75D" w14:textId="77777777" w:rsidR="00D55F13" w:rsidRPr="00394D50" w:rsidRDefault="00D55F13" w:rsidP="0056088F">
                            <w:pPr>
                              <w:pStyle w:val="NormalWeb"/>
                              <w:overflowPunct w:val="0"/>
                              <w:spacing w:before="0" w:after="0"/>
                              <w:jc w:val="center"/>
                              <w:rPr>
                                <w:rFonts w:cstheme="minorBidi"/>
                                <w:color w:val="000000" w:themeColor="dark1"/>
                                <w:kern w:val="24"/>
                                <w:sz w:val="20"/>
                                <w:szCs w:val="20"/>
                              </w:rPr>
                            </w:pPr>
                            <w:r w:rsidRPr="00394D50">
                              <w:rPr>
                                <w:rFonts w:cstheme="minorBidi"/>
                                <w:color w:val="000000" w:themeColor="dark1"/>
                                <w:kern w:val="24"/>
                                <w:sz w:val="20"/>
                                <w:szCs w:val="20"/>
                              </w:rPr>
                              <w:t>Análisis económico de impactos:</w:t>
                            </w:r>
                          </w:p>
                          <w:p w14:paraId="4C3C0FFB" w14:textId="0336A1D2" w:rsidR="00D55F13" w:rsidRPr="00394D50" w:rsidRDefault="00D55F13" w:rsidP="0056088F">
                            <w:pPr>
                              <w:pStyle w:val="NormalWeb"/>
                              <w:overflowPunct w:val="0"/>
                              <w:spacing w:before="0" w:after="0"/>
                              <w:jc w:val="center"/>
                              <w:rPr>
                                <w:sz w:val="20"/>
                                <w:szCs w:val="20"/>
                              </w:rPr>
                            </w:pPr>
                            <w:r w:rsidRPr="00394D50">
                              <w:rPr>
                                <w:rFonts w:cstheme="minorBidi"/>
                                <w:color w:val="000000" w:themeColor="dark1"/>
                                <w:kern w:val="24"/>
                                <w:sz w:val="20"/>
                                <w:szCs w:val="20"/>
                              </w:rPr>
                              <w:t>Análisis de internalización (costos preventivos y correctivos)</w:t>
                            </w:r>
                          </w:p>
                        </w:txbxContent>
                      </v:textbox>
                    </v:rect>
                    <v:oval id="2101 Elipse" o:spid="_x0000_s1352" style="position:absolute;top:28041;width:3429;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" fillcolor="white [3201]" strokecolor="#365f91 [2404]" strokeweight="1.5pt">
                      <v:path arrowok="t"/>
                      <o:lock v:ext="edit" aspectratio="t"/>
                      <v:textbox inset="0,0,0,0">
                        <w:txbxContent>
                          <w:p w14:paraId="6083949B" w14:textId="77777777" w:rsidR="00D55F13" w:rsidRPr="00394D50" w:rsidRDefault="00D55F13" w:rsidP="0056088F">
                            <w:pPr>
                              <w:pStyle w:val="NormalWeb"/>
                              <w:overflowPunct w:val="0"/>
                              <w:spacing w:before="0" w:after="0"/>
                              <w:jc w:val="center"/>
                            </w:pPr>
                            <w:r w:rsidRPr="00394D50">
                              <w:rPr>
                                <w:rFonts w:cstheme="minorBidi"/>
                                <w:color w:val="000000" w:themeColor="dark1"/>
                                <w:kern w:val="24"/>
                              </w:rPr>
                              <w:t>4</w:t>
                            </w:r>
                          </w:p>
                        </w:txbxContent>
                      </v:textbox>
                    </v:oval>
                  </v:group>
                  <v:group id="47 Grupo" o:spid="_x0000_s1353" style="position:absolute;left:24923;top:27850;width:19711;height:12418" coordorigin="24923,27850" coordsize="19711,124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">
                    <v:rect id="2103 Rectángulo" o:spid="_x0000_s1354" style="position:absolute;left:24923;top:30130;width:18002;height:101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" fillcolor="white [3201]" strokecolor="#a5a5a5 [2092]" strokeweight="1.5pt">
                      <v:textbox inset="0,0,0,0">
                        <w:txbxContent>
                          <w:p w14:paraId="2A03B81E" w14:textId="77777777" w:rsidR="00D55F13" w:rsidRPr="00394D50" w:rsidRDefault="00D55F13" w:rsidP="0056088F">
                            <w:pPr>
                              <w:pStyle w:val="NormalWeb"/>
                              <w:overflowPunct w:val="0"/>
                              <w:spacing w:before="0" w:after="0"/>
                              <w:jc w:val="center"/>
                              <w:rPr>
                                <w:rFonts w:cstheme="minorBidi"/>
                                <w:color w:val="000000" w:themeColor="dark1"/>
                                <w:kern w:val="24"/>
                                <w:sz w:val="20"/>
                                <w:szCs w:val="20"/>
                              </w:rPr>
                            </w:pPr>
                            <w:r w:rsidRPr="00394D50">
                              <w:rPr>
                                <w:rFonts w:cstheme="minorBidi"/>
                                <w:color w:val="000000" w:themeColor="dark1"/>
                                <w:kern w:val="24"/>
                                <w:sz w:val="20"/>
                                <w:szCs w:val="20"/>
                              </w:rPr>
                              <w:t>Análisis económico de impactos:</w:t>
                            </w:r>
                          </w:p>
                          <w:p w14:paraId="02A9499E" w14:textId="61EAB26E" w:rsidR="00D55F13" w:rsidRPr="00394D50" w:rsidRDefault="00D55F13" w:rsidP="0056088F">
                            <w:pPr>
                              <w:pStyle w:val="NormalWeb"/>
                              <w:overflowPunct w:val="0"/>
                              <w:spacing w:before="0" w:after="0"/>
                              <w:jc w:val="center"/>
                              <w:rPr>
                                <w:rFonts w:cstheme="minorBidi"/>
                                <w:color w:val="000000" w:themeColor="dark1"/>
                                <w:kern w:val="24"/>
                                <w:sz w:val="20"/>
                                <w:szCs w:val="20"/>
                              </w:rPr>
                            </w:pPr>
                            <w:r w:rsidRPr="00394D50">
                              <w:rPr>
                                <w:rFonts w:cstheme="minorBidi"/>
                                <w:color w:val="000000" w:themeColor="dark1"/>
                                <w:kern w:val="24"/>
                                <w:sz w:val="20"/>
                                <w:szCs w:val="20"/>
                              </w:rPr>
                              <w:t>Análisis Costo Beneficio de impactos positivos y negativos</w:t>
                            </w:r>
                          </w:p>
                        </w:txbxContent>
                      </v:textbox>
                    </v:rect>
                    <v:oval id="2104 Elipse" o:spid="_x0000_s1355" style="position:absolute;left:41205;top:27850;width:3429;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" fillcolor="white [3201]" strokecolor="#365f91 [2404]" strokeweight="1.5pt">
                      <v:path arrowok="t"/>
                      <o:lock v:ext="edit" aspectratio="t"/>
                      <v:textbox inset="0,0,0,0">
                        <w:txbxContent>
                          <w:p w14:paraId="67E4837E" w14:textId="77777777" w:rsidR="00D55F13" w:rsidRPr="00394D50" w:rsidRDefault="00D55F13" w:rsidP="0056088F">
                            <w:pPr>
                              <w:pStyle w:val="NormalWeb"/>
                              <w:overflowPunct w:val="0"/>
                              <w:spacing w:before="0" w:after="0"/>
                              <w:jc w:val="center"/>
                            </w:pPr>
                            <w:r w:rsidRPr="00394D50">
                              <w:rPr>
                                <w:rFonts w:cstheme="minorBidi"/>
                                <w:color w:val="000000" w:themeColor="dark1"/>
                                <w:kern w:val="24"/>
                              </w:rPr>
                              <w:t>4</w:t>
                            </w:r>
                          </w:p>
                        </w:txbxContent>
                      </v:textbox>
                    </v:oval>
                  </v:group>
                  <v:shape id="34 Conector angular" o:spid="_x0000_s1356" type="#_x0000_t34" style="position:absolute;left:31531;top:27708;width:4815;height:29;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" strokecolor="#4579b8 [3044]">
                    <v:stroke endarrow="open"/>
                  </v:shape>
                  <v:shape id="37 Conector angular" o:spid="_x0000_s1357" type="#_x0000_t34" style="position:absolute;left:8491;top:27621;width:5013;height:7;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" strokecolor="#4579b8 [3044]">
                    <v:stroke endarrow="open"/>
                  </v:shape>
                </v:group>
                <v:group id="Grupo 2658" o:spid="_x0000_s1358" style="position:absolute;left:24957;top:18310;width:20038;height:7004" coordorigin="183,-190" coordsize="20038,7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">
                  <v:rect id="2106 Rectángulo" o:spid="_x0000_s1359" style="position:absolute;left:183;top:2152;width:17991;height:46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" fillcolor="white [3201]" strokecolor="#a5a5a5 [2092]" strokeweight="1.5pt">
                    <v:textbox inset="0,0,0,0">
                      <w:txbxContent>
                        <w:p w14:paraId="34604B3A" w14:textId="77777777" w:rsidR="00D55F13" w:rsidRPr="00394D50" w:rsidRDefault="00D55F13" w:rsidP="0056088F">
                          <w:pPr>
                            <w:pStyle w:val="NormalWeb"/>
                            <w:overflowPunct w:val="0"/>
                            <w:spacing w:before="0" w:after="0"/>
                            <w:jc w:val="center"/>
                            <w:rPr>
                              <w:sz w:val="20"/>
                              <w:szCs w:val="20"/>
                            </w:rPr>
                          </w:pPr>
                          <w:r w:rsidRPr="00394D50">
                            <w:rPr>
                              <w:rFonts w:cstheme="minorBidi"/>
                              <w:color w:val="000000" w:themeColor="dark1"/>
                              <w:kern w:val="24"/>
                              <w:sz w:val="20"/>
                              <w:szCs w:val="20"/>
                            </w:rPr>
                            <w:t>Cuantificación biofísica de los impactos</w:t>
                          </w:r>
                        </w:p>
                      </w:txbxContent>
                    </v:textbox>
                  </v:rect>
                  <v:oval id="2107 Elipse" o:spid="_x0000_s1360" style="position:absolute;left:16799;top:-190;width:3423;height:34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" fillcolor="white [3201]" strokecolor="#365f91 [2404]" strokeweight="1.5pt">
                    <v:path arrowok="t"/>
                    <o:lock v:ext="edit" aspectratio="t"/>
                    <v:textbox inset="0,0,0,0">
                      <w:txbxContent>
                        <w:p w14:paraId="4FEBE7A7" w14:textId="77777777" w:rsidR="00D55F13" w:rsidRPr="00394D50" w:rsidRDefault="00D55F13" w:rsidP="0056088F">
                          <w:pPr>
                            <w:pStyle w:val="NormalWeb"/>
                            <w:overflowPunct w:val="0"/>
                            <w:spacing w:before="0" w:after="0"/>
                            <w:jc w:val="center"/>
                          </w:pPr>
                          <w:r w:rsidRPr="00394D50">
                            <w:rPr>
                              <w:rFonts w:cstheme="minorBidi"/>
                              <w:color w:val="000000" w:themeColor="dark1"/>
                              <w:kern w:val="24"/>
                              <w:sz w:val="22"/>
                              <w:szCs w:val="22"/>
                            </w:rPr>
                            <w:t>3</w:t>
                          </w:r>
                        </w:p>
                      </w:txbxContent>
                    </v:textbox>
                  </v:oval>
                </v:group>
                <w10:anchorlock/>
              </v:group>
            </w:pict>
          </mc:Fallback>
        </mc:AlternateContent>
      </w:r>
    </w:p>
    <w:p w14:paraId="2B4FCE32" w14:textId="707067F4" w:rsidR="0056088F" w:rsidRPr="00BD1319" w:rsidRDefault="0056088F" w:rsidP="0056088F">
      <w:pPr>
        <w:numPr>
          <w:ilvl w:val="12"/>
          <w:numId w:val="0"/>
        </w:numPr>
        <w:tabs>
          <w:tab w:val="left" w:pos="-2268"/>
        </w:tabs>
        <w:suppressAutoHyphens/>
        <w:jc w:val="center"/>
        <w:rPr>
          <w:spacing w:val="-3"/>
          <w:sz w:val="20"/>
        </w:rPr>
      </w:pPr>
      <w:r w:rsidRPr="00BD1319">
        <w:rPr>
          <w:b/>
          <w:spacing w:val="-3"/>
          <w:sz w:val="20"/>
        </w:rPr>
        <w:t>Fuente:</w:t>
      </w:r>
      <w:r w:rsidRPr="00BD1319">
        <w:rPr>
          <w:spacing w:val="-3"/>
          <w:sz w:val="20"/>
        </w:rPr>
        <w:t xml:space="preserve"> </w:t>
      </w:r>
      <w:r w:rsidR="00394826" w:rsidRPr="00BD1319">
        <w:rPr>
          <w:rFonts w:cs="Arial"/>
          <w:spacing w:val="-3"/>
          <w:sz w:val="20"/>
        </w:rPr>
        <w:t>ANLA -</w:t>
      </w:r>
      <w:r w:rsidRPr="00BD1319">
        <w:rPr>
          <w:rFonts w:cs="Arial"/>
          <w:spacing w:val="-3"/>
          <w:sz w:val="20"/>
        </w:rPr>
        <w:t xml:space="preserve"> Subdirección de Instrumentos, Permisos y Trámites Ambientales, equipo</w:t>
      </w:r>
      <w:r w:rsidRPr="00BD1319">
        <w:rPr>
          <w:spacing w:val="-3"/>
          <w:sz w:val="20"/>
        </w:rPr>
        <w:t xml:space="preserve"> Valoración Económica Ambiental</w:t>
      </w:r>
      <w:r w:rsidR="00394826" w:rsidRPr="00BD1319">
        <w:rPr>
          <w:rFonts w:cs="Arial"/>
          <w:spacing w:val="-3"/>
          <w:sz w:val="20"/>
        </w:rPr>
        <w:t xml:space="preserve">, </w:t>
      </w:r>
      <w:r w:rsidRPr="00BD1319">
        <w:rPr>
          <w:spacing w:val="-3"/>
          <w:sz w:val="20"/>
        </w:rPr>
        <w:t>2016.</w:t>
      </w:r>
    </w:p>
    <w:p w14:paraId="47066700" w14:textId="1FC4FBE6" w:rsidR="0056088F" w:rsidRPr="00BD1319" w:rsidRDefault="0056088F" w:rsidP="00C86DA5">
      <w:pPr>
        <w:tabs>
          <w:tab w:val="left" w:pos="-2268"/>
        </w:tabs>
        <w:suppressAutoHyphens/>
        <w:rPr>
          <w:spacing w:val="-3"/>
        </w:rPr>
      </w:pPr>
    </w:p>
    <w:p w14:paraId="6E15AC6E" w14:textId="0B9404E9" w:rsidR="0056088F" w:rsidRPr="00BD1319" w:rsidRDefault="0056088F" w:rsidP="00C86DA5">
      <w:pPr>
        <w:tabs>
          <w:tab w:val="left" w:pos="-2268"/>
        </w:tabs>
        <w:suppressAutoHyphens/>
        <w:rPr>
          <w:spacing w:val="-3"/>
        </w:rPr>
      </w:pPr>
      <w:r w:rsidRPr="00BD1319">
        <w:rPr>
          <w:spacing w:val="-3"/>
        </w:rPr>
        <w:lastRenderedPageBreak/>
        <w:t xml:space="preserve">A fin de complementar lo establecido en dicho documento y </w:t>
      </w:r>
      <w:r w:rsidR="00D12EA8" w:rsidRPr="00BD1319">
        <w:rPr>
          <w:spacing w:val="-3"/>
        </w:rPr>
        <w:t xml:space="preserve">de </w:t>
      </w:r>
      <w:r w:rsidRPr="00BD1319">
        <w:rPr>
          <w:spacing w:val="-3"/>
        </w:rPr>
        <w:t xml:space="preserve">especificar los alcances de la EEA dentro del </w:t>
      </w:r>
      <w:r w:rsidRPr="00BD1319">
        <w:rPr>
          <w:rFonts w:cs="Arial"/>
          <w:spacing w:val="-3"/>
        </w:rPr>
        <w:t>EIA</w:t>
      </w:r>
      <w:r w:rsidRPr="00BD1319">
        <w:rPr>
          <w:spacing w:val="-3"/>
        </w:rPr>
        <w:t>, a continuación</w:t>
      </w:r>
      <w:r w:rsidRPr="00BD1319">
        <w:rPr>
          <w:rFonts w:cs="Arial"/>
          <w:spacing w:val="-3"/>
        </w:rPr>
        <w:t>,</w:t>
      </w:r>
      <w:r w:rsidRPr="00BD1319">
        <w:rPr>
          <w:spacing w:val="-3"/>
        </w:rPr>
        <w:t xml:space="preserve"> se describe brevemente cada una de sus etapas y se señala en qué lugar de</w:t>
      </w:r>
      <w:r w:rsidR="008740E1" w:rsidRPr="00BD1319">
        <w:rPr>
          <w:spacing w:val="-3"/>
        </w:rPr>
        <w:t xml:space="preserve"> éste </w:t>
      </w:r>
      <w:r w:rsidRPr="00BD1319">
        <w:rPr>
          <w:spacing w:val="-3"/>
        </w:rPr>
        <w:t>se encuentra su descripción completa.</w:t>
      </w:r>
    </w:p>
    <w:p w14:paraId="63006A5D" w14:textId="3A5FB331" w:rsidR="0056088F" w:rsidRPr="00BD1319" w:rsidRDefault="0056088F" w:rsidP="00C86DA5">
      <w:pPr>
        <w:tabs>
          <w:tab w:val="left" w:pos="-2268"/>
        </w:tabs>
        <w:suppressAutoHyphens/>
        <w:rPr>
          <w:spacing w:val="-3"/>
        </w:rPr>
      </w:pPr>
    </w:p>
    <w:p w14:paraId="0D6D8B6A" w14:textId="39E995F9" w:rsidR="0056088F" w:rsidRPr="00BD1319" w:rsidRDefault="0056088F" w:rsidP="00C86DA5">
      <w:pPr>
        <w:pStyle w:val="Prrafodelista"/>
        <w:numPr>
          <w:ilvl w:val="0"/>
          <w:numId w:val="44"/>
        </w:numPr>
        <w:ind w:left="567" w:hanging="567"/>
        <w:rPr>
          <w:spacing w:val="-3"/>
          <w:lang w:val="es-CO"/>
        </w:rPr>
      </w:pPr>
      <w:r w:rsidRPr="00BD1319">
        <w:rPr>
          <w:b/>
          <w:spacing w:val="-3"/>
          <w:lang w:val="es-CO"/>
        </w:rPr>
        <w:t xml:space="preserve">Identificación de </w:t>
      </w:r>
      <w:r w:rsidR="00811F7B" w:rsidRPr="00BD1319">
        <w:rPr>
          <w:b/>
          <w:spacing w:val="-3"/>
          <w:lang w:val="es-CO"/>
        </w:rPr>
        <w:t xml:space="preserve">los </w:t>
      </w:r>
      <w:r w:rsidRPr="00BD1319">
        <w:rPr>
          <w:b/>
          <w:spacing w:val="-3"/>
          <w:lang w:val="es-CO"/>
        </w:rPr>
        <w:t xml:space="preserve">impactos </w:t>
      </w:r>
      <w:r w:rsidRPr="00BD1319">
        <w:rPr>
          <w:rFonts w:cs="Arial"/>
          <w:b/>
          <w:bCs/>
          <w:spacing w:val="-3"/>
          <w:lang w:val="es-CO"/>
        </w:rPr>
        <w:t>significativos</w:t>
      </w:r>
      <w:r w:rsidRPr="00BD1319">
        <w:rPr>
          <w:spacing w:val="-3"/>
          <w:lang w:val="es-CO"/>
        </w:rPr>
        <w:t xml:space="preserve">: sólo este tipo de impactos debe ser incluido en el análisis económico. Los impactos ambientales </w:t>
      </w:r>
      <w:r w:rsidRPr="00BD1319">
        <w:rPr>
          <w:rFonts w:cs="Arial"/>
          <w:spacing w:val="-3"/>
          <w:lang w:val="es-CO"/>
        </w:rPr>
        <w:t>significativos</w:t>
      </w:r>
      <w:r w:rsidRPr="00BD1319">
        <w:rPr>
          <w:spacing w:val="-3"/>
          <w:lang w:val="es-CO"/>
        </w:rPr>
        <w:t xml:space="preserve"> </w:t>
      </w:r>
      <w:r w:rsidR="00E27186" w:rsidRPr="00BD1319">
        <w:rPr>
          <w:spacing w:val="-3"/>
          <w:lang w:val="es-CO"/>
        </w:rPr>
        <w:t xml:space="preserve">positivos y negativos </w:t>
      </w:r>
      <w:r w:rsidRPr="00BD1319">
        <w:rPr>
          <w:spacing w:val="-3"/>
          <w:lang w:val="es-CO"/>
        </w:rPr>
        <w:t>en el ámbito de la EEA son aquellos calificados dentro de las tres categorías de mayor significancia establecidas en la evaluación de impactos ambientales (numeral</w:t>
      </w:r>
      <w:r w:rsidR="00D12EA8" w:rsidRPr="00BD1319">
        <w:rPr>
          <w:rFonts w:cs="Arial"/>
          <w:spacing w:val="-3"/>
          <w:lang w:val="es-CO"/>
        </w:rPr>
        <w:t xml:space="preserve"> </w:t>
      </w:r>
      <w:r w:rsidR="00D12EA8" w:rsidRPr="00BD1319">
        <w:rPr>
          <w:rFonts w:cs="Arial"/>
          <w:spacing w:val="-3"/>
          <w:lang w:val="es-CO"/>
        </w:rPr>
        <w:fldChar w:fldCharType="begin"/>
      </w:r>
      <w:r w:rsidR="00D12EA8" w:rsidRPr="00BD1319">
        <w:rPr>
          <w:rFonts w:cs="Arial"/>
          <w:spacing w:val="-3"/>
          <w:lang w:val="es-CO"/>
        </w:rPr>
        <w:instrText xml:space="preserve"> REF _Ref78556131 \r \h </w:instrText>
      </w:r>
      <w:r w:rsidR="006A4128" w:rsidRPr="00BD1319">
        <w:rPr>
          <w:rFonts w:cs="Arial"/>
          <w:spacing w:val="-3"/>
          <w:lang w:val="es-CO"/>
        </w:rPr>
        <w:instrText xml:space="preserve"> \* MERGEFORMAT </w:instrText>
      </w:r>
      <w:r w:rsidR="00D12EA8" w:rsidRPr="00BD1319">
        <w:rPr>
          <w:rFonts w:cs="Arial"/>
          <w:spacing w:val="-3"/>
          <w:lang w:val="es-CO"/>
        </w:rPr>
      </w:r>
      <w:r w:rsidR="00D12EA8" w:rsidRPr="00BD1319">
        <w:rPr>
          <w:rFonts w:cs="Arial"/>
          <w:spacing w:val="-3"/>
          <w:lang w:val="es-CO"/>
        </w:rPr>
        <w:fldChar w:fldCharType="separate"/>
      </w:r>
      <w:r w:rsidR="00296654" w:rsidRPr="00BD1319">
        <w:rPr>
          <w:rFonts w:cs="Arial"/>
          <w:spacing w:val="-3"/>
          <w:lang w:val="es-CO"/>
        </w:rPr>
        <w:t>7</w:t>
      </w:r>
      <w:r w:rsidR="00D12EA8" w:rsidRPr="00BD1319">
        <w:rPr>
          <w:rFonts w:cs="Arial"/>
          <w:spacing w:val="-3"/>
          <w:lang w:val="es-CO"/>
        </w:rPr>
        <w:fldChar w:fldCharType="end"/>
      </w:r>
      <w:r w:rsidRPr="00BD1319">
        <w:rPr>
          <w:rFonts w:cs="Arial"/>
          <w:spacing w:val="-3"/>
          <w:lang w:val="es-CO"/>
        </w:rPr>
        <w:t>).</w:t>
      </w:r>
      <w:r w:rsidRPr="00BD1319">
        <w:rPr>
          <w:lang w:val="es-CO"/>
        </w:rPr>
        <w:t xml:space="preserve"> </w:t>
      </w:r>
      <w:r w:rsidRPr="00BD1319">
        <w:rPr>
          <w:spacing w:val="-3"/>
          <w:lang w:val="es-CO"/>
        </w:rPr>
        <w:t>Esta identificación permite orientar el análisis de internalización y la selección de metodologías apropiadas para la valoración económica de las externalidades.</w:t>
      </w:r>
    </w:p>
    <w:p w14:paraId="3E8A1AD4" w14:textId="77777777" w:rsidR="0056088F" w:rsidRPr="00BD1319" w:rsidRDefault="0056088F" w:rsidP="00C86DA5">
      <w:pPr>
        <w:tabs>
          <w:tab w:val="left" w:pos="-2268"/>
        </w:tabs>
        <w:suppressAutoHyphens/>
        <w:ind w:left="567" w:hanging="567"/>
        <w:rPr>
          <w:spacing w:val="-3"/>
        </w:rPr>
      </w:pPr>
    </w:p>
    <w:p w14:paraId="1039A5BE" w14:textId="321350B6" w:rsidR="007E3C84" w:rsidRPr="00BD1319" w:rsidRDefault="007225E3" w:rsidP="0056088F">
      <w:pPr>
        <w:pStyle w:val="Prrafodelista"/>
        <w:tabs>
          <w:tab w:val="left" w:pos="-2268"/>
        </w:tabs>
        <w:suppressAutoHyphens/>
        <w:ind w:left="567"/>
        <w:rPr>
          <w:spacing w:val="-3"/>
          <w:lang w:val="es-CO"/>
        </w:rPr>
      </w:pPr>
      <w:r w:rsidRPr="00BD1319">
        <w:rPr>
          <w:spacing w:val="-3"/>
          <w:lang w:val="es-CO"/>
        </w:rPr>
        <w:t xml:space="preserve">Si </w:t>
      </w:r>
      <w:r w:rsidR="00CC1C5D" w:rsidRPr="00BD1319">
        <w:rPr>
          <w:spacing w:val="-3"/>
          <w:lang w:val="es-CO"/>
        </w:rPr>
        <w:t xml:space="preserve">se </w:t>
      </w:r>
      <w:r w:rsidR="00F64ED9" w:rsidRPr="00BD1319">
        <w:rPr>
          <w:spacing w:val="-3"/>
          <w:lang w:val="es-CO"/>
        </w:rPr>
        <w:t xml:space="preserve">demuestra en el capítulo de evaluación ambiental que no </w:t>
      </w:r>
      <w:r w:rsidR="007E3C84" w:rsidRPr="00BD1319">
        <w:rPr>
          <w:spacing w:val="-3"/>
          <w:lang w:val="es-CO"/>
        </w:rPr>
        <w:t>exist</w:t>
      </w:r>
      <w:r w:rsidR="00F64ED9" w:rsidRPr="00BD1319">
        <w:rPr>
          <w:spacing w:val="-3"/>
          <w:lang w:val="es-CO"/>
        </w:rPr>
        <w:t xml:space="preserve">en </w:t>
      </w:r>
      <w:r w:rsidR="007E3C84" w:rsidRPr="00BD1319">
        <w:rPr>
          <w:spacing w:val="-3"/>
          <w:lang w:val="es-CO"/>
        </w:rPr>
        <w:t xml:space="preserve">impactos ambientales significativos </w:t>
      </w:r>
      <w:r w:rsidR="00CC1C5D" w:rsidRPr="00BD1319">
        <w:rPr>
          <w:spacing w:val="-3"/>
          <w:lang w:val="es-CO"/>
        </w:rPr>
        <w:t xml:space="preserve">sobre un componente o un conjunto de ellos </w:t>
      </w:r>
      <w:r w:rsidR="007E3C84" w:rsidRPr="00BD1319">
        <w:rPr>
          <w:spacing w:val="-3"/>
          <w:lang w:val="es-CO"/>
        </w:rPr>
        <w:t xml:space="preserve">que surjan </w:t>
      </w:r>
      <w:r w:rsidR="00F64ED9" w:rsidRPr="00BD1319">
        <w:rPr>
          <w:spacing w:val="-3"/>
          <w:lang w:val="es-CO"/>
        </w:rPr>
        <w:t xml:space="preserve">como consecuencia </w:t>
      </w:r>
      <w:r w:rsidR="007E3C84" w:rsidRPr="00BD1319">
        <w:rPr>
          <w:spacing w:val="-3"/>
          <w:lang w:val="es-CO"/>
        </w:rPr>
        <w:t xml:space="preserve">del proyecto, obra o actividad, </w:t>
      </w:r>
      <w:r w:rsidR="00CC1C5D" w:rsidRPr="00BD1319">
        <w:rPr>
          <w:spacing w:val="-3"/>
          <w:lang w:val="es-CO"/>
        </w:rPr>
        <w:t xml:space="preserve">para ellos </w:t>
      </w:r>
      <w:r w:rsidR="007E3C84" w:rsidRPr="00BD1319">
        <w:rPr>
          <w:spacing w:val="-3"/>
          <w:lang w:val="es-CO"/>
        </w:rPr>
        <w:t xml:space="preserve">no es exigible </w:t>
      </w:r>
      <w:r w:rsidR="00F64ED9" w:rsidRPr="00BD1319">
        <w:rPr>
          <w:spacing w:val="-3"/>
          <w:lang w:val="es-CO"/>
        </w:rPr>
        <w:t xml:space="preserve">el desarrollo </w:t>
      </w:r>
      <w:r w:rsidR="007E3C84" w:rsidRPr="00BD1319">
        <w:rPr>
          <w:spacing w:val="-3"/>
          <w:lang w:val="es-CO"/>
        </w:rPr>
        <w:t xml:space="preserve">de </w:t>
      </w:r>
      <w:r w:rsidR="00F64ED9" w:rsidRPr="00BD1319">
        <w:rPr>
          <w:spacing w:val="-3"/>
          <w:lang w:val="es-CO"/>
        </w:rPr>
        <w:t xml:space="preserve">la </w:t>
      </w:r>
      <w:r w:rsidR="007E3C84" w:rsidRPr="00BD1319">
        <w:rPr>
          <w:spacing w:val="-3"/>
          <w:lang w:val="es-CO"/>
        </w:rPr>
        <w:t>E</w:t>
      </w:r>
      <w:r w:rsidR="00F64ED9" w:rsidRPr="00BD1319">
        <w:rPr>
          <w:spacing w:val="-3"/>
          <w:lang w:val="es-CO"/>
        </w:rPr>
        <w:t>EA</w:t>
      </w:r>
      <w:r w:rsidR="007E3C84" w:rsidRPr="00BD1319">
        <w:rPr>
          <w:spacing w:val="-3"/>
          <w:lang w:val="es-CO"/>
        </w:rPr>
        <w:t>.</w:t>
      </w:r>
    </w:p>
    <w:p w14:paraId="7F56EAA6" w14:textId="77777777" w:rsidR="007E3C84" w:rsidRPr="00BD1319" w:rsidRDefault="007E3C84" w:rsidP="009420F5">
      <w:pPr>
        <w:tabs>
          <w:tab w:val="left" w:pos="-2268"/>
        </w:tabs>
        <w:suppressAutoHyphens/>
        <w:rPr>
          <w:rFonts w:cs="Arial"/>
          <w:spacing w:val="-3"/>
        </w:rPr>
      </w:pPr>
    </w:p>
    <w:p w14:paraId="53340F21" w14:textId="5DD828A5" w:rsidR="0056088F" w:rsidRPr="00BD1319" w:rsidRDefault="0056088F" w:rsidP="0056088F">
      <w:pPr>
        <w:pStyle w:val="Prrafodelista"/>
        <w:tabs>
          <w:tab w:val="left" w:pos="-2268"/>
        </w:tabs>
        <w:suppressAutoHyphens/>
        <w:ind w:left="567"/>
        <w:rPr>
          <w:rFonts w:cs="Arial"/>
          <w:spacing w:val="-3"/>
          <w:lang w:val="es-CO"/>
        </w:rPr>
      </w:pPr>
      <w:r w:rsidRPr="00BD1319">
        <w:rPr>
          <w:rFonts w:cs="Arial"/>
          <w:spacing w:val="-3"/>
          <w:lang w:val="es-CO"/>
        </w:rPr>
        <w:t xml:space="preserve">La autoridad ambiental que evalúa la viabilidad ambiental del proyecto, obra o actividad </w:t>
      </w:r>
      <w:r w:rsidRPr="00BD1319">
        <w:rPr>
          <w:rFonts w:cs="Arial"/>
          <w:lang w:val="es-CO"/>
        </w:rPr>
        <w:t>sujeta</w:t>
      </w:r>
      <w:r w:rsidRPr="00BD1319">
        <w:rPr>
          <w:rFonts w:cs="Arial"/>
          <w:spacing w:val="-3"/>
          <w:lang w:val="es-CO"/>
        </w:rPr>
        <w:t xml:space="preserve"> a licenciamiento, se reserva la posibilidad de solicitar al interesado la inclusión de impactos significativos adicionales, teniendo en cuenta el contexto biofísico y socioeconómico del área de influencia, lo contenido en otros capítulos del EIA, así como la información de orden regional que posee para su área de jurisdicción.</w:t>
      </w:r>
    </w:p>
    <w:p w14:paraId="046A2397" w14:textId="74B8AFE1" w:rsidR="0056088F" w:rsidRPr="00BD1319" w:rsidRDefault="0056088F" w:rsidP="0056088F">
      <w:pPr>
        <w:tabs>
          <w:tab w:val="left" w:pos="-2268"/>
        </w:tabs>
        <w:suppressAutoHyphens/>
        <w:rPr>
          <w:rFonts w:cs="Arial"/>
          <w:spacing w:val="-3"/>
        </w:rPr>
      </w:pPr>
    </w:p>
    <w:p w14:paraId="42208988" w14:textId="0CFC3968" w:rsidR="0056088F" w:rsidRPr="00BD1319" w:rsidRDefault="0056088F" w:rsidP="00C86DA5">
      <w:pPr>
        <w:pStyle w:val="Prrafodelista"/>
        <w:numPr>
          <w:ilvl w:val="0"/>
          <w:numId w:val="5"/>
        </w:numPr>
        <w:tabs>
          <w:tab w:val="left" w:pos="-2268"/>
        </w:tabs>
        <w:suppressAutoHyphens/>
        <w:ind w:left="567" w:hanging="567"/>
        <w:rPr>
          <w:spacing w:val="-3"/>
          <w:lang w:val="es-CO"/>
        </w:rPr>
      </w:pPr>
      <w:r w:rsidRPr="00BD1319">
        <w:rPr>
          <w:b/>
          <w:spacing w:val="-3"/>
          <w:lang w:val="es-CO"/>
        </w:rPr>
        <w:t xml:space="preserve">Identificación de </w:t>
      </w:r>
      <w:r w:rsidR="00811F7B" w:rsidRPr="00BD1319">
        <w:rPr>
          <w:b/>
          <w:spacing w:val="-3"/>
          <w:lang w:val="es-CO"/>
        </w:rPr>
        <w:t xml:space="preserve">los </w:t>
      </w:r>
      <w:r w:rsidRPr="00BD1319">
        <w:rPr>
          <w:b/>
          <w:spacing w:val="-3"/>
          <w:lang w:val="es-CO"/>
        </w:rPr>
        <w:t xml:space="preserve">impactos </w:t>
      </w:r>
      <w:r w:rsidR="00E27186" w:rsidRPr="00BD1319">
        <w:rPr>
          <w:b/>
          <w:spacing w:val="-3"/>
          <w:lang w:val="es-CO"/>
        </w:rPr>
        <w:t xml:space="preserve">negativos </w:t>
      </w:r>
      <w:proofErr w:type="spellStart"/>
      <w:r w:rsidRPr="00BD1319">
        <w:rPr>
          <w:b/>
          <w:spacing w:val="-3"/>
          <w:lang w:val="es-CO"/>
        </w:rPr>
        <w:t>internalizables</w:t>
      </w:r>
      <w:proofErr w:type="spellEnd"/>
      <w:r w:rsidRPr="00BD1319">
        <w:rPr>
          <w:b/>
          <w:spacing w:val="-3"/>
          <w:lang w:val="es-CO"/>
        </w:rPr>
        <w:t xml:space="preserve"> y no </w:t>
      </w:r>
      <w:proofErr w:type="spellStart"/>
      <w:r w:rsidRPr="00BD1319">
        <w:rPr>
          <w:b/>
          <w:spacing w:val="-3"/>
          <w:lang w:val="es-CO"/>
        </w:rPr>
        <w:t>internalizables</w:t>
      </w:r>
      <w:proofErr w:type="spellEnd"/>
      <w:r w:rsidRPr="00BD1319">
        <w:rPr>
          <w:spacing w:val="-3"/>
          <w:lang w:val="es-CO"/>
        </w:rPr>
        <w:t xml:space="preserve">: una vez identificados los impactos ambientales </w:t>
      </w:r>
      <w:r w:rsidRPr="00BD1319">
        <w:rPr>
          <w:rFonts w:cs="Arial"/>
          <w:spacing w:val="-3"/>
          <w:lang w:val="es-CO"/>
        </w:rPr>
        <w:t>significativos</w:t>
      </w:r>
      <w:r w:rsidRPr="00BD1319">
        <w:rPr>
          <w:spacing w:val="-3"/>
          <w:lang w:val="es-CO"/>
        </w:rPr>
        <w:t xml:space="preserve">, éstos deben ser </w:t>
      </w:r>
      <w:r w:rsidRPr="00BD1319">
        <w:rPr>
          <w:lang w:val="es-CO"/>
        </w:rPr>
        <w:t>clasificados</w:t>
      </w:r>
      <w:r w:rsidRPr="00BD1319">
        <w:rPr>
          <w:spacing w:val="-3"/>
          <w:lang w:val="es-CO"/>
        </w:rPr>
        <w:t xml:space="preserve"> en </w:t>
      </w:r>
      <w:proofErr w:type="spellStart"/>
      <w:r w:rsidRPr="00BD1319">
        <w:rPr>
          <w:spacing w:val="-3"/>
          <w:lang w:val="es-CO"/>
        </w:rPr>
        <w:t>internalizables</w:t>
      </w:r>
      <w:proofErr w:type="spellEnd"/>
      <w:r w:rsidRPr="00BD1319">
        <w:rPr>
          <w:spacing w:val="-3"/>
          <w:lang w:val="es-CO"/>
        </w:rPr>
        <w:t xml:space="preserve"> y no </w:t>
      </w:r>
      <w:proofErr w:type="spellStart"/>
      <w:r w:rsidRPr="00BD1319">
        <w:rPr>
          <w:spacing w:val="-3"/>
          <w:lang w:val="es-CO"/>
        </w:rPr>
        <w:t>internalizables</w:t>
      </w:r>
      <w:proofErr w:type="spellEnd"/>
      <w:r w:rsidRPr="00BD1319">
        <w:rPr>
          <w:spacing w:val="-3"/>
          <w:lang w:val="es-CO"/>
        </w:rPr>
        <w:t>; para ello, es necesario tener en cuenta la jerarquía de las medidas de manejo</w:t>
      </w:r>
      <w:r w:rsidRPr="00BD1319">
        <w:rPr>
          <w:rStyle w:val="Refdenotaalpie"/>
          <w:rFonts w:cs="Arial"/>
          <w:spacing w:val="-3"/>
          <w:lang w:val="es-CO"/>
        </w:rPr>
        <w:footnoteReference w:id="201"/>
      </w:r>
      <w:r w:rsidRPr="00BD1319">
        <w:rPr>
          <w:spacing w:val="-3"/>
          <w:lang w:val="es-CO"/>
        </w:rPr>
        <w:t xml:space="preserve"> y las siguientes definiciones:</w:t>
      </w:r>
    </w:p>
    <w:p w14:paraId="75490902" w14:textId="77777777" w:rsidR="0056088F" w:rsidRPr="00BD1319" w:rsidRDefault="0056088F">
      <w:pPr>
        <w:numPr>
          <w:ilvl w:val="12"/>
          <w:numId w:val="0"/>
        </w:numPr>
        <w:tabs>
          <w:tab w:val="left" w:pos="-2268"/>
        </w:tabs>
        <w:suppressAutoHyphens/>
        <w:rPr>
          <w:spacing w:val="-3"/>
        </w:rPr>
      </w:pPr>
    </w:p>
    <w:p w14:paraId="0DEB936E" w14:textId="5F1734AE" w:rsidR="0056088F" w:rsidRPr="00BD1319" w:rsidRDefault="0056088F" w:rsidP="00C86DA5">
      <w:pPr>
        <w:numPr>
          <w:ilvl w:val="0"/>
          <w:numId w:val="33"/>
        </w:numPr>
        <w:tabs>
          <w:tab w:val="left" w:pos="-2268"/>
        </w:tabs>
        <w:suppressAutoHyphens/>
        <w:ind w:left="1134" w:hanging="567"/>
        <w:rPr>
          <w:spacing w:val="-3"/>
        </w:rPr>
      </w:pPr>
      <w:r w:rsidRPr="00BD1319">
        <w:rPr>
          <w:spacing w:val="-3"/>
        </w:rPr>
        <w:t xml:space="preserve">Los </w:t>
      </w:r>
      <w:r w:rsidRPr="00BD1319">
        <w:rPr>
          <w:b/>
          <w:i/>
          <w:spacing w:val="-3"/>
        </w:rPr>
        <w:t xml:space="preserve">impactos ambientales </w:t>
      </w:r>
      <w:proofErr w:type="spellStart"/>
      <w:r w:rsidRPr="00BD1319">
        <w:rPr>
          <w:b/>
          <w:i/>
          <w:spacing w:val="-3"/>
        </w:rPr>
        <w:t>internalizables</w:t>
      </w:r>
      <w:proofErr w:type="spellEnd"/>
      <w:r w:rsidRPr="00BD1319">
        <w:rPr>
          <w:spacing w:val="-3"/>
        </w:rPr>
        <w:t xml:space="preserve"> </w:t>
      </w:r>
      <w:r w:rsidRPr="00BD1319">
        <w:rPr>
          <w:rFonts w:cs="Arial"/>
          <w:spacing w:val="-3"/>
        </w:rPr>
        <w:t>corresponden</w:t>
      </w:r>
      <w:r w:rsidRPr="00BD1319">
        <w:rPr>
          <w:spacing w:val="-3"/>
        </w:rPr>
        <w:t xml:space="preserve"> a impactos para los cuales las medidas de prevención y corrección </w:t>
      </w:r>
      <w:r w:rsidRPr="00BD1319">
        <w:t xml:space="preserve">contempladas en el Plan de Manejo Ambiental (PMA) garantizan que no </w:t>
      </w:r>
      <w:r w:rsidRPr="00BD1319">
        <w:rPr>
          <w:rFonts w:cs="Arial"/>
        </w:rPr>
        <w:t>existirán</w:t>
      </w:r>
      <w:r w:rsidRPr="00BD1319">
        <w:t xml:space="preserve"> afectaciones sobre el bienestar de la población</w:t>
      </w:r>
      <w:r w:rsidRPr="00BD1319">
        <w:rPr>
          <w:spacing w:val="-3"/>
        </w:rPr>
        <w:t xml:space="preserve">, pues pueden </w:t>
      </w:r>
      <w:r w:rsidR="00EC4A5C" w:rsidRPr="00BD1319">
        <w:rPr>
          <w:spacing w:val="-3"/>
        </w:rPr>
        <w:t>gestionarlas técnicamente</w:t>
      </w:r>
      <w:r w:rsidR="00F64ED9" w:rsidRPr="00BD1319">
        <w:rPr>
          <w:rStyle w:val="Refdenotaalpie"/>
          <w:rFonts w:cs="Arial"/>
          <w:spacing w:val="-3"/>
          <w:lang w:val="es-CO"/>
        </w:rPr>
        <w:footnoteReference w:id="202"/>
      </w:r>
      <w:r w:rsidRPr="00BD1319">
        <w:rPr>
          <w:spacing w:val="-3"/>
        </w:rPr>
        <w:t>.</w:t>
      </w:r>
      <w:r w:rsidRPr="00BD1319">
        <w:rPr>
          <w:rFonts w:cs="Arial"/>
        </w:rPr>
        <w:t xml:space="preserve"> Ello quiere decir, que estas medidas de manejo hacen posible que no se presenten cambios en las condiciones ambientales dada la ejecución de las actividades del proyecto.</w:t>
      </w:r>
    </w:p>
    <w:p w14:paraId="3CD301D4" w14:textId="77777777" w:rsidR="00C05E2A" w:rsidRPr="00BD1319" w:rsidRDefault="00C05E2A" w:rsidP="009420F5">
      <w:pPr>
        <w:tabs>
          <w:tab w:val="left" w:pos="-2268"/>
        </w:tabs>
        <w:suppressAutoHyphens/>
        <w:rPr>
          <w:spacing w:val="-3"/>
        </w:rPr>
      </w:pPr>
    </w:p>
    <w:p w14:paraId="529BFC6D" w14:textId="14D17D64" w:rsidR="0056088F" w:rsidRPr="00BD1319" w:rsidRDefault="0056088F" w:rsidP="00C86DA5">
      <w:pPr>
        <w:numPr>
          <w:ilvl w:val="0"/>
          <w:numId w:val="34"/>
        </w:numPr>
        <w:tabs>
          <w:tab w:val="left" w:pos="-2268"/>
        </w:tabs>
        <w:suppressAutoHyphens/>
        <w:ind w:left="1134" w:hanging="567"/>
        <w:rPr>
          <w:rFonts w:eastAsia="Arial"/>
          <w:spacing w:val="-3"/>
        </w:rPr>
      </w:pPr>
      <w:r w:rsidRPr="00BD1319">
        <w:rPr>
          <w:spacing w:val="-3"/>
        </w:rPr>
        <w:lastRenderedPageBreak/>
        <w:t xml:space="preserve">Los </w:t>
      </w:r>
      <w:r w:rsidRPr="00BD1319">
        <w:rPr>
          <w:b/>
          <w:i/>
          <w:spacing w:val="-3"/>
        </w:rPr>
        <w:t xml:space="preserve">impactos ambientales no </w:t>
      </w:r>
      <w:proofErr w:type="spellStart"/>
      <w:r w:rsidRPr="00BD1319">
        <w:rPr>
          <w:b/>
          <w:i/>
          <w:spacing w:val="-3"/>
        </w:rPr>
        <w:t>internalizables</w:t>
      </w:r>
      <w:proofErr w:type="spellEnd"/>
      <w:r w:rsidRPr="00BD1319">
        <w:rPr>
          <w:spacing w:val="-3"/>
        </w:rPr>
        <w:t xml:space="preserve"> corresponden a </w:t>
      </w:r>
      <w:r w:rsidRPr="00BD1319">
        <w:t>impacto</w:t>
      </w:r>
      <w:r w:rsidRPr="00BD1319">
        <w:rPr>
          <w:spacing w:val="-3"/>
        </w:rPr>
        <w:t>s que persisten</w:t>
      </w:r>
      <w:r w:rsidRPr="00BD1319">
        <w:t xml:space="preserve"> </w:t>
      </w:r>
      <w:r w:rsidRPr="00BD1319">
        <w:rPr>
          <w:rFonts w:cs="Arial"/>
        </w:rPr>
        <w:t xml:space="preserve">y que no pueden ser </w:t>
      </w:r>
      <w:r w:rsidR="00605D4E" w:rsidRPr="00BD1319">
        <w:rPr>
          <w:rFonts w:cs="Arial"/>
        </w:rPr>
        <w:t xml:space="preserve">prevenidos </w:t>
      </w:r>
      <w:r w:rsidR="00C05E2A" w:rsidRPr="00BD1319">
        <w:rPr>
          <w:rFonts w:cs="Arial"/>
        </w:rPr>
        <w:t>ni</w:t>
      </w:r>
      <w:r w:rsidRPr="00BD1319">
        <w:rPr>
          <w:rFonts w:cs="Arial"/>
        </w:rPr>
        <w:t xml:space="preserve"> corregidos en su totalidad</w:t>
      </w:r>
      <w:r w:rsidRPr="00BD1319">
        <w:rPr>
          <w:rFonts w:cs="Arial"/>
          <w:spacing w:val="-3"/>
        </w:rPr>
        <w:t xml:space="preserve"> </w:t>
      </w:r>
      <w:r w:rsidRPr="00BD1319">
        <w:rPr>
          <w:spacing w:val="-3"/>
        </w:rPr>
        <w:t xml:space="preserve">una vez han sido contempladas todas las medidas </w:t>
      </w:r>
      <w:r w:rsidR="00591F73" w:rsidRPr="00BD1319">
        <w:rPr>
          <w:spacing w:val="-3"/>
        </w:rPr>
        <w:t xml:space="preserve">prevención y corrección </w:t>
      </w:r>
      <w:r w:rsidRPr="00BD1319">
        <w:rPr>
          <w:spacing w:val="-3"/>
        </w:rPr>
        <w:t>de</w:t>
      </w:r>
      <w:r w:rsidRPr="00BD1319">
        <w:t>l</w:t>
      </w:r>
      <w:r w:rsidRPr="00BD1319">
        <w:rPr>
          <w:spacing w:val="-3"/>
        </w:rPr>
        <w:t xml:space="preserve"> Plan de Manejo Ambiental</w:t>
      </w:r>
      <w:r w:rsidRPr="00BD1319">
        <w:rPr>
          <w:rFonts w:cs="Arial"/>
        </w:rPr>
        <w:t xml:space="preserve">. En ese sentido, los impactos ambientales no </w:t>
      </w:r>
      <w:proofErr w:type="spellStart"/>
      <w:r w:rsidRPr="00BD1319">
        <w:rPr>
          <w:rFonts w:cs="Arial"/>
        </w:rPr>
        <w:t>internalizables</w:t>
      </w:r>
      <w:proofErr w:type="spellEnd"/>
      <w:r w:rsidRPr="00BD1319">
        <w:rPr>
          <w:rFonts w:cs="Arial"/>
        </w:rPr>
        <w:t xml:space="preserve"> son impactos residuales que</w:t>
      </w:r>
      <w:r w:rsidRPr="00BD1319">
        <w:t xml:space="preserve"> deben ser </w:t>
      </w:r>
      <w:r w:rsidRPr="00BD1319">
        <w:rPr>
          <w:rFonts w:cs="Arial"/>
        </w:rPr>
        <w:t>valorados económicamente, y cuyo monto debe ser un proxy de las medidas de compensación a realizar</w:t>
      </w:r>
      <w:r w:rsidRPr="00BD1319">
        <w:t>.</w:t>
      </w:r>
    </w:p>
    <w:p w14:paraId="6C404A6A" w14:textId="1F8E06D1" w:rsidR="0056088F" w:rsidRPr="00BD1319" w:rsidRDefault="0056088F" w:rsidP="00C86DA5">
      <w:pPr>
        <w:tabs>
          <w:tab w:val="left" w:pos="-2268"/>
        </w:tabs>
        <w:suppressAutoHyphens/>
        <w:rPr>
          <w:spacing w:val="-3"/>
        </w:rPr>
      </w:pPr>
    </w:p>
    <w:p w14:paraId="0B592396" w14:textId="67FFDD2F" w:rsidR="0056088F" w:rsidRPr="00BD1319" w:rsidRDefault="0056088F" w:rsidP="00C86DA5">
      <w:pPr>
        <w:pStyle w:val="Prrafodelista"/>
        <w:tabs>
          <w:tab w:val="left" w:pos="-2268"/>
        </w:tabs>
        <w:suppressAutoHyphens/>
        <w:ind w:left="567"/>
        <w:rPr>
          <w:spacing w:val="-3"/>
          <w:lang w:val="es-CO"/>
        </w:rPr>
      </w:pPr>
      <w:r w:rsidRPr="00BD1319">
        <w:rPr>
          <w:spacing w:val="-3"/>
          <w:lang w:val="es-CO"/>
        </w:rPr>
        <w:t xml:space="preserve">Las consideraciones detalladas para el desarrollo de esta fase se encuentran en el Instructivo B del documento </w:t>
      </w:r>
      <w:r w:rsidRPr="00BD1319">
        <w:rPr>
          <w:rFonts w:cs="Arial"/>
          <w:spacing w:val="-3"/>
          <w:lang w:val="es-CO"/>
        </w:rPr>
        <w:t>anexo a la Resolución 1669 de 2017</w:t>
      </w:r>
      <w:r w:rsidRPr="00BD1319">
        <w:rPr>
          <w:rFonts w:cs="Arial"/>
          <w:lang w:val="es-CO"/>
        </w:rPr>
        <w:t>, o aquella que la modifique o sustituya</w:t>
      </w:r>
      <w:r w:rsidRPr="00BD1319">
        <w:rPr>
          <w:rFonts w:cs="Arial"/>
          <w:spacing w:val="-3"/>
          <w:lang w:val="es-CO"/>
        </w:rPr>
        <w:t>,</w:t>
      </w:r>
      <w:r w:rsidRPr="00BD1319">
        <w:rPr>
          <w:spacing w:val="-3"/>
          <w:lang w:val="es-CO"/>
        </w:rPr>
        <w:t xml:space="preserve"> </w:t>
      </w:r>
      <w:r w:rsidRPr="00BD1319">
        <w:rPr>
          <w:i/>
          <w:spacing w:val="-3"/>
          <w:lang w:val="es-CO"/>
        </w:rPr>
        <w:t>Criterios técnicos para el uso de herramientas económicas en los proyectos, obras o actividades objeto de licenciamiento ambiental.</w:t>
      </w:r>
    </w:p>
    <w:p w14:paraId="75B6F2FA" w14:textId="77777777" w:rsidR="0056088F" w:rsidRPr="00BD1319" w:rsidRDefault="0056088F" w:rsidP="009420F5">
      <w:pPr>
        <w:numPr>
          <w:ilvl w:val="12"/>
          <w:numId w:val="0"/>
        </w:numPr>
        <w:tabs>
          <w:tab w:val="left" w:pos="-2268"/>
        </w:tabs>
        <w:suppressAutoHyphens/>
        <w:rPr>
          <w:spacing w:val="-3"/>
        </w:rPr>
      </w:pPr>
    </w:p>
    <w:p w14:paraId="06945796" w14:textId="43C41881" w:rsidR="0056088F" w:rsidRPr="00BD1319" w:rsidRDefault="0056088F" w:rsidP="002A76C0">
      <w:pPr>
        <w:pStyle w:val="Prrafodelista"/>
        <w:tabs>
          <w:tab w:val="left" w:pos="-2268"/>
        </w:tabs>
        <w:suppressAutoHyphens/>
        <w:ind w:left="567"/>
        <w:rPr>
          <w:rFonts w:cs="Arial"/>
          <w:spacing w:val="-3"/>
          <w:lang w:val="es-CO"/>
        </w:rPr>
      </w:pPr>
      <w:r w:rsidRPr="00BD1319">
        <w:rPr>
          <w:spacing w:val="-3"/>
          <w:lang w:val="es-CO"/>
        </w:rPr>
        <w:t>Cabe recalcar que</w:t>
      </w:r>
      <w:r w:rsidRPr="00BD1319">
        <w:rPr>
          <w:lang w:val="es-CO"/>
        </w:rPr>
        <w:t xml:space="preserve"> </w:t>
      </w:r>
      <w:r w:rsidRPr="00BD1319">
        <w:rPr>
          <w:rFonts w:cs="Arial"/>
          <w:lang w:val="es-CO"/>
        </w:rPr>
        <w:t xml:space="preserve">la clasificación de </w:t>
      </w:r>
      <w:r w:rsidRPr="00BD1319">
        <w:rPr>
          <w:spacing w:val="-3"/>
          <w:lang w:val="es-CO"/>
        </w:rPr>
        <w:t xml:space="preserve">un impacto como </w:t>
      </w:r>
      <w:proofErr w:type="spellStart"/>
      <w:r w:rsidRPr="00BD1319">
        <w:rPr>
          <w:spacing w:val="-3"/>
          <w:lang w:val="es-CO"/>
        </w:rPr>
        <w:t>internalizable</w:t>
      </w:r>
      <w:proofErr w:type="spellEnd"/>
      <w:r w:rsidRPr="00BD1319">
        <w:rPr>
          <w:spacing w:val="-3"/>
          <w:lang w:val="es-CO"/>
        </w:rPr>
        <w:t>, depende de la efectividad de las medidas de prevención y corrección contenidas en el PMA</w:t>
      </w:r>
      <w:r w:rsidRPr="00BD1319">
        <w:rPr>
          <w:rStyle w:val="Refdenotaalpie"/>
          <w:rFonts w:cs="Arial"/>
          <w:spacing w:val="-3"/>
          <w:lang w:val="es-CO"/>
        </w:rPr>
        <w:footnoteReference w:id="203"/>
      </w:r>
      <w:r w:rsidRPr="00BD1319">
        <w:rPr>
          <w:spacing w:val="-3"/>
          <w:lang w:val="es-CO"/>
        </w:rPr>
        <w:t xml:space="preserve">. Para que sea considerado como tal, </w:t>
      </w:r>
      <w:r w:rsidR="002A76C0" w:rsidRPr="00BD1319">
        <w:rPr>
          <w:spacing w:val="-3"/>
          <w:lang w:val="es-CO"/>
        </w:rPr>
        <w:t xml:space="preserve">tales </w:t>
      </w:r>
      <w:r w:rsidRPr="00BD1319">
        <w:rPr>
          <w:spacing w:val="-3"/>
          <w:lang w:val="es-CO"/>
        </w:rPr>
        <w:t xml:space="preserve">medidas deben conducir a que </w:t>
      </w:r>
      <w:r w:rsidR="002A76C0" w:rsidRPr="00BD1319">
        <w:rPr>
          <w:spacing w:val="-3"/>
          <w:lang w:val="es-CO"/>
        </w:rPr>
        <w:t xml:space="preserve">dicho </w:t>
      </w:r>
      <w:r w:rsidRPr="00BD1319">
        <w:rPr>
          <w:spacing w:val="-3"/>
          <w:lang w:val="es-CO"/>
        </w:rPr>
        <w:t xml:space="preserve">impacto </w:t>
      </w:r>
      <w:r w:rsidR="002A76C0" w:rsidRPr="00BD1319">
        <w:rPr>
          <w:spacing w:val="-3"/>
          <w:lang w:val="es-CO"/>
        </w:rPr>
        <w:t xml:space="preserve">sea efectivamente </w:t>
      </w:r>
      <w:r w:rsidR="00EC4A5C" w:rsidRPr="00BD1319">
        <w:rPr>
          <w:spacing w:val="-3"/>
          <w:lang w:val="es-CO"/>
        </w:rPr>
        <w:t xml:space="preserve">manejado </w:t>
      </w:r>
      <w:r w:rsidR="002A76C0" w:rsidRPr="00BD1319">
        <w:rPr>
          <w:spacing w:val="-3"/>
          <w:lang w:val="es-CO"/>
        </w:rPr>
        <w:t>y no produzca afectaciones sobre el bienestar social</w:t>
      </w:r>
      <w:r w:rsidR="002A76C0" w:rsidRPr="00BD1319">
        <w:rPr>
          <w:rFonts w:cs="Arial"/>
          <w:spacing w:val="-3"/>
          <w:lang w:val="es-CO"/>
        </w:rPr>
        <w:t>,</w:t>
      </w:r>
      <w:r w:rsidR="002A76C0" w:rsidRPr="00BD1319">
        <w:rPr>
          <w:spacing w:val="-3"/>
          <w:lang w:val="es-CO"/>
        </w:rPr>
        <w:t xml:space="preserve"> </w:t>
      </w:r>
      <w:r w:rsidRPr="00BD1319">
        <w:rPr>
          <w:rFonts w:cs="Arial"/>
          <w:spacing w:val="-3"/>
          <w:lang w:val="es-CO"/>
        </w:rPr>
        <w:t xml:space="preserve">es decir, </w:t>
      </w:r>
      <w:r w:rsidRPr="00BD1319">
        <w:rPr>
          <w:spacing w:val="-3"/>
          <w:lang w:val="es-CO"/>
        </w:rPr>
        <w:t xml:space="preserve">no </w:t>
      </w:r>
      <w:r w:rsidRPr="00BD1319">
        <w:rPr>
          <w:rFonts w:cs="Arial"/>
          <w:spacing w:val="-3"/>
          <w:lang w:val="es-CO"/>
        </w:rPr>
        <w:t>debe corresponder a un impacto ambiental residual</w:t>
      </w:r>
      <w:r w:rsidRPr="00BD1319">
        <w:rPr>
          <w:rStyle w:val="Refdenotaalpie"/>
          <w:rFonts w:cs="Arial"/>
          <w:spacing w:val="-3"/>
          <w:lang w:val="es-CO"/>
        </w:rPr>
        <w:footnoteReference w:id="204"/>
      </w:r>
      <w:r w:rsidRPr="00BD1319">
        <w:rPr>
          <w:rFonts w:cs="Arial"/>
          <w:spacing w:val="-3"/>
          <w:lang w:val="es-CO"/>
        </w:rPr>
        <w:t>.</w:t>
      </w:r>
    </w:p>
    <w:p w14:paraId="03F0C53A" w14:textId="77777777" w:rsidR="0056088F" w:rsidRPr="00BD1319" w:rsidRDefault="0056088F" w:rsidP="009420F5">
      <w:pPr>
        <w:tabs>
          <w:tab w:val="left" w:pos="-2268"/>
        </w:tabs>
        <w:suppressAutoHyphens/>
        <w:rPr>
          <w:rFonts w:cs="Arial"/>
          <w:spacing w:val="-3"/>
        </w:rPr>
      </w:pPr>
    </w:p>
    <w:p w14:paraId="46CAEA3B" w14:textId="48329065" w:rsidR="0056088F" w:rsidRPr="00BD1319" w:rsidRDefault="009E6424" w:rsidP="00C86DA5">
      <w:pPr>
        <w:pStyle w:val="Prrafodelista"/>
        <w:tabs>
          <w:tab w:val="left" w:pos="-2268"/>
        </w:tabs>
        <w:suppressAutoHyphens/>
        <w:ind w:left="567"/>
        <w:rPr>
          <w:spacing w:val="-3"/>
          <w:lang w:val="es-CO"/>
        </w:rPr>
      </w:pPr>
      <w:r w:rsidRPr="00BD1319">
        <w:rPr>
          <w:spacing w:val="-3"/>
          <w:lang w:val="es-CO"/>
        </w:rPr>
        <w:t>Si</w:t>
      </w:r>
      <w:r w:rsidR="0056088F" w:rsidRPr="00BD1319">
        <w:rPr>
          <w:spacing w:val="-3"/>
          <w:lang w:val="es-CO"/>
        </w:rPr>
        <w:t xml:space="preserve"> </w:t>
      </w:r>
      <w:r w:rsidR="00591F73" w:rsidRPr="00BD1319">
        <w:rPr>
          <w:spacing w:val="-3"/>
          <w:lang w:val="es-CO"/>
        </w:rPr>
        <w:t xml:space="preserve">un </w:t>
      </w:r>
      <w:r w:rsidR="0056088F" w:rsidRPr="00BD1319">
        <w:rPr>
          <w:spacing w:val="-3"/>
          <w:lang w:val="es-CO"/>
        </w:rPr>
        <w:t xml:space="preserve">impacto </w:t>
      </w:r>
      <w:r w:rsidR="00591F73" w:rsidRPr="00BD1319">
        <w:rPr>
          <w:spacing w:val="-3"/>
          <w:lang w:val="es-CO"/>
        </w:rPr>
        <w:t xml:space="preserve">ambiental </w:t>
      </w:r>
      <w:r w:rsidR="0056088F" w:rsidRPr="00BD1319">
        <w:rPr>
          <w:spacing w:val="-3"/>
          <w:lang w:val="es-CO"/>
        </w:rPr>
        <w:t>persist</w:t>
      </w:r>
      <w:r w:rsidRPr="00BD1319">
        <w:rPr>
          <w:spacing w:val="-3"/>
          <w:lang w:val="es-CO"/>
        </w:rPr>
        <w:t>e</w:t>
      </w:r>
      <w:r w:rsidR="0056088F" w:rsidRPr="00BD1319">
        <w:rPr>
          <w:spacing w:val="-3"/>
          <w:lang w:val="es-CO"/>
        </w:rPr>
        <w:t xml:space="preserve"> aún con las medidas de prevención, mitigación y corrección contempladas, </w:t>
      </w:r>
      <w:r w:rsidR="00591F73" w:rsidRPr="00BD1319">
        <w:rPr>
          <w:spacing w:val="-3"/>
          <w:lang w:val="es-CO"/>
        </w:rPr>
        <w:t xml:space="preserve">dicho </w:t>
      </w:r>
      <w:r w:rsidR="0056088F" w:rsidRPr="00BD1319">
        <w:rPr>
          <w:spacing w:val="-3"/>
          <w:lang w:val="es-CO"/>
        </w:rPr>
        <w:t xml:space="preserve">impacto o la fracción </w:t>
      </w:r>
      <w:r w:rsidR="007E3C84" w:rsidRPr="00BD1319">
        <w:rPr>
          <w:spacing w:val="-3"/>
          <w:lang w:val="es-CO"/>
        </w:rPr>
        <w:t xml:space="preserve">no mitigada </w:t>
      </w:r>
      <w:r w:rsidR="0056088F" w:rsidRPr="00BD1319">
        <w:rPr>
          <w:spacing w:val="-3"/>
          <w:lang w:val="es-CO"/>
        </w:rPr>
        <w:t xml:space="preserve">del mismo debe considerarse como no </w:t>
      </w:r>
      <w:proofErr w:type="spellStart"/>
      <w:r w:rsidR="0056088F" w:rsidRPr="00BD1319">
        <w:rPr>
          <w:spacing w:val="-3"/>
          <w:lang w:val="es-CO"/>
        </w:rPr>
        <w:t>internalizable</w:t>
      </w:r>
      <w:proofErr w:type="spellEnd"/>
      <w:r w:rsidR="0056088F" w:rsidRPr="00BD1319">
        <w:rPr>
          <w:rFonts w:cs="Arial"/>
          <w:spacing w:val="-3"/>
          <w:lang w:val="es-CO"/>
        </w:rPr>
        <w:t>,</w:t>
      </w:r>
      <w:r w:rsidR="0056088F" w:rsidRPr="00BD1319">
        <w:rPr>
          <w:rFonts w:cs="Arial"/>
          <w:lang w:val="es-CO"/>
        </w:rPr>
        <w:t xml:space="preserve"> y por consiguiente debe ser valorado económicamente</w:t>
      </w:r>
      <w:r w:rsidR="0056088F" w:rsidRPr="00BD1319">
        <w:rPr>
          <w:rFonts w:cs="Arial"/>
          <w:spacing w:val="-3"/>
          <w:lang w:val="es-CO"/>
        </w:rPr>
        <w:t>. Durante</w:t>
      </w:r>
      <w:r w:rsidR="0056088F" w:rsidRPr="00BD1319">
        <w:rPr>
          <w:spacing w:val="-3"/>
          <w:lang w:val="es-CO"/>
        </w:rPr>
        <w:t xml:space="preserve"> esta etapa debe justificarse técnicamente la efectividad de las medidas de prevención, mitigación </w:t>
      </w:r>
      <w:r w:rsidR="007E3C84" w:rsidRPr="00BD1319">
        <w:rPr>
          <w:spacing w:val="-3"/>
          <w:lang w:val="es-CO"/>
        </w:rPr>
        <w:t>(</w:t>
      </w:r>
      <w:r w:rsidR="00591F73" w:rsidRPr="00BD1319">
        <w:rPr>
          <w:spacing w:val="-3"/>
          <w:lang w:val="es-CO"/>
        </w:rPr>
        <w:t xml:space="preserve">señalando qué </w:t>
      </w:r>
      <w:r w:rsidR="007E3C84" w:rsidRPr="00BD1319">
        <w:rPr>
          <w:spacing w:val="-3"/>
          <w:lang w:val="es-CO"/>
        </w:rPr>
        <w:t>fracción</w:t>
      </w:r>
      <w:r w:rsidR="00591F73" w:rsidRPr="00BD1319">
        <w:rPr>
          <w:spacing w:val="-3"/>
          <w:lang w:val="es-CO"/>
        </w:rPr>
        <w:t xml:space="preserve"> efectivamente se mitiga</w:t>
      </w:r>
      <w:r w:rsidR="007E3C84" w:rsidRPr="00BD1319">
        <w:rPr>
          <w:spacing w:val="-3"/>
          <w:lang w:val="es-CO"/>
        </w:rPr>
        <w:t xml:space="preserve">) </w:t>
      </w:r>
      <w:r w:rsidR="0056088F" w:rsidRPr="00BD1319">
        <w:rPr>
          <w:spacing w:val="-3"/>
          <w:lang w:val="es-CO"/>
        </w:rPr>
        <w:t>y corrección</w:t>
      </w:r>
      <w:r w:rsidR="003D2F41" w:rsidRPr="00BD1319">
        <w:rPr>
          <w:spacing w:val="-3"/>
          <w:lang w:val="es-CO"/>
        </w:rPr>
        <w:t>,</w:t>
      </w:r>
      <w:r w:rsidR="0056088F" w:rsidRPr="00BD1319">
        <w:rPr>
          <w:spacing w:val="-3"/>
          <w:lang w:val="es-CO"/>
        </w:rPr>
        <w:t xml:space="preserve"> contempladas en el PMA. Adicionalmente, es necesario destacar que todo</w:t>
      </w:r>
      <w:r w:rsidR="0056088F" w:rsidRPr="00BD1319">
        <w:rPr>
          <w:lang w:val="es-CO"/>
        </w:rPr>
        <w:t xml:space="preserve"> impacto </w:t>
      </w:r>
      <w:r w:rsidR="0056088F" w:rsidRPr="00BD1319">
        <w:rPr>
          <w:spacing w:val="-3"/>
          <w:lang w:val="es-CO"/>
        </w:rPr>
        <w:t xml:space="preserve">ambiental que pueda ser técnicamente </w:t>
      </w:r>
      <w:r w:rsidR="003D2F41" w:rsidRPr="00BD1319">
        <w:rPr>
          <w:spacing w:val="-3"/>
          <w:lang w:val="es-CO"/>
        </w:rPr>
        <w:t>internalizado</w:t>
      </w:r>
      <w:r w:rsidR="0056088F" w:rsidRPr="00BD1319">
        <w:rPr>
          <w:spacing w:val="-3"/>
          <w:lang w:val="es-CO"/>
        </w:rPr>
        <w:t xml:space="preserve"> debe ser internalizado.</w:t>
      </w:r>
    </w:p>
    <w:p w14:paraId="26A8465C" w14:textId="2475C4AA" w:rsidR="0056088F" w:rsidRPr="00BD1319" w:rsidRDefault="0056088F" w:rsidP="00C86DA5">
      <w:pPr>
        <w:tabs>
          <w:tab w:val="left" w:pos="-2268"/>
        </w:tabs>
        <w:suppressAutoHyphens/>
        <w:rPr>
          <w:spacing w:val="-3"/>
        </w:rPr>
      </w:pPr>
    </w:p>
    <w:p w14:paraId="50B33103" w14:textId="2D838F5D" w:rsidR="0056088F" w:rsidRPr="00BD1319" w:rsidRDefault="0056088F" w:rsidP="00C86DA5">
      <w:pPr>
        <w:pStyle w:val="Prrafodelista"/>
        <w:numPr>
          <w:ilvl w:val="0"/>
          <w:numId w:val="5"/>
        </w:numPr>
        <w:tabs>
          <w:tab w:val="left" w:pos="-2268"/>
        </w:tabs>
        <w:suppressAutoHyphens/>
        <w:ind w:left="567" w:hanging="567"/>
        <w:rPr>
          <w:spacing w:val="-3"/>
          <w:lang w:val="es-CO"/>
        </w:rPr>
      </w:pPr>
      <w:r w:rsidRPr="00BD1319">
        <w:rPr>
          <w:b/>
          <w:spacing w:val="-3"/>
          <w:lang w:val="es-CO"/>
        </w:rPr>
        <w:t>Cuantificación biofísica de los impactos</w:t>
      </w:r>
      <w:r w:rsidRPr="00BD1319">
        <w:rPr>
          <w:spacing w:val="-3"/>
          <w:lang w:val="es-CO"/>
        </w:rPr>
        <w:t xml:space="preserve">: consiste en </w:t>
      </w:r>
      <w:r w:rsidRPr="00BD1319">
        <w:rPr>
          <w:rFonts w:cs="Arial"/>
          <w:spacing w:val="-3"/>
          <w:lang w:val="es-CO"/>
        </w:rPr>
        <w:t>estimar, para los impactos ambientales significativos, el cambio en los parámetros ambientales,</w:t>
      </w:r>
      <w:r w:rsidRPr="00BD1319">
        <w:rPr>
          <w:spacing w:val="-3"/>
          <w:lang w:val="es-CO"/>
        </w:rPr>
        <w:t xml:space="preserve"> los servicios ecosistémicos</w:t>
      </w:r>
      <w:r w:rsidRPr="00BD1319">
        <w:rPr>
          <w:rFonts w:cs="Arial"/>
          <w:spacing w:val="-3"/>
          <w:lang w:val="es-CO"/>
        </w:rPr>
        <w:t>, y/</w:t>
      </w:r>
      <w:r w:rsidRPr="00BD1319">
        <w:rPr>
          <w:rFonts w:cs="Arial"/>
          <w:lang w:val="es-CO"/>
        </w:rPr>
        <w:t>o en otros elementos</w:t>
      </w:r>
      <w:r w:rsidRPr="00BD1319">
        <w:rPr>
          <w:lang w:val="es-CO"/>
        </w:rPr>
        <w:t xml:space="preserve"> del </w:t>
      </w:r>
      <w:r w:rsidRPr="00BD1319">
        <w:rPr>
          <w:rFonts w:cs="Arial"/>
          <w:lang w:val="es-CO"/>
        </w:rPr>
        <w:t>bienestar</w:t>
      </w:r>
      <w:r w:rsidRPr="00BD1319">
        <w:rPr>
          <w:rFonts w:cs="Arial"/>
          <w:spacing w:val="-3"/>
          <w:lang w:val="es-CO"/>
        </w:rPr>
        <w:t>. Las</w:t>
      </w:r>
      <w:r w:rsidRPr="00BD1319">
        <w:rPr>
          <w:spacing w:val="-3"/>
          <w:lang w:val="es-CO"/>
        </w:rPr>
        <w:t xml:space="preserve"> unidades en las que </w:t>
      </w:r>
      <w:r w:rsidRPr="00BD1319">
        <w:rPr>
          <w:rFonts w:cs="Arial"/>
          <w:spacing w:val="-3"/>
          <w:lang w:val="es-CO"/>
        </w:rPr>
        <w:t>expresan</w:t>
      </w:r>
      <w:r w:rsidRPr="00BD1319">
        <w:rPr>
          <w:spacing w:val="-3"/>
          <w:lang w:val="es-CO"/>
        </w:rPr>
        <w:t xml:space="preserve"> los impactos previsibles por el desarrollo </w:t>
      </w:r>
      <w:r w:rsidRPr="00BD1319">
        <w:rPr>
          <w:rFonts w:cs="Arial"/>
          <w:spacing w:val="-3"/>
          <w:lang w:val="es-CO"/>
        </w:rPr>
        <w:t>de un</w:t>
      </w:r>
      <w:r w:rsidRPr="00BD1319">
        <w:rPr>
          <w:spacing w:val="-3"/>
          <w:lang w:val="es-CO"/>
        </w:rPr>
        <w:t xml:space="preserve"> proyecto, </w:t>
      </w:r>
      <w:r w:rsidRPr="00BD1319">
        <w:rPr>
          <w:rFonts w:cs="Arial"/>
          <w:spacing w:val="-3"/>
          <w:lang w:val="es-CO"/>
        </w:rPr>
        <w:t>obra o actividad, deben ser las mismas en todos los capítulos del estudio ambiental a fin de</w:t>
      </w:r>
      <w:r w:rsidRPr="00BD1319">
        <w:rPr>
          <w:spacing w:val="-3"/>
          <w:lang w:val="es-CO"/>
        </w:rPr>
        <w:t xml:space="preserve"> asegurar </w:t>
      </w:r>
      <w:r w:rsidRPr="00BD1319">
        <w:rPr>
          <w:rFonts w:cs="Arial"/>
          <w:spacing w:val="-3"/>
          <w:lang w:val="es-CO"/>
        </w:rPr>
        <w:t>la</w:t>
      </w:r>
      <w:r w:rsidRPr="00BD1319">
        <w:rPr>
          <w:spacing w:val="-3"/>
          <w:lang w:val="es-CO"/>
        </w:rPr>
        <w:t xml:space="preserve"> coherencia </w:t>
      </w:r>
      <w:r w:rsidRPr="00BD1319">
        <w:rPr>
          <w:rFonts w:cs="Arial"/>
          <w:spacing w:val="-3"/>
          <w:lang w:val="es-CO"/>
        </w:rPr>
        <w:t>del documento y también, la obtención de resultados acertados en</w:t>
      </w:r>
      <w:r w:rsidRPr="00BD1319">
        <w:rPr>
          <w:spacing w:val="-3"/>
          <w:lang w:val="es-CO"/>
        </w:rPr>
        <w:t xml:space="preserve"> el </w:t>
      </w:r>
      <w:r w:rsidRPr="00BD1319">
        <w:rPr>
          <w:rFonts w:cs="Arial"/>
          <w:spacing w:val="-3"/>
          <w:lang w:val="es-CO"/>
        </w:rPr>
        <w:t>proceso de evaluación económica ambiental</w:t>
      </w:r>
      <w:r w:rsidRPr="00BD1319">
        <w:rPr>
          <w:spacing w:val="-3"/>
          <w:lang w:val="es-CO"/>
        </w:rPr>
        <w:t>.</w:t>
      </w:r>
      <w:bookmarkStart w:id="7304" w:name="_Ref409620603"/>
    </w:p>
    <w:p w14:paraId="056C30DC" w14:textId="77777777" w:rsidR="0056088F" w:rsidRPr="00BD1319" w:rsidRDefault="0056088F" w:rsidP="00C86DA5">
      <w:pPr>
        <w:pStyle w:val="Prrafodelista"/>
        <w:tabs>
          <w:tab w:val="left" w:pos="-2268"/>
        </w:tabs>
        <w:suppressAutoHyphens/>
        <w:ind w:left="567" w:hanging="567"/>
        <w:rPr>
          <w:rFonts w:cs="Arial"/>
          <w:spacing w:val="-3"/>
          <w:lang w:val="es-CO"/>
        </w:rPr>
      </w:pPr>
    </w:p>
    <w:p w14:paraId="229B2990" w14:textId="6201F62B" w:rsidR="0056088F" w:rsidRPr="00BD1319" w:rsidRDefault="0056088F">
      <w:pPr>
        <w:pStyle w:val="Prrafodelista"/>
        <w:tabs>
          <w:tab w:val="left" w:pos="-2268"/>
        </w:tabs>
        <w:suppressAutoHyphens/>
        <w:ind w:left="567"/>
        <w:rPr>
          <w:rFonts w:cs="Arial"/>
          <w:spacing w:val="-3"/>
          <w:lang w:val="es-CO"/>
        </w:rPr>
      </w:pPr>
      <w:r w:rsidRPr="00BD1319">
        <w:rPr>
          <w:rFonts w:cs="Arial"/>
          <w:spacing w:val="-3"/>
          <w:lang w:val="es-CO"/>
        </w:rPr>
        <w:t>Las consideraciones detalladas para el desarrollo de este paso se encuentran en el Instructivo B del documento anexo a la Resolución 1669 de 2017</w:t>
      </w:r>
      <w:r w:rsidRPr="00BD1319">
        <w:rPr>
          <w:rFonts w:cs="Arial"/>
          <w:lang w:val="es-CO"/>
        </w:rPr>
        <w:t xml:space="preserve">, o aquella que la </w:t>
      </w:r>
      <w:r w:rsidRPr="00BD1319">
        <w:rPr>
          <w:rFonts w:cs="Arial"/>
          <w:lang w:val="es-CO"/>
        </w:rPr>
        <w:lastRenderedPageBreak/>
        <w:t>modifique o sustituya</w:t>
      </w:r>
      <w:r w:rsidRPr="00BD1319">
        <w:rPr>
          <w:rFonts w:cs="Arial"/>
          <w:spacing w:val="-3"/>
          <w:lang w:val="es-CO"/>
        </w:rPr>
        <w:t xml:space="preserve">, </w:t>
      </w:r>
      <w:r w:rsidRPr="00BD1319">
        <w:rPr>
          <w:rFonts w:cs="Arial"/>
          <w:i/>
          <w:iCs/>
          <w:spacing w:val="-3"/>
          <w:lang w:val="es-CO"/>
        </w:rPr>
        <w:t xml:space="preserve">Criterios técnicos para el uso de herramientas económicas en los </w:t>
      </w:r>
      <w:r w:rsidRPr="00BD1319">
        <w:rPr>
          <w:spacing w:val="-3"/>
          <w:lang w:val="es-CO"/>
        </w:rPr>
        <w:t>proyectos</w:t>
      </w:r>
      <w:r w:rsidRPr="00BD1319">
        <w:rPr>
          <w:rFonts w:cs="Arial"/>
          <w:i/>
          <w:iCs/>
          <w:spacing w:val="-3"/>
          <w:lang w:val="es-CO"/>
        </w:rPr>
        <w:t>, obras o actividades objeto de licenciamiento ambiental.</w:t>
      </w:r>
    </w:p>
    <w:p w14:paraId="55067277" w14:textId="78C50825" w:rsidR="0056088F" w:rsidRPr="00BD1319" w:rsidRDefault="0056088F" w:rsidP="00C86DA5">
      <w:pPr>
        <w:tabs>
          <w:tab w:val="left" w:pos="-2268"/>
        </w:tabs>
        <w:suppressAutoHyphens/>
        <w:rPr>
          <w:spacing w:val="-3"/>
        </w:rPr>
      </w:pPr>
    </w:p>
    <w:p w14:paraId="06CC33BF" w14:textId="5B9AECEE" w:rsidR="0056088F" w:rsidRPr="00BD1319" w:rsidRDefault="0056088F" w:rsidP="00C86DA5">
      <w:pPr>
        <w:pStyle w:val="Prrafodelista"/>
        <w:numPr>
          <w:ilvl w:val="0"/>
          <w:numId w:val="5"/>
        </w:numPr>
        <w:tabs>
          <w:tab w:val="left" w:pos="-2268"/>
        </w:tabs>
        <w:suppressAutoHyphens/>
        <w:ind w:left="567" w:hanging="567"/>
        <w:rPr>
          <w:spacing w:val="-3"/>
          <w:lang w:val="es-CO"/>
        </w:rPr>
      </w:pPr>
      <w:r w:rsidRPr="00BD1319">
        <w:rPr>
          <w:b/>
          <w:spacing w:val="-3"/>
          <w:lang w:val="es-CO"/>
        </w:rPr>
        <w:t>Análisis económico de impactos</w:t>
      </w:r>
      <w:bookmarkEnd w:id="7304"/>
      <w:r w:rsidRPr="00BD1319">
        <w:rPr>
          <w:spacing w:val="-3"/>
          <w:lang w:val="es-CO"/>
        </w:rPr>
        <w:t xml:space="preserve">: se deben realizar análisis económicos diferenciados para los impactos </w:t>
      </w:r>
      <w:r w:rsidR="00E27186" w:rsidRPr="00BD1319">
        <w:rPr>
          <w:spacing w:val="-3"/>
          <w:lang w:val="es-CO"/>
        </w:rPr>
        <w:t xml:space="preserve">negativos </w:t>
      </w:r>
      <w:proofErr w:type="spellStart"/>
      <w:r w:rsidRPr="00BD1319">
        <w:rPr>
          <w:spacing w:val="-3"/>
          <w:lang w:val="es-CO"/>
        </w:rPr>
        <w:t>internalizables</w:t>
      </w:r>
      <w:proofErr w:type="spellEnd"/>
      <w:r w:rsidRPr="00BD1319">
        <w:rPr>
          <w:spacing w:val="-3"/>
          <w:lang w:val="es-CO"/>
        </w:rPr>
        <w:t xml:space="preserve"> y para los no </w:t>
      </w:r>
      <w:proofErr w:type="spellStart"/>
      <w:r w:rsidRPr="00BD1319">
        <w:rPr>
          <w:spacing w:val="-3"/>
          <w:lang w:val="es-CO"/>
        </w:rPr>
        <w:t>internalizables</w:t>
      </w:r>
      <w:proofErr w:type="spellEnd"/>
      <w:r w:rsidRPr="00BD1319">
        <w:rPr>
          <w:spacing w:val="-3"/>
          <w:lang w:val="es-CO"/>
        </w:rPr>
        <w:t xml:space="preserve"> de la siguiente forma:</w:t>
      </w:r>
    </w:p>
    <w:p w14:paraId="62E9E8B2" w14:textId="77777777" w:rsidR="0056088F" w:rsidRPr="00BD1319" w:rsidRDefault="0056088F" w:rsidP="00C86DA5">
      <w:pPr>
        <w:numPr>
          <w:ilvl w:val="12"/>
          <w:numId w:val="0"/>
        </w:numPr>
        <w:tabs>
          <w:tab w:val="left" w:pos="-2268"/>
        </w:tabs>
        <w:suppressAutoHyphens/>
        <w:ind w:left="567" w:hanging="567"/>
        <w:rPr>
          <w:spacing w:val="-3"/>
        </w:rPr>
      </w:pPr>
    </w:p>
    <w:p w14:paraId="4290EB5A" w14:textId="2B1F9D4E" w:rsidR="0056088F" w:rsidRPr="00BD1319" w:rsidRDefault="00E719AC" w:rsidP="00C86DA5">
      <w:pPr>
        <w:numPr>
          <w:ilvl w:val="0"/>
          <w:numId w:val="34"/>
        </w:numPr>
        <w:tabs>
          <w:tab w:val="left" w:pos="-2268"/>
        </w:tabs>
        <w:suppressAutoHyphens/>
        <w:ind w:left="1134" w:hanging="567"/>
        <w:rPr>
          <w:spacing w:val="-3"/>
        </w:rPr>
      </w:pPr>
      <w:bookmarkStart w:id="7305" w:name="_Ref410503665"/>
      <w:r w:rsidRPr="00BD1319">
        <w:rPr>
          <w:spacing w:val="-3"/>
        </w:rPr>
        <w:t>I</w:t>
      </w:r>
      <w:r w:rsidR="0056088F" w:rsidRPr="00BD1319">
        <w:rPr>
          <w:spacing w:val="-3"/>
        </w:rPr>
        <w:t xml:space="preserve">mpactos </w:t>
      </w:r>
      <w:proofErr w:type="spellStart"/>
      <w:r w:rsidR="0056088F" w:rsidRPr="00BD1319">
        <w:rPr>
          <w:spacing w:val="-3"/>
        </w:rPr>
        <w:t>internalizables</w:t>
      </w:r>
      <w:proofErr w:type="spellEnd"/>
      <w:r w:rsidR="0056088F" w:rsidRPr="00BD1319">
        <w:rPr>
          <w:spacing w:val="-3"/>
        </w:rPr>
        <w:t>: e</w:t>
      </w:r>
      <w:bookmarkEnd w:id="7305"/>
      <w:r w:rsidR="0056088F" w:rsidRPr="00BD1319">
        <w:rPr>
          <w:spacing w:val="-3"/>
        </w:rPr>
        <w:t>l ejercicio económico para este tipo de impactos se denomina análisis de internalización y consiste en asumir como valor de los impactos, el costo de implementación de las medidas de prevención y corrección consignadas en el PMA. Este análisis permite hacer la trazabilidad del comportamiento de los impactos que serán objeto de seguimiento ambiental.</w:t>
      </w:r>
    </w:p>
    <w:p w14:paraId="4CA1AABF" w14:textId="77777777" w:rsidR="0056088F" w:rsidRPr="00BD1319" w:rsidRDefault="0056088F" w:rsidP="009420F5">
      <w:pPr>
        <w:tabs>
          <w:tab w:val="left" w:pos="-2268"/>
        </w:tabs>
        <w:suppressAutoHyphens/>
        <w:rPr>
          <w:spacing w:val="-3"/>
        </w:rPr>
      </w:pPr>
    </w:p>
    <w:p w14:paraId="71202D10" w14:textId="12D0EE9A" w:rsidR="0056088F" w:rsidRPr="00BD1319" w:rsidRDefault="0056088F" w:rsidP="00C86DA5">
      <w:pPr>
        <w:tabs>
          <w:tab w:val="left" w:pos="-2268"/>
        </w:tabs>
        <w:suppressAutoHyphens/>
        <w:ind w:left="1134"/>
        <w:rPr>
          <w:spacing w:val="-3"/>
        </w:rPr>
      </w:pPr>
      <w:r w:rsidRPr="00BD1319">
        <w:rPr>
          <w:spacing w:val="-3"/>
        </w:rPr>
        <w:t>Las consideraciones detalladas para el desarrollo de este paso se encuentran en el Instructivo B del documento anexo a la Resolución 1669 de 2017, o aquella que la modifique</w:t>
      </w:r>
      <w:r w:rsidR="00052351" w:rsidRPr="00BD1319">
        <w:rPr>
          <w:spacing w:val="-3"/>
        </w:rPr>
        <w:t xml:space="preserve"> o</w:t>
      </w:r>
      <w:r w:rsidRPr="00BD1319">
        <w:rPr>
          <w:spacing w:val="-3"/>
        </w:rPr>
        <w:t xml:space="preserve"> sustituya, </w:t>
      </w:r>
      <w:r w:rsidRPr="00BD1319">
        <w:rPr>
          <w:i/>
          <w:spacing w:val="-3"/>
        </w:rPr>
        <w:t>Criterios técnicos para el uso de herramientas económicas en los proyectos, obras o actividades objeto de licenciamiento ambiental</w:t>
      </w:r>
      <w:r w:rsidRPr="00BD1319">
        <w:rPr>
          <w:spacing w:val="-3"/>
        </w:rPr>
        <w:t>.</w:t>
      </w:r>
    </w:p>
    <w:p w14:paraId="39D67B83" w14:textId="609FE8C7" w:rsidR="0056088F" w:rsidRPr="00BD1319" w:rsidRDefault="0056088F" w:rsidP="00C86DA5">
      <w:pPr>
        <w:tabs>
          <w:tab w:val="left" w:pos="-2268"/>
        </w:tabs>
        <w:suppressAutoHyphens/>
        <w:rPr>
          <w:spacing w:val="-3"/>
        </w:rPr>
      </w:pPr>
    </w:p>
    <w:p w14:paraId="4BD58CB1" w14:textId="507342A0" w:rsidR="0056088F" w:rsidRPr="00BD1319" w:rsidRDefault="00E719AC" w:rsidP="00C86DA5">
      <w:pPr>
        <w:pStyle w:val="Prrafodelista"/>
        <w:numPr>
          <w:ilvl w:val="0"/>
          <w:numId w:val="405"/>
        </w:numPr>
        <w:tabs>
          <w:tab w:val="left" w:pos="-2268"/>
        </w:tabs>
        <w:suppressAutoHyphens/>
        <w:ind w:left="1134" w:hanging="567"/>
        <w:rPr>
          <w:i/>
          <w:spacing w:val="-3"/>
          <w:lang w:val="es-CO"/>
        </w:rPr>
      </w:pPr>
      <w:bookmarkStart w:id="7306" w:name="_Ref410503781"/>
      <w:r w:rsidRPr="00BD1319">
        <w:rPr>
          <w:rFonts w:cs="Arial"/>
          <w:bCs/>
          <w:spacing w:val="-3"/>
          <w:lang w:val="es-CO"/>
        </w:rPr>
        <w:t>I</w:t>
      </w:r>
      <w:r w:rsidR="0056088F" w:rsidRPr="00BD1319">
        <w:rPr>
          <w:rFonts w:cs="Arial"/>
          <w:bCs/>
          <w:spacing w:val="-3"/>
          <w:lang w:val="es-CO"/>
        </w:rPr>
        <w:t xml:space="preserve">mpactos ambientales no </w:t>
      </w:r>
      <w:proofErr w:type="spellStart"/>
      <w:r w:rsidR="0056088F" w:rsidRPr="00BD1319">
        <w:rPr>
          <w:rFonts w:cs="Arial"/>
          <w:bCs/>
          <w:spacing w:val="-3"/>
          <w:lang w:val="es-CO"/>
        </w:rPr>
        <w:t>internalizables</w:t>
      </w:r>
      <w:proofErr w:type="spellEnd"/>
      <w:r w:rsidR="0056088F" w:rsidRPr="00BD1319">
        <w:rPr>
          <w:rFonts w:cs="Arial"/>
          <w:bCs/>
          <w:spacing w:val="-3"/>
          <w:lang w:val="es-CO"/>
        </w:rPr>
        <w:t>:</w:t>
      </w:r>
      <w:r w:rsidR="0056088F" w:rsidRPr="00BD1319">
        <w:rPr>
          <w:rFonts w:cs="Arial"/>
          <w:spacing w:val="-3"/>
          <w:lang w:val="es-CO"/>
        </w:rPr>
        <w:t xml:space="preserve"> este tipo de impactos se debe </w:t>
      </w:r>
      <w:r w:rsidR="00E27186" w:rsidRPr="00BD1319">
        <w:rPr>
          <w:rFonts w:cs="Arial"/>
          <w:spacing w:val="-3"/>
          <w:lang w:val="es-CO"/>
        </w:rPr>
        <w:t xml:space="preserve">integrar en </w:t>
      </w:r>
      <w:r w:rsidR="0056088F" w:rsidRPr="00BD1319">
        <w:rPr>
          <w:rFonts w:cs="Arial"/>
          <w:spacing w:val="-3"/>
          <w:lang w:val="es-CO"/>
        </w:rPr>
        <w:t>el Análisis Costo Beneficio de los impactos negativos y positivos, el cual consiste en comparar, bajo una misma unidad de medida</w:t>
      </w:r>
      <w:r w:rsidR="0056088F" w:rsidRPr="00BD1319">
        <w:rPr>
          <w:rFonts w:cs="Arial"/>
          <w:lang w:val="es-CO"/>
        </w:rPr>
        <w:t>,</w:t>
      </w:r>
      <w:r w:rsidR="0056088F" w:rsidRPr="00BD1319">
        <w:rPr>
          <w:lang w:val="es-CO"/>
        </w:rPr>
        <w:t xml:space="preserve"> </w:t>
      </w:r>
      <w:r w:rsidR="0056088F" w:rsidRPr="00BD1319">
        <w:rPr>
          <w:rFonts w:cs="Arial"/>
          <w:spacing w:val="-3"/>
          <w:lang w:val="es-CO"/>
        </w:rPr>
        <w:t>en un mismo momento del tiempo</w:t>
      </w:r>
      <w:r w:rsidR="0056088F" w:rsidRPr="00BD1319">
        <w:rPr>
          <w:rFonts w:cs="Arial"/>
          <w:lang w:val="es-CO"/>
        </w:rPr>
        <w:t xml:space="preserve"> y lugar (área de influencia)</w:t>
      </w:r>
      <w:r w:rsidR="0056088F" w:rsidRPr="00BD1319">
        <w:rPr>
          <w:rFonts w:cs="Arial"/>
          <w:spacing w:val="-3"/>
          <w:lang w:val="es-CO"/>
        </w:rPr>
        <w:t>, los beneficios y costos ambientales que se generarían con la ejecución del proyecto. Las consideraciones detalladas para el desarrollo de este análisis se encuentran en el Instructivo A del documento anexo a la Resolución 1669 de 2017</w:t>
      </w:r>
      <w:r w:rsidR="0056088F" w:rsidRPr="00BD1319">
        <w:rPr>
          <w:rFonts w:cs="Arial"/>
          <w:lang w:val="es-CO"/>
        </w:rPr>
        <w:t>, o aquella que la modifique o sustituya</w:t>
      </w:r>
      <w:r w:rsidR="0056088F" w:rsidRPr="00BD1319">
        <w:rPr>
          <w:rFonts w:cs="Arial"/>
          <w:spacing w:val="-3"/>
          <w:lang w:val="es-CO"/>
        </w:rPr>
        <w:t xml:space="preserve">, </w:t>
      </w:r>
      <w:r w:rsidR="0056088F" w:rsidRPr="00BD1319">
        <w:rPr>
          <w:rFonts w:cs="Arial"/>
          <w:i/>
          <w:iCs/>
          <w:spacing w:val="-3"/>
          <w:lang w:val="es-CO"/>
        </w:rPr>
        <w:t>Criterios técnicos para el uso de herramientas económicas en los proyectos, obras o actividades objeto de licenciamiento ambiental.</w:t>
      </w:r>
    </w:p>
    <w:p w14:paraId="5A8341C2" w14:textId="77777777" w:rsidR="0056088F" w:rsidRPr="00BD1319" w:rsidRDefault="0056088F" w:rsidP="009420F5">
      <w:pPr>
        <w:tabs>
          <w:tab w:val="left" w:pos="-2268"/>
        </w:tabs>
        <w:suppressAutoHyphens/>
        <w:rPr>
          <w:spacing w:val="-3"/>
        </w:rPr>
      </w:pPr>
    </w:p>
    <w:p w14:paraId="787E990C" w14:textId="31DB81C7" w:rsidR="0056088F" w:rsidRPr="00BD1319" w:rsidRDefault="0056088F" w:rsidP="00C86DA5">
      <w:pPr>
        <w:pStyle w:val="Prrafodelista"/>
        <w:tabs>
          <w:tab w:val="left" w:pos="-2268"/>
        </w:tabs>
        <w:suppressAutoHyphens/>
        <w:ind w:left="567"/>
        <w:rPr>
          <w:spacing w:val="-3"/>
          <w:lang w:val="es-CO"/>
        </w:rPr>
      </w:pPr>
      <w:r w:rsidRPr="00BD1319">
        <w:rPr>
          <w:spacing w:val="-3"/>
          <w:lang w:val="es-CO"/>
        </w:rPr>
        <w:t xml:space="preserve">Es necesario tener en cuenta que, </w:t>
      </w:r>
      <w:r w:rsidRPr="00BD1319">
        <w:rPr>
          <w:rFonts w:cs="Arial"/>
          <w:spacing w:val="-3"/>
          <w:lang w:val="es-CO"/>
        </w:rPr>
        <w:t>como parte del</w:t>
      </w:r>
      <w:r w:rsidRPr="00BD1319">
        <w:rPr>
          <w:spacing w:val="-3"/>
          <w:lang w:val="es-CO"/>
        </w:rPr>
        <w:t xml:space="preserve"> desarrollo de este Análisis Costo Beneficio</w:t>
      </w:r>
      <w:r w:rsidR="00012E81" w:rsidRPr="00BD1319">
        <w:rPr>
          <w:spacing w:val="-3"/>
          <w:lang w:val="es-CO"/>
        </w:rPr>
        <w:t xml:space="preserve"> es necesario </w:t>
      </w:r>
      <w:r w:rsidRPr="00BD1319">
        <w:rPr>
          <w:spacing w:val="-3"/>
          <w:lang w:val="es-CO"/>
        </w:rPr>
        <w:t xml:space="preserve">cuantificar los impactos ambientales en términos económicos mediante la Valoración Económica para impactos no </w:t>
      </w:r>
      <w:proofErr w:type="spellStart"/>
      <w:r w:rsidRPr="00BD1319">
        <w:rPr>
          <w:spacing w:val="-3"/>
          <w:lang w:val="es-CO"/>
        </w:rPr>
        <w:t>internalizables</w:t>
      </w:r>
      <w:proofErr w:type="spellEnd"/>
      <w:r w:rsidRPr="00BD1319">
        <w:rPr>
          <w:spacing w:val="-3"/>
          <w:lang w:val="es-CO"/>
        </w:rPr>
        <w:t xml:space="preserve"> que se detalla en el Instructivo C del documento </w:t>
      </w:r>
      <w:r w:rsidRPr="00BD1319">
        <w:rPr>
          <w:rFonts w:cs="Arial"/>
          <w:spacing w:val="-3"/>
          <w:lang w:val="es-CO"/>
        </w:rPr>
        <w:t>anexo a la Resolución 1669 de 2017</w:t>
      </w:r>
      <w:r w:rsidRPr="00BD1319">
        <w:rPr>
          <w:rFonts w:cs="Arial"/>
          <w:lang w:val="es-CO"/>
        </w:rPr>
        <w:t>, o aquella que la modifique o sustituya</w:t>
      </w:r>
      <w:r w:rsidRPr="00BD1319">
        <w:rPr>
          <w:rFonts w:cs="Arial"/>
          <w:spacing w:val="-3"/>
          <w:lang w:val="es-CO"/>
        </w:rPr>
        <w:t>,</w:t>
      </w:r>
      <w:r w:rsidRPr="00BD1319">
        <w:rPr>
          <w:spacing w:val="-3"/>
          <w:lang w:val="es-CO"/>
        </w:rPr>
        <w:t xml:space="preserve"> </w:t>
      </w:r>
      <w:r w:rsidRPr="00BD1319">
        <w:rPr>
          <w:i/>
          <w:spacing w:val="-3"/>
          <w:lang w:val="es-CO"/>
        </w:rPr>
        <w:t xml:space="preserve">Criterios técnicos para el uso de herramientas económicas en </w:t>
      </w:r>
      <w:r w:rsidRPr="00BD1319">
        <w:rPr>
          <w:spacing w:val="-3"/>
          <w:lang w:val="es-CO"/>
        </w:rPr>
        <w:t>los proyectos, obras o actividades objeto de licenciamiento ambiental, o mediante el uso de la metodología de transferencia de beneficios, cuyos alcances, restricciones y limitaciones se encuentran en el Instructivo D de dicho documento de criterios.</w:t>
      </w:r>
      <w:bookmarkEnd w:id="7306"/>
    </w:p>
    <w:p w14:paraId="2BC25EF1" w14:textId="0097EFB0" w:rsidR="0056088F" w:rsidRPr="00BD1319" w:rsidRDefault="0056088F" w:rsidP="004A1C59">
      <w:pPr>
        <w:tabs>
          <w:tab w:val="left" w:pos="-2268"/>
        </w:tabs>
        <w:suppressAutoHyphens/>
        <w:rPr>
          <w:spacing w:val="-3"/>
        </w:rPr>
      </w:pPr>
    </w:p>
    <w:p w14:paraId="3665DEA2" w14:textId="2C876660" w:rsidR="00E27186" w:rsidRPr="00BD1319" w:rsidRDefault="00E27186" w:rsidP="004A1C59">
      <w:pPr>
        <w:tabs>
          <w:tab w:val="left" w:pos="-2268"/>
        </w:tabs>
        <w:suppressAutoHyphens/>
        <w:ind w:left="567"/>
        <w:rPr>
          <w:spacing w:val="-3"/>
        </w:rPr>
      </w:pPr>
      <w:r w:rsidRPr="00BD1319">
        <w:rPr>
          <w:spacing w:val="-3"/>
        </w:rPr>
        <w:t xml:space="preserve">Los impactos positivos del proyecto, obra o actividad también deben ser valorados monetariamente a partir de una cuantificación biofísica o socioeconómica sustentada en los cambios que le sean atribuibles y que emplee información de referencia y fuentes oficiales o científicamente avaladas con la escala más detallada posible, así </w:t>
      </w:r>
      <w:r w:rsidRPr="00BD1319">
        <w:rPr>
          <w:spacing w:val="-3"/>
        </w:rPr>
        <w:lastRenderedPageBreak/>
        <w:t>como otros documentos técnicos que orienten metodológicamente esta evaluación. Tales fuentes adicionales deben incluirse en los anexos del estudio.</w:t>
      </w:r>
    </w:p>
    <w:p w14:paraId="5FD2D5ED" w14:textId="77777777" w:rsidR="00E27186" w:rsidRPr="00BD1319" w:rsidRDefault="00E27186" w:rsidP="004A1C59">
      <w:pPr>
        <w:tabs>
          <w:tab w:val="left" w:pos="-2268"/>
        </w:tabs>
        <w:suppressAutoHyphens/>
        <w:rPr>
          <w:spacing w:val="-3"/>
        </w:rPr>
      </w:pPr>
    </w:p>
    <w:p w14:paraId="5AC10782" w14:textId="3AC45159" w:rsidR="0056088F" w:rsidRPr="00BD1319" w:rsidRDefault="0056088F" w:rsidP="00C86DA5">
      <w:pPr>
        <w:pStyle w:val="Prrafodelista"/>
        <w:tabs>
          <w:tab w:val="left" w:pos="-2268"/>
        </w:tabs>
        <w:suppressAutoHyphens/>
        <w:ind w:left="567"/>
        <w:rPr>
          <w:spacing w:val="-3"/>
          <w:lang w:val="es-CO"/>
        </w:rPr>
      </w:pPr>
      <w:r w:rsidRPr="00BD1319">
        <w:rPr>
          <w:spacing w:val="-3"/>
          <w:lang w:val="es-CO"/>
        </w:rPr>
        <w:t xml:space="preserve">A fin de comparar los costos y beneficios que </w:t>
      </w:r>
      <w:r w:rsidRPr="00BD1319">
        <w:rPr>
          <w:rFonts w:cs="Arial"/>
          <w:spacing w:val="-3"/>
          <w:lang w:val="es-CO"/>
        </w:rPr>
        <w:t>ocurrirían dada</w:t>
      </w:r>
      <w:r w:rsidRPr="00BD1319">
        <w:rPr>
          <w:spacing w:val="-3"/>
          <w:lang w:val="es-CO"/>
        </w:rPr>
        <w:t xml:space="preserve"> la ejecución del proyecto</w:t>
      </w:r>
      <w:r w:rsidRPr="00BD1319">
        <w:rPr>
          <w:rFonts w:cs="Arial"/>
          <w:spacing w:val="-3"/>
          <w:lang w:val="es-CO"/>
        </w:rPr>
        <w:t xml:space="preserve">, obra o actividad en </w:t>
      </w:r>
      <w:r w:rsidRPr="00BD1319">
        <w:rPr>
          <w:spacing w:val="-3"/>
          <w:lang w:val="es-CO"/>
        </w:rPr>
        <w:t xml:space="preserve">sus </w:t>
      </w:r>
      <w:r w:rsidRPr="00BD1319">
        <w:rPr>
          <w:rFonts w:cs="Arial"/>
          <w:spacing w:val="-3"/>
          <w:lang w:val="es-CO"/>
        </w:rPr>
        <w:t xml:space="preserve">diferentes </w:t>
      </w:r>
      <w:r w:rsidRPr="00BD1319">
        <w:rPr>
          <w:spacing w:val="-3"/>
          <w:lang w:val="es-CO"/>
        </w:rPr>
        <w:t>fases</w:t>
      </w:r>
      <w:r w:rsidRPr="00BD1319">
        <w:rPr>
          <w:rFonts w:cs="Arial"/>
          <w:spacing w:val="-3"/>
          <w:lang w:val="es-CO"/>
        </w:rPr>
        <w:t xml:space="preserve"> de ejecución</w:t>
      </w:r>
      <w:r w:rsidRPr="00BD1319">
        <w:rPr>
          <w:spacing w:val="-3"/>
          <w:lang w:val="es-CO"/>
        </w:rPr>
        <w:t xml:space="preserve">, es necesario </w:t>
      </w:r>
      <w:r w:rsidRPr="00BD1319">
        <w:rPr>
          <w:rFonts w:cs="Arial"/>
          <w:spacing w:val="-3"/>
          <w:lang w:val="es-CO"/>
        </w:rPr>
        <w:t xml:space="preserve">que dicho flujo de costos y beneficios corresponda a la duración de los impactos identificados en la evaluación ambiental, así como </w:t>
      </w:r>
      <w:r w:rsidRPr="00BD1319">
        <w:rPr>
          <w:spacing w:val="-3"/>
          <w:lang w:val="es-CO"/>
        </w:rPr>
        <w:t>calcular el Valor Presente Neto (VPN</w:t>
      </w:r>
      <w:r w:rsidRPr="00BD1319">
        <w:rPr>
          <w:rFonts w:cs="Arial"/>
          <w:spacing w:val="-3"/>
          <w:lang w:val="es-CO"/>
        </w:rPr>
        <w:t>)</w:t>
      </w:r>
      <w:r w:rsidRPr="00BD1319">
        <w:rPr>
          <w:rFonts w:cs="Arial"/>
          <w:lang w:val="es-CO"/>
        </w:rPr>
        <w:t xml:space="preserve"> y la relación beneficio costo (RBC) haciendo uso de </w:t>
      </w:r>
      <w:r w:rsidRPr="00BD1319">
        <w:rPr>
          <w:lang w:val="es-CO"/>
        </w:rPr>
        <w:t xml:space="preserve">una </w:t>
      </w:r>
      <w:r w:rsidRPr="00BD1319">
        <w:rPr>
          <w:spacing w:val="-3"/>
          <w:lang w:val="es-CO"/>
        </w:rPr>
        <w:t xml:space="preserve">tasa de descuento </w:t>
      </w:r>
      <w:r w:rsidRPr="00BD1319">
        <w:rPr>
          <w:rFonts w:cs="Arial"/>
          <w:spacing w:val="-3"/>
          <w:lang w:val="es-CO"/>
        </w:rPr>
        <w:t xml:space="preserve">consistente con </w:t>
      </w:r>
      <w:r w:rsidRPr="00BD1319">
        <w:rPr>
          <w:spacing w:val="-3"/>
          <w:lang w:val="es-CO"/>
        </w:rPr>
        <w:t xml:space="preserve">la resiliencia de los ecosistemas </w:t>
      </w:r>
      <w:r w:rsidRPr="00BD1319">
        <w:rPr>
          <w:rFonts w:cs="Arial"/>
          <w:spacing w:val="-3"/>
          <w:lang w:val="es-CO"/>
        </w:rPr>
        <w:t xml:space="preserve">o elementos ambientales </w:t>
      </w:r>
      <w:r w:rsidRPr="00BD1319">
        <w:rPr>
          <w:spacing w:val="-3"/>
          <w:lang w:val="es-CO"/>
        </w:rPr>
        <w:t>afectados</w:t>
      </w:r>
      <w:r w:rsidRPr="00BD1319">
        <w:rPr>
          <w:rFonts w:cs="Arial"/>
          <w:spacing w:val="-3"/>
          <w:lang w:val="es-CO"/>
        </w:rPr>
        <w:t>, con</w:t>
      </w:r>
      <w:r w:rsidRPr="00BD1319">
        <w:rPr>
          <w:spacing w:val="-3"/>
          <w:lang w:val="es-CO"/>
        </w:rPr>
        <w:t xml:space="preserve"> la posibilidad de </w:t>
      </w:r>
      <w:r w:rsidRPr="00BD1319">
        <w:rPr>
          <w:rFonts w:cs="Arial"/>
          <w:spacing w:val="-3"/>
          <w:lang w:val="es-CO"/>
        </w:rPr>
        <w:t>restaurarlos y con el periodo de manifestación de los impactos ambientales</w:t>
      </w:r>
      <w:r w:rsidR="00C01132" w:rsidRPr="00BD1319">
        <w:rPr>
          <w:rFonts w:cs="Arial"/>
          <w:spacing w:val="-3"/>
          <w:lang w:val="es-CO"/>
        </w:rPr>
        <w:t xml:space="preserve"> (Castro et al</w:t>
      </w:r>
      <w:r w:rsidR="004D1428" w:rsidRPr="00BD1319">
        <w:rPr>
          <w:rFonts w:cs="Arial"/>
          <w:spacing w:val="-3"/>
          <w:lang w:val="es-CO"/>
        </w:rPr>
        <w:t>.</w:t>
      </w:r>
      <w:r w:rsidR="00C01132" w:rsidRPr="00BD1319">
        <w:rPr>
          <w:rFonts w:cs="Arial"/>
          <w:spacing w:val="-3"/>
          <w:lang w:val="es-CO"/>
        </w:rPr>
        <w:t>, 2020)</w:t>
      </w:r>
      <w:r w:rsidRPr="00BD1319">
        <w:rPr>
          <w:rFonts w:cs="Arial"/>
          <w:spacing w:val="-3"/>
          <w:lang w:val="es-CO"/>
        </w:rPr>
        <w:t xml:space="preserve">. La </w:t>
      </w:r>
      <w:r w:rsidR="00E719AC" w:rsidRPr="00BD1319">
        <w:rPr>
          <w:rFonts w:cs="Arial"/>
          <w:spacing w:val="-3"/>
          <w:lang w:val="es-CO"/>
        </w:rPr>
        <w:fldChar w:fldCharType="begin"/>
      </w:r>
      <w:r w:rsidR="00E719AC" w:rsidRPr="00BD1319">
        <w:rPr>
          <w:rFonts w:cs="Arial"/>
          <w:spacing w:val="-3"/>
          <w:lang w:val="es-CO"/>
        </w:rPr>
        <w:instrText xml:space="preserve"> REF _Ref78557719 \h </w:instrText>
      </w:r>
      <w:r w:rsidR="006A4128" w:rsidRPr="00BD1319">
        <w:rPr>
          <w:rFonts w:cs="Arial"/>
          <w:spacing w:val="-3"/>
          <w:lang w:val="es-CO"/>
        </w:rPr>
        <w:instrText xml:space="preserve"> \* MERGEFORMAT </w:instrText>
      </w:r>
      <w:r w:rsidR="00E719AC" w:rsidRPr="00BD1319">
        <w:rPr>
          <w:rFonts w:cs="Arial"/>
          <w:spacing w:val="-3"/>
          <w:lang w:val="es-CO"/>
        </w:rPr>
      </w:r>
      <w:r w:rsidR="00E719AC" w:rsidRPr="00BD1319">
        <w:rPr>
          <w:rFonts w:cs="Arial"/>
          <w:spacing w:val="-3"/>
          <w:lang w:val="es-CO"/>
        </w:rPr>
        <w:fldChar w:fldCharType="separate"/>
      </w:r>
      <w:r w:rsidR="00296654" w:rsidRPr="00BD1319">
        <w:rPr>
          <w:rFonts w:cs="Arial"/>
          <w:lang w:val="es-CO"/>
        </w:rPr>
        <w:t>Tabla 35</w:t>
      </w:r>
      <w:r w:rsidR="00E719AC" w:rsidRPr="00BD1319">
        <w:rPr>
          <w:rFonts w:cs="Arial"/>
          <w:spacing w:val="-3"/>
          <w:lang w:val="es-CO"/>
        </w:rPr>
        <w:fldChar w:fldCharType="end"/>
      </w:r>
      <w:r w:rsidR="00E719AC" w:rsidRPr="00BD1319">
        <w:rPr>
          <w:rFonts w:cs="Arial"/>
          <w:spacing w:val="-3"/>
          <w:lang w:val="es-CO"/>
        </w:rPr>
        <w:t xml:space="preserve"> define </w:t>
      </w:r>
      <w:r w:rsidRPr="00BD1319">
        <w:rPr>
          <w:rFonts w:cs="Arial"/>
          <w:spacing w:val="-3"/>
          <w:lang w:val="es-CO"/>
        </w:rPr>
        <w:t xml:space="preserve">los valores de la tasa de descuento </w:t>
      </w:r>
      <w:r w:rsidR="00E719AC" w:rsidRPr="00BD1319">
        <w:rPr>
          <w:rFonts w:cs="Arial"/>
          <w:spacing w:val="-3"/>
          <w:lang w:val="es-CO"/>
        </w:rPr>
        <w:t xml:space="preserve">que deben ser utilizados </w:t>
      </w:r>
      <w:r w:rsidRPr="00BD1319">
        <w:rPr>
          <w:rFonts w:cs="Arial"/>
          <w:spacing w:val="-3"/>
          <w:lang w:val="es-CO"/>
        </w:rPr>
        <w:t>para proyectos</w:t>
      </w:r>
      <w:r w:rsidR="00E719AC" w:rsidRPr="00BD1319">
        <w:rPr>
          <w:rFonts w:cs="Arial"/>
          <w:spacing w:val="-3"/>
          <w:lang w:val="es-CO"/>
        </w:rPr>
        <w:t>, obras o actividades sujetos a</w:t>
      </w:r>
      <w:r w:rsidRPr="00BD1319">
        <w:rPr>
          <w:rFonts w:cs="Arial"/>
          <w:spacing w:val="-3"/>
          <w:lang w:val="es-CO"/>
        </w:rPr>
        <w:t xml:space="preserve"> licenciamiento ambiental</w:t>
      </w:r>
      <w:r w:rsidRPr="00BD1319">
        <w:rPr>
          <w:rStyle w:val="Refdenotaalpie"/>
          <w:rFonts w:cs="Arial"/>
          <w:spacing w:val="-3"/>
          <w:lang w:val="es-CO"/>
        </w:rPr>
        <w:footnoteReference w:id="205"/>
      </w:r>
      <w:r w:rsidRPr="00BD1319">
        <w:rPr>
          <w:rFonts w:cs="Arial"/>
          <w:spacing w:val="-3"/>
          <w:lang w:val="es-CO"/>
        </w:rPr>
        <w:t>.</w:t>
      </w:r>
    </w:p>
    <w:p w14:paraId="7C47084A" w14:textId="77777777" w:rsidR="00C10A08" w:rsidRPr="00BD1319" w:rsidRDefault="00C10A08" w:rsidP="009420F5">
      <w:pPr>
        <w:tabs>
          <w:tab w:val="left" w:pos="-2268"/>
        </w:tabs>
        <w:suppressAutoHyphens/>
        <w:rPr>
          <w:spacing w:val="-3"/>
        </w:rPr>
      </w:pPr>
    </w:p>
    <w:p w14:paraId="45A8A885" w14:textId="597B54D2" w:rsidR="0056088F" w:rsidRPr="00BD1319" w:rsidRDefault="0056088F" w:rsidP="0056088F">
      <w:pPr>
        <w:pStyle w:val="Descripcin"/>
        <w:keepNext/>
        <w:jc w:val="center"/>
        <w:rPr>
          <w:rFonts w:cs="Arial"/>
          <w:b w:val="0"/>
        </w:rPr>
      </w:pPr>
      <w:bookmarkStart w:id="7307" w:name="_Ref78557719"/>
      <w:r w:rsidRPr="00BD1319">
        <w:rPr>
          <w:rFonts w:cs="Arial"/>
        </w:rPr>
        <w:t xml:space="preserve">Tabla </w:t>
      </w:r>
      <w:r w:rsidRPr="00BD1319">
        <w:rPr>
          <w:rFonts w:cs="Arial"/>
        </w:rPr>
        <w:fldChar w:fldCharType="begin"/>
      </w:r>
      <w:r w:rsidRPr="00BD1319">
        <w:rPr>
          <w:rFonts w:cs="Arial"/>
        </w:rPr>
        <w:instrText xml:space="preserve"> SEQ Tabla \* ARABIC </w:instrText>
      </w:r>
      <w:r w:rsidRPr="00BD1319">
        <w:rPr>
          <w:rFonts w:cs="Arial"/>
        </w:rPr>
        <w:fldChar w:fldCharType="separate"/>
      </w:r>
      <w:r w:rsidR="00296654" w:rsidRPr="00BD1319">
        <w:rPr>
          <w:rFonts w:cs="Arial"/>
          <w:noProof/>
        </w:rPr>
        <w:t>35</w:t>
      </w:r>
      <w:r w:rsidRPr="00BD1319">
        <w:rPr>
          <w:rFonts w:cs="Arial"/>
        </w:rPr>
        <w:fldChar w:fldCharType="end"/>
      </w:r>
      <w:bookmarkEnd w:id="7307"/>
      <w:r w:rsidRPr="00BD1319">
        <w:rPr>
          <w:rFonts w:cs="Arial"/>
        </w:rPr>
        <w:t>.</w:t>
      </w:r>
      <w:r w:rsidRPr="00BD1319">
        <w:rPr>
          <w:rFonts w:cs="Arial"/>
          <w:b w:val="0"/>
        </w:rPr>
        <w:t xml:space="preserve"> Tasa de descuento para proyectos, obras o actividades sujetos a licenciamiento ambiental</w:t>
      </w:r>
    </w:p>
    <w:tbl>
      <w:tblPr>
        <w:tblStyle w:val="Tablaconcuadrcula"/>
        <w:tblW w:w="5949" w:type="dxa"/>
        <w:jc w:val="center"/>
        <w:tblLook w:val="04A0" w:firstRow="1" w:lastRow="0" w:firstColumn="1" w:lastColumn="0" w:noHBand="0" w:noVBand="1"/>
      </w:tblPr>
      <w:tblGrid>
        <w:gridCol w:w="3493"/>
        <w:gridCol w:w="2456"/>
      </w:tblGrid>
      <w:tr w:rsidR="0056088F" w:rsidRPr="00BD1319" w14:paraId="41449DEE" w14:textId="77777777" w:rsidTr="00C86DA5">
        <w:trPr>
          <w:trHeight w:val="159"/>
          <w:jc w:val="center"/>
        </w:trPr>
        <w:tc>
          <w:tcPr>
            <w:tcW w:w="3493" w:type="dxa"/>
            <w:shd w:val="clear" w:color="auto" w:fill="auto"/>
            <w:vAlign w:val="center"/>
          </w:tcPr>
          <w:p w14:paraId="7255C151" w14:textId="5A7FEF13" w:rsidR="0056088F" w:rsidRPr="00BD1319" w:rsidRDefault="006A14C5" w:rsidP="0056088F">
            <w:pPr>
              <w:pStyle w:val="Textoindependiente2"/>
              <w:spacing w:after="0" w:line="240" w:lineRule="auto"/>
              <w:jc w:val="center"/>
              <w:rPr>
                <w:rFonts w:cs="Arial"/>
                <w:b/>
                <w:sz w:val="22"/>
                <w:szCs w:val="22"/>
              </w:rPr>
            </w:pPr>
            <w:r w:rsidRPr="00BD1319">
              <w:rPr>
                <w:rFonts w:cs="Arial"/>
                <w:b/>
                <w:sz w:val="22"/>
                <w:szCs w:val="22"/>
              </w:rPr>
              <w:t>Duración del proyecto, obra o actividad</w:t>
            </w:r>
          </w:p>
        </w:tc>
        <w:tc>
          <w:tcPr>
            <w:tcW w:w="2456" w:type="dxa"/>
            <w:shd w:val="clear" w:color="auto" w:fill="auto"/>
            <w:vAlign w:val="center"/>
          </w:tcPr>
          <w:p w14:paraId="5EE639CF" w14:textId="1AE610E4" w:rsidR="0056088F" w:rsidRPr="00BD1319" w:rsidRDefault="006A14C5" w:rsidP="0056088F">
            <w:pPr>
              <w:pStyle w:val="Textoindependiente2"/>
              <w:spacing w:after="0" w:line="240" w:lineRule="auto"/>
              <w:jc w:val="center"/>
              <w:rPr>
                <w:rFonts w:cs="Arial"/>
                <w:b/>
                <w:sz w:val="22"/>
                <w:szCs w:val="22"/>
              </w:rPr>
            </w:pPr>
            <w:r w:rsidRPr="00BD1319">
              <w:rPr>
                <w:rFonts w:cs="Arial"/>
                <w:b/>
                <w:sz w:val="22"/>
                <w:szCs w:val="22"/>
              </w:rPr>
              <w:t>Tasa de descuento</w:t>
            </w:r>
          </w:p>
        </w:tc>
      </w:tr>
      <w:tr w:rsidR="0056088F" w:rsidRPr="00BD1319" w14:paraId="5FC34A8F" w14:textId="77777777" w:rsidTr="0056088F">
        <w:trPr>
          <w:trHeight w:val="159"/>
          <w:jc w:val="center"/>
        </w:trPr>
        <w:tc>
          <w:tcPr>
            <w:tcW w:w="3493" w:type="dxa"/>
          </w:tcPr>
          <w:p w14:paraId="006B843D" w14:textId="77777777" w:rsidR="0056088F" w:rsidRPr="00BD1319" w:rsidRDefault="0056088F" w:rsidP="0056088F">
            <w:pPr>
              <w:pStyle w:val="Textoindependiente2"/>
              <w:spacing w:after="0" w:line="240" w:lineRule="auto"/>
              <w:jc w:val="center"/>
              <w:rPr>
                <w:rFonts w:cs="Arial"/>
                <w:sz w:val="22"/>
                <w:szCs w:val="22"/>
              </w:rPr>
            </w:pPr>
            <w:r w:rsidRPr="00BD1319">
              <w:rPr>
                <w:rFonts w:cs="Arial"/>
                <w:sz w:val="22"/>
                <w:szCs w:val="22"/>
              </w:rPr>
              <w:t>Corto (0-10 años)</w:t>
            </w:r>
          </w:p>
        </w:tc>
        <w:tc>
          <w:tcPr>
            <w:tcW w:w="2456" w:type="dxa"/>
          </w:tcPr>
          <w:p w14:paraId="37BCC44B" w14:textId="77777777" w:rsidR="0056088F" w:rsidRPr="00BD1319" w:rsidRDefault="0056088F" w:rsidP="0056088F">
            <w:pPr>
              <w:pStyle w:val="Textoindependiente2"/>
              <w:spacing w:after="0" w:line="240" w:lineRule="auto"/>
              <w:jc w:val="center"/>
              <w:rPr>
                <w:rFonts w:cs="Arial"/>
                <w:sz w:val="22"/>
                <w:szCs w:val="22"/>
              </w:rPr>
            </w:pPr>
            <w:r w:rsidRPr="00BD1319">
              <w:rPr>
                <w:rFonts w:cs="Arial"/>
                <w:sz w:val="22"/>
                <w:szCs w:val="22"/>
              </w:rPr>
              <w:t>5%</w:t>
            </w:r>
          </w:p>
        </w:tc>
      </w:tr>
      <w:tr w:rsidR="0056088F" w:rsidRPr="00BD1319" w14:paraId="03C7FAE3" w14:textId="77777777" w:rsidTr="0056088F">
        <w:trPr>
          <w:trHeight w:val="159"/>
          <w:jc w:val="center"/>
        </w:trPr>
        <w:tc>
          <w:tcPr>
            <w:tcW w:w="3493" w:type="dxa"/>
          </w:tcPr>
          <w:p w14:paraId="62104908" w14:textId="77777777" w:rsidR="0056088F" w:rsidRPr="00BD1319" w:rsidRDefault="0056088F" w:rsidP="0056088F">
            <w:pPr>
              <w:pStyle w:val="Textoindependiente2"/>
              <w:spacing w:after="0" w:line="240" w:lineRule="auto"/>
              <w:jc w:val="center"/>
              <w:rPr>
                <w:rFonts w:cs="Arial"/>
                <w:sz w:val="22"/>
                <w:szCs w:val="22"/>
              </w:rPr>
            </w:pPr>
            <w:r w:rsidRPr="00BD1319">
              <w:rPr>
                <w:rFonts w:cs="Arial"/>
                <w:sz w:val="22"/>
                <w:szCs w:val="22"/>
              </w:rPr>
              <w:t>Mediano (11-20 años)</w:t>
            </w:r>
          </w:p>
        </w:tc>
        <w:tc>
          <w:tcPr>
            <w:tcW w:w="2456" w:type="dxa"/>
          </w:tcPr>
          <w:p w14:paraId="25CEA621" w14:textId="77777777" w:rsidR="0056088F" w:rsidRPr="00BD1319" w:rsidRDefault="0056088F" w:rsidP="0056088F">
            <w:pPr>
              <w:pStyle w:val="Textoindependiente2"/>
              <w:spacing w:after="0" w:line="240" w:lineRule="auto"/>
              <w:jc w:val="center"/>
              <w:rPr>
                <w:rFonts w:cs="Arial"/>
                <w:sz w:val="22"/>
                <w:szCs w:val="22"/>
              </w:rPr>
            </w:pPr>
            <w:r w:rsidRPr="00BD1319">
              <w:rPr>
                <w:rFonts w:cs="Arial"/>
                <w:sz w:val="22"/>
                <w:szCs w:val="22"/>
              </w:rPr>
              <w:t>4%</w:t>
            </w:r>
          </w:p>
        </w:tc>
      </w:tr>
      <w:tr w:rsidR="0056088F" w:rsidRPr="00BD1319" w14:paraId="24E1F900" w14:textId="77777777" w:rsidTr="0056088F">
        <w:trPr>
          <w:trHeight w:val="159"/>
          <w:jc w:val="center"/>
        </w:trPr>
        <w:tc>
          <w:tcPr>
            <w:tcW w:w="3493" w:type="dxa"/>
          </w:tcPr>
          <w:p w14:paraId="29F0811A" w14:textId="77777777" w:rsidR="0056088F" w:rsidRPr="00BD1319" w:rsidRDefault="0056088F" w:rsidP="0056088F">
            <w:pPr>
              <w:pStyle w:val="Textoindependiente2"/>
              <w:spacing w:after="0" w:line="240" w:lineRule="auto"/>
              <w:jc w:val="center"/>
              <w:rPr>
                <w:rFonts w:cs="Arial"/>
                <w:sz w:val="22"/>
                <w:szCs w:val="22"/>
              </w:rPr>
            </w:pPr>
            <w:r w:rsidRPr="00BD1319">
              <w:rPr>
                <w:rFonts w:cs="Arial"/>
                <w:sz w:val="22"/>
                <w:szCs w:val="22"/>
              </w:rPr>
              <w:t>Largo (≥ 21 años)</w:t>
            </w:r>
          </w:p>
        </w:tc>
        <w:tc>
          <w:tcPr>
            <w:tcW w:w="2456" w:type="dxa"/>
          </w:tcPr>
          <w:p w14:paraId="0A95837D" w14:textId="77777777" w:rsidR="0056088F" w:rsidRPr="00BD1319" w:rsidRDefault="0056088F" w:rsidP="0056088F">
            <w:pPr>
              <w:pStyle w:val="Textoindependiente2"/>
              <w:spacing w:after="0" w:line="240" w:lineRule="auto"/>
              <w:jc w:val="center"/>
              <w:rPr>
                <w:rFonts w:cs="Arial"/>
                <w:sz w:val="22"/>
                <w:szCs w:val="22"/>
              </w:rPr>
            </w:pPr>
            <w:r w:rsidRPr="00BD1319">
              <w:rPr>
                <w:rFonts w:cs="Arial"/>
                <w:sz w:val="22"/>
                <w:szCs w:val="22"/>
              </w:rPr>
              <w:t>2%</w:t>
            </w:r>
          </w:p>
        </w:tc>
      </w:tr>
    </w:tbl>
    <w:p w14:paraId="0C1A3D62" w14:textId="54733503" w:rsidR="0056088F" w:rsidRPr="00BD1319" w:rsidRDefault="0056088F" w:rsidP="0082127E">
      <w:pPr>
        <w:tabs>
          <w:tab w:val="left" w:pos="-2268"/>
        </w:tabs>
        <w:suppressAutoHyphens/>
        <w:ind w:left="1701" w:right="1752"/>
        <w:jc w:val="center"/>
        <w:rPr>
          <w:rFonts w:cs="Arial"/>
          <w:spacing w:val="-3"/>
          <w:sz w:val="20"/>
        </w:rPr>
      </w:pPr>
      <w:r w:rsidRPr="00BD1319">
        <w:rPr>
          <w:rFonts w:cs="Arial"/>
          <w:b/>
          <w:spacing w:val="-3"/>
          <w:sz w:val="20"/>
        </w:rPr>
        <w:t>Fuente:</w:t>
      </w:r>
      <w:r w:rsidRPr="00BD1319">
        <w:rPr>
          <w:rFonts w:cs="Arial"/>
          <w:spacing w:val="-3"/>
          <w:sz w:val="20"/>
        </w:rPr>
        <w:t xml:space="preserve"> </w:t>
      </w:r>
      <w:r w:rsidR="00394826" w:rsidRPr="00BD1319">
        <w:rPr>
          <w:rFonts w:cs="Arial"/>
          <w:spacing w:val="-3"/>
          <w:sz w:val="20"/>
        </w:rPr>
        <w:t xml:space="preserve">ANLA - </w:t>
      </w:r>
      <w:r w:rsidRPr="00BD1319">
        <w:rPr>
          <w:rFonts w:cs="Arial"/>
          <w:spacing w:val="-3"/>
          <w:sz w:val="20"/>
        </w:rPr>
        <w:t xml:space="preserve">Grupo de </w:t>
      </w:r>
      <w:r w:rsidR="00067514" w:rsidRPr="00BD1319">
        <w:rPr>
          <w:rFonts w:cs="Arial"/>
          <w:spacing w:val="-3"/>
          <w:sz w:val="20"/>
        </w:rPr>
        <w:t>i</w:t>
      </w:r>
      <w:r w:rsidRPr="00BD1319">
        <w:rPr>
          <w:rFonts w:cs="Arial"/>
          <w:spacing w:val="-3"/>
          <w:sz w:val="20"/>
        </w:rPr>
        <w:t xml:space="preserve">nstrumentos y </w:t>
      </w:r>
      <w:r w:rsidR="00067514" w:rsidRPr="00BD1319">
        <w:rPr>
          <w:rFonts w:cs="Arial"/>
          <w:spacing w:val="-3"/>
          <w:sz w:val="20"/>
        </w:rPr>
        <w:t>r</w:t>
      </w:r>
      <w:r w:rsidRPr="00BD1319">
        <w:rPr>
          <w:rFonts w:cs="Arial"/>
          <w:spacing w:val="-3"/>
          <w:sz w:val="20"/>
        </w:rPr>
        <w:t xml:space="preserve">egionalización, </w:t>
      </w:r>
      <w:r w:rsidR="00067514" w:rsidRPr="00BD1319">
        <w:rPr>
          <w:rFonts w:cs="Arial"/>
          <w:spacing w:val="-3"/>
          <w:sz w:val="20"/>
        </w:rPr>
        <w:t>E</w:t>
      </w:r>
      <w:r w:rsidRPr="00BD1319">
        <w:rPr>
          <w:rFonts w:cs="Arial"/>
          <w:spacing w:val="-3"/>
          <w:sz w:val="20"/>
        </w:rPr>
        <w:t xml:space="preserve">quipo </w:t>
      </w:r>
      <w:r w:rsidR="00067514" w:rsidRPr="00BD1319">
        <w:rPr>
          <w:rFonts w:cs="Arial"/>
          <w:spacing w:val="-3"/>
          <w:sz w:val="20"/>
        </w:rPr>
        <w:t>v</w:t>
      </w:r>
      <w:r w:rsidRPr="00BD1319">
        <w:rPr>
          <w:rFonts w:cs="Arial"/>
          <w:spacing w:val="-3"/>
          <w:sz w:val="20"/>
        </w:rPr>
        <w:t xml:space="preserve">aloración </w:t>
      </w:r>
      <w:r w:rsidR="00067514" w:rsidRPr="00BD1319">
        <w:rPr>
          <w:rFonts w:cs="Arial"/>
          <w:spacing w:val="-3"/>
          <w:sz w:val="20"/>
        </w:rPr>
        <w:t>e</w:t>
      </w:r>
      <w:r w:rsidRPr="00BD1319">
        <w:rPr>
          <w:rFonts w:cs="Arial"/>
          <w:spacing w:val="-3"/>
          <w:sz w:val="20"/>
        </w:rPr>
        <w:t xml:space="preserve">conómica </w:t>
      </w:r>
      <w:r w:rsidR="00067514" w:rsidRPr="00BD1319">
        <w:rPr>
          <w:rFonts w:cs="Arial"/>
          <w:spacing w:val="-3"/>
          <w:sz w:val="20"/>
        </w:rPr>
        <w:t>a</w:t>
      </w:r>
      <w:r w:rsidRPr="00BD1319">
        <w:rPr>
          <w:rFonts w:cs="Arial"/>
          <w:spacing w:val="-3"/>
          <w:sz w:val="20"/>
        </w:rPr>
        <w:t>mbiental</w:t>
      </w:r>
      <w:r w:rsidR="00394826" w:rsidRPr="00BD1319">
        <w:rPr>
          <w:rFonts w:cs="Arial"/>
          <w:spacing w:val="-3"/>
          <w:sz w:val="20"/>
        </w:rPr>
        <w:t xml:space="preserve"> </w:t>
      </w:r>
      <w:r w:rsidR="006A14C5" w:rsidRPr="00BD1319">
        <w:rPr>
          <w:rFonts w:cs="Arial"/>
          <w:spacing w:val="-3"/>
          <w:sz w:val="20"/>
        </w:rPr>
        <w:t>-</w:t>
      </w:r>
      <w:r w:rsidRPr="00BD1319">
        <w:rPr>
          <w:rFonts w:cs="Arial"/>
          <w:spacing w:val="-3"/>
          <w:sz w:val="20"/>
        </w:rPr>
        <w:t>2020.</w:t>
      </w:r>
    </w:p>
    <w:p w14:paraId="65B19DE9" w14:textId="77777777" w:rsidR="0056088F" w:rsidRPr="00BD1319" w:rsidRDefault="0056088F" w:rsidP="0056088F">
      <w:pPr>
        <w:tabs>
          <w:tab w:val="left" w:pos="-2268"/>
        </w:tabs>
        <w:suppressAutoHyphens/>
        <w:rPr>
          <w:rFonts w:cs="Arial"/>
          <w:spacing w:val="-3"/>
        </w:rPr>
      </w:pPr>
    </w:p>
    <w:p w14:paraId="6A03CE28" w14:textId="77777777" w:rsidR="0056088F" w:rsidRPr="00BD1319" w:rsidRDefault="0056088F" w:rsidP="0056088F">
      <w:pPr>
        <w:tabs>
          <w:tab w:val="left" w:pos="-2268"/>
        </w:tabs>
        <w:suppressAutoHyphens/>
        <w:ind w:left="567"/>
        <w:rPr>
          <w:rFonts w:cs="Arial"/>
          <w:spacing w:val="-3"/>
        </w:rPr>
      </w:pPr>
      <w:r w:rsidRPr="00BD1319">
        <w:rPr>
          <w:rFonts w:cs="Arial"/>
          <w:spacing w:val="-3"/>
        </w:rPr>
        <w:t>Adicionalmente, se debe ejecutar un análisis de sensibilidad que contemple el cambio de variables críticas para el flujo económico, por ejemplo, el incremento en los costos o la disminución en los beneficios más importantes del proyecto, obra o actividad desde la perspectiva ambiental, cambios en la tasa de descuento en proyectos ambientales, entre otras. La selección de variables críticas también debe considerar aquellos aspectos del análisis económico en los que haya mayor incertidumbre, restricciones o variabilidad de la información usada como base para la cuantificación económica de los impactos, entre otros.</w:t>
      </w:r>
    </w:p>
    <w:p w14:paraId="2F08BE8E" w14:textId="77777777" w:rsidR="0056088F" w:rsidRPr="00BD1319" w:rsidRDefault="0056088F" w:rsidP="00C86DA5">
      <w:pPr>
        <w:tabs>
          <w:tab w:val="left" w:pos="-2268"/>
        </w:tabs>
        <w:suppressAutoHyphens/>
        <w:rPr>
          <w:spacing w:val="-3"/>
        </w:rPr>
      </w:pPr>
    </w:p>
    <w:p w14:paraId="7D83283F" w14:textId="4A50B7EA" w:rsidR="0056088F" w:rsidRPr="00BD1319" w:rsidRDefault="0056088F">
      <w:pPr>
        <w:tabs>
          <w:tab w:val="left" w:pos="-2268"/>
        </w:tabs>
        <w:suppressAutoHyphens/>
        <w:rPr>
          <w:spacing w:val="-3"/>
        </w:rPr>
      </w:pPr>
      <w:r w:rsidRPr="00BD1319">
        <w:rPr>
          <w:spacing w:val="-3"/>
        </w:rPr>
        <w:t>Los resultados de la EEA deben integrarse a los demás criterios técnicos (abióticos, bióticos y socioeconómicos) que surjan de la evaluación ambiental, a fin de ilustrar con información relevante los beneficios y perjuicios que traería el proyecto</w:t>
      </w:r>
      <w:r w:rsidR="00311679" w:rsidRPr="00BD1319">
        <w:rPr>
          <w:spacing w:val="-3"/>
        </w:rPr>
        <w:t>, obra o actividad</w:t>
      </w:r>
      <w:r w:rsidRPr="00BD1319">
        <w:rPr>
          <w:spacing w:val="-3"/>
        </w:rPr>
        <w:t xml:space="preserve"> sobre el bienestar de la sociedad, evidenciando las limitaciones e incertidumbres propias de la información y de los métodos que se utilicen. Es necesario recordar que los resultados de la EEA son subsidiarios dentro del proceso de toma de decisión sobre la viabilidad ambiental del proyecto; es decir, la decisión de otorgar o no la licencia ambiental no se basa exclusivamente en dicha evaluación.</w:t>
      </w:r>
    </w:p>
    <w:p w14:paraId="421123B9" w14:textId="77777777" w:rsidR="0056088F" w:rsidRPr="00BD1319" w:rsidRDefault="0056088F">
      <w:pPr>
        <w:numPr>
          <w:ilvl w:val="12"/>
          <w:numId w:val="0"/>
        </w:numPr>
        <w:tabs>
          <w:tab w:val="left" w:pos="-2268"/>
        </w:tabs>
        <w:suppressAutoHyphens/>
        <w:rPr>
          <w:spacing w:val="-3"/>
        </w:rPr>
      </w:pPr>
    </w:p>
    <w:p w14:paraId="26943DD6" w14:textId="19375D10" w:rsidR="0056088F" w:rsidRPr="00BD1319" w:rsidRDefault="0056088F" w:rsidP="00216955">
      <w:pPr>
        <w:pStyle w:val="Ttulo3"/>
      </w:pPr>
      <w:bookmarkStart w:id="7308" w:name="_Toc488244804"/>
      <w:bookmarkStart w:id="7309" w:name="_Toc488247924"/>
      <w:bookmarkStart w:id="7310" w:name="_Toc488248568"/>
      <w:bookmarkStart w:id="7311" w:name="_Toc488249184"/>
      <w:bookmarkStart w:id="7312" w:name="_Toc488249800"/>
      <w:bookmarkStart w:id="7313" w:name="_Toc488330288"/>
      <w:bookmarkStart w:id="7314" w:name="_Toc488387142"/>
      <w:bookmarkStart w:id="7315" w:name="_Toc488402601"/>
      <w:bookmarkStart w:id="7316" w:name="_Toc488403424"/>
      <w:bookmarkStart w:id="7317" w:name="_Toc488404253"/>
      <w:bookmarkStart w:id="7318" w:name="_Toc488405084"/>
      <w:bookmarkStart w:id="7319" w:name="_Toc488405907"/>
      <w:bookmarkStart w:id="7320" w:name="_Toc488406736"/>
      <w:bookmarkStart w:id="7321" w:name="_Toc491409967"/>
      <w:bookmarkStart w:id="7322" w:name="_Toc496018505"/>
      <w:bookmarkStart w:id="7323" w:name="_Toc515787724"/>
      <w:bookmarkStart w:id="7324" w:name="_Toc515789424"/>
      <w:bookmarkStart w:id="7325" w:name="_Toc515790273"/>
      <w:bookmarkStart w:id="7326" w:name="_Toc515791122"/>
      <w:bookmarkStart w:id="7327" w:name="_Toc515791977"/>
      <w:bookmarkStart w:id="7328" w:name="_Toc515792827"/>
      <w:bookmarkStart w:id="7329" w:name="_Toc515793729"/>
      <w:bookmarkStart w:id="7330" w:name="_Toc515794634"/>
      <w:bookmarkStart w:id="7331" w:name="_Toc515796391"/>
      <w:bookmarkStart w:id="7332" w:name="_Toc488244805"/>
      <w:bookmarkStart w:id="7333" w:name="_Toc488247925"/>
      <w:bookmarkStart w:id="7334" w:name="_Toc488248569"/>
      <w:bookmarkStart w:id="7335" w:name="_Toc488249185"/>
      <w:bookmarkStart w:id="7336" w:name="_Toc488249801"/>
      <w:bookmarkStart w:id="7337" w:name="_Toc488330289"/>
      <w:bookmarkStart w:id="7338" w:name="_Toc488387143"/>
      <w:bookmarkStart w:id="7339" w:name="_Toc488402602"/>
      <w:bookmarkStart w:id="7340" w:name="_Toc488403425"/>
      <w:bookmarkStart w:id="7341" w:name="_Toc488404254"/>
      <w:bookmarkStart w:id="7342" w:name="_Toc488405085"/>
      <w:bookmarkStart w:id="7343" w:name="_Toc488405908"/>
      <w:bookmarkStart w:id="7344" w:name="_Toc488406737"/>
      <w:bookmarkStart w:id="7345" w:name="_Toc491409968"/>
      <w:bookmarkStart w:id="7346" w:name="_Toc496018506"/>
      <w:bookmarkStart w:id="7347" w:name="_Toc515787725"/>
      <w:bookmarkStart w:id="7348" w:name="_Toc515789425"/>
      <w:bookmarkStart w:id="7349" w:name="_Toc515790274"/>
      <w:bookmarkStart w:id="7350" w:name="_Toc515791123"/>
      <w:bookmarkStart w:id="7351" w:name="_Toc515791978"/>
      <w:bookmarkStart w:id="7352" w:name="_Toc515792828"/>
      <w:bookmarkStart w:id="7353" w:name="_Toc515793730"/>
      <w:bookmarkStart w:id="7354" w:name="_Toc515794635"/>
      <w:bookmarkStart w:id="7355" w:name="_Toc515796392"/>
      <w:bookmarkStart w:id="7356" w:name="_Toc488244806"/>
      <w:bookmarkStart w:id="7357" w:name="_Toc488247926"/>
      <w:bookmarkStart w:id="7358" w:name="_Toc488248570"/>
      <w:bookmarkStart w:id="7359" w:name="_Toc488249186"/>
      <w:bookmarkStart w:id="7360" w:name="_Toc488249802"/>
      <w:bookmarkStart w:id="7361" w:name="_Toc488330290"/>
      <w:bookmarkStart w:id="7362" w:name="_Toc488387144"/>
      <w:bookmarkStart w:id="7363" w:name="_Toc488402603"/>
      <w:bookmarkStart w:id="7364" w:name="_Toc488403426"/>
      <w:bookmarkStart w:id="7365" w:name="_Toc488404255"/>
      <w:bookmarkStart w:id="7366" w:name="_Toc488405086"/>
      <w:bookmarkStart w:id="7367" w:name="_Toc488405909"/>
      <w:bookmarkStart w:id="7368" w:name="_Toc488406738"/>
      <w:bookmarkStart w:id="7369" w:name="_Toc491409969"/>
      <w:bookmarkStart w:id="7370" w:name="_Toc496018507"/>
      <w:bookmarkStart w:id="7371" w:name="_Toc515787726"/>
      <w:bookmarkStart w:id="7372" w:name="_Toc515789426"/>
      <w:bookmarkStart w:id="7373" w:name="_Toc515790275"/>
      <w:bookmarkStart w:id="7374" w:name="_Toc515791124"/>
      <w:bookmarkStart w:id="7375" w:name="_Toc515791979"/>
      <w:bookmarkStart w:id="7376" w:name="_Toc515792829"/>
      <w:bookmarkStart w:id="7377" w:name="_Toc515793731"/>
      <w:bookmarkStart w:id="7378" w:name="_Toc515794636"/>
      <w:bookmarkStart w:id="7379" w:name="_Toc515796393"/>
      <w:bookmarkStart w:id="7380" w:name="_Toc488244807"/>
      <w:bookmarkStart w:id="7381" w:name="_Toc488247927"/>
      <w:bookmarkStart w:id="7382" w:name="_Toc488248571"/>
      <w:bookmarkStart w:id="7383" w:name="_Toc488249187"/>
      <w:bookmarkStart w:id="7384" w:name="_Toc488249803"/>
      <w:bookmarkStart w:id="7385" w:name="_Toc488330291"/>
      <w:bookmarkStart w:id="7386" w:name="_Toc488387145"/>
      <w:bookmarkStart w:id="7387" w:name="_Toc488402604"/>
      <w:bookmarkStart w:id="7388" w:name="_Toc488403427"/>
      <w:bookmarkStart w:id="7389" w:name="_Toc488404256"/>
      <w:bookmarkStart w:id="7390" w:name="_Toc488405087"/>
      <w:bookmarkStart w:id="7391" w:name="_Toc488405910"/>
      <w:bookmarkStart w:id="7392" w:name="_Toc488406739"/>
      <w:bookmarkStart w:id="7393" w:name="_Toc491409970"/>
      <w:bookmarkStart w:id="7394" w:name="_Toc496018508"/>
      <w:bookmarkStart w:id="7395" w:name="_Toc515787727"/>
      <w:bookmarkStart w:id="7396" w:name="_Toc515789427"/>
      <w:bookmarkStart w:id="7397" w:name="_Toc515790276"/>
      <w:bookmarkStart w:id="7398" w:name="_Toc515791125"/>
      <w:bookmarkStart w:id="7399" w:name="_Toc515791980"/>
      <w:bookmarkStart w:id="7400" w:name="_Toc515792830"/>
      <w:bookmarkStart w:id="7401" w:name="_Toc515793732"/>
      <w:bookmarkStart w:id="7402" w:name="_Toc515794637"/>
      <w:bookmarkStart w:id="7403" w:name="_Toc515796394"/>
      <w:bookmarkStart w:id="7404" w:name="_Toc488244808"/>
      <w:bookmarkStart w:id="7405" w:name="_Toc488247928"/>
      <w:bookmarkStart w:id="7406" w:name="_Toc488248572"/>
      <w:bookmarkStart w:id="7407" w:name="_Toc488249188"/>
      <w:bookmarkStart w:id="7408" w:name="_Toc488249804"/>
      <w:bookmarkStart w:id="7409" w:name="_Toc488330292"/>
      <w:bookmarkStart w:id="7410" w:name="_Toc488387146"/>
      <w:bookmarkStart w:id="7411" w:name="_Toc488402605"/>
      <w:bookmarkStart w:id="7412" w:name="_Toc488403428"/>
      <w:bookmarkStart w:id="7413" w:name="_Toc488404257"/>
      <w:bookmarkStart w:id="7414" w:name="_Toc488405088"/>
      <w:bookmarkStart w:id="7415" w:name="_Toc488405911"/>
      <w:bookmarkStart w:id="7416" w:name="_Toc488406740"/>
      <w:bookmarkStart w:id="7417" w:name="_Toc491409971"/>
      <w:bookmarkStart w:id="7418" w:name="_Toc496018509"/>
      <w:bookmarkStart w:id="7419" w:name="_Toc515787728"/>
      <w:bookmarkStart w:id="7420" w:name="_Toc515789428"/>
      <w:bookmarkStart w:id="7421" w:name="_Toc515790277"/>
      <w:bookmarkStart w:id="7422" w:name="_Toc515791126"/>
      <w:bookmarkStart w:id="7423" w:name="_Toc515791981"/>
      <w:bookmarkStart w:id="7424" w:name="_Toc515792831"/>
      <w:bookmarkStart w:id="7425" w:name="_Toc515793733"/>
      <w:bookmarkStart w:id="7426" w:name="_Toc515794638"/>
      <w:bookmarkStart w:id="7427" w:name="_Toc515796395"/>
      <w:bookmarkStart w:id="7428" w:name="_Toc488244809"/>
      <w:bookmarkStart w:id="7429" w:name="_Toc488247929"/>
      <w:bookmarkStart w:id="7430" w:name="_Toc488248573"/>
      <w:bookmarkStart w:id="7431" w:name="_Toc488249189"/>
      <w:bookmarkStart w:id="7432" w:name="_Toc488249805"/>
      <w:bookmarkStart w:id="7433" w:name="_Toc488330293"/>
      <w:bookmarkStart w:id="7434" w:name="_Toc488387147"/>
      <w:bookmarkStart w:id="7435" w:name="_Toc488402606"/>
      <w:bookmarkStart w:id="7436" w:name="_Toc488403429"/>
      <w:bookmarkStart w:id="7437" w:name="_Toc488404258"/>
      <w:bookmarkStart w:id="7438" w:name="_Toc488405089"/>
      <w:bookmarkStart w:id="7439" w:name="_Toc488405912"/>
      <w:bookmarkStart w:id="7440" w:name="_Toc488406741"/>
      <w:bookmarkStart w:id="7441" w:name="_Toc491409972"/>
      <w:bookmarkStart w:id="7442" w:name="_Toc496018510"/>
      <w:bookmarkStart w:id="7443" w:name="_Toc515787729"/>
      <w:bookmarkStart w:id="7444" w:name="_Toc515789429"/>
      <w:bookmarkStart w:id="7445" w:name="_Toc515790278"/>
      <w:bookmarkStart w:id="7446" w:name="_Toc515791127"/>
      <w:bookmarkStart w:id="7447" w:name="_Toc515791982"/>
      <w:bookmarkStart w:id="7448" w:name="_Toc515792832"/>
      <w:bookmarkStart w:id="7449" w:name="_Toc515793734"/>
      <w:bookmarkStart w:id="7450" w:name="_Toc515794639"/>
      <w:bookmarkStart w:id="7451" w:name="_Toc515796396"/>
      <w:bookmarkStart w:id="7452" w:name="_Toc488244810"/>
      <w:bookmarkStart w:id="7453" w:name="_Toc488247930"/>
      <w:bookmarkStart w:id="7454" w:name="_Toc488248574"/>
      <w:bookmarkStart w:id="7455" w:name="_Toc488249190"/>
      <w:bookmarkStart w:id="7456" w:name="_Toc488249806"/>
      <w:bookmarkStart w:id="7457" w:name="_Toc488330294"/>
      <w:bookmarkStart w:id="7458" w:name="_Toc488387148"/>
      <w:bookmarkStart w:id="7459" w:name="_Toc488402607"/>
      <w:bookmarkStart w:id="7460" w:name="_Toc488403430"/>
      <w:bookmarkStart w:id="7461" w:name="_Toc488404259"/>
      <w:bookmarkStart w:id="7462" w:name="_Toc488405090"/>
      <w:bookmarkStart w:id="7463" w:name="_Toc488405913"/>
      <w:bookmarkStart w:id="7464" w:name="_Toc488406742"/>
      <w:bookmarkStart w:id="7465" w:name="_Toc491409973"/>
      <w:bookmarkStart w:id="7466" w:name="_Toc496018511"/>
      <w:bookmarkStart w:id="7467" w:name="_Toc515787730"/>
      <w:bookmarkStart w:id="7468" w:name="_Toc515789430"/>
      <w:bookmarkStart w:id="7469" w:name="_Toc515790279"/>
      <w:bookmarkStart w:id="7470" w:name="_Toc515791128"/>
      <w:bookmarkStart w:id="7471" w:name="_Toc515791983"/>
      <w:bookmarkStart w:id="7472" w:name="_Toc515792833"/>
      <w:bookmarkStart w:id="7473" w:name="_Toc515793735"/>
      <w:bookmarkStart w:id="7474" w:name="_Toc515794640"/>
      <w:bookmarkStart w:id="7475" w:name="_Toc515796397"/>
      <w:bookmarkStart w:id="7476" w:name="_Toc488244811"/>
      <w:bookmarkStart w:id="7477" w:name="_Toc488247931"/>
      <w:bookmarkStart w:id="7478" w:name="_Toc488248575"/>
      <w:bookmarkStart w:id="7479" w:name="_Toc488249191"/>
      <w:bookmarkStart w:id="7480" w:name="_Toc488249807"/>
      <w:bookmarkStart w:id="7481" w:name="_Toc488330295"/>
      <w:bookmarkStart w:id="7482" w:name="_Toc488387149"/>
      <w:bookmarkStart w:id="7483" w:name="_Toc488402608"/>
      <w:bookmarkStart w:id="7484" w:name="_Toc488403431"/>
      <w:bookmarkStart w:id="7485" w:name="_Toc488404260"/>
      <w:bookmarkStart w:id="7486" w:name="_Toc488405091"/>
      <w:bookmarkStart w:id="7487" w:name="_Toc488405914"/>
      <w:bookmarkStart w:id="7488" w:name="_Toc488406743"/>
      <w:bookmarkStart w:id="7489" w:name="_Toc491409974"/>
      <w:bookmarkStart w:id="7490" w:name="_Toc496018512"/>
      <w:bookmarkStart w:id="7491" w:name="_Toc515787731"/>
      <w:bookmarkStart w:id="7492" w:name="_Toc515789431"/>
      <w:bookmarkStart w:id="7493" w:name="_Toc515790280"/>
      <w:bookmarkStart w:id="7494" w:name="_Toc515791129"/>
      <w:bookmarkStart w:id="7495" w:name="_Toc515791984"/>
      <w:bookmarkStart w:id="7496" w:name="_Toc515792834"/>
      <w:bookmarkStart w:id="7497" w:name="_Toc515793736"/>
      <w:bookmarkStart w:id="7498" w:name="_Toc515794641"/>
      <w:bookmarkStart w:id="7499" w:name="_Toc515796398"/>
      <w:bookmarkStart w:id="7500" w:name="_Toc488244812"/>
      <w:bookmarkStart w:id="7501" w:name="_Toc488247932"/>
      <w:bookmarkStart w:id="7502" w:name="_Toc488248576"/>
      <w:bookmarkStart w:id="7503" w:name="_Toc488249192"/>
      <w:bookmarkStart w:id="7504" w:name="_Toc488249808"/>
      <w:bookmarkStart w:id="7505" w:name="_Toc488330296"/>
      <w:bookmarkStart w:id="7506" w:name="_Toc488387150"/>
      <w:bookmarkStart w:id="7507" w:name="_Toc488402609"/>
      <w:bookmarkStart w:id="7508" w:name="_Toc488403432"/>
      <w:bookmarkStart w:id="7509" w:name="_Toc488404261"/>
      <w:bookmarkStart w:id="7510" w:name="_Toc488405092"/>
      <w:bookmarkStart w:id="7511" w:name="_Toc488405915"/>
      <w:bookmarkStart w:id="7512" w:name="_Toc488406744"/>
      <w:bookmarkStart w:id="7513" w:name="_Toc491409975"/>
      <w:bookmarkStart w:id="7514" w:name="_Toc496018513"/>
      <w:bookmarkStart w:id="7515" w:name="_Toc515787732"/>
      <w:bookmarkStart w:id="7516" w:name="_Toc515789432"/>
      <w:bookmarkStart w:id="7517" w:name="_Toc515790281"/>
      <w:bookmarkStart w:id="7518" w:name="_Toc515791130"/>
      <w:bookmarkStart w:id="7519" w:name="_Toc515791985"/>
      <w:bookmarkStart w:id="7520" w:name="_Toc515792835"/>
      <w:bookmarkStart w:id="7521" w:name="_Toc515793737"/>
      <w:bookmarkStart w:id="7522" w:name="_Toc515794642"/>
      <w:bookmarkStart w:id="7523" w:name="_Toc515796399"/>
      <w:bookmarkStart w:id="7524" w:name="_Toc488244813"/>
      <w:bookmarkStart w:id="7525" w:name="_Toc488247933"/>
      <w:bookmarkStart w:id="7526" w:name="_Toc488248577"/>
      <w:bookmarkStart w:id="7527" w:name="_Toc488249193"/>
      <w:bookmarkStart w:id="7528" w:name="_Toc488249809"/>
      <w:bookmarkStart w:id="7529" w:name="_Toc488330297"/>
      <w:bookmarkStart w:id="7530" w:name="_Toc488387151"/>
      <w:bookmarkStart w:id="7531" w:name="_Toc488402610"/>
      <w:bookmarkStart w:id="7532" w:name="_Toc488403433"/>
      <w:bookmarkStart w:id="7533" w:name="_Toc488404262"/>
      <w:bookmarkStart w:id="7534" w:name="_Toc488405093"/>
      <w:bookmarkStart w:id="7535" w:name="_Toc488405916"/>
      <w:bookmarkStart w:id="7536" w:name="_Toc488406745"/>
      <w:bookmarkStart w:id="7537" w:name="_Toc491409976"/>
      <w:bookmarkStart w:id="7538" w:name="_Toc496018514"/>
      <w:bookmarkStart w:id="7539" w:name="_Toc515787733"/>
      <w:bookmarkStart w:id="7540" w:name="_Toc515789433"/>
      <w:bookmarkStart w:id="7541" w:name="_Toc515790282"/>
      <w:bookmarkStart w:id="7542" w:name="_Toc515791131"/>
      <w:bookmarkStart w:id="7543" w:name="_Toc515791986"/>
      <w:bookmarkStart w:id="7544" w:name="_Toc515792836"/>
      <w:bookmarkStart w:id="7545" w:name="_Toc515793738"/>
      <w:bookmarkStart w:id="7546" w:name="_Toc515794643"/>
      <w:bookmarkStart w:id="7547" w:name="_Toc515796400"/>
      <w:bookmarkStart w:id="7548" w:name="_Toc488244814"/>
      <w:bookmarkStart w:id="7549" w:name="_Toc488247934"/>
      <w:bookmarkStart w:id="7550" w:name="_Toc488248578"/>
      <w:bookmarkStart w:id="7551" w:name="_Toc488249194"/>
      <w:bookmarkStart w:id="7552" w:name="_Toc488249810"/>
      <w:bookmarkStart w:id="7553" w:name="_Toc488330298"/>
      <w:bookmarkStart w:id="7554" w:name="_Toc488387152"/>
      <w:bookmarkStart w:id="7555" w:name="_Toc488402611"/>
      <w:bookmarkStart w:id="7556" w:name="_Toc488403434"/>
      <w:bookmarkStart w:id="7557" w:name="_Toc488404263"/>
      <w:bookmarkStart w:id="7558" w:name="_Toc488405094"/>
      <w:bookmarkStart w:id="7559" w:name="_Toc488405917"/>
      <w:bookmarkStart w:id="7560" w:name="_Toc488406746"/>
      <w:bookmarkStart w:id="7561" w:name="_Toc491409977"/>
      <w:bookmarkStart w:id="7562" w:name="_Toc496018515"/>
      <w:bookmarkStart w:id="7563" w:name="_Toc515787734"/>
      <w:bookmarkStart w:id="7564" w:name="_Toc515789434"/>
      <w:bookmarkStart w:id="7565" w:name="_Toc515790283"/>
      <w:bookmarkStart w:id="7566" w:name="_Toc515791132"/>
      <w:bookmarkStart w:id="7567" w:name="_Toc515791987"/>
      <w:bookmarkStart w:id="7568" w:name="_Toc515792837"/>
      <w:bookmarkStart w:id="7569" w:name="_Toc515793739"/>
      <w:bookmarkStart w:id="7570" w:name="_Toc515794644"/>
      <w:bookmarkStart w:id="7571" w:name="_Toc515796401"/>
      <w:bookmarkStart w:id="7572" w:name="_Toc488244815"/>
      <w:bookmarkStart w:id="7573" w:name="_Toc488247935"/>
      <w:bookmarkStart w:id="7574" w:name="_Toc488248579"/>
      <w:bookmarkStart w:id="7575" w:name="_Toc488249195"/>
      <w:bookmarkStart w:id="7576" w:name="_Toc488249811"/>
      <w:bookmarkStart w:id="7577" w:name="_Toc488330299"/>
      <w:bookmarkStart w:id="7578" w:name="_Toc488387153"/>
      <w:bookmarkStart w:id="7579" w:name="_Toc488402612"/>
      <w:bookmarkStart w:id="7580" w:name="_Toc488403435"/>
      <w:bookmarkStart w:id="7581" w:name="_Toc488404264"/>
      <w:bookmarkStart w:id="7582" w:name="_Toc488405095"/>
      <w:bookmarkStart w:id="7583" w:name="_Toc488405918"/>
      <w:bookmarkStart w:id="7584" w:name="_Toc488406747"/>
      <w:bookmarkStart w:id="7585" w:name="_Toc491409978"/>
      <w:bookmarkStart w:id="7586" w:name="_Toc496018516"/>
      <w:bookmarkStart w:id="7587" w:name="_Toc515787735"/>
      <w:bookmarkStart w:id="7588" w:name="_Toc515789435"/>
      <w:bookmarkStart w:id="7589" w:name="_Toc515790284"/>
      <w:bookmarkStart w:id="7590" w:name="_Toc515791133"/>
      <w:bookmarkStart w:id="7591" w:name="_Toc515791988"/>
      <w:bookmarkStart w:id="7592" w:name="_Toc515792838"/>
      <w:bookmarkStart w:id="7593" w:name="_Toc515793740"/>
      <w:bookmarkStart w:id="7594" w:name="_Toc515794645"/>
      <w:bookmarkStart w:id="7595" w:name="_Toc515796402"/>
      <w:bookmarkStart w:id="7596" w:name="_Toc488244816"/>
      <w:bookmarkStart w:id="7597" w:name="_Toc488247936"/>
      <w:bookmarkStart w:id="7598" w:name="_Toc488248580"/>
      <w:bookmarkStart w:id="7599" w:name="_Toc488249196"/>
      <w:bookmarkStart w:id="7600" w:name="_Toc488249812"/>
      <w:bookmarkStart w:id="7601" w:name="_Toc488330300"/>
      <w:bookmarkStart w:id="7602" w:name="_Toc488387154"/>
      <w:bookmarkStart w:id="7603" w:name="_Toc488402613"/>
      <w:bookmarkStart w:id="7604" w:name="_Toc488403436"/>
      <w:bookmarkStart w:id="7605" w:name="_Toc488404265"/>
      <w:bookmarkStart w:id="7606" w:name="_Toc488405096"/>
      <w:bookmarkStart w:id="7607" w:name="_Toc488405919"/>
      <w:bookmarkStart w:id="7608" w:name="_Toc488406748"/>
      <w:bookmarkStart w:id="7609" w:name="_Toc491409979"/>
      <w:bookmarkStart w:id="7610" w:name="_Toc496018517"/>
      <w:bookmarkStart w:id="7611" w:name="_Toc515787736"/>
      <w:bookmarkStart w:id="7612" w:name="_Toc515789436"/>
      <w:bookmarkStart w:id="7613" w:name="_Toc515790285"/>
      <w:bookmarkStart w:id="7614" w:name="_Toc515791134"/>
      <w:bookmarkStart w:id="7615" w:name="_Toc515791989"/>
      <w:bookmarkStart w:id="7616" w:name="_Toc515792839"/>
      <w:bookmarkStart w:id="7617" w:name="_Toc515793741"/>
      <w:bookmarkStart w:id="7618" w:name="_Toc515794646"/>
      <w:bookmarkStart w:id="7619" w:name="_Toc515796403"/>
      <w:bookmarkStart w:id="7620" w:name="_Toc488244817"/>
      <w:bookmarkStart w:id="7621" w:name="_Toc488247937"/>
      <w:bookmarkStart w:id="7622" w:name="_Toc488248581"/>
      <w:bookmarkStart w:id="7623" w:name="_Toc488249197"/>
      <w:bookmarkStart w:id="7624" w:name="_Toc488249813"/>
      <w:bookmarkStart w:id="7625" w:name="_Toc488330301"/>
      <w:bookmarkStart w:id="7626" w:name="_Toc488387155"/>
      <w:bookmarkStart w:id="7627" w:name="_Toc488402614"/>
      <w:bookmarkStart w:id="7628" w:name="_Toc488403437"/>
      <w:bookmarkStart w:id="7629" w:name="_Toc488404266"/>
      <w:bookmarkStart w:id="7630" w:name="_Toc488405097"/>
      <w:bookmarkStart w:id="7631" w:name="_Toc488405920"/>
      <w:bookmarkStart w:id="7632" w:name="_Toc488406749"/>
      <w:bookmarkStart w:id="7633" w:name="_Toc491409980"/>
      <w:bookmarkStart w:id="7634" w:name="_Toc496018518"/>
      <w:bookmarkStart w:id="7635" w:name="_Toc515787737"/>
      <w:bookmarkStart w:id="7636" w:name="_Toc515789437"/>
      <w:bookmarkStart w:id="7637" w:name="_Toc515790286"/>
      <w:bookmarkStart w:id="7638" w:name="_Toc515791135"/>
      <w:bookmarkStart w:id="7639" w:name="_Toc515791990"/>
      <w:bookmarkStart w:id="7640" w:name="_Toc515792840"/>
      <w:bookmarkStart w:id="7641" w:name="_Toc515793742"/>
      <w:bookmarkStart w:id="7642" w:name="_Toc515794647"/>
      <w:bookmarkStart w:id="7643" w:name="_Toc515796404"/>
      <w:bookmarkStart w:id="7644" w:name="_Toc488244818"/>
      <w:bookmarkStart w:id="7645" w:name="_Toc488247938"/>
      <w:bookmarkStart w:id="7646" w:name="_Toc488248582"/>
      <w:bookmarkStart w:id="7647" w:name="_Toc488249198"/>
      <w:bookmarkStart w:id="7648" w:name="_Toc488249814"/>
      <w:bookmarkStart w:id="7649" w:name="_Toc488330302"/>
      <w:bookmarkStart w:id="7650" w:name="_Toc488387156"/>
      <w:bookmarkStart w:id="7651" w:name="_Toc488402615"/>
      <w:bookmarkStart w:id="7652" w:name="_Toc488403438"/>
      <w:bookmarkStart w:id="7653" w:name="_Toc488404267"/>
      <w:bookmarkStart w:id="7654" w:name="_Toc488405098"/>
      <w:bookmarkStart w:id="7655" w:name="_Toc488405921"/>
      <w:bookmarkStart w:id="7656" w:name="_Toc488406750"/>
      <w:bookmarkStart w:id="7657" w:name="_Toc491409981"/>
      <w:bookmarkStart w:id="7658" w:name="_Toc496018519"/>
      <w:bookmarkStart w:id="7659" w:name="_Toc515787738"/>
      <w:bookmarkStart w:id="7660" w:name="_Toc515789438"/>
      <w:bookmarkStart w:id="7661" w:name="_Toc515790287"/>
      <w:bookmarkStart w:id="7662" w:name="_Toc515791136"/>
      <w:bookmarkStart w:id="7663" w:name="_Toc515791991"/>
      <w:bookmarkStart w:id="7664" w:name="_Toc515792841"/>
      <w:bookmarkStart w:id="7665" w:name="_Toc515793743"/>
      <w:bookmarkStart w:id="7666" w:name="_Toc515794648"/>
      <w:bookmarkStart w:id="7667" w:name="_Toc515796405"/>
      <w:bookmarkStart w:id="7668" w:name="_Toc488244819"/>
      <w:bookmarkStart w:id="7669" w:name="_Toc488247939"/>
      <w:bookmarkStart w:id="7670" w:name="_Toc488248583"/>
      <w:bookmarkStart w:id="7671" w:name="_Toc488249199"/>
      <w:bookmarkStart w:id="7672" w:name="_Toc488249815"/>
      <w:bookmarkStart w:id="7673" w:name="_Toc488330303"/>
      <w:bookmarkStart w:id="7674" w:name="_Toc488387157"/>
      <w:bookmarkStart w:id="7675" w:name="_Toc488402616"/>
      <w:bookmarkStart w:id="7676" w:name="_Toc488403439"/>
      <w:bookmarkStart w:id="7677" w:name="_Toc488404268"/>
      <w:bookmarkStart w:id="7678" w:name="_Toc488405099"/>
      <w:bookmarkStart w:id="7679" w:name="_Toc488405922"/>
      <w:bookmarkStart w:id="7680" w:name="_Toc488406751"/>
      <w:bookmarkStart w:id="7681" w:name="_Toc491409982"/>
      <w:bookmarkStart w:id="7682" w:name="_Toc496018520"/>
      <w:bookmarkStart w:id="7683" w:name="_Toc515787739"/>
      <w:bookmarkStart w:id="7684" w:name="_Toc515789439"/>
      <w:bookmarkStart w:id="7685" w:name="_Toc515790288"/>
      <w:bookmarkStart w:id="7686" w:name="_Toc515791137"/>
      <w:bookmarkStart w:id="7687" w:name="_Toc515791992"/>
      <w:bookmarkStart w:id="7688" w:name="_Toc515792842"/>
      <w:bookmarkStart w:id="7689" w:name="_Toc515793744"/>
      <w:bookmarkStart w:id="7690" w:name="_Toc515794649"/>
      <w:bookmarkStart w:id="7691" w:name="_Toc515796406"/>
      <w:bookmarkStart w:id="7692" w:name="_Toc488244820"/>
      <w:bookmarkStart w:id="7693" w:name="_Toc488247940"/>
      <w:bookmarkStart w:id="7694" w:name="_Toc488248584"/>
      <w:bookmarkStart w:id="7695" w:name="_Toc488249200"/>
      <w:bookmarkStart w:id="7696" w:name="_Toc488249816"/>
      <w:bookmarkStart w:id="7697" w:name="_Toc488330304"/>
      <w:bookmarkStart w:id="7698" w:name="_Toc488387158"/>
      <w:bookmarkStart w:id="7699" w:name="_Toc488402617"/>
      <w:bookmarkStart w:id="7700" w:name="_Toc488403440"/>
      <w:bookmarkStart w:id="7701" w:name="_Toc488404269"/>
      <w:bookmarkStart w:id="7702" w:name="_Toc488405100"/>
      <w:bookmarkStart w:id="7703" w:name="_Toc488405923"/>
      <w:bookmarkStart w:id="7704" w:name="_Toc488406752"/>
      <w:bookmarkStart w:id="7705" w:name="_Toc491409983"/>
      <w:bookmarkStart w:id="7706" w:name="_Toc496018521"/>
      <w:bookmarkStart w:id="7707" w:name="_Toc515787740"/>
      <w:bookmarkStart w:id="7708" w:name="_Toc515789440"/>
      <w:bookmarkStart w:id="7709" w:name="_Toc515790289"/>
      <w:bookmarkStart w:id="7710" w:name="_Toc515791138"/>
      <w:bookmarkStart w:id="7711" w:name="_Toc515791993"/>
      <w:bookmarkStart w:id="7712" w:name="_Toc515792843"/>
      <w:bookmarkStart w:id="7713" w:name="_Toc515793745"/>
      <w:bookmarkStart w:id="7714" w:name="_Toc515794650"/>
      <w:bookmarkStart w:id="7715" w:name="_Toc515796407"/>
      <w:bookmarkStart w:id="7716" w:name="_Toc488244821"/>
      <w:bookmarkStart w:id="7717" w:name="_Toc488247941"/>
      <w:bookmarkStart w:id="7718" w:name="_Toc488248585"/>
      <w:bookmarkStart w:id="7719" w:name="_Toc488249201"/>
      <w:bookmarkStart w:id="7720" w:name="_Toc488249817"/>
      <w:bookmarkStart w:id="7721" w:name="_Toc488330305"/>
      <w:bookmarkStart w:id="7722" w:name="_Toc488387159"/>
      <w:bookmarkStart w:id="7723" w:name="_Toc488402618"/>
      <w:bookmarkStart w:id="7724" w:name="_Toc488403441"/>
      <w:bookmarkStart w:id="7725" w:name="_Toc488404270"/>
      <w:bookmarkStart w:id="7726" w:name="_Toc488405101"/>
      <w:bookmarkStart w:id="7727" w:name="_Toc488405924"/>
      <w:bookmarkStart w:id="7728" w:name="_Toc488406753"/>
      <w:bookmarkStart w:id="7729" w:name="_Toc491409984"/>
      <w:bookmarkStart w:id="7730" w:name="_Toc496018522"/>
      <w:bookmarkStart w:id="7731" w:name="_Toc515787741"/>
      <w:bookmarkStart w:id="7732" w:name="_Toc515789441"/>
      <w:bookmarkStart w:id="7733" w:name="_Toc515790290"/>
      <w:bookmarkStart w:id="7734" w:name="_Toc515791139"/>
      <w:bookmarkStart w:id="7735" w:name="_Toc515791994"/>
      <w:bookmarkStart w:id="7736" w:name="_Toc515792844"/>
      <w:bookmarkStart w:id="7737" w:name="_Toc515793746"/>
      <w:bookmarkStart w:id="7738" w:name="_Toc515794651"/>
      <w:bookmarkStart w:id="7739" w:name="_Toc515796408"/>
      <w:bookmarkStart w:id="7740" w:name="_Toc488244822"/>
      <w:bookmarkStart w:id="7741" w:name="_Toc488247942"/>
      <w:bookmarkStart w:id="7742" w:name="_Toc488248586"/>
      <w:bookmarkStart w:id="7743" w:name="_Toc488249202"/>
      <w:bookmarkStart w:id="7744" w:name="_Toc488249818"/>
      <w:bookmarkStart w:id="7745" w:name="_Toc488330306"/>
      <w:bookmarkStart w:id="7746" w:name="_Toc488387160"/>
      <w:bookmarkStart w:id="7747" w:name="_Toc488402619"/>
      <w:bookmarkStart w:id="7748" w:name="_Toc488403442"/>
      <w:bookmarkStart w:id="7749" w:name="_Toc488404271"/>
      <w:bookmarkStart w:id="7750" w:name="_Toc488405102"/>
      <w:bookmarkStart w:id="7751" w:name="_Toc488405925"/>
      <w:bookmarkStart w:id="7752" w:name="_Toc488406754"/>
      <w:bookmarkStart w:id="7753" w:name="_Toc491409985"/>
      <w:bookmarkStart w:id="7754" w:name="_Toc496018523"/>
      <w:bookmarkStart w:id="7755" w:name="_Toc515787742"/>
      <w:bookmarkStart w:id="7756" w:name="_Toc515789442"/>
      <w:bookmarkStart w:id="7757" w:name="_Toc515790291"/>
      <w:bookmarkStart w:id="7758" w:name="_Toc515791140"/>
      <w:bookmarkStart w:id="7759" w:name="_Toc515791995"/>
      <w:bookmarkStart w:id="7760" w:name="_Toc515792845"/>
      <w:bookmarkStart w:id="7761" w:name="_Toc515793747"/>
      <w:bookmarkStart w:id="7762" w:name="_Toc515794652"/>
      <w:bookmarkStart w:id="7763" w:name="_Toc515796409"/>
      <w:bookmarkStart w:id="7764" w:name="_Toc488244823"/>
      <w:bookmarkStart w:id="7765" w:name="_Toc488247943"/>
      <w:bookmarkStart w:id="7766" w:name="_Toc488248587"/>
      <w:bookmarkStart w:id="7767" w:name="_Toc488249203"/>
      <w:bookmarkStart w:id="7768" w:name="_Toc488249819"/>
      <w:bookmarkStart w:id="7769" w:name="_Toc488330307"/>
      <w:bookmarkStart w:id="7770" w:name="_Toc488387161"/>
      <w:bookmarkStart w:id="7771" w:name="_Toc488402620"/>
      <w:bookmarkStart w:id="7772" w:name="_Toc488403443"/>
      <w:bookmarkStart w:id="7773" w:name="_Toc488404272"/>
      <w:bookmarkStart w:id="7774" w:name="_Toc488405103"/>
      <w:bookmarkStart w:id="7775" w:name="_Toc488405926"/>
      <w:bookmarkStart w:id="7776" w:name="_Toc488406755"/>
      <w:bookmarkStart w:id="7777" w:name="_Toc491409986"/>
      <w:bookmarkStart w:id="7778" w:name="_Toc496018524"/>
      <w:bookmarkStart w:id="7779" w:name="_Toc515787743"/>
      <w:bookmarkStart w:id="7780" w:name="_Toc515789443"/>
      <w:bookmarkStart w:id="7781" w:name="_Toc515790292"/>
      <w:bookmarkStart w:id="7782" w:name="_Toc515791141"/>
      <w:bookmarkStart w:id="7783" w:name="_Toc515791996"/>
      <w:bookmarkStart w:id="7784" w:name="_Toc515792846"/>
      <w:bookmarkStart w:id="7785" w:name="_Toc515793748"/>
      <w:bookmarkStart w:id="7786" w:name="_Toc515794653"/>
      <w:bookmarkStart w:id="7787" w:name="_Toc515796410"/>
      <w:bookmarkStart w:id="7788" w:name="_Toc488244824"/>
      <w:bookmarkStart w:id="7789" w:name="_Toc488247944"/>
      <w:bookmarkStart w:id="7790" w:name="_Toc488248588"/>
      <w:bookmarkStart w:id="7791" w:name="_Toc488249204"/>
      <w:bookmarkStart w:id="7792" w:name="_Toc488249820"/>
      <w:bookmarkStart w:id="7793" w:name="_Toc488330308"/>
      <w:bookmarkStart w:id="7794" w:name="_Toc488387162"/>
      <w:bookmarkStart w:id="7795" w:name="_Toc488402621"/>
      <w:bookmarkStart w:id="7796" w:name="_Toc488403444"/>
      <w:bookmarkStart w:id="7797" w:name="_Toc488404273"/>
      <w:bookmarkStart w:id="7798" w:name="_Toc488405104"/>
      <w:bookmarkStart w:id="7799" w:name="_Toc488405927"/>
      <w:bookmarkStart w:id="7800" w:name="_Toc488406756"/>
      <w:bookmarkStart w:id="7801" w:name="_Toc491409987"/>
      <w:bookmarkStart w:id="7802" w:name="_Toc496018525"/>
      <w:bookmarkStart w:id="7803" w:name="_Toc515787744"/>
      <w:bookmarkStart w:id="7804" w:name="_Toc515789444"/>
      <w:bookmarkStart w:id="7805" w:name="_Toc515790293"/>
      <w:bookmarkStart w:id="7806" w:name="_Toc515791142"/>
      <w:bookmarkStart w:id="7807" w:name="_Toc515791997"/>
      <w:bookmarkStart w:id="7808" w:name="_Toc515792847"/>
      <w:bookmarkStart w:id="7809" w:name="_Toc515793749"/>
      <w:bookmarkStart w:id="7810" w:name="_Toc515794654"/>
      <w:bookmarkStart w:id="7811" w:name="_Toc515796411"/>
      <w:bookmarkStart w:id="7812" w:name="_Toc488244825"/>
      <w:bookmarkStart w:id="7813" w:name="_Toc488247945"/>
      <w:bookmarkStart w:id="7814" w:name="_Toc488248589"/>
      <w:bookmarkStart w:id="7815" w:name="_Toc488249205"/>
      <w:bookmarkStart w:id="7816" w:name="_Toc488249821"/>
      <w:bookmarkStart w:id="7817" w:name="_Toc488330309"/>
      <w:bookmarkStart w:id="7818" w:name="_Toc488387163"/>
      <w:bookmarkStart w:id="7819" w:name="_Toc488402622"/>
      <w:bookmarkStart w:id="7820" w:name="_Toc488403445"/>
      <w:bookmarkStart w:id="7821" w:name="_Toc488404274"/>
      <w:bookmarkStart w:id="7822" w:name="_Toc488405105"/>
      <w:bookmarkStart w:id="7823" w:name="_Toc488405928"/>
      <w:bookmarkStart w:id="7824" w:name="_Toc488406757"/>
      <w:bookmarkStart w:id="7825" w:name="_Toc491409988"/>
      <w:bookmarkStart w:id="7826" w:name="_Toc496018526"/>
      <w:bookmarkStart w:id="7827" w:name="_Toc515787745"/>
      <w:bookmarkStart w:id="7828" w:name="_Toc515789445"/>
      <w:bookmarkStart w:id="7829" w:name="_Toc515790294"/>
      <w:bookmarkStart w:id="7830" w:name="_Toc515791143"/>
      <w:bookmarkStart w:id="7831" w:name="_Toc515791998"/>
      <w:bookmarkStart w:id="7832" w:name="_Toc515792848"/>
      <w:bookmarkStart w:id="7833" w:name="_Toc515793750"/>
      <w:bookmarkStart w:id="7834" w:name="_Toc515794655"/>
      <w:bookmarkStart w:id="7835" w:name="_Toc515796412"/>
      <w:bookmarkStart w:id="7836" w:name="_Toc488244826"/>
      <w:bookmarkStart w:id="7837" w:name="_Toc488247946"/>
      <w:bookmarkStart w:id="7838" w:name="_Toc488248590"/>
      <w:bookmarkStart w:id="7839" w:name="_Toc488249206"/>
      <w:bookmarkStart w:id="7840" w:name="_Toc488249822"/>
      <w:bookmarkStart w:id="7841" w:name="_Toc488330310"/>
      <w:bookmarkStart w:id="7842" w:name="_Toc488387164"/>
      <w:bookmarkStart w:id="7843" w:name="_Toc488402623"/>
      <w:bookmarkStart w:id="7844" w:name="_Toc488403446"/>
      <w:bookmarkStart w:id="7845" w:name="_Toc488404275"/>
      <w:bookmarkStart w:id="7846" w:name="_Toc488405106"/>
      <w:bookmarkStart w:id="7847" w:name="_Toc488405929"/>
      <w:bookmarkStart w:id="7848" w:name="_Toc488406758"/>
      <w:bookmarkStart w:id="7849" w:name="_Toc491409989"/>
      <w:bookmarkStart w:id="7850" w:name="_Toc496018527"/>
      <w:bookmarkStart w:id="7851" w:name="_Toc515787746"/>
      <w:bookmarkStart w:id="7852" w:name="_Toc515789446"/>
      <w:bookmarkStart w:id="7853" w:name="_Toc515790295"/>
      <w:bookmarkStart w:id="7854" w:name="_Toc515791144"/>
      <w:bookmarkStart w:id="7855" w:name="_Toc515791999"/>
      <w:bookmarkStart w:id="7856" w:name="_Toc515792849"/>
      <w:bookmarkStart w:id="7857" w:name="_Toc515793751"/>
      <w:bookmarkStart w:id="7858" w:name="_Toc515794656"/>
      <w:bookmarkStart w:id="7859" w:name="_Toc515796413"/>
      <w:bookmarkStart w:id="7860" w:name="_Toc488244827"/>
      <w:bookmarkStart w:id="7861" w:name="_Toc488247947"/>
      <w:bookmarkStart w:id="7862" w:name="_Toc488248591"/>
      <w:bookmarkStart w:id="7863" w:name="_Toc488249207"/>
      <w:bookmarkStart w:id="7864" w:name="_Toc488249823"/>
      <w:bookmarkStart w:id="7865" w:name="_Toc488330311"/>
      <w:bookmarkStart w:id="7866" w:name="_Toc488387165"/>
      <w:bookmarkStart w:id="7867" w:name="_Toc488402624"/>
      <w:bookmarkStart w:id="7868" w:name="_Toc488403447"/>
      <w:bookmarkStart w:id="7869" w:name="_Toc488404276"/>
      <w:bookmarkStart w:id="7870" w:name="_Toc488405107"/>
      <w:bookmarkStart w:id="7871" w:name="_Toc488405930"/>
      <w:bookmarkStart w:id="7872" w:name="_Toc488406759"/>
      <w:bookmarkStart w:id="7873" w:name="_Toc491409990"/>
      <w:bookmarkStart w:id="7874" w:name="_Toc496018528"/>
      <w:bookmarkStart w:id="7875" w:name="_Toc515787747"/>
      <w:bookmarkStart w:id="7876" w:name="_Toc515789447"/>
      <w:bookmarkStart w:id="7877" w:name="_Toc515790296"/>
      <w:bookmarkStart w:id="7878" w:name="_Toc515791145"/>
      <w:bookmarkStart w:id="7879" w:name="_Toc515792000"/>
      <w:bookmarkStart w:id="7880" w:name="_Toc515792850"/>
      <w:bookmarkStart w:id="7881" w:name="_Toc515793752"/>
      <w:bookmarkStart w:id="7882" w:name="_Toc515794657"/>
      <w:bookmarkStart w:id="7883" w:name="_Toc515796414"/>
      <w:bookmarkStart w:id="7884" w:name="_Toc488244828"/>
      <w:bookmarkStart w:id="7885" w:name="_Toc488247948"/>
      <w:bookmarkStart w:id="7886" w:name="_Toc488248592"/>
      <w:bookmarkStart w:id="7887" w:name="_Toc488249208"/>
      <w:bookmarkStart w:id="7888" w:name="_Toc488249824"/>
      <w:bookmarkStart w:id="7889" w:name="_Toc488330312"/>
      <w:bookmarkStart w:id="7890" w:name="_Toc488387166"/>
      <w:bookmarkStart w:id="7891" w:name="_Toc488402625"/>
      <w:bookmarkStart w:id="7892" w:name="_Toc488403448"/>
      <w:bookmarkStart w:id="7893" w:name="_Toc488404277"/>
      <w:bookmarkStart w:id="7894" w:name="_Toc488405108"/>
      <w:bookmarkStart w:id="7895" w:name="_Toc488405931"/>
      <w:bookmarkStart w:id="7896" w:name="_Toc488406760"/>
      <w:bookmarkStart w:id="7897" w:name="_Toc491409991"/>
      <w:bookmarkStart w:id="7898" w:name="_Toc496018529"/>
      <w:bookmarkStart w:id="7899" w:name="_Toc515787748"/>
      <w:bookmarkStart w:id="7900" w:name="_Toc515789448"/>
      <w:bookmarkStart w:id="7901" w:name="_Toc515790297"/>
      <w:bookmarkStart w:id="7902" w:name="_Toc515791146"/>
      <w:bookmarkStart w:id="7903" w:name="_Toc515792001"/>
      <w:bookmarkStart w:id="7904" w:name="_Toc515792851"/>
      <w:bookmarkStart w:id="7905" w:name="_Toc515793753"/>
      <w:bookmarkStart w:id="7906" w:name="_Toc515794658"/>
      <w:bookmarkStart w:id="7907" w:name="_Toc515796415"/>
      <w:bookmarkStart w:id="7908" w:name="_Toc488244829"/>
      <w:bookmarkStart w:id="7909" w:name="_Toc488247949"/>
      <w:bookmarkStart w:id="7910" w:name="_Toc488248593"/>
      <w:bookmarkStart w:id="7911" w:name="_Toc488249209"/>
      <w:bookmarkStart w:id="7912" w:name="_Toc488249825"/>
      <w:bookmarkStart w:id="7913" w:name="_Toc488330313"/>
      <w:bookmarkStart w:id="7914" w:name="_Toc488387167"/>
      <w:bookmarkStart w:id="7915" w:name="_Toc488402626"/>
      <w:bookmarkStart w:id="7916" w:name="_Toc488403449"/>
      <w:bookmarkStart w:id="7917" w:name="_Toc488404278"/>
      <w:bookmarkStart w:id="7918" w:name="_Toc488405109"/>
      <w:bookmarkStart w:id="7919" w:name="_Toc488405932"/>
      <w:bookmarkStart w:id="7920" w:name="_Toc488406761"/>
      <w:bookmarkStart w:id="7921" w:name="_Toc491409992"/>
      <w:bookmarkStart w:id="7922" w:name="_Toc496018530"/>
      <w:bookmarkStart w:id="7923" w:name="_Toc515787749"/>
      <w:bookmarkStart w:id="7924" w:name="_Toc515789449"/>
      <w:bookmarkStart w:id="7925" w:name="_Toc515790298"/>
      <w:bookmarkStart w:id="7926" w:name="_Toc515791147"/>
      <w:bookmarkStart w:id="7927" w:name="_Toc515792002"/>
      <w:bookmarkStart w:id="7928" w:name="_Toc515792852"/>
      <w:bookmarkStart w:id="7929" w:name="_Toc515793754"/>
      <w:bookmarkStart w:id="7930" w:name="_Toc515794659"/>
      <w:bookmarkStart w:id="7931" w:name="_Toc515796416"/>
      <w:bookmarkStart w:id="7932" w:name="_Toc488244830"/>
      <w:bookmarkStart w:id="7933" w:name="_Toc488247950"/>
      <w:bookmarkStart w:id="7934" w:name="_Toc488248594"/>
      <w:bookmarkStart w:id="7935" w:name="_Toc488249210"/>
      <w:bookmarkStart w:id="7936" w:name="_Toc488249826"/>
      <w:bookmarkStart w:id="7937" w:name="_Toc488330314"/>
      <w:bookmarkStart w:id="7938" w:name="_Toc488387168"/>
      <w:bookmarkStart w:id="7939" w:name="_Toc488402627"/>
      <w:bookmarkStart w:id="7940" w:name="_Toc488403450"/>
      <w:bookmarkStart w:id="7941" w:name="_Toc488404279"/>
      <w:bookmarkStart w:id="7942" w:name="_Toc488405110"/>
      <w:bookmarkStart w:id="7943" w:name="_Toc488405933"/>
      <w:bookmarkStart w:id="7944" w:name="_Toc488406762"/>
      <w:bookmarkStart w:id="7945" w:name="_Toc491409993"/>
      <w:bookmarkStart w:id="7946" w:name="_Toc496018531"/>
      <w:bookmarkStart w:id="7947" w:name="_Toc515787750"/>
      <w:bookmarkStart w:id="7948" w:name="_Toc515789450"/>
      <w:bookmarkStart w:id="7949" w:name="_Toc515790299"/>
      <w:bookmarkStart w:id="7950" w:name="_Toc515791148"/>
      <w:bookmarkStart w:id="7951" w:name="_Toc515792003"/>
      <w:bookmarkStart w:id="7952" w:name="_Toc515792853"/>
      <w:bookmarkStart w:id="7953" w:name="_Toc515793755"/>
      <w:bookmarkStart w:id="7954" w:name="_Toc515794660"/>
      <w:bookmarkStart w:id="7955" w:name="_Toc515796417"/>
      <w:bookmarkStart w:id="7956" w:name="_Toc488244831"/>
      <w:bookmarkStart w:id="7957" w:name="_Toc488247951"/>
      <w:bookmarkStart w:id="7958" w:name="_Toc488248595"/>
      <w:bookmarkStart w:id="7959" w:name="_Toc488249211"/>
      <w:bookmarkStart w:id="7960" w:name="_Toc488249827"/>
      <w:bookmarkStart w:id="7961" w:name="_Toc488330315"/>
      <w:bookmarkStart w:id="7962" w:name="_Toc488387169"/>
      <w:bookmarkStart w:id="7963" w:name="_Toc488402628"/>
      <w:bookmarkStart w:id="7964" w:name="_Toc488403451"/>
      <w:bookmarkStart w:id="7965" w:name="_Toc488404280"/>
      <w:bookmarkStart w:id="7966" w:name="_Toc488405111"/>
      <w:bookmarkStart w:id="7967" w:name="_Toc488405934"/>
      <w:bookmarkStart w:id="7968" w:name="_Toc488406763"/>
      <w:bookmarkStart w:id="7969" w:name="_Toc491409994"/>
      <w:bookmarkStart w:id="7970" w:name="_Toc496018532"/>
      <w:bookmarkStart w:id="7971" w:name="_Toc515787751"/>
      <w:bookmarkStart w:id="7972" w:name="_Toc515789451"/>
      <w:bookmarkStart w:id="7973" w:name="_Toc515790300"/>
      <w:bookmarkStart w:id="7974" w:name="_Toc515791149"/>
      <w:bookmarkStart w:id="7975" w:name="_Toc515792004"/>
      <w:bookmarkStart w:id="7976" w:name="_Toc515792854"/>
      <w:bookmarkStart w:id="7977" w:name="_Toc515793756"/>
      <w:bookmarkStart w:id="7978" w:name="_Toc515794661"/>
      <w:bookmarkStart w:id="7979" w:name="_Toc515796418"/>
      <w:bookmarkStart w:id="7980" w:name="_Toc488244832"/>
      <w:bookmarkStart w:id="7981" w:name="_Toc488247952"/>
      <w:bookmarkStart w:id="7982" w:name="_Toc488248596"/>
      <w:bookmarkStart w:id="7983" w:name="_Toc488249212"/>
      <w:bookmarkStart w:id="7984" w:name="_Toc488249828"/>
      <w:bookmarkStart w:id="7985" w:name="_Toc488330316"/>
      <w:bookmarkStart w:id="7986" w:name="_Toc488387170"/>
      <w:bookmarkStart w:id="7987" w:name="_Toc488402629"/>
      <w:bookmarkStart w:id="7988" w:name="_Toc488403452"/>
      <w:bookmarkStart w:id="7989" w:name="_Toc488404281"/>
      <w:bookmarkStart w:id="7990" w:name="_Toc488405112"/>
      <w:bookmarkStart w:id="7991" w:name="_Toc488405935"/>
      <w:bookmarkStart w:id="7992" w:name="_Toc488406764"/>
      <w:bookmarkStart w:id="7993" w:name="_Toc491409995"/>
      <w:bookmarkStart w:id="7994" w:name="_Toc496018533"/>
      <w:bookmarkStart w:id="7995" w:name="_Toc515787752"/>
      <w:bookmarkStart w:id="7996" w:name="_Toc515789452"/>
      <w:bookmarkStart w:id="7997" w:name="_Toc515790301"/>
      <w:bookmarkStart w:id="7998" w:name="_Toc515791150"/>
      <w:bookmarkStart w:id="7999" w:name="_Toc515792005"/>
      <w:bookmarkStart w:id="8000" w:name="_Toc515792855"/>
      <w:bookmarkStart w:id="8001" w:name="_Toc515793757"/>
      <w:bookmarkStart w:id="8002" w:name="_Toc515794662"/>
      <w:bookmarkStart w:id="8003" w:name="_Toc515796419"/>
      <w:bookmarkStart w:id="8004" w:name="_Ref415493300"/>
      <w:bookmarkStart w:id="8005" w:name="_Toc39347947"/>
      <w:bookmarkStart w:id="8006" w:name="_Toc175326815"/>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r w:rsidRPr="00BD1319">
        <w:t>Etapas de la evaluación económica ambiental en el proceso de modificación de licencia</w:t>
      </w:r>
      <w:bookmarkEnd w:id="8004"/>
      <w:r w:rsidRPr="00BD1319">
        <w:t xml:space="preserve"> ambiental</w:t>
      </w:r>
      <w:bookmarkEnd w:id="8005"/>
      <w:bookmarkEnd w:id="8006"/>
    </w:p>
    <w:p w14:paraId="2014F51D" w14:textId="77777777" w:rsidR="0056088F" w:rsidRPr="00BD1319" w:rsidRDefault="0056088F" w:rsidP="00C86DA5"/>
    <w:p w14:paraId="5F0C201E" w14:textId="56321A7D" w:rsidR="0056088F" w:rsidRPr="00BD1319" w:rsidRDefault="0056088F" w:rsidP="00C86DA5">
      <w:pPr>
        <w:tabs>
          <w:tab w:val="left" w:pos="-2268"/>
        </w:tabs>
        <w:suppressAutoHyphens/>
        <w:rPr>
          <w:spacing w:val="-3"/>
        </w:rPr>
      </w:pPr>
      <w:r w:rsidRPr="00BD1319">
        <w:rPr>
          <w:rFonts w:cs="Arial"/>
          <w:spacing w:val="-3"/>
        </w:rPr>
        <w:t>La</w:t>
      </w:r>
      <w:r w:rsidRPr="00BD1319">
        <w:rPr>
          <w:spacing w:val="-3"/>
        </w:rPr>
        <w:t xml:space="preserve"> información presentada para la solicitud de modificación de la licencia debe contener la descripción y evaluación de los nuevos impactos ambientales y la propuesta de modificación de</w:t>
      </w:r>
      <w:r w:rsidR="0014179C" w:rsidRPr="00BD1319">
        <w:rPr>
          <w:spacing w:val="-3"/>
        </w:rPr>
        <w:t>l</w:t>
      </w:r>
      <w:r w:rsidRPr="00BD1319">
        <w:rPr>
          <w:spacing w:val="-3"/>
        </w:rPr>
        <w:t xml:space="preserve"> PMA. </w:t>
      </w:r>
      <w:r w:rsidRPr="00BD1319">
        <w:rPr>
          <w:rFonts w:cs="Arial"/>
          <w:spacing w:val="-3"/>
        </w:rPr>
        <w:t>Ello implica, que</w:t>
      </w:r>
      <w:r w:rsidRPr="00BD1319">
        <w:rPr>
          <w:spacing w:val="-3"/>
        </w:rPr>
        <w:t xml:space="preserve"> el análisis económico para el trámite de modificación de licencia debe seguir los pasos descritos en el numeral anterior (</w:t>
      </w:r>
      <w:r w:rsidR="009F53BD" w:rsidRPr="00BD1319">
        <w:rPr>
          <w:rFonts w:cs="Arial"/>
          <w:spacing w:val="-3"/>
        </w:rPr>
        <w:fldChar w:fldCharType="begin"/>
      </w:r>
      <w:r w:rsidR="009F53BD" w:rsidRPr="00BD1319">
        <w:rPr>
          <w:rFonts w:cs="Arial"/>
          <w:spacing w:val="-3"/>
        </w:rPr>
        <w:instrText xml:space="preserve"> REF _Ref42636652 \n \h  \* MERGEFORMAT </w:instrText>
      </w:r>
      <w:r w:rsidR="009F53BD" w:rsidRPr="00BD1319">
        <w:rPr>
          <w:rFonts w:cs="Arial"/>
          <w:spacing w:val="-3"/>
        </w:rPr>
      </w:r>
      <w:r w:rsidR="009F53BD" w:rsidRPr="00BD1319">
        <w:rPr>
          <w:rFonts w:cs="Arial"/>
          <w:spacing w:val="-3"/>
        </w:rPr>
        <w:fldChar w:fldCharType="separate"/>
      </w:r>
      <w:r w:rsidR="00296654" w:rsidRPr="00BD1319">
        <w:rPr>
          <w:rFonts w:cs="Arial"/>
          <w:spacing w:val="-3"/>
        </w:rPr>
        <w:t>8.1.1</w:t>
      </w:r>
      <w:r w:rsidR="009F53BD" w:rsidRPr="00BD1319">
        <w:rPr>
          <w:rFonts w:cs="Arial"/>
          <w:spacing w:val="-3"/>
        </w:rPr>
        <w:fldChar w:fldCharType="end"/>
      </w:r>
      <w:r w:rsidRPr="00BD1319">
        <w:rPr>
          <w:rFonts w:cs="Arial"/>
          <w:spacing w:val="-3"/>
        </w:rPr>
        <w:t>),</w:t>
      </w:r>
      <w:r w:rsidRPr="00BD1319">
        <w:rPr>
          <w:spacing w:val="-3"/>
        </w:rPr>
        <w:t xml:space="preserve"> pero refiriéndose exclusivamente a impactos </w:t>
      </w:r>
      <w:r w:rsidRPr="00BD1319">
        <w:rPr>
          <w:rFonts w:cs="Arial"/>
          <w:spacing w:val="-3"/>
        </w:rPr>
        <w:t xml:space="preserve">significativos </w:t>
      </w:r>
      <w:r w:rsidRPr="00BD1319">
        <w:rPr>
          <w:spacing w:val="-3"/>
        </w:rPr>
        <w:t xml:space="preserve">adicionales </w:t>
      </w:r>
      <w:r w:rsidR="001154E3" w:rsidRPr="00BD1319">
        <w:rPr>
          <w:rFonts w:cs="Arial"/>
          <w:spacing w:val="-3"/>
        </w:rPr>
        <w:t>generados</w:t>
      </w:r>
      <w:r w:rsidRPr="00BD1319">
        <w:rPr>
          <w:rFonts w:cs="Arial"/>
          <w:spacing w:val="-3"/>
        </w:rPr>
        <w:t xml:space="preserve"> por la modificación</w:t>
      </w:r>
      <w:r w:rsidRPr="00BD1319">
        <w:rPr>
          <w:rFonts w:cs="Arial"/>
        </w:rPr>
        <w:t>;</w:t>
      </w:r>
      <w:r w:rsidRPr="00BD1319">
        <w:rPr>
          <w:spacing w:val="-3"/>
        </w:rPr>
        <w:t xml:space="preserve"> es decir, a nuevos impactos</w:t>
      </w:r>
      <w:r w:rsidRPr="00BD1319">
        <w:rPr>
          <w:rFonts w:cs="Arial"/>
          <w:spacing w:val="-3"/>
        </w:rPr>
        <w:t xml:space="preserve"> ambientales que se identifiquen como significativos</w:t>
      </w:r>
      <w:r w:rsidRPr="00BD1319">
        <w:rPr>
          <w:rFonts w:cs="Arial"/>
        </w:rPr>
        <w:t>, así como a impactos ambientales que en la licencia vigente se catalogaron como no significativos, pero que por efectos de la modificación, inducen a un mayor cambio en las condiciones ambientales (cuantificación biofísica) que los hacen significativos.</w:t>
      </w:r>
    </w:p>
    <w:p w14:paraId="6F38FCC8" w14:textId="77777777" w:rsidR="0056088F" w:rsidRPr="00BD1319" w:rsidRDefault="0056088F" w:rsidP="0056088F">
      <w:pPr>
        <w:tabs>
          <w:tab w:val="left" w:pos="-2268"/>
        </w:tabs>
        <w:suppressAutoHyphens/>
        <w:rPr>
          <w:rFonts w:cs="Arial"/>
        </w:rPr>
      </w:pPr>
    </w:p>
    <w:p w14:paraId="78467558" w14:textId="432C42A7" w:rsidR="0056088F" w:rsidRPr="00BD1319" w:rsidRDefault="0056088F" w:rsidP="0056088F">
      <w:pPr>
        <w:tabs>
          <w:tab w:val="left" w:pos="-2268"/>
        </w:tabs>
        <w:suppressAutoHyphens/>
        <w:rPr>
          <w:rFonts w:cs="Arial"/>
          <w:spacing w:val="-3"/>
        </w:rPr>
      </w:pPr>
      <w:r w:rsidRPr="00BD1319">
        <w:rPr>
          <w:rFonts w:cs="Arial"/>
        </w:rPr>
        <w:t xml:space="preserve">El análisis económico en este caso debe considerar los impactos significativos identificados a partir de la incorporación de nuevas actividades o </w:t>
      </w:r>
      <w:r w:rsidR="004B53B8" w:rsidRPr="00BD1319">
        <w:rPr>
          <w:rFonts w:cs="Arial"/>
        </w:rPr>
        <w:t xml:space="preserve">la </w:t>
      </w:r>
      <w:r w:rsidRPr="00BD1319">
        <w:rPr>
          <w:rFonts w:cs="Arial"/>
        </w:rPr>
        <w:t xml:space="preserve">variación de las ya existentes, incluyendo los cambios solicitados en los permisos de uso y aprovechamiento de recursos u otro tipo de </w:t>
      </w:r>
      <w:r w:rsidR="004B53B8" w:rsidRPr="00BD1319">
        <w:rPr>
          <w:rFonts w:cs="Arial"/>
        </w:rPr>
        <w:t xml:space="preserve">modificación </w:t>
      </w:r>
      <w:r w:rsidRPr="00BD1319">
        <w:rPr>
          <w:rFonts w:cs="Arial"/>
        </w:rPr>
        <w:t>en la cuantificación biofísica resultado de las nuevas actividades de la solicitud de modificación del instrumento de manejo y control ambiental. En ese sentido, todo cambio en el dimensionamiento que implique impactos significativos</w:t>
      </w:r>
      <w:r w:rsidRPr="00BD1319" w:rsidDel="00F32F4A">
        <w:rPr>
          <w:rFonts w:cs="Arial"/>
        </w:rPr>
        <w:t xml:space="preserve"> </w:t>
      </w:r>
      <w:r w:rsidRPr="00BD1319">
        <w:rPr>
          <w:rFonts w:cs="Arial"/>
        </w:rPr>
        <w:t>debe quedar incorporado en la evaluación económica.</w:t>
      </w:r>
    </w:p>
    <w:p w14:paraId="4210B85D" w14:textId="77777777" w:rsidR="0056088F" w:rsidRPr="00BD1319" w:rsidRDefault="0056088F" w:rsidP="0056088F">
      <w:pPr>
        <w:rPr>
          <w:rFonts w:cs="Arial"/>
        </w:rPr>
      </w:pPr>
    </w:p>
    <w:p w14:paraId="167DAA52" w14:textId="07BDCD38" w:rsidR="0056088F" w:rsidRPr="00BD1319" w:rsidRDefault="0056088F">
      <w:pPr>
        <w:numPr>
          <w:ilvl w:val="12"/>
          <w:numId w:val="0"/>
        </w:numPr>
        <w:tabs>
          <w:tab w:val="left" w:pos="-2268"/>
        </w:tabs>
        <w:suppressAutoHyphens/>
      </w:pPr>
      <w:r w:rsidRPr="00BD1319">
        <w:rPr>
          <w:rFonts w:cs="Arial"/>
        </w:rPr>
        <w:t xml:space="preserve">Para el caso de los impactos no </w:t>
      </w:r>
      <w:proofErr w:type="spellStart"/>
      <w:r w:rsidRPr="00BD1319">
        <w:rPr>
          <w:rFonts w:cs="Arial"/>
        </w:rPr>
        <w:t>internalizables</w:t>
      </w:r>
      <w:proofErr w:type="spellEnd"/>
      <w:r w:rsidR="00E27186" w:rsidRPr="00BD1319">
        <w:t xml:space="preserve"> </w:t>
      </w:r>
      <w:r w:rsidR="00E27186" w:rsidRPr="00BD1319">
        <w:rPr>
          <w:rFonts w:cs="Arial"/>
        </w:rPr>
        <w:t>y de los positivos</w:t>
      </w:r>
      <w:r w:rsidRPr="00BD1319">
        <w:rPr>
          <w:rFonts w:cs="Arial"/>
        </w:rPr>
        <w:t>, el flujo de costos y beneficios derivado de la modificación debe ser incluido dentro del flujo económico del proyecto, obra o actividad ya licenciado o de modificaciones previas, discriminando los valores asociados a cada uno de estos trámites y estimando los indicadores económicos del análisis beneficio costo para el proyecto</w:t>
      </w:r>
      <w:r w:rsidR="00311679" w:rsidRPr="00BD1319">
        <w:rPr>
          <w:spacing w:val="-3"/>
        </w:rPr>
        <w:t>, obra o actividad</w:t>
      </w:r>
      <w:r w:rsidRPr="00BD1319">
        <w:rPr>
          <w:rFonts w:cs="Arial"/>
        </w:rPr>
        <w:t xml:space="preserve"> en su conjunto. Estos cálculos deben realizarse homogenizando todos los valores a un mismo año de base</w:t>
      </w:r>
      <w:r w:rsidRPr="00BD1319">
        <w:t>.</w:t>
      </w:r>
      <w:r w:rsidR="00DD030D" w:rsidRPr="00BD1319">
        <w:t xml:space="preserve"> </w:t>
      </w:r>
      <w:r w:rsidR="00F42CAE" w:rsidRPr="00BD1319">
        <w:rPr>
          <w:rFonts w:cs="Arial"/>
        </w:rPr>
        <w:t xml:space="preserve">Lo anterior es aplicable sólo a los proyectos, obras o actividades que ya incorporaban la EEA en su licencia o </w:t>
      </w:r>
      <w:r w:rsidR="0014179C" w:rsidRPr="00BD1319">
        <w:rPr>
          <w:rFonts w:cs="Arial"/>
        </w:rPr>
        <w:t xml:space="preserve">en </w:t>
      </w:r>
      <w:r w:rsidR="00F42CAE" w:rsidRPr="00BD1319">
        <w:rPr>
          <w:rFonts w:cs="Arial"/>
        </w:rPr>
        <w:t>modificaciones previas</w:t>
      </w:r>
      <w:r w:rsidR="0014179C" w:rsidRPr="00BD1319">
        <w:rPr>
          <w:rFonts w:cs="Arial"/>
        </w:rPr>
        <w:t xml:space="preserve"> de su licencia</w:t>
      </w:r>
      <w:r w:rsidR="00DD030D" w:rsidRPr="00BD1319">
        <w:rPr>
          <w:rFonts w:cs="Arial"/>
        </w:rPr>
        <w:t>.</w:t>
      </w:r>
    </w:p>
    <w:p w14:paraId="6DFBB9CB" w14:textId="77777777" w:rsidR="0056088F" w:rsidRPr="00BD1319" w:rsidRDefault="0056088F">
      <w:pPr>
        <w:numPr>
          <w:ilvl w:val="12"/>
          <w:numId w:val="0"/>
        </w:numPr>
        <w:tabs>
          <w:tab w:val="left" w:pos="-2268"/>
        </w:tabs>
        <w:suppressAutoHyphens/>
        <w:rPr>
          <w:spacing w:val="-3"/>
        </w:rPr>
      </w:pPr>
    </w:p>
    <w:p w14:paraId="6D138ED0" w14:textId="62C5A0E2" w:rsidR="0056088F" w:rsidRPr="00BD1319" w:rsidRDefault="0056088F" w:rsidP="0056088F">
      <w:pPr>
        <w:numPr>
          <w:ilvl w:val="12"/>
          <w:numId w:val="0"/>
        </w:numPr>
        <w:tabs>
          <w:tab w:val="left" w:pos="-2268"/>
        </w:tabs>
        <w:suppressAutoHyphens/>
        <w:rPr>
          <w:rFonts w:cs="Arial"/>
          <w:spacing w:val="-3"/>
        </w:rPr>
      </w:pPr>
      <w:r w:rsidRPr="00BD1319">
        <w:rPr>
          <w:spacing w:val="-3"/>
        </w:rPr>
        <w:t xml:space="preserve">Aun cuando </w:t>
      </w:r>
      <w:r w:rsidRPr="00BD1319">
        <w:rPr>
          <w:rFonts w:cs="Arial"/>
          <w:spacing w:val="-3"/>
        </w:rPr>
        <w:t>un instrumento de manejo y control ambiental objeto de modificación no cuente con la información que se requiere para ejecutar la evaluación económica ambiental, ésta debe obtenerse y procesarse para desarrollar el análisis costo beneficio de los impactos ambientales significativos</w:t>
      </w:r>
      <w:r w:rsidR="00193F3B" w:rsidRPr="00BD1319">
        <w:rPr>
          <w:rFonts w:cs="Arial"/>
          <w:spacing w:val="-3"/>
        </w:rPr>
        <w:t xml:space="preserve"> </w:t>
      </w:r>
      <w:r w:rsidR="00507D37" w:rsidRPr="00BD1319">
        <w:rPr>
          <w:rFonts w:cs="Arial"/>
          <w:spacing w:val="-3"/>
        </w:rPr>
        <w:t>generados por la modificación</w:t>
      </w:r>
      <w:r w:rsidRPr="00BD1319">
        <w:rPr>
          <w:rFonts w:cs="Arial"/>
          <w:spacing w:val="-3"/>
        </w:rPr>
        <w:t>.</w:t>
      </w:r>
      <w:r w:rsidR="007E3C84" w:rsidRPr="00BD1319">
        <w:rPr>
          <w:rFonts w:cs="Arial"/>
          <w:spacing w:val="-3"/>
        </w:rPr>
        <w:t xml:space="preserve"> En caso </w:t>
      </w:r>
      <w:r w:rsidR="007225E3" w:rsidRPr="00BD1319">
        <w:rPr>
          <w:rFonts w:cs="Arial"/>
          <w:spacing w:val="-3"/>
        </w:rPr>
        <w:t xml:space="preserve">de que la evaluación ambiental demuestre que la modificación de la licencia </w:t>
      </w:r>
      <w:r w:rsidR="007E3C84" w:rsidRPr="00BD1319">
        <w:rPr>
          <w:rFonts w:cs="Arial"/>
          <w:spacing w:val="-3"/>
        </w:rPr>
        <w:t xml:space="preserve">no </w:t>
      </w:r>
      <w:r w:rsidR="00681E42" w:rsidRPr="00BD1319">
        <w:rPr>
          <w:rFonts w:cs="Arial"/>
          <w:spacing w:val="-3"/>
        </w:rPr>
        <w:t>gener</w:t>
      </w:r>
      <w:r w:rsidR="007225E3" w:rsidRPr="00BD1319">
        <w:rPr>
          <w:rFonts w:cs="Arial"/>
          <w:spacing w:val="-3"/>
        </w:rPr>
        <w:t>a</w:t>
      </w:r>
      <w:r w:rsidR="00681E42" w:rsidRPr="00BD1319">
        <w:rPr>
          <w:rFonts w:cs="Arial"/>
          <w:spacing w:val="-3"/>
        </w:rPr>
        <w:t xml:space="preserve"> </w:t>
      </w:r>
      <w:r w:rsidR="007E3C84" w:rsidRPr="00BD1319">
        <w:rPr>
          <w:rFonts w:cs="Arial"/>
          <w:spacing w:val="-3"/>
        </w:rPr>
        <w:t xml:space="preserve">impactos </w:t>
      </w:r>
      <w:r w:rsidR="007225E3" w:rsidRPr="00BD1319">
        <w:rPr>
          <w:rFonts w:cs="Arial"/>
          <w:spacing w:val="-3"/>
        </w:rPr>
        <w:t xml:space="preserve">ambientales </w:t>
      </w:r>
      <w:r w:rsidR="007E3C84" w:rsidRPr="00BD1319">
        <w:rPr>
          <w:rFonts w:cs="Arial"/>
          <w:spacing w:val="-3"/>
        </w:rPr>
        <w:t xml:space="preserve">significativos, no procede la </w:t>
      </w:r>
      <w:r w:rsidR="00681E42" w:rsidRPr="00BD1319">
        <w:rPr>
          <w:rFonts w:cs="Arial"/>
          <w:spacing w:val="-3"/>
        </w:rPr>
        <w:t>EEA</w:t>
      </w:r>
      <w:r w:rsidR="007E3C84" w:rsidRPr="00BD1319">
        <w:rPr>
          <w:rFonts w:cs="Arial"/>
          <w:spacing w:val="-3"/>
        </w:rPr>
        <w:t xml:space="preserve">; no obstante, </w:t>
      </w:r>
      <w:r w:rsidR="00681E42" w:rsidRPr="00BD1319">
        <w:rPr>
          <w:rFonts w:cs="Arial"/>
          <w:spacing w:val="-3"/>
        </w:rPr>
        <w:t xml:space="preserve">en el numeral del EIA que corresponda a la </w:t>
      </w:r>
      <w:r w:rsidR="007E3C84" w:rsidRPr="00BD1319">
        <w:rPr>
          <w:rFonts w:cs="Arial"/>
          <w:spacing w:val="-3"/>
        </w:rPr>
        <w:t xml:space="preserve">EEA </w:t>
      </w:r>
      <w:r w:rsidR="00681E42" w:rsidRPr="00BD1319">
        <w:rPr>
          <w:rFonts w:cs="Arial"/>
          <w:spacing w:val="-3"/>
        </w:rPr>
        <w:t xml:space="preserve">se debe </w:t>
      </w:r>
      <w:r w:rsidR="007E3C84" w:rsidRPr="00BD1319">
        <w:rPr>
          <w:rFonts w:cs="Arial"/>
          <w:spacing w:val="-3"/>
        </w:rPr>
        <w:t>inclu</w:t>
      </w:r>
      <w:r w:rsidR="00681E42" w:rsidRPr="00BD1319">
        <w:rPr>
          <w:rFonts w:cs="Arial"/>
          <w:spacing w:val="-3"/>
        </w:rPr>
        <w:t xml:space="preserve">ir </w:t>
      </w:r>
      <w:r w:rsidR="007E3C84" w:rsidRPr="00BD1319">
        <w:rPr>
          <w:rFonts w:cs="Arial"/>
          <w:spacing w:val="-3"/>
        </w:rPr>
        <w:t>el sustento correspondiente.</w:t>
      </w:r>
    </w:p>
    <w:p w14:paraId="1A144C76" w14:textId="77777777" w:rsidR="0056088F" w:rsidRPr="00BD1319" w:rsidRDefault="0056088F" w:rsidP="00C86DA5">
      <w:pPr>
        <w:tabs>
          <w:tab w:val="left" w:pos="-2268"/>
        </w:tabs>
        <w:suppressAutoHyphens/>
        <w:rPr>
          <w:spacing w:val="-3"/>
        </w:rPr>
      </w:pPr>
    </w:p>
    <w:p w14:paraId="0662C324" w14:textId="77777777" w:rsidR="00B11257" w:rsidRPr="00BD1319" w:rsidRDefault="00B11257" w:rsidP="00C86DA5">
      <w:pPr>
        <w:tabs>
          <w:tab w:val="left" w:pos="-2268"/>
        </w:tabs>
        <w:suppressAutoHyphens/>
        <w:rPr>
          <w:spacing w:val="-3"/>
        </w:rPr>
      </w:pPr>
    </w:p>
    <w:p w14:paraId="130050F5" w14:textId="11D59F21" w:rsidR="0050289E" w:rsidRPr="00BD1319" w:rsidRDefault="0050289E" w:rsidP="00696453">
      <w:pPr>
        <w:pStyle w:val="Ttulo1"/>
        <w:numPr>
          <w:ilvl w:val="0"/>
          <w:numId w:val="8"/>
        </w:numPr>
        <w:rPr>
          <w:lang w:val="es-CO"/>
        </w:rPr>
      </w:pPr>
      <w:bookmarkStart w:id="8007" w:name="_Toc488244834"/>
      <w:bookmarkStart w:id="8008" w:name="_Toc488247954"/>
      <w:bookmarkStart w:id="8009" w:name="_Toc488248598"/>
      <w:bookmarkStart w:id="8010" w:name="_Toc488249214"/>
      <w:bookmarkStart w:id="8011" w:name="_Toc488249830"/>
      <w:bookmarkStart w:id="8012" w:name="_Toc488330318"/>
      <w:bookmarkStart w:id="8013" w:name="_Toc488387172"/>
      <w:bookmarkStart w:id="8014" w:name="_Toc488402631"/>
      <w:bookmarkStart w:id="8015" w:name="_Toc488403454"/>
      <w:bookmarkStart w:id="8016" w:name="_Toc488404283"/>
      <w:bookmarkStart w:id="8017" w:name="_Toc488405114"/>
      <w:bookmarkStart w:id="8018" w:name="_Toc488405937"/>
      <w:bookmarkStart w:id="8019" w:name="_Toc488406766"/>
      <w:bookmarkStart w:id="8020" w:name="_Toc491409997"/>
      <w:bookmarkStart w:id="8021" w:name="_Toc496018535"/>
      <w:bookmarkStart w:id="8022" w:name="_Toc515787754"/>
      <w:bookmarkStart w:id="8023" w:name="_Toc515789454"/>
      <w:bookmarkStart w:id="8024" w:name="_Toc515790303"/>
      <w:bookmarkStart w:id="8025" w:name="_Toc515791152"/>
      <w:bookmarkStart w:id="8026" w:name="_Toc515792007"/>
      <w:bookmarkStart w:id="8027" w:name="_Toc515792857"/>
      <w:bookmarkStart w:id="8028" w:name="_Toc515793759"/>
      <w:bookmarkStart w:id="8029" w:name="_Toc515794664"/>
      <w:bookmarkStart w:id="8030" w:name="_Toc515796421"/>
      <w:bookmarkStart w:id="8031" w:name="_Toc488244835"/>
      <w:bookmarkStart w:id="8032" w:name="_Toc488247955"/>
      <w:bookmarkStart w:id="8033" w:name="_Toc488248599"/>
      <w:bookmarkStart w:id="8034" w:name="_Toc488249215"/>
      <w:bookmarkStart w:id="8035" w:name="_Toc488249831"/>
      <w:bookmarkStart w:id="8036" w:name="_Toc488330319"/>
      <w:bookmarkStart w:id="8037" w:name="_Toc488387173"/>
      <w:bookmarkStart w:id="8038" w:name="_Toc488402632"/>
      <w:bookmarkStart w:id="8039" w:name="_Toc488403455"/>
      <w:bookmarkStart w:id="8040" w:name="_Toc488404284"/>
      <w:bookmarkStart w:id="8041" w:name="_Toc488405115"/>
      <w:bookmarkStart w:id="8042" w:name="_Toc488405938"/>
      <w:bookmarkStart w:id="8043" w:name="_Toc488406767"/>
      <w:bookmarkStart w:id="8044" w:name="_Toc491409998"/>
      <w:bookmarkStart w:id="8045" w:name="_Toc496018536"/>
      <w:bookmarkStart w:id="8046" w:name="_Toc515787755"/>
      <w:bookmarkStart w:id="8047" w:name="_Toc515789455"/>
      <w:bookmarkStart w:id="8048" w:name="_Toc515790304"/>
      <w:bookmarkStart w:id="8049" w:name="_Toc515791153"/>
      <w:bookmarkStart w:id="8050" w:name="_Toc515792008"/>
      <w:bookmarkStart w:id="8051" w:name="_Toc515792858"/>
      <w:bookmarkStart w:id="8052" w:name="_Toc515793760"/>
      <w:bookmarkStart w:id="8053" w:name="_Toc515794665"/>
      <w:bookmarkStart w:id="8054" w:name="_Toc515796422"/>
      <w:bookmarkStart w:id="8055" w:name="_Toc488244836"/>
      <w:bookmarkStart w:id="8056" w:name="_Toc488247956"/>
      <w:bookmarkStart w:id="8057" w:name="_Toc488248600"/>
      <w:bookmarkStart w:id="8058" w:name="_Toc488249216"/>
      <w:bookmarkStart w:id="8059" w:name="_Toc488249832"/>
      <w:bookmarkStart w:id="8060" w:name="_Toc488330320"/>
      <w:bookmarkStart w:id="8061" w:name="_Toc488387174"/>
      <w:bookmarkStart w:id="8062" w:name="_Toc488402633"/>
      <w:bookmarkStart w:id="8063" w:name="_Toc488403456"/>
      <w:bookmarkStart w:id="8064" w:name="_Toc488404285"/>
      <w:bookmarkStart w:id="8065" w:name="_Toc488405116"/>
      <w:bookmarkStart w:id="8066" w:name="_Toc488405939"/>
      <w:bookmarkStart w:id="8067" w:name="_Toc488406768"/>
      <w:bookmarkStart w:id="8068" w:name="_Toc491409999"/>
      <w:bookmarkStart w:id="8069" w:name="_Toc496018537"/>
      <w:bookmarkStart w:id="8070" w:name="_Toc515787756"/>
      <w:bookmarkStart w:id="8071" w:name="_Toc515789456"/>
      <w:bookmarkStart w:id="8072" w:name="_Toc515790305"/>
      <w:bookmarkStart w:id="8073" w:name="_Toc515791154"/>
      <w:bookmarkStart w:id="8074" w:name="_Toc515792009"/>
      <w:bookmarkStart w:id="8075" w:name="_Toc515792859"/>
      <w:bookmarkStart w:id="8076" w:name="_Toc515793761"/>
      <w:bookmarkStart w:id="8077" w:name="_Toc515794666"/>
      <w:bookmarkStart w:id="8078" w:name="_Toc515796423"/>
      <w:bookmarkStart w:id="8079" w:name="_Toc488244837"/>
      <w:bookmarkStart w:id="8080" w:name="_Toc488247957"/>
      <w:bookmarkStart w:id="8081" w:name="_Toc488248601"/>
      <w:bookmarkStart w:id="8082" w:name="_Toc488249217"/>
      <w:bookmarkStart w:id="8083" w:name="_Toc488249833"/>
      <w:bookmarkStart w:id="8084" w:name="_Toc488330321"/>
      <w:bookmarkStart w:id="8085" w:name="_Toc488387175"/>
      <w:bookmarkStart w:id="8086" w:name="_Toc488402634"/>
      <w:bookmarkStart w:id="8087" w:name="_Toc488403457"/>
      <w:bookmarkStart w:id="8088" w:name="_Toc488404286"/>
      <w:bookmarkStart w:id="8089" w:name="_Toc488405117"/>
      <w:bookmarkStart w:id="8090" w:name="_Toc488405940"/>
      <w:bookmarkStart w:id="8091" w:name="_Toc488406769"/>
      <w:bookmarkStart w:id="8092" w:name="_Toc491410000"/>
      <w:bookmarkStart w:id="8093" w:name="_Toc496018538"/>
      <w:bookmarkStart w:id="8094" w:name="_Toc515787757"/>
      <w:bookmarkStart w:id="8095" w:name="_Toc515789457"/>
      <w:bookmarkStart w:id="8096" w:name="_Toc515790306"/>
      <w:bookmarkStart w:id="8097" w:name="_Toc515791155"/>
      <w:bookmarkStart w:id="8098" w:name="_Toc515792010"/>
      <w:bookmarkStart w:id="8099" w:name="_Toc515792860"/>
      <w:bookmarkStart w:id="8100" w:name="_Toc515793762"/>
      <w:bookmarkStart w:id="8101" w:name="_Toc515794667"/>
      <w:bookmarkStart w:id="8102" w:name="_Toc515796424"/>
      <w:bookmarkStart w:id="8103" w:name="_Toc488244838"/>
      <w:bookmarkStart w:id="8104" w:name="_Toc488247958"/>
      <w:bookmarkStart w:id="8105" w:name="_Toc488248602"/>
      <w:bookmarkStart w:id="8106" w:name="_Toc488249218"/>
      <w:bookmarkStart w:id="8107" w:name="_Toc488249834"/>
      <w:bookmarkStart w:id="8108" w:name="_Toc488330322"/>
      <w:bookmarkStart w:id="8109" w:name="_Toc488387176"/>
      <w:bookmarkStart w:id="8110" w:name="_Toc488402635"/>
      <w:bookmarkStart w:id="8111" w:name="_Toc488403458"/>
      <w:bookmarkStart w:id="8112" w:name="_Toc488404287"/>
      <w:bookmarkStart w:id="8113" w:name="_Toc488405118"/>
      <w:bookmarkStart w:id="8114" w:name="_Toc488405941"/>
      <w:bookmarkStart w:id="8115" w:name="_Toc488406770"/>
      <w:bookmarkStart w:id="8116" w:name="_Toc491410001"/>
      <w:bookmarkStart w:id="8117" w:name="_Toc496018539"/>
      <w:bookmarkStart w:id="8118" w:name="_Toc515787758"/>
      <w:bookmarkStart w:id="8119" w:name="_Toc515789458"/>
      <w:bookmarkStart w:id="8120" w:name="_Toc515790307"/>
      <w:bookmarkStart w:id="8121" w:name="_Toc515791156"/>
      <w:bookmarkStart w:id="8122" w:name="_Toc515792011"/>
      <w:bookmarkStart w:id="8123" w:name="_Toc515792861"/>
      <w:bookmarkStart w:id="8124" w:name="_Toc515793763"/>
      <w:bookmarkStart w:id="8125" w:name="_Toc515794668"/>
      <w:bookmarkStart w:id="8126" w:name="_Toc515796425"/>
      <w:bookmarkStart w:id="8127" w:name="_Toc488244839"/>
      <w:bookmarkStart w:id="8128" w:name="_Toc488247959"/>
      <w:bookmarkStart w:id="8129" w:name="_Toc488248603"/>
      <w:bookmarkStart w:id="8130" w:name="_Toc488249219"/>
      <w:bookmarkStart w:id="8131" w:name="_Toc488249835"/>
      <w:bookmarkStart w:id="8132" w:name="_Toc488330323"/>
      <w:bookmarkStart w:id="8133" w:name="_Toc488387177"/>
      <w:bookmarkStart w:id="8134" w:name="_Toc488402636"/>
      <w:bookmarkStart w:id="8135" w:name="_Toc488403459"/>
      <w:bookmarkStart w:id="8136" w:name="_Toc488404288"/>
      <w:bookmarkStart w:id="8137" w:name="_Toc488405119"/>
      <w:bookmarkStart w:id="8138" w:name="_Toc488405942"/>
      <w:bookmarkStart w:id="8139" w:name="_Toc488406771"/>
      <w:bookmarkStart w:id="8140" w:name="_Toc491410002"/>
      <w:bookmarkStart w:id="8141" w:name="_Toc496018540"/>
      <w:bookmarkStart w:id="8142" w:name="_Toc515787759"/>
      <w:bookmarkStart w:id="8143" w:name="_Toc515789459"/>
      <w:bookmarkStart w:id="8144" w:name="_Toc515790308"/>
      <w:bookmarkStart w:id="8145" w:name="_Toc515791157"/>
      <w:bookmarkStart w:id="8146" w:name="_Toc515792012"/>
      <w:bookmarkStart w:id="8147" w:name="_Toc515792862"/>
      <w:bookmarkStart w:id="8148" w:name="_Toc515793764"/>
      <w:bookmarkStart w:id="8149" w:name="_Toc515794669"/>
      <w:bookmarkStart w:id="8150" w:name="_Toc515796426"/>
      <w:bookmarkStart w:id="8151" w:name="_Toc488244840"/>
      <w:bookmarkStart w:id="8152" w:name="_Toc488247960"/>
      <w:bookmarkStart w:id="8153" w:name="_Toc488248604"/>
      <w:bookmarkStart w:id="8154" w:name="_Toc488249220"/>
      <w:bookmarkStart w:id="8155" w:name="_Toc488249836"/>
      <w:bookmarkStart w:id="8156" w:name="_Toc488330324"/>
      <w:bookmarkStart w:id="8157" w:name="_Toc488387178"/>
      <w:bookmarkStart w:id="8158" w:name="_Toc488402637"/>
      <w:bookmarkStart w:id="8159" w:name="_Toc488403460"/>
      <w:bookmarkStart w:id="8160" w:name="_Toc488404289"/>
      <w:bookmarkStart w:id="8161" w:name="_Toc488405120"/>
      <w:bookmarkStart w:id="8162" w:name="_Toc488405943"/>
      <w:bookmarkStart w:id="8163" w:name="_Toc488406772"/>
      <w:bookmarkStart w:id="8164" w:name="_Toc491410003"/>
      <w:bookmarkStart w:id="8165" w:name="_Toc496018541"/>
      <w:bookmarkStart w:id="8166" w:name="_Toc515787760"/>
      <w:bookmarkStart w:id="8167" w:name="_Toc515789460"/>
      <w:bookmarkStart w:id="8168" w:name="_Toc515790309"/>
      <w:bookmarkStart w:id="8169" w:name="_Toc515791158"/>
      <w:bookmarkStart w:id="8170" w:name="_Toc515792013"/>
      <w:bookmarkStart w:id="8171" w:name="_Toc515792863"/>
      <w:bookmarkStart w:id="8172" w:name="_Toc515793765"/>
      <w:bookmarkStart w:id="8173" w:name="_Toc515794670"/>
      <w:bookmarkStart w:id="8174" w:name="_Toc515796427"/>
      <w:bookmarkStart w:id="8175" w:name="_Toc488244841"/>
      <w:bookmarkStart w:id="8176" w:name="_Toc488247961"/>
      <w:bookmarkStart w:id="8177" w:name="_Toc488248605"/>
      <w:bookmarkStart w:id="8178" w:name="_Toc488249221"/>
      <w:bookmarkStart w:id="8179" w:name="_Toc488249837"/>
      <w:bookmarkStart w:id="8180" w:name="_Toc488330325"/>
      <w:bookmarkStart w:id="8181" w:name="_Toc488387179"/>
      <w:bookmarkStart w:id="8182" w:name="_Toc488402638"/>
      <w:bookmarkStart w:id="8183" w:name="_Toc488403461"/>
      <w:bookmarkStart w:id="8184" w:name="_Toc488404290"/>
      <w:bookmarkStart w:id="8185" w:name="_Toc488405121"/>
      <w:bookmarkStart w:id="8186" w:name="_Toc488405944"/>
      <w:bookmarkStart w:id="8187" w:name="_Toc488406773"/>
      <w:bookmarkStart w:id="8188" w:name="_Toc491410004"/>
      <w:bookmarkStart w:id="8189" w:name="_Toc496018542"/>
      <w:bookmarkStart w:id="8190" w:name="_Toc515787761"/>
      <w:bookmarkStart w:id="8191" w:name="_Toc515789461"/>
      <w:bookmarkStart w:id="8192" w:name="_Toc515790310"/>
      <w:bookmarkStart w:id="8193" w:name="_Toc515791159"/>
      <w:bookmarkStart w:id="8194" w:name="_Toc515792014"/>
      <w:bookmarkStart w:id="8195" w:name="_Toc515792864"/>
      <w:bookmarkStart w:id="8196" w:name="_Toc515793766"/>
      <w:bookmarkStart w:id="8197" w:name="_Toc515794671"/>
      <w:bookmarkStart w:id="8198" w:name="_Toc515796428"/>
      <w:bookmarkStart w:id="8199" w:name="_Toc488244842"/>
      <w:bookmarkStart w:id="8200" w:name="_Toc488247962"/>
      <w:bookmarkStart w:id="8201" w:name="_Toc488248606"/>
      <w:bookmarkStart w:id="8202" w:name="_Toc488249222"/>
      <w:bookmarkStart w:id="8203" w:name="_Toc488249838"/>
      <w:bookmarkStart w:id="8204" w:name="_Toc488330326"/>
      <w:bookmarkStart w:id="8205" w:name="_Toc488387180"/>
      <w:bookmarkStart w:id="8206" w:name="_Toc488402639"/>
      <w:bookmarkStart w:id="8207" w:name="_Toc488403462"/>
      <w:bookmarkStart w:id="8208" w:name="_Toc488404291"/>
      <w:bookmarkStart w:id="8209" w:name="_Toc488405122"/>
      <w:bookmarkStart w:id="8210" w:name="_Toc488405945"/>
      <w:bookmarkStart w:id="8211" w:name="_Toc488406774"/>
      <w:bookmarkStart w:id="8212" w:name="_Toc491410005"/>
      <w:bookmarkStart w:id="8213" w:name="_Toc496018543"/>
      <w:bookmarkStart w:id="8214" w:name="_Toc515787762"/>
      <w:bookmarkStart w:id="8215" w:name="_Toc515789462"/>
      <w:bookmarkStart w:id="8216" w:name="_Toc515790311"/>
      <w:bookmarkStart w:id="8217" w:name="_Toc515791160"/>
      <w:bookmarkStart w:id="8218" w:name="_Toc515792015"/>
      <w:bookmarkStart w:id="8219" w:name="_Toc515792865"/>
      <w:bookmarkStart w:id="8220" w:name="_Toc515793767"/>
      <w:bookmarkStart w:id="8221" w:name="_Toc515794672"/>
      <w:bookmarkStart w:id="8222" w:name="_Toc515796429"/>
      <w:bookmarkStart w:id="8223" w:name="_Toc488244843"/>
      <w:bookmarkStart w:id="8224" w:name="_Toc488247963"/>
      <w:bookmarkStart w:id="8225" w:name="_Toc488248607"/>
      <w:bookmarkStart w:id="8226" w:name="_Toc488249223"/>
      <w:bookmarkStart w:id="8227" w:name="_Toc488249839"/>
      <w:bookmarkStart w:id="8228" w:name="_Toc488330327"/>
      <w:bookmarkStart w:id="8229" w:name="_Toc488387181"/>
      <w:bookmarkStart w:id="8230" w:name="_Toc488402640"/>
      <w:bookmarkStart w:id="8231" w:name="_Toc488403463"/>
      <w:bookmarkStart w:id="8232" w:name="_Toc488404292"/>
      <w:bookmarkStart w:id="8233" w:name="_Toc488405123"/>
      <w:bookmarkStart w:id="8234" w:name="_Toc488405946"/>
      <w:bookmarkStart w:id="8235" w:name="_Toc488406775"/>
      <w:bookmarkStart w:id="8236" w:name="_Toc491410006"/>
      <w:bookmarkStart w:id="8237" w:name="_Toc496018544"/>
      <w:bookmarkStart w:id="8238" w:name="_Toc515787763"/>
      <w:bookmarkStart w:id="8239" w:name="_Toc515789463"/>
      <w:bookmarkStart w:id="8240" w:name="_Toc515790312"/>
      <w:bookmarkStart w:id="8241" w:name="_Toc515791161"/>
      <w:bookmarkStart w:id="8242" w:name="_Toc515792016"/>
      <w:bookmarkStart w:id="8243" w:name="_Toc515792866"/>
      <w:bookmarkStart w:id="8244" w:name="_Toc515793768"/>
      <w:bookmarkStart w:id="8245" w:name="_Toc515794673"/>
      <w:bookmarkStart w:id="8246" w:name="_Toc515796430"/>
      <w:bookmarkStart w:id="8247" w:name="_Toc488244844"/>
      <w:bookmarkStart w:id="8248" w:name="_Toc488247964"/>
      <w:bookmarkStart w:id="8249" w:name="_Toc488248608"/>
      <w:bookmarkStart w:id="8250" w:name="_Toc488249224"/>
      <w:bookmarkStart w:id="8251" w:name="_Toc488249840"/>
      <w:bookmarkStart w:id="8252" w:name="_Toc488330328"/>
      <w:bookmarkStart w:id="8253" w:name="_Toc488387182"/>
      <w:bookmarkStart w:id="8254" w:name="_Toc488402641"/>
      <w:bookmarkStart w:id="8255" w:name="_Toc488403464"/>
      <w:bookmarkStart w:id="8256" w:name="_Toc488404293"/>
      <w:bookmarkStart w:id="8257" w:name="_Toc488405124"/>
      <w:bookmarkStart w:id="8258" w:name="_Toc488405947"/>
      <w:bookmarkStart w:id="8259" w:name="_Toc488406776"/>
      <w:bookmarkStart w:id="8260" w:name="_Toc491410007"/>
      <w:bookmarkStart w:id="8261" w:name="_Toc496018545"/>
      <w:bookmarkStart w:id="8262" w:name="_Toc515787764"/>
      <w:bookmarkStart w:id="8263" w:name="_Toc515789464"/>
      <w:bookmarkStart w:id="8264" w:name="_Toc515790313"/>
      <w:bookmarkStart w:id="8265" w:name="_Toc515791162"/>
      <w:bookmarkStart w:id="8266" w:name="_Toc515792017"/>
      <w:bookmarkStart w:id="8267" w:name="_Toc515792867"/>
      <w:bookmarkStart w:id="8268" w:name="_Toc515793769"/>
      <w:bookmarkStart w:id="8269" w:name="_Toc515794674"/>
      <w:bookmarkStart w:id="8270" w:name="_Toc515796431"/>
      <w:bookmarkStart w:id="8271" w:name="_Toc488244845"/>
      <w:bookmarkStart w:id="8272" w:name="_Toc488247965"/>
      <w:bookmarkStart w:id="8273" w:name="_Toc488248609"/>
      <w:bookmarkStart w:id="8274" w:name="_Toc488249225"/>
      <w:bookmarkStart w:id="8275" w:name="_Toc488249841"/>
      <w:bookmarkStart w:id="8276" w:name="_Toc488330329"/>
      <w:bookmarkStart w:id="8277" w:name="_Toc488387183"/>
      <w:bookmarkStart w:id="8278" w:name="_Toc488402642"/>
      <w:bookmarkStart w:id="8279" w:name="_Toc488403465"/>
      <w:bookmarkStart w:id="8280" w:name="_Toc488404294"/>
      <w:bookmarkStart w:id="8281" w:name="_Toc488405125"/>
      <w:bookmarkStart w:id="8282" w:name="_Toc488405948"/>
      <w:bookmarkStart w:id="8283" w:name="_Toc488406777"/>
      <w:bookmarkStart w:id="8284" w:name="_Toc491410008"/>
      <w:bookmarkStart w:id="8285" w:name="_Toc496018546"/>
      <w:bookmarkStart w:id="8286" w:name="_Toc515787765"/>
      <w:bookmarkStart w:id="8287" w:name="_Toc515789465"/>
      <w:bookmarkStart w:id="8288" w:name="_Toc515790314"/>
      <w:bookmarkStart w:id="8289" w:name="_Toc515791163"/>
      <w:bookmarkStart w:id="8290" w:name="_Toc515792018"/>
      <w:bookmarkStart w:id="8291" w:name="_Toc515792868"/>
      <w:bookmarkStart w:id="8292" w:name="_Toc515793770"/>
      <w:bookmarkStart w:id="8293" w:name="_Toc515794675"/>
      <w:bookmarkStart w:id="8294" w:name="_Toc515796432"/>
      <w:bookmarkStart w:id="8295" w:name="_Toc488244846"/>
      <w:bookmarkStart w:id="8296" w:name="_Toc488247966"/>
      <w:bookmarkStart w:id="8297" w:name="_Toc488248610"/>
      <w:bookmarkStart w:id="8298" w:name="_Toc488249226"/>
      <w:bookmarkStart w:id="8299" w:name="_Toc488249842"/>
      <w:bookmarkStart w:id="8300" w:name="_Toc488330330"/>
      <w:bookmarkStart w:id="8301" w:name="_Toc488387184"/>
      <w:bookmarkStart w:id="8302" w:name="_Toc488402643"/>
      <w:bookmarkStart w:id="8303" w:name="_Toc488403466"/>
      <w:bookmarkStart w:id="8304" w:name="_Toc488404295"/>
      <w:bookmarkStart w:id="8305" w:name="_Toc488405126"/>
      <w:bookmarkStart w:id="8306" w:name="_Toc488405949"/>
      <w:bookmarkStart w:id="8307" w:name="_Toc488406778"/>
      <w:bookmarkStart w:id="8308" w:name="_Toc491410009"/>
      <w:bookmarkStart w:id="8309" w:name="_Toc496018547"/>
      <w:bookmarkStart w:id="8310" w:name="_Toc515787766"/>
      <w:bookmarkStart w:id="8311" w:name="_Toc515789466"/>
      <w:bookmarkStart w:id="8312" w:name="_Toc515790315"/>
      <w:bookmarkStart w:id="8313" w:name="_Toc515791164"/>
      <w:bookmarkStart w:id="8314" w:name="_Toc515792019"/>
      <w:bookmarkStart w:id="8315" w:name="_Toc515792869"/>
      <w:bookmarkStart w:id="8316" w:name="_Toc515793771"/>
      <w:bookmarkStart w:id="8317" w:name="_Toc515794676"/>
      <w:bookmarkStart w:id="8318" w:name="_Toc515796433"/>
      <w:bookmarkStart w:id="8319" w:name="_Toc488244847"/>
      <w:bookmarkStart w:id="8320" w:name="_Toc488247967"/>
      <w:bookmarkStart w:id="8321" w:name="_Toc488248611"/>
      <w:bookmarkStart w:id="8322" w:name="_Toc488249227"/>
      <w:bookmarkStart w:id="8323" w:name="_Toc488249843"/>
      <w:bookmarkStart w:id="8324" w:name="_Toc488330331"/>
      <w:bookmarkStart w:id="8325" w:name="_Toc488387185"/>
      <w:bookmarkStart w:id="8326" w:name="_Toc488402644"/>
      <w:bookmarkStart w:id="8327" w:name="_Toc488403467"/>
      <w:bookmarkStart w:id="8328" w:name="_Toc488404296"/>
      <w:bookmarkStart w:id="8329" w:name="_Toc488405127"/>
      <w:bookmarkStart w:id="8330" w:name="_Toc488405950"/>
      <w:bookmarkStart w:id="8331" w:name="_Toc488406779"/>
      <w:bookmarkStart w:id="8332" w:name="_Toc491410010"/>
      <w:bookmarkStart w:id="8333" w:name="_Toc496018548"/>
      <w:bookmarkStart w:id="8334" w:name="_Toc515787767"/>
      <w:bookmarkStart w:id="8335" w:name="_Toc515789467"/>
      <w:bookmarkStart w:id="8336" w:name="_Toc515790316"/>
      <w:bookmarkStart w:id="8337" w:name="_Toc515791165"/>
      <w:bookmarkStart w:id="8338" w:name="_Toc515792020"/>
      <w:bookmarkStart w:id="8339" w:name="_Toc515792870"/>
      <w:bookmarkStart w:id="8340" w:name="_Toc515793772"/>
      <w:bookmarkStart w:id="8341" w:name="_Toc515794677"/>
      <w:bookmarkStart w:id="8342" w:name="_Toc515796434"/>
      <w:bookmarkStart w:id="8343" w:name="_Toc488244848"/>
      <w:bookmarkStart w:id="8344" w:name="_Toc488247968"/>
      <w:bookmarkStart w:id="8345" w:name="_Toc488248612"/>
      <w:bookmarkStart w:id="8346" w:name="_Toc488249228"/>
      <w:bookmarkStart w:id="8347" w:name="_Toc488249844"/>
      <w:bookmarkStart w:id="8348" w:name="_Toc488330332"/>
      <w:bookmarkStart w:id="8349" w:name="_Toc488387186"/>
      <w:bookmarkStart w:id="8350" w:name="_Toc488402645"/>
      <w:bookmarkStart w:id="8351" w:name="_Toc488403468"/>
      <w:bookmarkStart w:id="8352" w:name="_Toc488404297"/>
      <w:bookmarkStart w:id="8353" w:name="_Toc488405128"/>
      <w:bookmarkStart w:id="8354" w:name="_Toc488405951"/>
      <w:bookmarkStart w:id="8355" w:name="_Toc488406780"/>
      <w:bookmarkStart w:id="8356" w:name="_Toc491410011"/>
      <w:bookmarkStart w:id="8357" w:name="_Toc496018549"/>
      <w:bookmarkStart w:id="8358" w:name="_Toc515787768"/>
      <w:bookmarkStart w:id="8359" w:name="_Toc515789468"/>
      <w:bookmarkStart w:id="8360" w:name="_Toc515790317"/>
      <w:bookmarkStart w:id="8361" w:name="_Toc515791166"/>
      <w:bookmarkStart w:id="8362" w:name="_Toc515792021"/>
      <w:bookmarkStart w:id="8363" w:name="_Toc515792871"/>
      <w:bookmarkStart w:id="8364" w:name="_Toc515793773"/>
      <w:bookmarkStart w:id="8365" w:name="_Toc515794678"/>
      <w:bookmarkStart w:id="8366" w:name="_Toc515796435"/>
      <w:bookmarkStart w:id="8367" w:name="_Toc488244849"/>
      <w:bookmarkStart w:id="8368" w:name="_Toc488247969"/>
      <w:bookmarkStart w:id="8369" w:name="_Toc488248613"/>
      <w:bookmarkStart w:id="8370" w:name="_Toc488249229"/>
      <w:bookmarkStart w:id="8371" w:name="_Toc488249845"/>
      <w:bookmarkStart w:id="8372" w:name="_Toc488330333"/>
      <w:bookmarkStart w:id="8373" w:name="_Toc488387187"/>
      <w:bookmarkStart w:id="8374" w:name="_Toc488402646"/>
      <w:bookmarkStart w:id="8375" w:name="_Toc488403469"/>
      <w:bookmarkStart w:id="8376" w:name="_Toc488404298"/>
      <w:bookmarkStart w:id="8377" w:name="_Toc488405129"/>
      <w:bookmarkStart w:id="8378" w:name="_Toc488405952"/>
      <w:bookmarkStart w:id="8379" w:name="_Toc488406781"/>
      <w:bookmarkStart w:id="8380" w:name="_Toc491410012"/>
      <w:bookmarkStart w:id="8381" w:name="_Toc496018550"/>
      <w:bookmarkStart w:id="8382" w:name="_Toc515787769"/>
      <w:bookmarkStart w:id="8383" w:name="_Toc515789469"/>
      <w:bookmarkStart w:id="8384" w:name="_Toc515790318"/>
      <w:bookmarkStart w:id="8385" w:name="_Toc515791167"/>
      <w:bookmarkStart w:id="8386" w:name="_Toc515792022"/>
      <w:bookmarkStart w:id="8387" w:name="_Toc515792872"/>
      <w:bookmarkStart w:id="8388" w:name="_Toc515793774"/>
      <w:bookmarkStart w:id="8389" w:name="_Toc515794679"/>
      <w:bookmarkStart w:id="8390" w:name="_Toc515796436"/>
      <w:bookmarkStart w:id="8391" w:name="_Toc488244850"/>
      <w:bookmarkStart w:id="8392" w:name="_Toc488247970"/>
      <w:bookmarkStart w:id="8393" w:name="_Toc488248614"/>
      <w:bookmarkStart w:id="8394" w:name="_Toc488249230"/>
      <w:bookmarkStart w:id="8395" w:name="_Toc488249846"/>
      <w:bookmarkStart w:id="8396" w:name="_Toc488330334"/>
      <w:bookmarkStart w:id="8397" w:name="_Toc488387188"/>
      <w:bookmarkStart w:id="8398" w:name="_Toc488402647"/>
      <w:bookmarkStart w:id="8399" w:name="_Toc488403470"/>
      <w:bookmarkStart w:id="8400" w:name="_Toc488404299"/>
      <w:bookmarkStart w:id="8401" w:name="_Toc488405130"/>
      <w:bookmarkStart w:id="8402" w:name="_Toc488405953"/>
      <w:bookmarkStart w:id="8403" w:name="_Toc488406782"/>
      <w:bookmarkStart w:id="8404" w:name="_Toc491410013"/>
      <w:bookmarkStart w:id="8405" w:name="_Toc496018551"/>
      <w:bookmarkStart w:id="8406" w:name="_Toc515787770"/>
      <w:bookmarkStart w:id="8407" w:name="_Toc515789470"/>
      <w:bookmarkStart w:id="8408" w:name="_Toc515790319"/>
      <w:bookmarkStart w:id="8409" w:name="_Toc515791168"/>
      <w:bookmarkStart w:id="8410" w:name="_Toc515792023"/>
      <w:bookmarkStart w:id="8411" w:name="_Toc515792873"/>
      <w:bookmarkStart w:id="8412" w:name="_Toc515793775"/>
      <w:bookmarkStart w:id="8413" w:name="_Toc515794680"/>
      <w:bookmarkStart w:id="8414" w:name="_Toc515796437"/>
      <w:bookmarkStart w:id="8415" w:name="_Toc488244851"/>
      <w:bookmarkStart w:id="8416" w:name="_Toc488247971"/>
      <w:bookmarkStart w:id="8417" w:name="_Toc488248615"/>
      <w:bookmarkStart w:id="8418" w:name="_Toc488249231"/>
      <w:bookmarkStart w:id="8419" w:name="_Toc488249847"/>
      <w:bookmarkStart w:id="8420" w:name="_Toc488330335"/>
      <w:bookmarkStart w:id="8421" w:name="_Toc488387189"/>
      <w:bookmarkStart w:id="8422" w:name="_Toc488402648"/>
      <w:bookmarkStart w:id="8423" w:name="_Toc488403471"/>
      <w:bookmarkStart w:id="8424" w:name="_Toc488404300"/>
      <w:bookmarkStart w:id="8425" w:name="_Toc488405131"/>
      <w:bookmarkStart w:id="8426" w:name="_Toc488405954"/>
      <w:bookmarkStart w:id="8427" w:name="_Toc488406783"/>
      <w:bookmarkStart w:id="8428" w:name="_Toc491410014"/>
      <w:bookmarkStart w:id="8429" w:name="_Toc496018552"/>
      <w:bookmarkStart w:id="8430" w:name="_Toc515787771"/>
      <w:bookmarkStart w:id="8431" w:name="_Toc515789471"/>
      <w:bookmarkStart w:id="8432" w:name="_Toc515790320"/>
      <w:bookmarkStart w:id="8433" w:name="_Toc515791169"/>
      <w:bookmarkStart w:id="8434" w:name="_Toc515792024"/>
      <w:bookmarkStart w:id="8435" w:name="_Toc515792874"/>
      <w:bookmarkStart w:id="8436" w:name="_Toc515793776"/>
      <w:bookmarkStart w:id="8437" w:name="_Toc515794681"/>
      <w:bookmarkStart w:id="8438" w:name="_Toc515796438"/>
      <w:bookmarkStart w:id="8439" w:name="_Toc488244852"/>
      <w:bookmarkStart w:id="8440" w:name="_Toc488247972"/>
      <w:bookmarkStart w:id="8441" w:name="_Toc488248616"/>
      <w:bookmarkStart w:id="8442" w:name="_Toc488249232"/>
      <w:bookmarkStart w:id="8443" w:name="_Toc488249848"/>
      <w:bookmarkStart w:id="8444" w:name="_Toc488330336"/>
      <w:bookmarkStart w:id="8445" w:name="_Toc488387190"/>
      <w:bookmarkStart w:id="8446" w:name="_Toc488402649"/>
      <w:bookmarkStart w:id="8447" w:name="_Toc488403472"/>
      <w:bookmarkStart w:id="8448" w:name="_Toc488404301"/>
      <w:bookmarkStart w:id="8449" w:name="_Toc488405132"/>
      <w:bookmarkStart w:id="8450" w:name="_Toc488405955"/>
      <w:bookmarkStart w:id="8451" w:name="_Toc488406784"/>
      <w:bookmarkStart w:id="8452" w:name="_Toc491410015"/>
      <w:bookmarkStart w:id="8453" w:name="_Toc496018553"/>
      <w:bookmarkStart w:id="8454" w:name="_Toc515787772"/>
      <w:bookmarkStart w:id="8455" w:name="_Toc515789472"/>
      <w:bookmarkStart w:id="8456" w:name="_Toc515790321"/>
      <w:bookmarkStart w:id="8457" w:name="_Toc515791170"/>
      <w:bookmarkStart w:id="8458" w:name="_Toc515792025"/>
      <w:bookmarkStart w:id="8459" w:name="_Toc515792875"/>
      <w:bookmarkStart w:id="8460" w:name="_Toc515793777"/>
      <w:bookmarkStart w:id="8461" w:name="_Toc515794682"/>
      <w:bookmarkStart w:id="8462" w:name="_Toc515796439"/>
      <w:bookmarkStart w:id="8463" w:name="_Toc488244853"/>
      <w:bookmarkStart w:id="8464" w:name="_Toc488247973"/>
      <w:bookmarkStart w:id="8465" w:name="_Toc488248617"/>
      <w:bookmarkStart w:id="8466" w:name="_Toc488249233"/>
      <w:bookmarkStart w:id="8467" w:name="_Toc488249849"/>
      <w:bookmarkStart w:id="8468" w:name="_Toc488330337"/>
      <w:bookmarkStart w:id="8469" w:name="_Toc488387191"/>
      <w:bookmarkStart w:id="8470" w:name="_Toc488402650"/>
      <w:bookmarkStart w:id="8471" w:name="_Toc488403473"/>
      <w:bookmarkStart w:id="8472" w:name="_Toc488404302"/>
      <w:bookmarkStart w:id="8473" w:name="_Toc488405133"/>
      <w:bookmarkStart w:id="8474" w:name="_Toc488405956"/>
      <w:bookmarkStart w:id="8475" w:name="_Toc488406785"/>
      <w:bookmarkStart w:id="8476" w:name="_Toc491410016"/>
      <w:bookmarkStart w:id="8477" w:name="_Toc496018554"/>
      <w:bookmarkStart w:id="8478" w:name="_Toc515787773"/>
      <w:bookmarkStart w:id="8479" w:name="_Toc515789473"/>
      <w:bookmarkStart w:id="8480" w:name="_Toc515790322"/>
      <w:bookmarkStart w:id="8481" w:name="_Toc515791171"/>
      <w:bookmarkStart w:id="8482" w:name="_Toc515792026"/>
      <w:bookmarkStart w:id="8483" w:name="_Toc515792876"/>
      <w:bookmarkStart w:id="8484" w:name="_Toc515793778"/>
      <w:bookmarkStart w:id="8485" w:name="_Toc515794683"/>
      <w:bookmarkStart w:id="8486" w:name="_Toc515796440"/>
      <w:bookmarkStart w:id="8487" w:name="_Toc488244854"/>
      <w:bookmarkStart w:id="8488" w:name="_Toc488247974"/>
      <w:bookmarkStart w:id="8489" w:name="_Toc488248618"/>
      <w:bookmarkStart w:id="8490" w:name="_Toc488249234"/>
      <w:bookmarkStart w:id="8491" w:name="_Toc488249850"/>
      <w:bookmarkStart w:id="8492" w:name="_Toc488330338"/>
      <w:bookmarkStart w:id="8493" w:name="_Toc488387192"/>
      <w:bookmarkStart w:id="8494" w:name="_Toc488402651"/>
      <w:bookmarkStart w:id="8495" w:name="_Toc488403474"/>
      <w:bookmarkStart w:id="8496" w:name="_Toc488404303"/>
      <w:bookmarkStart w:id="8497" w:name="_Toc488405134"/>
      <w:bookmarkStart w:id="8498" w:name="_Toc488405957"/>
      <w:bookmarkStart w:id="8499" w:name="_Toc488406786"/>
      <w:bookmarkStart w:id="8500" w:name="_Toc491410017"/>
      <w:bookmarkStart w:id="8501" w:name="_Toc496018555"/>
      <w:bookmarkStart w:id="8502" w:name="_Toc515787774"/>
      <w:bookmarkStart w:id="8503" w:name="_Toc515789474"/>
      <w:bookmarkStart w:id="8504" w:name="_Toc515790323"/>
      <w:bookmarkStart w:id="8505" w:name="_Toc515791172"/>
      <w:bookmarkStart w:id="8506" w:name="_Toc515792027"/>
      <w:bookmarkStart w:id="8507" w:name="_Toc515792877"/>
      <w:bookmarkStart w:id="8508" w:name="_Toc515793779"/>
      <w:bookmarkStart w:id="8509" w:name="_Toc515794684"/>
      <w:bookmarkStart w:id="8510" w:name="_Toc515796441"/>
      <w:bookmarkStart w:id="8511" w:name="_Toc488244855"/>
      <w:bookmarkStart w:id="8512" w:name="_Toc488247975"/>
      <w:bookmarkStart w:id="8513" w:name="_Toc488248619"/>
      <w:bookmarkStart w:id="8514" w:name="_Toc488249235"/>
      <w:bookmarkStart w:id="8515" w:name="_Toc488249851"/>
      <w:bookmarkStart w:id="8516" w:name="_Toc488330339"/>
      <w:bookmarkStart w:id="8517" w:name="_Toc488387193"/>
      <w:bookmarkStart w:id="8518" w:name="_Toc488402652"/>
      <w:bookmarkStart w:id="8519" w:name="_Toc488403475"/>
      <w:bookmarkStart w:id="8520" w:name="_Toc488404304"/>
      <w:bookmarkStart w:id="8521" w:name="_Toc488405135"/>
      <w:bookmarkStart w:id="8522" w:name="_Toc488405958"/>
      <w:bookmarkStart w:id="8523" w:name="_Toc488406787"/>
      <w:bookmarkStart w:id="8524" w:name="_Toc491410018"/>
      <w:bookmarkStart w:id="8525" w:name="_Toc496018556"/>
      <w:bookmarkStart w:id="8526" w:name="_Toc515787775"/>
      <w:bookmarkStart w:id="8527" w:name="_Toc515789475"/>
      <w:bookmarkStart w:id="8528" w:name="_Toc515790324"/>
      <w:bookmarkStart w:id="8529" w:name="_Toc515791173"/>
      <w:bookmarkStart w:id="8530" w:name="_Toc515792028"/>
      <w:bookmarkStart w:id="8531" w:name="_Toc515792878"/>
      <w:bookmarkStart w:id="8532" w:name="_Toc515793780"/>
      <w:bookmarkStart w:id="8533" w:name="_Toc515794685"/>
      <w:bookmarkStart w:id="8534" w:name="_Toc515796442"/>
      <w:bookmarkStart w:id="8535" w:name="_Toc488244856"/>
      <w:bookmarkStart w:id="8536" w:name="_Toc488247976"/>
      <w:bookmarkStart w:id="8537" w:name="_Toc488248620"/>
      <w:bookmarkStart w:id="8538" w:name="_Toc488249236"/>
      <w:bookmarkStart w:id="8539" w:name="_Toc488249852"/>
      <w:bookmarkStart w:id="8540" w:name="_Toc488330340"/>
      <w:bookmarkStart w:id="8541" w:name="_Toc488387194"/>
      <w:bookmarkStart w:id="8542" w:name="_Toc488402653"/>
      <w:bookmarkStart w:id="8543" w:name="_Toc488403476"/>
      <w:bookmarkStart w:id="8544" w:name="_Toc488404305"/>
      <w:bookmarkStart w:id="8545" w:name="_Toc488405136"/>
      <w:bookmarkStart w:id="8546" w:name="_Toc488405959"/>
      <w:bookmarkStart w:id="8547" w:name="_Toc488406788"/>
      <w:bookmarkStart w:id="8548" w:name="_Toc491410019"/>
      <w:bookmarkStart w:id="8549" w:name="_Toc496018557"/>
      <w:bookmarkStart w:id="8550" w:name="_Toc515787776"/>
      <w:bookmarkStart w:id="8551" w:name="_Toc515789476"/>
      <w:bookmarkStart w:id="8552" w:name="_Toc515790325"/>
      <w:bookmarkStart w:id="8553" w:name="_Toc515791174"/>
      <w:bookmarkStart w:id="8554" w:name="_Toc515792029"/>
      <w:bookmarkStart w:id="8555" w:name="_Toc515792879"/>
      <w:bookmarkStart w:id="8556" w:name="_Toc515793781"/>
      <w:bookmarkStart w:id="8557" w:name="_Toc515794686"/>
      <w:bookmarkStart w:id="8558" w:name="_Toc515796443"/>
      <w:bookmarkStart w:id="8559" w:name="_Toc488244857"/>
      <w:bookmarkStart w:id="8560" w:name="_Toc488247977"/>
      <w:bookmarkStart w:id="8561" w:name="_Toc488248621"/>
      <w:bookmarkStart w:id="8562" w:name="_Toc488249237"/>
      <w:bookmarkStart w:id="8563" w:name="_Toc488249853"/>
      <w:bookmarkStart w:id="8564" w:name="_Toc488330341"/>
      <w:bookmarkStart w:id="8565" w:name="_Toc488387195"/>
      <w:bookmarkStart w:id="8566" w:name="_Toc488402654"/>
      <w:bookmarkStart w:id="8567" w:name="_Toc488403477"/>
      <w:bookmarkStart w:id="8568" w:name="_Toc488404306"/>
      <w:bookmarkStart w:id="8569" w:name="_Toc488405137"/>
      <w:bookmarkStart w:id="8570" w:name="_Toc488405960"/>
      <w:bookmarkStart w:id="8571" w:name="_Toc488406789"/>
      <w:bookmarkStart w:id="8572" w:name="_Toc491410020"/>
      <w:bookmarkStart w:id="8573" w:name="_Toc496018558"/>
      <w:bookmarkStart w:id="8574" w:name="_Toc515787777"/>
      <w:bookmarkStart w:id="8575" w:name="_Toc515789477"/>
      <w:bookmarkStart w:id="8576" w:name="_Toc515790326"/>
      <w:bookmarkStart w:id="8577" w:name="_Toc515791175"/>
      <w:bookmarkStart w:id="8578" w:name="_Toc515792030"/>
      <w:bookmarkStart w:id="8579" w:name="_Toc515792880"/>
      <w:bookmarkStart w:id="8580" w:name="_Toc515793782"/>
      <w:bookmarkStart w:id="8581" w:name="_Toc515794687"/>
      <w:bookmarkStart w:id="8582" w:name="_Toc515796444"/>
      <w:bookmarkStart w:id="8583" w:name="_Toc488244858"/>
      <w:bookmarkStart w:id="8584" w:name="_Toc488247978"/>
      <w:bookmarkStart w:id="8585" w:name="_Toc488248622"/>
      <w:bookmarkStart w:id="8586" w:name="_Toc488249238"/>
      <w:bookmarkStart w:id="8587" w:name="_Toc488249854"/>
      <w:bookmarkStart w:id="8588" w:name="_Toc488330342"/>
      <w:bookmarkStart w:id="8589" w:name="_Toc488387196"/>
      <w:bookmarkStart w:id="8590" w:name="_Toc488402655"/>
      <w:bookmarkStart w:id="8591" w:name="_Toc488403478"/>
      <w:bookmarkStart w:id="8592" w:name="_Toc488404307"/>
      <w:bookmarkStart w:id="8593" w:name="_Toc488405138"/>
      <w:bookmarkStart w:id="8594" w:name="_Toc488405961"/>
      <w:bookmarkStart w:id="8595" w:name="_Toc488406790"/>
      <w:bookmarkStart w:id="8596" w:name="_Toc491410021"/>
      <w:bookmarkStart w:id="8597" w:name="_Toc496018559"/>
      <w:bookmarkStart w:id="8598" w:name="_Toc515787778"/>
      <w:bookmarkStart w:id="8599" w:name="_Toc515789478"/>
      <w:bookmarkStart w:id="8600" w:name="_Toc515790327"/>
      <w:bookmarkStart w:id="8601" w:name="_Toc515791176"/>
      <w:bookmarkStart w:id="8602" w:name="_Toc515792031"/>
      <w:bookmarkStart w:id="8603" w:name="_Toc515792881"/>
      <w:bookmarkStart w:id="8604" w:name="_Toc515793783"/>
      <w:bookmarkStart w:id="8605" w:name="_Toc515794688"/>
      <w:bookmarkStart w:id="8606" w:name="_Toc515796445"/>
      <w:bookmarkStart w:id="8607" w:name="_Toc488244859"/>
      <w:bookmarkStart w:id="8608" w:name="_Toc488247979"/>
      <w:bookmarkStart w:id="8609" w:name="_Toc488248623"/>
      <w:bookmarkStart w:id="8610" w:name="_Toc488249239"/>
      <w:bookmarkStart w:id="8611" w:name="_Toc488249855"/>
      <w:bookmarkStart w:id="8612" w:name="_Toc488330343"/>
      <w:bookmarkStart w:id="8613" w:name="_Toc488387197"/>
      <w:bookmarkStart w:id="8614" w:name="_Toc488402656"/>
      <w:bookmarkStart w:id="8615" w:name="_Toc488403479"/>
      <w:bookmarkStart w:id="8616" w:name="_Toc488404308"/>
      <w:bookmarkStart w:id="8617" w:name="_Toc488405139"/>
      <w:bookmarkStart w:id="8618" w:name="_Toc488405962"/>
      <w:bookmarkStart w:id="8619" w:name="_Toc488406791"/>
      <w:bookmarkStart w:id="8620" w:name="_Toc491410022"/>
      <w:bookmarkStart w:id="8621" w:name="_Toc496018560"/>
      <w:bookmarkStart w:id="8622" w:name="_Toc515787779"/>
      <w:bookmarkStart w:id="8623" w:name="_Toc515789479"/>
      <w:bookmarkStart w:id="8624" w:name="_Toc515790328"/>
      <w:bookmarkStart w:id="8625" w:name="_Toc515791177"/>
      <w:bookmarkStart w:id="8626" w:name="_Toc515792032"/>
      <w:bookmarkStart w:id="8627" w:name="_Toc515792882"/>
      <w:bookmarkStart w:id="8628" w:name="_Toc515793784"/>
      <w:bookmarkStart w:id="8629" w:name="_Toc515794689"/>
      <w:bookmarkStart w:id="8630" w:name="_Toc515796446"/>
      <w:bookmarkStart w:id="8631" w:name="_Toc488244860"/>
      <w:bookmarkStart w:id="8632" w:name="_Toc488247980"/>
      <w:bookmarkStart w:id="8633" w:name="_Toc488248624"/>
      <w:bookmarkStart w:id="8634" w:name="_Toc488249240"/>
      <w:bookmarkStart w:id="8635" w:name="_Toc488249856"/>
      <w:bookmarkStart w:id="8636" w:name="_Toc488330344"/>
      <w:bookmarkStart w:id="8637" w:name="_Toc488387198"/>
      <w:bookmarkStart w:id="8638" w:name="_Toc488402657"/>
      <w:bookmarkStart w:id="8639" w:name="_Toc488403480"/>
      <w:bookmarkStart w:id="8640" w:name="_Toc488404309"/>
      <w:bookmarkStart w:id="8641" w:name="_Toc488405140"/>
      <w:bookmarkStart w:id="8642" w:name="_Toc488405963"/>
      <w:bookmarkStart w:id="8643" w:name="_Toc488406792"/>
      <w:bookmarkStart w:id="8644" w:name="_Toc491410023"/>
      <w:bookmarkStart w:id="8645" w:name="_Toc496018561"/>
      <w:bookmarkStart w:id="8646" w:name="_Toc515787780"/>
      <w:bookmarkStart w:id="8647" w:name="_Toc515789480"/>
      <w:bookmarkStart w:id="8648" w:name="_Toc515790329"/>
      <w:bookmarkStart w:id="8649" w:name="_Toc515791178"/>
      <w:bookmarkStart w:id="8650" w:name="_Toc515792033"/>
      <w:bookmarkStart w:id="8651" w:name="_Toc515792883"/>
      <w:bookmarkStart w:id="8652" w:name="_Toc515793785"/>
      <w:bookmarkStart w:id="8653" w:name="_Toc515794690"/>
      <w:bookmarkStart w:id="8654" w:name="_Toc515796447"/>
      <w:bookmarkStart w:id="8655" w:name="_Toc488244951"/>
      <w:bookmarkStart w:id="8656" w:name="_Toc488248071"/>
      <w:bookmarkStart w:id="8657" w:name="_Toc488248715"/>
      <w:bookmarkStart w:id="8658" w:name="_Toc488249331"/>
      <w:bookmarkStart w:id="8659" w:name="_Toc488249947"/>
      <w:bookmarkStart w:id="8660" w:name="_Toc488330435"/>
      <w:bookmarkStart w:id="8661" w:name="_Toc488387289"/>
      <w:bookmarkStart w:id="8662" w:name="_Toc488402748"/>
      <w:bookmarkStart w:id="8663" w:name="_Toc488403571"/>
      <w:bookmarkStart w:id="8664" w:name="_Toc488404400"/>
      <w:bookmarkStart w:id="8665" w:name="_Toc488405231"/>
      <w:bookmarkStart w:id="8666" w:name="_Toc488406054"/>
      <w:bookmarkStart w:id="8667" w:name="_Toc488406883"/>
      <w:bookmarkStart w:id="8668" w:name="_Toc491410114"/>
      <w:bookmarkStart w:id="8669" w:name="_Toc496018652"/>
      <w:bookmarkStart w:id="8670" w:name="_Toc515787871"/>
      <w:bookmarkStart w:id="8671" w:name="_Toc515789571"/>
      <w:bookmarkStart w:id="8672" w:name="_Toc515790420"/>
      <w:bookmarkStart w:id="8673" w:name="_Toc515791269"/>
      <w:bookmarkStart w:id="8674" w:name="_Toc515792124"/>
      <w:bookmarkStart w:id="8675" w:name="_Toc515792974"/>
      <w:bookmarkStart w:id="8676" w:name="_Toc515793876"/>
      <w:bookmarkStart w:id="8677" w:name="_Toc515794781"/>
      <w:bookmarkStart w:id="8678" w:name="_Toc515796538"/>
      <w:bookmarkStart w:id="8679" w:name="_Toc488244952"/>
      <w:bookmarkStart w:id="8680" w:name="_Toc488248072"/>
      <w:bookmarkStart w:id="8681" w:name="_Toc488248716"/>
      <w:bookmarkStart w:id="8682" w:name="_Toc488249332"/>
      <w:bookmarkStart w:id="8683" w:name="_Toc488249948"/>
      <w:bookmarkStart w:id="8684" w:name="_Toc488330436"/>
      <w:bookmarkStart w:id="8685" w:name="_Toc488387290"/>
      <w:bookmarkStart w:id="8686" w:name="_Toc488402749"/>
      <w:bookmarkStart w:id="8687" w:name="_Toc488403572"/>
      <w:bookmarkStart w:id="8688" w:name="_Toc488404401"/>
      <w:bookmarkStart w:id="8689" w:name="_Toc488405232"/>
      <w:bookmarkStart w:id="8690" w:name="_Toc488406055"/>
      <w:bookmarkStart w:id="8691" w:name="_Toc488406884"/>
      <w:bookmarkStart w:id="8692" w:name="_Toc491410115"/>
      <w:bookmarkStart w:id="8693" w:name="_Toc496018653"/>
      <w:bookmarkStart w:id="8694" w:name="_Toc515787872"/>
      <w:bookmarkStart w:id="8695" w:name="_Toc515789572"/>
      <w:bookmarkStart w:id="8696" w:name="_Toc515790421"/>
      <w:bookmarkStart w:id="8697" w:name="_Toc515791270"/>
      <w:bookmarkStart w:id="8698" w:name="_Toc515792125"/>
      <w:bookmarkStart w:id="8699" w:name="_Toc515792975"/>
      <w:bookmarkStart w:id="8700" w:name="_Toc515793877"/>
      <w:bookmarkStart w:id="8701" w:name="_Toc515794782"/>
      <w:bookmarkStart w:id="8702" w:name="_Toc515796539"/>
      <w:bookmarkStart w:id="8703" w:name="_Toc488244953"/>
      <w:bookmarkStart w:id="8704" w:name="_Toc488248073"/>
      <w:bookmarkStart w:id="8705" w:name="_Toc488248717"/>
      <w:bookmarkStart w:id="8706" w:name="_Toc488249333"/>
      <w:bookmarkStart w:id="8707" w:name="_Toc488249949"/>
      <w:bookmarkStart w:id="8708" w:name="_Toc488330437"/>
      <w:bookmarkStart w:id="8709" w:name="_Toc488387291"/>
      <w:bookmarkStart w:id="8710" w:name="_Toc488402750"/>
      <w:bookmarkStart w:id="8711" w:name="_Toc488403573"/>
      <w:bookmarkStart w:id="8712" w:name="_Toc488404402"/>
      <w:bookmarkStart w:id="8713" w:name="_Toc488405233"/>
      <w:bookmarkStart w:id="8714" w:name="_Toc488406056"/>
      <w:bookmarkStart w:id="8715" w:name="_Toc488406885"/>
      <w:bookmarkStart w:id="8716" w:name="_Toc491410116"/>
      <w:bookmarkStart w:id="8717" w:name="_Toc496018654"/>
      <w:bookmarkStart w:id="8718" w:name="_Toc515787873"/>
      <w:bookmarkStart w:id="8719" w:name="_Toc515789573"/>
      <w:bookmarkStart w:id="8720" w:name="_Toc515790422"/>
      <w:bookmarkStart w:id="8721" w:name="_Toc515791271"/>
      <w:bookmarkStart w:id="8722" w:name="_Toc515792126"/>
      <w:bookmarkStart w:id="8723" w:name="_Toc515792976"/>
      <w:bookmarkStart w:id="8724" w:name="_Toc515793878"/>
      <w:bookmarkStart w:id="8725" w:name="_Toc515794783"/>
      <w:bookmarkStart w:id="8726" w:name="_Toc515796540"/>
      <w:bookmarkStart w:id="8727" w:name="_Toc488244954"/>
      <w:bookmarkStart w:id="8728" w:name="_Toc488248074"/>
      <w:bookmarkStart w:id="8729" w:name="_Toc488248718"/>
      <w:bookmarkStart w:id="8730" w:name="_Toc488249334"/>
      <w:bookmarkStart w:id="8731" w:name="_Toc488249950"/>
      <w:bookmarkStart w:id="8732" w:name="_Toc488330438"/>
      <w:bookmarkStart w:id="8733" w:name="_Toc488387292"/>
      <w:bookmarkStart w:id="8734" w:name="_Toc488402751"/>
      <w:bookmarkStart w:id="8735" w:name="_Toc488403574"/>
      <w:bookmarkStart w:id="8736" w:name="_Toc488404403"/>
      <w:bookmarkStart w:id="8737" w:name="_Toc488405234"/>
      <w:bookmarkStart w:id="8738" w:name="_Toc488406057"/>
      <w:bookmarkStart w:id="8739" w:name="_Toc488406886"/>
      <w:bookmarkStart w:id="8740" w:name="_Toc491410117"/>
      <w:bookmarkStart w:id="8741" w:name="_Toc496018655"/>
      <w:bookmarkStart w:id="8742" w:name="_Toc515787874"/>
      <w:bookmarkStart w:id="8743" w:name="_Toc515789574"/>
      <w:bookmarkStart w:id="8744" w:name="_Toc515790423"/>
      <w:bookmarkStart w:id="8745" w:name="_Toc515791272"/>
      <w:bookmarkStart w:id="8746" w:name="_Toc515792127"/>
      <w:bookmarkStart w:id="8747" w:name="_Toc515792977"/>
      <w:bookmarkStart w:id="8748" w:name="_Toc515793879"/>
      <w:bookmarkStart w:id="8749" w:name="_Toc515794784"/>
      <w:bookmarkStart w:id="8750" w:name="_Toc515796541"/>
      <w:bookmarkStart w:id="8751" w:name="_Toc488244955"/>
      <w:bookmarkStart w:id="8752" w:name="_Toc488248075"/>
      <w:bookmarkStart w:id="8753" w:name="_Toc488248719"/>
      <w:bookmarkStart w:id="8754" w:name="_Toc488249335"/>
      <w:bookmarkStart w:id="8755" w:name="_Toc488249951"/>
      <w:bookmarkStart w:id="8756" w:name="_Toc488330439"/>
      <w:bookmarkStart w:id="8757" w:name="_Toc488387293"/>
      <w:bookmarkStart w:id="8758" w:name="_Toc488402752"/>
      <w:bookmarkStart w:id="8759" w:name="_Toc488403575"/>
      <w:bookmarkStart w:id="8760" w:name="_Toc488404404"/>
      <w:bookmarkStart w:id="8761" w:name="_Toc488405235"/>
      <w:bookmarkStart w:id="8762" w:name="_Toc488406058"/>
      <w:bookmarkStart w:id="8763" w:name="_Toc488406887"/>
      <w:bookmarkStart w:id="8764" w:name="_Toc491410118"/>
      <w:bookmarkStart w:id="8765" w:name="_Toc496018656"/>
      <w:bookmarkStart w:id="8766" w:name="_Toc515787875"/>
      <w:bookmarkStart w:id="8767" w:name="_Toc515789575"/>
      <w:bookmarkStart w:id="8768" w:name="_Toc515790424"/>
      <w:bookmarkStart w:id="8769" w:name="_Toc515791273"/>
      <w:bookmarkStart w:id="8770" w:name="_Toc515792128"/>
      <w:bookmarkStart w:id="8771" w:name="_Toc515792978"/>
      <w:bookmarkStart w:id="8772" w:name="_Toc515793880"/>
      <w:bookmarkStart w:id="8773" w:name="_Toc515794785"/>
      <w:bookmarkStart w:id="8774" w:name="_Toc515796542"/>
      <w:bookmarkStart w:id="8775" w:name="_Toc488244956"/>
      <w:bookmarkStart w:id="8776" w:name="_Toc488248076"/>
      <w:bookmarkStart w:id="8777" w:name="_Toc488248720"/>
      <w:bookmarkStart w:id="8778" w:name="_Toc488249336"/>
      <w:bookmarkStart w:id="8779" w:name="_Toc488249952"/>
      <w:bookmarkStart w:id="8780" w:name="_Toc488330440"/>
      <w:bookmarkStart w:id="8781" w:name="_Toc488387294"/>
      <w:bookmarkStart w:id="8782" w:name="_Toc488402753"/>
      <w:bookmarkStart w:id="8783" w:name="_Toc488403576"/>
      <w:bookmarkStart w:id="8784" w:name="_Toc488404405"/>
      <w:bookmarkStart w:id="8785" w:name="_Toc488405236"/>
      <w:bookmarkStart w:id="8786" w:name="_Toc488406059"/>
      <w:bookmarkStart w:id="8787" w:name="_Toc488406888"/>
      <w:bookmarkStart w:id="8788" w:name="_Toc491410119"/>
      <w:bookmarkStart w:id="8789" w:name="_Toc496018657"/>
      <w:bookmarkStart w:id="8790" w:name="_Toc515787876"/>
      <w:bookmarkStart w:id="8791" w:name="_Toc515789576"/>
      <w:bookmarkStart w:id="8792" w:name="_Toc515790425"/>
      <w:bookmarkStart w:id="8793" w:name="_Toc515791274"/>
      <w:bookmarkStart w:id="8794" w:name="_Toc515792129"/>
      <w:bookmarkStart w:id="8795" w:name="_Toc515792979"/>
      <w:bookmarkStart w:id="8796" w:name="_Toc515793881"/>
      <w:bookmarkStart w:id="8797" w:name="_Toc515794786"/>
      <w:bookmarkStart w:id="8798" w:name="_Toc515796543"/>
      <w:bookmarkStart w:id="8799" w:name="_Toc488244957"/>
      <w:bookmarkStart w:id="8800" w:name="_Toc488248077"/>
      <w:bookmarkStart w:id="8801" w:name="_Toc488248721"/>
      <w:bookmarkStart w:id="8802" w:name="_Toc488249337"/>
      <w:bookmarkStart w:id="8803" w:name="_Toc488249953"/>
      <w:bookmarkStart w:id="8804" w:name="_Toc488330441"/>
      <w:bookmarkStart w:id="8805" w:name="_Toc488387295"/>
      <w:bookmarkStart w:id="8806" w:name="_Toc488402754"/>
      <w:bookmarkStart w:id="8807" w:name="_Toc488403577"/>
      <w:bookmarkStart w:id="8808" w:name="_Toc488404406"/>
      <w:bookmarkStart w:id="8809" w:name="_Toc488405237"/>
      <w:bookmarkStart w:id="8810" w:name="_Toc488406060"/>
      <w:bookmarkStart w:id="8811" w:name="_Toc488406889"/>
      <w:bookmarkStart w:id="8812" w:name="_Toc491410120"/>
      <w:bookmarkStart w:id="8813" w:name="_Toc496018658"/>
      <w:bookmarkStart w:id="8814" w:name="_Toc515787877"/>
      <w:bookmarkStart w:id="8815" w:name="_Toc515789577"/>
      <w:bookmarkStart w:id="8816" w:name="_Toc515790426"/>
      <w:bookmarkStart w:id="8817" w:name="_Toc515791275"/>
      <w:bookmarkStart w:id="8818" w:name="_Toc515792130"/>
      <w:bookmarkStart w:id="8819" w:name="_Toc515792980"/>
      <w:bookmarkStart w:id="8820" w:name="_Toc515793882"/>
      <w:bookmarkStart w:id="8821" w:name="_Toc515794787"/>
      <w:bookmarkStart w:id="8822" w:name="_Toc515796544"/>
      <w:bookmarkStart w:id="8823" w:name="_Toc488244958"/>
      <w:bookmarkStart w:id="8824" w:name="_Toc488248078"/>
      <w:bookmarkStart w:id="8825" w:name="_Toc488248722"/>
      <w:bookmarkStart w:id="8826" w:name="_Toc488249338"/>
      <w:bookmarkStart w:id="8827" w:name="_Toc488249954"/>
      <w:bookmarkStart w:id="8828" w:name="_Toc488330442"/>
      <w:bookmarkStart w:id="8829" w:name="_Toc488387296"/>
      <w:bookmarkStart w:id="8830" w:name="_Toc488402755"/>
      <w:bookmarkStart w:id="8831" w:name="_Toc488403578"/>
      <w:bookmarkStart w:id="8832" w:name="_Toc488404407"/>
      <w:bookmarkStart w:id="8833" w:name="_Toc488405238"/>
      <w:bookmarkStart w:id="8834" w:name="_Toc488406061"/>
      <w:bookmarkStart w:id="8835" w:name="_Toc488406890"/>
      <w:bookmarkStart w:id="8836" w:name="_Toc491410121"/>
      <w:bookmarkStart w:id="8837" w:name="_Toc496018659"/>
      <w:bookmarkStart w:id="8838" w:name="_Toc515787878"/>
      <w:bookmarkStart w:id="8839" w:name="_Toc515789578"/>
      <w:bookmarkStart w:id="8840" w:name="_Toc515790427"/>
      <w:bookmarkStart w:id="8841" w:name="_Toc515791276"/>
      <w:bookmarkStart w:id="8842" w:name="_Toc515792131"/>
      <w:bookmarkStart w:id="8843" w:name="_Toc515792981"/>
      <w:bookmarkStart w:id="8844" w:name="_Toc515793883"/>
      <w:bookmarkStart w:id="8845" w:name="_Toc515794788"/>
      <w:bookmarkStart w:id="8846" w:name="_Toc515796545"/>
      <w:bookmarkStart w:id="8847" w:name="_Toc488244959"/>
      <w:bookmarkStart w:id="8848" w:name="_Toc488248079"/>
      <w:bookmarkStart w:id="8849" w:name="_Toc488248723"/>
      <w:bookmarkStart w:id="8850" w:name="_Toc488249339"/>
      <w:bookmarkStart w:id="8851" w:name="_Toc488249955"/>
      <w:bookmarkStart w:id="8852" w:name="_Toc488330443"/>
      <w:bookmarkStart w:id="8853" w:name="_Toc488387297"/>
      <w:bookmarkStart w:id="8854" w:name="_Toc488402756"/>
      <w:bookmarkStart w:id="8855" w:name="_Toc488403579"/>
      <w:bookmarkStart w:id="8856" w:name="_Toc488404408"/>
      <w:bookmarkStart w:id="8857" w:name="_Toc488405239"/>
      <w:bookmarkStart w:id="8858" w:name="_Toc488406062"/>
      <w:bookmarkStart w:id="8859" w:name="_Toc488406891"/>
      <w:bookmarkStart w:id="8860" w:name="_Toc491410122"/>
      <w:bookmarkStart w:id="8861" w:name="_Toc496018660"/>
      <w:bookmarkStart w:id="8862" w:name="_Toc515787879"/>
      <w:bookmarkStart w:id="8863" w:name="_Toc515789579"/>
      <w:bookmarkStart w:id="8864" w:name="_Toc515790428"/>
      <w:bookmarkStart w:id="8865" w:name="_Toc515791277"/>
      <w:bookmarkStart w:id="8866" w:name="_Toc515792132"/>
      <w:bookmarkStart w:id="8867" w:name="_Toc515792982"/>
      <w:bookmarkStart w:id="8868" w:name="_Toc515793884"/>
      <w:bookmarkStart w:id="8869" w:name="_Toc515794789"/>
      <w:bookmarkStart w:id="8870" w:name="_Toc515796546"/>
      <w:bookmarkStart w:id="8871" w:name="_Toc488244960"/>
      <w:bookmarkStart w:id="8872" w:name="_Toc488248080"/>
      <w:bookmarkStart w:id="8873" w:name="_Toc488248724"/>
      <w:bookmarkStart w:id="8874" w:name="_Toc488249340"/>
      <w:bookmarkStart w:id="8875" w:name="_Toc488249956"/>
      <w:bookmarkStart w:id="8876" w:name="_Toc488330444"/>
      <w:bookmarkStart w:id="8877" w:name="_Toc488387298"/>
      <w:bookmarkStart w:id="8878" w:name="_Toc488402757"/>
      <w:bookmarkStart w:id="8879" w:name="_Toc488403580"/>
      <w:bookmarkStart w:id="8880" w:name="_Toc488404409"/>
      <w:bookmarkStart w:id="8881" w:name="_Toc488405240"/>
      <w:bookmarkStart w:id="8882" w:name="_Toc488406063"/>
      <w:bookmarkStart w:id="8883" w:name="_Toc488406892"/>
      <w:bookmarkStart w:id="8884" w:name="_Toc491410123"/>
      <w:bookmarkStart w:id="8885" w:name="_Toc496018661"/>
      <w:bookmarkStart w:id="8886" w:name="_Toc515787880"/>
      <w:bookmarkStart w:id="8887" w:name="_Toc515789580"/>
      <w:bookmarkStart w:id="8888" w:name="_Toc515790429"/>
      <w:bookmarkStart w:id="8889" w:name="_Toc515791278"/>
      <w:bookmarkStart w:id="8890" w:name="_Toc515792133"/>
      <w:bookmarkStart w:id="8891" w:name="_Toc515792983"/>
      <w:bookmarkStart w:id="8892" w:name="_Toc515793885"/>
      <w:bookmarkStart w:id="8893" w:name="_Toc515794790"/>
      <w:bookmarkStart w:id="8894" w:name="_Toc515796547"/>
      <w:bookmarkStart w:id="8895" w:name="_Toc488244961"/>
      <w:bookmarkStart w:id="8896" w:name="_Toc488248081"/>
      <w:bookmarkStart w:id="8897" w:name="_Toc488248725"/>
      <w:bookmarkStart w:id="8898" w:name="_Toc488249341"/>
      <w:bookmarkStart w:id="8899" w:name="_Toc488249957"/>
      <w:bookmarkStart w:id="8900" w:name="_Toc488330445"/>
      <w:bookmarkStart w:id="8901" w:name="_Toc488387299"/>
      <w:bookmarkStart w:id="8902" w:name="_Toc488402758"/>
      <w:bookmarkStart w:id="8903" w:name="_Toc488403581"/>
      <w:bookmarkStart w:id="8904" w:name="_Toc488404410"/>
      <w:bookmarkStart w:id="8905" w:name="_Toc488405241"/>
      <w:bookmarkStart w:id="8906" w:name="_Toc488406064"/>
      <w:bookmarkStart w:id="8907" w:name="_Toc488406893"/>
      <w:bookmarkStart w:id="8908" w:name="_Toc491410124"/>
      <w:bookmarkStart w:id="8909" w:name="_Toc496018662"/>
      <w:bookmarkStart w:id="8910" w:name="_Toc515787881"/>
      <w:bookmarkStart w:id="8911" w:name="_Toc515789581"/>
      <w:bookmarkStart w:id="8912" w:name="_Toc515790430"/>
      <w:bookmarkStart w:id="8913" w:name="_Toc515791279"/>
      <w:bookmarkStart w:id="8914" w:name="_Toc515792134"/>
      <w:bookmarkStart w:id="8915" w:name="_Toc515792984"/>
      <w:bookmarkStart w:id="8916" w:name="_Toc515793886"/>
      <w:bookmarkStart w:id="8917" w:name="_Toc515794791"/>
      <w:bookmarkStart w:id="8918" w:name="_Toc515796548"/>
      <w:bookmarkStart w:id="8919" w:name="_Toc488244962"/>
      <w:bookmarkStart w:id="8920" w:name="_Toc488248082"/>
      <w:bookmarkStart w:id="8921" w:name="_Toc488248726"/>
      <w:bookmarkStart w:id="8922" w:name="_Toc488249342"/>
      <w:bookmarkStart w:id="8923" w:name="_Toc488249958"/>
      <w:bookmarkStart w:id="8924" w:name="_Toc488330446"/>
      <w:bookmarkStart w:id="8925" w:name="_Toc488387300"/>
      <w:bookmarkStart w:id="8926" w:name="_Toc488402759"/>
      <w:bookmarkStart w:id="8927" w:name="_Toc488403582"/>
      <w:bookmarkStart w:id="8928" w:name="_Toc488404411"/>
      <w:bookmarkStart w:id="8929" w:name="_Toc488405242"/>
      <w:bookmarkStart w:id="8930" w:name="_Toc488406065"/>
      <w:bookmarkStart w:id="8931" w:name="_Toc488406894"/>
      <w:bookmarkStart w:id="8932" w:name="_Toc491410125"/>
      <w:bookmarkStart w:id="8933" w:name="_Toc496018663"/>
      <w:bookmarkStart w:id="8934" w:name="_Toc515787882"/>
      <w:bookmarkStart w:id="8935" w:name="_Toc515789582"/>
      <w:bookmarkStart w:id="8936" w:name="_Toc515790431"/>
      <w:bookmarkStart w:id="8937" w:name="_Toc515791280"/>
      <w:bookmarkStart w:id="8938" w:name="_Toc515792135"/>
      <w:bookmarkStart w:id="8939" w:name="_Toc515792985"/>
      <w:bookmarkStart w:id="8940" w:name="_Toc515793887"/>
      <w:bookmarkStart w:id="8941" w:name="_Toc515794792"/>
      <w:bookmarkStart w:id="8942" w:name="_Toc515796549"/>
      <w:bookmarkStart w:id="8943" w:name="_Toc488244963"/>
      <w:bookmarkStart w:id="8944" w:name="_Toc488248083"/>
      <w:bookmarkStart w:id="8945" w:name="_Toc488248727"/>
      <w:bookmarkStart w:id="8946" w:name="_Toc488249343"/>
      <w:bookmarkStart w:id="8947" w:name="_Toc488249959"/>
      <w:bookmarkStart w:id="8948" w:name="_Toc488330447"/>
      <w:bookmarkStart w:id="8949" w:name="_Toc488387301"/>
      <w:bookmarkStart w:id="8950" w:name="_Toc488402760"/>
      <w:bookmarkStart w:id="8951" w:name="_Toc488403583"/>
      <w:bookmarkStart w:id="8952" w:name="_Toc488404412"/>
      <w:bookmarkStart w:id="8953" w:name="_Toc488405243"/>
      <w:bookmarkStart w:id="8954" w:name="_Toc488406066"/>
      <w:bookmarkStart w:id="8955" w:name="_Toc488406895"/>
      <w:bookmarkStart w:id="8956" w:name="_Toc491410126"/>
      <w:bookmarkStart w:id="8957" w:name="_Toc496018664"/>
      <w:bookmarkStart w:id="8958" w:name="_Toc515787883"/>
      <w:bookmarkStart w:id="8959" w:name="_Toc515789583"/>
      <w:bookmarkStart w:id="8960" w:name="_Toc515790432"/>
      <w:bookmarkStart w:id="8961" w:name="_Toc515791281"/>
      <w:bookmarkStart w:id="8962" w:name="_Toc515792136"/>
      <w:bookmarkStart w:id="8963" w:name="_Toc515792986"/>
      <w:bookmarkStart w:id="8964" w:name="_Toc515793888"/>
      <w:bookmarkStart w:id="8965" w:name="_Toc515794793"/>
      <w:bookmarkStart w:id="8966" w:name="_Toc515796550"/>
      <w:bookmarkStart w:id="8967" w:name="_Toc488244964"/>
      <w:bookmarkStart w:id="8968" w:name="_Toc488248084"/>
      <w:bookmarkStart w:id="8969" w:name="_Toc488248728"/>
      <w:bookmarkStart w:id="8970" w:name="_Toc488249344"/>
      <w:bookmarkStart w:id="8971" w:name="_Toc488249960"/>
      <w:bookmarkStart w:id="8972" w:name="_Toc488330448"/>
      <w:bookmarkStart w:id="8973" w:name="_Toc488387302"/>
      <w:bookmarkStart w:id="8974" w:name="_Toc488402761"/>
      <w:bookmarkStart w:id="8975" w:name="_Toc488403584"/>
      <w:bookmarkStart w:id="8976" w:name="_Toc488404413"/>
      <w:bookmarkStart w:id="8977" w:name="_Toc488405244"/>
      <w:bookmarkStart w:id="8978" w:name="_Toc488406067"/>
      <w:bookmarkStart w:id="8979" w:name="_Toc488406896"/>
      <w:bookmarkStart w:id="8980" w:name="_Toc491410127"/>
      <w:bookmarkStart w:id="8981" w:name="_Toc496018665"/>
      <w:bookmarkStart w:id="8982" w:name="_Toc515787884"/>
      <w:bookmarkStart w:id="8983" w:name="_Toc515789584"/>
      <w:bookmarkStart w:id="8984" w:name="_Toc515790433"/>
      <w:bookmarkStart w:id="8985" w:name="_Toc515791282"/>
      <w:bookmarkStart w:id="8986" w:name="_Toc515792137"/>
      <w:bookmarkStart w:id="8987" w:name="_Toc515792987"/>
      <w:bookmarkStart w:id="8988" w:name="_Toc515793889"/>
      <w:bookmarkStart w:id="8989" w:name="_Toc515794794"/>
      <w:bookmarkStart w:id="8990" w:name="_Toc515796551"/>
      <w:bookmarkStart w:id="8991" w:name="_Toc488244965"/>
      <w:bookmarkStart w:id="8992" w:name="_Toc488248085"/>
      <w:bookmarkStart w:id="8993" w:name="_Toc488248729"/>
      <w:bookmarkStart w:id="8994" w:name="_Toc488249345"/>
      <w:bookmarkStart w:id="8995" w:name="_Toc488249961"/>
      <w:bookmarkStart w:id="8996" w:name="_Toc488330449"/>
      <w:bookmarkStart w:id="8997" w:name="_Toc488387303"/>
      <w:bookmarkStart w:id="8998" w:name="_Toc488402762"/>
      <w:bookmarkStart w:id="8999" w:name="_Toc488403585"/>
      <w:bookmarkStart w:id="9000" w:name="_Toc488404414"/>
      <w:bookmarkStart w:id="9001" w:name="_Toc488405245"/>
      <w:bookmarkStart w:id="9002" w:name="_Toc488406068"/>
      <w:bookmarkStart w:id="9003" w:name="_Toc488406897"/>
      <w:bookmarkStart w:id="9004" w:name="_Toc491410128"/>
      <w:bookmarkStart w:id="9005" w:name="_Toc496018666"/>
      <w:bookmarkStart w:id="9006" w:name="_Toc515787885"/>
      <w:bookmarkStart w:id="9007" w:name="_Toc515789585"/>
      <w:bookmarkStart w:id="9008" w:name="_Toc515790434"/>
      <w:bookmarkStart w:id="9009" w:name="_Toc515791283"/>
      <w:bookmarkStart w:id="9010" w:name="_Toc515792138"/>
      <w:bookmarkStart w:id="9011" w:name="_Toc515792988"/>
      <w:bookmarkStart w:id="9012" w:name="_Toc515793890"/>
      <w:bookmarkStart w:id="9013" w:name="_Toc515794795"/>
      <w:bookmarkStart w:id="9014" w:name="_Toc515796552"/>
      <w:bookmarkStart w:id="9015" w:name="_Toc488244966"/>
      <w:bookmarkStart w:id="9016" w:name="_Toc488248086"/>
      <w:bookmarkStart w:id="9017" w:name="_Toc488248730"/>
      <w:bookmarkStart w:id="9018" w:name="_Toc488249346"/>
      <w:bookmarkStart w:id="9019" w:name="_Toc488249962"/>
      <w:bookmarkStart w:id="9020" w:name="_Toc488330450"/>
      <w:bookmarkStart w:id="9021" w:name="_Toc488387304"/>
      <w:bookmarkStart w:id="9022" w:name="_Toc488402763"/>
      <w:bookmarkStart w:id="9023" w:name="_Toc488403586"/>
      <w:bookmarkStart w:id="9024" w:name="_Toc488404415"/>
      <w:bookmarkStart w:id="9025" w:name="_Toc488405246"/>
      <w:bookmarkStart w:id="9026" w:name="_Toc488406069"/>
      <w:bookmarkStart w:id="9027" w:name="_Toc488406898"/>
      <w:bookmarkStart w:id="9028" w:name="_Toc491410129"/>
      <w:bookmarkStart w:id="9029" w:name="_Toc496018667"/>
      <w:bookmarkStart w:id="9030" w:name="_Toc515787886"/>
      <w:bookmarkStart w:id="9031" w:name="_Toc515789586"/>
      <w:bookmarkStart w:id="9032" w:name="_Toc515790435"/>
      <w:bookmarkStart w:id="9033" w:name="_Toc515791284"/>
      <w:bookmarkStart w:id="9034" w:name="_Toc515792139"/>
      <w:bookmarkStart w:id="9035" w:name="_Toc515792989"/>
      <w:bookmarkStart w:id="9036" w:name="_Toc515793891"/>
      <w:bookmarkStart w:id="9037" w:name="_Toc515794796"/>
      <w:bookmarkStart w:id="9038" w:name="_Toc515796553"/>
      <w:bookmarkStart w:id="9039" w:name="_Toc488244967"/>
      <w:bookmarkStart w:id="9040" w:name="_Toc488248087"/>
      <w:bookmarkStart w:id="9041" w:name="_Toc488248731"/>
      <w:bookmarkStart w:id="9042" w:name="_Toc488249347"/>
      <w:bookmarkStart w:id="9043" w:name="_Toc488249963"/>
      <w:bookmarkStart w:id="9044" w:name="_Toc488330451"/>
      <w:bookmarkStart w:id="9045" w:name="_Toc488387305"/>
      <w:bookmarkStart w:id="9046" w:name="_Toc488402764"/>
      <w:bookmarkStart w:id="9047" w:name="_Toc488403587"/>
      <w:bookmarkStart w:id="9048" w:name="_Toc488404416"/>
      <w:bookmarkStart w:id="9049" w:name="_Toc488405247"/>
      <w:bookmarkStart w:id="9050" w:name="_Toc488406070"/>
      <w:bookmarkStart w:id="9051" w:name="_Toc488406899"/>
      <w:bookmarkStart w:id="9052" w:name="_Toc491410130"/>
      <w:bookmarkStart w:id="9053" w:name="_Toc496018668"/>
      <w:bookmarkStart w:id="9054" w:name="_Toc515787887"/>
      <w:bookmarkStart w:id="9055" w:name="_Toc515789587"/>
      <w:bookmarkStart w:id="9056" w:name="_Toc515790436"/>
      <w:bookmarkStart w:id="9057" w:name="_Toc515791285"/>
      <w:bookmarkStart w:id="9058" w:name="_Toc515792140"/>
      <w:bookmarkStart w:id="9059" w:name="_Toc515792990"/>
      <w:bookmarkStart w:id="9060" w:name="_Toc515793892"/>
      <w:bookmarkStart w:id="9061" w:name="_Toc515794797"/>
      <w:bookmarkStart w:id="9062" w:name="_Toc515796554"/>
      <w:bookmarkStart w:id="9063" w:name="_Toc488244968"/>
      <w:bookmarkStart w:id="9064" w:name="_Toc488248088"/>
      <w:bookmarkStart w:id="9065" w:name="_Toc488248732"/>
      <w:bookmarkStart w:id="9066" w:name="_Toc488249348"/>
      <w:bookmarkStart w:id="9067" w:name="_Toc488249964"/>
      <w:bookmarkStart w:id="9068" w:name="_Toc488330452"/>
      <w:bookmarkStart w:id="9069" w:name="_Toc488387306"/>
      <w:bookmarkStart w:id="9070" w:name="_Toc488402765"/>
      <w:bookmarkStart w:id="9071" w:name="_Toc488403588"/>
      <w:bookmarkStart w:id="9072" w:name="_Toc488404417"/>
      <w:bookmarkStart w:id="9073" w:name="_Toc488405248"/>
      <w:bookmarkStart w:id="9074" w:name="_Toc488406071"/>
      <w:bookmarkStart w:id="9075" w:name="_Toc488406900"/>
      <w:bookmarkStart w:id="9076" w:name="_Toc491410131"/>
      <w:bookmarkStart w:id="9077" w:name="_Toc496018669"/>
      <w:bookmarkStart w:id="9078" w:name="_Toc515787888"/>
      <w:bookmarkStart w:id="9079" w:name="_Toc515789588"/>
      <w:bookmarkStart w:id="9080" w:name="_Toc515790437"/>
      <w:bookmarkStart w:id="9081" w:name="_Toc515791286"/>
      <w:bookmarkStart w:id="9082" w:name="_Toc515792141"/>
      <w:bookmarkStart w:id="9083" w:name="_Toc515792991"/>
      <w:bookmarkStart w:id="9084" w:name="_Toc515793893"/>
      <w:bookmarkStart w:id="9085" w:name="_Toc515794798"/>
      <w:bookmarkStart w:id="9086" w:name="_Toc515796555"/>
      <w:bookmarkStart w:id="9087" w:name="_Toc488244969"/>
      <w:bookmarkStart w:id="9088" w:name="_Toc488248089"/>
      <w:bookmarkStart w:id="9089" w:name="_Toc488248733"/>
      <w:bookmarkStart w:id="9090" w:name="_Toc488249349"/>
      <w:bookmarkStart w:id="9091" w:name="_Toc488249965"/>
      <w:bookmarkStart w:id="9092" w:name="_Toc488330453"/>
      <w:bookmarkStart w:id="9093" w:name="_Toc488387307"/>
      <w:bookmarkStart w:id="9094" w:name="_Toc488402766"/>
      <w:bookmarkStart w:id="9095" w:name="_Toc488403589"/>
      <w:bookmarkStart w:id="9096" w:name="_Toc488404418"/>
      <w:bookmarkStart w:id="9097" w:name="_Toc488405249"/>
      <w:bookmarkStart w:id="9098" w:name="_Toc488406072"/>
      <w:bookmarkStart w:id="9099" w:name="_Toc488406901"/>
      <w:bookmarkStart w:id="9100" w:name="_Toc491410132"/>
      <w:bookmarkStart w:id="9101" w:name="_Toc496018670"/>
      <w:bookmarkStart w:id="9102" w:name="_Toc515787889"/>
      <w:bookmarkStart w:id="9103" w:name="_Toc515789589"/>
      <w:bookmarkStart w:id="9104" w:name="_Toc515790438"/>
      <w:bookmarkStart w:id="9105" w:name="_Toc515791287"/>
      <w:bookmarkStart w:id="9106" w:name="_Toc515792142"/>
      <w:bookmarkStart w:id="9107" w:name="_Toc515792992"/>
      <w:bookmarkStart w:id="9108" w:name="_Toc515793894"/>
      <w:bookmarkStart w:id="9109" w:name="_Toc515794799"/>
      <w:bookmarkStart w:id="9110" w:name="_Toc515796556"/>
      <w:bookmarkStart w:id="9111" w:name="_Toc488244970"/>
      <w:bookmarkStart w:id="9112" w:name="_Toc488248090"/>
      <w:bookmarkStart w:id="9113" w:name="_Toc488248734"/>
      <w:bookmarkStart w:id="9114" w:name="_Toc488249350"/>
      <w:bookmarkStart w:id="9115" w:name="_Toc488249966"/>
      <w:bookmarkStart w:id="9116" w:name="_Toc488330454"/>
      <w:bookmarkStart w:id="9117" w:name="_Toc488387308"/>
      <w:bookmarkStart w:id="9118" w:name="_Toc488402767"/>
      <w:bookmarkStart w:id="9119" w:name="_Toc488403590"/>
      <w:bookmarkStart w:id="9120" w:name="_Toc488404419"/>
      <w:bookmarkStart w:id="9121" w:name="_Toc488405250"/>
      <w:bookmarkStart w:id="9122" w:name="_Toc488406073"/>
      <w:bookmarkStart w:id="9123" w:name="_Toc488406902"/>
      <w:bookmarkStart w:id="9124" w:name="_Toc491410133"/>
      <w:bookmarkStart w:id="9125" w:name="_Toc496018671"/>
      <w:bookmarkStart w:id="9126" w:name="_Toc515787890"/>
      <w:bookmarkStart w:id="9127" w:name="_Toc515789590"/>
      <w:bookmarkStart w:id="9128" w:name="_Toc515790439"/>
      <w:bookmarkStart w:id="9129" w:name="_Toc515791288"/>
      <w:bookmarkStart w:id="9130" w:name="_Toc515792143"/>
      <w:bookmarkStart w:id="9131" w:name="_Toc515792993"/>
      <w:bookmarkStart w:id="9132" w:name="_Toc515793895"/>
      <w:bookmarkStart w:id="9133" w:name="_Toc515794800"/>
      <w:bookmarkStart w:id="9134" w:name="_Toc515796557"/>
      <w:bookmarkStart w:id="9135" w:name="_Toc488244971"/>
      <w:bookmarkStart w:id="9136" w:name="_Toc488248091"/>
      <w:bookmarkStart w:id="9137" w:name="_Toc488248735"/>
      <w:bookmarkStart w:id="9138" w:name="_Toc488249351"/>
      <w:bookmarkStart w:id="9139" w:name="_Toc488249967"/>
      <w:bookmarkStart w:id="9140" w:name="_Toc488330455"/>
      <w:bookmarkStart w:id="9141" w:name="_Toc488387309"/>
      <w:bookmarkStart w:id="9142" w:name="_Toc488402768"/>
      <w:bookmarkStart w:id="9143" w:name="_Toc488403591"/>
      <w:bookmarkStart w:id="9144" w:name="_Toc488404420"/>
      <w:bookmarkStart w:id="9145" w:name="_Toc488405251"/>
      <w:bookmarkStart w:id="9146" w:name="_Toc488406074"/>
      <w:bookmarkStart w:id="9147" w:name="_Toc488406903"/>
      <w:bookmarkStart w:id="9148" w:name="_Toc491410134"/>
      <w:bookmarkStart w:id="9149" w:name="_Toc496018672"/>
      <w:bookmarkStart w:id="9150" w:name="_Toc515787891"/>
      <w:bookmarkStart w:id="9151" w:name="_Toc515789591"/>
      <w:bookmarkStart w:id="9152" w:name="_Toc515790440"/>
      <w:bookmarkStart w:id="9153" w:name="_Toc515791289"/>
      <w:bookmarkStart w:id="9154" w:name="_Toc515792144"/>
      <w:bookmarkStart w:id="9155" w:name="_Toc515792994"/>
      <w:bookmarkStart w:id="9156" w:name="_Toc515793896"/>
      <w:bookmarkStart w:id="9157" w:name="_Toc515794801"/>
      <w:bookmarkStart w:id="9158" w:name="_Toc515796558"/>
      <w:bookmarkStart w:id="9159" w:name="_Toc488244972"/>
      <w:bookmarkStart w:id="9160" w:name="_Toc488248092"/>
      <w:bookmarkStart w:id="9161" w:name="_Toc488248736"/>
      <w:bookmarkStart w:id="9162" w:name="_Toc488249352"/>
      <w:bookmarkStart w:id="9163" w:name="_Toc488249968"/>
      <w:bookmarkStart w:id="9164" w:name="_Toc488330456"/>
      <w:bookmarkStart w:id="9165" w:name="_Toc488387310"/>
      <w:bookmarkStart w:id="9166" w:name="_Toc488402769"/>
      <w:bookmarkStart w:id="9167" w:name="_Toc488403592"/>
      <w:bookmarkStart w:id="9168" w:name="_Toc488404421"/>
      <w:bookmarkStart w:id="9169" w:name="_Toc488405252"/>
      <w:bookmarkStart w:id="9170" w:name="_Toc488406075"/>
      <w:bookmarkStart w:id="9171" w:name="_Toc488406904"/>
      <w:bookmarkStart w:id="9172" w:name="_Toc491410135"/>
      <w:bookmarkStart w:id="9173" w:name="_Toc496018673"/>
      <w:bookmarkStart w:id="9174" w:name="_Toc515787892"/>
      <w:bookmarkStart w:id="9175" w:name="_Toc515789592"/>
      <w:bookmarkStart w:id="9176" w:name="_Toc515790441"/>
      <w:bookmarkStart w:id="9177" w:name="_Toc515791290"/>
      <w:bookmarkStart w:id="9178" w:name="_Toc515792145"/>
      <w:bookmarkStart w:id="9179" w:name="_Toc515792995"/>
      <w:bookmarkStart w:id="9180" w:name="_Toc515793897"/>
      <w:bookmarkStart w:id="9181" w:name="_Toc515794802"/>
      <w:bookmarkStart w:id="9182" w:name="_Toc515796559"/>
      <w:bookmarkStart w:id="9183" w:name="_Toc488244973"/>
      <w:bookmarkStart w:id="9184" w:name="_Toc488248093"/>
      <w:bookmarkStart w:id="9185" w:name="_Toc488248737"/>
      <w:bookmarkStart w:id="9186" w:name="_Toc488249353"/>
      <w:bookmarkStart w:id="9187" w:name="_Toc488249969"/>
      <w:bookmarkStart w:id="9188" w:name="_Toc488330457"/>
      <w:bookmarkStart w:id="9189" w:name="_Toc488387311"/>
      <w:bookmarkStart w:id="9190" w:name="_Toc488402770"/>
      <w:bookmarkStart w:id="9191" w:name="_Toc488403593"/>
      <w:bookmarkStart w:id="9192" w:name="_Toc488404422"/>
      <w:bookmarkStart w:id="9193" w:name="_Toc488405253"/>
      <w:bookmarkStart w:id="9194" w:name="_Toc488406076"/>
      <w:bookmarkStart w:id="9195" w:name="_Toc488406905"/>
      <w:bookmarkStart w:id="9196" w:name="_Toc491410136"/>
      <w:bookmarkStart w:id="9197" w:name="_Toc496018674"/>
      <w:bookmarkStart w:id="9198" w:name="_Toc515787893"/>
      <w:bookmarkStart w:id="9199" w:name="_Toc515789593"/>
      <w:bookmarkStart w:id="9200" w:name="_Toc515790442"/>
      <w:bookmarkStart w:id="9201" w:name="_Toc515791291"/>
      <w:bookmarkStart w:id="9202" w:name="_Toc515792146"/>
      <w:bookmarkStart w:id="9203" w:name="_Toc515792996"/>
      <w:bookmarkStart w:id="9204" w:name="_Toc515793898"/>
      <w:bookmarkStart w:id="9205" w:name="_Toc515794803"/>
      <w:bookmarkStart w:id="9206" w:name="_Toc515796560"/>
      <w:bookmarkStart w:id="9207" w:name="_Toc488244974"/>
      <w:bookmarkStart w:id="9208" w:name="_Toc488248094"/>
      <w:bookmarkStart w:id="9209" w:name="_Toc488248738"/>
      <w:bookmarkStart w:id="9210" w:name="_Toc488249354"/>
      <w:bookmarkStart w:id="9211" w:name="_Toc488249970"/>
      <w:bookmarkStart w:id="9212" w:name="_Toc488330458"/>
      <w:bookmarkStart w:id="9213" w:name="_Toc488387312"/>
      <w:bookmarkStart w:id="9214" w:name="_Toc488402771"/>
      <w:bookmarkStart w:id="9215" w:name="_Toc488403594"/>
      <w:bookmarkStart w:id="9216" w:name="_Toc488404423"/>
      <w:bookmarkStart w:id="9217" w:name="_Toc488405254"/>
      <w:bookmarkStart w:id="9218" w:name="_Toc488406077"/>
      <w:bookmarkStart w:id="9219" w:name="_Toc488406906"/>
      <w:bookmarkStart w:id="9220" w:name="_Toc491410137"/>
      <w:bookmarkStart w:id="9221" w:name="_Toc496018675"/>
      <w:bookmarkStart w:id="9222" w:name="_Toc515787894"/>
      <w:bookmarkStart w:id="9223" w:name="_Toc515789594"/>
      <w:bookmarkStart w:id="9224" w:name="_Toc515790443"/>
      <w:bookmarkStart w:id="9225" w:name="_Toc515791292"/>
      <w:bookmarkStart w:id="9226" w:name="_Toc515792147"/>
      <w:bookmarkStart w:id="9227" w:name="_Toc515792997"/>
      <w:bookmarkStart w:id="9228" w:name="_Toc515793899"/>
      <w:bookmarkStart w:id="9229" w:name="_Toc515794804"/>
      <w:bookmarkStart w:id="9230" w:name="_Toc515796561"/>
      <w:bookmarkStart w:id="9231" w:name="_Toc488244975"/>
      <w:bookmarkStart w:id="9232" w:name="_Toc488248095"/>
      <w:bookmarkStart w:id="9233" w:name="_Toc488248739"/>
      <w:bookmarkStart w:id="9234" w:name="_Toc488249355"/>
      <w:bookmarkStart w:id="9235" w:name="_Toc488249971"/>
      <w:bookmarkStart w:id="9236" w:name="_Toc488330459"/>
      <w:bookmarkStart w:id="9237" w:name="_Toc488387313"/>
      <w:bookmarkStart w:id="9238" w:name="_Toc488402772"/>
      <w:bookmarkStart w:id="9239" w:name="_Toc488403595"/>
      <w:bookmarkStart w:id="9240" w:name="_Toc488404424"/>
      <w:bookmarkStart w:id="9241" w:name="_Toc488405255"/>
      <w:bookmarkStart w:id="9242" w:name="_Toc488406078"/>
      <w:bookmarkStart w:id="9243" w:name="_Toc488406907"/>
      <w:bookmarkStart w:id="9244" w:name="_Toc491410138"/>
      <w:bookmarkStart w:id="9245" w:name="_Toc496018676"/>
      <w:bookmarkStart w:id="9246" w:name="_Toc515787895"/>
      <w:bookmarkStart w:id="9247" w:name="_Toc515789595"/>
      <w:bookmarkStart w:id="9248" w:name="_Toc515790444"/>
      <w:bookmarkStart w:id="9249" w:name="_Toc515791293"/>
      <w:bookmarkStart w:id="9250" w:name="_Toc515792148"/>
      <w:bookmarkStart w:id="9251" w:name="_Toc515792998"/>
      <w:bookmarkStart w:id="9252" w:name="_Toc515793900"/>
      <w:bookmarkStart w:id="9253" w:name="_Toc515794805"/>
      <w:bookmarkStart w:id="9254" w:name="_Toc515796562"/>
      <w:bookmarkStart w:id="9255" w:name="_Toc488244976"/>
      <w:bookmarkStart w:id="9256" w:name="_Toc488248096"/>
      <w:bookmarkStart w:id="9257" w:name="_Toc488248740"/>
      <w:bookmarkStart w:id="9258" w:name="_Toc488249356"/>
      <w:bookmarkStart w:id="9259" w:name="_Toc488249972"/>
      <w:bookmarkStart w:id="9260" w:name="_Toc488330460"/>
      <w:bookmarkStart w:id="9261" w:name="_Toc488387314"/>
      <w:bookmarkStart w:id="9262" w:name="_Toc488402773"/>
      <w:bookmarkStart w:id="9263" w:name="_Toc488403596"/>
      <w:bookmarkStart w:id="9264" w:name="_Toc488404425"/>
      <w:bookmarkStart w:id="9265" w:name="_Toc488405256"/>
      <w:bookmarkStart w:id="9266" w:name="_Toc488406079"/>
      <w:bookmarkStart w:id="9267" w:name="_Toc488406908"/>
      <w:bookmarkStart w:id="9268" w:name="_Toc491410139"/>
      <w:bookmarkStart w:id="9269" w:name="_Toc496018677"/>
      <w:bookmarkStart w:id="9270" w:name="_Toc515787896"/>
      <w:bookmarkStart w:id="9271" w:name="_Toc515789596"/>
      <w:bookmarkStart w:id="9272" w:name="_Toc515790445"/>
      <w:bookmarkStart w:id="9273" w:name="_Toc515791294"/>
      <w:bookmarkStart w:id="9274" w:name="_Toc515792149"/>
      <w:bookmarkStart w:id="9275" w:name="_Toc515792999"/>
      <w:bookmarkStart w:id="9276" w:name="_Toc515793901"/>
      <w:bookmarkStart w:id="9277" w:name="_Toc515794806"/>
      <w:bookmarkStart w:id="9278" w:name="_Toc515796563"/>
      <w:bookmarkStart w:id="9279" w:name="_Toc488244977"/>
      <w:bookmarkStart w:id="9280" w:name="_Toc488248097"/>
      <w:bookmarkStart w:id="9281" w:name="_Toc488248741"/>
      <w:bookmarkStart w:id="9282" w:name="_Toc488249357"/>
      <w:bookmarkStart w:id="9283" w:name="_Toc488249973"/>
      <w:bookmarkStart w:id="9284" w:name="_Toc488330461"/>
      <w:bookmarkStart w:id="9285" w:name="_Toc488387315"/>
      <w:bookmarkStart w:id="9286" w:name="_Toc488402774"/>
      <w:bookmarkStart w:id="9287" w:name="_Toc488403597"/>
      <w:bookmarkStart w:id="9288" w:name="_Toc488404426"/>
      <w:bookmarkStart w:id="9289" w:name="_Toc488405257"/>
      <w:bookmarkStart w:id="9290" w:name="_Toc488406080"/>
      <w:bookmarkStart w:id="9291" w:name="_Toc488406909"/>
      <w:bookmarkStart w:id="9292" w:name="_Toc491410140"/>
      <w:bookmarkStart w:id="9293" w:name="_Toc496018678"/>
      <w:bookmarkStart w:id="9294" w:name="_Toc515787897"/>
      <w:bookmarkStart w:id="9295" w:name="_Toc515789597"/>
      <w:bookmarkStart w:id="9296" w:name="_Toc515790446"/>
      <w:bookmarkStart w:id="9297" w:name="_Toc515791295"/>
      <w:bookmarkStart w:id="9298" w:name="_Toc515792150"/>
      <w:bookmarkStart w:id="9299" w:name="_Toc515793000"/>
      <w:bookmarkStart w:id="9300" w:name="_Toc515793902"/>
      <w:bookmarkStart w:id="9301" w:name="_Toc515794807"/>
      <w:bookmarkStart w:id="9302" w:name="_Toc515796564"/>
      <w:bookmarkStart w:id="9303" w:name="_Toc488244978"/>
      <w:bookmarkStart w:id="9304" w:name="_Toc488248098"/>
      <w:bookmarkStart w:id="9305" w:name="_Toc488248742"/>
      <w:bookmarkStart w:id="9306" w:name="_Toc488249358"/>
      <w:bookmarkStart w:id="9307" w:name="_Toc488249974"/>
      <w:bookmarkStart w:id="9308" w:name="_Toc488330462"/>
      <w:bookmarkStart w:id="9309" w:name="_Toc488387316"/>
      <w:bookmarkStart w:id="9310" w:name="_Toc488402775"/>
      <w:bookmarkStart w:id="9311" w:name="_Toc488403598"/>
      <w:bookmarkStart w:id="9312" w:name="_Toc488404427"/>
      <w:bookmarkStart w:id="9313" w:name="_Toc488405258"/>
      <w:bookmarkStart w:id="9314" w:name="_Toc488406081"/>
      <w:bookmarkStart w:id="9315" w:name="_Toc488406910"/>
      <w:bookmarkStart w:id="9316" w:name="_Toc491410141"/>
      <w:bookmarkStart w:id="9317" w:name="_Toc496018679"/>
      <w:bookmarkStart w:id="9318" w:name="_Toc515787898"/>
      <w:bookmarkStart w:id="9319" w:name="_Toc515789598"/>
      <w:bookmarkStart w:id="9320" w:name="_Toc515790447"/>
      <w:bookmarkStart w:id="9321" w:name="_Toc515791296"/>
      <w:bookmarkStart w:id="9322" w:name="_Toc515792151"/>
      <w:bookmarkStart w:id="9323" w:name="_Toc515793001"/>
      <w:bookmarkStart w:id="9324" w:name="_Toc515793903"/>
      <w:bookmarkStart w:id="9325" w:name="_Toc515794808"/>
      <w:bookmarkStart w:id="9326" w:name="_Toc515796565"/>
      <w:bookmarkStart w:id="9327" w:name="_Toc488244979"/>
      <w:bookmarkStart w:id="9328" w:name="_Toc488248099"/>
      <w:bookmarkStart w:id="9329" w:name="_Toc488248743"/>
      <w:bookmarkStart w:id="9330" w:name="_Toc488249359"/>
      <w:bookmarkStart w:id="9331" w:name="_Toc488249975"/>
      <w:bookmarkStart w:id="9332" w:name="_Toc488330463"/>
      <w:bookmarkStart w:id="9333" w:name="_Toc488387317"/>
      <w:bookmarkStart w:id="9334" w:name="_Toc488402776"/>
      <w:bookmarkStart w:id="9335" w:name="_Toc488403599"/>
      <w:bookmarkStart w:id="9336" w:name="_Toc488404428"/>
      <w:bookmarkStart w:id="9337" w:name="_Toc488405259"/>
      <w:bookmarkStart w:id="9338" w:name="_Toc488406082"/>
      <w:bookmarkStart w:id="9339" w:name="_Toc488406911"/>
      <w:bookmarkStart w:id="9340" w:name="_Toc491410142"/>
      <w:bookmarkStart w:id="9341" w:name="_Toc496018680"/>
      <w:bookmarkStart w:id="9342" w:name="_Toc515787899"/>
      <w:bookmarkStart w:id="9343" w:name="_Toc515789599"/>
      <w:bookmarkStart w:id="9344" w:name="_Toc515790448"/>
      <w:bookmarkStart w:id="9345" w:name="_Toc515791297"/>
      <w:bookmarkStart w:id="9346" w:name="_Toc515792152"/>
      <w:bookmarkStart w:id="9347" w:name="_Toc515793002"/>
      <w:bookmarkStart w:id="9348" w:name="_Toc515793904"/>
      <w:bookmarkStart w:id="9349" w:name="_Toc515794809"/>
      <w:bookmarkStart w:id="9350" w:name="_Toc515796566"/>
      <w:bookmarkStart w:id="9351" w:name="_Toc488244980"/>
      <w:bookmarkStart w:id="9352" w:name="_Toc488248100"/>
      <w:bookmarkStart w:id="9353" w:name="_Toc488248744"/>
      <w:bookmarkStart w:id="9354" w:name="_Toc488249360"/>
      <w:bookmarkStart w:id="9355" w:name="_Toc488249976"/>
      <w:bookmarkStart w:id="9356" w:name="_Toc488330464"/>
      <w:bookmarkStart w:id="9357" w:name="_Toc488387318"/>
      <w:bookmarkStart w:id="9358" w:name="_Toc488402777"/>
      <w:bookmarkStart w:id="9359" w:name="_Toc488403600"/>
      <w:bookmarkStart w:id="9360" w:name="_Toc488404429"/>
      <w:bookmarkStart w:id="9361" w:name="_Toc488405260"/>
      <w:bookmarkStart w:id="9362" w:name="_Toc488406083"/>
      <w:bookmarkStart w:id="9363" w:name="_Toc488406912"/>
      <w:bookmarkStart w:id="9364" w:name="_Toc491410143"/>
      <w:bookmarkStart w:id="9365" w:name="_Toc496018681"/>
      <w:bookmarkStart w:id="9366" w:name="_Toc515787900"/>
      <w:bookmarkStart w:id="9367" w:name="_Toc515789600"/>
      <w:bookmarkStart w:id="9368" w:name="_Toc515790449"/>
      <w:bookmarkStart w:id="9369" w:name="_Toc515791298"/>
      <w:bookmarkStart w:id="9370" w:name="_Toc515792153"/>
      <w:bookmarkStart w:id="9371" w:name="_Toc515793003"/>
      <w:bookmarkStart w:id="9372" w:name="_Toc515793905"/>
      <w:bookmarkStart w:id="9373" w:name="_Toc515794810"/>
      <w:bookmarkStart w:id="9374" w:name="_Toc515796567"/>
      <w:bookmarkStart w:id="9375" w:name="_Toc488244981"/>
      <w:bookmarkStart w:id="9376" w:name="_Toc488248101"/>
      <w:bookmarkStart w:id="9377" w:name="_Toc488248745"/>
      <w:bookmarkStart w:id="9378" w:name="_Toc488249361"/>
      <w:bookmarkStart w:id="9379" w:name="_Toc488249977"/>
      <w:bookmarkStart w:id="9380" w:name="_Toc488330465"/>
      <w:bookmarkStart w:id="9381" w:name="_Toc488387319"/>
      <w:bookmarkStart w:id="9382" w:name="_Toc488402778"/>
      <w:bookmarkStart w:id="9383" w:name="_Toc488403601"/>
      <w:bookmarkStart w:id="9384" w:name="_Toc488404430"/>
      <w:bookmarkStart w:id="9385" w:name="_Toc488405261"/>
      <w:bookmarkStart w:id="9386" w:name="_Toc488406084"/>
      <w:bookmarkStart w:id="9387" w:name="_Toc488406913"/>
      <w:bookmarkStart w:id="9388" w:name="_Toc491410144"/>
      <w:bookmarkStart w:id="9389" w:name="_Toc496018682"/>
      <w:bookmarkStart w:id="9390" w:name="_Toc515787901"/>
      <w:bookmarkStart w:id="9391" w:name="_Toc515789601"/>
      <w:bookmarkStart w:id="9392" w:name="_Toc515790450"/>
      <w:bookmarkStart w:id="9393" w:name="_Toc515791299"/>
      <w:bookmarkStart w:id="9394" w:name="_Toc515792154"/>
      <w:bookmarkStart w:id="9395" w:name="_Toc515793004"/>
      <w:bookmarkStart w:id="9396" w:name="_Toc515793906"/>
      <w:bookmarkStart w:id="9397" w:name="_Toc515794811"/>
      <w:bookmarkStart w:id="9398" w:name="_Toc515796568"/>
      <w:bookmarkStart w:id="9399" w:name="_Toc488244982"/>
      <w:bookmarkStart w:id="9400" w:name="_Toc488248102"/>
      <w:bookmarkStart w:id="9401" w:name="_Toc488248746"/>
      <w:bookmarkStart w:id="9402" w:name="_Toc488249362"/>
      <w:bookmarkStart w:id="9403" w:name="_Toc488249978"/>
      <w:bookmarkStart w:id="9404" w:name="_Toc488330466"/>
      <w:bookmarkStart w:id="9405" w:name="_Toc488387320"/>
      <w:bookmarkStart w:id="9406" w:name="_Toc488402779"/>
      <w:bookmarkStart w:id="9407" w:name="_Toc488403602"/>
      <w:bookmarkStart w:id="9408" w:name="_Toc488404431"/>
      <w:bookmarkStart w:id="9409" w:name="_Toc488405262"/>
      <w:bookmarkStart w:id="9410" w:name="_Toc488406085"/>
      <w:bookmarkStart w:id="9411" w:name="_Toc488406914"/>
      <w:bookmarkStart w:id="9412" w:name="_Toc491410145"/>
      <w:bookmarkStart w:id="9413" w:name="_Toc496018683"/>
      <w:bookmarkStart w:id="9414" w:name="_Toc515787902"/>
      <w:bookmarkStart w:id="9415" w:name="_Toc515789602"/>
      <w:bookmarkStart w:id="9416" w:name="_Toc515790451"/>
      <w:bookmarkStart w:id="9417" w:name="_Toc515791300"/>
      <w:bookmarkStart w:id="9418" w:name="_Toc515792155"/>
      <w:bookmarkStart w:id="9419" w:name="_Toc515793005"/>
      <w:bookmarkStart w:id="9420" w:name="_Toc515793907"/>
      <w:bookmarkStart w:id="9421" w:name="_Toc515794812"/>
      <w:bookmarkStart w:id="9422" w:name="_Toc515796569"/>
      <w:bookmarkStart w:id="9423" w:name="_Toc488244983"/>
      <w:bookmarkStart w:id="9424" w:name="_Toc488248103"/>
      <w:bookmarkStart w:id="9425" w:name="_Toc488248747"/>
      <w:bookmarkStart w:id="9426" w:name="_Toc488249363"/>
      <w:bookmarkStart w:id="9427" w:name="_Toc488249979"/>
      <w:bookmarkStart w:id="9428" w:name="_Toc488330467"/>
      <w:bookmarkStart w:id="9429" w:name="_Toc488387321"/>
      <w:bookmarkStart w:id="9430" w:name="_Toc488402780"/>
      <w:bookmarkStart w:id="9431" w:name="_Toc488403603"/>
      <w:bookmarkStart w:id="9432" w:name="_Toc488404432"/>
      <w:bookmarkStart w:id="9433" w:name="_Toc488405263"/>
      <w:bookmarkStart w:id="9434" w:name="_Toc488406086"/>
      <w:bookmarkStart w:id="9435" w:name="_Toc488406915"/>
      <w:bookmarkStart w:id="9436" w:name="_Toc491410146"/>
      <w:bookmarkStart w:id="9437" w:name="_Toc496018684"/>
      <w:bookmarkStart w:id="9438" w:name="_Toc515787903"/>
      <w:bookmarkStart w:id="9439" w:name="_Toc515789603"/>
      <w:bookmarkStart w:id="9440" w:name="_Toc515790452"/>
      <w:bookmarkStart w:id="9441" w:name="_Toc515791301"/>
      <w:bookmarkStart w:id="9442" w:name="_Toc515792156"/>
      <w:bookmarkStart w:id="9443" w:name="_Toc515793006"/>
      <w:bookmarkStart w:id="9444" w:name="_Toc515793908"/>
      <w:bookmarkStart w:id="9445" w:name="_Toc515794813"/>
      <w:bookmarkStart w:id="9446" w:name="_Toc515796570"/>
      <w:bookmarkStart w:id="9447" w:name="_Toc488244984"/>
      <w:bookmarkStart w:id="9448" w:name="_Toc488248104"/>
      <w:bookmarkStart w:id="9449" w:name="_Toc488248748"/>
      <w:bookmarkStart w:id="9450" w:name="_Toc488249364"/>
      <w:bookmarkStart w:id="9451" w:name="_Toc488249980"/>
      <w:bookmarkStart w:id="9452" w:name="_Toc488330468"/>
      <w:bookmarkStart w:id="9453" w:name="_Toc488387322"/>
      <w:bookmarkStart w:id="9454" w:name="_Toc488402781"/>
      <w:bookmarkStart w:id="9455" w:name="_Toc488403604"/>
      <w:bookmarkStart w:id="9456" w:name="_Toc488404433"/>
      <w:bookmarkStart w:id="9457" w:name="_Toc488405264"/>
      <w:bookmarkStart w:id="9458" w:name="_Toc488406087"/>
      <w:bookmarkStart w:id="9459" w:name="_Toc488406916"/>
      <w:bookmarkStart w:id="9460" w:name="_Toc491410147"/>
      <w:bookmarkStart w:id="9461" w:name="_Toc496018685"/>
      <w:bookmarkStart w:id="9462" w:name="_Toc515787904"/>
      <w:bookmarkStart w:id="9463" w:name="_Toc515789604"/>
      <w:bookmarkStart w:id="9464" w:name="_Toc515790453"/>
      <w:bookmarkStart w:id="9465" w:name="_Toc515791302"/>
      <w:bookmarkStart w:id="9466" w:name="_Toc515792157"/>
      <w:bookmarkStart w:id="9467" w:name="_Toc515793007"/>
      <w:bookmarkStart w:id="9468" w:name="_Toc515793909"/>
      <w:bookmarkStart w:id="9469" w:name="_Toc515794814"/>
      <w:bookmarkStart w:id="9470" w:name="_Toc515796571"/>
      <w:bookmarkStart w:id="9471" w:name="_Toc488244985"/>
      <w:bookmarkStart w:id="9472" w:name="_Toc488248105"/>
      <w:bookmarkStart w:id="9473" w:name="_Toc488248749"/>
      <w:bookmarkStart w:id="9474" w:name="_Toc488249365"/>
      <w:bookmarkStart w:id="9475" w:name="_Toc488249981"/>
      <w:bookmarkStart w:id="9476" w:name="_Toc488330469"/>
      <w:bookmarkStart w:id="9477" w:name="_Toc488387323"/>
      <w:bookmarkStart w:id="9478" w:name="_Toc488402782"/>
      <w:bookmarkStart w:id="9479" w:name="_Toc488403605"/>
      <w:bookmarkStart w:id="9480" w:name="_Toc488404434"/>
      <w:bookmarkStart w:id="9481" w:name="_Toc488405265"/>
      <w:bookmarkStart w:id="9482" w:name="_Toc488406088"/>
      <w:bookmarkStart w:id="9483" w:name="_Toc488406917"/>
      <w:bookmarkStart w:id="9484" w:name="_Toc491410148"/>
      <w:bookmarkStart w:id="9485" w:name="_Toc496018686"/>
      <w:bookmarkStart w:id="9486" w:name="_Toc515787905"/>
      <w:bookmarkStart w:id="9487" w:name="_Toc515789605"/>
      <w:bookmarkStart w:id="9488" w:name="_Toc515790454"/>
      <w:bookmarkStart w:id="9489" w:name="_Toc515791303"/>
      <w:bookmarkStart w:id="9490" w:name="_Toc515792158"/>
      <w:bookmarkStart w:id="9491" w:name="_Toc515793008"/>
      <w:bookmarkStart w:id="9492" w:name="_Toc515793910"/>
      <w:bookmarkStart w:id="9493" w:name="_Toc515794815"/>
      <w:bookmarkStart w:id="9494" w:name="_Toc515796572"/>
      <w:bookmarkStart w:id="9495" w:name="_Toc488244986"/>
      <w:bookmarkStart w:id="9496" w:name="_Toc488248106"/>
      <w:bookmarkStart w:id="9497" w:name="_Toc488248750"/>
      <w:bookmarkStart w:id="9498" w:name="_Toc488249366"/>
      <w:bookmarkStart w:id="9499" w:name="_Toc488249982"/>
      <w:bookmarkStart w:id="9500" w:name="_Toc488330470"/>
      <w:bookmarkStart w:id="9501" w:name="_Toc488387324"/>
      <w:bookmarkStart w:id="9502" w:name="_Toc488402783"/>
      <w:bookmarkStart w:id="9503" w:name="_Toc488403606"/>
      <w:bookmarkStart w:id="9504" w:name="_Toc488404435"/>
      <w:bookmarkStart w:id="9505" w:name="_Toc488405266"/>
      <w:bookmarkStart w:id="9506" w:name="_Toc488406089"/>
      <w:bookmarkStart w:id="9507" w:name="_Toc488406918"/>
      <w:bookmarkStart w:id="9508" w:name="_Toc491410149"/>
      <w:bookmarkStart w:id="9509" w:name="_Toc496018687"/>
      <w:bookmarkStart w:id="9510" w:name="_Toc515787906"/>
      <w:bookmarkStart w:id="9511" w:name="_Toc515789606"/>
      <w:bookmarkStart w:id="9512" w:name="_Toc515790455"/>
      <w:bookmarkStart w:id="9513" w:name="_Toc515791304"/>
      <w:bookmarkStart w:id="9514" w:name="_Toc515792159"/>
      <w:bookmarkStart w:id="9515" w:name="_Toc515793009"/>
      <w:bookmarkStart w:id="9516" w:name="_Toc515793911"/>
      <w:bookmarkStart w:id="9517" w:name="_Toc515794816"/>
      <w:bookmarkStart w:id="9518" w:name="_Toc515796573"/>
      <w:bookmarkStart w:id="9519" w:name="_Toc488244987"/>
      <w:bookmarkStart w:id="9520" w:name="_Toc488248107"/>
      <w:bookmarkStart w:id="9521" w:name="_Toc488248751"/>
      <w:bookmarkStart w:id="9522" w:name="_Toc488249367"/>
      <w:bookmarkStart w:id="9523" w:name="_Toc488249983"/>
      <w:bookmarkStart w:id="9524" w:name="_Toc488330471"/>
      <w:bookmarkStart w:id="9525" w:name="_Toc488387325"/>
      <w:bookmarkStart w:id="9526" w:name="_Toc488402784"/>
      <w:bookmarkStart w:id="9527" w:name="_Toc488403607"/>
      <w:bookmarkStart w:id="9528" w:name="_Toc488404436"/>
      <w:bookmarkStart w:id="9529" w:name="_Toc488405267"/>
      <w:bookmarkStart w:id="9530" w:name="_Toc488406090"/>
      <w:bookmarkStart w:id="9531" w:name="_Toc488406919"/>
      <w:bookmarkStart w:id="9532" w:name="_Toc491410150"/>
      <w:bookmarkStart w:id="9533" w:name="_Toc496018688"/>
      <w:bookmarkStart w:id="9534" w:name="_Toc515787907"/>
      <w:bookmarkStart w:id="9535" w:name="_Toc515789607"/>
      <w:bookmarkStart w:id="9536" w:name="_Toc515790456"/>
      <w:bookmarkStart w:id="9537" w:name="_Toc515791305"/>
      <w:bookmarkStart w:id="9538" w:name="_Toc515792160"/>
      <w:bookmarkStart w:id="9539" w:name="_Toc515793010"/>
      <w:bookmarkStart w:id="9540" w:name="_Toc515793912"/>
      <w:bookmarkStart w:id="9541" w:name="_Toc515794817"/>
      <w:bookmarkStart w:id="9542" w:name="_Toc515796574"/>
      <w:bookmarkStart w:id="9543" w:name="_Toc488244988"/>
      <w:bookmarkStart w:id="9544" w:name="_Toc488248108"/>
      <w:bookmarkStart w:id="9545" w:name="_Toc488248752"/>
      <w:bookmarkStart w:id="9546" w:name="_Toc488249368"/>
      <w:bookmarkStart w:id="9547" w:name="_Toc488249984"/>
      <w:bookmarkStart w:id="9548" w:name="_Toc488330472"/>
      <w:bookmarkStart w:id="9549" w:name="_Toc488387326"/>
      <w:bookmarkStart w:id="9550" w:name="_Toc488402785"/>
      <w:bookmarkStart w:id="9551" w:name="_Toc488403608"/>
      <w:bookmarkStart w:id="9552" w:name="_Toc488404437"/>
      <w:bookmarkStart w:id="9553" w:name="_Toc488405268"/>
      <w:bookmarkStart w:id="9554" w:name="_Toc488406091"/>
      <w:bookmarkStart w:id="9555" w:name="_Toc488406920"/>
      <w:bookmarkStart w:id="9556" w:name="_Toc491410151"/>
      <w:bookmarkStart w:id="9557" w:name="_Toc496018689"/>
      <w:bookmarkStart w:id="9558" w:name="_Toc515787908"/>
      <w:bookmarkStart w:id="9559" w:name="_Toc515789608"/>
      <w:bookmarkStart w:id="9560" w:name="_Toc515790457"/>
      <w:bookmarkStart w:id="9561" w:name="_Toc515791306"/>
      <w:bookmarkStart w:id="9562" w:name="_Toc515792161"/>
      <w:bookmarkStart w:id="9563" w:name="_Toc515793011"/>
      <w:bookmarkStart w:id="9564" w:name="_Toc515793913"/>
      <w:bookmarkStart w:id="9565" w:name="_Toc515794818"/>
      <w:bookmarkStart w:id="9566" w:name="_Toc515796575"/>
      <w:bookmarkStart w:id="9567" w:name="_Toc488244989"/>
      <w:bookmarkStart w:id="9568" w:name="_Toc488248109"/>
      <w:bookmarkStart w:id="9569" w:name="_Toc488248753"/>
      <w:bookmarkStart w:id="9570" w:name="_Toc488249369"/>
      <w:bookmarkStart w:id="9571" w:name="_Toc488249985"/>
      <w:bookmarkStart w:id="9572" w:name="_Toc488330473"/>
      <w:bookmarkStart w:id="9573" w:name="_Toc488387327"/>
      <w:bookmarkStart w:id="9574" w:name="_Toc488402786"/>
      <w:bookmarkStart w:id="9575" w:name="_Toc488403609"/>
      <w:bookmarkStart w:id="9576" w:name="_Toc488404438"/>
      <w:bookmarkStart w:id="9577" w:name="_Toc488405269"/>
      <w:bookmarkStart w:id="9578" w:name="_Toc488406092"/>
      <w:bookmarkStart w:id="9579" w:name="_Toc488406921"/>
      <w:bookmarkStart w:id="9580" w:name="_Toc491410152"/>
      <w:bookmarkStart w:id="9581" w:name="_Toc496018690"/>
      <w:bookmarkStart w:id="9582" w:name="_Toc515787909"/>
      <w:bookmarkStart w:id="9583" w:name="_Toc515789609"/>
      <w:bookmarkStart w:id="9584" w:name="_Toc515790458"/>
      <w:bookmarkStart w:id="9585" w:name="_Toc515791307"/>
      <w:bookmarkStart w:id="9586" w:name="_Toc515792162"/>
      <w:bookmarkStart w:id="9587" w:name="_Toc515793012"/>
      <w:bookmarkStart w:id="9588" w:name="_Toc515793914"/>
      <w:bookmarkStart w:id="9589" w:name="_Toc515794819"/>
      <w:bookmarkStart w:id="9590" w:name="_Toc515796576"/>
      <w:bookmarkStart w:id="9591" w:name="_Toc488244990"/>
      <w:bookmarkStart w:id="9592" w:name="_Toc488248110"/>
      <w:bookmarkStart w:id="9593" w:name="_Toc488248754"/>
      <w:bookmarkStart w:id="9594" w:name="_Toc488249370"/>
      <w:bookmarkStart w:id="9595" w:name="_Toc488249986"/>
      <w:bookmarkStart w:id="9596" w:name="_Toc488330474"/>
      <w:bookmarkStart w:id="9597" w:name="_Toc488387328"/>
      <w:bookmarkStart w:id="9598" w:name="_Toc488402787"/>
      <w:bookmarkStart w:id="9599" w:name="_Toc488403610"/>
      <w:bookmarkStart w:id="9600" w:name="_Toc488404439"/>
      <w:bookmarkStart w:id="9601" w:name="_Toc488405270"/>
      <w:bookmarkStart w:id="9602" w:name="_Toc488406093"/>
      <w:bookmarkStart w:id="9603" w:name="_Toc488406922"/>
      <w:bookmarkStart w:id="9604" w:name="_Toc491410153"/>
      <w:bookmarkStart w:id="9605" w:name="_Toc496018691"/>
      <w:bookmarkStart w:id="9606" w:name="_Toc515787910"/>
      <w:bookmarkStart w:id="9607" w:name="_Toc515789610"/>
      <w:bookmarkStart w:id="9608" w:name="_Toc515790459"/>
      <w:bookmarkStart w:id="9609" w:name="_Toc515791308"/>
      <w:bookmarkStart w:id="9610" w:name="_Toc515792163"/>
      <w:bookmarkStart w:id="9611" w:name="_Toc515793013"/>
      <w:bookmarkStart w:id="9612" w:name="_Toc515793915"/>
      <w:bookmarkStart w:id="9613" w:name="_Toc515794820"/>
      <w:bookmarkStart w:id="9614" w:name="_Toc515796577"/>
      <w:bookmarkStart w:id="9615" w:name="_Toc488244991"/>
      <w:bookmarkStart w:id="9616" w:name="_Toc488248111"/>
      <w:bookmarkStart w:id="9617" w:name="_Toc488248755"/>
      <w:bookmarkStart w:id="9618" w:name="_Toc488249371"/>
      <w:bookmarkStart w:id="9619" w:name="_Toc488249987"/>
      <w:bookmarkStart w:id="9620" w:name="_Toc488330475"/>
      <w:bookmarkStart w:id="9621" w:name="_Toc488387329"/>
      <w:bookmarkStart w:id="9622" w:name="_Toc488402788"/>
      <w:bookmarkStart w:id="9623" w:name="_Toc488403611"/>
      <w:bookmarkStart w:id="9624" w:name="_Toc488404440"/>
      <w:bookmarkStart w:id="9625" w:name="_Toc488405271"/>
      <w:bookmarkStart w:id="9626" w:name="_Toc488406094"/>
      <w:bookmarkStart w:id="9627" w:name="_Toc488406923"/>
      <w:bookmarkStart w:id="9628" w:name="_Toc491410154"/>
      <w:bookmarkStart w:id="9629" w:name="_Toc496018692"/>
      <w:bookmarkStart w:id="9630" w:name="_Toc515787911"/>
      <w:bookmarkStart w:id="9631" w:name="_Toc515789611"/>
      <w:bookmarkStart w:id="9632" w:name="_Toc515790460"/>
      <w:bookmarkStart w:id="9633" w:name="_Toc515791309"/>
      <w:bookmarkStart w:id="9634" w:name="_Toc515792164"/>
      <w:bookmarkStart w:id="9635" w:name="_Toc515793014"/>
      <w:bookmarkStart w:id="9636" w:name="_Toc515793916"/>
      <w:bookmarkStart w:id="9637" w:name="_Toc515794821"/>
      <w:bookmarkStart w:id="9638" w:name="_Toc515796578"/>
      <w:bookmarkStart w:id="9639" w:name="_Toc488244992"/>
      <w:bookmarkStart w:id="9640" w:name="_Toc488248112"/>
      <w:bookmarkStart w:id="9641" w:name="_Toc488248756"/>
      <w:bookmarkStart w:id="9642" w:name="_Toc488249372"/>
      <w:bookmarkStart w:id="9643" w:name="_Toc488249988"/>
      <w:bookmarkStart w:id="9644" w:name="_Toc488330476"/>
      <w:bookmarkStart w:id="9645" w:name="_Toc488387330"/>
      <w:bookmarkStart w:id="9646" w:name="_Toc488402789"/>
      <w:bookmarkStart w:id="9647" w:name="_Toc488403612"/>
      <w:bookmarkStart w:id="9648" w:name="_Toc488404441"/>
      <w:bookmarkStart w:id="9649" w:name="_Toc488405272"/>
      <w:bookmarkStart w:id="9650" w:name="_Toc488406095"/>
      <w:bookmarkStart w:id="9651" w:name="_Toc488406924"/>
      <w:bookmarkStart w:id="9652" w:name="_Toc491410155"/>
      <w:bookmarkStart w:id="9653" w:name="_Toc496018693"/>
      <w:bookmarkStart w:id="9654" w:name="_Toc515787912"/>
      <w:bookmarkStart w:id="9655" w:name="_Toc515789612"/>
      <w:bookmarkStart w:id="9656" w:name="_Toc515790461"/>
      <w:bookmarkStart w:id="9657" w:name="_Toc515791310"/>
      <w:bookmarkStart w:id="9658" w:name="_Toc515792165"/>
      <w:bookmarkStart w:id="9659" w:name="_Toc515793015"/>
      <w:bookmarkStart w:id="9660" w:name="_Toc515793917"/>
      <w:bookmarkStart w:id="9661" w:name="_Toc515794822"/>
      <w:bookmarkStart w:id="9662" w:name="_Toc515796579"/>
      <w:bookmarkStart w:id="9663" w:name="_Toc488244993"/>
      <w:bookmarkStart w:id="9664" w:name="_Toc488248113"/>
      <w:bookmarkStart w:id="9665" w:name="_Toc488248757"/>
      <w:bookmarkStart w:id="9666" w:name="_Toc488249373"/>
      <w:bookmarkStart w:id="9667" w:name="_Toc488249989"/>
      <w:bookmarkStart w:id="9668" w:name="_Toc488330477"/>
      <w:bookmarkStart w:id="9669" w:name="_Toc488387331"/>
      <w:bookmarkStart w:id="9670" w:name="_Toc488402790"/>
      <w:bookmarkStart w:id="9671" w:name="_Toc488403613"/>
      <w:bookmarkStart w:id="9672" w:name="_Toc488404442"/>
      <w:bookmarkStart w:id="9673" w:name="_Toc488405273"/>
      <w:bookmarkStart w:id="9674" w:name="_Toc488406096"/>
      <w:bookmarkStart w:id="9675" w:name="_Toc488406925"/>
      <w:bookmarkStart w:id="9676" w:name="_Toc491410156"/>
      <w:bookmarkStart w:id="9677" w:name="_Toc496018694"/>
      <w:bookmarkStart w:id="9678" w:name="_Toc515787913"/>
      <w:bookmarkStart w:id="9679" w:name="_Toc515789613"/>
      <w:bookmarkStart w:id="9680" w:name="_Toc515790462"/>
      <w:bookmarkStart w:id="9681" w:name="_Toc515791311"/>
      <w:bookmarkStart w:id="9682" w:name="_Toc515792166"/>
      <w:bookmarkStart w:id="9683" w:name="_Toc515793016"/>
      <w:bookmarkStart w:id="9684" w:name="_Toc515793918"/>
      <w:bookmarkStart w:id="9685" w:name="_Toc515794823"/>
      <w:bookmarkStart w:id="9686" w:name="_Toc515796580"/>
      <w:bookmarkStart w:id="9687" w:name="_Toc488244994"/>
      <w:bookmarkStart w:id="9688" w:name="_Toc488248114"/>
      <w:bookmarkStart w:id="9689" w:name="_Toc488248758"/>
      <w:bookmarkStart w:id="9690" w:name="_Toc488249374"/>
      <w:bookmarkStart w:id="9691" w:name="_Toc488249990"/>
      <w:bookmarkStart w:id="9692" w:name="_Toc488330478"/>
      <w:bookmarkStart w:id="9693" w:name="_Toc488387332"/>
      <w:bookmarkStart w:id="9694" w:name="_Toc488402791"/>
      <w:bookmarkStart w:id="9695" w:name="_Toc488403614"/>
      <w:bookmarkStart w:id="9696" w:name="_Toc488404443"/>
      <w:bookmarkStart w:id="9697" w:name="_Toc488405274"/>
      <w:bookmarkStart w:id="9698" w:name="_Toc488406097"/>
      <w:bookmarkStart w:id="9699" w:name="_Toc488406926"/>
      <w:bookmarkStart w:id="9700" w:name="_Toc491410157"/>
      <w:bookmarkStart w:id="9701" w:name="_Toc496018695"/>
      <w:bookmarkStart w:id="9702" w:name="_Toc515787914"/>
      <w:bookmarkStart w:id="9703" w:name="_Toc515789614"/>
      <w:bookmarkStart w:id="9704" w:name="_Toc515790463"/>
      <w:bookmarkStart w:id="9705" w:name="_Toc515791312"/>
      <w:bookmarkStart w:id="9706" w:name="_Toc515792167"/>
      <w:bookmarkStart w:id="9707" w:name="_Toc515793017"/>
      <w:bookmarkStart w:id="9708" w:name="_Toc515793919"/>
      <w:bookmarkStart w:id="9709" w:name="_Toc515794824"/>
      <w:bookmarkStart w:id="9710" w:name="_Toc515796581"/>
      <w:bookmarkStart w:id="9711" w:name="_Toc488244995"/>
      <w:bookmarkStart w:id="9712" w:name="_Toc488248115"/>
      <w:bookmarkStart w:id="9713" w:name="_Toc488248759"/>
      <w:bookmarkStart w:id="9714" w:name="_Toc488249375"/>
      <w:bookmarkStart w:id="9715" w:name="_Toc488249991"/>
      <w:bookmarkStart w:id="9716" w:name="_Toc488330479"/>
      <w:bookmarkStart w:id="9717" w:name="_Toc488387333"/>
      <w:bookmarkStart w:id="9718" w:name="_Toc488402792"/>
      <w:bookmarkStart w:id="9719" w:name="_Toc488403615"/>
      <w:bookmarkStart w:id="9720" w:name="_Toc488404444"/>
      <w:bookmarkStart w:id="9721" w:name="_Toc488405275"/>
      <w:bookmarkStart w:id="9722" w:name="_Toc488406098"/>
      <w:bookmarkStart w:id="9723" w:name="_Toc488406927"/>
      <w:bookmarkStart w:id="9724" w:name="_Toc491410158"/>
      <w:bookmarkStart w:id="9725" w:name="_Toc496018696"/>
      <w:bookmarkStart w:id="9726" w:name="_Toc515787915"/>
      <w:bookmarkStart w:id="9727" w:name="_Toc515789615"/>
      <w:bookmarkStart w:id="9728" w:name="_Toc515790464"/>
      <w:bookmarkStart w:id="9729" w:name="_Toc515791313"/>
      <w:bookmarkStart w:id="9730" w:name="_Toc515792168"/>
      <w:bookmarkStart w:id="9731" w:name="_Toc515793018"/>
      <w:bookmarkStart w:id="9732" w:name="_Toc515793920"/>
      <w:bookmarkStart w:id="9733" w:name="_Toc515794825"/>
      <w:bookmarkStart w:id="9734" w:name="_Toc515796582"/>
      <w:bookmarkStart w:id="9735" w:name="_Toc488244996"/>
      <w:bookmarkStart w:id="9736" w:name="_Toc488248116"/>
      <w:bookmarkStart w:id="9737" w:name="_Toc488248760"/>
      <w:bookmarkStart w:id="9738" w:name="_Toc488249376"/>
      <w:bookmarkStart w:id="9739" w:name="_Toc488249992"/>
      <w:bookmarkStart w:id="9740" w:name="_Toc488330480"/>
      <w:bookmarkStart w:id="9741" w:name="_Toc488387334"/>
      <w:bookmarkStart w:id="9742" w:name="_Toc488402793"/>
      <w:bookmarkStart w:id="9743" w:name="_Toc488403616"/>
      <w:bookmarkStart w:id="9744" w:name="_Toc488404445"/>
      <w:bookmarkStart w:id="9745" w:name="_Toc488405276"/>
      <w:bookmarkStart w:id="9746" w:name="_Toc488406099"/>
      <w:bookmarkStart w:id="9747" w:name="_Toc488406928"/>
      <w:bookmarkStart w:id="9748" w:name="_Toc491410159"/>
      <w:bookmarkStart w:id="9749" w:name="_Toc496018697"/>
      <w:bookmarkStart w:id="9750" w:name="_Toc515787916"/>
      <w:bookmarkStart w:id="9751" w:name="_Toc515789616"/>
      <w:bookmarkStart w:id="9752" w:name="_Toc515790465"/>
      <w:bookmarkStart w:id="9753" w:name="_Toc515791314"/>
      <w:bookmarkStart w:id="9754" w:name="_Toc515792169"/>
      <w:bookmarkStart w:id="9755" w:name="_Toc515793019"/>
      <w:bookmarkStart w:id="9756" w:name="_Toc515793921"/>
      <w:bookmarkStart w:id="9757" w:name="_Toc515794826"/>
      <w:bookmarkStart w:id="9758" w:name="_Toc515796583"/>
      <w:bookmarkStart w:id="9759" w:name="_Toc488244997"/>
      <w:bookmarkStart w:id="9760" w:name="_Toc488248117"/>
      <w:bookmarkStart w:id="9761" w:name="_Toc488248761"/>
      <w:bookmarkStart w:id="9762" w:name="_Toc488249377"/>
      <w:bookmarkStart w:id="9763" w:name="_Toc488249993"/>
      <w:bookmarkStart w:id="9764" w:name="_Toc488330481"/>
      <w:bookmarkStart w:id="9765" w:name="_Toc488387335"/>
      <w:bookmarkStart w:id="9766" w:name="_Toc488402794"/>
      <w:bookmarkStart w:id="9767" w:name="_Toc488403617"/>
      <w:bookmarkStart w:id="9768" w:name="_Toc488404446"/>
      <w:bookmarkStart w:id="9769" w:name="_Toc488405277"/>
      <w:bookmarkStart w:id="9770" w:name="_Toc488406100"/>
      <w:bookmarkStart w:id="9771" w:name="_Toc488406929"/>
      <w:bookmarkStart w:id="9772" w:name="_Toc491410160"/>
      <w:bookmarkStart w:id="9773" w:name="_Toc496018698"/>
      <w:bookmarkStart w:id="9774" w:name="_Toc515787917"/>
      <w:bookmarkStart w:id="9775" w:name="_Toc515789617"/>
      <w:bookmarkStart w:id="9776" w:name="_Toc515790466"/>
      <w:bookmarkStart w:id="9777" w:name="_Toc515791315"/>
      <w:bookmarkStart w:id="9778" w:name="_Toc515792170"/>
      <w:bookmarkStart w:id="9779" w:name="_Toc515793020"/>
      <w:bookmarkStart w:id="9780" w:name="_Toc515793922"/>
      <w:bookmarkStart w:id="9781" w:name="_Toc515794827"/>
      <w:bookmarkStart w:id="9782" w:name="_Toc515796584"/>
      <w:bookmarkStart w:id="9783" w:name="_Toc488244998"/>
      <w:bookmarkStart w:id="9784" w:name="_Toc488248118"/>
      <w:bookmarkStart w:id="9785" w:name="_Toc488248762"/>
      <w:bookmarkStart w:id="9786" w:name="_Toc488249378"/>
      <w:bookmarkStart w:id="9787" w:name="_Toc488249994"/>
      <w:bookmarkStart w:id="9788" w:name="_Toc488330482"/>
      <w:bookmarkStart w:id="9789" w:name="_Toc488387336"/>
      <w:bookmarkStart w:id="9790" w:name="_Toc488402795"/>
      <w:bookmarkStart w:id="9791" w:name="_Toc488403618"/>
      <w:bookmarkStart w:id="9792" w:name="_Toc488404447"/>
      <w:bookmarkStart w:id="9793" w:name="_Toc488405278"/>
      <w:bookmarkStart w:id="9794" w:name="_Toc488406101"/>
      <w:bookmarkStart w:id="9795" w:name="_Toc488406930"/>
      <w:bookmarkStart w:id="9796" w:name="_Toc491410161"/>
      <w:bookmarkStart w:id="9797" w:name="_Toc496018699"/>
      <w:bookmarkStart w:id="9798" w:name="_Toc515787918"/>
      <w:bookmarkStart w:id="9799" w:name="_Toc515789618"/>
      <w:bookmarkStart w:id="9800" w:name="_Toc515790467"/>
      <w:bookmarkStart w:id="9801" w:name="_Toc515791316"/>
      <w:bookmarkStart w:id="9802" w:name="_Toc515792171"/>
      <w:bookmarkStart w:id="9803" w:name="_Toc515793021"/>
      <w:bookmarkStart w:id="9804" w:name="_Toc515793923"/>
      <w:bookmarkStart w:id="9805" w:name="_Toc515794828"/>
      <w:bookmarkStart w:id="9806" w:name="_Toc515796585"/>
      <w:bookmarkStart w:id="9807" w:name="_Toc488244999"/>
      <w:bookmarkStart w:id="9808" w:name="_Toc488248119"/>
      <w:bookmarkStart w:id="9809" w:name="_Toc488248763"/>
      <w:bookmarkStart w:id="9810" w:name="_Toc488249379"/>
      <w:bookmarkStart w:id="9811" w:name="_Toc488249995"/>
      <w:bookmarkStart w:id="9812" w:name="_Toc488330483"/>
      <w:bookmarkStart w:id="9813" w:name="_Toc488387337"/>
      <w:bookmarkStart w:id="9814" w:name="_Toc488402796"/>
      <w:bookmarkStart w:id="9815" w:name="_Toc488403619"/>
      <w:bookmarkStart w:id="9816" w:name="_Toc488404448"/>
      <w:bookmarkStart w:id="9817" w:name="_Toc488405279"/>
      <w:bookmarkStart w:id="9818" w:name="_Toc488406102"/>
      <w:bookmarkStart w:id="9819" w:name="_Toc488406931"/>
      <w:bookmarkStart w:id="9820" w:name="_Toc491410162"/>
      <w:bookmarkStart w:id="9821" w:name="_Toc496018700"/>
      <w:bookmarkStart w:id="9822" w:name="_Toc515787919"/>
      <w:bookmarkStart w:id="9823" w:name="_Toc515789619"/>
      <w:bookmarkStart w:id="9824" w:name="_Toc515790468"/>
      <w:bookmarkStart w:id="9825" w:name="_Toc515791317"/>
      <w:bookmarkStart w:id="9826" w:name="_Toc515792172"/>
      <w:bookmarkStart w:id="9827" w:name="_Toc515793022"/>
      <w:bookmarkStart w:id="9828" w:name="_Toc515793924"/>
      <w:bookmarkStart w:id="9829" w:name="_Toc515794829"/>
      <w:bookmarkStart w:id="9830" w:name="_Toc515796586"/>
      <w:bookmarkStart w:id="9831" w:name="_Toc488245000"/>
      <w:bookmarkStart w:id="9832" w:name="_Toc488248120"/>
      <w:bookmarkStart w:id="9833" w:name="_Toc488248764"/>
      <w:bookmarkStart w:id="9834" w:name="_Toc488249380"/>
      <w:bookmarkStart w:id="9835" w:name="_Toc488249996"/>
      <w:bookmarkStart w:id="9836" w:name="_Toc488330484"/>
      <w:bookmarkStart w:id="9837" w:name="_Toc488387338"/>
      <w:bookmarkStart w:id="9838" w:name="_Toc488402797"/>
      <w:bookmarkStart w:id="9839" w:name="_Toc488403620"/>
      <w:bookmarkStart w:id="9840" w:name="_Toc488404449"/>
      <w:bookmarkStart w:id="9841" w:name="_Toc488405280"/>
      <w:bookmarkStart w:id="9842" w:name="_Toc488406103"/>
      <w:bookmarkStart w:id="9843" w:name="_Toc488406932"/>
      <w:bookmarkStart w:id="9844" w:name="_Toc491410163"/>
      <w:bookmarkStart w:id="9845" w:name="_Toc496018701"/>
      <w:bookmarkStart w:id="9846" w:name="_Toc515787920"/>
      <w:bookmarkStart w:id="9847" w:name="_Toc515789620"/>
      <w:bookmarkStart w:id="9848" w:name="_Toc515790469"/>
      <w:bookmarkStart w:id="9849" w:name="_Toc515791318"/>
      <w:bookmarkStart w:id="9850" w:name="_Toc515792173"/>
      <w:bookmarkStart w:id="9851" w:name="_Toc515793023"/>
      <w:bookmarkStart w:id="9852" w:name="_Toc515793925"/>
      <w:bookmarkStart w:id="9853" w:name="_Toc515794830"/>
      <w:bookmarkStart w:id="9854" w:name="_Toc515796587"/>
      <w:bookmarkStart w:id="9855" w:name="_Toc488245001"/>
      <w:bookmarkStart w:id="9856" w:name="_Toc488248121"/>
      <w:bookmarkStart w:id="9857" w:name="_Toc488248765"/>
      <w:bookmarkStart w:id="9858" w:name="_Toc488249381"/>
      <w:bookmarkStart w:id="9859" w:name="_Toc488249997"/>
      <w:bookmarkStart w:id="9860" w:name="_Toc488330485"/>
      <w:bookmarkStart w:id="9861" w:name="_Toc488387339"/>
      <w:bookmarkStart w:id="9862" w:name="_Toc488402798"/>
      <w:bookmarkStart w:id="9863" w:name="_Toc488403621"/>
      <w:bookmarkStart w:id="9864" w:name="_Toc488404450"/>
      <w:bookmarkStart w:id="9865" w:name="_Toc488405281"/>
      <w:bookmarkStart w:id="9866" w:name="_Toc488406104"/>
      <w:bookmarkStart w:id="9867" w:name="_Toc488406933"/>
      <w:bookmarkStart w:id="9868" w:name="_Toc491410164"/>
      <w:bookmarkStart w:id="9869" w:name="_Toc496018702"/>
      <w:bookmarkStart w:id="9870" w:name="_Toc515787921"/>
      <w:bookmarkStart w:id="9871" w:name="_Toc515789621"/>
      <w:bookmarkStart w:id="9872" w:name="_Toc515790470"/>
      <w:bookmarkStart w:id="9873" w:name="_Toc515791319"/>
      <w:bookmarkStart w:id="9874" w:name="_Toc515792174"/>
      <w:bookmarkStart w:id="9875" w:name="_Toc515793024"/>
      <w:bookmarkStart w:id="9876" w:name="_Toc515793926"/>
      <w:bookmarkStart w:id="9877" w:name="_Toc515794831"/>
      <w:bookmarkStart w:id="9878" w:name="_Toc515796588"/>
      <w:bookmarkStart w:id="9879" w:name="_Toc488245002"/>
      <w:bookmarkStart w:id="9880" w:name="_Toc488248122"/>
      <w:bookmarkStart w:id="9881" w:name="_Toc488248766"/>
      <w:bookmarkStart w:id="9882" w:name="_Toc488249382"/>
      <w:bookmarkStart w:id="9883" w:name="_Toc488249998"/>
      <w:bookmarkStart w:id="9884" w:name="_Toc488330486"/>
      <w:bookmarkStart w:id="9885" w:name="_Toc488387340"/>
      <w:bookmarkStart w:id="9886" w:name="_Toc488402799"/>
      <w:bookmarkStart w:id="9887" w:name="_Toc488403622"/>
      <w:bookmarkStart w:id="9888" w:name="_Toc488404451"/>
      <w:bookmarkStart w:id="9889" w:name="_Toc488405282"/>
      <w:bookmarkStart w:id="9890" w:name="_Toc488406105"/>
      <w:bookmarkStart w:id="9891" w:name="_Toc488406934"/>
      <w:bookmarkStart w:id="9892" w:name="_Toc491410165"/>
      <w:bookmarkStart w:id="9893" w:name="_Toc496018703"/>
      <w:bookmarkStart w:id="9894" w:name="_Toc515787922"/>
      <w:bookmarkStart w:id="9895" w:name="_Toc515789622"/>
      <w:bookmarkStart w:id="9896" w:name="_Toc515790471"/>
      <w:bookmarkStart w:id="9897" w:name="_Toc515791320"/>
      <w:bookmarkStart w:id="9898" w:name="_Toc515792175"/>
      <w:bookmarkStart w:id="9899" w:name="_Toc515793025"/>
      <w:bookmarkStart w:id="9900" w:name="_Toc515793927"/>
      <w:bookmarkStart w:id="9901" w:name="_Toc515794832"/>
      <w:bookmarkStart w:id="9902" w:name="_Toc515796589"/>
      <w:bookmarkStart w:id="9903" w:name="_Toc488245003"/>
      <w:bookmarkStart w:id="9904" w:name="_Toc488248123"/>
      <w:bookmarkStart w:id="9905" w:name="_Toc488248767"/>
      <w:bookmarkStart w:id="9906" w:name="_Toc488249383"/>
      <w:bookmarkStart w:id="9907" w:name="_Toc488249999"/>
      <w:bookmarkStart w:id="9908" w:name="_Toc488330487"/>
      <w:bookmarkStart w:id="9909" w:name="_Toc488387341"/>
      <w:bookmarkStart w:id="9910" w:name="_Toc488402800"/>
      <w:bookmarkStart w:id="9911" w:name="_Toc488403623"/>
      <w:bookmarkStart w:id="9912" w:name="_Toc488404452"/>
      <w:bookmarkStart w:id="9913" w:name="_Toc488405283"/>
      <w:bookmarkStart w:id="9914" w:name="_Toc488406106"/>
      <w:bookmarkStart w:id="9915" w:name="_Toc488406935"/>
      <w:bookmarkStart w:id="9916" w:name="_Toc491410166"/>
      <w:bookmarkStart w:id="9917" w:name="_Toc496018704"/>
      <w:bookmarkStart w:id="9918" w:name="_Toc515787923"/>
      <w:bookmarkStart w:id="9919" w:name="_Toc515789623"/>
      <w:bookmarkStart w:id="9920" w:name="_Toc515790472"/>
      <w:bookmarkStart w:id="9921" w:name="_Toc515791321"/>
      <w:bookmarkStart w:id="9922" w:name="_Toc515792176"/>
      <w:bookmarkStart w:id="9923" w:name="_Toc515793026"/>
      <w:bookmarkStart w:id="9924" w:name="_Toc515793928"/>
      <w:bookmarkStart w:id="9925" w:name="_Toc515794833"/>
      <w:bookmarkStart w:id="9926" w:name="_Toc515796590"/>
      <w:bookmarkStart w:id="9927" w:name="_Toc488245004"/>
      <w:bookmarkStart w:id="9928" w:name="_Toc488248124"/>
      <w:bookmarkStart w:id="9929" w:name="_Toc488248768"/>
      <w:bookmarkStart w:id="9930" w:name="_Toc488249384"/>
      <w:bookmarkStart w:id="9931" w:name="_Toc488250000"/>
      <w:bookmarkStart w:id="9932" w:name="_Toc488330488"/>
      <w:bookmarkStart w:id="9933" w:name="_Toc488387342"/>
      <w:bookmarkStart w:id="9934" w:name="_Toc488402801"/>
      <w:bookmarkStart w:id="9935" w:name="_Toc488403624"/>
      <w:bookmarkStart w:id="9936" w:name="_Toc488404453"/>
      <w:bookmarkStart w:id="9937" w:name="_Toc488405284"/>
      <w:bookmarkStart w:id="9938" w:name="_Toc488406107"/>
      <w:bookmarkStart w:id="9939" w:name="_Toc488406936"/>
      <w:bookmarkStart w:id="9940" w:name="_Toc491410167"/>
      <w:bookmarkStart w:id="9941" w:name="_Toc496018705"/>
      <w:bookmarkStart w:id="9942" w:name="_Toc515787924"/>
      <w:bookmarkStart w:id="9943" w:name="_Toc515789624"/>
      <w:bookmarkStart w:id="9944" w:name="_Toc515790473"/>
      <w:bookmarkStart w:id="9945" w:name="_Toc515791322"/>
      <w:bookmarkStart w:id="9946" w:name="_Toc515792177"/>
      <w:bookmarkStart w:id="9947" w:name="_Toc515793027"/>
      <w:bookmarkStart w:id="9948" w:name="_Toc515793929"/>
      <w:bookmarkStart w:id="9949" w:name="_Toc515794834"/>
      <w:bookmarkStart w:id="9950" w:name="_Toc515796591"/>
      <w:bookmarkStart w:id="9951" w:name="_Toc488245005"/>
      <w:bookmarkStart w:id="9952" w:name="_Toc488248125"/>
      <w:bookmarkStart w:id="9953" w:name="_Toc488248769"/>
      <w:bookmarkStart w:id="9954" w:name="_Toc488249385"/>
      <w:bookmarkStart w:id="9955" w:name="_Toc488250001"/>
      <w:bookmarkStart w:id="9956" w:name="_Toc488330489"/>
      <w:bookmarkStart w:id="9957" w:name="_Toc488387343"/>
      <w:bookmarkStart w:id="9958" w:name="_Toc488402802"/>
      <w:bookmarkStart w:id="9959" w:name="_Toc488403625"/>
      <w:bookmarkStart w:id="9960" w:name="_Toc488404454"/>
      <w:bookmarkStart w:id="9961" w:name="_Toc488405285"/>
      <w:bookmarkStart w:id="9962" w:name="_Toc488406108"/>
      <w:bookmarkStart w:id="9963" w:name="_Toc488406937"/>
      <w:bookmarkStart w:id="9964" w:name="_Toc491410168"/>
      <w:bookmarkStart w:id="9965" w:name="_Toc496018706"/>
      <w:bookmarkStart w:id="9966" w:name="_Toc515787925"/>
      <w:bookmarkStart w:id="9967" w:name="_Toc515789625"/>
      <w:bookmarkStart w:id="9968" w:name="_Toc515790474"/>
      <w:bookmarkStart w:id="9969" w:name="_Toc515791323"/>
      <w:bookmarkStart w:id="9970" w:name="_Toc515792178"/>
      <w:bookmarkStart w:id="9971" w:name="_Toc515793028"/>
      <w:bookmarkStart w:id="9972" w:name="_Toc515793930"/>
      <w:bookmarkStart w:id="9973" w:name="_Toc515794835"/>
      <w:bookmarkStart w:id="9974" w:name="_Toc515796592"/>
      <w:bookmarkStart w:id="9975" w:name="_Toc488245006"/>
      <w:bookmarkStart w:id="9976" w:name="_Toc488248126"/>
      <w:bookmarkStart w:id="9977" w:name="_Toc488248770"/>
      <w:bookmarkStart w:id="9978" w:name="_Toc488249386"/>
      <w:bookmarkStart w:id="9979" w:name="_Toc488250002"/>
      <w:bookmarkStart w:id="9980" w:name="_Toc488330490"/>
      <w:bookmarkStart w:id="9981" w:name="_Toc488387344"/>
      <w:bookmarkStart w:id="9982" w:name="_Toc488402803"/>
      <w:bookmarkStart w:id="9983" w:name="_Toc488403626"/>
      <w:bookmarkStart w:id="9984" w:name="_Toc488404455"/>
      <w:bookmarkStart w:id="9985" w:name="_Toc488405286"/>
      <w:bookmarkStart w:id="9986" w:name="_Toc488406109"/>
      <w:bookmarkStart w:id="9987" w:name="_Toc488406938"/>
      <w:bookmarkStart w:id="9988" w:name="_Toc491410169"/>
      <w:bookmarkStart w:id="9989" w:name="_Toc496018707"/>
      <w:bookmarkStart w:id="9990" w:name="_Toc515787926"/>
      <w:bookmarkStart w:id="9991" w:name="_Toc515789626"/>
      <w:bookmarkStart w:id="9992" w:name="_Toc515790475"/>
      <w:bookmarkStart w:id="9993" w:name="_Toc515791324"/>
      <w:bookmarkStart w:id="9994" w:name="_Toc515792179"/>
      <w:bookmarkStart w:id="9995" w:name="_Toc515793029"/>
      <w:bookmarkStart w:id="9996" w:name="_Toc515793931"/>
      <w:bookmarkStart w:id="9997" w:name="_Toc515794836"/>
      <w:bookmarkStart w:id="9998" w:name="_Toc515796593"/>
      <w:bookmarkStart w:id="9999" w:name="_Toc488245007"/>
      <w:bookmarkStart w:id="10000" w:name="_Toc488248127"/>
      <w:bookmarkStart w:id="10001" w:name="_Toc488248771"/>
      <w:bookmarkStart w:id="10002" w:name="_Toc488249387"/>
      <w:bookmarkStart w:id="10003" w:name="_Toc488250003"/>
      <w:bookmarkStart w:id="10004" w:name="_Toc488330491"/>
      <w:bookmarkStart w:id="10005" w:name="_Toc488387345"/>
      <w:bookmarkStart w:id="10006" w:name="_Toc488402804"/>
      <w:bookmarkStart w:id="10007" w:name="_Toc488403627"/>
      <w:bookmarkStart w:id="10008" w:name="_Toc488404456"/>
      <w:bookmarkStart w:id="10009" w:name="_Toc488405287"/>
      <w:bookmarkStart w:id="10010" w:name="_Toc488406110"/>
      <w:bookmarkStart w:id="10011" w:name="_Toc488406939"/>
      <w:bookmarkStart w:id="10012" w:name="_Toc491410170"/>
      <w:bookmarkStart w:id="10013" w:name="_Toc496018708"/>
      <w:bookmarkStart w:id="10014" w:name="_Toc515787927"/>
      <w:bookmarkStart w:id="10015" w:name="_Toc515789627"/>
      <w:bookmarkStart w:id="10016" w:name="_Toc515790476"/>
      <w:bookmarkStart w:id="10017" w:name="_Toc515791325"/>
      <w:bookmarkStart w:id="10018" w:name="_Toc515792180"/>
      <w:bookmarkStart w:id="10019" w:name="_Toc515793030"/>
      <w:bookmarkStart w:id="10020" w:name="_Toc515793932"/>
      <w:bookmarkStart w:id="10021" w:name="_Toc515794837"/>
      <w:bookmarkStart w:id="10022" w:name="_Toc515796594"/>
      <w:bookmarkStart w:id="10023" w:name="_Toc488245008"/>
      <w:bookmarkStart w:id="10024" w:name="_Toc488248128"/>
      <w:bookmarkStart w:id="10025" w:name="_Toc488248772"/>
      <w:bookmarkStart w:id="10026" w:name="_Toc488249388"/>
      <w:bookmarkStart w:id="10027" w:name="_Toc488250004"/>
      <w:bookmarkStart w:id="10028" w:name="_Toc488330492"/>
      <w:bookmarkStart w:id="10029" w:name="_Toc488387346"/>
      <w:bookmarkStart w:id="10030" w:name="_Toc488402805"/>
      <w:bookmarkStart w:id="10031" w:name="_Toc488403628"/>
      <w:bookmarkStart w:id="10032" w:name="_Toc488404457"/>
      <w:bookmarkStart w:id="10033" w:name="_Toc488405288"/>
      <w:bookmarkStart w:id="10034" w:name="_Toc488406111"/>
      <w:bookmarkStart w:id="10035" w:name="_Toc488406940"/>
      <w:bookmarkStart w:id="10036" w:name="_Toc491410171"/>
      <w:bookmarkStart w:id="10037" w:name="_Toc496018709"/>
      <w:bookmarkStart w:id="10038" w:name="_Toc515787928"/>
      <w:bookmarkStart w:id="10039" w:name="_Toc515789628"/>
      <w:bookmarkStart w:id="10040" w:name="_Toc515790477"/>
      <w:bookmarkStart w:id="10041" w:name="_Toc515791326"/>
      <w:bookmarkStart w:id="10042" w:name="_Toc515792181"/>
      <w:bookmarkStart w:id="10043" w:name="_Toc515793031"/>
      <w:bookmarkStart w:id="10044" w:name="_Toc515793933"/>
      <w:bookmarkStart w:id="10045" w:name="_Toc515794838"/>
      <w:bookmarkStart w:id="10046" w:name="_Toc515796595"/>
      <w:bookmarkStart w:id="10047" w:name="_Toc488245009"/>
      <w:bookmarkStart w:id="10048" w:name="_Toc488248129"/>
      <w:bookmarkStart w:id="10049" w:name="_Toc488248773"/>
      <w:bookmarkStart w:id="10050" w:name="_Toc488249389"/>
      <w:bookmarkStart w:id="10051" w:name="_Toc488250005"/>
      <w:bookmarkStart w:id="10052" w:name="_Toc488330493"/>
      <w:bookmarkStart w:id="10053" w:name="_Toc488387347"/>
      <w:bookmarkStart w:id="10054" w:name="_Toc488402806"/>
      <w:bookmarkStart w:id="10055" w:name="_Toc488403629"/>
      <w:bookmarkStart w:id="10056" w:name="_Toc488404458"/>
      <w:bookmarkStart w:id="10057" w:name="_Toc488405289"/>
      <w:bookmarkStart w:id="10058" w:name="_Toc488406112"/>
      <w:bookmarkStart w:id="10059" w:name="_Toc488406941"/>
      <w:bookmarkStart w:id="10060" w:name="_Toc491410172"/>
      <w:bookmarkStart w:id="10061" w:name="_Toc496018710"/>
      <w:bookmarkStart w:id="10062" w:name="_Toc515787929"/>
      <w:bookmarkStart w:id="10063" w:name="_Toc515789629"/>
      <w:bookmarkStart w:id="10064" w:name="_Toc515790478"/>
      <w:bookmarkStart w:id="10065" w:name="_Toc515791327"/>
      <w:bookmarkStart w:id="10066" w:name="_Toc515792182"/>
      <w:bookmarkStart w:id="10067" w:name="_Toc515793032"/>
      <w:bookmarkStart w:id="10068" w:name="_Toc515793934"/>
      <w:bookmarkStart w:id="10069" w:name="_Toc515794839"/>
      <w:bookmarkStart w:id="10070" w:name="_Toc515796596"/>
      <w:bookmarkStart w:id="10071" w:name="_Toc488245010"/>
      <w:bookmarkStart w:id="10072" w:name="_Toc488248130"/>
      <w:bookmarkStart w:id="10073" w:name="_Toc488248774"/>
      <w:bookmarkStart w:id="10074" w:name="_Toc488249390"/>
      <w:bookmarkStart w:id="10075" w:name="_Toc488250006"/>
      <w:bookmarkStart w:id="10076" w:name="_Toc488330494"/>
      <w:bookmarkStart w:id="10077" w:name="_Toc488387348"/>
      <w:bookmarkStart w:id="10078" w:name="_Toc488402807"/>
      <w:bookmarkStart w:id="10079" w:name="_Toc488403630"/>
      <w:bookmarkStart w:id="10080" w:name="_Toc488404459"/>
      <w:bookmarkStart w:id="10081" w:name="_Toc488405290"/>
      <w:bookmarkStart w:id="10082" w:name="_Toc488406113"/>
      <w:bookmarkStart w:id="10083" w:name="_Toc488406942"/>
      <w:bookmarkStart w:id="10084" w:name="_Toc491410173"/>
      <w:bookmarkStart w:id="10085" w:name="_Toc496018711"/>
      <w:bookmarkStart w:id="10086" w:name="_Toc515787930"/>
      <w:bookmarkStart w:id="10087" w:name="_Toc515789630"/>
      <w:bookmarkStart w:id="10088" w:name="_Toc515790479"/>
      <w:bookmarkStart w:id="10089" w:name="_Toc515791328"/>
      <w:bookmarkStart w:id="10090" w:name="_Toc515792183"/>
      <w:bookmarkStart w:id="10091" w:name="_Toc515793033"/>
      <w:bookmarkStart w:id="10092" w:name="_Toc515793935"/>
      <w:bookmarkStart w:id="10093" w:name="_Toc515794840"/>
      <w:bookmarkStart w:id="10094" w:name="_Toc515796597"/>
      <w:bookmarkStart w:id="10095" w:name="_Toc488245011"/>
      <w:bookmarkStart w:id="10096" w:name="_Toc488248131"/>
      <w:bookmarkStart w:id="10097" w:name="_Toc488248775"/>
      <w:bookmarkStart w:id="10098" w:name="_Toc488249391"/>
      <w:bookmarkStart w:id="10099" w:name="_Toc488250007"/>
      <w:bookmarkStart w:id="10100" w:name="_Toc488330495"/>
      <w:bookmarkStart w:id="10101" w:name="_Toc488387349"/>
      <w:bookmarkStart w:id="10102" w:name="_Toc488402808"/>
      <w:bookmarkStart w:id="10103" w:name="_Toc488403631"/>
      <w:bookmarkStart w:id="10104" w:name="_Toc488404460"/>
      <w:bookmarkStart w:id="10105" w:name="_Toc488405291"/>
      <w:bookmarkStart w:id="10106" w:name="_Toc488406114"/>
      <w:bookmarkStart w:id="10107" w:name="_Toc488406943"/>
      <w:bookmarkStart w:id="10108" w:name="_Toc491410174"/>
      <w:bookmarkStart w:id="10109" w:name="_Toc496018712"/>
      <w:bookmarkStart w:id="10110" w:name="_Toc515787931"/>
      <w:bookmarkStart w:id="10111" w:name="_Toc515789631"/>
      <w:bookmarkStart w:id="10112" w:name="_Toc515790480"/>
      <w:bookmarkStart w:id="10113" w:name="_Toc515791329"/>
      <w:bookmarkStart w:id="10114" w:name="_Toc515792184"/>
      <w:bookmarkStart w:id="10115" w:name="_Toc515793034"/>
      <w:bookmarkStart w:id="10116" w:name="_Toc515793936"/>
      <w:bookmarkStart w:id="10117" w:name="_Toc515794841"/>
      <w:bookmarkStart w:id="10118" w:name="_Toc515796598"/>
      <w:bookmarkStart w:id="10119" w:name="_Toc488245012"/>
      <w:bookmarkStart w:id="10120" w:name="_Toc488248132"/>
      <w:bookmarkStart w:id="10121" w:name="_Toc488248776"/>
      <w:bookmarkStart w:id="10122" w:name="_Toc488249392"/>
      <w:bookmarkStart w:id="10123" w:name="_Toc488250008"/>
      <w:bookmarkStart w:id="10124" w:name="_Toc488330496"/>
      <w:bookmarkStart w:id="10125" w:name="_Toc488387350"/>
      <w:bookmarkStart w:id="10126" w:name="_Toc488402809"/>
      <w:bookmarkStart w:id="10127" w:name="_Toc488403632"/>
      <w:bookmarkStart w:id="10128" w:name="_Toc488404461"/>
      <w:bookmarkStart w:id="10129" w:name="_Toc488405292"/>
      <w:bookmarkStart w:id="10130" w:name="_Toc488406115"/>
      <w:bookmarkStart w:id="10131" w:name="_Toc488406944"/>
      <w:bookmarkStart w:id="10132" w:name="_Toc491410175"/>
      <w:bookmarkStart w:id="10133" w:name="_Toc496018713"/>
      <w:bookmarkStart w:id="10134" w:name="_Toc515787932"/>
      <w:bookmarkStart w:id="10135" w:name="_Toc515789632"/>
      <w:bookmarkStart w:id="10136" w:name="_Toc515790481"/>
      <w:bookmarkStart w:id="10137" w:name="_Toc515791330"/>
      <w:bookmarkStart w:id="10138" w:name="_Toc515792185"/>
      <w:bookmarkStart w:id="10139" w:name="_Toc515793035"/>
      <w:bookmarkStart w:id="10140" w:name="_Toc515793937"/>
      <w:bookmarkStart w:id="10141" w:name="_Toc515794842"/>
      <w:bookmarkStart w:id="10142" w:name="_Toc515796599"/>
      <w:bookmarkStart w:id="10143" w:name="_Toc488245013"/>
      <w:bookmarkStart w:id="10144" w:name="_Toc488248133"/>
      <w:bookmarkStart w:id="10145" w:name="_Toc488248777"/>
      <w:bookmarkStart w:id="10146" w:name="_Toc488249393"/>
      <w:bookmarkStart w:id="10147" w:name="_Toc488250009"/>
      <w:bookmarkStart w:id="10148" w:name="_Toc488330497"/>
      <w:bookmarkStart w:id="10149" w:name="_Toc488387351"/>
      <w:bookmarkStart w:id="10150" w:name="_Toc488402810"/>
      <w:bookmarkStart w:id="10151" w:name="_Toc488403633"/>
      <w:bookmarkStart w:id="10152" w:name="_Toc488404462"/>
      <w:bookmarkStart w:id="10153" w:name="_Toc488405293"/>
      <w:bookmarkStart w:id="10154" w:name="_Toc488406116"/>
      <w:bookmarkStart w:id="10155" w:name="_Toc488406945"/>
      <w:bookmarkStart w:id="10156" w:name="_Toc491410176"/>
      <w:bookmarkStart w:id="10157" w:name="_Toc496018714"/>
      <w:bookmarkStart w:id="10158" w:name="_Toc515787933"/>
      <w:bookmarkStart w:id="10159" w:name="_Toc515789633"/>
      <w:bookmarkStart w:id="10160" w:name="_Toc515790482"/>
      <w:bookmarkStart w:id="10161" w:name="_Toc515791331"/>
      <w:bookmarkStart w:id="10162" w:name="_Toc515792186"/>
      <w:bookmarkStart w:id="10163" w:name="_Toc515793036"/>
      <w:bookmarkStart w:id="10164" w:name="_Toc515793938"/>
      <w:bookmarkStart w:id="10165" w:name="_Toc515794843"/>
      <w:bookmarkStart w:id="10166" w:name="_Toc515796600"/>
      <w:bookmarkStart w:id="10167" w:name="_Toc488245014"/>
      <w:bookmarkStart w:id="10168" w:name="_Toc488248134"/>
      <w:bookmarkStart w:id="10169" w:name="_Toc488248778"/>
      <w:bookmarkStart w:id="10170" w:name="_Toc488249394"/>
      <w:bookmarkStart w:id="10171" w:name="_Toc488250010"/>
      <w:bookmarkStart w:id="10172" w:name="_Toc488330498"/>
      <w:bookmarkStart w:id="10173" w:name="_Toc488387352"/>
      <w:bookmarkStart w:id="10174" w:name="_Toc488402811"/>
      <w:bookmarkStart w:id="10175" w:name="_Toc488403634"/>
      <w:bookmarkStart w:id="10176" w:name="_Toc488404463"/>
      <w:bookmarkStart w:id="10177" w:name="_Toc488405294"/>
      <w:bookmarkStart w:id="10178" w:name="_Toc488406117"/>
      <w:bookmarkStart w:id="10179" w:name="_Toc488406946"/>
      <w:bookmarkStart w:id="10180" w:name="_Toc491410177"/>
      <w:bookmarkStart w:id="10181" w:name="_Toc496018715"/>
      <w:bookmarkStart w:id="10182" w:name="_Toc515787934"/>
      <w:bookmarkStart w:id="10183" w:name="_Toc515789634"/>
      <w:bookmarkStart w:id="10184" w:name="_Toc515790483"/>
      <w:bookmarkStart w:id="10185" w:name="_Toc515791332"/>
      <w:bookmarkStart w:id="10186" w:name="_Toc515792187"/>
      <w:bookmarkStart w:id="10187" w:name="_Toc515793037"/>
      <w:bookmarkStart w:id="10188" w:name="_Toc515793939"/>
      <w:bookmarkStart w:id="10189" w:name="_Toc515794844"/>
      <w:bookmarkStart w:id="10190" w:name="_Toc515796601"/>
      <w:bookmarkStart w:id="10191" w:name="_Toc488245015"/>
      <w:bookmarkStart w:id="10192" w:name="_Toc488248135"/>
      <w:bookmarkStart w:id="10193" w:name="_Toc488248779"/>
      <w:bookmarkStart w:id="10194" w:name="_Toc488249395"/>
      <w:bookmarkStart w:id="10195" w:name="_Toc488250011"/>
      <w:bookmarkStart w:id="10196" w:name="_Toc488330499"/>
      <w:bookmarkStart w:id="10197" w:name="_Toc488387353"/>
      <w:bookmarkStart w:id="10198" w:name="_Toc488402812"/>
      <w:bookmarkStart w:id="10199" w:name="_Toc488403635"/>
      <w:bookmarkStart w:id="10200" w:name="_Toc488404464"/>
      <w:bookmarkStart w:id="10201" w:name="_Toc488405295"/>
      <w:bookmarkStart w:id="10202" w:name="_Toc488406118"/>
      <w:bookmarkStart w:id="10203" w:name="_Toc488406947"/>
      <w:bookmarkStart w:id="10204" w:name="_Toc491410178"/>
      <w:bookmarkStart w:id="10205" w:name="_Toc496018716"/>
      <w:bookmarkStart w:id="10206" w:name="_Toc515787935"/>
      <w:bookmarkStart w:id="10207" w:name="_Toc515789635"/>
      <w:bookmarkStart w:id="10208" w:name="_Toc515790484"/>
      <w:bookmarkStart w:id="10209" w:name="_Toc515791333"/>
      <w:bookmarkStart w:id="10210" w:name="_Toc515792188"/>
      <w:bookmarkStart w:id="10211" w:name="_Toc515793038"/>
      <w:bookmarkStart w:id="10212" w:name="_Toc515793940"/>
      <w:bookmarkStart w:id="10213" w:name="_Toc515794845"/>
      <w:bookmarkStart w:id="10214" w:name="_Toc515796602"/>
      <w:bookmarkStart w:id="10215" w:name="_Toc488245016"/>
      <w:bookmarkStart w:id="10216" w:name="_Toc488248136"/>
      <w:bookmarkStart w:id="10217" w:name="_Toc488248780"/>
      <w:bookmarkStart w:id="10218" w:name="_Toc488249396"/>
      <w:bookmarkStart w:id="10219" w:name="_Toc488250012"/>
      <w:bookmarkStart w:id="10220" w:name="_Toc488330500"/>
      <w:bookmarkStart w:id="10221" w:name="_Toc488387354"/>
      <w:bookmarkStart w:id="10222" w:name="_Toc488402813"/>
      <w:bookmarkStart w:id="10223" w:name="_Toc488403636"/>
      <w:bookmarkStart w:id="10224" w:name="_Toc488404465"/>
      <w:bookmarkStart w:id="10225" w:name="_Toc488405296"/>
      <w:bookmarkStart w:id="10226" w:name="_Toc488406119"/>
      <w:bookmarkStart w:id="10227" w:name="_Toc488406948"/>
      <w:bookmarkStart w:id="10228" w:name="_Toc491410179"/>
      <w:bookmarkStart w:id="10229" w:name="_Toc496018717"/>
      <w:bookmarkStart w:id="10230" w:name="_Toc515787936"/>
      <w:bookmarkStart w:id="10231" w:name="_Toc515789636"/>
      <w:bookmarkStart w:id="10232" w:name="_Toc515790485"/>
      <w:bookmarkStart w:id="10233" w:name="_Toc515791334"/>
      <w:bookmarkStart w:id="10234" w:name="_Toc515792189"/>
      <w:bookmarkStart w:id="10235" w:name="_Toc515793039"/>
      <w:bookmarkStart w:id="10236" w:name="_Toc515793941"/>
      <w:bookmarkStart w:id="10237" w:name="_Toc515794846"/>
      <w:bookmarkStart w:id="10238" w:name="_Toc515796603"/>
      <w:bookmarkStart w:id="10239" w:name="_Toc488245017"/>
      <w:bookmarkStart w:id="10240" w:name="_Toc488248137"/>
      <w:bookmarkStart w:id="10241" w:name="_Toc488248781"/>
      <w:bookmarkStart w:id="10242" w:name="_Toc488249397"/>
      <w:bookmarkStart w:id="10243" w:name="_Toc488250013"/>
      <w:bookmarkStart w:id="10244" w:name="_Toc488330501"/>
      <w:bookmarkStart w:id="10245" w:name="_Toc488387355"/>
      <w:bookmarkStart w:id="10246" w:name="_Toc488402814"/>
      <w:bookmarkStart w:id="10247" w:name="_Toc488403637"/>
      <w:bookmarkStart w:id="10248" w:name="_Toc488404466"/>
      <w:bookmarkStart w:id="10249" w:name="_Toc488405297"/>
      <w:bookmarkStart w:id="10250" w:name="_Toc488406120"/>
      <w:bookmarkStart w:id="10251" w:name="_Toc488406949"/>
      <w:bookmarkStart w:id="10252" w:name="_Toc491410180"/>
      <w:bookmarkStart w:id="10253" w:name="_Toc496018718"/>
      <w:bookmarkStart w:id="10254" w:name="_Toc515787937"/>
      <w:bookmarkStart w:id="10255" w:name="_Toc515789637"/>
      <w:bookmarkStart w:id="10256" w:name="_Toc515790486"/>
      <w:bookmarkStart w:id="10257" w:name="_Toc515791335"/>
      <w:bookmarkStart w:id="10258" w:name="_Toc515792190"/>
      <w:bookmarkStart w:id="10259" w:name="_Toc515793040"/>
      <w:bookmarkStart w:id="10260" w:name="_Toc515793942"/>
      <w:bookmarkStart w:id="10261" w:name="_Toc515794847"/>
      <w:bookmarkStart w:id="10262" w:name="_Toc515796604"/>
      <w:bookmarkStart w:id="10263" w:name="_Toc488245018"/>
      <w:bookmarkStart w:id="10264" w:name="_Toc488248138"/>
      <w:bookmarkStart w:id="10265" w:name="_Toc488248782"/>
      <w:bookmarkStart w:id="10266" w:name="_Toc488249398"/>
      <w:bookmarkStart w:id="10267" w:name="_Toc488250014"/>
      <w:bookmarkStart w:id="10268" w:name="_Toc488330502"/>
      <w:bookmarkStart w:id="10269" w:name="_Toc488387356"/>
      <w:bookmarkStart w:id="10270" w:name="_Toc488402815"/>
      <w:bookmarkStart w:id="10271" w:name="_Toc488403638"/>
      <w:bookmarkStart w:id="10272" w:name="_Toc488404467"/>
      <w:bookmarkStart w:id="10273" w:name="_Toc488405298"/>
      <w:bookmarkStart w:id="10274" w:name="_Toc488406121"/>
      <w:bookmarkStart w:id="10275" w:name="_Toc488406950"/>
      <w:bookmarkStart w:id="10276" w:name="_Toc491410181"/>
      <w:bookmarkStart w:id="10277" w:name="_Toc496018719"/>
      <w:bookmarkStart w:id="10278" w:name="_Toc515787938"/>
      <w:bookmarkStart w:id="10279" w:name="_Toc515789638"/>
      <w:bookmarkStart w:id="10280" w:name="_Toc515790487"/>
      <w:bookmarkStart w:id="10281" w:name="_Toc515791336"/>
      <w:bookmarkStart w:id="10282" w:name="_Toc515792191"/>
      <w:bookmarkStart w:id="10283" w:name="_Toc515793041"/>
      <w:bookmarkStart w:id="10284" w:name="_Toc515793943"/>
      <w:bookmarkStart w:id="10285" w:name="_Toc515794848"/>
      <w:bookmarkStart w:id="10286" w:name="_Toc515796605"/>
      <w:bookmarkStart w:id="10287" w:name="_Toc488245019"/>
      <w:bookmarkStart w:id="10288" w:name="_Toc488248139"/>
      <w:bookmarkStart w:id="10289" w:name="_Toc488248783"/>
      <w:bookmarkStart w:id="10290" w:name="_Toc488249399"/>
      <w:bookmarkStart w:id="10291" w:name="_Toc488250015"/>
      <w:bookmarkStart w:id="10292" w:name="_Toc488330503"/>
      <w:bookmarkStart w:id="10293" w:name="_Toc488387357"/>
      <w:bookmarkStart w:id="10294" w:name="_Toc488402816"/>
      <w:bookmarkStart w:id="10295" w:name="_Toc488403639"/>
      <w:bookmarkStart w:id="10296" w:name="_Toc488404468"/>
      <w:bookmarkStart w:id="10297" w:name="_Toc488405299"/>
      <w:bookmarkStart w:id="10298" w:name="_Toc488406122"/>
      <w:bookmarkStart w:id="10299" w:name="_Toc488406951"/>
      <w:bookmarkStart w:id="10300" w:name="_Toc491410182"/>
      <w:bookmarkStart w:id="10301" w:name="_Toc496018720"/>
      <w:bookmarkStart w:id="10302" w:name="_Toc515787939"/>
      <w:bookmarkStart w:id="10303" w:name="_Toc515789639"/>
      <w:bookmarkStart w:id="10304" w:name="_Toc515790488"/>
      <w:bookmarkStart w:id="10305" w:name="_Toc515791337"/>
      <w:bookmarkStart w:id="10306" w:name="_Toc515792192"/>
      <w:bookmarkStart w:id="10307" w:name="_Toc515793042"/>
      <w:bookmarkStart w:id="10308" w:name="_Toc515793944"/>
      <w:bookmarkStart w:id="10309" w:name="_Toc515794849"/>
      <w:bookmarkStart w:id="10310" w:name="_Toc515796606"/>
      <w:bookmarkStart w:id="10311" w:name="_Toc488245020"/>
      <w:bookmarkStart w:id="10312" w:name="_Toc488248140"/>
      <w:bookmarkStart w:id="10313" w:name="_Toc488248784"/>
      <w:bookmarkStart w:id="10314" w:name="_Toc488249400"/>
      <w:bookmarkStart w:id="10315" w:name="_Toc488250016"/>
      <w:bookmarkStart w:id="10316" w:name="_Toc488330504"/>
      <w:bookmarkStart w:id="10317" w:name="_Toc488387358"/>
      <w:bookmarkStart w:id="10318" w:name="_Toc488402817"/>
      <w:bookmarkStart w:id="10319" w:name="_Toc488403640"/>
      <w:bookmarkStart w:id="10320" w:name="_Toc488404469"/>
      <w:bookmarkStart w:id="10321" w:name="_Toc488405300"/>
      <w:bookmarkStart w:id="10322" w:name="_Toc488406123"/>
      <w:bookmarkStart w:id="10323" w:name="_Toc488406952"/>
      <w:bookmarkStart w:id="10324" w:name="_Toc491410183"/>
      <w:bookmarkStart w:id="10325" w:name="_Toc496018721"/>
      <w:bookmarkStart w:id="10326" w:name="_Toc515787940"/>
      <w:bookmarkStart w:id="10327" w:name="_Toc515789640"/>
      <w:bookmarkStart w:id="10328" w:name="_Toc515790489"/>
      <w:bookmarkStart w:id="10329" w:name="_Toc515791338"/>
      <w:bookmarkStart w:id="10330" w:name="_Toc515792193"/>
      <w:bookmarkStart w:id="10331" w:name="_Toc515793043"/>
      <w:bookmarkStart w:id="10332" w:name="_Toc515793945"/>
      <w:bookmarkStart w:id="10333" w:name="_Toc515794850"/>
      <w:bookmarkStart w:id="10334" w:name="_Toc515796607"/>
      <w:bookmarkStart w:id="10335" w:name="_Toc488245021"/>
      <w:bookmarkStart w:id="10336" w:name="_Toc488248141"/>
      <w:bookmarkStart w:id="10337" w:name="_Toc488248785"/>
      <w:bookmarkStart w:id="10338" w:name="_Toc488249401"/>
      <w:bookmarkStart w:id="10339" w:name="_Toc488250017"/>
      <w:bookmarkStart w:id="10340" w:name="_Toc488330505"/>
      <w:bookmarkStart w:id="10341" w:name="_Toc488387359"/>
      <w:bookmarkStart w:id="10342" w:name="_Toc488402818"/>
      <w:bookmarkStart w:id="10343" w:name="_Toc488403641"/>
      <w:bookmarkStart w:id="10344" w:name="_Toc488404470"/>
      <w:bookmarkStart w:id="10345" w:name="_Toc488405301"/>
      <w:bookmarkStart w:id="10346" w:name="_Toc488406124"/>
      <w:bookmarkStart w:id="10347" w:name="_Toc488406953"/>
      <w:bookmarkStart w:id="10348" w:name="_Toc491410184"/>
      <w:bookmarkStart w:id="10349" w:name="_Toc496018722"/>
      <w:bookmarkStart w:id="10350" w:name="_Toc515787941"/>
      <w:bookmarkStart w:id="10351" w:name="_Toc515789641"/>
      <w:bookmarkStart w:id="10352" w:name="_Toc515790490"/>
      <w:bookmarkStart w:id="10353" w:name="_Toc515791339"/>
      <w:bookmarkStart w:id="10354" w:name="_Toc515792194"/>
      <w:bookmarkStart w:id="10355" w:name="_Toc515793044"/>
      <w:bookmarkStart w:id="10356" w:name="_Toc515793946"/>
      <w:bookmarkStart w:id="10357" w:name="_Toc515794851"/>
      <w:bookmarkStart w:id="10358" w:name="_Toc515796608"/>
      <w:bookmarkStart w:id="10359" w:name="_Toc488245022"/>
      <w:bookmarkStart w:id="10360" w:name="_Toc488248142"/>
      <w:bookmarkStart w:id="10361" w:name="_Toc488248786"/>
      <w:bookmarkStart w:id="10362" w:name="_Toc488249402"/>
      <w:bookmarkStart w:id="10363" w:name="_Toc488250018"/>
      <w:bookmarkStart w:id="10364" w:name="_Toc488330506"/>
      <w:bookmarkStart w:id="10365" w:name="_Toc488387360"/>
      <w:bookmarkStart w:id="10366" w:name="_Toc488402819"/>
      <w:bookmarkStart w:id="10367" w:name="_Toc488403642"/>
      <w:bookmarkStart w:id="10368" w:name="_Toc488404471"/>
      <w:bookmarkStart w:id="10369" w:name="_Toc488405302"/>
      <w:bookmarkStart w:id="10370" w:name="_Toc488406125"/>
      <w:bookmarkStart w:id="10371" w:name="_Toc488406954"/>
      <w:bookmarkStart w:id="10372" w:name="_Toc491410185"/>
      <w:bookmarkStart w:id="10373" w:name="_Toc496018723"/>
      <w:bookmarkStart w:id="10374" w:name="_Toc515787942"/>
      <w:bookmarkStart w:id="10375" w:name="_Toc515789642"/>
      <w:bookmarkStart w:id="10376" w:name="_Toc515790491"/>
      <w:bookmarkStart w:id="10377" w:name="_Toc515791340"/>
      <w:bookmarkStart w:id="10378" w:name="_Toc515792195"/>
      <w:bookmarkStart w:id="10379" w:name="_Toc515793045"/>
      <w:bookmarkStart w:id="10380" w:name="_Toc515793947"/>
      <w:bookmarkStart w:id="10381" w:name="_Toc515794852"/>
      <w:bookmarkStart w:id="10382" w:name="_Toc515796609"/>
      <w:bookmarkStart w:id="10383" w:name="_Toc488245023"/>
      <w:bookmarkStart w:id="10384" w:name="_Toc488248143"/>
      <w:bookmarkStart w:id="10385" w:name="_Toc488248787"/>
      <w:bookmarkStart w:id="10386" w:name="_Toc488249403"/>
      <w:bookmarkStart w:id="10387" w:name="_Toc488250019"/>
      <w:bookmarkStart w:id="10388" w:name="_Toc488330507"/>
      <w:bookmarkStart w:id="10389" w:name="_Toc488387361"/>
      <w:bookmarkStart w:id="10390" w:name="_Toc488402820"/>
      <w:bookmarkStart w:id="10391" w:name="_Toc488403643"/>
      <w:bookmarkStart w:id="10392" w:name="_Toc488404472"/>
      <w:bookmarkStart w:id="10393" w:name="_Toc488405303"/>
      <w:bookmarkStart w:id="10394" w:name="_Toc488406126"/>
      <w:bookmarkStart w:id="10395" w:name="_Toc488406955"/>
      <w:bookmarkStart w:id="10396" w:name="_Toc491410186"/>
      <w:bookmarkStart w:id="10397" w:name="_Toc496018724"/>
      <w:bookmarkStart w:id="10398" w:name="_Toc515787943"/>
      <w:bookmarkStart w:id="10399" w:name="_Toc515789643"/>
      <w:bookmarkStart w:id="10400" w:name="_Toc515790492"/>
      <w:bookmarkStart w:id="10401" w:name="_Toc515791341"/>
      <w:bookmarkStart w:id="10402" w:name="_Toc515792196"/>
      <w:bookmarkStart w:id="10403" w:name="_Toc515793046"/>
      <w:bookmarkStart w:id="10404" w:name="_Toc515793948"/>
      <w:bookmarkStart w:id="10405" w:name="_Toc515794853"/>
      <w:bookmarkStart w:id="10406" w:name="_Toc515796610"/>
      <w:bookmarkStart w:id="10407" w:name="_Toc488245024"/>
      <w:bookmarkStart w:id="10408" w:name="_Toc488248144"/>
      <w:bookmarkStart w:id="10409" w:name="_Toc488248788"/>
      <w:bookmarkStart w:id="10410" w:name="_Toc488249404"/>
      <w:bookmarkStart w:id="10411" w:name="_Toc488250020"/>
      <w:bookmarkStart w:id="10412" w:name="_Toc488330508"/>
      <w:bookmarkStart w:id="10413" w:name="_Toc488387362"/>
      <w:bookmarkStart w:id="10414" w:name="_Toc488402821"/>
      <w:bookmarkStart w:id="10415" w:name="_Toc488403644"/>
      <w:bookmarkStart w:id="10416" w:name="_Toc488404473"/>
      <w:bookmarkStart w:id="10417" w:name="_Toc488405304"/>
      <w:bookmarkStart w:id="10418" w:name="_Toc488406127"/>
      <w:bookmarkStart w:id="10419" w:name="_Toc488406956"/>
      <w:bookmarkStart w:id="10420" w:name="_Toc491410187"/>
      <w:bookmarkStart w:id="10421" w:name="_Toc496018725"/>
      <w:bookmarkStart w:id="10422" w:name="_Toc515787944"/>
      <w:bookmarkStart w:id="10423" w:name="_Toc515789644"/>
      <w:bookmarkStart w:id="10424" w:name="_Toc515790493"/>
      <w:bookmarkStart w:id="10425" w:name="_Toc515791342"/>
      <w:bookmarkStart w:id="10426" w:name="_Toc515792197"/>
      <w:bookmarkStart w:id="10427" w:name="_Toc515793047"/>
      <w:bookmarkStart w:id="10428" w:name="_Toc515793949"/>
      <w:bookmarkStart w:id="10429" w:name="_Toc515794854"/>
      <w:bookmarkStart w:id="10430" w:name="_Toc515796611"/>
      <w:bookmarkStart w:id="10431" w:name="_Toc488245025"/>
      <w:bookmarkStart w:id="10432" w:name="_Toc488248145"/>
      <w:bookmarkStart w:id="10433" w:name="_Toc488248789"/>
      <w:bookmarkStart w:id="10434" w:name="_Toc488249405"/>
      <w:bookmarkStart w:id="10435" w:name="_Toc488250021"/>
      <w:bookmarkStart w:id="10436" w:name="_Toc488330509"/>
      <w:bookmarkStart w:id="10437" w:name="_Toc488387363"/>
      <w:bookmarkStart w:id="10438" w:name="_Toc488402822"/>
      <w:bookmarkStart w:id="10439" w:name="_Toc488403645"/>
      <w:bookmarkStart w:id="10440" w:name="_Toc488404474"/>
      <w:bookmarkStart w:id="10441" w:name="_Toc488405305"/>
      <w:bookmarkStart w:id="10442" w:name="_Toc488406128"/>
      <w:bookmarkStart w:id="10443" w:name="_Toc488406957"/>
      <w:bookmarkStart w:id="10444" w:name="_Toc491410188"/>
      <w:bookmarkStart w:id="10445" w:name="_Toc496018726"/>
      <w:bookmarkStart w:id="10446" w:name="_Toc515787945"/>
      <w:bookmarkStart w:id="10447" w:name="_Toc515789645"/>
      <w:bookmarkStart w:id="10448" w:name="_Toc515790494"/>
      <w:bookmarkStart w:id="10449" w:name="_Toc515791343"/>
      <w:bookmarkStart w:id="10450" w:name="_Toc515792198"/>
      <w:bookmarkStart w:id="10451" w:name="_Toc515793048"/>
      <w:bookmarkStart w:id="10452" w:name="_Toc515793950"/>
      <w:bookmarkStart w:id="10453" w:name="_Toc515794855"/>
      <w:bookmarkStart w:id="10454" w:name="_Toc515796612"/>
      <w:bookmarkStart w:id="10455" w:name="_Toc488245026"/>
      <w:bookmarkStart w:id="10456" w:name="_Toc488248146"/>
      <w:bookmarkStart w:id="10457" w:name="_Toc488248790"/>
      <w:bookmarkStart w:id="10458" w:name="_Toc488249406"/>
      <w:bookmarkStart w:id="10459" w:name="_Toc488250022"/>
      <w:bookmarkStart w:id="10460" w:name="_Toc488330510"/>
      <w:bookmarkStart w:id="10461" w:name="_Toc488387364"/>
      <w:bookmarkStart w:id="10462" w:name="_Toc488402823"/>
      <w:bookmarkStart w:id="10463" w:name="_Toc488403646"/>
      <w:bookmarkStart w:id="10464" w:name="_Toc488404475"/>
      <w:bookmarkStart w:id="10465" w:name="_Toc488405306"/>
      <w:bookmarkStart w:id="10466" w:name="_Toc488406129"/>
      <w:bookmarkStart w:id="10467" w:name="_Toc488406958"/>
      <w:bookmarkStart w:id="10468" w:name="_Toc491410189"/>
      <w:bookmarkStart w:id="10469" w:name="_Toc496018727"/>
      <w:bookmarkStart w:id="10470" w:name="_Toc515787946"/>
      <w:bookmarkStart w:id="10471" w:name="_Toc515789646"/>
      <w:bookmarkStart w:id="10472" w:name="_Toc515790495"/>
      <w:bookmarkStart w:id="10473" w:name="_Toc515791344"/>
      <w:bookmarkStart w:id="10474" w:name="_Toc515792199"/>
      <w:bookmarkStart w:id="10475" w:name="_Toc515793049"/>
      <w:bookmarkStart w:id="10476" w:name="_Toc515793951"/>
      <w:bookmarkStart w:id="10477" w:name="_Toc515794856"/>
      <w:bookmarkStart w:id="10478" w:name="_Toc515796613"/>
      <w:bookmarkStart w:id="10479" w:name="_Toc488245027"/>
      <w:bookmarkStart w:id="10480" w:name="_Toc488248147"/>
      <w:bookmarkStart w:id="10481" w:name="_Toc488248791"/>
      <w:bookmarkStart w:id="10482" w:name="_Toc488249407"/>
      <w:bookmarkStart w:id="10483" w:name="_Toc488250023"/>
      <w:bookmarkStart w:id="10484" w:name="_Toc488330511"/>
      <w:bookmarkStart w:id="10485" w:name="_Toc488387365"/>
      <w:bookmarkStart w:id="10486" w:name="_Toc488402824"/>
      <w:bookmarkStart w:id="10487" w:name="_Toc488403647"/>
      <w:bookmarkStart w:id="10488" w:name="_Toc488404476"/>
      <w:bookmarkStart w:id="10489" w:name="_Toc488405307"/>
      <w:bookmarkStart w:id="10490" w:name="_Toc488406130"/>
      <w:bookmarkStart w:id="10491" w:name="_Toc488406959"/>
      <w:bookmarkStart w:id="10492" w:name="_Toc491410190"/>
      <w:bookmarkStart w:id="10493" w:name="_Toc496018728"/>
      <w:bookmarkStart w:id="10494" w:name="_Toc515787947"/>
      <w:bookmarkStart w:id="10495" w:name="_Toc515789647"/>
      <w:bookmarkStart w:id="10496" w:name="_Toc515790496"/>
      <w:bookmarkStart w:id="10497" w:name="_Toc515791345"/>
      <w:bookmarkStart w:id="10498" w:name="_Toc515792200"/>
      <w:bookmarkStart w:id="10499" w:name="_Toc515793050"/>
      <w:bookmarkStart w:id="10500" w:name="_Toc515793952"/>
      <w:bookmarkStart w:id="10501" w:name="_Toc515794857"/>
      <w:bookmarkStart w:id="10502" w:name="_Toc515796614"/>
      <w:bookmarkStart w:id="10503" w:name="_Toc488245028"/>
      <w:bookmarkStart w:id="10504" w:name="_Toc488248148"/>
      <w:bookmarkStart w:id="10505" w:name="_Toc488248792"/>
      <w:bookmarkStart w:id="10506" w:name="_Toc488249408"/>
      <w:bookmarkStart w:id="10507" w:name="_Toc488250024"/>
      <w:bookmarkStart w:id="10508" w:name="_Toc488330512"/>
      <w:bookmarkStart w:id="10509" w:name="_Toc488387366"/>
      <w:bookmarkStart w:id="10510" w:name="_Toc488402825"/>
      <w:bookmarkStart w:id="10511" w:name="_Toc488403648"/>
      <w:bookmarkStart w:id="10512" w:name="_Toc488404477"/>
      <w:bookmarkStart w:id="10513" w:name="_Toc488405308"/>
      <w:bookmarkStart w:id="10514" w:name="_Toc488406131"/>
      <w:bookmarkStart w:id="10515" w:name="_Toc488406960"/>
      <w:bookmarkStart w:id="10516" w:name="_Toc491410191"/>
      <w:bookmarkStart w:id="10517" w:name="_Toc496018729"/>
      <w:bookmarkStart w:id="10518" w:name="_Toc515787948"/>
      <w:bookmarkStart w:id="10519" w:name="_Toc515789648"/>
      <w:bookmarkStart w:id="10520" w:name="_Toc515790497"/>
      <w:bookmarkStart w:id="10521" w:name="_Toc515791346"/>
      <w:bookmarkStart w:id="10522" w:name="_Toc515792201"/>
      <w:bookmarkStart w:id="10523" w:name="_Toc515793051"/>
      <w:bookmarkStart w:id="10524" w:name="_Toc515793953"/>
      <w:bookmarkStart w:id="10525" w:name="_Toc515794858"/>
      <w:bookmarkStart w:id="10526" w:name="_Toc515796615"/>
      <w:bookmarkStart w:id="10527" w:name="_Toc488245029"/>
      <w:bookmarkStart w:id="10528" w:name="_Toc488248149"/>
      <w:bookmarkStart w:id="10529" w:name="_Toc488248793"/>
      <w:bookmarkStart w:id="10530" w:name="_Toc488249409"/>
      <w:bookmarkStart w:id="10531" w:name="_Toc488250025"/>
      <w:bookmarkStart w:id="10532" w:name="_Toc488330513"/>
      <w:bookmarkStart w:id="10533" w:name="_Toc488387367"/>
      <w:bookmarkStart w:id="10534" w:name="_Toc488402826"/>
      <w:bookmarkStart w:id="10535" w:name="_Toc488403649"/>
      <w:bookmarkStart w:id="10536" w:name="_Toc488404478"/>
      <w:bookmarkStart w:id="10537" w:name="_Toc488405309"/>
      <w:bookmarkStart w:id="10538" w:name="_Toc488406132"/>
      <w:bookmarkStart w:id="10539" w:name="_Toc488406961"/>
      <w:bookmarkStart w:id="10540" w:name="_Toc491410192"/>
      <w:bookmarkStart w:id="10541" w:name="_Toc496018730"/>
      <w:bookmarkStart w:id="10542" w:name="_Toc515787949"/>
      <w:bookmarkStart w:id="10543" w:name="_Toc515789649"/>
      <w:bookmarkStart w:id="10544" w:name="_Toc515790498"/>
      <w:bookmarkStart w:id="10545" w:name="_Toc515791347"/>
      <w:bookmarkStart w:id="10546" w:name="_Toc515792202"/>
      <w:bookmarkStart w:id="10547" w:name="_Toc515793052"/>
      <w:bookmarkStart w:id="10548" w:name="_Toc515793954"/>
      <w:bookmarkStart w:id="10549" w:name="_Toc515794859"/>
      <w:bookmarkStart w:id="10550" w:name="_Toc515796616"/>
      <w:bookmarkStart w:id="10551" w:name="_Toc488245030"/>
      <w:bookmarkStart w:id="10552" w:name="_Toc488248150"/>
      <w:bookmarkStart w:id="10553" w:name="_Toc488248794"/>
      <w:bookmarkStart w:id="10554" w:name="_Toc488249410"/>
      <w:bookmarkStart w:id="10555" w:name="_Toc488250026"/>
      <w:bookmarkStart w:id="10556" w:name="_Toc488330514"/>
      <w:bookmarkStart w:id="10557" w:name="_Toc488387368"/>
      <w:bookmarkStart w:id="10558" w:name="_Toc488402827"/>
      <w:bookmarkStart w:id="10559" w:name="_Toc488403650"/>
      <w:bookmarkStart w:id="10560" w:name="_Toc488404479"/>
      <w:bookmarkStart w:id="10561" w:name="_Toc488405310"/>
      <w:bookmarkStart w:id="10562" w:name="_Toc488406133"/>
      <w:bookmarkStart w:id="10563" w:name="_Toc488406962"/>
      <w:bookmarkStart w:id="10564" w:name="_Toc491410193"/>
      <w:bookmarkStart w:id="10565" w:name="_Toc496018731"/>
      <w:bookmarkStart w:id="10566" w:name="_Toc515787950"/>
      <w:bookmarkStart w:id="10567" w:name="_Toc515789650"/>
      <w:bookmarkStart w:id="10568" w:name="_Toc515790499"/>
      <w:bookmarkStart w:id="10569" w:name="_Toc515791348"/>
      <w:bookmarkStart w:id="10570" w:name="_Toc515792203"/>
      <w:bookmarkStart w:id="10571" w:name="_Toc515793053"/>
      <w:bookmarkStart w:id="10572" w:name="_Toc515793955"/>
      <w:bookmarkStart w:id="10573" w:name="_Toc515794860"/>
      <w:bookmarkStart w:id="10574" w:name="_Toc515796617"/>
      <w:bookmarkStart w:id="10575" w:name="_Toc488245031"/>
      <w:bookmarkStart w:id="10576" w:name="_Toc488248151"/>
      <w:bookmarkStart w:id="10577" w:name="_Toc488248795"/>
      <w:bookmarkStart w:id="10578" w:name="_Toc488249411"/>
      <w:bookmarkStart w:id="10579" w:name="_Toc488250027"/>
      <w:bookmarkStart w:id="10580" w:name="_Toc488330515"/>
      <w:bookmarkStart w:id="10581" w:name="_Toc488387369"/>
      <w:bookmarkStart w:id="10582" w:name="_Toc488402828"/>
      <w:bookmarkStart w:id="10583" w:name="_Toc488403651"/>
      <w:bookmarkStart w:id="10584" w:name="_Toc488404480"/>
      <w:bookmarkStart w:id="10585" w:name="_Toc488405311"/>
      <w:bookmarkStart w:id="10586" w:name="_Toc488406134"/>
      <w:bookmarkStart w:id="10587" w:name="_Toc488406963"/>
      <w:bookmarkStart w:id="10588" w:name="_Toc491410194"/>
      <w:bookmarkStart w:id="10589" w:name="_Toc496018732"/>
      <w:bookmarkStart w:id="10590" w:name="_Toc515787951"/>
      <w:bookmarkStart w:id="10591" w:name="_Toc515789651"/>
      <w:bookmarkStart w:id="10592" w:name="_Toc515790500"/>
      <w:bookmarkStart w:id="10593" w:name="_Toc515791349"/>
      <w:bookmarkStart w:id="10594" w:name="_Toc515792204"/>
      <w:bookmarkStart w:id="10595" w:name="_Toc515793054"/>
      <w:bookmarkStart w:id="10596" w:name="_Toc515793956"/>
      <w:bookmarkStart w:id="10597" w:name="_Toc515794861"/>
      <w:bookmarkStart w:id="10598" w:name="_Toc515796618"/>
      <w:bookmarkStart w:id="10599" w:name="_Toc488245032"/>
      <w:bookmarkStart w:id="10600" w:name="_Toc488248152"/>
      <w:bookmarkStart w:id="10601" w:name="_Toc488248796"/>
      <w:bookmarkStart w:id="10602" w:name="_Toc488249412"/>
      <w:bookmarkStart w:id="10603" w:name="_Toc488250028"/>
      <w:bookmarkStart w:id="10604" w:name="_Toc488330516"/>
      <w:bookmarkStart w:id="10605" w:name="_Toc488387370"/>
      <w:bookmarkStart w:id="10606" w:name="_Toc488402829"/>
      <w:bookmarkStart w:id="10607" w:name="_Toc488403652"/>
      <w:bookmarkStart w:id="10608" w:name="_Toc488404481"/>
      <w:bookmarkStart w:id="10609" w:name="_Toc488405312"/>
      <w:bookmarkStart w:id="10610" w:name="_Toc488406135"/>
      <w:bookmarkStart w:id="10611" w:name="_Toc488406964"/>
      <w:bookmarkStart w:id="10612" w:name="_Toc491410195"/>
      <w:bookmarkStart w:id="10613" w:name="_Toc496018733"/>
      <w:bookmarkStart w:id="10614" w:name="_Toc515787952"/>
      <w:bookmarkStart w:id="10615" w:name="_Toc515789652"/>
      <w:bookmarkStart w:id="10616" w:name="_Toc515790501"/>
      <w:bookmarkStart w:id="10617" w:name="_Toc515791350"/>
      <w:bookmarkStart w:id="10618" w:name="_Toc515792205"/>
      <w:bookmarkStart w:id="10619" w:name="_Toc515793055"/>
      <w:bookmarkStart w:id="10620" w:name="_Toc515793957"/>
      <w:bookmarkStart w:id="10621" w:name="_Toc515794862"/>
      <w:bookmarkStart w:id="10622" w:name="_Toc515796619"/>
      <w:bookmarkStart w:id="10623" w:name="_Toc488245033"/>
      <w:bookmarkStart w:id="10624" w:name="_Toc488248153"/>
      <w:bookmarkStart w:id="10625" w:name="_Toc488248797"/>
      <w:bookmarkStart w:id="10626" w:name="_Toc488249413"/>
      <w:bookmarkStart w:id="10627" w:name="_Toc488250029"/>
      <w:bookmarkStart w:id="10628" w:name="_Toc488330517"/>
      <w:bookmarkStart w:id="10629" w:name="_Toc488387371"/>
      <w:bookmarkStart w:id="10630" w:name="_Toc488402830"/>
      <w:bookmarkStart w:id="10631" w:name="_Toc488403653"/>
      <w:bookmarkStart w:id="10632" w:name="_Toc488404482"/>
      <w:bookmarkStart w:id="10633" w:name="_Toc488405313"/>
      <w:bookmarkStart w:id="10634" w:name="_Toc488406136"/>
      <w:bookmarkStart w:id="10635" w:name="_Toc488406965"/>
      <w:bookmarkStart w:id="10636" w:name="_Toc491410196"/>
      <w:bookmarkStart w:id="10637" w:name="_Toc496018734"/>
      <w:bookmarkStart w:id="10638" w:name="_Toc515787953"/>
      <w:bookmarkStart w:id="10639" w:name="_Toc515789653"/>
      <w:bookmarkStart w:id="10640" w:name="_Toc515790502"/>
      <w:bookmarkStart w:id="10641" w:name="_Toc515791351"/>
      <w:bookmarkStart w:id="10642" w:name="_Toc515792206"/>
      <w:bookmarkStart w:id="10643" w:name="_Toc515793056"/>
      <w:bookmarkStart w:id="10644" w:name="_Toc515793958"/>
      <w:bookmarkStart w:id="10645" w:name="_Toc515794863"/>
      <w:bookmarkStart w:id="10646" w:name="_Toc515796620"/>
      <w:bookmarkStart w:id="10647" w:name="_Toc488245034"/>
      <w:bookmarkStart w:id="10648" w:name="_Toc488248154"/>
      <w:bookmarkStart w:id="10649" w:name="_Toc488248798"/>
      <w:bookmarkStart w:id="10650" w:name="_Toc488249414"/>
      <w:bookmarkStart w:id="10651" w:name="_Toc488250030"/>
      <w:bookmarkStart w:id="10652" w:name="_Toc488330518"/>
      <w:bookmarkStart w:id="10653" w:name="_Toc488387372"/>
      <w:bookmarkStart w:id="10654" w:name="_Toc488402831"/>
      <w:bookmarkStart w:id="10655" w:name="_Toc488403654"/>
      <w:bookmarkStart w:id="10656" w:name="_Toc488404483"/>
      <w:bookmarkStart w:id="10657" w:name="_Toc488405314"/>
      <w:bookmarkStart w:id="10658" w:name="_Toc488406137"/>
      <w:bookmarkStart w:id="10659" w:name="_Toc488406966"/>
      <w:bookmarkStart w:id="10660" w:name="_Toc491410197"/>
      <w:bookmarkStart w:id="10661" w:name="_Toc496018735"/>
      <w:bookmarkStart w:id="10662" w:name="_Toc515787954"/>
      <w:bookmarkStart w:id="10663" w:name="_Toc515789654"/>
      <w:bookmarkStart w:id="10664" w:name="_Toc515790503"/>
      <w:bookmarkStart w:id="10665" w:name="_Toc515791352"/>
      <w:bookmarkStart w:id="10666" w:name="_Toc515792207"/>
      <w:bookmarkStart w:id="10667" w:name="_Toc515793057"/>
      <w:bookmarkStart w:id="10668" w:name="_Toc515793959"/>
      <w:bookmarkStart w:id="10669" w:name="_Toc515794864"/>
      <w:bookmarkStart w:id="10670" w:name="_Toc515796621"/>
      <w:bookmarkStart w:id="10671" w:name="_Toc488245035"/>
      <w:bookmarkStart w:id="10672" w:name="_Toc488248155"/>
      <w:bookmarkStart w:id="10673" w:name="_Toc488248799"/>
      <w:bookmarkStart w:id="10674" w:name="_Toc488249415"/>
      <w:bookmarkStart w:id="10675" w:name="_Toc488250031"/>
      <w:bookmarkStart w:id="10676" w:name="_Toc488330519"/>
      <w:bookmarkStart w:id="10677" w:name="_Toc488387373"/>
      <w:bookmarkStart w:id="10678" w:name="_Toc488402832"/>
      <w:bookmarkStart w:id="10679" w:name="_Toc488403655"/>
      <w:bookmarkStart w:id="10680" w:name="_Toc488404484"/>
      <w:bookmarkStart w:id="10681" w:name="_Toc488405315"/>
      <w:bookmarkStart w:id="10682" w:name="_Toc488406138"/>
      <w:bookmarkStart w:id="10683" w:name="_Toc488406967"/>
      <w:bookmarkStart w:id="10684" w:name="_Toc491410198"/>
      <w:bookmarkStart w:id="10685" w:name="_Toc496018736"/>
      <w:bookmarkStart w:id="10686" w:name="_Toc515787955"/>
      <w:bookmarkStart w:id="10687" w:name="_Toc515789655"/>
      <w:bookmarkStart w:id="10688" w:name="_Toc515790504"/>
      <w:bookmarkStart w:id="10689" w:name="_Toc515791353"/>
      <w:bookmarkStart w:id="10690" w:name="_Toc515792208"/>
      <w:bookmarkStart w:id="10691" w:name="_Toc515793058"/>
      <w:bookmarkStart w:id="10692" w:name="_Toc515793960"/>
      <w:bookmarkStart w:id="10693" w:name="_Toc515794865"/>
      <w:bookmarkStart w:id="10694" w:name="_Toc515796622"/>
      <w:bookmarkStart w:id="10695" w:name="_Toc488245036"/>
      <w:bookmarkStart w:id="10696" w:name="_Toc488248156"/>
      <w:bookmarkStart w:id="10697" w:name="_Toc488248800"/>
      <w:bookmarkStart w:id="10698" w:name="_Toc488249416"/>
      <w:bookmarkStart w:id="10699" w:name="_Toc488250032"/>
      <w:bookmarkStart w:id="10700" w:name="_Toc488330520"/>
      <w:bookmarkStart w:id="10701" w:name="_Toc488387374"/>
      <w:bookmarkStart w:id="10702" w:name="_Toc488402833"/>
      <w:bookmarkStart w:id="10703" w:name="_Toc488403656"/>
      <w:bookmarkStart w:id="10704" w:name="_Toc488404485"/>
      <w:bookmarkStart w:id="10705" w:name="_Toc488405316"/>
      <w:bookmarkStart w:id="10706" w:name="_Toc488406139"/>
      <w:bookmarkStart w:id="10707" w:name="_Toc488406968"/>
      <w:bookmarkStart w:id="10708" w:name="_Toc491410199"/>
      <w:bookmarkStart w:id="10709" w:name="_Toc496018737"/>
      <w:bookmarkStart w:id="10710" w:name="_Toc515787956"/>
      <w:bookmarkStart w:id="10711" w:name="_Toc515789656"/>
      <w:bookmarkStart w:id="10712" w:name="_Toc515790505"/>
      <w:bookmarkStart w:id="10713" w:name="_Toc515791354"/>
      <w:bookmarkStart w:id="10714" w:name="_Toc515792209"/>
      <w:bookmarkStart w:id="10715" w:name="_Toc515793059"/>
      <w:bookmarkStart w:id="10716" w:name="_Toc515793961"/>
      <w:bookmarkStart w:id="10717" w:name="_Toc515794866"/>
      <w:bookmarkStart w:id="10718" w:name="_Toc515796623"/>
      <w:bookmarkStart w:id="10719" w:name="_Toc488245037"/>
      <w:bookmarkStart w:id="10720" w:name="_Toc488248157"/>
      <w:bookmarkStart w:id="10721" w:name="_Toc488248801"/>
      <w:bookmarkStart w:id="10722" w:name="_Toc488249417"/>
      <w:bookmarkStart w:id="10723" w:name="_Toc488250033"/>
      <w:bookmarkStart w:id="10724" w:name="_Toc488330521"/>
      <w:bookmarkStart w:id="10725" w:name="_Toc488387375"/>
      <w:bookmarkStart w:id="10726" w:name="_Toc488402834"/>
      <w:bookmarkStart w:id="10727" w:name="_Toc488403657"/>
      <w:bookmarkStart w:id="10728" w:name="_Toc488404486"/>
      <w:bookmarkStart w:id="10729" w:name="_Toc488405317"/>
      <w:bookmarkStart w:id="10730" w:name="_Toc488406140"/>
      <w:bookmarkStart w:id="10731" w:name="_Toc488406969"/>
      <w:bookmarkStart w:id="10732" w:name="_Toc491410200"/>
      <w:bookmarkStart w:id="10733" w:name="_Toc496018738"/>
      <w:bookmarkStart w:id="10734" w:name="_Toc515787957"/>
      <w:bookmarkStart w:id="10735" w:name="_Toc515789657"/>
      <w:bookmarkStart w:id="10736" w:name="_Toc515790506"/>
      <w:bookmarkStart w:id="10737" w:name="_Toc515791355"/>
      <w:bookmarkStart w:id="10738" w:name="_Toc515792210"/>
      <w:bookmarkStart w:id="10739" w:name="_Toc515793060"/>
      <w:bookmarkStart w:id="10740" w:name="_Toc515793962"/>
      <w:bookmarkStart w:id="10741" w:name="_Toc515794867"/>
      <w:bookmarkStart w:id="10742" w:name="_Toc515796624"/>
      <w:bookmarkStart w:id="10743" w:name="_Toc488245038"/>
      <w:bookmarkStart w:id="10744" w:name="_Toc488248158"/>
      <w:bookmarkStart w:id="10745" w:name="_Toc488248802"/>
      <w:bookmarkStart w:id="10746" w:name="_Toc488249418"/>
      <w:bookmarkStart w:id="10747" w:name="_Toc488250034"/>
      <w:bookmarkStart w:id="10748" w:name="_Toc488330522"/>
      <w:bookmarkStart w:id="10749" w:name="_Toc488387376"/>
      <w:bookmarkStart w:id="10750" w:name="_Toc488402835"/>
      <w:bookmarkStart w:id="10751" w:name="_Toc488403658"/>
      <w:bookmarkStart w:id="10752" w:name="_Toc488404487"/>
      <w:bookmarkStart w:id="10753" w:name="_Toc488405318"/>
      <w:bookmarkStart w:id="10754" w:name="_Toc488406141"/>
      <w:bookmarkStart w:id="10755" w:name="_Toc488406970"/>
      <w:bookmarkStart w:id="10756" w:name="_Toc491410201"/>
      <w:bookmarkStart w:id="10757" w:name="_Toc496018739"/>
      <w:bookmarkStart w:id="10758" w:name="_Toc515787958"/>
      <w:bookmarkStart w:id="10759" w:name="_Toc515789658"/>
      <w:bookmarkStart w:id="10760" w:name="_Toc515790507"/>
      <w:bookmarkStart w:id="10761" w:name="_Toc515791356"/>
      <w:bookmarkStart w:id="10762" w:name="_Toc515792211"/>
      <w:bookmarkStart w:id="10763" w:name="_Toc515793061"/>
      <w:bookmarkStart w:id="10764" w:name="_Toc515793963"/>
      <w:bookmarkStart w:id="10765" w:name="_Toc515794868"/>
      <w:bookmarkStart w:id="10766" w:name="_Toc515796625"/>
      <w:bookmarkStart w:id="10767" w:name="_Toc488245039"/>
      <w:bookmarkStart w:id="10768" w:name="_Toc488248159"/>
      <w:bookmarkStart w:id="10769" w:name="_Toc488248803"/>
      <w:bookmarkStart w:id="10770" w:name="_Toc488249419"/>
      <w:bookmarkStart w:id="10771" w:name="_Toc488250035"/>
      <w:bookmarkStart w:id="10772" w:name="_Toc488330523"/>
      <w:bookmarkStart w:id="10773" w:name="_Toc488387377"/>
      <w:bookmarkStart w:id="10774" w:name="_Toc488402836"/>
      <w:bookmarkStart w:id="10775" w:name="_Toc488403659"/>
      <w:bookmarkStart w:id="10776" w:name="_Toc488404488"/>
      <w:bookmarkStart w:id="10777" w:name="_Toc488405319"/>
      <w:bookmarkStart w:id="10778" w:name="_Toc488406142"/>
      <w:bookmarkStart w:id="10779" w:name="_Toc488406971"/>
      <w:bookmarkStart w:id="10780" w:name="_Toc491410202"/>
      <w:bookmarkStart w:id="10781" w:name="_Toc496018740"/>
      <w:bookmarkStart w:id="10782" w:name="_Toc515787959"/>
      <w:bookmarkStart w:id="10783" w:name="_Toc515789659"/>
      <w:bookmarkStart w:id="10784" w:name="_Toc515790508"/>
      <w:bookmarkStart w:id="10785" w:name="_Toc515791357"/>
      <w:bookmarkStart w:id="10786" w:name="_Toc515792212"/>
      <w:bookmarkStart w:id="10787" w:name="_Toc515793062"/>
      <w:bookmarkStart w:id="10788" w:name="_Toc515793964"/>
      <w:bookmarkStart w:id="10789" w:name="_Toc515794869"/>
      <w:bookmarkStart w:id="10790" w:name="_Toc515796626"/>
      <w:bookmarkStart w:id="10791" w:name="_Toc488245040"/>
      <w:bookmarkStart w:id="10792" w:name="_Toc488248160"/>
      <w:bookmarkStart w:id="10793" w:name="_Toc488248804"/>
      <w:bookmarkStart w:id="10794" w:name="_Toc488249420"/>
      <w:bookmarkStart w:id="10795" w:name="_Toc488250036"/>
      <w:bookmarkStart w:id="10796" w:name="_Toc488330524"/>
      <w:bookmarkStart w:id="10797" w:name="_Toc488387378"/>
      <w:bookmarkStart w:id="10798" w:name="_Toc488402837"/>
      <w:bookmarkStart w:id="10799" w:name="_Toc488403660"/>
      <w:bookmarkStart w:id="10800" w:name="_Toc488404489"/>
      <w:bookmarkStart w:id="10801" w:name="_Toc488405320"/>
      <w:bookmarkStart w:id="10802" w:name="_Toc488406143"/>
      <w:bookmarkStart w:id="10803" w:name="_Toc488406972"/>
      <w:bookmarkStart w:id="10804" w:name="_Toc491410203"/>
      <w:bookmarkStart w:id="10805" w:name="_Toc496018741"/>
      <w:bookmarkStart w:id="10806" w:name="_Toc515787960"/>
      <w:bookmarkStart w:id="10807" w:name="_Toc515789660"/>
      <w:bookmarkStart w:id="10808" w:name="_Toc515790509"/>
      <w:bookmarkStart w:id="10809" w:name="_Toc515791358"/>
      <w:bookmarkStart w:id="10810" w:name="_Toc515792213"/>
      <w:bookmarkStart w:id="10811" w:name="_Toc515793063"/>
      <w:bookmarkStart w:id="10812" w:name="_Toc515793965"/>
      <w:bookmarkStart w:id="10813" w:name="_Toc515794870"/>
      <w:bookmarkStart w:id="10814" w:name="_Toc515796627"/>
      <w:bookmarkStart w:id="10815" w:name="_Toc488245041"/>
      <w:bookmarkStart w:id="10816" w:name="_Toc488248161"/>
      <w:bookmarkStart w:id="10817" w:name="_Toc488248805"/>
      <w:bookmarkStart w:id="10818" w:name="_Toc488249421"/>
      <w:bookmarkStart w:id="10819" w:name="_Toc488250037"/>
      <w:bookmarkStart w:id="10820" w:name="_Toc488330525"/>
      <w:bookmarkStart w:id="10821" w:name="_Toc488387379"/>
      <w:bookmarkStart w:id="10822" w:name="_Toc488402838"/>
      <w:bookmarkStart w:id="10823" w:name="_Toc488403661"/>
      <w:bookmarkStart w:id="10824" w:name="_Toc488404490"/>
      <w:bookmarkStart w:id="10825" w:name="_Toc488405321"/>
      <w:bookmarkStart w:id="10826" w:name="_Toc488406144"/>
      <w:bookmarkStart w:id="10827" w:name="_Toc488406973"/>
      <w:bookmarkStart w:id="10828" w:name="_Toc491410204"/>
      <w:bookmarkStart w:id="10829" w:name="_Toc496018742"/>
      <w:bookmarkStart w:id="10830" w:name="_Toc515787961"/>
      <w:bookmarkStart w:id="10831" w:name="_Toc515789661"/>
      <w:bookmarkStart w:id="10832" w:name="_Toc515790510"/>
      <w:bookmarkStart w:id="10833" w:name="_Toc515791359"/>
      <w:bookmarkStart w:id="10834" w:name="_Toc515792214"/>
      <w:bookmarkStart w:id="10835" w:name="_Toc515793064"/>
      <w:bookmarkStart w:id="10836" w:name="_Toc515793966"/>
      <w:bookmarkStart w:id="10837" w:name="_Toc515794871"/>
      <w:bookmarkStart w:id="10838" w:name="_Toc515796628"/>
      <w:bookmarkStart w:id="10839" w:name="_Toc488245042"/>
      <w:bookmarkStart w:id="10840" w:name="_Toc488248162"/>
      <w:bookmarkStart w:id="10841" w:name="_Toc488248806"/>
      <w:bookmarkStart w:id="10842" w:name="_Toc488249422"/>
      <w:bookmarkStart w:id="10843" w:name="_Toc488250038"/>
      <w:bookmarkStart w:id="10844" w:name="_Toc488330526"/>
      <w:bookmarkStart w:id="10845" w:name="_Toc488387380"/>
      <w:bookmarkStart w:id="10846" w:name="_Toc488402839"/>
      <w:bookmarkStart w:id="10847" w:name="_Toc488403662"/>
      <w:bookmarkStart w:id="10848" w:name="_Toc488404491"/>
      <w:bookmarkStart w:id="10849" w:name="_Toc488405322"/>
      <w:bookmarkStart w:id="10850" w:name="_Toc488406145"/>
      <w:bookmarkStart w:id="10851" w:name="_Toc488406974"/>
      <w:bookmarkStart w:id="10852" w:name="_Toc491410205"/>
      <w:bookmarkStart w:id="10853" w:name="_Toc496018743"/>
      <w:bookmarkStart w:id="10854" w:name="_Toc515787962"/>
      <w:bookmarkStart w:id="10855" w:name="_Toc515789662"/>
      <w:bookmarkStart w:id="10856" w:name="_Toc515790511"/>
      <w:bookmarkStart w:id="10857" w:name="_Toc515791360"/>
      <w:bookmarkStart w:id="10858" w:name="_Toc515792215"/>
      <w:bookmarkStart w:id="10859" w:name="_Toc515793065"/>
      <w:bookmarkStart w:id="10860" w:name="_Toc515793967"/>
      <w:bookmarkStart w:id="10861" w:name="_Toc515794872"/>
      <w:bookmarkStart w:id="10862" w:name="_Toc515796629"/>
      <w:bookmarkStart w:id="10863" w:name="_Toc488245043"/>
      <w:bookmarkStart w:id="10864" w:name="_Toc488248163"/>
      <w:bookmarkStart w:id="10865" w:name="_Toc488248807"/>
      <w:bookmarkStart w:id="10866" w:name="_Toc488249423"/>
      <w:bookmarkStart w:id="10867" w:name="_Toc488250039"/>
      <w:bookmarkStart w:id="10868" w:name="_Toc488330527"/>
      <w:bookmarkStart w:id="10869" w:name="_Toc488387381"/>
      <w:bookmarkStart w:id="10870" w:name="_Toc488402840"/>
      <w:bookmarkStart w:id="10871" w:name="_Toc488403663"/>
      <w:bookmarkStart w:id="10872" w:name="_Toc488404492"/>
      <w:bookmarkStart w:id="10873" w:name="_Toc488405323"/>
      <w:bookmarkStart w:id="10874" w:name="_Toc488406146"/>
      <w:bookmarkStart w:id="10875" w:name="_Toc488406975"/>
      <w:bookmarkStart w:id="10876" w:name="_Toc491410206"/>
      <w:bookmarkStart w:id="10877" w:name="_Toc496018744"/>
      <w:bookmarkStart w:id="10878" w:name="_Toc515787963"/>
      <w:bookmarkStart w:id="10879" w:name="_Toc515789663"/>
      <w:bookmarkStart w:id="10880" w:name="_Toc515790512"/>
      <w:bookmarkStart w:id="10881" w:name="_Toc515791361"/>
      <w:bookmarkStart w:id="10882" w:name="_Toc515792216"/>
      <w:bookmarkStart w:id="10883" w:name="_Toc515793066"/>
      <w:bookmarkStart w:id="10884" w:name="_Toc515793968"/>
      <w:bookmarkStart w:id="10885" w:name="_Toc515794873"/>
      <w:bookmarkStart w:id="10886" w:name="_Toc515796630"/>
      <w:bookmarkStart w:id="10887" w:name="_Toc488245044"/>
      <w:bookmarkStart w:id="10888" w:name="_Toc488248164"/>
      <w:bookmarkStart w:id="10889" w:name="_Toc488248808"/>
      <w:bookmarkStart w:id="10890" w:name="_Toc488249424"/>
      <w:bookmarkStart w:id="10891" w:name="_Toc488250040"/>
      <w:bookmarkStart w:id="10892" w:name="_Toc488330528"/>
      <w:bookmarkStart w:id="10893" w:name="_Toc488387382"/>
      <w:bookmarkStart w:id="10894" w:name="_Toc488402841"/>
      <w:bookmarkStart w:id="10895" w:name="_Toc488403664"/>
      <w:bookmarkStart w:id="10896" w:name="_Toc488404493"/>
      <w:bookmarkStart w:id="10897" w:name="_Toc488405324"/>
      <w:bookmarkStart w:id="10898" w:name="_Toc488406147"/>
      <w:bookmarkStart w:id="10899" w:name="_Toc488406976"/>
      <w:bookmarkStart w:id="10900" w:name="_Toc491410207"/>
      <w:bookmarkStart w:id="10901" w:name="_Toc496018745"/>
      <w:bookmarkStart w:id="10902" w:name="_Toc515787964"/>
      <w:bookmarkStart w:id="10903" w:name="_Toc515789664"/>
      <w:bookmarkStart w:id="10904" w:name="_Toc515790513"/>
      <w:bookmarkStart w:id="10905" w:name="_Toc515791362"/>
      <w:bookmarkStart w:id="10906" w:name="_Toc515792217"/>
      <w:bookmarkStart w:id="10907" w:name="_Toc515793067"/>
      <w:bookmarkStart w:id="10908" w:name="_Toc515793969"/>
      <w:bookmarkStart w:id="10909" w:name="_Toc515794874"/>
      <w:bookmarkStart w:id="10910" w:name="_Toc515796631"/>
      <w:bookmarkStart w:id="10911" w:name="_Toc488245045"/>
      <w:bookmarkStart w:id="10912" w:name="_Toc488248165"/>
      <w:bookmarkStart w:id="10913" w:name="_Toc488248809"/>
      <w:bookmarkStart w:id="10914" w:name="_Toc488249425"/>
      <w:bookmarkStart w:id="10915" w:name="_Toc488250041"/>
      <w:bookmarkStart w:id="10916" w:name="_Toc488330529"/>
      <w:bookmarkStart w:id="10917" w:name="_Toc488387383"/>
      <w:bookmarkStart w:id="10918" w:name="_Toc488402842"/>
      <w:bookmarkStart w:id="10919" w:name="_Toc488403665"/>
      <w:bookmarkStart w:id="10920" w:name="_Toc488404494"/>
      <w:bookmarkStart w:id="10921" w:name="_Toc488405325"/>
      <w:bookmarkStart w:id="10922" w:name="_Toc488406148"/>
      <w:bookmarkStart w:id="10923" w:name="_Toc488406977"/>
      <w:bookmarkStart w:id="10924" w:name="_Toc491410208"/>
      <w:bookmarkStart w:id="10925" w:name="_Toc496018746"/>
      <w:bookmarkStart w:id="10926" w:name="_Toc515787965"/>
      <w:bookmarkStart w:id="10927" w:name="_Toc515789665"/>
      <w:bookmarkStart w:id="10928" w:name="_Toc515790514"/>
      <w:bookmarkStart w:id="10929" w:name="_Toc515791363"/>
      <w:bookmarkStart w:id="10930" w:name="_Toc515792218"/>
      <w:bookmarkStart w:id="10931" w:name="_Toc515793068"/>
      <w:bookmarkStart w:id="10932" w:name="_Toc515793970"/>
      <w:bookmarkStart w:id="10933" w:name="_Toc515794875"/>
      <w:bookmarkStart w:id="10934" w:name="_Toc515796632"/>
      <w:bookmarkStart w:id="10935" w:name="_Toc488245046"/>
      <w:bookmarkStart w:id="10936" w:name="_Toc488248166"/>
      <w:bookmarkStart w:id="10937" w:name="_Toc488248810"/>
      <w:bookmarkStart w:id="10938" w:name="_Toc488249426"/>
      <w:bookmarkStart w:id="10939" w:name="_Toc488250042"/>
      <w:bookmarkStart w:id="10940" w:name="_Toc488330530"/>
      <w:bookmarkStart w:id="10941" w:name="_Toc488387384"/>
      <w:bookmarkStart w:id="10942" w:name="_Toc488402843"/>
      <w:bookmarkStart w:id="10943" w:name="_Toc488403666"/>
      <w:bookmarkStart w:id="10944" w:name="_Toc488404495"/>
      <w:bookmarkStart w:id="10945" w:name="_Toc488405326"/>
      <w:bookmarkStart w:id="10946" w:name="_Toc488406149"/>
      <w:bookmarkStart w:id="10947" w:name="_Toc488406978"/>
      <w:bookmarkStart w:id="10948" w:name="_Toc491410209"/>
      <w:bookmarkStart w:id="10949" w:name="_Toc496018747"/>
      <w:bookmarkStart w:id="10950" w:name="_Toc515787966"/>
      <w:bookmarkStart w:id="10951" w:name="_Toc515789666"/>
      <w:bookmarkStart w:id="10952" w:name="_Toc515790515"/>
      <w:bookmarkStart w:id="10953" w:name="_Toc515791364"/>
      <w:bookmarkStart w:id="10954" w:name="_Toc515792219"/>
      <w:bookmarkStart w:id="10955" w:name="_Toc515793069"/>
      <w:bookmarkStart w:id="10956" w:name="_Toc515793971"/>
      <w:bookmarkStart w:id="10957" w:name="_Toc515794876"/>
      <w:bookmarkStart w:id="10958" w:name="_Toc515796633"/>
      <w:bookmarkStart w:id="10959" w:name="_Toc488245047"/>
      <w:bookmarkStart w:id="10960" w:name="_Toc488248167"/>
      <w:bookmarkStart w:id="10961" w:name="_Toc488248811"/>
      <w:bookmarkStart w:id="10962" w:name="_Toc488249427"/>
      <w:bookmarkStart w:id="10963" w:name="_Toc488250043"/>
      <w:bookmarkStart w:id="10964" w:name="_Toc488330531"/>
      <w:bookmarkStart w:id="10965" w:name="_Toc488387385"/>
      <w:bookmarkStart w:id="10966" w:name="_Toc488402844"/>
      <w:bookmarkStart w:id="10967" w:name="_Toc488403667"/>
      <w:bookmarkStart w:id="10968" w:name="_Toc488404496"/>
      <w:bookmarkStart w:id="10969" w:name="_Toc488405327"/>
      <w:bookmarkStart w:id="10970" w:name="_Toc488406150"/>
      <w:bookmarkStart w:id="10971" w:name="_Toc488406979"/>
      <w:bookmarkStart w:id="10972" w:name="_Toc491410210"/>
      <w:bookmarkStart w:id="10973" w:name="_Toc496018748"/>
      <w:bookmarkStart w:id="10974" w:name="_Toc515787967"/>
      <w:bookmarkStart w:id="10975" w:name="_Toc515789667"/>
      <w:bookmarkStart w:id="10976" w:name="_Toc515790516"/>
      <w:bookmarkStart w:id="10977" w:name="_Toc515791365"/>
      <w:bookmarkStart w:id="10978" w:name="_Toc515792220"/>
      <w:bookmarkStart w:id="10979" w:name="_Toc515793070"/>
      <w:bookmarkStart w:id="10980" w:name="_Toc515793972"/>
      <w:bookmarkStart w:id="10981" w:name="_Toc515794877"/>
      <w:bookmarkStart w:id="10982" w:name="_Toc515796634"/>
      <w:bookmarkStart w:id="10983" w:name="_Toc488245048"/>
      <w:bookmarkStart w:id="10984" w:name="_Toc488248168"/>
      <w:bookmarkStart w:id="10985" w:name="_Toc488248812"/>
      <w:bookmarkStart w:id="10986" w:name="_Toc488249428"/>
      <w:bookmarkStart w:id="10987" w:name="_Toc488250044"/>
      <w:bookmarkStart w:id="10988" w:name="_Toc488330532"/>
      <w:bookmarkStart w:id="10989" w:name="_Toc488387386"/>
      <w:bookmarkStart w:id="10990" w:name="_Toc488402845"/>
      <w:bookmarkStart w:id="10991" w:name="_Toc488403668"/>
      <w:bookmarkStart w:id="10992" w:name="_Toc488404497"/>
      <w:bookmarkStart w:id="10993" w:name="_Toc488405328"/>
      <w:bookmarkStart w:id="10994" w:name="_Toc488406151"/>
      <w:bookmarkStart w:id="10995" w:name="_Toc488406980"/>
      <w:bookmarkStart w:id="10996" w:name="_Toc491410211"/>
      <w:bookmarkStart w:id="10997" w:name="_Toc496018749"/>
      <w:bookmarkStart w:id="10998" w:name="_Toc515787968"/>
      <w:bookmarkStart w:id="10999" w:name="_Toc515789668"/>
      <w:bookmarkStart w:id="11000" w:name="_Toc515790517"/>
      <w:bookmarkStart w:id="11001" w:name="_Toc515791366"/>
      <w:bookmarkStart w:id="11002" w:name="_Toc515792221"/>
      <w:bookmarkStart w:id="11003" w:name="_Toc515793071"/>
      <w:bookmarkStart w:id="11004" w:name="_Toc515793973"/>
      <w:bookmarkStart w:id="11005" w:name="_Toc515794878"/>
      <w:bookmarkStart w:id="11006" w:name="_Toc515796635"/>
      <w:bookmarkStart w:id="11007" w:name="_Toc437936061"/>
      <w:bookmarkStart w:id="11008" w:name="_Ref510091065"/>
      <w:bookmarkStart w:id="11009" w:name="_Ref79403558"/>
      <w:bookmarkStart w:id="11010" w:name="_Toc17532681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r w:rsidRPr="00BD1319">
        <w:rPr>
          <w:lang w:val="es-CO"/>
        </w:rPr>
        <w:t>ZONIFICACIÓN DE MANEJO AMBIENTAL</w:t>
      </w:r>
      <w:bookmarkEnd w:id="11007"/>
      <w:bookmarkEnd w:id="11008"/>
      <w:bookmarkEnd w:id="11009"/>
      <w:bookmarkEnd w:id="11010"/>
    </w:p>
    <w:p w14:paraId="0E2E711E" w14:textId="44DC90FA" w:rsidR="0050289E" w:rsidRPr="00BD1319" w:rsidRDefault="0050289E">
      <w:pPr>
        <w:numPr>
          <w:ilvl w:val="12"/>
          <w:numId w:val="0"/>
        </w:numPr>
        <w:tabs>
          <w:tab w:val="left" w:pos="-2268"/>
        </w:tabs>
        <w:suppressAutoHyphens/>
        <w:rPr>
          <w:spacing w:val="-3"/>
        </w:rPr>
      </w:pPr>
    </w:p>
    <w:p w14:paraId="00E6FB44" w14:textId="21369A16" w:rsidR="00755A07" w:rsidRPr="00BD1319" w:rsidRDefault="00FF1E46">
      <w:pPr>
        <w:numPr>
          <w:ilvl w:val="12"/>
          <w:numId w:val="0"/>
        </w:numPr>
        <w:tabs>
          <w:tab w:val="left" w:pos="-2268"/>
        </w:tabs>
        <w:suppressAutoHyphens/>
        <w:rPr>
          <w:rFonts w:cs="Arial"/>
          <w:spacing w:val="-3"/>
        </w:rPr>
      </w:pPr>
      <w:r w:rsidRPr="00BD1319">
        <w:rPr>
          <w:rFonts w:cs="Arial"/>
          <w:spacing w:val="-3"/>
        </w:rPr>
        <w:lastRenderedPageBreak/>
        <w:t xml:space="preserve">La </w:t>
      </w:r>
      <w:r w:rsidRPr="00BD1319">
        <w:rPr>
          <w:spacing w:val="-3"/>
        </w:rPr>
        <w:t xml:space="preserve">zonificación de manejo ambiental tiene como propósito </w:t>
      </w:r>
      <w:r w:rsidRPr="00BD1319">
        <w:rPr>
          <w:rFonts w:cs="Arial"/>
          <w:spacing w:val="-3"/>
        </w:rPr>
        <w:t xml:space="preserve">establecer, para el área de influencia del </w:t>
      </w:r>
      <w:r w:rsidRPr="00BD1319">
        <w:rPr>
          <w:spacing w:val="-3"/>
        </w:rPr>
        <w:t>proyecto, obra o actividad</w:t>
      </w:r>
      <w:r w:rsidRPr="00BD1319">
        <w:rPr>
          <w:rFonts w:cs="Arial"/>
          <w:spacing w:val="-3"/>
        </w:rPr>
        <w:t xml:space="preserve">, zonas homogéneas de acuerdo </w:t>
      </w:r>
      <w:r w:rsidR="00037A36" w:rsidRPr="00BD1319">
        <w:rPr>
          <w:rFonts w:cs="Arial"/>
          <w:spacing w:val="-3"/>
        </w:rPr>
        <w:t>con e</w:t>
      </w:r>
      <w:r w:rsidRPr="00BD1319">
        <w:rPr>
          <w:rFonts w:cs="Arial"/>
          <w:spacing w:val="-3"/>
        </w:rPr>
        <w:t>l grado con el cual pueden ser intervenidas</w:t>
      </w:r>
      <w:r w:rsidR="00755A07" w:rsidRPr="00BD1319">
        <w:rPr>
          <w:rFonts w:cs="Arial"/>
          <w:spacing w:val="-3"/>
        </w:rPr>
        <w:t xml:space="preserve">. Esta zonificación se obtiene a partir de la integración de </w:t>
      </w:r>
      <w:r w:rsidR="00273047" w:rsidRPr="00BD1319">
        <w:rPr>
          <w:rFonts w:cs="Arial"/>
          <w:spacing w:val="-3"/>
        </w:rPr>
        <w:t xml:space="preserve">la </w:t>
      </w:r>
      <w:r w:rsidR="00755A07" w:rsidRPr="00BD1319">
        <w:rPr>
          <w:rFonts w:cs="Arial"/>
          <w:spacing w:val="-3"/>
        </w:rPr>
        <w:t xml:space="preserve">información </w:t>
      </w:r>
      <w:r w:rsidR="006A4CAC" w:rsidRPr="00BD1319">
        <w:rPr>
          <w:rFonts w:cs="Arial"/>
          <w:spacing w:val="-3"/>
        </w:rPr>
        <w:t xml:space="preserve">procesada en </w:t>
      </w:r>
      <w:r w:rsidR="00037A36" w:rsidRPr="00BD1319">
        <w:rPr>
          <w:rFonts w:cs="Arial"/>
          <w:spacing w:val="-3"/>
        </w:rPr>
        <w:t xml:space="preserve">los numerales </w:t>
      </w:r>
      <w:proofErr w:type="gramStart"/>
      <w:r w:rsidR="00037A36" w:rsidRPr="00BD1319">
        <w:rPr>
          <w:rFonts w:cs="Arial"/>
          <w:spacing w:val="-3"/>
        </w:rPr>
        <w:t xml:space="preserve">zonificación ambiental </w:t>
      </w:r>
      <w:r w:rsidR="00037A36" w:rsidRPr="00BD1319">
        <w:rPr>
          <w:spacing w:val="-3"/>
        </w:rPr>
        <w:t>y evaluación ambiental</w:t>
      </w:r>
      <w:proofErr w:type="gramEnd"/>
      <w:r w:rsidR="00273047" w:rsidRPr="00BD1319">
        <w:rPr>
          <w:spacing w:val="-3"/>
        </w:rPr>
        <w:t>.</w:t>
      </w:r>
    </w:p>
    <w:p w14:paraId="1323DCA4" w14:textId="77777777" w:rsidR="00037A36" w:rsidRPr="00BD1319" w:rsidRDefault="00037A36" w:rsidP="009B04FC">
      <w:pPr>
        <w:numPr>
          <w:ilvl w:val="12"/>
          <w:numId w:val="0"/>
        </w:numPr>
        <w:tabs>
          <w:tab w:val="left" w:pos="-2268"/>
        </w:tabs>
        <w:suppressAutoHyphens/>
        <w:rPr>
          <w:rFonts w:cs="Arial"/>
          <w:spacing w:val="-3"/>
        </w:rPr>
      </w:pPr>
    </w:p>
    <w:p w14:paraId="549C20B5" w14:textId="51886007" w:rsidR="009B04FC" w:rsidRPr="00BD1319" w:rsidRDefault="00273047">
      <w:pPr>
        <w:numPr>
          <w:ilvl w:val="12"/>
          <w:numId w:val="0"/>
        </w:numPr>
        <w:tabs>
          <w:tab w:val="left" w:pos="-2268"/>
        </w:tabs>
        <w:suppressAutoHyphens/>
        <w:rPr>
          <w:rFonts w:cs="Arial"/>
          <w:spacing w:val="-3"/>
        </w:rPr>
      </w:pPr>
      <w:r w:rsidRPr="00BD1319">
        <w:rPr>
          <w:rFonts w:cs="Arial"/>
          <w:spacing w:val="-3"/>
        </w:rPr>
        <w:t xml:space="preserve">Dicha integración relaciona </w:t>
      </w:r>
      <w:r w:rsidR="00755A07" w:rsidRPr="00BD1319">
        <w:rPr>
          <w:rFonts w:cs="Arial"/>
          <w:spacing w:val="-3"/>
        </w:rPr>
        <w:t>los diferentes grados de</w:t>
      </w:r>
      <w:r w:rsidR="009B04FC" w:rsidRPr="00BD1319">
        <w:rPr>
          <w:rFonts w:cs="Arial"/>
          <w:spacing w:val="-3"/>
        </w:rPr>
        <w:t xml:space="preserve"> sensibilidad ambiental de las unidad</w:t>
      </w:r>
      <w:r w:rsidR="00755A07" w:rsidRPr="00BD1319">
        <w:rPr>
          <w:rFonts w:cs="Arial"/>
          <w:spacing w:val="-3"/>
        </w:rPr>
        <w:t>es</w:t>
      </w:r>
      <w:r w:rsidR="009B04FC" w:rsidRPr="00BD1319">
        <w:rPr>
          <w:rFonts w:cs="Arial"/>
          <w:spacing w:val="-3"/>
        </w:rPr>
        <w:t xml:space="preserve"> de análisis </w:t>
      </w:r>
      <w:r w:rsidR="00755A07" w:rsidRPr="00BD1319">
        <w:rPr>
          <w:rFonts w:cs="Arial"/>
          <w:spacing w:val="-3"/>
        </w:rPr>
        <w:t xml:space="preserve">de cada componente </w:t>
      </w:r>
      <w:r w:rsidRPr="00BD1319">
        <w:rPr>
          <w:rFonts w:cs="Arial"/>
          <w:spacing w:val="-3"/>
        </w:rPr>
        <w:t>(muy baja, baja, media, alta y muy alta) con las categorías de</w:t>
      </w:r>
      <w:r w:rsidR="00750298" w:rsidRPr="00BD1319">
        <w:rPr>
          <w:rFonts w:cs="Arial"/>
          <w:spacing w:val="-3"/>
        </w:rPr>
        <w:t>l</w:t>
      </w:r>
      <w:r w:rsidRPr="00BD1319">
        <w:rPr>
          <w:rFonts w:cs="Arial"/>
          <w:spacing w:val="-3"/>
        </w:rPr>
        <w:t xml:space="preserve"> potencial normalizado de modificación de las condiciones ambientales</w:t>
      </w:r>
      <w:r w:rsidRPr="00BD1319" w:rsidDel="00273047">
        <w:rPr>
          <w:rFonts w:cs="Arial"/>
          <w:spacing w:val="-3"/>
        </w:rPr>
        <w:t xml:space="preserve"> </w:t>
      </w:r>
      <w:r w:rsidR="00755A07" w:rsidRPr="00BD1319">
        <w:rPr>
          <w:rFonts w:cs="Arial"/>
          <w:spacing w:val="-3"/>
        </w:rPr>
        <w:t xml:space="preserve">de </w:t>
      </w:r>
      <w:r w:rsidRPr="00BD1319">
        <w:rPr>
          <w:rFonts w:cs="Arial"/>
          <w:spacing w:val="-3"/>
        </w:rPr>
        <w:t>los impactos (bajo, medio, alto y muy alto)</w:t>
      </w:r>
      <w:r w:rsidR="00750298" w:rsidRPr="00BD1319">
        <w:rPr>
          <w:rStyle w:val="Refdenotaalpie"/>
          <w:rFonts w:cs="Arial"/>
          <w:spacing w:val="-3"/>
          <w:lang w:val="es-CO"/>
        </w:rPr>
        <w:footnoteReference w:id="206"/>
      </w:r>
      <w:r w:rsidR="009B04FC" w:rsidRPr="00BD1319">
        <w:rPr>
          <w:rFonts w:cs="Arial"/>
          <w:spacing w:val="-3"/>
        </w:rPr>
        <w:t xml:space="preserve">, </w:t>
      </w:r>
      <w:r w:rsidR="0028289C" w:rsidRPr="00BD1319">
        <w:rPr>
          <w:rFonts w:cs="Arial"/>
          <w:spacing w:val="-3"/>
        </w:rPr>
        <w:t>con el propósito de</w:t>
      </w:r>
      <w:r w:rsidR="00750298" w:rsidRPr="00BD1319">
        <w:rPr>
          <w:rFonts w:cs="Arial"/>
          <w:spacing w:val="-3"/>
        </w:rPr>
        <w:t xml:space="preserve"> </w:t>
      </w:r>
      <w:r w:rsidR="00755A07" w:rsidRPr="00BD1319">
        <w:rPr>
          <w:rFonts w:cs="Arial"/>
          <w:spacing w:val="-3"/>
        </w:rPr>
        <w:t>defin</w:t>
      </w:r>
      <w:r w:rsidR="00750298" w:rsidRPr="00BD1319">
        <w:rPr>
          <w:rFonts w:cs="Arial"/>
          <w:spacing w:val="-3"/>
        </w:rPr>
        <w:t xml:space="preserve">ir </w:t>
      </w:r>
      <w:r w:rsidR="00C525DF" w:rsidRPr="00BD1319">
        <w:rPr>
          <w:rFonts w:cs="Arial"/>
          <w:spacing w:val="-3"/>
        </w:rPr>
        <w:t>áreas de intervención</w:t>
      </w:r>
      <w:r w:rsidR="009B04FC" w:rsidRPr="00BD1319">
        <w:rPr>
          <w:rFonts w:cs="Arial"/>
          <w:spacing w:val="-3"/>
        </w:rPr>
        <w:t xml:space="preserve">, </w:t>
      </w:r>
      <w:r w:rsidR="00C525DF" w:rsidRPr="00BD1319">
        <w:rPr>
          <w:rFonts w:cs="Arial"/>
          <w:spacing w:val="-3"/>
        </w:rPr>
        <w:t>áreas de intervención con restricciones</w:t>
      </w:r>
      <w:r w:rsidRPr="00BD1319">
        <w:rPr>
          <w:rFonts w:cs="Arial"/>
          <w:spacing w:val="-3"/>
        </w:rPr>
        <w:t xml:space="preserve"> y</w:t>
      </w:r>
      <w:r w:rsidR="00C525DF" w:rsidRPr="00BD1319">
        <w:rPr>
          <w:rFonts w:cs="Arial"/>
          <w:spacing w:val="-3"/>
        </w:rPr>
        <w:t xml:space="preserve"> áreas de exclusión, </w:t>
      </w:r>
      <w:r w:rsidR="009B04FC" w:rsidRPr="00BD1319">
        <w:rPr>
          <w:rFonts w:cs="Arial"/>
          <w:spacing w:val="-3"/>
        </w:rPr>
        <w:t>de acuerdo con lo establecido en el artículo 2.2.2.3.5.1 del Decreto 1076 de 2015</w:t>
      </w:r>
      <w:r w:rsidR="00755A07" w:rsidRPr="00BD1319">
        <w:rPr>
          <w:rFonts w:cs="Arial"/>
          <w:spacing w:val="-3"/>
        </w:rPr>
        <w:t>, o aquel que lo modifique o sustituya</w:t>
      </w:r>
      <w:r w:rsidR="006A4CAC" w:rsidRPr="00BD1319">
        <w:rPr>
          <w:rFonts w:cs="Arial"/>
          <w:spacing w:val="-3"/>
        </w:rPr>
        <w:t>.</w:t>
      </w:r>
    </w:p>
    <w:p w14:paraId="049F9B8C" w14:textId="77777777" w:rsidR="009B04FC" w:rsidRPr="00BD1319" w:rsidRDefault="009B04FC" w:rsidP="009B04FC">
      <w:pPr>
        <w:numPr>
          <w:ilvl w:val="12"/>
          <w:numId w:val="0"/>
        </w:numPr>
        <w:tabs>
          <w:tab w:val="left" w:pos="-2268"/>
        </w:tabs>
        <w:suppressAutoHyphens/>
        <w:rPr>
          <w:rFonts w:cs="Arial"/>
          <w:spacing w:val="-3"/>
        </w:rPr>
      </w:pPr>
    </w:p>
    <w:p w14:paraId="14D47271" w14:textId="10CAC2AA" w:rsidR="004118A7" w:rsidRPr="00BD1319" w:rsidRDefault="004118A7" w:rsidP="004118A7">
      <w:pPr>
        <w:numPr>
          <w:ilvl w:val="12"/>
          <w:numId w:val="0"/>
        </w:numPr>
        <w:tabs>
          <w:tab w:val="left" w:pos="-2268"/>
        </w:tabs>
        <w:suppressAutoHyphens/>
        <w:rPr>
          <w:rFonts w:cs="Arial"/>
          <w:spacing w:val="-3"/>
        </w:rPr>
      </w:pPr>
      <w:r w:rsidRPr="00BD1319">
        <w:rPr>
          <w:rFonts w:cs="Arial"/>
          <w:spacing w:val="-3"/>
        </w:rPr>
        <w:t xml:space="preserve">El procesamiento de información sobre </w:t>
      </w:r>
      <w:r w:rsidRPr="00BD1319">
        <w:rPr>
          <w:spacing w:val="-3"/>
        </w:rPr>
        <w:t xml:space="preserve">sensibilidad ambiental y potencial normalizado de modificación </w:t>
      </w:r>
      <w:r w:rsidRPr="00BD1319">
        <w:rPr>
          <w:rFonts w:cs="Arial"/>
          <w:spacing w:val="-3"/>
        </w:rPr>
        <w:t xml:space="preserve">de cada una de las unidades de </w:t>
      </w:r>
      <w:r w:rsidR="003D2F41" w:rsidRPr="00BD1319">
        <w:rPr>
          <w:rFonts w:cs="Arial"/>
          <w:spacing w:val="-3"/>
        </w:rPr>
        <w:t>análisis</w:t>
      </w:r>
      <w:r w:rsidRPr="00BD1319">
        <w:rPr>
          <w:rFonts w:cs="Arial"/>
          <w:spacing w:val="-3"/>
        </w:rPr>
        <w:t xml:space="preserve"> debe realizarse de manera cualitativa o cuantitativa mediante análisis espacial. Los resultados de tal análisis definen </w:t>
      </w:r>
      <w:r w:rsidR="00C90A07" w:rsidRPr="00BD1319">
        <w:rPr>
          <w:rFonts w:cs="Arial"/>
          <w:spacing w:val="-3"/>
        </w:rPr>
        <w:t>áreas de intervención, áreas de intervención con restricciones y áreas de exclusión</w:t>
      </w:r>
      <w:r w:rsidRPr="00BD1319">
        <w:rPr>
          <w:rFonts w:cs="Arial"/>
          <w:spacing w:val="-3"/>
        </w:rPr>
        <w:t xml:space="preserve">, </w:t>
      </w:r>
      <w:r w:rsidR="00C90A07" w:rsidRPr="00BD1319">
        <w:rPr>
          <w:spacing w:val="-3"/>
        </w:rPr>
        <w:t>de acuerdo con l</w:t>
      </w:r>
      <w:r w:rsidR="00C90A07" w:rsidRPr="00BD1319">
        <w:rPr>
          <w:rFonts w:cs="Arial"/>
          <w:spacing w:val="-3"/>
        </w:rPr>
        <w:t xml:space="preserve">as definiciones e interacciones </w:t>
      </w:r>
      <w:r w:rsidR="002D4EBB" w:rsidRPr="00BD1319">
        <w:rPr>
          <w:rFonts w:cs="Arial"/>
          <w:i/>
          <w:iCs/>
          <w:spacing w:val="-3"/>
        </w:rPr>
        <w:t>Potencial normalizado de modificación</w:t>
      </w:r>
      <w:r w:rsidR="002D4EBB" w:rsidRPr="00BD1319">
        <w:rPr>
          <w:rFonts w:cs="Arial"/>
          <w:spacing w:val="-3"/>
        </w:rPr>
        <w:t xml:space="preserve"> – </w:t>
      </w:r>
      <w:r w:rsidR="002D4EBB" w:rsidRPr="00BD1319">
        <w:rPr>
          <w:rFonts w:cs="Arial"/>
          <w:i/>
          <w:iCs/>
          <w:spacing w:val="-3"/>
        </w:rPr>
        <w:t>Sensibilidad ambiental</w:t>
      </w:r>
      <w:r w:rsidR="002D4EBB" w:rsidRPr="00BD1319">
        <w:rPr>
          <w:rFonts w:cs="Arial"/>
          <w:spacing w:val="-3"/>
        </w:rPr>
        <w:t xml:space="preserve"> </w:t>
      </w:r>
      <w:r w:rsidR="00C90A07" w:rsidRPr="00BD1319">
        <w:rPr>
          <w:rFonts w:cs="Arial"/>
          <w:spacing w:val="-3"/>
        </w:rPr>
        <w:t>que se señalan a continuación:</w:t>
      </w:r>
    </w:p>
    <w:p w14:paraId="3ECA94E4" w14:textId="77777777" w:rsidR="004118A7" w:rsidRPr="00BD1319" w:rsidRDefault="004118A7">
      <w:pPr>
        <w:numPr>
          <w:ilvl w:val="12"/>
          <w:numId w:val="0"/>
        </w:numPr>
        <w:tabs>
          <w:tab w:val="left" w:pos="-2268"/>
        </w:tabs>
        <w:suppressAutoHyphens/>
        <w:rPr>
          <w:rFonts w:cs="Arial"/>
          <w:spacing w:val="-3"/>
        </w:rPr>
      </w:pPr>
    </w:p>
    <w:p w14:paraId="5DB8231A" w14:textId="4448BDFA" w:rsidR="009B04FC" w:rsidRPr="00BD1319" w:rsidRDefault="009B04FC" w:rsidP="00FF650F">
      <w:pPr>
        <w:pStyle w:val="Prrafodelista"/>
        <w:numPr>
          <w:ilvl w:val="0"/>
          <w:numId w:val="5"/>
        </w:numPr>
        <w:tabs>
          <w:tab w:val="left" w:pos="-2268"/>
        </w:tabs>
        <w:suppressAutoHyphens/>
        <w:ind w:left="567" w:hanging="567"/>
        <w:rPr>
          <w:rFonts w:cs="Arial"/>
          <w:spacing w:val="-3"/>
          <w:lang w:val="es-CO"/>
        </w:rPr>
      </w:pPr>
      <w:bookmarkStart w:id="11011" w:name="_Hlk89354466"/>
      <w:r w:rsidRPr="00BD1319">
        <w:rPr>
          <w:rFonts w:cs="Arial"/>
          <w:b/>
          <w:spacing w:val="-3"/>
          <w:lang w:val="es-CO"/>
        </w:rPr>
        <w:t xml:space="preserve">Área </w:t>
      </w:r>
      <w:r w:rsidR="00C525DF" w:rsidRPr="00BD1319">
        <w:rPr>
          <w:rFonts w:cs="Arial"/>
          <w:b/>
          <w:spacing w:val="-3"/>
          <w:lang w:val="es-CO"/>
        </w:rPr>
        <w:t xml:space="preserve">de intervención </w:t>
      </w:r>
      <w:bookmarkEnd w:id="11011"/>
      <w:r w:rsidRPr="00BD1319">
        <w:rPr>
          <w:rFonts w:cs="Arial"/>
          <w:b/>
          <w:spacing w:val="-3"/>
          <w:lang w:val="es-CO"/>
        </w:rPr>
        <w:t>(</w:t>
      </w:r>
      <w:r w:rsidR="00C525DF" w:rsidRPr="00BD1319">
        <w:rPr>
          <w:rFonts w:cs="Arial"/>
          <w:b/>
          <w:spacing w:val="-3"/>
          <w:lang w:val="es-CO"/>
        </w:rPr>
        <w:t>AI</w:t>
      </w:r>
      <w:r w:rsidRPr="00BD1319">
        <w:rPr>
          <w:rFonts w:cs="Arial"/>
          <w:b/>
          <w:spacing w:val="-3"/>
          <w:lang w:val="es-CO"/>
        </w:rPr>
        <w:t>):</w:t>
      </w:r>
      <w:r w:rsidRPr="00BD1319">
        <w:rPr>
          <w:rFonts w:cs="Arial"/>
          <w:lang w:val="es-CO"/>
        </w:rPr>
        <w:t xml:space="preserve"> </w:t>
      </w:r>
      <w:r w:rsidR="00C90A07" w:rsidRPr="00BD1319">
        <w:rPr>
          <w:rFonts w:cs="Arial"/>
          <w:spacing w:val="-3"/>
          <w:lang w:val="es-CO"/>
        </w:rPr>
        <w:t xml:space="preserve">área en la que la normativa vigente no impone prohibiciones y en la que la relación particular entre potencial normalizado de modificación de los impactos </w:t>
      </w:r>
      <w:r w:rsidR="004013C6" w:rsidRPr="00BD1319">
        <w:rPr>
          <w:rFonts w:cs="Arial"/>
          <w:spacing w:val="-3"/>
          <w:lang w:val="es-CO"/>
        </w:rPr>
        <w:t xml:space="preserve">y sensibilidad ambiental </w:t>
      </w:r>
      <w:r w:rsidR="00C90A07" w:rsidRPr="00BD1319">
        <w:rPr>
          <w:rFonts w:cs="Arial"/>
          <w:spacing w:val="-3"/>
          <w:lang w:val="es-CO"/>
        </w:rPr>
        <w:t>es tal</w:t>
      </w:r>
      <w:r w:rsidR="009665E3" w:rsidRPr="00BD1319">
        <w:rPr>
          <w:rFonts w:cs="Arial"/>
          <w:spacing w:val="-3"/>
          <w:lang w:val="es-CO"/>
        </w:rPr>
        <w:t xml:space="preserve"> (ver </w:t>
      </w:r>
      <w:r w:rsidR="009665E3" w:rsidRPr="00BD1319">
        <w:rPr>
          <w:rFonts w:cs="Arial"/>
          <w:spacing w:val="-3"/>
          <w:lang w:val="es-CO"/>
        </w:rPr>
        <w:fldChar w:fldCharType="begin"/>
      </w:r>
      <w:r w:rsidR="009665E3" w:rsidRPr="00BD1319">
        <w:rPr>
          <w:rFonts w:cs="Arial"/>
          <w:spacing w:val="-3"/>
          <w:lang w:val="es-CO"/>
        </w:rPr>
        <w:instrText xml:space="preserve"> REF _Ref82611016 \h </w:instrText>
      </w:r>
      <w:r w:rsidR="00BD1319">
        <w:rPr>
          <w:rFonts w:cs="Arial"/>
          <w:spacing w:val="-3"/>
          <w:lang w:val="es-CO"/>
        </w:rPr>
        <w:instrText xml:space="preserve"> \* MERGEFORMAT </w:instrText>
      </w:r>
      <w:r w:rsidR="009665E3" w:rsidRPr="00BD1319">
        <w:rPr>
          <w:rFonts w:cs="Arial"/>
          <w:spacing w:val="-3"/>
          <w:lang w:val="es-CO"/>
        </w:rPr>
      </w:r>
      <w:r w:rsidR="009665E3" w:rsidRPr="00BD1319">
        <w:rPr>
          <w:rFonts w:cs="Arial"/>
          <w:spacing w:val="-3"/>
          <w:lang w:val="es-CO"/>
        </w:rPr>
        <w:fldChar w:fldCharType="separate"/>
      </w:r>
      <w:r w:rsidR="00296654" w:rsidRPr="00BD1319">
        <w:t xml:space="preserve">Tabla </w:t>
      </w:r>
      <w:r w:rsidR="00296654" w:rsidRPr="00BD1319">
        <w:rPr>
          <w:noProof/>
        </w:rPr>
        <w:t>36</w:t>
      </w:r>
      <w:r w:rsidR="009665E3" w:rsidRPr="00BD1319">
        <w:rPr>
          <w:rFonts w:cs="Arial"/>
          <w:spacing w:val="-3"/>
          <w:lang w:val="es-CO"/>
        </w:rPr>
        <w:fldChar w:fldCharType="end"/>
      </w:r>
      <w:r w:rsidR="009665E3" w:rsidRPr="00BD1319">
        <w:rPr>
          <w:rFonts w:cs="Arial"/>
          <w:spacing w:val="-3"/>
          <w:lang w:val="es-CO"/>
        </w:rPr>
        <w:t>)</w:t>
      </w:r>
      <w:r w:rsidR="00C90A07" w:rsidRPr="00BD1319">
        <w:rPr>
          <w:rFonts w:cs="Arial"/>
          <w:spacing w:val="-3"/>
          <w:lang w:val="es-CO"/>
        </w:rPr>
        <w:t>, que es posible ejecutar cualquiera de las actividades del proyecto, obra o actividad; para la ejecución de tales actividades debe aplicarse la jerarquía de las medidas de manejo.</w:t>
      </w:r>
    </w:p>
    <w:p w14:paraId="7C278352" w14:textId="77777777" w:rsidR="009B04FC" w:rsidRPr="00BD1319" w:rsidRDefault="009B04FC" w:rsidP="009B04FC">
      <w:pPr>
        <w:tabs>
          <w:tab w:val="left" w:pos="-2268"/>
        </w:tabs>
        <w:suppressAutoHyphens/>
        <w:rPr>
          <w:rFonts w:cs="Arial"/>
          <w:spacing w:val="-3"/>
        </w:rPr>
      </w:pPr>
    </w:p>
    <w:p w14:paraId="5764FE40" w14:textId="52D6478E" w:rsidR="00E1669C" w:rsidRPr="00BD1319" w:rsidRDefault="00E1669C" w:rsidP="009420F5">
      <w:pPr>
        <w:pStyle w:val="Descripcin"/>
        <w:keepNext/>
        <w:ind w:left="426" w:right="476"/>
        <w:jc w:val="center"/>
        <w:rPr>
          <w:b w:val="0"/>
        </w:rPr>
      </w:pPr>
      <w:bookmarkStart w:id="11012" w:name="_Ref82611016"/>
      <w:r w:rsidRPr="00BD1319">
        <w:t xml:space="preserve">Tabla </w:t>
      </w:r>
      <w:fldSimple w:instr=" SEQ Tabla \* ARABIC ">
        <w:r w:rsidR="00296654" w:rsidRPr="00BD1319">
          <w:rPr>
            <w:noProof/>
          </w:rPr>
          <w:t>36</w:t>
        </w:r>
      </w:fldSimple>
      <w:bookmarkEnd w:id="11012"/>
      <w:r w:rsidRPr="00BD1319">
        <w:t xml:space="preserve">. </w:t>
      </w:r>
      <w:r w:rsidRPr="00BD1319">
        <w:rPr>
          <w:b w:val="0"/>
        </w:rPr>
        <w:t xml:space="preserve">Interacción </w:t>
      </w:r>
      <w:r w:rsidR="004013C6" w:rsidRPr="00BD1319">
        <w:rPr>
          <w:b w:val="0"/>
        </w:rPr>
        <w:t xml:space="preserve">Potencial normalizado de modificación – Sensibilidad ambiental </w:t>
      </w:r>
      <w:r w:rsidRPr="00BD1319">
        <w:rPr>
          <w:b w:val="0"/>
        </w:rPr>
        <w:t xml:space="preserve">que determina </w:t>
      </w:r>
      <w:r w:rsidR="00C90A07" w:rsidRPr="00BD1319">
        <w:rPr>
          <w:b w:val="0"/>
        </w:rPr>
        <w:t xml:space="preserve">un </w:t>
      </w:r>
      <w:r w:rsidRPr="00BD1319">
        <w:rPr>
          <w:b w:val="0"/>
        </w:rPr>
        <w:t>área de intervención.</w:t>
      </w:r>
    </w:p>
    <w:tbl>
      <w:tblPr>
        <w:tblStyle w:val="Tablaconcuadrcula"/>
        <w:tblW w:w="8388" w:type="dxa"/>
        <w:jc w:val="center"/>
        <w:tblLayout w:type="fixed"/>
        <w:tblLook w:val="04A0" w:firstRow="1" w:lastRow="0" w:firstColumn="1" w:lastColumn="0" w:noHBand="0" w:noVBand="1"/>
      </w:tblPr>
      <w:tblGrid>
        <w:gridCol w:w="2551"/>
        <w:gridCol w:w="1167"/>
        <w:gridCol w:w="1167"/>
        <w:gridCol w:w="1168"/>
        <w:gridCol w:w="1167"/>
        <w:gridCol w:w="1168"/>
      </w:tblGrid>
      <w:tr w:rsidR="009B04FC" w:rsidRPr="00BD1319" w14:paraId="3F65164F" w14:textId="77777777" w:rsidTr="009420F5">
        <w:trPr>
          <w:trHeight w:val="315"/>
          <w:jc w:val="center"/>
        </w:trPr>
        <w:tc>
          <w:tcPr>
            <w:tcW w:w="2551" w:type="dxa"/>
            <w:vMerge w:val="restart"/>
            <w:shd w:val="clear" w:color="auto" w:fill="auto"/>
            <w:noWrap/>
            <w:vAlign w:val="center"/>
            <w:hideMark/>
          </w:tcPr>
          <w:p w14:paraId="12E5C9B1" w14:textId="2774D283" w:rsidR="009B04FC" w:rsidRPr="00BD1319" w:rsidRDefault="004013C6">
            <w:pPr>
              <w:tabs>
                <w:tab w:val="left" w:pos="-2268"/>
              </w:tabs>
              <w:suppressAutoHyphens/>
              <w:jc w:val="center"/>
              <w:rPr>
                <w:rFonts w:cs="Arial"/>
                <w:spacing w:val="-3"/>
                <w:sz w:val="22"/>
              </w:rPr>
            </w:pPr>
            <w:r w:rsidRPr="00BD1319">
              <w:rPr>
                <w:rFonts w:cs="Arial"/>
                <w:b/>
                <w:bCs/>
                <w:spacing w:val="-3"/>
                <w:sz w:val="22"/>
              </w:rPr>
              <w:t>Potencial normalizado de modificación</w:t>
            </w:r>
            <w:r w:rsidR="000815E2" w:rsidRPr="00BD1319">
              <w:rPr>
                <w:rFonts w:cs="Arial"/>
                <w:b/>
                <w:bCs/>
                <w:spacing w:val="-3"/>
                <w:sz w:val="22"/>
              </w:rPr>
              <w:t xml:space="preserve"> del impacto</w:t>
            </w:r>
          </w:p>
        </w:tc>
        <w:tc>
          <w:tcPr>
            <w:tcW w:w="5837" w:type="dxa"/>
            <w:gridSpan w:val="5"/>
            <w:shd w:val="clear" w:color="auto" w:fill="auto"/>
            <w:noWrap/>
            <w:vAlign w:val="center"/>
            <w:hideMark/>
          </w:tcPr>
          <w:p w14:paraId="14774A2B" w14:textId="788694DE" w:rsidR="009B04FC" w:rsidRPr="00BD1319" w:rsidRDefault="009B04FC" w:rsidP="004F01DD">
            <w:pPr>
              <w:tabs>
                <w:tab w:val="left" w:pos="-2268"/>
              </w:tabs>
              <w:suppressAutoHyphens/>
              <w:jc w:val="center"/>
              <w:rPr>
                <w:rFonts w:cs="Arial"/>
                <w:b/>
                <w:bCs/>
                <w:spacing w:val="-3"/>
                <w:sz w:val="22"/>
              </w:rPr>
            </w:pPr>
            <w:r w:rsidRPr="00BD1319">
              <w:rPr>
                <w:rFonts w:cs="Arial"/>
                <w:b/>
                <w:bCs/>
                <w:spacing w:val="-3"/>
                <w:sz w:val="22"/>
              </w:rPr>
              <w:t xml:space="preserve">Sensibilidad </w:t>
            </w:r>
            <w:r w:rsidR="00551C9D" w:rsidRPr="00BD1319">
              <w:rPr>
                <w:rFonts w:cs="Arial"/>
                <w:b/>
                <w:bCs/>
                <w:spacing w:val="-3"/>
                <w:sz w:val="22"/>
              </w:rPr>
              <w:t>a</w:t>
            </w:r>
            <w:r w:rsidRPr="00BD1319">
              <w:rPr>
                <w:rFonts w:cs="Arial"/>
                <w:b/>
                <w:bCs/>
                <w:spacing w:val="-3"/>
                <w:sz w:val="22"/>
              </w:rPr>
              <w:t>mbiental</w:t>
            </w:r>
          </w:p>
        </w:tc>
      </w:tr>
      <w:tr w:rsidR="009B04FC" w:rsidRPr="00BD1319" w14:paraId="50A4E90C" w14:textId="77777777" w:rsidTr="009420F5">
        <w:trPr>
          <w:trHeight w:val="315"/>
          <w:jc w:val="center"/>
        </w:trPr>
        <w:tc>
          <w:tcPr>
            <w:tcW w:w="2551" w:type="dxa"/>
            <w:vMerge/>
            <w:shd w:val="clear" w:color="auto" w:fill="auto"/>
            <w:noWrap/>
            <w:vAlign w:val="center"/>
            <w:hideMark/>
          </w:tcPr>
          <w:p w14:paraId="2415A181" w14:textId="77777777" w:rsidR="009B04FC" w:rsidRPr="00BD1319" w:rsidRDefault="009B04FC" w:rsidP="004F01DD">
            <w:pPr>
              <w:tabs>
                <w:tab w:val="left" w:pos="-2268"/>
              </w:tabs>
              <w:suppressAutoHyphens/>
              <w:jc w:val="center"/>
              <w:rPr>
                <w:rFonts w:cs="Arial"/>
                <w:b/>
                <w:bCs/>
                <w:spacing w:val="-3"/>
                <w:sz w:val="22"/>
              </w:rPr>
            </w:pPr>
          </w:p>
        </w:tc>
        <w:tc>
          <w:tcPr>
            <w:tcW w:w="1167" w:type="dxa"/>
            <w:shd w:val="clear" w:color="auto" w:fill="auto"/>
            <w:vAlign w:val="center"/>
            <w:hideMark/>
          </w:tcPr>
          <w:p w14:paraId="6CE18C4E" w14:textId="77777777" w:rsidR="009B04FC" w:rsidRPr="00BD1319" w:rsidRDefault="009B04FC" w:rsidP="004F01DD">
            <w:pPr>
              <w:tabs>
                <w:tab w:val="left" w:pos="-2268"/>
              </w:tabs>
              <w:suppressAutoHyphens/>
              <w:jc w:val="center"/>
              <w:rPr>
                <w:rFonts w:cs="Arial"/>
                <w:b/>
                <w:bCs/>
                <w:spacing w:val="-3"/>
                <w:sz w:val="22"/>
              </w:rPr>
            </w:pPr>
            <w:r w:rsidRPr="00BD1319">
              <w:rPr>
                <w:rFonts w:cs="Arial"/>
                <w:b/>
                <w:bCs/>
                <w:spacing w:val="-3"/>
                <w:sz w:val="22"/>
              </w:rPr>
              <w:t>Muy Baja</w:t>
            </w:r>
          </w:p>
        </w:tc>
        <w:tc>
          <w:tcPr>
            <w:tcW w:w="1167" w:type="dxa"/>
            <w:shd w:val="clear" w:color="auto" w:fill="auto"/>
            <w:vAlign w:val="center"/>
            <w:hideMark/>
          </w:tcPr>
          <w:p w14:paraId="23D08041" w14:textId="77777777" w:rsidR="009B04FC" w:rsidRPr="00BD1319" w:rsidRDefault="009B04FC" w:rsidP="004F01DD">
            <w:pPr>
              <w:tabs>
                <w:tab w:val="left" w:pos="-2268"/>
              </w:tabs>
              <w:suppressAutoHyphens/>
              <w:jc w:val="center"/>
              <w:rPr>
                <w:rFonts w:cs="Arial"/>
                <w:b/>
                <w:bCs/>
                <w:spacing w:val="-3"/>
                <w:sz w:val="22"/>
              </w:rPr>
            </w:pPr>
            <w:r w:rsidRPr="00BD1319">
              <w:rPr>
                <w:rFonts w:cs="Arial"/>
                <w:b/>
                <w:bCs/>
                <w:spacing w:val="-3"/>
                <w:sz w:val="22"/>
              </w:rPr>
              <w:t>Baja</w:t>
            </w:r>
          </w:p>
        </w:tc>
        <w:tc>
          <w:tcPr>
            <w:tcW w:w="1168" w:type="dxa"/>
            <w:shd w:val="clear" w:color="auto" w:fill="auto"/>
            <w:vAlign w:val="center"/>
            <w:hideMark/>
          </w:tcPr>
          <w:p w14:paraId="10D4F118" w14:textId="77777777" w:rsidR="009B04FC" w:rsidRPr="00BD1319" w:rsidRDefault="009B04FC" w:rsidP="004F01DD">
            <w:pPr>
              <w:tabs>
                <w:tab w:val="left" w:pos="-2268"/>
              </w:tabs>
              <w:suppressAutoHyphens/>
              <w:jc w:val="center"/>
              <w:rPr>
                <w:rFonts w:cs="Arial"/>
                <w:b/>
                <w:bCs/>
                <w:spacing w:val="-3"/>
                <w:sz w:val="22"/>
              </w:rPr>
            </w:pPr>
            <w:r w:rsidRPr="00BD1319">
              <w:rPr>
                <w:rFonts w:cs="Arial"/>
                <w:b/>
                <w:bCs/>
                <w:spacing w:val="-3"/>
                <w:sz w:val="22"/>
              </w:rPr>
              <w:t>Media</w:t>
            </w:r>
          </w:p>
        </w:tc>
        <w:tc>
          <w:tcPr>
            <w:tcW w:w="1167" w:type="dxa"/>
            <w:shd w:val="clear" w:color="auto" w:fill="auto"/>
            <w:vAlign w:val="center"/>
            <w:hideMark/>
          </w:tcPr>
          <w:p w14:paraId="5431D107" w14:textId="77777777" w:rsidR="009B04FC" w:rsidRPr="00BD1319" w:rsidRDefault="009B04FC" w:rsidP="004F01DD">
            <w:pPr>
              <w:tabs>
                <w:tab w:val="left" w:pos="-2268"/>
              </w:tabs>
              <w:suppressAutoHyphens/>
              <w:jc w:val="center"/>
              <w:rPr>
                <w:rFonts w:cs="Arial"/>
                <w:b/>
                <w:bCs/>
                <w:spacing w:val="-3"/>
                <w:sz w:val="22"/>
              </w:rPr>
            </w:pPr>
            <w:r w:rsidRPr="00BD1319">
              <w:rPr>
                <w:rFonts w:cs="Arial"/>
                <w:b/>
                <w:bCs/>
                <w:spacing w:val="-3"/>
                <w:sz w:val="22"/>
              </w:rPr>
              <w:t>Alta</w:t>
            </w:r>
          </w:p>
        </w:tc>
        <w:tc>
          <w:tcPr>
            <w:tcW w:w="1168" w:type="dxa"/>
            <w:shd w:val="clear" w:color="auto" w:fill="auto"/>
            <w:vAlign w:val="center"/>
            <w:hideMark/>
          </w:tcPr>
          <w:p w14:paraId="162CD2EF" w14:textId="77777777" w:rsidR="009B04FC" w:rsidRPr="00BD1319" w:rsidRDefault="009B04FC" w:rsidP="004F01DD">
            <w:pPr>
              <w:tabs>
                <w:tab w:val="left" w:pos="-2268"/>
              </w:tabs>
              <w:suppressAutoHyphens/>
              <w:jc w:val="center"/>
              <w:rPr>
                <w:rFonts w:cs="Arial"/>
                <w:b/>
                <w:bCs/>
                <w:spacing w:val="-3"/>
                <w:sz w:val="22"/>
              </w:rPr>
            </w:pPr>
            <w:r w:rsidRPr="00BD1319">
              <w:rPr>
                <w:rFonts w:cs="Arial"/>
                <w:b/>
                <w:bCs/>
                <w:spacing w:val="-3"/>
                <w:sz w:val="22"/>
              </w:rPr>
              <w:t>Muy Alta</w:t>
            </w:r>
          </w:p>
        </w:tc>
      </w:tr>
      <w:tr w:rsidR="009B04FC" w:rsidRPr="00BD1319" w14:paraId="7B7B0244" w14:textId="77777777" w:rsidTr="009420F5">
        <w:trPr>
          <w:trHeight w:val="360"/>
          <w:jc w:val="center"/>
        </w:trPr>
        <w:tc>
          <w:tcPr>
            <w:tcW w:w="2551" w:type="dxa"/>
            <w:noWrap/>
            <w:vAlign w:val="center"/>
            <w:hideMark/>
          </w:tcPr>
          <w:p w14:paraId="618D6379" w14:textId="2EAC9227" w:rsidR="009B04FC" w:rsidRPr="00BD1319" w:rsidRDefault="009B04FC" w:rsidP="004F01DD">
            <w:pPr>
              <w:tabs>
                <w:tab w:val="left" w:pos="-2268"/>
              </w:tabs>
              <w:suppressAutoHyphens/>
              <w:jc w:val="center"/>
              <w:rPr>
                <w:rFonts w:cs="Arial"/>
                <w:b/>
                <w:bCs/>
                <w:spacing w:val="-3"/>
                <w:sz w:val="22"/>
              </w:rPr>
            </w:pPr>
            <w:r w:rsidRPr="00BD1319">
              <w:rPr>
                <w:rFonts w:cs="Arial"/>
                <w:b/>
                <w:bCs/>
                <w:spacing w:val="-3"/>
                <w:sz w:val="22"/>
              </w:rPr>
              <w:t>Baj</w:t>
            </w:r>
            <w:r w:rsidR="000815E2" w:rsidRPr="00BD1319">
              <w:rPr>
                <w:rFonts w:cs="Arial"/>
                <w:b/>
                <w:bCs/>
                <w:spacing w:val="-3"/>
                <w:sz w:val="22"/>
              </w:rPr>
              <w:t>o</w:t>
            </w:r>
          </w:p>
        </w:tc>
        <w:tc>
          <w:tcPr>
            <w:tcW w:w="1167" w:type="dxa"/>
            <w:noWrap/>
            <w:vAlign w:val="center"/>
          </w:tcPr>
          <w:p w14:paraId="082E0B4D" w14:textId="77777777" w:rsidR="009B04FC" w:rsidRPr="00BD1319" w:rsidRDefault="009B04FC" w:rsidP="004F01DD">
            <w:pPr>
              <w:tabs>
                <w:tab w:val="left" w:pos="-2268"/>
              </w:tabs>
              <w:suppressAutoHyphens/>
              <w:jc w:val="center"/>
              <w:rPr>
                <w:rFonts w:cs="Arial"/>
                <w:spacing w:val="-3"/>
                <w:sz w:val="22"/>
              </w:rPr>
            </w:pPr>
            <w:r w:rsidRPr="00BD1319">
              <w:rPr>
                <w:rFonts w:cs="Arial"/>
                <w:spacing w:val="-3"/>
                <w:sz w:val="22"/>
              </w:rPr>
              <w:t>X</w:t>
            </w:r>
          </w:p>
        </w:tc>
        <w:tc>
          <w:tcPr>
            <w:tcW w:w="1167" w:type="dxa"/>
            <w:noWrap/>
            <w:vAlign w:val="center"/>
          </w:tcPr>
          <w:p w14:paraId="6974437D" w14:textId="77777777" w:rsidR="009B04FC" w:rsidRPr="00BD1319" w:rsidRDefault="009B04FC" w:rsidP="004F01DD">
            <w:pPr>
              <w:tabs>
                <w:tab w:val="left" w:pos="-2268"/>
              </w:tabs>
              <w:suppressAutoHyphens/>
              <w:jc w:val="center"/>
              <w:rPr>
                <w:rFonts w:cs="Arial"/>
                <w:spacing w:val="-3"/>
                <w:sz w:val="22"/>
              </w:rPr>
            </w:pPr>
            <w:r w:rsidRPr="00BD1319">
              <w:rPr>
                <w:rFonts w:cs="Arial"/>
                <w:spacing w:val="-3"/>
                <w:sz w:val="22"/>
              </w:rPr>
              <w:t>X</w:t>
            </w:r>
          </w:p>
        </w:tc>
        <w:tc>
          <w:tcPr>
            <w:tcW w:w="1168" w:type="dxa"/>
            <w:noWrap/>
            <w:vAlign w:val="center"/>
          </w:tcPr>
          <w:p w14:paraId="2C4E0D4B" w14:textId="77777777" w:rsidR="009B04FC" w:rsidRPr="00BD1319" w:rsidRDefault="009B04FC" w:rsidP="004F01DD">
            <w:pPr>
              <w:tabs>
                <w:tab w:val="left" w:pos="-2268"/>
              </w:tabs>
              <w:suppressAutoHyphens/>
              <w:jc w:val="center"/>
              <w:rPr>
                <w:rFonts w:cs="Arial"/>
                <w:spacing w:val="-3"/>
                <w:sz w:val="22"/>
              </w:rPr>
            </w:pPr>
            <w:r w:rsidRPr="00BD1319">
              <w:rPr>
                <w:rFonts w:cs="Arial"/>
                <w:spacing w:val="-3"/>
                <w:sz w:val="22"/>
              </w:rPr>
              <w:t>X</w:t>
            </w:r>
          </w:p>
        </w:tc>
        <w:tc>
          <w:tcPr>
            <w:tcW w:w="1167" w:type="dxa"/>
            <w:noWrap/>
            <w:vAlign w:val="center"/>
          </w:tcPr>
          <w:p w14:paraId="4960CBE4" w14:textId="77777777" w:rsidR="009B04FC" w:rsidRPr="00BD1319" w:rsidRDefault="009B04FC" w:rsidP="004F01DD">
            <w:pPr>
              <w:tabs>
                <w:tab w:val="left" w:pos="-2268"/>
              </w:tabs>
              <w:suppressAutoHyphens/>
              <w:jc w:val="center"/>
              <w:rPr>
                <w:rFonts w:cs="Arial"/>
                <w:spacing w:val="-3"/>
                <w:sz w:val="22"/>
              </w:rPr>
            </w:pPr>
          </w:p>
        </w:tc>
        <w:tc>
          <w:tcPr>
            <w:tcW w:w="1168" w:type="dxa"/>
            <w:noWrap/>
            <w:vAlign w:val="center"/>
          </w:tcPr>
          <w:p w14:paraId="217AB4E9" w14:textId="77777777" w:rsidR="009B04FC" w:rsidRPr="00BD1319" w:rsidRDefault="009B04FC" w:rsidP="004F01DD">
            <w:pPr>
              <w:tabs>
                <w:tab w:val="left" w:pos="-2268"/>
              </w:tabs>
              <w:suppressAutoHyphens/>
              <w:jc w:val="center"/>
              <w:rPr>
                <w:rFonts w:cs="Arial"/>
                <w:spacing w:val="-3"/>
                <w:sz w:val="22"/>
              </w:rPr>
            </w:pPr>
          </w:p>
        </w:tc>
      </w:tr>
      <w:tr w:rsidR="009B04FC" w:rsidRPr="00BD1319" w14:paraId="0D4E44CC" w14:textId="77777777" w:rsidTr="009420F5">
        <w:trPr>
          <w:trHeight w:val="360"/>
          <w:jc w:val="center"/>
        </w:trPr>
        <w:tc>
          <w:tcPr>
            <w:tcW w:w="2551" w:type="dxa"/>
            <w:noWrap/>
            <w:vAlign w:val="center"/>
            <w:hideMark/>
          </w:tcPr>
          <w:p w14:paraId="3912F0AD" w14:textId="2D6F9EDD" w:rsidR="009B04FC" w:rsidRPr="00BD1319" w:rsidRDefault="009B04FC">
            <w:pPr>
              <w:tabs>
                <w:tab w:val="left" w:pos="-2268"/>
              </w:tabs>
              <w:suppressAutoHyphens/>
              <w:jc w:val="center"/>
              <w:rPr>
                <w:rFonts w:cs="Arial"/>
                <w:b/>
                <w:bCs/>
                <w:spacing w:val="-3"/>
                <w:sz w:val="22"/>
              </w:rPr>
            </w:pPr>
            <w:r w:rsidRPr="00BD1319">
              <w:rPr>
                <w:rFonts w:cs="Arial"/>
                <w:b/>
                <w:bCs/>
                <w:spacing w:val="-3"/>
                <w:sz w:val="22"/>
              </w:rPr>
              <w:t>Medi</w:t>
            </w:r>
            <w:r w:rsidR="000815E2" w:rsidRPr="00BD1319">
              <w:rPr>
                <w:rFonts w:cs="Arial"/>
                <w:b/>
                <w:bCs/>
                <w:spacing w:val="-3"/>
                <w:sz w:val="22"/>
              </w:rPr>
              <w:t>o</w:t>
            </w:r>
          </w:p>
        </w:tc>
        <w:tc>
          <w:tcPr>
            <w:tcW w:w="1167" w:type="dxa"/>
            <w:noWrap/>
            <w:vAlign w:val="center"/>
          </w:tcPr>
          <w:p w14:paraId="26A7EDFF" w14:textId="77777777" w:rsidR="009B04FC" w:rsidRPr="00BD1319" w:rsidRDefault="009B04FC" w:rsidP="004F01DD">
            <w:pPr>
              <w:tabs>
                <w:tab w:val="left" w:pos="-2268"/>
              </w:tabs>
              <w:suppressAutoHyphens/>
              <w:jc w:val="center"/>
              <w:rPr>
                <w:rFonts w:cs="Arial"/>
                <w:spacing w:val="-3"/>
                <w:sz w:val="22"/>
              </w:rPr>
            </w:pPr>
            <w:r w:rsidRPr="00BD1319">
              <w:rPr>
                <w:rFonts w:cs="Arial"/>
                <w:spacing w:val="-3"/>
                <w:sz w:val="22"/>
              </w:rPr>
              <w:t>X</w:t>
            </w:r>
          </w:p>
        </w:tc>
        <w:tc>
          <w:tcPr>
            <w:tcW w:w="1167" w:type="dxa"/>
            <w:noWrap/>
            <w:vAlign w:val="center"/>
          </w:tcPr>
          <w:p w14:paraId="13621E9D" w14:textId="77777777" w:rsidR="009B04FC" w:rsidRPr="00BD1319" w:rsidRDefault="009B04FC" w:rsidP="004F01DD">
            <w:pPr>
              <w:tabs>
                <w:tab w:val="left" w:pos="-2268"/>
              </w:tabs>
              <w:suppressAutoHyphens/>
              <w:jc w:val="center"/>
              <w:rPr>
                <w:rFonts w:cs="Arial"/>
                <w:spacing w:val="-3"/>
                <w:sz w:val="22"/>
              </w:rPr>
            </w:pPr>
            <w:r w:rsidRPr="00BD1319">
              <w:rPr>
                <w:rFonts w:cs="Arial"/>
                <w:spacing w:val="-3"/>
                <w:sz w:val="22"/>
              </w:rPr>
              <w:t>X</w:t>
            </w:r>
          </w:p>
        </w:tc>
        <w:tc>
          <w:tcPr>
            <w:tcW w:w="1168" w:type="dxa"/>
            <w:noWrap/>
            <w:vAlign w:val="center"/>
          </w:tcPr>
          <w:p w14:paraId="363D31BF" w14:textId="77777777" w:rsidR="009B04FC" w:rsidRPr="00BD1319" w:rsidRDefault="009B04FC" w:rsidP="004F01DD">
            <w:pPr>
              <w:tabs>
                <w:tab w:val="left" w:pos="-2268"/>
              </w:tabs>
              <w:suppressAutoHyphens/>
              <w:jc w:val="center"/>
              <w:rPr>
                <w:rFonts w:cs="Arial"/>
                <w:spacing w:val="-3"/>
                <w:sz w:val="22"/>
              </w:rPr>
            </w:pPr>
          </w:p>
        </w:tc>
        <w:tc>
          <w:tcPr>
            <w:tcW w:w="1167" w:type="dxa"/>
            <w:noWrap/>
            <w:vAlign w:val="center"/>
          </w:tcPr>
          <w:p w14:paraId="64AA3584" w14:textId="77777777" w:rsidR="009B04FC" w:rsidRPr="00BD1319" w:rsidRDefault="009B04FC" w:rsidP="004F01DD">
            <w:pPr>
              <w:tabs>
                <w:tab w:val="left" w:pos="-2268"/>
              </w:tabs>
              <w:suppressAutoHyphens/>
              <w:jc w:val="center"/>
              <w:rPr>
                <w:rFonts w:cs="Arial"/>
                <w:spacing w:val="-3"/>
                <w:sz w:val="22"/>
              </w:rPr>
            </w:pPr>
          </w:p>
        </w:tc>
        <w:tc>
          <w:tcPr>
            <w:tcW w:w="1168" w:type="dxa"/>
            <w:noWrap/>
            <w:vAlign w:val="center"/>
          </w:tcPr>
          <w:p w14:paraId="70D3ED94" w14:textId="77777777" w:rsidR="009B04FC" w:rsidRPr="00BD1319" w:rsidRDefault="009B04FC" w:rsidP="004F01DD">
            <w:pPr>
              <w:tabs>
                <w:tab w:val="left" w:pos="-2268"/>
              </w:tabs>
              <w:suppressAutoHyphens/>
              <w:jc w:val="center"/>
              <w:rPr>
                <w:rFonts w:cs="Arial"/>
                <w:spacing w:val="-3"/>
                <w:sz w:val="22"/>
              </w:rPr>
            </w:pPr>
          </w:p>
        </w:tc>
      </w:tr>
      <w:tr w:rsidR="009B04FC" w:rsidRPr="00BD1319" w14:paraId="42A5714A" w14:textId="77777777" w:rsidTr="009420F5">
        <w:trPr>
          <w:trHeight w:val="360"/>
          <w:jc w:val="center"/>
        </w:trPr>
        <w:tc>
          <w:tcPr>
            <w:tcW w:w="2551" w:type="dxa"/>
            <w:noWrap/>
            <w:vAlign w:val="center"/>
            <w:hideMark/>
          </w:tcPr>
          <w:p w14:paraId="0EB20DAB" w14:textId="2E2E3CB5" w:rsidR="009B04FC" w:rsidRPr="00BD1319" w:rsidRDefault="009B04FC" w:rsidP="004F01DD">
            <w:pPr>
              <w:tabs>
                <w:tab w:val="left" w:pos="-2268"/>
              </w:tabs>
              <w:suppressAutoHyphens/>
              <w:jc w:val="center"/>
              <w:rPr>
                <w:rFonts w:cs="Arial"/>
                <w:b/>
                <w:bCs/>
                <w:spacing w:val="-3"/>
                <w:sz w:val="22"/>
              </w:rPr>
            </w:pPr>
            <w:r w:rsidRPr="00BD1319">
              <w:rPr>
                <w:rFonts w:cs="Arial"/>
                <w:b/>
                <w:bCs/>
                <w:spacing w:val="-3"/>
                <w:sz w:val="22"/>
              </w:rPr>
              <w:t>Alt</w:t>
            </w:r>
            <w:r w:rsidR="000815E2" w:rsidRPr="00BD1319">
              <w:rPr>
                <w:rFonts w:cs="Arial"/>
                <w:b/>
                <w:bCs/>
                <w:spacing w:val="-3"/>
                <w:sz w:val="22"/>
              </w:rPr>
              <w:t>o</w:t>
            </w:r>
          </w:p>
        </w:tc>
        <w:tc>
          <w:tcPr>
            <w:tcW w:w="1167" w:type="dxa"/>
            <w:noWrap/>
            <w:vAlign w:val="center"/>
          </w:tcPr>
          <w:p w14:paraId="5FC31E81" w14:textId="77777777" w:rsidR="009B04FC" w:rsidRPr="00BD1319" w:rsidRDefault="009B04FC" w:rsidP="004F01DD">
            <w:pPr>
              <w:tabs>
                <w:tab w:val="left" w:pos="-2268"/>
              </w:tabs>
              <w:suppressAutoHyphens/>
              <w:jc w:val="center"/>
              <w:rPr>
                <w:rFonts w:cs="Arial"/>
                <w:spacing w:val="-3"/>
                <w:sz w:val="22"/>
              </w:rPr>
            </w:pPr>
            <w:r w:rsidRPr="00BD1319">
              <w:rPr>
                <w:rFonts w:cs="Arial"/>
                <w:spacing w:val="-3"/>
                <w:sz w:val="22"/>
              </w:rPr>
              <w:t>X</w:t>
            </w:r>
          </w:p>
        </w:tc>
        <w:tc>
          <w:tcPr>
            <w:tcW w:w="1167" w:type="dxa"/>
            <w:noWrap/>
            <w:vAlign w:val="center"/>
          </w:tcPr>
          <w:p w14:paraId="5B761C58" w14:textId="77777777" w:rsidR="009B04FC" w:rsidRPr="00BD1319" w:rsidRDefault="009B04FC" w:rsidP="004F01DD">
            <w:pPr>
              <w:tabs>
                <w:tab w:val="left" w:pos="-2268"/>
              </w:tabs>
              <w:suppressAutoHyphens/>
              <w:jc w:val="center"/>
              <w:rPr>
                <w:rFonts w:cs="Arial"/>
                <w:spacing w:val="-3"/>
                <w:sz w:val="22"/>
              </w:rPr>
            </w:pPr>
          </w:p>
        </w:tc>
        <w:tc>
          <w:tcPr>
            <w:tcW w:w="1168" w:type="dxa"/>
            <w:noWrap/>
            <w:vAlign w:val="center"/>
          </w:tcPr>
          <w:p w14:paraId="5D2A41DF" w14:textId="77777777" w:rsidR="009B04FC" w:rsidRPr="00BD1319" w:rsidRDefault="009B04FC" w:rsidP="004F01DD">
            <w:pPr>
              <w:tabs>
                <w:tab w:val="left" w:pos="-2268"/>
              </w:tabs>
              <w:suppressAutoHyphens/>
              <w:jc w:val="center"/>
              <w:rPr>
                <w:rFonts w:cs="Arial"/>
                <w:spacing w:val="-3"/>
                <w:sz w:val="22"/>
              </w:rPr>
            </w:pPr>
          </w:p>
        </w:tc>
        <w:tc>
          <w:tcPr>
            <w:tcW w:w="1167" w:type="dxa"/>
            <w:noWrap/>
            <w:vAlign w:val="center"/>
          </w:tcPr>
          <w:p w14:paraId="392DE30D" w14:textId="77777777" w:rsidR="009B04FC" w:rsidRPr="00BD1319" w:rsidRDefault="009B04FC" w:rsidP="004F01DD">
            <w:pPr>
              <w:tabs>
                <w:tab w:val="left" w:pos="-2268"/>
              </w:tabs>
              <w:suppressAutoHyphens/>
              <w:jc w:val="center"/>
              <w:rPr>
                <w:rFonts w:cs="Arial"/>
                <w:spacing w:val="-3"/>
                <w:sz w:val="22"/>
              </w:rPr>
            </w:pPr>
          </w:p>
        </w:tc>
        <w:tc>
          <w:tcPr>
            <w:tcW w:w="1168" w:type="dxa"/>
            <w:noWrap/>
            <w:vAlign w:val="center"/>
          </w:tcPr>
          <w:p w14:paraId="306C37CD" w14:textId="77777777" w:rsidR="009B04FC" w:rsidRPr="00BD1319" w:rsidRDefault="009B04FC" w:rsidP="004F01DD">
            <w:pPr>
              <w:tabs>
                <w:tab w:val="left" w:pos="-2268"/>
              </w:tabs>
              <w:suppressAutoHyphens/>
              <w:jc w:val="center"/>
              <w:rPr>
                <w:rFonts w:cs="Arial"/>
                <w:spacing w:val="-3"/>
                <w:sz w:val="22"/>
              </w:rPr>
            </w:pPr>
          </w:p>
        </w:tc>
      </w:tr>
      <w:tr w:rsidR="009B04FC" w:rsidRPr="00BD1319" w14:paraId="3739D3BB" w14:textId="77777777" w:rsidTr="009420F5">
        <w:trPr>
          <w:trHeight w:val="360"/>
          <w:jc w:val="center"/>
        </w:trPr>
        <w:tc>
          <w:tcPr>
            <w:tcW w:w="2551" w:type="dxa"/>
            <w:noWrap/>
            <w:vAlign w:val="center"/>
            <w:hideMark/>
          </w:tcPr>
          <w:p w14:paraId="5FF7F81A" w14:textId="3EDBBCFA" w:rsidR="009B04FC" w:rsidRPr="00BD1319" w:rsidRDefault="009B04FC">
            <w:pPr>
              <w:tabs>
                <w:tab w:val="left" w:pos="-2268"/>
              </w:tabs>
              <w:suppressAutoHyphens/>
              <w:jc w:val="center"/>
              <w:rPr>
                <w:rFonts w:cs="Arial"/>
                <w:b/>
                <w:bCs/>
                <w:spacing w:val="-3"/>
                <w:sz w:val="22"/>
              </w:rPr>
            </w:pPr>
            <w:r w:rsidRPr="00BD1319">
              <w:rPr>
                <w:rFonts w:cs="Arial"/>
                <w:b/>
                <w:bCs/>
                <w:spacing w:val="-3"/>
                <w:sz w:val="22"/>
              </w:rPr>
              <w:t xml:space="preserve">Muy </w:t>
            </w:r>
            <w:r w:rsidR="00C31358" w:rsidRPr="00BD1319">
              <w:rPr>
                <w:rFonts w:cs="Arial"/>
                <w:b/>
                <w:bCs/>
                <w:spacing w:val="-3"/>
                <w:sz w:val="22"/>
              </w:rPr>
              <w:t>a</w:t>
            </w:r>
            <w:r w:rsidRPr="00BD1319">
              <w:rPr>
                <w:rFonts w:cs="Arial"/>
                <w:b/>
                <w:bCs/>
                <w:spacing w:val="-3"/>
                <w:sz w:val="22"/>
              </w:rPr>
              <w:t>lt</w:t>
            </w:r>
            <w:r w:rsidR="000815E2" w:rsidRPr="00BD1319">
              <w:rPr>
                <w:rFonts w:cs="Arial"/>
                <w:b/>
                <w:bCs/>
                <w:spacing w:val="-3"/>
                <w:sz w:val="22"/>
              </w:rPr>
              <w:t>o</w:t>
            </w:r>
          </w:p>
        </w:tc>
        <w:tc>
          <w:tcPr>
            <w:tcW w:w="1167" w:type="dxa"/>
            <w:noWrap/>
            <w:vAlign w:val="center"/>
          </w:tcPr>
          <w:p w14:paraId="46F5DD94" w14:textId="77777777" w:rsidR="009B04FC" w:rsidRPr="00BD1319" w:rsidRDefault="009B04FC" w:rsidP="004F01DD">
            <w:pPr>
              <w:tabs>
                <w:tab w:val="left" w:pos="-2268"/>
              </w:tabs>
              <w:suppressAutoHyphens/>
              <w:jc w:val="center"/>
              <w:rPr>
                <w:rFonts w:cs="Arial"/>
                <w:spacing w:val="-3"/>
                <w:sz w:val="22"/>
              </w:rPr>
            </w:pPr>
          </w:p>
        </w:tc>
        <w:tc>
          <w:tcPr>
            <w:tcW w:w="1167" w:type="dxa"/>
            <w:noWrap/>
            <w:vAlign w:val="center"/>
          </w:tcPr>
          <w:p w14:paraId="61425254" w14:textId="77777777" w:rsidR="009B04FC" w:rsidRPr="00BD1319" w:rsidRDefault="009B04FC" w:rsidP="004F01DD">
            <w:pPr>
              <w:tabs>
                <w:tab w:val="left" w:pos="-2268"/>
              </w:tabs>
              <w:suppressAutoHyphens/>
              <w:jc w:val="center"/>
              <w:rPr>
                <w:rFonts w:cs="Arial"/>
                <w:spacing w:val="-3"/>
                <w:sz w:val="22"/>
              </w:rPr>
            </w:pPr>
          </w:p>
        </w:tc>
        <w:tc>
          <w:tcPr>
            <w:tcW w:w="1168" w:type="dxa"/>
            <w:noWrap/>
            <w:vAlign w:val="center"/>
          </w:tcPr>
          <w:p w14:paraId="485D3901" w14:textId="77777777" w:rsidR="009B04FC" w:rsidRPr="00BD1319" w:rsidRDefault="009B04FC" w:rsidP="004F01DD">
            <w:pPr>
              <w:tabs>
                <w:tab w:val="left" w:pos="-2268"/>
              </w:tabs>
              <w:suppressAutoHyphens/>
              <w:jc w:val="center"/>
              <w:rPr>
                <w:rFonts w:cs="Arial"/>
                <w:spacing w:val="-3"/>
                <w:sz w:val="22"/>
              </w:rPr>
            </w:pPr>
          </w:p>
        </w:tc>
        <w:tc>
          <w:tcPr>
            <w:tcW w:w="1167" w:type="dxa"/>
            <w:noWrap/>
            <w:vAlign w:val="center"/>
          </w:tcPr>
          <w:p w14:paraId="3B60C90F" w14:textId="77777777" w:rsidR="009B04FC" w:rsidRPr="00BD1319" w:rsidRDefault="009B04FC" w:rsidP="004F01DD">
            <w:pPr>
              <w:tabs>
                <w:tab w:val="left" w:pos="-2268"/>
              </w:tabs>
              <w:suppressAutoHyphens/>
              <w:jc w:val="center"/>
              <w:rPr>
                <w:rFonts w:cs="Arial"/>
                <w:spacing w:val="-3"/>
                <w:sz w:val="22"/>
              </w:rPr>
            </w:pPr>
          </w:p>
        </w:tc>
        <w:tc>
          <w:tcPr>
            <w:tcW w:w="1168" w:type="dxa"/>
            <w:noWrap/>
            <w:vAlign w:val="center"/>
          </w:tcPr>
          <w:p w14:paraId="0B0E1B4B" w14:textId="77777777" w:rsidR="009B04FC" w:rsidRPr="00BD1319" w:rsidRDefault="009B04FC" w:rsidP="004F01DD">
            <w:pPr>
              <w:tabs>
                <w:tab w:val="left" w:pos="-2268"/>
              </w:tabs>
              <w:suppressAutoHyphens/>
              <w:jc w:val="center"/>
              <w:rPr>
                <w:rFonts w:cs="Arial"/>
                <w:spacing w:val="-3"/>
                <w:sz w:val="22"/>
              </w:rPr>
            </w:pPr>
          </w:p>
        </w:tc>
      </w:tr>
    </w:tbl>
    <w:p w14:paraId="407C6B59" w14:textId="77777777" w:rsidR="009B04FC" w:rsidRPr="00BD1319" w:rsidRDefault="009B04FC" w:rsidP="009B04FC">
      <w:pPr>
        <w:tabs>
          <w:tab w:val="left" w:pos="-2268"/>
        </w:tabs>
        <w:suppressAutoHyphens/>
        <w:rPr>
          <w:rFonts w:cs="Arial"/>
          <w:spacing w:val="-3"/>
        </w:rPr>
      </w:pPr>
    </w:p>
    <w:p w14:paraId="002F1AF0" w14:textId="35ACEC40" w:rsidR="009B04FC" w:rsidRPr="00BD1319" w:rsidRDefault="009B04FC" w:rsidP="009420F5">
      <w:pPr>
        <w:pStyle w:val="Prrafodelista"/>
        <w:numPr>
          <w:ilvl w:val="0"/>
          <w:numId w:val="5"/>
        </w:numPr>
        <w:tabs>
          <w:tab w:val="left" w:pos="-2268"/>
        </w:tabs>
        <w:suppressAutoHyphens/>
        <w:ind w:left="567" w:hanging="567"/>
        <w:rPr>
          <w:rFonts w:cs="Arial"/>
          <w:spacing w:val="-3"/>
          <w:lang w:val="es-CO"/>
        </w:rPr>
      </w:pPr>
      <w:bookmarkStart w:id="11013" w:name="_Hlk89354476"/>
      <w:r w:rsidRPr="00BD1319">
        <w:rPr>
          <w:rFonts w:cs="Arial"/>
          <w:b/>
          <w:spacing w:val="-3"/>
          <w:lang w:val="es-CO"/>
        </w:rPr>
        <w:t xml:space="preserve">Área de intervención con restricciones </w:t>
      </w:r>
      <w:bookmarkEnd w:id="11013"/>
      <w:r w:rsidRPr="00BD1319">
        <w:rPr>
          <w:rFonts w:cs="Arial"/>
          <w:b/>
          <w:spacing w:val="-3"/>
          <w:lang w:val="es-CO"/>
        </w:rPr>
        <w:t>(AIR):</w:t>
      </w:r>
      <w:r w:rsidRPr="00BD1319">
        <w:rPr>
          <w:rFonts w:cs="Arial"/>
          <w:spacing w:val="-3"/>
          <w:lang w:val="es-CO"/>
        </w:rPr>
        <w:t xml:space="preserve"> </w:t>
      </w:r>
      <w:r w:rsidR="00C90A07" w:rsidRPr="00BD1319">
        <w:rPr>
          <w:rFonts w:cs="Arial"/>
          <w:spacing w:val="-3"/>
          <w:lang w:val="es-CO"/>
        </w:rPr>
        <w:t xml:space="preserve">área en la que </w:t>
      </w:r>
      <w:bookmarkStart w:id="11014" w:name="_Hlk89354542"/>
      <w:r w:rsidR="00C90A07" w:rsidRPr="00BD1319">
        <w:rPr>
          <w:rFonts w:cs="Arial"/>
          <w:spacing w:val="-3"/>
          <w:lang w:val="es-CO"/>
        </w:rPr>
        <w:t xml:space="preserve">es permitido ejecutar algunas de las obras o actividades del proyecto, </w:t>
      </w:r>
      <w:bookmarkEnd w:id="11014"/>
      <w:r w:rsidR="00C90A07" w:rsidRPr="00BD1319">
        <w:rPr>
          <w:rFonts w:cs="Arial"/>
          <w:spacing w:val="-3"/>
          <w:lang w:val="es-CO"/>
        </w:rPr>
        <w:t>obra o actividad de conformidad con la normativa vigente y la relación particular entre el potencial</w:t>
      </w:r>
      <w:r w:rsidR="009E644C" w:rsidRPr="00BD1319">
        <w:rPr>
          <w:rFonts w:cs="Arial"/>
          <w:spacing w:val="-3"/>
          <w:lang w:val="es-CO"/>
        </w:rPr>
        <w:t xml:space="preserve"> normalizado</w:t>
      </w:r>
      <w:r w:rsidR="00C90A07" w:rsidRPr="00BD1319">
        <w:rPr>
          <w:rFonts w:cs="Arial"/>
          <w:spacing w:val="-3"/>
          <w:lang w:val="es-CO"/>
        </w:rPr>
        <w:t xml:space="preserve"> de </w:t>
      </w:r>
      <w:r w:rsidR="00C90A07" w:rsidRPr="00BD1319">
        <w:rPr>
          <w:rFonts w:cs="Arial"/>
          <w:spacing w:val="-3"/>
          <w:lang w:val="es-CO"/>
        </w:rPr>
        <w:lastRenderedPageBreak/>
        <w:t xml:space="preserve">modificación de </w:t>
      </w:r>
      <w:r w:rsidR="004013C6" w:rsidRPr="00BD1319">
        <w:rPr>
          <w:rFonts w:cs="Arial"/>
          <w:spacing w:val="-3"/>
          <w:lang w:val="es-CO"/>
        </w:rPr>
        <w:t>l</w:t>
      </w:r>
      <w:r w:rsidR="00C90A07" w:rsidRPr="00BD1319">
        <w:rPr>
          <w:rFonts w:cs="Arial"/>
          <w:spacing w:val="-3"/>
          <w:lang w:val="es-CO"/>
        </w:rPr>
        <w:t>os impactos</w:t>
      </w:r>
      <w:r w:rsidR="004013C6" w:rsidRPr="00BD1319">
        <w:rPr>
          <w:rFonts w:cs="Arial"/>
          <w:spacing w:val="-3"/>
          <w:lang w:val="es-CO"/>
        </w:rPr>
        <w:t xml:space="preserve"> y la sensibilidad ambiental</w:t>
      </w:r>
      <w:r w:rsidR="009665E3" w:rsidRPr="00BD1319">
        <w:rPr>
          <w:rFonts w:cs="Arial"/>
          <w:spacing w:val="-3"/>
          <w:lang w:val="es-CO"/>
        </w:rPr>
        <w:t xml:space="preserve"> (ver </w:t>
      </w:r>
      <w:r w:rsidR="009665E3" w:rsidRPr="00BD1319">
        <w:rPr>
          <w:rFonts w:cs="Arial"/>
          <w:spacing w:val="-3"/>
          <w:lang w:val="es-CO"/>
        </w:rPr>
        <w:fldChar w:fldCharType="begin"/>
      </w:r>
      <w:r w:rsidR="009665E3" w:rsidRPr="00BD1319">
        <w:rPr>
          <w:rFonts w:cs="Arial"/>
          <w:spacing w:val="-3"/>
          <w:lang w:val="es-CO"/>
        </w:rPr>
        <w:instrText xml:space="preserve"> REF _Ref82611062 \h </w:instrText>
      </w:r>
      <w:r w:rsidR="00BD1319">
        <w:rPr>
          <w:rFonts w:cs="Arial"/>
          <w:spacing w:val="-3"/>
          <w:lang w:val="es-CO"/>
        </w:rPr>
        <w:instrText xml:space="preserve"> \* MERGEFORMAT </w:instrText>
      </w:r>
      <w:r w:rsidR="009665E3" w:rsidRPr="00BD1319">
        <w:rPr>
          <w:rFonts w:cs="Arial"/>
          <w:spacing w:val="-3"/>
          <w:lang w:val="es-CO"/>
        </w:rPr>
      </w:r>
      <w:r w:rsidR="009665E3" w:rsidRPr="00BD1319">
        <w:rPr>
          <w:rFonts w:cs="Arial"/>
          <w:spacing w:val="-3"/>
          <w:lang w:val="es-CO"/>
        </w:rPr>
        <w:fldChar w:fldCharType="separate"/>
      </w:r>
      <w:r w:rsidR="00296654" w:rsidRPr="00BD1319">
        <w:t xml:space="preserve">Tabla </w:t>
      </w:r>
      <w:r w:rsidR="00296654" w:rsidRPr="00BD1319">
        <w:rPr>
          <w:noProof/>
        </w:rPr>
        <w:t>37</w:t>
      </w:r>
      <w:r w:rsidR="009665E3" w:rsidRPr="00BD1319">
        <w:rPr>
          <w:rFonts w:cs="Arial"/>
          <w:spacing w:val="-3"/>
          <w:lang w:val="es-CO"/>
        </w:rPr>
        <w:fldChar w:fldCharType="end"/>
      </w:r>
      <w:r w:rsidR="009665E3" w:rsidRPr="00BD1319">
        <w:rPr>
          <w:rFonts w:cs="Arial"/>
          <w:spacing w:val="-3"/>
          <w:lang w:val="es-CO"/>
        </w:rPr>
        <w:t>)</w:t>
      </w:r>
      <w:r w:rsidR="00C90A07" w:rsidRPr="00BD1319">
        <w:rPr>
          <w:rFonts w:cs="Arial"/>
          <w:spacing w:val="-3"/>
          <w:lang w:val="es-CO"/>
        </w:rPr>
        <w:t>; para la ejecución de tales actividades debe aplicarse la jerarquía de las medidas de manejo</w:t>
      </w:r>
      <w:r w:rsidR="00CB7535" w:rsidRPr="00BD1319">
        <w:rPr>
          <w:rFonts w:cs="Arial"/>
          <w:spacing w:val="-3"/>
          <w:lang w:val="es-CO"/>
        </w:rPr>
        <w:t>.</w:t>
      </w:r>
    </w:p>
    <w:p w14:paraId="02642B27" w14:textId="77777777" w:rsidR="001C4EDB" w:rsidRPr="00BD1319" w:rsidRDefault="001C4EDB" w:rsidP="009B04FC">
      <w:pPr>
        <w:numPr>
          <w:ilvl w:val="12"/>
          <w:numId w:val="0"/>
        </w:numPr>
        <w:tabs>
          <w:tab w:val="left" w:pos="-2268"/>
        </w:tabs>
        <w:suppressAutoHyphens/>
        <w:rPr>
          <w:rFonts w:cs="Arial"/>
          <w:spacing w:val="-3"/>
        </w:rPr>
      </w:pPr>
    </w:p>
    <w:p w14:paraId="02E3ED2F" w14:textId="6C4870B5" w:rsidR="00E1669C" w:rsidRPr="00BD1319" w:rsidRDefault="00E1669C" w:rsidP="009420F5">
      <w:pPr>
        <w:pStyle w:val="Descripcin"/>
        <w:keepNext/>
        <w:ind w:left="426" w:right="476"/>
        <w:jc w:val="center"/>
      </w:pPr>
      <w:bookmarkStart w:id="11015" w:name="_Ref82611062"/>
      <w:r w:rsidRPr="00BD1319">
        <w:t xml:space="preserve">Tabla </w:t>
      </w:r>
      <w:fldSimple w:instr=" SEQ Tabla \* ARABIC ">
        <w:r w:rsidR="00296654" w:rsidRPr="00BD1319">
          <w:rPr>
            <w:noProof/>
          </w:rPr>
          <w:t>37</w:t>
        </w:r>
      </w:fldSimple>
      <w:bookmarkEnd w:id="11015"/>
      <w:r w:rsidRPr="00BD1319">
        <w:t xml:space="preserve">. </w:t>
      </w:r>
      <w:r w:rsidRPr="00BD1319">
        <w:rPr>
          <w:b w:val="0"/>
        </w:rPr>
        <w:t xml:space="preserve">Interacción </w:t>
      </w:r>
      <w:r w:rsidR="004013C6" w:rsidRPr="00BD1319">
        <w:rPr>
          <w:b w:val="0"/>
        </w:rPr>
        <w:t xml:space="preserve">Potencial normalizado de modificación – Sensibilidad ambiental </w:t>
      </w:r>
      <w:r w:rsidRPr="00BD1319">
        <w:rPr>
          <w:b w:val="0"/>
        </w:rPr>
        <w:t xml:space="preserve">que determina </w:t>
      </w:r>
      <w:r w:rsidR="004013C6" w:rsidRPr="00BD1319">
        <w:rPr>
          <w:b w:val="0"/>
        </w:rPr>
        <w:t xml:space="preserve">un </w:t>
      </w:r>
      <w:r w:rsidRPr="00BD1319">
        <w:rPr>
          <w:b w:val="0"/>
        </w:rPr>
        <w:t>área de intervención con restricciones.</w:t>
      </w:r>
    </w:p>
    <w:tbl>
      <w:tblPr>
        <w:tblStyle w:val="Tablaconcuadrcula"/>
        <w:tblW w:w="8386" w:type="dxa"/>
        <w:jc w:val="center"/>
        <w:tblLayout w:type="fixed"/>
        <w:tblLook w:val="04A0" w:firstRow="1" w:lastRow="0" w:firstColumn="1" w:lastColumn="0" w:noHBand="0" w:noVBand="1"/>
      </w:tblPr>
      <w:tblGrid>
        <w:gridCol w:w="2569"/>
        <w:gridCol w:w="1163"/>
        <w:gridCol w:w="1163"/>
        <w:gridCol w:w="1164"/>
        <w:gridCol w:w="1163"/>
        <w:gridCol w:w="1164"/>
      </w:tblGrid>
      <w:tr w:rsidR="000815E2" w:rsidRPr="00BD1319" w14:paraId="642661B8" w14:textId="77777777" w:rsidTr="006B4032">
        <w:trPr>
          <w:trHeight w:val="315"/>
          <w:tblHeader/>
          <w:jc w:val="center"/>
        </w:trPr>
        <w:tc>
          <w:tcPr>
            <w:tcW w:w="2552" w:type="dxa"/>
            <w:vMerge w:val="restart"/>
            <w:shd w:val="clear" w:color="auto" w:fill="auto"/>
            <w:noWrap/>
            <w:vAlign w:val="center"/>
            <w:hideMark/>
          </w:tcPr>
          <w:p w14:paraId="07FDE343" w14:textId="1A149A90" w:rsidR="000815E2" w:rsidRPr="00BD1319" w:rsidRDefault="004013C6" w:rsidP="004F01DD">
            <w:pPr>
              <w:tabs>
                <w:tab w:val="left" w:pos="-2268"/>
              </w:tabs>
              <w:suppressAutoHyphens/>
              <w:jc w:val="center"/>
              <w:rPr>
                <w:rFonts w:cs="Arial"/>
                <w:spacing w:val="-3"/>
                <w:sz w:val="22"/>
              </w:rPr>
            </w:pPr>
            <w:r w:rsidRPr="00BD1319">
              <w:rPr>
                <w:rFonts w:cs="Arial"/>
                <w:b/>
                <w:bCs/>
                <w:spacing w:val="-3"/>
                <w:sz w:val="22"/>
              </w:rPr>
              <w:t xml:space="preserve">Potencial normalizado de modificación </w:t>
            </w:r>
            <w:r w:rsidR="000815E2" w:rsidRPr="00BD1319">
              <w:rPr>
                <w:rFonts w:cs="Arial"/>
                <w:b/>
                <w:bCs/>
                <w:spacing w:val="-3"/>
                <w:sz w:val="22"/>
              </w:rPr>
              <w:t>del impacto</w:t>
            </w:r>
          </w:p>
        </w:tc>
        <w:tc>
          <w:tcPr>
            <w:tcW w:w="5777" w:type="dxa"/>
            <w:gridSpan w:val="5"/>
            <w:shd w:val="clear" w:color="auto" w:fill="auto"/>
            <w:noWrap/>
            <w:vAlign w:val="center"/>
            <w:hideMark/>
          </w:tcPr>
          <w:p w14:paraId="320425AE" w14:textId="37E04840" w:rsidR="000815E2" w:rsidRPr="00BD1319" w:rsidRDefault="000815E2" w:rsidP="004F01DD">
            <w:pPr>
              <w:tabs>
                <w:tab w:val="left" w:pos="-2268"/>
              </w:tabs>
              <w:suppressAutoHyphens/>
              <w:jc w:val="center"/>
              <w:rPr>
                <w:rFonts w:cs="Arial"/>
                <w:b/>
                <w:bCs/>
                <w:spacing w:val="-3"/>
                <w:sz w:val="22"/>
              </w:rPr>
            </w:pPr>
            <w:r w:rsidRPr="00BD1319">
              <w:rPr>
                <w:rFonts w:cs="Arial"/>
                <w:b/>
                <w:bCs/>
                <w:spacing w:val="-3"/>
                <w:sz w:val="22"/>
              </w:rPr>
              <w:t xml:space="preserve">Sensibilidad </w:t>
            </w:r>
            <w:r w:rsidR="00551C9D" w:rsidRPr="00BD1319">
              <w:rPr>
                <w:rFonts w:cs="Arial"/>
                <w:b/>
                <w:bCs/>
                <w:spacing w:val="-3"/>
                <w:sz w:val="22"/>
              </w:rPr>
              <w:t>a</w:t>
            </w:r>
            <w:r w:rsidRPr="00BD1319">
              <w:rPr>
                <w:rFonts w:cs="Arial"/>
                <w:b/>
                <w:bCs/>
                <w:spacing w:val="-3"/>
                <w:sz w:val="22"/>
              </w:rPr>
              <w:t>mbiental</w:t>
            </w:r>
          </w:p>
        </w:tc>
      </w:tr>
      <w:tr w:rsidR="000815E2" w:rsidRPr="00BD1319" w14:paraId="619C00B4" w14:textId="77777777" w:rsidTr="006B4032">
        <w:trPr>
          <w:trHeight w:val="315"/>
          <w:tblHeader/>
          <w:jc w:val="center"/>
        </w:trPr>
        <w:tc>
          <w:tcPr>
            <w:tcW w:w="2552" w:type="dxa"/>
            <w:vMerge/>
            <w:shd w:val="clear" w:color="auto" w:fill="auto"/>
            <w:noWrap/>
            <w:vAlign w:val="center"/>
            <w:hideMark/>
          </w:tcPr>
          <w:p w14:paraId="2F7FC40F" w14:textId="77777777" w:rsidR="000815E2" w:rsidRPr="00BD1319" w:rsidRDefault="000815E2" w:rsidP="004F01DD">
            <w:pPr>
              <w:tabs>
                <w:tab w:val="left" w:pos="-2268"/>
              </w:tabs>
              <w:suppressAutoHyphens/>
              <w:jc w:val="center"/>
              <w:rPr>
                <w:rFonts w:cs="Arial"/>
                <w:b/>
                <w:bCs/>
                <w:spacing w:val="-3"/>
                <w:sz w:val="22"/>
              </w:rPr>
            </w:pPr>
          </w:p>
        </w:tc>
        <w:tc>
          <w:tcPr>
            <w:tcW w:w="1155" w:type="dxa"/>
            <w:shd w:val="clear" w:color="auto" w:fill="auto"/>
            <w:vAlign w:val="center"/>
            <w:hideMark/>
          </w:tcPr>
          <w:p w14:paraId="539142B9" w14:textId="77777777" w:rsidR="000815E2" w:rsidRPr="00BD1319" w:rsidRDefault="000815E2" w:rsidP="004F01DD">
            <w:pPr>
              <w:tabs>
                <w:tab w:val="left" w:pos="-2268"/>
              </w:tabs>
              <w:suppressAutoHyphens/>
              <w:jc w:val="center"/>
              <w:rPr>
                <w:rFonts w:cs="Arial"/>
                <w:b/>
                <w:bCs/>
                <w:spacing w:val="-3"/>
                <w:sz w:val="22"/>
              </w:rPr>
            </w:pPr>
            <w:r w:rsidRPr="00BD1319">
              <w:rPr>
                <w:rFonts w:cs="Arial"/>
                <w:b/>
                <w:bCs/>
                <w:spacing w:val="-3"/>
                <w:sz w:val="22"/>
              </w:rPr>
              <w:t>Muy Baja</w:t>
            </w:r>
          </w:p>
        </w:tc>
        <w:tc>
          <w:tcPr>
            <w:tcW w:w="1155" w:type="dxa"/>
            <w:shd w:val="clear" w:color="auto" w:fill="auto"/>
            <w:vAlign w:val="center"/>
            <w:hideMark/>
          </w:tcPr>
          <w:p w14:paraId="06B993CB" w14:textId="77777777" w:rsidR="000815E2" w:rsidRPr="00BD1319" w:rsidRDefault="000815E2" w:rsidP="004F01DD">
            <w:pPr>
              <w:tabs>
                <w:tab w:val="left" w:pos="-2268"/>
              </w:tabs>
              <w:suppressAutoHyphens/>
              <w:jc w:val="center"/>
              <w:rPr>
                <w:rFonts w:cs="Arial"/>
                <w:b/>
                <w:bCs/>
                <w:spacing w:val="-3"/>
                <w:sz w:val="22"/>
              </w:rPr>
            </w:pPr>
            <w:r w:rsidRPr="00BD1319">
              <w:rPr>
                <w:rFonts w:cs="Arial"/>
                <w:b/>
                <w:bCs/>
                <w:spacing w:val="-3"/>
                <w:sz w:val="22"/>
              </w:rPr>
              <w:t>Baja</w:t>
            </w:r>
          </w:p>
        </w:tc>
        <w:tc>
          <w:tcPr>
            <w:tcW w:w="1156" w:type="dxa"/>
            <w:shd w:val="clear" w:color="auto" w:fill="auto"/>
            <w:vAlign w:val="center"/>
            <w:hideMark/>
          </w:tcPr>
          <w:p w14:paraId="18678B65" w14:textId="77777777" w:rsidR="000815E2" w:rsidRPr="00BD1319" w:rsidRDefault="000815E2" w:rsidP="004F01DD">
            <w:pPr>
              <w:tabs>
                <w:tab w:val="left" w:pos="-2268"/>
              </w:tabs>
              <w:suppressAutoHyphens/>
              <w:jc w:val="center"/>
              <w:rPr>
                <w:rFonts w:cs="Arial"/>
                <w:b/>
                <w:bCs/>
                <w:spacing w:val="-3"/>
                <w:sz w:val="22"/>
              </w:rPr>
            </w:pPr>
            <w:r w:rsidRPr="00BD1319">
              <w:rPr>
                <w:rFonts w:cs="Arial"/>
                <w:b/>
                <w:bCs/>
                <w:spacing w:val="-3"/>
                <w:sz w:val="22"/>
              </w:rPr>
              <w:t>Media</w:t>
            </w:r>
          </w:p>
        </w:tc>
        <w:tc>
          <w:tcPr>
            <w:tcW w:w="1155" w:type="dxa"/>
            <w:shd w:val="clear" w:color="auto" w:fill="auto"/>
            <w:vAlign w:val="center"/>
            <w:hideMark/>
          </w:tcPr>
          <w:p w14:paraId="575B6174" w14:textId="77777777" w:rsidR="000815E2" w:rsidRPr="00BD1319" w:rsidRDefault="000815E2" w:rsidP="004F01DD">
            <w:pPr>
              <w:tabs>
                <w:tab w:val="left" w:pos="-2268"/>
              </w:tabs>
              <w:suppressAutoHyphens/>
              <w:jc w:val="center"/>
              <w:rPr>
                <w:rFonts w:cs="Arial"/>
                <w:b/>
                <w:bCs/>
                <w:spacing w:val="-3"/>
                <w:sz w:val="22"/>
              </w:rPr>
            </w:pPr>
            <w:r w:rsidRPr="00BD1319">
              <w:rPr>
                <w:rFonts w:cs="Arial"/>
                <w:b/>
                <w:bCs/>
                <w:spacing w:val="-3"/>
                <w:sz w:val="22"/>
              </w:rPr>
              <w:t>Alta</w:t>
            </w:r>
          </w:p>
        </w:tc>
        <w:tc>
          <w:tcPr>
            <w:tcW w:w="1156" w:type="dxa"/>
            <w:shd w:val="clear" w:color="auto" w:fill="auto"/>
            <w:vAlign w:val="center"/>
            <w:hideMark/>
          </w:tcPr>
          <w:p w14:paraId="67B68F15" w14:textId="77777777" w:rsidR="000815E2" w:rsidRPr="00BD1319" w:rsidRDefault="000815E2" w:rsidP="004F01DD">
            <w:pPr>
              <w:tabs>
                <w:tab w:val="left" w:pos="-2268"/>
              </w:tabs>
              <w:suppressAutoHyphens/>
              <w:jc w:val="center"/>
              <w:rPr>
                <w:rFonts w:cs="Arial"/>
                <w:b/>
                <w:bCs/>
                <w:spacing w:val="-3"/>
                <w:sz w:val="22"/>
              </w:rPr>
            </w:pPr>
            <w:r w:rsidRPr="00BD1319">
              <w:rPr>
                <w:rFonts w:cs="Arial"/>
                <w:b/>
                <w:bCs/>
                <w:spacing w:val="-3"/>
                <w:sz w:val="22"/>
              </w:rPr>
              <w:t>Muy Alta</w:t>
            </w:r>
          </w:p>
        </w:tc>
      </w:tr>
      <w:tr w:rsidR="000815E2" w:rsidRPr="00BD1319" w14:paraId="1376DA88" w14:textId="77777777" w:rsidTr="006B4032">
        <w:trPr>
          <w:trHeight w:val="360"/>
          <w:tblHeader/>
          <w:jc w:val="center"/>
        </w:trPr>
        <w:tc>
          <w:tcPr>
            <w:tcW w:w="2552" w:type="dxa"/>
            <w:noWrap/>
            <w:vAlign w:val="center"/>
            <w:hideMark/>
          </w:tcPr>
          <w:p w14:paraId="38D3DEB2" w14:textId="32408DED" w:rsidR="000815E2" w:rsidRPr="00BD1319" w:rsidRDefault="000815E2" w:rsidP="004F01DD">
            <w:pPr>
              <w:tabs>
                <w:tab w:val="left" w:pos="-2268"/>
              </w:tabs>
              <w:suppressAutoHyphens/>
              <w:jc w:val="center"/>
              <w:rPr>
                <w:rFonts w:cs="Arial"/>
                <w:b/>
                <w:bCs/>
                <w:spacing w:val="-3"/>
                <w:sz w:val="22"/>
              </w:rPr>
            </w:pPr>
            <w:r w:rsidRPr="00BD1319">
              <w:rPr>
                <w:rFonts w:cs="Arial"/>
                <w:b/>
                <w:bCs/>
                <w:spacing w:val="-3"/>
                <w:sz w:val="22"/>
              </w:rPr>
              <w:t>Bajo</w:t>
            </w:r>
          </w:p>
        </w:tc>
        <w:tc>
          <w:tcPr>
            <w:tcW w:w="1155" w:type="dxa"/>
            <w:noWrap/>
            <w:vAlign w:val="center"/>
          </w:tcPr>
          <w:p w14:paraId="33131C52" w14:textId="77777777" w:rsidR="000815E2" w:rsidRPr="00BD1319" w:rsidRDefault="000815E2" w:rsidP="004F01DD">
            <w:pPr>
              <w:tabs>
                <w:tab w:val="left" w:pos="-2268"/>
              </w:tabs>
              <w:suppressAutoHyphens/>
              <w:jc w:val="center"/>
              <w:rPr>
                <w:rFonts w:cs="Arial"/>
                <w:spacing w:val="-3"/>
                <w:sz w:val="22"/>
              </w:rPr>
            </w:pPr>
          </w:p>
        </w:tc>
        <w:tc>
          <w:tcPr>
            <w:tcW w:w="1155" w:type="dxa"/>
            <w:noWrap/>
            <w:vAlign w:val="center"/>
          </w:tcPr>
          <w:p w14:paraId="7F323E77" w14:textId="77777777" w:rsidR="000815E2" w:rsidRPr="00BD1319" w:rsidRDefault="000815E2" w:rsidP="004F01DD">
            <w:pPr>
              <w:tabs>
                <w:tab w:val="left" w:pos="-2268"/>
              </w:tabs>
              <w:suppressAutoHyphens/>
              <w:jc w:val="center"/>
              <w:rPr>
                <w:rFonts w:cs="Arial"/>
                <w:spacing w:val="-3"/>
                <w:sz w:val="22"/>
              </w:rPr>
            </w:pPr>
          </w:p>
        </w:tc>
        <w:tc>
          <w:tcPr>
            <w:tcW w:w="1156" w:type="dxa"/>
            <w:noWrap/>
            <w:vAlign w:val="center"/>
          </w:tcPr>
          <w:p w14:paraId="459362C7" w14:textId="77777777" w:rsidR="000815E2" w:rsidRPr="00BD1319" w:rsidRDefault="000815E2" w:rsidP="004F01DD">
            <w:pPr>
              <w:tabs>
                <w:tab w:val="left" w:pos="-2268"/>
              </w:tabs>
              <w:suppressAutoHyphens/>
              <w:jc w:val="center"/>
              <w:rPr>
                <w:rFonts w:cs="Arial"/>
                <w:spacing w:val="-3"/>
                <w:sz w:val="22"/>
              </w:rPr>
            </w:pPr>
          </w:p>
        </w:tc>
        <w:tc>
          <w:tcPr>
            <w:tcW w:w="1155" w:type="dxa"/>
            <w:noWrap/>
            <w:vAlign w:val="center"/>
          </w:tcPr>
          <w:p w14:paraId="42413666" w14:textId="77777777" w:rsidR="000815E2" w:rsidRPr="00BD1319" w:rsidRDefault="000815E2" w:rsidP="004F01DD">
            <w:pPr>
              <w:tabs>
                <w:tab w:val="left" w:pos="-2268"/>
              </w:tabs>
              <w:suppressAutoHyphens/>
              <w:jc w:val="center"/>
              <w:rPr>
                <w:rFonts w:cs="Arial"/>
                <w:spacing w:val="-3"/>
                <w:sz w:val="22"/>
              </w:rPr>
            </w:pPr>
            <w:r w:rsidRPr="00BD1319">
              <w:rPr>
                <w:rFonts w:cs="Arial"/>
                <w:spacing w:val="-3"/>
                <w:sz w:val="22"/>
              </w:rPr>
              <w:t>X</w:t>
            </w:r>
          </w:p>
        </w:tc>
        <w:tc>
          <w:tcPr>
            <w:tcW w:w="1156" w:type="dxa"/>
            <w:noWrap/>
            <w:vAlign w:val="center"/>
          </w:tcPr>
          <w:p w14:paraId="5AD0B32E" w14:textId="77777777" w:rsidR="000815E2" w:rsidRPr="00BD1319" w:rsidRDefault="000815E2" w:rsidP="004F01DD">
            <w:pPr>
              <w:tabs>
                <w:tab w:val="left" w:pos="-2268"/>
              </w:tabs>
              <w:suppressAutoHyphens/>
              <w:jc w:val="center"/>
              <w:rPr>
                <w:rFonts w:cs="Arial"/>
                <w:spacing w:val="-3"/>
                <w:sz w:val="22"/>
              </w:rPr>
            </w:pPr>
            <w:r w:rsidRPr="00BD1319">
              <w:rPr>
                <w:rFonts w:cs="Arial"/>
                <w:spacing w:val="-3"/>
                <w:sz w:val="22"/>
              </w:rPr>
              <w:t>X</w:t>
            </w:r>
          </w:p>
        </w:tc>
      </w:tr>
      <w:tr w:rsidR="000815E2" w:rsidRPr="00BD1319" w14:paraId="0E4A0772" w14:textId="77777777" w:rsidTr="006B4032">
        <w:trPr>
          <w:trHeight w:val="360"/>
          <w:tblHeader/>
          <w:jc w:val="center"/>
        </w:trPr>
        <w:tc>
          <w:tcPr>
            <w:tcW w:w="2552" w:type="dxa"/>
            <w:noWrap/>
            <w:vAlign w:val="center"/>
            <w:hideMark/>
          </w:tcPr>
          <w:p w14:paraId="51AA5FAF" w14:textId="71918C4B" w:rsidR="000815E2" w:rsidRPr="00BD1319" w:rsidRDefault="000815E2" w:rsidP="004F01DD">
            <w:pPr>
              <w:tabs>
                <w:tab w:val="left" w:pos="-2268"/>
              </w:tabs>
              <w:suppressAutoHyphens/>
              <w:jc w:val="center"/>
              <w:rPr>
                <w:rFonts w:cs="Arial"/>
                <w:b/>
                <w:bCs/>
                <w:spacing w:val="-3"/>
                <w:sz w:val="22"/>
              </w:rPr>
            </w:pPr>
            <w:r w:rsidRPr="00BD1319">
              <w:rPr>
                <w:rFonts w:cs="Arial"/>
                <w:b/>
                <w:bCs/>
                <w:spacing w:val="-3"/>
                <w:sz w:val="22"/>
              </w:rPr>
              <w:t>Medio</w:t>
            </w:r>
          </w:p>
        </w:tc>
        <w:tc>
          <w:tcPr>
            <w:tcW w:w="1155" w:type="dxa"/>
            <w:noWrap/>
            <w:vAlign w:val="center"/>
          </w:tcPr>
          <w:p w14:paraId="102592F8" w14:textId="77777777" w:rsidR="000815E2" w:rsidRPr="00BD1319" w:rsidRDefault="000815E2" w:rsidP="004F01DD">
            <w:pPr>
              <w:tabs>
                <w:tab w:val="left" w:pos="-2268"/>
              </w:tabs>
              <w:suppressAutoHyphens/>
              <w:jc w:val="center"/>
              <w:rPr>
                <w:rFonts w:cs="Arial"/>
                <w:spacing w:val="-3"/>
                <w:sz w:val="22"/>
              </w:rPr>
            </w:pPr>
          </w:p>
        </w:tc>
        <w:tc>
          <w:tcPr>
            <w:tcW w:w="1155" w:type="dxa"/>
            <w:noWrap/>
            <w:vAlign w:val="center"/>
          </w:tcPr>
          <w:p w14:paraId="0C83F822" w14:textId="77777777" w:rsidR="000815E2" w:rsidRPr="00BD1319" w:rsidRDefault="000815E2" w:rsidP="004F01DD">
            <w:pPr>
              <w:tabs>
                <w:tab w:val="left" w:pos="-2268"/>
              </w:tabs>
              <w:suppressAutoHyphens/>
              <w:jc w:val="center"/>
              <w:rPr>
                <w:rFonts w:cs="Arial"/>
                <w:spacing w:val="-3"/>
                <w:sz w:val="22"/>
              </w:rPr>
            </w:pPr>
          </w:p>
        </w:tc>
        <w:tc>
          <w:tcPr>
            <w:tcW w:w="1156" w:type="dxa"/>
            <w:noWrap/>
            <w:vAlign w:val="center"/>
          </w:tcPr>
          <w:p w14:paraId="3DD2E121" w14:textId="77777777" w:rsidR="000815E2" w:rsidRPr="00BD1319" w:rsidRDefault="000815E2" w:rsidP="004F01DD">
            <w:pPr>
              <w:tabs>
                <w:tab w:val="left" w:pos="-2268"/>
              </w:tabs>
              <w:suppressAutoHyphens/>
              <w:jc w:val="center"/>
              <w:rPr>
                <w:rFonts w:cs="Arial"/>
                <w:spacing w:val="-3"/>
                <w:sz w:val="22"/>
              </w:rPr>
            </w:pPr>
            <w:r w:rsidRPr="00BD1319">
              <w:rPr>
                <w:rFonts w:cs="Arial"/>
                <w:spacing w:val="-3"/>
                <w:sz w:val="22"/>
              </w:rPr>
              <w:t>X</w:t>
            </w:r>
          </w:p>
        </w:tc>
        <w:tc>
          <w:tcPr>
            <w:tcW w:w="1155" w:type="dxa"/>
            <w:noWrap/>
            <w:vAlign w:val="center"/>
          </w:tcPr>
          <w:p w14:paraId="5E139257" w14:textId="77777777" w:rsidR="000815E2" w:rsidRPr="00BD1319" w:rsidRDefault="000815E2" w:rsidP="004F01DD">
            <w:pPr>
              <w:tabs>
                <w:tab w:val="left" w:pos="-2268"/>
              </w:tabs>
              <w:suppressAutoHyphens/>
              <w:jc w:val="center"/>
              <w:rPr>
                <w:rFonts w:cs="Arial"/>
                <w:spacing w:val="-3"/>
                <w:sz w:val="22"/>
              </w:rPr>
            </w:pPr>
            <w:r w:rsidRPr="00BD1319">
              <w:rPr>
                <w:rFonts w:cs="Arial"/>
                <w:spacing w:val="-3"/>
                <w:sz w:val="22"/>
              </w:rPr>
              <w:t>X</w:t>
            </w:r>
          </w:p>
        </w:tc>
        <w:tc>
          <w:tcPr>
            <w:tcW w:w="1156" w:type="dxa"/>
            <w:noWrap/>
            <w:vAlign w:val="center"/>
          </w:tcPr>
          <w:p w14:paraId="2FE20E44" w14:textId="77777777" w:rsidR="000815E2" w:rsidRPr="00BD1319" w:rsidRDefault="000815E2" w:rsidP="004F01DD">
            <w:pPr>
              <w:tabs>
                <w:tab w:val="left" w:pos="-2268"/>
              </w:tabs>
              <w:suppressAutoHyphens/>
              <w:jc w:val="center"/>
              <w:rPr>
                <w:rFonts w:cs="Arial"/>
                <w:spacing w:val="-3"/>
                <w:sz w:val="22"/>
              </w:rPr>
            </w:pPr>
            <w:r w:rsidRPr="00BD1319">
              <w:rPr>
                <w:rFonts w:cs="Arial"/>
                <w:spacing w:val="-3"/>
                <w:sz w:val="22"/>
              </w:rPr>
              <w:t>X</w:t>
            </w:r>
          </w:p>
        </w:tc>
      </w:tr>
      <w:tr w:rsidR="000815E2" w:rsidRPr="00BD1319" w14:paraId="3858C4C6" w14:textId="77777777" w:rsidTr="006B4032">
        <w:trPr>
          <w:trHeight w:val="360"/>
          <w:tblHeader/>
          <w:jc w:val="center"/>
        </w:trPr>
        <w:tc>
          <w:tcPr>
            <w:tcW w:w="2552" w:type="dxa"/>
            <w:noWrap/>
            <w:vAlign w:val="center"/>
            <w:hideMark/>
          </w:tcPr>
          <w:p w14:paraId="490C517E" w14:textId="77C01938" w:rsidR="000815E2" w:rsidRPr="00BD1319" w:rsidRDefault="000815E2" w:rsidP="004F01DD">
            <w:pPr>
              <w:tabs>
                <w:tab w:val="left" w:pos="-2268"/>
              </w:tabs>
              <w:suppressAutoHyphens/>
              <w:jc w:val="center"/>
              <w:rPr>
                <w:rFonts w:cs="Arial"/>
                <w:b/>
                <w:bCs/>
                <w:spacing w:val="-3"/>
                <w:sz w:val="22"/>
              </w:rPr>
            </w:pPr>
            <w:r w:rsidRPr="00BD1319">
              <w:rPr>
                <w:rFonts w:cs="Arial"/>
                <w:b/>
                <w:bCs/>
                <w:spacing w:val="-3"/>
                <w:sz w:val="22"/>
              </w:rPr>
              <w:t>Alto</w:t>
            </w:r>
          </w:p>
        </w:tc>
        <w:tc>
          <w:tcPr>
            <w:tcW w:w="1155" w:type="dxa"/>
            <w:noWrap/>
            <w:vAlign w:val="center"/>
          </w:tcPr>
          <w:p w14:paraId="789F27A3" w14:textId="77777777" w:rsidR="000815E2" w:rsidRPr="00BD1319" w:rsidRDefault="000815E2" w:rsidP="004F01DD">
            <w:pPr>
              <w:tabs>
                <w:tab w:val="left" w:pos="-2268"/>
              </w:tabs>
              <w:suppressAutoHyphens/>
              <w:jc w:val="center"/>
              <w:rPr>
                <w:rFonts w:cs="Arial"/>
                <w:spacing w:val="-3"/>
                <w:sz w:val="22"/>
              </w:rPr>
            </w:pPr>
          </w:p>
        </w:tc>
        <w:tc>
          <w:tcPr>
            <w:tcW w:w="1155" w:type="dxa"/>
            <w:noWrap/>
            <w:vAlign w:val="center"/>
          </w:tcPr>
          <w:p w14:paraId="0CC08264" w14:textId="77777777" w:rsidR="000815E2" w:rsidRPr="00BD1319" w:rsidRDefault="000815E2" w:rsidP="004F01DD">
            <w:pPr>
              <w:tabs>
                <w:tab w:val="left" w:pos="-2268"/>
              </w:tabs>
              <w:suppressAutoHyphens/>
              <w:jc w:val="center"/>
              <w:rPr>
                <w:rFonts w:cs="Arial"/>
                <w:spacing w:val="-3"/>
                <w:sz w:val="22"/>
              </w:rPr>
            </w:pPr>
            <w:r w:rsidRPr="00BD1319">
              <w:rPr>
                <w:rFonts w:cs="Arial"/>
                <w:spacing w:val="-3"/>
                <w:sz w:val="22"/>
              </w:rPr>
              <w:t>X</w:t>
            </w:r>
          </w:p>
        </w:tc>
        <w:tc>
          <w:tcPr>
            <w:tcW w:w="1156" w:type="dxa"/>
            <w:noWrap/>
            <w:vAlign w:val="center"/>
          </w:tcPr>
          <w:p w14:paraId="5056F8A4" w14:textId="77777777" w:rsidR="000815E2" w:rsidRPr="00BD1319" w:rsidRDefault="000815E2" w:rsidP="004F01DD">
            <w:pPr>
              <w:tabs>
                <w:tab w:val="left" w:pos="-2268"/>
              </w:tabs>
              <w:suppressAutoHyphens/>
              <w:jc w:val="center"/>
              <w:rPr>
                <w:rFonts w:cs="Arial"/>
                <w:spacing w:val="-3"/>
                <w:sz w:val="22"/>
              </w:rPr>
            </w:pPr>
            <w:r w:rsidRPr="00BD1319">
              <w:rPr>
                <w:rFonts w:cs="Arial"/>
                <w:spacing w:val="-3"/>
                <w:sz w:val="22"/>
              </w:rPr>
              <w:t>X</w:t>
            </w:r>
          </w:p>
        </w:tc>
        <w:tc>
          <w:tcPr>
            <w:tcW w:w="1155" w:type="dxa"/>
            <w:noWrap/>
            <w:vAlign w:val="center"/>
          </w:tcPr>
          <w:p w14:paraId="338D7BE7" w14:textId="77777777" w:rsidR="000815E2" w:rsidRPr="00BD1319" w:rsidRDefault="000815E2" w:rsidP="004F01DD">
            <w:pPr>
              <w:tabs>
                <w:tab w:val="left" w:pos="-2268"/>
              </w:tabs>
              <w:suppressAutoHyphens/>
              <w:jc w:val="center"/>
              <w:rPr>
                <w:rFonts w:cs="Arial"/>
                <w:spacing w:val="-3"/>
                <w:sz w:val="22"/>
              </w:rPr>
            </w:pPr>
            <w:r w:rsidRPr="00BD1319">
              <w:rPr>
                <w:rFonts w:cs="Arial"/>
                <w:spacing w:val="-3"/>
                <w:sz w:val="22"/>
              </w:rPr>
              <w:t>X</w:t>
            </w:r>
          </w:p>
        </w:tc>
        <w:tc>
          <w:tcPr>
            <w:tcW w:w="1156" w:type="dxa"/>
            <w:noWrap/>
            <w:vAlign w:val="center"/>
          </w:tcPr>
          <w:p w14:paraId="55D71BF7" w14:textId="77777777" w:rsidR="000815E2" w:rsidRPr="00BD1319" w:rsidRDefault="000815E2" w:rsidP="004F01DD">
            <w:pPr>
              <w:tabs>
                <w:tab w:val="left" w:pos="-2268"/>
              </w:tabs>
              <w:suppressAutoHyphens/>
              <w:jc w:val="center"/>
              <w:rPr>
                <w:rFonts w:cs="Arial"/>
                <w:spacing w:val="-3"/>
                <w:sz w:val="22"/>
              </w:rPr>
            </w:pPr>
          </w:p>
        </w:tc>
      </w:tr>
      <w:tr w:rsidR="009B04FC" w:rsidRPr="00BD1319" w14:paraId="12CB6554" w14:textId="77777777" w:rsidTr="006B4032">
        <w:trPr>
          <w:trHeight w:val="360"/>
          <w:tblHeader/>
          <w:jc w:val="center"/>
        </w:trPr>
        <w:tc>
          <w:tcPr>
            <w:tcW w:w="2552" w:type="dxa"/>
            <w:noWrap/>
            <w:vAlign w:val="center"/>
            <w:hideMark/>
          </w:tcPr>
          <w:p w14:paraId="4081A4F0" w14:textId="1F9482D7" w:rsidR="009B04FC" w:rsidRPr="00BD1319" w:rsidRDefault="009B04FC" w:rsidP="004F01DD">
            <w:pPr>
              <w:tabs>
                <w:tab w:val="left" w:pos="-2268"/>
              </w:tabs>
              <w:suppressAutoHyphens/>
              <w:jc w:val="center"/>
              <w:rPr>
                <w:rFonts w:cs="Arial"/>
                <w:b/>
                <w:bCs/>
                <w:spacing w:val="-3"/>
                <w:sz w:val="22"/>
              </w:rPr>
            </w:pPr>
            <w:r w:rsidRPr="00BD1319">
              <w:rPr>
                <w:rFonts w:cs="Arial"/>
                <w:b/>
                <w:bCs/>
                <w:spacing w:val="-3"/>
                <w:sz w:val="22"/>
              </w:rPr>
              <w:t xml:space="preserve">Muy </w:t>
            </w:r>
            <w:r w:rsidR="00C31358" w:rsidRPr="00BD1319">
              <w:rPr>
                <w:rFonts w:cs="Arial"/>
                <w:b/>
                <w:bCs/>
                <w:spacing w:val="-3"/>
                <w:sz w:val="22"/>
              </w:rPr>
              <w:t>a</w:t>
            </w:r>
            <w:r w:rsidRPr="00BD1319">
              <w:rPr>
                <w:rFonts w:cs="Arial"/>
                <w:b/>
                <w:bCs/>
                <w:spacing w:val="-3"/>
                <w:sz w:val="22"/>
              </w:rPr>
              <w:t>lt</w:t>
            </w:r>
            <w:r w:rsidR="000815E2" w:rsidRPr="00BD1319">
              <w:rPr>
                <w:rFonts w:cs="Arial"/>
                <w:b/>
                <w:bCs/>
                <w:spacing w:val="-3"/>
                <w:sz w:val="22"/>
              </w:rPr>
              <w:t>o</w:t>
            </w:r>
          </w:p>
        </w:tc>
        <w:tc>
          <w:tcPr>
            <w:tcW w:w="1155" w:type="dxa"/>
            <w:noWrap/>
            <w:vAlign w:val="center"/>
          </w:tcPr>
          <w:p w14:paraId="48A17031" w14:textId="77777777" w:rsidR="009B04FC" w:rsidRPr="00BD1319" w:rsidRDefault="009B04FC" w:rsidP="004F01DD">
            <w:pPr>
              <w:tabs>
                <w:tab w:val="left" w:pos="-2268"/>
              </w:tabs>
              <w:suppressAutoHyphens/>
              <w:jc w:val="center"/>
              <w:rPr>
                <w:rFonts w:cs="Arial"/>
                <w:spacing w:val="-3"/>
                <w:sz w:val="22"/>
              </w:rPr>
            </w:pPr>
            <w:r w:rsidRPr="00BD1319">
              <w:rPr>
                <w:rFonts w:cs="Arial"/>
                <w:spacing w:val="-3"/>
                <w:sz w:val="22"/>
              </w:rPr>
              <w:t>X</w:t>
            </w:r>
          </w:p>
        </w:tc>
        <w:tc>
          <w:tcPr>
            <w:tcW w:w="1155" w:type="dxa"/>
            <w:noWrap/>
            <w:vAlign w:val="center"/>
          </w:tcPr>
          <w:p w14:paraId="7459DBF1" w14:textId="77777777" w:rsidR="009B04FC" w:rsidRPr="00BD1319" w:rsidRDefault="009B04FC" w:rsidP="004F01DD">
            <w:pPr>
              <w:tabs>
                <w:tab w:val="left" w:pos="-2268"/>
              </w:tabs>
              <w:suppressAutoHyphens/>
              <w:jc w:val="center"/>
              <w:rPr>
                <w:rFonts w:cs="Arial"/>
                <w:spacing w:val="-3"/>
                <w:sz w:val="22"/>
              </w:rPr>
            </w:pPr>
            <w:r w:rsidRPr="00BD1319">
              <w:rPr>
                <w:rFonts w:cs="Arial"/>
                <w:spacing w:val="-3"/>
                <w:sz w:val="22"/>
              </w:rPr>
              <w:t>X</w:t>
            </w:r>
          </w:p>
        </w:tc>
        <w:tc>
          <w:tcPr>
            <w:tcW w:w="1156" w:type="dxa"/>
            <w:noWrap/>
            <w:vAlign w:val="center"/>
          </w:tcPr>
          <w:p w14:paraId="3657AC14" w14:textId="77777777" w:rsidR="009B04FC" w:rsidRPr="00BD1319" w:rsidRDefault="009B04FC" w:rsidP="004F01DD">
            <w:pPr>
              <w:tabs>
                <w:tab w:val="left" w:pos="-2268"/>
              </w:tabs>
              <w:suppressAutoHyphens/>
              <w:jc w:val="center"/>
              <w:rPr>
                <w:rFonts w:cs="Arial"/>
                <w:spacing w:val="-3"/>
                <w:sz w:val="22"/>
              </w:rPr>
            </w:pPr>
            <w:r w:rsidRPr="00BD1319">
              <w:rPr>
                <w:rFonts w:cs="Arial"/>
                <w:spacing w:val="-3"/>
                <w:sz w:val="22"/>
              </w:rPr>
              <w:t>X</w:t>
            </w:r>
          </w:p>
        </w:tc>
        <w:tc>
          <w:tcPr>
            <w:tcW w:w="1155" w:type="dxa"/>
            <w:noWrap/>
            <w:vAlign w:val="center"/>
          </w:tcPr>
          <w:p w14:paraId="5C715B19" w14:textId="77777777" w:rsidR="009B04FC" w:rsidRPr="00BD1319" w:rsidRDefault="009B04FC" w:rsidP="004F01DD">
            <w:pPr>
              <w:tabs>
                <w:tab w:val="left" w:pos="-2268"/>
              </w:tabs>
              <w:suppressAutoHyphens/>
              <w:jc w:val="center"/>
              <w:rPr>
                <w:rFonts w:cs="Arial"/>
                <w:spacing w:val="-3"/>
                <w:sz w:val="22"/>
              </w:rPr>
            </w:pPr>
          </w:p>
        </w:tc>
        <w:tc>
          <w:tcPr>
            <w:tcW w:w="1156" w:type="dxa"/>
            <w:noWrap/>
            <w:vAlign w:val="center"/>
          </w:tcPr>
          <w:p w14:paraId="03C0B423" w14:textId="77777777" w:rsidR="009B04FC" w:rsidRPr="00BD1319" w:rsidRDefault="009B04FC" w:rsidP="004F01DD">
            <w:pPr>
              <w:tabs>
                <w:tab w:val="left" w:pos="-2268"/>
              </w:tabs>
              <w:suppressAutoHyphens/>
              <w:jc w:val="center"/>
              <w:rPr>
                <w:rFonts w:cs="Arial"/>
                <w:spacing w:val="-3"/>
                <w:sz w:val="22"/>
              </w:rPr>
            </w:pPr>
          </w:p>
        </w:tc>
      </w:tr>
    </w:tbl>
    <w:p w14:paraId="1FFB0D5A" w14:textId="77777777" w:rsidR="009B04FC" w:rsidRPr="00BD1319" w:rsidRDefault="009B04FC" w:rsidP="009B04FC">
      <w:pPr>
        <w:numPr>
          <w:ilvl w:val="12"/>
          <w:numId w:val="0"/>
        </w:numPr>
        <w:tabs>
          <w:tab w:val="left" w:pos="-2268"/>
        </w:tabs>
        <w:suppressAutoHyphens/>
        <w:rPr>
          <w:rFonts w:cs="Arial"/>
          <w:spacing w:val="-3"/>
        </w:rPr>
      </w:pPr>
    </w:p>
    <w:p w14:paraId="7D3BF442" w14:textId="45F01137" w:rsidR="009B04FC" w:rsidRPr="00BD1319" w:rsidRDefault="009B04FC" w:rsidP="009420F5">
      <w:pPr>
        <w:pStyle w:val="Prrafodelista"/>
        <w:numPr>
          <w:ilvl w:val="0"/>
          <w:numId w:val="5"/>
        </w:numPr>
        <w:tabs>
          <w:tab w:val="left" w:pos="-2268"/>
        </w:tabs>
        <w:suppressAutoHyphens/>
        <w:ind w:left="567" w:hanging="567"/>
        <w:rPr>
          <w:rFonts w:cs="Arial"/>
          <w:spacing w:val="-3"/>
          <w:lang w:val="es-CO"/>
        </w:rPr>
      </w:pPr>
      <w:bookmarkStart w:id="11016" w:name="_Hlk89354486"/>
      <w:r w:rsidRPr="00BD1319">
        <w:rPr>
          <w:b/>
          <w:spacing w:val="-3"/>
          <w:lang w:val="es-CO"/>
        </w:rPr>
        <w:t>Área de exclusión</w:t>
      </w:r>
      <w:r w:rsidRPr="00BD1319">
        <w:rPr>
          <w:rFonts w:cs="Arial"/>
          <w:b/>
          <w:spacing w:val="-3"/>
          <w:lang w:val="es-CO"/>
        </w:rPr>
        <w:t xml:space="preserve"> </w:t>
      </w:r>
      <w:bookmarkEnd w:id="11016"/>
      <w:r w:rsidRPr="00BD1319">
        <w:rPr>
          <w:rFonts w:cs="Arial"/>
          <w:b/>
          <w:spacing w:val="-3"/>
          <w:lang w:val="es-CO"/>
        </w:rPr>
        <w:t>(AE):</w:t>
      </w:r>
      <w:r w:rsidRPr="00BD1319">
        <w:rPr>
          <w:rFonts w:cs="Arial"/>
          <w:lang w:val="es-CO"/>
        </w:rPr>
        <w:t xml:space="preserve"> </w:t>
      </w:r>
      <w:r w:rsidR="004013C6" w:rsidRPr="00BD1319">
        <w:rPr>
          <w:rFonts w:cs="Arial"/>
          <w:spacing w:val="-3"/>
          <w:lang w:val="es-CO"/>
        </w:rPr>
        <w:t>área en la que no es permitido ejecutar ninguna de las obras o actividades propias del proyecto, obra o actividad de conformidad con la normativa vigente y la relación particular entre el potencial</w:t>
      </w:r>
      <w:r w:rsidR="009E644C" w:rsidRPr="00BD1319">
        <w:rPr>
          <w:rFonts w:cs="Arial"/>
          <w:spacing w:val="-3"/>
          <w:lang w:val="es-CO"/>
        </w:rPr>
        <w:t xml:space="preserve"> normalizado</w:t>
      </w:r>
      <w:r w:rsidR="004013C6" w:rsidRPr="00BD1319">
        <w:rPr>
          <w:rFonts w:cs="Arial"/>
          <w:spacing w:val="-3"/>
          <w:lang w:val="es-CO"/>
        </w:rPr>
        <w:t xml:space="preserve"> de modificación ambiental de los impactos y la sensibilidad ambiental</w:t>
      </w:r>
      <w:r w:rsidR="009665E3" w:rsidRPr="00BD1319">
        <w:rPr>
          <w:rFonts w:cs="Arial"/>
          <w:spacing w:val="-3"/>
          <w:lang w:val="es-CO"/>
        </w:rPr>
        <w:t xml:space="preserve"> (ver </w:t>
      </w:r>
      <w:r w:rsidR="009665E3" w:rsidRPr="00BD1319">
        <w:rPr>
          <w:rFonts w:cs="Arial"/>
          <w:spacing w:val="-3"/>
          <w:lang w:val="es-CO"/>
        </w:rPr>
        <w:fldChar w:fldCharType="begin"/>
      </w:r>
      <w:r w:rsidR="009665E3" w:rsidRPr="00BD1319">
        <w:rPr>
          <w:rFonts w:cs="Arial"/>
          <w:spacing w:val="-3"/>
          <w:lang w:val="es-CO"/>
        </w:rPr>
        <w:instrText xml:space="preserve"> REF _Ref82611090 \h </w:instrText>
      </w:r>
      <w:r w:rsidR="00BD1319">
        <w:rPr>
          <w:rFonts w:cs="Arial"/>
          <w:spacing w:val="-3"/>
          <w:lang w:val="es-CO"/>
        </w:rPr>
        <w:instrText xml:space="preserve"> \* MERGEFORMAT </w:instrText>
      </w:r>
      <w:r w:rsidR="009665E3" w:rsidRPr="00BD1319">
        <w:rPr>
          <w:rFonts w:cs="Arial"/>
          <w:spacing w:val="-3"/>
          <w:lang w:val="es-CO"/>
        </w:rPr>
      </w:r>
      <w:r w:rsidR="009665E3" w:rsidRPr="00BD1319">
        <w:rPr>
          <w:rFonts w:cs="Arial"/>
          <w:spacing w:val="-3"/>
          <w:lang w:val="es-CO"/>
        </w:rPr>
        <w:fldChar w:fldCharType="separate"/>
      </w:r>
      <w:r w:rsidR="00296654" w:rsidRPr="00BD1319">
        <w:t xml:space="preserve">Tabla </w:t>
      </w:r>
      <w:r w:rsidR="00296654" w:rsidRPr="00BD1319">
        <w:rPr>
          <w:noProof/>
        </w:rPr>
        <w:t>38</w:t>
      </w:r>
      <w:r w:rsidR="009665E3" w:rsidRPr="00BD1319">
        <w:rPr>
          <w:rFonts w:cs="Arial"/>
          <w:spacing w:val="-3"/>
          <w:lang w:val="es-CO"/>
        </w:rPr>
        <w:fldChar w:fldCharType="end"/>
      </w:r>
      <w:r w:rsidR="009665E3" w:rsidRPr="00BD1319">
        <w:rPr>
          <w:rFonts w:cs="Arial"/>
          <w:spacing w:val="-3"/>
          <w:lang w:val="es-CO"/>
        </w:rPr>
        <w:t>)</w:t>
      </w:r>
      <w:r w:rsidR="004013C6" w:rsidRPr="00BD1319">
        <w:rPr>
          <w:rFonts w:cs="Arial"/>
          <w:spacing w:val="-3"/>
          <w:lang w:val="es-CO"/>
        </w:rPr>
        <w:t>.</w:t>
      </w:r>
    </w:p>
    <w:p w14:paraId="798D5463" w14:textId="77777777" w:rsidR="009B04FC" w:rsidRPr="00BD1319" w:rsidRDefault="009B04FC" w:rsidP="009420F5">
      <w:pPr>
        <w:tabs>
          <w:tab w:val="left" w:pos="-2268"/>
        </w:tabs>
        <w:suppressAutoHyphens/>
        <w:rPr>
          <w:rFonts w:cs="Arial"/>
          <w:spacing w:val="-3"/>
        </w:rPr>
      </w:pPr>
    </w:p>
    <w:p w14:paraId="4D979941" w14:textId="1169588E" w:rsidR="00E1669C" w:rsidRPr="00BD1319" w:rsidRDefault="00E1669C" w:rsidP="009420F5">
      <w:pPr>
        <w:pStyle w:val="Descripcin"/>
        <w:keepNext/>
        <w:ind w:left="426" w:right="476"/>
        <w:jc w:val="center"/>
      </w:pPr>
      <w:bookmarkStart w:id="11017" w:name="_Ref82611090"/>
      <w:r w:rsidRPr="00BD1319">
        <w:t xml:space="preserve">Tabla </w:t>
      </w:r>
      <w:fldSimple w:instr=" SEQ Tabla \* ARABIC ">
        <w:r w:rsidR="00296654" w:rsidRPr="00BD1319">
          <w:rPr>
            <w:noProof/>
          </w:rPr>
          <w:t>38</w:t>
        </w:r>
      </w:fldSimple>
      <w:bookmarkEnd w:id="11017"/>
      <w:r w:rsidRPr="00BD1319">
        <w:t xml:space="preserve">. </w:t>
      </w:r>
      <w:r w:rsidRPr="00BD1319">
        <w:rPr>
          <w:b w:val="0"/>
        </w:rPr>
        <w:t xml:space="preserve">Interacción </w:t>
      </w:r>
      <w:r w:rsidR="004013C6" w:rsidRPr="00BD1319">
        <w:rPr>
          <w:b w:val="0"/>
        </w:rPr>
        <w:t xml:space="preserve">Potencial normalizado de modificación – Sensibilidad ambiental </w:t>
      </w:r>
      <w:r w:rsidRPr="00BD1319">
        <w:rPr>
          <w:b w:val="0"/>
        </w:rPr>
        <w:t>que determina</w:t>
      </w:r>
      <w:r w:rsidR="004013C6" w:rsidRPr="00BD1319">
        <w:rPr>
          <w:b w:val="0"/>
        </w:rPr>
        <w:t xml:space="preserve"> un</w:t>
      </w:r>
      <w:r w:rsidRPr="00BD1319">
        <w:rPr>
          <w:b w:val="0"/>
        </w:rPr>
        <w:t xml:space="preserve"> área de exclusión.</w:t>
      </w:r>
    </w:p>
    <w:tbl>
      <w:tblPr>
        <w:tblStyle w:val="Tablaconcuadrcula"/>
        <w:tblW w:w="8386" w:type="dxa"/>
        <w:jc w:val="center"/>
        <w:tblLayout w:type="fixed"/>
        <w:tblLook w:val="04A0" w:firstRow="1" w:lastRow="0" w:firstColumn="1" w:lastColumn="0" w:noHBand="0" w:noVBand="1"/>
      </w:tblPr>
      <w:tblGrid>
        <w:gridCol w:w="2540"/>
        <w:gridCol w:w="1169"/>
        <w:gridCol w:w="1169"/>
        <w:gridCol w:w="1169"/>
        <w:gridCol w:w="1169"/>
        <w:gridCol w:w="1170"/>
      </w:tblGrid>
      <w:tr w:rsidR="000815E2" w:rsidRPr="00BD1319" w14:paraId="58BF5980" w14:textId="77777777" w:rsidTr="009420F5">
        <w:trPr>
          <w:trHeight w:val="315"/>
          <w:jc w:val="center"/>
        </w:trPr>
        <w:tc>
          <w:tcPr>
            <w:tcW w:w="2540" w:type="dxa"/>
            <w:vMerge w:val="restart"/>
            <w:shd w:val="clear" w:color="auto" w:fill="auto"/>
            <w:vAlign w:val="center"/>
          </w:tcPr>
          <w:p w14:paraId="6022F300" w14:textId="23F4E913" w:rsidR="000815E2" w:rsidRPr="00BD1319" w:rsidRDefault="004013C6">
            <w:pPr>
              <w:tabs>
                <w:tab w:val="left" w:pos="-2268"/>
              </w:tabs>
              <w:suppressAutoHyphens/>
              <w:jc w:val="center"/>
              <w:rPr>
                <w:b/>
                <w:spacing w:val="-3"/>
                <w:sz w:val="22"/>
              </w:rPr>
            </w:pPr>
            <w:r w:rsidRPr="00BD1319">
              <w:rPr>
                <w:rFonts w:cs="Arial"/>
                <w:b/>
                <w:bCs/>
                <w:spacing w:val="-3"/>
                <w:sz w:val="22"/>
              </w:rPr>
              <w:t xml:space="preserve">Potencial normalizado de modificación </w:t>
            </w:r>
            <w:r w:rsidR="000815E2" w:rsidRPr="00BD1319">
              <w:rPr>
                <w:rFonts w:cs="Arial"/>
                <w:b/>
                <w:bCs/>
                <w:spacing w:val="-3"/>
                <w:sz w:val="22"/>
              </w:rPr>
              <w:t xml:space="preserve">del </w:t>
            </w:r>
            <w:r w:rsidR="00E32FBC" w:rsidRPr="00BD1319">
              <w:rPr>
                <w:rFonts w:cs="Arial"/>
                <w:b/>
                <w:bCs/>
                <w:spacing w:val="-3"/>
                <w:sz w:val="22"/>
              </w:rPr>
              <w:t>i</w:t>
            </w:r>
            <w:r w:rsidR="000815E2" w:rsidRPr="00BD1319">
              <w:rPr>
                <w:rFonts w:cs="Arial"/>
                <w:b/>
                <w:bCs/>
                <w:spacing w:val="-3"/>
                <w:sz w:val="22"/>
              </w:rPr>
              <w:t>mpacto</w:t>
            </w:r>
          </w:p>
        </w:tc>
        <w:tc>
          <w:tcPr>
            <w:tcW w:w="5846" w:type="dxa"/>
            <w:gridSpan w:val="5"/>
            <w:shd w:val="clear" w:color="auto" w:fill="auto"/>
            <w:noWrap/>
            <w:vAlign w:val="center"/>
            <w:hideMark/>
          </w:tcPr>
          <w:p w14:paraId="0617C3CE" w14:textId="6E6413D1" w:rsidR="000815E2" w:rsidRPr="00BD1319" w:rsidRDefault="000815E2" w:rsidP="004F01DD">
            <w:pPr>
              <w:tabs>
                <w:tab w:val="left" w:pos="-2268"/>
              </w:tabs>
              <w:suppressAutoHyphens/>
              <w:jc w:val="center"/>
              <w:rPr>
                <w:rFonts w:cs="Arial"/>
                <w:b/>
                <w:bCs/>
                <w:spacing w:val="-3"/>
                <w:sz w:val="22"/>
              </w:rPr>
            </w:pPr>
            <w:r w:rsidRPr="00BD1319">
              <w:rPr>
                <w:rFonts w:cs="Arial"/>
                <w:b/>
                <w:bCs/>
                <w:spacing w:val="-3"/>
                <w:sz w:val="22"/>
              </w:rPr>
              <w:t xml:space="preserve">Sensibilidad </w:t>
            </w:r>
            <w:r w:rsidR="00551C9D" w:rsidRPr="00BD1319">
              <w:rPr>
                <w:rFonts w:cs="Arial"/>
                <w:b/>
                <w:bCs/>
                <w:spacing w:val="-3"/>
                <w:sz w:val="22"/>
              </w:rPr>
              <w:t>a</w:t>
            </w:r>
            <w:r w:rsidRPr="00BD1319">
              <w:rPr>
                <w:rFonts w:cs="Arial"/>
                <w:b/>
                <w:bCs/>
                <w:spacing w:val="-3"/>
                <w:sz w:val="22"/>
              </w:rPr>
              <w:t>mbiental</w:t>
            </w:r>
          </w:p>
        </w:tc>
      </w:tr>
      <w:tr w:rsidR="000815E2" w:rsidRPr="00BD1319" w14:paraId="4D3ADA10" w14:textId="77777777" w:rsidTr="009420F5">
        <w:trPr>
          <w:trHeight w:val="315"/>
          <w:jc w:val="center"/>
        </w:trPr>
        <w:tc>
          <w:tcPr>
            <w:tcW w:w="2540" w:type="dxa"/>
            <w:vMerge/>
            <w:shd w:val="clear" w:color="auto" w:fill="auto"/>
            <w:vAlign w:val="center"/>
          </w:tcPr>
          <w:p w14:paraId="6E417A20" w14:textId="77777777" w:rsidR="000815E2" w:rsidRPr="00BD1319" w:rsidRDefault="000815E2" w:rsidP="004F01DD">
            <w:pPr>
              <w:tabs>
                <w:tab w:val="left" w:pos="-2268"/>
              </w:tabs>
              <w:suppressAutoHyphens/>
              <w:jc w:val="center"/>
              <w:rPr>
                <w:rFonts w:cs="Arial"/>
                <w:b/>
                <w:bCs/>
                <w:spacing w:val="-3"/>
                <w:sz w:val="22"/>
              </w:rPr>
            </w:pPr>
          </w:p>
        </w:tc>
        <w:tc>
          <w:tcPr>
            <w:tcW w:w="1169" w:type="dxa"/>
            <w:shd w:val="clear" w:color="auto" w:fill="auto"/>
            <w:vAlign w:val="center"/>
            <w:hideMark/>
          </w:tcPr>
          <w:p w14:paraId="138505C2" w14:textId="77777777" w:rsidR="000815E2" w:rsidRPr="00BD1319" w:rsidRDefault="000815E2" w:rsidP="004F01DD">
            <w:pPr>
              <w:tabs>
                <w:tab w:val="left" w:pos="-2268"/>
              </w:tabs>
              <w:suppressAutoHyphens/>
              <w:jc w:val="center"/>
              <w:rPr>
                <w:rFonts w:cs="Arial"/>
                <w:b/>
                <w:bCs/>
                <w:spacing w:val="-3"/>
                <w:sz w:val="22"/>
              </w:rPr>
            </w:pPr>
            <w:r w:rsidRPr="00BD1319">
              <w:rPr>
                <w:rFonts w:cs="Arial"/>
                <w:b/>
                <w:bCs/>
                <w:spacing w:val="-3"/>
                <w:sz w:val="22"/>
              </w:rPr>
              <w:t>Muy Baja</w:t>
            </w:r>
          </w:p>
        </w:tc>
        <w:tc>
          <w:tcPr>
            <w:tcW w:w="1169" w:type="dxa"/>
            <w:shd w:val="clear" w:color="auto" w:fill="auto"/>
            <w:vAlign w:val="center"/>
            <w:hideMark/>
          </w:tcPr>
          <w:p w14:paraId="713AAF60" w14:textId="77777777" w:rsidR="000815E2" w:rsidRPr="00BD1319" w:rsidRDefault="000815E2" w:rsidP="004F01DD">
            <w:pPr>
              <w:tabs>
                <w:tab w:val="left" w:pos="-2268"/>
              </w:tabs>
              <w:suppressAutoHyphens/>
              <w:jc w:val="center"/>
              <w:rPr>
                <w:rFonts w:cs="Arial"/>
                <w:b/>
                <w:bCs/>
                <w:spacing w:val="-3"/>
                <w:sz w:val="22"/>
              </w:rPr>
            </w:pPr>
            <w:r w:rsidRPr="00BD1319">
              <w:rPr>
                <w:rFonts w:cs="Arial"/>
                <w:b/>
                <w:bCs/>
                <w:spacing w:val="-3"/>
                <w:sz w:val="22"/>
              </w:rPr>
              <w:t>Baja</w:t>
            </w:r>
          </w:p>
        </w:tc>
        <w:tc>
          <w:tcPr>
            <w:tcW w:w="1169" w:type="dxa"/>
            <w:shd w:val="clear" w:color="auto" w:fill="auto"/>
            <w:vAlign w:val="center"/>
            <w:hideMark/>
          </w:tcPr>
          <w:p w14:paraId="7366F626" w14:textId="77777777" w:rsidR="000815E2" w:rsidRPr="00BD1319" w:rsidRDefault="000815E2" w:rsidP="004F01DD">
            <w:pPr>
              <w:tabs>
                <w:tab w:val="left" w:pos="-2268"/>
              </w:tabs>
              <w:suppressAutoHyphens/>
              <w:jc w:val="center"/>
              <w:rPr>
                <w:rFonts w:cs="Arial"/>
                <w:b/>
                <w:bCs/>
                <w:spacing w:val="-3"/>
                <w:sz w:val="22"/>
              </w:rPr>
            </w:pPr>
            <w:r w:rsidRPr="00BD1319">
              <w:rPr>
                <w:rFonts w:cs="Arial"/>
                <w:b/>
                <w:bCs/>
                <w:spacing w:val="-3"/>
                <w:sz w:val="22"/>
              </w:rPr>
              <w:t>Media</w:t>
            </w:r>
          </w:p>
        </w:tc>
        <w:tc>
          <w:tcPr>
            <w:tcW w:w="1169" w:type="dxa"/>
            <w:shd w:val="clear" w:color="auto" w:fill="auto"/>
            <w:vAlign w:val="center"/>
            <w:hideMark/>
          </w:tcPr>
          <w:p w14:paraId="4FFE0ECF" w14:textId="77777777" w:rsidR="000815E2" w:rsidRPr="00BD1319" w:rsidRDefault="000815E2" w:rsidP="004F01DD">
            <w:pPr>
              <w:tabs>
                <w:tab w:val="left" w:pos="-2268"/>
              </w:tabs>
              <w:suppressAutoHyphens/>
              <w:jc w:val="center"/>
              <w:rPr>
                <w:rFonts w:cs="Arial"/>
                <w:b/>
                <w:bCs/>
                <w:spacing w:val="-3"/>
                <w:sz w:val="22"/>
              </w:rPr>
            </w:pPr>
            <w:r w:rsidRPr="00BD1319">
              <w:rPr>
                <w:rFonts w:cs="Arial"/>
                <w:b/>
                <w:bCs/>
                <w:spacing w:val="-3"/>
                <w:sz w:val="22"/>
              </w:rPr>
              <w:t>Alta</w:t>
            </w:r>
          </w:p>
        </w:tc>
        <w:tc>
          <w:tcPr>
            <w:tcW w:w="1170" w:type="dxa"/>
            <w:shd w:val="clear" w:color="auto" w:fill="auto"/>
            <w:vAlign w:val="center"/>
            <w:hideMark/>
          </w:tcPr>
          <w:p w14:paraId="608AF08A" w14:textId="77777777" w:rsidR="000815E2" w:rsidRPr="00BD1319" w:rsidRDefault="000815E2" w:rsidP="004F01DD">
            <w:pPr>
              <w:tabs>
                <w:tab w:val="left" w:pos="-2268"/>
              </w:tabs>
              <w:suppressAutoHyphens/>
              <w:jc w:val="center"/>
              <w:rPr>
                <w:rFonts w:cs="Arial"/>
                <w:b/>
                <w:bCs/>
                <w:spacing w:val="-3"/>
                <w:sz w:val="22"/>
              </w:rPr>
            </w:pPr>
            <w:r w:rsidRPr="00BD1319">
              <w:rPr>
                <w:rFonts w:cs="Arial"/>
                <w:b/>
                <w:bCs/>
                <w:spacing w:val="-3"/>
                <w:sz w:val="22"/>
              </w:rPr>
              <w:t>Muy Alta</w:t>
            </w:r>
          </w:p>
        </w:tc>
      </w:tr>
      <w:tr w:rsidR="000815E2" w:rsidRPr="00BD1319" w14:paraId="182FC420" w14:textId="77777777" w:rsidTr="009420F5">
        <w:trPr>
          <w:trHeight w:val="360"/>
          <w:jc w:val="center"/>
        </w:trPr>
        <w:tc>
          <w:tcPr>
            <w:tcW w:w="2540" w:type="dxa"/>
            <w:vAlign w:val="center"/>
          </w:tcPr>
          <w:p w14:paraId="0331C057" w14:textId="10592234" w:rsidR="000815E2" w:rsidRPr="00BD1319" w:rsidRDefault="000815E2" w:rsidP="004F01DD">
            <w:pPr>
              <w:tabs>
                <w:tab w:val="left" w:pos="-2268"/>
              </w:tabs>
              <w:suppressAutoHyphens/>
              <w:jc w:val="center"/>
              <w:rPr>
                <w:rFonts w:cs="Arial"/>
                <w:b/>
                <w:bCs/>
                <w:spacing w:val="-3"/>
                <w:sz w:val="22"/>
              </w:rPr>
            </w:pPr>
            <w:r w:rsidRPr="00BD1319">
              <w:rPr>
                <w:rFonts w:cs="Arial"/>
                <w:b/>
                <w:bCs/>
                <w:spacing w:val="-3"/>
                <w:sz w:val="22"/>
              </w:rPr>
              <w:t>Bajo</w:t>
            </w:r>
          </w:p>
        </w:tc>
        <w:tc>
          <w:tcPr>
            <w:tcW w:w="1169" w:type="dxa"/>
            <w:noWrap/>
            <w:vAlign w:val="center"/>
          </w:tcPr>
          <w:p w14:paraId="71AF08A0" w14:textId="77777777" w:rsidR="000815E2" w:rsidRPr="00BD1319" w:rsidRDefault="000815E2" w:rsidP="004F01DD">
            <w:pPr>
              <w:tabs>
                <w:tab w:val="left" w:pos="-2268"/>
              </w:tabs>
              <w:suppressAutoHyphens/>
              <w:jc w:val="center"/>
              <w:rPr>
                <w:rFonts w:cs="Arial"/>
                <w:spacing w:val="-3"/>
                <w:sz w:val="22"/>
              </w:rPr>
            </w:pPr>
          </w:p>
        </w:tc>
        <w:tc>
          <w:tcPr>
            <w:tcW w:w="1169" w:type="dxa"/>
            <w:noWrap/>
            <w:vAlign w:val="center"/>
          </w:tcPr>
          <w:p w14:paraId="62EAE7B8" w14:textId="77777777" w:rsidR="000815E2" w:rsidRPr="00BD1319" w:rsidRDefault="000815E2" w:rsidP="004F01DD">
            <w:pPr>
              <w:tabs>
                <w:tab w:val="left" w:pos="-2268"/>
              </w:tabs>
              <w:suppressAutoHyphens/>
              <w:jc w:val="center"/>
              <w:rPr>
                <w:rFonts w:cs="Arial"/>
                <w:spacing w:val="-3"/>
                <w:sz w:val="22"/>
              </w:rPr>
            </w:pPr>
          </w:p>
        </w:tc>
        <w:tc>
          <w:tcPr>
            <w:tcW w:w="1169" w:type="dxa"/>
            <w:noWrap/>
            <w:vAlign w:val="center"/>
          </w:tcPr>
          <w:p w14:paraId="68C878F3" w14:textId="77777777" w:rsidR="000815E2" w:rsidRPr="00BD1319" w:rsidRDefault="000815E2" w:rsidP="004F01DD">
            <w:pPr>
              <w:tabs>
                <w:tab w:val="left" w:pos="-2268"/>
              </w:tabs>
              <w:suppressAutoHyphens/>
              <w:jc w:val="center"/>
              <w:rPr>
                <w:rFonts w:cs="Arial"/>
                <w:spacing w:val="-3"/>
                <w:sz w:val="22"/>
              </w:rPr>
            </w:pPr>
          </w:p>
        </w:tc>
        <w:tc>
          <w:tcPr>
            <w:tcW w:w="1169" w:type="dxa"/>
            <w:noWrap/>
            <w:vAlign w:val="center"/>
          </w:tcPr>
          <w:p w14:paraId="6DD4ECD3" w14:textId="77777777" w:rsidR="000815E2" w:rsidRPr="00BD1319" w:rsidRDefault="000815E2" w:rsidP="004F01DD">
            <w:pPr>
              <w:tabs>
                <w:tab w:val="left" w:pos="-2268"/>
              </w:tabs>
              <w:suppressAutoHyphens/>
              <w:jc w:val="center"/>
              <w:rPr>
                <w:rFonts w:cs="Arial"/>
                <w:spacing w:val="-3"/>
                <w:sz w:val="22"/>
              </w:rPr>
            </w:pPr>
          </w:p>
        </w:tc>
        <w:tc>
          <w:tcPr>
            <w:tcW w:w="1170" w:type="dxa"/>
            <w:noWrap/>
            <w:vAlign w:val="center"/>
          </w:tcPr>
          <w:p w14:paraId="1C8E3FBC" w14:textId="77777777" w:rsidR="000815E2" w:rsidRPr="00BD1319" w:rsidRDefault="000815E2" w:rsidP="004F01DD">
            <w:pPr>
              <w:tabs>
                <w:tab w:val="left" w:pos="-2268"/>
              </w:tabs>
              <w:suppressAutoHyphens/>
              <w:jc w:val="center"/>
              <w:rPr>
                <w:rFonts w:cs="Arial"/>
                <w:spacing w:val="-3"/>
                <w:sz w:val="22"/>
              </w:rPr>
            </w:pPr>
          </w:p>
        </w:tc>
      </w:tr>
      <w:tr w:rsidR="000815E2" w:rsidRPr="00BD1319" w14:paraId="79B141A2" w14:textId="77777777" w:rsidTr="009420F5">
        <w:trPr>
          <w:trHeight w:val="360"/>
          <w:jc w:val="center"/>
        </w:trPr>
        <w:tc>
          <w:tcPr>
            <w:tcW w:w="2540" w:type="dxa"/>
            <w:vAlign w:val="center"/>
          </w:tcPr>
          <w:p w14:paraId="3F8CDFBB" w14:textId="4681E04F" w:rsidR="000815E2" w:rsidRPr="00BD1319" w:rsidRDefault="000815E2" w:rsidP="004F01DD">
            <w:pPr>
              <w:tabs>
                <w:tab w:val="left" w:pos="-2268"/>
              </w:tabs>
              <w:suppressAutoHyphens/>
              <w:jc w:val="center"/>
              <w:rPr>
                <w:rFonts w:cs="Arial"/>
                <w:b/>
                <w:bCs/>
                <w:spacing w:val="-3"/>
                <w:sz w:val="22"/>
              </w:rPr>
            </w:pPr>
            <w:r w:rsidRPr="00BD1319">
              <w:rPr>
                <w:rFonts w:cs="Arial"/>
                <w:b/>
                <w:bCs/>
                <w:spacing w:val="-3"/>
                <w:sz w:val="22"/>
              </w:rPr>
              <w:t>Medio</w:t>
            </w:r>
          </w:p>
        </w:tc>
        <w:tc>
          <w:tcPr>
            <w:tcW w:w="1169" w:type="dxa"/>
            <w:noWrap/>
            <w:vAlign w:val="center"/>
          </w:tcPr>
          <w:p w14:paraId="06CE1A5F" w14:textId="77777777" w:rsidR="000815E2" w:rsidRPr="00BD1319" w:rsidRDefault="000815E2" w:rsidP="004F01DD">
            <w:pPr>
              <w:tabs>
                <w:tab w:val="left" w:pos="-2268"/>
              </w:tabs>
              <w:suppressAutoHyphens/>
              <w:jc w:val="center"/>
              <w:rPr>
                <w:rFonts w:cs="Arial"/>
                <w:spacing w:val="-3"/>
                <w:sz w:val="22"/>
              </w:rPr>
            </w:pPr>
          </w:p>
        </w:tc>
        <w:tc>
          <w:tcPr>
            <w:tcW w:w="1169" w:type="dxa"/>
            <w:noWrap/>
            <w:vAlign w:val="center"/>
          </w:tcPr>
          <w:p w14:paraId="2BD65D32" w14:textId="77777777" w:rsidR="000815E2" w:rsidRPr="00BD1319" w:rsidRDefault="000815E2" w:rsidP="004F01DD">
            <w:pPr>
              <w:tabs>
                <w:tab w:val="left" w:pos="-2268"/>
              </w:tabs>
              <w:suppressAutoHyphens/>
              <w:jc w:val="center"/>
              <w:rPr>
                <w:rFonts w:cs="Arial"/>
                <w:spacing w:val="-3"/>
                <w:sz w:val="22"/>
              </w:rPr>
            </w:pPr>
          </w:p>
        </w:tc>
        <w:tc>
          <w:tcPr>
            <w:tcW w:w="1169" w:type="dxa"/>
            <w:noWrap/>
            <w:vAlign w:val="center"/>
          </w:tcPr>
          <w:p w14:paraId="59C200DC" w14:textId="77777777" w:rsidR="000815E2" w:rsidRPr="00BD1319" w:rsidRDefault="000815E2" w:rsidP="004F01DD">
            <w:pPr>
              <w:tabs>
                <w:tab w:val="left" w:pos="-2268"/>
              </w:tabs>
              <w:suppressAutoHyphens/>
              <w:jc w:val="center"/>
              <w:rPr>
                <w:rFonts w:cs="Arial"/>
                <w:spacing w:val="-3"/>
                <w:sz w:val="22"/>
              </w:rPr>
            </w:pPr>
          </w:p>
        </w:tc>
        <w:tc>
          <w:tcPr>
            <w:tcW w:w="1169" w:type="dxa"/>
            <w:noWrap/>
            <w:vAlign w:val="center"/>
          </w:tcPr>
          <w:p w14:paraId="02A7CC85" w14:textId="77777777" w:rsidR="000815E2" w:rsidRPr="00BD1319" w:rsidRDefault="000815E2" w:rsidP="004F01DD">
            <w:pPr>
              <w:tabs>
                <w:tab w:val="left" w:pos="-2268"/>
              </w:tabs>
              <w:suppressAutoHyphens/>
              <w:jc w:val="center"/>
              <w:rPr>
                <w:rFonts w:cs="Arial"/>
                <w:spacing w:val="-3"/>
                <w:sz w:val="22"/>
              </w:rPr>
            </w:pPr>
          </w:p>
        </w:tc>
        <w:tc>
          <w:tcPr>
            <w:tcW w:w="1170" w:type="dxa"/>
            <w:noWrap/>
            <w:vAlign w:val="center"/>
          </w:tcPr>
          <w:p w14:paraId="7A5DC090" w14:textId="77777777" w:rsidR="000815E2" w:rsidRPr="00BD1319" w:rsidRDefault="000815E2" w:rsidP="004F01DD">
            <w:pPr>
              <w:tabs>
                <w:tab w:val="left" w:pos="-2268"/>
              </w:tabs>
              <w:suppressAutoHyphens/>
              <w:jc w:val="center"/>
              <w:rPr>
                <w:rFonts w:cs="Arial"/>
                <w:spacing w:val="-3"/>
                <w:sz w:val="22"/>
              </w:rPr>
            </w:pPr>
          </w:p>
        </w:tc>
      </w:tr>
      <w:tr w:rsidR="000815E2" w:rsidRPr="00BD1319" w14:paraId="736B51EF" w14:textId="77777777" w:rsidTr="009420F5">
        <w:trPr>
          <w:trHeight w:val="360"/>
          <w:jc w:val="center"/>
        </w:trPr>
        <w:tc>
          <w:tcPr>
            <w:tcW w:w="2540" w:type="dxa"/>
            <w:vAlign w:val="center"/>
          </w:tcPr>
          <w:p w14:paraId="4F956C09" w14:textId="7F87121C" w:rsidR="000815E2" w:rsidRPr="00BD1319" w:rsidRDefault="000815E2" w:rsidP="004F01DD">
            <w:pPr>
              <w:tabs>
                <w:tab w:val="left" w:pos="-2268"/>
              </w:tabs>
              <w:suppressAutoHyphens/>
              <w:jc w:val="center"/>
              <w:rPr>
                <w:rFonts w:cs="Arial"/>
                <w:b/>
                <w:bCs/>
                <w:spacing w:val="-3"/>
                <w:sz w:val="22"/>
              </w:rPr>
            </w:pPr>
            <w:r w:rsidRPr="00BD1319">
              <w:rPr>
                <w:rFonts w:cs="Arial"/>
                <w:b/>
                <w:bCs/>
                <w:spacing w:val="-3"/>
                <w:sz w:val="22"/>
              </w:rPr>
              <w:t>Alto</w:t>
            </w:r>
          </w:p>
        </w:tc>
        <w:tc>
          <w:tcPr>
            <w:tcW w:w="1169" w:type="dxa"/>
            <w:noWrap/>
            <w:vAlign w:val="center"/>
          </w:tcPr>
          <w:p w14:paraId="66139870" w14:textId="77777777" w:rsidR="000815E2" w:rsidRPr="00BD1319" w:rsidRDefault="000815E2" w:rsidP="004F01DD">
            <w:pPr>
              <w:tabs>
                <w:tab w:val="left" w:pos="-2268"/>
              </w:tabs>
              <w:suppressAutoHyphens/>
              <w:jc w:val="center"/>
              <w:rPr>
                <w:rFonts w:cs="Arial"/>
                <w:spacing w:val="-3"/>
                <w:sz w:val="22"/>
              </w:rPr>
            </w:pPr>
          </w:p>
        </w:tc>
        <w:tc>
          <w:tcPr>
            <w:tcW w:w="1169" w:type="dxa"/>
            <w:noWrap/>
            <w:vAlign w:val="center"/>
          </w:tcPr>
          <w:p w14:paraId="18CBEB63" w14:textId="77777777" w:rsidR="000815E2" w:rsidRPr="00BD1319" w:rsidRDefault="000815E2" w:rsidP="004F01DD">
            <w:pPr>
              <w:tabs>
                <w:tab w:val="left" w:pos="-2268"/>
              </w:tabs>
              <w:suppressAutoHyphens/>
              <w:jc w:val="center"/>
              <w:rPr>
                <w:rFonts w:cs="Arial"/>
                <w:spacing w:val="-3"/>
                <w:sz w:val="22"/>
              </w:rPr>
            </w:pPr>
          </w:p>
        </w:tc>
        <w:tc>
          <w:tcPr>
            <w:tcW w:w="1169" w:type="dxa"/>
            <w:noWrap/>
            <w:vAlign w:val="center"/>
          </w:tcPr>
          <w:p w14:paraId="6212019D" w14:textId="77777777" w:rsidR="000815E2" w:rsidRPr="00BD1319" w:rsidRDefault="000815E2" w:rsidP="004F01DD">
            <w:pPr>
              <w:tabs>
                <w:tab w:val="left" w:pos="-2268"/>
              </w:tabs>
              <w:suppressAutoHyphens/>
              <w:jc w:val="center"/>
              <w:rPr>
                <w:rFonts w:cs="Arial"/>
                <w:spacing w:val="-3"/>
                <w:sz w:val="22"/>
              </w:rPr>
            </w:pPr>
          </w:p>
        </w:tc>
        <w:tc>
          <w:tcPr>
            <w:tcW w:w="1169" w:type="dxa"/>
            <w:noWrap/>
            <w:vAlign w:val="center"/>
          </w:tcPr>
          <w:p w14:paraId="67D4DD44" w14:textId="77777777" w:rsidR="000815E2" w:rsidRPr="00BD1319" w:rsidRDefault="000815E2" w:rsidP="004F01DD">
            <w:pPr>
              <w:tabs>
                <w:tab w:val="left" w:pos="-2268"/>
              </w:tabs>
              <w:suppressAutoHyphens/>
              <w:jc w:val="center"/>
              <w:rPr>
                <w:rFonts w:cs="Arial"/>
                <w:spacing w:val="-3"/>
                <w:sz w:val="22"/>
              </w:rPr>
            </w:pPr>
          </w:p>
        </w:tc>
        <w:tc>
          <w:tcPr>
            <w:tcW w:w="1170" w:type="dxa"/>
            <w:noWrap/>
            <w:vAlign w:val="center"/>
          </w:tcPr>
          <w:p w14:paraId="6C3975DB" w14:textId="77777777" w:rsidR="000815E2" w:rsidRPr="00BD1319" w:rsidRDefault="000815E2" w:rsidP="004F01DD">
            <w:pPr>
              <w:tabs>
                <w:tab w:val="left" w:pos="-2268"/>
              </w:tabs>
              <w:suppressAutoHyphens/>
              <w:jc w:val="center"/>
              <w:rPr>
                <w:rFonts w:cs="Arial"/>
                <w:spacing w:val="-3"/>
                <w:sz w:val="22"/>
              </w:rPr>
            </w:pPr>
            <w:r w:rsidRPr="00BD1319">
              <w:rPr>
                <w:rFonts w:cs="Arial"/>
                <w:spacing w:val="-3"/>
                <w:sz w:val="22"/>
              </w:rPr>
              <w:t>X</w:t>
            </w:r>
          </w:p>
        </w:tc>
      </w:tr>
      <w:tr w:rsidR="000815E2" w:rsidRPr="00BD1319" w14:paraId="6093CCF5" w14:textId="77777777" w:rsidTr="009420F5">
        <w:trPr>
          <w:trHeight w:val="360"/>
          <w:jc w:val="center"/>
        </w:trPr>
        <w:tc>
          <w:tcPr>
            <w:tcW w:w="2540" w:type="dxa"/>
            <w:vAlign w:val="center"/>
          </w:tcPr>
          <w:p w14:paraId="6B9FD96E" w14:textId="7BCEAD16" w:rsidR="000815E2" w:rsidRPr="00BD1319" w:rsidRDefault="00C31358" w:rsidP="004F01DD">
            <w:pPr>
              <w:tabs>
                <w:tab w:val="left" w:pos="-2268"/>
              </w:tabs>
              <w:suppressAutoHyphens/>
              <w:jc w:val="center"/>
              <w:rPr>
                <w:rFonts w:cs="Arial"/>
                <w:b/>
                <w:bCs/>
                <w:spacing w:val="-3"/>
                <w:sz w:val="22"/>
              </w:rPr>
            </w:pPr>
            <w:r w:rsidRPr="00BD1319">
              <w:rPr>
                <w:rFonts w:cs="Arial"/>
                <w:b/>
                <w:bCs/>
                <w:spacing w:val="-3"/>
                <w:sz w:val="22"/>
              </w:rPr>
              <w:t>Muy a</w:t>
            </w:r>
            <w:r w:rsidR="000815E2" w:rsidRPr="00BD1319">
              <w:rPr>
                <w:rFonts w:cs="Arial"/>
                <w:b/>
                <w:bCs/>
                <w:spacing w:val="-3"/>
                <w:sz w:val="22"/>
              </w:rPr>
              <w:t>lto</w:t>
            </w:r>
          </w:p>
        </w:tc>
        <w:tc>
          <w:tcPr>
            <w:tcW w:w="1169" w:type="dxa"/>
            <w:noWrap/>
            <w:vAlign w:val="center"/>
          </w:tcPr>
          <w:p w14:paraId="02A8F243" w14:textId="77777777" w:rsidR="000815E2" w:rsidRPr="00BD1319" w:rsidRDefault="000815E2" w:rsidP="004F01DD">
            <w:pPr>
              <w:tabs>
                <w:tab w:val="left" w:pos="-2268"/>
              </w:tabs>
              <w:suppressAutoHyphens/>
              <w:jc w:val="center"/>
              <w:rPr>
                <w:rFonts w:cs="Arial"/>
                <w:spacing w:val="-3"/>
                <w:sz w:val="22"/>
              </w:rPr>
            </w:pPr>
          </w:p>
        </w:tc>
        <w:tc>
          <w:tcPr>
            <w:tcW w:w="1169" w:type="dxa"/>
            <w:noWrap/>
            <w:vAlign w:val="center"/>
          </w:tcPr>
          <w:p w14:paraId="26629F20" w14:textId="77777777" w:rsidR="000815E2" w:rsidRPr="00BD1319" w:rsidRDefault="000815E2" w:rsidP="004F01DD">
            <w:pPr>
              <w:tabs>
                <w:tab w:val="left" w:pos="-2268"/>
              </w:tabs>
              <w:suppressAutoHyphens/>
              <w:jc w:val="center"/>
              <w:rPr>
                <w:rFonts w:cs="Arial"/>
                <w:spacing w:val="-3"/>
                <w:sz w:val="22"/>
              </w:rPr>
            </w:pPr>
          </w:p>
        </w:tc>
        <w:tc>
          <w:tcPr>
            <w:tcW w:w="1169" w:type="dxa"/>
            <w:noWrap/>
            <w:vAlign w:val="center"/>
          </w:tcPr>
          <w:p w14:paraId="307F5D9A" w14:textId="77777777" w:rsidR="000815E2" w:rsidRPr="00BD1319" w:rsidRDefault="000815E2" w:rsidP="004F01DD">
            <w:pPr>
              <w:tabs>
                <w:tab w:val="left" w:pos="-2268"/>
              </w:tabs>
              <w:suppressAutoHyphens/>
              <w:jc w:val="center"/>
              <w:rPr>
                <w:rFonts w:cs="Arial"/>
                <w:spacing w:val="-3"/>
                <w:sz w:val="22"/>
              </w:rPr>
            </w:pPr>
          </w:p>
        </w:tc>
        <w:tc>
          <w:tcPr>
            <w:tcW w:w="1169" w:type="dxa"/>
            <w:noWrap/>
            <w:vAlign w:val="center"/>
          </w:tcPr>
          <w:p w14:paraId="2136B8A9" w14:textId="77777777" w:rsidR="000815E2" w:rsidRPr="00BD1319" w:rsidRDefault="000815E2" w:rsidP="004F01DD">
            <w:pPr>
              <w:tabs>
                <w:tab w:val="left" w:pos="-2268"/>
              </w:tabs>
              <w:suppressAutoHyphens/>
              <w:jc w:val="center"/>
              <w:rPr>
                <w:rFonts w:cs="Arial"/>
                <w:spacing w:val="-3"/>
                <w:sz w:val="22"/>
              </w:rPr>
            </w:pPr>
            <w:r w:rsidRPr="00BD1319">
              <w:rPr>
                <w:rFonts w:cs="Arial"/>
                <w:spacing w:val="-3"/>
                <w:sz w:val="22"/>
              </w:rPr>
              <w:t>X</w:t>
            </w:r>
          </w:p>
        </w:tc>
        <w:tc>
          <w:tcPr>
            <w:tcW w:w="1170" w:type="dxa"/>
            <w:noWrap/>
            <w:vAlign w:val="center"/>
          </w:tcPr>
          <w:p w14:paraId="4B56EB75" w14:textId="77777777" w:rsidR="000815E2" w:rsidRPr="00BD1319" w:rsidRDefault="000815E2" w:rsidP="004F01DD">
            <w:pPr>
              <w:tabs>
                <w:tab w:val="left" w:pos="-2268"/>
              </w:tabs>
              <w:suppressAutoHyphens/>
              <w:jc w:val="center"/>
              <w:rPr>
                <w:rFonts w:cs="Arial"/>
                <w:spacing w:val="-3"/>
                <w:sz w:val="22"/>
              </w:rPr>
            </w:pPr>
            <w:r w:rsidRPr="00BD1319">
              <w:rPr>
                <w:rFonts w:cs="Arial"/>
                <w:spacing w:val="-3"/>
                <w:sz w:val="22"/>
              </w:rPr>
              <w:t>X</w:t>
            </w:r>
          </w:p>
        </w:tc>
      </w:tr>
    </w:tbl>
    <w:p w14:paraId="212AAA99" w14:textId="77777777" w:rsidR="009B04FC" w:rsidRPr="00BD1319" w:rsidRDefault="009B04FC" w:rsidP="009420F5">
      <w:pPr>
        <w:numPr>
          <w:ilvl w:val="12"/>
          <w:numId w:val="0"/>
        </w:numPr>
        <w:tabs>
          <w:tab w:val="left" w:pos="-2268"/>
        </w:tabs>
        <w:suppressAutoHyphens/>
        <w:rPr>
          <w:rFonts w:cs="Arial"/>
          <w:spacing w:val="-3"/>
        </w:rPr>
      </w:pPr>
    </w:p>
    <w:p w14:paraId="3F6B24BF" w14:textId="4A531613" w:rsidR="00434A33" w:rsidRPr="00BD1319" w:rsidRDefault="00434A33" w:rsidP="004013C6">
      <w:pPr>
        <w:numPr>
          <w:ilvl w:val="12"/>
          <w:numId w:val="0"/>
        </w:numPr>
        <w:tabs>
          <w:tab w:val="left" w:pos="-2268"/>
        </w:tabs>
        <w:suppressAutoHyphens/>
        <w:rPr>
          <w:rFonts w:cs="Arial"/>
          <w:spacing w:val="-3"/>
        </w:rPr>
      </w:pPr>
      <w:r w:rsidRPr="00BD1319">
        <w:rPr>
          <w:rFonts w:cs="Arial"/>
          <w:spacing w:val="-3"/>
        </w:rPr>
        <w:t xml:space="preserve">Como se ve, para establecer la zonificación de manejo ambiental del área de influencia es necesario </w:t>
      </w:r>
      <w:r w:rsidR="00F9726B" w:rsidRPr="00BD1319">
        <w:rPr>
          <w:rFonts w:cs="Arial"/>
          <w:spacing w:val="-3"/>
        </w:rPr>
        <w:t xml:space="preserve">tener en cuenta la normativa ambiental en general, y en particular, </w:t>
      </w:r>
      <w:r w:rsidRPr="00BD1319">
        <w:rPr>
          <w:rFonts w:cs="Arial"/>
          <w:spacing w:val="-3"/>
        </w:rPr>
        <w:t>la relacionada con el uso y aprovechamiento de recursos naturales</w:t>
      </w:r>
      <w:r w:rsidR="00F9726B" w:rsidRPr="00BD1319">
        <w:rPr>
          <w:rFonts w:cs="Arial"/>
          <w:spacing w:val="-3"/>
        </w:rPr>
        <w:t xml:space="preserve"> y </w:t>
      </w:r>
      <w:r w:rsidR="00C142E5" w:rsidRPr="00BD1319">
        <w:rPr>
          <w:rFonts w:cs="Arial"/>
          <w:spacing w:val="-3"/>
        </w:rPr>
        <w:t xml:space="preserve">aquella que establece </w:t>
      </w:r>
      <w:r w:rsidR="00F9726B" w:rsidRPr="00BD1319">
        <w:rPr>
          <w:rFonts w:cs="Arial"/>
          <w:spacing w:val="-3"/>
        </w:rPr>
        <w:t xml:space="preserve">restricciones y prohibiciones respecto al desarrollo de actividades y construcción de obras e infraestructura, </w:t>
      </w:r>
      <w:r w:rsidRPr="00BD1319">
        <w:rPr>
          <w:rFonts w:cs="Arial"/>
          <w:spacing w:val="-3"/>
        </w:rPr>
        <w:t xml:space="preserve">así como contar con información geográfica sobre áreas con restricciones legales o con régimen especial </w:t>
      </w:r>
      <w:r w:rsidR="00F9726B" w:rsidRPr="00BD1319">
        <w:rPr>
          <w:rFonts w:cs="Arial"/>
          <w:spacing w:val="-3"/>
        </w:rPr>
        <w:t xml:space="preserve">de manejo </w:t>
      </w:r>
      <w:r w:rsidRPr="00BD1319">
        <w:rPr>
          <w:rFonts w:cs="Arial"/>
          <w:spacing w:val="-3"/>
        </w:rPr>
        <w:t xml:space="preserve">que </w:t>
      </w:r>
      <w:r w:rsidR="00F9726B" w:rsidRPr="00BD1319">
        <w:rPr>
          <w:rFonts w:cs="Arial"/>
          <w:spacing w:val="-3"/>
        </w:rPr>
        <w:t>excluy</w:t>
      </w:r>
      <w:r w:rsidR="00CB7535" w:rsidRPr="00BD1319">
        <w:rPr>
          <w:rFonts w:cs="Arial"/>
          <w:spacing w:val="-3"/>
        </w:rPr>
        <w:t>a</w:t>
      </w:r>
      <w:r w:rsidR="00F9726B" w:rsidRPr="00BD1319">
        <w:rPr>
          <w:rFonts w:cs="Arial"/>
          <w:spacing w:val="-3"/>
        </w:rPr>
        <w:t xml:space="preserve"> total o parcialmente la ejecución de actividades</w:t>
      </w:r>
      <w:r w:rsidRPr="00BD1319">
        <w:rPr>
          <w:rFonts w:cs="Arial"/>
          <w:spacing w:val="-3"/>
        </w:rPr>
        <w:t>.</w:t>
      </w:r>
    </w:p>
    <w:p w14:paraId="5EBEFF0C" w14:textId="77777777" w:rsidR="00434A33" w:rsidRPr="00BD1319" w:rsidRDefault="00434A33" w:rsidP="004013C6">
      <w:pPr>
        <w:numPr>
          <w:ilvl w:val="12"/>
          <w:numId w:val="0"/>
        </w:numPr>
        <w:tabs>
          <w:tab w:val="left" w:pos="-2268"/>
        </w:tabs>
        <w:suppressAutoHyphens/>
        <w:rPr>
          <w:rFonts w:cs="Arial"/>
          <w:spacing w:val="-3"/>
        </w:rPr>
      </w:pPr>
    </w:p>
    <w:p w14:paraId="0621F5D1" w14:textId="559AAC8F" w:rsidR="009B04FC" w:rsidRPr="00BD1319" w:rsidRDefault="009E644C" w:rsidP="009B04FC">
      <w:pPr>
        <w:numPr>
          <w:ilvl w:val="12"/>
          <w:numId w:val="0"/>
        </w:numPr>
        <w:tabs>
          <w:tab w:val="left" w:pos="-2268"/>
        </w:tabs>
        <w:suppressAutoHyphens/>
        <w:rPr>
          <w:rFonts w:cs="Arial"/>
          <w:spacing w:val="-3"/>
        </w:rPr>
      </w:pPr>
      <w:r w:rsidRPr="00BD1319">
        <w:rPr>
          <w:rFonts w:cs="Arial"/>
          <w:spacing w:val="-3"/>
        </w:rPr>
        <w:t>Así, e</w:t>
      </w:r>
      <w:r w:rsidR="007114B2" w:rsidRPr="00BD1319">
        <w:rPr>
          <w:rFonts w:cs="Arial"/>
          <w:spacing w:val="-3"/>
        </w:rPr>
        <w:t xml:space="preserve">l proceso de </w:t>
      </w:r>
      <w:r w:rsidR="009B04FC" w:rsidRPr="00BD1319">
        <w:rPr>
          <w:spacing w:val="-3"/>
        </w:rPr>
        <w:t xml:space="preserve">zonificación de manejo ambiental </w:t>
      </w:r>
      <w:r w:rsidR="009B04FC" w:rsidRPr="00BD1319">
        <w:rPr>
          <w:rFonts w:cs="Arial"/>
          <w:spacing w:val="-3"/>
        </w:rPr>
        <w:t xml:space="preserve">se debe llevar a cabo </w:t>
      </w:r>
      <w:r w:rsidR="007F61F0" w:rsidRPr="00BD1319">
        <w:rPr>
          <w:rFonts w:cs="Arial"/>
          <w:spacing w:val="-3"/>
        </w:rPr>
        <w:t>mediante el siguiente procedimiento</w:t>
      </w:r>
      <w:r w:rsidR="009B04FC" w:rsidRPr="00BD1319">
        <w:rPr>
          <w:rFonts w:cs="Arial"/>
          <w:spacing w:val="-3"/>
        </w:rPr>
        <w:t>:</w:t>
      </w:r>
    </w:p>
    <w:p w14:paraId="5FDFF5D7" w14:textId="77777777" w:rsidR="009B04FC" w:rsidRPr="00BD1319" w:rsidRDefault="009B04FC" w:rsidP="009B04FC">
      <w:pPr>
        <w:numPr>
          <w:ilvl w:val="12"/>
          <w:numId w:val="0"/>
        </w:numPr>
        <w:tabs>
          <w:tab w:val="left" w:pos="-2268"/>
        </w:tabs>
        <w:suppressAutoHyphens/>
        <w:rPr>
          <w:rFonts w:cs="Arial"/>
          <w:spacing w:val="-3"/>
        </w:rPr>
      </w:pPr>
    </w:p>
    <w:p w14:paraId="629DF246" w14:textId="69890F9B" w:rsidR="009665E3" w:rsidRPr="00BD1319" w:rsidRDefault="005B1924" w:rsidP="00860600">
      <w:pPr>
        <w:pStyle w:val="Prrafodelista"/>
        <w:numPr>
          <w:ilvl w:val="0"/>
          <w:numId w:val="5"/>
        </w:numPr>
        <w:tabs>
          <w:tab w:val="left" w:pos="-2268"/>
        </w:tabs>
        <w:suppressAutoHyphens/>
        <w:ind w:left="567" w:hanging="567"/>
        <w:rPr>
          <w:rFonts w:cs="Arial"/>
          <w:spacing w:val="-3"/>
          <w:lang w:val="es-CO"/>
        </w:rPr>
      </w:pPr>
      <w:r w:rsidRPr="00BD1319">
        <w:rPr>
          <w:rFonts w:cs="Arial"/>
          <w:spacing w:val="-3"/>
          <w:lang w:val="es-CO"/>
        </w:rPr>
        <w:lastRenderedPageBreak/>
        <w:t xml:space="preserve">Determinar </w:t>
      </w:r>
      <w:r w:rsidR="009665E3" w:rsidRPr="00BD1319">
        <w:rPr>
          <w:rFonts w:cs="Arial"/>
          <w:spacing w:val="-3"/>
          <w:lang w:val="es-CO"/>
        </w:rPr>
        <w:t xml:space="preserve">para cada unidad de análisis la sensibilidad ambiental (obtenida en el numeral </w:t>
      </w:r>
      <w:r w:rsidR="009665E3" w:rsidRPr="00BD1319">
        <w:rPr>
          <w:rFonts w:cs="Arial"/>
          <w:spacing w:val="-3"/>
          <w:lang w:val="es-CO"/>
        </w:rPr>
        <w:fldChar w:fldCharType="begin"/>
      </w:r>
      <w:r w:rsidR="009665E3" w:rsidRPr="00BD1319">
        <w:rPr>
          <w:rFonts w:cs="Arial"/>
          <w:spacing w:val="-3"/>
          <w:lang w:val="es-CO"/>
        </w:rPr>
        <w:instrText xml:space="preserve"> REF _Ref79297297 \r \h </w:instrText>
      </w:r>
      <w:r w:rsidR="00BD1319">
        <w:rPr>
          <w:rFonts w:cs="Arial"/>
          <w:spacing w:val="-3"/>
          <w:lang w:val="es-CO"/>
        </w:rPr>
        <w:instrText xml:space="preserve"> \* MERGEFORMAT </w:instrText>
      </w:r>
      <w:r w:rsidR="009665E3" w:rsidRPr="00BD1319">
        <w:rPr>
          <w:rFonts w:cs="Arial"/>
          <w:spacing w:val="-3"/>
          <w:lang w:val="es-CO"/>
        </w:rPr>
      </w:r>
      <w:r w:rsidR="009665E3" w:rsidRPr="00BD1319">
        <w:rPr>
          <w:rFonts w:cs="Arial"/>
          <w:spacing w:val="-3"/>
          <w:lang w:val="es-CO"/>
        </w:rPr>
        <w:fldChar w:fldCharType="separate"/>
      </w:r>
      <w:r w:rsidR="00296654" w:rsidRPr="00BD1319">
        <w:rPr>
          <w:rFonts w:cs="Arial"/>
          <w:spacing w:val="-3"/>
          <w:lang w:val="es-CO"/>
        </w:rPr>
        <w:t>5</w:t>
      </w:r>
      <w:r w:rsidR="009665E3" w:rsidRPr="00BD1319">
        <w:rPr>
          <w:rFonts w:cs="Arial"/>
          <w:spacing w:val="-3"/>
          <w:lang w:val="es-CO"/>
        </w:rPr>
        <w:fldChar w:fldCharType="end"/>
      </w:r>
      <w:r w:rsidR="009665E3" w:rsidRPr="00BD1319">
        <w:rPr>
          <w:rFonts w:cs="Arial"/>
          <w:spacing w:val="-3"/>
          <w:lang w:val="es-CO"/>
        </w:rPr>
        <w:t xml:space="preserve"> de este capítulo. Zonificación ambiental) y el potencial normalizado de modificación del impacto (obtenido en el numeral </w:t>
      </w:r>
      <w:r w:rsidR="009665E3" w:rsidRPr="00BD1319">
        <w:rPr>
          <w:rFonts w:cs="Arial"/>
          <w:spacing w:val="-3"/>
          <w:lang w:val="es-CO"/>
        </w:rPr>
        <w:fldChar w:fldCharType="begin"/>
      </w:r>
      <w:r w:rsidR="009665E3" w:rsidRPr="00BD1319">
        <w:rPr>
          <w:rFonts w:cs="Arial"/>
          <w:spacing w:val="-3"/>
          <w:lang w:val="es-CO"/>
        </w:rPr>
        <w:instrText xml:space="preserve"> REF _Ref82611206 \r \h </w:instrText>
      </w:r>
      <w:r w:rsidR="00BD1319">
        <w:rPr>
          <w:rFonts w:cs="Arial"/>
          <w:spacing w:val="-3"/>
          <w:lang w:val="es-CO"/>
        </w:rPr>
        <w:instrText xml:space="preserve"> \* MERGEFORMAT </w:instrText>
      </w:r>
      <w:r w:rsidR="009665E3" w:rsidRPr="00BD1319">
        <w:rPr>
          <w:rFonts w:cs="Arial"/>
          <w:spacing w:val="-3"/>
          <w:lang w:val="es-CO"/>
        </w:rPr>
      </w:r>
      <w:r w:rsidR="009665E3" w:rsidRPr="00BD1319">
        <w:rPr>
          <w:rFonts w:cs="Arial"/>
          <w:spacing w:val="-3"/>
          <w:lang w:val="es-CO"/>
        </w:rPr>
        <w:fldChar w:fldCharType="separate"/>
      </w:r>
      <w:r w:rsidR="00296654" w:rsidRPr="00BD1319">
        <w:rPr>
          <w:rFonts w:cs="Arial"/>
          <w:spacing w:val="-3"/>
          <w:lang w:val="es-CO"/>
        </w:rPr>
        <w:t>7</w:t>
      </w:r>
      <w:r w:rsidR="009665E3" w:rsidRPr="00BD1319">
        <w:rPr>
          <w:rFonts w:cs="Arial"/>
          <w:spacing w:val="-3"/>
          <w:lang w:val="es-CO"/>
        </w:rPr>
        <w:fldChar w:fldCharType="end"/>
      </w:r>
      <w:r w:rsidR="009665E3" w:rsidRPr="00BD1319">
        <w:rPr>
          <w:rFonts w:cs="Arial"/>
          <w:spacing w:val="-3"/>
          <w:lang w:val="es-CO"/>
        </w:rPr>
        <w:t xml:space="preserve"> de este capítulo. Evaluación ambiental)</w:t>
      </w:r>
      <w:r w:rsidR="004D0478" w:rsidRPr="00BD1319">
        <w:rPr>
          <w:rFonts w:cs="Arial"/>
          <w:spacing w:val="-3"/>
          <w:lang w:val="es-CO"/>
        </w:rPr>
        <w:t xml:space="preserve"> que le corresponden</w:t>
      </w:r>
      <w:r w:rsidR="009665E3" w:rsidRPr="00BD1319">
        <w:rPr>
          <w:rFonts w:cs="Arial"/>
          <w:spacing w:val="-3"/>
          <w:lang w:val="es-CO"/>
        </w:rPr>
        <w:t xml:space="preserve">. Si </w:t>
      </w:r>
      <w:r w:rsidR="004D0478" w:rsidRPr="00BD1319">
        <w:rPr>
          <w:rFonts w:cs="Arial"/>
          <w:spacing w:val="-3"/>
          <w:lang w:val="es-CO"/>
        </w:rPr>
        <w:t xml:space="preserve">para un impacto en particular </w:t>
      </w:r>
      <w:r w:rsidR="009665E3" w:rsidRPr="00BD1319">
        <w:rPr>
          <w:rFonts w:cs="Arial"/>
          <w:spacing w:val="-3"/>
          <w:lang w:val="es-CO"/>
        </w:rPr>
        <w:t>se considera pertinente, es posible adjudicar a todas las unidades de análisis de</w:t>
      </w:r>
      <w:r w:rsidR="004D0478" w:rsidRPr="00BD1319">
        <w:rPr>
          <w:rFonts w:cs="Arial"/>
          <w:spacing w:val="-3"/>
          <w:lang w:val="es-CO"/>
        </w:rPr>
        <w:t>l</w:t>
      </w:r>
      <w:r w:rsidR="009665E3" w:rsidRPr="00BD1319">
        <w:rPr>
          <w:rFonts w:cs="Arial"/>
          <w:spacing w:val="-3"/>
          <w:lang w:val="es-CO"/>
        </w:rPr>
        <w:t xml:space="preserve"> componente </w:t>
      </w:r>
      <w:r w:rsidR="004D0478" w:rsidRPr="00BD1319">
        <w:rPr>
          <w:rFonts w:cs="Arial"/>
          <w:spacing w:val="-3"/>
          <w:lang w:val="es-CO"/>
        </w:rPr>
        <w:t>que éste altera</w:t>
      </w:r>
      <w:r w:rsidR="009665E3" w:rsidRPr="00BD1319">
        <w:rPr>
          <w:rFonts w:cs="Arial"/>
          <w:spacing w:val="-3"/>
          <w:lang w:val="es-CO"/>
        </w:rPr>
        <w:t>, el valor más alto de potencial normalizado de modificación del impacto identificado en el capítulo de evaluación ambiental.</w:t>
      </w:r>
    </w:p>
    <w:p w14:paraId="6C59ADA0" w14:textId="77777777" w:rsidR="004D0478" w:rsidRPr="00BD1319" w:rsidRDefault="004D0478" w:rsidP="00C86DA5">
      <w:pPr>
        <w:pStyle w:val="Prrafodelista"/>
        <w:tabs>
          <w:tab w:val="left" w:pos="-2268"/>
        </w:tabs>
        <w:suppressAutoHyphens/>
        <w:ind w:left="567" w:hanging="567"/>
        <w:rPr>
          <w:spacing w:val="-3"/>
          <w:lang w:val="es-CO"/>
        </w:rPr>
      </w:pPr>
    </w:p>
    <w:p w14:paraId="4766BC40" w14:textId="4A28899F" w:rsidR="004D0478" w:rsidRPr="00BD1319" w:rsidRDefault="004D0478" w:rsidP="0082127E">
      <w:pPr>
        <w:pStyle w:val="Prrafodelista"/>
        <w:numPr>
          <w:ilvl w:val="0"/>
          <w:numId w:val="5"/>
        </w:numPr>
        <w:tabs>
          <w:tab w:val="left" w:pos="-2268"/>
        </w:tabs>
        <w:suppressAutoHyphens/>
        <w:ind w:left="567" w:hanging="567"/>
        <w:rPr>
          <w:spacing w:val="-3"/>
          <w:lang w:val="es-CO"/>
        </w:rPr>
      </w:pPr>
      <w:r w:rsidRPr="00BD1319">
        <w:rPr>
          <w:spacing w:val="-3"/>
          <w:lang w:val="es-CO"/>
        </w:rPr>
        <w:t>Definir en una matriz</w:t>
      </w:r>
      <w:r w:rsidR="003A3F96" w:rsidRPr="00BD1319">
        <w:rPr>
          <w:spacing w:val="-3"/>
          <w:lang w:val="es-CO"/>
        </w:rPr>
        <w:t xml:space="preserve"> de interacciones</w:t>
      </w:r>
      <w:r w:rsidRPr="00BD1319">
        <w:rPr>
          <w:spacing w:val="-3"/>
          <w:lang w:val="es-CO"/>
        </w:rPr>
        <w:t>, la categoría de manejo de acuerdo con las interacciones entre el potencial normalizado de modificación del impacto y la sensibilidad ambiental de cada unidad de análisis</w:t>
      </w:r>
      <w:r w:rsidR="003A3F96" w:rsidRPr="00BD1319">
        <w:rPr>
          <w:spacing w:val="-3"/>
          <w:lang w:val="es-CO"/>
        </w:rPr>
        <w:t xml:space="preserve"> del proyecto, obra o actividad, según lo </w:t>
      </w:r>
      <w:r w:rsidRPr="00BD1319">
        <w:rPr>
          <w:spacing w:val="-3"/>
          <w:lang w:val="es-CO"/>
        </w:rPr>
        <w:t>establecid</w:t>
      </w:r>
      <w:r w:rsidR="003A3F96" w:rsidRPr="00BD1319">
        <w:rPr>
          <w:spacing w:val="-3"/>
          <w:lang w:val="es-CO"/>
        </w:rPr>
        <w:t>o</w:t>
      </w:r>
      <w:r w:rsidRPr="00BD1319">
        <w:rPr>
          <w:spacing w:val="-3"/>
          <w:lang w:val="es-CO"/>
        </w:rPr>
        <w:t xml:space="preserve"> en la matriz de decisión (ver </w:t>
      </w:r>
      <w:r w:rsidRPr="00BD1319">
        <w:rPr>
          <w:spacing w:val="-3"/>
          <w:lang w:val="es-CO"/>
        </w:rPr>
        <w:fldChar w:fldCharType="begin"/>
      </w:r>
      <w:r w:rsidRPr="00BD1319">
        <w:rPr>
          <w:spacing w:val="-3"/>
          <w:lang w:val="es-CO"/>
        </w:rPr>
        <w:instrText xml:space="preserve"> REF _Ref81912062 \h </w:instrText>
      </w:r>
      <w:r w:rsidR="00BD1319">
        <w:rPr>
          <w:spacing w:val="-3"/>
          <w:lang w:val="es-CO"/>
        </w:rPr>
        <w:instrText xml:space="preserve"> \* MERGEFORMAT </w:instrText>
      </w:r>
      <w:r w:rsidRPr="00BD1319">
        <w:rPr>
          <w:spacing w:val="-3"/>
          <w:lang w:val="es-CO"/>
        </w:rPr>
      </w:r>
      <w:r w:rsidRPr="00BD1319">
        <w:rPr>
          <w:spacing w:val="-3"/>
          <w:lang w:val="es-CO"/>
        </w:rPr>
        <w:fldChar w:fldCharType="separate"/>
      </w:r>
      <w:r w:rsidR="00296654" w:rsidRPr="00BD1319">
        <w:rPr>
          <w:rFonts w:cs="Arial"/>
        </w:rPr>
        <w:t xml:space="preserve">Tabla </w:t>
      </w:r>
      <w:r w:rsidR="00296654" w:rsidRPr="00BD1319">
        <w:rPr>
          <w:rFonts w:cs="Arial"/>
          <w:noProof/>
        </w:rPr>
        <w:t>39</w:t>
      </w:r>
      <w:r w:rsidRPr="00BD1319">
        <w:rPr>
          <w:spacing w:val="-3"/>
          <w:lang w:val="es-CO"/>
        </w:rPr>
        <w:fldChar w:fldCharType="end"/>
      </w:r>
      <w:r w:rsidRPr="00BD1319">
        <w:rPr>
          <w:spacing w:val="-3"/>
          <w:lang w:val="es-CO"/>
        </w:rPr>
        <w:t>).</w:t>
      </w:r>
    </w:p>
    <w:p w14:paraId="013AD223" w14:textId="77777777" w:rsidR="004D0478" w:rsidRPr="00BD1319" w:rsidRDefault="004D0478" w:rsidP="00C86DA5">
      <w:pPr>
        <w:pStyle w:val="Prrafodelista"/>
        <w:tabs>
          <w:tab w:val="left" w:pos="-2268"/>
        </w:tabs>
        <w:suppressAutoHyphens/>
        <w:ind w:left="567" w:hanging="567"/>
        <w:rPr>
          <w:spacing w:val="-3"/>
          <w:lang w:val="es-CO"/>
        </w:rPr>
      </w:pPr>
    </w:p>
    <w:p w14:paraId="2DBDC9F7" w14:textId="6C191FFC" w:rsidR="004D0478" w:rsidRPr="00BD1319" w:rsidRDefault="004D0478" w:rsidP="004D0478">
      <w:pPr>
        <w:pStyle w:val="Prrafodelista"/>
        <w:numPr>
          <w:ilvl w:val="0"/>
          <w:numId w:val="5"/>
        </w:numPr>
        <w:tabs>
          <w:tab w:val="left" w:pos="-2268"/>
        </w:tabs>
        <w:suppressAutoHyphens/>
        <w:ind w:left="567" w:hanging="567"/>
        <w:rPr>
          <w:spacing w:val="-3"/>
          <w:lang w:val="es-CO"/>
        </w:rPr>
      </w:pPr>
      <w:r w:rsidRPr="00BD1319">
        <w:rPr>
          <w:spacing w:val="-3"/>
          <w:lang w:val="es-CO"/>
        </w:rPr>
        <w:t>Establecer la ubicación espacial del p</w:t>
      </w:r>
      <w:r w:rsidRPr="00BD1319">
        <w:rPr>
          <w:rFonts w:cs="Arial"/>
          <w:spacing w:val="-3"/>
          <w:lang w:val="es-CO"/>
        </w:rPr>
        <w:t>otencial normalizado de modificación de cada uno de los impactos</w:t>
      </w:r>
      <w:r w:rsidRPr="00BD1319">
        <w:rPr>
          <w:spacing w:val="-3"/>
          <w:lang w:val="es-CO"/>
        </w:rPr>
        <w:t xml:space="preserve"> ambientales negativos que afectan a cada unidad de análisis dentro del área de influencia del componente</w:t>
      </w:r>
      <w:r w:rsidRPr="00BD1319">
        <w:rPr>
          <w:rFonts w:cs="Arial"/>
          <w:spacing w:val="-3"/>
          <w:lang w:val="es-CO"/>
        </w:rPr>
        <w:t xml:space="preserve">, es decir, </w:t>
      </w:r>
      <w:proofErr w:type="spellStart"/>
      <w:r w:rsidRPr="00BD1319">
        <w:rPr>
          <w:rFonts w:cs="Arial"/>
          <w:spacing w:val="-3"/>
          <w:lang w:val="es-CO"/>
        </w:rPr>
        <w:t>espacializar</w:t>
      </w:r>
      <w:proofErr w:type="spellEnd"/>
      <w:r w:rsidRPr="00BD1319">
        <w:rPr>
          <w:rFonts w:cs="Arial"/>
          <w:spacing w:val="-3"/>
          <w:lang w:val="es-CO"/>
        </w:rPr>
        <w:t xml:space="preserve"> la manifestación de los impactos ambientales negativos señalando su grado normalizado de modificación. </w:t>
      </w:r>
      <w:r w:rsidR="00572AA4" w:rsidRPr="00BD1319">
        <w:rPr>
          <w:rFonts w:cs="Arial"/>
          <w:spacing w:val="-3"/>
          <w:lang w:val="es-CO"/>
        </w:rPr>
        <w:t>S</w:t>
      </w:r>
      <w:r w:rsidRPr="00BD1319">
        <w:rPr>
          <w:rFonts w:cs="Arial"/>
          <w:spacing w:val="-3"/>
          <w:lang w:val="es-CO"/>
        </w:rPr>
        <w:t>e deben d</w:t>
      </w:r>
      <w:r w:rsidRPr="00BD1319">
        <w:rPr>
          <w:rFonts w:cs="Arial"/>
          <w:lang w:val="es-CO" w:eastAsia="en-US"/>
        </w:rPr>
        <w:t>escribir l</w:t>
      </w:r>
      <w:r w:rsidR="00872A45" w:rsidRPr="00BD1319">
        <w:rPr>
          <w:rFonts w:cs="Arial"/>
          <w:lang w:val="es-CO" w:eastAsia="en-US"/>
        </w:rPr>
        <w:t>a</w:t>
      </w:r>
      <w:r w:rsidRPr="00BD1319">
        <w:rPr>
          <w:rFonts w:cs="Arial"/>
          <w:lang w:val="es-CO" w:eastAsia="en-US"/>
        </w:rPr>
        <w:t>s</w:t>
      </w:r>
      <w:r w:rsidR="00872A45" w:rsidRPr="00BD1319">
        <w:rPr>
          <w:rFonts w:cs="Arial"/>
          <w:lang w:val="es-CO" w:eastAsia="en-US"/>
        </w:rPr>
        <w:t xml:space="preserve"> consideraciones </w:t>
      </w:r>
      <w:r w:rsidR="00572AA4" w:rsidRPr="00BD1319">
        <w:rPr>
          <w:rFonts w:cs="Arial"/>
          <w:lang w:val="es-CO" w:eastAsia="en-US"/>
        </w:rPr>
        <w:t>emplead</w:t>
      </w:r>
      <w:r w:rsidR="00872A45" w:rsidRPr="00BD1319">
        <w:rPr>
          <w:rFonts w:cs="Arial"/>
          <w:lang w:val="es-CO" w:eastAsia="en-US"/>
        </w:rPr>
        <w:t>a</w:t>
      </w:r>
      <w:r w:rsidR="00572AA4" w:rsidRPr="00BD1319">
        <w:rPr>
          <w:rFonts w:cs="Arial"/>
          <w:lang w:val="es-CO" w:eastAsia="en-US"/>
        </w:rPr>
        <w:t xml:space="preserve">s </w:t>
      </w:r>
      <w:r w:rsidRPr="00BD1319">
        <w:rPr>
          <w:rFonts w:cs="Arial"/>
          <w:lang w:val="es-CO" w:eastAsia="en-US"/>
        </w:rPr>
        <w:t>para establecer la ubicación espacial de cada uno de los impactos ambientales negativos.</w:t>
      </w:r>
    </w:p>
    <w:p w14:paraId="188334E9" w14:textId="77777777" w:rsidR="009B04FC" w:rsidRPr="00BD1319" w:rsidRDefault="009B04FC" w:rsidP="00C86DA5">
      <w:pPr>
        <w:pStyle w:val="Prrafodelista"/>
        <w:tabs>
          <w:tab w:val="left" w:pos="-2268"/>
        </w:tabs>
        <w:suppressAutoHyphens/>
        <w:ind w:left="567" w:hanging="567"/>
        <w:rPr>
          <w:spacing w:val="-3"/>
          <w:lang w:val="es-CO"/>
        </w:rPr>
      </w:pPr>
    </w:p>
    <w:p w14:paraId="204F3747" w14:textId="10346A36" w:rsidR="00C142E5" w:rsidRPr="00BD1319" w:rsidRDefault="009A28C7" w:rsidP="009420F5">
      <w:pPr>
        <w:pStyle w:val="Prrafodelista"/>
        <w:numPr>
          <w:ilvl w:val="0"/>
          <w:numId w:val="5"/>
        </w:numPr>
        <w:tabs>
          <w:tab w:val="left" w:pos="-2268"/>
        </w:tabs>
        <w:suppressAutoHyphens/>
        <w:ind w:left="567" w:hanging="567"/>
        <w:rPr>
          <w:spacing w:val="-3"/>
          <w:lang w:val="es-CO"/>
        </w:rPr>
      </w:pPr>
      <w:r w:rsidRPr="00BD1319">
        <w:rPr>
          <w:rFonts w:cs="Arial"/>
          <w:spacing w:val="-3"/>
          <w:lang w:val="es-CO"/>
        </w:rPr>
        <w:t xml:space="preserve">Superponer la información espacial </w:t>
      </w:r>
      <w:r w:rsidR="00872A45" w:rsidRPr="00BD1319">
        <w:rPr>
          <w:rFonts w:cs="Arial"/>
          <w:spacing w:val="-3"/>
          <w:lang w:val="es-CO"/>
        </w:rPr>
        <w:t xml:space="preserve">del </w:t>
      </w:r>
      <w:r w:rsidRPr="00BD1319">
        <w:rPr>
          <w:spacing w:val="-3"/>
          <w:lang w:val="es-CO"/>
        </w:rPr>
        <w:t>p</w:t>
      </w:r>
      <w:r w:rsidRPr="00BD1319">
        <w:rPr>
          <w:rFonts w:cs="Arial"/>
          <w:spacing w:val="-3"/>
          <w:lang w:val="es-CO"/>
        </w:rPr>
        <w:t>otencial normalizado de modificación del impacto</w:t>
      </w:r>
      <w:r w:rsidRPr="00BD1319">
        <w:rPr>
          <w:spacing w:val="-3"/>
          <w:lang w:val="es-CO"/>
        </w:rPr>
        <w:t xml:space="preserve"> y </w:t>
      </w:r>
      <w:r w:rsidR="00872A45" w:rsidRPr="00BD1319">
        <w:rPr>
          <w:spacing w:val="-3"/>
          <w:lang w:val="es-CO"/>
        </w:rPr>
        <w:t xml:space="preserve">con la de la </w:t>
      </w:r>
      <w:r w:rsidRPr="00BD1319">
        <w:rPr>
          <w:spacing w:val="-3"/>
          <w:lang w:val="es-CO"/>
        </w:rPr>
        <w:t>sensibilidad ambiental</w:t>
      </w:r>
      <w:r w:rsidR="00572AA4" w:rsidRPr="00BD1319">
        <w:rPr>
          <w:spacing w:val="-3"/>
          <w:lang w:val="es-CO"/>
        </w:rPr>
        <w:t xml:space="preserve"> </w:t>
      </w:r>
      <w:r w:rsidRPr="00BD1319">
        <w:rPr>
          <w:spacing w:val="-3"/>
          <w:lang w:val="es-CO"/>
        </w:rPr>
        <w:t xml:space="preserve">para cada unidad de análisis </w:t>
      </w:r>
      <w:r w:rsidR="00572AA4" w:rsidRPr="00BD1319">
        <w:rPr>
          <w:spacing w:val="-3"/>
          <w:lang w:val="es-CO"/>
        </w:rPr>
        <w:t xml:space="preserve">(de acuerdo con lo identificado en la matriz de interacciones) a fin de </w:t>
      </w:r>
      <w:r w:rsidRPr="00BD1319">
        <w:rPr>
          <w:spacing w:val="-3"/>
          <w:lang w:val="es-CO"/>
        </w:rPr>
        <w:t>d</w:t>
      </w:r>
      <w:r w:rsidR="00C142E5" w:rsidRPr="00BD1319">
        <w:rPr>
          <w:rFonts w:cs="Arial"/>
          <w:spacing w:val="-3"/>
          <w:lang w:val="es-CO"/>
        </w:rPr>
        <w:t xml:space="preserve">efinir </w:t>
      </w:r>
      <w:r w:rsidRPr="00BD1319">
        <w:rPr>
          <w:rFonts w:cs="Arial"/>
          <w:spacing w:val="-3"/>
          <w:lang w:val="es-CO"/>
        </w:rPr>
        <w:t xml:space="preserve">su </w:t>
      </w:r>
      <w:r w:rsidR="00C142E5" w:rsidRPr="00BD1319">
        <w:rPr>
          <w:rFonts w:cs="Arial"/>
          <w:spacing w:val="-3"/>
          <w:lang w:val="es-CO"/>
        </w:rPr>
        <w:t xml:space="preserve">categoría de manejo </w:t>
      </w:r>
      <w:r w:rsidR="00E32FBC" w:rsidRPr="00BD1319">
        <w:rPr>
          <w:rFonts w:cs="Arial"/>
          <w:spacing w:val="-3"/>
          <w:lang w:val="es-CO"/>
        </w:rPr>
        <w:t xml:space="preserve">ambiental </w:t>
      </w:r>
      <w:r w:rsidR="00572AA4" w:rsidRPr="00BD1319">
        <w:rPr>
          <w:rFonts w:cs="Arial"/>
          <w:spacing w:val="-3"/>
          <w:lang w:val="es-CO"/>
        </w:rPr>
        <w:t xml:space="preserve">según </w:t>
      </w:r>
      <w:r w:rsidR="00C142E5" w:rsidRPr="00BD1319">
        <w:rPr>
          <w:rFonts w:cs="Arial"/>
          <w:spacing w:val="-3"/>
          <w:lang w:val="es-CO"/>
        </w:rPr>
        <w:t xml:space="preserve">las </w:t>
      </w:r>
      <w:r w:rsidR="00695AC9" w:rsidRPr="00BD1319">
        <w:rPr>
          <w:rFonts w:cs="Arial"/>
          <w:spacing w:val="-3"/>
          <w:lang w:val="es-CO"/>
        </w:rPr>
        <w:t xml:space="preserve">reglas </w:t>
      </w:r>
      <w:r w:rsidR="00C142E5" w:rsidRPr="00BD1319">
        <w:rPr>
          <w:rFonts w:cs="Arial"/>
          <w:spacing w:val="-3"/>
          <w:lang w:val="es-CO"/>
        </w:rPr>
        <w:t xml:space="preserve">establecidas en la matriz de decisión </w:t>
      </w:r>
      <w:r w:rsidR="00572AA4" w:rsidRPr="00BD1319">
        <w:rPr>
          <w:rFonts w:cs="Arial"/>
          <w:lang w:val="es-CO"/>
        </w:rPr>
        <w:t xml:space="preserve">para la relación de </w:t>
      </w:r>
      <w:r w:rsidR="00572AA4" w:rsidRPr="00BD1319">
        <w:rPr>
          <w:rFonts w:cs="Arial"/>
          <w:spacing w:val="-3"/>
          <w:lang w:val="es-CO"/>
        </w:rPr>
        <w:t xml:space="preserve">estas dos variables </w:t>
      </w:r>
      <w:r w:rsidR="00C142E5" w:rsidRPr="00BD1319">
        <w:rPr>
          <w:rFonts w:cs="Arial"/>
          <w:spacing w:val="-3"/>
          <w:lang w:val="es-CO"/>
        </w:rPr>
        <w:t>(ver</w:t>
      </w:r>
      <w:r w:rsidR="0006409A" w:rsidRPr="00BD1319">
        <w:rPr>
          <w:rFonts w:cs="Arial"/>
          <w:spacing w:val="-3"/>
          <w:lang w:val="es-CO"/>
        </w:rPr>
        <w:t xml:space="preserve"> </w:t>
      </w:r>
      <w:r w:rsidR="0006409A" w:rsidRPr="00BD1319">
        <w:rPr>
          <w:rFonts w:cs="Arial"/>
          <w:spacing w:val="-3"/>
          <w:lang w:val="es-CO"/>
        </w:rPr>
        <w:fldChar w:fldCharType="begin"/>
      </w:r>
      <w:r w:rsidR="0006409A" w:rsidRPr="00BD1319">
        <w:rPr>
          <w:rFonts w:cs="Arial"/>
          <w:spacing w:val="-3"/>
          <w:lang w:val="es-CO"/>
        </w:rPr>
        <w:instrText xml:space="preserve"> REF _Ref81912062 \h </w:instrText>
      </w:r>
      <w:r w:rsidR="00BD1319">
        <w:rPr>
          <w:rFonts w:cs="Arial"/>
          <w:spacing w:val="-3"/>
          <w:lang w:val="es-CO"/>
        </w:rPr>
        <w:instrText xml:space="preserve"> \* MERGEFORMAT </w:instrText>
      </w:r>
      <w:r w:rsidR="0006409A" w:rsidRPr="00BD1319">
        <w:rPr>
          <w:rFonts w:cs="Arial"/>
          <w:spacing w:val="-3"/>
          <w:lang w:val="es-CO"/>
        </w:rPr>
      </w:r>
      <w:r w:rsidR="0006409A" w:rsidRPr="00BD1319">
        <w:rPr>
          <w:rFonts w:cs="Arial"/>
          <w:spacing w:val="-3"/>
          <w:lang w:val="es-CO"/>
        </w:rPr>
        <w:fldChar w:fldCharType="separate"/>
      </w:r>
      <w:r w:rsidR="00296654" w:rsidRPr="00BD1319">
        <w:rPr>
          <w:rFonts w:cs="Arial"/>
        </w:rPr>
        <w:t xml:space="preserve">Tabla </w:t>
      </w:r>
      <w:r w:rsidR="00296654" w:rsidRPr="00BD1319">
        <w:rPr>
          <w:rFonts w:cs="Arial"/>
          <w:noProof/>
        </w:rPr>
        <w:t>39</w:t>
      </w:r>
      <w:r w:rsidR="0006409A" w:rsidRPr="00BD1319">
        <w:rPr>
          <w:rFonts w:cs="Arial"/>
          <w:spacing w:val="-3"/>
          <w:lang w:val="es-CO"/>
        </w:rPr>
        <w:fldChar w:fldCharType="end"/>
      </w:r>
      <w:r w:rsidR="00C142E5" w:rsidRPr="00BD1319">
        <w:rPr>
          <w:rFonts w:cs="Arial"/>
          <w:lang w:val="es-CO"/>
        </w:rPr>
        <w:t>).</w:t>
      </w:r>
    </w:p>
    <w:p w14:paraId="253C95E5" w14:textId="77777777" w:rsidR="00C142E5" w:rsidRPr="00BD1319" w:rsidRDefault="00C142E5" w:rsidP="00C86DA5">
      <w:pPr>
        <w:pStyle w:val="Prrafodelista"/>
        <w:tabs>
          <w:tab w:val="left" w:pos="-2268"/>
        </w:tabs>
        <w:suppressAutoHyphens/>
        <w:ind w:left="567" w:hanging="567"/>
        <w:rPr>
          <w:spacing w:val="-3"/>
          <w:lang w:val="es-CO"/>
        </w:rPr>
      </w:pPr>
    </w:p>
    <w:p w14:paraId="76F2BB85" w14:textId="458A8F44" w:rsidR="00572AA4" w:rsidRPr="00BD1319" w:rsidRDefault="00262C6C" w:rsidP="009420F5">
      <w:pPr>
        <w:pStyle w:val="Prrafodelista"/>
        <w:tabs>
          <w:tab w:val="left" w:pos="-2268"/>
        </w:tabs>
        <w:suppressAutoHyphens/>
        <w:ind w:left="567"/>
        <w:rPr>
          <w:rFonts w:cs="Arial"/>
          <w:lang w:val="es-CO"/>
        </w:rPr>
      </w:pPr>
      <w:r w:rsidRPr="00BD1319">
        <w:rPr>
          <w:spacing w:val="-3"/>
          <w:lang w:val="es-CO"/>
        </w:rPr>
        <w:t>Se debe c</w:t>
      </w:r>
      <w:r w:rsidR="00B0608B" w:rsidRPr="00BD1319">
        <w:rPr>
          <w:spacing w:val="-3"/>
          <w:lang w:val="es-CO"/>
        </w:rPr>
        <w:t xml:space="preserve">onsiderar </w:t>
      </w:r>
      <w:r w:rsidR="004600D0" w:rsidRPr="00BD1319">
        <w:rPr>
          <w:rFonts w:cs="Arial"/>
          <w:lang w:val="es-CO"/>
        </w:rPr>
        <w:t xml:space="preserve">que </w:t>
      </w:r>
      <w:r w:rsidR="009B04FC" w:rsidRPr="00BD1319">
        <w:rPr>
          <w:rFonts w:cs="Arial"/>
          <w:lang w:val="es-CO"/>
        </w:rPr>
        <w:t xml:space="preserve">una </w:t>
      </w:r>
      <w:r w:rsidR="004600D0" w:rsidRPr="00BD1319">
        <w:rPr>
          <w:rFonts w:cs="Arial"/>
          <w:lang w:val="es-CO"/>
        </w:rPr>
        <w:t xml:space="preserve">misma </w:t>
      </w:r>
      <w:r w:rsidR="009B04FC" w:rsidRPr="00BD1319">
        <w:rPr>
          <w:rFonts w:cs="Arial"/>
          <w:lang w:val="es-CO"/>
        </w:rPr>
        <w:t xml:space="preserve">unidad de análisis </w:t>
      </w:r>
      <w:r w:rsidR="004600D0" w:rsidRPr="00BD1319">
        <w:rPr>
          <w:rFonts w:cs="Arial"/>
          <w:lang w:val="es-CO"/>
        </w:rPr>
        <w:t xml:space="preserve">puede tener más de una situación de superposición, es decir, </w:t>
      </w:r>
      <w:r w:rsidR="009B5C7F" w:rsidRPr="00BD1319">
        <w:rPr>
          <w:rFonts w:cs="Arial"/>
          <w:lang w:val="es-CO"/>
        </w:rPr>
        <w:t xml:space="preserve">ella </w:t>
      </w:r>
      <w:r w:rsidR="004600D0" w:rsidRPr="00BD1319">
        <w:rPr>
          <w:rFonts w:cs="Arial"/>
          <w:lang w:val="es-CO"/>
        </w:rPr>
        <w:t xml:space="preserve">puede </w:t>
      </w:r>
      <w:r w:rsidR="009B5C7F" w:rsidRPr="00BD1319">
        <w:rPr>
          <w:rFonts w:cs="Arial"/>
          <w:lang w:val="es-CO"/>
        </w:rPr>
        <w:t xml:space="preserve">emplearse para representar diferentes fenómenos con distintas sensibilidades </w:t>
      </w:r>
      <w:r w:rsidR="003D2F41" w:rsidRPr="00BD1319">
        <w:rPr>
          <w:rFonts w:cs="Arial"/>
          <w:lang w:val="es-CO"/>
        </w:rPr>
        <w:t>y,</w:t>
      </w:r>
      <w:r w:rsidR="009B5C7F" w:rsidRPr="00BD1319">
        <w:rPr>
          <w:rFonts w:cs="Arial"/>
          <w:lang w:val="es-CO"/>
        </w:rPr>
        <w:t xml:space="preserve"> por tanto, </w:t>
      </w:r>
      <w:r w:rsidR="004600D0" w:rsidRPr="00BD1319">
        <w:rPr>
          <w:rFonts w:cs="Arial"/>
          <w:lang w:val="es-CO"/>
        </w:rPr>
        <w:t>estar sujeta a más de un impacto ambiental</w:t>
      </w:r>
      <w:r w:rsidR="009B5C7F" w:rsidRPr="00BD1319">
        <w:rPr>
          <w:rFonts w:cs="Arial"/>
          <w:lang w:val="es-CO"/>
        </w:rPr>
        <w:t>; por ejemplo, una vereda puede tener una sensibilidad media a un impacto del componente económico y a la vez, una sensibilidad baja a un impacto del componente</w:t>
      </w:r>
      <w:r w:rsidR="004600D0" w:rsidRPr="00BD1319">
        <w:rPr>
          <w:rFonts w:cs="Arial"/>
          <w:lang w:val="es-CO"/>
        </w:rPr>
        <w:t xml:space="preserve"> </w:t>
      </w:r>
      <w:r w:rsidR="009B5C7F" w:rsidRPr="00BD1319">
        <w:rPr>
          <w:rFonts w:cs="Arial"/>
          <w:lang w:val="es-CO"/>
        </w:rPr>
        <w:t>demográfico</w:t>
      </w:r>
      <w:r w:rsidR="00B0608B" w:rsidRPr="00BD1319">
        <w:rPr>
          <w:rFonts w:cs="Arial"/>
          <w:lang w:val="es-CO"/>
        </w:rPr>
        <w:t xml:space="preserve"> </w:t>
      </w:r>
      <w:r w:rsidR="004600D0" w:rsidRPr="00BD1319">
        <w:rPr>
          <w:rFonts w:cs="Arial"/>
          <w:lang w:val="es-CO"/>
        </w:rPr>
        <w:t xml:space="preserve">(ver </w:t>
      </w:r>
      <w:r w:rsidR="00B0608B" w:rsidRPr="00BD1319">
        <w:rPr>
          <w:rFonts w:cs="Arial"/>
          <w:lang w:val="es-CO"/>
        </w:rPr>
        <w:t xml:space="preserve">ejemplos en la </w:t>
      </w:r>
      <w:r w:rsidR="00AA51B6" w:rsidRPr="00BD1319">
        <w:rPr>
          <w:rFonts w:cs="Arial"/>
          <w:lang w:val="es-CO"/>
        </w:rPr>
        <w:fldChar w:fldCharType="begin"/>
      </w:r>
      <w:r w:rsidR="00AA51B6" w:rsidRPr="00BD1319">
        <w:rPr>
          <w:rFonts w:cs="Arial"/>
          <w:lang w:val="es-CO"/>
        </w:rPr>
        <w:instrText xml:space="preserve"> REF _Ref79403255 \h  \* MERGEFORMAT </w:instrText>
      </w:r>
      <w:r w:rsidR="00AA51B6" w:rsidRPr="00BD1319">
        <w:rPr>
          <w:rFonts w:cs="Arial"/>
          <w:lang w:val="es-CO"/>
        </w:rPr>
      </w:r>
      <w:r w:rsidR="00AA51B6" w:rsidRPr="00BD1319">
        <w:rPr>
          <w:rFonts w:cs="Arial"/>
          <w:lang w:val="es-CO"/>
        </w:rPr>
        <w:fldChar w:fldCharType="separate"/>
      </w:r>
      <w:r w:rsidR="00296654" w:rsidRPr="00BD1319">
        <w:rPr>
          <w:rFonts w:cs="Arial"/>
          <w:lang w:val="es-CO"/>
        </w:rPr>
        <w:t>Tabla 41</w:t>
      </w:r>
      <w:r w:rsidR="00AA51B6" w:rsidRPr="00BD1319">
        <w:rPr>
          <w:rFonts w:cs="Arial"/>
          <w:lang w:val="es-CO"/>
        </w:rPr>
        <w:fldChar w:fldCharType="end"/>
      </w:r>
      <w:r w:rsidR="004600D0" w:rsidRPr="00BD1319">
        <w:rPr>
          <w:rFonts w:cs="Arial"/>
          <w:lang w:val="es-CO"/>
        </w:rPr>
        <w:t>).</w:t>
      </w:r>
    </w:p>
    <w:p w14:paraId="625DADD2" w14:textId="77777777" w:rsidR="004400BC" w:rsidRPr="00BD1319" w:rsidRDefault="004400BC" w:rsidP="004400BC">
      <w:pPr>
        <w:rPr>
          <w:spacing w:val="-3"/>
        </w:rPr>
      </w:pPr>
    </w:p>
    <w:p w14:paraId="3EE2431B" w14:textId="37037807" w:rsidR="004400BC" w:rsidRPr="00BD1319" w:rsidRDefault="004400BC" w:rsidP="004400BC">
      <w:pPr>
        <w:pStyle w:val="Descripcin"/>
        <w:jc w:val="center"/>
        <w:rPr>
          <w:rFonts w:cs="Arial"/>
          <w:b w:val="0"/>
          <w:spacing w:val="-3"/>
        </w:rPr>
      </w:pPr>
      <w:bookmarkStart w:id="11018" w:name="_Ref81912062"/>
      <w:r w:rsidRPr="00BD1319">
        <w:rPr>
          <w:rFonts w:cs="Arial"/>
        </w:rPr>
        <w:t xml:space="preserve">Tabla </w:t>
      </w:r>
      <w:r w:rsidRPr="00BD1319">
        <w:rPr>
          <w:rFonts w:cs="Arial"/>
        </w:rPr>
        <w:fldChar w:fldCharType="begin"/>
      </w:r>
      <w:r w:rsidRPr="00BD1319">
        <w:rPr>
          <w:rFonts w:cs="Arial"/>
        </w:rPr>
        <w:instrText xml:space="preserve"> SEQ Tabla \* ARABIC </w:instrText>
      </w:r>
      <w:r w:rsidRPr="00BD1319">
        <w:rPr>
          <w:rFonts w:cs="Arial"/>
        </w:rPr>
        <w:fldChar w:fldCharType="separate"/>
      </w:r>
      <w:r w:rsidR="00296654" w:rsidRPr="00BD1319">
        <w:rPr>
          <w:rFonts w:cs="Arial"/>
          <w:noProof/>
        </w:rPr>
        <w:t>39</w:t>
      </w:r>
      <w:r w:rsidRPr="00BD1319">
        <w:rPr>
          <w:rFonts w:cs="Arial"/>
        </w:rPr>
        <w:fldChar w:fldCharType="end"/>
      </w:r>
      <w:bookmarkEnd w:id="11018"/>
      <w:r w:rsidRPr="00BD1319">
        <w:rPr>
          <w:rFonts w:cs="Arial"/>
        </w:rPr>
        <w:t>.</w:t>
      </w:r>
      <w:r w:rsidRPr="00BD1319">
        <w:rPr>
          <w:rFonts w:cs="Arial"/>
          <w:b w:val="0"/>
        </w:rPr>
        <w:t xml:space="preserve"> Matriz de decisión para establecer </w:t>
      </w:r>
      <w:r w:rsidR="00336946" w:rsidRPr="00BD1319">
        <w:rPr>
          <w:rFonts w:cs="Arial"/>
          <w:b w:val="0"/>
        </w:rPr>
        <w:t xml:space="preserve">el </w:t>
      </w:r>
      <w:r w:rsidRPr="00BD1319">
        <w:rPr>
          <w:rFonts w:cs="Arial"/>
          <w:b w:val="0"/>
        </w:rPr>
        <w:t>manejo ambiental de cada relación Potencial normalizado de modificación - Sensibilidad ambiental</w:t>
      </w:r>
    </w:p>
    <w:tbl>
      <w:tblPr>
        <w:tblStyle w:val="Tablaconcuadrcula"/>
        <w:tblW w:w="8750" w:type="dxa"/>
        <w:jc w:val="center"/>
        <w:tblLayout w:type="fixed"/>
        <w:tblLook w:val="04A0" w:firstRow="1" w:lastRow="0" w:firstColumn="1" w:lastColumn="0" w:noHBand="0" w:noVBand="1"/>
      </w:tblPr>
      <w:tblGrid>
        <w:gridCol w:w="2551"/>
        <w:gridCol w:w="1239"/>
        <w:gridCol w:w="1240"/>
        <w:gridCol w:w="1240"/>
        <w:gridCol w:w="1240"/>
        <w:gridCol w:w="1240"/>
      </w:tblGrid>
      <w:tr w:rsidR="004400BC" w:rsidRPr="00BD1319" w14:paraId="79E11C20" w14:textId="77777777" w:rsidTr="001C4EDB">
        <w:trPr>
          <w:trHeight w:val="315"/>
          <w:jc w:val="center"/>
        </w:trPr>
        <w:tc>
          <w:tcPr>
            <w:tcW w:w="2551" w:type="dxa"/>
            <w:vMerge w:val="restart"/>
            <w:shd w:val="clear" w:color="auto" w:fill="auto"/>
            <w:noWrap/>
            <w:vAlign w:val="center"/>
            <w:hideMark/>
          </w:tcPr>
          <w:p w14:paraId="09353948" w14:textId="7586E64B" w:rsidR="004400BC" w:rsidRPr="00BD1319" w:rsidRDefault="004400BC" w:rsidP="001C4EDB">
            <w:pPr>
              <w:tabs>
                <w:tab w:val="left" w:pos="-2268"/>
              </w:tabs>
              <w:suppressAutoHyphens/>
              <w:jc w:val="center"/>
              <w:rPr>
                <w:rFonts w:cs="Arial"/>
                <w:spacing w:val="-3"/>
                <w:sz w:val="22"/>
              </w:rPr>
            </w:pPr>
            <w:r w:rsidRPr="00BD1319">
              <w:rPr>
                <w:rFonts w:cs="Arial"/>
                <w:b/>
                <w:bCs/>
                <w:spacing w:val="-3"/>
                <w:sz w:val="22"/>
              </w:rPr>
              <w:t>Potencial normalizado de modificación del impacto</w:t>
            </w:r>
          </w:p>
        </w:tc>
        <w:tc>
          <w:tcPr>
            <w:tcW w:w="6199" w:type="dxa"/>
            <w:gridSpan w:val="5"/>
            <w:shd w:val="clear" w:color="auto" w:fill="auto"/>
            <w:noWrap/>
            <w:vAlign w:val="center"/>
            <w:hideMark/>
          </w:tcPr>
          <w:p w14:paraId="59E323CC" w14:textId="77777777" w:rsidR="004400BC" w:rsidRPr="00BD1319" w:rsidRDefault="004400BC" w:rsidP="000F569A">
            <w:pPr>
              <w:tabs>
                <w:tab w:val="left" w:pos="-2268"/>
              </w:tabs>
              <w:suppressAutoHyphens/>
              <w:jc w:val="center"/>
              <w:rPr>
                <w:rFonts w:cs="Arial"/>
                <w:b/>
                <w:bCs/>
                <w:spacing w:val="-3"/>
                <w:sz w:val="22"/>
              </w:rPr>
            </w:pPr>
            <w:r w:rsidRPr="00BD1319">
              <w:rPr>
                <w:rFonts w:cs="Arial"/>
                <w:b/>
                <w:bCs/>
                <w:spacing w:val="-3"/>
                <w:sz w:val="22"/>
              </w:rPr>
              <w:t>Sensibilidad ambiental</w:t>
            </w:r>
          </w:p>
        </w:tc>
      </w:tr>
      <w:tr w:rsidR="004400BC" w:rsidRPr="00BD1319" w14:paraId="5184D33E" w14:textId="77777777" w:rsidTr="009420F5">
        <w:trPr>
          <w:trHeight w:val="315"/>
          <w:jc w:val="center"/>
        </w:trPr>
        <w:tc>
          <w:tcPr>
            <w:tcW w:w="2551" w:type="dxa"/>
            <w:vMerge/>
            <w:shd w:val="clear" w:color="auto" w:fill="auto"/>
            <w:noWrap/>
            <w:vAlign w:val="center"/>
            <w:hideMark/>
          </w:tcPr>
          <w:p w14:paraId="4C0101B8" w14:textId="77777777" w:rsidR="004400BC" w:rsidRPr="00BD1319" w:rsidRDefault="004400BC" w:rsidP="000F569A">
            <w:pPr>
              <w:tabs>
                <w:tab w:val="left" w:pos="-2268"/>
              </w:tabs>
              <w:suppressAutoHyphens/>
              <w:jc w:val="center"/>
              <w:rPr>
                <w:rFonts w:cs="Arial"/>
                <w:b/>
                <w:bCs/>
                <w:spacing w:val="-3"/>
                <w:sz w:val="22"/>
              </w:rPr>
            </w:pPr>
          </w:p>
        </w:tc>
        <w:tc>
          <w:tcPr>
            <w:tcW w:w="1239" w:type="dxa"/>
            <w:tcBorders>
              <w:bottom w:val="single" w:sz="4" w:space="0" w:color="auto"/>
            </w:tcBorders>
            <w:shd w:val="clear" w:color="auto" w:fill="auto"/>
            <w:vAlign w:val="center"/>
            <w:hideMark/>
          </w:tcPr>
          <w:p w14:paraId="5DABC0B1" w14:textId="77777777" w:rsidR="004400BC" w:rsidRPr="00BD1319" w:rsidRDefault="004400BC" w:rsidP="000F569A">
            <w:pPr>
              <w:tabs>
                <w:tab w:val="left" w:pos="-2268"/>
              </w:tabs>
              <w:suppressAutoHyphens/>
              <w:jc w:val="center"/>
              <w:rPr>
                <w:rFonts w:cs="Arial"/>
                <w:b/>
                <w:bCs/>
                <w:spacing w:val="-3"/>
                <w:sz w:val="22"/>
              </w:rPr>
            </w:pPr>
            <w:r w:rsidRPr="00BD1319">
              <w:rPr>
                <w:rFonts w:cs="Arial"/>
                <w:b/>
                <w:bCs/>
                <w:spacing w:val="-3"/>
                <w:sz w:val="22"/>
              </w:rPr>
              <w:t>Muy Baja</w:t>
            </w:r>
          </w:p>
        </w:tc>
        <w:tc>
          <w:tcPr>
            <w:tcW w:w="1240" w:type="dxa"/>
            <w:tcBorders>
              <w:bottom w:val="single" w:sz="4" w:space="0" w:color="auto"/>
            </w:tcBorders>
            <w:shd w:val="clear" w:color="auto" w:fill="auto"/>
            <w:vAlign w:val="center"/>
            <w:hideMark/>
          </w:tcPr>
          <w:p w14:paraId="210C1FC4" w14:textId="77777777" w:rsidR="004400BC" w:rsidRPr="00BD1319" w:rsidRDefault="004400BC" w:rsidP="000F569A">
            <w:pPr>
              <w:tabs>
                <w:tab w:val="left" w:pos="-2268"/>
              </w:tabs>
              <w:suppressAutoHyphens/>
              <w:jc w:val="center"/>
              <w:rPr>
                <w:rFonts w:cs="Arial"/>
                <w:b/>
                <w:bCs/>
                <w:spacing w:val="-3"/>
                <w:sz w:val="22"/>
              </w:rPr>
            </w:pPr>
            <w:r w:rsidRPr="00BD1319">
              <w:rPr>
                <w:rFonts w:cs="Arial"/>
                <w:b/>
                <w:bCs/>
                <w:spacing w:val="-3"/>
                <w:sz w:val="22"/>
              </w:rPr>
              <w:t>Baja</w:t>
            </w:r>
          </w:p>
        </w:tc>
        <w:tc>
          <w:tcPr>
            <w:tcW w:w="1240" w:type="dxa"/>
            <w:tcBorders>
              <w:bottom w:val="single" w:sz="4" w:space="0" w:color="auto"/>
            </w:tcBorders>
            <w:shd w:val="clear" w:color="auto" w:fill="auto"/>
            <w:vAlign w:val="center"/>
            <w:hideMark/>
          </w:tcPr>
          <w:p w14:paraId="692B7765" w14:textId="77777777" w:rsidR="004400BC" w:rsidRPr="00BD1319" w:rsidRDefault="004400BC" w:rsidP="000F569A">
            <w:pPr>
              <w:tabs>
                <w:tab w:val="left" w:pos="-2268"/>
              </w:tabs>
              <w:suppressAutoHyphens/>
              <w:jc w:val="center"/>
              <w:rPr>
                <w:rFonts w:cs="Arial"/>
                <w:b/>
                <w:bCs/>
                <w:spacing w:val="-3"/>
                <w:sz w:val="22"/>
              </w:rPr>
            </w:pPr>
            <w:r w:rsidRPr="00BD1319">
              <w:rPr>
                <w:rFonts w:cs="Arial"/>
                <w:b/>
                <w:bCs/>
                <w:spacing w:val="-3"/>
                <w:sz w:val="22"/>
              </w:rPr>
              <w:t>Media</w:t>
            </w:r>
          </w:p>
        </w:tc>
        <w:tc>
          <w:tcPr>
            <w:tcW w:w="1240" w:type="dxa"/>
            <w:tcBorders>
              <w:bottom w:val="single" w:sz="4" w:space="0" w:color="auto"/>
            </w:tcBorders>
            <w:shd w:val="clear" w:color="auto" w:fill="auto"/>
            <w:vAlign w:val="center"/>
            <w:hideMark/>
          </w:tcPr>
          <w:p w14:paraId="43904BB0" w14:textId="77777777" w:rsidR="004400BC" w:rsidRPr="00BD1319" w:rsidRDefault="004400BC" w:rsidP="000F569A">
            <w:pPr>
              <w:tabs>
                <w:tab w:val="left" w:pos="-2268"/>
              </w:tabs>
              <w:suppressAutoHyphens/>
              <w:jc w:val="center"/>
              <w:rPr>
                <w:rFonts w:cs="Arial"/>
                <w:b/>
                <w:bCs/>
                <w:spacing w:val="-3"/>
                <w:sz w:val="22"/>
              </w:rPr>
            </w:pPr>
            <w:r w:rsidRPr="00BD1319">
              <w:rPr>
                <w:rFonts w:cs="Arial"/>
                <w:b/>
                <w:bCs/>
                <w:spacing w:val="-3"/>
                <w:sz w:val="22"/>
              </w:rPr>
              <w:t>Alta</w:t>
            </w:r>
          </w:p>
        </w:tc>
        <w:tc>
          <w:tcPr>
            <w:tcW w:w="1240" w:type="dxa"/>
            <w:tcBorders>
              <w:bottom w:val="single" w:sz="4" w:space="0" w:color="auto"/>
            </w:tcBorders>
            <w:shd w:val="clear" w:color="auto" w:fill="auto"/>
            <w:vAlign w:val="center"/>
            <w:hideMark/>
          </w:tcPr>
          <w:p w14:paraId="11B46B4B" w14:textId="77777777" w:rsidR="004400BC" w:rsidRPr="00BD1319" w:rsidRDefault="004400BC" w:rsidP="000F569A">
            <w:pPr>
              <w:tabs>
                <w:tab w:val="left" w:pos="-2268"/>
              </w:tabs>
              <w:suppressAutoHyphens/>
              <w:jc w:val="center"/>
              <w:rPr>
                <w:rFonts w:cs="Arial"/>
                <w:b/>
                <w:bCs/>
                <w:spacing w:val="-3"/>
                <w:sz w:val="22"/>
              </w:rPr>
            </w:pPr>
            <w:r w:rsidRPr="00BD1319">
              <w:rPr>
                <w:rFonts w:cs="Arial"/>
                <w:b/>
                <w:bCs/>
                <w:spacing w:val="-3"/>
                <w:sz w:val="22"/>
              </w:rPr>
              <w:t>Muy Alta</w:t>
            </w:r>
          </w:p>
        </w:tc>
      </w:tr>
      <w:tr w:rsidR="004400BC" w:rsidRPr="00BD1319" w14:paraId="4B50196E" w14:textId="77777777" w:rsidTr="009420F5">
        <w:trPr>
          <w:trHeight w:val="360"/>
          <w:jc w:val="center"/>
        </w:trPr>
        <w:tc>
          <w:tcPr>
            <w:tcW w:w="2551" w:type="dxa"/>
            <w:noWrap/>
            <w:vAlign w:val="center"/>
            <w:hideMark/>
          </w:tcPr>
          <w:p w14:paraId="6FA8D7CC" w14:textId="77777777" w:rsidR="004400BC" w:rsidRPr="00BD1319" w:rsidRDefault="004400BC" w:rsidP="000F569A">
            <w:pPr>
              <w:tabs>
                <w:tab w:val="left" w:pos="-2268"/>
              </w:tabs>
              <w:suppressAutoHyphens/>
              <w:jc w:val="center"/>
              <w:rPr>
                <w:rFonts w:cs="Arial"/>
                <w:b/>
                <w:bCs/>
                <w:spacing w:val="-3"/>
                <w:sz w:val="22"/>
              </w:rPr>
            </w:pPr>
            <w:r w:rsidRPr="00BD1319">
              <w:rPr>
                <w:rFonts w:cs="Arial"/>
                <w:b/>
                <w:bCs/>
                <w:spacing w:val="-3"/>
                <w:sz w:val="22"/>
              </w:rPr>
              <w:t>Bajo</w:t>
            </w:r>
          </w:p>
        </w:tc>
        <w:tc>
          <w:tcPr>
            <w:tcW w:w="1239" w:type="dxa"/>
            <w:shd w:val="clear" w:color="auto" w:fill="92D050"/>
            <w:noWrap/>
            <w:vAlign w:val="center"/>
          </w:tcPr>
          <w:p w14:paraId="3B6BAAFD" w14:textId="77777777" w:rsidR="004400BC" w:rsidRPr="00BD1319" w:rsidRDefault="004400BC" w:rsidP="000F569A">
            <w:pPr>
              <w:tabs>
                <w:tab w:val="left" w:pos="-2268"/>
              </w:tabs>
              <w:suppressAutoHyphens/>
              <w:jc w:val="center"/>
              <w:rPr>
                <w:rFonts w:cs="Arial"/>
                <w:spacing w:val="-3"/>
                <w:sz w:val="22"/>
              </w:rPr>
            </w:pPr>
            <w:r w:rsidRPr="00BD1319">
              <w:rPr>
                <w:rFonts w:cs="Arial"/>
                <w:spacing w:val="-3"/>
                <w:sz w:val="22"/>
              </w:rPr>
              <w:t>AI</w:t>
            </w:r>
          </w:p>
        </w:tc>
        <w:tc>
          <w:tcPr>
            <w:tcW w:w="1240" w:type="dxa"/>
            <w:shd w:val="clear" w:color="auto" w:fill="92D050"/>
            <w:noWrap/>
            <w:vAlign w:val="center"/>
          </w:tcPr>
          <w:p w14:paraId="2C8B8BBF" w14:textId="77777777" w:rsidR="004400BC" w:rsidRPr="00BD1319" w:rsidRDefault="004400BC" w:rsidP="000F569A">
            <w:pPr>
              <w:tabs>
                <w:tab w:val="left" w:pos="-2268"/>
              </w:tabs>
              <w:suppressAutoHyphens/>
              <w:jc w:val="center"/>
              <w:rPr>
                <w:rFonts w:cs="Arial"/>
                <w:spacing w:val="-3"/>
                <w:sz w:val="22"/>
              </w:rPr>
            </w:pPr>
            <w:r w:rsidRPr="00BD1319">
              <w:rPr>
                <w:rFonts w:cs="Arial"/>
                <w:spacing w:val="-3"/>
                <w:sz w:val="22"/>
              </w:rPr>
              <w:t>AI</w:t>
            </w:r>
          </w:p>
        </w:tc>
        <w:tc>
          <w:tcPr>
            <w:tcW w:w="1240" w:type="dxa"/>
            <w:tcBorders>
              <w:bottom w:val="single" w:sz="4" w:space="0" w:color="auto"/>
            </w:tcBorders>
            <w:shd w:val="clear" w:color="auto" w:fill="92D050"/>
            <w:noWrap/>
            <w:vAlign w:val="center"/>
          </w:tcPr>
          <w:p w14:paraId="007CDE14" w14:textId="77777777" w:rsidR="004400BC" w:rsidRPr="00BD1319" w:rsidRDefault="004400BC" w:rsidP="000F569A">
            <w:pPr>
              <w:tabs>
                <w:tab w:val="left" w:pos="-2268"/>
              </w:tabs>
              <w:suppressAutoHyphens/>
              <w:jc w:val="center"/>
              <w:rPr>
                <w:rFonts w:cs="Arial"/>
                <w:spacing w:val="-3"/>
                <w:sz w:val="22"/>
              </w:rPr>
            </w:pPr>
            <w:r w:rsidRPr="00BD1319">
              <w:rPr>
                <w:rFonts w:cs="Arial"/>
                <w:spacing w:val="-3"/>
                <w:sz w:val="22"/>
              </w:rPr>
              <w:t>AI</w:t>
            </w:r>
          </w:p>
        </w:tc>
        <w:tc>
          <w:tcPr>
            <w:tcW w:w="1240" w:type="dxa"/>
            <w:shd w:val="clear" w:color="auto" w:fill="FFFF00"/>
            <w:noWrap/>
            <w:vAlign w:val="center"/>
          </w:tcPr>
          <w:p w14:paraId="516067E0" w14:textId="77777777" w:rsidR="004400BC" w:rsidRPr="00BD1319" w:rsidRDefault="004400BC" w:rsidP="000F569A">
            <w:pPr>
              <w:tabs>
                <w:tab w:val="left" w:pos="-2268"/>
              </w:tabs>
              <w:suppressAutoHyphens/>
              <w:jc w:val="center"/>
              <w:rPr>
                <w:rFonts w:cs="Arial"/>
                <w:spacing w:val="-3"/>
                <w:sz w:val="22"/>
              </w:rPr>
            </w:pPr>
            <w:r w:rsidRPr="00BD1319">
              <w:rPr>
                <w:rFonts w:cs="Arial"/>
                <w:spacing w:val="-3"/>
                <w:sz w:val="22"/>
              </w:rPr>
              <w:t>AIR</w:t>
            </w:r>
          </w:p>
        </w:tc>
        <w:tc>
          <w:tcPr>
            <w:tcW w:w="1240" w:type="dxa"/>
            <w:shd w:val="clear" w:color="auto" w:fill="FFFF00"/>
            <w:noWrap/>
            <w:vAlign w:val="center"/>
          </w:tcPr>
          <w:p w14:paraId="7A7DE892" w14:textId="77777777" w:rsidR="004400BC" w:rsidRPr="00BD1319" w:rsidRDefault="004400BC" w:rsidP="000F569A">
            <w:pPr>
              <w:tabs>
                <w:tab w:val="left" w:pos="-2268"/>
              </w:tabs>
              <w:suppressAutoHyphens/>
              <w:jc w:val="center"/>
              <w:rPr>
                <w:rFonts w:cs="Arial"/>
                <w:spacing w:val="-3"/>
                <w:sz w:val="22"/>
              </w:rPr>
            </w:pPr>
            <w:r w:rsidRPr="00BD1319">
              <w:rPr>
                <w:rFonts w:cs="Arial"/>
                <w:spacing w:val="-3"/>
                <w:sz w:val="22"/>
              </w:rPr>
              <w:t>AIR</w:t>
            </w:r>
          </w:p>
        </w:tc>
      </w:tr>
      <w:tr w:rsidR="009420F5" w:rsidRPr="00BD1319" w14:paraId="73550A96" w14:textId="77777777" w:rsidTr="009420F5">
        <w:trPr>
          <w:trHeight w:val="360"/>
          <w:jc w:val="center"/>
        </w:trPr>
        <w:tc>
          <w:tcPr>
            <w:tcW w:w="2551" w:type="dxa"/>
            <w:noWrap/>
            <w:vAlign w:val="center"/>
            <w:hideMark/>
          </w:tcPr>
          <w:p w14:paraId="5AEC7C7B" w14:textId="77777777" w:rsidR="004400BC" w:rsidRPr="00BD1319" w:rsidRDefault="004400BC" w:rsidP="000F569A">
            <w:pPr>
              <w:tabs>
                <w:tab w:val="left" w:pos="-2268"/>
              </w:tabs>
              <w:suppressAutoHyphens/>
              <w:jc w:val="center"/>
              <w:rPr>
                <w:rFonts w:cs="Arial"/>
                <w:b/>
                <w:bCs/>
                <w:spacing w:val="-3"/>
                <w:sz w:val="22"/>
              </w:rPr>
            </w:pPr>
            <w:r w:rsidRPr="00BD1319">
              <w:rPr>
                <w:rFonts w:cs="Arial"/>
                <w:b/>
                <w:bCs/>
                <w:spacing w:val="-3"/>
                <w:sz w:val="22"/>
              </w:rPr>
              <w:t>Medio</w:t>
            </w:r>
          </w:p>
        </w:tc>
        <w:tc>
          <w:tcPr>
            <w:tcW w:w="1239" w:type="dxa"/>
            <w:tcBorders>
              <w:bottom w:val="single" w:sz="4" w:space="0" w:color="auto"/>
            </w:tcBorders>
            <w:shd w:val="clear" w:color="auto" w:fill="92D050"/>
            <w:noWrap/>
            <w:vAlign w:val="center"/>
          </w:tcPr>
          <w:p w14:paraId="3D706DA0" w14:textId="77777777" w:rsidR="004400BC" w:rsidRPr="00BD1319" w:rsidRDefault="004400BC" w:rsidP="000F569A">
            <w:pPr>
              <w:tabs>
                <w:tab w:val="left" w:pos="-2268"/>
              </w:tabs>
              <w:suppressAutoHyphens/>
              <w:jc w:val="center"/>
              <w:rPr>
                <w:rFonts w:cs="Arial"/>
                <w:spacing w:val="-3"/>
                <w:sz w:val="22"/>
              </w:rPr>
            </w:pPr>
            <w:r w:rsidRPr="00BD1319">
              <w:rPr>
                <w:rFonts w:cs="Arial"/>
                <w:spacing w:val="-3"/>
                <w:sz w:val="22"/>
              </w:rPr>
              <w:t>AI</w:t>
            </w:r>
          </w:p>
        </w:tc>
        <w:tc>
          <w:tcPr>
            <w:tcW w:w="1240" w:type="dxa"/>
            <w:tcBorders>
              <w:bottom w:val="single" w:sz="4" w:space="0" w:color="auto"/>
            </w:tcBorders>
            <w:shd w:val="clear" w:color="auto" w:fill="92D050"/>
            <w:noWrap/>
            <w:vAlign w:val="center"/>
          </w:tcPr>
          <w:p w14:paraId="1D2A5F08" w14:textId="77777777" w:rsidR="004400BC" w:rsidRPr="00BD1319" w:rsidRDefault="004400BC" w:rsidP="000F569A">
            <w:pPr>
              <w:tabs>
                <w:tab w:val="left" w:pos="-2268"/>
              </w:tabs>
              <w:suppressAutoHyphens/>
              <w:jc w:val="center"/>
              <w:rPr>
                <w:rFonts w:cs="Arial"/>
                <w:spacing w:val="-3"/>
                <w:sz w:val="22"/>
              </w:rPr>
            </w:pPr>
            <w:r w:rsidRPr="00BD1319">
              <w:rPr>
                <w:rFonts w:cs="Arial"/>
                <w:spacing w:val="-3"/>
                <w:sz w:val="22"/>
              </w:rPr>
              <w:t>AI</w:t>
            </w:r>
          </w:p>
        </w:tc>
        <w:tc>
          <w:tcPr>
            <w:tcW w:w="1240" w:type="dxa"/>
            <w:shd w:val="clear" w:color="auto" w:fill="FFFF00"/>
            <w:noWrap/>
            <w:vAlign w:val="center"/>
          </w:tcPr>
          <w:p w14:paraId="7D8C6974" w14:textId="77777777" w:rsidR="004400BC" w:rsidRPr="00BD1319" w:rsidRDefault="004400BC" w:rsidP="000F569A">
            <w:pPr>
              <w:tabs>
                <w:tab w:val="left" w:pos="-2268"/>
              </w:tabs>
              <w:suppressAutoHyphens/>
              <w:jc w:val="center"/>
              <w:rPr>
                <w:rFonts w:cs="Arial"/>
                <w:spacing w:val="-3"/>
                <w:sz w:val="22"/>
              </w:rPr>
            </w:pPr>
            <w:r w:rsidRPr="00BD1319">
              <w:rPr>
                <w:rFonts w:cs="Arial"/>
                <w:spacing w:val="-3"/>
                <w:sz w:val="22"/>
              </w:rPr>
              <w:t>AIR</w:t>
            </w:r>
          </w:p>
        </w:tc>
        <w:tc>
          <w:tcPr>
            <w:tcW w:w="1240" w:type="dxa"/>
            <w:tcBorders>
              <w:bottom w:val="single" w:sz="4" w:space="0" w:color="auto"/>
            </w:tcBorders>
            <w:shd w:val="clear" w:color="auto" w:fill="FFFF00"/>
            <w:noWrap/>
            <w:vAlign w:val="center"/>
          </w:tcPr>
          <w:p w14:paraId="0EB68626" w14:textId="77777777" w:rsidR="004400BC" w:rsidRPr="00BD1319" w:rsidRDefault="004400BC" w:rsidP="000F569A">
            <w:pPr>
              <w:tabs>
                <w:tab w:val="left" w:pos="-2268"/>
              </w:tabs>
              <w:suppressAutoHyphens/>
              <w:jc w:val="center"/>
              <w:rPr>
                <w:rFonts w:cs="Arial"/>
                <w:spacing w:val="-3"/>
                <w:sz w:val="22"/>
              </w:rPr>
            </w:pPr>
            <w:r w:rsidRPr="00BD1319">
              <w:rPr>
                <w:rFonts w:cs="Arial"/>
                <w:spacing w:val="-3"/>
                <w:sz w:val="22"/>
              </w:rPr>
              <w:t>AIR</w:t>
            </w:r>
          </w:p>
        </w:tc>
        <w:tc>
          <w:tcPr>
            <w:tcW w:w="1240" w:type="dxa"/>
            <w:tcBorders>
              <w:bottom w:val="single" w:sz="4" w:space="0" w:color="auto"/>
            </w:tcBorders>
            <w:shd w:val="clear" w:color="auto" w:fill="FFFF00"/>
            <w:noWrap/>
            <w:vAlign w:val="center"/>
          </w:tcPr>
          <w:p w14:paraId="0B450ECA" w14:textId="77777777" w:rsidR="004400BC" w:rsidRPr="00BD1319" w:rsidRDefault="004400BC" w:rsidP="000F569A">
            <w:pPr>
              <w:tabs>
                <w:tab w:val="left" w:pos="-2268"/>
              </w:tabs>
              <w:suppressAutoHyphens/>
              <w:jc w:val="center"/>
              <w:rPr>
                <w:rFonts w:cs="Arial"/>
                <w:spacing w:val="-3"/>
                <w:sz w:val="22"/>
              </w:rPr>
            </w:pPr>
            <w:r w:rsidRPr="00BD1319">
              <w:rPr>
                <w:rFonts w:cs="Arial"/>
                <w:spacing w:val="-3"/>
                <w:sz w:val="22"/>
              </w:rPr>
              <w:t>AIR</w:t>
            </w:r>
          </w:p>
        </w:tc>
      </w:tr>
      <w:tr w:rsidR="009420F5" w:rsidRPr="00BD1319" w14:paraId="4B690BD1" w14:textId="77777777" w:rsidTr="009420F5">
        <w:trPr>
          <w:trHeight w:val="360"/>
          <w:jc w:val="center"/>
        </w:trPr>
        <w:tc>
          <w:tcPr>
            <w:tcW w:w="2551" w:type="dxa"/>
            <w:noWrap/>
            <w:vAlign w:val="center"/>
            <w:hideMark/>
          </w:tcPr>
          <w:p w14:paraId="208406F8" w14:textId="77777777" w:rsidR="004400BC" w:rsidRPr="00BD1319" w:rsidRDefault="004400BC" w:rsidP="000F569A">
            <w:pPr>
              <w:tabs>
                <w:tab w:val="left" w:pos="-2268"/>
              </w:tabs>
              <w:suppressAutoHyphens/>
              <w:jc w:val="center"/>
              <w:rPr>
                <w:rFonts w:cs="Arial"/>
                <w:b/>
                <w:bCs/>
                <w:spacing w:val="-3"/>
                <w:sz w:val="22"/>
              </w:rPr>
            </w:pPr>
            <w:r w:rsidRPr="00BD1319">
              <w:rPr>
                <w:rFonts w:cs="Arial"/>
                <w:b/>
                <w:bCs/>
                <w:spacing w:val="-3"/>
                <w:sz w:val="22"/>
              </w:rPr>
              <w:t>Alto</w:t>
            </w:r>
          </w:p>
        </w:tc>
        <w:tc>
          <w:tcPr>
            <w:tcW w:w="1239" w:type="dxa"/>
            <w:tcBorders>
              <w:bottom w:val="single" w:sz="4" w:space="0" w:color="auto"/>
            </w:tcBorders>
            <w:shd w:val="clear" w:color="auto" w:fill="92D050"/>
            <w:noWrap/>
            <w:vAlign w:val="center"/>
          </w:tcPr>
          <w:p w14:paraId="040C0FEB" w14:textId="77777777" w:rsidR="004400BC" w:rsidRPr="00BD1319" w:rsidRDefault="004400BC" w:rsidP="000F569A">
            <w:pPr>
              <w:tabs>
                <w:tab w:val="left" w:pos="-2268"/>
              </w:tabs>
              <w:suppressAutoHyphens/>
              <w:jc w:val="center"/>
              <w:rPr>
                <w:rFonts w:cs="Arial"/>
                <w:spacing w:val="-3"/>
                <w:sz w:val="22"/>
              </w:rPr>
            </w:pPr>
            <w:r w:rsidRPr="00BD1319">
              <w:rPr>
                <w:rFonts w:cs="Arial"/>
                <w:spacing w:val="-3"/>
                <w:sz w:val="22"/>
              </w:rPr>
              <w:t>AI</w:t>
            </w:r>
          </w:p>
        </w:tc>
        <w:tc>
          <w:tcPr>
            <w:tcW w:w="1240" w:type="dxa"/>
            <w:tcBorders>
              <w:bottom w:val="single" w:sz="4" w:space="0" w:color="auto"/>
            </w:tcBorders>
            <w:shd w:val="clear" w:color="auto" w:fill="FFFF00"/>
            <w:noWrap/>
            <w:vAlign w:val="center"/>
          </w:tcPr>
          <w:p w14:paraId="5DCB6A35" w14:textId="77777777" w:rsidR="004400BC" w:rsidRPr="00BD1319" w:rsidRDefault="004400BC" w:rsidP="000F569A">
            <w:pPr>
              <w:tabs>
                <w:tab w:val="left" w:pos="-2268"/>
              </w:tabs>
              <w:suppressAutoHyphens/>
              <w:jc w:val="center"/>
              <w:rPr>
                <w:rFonts w:cs="Arial"/>
                <w:spacing w:val="-3"/>
                <w:sz w:val="22"/>
              </w:rPr>
            </w:pPr>
            <w:r w:rsidRPr="00BD1319">
              <w:rPr>
                <w:rFonts w:cs="Arial"/>
                <w:spacing w:val="-3"/>
                <w:sz w:val="22"/>
              </w:rPr>
              <w:t>AIR</w:t>
            </w:r>
          </w:p>
        </w:tc>
        <w:tc>
          <w:tcPr>
            <w:tcW w:w="1240" w:type="dxa"/>
            <w:shd w:val="clear" w:color="auto" w:fill="FFFF00"/>
            <w:noWrap/>
            <w:vAlign w:val="center"/>
          </w:tcPr>
          <w:p w14:paraId="5FB66A2A" w14:textId="77777777" w:rsidR="004400BC" w:rsidRPr="00BD1319" w:rsidRDefault="004400BC" w:rsidP="000F569A">
            <w:pPr>
              <w:tabs>
                <w:tab w:val="left" w:pos="-2268"/>
              </w:tabs>
              <w:suppressAutoHyphens/>
              <w:jc w:val="center"/>
              <w:rPr>
                <w:rFonts w:cs="Arial"/>
                <w:spacing w:val="-3"/>
                <w:sz w:val="22"/>
              </w:rPr>
            </w:pPr>
            <w:r w:rsidRPr="00BD1319">
              <w:rPr>
                <w:rFonts w:cs="Arial"/>
                <w:spacing w:val="-3"/>
                <w:sz w:val="22"/>
              </w:rPr>
              <w:t>AIR</w:t>
            </w:r>
          </w:p>
        </w:tc>
        <w:tc>
          <w:tcPr>
            <w:tcW w:w="1240" w:type="dxa"/>
            <w:tcBorders>
              <w:bottom w:val="single" w:sz="4" w:space="0" w:color="auto"/>
            </w:tcBorders>
            <w:shd w:val="clear" w:color="auto" w:fill="FFFF00"/>
            <w:noWrap/>
            <w:vAlign w:val="center"/>
          </w:tcPr>
          <w:p w14:paraId="7413B136" w14:textId="77777777" w:rsidR="004400BC" w:rsidRPr="00BD1319" w:rsidRDefault="004400BC" w:rsidP="000F569A">
            <w:pPr>
              <w:tabs>
                <w:tab w:val="left" w:pos="-2268"/>
              </w:tabs>
              <w:suppressAutoHyphens/>
              <w:jc w:val="center"/>
              <w:rPr>
                <w:rFonts w:cs="Arial"/>
                <w:spacing w:val="-3"/>
                <w:sz w:val="22"/>
              </w:rPr>
            </w:pPr>
            <w:r w:rsidRPr="00BD1319">
              <w:rPr>
                <w:rFonts w:cs="Arial"/>
                <w:spacing w:val="-3"/>
                <w:sz w:val="22"/>
              </w:rPr>
              <w:t>AIR</w:t>
            </w:r>
          </w:p>
        </w:tc>
        <w:tc>
          <w:tcPr>
            <w:tcW w:w="1240" w:type="dxa"/>
            <w:tcBorders>
              <w:bottom w:val="single" w:sz="4" w:space="0" w:color="auto"/>
            </w:tcBorders>
            <w:shd w:val="clear" w:color="auto" w:fill="FF0000"/>
            <w:noWrap/>
            <w:vAlign w:val="center"/>
          </w:tcPr>
          <w:p w14:paraId="32824A4C" w14:textId="77777777" w:rsidR="004400BC" w:rsidRPr="00BD1319" w:rsidRDefault="004400BC" w:rsidP="000F569A">
            <w:pPr>
              <w:tabs>
                <w:tab w:val="left" w:pos="-2268"/>
              </w:tabs>
              <w:suppressAutoHyphens/>
              <w:jc w:val="center"/>
              <w:rPr>
                <w:rFonts w:cs="Arial"/>
                <w:spacing w:val="-3"/>
                <w:sz w:val="22"/>
              </w:rPr>
            </w:pPr>
            <w:r w:rsidRPr="00BD1319">
              <w:rPr>
                <w:rFonts w:cs="Arial"/>
                <w:spacing w:val="-3"/>
                <w:sz w:val="22"/>
              </w:rPr>
              <w:t>AE</w:t>
            </w:r>
          </w:p>
        </w:tc>
      </w:tr>
      <w:tr w:rsidR="004400BC" w:rsidRPr="00BD1319" w14:paraId="34CE8E42" w14:textId="77777777" w:rsidTr="009420F5">
        <w:trPr>
          <w:trHeight w:val="360"/>
          <w:jc w:val="center"/>
        </w:trPr>
        <w:tc>
          <w:tcPr>
            <w:tcW w:w="2551" w:type="dxa"/>
            <w:noWrap/>
            <w:vAlign w:val="center"/>
            <w:hideMark/>
          </w:tcPr>
          <w:p w14:paraId="17F73256" w14:textId="77777777" w:rsidR="004400BC" w:rsidRPr="00BD1319" w:rsidRDefault="004400BC" w:rsidP="000F569A">
            <w:pPr>
              <w:tabs>
                <w:tab w:val="left" w:pos="-2268"/>
              </w:tabs>
              <w:suppressAutoHyphens/>
              <w:jc w:val="center"/>
              <w:rPr>
                <w:rFonts w:cs="Arial"/>
                <w:b/>
                <w:bCs/>
                <w:spacing w:val="-3"/>
                <w:sz w:val="22"/>
              </w:rPr>
            </w:pPr>
            <w:r w:rsidRPr="00BD1319">
              <w:rPr>
                <w:rFonts w:cs="Arial"/>
                <w:b/>
                <w:bCs/>
                <w:spacing w:val="-3"/>
                <w:sz w:val="22"/>
              </w:rPr>
              <w:lastRenderedPageBreak/>
              <w:t>Muy alto</w:t>
            </w:r>
          </w:p>
        </w:tc>
        <w:tc>
          <w:tcPr>
            <w:tcW w:w="1239" w:type="dxa"/>
            <w:shd w:val="clear" w:color="auto" w:fill="FFFF00"/>
            <w:noWrap/>
            <w:vAlign w:val="center"/>
          </w:tcPr>
          <w:p w14:paraId="0152C5D1" w14:textId="77777777" w:rsidR="004400BC" w:rsidRPr="00BD1319" w:rsidRDefault="004400BC" w:rsidP="000F569A">
            <w:pPr>
              <w:tabs>
                <w:tab w:val="left" w:pos="-2268"/>
              </w:tabs>
              <w:suppressAutoHyphens/>
              <w:jc w:val="center"/>
              <w:rPr>
                <w:rFonts w:cs="Arial"/>
                <w:spacing w:val="-3"/>
                <w:sz w:val="22"/>
              </w:rPr>
            </w:pPr>
            <w:r w:rsidRPr="00BD1319">
              <w:rPr>
                <w:rFonts w:cs="Arial"/>
                <w:spacing w:val="-3"/>
                <w:sz w:val="22"/>
              </w:rPr>
              <w:t>AIR</w:t>
            </w:r>
          </w:p>
        </w:tc>
        <w:tc>
          <w:tcPr>
            <w:tcW w:w="1240" w:type="dxa"/>
            <w:shd w:val="clear" w:color="auto" w:fill="FFFF00"/>
            <w:noWrap/>
            <w:vAlign w:val="center"/>
          </w:tcPr>
          <w:p w14:paraId="5F7B9BB8" w14:textId="77777777" w:rsidR="004400BC" w:rsidRPr="00BD1319" w:rsidRDefault="004400BC" w:rsidP="000F569A">
            <w:pPr>
              <w:tabs>
                <w:tab w:val="left" w:pos="-2268"/>
              </w:tabs>
              <w:suppressAutoHyphens/>
              <w:jc w:val="center"/>
              <w:rPr>
                <w:rFonts w:cs="Arial"/>
                <w:spacing w:val="-3"/>
                <w:sz w:val="22"/>
              </w:rPr>
            </w:pPr>
            <w:r w:rsidRPr="00BD1319">
              <w:rPr>
                <w:rFonts w:cs="Arial"/>
                <w:spacing w:val="-3"/>
                <w:sz w:val="22"/>
              </w:rPr>
              <w:t>AIR</w:t>
            </w:r>
          </w:p>
        </w:tc>
        <w:tc>
          <w:tcPr>
            <w:tcW w:w="1240" w:type="dxa"/>
            <w:shd w:val="clear" w:color="auto" w:fill="FFFF00"/>
            <w:noWrap/>
            <w:vAlign w:val="center"/>
          </w:tcPr>
          <w:p w14:paraId="2411D5E9" w14:textId="77777777" w:rsidR="004400BC" w:rsidRPr="00BD1319" w:rsidRDefault="004400BC" w:rsidP="000F569A">
            <w:pPr>
              <w:tabs>
                <w:tab w:val="left" w:pos="-2268"/>
              </w:tabs>
              <w:suppressAutoHyphens/>
              <w:jc w:val="center"/>
              <w:rPr>
                <w:rFonts w:cs="Arial"/>
                <w:spacing w:val="-3"/>
                <w:sz w:val="22"/>
              </w:rPr>
            </w:pPr>
            <w:r w:rsidRPr="00BD1319">
              <w:rPr>
                <w:rFonts w:cs="Arial"/>
                <w:spacing w:val="-3"/>
                <w:sz w:val="22"/>
              </w:rPr>
              <w:t>AIR</w:t>
            </w:r>
          </w:p>
        </w:tc>
        <w:tc>
          <w:tcPr>
            <w:tcW w:w="1240" w:type="dxa"/>
            <w:shd w:val="clear" w:color="auto" w:fill="FF0000"/>
            <w:noWrap/>
            <w:vAlign w:val="center"/>
          </w:tcPr>
          <w:p w14:paraId="5B481872" w14:textId="77777777" w:rsidR="004400BC" w:rsidRPr="00BD1319" w:rsidRDefault="004400BC" w:rsidP="000F569A">
            <w:pPr>
              <w:tabs>
                <w:tab w:val="left" w:pos="-2268"/>
              </w:tabs>
              <w:suppressAutoHyphens/>
              <w:jc w:val="center"/>
              <w:rPr>
                <w:rFonts w:cs="Arial"/>
                <w:spacing w:val="-3"/>
                <w:sz w:val="22"/>
              </w:rPr>
            </w:pPr>
            <w:r w:rsidRPr="00BD1319">
              <w:rPr>
                <w:rFonts w:cs="Arial"/>
                <w:spacing w:val="-3"/>
                <w:sz w:val="22"/>
              </w:rPr>
              <w:t>AE</w:t>
            </w:r>
          </w:p>
        </w:tc>
        <w:tc>
          <w:tcPr>
            <w:tcW w:w="1240" w:type="dxa"/>
            <w:shd w:val="clear" w:color="auto" w:fill="FF0000"/>
            <w:noWrap/>
            <w:vAlign w:val="center"/>
          </w:tcPr>
          <w:p w14:paraId="77DEAE38" w14:textId="77777777" w:rsidR="004400BC" w:rsidRPr="00BD1319" w:rsidRDefault="004400BC" w:rsidP="000F569A">
            <w:pPr>
              <w:tabs>
                <w:tab w:val="left" w:pos="-2268"/>
              </w:tabs>
              <w:suppressAutoHyphens/>
              <w:jc w:val="center"/>
              <w:rPr>
                <w:rFonts w:cs="Arial"/>
                <w:spacing w:val="-3"/>
                <w:sz w:val="22"/>
              </w:rPr>
            </w:pPr>
            <w:r w:rsidRPr="00BD1319">
              <w:rPr>
                <w:rFonts w:cs="Arial"/>
                <w:spacing w:val="-3"/>
                <w:sz w:val="22"/>
              </w:rPr>
              <w:t>AE</w:t>
            </w:r>
          </w:p>
        </w:tc>
      </w:tr>
    </w:tbl>
    <w:p w14:paraId="7D0FCB41" w14:textId="77777777" w:rsidR="00695AC9" w:rsidRPr="00BD1319" w:rsidRDefault="00695AC9" w:rsidP="009420F5">
      <w:pPr>
        <w:tabs>
          <w:tab w:val="left" w:pos="-2268"/>
        </w:tabs>
        <w:suppressAutoHyphens/>
        <w:rPr>
          <w:rFonts w:cs="Arial"/>
          <w:spacing w:val="-3"/>
        </w:rPr>
      </w:pPr>
    </w:p>
    <w:p w14:paraId="268CA7D8" w14:textId="458D8775" w:rsidR="00695AC9" w:rsidRPr="00BD1319" w:rsidRDefault="00CF72F7" w:rsidP="009420F5">
      <w:pPr>
        <w:pStyle w:val="Prrafodelista"/>
        <w:tabs>
          <w:tab w:val="left" w:pos="-2268"/>
        </w:tabs>
        <w:suppressAutoHyphens/>
        <w:ind w:left="567"/>
        <w:rPr>
          <w:rFonts w:cs="Arial"/>
          <w:spacing w:val="-3"/>
          <w:lang w:val="es-CO"/>
        </w:rPr>
      </w:pPr>
      <w:r w:rsidRPr="00BD1319">
        <w:rPr>
          <w:rFonts w:cs="Arial"/>
          <w:spacing w:val="-3"/>
          <w:lang w:val="es-CO"/>
        </w:rPr>
        <w:t xml:space="preserve">Es necesario que en el estudio ambiental se mencionen todas las interacciones entre el potencial normalizado de modificación y la sensibilidad ambiental que resulten del procedimiento, así como señalar para </w:t>
      </w:r>
      <w:r w:rsidR="00894541" w:rsidRPr="00BD1319">
        <w:rPr>
          <w:rFonts w:cs="Arial"/>
          <w:spacing w:val="-3"/>
          <w:lang w:val="es-CO"/>
        </w:rPr>
        <w:t xml:space="preserve">cada </w:t>
      </w:r>
      <w:r w:rsidRPr="00BD1319">
        <w:rPr>
          <w:rFonts w:cs="Arial"/>
          <w:spacing w:val="-3"/>
          <w:lang w:val="es-CO"/>
        </w:rPr>
        <w:t>categoría de manejo ambiental, qué tipo de actividades es posible desarrollar, cuáles de ell</w:t>
      </w:r>
      <w:r w:rsidR="00894541" w:rsidRPr="00BD1319">
        <w:rPr>
          <w:rFonts w:cs="Arial"/>
          <w:spacing w:val="-3"/>
          <w:lang w:val="es-CO"/>
        </w:rPr>
        <w:t>a</w:t>
      </w:r>
      <w:r w:rsidRPr="00BD1319">
        <w:rPr>
          <w:rFonts w:cs="Arial"/>
          <w:spacing w:val="-3"/>
          <w:lang w:val="es-CO"/>
        </w:rPr>
        <w:t>s pueden desarrollarse con restricciones y cuáles están prohibid</w:t>
      </w:r>
      <w:r w:rsidR="00894541" w:rsidRPr="00BD1319">
        <w:rPr>
          <w:rFonts w:cs="Arial"/>
          <w:spacing w:val="-3"/>
          <w:lang w:val="es-CO"/>
        </w:rPr>
        <w:t>a</w:t>
      </w:r>
      <w:r w:rsidRPr="00BD1319">
        <w:rPr>
          <w:rFonts w:cs="Arial"/>
          <w:spacing w:val="-3"/>
          <w:lang w:val="es-CO"/>
        </w:rPr>
        <w:t>s.</w:t>
      </w:r>
    </w:p>
    <w:p w14:paraId="2A38A069" w14:textId="34E05648" w:rsidR="00A41B29" w:rsidRPr="00BD1319" w:rsidRDefault="00A41B29" w:rsidP="009420F5"/>
    <w:p w14:paraId="318212A3" w14:textId="7430775A" w:rsidR="00551C9D" w:rsidRPr="00BD1319" w:rsidRDefault="00C72B2F" w:rsidP="007F1776">
      <w:pPr>
        <w:pStyle w:val="Prrafodelista"/>
        <w:numPr>
          <w:ilvl w:val="0"/>
          <w:numId w:val="5"/>
        </w:numPr>
        <w:tabs>
          <w:tab w:val="left" w:pos="-2268"/>
        </w:tabs>
        <w:suppressAutoHyphens/>
        <w:ind w:left="567" w:hanging="567"/>
        <w:rPr>
          <w:rFonts w:cs="Arial"/>
          <w:spacing w:val="-3"/>
          <w:lang w:val="es-CO"/>
        </w:rPr>
      </w:pPr>
      <w:r w:rsidRPr="00BD1319">
        <w:rPr>
          <w:rFonts w:cs="Arial"/>
          <w:spacing w:val="-3"/>
          <w:lang w:val="es-CO"/>
        </w:rPr>
        <w:t xml:space="preserve">Integrar la información resultante del proceso anterior, </w:t>
      </w:r>
      <w:r w:rsidR="00A41B29" w:rsidRPr="00BD1319">
        <w:rPr>
          <w:rFonts w:cs="Arial"/>
          <w:spacing w:val="-3"/>
          <w:lang w:val="es-CO"/>
        </w:rPr>
        <w:t>para generar mapas de zonificación de manejo ambiental de componente, de medios y del proyecto, obra o actividad (mapa final) siguiendo la regla de decisión establecida en</w:t>
      </w:r>
      <w:r w:rsidR="00B0608B" w:rsidRPr="00BD1319">
        <w:rPr>
          <w:rFonts w:cs="Arial"/>
          <w:spacing w:val="-3"/>
          <w:lang w:val="es-CO"/>
        </w:rPr>
        <w:t xml:space="preserve"> la </w:t>
      </w:r>
      <w:r w:rsidR="00917C1F" w:rsidRPr="00BD1319">
        <w:rPr>
          <w:rFonts w:cs="Arial"/>
          <w:spacing w:val="-3"/>
          <w:lang w:val="es-CO"/>
        </w:rPr>
        <w:fldChar w:fldCharType="begin"/>
      </w:r>
      <w:r w:rsidR="00917C1F" w:rsidRPr="00BD1319">
        <w:rPr>
          <w:rFonts w:cs="Arial"/>
          <w:spacing w:val="-3"/>
          <w:lang w:val="es-CO"/>
        </w:rPr>
        <w:instrText xml:space="preserve"> REF _Ref79220496 \h </w:instrText>
      </w:r>
      <w:r w:rsidRPr="00BD1319">
        <w:rPr>
          <w:rFonts w:cs="Arial"/>
          <w:spacing w:val="-3"/>
          <w:lang w:val="es-CO"/>
        </w:rPr>
        <w:instrText xml:space="preserve"> \* MERGEFORMAT </w:instrText>
      </w:r>
      <w:r w:rsidR="00917C1F" w:rsidRPr="00BD1319">
        <w:rPr>
          <w:rFonts w:cs="Arial"/>
          <w:spacing w:val="-3"/>
          <w:lang w:val="es-CO"/>
        </w:rPr>
      </w:r>
      <w:r w:rsidR="00917C1F" w:rsidRPr="00BD1319">
        <w:rPr>
          <w:rFonts w:cs="Arial"/>
          <w:spacing w:val="-3"/>
          <w:lang w:val="es-CO"/>
        </w:rPr>
        <w:fldChar w:fldCharType="separate"/>
      </w:r>
      <w:r w:rsidR="00296654" w:rsidRPr="00BD1319">
        <w:rPr>
          <w:rFonts w:cs="Arial"/>
          <w:spacing w:val="-3"/>
          <w:lang w:val="es-CO"/>
        </w:rPr>
        <w:t>Tabla 40</w:t>
      </w:r>
      <w:r w:rsidR="00917C1F" w:rsidRPr="00BD1319">
        <w:rPr>
          <w:rFonts w:cs="Arial"/>
          <w:spacing w:val="-3"/>
          <w:lang w:val="es-CO"/>
        </w:rPr>
        <w:fldChar w:fldCharType="end"/>
      </w:r>
      <w:r w:rsidR="009B04FC" w:rsidRPr="00BD1319">
        <w:rPr>
          <w:rFonts w:cs="Arial"/>
          <w:spacing w:val="-3"/>
          <w:lang w:val="es-CO"/>
        </w:rPr>
        <w:t>.</w:t>
      </w:r>
      <w:r w:rsidR="00917C1F" w:rsidRPr="00BD1319">
        <w:rPr>
          <w:rFonts w:cs="Arial"/>
          <w:spacing w:val="-3"/>
          <w:lang w:val="es-CO"/>
        </w:rPr>
        <w:t xml:space="preserve"> </w:t>
      </w:r>
      <w:r w:rsidRPr="00BD1319">
        <w:rPr>
          <w:rFonts w:cs="Arial"/>
          <w:spacing w:val="-3"/>
          <w:lang w:val="es-CO"/>
        </w:rPr>
        <w:t xml:space="preserve">Se debe </w:t>
      </w:r>
      <w:r w:rsidR="00BE734E" w:rsidRPr="00BD1319">
        <w:rPr>
          <w:rFonts w:cs="Arial"/>
          <w:spacing w:val="-3"/>
          <w:lang w:val="es-CO"/>
        </w:rPr>
        <w:t xml:space="preserve">presentar </w:t>
      </w:r>
      <w:r w:rsidR="00917C1F" w:rsidRPr="00BD1319">
        <w:rPr>
          <w:rFonts w:cs="Arial"/>
          <w:spacing w:val="-3"/>
          <w:lang w:val="es-CO"/>
        </w:rPr>
        <w:t xml:space="preserve">a la autoridad ambiental los mapas de manejo ambiental de los medios y del proyecto, obra o actividad de acuerdo con la </w:t>
      </w:r>
      <w:r w:rsidRPr="00BD1319">
        <w:rPr>
          <w:rFonts w:cs="Arial"/>
          <w:spacing w:val="-3"/>
          <w:lang w:val="es-CO"/>
        </w:rPr>
        <w:t>estructura definida por la Resolución 2182 de 2016 o aquella que la modifique o sustituya</w:t>
      </w:r>
      <w:r w:rsidR="00BE734E" w:rsidRPr="00BD1319">
        <w:rPr>
          <w:rFonts w:cs="Arial"/>
          <w:spacing w:val="-3"/>
          <w:lang w:val="es-CO"/>
        </w:rPr>
        <w:t>.</w:t>
      </w:r>
    </w:p>
    <w:p w14:paraId="4DF7FA57" w14:textId="77777777" w:rsidR="00505B95" w:rsidRPr="00BD1319" w:rsidRDefault="00505B95" w:rsidP="009420F5">
      <w:pPr>
        <w:tabs>
          <w:tab w:val="left" w:pos="-2268"/>
        </w:tabs>
        <w:suppressAutoHyphens/>
        <w:rPr>
          <w:spacing w:val="-3"/>
        </w:rPr>
      </w:pPr>
    </w:p>
    <w:p w14:paraId="15B24CD9" w14:textId="05199A2E" w:rsidR="004400BC" w:rsidRPr="00BD1319" w:rsidRDefault="004400BC" w:rsidP="009420F5">
      <w:pPr>
        <w:pStyle w:val="Descripcin"/>
        <w:keepNext/>
        <w:tabs>
          <w:tab w:val="left" w:pos="8222"/>
        </w:tabs>
        <w:ind w:left="1134" w:right="1185"/>
        <w:jc w:val="center"/>
        <w:rPr>
          <w:b w:val="0"/>
        </w:rPr>
      </w:pPr>
      <w:bookmarkStart w:id="11019" w:name="_Ref79220496"/>
      <w:r w:rsidRPr="00BD1319">
        <w:t xml:space="preserve">Tabla </w:t>
      </w:r>
      <w:fldSimple w:instr=" SEQ Tabla \* ARABIC ">
        <w:r w:rsidR="00296654" w:rsidRPr="00BD1319">
          <w:rPr>
            <w:noProof/>
          </w:rPr>
          <w:t>40</w:t>
        </w:r>
      </w:fldSimple>
      <w:bookmarkEnd w:id="11019"/>
      <w:r w:rsidRPr="00BD1319">
        <w:t xml:space="preserve">. </w:t>
      </w:r>
      <w:r w:rsidRPr="00BD1319">
        <w:rPr>
          <w:rFonts w:cs="Arial"/>
          <w:b w:val="0"/>
        </w:rPr>
        <w:t xml:space="preserve">Matriz de </w:t>
      </w:r>
      <w:r w:rsidR="003A3F96" w:rsidRPr="00BD1319">
        <w:rPr>
          <w:rFonts w:cs="Arial"/>
          <w:b w:val="0"/>
        </w:rPr>
        <w:t xml:space="preserve">zonificación </w:t>
      </w:r>
      <w:r w:rsidR="00B11257" w:rsidRPr="00BD1319">
        <w:rPr>
          <w:rFonts w:cs="Arial"/>
          <w:b w:val="0"/>
        </w:rPr>
        <w:t>de manejo ambiental</w:t>
      </w:r>
    </w:p>
    <w:tbl>
      <w:tblPr>
        <w:tblStyle w:val="Tablaconcuadrcula"/>
        <w:tblW w:w="0" w:type="auto"/>
        <w:jc w:val="center"/>
        <w:tblLayout w:type="fixed"/>
        <w:tblLook w:val="04A0" w:firstRow="1" w:lastRow="0" w:firstColumn="1" w:lastColumn="0" w:noHBand="0" w:noVBand="1"/>
      </w:tblPr>
      <w:tblGrid>
        <w:gridCol w:w="3268"/>
        <w:gridCol w:w="1276"/>
        <w:gridCol w:w="1276"/>
        <w:gridCol w:w="1276"/>
      </w:tblGrid>
      <w:tr w:rsidR="004400BC" w:rsidRPr="00BD1319" w14:paraId="5CBDD8E8" w14:textId="77777777" w:rsidTr="009420F5">
        <w:trPr>
          <w:jc w:val="center"/>
        </w:trPr>
        <w:tc>
          <w:tcPr>
            <w:tcW w:w="3268" w:type="dxa"/>
            <w:vMerge w:val="restart"/>
            <w:vAlign w:val="center"/>
          </w:tcPr>
          <w:p w14:paraId="743AE41D" w14:textId="77777777" w:rsidR="004400BC" w:rsidRPr="00BD1319" w:rsidRDefault="004400BC" w:rsidP="000F569A">
            <w:pPr>
              <w:suppressAutoHyphens/>
              <w:jc w:val="center"/>
              <w:rPr>
                <w:rFonts w:cs="Arial"/>
                <w:spacing w:val="-3"/>
              </w:rPr>
            </w:pPr>
            <w:r w:rsidRPr="00BD1319">
              <w:rPr>
                <w:rFonts w:cs="Arial"/>
                <w:b/>
                <w:bCs/>
                <w:spacing w:val="-3"/>
                <w:sz w:val="22"/>
              </w:rPr>
              <w:t>Zonificación de manejo ambiental intermedia</w:t>
            </w:r>
          </w:p>
        </w:tc>
        <w:tc>
          <w:tcPr>
            <w:tcW w:w="3828" w:type="dxa"/>
            <w:gridSpan w:val="3"/>
            <w:vAlign w:val="center"/>
          </w:tcPr>
          <w:p w14:paraId="124E3116" w14:textId="77777777" w:rsidR="004400BC" w:rsidRPr="00BD1319" w:rsidRDefault="004400BC" w:rsidP="000F569A">
            <w:pPr>
              <w:suppressAutoHyphens/>
              <w:jc w:val="center"/>
              <w:rPr>
                <w:rFonts w:cs="Arial"/>
                <w:spacing w:val="-3"/>
              </w:rPr>
            </w:pPr>
            <w:r w:rsidRPr="00BD1319">
              <w:rPr>
                <w:rFonts w:cs="Arial"/>
                <w:b/>
                <w:bCs/>
                <w:spacing w:val="-3"/>
                <w:sz w:val="22"/>
              </w:rPr>
              <w:t>Zonificación de manejo ambiental intermedia</w:t>
            </w:r>
          </w:p>
        </w:tc>
      </w:tr>
      <w:tr w:rsidR="004400BC" w:rsidRPr="00BD1319" w14:paraId="6D602C75" w14:textId="77777777" w:rsidTr="009420F5">
        <w:trPr>
          <w:jc w:val="center"/>
        </w:trPr>
        <w:tc>
          <w:tcPr>
            <w:tcW w:w="3268" w:type="dxa"/>
            <w:vMerge/>
            <w:vAlign w:val="center"/>
          </w:tcPr>
          <w:p w14:paraId="7A3713CB" w14:textId="77777777" w:rsidR="004400BC" w:rsidRPr="00BD1319" w:rsidRDefault="004400BC" w:rsidP="000F569A">
            <w:pPr>
              <w:suppressAutoHyphens/>
              <w:jc w:val="center"/>
              <w:rPr>
                <w:rFonts w:cs="Arial"/>
                <w:spacing w:val="-3"/>
              </w:rPr>
            </w:pPr>
          </w:p>
        </w:tc>
        <w:tc>
          <w:tcPr>
            <w:tcW w:w="1276" w:type="dxa"/>
            <w:tcBorders>
              <w:bottom w:val="single" w:sz="4" w:space="0" w:color="auto"/>
            </w:tcBorders>
            <w:vAlign w:val="center"/>
          </w:tcPr>
          <w:p w14:paraId="2DFF58F2" w14:textId="77777777" w:rsidR="004400BC" w:rsidRPr="00BD1319" w:rsidRDefault="004400BC" w:rsidP="000F569A">
            <w:pPr>
              <w:suppressAutoHyphens/>
              <w:jc w:val="center"/>
              <w:rPr>
                <w:rFonts w:cs="Arial"/>
                <w:spacing w:val="-3"/>
              </w:rPr>
            </w:pPr>
            <w:r w:rsidRPr="00BD1319">
              <w:rPr>
                <w:rFonts w:cs="Arial"/>
                <w:b/>
                <w:bCs/>
                <w:spacing w:val="-3"/>
                <w:sz w:val="22"/>
              </w:rPr>
              <w:t>AI</w:t>
            </w:r>
          </w:p>
        </w:tc>
        <w:tc>
          <w:tcPr>
            <w:tcW w:w="1276" w:type="dxa"/>
            <w:tcBorders>
              <w:bottom w:val="single" w:sz="4" w:space="0" w:color="auto"/>
            </w:tcBorders>
            <w:vAlign w:val="center"/>
          </w:tcPr>
          <w:p w14:paraId="3803FBAE" w14:textId="77777777" w:rsidR="004400BC" w:rsidRPr="00BD1319" w:rsidRDefault="004400BC" w:rsidP="000F569A">
            <w:pPr>
              <w:suppressAutoHyphens/>
              <w:jc w:val="center"/>
              <w:rPr>
                <w:rFonts w:cs="Arial"/>
                <w:spacing w:val="-3"/>
              </w:rPr>
            </w:pPr>
            <w:r w:rsidRPr="00BD1319">
              <w:rPr>
                <w:rFonts w:cs="Arial"/>
                <w:b/>
                <w:bCs/>
                <w:spacing w:val="-3"/>
                <w:sz w:val="22"/>
              </w:rPr>
              <w:t>AIR</w:t>
            </w:r>
          </w:p>
        </w:tc>
        <w:tc>
          <w:tcPr>
            <w:tcW w:w="1276" w:type="dxa"/>
            <w:tcBorders>
              <w:bottom w:val="single" w:sz="4" w:space="0" w:color="auto"/>
            </w:tcBorders>
            <w:vAlign w:val="center"/>
          </w:tcPr>
          <w:p w14:paraId="0BDB0BCB" w14:textId="77777777" w:rsidR="004400BC" w:rsidRPr="00BD1319" w:rsidRDefault="004400BC" w:rsidP="000F569A">
            <w:pPr>
              <w:suppressAutoHyphens/>
              <w:jc w:val="center"/>
              <w:rPr>
                <w:rFonts w:cs="Arial"/>
                <w:spacing w:val="-3"/>
              </w:rPr>
            </w:pPr>
            <w:r w:rsidRPr="00BD1319">
              <w:rPr>
                <w:rFonts w:cs="Arial"/>
                <w:b/>
                <w:bCs/>
                <w:spacing w:val="-3"/>
                <w:sz w:val="22"/>
              </w:rPr>
              <w:t>AE</w:t>
            </w:r>
          </w:p>
        </w:tc>
      </w:tr>
      <w:tr w:rsidR="004400BC" w:rsidRPr="00BD1319" w14:paraId="752D73FF" w14:textId="77777777" w:rsidTr="009420F5">
        <w:trPr>
          <w:jc w:val="center"/>
        </w:trPr>
        <w:tc>
          <w:tcPr>
            <w:tcW w:w="3268" w:type="dxa"/>
            <w:vAlign w:val="center"/>
          </w:tcPr>
          <w:p w14:paraId="1D9669CF" w14:textId="77777777" w:rsidR="004400BC" w:rsidRPr="00BD1319" w:rsidRDefault="004400BC" w:rsidP="000F569A">
            <w:pPr>
              <w:suppressAutoHyphens/>
              <w:jc w:val="center"/>
              <w:rPr>
                <w:rFonts w:cs="Arial"/>
                <w:spacing w:val="-3"/>
              </w:rPr>
            </w:pPr>
            <w:r w:rsidRPr="00BD1319">
              <w:rPr>
                <w:rFonts w:cs="Arial"/>
                <w:b/>
                <w:bCs/>
                <w:spacing w:val="-3"/>
                <w:sz w:val="22"/>
              </w:rPr>
              <w:t>AI</w:t>
            </w:r>
          </w:p>
        </w:tc>
        <w:tc>
          <w:tcPr>
            <w:tcW w:w="1276" w:type="dxa"/>
            <w:tcBorders>
              <w:bottom w:val="single" w:sz="4" w:space="0" w:color="auto"/>
            </w:tcBorders>
            <w:shd w:val="clear" w:color="auto" w:fill="92D050"/>
            <w:vAlign w:val="center"/>
          </w:tcPr>
          <w:p w14:paraId="2E65F3DB" w14:textId="77777777" w:rsidR="004400BC" w:rsidRPr="00BD1319" w:rsidRDefault="004400BC" w:rsidP="000F569A">
            <w:pPr>
              <w:suppressAutoHyphens/>
              <w:jc w:val="center"/>
              <w:rPr>
                <w:rFonts w:cs="Arial"/>
                <w:spacing w:val="-3"/>
              </w:rPr>
            </w:pPr>
            <w:r w:rsidRPr="00BD1319">
              <w:rPr>
                <w:rFonts w:cs="Arial"/>
                <w:spacing w:val="-3"/>
              </w:rPr>
              <w:t>AI</w:t>
            </w:r>
          </w:p>
        </w:tc>
        <w:tc>
          <w:tcPr>
            <w:tcW w:w="1276" w:type="dxa"/>
            <w:shd w:val="clear" w:color="auto" w:fill="FFFF00"/>
            <w:vAlign w:val="center"/>
          </w:tcPr>
          <w:p w14:paraId="1848E13E" w14:textId="77777777" w:rsidR="004400BC" w:rsidRPr="00BD1319" w:rsidRDefault="004400BC" w:rsidP="000F569A">
            <w:pPr>
              <w:suppressAutoHyphens/>
              <w:jc w:val="center"/>
              <w:rPr>
                <w:rFonts w:cs="Arial"/>
                <w:spacing w:val="-3"/>
              </w:rPr>
            </w:pPr>
            <w:r w:rsidRPr="00BD1319">
              <w:rPr>
                <w:rFonts w:cs="Arial"/>
                <w:spacing w:val="-3"/>
              </w:rPr>
              <w:t>AIR</w:t>
            </w:r>
          </w:p>
        </w:tc>
        <w:tc>
          <w:tcPr>
            <w:tcW w:w="1276" w:type="dxa"/>
            <w:shd w:val="clear" w:color="auto" w:fill="FFFF00"/>
            <w:vAlign w:val="center"/>
          </w:tcPr>
          <w:p w14:paraId="3EF5C258" w14:textId="77777777" w:rsidR="004400BC" w:rsidRPr="00BD1319" w:rsidRDefault="004400BC" w:rsidP="000F569A">
            <w:pPr>
              <w:suppressAutoHyphens/>
              <w:jc w:val="center"/>
              <w:rPr>
                <w:rFonts w:cs="Arial"/>
                <w:spacing w:val="-3"/>
              </w:rPr>
            </w:pPr>
            <w:r w:rsidRPr="00BD1319">
              <w:rPr>
                <w:rFonts w:cs="Arial"/>
                <w:spacing w:val="-3"/>
              </w:rPr>
              <w:t>AIR</w:t>
            </w:r>
          </w:p>
        </w:tc>
      </w:tr>
      <w:tr w:rsidR="004400BC" w:rsidRPr="00BD1319" w14:paraId="30497459" w14:textId="77777777" w:rsidTr="009420F5">
        <w:trPr>
          <w:jc w:val="center"/>
        </w:trPr>
        <w:tc>
          <w:tcPr>
            <w:tcW w:w="3268" w:type="dxa"/>
            <w:vAlign w:val="center"/>
          </w:tcPr>
          <w:p w14:paraId="6BC7E928" w14:textId="77777777" w:rsidR="004400BC" w:rsidRPr="00BD1319" w:rsidRDefault="004400BC" w:rsidP="000F569A">
            <w:pPr>
              <w:suppressAutoHyphens/>
              <w:jc w:val="center"/>
              <w:rPr>
                <w:rFonts w:cs="Arial"/>
                <w:spacing w:val="-3"/>
              </w:rPr>
            </w:pPr>
            <w:r w:rsidRPr="00BD1319">
              <w:rPr>
                <w:rFonts w:cs="Arial"/>
                <w:b/>
                <w:bCs/>
                <w:spacing w:val="-3"/>
                <w:sz w:val="22"/>
              </w:rPr>
              <w:t>AIR</w:t>
            </w:r>
          </w:p>
        </w:tc>
        <w:tc>
          <w:tcPr>
            <w:tcW w:w="1276" w:type="dxa"/>
            <w:shd w:val="clear" w:color="auto" w:fill="FFFF00"/>
            <w:vAlign w:val="center"/>
          </w:tcPr>
          <w:p w14:paraId="6F48968B" w14:textId="77777777" w:rsidR="004400BC" w:rsidRPr="00BD1319" w:rsidRDefault="004400BC" w:rsidP="000F569A">
            <w:pPr>
              <w:suppressAutoHyphens/>
              <w:jc w:val="center"/>
              <w:rPr>
                <w:rFonts w:cs="Arial"/>
                <w:spacing w:val="-3"/>
              </w:rPr>
            </w:pPr>
            <w:r w:rsidRPr="00BD1319">
              <w:rPr>
                <w:rFonts w:cs="Arial"/>
                <w:spacing w:val="-3"/>
              </w:rPr>
              <w:t>AIR</w:t>
            </w:r>
          </w:p>
        </w:tc>
        <w:tc>
          <w:tcPr>
            <w:tcW w:w="1276" w:type="dxa"/>
            <w:shd w:val="clear" w:color="auto" w:fill="FFFF00"/>
            <w:vAlign w:val="center"/>
          </w:tcPr>
          <w:p w14:paraId="4EC44BCE" w14:textId="77777777" w:rsidR="004400BC" w:rsidRPr="00BD1319" w:rsidRDefault="004400BC" w:rsidP="000F569A">
            <w:pPr>
              <w:suppressAutoHyphens/>
              <w:jc w:val="center"/>
              <w:rPr>
                <w:rFonts w:cs="Arial"/>
                <w:spacing w:val="-3"/>
              </w:rPr>
            </w:pPr>
            <w:r w:rsidRPr="00BD1319">
              <w:rPr>
                <w:rFonts w:cs="Arial"/>
                <w:spacing w:val="-3"/>
              </w:rPr>
              <w:t>AIR</w:t>
            </w:r>
          </w:p>
        </w:tc>
        <w:tc>
          <w:tcPr>
            <w:tcW w:w="1276" w:type="dxa"/>
            <w:tcBorders>
              <w:bottom w:val="single" w:sz="4" w:space="0" w:color="auto"/>
            </w:tcBorders>
            <w:shd w:val="clear" w:color="auto" w:fill="FFFF00"/>
            <w:vAlign w:val="center"/>
          </w:tcPr>
          <w:p w14:paraId="5B9CFAAC" w14:textId="77777777" w:rsidR="004400BC" w:rsidRPr="00BD1319" w:rsidRDefault="004400BC" w:rsidP="000F569A">
            <w:pPr>
              <w:suppressAutoHyphens/>
              <w:jc w:val="center"/>
              <w:rPr>
                <w:rFonts w:cs="Arial"/>
                <w:spacing w:val="-3"/>
              </w:rPr>
            </w:pPr>
            <w:r w:rsidRPr="00BD1319">
              <w:rPr>
                <w:rFonts w:cs="Arial"/>
                <w:spacing w:val="-3"/>
              </w:rPr>
              <w:t>AIR</w:t>
            </w:r>
          </w:p>
        </w:tc>
      </w:tr>
      <w:tr w:rsidR="004400BC" w:rsidRPr="00BD1319" w14:paraId="6B82CE51" w14:textId="77777777" w:rsidTr="009420F5">
        <w:trPr>
          <w:jc w:val="center"/>
        </w:trPr>
        <w:tc>
          <w:tcPr>
            <w:tcW w:w="3268" w:type="dxa"/>
            <w:vAlign w:val="center"/>
          </w:tcPr>
          <w:p w14:paraId="0D014856" w14:textId="77777777" w:rsidR="004400BC" w:rsidRPr="00BD1319" w:rsidRDefault="004400BC" w:rsidP="000F569A">
            <w:pPr>
              <w:suppressAutoHyphens/>
              <w:jc w:val="center"/>
              <w:rPr>
                <w:rFonts w:cs="Arial"/>
                <w:spacing w:val="-3"/>
              </w:rPr>
            </w:pPr>
            <w:r w:rsidRPr="00BD1319">
              <w:rPr>
                <w:rFonts w:cs="Arial"/>
                <w:b/>
                <w:bCs/>
                <w:spacing w:val="-3"/>
                <w:sz w:val="22"/>
              </w:rPr>
              <w:t>AE</w:t>
            </w:r>
          </w:p>
        </w:tc>
        <w:tc>
          <w:tcPr>
            <w:tcW w:w="1276" w:type="dxa"/>
            <w:shd w:val="clear" w:color="auto" w:fill="FFFF00"/>
            <w:vAlign w:val="center"/>
          </w:tcPr>
          <w:p w14:paraId="0540C218" w14:textId="77777777" w:rsidR="004400BC" w:rsidRPr="00BD1319" w:rsidRDefault="004400BC" w:rsidP="000F569A">
            <w:pPr>
              <w:suppressAutoHyphens/>
              <w:jc w:val="center"/>
              <w:rPr>
                <w:rFonts w:cs="Arial"/>
                <w:spacing w:val="-3"/>
              </w:rPr>
            </w:pPr>
            <w:r w:rsidRPr="00BD1319">
              <w:rPr>
                <w:rFonts w:cs="Arial"/>
                <w:spacing w:val="-3"/>
              </w:rPr>
              <w:t>AIR</w:t>
            </w:r>
          </w:p>
        </w:tc>
        <w:tc>
          <w:tcPr>
            <w:tcW w:w="1276" w:type="dxa"/>
            <w:shd w:val="clear" w:color="auto" w:fill="FFFF00"/>
            <w:vAlign w:val="center"/>
          </w:tcPr>
          <w:p w14:paraId="2062C4B3" w14:textId="77777777" w:rsidR="004400BC" w:rsidRPr="00BD1319" w:rsidRDefault="004400BC" w:rsidP="000F569A">
            <w:pPr>
              <w:suppressAutoHyphens/>
              <w:jc w:val="center"/>
              <w:rPr>
                <w:rFonts w:cs="Arial"/>
                <w:spacing w:val="-3"/>
              </w:rPr>
            </w:pPr>
            <w:r w:rsidRPr="00BD1319">
              <w:rPr>
                <w:rFonts w:cs="Arial"/>
                <w:spacing w:val="-3"/>
              </w:rPr>
              <w:t>AIR</w:t>
            </w:r>
          </w:p>
        </w:tc>
        <w:tc>
          <w:tcPr>
            <w:tcW w:w="1276" w:type="dxa"/>
            <w:shd w:val="clear" w:color="auto" w:fill="FF0000"/>
            <w:vAlign w:val="center"/>
          </w:tcPr>
          <w:p w14:paraId="0820C06D" w14:textId="77777777" w:rsidR="004400BC" w:rsidRPr="00BD1319" w:rsidRDefault="004400BC" w:rsidP="000F569A">
            <w:pPr>
              <w:suppressAutoHyphens/>
              <w:jc w:val="center"/>
              <w:rPr>
                <w:rFonts w:cs="Arial"/>
                <w:spacing w:val="-3"/>
              </w:rPr>
            </w:pPr>
            <w:r w:rsidRPr="00BD1319">
              <w:rPr>
                <w:rFonts w:cs="Arial"/>
                <w:spacing w:val="-3"/>
              </w:rPr>
              <w:t>AE</w:t>
            </w:r>
          </w:p>
        </w:tc>
      </w:tr>
    </w:tbl>
    <w:p w14:paraId="0FED17AF" w14:textId="77777777" w:rsidR="004400BC" w:rsidRPr="00BD1319" w:rsidRDefault="004400BC" w:rsidP="009420F5">
      <w:pPr>
        <w:tabs>
          <w:tab w:val="left" w:pos="-2268"/>
        </w:tabs>
        <w:suppressAutoHyphens/>
        <w:rPr>
          <w:spacing w:val="-3"/>
        </w:rPr>
      </w:pPr>
    </w:p>
    <w:p w14:paraId="3DFBE8B7" w14:textId="4FC31081" w:rsidR="00A41B29" w:rsidRPr="00BD1319" w:rsidRDefault="00BE734E" w:rsidP="009420F5">
      <w:pPr>
        <w:tabs>
          <w:tab w:val="left" w:pos="-2268"/>
        </w:tabs>
        <w:suppressAutoHyphens/>
        <w:rPr>
          <w:spacing w:val="-3"/>
        </w:rPr>
      </w:pPr>
      <w:r w:rsidRPr="00BD1319">
        <w:rPr>
          <w:spacing w:val="-3"/>
        </w:rPr>
        <w:t>Ha de tenerse en cuenta que los mapas de zonificación de manejo ambiental d</w:t>
      </w:r>
      <w:r w:rsidR="008A556E" w:rsidRPr="00BD1319">
        <w:rPr>
          <w:spacing w:val="-3"/>
        </w:rPr>
        <w:t>enota</w:t>
      </w:r>
      <w:r w:rsidRPr="00BD1319">
        <w:rPr>
          <w:spacing w:val="-3"/>
        </w:rPr>
        <w:t>n, para un área particular clasificada como de intervención con restricciones,</w:t>
      </w:r>
      <w:r w:rsidR="008A556E" w:rsidRPr="00BD1319">
        <w:rPr>
          <w:spacing w:val="-3"/>
        </w:rPr>
        <w:t xml:space="preserve"> que </w:t>
      </w:r>
      <w:r w:rsidRPr="00BD1319">
        <w:rPr>
          <w:spacing w:val="-3"/>
        </w:rPr>
        <w:t xml:space="preserve">allí es posible ejecutar </w:t>
      </w:r>
      <w:r w:rsidR="008A556E" w:rsidRPr="00BD1319">
        <w:rPr>
          <w:spacing w:val="-3"/>
        </w:rPr>
        <w:t xml:space="preserve">algunas </w:t>
      </w:r>
      <w:r w:rsidRPr="00BD1319">
        <w:rPr>
          <w:rFonts w:cs="Arial"/>
          <w:spacing w:val="-3"/>
        </w:rPr>
        <w:t xml:space="preserve">obras o actividades </w:t>
      </w:r>
      <w:r w:rsidR="008A556E" w:rsidRPr="00BD1319">
        <w:rPr>
          <w:spacing w:val="-3"/>
        </w:rPr>
        <w:t xml:space="preserve">y </w:t>
      </w:r>
      <w:r w:rsidR="004400BC" w:rsidRPr="00BD1319">
        <w:rPr>
          <w:spacing w:val="-3"/>
        </w:rPr>
        <w:t>que</w:t>
      </w:r>
      <w:r w:rsidR="003D2F41" w:rsidRPr="00BD1319">
        <w:rPr>
          <w:spacing w:val="-3"/>
        </w:rPr>
        <w:t>,</w:t>
      </w:r>
      <w:r w:rsidR="004400BC" w:rsidRPr="00BD1319">
        <w:rPr>
          <w:spacing w:val="-3"/>
        </w:rPr>
        <w:t xml:space="preserve"> al mismo tiempo, otras están restringidas, pues es posible que esa zona sea un área de intervención o de intervención con restricciones para cierta actividad, y a la vez, de exclusión para otras actividades</w:t>
      </w:r>
      <w:r w:rsidR="008A556E" w:rsidRPr="00BD1319">
        <w:rPr>
          <w:spacing w:val="-3"/>
        </w:rPr>
        <w:t>.</w:t>
      </w:r>
      <w:r w:rsidR="00917C1F" w:rsidRPr="00BD1319">
        <w:rPr>
          <w:spacing w:val="-3"/>
        </w:rPr>
        <w:t xml:space="preserve"> </w:t>
      </w:r>
      <w:r w:rsidR="00B221F8" w:rsidRPr="00BD1319">
        <w:rPr>
          <w:spacing w:val="-3"/>
        </w:rPr>
        <w:t xml:space="preserve">Las </w:t>
      </w:r>
      <w:r w:rsidRPr="00BD1319">
        <w:rPr>
          <w:spacing w:val="-3"/>
        </w:rPr>
        <w:t xml:space="preserve">obras o </w:t>
      </w:r>
      <w:r w:rsidR="00917C1F" w:rsidRPr="00BD1319">
        <w:rPr>
          <w:spacing w:val="-3"/>
        </w:rPr>
        <w:t xml:space="preserve">actividades </w:t>
      </w:r>
      <w:r w:rsidR="00B221F8" w:rsidRPr="00BD1319">
        <w:rPr>
          <w:spacing w:val="-3"/>
        </w:rPr>
        <w:t xml:space="preserve">que </w:t>
      </w:r>
      <w:r w:rsidR="00917C1F" w:rsidRPr="00BD1319">
        <w:rPr>
          <w:spacing w:val="-3"/>
        </w:rPr>
        <w:t>pueden y no pueden desarrollarse, se evidencia</w:t>
      </w:r>
      <w:r w:rsidR="00B221F8" w:rsidRPr="00BD1319">
        <w:rPr>
          <w:spacing w:val="-3"/>
        </w:rPr>
        <w:t>n</w:t>
      </w:r>
      <w:r w:rsidR="00917C1F" w:rsidRPr="00BD1319">
        <w:rPr>
          <w:spacing w:val="-3"/>
        </w:rPr>
        <w:t xml:space="preserve"> en los mapas intermedios.</w:t>
      </w:r>
    </w:p>
    <w:p w14:paraId="2E3DC692" w14:textId="77777777" w:rsidR="00551BA1" w:rsidRPr="00BD1319" w:rsidRDefault="00551BA1" w:rsidP="009420F5">
      <w:pPr>
        <w:rPr>
          <w:spacing w:val="-3"/>
        </w:rPr>
      </w:pPr>
    </w:p>
    <w:p w14:paraId="08975DE8" w14:textId="45DB5E1A" w:rsidR="00551BA1" w:rsidRPr="00BD1319" w:rsidRDefault="00C10F3E" w:rsidP="009420F5">
      <w:pPr>
        <w:rPr>
          <w:spacing w:val="-3"/>
        </w:rPr>
      </w:pPr>
      <w:r w:rsidRPr="00BD1319">
        <w:rPr>
          <w:spacing w:val="-3"/>
        </w:rPr>
        <w:t xml:space="preserve">Para los proyectos, obras o actividades a los que se refiere el artículo 2.2.2.3.1.4 del decreto 1076 de 2015 o aquel que lo modifique o sustituya, </w:t>
      </w:r>
      <w:r w:rsidR="00551BA1" w:rsidRPr="00BD1319">
        <w:rPr>
          <w:spacing w:val="-3"/>
        </w:rPr>
        <w:t xml:space="preserve">la zonificación de manejo ambiental debe establecerse </w:t>
      </w:r>
      <w:r w:rsidR="00382061" w:rsidRPr="00BD1319">
        <w:rPr>
          <w:spacing w:val="-3"/>
        </w:rPr>
        <w:t xml:space="preserve">a partir de </w:t>
      </w:r>
      <w:r w:rsidR="00551BA1" w:rsidRPr="00BD1319">
        <w:rPr>
          <w:spacing w:val="-3"/>
        </w:rPr>
        <w:t xml:space="preserve">las </w:t>
      </w:r>
      <w:r w:rsidR="00551BA1" w:rsidRPr="00BD1319">
        <w:rPr>
          <w:i/>
          <w:iCs/>
          <w:spacing w:val="-3"/>
        </w:rPr>
        <w:t>posibles</w:t>
      </w:r>
      <w:r w:rsidR="00551BA1" w:rsidRPr="00BD1319">
        <w:rPr>
          <w:spacing w:val="-3"/>
        </w:rPr>
        <w:t xml:space="preserve"> localizaciones en las que es viable el desarrollo de </w:t>
      </w:r>
      <w:r w:rsidR="00CF72F7" w:rsidRPr="00BD1319">
        <w:rPr>
          <w:spacing w:val="-3"/>
        </w:rPr>
        <w:t>sus actividades</w:t>
      </w:r>
      <w:r w:rsidR="00382061" w:rsidRPr="00BD1319">
        <w:rPr>
          <w:spacing w:val="-3"/>
        </w:rPr>
        <w:t xml:space="preserve">, identificadas en el numeral </w:t>
      </w:r>
      <w:r w:rsidR="00382061" w:rsidRPr="00BD1319">
        <w:rPr>
          <w:spacing w:val="-3"/>
        </w:rPr>
        <w:fldChar w:fldCharType="begin"/>
      </w:r>
      <w:r w:rsidR="00382061" w:rsidRPr="00BD1319">
        <w:rPr>
          <w:spacing w:val="-3"/>
        </w:rPr>
        <w:instrText xml:space="preserve"> REF _Ref75276177 \r \h </w:instrText>
      </w:r>
      <w:r w:rsidR="00BD1319">
        <w:rPr>
          <w:spacing w:val="-3"/>
        </w:rPr>
        <w:instrText xml:space="preserve"> \* MERGEFORMAT </w:instrText>
      </w:r>
      <w:r w:rsidR="00382061" w:rsidRPr="00BD1319">
        <w:rPr>
          <w:spacing w:val="-3"/>
        </w:rPr>
      </w:r>
      <w:r w:rsidR="00382061" w:rsidRPr="00BD1319">
        <w:rPr>
          <w:spacing w:val="-3"/>
        </w:rPr>
        <w:fldChar w:fldCharType="separate"/>
      </w:r>
      <w:r w:rsidR="00296654" w:rsidRPr="00BD1319">
        <w:rPr>
          <w:spacing w:val="-3"/>
        </w:rPr>
        <w:t>1</w:t>
      </w:r>
      <w:r w:rsidR="00382061" w:rsidRPr="00BD1319">
        <w:rPr>
          <w:spacing w:val="-3"/>
        </w:rPr>
        <w:fldChar w:fldCharType="end"/>
      </w:r>
      <w:r w:rsidR="00382061" w:rsidRPr="00BD1319">
        <w:rPr>
          <w:spacing w:val="-3"/>
        </w:rPr>
        <w:t xml:space="preserve"> de este capítulo (descripción del proyecto)</w:t>
      </w:r>
      <w:r w:rsidR="00551BA1" w:rsidRPr="00BD1319">
        <w:rPr>
          <w:spacing w:val="-3"/>
        </w:rPr>
        <w:t>.</w:t>
      </w:r>
    </w:p>
    <w:p w14:paraId="386FDBF1" w14:textId="77777777" w:rsidR="00CF72F7" w:rsidRPr="00BD1319" w:rsidRDefault="00CF72F7" w:rsidP="009420F5">
      <w:pPr>
        <w:rPr>
          <w:spacing w:val="-3"/>
        </w:rPr>
      </w:pPr>
    </w:p>
    <w:p w14:paraId="20CA16D9" w14:textId="11FBEC45" w:rsidR="009B04FC" w:rsidRPr="00BD1319" w:rsidRDefault="004400BC" w:rsidP="009420F5">
      <w:pPr>
        <w:tabs>
          <w:tab w:val="left" w:pos="-2268"/>
        </w:tabs>
        <w:suppressAutoHyphens/>
        <w:rPr>
          <w:spacing w:val="-3"/>
        </w:rPr>
      </w:pPr>
      <w:r w:rsidRPr="00BD1319">
        <w:rPr>
          <w:rFonts w:cs="Arial"/>
          <w:spacing w:val="-3"/>
        </w:rPr>
        <w:t xml:space="preserve">Es importante tener </w:t>
      </w:r>
      <w:r w:rsidR="00BE734E" w:rsidRPr="00BD1319">
        <w:rPr>
          <w:rFonts w:cs="Arial"/>
          <w:spacing w:val="-3"/>
        </w:rPr>
        <w:t>en cuenta que l</w:t>
      </w:r>
      <w:r w:rsidR="00551C9D" w:rsidRPr="00BD1319">
        <w:rPr>
          <w:rFonts w:cs="Arial"/>
          <w:spacing w:val="-3"/>
        </w:rPr>
        <w:t xml:space="preserve">a zonificación de manejo ambiental es </w:t>
      </w:r>
      <w:r w:rsidR="009B04FC" w:rsidRPr="00BD1319">
        <w:rPr>
          <w:rFonts w:cs="Arial"/>
          <w:spacing w:val="-3"/>
        </w:rPr>
        <w:t xml:space="preserve">un proceso iterativo, </w:t>
      </w:r>
      <w:r w:rsidR="00551C9D" w:rsidRPr="00BD1319">
        <w:rPr>
          <w:rFonts w:cs="Arial"/>
          <w:spacing w:val="-3"/>
        </w:rPr>
        <w:t xml:space="preserve">que si se ejecuta en etapas tempranas de la formulación de un proyecto, obra o actividad, permite realizar ajustes a su ingeniería, </w:t>
      </w:r>
      <w:r w:rsidR="009B04FC" w:rsidRPr="00BD1319">
        <w:rPr>
          <w:rFonts w:cs="Arial"/>
          <w:spacing w:val="-3"/>
        </w:rPr>
        <w:t>tecnología</w:t>
      </w:r>
      <w:r w:rsidR="00551C9D" w:rsidRPr="00BD1319">
        <w:rPr>
          <w:rFonts w:cs="Arial"/>
          <w:spacing w:val="-3"/>
        </w:rPr>
        <w:t>, diseño</w:t>
      </w:r>
      <w:r w:rsidR="009B04FC" w:rsidRPr="00BD1319">
        <w:rPr>
          <w:rFonts w:cs="Arial"/>
          <w:spacing w:val="-3"/>
        </w:rPr>
        <w:t xml:space="preserve"> y localización, </w:t>
      </w:r>
      <w:r w:rsidR="00C31358" w:rsidRPr="00BD1319">
        <w:rPr>
          <w:rFonts w:cs="Arial"/>
          <w:spacing w:val="-3"/>
        </w:rPr>
        <w:t xml:space="preserve">y así reconfigurar sus interacciones con la sensibilidad ambiental del área de referencia, evitando </w:t>
      </w:r>
      <w:r w:rsidR="005B71F1" w:rsidRPr="00BD1319">
        <w:rPr>
          <w:rFonts w:cs="Arial"/>
          <w:spacing w:val="-3"/>
        </w:rPr>
        <w:t>la generación</w:t>
      </w:r>
      <w:r w:rsidR="00C31358" w:rsidRPr="00BD1319">
        <w:rPr>
          <w:rFonts w:cs="Arial"/>
          <w:spacing w:val="-3"/>
        </w:rPr>
        <w:t xml:space="preserve"> de impactos ambientales, o bien reduciendo la cantidad de aquellos con alto potencial de modificación de las condiciones ambientales</w:t>
      </w:r>
      <w:r w:rsidR="009B04FC" w:rsidRPr="00BD1319">
        <w:rPr>
          <w:spacing w:val="-3"/>
        </w:rPr>
        <w:t>.</w:t>
      </w:r>
    </w:p>
    <w:p w14:paraId="36DCC2CC" w14:textId="77777777" w:rsidR="00A41B29" w:rsidRPr="00BD1319" w:rsidRDefault="00A41B29" w:rsidP="009B04FC">
      <w:pPr>
        <w:suppressAutoHyphens/>
        <w:rPr>
          <w:rFonts w:cs="Arial"/>
          <w:spacing w:val="-3"/>
        </w:rPr>
      </w:pPr>
    </w:p>
    <w:p w14:paraId="77BE9A3B" w14:textId="2280F6D0" w:rsidR="00EC72B2" w:rsidRPr="00BD1319" w:rsidRDefault="004400BC">
      <w:pPr>
        <w:suppressAutoHyphens/>
        <w:rPr>
          <w:rFonts w:cs="Arial"/>
          <w:spacing w:val="-3"/>
        </w:rPr>
      </w:pPr>
      <w:r w:rsidRPr="00BD1319">
        <w:rPr>
          <w:rFonts w:cs="Arial"/>
          <w:spacing w:val="-3"/>
        </w:rPr>
        <w:lastRenderedPageBreak/>
        <w:t xml:space="preserve">Igualmente, </w:t>
      </w:r>
      <w:r w:rsidR="00C63E63" w:rsidRPr="00BD1319">
        <w:rPr>
          <w:rFonts w:cs="Arial"/>
          <w:spacing w:val="-3"/>
        </w:rPr>
        <w:t xml:space="preserve">es pertinente recordar que </w:t>
      </w:r>
      <w:r w:rsidR="0057059E" w:rsidRPr="00BD1319">
        <w:rPr>
          <w:rFonts w:cs="Arial"/>
          <w:spacing w:val="-3"/>
        </w:rPr>
        <w:t>l</w:t>
      </w:r>
      <w:r w:rsidR="00EE034E" w:rsidRPr="00BD1319">
        <w:rPr>
          <w:rFonts w:cs="Arial"/>
          <w:spacing w:val="-3"/>
        </w:rPr>
        <w:t>a z</w:t>
      </w:r>
      <w:r w:rsidR="00EC72B2" w:rsidRPr="00BD1319">
        <w:rPr>
          <w:rFonts w:cs="Arial"/>
          <w:spacing w:val="-3"/>
        </w:rPr>
        <w:t xml:space="preserve">onificación de manejo </w:t>
      </w:r>
      <w:r w:rsidR="00EE034E" w:rsidRPr="00BD1319">
        <w:rPr>
          <w:rFonts w:cs="Arial"/>
          <w:spacing w:val="-3"/>
        </w:rPr>
        <w:t xml:space="preserve">ambiental </w:t>
      </w:r>
      <w:r w:rsidR="0057059E" w:rsidRPr="00BD1319">
        <w:rPr>
          <w:rFonts w:cs="Arial"/>
          <w:spacing w:val="-3"/>
        </w:rPr>
        <w:t xml:space="preserve">junto con </w:t>
      </w:r>
      <w:r w:rsidR="00EC72B2" w:rsidRPr="00BD1319">
        <w:rPr>
          <w:rFonts w:cs="Arial"/>
          <w:spacing w:val="-3"/>
        </w:rPr>
        <w:t xml:space="preserve">la jerarquía de las medidas de manejo, </w:t>
      </w:r>
      <w:r w:rsidR="00F60FEA" w:rsidRPr="00BD1319">
        <w:rPr>
          <w:rFonts w:cs="Arial"/>
          <w:spacing w:val="-3"/>
        </w:rPr>
        <w:t xml:space="preserve">constituyen herramientas para la formulación de medidas de manejo que </w:t>
      </w:r>
      <w:r w:rsidR="008A7970" w:rsidRPr="00BD1319">
        <w:rPr>
          <w:rFonts w:cs="Arial"/>
          <w:spacing w:val="-3"/>
        </w:rPr>
        <w:t xml:space="preserve">gestionen </w:t>
      </w:r>
      <w:r w:rsidR="00EC72B2" w:rsidRPr="00BD1319">
        <w:rPr>
          <w:rFonts w:cs="Arial"/>
          <w:spacing w:val="-3"/>
        </w:rPr>
        <w:t xml:space="preserve">de manera eficaz los impactos ambientales que se generen </w:t>
      </w:r>
      <w:r w:rsidR="00EE034E" w:rsidRPr="00BD1319">
        <w:rPr>
          <w:rFonts w:cs="Arial"/>
          <w:spacing w:val="-3"/>
        </w:rPr>
        <w:t>por la ejecución de un proyecto</w:t>
      </w:r>
      <w:r w:rsidR="00311679" w:rsidRPr="00BD1319">
        <w:rPr>
          <w:rFonts w:cs="Arial"/>
          <w:spacing w:val="-3"/>
        </w:rPr>
        <w:t>,</w:t>
      </w:r>
      <w:r w:rsidR="00EE034E" w:rsidRPr="00BD1319">
        <w:rPr>
          <w:rFonts w:cs="Arial"/>
          <w:spacing w:val="-3"/>
        </w:rPr>
        <w:t xml:space="preserve"> obra o actividad</w:t>
      </w:r>
      <w:r w:rsidR="001B2B1E" w:rsidRPr="00BD1319">
        <w:rPr>
          <w:rFonts w:cs="Arial"/>
          <w:spacing w:val="-3"/>
        </w:rPr>
        <w:t xml:space="preserve">. La formulación de tales medidas debe </w:t>
      </w:r>
      <w:r w:rsidR="00C63E63" w:rsidRPr="00BD1319">
        <w:rPr>
          <w:rFonts w:cs="Arial"/>
          <w:spacing w:val="-3"/>
        </w:rPr>
        <w:t>busca</w:t>
      </w:r>
      <w:r w:rsidR="001B2B1E" w:rsidRPr="00BD1319">
        <w:rPr>
          <w:rFonts w:cs="Arial"/>
          <w:spacing w:val="-3"/>
        </w:rPr>
        <w:t>r</w:t>
      </w:r>
      <w:r w:rsidR="00F60FEA" w:rsidRPr="00BD1319">
        <w:rPr>
          <w:rFonts w:cs="Arial"/>
          <w:spacing w:val="-3"/>
        </w:rPr>
        <w:t xml:space="preserve"> como primera prioridad </w:t>
      </w:r>
      <w:r w:rsidR="00605D4E" w:rsidRPr="00BD1319">
        <w:rPr>
          <w:rFonts w:cs="Arial"/>
          <w:spacing w:val="-3"/>
        </w:rPr>
        <w:t xml:space="preserve">prevenir </w:t>
      </w:r>
      <w:r w:rsidR="00F60FEA" w:rsidRPr="00BD1319">
        <w:rPr>
          <w:rFonts w:cs="Arial"/>
          <w:spacing w:val="-3"/>
        </w:rPr>
        <w:t xml:space="preserve">impactos ambientales, como segunda y tercera opción, mitigarlos y corregirlos, y sólo en caso de que </w:t>
      </w:r>
      <w:r w:rsidR="001B2B1E" w:rsidRPr="00BD1319">
        <w:rPr>
          <w:rFonts w:cs="Arial"/>
          <w:spacing w:val="-3"/>
        </w:rPr>
        <w:t>ello no sea posible</w:t>
      </w:r>
      <w:r w:rsidR="00F60FEA" w:rsidRPr="00BD1319">
        <w:rPr>
          <w:rFonts w:cs="Arial"/>
          <w:spacing w:val="-3"/>
        </w:rPr>
        <w:t xml:space="preserve">, </w:t>
      </w:r>
      <w:r w:rsidR="001B2B1E" w:rsidRPr="00BD1319">
        <w:rPr>
          <w:rFonts w:cs="Arial"/>
          <w:spacing w:val="-3"/>
        </w:rPr>
        <w:t xml:space="preserve">debe dirigirse hacia la </w:t>
      </w:r>
      <w:r w:rsidR="00F60FEA" w:rsidRPr="00BD1319">
        <w:rPr>
          <w:rFonts w:cs="Arial"/>
          <w:spacing w:val="-3"/>
        </w:rPr>
        <w:t>compensa</w:t>
      </w:r>
      <w:r w:rsidR="001B2B1E" w:rsidRPr="00BD1319">
        <w:rPr>
          <w:rFonts w:cs="Arial"/>
          <w:spacing w:val="-3"/>
        </w:rPr>
        <w:t xml:space="preserve">ción de </w:t>
      </w:r>
      <w:r w:rsidR="008740E1" w:rsidRPr="00BD1319">
        <w:rPr>
          <w:rFonts w:cs="Arial"/>
          <w:spacing w:val="-3"/>
        </w:rPr>
        <w:t>éstos</w:t>
      </w:r>
      <w:r w:rsidR="00F60FEA" w:rsidRPr="00BD1319">
        <w:rPr>
          <w:rFonts w:cs="Arial"/>
          <w:spacing w:val="-3"/>
        </w:rPr>
        <w:t xml:space="preserve">, </w:t>
      </w:r>
      <w:r w:rsidR="001B2B1E" w:rsidRPr="00BD1319">
        <w:rPr>
          <w:rFonts w:cs="Arial"/>
          <w:spacing w:val="-3"/>
        </w:rPr>
        <w:t xml:space="preserve">a fin de </w:t>
      </w:r>
      <w:r w:rsidR="00F60FEA" w:rsidRPr="00BD1319">
        <w:rPr>
          <w:rFonts w:cs="Arial"/>
          <w:spacing w:val="-3"/>
        </w:rPr>
        <w:t xml:space="preserve">que </w:t>
      </w:r>
      <w:r w:rsidR="004C5364" w:rsidRPr="00BD1319">
        <w:rPr>
          <w:rFonts w:cs="Arial"/>
          <w:spacing w:val="-3"/>
        </w:rPr>
        <w:t>la aplicación de todas ellas de manera diferenciada en la superficie del área de influencia</w:t>
      </w:r>
      <w:r w:rsidR="005B7AF6" w:rsidRPr="00BD1319">
        <w:rPr>
          <w:rStyle w:val="Refdenotaalpie"/>
          <w:rFonts w:cs="Arial"/>
          <w:spacing w:val="-3"/>
          <w:lang w:val="es-CO"/>
        </w:rPr>
        <w:footnoteReference w:id="207"/>
      </w:r>
      <w:r w:rsidR="004C5364" w:rsidRPr="00BD1319">
        <w:rPr>
          <w:rFonts w:cs="Arial"/>
          <w:spacing w:val="-3"/>
        </w:rPr>
        <w:t xml:space="preserve">, </w:t>
      </w:r>
      <w:r w:rsidR="00EE034E" w:rsidRPr="00BD1319">
        <w:rPr>
          <w:rFonts w:cs="Arial"/>
          <w:spacing w:val="-3"/>
        </w:rPr>
        <w:t>garanti</w:t>
      </w:r>
      <w:r w:rsidR="00F60FEA" w:rsidRPr="00BD1319">
        <w:rPr>
          <w:rFonts w:cs="Arial"/>
          <w:spacing w:val="-3"/>
        </w:rPr>
        <w:t>ce</w:t>
      </w:r>
      <w:r w:rsidR="00EE034E" w:rsidRPr="00BD1319">
        <w:rPr>
          <w:rFonts w:cs="Arial"/>
          <w:spacing w:val="-3"/>
        </w:rPr>
        <w:t xml:space="preserve"> un impacto ambiental neto por lo menos igual a cero.</w:t>
      </w:r>
    </w:p>
    <w:p w14:paraId="18A510DE" w14:textId="77777777" w:rsidR="00CE2E63" w:rsidRPr="00BD1319" w:rsidRDefault="00CE2E63">
      <w:pPr>
        <w:suppressAutoHyphens/>
        <w:rPr>
          <w:rFonts w:cs="Arial"/>
          <w:spacing w:val="-3"/>
        </w:rPr>
      </w:pPr>
    </w:p>
    <w:p w14:paraId="75E40F70" w14:textId="1AE67F30" w:rsidR="00CE2E63" w:rsidRPr="00BD1319" w:rsidRDefault="00CE2E63" w:rsidP="00CE2E63">
      <w:pPr>
        <w:pStyle w:val="Descripcin"/>
        <w:jc w:val="center"/>
        <w:rPr>
          <w:rFonts w:cs="Arial"/>
          <w:b w:val="0"/>
          <w:spacing w:val="-3"/>
        </w:rPr>
      </w:pPr>
      <w:bookmarkStart w:id="11020" w:name="_Ref79403255"/>
      <w:r w:rsidRPr="00BD1319">
        <w:rPr>
          <w:rFonts w:cs="Arial"/>
        </w:rPr>
        <w:t xml:space="preserve">Tabla </w:t>
      </w:r>
      <w:r w:rsidRPr="00BD1319">
        <w:rPr>
          <w:rFonts w:cs="Arial"/>
        </w:rPr>
        <w:fldChar w:fldCharType="begin"/>
      </w:r>
      <w:r w:rsidRPr="00BD1319">
        <w:rPr>
          <w:rFonts w:cs="Arial"/>
        </w:rPr>
        <w:instrText xml:space="preserve"> SEQ Tabla \* ARABIC </w:instrText>
      </w:r>
      <w:r w:rsidRPr="00BD1319">
        <w:rPr>
          <w:rFonts w:cs="Arial"/>
        </w:rPr>
        <w:fldChar w:fldCharType="separate"/>
      </w:r>
      <w:r w:rsidR="00296654" w:rsidRPr="00BD1319">
        <w:rPr>
          <w:rFonts w:cs="Arial"/>
          <w:noProof/>
        </w:rPr>
        <w:t>41</w:t>
      </w:r>
      <w:r w:rsidRPr="00BD1319">
        <w:rPr>
          <w:rFonts w:cs="Arial"/>
        </w:rPr>
        <w:fldChar w:fldCharType="end"/>
      </w:r>
      <w:bookmarkEnd w:id="11020"/>
      <w:r w:rsidR="00800AE5" w:rsidRPr="00BD1319">
        <w:rPr>
          <w:rFonts w:cs="Arial"/>
        </w:rPr>
        <w:t>.</w:t>
      </w:r>
      <w:r w:rsidRPr="00BD1319">
        <w:rPr>
          <w:rFonts w:cs="Arial"/>
          <w:b w:val="0"/>
        </w:rPr>
        <w:t xml:space="preserve"> </w:t>
      </w:r>
      <w:r w:rsidRPr="00BD1319">
        <w:rPr>
          <w:rFonts w:cs="Arial"/>
          <w:b w:val="0"/>
          <w:spacing w:val="-3"/>
        </w:rPr>
        <w:t>Ejemplo matriz de interacciones</w:t>
      </w:r>
    </w:p>
    <w:tbl>
      <w:tblPr>
        <w:tblStyle w:val="Tablaconcuadrcula"/>
        <w:tblW w:w="9653" w:type="dxa"/>
        <w:jc w:val="center"/>
        <w:tblLayout w:type="fixed"/>
        <w:tblLook w:val="04A0" w:firstRow="1" w:lastRow="0" w:firstColumn="1" w:lastColumn="0" w:noHBand="0" w:noVBand="1"/>
      </w:tblPr>
      <w:tblGrid>
        <w:gridCol w:w="817"/>
        <w:gridCol w:w="1418"/>
        <w:gridCol w:w="1701"/>
        <w:gridCol w:w="1559"/>
        <w:gridCol w:w="831"/>
        <w:gridCol w:w="832"/>
        <w:gridCol w:w="831"/>
        <w:gridCol w:w="832"/>
        <w:gridCol w:w="832"/>
      </w:tblGrid>
      <w:tr w:rsidR="00BF7AE1" w:rsidRPr="00BD1319" w14:paraId="6D1B0028" w14:textId="77777777" w:rsidTr="00BF7AE1">
        <w:trPr>
          <w:cantSplit/>
          <w:trHeight w:val="2009"/>
          <w:jc w:val="center"/>
        </w:trPr>
        <w:tc>
          <w:tcPr>
            <w:tcW w:w="817" w:type="dxa"/>
            <w:vMerge w:val="restart"/>
            <w:shd w:val="clear" w:color="auto" w:fill="auto"/>
            <w:vAlign w:val="center"/>
            <w:hideMark/>
          </w:tcPr>
          <w:p w14:paraId="7CCEB11D" w14:textId="26C232A4" w:rsidR="00BF7AE1" w:rsidRPr="00BD1319" w:rsidRDefault="00BF7AE1" w:rsidP="00540D1C">
            <w:pPr>
              <w:pStyle w:val="Prrafodelista"/>
              <w:tabs>
                <w:tab w:val="left" w:pos="-2268"/>
              </w:tabs>
              <w:suppressAutoHyphens/>
              <w:ind w:left="0"/>
              <w:jc w:val="center"/>
              <w:rPr>
                <w:rFonts w:cs="Arial"/>
                <w:spacing w:val="-3"/>
                <w:sz w:val="20"/>
                <w:szCs w:val="18"/>
                <w:lang w:val="es-CO"/>
              </w:rPr>
            </w:pPr>
            <w:r w:rsidRPr="00BD1319">
              <w:rPr>
                <w:rFonts w:cs="Arial"/>
                <w:b/>
                <w:bCs/>
                <w:spacing w:val="-3"/>
                <w:sz w:val="20"/>
                <w:szCs w:val="18"/>
                <w:lang w:val="es-CO"/>
              </w:rPr>
              <w:t>Medio</w:t>
            </w:r>
          </w:p>
        </w:tc>
        <w:tc>
          <w:tcPr>
            <w:tcW w:w="1418" w:type="dxa"/>
            <w:vMerge w:val="restart"/>
            <w:shd w:val="clear" w:color="auto" w:fill="auto"/>
            <w:vAlign w:val="center"/>
          </w:tcPr>
          <w:p w14:paraId="206D8DB0" w14:textId="44F93594" w:rsidR="00BF7AE1" w:rsidRPr="00BD1319" w:rsidRDefault="00BF7AE1" w:rsidP="00540D1C">
            <w:pPr>
              <w:pStyle w:val="Prrafodelista"/>
              <w:tabs>
                <w:tab w:val="left" w:pos="-2268"/>
              </w:tabs>
              <w:suppressAutoHyphens/>
              <w:ind w:left="-57" w:right="-57"/>
              <w:jc w:val="center"/>
              <w:rPr>
                <w:rFonts w:cs="Arial"/>
                <w:spacing w:val="-3"/>
                <w:sz w:val="20"/>
                <w:szCs w:val="18"/>
                <w:lang w:val="es-CO"/>
              </w:rPr>
            </w:pPr>
            <w:r w:rsidRPr="00BD1319">
              <w:rPr>
                <w:rFonts w:cs="Arial"/>
                <w:b/>
                <w:bCs/>
                <w:spacing w:val="-3"/>
                <w:sz w:val="20"/>
                <w:szCs w:val="18"/>
                <w:lang w:val="es-CO"/>
              </w:rPr>
              <w:t>Componente</w:t>
            </w:r>
          </w:p>
        </w:tc>
        <w:tc>
          <w:tcPr>
            <w:tcW w:w="1701" w:type="dxa"/>
            <w:vMerge w:val="restart"/>
            <w:shd w:val="clear" w:color="auto" w:fill="auto"/>
            <w:vAlign w:val="center"/>
          </w:tcPr>
          <w:p w14:paraId="657CFD6B" w14:textId="4E2FBC6F" w:rsidR="00BF7AE1" w:rsidRPr="00BD1319" w:rsidRDefault="00BF7AE1" w:rsidP="00540D1C">
            <w:pPr>
              <w:pStyle w:val="Prrafodelista"/>
              <w:tabs>
                <w:tab w:val="left" w:pos="-2268"/>
              </w:tabs>
              <w:suppressAutoHyphens/>
              <w:ind w:left="0"/>
              <w:jc w:val="center"/>
              <w:rPr>
                <w:rFonts w:cs="Arial"/>
                <w:spacing w:val="-3"/>
                <w:sz w:val="20"/>
                <w:szCs w:val="18"/>
                <w:lang w:val="es-CO"/>
              </w:rPr>
            </w:pPr>
            <w:r w:rsidRPr="00BD1319">
              <w:rPr>
                <w:rFonts w:cs="Arial"/>
                <w:b/>
                <w:bCs/>
                <w:spacing w:val="-3"/>
                <w:sz w:val="20"/>
                <w:szCs w:val="18"/>
                <w:lang w:val="es-CO"/>
              </w:rPr>
              <w:t>Unidad de análisis</w:t>
            </w:r>
          </w:p>
        </w:tc>
        <w:tc>
          <w:tcPr>
            <w:tcW w:w="1559" w:type="dxa"/>
            <w:vMerge w:val="restart"/>
            <w:shd w:val="clear" w:color="auto" w:fill="DBE5F1" w:themeFill="accent1" w:themeFillTint="33"/>
            <w:vAlign w:val="center"/>
            <w:hideMark/>
          </w:tcPr>
          <w:p w14:paraId="0712EBEF" w14:textId="77777777" w:rsidR="00BF7AE1" w:rsidRPr="00BD1319" w:rsidRDefault="00BF7AE1" w:rsidP="00540D1C">
            <w:pPr>
              <w:pStyle w:val="Prrafodelista"/>
              <w:tabs>
                <w:tab w:val="left" w:pos="-2268"/>
              </w:tabs>
              <w:suppressAutoHyphens/>
              <w:ind w:left="0"/>
              <w:jc w:val="center"/>
              <w:rPr>
                <w:rFonts w:cs="Arial"/>
                <w:b/>
                <w:bCs/>
                <w:spacing w:val="-3"/>
                <w:sz w:val="20"/>
                <w:szCs w:val="18"/>
                <w:lang w:val="es-CO"/>
              </w:rPr>
            </w:pPr>
            <w:r w:rsidRPr="00BD1319">
              <w:rPr>
                <w:rFonts w:cs="Arial"/>
                <w:b/>
                <w:bCs/>
                <w:spacing w:val="-3"/>
                <w:sz w:val="20"/>
                <w:szCs w:val="18"/>
                <w:lang w:val="es-CO"/>
              </w:rPr>
              <w:t>Potencial normalizado de modificación</w:t>
            </w:r>
          </w:p>
        </w:tc>
        <w:tc>
          <w:tcPr>
            <w:tcW w:w="831" w:type="dxa"/>
            <w:shd w:val="clear" w:color="auto" w:fill="DBE5F1" w:themeFill="accent1" w:themeFillTint="33"/>
            <w:textDirection w:val="btLr"/>
            <w:vAlign w:val="center"/>
            <w:hideMark/>
          </w:tcPr>
          <w:p w14:paraId="7BF1DF2D" w14:textId="77777777" w:rsidR="00BF7AE1" w:rsidRPr="00BD1319" w:rsidRDefault="00BF7AE1" w:rsidP="00BF7AE1">
            <w:pPr>
              <w:pStyle w:val="Prrafodelista"/>
              <w:tabs>
                <w:tab w:val="left" w:pos="-2268"/>
              </w:tabs>
              <w:suppressAutoHyphens/>
              <w:ind w:left="113" w:right="113"/>
              <w:jc w:val="center"/>
              <w:rPr>
                <w:rFonts w:cs="Arial"/>
                <w:b/>
                <w:spacing w:val="-3"/>
                <w:sz w:val="18"/>
                <w:szCs w:val="18"/>
                <w:lang w:val="es-CO"/>
              </w:rPr>
            </w:pPr>
            <w:r w:rsidRPr="00BD1319">
              <w:rPr>
                <w:rFonts w:cs="Arial"/>
                <w:bCs/>
                <w:spacing w:val="-3"/>
                <w:sz w:val="16"/>
                <w:szCs w:val="16"/>
                <w:lang w:val="es-CO"/>
              </w:rPr>
              <w:t>Incremento en la concentración de arsénico</w:t>
            </w:r>
          </w:p>
        </w:tc>
        <w:tc>
          <w:tcPr>
            <w:tcW w:w="832" w:type="dxa"/>
            <w:shd w:val="clear" w:color="auto" w:fill="DBE5F1" w:themeFill="accent1" w:themeFillTint="33"/>
            <w:textDirection w:val="btLr"/>
            <w:vAlign w:val="center"/>
          </w:tcPr>
          <w:p w14:paraId="0A3C0E9E" w14:textId="66928DB4" w:rsidR="00BF7AE1" w:rsidRPr="00BD1319" w:rsidRDefault="00BF7AE1" w:rsidP="00BF7AE1">
            <w:pPr>
              <w:pStyle w:val="Prrafodelista"/>
              <w:tabs>
                <w:tab w:val="left" w:pos="-2268"/>
              </w:tabs>
              <w:suppressAutoHyphens/>
              <w:ind w:left="113" w:right="113"/>
              <w:jc w:val="center"/>
              <w:rPr>
                <w:rFonts w:cs="Arial"/>
                <w:bCs/>
                <w:spacing w:val="-3"/>
                <w:sz w:val="16"/>
                <w:szCs w:val="16"/>
                <w:lang w:val="es-CO"/>
              </w:rPr>
            </w:pPr>
            <w:r w:rsidRPr="00BD1319">
              <w:rPr>
                <w:rFonts w:cs="Arial"/>
                <w:bCs/>
                <w:spacing w:val="-3"/>
                <w:sz w:val="16"/>
                <w:szCs w:val="16"/>
                <w:lang w:val="es-CO"/>
              </w:rPr>
              <w:t>disminución de la oferta hídrica para consumo humano</w:t>
            </w:r>
          </w:p>
        </w:tc>
        <w:tc>
          <w:tcPr>
            <w:tcW w:w="831" w:type="dxa"/>
            <w:shd w:val="clear" w:color="auto" w:fill="DBE5F1" w:themeFill="accent1" w:themeFillTint="33"/>
            <w:textDirection w:val="btLr"/>
            <w:vAlign w:val="center"/>
            <w:hideMark/>
          </w:tcPr>
          <w:p w14:paraId="090BB9C3" w14:textId="7BC33102" w:rsidR="00BF7AE1" w:rsidRPr="00BD1319" w:rsidRDefault="00BF7AE1" w:rsidP="00BF7AE1">
            <w:pPr>
              <w:pStyle w:val="Prrafodelista"/>
              <w:tabs>
                <w:tab w:val="left" w:pos="-2268"/>
              </w:tabs>
              <w:suppressAutoHyphens/>
              <w:ind w:left="113" w:right="113"/>
              <w:jc w:val="center"/>
              <w:rPr>
                <w:rFonts w:cs="Arial"/>
                <w:b/>
                <w:spacing w:val="-3"/>
                <w:sz w:val="18"/>
                <w:szCs w:val="18"/>
                <w:lang w:val="es-CO"/>
              </w:rPr>
            </w:pPr>
            <w:r w:rsidRPr="00BD1319">
              <w:rPr>
                <w:rFonts w:cs="Arial"/>
                <w:bCs/>
                <w:spacing w:val="-3"/>
                <w:sz w:val="16"/>
                <w:szCs w:val="16"/>
                <w:lang w:val="es-CO"/>
              </w:rPr>
              <w:t>Incremento en la densidad aparente del suelo</w:t>
            </w:r>
          </w:p>
        </w:tc>
        <w:tc>
          <w:tcPr>
            <w:tcW w:w="832" w:type="dxa"/>
            <w:shd w:val="clear" w:color="auto" w:fill="DBE5F1" w:themeFill="accent1" w:themeFillTint="33"/>
            <w:textDirection w:val="btLr"/>
            <w:vAlign w:val="center"/>
            <w:hideMark/>
          </w:tcPr>
          <w:p w14:paraId="21E21D6C" w14:textId="77777777" w:rsidR="00BF7AE1" w:rsidRPr="00BD1319" w:rsidRDefault="00BF7AE1" w:rsidP="00BF7AE1">
            <w:pPr>
              <w:pStyle w:val="Prrafodelista"/>
              <w:tabs>
                <w:tab w:val="left" w:pos="-2268"/>
              </w:tabs>
              <w:suppressAutoHyphens/>
              <w:ind w:left="113" w:right="113"/>
              <w:jc w:val="center"/>
              <w:rPr>
                <w:rFonts w:cs="Arial"/>
                <w:b/>
                <w:spacing w:val="-3"/>
                <w:sz w:val="18"/>
                <w:szCs w:val="18"/>
                <w:lang w:val="es-CO"/>
              </w:rPr>
            </w:pPr>
            <w:r w:rsidRPr="00BD1319">
              <w:rPr>
                <w:rFonts w:cs="Arial"/>
                <w:bCs/>
                <w:spacing w:val="-3"/>
                <w:sz w:val="16"/>
                <w:szCs w:val="16"/>
                <w:lang w:val="es-CO"/>
              </w:rPr>
              <w:t>Bioacumulación de metales pesados en organismos acuáticos</w:t>
            </w:r>
          </w:p>
        </w:tc>
        <w:tc>
          <w:tcPr>
            <w:tcW w:w="832" w:type="dxa"/>
            <w:shd w:val="clear" w:color="auto" w:fill="DBE5F1" w:themeFill="accent1" w:themeFillTint="33"/>
            <w:textDirection w:val="btLr"/>
            <w:vAlign w:val="center"/>
          </w:tcPr>
          <w:p w14:paraId="7A8F78D2" w14:textId="77777777" w:rsidR="00BF7AE1" w:rsidRPr="00BD1319" w:rsidRDefault="00BF7AE1" w:rsidP="00BF7AE1">
            <w:pPr>
              <w:pStyle w:val="Prrafodelista"/>
              <w:tabs>
                <w:tab w:val="left" w:pos="-2268"/>
              </w:tabs>
              <w:suppressAutoHyphens/>
              <w:ind w:left="113" w:right="113"/>
              <w:jc w:val="center"/>
              <w:rPr>
                <w:rFonts w:cs="Arial"/>
                <w:b/>
                <w:spacing w:val="-3"/>
                <w:sz w:val="18"/>
                <w:szCs w:val="18"/>
                <w:lang w:val="es-CO"/>
              </w:rPr>
            </w:pPr>
            <w:r w:rsidRPr="00BD1319">
              <w:rPr>
                <w:rFonts w:cs="Arial"/>
                <w:bCs/>
                <w:spacing w:val="-3"/>
                <w:sz w:val="16"/>
                <w:szCs w:val="16"/>
                <w:lang w:val="es-CO"/>
              </w:rPr>
              <w:t>Disminución en la producción agropecuaria</w:t>
            </w:r>
          </w:p>
        </w:tc>
      </w:tr>
      <w:tr w:rsidR="00BF7AE1" w:rsidRPr="00BD1319" w14:paraId="6C614291" w14:textId="77777777" w:rsidTr="00BF7AE1">
        <w:trPr>
          <w:trHeight w:val="284"/>
          <w:jc w:val="center"/>
        </w:trPr>
        <w:tc>
          <w:tcPr>
            <w:tcW w:w="817" w:type="dxa"/>
            <w:vMerge/>
            <w:shd w:val="clear" w:color="auto" w:fill="auto"/>
            <w:vAlign w:val="center"/>
            <w:hideMark/>
          </w:tcPr>
          <w:p w14:paraId="67111514" w14:textId="2BFD12AD" w:rsidR="00BF7AE1" w:rsidRPr="00BD1319" w:rsidRDefault="00BF7AE1" w:rsidP="00540D1C">
            <w:pPr>
              <w:pStyle w:val="Prrafodelista"/>
              <w:tabs>
                <w:tab w:val="left" w:pos="-2268"/>
              </w:tabs>
              <w:suppressAutoHyphens/>
              <w:ind w:left="0"/>
              <w:jc w:val="center"/>
              <w:rPr>
                <w:rFonts w:cs="Arial"/>
                <w:spacing w:val="-3"/>
                <w:sz w:val="20"/>
                <w:szCs w:val="18"/>
                <w:lang w:val="es-CO"/>
              </w:rPr>
            </w:pPr>
          </w:p>
        </w:tc>
        <w:tc>
          <w:tcPr>
            <w:tcW w:w="1418" w:type="dxa"/>
            <w:vMerge/>
            <w:shd w:val="clear" w:color="auto" w:fill="auto"/>
            <w:vAlign w:val="center"/>
          </w:tcPr>
          <w:p w14:paraId="15628EA3" w14:textId="6B194F04" w:rsidR="00BF7AE1" w:rsidRPr="00BD1319" w:rsidRDefault="00BF7AE1" w:rsidP="00540D1C">
            <w:pPr>
              <w:pStyle w:val="Prrafodelista"/>
              <w:tabs>
                <w:tab w:val="left" w:pos="-2268"/>
              </w:tabs>
              <w:suppressAutoHyphens/>
              <w:ind w:left="-57" w:right="-57"/>
              <w:jc w:val="center"/>
              <w:rPr>
                <w:rFonts w:cs="Arial"/>
                <w:spacing w:val="-3"/>
                <w:sz w:val="20"/>
                <w:szCs w:val="18"/>
                <w:lang w:val="es-CO"/>
              </w:rPr>
            </w:pPr>
          </w:p>
        </w:tc>
        <w:tc>
          <w:tcPr>
            <w:tcW w:w="1701" w:type="dxa"/>
            <w:vMerge/>
            <w:shd w:val="clear" w:color="auto" w:fill="auto"/>
            <w:vAlign w:val="center"/>
          </w:tcPr>
          <w:p w14:paraId="3FE1DFB7" w14:textId="5BE07D32" w:rsidR="00BF7AE1" w:rsidRPr="00BD1319" w:rsidRDefault="00BF7AE1" w:rsidP="00540D1C">
            <w:pPr>
              <w:pStyle w:val="Prrafodelista"/>
              <w:tabs>
                <w:tab w:val="left" w:pos="-2268"/>
              </w:tabs>
              <w:suppressAutoHyphens/>
              <w:ind w:left="0"/>
              <w:jc w:val="center"/>
              <w:rPr>
                <w:rFonts w:cs="Arial"/>
                <w:spacing w:val="-3"/>
                <w:sz w:val="20"/>
                <w:szCs w:val="18"/>
                <w:lang w:val="es-CO"/>
              </w:rPr>
            </w:pPr>
          </w:p>
        </w:tc>
        <w:tc>
          <w:tcPr>
            <w:tcW w:w="1559" w:type="dxa"/>
            <w:vMerge/>
            <w:shd w:val="clear" w:color="auto" w:fill="DBE5F1" w:themeFill="accent1" w:themeFillTint="33"/>
            <w:vAlign w:val="center"/>
            <w:hideMark/>
          </w:tcPr>
          <w:p w14:paraId="57503995" w14:textId="77777777" w:rsidR="00BF7AE1" w:rsidRPr="00BD1319" w:rsidRDefault="00BF7AE1" w:rsidP="00540D1C">
            <w:pPr>
              <w:pStyle w:val="Prrafodelista"/>
              <w:tabs>
                <w:tab w:val="left" w:pos="-2268"/>
              </w:tabs>
              <w:suppressAutoHyphens/>
              <w:ind w:left="0"/>
              <w:jc w:val="center"/>
              <w:rPr>
                <w:rFonts w:cs="Arial"/>
                <w:b/>
                <w:bCs/>
                <w:spacing w:val="-3"/>
                <w:sz w:val="20"/>
                <w:szCs w:val="18"/>
                <w:lang w:val="es-CO"/>
              </w:rPr>
            </w:pPr>
          </w:p>
        </w:tc>
        <w:tc>
          <w:tcPr>
            <w:tcW w:w="831" w:type="dxa"/>
            <w:tcBorders>
              <w:bottom w:val="single" w:sz="4" w:space="0" w:color="auto"/>
            </w:tcBorders>
            <w:shd w:val="clear" w:color="auto" w:fill="DBE5F1" w:themeFill="accent1" w:themeFillTint="33"/>
            <w:vAlign w:val="center"/>
            <w:hideMark/>
          </w:tcPr>
          <w:p w14:paraId="3BBDFB9F" w14:textId="77777777" w:rsidR="00BF7AE1" w:rsidRPr="00BD1319" w:rsidRDefault="00BF7AE1" w:rsidP="00540D1C">
            <w:pPr>
              <w:pStyle w:val="Prrafodelista"/>
              <w:tabs>
                <w:tab w:val="left" w:pos="-2268"/>
              </w:tabs>
              <w:suppressAutoHyphens/>
              <w:ind w:left="0"/>
              <w:jc w:val="center"/>
              <w:rPr>
                <w:rFonts w:cs="Arial"/>
                <w:spacing w:val="-3"/>
                <w:sz w:val="16"/>
                <w:szCs w:val="18"/>
                <w:lang w:val="es-CO"/>
              </w:rPr>
            </w:pPr>
            <w:r w:rsidRPr="00BD1319">
              <w:rPr>
                <w:rFonts w:cs="Arial"/>
                <w:spacing w:val="-3"/>
                <w:sz w:val="16"/>
                <w:szCs w:val="18"/>
                <w:lang w:val="es-CO"/>
              </w:rPr>
              <w:t>Medio</w:t>
            </w:r>
          </w:p>
        </w:tc>
        <w:tc>
          <w:tcPr>
            <w:tcW w:w="832" w:type="dxa"/>
            <w:tcBorders>
              <w:bottom w:val="single" w:sz="4" w:space="0" w:color="auto"/>
            </w:tcBorders>
            <w:shd w:val="clear" w:color="auto" w:fill="DBE5F1" w:themeFill="accent1" w:themeFillTint="33"/>
            <w:vAlign w:val="center"/>
          </w:tcPr>
          <w:p w14:paraId="31332941" w14:textId="2F8D9F69" w:rsidR="00BF7AE1" w:rsidRPr="00BD1319" w:rsidRDefault="00BF7AE1" w:rsidP="00BF7AE1">
            <w:pPr>
              <w:pStyle w:val="Prrafodelista"/>
              <w:tabs>
                <w:tab w:val="left" w:pos="-2268"/>
              </w:tabs>
              <w:suppressAutoHyphens/>
              <w:ind w:left="0"/>
              <w:jc w:val="center"/>
              <w:rPr>
                <w:rFonts w:cs="Arial"/>
                <w:spacing w:val="-3"/>
                <w:sz w:val="16"/>
                <w:szCs w:val="18"/>
                <w:lang w:val="es-CO"/>
              </w:rPr>
            </w:pPr>
            <w:r w:rsidRPr="00BD1319">
              <w:rPr>
                <w:rFonts w:cs="Arial"/>
                <w:spacing w:val="-3"/>
                <w:sz w:val="16"/>
                <w:szCs w:val="18"/>
                <w:lang w:val="es-CO"/>
              </w:rPr>
              <w:t>Muy alto</w:t>
            </w:r>
          </w:p>
        </w:tc>
        <w:tc>
          <w:tcPr>
            <w:tcW w:w="831" w:type="dxa"/>
            <w:tcBorders>
              <w:bottom w:val="single" w:sz="4" w:space="0" w:color="auto"/>
            </w:tcBorders>
            <w:shd w:val="clear" w:color="auto" w:fill="DBE5F1" w:themeFill="accent1" w:themeFillTint="33"/>
            <w:vAlign w:val="center"/>
            <w:hideMark/>
          </w:tcPr>
          <w:p w14:paraId="026ACB39" w14:textId="3D0984A9" w:rsidR="00BF7AE1" w:rsidRPr="00BD1319" w:rsidRDefault="00BF7AE1" w:rsidP="00540D1C">
            <w:pPr>
              <w:pStyle w:val="Prrafodelista"/>
              <w:tabs>
                <w:tab w:val="left" w:pos="-2268"/>
              </w:tabs>
              <w:suppressAutoHyphens/>
              <w:ind w:left="0"/>
              <w:jc w:val="center"/>
              <w:rPr>
                <w:rFonts w:cs="Arial"/>
                <w:spacing w:val="-3"/>
                <w:sz w:val="16"/>
                <w:szCs w:val="18"/>
                <w:lang w:val="es-CO"/>
              </w:rPr>
            </w:pPr>
            <w:r w:rsidRPr="00BD1319">
              <w:rPr>
                <w:rFonts w:cs="Arial"/>
                <w:spacing w:val="-3"/>
                <w:sz w:val="16"/>
                <w:szCs w:val="18"/>
                <w:lang w:val="es-CO"/>
              </w:rPr>
              <w:t>Medio</w:t>
            </w:r>
          </w:p>
        </w:tc>
        <w:tc>
          <w:tcPr>
            <w:tcW w:w="832" w:type="dxa"/>
            <w:tcBorders>
              <w:bottom w:val="single" w:sz="4" w:space="0" w:color="auto"/>
            </w:tcBorders>
            <w:shd w:val="clear" w:color="auto" w:fill="DBE5F1" w:themeFill="accent1" w:themeFillTint="33"/>
            <w:vAlign w:val="center"/>
            <w:hideMark/>
          </w:tcPr>
          <w:p w14:paraId="5602EF9F" w14:textId="77777777" w:rsidR="00BF7AE1" w:rsidRPr="00BD1319" w:rsidRDefault="00BF7AE1" w:rsidP="00540D1C">
            <w:pPr>
              <w:pStyle w:val="Prrafodelista"/>
              <w:tabs>
                <w:tab w:val="left" w:pos="-2268"/>
              </w:tabs>
              <w:suppressAutoHyphens/>
              <w:ind w:left="0"/>
              <w:jc w:val="center"/>
              <w:rPr>
                <w:rFonts w:cs="Arial"/>
                <w:spacing w:val="-3"/>
                <w:sz w:val="16"/>
                <w:szCs w:val="18"/>
                <w:lang w:val="es-CO"/>
              </w:rPr>
            </w:pPr>
            <w:r w:rsidRPr="00BD1319">
              <w:rPr>
                <w:rFonts w:cs="Arial"/>
                <w:spacing w:val="-3"/>
                <w:sz w:val="16"/>
                <w:szCs w:val="18"/>
                <w:lang w:val="es-CO"/>
              </w:rPr>
              <w:t>Alto</w:t>
            </w:r>
          </w:p>
        </w:tc>
        <w:tc>
          <w:tcPr>
            <w:tcW w:w="832" w:type="dxa"/>
            <w:tcBorders>
              <w:bottom w:val="single" w:sz="4" w:space="0" w:color="auto"/>
            </w:tcBorders>
            <w:shd w:val="clear" w:color="auto" w:fill="DBE5F1" w:themeFill="accent1" w:themeFillTint="33"/>
            <w:vAlign w:val="center"/>
          </w:tcPr>
          <w:p w14:paraId="49AF7D28" w14:textId="77777777" w:rsidR="00BF7AE1" w:rsidRPr="00BD1319" w:rsidRDefault="00BF7AE1" w:rsidP="00540D1C">
            <w:pPr>
              <w:pStyle w:val="Prrafodelista"/>
              <w:tabs>
                <w:tab w:val="left" w:pos="-2268"/>
              </w:tabs>
              <w:suppressAutoHyphens/>
              <w:ind w:left="0"/>
              <w:jc w:val="center"/>
              <w:rPr>
                <w:rFonts w:cs="Arial"/>
                <w:spacing w:val="-3"/>
                <w:sz w:val="16"/>
                <w:szCs w:val="18"/>
                <w:lang w:val="es-CO"/>
              </w:rPr>
            </w:pPr>
            <w:r w:rsidRPr="00BD1319">
              <w:rPr>
                <w:rFonts w:cs="Arial"/>
                <w:spacing w:val="-3"/>
                <w:sz w:val="16"/>
                <w:szCs w:val="18"/>
                <w:lang w:val="es-CO"/>
              </w:rPr>
              <w:t>Alto</w:t>
            </w:r>
          </w:p>
        </w:tc>
      </w:tr>
      <w:tr w:rsidR="00BF7AE1" w:rsidRPr="00BD1319" w14:paraId="1A1E470A" w14:textId="77777777" w:rsidTr="00BF7AE1">
        <w:trPr>
          <w:trHeight w:val="567"/>
          <w:jc w:val="center"/>
        </w:trPr>
        <w:tc>
          <w:tcPr>
            <w:tcW w:w="817" w:type="dxa"/>
            <w:vMerge/>
            <w:shd w:val="clear" w:color="auto" w:fill="auto"/>
            <w:noWrap/>
            <w:vAlign w:val="center"/>
            <w:hideMark/>
          </w:tcPr>
          <w:p w14:paraId="6A43A91D" w14:textId="5CE215B6" w:rsidR="00BF7AE1" w:rsidRPr="00BD1319" w:rsidRDefault="00BF7AE1" w:rsidP="00540D1C">
            <w:pPr>
              <w:pStyle w:val="Prrafodelista"/>
              <w:tabs>
                <w:tab w:val="left" w:pos="-2268"/>
              </w:tabs>
              <w:suppressAutoHyphens/>
              <w:ind w:left="0"/>
              <w:jc w:val="center"/>
              <w:rPr>
                <w:rFonts w:cs="Arial"/>
                <w:b/>
                <w:bCs/>
                <w:spacing w:val="-3"/>
                <w:sz w:val="20"/>
                <w:szCs w:val="18"/>
                <w:lang w:val="es-CO"/>
              </w:rPr>
            </w:pPr>
          </w:p>
        </w:tc>
        <w:tc>
          <w:tcPr>
            <w:tcW w:w="1418" w:type="dxa"/>
            <w:vMerge/>
            <w:shd w:val="clear" w:color="auto" w:fill="auto"/>
            <w:vAlign w:val="center"/>
            <w:hideMark/>
          </w:tcPr>
          <w:p w14:paraId="40BBA1B7" w14:textId="5606B5B0" w:rsidR="00BF7AE1" w:rsidRPr="00BD1319" w:rsidRDefault="00BF7AE1" w:rsidP="00540D1C">
            <w:pPr>
              <w:pStyle w:val="Prrafodelista"/>
              <w:tabs>
                <w:tab w:val="left" w:pos="-2268"/>
              </w:tabs>
              <w:suppressAutoHyphens/>
              <w:ind w:left="-57" w:right="-57"/>
              <w:jc w:val="center"/>
              <w:rPr>
                <w:rFonts w:cs="Arial"/>
                <w:b/>
                <w:bCs/>
                <w:spacing w:val="-3"/>
                <w:sz w:val="20"/>
                <w:szCs w:val="18"/>
                <w:lang w:val="es-CO"/>
              </w:rPr>
            </w:pPr>
          </w:p>
        </w:tc>
        <w:tc>
          <w:tcPr>
            <w:tcW w:w="1701" w:type="dxa"/>
            <w:vMerge/>
            <w:shd w:val="clear" w:color="auto" w:fill="auto"/>
            <w:vAlign w:val="center"/>
            <w:hideMark/>
          </w:tcPr>
          <w:p w14:paraId="7937BDB2" w14:textId="5946E2F8" w:rsidR="00BF7AE1" w:rsidRPr="00BD1319" w:rsidRDefault="00BF7AE1" w:rsidP="00540D1C">
            <w:pPr>
              <w:pStyle w:val="Prrafodelista"/>
              <w:tabs>
                <w:tab w:val="left" w:pos="-2268"/>
              </w:tabs>
              <w:suppressAutoHyphens/>
              <w:ind w:left="0"/>
              <w:jc w:val="center"/>
              <w:rPr>
                <w:rFonts w:cs="Arial"/>
                <w:b/>
                <w:bCs/>
                <w:spacing w:val="-3"/>
                <w:sz w:val="20"/>
                <w:szCs w:val="18"/>
                <w:lang w:val="es-CO"/>
              </w:rPr>
            </w:pPr>
          </w:p>
        </w:tc>
        <w:tc>
          <w:tcPr>
            <w:tcW w:w="1559" w:type="dxa"/>
            <w:shd w:val="clear" w:color="auto" w:fill="CCC0D9" w:themeFill="accent4" w:themeFillTint="66"/>
            <w:vAlign w:val="center"/>
            <w:hideMark/>
          </w:tcPr>
          <w:p w14:paraId="6A755C28" w14:textId="77777777" w:rsidR="00BF7AE1" w:rsidRPr="00BD1319" w:rsidRDefault="00BF7AE1" w:rsidP="00540D1C">
            <w:pPr>
              <w:pStyle w:val="Prrafodelista"/>
              <w:tabs>
                <w:tab w:val="left" w:pos="-2268"/>
              </w:tabs>
              <w:suppressAutoHyphens/>
              <w:ind w:left="0"/>
              <w:jc w:val="center"/>
              <w:rPr>
                <w:rFonts w:cs="Arial"/>
                <w:b/>
                <w:bCs/>
                <w:spacing w:val="-3"/>
                <w:sz w:val="20"/>
                <w:szCs w:val="18"/>
                <w:lang w:val="es-CO"/>
              </w:rPr>
            </w:pPr>
            <w:r w:rsidRPr="00BD1319">
              <w:rPr>
                <w:rFonts w:cs="Arial"/>
                <w:b/>
                <w:bCs/>
                <w:spacing w:val="-3"/>
                <w:sz w:val="20"/>
                <w:szCs w:val="18"/>
                <w:lang w:val="es-CO"/>
              </w:rPr>
              <w:t>Sensibilidad ambiental</w:t>
            </w:r>
          </w:p>
        </w:tc>
        <w:tc>
          <w:tcPr>
            <w:tcW w:w="831" w:type="dxa"/>
            <w:shd w:val="clear" w:color="auto" w:fill="auto"/>
            <w:vAlign w:val="center"/>
            <w:hideMark/>
          </w:tcPr>
          <w:p w14:paraId="335D6C88" w14:textId="77777777" w:rsidR="00BF7AE1" w:rsidRPr="00BD1319" w:rsidRDefault="00BF7AE1" w:rsidP="00540D1C">
            <w:pPr>
              <w:pStyle w:val="Prrafodelista"/>
              <w:tabs>
                <w:tab w:val="left" w:pos="-2268"/>
              </w:tabs>
              <w:suppressAutoHyphens/>
              <w:ind w:left="0"/>
              <w:jc w:val="center"/>
              <w:rPr>
                <w:rFonts w:cs="Arial"/>
                <w:spacing w:val="-3"/>
                <w:sz w:val="16"/>
                <w:szCs w:val="18"/>
                <w:lang w:val="es-CO"/>
              </w:rPr>
            </w:pPr>
          </w:p>
        </w:tc>
        <w:tc>
          <w:tcPr>
            <w:tcW w:w="832" w:type="dxa"/>
            <w:vAlign w:val="center"/>
          </w:tcPr>
          <w:p w14:paraId="45B53349" w14:textId="77777777" w:rsidR="00BF7AE1" w:rsidRPr="00BD1319" w:rsidRDefault="00BF7AE1" w:rsidP="00BF7AE1">
            <w:pPr>
              <w:pStyle w:val="Prrafodelista"/>
              <w:tabs>
                <w:tab w:val="left" w:pos="-2268"/>
              </w:tabs>
              <w:suppressAutoHyphens/>
              <w:ind w:left="0"/>
              <w:jc w:val="center"/>
              <w:rPr>
                <w:rFonts w:cs="Arial"/>
                <w:spacing w:val="-3"/>
                <w:sz w:val="16"/>
                <w:szCs w:val="18"/>
                <w:lang w:val="es-CO"/>
              </w:rPr>
            </w:pPr>
          </w:p>
        </w:tc>
        <w:tc>
          <w:tcPr>
            <w:tcW w:w="831" w:type="dxa"/>
            <w:shd w:val="clear" w:color="auto" w:fill="auto"/>
            <w:vAlign w:val="center"/>
            <w:hideMark/>
          </w:tcPr>
          <w:p w14:paraId="22197CDE" w14:textId="12C25EA2" w:rsidR="00BF7AE1" w:rsidRPr="00BD1319" w:rsidRDefault="00BF7AE1" w:rsidP="00540D1C">
            <w:pPr>
              <w:pStyle w:val="Prrafodelista"/>
              <w:tabs>
                <w:tab w:val="left" w:pos="-2268"/>
              </w:tabs>
              <w:suppressAutoHyphens/>
              <w:ind w:left="0"/>
              <w:jc w:val="center"/>
              <w:rPr>
                <w:rFonts w:cs="Arial"/>
                <w:spacing w:val="-3"/>
                <w:sz w:val="16"/>
                <w:szCs w:val="18"/>
                <w:lang w:val="es-CO"/>
              </w:rPr>
            </w:pPr>
          </w:p>
        </w:tc>
        <w:tc>
          <w:tcPr>
            <w:tcW w:w="832" w:type="dxa"/>
            <w:shd w:val="clear" w:color="auto" w:fill="auto"/>
            <w:vAlign w:val="center"/>
            <w:hideMark/>
          </w:tcPr>
          <w:p w14:paraId="46D813DC" w14:textId="77777777" w:rsidR="00BF7AE1" w:rsidRPr="00BD1319" w:rsidRDefault="00BF7AE1" w:rsidP="00540D1C">
            <w:pPr>
              <w:pStyle w:val="Prrafodelista"/>
              <w:tabs>
                <w:tab w:val="left" w:pos="-2268"/>
              </w:tabs>
              <w:suppressAutoHyphens/>
              <w:ind w:left="0"/>
              <w:jc w:val="center"/>
              <w:rPr>
                <w:rFonts w:cs="Arial"/>
                <w:spacing w:val="-3"/>
                <w:sz w:val="16"/>
                <w:szCs w:val="18"/>
                <w:lang w:val="es-CO"/>
              </w:rPr>
            </w:pPr>
          </w:p>
        </w:tc>
        <w:tc>
          <w:tcPr>
            <w:tcW w:w="832" w:type="dxa"/>
            <w:shd w:val="clear" w:color="auto" w:fill="auto"/>
            <w:vAlign w:val="center"/>
            <w:hideMark/>
          </w:tcPr>
          <w:p w14:paraId="6A7EB623" w14:textId="77777777" w:rsidR="00BF7AE1" w:rsidRPr="00BD1319" w:rsidRDefault="00BF7AE1" w:rsidP="00540D1C">
            <w:pPr>
              <w:pStyle w:val="Prrafodelista"/>
              <w:tabs>
                <w:tab w:val="left" w:pos="-2268"/>
              </w:tabs>
              <w:suppressAutoHyphens/>
              <w:ind w:left="0"/>
              <w:jc w:val="center"/>
              <w:rPr>
                <w:rFonts w:cs="Arial"/>
                <w:spacing w:val="-3"/>
                <w:sz w:val="16"/>
                <w:szCs w:val="18"/>
                <w:lang w:val="es-CO"/>
              </w:rPr>
            </w:pPr>
          </w:p>
        </w:tc>
      </w:tr>
      <w:tr w:rsidR="00BF7AE1" w:rsidRPr="00BD1319" w14:paraId="71A141AC" w14:textId="77777777" w:rsidTr="00BF7AE1">
        <w:trPr>
          <w:trHeight w:hRule="exact" w:val="397"/>
          <w:jc w:val="center"/>
        </w:trPr>
        <w:tc>
          <w:tcPr>
            <w:tcW w:w="817" w:type="dxa"/>
            <w:vMerge w:val="restart"/>
            <w:textDirection w:val="btLr"/>
            <w:vAlign w:val="center"/>
            <w:hideMark/>
          </w:tcPr>
          <w:p w14:paraId="6449384F" w14:textId="0733DD7D" w:rsidR="00BF7AE1" w:rsidRPr="00BD1319" w:rsidRDefault="00BF7AE1" w:rsidP="00C432AF">
            <w:pPr>
              <w:pStyle w:val="Prrafodelista"/>
              <w:tabs>
                <w:tab w:val="left" w:pos="-2268"/>
              </w:tabs>
              <w:suppressAutoHyphens/>
              <w:ind w:left="113" w:right="113"/>
              <w:jc w:val="center"/>
              <w:rPr>
                <w:rFonts w:cs="Arial"/>
                <w:b/>
                <w:bCs/>
                <w:spacing w:val="-3"/>
                <w:sz w:val="16"/>
                <w:szCs w:val="18"/>
                <w:lang w:val="es-CO"/>
              </w:rPr>
            </w:pPr>
            <w:r w:rsidRPr="00BD1319">
              <w:rPr>
                <w:rFonts w:cs="Arial"/>
                <w:b/>
                <w:bCs/>
                <w:spacing w:val="-3"/>
                <w:sz w:val="16"/>
                <w:szCs w:val="18"/>
                <w:lang w:val="es-CO"/>
              </w:rPr>
              <w:t>Abiótico</w:t>
            </w:r>
          </w:p>
          <w:p w14:paraId="680228FB" w14:textId="77777777" w:rsidR="00BF7AE1" w:rsidRPr="00BD1319" w:rsidRDefault="00BF7AE1" w:rsidP="00540D1C">
            <w:pPr>
              <w:pStyle w:val="Prrafodelista"/>
              <w:tabs>
                <w:tab w:val="left" w:pos="-2268"/>
              </w:tabs>
              <w:suppressAutoHyphens/>
              <w:ind w:left="113" w:right="113"/>
              <w:jc w:val="center"/>
              <w:rPr>
                <w:rFonts w:cs="Arial"/>
                <w:b/>
                <w:bCs/>
                <w:spacing w:val="-3"/>
                <w:sz w:val="16"/>
                <w:szCs w:val="18"/>
                <w:lang w:val="es-CO"/>
              </w:rPr>
            </w:pPr>
          </w:p>
        </w:tc>
        <w:tc>
          <w:tcPr>
            <w:tcW w:w="1418" w:type="dxa"/>
            <w:vMerge w:val="restart"/>
            <w:vAlign w:val="center"/>
            <w:hideMark/>
          </w:tcPr>
          <w:p w14:paraId="35EB0FCF" w14:textId="77777777" w:rsidR="00BF7AE1" w:rsidRPr="00BD1319" w:rsidRDefault="00BF7AE1" w:rsidP="00540D1C">
            <w:pPr>
              <w:pStyle w:val="Prrafodelista"/>
              <w:tabs>
                <w:tab w:val="left" w:pos="-2268"/>
              </w:tabs>
              <w:suppressAutoHyphens/>
              <w:ind w:left="0"/>
              <w:jc w:val="center"/>
              <w:rPr>
                <w:rFonts w:cs="Arial"/>
                <w:spacing w:val="-3"/>
                <w:sz w:val="16"/>
                <w:szCs w:val="18"/>
                <w:lang w:val="es-CO"/>
              </w:rPr>
            </w:pPr>
            <w:r w:rsidRPr="00BD1319">
              <w:rPr>
                <w:rFonts w:cs="Arial"/>
                <w:spacing w:val="-3"/>
                <w:sz w:val="16"/>
                <w:szCs w:val="18"/>
                <w:lang w:val="es-CO"/>
              </w:rPr>
              <w:t>Hidrológico</w:t>
            </w:r>
          </w:p>
        </w:tc>
        <w:tc>
          <w:tcPr>
            <w:tcW w:w="1701" w:type="dxa"/>
            <w:vAlign w:val="center"/>
            <w:hideMark/>
          </w:tcPr>
          <w:p w14:paraId="15CA3DE3" w14:textId="77777777" w:rsidR="00BF7AE1" w:rsidRPr="00BD1319" w:rsidRDefault="00BF7AE1" w:rsidP="00540D1C">
            <w:pPr>
              <w:pStyle w:val="Prrafodelista"/>
              <w:tabs>
                <w:tab w:val="left" w:pos="-2268"/>
              </w:tabs>
              <w:suppressAutoHyphens/>
              <w:ind w:left="0"/>
              <w:jc w:val="center"/>
              <w:rPr>
                <w:rFonts w:cs="Arial"/>
                <w:spacing w:val="-3"/>
                <w:sz w:val="16"/>
                <w:szCs w:val="18"/>
                <w:lang w:val="es-CO"/>
              </w:rPr>
            </w:pPr>
            <w:r w:rsidRPr="00BD1319">
              <w:rPr>
                <w:rFonts w:cs="Arial"/>
                <w:spacing w:val="-3"/>
                <w:sz w:val="16"/>
                <w:szCs w:val="18"/>
                <w:lang w:val="es-CO"/>
              </w:rPr>
              <w:t>Cuenca hidrológica A</w:t>
            </w:r>
          </w:p>
        </w:tc>
        <w:tc>
          <w:tcPr>
            <w:tcW w:w="1559" w:type="dxa"/>
            <w:shd w:val="clear" w:color="auto" w:fill="CCC0D9" w:themeFill="accent4" w:themeFillTint="66"/>
            <w:vAlign w:val="center"/>
            <w:hideMark/>
          </w:tcPr>
          <w:p w14:paraId="0AB4DE19" w14:textId="77777777" w:rsidR="00BF7AE1" w:rsidRPr="00BD1319" w:rsidRDefault="00BF7AE1" w:rsidP="00540D1C">
            <w:pPr>
              <w:pStyle w:val="Prrafodelista"/>
              <w:tabs>
                <w:tab w:val="left" w:pos="-2268"/>
              </w:tabs>
              <w:suppressAutoHyphens/>
              <w:ind w:left="0"/>
              <w:jc w:val="center"/>
              <w:rPr>
                <w:rFonts w:cs="Arial"/>
                <w:spacing w:val="-3"/>
                <w:sz w:val="16"/>
                <w:szCs w:val="18"/>
                <w:lang w:val="es-CO"/>
              </w:rPr>
            </w:pPr>
            <w:r w:rsidRPr="00BD1319">
              <w:rPr>
                <w:rFonts w:cs="Arial"/>
                <w:spacing w:val="-3"/>
                <w:sz w:val="16"/>
                <w:szCs w:val="18"/>
                <w:lang w:val="es-CO"/>
              </w:rPr>
              <w:t>Muy baja</w:t>
            </w:r>
          </w:p>
        </w:tc>
        <w:tc>
          <w:tcPr>
            <w:tcW w:w="831" w:type="dxa"/>
            <w:shd w:val="clear" w:color="auto" w:fill="92D050"/>
            <w:vAlign w:val="center"/>
            <w:hideMark/>
          </w:tcPr>
          <w:p w14:paraId="57B91423" w14:textId="77777777" w:rsidR="00BF7AE1" w:rsidRPr="00BD1319" w:rsidRDefault="00BF7AE1" w:rsidP="00540D1C">
            <w:pPr>
              <w:pStyle w:val="Prrafodelista"/>
              <w:tabs>
                <w:tab w:val="left" w:pos="-2268"/>
              </w:tabs>
              <w:suppressAutoHyphens/>
              <w:ind w:left="0"/>
              <w:jc w:val="center"/>
              <w:rPr>
                <w:rFonts w:cs="Arial"/>
                <w:spacing w:val="-3"/>
                <w:sz w:val="16"/>
                <w:szCs w:val="18"/>
                <w:lang w:val="es-CO"/>
              </w:rPr>
            </w:pPr>
            <w:r w:rsidRPr="00BD1319">
              <w:rPr>
                <w:rFonts w:cs="Arial"/>
                <w:spacing w:val="-3"/>
                <w:sz w:val="16"/>
                <w:szCs w:val="18"/>
                <w:lang w:val="es-CO"/>
              </w:rPr>
              <w:t>AI</w:t>
            </w:r>
          </w:p>
        </w:tc>
        <w:tc>
          <w:tcPr>
            <w:tcW w:w="832" w:type="dxa"/>
            <w:shd w:val="clear" w:color="auto" w:fill="FFFF00"/>
            <w:vAlign w:val="center"/>
          </w:tcPr>
          <w:p w14:paraId="082B992B" w14:textId="67295217" w:rsidR="00BF7AE1" w:rsidRPr="00BD1319" w:rsidRDefault="00BF7AE1" w:rsidP="00BF7AE1">
            <w:pPr>
              <w:pStyle w:val="Prrafodelista"/>
              <w:tabs>
                <w:tab w:val="left" w:pos="-2268"/>
              </w:tabs>
              <w:suppressAutoHyphens/>
              <w:ind w:left="0"/>
              <w:jc w:val="center"/>
              <w:rPr>
                <w:rFonts w:cs="Arial"/>
                <w:spacing w:val="-3"/>
                <w:sz w:val="16"/>
                <w:szCs w:val="18"/>
                <w:lang w:val="es-CO"/>
              </w:rPr>
            </w:pPr>
            <w:r w:rsidRPr="00BD1319">
              <w:rPr>
                <w:rFonts w:cs="Arial"/>
                <w:spacing w:val="-3"/>
                <w:sz w:val="16"/>
                <w:szCs w:val="18"/>
                <w:lang w:val="es-CO"/>
              </w:rPr>
              <w:t>AIR</w:t>
            </w:r>
          </w:p>
        </w:tc>
        <w:tc>
          <w:tcPr>
            <w:tcW w:w="831" w:type="dxa"/>
            <w:shd w:val="clear" w:color="auto" w:fill="auto"/>
            <w:vAlign w:val="center"/>
          </w:tcPr>
          <w:p w14:paraId="72465F40" w14:textId="537D4778" w:rsidR="00BF7AE1" w:rsidRPr="00BD1319" w:rsidRDefault="00BF7AE1" w:rsidP="00540D1C">
            <w:pPr>
              <w:pStyle w:val="Prrafodelista"/>
              <w:tabs>
                <w:tab w:val="left" w:pos="-2268"/>
              </w:tabs>
              <w:suppressAutoHyphens/>
              <w:ind w:left="0"/>
              <w:jc w:val="center"/>
              <w:rPr>
                <w:rFonts w:cs="Arial"/>
                <w:spacing w:val="-3"/>
                <w:sz w:val="16"/>
                <w:szCs w:val="18"/>
                <w:lang w:val="es-CO"/>
              </w:rPr>
            </w:pPr>
          </w:p>
        </w:tc>
        <w:tc>
          <w:tcPr>
            <w:tcW w:w="832" w:type="dxa"/>
            <w:shd w:val="clear" w:color="auto" w:fill="auto"/>
            <w:vAlign w:val="center"/>
          </w:tcPr>
          <w:p w14:paraId="10C1009B" w14:textId="77777777" w:rsidR="00BF7AE1" w:rsidRPr="00BD1319" w:rsidRDefault="00BF7AE1" w:rsidP="00540D1C">
            <w:pPr>
              <w:pStyle w:val="Prrafodelista"/>
              <w:tabs>
                <w:tab w:val="left" w:pos="-2268"/>
              </w:tabs>
              <w:suppressAutoHyphens/>
              <w:ind w:left="0"/>
              <w:jc w:val="center"/>
              <w:rPr>
                <w:rFonts w:cs="Arial"/>
                <w:spacing w:val="-3"/>
                <w:sz w:val="16"/>
                <w:szCs w:val="18"/>
                <w:lang w:val="es-CO"/>
              </w:rPr>
            </w:pPr>
          </w:p>
        </w:tc>
        <w:tc>
          <w:tcPr>
            <w:tcW w:w="832" w:type="dxa"/>
            <w:vAlign w:val="center"/>
            <w:hideMark/>
          </w:tcPr>
          <w:p w14:paraId="5740F26E" w14:textId="77777777" w:rsidR="00BF7AE1" w:rsidRPr="00BD1319" w:rsidRDefault="00BF7AE1" w:rsidP="00540D1C">
            <w:pPr>
              <w:pStyle w:val="Prrafodelista"/>
              <w:tabs>
                <w:tab w:val="left" w:pos="-2268"/>
              </w:tabs>
              <w:suppressAutoHyphens/>
              <w:ind w:left="0"/>
              <w:jc w:val="center"/>
              <w:rPr>
                <w:rFonts w:cs="Arial"/>
                <w:spacing w:val="-3"/>
                <w:sz w:val="16"/>
                <w:szCs w:val="18"/>
                <w:lang w:val="es-CO"/>
              </w:rPr>
            </w:pPr>
          </w:p>
        </w:tc>
      </w:tr>
      <w:tr w:rsidR="00BF7AE1" w:rsidRPr="00BD1319" w14:paraId="5E184279" w14:textId="77777777" w:rsidTr="00BF7AE1">
        <w:trPr>
          <w:trHeight w:hRule="exact" w:val="397"/>
          <w:jc w:val="center"/>
        </w:trPr>
        <w:tc>
          <w:tcPr>
            <w:tcW w:w="817" w:type="dxa"/>
            <w:vMerge/>
            <w:textDirection w:val="btLr"/>
            <w:vAlign w:val="center"/>
            <w:hideMark/>
          </w:tcPr>
          <w:p w14:paraId="526149E9" w14:textId="77777777" w:rsidR="00BF7AE1" w:rsidRPr="00BD1319" w:rsidRDefault="00BF7AE1" w:rsidP="00540D1C">
            <w:pPr>
              <w:pStyle w:val="Prrafodelista"/>
              <w:tabs>
                <w:tab w:val="left" w:pos="-2268"/>
              </w:tabs>
              <w:suppressAutoHyphens/>
              <w:ind w:left="113" w:right="113"/>
              <w:jc w:val="center"/>
              <w:rPr>
                <w:rFonts w:cs="Arial"/>
                <w:b/>
                <w:bCs/>
                <w:spacing w:val="-3"/>
                <w:sz w:val="16"/>
                <w:szCs w:val="18"/>
                <w:lang w:val="es-CO"/>
              </w:rPr>
            </w:pPr>
          </w:p>
        </w:tc>
        <w:tc>
          <w:tcPr>
            <w:tcW w:w="1418" w:type="dxa"/>
            <w:vMerge/>
            <w:vAlign w:val="center"/>
            <w:hideMark/>
          </w:tcPr>
          <w:p w14:paraId="795D552B" w14:textId="77777777" w:rsidR="00BF7AE1" w:rsidRPr="00BD1319" w:rsidRDefault="00BF7AE1" w:rsidP="00540D1C">
            <w:pPr>
              <w:pStyle w:val="Prrafodelista"/>
              <w:tabs>
                <w:tab w:val="left" w:pos="-2268"/>
              </w:tabs>
              <w:suppressAutoHyphens/>
              <w:ind w:left="0"/>
              <w:jc w:val="center"/>
              <w:rPr>
                <w:rFonts w:cs="Arial"/>
                <w:spacing w:val="-3"/>
                <w:sz w:val="16"/>
                <w:szCs w:val="18"/>
                <w:lang w:val="es-CO"/>
              </w:rPr>
            </w:pPr>
          </w:p>
        </w:tc>
        <w:tc>
          <w:tcPr>
            <w:tcW w:w="1701" w:type="dxa"/>
            <w:vAlign w:val="center"/>
            <w:hideMark/>
          </w:tcPr>
          <w:p w14:paraId="0C99578C" w14:textId="77777777" w:rsidR="00BF7AE1" w:rsidRPr="00BD1319" w:rsidRDefault="00BF7AE1" w:rsidP="00540D1C">
            <w:pPr>
              <w:pStyle w:val="Prrafodelista"/>
              <w:tabs>
                <w:tab w:val="left" w:pos="-2268"/>
              </w:tabs>
              <w:suppressAutoHyphens/>
              <w:ind w:left="0"/>
              <w:jc w:val="center"/>
              <w:rPr>
                <w:rFonts w:cs="Arial"/>
                <w:spacing w:val="-3"/>
                <w:sz w:val="16"/>
                <w:szCs w:val="18"/>
                <w:lang w:val="es-CO"/>
              </w:rPr>
            </w:pPr>
            <w:r w:rsidRPr="00BD1319">
              <w:rPr>
                <w:rFonts w:cs="Arial"/>
                <w:spacing w:val="-3"/>
                <w:sz w:val="16"/>
                <w:szCs w:val="18"/>
                <w:lang w:val="es-CO"/>
              </w:rPr>
              <w:t>Cuenca hidrológica B</w:t>
            </w:r>
          </w:p>
        </w:tc>
        <w:tc>
          <w:tcPr>
            <w:tcW w:w="1559" w:type="dxa"/>
            <w:shd w:val="clear" w:color="auto" w:fill="CCC0D9" w:themeFill="accent4" w:themeFillTint="66"/>
            <w:vAlign w:val="center"/>
            <w:hideMark/>
          </w:tcPr>
          <w:p w14:paraId="71C0522D" w14:textId="77777777" w:rsidR="00BF7AE1" w:rsidRPr="00BD1319" w:rsidRDefault="00BF7AE1" w:rsidP="00540D1C">
            <w:pPr>
              <w:pStyle w:val="Prrafodelista"/>
              <w:tabs>
                <w:tab w:val="left" w:pos="-2268"/>
              </w:tabs>
              <w:suppressAutoHyphens/>
              <w:ind w:left="0"/>
              <w:jc w:val="center"/>
              <w:rPr>
                <w:rFonts w:cs="Arial"/>
                <w:spacing w:val="-3"/>
                <w:sz w:val="16"/>
                <w:szCs w:val="18"/>
                <w:lang w:val="es-CO"/>
              </w:rPr>
            </w:pPr>
            <w:r w:rsidRPr="00BD1319">
              <w:rPr>
                <w:rFonts w:cs="Arial"/>
                <w:spacing w:val="-3"/>
                <w:sz w:val="16"/>
                <w:szCs w:val="18"/>
                <w:lang w:val="es-CO"/>
              </w:rPr>
              <w:t>Media</w:t>
            </w:r>
          </w:p>
        </w:tc>
        <w:tc>
          <w:tcPr>
            <w:tcW w:w="831" w:type="dxa"/>
            <w:shd w:val="clear" w:color="auto" w:fill="FFFF00"/>
            <w:vAlign w:val="center"/>
            <w:hideMark/>
          </w:tcPr>
          <w:p w14:paraId="7A1D6AA6" w14:textId="77777777" w:rsidR="00BF7AE1" w:rsidRPr="00BD1319" w:rsidRDefault="00BF7AE1" w:rsidP="00540D1C">
            <w:pPr>
              <w:pStyle w:val="Prrafodelista"/>
              <w:tabs>
                <w:tab w:val="left" w:pos="-2268"/>
              </w:tabs>
              <w:suppressAutoHyphens/>
              <w:ind w:left="0"/>
              <w:jc w:val="center"/>
              <w:rPr>
                <w:rFonts w:cs="Arial"/>
                <w:spacing w:val="-3"/>
                <w:sz w:val="16"/>
                <w:szCs w:val="18"/>
                <w:lang w:val="es-CO"/>
              </w:rPr>
            </w:pPr>
            <w:r w:rsidRPr="00BD1319">
              <w:rPr>
                <w:rFonts w:cs="Arial"/>
                <w:spacing w:val="-3"/>
                <w:sz w:val="16"/>
                <w:szCs w:val="18"/>
                <w:lang w:val="es-CO"/>
              </w:rPr>
              <w:t>AIR</w:t>
            </w:r>
          </w:p>
        </w:tc>
        <w:tc>
          <w:tcPr>
            <w:tcW w:w="832" w:type="dxa"/>
            <w:shd w:val="clear" w:color="auto" w:fill="FFFF00"/>
            <w:vAlign w:val="center"/>
          </w:tcPr>
          <w:p w14:paraId="0AAA57A3" w14:textId="2E845AE9" w:rsidR="00BF7AE1" w:rsidRPr="00BD1319" w:rsidRDefault="00BF7AE1" w:rsidP="00BF7AE1">
            <w:pPr>
              <w:pStyle w:val="Prrafodelista"/>
              <w:tabs>
                <w:tab w:val="left" w:pos="-2268"/>
              </w:tabs>
              <w:suppressAutoHyphens/>
              <w:ind w:left="0"/>
              <w:jc w:val="center"/>
              <w:rPr>
                <w:rFonts w:cs="Arial"/>
                <w:spacing w:val="-3"/>
                <w:sz w:val="16"/>
                <w:szCs w:val="18"/>
                <w:lang w:val="es-CO"/>
              </w:rPr>
            </w:pPr>
            <w:r w:rsidRPr="00BD1319">
              <w:rPr>
                <w:rFonts w:cs="Arial"/>
                <w:spacing w:val="-3"/>
                <w:sz w:val="16"/>
                <w:szCs w:val="18"/>
                <w:lang w:val="es-CO"/>
              </w:rPr>
              <w:t>AIR</w:t>
            </w:r>
          </w:p>
        </w:tc>
        <w:tc>
          <w:tcPr>
            <w:tcW w:w="831" w:type="dxa"/>
            <w:shd w:val="clear" w:color="auto" w:fill="auto"/>
            <w:vAlign w:val="center"/>
            <w:hideMark/>
          </w:tcPr>
          <w:p w14:paraId="55916E7F" w14:textId="0B9FC08B" w:rsidR="00BF7AE1" w:rsidRPr="00BD1319" w:rsidRDefault="00BF7AE1" w:rsidP="00540D1C">
            <w:pPr>
              <w:pStyle w:val="Prrafodelista"/>
              <w:tabs>
                <w:tab w:val="left" w:pos="-2268"/>
              </w:tabs>
              <w:suppressAutoHyphens/>
              <w:ind w:left="0"/>
              <w:jc w:val="center"/>
              <w:rPr>
                <w:rFonts w:cs="Arial"/>
                <w:spacing w:val="-3"/>
                <w:sz w:val="16"/>
                <w:szCs w:val="18"/>
                <w:lang w:val="es-CO"/>
              </w:rPr>
            </w:pPr>
          </w:p>
        </w:tc>
        <w:tc>
          <w:tcPr>
            <w:tcW w:w="832" w:type="dxa"/>
            <w:shd w:val="clear" w:color="auto" w:fill="auto"/>
            <w:vAlign w:val="center"/>
          </w:tcPr>
          <w:p w14:paraId="4748D248" w14:textId="77777777" w:rsidR="00BF7AE1" w:rsidRPr="00BD1319" w:rsidRDefault="00BF7AE1" w:rsidP="00540D1C">
            <w:pPr>
              <w:pStyle w:val="Prrafodelista"/>
              <w:tabs>
                <w:tab w:val="left" w:pos="-2268"/>
              </w:tabs>
              <w:suppressAutoHyphens/>
              <w:ind w:left="0"/>
              <w:jc w:val="center"/>
              <w:rPr>
                <w:rFonts w:cs="Arial"/>
                <w:spacing w:val="-3"/>
                <w:sz w:val="16"/>
                <w:szCs w:val="18"/>
                <w:lang w:val="es-CO"/>
              </w:rPr>
            </w:pPr>
          </w:p>
        </w:tc>
        <w:tc>
          <w:tcPr>
            <w:tcW w:w="832" w:type="dxa"/>
            <w:vAlign w:val="center"/>
            <w:hideMark/>
          </w:tcPr>
          <w:p w14:paraId="4FB7ED52" w14:textId="77777777" w:rsidR="00BF7AE1" w:rsidRPr="00BD1319" w:rsidRDefault="00BF7AE1" w:rsidP="00540D1C">
            <w:pPr>
              <w:pStyle w:val="Prrafodelista"/>
              <w:tabs>
                <w:tab w:val="left" w:pos="-2268"/>
              </w:tabs>
              <w:suppressAutoHyphens/>
              <w:ind w:left="0"/>
              <w:jc w:val="center"/>
              <w:rPr>
                <w:rFonts w:cs="Arial"/>
                <w:spacing w:val="-3"/>
                <w:sz w:val="16"/>
                <w:szCs w:val="18"/>
                <w:lang w:val="es-CO"/>
              </w:rPr>
            </w:pPr>
          </w:p>
        </w:tc>
      </w:tr>
      <w:tr w:rsidR="00BF7AE1" w:rsidRPr="00BD1319" w14:paraId="4BDD3E43" w14:textId="77777777" w:rsidTr="00BF7AE1">
        <w:trPr>
          <w:trHeight w:hRule="exact" w:val="284"/>
          <w:jc w:val="center"/>
        </w:trPr>
        <w:tc>
          <w:tcPr>
            <w:tcW w:w="817" w:type="dxa"/>
            <w:vMerge/>
            <w:textDirection w:val="btLr"/>
            <w:vAlign w:val="center"/>
            <w:hideMark/>
          </w:tcPr>
          <w:p w14:paraId="63BAF412" w14:textId="77777777" w:rsidR="00BF7AE1" w:rsidRPr="00BD1319" w:rsidRDefault="00BF7AE1" w:rsidP="00540D1C">
            <w:pPr>
              <w:pStyle w:val="Prrafodelista"/>
              <w:tabs>
                <w:tab w:val="left" w:pos="-2268"/>
              </w:tabs>
              <w:suppressAutoHyphens/>
              <w:ind w:left="113" w:right="113"/>
              <w:jc w:val="center"/>
              <w:rPr>
                <w:rFonts w:cs="Arial"/>
                <w:b/>
                <w:bCs/>
                <w:spacing w:val="-3"/>
                <w:sz w:val="16"/>
                <w:szCs w:val="18"/>
                <w:lang w:val="es-CO"/>
              </w:rPr>
            </w:pPr>
          </w:p>
        </w:tc>
        <w:tc>
          <w:tcPr>
            <w:tcW w:w="1418" w:type="dxa"/>
            <w:vMerge w:val="restart"/>
            <w:vAlign w:val="center"/>
            <w:hideMark/>
          </w:tcPr>
          <w:p w14:paraId="163247C2" w14:textId="77777777" w:rsidR="00BF7AE1" w:rsidRPr="00BD1319" w:rsidRDefault="00BF7AE1" w:rsidP="00540D1C">
            <w:pPr>
              <w:pStyle w:val="Prrafodelista"/>
              <w:tabs>
                <w:tab w:val="left" w:pos="-2268"/>
              </w:tabs>
              <w:suppressAutoHyphens/>
              <w:ind w:left="0"/>
              <w:jc w:val="center"/>
              <w:rPr>
                <w:rFonts w:cs="Arial"/>
                <w:spacing w:val="-3"/>
                <w:sz w:val="16"/>
                <w:szCs w:val="18"/>
                <w:lang w:val="es-CO"/>
              </w:rPr>
            </w:pPr>
            <w:r w:rsidRPr="00BD1319">
              <w:rPr>
                <w:rFonts w:cs="Arial"/>
                <w:spacing w:val="-3"/>
                <w:sz w:val="16"/>
                <w:szCs w:val="18"/>
                <w:lang w:val="es-CO"/>
              </w:rPr>
              <w:t>Edafológico</w:t>
            </w:r>
          </w:p>
        </w:tc>
        <w:tc>
          <w:tcPr>
            <w:tcW w:w="1701" w:type="dxa"/>
            <w:noWrap/>
            <w:vAlign w:val="center"/>
            <w:hideMark/>
          </w:tcPr>
          <w:p w14:paraId="21F7A290" w14:textId="77777777" w:rsidR="00BF7AE1" w:rsidRPr="00BD1319" w:rsidRDefault="00BF7AE1" w:rsidP="00540D1C">
            <w:pPr>
              <w:pStyle w:val="Prrafodelista"/>
              <w:tabs>
                <w:tab w:val="left" w:pos="-2268"/>
              </w:tabs>
              <w:suppressAutoHyphens/>
              <w:ind w:left="0"/>
              <w:jc w:val="center"/>
              <w:rPr>
                <w:rFonts w:cs="Arial"/>
                <w:spacing w:val="-3"/>
                <w:sz w:val="16"/>
                <w:szCs w:val="18"/>
                <w:lang w:val="es-CO"/>
              </w:rPr>
            </w:pPr>
            <w:r w:rsidRPr="00BD1319">
              <w:rPr>
                <w:rFonts w:cs="Arial"/>
                <w:spacing w:val="-3"/>
                <w:sz w:val="16"/>
                <w:szCs w:val="18"/>
                <w:lang w:val="es-CO"/>
              </w:rPr>
              <w:t>UCS 1</w:t>
            </w:r>
          </w:p>
        </w:tc>
        <w:tc>
          <w:tcPr>
            <w:tcW w:w="1559" w:type="dxa"/>
            <w:shd w:val="clear" w:color="auto" w:fill="CCC0D9" w:themeFill="accent4" w:themeFillTint="66"/>
            <w:vAlign w:val="center"/>
            <w:hideMark/>
          </w:tcPr>
          <w:p w14:paraId="342433EC" w14:textId="77777777" w:rsidR="00BF7AE1" w:rsidRPr="00BD1319" w:rsidRDefault="00BF7AE1" w:rsidP="00540D1C">
            <w:pPr>
              <w:pStyle w:val="Prrafodelista"/>
              <w:tabs>
                <w:tab w:val="left" w:pos="-2268"/>
              </w:tabs>
              <w:suppressAutoHyphens/>
              <w:ind w:left="0"/>
              <w:jc w:val="center"/>
              <w:rPr>
                <w:rFonts w:cs="Arial"/>
                <w:spacing w:val="-3"/>
                <w:sz w:val="16"/>
                <w:szCs w:val="18"/>
                <w:lang w:val="es-CO"/>
              </w:rPr>
            </w:pPr>
            <w:r w:rsidRPr="00BD1319">
              <w:rPr>
                <w:rFonts w:cs="Arial"/>
                <w:spacing w:val="-3"/>
                <w:sz w:val="16"/>
                <w:szCs w:val="18"/>
                <w:lang w:val="es-CO"/>
              </w:rPr>
              <w:t>Baja</w:t>
            </w:r>
          </w:p>
        </w:tc>
        <w:tc>
          <w:tcPr>
            <w:tcW w:w="831" w:type="dxa"/>
            <w:shd w:val="clear" w:color="auto" w:fill="auto"/>
            <w:vAlign w:val="center"/>
          </w:tcPr>
          <w:p w14:paraId="6BE8B4C1" w14:textId="77777777" w:rsidR="00BF7AE1" w:rsidRPr="00BD1319" w:rsidRDefault="00BF7AE1" w:rsidP="00540D1C">
            <w:pPr>
              <w:pStyle w:val="Prrafodelista"/>
              <w:tabs>
                <w:tab w:val="left" w:pos="-2268"/>
              </w:tabs>
              <w:suppressAutoHyphens/>
              <w:ind w:left="0"/>
              <w:jc w:val="center"/>
              <w:rPr>
                <w:rFonts w:cs="Arial"/>
                <w:spacing w:val="-3"/>
                <w:sz w:val="16"/>
                <w:szCs w:val="18"/>
                <w:lang w:val="es-CO"/>
              </w:rPr>
            </w:pPr>
          </w:p>
        </w:tc>
        <w:tc>
          <w:tcPr>
            <w:tcW w:w="832" w:type="dxa"/>
            <w:vAlign w:val="center"/>
          </w:tcPr>
          <w:p w14:paraId="03ED5788" w14:textId="77777777" w:rsidR="00BF7AE1" w:rsidRPr="00BD1319" w:rsidRDefault="00BF7AE1" w:rsidP="00BF7AE1">
            <w:pPr>
              <w:pStyle w:val="Prrafodelista"/>
              <w:tabs>
                <w:tab w:val="left" w:pos="-2268"/>
              </w:tabs>
              <w:suppressAutoHyphens/>
              <w:ind w:left="0"/>
              <w:jc w:val="center"/>
              <w:rPr>
                <w:rFonts w:cs="Arial"/>
                <w:spacing w:val="-3"/>
                <w:sz w:val="16"/>
                <w:szCs w:val="18"/>
                <w:lang w:val="es-CO"/>
              </w:rPr>
            </w:pPr>
          </w:p>
        </w:tc>
        <w:tc>
          <w:tcPr>
            <w:tcW w:w="831" w:type="dxa"/>
            <w:shd w:val="clear" w:color="auto" w:fill="92D050"/>
            <w:vAlign w:val="center"/>
            <w:hideMark/>
          </w:tcPr>
          <w:p w14:paraId="596B5004" w14:textId="43F0B21A" w:rsidR="00BF7AE1" w:rsidRPr="00BD1319" w:rsidRDefault="00BF7AE1" w:rsidP="00540D1C">
            <w:pPr>
              <w:pStyle w:val="Prrafodelista"/>
              <w:tabs>
                <w:tab w:val="left" w:pos="-2268"/>
              </w:tabs>
              <w:suppressAutoHyphens/>
              <w:ind w:left="0"/>
              <w:jc w:val="center"/>
              <w:rPr>
                <w:rFonts w:cs="Arial"/>
                <w:spacing w:val="-3"/>
                <w:sz w:val="16"/>
                <w:szCs w:val="18"/>
                <w:lang w:val="es-CO"/>
              </w:rPr>
            </w:pPr>
            <w:r w:rsidRPr="00BD1319">
              <w:rPr>
                <w:rFonts w:cs="Arial"/>
                <w:spacing w:val="-3"/>
                <w:sz w:val="16"/>
                <w:szCs w:val="18"/>
                <w:lang w:val="es-CO"/>
              </w:rPr>
              <w:t>AI</w:t>
            </w:r>
          </w:p>
        </w:tc>
        <w:tc>
          <w:tcPr>
            <w:tcW w:w="832" w:type="dxa"/>
            <w:shd w:val="clear" w:color="auto" w:fill="auto"/>
            <w:vAlign w:val="center"/>
          </w:tcPr>
          <w:p w14:paraId="04E985B2" w14:textId="77777777" w:rsidR="00BF7AE1" w:rsidRPr="00BD1319" w:rsidRDefault="00BF7AE1" w:rsidP="00540D1C">
            <w:pPr>
              <w:pStyle w:val="Prrafodelista"/>
              <w:tabs>
                <w:tab w:val="left" w:pos="-2268"/>
              </w:tabs>
              <w:suppressAutoHyphens/>
              <w:ind w:left="0"/>
              <w:jc w:val="center"/>
              <w:rPr>
                <w:rFonts w:cs="Arial"/>
                <w:spacing w:val="-3"/>
                <w:sz w:val="16"/>
                <w:szCs w:val="18"/>
                <w:lang w:val="es-CO"/>
              </w:rPr>
            </w:pPr>
          </w:p>
        </w:tc>
        <w:tc>
          <w:tcPr>
            <w:tcW w:w="832" w:type="dxa"/>
            <w:vAlign w:val="center"/>
            <w:hideMark/>
          </w:tcPr>
          <w:p w14:paraId="0DBAA1C8" w14:textId="77777777" w:rsidR="00BF7AE1" w:rsidRPr="00BD1319" w:rsidRDefault="00BF7AE1" w:rsidP="00540D1C">
            <w:pPr>
              <w:pStyle w:val="Prrafodelista"/>
              <w:tabs>
                <w:tab w:val="left" w:pos="-2268"/>
              </w:tabs>
              <w:suppressAutoHyphens/>
              <w:ind w:left="0"/>
              <w:jc w:val="center"/>
              <w:rPr>
                <w:rFonts w:cs="Arial"/>
                <w:spacing w:val="-3"/>
                <w:sz w:val="16"/>
                <w:szCs w:val="18"/>
                <w:lang w:val="es-CO"/>
              </w:rPr>
            </w:pPr>
          </w:p>
        </w:tc>
      </w:tr>
      <w:tr w:rsidR="00BF7AE1" w:rsidRPr="00BD1319" w14:paraId="267A880F" w14:textId="77777777" w:rsidTr="00BF7AE1">
        <w:trPr>
          <w:trHeight w:hRule="exact" w:val="284"/>
          <w:jc w:val="center"/>
        </w:trPr>
        <w:tc>
          <w:tcPr>
            <w:tcW w:w="817" w:type="dxa"/>
            <w:vMerge/>
            <w:textDirection w:val="btLr"/>
            <w:vAlign w:val="center"/>
            <w:hideMark/>
          </w:tcPr>
          <w:p w14:paraId="01AA6A8F" w14:textId="77777777" w:rsidR="00BF7AE1" w:rsidRPr="00BD1319" w:rsidRDefault="00BF7AE1" w:rsidP="00540D1C">
            <w:pPr>
              <w:pStyle w:val="Prrafodelista"/>
              <w:tabs>
                <w:tab w:val="left" w:pos="-2268"/>
              </w:tabs>
              <w:suppressAutoHyphens/>
              <w:ind w:left="113" w:right="113"/>
              <w:jc w:val="center"/>
              <w:rPr>
                <w:rFonts w:cs="Arial"/>
                <w:b/>
                <w:bCs/>
                <w:spacing w:val="-3"/>
                <w:sz w:val="16"/>
                <w:szCs w:val="18"/>
                <w:lang w:val="es-CO"/>
              </w:rPr>
            </w:pPr>
          </w:p>
        </w:tc>
        <w:tc>
          <w:tcPr>
            <w:tcW w:w="1418" w:type="dxa"/>
            <w:vMerge/>
            <w:vAlign w:val="center"/>
            <w:hideMark/>
          </w:tcPr>
          <w:p w14:paraId="01C697BE" w14:textId="77777777" w:rsidR="00BF7AE1" w:rsidRPr="00BD1319" w:rsidRDefault="00BF7AE1" w:rsidP="00540D1C">
            <w:pPr>
              <w:pStyle w:val="Prrafodelista"/>
              <w:tabs>
                <w:tab w:val="left" w:pos="-2268"/>
              </w:tabs>
              <w:suppressAutoHyphens/>
              <w:ind w:left="0"/>
              <w:jc w:val="center"/>
              <w:rPr>
                <w:rFonts w:cs="Arial"/>
                <w:spacing w:val="-3"/>
                <w:sz w:val="16"/>
                <w:szCs w:val="18"/>
                <w:lang w:val="es-CO"/>
              </w:rPr>
            </w:pPr>
          </w:p>
        </w:tc>
        <w:tc>
          <w:tcPr>
            <w:tcW w:w="1701" w:type="dxa"/>
            <w:noWrap/>
            <w:vAlign w:val="center"/>
            <w:hideMark/>
          </w:tcPr>
          <w:p w14:paraId="3AB7F273" w14:textId="77777777" w:rsidR="00BF7AE1" w:rsidRPr="00BD1319" w:rsidRDefault="00BF7AE1" w:rsidP="00540D1C">
            <w:pPr>
              <w:pStyle w:val="Prrafodelista"/>
              <w:tabs>
                <w:tab w:val="left" w:pos="-2268"/>
              </w:tabs>
              <w:suppressAutoHyphens/>
              <w:ind w:left="0"/>
              <w:jc w:val="center"/>
              <w:rPr>
                <w:rFonts w:cs="Arial"/>
                <w:spacing w:val="-3"/>
                <w:sz w:val="16"/>
                <w:szCs w:val="18"/>
                <w:lang w:val="es-CO"/>
              </w:rPr>
            </w:pPr>
            <w:r w:rsidRPr="00BD1319">
              <w:rPr>
                <w:rFonts w:cs="Arial"/>
                <w:spacing w:val="-3"/>
                <w:sz w:val="16"/>
                <w:szCs w:val="18"/>
                <w:lang w:val="es-CO"/>
              </w:rPr>
              <w:t>UCS 14</w:t>
            </w:r>
          </w:p>
        </w:tc>
        <w:tc>
          <w:tcPr>
            <w:tcW w:w="1559" w:type="dxa"/>
            <w:shd w:val="clear" w:color="auto" w:fill="CCC0D9" w:themeFill="accent4" w:themeFillTint="66"/>
            <w:vAlign w:val="center"/>
            <w:hideMark/>
          </w:tcPr>
          <w:p w14:paraId="3DDCE683" w14:textId="77777777" w:rsidR="00BF7AE1" w:rsidRPr="00BD1319" w:rsidRDefault="00BF7AE1" w:rsidP="00540D1C">
            <w:pPr>
              <w:pStyle w:val="Prrafodelista"/>
              <w:tabs>
                <w:tab w:val="left" w:pos="-2268"/>
              </w:tabs>
              <w:suppressAutoHyphens/>
              <w:ind w:left="0"/>
              <w:jc w:val="center"/>
              <w:rPr>
                <w:rFonts w:cs="Arial"/>
                <w:spacing w:val="-3"/>
                <w:sz w:val="16"/>
                <w:szCs w:val="18"/>
                <w:lang w:val="es-CO"/>
              </w:rPr>
            </w:pPr>
            <w:r w:rsidRPr="00BD1319">
              <w:rPr>
                <w:rFonts w:cs="Arial"/>
                <w:spacing w:val="-3"/>
                <w:sz w:val="16"/>
                <w:szCs w:val="18"/>
                <w:lang w:val="es-CO"/>
              </w:rPr>
              <w:t>Media</w:t>
            </w:r>
          </w:p>
        </w:tc>
        <w:tc>
          <w:tcPr>
            <w:tcW w:w="831" w:type="dxa"/>
            <w:shd w:val="clear" w:color="auto" w:fill="auto"/>
            <w:vAlign w:val="center"/>
          </w:tcPr>
          <w:p w14:paraId="5E83FF63" w14:textId="77777777" w:rsidR="00BF7AE1" w:rsidRPr="00BD1319" w:rsidRDefault="00BF7AE1" w:rsidP="00540D1C">
            <w:pPr>
              <w:pStyle w:val="Prrafodelista"/>
              <w:tabs>
                <w:tab w:val="left" w:pos="-2268"/>
              </w:tabs>
              <w:suppressAutoHyphens/>
              <w:ind w:left="0"/>
              <w:jc w:val="center"/>
              <w:rPr>
                <w:rFonts w:cs="Arial"/>
                <w:spacing w:val="-3"/>
                <w:sz w:val="16"/>
                <w:szCs w:val="18"/>
                <w:lang w:val="es-CO"/>
              </w:rPr>
            </w:pPr>
          </w:p>
        </w:tc>
        <w:tc>
          <w:tcPr>
            <w:tcW w:w="832" w:type="dxa"/>
            <w:vAlign w:val="center"/>
          </w:tcPr>
          <w:p w14:paraId="153E141B" w14:textId="77777777" w:rsidR="00BF7AE1" w:rsidRPr="00BD1319" w:rsidRDefault="00BF7AE1" w:rsidP="00BF7AE1">
            <w:pPr>
              <w:pStyle w:val="Prrafodelista"/>
              <w:tabs>
                <w:tab w:val="left" w:pos="-2268"/>
              </w:tabs>
              <w:suppressAutoHyphens/>
              <w:ind w:left="0"/>
              <w:jc w:val="center"/>
              <w:rPr>
                <w:rFonts w:cs="Arial"/>
                <w:spacing w:val="-3"/>
                <w:sz w:val="16"/>
                <w:szCs w:val="18"/>
                <w:lang w:val="es-CO"/>
              </w:rPr>
            </w:pPr>
          </w:p>
        </w:tc>
        <w:tc>
          <w:tcPr>
            <w:tcW w:w="831" w:type="dxa"/>
            <w:shd w:val="clear" w:color="auto" w:fill="FFFF00"/>
            <w:vAlign w:val="center"/>
            <w:hideMark/>
          </w:tcPr>
          <w:p w14:paraId="08E963F7" w14:textId="4343A5D7" w:rsidR="00BF7AE1" w:rsidRPr="00BD1319" w:rsidRDefault="00BF7AE1" w:rsidP="00540D1C">
            <w:pPr>
              <w:pStyle w:val="Prrafodelista"/>
              <w:tabs>
                <w:tab w:val="left" w:pos="-2268"/>
              </w:tabs>
              <w:suppressAutoHyphens/>
              <w:ind w:left="0"/>
              <w:jc w:val="center"/>
              <w:rPr>
                <w:rFonts w:cs="Arial"/>
                <w:spacing w:val="-3"/>
                <w:sz w:val="16"/>
                <w:szCs w:val="18"/>
                <w:lang w:val="es-CO"/>
              </w:rPr>
            </w:pPr>
            <w:r w:rsidRPr="00BD1319">
              <w:rPr>
                <w:rFonts w:cs="Arial"/>
                <w:spacing w:val="-3"/>
                <w:sz w:val="16"/>
                <w:szCs w:val="18"/>
                <w:lang w:val="es-CO"/>
              </w:rPr>
              <w:t>AIR</w:t>
            </w:r>
          </w:p>
        </w:tc>
        <w:tc>
          <w:tcPr>
            <w:tcW w:w="832" w:type="dxa"/>
            <w:vAlign w:val="center"/>
            <w:hideMark/>
          </w:tcPr>
          <w:p w14:paraId="7CACBCE4" w14:textId="77777777" w:rsidR="00BF7AE1" w:rsidRPr="00BD1319" w:rsidRDefault="00BF7AE1" w:rsidP="00540D1C">
            <w:pPr>
              <w:pStyle w:val="Prrafodelista"/>
              <w:tabs>
                <w:tab w:val="left" w:pos="-2268"/>
              </w:tabs>
              <w:suppressAutoHyphens/>
              <w:ind w:left="0"/>
              <w:jc w:val="center"/>
              <w:rPr>
                <w:rFonts w:cs="Arial"/>
                <w:spacing w:val="-3"/>
                <w:sz w:val="16"/>
                <w:szCs w:val="18"/>
                <w:lang w:val="es-CO"/>
              </w:rPr>
            </w:pPr>
          </w:p>
        </w:tc>
        <w:tc>
          <w:tcPr>
            <w:tcW w:w="832" w:type="dxa"/>
            <w:vAlign w:val="center"/>
            <w:hideMark/>
          </w:tcPr>
          <w:p w14:paraId="09D75F95" w14:textId="77777777" w:rsidR="00BF7AE1" w:rsidRPr="00BD1319" w:rsidRDefault="00BF7AE1" w:rsidP="00540D1C">
            <w:pPr>
              <w:pStyle w:val="Prrafodelista"/>
              <w:tabs>
                <w:tab w:val="left" w:pos="-2268"/>
              </w:tabs>
              <w:suppressAutoHyphens/>
              <w:ind w:left="0"/>
              <w:jc w:val="center"/>
              <w:rPr>
                <w:rFonts w:cs="Arial"/>
                <w:spacing w:val="-3"/>
                <w:sz w:val="16"/>
                <w:szCs w:val="18"/>
                <w:lang w:val="es-CO"/>
              </w:rPr>
            </w:pPr>
          </w:p>
        </w:tc>
      </w:tr>
      <w:tr w:rsidR="00BF7AE1" w:rsidRPr="00BD1319" w14:paraId="513E4C16" w14:textId="77777777" w:rsidTr="00BF7AE1">
        <w:trPr>
          <w:trHeight w:hRule="exact" w:val="284"/>
          <w:jc w:val="center"/>
        </w:trPr>
        <w:tc>
          <w:tcPr>
            <w:tcW w:w="817" w:type="dxa"/>
            <w:vMerge/>
            <w:textDirection w:val="btLr"/>
            <w:vAlign w:val="center"/>
            <w:hideMark/>
          </w:tcPr>
          <w:p w14:paraId="45C27261" w14:textId="77777777" w:rsidR="00BF7AE1" w:rsidRPr="00BD1319" w:rsidRDefault="00BF7AE1" w:rsidP="00540D1C">
            <w:pPr>
              <w:pStyle w:val="Prrafodelista"/>
              <w:tabs>
                <w:tab w:val="left" w:pos="-2268"/>
              </w:tabs>
              <w:suppressAutoHyphens/>
              <w:ind w:left="113" w:right="113"/>
              <w:jc w:val="center"/>
              <w:rPr>
                <w:rFonts w:cs="Arial"/>
                <w:b/>
                <w:bCs/>
                <w:spacing w:val="-3"/>
                <w:sz w:val="16"/>
                <w:szCs w:val="18"/>
                <w:lang w:val="es-CO"/>
              </w:rPr>
            </w:pPr>
          </w:p>
        </w:tc>
        <w:tc>
          <w:tcPr>
            <w:tcW w:w="1418" w:type="dxa"/>
            <w:vMerge/>
            <w:vAlign w:val="center"/>
            <w:hideMark/>
          </w:tcPr>
          <w:p w14:paraId="4FAABF4A" w14:textId="77777777" w:rsidR="00BF7AE1" w:rsidRPr="00BD1319" w:rsidRDefault="00BF7AE1" w:rsidP="00540D1C">
            <w:pPr>
              <w:pStyle w:val="Prrafodelista"/>
              <w:tabs>
                <w:tab w:val="left" w:pos="-2268"/>
              </w:tabs>
              <w:suppressAutoHyphens/>
              <w:ind w:left="0"/>
              <w:jc w:val="center"/>
              <w:rPr>
                <w:rFonts w:cs="Arial"/>
                <w:spacing w:val="-3"/>
                <w:sz w:val="16"/>
                <w:szCs w:val="18"/>
                <w:lang w:val="es-CO"/>
              </w:rPr>
            </w:pPr>
          </w:p>
        </w:tc>
        <w:tc>
          <w:tcPr>
            <w:tcW w:w="1701" w:type="dxa"/>
            <w:noWrap/>
            <w:vAlign w:val="center"/>
            <w:hideMark/>
          </w:tcPr>
          <w:p w14:paraId="647961BB" w14:textId="77777777" w:rsidR="00BF7AE1" w:rsidRPr="00BD1319" w:rsidRDefault="00BF7AE1" w:rsidP="00540D1C">
            <w:pPr>
              <w:pStyle w:val="Prrafodelista"/>
              <w:tabs>
                <w:tab w:val="left" w:pos="-2268"/>
              </w:tabs>
              <w:suppressAutoHyphens/>
              <w:ind w:left="0"/>
              <w:jc w:val="center"/>
              <w:rPr>
                <w:rFonts w:cs="Arial"/>
                <w:spacing w:val="-3"/>
                <w:sz w:val="16"/>
                <w:szCs w:val="18"/>
                <w:lang w:val="es-CO"/>
              </w:rPr>
            </w:pPr>
            <w:r w:rsidRPr="00BD1319">
              <w:rPr>
                <w:rFonts w:cs="Arial"/>
                <w:spacing w:val="-3"/>
                <w:sz w:val="16"/>
                <w:szCs w:val="18"/>
                <w:lang w:val="es-CO"/>
              </w:rPr>
              <w:t>UCS 8</w:t>
            </w:r>
          </w:p>
        </w:tc>
        <w:tc>
          <w:tcPr>
            <w:tcW w:w="1559" w:type="dxa"/>
            <w:shd w:val="clear" w:color="auto" w:fill="CCC0D9" w:themeFill="accent4" w:themeFillTint="66"/>
            <w:vAlign w:val="center"/>
            <w:hideMark/>
          </w:tcPr>
          <w:p w14:paraId="1FA739B2" w14:textId="77777777" w:rsidR="00BF7AE1" w:rsidRPr="00BD1319" w:rsidRDefault="00BF7AE1" w:rsidP="00540D1C">
            <w:pPr>
              <w:pStyle w:val="Prrafodelista"/>
              <w:tabs>
                <w:tab w:val="left" w:pos="-2268"/>
              </w:tabs>
              <w:suppressAutoHyphens/>
              <w:ind w:left="0"/>
              <w:jc w:val="center"/>
              <w:rPr>
                <w:rFonts w:cs="Arial"/>
                <w:spacing w:val="-3"/>
                <w:sz w:val="16"/>
                <w:szCs w:val="18"/>
                <w:lang w:val="es-CO"/>
              </w:rPr>
            </w:pPr>
            <w:r w:rsidRPr="00BD1319">
              <w:rPr>
                <w:rFonts w:cs="Arial"/>
                <w:spacing w:val="-3"/>
                <w:sz w:val="16"/>
                <w:szCs w:val="18"/>
                <w:lang w:val="es-CO"/>
              </w:rPr>
              <w:t>Muy alta</w:t>
            </w:r>
          </w:p>
        </w:tc>
        <w:tc>
          <w:tcPr>
            <w:tcW w:w="831" w:type="dxa"/>
            <w:shd w:val="clear" w:color="auto" w:fill="auto"/>
            <w:vAlign w:val="center"/>
          </w:tcPr>
          <w:p w14:paraId="6D5D37AE" w14:textId="77777777" w:rsidR="00BF7AE1" w:rsidRPr="00BD1319" w:rsidRDefault="00BF7AE1" w:rsidP="00540D1C">
            <w:pPr>
              <w:pStyle w:val="Prrafodelista"/>
              <w:tabs>
                <w:tab w:val="left" w:pos="-2268"/>
              </w:tabs>
              <w:suppressAutoHyphens/>
              <w:ind w:left="0"/>
              <w:jc w:val="center"/>
              <w:rPr>
                <w:rFonts w:cs="Arial"/>
                <w:spacing w:val="-3"/>
                <w:sz w:val="16"/>
                <w:szCs w:val="18"/>
                <w:lang w:val="es-CO"/>
              </w:rPr>
            </w:pPr>
          </w:p>
        </w:tc>
        <w:tc>
          <w:tcPr>
            <w:tcW w:w="832" w:type="dxa"/>
            <w:vAlign w:val="center"/>
          </w:tcPr>
          <w:p w14:paraId="5D3C3FD8" w14:textId="77777777" w:rsidR="00BF7AE1" w:rsidRPr="00BD1319" w:rsidRDefault="00BF7AE1" w:rsidP="00BF7AE1">
            <w:pPr>
              <w:pStyle w:val="Prrafodelista"/>
              <w:tabs>
                <w:tab w:val="left" w:pos="-2268"/>
              </w:tabs>
              <w:suppressAutoHyphens/>
              <w:ind w:left="0"/>
              <w:jc w:val="center"/>
              <w:rPr>
                <w:rFonts w:cs="Arial"/>
                <w:spacing w:val="-3"/>
                <w:sz w:val="16"/>
                <w:szCs w:val="18"/>
                <w:lang w:val="es-CO"/>
              </w:rPr>
            </w:pPr>
          </w:p>
        </w:tc>
        <w:tc>
          <w:tcPr>
            <w:tcW w:w="831" w:type="dxa"/>
            <w:shd w:val="clear" w:color="auto" w:fill="FFFF00"/>
            <w:vAlign w:val="center"/>
            <w:hideMark/>
          </w:tcPr>
          <w:p w14:paraId="2C2DFC22" w14:textId="099611F9" w:rsidR="00BF7AE1" w:rsidRPr="00BD1319" w:rsidRDefault="00BF7AE1" w:rsidP="00540D1C">
            <w:pPr>
              <w:pStyle w:val="Prrafodelista"/>
              <w:tabs>
                <w:tab w:val="left" w:pos="-2268"/>
              </w:tabs>
              <w:suppressAutoHyphens/>
              <w:ind w:left="0"/>
              <w:jc w:val="center"/>
              <w:rPr>
                <w:rFonts w:cs="Arial"/>
                <w:spacing w:val="-3"/>
                <w:sz w:val="16"/>
                <w:szCs w:val="18"/>
                <w:lang w:val="es-CO"/>
              </w:rPr>
            </w:pPr>
            <w:r w:rsidRPr="00BD1319">
              <w:rPr>
                <w:rFonts w:cs="Arial"/>
                <w:spacing w:val="-3"/>
                <w:sz w:val="16"/>
                <w:szCs w:val="18"/>
                <w:lang w:val="es-CO"/>
              </w:rPr>
              <w:t>AIR</w:t>
            </w:r>
          </w:p>
        </w:tc>
        <w:tc>
          <w:tcPr>
            <w:tcW w:w="832" w:type="dxa"/>
            <w:vAlign w:val="center"/>
            <w:hideMark/>
          </w:tcPr>
          <w:p w14:paraId="7B2E69CF" w14:textId="77777777" w:rsidR="00BF7AE1" w:rsidRPr="00BD1319" w:rsidRDefault="00BF7AE1" w:rsidP="00540D1C">
            <w:pPr>
              <w:pStyle w:val="Prrafodelista"/>
              <w:tabs>
                <w:tab w:val="left" w:pos="-2268"/>
              </w:tabs>
              <w:suppressAutoHyphens/>
              <w:ind w:left="0"/>
              <w:jc w:val="center"/>
              <w:rPr>
                <w:rFonts w:cs="Arial"/>
                <w:spacing w:val="-3"/>
                <w:sz w:val="16"/>
                <w:szCs w:val="18"/>
                <w:lang w:val="es-CO"/>
              </w:rPr>
            </w:pPr>
          </w:p>
        </w:tc>
        <w:tc>
          <w:tcPr>
            <w:tcW w:w="832" w:type="dxa"/>
            <w:shd w:val="clear" w:color="auto" w:fill="auto"/>
            <w:vAlign w:val="center"/>
            <w:hideMark/>
          </w:tcPr>
          <w:p w14:paraId="3E9E12A6" w14:textId="77777777" w:rsidR="00BF7AE1" w:rsidRPr="00BD1319" w:rsidRDefault="00BF7AE1" w:rsidP="00540D1C">
            <w:pPr>
              <w:pStyle w:val="Prrafodelista"/>
              <w:tabs>
                <w:tab w:val="left" w:pos="-2268"/>
              </w:tabs>
              <w:suppressAutoHyphens/>
              <w:ind w:left="0"/>
              <w:jc w:val="center"/>
              <w:rPr>
                <w:rFonts w:cs="Arial"/>
                <w:spacing w:val="-3"/>
                <w:sz w:val="16"/>
                <w:szCs w:val="18"/>
                <w:lang w:val="es-CO"/>
              </w:rPr>
            </w:pPr>
          </w:p>
        </w:tc>
      </w:tr>
      <w:tr w:rsidR="00BF7AE1" w:rsidRPr="00BD1319" w14:paraId="5E789BE9" w14:textId="77777777" w:rsidTr="00BF7AE1">
        <w:trPr>
          <w:trHeight w:hRule="exact" w:val="397"/>
          <w:jc w:val="center"/>
        </w:trPr>
        <w:tc>
          <w:tcPr>
            <w:tcW w:w="817" w:type="dxa"/>
            <w:vMerge w:val="restart"/>
            <w:textDirection w:val="btLr"/>
            <w:vAlign w:val="center"/>
            <w:hideMark/>
          </w:tcPr>
          <w:p w14:paraId="45C9BE13" w14:textId="77777777" w:rsidR="00BF7AE1" w:rsidRPr="00BD1319" w:rsidRDefault="00BF7AE1" w:rsidP="00540D1C">
            <w:pPr>
              <w:pStyle w:val="Prrafodelista"/>
              <w:tabs>
                <w:tab w:val="left" w:pos="-2268"/>
              </w:tabs>
              <w:suppressAutoHyphens/>
              <w:ind w:left="113" w:right="113"/>
              <w:jc w:val="center"/>
              <w:rPr>
                <w:rFonts w:cs="Arial"/>
                <w:b/>
                <w:bCs/>
                <w:spacing w:val="-3"/>
                <w:sz w:val="16"/>
                <w:szCs w:val="18"/>
                <w:lang w:val="es-CO"/>
              </w:rPr>
            </w:pPr>
            <w:r w:rsidRPr="00BD1319">
              <w:rPr>
                <w:rFonts w:cs="Arial"/>
                <w:b/>
                <w:bCs/>
                <w:spacing w:val="-3"/>
                <w:sz w:val="16"/>
                <w:szCs w:val="18"/>
                <w:lang w:val="es-CO"/>
              </w:rPr>
              <w:t>Biótico</w:t>
            </w:r>
          </w:p>
        </w:tc>
        <w:tc>
          <w:tcPr>
            <w:tcW w:w="1418" w:type="dxa"/>
            <w:vMerge w:val="restart"/>
            <w:vAlign w:val="center"/>
            <w:hideMark/>
          </w:tcPr>
          <w:p w14:paraId="678DB00C" w14:textId="77777777" w:rsidR="00BF7AE1" w:rsidRPr="00BD1319" w:rsidRDefault="00BF7AE1" w:rsidP="00540D1C">
            <w:pPr>
              <w:pStyle w:val="Prrafodelista"/>
              <w:tabs>
                <w:tab w:val="left" w:pos="-2268"/>
              </w:tabs>
              <w:suppressAutoHyphens/>
              <w:ind w:left="0"/>
              <w:jc w:val="center"/>
              <w:rPr>
                <w:rFonts w:cs="Arial"/>
                <w:spacing w:val="-3"/>
                <w:sz w:val="16"/>
                <w:szCs w:val="18"/>
                <w:lang w:val="es-CO"/>
              </w:rPr>
            </w:pPr>
            <w:r w:rsidRPr="00BD1319">
              <w:rPr>
                <w:rFonts w:cs="Arial"/>
                <w:spacing w:val="-3"/>
                <w:sz w:val="16"/>
                <w:szCs w:val="18"/>
                <w:lang w:val="es-CO"/>
              </w:rPr>
              <w:t>Ecosistemas terrestres</w:t>
            </w:r>
          </w:p>
        </w:tc>
        <w:tc>
          <w:tcPr>
            <w:tcW w:w="1701" w:type="dxa"/>
            <w:vAlign w:val="center"/>
            <w:hideMark/>
          </w:tcPr>
          <w:p w14:paraId="41A7B1B3" w14:textId="77777777" w:rsidR="00BF7AE1" w:rsidRPr="00BD1319" w:rsidRDefault="00BF7AE1" w:rsidP="00540D1C">
            <w:pPr>
              <w:pStyle w:val="Prrafodelista"/>
              <w:tabs>
                <w:tab w:val="left" w:pos="-2268"/>
              </w:tabs>
              <w:suppressAutoHyphens/>
              <w:ind w:left="0"/>
              <w:jc w:val="center"/>
              <w:rPr>
                <w:rFonts w:cs="Arial"/>
                <w:spacing w:val="-3"/>
                <w:sz w:val="16"/>
                <w:szCs w:val="18"/>
                <w:lang w:val="es-CO"/>
              </w:rPr>
            </w:pPr>
            <w:r w:rsidRPr="00BD1319">
              <w:rPr>
                <w:rFonts w:cs="Arial"/>
                <w:spacing w:val="-3"/>
                <w:sz w:val="16"/>
                <w:szCs w:val="18"/>
                <w:lang w:val="es-CO"/>
              </w:rPr>
              <w:t>Lagunas, lagos y ciénagas naturales</w:t>
            </w:r>
          </w:p>
        </w:tc>
        <w:tc>
          <w:tcPr>
            <w:tcW w:w="1559" w:type="dxa"/>
            <w:shd w:val="clear" w:color="auto" w:fill="CCC0D9" w:themeFill="accent4" w:themeFillTint="66"/>
            <w:vAlign w:val="center"/>
            <w:hideMark/>
          </w:tcPr>
          <w:p w14:paraId="5958E4BC" w14:textId="77777777" w:rsidR="00BF7AE1" w:rsidRPr="00BD1319" w:rsidRDefault="00BF7AE1" w:rsidP="00540D1C">
            <w:pPr>
              <w:pStyle w:val="Prrafodelista"/>
              <w:tabs>
                <w:tab w:val="left" w:pos="-2268"/>
              </w:tabs>
              <w:suppressAutoHyphens/>
              <w:ind w:left="0"/>
              <w:jc w:val="center"/>
              <w:rPr>
                <w:rFonts w:cs="Arial"/>
                <w:spacing w:val="-3"/>
                <w:sz w:val="16"/>
                <w:szCs w:val="18"/>
                <w:lang w:val="es-CO"/>
              </w:rPr>
            </w:pPr>
            <w:r w:rsidRPr="00BD1319">
              <w:rPr>
                <w:rFonts w:cs="Arial"/>
                <w:spacing w:val="-3"/>
                <w:sz w:val="16"/>
                <w:szCs w:val="18"/>
                <w:lang w:val="es-CO"/>
              </w:rPr>
              <w:t>Muy Alta</w:t>
            </w:r>
          </w:p>
        </w:tc>
        <w:tc>
          <w:tcPr>
            <w:tcW w:w="831" w:type="dxa"/>
            <w:shd w:val="clear" w:color="auto" w:fill="auto"/>
            <w:vAlign w:val="center"/>
          </w:tcPr>
          <w:p w14:paraId="424BEFCA" w14:textId="77777777" w:rsidR="00BF7AE1" w:rsidRPr="00BD1319" w:rsidRDefault="00BF7AE1" w:rsidP="00540D1C">
            <w:pPr>
              <w:pStyle w:val="Prrafodelista"/>
              <w:tabs>
                <w:tab w:val="left" w:pos="-2268"/>
              </w:tabs>
              <w:suppressAutoHyphens/>
              <w:ind w:left="0"/>
              <w:jc w:val="center"/>
              <w:rPr>
                <w:rFonts w:cs="Arial"/>
                <w:spacing w:val="-3"/>
                <w:sz w:val="16"/>
                <w:szCs w:val="18"/>
                <w:lang w:val="es-CO"/>
              </w:rPr>
            </w:pPr>
          </w:p>
        </w:tc>
        <w:tc>
          <w:tcPr>
            <w:tcW w:w="832" w:type="dxa"/>
            <w:vAlign w:val="center"/>
          </w:tcPr>
          <w:p w14:paraId="6044BBC4" w14:textId="77777777" w:rsidR="00BF7AE1" w:rsidRPr="00BD1319" w:rsidRDefault="00BF7AE1" w:rsidP="00BF7AE1">
            <w:pPr>
              <w:pStyle w:val="Prrafodelista"/>
              <w:tabs>
                <w:tab w:val="left" w:pos="-2268"/>
              </w:tabs>
              <w:suppressAutoHyphens/>
              <w:ind w:left="0"/>
              <w:jc w:val="center"/>
              <w:rPr>
                <w:rFonts w:cs="Arial"/>
                <w:spacing w:val="-3"/>
                <w:sz w:val="16"/>
                <w:szCs w:val="18"/>
                <w:lang w:val="es-CO"/>
              </w:rPr>
            </w:pPr>
          </w:p>
        </w:tc>
        <w:tc>
          <w:tcPr>
            <w:tcW w:w="831" w:type="dxa"/>
            <w:vAlign w:val="center"/>
            <w:hideMark/>
          </w:tcPr>
          <w:p w14:paraId="763AFD02" w14:textId="6B6A18C2" w:rsidR="00BF7AE1" w:rsidRPr="00BD1319" w:rsidRDefault="00BF7AE1" w:rsidP="00540D1C">
            <w:pPr>
              <w:pStyle w:val="Prrafodelista"/>
              <w:tabs>
                <w:tab w:val="left" w:pos="-2268"/>
              </w:tabs>
              <w:suppressAutoHyphens/>
              <w:ind w:left="0"/>
              <w:jc w:val="center"/>
              <w:rPr>
                <w:rFonts w:cs="Arial"/>
                <w:spacing w:val="-3"/>
                <w:sz w:val="16"/>
                <w:szCs w:val="18"/>
                <w:lang w:val="es-CO"/>
              </w:rPr>
            </w:pPr>
          </w:p>
        </w:tc>
        <w:tc>
          <w:tcPr>
            <w:tcW w:w="832" w:type="dxa"/>
            <w:shd w:val="clear" w:color="auto" w:fill="FF0000"/>
            <w:vAlign w:val="center"/>
            <w:hideMark/>
          </w:tcPr>
          <w:p w14:paraId="500933C1" w14:textId="77777777" w:rsidR="00BF7AE1" w:rsidRPr="00BD1319" w:rsidRDefault="00BF7AE1" w:rsidP="00540D1C">
            <w:pPr>
              <w:pStyle w:val="Prrafodelista"/>
              <w:tabs>
                <w:tab w:val="left" w:pos="-2268"/>
              </w:tabs>
              <w:suppressAutoHyphens/>
              <w:ind w:left="0"/>
              <w:jc w:val="center"/>
              <w:rPr>
                <w:rFonts w:cs="Arial"/>
                <w:spacing w:val="-3"/>
                <w:sz w:val="16"/>
                <w:szCs w:val="18"/>
                <w:lang w:val="es-CO"/>
              </w:rPr>
            </w:pPr>
            <w:r w:rsidRPr="00BD1319">
              <w:rPr>
                <w:rFonts w:cs="Arial"/>
                <w:spacing w:val="-3"/>
                <w:sz w:val="16"/>
                <w:szCs w:val="18"/>
                <w:lang w:val="es-CO"/>
              </w:rPr>
              <w:t>AE</w:t>
            </w:r>
          </w:p>
        </w:tc>
        <w:tc>
          <w:tcPr>
            <w:tcW w:w="832" w:type="dxa"/>
            <w:shd w:val="clear" w:color="auto" w:fill="auto"/>
            <w:vAlign w:val="center"/>
          </w:tcPr>
          <w:p w14:paraId="0C1360E3" w14:textId="77777777" w:rsidR="00BF7AE1" w:rsidRPr="00BD1319" w:rsidRDefault="00BF7AE1" w:rsidP="00540D1C">
            <w:pPr>
              <w:pStyle w:val="Prrafodelista"/>
              <w:tabs>
                <w:tab w:val="left" w:pos="-2268"/>
              </w:tabs>
              <w:suppressAutoHyphens/>
              <w:ind w:left="0"/>
              <w:jc w:val="center"/>
              <w:rPr>
                <w:rFonts w:cs="Arial"/>
                <w:spacing w:val="-3"/>
                <w:sz w:val="16"/>
                <w:szCs w:val="18"/>
                <w:lang w:val="es-CO"/>
              </w:rPr>
            </w:pPr>
          </w:p>
        </w:tc>
      </w:tr>
      <w:tr w:rsidR="00BF7AE1" w:rsidRPr="00BD1319" w14:paraId="433A3588" w14:textId="77777777" w:rsidTr="00BF7AE1">
        <w:trPr>
          <w:trHeight w:hRule="exact" w:val="284"/>
          <w:jc w:val="center"/>
        </w:trPr>
        <w:tc>
          <w:tcPr>
            <w:tcW w:w="817" w:type="dxa"/>
            <w:vMerge/>
            <w:vAlign w:val="center"/>
            <w:hideMark/>
          </w:tcPr>
          <w:p w14:paraId="5402235E" w14:textId="77777777" w:rsidR="00BF7AE1" w:rsidRPr="00BD1319" w:rsidRDefault="00BF7AE1" w:rsidP="00540D1C">
            <w:pPr>
              <w:pStyle w:val="Prrafodelista"/>
              <w:tabs>
                <w:tab w:val="left" w:pos="-2268"/>
              </w:tabs>
              <w:suppressAutoHyphens/>
              <w:ind w:left="0"/>
              <w:jc w:val="center"/>
              <w:rPr>
                <w:rFonts w:cs="Arial"/>
                <w:b/>
                <w:bCs/>
                <w:spacing w:val="-3"/>
                <w:sz w:val="16"/>
                <w:szCs w:val="18"/>
                <w:lang w:val="es-CO"/>
              </w:rPr>
            </w:pPr>
          </w:p>
        </w:tc>
        <w:tc>
          <w:tcPr>
            <w:tcW w:w="1418" w:type="dxa"/>
            <w:vMerge/>
            <w:vAlign w:val="center"/>
            <w:hideMark/>
          </w:tcPr>
          <w:p w14:paraId="7113B24D" w14:textId="77777777" w:rsidR="00BF7AE1" w:rsidRPr="00BD1319" w:rsidRDefault="00BF7AE1" w:rsidP="00540D1C">
            <w:pPr>
              <w:pStyle w:val="Prrafodelista"/>
              <w:tabs>
                <w:tab w:val="left" w:pos="-2268"/>
              </w:tabs>
              <w:suppressAutoHyphens/>
              <w:ind w:left="0"/>
              <w:jc w:val="center"/>
              <w:rPr>
                <w:rFonts w:cs="Arial"/>
                <w:spacing w:val="-3"/>
                <w:sz w:val="16"/>
                <w:szCs w:val="18"/>
                <w:lang w:val="es-CO"/>
              </w:rPr>
            </w:pPr>
          </w:p>
        </w:tc>
        <w:tc>
          <w:tcPr>
            <w:tcW w:w="1701" w:type="dxa"/>
            <w:vAlign w:val="center"/>
            <w:hideMark/>
          </w:tcPr>
          <w:p w14:paraId="1BAC160E" w14:textId="77777777" w:rsidR="00BF7AE1" w:rsidRPr="00BD1319" w:rsidRDefault="00BF7AE1" w:rsidP="00540D1C">
            <w:pPr>
              <w:pStyle w:val="Prrafodelista"/>
              <w:tabs>
                <w:tab w:val="left" w:pos="-2268"/>
              </w:tabs>
              <w:suppressAutoHyphens/>
              <w:ind w:left="0"/>
              <w:jc w:val="center"/>
              <w:rPr>
                <w:rFonts w:cs="Arial"/>
                <w:spacing w:val="-3"/>
                <w:sz w:val="16"/>
                <w:szCs w:val="18"/>
                <w:lang w:val="es-CO"/>
              </w:rPr>
            </w:pPr>
            <w:r w:rsidRPr="00BD1319">
              <w:rPr>
                <w:rFonts w:cs="Arial"/>
                <w:spacing w:val="-3"/>
                <w:sz w:val="16"/>
                <w:szCs w:val="18"/>
                <w:lang w:val="es-CO"/>
              </w:rPr>
              <w:t>Zonas pantanosas</w:t>
            </w:r>
          </w:p>
        </w:tc>
        <w:tc>
          <w:tcPr>
            <w:tcW w:w="1559" w:type="dxa"/>
            <w:shd w:val="clear" w:color="auto" w:fill="CCC0D9" w:themeFill="accent4" w:themeFillTint="66"/>
            <w:vAlign w:val="center"/>
            <w:hideMark/>
          </w:tcPr>
          <w:p w14:paraId="33D6E816" w14:textId="77777777" w:rsidR="00BF7AE1" w:rsidRPr="00BD1319" w:rsidRDefault="00BF7AE1" w:rsidP="00540D1C">
            <w:pPr>
              <w:pStyle w:val="Prrafodelista"/>
              <w:tabs>
                <w:tab w:val="left" w:pos="-2268"/>
              </w:tabs>
              <w:suppressAutoHyphens/>
              <w:ind w:left="0"/>
              <w:jc w:val="center"/>
              <w:rPr>
                <w:rFonts w:cs="Arial"/>
                <w:spacing w:val="-3"/>
                <w:sz w:val="16"/>
                <w:szCs w:val="18"/>
                <w:lang w:val="es-CO"/>
              </w:rPr>
            </w:pPr>
            <w:r w:rsidRPr="00BD1319">
              <w:rPr>
                <w:rFonts w:cs="Arial"/>
                <w:spacing w:val="-3"/>
                <w:sz w:val="16"/>
                <w:szCs w:val="18"/>
                <w:lang w:val="es-CO"/>
              </w:rPr>
              <w:t>Muy alta</w:t>
            </w:r>
          </w:p>
        </w:tc>
        <w:tc>
          <w:tcPr>
            <w:tcW w:w="831" w:type="dxa"/>
            <w:shd w:val="clear" w:color="auto" w:fill="auto"/>
            <w:vAlign w:val="center"/>
          </w:tcPr>
          <w:p w14:paraId="56925507" w14:textId="77777777" w:rsidR="00BF7AE1" w:rsidRPr="00BD1319" w:rsidRDefault="00BF7AE1" w:rsidP="00540D1C">
            <w:pPr>
              <w:pStyle w:val="Prrafodelista"/>
              <w:tabs>
                <w:tab w:val="left" w:pos="-2268"/>
              </w:tabs>
              <w:suppressAutoHyphens/>
              <w:ind w:left="0"/>
              <w:jc w:val="center"/>
              <w:rPr>
                <w:rFonts w:cs="Arial"/>
                <w:spacing w:val="-3"/>
                <w:sz w:val="16"/>
                <w:szCs w:val="18"/>
                <w:lang w:val="es-CO"/>
              </w:rPr>
            </w:pPr>
          </w:p>
        </w:tc>
        <w:tc>
          <w:tcPr>
            <w:tcW w:w="832" w:type="dxa"/>
            <w:vAlign w:val="center"/>
          </w:tcPr>
          <w:p w14:paraId="1A8FD540" w14:textId="77777777" w:rsidR="00BF7AE1" w:rsidRPr="00BD1319" w:rsidRDefault="00BF7AE1" w:rsidP="00BF7AE1">
            <w:pPr>
              <w:pStyle w:val="Prrafodelista"/>
              <w:tabs>
                <w:tab w:val="left" w:pos="-2268"/>
              </w:tabs>
              <w:suppressAutoHyphens/>
              <w:ind w:left="0"/>
              <w:jc w:val="center"/>
              <w:rPr>
                <w:rFonts w:cs="Arial"/>
                <w:spacing w:val="-3"/>
                <w:sz w:val="16"/>
                <w:szCs w:val="18"/>
                <w:lang w:val="es-CO"/>
              </w:rPr>
            </w:pPr>
          </w:p>
        </w:tc>
        <w:tc>
          <w:tcPr>
            <w:tcW w:w="831" w:type="dxa"/>
            <w:vAlign w:val="center"/>
            <w:hideMark/>
          </w:tcPr>
          <w:p w14:paraId="46D4E0DC" w14:textId="47E4409E" w:rsidR="00BF7AE1" w:rsidRPr="00BD1319" w:rsidRDefault="00BF7AE1" w:rsidP="00540D1C">
            <w:pPr>
              <w:pStyle w:val="Prrafodelista"/>
              <w:tabs>
                <w:tab w:val="left" w:pos="-2268"/>
              </w:tabs>
              <w:suppressAutoHyphens/>
              <w:ind w:left="0"/>
              <w:jc w:val="center"/>
              <w:rPr>
                <w:rFonts w:cs="Arial"/>
                <w:spacing w:val="-3"/>
                <w:sz w:val="16"/>
                <w:szCs w:val="18"/>
                <w:lang w:val="es-CO"/>
              </w:rPr>
            </w:pPr>
          </w:p>
        </w:tc>
        <w:tc>
          <w:tcPr>
            <w:tcW w:w="832" w:type="dxa"/>
            <w:shd w:val="clear" w:color="auto" w:fill="FF0000"/>
            <w:vAlign w:val="center"/>
            <w:hideMark/>
          </w:tcPr>
          <w:p w14:paraId="6FC3204D" w14:textId="77777777" w:rsidR="00BF7AE1" w:rsidRPr="00BD1319" w:rsidRDefault="00BF7AE1" w:rsidP="00540D1C">
            <w:pPr>
              <w:pStyle w:val="Prrafodelista"/>
              <w:tabs>
                <w:tab w:val="left" w:pos="-2268"/>
              </w:tabs>
              <w:suppressAutoHyphens/>
              <w:ind w:left="0"/>
              <w:jc w:val="center"/>
              <w:rPr>
                <w:rFonts w:cs="Arial"/>
                <w:spacing w:val="-3"/>
                <w:sz w:val="16"/>
                <w:szCs w:val="18"/>
                <w:lang w:val="es-CO"/>
              </w:rPr>
            </w:pPr>
            <w:r w:rsidRPr="00BD1319">
              <w:rPr>
                <w:rFonts w:cs="Arial"/>
                <w:spacing w:val="-3"/>
                <w:sz w:val="16"/>
                <w:szCs w:val="18"/>
                <w:lang w:val="es-CO"/>
              </w:rPr>
              <w:t>AE</w:t>
            </w:r>
          </w:p>
        </w:tc>
        <w:tc>
          <w:tcPr>
            <w:tcW w:w="832" w:type="dxa"/>
            <w:shd w:val="clear" w:color="auto" w:fill="auto"/>
            <w:vAlign w:val="center"/>
          </w:tcPr>
          <w:p w14:paraId="2BBB15A5" w14:textId="77777777" w:rsidR="00BF7AE1" w:rsidRPr="00BD1319" w:rsidRDefault="00BF7AE1" w:rsidP="00540D1C">
            <w:pPr>
              <w:pStyle w:val="Prrafodelista"/>
              <w:tabs>
                <w:tab w:val="left" w:pos="-2268"/>
              </w:tabs>
              <w:suppressAutoHyphens/>
              <w:ind w:left="0"/>
              <w:jc w:val="center"/>
              <w:rPr>
                <w:rFonts w:cs="Arial"/>
                <w:spacing w:val="-3"/>
                <w:sz w:val="16"/>
                <w:szCs w:val="18"/>
                <w:lang w:val="es-CO"/>
              </w:rPr>
            </w:pPr>
          </w:p>
        </w:tc>
      </w:tr>
      <w:tr w:rsidR="00BF7AE1" w:rsidRPr="00BD1319" w14:paraId="5A0ED716" w14:textId="77777777" w:rsidTr="00BF7AE1">
        <w:trPr>
          <w:trHeight w:hRule="exact" w:val="284"/>
          <w:jc w:val="center"/>
        </w:trPr>
        <w:tc>
          <w:tcPr>
            <w:tcW w:w="817" w:type="dxa"/>
            <w:vMerge/>
            <w:vAlign w:val="center"/>
            <w:hideMark/>
          </w:tcPr>
          <w:p w14:paraId="2B246D09" w14:textId="77777777" w:rsidR="00BF7AE1" w:rsidRPr="00BD1319" w:rsidRDefault="00BF7AE1" w:rsidP="00540D1C">
            <w:pPr>
              <w:pStyle w:val="Prrafodelista"/>
              <w:tabs>
                <w:tab w:val="left" w:pos="-2268"/>
              </w:tabs>
              <w:suppressAutoHyphens/>
              <w:ind w:left="0"/>
              <w:jc w:val="center"/>
              <w:rPr>
                <w:rFonts w:cs="Arial"/>
                <w:b/>
                <w:bCs/>
                <w:spacing w:val="-3"/>
                <w:sz w:val="16"/>
                <w:szCs w:val="18"/>
                <w:lang w:val="es-CO"/>
              </w:rPr>
            </w:pPr>
          </w:p>
        </w:tc>
        <w:tc>
          <w:tcPr>
            <w:tcW w:w="1418" w:type="dxa"/>
            <w:vMerge/>
            <w:vAlign w:val="center"/>
            <w:hideMark/>
          </w:tcPr>
          <w:p w14:paraId="2F77C8D0" w14:textId="77777777" w:rsidR="00BF7AE1" w:rsidRPr="00BD1319" w:rsidRDefault="00BF7AE1" w:rsidP="00540D1C">
            <w:pPr>
              <w:pStyle w:val="Prrafodelista"/>
              <w:tabs>
                <w:tab w:val="left" w:pos="-2268"/>
              </w:tabs>
              <w:suppressAutoHyphens/>
              <w:ind w:left="0"/>
              <w:jc w:val="center"/>
              <w:rPr>
                <w:rFonts w:cs="Arial"/>
                <w:spacing w:val="-3"/>
                <w:sz w:val="16"/>
                <w:szCs w:val="18"/>
                <w:lang w:val="es-CO"/>
              </w:rPr>
            </w:pPr>
          </w:p>
        </w:tc>
        <w:tc>
          <w:tcPr>
            <w:tcW w:w="1701" w:type="dxa"/>
            <w:noWrap/>
            <w:vAlign w:val="center"/>
            <w:hideMark/>
          </w:tcPr>
          <w:p w14:paraId="215FA589" w14:textId="77777777" w:rsidR="00BF7AE1" w:rsidRPr="00BD1319" w:rsidRDefault="00BF7AE1" w:rsidP="00540D1C">
            <w:pPr>
              <w:pStyle w:val="Prrafodelista"/>
              <w:tabs>
                <w:tab w:val="left" w:pos="-2268"/>
              </w:tabs>
              <w:suppressAutoHyphens/>
              <w:ind w:left="0"/>
              <w:jc w:val="center"/>
              <w:rPr>
                <w:rFonts w:cs="Arial"/>
                <w:spacing w:val="-3"/>
                <w:sz w:val="16"/>
                <w:szCs w:val="18"/>
                <w:lang w:val="es-CO"/>
              </w:rPr>
            </w:pPr>
            <w:r w:rsidRPr="00BD1319">
              <w:rPr>
                <w:rFonts w:cs="Arial"/>
                <w:spacing w:val="-3"/>
                <w:sz w:val="16"/>
                <w:szCs w:val="18"/>
                <w:lang w:val="es-CO"/>
              </w:rPr>
              <w:t>Canal</w:t>
            </w:r>
          </w:p>
        </w:tc>
        <w:tc>
          <w:tcPr>
            <w:tcW w:w="1559" w:type="dxa"/>
            <w:shd w:val="clear" w:color="auto" w:fill="CCC0D9" w:themeFill="accent4" w:themeFillTint="66"/>
            <w:noWrap/>
            <w:vAlign w:val="center"/>
            <w:hideMark/>
          </w:tcPr>
          <w:p w14:paraId="6D5E47AB" w14:textId="77777777" w:rsidR="00BF7AE1" w:rsidRPr="00BD1319" w:rsidRDefault="00BF7AE1" w:rsidP="00540D1C">
            <w:pPr>
              <w:pStyle w:val="Prrafodelista"/>
              <w:tabs>
                <w:tab w:val="left" w:pos="-2268"/>
              </w:tabs>
              <w:suppressAutoHyphens/>
              <w:ind w:left="0"/>
              <w:jc w:val="center"/>
              <w:rPr>
                <w:rFonts w:cs="Arial"/>
                <w:spacing w:val="-3"/>
                <w:sz w:val="16"/>
                <w:szCs w:val="18"/>
                <w:lang w:val="es-CO"/>
              </w:rPr>
            </w:pPr>
            <w:r w:rsidRPr="00BD1319">
              <w:rPr>
                <w:rFonts w:cs="Arial"/>
                <w:spacing w:val="-3"/>
                <w:sz w:val="16"/>
                <w:szCs w:val="18"/>
                <w:lang w:val="es-CO"/>
              </w:rPr>
              <w:t>Baja</w:t>
            </w:r>
          </w:p>
        </w:tc>
        <w:tc>
          <w:tcPr>
            <w:tcW w:w="831" w:type="dxa"/>
            <w:shd w:val="clear" w:color="auto" w:fill="auto"/>
            <w:vAlign w:val="center"/>
          </w:tcPr>
          <w:p w14:paraId="54F04F39" w14:textId="77777777" w:rsidR="00BF7AE1" w:rsidRPr="00BD1319" w:rsidRDefault="00BF7AE1" w:rsidP="00540D1C">
            <w:pPr>
              <w:pStyle w:val="Prrafodelista"/>
              <w:tabs>
                <w:tab w:val="left" w:pos="-2268"/>
              </w:tabs>
              <w:suppressAutoHyphens/>
              <w:ind w:left="0"/>
              <w:jc w:val="center"/>
              <w:rPr>
                <w:rFonts w:cs="Arial"/>
                <w:spacing w:val="-3"/>
                <w:sz w:val="16"/>
                <w:szCs w:val="18"/>
                <w:lang w:val="es-CO"/>
              </w:rPr>
            </w:pPr>
          </w:p>
        </w:tc>
        <w:tc>
          <w:tcPr>
            <w:tcW w:w="832" w:type="dxa"/>
            <w:vAlign w:val="center"/>
          </w:tcPr>
          <w:p w14:paraId="3BC25E53" w14:textId="77777777" w:rsidR="00BF7AE1" w:rsidRPr="00BD1319" w:rsidRDefault="00BF7AE1" w:rsidP="00BF7AE1">
            <w:pPr>
              <w:pStyle w:val="Prrafodelista"/>
              <w:tabs>
                <w:tab w:val="left" w:pos="-2268"/>
              </w:tabs>
              <w:suppressAutoHyphens/>
              <w:ind w:left="0"/>
              <w:jc w:val="center"/>
              <w:rPr>
                <w:rFonts w:cs="Arial"/>
                <w:spacing w:val="-3"/>
                <w:sz w:val="16"/>
                <w:szCs w:val="18"/>
                <w:lang w:val="es-CO"/>
              </w:rPr>
            </w:pPr>
          </w:p>
        </w:tc>
        <w:tc>
          <w:tcPr>
            <w:tcW w:w="831" w:type="dxa"/>
            <w:vAlign w:val="center"/>
            <w:hideMark/>
          </w:tcPr>
          <w:p w14:paraId="221C3153" w14:textId="1AF4C8A7" w:rsidR="00BF7AE1" w:rsidRPr="00BD1319" w:rsidRDefault="00BF7AE1" w:rsidP="00540D1C">
            <w:pPr>
              <w:pStyle w:val="Prrafodelista"/>
              <w:tabs>
                <w:tab w:val="left" w:pos="-2268"/>
              </w:tabs>
              <w:suppressAutoHyphens/>
              <w:ind w:left="0"/>
              <w:jc w:val="center"/>
              <w:rPr>
                <w:rFonts w:cs="Arial"/>
                <w:spacing w:val="-3"/>
                <w:sz w:val="16"/>
                <w:szCs w:val="18"/>
                <w:lang w:val="es-CO"/>
              </w:rPr>
            </w:pPr>
          </w:p>
        </w:tc>
        <w:tc>
          <w:tcPr>
            <w:tcW w:w="832" w:type="dxa"/>
            <w:shd w:val="clear" w:color="auto" w:fill="FFFF00"/>
            <w:vAlign w:val="center"/>
            <w:hideMark/>
          </w:tcPr>
          <w:p w14:paraId="2E9CFB0B" w14:textId="77777777" w:rsidR="00BF7AE1" w:rsidRPr="00BD1319" w:rsidRDefault="00BF7AE1" w:rsidP="00540D1C">
            <w:pPr>
              <w:pStyle w:val="Prrafodelista"/>
              <w:tabs>
                <w:tab w:val="left" w:pos="-2268"/>
              </w:tabs>
              <w:suppressAutoHyphens/>
              <w:ind w:left="0"/>
              <w:jc w:val="center"/>
              <w:rPr>
                <w:rFonts w:cs="Arial"/>
                <w:spacing w:val="-3"/>
                <w:sz w:val="16"/>
                <w:szCs w:val="18"/>
                <w:lang w:val="es-CO"/>
              </w:rPr>
            </w:pPr>
            <w:r w:rsidRPr="00BD1319">
              <w:rPr>
                <w:rFonts w:cs="Arial"/>
                <w:spacing w:val="-3"/>
                <w:sz w:val="16"/>
                <w:szCs w:val="18"/>
                <w:lang w:val="es-CO"/>
              </w:rPr>
              <w:t>AIR</w:t>
            </w:r>
          </w:p>
        </w:tc>
        <w:tc>
          <w:tcPr>
            <w:tcW w:w="832" w:type="dxa"/>
            <w:shd w:val="clear" w:color="auto" w:fill="auto"/>
            <w:vAlign w:val="center"/>
          </w:tcPr>
          <w:p w14:paraId="5757B02F" w14:textId="77777777" w:rsidR="00BF7AE1" w:rsidRPr="00BD1319" w:rsidRDefault="00BF7AE1" w:rsidP="00540D1C">
            <w:pPr>
              <w:pStyle w:val="Prrafodelista"/>
              <w:tabs>
                <w:tab w:val="left" w:pos="-2268"/>
              </w:tabs>
              <w:suppressAutoHyphens/>
              <w:ind w:left="0"/>
              <w:jc w:val="center"/>
              <w:rPr>
                <w:rFonts w:cs="Arial"/>
                <w:spacing w:val="-3"/>
                <w:sz w:val="16"/>
                <w:szCs w:val="18"/>
                <w:lang w:val="es-CO"/>
              </w:rPr>
            </w:pPr>
          </w:p>
        </w:tc>
      </w:tr>
      <w:tr w:rsidR="00BF7AE1" w:rsidRPr="00BD1319" w14:paraId="5805FCDC" w14:textId="77777777" w:rsidTr="00BF7AE1">
        <w:trPr>
          <w:trHeight w:hRule="exact" w:val="397"/>
          <w:jc w:val="center"/>
        </w:trPr>
        <w:tc>
          <w:tcPr>
            <w:tcW w:w="817" w:type="dxa"/>
            <w:vMerge w:val="restart"/>
            <w:textDirection w:val="btLr"/>
            <w:vAlign w:val="center"/>
          </w:tcPr>
          <w:p w14:paraId="065E42EF" w14:textId="77777777" w:rsidR="00BF7AE1" w:rsidRPr="00BD1319" w:rsidRDefault="00BF7AE1" w:rsidP="00540D1C">
            <w:pPr>
              <w:pStyle w:val="Prrafodelista"/>
              <w:tabs>
                <w:tab w:val="left" w:pos="-2268"/>
              </w:tabs>
              <w:suppressAutoHyphens/>
              <w:ind w:left="113" w:right="113"/>
              <w:jc w:val="center"/>
              <w:rPr>
                <w:rFonts w:cs="Arial"/>
                <w:b/>
                <w:bCs/>
                <w:spacing w:val="-3"/>
                <w:sz w:val="16"/>
                <w:szCs w:val="18"/>
                <w:lang w:val="es-CO"/>
              </w:rPr>
            </w:pPr>
            <w:r w:rsidRPr="00BD1319">
              <w:rPr>
                <w:rFonts w:cs="Arial"/>
                <w:b/>
                <w:bCs/>
                <w:spacing w:val="-3"/>
                <w:sz w:val="16"/>
                <w:szCs w:val="18"/>
                <w:lang w:val="es-CO"/>
              </w:rPr>
              <w:t>Socioeconómico</w:t>
            </w:r>
          </w:p>
        </w:tc>
        <w:tc>
          <w:tcPr>
            <w:tcW w:w="1418" w:type="dxa"/>
            <w:vMerge w:val="restart"/>
            <w:vAlign w:val="center"/>
          </w:tcPr>
          <w:p w14:paraId="693A796D" w14:textId="77777777" w:rsidR="00BF7AE1" w:rsidRPr="00BD1319" w:rsidRDefault="00BF7AE1" w:rsidP="00540D1C">
            <w:pPr>
              <w:pStyle w:val="Prrafodelista"/>
              <w:tabs>
                <w:tab w:val="left" w:pos="-2268"/>
              </w:tabs>
              <w:suppressAutoHyphens/>
              <w:ind w:left="0"/>
              <w:jc w:val="center"/>
              <w:rPr>
                <w:rFonts w:cs="Arial"/>
                <w:spacing w:val="-3"/>
                <w:sz w:val="16"/>
                <w:szCs w:val="18"/>
                <w:lang w:val="es-CO"/>
              </w:rPr>
            </w:pPr>
            <w:r w:rsidRPr="00BD1319">
              <w:rPr>
                <w:rFonts w:cs="Arial"/>
                <w:spacing w:val="-3"/>
                <w:sz w:val="16"/>
                <w:szCs w:val="18"/>
                <w:lang w:val="es-CO"/>
              </w:rPr>
              <w:t>Económico</w:t>
            </w:r>
          </w:p>
        </w:tc>
        <w:tc>
          <w:tcPr>
            <w:tcW w:w="1701" w:type="dxa"/>
            <w:noWrap/>
            <w:vAlign w:val="center"/>
          </w:tcPr>
          <w:p w14:paraId="03514A0E" w14:textId="77777777" w:rsidR="00BF7AE1" w:rsidRPr="00BD1319" w:rsidRDefault="00BF7AE1" w:rsidP="00540D1C">
            <w:pPr>
              <w:pStyle w:val="Prrafodelista"/>
              <w:tabs>
                <w:tab w:val="left" w:pos="-2268"/>
              </w:tabs>
              <w:suppressAutoHyphens/>
              <w:ind w:left="0"/>
              <w:jc w:val="center"/>
              <w:rPr>
                <w:rFonts w:cs="Arial"/>
                <w:spacing w:val="-3"/>
                <w:sz w:val="16"/>
                <w:szCs w:val="18"/>
                <w:lang w:val="es-CO"/>
              </w:rPr>
            </w:pPr>
            <w:r w:rsidRPr="00BD1319">
              <w:rPr>
                <w:rFonts w:cs="Arial"/>
                <w:spacing w:val="-3"/>
                <w:sz w:val="16"/>
                <w:szCs w:val="18"/>
                <w:lang w:val="es-CO"/>
              </w:rPr>
              <w:t>Vereda CB</w:t>
            </w:r>
          </w:p>
        </w:tc>
        <w:tc>
          <w:tcPr>
            <w:tcW w:w="1559" w:type="dxa"/>
            <w:shd w:val="clear" w:color="auto" w:fill="CCC0D9" w:themeFill="accent4" w:themeFillTint="66"/>
            <w:noWrap/>
            <w:vAlign w:val="center"/>
          </w:tcPr>
          <w:p w14:paraId="6092AD70" w14:textId="77777777" w:rsidR="00BF7AE1" w:rsidRPr="00BD1319" w:rsidRDefault="00BF7AE1" w:rsidP="00540D1C">
            <w:pPr>
              <w:pStyle w:val="Prrafodelista"/>
              <w:tabs>
                <w:tab w:val="left" w:pos="-2268"/>
              </w:tabs>
              <w:suppressAutoHyphens/>
              <w:ind w:left="0"/>
              <w:jc w:val="center"/>
              <w:rPr>
                <w:rFonts w:cs="Arial"/>
                <w:spacing w:val="-3"/>
                <w:sz w:val="16"/>
                <w:szCs w:val="18"/>
                <w:lang w:val="es-CO"/>
              </w:rPr>
            </w:pPr>
            <w:r w:rsidRPr="00BD1319">
              <w:rPr>
                <w:rFonts w:cs="Arial"/>
                <w:spacing w:val="-3"/>
                <w:sz w:val="16"/>
                <w:szCs w:val="18"/>
                <w:lang w:val="es-CO"/>
              </w:rPr>
              <w:t>Muy alta</w:t>
            </w:r>
          </w:p>
        </w:tc>
        <w:tc>
          <w:tcPr>
            <w:tcW w:w="831" w:type="dxa"/>
            <w:vAlign w:val="center"/>
          </w:tcPr>
          <w:p w14:paraId="76147DEC" w14:textId="77777777" w:rsidR="00BF7AE1" w:rsidRPr="00BD1319" w:rsidRDefault="00BF7AE1" w:rsidP="00540D1C">
            <w:pPr>
              <w:pStyle w:val="Prrafodelista"/>
              <w:tabs>
                <w:tab w:val="left" w:pos="-2268"/>
              </w:tabs>
              <w:suppressAutoHyphens/>
              <w:ind w:left="0"/>
              <w:jc w:val="center"/>
              <w:rPr>
                <w:rFonts w:cs="Arial"/>
                <w:spacing w:val="-3"/>
                <w:sz w:val="16"/>
                <w:szCs w:val="18"/>
                <w:lang w:val="es-CO"/>
              </w:rPr>
            </w:pPr>
          </w:p>
        </w:tc>
        <w:tc>
          <w:tcPr>
            <w:tcW w:w="832" w:type="dxa"/>
            <w:vAlign w:val="center"/>
          </w:tcPr>
          <w:p w14:paraId="3E7CD480" w14:textId="77777777" w:rsidR="00BF7AE1" w:rsidRPr="00BD1319" w:rsidRDefault="00BF7AE1" w:rsidP="00BF7AE1">
            <w:pPr>
              <w:pStyle w:val="Prrafodelista"/>
              <w:tabs>
                <w:tab w:val="left" w:pos="-2268"/>
              </w:tabs>
              <w:suppressAutoHyphens/>
              <w:ind w:left="0"/>
              <w:jc w:val="center"/>
              <w:rPr>
                <w:rFonts w:cs="Arial"/>
                <w:spacing w:val="-3"/>
                <w:sz w:val="16"/>
                <w:szCs w:val="18"/>
                <w:lang w:val="es-CO"/>
              </w:rPr>
            </w:pPr>
          </w:p>
        </w:tc>
        <w:tc>
          <w:tcPr>
            <w:tcW w:w="831" w:type="dxa"/>
            <w:vAlign w:val="center"/>
          </w:tcPr>
          <w:p w14:paraId="0B2FCE95" w14:textId="2AA95DB6" w:rsidR="00BF7AE1" w:rsidRPr="00BD1319" w:rsidRDefault="00BF7AE1" w:rsidP="00540D1C">
            <w:pPr>
              <w:pStyle w:val="Prrafodelista"/>
              <w:tabs>
                <w:tab w:val="left" w:pos="-2268"/>
              </w:tabs>
              <w:suppressAutoHyphens/>
              <w:ind w:left="0"/>
              <w:jc w:val="center"/>
              <w:rPr>
                <w:rFonts w:cs="Arial"/>
                <w:spacing w:val="-3"/>
                <w:sz w:val="16"/>
                <w:szCs w:val="18"/>
                <w:lang w:val="es-CO"/>
              </w:rPr>
            </w:pPr>
          </w:p>
        </w:tc>
        <w:tc>
          <w:tcPr>
            <w:tcW w:w="832" w:type="dxa"/>
            <w:vAlign w:val="center"/>
          </w:tcPr>
          <w:p w14:paraId="4414E9BE" w14:textId="77777777" w:rsidR="00BF7AE1" w:rsidRPr="00BD1319" w:rsidRDefault="00BF7AE1" w:rsidP="00540D1C">
            <w:pPr>
              <w:pStyle w:val="Prrafodelista"/>
              <w:tabs>
                <w:tab w:val="left" w:pos="-2268"/>
              </w:tabs>
              <w:suppressAutoHyphens/>
              <w:ind w:left="0"/>
              <w:jc w:val="center"/>
              <w:rPr>
                <w:rFonts w:cs="Arial"/>
                <w:spacing w:val="-3"/>
                <w:sz w:val="16"/>
                <w:szCs w:val="18"/>
                <w:lang w:val="es-CO"/>
              </w:rPr>
            </w:pPr>
          </w:p>
        </w:tc>
        <w:tc>
          <w:tcPr>
            <w:tcW w:w="832" w:type="dxa"/>
            <w:shd w:val="clear" w:color="auto" w:fill="FF0000"/>
            <w:vAlign w:val="center"/>
          </w:tcPr>
          <w:p w14:paraId="71580007" w14:textId="77777777" w:rsidR="00BF7AE1" w:rsidRPr="00BD1319" w:rsidRDefault="00BF7AE1" w:rsidP="00540D1C">
            <w:pPr>
              <w:pStyle w:val="Prrafodelista"/>
              <w:tabs>
                <w:tab w:val="left" w:pos="-2268"/>
              </w:tabs>
              <w:suppressAutoHyphens/>
              <w:ind w:left="0"/>
              <w:jc w:val="center"/>
              <w:rPr>
                <w:rFonts w:cs="Arial"/>
                <w:spacing w:val="-3"/>
                <w:sz w:val="16"/>
                <w:szCs w:val="18"/>
                <w:lang w:val="es-CO"/>
              </w:rPr>
            </w:pPr>
            <w:r w:rsidRPr="00BD1319">
              <w:rPr>
                <w:rFonts w:cs="Arial"/>
                <w:spacing w:val="-3"/>
                <w:sz w:val="16"/>
                <w:szCs w:val="18"/>
                <w:lang w:val="es-CO"/>
              </w:rPr>
              <w:t>AE</w:t>
            </w:r>
          </w:p>
        </w:tc>
      </w:tr>
      <w:tr w:rsidR="00BF7AE1" w:rsidRPr="00BD1319" w14:paraId="497086F3" w14:textId="77777777" w:rsidTr="00BF7AE1">
        <w:trPr>
          <w:trHeight w:hRule="exact" w:val="397"/>
          <w:jc w:val="center"/>
        </w:trPr>
        <w:tc>
          <w:tcPr>
            <w:tcW w:w="817" w:type="dxa"/>
            <w:vMerge/>
            <w:vAlign w:val="center"/>
          </w:tcPr>
          <w:p w14:paraId="78C2688C" w14:textId="77777777" w:rsidR="00BF7AE1" w:rsidRPr="00BD1319" w:rsidRDefault="00BF7AE1" w:rsidP="00540D1C">
            <w:pPr>
              <w:pStyle w:val="Prrafodelista"/>
              <w:tabs>
                <w:tab w:val="left" w:pos="-2268"/>
              </w:tabs>
              <w:suppressAutoHyphens/>
              <w:ind w:left="0"/>
              <w:jc w:val="center"/>
              <w:rPr>
                <w:rFonts w:cs="Arial"/>
                <w:b/>
                <w:bCs/>
                <w:spacing w:val="-3"/>
                <w:sz w:val="16"/>
                <w:szCs w:val="18"/>
                <w:lang w:val="es-CO"/>
              </w:rPr>
            </w:pPr>
          </w:p>
        </w:tc>
        <w:tc>
          <w:tcPr>
            <w:tcW w:w="1418" w:type="dxa"/>
            <w:vMerge/>
            <w:vAlign w:val="center"/>
          </w:tcPr>
          <w:p w14:paraId="5531C0E3" w14:textId="77777777" w:rsidR="00BF7AE1" w:rsidRPr="00BD1319" w:rsidRDefault="00BF7AE1" w:rsidP="00540D1C">
            <w:pPr>
              <w:pStyle w:val="Prrafodelista"/>
              <w:tabs>
                <w:tab w:val="left" w:pos="-2268"/>
              </w:tabs>
              <w:suppressAutoHyphens/>
              <w:ind w:left="0"/>
              <w:jc w:val="center"/>
              <w:rPr>
                <w:rFonts w:cs="Arial"/>
                <w:spacing w:val="-3"/>
                <w:sz w:val="16"/>
                <w:szCs w:val="18"/>
                <w:lang w:val="es-CO"/>
              </w:rPr>
            </w:pPr>
          </w:p>
        </w:tc>
        <w:tc>
          <w:tcPr>
            <w:tcW w:w="1701" w:type="dxa"/>
            <w:noWrap/>
            <w:vAlign w:val="center"/>
          </w:tcPr>
          <w:p w14:paraId="70C1B23B" w14:textId="77777777" w:rsidR="00BF7AE1" w:rsidRPr="00BD1319" w:rsidRDefault="00BF7AE1" w:rsidP="00540D1C">
            <w:pPr>
              <w:pStyle w:val="Prrafodelista"/>
              <w:tabs>
                <w:tab w:val="left" w:pos="-2268"/>
              </w:tabs>
              <w:suppressAutoHyphens/>
              <w:ind w:left="0"/>
              <w:jc w:val="center"/>
              <w:rPr>
                <w:rFonts w:cs="Arial"/>
                <w:spacing w:val="-3"/>
                <w:sz w:val="16"/>
                <w:szCs w:val="18"/>
                <w:lang w:val="es-CO"/>
              </w:rPr>
            </w:pPr>
            <w:r w:rsidRPr="00BD1319">
              <w:rPr>
                <w:rFonts w:cs="Arial"/>
                <w:spacing w:val="-3"/>
                <w:sz w:val="16"/>
                <w:szCs w:val="18"/>
                <w:lang w:val="es-CO"/>
              </w:rPr>
              <w:t>Vereda MC</w:t>
            </w:r>
          </w:p>
        </w:tc>
        <w:tc>
          <w:tcPr>
            <w:tcW w:w="1559" w:type="dxa"/>
            <w:shd w:val="clear" w:color="auto" w:fill="CCC0D9" w:themeFill="accent4" w:themeFillTint="66"/>
            <w:noWrap/>
            <w:vAlign w:val="center"/>
          </w:tcPr>
          <w:p w14:paraId="51DF859B" w14:textId="77777777" w:rsidR="00BF7AE1" w:rsidRPr="00BD1319" w:rsidRDefault="00BF7AE1" w:rsidP="00540D1C">
            <w:pPr>
              <w:pStyle w:val="Prrafodelista"/>
              <w:tabs>
                <w:tab w:val="left" w:pos="-2268"/>
              </w:tabs>
              <w:suppressAutoHyphens/>
              <w:ind w:left="0"/>
              <w:jc w:val="center"/>
              <w:rPr>
                <w:rFonts w:cs="Arial"/>
                <w:spacing w:val="-3"/>
                <w:sz w:val="16"/>
                <w:szCs w:val="18"/>
                <w:lang w:val="es-CO"/>
              </w:rPr>
            </w:pPr>
            <w:r w:rsidRPr="00BD1319">
              <w:rPr>
                <w:rFonts w:cs="Arial"/>
                <w:spacing w:val="-3"/>
                <w:sz w:val="16"/>
                <w:szCs w:val="18"/>
                <w:lang w:val="es-CO"/>
              </w:rPr>
              <w:t>Media</w:t>
            </w:r>
          </w:p>
        </w:tc>
        <w:tc>
          <w:tcPr>
            <w:tcW w:w="831" w:type="dxa"/>
            <w:vAlign w:val="center"/>
          </w:tcPr>
          <w:p w14:paraId="07157509" w14:textId="77777777" w:rsidR="00BF7AE1" w:rsidRPr="00BD1319" w:rsidRDefault="00BF7AE1" w:rsidP="00540D1C">
            <w:pPr>
              <w:pStyle w:val="Prrafodelista"/>
              <w:tabs>
                <w:tab w:val="left" w:pos="-2268"/>
              </w:tabs>
              <w:suppressAutoHyphens/>
              <w:ind w:left="0"/>
              <w:jc w:val="center"/>
              <w:rPr>
                <w:rFonts w:cs="Arial"/>
                <w:spacing w:val="-3"/>
                <w:sz w:val="16"/>
                <w:szCs w:val="18"/>
                <w:lang w:val="es-CO"/>
              </w:rPr>
            </w:pPr>
          </w:p>
        </w:tc>
        <w:tc>
          <w:tcPr>
            <w:tcW w:w="832" w:type="dxa"/>
            <w:vAlign w:val="center"/>
          </w:tcPr>
          <w:p w14:paraId="1C986A17" w14:textId="77777777" w:rsidR="00BF7AE1" w:rsidRPr="00BD1319" w:rsidRDefault="00BF7AE1" w:rsidP="00BF7AE1">
            <w:pPr>
              <w:pStyle w:val="Prrafodelista"/>
              <w:tabs>
                <w:tab w:val="left" w:pos="-2268"/>
              </w:tabs>
              <w:suppressAutoHyphens/>
              <w:ind w:left="0"/>
              <w:jc w:val="center"/>
              <w:rPr>
                <w:rFonts w:cs="Arial"/>
                <w:spacing w:val="-3"/>
                <w:sz w:val="16"/>
                <w:szCs w:val="18"/>
                <w:lang w:val="es-CO"/>
              </w:rPr>
            </w:pPr>
          </w:p>
        </w:tc>
        <w:tc>
          <w:tcPr>
            <w:tcW w:w="831" w:type="dxa"/>
            <w:vAlign w:val="center"/>
          </w:tcPr>
          <w:p w14:paraId="5D37990F" w14:textId="55F113FB" w:rsidR="00BF7AE1" w:rsidRPr="00BD1319" w:rsidRDefault="00BF7AE1" w:rsidP="00540D1C">
            <w:pPr>
              <w:pStyle w:val="Prrafodelista"/>
              <w:tabs>
                <w:tab w:val="left" w:pos="-2268"/>
              </w:tabs>
              <w:suppressAutoHyphens/>
              <w:ind w:left="0"/>
              <w:jc w:val="center"/>
              <w:rPr>
                <w:rFonts w:cs="Arial"/>
                <w:spacing w:val="-3"/>
                <w:sz w:val="16"/>
                <w:szCs w:val="18"/>
                <w:lang w:val="es-CO"/>
              </w:rPr>
            </w:pPr>
          </w:p>
        </w:tc>
        <w:tc>
          <w:tcPr>
            <w:tcW w:w="832" w:type="dxa"/>
            <w:vAlign w:val="center"/>
          </w:tcPr>
          <w:p w14:paraId="38F7B688" w14:textId="77777777" w:rsidR="00BF7AE1" w:rsidRPr="00BD1319" w:rsidRDefault="00BF7AE1" w:rsidP="00540D1C">
            <w:pPr>
              <w:pStyle w:val="Prrafodelista"/>
              <w:tabs>
                <w:tab w:val="left" w:pos="-2268"/>
              </w:tabs>
              <w:suppressAutoHyphens/>
              <w:ind w:left="0"/>
              <w:jc w:val="center"/>
              <w:rPr>
                <w:rFonts w:cs="Arial"/>
                <w:spacing w:val="-3"/>
                <w:sz w:val="16"/>
                <w:szCs w:val="18"/>
                <w:lang w:val="es-CO"/>
              </w:rPr>
            </w:pPr>
          </w:p>
        </w:tc>
        <w:tc>
          <w:tcPr>
            <w:tcW w:w="832" w:type="dxa"/>
            <w:shd w:val="clear" w:color="auto" w:fill="FFFF00"/>
            <w:vAlign w:val="center"/>
          </w:tcPr>
          <w:p w14:paraId="12225055" w14:textId="77777777" w:rsidR="00BF7AE1" w:rsidRPr="00BD1319" w:rsidRDefault="00BF7AE1" w:rsidP="00540D1C">
            <w:pPr>
              <w:pStyle w:val="Prrafodelista"/>
              <w:tabs>
                <w:tab w:val="left" w:pos="-2268"/>
              </w:tabs>
              <w:suppressAutoHyphens/>
              <w:ind w:left="0"/>
              <w:jc w:val="center"/>
              <w:rPr>
                <w:rFonts w:cs="Arial"/>
                <w:spacing w:val="-3"/>
                <w:sz w:val="16"/>
                <w:szCs w:val="18"/>
                <w:lang w:val="es-CO"/>
              </w:rPr>
            </w:pPr>
            <w:r w:rsidRPr="00BD1319">
              <w:rPr>
                <w:rFonts w:cs="Arial"/>
                <w:spacing w:val="-3"/>
                <w:sz w:val="16"/>
                <w:szCs w:val="18"/>
                <w:lang w:val="es-CO"/>
              </w:rPr>
              <w:t>AIR</w:t>
            </w:r>
          </w:p>
        </w:tc>
      </w:tr>
      <w:tr w:rsidR="00BF7AE1" w:rsidRPr="00BD1319" w14:paraId="262FCA8F" w14:textId="77777777" w:rsidTr="00BF7AE1">
        <w:trPr>
          <w:trHeight w:hRule="exact" w:val="397"/>
          <w:jc w:val="center"/>
        </w:trPr>
        <w:tc>
          <w:tcPr>
            <w:tcW w:w="817" w:type="dxa"/>
            <w:vMerge/>
            <w:vAlign w:val="center"/>
          </w:tcPr>
          <w:p w14:paraId="7CF5E959" w14:textId="77777777" w:rsidR="00BF7AE1" w:rsidRPr="00BD1319" w:rsidRDefault="00BF7AE1" w:rsidP="00540D1C">
            <w:pPr>
              <w:pStyle w:val="Prrafodelista"/>
              <w:tabs>
                <w:tab w:val="left" w:pos="-2268"/>
              </w:tabs>
              <w:suppressAutoHyphens/>
              <w:ind w:left="0"/>
              <w:jc w:val="center"/>
              <w:rPr>
                <w:rFonts w:cs="Arial"/>
                <w:b/>
                <w:bCs/>
                <w:spacing w:val="-3"/>
                <w:sz w:val="16"/>
                <w:szCs w:val="18"/>
                <w:lang w:val="es-CO"/>
              </w:rPr>
            </w:pPr>
          </w:p>
        </w:tc>
        <w:tc>
          <w:tcPr>
            <w:tcW w:w="1418" w:type="dxa"/>
            <w:vMerge/>
            <w:vAlign w:val="center"/>
          </w:tcPr>
          <w:p w14:paraId="0105E9B5" w14:textId="77777777" w:rsidR="00BF7AE1" w:rsidRPr="00BD1319" w:rsidRDefault="00BF7AE1" w:rsidP="00540D1C">
            <w:pPr>
              <w:pStyle w:val="Prrafodelista"/>
              <w:tabs>
                <w:tab w:val="left" w:pos="-2268"/>
              </w:tabs>
              <w:suppressAutoHyphens/>
              <w:ind w:left="0"/>
              <w:jc w:val="center"/>
              <w:rPr>
                <w:rFonts w:cs="Arial"/>
                <w:spacing w:val="-3"/>
                <w:sz w:val="16"/>
                <w:szCs w:val="18"/>
                <w:lang w:val="es-CO"/>
              </w:rPr>
            </w:pPr>
          </w:p>
        </w:tc>
        <w:tc>
          <w:tcPr>
            <w:tcW w:w="1701" w:type="dxa"/>
            <w:noWrap/>
            <w:vAlign w:val="center"/>
          </w:tcPr>
          <w:p w14:paraId="5AE3674B" w14:textId="77777777" w:rsidR="00BF7AE1" w:rsidRPr="00BD1319" w:rsidRDefault="00BF7AE1" w:rsidP="00540D1C">
            <w:pPr>
              <w:pStyle w:val="Prrafodelista"/>
              <w:tabs>
                <w:tab w:val="left" w:pos="-2268"/>
              </w:tabs>
              <w:suppressAutoHyphens/>
              <w:ind w:left="0"/>
              <w:jc w:val="center"/>
              <w:rPr>
                <w:rFonts w:cs="Arial"/>
                <w:spacing w:val="-3"/>
                <w:sz w:val="16"/>
                <w:szCs w:val="18"/>
                <w:lang w:val="es-CO"/>
              </w:rPr>
            </w:pPr>
            <w:r w:rsidRPr="00BD1319">
              <w:rPr>
                <w:rFonts w:cs="Arial"/>
                <w:spacing w:val="-3"/>
                <w:sz w:val="16"/>
                <w:szCs w:val="18"/>
                <w:lang w:val="es-CO"/>
              </w:rPr>
              <w:t>Vereda FE</w:t>
            </w:r>
          </w:p>
        </w:tc>
        <w:tc>
          <w:tcPr>
            <w:tcW w:w="1559" w:type="dxa"/>
            <w:shd w:val="clear" w:color="auto" w:fill="CCC0D9" w:themeFill="accent4" w:themeFillTint="66"/>
            <w:noWrap/>
            <w:vAlign w:val="center"/>
          </w:tcPr>
          <w:p w14:paraId="60FE9E55" w14:textId="77777777" w:rsidR="00BF7AE1" w:rsidRPr="00BD1319" w:rsidRDefault="00BF7AE1" w:rsidP="00540D1C">
            <w:pPr>
              <w:pStyle w:val="Prrafodelista"/>
              <w:tabs>
                <w:tab w:val="left" w:pos="-2268"/>
              </w:tabs>
              <w:suppressAutoHyphens/>
              <w:ind w:left="0"/>
              <w:jc w:val="center"/>
              <w:rPr>
                <w:rFonts w:cs="Arial"/>
                <w:spacing w:val="-3"/>
                <w:sz w:val="16"/>
                <w:szCs w:val="18"/>
                <w:lang w:val="es-CO"/>
              </w:rPr>
            </w:pPr>
            <w:r w:rsidRPr="00BD1319">
              <w:rPr>
                <w:rFonts w:cs="Arial"/>
                <w:spacing w:val="-3"/>
                <w:sz w:val="16"/>
                <w:szCs w:val="18"/>
                <w:lang w:val="es-CO"/>
              </w:rPr>
              <w:t>Alta</w:t>
            </w:r>
          </w:p>
        </w:tc>
        <w:tc>
          <w:tcPr>
            <w:tcW w:w="831" w:type="dxa"/>
            <w:vAlign w:val="center"/>
          </w:tcPr>
          <w:p w14:paraId="230D1260" w14:textId="77777777" w:rsidR="00BF7AE1" w:rsidRPr="00BD1319" w:rsidRDefault="00BF7AE1" w:rsidP="00540D1C">
            <w:pPr>
              <w:pStyle w:val="Prrafodelista"/>
              <w:tabs>
                <w:tab w:val="left" w:pos="-2268"/>
              </w:tabs>
              <w:suppressAutoHyphens/>
              <w:ind w:left="0"/>
              <w:jc w:val="center"/>
              <w:rPr>
                <w:rFonts w:cs="Arial"/>
                <w:spacing w:val="-3"/>
                <w:sz w:val="16"/>
                <w:szCs w:val="18"/>
                <w:lang w:val="es-CO"/>
              </w:rPr>
            </w:pPr>
          </w:p>
        </w:tc>
        <w:tc>
          <w:tcPr>
            <w:tcW w:w="832" w:type="dxa"/>
            <w:vAlign w:val="center"/>
          </w:tcPr>
          <w:p w14:paraId="65A365FB" w14:textId="77777777" w:rsidR="00BF7AE1" w:rsidRPr="00BD1319" w:rsidRDefault="00BF7AE1" w:rsidP="00BF7AE1">
            <w:pPr>
              <w:pStyle w:val="Prrafodelista"/>
              <w:tabs>
                <w:tab w:val="left" w:pos="-2268"/>
              </w:tabs>
              <w:suppressAutoHyphens/>
              <w:ind w:left="0"/>
              <w:jc w:val="center"/>
              <w:rPr>
                <w:rFonts w:cs="Arial"/>
                <w:spacing w:val="-3"/>
                <w:sz w:val="16"/>
                <w:szCs w:val="18"/>
                <w:lang w:val="es-CO"/>
              </w:rPr>
            </w:pPr>
          </w:p>
        </w:tc>
        <w:tc>
          <w:tcPr>
            <w:tcW w:w="831" w:type="dxa"/>
            <w:vAlign w:val="center"/>
          </w:tcPr>
          <w:p w14:paraId="4786AB24" w14:textId="1E2AA908" w:rsidR="00BF7AE1" w:rsidRPr="00BD1319" w:rsidRDefault="00BF7AE1" w:rsidP="00540D1C">
            <w:pPr>
              <w:pStyle w:val="Prrafodelista"/>
              <w:tabs>
                <w:tab w:val="left" w:pos="-2268"/>
              </w:tabs>
              <w:suppressAutoHyphens/>
              <w:ind w:left="0"/>
              <w:jc w:val="center"/>
              <w:rPr>
                <w:rFonts w:cs="Arial"/>
                <w:spacing w:val="-3"/>
                <w:sz w:val="16"/>
                <w:szCs w:val="18"/>
                <w:lang w:val="es-CO"/>
              </w:rPr>
            </w:pPr>
          </w:p>
        </w:tc>
        <w:tc>
          <w:tcPr>
            <w:tcW w:w="832" w:type="dxa"/>
            <w:vAlign w:val="center"/>
          </w:tcPr>
          <w:p w14:paraId="14605BBF" w14:textId="77777777" w:rsidR="00BF7AE1" w:rsidRPr="00BD1319" w:rsidRDefault="00BF7AE1" w:rsidP="00540D1C">
            <w:pPr>
              <w:pStyle w:val="Prrafodelista"/>
              <w:tabs>
                <w:tab w:val="left" w:pos="-2268"/>
              </w:tabs>
              <w:suppressAutoHyphens/>
              <w:ind w:left="0"/>
              <w:jc w:val="center"/>
              <w:rPr>
                <w:rFonts w:cs="Arial"/>
                <w:spacing w:val="-3"/>
                <w:sz w:val="16"/>
                <w:szCs w:val="18"/>
                <w:lang w:val="es-CO"/>
              </w:rPr>
            </w:pPr>
          </w:p>
        </w:tc>
        <w:tc>
          <w:tcPr>
            <w:tcW w:w="832" w:type="dxa"/>
            <w:shd w:val="clear" w:color="auto" w:fill="FFFF00"/>
            <w:vAlign w:val="center"/>
          </w:tcPr>
          <w:p w14:paraId="4FAC75CB" w14:textId="77777777" w:rsidR="00BF7AE1" w:rsidRPr="00BD1319" w:rsidRDefault="00BF7AE1" w:rsidP="00540D1C">
            <w:pPr>
              <w:pStyle w:val="Prrafodelista"/>
              <w:tabs>
                <w:tab w:val="left" w:pos="-2268"/>
              </w:tabs>
              <w:suppressAutoHyphens/>
              <w:ind w:left="0"/>
              <w:jc w:val="center"/>
              <w:rPr>
                <w:rFonts w:cs="Arial"/>
                <w:spacing w:val="-3"/>
                <w:sz w:val="16"/>
                <w:szCs w:val="18"/>
                <w:lang w:val="es-CO"/>
              </w:rPr>
            </w:pPr>
            <w:r w:rsidRPr="00BD1319">
              <w:rPr>
                <w:rFonts w:cs="Arial"/>
                <w:spacing w:val="-3"/>
                <w:sz w:val="16"/>
                <w:szCs w:val="18"/>
                <w:lang w:val="es-CO"/>
              </w:rPr>
              <w:t>AIR</w:t>
            </w:r>
          </w:p>
        </w:tc>
      </w:tr>
    </w:tbl>
    <w:p w14:paraId="320E4FD5" w14:textId="77777777" w:rsidR="00B11257" w:rsidRPr="00BD1319" w:rsidRDefault="00B11257" w:rsidP="009420F5"/>
    <w:p w14:paraId="5792EDD1" w14:textId="77777777" w:rsidR="00026F3C" w:rsidRPr="00BD1319" w:rsidRDefault="00026F3C" w:rsidP="007F1776"/>
    <w:p w14:paraId="47A9F38D" w14:textId="6FBAE892" w:rsidR="0050289E" w:rsidRPr="00BD1319" w:rsidRDefault="0050289E" w:rsidP="00696453">
      <w:pPr>
        <w:pStyle w:val="Ttulo1"/>
        <w:numPr>
          <w:ilvl w:val="0"/>
          <w:numId w:val="8"/>
        </w:numPr>
        <w:rPr>
          <w:lang w:val="es-CO"/>
        </w:rPr>
      </w:pPr>
      <w:bookmarkStart w:id="11021" w:name="_Toc405366873"/>
      <w:bookmarkStart w:id="11022" w:name="_Toc405372421"/>
      <w:bookmarkStart w:id="11023" w:name="_Toc437936062"/>
      <w:bookmarkStart w:id="11024" w:name="_Ref510091071"/>
      <w:bookmarkStart w:id="11025" w:name="_Ref510091073"/>
      <w:bookmarkStart w:id="11026" w:name="_Toc175326817"/>
      <w:r w:rsidRPr="00BD1319">
        <w:rPr>
          <w:lang w:val="es-CO"/>
        </w:rPr>
        <w:t>PLANES Y PROGRAMAS</w:t>
      </w:r>
      <w:bookmarkEnd w:id="11021"/>
      <w:bookmarkEnd w:id="11022"/>
      <w:bookmarkEnd w:id="11023"/>
      <w:bookmarkEnd w:id="11024"/>
      <w:bookmarkEnd w:id="11025"/>
      <w:bookmarkEnd w:id="11026"/>
    </w:p>
    <w:p w14:paraId="247C75BF" w14:textId="7DD276C4" w:rsidR="00882C61" w:rsidRPr="00BD1319" w:rsidRDefault="00882C61">
      <w:pPr>
        <w:numPr>
          <w:ilvl w:val="12"/>
          <w:numId w:val="0"/>
        </w:numPr>
        <w:tabs>
          <w:tab w:val="left" w:pos="-2268"/>
        </w:tabs>
        <w:suppressAutoHyphens/>
        <w:rPr>
          <w:spacing w:val="-3"/>
        </w:rPr>
      </w:pPr>
    </w:p>
    <w:p w14:paraId="4696855B" w14:textId="558A65B2" w:rsidR="00115F66" w:rsidRPr="00BD1319" w:rsidRDefault="005C63A3" w:rsidP="009420F5">
      <w:pPr>
        <w:tabs>
          <w:tab w:val="left" w:pos="-2268"/>
        </w:tabs>
        <w:suppressAutoHyphens/>
        <w:rPr>
          <w:rFonts w:cs="Arial"/>
          <w:spacing w:val="-3"/>
        </w:rPr>
      </w:pPr>
      <w:r w:rsidRPr="00BD1319">
        <w:rPr>
          <w:rFonts w:cs="Arial"/>
          <w:spacing w:val="-3"/>
        </w:rPr>
        <w:lastRenderedPageBreak/>
        <w:t xml:space="preserve">Los planes y programas constituyen un elemento fundamental no sólo para el Estudio de Impacto Ambiental </w:t>
      </w:r>
      <w:r w:rsidR="00935E17" w:rsidRPr="00BD1319">
        <w:rPr>
          <w:rFonts w:cs="Arial"/>
          <w:spacing w:val="-3"/>
        </w:rPr>
        <w:t>(</w:t>
      </w:r>
      <w:r w:rsidRPr="00BD1319">
        <w:rPr>
          <w:rFonts w:cs="Arial"/>
          <w:spacing w:val="-3"/>
        </w:rPr>
        <w:t>EIA</w:t>
      </w:r>
      <w:r w:rsidR="00935E17" w:rsidRPr="00BD1319">
        <w:rPr>
          <w:rFonts w:cs="Arial"/>
          <w:spacing w:val="-3"/>
        </w:rPr>
        <w:t>)</w:t>
      </w:r>
      <w:r w:rsidRPr="00BD1319">
        <w:rPr>
          <w:rFonts w:cs="Arial"/>
          <w:spacing w:val="-3"/>
        </w:rPr>
        <w:t xml:space="preserve">, sino también para el proceso de licenciamiento ambiental, pues a través de ellos se formula el conjunto ordenado y armónico de acciones y medidas, que tienen como propósito </w:t>
      </w:r>
      <w:r w:rsidR="005C6652" w:rsidRPr="00BD1319">
        <w:rPr>
          <w:rFonts w:cs="Arial"/>
          <w:spacing w:val="-3"/>
        </w:rPr>
        <w:t>la gestión</w:t>
      </w:r>
      <w:r w:rsidRPr="00BD1319">
        <w:rPr>
          <w:rFonts w:cs="Arial"/>
          <w:spacing w:val="-3"/>
        </w:rPr>
        <w:t xml:space="preserve"> de los impactos ambientales </w:t>
      </w:r>
      <w:r w:rsidR="009F14B2" w:rsidRPr="00BD1319">
        <w:rPr>
          <w:rFonts w:cs="Arial"/>
          <w:spacing w:val="-3"/>
        </w:rPr>
        <w:t>generados</w:t>
      </w:r>
      <w:r w:rsidRPr="00BD1319">
        <w:rPr>
          <w:rFonts w:cs="Arial"/>
          <w:spacing w:val="-3"/>
        </w:rPr>
        <w:t xml:space="preserve"> </w:t>
      </w:r>
      <w:r w:rsidR="001602EA" w:rsidRPr="00BD1319">
        <w:rPr>
          <w:rFonts w:cs="Arial"/>
          <w:spacing w:val="-3"/>
        </w:rPr>
        <w:t xml:space="preserve">en todas las fases de ejecución de </w:t>
      </w:r>
      <w:r w:rsidRPr="00BD1319">
        <w:rPr>
          <w:rFonts w:cs="Arial"/>
          <w:spacing w:val="-3"/>
        </w:rPr>
        <w:t>un proyecto, obra o actividad</w:t>
      </w:r>
      <w:r w:rsidR="005152C4" w:rsidRPr="00BD1319">
        <w:rPr>
          <w:rFonts w:cs="Arial"/>
          <w:spacing w:val="-3"/>
        </w:rPr>
        <w:t xml:space="preserve">, la </w:t>
      </w:r>
      <w:r w:rsidR="00AD171D" w:rsidRPr="00BD1319">
        <w:rPr>
          <w:rFonts w:cs="Arial"/>
          <w:spacing w:val="-3"/>
        </w:rPr>
        <w:t>reducción del riesgo y el manejo de contingencias</w:t>
      </w:r>
      <w:r w:rsidR="007770AF" w:rsidRPr="00BD1319">
        <w:rPr>
          <w:rFonts w:cs="Arial"/>
          <w:spacing w:val="-3"/>
        </w:rPr>
        <w:t xml:space="preserve"> que </w:t>
      </w:r>
      <w:r w:rsidR="007770AF" w:rsidRPr="00BD1319">
        <w:rPr>
          <w:rFonts w:cs="Arial"/>
          <w:szCs w:val="20"/>
        </w:rPr>
        <w:t>puedan generar impactos ambientales</w:t>
      </w:r>
      <w:r w:rsidR="00AD171D" w:rsidRPr="00BD1319">
        <w:rPr>
          <w:rFonts w:cs="Arial"/>
          <w:spacing w:val="-3"/>
        </w:rPr>
        <w:t xml:space="preserve">, así como </w:t>
      </w:r>
      <w:r w:rsidR="00935E17" w:rsidRPr="00BD1319">
        <w:rPr>
          <w:rFonts w:cs="Arial"/>
          <w:spacing w:val="-3"/>
        </w:rPr>
        <w:t xml:space="preserve">la </w:t>
      </w:r>
      <w:r w:rsidR="004D4D8D" w:rsidRPr="00BD1319">
        <w:rPr>
          <w:rFonts w:cs="Arial"/>
          <w:spacing w:val="-3"/>
        </w:rPr>
        <w:t>formulación</w:t>
      </w:r>
      <w:r w:rsidR="00935E17" w:rsidRPr="00BD1319">
        <w:rPr>
          <w:rFonts w:cs="Arial"/>
          <w:spacing w:val="-3"/>
        </w:rPr>
        <w:t xml:space="preserve"> de </w:t>
      </w:r>
      <w:r w:rsidR="004D4D8D" w:rsidRPr="00BD1319">
        <w:rPr>
          <w:rFonts w:cs="Arial"/>
          <w:spacing w:val="-3"/>
        </w:rPr>
        <w:t xml:space="preserve">inversiones establecidas por la Ley y de </w:t>
      </w:r>
      <w:r w:rsidR="00E33D76" w:rsidRPr="00BD1319">
        <w:rPr>
          <w:rFonts w:cs="Arial"/>
          <w:spacing w:val="-3"/>
        </w:rPr>
        <w:t xml:space="preserve">medidas que </w:t>
      </w:r>
      <w:r w:rsidR="00935E17" w:rsidRPr="00BD1319">
        <w:rPr>
          <w:rFonts w:cs="Arial"/>
          <w:spacing w:val="-3"/>
        </w:rPr>
        <w:t>retribu</w:t>
      </w:r>
      <w:r w:rsidR="00E33D76" w:rsidRPr="00BD1319">
        <w:rPr>
          <w:rFonts w:cs="Arial"/>
          <w:spacing w:val="-3"/>
        </w:rPr>
        <w:t xml:space="preserve">yan </w:t>
      </w:r>
      <w:r w:rsidR="00115F66" w:rsidRPr="00BD1319">
        <w:rPr>
          <w:rFonts w:cs="Arial"/>
          <w:spacing w:val="-3"/>
        </w:rPr>
        <w:t>los impactos generados sobre los ecosistemas</w:t>
      </w:r>
      <w:r w:rsidR="00D07D27" w:rsidRPr="00BD1319">
        <w:rPr>
          <w:rFonts w:cs="Arial"/>
          <w:spacing w:val="-3"/>
        </w:rPr>
        <w:t xml:space="preserve">; importante tener en cuenta que las medidas de compensación </w:t>
      </w:r>
      <w:r w:rsidR="002A1740" w:rsidRPr="00BD1319">
        <w:rPr>
          <w:rFonts w:cs="Arial"/>
          <w:spacing w:val="-3"/>
        </w:rPr>
        <w:t xml:space="preserve">además de </w:t>
      </w:r>
      <w:r w:rsidR="00D07D27" w:rsidRPr="00BD1319">
        <w:rPr>
          <w:rFonts w:cs="Arial"/>
          <w:spacing w:val="-3"/>
        </w:rPr>
        <w:t>posibilita</w:t>
      </w:r>
      <w:r w:rsidR="002A1740" w:rsidRPr="00BD1319">
        <w:rPr>
          <w:rFonts w:cs="Arial"/>
          <w:spacing w:val="-3"/>
        </w:rPr>
        <w:t>r</w:t>
      </w:r>
      <w:r w:rsidR="00D07D27" w:rsidRPr="00BD1319">
        <w:rPr>
          <w:rFonts w:cs="Arial"/>
          <w:spacing w:val="-3"/>
        </w:rPr>
        <w:t xml:space="preserve"> el objetivo último de la jerarquía de las medidas de manejo</w:t>
      </w:r>
      <w:r w:rsidR="002A1740" w:rsidRPr="00BD1319">
        <w:rPr>
          <w:rFonts w:cs="Arial"/>
          <w:spacing w:val="-3"/>
        </w:rPr>
        <w:t xml:space="preserve">, tienen la capacidad de generar </w:t>
      </w:r>
      <w:r w:rsidR="00D07D27" w:rsidRPr="00BD1319">
        <w:rPr>
          <w:rFonts w:cs="Arial"/>
          <w:spacing w:val="-3"/>
        </w:rPr>
        <w:t>impactos ambientales positivos adicionales</w:t>
      </w:r>
      <w:r w:rsidR="00115F66" w:rsidRPr="00BD1319">
        <w:rPr>
          <w:rFonts w:cs="Arial"/>
          <w:spacing w:val="-3"/>
        </w:rPr>
        <w:t>.</w:t>
      </w:r>
    </w:p>
    <w:p w14:paraId="3E7917E5" w14:textId="77777777" w:rsidR="00115F66" w:rsidRPr="00BD1319" w:rsidRDefault="00115F66" w:rsidP="003725C8">
      <w:pPr>
        <w:tabs>
          <w:tab w:val="left" w:pos="-2268"/>
        </w:tabs>
        <w:suppressAutoHyphens/>
        <w:rPr>
          <w:rFonts w:cs="Arial"/>
          <w:spacing w:val="-3"/>
        </w:rPr>
      </w:pPr>
    </w:p>
    <w:p w14:paraId="4B0B6895" w14:textId="7A897F5B" w:rsidR="005C63A3" w:rsidRPr="00BD1319" w:rsidRDefault="005C63A3" w:rsidP="005C63A3">
      <w:pPr>
        <w:numPr>
          <w:ilvl w:val="12"/>
          <w:numId w:val="0"/>
        </w:numPr>
        <w:tabs>
          <w:tab w:val="left" w:pos="-2268"/>
        </w:tabs>
        <w:suppressAutoHyphens/>
        <w:rPr>
          <w:rFonts w:cs="Arial"/>
          <w:spacing w:val="-3"/>
        </w:rPr>
      </w:pPr>
      <w:r w:rsidRPr="00BD1319">
        <w:rPr>
          <w:rFonts w:cs="Arial"/>
          <w:spacing w:val="-3"/>
        </w:rPr>
        <w:t xml:space="preserve">Para formular </w:t>
      </w:r>
      <w:r w:rsidR="00AE5A5E" w:rsidRPr="00BD1319">
        <w:rPr>
          <w:rFonts w:cs="Arial"/>
          <w:spacing w:val="-3"/>
        </w:rPr>
        <w:t>l</w:t>
      </w:r>
      <w:r w:rsidRPr="00BD1319">
        <w:rPr>
          <w:rFonts w:cs="Arial"/>
          <w:spacing w:val="-3"/>
        </w:rPr>
        <w:t xml:space="preserve">os planes y programas, es esencial tener un conocimiento detallado de las características del proyecto, obra o actividad que se propone, </w:t>
      </w:r>
      <w:r w:rsidR="00603FBA" w:rsidRPr="00BD1319">
        <w:rPr>
          <w:rFonts w:cs="Arial"/>
          <w:spacing w:val="-3"/>
        </w:rPr>
        <w:t xml:space="preserve">del uso y aprovechamiento de recursos naturales que </w:t>
      </w:r>
      <w:r w:rsidR="00AE5A5E" w:rsidRPr="00BD1319">
        <w:rPr>
          <w:rFonts w:cs="Arial"/>
          <w:spacing w:val="-3"/>
        </w:rPr>
        <w:t xml:space="preserve">éste </w:t>
      </w:r>
      <w:r w:rsidR="00603FBA" w:rsidRPr="00BD1319">
        <w:rPr>
          <w:rFonts w:cs="Arial"/>
          <w:spacing w:val="-3"/>
        </w:rPr>
        <w:t xml:space="preserve">requiere, </w:t>
      </w:r>
      <w:r w:rsidRPr="00BD1319">
        <w:rPr>
          <w:rFonts w:cs="Arial"/>
          <w:spacing w:val="-3"/>
        </w:rPr>
        <w:t xml:space="preserve">de las condiciones </w:t>
      </w:r>
      <w:r w:rsidR="00603FBA" w:rsidRPr="00BD1319">
        <w:rPr>
          <w:rFonts w:cs="Arial"/>
          <w:spacing w:val="-3"/>
        </w:rPr>
        <w:t xml:space="preserve">y sensibilidad </w:t>
      </w:r>
      <w:r w:rsidRPr="00BD1319">
        <w:rPr>
          <w:rFonts w:cs="Arial"/>
          <w:spacing w:val="-3"/>
        </w:rPr>
        <w:t xml:space="preserve">del ambiente en el que se prevé su ejecución, de las características de los impactos que </w:t>
      </w:r>
      <w:r w:rsidR="003239DF" w:rsidRPr="00BD1319">
        <w:rPr>
          <w:rFonts w:cs="Arial"/>
          <w:spacing w:val="-3"/>
        </w:rPr>
        <w:t xml:space="preserve">genera </w:t>
      </w:r>
      <w:r w:rsidRPr="00BD1319">
        <w:rPr>
          <w:rFonts w:cs="Arial"/>
          <w:spacing w:val="-3"/>
        </w:rPr>
        <w:t xml:space="preserve">(grado de modificación </w:t>
      </w:r>
      <w:r w:rsidR="003239DF" w:rsidRPr="00BD1319">
        <w:rPr>
          <w:rFonts w:cs="Arial"/>
          <w:spacing w:val="-3"/>
        </w:rPr>
        <w:t xml:space="preserve">de condiciones </w:t>
      </w:r>
      <w:r w:rsidRPr="00BD1319">
        <w:rPr>
          <w:rFonts w:cs="Arial"/>
          <w:spacing w:val="-3"/>
        </w:rPr>
        <w:t>ambiental</w:t>
      </w:r>
      <w:r w:rsidR="003239DF" w:rsidRPr="00BD1319">
        <w:rPr>
          <w:rFonts w:cs="Arial"/>
          <w:spacing w:val="-3"/>
        </w:rPr>
        <w:t>es</w:t>
      </w:r>
      <w:r w:rsidR="00603FBA" w:rsidRPr="00BD1319">
        <w:rPr>
          <w:rFonts w:cs="Arial"/>
          <w:spacing w:val="-3"/>
        </w:rPr>
        <w:t>, lugar</w:t>
      </w:r>
      <w:r w:rsidR="00050FBB" w:rsidRPr="00BD1319">
        <w:rPr>
          <w:rFonts w:cs="Arial"/>
          <w:spacing w:val="-3"/>
        </w:rPr>
        <w:t>es</w:t>
      </w:r>
      <w:r w:rsidR="00603FBA" w:rsidRPr="00BD1319">
        <w:rPr>
          <w:rFonts w:cs="Arial"/>
          <w:spacing w:val="-3"/>
        </w:rPr>
        <w:t xml:space="preserve"> y momento</w:t>
      </w:r>
      <w:r w:rsidR="00050FBB" w:rsidRPr="00BD1319">
        <w:rPr>
          <w:rFonts w:cs="Arial"/>
          <w:spacing w:val="-3"/>
        </w:rPr>
        <w:t>s</w:t>
      </w:r>
      <w:r w:rsidR="00603FBA" w:rsidRPr="00BD1319">
        <w:rPr>
          <w:rFonts w:cs="Arial"/>
          <w:spacing w:val="-3"/>
        </w:rPr>
        <w:t xml:space="preserve"> de su manifestación, relaciones causales que lo</w:t>
      </w:r>
      <w:r w:rsidR="002315AF" w:rsidRPr="00BD1319">
        <w:rPr>
          <w:rFonts w:cs="Arial"/>
          <w:spacing w:val="-3"/>
        </w:rPr>
        <w:t>s</w:t>
      </w:r>
      <w:r w:rsidR="00603FBA" w:rsidRPr="00BD1319">
        <w:rPr>
          <w:rFonts w:cs="Arial"/>
          <w:spacing w:val="-3"/>
        </w:rPr>
        <w:t xml:space="preserve"> </w:t>
      </w:r>
      <w:r w:rsidR="00B846D8" w:rsidRPr="00BD1319">
        <w:rPr>
          <w:rFonts w:cs="Arial"/>
          <w:spacing w:val="-3"/>
        </w:rPr>
        <w:t>generan</w:t>
      </w:r>
      <w:r w:rsidR="00603FBA" w:rsidRPr="00BD1319">
        <w:rPr>
          <w:rFonts w:cs="Arial"/>
          <w:spacing w:val="-3"/>
        </w:rPr>
        <w:t>, entre otras</w:t>
      </w:r>
      <w:r w:rsidRPr="00BD1319">
        <w:rPr>
          <w:rFonts w:cs="Arial"/>
          <w:spacing w:val="-3"/>
        </w:rPr>
        <w:t xml:space="preserve">), y también, de la normativa ambiental que define las reglas de las compensaciones </w:t>
      </w:r>
      <w:r w:rsidR="0089455B" w:rsidRPr="00BD1319">
        <w:rPr>
          <w:rFonts w:cs="Arial"/>
          <w:spacing w:val="-3"/>
        </w:rPr>
        <w:t xml:space="preserve">e inversiones </w:t>
      </w:r>
      <w:r w:rsidRPr="00BD1319">
        <w:rPr>
          <w:rFonts w:cs="Arial"/>
          <w:spacing w:val="-3"/>
        </w:rPr>
        <w:t>por el uso de recursos naturales renovables.</w:t>
      </w:r>
    </w:p>
    <w:p w14:paraId="0FB7FC44" w14:textId="77777777" w:rsidR="005C63A3" w:rsidRPr="00BD1319" w:rsidRDefault="005C63A3" w:rsidP="005C63A3">
      <w:pPr>
        <w:numPr>
          <w:ilvl w:val="12"/>
          <w:numId w:val="0"/>
        </w:numPr>
        <w:tabs>
          <w:tab w:val="left" w:pos="-2268"/>
        </w:tabs>
        <w:suppressAutoHyphens/>
        <w:rPr>
          <w:rFonts w:cs="Arial"/>
          <w:spacing w:val="-3"/>
        </w:rPr>
      </w:pPr>
    </w:p>
    <w:p w14:paraId="5DD4E140" w14:textId="396C47C3" w:rsidR="00E87D6E" w:rsidRPr="00BD1319" w:rsidRDefault="00AE5A5E">
      <w:pPr>
        <w:numPr>
          <w:ilvl w:val="12"/>
          <w:numId w:val="0"/>
        </w:numPr>
        <w:tabs>
          <w:tab w:val="left" w:pos="-2268"/>
        </w:tabs>
        <w:suppressAutoHyphens/>
        <w:rPr>
          <w:rFonts w:cs="Arial"/>
          <w:spacing w:val="-3"/>
        </w:rPr>
      </w:pPr>
      <w:r w:rsidRPr="00BD1319">
        <w:rPr>
          <w:rFonts w:cs="Arial"/>
          <w:spacing w:val="-3"/>
        </w:rPr>
        <w:t xml:space="preserve">En síntesis, la formulación de planes </w:t>
      </w:r>
      <w:r w:rsidR="00E87D6E" w:rsidRPr="00BD1319">
        <w:rPr>
          <w:rFonts w:cs="Arial"/>
          <w:spacing w:val="-3"/>
        </w:rPr>
        <w:t xml:space="preserve">y programas </w:t>
      </w:r>
      <w:r w:rsidR="008C33E8" w:rsidRPr="00BD1319">
        <w:rPr>
          <w:rFonts w:cs="Arial"/>
          <w:spacing w:val="-3"/>
        </w:rPr>
        <w:t>procura</w:t>
      </w:r>
      <w:r w:rsidR="002C729F" w:rsidRPr="00BD1319">
        <w:rPr>
          <w:rFonts w:cs="Arial"/>
          <w:spacing w:val="-3"/>
        </w:rPr>
        <w:t xml:space="preserve"> </w:t>
      </w:r>
      <w:r w:rsidR="00E87D6E" w:rsidRPr="00BD1319">
        <w:rPr>
          <w:rFonts w:cs="Arial"/>
          <w:spacing w:val="-3"/>
        </w:rPr>
        <w:t>e</w:t>
      </w:r>
      <w:r w:rsidRPr="00BD1319">
        <w:rPr>
          <w:rFonts w:cs="Arial"/>
          <w:spacing w:val="-3"/>
        </w:rPr>
        <w:t xml:space="preserve">l cumplimiento del objetivo de la licencia ambiental como instrumento </w:t>
      </w:r>
      <w:r w:rsidR="002C729F" w:rsidRPr="00BD1319">
        <w:rPr>
          <w:rFonts w:cs="Arial"/>
          <w:spacing w:val="-3"/>
        </w:rPr>
        <w:t xml:space="preserve">para </w:t>
      </w:r>
      <w:r w:rsidRPr="00BD1319">
        <w:rPr>
          <w:rFonts w:cs="Arial"/>
          <w:spacing w:val="-3"/>
        </w:rPr>
        <w:t>garant</w:t>
      </w:r>
      <w:r w:rsidR="002C729F" w:rsidRPr="00BD1319">
        <w:rPr>
          <w:rFonts w:cs="Arial"/>
          <w:spacing w:val="-3"/>
        </w:rPr>
        <w:t xml:space="preserve">izar </w:t>
      </w:r>
      <w:r w:rsidR="00AF6DD9" w:rsidRPr="00BD1319">
        <w:rPr>
          <w:rFonts w:cs="Arial"/>
          <w:spacing w:val="-3"/>
        </w:rPr>
        <w:t>e</w:t>
      </w:r>
      <w:r w:rsidRPr="00BD1319">
        <w:rPr>
          <w:rFonts w:cs="Arial"/>
          <w:spacing w:val="-3"/>
        </w:rPr>
        <w:t>l derecho a gozar de un ambiente sano</w:t>
      </w:r>
      <w:r w:rsidR="00E87D6E" w:rsidRPr="00BD1319">
        <w:rPr>
          <w:rFonts w:cs="Arial"/>
          <w:spacing w:val="-3"/>
        </w:rPr>
        <w:t xml:space="preserve">, de modo que en ellos se deben incorporar medidas eficaces que garanticen la gestión integral de las implicaciones y contingencias ambientales del proyecto, </w:t>
      </w:r>
      <w:r w:rsidR="002C729F" w:rsidRPr="00BD1319">
        <w:rPr>
          <w:rFonts w:cs="Arial"/>
          <w:spacing w:val="-3"/>
        </w:rPr>
        <w:t>obra o actividad</w:t>
      </w:r>
      <w:r w:rsidR="00AF6DD9" w:rsidRPr="00BD1319">
        <w:rPr>
          <w:rFonts w:cs="Arial"/>
          <w:spacing w:val="-3"/>
        </w:rPr>
        <w:t>.</w:t>
      </w:r>
      <w:r w:rsidR="002C729F" w:rsidRPr="00BD1319">
        <w:rPr>
          <w:rFonts w:cs="Arial"/>
          <w:spacing w:val="-3"/>
        </w:rPr>
        <w:t xml:space="preserve"> </w:t>
      </w:r>
      <w:r w:rsidR="00AF6DD9" w:rsidRPr="00BD1319">
        <w:rPr>
          <w:rFonts w:cs="Arial"/>
          <w:spacing w:val="-3"/>
        </w:rPr>
        <w:t>L</w:t>
      </w:r>
      <w:r w:rsidR="002C729F" w:rsidRPr="00BD1319">
        <w:rPr>
          <w:rFonts w:cs="Arial"/>
          <w:spacing w:val="-3"/>
        </w:rPr>
        <w:t xml:space="preserve">a </w:t>
      </w:r>
      <w:r w:rsidR="00A76145" w:rsidRPr="00BD1319">
        <w:rPr>
          <w:rFonts w:cs="Arial"/>
          <w:spacing w:val="-3"/>
        </w:rPr>
        <w:t>estructuración</w:t>
      </w:r>
      <w:r w:rsidR="002C729F" w:rsidRPr="00BD1319">
        <w:rPr>
          <w:rFonts w:cs="Arial"/>
          <w:spacing w:val="-3"/>
        </w:rPr>
        <w:t xml:space="preserve"> de tales medidas debe efectuarse de forma </w:t>
      </w:r>
      <w:r w:rsidR="00A76145" w:rsidRPr="00BD1319">
        <w:rPr>
          <w:rFonts w:cs="Arial"/>
          <w:spacing w:val="-3"/>
        </w:rPr>
        <w:t>sistemática</w:t>
      </w:r>
      <w:r w:rsidR="002C729F" w:rsidRPr="00BD1319">
        <w:rPr>
          <w:rFonts w:cs="Arial"/>
          <w:spacing w:val="-3"/>
        </w:rPr>
        <w:t xml:space="preserve">, minuciosa y detallada partiendo de </w:t>
      </w:r>
      <w:r w:rsidR="00E87D6E" w:rsidRPr="00BD1319">
        <w:rPr>
          <w:rFonts w:cs="Arial"/>
          <w:spacing w:val="-3"/>
        </w:rPr>
        <w:t xml:space="preserve">las características del proyecto, obra o actividad, </w:t>
      </w:r>
      <w:r w:rsidR="00AF6DD9" w:rsidRPr="00BD1319">
        <w:rPr>
          <w:rFonts w:cs="Arial"/>
          <w:spacing w:val="-3"/>
        </w:rPr>
        <w:t xml:space="preserve">de </w:t>
      </w:r>
      <w:r w:rsidR="00E87D6E" w:rsidRPr="00BD1319">
        <w:rPr>
          <w:rFonts w:cs="Arial"/>
          <w:spacing w:val="-3"/>
        </w:rPr>
        <w:t xml:space="preserve">las condiciones ambientales y </w:t>
      </w:r>
      <w:r w:rsidR="00AF6DD9" w:rsidRPr="00BD1319">
        <w:rPr>
          <w:rFonts w:cs="Arial"/>
          <w:spacing w:val="-3"/>
        </w:rPr>
        <w:t xml:space="preserve">de </w:t>
      </w:r>
      <w:r w:rsidR="00E87D6E" w:rsidRPr="00BD1319">
        <w:rPr>
          <w:rFonts w:cs="Arial"/>
          <w:spacing w:val="-3"/>
        </w:rPr>
        <w:t xml:space="preserve">los resultados de la evaluación </w:t>
      </w:r>
      <w:r w:rsidR="00D07D27" w:rsidRPr="00BD1319">
        <w:rPr>
          <w:rFonts w:cs="Arial"/>
          <w:spacing w:val="-3"/>
        </w:rPr>
        <w:t xml:space="preserve">ambiental </w:t>
      </w:r>
      <w:r w:rsidR="00AF6DD9" w:rsidRPr="00BD1319">
        <w:rPr>
          <w:rFonts w:cs="Arial"/>
          <w:spacing w:val="-3"/>
        </w:rPr>
        <w:t xml:space="preserve">y </w:t>
      </w:r>
      <w:r w:rsidR="00D07D27" w:rsidRPr="00BD1319">
        <w:rPr>
          <w:rFonts w:cs="Arial"/>
          <w:spacing w:val="-3"/>
        </w:rPr>
        <w:t xml:space="preserve">de </w:t>
      </w:r>
      <w:r w:rsidR="00AF6DD9" w:rsidRPr="00BD1319">
        <w:rPr>
          <w:rFonts w:cs="Arial"/>
          <w:spacing w:val="-3"/>
        </w:rPr>
        <w:t>la zonificación de manejo ambiental</w:t>
      </w:r>
      <w:r w:rsidR="00E87D6E" w:rsidRPr="00BD1319">
        <w:rPr>
          <w:rFonts w:cs="Arial"/>
          <w:spacing w:val="-3"/>
        </w:rPr>
        <w:t>.</w:t>
      </w:r>
    </w:p>
    <w:p w14:paraId="0A3602FD" w14:textId="63F05ABE" w:rsidR="003364CF" w:rsidRPr="00BD1319" w:rsidRDefault="003364CF">
      <w:pPr>
        <w:numPr>
          <w:ilvl w:val="12"/>
          <w:numId w:val="0"/>
        </w:numPr>
        <w:tabs>
          <w:tab w:val="left" w:pos="-2268"/>
        </w:tabs>
        <w:suppressAutoHyphens/>
        <w:rPr>
          <w:spacing w:val="-3"/>
        </w:rPr>
      </w:pPr>
    </w:p>
    <w:p w14:paraId="7B08296C" w14:textId="1EDEA9C9" w:rsidR="00AE5A5E" w:rsidRPr="00BD1319" w:rsidRDefault="005C6652" w:rsidP="00AE5A5E">
      <w:pPr>
        <w:numPr>
          <w:ilvl w:val="12"/>
          <w:numId w:val="0"/>
        </w:numPr>
        <w:tabs>
          <w:tab w:val="left" w:pos="-2268"/>
        </w:tabs>
        <w:suppressAutoHyphens/>
        <w:rPr>
          <w:rFonts w:cs="Arial"/>
          <w:spacing w:val="-3"/>
        </w:rPr>
      </w:pPr>
      <w:r w:rsidRPr="00BD1319">
        <w:rPr>
          <w:rFonts w:cs="Arial"/>
          <w:spacing w:val="-3"/>
        </w:rPr>
        <w:t>La gestión</w:t>
      </w:r>
      <w:r w:rsidR="00AE5A5E" w:rsidRPr="00BD1319">
        <w:rPr>
          <w:rFonts w:cs="Arial"/>
          <w:spacing w:val="-3"/>
        </w:rPr>
        <w:t xml:space="preserve"> de los impactos ambientales negativos que genera un proyecto, obra o actividad, </w:t>
      </w:r>
      <w:r w:rsidR="00AF6DD9" w:rsidRPr="00BD1319">
        <w:rPr>
          <w:rFonts w:cs="Arial"/>
          <w:spacing w:val="-3"/>
        </w:rPr>
        <w:t xml:space="preserve">la implementación de compensaciones, </w:t>
      </w:r>
      <w:r w:rsidR="00FF1C42" w:rsidRPr="00BD1319">
        <w:rPr>
          <w:rFonts w:cs="Arial"/>
          <w:spacing w:val="-3"/>
        </w:rPr>
        <w:t>la reducción de riesgos</w:t>
      </w:r>
      <w:r w:rsidR="00606CE6" w:rsidRPr="00BD1319">
        <w:rPr>
          <w:rFonts w:cs="Arial"/>
          <w:spacing w:val="-3"/>
        </w:rPr>
        <w:t xml:space="preserve"> y </w:t>
      </w:r>
      <w:r w:rsidR="00FF1C42" w:rsidRPr="00BD1319">
        <w:rPr>
          <w:rFonts w:cs="Arial"/>
          <w:spacing w:val="-3"/>
        </w:rPr>
        <w:t>la respuesta a contingencias</w:t>
      </w:r>
      <w:r w:rsidR="00606CE6" w:rsidRPr="00BD1319">
        <w:rPr>
          <w:rFonts w:cs="Arial"/>
          <w:spacing w:val="-3"/>
        </w:rPr>
        <w:t xml:space="preserve"> (cuando apliquen)</w:t>
      </w:r>
      <w:r w:rsidR="00FF1C42" w:rsidRPr="00BD1319">
        <w:rPr>
          <w:rFonts w:cs="Arial"/>
          <w:spacing w:val="-3"/>
        </w:rPr>
        <w:t xml:space="preserve">, </w:t>
      </w:r>
      <w:r w:rsidR="00AE5A5E" w:rsidRPr="00BD1319">
        <w:rPr>
          <w:rFonts w:cs="Arial"/>
          <w:spacing w:val="-3"/>
        </w:rPr>
        <w:t xml:space="preserve">se </w:t>
      </w:r>
      <w:r w:rsidR="0043149B" w:rsidRPr="00BD1319">
        <w:rPr>
          <w:rFonts w:cs="Arial"/>
          <w:spacing w:val="-3"/>
        </w:rPr>
        <w:t>logra</w:t>
      </w:r>
      <w:r w:rsidR="00AE5A5E" w:rsidRPr="00BD1319">
        <w:rPr>
          <w:rFonts w:cs="Arial"/>
          <w:spacing w:val="-3"/>
        </w:rPr>
        <w:t xml:space="preserve"> no sólo </w:t>
      </w:r>
      <w:r w:rsidR="008565E7" w:rsidRPr="00BD1319">
        <w:rPr>
          <w:rFonts w:cs="Arial"/>
          <w:spacing w:val="-3"/>
        </w:rPr>
        <w:t xml:space="preserve">mediante </w:t>
      </w:r>
      <w:r w:rsidR="0043149B" w:rsidRPr="00BD1319">
        <w:rPr>
          <w:rFonts w:cs="Arial"/>
          <w:spacing w:val="-3"/>
        </w:rPr>
        <w:t>la ejecución de</w:t>
      </w:r>
      <w:r w:rsidR="00AE5A5E" w:rsidRPr="00BD1319">
        <w:rPr>
          <w:rFonts w:cs="Arial"/>
          <w:spacing w:val="-3"/>
        </w:rPr>
        <w:t xml:space="preserve"> medidas </w:t>
      </w:r>
      <w:r w:rsidR="00AF6DD9" w:rsidRPr="00BD1319">
        <w:rPr>
          <w:rFonts w:cs="Arial"/>
          <w:spacing w:val="-3"/>
        </w:rPr>
        <w:t xml:space="preserve">enfocadas directamente </w:t>
      </w:r>
      <w:r w:rsidR="008565E7" w:rsidRPr="00BD1319">
        <w:rPr>
          <w:rFonts w:cs="Arial"/>
          <w:spacing w:val="-3"/>
        </w:rPr>
        <w:t>en</w:t>
      </w:r>
      <w:r w:rsidR="00AF6DD9" w:rsidRPr="00BD1319">
        <w:rPr>
          <w:rFonts w:cs="Arial"/>
          <w:spacing w:val="-3"/>
        </w:rPr>
        <w:t xml:space="preserve"> la obtención de estos propósitos</w:t>
      </w:r>
      <w:r w:rsidR="00AE5A5E" w:rsidRPr="00BD1319">
        <w:rPr>
          <w:rFonts w:cs="Arial"/>
          <w:spacing w:val="-3"/>
        </w:rPr>
        <w:t xml:space="preserve">, sino también, </w:t>
      </w:r>
      <w:r w:rsidR="008565E7" w:rsidRPr="00BD1319">
        <w:rPr>
          <w:rFonts w:cs="Arial"/>
          <w:spacing w:val="-3"/>
        </w:rPr>
        <w:t>a través d</w:t>
      </w:r>
      <w:r w:rsidR="00FF1C42" w:rsidRPr="00BD1319">
        <w:rPr>
          <w:rFonts w:cs="Arial"/>
          <w:spacing w:val="-3"/>
        </w:rPr>
        <w:t xml:space="preserve">el </w:t>
      </w:r>
      <w:r w:rsidR="00AE5A5E" w:rsidRPr="00BD1319">
        <w:rPr>
          <w:rFonts w:cs="Arial"/>
          <w:spacing w:val="-3"/>
        </w:rPr>
        <w:t>seguimiento y monitore</w:t>
      </w:r>
      <w:r w:rsidR="00FF1C42" w:rsidRPr="00BD1319">
        <w:rPr>
          <w:rFonts w:cs="Arial"/>
          <w:spacing w:val="-3"/>
        </w:rPr>
        <w:t xml:space="preserve">o de </w:t>
      </w:r>
      <w:r w:rsidR="00AE5A5E" w:rsidRPr="00BD1319">
        <w:rPr>
          <w:rFonts w:cs="Arial"/>
          <w:spacing w:val="-3"/>
        </w:rPr>
        <w:t xml:space="preserve">la evolución de </w:t>
      </w:r>
      <w:r w:rsidR="00FF1C42" w:rsidRPr="00BD1319">
        <w:rPr>
          <w:rFonts w:cs="Arial"/>
          <w:spacing w:val="-3"/>
        </w:rPr>
        <w:t xml:space="preserve">las condiciones del ambiente </w:t>
      </w:r>
      <w:r w:rsidR="00AE5A5E" w:rsidRPr="00BD1319">
        <w:rPr>
          <w:rFonts w:cs="Arial"/>
          <w:spacing w:val="-3"/>
        </w:rPr>
        <w:t xml:space="preserve">y </w:t>
      </w:r>
      <w:r w:rsidR="00FF1C42" w:rsidRPr="00BD1319">
        <w:rPr>
          <w:rFonts w:cs="Arial"/>
          <w:spacing w:val="-3"/>
        </w:rPr>
        <w:t xml:space="preserve">de </w:t>
      </w:r>
      <w:r w:rsidR="00AE5A5E" w:rsidRPr="00BD1319">
        <w:rPr>
          <w:rFonts w:cs="Arial"/>
          <w:spacing w:val="-3"/>
        </w:rPr>
        <w:t xml:space="preserve">la eficacia de las medidas </w:t>
      </w:r>
      <w:r w:rsidR="0043149B" w:rsidRPr="00BD1319">
        <w:rPr>
          <w:rFonts w:cs="Arial"/>
          <w:spacing w:val="-3"/>
        </w:rPr>
        <w:t>implementadas</w:t>
      </w:r>
      <w:r w:rsidR="00FF1C42" w:rsidRPr="00BD1319">
        <w:rPr>
          <w:rFonts w:cs="Arial"/>
          <w:spacing w:val="-3"/>
        </w:rPr>
        <w:t xml:space="preserve">, </w:t>
      </w:r>
      <w:r w:rsidR="00A76145" w:rsidRPr="00BD1319">
        <w:rPr>
          <w:rFonts w:cs="Arial"/>
          <w:spacing w:val="-3"/>
        </w:rPr>
        <w:t xml:space="preserve">dado que </w:t>
      </w:r>
      <w:r w:rsidR="008565E7" w:rsidRPr="00BD1319">
        <w:rPr>
          <w:rFonts w:cs="Arial"/>
          <w:spacing w:val="-3"/>
        </w:rPr>
        <w:t xml:space="preserve">el seguimiento y monitoreo como </w:t>
      </w:r>
      <w:r w:rsidR="0043149B" w:rsidRPr="00BD1319">
        <w:rPr>
          <w:rFonts w:cs="Arial"/>
          <w:spacing w:val="-3"/>
        </w:rPr>
        <w:t>actividad de obtención</w:t>
      </w:r>
      <w:r w:rsidR="008565E7" w:rsidRPr="00BD1319">
        <w:rPr>
          <w:rFonts w:cs="Arial"/>
          <w:spacing w:val="-3"/>
        </w:rPr>
        <w:t>,</w:t>
      </w:r>
      <w:r w:rsidR="0043149B" w:rsidRPr="00BD1319">
        <w:rPr>
          <w:rFonts w:cs="Arial"/>
          <w:spacing w:val="-3"/>
        </w:rPr>
        <w:t xml:space="preserve"> procesamiento </w:t>
      </w:r>
      <w:r w:rsidR="008565E7" w:rsidRPr="00BD1319">
        <w:rPr>
          <w:rFonts w:cs="Arial"/>
          <w:spacing w:val="-3"/>
        </w:rPr>
        <w:t xml:space="preserve">y evaluación </w:t>
      </w:r>
      <w:r w:rsidR="0043149B" w:rsidRPr="00BD1319">
        <w:rPr>
          <w:rFonts w:cs="Arial"/>
          <w:spacing w:val="-3"/>
        </w:rPr>
        <w:t>de información</w:t>
      </w:r>
      <w:r w:rsidR="008565E7" w:rsidRPr="00BD1319">
        <w:rPr>
          <w:rFonts w:cs="Arial"/>
          <w:spacing w:val="-3"/>
        </w:rPr>
        <w:t>,</w:t>
      </w:r>
      <w:r w:rsidR="00AF6DD9" w:rsidRPr="00BD1319">
        <w:rPr>
          <w:rFonts w:cs="Arial"/>
          <w:spacing w:val="-3"/>
        </w:rPr>
        <w:t xml:space="preserve"> </w:t>
      </w:r>
      <w:r w:rsidR="0043149B" w:rsidRPr="00BD1319">
        <w:rPr>
          <w:rFonts w:cs="Arial"/>
          <w:spacing w:val="-3"/>
        </w:rPr>
        <w:t xml:space="preserve">permite </w:t>
      </w:r>
      <w:r w:rsidR="00FF1C42" w:rsidRPr="00BD1319">
        <w:rPr>
          <w:rFonts w:cs="Arial"/>
          <w:spacing w:val="-3"/>
        </w:rPr>
        <w:t xml:space="preserve">retroalimentar </w:t>
      </w:r>
      <w:r w:rsidR="0043149B" w:rsidRPr="00BD1319">
        <w:rPr>
          <w:rFonts w:cs="Arial"/>
          <w:spacing w:val="-3"/>
        </w:rPr>
        <w:t xml:space="preserve">y </w:t>
      </w:r>
      <w:r w:rsidR="00FF1C42" w:rsidRPr="00BD1319">
        <w:rPr>
          <w:rFonts w:cs="Arial"/>
          <w:spacing w:val="-3"/>
        </w:rPr>
        <w:t>mejora</w:t>
      </w:r>
      <w:r w:rsidR="0043149B" w:rsidRPr="00BD1319">
        <w:rPr>
          <w:rFonts w:cs="Arial"/>
          <w:spacing w:val="-3"/>
        </w:rPr>
        <w:t>r</w:t>
      </w:r>
      <w:r w:rsidR="00AF6DD9" w:rsidRPr="00BD1319">
        <w:rPr>
          <w:rFonts w:cs="Arial"/>
          <w:spacing w:val="-3"/>
        </w:rPr>
        <w:t xml:space="preserve"> </w:t>
      </w:r>
      <w:r w:rsidR="00FF1C42" w:rsidRPr="00BD1319">
        <w:rPr>
          <w:rFonts w:cs="Arial"/>
          <w:spacing w:val="-3"/>
        </w:rPr>
        <w:t>continua</w:t>
      </w:r>
      <w:r w:rsidR="0043149B" w:rsidRPr="00BD1319">
        <w:rPr>
          <w:rFonts w:cs="Arial"/>
          <w:spacing w:val="-3"/>
        </w:rPr>
        <w:t>mente</w:t>
      </w:r>
      <w:r w:rsidR="00AF6DD9" w:rsidRPr="00BD1319">
        <w:rPr>
          <w:rFonts w:cs="Arial"/>
          <w:spacing w:val="-3"/>
        </w:rPr>
        <w:t xml:space="preserve"> </w:t>
      </w:r>
      <w:r w:rsidR="008565E7" w:rsidRPr="00BD1319">
        <w:rPr>
          <w:rFonts w:cs="Arial"/>
          <w:spacing w:val="-3"/>
        </w:rPr>
        <w:t xml:space="preserve">el </w:t>
      </w:r>
      <w:r w:rsidR="00AF6DD9" w:rsidRPr="00BD1319">
        <w:rPr>
          <w:rFonts w:cs="Arial"/>
          <w:spacing w:val="-3"/>
        </w:rPr>
        <w:t>proceso de gestión ambiental</w:t>
      </w:r>
      <w:r w:rsidR="00AE5A5E" w:rsidRPr="00BD1319">
        <w:rPr>
          <w:rFonts w:cs="Arial"/>
          <w:spacing w:val="-3"/>
        </w:rPr>
        <w:t>.</w:t>
      </w:r>
    </w:p>
    <w:p w14:paraId="07E15BF8" w14:textId="77777777" w:rsidR="00FF1C42" w:rsidRPr="00BD1319" w:rsidRDefault="00FF1C42" w:rsidP="00AE5A5E">
      <w:pPr>
        <w:numPr>
          <w:ilvl w:val="12"/>
          <w:numId w:val="0"/>
        </w:numPr>
        <w:tabs>
          <w:tab w:val="left" w:pos="-2268"/>
        </w:tabs>
        <w:suppressAutoHyphens/>
        <w:rPr>
          <w:rFonts w:cs="Arial"/>
          <w:spacing w:val="-3"/>
        </w:rPr>
      </w:pPr>
    </w:p>
    <w:p w14:paraId="2B75B333" w14:textId="5F33B3E1" w:rsidR="001049D6" w:rsidRPr="00BD1319" w:rsidRDefault="0043149B" w:rsidP="001049D6">
      <w:pPr>
        <w:numPr>
          <w:ilvl w:val="12"/>
          <w:numId w:val="0"/>
        </w:numPr>
        <w:tabs>
          <w:tab w:val="left" w:pos="-2268"/>
        </w:tabs>
        <w:suppressAutoHyphens/>
        <w:rPr>
          <w:rFonts w:cs="Arial"/>
          <w:spacing w:val="-3"/>
        </w:rPr>
      </w:pPr>
      <w:r w:rsidRPr="00BD1319">
        <w:t xml:space="preserve">Es importante señalar que </w:t>
      </w:r>
      <w:r w:rsidR="005B53F4" w:rsidRPr="00BD1319">
        <w:t xml:space="preserve">para la </w:t>
      </w:r>
      <w:r w:rsidRPr="00BD1319">
        <w:t>formulación de</w:t>
      </w:r>
      <w:r w:rsidR="005B53F4" w:rsidRPr="00BD1319">
        <w:t xml:space="preserve"> </w:t>
      </w:r>
      <w:r w:rsidRPr="00BD1319">
        <w:t>l</w:t>
      </w:r>
      <w:r w:rsidR="005B53F4" w:rsidRPr="00BD1319">
        <w:t>os</w:t>
      </w:r>
      <w:r w:rsidRPr="00BD1319">
        <w:t xml:space="preserve"> </w:t>
      </w:r>
      <w:r w:rsidR="003E1ED4" w:rsidRPr="00BD1319">
        <w:t>planes y programas</w:t>
      </w:r>
      <w:r w:rsidRPr="00BD1319">
        <w:t xml:space="preserve"> </w:t>
      </w:r>
      <w:r w:rsidR="00F24BAC" w:rsidRPr="00BD1319">
        <w:t xml:space="preserve">se deben incorporar los insumos, saberes, sugerencias, recomendaciones o alertas pertinentes, que resulten de los procesos de información y participación con los grupos de interés del área de influencia. Dichos aportes deben ser incorporados de manera expresa en el documento, de tal forma que se evidencie su incidencia en el resultado de este numeral </w:t>
      </w:r>
      <w:r w:rsidR="00F24BAC" w:rsidRPr="00BD1319">
        <w:lastRenderedPageBreak/>
        <w:t xml:space="preserve">y, en caso de estimarlos como no pertinentes, o de que no haya aportes por parte de los grupos de interés, se deben indicar y sustentar las razones por las cuales no se incorpora un </w:t>
      </w:r>
      <w:r w:rsidR="006004A3" w:rsidRPr="00BD1319">
        <w:t>determinado aporte a los planes y programas.</w:t>
      </w:r>
    </w:p>
    <w:p w14:paraId="26451B86" w14:textId="77777777" w:rsidR="00AA10F3" w:rsidRPr="00BD1319" w:rsidRDefault="00AA10F3" w:rsidP="009420F5">
      <w:pPr>
        <w:rPr>
          <w:rFonts w:cs="Arial"/>
          <w:spacing w:val="-3"/>
        </w:rPr>
      </w:pPr>
    </w:p>
    <w:p w14:paraId="275EF256" w14:textId="4288A85A" w:rsidR="000E0BF9" w:rsidRPr="00BD1319" w:rsidRDefault="00115F66" w:rsidP="000E0BF9">
      <w:pPr>
        <w:numPr>
          <w:ilvl w:val="12"/>
          <w:numId w:val="0"/>
        </w:numPr>
        <w:tabs>
          <w:tab w:val="left" w:pos="-2268"/>
        </w:tabs>
        <w:suppressAutoHyphens/>
        <w:rPr>
          <w:rFonts w:cs="Arial"/>
          <w:spacing w:val="-3"/>
        </w:rPr>
      </w:pPr>
      <w:r w:rsidRPr="00BD1319">
        <w:t xml:space="preserve">Como parte de </w:t>
      </w:r>
      <w:r w:rsidR="0089455B" w:rsidRPr="00BD1319">
        <w:t>este numeral</w:t>
      </w:r>
      <w:r w:rsidRPr="00BD1319">
        <w:t xml:space="preserve">, y con el fin </w:t>
      </w:r>
      <w:r w:rsidR="0043149B" w:rsidRPr="00BD1319">
        <w:t xml:space="preserve">de </w:t>
      </w:r>
      <w:r w:rsidR="00576918" w:rsidRPr="00BD1319">
        <w:t xml:space="preserve">cumplir </w:t>
      </w:r>
      <w:r w:rsidR="0089455B" w:rsidRPr="00BD1319">
        <w:t xml:space="preserve">con </w:t>
      </w:r>
      <w:r w:rsidR="0043149B" w:rsidRPr="00BD1319">
        <w:t xml:space="preserve">los </w:t>
      </w:r>
      <w:r w:rsidR="00576918" w:rsidRPr="00BD1319">
        <w:t xml:space="preserve">objetivos </w:t>
      </w:r>
      <w:r w:rsidR="00F57314" w:rsidRPr="00BD1319">
        <w:t xml:space="preserve">de </w:t>
      </w:r>
      <w:r w:rsidR="003E1ED4" w:rsidRPr="00BD1319">
        <w:t xml:space="preserve">planificación </w:t>
      </w:r>
      <w:r w:rsidR="0043149B" w:rsidRPr="00BD1319">
        <w:t xml:space="preserve">ambiental, se deben elaborar y presentar </w:t>
      </w:r>
      <w:r w:rsidR="00F160F6" w:rsidRPr="00BD1319">
        <w:t xml:space="preserve">los siguientes </w:t>
      </w:r>
      <w:r w:rsidR="008452E2" w:rsidRPr="00BD1319">
        <w:t>planes</w:t>
      </w:r>
      <w:r w:rsidR="000E0BF9" w:rsidRPr="00BD1319">
        <w:t xml:space="preserve"> </w:t>
      </w:r>
      <w:r w:rsidRPr="00BD1319">
        <w:t xml:space="preserve">de acuerdo con </w:t>
      </w:r>
      <w:r w:rsidR="000E0BF9" w:rsidRPr="00BD1319">
        <w:rPr>
          <w:rFonts w:cs="Arial"/>
          <w:spacing w:val="-3"/>
        </w:rPr>
        <w:t>el contenido y lineamientos metodológicos que se establecen en los numerales que se encuentran a continuación.</w:t>
      </w:r>
    </w:p>
    <w:p w14:paraId="1845D989" w14:textId="77777777" w:rsidR="00F160F6" w:rsidRPr="00BD1319" w:rsidRDefault="00F160F6"/>
    <w:p w14:paraId="4AB722D4" w14:textId="517BA1A6" w:rsidR="00F160F6" w:rsidRPr="00BD1319" w:rsidRDefault="00F160F6" w:rsidP="00C86DA5">
      <w:pPr>
        <w:numPr>
          <w:ilvl w:val="0"/>
          <w:numId w:val="19"/>
        </w:numPr>
        <w:tabs>
          <w:tab w:val="left" w:pos="-2268"/>
        </w:tabs>
        <w:suppressAutoHyphens/>
        <w:ind w:left="567" w:hanging="567"/>
        <w:rPr>
          <w:spacing w:val="-3"/>
        </w:rPr>
      </w:pPr>
      <w:r w:rsidRPr="00BD1319">
        <w:rPr>
          <w:spacing w:val="-3"/>
        </w:rPr>
        <w:t>P</w:t>
      </w:r>
      <w:r w:rsidR="003E1ED4" w:rsidRPr="00BD1319">
        <w:rPr>
          <w:spacing w:val="-3"/>
        </w:rPr>
        <w:t>lan de manejo ambiental</w:t>
      </w:r>
      <w:r w:rsidRPr="00BD1319">
        <w:rPr>
          <w:spacing w:val="-3"/>
        </w:rPr>
        <w:t>.</w:t>
      </w:r>
    </w:p>
    <w:p w14:paraId="6EBFF27C" w14:textId="77777777" w:rsidR="00F160F6" w:rsidRPr="00BD1319" w:rsidRDefault="00F160F6">
      <w:pPr>
        <w:tabs>
          <w:tab w:val="left" w:pos="-2268"/>
        </w:tabs>
        <w:suppressAutoHyphens/>
        <w:rPr>
          <w:spacing w:val="-3"/>
        </w:rPr>
      </w:pPr>
    </w:p>
    <w:p w14:paraId="54C66639" w14:textId="77777777" w:rsidR="00F160F6" w:rsidRPr="00BD1319" w:rsidRDefault="00F160F6" w:rsidP="00C86DA5">
      <w:pPr>
        <w:numPr>
          <w:ilvl w:val="0"/>
          <w:numId w:val="19"/>
        </w:numPr>
        <w:tabs>
          <w:tab w:val="left" w:pos="-2268"/>
        </w:tabs>
        <w:suppressAutoHyphens/>
        <w:ind w:left="567" w:hanging="567"/>
        <w:rPr>
          <w:spacing w:val="-3"/>
        </w:rPr>
      </w:pPr>
      <w:r w:rsidRPr="00BD1319">
        <w:rPr>
          <w:spacing w:val="-3"/>
        </w:rPr>
        <w:t>Plan de seguimiento y monitoreo.</w:t>
      </w:r>
    </w:p>
    <w:p w14:paraId="5A4C7731" w14:textId="77777777" w:rsidR="00F160F6" w:rsidRPr="00BD1319" w:rsidRDefault="00F160F6">
      <w:pPr>
        <w:tabs>
          <w:tab w:val="left" w:pos="-2268"/>
        </w:tabs>
        <w:suppressAutoHyphens/>
        <w:rPr>
          <w:spacing w:val="-3"/>
        </w:rPr>
      </w:pPr>
    </w:p>
    <w:p w14:paraId="42856E83" w14:textId="3E7C3E07" w:rsidR="00F160F6" w:rsidRPr="00BD1319" w:rsidRDefault="007315A2" w:rsidP="00C86DA5">
      <w:pPr>
        <w:numPr>
          <w:ilvl w:val="0"/>
          <w:numId w:val="19"/>
        </w:numPr>
        <w:tabs>
          <w:tab w:val="left" w:pos="-2268"/>
        </w:tabs>
        <w:suppressAutoHyphens/>
        <w:ind w:left="567" w:hanging="567"/>
        <w:rPr>
          <w:spacing w:val="-3"/>
        </w:rPr>
      </w:pPr>
      <w:r w:rsidRPr="00BD1319">
        <w:rPr>
          <w:spacing w:val="-3"/>
        </w:rPr>
        <w:t>Dimensión ambiental del p</w:t>
      </w:r>
      <w:r w:rsidR="00F160F6" w:rsidRPr="00BD1319">
        <w:rPr>
          <w:spacing w:val="-3"/>
        </w:rPr>
        <w:t xml:space="preserve">lan de </w:t>
      </w:r>
      <w:r w:rsidRPr="00BD1319">
        <w:rPr>
          <w:spacing w:val="-3"/>
        </w:rPr>
        <w:t>gestión del riesgo</w:t>
      </w:r>
      <w:r w:rsidR="00F160F6" w:rsidRPr="00BD1319">
        <w:rPr>
          <w:spacing w:val="-3"/>
        </w:rPr>
        <w:t>.</w:t>
      </w:r>
    </w:p>
    <w:p w14:paraId="13ED7E05" w14:textId="77777777" w:rsidR="00F160F6" w:rsidRPr="00BD1319" w:rsidRDefault="00F160F6">
      <w:pPr>
        <w:tabs>
          <w:tab w:val="left" w:pos="-2268"/>
        </w:tabs>
        <w:suppressAutoHyphens/>
        <w:rPr>
          <w:spacing w:val="-3"/>
        </w:rPr>
      </w:pPr>
    </w:p>
    <w:p w14:paraId="190844E9" w14:textId="3F6460C5" w:rsidR="00F160F6" w:rsidRPr="00BD1319" w:rsidRDefault="00F160F6" w:rsidP="00C86DA5">
      <w:pPr>
        <w:numPr>
          <w:ilvl w:val="0"/>
          <w:numId w:val="19"/>
        </w:numPr>
        <w:tabs>
          <w:tab w:val="left" w:pos="-2268"/>
        </w:tabs>
        <w:suppressAutoHyphens/>
        <w:ind w:left="567" w:hanging="567"/>
        <w:rPr>
          <w:spacing w:val="-3"/>
        </w:rPr>
      </w:pPr>
      <w:r w:rsidRPr="00BD1319">
        <w:rPr>
          <w:spacing w:val="-3"/>
        </w:rPr>
        <w:t xml:space="preserve">Plan de desmantelamiento y </w:t>
      </w:r>
      <w:r w:rsidR="007315A2" w:rsidRPr="00BD1319">
        <w:rPr>
          <w:spacing w:val="-3"/>
        </w:rPr>
        <w:t>cierre ambiental</w:t>
      </w:r>
      <w:r w:rsidRPr="00BD1319">
        <w:rPr>
          <w:spacing w:val="-3"/>
        </w:rPr>
        <w:t>.</w:t>
      </w:r>
    </w:p>
    <w:p w14:paraId="151F24C5" w14:textId="77777777" w:rsidR="00DF723D" w:rsidRPr="00BD1319" w:rsidRDefault="00DF723D" w:rsidP="000D6E21">
      <w:pPr>
        <w:rPr>
          <w:spacing w:val="-3"/>
        </w:rPr>
      </w:pPr>
    </w:p>
    <w:p w14:paraId="58E3E7D7" w14:textId="46B9F9B6" w:rsidR="00115F66" w:rsidRPr="00BD1319" w:rsidRDefault="00115F66" w:rsidP="00115F66">
      <w:pPr>
        <w:pStyle w:val="Prrafodelista"/>
        <w:numPr>
          <w:ilvl w:val="0"/>
          <w:numId w:val="19"/>
        </w:numPr>
        <w:ind w:left="567" w:hanging="567"/>
        <w:rPr>
          <w:spacing w:val="-3"/>
          <w:lang w:val="es-CO"/>
        </w:rPr>
      </w:pPr>
      <w:r w:rsidRPr="00BD1319">
        <w:rPr>
          <w:spacing w:val="-3"/>
          <w:lang w:val="es-CO"/>
        </w:rPr>
        <w:t>Plan de inversión de no menos del 1%.</w:t>
      </w:r>
    </w:p>
    <w:p w14:paraId="3F6DCA76" w14:textId="77777777" w:rsidR="00115F66" w:rsidRPr="00BD1319" w:rsidRDefault="00115F66" w:rsidP="000D6E21">
      <w:pPr>
        <w:rPr>
          <w:spacing w:val="-3"/>
        </w:rPr>
      </w:pPr>
    </w:p>
    <w:p w14:paraId="5EC9E56B" w14:textId="1A79CFD5" w:rsidR="007770AF" w:rsidRPr="00BD1319" w:rsidRDefault="00115F66" w:rsidP="009420F5">
      <w:pPr>
        <w:pStyle w:val="Prrafodelista"/>
        <w:numPr>
          <w:ilvl w:val="0"/>
          <w:numId w:val="19"/>
        </w:numPr>
        <w:ind w:left="567" w:hanging="567"/>
        <w:rPr>
          <w:spacing w:val="-3"/>
          <w:lang w:val="es-CO"/>
        </w:rPr>
      </w:pPr>
      <w:r w:rsidRPr="00BD1319">
        <w:rPr>
          <w:spacing w:val="-3"/>
          <w:lang w:val="es-CO"/>
        </w:rPr>
        <w:t>Plan de compensaciones del medio biótico en el marco del proceso de licenciamiento ambiental.</w:t>
      </w:r>
    </w:p>
    <w:p w14:paraId="1651A190" w14:textId="77777777" w:rsidR="007770AF" w:rsidRPr="00BD1319" w:rsidRDefault="007770AF">
      <w:pPr>
        <w:numPr>
          <w:ilvl w:val="12"/>
          <w:numId w:val="0"/>
        </w:numPr>
        <w:tabs>
          <w:tab w:val="left" w:pos="-2268"/>
        </w:tabs>
        <w:suppressAutoHyphens/>
        <w:rPr>
          <w:spacing w:val="-3"/>
        </w:rPr>
      </w:pPr>
    </w:p>
    <w:p w14:paraId="6116EBC1" w14:textId="4FC25C5B" w:rsidR="00076F22" w:rsidRPr="00BD1319" w:rsidRDefault="00940D61" w:rsidP="009420F5">
      <w:pPr>
        <w:pStyle w:val="Ttulo2"/>
        <w:tabs>
          <w:tab w:val="clear" w:pos="0"/>
          <w:tab w:val="num" w:pos="851"/>
        </w:tabs>
        <w:ind w:left="851" w:hanging="851"/>
        <w:rPr>
          <w:lang w:val="es-CO"/>
        </w:rPr>
      </w:pPr>
      <w:bookmarkStart w:id="11027" w:name="_Ref75276155"/>
      <w:bookmarkStart w:id="11028" w:name="_Toc378923326"/>
      <w:bookmarkStart w:id="11029" w:name="_Toc405366875"/>
      <w:bookmarkStart w:id="11030" w:name="_Toc405372423"/>
      <w:bookmarkStart w:id="11031" w:name="_Toc412812788"/>
      <w:bookmarkStart w:id="11032" w:name="_Toc437936064"/>
      <w:bookmarkStart w:id="11033" w:name="_Toc40272798"/>
      <w:bookmarkStart w:id="11034" w:name="_Toc42839708"/>
      <w:bookmarkStart w:id="11035" w:name="_Toc175326818"/>
      <w:r w:rsidRPr="00BD1319">
        <w:rPr>
          <w:lang w:val="es-CO"/>
        </w:rPr>
        <w:t>PLAN DE MANEJO AMBIENTAL</w:t>
      </w:r>
      <w:bookmarkEnd w:id="11027"/>
      <w:bookmarkEnd w:id="11028"/>
      <w:bookmarkEnd w:id="11029"/>
      <w:bookmarkEnd w:id="11030"/>
      <w:bookmarkEnd w:id="11031"/>
      <w:bookmarkEnd w:id="11032"/>
      <w:bookmarkEnd w:id="11033"/>
      <w:bookmarkEnd w:id="11034"/>
      <w:bookmarkEnd w:id="11035"/>
    </w:p>
    <w:p w14:paraId="24000BEF" w14:textId="77777777" w:rsidR="00F238C8" w:rsidRPr="00BD1319" w:rsidRDefault="00F238C8">
      <w:pPr>
        <w:numPr>
          <w:ilvl w:val="12"/>
          <w:numId w:val="0"/>
        </w:numPr>
        <w:tabs>
          <w:tab w:val="left" w:pos="-2268"/>
        </w:tabs>
        <w:suppressAutoHyphens/>
        <w:rPr>
          <w:spacing w:val="-3"/>
        </w:rPr>
      </w:pPr>
    </w:p>
    <w:p w14:paraId="68AFBB11" w14:textId="314512AA" w:rsidR="00C371A9" w:rsidRPr="00BD1319" w:rsidRDefault="00E07864" w:rsidP="000D6E21">
      <w:pPr>
        <w:tabs>
          <w:tab w:val="left" w:pos="-2268"/>
        </w:tabs>
        <w:suppressAutoHyphens/>
      </w:pPr>
      <w:r w:rsidRPr="00BD1319">
        <w:rPr>
          <w:spacing w:val="-3"/>
        </w:rPr>
        <w:t xml:space="preserve">El plan </w:t>
      </w:r>
      <w:r w:rsidR="00F160F6" w:rsidRPr="00BD1319">
        <w:rPr>
          <w:spacing w:val="-3"/>
        </w:rPr>
        <w:t>de manejo ambiental constituye una descripción detallada del conjunto de medidas</w:t>
      </w:r>
      <w:r w:rsidR="00086C81" w:rsidRPr="00BD1319">
        <w:rPr>
          <w:spacing w:val="-3"/>
        </w:rPr>
        <w:t>,</w:t>
      </w:r>
      <w:r w:rsidR="00F160F6" w:rsidRPr="00BD1319">
        <w:rPr>
          <w:spacing w:val="-3"/>
        </w:rPr>
        <w:t xml:space="preserve"> actividades </w:t>
      </w:r>
      <w:r w:rsidR="00086C81" w:rsidRPr="00BD1319">
        <w:rPr>
          <w:spacing w:val="-3"/>
        </w:rPr>
        <w:t xml:space="preserve">y acciones </w:t>
      </w:r>
      <w:r w:rsidR="00F160F6" w:rsidRPr="00BD1319">
        <w:rPr>
          <w:spacing w:val="-3"/>
        </w:rPr>
        <w:t xml:space="preserve">que producto de la evaluación ambiental, están orientadas a prevenir, mitigar, corregir y compensar </w:t>
      </w:r>
      <w:r w:rsidR="00B06193" w:rsidRPr="00BD1319">
        <w:rPr>
          <w:spacing w:val="-3"/>
        </w:rPr>
        <w:t xml:space="preserve">todos </w:t>
      </w:r>
      <w:r w:rsidR="00F160F6" w:rsidRPr="00BD1319">
        <w:rPr>
          <w:spacing w:val="-3"/>
        </w:rPr>
        <w:t xml:space="preserve">los impactos ambientales que </w:t>
      </w:r>
      <w:r w:rsidR="00B06193" w:rsidRPr="00BD1319">
        <w:rPr>
          <w:spacing w:val="-3"/>
        </w:rPr>
        <w:t xml:space="preserve">puedan </w:t>
      </w:r>
      <w:r w:rsidR="004E693F" w:rsidRPr="00BD1319">
        <w:rPr>
          <w:spacing w:val="-3"/>
        </w:rPr>
        <w:t>ser generados</w:t>
      </w:r>
      <w:r w:rsidR="00B06193" w:rsidRPr="00BD1319">
        <w:rPr>
          <w:spacing w:val="-3"/>
        </w:rPr>
        <w:t xml:space="preserve"> </w:t>
      </w:r>
      <w:r w:rsidR="00F160F6" w:rsidRPr="00BD1319">
        <w:rPr>
          <w:spacing w:val="-3"/>
        </w:rPr>
        <w:t xml:space="preserve">por el </w:t>
      </w:r>
      <w:r w:rsidR="004D0BFE" w:rsidRPr="00BD1319">
        <w:rPr>
          <w:spacing w:val="-3"/>
        </w:rPr>
        <w:t xml:space="preserve">normal </w:t>
      </w:r>
      <w:r w:rsidR="00F160F6" w:rsidRPr="00BD1319">
        <w:rPr>
          <w:spacing w:val="-3"/>
        </w:rPr>
        <w:t>desarrollo de un proyecto, obra o actividad</w:t>
      </w:r>
      <w:r w:rsidR="00B06193" w:rsidRPr="00BD1319">
        <w:rPr>
          <w:spacing w:val="-3"/>
        </w:rPr>
        <w:t xml:space="preserve"> </w:t>
      </w:r>
      <w:r w:rsidR="00B06193" w:rsidRPr="00BD1319">
        <w:rPr>
          <w:rFonts w:cs="Arial"/>
          <w:spacing w:val="-3"/>
        </w:rPr>
        <w:t>durante todas sus fases de ejecución</w:t>
      </w:r>
      <w:r w:rsidR="00B06193" w:rsidRPr="00BD1319">
        <w:rPr>
          <w:rStyle w:val="Refdenotaalpie"/>
          <w:rFonts w:cs="Arial"/>
          <w:spacing w:val="-3"/>
          <w:lang w:val="es-CO"/>
        </w:rPr>
        <w:footnoteReference w:id="208"/>
      </w:r>
      <w:r w:rsidR="00F160F6" w:rsidRPr="00BD1319">
        <w:rPr>
          <w:spacing w:val="-3"/>
        </w:rPr>
        <w:t>.</w:t>
      </w:r>
      <w:r w:rsidR="00F160F6" w:rsidRPr="00BD1319">
        <w:t xml:space="preserve"> Éste es uno de los numerales más importantes del EIA, pues de su correcta formulación, depende en gran medida e</w:t>
      </w:r>
      <w:r w:rsidR="00F160F6" w:rsidRPr="00BD1319">
        <w:rPr>
          <w:spacing w:val="-3"/>
        </w:rPr>
        <w:t xml:space="preserve">l </w:t>
      </w:r>
      <w:r w:rsidR="00F160F6" w:rsidRPr="00BD1319">
        <w:rPr>
          <w:rFonts w:cs="Arial"/>
          <w:spacing w:val="-3"/>
        </w:rPr>
        <w:t xml:space="preserve">desempeño ambiental </w:t>
      </w:r>
      <w:r w:rsidR="00355EB2" w:rsidRPr="00BD1319">
        <w:rPr>
          <w:rFonts w:cs="Arial"/>
          <w:spacing w:val="-3"/>
        </w:rPr>
        <w:t xml:space="preserve">del proyecto, obra o actividad, de manera que debe elaborarse de la forma más minuciosa posible y siempre atendiendo a los principios </w:t>
      </w:r>
      <w:r w:rsidR="004D71BF" w:rsidRPr="00BD1319">
        <w:rPr>
          <w:rFonts w:cs="Arial"/>
          <w:spacing w:val="-3"/>
        </w:rPr>
        <w:t xml:space="preserve">que establece </w:t>
      </w:r>
      <w:r w:rsidR="00355EB2" w:rsidRPr="00BD1319">
        <w:rPr>
          <w:rFonts w:cs="Arial"/>
          <w:spacing w:val="-3"/>
        </w:rPr>
        <w:t>la Ley ambiental</w:t>
      </w:r>
      <w:r w:rsidR="00C371A9" w:rsidRPr="00BD1319">
        <w:rPr>
          <w:rFonts w:cs="Arial"/>
          <w:spacing w:val="-3"/>
        </w:rPr>
        <w:t xml:space="preserve">, </w:t>
      </w:r>
      <w:r w:rsidR="00C371A9" w:rsidRPr="00BD1319">
        <w:t xml:space="preserve">considerando enfoques diferenciales y </w:t>
      </w:r>
      <w:r w:rsidR="00F2677F" w:rsidRPr="00BD1319">
        <w:t>buscando promover</w:t>
      </w:r>
      <w:r w:rsidR="00F22832" w:rsidRPr="00BD1319">
        <w:t xml:space="preserve"> dinámicas sociales de </w:t>
      </w:r>
      <w:proofErr w:type="spellStart"/>
      <w:r w:rsidR="00C371A9" w:rsidRPr="00BD1319">
        <w:t>pr</w:t>
      </w:r>
      <w:r w:rsidR="0041505E">
        <w:t>o</w:t>
      </w:r>
      <w:r w:rsidR="00C371A9" w:rsidRPr="00BD1319">
        <w:t>vención</w:t>
      </w:r>
      <w:proofErr w:type="spellEnd"/>
      <w:r w:rsidR="00C371A9" w:rsidRPr="00BD1319">
        <w:t xml:space="preserve"> de conflictos socioambientales.</w:t>
      </w:r>
    </w:p>
    <w:p w14:paraId="270B6148" w14:textId="77777777" w:rsidR="00C371A9" w:rsidRPr="00BD1319" w:rsidRDefault="00C371A9">
      <w:pPr>
        <w:numPr>
          <w:ilvl w:val="12"/>
          <w:numId w:val="0"/>
        </w:numPr>
        <w:tabs>
          <w:tab w:val="left" w:pos="-2268"/>
        </w:tabs>
        <w:suppressAutoHyphens/>
        <w:rPr>
          <w:spacing w:val="-3"/>
        </w:rPr>
      </w:pPr>
    </w:p>
    <w:p w14:paraId="08AB32FD" w14:textId="349F3F03" w:rsidR="00F160F6" w:rsidRPr="00BD1319" w:rsidRDefault="00F160F6">
      <w:pPr>
        <w:numPr>
          <w:ilvl w:val="12"/>
          <w:numId w:val="0"/>
        </w:numPr>
        <w:tabs>
          <w:tab w:val="left" w:pos="-2268"/>
        </w:tabs>
        <w:suppressAutoHyphens/>
        <w:rPr>
          <w:spacing w:val="-3"/>
        </w:rPr>
      </w:pPr>
      <w:r w:rsidRPr="00BD1319">
        <w:rPr>
          <w:spacing w:val="-3"/>
        </w:rPr>
        <w:t xml:space="preserve">Una buena </w:t>
      </w:r>
      <w:r w:rsidR="00682013" w:rsidRPr="00BD1319">
        <w:rPr>
          <w:rFonts w:cs="Arial"/>
          <w:spacing w:val="-3"/>
        </w:rPr>
        <w:t>determinación</w:t>
      </w:r>
      <w:r w:rsidR="00682013" w:rsidRPr="00BD1319" w:rsidDel="00682013">
        <w:rPr>
          <w:spacing w:val="-3"/>
        </w:rPr>
        <w:t xml:space="preserve"> </w:t>
      </w:r>
      <w:r w:rsidRPr="00BD1319">
        <w:rPr>
          <w:spacing w:val="-3"/>
        </w:rPr>
        <w:t xml:space="preserve">y </w:t>
      </w:r>
      <w:r w:rsidR="00824C3B" w:rsidRPr="00BD1319">
        <w:rPr>
          <w:rFonts w:cs="Arial"/>
          <w:spacing w:val="-3"/>
        </w:rPr>
        <w:t>valoración</w:t>
      </w:r>
      <w:r w:rsidR="00824C3B" w:rsidRPr="00BD1319">
        <w:rPr>
          <w:spacing w:val="-3"/>
        </w:rPr>
        <w:t xml:space="preserve"> </w:t>
      </w:r>
      <w:r w:rsidRPr="00BD1319">
        <w:rPr>
          <w:spacing w:val="-3"/>
        </w:rPr>
        <w:t xml:space="preserve">de impactos </w:t>
      </w:r>
      <w:r w:rsidRPr="00BD1319">
        <w:rPr>
          <w:rFonts w:cs="Arial"/>
          <w:spacing w:val="-3"/>
        </w:rPr>
        <w:t xml:space="preserve">ambientales </w:t>
      </w:r>
      <w:r w:rsidRPr="00BD1319">
        <w:rPr>
          <w:spacing w:val="-3"/>
        </w:rPr>
        <w:t xml:space="preserve">es fundamental para </w:t>
      </w:r>
      <w:r w:rsidR="0024378E" w:rsidRPr="00BD1319">
        <w:rPr>
          <w:spacing w:val="-3"/>
        </w:rPr>
        <w:t xml:space="preserve">una correcta </w:t>
      </w:r>
      <w:r w:rsidRPr="00BD1319">
        <w:rPr>
          <w:spacing w:val="-3"/>
        </w:rPr>
        <w:t>formula</w:t>
      </w:r>
      <w:r w:rsidR="0024378E" w:rsidRPr="00BD1319">
        <w:rPr>
          <w:spacing w:val="-3"/>
        </w:rPr>
        <w:t>ción</w:t>
      </w:r>
      <w:r w:rsidRPr="00BD1319">
        <w:rPr>
          <w:spacing w:val="-3"/>
        </w:rPr>
        <w:t xml:space="preserve"> </w:t>
      </w:r>
      <w:r w:rsidR="0024378E" w:rsidRPr="00BD1319">
        <w:rPr>
          <w:spacing w:val="-3"/>
        </w:rPr>
        <w:t>de</w:t>
      </w:r>
      <w:r w:rsidRPr="00BD1319">
        <w:rPr>
          <w:spacing w:val="-3"/>
        </w:rPr>
        <w:t xml:space="preserve"> medidas de manejo ambiental. A medida que se identifica y valora de forma más rigurosa </w:t>
      </w:r>
      <w:r w:rsidR="00086C81" w:rsidRPr="00BD1319">
        <w:rPr>
          <w:spacing w:val="-3"/>
        </w:rPr>
        <w:t>un</w:t>
      </w:r>
      <w:r w:rsidRPr="00BD1319">
        <w:rPr>
          <w:spacing w:val="-3"/>
        </w:rPr>
        <w:t xml:space="preserve"> impacto, </w:t>
      </w:r>
      <w:r w:rsidRPr="00BD1319">
        <w:rPr>
          <w:rFonts w:cs="Arial"/>
          <w:spacing w:val="-3"/>
        </w:rPr>
        <w:t xml:space="preserve">es posible </w:t>
      </w:r>
      <w:r w:rsidRPr="00BD1319">
        <w:rPr>
          <w:spacing w:val="-3"/>
        </w:rPr>
        <w:t>en esa misma medida</w:t>
      </w:r>
      <w:r w:rsidRPr="00BD1319">
        <w:rPr>
          <w:rFonts w:cs="Arial"/>
          <w:spacing w:val="-3"/>
        </w:rPr>
        <w:t>, prevenirlo, mitigarlo, corregirlo y compensarlo</w:t>
      </w:r>
      <w:r w:rsidR="004D71BF" w:rsidRPr="00BD1319">
        <w:rPr>
          <w:rFonts w:cs="Arial"/>
          <w:spacing w:val="-3"/>
        </w:rPr>
        <w:t>,</w:t>
      </w:r>
      <w:r w:rsidRPr="00BD1319">
        <w:rPr>
          <w:spacing w:val="-3"/>
        </w:rPr>
        <w:t xml:space="preserve"> pues se conoce con mayor precisión </w:t>
      </w:r>
      <w:r w:rsidR="004D71BF" w:rsidRPr="00BD1319">
        <w:rPr>
          <w:spacing w:val="-3"/>
        </w:rPr>
        <w:t xml:space="preserve">entre otras características, </w:t>
      </w:r>
      <w:r w:rsidRPr="00BD1319">
        <w:rPr>
          <w:spacing w:val="-3"/>
        </w:rPr>
        <w:lastRenderedPageBreak/>
        <w:t>en qué consiste</w:t>
      </w:r>
      <w:r w:rsidRPr="00BD1319">
        <w:rPr>
          <w:rFonts w:cs="Arial"/>
          <w:spacing w:val="-3"/>
        </w:rPr>
        <w:t>,</w:t>
      </w:r>
      <w:r w:rsidRPr="00BD1319">
        <w:rPr>
          <w:spacing w:val="-3"/>
        </w:rPr>
        <w:t xml:space="preserve"> y dónde y cuándo se </w:t>
      </w:r>
      <w:r w:rsidRPr="00BD1319">
        <w:rPr>
          <w:rFonts w:cs="Arial"/>
          <w:spacing w:val="-3"/>
        </w:rPr>
        <w:t>podría manifestar</w:t>
      </w:r>
      <w:r w:rsidRPr="00BD1319">
        <w:rPr>
          <w:spacing w:val="-3"/>
        </w:rPr>
        <w:t xml:space="preserve">. Por ejemplo, </w:t>
      </w:r>
      <w:r w:rsidR="00A76145" w:rsidRPr="00BD1319">
        <w:rPr>
          <w:spacing w:val="-3"/>
        </w:rPr>
        <w:t xml:space="preserve">para formular medidas de manejo realmente efectivas </w:t>
      </w:r>
      <w:r w:rsidRPr="00BD1319">
        <w:rPr>
          <w:spacing w:val="-3"/>
        </w:rPr>
        <w:t>no basta con establecer que el proyecto</w:t>
      </w:r>
      <w:r w:rsidR="00311679" w:rsidRPr="00BD1319">
        <w:rPr>
          <w:spacing w:val="-3"/>
        </w:rPr>
        <w:t>, obra o actividad</w:t>
      </w:r>
      <w:r w:rsidRPr="00BD1319">
        <w:rPr>
          <w:spacing w:val="-3"/>
        </w:rPr>
        <w:t xml:space="preserve"> va a generar contaminación atmosférica, es necesario saber exactamente qué </w:t>
      </w:r>
      <w:r w:rsidR="003548BC" w:rsidRPr="00BD1319">
        <w:rPr>
          <w:spacing w:val="-3"/>
        </w:rPr>
        <w:t xml:space="preserve">elemento del ambiente </w:t>
      </w:r>
      <w:r w:rsidRPr="00BD1319">
        <w:rPr>
          <w:spacing w:val="-3"/>
        </w:rPr>
        <w:t>se impacta</w:t>
      </w:r>
      <w:r w:rsidR="003548BC" w:rsidRPr="00BD1319">
        <w:rPr>
          <w:spacing w:val="-3"/>
        </w:rPr>
        <w:t xml:space="preserve"> (caracterizado mediante un parámetro, indicador o índice ambiental)</w:t>
      </w:r>
      <w:r w:rsidRPr="00BD1319">
        <w:rPr>
          <w:spacing w:val="-3"/>
        </w:rPr>
        <w:t xml:space="preserve">, en qué </w:t>
      </w:r>
      <w:r w:rsidRPr="00BD1319">
        <w:rPr>
          <w:rFonts w:cs="Arial"/>
          <w:spacing w:val="-3"/>
        </w:rPr>
        <w:t>grado</w:t>
      </w:r>
      <w:r w:rsidRPr="00BD1319">
        <w:rPr>
          <w:spacing w:val="-3"/>
        </w:rPr>
        <w:t xml:space="preserve"> se modifica, en qué fase del proyecto ocurre, qué actividades o qué impactos lo generan</w:t>
      </w:r>
      <w:r w:rsidRPr="00BD1319">
        <w:rPr>
          <w:rFonts w:cs="Arial"/>
          <w:spacing w:val="-3"/>
        </w:rPr>
        <w:t xml:space="preserve">, y </w:t>
      </w:r>
      <w:r w:rsidR="0089455B" w:rsidRPr="00BD1319">
        <w:rPr>
          <w:rFonts w:cs="Arial"/>
          <w:spacing w:val="-3"/>
        </w:rPr>
        <w:t xml:space="preserve">en </w:t>
      </w:r>
      <w:r w:rsidRPr="00BD1319">
        <w:rPr>
          <w:rFonts w:cs="Arial"/>
          <w:spacing w:val="-3"/>
        </w:rPr>
        <w:t>qué área del territorio se expresa</w:t>
      </w:r>
      <w:r w:rsidR="004736C9" w:rsidRPr="00BD1319">
        <w:rPr>
          <w:rFonts w:cs="Arial"/>
          <w:spacing w:val="-3"/>
        </w:rPr>
        <w:t>, entre otras</w:t>
      </w:r>
      <w:r w:rsidR="003B059D" w:rsidRPr="00BD1319">
        <w:rPr>
          <w:rFonts w:cs="Arial"/>
          <w:spacing w:val="-3"/>
        </w:rPr>
        <w:t>.</w:t>
      </w:r>
    </w:p>
    <w:p w14:paraId="2ACFC07E" w14:textId="77777777" w:rsidR="00F160F6" w:rsidRPr="00BD1319" w:rsidRDefault="00F160F6">
      <w:pPr>
        <w:numPr>
          <w:ilvl w:val="12"/>
          <w:numId w:val="0"/>
        </w:numPr>
        <w:tabs>
          <w:tab w:val="left" w:pos="-2268"/>
        </w:tabs>
        <w:suppressAutoHyphens/>
        <w:rPr>
          <w:spacing w:val="-3"/>
        </w:rPr>
      </w:pPr>
    </w:p>
    <w:p w14:paraId="7F187E88" w14:textId="215F9B87" w:rsidR="00F160F6" w:rsidRPr="00BD1319" w:rsidRDefault="00F160F6" w:rsidP="00C86DA5">
      <w:pPr>
        <w:tabs>
          <w:tab w:val="left" w:pos="-2268"/>
        </w:tabs>
        <w:suppressAutoHyphens/>
        <w:rPr>
          <w:rFonts w:cs="Arial"/>
          <w:spacing w:val="-3"/>
        </w:rPr>
      </w:pPr>
      <w:r w:rsidRPr="00BD1319">
        <w:rPr>
          <w:spacing w:val="-3"/>
        </w:rPr>
        <w:t>L</w:t>
      </w:r>
      <w:r w:rsidR="00086C81" w:rsidRPr="00BD1319">
        <w:rPr>
          <w:spacing w:val="-3"/>
        </w:rPr>
        <w:t>as medidas que se formulen</w:t>
      </w:r>
      <w:r w:rsidRPr="00BD1319">
        <w:rPr>
          <w:spacing w:val="-3"/>
        </w:rPr>
        <w:t xml:space="preserve"> deben responder a la </w:t>
      </w:r>
      <w:r w:rsidRPr="00BD1319">
        <w:rPr>
          <w:rFonts w:cs="Arial"/>
          <w:spacing w:val="-3"/>
        </w:rPr>
        <w:t>jerarquía</w:t>
      </w:r>
      <w:r w:rsidRPr="00BD1319">
        <w:rPr>
          <w:spacing w:val="-3"/>
        </w:rPr>
        <w:t xml:space="preserve"> de las medidas de manejo</w:t>
      </w:r>
      <w:r w:rsidRPr="00BD1319">
        <w:rPr>
          <w:rStyle w:val="Refdenotaalpie"/>
          <w:rFonts w:cs="Arial"/>
          <w:spacing w:val="-3"/>
          <w:lang w:val="es-CO"/>
        </w:rPr>
        <w:footnoteReference w:id="209"/>
      </w:r>
      <w:r w:rsidRPr="00BD1319">
        <w:rPr>
          <w:spacing w:val="-3"/>
        </w:rPr>
        <w:t xml:space="preserve">, </w:t>
      </w:r>
      <w:r w:rsidR="00086C81" w:rsidRPr="00BD1319">
        <w:rPr>
          <w:spacing w:val="-3"/>
        </w:rPr>
        <w:t xml:space="preserve">de forma que </w:t>
      </w:r>
      <w:r w:rsidRPr="00BD1319">
        <w:rPr>
          <w:spacing w:val="-3"/>
        </w:rPr>
        <w:t>en primera instancia</w:t>
      </w:r>
      <w:r w:rsidR="00086C81" w:rsidRPr="00BD1319">
        <w:rPr>
          <w:spacing w:val="-3"/>
        </w:rPr>
        <w:t xml:space="preserve"> </w:t>
      </w:r>
      <w:r w:rsidR="00A76145" w:rsidRPr="00BD1319">
        <w:rPr>
          <w:spacing w:val="-3"/>
        </w:rPr>
        <w:t xml:space="preserve">éstas </w:t>
      </w:r>
      <w:r w:rsidR="00086C81" w:rsidRPr="00BD1319">
        <w:rPr>
          <w:spacing w:val="-3"/>
        </w:rPr>
        <w:t xml:space="preserve">se enfoquen en el </w:t>
      </w:r>
      <w:r w:rsidRPr="00BD1319">
        <w:rPr>
          <w:spacing w:val="-3"/>
        </w:rPr>
        <w:t>desarroll</w:t>
      </w:r>
      <w:r w:rsidR="00086C81" w:rsidRPr="00BD1319">
        <w:rPr>
          <w:spacing w:val="-3"/>
        </w:rPr>
        <w:t>o de</w:t>
      </w:r>
      <w:r w:rsidRPr="00BD1319">
        <w:rPr>
          <w:spacing w:val="-3"/>
        </w:rPr>
        <w:t xml:space="preserve"> acciones para prevenir la ocurrencia de los impactos que</w:t>
      </w:r>
      <w:r w:rsidR="008815E5" w:rsidRPr="00BD1319">
        <w:rPr>
          <w:spacing w:val="-3"/>
        </w:rPr>
        <w:t>,</w:t>
      </w:r>
      <w:r w:rsidRPr="00BD1319">
        <w:rPr>
          <w:spacing w:val="-3"/>
        </w:rPr>
        <w:t xml:space="preserve"> como segunda opción, se encaminen a mitigarlos y minimizarlos</w:t>
      </w:r>
      <w:r w:rsidR="0024378E" w:rsidRPr="00BD1319">
        <w:rPr>
          <w:spacing w:val="-3"/>
        </w:rPr>
        <w:t>,</w:t>
      </w:r>
      <w:r w:rsidRPr="00BD1319">
        <w:rPr>
          <w:spacing w:val="-3"/>
        </w:rPr>
        <w:t xml:space="preserve"> </w:t>
      </w:r>
      <w:proofErr w:type="gramStart"/>
      <w:r w:rsidRPr="00BD1319">
        <w:rPr>
          <w:spacing w:val="-3"/>
        </w:rPr>
        <w:t>que</w:t>
      </w:r>
      <w:proofErr w:type="gramEnd"/>
      <w:r w:rsidRPr="00BD1319">
        <w:rPr>
          <w:spacing w:val="-3"/>
        </w:rPr>
        <w:t xml:space="preserve"> en tercer lugar, se dirijan a corregir o restaurar las condiciones del ambiente que sean impactadas</w:t>
      </w:r>
      <w:r w:rsidR="00DF345F" w:rsidRPr="00BD1319">
        <w:rPr>
          <w:spacing w:val="-3"/>
        </w:rPr>
        <w:t>,</w:t>
      </w:r>
      <w:r w:rsidRPr="00BD1319">
        <w:rPr>
          <w:spacing w:val="-3"/>
        </w:rPr>
        <w:t xml:space="preserve"> y por último, que se enfoquen en compensar</w:t>
      </w:r>
      <w:r w:rsidRPr="00BD1319">
        <w:rPr>
          <w:rStyle w:val="Refdenotaalpie"/>
          <w:rFonts w:cs="Arial"/>
          <w:spacing w:val="-3"/>
          <w:lang w:val="es-CO"/>
        </w:rPr>
        <w:footnoteReference w:id="210"/>
      </w:r>
      <w:r w:rsidRPr="00BD1319">
        <w:rPr>
          <w:spacing w:val="-3"/>
        </w:rPr>
        <w:t xml:space="preserve"> o resarcir los impactos </w:t>
      </w:r>
      <w:r w:rsidRPr="00BD1319">
        <w:rPr>
          <w:rFonts w:cs="Arial"/>
          <w:spacing w:val="-3"/>
        </w:rPr>
        <w:t>ambientales residuales.</w:t>
      </w:r>
    </w:p>
    <w:p w14:paraId="23BA5603" w14:textId="77777777" w:rsidR="008C119D" w:rsidRPr="00BD1319" w:rsidRDefault="008C119D" w:rsidP="00C86DA5">
      <w:pPr>
        <w:tabs>
          <w:tab w:val="left" w:pos="-2268"/>
        </w:tabs>
        <w:suppressAutoHyphens/>
        <w:rPr>
          <w:rFonts w:cs="Arial"/>
          <w:spacing w:val="-3"/>
        </w:rPr>
      </w:pPr>
    </w:p>
    <w:p w14:paraId="31C1D6AC" w14:textId="6BDE3F9D" w:rsidR="00A76145" w:rsidRPr="00BD1319" w:rsidRDefault="00086C81">
      <w:pPr>
        <w:numPr>
          <w:ilvl w:val="12"/>
          <w:numId w:val="0"/>
        </w:numPr>
        <w:tabs>
          <w:tab w:val="left" w:pos="-2268"/>
        </w:tabs>
        <w:suppressAutoHyphens/>
        <w:rPr>
          <w:spacing w:val="-3"/>
        </w:rPr>
      </w:pPr>
      <w:r w:rsidRPr="00BD1319">
        <w:rPr>
          <w:rFonts w:cs="Arial"/>
          <w:spacing w:val="-3"/>
        </w:rPr>
        <w:t xml:space="preserve">Tales medidas de manejo deben formularse de </w:t>
      </w:r>
      <w:r w:rsidR="005D470C" w:rsidRPr="00BD1319">
        <w:rPr>
          <w:rFonts w:cs="Arial"/>
          <w:spacing w:val="-3"/>
        </w:rPr>
        <w:t>manera</w:t>
      </w:r>
      <w:r w:rsidRPr="00BD1319">
        <w:rPr>
          <w:rFonts w:cs="Arial"/>
          <w:spacing w:val="-3"/>
        </w:rPr>
        <w:t xml:space="preserve"> que </w:t>
      </w:r>
      <w:r w:rsidR="005D470C" w:rsidRPr="00BD1319">
        <w:rPr>
          <w:rFonts w:cs="Arial"/>
          <w:spacing w:val="-3"/>
        </w:rPr>
        <w:t xml:space="preserve">su ejecución permita el desarrollo del proyecto, obra o actividad para el cual se proponen, y si es </w:t>
      </w:r>
      <w:r w:rsidR="00F4222F" w:rsidRPr="00BD1319">
        <w:rPr>
          <w:rFonts w:cs="Arial"/>
          <w:spacing w:val="-3"/>
        </w:rPr>
        <w:t xml:space="preserve">posible, </w:t>
      </w:r>
      <w:r w:rsidR="005D470C" w:rsidRPr="00BD1319">
        <w:rPr>
          <w:rFonts w:cs="Arial"/>
          <w:spacing w:val="-3"/>
        </w:rPr>
        <w:t xml:space="preserve">que </w:t>
      </w:r>
      <w:r w:rsidR="00F4222F" w:rsidRPr="00BD1319">
        <w:rPr>
          <w:rFonts w:cs="Arial"/>
          <w:spacing w:val="-3"/>
        </w:rPr>
        <w:t xml:space="preserve">las </w:t>
      </w:r>
      <w:r w:rsidR="00E62E82" w:rsidRPr="00BD1319">
        <w:rPr>
          <w:rFonts w:cs="Arial"/>
          <w:spacing w:val="-3"/>
        </w:rPr>
        <w:t xml:space="preserve">de </w:t>
      </w:r>
      <w:r w:rsidR="00F4222F" w:rsidRPr="00BD1319">
        <w:rPr>
          <w:rFonts w:cs="Arial"/>
          <w:spacing w:val="-3"/>
        </w:rPr>
        <w:t xml:space="preserve">tipo </w:t>
      </w:r>
      <w:r w:rsidR="004D71BF" w:rsidRPr="00BD1319">
        <w:rPr>
          <w:rFonts w:cs="Arial"/>
          <w:spacing w:val="-3"/>
        </w:rPr>
        <w:t>preven</w:t>
      </w:r>
      <w:r w:rsidR="00F4222F" w:rsidRPr="00BD1319">
        <w:rPr>
          <w:rFonts w:cs="Arial"/>
          <w:spacing w:val="-3"/>
        </w:rPr>
        <w:t xml:space="preserve">tivo se enfoquen en </w:t>
      </w:r>
      <w:r w:rsidR="004D71BF" w:rsidRPr="00BD1319">
        <w:rPr>
          <w:rFonts w:cs="Arial"/>
          <w:spacing w:val="-3"/>
        </w:rPr>
        <w:t xml:space="preserve">los impactos que tienen mayor potencial de modificación de las condiciones ambientales, </w:t>
      </w:r>
      <w:r w:rsidR="00373531" w:rsidRPr="00BD1319">
        <w:rPr>
          <w:rFonts w:cs="Arial"/>
          <w:spacing w:val="-3"/>
        </w:rPr>
        <w:t xml:space="preserve">que </w:t>
      </w:r>
      <w:r w:rsidR="00F4222F" w:rsidRPr="00BD1319">
        <w:rPr>
          <w:rFonts w:cs="Arial"/>
          <w:spacing w:val="-3"/>
        </w:rPr>
        <w:t xml:space="preserve">las </w:t>
      </w:r>
      <w:r w:rsidR="004D71BF" w:rsidRPr="00BD1319">
        <w:rPr>
          <w:rFonts w:cs="Arial"/>
          <w:spacing w:val="-3"/>
        </w:rPr>
        <w:t xml:space="preserve">de mitigación o corrección </w:t>
      </w:r>
      <w:r w:rsidR="00373531" w:rsidRPr="00BD1319">
        <w:rPr>
          <w:rFonts w:cs="Arial"/>
          <w:spacing w:val="-3"/>
        </w:rPr>
        <w:t xml:space="preserve">se orienten hacia </w:t>
      </w:r>
      <w:r w:rsidR="004D71BF" w:rsidRPr="00BD1319">
        <w:rPr>
          <w:rFonts w:cs="Arial"/>
          <w:spacing w:val="-3"/>
        </w:rPr>
        <w:t xml:space="preserve">impactos cuyo potencial de modificación </w:t>
      </w:r>
      <w:r w:rsidR="00AD356D" w:rsidRPr="00BD1319">
        <w:rPr>
          <w:rFonts w:cs="Arial"/>
          <w:spacing w:val="-3"/>
        </w:rPr>
        <w:t xml:space="preserve">es </w:t>
      </w:r>
      <w:r w:rsidR="004D71BF" w:rsidRPr="00BD1319">
        <w:rPr>
          <w:rFonts w:cs="Arial"/>
          <w:spacing w:val="-3"/>
        </w:rPr>
        <w:t xml:space="preserve">intermedio, y </w:t>
      </w:r>
      <w:r w:rsidR="00373531" w:rsidRPr="00BD1319">
        <w:rPr>
          <w:rFonts w:cs="Arial"/>
          <w:spacing w:val="-3"/>
        </w:rPr>
        <w:t xml:space="preserve">que </w:t>
      </w:r>
      <w:r w:rsidR="00F4222F" w:rsidRPr="00BD1319">
        <w:rPr>
          <w:rFonts w:cs="Arial"/>
          <w:spacing w:val="-3"/>
        </w:rPr>
        <w:t xml:space="preserve">las </w:t>
      </w:r>
      <w:r w:rsidR="004D71BF" w:rsidRPr="00BD1319">
        <w:rPr>
          <w:rFonts w:cs="Arial"/>
          <w:spacing w:val="-3"/>
        </w:rPr>
        <w:t xml:space="preserve">de compensación </w:t>
      </w:r>
      <w:r w:rsidR="00373531" w:rsidRPr="00BD1319">
        <w:rPr>
          <w:rFonts w:cs="Arial"/>
          <w:spacing w:val="-3"/>
        </w:rPr>
        <w:t xml:space="preserve">se dirijan a </w:t>
      </w:r>
      <w:r w:rsidR="004D71BF" w:rsidRPr="00BD1319">
        <w:rPr>
          <w:rFonts w:cs="Arial"/>
          <w:spacing w:val="-3"/>
        </w:rPr>
        <w:t xml:space="preserve">los impactos </w:t>
      </w:r>
      <w:r w:rsidR="00AD356D" w:rsidRPr="00BD1319">
        <w:rPr>
          <w:rFonts w:cs="Arial"/>
          <w:spacing w:val="-3"/>
        </w:rPr>
        <w:t>que generan consecuencias ambientales má</w:t>
      </w:r>
      <w:r w:rsidR="004D71BF" w:rsidRPr="00BD1319">
        <w:rPr>
          <w:rFonts w:cs="Arial"/>
          <w:spacing w:val="-3"/>
        </w:rPr>
        <w:t>s leves.</w:t>
      </w:r>
      <w:r w:rsidR="00AC6F8A" w:rsidRPr="00BD1319">
        <w:rPr>
          <w:rFonts w:cs="Arial"/>
          <w:spacing w:val="-3"/>
        </w:rPr>
        <w:t xml:space="preserve"> Lo anterior quiere decir, que la formulación de las medidas de manejo debe permitir el desarrollo del proyecto, obra o actividad y </w:t>
      </w:r>
      <w:r w:rsidR="00605D4E" w:rsidRPr="00BD1319">
        <w:rPr>
          <w:spacing w:val="-3"/>
        </w:rPr>
        <w:t>prevenir</w:t>
      </w:r>
      <w:r w:rsidR="00A76145" w:rsidRPr="00BD1319">
        <w:rPr>
          <w:spacing w:val="-3"/>
        </w:rPr>
        <w:t xml:space="preserve"> lo </w:t>
      </w:r>
      <w:r w:rsidR="00605D4E" w:rsidRPr="00BD1319">
        <w:rPr>
          <w:spacing w:val="-3"/>
        </w:rPr>
        <w:t>prevenible</w:t>
      </w:r>
      <w:r w:rsidR="00A76145" w:rsidRPr="00BD1319">
        <w:rPr>
          <w:spacing w:val="-3"/>
        </w:rPr>
        <w:t>, mitigar lo mitigable, corregir lo corregible y compensar lo compensable</w:t>
      </w:r>
      <w:r w:rsidR="00AC6F8A" w:rsidRPr="00BD1319">
        <w:rPr>
          <w:spacing w:val="-3"/>
        </w:rPr>
        <w:t>, en ese orden</w:t>
      </w:r>
      <w:r w:rsidR="00A76145" w:rsidRPr="00BD1319">
        <w:rPr>
          <w:spacing w:val="-3"/>
        </w:rPr>
        <w:t>.</w:t>
      </w:r>
    </w:p>
    <w:p w14:paraId="7455552E" w14:textId="77777777" w:rsidR="00A76145" w:rsidRPr="00BD1319" w:rsidRDefault="00A76145">
      <w:pPr>
        <w:numPr>
          <w:ilvl w:val="12"/>
          <w:numId w:val="0"/>
        </w:numPr>
        <w:tabs>
          <w:tab w:val="left" w:pos="-2268"/>
        </w:tabs>
        <w:suppressAutoHyphens/>
        <w:rPr>
          <w:spacing w:val="-3"/>
        </w:rPr>
      </w:pPr>
    </w:p>
    <w:p w14:paraId="6526F6C6" w14:textId="29ACA064" w:rsidR="006E0C3B" w:rsidRPr="00BD1319" w:rsidRDefault="00DF345F">
      <w:pPr>
        <w:numPr>
          <w:ilvl w:val="12"/>
          <w:numId w:val="0"/>
        </w:numPr>
        <w:tabs>
          <w:tab w:val="left" w:pos="-2268"/>
        </w:tabs>
        <w:suppressAutoHyphens/>
        <w:rPr>
          <w:spacing w:val="-3"/>
        </w:rPr>
      </w:pPr>
      <w:r w:rsidRPr="00BD1319">
        <w:rPr>
          <w:spacing w:val="-3"/>
        </w:rPr>
        <w:t>Ya que e</w:t>
      </w:r>
      <w:r w:rsidR="006E0C3B" w:rsidRPr="00BD1319">
        <w:rPr>
          <w:spacing w:val="-3"/>
        </w:rPr>
        <w:t xml:space="preserve">l ambiente es un sistema complejo con múltiples interacciones, las cuales pueden verse seriamente alteradas por los proyectos sujetos a licenciamiento ambiental, es fundamental formular medidas de manejo desde una perspectiva integral que reconozca las conexiones </w:t>
      </w:r>
      <w:r w:rsidR="003D35EC" w:rsidRPr="00BD1319">
        <w:rPr>
          <w:spacing w:val="-3"/>
        </w:rPr>
        <w:t xml:space="preserve">que existen al interior y </w:t>
      </w:r>
      <w:r w:rsidR="006E0C3B" w:rsidRPr="00BD1319">
        <w:rPr>
          <w:spacing w:val="-3"/>
        </w:rPr>
        <w:t xml:space="preserve">entre </w:t>
      </w:r>
      <w:r w:rsidR="003D35EC" w:rsidRPr="00BD1319">
        <w:rPr>
          <w:spacing w:val="-3"/>
        </w:rPr>
        <w:t>los</w:t>
      </w:r>
      <w:r w:rsidR="006E0C3B" w:rsidRPr="00BD1319">
        <w:rPr>
          <w:spacing w:val="-3"/>
        </w:rPr>
        <w:t xml:space="preserve"> medios y componentes, </w:t>
      </w:r>
      <w:r w:rsidRPr="00BD1319">
        <w:rPr>
          <w:spacing w:val="-3"/>
        </w:rPr>
        <w:t xml:space="preserve">que </w:t>
      </w:r>
      <w:r w:rsidR="003D35EC" w:rsidRPr="00BD1319">
        <w:rPr>
          <w:spacing w:val="-3"/>
        </w:rPr>
        <w:t xml:space="preserve">ellas configuran </w:t>
      </w:r>
      <w:r w:rsidR="006E0C3B" w:rsidRPr="00BD1319">
        <w:rPr>
          <w:spacing w:val="-3"/>
        </w:rPr>
        <w:t>ecosistemas</w:t>
      </w:r>
      <w:r w:rsidR="003D35EC" w:rsidRPr="00BD1319">
        <w:rPr>
          <w:spacing w:val="-3"/>
        </w:rPr>
        <w:t xml:space="preserve"> naturales</w:t>
      </w:r>
      <w:r w:rsidR="004D63D5" w:rsidRPr="00BD1319">
        <w:rPr>
          <w:spacing w:val="-3"/>
        </w:rPr>
        <w:t xml:space="preserve">, ecosistemas </w:t>
      </w:r>
      <w:r w:rsidR="003D35EC" w:rsidRPr="00BD1319">
        <w:rPr>
          <w:spacing w:val="-3"/>
        </w:rPr>
        <w:t xml:space="preserve">transformados </w:t>
      </w:r>
      <w:r w:rsidR="004D63D5" w:rsidRPr="00BD1319">
        <w:rPr>
          <w:spacing w:val="-3"/>
        </w:rPr>
        <w:t xml:space="preserve">y </w:t>
      </w:r>
      <w:r w:rsidR="006E0C3B" w:rsidRPr="00BD1319">
        <w:rPr>
          <w:spacing w:val="-3"/>
        </w:rPr>
        <w:t>servicio</w:t>
      </w:r>
      <w:r w:rsidR="003D35EC" w:rsidRPr="00BD1319">
        <w:rPr>
          <w:spacing w:val="-3"/>
        </w:rPr>
        <w:t>s</w:t>
      </w:r>
      <w:r w:rsidR="006E0C3B" w:rsidRPr="00BD1319">
        <w:rPr>
          <w:spacing w:val="-3"/>
        </w:rPr>
        <w:t xml:space="preserve"> ecosistémico</w:t>
      </w:r>
      <w:r w:rsidR="003D35EC" w:rsidRPr="00BD1319">
        <w:rPr>
          <w:spacing w:val="-3"/>
        </w:rPr>
        <w:t>s</w:t>
      </w:r>
      <w:r w:rsidR="006E0C3B" w:rsidRPr="00BD1319">
        <w:rPr>
          <w:spacing w:val="-3"/>
        </w:rPr>
        <w:t xml:space="preserve">, </w:t>
      </w:r>
      <w:r w:rsidR="004D63D5" w:rsidRPr="00BD1319">
        <w:rPr>
          <w:spacing w:val="-3"/>
        </w:rPr>
        <w:t xml:space="preserve">y </w:t>
      </w:r>
      <w:r w:rsidR="003D35EC" w:rsidRPr="00BD1319">
        <w:rPr>
          <w:spacing w:val="-3"/>
        </w:rPr>
        <w:t xml:space="preserve">que </w:t>
      </w:r>
      <w:r w:rsidR="004D63D5" w:rsidRPr="00BD1319">
        <w:rPr>
          <w:spacing w:val="-3"/>
        </w:rPr>
        <w:t xml:space="preserve">el proyecto puede generar </w:t>
      </w:r>
      <w:r w:rsidR="003D35EC" w:rsidRPr="00BD1319">
        <w:rPr>
          <w:spacing w:val="-3"/>
        </w:rPr>
        <w:t>cadenas de causa efecto</w:t>
      </w:r>
      <w:r w:rsidR="003548BC" w:rsidRPr="00BD1319">
        <w:rPr>
          <w:spacing w:val="-3"/>
        </w:rPr>
        <w:t xml:space="preserve">, así como </w:t>
      </w:r>
      <w:r w:rsidR="003D35EC" w:rsidRPr="00BD1319">
        <w:rPr>
          <w:spacing w:val="-3"/>
        </w:rPr>
        <w:t xml:space="preserve">impactos acumulativos </w:t>
      </w:r>
      <w:r w:rsidR="003548BC" w:rsidRPr="00BD1319">
        <w:rPr>
          <w:spacing w:val="-3"/>
        </w:rPr>
        <w:t xml:space="preserve">e impactos </w:t>
      </w:r>
      <w:r w:rsidR="003D35EC" w:rsidRPr="00BD1319">
        <w:rPr>
          <w:spacing w:val="-3"/>
        </w:rPr>
        <w:t>sinérgicos</w:t>
      </w:r>
      <w:r w:rsidR="006E0C3B" w:rsidRPr="00BD1319">
        <w:rPr>
          <w:spacing w:val="-3"/>
        </w:rPr>
        <w:t>.</w:t>
      </w:r>
    </w:p>
    <w:p w14:paraId="22D5F96D" w14:textId="77777777" w:rsidR="006E0C3B" w:rsidRPr="00BD1319" w:rsidRDefault="006E0C3B">
      <w:pPr>
        <w:numPr>
          <w:ilvl w:val="12"/>
          <w:numId w:val="0"/>
        </w:numPr>
        <w:tabs>
          <w:tab w:val="left" w:pos="-2268"/>
        </w:tabs>
        <w:suppressAutoHyphens/>
        <w:rPr>
          <w:spacing w:val="-3"/>
        </w:rPr>
      </w:pPr>
    </w:p>
    <w:p w14:paraId="3677C2C9" w14:textId="12D34200" w:rsidR="00F160F6" w:rsidRPr="00BD1319" w:rsidRDefault="005E1630">
      <w:pPr>
        <w:numPr>
          <w:ilvl w:val="12"/>
          <w:numId w:val="0"/>
        </w:numPr>
        <w:tabs>
          <w:tab w:val="left" w:pos="-2268"/>
        </w:tabs>
        <w:suppressAutoHyphens/>
        <w:rPr>
          <w:spacing w:val="-3"/>
        </w:rPr>
      </w:pPr>
      <w:r w:rsidRPr="00BD1319">
        <w:rPr>
          <w:spacing w:val="-3"/>
        </w:rPr>
        <w:t>Por ello, l</w:t>
      </w:r>
      <w:r w:rsidR="005150DE" w:rsidRPr="00BD1319">
        <w:rPr>
          <w:spacing w:val="-3"/>
        </w:rPr>
        <w:t xml:space="preserve">as medidas de manejo pueden enfocarse tanto en el lugar de manifestación de los impactos, como en </w:t>
      </w:r>
      <w:r w:rsidR="004105F1" w:rsidRPr="00BD1319">
        <w:rPr>
          <w:spacing w:val="-3"/>
        </w:rPr>
        <w:t>los</w:t>
      </w:r>
      <w:r w:rsidR="005150DE" w:rsidRPr="00BD1319">
        <w:rPr>
          <w:spacing w:val="-3"/>
        </w:rPr>
        <w:t xml:space="preserve"> proceso</w:t>
      </w:r>
      <w:r w:rsidR="004105F1" w:rsidRPr="00BD1319">
        <w:rPr>
          <w:spacing w:val="-3"/>
        </w:rPr>
        <w:t>s</w:t>
      </w:r>
      <w:r w:rsidR="005150DE" w:rsidRPr="00BD1319">
        <w:rPr>
          <w:spacing w:val="-3"/>
        </w:rPr>
        <w:t>, actividad</w:t>
      </w:r>
      <w:r w:rsidR="004105F1" w:rsidRPr="00BD1319">
        <w:rPr>
          <w:spacing w:val="-3"/>
        </w:rPr>
        <w:t>es</w:t>
      </w:r>
      <w:r w:rsidR="005150DE" w:rsidRPr="00BD1319">
        <w:rPr>
          <w:spacing w:val="-3"/>
        </w:rPr>
        <w:t xml:space="preserve"> o impacto</w:t>
      </w:r>
      <w:r w:rsidR="004105F1" w:rsidRPr="00BD1319">
        <w:rPr>
          <w:spacing w:val="-3"/>
        </w:rPr>
        <w:t>s</w:t>
      </w:r>
      <w:r w:rsidR="005150DE" w:rsidRPr="00BD1319">
        <w:rPr>
          <w:spacing w:val="-3"/>
        </w:rPr>
        <w:t xml:space="preserve"> que los origina</w:t>
      </w:r>
      <w:r w:rsidR="00A1117E" w:rsidRPr="00BD1319">
        <w:rPr>
          <w:spacing w:val="-3"/>
        </w:rPr>
        <w:t>n</w:t>
      </w:r>
      <w:r w:rsidR="005150DE" w:rsidRPr="00BD1319">
        <w:rPr>
          <w:spacing w:val="-3"/>
        </w:rPr>
        <w:t xml:space="preserve">. </w:t>
      </w:r>
      <w:r w:rsidR="004105F1" w:rsidRPr="00BD1319">
        <w:rPr>
          <w:spacing w:val="-3"/>
        </w:rPr>
        <w:t xml:space="preserve">Es una buena práctica </w:t>
      </w:r>
      <w:r w:rsidR="004105F1" w:rsidRPr="00BD1319">
        <w:rPr>
          <w:rFonts w:cs="Arial"/>
          <w:spacing w:val="-3"/>
        </w:rPr>
        <w:t xml:space="preserve">formular medidas de manejo procurando que éstas </w:t>
      </w:r>
      <w:r w:rsidR="004105F1" w:rsidRPr="00BD1319">
        <w:rPr>
          <w:spacing w:val="-3"/>
        </w:rPr>
        <w:t xml:space="preserve">se orienten </w:t>
      </w:r>
      <w:r w:rsidR="004105F1" w:rsidRPr="00BD1319">
        <w:rPr>
          <w:rFonts w:cs="Arial"/>
          <w:spacing w:val="-3"/>
        </w:rPr>
        <w:t xml:space="preserve">hacia </w:t>
      </w:r>
      <w:r w:rsidR="004105F1" w:rsidRPr="00BD1319">
        <w:rPr>
          <w:spacing w:val="-3"/>
        </w:rPr>
        <w:t>las causas</w:t>
      </w:r>
      <w:r w:rsidR="004105F1" w:rsidRPr="00BD1319">
        <w:rPr>
          <w:rFonts w:cs="Arial"/>
          <w:spacing w:val="-3"/>
        </w:rPr>
        <w:t xml:space="preserve"> que generan los impactos</w:t>
      </w:r>
      <w:r w:rsidR="004105F1" w:rsidRPr="00BD1319">
        <w:rPr>
          <w:spacing w:val="-3"/>
        </w:rPr>
        <w:t xml:space="preserve">, a fin de focalizar los esfuerzos y hacer más efectiva </w:t>
      </w:r>
      <w:r w:rsidR="004105F1" w:rsidRPr="00BD1319">
        <w:rPr>
          <w:rFonts w:cs="Arial"/>
          <w:spacing w:val="-3"/>
        </w:rPr>
        <w:t>su</w:t>
      </w:r>
      <w:r w:rsidR="004105F1" w:rsidRPr="00BD1319">
        <w:rPr>
          <w:spacing w:val="-3"/>
        </w:rPr>
        <w:t xml:space="preserve"> implementación</w:t>
      </w:r>
      <w:r w:rsidR="00A76145" w:rsidRPr="00BD1319">
        <w:rPr>
          <w:spacing w:val="-3"/>
        </w:rPr>
        <w:t>;</w:t>
      </w:r>
      <w:r w:rsidR="00A1117E" w:rsidRPr="00BD1319">
        <w:rPr>
          <w:spacing w:val="-3"/>
        </w:rPr>
        <w:t xml:space="preserve"> </w:t>
      </w:r>
      <w:r w:rsidRPr="00BD1319">
        <w:rPr>
          <w:spacing w:val="-3"/>
        </w:rPr>
        <w:t>de esta forma</w:t>
      </w:r>
      <w:r w:rsidR="00A1117E" w:rsidRPr="00BD1319">
        <w:rPr>
          <w:spacing w:val="-3"/>
        </w:rPr>
        <w:t xml:space="preserve">, </w:t>
      </w:r>
      <w:r w:rsidR="00A76145" w:rsidRPr="00BD1319">
        <w:rPr>
          <w:spacing w:val="-3"/>
        </w:rPr>
        <w:t xml:space="preserve">para formular medidas de manejo ambiental </w:t>
      </w:r>
      <w:r w:rsidR="00390E46" w:rsidRPr="00BD1319">
        <w:rPr>
          <w:spacing w:val="-3"/>
        </w:rPr>
        <w:t xml:space="preserve">es importante recurrir a </w:t>
      </w:r>
      <w:r w:rsidR="00F160F6" w:rsidRPr="00BD1319">
        <w:rPr>
          <w:spacing w:val="-3"/>
        </w:rPr>
        <w:t xml:space="preserve">las relaciones causales </w:t>
      </w:r>
      <w:r w:rsidR="00F74B4C" w:rsidRPr="00BD1319">
        <w:rPr>
          <w:spacing w:val="-3"/>
        </w:rPr>
        <w:t xml:space="preserve">entre </w:t>
      </w:r>
      <w:r w:rsidR="00F160F6" w:rsidRPr="00BD1319">
        <w:rPr>
          <w:spacing w:val="-3"/>
        </w:rPr>
        <w:t>actividades</w:t>
      </w:r>
      <w:r w:rsidR="00F74B4C" w:rsidRPr="00BD1319">
        <w:rPr>
          <w:spacing w:val="-3"/>
        </w:rPr>
        <w:t xml:space="preserve"> e </w:t>
      </w:r>
      <w:r w:rsidR="00F160F6" w:rsidRPr="00BD1319">
        <w:rPr>
          <w:spacing w:val="-3"/>
        </w:rPr>
        <w:t>impactos</w:t>
      </w:r>
      <w:r w:rsidR="00F74B4C" w:rsidRPr="00BD1319">
        <w:rPr>
          <w:spacing w:val="-3"/>
        </w:rPr>
        <w:t>, y entre</w:t>
      </w:r>
      <w:r w:rsidR="00F160F6" w:rsidRPr="00BD1319">
        <w:rPr>
          <w:spacing w:val="-3"/>
        </w:rPr>
        <w:t xml:space="preserve"> impactos</w:t>
      </w:r>
      <w:r w:rsidR="00F74B4C" w:rsidRPr="00BD1319">
        <w:rPr>
          <w:spacing w:val="-3"/>
        </w:rPr>
        <w:t xml:space="preserve"> y otros </w:t>
      </w:r>
      <w:r w:rsidR="00F160F6" w:rsidRPr="00BD1319">
        <w:rPr>
          <w:spacing w:val="-3"/>
        </w:rPr>
        <w:lastRenderedPageBreak/>
        <w:t>impactos (</w:t>
      </w:r>
      <w:r w:rsidR="005D470C" w:rsidRPr="00BD1319">
        <w:rPr>
          <w:spacing w:val="-3"/>
        </w:rPr>
        <w:t>como las que ocurren en</w:t>
      </w:r>
      <w:r w:rsidR="00F160F6" w:rsidRPr="00BD1319">
        <w:rPr>
          <w:spacing w:val="-3"/>
        </w:rPr>
        <w:t xml:space="preserve"> las relaciones de causa</w:t>
      </w:r>
      <w:r w:rsidR="00F160F6" w:rsidRPr="00BD1319">
        <w:rPr>
          <w:rFonts w:cs="Arial"/>
          <w:spacing w:val="-3"/>
        </w:rPr>
        <w:t>-</w:t>
      </w:r>
      <w:r w:rsidR="00F160F6" w:rsidRPr="00BD1319">
        <w:rPr>
          <w:spacing w:val="-3"/>
        </w:rPr>
        <w:t xml:space="preserve">efecto entre impactos directos e indirectos, o </w:t>
      </w:r>
      <w:r w:rsidR="005D470C" w:rsidRPr="00BD1319">
        <w:rPr>
          <w:spacing w:val="-3"/>
        </w:rPr>
        <w:t xml:space="preserve">en </w:t>
      </w:r>
      <w:r w:rsidR="005150DE" w:rsidRPr="00BD1319">
        <w:rPr>
          <w:spacing w:val="-3"/>
        </w:rPr>
        <w:t xml:space="preserve">las </w:t>
      </w:r>
      <w:r w:rsidR="005D470C" w:rsidRPr="00BD1319">
        <w:rPr>
          <w:spacing w:val="-3"/>
        </w:rPr>
        <w:t xml:space="preserve">relaciones </w:t>
      </w:r>
      <w:r w:rsidR="00F160F6" w:rsidRPr="00BD1319">
        <w:rPr>
          <w:spacing w:val="-3"/>
        </w:rPr>
        <w:t>entre varios impactos que producen un impacto sinérgico) identifica</w:t>
      </w:r>
      <w:r w:rsidR="005150DE" w:rsidRPr="00BD1319">
        <w:rPr>
          <w:spacing w:val="-3"/>
        </w:rPr>
        <w:t xml:space="preserve">das </w:t>
      </w:r>
      <w:r w:rsidR="00F160F6" w:rsidRPr="00BD1319">
        <w:rPr>
          <w:spacing w:val="-3"/>
        </w:rPr>
        <w:t xml:space="preserve">y </w:t>
      </w:r>
      <w:r w:rsidR="005150DE" w:rsidRPr="00BD1319">
        <w:rPr>
          <w:spacing w:val="-3"/>
        </w:rPr>
        <w:t xml:space="preserve">descritas </w:t>
      </w:r>
      <w:r w:rsidR="00F160F6" w:rsidRPr="00BD1319">
        <w:rPr>
          <w:spacing w:val="-3"/>
        </w:rPr>
        <w:t xml:space="preserve">en </w:t>
      </w:r>
      <w:r w:rsidR="005150DE" w:rsidRPr="00BD1319">
        <w:rPr>
          <w:spacing w:val="-3"/>
        </w:rPr>
        <w:t xml:space="preserve">el numeral de </w:t>
      </w:r>
      <w:r w:rsidR="00F160F6" w:rsidRPr="00BD1319">
        <w:rPr>
          <w:spacing w:val="-3"/>
        </w:rPr>
        <w:t>evaluación ambiental.</w:t>
      </w:r>
    </w:p>
    <w:p w14:paraId="2B785FFA" w14:textId="77777777" w:rsidR="00F160F6" w:rsidRPr="00BD1319" w:rsidRDefault="00F160F6">
      <w:pPr>
        <w:numPr>
          <w:ilvl w:val="12"/>
          <w:numId w:val="0"/>
        </w:numPr>
        <w:tabs>
          <w:tab w:val="left" w:pos="-2268"/>
        </w:tabs>
        <w:suppressAutoHyphens/>
        <w:rPr>
          <w:spacing w:val="-3"/>
        </w:rPr>
      </w:pPr>
    </w:p>
    <w:p w14:paraId="417325A8" w14:textId="1CC96D65" w:rsidR="00DA54FC" w:rsidRPr="00BD1319" w:rsidRDefault="00A1117E">
      <w:pPr>
        <w:numPr>
          <w:ilvl w:val="12"/>
          <w:numId w:val="0"/>
        </w:numPr>
        <w:tabs>
          <w:tab w:val="left" w:pos="-2268"/>
        </w:tabs>
        <w:suppressAutoHyphens/>
        <w:rPr>
          <w:spacing w:val="-3"/>
        </w:rPr>
      </w:pPr>
      <w:r w:rsidRPr="00BD1319">
        <w:rPr>
          <w:spacing w:val="-3"/>
        </w:rPr>
        <w:t>Por ejemplo, y</w:t>
      </w:r>
      <w:r w:rsidR="00011465" w:rsidRPr="00BD1319">
        <w:rPr>
          <w:spacing w:val="-3"/>
        </w:rPr>
        <w:t xml:space="preserve"> considerando </w:t>
      </w:r>
      <w:r w:rsidR="00DA54FC" w:rsidRPr="00BD1319">
        <w:rPr>
          <w:spacing w:val="-3"/>
        </w:rPr>
        <w:t xml:space="preserve">que existen impactos que </w:t>
      </w:r>
      <w:r w:rsidR="00DA54FC" w:rsidRPr="00BD1319">
        <w:rPr>
          <w:rFonts w:cs="Arial"/>
          <w:spacing w:val="-3"/>
        </w:rPr>
        <w:t xml:space="preserve">causan impactos indirectos </w:t>
      </w:r>
      <w:r w:rsidR="00DA54FC" w:rsidRPr="00BD1319">
        <w:rPr>
          <w:spacing w:val="-3"/>
        </w:rPr>
        <w:t>en diferentes medios (</w:t>
      </w:r>
      <w:r w:rsidR="00041844" w:rsidRPr="00BD1319">
        <w:rPr>
          <w:rFonts w:cs="Arial"/>
          <w:spacing w:val="-3"/>
        </w:rPr>
        <w:t>p. ej.</w:t>
      </w:r>
      <w:r w:rsidR="00DA54FC" w:rsidRPr="00BD1319">
        <w:rPr>
          <w:spacing w:val="-3"/>
        </w:rPr>
        <w:t xml:space="preserve"> el incremento de un contamina</w:t>
      </w:r>
      <w:r w:rsidR="00634255" w:rsidRPr="00BD1319">
        <w:rPr>
          <w:spacing w:val="-3"/>
        </w:rPr>
        <w:t>nte en un cuerpo de agua -</w:t>
      </w:r>
      <w:r w:rsidR="00DA54FC" w:rsidRPr="00BD1319">
        <w:rPr>
          <w:spacing w:val="-3"/>
        </w:rPr>
        <w:t>medio abiótico- puede afectar elementos de los medios abiótico, biótico y socioeconómico) o componentes (</w:t>
      </w:r>
      <w:r w:rsidR="00041844" w:rsidRPr="00BD1319">
        <w:rPr>
          <w:rFonts w:cs="Arial"/>
          <w:spacing w:val="-3"/>
        </w:rPr>
        <w:t>p. ej.</w:t>
      </w:r>
      <w:r w:rsidR="00DA54FC" w:rsidRPr="00BD1319">
        <w:rPr>
          <w:spacing w:val="-3"/>
        </w:rPr>
        <w:t xml:space="preserve"> la alteración de las actividades económicas tradicionales de la población puede modificar los componentes económico, demográfico, cultural, entre otros), es necesario que </w:t>
      </w:r>
      <w:r w:rsidRPr="00BD1319">
        <w:rPr>
          <w:spacing w:val="-3"/>
        </w:rPr>
        <w:t xml:space="preserve">sus </w:t>
      </w:r>
      <w:r w:rsidR="00DA54FC" w:rsidRPr="00BD1319">
        <w:rPr>
          <w:spacing w:val="-3"/>
        </w:rPr>
        <w:t xml:space="preserve">medidas propendan por </w:t>
      </w:r>
      <w:r w:rsidR="00026414" w:rsidRPr="00BD1319">
        <w:rPr>
          <w:spacing w:val="-3"/>
        </w:rPr>
        <w:t xml:space="preserve">el manejo </w:t>
      </w:r>
      <w:r w:rsidR="00DA54FC" w:rsidRPr="00BD1319">
        <w:rPr>
          <w:spacing w:val="-3"/>
        </w:rPr>
        <w:t>de sus causas o en su defecto, que se orienten a manejar todos los lugares del área de influencia en los que se presentan dichos impactos.</w:t>
      </w:r>
    </w:p>
    <w:p w14:paraId="1C2008C2" w14:textId="77777777" w:rsidR="00DA54FC" w:rsidRPr="00BD1319" w:rsidRDefault="00DA54FC">
      <w:pPr>
        <w:numPr>
          <w:ilvl w:val="12"/>
          <w:numId w:val="0"/>
        </w:numPr>
        <w:tabs>
          <w:tab w:val="left" w:pos="-2268"/>
        </w:tabs>
        <w:suppressAutoHyphens/>
        <w:rPr>
          <w:spacing w:val="-3"/>
        </w:rPr>
      </w:pPr>
    </w:p>
    <w:p w14:paraId="4B02162F" w14:textId="7C1D5BBF" w:rsidR="00F74B4C" w:rsidRPr="00BD1319" w:rsidRDefault="0062694C">
      <w:pPr>
        <w:numPr>
          <w:ilvl w:val="12"/>
          <w:numId w:val="0"/>
        </w:numPr>
        <w:tabs>
          <w:tab w:val="left" w:pos="-2268"/>
        </w:tabs>
        <w:suppressAutoHyphens/>
        <w:rPr>
          <w:spacing w:val="-3"/>
        </w:rPr>
      </w:pPr>
      <w:r w:rsidRPr="00BD1319">
        <w:rPr>
          <w:spacing w:val="-3"/>
        </w:rPr>
        <w:t xml:space="preserve">Es </w:t>
      </w:r>
      <w:r w:rsidR="005E1630" w:rsidRPr="00BD1319">
        <w:rPr>
          <w:spacing w:val="-3"/>
        </w:rPr>
        <w:t>esencial</w:t>
      </w:r>
      <w:r w:rsidRPr="00BD1319">
        <w:rPr>
          <w:spacing w:val="-3"/>
        </w:rPr>
        <w:t xml:space="preserve"> que en plan de manejo ambiental se establezca para cada uno de los impactos que origina el proyecto, obra o actividad, por lo menos una medida de manejo que asegure una efectiva prevención, mitigación, corrección o compensación</w:t>
      </w:r>
      <w:r w:rsidR="008D042C" w:rsidRPr="00BD1319">
        <w:rPr>
          <w:rStyle w:val="Refdenotaalpie"/>
          <w:spacing w:val="-3"/>
          <w:lang w:val="es-CO"/>
        </w:rPr>
        <w:footnoteReference w:id="211"/>
      </w:r>
      <w:r w:rsidRPr="00BD1319">
        <w:rPr>
          <w:spacing w:val="-3"/>
        </w:rPr>
        <w:t xml:space="preserve">; asimismo, </w:t>
      </w:r>
      <w:r w:rsidR="00F160F6" w:rsidRPr="00BD1319">
        <w:rPr>
          <w:spacing w:val="-3"/>
        </w:rPr>
        <w:t xml:space="preserve">se debe tener en cuenta que un impacto puede ser manejado mediante </w:t>
      </w:r>
      <w:r w:rsidR="005D470C" w:rsidRPr="00BD1319">
        <w:rPr>
          <w:spacing w:val="-3"/>
        </w:rPr>
        <w:t xml:space="preserve">más de una </w:t>
      </w:r>
      <w:r w:rsidR="00F160F6" w:rsidRPr="00BD1319">
        <w:rPr>
          <w:spacing w:val="-3"/>
        </w:rPr>
        <w:t>medida</w:t>
      </w:r>
      <w:r w:rsidRPr="00BD1319">
        <w:rPr>
          <w:spacing w:val="-3"/>
        </w:rPr>
        <w:t xml:space="preserve">, y que una misma medida puede ser empleada </w:t>
      </w:r>
      <w:r w:rsidR="00634255" w:rsidRPr="00BD1319">
        <w:rPr>
          <w:spacing w:val="-3"/>
        </w:rPr>
        <w:t xml:space="preserve">para </w:t>
      </w:r>
      <w:r w:rsidRPr="00BD1319">
        <w:rPr>
          <w:spacing w:val="-3"/>
        </w:rPr>
        <w:t>manejar diferentes impactos</w:t>
      </w:r>
      <w:r w:rsidR="00F160F6" w:rsidRPr="00BD1319">
        <w:rPr>
          <w:spacing w:val="-3"/>
        </w:rPr>
        <w:t>.</w:t>
      </w:r>
    </w:p>
    <w:p w14:paraId="3BDE56CE" w14:textId="77777777" w:rsidR="00F74B4C" w:rsidRPr="00BD1319" w:rsidRDefault="00F74B4C">
      <w:pPr>
        <w:numPr>
          <w:ilvl w:val="12"/>
          <w:numId w:val="0"/>
        </w:numPr>
        <w:tabs>
          <w:tab w:val="left" w:pos="-2268"/>
        </w:tabs>
        <w:suppressAutoHyphens/>
        <w:rPr>
          <w:spacing w:val="-3"/>
        </w:rPr>
      </w:pPr>
    </w:p>
    <w:p w14:paraId="4406D42F" w14:textId="4EE9A5B4" w:rsidR="00F160F6" w:rsidRPr="00BD1319" w:rsidRDefault="0062694C">
      <w:pPr>
        <w:numPr>
          <w:ilvl w:val="12"/>
          <w:numId w:val="0"/>
        </w:numPr>
        <w:tabs>
          <w:tab w:val="left" w:pos="-2268"/>
        </w:tabs>
        <w:suppressAutoHyphens/>
        <w:rPr>
          <w:spacing w:val="-3"/>
        </w:rPr>
      </w:pPr>
      <w:r w:rsidRPr="00BD1319">
        <w:rPr>
          <w:spacing w:val="-3"/>
        </w:rPr>
        <w:t>A</w:t>
      </w:r>
      <w:r w:rsidR="00F74B4C" w:rsidRPr="00BD1319">
        <w:rPr>
          <w:spacing w:val="-3"/>
        </w:rPr>
        <w:t>dicionalmente, para formula</w:t>
      </w:r>
      <w:r w:rsidR="00DA54FC" w:rsidRPr="00BD1319">
        <w:rPr>
          <w:spacing w:val="-3"/>
        </w:rPr>
        <w:t xml:space="preserve">r </w:t>
      </w:r>
      <w:r w:rsidR="00F74B4C" w:rsidRPr="00BD1319">
        <w:rPr>
          <w:spacing w:val="-3"/>
        </w:rPr>
        <w:t xml:space="preserve">las </w:t>
      </w:r>
      <w:r w:rsidR="00F160F6" w:rsidRPr="00BD1319">
        <w:rPr>
          <w:spacing w:val="-3"/>
        </w:rPr>
        <w:t>medidas de manejo</w:t>
      </w:r>
      <w:r w:rsidR="00DA54FC" w:rsidRPr="00BD1319">
        <w:rPr>
          <w:spacing w:val="-3"/>
        </w:rPr>
        <w:t xml:space="preserve"> se debe tener en cuenta</w:t>
      </w:r>
      <w:r w:rsidR="00F160F6" w:rsidRPr="00BD1319">
        <w:rPr>
          <w:spacing w:val="-3"/>
        </w:rPr>
        <w:t xml:space="preserve"> que la duración de</w:t>
      </w:r>
      <w:r w:rsidR="005E1630" w:rsidRPr="00BD1319">
        <w:rPr>
          <w:spacing w:val="-3"/>
        </w:rPr>
        <w:t xml:space="preserve"> un</w:t>
      </w:r>
      <w:r w:rsidR="00F160F6" w:rsidRPr="00BD1319">
        <w:rPr>
          <w:spacing w:val="-3"/>
        </w:rPr>
        <w:t xml:space="preserve"> impacto no necesariamente coincide con la duración del proyecto, obra o actividad</w:t>
      </w:r>
      <w:r w:rsidR="003866E9" w:rsidRPr="00BD1319">
        <w:rPr>
          <w:spacing w:val="-3"/>
        </w:rPr>
        <w:t xml:space="preserve"> </w:t>
      </w:r>
      <w:r w:rsidR="003866E9" w:rsidRPr="00BD1319">
        <w:rPr>
          <w:rFonts w:cs="Arial"/>
          <w:spacing w:val="-3"/>
        </w:rPr>
        <w:t xml:space="preserve">o </w:t>
      </w:r>
      <w:r w:rsidR="001B2A6D" w:rsidRPr="00BD1319">
        <w:rPr>
          <w:rFonts w:cs="Arial"/>
          <w:spacing w:val="-3"/>
        </w:rPr>
        <w:t xml:space="preserve">con </w:t>
      </w:r>
      <w:r w:rsidR="00F74B4C" w:rsidRPr="00BD1319">
        <w:rPr>
          <w:rFonts w:cs="Arial"/>
          <w:spacing w:val="-3"/>
        </w:rPr>
        <w:t xml:space="preserve">la </w:t>
      </w:r>
      <w:r w:rsidR="003866E9" w:rsidRPr="00BD1319">
        <w:rPr>
          <w:rFonts w:cs="Arial"/>
          <w:spacing w:val="-3"/>
        </w:rPr>
        <w:t>de sus fases de ejecución</w:t>
      </w:r>
      <w:r w:rsidR="00F160F6" w:rsidRPr="00BD1319">
        <w:rPr>
          <w:spacing w:val="-3"/>
        </w:rPr>
        <w:t>.</w:t>
      </w:r>
    </w:p>
    <w:p w14:paraId="2FCCAA24" w14:textId="77777777" w:rsidR="003866E9" w:rsidRPr="00BD1319" w:rsidRDefault="003866E9">
      <w:pPr>
        <w:numPr>
          <w:ilvl w:val="12"/>
          <w:numId w:val="0"/>
        </w:numPr>
        <w:tabs>
          <w:tab w:val="left" w:pos="-2268"/>
        </w:tabs>
        <w:suppressAutoHyphens/>
        <w:rPr>
          <w:spacing w:val="-3"/>
        </w:rPr>
      </w:pPr>
    </w:p>
    <w:p w14:paraId="7552F7B9" w14:textId="241077AB" w:rsidR="00287A2E" w:rsidRPr="00BD1319" w:rsidRDefault="00287A2E" w:rsidP="00287A2E">
      <w:pPr>
        <w:numPr>
          <w:ilvl w:val="12"/>
          <w:numId w:val="0"/>
        </w:numPr>
        <w:tabs>
          <w:tab w:val="left" w:pos="-2268"/>
        </w:tabs>
        <w:suppressAutoHyphens/>
        <w:rPr>
          <w:rFonts w:cs="Arial"/>
          <w:spacing w:val="-3"/>
        </w:rPr>
      </w:pPr>
      <w:r w:rsidRPr="00BD1319">
        <w:rPr>
          <w:rFonts w:cs="Arial"/>
          <w:spacing w:val="-3"/>
        </w:rPr>
        <w:t xml:space="preserve">Si bien </w:t>
      </w:r>
      <w:r w:rsidR="005B1924" w:rsidRPr="00BD1319">
        <w:rPr>
          <w:rFonts w:cs="Arial"/>
          <w:spacing w:val="-3"/>
        </w:rPr>
        <w:t xml:space="preserve">en la evaluación ambiental </w:t>
      </w:r>
      <w:r w:rsidR="00DD617C" w:rsidRPr="00BD1319">
        <w:rPr>
          <w:rFonts w:cs="Arial"/>
          <w:spacing w:val="-3"/>
        </w:rPr>
        <w:t xml:space="preserve">no se permite el uso de </w:t>
      </w:r>
      <w:r w:rsidRPr="00BD1319">
        <w:rPr>
          <w:rFonts w:cs="Arial"/>
          <w:spacing w:val="-3"/>
        </w:rPr>
        <w:t xml:space="preserve">ciertos atributos para </w:t>
      </w:r>
      <w:r w:rsidR="005B1924" w:rsidRPr="00BD1319">
        <w:rPr>
          <w:rFonts w:cs="Arial"/>
          <w:spacing w:val="-3"/>
        </w:rPr>
        <w:t xml:space="preserve">determinar </w:t>
      </w:r>
      <w:r w:rsidR="00292F5A" w:rsidRPr="00BD1319">
        <w:rPr>
          <w:rFonts w:cs="Arial"/>
          <w:spacing w:val="-3"/>
        </w:rPr>
        <w:t xml:space="preserve">los </w:t>
      </w:r>
      <w:r w:rsidRPr="00BD1319">
        <w:rPr>
          <w:rFonts w:cs="Arial"/>
          <w:spacing w:val="-3"/>
        </w:rPr>
        <w:t xml:space="preserve">impactos ambientales significativos, tales atributos y sus calificaciones, deben </w:t>
      </w:r>
      <w:r w:rsidR="001B2A6D" w:rsidRPr="00BD1319">
        <w:rPr>
          <w:rFonts w:cs="Arial"/>
          <w:spacing w:val="-3"/>
        </w:rPr>
        <w:t xml:space="preserve">emplearse </w:t>
      </w:r>
      <w:r w:rsidRPr="00BD1319">
        <w:rPr>
          <w:rFonts w:cs="Arial"/>
          <w:spacing w:val="-3"/>
        </w:rPr>
        <w:t>como insumo para la formulación de las medidas de manejo. Por ejemplo, los atributos que señalan el tiempo que tarda en manifestarse el impacto luego de la ejecución de la actividad impactante (</w:t>
      </w:r>
      <w:r w:rsidR="00041844" w:rsidRPr="00BD1319">
        <w:rPr>
          <w:rFonts w:cs="Arial"/>
          <w:spacing w:val="-3"/>
        </w:rPr>
        <w:t>p. ej.</w:t>
      </w:r>
      <w:r w:rsidRPr="00BD1319">
        <w:rPr>
          <w:rFonts w:cs="Arial"/>
          <w:spacing w:val="-3"/>
        </w:rPr>
        <w:t xml:space="preserve"> momento</w:t>
      </w:r>
      <w:r w:rsidR="00026414" w:rsidRPr="00BD1319">
        <w:rPr>
          <w:rFonts w:cs="Arial"/>
          <w:spacing w:val="-3"/>
        </w:rPr>
        <w:t xml:space="preserve"> y</w:t>
      </w:r>
      <w:r w:rsidRPr="00BD1319">
        <w:rPr>
          <w:rFonts w:cs="Arial"/>
          <w:spacing w:val="-3"/>
        </w:rPr>
        <w:t xml:space="preserve"> evolución), deben utilizarse </w:t>
      </w:r>
      <w:r w:rsidR="00026414" w:rsidRPr="00BD1319">
        <w:rPr>
          <w:rFonts w:cs="Arial"/>
          <w:spacing w:val="-3"/>
        </w:rPr>
        <w:t xml:space="preserve">a fin de </w:t>
      </w:r>
      <w:r w:rsidRPr="00BD1319">
        <w:rPr>
          <w:rFonts w:cs="Arial"/>
          <w:spacing w:val="-3"/>
        </w:rPr>
        <w:t xml:space="preserve">establecer el momento más adecuado para aplicar las medidas de manejo; asimismo, los atributos usados para describir la posibilidad de recuperar las condiciones ambientales mediante acciones humanas, deben </w:t>
      </w:r>
      <w:r w:rsidR="00292F5A" w:rsidRPr="00BD1319">
        <w:rPr>
          <w:rFonts w:cs="Arial"/>
          <w:spacing w:val="-3"/>
        </w:rPr>
        <w:t>emplearse</w:t>
      </w:r>
      <w:r w:rsidRPr="00BD1319">
        <w:rPr>
          <w:rFonts w:cs="Arial"/>
          <w:spacing w:val="-3"/>
        </w:rPr>
        <w:t xml:space="preserve"> para identificar los impactos que pueden ser manejados mediante medidas de restauración; y los atributos dirigidos a diferenciar impactos directos e indirectos, deben utilizarse para </w:t>
      </w:r>
      <w:r w:rsidR="001B2A6D" w:rsidRPr="00BD1319">
        <w:rPr>
          <w:rFonts w:cs="Arial"/>
          <w:spacing w:val="-3"/>
        </w:rPr>
        <w:t xml:space="preserve">asegurar </w:t>
      </w:r>
      <w:r w:rsidRPr="00BD1319">
        <w:rPr>
          <w:rFonts w:cs="Arial"/>
          <w:spacing w:val="-3"/>
        </w:rPr>
        <w:t xml:space="preserve">que las medidas incidan en el elemento de la cadena causal que garantice </w:t>
      </w:r>
      <w:r w:rsidR="005C6652" w:rsidRPr="00BD1319">
        <w:rPr>
          <w:rFonts w:cs="Arial"/>
          <w:spacing w:val="-3"/>
        </w:rPr>
        <w:t>la</w:t>
      </w:r>
      <w:r w:rsidRPr="00BD1319">
        <w:rPr>
          <w:rFonts w:cs="Arial"/>
          <w:spacing w:val="-3"/>
        </w:rPr>
        <w:t xml:space="preserve"> mejor </w:t>
      </w:r>
      <w:r w:rsidR="005C6652" w:rsidRPr="00BD1319">
        <w:rPr>
          <w:rFonts w:cs="Arial"/>
          <w:spacing w:val="-3"/>
        </w:rPr>
        <w:t xml:space="preserve">gestión </w:t>
      </w:r>
      <w:r w:rsidRPr="00BD1319">
        <w:rPr>
          <w:rFonts w:cs="Arial"/>
          <w:spacing w:val="-3"/>
        </w:rPr>
        <w:t>de los impactos.</w:t>
      </w:r>
    </w:p>
    <w:p w14:paraId="764478C5" w14:textId="77777777" w:rsidR="00BD3851" w:rsidRPr="00BD1319" w:rsidRDefault="00BD3851">
      <w:pPr>
        <w:numPr>
          <w:ilvl w:val="12"/>
          <w:numId w:val="0"/>
        </w:numPr>
        <w:tabs>
          <w:tab w:val="left" w:pos="-2268"/>
        </w:tabs>
        <w:suppressAutoHyphens/>
        <w:rPr>
          <w:spacing w:val="-3"/>
        </w:rPr>
      </w:pPr>
    </w:p>
    <w:p w14:paraId="391FF7D3" w14:textId="595A9FA3" w:rsidR="00292F5A" w:rsidRPr="00BD1319" w:rsidRDefault="00292F5A">
      <w:pPr>
        <w:numPr>
          <w:ilvl w:val="12"/>
          <w:numId w:val="0"/>
        </w:numPr>
        <w:tabs>
          <w:tab w:val="left" w:pos="-2268"/>
        </w:tabs>
        <w:suppressAutoHyphens/>
        <w:rPr>
          <w:spacing w:val="-3"/>
        </w:rPr>
      </w:pPr>
      <w:r w:rsidRPr="00BD1319">
        <w:rPr>
          <w:rFonts w:cs="Arial"/>
          <w:spacing w:val="-3"/>
        </w:rPr>
        <w:lastRenderedPageBreak/>
        <w:t>En caso de que</w:t>
      </w:r>
      <w:r w:rsidRPr="00BD1319">
        <w:rPr>
          <w:spacing w:val="-3"/>
        </w:rPr>
        <w:t xml:space="preserve"> el </w:t>
      </w:r>
      <w:r w:rsidRPr="00BD1319">
        <w:rPr>
          <w:rFonts w:cs="Arial"/>
          <w:spacing w:val="-3"/>
        </w:rPr>
        <w:t>proyecto</w:t>
      </w:r>
      <w:r w:rsidR="00311679" w:rsidRPr="00BD1319">
        <w:rPr>
          <w:spacing w:val="-3"/>
        </w:rPr>
        <w:t>, obra o actividad</w:t>
      </w:r>
      <w:r w:rsidRPr="00BD1319">
        <w:rPr>
          <w:rFonts w:cs="Arial"/>
          <w:spacing w:val="-3"/>
        </w:rPr>
        <w:t xml:space="preserve"> haya sido objeto del proceso de consulta previa, la formulación del </w:t>
      </w:r>
      <w:r w:rsidR="00026414" w:rsidRPr="00BD1319">
        <w:rPr>
          <w:spacing w:val="-3"/>
        </w:rPr>
        <w:t xml:space="preserve">plan </w:t>
      </w:r>
      <w:r w:rsidRPr="00BD1319">
        <w:rPr>
          <w:spacing w:val="-3"/>
        </w:rPr>
        <w:t>de manejo ambiental</w:t>
      </w:r>
      <w:r w:rsidRPr="00BD1319">
        <w:rPr>
          <w:rFonts w:cs="Arial"/>
          <w:spacing w:val="-3"/>
        </w:rPr>
        <w:t xml:space="preserve"> debe incluir aquellas</w:t>
      </w:r>
      <w:r w:rsidRPr="00BD1319">
        <w:rPr>
          <w:spacing w:val="-3"/>
        </w:rPr>
        <w:t xml:space="preserve"> medidas de manejo </w:t>
      </w:r>
      <w:r w:rsidR="00824C3B" w:rsidRPr="00BD1319">
        <w:rPr>
          <w:spacing w:val="-3"/>
        </w:rPr>
        <w:t xml:space="preserve">de carácter ambiental </w:t>
      </w:r>
      <w:r w:rsidRPr="00BD1319">
        <w:rPr>
          <w:spacing w:val="-3"/>
        </w:rPr>
        <w:t xml:space="preserve">acordadas en </w:t>
      </w:r>
      <w:r w:rsidR="00824C3B" w:rsidRPr="00BD1319">
        <w:rPr>
          <w:spacing w:val="-3"/>
        </w:rPr>
        <w:t xml:space="preserve">dicho </w:t>
      </w:r>
      <w:r w:rsidRPr="00BD1319">
        <w:rPr>
          <w:spacing w:val="-3"/>
        </w:rPr>
        <w:t>proceso.</w:t>
      </w:r>
    </w:p>
    <w:p w14:paraId="1A732CFA" w14:textId="77777777" w:rsidR="00292F5A" w:rsidRPr="00BD1319" w:rsidRDefault="00292F5A">
      <w:pPr>
        <w:numPr>
          <w:ilvl w:val="12"/>
          <w:numId w:val="0"/>
        </w:numPr>
        <w:tabs>
          <w:tab w:val="left" w:pos="-2268"/>
        </w:tabs>
        <w:suppressAutoHyphens/>
        <w:rPr>
          <w:spacing w:val="-3"/>
        </w:rPr>
      </w:pPr>
    </w:p>
    <w:p w14:paraId="2E25C676" w14:textId="2094815D" w:rsidR="006E3AB7" w:rsidRPr="00BD1319" w:rsidRDefault="006E3AB7">
      <w:pPr>
        <w:numPr>
          <w:ilvl w:val="12"/>
          <w:numId w:val="0"/>
        </w:numPr>
        <w:tabs>
          <w:tab w:val="left" w:pos="-2268"/>
        </w:tabs>
        <w:suppressAutoHyphens/>
        <w:rPr>
          <w:spacing w:val="-3"/>
        </w:rPr>
      </w:pPr>
      <w:r w:rsidRPr="00BD1319">
        <w:rPr>
          <w:spacing w:val="-3"/>
        </w:rPr>
        <w:t>Es importante tener en cuenta que la aplicación de algunas medidas de manejo para la gestión de los impactos que el proyecto, obra o actividad genera con el normal desarrollo de sus actividades</w:t>
      </w:r>
      <w:r w:rsidR="005E1630" w:rsidRPr="00BD1319">
        <w:rPr>
          <w:spacing w:val="-3"/>
        </w:rPr>
        <w:t>,</w:t>
      </w:r>
      <w:r w:rsidRPr="00BD1319">
        <w:rPr>
          <w:spacing w:val="-3"/>
        </w:rPr>
        <w:t xml:space="preserve"> puede resultar </w:t>
      </w:r>
      <w:r w:rsidR="008D042C" w:rsidRPr="00BD1319">
        <w:rPr>
          <w:spacing w:val="-3"/>
        </w:rPr>
        <w:t xml:space="preserve">útil </w:t>
      </w:r>
      <w:r w:rsidRPr="00BD1319">
        <w:rPr>
          <w:spacing w:val="-3"/>
        </w:rPr>
        <w:t>para la reducción del riesgo</w:t>
      </w:r>
      <w:r w:rsidR="005E1630" w:rsidRPr="00BD1319">
        <w:rPr>
          <w:spacing w:val="-3"/>
        </w:rPr>
        <w:t>;</w:t>
      </w:r>
      <w:r w:rsidRPr="00BD1319">
        <w:rPr>
          <w:spacing w:val="-3"/>
        </w:rPr>
        <w:t xml:space="preserve"> </w:t>
      </w:r>
      <w:r w:rsidR="005E1630" w:rsidRPr="00BD1319">
        <w:rPr>
          <w:spacing w:val="-3"/>
        </w:rPr>
        <w:t>por ello,</w:t>
      </w:r>
      <w:r w:rsidRPr="00BD1319">
        <w:rPr>
          <w:spacing w:val="-3"/>
        </w:rPr>
        <w:t xml:space="preserve"> es importante articular y armonizar el plan de manejo ambiental con el plan de contingencias, no sólo </w:t>
      </w:r>
      <w:r w:rsidR="008D042C" w:rsidRPr="00BD1319">
        <w:rPr>
          <w:spacing w:val="-3"/>
        </w:rPr>
        <w:t xml:space="preserve">con el fin </w:t>
      </w:r>
      <w:r w:rsidRPr="00BD1319">
        <w:rPr>
          <w:spacing w:val="-3"/>
        </w:rPr>
        <w:t xml:space="preserve">de manejar los impactos del proyecto </w:t>
      </w:r>
      <w:r w:rsidR="008D042C" w:rsidRPr="00BD1319">
        <w:rPr>
          <w:spacing w:val="-3"/>
        </w:rPr>
        <w:t xml:space="preserve">y de mitigar y prevenir el riesgo </w:t>
      </w:r>
      <w:r w:rsidRPr="00BD1319">
        <w:rPr>
          <w:spacing w:val="-3"/>
        </w:rPr>
        <w:t xml:space="preserve">de forma eficaz, sino también, de </w:t>
      </w:r>
      <w:r w:rsidR="008D042C" w:rsidRPr="00BD1319">
        <w:rPr>
          <w:spacing w:val="-3"/>
        </w:rPr>
        <w:t xml:space="preserve">ejecutar </w:t>
      </w:r>
      <w:r w:rsidRPr="00BD1319">
        <w:rPr>
          <w:spacing w:val="-3"/>
        </w:rPr>
        <w:t>eficien</w:t>
      </w:r>
      <w:r w:rsidR="008D042C" w:rsidRPr="00BD1319">
        <w:rPr>
          <w:spacing w:val="-3"/>
        </w:rPr>
        <w:t xml:space="preserve">temente </w:t>
      </w:r>
      <w:r w:rsidRPr="00BD1319">
        <w:rPr>
          <w:spacing w:val="-3"/>
        </w:rPr>
        <w:t>ambos planes.</w:t>
      </w:r>
    </w:p>
    <w:p w14:paraId="7A3B7295" w14:textId="77777777" w:rsidR="006E3AB7" w:rsidRPr="00BD1319" w:rsidRDefault="006E3AB7">
      <w:pPr>
        <w:numPr>
          <w:ilvl w:val="12"/>
          <w:numId w:val="0"/>
        </w:numPr>
        <w:tabs>
          <w:tab w:val="left" w:pos="-2268"/>
        </w:tabs>
        <w:suppressAutoHyphens/>
        <w:rPr>
          <w:spacing w:val="-3"/>
        </w:rPr>
      </w:pPr>
    </w:p>
    <w:p w14:paraId="205ACE4F" w14:textId="0BB5E60A" w:rsidR="007C5A37" w:rsidRPr="00BD1319" w:rsidRDefault="00A21A8C">
      <w:pPr>
        <w:numPr>
          <w:ilvl w:val="12"/>
          <w:numId w:val="0"/>
        </w:numPr>
        <w:tabs>
          <w:tab w:val="left" w:pos="-2268"/>
        </w:tabs>
        <w:suppressAutoHyphens/>
        <w:rPr>
          <w:spacing w:val="-3"/>
          <w:lang w:val="es-ES"/>
        </w:rPr>
      </w:pPr>
      <w:r w:rsidRPr="00BD1319">
        <w:rPr>
          <w:spacing w:val="-3"/>
        </w:rPr>
        <w:t>De ser posible, l</w:t>
      </w:r>
      <w:r w:rsidR="00EF16F9" w:rsidRPr="00BD1319">
        <w:rPr>
          <w:spacing w:val="-3"/>
        </w:rPr>
        <w:t xml:space="preserve">as medidas de manejo de impactos deben </w:t>
      </w:r>
      <w:r w:rsidRPr="00BD1319">
        <w:rPr>
          <w:spacing w:val="-3"/>
        </w:rPr>
        <w:t xml:space="preserve">ser </w:t>
      </w:r>
      <w:r w:rsidR="00EF16F9" w:rsidRPr="00BD1319">
        <w:rPr>
          <w:spacing w:val="-3"/>
        </w:rPr>
        <w:t>formula</w:t>
      </w:r>
      <w:r w:rsidRPr="00BD1319">
        <w:rPr>
          <w:spacing w:val="-3"/>
        </w:rPr>
        <w:t>das</w:t>
      </w:r>
      <w:r w:rsidR="00EF16F9" w:rsidRPr="00BD1319">
        <w:rPr>
          <w:spacing w:val="-3"/>
        </w:rPr>
        <w:t xml:space="preserve"> </w:t>
      </w:r>
      <w:r w:rsidRPr="00BD1319">
        <w:rPr>
          <w:spacing w:val="-3"/>
        </w:rPr>
        <w:t xml:space="preserve">procurando </w:t>
      </w:r>
      <w:r w:rsidR="00EF16F9" w:rsidRPr="00BD1319">
        <w:rPr>
          <w:spacing w:val="-3"/>
        </w:rPr>
        <w:t>que además de evitar, mitigar, corregir o compensar los impactos ambientales, mitiguen la emisión de GEI</w:t>
      </w:r>
      <w:r w:rsidR="00713668" w:rsidRPr="00BD1319">
        <w:rPr>
          <w:rStyle w:val="Refdenotaalpie"/>
        </w:rPr>
        <w:footnoteReference w:id="212"/>
      </w:r>
      <w:r w:rsidR="00EF16F9" w:rsidRPr="00BD1319">
        <w:rPr>
          <w:spacing w:val="-3"/>
        </w:rPr>
        <w:t xml:space="preserve"> y adapten el proyecto y los elementos del ambiente que éste impacta al cambio climático</w:t>
      </w:r>
      <w:r w:rsidR="00EF16F9" w:rsidRPr="00BD1319">
        <w:rPr>
          <w:rStyle w:val="Refdenotaalpie"/>
        </w:rPr>
        <w:footnoteReference w:id="213"/>
      </w:r>
      <w:r w:rsidRPr="00BD1319">
        <w:rPr>
          <w:spacing w:val="-3"/>
        </w:rPr>
        <w:t xml:space="preserve">, </w:t>
      </w:r>
      <w:r w:rsidRPr="00BD1319">
        <w:rPr>
          <w:lang w:val="es-ES_tradnl"/>
        </w:rPr>
        <w:t xml:space="preserve">es decir, </w:t>
      </w:r>
      <w:r w:rsidR="00713668" w:rsidRPr="00BD1319">
        <w:rPr>
          <w:lang w:val="es-ES_tradnl"/>
        </w:rPr>
        <w:t xml:space="preserve">se debe buscar que las medidas también </w:t>
      </w:r>
      <w:r w:rsidR="000D6EE6" w:rsidRPr="00BD1319">
        <w:rPr>
          <w:lang w:val="es-ES"/>
        </w:rPr>
        <w:t>redu</w:t>
      </w:r>
      <w:r w:rsidRPr="00BD1319">
        <w:rPr>
          <w:lang w:val="es-ES"/>
        </w:rPr>
        <w:t xml:space="preserve">zcan </w:t>
      </w:r>
      <w:r w:rsidR="000D6EE6" w:rsidRPr="00BD1319">
        <w:rPr>
          <w:lang w:val="es-ES"/>
        </w:rPr>
        <w:t xml:space="preserve">las emisiones netas a la atmósfera de </w:t>
      </w:r>
      <w:r w:rsidRPr="00BD1319">
        <w:rPr>
          <w:lang w:val="es-ES"/>
        </w:rPr>
        <w:t xml:space="preserve">GEI y </w:t>
      </w:r>
      <w:r w:rsidR="000D6EE6" w:rsidRPr="00BD1319">
        <w:rPr>
          <w:lang w:val="es-ES"/>
        </w:rPr>
        <w:t>limit</w:t>
      </w:r>
      <w:r w:rsidRPr="00BD1319">
        <w:rPr>
          <w:lang w:val="es-ES"/>
        </w:rPr>
        <w:t xml:space="preserve">en </w:t>
      </w:r>
      <w:r w:rsidR="000D6EE6" w:rsidRPr="00BD1319">
        <w:rPr>
          <w:lang w:val="es-ES"/>
        </w:rPr>
        <w:t>los riesgos derivados del cambio del clima</w:t>
      </w:r>
      <w:r w:rsidRPr="00BD1319">
        <w:rPr>
          <w:lang w:val="es-ES"/>
        </w:rPr>
        <w:t xml:space="preserve"> (</w:t>
      </w:r>
      <w:r w:rsidR="000D6EE6" w:rsidRPr="00BD1319">
        <w:rPr>
          <w:lang w:val="es-ES"/>
        </w:rPr>
        <w:t xml:space="preserve">reduciendo </w:t>
      </w:r>
      <w:r w:rsidRPr="00BD1319">
        <w:rPr>
          <w:lang w:val="es-ES"/>
        </w:rPr>
        <w:t xml:space="preserve">la </w:t>
      </w:r>
      <w:r w:rsidR="000D6EE6" w:rsidRPr="00BD1319">
        <w:rPr>
          <w:lang w:val="es-ES"/>
        </w:rPr>
        <w:t>vulnerabilidad</w:t>
      </w:r>
      <w:r w:rsidRPr="00BD1319">
        <w:rPr>
          <w:lang w:val="es-ES"/>
        </w:rPr>
        <w:t xml:space="preserve"> y la exposición de elementos</w:t>
      </w:r>
      <w:r w:rsidR="006471F0" w:rsidRPr="00BD1319">
        <w:rPr>
          <w:lang w:val="es-ES"/>
        </w:rPr>
        <w:t xml:space="preserve"> según los resultados de aplicar los lineamientos del numeral</w:t>
      </w:r>
      <w:r w:rsidR="008815E5" w:rsidRPr="00BD1319">
        <w:rPr>
          <w:lang w:val="es-ES"/>
        </w:rPr>
        <w:t xml:space="preserve"> </w:t>
      </w:r>
      <w:r w:rsidR="001943B1" w:rsidRPr="00BD1319">
        <w:rPr>
          <w:lang w:val="es-ES"/>
        </w:rPr>
        <w:fldChar w:fldCharType="begin"/>
      </w:r>
      <w:r w:rsidR="001943B1" w:rsidRPr="00BD1319">
        <w:rPr>
          <w:lang w:val="es-ES"/>
        </w:rPr>
        <w:instrText xml:space="preserve"> REF _Ref175323999 \r \h </w:instrText>
      </w:r>
      <w:r w:rsidR="00BD1319">
        <w:rPr>
          <w:lang w:val="es-ES"/>
        </w:rPr>
        <w:instrText xml:space="preserve"> \* MERGEFORMAT </w:instrText>
      </w:r>
      <w:r w:rsidR="001943B1" w:rsidRPr="00BD1319">
        <w:rPr>
          <w:lang w:val="es-ES"/>
        </w:rPr>
      </w:r>
      <w:r w:rsidR="001943B1" w:rsidRPr="00BD1319">
        <w:rPr>
          <w:lang w:val="es-ES"/>
        </w:rPr>
        <w:fldChar w:fldCharType="separate"/>
      </w:r>
      <w:r w:rsidR="00296654" w:rsidRPr="00BD1319">
        <w:rPr>
          <w:lang w:val="es-ES"/>
        </w:rPr>
        <w:t>10.7.2.2</w:t>
      </w:r>
      <w:r w:rsidR="001943B1" w:rsidRPr="00BD1319">
        <w:rPr>
          <w:lang w:val="es-ES"/>
        </w:rPr>
        <w:fldChar w:fldCharType="end"/>
      </w:r>
      <w:r w:rsidRPr="00BD1319">
        <w:rPr>
          <w:lang w:val="es-ES"/>
        </w:rPr>
        <w:t>), respectivamente.</w:t>
      </w:r>
      <w:r w:rsidR="007C5A37" w:rsidRPr="00BD1319">
        <w:rPr>
          <w:lang w:val="es-ES"/>
        </w:rPr>
        <w:t xml:space="preserve"> </w:t>
      </w:r>
      <w:r w:rsidRPr="00BD1319">
        <w:rPr>
          <w:spacing w:val="-3"/>
          <w:lang w:val="es-ES"/>
        </w:rPr>
        <w:t xml:space="preserve">En cualquier caso, es necesario identificar qué medidas de manejo de impactos son </w:t>
      </w:r>
      <w:r w:rsidR="00A5207B" w:rsidRPr="00BD1319">
        <w:rPr>
          <w:spacing w:val="-3"/>
          <w:lang w:val="es-ES"/>
        </w:rPr>
        <w:t xml:space="preserve">también </w:t>
      </w:r>
      <w:r w:rsidRPr="00BD1319">
        <w:rPr>
          <w:spacing w:val="-3"/>
          <w:lang w:val="es-ES"/>
        </w:rPr>
        <w:t>medidas de mitigación de GEI o de adaptación al cambio climático</w:t>
      </w:r>
      <w:r w:rsidR="007C5A37" w:rsidRPr="00BD1319">
        <w:rPr>
          <w:spacing w:val="-3"/>
          <w:lang w:val="es-ES"/>
        </w:rPr>
        <w:t xml:space="preserve"> y para ello, </w:t>
      </w:r>
      <w:r w:rsidR="00D556A2" w:rsidRPr="00BD1319">
        <w:rPr>
          <w:spacing w:val="-3"/>
          <w:lang w:val="es-ES"/>
        </w:rPr>
        <w:t xml:space="preserve">es </w:t>
      </w:r>
      <w:r w:rsidR="007C5A37" w:rsidRPr="00BD1319">
        <w:rPr>
          <w:spacing w:val="-3"/>
          <w:lang w:val="es-ES"/>
        </w:rPr>
        <w:t>neces</w:t>
      </w:r>
      <w:r w:rsidR="00D556A2" w:rsidRPr="00BD1319">
        <w:rPr>
          <w:spacing w:val="-3"/>
          <w:lang w:val="es-ES"/>
        </w:rPr>
        <w:t xml:space="preserve">ario </w:t>
      </w:r>
      <w:r w:rsidR="007C5A37" w:rsidRPr="00BD1319">
        <w:rPr>
          <w:spacing w:val="-3"/>
          <w:lang w:val="es-ES"/>
        </w:rPr>
        <w:t>suministrar información complementaria en el plan de manejo ambiental</w:t>
      </w:r>
      <w:r w:rsidRPr="00BD1319">
        <w:rPr>
          <w:spacing w:val="-3"/>
          <w:lang w:val="es-ES"/>
        </w:rPr>
        <w:t>.</w:t>
      </w:r>
    </w:p>
    <w:p w14:paraId="0D102D95" w14:textId="77777777" w:rsidR="00707832" w:rsidRPr="00BD1319" w:rsidRDefault="00707832">
      <w:pPr>
        <w:numPr>
          <w:ilvl w:val="12"/>
          <w:numId w:val="0"/>
        </w:numPr>
        <w:tabs>
          <w:tab w:val="left" w:pos="-2268"/>
        </w:tabs>
        <w:suppressAutoHyphens/>
        <w:rPr>
          <w:spacing w:val="-3"/>
          <w:lang w:val="es-ES"/>
        </w:rPr>
      </w:pPr>
    </w:p>
    <w:p w14:paraId="1AC2628A" w14:textId="1DBE8D37" w:rsidR="00BD3851" w:rsidRPr="00BD1319" w:rsidRDefault="00F90622" w:rsidP="00BD3851">
      <w:pPr>
        <w:tabs>
          <w:tab w:val="left" w:pos="-2268"/>
        </w:tabs>
        <w:suppressAutoHyphens/>
        <w:rPr>
          <w:spacing w:val="-3"/>
        </w:rPr>
      </w:pPr>
      <w:r w:rsidRPr="00BD1319">
        <w:rPr>
          <w:spacing w:val="-3"/>
        </w:rPr>
        <w:t>Asimismo, l</w:t>
      </w:r>
      <w:r w:rsidR="00BD3851" w:rsidRPr="00BD1319">
        <w:rPr>
          <w:spacing w:val="-3"/>
        </w:rPr>
        <w:t xml:space="preserve">as medidas de manejo deben formularse teniendo en cuenta que es posible que </w:t>
      </w:r>
      <w:r w:rsidR="009658F3" w:rsidRPr="00BD1319">
        <w:rPr>
          <w:spacing w:val="-3"/>
        </w:rPr>
        <w:t xml:space="preserve">en el futuro </w:t>
      </w:r>
      <w:r w:rsidR="00BD3851" w:rsidRPr="00BD1319">
        <w:rPr>
          <w:spacing w:val="-3"/>
        </w:rPr>
        <w:t>las actividades económicas</w:t>
      </w:r>
      <w:r w:rsidR="009658F3" w:rsidRPr="00BD1319">
        <w:rPr>
          <w:spacing w:val="-3"/>
        </w:rPr>
        <w:t xml:space="preserve"> y </w:t>
      </w:r>
      <w:r w:rsidR="002C7723" w:rsidRPr="00BD1319">
        <w:rPr>
          <w:spacing w:val="-3"/>
        </w:rPr>
        <w:t>los</w:t>
      </w:r>
      <w:r w:rsidR="00BD3851" w:rsidRPr="00BD1319">
        <w:rPr>
          <w:spacing w:val="-3"/>
        </w:rPr>
        <w:t xml:space="preserve"> proyectos con licencia ambiental que se ejecutan en el área de influencia induzcan cambios en las condiciones del área de influencia que</w:t>
      </w:r>
      <w:r w:rsidR="009658F3" w:rsidRPr="00BD1319">
        <w:rPr>
          <w:spacing w:val="-3"/>
        </w:rPr>
        <w:t>,</w:t>
      </w:r>
      <w:r w:rsidR="00BD3851" w:rsidRPr="00BD1319">
        <w:rPr>
          <w:spacing w:val="-3"/>
        </w:rPr>
        <w:t xml:space="preserve"> </w:t>
      </w:r>
      <w:r w:rsidR="00F07766" w:rsidRPr="00BD1319">
        <w:rPr>
          <w:spacing w:val="-3"/>
        </w:rPr>
        <w:t>a su vez</w:t>
      </w:r>
      <w:r w:rsidR="009658F3" w:rsidRPr="00BD1319">
        <w:rPr>
          <w:spacing w:val="-3"/>
        </w:rPr>
        <w:t>,</w:t>
      </w:r>
      <w:r w:rsidR="00F07766" w:rsidRPr="00BD1319">
        <w:rPr>
          <w:spacing w:val="-3"/>
        </w:rPr>
        <w:t xml:space="preserve"> </w:t>
      </w:r>
      <w:r w:rsidR="00BD3851" w:rsidRPr="00BD1319">
        <w:rPr>
          <w:spacing w:val="-3"/>
        </w:rPr>
        <w:t>exacerb</w:t>
      </w:r>
      <w:r w:rsidR="00F07766" w:rsidRPr="00BD1319">
        <w:rPr>
          <w:spacing w:val="-3"/>
        </w:rPr>
        <w:t>en</w:t>
      </w:r>
      <w:r w:rsidR="00BD3851" w:rsidRPr="00BD1319">
        <w:rPr>
          <w:spacing w:val="-3"/>
        </w:rPr>
        <w:t xml:space="preserve"> los impactos que </w:t>
      </w:r>
      <w:r w:rsidR="009658F3" w:rsidRPr="00BD1319">
        <w:rPr>
          <w:spacing w:val="-3"/>
        </w:rPr>
        <w:t xml:space="preserve">puede </w:t>
      </w:r>
      <w:r w:rsidR="00BD3851" w:rsidRPr="00BD1319">
        <w:rPr>
          <w:spacing w:val="-3"/>
        </w:rPr>
        <w:t>genera</w:t>
      </w:r>
      <w:r w:rsidR="009658F3" w:rsidRPr="00BD1319">
        <w:rPr>
          <w:spacing w:val="-3"/>
        </w:rPr>
        <w:t>r</w:t>
      </w:r>
      <w:r w:rsidR="00BD3851" w:rsidRPr="00BD1319">
        <w:rPr>
          <w:spacing w:val="-3"/>
        </w:rPr>
        <w:t xml:space="preserve"> el proyecto objeto de evaluación, incluso los residuales que </w:t>
      </w:r>
      <w:r w:rsidR="009658F3" w:rsidRPr="00BD1319">
        <w:rPr>
          <w:spacing w:val="-3"/>
        </w:rPr>
        <w:t xml:space="preserve">tienen la capacidad de </w:t>
      </w:r>
      <w:r w:rsidR="00BD3851" w:rsidRPr="00BD1319">
        <w:rPr>
          <w:spacing w:val="-3"/>
        </w:rPr>
        <w:t xml:space="preserve">acumularse o </w:t>
      </w:r>
      <w:r w:rsidR="009658F3" w:rsidRPr="00BD1319">
        <w:rPr>
          <w:spacing w:val="-3"/>
        </w:rPr>
        <w:t xml:space="preserve">de </w:t>
      </w:r>
      <w:r w:rsidR="00BD3851" w:rsidRPr="00BD1319">
        <w:rPr>
          <w:spacing w:val="-3"/>
        </w:rPr>
        <w:t>desencadenar procesos sinérgicos</w:t>
      </w:r>
      <w:bookmarkStart w:id="11037" w:name="_Hlk137123615"/>
      <w:r w:rsidR="00BD3851" w:rsidRPr="00BD1319">
        <w:rPr>
          <w:spacing w:val="-3"/>
        </w:rPr>
        <w:t>.</w:t>
      </w:r>
      <w:bookmarkEnd w:id="11037"/>
    </w:p>
    <w:p w14:paraId="2E4B1995" w14:textId="77777777" w:rsidR="00BD3851" w:rsidRPr="00BD1319" w:rsidRDefault="00BD3851" w:rsidP="00BD3851">
      <w:pPr>
        <w:numPr>
          <w:ilvl w:val="12"/>
          <w:numId w:val="0"/>
        </w:numPr>
        <w:tabs>
          <w:tab w:val="left" w:pos="-2268"/>
        </w:tabs>
        <w:suppressAutoHyphens/>
        <w:rPr>
          <w:spacing w:val="-3"/>
        </w:rPr>
      </w:pPr>
    </w:p>
    <w:p w14:paraId="2B5FA3F3" w14:textId="323C437C" w:rsidR="002C7723" w:rsidRPr="00BD1319" w:rsidRDefault="00E70D04" w:rsidP="002C7723">
      <w:pPr>
        <w:numPr>
          <w:ilvl w:val="12"/>
          <w:numId w:val="0"/>
        </w:numPr>
        <w:tabs>
          <w:tab w:val="left" w:pos="-2268"/>
        </w:tabs>
        <w:suppressAutoHyphens/>
        <w:rPr>
          <w:spacing w:val="-3"/>
        </w:rPr>
      </w:pPr>
      <w:r w:rsidRPr="00BD1319">
        <w:rPr>
          <w:spacing w:val="-3"/>
        </w:rPr>
        <w:t xml:space="preserve">Es fundamental que las </w:t>
      </w:r>
      <w:r w:rsidR="002C7723" w:rsidRPr="00BD1319">
        <w:rPr>
          <w:spacing w:val="-3"/>
        </w:rPr>
        <w:t xml:space="preserve">medidas </w:t>
      </w:r>
      <w:r w:rsidRPr="00BD1319">
        <w:rPr>
          <w:spacing w:val="-3"/>
        </w:rPr>
        <w:t xml:space="preserve">de </w:t>
      </w:r>
      <w:r w:rsidR="002C7723" w:rsidRPr="00BD1319">
        <w:rPr>
          <w:spacing w:val="-3"/>
        </w:rPr>
        <w:t>compensa</w:t>
      </w:r>
      <w:r w:rsidRPr="00BD1319">
        <w:rPr>
          <w:spacing w:val="-3"/>
        </w:rPr>
        <w:t>ción se formulen de manera tal</w:t>
      </w:r>
      <w:r w:rsidR="009658F3" w:rsidRPr="00BD1319">
        <w:rPr>
          <w:spacing w:val="-3"/>
        </w:rPr>
        <w:t>,</w:t>
      </w:r>
      <w:r w:rsidRPr="00BD1319">
        <w:rPr>
          <w:spacing w:val="-3"/>
        </w:rPr>
        <w:t xml:space="preserve"> que generen aportes sustanciales </w:t>
      </w:r>
      <w:r w:rsidR="002C7723" w:rsidRPr="00BD1319">
        <w:rPr>
          <w:spacing w:val="-3"/>
        </w:rPr>
        <w:t xml:space="preserve">a </w:t>
      </w:r>
      <w:r w:rsidRPr="00BD1319">
        <w:rPr>
          <w:spacing w:val="-3"/>
        </w:rPr>
        <w:t xml:space="preserve">los </w:t>
      </w:r>
      <w:r w:rsidR="002C7723" w:rsidRPr="00BD1319">
        <w:rPr>
          <w:spacing w:val="-3"/>
        </w:rPr>
        <w:t xml:space="preserve">objetivos programáticos </w:t>
      </w:r>
      <w:r w:rsidRPr="00BD1319">
        <w:rPr>
          <w:spacing w:val="-3"/>
        </w:rPr>
        <w:t xml:space="preserve">establecidos por las </w:t>
      </w:r>
      <w:r w:rsidR="002C7723" w:rsidRPr="00BD1319">
        <w:rPr>
          <w:spacing w:val="-3"/>
        </w:rPr>
        <w:t>comunidad</w:t>
      </w:r>
      <w:r w:rsidRPr="00BD1319">
        <w:rPr>
          <w:spacing w:val="-3"/>
        </w:rPr>
        <w:t>es impactadas,</w:t>
      </w:r>
      <w:r w:rsidR="002C7723" w:rsidRPr="00BD1319">
        <w:rPr>
          <w:spacing w:val="-3"/>
        </w:rPr>
        <w:t xml:space="preserve"> que refuercen las acciones prioritarias </w:t>
      </w:r>
      <w:r w:rsidRPr="00BD1319">
        <w:rPr>
          <w:spacing w:val="-3"/>
        </w:rPr>
        <w:t xml:space="preserve">fijadas por dichas </w:t>
      </w:r>
      <w:r w:rsidR="002C7723" w:rsidRPr="00BD1319">
        <w:rPr>
          <w:spacing w:val="-3"/>
        </w:rPr>
        <w:t>comunidad</w:t>
      </w:r>
      <w:r w:rsidRPr="00BD1319">
        <w:rPr>
          <w:spacing w:val="-3"/>
        </w:rPr>
        <w:t>es</w:t>
      </w:r>
      <w:r w:rsidR="002C7723" w:rsidRPr="00BD1319">
        <w:rPr>
          <w:spacing w:val="-3"/>
        </w:rPr>
        <w:t xml:space="preserve"> o </w:t>
      </w:r>
      <w:r w:rsidRPr="00BD1319">
        <w:rPr>
          <w:spacing w:val="-3"/>
        </w:rPr>
        <w:t xml:space="preserve">bien, </w:t>
      </w:r>
      <w:r w:rsidR="002C7723" w:rsidRPr="00BD1319">
        <w:rPr>
          <w:spacing w:val="-3"/>
        </w:rPr>
        <w:t xml:space="preserve">que </w:t>
      </w:r>
      <w:r w:rsidRPr="00BD1319">
        <w:rPr>
          <w:spacing w:val="-3"/>
        </w:rPr>
        <w:t xml:space="preserve">dinamicen o posibiliten </w:t>
      </w:r>
      <w:r w:rsidR="002C7723" w:rsidRPr="00BD1319">
        <w:rPr>
          <w:spacing w:val="-3"/>
        </w:rPr>
        <w:t>construir</w:t>
      </w:r>
      <w:r w:rsidRPr="00BD1319">
        <w:rPr>
          <w:spacing w:val="-3"/>
        </w:rPr>
        <w:t xml:space="preserve"> tales objetivos o prioridades en caso de que no </w:t>
      </w:r>
      <w:r w:rsidR="00415D30" w:rsidRPr="00BD1319">
        <w:rPr>
          <w:spacing w:val="-3"/>
        </w:rPr>
        <w:t xml:space="preserve">hayan sido </w:t>
      </w:r>
      <w:r w:rsidRPr="00BD1319">
        <w:rPr>
          <w:spacing w:val="-3"/>
        </w:rPr>
        <w:t>definid</w:t>
      </w:r>
      <w:r w:rsidR="00415D30" w:rsidRPr="00BD1319">
        <w:rPr>
          <w:spacing w:val="-3"/>
        </w:rPr>
        <w:t>as</w:t>
      </w:r>
      <w:r w:rsidR="002C7723" w:rsidRPr="00BD1319">
        <w:rPr>
          <w:spacing w:val="-3"/>
        </w:rPr>
        <w:t xml:space="preserve">. </w:t>
      </w:r>
      <w:r w:rsidRPr="00BD1319">
        <w:rPr>
          <w:spacing w:val="-3"/>
        </w:rPr>
        <w:t xml:space="preserve">En este sentido, </w:t>
      </w:r>
      <w:r w:rsidR="002C7723" w:rsidRPr="00BD1319">
        <w:rPr>
          <w:spacing w:val="-3"/>
        </w:rPr>
        <w:t>es necesario consultar a la</w:t>
      </w:r>
      <w:r w:rsidRPr="00BD1319">
        <w:rPr>
          <w:spacing w:val="-3"/>
        </w:rPr>
        <w:t>s</w:t>
      </w:r>
      <w:r w:rsidR="002C7723" w:rsidRPr="00BD1319">
        <w:rPr>
          <w:spacing w:val="-3"/>
        </w:rPr>
        <w:t xml:space="preserve"> comunidad</w:t>
      </w:r>
      <w:r w:rsidRPr="00BD1319">
        <w:rPr>
          <w:spacing w:val="-3"/>
        </w:rPr>
        <w:t>es</w:t>
      </w:r>
      <w:r w:rsidR="002C7723" w:rsidRPr="00BD1319">
        <w:rPr>
          <w:spacing w:val="-3"/>
        </w:rPr>
        <w:t xml:space="preserve"> sobre </w:t>
      </w:r>
      <w:r w:rsidRPr="00BD1319">
        <w:rPr>
          <w:spacing w:val="-3"/>
        </w:rPr>
        <w:t>sus objetivos, prioridades o necesidades de planeación</w:t>
      </w:r>
      <w:r w:rsidR="002C7723" w:rsidRPr="00BD1319">
        <w:rPr>
          <w:spacing w:val="-3"/>
        </w:rPr>
        <w:t>.</w:t>
      </w:r>
    </w:p>
    <w:p w14:paraId="7A95ADA2" w14:textId="77777777" w:rsidR="00451C91" w:rsidRPr="00BD1319" w:rsidRDefault="00451C91" w:rsidP="002C7723">
      <w:pPr>
        <w:numPr>
          <w:ilvl w:val="12"/>
          <w:numId w:val="0"/>
        </w:numPr>
        <w:tabs>
          <w:tab w:val="left" w:pos="-2268"/>
        </w:tabs>
        <w:suppressAutoHyphens/>
        <w:rPr>
          <w:spacing w:val="-3"/>
        </w:rPr>
      </w:pPr>
    </w:p>
    <w:p w14:paraId="168678BC" w14:textId="602894E3" w:rsidR="00451C91" w:rsidRPr="00BD1319" w:rsidRDefault="00451C91" w:rsidP="002C7723">
      <w:pPr>
        <w:numPr>
          <w:ilvl w:val="12"/>
          <w:numId w:val="0"/>
        </w:numPr>
        <w:tabs>
          <w:tab w:val="left" w:pos="-2268"/>
        </w:tabs>
        <w:suppressAutoHyphens/>
        <w:rPr>
          <w:spacing w:val="-3"/>
        </w:rPr>
      </w:pPr>
      <w:r w:rsidRPr="00BD1319">
        <w:rPr>
          <w:spacing w:val="-3"/>
        </w:rPr>
        <w:t xml:space="preserve">Si bien las autoridades ambientales no tienen la responsabilidad de aprobar </w:t>
      </w:r>
      <w:r w:rsidR="00EE15EB" w:rsidRPr="00BD1319">
        <w:rPr>
          <w:spacing w:val="-3"/>
        </w:rPr>
        <w:t xml:space="preserve">ni de </w:t>
      </w:r>
      <w:r w:rsidRPr="00BD1319">
        <w:rPr>
          <w:spacing w:val="-3"/>
        </w:rPr>
        <w:t xml:space="preserve">pronunciarse </w:t>
      </w:r>
      <w:r w:rsidR="00EE15EB" w:rsidRPr="00BD1319">
        <w:rPr>
          <w:spacing w:val="-3"/>
        </w:rPr>
        <w:t xml:space="preserve">respecto de </w:t>
      </w:r>
      <w:r w:rsidRPr="00BD1319">
        <w:rPr>
          <w:spacing w:val="-3"/>
        </w:rPr>
        <w:t xml:space="preserve">las medidas </w:t>
      </w:r>
      <w:r w:rsidR="00EE15EB" w:rsidRPr="00BD1319">
        <w:rPr>
          <w:spacing w:val="-3"/>
        </w:rPr>
        <w:t>para el manejo de los impactos a los derechos humanos</w:t>
      </w:r>
      <w:r w:rsidRPr="00BD1319">
        <w:rPr>
          <w:spacing w:val="-3"/>
        </w:rPr>
        <w:t xml:space="preserve">, es necesario </w:t>
      </w:r>
      <w:r w:rsidR="00EE15EB" w:rsidRPr="00BD1319">
        <w:rPr>
          <w:spacing w:val="-3"/>
        </w:rPr>
        <w:t>incorporar dichas medidas al plan de manejo ambiental con el propósito de facilitar la aplicación del principio de debida diligencia en materia de derechos humanos, así como el seguimiento que adelanten las autoridades competentes para ello.</w:t>
      </w:r>
    </w:p>
    <w:p w14:paraId="0A2DBA56" w14:textId="77777777" w:rsidR="002C7723" w:rsidRPr="00BD1319" w:rsidRDefault="002C7723" w:rsidP="00BD3851">
      <w:pPr>
        <w:numPr>
          <w:ilvl w:val="12"/>
          <w:numId w:val="0"/>
        </w:numPr>
        <w:tabs>
          <w:tab w:val="left" w:pos="-2268"/>
        </w:tabs>
        <w:suppressAutoHyphens/>
        <w:rPr>
          <w:spacing w:val="-3"/>
        </w:rPr>
      </w:pPr>
    </w:p>
    <w:p w14:paraId="5E6AA068" w14:textId="4AC19575" w:rsidR="005E1630" w:rsidRPr="00BD1319" w:rsidRDefault="005E1630" w:rsidP="00606CE6">
      <w:r w:rsidRPr="00BD1319">
        <w:t xml:space="preserve">Las </w:t>
      </w:r>
      <w:r w:rsidR="007B31DD" w:rsidRPr="00BD1319">
        <w:t xml:space="preserve">actividades de </w:t>
      </w:r>
      <w:proofErr w:type="spellStart"/>
      <w:r w:rsidR="007E69BA" w:rsidRPr="00BD1319">
        <w:t>ahuyentamiento</w:t>
      </w:r>
      <w:proofErr w:type="spellEnd"/>
      <w:r w:rsidR="007E69BA" w:rsidRPr="00BD1319">
        <w:t xml:space="preserve"> de fauna </w:t>
      </w:r>
      <w:r w:rsidR="001A7EDD" w:rsidRPr="00BD1319">
        <w:t xml:space="preserve">y </w:t>
      </w:r>
      <w:r w:rsidR="007E69BA" w:rsidRPr="00BD1319">
        <w:t xml:space="preserve">rescate, </w:t>
      </w:r>
      <w:r w:rsidR="000A1493" w:rsidRPr="00BD1319">
        <w:t>manipulación</w:t>
      </w:r>
      <w:r w:rsidR="00D86D05" w:rsidRPr="00BD1319">
        <w:t xml:space="preserve"> y reubicación</w:t>
      </w:r>
      <w:r w:rsidR="000A1493" w:rsidRPr="00BD1319">
        <w:t xml:space="preserve"> </w:t>
      </w:r>
      <w:r w:rsidRPr="00BD1319">
        <w:t xml:space="preserve">de </w:t>
      </w:r>
      <w:r w:rsidR="007E69BA" w:rsidRPr="00BD1319">
        <w:t>organismos biológicos</w:t>
      </w:r>
      <w:r w:rsidRPr="00BD1319">
        <w:t xml:space="preserve">, deben ser incorporadas </w:t>
      </w:r>
      <w:r w:rsidR="007B31DD" w:rsidRPr="00BD1319">
        <w:t xml:space="preserve">como medidas de manejo </w:t>
      </w:r>
      <w:r w:rsidRPr="00BD1319">
        <w:t xml:space="preserve">al plan de manejo ambiental, </w:t>
      </w:r>
      <w:r w:rsidR="001A7EDD" w:rsidRPr="00BD1319">
        <w:t>señalando además de los ítems listados más adelante</w:t>
      </w:r>
      <w:r w:rsidR="00D72CFF" w:rsidRPr="00BD1319">
        <w:t xml:space="preserve"> (aplicables a todas las medidas de manejo)</w:t>
      </w:r>
      <w:r w:rsidR="001A7EDD" w:rsidRPr="00BD1319">
        <w:t xml:space="preserve">, </w:t>
      </w:r>
      <w:r w:rsidR="000A1493" w:rsidRPr="00BD1319">
        <w:t xml:space="preserve">los métodos </w:t>
      </w:r>
      <w:r w:rsidR="001A7EDD" w:rsidRPr="00BD1319">
        <w:t>a emplear para la ejecución de cada una de estas acciones, así como los lugares en los que se proyecta reubicar a los organismos</w:t>
      </w:r>
      <w:r w:rsidR="007B31DD" w:rsidRPr="00BD1319">
        <w:t>, en caso de que ello aplique</w:t>
      </w:r>
      <w:r w:rsidR="001A7EDD" w:rsidRPr="00BD1319">
        <w:t>.</w:t>
      </w:r>
    </w:p>
    <w:p w14:paraId="5899DFBD" w14:textId="77777777" w:rsidR="00916A4A" w:rsidRPr="00BD1319" w:rsidRDefault="00916A4A" w:rsidP="00606CE6"/>
    <w:p w14:paraId="2686D5A6" w14:textId="4A331933" w:rsidR="007A3A2E" w:rsidRPr="00BD1319" w:rsidRDefault="00901FC5" w:rsidP="00901FC5">
      <w:r w:rsidRPr="00BD1319">
        <w:t xml:space="preserve">Las </w:t>
      </w:r>
      <w:r w:rsidR="00BD4118" w:rsidRPr="00BD1319">
        <w:t>área</w:t>
      </w:r>
      <w:r w:rsidRPr="00BD1319">
        <w:t>s</w:t>
      </w:r>
      <w:r w:rsidR="00BD4118" w:rsidRPr="00BD1319">
        <w:t xml:space="preserve"> propuesta</w:t>
      </w:r>
      <w:r w:rsidRPr="00BD1319">
        <w:t>s</w:t>
      </w:r>
      <w:r w:rsidR="00BD4118" w:rsidRPr="00BD1319">
        <w:t xml:space="preserve"> para la reubicación</w:t>
      </w:r>
      <w:r w:rsidR="007A3A2E" w:rsidRPr="00BD1319">
        <w:t xml:space="preserve"> </w:t>
      </w:r>
      <w:r w:rsidRPr="00BD1319">
        <w:t xml:space="preserve">de fauna </w:t>
      </w:r>
      <w:r w:rsidR="007A3A2E" w:rsidRPr="00BD1319">
        <w:t>debe</w:t>
      </w:r>
      <w:r w:rsidRPr="00BD1319">
        <w:t>n</w:t>
      </w:r>
      <w:r w:rsidR="007A3A2E" w:rsidRPr="00BD1319">
        <w:t xml:space="preserve"> ser idónea</w:t>
      </w:r>
      <w:r w:rsidRPr="00BD1319">
        <w:t>s</w:t>
      </w:r>
      <w:r w:rsidR="007A3A2E" w:rsidRPr="00BD1319">
        <w:t xml:space="preserve"> en términos de hábitat</w:t>
      </w:r>
      <w:r w:rsidRPr="00BD1319">
        <w:t xml:space="preserve"> y</w:t>
      </w:r>
      <w:r w:rsidR="007A3A2E" w:rsidRPr="00BD1319">
        <w:t xml:space="preserve"> capacidad de recepción de fauna</w:t>
      </w:r>
      <w:r w:rsidR="00C938FB" w:rsidRPr="00BD1319">
        <w:t>,</w:t>
      </w:r>
      <w:r w:rsidR="00BD4118" w:rsidRPr="00BD1319">
        <w:t xml:space="preserve"> </w:t>
      </w:r>
      <w:r w:rsidR="007A3A2E" w:rsidRPr="00BD1319">
        <w:t xml:space="preserve">por </w:t>
      </w:r>
      <w:r w:rsidR="00537D37" w:rsidRPr="00BD1319">
        <w:t xml:space="preserve">ello, </w:t>
      </w:r>
      <w:r w:rsidR="007A3A2E" w:rsidRPr="00BD1319">
        <w:t xml:space="preserve">resulta necesario considerar </w:t>
      </w:r>
      <w:r w:rsidR="00C938FB" w:rsidRPr="00BD1319">
        <w:t xml:space="preserve">las </w:t>
      </w:r>
      <w:r w:rsidR="002B2AB3" w:rsidRPr="00BD1319">
        <w:t xml:space="preserve">siguientes características de tales áreas: i) </w:t>
      </w:r>
      <w:r w:rsidR="00C938FB" w:rsidRPr="00BD1319">
        <w:t xml:space="preserve">condiciones ecológicas y de contexto paisajístico en términos de fragmentación y conectividad, </w:t>
      </w:r>
      <w:proofErr w:type="spellStart"/>
      <w:r w:rsidR="002B2AB3" w:rsidRPr="00BD1319">
        <w:t>ii</w:t>
      </w:r>
      <w:proofErr w:type="spellEnd"/>
      <w:r w:rsidR="002B2AB3" w:rsidRPr="00BD1319">
        <w:t xml:space="preserve">) </w:t>
      </w:r>
      <w:r w:rsidR="007A3A2E" w:rsidRPr="00BD1319">
        <w:t xml:space="preserve">composición florística </w:t>
      </w:r>
      <w:r w:rsidR="00BD4118" w:rsidRPr="00BD1319">
        <w:t xml:space="preserve">y </w:t>
      </w:r>
      <w:r w:rsidR="007A3A2E" w:rsidRPr="00BD1319">
        <w:t xml:space="preserve">de </w:t>
      </w:r>
      <w:r w:rsidR="00BD4118" w:rsidRPr="00BD1319">
        <w:t>fauna</w:t>
      </w:r>
      <w:r w:rsidR="002B2AB3" w:rsidRPr="00BD1319">
        <w:t xml:space="preserve"> y</w:t>
      </w:r>
      <w:r w:rsidR="007A3A2E" w:rsidRPr="00BD1319">
        <w:t xml:space="preserve">, </w:t>
      </w:r>
      <w:proofErr w:type="spellStart"/>
      <w:r w:rsidR="002B2AB3" w:rsidRPr="00BD1319">
        <w:t>iii</w:t>
      </w:r>
      <w:proofErr w:type="spellEnd"/>
      <w:r w:rsidR="002B2AB3" w:rsidRPr="00BD1319">
        <w:t xml:space="preserve">) </w:t>
      </w:r>
      <w:r w:rsidR="00EA16AA" w:rsidRPr="00BD1319">
        <w:t xml:space="preserve">capacidad de movimiento </w:t>
      </w:r>
      <w:r w:rsidR="00C938FB" w:rsidRPr="00BD1319">
        <w:t xml:space="preserve">y </w:t>
      </w:r>
      <w:r w:rsidR="00EA16AA" w:rsidRPr="00BD1319">
        <w:t xml:space="preserve">de </w:t>
      </w:r>
      <w:r w:rsidR="00B22346" w:rsidRPr="00BD1319">
        <w:t xml:space="preserve">generar competencia </w:t>
      </w:r>
      <w:r w:rsidR="002B2AB3" w:rsidRPr="00BD1319">
        <w:t xml:space="preserve">con los individuos que se reubiquen de </w:t>
      </w:r>
      <w:r w:rsidR="00C938FB" w:rsidRPr="00BD1319">
        <w:t xml:space="preserve">la fauna presente </w:t>
      </w:r>
      <w:r w:rsidR="00EC35B9" w:rsidRPr="00BD1319">
        <w:t xml:space="preserve">en ellas </w:t>
      </w:r>
      <w:r w:rsidR="00C938FB" w:rsidRPr="00BD1319">
        <w:t>(</w:t>
      </w:r>
      <w:r w:rsidR="00EC35B9" w:rsidRPr="00BD1319">
        <w:t xml:space="preserve">para determinar esta capacidad </w:t>
      </w:r>
      <w:r w:rsidR="00C938FB" w:rsidRPr="00BD1319">
        <w:t xml:space="preserve">es posible </w:t>
      </w:r>
      <w:r w:rsidR="00EC35B9" w:rsidRPr="00BD1319">
        <w:t xml:space="preserve">limitarse a </w:t>
      </w:r>
      <w:r w:rsidR="00C938FB" w:rsidRPr="00BD1319">
        <w:t xml:space="preserve">especies focales o </w:t>
      </w:r>
      <w:r w:rsidR="00EC35B9" w:rsidRPr="00BD1319">
        <w:t xml:space="preserve">desarrollar </w:t>
      </w:r>
      <w:r w:rsidR="00C938FB" w:rsidRPr="00BD1319">
        <w:t>análisis a nivel de grupo faunístico)</w:t>
      </w:r>
      <w:r w:rsidR="007A3A2E" w:rsidRPr="00BD1319">
        <w:t>.</w:t>
      </w:r>
    </w:p>
    <w:p w14:paraId="7DACDBE9" w14:textId="77777777" w:rsidR="00FE5E43" w:rsidRPr="00BD1319" w:rsidRDefault="00FE5E43" w:rsidP="00606CE6"/>
    <w:p w14:paraId="71FCC3EF" w14:textId="7FCC6BCB" w:rsidR="00D72CFF" w:rsidRPr="00BD1319" w:rsidRDefault="00D72CFF" w:rsidP="00916A4A">
      <w:pPr>
        <w:tabs>
          <w:tab w:val="left" w:pos="-2268"/>
        </w:tabs>
        <w:suppressAutoHyphens/>
      </w:pPr>
      <w:r w:rsidRPr="00BD1319">
        <w:t>L</w:t>
      </w:r>
      <w:r w:rsidR="00916A4A" w:rsidRPr="00BD1319">
        <w:t xml:space="preserve">as medidas de manejo asociadas a las especies de plantas y líquenes en veda deben incluirse </w:t>
      </w:r>
      <w:r w:rsidR="00106DF9" w:rsidRPr="00BD1319">
        <w:t>en e</w:t>
      </w:r>
      <w:r w:rsidR="00916A4A" w:rsidRPr="00BD1319">
        <w:t>l plan de manejo ambiental</w:t>
      </w:r>
      <w:r w:rsidRPr="00BD1319">
        <w:t>,</w:t>
      </w:r>
      <w:r w:rsidR="005A6154" w:rsidRPr="00BD1319">
        <w:t xml:space="preserve"> </w:t>
      </w:r>
      <w:r w:rsidRPr="00BD1319">
        <w:t xml:space="preserve">especificarse mediante los ítems aplicables a todas las medidas de manejo </w:t>
      </w:r>
      <w:r w:rsidR="00916A4A" w:rsidRPr="00BD1319">
        <w:t xml:space="preserve">y </w:t>
      </w:r>
      <w:r w:rsidR="00106DF9" w:rsidRPr="00BD1319">
        <w:t>formula</w:t>
      </w:r>
      <w:r w:rsidRPr="00BD1319">
        <w:t xml:space="preserve">rse </w:t>
      </w:r>
      <w:r w:rsidR="00916A4A" w:rsidRPr="00BD1319">
        <w:t>considera</w:t>
      </w:r>
      <w:r w:rsidRPr="00BD1319">
        <w:t xml:space="preserve">ndo </w:t>
      </w:r>
      <w:r w:rsidR="00916A4A" w:rsidRPr="00BD1319">
        <w:t>los siguientes lineamientos:</w:t>
      </w:r>
    </w:p>
    <w:p w14:paraId="3B7AC41D" w14:textId="77777777" w:rsidR="00916A4A" w:rsidRPr="00BD1319" w:rsidRDefault="00916A4A" w:rsidP="00916A4A"/>
    <w:p w14:paraId="71468955" w14:textId="3C829709" w:rsidR="00CB7C02" w:rsidRPr="00BD1319" w:rsidRDefault="0019214C" w:rsidP="00164679">
      <w:pPr>
        <w:numPr>
          <w:ilvl w:val="0"/>
          <w:numId w:val="19"/>
        </w:numPr>
        <w:tabs>
          <w:tab w:val="left" w:pos="-2268"/>
        </w:tabs>
        <w:suppressAutoHyphens/>
        <w:ind w:left="567" w:hanging="567"/>
        <w:rPr>
          <w:spacing w:val="-3"/>
        </w:rPr>
      </w:pPr>
      <w:r w:rsidRPr="00BD1319">
        <w:rPr>
          <w:spacing w:val="-3"/>
        </w:rPr>
        <w:t xml:space="preserve">Las </w:t>
      </w:r>
      <w:r w:rsidR="00916A4A" w:rsidRPr="00BD1319">
        <w:rPr>
          <w:spacing w:val="-3"/>
        </w:rPr>
        <w:t>área</w:t>
      </w:r>
      <w:r w:rsidRPr="00BD1319">
        <w:rPr>
          <w:spacing w:val="-3"/>
        </w:rPr>
        <w:t>s</w:t>
      </w:r>
      <w:r w:rsidR="00D72CFF" w:rsidRPr="00BD1319">
        <w:rPr>
          <w:spacing w:val="-3"/>
        </w:rPr>
        <w:t xml:space="preserve"> </w:t>
      </w:r>
      <w:r w:rsidR="00153175" w:rsidRPr="00BD1319">
        <w:rPr>
          <w:spacing w:val="-3"/>
        </w:rPr>
        <w:t xml:space="preserve">a las cuales se prevé trasladar los especímenes de estos organismos </w:t>
      </w:r>
      <w:r w:rsidR="008F7625" w:rsidRPr="00BD1319">
        <w:rPr>
          <w:spacing w:val="-3"/>
        </w:rPr>
        <w:t>debe</w:t>
      </w:r>
      <w:r w:rsidRPr="00BD1319">
        <w:rPr>
          <w:spacing w:val="-3"/>
        </w:rPr>
        <w:t>n</w:t>
      </w:r>
      <w:r w:rsidR="008F7625" w:rsidRPr="00BD1319">
        <w:rPr>
          <w:spacing w:val="-3"/>
        </w:rPr>
        <w:t xml:space="preserve"> </w:t>
      </w:r>
      <w:r w:rsidR="009975C2" w:rsidRPr="00BD1319">
        <w:rPr>
          <w:spacing w:val="-3"/>
        </w:rPr>
        <w:t xml:space="preserve">tener </w:t>
      </w:r>
      <w:r w:rsidR="00916A4A" w:rsidRPr="00BD1319">
        <w:rPr>
          <w:spacing w:val="-3"/>
        </w:rPr>
        <w:t xml:space="preserve">condiciones óptimas </w:t>
      </w:r>
      <w:r w:rsidR="009975C2" w:rsidRPr="00BD1319">
        <w:rPr>
          <w:spacing w:val="-3"/>
        </w:rPr>
        <w:t xml:space="preserve">para </w:t>
      </w:r>
      <w:r w:rsidR="00153175" w:rsidRPr="00BD1319">
        <w:rPr>
          <w:spacing w:val="-3"/>
        </w:rPr>
        <w:t xml:space="preserve">su </w:t>
      </w:r>
      <w:r w:rsidR="009975C2" w:rsidRPr="00BD1319">
        <w:rPr>
          <w:spacing w:val="-3"/>
        </w:rPr>
        <w:t xml:space="preserve">desarrollo, por ello resulta necesario considerar </w:t>
      </w:r>
      <w:r w:rsidR="00153175" w:rsidRPr="00BD1319">
        <w:rPr>
          <w:spacing w:val="-3"/>
        </w:rPr>
        <w:t xml:space="preserve">las </w:t>
      </w:r>
      <w:r w:rsidR="009975C2" w:rsidRPr="00BD1319">
        <w:rPr>
          <w:spacing w:val="-3"/>
        </w:rPr>
        <w:t xml:space="preserve">características </w:t>
      </w:r>
      <w:r w:rsidR="00916A4A" w:rsidRPr="00BD1319">
        <w:rPr>
          <w:spacing w:val="-3"/>
        </w:rPr>
        <w:t>ecosist</w:t>
      </w:r>
      <w:r w:rsidR="009975C2" w:rsidRPr="00BD1319">
        <w:rPr>
          <w:spacing w:val="-3"/>
        </w:rPr>
        <w:t xml:space="preserve">émicas </w:t>
      </w:r>
      <w:r w:rsidR="00153175" w:rsidRPr="00BD1319">
        <w:rPr>
          <w:spacing w:val="-3"/>
        </w:rPr>
        <w:t xml:space="preserve">de tales áreas </w:t>
      </w:r>
      <w:r w:rsidR="009975C2" w:rsidRPr="00BD1319">
        <w:rPr>
          <w:spacing w:val="-3"/>
        </w:rPr>
        <w:t xml:space="preserve">en términos de </w:t>
      </w:r>
      <w:r w:rsidR="00C27807" w:rsidRPr="00BD1319">
        <w:rPr>
          <w:spacing w:val="-3"/>
        </w:rPr>
        <w:t>composición florística de los diferentes hábitos</w:t>
      </w:r>
      <w:r w:rsidR="00153175" w:rsidRPr="00BD1319">
        <w:rPr>
          <w:spacing w:val="-3"/>
        </w:rPr>
        <w:t xml:space="preserve"> de crecimiento</w:t>
      </w:r>
      <w:r w:rsidR="00C27807" w:rsidRPr="00BD1319">
        <w:rPr>
          <w:spacing w:val="-3"/>
        </w:rPr>
        <w:t xml:space="preserve">, </w:t>
      </w:r>
      <w:r w:rsidR="00916A4A" w:rsidRPr="00BD1319">
        <w:rPr>
          <w:spacing w:val="-3"/>
        </w:rPr>
        <w:t>estructura vertical y horizontal,</w:t>
      </w:r>
      <w:r w:rsidR="009975C2" w:rsidRPr="00BD1319">
        <w:rPr>
          <w:spacing w:val="-3"/>
        </w:rPr>
        <w:t xml:space="preserve"> </w:t>
      </w:r>
      <w:r w:rsidR="00C27807" w:rsidRPr="00BD1319">
        <w:rPr>
          <w:spacing w:val="-3"/>
        </w:rPr>
        <w:t xml:space="preserve">conectividad </w:t>
      </w:r>
      <w:r w:rsidR="00B672B9" w:rsidRPr="00BD1319">
        <w:rPr>
          <w:spacing w:val="-3"/>
        </w:rPr>
        <w:t>ecológica</w:t>
      </w:r>
      <w:r w:rsidR="00C27807" w:rsidRPr="00BD1319">
        <w:rPr>
          <w:spacing w:val="-3"/>
        </w:rPr>
        <w:t xml:space="preserve">, </w:t>
      </w:r>
      <w:r w:rsidR="009975C2" w:rsidRPr="00BD1319">
        <w:rPr>
          <w:spacing w:val="-3"/>
        </w:rPr>
        <w:t>microclima</w:t>
      </w:r>
      <w:r w:rsidR="00CB7C02" w:rsidRPr="00BD1319">
        <w:rPr>
          <w:spacing w:val="-3"/>
        </w:rPr>
        <w:t>,</w:t>
      </w:r>
      <w:r w:rsidR="009975C2" w:rsidRPr="00BD1319">
        <w:rPr>
          <w:spacing w:val="-3"/>
        </w:rPr>
        <w:t xml:space="preserve"> suelos</w:t>
      </w:r>
      <w:r w:rsidR="00164679" w:rsidRPr="00BD1319">
        <w:rPr>
          <w:spacing w:val="-3"/>
        </w:rPr>
        <w:t>, grado de disturbio y estado de sucesión vegetal</w:t>
      </w:r>
      <w:r w:rsidR="00CB7C02" w:rsidRPr="00BD1319">
        <w:rPr>
          <w:spacing w:val="-3"/>
        </w:rPr>
        <w:t xml:space="preserve"> y disponibilidad de recursos y espacio</w:t>
      </w:r>
      <w:r w:rsidR="009975C2" w:rsidRPr="00BD1319">
        <w:rPr>
          <w:spacing w:val="-3"/>
        </w:rPr>
        <w:t>.</w:t>
      </w:r>
      <w:r w:rsidR="00CB7C02" w:rsidRPr="00BD1319">
        <w:rPr>
          <w:spacing w:val="-3"/>
        </w:rPr>
        <w:t xml:space="preserve"> </w:t>
      </w:r>
      <w:r w:rsidR="00164679" w:rsidRPr="00BD1319">
        <w:rPr>
          <w:spacing w:val="-3"/>
        </w:rPr>
        <w:t xml:space="preserve">Para garantizar la disponibilidad de recursos y espacio, es </w:t>
      </w:r>
      <w:r w:rsidR="00F953E7" w:rsidRPr="00BD1319">
        <w:rPr>
          <w:spacing w:val="-3"/>
        </w:rPr>
        <w:t xml:space="preserve">necesario tener en cuenta </w:t>
      </w:r>
      <w:r w:rsidR="00164679" w:rsidRPr="00BD1319">
        <w:rPr>
          <w:spacing w:val="-3"/>
        </w:rPr>
        <w:t xml:space="preserve">la </w:t>
      </w:r>
      <w:r w:rsidR="00CB7C02" w:rsidRPr="00BD1319">
        <w:rPr>
          <w:spacing w:val="-3"/>
        </w:rPr>
        <w:t xml:space="preserve">composición y riqueza de las poblaciones de flora y líquenes, </w:t>
      </w:r>
      <w:r w:rsidR="00F953E7" w:rsidRPr="00BD1319">
        <w:rPr>
          <w:spacing w:val="-3"/>
        </w:rPr>
        <w:t xml:space="preserve">y </w:t>
      </w:r>
      <w:r w:rsidR="00164679" w:rsidRPr="00BD1319">
        <w:rPr>
          <w:spacing w:val="-3"/>
        </w:rPr>
        <w:t xml:space="preserve">la </w:t>
      </w:r>
      <w:r w:rsidR="00CB7C02" w:rsidRPr="00BD1319">
        <w:rPr>
          <w:spacing w:val="-3"/>
        </w:rPr>
        <w:t xml:space="preserve">disponibilidad </w:t>
      </w:r>
      <w:r w:rsidR="00164679" w:rsidRPr="00BD1319">
        <w:rPr>
          <w:spacing w:val="-3"/>
        </w:rPr>
        <w:t xml:space="preserve">y arquitectura de </w:t>
      </w:r>
      <w:r w:rsidR="00CB7C02" w:rsidRPr="00BD1319">
        <w:rPr>
          <w:spacing w:val="-3"/>
        </w:rPr>
        <w:t xml:space="preserve">árboles receptores (potenciales </w:t>
      </w:r>
      <w:proofErr w:type="spellStart"/>
      <w:r w:rsidR="00CB7C02" w:rsidRPr="00BD1319">
        <w:rPr>
          <w:spacing w:val="-3"/>
        </w:rPr>
        <w:t>forófitos</w:t>
      </w:r>
      <w:proofErr w:type="spellEnd"/>
      <w:r w:rsidR="00CB7C02" w:rsidRPr="00BD1319">
        <w:rPr>
          <w:spacing w:val="-3"/>
        </w:rPr>
        <w:t>)</w:t>
      </w:r>
      <w:r w:rsidR="00164679" w:rsidRPr="00BD1319">
        <w:rPr>
          <w:spacing w:val="-3"/>
        </w:rPr>
        <w:t xml:space="preserve"> y de </w:t>
      </w:r>
      <w:r w:rsidR="00CB7C02" w:rsidRPr="00BD1319">
        <w:rPr>
          <w:spacing w:val="-3"/>
        </w:rPr>
        <w:t>otros sustratos que sirvan de hábitat receptor.</w:t>
      </w:r>
    </w:p>
    <w:p w14:paraId="0253F6D4" w14:textId="77777777" w:rsidR="00B672B9" w:rsidRPr="00BD1319" w:rsidRDefault="00B672B9" w:rsidP="000D6E21">
      <w:pPr>
        <w:tabs>
          <w:tab w:val="left" w:pos="-2268"/>
        </w:tabs>
        <w:suppressAutoHyphens/>
        <w:rPr>
          <w:spacing w:val="-3"/>
        </w:rPr>
      </w:pPr>
    </w:p>
    <w:p w14:paraId="396DDAC3" w14:textId="0C37266F" w:rsidR="00C27807" w:rsidRPr="00BD1319" w:rsidRDefault="00153175" w:rsidP="008F7625">
      <w:pPr>
        <w:numPr>
          <w:ilvl w:val="0"/>
          <w:numId w:val="19"/>
        </w:numPr>
        <w:tabs>
          <w:tab w:val="left" w:pos="-2268"/>
        </w:tabs>
        <w:suppressAutoHyphens/>
        <w:ind w:left="567" w:hanging="567"/>
        <w:rPr>
          <w:spacing w:val="-3"/>
        </w:rPr>
      </w:pPr>
      <w:r w:rsidRPr="00BD1319">
        <w:rPr>
          <w:spacing w:val="-3"/>
        </w:rPr>
        <w:t xml:space="preserve">Las áreas a las cuales se prevé trasladar los especímenes de estos organismos deben </w:t>
      </w:r>
      <w:r w:rsidR="009975C2" w:rsidRPr="00BD1319">
        <w:rPr>
          <w:spacing w:val="-3"/>
        </w:rPr>
        <w:t>l</w:t>
      </w:r>
      <w:r w:rsidR="00916A4A" w:rsidRPr="00BD1319">
        <w:rPr>
          <w:spacing w:val="-3"/>
        </w:rPr>
        <w:t>ocaliza</w:t>
      </w:r>
      <w:r w:rsidR="00C27807" w:rsidRPr="00BD1319">
        <w:rPr>
          <w:spacing w:val="-3"/>
        </w:rPr>
        <w:t>rse</w:t>
      </w:r>
      <w:r w:rsidR="00916A4A" w:rsidRPr="00BD1319">
        <w:rPr>
          <w:spacing w:val="-3"/>
        </w:rPr>
        <w:t>, en lo posible, dentro del área de influencia del proyecto</w:t>
      </w:r>
      <w:r w:rsidR="00C27807" w:rsidRPr="00BD1319">
        <w:rPr>
          <w:spacing w:val="-3"/>
        </w:rPr>
        <w:t xml:space="preserve">, obra o actividad; si ello no es posible, deben ubicarse en </w:t>
      </w:r>
      <w:r w:rsidR="0086126A" w:rsidRPr="00BD1319">
        <w:rPr>
          <w:spacing w:val="-3"/>
        </w:rPr>
        <w:t>AAE</w:t>
      </w:r>
    </w:p>
    <w:p w14:paraId="214EE437" w14:textId="77777777" w:rsidR="00B672B9" w:rsidRPr="00BD1319" w:rsidRDefault="00B672B9" w:rsidP="000D6E21">
      <w:pPr>
        <w:tabs>
          <w:tab w:val="left" w:pos="-2268"/>
        </w:tabs>
        <w:suppressAutoHyphens/>
        <w:rPr>
          <w:spacing w:val="-3"/>
        </w:rPr>
      </w:pPr>
    </w:p>
    <w:p w14:paraId="175790AF" w14:textId="27C096F6" w:rsidR="00916A4A" w:rsidRPr="00BD1319" w:rsidRDefault="00153175" w:rsidP="008F7625">
      <w:pPr>
        <w:numPr>
          <w:ilvl w:val="0"/>
          <w:numId w:val="19"/>
        </w:numPr>
        <w:tabs>
          <w:tab w:val="left" w:pos="-2268"/>
        </w:tabs>
        <w:suppressAutoHyphens/>
        <w:ind w:left="567" w:hanging="567"/>
        <w:rPr>
          <w:spacing w:val="-3"/>
        </w:rPr>
      </w:pPr>
      <w:r w:rsidRPr="00BD1319">
        <w:rPr>
          <w:spacing w:val="-3"/>
        </w:rPr>
        <w:t xml:space="preserve">Las áreas a las cuales se prevé trasladar los especímenes de estos organismos deben </w:t>
      </w:r>
      <w:r w:rsidR="00916A4A" w:rsidRPr="00BD1319">
        <w:rPr>
          <w:spacing w:val="-3"/>
        </w:rPr>
        <w:t xml:space="preserve">garantizar </w:t>
      </w:r>
      <w:r w:rsidR="00B672B9" w:rsidRPr="00BD1319">
        <w:rPr>
          <w:spacing w:val="-3"/>
        </w:rPr>
        <w:t xml:space="preserve">que en ellas sea posible aplicar la medida de manejo durante todo el periodo </w:t>
      </w:r>
      <w:r w:rsidR="00B672B9" w:rsidRPr="00BD1319">
        <w:rPr>
          <w:spacing w:val="-3"/>
        </w:rPr>
        <w:lastRenderedPageBreak/>
        <w:t>previsto para su implementación y</w:t>
      </w:r>
      <w:r w:rsidR="00002D4B" w:rsidRPr="00BD1319">
        <w:rPr>
          <w:spacing w:val="-3"/>
        </w:rPr>
        <w:t xml:space="preserve">, en la medida de los posible, su </w:t>
      </w:r>
      <w:r w:rsidR="00B672B9" w:rsidRPr="00BD1319">
        <w:rPr>
          <w:spacing w:val="-3"/>
        </w:rPr>
        <w:t xml:space="preserve">permanencia </w:t>
      </w:r>
      <w:r w:rsidR="00002D4B" w:rsidRPr="00BD1319">
        <w:rPr>
          <w:spacing w:val="-3"/>
        </w:rPr>
        <w:t xml:space="preserve">en el </w:t>
      </w:r>
      <w:r w:rsidR="00B672B9" w:rsidRPr="00BD1319">
        <w:rPr>
          <w:spacing w:val="-3"/>
        </w:rPr>
        <w:t>largo plazo.</w:t>
      </w:r>
    </w:p>
    <w:p w14:paraId="0B73E592" w14:textId="77777777" w:rsidR="00B672B9" w:rsidRPr="00BD1319" w:rsidRDefault="00B672B9" w:rsidP="000D6E21">
      <w:pPr>
        <w:tabs>
          <w:tab w:val="left" w:pos="-2268"/>
        </w:tabs>
        <w:suppressAutoHyphens/>
        <w:rPr>
          <w:spacing w:val="-3"/>
        </w:rPr>
      </w:pPr>
    </w:p>
    <w:p w14:paraId="7611B926" w14:textId="663BFC0C" w:rsidR="008F7625" w:rsidRPr="00BD1319" w:rsidRDefault="00153175" w:rsidP="008F7625">
      <w:pPr>
        <w:numPr>
          <w:ilvl w:val="0"/>
          <w:numId w:val="19"/>
        </w:numPr>
        <w:tabs>
          <w:tab w:val="left" w:pos="-2268"/>
        </w:tabs>
        <w:suppressAutoHyphens/>
        <w:ind w:left="567" w:hanging="567"/>
        <w:rPr>
          <w:spacing w:val="-3"/>
        </w:rPr>
      </w:pPr>
      <w:r w:rsidRPr="00BD1319">
        <w:rPr>
          <w:spacing w:val="-3"/>
        </w:rPr>
        <w:t xml:space="preserve">La información geográfica de las áreas a las cuales se prevé trasladar los especímenes de estos organismos debe </w:t>
      </w:r>
      <w:r w:rsidR="00106DF9" w:rsidRPr="00BD1319">
        <w:rPr>
          <w:spacing w:val="-3"/>
        </w:rPr>
        <w:t>ser incorporada a</w:t>
      </w:r>
      <w:r w:rsidR="008F7625" w:rsidRPr="00BD1319">
        <w:rPr>
          <w:spacing w:val="-3"/>
        </w:rPr>
        <w:t>l Modelo de Almacenamiento Geográfico</w:t>
      </w:r>
      <w:r w:rsidR="00106DF9" w:rsidRPr="00BD1319">
        <w:rPr>
          <w:spacing w:val="-3"/>
        </w:rPr>
        <w:t>.</w:t>
      </w:r>
    </w:p>
    <w:p w14:paraId="6517D9A8" w14:textId="77777777" w:rsidR="002C7723" w:rsidRPr="00BD1319" w:rsidRDefault="002C7723">
      <w:pPr>
        <w:tabs>
          <w:tab w:val="left" w:pos="-2268"/>
        </w:tabs>
        <w:suppressAutoHyphens/>
        <w:rPr>
          <w:spacing w:val="-3"/>
        </w:rPr>
      </w:pPr>
    </w:p>
    <w:p w14:paraId="36DDA31D" w14:textId="3CB0A034" w:rsidR="007D0B49" w:rsidRPr="00BD1319" w:rsidRDefault="007D0B49" w:rsidP="000D6E21">
      <w:pPr>
        <w:tabs>
          <w:tab w:val="left" w:pos="-2268"/>
        </w:tabs>
        <w:suppressAutoHyphens/>
        <w:rPr>
          <w:spacing w:val="-3"/>
        </w:rPr>
      </w:pPr>
      <w:r w:rsidRPr="00BD1319">
        <w:rPr>
          <w:spacing w:val="-3"/>
        </w:rPr>
        <w:t xml:space="preserve">Para proyectos que impliquen la caza de fomento de especímenes silvestres, las medidas de manejo </w:t>
      </w:r>
      <w:r w:rsidR="0031250F" w:rsidRPr="00BD1319">
        <w:rPr>
          <w:spacing w:val="-3"/>
        </w:rPr>
        <w:t xml:space="preserve">de los impactos generados por </w:t>
      </w:r>
      <w:r w:rsidRPr="00BD1319">
        <w:rPr>
          <w:spacing w:val="-3"/>
        </w:rPr>
        <w:t xml:space="preserve">la remoción de individuos del medio deben enfocarse </w:t>
      </w:r>
      <w:r w:rsidR="002B1974" w:rsidRPr="00BD1319">
        <w:rPr>
          <w:spacing w:val="-3"/>
        </w:rPr>
        <w:t xml:space="preserve">en la </w:t>
      </w:r>
      <w:r w:rsidRPr="00BD1319">
        <w:rPr>
          <w:spacing w:val="-3"/>
        </w:rPr>
        <w:t xml:space="preserve">protección </w:t>
      </w:r>
      <w:r w:rsidR="0031250F" w:rsidRPr="00BD1319">
        <w:rPr>
          <w:spacing w:val="-3"/>
        </w:rPr>
        <w:t xml:space="preserve">especies </w:t>
      </w:r>
      <w:r w:rsidRPr="00BD1319">
        <w:rPr>
          <w:spacing w:val="-3"/>
        </w:rPr>
        <w:t xml:space="preserve">o </w:t>
      </w:r>
      <w:r w:rsidR="002B1974" w:rsidRPr="00BD1319">
        <w:rPr>
          <w:spacing w:val="-3"/>
        </w:rPr>
        <w:t xml:space="preserve">en la </w:t>
      </w:r>
      <w:r w:rsidR="0031250F" w:rsidRPr="00BD1319">
        <w:rPr>
          <w:spacing w:val="-3"/>
        </w:rPr>
        <w:t xml:space="preserve">protección y </w:t>
      </w:r>
      <w:r w:rsidRPr="00BD1319">
        <w:rPr>
          <w:spacing w:val="-3"/>
        </w:rPr>
        <w:t>restauración de hábitat</w:t>
      </w:r>
      <w:r w:rsidR="0031250F" w:rsidRPr="00BD1319">
        <w:rPr>
          <w:spacing w:val="-3"/>
        </w:rPr>
        <w:t>s</w:t>
      </w:r>
      <w:r w:rsidR="002C0FC5" w:rsidRPr="00BD1319">
        <w:rPr>
          <w:spacing w:val="-3"/>
        </w:rPr>
        <w:t>,</w:t>
      </w:r>
      <w:r w:rsidR="002B1974" w:rsidRPr="00BD1319">
        <w:rPr>
          <w:spacing w:val="-3"/>
        </w:rPr>
        <w:t xml:space="preserve"> con el fin de control</w:t>
      </w:r>
      <w:r w:rsidR="002C0FC5" w:rsidRPr="00BD1319">
        <w:rPr>
          <w:spacing w:val="-3"/>
        </w:rPr>
        <w:t>ar</w:t>
      </w:r>
      <w:r w:rsidR="002B1974" w:rsidRPr="00BD1319">
        <w:rPr>
          <w:spacing w:val="-3"/>
        </w:rPr>
        <w:t xml:space="preserve"> las amenazas </w:t>
      </w:r>
      <w:r w:rsidR="002C0FC5" w:rsidRPr="00BD1319">
        <w:rPr>
          <w:spacing w:val="-3"/>
        </w:rPr>
        <w:t xml:space="preserve">a las </w:t>
      </w:r>
      <w:r w:rsidR="002B1974" w:rsidRPr="00BD1319">
        <w:rPr>
          <w:spacing w:val="-3"/>
        </w:rPr>
        <w:t xml:space="preserve">que </w:t>
      </w:r>
      <w:r w:rsidR="002C0FC5" w:rsidRPr="00BD1319">
        <w:rPr>
          <w:spacing w:val="-3"/>
        </w:rPr>
        <w:t xml:space="preserve">se </w:t>
      </w:r>
      <w:r w:rsidR="002B1974" w:rsidRPr="00BD1319">
        <w:rPr>
          <w:spacing w:val="-3"/>
        </w:rPr>
        <w:t>enfrenta</w:t>
      </w:r>
      <w:r w:rsidR="002C0FC5" w:rsidRPr="00BD1319">
        <w:rPr>
          <w:spacing w:val="-3"/>
        </w:rPr>
        <w:t xml:space="preserve">rían </w:t>
      </w:r>
      <w:r w:rsidR="002B1974" w:rsidRPr="00BD1319">
        <w:rPr>
          <w:spacing w:val="-3"/>
        </w:rPr>
        <w:t xml:space="preserve">las poblaciones </w:t>
      </w:r>
      <w:r w:rsidR="002C0FC5" w:rsidRPr="00BD1319">
        <w:rPr>
          <w:spacing w:val="-3"/>
        </w:rPr>
        <w:t xml:space="preserve">de las especies </w:t>
      </w:r>
      <w:r w:rsidR="002B1974" w:rsidRPr="00BD1319">
        <w:rPr>
          <w:spacing w:val="-3"/>
        </w:rPr>
        <w:t>objeto de caza</w:t>
      </w:r>
      <w:r w:rsidR="00B21969" w:rsidRPr="00BD1319">
        <w:rPr>
          <w:spacing w:val="-3"/>
        </w:rPr>
        <w:t xml:space="preserve"> </w:t>
      </w:r>
      <w:r w:rsidR="000B157A" w:rsidRPr="00BD1319">
        <w:rPr>
          <w:spacing w:val="-3"/>
        </w:rPr>
        <w:t>o</w:t>
      </w:r>
      <w:r w:rsidR="00B21969" w:rsidRPr="00BD1319">
        <w:rPr>
          <w:spacing w:val="-3"/>
        </w:rPr>
        <w:t xml:space="preserve"> de </w:t>
      </w:r>
      <w:r w:rsidR="000B157A" w:rsidRPr="00BD1319">
        <w:rPr>
          <w:spacing w:val="-3"/>
        </w:rPr>
        <w:t xml:space="preserve">las especies </w:t>
      </w:r>
      <w:r w:rsidR="00B21969" w:rsidRPr="00BD1319">
        <w:rPr>
          <w:spacing w:val="-3"/>
        </w:rPr>
        <w:t xml:space="preserve">de fauna o flora con </w:t>
      </w:r>
      <w:r w:rsidR="000B157A" w:rsidRPr="00BD1319">
        <w:rPr>
          <w:spacing w:val="-3"/>
        </w:rPr>
        <w:t xml:space="preserve">las que éstas sostienen </w:t>
      </w:r>
      <w:r w:rsidR="00B21969" w:rsidRPr="00BD1319">
        <w:rPr>
          <w:spacing w:val="-3"/>
        </w:rPr>
        <w:t>relaciones biológicas estrechas</w:t>
      </w:r>
      <w:r w:rsidR="002B1974" w:rsidRPr="00BD1319">
        <w:rPr>
          <w:spacing w:val="-3"/>
        </w:rPr>
        <w:t>.</w:t>
      </w:r>
    </w:p>
    <w:p w14:paraId="1BBA810B" w14:textId="77777777" w:rsidR="00916A4A" w:rsidRPr="00BD1319" w:rsidRDefault="00916A4A" w:rsidP="00606CE6"/>
    <w:p w14:paraId="7C3D0B1A" w14:textId="759CF4C7" w:rsidR="00E34B12" w:rsidRPr="00BD1319" w:rsidRDefault="00E34B12" w:rsidP="009420F5">
      <w:pPr>
        <w:numPr>
          <w:ilvl w:val="12"/>
          <w:numId w:val="0"/>
        </w:numPr>
        <w:tabs>
          <w:tab w:val="left" w:pos="-2268"/>
        </w:tabs>
        <w:suppressAutoHyphens/>
      </w:pPr>
      <w:r w:rsidRPr="00BD1319">
        <w:t>Para los proyectos de infraestructura de transporte para los cuales se hayan identificado posibles hallazgos y contexto forense y áreas de interés forense es necesario incorporar una medida de manejo que permita la aplicación del protocolo para la salvaguarda y protección de cuerpos de presuntas víctimas del conflicto armado colombiano.</w:t>
      </w:r>
    </w:p>
    <w:p w14:paraId="2CBEC7DC" w14:textId="77777777" w:rsidR="00E34B12" w:rsidRPr="00BD1319" w:rsidRDefault="00E34B12" w:rsidP="009420F5">
      <w:pPr>
        <w:numPr>
          <w:ilvl w:val="12"/>
          <w:numId w:val="0"/>
        </w:numPr>
        <w:tabs>
          <w:tab w:val="left" w:pos="-2268"/>
        </w:tabs>
        <w:suppressAutoHyphens/>
      </w:pPr>
    </w:p>
    <w:p w14:paraId="7DA6E87F" w14:textId="2B6DC22B" w:rsidR="00457632" w:rsidRPr="00BD1319" w:rsidRDefault="00457632" w:rsidP="009420F5">
      <w:pPr>
        <w:numPr>
          <w:ilvl w:val="12"/>
          <w:numId w:val="0"/>
        </w:numPr>
        <w:tabs>
          <w:tab w:val="left" w:pos="-2268"/>
        </w:tabs>
        <w:suppressAutoHyphens/>
      </w:pPr>
      <w:r w:rsidRPr="00BD1319">
        <w:t xml:space="preserve">Cuando se prevea la posibilidad de entregar obras e infraestructuras a terceros una vez concluya la vida útil del proyecto, obra o actividad, es importante que las medidas de manejo </w:t>
      </w:r>
      <w:r w:rsidR="00167D78" w:rsidRPr="00BD1319">
        <w:t xml:space="preserve">que se les </w:t>
      </w:r>
      <w:r w:rsidR="003D2F41" w:rsidRPr="00BD1319">
        <w:t>asocien</w:t>
      </w:r>
      <w:r w:rsidR="00167D78" w:rsidRPr="00BD1319">
        <w:t xml:space="preserve"> </w:t>
      </w:r>
      <w:r w:rsidRPr="00BD1319">
        <w:t>se</w:t>
      </w:r>
      <w:r w:rsidR="00167D78" w:rsidRPr="00BD1319">
        <w:t>an</w:t>
      </w:r>
      <w:r w:rsidRPr="00BD1319">
        <w:t xml:space="preserve"> plante</w:t>
      </w:r>
      <w:r w:rsidR="00167D78" w:rsidRPr="00BD1319">
        <w:t>adas</w:t>
      </w:r>
      <w:r w:rsidRPr="00BD1319">
        <w:t xml:space="preserve"> de forma general</w:t>
      </w:r>
      <w:r w:rsidR="00167D78" w:rsidRPr="00BD1319">
        <w:t xml:space="preserve"> para la gestión de los impactos que son inherentes a </w:t>
      </w:r>
      <w:r w:rsidR="00792512" w:rsidRPr="00BD1319">
        <w:t xml:space="preserve">su </w:t>
      </w:r>
      <w:r w:rsidR="00167D78" w:rsidRPr="00BD1319">
        <w:t xml:space="preserve">utilización, de manera </w:t>
      </w:r>
      <w:r w:rsidRPr="00BD1319">
        <w:t xml:space="preserve">que </w:t>
      </w:r>
      <w:r w:rsidR="0041038C" w:rsidRPr="00BD1319">
        <w:t xml:space="preserve">éstas </w:t>
      </w:r>
      <w:r w:rsidRPr="00BD1319">
        <w:t>pueda</w:t>
      </w:r>
      <w:r w:rsidR="00167D78" w:rsidRPr="00BD1319">
        <w:t>n</w:t>
      </w:r>
      <w:r w:rsidRPr="00BD1319">
        <w:t xml:space="preserve"> ser </w:t>
      </w:r>
      <w:r w:rsidR="00167D78" w:rsidRPr="00BD1319">
        <w:t xml:space="preserve">aplicadas </w:t>
      </w:r>
      <w:r w:rsidRPr="00BD1319">
        <w:t xml:space="preserve">por quien asuma </w:t>
      </w:r>
      <w:r w:rsidR="00792512" w:rsidRPr="00BD1319">
        <w:t xml:space="preserve">el </w:t>
      </w:r>
      <w:r w:rsidRPr="00BD1319">
        <w:t>dominio</w:t>
      </w:r>
      <w:r w:rsidR="00167D78" w:rsidRPr="00BD1319">
        <w:t xml:space="preserve"> </w:t>
      </w:r>
      <w:r w:rsidR="00792512" w:rsidRPr="00BD1319">
        <w:t xml:space="preserve">de tales obras e infraestructuras </w:t>
      </w:r>
      <w:r w:rsidR="00167D78" w:rsidRPr="00BD1319">
        <w:t>luego de la culminación del proyecto</w:t>
      </w:r>
      <w:r w:rsidR="00792512" w:rsidRPr="00BD1319">
        <w:t>, obra o actividad</w:t>
      </w:r>
      <w:r w:rsidRPr="00BD1319">
        <w:t>.</w:t>
      </w:r>
    </w:p>
    <w:p w14:paraId="7F03AB13" w14:textId="77777777" w:rsidR="00E93D97" w:rsidRPr="00BD1319" w:rsidRDefault="00E93D97" w:rsidP="00E93D97">
      <w:pPr>
        <w:tabs>
          <w:tab w:val="left" w:pos="-2268"/>
        </w:tabs>
        <w:suppressAutoHyphens/>
        <w:rPr>
          <w:spacing w:val="-3"/>
        </w:rPr>
      </w:pPr>
    </w:p>
    <w:p w14:paraId="6ABDC825" w14:textId="29E16D56" w:rsidR="002624C8" w:rsidRPr="00BD1319" w:rsidRDefault="00E62E82" w:rsidP="00BD3851">
      <w:pPr>
        <w:numPr>
          <w:ilvl w:val="12"/>
          <w:numId w:val="0"/>
        </w:numPr>
        <w:tabs>
          <w:tab w:val="left" w:pos="-2268"/>
        </w:tabs>
        <w:suppressAutoHyphens/>
        <w:rPr>
          <w:rFonts w:cs="Arial"/>
          <w:spacing w:val="-3"/>
        </w:rPr>
      </w:pPr>
      <w:r w:rsidRPr="00BD1319">
        <w:rPr>
          <w:rFonts w:cs="Arial"/>
          <w:spacing w:val="-3"/>
        </w:rPr>
        <w:t>En caso de que</w:t>
      </w:r>
      <w:r w:rsidR="002624C8" w:rsidRPr="00BD1319">
        <w:rPr>
          <w:rFonts w:cs="Arial"/>
          <w:spacing w:val="-3"/>
        </w:rPr>
        <w:t xml:space="preserve"> el área de influencia del proyecto se superponga con las áreas de influencia de proyectos, obras o actividades licenciados, </w:t>
      </w:r>
      <w:r w:rsidR="00BD3851" w:rsidRPr="00BD1319">
        <w:rPr>
          <w:rFonts w:cs="Arial"/>
          <w:spacing w:val="-3"/>
        </w:rPr>
        <w:t xml:space="preserve">se debe tener en cuenta la forma en que </w:t>
      </w:r>
      <w:r w:rsidR="002624C8" w:rsidRPr="00BD1319">
        <w:rPr>
          <w:rFonts w:cs="Arial"/>
          <w:spacing w:val="-3"/>
        </w:rPr>
        <w:t xml:space="preserve">tales proyectos, obras o actividades </w:t>
      </w:r>
      <w:r w:rsidR="00BD3851" w:rsidRPr="00BD1319">
        <w:rPr>
          <w:rFonts w:cs="Arial"/>
          <w:spacing w:val="-3"/>
        </w:rPr>
        <w:t>manejan los impactos que pueden acumularse o generar sinergias con los impactos del proyecto de interés</w:t>
      </w:r>
      <w:r w:rsidR="002624C8" w:rsidRPr="00BD1319">
        <w:rPr>
          <w:rFonts w:cs="Arial"/>
          <w:spacing w:val="-3"/>
        </w:rPr>
        <w:t xml:space="preserve">, </w:t>
      </w:r>
      <w:r w:rsidR="00BD3851" w:rsidRPr="00BD1319">
        <w:rPr>
          <w:rFonts w:cs="Arial"/>
          <w:spacing w:val="-3"/>
        </w:rPr>
        <w:t xml:space="preserve">con el fin de establecer la responsabilidad que le concierne y </w:t>
      </w:r>
      <w:r w:rsidR="0085246D" w:rsidRPr="00BD1319">
        <w:rPr>
          <w:rFonts w:cs="Arial"/>
          <w:spacing w:val="-3"/>
        </w:rPr>
        <w:t>en consecuencia,</w:t>
      </w:r>
      <w:r w:rsidR="00BD3851" w:rsidRPr="00BD1319">
        <w:rPr>
          <w:rFonts w:cs="Arial"/>
          <w:spacing w:val="-3"/>
        </w:rPr>
        <w:t xml:space="preserve"> formular medidas de </w:t>
      </w:r>
      <w:r w:rsidR="002624C8" w:rsidRPr="00BD1319">
        <w:rPr>
          <w:rFonts w:cs="Arial"/>
          <w:spacing w:val="-3"/>
        </w:rPr>
        <w:t xml:space="preserve">manejo </w:t>
      </w:r>
      <w:r w:rsidR="00BD3851" w:rsidRPr="00BD1319">
        <w:rPr>
          <w:rFonts w:cs="Arial"/>
          <w:spacing w:val="-3"/>
        </w:rPr>
        <w:t>eficaces</w:t>
      </w:r>
      <w:r w:rsidR="00CA6C43" w:rsidRPr="00BD1319">
        <w:rPr>
          <w:rFonts w:cs="Arial"/>
          <w:spacing w:val="-3"/>
        </w:rPr>
        <w:t>,</w:t>
      </w:r>
      <w:r w:rsidR="00BD3851" w:rsidRPr="00BD1319">
        <w:rPr>
          <w:rFonts w:cs="Arial"/>
          <w:spacing w:val="-3"/>
        </w:rPr>
        <w:t xml:space="preserve"> </w:t>
      </w:r>
      <w:r w:rsidR="002624C8" w:rsidRPr="00BD1319">
        <w:rPr>
          <w:rFonts w:cs="Arial"/>
          <w:spacing w:val="-3"/>
        </w:rPr>
        <w:t>de acuerdo con lo establecido en el artículo 2.2.2.3.6.4 del Decreto 1076 de 2015, o aquella norma que lo modifique o sustituya.</w:t>
      </w:r>
    </w:p>
    <w:p w14:paraId="78232A72" w14:textId="77777777" w:rsidR="00786544" w:rsidRPr="00BD1319" w:rsidRDefault="00786544" w:rsidP="00606CE6"/>
    <w:p w14:paraId="5CDB0492" w14:textId="55C7D87A" w:rsidR="00F160F6" w:rsidRPr="00BD1319" w:rsidRDefault="00F160F6" w:rsidP="00F160F6">
      <w:pPr>
        <w:numPr>
          <w:ilvl w:val="12"/>
          <w:numId w:val="0"/>
        </w:numPr>
        <w:tabs>
          <w:tab w:val="left" w:pos="-2268"/>
        </w:tabs>
        <w:suppressAutoHyphens/>
        <w:rPr>
          <w:rFonts w:cs="Arial"/>
          <w:spacing w:val="-3"/>
        </w:rPr>
      </w:pPr>
      <w:r w:rsidRPr="00BD1319">
        <w:rPr>
          <w:rFonts w:cs="Arial"/>
          <w:spacing w:val="-3"/>
        </w:rPr>
        <w:t>Para asegurar la coherencia del EIA y</w:t>
      </w:r>
      <w:r w:rsidR="00292F5A" w:rsidRPr="00BD1319">
        <w:rPr>
          <w:rFonts w:cs="Arial"/>
          <w:spacing w:val="-3"/>
        </w:rPr>
        <w:t xml:space="preserve"> el</w:t>
      </w:r>
      <w:r w:rsidRPr="00BD1319">
        <w:rPr>
          <w:rFonts w:cs="Arial"/>
          <w:spacing w:val="-3"/>
        </w:rPr>
        <w:t xml:space="preserve"> desarrollo lógico y eficaz del proceso de licenciamiento ambiental, es esencial que en </w:t>
      </w:r>
      <w:r w:rsidR="001B2A6D" w:rsidRPr="00BD1319">
        <w:rPr>
          <w:rFonts w:cs="Arial"/>
          <w:spacing w:val="-3"/>
        </w:rPr>
        <w:t xml:space="preserve">el plan </w:t>
      </w:r>
      <w:r w:rsidRPr="00BD1319">
        <w:rPr>
          <w:rFonts w:cs="Arial"/>
          <w:spacing w:val="-3"/>
        </w:rPr>
        <w:t xml:space="preserve">de manejo se enuncien exactamente las mismas denominaciones establecidas en el numeral de evaluación ambiental, tanto para cada impacto específico, como para las categorías estandarizadas en las cuales se agrupan, a fin de dar total claridad sobre cuáles son las medidas </w:t>
      </w:r>
      <w:r w:rsidR="00C26B8E" w:rsidRPr="00BD1319">
        <w:rPr>
          <w:rFonts w:cs="Arial"/>
          <w:spacing w:val="-3"/>
        </w:rPr>
        <w:t xml:space="preserve">que permiten el </w:t>
      </w:r>
      <w:r w:rsidR="005C6652" w:rsidRPr="00BD1319">
        <w:rPr>
          <w:rFonts w:cs="Arial"/>
          <w:spacing w:val="-3"/>
        </w:rPr>
        <w:t xml:space="preserve">manejo </w:t>
      </w:r>
      <w:r w:rsidR="00C26B8E" w:rsidRPr="00BD1319">
        <w:rPr>
          <w:rFonts w:cs="Arial"/>
          <w:spacing w:val="-3"/>
        </w:rPr>
        <w:t xml:space="preserve">de </w:t>
      </w:r>
      <w:r w:rsidRPr="00BD1319">
        <w:rPr>
          <w:rFonts w:cs="Arial"/>
          <w:spacing w:val="-3"/>
        </w:rPr>
        <w:t>un impacto ambiental en particular; asimismo, es necesario que exista congruencia entre los objetivos</w:t>
      </w:r>
      <w:r w:rsidR="00DA54FC" w:rsidRPr="00BD1319">
        <w:rPr>
          <w:rFonts w:cs="Arial"/>
          <w:spacing w:val="-3"/>
        </w:rPr>
        <w:t xml:space="preserve"> </w:t>
      </w:r>
      <w:r w:rsidR="002B5EB0" w:rsidRPr="00BD1319">
        <w:rPr>
          <w:rFonts w:cs="Arial"/>
          <w:spacing w:val="-3"/>
        </w:rPr>
        <w:t xml:space="preserve">de manejo que se planteen y los </w:t>
      </w:r>
      <w:r w:rsidRPr="00BD1319">
        <w:rPr>
          <w:rFonts w:cs="Arial"/>
          <w:spacing w:val="-3"/>
        </w:rPr>
        <w:t xml:space="preserve">indicadores </w:t>
      </w:r>
      <w:r w:rsidR="00292F5A" w:rsidRPr="00BD1319">
        <w:rPr>
          <w:rFonts w:cs="Arial"/>
          <w:spacing w:val="-3"/>
        </w:rPr>
        <w:t>que se estable</w:t>
      </w:r>
      <w:r w:rsidR="002B5EB0" w:rsidRPr="00BD1319">
        <w:rPr>
          <w:rFonts w:cs="Arial"/>
          <w:spacing w:val="-3"/>
        </w:rPr>
        <w:t>zcan para hacer seguimiento</w:t>
      </w:r>
      <w:r w:rsidRPr="00BD1319">
        <w:rPr>
          <w:rFonts w:cs="Arial"/>
          <w:spacing w:val="-3"/>
        </w:rPr>
        <w:t>.</w:t>
      </w:r>
    </w:p>
    <w:p w14:paraId="62AE807D" w14:textId="34D639CF" w:rsidR="00F160F6" w:rsidRPr="00BD1319" w:rsidRDefault="00F160F6" w:rsidP="00076F22">
      <w:pPr>
        <w:numPr>
          <w:ilvl w:val="12"/>
          <w:numId w:val="0"/>
        </w:numPr>
        <w:tabs>
          <w:tab w:val="left" w:pos="-2268"/>
        </w:tabs>
        <w:suppressAutoHyphens/>
        <w:rPr>
          <w:rFonts w:cs="Arial"/>
          <w:spacing w:val="-3"/>
        </w:rPr>
      </w:pPr>
    </w:p>
    <w:p w14:paraId="711B2FCE" w14:textId="69E24C42" w:rsidR="00F33A22" w:rsidRPr="00BD1319" w:rsidRDefault="002B5EB0">
      <w:pPr>
        <w:numPr>
          <w:ilvl w:val="12"/>
          <w:numId w:val="0"/>
        </w:numPr>
        <w:tabs>
          <w:tab w:val="left" w:pos="-2268"/>
        </w:tabs>
        <w:suppressAutoHyphens/>
        <w:rPr>
          <w:spacing w:val="-3"/>
        </w:rPr>
      </w:pPr>
      <w:r w:rsidRPr="00BD1319">
        <w:rPr>
          <w:rFonts w:cs="Arial"/>
          <w:spacing w:val="-3"/>
        </w:rPr>
        <w:t xml:space="preserve">El plan de manejo ambiental </w:t>
      </w:r>
      <w:r w:rsidRPr="00BD1319">
        <w:rPr>
          <w:spacing w:val="-3"/>
        </w:rPr>
        <w:t xml:space="preserve">debe definir </w:t>
      </w:r>
      <w:r w:rsidRPr="00BD1319">
        <w:rPr>
          <w:rFonts w:cs="Arial"/>
          <w:spacing w:val="-3"/>
        </w:rPr>
        <w:t xml:space="preserve">para cada impacto ambiental lo </w:t>
      </w:r>
      <w:r w:rsidRPr="00BD1319">
        <w:rPr>
          <w:spacing w:val="-3"/>
        </w:rPr>
        <w:t>siguiente</w:t>
      </w:r>
      <w:r w:rsidR="00F33A22" w:rsidRPr="00BD1319">
        <w:rPr>
          <w:spacing w:val="-3"/>
        </w:rPr>
        <w:t>:</w:t>
      </w:r>
    </w:p>
    <w:p w14:paraId="3B05EE11" w14:textId="77777777" w:rsidR="00F33A22" w:rsidRPr="00BD1319" w:rsidRDefault="00F33A22">
      <w:pPr>
        <w:tabs>
          <w:tab w:val="left" w:pos="-2268"/>
        </w:tabs>
        <w:suppressAutoHyphens/>
        <w:rPr>
          <w:spacing w:val="-3"/>
        </w:rPr>
      </w:pPr>
    </w:p>
    <w:p w14:paraId="1D6524F5" w14:textId="71B444C1" w:rsidR="0013530A" w:rsidRPr="00BD1319" w:rsidRDefault="002B5EB0" w:rsidP="00C86DA5">
      <w:pPr>
        <w:numPr>
          <w:ilvl w:val="0"/>
          <w:numId w:val="19"/>
        </w:numPr>
        <w:tabs>
          <w:tab w:val="left" w:pos="-2268"/>
        </w:tabs>
        <w:suppressAutoHyphens/>
        <w:ind w:left="567" w:hanging="567"/>
        <w:rPr>
          <w:spacing w:val="-3"/>
        </w:rPr>
      </w:pPr>
      <w:r w:rsidRPr="00BD1319">
        <w:rPr>
          <w:spacing w:val="-3"/>
        </w:rPr>
        <w:t>C</w:t>
      </w:r>
      <w:r w:rsidR="00CD3A3D" w:rsidRPr="00BD1319">
        <w:rPr>
          <w:spacing w:val="-3"/>
        </w:rPr>
        <w:t xml:space="preserve">ategoría estandarizada de impactos </w:t>
      </w:r>
      <w:r w:rsidRPr="00BD1319">
        <w:rPr>
          <w:spacing w:val="-3"/>
        </w:rPr>
        <w:t>en la cual se clasifica</w:t>
      </w:r>
      <w:r w:rsidR="0013530A" w:rsidRPr="00BD1319">
        <w:rPr>
          <w:spacing w:val="-3"/>
        </w:rPr>
        <w:t>.</w:t>
      </w:r>
    </w:p>
    <w:p w14:paraId="72DD907A" w14:textId="77777777" w:rsidR="0013530A" w:rsidRPr="00BD1319" w:rsidRDefault="0013530A" w:rsidP="00C86DA5">
      <w:pPr>
        <w:tabs>
          <w:tab w:val="left" w:pos="-2268"/>
        </w:tabs>
        <w:suppressAutoHyphens/>
        <w:rPr>
          <w:spacing w:val="-3"/>
        </w:rPr>
      </w:pPr>
    </w:p>
    <w:p w14:paraId="3BBF2343" w14:textId="06C831A6" w:rsidR="00F72AE1" w:rsidRPr="00BD1319" w:rsidRDefault="00F72AE1" w:rsidP="00F72AE1">
      <w:pPr>
        <w:numPr>
          <w:ilvl w:val="0"/>
          <w:numId w:val="19"/>
        </w:numPr>
        <w:tabs>
          <w:tab w:val="left" w:pos="-2268"/>
        </w:tabs>
        <w:suppressAutoHyphens/>
        <w:ind w:left="567" w:hanging="567"/>
        <w:rPr>
          <w:spacing w:val="-3"/>
        </w:rPr>
      </w:pPr>
      <w:r w:rsidRPr="00BD1319">
        <w:rPr>
          <w:spacing w:val="-3"/>
        </w:rPr>
        <w:t>Significancia.</w:t>
      </w:r>
    </w:p>
    <w:p w14:paraId="482EBDA5" w14:textId="77777777" w:rsidR="00F72AE1" w:rsidRPr="00BD1319" w:rsidRDefault="00F72AE1" w:rsidP="00C86DA5">
      <w:pPr>
        <w:tabs>
          <w:tab w:val="left" w:pos="-2268"/>
        </w:tabs>
        <w:suppressAutoHyphens/>
        <w:rPr>
          <w:spacing w:val="-3"/>
        </w:rPr>
      </w:pPr>
    </w:p>
    <w:p w14:paraId="6D8AE24E" w14:textId="0DA83295" w:rsidR="00F33A22" w:rsidRPr="00BD1319" w:rsidRDefault="002B5EB0" w:rsidP="00C86DA5">
      <w:pPr>
        <w:numPr>
          <w:ilvl w:val="0"/>
          <w:numId w:val="19"/>
        </w:numPr>
        <w:tabs>
          <w:tab w:val="left" w:pos="-2268"/>
        </w:tabs>
        <w:suppressAutoHyphens/>
        <w:ind w:left="567" w:hanging="567"/>
        <w:rPr>
          <w:spacing w:val="-3"/>
        </w:rPr>
      </w:pPr>
      <w:r w:rsidRPr="00BD1319">
        <w:rPr>
          <w:spacing w:val="-3"/>
        </w:rPr>
        <w:t>Medidas mediante las cuales se maneja</w:t>
      </w:r>
      <w:r w:rsidR="00F33A22" w:rsidRPr="00BD1319">
        <w:rPr>
          <w:spacing w:val="-3"/>
        </w:rPr>
        <w:t>.</w:t>
      </w:r>
    </w:p>
    <w:p w14:paraId="01D81969" w14:textId="77777777" w:rsidR="00E149C4" w:rsidRPr="00BD1319" w:rsidRDefault="00E149C4" w:rsidP="0036668B">
      <w:pPr>
        <w:rPr>
          <w:spacing w:val="-3"/>
        </w:rPr>
      </w:pPr>
    </w:p>
    <w:p w14:paraId="68B257CC" w14:textId="38224E58" w:rsidR="00515354" w:rsidRPr="00BD1319" w:rsidRDefault="00E149C4" w:rsidP="00C86DA5">
      <w:pPr>
        <w:numPr>
          <w:ilvl w:val="0"/>
          <w:numId w:val="19"/>
        </w:numPr>
        <w:tabs>
          <w:tab w:val="left" w:pos="-2268"/>
        </w:tabs>
        <w:suppressAutoHyphens/>
        <w:ind w:left="567" w:hanging="567"/>
        <w:rPr>
          <w:spacing w:val="-3"/>
        </w:rPr>
      </w:pPr>
      <w:r w:rsidRPr="00BD1319">
        <w:rPr>
          <w:spacing w:val="-3"/>
        </w:rPr>
        <w:t xml:space="preserve">Objetivo </w:t>
      </w:r>
      <w:r w:rsidR="00515354" w:rsidRPr="00BD1319">
        <w:rPr>
          <w:spacing w:val="-3"/>
        </w:rPr>
        <w:t>de cada medida</w:t>
      </w:r>
      <w:r w:rsidR="00BA0F2A" w:rsidRPr="00BD1319">
        <w:rPr>
          <w:spacing w:val="-3"/>
        </w:rPr>
        <w:t xml:space="preserve"> de manejo</w:t>
      </w:r>
      <w:r w:rsidR="002452B5" w:rsidRPr="00BD1319">
        <w:rPr>
          <w:spacing w:val="-3"/>
        </w:rPr>
        <w:t xml:space="preserve"> (prevención, mitigación, corrección o compensación)</w:t>
      </w:r>
      <w:r w:rsidR="0059082A" w:rsidRPr="00BD1319">
        <w:rPr>
          <w:spacing w:val="-3"/>
        </w:rPr>
        <w:t>.</w:t>
      </w:r>
    </w:p>
    <w:p w14:paraId="100837DA" w14:textId="77777777" w:rsidR="002F4880" w:rsidRPr="00BD1319" w:rsidRDefault="002F4880" w:rsidP="000D6E21">
      <w:pPr>
        <w:rPr>
          <w:spacing w:val="-3"/>
        </w:rPr>
      </w:pPr>
    </w:p>
    <w:p w14:paraId="1FD02AD7" w14:textId="2533BCD3" w:rsidR="002F4880" w:rsidRPr="00BD1319" w:rsidRDefault="00055743" w:rsidP="00C86DA5">
      <w:pPr>
        <w:numPr>
          <w:ilvl w:val="0"/>
          <w:numId w:val="19"/>
        </w:numPr>
        <w:tabs>
          <w:tab w:val="left" w:pos="-2268"/>
        </w:tabs>
        <w:suppressAutoHyphens/>
        <w:ind w:left="567" w:hanging="567"/>
        <w:rPr>
          <w:spacing w:val="-3"/>
        </w:rPr>
      </w:pPr>
      <w:r w:rsidRPr="00BD1319">
        <w:rPr>
          <w:spacing w:val="-3"/>
        </w:rPr>
        <w:t xml:space="preserve">Tipo de </w:t>
      </w:r>
      <w:r w:rsidR="00713668" w:rsidRPr="00BD1319">
        <w:rPr>
          <w:spacing w:val="-3"/>
        </w:rPr>
        <w:t>medida de manejo</w:t>
      </w:r>
      <w:r w:rsidRPr="00BD1319">
        <w:rPr>
          <w:spacing w:val="-3"/>
        </w:rPr>
        <w:t xml:space="preserve"> en </w:t>
      </w:r>
      <w:r w:rsidR="00752EDC" w:rsidRPr="00BD1319">
        <w:rPr>
          <w:spacing w:val="-3"/>
        </w:rPr>
        <w:t>materia de cambio climático (</w:t>
      </w:r>
      <w:r w:rsidR="00A25DD8" w:rsidRPr="00BD1319">
        <w:rPr>
          <w:spacing w:val="-3"/>
        </w:rPr>
        <w:t>mitigación de GEI o adaptación al cambio climático</w:t>
      </w:r>
      <w:r w:rsidR="00752EDC" w:rsidRPr="00BD1319">
        <w:rPr>
          <w:spacing w:val="-3"/>
        </w:rPr>
        <w:t>)</w:t>
      </w:r>
      <w:r w:rsidR="00A25DD8" w:rsidRPr="00BD1319">
        <w:rPr>
          <w:spacing w:val="-3"/>
        </w:rPr>
        <w:t>, en caso de aplicar.</w:t>
      </w:r>
    </w:p>
    <w:p w14:paraId="325207A0" w14:textId="77777777" w:rsidR="00B77A87" w:rsidRPr="00BD1319" w:rsidRDefault="00B77A87" w:rsidP="000D6E21">
      <w:pPr>
        <w:rPr>
          <w:spacing w:val="-3"/>
        </w:rPr>
      </w:pPr>
    </w:p>
    <w:p w14:paraId="0D1807F4" w14:textId="20C712C9" w:rsidR="00C03A6B" w:rsidRPr="00BD1319" w:rsidRDefault="00C03A6B" w:rsidP="0082127E">
      <w:pPr>
        <w:numPr>
          <w:ilvl w:val="0"/>
          <w:numId w:val="19"/>
        </w:numPr>
        <w:tabs>
          <w:tab w:val="left" w:pos="-2268"/>
        </w:tabs>
        <w:suppressAutoHyphens/>
        <w:ind w:left="567" w:hanging="567"/>
        <w:rPr>
          <w:rFonts w:cs="Arial"/>
          <w:spacing w:val="-3"/>
        </w:rPr>
      </w:pPr>
      <w:r w:rsidRPr="00BD1319">
        <w:rPr>
          <w:rFonts w:cs="Arial"/>
          <w:spacing w:val="-3"/>
        </w:rPr>
        <w:t xml:space="preserve">Metas relacionadas con cada objetivo. </w:t>
      </w:r>
      <w:r w:rsidR="000B6243" w:rsidRPr="00BD1319">
        <w:rPr>
          <w:rFonts w:cs="Arial"/>
          <w:spacing w:val="-3"/>
        </w:rPr>
        <w:t>D</w:t>
      </w:r>
      <w:r w:rsidR="00F51869" w:rsidRPr="00BD1319">
        <w:rPr>
          <w:rFonts w:cs="Arial"/>
          <w:spacing w:val="-3"/>
        </w:rPr>
        <w:t>e</w:t>
      </w:r>
      <w:r w:rsidR="0059082A" w:rsidRPr="00BD1319">
        <w:rPr>
          <w:spacing w:val="-3"/>
        </w:rPr>
        <w:t xml:space="preserve"> acuerdo con el tipo de medida de manejo </w:t>
      </w:r>
      <w:r w:rsidR="000B6243" w:rsidRPr="00BD1319">
        <w:rPr>
          <w:spacing w:val="-3"/>
        </w:rPr>
        <w:t xml:space="preserve">(prevención, mitigación, corrección o compensación), </w:t>
      </w:r>
      <w:r w:rsidR="00713668" w:rsidRPr="00BD1319">
        <w:rPr>
          <w:spacing w:val="-3"/>
        </w:rPr>
        <w:t xml:space="preserve">las metas </w:t>
      </w:r>
      <w:r w:rsidR="000B6243" w:rsidRPr="00BD1319">
        <w:rPr>
          <w:spacing w:val="-3"/>
        </w:rPr>
        <w:t>debe</w:t>
      </w:r>
      <w:r w:rsidR="004F359D" w:rsidRPr="00BD1319">
        <w:rPr>
          <w:spacing w:val="-3"/>
        </w:rPr>
        <w:t>n</w:t>
      </w:r>
      <w:r w:rsidR="000B6243" w:rsidRPr="00BD1319">
        <w:rPr>
          <w:spacing w:val="-3"/>
        </w:rPr>
        <w:t xml:space="preserve"> especificar de forma cuantitativa si ello resulta posible, </w:t>
      </w:r>
      <w:r w:rsidR="0059082A" w:rsidRPr="00BD1319">
        <w:rPr>
          <w:spacing w:val="-3"/>
        </w:rPr>
        <w:t>qué resultado</w:t>
      </w:r>
      <w:r w:rsidR="000B6243" w:rsidRPr="00BD1319">
        <w:rPr>
          <w:spacing w:val="-3"/>
        </w:rPr>
        <w:t>s</w:t>
      </w:r>
      <w:r w:rsidR="0059082A" w:rsidRPr="00BD1319">
        <w:rPr>
          <w:spacing w:val="-3"/>
        </w:rPr>
        <w:t xml:space="preserve"> </w:t>
      </w:r>
      <w:r w:rsidR="000B6243" w:rsidRPr="00BD1319">
        <w:rPr>
          <w:spacing w:val="-3"/>
        </w:rPr>
        <w:t xml:space="preserve">finales y parciales </w:t>
      </w:r>
      <w:r w:rsidR="0036668B" w:rsidRPr="00BD1319">
        <w:rPr>
          <w:spacing w:val="-3"/>
        </w:rPr>
        <w:t xml:space="preserve">en el parámetro, indicador o índice </w:t>
      </w:r>
      <w:r w:rsidR="0059082A" w:rsidRPr="00BD1319">
        <w:rPr>
          <w:spacing w:val="-3"/>
        </w:rPr>
        <w:t>ambiental asociado se espera obtener</w:t>
      </w:r>
      <w:r w:rsidR="000B6243" w:rsidRPr="00BD1319">
        <w:rPr>
          <w:spacing w:val="-3"/>
        </w:rPr>
        <w:t xml:space="preserve"> </w:t>
      </w:r>
      <w:r w:rsidR="004F359D" w:rsidRPr="00BD1319">
        <w:rPr>
          <w:spacing w:val="-3"/>
        </w:rPr>
        <w:t xml:space="preserve">mediante </w:t>
      </w:r>
      <w:r w:rsidR="000B6243" w:rsidRPr="00BD1319">
        <w:rPr>
          <w:spacing w:val="-3"/>
        </w:rPr>
        <w:t xml:space="preserve">la aplicación de </w:t>
      </w:r>
      <w:r w:rsidR="004F359D" w:rsidRPr="00BD1319">
        <w:rPr>
          <w:spacing w:val="-3"/>
        </w:rPr>
        <w:t xml:space="preserve">tal </w:t>
      </w:r>
      <w:r w:rsidR="000B6243" w:rsidRPr="00BD1319">
        <w:rPr>
          <w:spacing w:val="-3"/>
        </w:rPr>
        <w:t>medida</w:t>
      </w:r>
      <w:r w:rsidR="0059082A" w:rsidRPr="00BD1319">
        <w:rPr>
          <w:rFonts w:cs="Arial"/>
          <w:spacing w:val="-3"/>
        </w:rPr>
        <w:t>.</w:t>
      </w:r>
    </w:p>
    <w:p w14:paraId="15A1AF52" w14:textId="18469CFC" w:rsidR="00F822A3" w:rsidRPr="00BD1319" w:rsidRDefault="00F822A3" w:rsidP="009420F5">
      <w:pPr>
        <w:rPr>
          <w:spacing w:val="-3"/>
          <w:lang w:val="es-ES_tradnl"/>
        </w:rPr>
      </w:pPr>
    </w:p>
    <w:p w14:paraId="02F620D8" w14:textId="77777777" w:rsidR="00F822A3" w:rsidRPr="00BD1319" w:rsidRDefault="00F822A3" w:rsidP="00F822A3">
      <w:pPr>
        <w:numPr>
          <w:ilvl w:val="0"/>
          <w:numId w:val="19"/>
        </w:numPr>
        <w:tabs>
          <w:tab w:val="left" w:pos="-2268"/>
        </w:tabs>
        <w:suppressAutoHyphens/>
        <w:ind w:left="567" w:hanging="567"/>
        <w:rPr>
          <w:spacing w:val="-3"/>
        </w:rPr>
      </w:pPr>
      <w:r w:rsidRPr="00BD1319">
        <w:rPr>
          <w:rFonts w:cs="Arial"/>
          <w:spacing w:val="-3"/>
        </w:rPr>
        <w:t>Listado</w:t>
      </w:r>
      <w:r w:rsidRPr="00BD1319">
        <w:rPr>
          <w:spacing w:val="-3"/>
        </w:rPr>
        <w:t xml:space="preserve"> de acciones específicas a ejecutar para desarrollar cada medida.</w:t>
      </w:r>
    </w:p>
    <w:p w14:paraId="0418CC44" w14:textId="77777777" w:rsidR="00F33A22" w:rsidRPr="00BD1319" w:rsidRDefault="00F33A22">
      <w:pPr>
        <w:tabs>
          <w:tab w:val="left" w:pos="-2268"/>
        </w:tabs>
        <w:suppressAutoHyphens/>
        <w:rPr>
          <w:spacing w:val="-3"/>
        </w:rPr>
      </w:pPr>
    </w:p>
    <w:p w14:paraId="4660FEFB" w14:textId="17720EBC" w:rsidR="00F33A22" w:rsidRPr="00BD1319" w:rsidRDefault="00F33A22" w:rsidP="00C86DA5">
      <w:pPr>
        <w:numPr>
          <w:ilvl w:val="0"/>
          <w:numId w:val="19"/>
        </w:numPr>
        <w:tabs>
          <w:tab w:val="left" w:pos="-2268"/>
        </w:tabs>
        <w:suppressAutoHyphens/>
        <w:ind w:left="567" w:hanging="567"/>
        <w:rPr>
          <w:spacing w:val="-3"/>
        </w:rPr>
      </w:pPr>
      <w:r w:rsidRPr="00BD1319">
        <w:rPr>
          <w:spacing w:val="-3"/>
        </w:rPr>
        <w:t>Fases del proyecto</w:t>
      </w:r>
      <w:r w:rsidR="00311679" w:rsidRPr="00BD1319">
        <w:rPr>
          <w:spacing w:val="-3"/>
        </w:rPr>
        <w:t>, obra o actividad</w:t>
      </w:r>
      <w:r w:rsidRPr="00BD1319">
        <w:rPr>
          <w:spacing w:val="-3"/>
        </w:rPr>
        <w:t xml:space="preserve"> en las que se </w:t>
      </w:r>
      <w:r w:rsidR="00F822A3" w:rsidRPr="00BD1319">
        <w:rPr>
          <w:rFonts w:cs="Arial"/>
          <w:spacing w:val="-3"/>
        </w:rPr>
        <w:t xml:space="preserve">prevé </w:t>
      </w:r>
      <w:r w:rsidRPr="00BD1319">
        <w:rPr>
          <w:rFonts w:cs="Arial"/>
          <w:spacing w:val="-3"/>
        </w:rPr>
        <w:t>implementar</w:t>
      </w:r>
      <w:r w:rsidR="0013530A" w:rsidRPr="00BD1319">
        <w:rPr>
          <w:rFonts w:cs="Arial"/>
          <w:spacing w:val="-3"/>
        </w:rPr>
        <w:t xml:space="preserve"> cada medida</w:t>
      </w:r>
      <w:r w:rsidRPr="00BD1319">
        <w:rPr>
          <w:spacing w:val="-3"/>
        </w:rPr>
        <w:t>.</w:t>
      </w:r>
    </w:p>
    <w:p w14:paraId="1222B875" w14:textId="77777777" w:rsidR="00F33A22" w:rsidRPr="00BD1319" w:rsidRDefault="00F33A22">
      <w:pPr>
        <w:tabs>
          <w:tab w:val="left" w:pos="-2268"/>
        </w:tabs>
        <w:suppressAutoHyphens/>
        <w:rPr>
          <w:spacing w:val="-3"/>
        </w:rPr>
      </w:pPr>
    </w:p>
    <w:p w14:paraId="0057576E" w14:textId="6448E921" w:rsidR="003A1234" w:rsidRPr="00BD1319" w:rsidRDefault="003A1234" w:rsidP="003A1234">
      <w:pPr>
        <w:numPr>
          <w:ilvl w:val="0"/>
          <w:numId w:val="19"/>
        </w:numPr>
        <w:tabs>
          <w:tab w:val="left" w:pos="-2268"/>
        </w:tabs>
        <w:suppressAutoHyphens/>
        <w:ind w:left="567" w:hanging="567"/>
        <w:rPr>
          <w:rFonts w:cs="Arial"/>
          <w:spacing w:val="-3"/>
        </w:rPr>
      </w:pPr>
      <w:r w:rsidRPr="00BD1319">
        <w:rPr>
          <w:spacing w:val="-3"/>
        </w:rPr>
        <w:t xml:space="preserve">Cronograma </w:t>
      </w:r>
      <w:r w:rsidRPr="00BD1319">
        <w:rPr>
          <w:rFonts w:cs="Arial"/>
          <w:spacing w:val="-3"/>
        </w:rPr>
        <w:t xml:space="preserve">anual </w:t>
      </w:r>
      <w:r w:rsidRPr="00BD1319">
        <w:rPr>
          <w:spacing w:val="-3"/>
        </w:rPr>
        <w:t xml:space="preserve">estimado de implementación de </w:t>
      </w:r>
      <w:r w:rsidR="00BA0F2A" w:rsidRPr="00BD1319">
        <w:rPr>
          <w:rFonts w:cs="Arial"/>
          <w:spacing w:val="-3"/>
        </w:rPr>
        <w:t xml:space="preserve">cada </w:t>
      </w:r>
      <w:r w:rsidRPr="00BD1319">
        <w:rPr>
          <w:rFonts w:cs="Arial"/>
          <w:spacing w:val="-3"/>
        </w:rPr>
        <w:t>medida.</w:t>
      </w:r>
    </w:p>
    <w:p w14:paraId="4897BDC0" w14:textId="77777777" w:rsidR="003A1234" w:rsidRPr="00BD1319" w:rsidRDefault="003A1234">
      <w:pPr>
        <w:tabs>
          <w:tab w:val="left" w:pos="-2268"/>
        </w:tabs>
        <w:suppressAutoHyphens/>
        <w:rPr>
          <w:spacing w:val="-3"/>
        </w:rPr>
      </w:pPr>
    </w:p>
    <w:p w14:paraId="590B08BD" w14:textId="19C222B0" w:rsidR="00F33A22" w:rsidRPr="00BD1319" w:rsidRDefault="00F33A22" w:rsidP="00C86DA5">
      <w:pPr>
        <w:numPr>
          <w:ilvl w:val="0"/>
          <w:numId w:val="19"/>
        </w:numPr>
        <w:tabs>
          <w:tab w:val="left" w:pos="-2268"/>
        </w:tabs>
        <w:suppressAutoHyphens/>
        <w:ind w:left="567" w:hanging="567"/>
        <w:rPr>
          <w:spacing w:val="-3"/>
        </w:rPr>
      </w:pPr>
      <w:r w:rsidRPr="00BD1319">
        <w:rPr>
          <w:spacing w:val="-3"/>
        </w:rPr>
        <w:t xml:space="preserve">Lugares de aplicación </w:t>
      </w:r>
      <w:r w:rsidR="0013530A" w:rsidRPr="00BD1319">
        <w:rPr>
          <w:spacing w:val="-3"/>
        </w:rPr>
        <w:t>de las medidas</w:t>
      </w:r>
      <w:r w:rsidR="00BA0F2A" w:rsidRPr="00BD1319">
        <w:rPr>
          <w:spacing w:val="-3"/>
        </w:rPr>
        <w:t>, señalando siempre que sea posible su ubicación en términos de coordenadas</w:t>
      </w:r>
      <w:r w:rsidR="000E50DE" w:rsidRPr="00BD1319">
        <w:rPr>
          <w:spacing w:val="-3"/>
        </w:rPr>
        <w:t xml:space="preserve"> o de unidades de análisis</w:t>
      </w:r>
      <w:r w:rsidRPr="00BD1319">
        <w:rPr>
          <w:spacing w:val="-3"/>
        </w:rPr>
        <w:t>.</w:t>
      </w:r>
      <w:r w:rsidRPr="00BD1319">
        <w:rPr>
          <w:rFonts w:cs="Arial"/>
          <w:spacing w:val="-3"/>
        </w:rPr>
        <w:t xml:space="preserve"> </w:t>
      </w:r>
      <w:r w:rsidR="00BA0F2A" w:rsidRPr="00BD1319">
        <w:rPr>
          <w:rFonts w:cs="Arial"/>
          <w:spacing w:val="-3"/>
        </w:rPr>
        <w:t>Estos lugares d</w:t>
      </w:r>
      <w:r w:rsidRPr="00BD1319">
        <w:rPr>
          <w:rFonts w:cs="Arial"/>
          <w:spacing w:val="-3"/>
        </w:rPr>
        <w:t>ebe</w:t>
      </w:r>
      <w:r w:rsidR="00C26B8E" w:rsidRPr="00BD1319">
        <w:rPr>
          <w:rFonts w:cs="Arial"/>
          <w:spacing w:val="-3"/>
        </w:rPr>
        <w:t>n</w:t>
      </w:r>
      <w:r w:rsidRPr="00BD1319">
        <w:rPr>
          <w:rFonts w:cs="Arial"/>
          <w:spacing w:val="-3"/>
        </w:rPr>
        <w:t xml:space="preserve"> estar asociad</w:t>
      </w:r>
      <w:r w:rsidR="00C26B8E" w:rsidRPr="00BD1319">
        <w:rPr>
          <w:rFonts w:cs="Arial"/>
          <w:spacing w:val="-3"/>
        </w:rPr>
        <w:t>os</w:t>
      </w:r>
      <w:r w:rsidRPr="00BD1319">
        <w:rPr>
          <w:rFonts w:cs="Arial"/>
          <w:spacing w:val="-3"/>
        </w:rPr>
        <w:t xml:space="preserve"> al área </w:t>
      </w:r>
      <w:r w:rsidR="00504331" w:rsidRPr="00BD1319">
        <w:rPr>
          <w:rFonts w:cs="Arial"/>
          <w:spacing w:val="-3"/>
        </w:rPr>
        <w:t xml:space="preserve">de </w:t>
      </w:r>
      <w:r w:rsidRPr="00BD1319">
        <w:rPr>
          <w:rFonts w:cs="Arial"/>
          <w:spacing w:val="-3"/>
        </w:rPr>
        <w:t>manif</w:t>
      </w:r>
      <w:r w:rsidR="00504331" w:rsidRPr="00BD1319">
        <w:rPr>
          <w:rFonts w:cs="Arial"/>
          <w:spacing w:val="-3"/>
        </w:rPr>
        <w:t xml:space="preserve">estación </w:t>
      </w:r>
      <w:r w:rsidR="00C26B8E" w:rsidRPr="00BD1319">
        <w:rPr>
          <w:rFonts w:cs="Arial"/>
          <w:spacing w:val="-3"/>
        </w:rPr>
        <w:t xml:space="preserve">o al lugar en el que se </w:t>
      </w:r>
      <w:r w:rsidR="00504331" w:rsidRPr="00BD1319">
        <w:rPr>
          <w:rFonts w:cs="Arial"/>
          <w:spacing w:val="-3"/>
        </w:rPr>
        <w:t>generan los impactos</w:t>
      </w:r>
      <w:r w:rsidRPr="00BD1319">
        <w:rPr>
          <w:rFonts w:cs="Arial"/>
          <w:spacing w:val="-3"/>
        </w:rPr>
        <w:t>.</w:t>
      </w:r>
    </w:p>
    <w:p w14:paraId="082AB917" w14:textId="77777777" w:rsidR="00F33A22" w:rsidRPr="00BD1319" w:rsidRDefault="00F33A22">
      <w:pPr>
        <w:tabs>
          <w:tab w:val="left" w:pos="-2268"/>
        </w:tabs>
        <w:suppressAutoHyphens/>
        <w:rPr>
          <w:spacing w:val="-3"/>
        </w:rPr>
      </w:pPr>
    </w:p>
    <w:p w14:paraId="6A0B6A44" w14:textId="23AB48EF" w:rsidR="00F33A22" w:rsidRPr="00BD1319" w:rsidRDefault="00F33A22" w:rsidP="00C86DA5">
      <w:pPr>
        <w:numPr>
          <w:ilvl w:val="0"/>
          <w:numId w:val="19"/>
        </w:numPr>
        <w:tabs>
          <w:tab w:val="left" w:pos="-2268"/>
        </w:tabs>
        <w:suppressAutoHyphens/>
        <w:ind w:left="567" w:hanging="567"/>
        <w:rPr>
          <w:spacing w:val="-3"/>
        </w:rPr>
      </w:pPr>
      <w:r w:rsidRPr="00BD1319">
        <w:rPr>
          <w:rFonts w:cs="Arial"/>
          <w:spacing w:val="-3"/>
        </w:rPr>
        <w:t>Descripción sucinta</w:t>
      </w:r>
      <w:r w:rsidRPr="00BD1319">
        <w:rPr>
          <w:spacing w:val="-3"/>
        </w:rPr>
        <w:t xml:space="preserve"> de las obras </w:t>
      </w:r>
      <w:r w:rsidR="00457632" w:rsidRPr="00BD1319">
        <w:rPr>
          <w:spacing w:val="-3"/>
        </w:rPr>
        <w:t xml:space="preserve">que se </w:t>
      </w:r>
      <w:r w:rsidRPr="00BD1319">
        <w:rPr>
          <w:spacing w:val="-3"/>
        </w:rPr>
        <w:t>prop</w:t>
      </w:r>
      <w:r w:rsidR="00457632" w:rsidRPr="00BD1319">
        <w:rPr>
          <w:spacing w:val="-3"/>
        </w:rPr>
        <w:t xml:space="preserve">one </w:t>
      </w:r>
      <w:r w:rsidR="00F822A3" w:rsidRPr="00BD1319">
        <w:rPr>
          <w:spacing w:val="-3"/>
        </w:rPr>
        <w:t>construir</w:t>
      </w:r>
      <w:r w:rsidRPr="00BD1319">
        <w:rPr>
          <w:spacing w:val="-3"/>
        </w:rPr>
        <w:t>. Los diseños deben presentarse como documentos anexos al estudio</w:t>
      </w:r>
      <w:r w:rsidR="00026414" w:rsidRPr="00BD1319">
        <w:rPr>
          <w:spacing w:val="-3"/>
        </w:rPr>
        <w:t>, en caso de aplicar</w:t>
      </w:r>
      <w:r w:rsidRPr="00BD1319">
        <w:rPr>
          <w:spacing w:val="-3"/>
        </w:rPr>
        <w:t>.</w:t>
      </w:r>
    </w:p>
    <w:p w14:paraId="52F89469" w14:textId="77777777" w:rsidR="00F33A22" w:rsidRPr="00BD1319" w:rsidRDefault="00F33A22">
      <w:pPr>
        <w:tabs>
          <w:tab w:val="left" w:pos="-2268"/>
        </w:tabs>
        <w:suppressAutoHyphens/>
        <w:rPr>
          <w:spacing w:val="-3"/>
        </w:rPr>
      </w:pPr>
    </w:p>
    <w:p w14:paraId="57B2779B" w14:textId="4BE35BBD" w:rsidR="00F33A22" w:rsidRPr="00BD1319" w:rsidRDefault="00F33A22" w:rsidP="00C86DA5">
      <w:pPr>
        <w:numPr>
          <w:ilvl w:val="0"/>
          <w:numId w:val="19"/>
        </w:numPr>
        <w:tabs>
          <w:tab w:val="left" w:pos="-2268"/>
        </w:tabs>
        <w:suppressAutoHyphens/>
        <w:ind w:left="567" w:hanging="567"/>
        <w:rPr>
          <w:spacing w:val="-3"/>
        </w:rPr>
      </w:pPr>
      <w:r w:rsidRPr="00BD1319">
        <w:rPr>
          <w:rFonts w:cs="Arial"/>
          <w:spacing w:val="-3"/>
        </w:rPr>
        <w:t xml:space="preserve">Estimativo de </w:t>
      </w:r>
      <w:r w:rsidRPr="00BD1319">
        <w:rPr>
          <w:spacing w:val="-3"/>
        </w:rPr>
        <w:t xml:space="preserve">los </w:t>
      </w:r>
      <w:r w:rsidRPr="00BD1319">
        <w:rPr>
          <w:rFonts w:cs="Arial"/>
          <w:spacing w:val="-3"/>
        </w:rPr>
        <w:t xml:space="preserve">recursos </w:t>
      </w:r>
      <w:r w:rsidR="003A1234" w:rsidRPr="00BD1319">
        <w:rPr>
          <w:spacing w:val="-3"/>
        </w:rPr>
        <w:t xml:space="preserve">(humanos, técnicos y tecnológicos, maquinaria y equipos, materiales, entre otros) </w:t>
      </w:r>
      <w:r w:rsidRPr="00BD1319">
        <w:rPr>
          <w:rFonts w:cs="Arial"/>
          <w:spacing w:val="-3"/>
        </w:rPr>
        <w:t>y costos necesarios para la</w:t>
      </w:r>
      <w:r w:rsidRPr="00BD1319">
        <w:rPr>
          <w:spacing w:val="-3"/>
        </w:rPr>
        <w:t xml:space="preserve"> implementación de cada medida</w:t>
      </w:r>
      <w:r w:rsidR="003A1234" w:rsidRPr="00BD1319">
        <w:rPr>
          <w:spacing w:val="-3"/>
        </w:rPr>
        <w:t>.</w:t>
      </w:r>
    </w:p>
    <w:p w14:paraId="3410F76E" w14:textId="77777777" w:rsidR="00BA0F2A" w:rsidRPr="00BD1319" w:rsidRDefault="00BA0F2A" w:rsidP="009420F5">
      <w:pPr>
        <w:rPr>
          <w:spacing w:val="-3"/>
        </w:rPr>
      </w:pPr>
    </w:p>
    <w:p w14:paraId="7943AB56" w14:textId="755D9756" w:rsidR="00BA0F2A" w:rsidRPr="00BD1319" w:rsidRDefault="00BA0F2A" w:rsidP="00C86DA5">
      <w:pPr>
        <w:numPr>
          <w:ilvl w:val="0"/>
          <w:numId w:val="19"/>
        </w:numPr>
        <w:tabs>
          <w:tab w:val="left" w:pos="-2268"/>
        </w:tabs>
        <w:suppressAutoHyphens/>
        <w:ind w:left="567" w:hanging="567"/>
        <w:rPr>
          <w:spacing w:val="-3"/>
        </w:rPr>
      </w:pPr>
      <w:r w:rsidRPr="00BD1319">
        <w:rPr>
          <w:spacing w:val="-3"/>
        </w:rPr>
        <w:t>Indicador</w:t>
      </w:r>
      <w:r w:rsidR="00F4736F" w:rsidRPr="00BD1319">
        <w:rPr>
          <w:spacing w:val="-3"/>
        </w:rPr>
        <w:t>es</w:t>
      </w:r>
      <w:r w:rsidR="00112DA9" w:rsidRPr="00BD1319">
        <w:rPr>
          <w:spacing w:val="-3"/>
        </w:rPr>
        <w:t xml:space="preserve"> de eficacia </w:t>
      </w:r>
      <w:r w:rsidR="00F4736F" w:rsidRPr="00BD1319">
        <w:rPr>
          <w:spacing w:val="-3"/>
        </w:rPr>
        <w:t>y de eficiencia para</w:t>
      </w:r>
      <w:r w:rsidR="00112DA9" w:rsidRPr="00BD1319">
        <w:rPr>
          <w:spacing w:val="-3"/>
        </w:rPr>
        <w:t xml:space="preserve"> cada medida de manejo</w:t>
      </w:r>
      <w:r w:rsidR="00112DA9" w:rsidRPr="00BD1319">
        <w:rPr>
          <w:rStyle w:val="Refdenotaalpie"/>
          <w:spacing w:val="-3"/>
          <w:lang w:val="es-CO"/>
        </w:rPr>
        <w:footnoteReference w:id="214"/>
      </w:r>
      <w:r w:rsidR="00112DA9" w:rsidRPr="00BD1319">
        <w:rPr>
          <w:spacing w:val="-3"/>
        </w:rPr>
        <w:t>.</w:t>
      </w:r>
    </w:p>
    <w:p w14:paraId="417E7A7A" w14:textId="6A6477E4" w:rsidR="00F33A22" w:rsidRPr="00BD1319" w:rsidRDefault="00F33A22" w:rsidP="00F33A22">
      <w:pPr>
        <w:numPr>
          <w:ilvl w:val="12"/>
          <w:numId w:val="0"/>
        </w:numPr>
        <w:tabs>
          <w:tab w:val="left" w:pos="-2268"/>
        </w:tabs>
        <w:suppressAutoHyphens/>
        <w:rPr>
          <w:rFonts w:cs="Arial"/>
          <w:spacing w:val="-3"/>
        </w:rPr>
      </w:pPr>
    </w:p>
    <w:p w14:paraId="1806CECD" w14:textId="04734865" w:rsidR="00F33A22" w:rsidRPr="00BD1319" w:rsidRDefault="00F33A22" w:rsidP="00F33A22">
      <w:pPr>
        <w:numPr>
          <w:ilvl w:val="12"/>
          <w:numId w:val="0"/>
        </w:numPr>
        <w:tabs>
          <w:tab w:val="left" w:pos="-2268"/>
        </w:tabs>
        <w:suppressAutoHyphens/>
        <w:rPr>
          <w:rFonts w:cs="Arial"/>
          <w:spacing w:val="-3"/>
        </w:rPr>
      </w:pPr>
      <w:r w:rsidRPr="00BD1319">
        <w:rPr>
          <w:rFonts w:cs="Arial"/>
          <w:spacing w:val="-3"/>
        </w:rPr>
        <w:t>Estos indicadores</w:t>
      </w:r>
      <w:r w:rsidR="00E776BF" w:rsidRPr="00BD1319">
        <w:rPr>
          <w:rFonts w:cs="Arial"/>
          <w:spacing w:val="-3"/>
        </w:rPr>
        <w:t xml:space="preserve">, </w:t>
      </w:r>
      <w:r w:rsidRPr="00BD1319">
        <w:rPr>
          <w:rFonts w:cs="Arial"/>
          <w:spacing w:val="-3"/>
        </w:rPr>
        <w:t>son de suma importancia</w:t>
      </w:r>
      <w:r w:rsidR="00E776BF" w:rsidRPr="00BD1319">
        <w:rPr>
          <w:rFonts w:cs="Arial"/>
          <w:spacing w:val="-3"/>
        </w:rPr>
        <w:t xml:space="preserve"> para </w:t>
      </w:r>
      <w:r w:rsidRPr="00BD1319">
        <w:rPr>
          <w:rFonts w:cs="Arial"/>
          <w:spacing w:val="-3"/>
        </w:rPr>
        <w:t>el beneficiario de una licencia ambiental</w:t>
      </w:r>
      <w:r w:rsidR="00E776BF" w:rsidRPr="00BD1319">
        <w:rPr>
          <w:rFonts w:cs="Arial"/>
          <w:spacing w:val="-3"/>
        </w:rPr>
        <w:t xml:space="preserve"> y </w:t>
      </w:r>
      <w:r w:rsidRPr="00BD1319">
        <w:rPr>
          <w:rFonts w:cs="Arial"/>
          <w:spacing w:val="-3"/>
        </w:rPr>
        <w:t>el grupo de seguimiento de la autoridad ambiental,</w:t>
      </w:r>
      <w:r w:rsidR="00E776BF" w:rsidRPr="00BD1319">
        <w:rPr>
          <w:rFonts w:cs="Arial"/>
          <w:spacing w:val="-3"/>
        </w:rPr>
        <w:t xml:space="preserve"> pues es a través de ellos que es posible </w:t>
      </w:r>
      <w:r w:rsidRPr="00BD1319">
        <w:rPr>
          <w:rFonts w:cs="Arial"/>
          <w:spacing w:val="-3"/>
        </w:rPr>
        <w:t xml:space="preserve">acometer el proceso </w:t>
      </w:r>
      <w:r w:rsidR="008977D3" w:rsidRPr="00BD1319">
        <w:rPr>
          <w:rFonts w:cs="Arial"/>
          <w:spacing w:val="-3"/>
        </w:rPr>
        <w:t xml:space="preserve">de </w:t>
      </w:r>
      <w:r w:rsidRPr="00BD1319">
        <w:rPr>
          <w:rFonts w:cs="Arial"/>
          <w:spacing w:val="-3"/>
        </w:rPr>
        <w:t>seguimiento ambiental al proyecto, obra o actividad, y tomar las decisiones a que haya lugar.</w:t>
      </w:r>
    </w:p>
    <w:p w14:paraId="3E8BB301" w14:textId="77777777" w:rsidR="00E776BF" w:rsidRPr="00BD1319" w:rsidRDefault="00E776BF" w:rsidP="00F33A22">
      <w:pPr>
        <w:numPr>
          <w:ilvl w:val="12"/>
          <w:numId w:val="0"/>
        </w:numPr>
        <w:tabs>
          <w:tab w:val="left" w:pos="-2268"/>
        </w:tabs>
        <w:suppressAutoHyphens/>
        <w:rPr>
          <w:rFonts w:cs="Arial"/>
          <w:spacing w:val="-3"/>
        </w:rPr>
      </w:pPr>
    </w:p>
    <w:p w14:paraId="2739F7DC" w14:textId="709ECF44" w:rsidR="00E776BF" w:rsidRPr="00BD1319" w:rsidRDefault="005723A9" w:rsidP="00E776BF">
      <w:pPr>
        <w:tabs>
          <w:tab w:val="left" w:pos="-2268"/>
        </w:tabs>
        <w:suppressAutoHyphens/>
        <w:rPr>
          <w:spacing w:val="-3"/>
        </w:rPr>
      </w:pPr>
      <w:r w:rsidRPr="00BD1319">
        <w:rPr>
          <w:spacing w:val="-3"/>
        </w:rPr>
        <w:t>L</w:t>
      </w:r>
      <w:r w:rsidR="00E776BF" w:rsidRPr="00BD1319">
        <w:rPr>
          <w:spacing w:val="-3"/>
        </w:rPr>
        <w:t xml:space="preserve">a elaboración del plan de manejo ambiental debe asegurar el manejo </w:t>
      </w:r>
      <w:r w:rsidR="00E776BF" w:rsidRPr="00BD1319">
        <w:rPr>
          <w:rFonts w:cs="Arial"/>
          <w:spacing w:val="-3"/>
        </w:rPr>
        <w:t>eficaz</w:t>
      </w:r>
      <w:r w:rsidR="00E776BF" w:rsidRPr="00BD1319">
        <w:rPr>
          <w:spacing w:val="-3"/>
        </w:rPr>
        <w:t xml:space="preserve"> </w:t>
      </w:r>
      <w:r w:rsidR="00A1117E" w:rsidRPr="00BD1319">
        <w:rPr>
          <w:spacing w:val="-3"/>
        </w:rPr>
        <w:t xml:space="preserve">e integral </w:t>
      </w:r>
      <w:r w:rsidR="00E776BF" w:rsidRPr="00BD1319">
        <w:rPr>
          <w:spacing w:val="-3"/>
        </w:rPr>
        <w:t xml:space="preserve">de todos los impactos ambientales negativos identificados, </w:t>
      </w:r>
      <w:r w:rsidRPr="00BD1319">
        <w:rPr>
          <w:spacing w:val="-3"/>
        </w:rPr>
        <w:t xml:space="preserve">así como </w:t>
      </w:r>
      <w:r w:rsidR="004D3CB4" w:rsidRPr="00BD1319">
        <w:rPr>
          <w:spacing w:val="-3"/>
        </w:rPr>
        <w:t xml:space="preserve">considerar </w:t>
      </w:r>
      <w:r w:rsidR="00E776BF" w:rsidRPr="00BD1319">
        <w:rPr>
          <w:spacing w:val="-3"/>
        </w:rPr>
        <w:t>los planes de desarrollo regional y local</w:t>
      </w:r>
      <w:r w:rsidR="00337EF3" w:rsidRPr="00BD1319">
        <w:rPr>
          <w:spacing w:val="-3"/>
        </w:rPr>
        <w:t>,</w:t>
      </w:r>
      <w:r w:rsidR="00E776BF" w:rsidRPr="00BD1319">
        <w:rPr>
          <w:spacing w:val="-3"/>
        </w:rPr>
        <w:t xml:space="preserve"> en caso de existir, así como los planes de ordenamiento ambiental territorial, </w:t>
      </w:r>
      <w:r w:rsidR="00337EF3" w:rsidRPr="00BD1319">
        <w:rPr>
          <w:spacing w:val="-3"/>
        </w:rPr>
        <w:t xml:space="preserve">a fin </w:t>
      </w:r>
      <w:r w:rsidR="00E776BF" w:rsidRPr="00BD1319">
        <w:rPr>
          <w:spacing w:val="-3"/>
        </w:rPr>
        <w:t xml:space="preserve">de </w:t>
      </w:r>
      <w:r w:rsidR="004D3CB4" w:rsidRPr="00BD1319">
        <w:rPr>
          <w:spacing w:val="-3"/>
        </w:rPr>
        <w:t xml:space="preserve">buscar </w:t>
      </w:r>
      <w:r w:rsidR="00E776BF" w:rsidRPr="00BD1319">
        <w:rPr>
          <w:spacing w:val="-3"/>
        </w:rPr>
        <w:t>coherencia con los mismos.</w:t>
      </w:r>
    </w:p>
    <w:p w14:paraId="1604D393" w14:textId="77777777" w:rsidR="00035ABF" w:rsidRPr="00BD1319" w:rsidRDefault="00035ABF">
      <w:pPr>
        <w:numPr>
          <w:ilvl w:val="12"/>
          <w:numId w:val="0"/>
        </w:numPr>
        <w:tabs>
          <w:tab w:val="left" w:pos="-2268"/>
        </w:tabs>
        <w:suppressAutoHyphens/>
        <w:rPr>
          <w:rFonts w:cs="Arial"/>
          <w:spacing w:val="-3"/>
        </w:rPr>
      </w:pPr>
    </w:p>
    <w:p w14:paraId="5235683F" w14:textId="3E77141E" w:rsidR="00035ABF" w:rsidRPr="00BD1319" w:rsidRDefault="00035ABF" w:rsidP="00216955">
      <w:pPr>
        <w:pStyle w:val="Ttulo3"/>
      </w:pPr>
      <w:bookmarkStart w:id="11038" w:name="_Toc175326819"/>
      <w:r w:rsidRPr="00BD1319">
        <w:t>Programa de reasentamiento</w:t>
      </w:r>
      <w:r w:rsidR="00823C3C" w:rsidRPr="00BD1319">
        <w:t xml:space="preserve"> involuntario de población</w:t>
      </w:r>
      <w:bookmarkEnd w:id="11038"/>
    </w:p>
    <w:p w14:paraId="2CB3E9B0" w14:textId="77777777" w:rsidR="0025454F" w:rsidRPr="00BD1319" w:rsidRDefault="0025454F">
      <w:pPr>
        <w:numPr>
          <w:ilvl w:val="12"/>
          <w:numId w:val="0"/>
        </w:numPr>
        <w:tabs>
          <w:tab w:val="left" w:pos="-2268"/>
        </w:tabs>
        <w:suppressAutoHyphens/>
        <w:rPr>
          <w:rFonts w:cs="Arial"/>
          <w:spacing w:val="-3"/>
        </w:rPr>
      </w:pPr>
    </w:p>
    <w:p w14:paraId="4C89F6C8" w14:textId="44BF80C6" w:rsidR="00035ABF" w:rsidRPr="00BD1319" w:rsidRDefault="00035ABF" w:rsidP="00035ABF">
      <w:pPr>
        <w:numPr>
          <w:ilvl w:val="12"/>
          <w:numId w:val="0"/>
        </w:numPr>
        <w:tabs>
          <w:tab w:val="left" w:pos="-2268"/>
        </w:tabs>
        <w:suppressAutoHyphens/>
        <w:rPr>
          <w:rFonts w:cs="Arial"/>
        </w:rPr>
      </w:pPr>
      <w:r w:rsidRPr="00BD1319">
        <w:t xml:space="preserve">El reasentamiento involuntario de población tiene el potencial de generar conflictos severos a largo plazo, incrementar los índices de pobreza y de </w:t>
      </w:r>
      <w:r w:rsidR="0089218E" w:rsidRPr="00BD1319">
        <w:t>ocasionar</w:t>
      </w:r>
      <w:r w:rsidRPr="00BD1319">
        <w:t xml:space="preserve"> impactos ambientales graves si no responde a un conjunto de medidas bien planificadas orientadas a prevenir</w:t>
      </w:r>
      <w:r w:rsidR="00726940" w:rsidRPr="00BD1319">
        <w:t xml:space="preserve">, </w:t>
      </w:r>
      <w:r w:rsidRPr="00BD1319">
        <w:t>minimizar</w:t>
      </w:r>
      <w:r w:rsidR="00726940" w:rsidRPr="00BD1319">
        <w:t>, corregir</w:t>
      </w:r>
      <w:r w:rsidRPr="00BD1319">
        <w:t xml:space="preserve"> </w:t>
      </w:r>
      <w:r w:rsidR="00726940" w:rsidRPr="00BD1319">
        <w:t xml:space="preserve">o compensar </w:t>
      </w:r>
      <w:r w:rsidR="0089218E" w:rsidRPr="00BD1319">
        <w:t>su materialización</w:t>
      </w:r>
      <w:r w:rsidRPr="00BD1319">
        <w:t>. Por tales razones, el reasentamiento involuntario debe evitarse cuando sea posible, o minimizarse, explorando todas las alternativas viables en el diseño del proyecto, obra o actividad</w:t>
      </w:r>
      <w:r w:rsidRPr="00BD1319">
        <w:rPr>
          <w:rFonts w:cs="Arial"/>
        </w:rPr>
        <w:t>.</w:t>
      </w:r>
    </w:p>
    <w:p w14:paraId="63CD4300" w14:textId="77777777" w:rsidR="00035ABF" w:rsidRPr="00BD1319" w:rsidRDefault="00035ABF" w:rsidP="00035ABF">
      <w:pPr>
        <w:numPr>
          <w:ilvl w:val="12"/>
          <w:numId w:val="0"/>
        </w:numPr>
        <w:tabs>
          <w:tab w:val="left" w:pos="-2268"/>
        </w:tabs>
        <w:suppressAutoHyphens/>
        <w:rPr>
          <w:rFonts w:cs="Arial"/>
        </w:rPr>
      </w:pPr>
    </w:p>
    <w:p w14:paraId="549049DD" w14:textId="3D355E97" w:rsidR="00035ABF" w:rsidRPr="00BD1319" w:rsidRDefault="00035ABF" w:rsidP="00035ABF">
      <w:pPr>
        <w:numPr>
          <w:ilvl w:val="12"/>
          <w:numId w:val="0"/>
        </w:numPr>
        <w:tabs>
          <w:tab w:val="left" w:pos="-2268"/>
        </w:tabs>
        <w:suppressAutoHyphens/>
        <w:rPr>
          <w:rFonts w:cs="Arial"/>
          <w:spacing w:val="-3"/>
        </w:rPr>
      </w:pPr>
      <w:r w:rsidRPr="00BD1319">
        <w:rPr>
          <w:rFonts w:cs="Arial"/>
          <w:spacing w:val="-3"/>
        </w:rPr>
        <w:t>No obstante, en caso de que haya lugar a un reasentamiento involuntario de población, es necesario que las medidas de manejo propuestas propendan no solo por los desarrollos en infraestructura física necesaria para la habitabilidad</w:t>
      </w:r>
      <w:r w:rsidR="00B120E2" w:rsidRPr="00BD1319">
        <w:rPr>
          <w:rFonts w:cs="Arial"/>
          <w:spacing w:val="-3"/>
        </w:rPr>
        <w:t>,</w:t>
      </w:r>
      <w:r w:rsidRPr="00BD1319">
        <w:rPr>
          <w:rFonts w:cs="Arial"/>
          <w:spacing w:val="-3"/>
        </w:rPr>
        <w:t xml:space="preserve"> sino también</w:t>
      </w:r>
      <w:r w:rsidR="00B120E2" w:rsidRPr="00BD1319">
        <w:rPr>
          <w:rFonts w:cs="Arial"/>
          <w:spacing w:val="-3"/>
        </w:rPr>
        <w:t>,</w:t>
      </w:r>
      <w:r w:rsidRPr="00BD1319">
        <w:rPr>
          <w:rFonts w:cs="Arial"/>
          <w:spacing w:val="-3"/>
        </w:rPr>
        <w:t xml:space="preserve"> por preservar o propiciar el tejido social y crear o mantener alternativas para el desarrollo económico.</w:t>
      </w:r>
    </w:p>
    <w:p w14:paraId="3E6E8E95" w14:textId="77777777" w:rsidR="00035ABF" w:rsidRPr="00BD1319" w:rsidRDefault="00035ABF" w:rsidP="00035ABF">
      <w:pPr>
        <w:numPr>
          <w:ilvl w:val="12"/>
          <w:numId w:val="0"/>
        </w:numPr>
        <w:tabs>
          <w:tab w:val="left" w:pos="-2268"/>
        </w:tabs>
        <w:suppressAutoHyphens/>
        <w:rPr>
          <w:rFonts w:cs="Arial"/>
          <w:spacing w:val="-3"/>
        </w:rPr>
      </w:pPr>
    </w:p>
    <w:p w14:paraId="3260C82A" w14:textId="29152119" w:rsidR="00035ABF" w:rsidRPr="00BD1319" w:rsidRDefault="00035ABF" w:rsidP="00035ABF">
      <w:pPr>
        <w:suppressAutoHyphens/>
        <w:rPr>
          <w:rFonts w:cs="Arial"/>
        </w:rPr>
      </w:pPr>
      <w:r w:rsidRPr="00BD1319">
        <w:rPr>
          <w:rFonts w:cs="Arial"/>
        </w:rPr>
        <w:t xml:space="preserve">El alcance de las medidas para el reasentamiento involuntario de población </w:t>
      </w:r>
      <w:r w:rsidRPr="00BD1319">
        <w:t xml:space="preserve">debe orientarse a </w:t>
      </w:r>
      <w:r w:rsidRPr="00BD1319">
        <w:rPr>
          <w:rFonts w:cs="Arial"/>
        </w:rPr>
        <w:t>lograr, como mínimo, los siguientes propósitos</w:t>
      </w:r>
      <w:r w:rsidRPr="00BD1319">
        <w:rPr>
          <w:rStyle w:val="Refdenotaalpie"/>
          <w:rFonts w:cs="Arial"/>
          <w:lang w:val="es-CO"/>
        </w:rPr>
        <w:footnoteReference w:id="215"/>
      </w:r>
      <w:r w:rsidRPr="00BD1319">
        <w:rPr>
          <w:rFonts w:cs="Arial"/>
        </w:rPr>
        <w:t>: i) r</w:t>
      </w:r>
      <w:r w:rsidRPr="00BD1319">
        <w:t>establecimiento de condiciones de vida existentes de la población a reasentar</w:t>
      </w:r>
      <w:r w:rsidR="00B120E2" w:rsidRPr="00BD1319">
        <w:t xml:space="preserve"> con respecto a</w:t>
      </w:r>
      <w:r w:rsidRPr="00BD1319">
        <w:t xml:space="preserve"> vivienda, acceso a servicios públicos y sociales, relaciones sociales y bienes comunitarios</w:t>
      </w:r>
      <w:r w:rsidRPr="00BD1319">
        <w:rPr>
          <w:rFonts w:cs="Arial"/>
        </w:rPr>
        <w:t xml:space="preserve">; </w:t>
      </w:r>
      <w:proofErr w:type="spellStart"/>
      <w:r w:rsidRPr="00BD1319">
        <w:rPr>
          <w:rFonts w:cs="Arial"/>
        </w:rPr>
        <w:t>ii</w:t>
      </w:r>
      <w:proofErr w:type="spellEnd"/>
      <w:r w:rsidRPr="00BD1319">
        <w:rPr>
          <w:rFonts w:cs="Arial"/>
        </w:rPr>
        <w:t>) r</w:t>
      </w:r>
      <w:r w:rsidRPr="00BD1319">
        <w:t>establecimiento de fuentes de ingresos y actividades económicas de las unidades sociales a trasladar</w:t>
      </w:r>
      <w:r w:rsidRPr="00BD1319">
        <w:rPr>
          <w:rFonts w:cs="Arial"/>
        </w:rPr>
        <w:t xml:space="preserve"> y; </w:t>
      </w:r>
      <w:proofErr w:type="spellStart"/>
      <w:r w:rsidRPr="00BD1319">
        <w:rPr>
          <w:rFonts w:cs="Arial"/>
        </w:rPr>
        <w:t>iii</w:t>
      </w:r>
      <w:proofErr w:type="spellEnd"/>
      <w:r w:rsidRPr="00BD1319">
        <w:rPr>
          <w:rFonts w:cs="Arial"/>
        </w:rPr>
        <w:t>) i</w:t>
      </w:r>
      <w:r w:rsidRPr="00BD1319">
        <w:t xml:space="preserve">ncorporación de la población reasentada a su nuevo </w:t>
      </w:r>
      <w:r w:rsidRPr="00BD1319">
        <w:rPr>
          <w:rFonts w:cs="Arial"/>
          <w:spacing w:val="-3"/>
        </w:rPr>
        <w:t>entorno</w:t>
      </w:r>
      <w:r w:rsidR="00B120E2" w:rsidRPr="00BD1319">
        <w:rPr>
          <w:rFonts w:cs="Arial"/>
          <w:spacing w:val="-3"/>
        </w:rPr>
        <w:t>.</w:t>
      </w:r>
    </w:p>
    <w:p w14:paraId="45EBCB86" w14:textId="77777777" w:rsidR="00035ABF" w:rsidRPr="00BD1319" w:rsidRDefault="00035ABF" w:rsidP="00035ABF">
      <w:pPr>
        <w:suppressAutoHyphens/>
        <w:rPr>
          <w:rFonts w:cs="Arial"/>
        </w:rPr>
      </w:pPr>
    </w:p>
    <w:p w14:paraId="01EBAC79" w14:textId="3598CCB5" w:rsidR="00035ABF" w:rsidRPr="00BD1319" w:rsidRDefault="00035ABF" w:rsidP="00035ABF">
      <w:r w:rsidRPr="00BD1319">
        <w:lastRenderedPageBreak/>
        <w:t>Por lo anterior, con el fin de prevenir</w:t>
      </w:r>
      <w:r w:rsidR="004C7C85" w:rsidRPr="00BD1319">
        <w:t>, minimizar, corregir o compensar</w:t>
      </w:r>
      <w:r w:rsidRPr="00BD1319">
        <w:t xml:space="preserve"> los </w:t>
      </w:r>
      <w:r w:rsidR="00B120E2" w:rsidRPr="00BD1319">
        <w:t xml:space="preserve">impactos </w:t>
      </w:r>
      <w:r w:rsidRPr="00BD1319">
        <w:t xml:space="preserve">del reasentamiento involuntario de la población, </w:t>
      </w:r>
      <w:r w:rsidR="004C7C85" w:rsidRPr="00BD1319">
        <w:t xml:space="preserve">que se generan tanto a la población reasentada como a la población receptora (cuando exista), </w:t>
      </w:r>
      <w:r w:rsidRPr="00BD1319">
        <w:t xml:space="preserve">las medidas de manejo propuestas deben basarse en la información obtenida en la caracterización </w:t>
      </w:r>
      <w:r w:rsidR="004C7C85" w:rsidRPr="00BD1319">
        <w:t xml:space="preserve">ambiental </w:t>
      </w:r>
      <w:r w:rsidRPr="00BD1319">
        <w:t>e incluir en su alcance:</w:t>
      </w:r>
    </w:p>
    <w:p w14:paraId="49445ACC" w14:textId="77777777" w:rsidR="00035ABF" w:rsidRPr="00BD1319" w:rsidRDefault="00035ABF" w:rsidP="00035ABF"/>
    <w:p w14:paraId="5E5C30D5" w14:textId="7DEB9886" w:rsidR="00035ABF" w:rsidRPr="00BD1319" w:rsidRDefault="00035ABF" w:rsidP="00035ABF">
      <w:pPr>
        <w:numPr>
          <w:ilvl w:val="0"/>
          <w:numId w:val="401"/>
        </w:numPr>
        <w:tabs>
          <w:tab w:val="left" w:pos="-2268"/>
        </w:tabs>
        <w:suppressAutoHyphens/>
        <w:overflowPunct/>
        <w:autoSpaceDE/>
        <w:autoSpaceDN/>
        <w:adjustRightInd/>
        <w:ind w:left="567" w:hanging="567"/>
        <w:contextualSpacing/>
        <w:textAlignment w:val="auto"/>
      </w:pPr>
      <w:r w:rsidRPr="00BD1319">
        <w:t>Los objetivos de las medidas planteadas para el reasentamiento</w:t>
      </w:r>
      <w:r w:rsidRPr="00BD1319">
        <w:rPr>
          <w:rStyle w:val="Refdenotaalpie"/>
          <w:lang w:val="es-CO"/>
        </w:rPr>
        <w:footnoteReference w:id="216"/>
      </w:r>
      <w:r w:rsidR="00B120E2" w:rsidRPr="00BD1319">
        <w:t>.</w:t>
      </w:r>
    </w:p>
    <w:p w14:paraId="234A8C0D" w14:textId="77777777" w:rsidR="00B120E2" w:rsidRPr="00BD1319" w:rsidRDefault="00B120E2" w:rsidP="009420F5">
      <w:pPr>
        <w:tabs>
          <w:tab w:val="left" w:pos="-2268"/>
        </w:tabs>
        <w:suppressAutoHyphens/>
        <w:overflowPunct/>
        <w:autoSpaceDE/>
        <w:autoSpaceDN/>
        <w:adjustRightInd/>
        <w:contextualSpacing/>
        <w:textAlignment w:val="auto"/>
      </w:pPr>
    </w:p>
    <w:p w14:paraId="11CA3B5D" w14:textId="77777777" w:rsidR="00035ABF" w:rsidRPr="00BD1319" w:rsidRDefault="00035ABF" w:rsidP="00035ABF">
      <w:pPr>
        <w:numPr>
          <w:ilvl w:val="0"/>
          <w:numId w:val="401"/>
        </w:numPr>
        <w:tabs>
          <w:tab w:val="left" w:pos="-2268"/>
        </w:tabs>
        <w:suppressAutoHyphens/>
        <w:overflowPunct/>
        <w:autoSpaceDE/>
        <w:autoSpaceDN/>
        <w:adjustRightInd/>
        <w:ind w:left="567" w:hanging="567"/>
        <w:contextualSpacing/>
        <w:textAlignment w:val="auto"/>
      </w:pPr>
      <w:r w:rsidRPr="00BD1319">
        <w:t>Los mecanismos para la resolución de conflictos que puedan darse con ocasión del reasentamiento.</w:t>
      </w:r>
    </w:p>
    <w:p w14:paraId="4113A1C8" w14:textId="77777777" w:rsidR="00B120E2" w:rsidRPr="00BD1319" w:rsidRDefault="00B120E2" w:rsidP="009420F5">
      <w:pPr>
        <w:tabs>
          <w:tab w:val="left" w:pos="-2268"/>
        </w:tabs>
        <w:suppressAutoHyphens/>
        <w:overflowPunct/>
        <w:autoSpaceDE/>
        <w:autoSpaceDN/>
        <w:adjustRightInd/>
        <w:contextualSpacing/>
        <w:textAlignment w:val="auto"/>
      </w:pPr>
    </w:p>
    <w:p w14:paraId="16542C6A" w14:textId="2FF6099C" w:rsidR="00035ABF" w:rsidRPr="00BD1319" w:rsidRDefault="00035ABF" w:rsidP="00035ABF">
      <w:pPr>
        <w:numPr>
          <w:ilvl w:val="0"/>
          <w:numId w:val="401"/>
        </w:numPr>
        <w:tabs>
          <w:tab w:val="left" w:pos="-2268"/>
        </w:tabs>
        <w:suppressAutoHyphens/>
        <w:overflowPunct/>
        <w:autoSpaceDE/>
        <w:autoSpaceDN/>
        <w:adjustRightInd/>
        <w:ind w:left="567" w:hanging="567"/>
        <w:contextualSpacing/>
        <w:textAlignment w:val="auto"/>
      </w:pPr>
      <w:r w:rsidRPr="00BD1319">
        <w:t xml:space="preserve">Los criterios empleados para </w:t>
      </w:r>
      <w:r w:rsidR="003E5FC4">
        <w:t>d</w:t>
      </w:r>
      <w:r w:rsidRPr="00BD1319">
        <w:t>eterminar la elegibilidad de personas para compensación o para el reasentamiento.</w:t>
      </w:r>
    </w:p>
    <w:p w14:paraId="09BBF157" w14:textId="77777777" w:rsidR="00B120E2" w:rsidRPr="00BD1319" w:rsidRDefault="00B120E2" w:rsidP="009420F5">
      <w:pPr>
        <w:tabs>
          <w:tab w:val="left" w:pos="-2268"/>
        </w:tabs>
        <w:suppressAutoHyphens/>
        <w:overflowPunct/>
        <w:autoSpaceDE/>
        <w:autoSpaceDN/>
        <w:adjustRightInd/>
        <w:contextualSpacing/>
        <w:textAlignment w:val="auto"/>
      </w:pPr>
    </w:p>
    <w:p w14:paraId="363898E1" w14:textId="31FD1C75" w:rsidR="00035ABF" w:rsidRPr="00BD1319" w:rsidRDefault="00035ABF" w:rsidP="00035ABF">
      <w:pPr>
        <w:numPr>
          <w:ilvl w:val="0"/>
          <w:numId w:val="401"/>
        </w:numPr>
        <w:tabs>
          <w:tab w:val="left" w:pos="-2268"/>
        </w:tabs>
        <w:suppressAutoHyphens/>
        <w:overflowPunct/>
        <w:autoSpaceDE/>
        <w:autoSpaceDN/>
        <w:adjustRightInd/>
        <w:ind w:left="567" w:hanging="567"/>
        <w:contextualSpacing/>
        <w:textAlignment w:val="auto"/>
      </w:pPr>
      <w:r w:rsidRPr="00BD1319">
        <w:t xml:space="preserve">Los mecanismos </w:t>
      </w:r>
      <w:r w:rsidR="00262C6C" w:rsidRPr="00BD1319">
        <w:t xml:space="preserve">que deben ser </w:t>
      </w:r>
      <w:r w:rsidRPr="00BD1319">
        <w:t>emplea</w:t>
      </w:r>
      <w:r w:rsidR="00262C6C" w:rsidRPr="00BD1319">
        <w:t>dos</w:t>
      </w:r>
      <w:r w:rsidRPr="00BD1319">
        <w:t xml:space="preserve"> para que la población conozca</w:t>
      </w:r>
      <w:r w:rsidR="003D2F41" w:rsidRPr="00BD1319">
        <w:t>, participe</w:t>
      </w:r>
      <w:r w:rsidRPr="00BD1319">
        <w:t xml:space="preserve"> y aporte en la formulación, implementación y seguimiento de las medidas para el reasentamiento, así como para conocer la forma en la que s</w:t>
      </w:r>
      <w:r w:rsidR="00B120E2" w:rsidRPr="00BD1319">
        <w:t>us aportes fueron considerados.</w:t>
      </w:r>
    </w:p>
    <w:p w14:paraId="54A7ABDA" w14:textId="77777777" w:rsidR="00B120E2" w:rsidRPr="00BD1319" w:rsidRDefault="00B120E2" w:rsidP="009420F5">
      <w:pPr>
        <w:tabs>
          <w:tab w:val="left" w:pos="-2268"/>
        </w:tabs>
        <w:suppressAutoHyphens/>
        <w:overflowPunct/>
        <w:autoSpaceDE/>
        <w:autoSpaceDN/>
        <w:adjustRightInd/>
        <w:contextualSpacing/>
        <w:textAlignment w:val="auto"/>
      </w:pPr>
    </w:p>
    <w:p w14:paraId="344DB652" w14:textId="74128843" w:rsidR="00035ABF" w:rsidRPr="00BD1319" w:rsidRDefault="00035ABF" w:rsidP="00035ABF">
      <w:pPr>
        <w:numPr>
          <w:ilvl w:val="0"/>
          <w:numId w:val="401"/>
        </w:numPr>
        <w:tabs>
          <w:tab w:val="left" w:pos="-2268"/>
        </w:tabs>
        <w:suppressAutoHyphens/>
        <w:overflowPunct/>
        <w:autoSpaceDE/>
        <w:autoSpaceDN/>
        <w:adjustRightInd/>
        <w:ind w:left="567" w:hanging="567"/>
        <w:contextualSpacing/>
        <w:textAlignment w:val="auto"/>
      </w:pPr>
      <w:r w:rsidRPr="00BD1319">
        <w:t xml:space="preserve">La información </w:t>
      </w:r>
      <w:r w:rsidR="00AF78EC" w:rsidRPr="00BD1319">
        <w:t xml:space="preserve">general sobre localización, características ambientales, sociales, económicas y culturales </w:t>
      </w:r>
      <w:r w:rsidRPr="00BD1319">
        <w:t xml:space="preserve">del sitio para la reubicación, </w:t>
      </w:r>
      <w:r w:rsidR="00B120E2" w:rsidRPr="00BD1319">
        <w:t xml:space="preserve">la cual </w:t>
      </w:r>
      <w:r w:rsidRPr="00BD1319">
        <w:t>incluye los criterios con base en los cuales fue elegido.</w:t>
      </w:r>
    </w:p>
    <w:p w14:paraId="38B4CF79" w14:textId="77777777" w:rsidR="00B120E2" w:rsidRPr="00BD1319" w:rsidRDefault="00B120E2" w:rsidP="009420F5">
      <w:pPr>
        <w:tabs>
          <w:tab w:val="left" w:pos="-2268"/>
        </w:tabs>
        <w:suppressAutoHyphens/>
        <w:overflowPunct/>
        <w:autoSpaceDE/>
        <w:autoSpaceDN/>
        <w:adjustRightInd/>
        <w:contextualSpacing/>
        <w:textAlignment w:val="auto"/>
      </w:pPr>
    </w:p>
    <w:p w14:paraId="245845AD" w14:textId="155E14F6" w:rsidR="00035ABF" w:rsidRPr="00BD1319" w:rsidRDefault="00035ABF" w:rsidP="00035ABF">
      <w:pPr>
        <w:numPr>
          <w:ilvl w:val="0"/>
          <w:numId w:val="401"/>
        </w:numPr>
        <w:tabs>
          <w:tab w:val="left" w:pos="-2268"/>
        </w:tabs>
        <w:suppressAutoHyphens/>
        <w:overflowPunct/>
        <w:autoSpaceDE/>
        <w:autoSpaceDN/>
        <w:adjustRightInd/>
        <w:ind w:left="567" w:hanging="567"/>
        <w:contextualSpacing/>
        <w:textAlignment w:val="auto"/>
      </w:pPr>
      <w:r w:rsidRPr="00BD1319">
        <w:t xml:space="preserve">Los procedimientos para la reubicación física en el marco del proyecto, </w:t>
      </w:r>
      <w:r w:rsidR="00B120E2" w:rsidRPr="00BD1319">
        <w:t xml:space="preserve">obra o actividad, </w:t>
      </w:r>
      <w:r w:rsidRPr="00BD1319">
        <w:t>incluidos los cronogramas para la preparación del sitio.</w:t>
      </w:r>
    </w:p>
    <w:p w14:paraId="2423D20B" w14:textId="77777777" w:rsidR="00B120E2" w:rsidRPr="00BD1319" w:rsidRDefault="00B120E2" w:rsidP="009420F5">
      <w:pPr>
        <w:tabs>
          <w:tab w:val="left" w:pos="-2268"/>
        </w:tabs>
        <w:suppressAutoHyphens/>
        <w:overflowPunct/>
        <w:autoSpaceDE/>
        <w:autoSpaceDN/>
        <w:adjustRightInd/>
        <w:contextualSpacing/>
        <w:textAlignment w:val="auto"/>
      </w:pPr>
    </w:p>
    <w:p w14:paraId="6975C82D" w14:textId="1EB98AE4" w:rsidR="00035ABF" w:rsidRPr="00BD1319" w:rsidRDefault="00035ABF" w:rsidP="00035ABF">
      <w:pPr>
        <w:numPr>
          <w:ilvl w:val="0"/>
          <w:numId w:val="401"/>
        </w:numPr>
        <w:tabs>
          <w:tab w:val="left" w:pos="-2268"/>
        </w:tabs>
        <w:suppressAutoHyphens/>
        <w:overflowPunct/>
        <w:autoSpaceDE/>
        <w:autoSpaceDN/>
        <w:adjustRightInd/>
        <w:ind w:left="567" w:hanging="567"/>
        <w:contextualSpacing/>
        <w:textAlignment w:val="auto"/>
      </w:pPr>
      <w:r w:rsidRPr="00BD1319">
        <w:t>Las medidas a adoptar para garantizar la regulariza</w:t>
      </w:r>
      <w:r w:rsidR="00B120E2" w:rsidRPr="00BD1319">
        <w:t>ción</w:t>
      </w:r>
      <w:r w:rsidRPr="00BD1319">
        <w:t xml:space="preserve"> </w:t>
      </w:r>
      <w:r w:rsidR="00B120E2" w:rsidRPr="00BD1319">
        <w:t xml:space="preserve">de </w:t>
      </w:r>
      <w:r w:rsidRPr="00BD1319">
        <w:t xml:space="preserve">la tenencia </w:t>
      </w:r>
      <w:r w:rsidR="00B24941" w:rsidRPr="00BD1319">
        <w:t xml:space="preserve">y titularidad </w:t>
      </w:r>
      <w:r w:rsidR="00BB21DB" w:rsidRPr="00BD1319">
        <w:t xml:space="preserve">a </w:t>
      </w:r>
      <w:r w:rsidRPr="00BD1319">
        <w:t>la población reasentada.</w:t>
      </w:r>
    </w:p>
    <w:p w14:paraId="5556E481" w14:textId="77777777" w:rsidR="00B120E2" w:rsidRPr="00BD1319" w:rsidRDefault="00B120E2" w:rsidP="009420F5">
      <w:pPr>
        <w:tabs>
          <w:tab w:val="left" w:pos="-2268"/>
        </w:tabs>
        <w:suppressAutoHyphens/>
        <w:overflowPunct/>
        <w:autoSpaceDE/>
        <w:autoSpaceDN/>
        <w:adjustRightInd/>
        <w:contextualSpacing/>
        <w:textAlignment w:val="auto"/>
      </w:pPr>
    </w:p>
    <w:p w14:paraId="668D4761" w14:textId="565EAE27" w:rsidR="00035ABF" w:rsidRPr="00BD1319" w:rsidRDefault="00035ABF" w:rsidP="00035ABF">
      <w:pPr>
        <w:numPr>
          <w:ilvl w:val="0"/>
          <w:numId w:val="401"/>
        </w:numPr>
        <w:tabs>
          <w:tab w:val="left" w:pos="-2268"/>
        </w:tabs>
        <w:suppressAutoHyphens/>
        <w:overflowPunct/>
        <w:autoSpaceDE/>
        <w:autoSpaceDN/>
        <w:adjustRightInd/>
        <w:ind w:left="567" w:hanging="567"/>
        <w:contextualSpacing/>
        <w:textAlignment w:val="auto"/>
      </w:pPr>
      <w:r w:rsidRPr="00BD1319">
        <w:t>Las medidas a implementar para el manejo de los impactos ambientales en el sitio elegido para la reubicación.</w:t>
      </w:r>
    </w:p>
    <w:p w14:paraId="373323B1" w14:textId="77777777" w:rsidR="00BB21DB" w:rsidRPr="00BD1319" w:rsidRDefault="00BB21DB" w:rsidP="009420F5">
      <w:pPr>
        <w:tabs>
          <w:tab w:val="left" w:pos="-2268"/>
        </w:tabs>
        <w:suppressAutoHyphens/>
        <w:overflowPunct/>
        <w:autoSpaceDE/>
        <w:autoSpaceDN/>
        <w:adjustRightInd/>
        <w:contextualSpacing/>
        <w:textAlignment w:val="auto"/>
      </w:pPr>
    </w:p>
    <w:p w14:paraId="54F836B1" w14:textId="77777777" w:rsidR="00035ABF" w:rsidRPr="00BD1319" w:rsidRDefault="00035ABF" w:rsidP="00035ABF">
      <w:pPr>
        <w:numPr>
          <w:ilvl w:val="0"/>
          <w:numId w:val="401"/>
        </w:numPr>
        <w:tabs>
          <w:tab w:val="left" w:pos="-2268"/>
        </w:tabs>
        <w:suppressAutoHyphens/>
        <w:overflowPunct/>
        <w:autoSpaceDE/>
        <w:autoSpaceDN/>
        <w:adjustRightInd/>
        <w:ind w:left="567" w:hanging="567"/>
        <w:contextualSpacing/>
        <w:textAlignment w:val="auto"/>
      </w:pPr>
      <w:r w:rsidRPr="00BD1319">
        <w:t>El tiempo estimado para ejecutar las medidas formuladas para el reasentamiento de la población.</w:t>
      </w:r>
    </w:p>
    <w:p w14:paraId="0F9B6E1B" w14:textId="77777777" w:rsidR="009642E0" w:rsidRPr="00BD1319" w:rsidRDefault="009642E0">
      <w:pPr>
        <w:numPr>
          <w:ilvl w:val="12"/>
          <w:numId w:val="0"/>
        </w:numPr>
        <w:tabs>
          <w:tab w:val="left" w:pos="-2268"/>
        </w:tabs>
        <w:suppressAutoHyphens/>
        <w:rPr>
          <w:spacing w:val="-3"/>
        </w:rPr>
      </w:pPr>
    </w:p>
    <w:p w14:paraId="2C9904B2" w14:textId="24AE347C" w:rsidR="00076F22" w:rsidRPr="00BD1319" w:rsidRDefault="003E1ED4" w:rsidP="009420F5">
      <w:pPr>
        <w:pStyle w:val="Ttulo2"/>
        <w:tabs>
          <w:tab w:val="clear" w:pos="0"/>
          <w:tab w:val="num" w:pos="851"/>
        </w:tabs>
        <w:ind w:left="851" w:hanging="851"/>
        <w:rPr>
          <w:lang w:val="es-CO"/>
        </w:rPr>
      </w:pPr>
      <w:bookmarkStart w:id="11039" w:name="_Toc150593819"/>
      <w:bookmarkStart w:id="11040" w:name="_Toc274067240"/>
      <w:bookmarkStart w:id="11041" w:name="_Toc378923327"/>
      <w:bookmarkStart w:id="11042" w:name="_Toc405366876"/>
      <w:bookmarkStart w:id="11043" w:name="_Toc405372424"/>
      <w:bookmarkStart w:id="11044" w:name="_Toc412812789"/>
      <w:bookmarkStart w:id="11045" w:name="_Toc437936065"/>
      <w:bookmarkStart w:id="11046" w:name="_Toc40272799"/>
      <w:bookmarkStart w:id="11047" w:name="_Toc42839709"/>
      <w:bookmarkStart w:id="11048" w:name="_Ref76058128"/>
      <w:bookmarkStart w:id="11049" w:name="_Ref142917517"/>
      <w:bookmarkStart w:id="11050" w:name="_Ref173750685"/>
      <w:bookmarkStart w:id="11051" w:name="_Ref175320919"/>
      <w:bookmarkStart w:id="11052" w:name="_Toc175326820"/>
      <w:bookmarkStart w:id="11053" w:name="_Ref175326838"/>
      <w:r w:rsidRPr="00BD1319">
        <w:rPr>
          <w:lang w:val="es-CO"/>
        </w:rPr>
        <w:t>PLAN DE SEGUIMIENTO Y MONITOREO</w:t>
      </w:r>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p>
    <w:p w14:paraId="0555ECB8" w14:textId="77777777" w:rsidR="00076F22" w:rsidRPr="00BD1319" w:rsidRDefault="00076F22">
      <w:pPr>
        <w:numPr>
          <w:ilvl w:val="12"/>
          <w:numId w:val="0"/>
        </w:numPr>
        <w:tabs>
          <w:tab w:val="left" w:pos="-2268"/>
        </w:tabs>
        <w:suppressAutoHyphens/>
        <w:rPr>
          <w:spacing w:val="-3"/>
        </w:rPr>
      </w:pPr>
    </w:p>
    <w:p w14:paraId="46E64480" w14:textId="3F1DE3FE" w:rsidR="004D7D13" w:rsidRPr="00BD1319" w:rsidRDefault="004B46F6">
      <w:pPr>
        <w:numPr>
          <w:ilvl w:val="12"/>
          <w:numId w:val="0"/>
        </w:numPr>
        <w:tabs>
          <w:tab w:val="left" w:pos="-2268"/>
        </w:tabs>
        <w:suppressAutoHyphens/>
        <w:rPr>
          <w:rFonts w:cs="Arial"/>
          <w:szCs w:val="20"/>
        </w:rPr>
      </w:pPr>
      <w:bookmarkStart w:id="11054" w:name="_Toc149301337"/>
      <w:bookmarkStart w:id="11055" w:name="_Toc150592758"/>
      <w:bookmarkStart w:id="11056" w:name="_Toc150593820"/>
      <w:bookmarkStart w:id="11057" w:name="_Toc149301338"/>
      <w:bookmarkStart w:id="11058" w:name="_Toc150592759"/>
      <w:bookmarkStart w:id="11059" w:name="_Toc150593821"/>
      <w:bookmarkStart w:id="11060" w:name="_Toc149301340"/>
      <w:bookmarkStart w:id="11061" w:name="_Toc150592761"/>
      <w:bookmarkStart w:id="11062" w:name="_Toc150593823"/>
      <w:bookmarkStart w:id="11063" w:name="_Toc149301342"/>
      <w:bookmarkStart w:id="11064" w:name="_Toc150592763"/>
      <w:bookmarkStart w:id="11065" w:name="_Toc150593825"/>
      <w:bookmarkStart w:id="11066" w:name="_Toc149301344"/>
      <w:bookmarkStart w:id="11067" w:name="_Toc150592765"/>
      <w:bookmarkStart w:id="11068" w:name="_Toc150593827"/>
      <w:bookmarkStart w:id="11069" w:name="_Toc149301346"/>
      <w:bookmarkStart w:id="11070" w:name="_Toc150592767"/>
      <w:bookmarkStart w:id="11071" w:name="_Toc150593829"/>
      <w:bookmarkStart w:id="11072" w:name="_Toc149301349"/>
      <w:bookmarkStart w:id="11073" w:name="_Toc150592770"/>
      <w:bookmarkStart w:id="11074" w:name="_Toc150593832"/>
      <w:bookmarkStart w:id="11075" w:name="_Toc149301350"/>
      <w:bookmarkStart w:id="11076" w:name="_Toc150592771"/>
      <w:bookmarkStart w:id="11077" w:name="_Toc150593833"/>
      <w:bookmarkStart w:id="11078" w:name="_Toc149301351"/>
      <w:bookmarkStart w:id="11079" w:name="_Toc150592772"/>
      <w:bookmarkStart w:id="11080" w:name="_Toc150593834"/>
      <w:bookmarkStart w:id="11081" w:name="_Toc149301353"/>
      <w:bookmarkStart w:id="11082" w:name="_Toc150592774"/>
      <w:bookmarkStart w:id="11083" w:name="_Toc150593836"/>
      <w:bookmarkStart w:id="11084" w:name="_Toc149301355"/>
      <w:bookmarkStart w:id="11085" w:name="_Toc150592776"/>
      <w:bookmarkStart w:id="11086" w:name="_Toc150593838"/>
      <w:bookmarkStart w:id="11087" w:name="_Toc149301356"/>
      <w:bookmarkStart w:id="11088" w:name="_Toc150592777"/>
      <w:bookmarkStart w:id="11089" w:name="_Toc150593839"/>
      <w:bookmarkStart w:id="11090" w:name="_Toc149301357"/>
      <w:bookmarkStart w:id="11091" w:name="_Toc150592778"/>
      <w:bookmarkStart w:id="11092" w:name="_Toc150593840"/>
      <w:bookmarkStart w:id="11093" w:name="_Toc149301359"/>
      <w:bookmarkStart w:id="11094" w:name="_Toc150592780"/>
      <w:bookmarkStart w:id="11095" w:name="_Toc150593842"/>
      <w:bookmarkStart w:id="11096" w:name="_Toc149301360"/>
      <w:bookmarkStart w:id="11097" w:name="_Toc150592781"/>
      <w:bookmarkStart w:id="11098" w:name="_Toc150593843"/>
      <w:bookmarkStart w:id="11099" w:name="_Toc149301361"/>
      <w:bookmarkStart w:id="11100" w:name="_Toc150592782"/>
      <w:bookmarkStart w:id="11101" w:name="_Toc150593844"/>
      <w:bookmarkStart w:id="11102" w:name="_Toc149301363"/>
      <w:bookmarkStart w:id="11103" w:name="_Toc150592784"/>
      <w:bookmarkStart w:id="11104" w:name="_Toc150593846"/>
      <w:bookmarkStart w:id="11105" w:name="_Toc149301364"/>
      <w:bookmarkStart w:id="11106" w:name="_Toc150592785"/>
      <w:bookmarkStart w:id="11107" w:name="_Toc150593847"/>
      <w:bookmarkStart w:id="11108" w:name="_Toc149301365"/>
      <w:bookmarkStart w:id="11109" w:name="_Toc150592786"/>
      <w:bookmarkStart w:id="11110" w:name="_Toc150593848"/>
      <w:bookmarkStart w:id="11111" w:name="_Toc149301367"/>
      <w:bookmarkStart w:id="11112" w:name="_Toc150592788"/>
      <w:bookmarkStart w:id="11113" w:name="_Toc150593850"/>
      <w:bookmarkStart w:id="11114" w:name="_Toc149301369"/>
      <w:bookmarkStart w:id="11115" w:name="_Toc150592790"/>
      <w:bookmarkStart w:id="11116" w:name="_Toc150593852"/>
      <w:bookmarkStart w:id="11117" w:name="_Toc149301371"/>
      <w:bookmarkStart w:id="11118" w:name="_Toc150592792"/>
      <w:bookmarkStart w:id="11119" w:name="_Toc150593854"/>
      <w:bookmarkStart w:id="11120" w:name="_Toc149301372"/>
      <w:bookmarkStart w:id="11121" w:name="_Toc150592793"/>
      <w:bookmarkStart w:id="11122" w:name="_Toc150593855"/>
      <w:bookmarkStart w:id="11123" w:name="_Toc149301376"/>
      <w:bookmarkStart w:id="11124" w:name="_Toc150592797"/>
      <w:bookmarkStart w:id="11125" w:name="_Toc150593859"/>
      <w:bookmarkStart w:id="11126" w:name="_Toc149301378"/>
      <w:bookmarkStart w:id="11127" w:name="_Toc150592799"/>
      <w:bookmarkStart w:id="11128" w:name="_Toc150593861"/>
      <w:bookmarkStart w:id="11129" w:name="_Toc149301380"/>
      <w:bookmarkStart w:id="11130" w:name="_Toc150592801"/>
      <w:bookmarkStart w:id="11131" w:name="_Toc150593863"/>
      <w:bookmarkStart w:id="11132" w:name="_Toc149301382"/>
      <w:bookmarkStart w:id="11133" w:name="_Toc150592803"/>
      <w:bookmarkStart w:id="11134" w:name="_Toc150593865"/>
      <w:bookmarkStart w:id="11135" w:name="_Toc149301384"/>
      <w:bookmarkStart w:id="11136" w:name="_Toc150592805"/>
      <w:bookmarkStart w:id="11137" w:name="_Toc150593867"/>
      <w:bookmarkStart w:id="11138" w:name="_Toc149301386"/>
      <w:bookmarkStart w:id="11139" w:name="_Toc150592807"/>
      <w:bookmarkStart w:id="11140" w:name="_Toc150593869"/>
      <w:bookmarkStart w:id="11141" w:name="_Toc149301388"/>
      <w:bookmarkStart w:id="11142" w:name="_Toc150592809"/>
      <w:bookmarkStart w:id="11143" w:name="_Toc150593871"/>
      <w:bookmarkStart w:id="11144" w:name="_Toc149301390"/>
      <w:bookmarkStart w:id="11145" w:name="_Toc150592811"/>
      <w:bookmarkStart w:id="11146" w:name="_Toc150593873"/>
      <w:bookmarkStart w:id="11147" w:name="_Toc149301392"/>
      <w:bookmarkStart w:id="11148" w:name="_Toc150592813"/>
      <w:bookmarkStart w:id="11149" w:name="_Toc150593875"/>
      <w:bookmarkStart w:id="11150" w:name="_Toc149301394"/>
      <w:bookmarkStart w:id="11151" w:name="_Toc150592815"/>
      <w:bookmarkStart w:id="11152" w:name="_Toc150593877"/>
      <w:bookmarkStart w:id="11153" w:name="_Toc149301396"/>
      <w:bookmarkStart w:id="11154" w:name="_Toc150592817"/>
      <w:bookmarkStart w:id="11155" w:name="_Toc150593879"/>
      <w:bookmarkStart w:id="11156" w:name="_Toc149301397"/>
      <w:bookmarkStart w:id="11157" w:name="_Toc150592818"/>
      <w:bookmarkStart w:id="11158" w:name="_Toc150593880"/>
      <w:bookmarkStart w:id="11159" w:name="_Toc149301398"/>
      <w:bookmarkStart w:id="11160" w:name="_Toc150592819"/>
      <w:bookmarkStart w:id="11161" w:name="_Toc150593881"/>
      <w:bookmarkStart w:id="11162" w:name="_Toc149301400"/>
      <w:bookmarkStart w:id="11163" w:name="_Toc150592821"/>
      <w:bookmarkStart w:id="11164" w:name="_Toc150593883"/>
      <w:bookmarkStart w:id="11165" w:name="_Toc149301402"/>
      <w:bookmarkStart w:id="11166" w:name="_Toc150592823"/>
      <w:bookmarkStart w:id="11167" w:name="_Toc150593885"/>
      <w:bookmarkStart w:id="11168" w:name="_Toc149301404"/>
      <w:bookmarkStart w:id="11169" w:name="_Toc150592825"/>
      <w:bookmarkStart w:id="11170" w:name="_Toc150593887"/>
      <w:bookmarkStart w:id="11171" w:name="_Toc149301408"/>
      <w:bookmarkStart w:id="11172" w:name="_Toc150592829"/>
      <w:bookmarkStart w:id="11173" w:name="_Toc150593891"/>
      <w:bookmarkStart w:id="11174" w:name="_Toc149301410"/>
      <w:bookmarkStart w:id="11175" w:name="_Toc150592831"/>
      <w:bookmarkStart w:id="11176" w:name="_Toc150593893"/>
      <w:bookmarkStart w:id="11177" w:name="_Toc149301411"/>
      <w:bookmarkStart w:id="11178" w:name="_Toc150592832"/>
      <w:bookmarkStart w:id="11179" w:name="_Toc150593894"/>
      <w:bookmarkStart w:id="11180" w:name="_Toc149301412"/>
      <w:bookmarkStart w:id="11181" w:name="_Toc150592833"/>
      <w:bookmarkStart w:id="11182" w:name="_Toc150593895"/>
      <w:bookmarkStart w:id="11183" w:name="_Toc149301415"/>
      <w:bookmarkStart w:id="11184" w:name="_Toc150592836"/>
      <w:bookmarkStart w:id="11185" w:name="_Toc150593898"/>
      <w:bookmarkStart w:id="11186" w:name="_Toc149301417"/>
      <w:bookmarkStart w:id="11187" w:name="_Toc150592838"/>
      <w:bookmarkStart w:id="11188" w:name="_Toc150593900"/>
      <w:bookmarkStart w:id="11189" w:name="_Toc149301425"/>
      <w:bookmarkStart w:id="11190" w:name="_Toc150592846"/>
      <w:bookmarkStart w:id="11191" w:name="_Toc150593908"/>
      <w:bookmarkStart w:id="11192" w:name="_Toc149301430"/>
      <w:bookmarkStart w:id="11193" w:name="_Toc150592851"/>
      <w:bookmarkStart w:id="11194" w:name="_Toc150593913"/>
      <w:bookmarkStart w:id="11195" w:name="_Toc149301431"/>
      <w:bookmarkStart w:id="11196" w:name="_Toc150592852"/>
      <w:bookmarkStart w:id="11197" w:name="_Toc150593914"/>
      <w:bookmarkStart w:id="11198" w:name="_Toc149301432"/>
      <w:bookmarkStart w:id="11199" w:name="_Toc150592853"/>
      <w:bookmarkStart w:id="11200" w:name="_Toc150593915"/>
      <w:bookmarkStart w:id="11201" w:name="_Toc149301433"/>
      <w:bookmarkStart w:id="11202" w:name="_Toc150592854"/>
      <w:bookmarkStart w:id="11203" w:name="_Toc150593916"/>
      <w:bookmarkStart w:id="11204" w:name="_Toc149301434"/>
      <w:bookmarkStart w:id="11205" w:name="_Toc150592855"/>
      <w:bookmarkStart w:id="11206" w:name="_Toc150593917"/>
      <w:bookmarkStart w:id="11207" w:name="_Toc149301435"/>
      <w:bookmarkStart w:id="11208" w:name="_Toc150592856"/>
      <w:bookmarkStart w:id="11209" w:name="_Toc150593918"/>
      <w:bookmarkStart w:id="11210" w:name="_Toc149301436"/>
      <w:bookmarkStart w:id="11211" w:name="_Toc150592857"/>
      <w:bookmarkStart w:id="11212" w:name="_Toc150593919"/>
      <w:bookmarkStart w:id="11213" w:name="_Toc149301437"/>
      <w:bookmarkStart w:id="11214" w:name="_Toc150592858"/>
      <w:bookmarkStart w:id="11215" w:name="_Toc150593920"/>
      <w:bookmarkStart w:id="11216" w:name="_Toc149301438"/>
      <w:bookmarkStart w:id="11217" w:name="_Toc150592859"/>
      <w:bookmarkStart w:id="11218" w:name="_Toc150593921"/>
      <w:bookmarkStart w:id="11219" w:name="_Toc149301442"/>
      <w:bookmarkStart w:id="11220" w:name="_Toc150592863"/>
      <w:bookmarkStart w:id="11221" w:name="_Toc150593925"/>
      <w:bookmarkStart w:id="11222" w:name="_Toc149301443"/>
      <w:bookmarkStart w:id="11223" w:name="_Toc150592864"/>
      <w:bookmarkStart w:id="11224" w:name="_Toc150593926"/>
      <w:bookmarkStart w:id="11225" w:name="_Toc149301444"/>
      <w:bookmarkStart w:id="11226" w:name="_Toc150592865"/>
      <w:bookmarkStart w:id="11227" w:name="_Toc150593927"/>
      <w:bookmarkStart w:id="11228" w:name="_Toc149301445"/>
      <w:bookmarkStart w:id="11229" w:name="_Toc150592866"/>
      <w:bookmarkStart w:id="11230" w:name="_Toc150593928"/>
      <w:bookmarkStart w:id="11231" w:name="_Toc149301446"/>
      <w:bookmarkStart w:id="11232" w:name="_Toc150592867"/>
      <w:bookmarkStart w:id="11233" w:name="_Toc150593929"/>
      <w:bookmarkStart w:id="11234" w:name="_Toc149301448"/>
      <w:bookmarkStart w:id="11235" w:name="_Toc150592869"/>
      <w:bookmarkStart w:id="11236" w:name="_Toc150593931"/>
      <w:bookmarkStart w:id="11237" w:name="_Toc149301451"/>
      <w:bookmarkStart w:id="11238" w:name="_Toc150592872"/>
      <w:bookmarkStart w:id="11239" w:name="_Toc150593934"/>
      <w:bookmarkStart w:id="11240" w:name="_Toc149301456"/>
      <w:bookmarkStart w:id="11241" w:name="_Toc150592877"/>
      <w:bookmarkStart w:id="11242" w:name="_Toc150593939"/>
      <w:bookmarkStart w:id="11243" w:name="_Toc149301458"/>
      <w:bookmarkStart w:id="11244" w:name="_Toc150592879"/>
      <w:bookmarkStart w:id="11245" w:name="_Toc150593941"/>
      <w:bookmarkStart w:id="11246" w:name="_Toc149301459"/>
      <w:bookmarkStart w:id="11247" w:name="_Toc150592880"/>
      <w:bookmarkStart w:id="11248" w:name="_Toc150593942"/>
      <w:bookmarkStart w:id="11249" w:name="_Toc149301460"/>
      <w:bookmarkStart w:id="11250" w:name="_Toc150592881"/>
      <w:bookmarkStart w:id="11251" w:name="_Toc150593943"/>
      <w:bookmarkStart w:id="11252" w:name="_Toc149301461"/>
      <w:bookmarkStart w:id="11253" w:name="_Toc150592882"/>
      <w:bookmarkStart w:id="11254" w:name="_Toc150593944"/>
      <w:bookmarkStart w:id="11255" w:name="_Toc149301462"/>
      <w:bookmarkStart w:id="11256" w:name="_Toc150592883"/>
      <w:bookmarkStart w:id="11257" w:name="_Toc150593945"/>
      <w:bookmarkStart w:id="11258" w:name="_Toc149301465"/>
      <w:bookmarkStart w:id="11259" w:name="_Toc150592886"/>
      <w:bookmarkStart w:id="11260" w:name="_Toc150593948"/>
      <w:bookmarkStart w:id="11261" w:name="_Toc149301467"/>
      <w:bookmarkStart w:id="11262" w:name="_Toc150592888"/>
      <w:bookmarkStart w:id="11263" w:name="_Toc150593950"/>
      <w:bookmarkStart w:id="11264" w:name="_Toc149301468"/>
      <w:bookmarkStart w:id="11265" w:name="_Toc150592889"/>
      <w:bookmarkStart w:id="11266" w:name="_Toc150593951"/>
      <w:bookmarkStart w:id="11267" w:name="_Toc149301469"/>
      <w:bookmarkStart w:id="11268" w:name="_Toc150592890"/>
      <w:bookmarkStart w:id="11269" w:name="_Toc150593952"/>
      <w:bookmarkStart w:id="11270" w:name="_Toc149301470"/>
      <w:bookmarkStart w:id="11271" w:name="_Toc150592891"/>
      <w:bookmarkStart w:id="11272" w:name="_Toc150593953"/>
      <w:bookmarkStart w:id="11273" w:name="_Toc149301471"/>
      <w:bookmarkStart w:id="11274" w:name="_Toc150592892"/>
      <w:bookmarkStart w:id="11275" w:name="_Toc150593954"/>
      <w:bookmarkStart w:id="11276" w:name="_Toc149301475"/>
      <w:bookmarkStart w:id="11277" w:name="_Toc150592896"/>
      <w:bookmarkStart w:id="11278" w:name="_Toc150593958"/>
      <w:bookmarkStart w:id="11279" w:name="_Toc149301479"/>
      <w:bookmarkStart w:id="11280" w:name="_Toc150592900"/>
      <w:bookmarkStart w:id="11281" w:name="_Toc150593962"/>
      <w:bookmarkStart w:id="11282" w:name="_Toc149301481"/>
      <w:bookmarkStart w:id="11283" w:name="_Toc150592902"/>
      <w:bookmarkStart w:id="11284" w:name="_Toc150593964"/>
      <w:bookmarkStart w:id="11285" w:name="_Toc149301482"/>
      <w:bookmarkStart w:id="11286" w:name="_Toc150592903"/>
      <w:bookmarkStart w:id="11287" w:name="_Toc150593965"/>
      <w:bookmarkStart w:id="11288" w:name="_Toc149301483"/>
      <w:bookmarkStart w:id="11289" w:name="_Toc150592904"/>
      <w:bookmarkStart w:id="11290" w:name="_Toc150593966"/>
      <w:bookmarkStart w:id="11291" w:name="_Toc149301484"/>
      <w:bookmarkStart w:id="11292" w:name="_Toc150592905"/>
      <w:bookmarkStart w:id="11293" w:name="_Toc150593967"/>
      <w:bookmarkStart w:id="11294" w:name="_Toc149301485"/>
      <w:bookmarkStart w:id="11295" w:name="_Toc150592906"/>
      <w:bookmarkStart w:id="11296" w:name="_Toc150593968"/>
      <w:bookmarkStart w:id="11297" w:name="_Toc149301487"/>
      <w:bookmarkStart w:id="11298" w:name="_Toc150592908"/>
      <w:bookmarkStart w:id="11299" w:name="_Toc150593970"/>
      <w:bookmarkStart w:id="11300" w:name="_Toc149301497"/>
      <w:bookmarkStart w:id="11301" w:name="_Toc150592918"/>
      <w:bookmarkStart w:id="11302" w:name="_Toc150593980"/>
      <w:bookmarkStart w:id="11303" w:name="_Toc149301499"/>
      <w:bookmarkStart w:id="11304" w:name="_Toc150592920"/>
      <w:bookmarkStart w:id="11305" w:name="_Toc150593982"/>
      <w:bookmarkStart w:id="11306" w:name="_Toc149301500"/>
      <w:bookmarkStart w:id="11307" w:name="_Toc150592921"/>
      <w:bookmarkStart w:id="11308" w:name="_Toc150593983"/>
      <w:bookmarkStart w:id="11309" w:name="_Toc149301505"/>
      <w:bookmarkStart w:id="11310" w:name="_Toc150592926"/>
      <w:bookmarkStart w:id="11311" w:name="_Toc150593988"/>
      <w:bookmarkStart w:id="11312" w:name="_Toc149301507"/>
      <w:bookmarkStart w:id="11313" w:name="_Toc150592928"/>
      <w:bookmarkStart w:id="11314" w:name="_Toc150593990"/>
      <w:bookmarkStart w:id="11315" w:name="_Toc149301509"/>
      <w:bookmarkStart w:id="11316" w:name="_Toc150592930"/>
      <w:bookmarkStart w:id="11317" w:name="_Toc150593992"/>
      <w:bookmarkStart w:id="11318" w:name="_Toc149301510"/>
      <w:bookmarkStart w:id="11319" w:name="_Toc150592931"/>
      <w:bookmarkStart w:id="11320" w:name="_Toc150593993"/>
      <w:bookmarkStart w:id="11321" w:name="_Toc149301511"/>
      <w:bookmarkStart w:id="11322" w:name="_Toc150592932"/>
      <w:bookmarkStart w:id="11323" w:name="_Toc150593994"/>
      <w:bookmarkStart w:id="11324" w:name="_Toc149301525"/>
      <w:bookmarkStart w:id="11325" w:name="_Toc150592946"/>
      <w:bookmarkStart w:id="11326" w:name="_Toc150594008"/>
      <w:bookmarkStart w:id="11327" w:name="_Hlk115961980"/>
      <w:bookmarkStart w:id="11328" w:name="_Toc378923328"/>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r w:rsidRPr="00BD1319">
        <w:lastRenderedPageBreak/>
        <w:t>E</w:t>
      </w:r>
      <w:r w:rsidRPr="00BD1319">
        <w:rPr>
          <w:spacing w:val="-3"/>
        </w:rPr>
        <w:t>l monitoreo y seguimiento es un proceso q</w:t>
      </w:r>
      <w:r w:rsidRPr="00BD1319">
        <w:rPr>
          <w:bCs/>
          <w:spacing w:val="-3"/>
        </w:rPr>
        <w:t>ue mediante la observación de</w:t>
      </w:r>
      <w:r w:rsidR="004D7D13" w:rsidRPr="00BD1319">
        <w:rPr>
          <w:bCs/>
          <w:spacing w:val="-3"/>
        </w:rPr>
        <w:t xml:space="preserve"> </w:t>
      </w:r>
      <w:r w:rsidRPr="00BD1319">
        <w:rPr>
          <w:bCs/>
          <w:spacing w:val="-3"/>
        </w:rPr>
        <w:t>l</w:t>
      </w:r>
      <w:r w:rsidR="004D7D13" w:rsidRPr="00BD1319">
        <w:rPr>
          <w:bCs/>
          <w:spacing w:val="-3"/>
        </w:rPr>
        <w:t>a evolución</w:t>
      </w:r>
      <w:r w:rsidRPr="00BD1319">
        <w:rPr>
          <w:bCs/>
          <w:spacing w:val="-3"/>
        </w:rPr>
        <w:t xml:space="preserve"> de los parámetros</w:t>
      </w:r>
      <w:r w:rsidR="0036668B" w:rsidRPr="00BD1319">
        <w:rPr>
          <w:bCs/>
          <w:spacing w:val="-3"/>
        </w:rPr>
        <w:t>, indicadores o índices</w:t>
      </w:r>
      <w:r w:rsidRPr="00BD1319">
        <w:rPr>
          <w:bCs/>
          <w:spacing w:val="-3"/>
        </w:rPr>
        <w:t xml:space="preserve"> ambientales que pueden ser </w:t>
      </w:r>
      <w:r w:rsidR="004D7D13" w:rsidRPr="00BD1319">
        <w:rPr>
          <w:bCs/>
          <w:spacing w:val="-3"/>
        </w:rPr>
        <w:t>alterados</w:t>
      </w:r>
      <w:r w:rsidRPr="00BD1319">
        <w:rPr>
          <w:bCs/>
          <w:spacing w:val="-3"/>
        </w:rPr>
        <w:t xml:space="preserve"> por el proyecto, obra o actividad, busca detectar eventuales anomalías </w:t>
      </w:r>
      <w:r w:rsidR="00860600" w:rsidRPr="00BD1319">
        <w:rPr>
          <w:bCs/>
          <w:spacing w:val="-3"/>
        </w:rPr>
        <w:t xml:space="preserve">en los factores, componentes y medios con los que </w:t>
      </w:r>
      <w:r w:rsidR="0022137A" w:rsidRPr="00BD1319">
        <w:rPr>
          <w:bCs/>
          <w:spacing w:val="-3"/>
        </w:rPr>
        <w:t xml:space="preserve">éstos </w:t>
      </w:r>
      <w:r w:rsidR="00860600" w:rsidRPr="00BD1319">
        <w:rPr>
          <w:bCs/>
          <w:spacing w:val="-3"/>
        </w:rPr>
        <w:t xml:space="preserve">se relacionan, </w:t>
      </w:r>
      <w:r w:rsidRPr="00BD1319">
        <w:rPr>
          <w:rFonts w:cs="Arial"/>
          <w:szCs w:val="20"/>
        </w:rPr>
        <w:t>c</w:t>
      </w:r>
      <w:r w:rsidR="00D635DA" w:rsidRPr="00BD1319">
        <w:rPr>
          <w:rFonts w:cs="Arial"/>
          <w:szCs w:val="20"/>
        </w:rPr>
        <w:t xml:space="preserve">on el propósito de que </w:t>
      </w:r>
      <w:r w:rsidR="00073CA4" w:rsidRPr="00BD1319">
        <w:rPr>
          <w:rFonts w:cs="Arial"/>
          <w:szCs w:val="20"/>
        </w:rPr>
        <w:t xml:space="preserve">durante </w:t>
      </w:r>
      <w:r w:rsidR="004D7D13" w:rsidRPr="00BD1319">
        <w:rPr>
          <w:rFonts w:cs="Arial"/>
          <w:szCs w:val="20"/>
        </w:rPr>
        <w:t xml:space="preserve">su </w:t>
      </w:r>
      <w:r w:rsidR="0022137A" w:rsidRPr="00BD1319">
        <w:rPr>
          <w:rFonts w:cs="Arial"/>
          <w:szCs w:val="20"/>
        </w:rPr>
        <w:t xml:space="preserve">fase de </w:t>
      </w:r>
      <w:r w:rsidR="00073CA4" w:rsidRPr="00BD1319">
        <w:rPr>
          <w:rFonts w:cs="Arial"/>
          <w:szCs w:val="20"/>
        </w:rPr>
        <w:t>ejecución</w:t>
      </w:r>
      <w:r w:rsidR="004D7D13" w:rsidRPr="00BD1319">
        <w:rPr>
          <w:rFonts w:cs="Arial"/>
          <w:szCs w:val="20"/>
        </w:rPr>
        <w:t xml:space="preserve"> </w:t>
      </w:r>
      <w:r w:rsidR="00073CA4" w:rsidRPr="00BD1319">
        <w:rPr>
          <w:rFonts w:cs="Arial"/>
          <w:szCs w:val="20"/>
        </w:rPr>
        <w:t xml:space="preserve">sea posible </w:t>
      </w:r>
      <w:r w:rsidR="00D635DA" w:rsidRPr="00BD1319">
        <w:rPr>
          <w:rFonts w:cs="Arial"/>
          <w:szCs w:val="20"/>
        </w:rPr>
        <w:t xml:space="preserve">emprender acciones </w:t>
      </w:r>
      <w:r w:rsidR="00C91F5B" w:rsidRPr="00BD1319">
        <w:rPr>
          <w:rFonts w:cs="Arial"/>
          <w:szCs w:val="20"/>
        </w:rPr>
        <w:t>oportunas y pertinentes de</w:t>
      </w:r>
      <w:r w:rsidR="004D7D13" w:rsidRPr="00BD1319">
        <w:rPr>
          <w:rFonts w:cs="Arial"/>
          <w:szCs w:val="20"/>
        </w:rPr>
        <w:t xml:space="preserve"> </w:t>
      </w:r>
      <w:r w:rsidR="00D635DA" w:rsidRPr="00BD1319">
        <w:rPr>
          <w:rFonts w:cs="Arial"/>
          <w:szCs w:val="20"/>
        </w:rPr>
        <w:t>control ambiental</w:t>
      </w:r>
      <w:r w:rsidR="004D7D13" w:rsidRPr="00BD1319">
        <w:rPr>
          <w:bCs/>
          <w:spacing w:val="-3"/>
        </w:rPr>
        <w:t>.</w:t>
      </w:r>
    </w:p>
    <w:p w14:paraId="1F1CD992" w14:textId="77777777" w:rsidR="004D7D13" w:rsidRPr="00BD1319" w:rsidRDefault="004D7D13">
      <w:pPr>
        <w:numPr>
          <w:ilvl w:val="12"/>
          <w:numId w:val="0"/>
        </w:numPr>
        <w:tabs>
          <w:tab w:val="left" w:pos="-2268"/>
        </w:tabs>
        <w:suppressAutoHyphens/>
        <w:rPr>
          <w:rFonts w:cs="Arial"/>
          <w:szCs w:val="20"/>
        </w:rPr>
      </w:pPr>
    </w:p>
    <w:p w14:paraId="5D2771CF" w14:textId="743B69FF" w:rsidR="003F354A" w:rsidRPr="00BD1319" w:rsidRDefault="00C91F5B" w:rsidP="003F354A">
      <w:pPr>
        <w:numPr>
          <w:ilvl w:val="12"/>
          <w:numId w:val="0"/>
        </w:numPr>
        <w:tabs>
          <w:tab w:val="left" w:pos="-2268"/>
        </w:tabs>
        <w:suppressAutoHyphens/>
        <w:rPr>
          <w:rFonts w:cs="Arial"/>
          <w:szCs w:val="20"/>
        </w:rPr>
      </w:pPr>
      <w:r w:rsidRPr="00BD1319">
        <w:rPr>
          <w:rFonts w:cs="Arial"/>
          <w:szCs w:val="20"/>
        </w:rPr>
        <w:t>Por lo anterior</w:t>
      </w:r>
      <w:r w:rsidR="00D635DA" w:rsidRPr="00BD1319">
        <w:rPr>
          <w:rFonts w:cs="Arial"/>
          <w:szCs w:val="20"/>
        </w:rPr>
        <w:t xml:space="preserve">, </w:t>
      </w:r>
      <w:r w:rsidR="00AF0451" w:rsidRPr="00BD1319">
        <w:rPr>
          <w:rFonts w:cs="Arial"/>
          <w:szCs w:val="20"/>
        </w:rPr>
        <w:t>se debe</w:t>
      </w:r>
      <w:r w:rsidR="00F33A22" w:rsidRPr="00BD1319">
        <w:rPr>
          <w:spacing w:val="-3"/>
        </w:rPr>
        <w:t xml:space="preserve"> </w:t>
      </w:r>
      <w:r w:rsidR="00A706D2" w:rsidRPr="00BD1319">
        <w:rPr>
          <w:spacing w:val="-3"/>
        </w:rPr>
        <w:t xml:space="preserve">estructurar un </w:t>
      </w:r>
      <w:r w:rsidR="00A706D2" w:rsidRPr="00BD1319">
        <w:rPr>
          <w:rFonts w:cs="Arial"/>
          <w:spacing w:val="-3"/>
        </w:rPr>
        <w:t>p</w:t>
      </w:r>
      <w:r w:rsidR="00F33A22" w:rsidRPr="00BD1319">
        <w:rPr>
          <w:rFonts w:cs="Arial"/>
          <w:spacing w:val="-3"/>
        </w:rPr>
        <w:t xml:space="preserve">lan </w:t>
      </w:r>
      <w:r w:rsidR="00A706D2" w:rsidRPr="00BD1319">
        <w:rPr>
          <w:rFonts w:cs="Arial"/>
          <w:spacing w:val="-3"/>
        </w:rPr>
        <w:t xml:space="preserve">que </w:t>
      </w:r>
      <w:r w:rsidR="00F33A22" w:rsidRPr="00BD1319">
        <w:rPr>
          <w:rFonts w:cs="Arial"/>
          <w:szCs w:val="20"/>
        </w:rPr>
        <w:t>defin</w:t>
      </w:r>
      <w:r w:rsidR="00A706D2" w:rsidRPr="00BD1319">
        <w:rPr>
          <w:rFonts w:cs="Arial"/>
          <w:szCs w:val="20"/>
        </w:rPr>
        <w:t>a</w:t>
      </w:r>
      <w:r w:rsidR="00F33A22" w:rsidRPr="00BD1319">
        <w:rPr>
          <w:rFonts w:cs="Arial"/>
          <w:szCs w:val="20"/>
        </w:rPr>
        <w:t xml:space="preserve"> las acciones de monitoreo </w:t>
      </w:r>
      <w:r w:rsidR="00C15965" w:rsidRPr="00BD1319">
        <w:rPr>
          <w:rFonts w:cs="Arial"/>
          <w:szCs w:val="20"/>
        </w:rPr>
        <w:t xml:space="preserve">y seguimiento </w:t>
      </w:r>
      <w:r w:rsidR="00F33A22" w:rsidRPr="00BD1319">
        <w:rPr>
          <w:rFonts w:cs="Arial"/>
          <w:szCs w:val="20"/>
        </w:rPr>
        <w:t>tanto al estado de la</w:t>
      </w:r>
      <w:r w:rsidR="00A551AF" w:rsidRPr="00BD1319">
        <w:rPr>
          <w:rFonts w:cs="Arial"/>
          <w:szCs w:val="20"/>
        </w:rPr>
        <w:t>s</w:t>
      </w:r>
      <w:r w:rsidR="00F33A22" w:rsidRPr="00BD1319">
        <w:rPr>
          <w:rFonts w:cs="Arial"/>
          <w:szCs w:val="20"/>
        </w:rPr>
        <w:t xml:space="preserve"> </w:t>
      </w:r>
      <w:r w:rsidR="00A551AF" w:rsidRPr="00BD1319">
        <w:rPr>
          <w:rFonts w:cs="Arial"/>
          <w:szCs w:val="20"/>
        </w:rPr>
        <w:t xml:space="preserve">condiciones ambientales </w:t>
      </w:r>
      <w:r w:rsidR="00F33A22" w:rsidRPr="00BD1319">
        <w:rPr>
          <w:rFonts w:cs="Arial"/>
          <w:szCs w:val="20"/>
        </w:rPr>
        <w:t>en el área de influencia</w:t>
      </w:r>
      <w:r w:rsidR="00860600" w:rsidRPr="00BD1319">
        <w:rPr>
          <w:rFonts w:cs="Arial"/>
          <w:szCs w:val="20"/>
        </w:rPr>
        <w:t xml:space="preserve"> del proyecto, obra o actividad</w:t>
      </w:r>
      <w:r w:rsidR="00F33A22" w:rsidRPr="00BD1319">
        <w:rPr>
          <w:rFonts w:cs="Arial"/>
          <w:szCs w:val="20"/>
        </w:rPr>
        <w:t xml:space="preserve">, como a la eficacia </w:t>
      </w:r>
      <w:r w:rsidR="00C15965" w:rsidRPr="00BD1319">
        <w:rPr>
          <w:rFonts w:cs="Arial"/>
          <w:szCs w:val="20"/>
        </w:rPr>
        <w:t xml:space="preserve">y eficiencia </w:t>
      </w:r>
      <w:r w:rsidR="00F33A22" w:rsidRPr="00BD1319">
        <w:rPr>
          <w:rFonts w:cs="Arial"/>
          <w:szCs w:val="20"/>
        </w:rPr>
        <w:t xml:space="preserve">de las medidas de manejo </w:t>
      </w:r>
      <w:r w:rsidR="00D21B58" w:rsidRPr="00BD1319">
        <w:rPr>
          <w:rFonts w:cs="Arial"/>
          <w:szCs w:val="20"/>
        </w:rPr>
        <w:t>contenidas</w:t>
      </w:r>
      <w:r w:rsidR="00C15965" w:rsidRPr="00BD1319">
        <w:rPr>
          <w:rFonts w:cs="Arial"/>
          <w:szCs w:val="20"/>
        </w:rPr>
        <w:t xml:space="preserve"> en</w:t>
      </w:r>
      <w:r w:rsidR="00766C2C" w:rsidRPr="00BD1319">
        <w:rPr>
          <w:rFonts w:cs="Arial"/>
          <w:szCs w:val="20"/>
        </w:rPr>
        <w:t xml:space="preserve"> </w:t>
      </w:r>
      <w:r w:rsidR="0022137A" w:rsidRPr="00BD1319">
        <w:rPr>
          <w:rFonts w:cs="Arial"/>
          <w:szCs w:val="20"/>
        </w:rPr>
        <w:t xml:space="preserve">todos los </w:t>
      </w:r>
      <w:r w:rsidR="00766C2C" w:rsidRPr="00BD1319">
        <w:rPr>
          <w:rFonts w:cs="Arial"/>
          <w:szCs w:val="20"/>
        </w:rPr>
        <w:t>planes y programas</w:t>
      </w:r>
      <w:r w:rsidR="00C15965" w:rsidRPr="00BD1319">
        <w:rPr>
          <w:rFonts w:cs="Arial"/>
          <w:szCs w:val="20"/>
        </w:rPr>
        <w:t xml:space="preserve"> </w:t>
      </w:r>
      <w:r w:rsidR="006A234D" w:rsidRPr="00BD1319">
        <w:rPr>
          <w:rFonts w:cs="Arial"/>
          <w:szCs w:val="20"/>
        </w:rPr>
        <w:t xml:space="preserve">formulados en el </w:t>
      </w:r>
      <w:r w:rsidR="00C1322B" w:rsidRPr="00BD1319">
        <w:rPr>
          <w:rFonts w:cs="Arial"/>
          <w:szCs w:val="20"/>
        </w:rPr>
        <w:t>EIA</w:t>
      </w:r>
      <w:r w:rsidR="00E16B7C" w:rsidRPr="00BD1319">
        <w:rPr>
          <w:rFonts w:cs="Arial"/>
          <w:szCs w:val="20"/>
        </w:rPr>
        <w:t xml:space="preserve">, </w:t>
      </w:r>
      <w:r w:rsidR="003F354A" w:rsidRPr="00BD1319">
        <w:rPr>
          <w:spacing w:val="-3"/>
        </w:rPr>
        <w:t>atend</w:t>
      </w:r>
      <w:r w:rsidR="00E16B7C" w:rsidRPr="00BD1319">
        <w:rPr>
          <w:spacing w:val="-3"/>
        </w:rPr>
        <w:t xml:space="preserve">iendo </w:t>
      </w:r>
      <w:r w:rsidR="003F354A" w:rsidRPr="00BD1319">
        <w:rPr>
          <w:spacing w:val="-3"/>
        </w:rPr>
        <w:t xml:space="preserve">las normas que regulan de forma específica </w:t>
      </w:r>
      <w:r w:rsidR="00C1322B" w:rsidRPr="00BD1319">
        <w:rPr>
          <w:spacing w:val="-3"/>
        </w:rPr>
        <w:t xml:space="preserve">cada </w:t>
      </w:r>
      <w:r w:rsidR="00925BA7" w:rsidRPr="00BD1319">
        <w:rPr>
          <w:spacing w:val="-3"/>
        </w:rPr>
        <w:t>uno de ellos</w:t>
      </w:r>
      <w:r w:rsidR="00E16B7C" w:rsidRPr="00BD1319">
        <w:rPr>
          <w:spacing w:val="-3"/>
        </w:rPr>
        <w:t>.</w:t>
      </w:r>
    </w:p>
    <w:p w14:paraId="461E19EB" w14:textId="77777777" w:rsidR="00E16B7C" w:rsidRPr="00BD1319" w:rsidRDefault="00E16B7C">
      <w:pPr>
        <w:numPr>
          <w:ilvl w:val="12"/>
          <w:numId w:val="0"/>
        </w:numPr>
        <w:tabs>
          <w:tab w:val="left" w:pos="-2268"/>
        </w:tabs>
        <w:suppressAutoHyphens/>
      </w:pPr>
    </w:p>
    <w:p w14:paraId="0BD53187" w14:textId="1782615C" w:rsidR="00E16B7C" w:rsidRPr="00BD1319" w:rsidRDefault="00E16B7C" w:rsidP="006C0B62">
      <w:pPr>
        <w:numPr>
          <w:ilvl w:val="12"/>
          <w:numId w:val="0"/>
        </w:numPr>
        <w:tabs>
          <w:tab w:val="left" w:pos="-2268"/>
        </w:tabs>
        <w:suppressAutoHyphens/>
        <w:rPr>
          <w:spacing w:val="-3"/>
        </w:rPr>
      </w:pPr>
      <w:r w:rsidRPr="00BD1319">
        <w:rPr>
          <w:spacing w:val="-3"/>
        </w:rPr>
        <w:t>Resulta importante que la información que se utiliza para la elaboración de los estudios ambientales (que configura la caracterización ambiental, evaluación ambiental, plan de manejo ambiental, entre otros apartes) y que se sintetiza mediante parámetros, indicadores o índices, sea organizada de forma coherente y práctica en un sistema de indicadores</w:t>
      </w:r>
      <w:r w:rsidRPr="00BD1319">
        <w:rPr>
          <w:spacing w:val="-3"/>
          <w:vertAlign w:val="superscript"/>
        </w:rPr>
        <w:footnoteReference w:id="217"/>
      </w:r>
      <w:r w:rsidR="001F2B50" w:rsidRPr="00BD1319">
        <w:rPr>
          <w:spacing w:val="-3"/>
        </w:rPr>
        <w:t>.</w:t>
      </w:r>
      <w:r w:rsidRPr="00BD1319">
        <w:rPr>
          <w:spacing w:val="-3"/>
        </w:rPr>
        <w:t xml:space="preserve"> </w:t>
      </w:r>
      <w:r w:rsidR="001F2B50" w:rsidRPr="00BD1319">
        <w:rPr>
          <w:spacing w:val="-3"/>
        </w:rPr>
        <w:t>E</w:t>
      </w:r>
      <w:r w:rsidRPr="00BD1319">
        <w:rPr>
          <w:spacing w:val="-3"/>
        </w:rPr>
        <w:t xml:space="preserve">n el caso de este plan, </w:t>
      </w:r>
      <w:r w:rsidR="0052252E" w:rsidRPr="00BD1319">
        <w:rPr>
          <w:spacing w:val="-3"/>
        </w:rPr>
        <w:t xml:space="preserve">dicho sistema de </w:t>
      </w:r>
      <w:r w:rsidRPr="00BD1319">
        <w:rPr>
          <w:spacing w:val="-3"/>
        </w:rPr>
        <w:t xml:space="preserve">indicadores </w:t>
      </w:r>
      <w:r w:rsidR="00494A17" w:rsidRPr="00BD1319">
        <w:rPr>
          <w:spacing w:val="-3"/>
        </w:rPr>
        <w:t xml:space="preserve">debe </w:t>
      </w:r>
      <w:r w:rsidR="00654456" w:rsidRPr="00BD1319">
        <w:rPr>
          <w:spacing w:val="-3"/>
        </w:rPr>
        <w:t xml:space="preserve">formularse para </w:t>
      </w:r>
      <w:r w:rsidRPr="00BD1319">
        <w:rPr>
          <w:spacing w:val="-3"/>
        </w:rPr>
        <w:t>monitor</w:t>
      </w:r>
      <w:r w:rsidR="00654456" w:rsidRPr="00BD1319">
        <w:rPr>
          <w:spacing w:val="-3"/>
        </w:rPr>
        <w:t xml:space="preserve">ear </w:t>
      </w:r>
      <w:r w:rsidRPr="00BD1319">
        <w:rPr>
          <w:spacing w:val="-3"/>
        </w:rPr>
        <w:t xml:space="preserve">los </w:t>
      </w:r>
      <w:r w:rsidR="00860600" w:rsidRPr="00BD1319">
        <w:rPr>
          <w:spacing w:val="-3"/>
        </w:rPr>
        <w:t>parámetros</w:t>
      </w:r>
      <w:r w:rsidR="0036668B" w:rsidRPr="00BD1319">
        <w:rPr>
          <w:spacing w:val="-3"/>
        </w:rPr>
        <w:t>, indicadores o índices</w:t>
      </w:r>
      <w:r w:rsidR="00D02472" w:rsidRPr="00BD1319">
        <w:rPr>
          <w:spacing w:val="-3"/>
        </w:rPr>
        <w:t xml:space="preserve"> </w:t>
      </w:r>
      <w:r w:rsidR="00F3165D" w:rsidRPr="00BD1319">
        <w:rPr>
          <w:spacing w:val="-3"/>
        </w:rPr>
        <w:t xml:space="preserve">que se alterarán en razón a los </w:t>
      </w:r>
      <w:r w:rsidR="00D02472" w:rsidRPr="00BD1319">
        <w:rPr>
          <w:spacing w:val="-3"/>
        </w:rPr>
        <w:t>impactos</w:t>
      </w:r>
      <w:r w:rsidR="00F3165D" w:rsidRPr="00BD1319">
        <w:rPr>
          <w:spacing w:val="-3"/>
        </w:rPr>
        <w:t xml:space="preserve"> del proyecto</w:t>
      </w:r>
      <w:r w:rsidR="00860600" w:rsidRPr="00BD1319">
        <w:rPr>
          <w:spacing w:val="-3"/>
        </w:rPr>
        <w:t>,</w:t>
      </w:r>
      <w:r w:rsidRPr="00BD1319">
        <w:rPr>
          <w:spacing w:val="-3"/>
        </w:rPr>
        <w:t xml:space="preserve"> </w:t>
      </w:r>
      <w:r w:rsidR="00113D03" w:rsidRPr="00BD1319">
        <w:rPr>
          <w:spacing w:val="-3"/>
        </w:rPr>
        <w:t xml:space="preserve">a fin de </w:t>
      </w:r>
      <w:r w:rsidRPr="00BD1319">
        <w:rPr>
          <w:spacing w:val="-3"/>
        </w:rPr>
        <w:t>tener una visión holística de la calidad y del comportamiento de</w:t>
      </w:r>
      <w:r w:rsidR="00E92274" w:rsidRPr="00BD1319">
        <w:rPr>
          <w:spacing w:val="-3"/>
        </w:rPr>
        <w:t xml:space="preserve"> </w:t>
      </w:r>
      <w:r w:rsidRPr="00BD1319">
        <w:rPr>
          <w:spacing w:val="-3"/>
        </w:rPr>
        <w:t>l</w:t>
      </w:r>
      <w:r w:rsidR="00E92274" w:rsidRPr="00BD1319">
        <w:rPr>
          <w:spacing w:val="-3"/>
        </w:rPr>
        <w:t>as condiciones ambientales</w:t>
      </w:r>
      <w:r w:rsidR="006C0B62" w:rsidRPr="00BD1319">
        <w:rPr>
          <w:spacing w:val="-3"/>
        </w:rPr>
        <w:t xml:space="preserve">, así como </w:t>
      </w:r>
      <w:r w:rsidR="008D6358" w:rsidRPr="00BD1319">
        <w:rPr>
          <w:spacing w:val="-3"/>
        </w:rPr>
        <w:t xml:space="preserve">para verificar </w:t>
      </w:r>
      <w:r w:rsidRPr="00BD1319">
        <w:rPr>
          <w:spacing w:val="-3"/>
        </w:rPr>
        <w:t>la ef</w:t>
      </w:r>
      <w:r w:rsidR="00880BFB" w:rsidRPr="00BD1319">
        <w:rPr>
          <w:spacing w:val="-3"/>
        </w:rPr>
        <w:t>icacia</w:t>
      </w:r>
      <w:r w:rsidRPr="00BD1319">
        <w:rPr>
          <w:spacing w:val="-3"/>
        </w:rPr>
        <w:t xml:space="preserve"> y eficiencia</w:t>
      </w:r>
      <w:r w:rsidR="00880BFB" w:rsidRPr="00BD1319">
        <w:rPr>
          <w:rStyle w:val="Refdenotaalpie"/>
          <w:spacing w:val="-3"/>
          <w:lang w:val="es-CO"/>
        </w:rPr>
        <w:footnoteReference w:id="218"/>
      </w:r>
      <w:r w:rsidRPr="00BD1319">
        <w:rPr>
          <w:spacing w:val="-3"/>
        </w:rPr>
        <w:t xml:space="preserve"> de las medidas de manejo</w:t>
      </w:r>
      <w:r w:rsidR="00925BA7" w:rsidRPr="00BD1319">
        <w:rPr>
          <w:spacing w:val="-3"/>
        </w:rPr>
        <w:t xml:space="preserve"> (que comprende</w:t>
      </w:r>
      <w:r w:rsidR="00DC1979" w:rsidRPr="00BD1319">
        <w:rPr>
          <w:spacing w:val="-3"/>
        </w:rPr>
        <w:t>n</w:t>
      </w:r>
      <w:r w:rsidR="00925BA7" w:rsidRPr="00BD1319">
        <w:rPr>
          <w:spacing w:val="-3"/>
        </w:rPr>
        <w:t xml:space="preserve"> también </w:t>
      </w:r>
      <w:r w:rsidR="00DC1979" w:rsidRPr="00BD1319">
        <w:rPr>
          <w:spacing w:val="-3"/>
        </w:rPr>
        <w:t xml:space="preserve">a </w:t>
      </w:r>
      <w:r w:rsidR="00925BA7" w:rsidRPr="00BD1319">
        <w:rPr>
          <w:spacing w:val="-3"/>
        </w:rPr>
        <w:t>las de compensación del medio biótico)</w:t>
      </w:r>
      <w:r w:rsidR="00494A17" w:rsidRPr="00BD1319">
        <w:rPr>
          <w:spacing w:val="-3"/>
        </w:rPr>
        <w:t>, de las medidas de intervención (riesgos)</w:t>
      </w:r>
      <w:r w:rsidR="0052252E" w:rsidRPr="00BD1319">
        <w:rPr>
          <w:spacing w:val="-3"/>
        </w:rPr>
        <w:t xml:space="preserve"> y </w:t>
      </w:r>
      <w:r w:rsidR="00494A17" w:rsidRPr="00BD1319">
        <w:rPr>
          <w:spacing w:val="-3"/>
        </w:rPr>
        <w:t xml:space="preserve">de las </w:t>
      </w:r>
      <w:r w:rsidR="00B24941" w:rsidRPr="00BD1319">
        <w:rPr>
          <w:spacing w:val="-3"/>
        </w:rPr>
        <w:t xml:space="preserve">medidas o </w:t>
      </w:r>
      <w:r w:rsidR="0052252E" w:rsidRPr="00BD1319">
        <w:rPr>
          <w:spacing w:val="-3"/>
        </w:rPr>
        <w:t>acciones de implementación de la inversión de no menos del</w:t>
      </w:r>
      <w:r w:rsidR="00540D1C" w:rsidRPr="00BD1319">
        <w:rPr>
          <w:spacing w:val="-3"/>
        </w:rPr>
        <w:t xml:space="preserve"> </w:t>
      </w:r>
      <w:r w:rsidR="0052252E" w:rsidRPr="00BD1319">
        <w:rPr>
          <w:spacing w:val="-3"/>
        </w:rPr>
        <w:t>1%</w:t>
      </w:r>
      <w:r w:rsidRPr="00BD1319">
        <w:rPr>
          <w:spacing w:val="-3"/>
        </w:rPr>
        <w:t>.</w:t>
      </w:r>
    </w:p>
    <w:p w14:paraId="0CD9C3C4" w14:textId="77777777" w:rsidR="00E16B7C" w:rsidRPr="00BD1319" w:rsidRDefault="00E16B7C" w:rsidP="00E16B7C">
      <w:pPr>
        <w:numPr>
          <w:ilvl w:val="12"/>
          <w:numId w:val="0"/>
        </w:numPr>
        <w:tabs>
          <w:tab w:val="left" w:pos="-2268"/>
        </w:tabs>
        <w:suppressAutoHyphens/>
        <w:rPr>
          <w:spacing w:val="-3"/>
        </w:rPr>
      </w:pPr>
    </w:p>
    <w:p w14:paraId="1937E0C4" w14:textId="327FC155" w:rsidR="00E16B7C" w:rsidRPr="00BD1319" w:rsidRDefault="006C0B62" w:rsidP="00E16B7C">
      <w:pPr>
        <w:numPr>
          <w:ilvl w:val="12"/>
          <w:numId w:val="0"/>
        </w:numPr>
        <w:tabs>
          <w:tab w:val="left" w:pos="-2268"/>
        </w:tabs>
        <w:suppressAutoHyphens/>
        <w:rPr>
          <w:spacing w:val="-3"/>
        </w:rPr>
      </w:pPr>
      <w:r w:rsidRPr="00BD1319">
        <w:rPr>
          <w:spacing w:val="-3"/>
        </w:rPr>
        <w:t xml:space="preserve">El </w:t>
      </w:r>
      <w:r w:rsidR="00E16B7C" w:rsidRPr="00BD1319">
        <w:rPr>
          <w:spacing w:val="-3"/>
        </w:rPr>
        <w:t xml:space="preserve">plan para el seguimiento y monitoreo debe </w:t>
      </w:r>
      <w:r w:rsidR="00C1322B" w:rsidRPr="00BD1319">
        <w:rPr>
          <w:spacing w:val="-3"/>
        </w:rPr>
        <w:t xml:space="preserve">establecer </w:t>
      </w:r>
      <w:r w:rsidR="00E16B7C" w:rsidRPr="00BD1319">
        <w:rPr>
          <w:spacing w:val="-3"/>
        </w:rPr>
        <w:t>como mínimo</w:t>
      </w:r>
      <w:r w:rsidR="00C1322B" w:rsidRPr="00BD1319">
        <w:rPr>
          <w:spacing w:val="-3"/>
        </w:rPr>
        <w:t xml:space="preserve"> lo siguiente</w:t>
      </w:r>
      <w:r w:rsidR="00E16B7C" w:rsidRPr="00BD1319">
        <w:rPr>
          <w:spacing w:val="-3"/>
        </w:rPr>
        <w:t>:</w:t>
      </w:r>
    </w:p>
    <w:bookmarkEnd w:id="11327"/>
    <w:p w14:paraId="0FB67947" w14:textId="77777777" w:rsidR="00E16B7C" w:rsidRPr="00BD1319" w:rsidRDefault="00E16B7C" w:rsidP="00E16B7C">
      <w:pPr>
        <w:numPr>
          <w:ilvl w:val="12"/>
          <w:numId w:val="0"/>
        </w:numPr>
        <w:tabs>
          <w:tab w:val="left" w:pos="-2268"/>
        </w:tabs>
        <w:suppressAutoHyphens/>
        <w:rPr>
          <w:spacing w:val="-3"/>
        </w:rPr>
      </w:pPr>
    </w:p>
    <w:p w14:paraId="66574380" w14:textId="77777777" w:rsidR="00E16B7C" w:rsidRPr="00BD1319" w:rsidRDefault="00E16B7C" w:rsidP="00E16B7C">
      <w:pPr>
        <w:numPr>
          <w:ilvl w:val="0"/>
          <w:numId w:val="19"/>
        </w:numPr>
        <w:tabs>
          <w:tab w:val="left" w:pos="-2268"/>
        </w:tabs>
        <w:suppressAutoHyphens/>
        <w:ind w:left="567" w:hanging="567"/>
        <w:rPr>
          <w:spacing w:val="-3"/>
        </w:rPr>
      </w:pPr>
      <w:r w:rsidRPr="00BD1319">
        <w:rPr>
          <w:spacing w:val="-3"/>
        </w:rPr>
        <w:t>Objetivos del plan.</w:t>
      </w:r>
    </w:p>
    <w:p w14:paraId="3CC573DF" w14:textId="77777777" w:rsidR="00E16B7C" w:rsidRPr="00BD1319" w:rsidRDefault="00E16B7C" w:rsidP="00E16B7C">
      <w:pPr>
        <w:tabs>
          <w:tab w:val="left" w:pos="-2268"/>
        </w:tabs>
        <w:suppressAutoHyphens/>
        <w:rPr>
          <w:spacing w:val="-3"/>
        </w:rPr>
      </w:pPr>
    </w:p>
    <w:p w14:paraId="7DFAFAD7" w14:textId="7B36620B" w:rsidR="00E16B7C" w:rsidRPr="00BD1319" w:rsidRDefault="00E16B7C" w:rsidP="00E16B7C">
      <w:pPr>
        <w:numPr>
          <w:ilvl w:val="0"/>
          <w:numId w:val="19"/>
        </w:numPr>
        <w:tabs>
          <w:tab w:val="left" w:pos="-2268"/>
        </w:tabs>
        <w:suppressAutoHyphens/>
        <w:ind w:left="567" w:hanging="567"/>
        <w:rPr>
          <w:spacing w:val="-3"/>
        </w:rPr>
      </w:pPr>
      <w:r w:rsidRPr="00BD1319">
        <w:rPr>
          <w:spacing w:val="-3"/>
        </w:rPr>
        <w:t xml:space="preserve">Componentes </w:t>
      </w:r>
      <w:r w:rsidR="00925BA7" w:rsidRPr="00BD1319">
        <w:rPr>
          <w:spacing w:val="-3"/>
        </w:rPr>
        <w:t xml:space="preserve">y factores </w:t>
      </w:r>
      <w:r w:rsidRPr="00BD1319">
        <w:rPr>
          <w:spacing w:val="-3"/>
        </w:rPr>
        <w:t xml:space="preserve">ambientales </w:t>
      </w:r>
      <w:r w:rsidR="00B32292" w:rsidRPr="00BD1319">
        <w:rPr>
          <w:spacing w:val="-3"/>
        </w:rPr>
        <w:t xml:space="preserve">que se deben </w:t>
      </w:r>
      <w:r w:rsidRPr="00BD1319">
        <w:rPr>
          <w:spacing w:val="-3"/>
        </w:rPr>
        <w:t>monitorear.</w:t>
      </w:r>
    </w:p>
    <w:p w14:paraId="2075F93A" w14:textId="77777777" w:rsidR="00E16B7C" w:rsidRPr="00BD1319" w:rsidRDefault="00E16B7C" w:rsidP="00E16B7C">
      <w:pPr>
        <w:tabs>
          <w:tab w:val="left" w:pos="-2268"/>
        </w:tabs>
        <w:suppressAutoHyphens/>
        <w:rPr>
          <w:spacing w:val="-3"/>
        </w:rPr>
      </w:pPr>
    </w:p>
    <w:p w14:paraId="68E6E7EE" w14:textId="001498BB" w:rsidR="00E16B7C" w:rsidRPr="00BD1319" w:rsidRDefault="00E16B7C" w:rsidP="00E16B7C">
      <w:pPr>
        <w:numPr>
          <w:ilvl w:val="0"/>
          <w:numId w:val="19"/>
        </w:numPr>
        <w:tabs>
          <w:tab w:val="left" w:pos="-2268"/>
        </w:tabs>
        <w:suppressAutoHyphens/>
        <w:ind w:left="567" w:hanging="567"/>
        <w:rPr>
          <w:spacing w:val="-3"/>
        </w:rPr>
      </w:pPr>
      <w:r w:rsidRPr="00BD1319">
        <w:rPr>
          <w:spacing w:val="-3"/>
        </w:rPr>
        <w:t>Parámetros</w:t>
      </w:r>
      <w:r w:rsidRPr="00BD1319">
        <w:rPr>
          <w:rFonts w:cs="Arial"/>
          <w:spacing w:val="-3"/>
        </w:rPr>
        <w:t>,</w:t>
      </w:r>
      <w:r w:rsidRPr="00BD1319">
        <w:rPr>
          <w:spacing w:val="-3"/>
        </w:rPr>
        <w:t xml:space="preserve"> indicadores</w:t>
      </w:r>
      <w:r w:rsidRPr="00BD1319">
        <w:rPr>
          <w:rFonts w:cs="Arial"/>
          <w:spacing w:val="-3"/>
        </w:rPr>
        <w:t xml:space="preserve"> e índices</w:t>
      </w:r>
      <w:r w:rsidRPr="00BD1319">
        <w:rPr>
          <w:spacing w:val="-3"/>
        </w:rPr>
        <w:t xml:space="preserve"> (cuantitativos y cualitativos) a monitorear</w:t>
      </w:r>
      <w:r w:rsidR="00494A17" w:rsidRPr="00BD1319">
        <w:rPr>
          <w:spacing w:val="-3"/>
        </w:rPr>
        <w:t xml:space="preserve"> y calcular</w:t>
      </w:r>
      <w:r w:rsidRPr="00BD1319">
        <w:rPr>
          <w:spacing w:val="-3"/>
        </w:rPr>
        <w:t>, especificando para cada uno de ellos lo siguiente:</w:t>
      </w:r>
    </w:p>
    <w:p w14:paraId="7D5C88B2" w14:textId="77777777" w:rsidR="00E16B7C" w:rsidRPr="00BD1319" w:rsidRDefault="00E16B7C" w:rsidP="00E16B7C">
      <w:pPr>
        <w:tabs>
          <w:tab w:val="left" w:pos="-2268"/>
        </w:tabs>
        <w:suppressAutoHyphens/>
        <w:rPr>
          <w:spacing w:val="-3"/>
        </w:rPr>
      </w:pPr>
    </w:p>
    <w:p w14:paraId="61F522CD" w14:textId="77777777" w:rsidR="00E16B7C" w:rsidRPr="00BD1319" w:rsidRDefault="00E16B7C" w:rsidP="00E16B7C">
      <w:pPr>
        <w:numPr>
          <w:ilvl w:val="0"/>
          <w:numId w:val="33"/>
        </w:numPr>
        <w:tabs>
          <w:tab w:val="left" w:pos="-2268"/>
        </w:tabs>
        <w:suppressAutoHyphens/>
        <w:ind w:left="1134" w:hanging="567"/>
        <w:rPr>
          <w:spacing w:val="-3"/>
        </w:rPr>
      </w:pPr>
      <w:r w:rsidRPr="00BD1319">
        <w:rPr>
          <w:spacing w:val="-3"/>
        </w:rPr>
        <w:t>Nombre.</w:t>
      </w:r>
    </w:p>
    <w:p w14:paraId="14450258" w14:textId="77777777" w:rsidR="00E16B7C" w:rsidRPr="00BD1319" w:rsidRDefault="00E16B7C" w:rsidP="00E16B7C">
      <w:pPr>
        <w:tabs>
          <w:tab w:val="left" w:pos="-2268"/>
        </w:tabs>
        <w:suppressAutoHyphens/>
        <w:rPr>
          <w:spacing w:val="-3"/>
        </w:rPr>
      </w:pPr>
    </w:p>
    <w:p w14:paraId="7AB4D1A2" w14:textId="37E0043E" w:rsidR="00C1322B" w:rsidRPr="00BD1319" w:rsidRDefault="00E16B7C" w:rsidP="00E16B7C">
      <w:pPr>
        <w:numPr>
          <w:ilvl w:val="0"/>
          <w:numId w:val="33"/>
        </w:numPr>
        <w:tabs>
          <w:tab w:val="left" w:pos="-2268"/>
        </w:tabs>
        <w:suppressAutoHyphens/>
        <w:ind w:left="1134" w:hanging="567"/>
        <w:rPr>
          <w:spacing w:val="-3"/>
        </w:rPr>
      </w:pPr>
      <w:r w:rsidRPr="00BD1319">
        <w:rPr>
          <w:spacing w:val="-3"/>
        </w:rPr>
        <w:lastRenderedPageBreak/>
        <w:t>Tipo</w:t>
      </w:r>
      <w:r w:rsidR="000F669C" w:rsidRPr="00BD1319">
        <w:rPr>
          <w:rStyle w:val="Refdenotaalpie"/>
          <w:spacing w:val="-3"/>
          <w:lang w:val="es-CO"/>
        </w:rPr>
        <w:footnoteReference w:id="219"/>
      </w:r>
      <w:r w:rsidR="00C1322B" w:rsidRPr="00BD1319">
        <w:rPr>
          <w:spacing w:val="-3"/>
        </w:rPr>
        <w:t>:</w:t>
      </w:r>
    </w:p>
    <w:p w14:paraId="455A6F68" w14:textId="77777777" w:rsidR="00C1322B" w:rsidRPr="00BD1319" w:rsidRDefault="00C1322B" w:rsidP="009420F5">
      <w:pPr>
        <w:rPr>
          <w:spacing w:val="-3"/>
        </w:rPr>
      </w:pPr>
    </w:p>
    <w:p w14:paraId="52C8C8F2" w14:textId="0ED18758" w:rsidR="00C1322B" w:rsidRPr="00BD1319" w:rsidRDefault="00994B23" w:rsidP="009420F5">
      <w:pPr>
        <w:numPr>
          <w:ilvl w:val="0"/>
          <w:numId w:val="455"/>
        </w:numPr>
        <w:tabs>
          <w:tab w:val="left" w:pos="-2268"/>
        </w:tabs>
        <w:suppressAutoHyphens/>
        <w:ind w:left="1701" w:hanging="567"/>
        <w:rPr>
          <w:spacing w:val="-3"/>
        </w:rPr>
      </w:pPr>
      <w:r w:rsidRPr="00BD1319">
        <w:rPr>
          <w:spacing w:val="-3"/>
        </w:rPr>
        <w:t>De m</w:t>
      </w:r>
      <w:r w:rsidR="00E16B7C" w:rsidRPr="00BD1319">
        <w:rPr>
          <w:spacing w:val="-3"/>
        </w:rPr>
        <w:t xml:space="preserve">onitoreo del estado de </w:t>
      </w:r>
      <w:r w:rsidR="00C1322B" w:rsidRPr="00BD1319">
        <w:rPr>
          <w:spacing w:val="-3"/>
        </w:rPr>
        <w:t xml:space="preserve">las </w:t>
      </w:r>
      <w:r w:rsidR="00E16B7C" w:rsidRPr="00BD1319">
        <w:rPr>
          <w:spacing w:val="-3"/>
        </w:rPr>
        <w:t>condiciones ambientales</w:t>
      </w:r>
      <w:r w:rsidR="00C1322B" w:rsidRPr="00BD1319">
        <w:rPr>
          <w:spacing w:val="-3"/>
        </w:rPr>
        <w:t>.</w:t>
      </w:r>
    </w:p>
    <w:p w14:paraId="119796E6" w14:textId="77777777" w:rsidR="00C1322B" w:rsidRPr="00BD1319" w:rsidRDefault="00C1322B" w:rsidP="009420F5">
      <w:pPr>
        <w:tabs>
          <w:tab w:val="left" w:pos="-2268"/>
        </w:tabs>
        <w:suppressAutoHyphens/>
        <w:rPr>
          <w:spacing w:val="-3"/>
        </w:rPr>
      </w:pPr>
    </w:p>
    <w:p w14:paraId="42BE5169" w14:textId="43DC9E02" w:rsidR="00C1322B" w:rsidRPr="00BD1319" w:rsidRDefault="00994B23" w:rsidP="009420F5">
      <w:pPr>
        <w:numPr>
          <w:ilvl w:val="0"/>
          <w:numId w:val="455"/>
        </w:numPr>
        <w:tabs>
          <w:tab w:val="left" w:pos="-2268"/>
        </w:tabs>
        <w:suppressAutoHyphens/>
        <w:ind w:left="1701" w:hanging="567"/>
        <w:rPr>
          <w:spacing w:val="-3"/>
        </w:rPr>
      </w:pPr>
      <w:r w:rsidRPr="00BD1319">
        <w:rPr>
          <w:spacing w:val="-3"/>
        </w:rPr>
        <w:t>De m</w:t>
      </w:r>
      <w:r w:rsidR="00E16B7C" w:rsidRPr="00BD1319">
        <w:rPr>
          <w:spacing w:val="-3"/>
        </w:rPr>
        <w:t xml:space="preserve">onitoreo de </w:t>
      </w:r>
      <w:r w:rsidR="00C1322B" w:rsidRPr="00BD1319">
        <w:rPr>
          <w:spacing w:val="-3"/>
        </w:rPr>
        <w:t xml:space="preserve">la </w:t>
      </w:r>
      <w:r w:rsidR="00E16B7C" w:rsidRPr="00BD1319">
        <w:rPr>
          <w:spacing w:val="-3"/>
        </w:rPr>
        <w:t xml:space="preserve">eficacia de medidas </w:t>
      </w:r>
      <w:r w:rsidR="00A03D89" w:rsidRPr="00BD1319">
        <w:rPr>
          <w:spacing w:val="-3"/>
        </w:rPr>
        <w:t>de manejo</w:t>
      </w:r>
      <w:r w:rsidRPr="00BD1319">
        <w:rPr>
          <w:spacing w:val="-3"/>
        </w:rPr>
        <w:t>, de medidas de intervención (riesgos)</w:t>
      </w:r>
      <w:r w:rsidR="00925BA7" w:rsidRPr="00BD1319">
        <w:rPr>
          <w:spacing w:val="-3"/>
        </w:rPr>
        <w:t>,</w:t>
      </w:r>
      <w:r w:rsidR="00A03D89" w:rsidRPr="00BD1319">
        <w:rPr>
          <w:spacing w:val="-3"/>
        </w:rPr>
        <w:t xml:space="preserve"> </w:t>
      </w:r>
      <w:r w:rsidR="00F118E6" w:rsidRPr="00BD1319">
        <w:rPr>
          <w:spacing w:val="-3"/>
        </w:rPr>
        <w:t xml:space="preserve">de medidas o </w:t>
      </w:r>
      <w:r w:rsidR="00E16B7C" w:rsidRPr="00BD1319">
        <w:rPr>
          <w:spacing w:val="-3"/>
        </w:rPr>
        <w:t xml:space="preserve">acciones </w:t>
      </w:r>
      <w:r w:rsidR="00F118E6" w:rsidRPr="00BD1319">
        <w:rPr>
          <w:spacing w:val="-3"/>
        </w:rPr>
        <w:t>de implementación de la inversión de no menos del</w:t>
      </w:r>
      <w:r w:rsidR="00614DD3" w:rsidRPr="00BD1319">
        <w:rPr>
          <w:spacing w:val="-3"/>
        </w:rPr>
        <w:t xml:space="preserve"> </w:t>
      </w:r>
      <w:r w:rsidR="00E16B7C" w:rsidRPr="00BD1319">
        <w:rPr>
          <w:spacing w:val="-3"/>
        </w:rPr>
        <w:t>1%</w:t>
      </w:r>
      <w:r w:rsidR="00925BA7" w:rsidRPr="00BD1319">
        <w:rPr>
          <w:spacing w:val="-3"/>
        </w:rPr>
        <w:t xml:space="preserve"> o de medidas de compensación del medio biótico</w:t>
      </w:r>
      <w:r w:rsidR="00A03D89" w:rsidRPr="00BD1319">
        <w:rPr>
          <w:spacing w:val="-3"/>
        </w:rPr>
        <w:t>.</w:t>
      </w:r>
    </w:p>
    <w:p w14:paraId="0BFB8E88" w14:textId="77777777" w:rsidR="00C1322B" w:rsidRPr="00BD1319" w:rsidRDefault="00C1322B" w:rsidP="009420F5">
      <w:pPr>
        <w:rPr>
          <w:spacing w:val="-3"/>
        </w:rPr>
      </w:pPr>
    </w:p>
    <w:p w14:paraId="5CDDE834" w14:textId="323E4187" w:rsidR="00C1322B" w:rsidRPr="00BD1319" w:rsidRDefault="00994B23" w:rsidP="009420F5">
      <w:pPr>
        <w:numPr>
          <w:ilvl w:val="0"/>
          <w:numId w:val="455"/>
        </w:numPr>
        <w:tabs>
          <w:tab w:val="left" w:pos="-2268"/>
        </w:tabs>
        <w:suppressAutoHyphens/>
        <w:ind w:left="1701" w:hanging="567"/>
        <w:rPr>
          <w:spacing w:val="-3"/>
        </w:rPr>
      </w:pPr>
      <w:r w:rsidRPr="00BD1319">
        <w:rPr>
          <w:spacing w:val="-3"/>
        </w:rPr>
        <w:t>De m</w:t>
      </w:r>
      <w:r w:rsidR="008230A5" w:rsidRPr="00BD1319">
        <w:rPr>
          <w:spacing w:val="-3"/>
        </w:rPr>
        <w:t xml:space="preserve">onitoreo de </w:t>
      </w:r>
      <w:r w:rsidR="00C1322B" w:rsidRPr="00BD1319">
        <w:rPr>
          <w:spacing w:val="-3"/>
        </w:rPr>
        <w:t xml:space="preserve">la </w:t>
      </w:r>
      <w:r w:rsidR="008230A5" w:rsidRPr="00BD1319">
        <w:rPr>
          <w:spacing w:val="-3"/>
        </w:rPr>
        <w:t>eficacia de</w:t>
      </w:r>
      <w:r w:rsidR="00C1322B" w:rsidRPr="00BD1319">
        <w:rPr>
          <w:spacing w:val="-3"/>
        </w:rPr>
        <w:t>l conjunto de</w:t>
      </w:r>
      <w:r w:rsidR="008230A5" w:rsidRPr="00BD1319">
        <w:rPr>
          <w:spacing w:val="-3"/>
        </w:rPr>
        <w:t xml:space="preserve"> medidas </w:t>
      </w:r>
      <w:r w:rsidR="003705E9" w:rsidRPr="00BD1319">
        <w:rPr>
          <w:spacing w:val="-3"/>
        </w:rPr>
        <w:t xml:space="preserve">de manejo </w:t>
      </w:r>
      <w:r w:rsidR="00C1322B" w:rsidRPr="00BD1319">
        <w:rPr>
          <w:spacing w:val="-3"/>
        </w:rPr>
        <w:t>asociadas a los impactos de</w:t>
      </w:r>
      <w:r w:rsidR="008230A5" w:rsidRPr="00BD1319">
        <w:rPr>
          <w:spacing w:val="-3"/>
        </w:rPr>
        <w:t xml:space="preserve"> una categoría estandarizada de impactos o </w:t>
      </w:r>
      <w:r w:rsidRPr="00BD1319">
        <w:rPr>
          <w:spacing w:val="-3"/>
        </w:rPr>
        <w:t xml:space="preserve">del conjunto de medidas de manejo asociadas </w:t>
      </w:r>
      <w:r w:rsidR="003705E9" w:rsidRPr="00BD1319">
        <w:rPr>
          <w:spacing w:val="-3"/>
        </w:rPr>
        <w:t xml:space="preserve">a </w:t>
      </w:r>
      <w:r w:rsidR="00C1322B" w:rsidRPr="00BD1319">
        <w:rPr>
          <w:spacing w:val="-3"/>
        </w:rPr>
        <w:t xml:space="preserve">un </w:t>
      </w:r>
      <w:r w:rsidR="008230A5" w:rsidRPr="00BD1319">
        <w:rPr>
          <w:spacing w:val="-3"/>
        </w:rPr>
        <w:t>programa ambiental</w:t>
      </w:r>
      <w:r w:rsidR="00C1322B" w:rsidRPr="00BD1319">
        <w:rPr>
          <w:spacing w:val="-3"/>
        </w:rPr>
        <w:t>.</w:t>
      </w:r>
    </w:p>
    <w:p w14:paraId="31279A50" w14:textId="77777777" w:rsidR="00C1322B" w:rsidRPr="00BD1319" w:rsidRDefault="00C1322B" w:rsidP="009420F5">
      <w:pPr>
        <w:tabs>
          <w:tab w:val="left" w:pos="-2268"/>
        </w:tabs>
        <w:suppressAutoHyphens/>
        <w:rPr>
          <w:spacing w:val="-3"/>
        </w:rPr>
      </w:pPr>
    </w:p>
    <w:p w14:paraId="3677A4B7" w14:textId="6BB66040" w:rsidR="00E16B7C" w:rsidRPr="00BD1319" w:rsidRDefault="00994B23" w:rsidP="009420F5">
      <w:pPr>
        <w:numPr>
          <w:ilvl w:val="0"/>
          <w:numId w:val="455"/>
        </w:numPr>
        <w:tabs>
          <w:tab w:val="left" w:pos="-2268"/>
        </w:tabs>
        <w:suppressAutoHyphens/>
        <w:ind w:left="1701" w:hanging="567"/>
        <w:rPr>
          <w:spacing w:val="-3"/>
        </w:rPr>
      </w:pPr>
      <w:r w:rsidRPr="00BD1319">
        <w:rPr>
          <w:spacing w:val="-3"/>
        </w:rPr>
        <w:t>De m</w:t>
      </w:r>
      <w:r w:rsidR="00E16B7C" w:rsidRPr="00BD1319">
        <w:rPr>
          <w:spacing w:val="-3"/>
        </w:rPr>
        <w:t xml:space="preserve">onitoreo de </w:t>
      </w:r>
      <w:r w:rsidR="00C1322B" w:rsidRPr="00BD1319">
        <w:rPr>
          <w:spacing w:val="-3"/>
        </w:rPr>
        <w:t xml:space="preserve">la </w:t>
      </w:r>
      <w:r w:rsidR="00E16B7C" w:rsidRPr="00BD1319">
        <w:rPr>
          <w:spacing w:val="-3"/>
        </w:rPr>
        <w:t xml:space="preserve">eficiencia de medidas </w:t>
      </w:r>
      <w:r w:rsidR="003705E9" w:rsidRPr="00BD1319">
        <w:rPr>
          <w:spacing w:val="-3"/>
        </w:rPr>
        <w:t>de manejo</w:t>
      </w:r>
      <w:r w:rsidRPr="00BD1319">
        <w:rPr>
          <w:spacing w:val="-3"/>
        </w:rPr>
        <w:t>, de medidas de intervención (riesgos)</w:t>
      </w:r>
      <w:r w:rsidR="00925BA7" w:rsidRPr="00BD1319">
        <w:rPr>
          <w:spacing w:val="-3"/>
        </w:rPr>
        <w:t>,</w:t>
      </w:r>
      <w:r w:rsidR="00F118E6" w:rsidRPr="00BD1319">
        <w:rPr>
          <w:spacing w:val="-3"/>
        </w:rPr>
        <w:t xml:space="preserve"> de medidas o acciones de implementación de la inversión de no menos del</w:t>
      </w:r>
      <w:r w:rsidR="005760ED" w:rsidRPr="00BD1319">
        <w:rPr>
          <w:spacing w:val="-3"/>
        </w:rPr>
        <w:t xml:space="preserve"> </w:t>
      </w:r>
      <w:r w:rsidR="00F118E6" w:rsidRPr="00BD1319">
        <w:rPr>
          <w:spacing w:val="-3"/>
        </w:rPr>
        <w:t>1%</w:t>
      </w:r>
      <w:r w:rsidR="00925BA7" w:rsidRPr="00BD1319">
        <w:rPr>
          <w:spacing w:val="-3"/>
        </w:rPr>
        <w:t xml:space="preserve"> o de medidas de compensación del medio biótico</w:t>
      </w:r>
      <w:r w:rsidR="00E16B7C" w:rsidRPr="00BD1319">
        <w:rPr>
          <w:spacing w:val="-3"/>
        </w:rPr>
        <w:t>.</w:t>
      </w:r>
    </w:p>
    <w:p w14:paraId="26F6C38B" w14:textId="77777777" w:rsidR="00E16B7C" w:rsidRPr="00BD1319" w:rsidRDefault="00E16B7C" w:rsidP="00E16B7C">
      <w:pPr>
        <w:tabs>
          <w:tab w:val="left" w:pos="-2268"/>
        </w:tabs>
        <w:suppressAutoHyphens/>
        <w:rPr>
          <w:spacing w:val="-3"/>
        </w:rPr>
      </w:pPr>
    </w:p>
    <w:p w14:paraId="63B874C6" w14:textId="77777777" w:rsidR="00E16B7C" w:rsidRPr="00BD1319" w:rsidRDefault="00E16B7C" w:rsidP="00E16B7C">
      <w:pPr>
        <w:numPr>
          <w:ilvl w:val="0"/>
          <w:numId w:val="33"/>
        </w:numPr>
        <w:tabs>
          <w:tab w:val="left" w:pos="-2268"/>
        </w:tabs>
        <w:suppressAutoHyphens/>
        <w:ind w:left="1134" w:hanging="567"/>
        <w:rPr>
          <w:spacing w:val="-3"/>
        </w:rPr>
      </w:pPr>
      <w:r w:rsidRPr="00BD1319">
        <w:rPr>
          <w:spacing w:val="-3"/>
        </w:rPr>
        <w:t>Fases del proyecto, obra o actividad en las que se debe monitorear.</w:t>
      </w:r>
    </w:p>
    <w:p w14:paraId="3664C27F" w14:textId="77777777" w:rsidR="00E16B7C" w:rsidRPr="00BD1319" w:rsidRDefault="00E16B7C" w:rsidP="00E16B7C">
      <w:pPr>
        <w:tabs>
          <w:tab w:val="left" w:pos="-2268"/>
        </w:tabs>
        <w:suppressAutoHyphens/>
        <w:rPr>
          <w:spacing w:val="-3"/>
        </w:rPr>
      </w:pPr>
    </w:p>
    <w:p w14:paraId="5286518F" w14:textId="77777777" w:rsidR="00E16B7C" w:rsidRPr="00BD1319" w:rsidRDefault="00E16B7C" w:rsidP="00E16B7C">
      <w:pPr>
        <w:numPr>
          <w:ilvl w:val="0"/>
          <w:numId w:val="33"/>
        </w:numPr>
        <w:tabs>
          <w:tab w:val="left" w:pos="-2268"/>
        </w:tabs>
        <w:suppressAutoHyphens/>
        <w:ind w:left="1134" w:hanging="567"/>
        <w:rPr>
          <w:spacing w:val="-3"/>
        </w:rPr>
      </w:pPr>
      <w:r w:rsidRPr="00BD1319">
        <w:rPr>
          <w:spacing w:val="-3"/>
        </w:rPr>
        <w:t>Cronograma anual estimado para su monitoreo.</w:t>
      </w:r>
    </w:p>
    <w:p w14:paraId="05F3C979" w14:textId="77777777" w:rsidR="00E16B7C" w:rsidRPr="00BD1319" w:rsidRDefault="00E16B7C" w:rsidP="00E16B7C">
      <w:pPr>
        <w:tabs>
          <w:tab w:val="left" w:pos="-2268"/>
        </w:tabs>
        <w:suppressAutoHyphens/>
        <w:rPr>
          <w:spacing w:val="-3"/>
        </w:rPr>
      </w:pPr>
    </w:p>
    <w:p w14:paraId="7484D75C" w14:textId="77777777" w:rsidR="00E16B7C" w:rsidRPr="00BD1319" w:rsidRDefault="00E16B7C" w:rsidP="00E16B7C">
      <w:pPr>
        <w:numPr>
          <w:ilvl w:val="0"/>
          <w:numId w:val="33"/>
        </w:numPr>
        <w:tabs>
          <w:tab w:val="left" w:pos="-2268"/>
        </w:tabs>
        <w:suppressAutoHyphens/>
        <w:ind w:left="1134" w:hanging="567"/>
        <w:rPr>
          <w:spacing w:val="-3"/>
        </w:rPr>
      </w:pPr>
      <w:r w:rsidRPr="00BD1319">
        <w:rPr>
          <w:spacing w:val="-3"/>
        </w:rPr>
        <w:t>Frecuencia de medición o de cálculo.</w:t>
      </w:r>
    </w:p>
    <w:p w14:paraId="2746CB4D" w14:textId="77777777" w:rsidR="00E16B7C" w:rsidRPr="00BD1319" w:rsidRDefault="00E16B7C" w:rsidP="00E16B7C">
      <w:pPr>
        <w:tabs>
          <w:tab w:val="left" w:pos="-2268"/>
        </w:tabs>
        <w:suppressAutoHyphens/>
        <w:rPr>
          <w:spacing w:val="-3"/>
        </w:rPr>
      </w:pPr>
    </w:p>
    <w:p w14:paraId="61F20B95" w14:textId="77777777" w:rsidR="00E16B7C" w:rsidRPr="00BD1319" w:rsidRDefault="00E16B7C" w:rsidP="00E16B7C">
      <w:pPr>
        <w:numPr>
          <w:ilvl w:val="0"/>
          <w:numId w:val="33"/>
        </w:numPr>
        <w:tabs>
          <w:tab w:val="left" w:pos="-2268"/>
        </w:tabs>
        <w:suppressAutoHyphens/>
        <w:ind w:left="1134" w:hanging="567"/>
        <w:rPr>
          <w:spacing w:val="-3"/>
        </w:rPr>
      </w:pPr>
      <w:r w:rsidRPr="00BD1319">
        <w:rPr>
          <w:spacing w:val="-3"/>
        </w:rPr>
        <w:t>Duración del monitoreo.</w:t>
      </w:r>
    </w:p>
    <w:p w14:paraId="1DB33F54" w14:textId="77777777" w:rsidR="00E16B7C" w:rsidRPr="00BD1319" w:rsidRDefault="00E16B7C" w:rsidP="00E16B7C">
      <w:pPr>
        <w:rPr>
          <w:spacing w:val="-3"/>
        </w:rPr>
      </w:pPr>
    </w:p>
    <w:p w14:paraId="00913816" w14:textId="77777777" w:rsidR="00E16B7C" w:rsidRPr="00BD1319" w:rsidRDefault="00E16B7C" w:rsidP="00E16B7C">
      <w:pPr>
        <w:numPr>
          <w:ilvl w:val="0"/>
          <w:numId w:val="33"/>
        </w:numPr>
        <w:tabs>
          <w:tab w:val="left" w:pos="-2268"/>
        </w:tabs>
        <w:suppressAutoHyphens/>
        <w:ind w:left="1134" w:hanging="567"/>
        <w:rPr>
          <w:spacing w:val="-3"/>
        </w:rPr>
      </w:pPr>
      <w:r w:rsidRPr="00BD1319">
        <w:rPr>
          <w:spacing w:val="-3"/>
        </w:rPr>
        <w:t>Localización de los lugares de monitoreo, si es posible, con su ubicación en términos de coordenadas.</w:t>
      </w:r>
    </w:p>
    <w:p w14:paraId="5E214ACE" w14:textId="77777777" w:rsidR="00E16B7C" w:rsidRPr="00BD1319" w:rsidRDefault="00E16B7C" w:rsidP="00E16B7C">
      <w:pPr>
        <w:tabs>
          <w:tab w:val="left" w:pos="-2268"/>
        </w:tabs>
        <w:suppressAutoHyphens/>
        <w:rPr>
          <w:spacing w:val="-3"/>
        </w:rPr>
      </w:pPr>
    </w:p>
    <w:p w14:paraId="3E3F9E20" w14:textId="77777777" w:rsidR="00E16B7C" w:rsidRPr="00BD1319" w:rsidRDefault="00E16B7C" w:rsidP="00E16B7C">
      <w:pPr>
        <w:numPr>
          <w:ilvl w:val="0"/>
          <w:numId w:val="33"/>
        </w:numPr>
        <w:tabs>
          <w:tab w:val="left" w:pos="-2268"/>
        </w:tabs>
        <w:suppressAutoHyphens/>
        <w:ind w:left="1134" w:hanging="567"/>
        <w:rPr>
          <w:spacing w:val="-3"/>
        </w:rPr>
      </w:pPr>
      <w:r w:rsidRPr="00BD1319">
        <w:rPr>
          <w:spacing w:val="-3"/>
        </w:rPr>
        <w:t>Unidad de medida.</w:t>
      </w:r>
    </w:p>
    <w:p w14:paraId="29A1F609" w14:textId="77777777" w:rsidR="00E16B7C" w:rsidRPr="00BD1319" w:rsidRDefault="00E16B7C" w:rsidP="00E16B7C">
      <w:pPr>
        <w:tabs>
          <w:tab w:val="left" w:pos="-2268"/>
        </w:tabs>
        <w:suppressAutoHyphens/>
        <w:rPr>
          <w:spacing w:val="-3"/>
        </w:rPr>
      </w:pPr>
    </w:p>
    <w:p w14:paraId="45688AE4" w14:textId="77777777" w:rsidR="00E16B7C" w:rsidRPr="00BD1319" w:rsidRDefault="00E16B7C" w:rsidP="00E16B7C">
      <w:pPr>
        <w:numPr>
          <w:ilvl w:val="0"/>
          <w:numId w:val="33"/>
        </w:numPr>
        <w:tabs>
          <w:tab w:val="left" w:pos="-2268"/>
        </w:tabs>
        <w:suppressAutoHyphens/>
        <w:ind w:left="1134" w:hanging="567"/>
        <w:rPr>
          <w:spacing w:val="-3"/>
        </w:rPr>
      </w:pPr>
      <w:r w:rsidRPr="00BD1319">
        <w:rPr>
          <w:spacing w:val="-3"/>
        </w:rPr>
        <w:t>Definición.</w:t>
      </w:r>
    </w:p>
    <w:p w14:paraId="56A51B94" w14:textId="77777777" w:rsidR="00E16B7C" w:rsidRPr="00BD1319" w:rsidRDefault="00E16B7C" w:rsidP="00E16B7C">
      <w:pPr>
        <w:tabs>
          <w:tab w:val="left" w:pos="-2268"/>
        </w:tabs>
        <w:suppressAutoHyphens/>
        <w:rPr>
          <w:spacing w:val="-3"/>
        </w:rPr>
      </w:pPr>
    </w:p>
    <w:p w14:paraId="171FD2F0" w14:textId="77777777" w:rsidR="00E16B7C" w:rsidRPr="00BD1319" w:rsidRDefault="00E16B7C" w:rsidP="00E16B7C">
      <w:pPr>
        <w:numPr>
          <w:ilvl w:val="0"/>
          <w:numId w:val="33"/>
        </w:numPr>
        <w:tabs>
          <w:tab w:val="left" w:pos="-2268"/>
        </w:tabs>
        <w:suppressAutoHyphens/>
        <w:ind w:left="1134" w:hanging="567"/>
        <w:rPr>
          <w:spacing w:val="-3"/>
        </w:rPr>
      </w:pPr>
      <w:r w:rsidRPr="00BD1319">
        <w:rPr>
          <w:spacing w:val="-3"/>
        </w:rPr>
        <w:t>Fórmula de cálculo.</w:t>
      </w:r>
    </w:p>
    <w:p w14:paraId="3AEBF051" w14:textId="77777777" w:rsidR="00E16B7C" w:rsidRPr="00BD1319" w:rsidRDefault="00E16B7C" w:rsidP="00E16B7C">
      <w:pPr>
        <w:rPr>
          <w:spacing w:val="-3"/>
        </w:rPr>
      </w:pPr>
    </w:p>
    <w:p w14:paraId="086F36EF" w14:textId="049B5A8E" w:rsidR="00E16B7C" w:rsidRPr="00BD1319" w:rsidRDefault="00AC4AE5" w:rsidP="00E16B7C">
      <w:pPr>
        <w:numPr>
          <w:ilvl w:val="0"/>
          <w:numId w:val="33"/>
        </w:numPr>
        <w:tabs>
          <w:tab w:val="left" w:pos="-2268"/>
        </w:tabs>
        <w:suppressAutoHyphens/>
        <w:ind w:left="1134" w:hanging="567"/>
        <w:rPr>
          <w:spacing w:val="-3"/>
        </w:rPr>
      </w:pPr>
      <w:r w:rsidRPr="00BD1319">
        <w:rPr>
          <w:spacing w:val="-3"/>
        </w:rPr>
        <w:t>Métodos</w:t>
      </w:r>
      <w:r w:rsidR="00E16B7C" w:rsidRPr="00BD1319">
        <w:rPr>
          <w:spacing w:val="-3"/>
        </w:rPr>
        <w:t xml:space="preserve"> de medición y de cálculo. Descripción de los procedimientos requeridos para su medición o cálculo, relacionando los instrumentos necesarios para ello.</w:t>
      </w:r>
    </w:p>
    <w:p w14:paraId="2D9B2AB2" w14:textId="77777777" w:rsidR="00E16B7C" w:rsidRPr="00BD1319" w:rsidRDefault="00E16B7C" w:rsidP="00E16B7C">
      <w:pPr>
        <w:tabs>
          <w:tab w:val="left" w:pos="-2268"/>
        </w:tabs>
        <w:suppressAutoHyphens/>
        <w:rPr>
          <w:spacing w:val="-3"/>
        </w:rPr>
      </w:pPr>
    </w:p>
    <w:p w14:paraId="34C1A729" w14:textId="77777777" w:rsidR="00E16B7C" w:rsidRPr="00BD1319" w:rsidRDefault="00E16B7C" w:rsidP="00E16B7C">
      <w:pPr>
        <w:numPr>
          <w:ilvl w:val="0"/>
          <w:numId w:val="33"/>
        </w:numPr>
        <w:tabs>
          <w:tab w:val="left" w:pos="-2268"/>
        </w:tabs>
        <w:suppressAutoHyphens/>
        <w:ind w:left="1134" w:hanging="567"/>
        <w:rPr>
          <w:spacing w:val="-3"/>
        </w:rPr>
      </w:pPr>
      <w:r w:rsidRPr="00BD1319">
        <w:rPr>
          <w:spacing w:val="-3"/>
        </w:rPr>
        <w:t>Fuentes de información.</w:t>
      </w:r>
    </w:p>
    <w:p w14:paraId="0436A817" w14:textId="77777777" w:rsidR="00E16B7C" w:rsidRPr="00BD1319" w:rsidRDefault="00E16B7C" w:rsidP="00E16B7C">
      <w:pPr>
        <w:tabs>
          <w:tab w:val="left" w:pos="-2268"/>
        </w:tabs>
        <w:suppressAutoHyphens/>
        <w:rPr>
          <w:spacing w:val="-3"/>
        </w:rPr>
      </w:pPr>
    </w:p>
    <w:p w14:paraId="3FDB25D0" w14:textId="77777777" w:rsidR="00E16B7C" w:rsidRPr="00BD1319" w:rsidRDefault="00E16B7C" w:rsidP="00E16B7C">
      <w:pPr>
        <w:numPr>
          <w:ilvl w:val="0"/>
          <w:numId w:val="33"/>
        </w:numPr>
        <w:tabs>
          <w:tab w:val="left" w:pos="-2268"/>
        </w:tabs>
        <w:suppressAutoHyphens/>
        <w:ind w:left="1134" w:hanging="567"/>
        <w:rPr>
          <w:spacing w:val="-3"/>
        </w:rPr>
      </w:pPr>
      <w:r w:rsidRPr="00BD1319">
        <w:rPr>
          <w:spacing w:val="-3"/>
        </w:rPr>
        <w:t>Criterios de análisis e interpretación de resultados.</w:t>
      </w:r>
    </w:p>
    <w:p w14:paraId="554683E3" w14:textId="77777777" w:rsidR="00E16B7C" w:rsidRPr="00BD1319" w:rsidRDefault="00E16B7C" w:rsidP="00E16B7C">
      <w:pPr>
        <w:tabs>
          <w:tab w:val="left" w:pos="-2268"/>
        </w:tabs>
        <w:suppressAutoHyphens/>
        <w:rPr>
          <w:spacing w:val="-3"/>
        </w:rPr>
      </w:pPr>
    </w:p>
    <w:p w14:paraId="0D3E87D1" w14:textId="45670275" w:rsidR="00E16B7C" w:rsidRPr="00BD1319" w:rsidRDefault="00E16B7C" w:rsidP="00E16B7C">
      <w:pPr>
        <w:numPr>
          <w:ilvl w:val="0"/>
          <w:numId w:val="33"/>
        </w:numPr>
        <w:tabs>
          <w:tab w:val="left" w:pos="-2268"/>
        </w:tabs>
        <w:suppressAutoHyphens/>
        <w:ind w:left="1134" w:hanging="567"/>
        <w:rPr>
          <w:spacing w:val="-3"/>
        </w:rPr>
      </w:pPr>
      <w:r w:rsidRPr="00BD1319">
        <w:rPr>
          <w:spacing w:val="-3"/>
        </w:rPr>
        <w:t xml:space="preserve">Impactos, riesgos o </w:t>
      </w:r>
      <w:r w:rsidR="005760ED" w:rsidRPr="00BD1319">
        <w:rPr>
          <w:spacing w:val="-3"/>
        </w:rPr>
        <w:t xml:space="preserve">acciones de </w:t>
      </w:r>
      <w:r w:rsidRPr="00BD1319">
        <w:rPr>
          <w:spacing w:val="-3"/>
        </w:rPr>
        <w:t>inversión a los que se asocia.</w:t>
      </w:r>
    </w:p>
    <w:p w14:paraId="32ED0311" w14:textId="77777777" w:rsidR="00E16B7C" w:rsidRPr="00BD1319" w:rsidRDefault="00E16B7C" w:rsidP="00E16B7C">
      <w:pPr>
        <w:tabs>
          <w:tab w:val="left" w:pos="-2268"/>
        </w:tabs>
        <w:suppressAutoHyphens/>
        <w:rPr>
          <w:spacing w:val="-3"/>
        </w:rPr>
      </w:pPr>
    </w:p>
    <w:p w14:paraId="499B681C" w14:textId="3C84E5BC" w:rsidR="00E16B7C" w:rsidRPr="00BD1319" w:rsidRDefault="00E16B7C" w:rsidP="00E16B7C">
      <w:pPr>
        <w:numPr>
          <w:ilvl w:val="0"/>
          <w:numId w:val="33"/>
        </w:numPr>
        <w:tabs>
          <w:tab w:val="left" w:pos="-2268"/>
        </w:tabs>
        <w:suppressAutoHyphens/>
        <w:ind w:left="1134" w:hanging="567"/>
        <w:rPr>
          <w:spacing w:val="-3"/>
        </w:rPr>
      </w:pPr>
      <w:r w:rsidRPr="00BD1319">
        <w:rPr>
          <w:spacing w:val="-3"/>
        </w:rPr>
        <w:t xml:space="preserve">Categorías estandarizadas de impactos </w:t>
      </w:r>
      <w:r w:rsidR="000F669C" w:rsidRPr="00BD1319">
        <w:rPr>
          <w:spacing w:val="-3"/>
        </w:rPr>
        <w:t xml:space="preserve">o programas </w:t>
      </w:r>
      <w:r w:rsidR="00885259" w:rsidRPr="00BD1319">
        <w:rPr>
          <w:spacing w:val="-3"/>
        </w:rPr>
        <w:t xml:space="preserve">de manejo </w:t>
      </w:r>
      <w:r w:rsidRPr="00BD1319">
        <w:rPr>
          <w:spacing w:val="-3"/>
        </w:rPr>
        <w:t>a l</w:t>
      </w:r>
      <w:r w:rsidR="000F669C" w:rsidRPr="00BD1319">
        <w:rPr>
          <w:spacing w:val="-3"/>
        </w:rPr>
        <w:t>o</w:t>
      </w:r>
      <w:r w:rsidRPr="00BD1319">
        <w:rPr>
          <w:spacing w:val="-3"/>
        </w:rPr>
        <w:t>s que se asocia, en caso de aplicar.</w:t>
      </w:r>
    </w:p>
    <w:p w14:paraId="69F5D834" w14:textId="77777777" w:rsidR="00E16B7C" w:rsidRPr="00BD1319" w:rsidRDefault="00E16B7C" w:rsidP="00E16B7C">
      <w:pPr>
        <w:tabs>
          <w:tab w:val="left" w:pos="-2268"/>
        </w:tabs>
        <w:suppressAutoHyphens/>
        <w:rPr>
          <w:spacing w:val="-3"/>
        </w:rPr>
      </w:pPr>
    </w:p>
    <w:p w14:paraId="17744186" w14:textId="022BD5D8" w:rsidR="00E16B7C" w:rsidRPr="00BD1319" w:rsidRDefault="00E16B7C" w:rsidP="00E16B7C">
      <w:pPr>
        <w:numPr>
          <w:ilvl w:val="0"/>
          <w:numId w:val="33"/>
        </w:numPr>
        <w:tabs>
          <w:tab w:val="left" w:pos="-2268"/>
        </w:tabs>
        <w:suppressAutoHyphens/>
        <w:ind w:left="1134" w:hanging="567"/>
        <w:rPr>
          <w:spacing w:val="-3"/>
        </w:rPr>
      </w:pPr>
      <w:r w:rsidRPr="00BD1319">
        <w:rPr>
          <w:spacing w:val="-3"/>
        </w:rPr>
        <w:t>Medidas de manejo</w:t>
      </w:r>
      <w:r w:rsidR="00994B23" w:rsidRPr="00BD1319">
        <w:rPr>
          <w:spacing w:val="-3"/>
        </w:rPr>
        <w:t>, medidas de intervención (riesgos)</w:t>
      </w:r>
      <w:r w:rsidR="00925BA7" w:rsidRPr="00BD1319">
        <w:rPr>
          <w:spacing w:val="-3"/>
        </w:rPr>
        <w:t>,</w:t>
      </w:r>
      <w:r w:rsidRPr="00BD1319">
        <w:rPr>
          <w:spacing w:val="-3"/>
        </w:rPr>
        <w:t xml:space="preserve"> </w:t>
      </w:r>
      <w:r w:rsidR="00B24941" w:rsidRPr="00BD1319">
        <w:rPr>
          <w:spacing w:val="-3"/>
        </w:rPr>
        <w:t xml:space="preserve">medidas o </w:t>
      </w:r>
      <w:r w:rsidRPr="00BD1319">
        <w:rPr>
          <w:spacing w:val="-3"/>
        </w:rPr>
        <w:t>acciones (</w:t>
      </w:r>
      <w:r w:rsidR="00B24941" w:rsidRPr="00BD1319">
        <w:rPr>
          <w:spacing w:val="-3"/>
        </w:rPr>
        <w:t xml:space="preserve">plan de inversión de no menos del </w:t>
      </w:r>
      <w:r w:rsidRPr="00BD1319">
        <w:rPr>
          <w:spacing w:val="-3"/>
        </w:rPr>
        <w:t xml:space="preserve">1%) </w:t>
      </w:r>
      <w:r w:rsidR="00925BA7" w:rsidRPr="00BD1319">
        <w:rPr>
          <w:spacing w:val="-3"/>
        </w:rPr>
        <w:t xml:space="preserve">o medidas de compensación del medio biótico </w:t>
      </w:r>
      <w:r w:rsidRPr="00BD1319">
        <w:rPr>
          <w:spacing w:val="-3"/>
        </w:rPr>
        <w:t>a las que corresponde</w:t>
      </w:r>
      <w:r w:rsidR="00846229" w:rsidRPr="00BD1319">
        <w:rPr>
          <w:spacing w:val="-3"/>
        </w:rPr>
        <w:t>, en caso de aplicar</w:t>
      </w:r>
      <w:r w:rsidRPr="00BD1319">
        <w:rPr>
          <w:spacing w:val="-3"/>
        </w:rPr>
        <w:t>.</w:t>
      </w:r>
    </w:p>
    <w:p w14:paraId="6202641B" w14:textId="77777777" w:rsidR="00E16B7C" w:rsidRPr="00BD1319" w:rsidRDefault="00E16B7C" w:rsidP="00E16B7C">
      <w:pPr>
        <w:tabs>
          <w:tab w:val="left" w:pos="-2268"/>
        </w:tabs>
        <w:suppressAutoHyphens/>
        <w:rPr>
          <w:spacing w:val="-3"/>
        </w:rPr>
      </w:pPr>
    </w:p>
    <w:p w14:paraId="10C74304" w14:textId="35C92DA8" w:rsidR="00E16B7C" w:rsidRPr="00BD1319" w:rsidRDefault="00E16B7C" w:rsidP="00E16B7C">
      <w:pPr>
        <w:numPr>
          <w:ilvl w:val="0"/>
          <w:numId w:val="33"/>
        </w:numPr>
        <w:tabs>
          <w:tab w:val="left" w:pos="-2268"/>
        </w:tabs>
        <w:suppressAutoHyphens/>
        <w:ind w:left="1134" w:hanging="567"/>
        <w:rPr>
          <w:spacing w:val="-3"/>
        </w:rPr>
      </w:pPr>
      <w:r w:rsidRPr="00BD1319">
        <w:rPr>
          <w:spacing w:val="-3"/>
        </w:rPr>
        <w:t>Planes a los que corresponde.</w:t>
      </w:r>
    </w:p>
    <w:p w14:paraId="4762B6D0" w14:textId="77777777" w:rsidR="00E16B7C" w:rsidRPr="00BD1319" w:rsidRDefault="00E16B7C" w:rsidP="00E16B7C">
      <w:pPr>
        <w:rPr>
          <w:spacing w:val="-3"/>
        </w:rPr>
      </w:pPr>
    </w:p>
    <w:p w14:paraId="4F755258" w14:textId="442B626C" w:rsidR="00E16B7C" w:rsidRPr="00BD1319" w:rsidRDefault="001C6B56" w:rsidP="00E16B7C">
      <w:pPr>
        <w:numPr>
          <w:ilvl w:val="0"/>
          <w:numId w:val="33"/>
        </w:numPr>
        <w:tabs>
          <w:tab w:val="left" w:pos="-2268"/>
        </w:tabs>
        <w:suppressAutoHyphens/>
        <w:ind w:left="1134" w:hanging="567"/>
        <w:rPr>
          <w:spacing w:val="-3"/>
        </w:rPr>
      </w:pPr>
      <w:r w:rsidRPr="00BD1319">
        <w:rPr>
          <w:spacing w:val="-3"/>
        </w:rPr>
        <w:t xml:space="preserve">Entidad o persona que ejecuta la </w:t>
      </w:r>
      <w:r w:rsidR="00E16B7C" w:rsidRPr="00BD1319">
        <w:rPr>
          <w:spacing w:val="-3"/>
        </w:rPr>
        <w:t>m</w:t>
      </w:r>
      <w:r w:rsidRPr="00BD1319">
        <w:rPr>
          <w:spacing w:val="-3"/>
        </w:rPr>
        <w:t xml:space="preserve">edición </w:t>
      </w:r>
      <w:r w:rsidR="00E16B7C" w:rsidRPr="00BD1319">
        <w:rPr>
          <w:spacing w:val="-3"/>
        </w:rPr>
        <w:t>o c</w:t>
      </w:r>
      <w:r w:rsidRPr="00BD1319">
        <w:rPr>
          <w:spacing w:val="-3"/>
        </w:rPr>
        <w:t>á</w:t>
      </w:r>
      <w:r w:rsidR="00E16B7C" w:rsidRPr="00BD1319">
        <w:rPr>
          <w:spacing w:val="-3"/>
        </w:rPr>
        <w:t>lcul</w:t>
      </w:r>
      <w:r w:rsidRPr="00BD1319">
        <w:rPr>
          <w:spacing w:val="-3"/>
        </w:rPr>
        <w:t>o</w:t>
      </w:r>
      <w:r w:rsidR="00E16B7C" w:rsidRPr="00BD1319">
        <w:rPr>
          <w:spacing w:val="-3"/>
        </w:rPr>
        <w:t>.</w:t>
      </w:r>
    </w:p>
    <w:p w14:paraId="2F1405FA" w14:textId="77777777" w:rsidR="00E16B7C" w:rsidRPr="00BD1319" w:rsidRDefault="00E16B7C">
      <w:pPr>
        <w:numPr>
          <w:ilvl w:val="12"/>
          <w:numId w:val="0"/>
        </w:numPr>
        <w:tabs>
          <w:tab w:val="left" w:pos="-2268"/>
        </w:tabs>
        <w:suppressAutoHyphens/>
        <w:rPr>
          <w:spacing w:val="-3"/>
        </w:rPr>
      </w:pPr>
    </w:p>
    <w:p w14:paraId="0BDEA8BE" w14:textId="47CF609B" w:rsidR="003665F5" w:rsidRPr="00BD1319" w:rsidRDefault="00E16B7C">
      <w:pPr>
        <w:numPr>
          <w:ilvl w:val="12"/>
          <w:numId w:val="0"/>
        </w:numPr>
        <w:tabs>
          <w:tab w:val="left" w:pos="-2268"/>
        </w:tabs>
        <w:suppressAutoHyphens/>
        <w:rPr>
          <w:spacing w:val="-3"/>
        </w:rPr>
      </w:pPr>
      <w:r w:rsidRPr="00BD1319">
        <w:rPr>
          <w:spacing w:val="-3"/>
        </w:rPr>
        <w:t>Asimismo, el plan debe seguir los lineamientos señalados a continuación</w:t>
      </w:r>
      <w:r w:rsidR="003B6497" w:rsidRPr="00BD1319">
        <w:t xml:space="preserve"> para </w:t>
      </w:r>
      <w:r w:rsidR="003B6497" w:rsidRPr="00BD1319">
        <w:rPr>
          <w:spacing w:val="-3"/>
        </w:rPr>
        <w:t xml:space="preserve">el seguimiento y monitoreo al estado de los medios, </w:t>
      </w:r>
      <w:r w:rsidR="00885259" w:rsidRPr="00BD1319">
        <w:rPr>
          <w:spacing w:val="-3"/>
        </w:rPr>
        <w:t xml:space="preserve">y </w:t>
      </w:r>
      <w:r w:rsidR="003B6497" w:rsidRPr="00BD1319">
        <w:rPr>
          <w:spacing w:val="-3"/>
        </w:rPr>
        <w:t xml:space="preserve">a la eficacia </w:t>
      </w:r>
      <w:r w:rsidR="00885259" w:rsidRPr="00BD1319">
        <w:rPr>
          <w:spacing w:val="-3"/>
        </w:rPr>
        <w:t xml:space="preserve">y eficiencia </w:t>
      </w:r>
      <w:r w:rsidR="003B6497" w:rsidRPr="00BD1319">
        <w:rPr>
          <w:spacing w:val="-3"/>
        </w:rPr>
        <w:t>de las medidas y acciones.</w:t>
      </w:r>
    </w:p>
    <w:p w14:paraId="2752D076" w14:textId="77777777" w:rsidR="00E16B7C" w:rsidRPr="00BD1319" w:rsidRDefault="00E16B7C">
      <w:pPr>
        <w:numPr>
          <w:ilvl w:val="12"/>
          <w:numId w:val="0"/>
        </w:numPr>
        <w:tabs>
          <w:tab w:val="left" w:pos="-2268"/>
        </w:tabs>
        <w:suppressAutoHyphens/>
        <w:rPr>
          <w:spacing w:val="-3"/>
        </w:rPr>
      </w:pPr>
    </w:p>
    <w:p w14:paraId="1265FD9E" w14:textId="752F2D04" w:rsidR="001F01F1" w:rsidRPr="00BD1319" w:rsidRDefault="001F01F1" w:rsidP="00216955">
      <w:pPr>
        <w:pStyle w:val="Ttulo3"/>
      </w:pPr>
      <w:bookmarkStart w:id="11329" w:name="_Toc79443347"/>
      <w:bookmarkStart w:id="11330" w:name="_Ref75873093"/>
      <w:bookmarkStart w:id="11331" w:name="_Toc175326821"/>
      <w:bookmarkEnd w:id="11329"/>
      <w:r w:rsidRPr="00BD1319">
        <w:t>Seguimiento y monitoreo a</w:t>
      </w:r>
      <w:r w:rsidR="00C640D1" w:rsidRPr="00BD1319">
        <w:t xml:space="preserve">l estado </w:t>
      </w:r>
      <w:r w:rsidRPr="00BD1319">
        <w:t>de</w:t>
      </w:r>
      <w:r w:rsidR="00C640D1" w:rsidRPr="00BD1319">
        <w:t xml:space="preserve"> </w:t>
      </w:r>
      <w:r w:rsidRPr="00BD1319">
        <w:t>l</w:t>
      </w:r>
      <w:r w:rsidR="00C640D1" w:rsidRPr="00BD1319">
        <w:t>os</w:t>
      </w:r>
      <w:r w:rsidRPr="00BD1319">
        <w:t xml:space="preserve"> medio</w:t>
      </w:r>
      <w:r w:rsidR="00C640D1" w:rsidRPr="00BD1319">
        <w:t>s</w:t>
      </w:r>
      <w:r w:rsidR="0067663F" w:rsidRPr="00BD1319">
        <w:t xml:space="preserve"> y a la eficacia de las medidas </w:t>
      </w:r>
      <w:bookmarkEnd w:id="11330"/>
      <w:r w:rsidR="003B6497" w:rsidRPr="00BD1319">
        <w:t>y acciones</w:t>
      </w:r>
      <w:bookmarkEnd w:id="11331"/>
    </w:p>
    <w:p w14:paraId="6DBF5B8E" w14:textId="77777777" w:rsidR="001F01F1" w:rsidRPr="00BD1319" w:rsidRDefault="001F01F1">
      <w:pPr>
        <w:numPr>
          <w:ilvl w:val="12"/>
          <w:numId w:val="0"/>
        </w:numPr>
        <w:tabs>
          <w:tab w:val="left" w:pos="-2268"/>
        </w:tabs>
        <w:suppressAutoHyphens/>
        <w:rPr>
          <w:spacing w:val="-3"/>
        </w:rPr>
      </w:pPr>
    </w:p>
    <w:p w14:paraId="3FAEAA47" w14:textId="7FDDD16C" w:rsidR="00997C6D" w:rsidRPr="00BD1319" w:rsidRDefault="00306341">
      <w:pPr>
        <w:numPr>
          <w:ilvl w:val="12"/>
          <w:numId w:val="0"/>
        </w:numPr>
        <w:tabs>
          <w:tab w:val="left" w:pos="-2268"/>
        </w:tabs>
        <w:suppressAutoHyphens/>
        <w:rPr>
          <w:spacing w:val="-3"/>
        </w:rPr>
      </w:pPr>
      <w:r w:rsidRPr="00BD1319">
        <w:rPr>
          <w:spacing w:val="-3"/>
        </w:rPr>
        <w:t xml:space="preserve">Existe una relación estrecha entre el monitoreo y seguimiento a las condiciones ambientales del área de influencia del proyecto, obra o actividad y el seguimiento y monitoreo de la eficacia de las medidas de manejo </w:t>
      </w:r>
      <w:r w:rsidR="00DC1979" w:rsidRPr="00BD1319">
        <w:rPr>
          <w:spacing w:val="-3"/>
        </w:rPr>
        <w:t xml:space="preserve">(que comprenden también a las de compensación del medio biótico) </w:t>
      </w:r>
      <w:r w:rsidR="00C640D1" w:rsidRPr="00BD1319">
        <w:rPr>
          <w:spacing w:val="-3"/>
        </w:rPr>
        <w:t xml:space="preserve">y </w:t>
      </w:r>
      <w:r w:rsidR="007832D2" w:rsidRPr="00BD1319">
        <w:rPr>
          <w:spacing w:val="-3"/>
        </w:rPr>
        <w:t xml:space="preserve">las </w:t>
      </w:r>
      <w:r w:rsidR="00C640D1" w:rsidRPr="00BD1319">
        <w:rPr>
          <w:spacing w:val="-3"/>
        </w:rPr>
        <w:t xml:space="preserve">acciones planteadas </w:t>
      </w:r>
      <w:r w:rsidR="00846229" w:rsidRPr="00BD1319">
        <w:rPr>
          <w:spacing w:val="-3"/>
        </w:rPr>
        <w:t xml:space="preserve">en los demás planes del EIA </w:t>
      </w:r>
      <w:r w:rsidR="00E65B06" w:rsidRPr="00BD1319">
        <w:rPr>
          <w:spacing w:val="-3"/>
        </w:rPr>
        <w:t>para la gestión de los impactos ambientales</w:t>
      </w:r>
      <w:r w:rsidR="00AF0451" w:rsidRPr="00BD1319">
        <w:rPr>
          <w:spacing w:val="-3"/>
        </w:rPr>
        <w:t xml:space="preserve"> y </w:t>
      </w:r>
      <w:r w:rsidR="000F0988" w:rsidRPr="00BD1319">
        <w:rPr>
          <w:spacing w:val="-3"/>
        </w:rPr>
        <w:t xml:space="preserve">la reducción del </w:t>
      </w:r>
      <w:r w:rsidR="00AF0451" w:rsidRPr="00BD1319">
        <w:rPr>
          <w:spacing w:val="-3"/>
        </w:rPr>
        <w:t>riesgo</w:t>
      </w:r>
      <w:r w:rsidRPr="00BD1319">
        <w:rPr>
          <w:spacing w:val="-3"/>
        </w:rPr>
        <w:t xml:space="preserve">, pues precisamente mediante la verificación del cambio de las condiciones ambientales con respecto a las evidenciadas en la línea base, es posible establecer </w:t>
      </w:r>
      <w:r w:rsidR="00997C6D" w:rsidRPr="00BD1319">
        <w:rPr>
          <w:spacing w:val="-3"/>
        </w:rPr>
        <w:t xml:space="preserve">la eficacia de </w:t>
      </w:r>
      <w:r w:rsidRPr="00BD1319">
        <w:rPr>
          <w:spacing w:val="-3"/>
        </w:rPr>
        <w:t xml:space="preserve">una medida </w:t>
      </w:r>
      <w:r w:rsidR="00997C6D" w:rsidRPr="00BD1319">
        <w:rPr>
          <w:spacing w:val="-3"/>
        </w:rPr>
        <w:t xml:space="preserve">implementada para </w:t>
      </w:r>
      <w:r w:rsidR="00605D4E" w:rsidRPr="00BD1319">
        <w:rPr>
          <w:spacing w:val="-3"/>
        </w:rPr>
        <w:t>prevenir</w:t>
      </w:r>
      <w:r w:rsidR="00997C6D" w:rsidRPr="00BD1319">
        <w:rPr>
          <w:spacing w:val="-3"/>
        </w:rPr>
        <w:t>, mitigar, corregir y compensar los impactos generados por el proyecto, obra o actividad</w:t>
      </w:r>
      <w:r w:rsidR="00F2682C" w:rsidRPr="00BD1319">
        <w:rPr>
          <w:rStyle w:val="Refdenotaalpie"/>
          <w:spacing w:val="-3"/>
          <w:lang w:val="es-CO"/>
        </w:rPr>
        <w:footnoteReference w:id="220"/>
      </w:r>
      <w:r w:rsidR="00997C6D" w:rsidRPr="00BD1319">
        <w:rPr>
          <w:spacing w:val="-3"/>
        </w:rPr>
        <w:t xml:space="preserve">, para prevenir los riesgos o para verificar las </w:t>
      </w:r>
      <w:r w:rsidR="00B24941" w:rsidRPr="00BD1319">
        <w:rPr>
          <w:spacing w:val="-3"/>
        </w:rPr>
        <w:t xml:space="preserve">medidas o acciones de </w:t>
      </w:r>
      <w:r w:rsidR="00997C6D" w:rsidRPr="00BD1319">
        <w:rPr>
          <w:spacing w:val="-3"/>
        </w:rPr>
        <w:t>inversi</w:t>
      </w:r>
      <w:r w:rsidR="00B24941" w:rsidRPr="00BD1319">
        <w:rPr>
          <w:spacing w:val="-3"/>
        </w:rPr>
        <w:t xml:space="preserve">ón </w:t>
      </w:r>
      <w:r w:rsidR="00997C6D" w:rsidRPr="00BD1319">
        <w:rPr>
          <w:spacing w:val="-3"/>
        </w:rPr>
        <w:t>del 1%.</w:t>
      </w:r>
    </w:p>
    <w:p w14:paraId="51FAA2F3" w14:textId="77777777" w:rsidR="00997C6D" w:rsidRPr="00BD1319" w:rsidRDefault="00997C6D">
      <w:pPr>
        <w:numPr>
          <w:ilvl w:val="12"/>
          <w:numId w:val="0"/>
        </w:numPr>
        <w:tabs>
          <w:tab w:val="left" w:pos="-2268"/>
        </w:tabs>
        <w:suppressAutoHyphens/>
        <w:rPr>
          <w:spacing w:val="-3"/>
        </w:rPr>
      </w:pPr>
    </w:p>
    <w:p w14:paraId="1E117182" w14:textId="22962560" w:rsidR="00E92274" w:rsidRPr="00BD1319" w:rsidRDefault="00306341" w:rsidP="00E92274">
      <w:pPr>
        <w:numPr>
          <w:ilvl w:val="12"/>
          <w:numId w:val="0"/>
        </w:numPr>
        <w:tabs>
          <w:tab w:val="left" w:pos="-2268"/>
        </w:tabs>
        <w:suppressAutoHyphens/>
        <w:rPr>
          <w:spacing w:val="-3"/>
        </w:rPr>
      </w:pPr>
      <w:r w:rsidRPr="00BD1319">
        <w:rPr>
          <w:spacing w:val="-3"/>
        </w:rPr>
        <w:t>Por tal motivo</w:t>
      </w:r>
      <w:r w:rsidR="007832D2" w:rsidRPr="00BD1319">
        <w:rPr>
          <w:spacing w:val="-3"/>
        </w:rPr>
        <w:t xml:space="preserve">, </w:t>
      </w:r>
      <w:r w:rsidR="003B6497" w:rsidRPr="00BD1319">
        <w:rPr>
          <w:spacing w:val="-3"/>
        </w:rPr>
        <w:t xml:space="preserve">la formulación del plan de seguimiento y monitoreo debe tener en cuenta que </w:t>
      </w:r>
      <w:r w:rsidR="009162BD" w:rsidRPr="00BD1319">
        <w:rPr>
          <w:spacing w:val="-3"/>
        </w:rPr>
        <w:t xml:space="preserve">se inicia con </w:t>
      </w:r>
      <w:r w:rsidR="007832D2" w:rsidRPr="00BD1319">
        <w:rPr>
          <w:spacing w:val="-3"/>
        </w:rPr>
        <w:t xml:space="preserve">el monitoreo y seguimiento </w:t>
      </w:r>
      <w:r w:rsidR="009162BD" w:rsidRPr="00BD1319">
        <w:rPr>
          <w:spacing w:val="-3"/>
        </w:rPr>
        <w:t xml:space="preserve">a </w:t>
      </w:r>
      <w:r w:rsidR="007832D2" w:rsidRPr="00BD1319">
        <w:rPr>
          <w:spacing w:val="-3"/>
        </w:rPr>
        <w:t xml:space="preserve">las condiciones ambientales, y </w:t>
      </w:r>
      <w:r w:rsidR="003B6497" w:rsidRPr="00BD1319">
        <w:rPr>
          <w:spacing w:val="-3"/>
        </w:rPr>
        <w:t xml:space="preserve">que </w:t>
      </w:r>
      <w:r w:rsidR="007832D2" w:rsidRPr="00BD1319">
        <w:rPr>
          <w:spacing w:val="-3"/>
        </w:rPr>
        <w:t>luego</w:t>
      </w:r>
      <w:r w:rsidR="00D75F8A" w:rsidRPr="00BD1319">
        <w:rPr>
          <w:spacing w:val="-3"/>
        </w:rPr>
        <w:t>,</w:t>
      </w:r>
      <w:r w:rsidR="007832D2" w:rsidRPr="00BD1319">
        <w:rPr>
          <w:spacing w:val="-3"/>
        </w:rPr>
        <w:t xml:space="preserve"> </w:t>
      </w:r>
      <w:r w:rsidR="00037455" w:rsidRPr="00BD1319">
        <w:rPr>
          <w:spacing w:val="-3"/>
        </w:rPr>
        <w:t>de forma consecuente</w:t>
      </w:r>
      <w:r w:rsidR="00D75F8A" w:rsidRPr="00BD1319">
        <w:rPr>
          <w:spacing w:val="-3"/>
        </w:rPr>
        <w:t>,</w:t>
      </w:r>
      <w:r w:rsidR="00037455" w:rsidRPr="00BD1319">
        <w:rPr>
          <w:spacing w:val="-3"/>
        </w:rPr>
        <w:t xml:space="preserve"> </w:t>
      </w:r>
      <w:r w:rsidR="009162BD" w:rsidRPr="00BD1319">
        <w:rPr>
          <w:spacing w:val="-3"/>
        </w:rPr>
        <w:t xml:space="preserve">se continúa </w:t>
      </w:r>
      <w:r w:rsidR="00846229" w:rsidRPr="00BD1319">
        <w:rPr>
          <w:spacing w:val="-3"/>
        </w:rPr>
        <w:t xml:space="preserve">con </w:t>
      </w:r>
      <w:r w:rsidR="009162BD" w:rsidRPr="00BD1319">
        <w:rPr>
          <w:spacing w:val="-3"/>
        </w:rPr>
        <w:t xml:space="preserve">el de </w:t>
      </w:r>
      <w:r w:rsidR="007832D2" w:rsidRPr="00BD1319">
        <w:rPr>
          <w:spacing w:val="-3"/>
        </w:rPr>
        <w:t xml:space="preserve">la eficacia de las medidas </w:t>
      </w:r>
      <w:r w:rsidR="000F0988" w:rsidRPr="00BD1319">
        <w:rPr>
          <w:spacing w:val="-3"/>
        </w:rPr>
        <w:t>y demás acciones</w:t>
      </w:r>
      <w:r w:rsidR="007832D2" w:rsidRPr="00BD1319">
        <w:rPr>
          <w:spacing w:val="-3"/>
        </w:rPr>
        <w:t xml:space="preserve">. </w:t>
      </w:r>
      <w:r w:rsidR="00957D10" w:rsidRPr="00BD1319">
        <w:rPr>
          <w:spacing w:val="-3"/>
        </w:rPr>
        <w:t xml:space="preserve">Estas dos instancias de </w:t>
      </w:r>
      <w:r w:rsidR="009162BD" w:rsidRPr="00BD1319">
        <w:rPr>
          <w:spacing w:val="-3"/>
        </w:rPr>
        <w:t xml:space="preserve">monitoreo y </w:t>
      </w:r>
      <w:r w:rsidR="00957D10" w:rsidRPr="00BD1319">
        <w:rPr>
          <w:spacing w:val="-3"/>
        </w:rPr>
        <w:t xml:space="preserve">seguimiento deben </w:t>
      </w:r>
      <w:r w:rsidR="00652741" w:rsidRPr="00BD1319">
        <w:rPr>
          <w:spacing w:val="-3"/>
        </w:rPr>
        <w:t>formularse</w:t>
      </w:r>
      <w:r w:rsidR="00957D10" w:rsidRPr="00BD1319">
        <w:rPr>
          <w:spacing w:val="-3"/>
        </w:rPr>
        <w:t xml:space="preserve"> de </w:t>
      </w:r>
      <w:r w:rsidR="009162BD" w:rsidRPr="00BD1319">
        <w:rPr>
          <w:spacing w:val="-3"/>
        </w:rPr>
        <w:t xml:space="preserve">manera </w:t>
      </w:r>
      <w:r w:rsidR="005E2F78" w:rsidRPr="00BD1319">
        <w:rPr>
          <w:spacing w:val="-3"/>
        </w:rPr>
        <w:t>sistemátic</w:t>
      </w:r>
      <w:r w:rsidR="00957D10" w:rsidRPr="00BD1319">
        <w:rPr>
          <w:spacing w:val="-3"/>
        </w:rPr>
        <w:t xml:space="preserve">a y </w:t>
      </w:r>
      <w:r w:rsidR="005E2F78" w:rsidRPr="00BD1319">
        <w:rPr>
          <w:spacing w:val="-3"/>
        </w:rPr>
        <w:t>estructurad</w:t>
      </w:r>
      <w:r w:rsidR="00957D10" w:rsidRPr="00BD1319">
        <w:rPr>
          <w:spacing w:val="-3"/>
        </w:rPr>
        <w:t>a para medir u obtener información</w:t>
      </w:r>
      <w:r w:rsidR="008E797D" w:rsidRPr="00BD1319">
        <w:rPr>
          <w:spacing w:val="-3"/>
        </w:rPr>
        <w:t>,</w:t>
      </w:r>
      <w:r w:rsidR="00DB438B" w:rsidRPr="00BD1319">
        <w:rPr>
          <w:spacing w:val="-3"/>
        </w:rPr>
        <w:t xml:space="preserve"> </w:t>
      </w:r>
      <w:r w:rsidR="00957D10" w:rsidRPr="00BD1319">
        <w:rPr>
          <w:spacing w:val="-3"/>
        </w:rPr>
        <w:t xml:space="preserve">y </w:t>
      </w:r>
      <w:r w:rsidR="008E797D" w:rsidRPr="00BD1319">
        <w:rPr>
          <w:spacing w:val="-3"/>
        </w:rPr>
        <w:t xml:space="preserve">para </w:t>
      </w:r>
      <w:r w:rsidR="00DB438B" w:rsidRPr="00BD1319">
        <w:rPr>
          <w:spacing w:val="-3"/>
        </w:rPr>
        <w:t>procesa</w:t>
      </w:r>
      <w:r w:rsidR="00957D10" w:rsidRPr="00BD1319">
        <w:rPr>
          <w:spacing w:val="-3"/>
        </w:rPr>
        <w:t xml:space="preserve">rla </w:t>
      </w:r>
      <w:r w:rsidR="00DB438B" w:rsidRPr="00BD1319">
        <w:rPr>
          <w:spacing w:val="-3"/>
        </w:rPr>
        <w:t>y an</w:t>
      </w:r>
      <w:r w:rsidR="00957D10" w:rsidRPr="00BD1319">
        <w:rPr>
          <w:spacing w:val="-3"/>
        </w:rPr>
        <w:t xml:space="preserve">alizarla a fin de </w:t>
      </w:r>
      <w:r w:rsidR="00957D10" w:rsidRPr="00BD1319">
        <w:rPr>
          <w:spacing w:val="-3"/>
        </w:rPr>
        <w:lastRenderedPageBreak/>
        <w:t xml:space="preserve">brindar elementos </w:t>
      </w:r>
      <w:r w:rsidR="008E797D" w:rsidRPr="00BD1319">
        <w:rPr>
          <w:spacing w:val="-3"/>
        </w:rPr>
        <w:t>que</w:t>
      </w:r>
      <w:r w:rsidR="00C91F5B" w:rsidRPr="00BD1319">
        <w:rPr>
          <w:spacing w:val="-3"/>
        </w:rPr>
        <w:t xml:space="preserve"> permitan</w:t>
      </w:r>
      <w:r w:rsidR="008E797D" w:rsidRPr="00BD1319">
        <w:rPr>
          <w:spacing w:val="-3"/>
        </w:rPr>
        <w:t xml:space="preserve"> </w:t>
      </w:r>
      <w:r w:rsidR="00957D10" w:rsidRPr="00BD1319">
        <w:rPr>
          <w:spacing w:val="-3"/>
        </w:rPr>
        <w:t>retroaliment</w:t>
      </w:r>
      <w:r w:rsidR="00C91F5B" w:rsidRPr="00BD1319">
        <w:rPr>
          <w:spacing w:val="-3"/>
        </w:rPr>
        <w:t>ar</w:t>
      </w:r>
      <w:r w:rsidR="008E797D" w:rsidRPr="00BD1319">
        <w:rPr>
          <w:spacing w:val="-3"/>
        </w:rPr>
        <w:t xml:space="preserve"> </w:t>
      </w:r>
      <w:r w:rsidR="00957D10" w:rsidRPr="00BD1319">
        <w:rPr>
          <w:spacing w:val="-3"/>
        </w:rPr>
        <w:t>el proyec</w:t>
      </w:r>
      <w:r w:rsidR="008E797D" w:rsidRPr="00BD1319">
        <w:rPr>
          <w:spacing w:val="-3"/>
        </w:rPr>
        <w:t>to, obra o actividad</w:t>
      </w:r>
      <w:r w:rsidR="00E92274" w:rsidRPr="00BD1319">
        <w:rPr>
          <w:bCs/>
          <w:spacing w:val="-3"/>
        </w:rPr>
        <w:t xml:space="preserve">, por ejemplo, </w:t>
      </w:r>
      <w:r w:rsidR="00E92274" w:rsidRPr="00BD1319">
        <w:rPr>
          <w:spacing w:val="-3"/>
        </w:rPr>
        <w:t xml:space="preserve">mediante potenciales oportunidades de mejora o medidas adicionales de </w:t>
      </w:r>
      <w:r w:rsidR="00DC1979" w:rsidRPr="00BD1319">
        <w:rPr>
          <w:spacing w:val="-3"/>
        </w:rPr>
        <w:t>gestión ambiental</w:t>
      </w:r>
      <w:r w:rsidR="00E92274" w:rsidRPr="00BD1319">
        <w:rPr>
          <w:spacing w:val="-3"/>
        </w:rPr>
        <w:t>.</w:t>
      </w:r>
    </w:p>
    <w:p w14:paraId="446853B3" w14:textId="56B94ED0" w:rsidR="008E797D" w:rsidRPr="00BD1319" w:rsidRDefault="008E797D">
      <w:pPr>
        <w:numPr>
          <w:ilvl w:val="12"/>
          <w:numId w:val="0"/>
        </w:numPr>
        <w:tabs>
          <w:tab w:val="left" w:pos="-2268"/>
        </w:tabs>
        <w:suppressAutoHyphens/>
        <w:rPr>
          <w:spacing w:val="-3"/>
        </w:rPr>
      </w:pPr>
    </w:p>
    <w:p w14:paraId="01BF6EDC" w14:textId="7BB8159D" w:rsidR="00997C6D" w:rsidRPr="00BD1319" w:rsidRDefault="00F2682C" w:rsidP="00997C6D">
      <w:pPr>
        <w:numPr>
          <w:ilvl w:val="12"/>
          <w:numId w:val="0"/>
        </w:numPr>
        <w:tabs>
          <w:tab w:val="left" w:pos="-2268"/>
        </w:tabs>
        <w:suppressAutoHyphens/>
        <w:rPr>
          <w:spacing w:val="-3"/>
        </w:rPr>
      </w:pPr>
      <w:r w:rsidRPr="00BD1319">
        <w:rPr>
          <w:spacing w:val="-3"/>
        </w:rPr>
        <w:t xml:space="preserve">Para determinar </w:t>
      </w:r>
      <w:r w:rsidR="008E38CB" w:rsidRPr="00BD1319">
        <w:rPr>
          <w:spacing w:val="-3"/>
        </w:rPr>
        <w:t xml:space="preserve">la </w:t>
      </w:r>
      <w:r w:rsidRPr="00BD1319">
        <w:rPr>
          <w:spacing w:val="-3"/>
        </w:rPr>
        <w:t>eficacia</w:t>
      </w:r>
      <w:r w:rsidR="008E38CB" w:rsidRPr="00BD1319">
        <w:rPr>
          <w:spacing w:val="-3"/>
        </w:rPr>
        <w:t xml:space="preserve"> de las medidas de manejo</w:t>
      </w:r>
      <w:r w:rsidRPr="00BD1319">
        <w:rPr>
          <w:spacing w:val="-3"/>
        </w:rPr>
        <w:t xml:space="preserve">, </w:t>
      </w:r>
      <w:r w:rsidR="008E38CB" w:rsidRPr="00BD1319">
        <w:rPr>
          <w:spacing w:val="-3"/>
        </w:rPr>
        <w:t xml:space="preserve">en el plan de seguimiento y monitoreo </w:t>
      </w:r>
      <w:r w:rsidRPr="00BD1319">
        <w:rPr>
          <w:spacing w:val="-3"/>
        </w:rPr>
        <w:t xml:space="preserve">se </w:t>
      </w:r>
      <w:r w:rsidR="008E38CB" w:rsidRPr="00BD1319">
        <w:rPr>
          <w:spacing w:val="-3"/>
        </w:rPr>
        <w:t xml:space="preserve">debe formular </w:t>
      </w:r>
      <w:r w:rsidR="000A1BF1" w:rsidRPr="00BD1319">
        <w:rPr>
          <w:spacing w:val="-3"/>
        </w:rPr>
        <w:t xml:space="preserve">un </w:t>
      </w:r>
      <w:r w:rsidR="00997C6D" w:rsidRPr="00BD1319">
        <w:rPr>
          <w:spacing w:val="-3"/>
        </w:rPr>
        <w:t>análisis</w:t>
      </w:r>
      <w:r w:rsidR="00402174" w:rsidRPr="00BD1319">
        <w:rPr>
          <w:spacing w:val="-3"/>
        </w:rPr>
        <w:t xml:space="preserve"> que</w:t>
      </w:r>
      <w:r w:rsidR="00B24941" w:rsidRPr="00BD1319">
        <w:rPr>
          <w:spacing w:val="-3"/>
        </w:rPr>
        <w:t>,</w:t>
      </w:r>
      <w:r w:rsidR="00997C6D" w:rsidRPr="00BD1319">
        <w:rPr>
          <w:spacing w:val="-3"/>
        </w:rPr>
        <w:t xml:space="preserve"> ten</w:t>
      </w:r>
      <w:r w:rsidRPr="00BD1319">
        <w:rPr>
          <w:spacing w:val="-3"/>
        </w:rPr>
        <w:t xml:space="preserve">iendo </w:t>
      </w:r>
      <w:r w:rsidR="00997C6D" w:rsidRPr="00BD1319">
        <w:rPr>
          <w:spacing w:val="-3"/>
        </w:rPr>
        <w:t>en cuenta los aspectos ambientales del proyecto, obra o actividad (</w:t>
      </w:r>
      <w:r w:rsidR="00041844" w:rsidRPr="00BD1319">
        <w:rPr>
          <w:spacing w:val="-3"/>
        </w:rPr>
        <w:t>p. ej.</w:t>
      </w:r>
      <w:r w:rsidR="00997C6D" w:rsidRPr="00BD1319">
        <w:rPr>
          <w:spacing w:val="-3"/>
        </w:rPr>
        <w:t xml:space="preserve"> cantidad de emisiones </w:t>
      </w:r>
      <w:r w:rsidR="00D40438" w:rsidRPr="00BD1319">
        <w:rPr>
          <w:spacing w:val="-3"/>
        </w:rPr>
        <w:t xml:space="preserve">atmosféricas y acústicas </w:t>
      </w:r>
      <w:r w:rsidR="00997C6D" w:rsidRPr="00BD1319">
        <w:rPr>
          <w:spacing w:val="-3"/>
        </w:rPr>
        <w:t xml:space="preserve">y </w:t>
      </w:r>
      <w:r w:rsidR="00D40438" w:rsidRPr="00BD1319">
        <w:rPr>
          <w:spacing w:val="-3"/>
        </w:rPr>
        <w:t xml:space="preserve">de </w:t>
      </w:r>
      <w:r w:rsidR="00997C6D" w:rsidRPr="00BD1319">
        <w:rPr>
          <w:spacing w:val="-3"/>
        </w:rPr>
        <w:t>vertimientos)</w:t>
      </w:r>
      <w:r w:rsidRPr="00BD1319">
        <w:rPr>
          <w:spacing w:val="-3"/>
        </w:rPr>
        <w:t>, las condiciones ambientales de línea base</w:t>
      </w:r>
      <w:r w:rsidR="000A1BF1" w:rsidRPr="00BD1319">
        <w:rPr>
          <w:spacing w:val="-3"/>
        </w:rPr>
        <w:t>, así como</w:t>
      </w:r>
      <w:r w:rsidR="00997C6D" w:rsidRPr="00BD1319">
        <w:rPr>
          <w:spacing w:val="-3"/>
        </w:rPr>
        <w:t xml:space="preserve"> </w:t>
      </w:r>
      <w:r w:rsidRPr="00BD1319">
        <w:rPr>
          <w:spacing w:val="-3"/>
        </w:rPr>
        <w:t>otras actividades productivas con incidencia en el área de influencia</w:t>
      </w:r>
      <w:r w:rsidR="00540D1C" w:rsidRPr="00BD1319">
        <w:rPr>
          <w:spacing w:val="-3"/>
        </w:rPr>
        <w:t xml:space="preserve"> del proyecto, obra o actividad</w:t>
      </w:r>
      <w:r w:rsidRPr="00BD1319">
        <w:rPr>
          <w:spacing w:val="-3"/>
        </w:rPr>
        <w:t xml:space="preserve">, permita </w:t>
      </w:r>
      <w:r w:rsidR="00997C6D" w:rsidRPr="00BD1319">
        <w:rPr>
          <w:spacing w:val="-3"/>
        </w:rPr>
        <w:t xml:space="preserve">evidenciar qué cambios ambientales son </w:t>
      </w:r>
      <w:r w:rsidR="000A1BF1" w:rsidRPr="00BD1319">
        <w:rPr>
          <w:spacing w:val="-3"/>
        </w:rPr>
        <w:t xml:space="preserve">consecuencia </w:t>
      </w:r>
      <w:r w:rsidR="00997C6D" w:rsidRPr="00BD1319">
        <w:rPr>
          <w:spacing w:val="-3"/>
        </w:rPr>
        <w:t xml:space="preserve">del proyecto </w:t>
      </w:r>
      <w:r w:rsidR="008E38CB" w:rsidRPr="00BD1319">
        <w:rPr>
          <w:spacing w:val="-3"/>
        </w:rPr>
        <w:t xml:space="preserve">aun </w:t>
      </w:r>
      <w:r w:rsidR="00997C6D" w:rsidRPr="00BD1319">
        <w:rPr>
          <w:spacing w:val="-3"/>
        </w:rPr>
        <w:t>implementando las medidas de manejo.</w:t>
      </w:r>
    </w:p>
    <w:p w14:paraId="415F2526" w14:textId="77777777" w:rsidR="00997C6D" w:rsidRPr="00BD1319" w:rsidRDefault="00997C6D" w:rsidP="009420F5">
      <w:pPr>
        <w:numPr>
          <w:ilvl w:val="12"/>
          <w:numId w:val="0"/>
        </w:numPr>
        <w:tabs>
          <w:tab w:val="left" w:pos="-2268"/>
        </w:tabs>
        <w:suppressAutoHyphens/>
        <w:rPr>
          <w:spacing w:val="-3"/>
        </w:rPr>
      </w:pPr>
    </w:p>
    <w:p w14:paraId="7A0C35D7" w14:textId="26B6B3A7" w:rsidR="008230A5" w:rsidRPr="00BD1319" w:rsidRDefault="000A1BF1" w:rsidP="009420F5">
      <w:pPr>
        <w:numPr>
          <w:ilvl w:val="12"/>
          <w:numId w:val="0"/>
        </w:numPr>
        <w:tabs>
          <w:tab w:val="left" w:pos="-2268"/>
        </w:tabs>
        <w:suppressAutoHyphens/>
        <w:rPr>
          <w:spacing w:val="-3"/>
        </w:rPr>
      </w:pPr>
      <w:r w:rsidRPr="00BD1319">
        <w:rPr>
          <w:spacing w:val="-3"/>
        </w:rPr>
        <w:t xml:space="preserve">Asimismo, </w:t>
      </w:r>
      <w:r w:rsidR="007D6F96" w:rsidRPr="00BD1319">
        <w:rPr>
          <w:spacing w:val="-3"/>
        </w:rPr>
        <w:t xml:space="preserve">para cada categoría estandarizada de impactos, o para cada programa de manejo, </w:t>
      </w:r>
      <w:r w:rsidR="008E38CB" w:rsidRPr="00BD1319">
        <w:rPr>
          <w:spacing w:val="-3"/>
        </w:rPr>
        <w:t xml:space="preserve">se debe formular un índice que establezca la eficacia del conjunto de </w:t>
      </w:r>
      <w:r w:rsidR="007D6F96" w:rsidRPr="00BD1319">
        <w:rPr>
          <w:spacing w:val="-3"/>
        </w:rPr>
        <w:t xml:space="preserve">sus </w:t>
      </w:r>
      <w:r w:rsidR="008E38CB" w:rsidRPr="00BD1319">
        <w:rPr>
          <w:spacing w:val="-3"/>
        </w:rPr>
        <w:t>medidas de manejo</w:t>
      </w:r>
      <w:r w:rsidR="007D6F96" w:rsidRPr="00BD1319">
        <w:rPr>
          <w:spacing w:val="-3"/>
        </w:rPr>
        <w:t>. La formulación de los índices debe asegurar una adecuada normalización, ponderación y agregación de las variables que los componen</w:t>
      </w:r>
      <w:r w:rsidR="007D6F96" w:rsidRPr="00BD1319">
        <w:rPr>
          <w:rStyle w:val="Refdenotaalpie"/>
          <w:spacing w:val="-3"/>
          <w:lang w:val="es-CO"/>
        </w:rPr>
        <w:footnoteReference w:id="221"/>
      </w:r>
      <w:r w:rsidR="007D6F96" w:rsidRPr="00BD1319">
        <w:rPr>
          <w:spacing w:val="-3"/>
        </w:rPr>
        <w:t xml:space="preserve">; cada índice </w:t>
      </w:r>
      <w:r w:rsidR="008230A5" w:rsidRPr="00BD1319">
        <w:rPr>
          <w:spacing w:val="-3"/>
        </w:rPr>
        <w:t>debe</w:t>
      </w:r>
      <w:r w:rsidR="007D6F96" w:rsidRPr="00BD1319">
        <w:rPr>
          <w:spacing w:val="-3"/>
        </w:rPr>
        <w:t xml:space="preserve"> ser descrito de acuerdo con lo </w:t>
      </w:r>
      <w:r w:rsidR="008230A5" w:rsidRPr="00BD1319">
        <w:rPr>
          <w:spacing w:val="-3"/>
        </w:rPr>
        <w:t>señala</w:t>
      </w:r>
      <w:r w:rsidR="007D6F96" w:rsidRPr="00BD1319">
        <w:rPr>
          <w:spacing w:val="-3"/>
        </w:rPr>
        <w:t xml:space="preserve">do </w:t>
      </w:r>
      <w:r w:rsidR="008230A5" w:rsidRPr="00BD1319">
        <w:rPr>
          <w:spacing w:val="-3"/>
        </w:rPr>
        <w:t xml:space="preserve">en el numeral </w:t>
      </w:r>
      <w:r w:rsidR="008230A5" w:rsidRPr="00BD1319">
        <w:rPr>
          <w:spacing w:val="-3"/>
        </w:rPr>
        <w:fldChar w:fldCharType="begin"/>
      </w:r>
      <w:r w:rsidR="008230A5" w:rsidRPr="00BD1319">
        <w:rPr>
          <w:spacing w:val="-3"/>
        </w:rPr>
        <w:instrText xml:space="preserve"> REF _Ref76058128 \r \h </w:instrText>
      </w:r>
      <w:r w:rsidR="006A4128" w:rsidRPr="00BD1319">
        <w:rPr>
          <w:spacing w:val="-3"/>
        </w:rPr>
        <w:instrText xml:space="preserve"> \* MERGEFORMAT </w:instrText>
      </w:r>
      <w:r w:rsidR="008230A5" w:rsidRPr="00BD1319">
        <w:rPr>
          <w:spacing w:val="-3"/>
        </w:rPr>
      </w:r>
      <w:r w:rsidR="008230A5" w:rsidRPr="00BD1319">
        <w:rPr>
          <w:spacing w:val="-3"/>
        </w:rPr>
        <w:fldChar w:fldCharType="separate"/>
      </w:r>
      <w:r w:rsidR="00A52059" w:rsidRPr="00BD1319">
        <w:rPr>
          <w:spacing w:val="-3"/>
        </w:rPr>
        <w:t>10.2</w:t>
      </w:r>
      <w:r w:rsidR="008230A5" w:rsidRPr="00BD1319">
        <w:rPr>
          <w:spacing w:val="-3"/>
        </w:rPr>
        <w:fldChar w:fldCharType="end"/>
      </w:r>
      <w:r w:rsidR="003B6497" w:rsidRPr="00BD1319">
        <w:rPr>
          <w:spacing w:val="-3"/>
        </w:rPr>
        <w:t xml:space="preserve"> de este capítulo</w:t>
      </w:r>
      <w:r w:rsidR="008230A5" w:rsidRPr="00BD1319">
        <w:rPr>
          <w:spacing w:val="-3"/>
        </w:rPr>
        <w:t>.</w:t>
      </w:r>
    </w:p>
    <w:p w14:paraId="417A7DF4" w14:textId="30D0BE3D" w:rsidR="008230A5" w:rsidRPr="00BD1319" w:rsidRDefault="008230A5" w:rsidP="009420F5">
      <w:pPr>
        <w:numPr>
          <w:ilvl w:val="12"/>
          <w:numId w:val="0"/>
        </w:numPr>
        <w:tabs>
          <w:tab w:val="left" w:pos="-2268"/>
        </w:tabs>
        <w:suppressAutoHyphens/>
        <w:rPr>
          <w:spacing w:val="-3"/>
        </w:rPr>
      </w:pPr>
    </w:p>
    <w:p w14:paraId="653484D6" w14:textId="4E4B2F56" w:rsidR="00E27186" w:rsidRPr="00BD1319" w:rsidRDefault="00E27186" w:rsidP="00E27186">
      <w:pPr>
        <w:numPr>
          <w:ilvl w:val="12"/>
          <w:numId w:val="0"/>
        </w:numPr>
        <w:tabs>
          <w:tab w:val="left" w:pos="-2268"/>
        </w:tabs>
        <w:suppressAutoHyphens/>
        <w:rPr>
          <w:spacing w:val="-3"/>
        </w:rPr>
      </w:pPr>
      <w:r w:rsidRPr="00BD1319">
        <w:rPr>
          <w:spacing w:val="-3"/>
        </w:rPr>
        <w:t>Para la formulación de los indicadores e índices de eficacia de las medidas de manejo deben emplearse como referencia los indicadores publicados por Minambiente o ANLA para tal fin, incluidos los referidos a la eficacia con énfasis en las acciones de preservación, restauración ecológica y uso sostenible para el plan de compensaciones del medio biótico y el plan de inversión forzosa de no menos del 1%.</w:t>
      </w:r>
    </w:p>
    <w:p w14:paraId="531EF1F1" w14:textId="77777777" w:rsidR="00E27186" w:rsidRPr="00BD1319" w:rsidRDefault="00E27186" w:rsidP="009420F5">
      <w:pPr>
        <w:numPr>
          <w:ilvl w:val="12"/>
          <w:numId w:val="0"/>
        </w:numPr>
        <w:tabs>
          <w:tab w:val="left" w:pos="-2268"/>
        </w:tabs>
        <w:suppressAutoHyphens/>
        <w:rPr>
          <w:spacing w:val="-3"/>
        </w:rPr>
      </w:pPr>
    </w:p>
    <w:p w14:paraId="467077ED" w14:textId="017A582C" w:rsidR="00945D28" w:rsidRPr="00BD1319" w:rsidRDefault="00BD5296" w:rsidP="00945D28">
      <w:pPr>
        <w:numPr>
          <w:ilvl w:val="12"/>
          <w:numId w:val="0"/>
        </w:numPr>
        <w:tabs>
          <w:tab w:val="left" w:pos="-2268"/>
        </w:tabs>
        <w:suppressAutoHyphens/>
        <w:rPr>
          <w:spacing w:val="-3"/>
        </w:rPr>
      </w:pPr>
      <w:r w:rsidRPr="00BD1319">
        <w:rPr>
          <w:rFonts w:cs="Arial"/>
          <w:spacing w:val="-3"/>
        </w:rPr>
        <w:t>S</w:t>
      </w:r>
      <w:r w:rsidR="00945D28" w:rsidRPr="00BD1319">
        <w:rPr>
          <w:spacing w:val="-3"/>
        </w:rPr>
        <w:t xml:space="preserve">e deben describir las acciones, métodos y procedimientos que se requieren para obtener la información y los datos requeridos para el cálculo de </w:t>
      </w:r>
      <w:r w:rsidR="00DB6334" w:rsidRPr="00BD1319">
        <w:rPr>
          <w:spacing w:val="-3"/>
        </w:rPr>
        <w:t xml:space="preserve">los parámetros, </w:t>
      </w:r>
      <w:r w:rsidR="00945D28" w:rsidRPr="00BD1319">
        <w:rPr>
          <w:spacing w:val="-3"/>
        </w:rPr>
        <w:t xml:space="preserve">indicadores </w:t>
      </w:r>
      <w:r w:rsidR="00DB6334" w:rsidRPr="00BD1319">
        <w:rPr>
          <w:spacing w:val="-3"/>
        </w:rPr>
        <w:t xml:space="preserve">e índices </w:t>
      </w:r>
      <w:r w:rsidR="00945D28" w:rsidRPr="00BD1319">
        <w:rPr>
          <w:spacing w:val="-3"/>
        </w:rPr>
        <w:t>de seguimiento</w:t>
      </w:r>
      <w:r w:rsidR="00DB6334" w:rsidRPr="00BD1319">
        <w:rPr>
          <w:spacing w:val="-3"/>
        </w:rPr>
        <w:t>,</w:t>
      </w:r>
      <w:r w:rsidR="00945D28" w:rsidRPr="00BD1319">
        <w:rPr>
          <w:spacing w:val="-3"/>
        </w:rPr>
        <w:t xml:space="preserve"> </w:t>
      </w:r>
      <w:r w:rsidR="003B6497" w:rsidRPr="00BD1319">
        <w:rPr>
          <w:spacing w:val="-3"/>
        </w:rPr>
        <w:t>de igual modo</w:t>
      </w:r>
      <w:r w:rsidR="00945D28" w:rsidRPr="00BD1319">
        <w:rPr>
          <w:spacing w:val="-3"/>
        </w:rPr>
        <w:t>, se debe</w:t>
      </w:r>
      <w:r w:rsidR="003B6497" w:rsidRPr="00BD1319">
        <w:rPr>
          <w:spacing w:val="-3"/>
        </w:rPr>
        <w:t>n</w:t>
      </w:r>
      <w:r w:rsidR="00945D28" w:rsidRPr="00BD1319">
        <w:rPr>
          <w:spacing w:val="-3"/>
        </w:rPr>
        <w:t xml:space="preserve"> establecer los mecanismos de coordinación entre los actores involucrados en </w:t>
      </w:r>
      <w:r w:rsidR="00DB6334" w:rsidRPr="00BD1319">
        <w:rPr>
          <w:spacing w:val="-3"/>
        </w:rPr>
        <w:t xml:space="preserve">su </w:t>
      </w:r>
      <w:r w:rsidR="00945D28" w:rsidRPr="00BD1319">
        <w:rPr>
          <w:spacing w:val="-3"/>
        </w:rPr>
        <w:t>cálculo</w:t>
      </w:r>
      <w:r w:rsidR="00945D28" w:rsidRPr="00BD1319">
        <w:rPr>
          <w:rFonts w:cs="Arial"/>
          <w:spacing w:val="-3"/>
        </w:rPr>
        <w:t>.</w:t>
      </w:r>
      <w:r w:rsidR="00945D28" w:rsidRPr="00BD1319">
        <w:rPr>
          <w:spacing w:val="-3"/>
        </w:rPr>
        <w:t xml:space="preserve"> </w:t>
      </w:r>
      <w:r w:rsidR="003B6497" w:rsidRPr="00BD1319">
        <w:rPr>
          <w:spacing w:val="-3"/>
        </w:rPr>
        <w:t>Adicionalmente</w:t>
      </w:r>
      <w:r w:rsidR="00945D28" w:rsidRPr="00BD1319">
        <w:rPr>
          <w:spacing w:val="-3"/>
        </w:rPr>
        <w:t xml:space="preserve">, </w:t>
      </w:r>
      <w:r w:rsidR="00945D28" w:rsidRPr="00BD1319">
        <w:rPr>
          <w:rFonts w:cs="Arial"/>
          <w:spacing w:val="-3"/>
        </w:rPr>
        <w:t>se deben</w:t>
      </w:r>
      <w:r w:rsidR="00945D28" w:rsidRPr="00BD1319">
        <w:rPr>
          <w:spacing w:val="-3"/>
        </w:rPr>
        <w:t xml:space="preserve"> establecer las acciones a adelantar en caso de encontrar una baja eficacia </w:t>
      </w:r>
      <w:r w:rsidR="003B6497" w:rsidRPr="00BD1319">
        <w:rPr>
          <w:spacing w:val="-3"/>
        </w:rPr>
        <w:t xml:space="preserve">y eficiencia </w:t>
      </w:r>
      <w:r w:rsidR="00945D28" w:rsidRPr="00BD1319">
        <w:rPr>
          <w:spacing w:val="-3"/>
        </w:rPr>
        <w:t xml:space="preserve">de las medidas </w:t>
      </w:r>
      <w:r w:rsidR="003B6497" w:rsidRPr="00BD1319">
        <w:rPr>
          <w:spacing w:val="-3"/>
        </w:rPr>
        <w:t xml:space="preserve">y acciones </w:t>
      </w:r>
      <w:r w:rsidR="00945D28" w:rsidRPr="00BD1319">
        <w:rPr>
          <w:spacing w:val="-3"/>
        </w:rPr>
        <w:t xml:space="preserve">establecidas en los </w:t>
      </w:r>
      <w:r w:rsidR="00945D28" w:rsidRPr="00BD1319">
        <w:rPr>
          <w:rFonts w:cs="Arial"/>
          <w:spacing w:val="-3"/>
        </w:rPr>
        <w:t>planes</w:t>
      </w:r>
      <w:r w:rsidR="00945D28" w:rsidRPr="00BD1319">
        <w:rPr>
          <w:spacing w:val="-3"/>
        </w:rPr>
        <w:t>.</w:t>
      </w:r>
    </w:p>
    <w:p w14:paraId="35229766" w14:textId="77777777" w:rsidR="00945D28" w:rsidRPr="00BD1319" w:rsidRDefault="00945D28">
      <w:pPr>
        <w:numPr>
          <w:ilvl w:val="12"/>
          <w:numId w:val="0"/>
        </w:numPr>
        <w:tabs>
          <w:tab w:val="left" w:pos="-2268"/>
        </w:tabs>
        <w:suppressAutoHyphens/>
        <w:rPr>
          <w:spacing w:val="-3"/>
        </w:rPr>
      </w:pPr>
    </w:p>
    <w:p w14:paraId="543C9589" w14:textId="4B675F6D" w:rsidR="00BD5296" w:rsidRPr="00BD1319" w:rsidRDefault="00BD5296">
      <w:pPr>
        <w:numPr>
          <w:ilvl w:val="12"/>
          <w:numId w:val="0"/>
        </w:numPr>
        <w:tabs>
          <w:tab w:val="left" w:pos="-2268"/>
        </w:tabs>
        <w:suppressAutoHyphens/>
        <w:rPr>
          <w:spacing w:val="-3"/>
        </w:rPr>
      </w:pPr>
      <w:r w:rsidRPr="00BD1319">
        <w:rPr>
          <w:spacing w:val="-3"/>
        </w:rPr>
        <w:t xml:space="preserve">Ya que las medidas </w:t>
      </w:r>
      <w:r w:rsidR="00DC1852" w:rsidRPr="00BD1319">
        <w:rPr>
          <w:spacing w:val="-3"/>
        </w:rPr>
        <w:t xml:space="preserve">y acciones </w:t>
      </w:r>
      <w:r w:rsidRPr="00BD1319">
        <w:rPr>
          <w:spacing w:val="-3"/>
        </w:rPr>
        <w:t xml:space="preserve">en su conjunto tienen como propósito mantener un beneficio ambiental neto por lo menos igual a cero, la verificación de su eficacia debe </w:t>
      </w:r>
      <w:r w:rsidR="00DC1852" w:rsidRPr="00BD1319">
        <w:rPr>
          <w:spacing w:val="-3"/>
        </w:rPr>
        <w:t xml:space="preserve">basarse en </w:t>
      </w:r>
      <w:r w:rsidRPr="00BD1319">
        <w:rPr>
          <w:spacing w:val="-3"/>
        </w:rPr>
        <w:t>la medición de los parámetros</w:t>
      </w:r>
      <w:r w:rsidR="000043B5" w:rsidRPr="00BD1319">
        <w:rPr>
          <w:spacing w:val="-3"/>
        </w:rPr>
        <w:t>, indicadores o índices</w:t>
      </w:r>
      <w:r w:rsidRPr="00BD1319">
        <w:rPr>
          <w:spacing w:val="-3"/>
        </w:rPr>
        <w:t xml:space="preserve"> ambientales que pueden </w:t>
      </w:r>
      <w:r w:rsidR="00DC1852" w:rsidRPr="00BD1319">
        <w:rPr>
          <w:spacing w:val="-3"/>
        </w:rPr>
        <w:t xml:space="preserve">ser alterados </w:t>
      </w:r>
      <w:r w:rsidRPr="00BD1319">
        <w:rPr>
          <w:spacing w:val="-3"/>
        </w:rPr>
        <w:t>por la ejecución del proyecto, obra o actividad</w:t>
      </w:r>
      <w:r w:rsidR="00DC1852" w:rsidRPr="00BD1319">
        <w:rPr>
          <w:spacing w:val="-3"/>
        </w:rPr>
        <w:t xml:space="preserve">, es decir, se fundamenta en </w:t>
      </w:r>
      <w:r w:rsidRPr="00BD1319">
        <w:rPr>
          <w:spacing w:val="-3"/>
        </w:rPr>
        <w:t>la verificación real de su ef</w:t>
      </w:r>
      <w:r w:rsidR="00880BFB" w:rsidRPr="00BD1319">
        <w:rPr>
          <w:spacing w:val="-3"/>
        </w:rPr>
        <w:t>icacia</w:t>
      </w:r>
      <w:r w:rsidRPr="00BD1319">
        <w:rPr>
          <w:spacing w:val="-3"/>
        </w:rPr>
        <w:t xml:space="preserve"> y no </w:t>
      </w:r>
      <w:r w:rsidR="00DC1852" w:rsidRPr="00BD1319">
        <w:rPr>
          <w:spacing w:val="-3"/>
        </w:rPr>
        <w:t xml:space="preserve">en la </w:t>
      </w:r>
      <w:r w:rsidRPr="00BD1319">
        <w:rPr>
          <w:spacing w:val="-3"/>
        </w:rPr>
        <w:t>medi</w:t>
      </w:r>
      <w:r w:rsidR="00DC1852" w:rsidRPr="00BD1319">
        <w:rPr>
          <w:spacing w:val="-3"/>
        </w:rPr>
        <w:t xml:space="preserve">ción </w:t>
      </w:r>
      <w:r w:rsidRPr="00BD1319">
        <w:rPr>
          <w:spacing w:val="-3"/>
        </w:rPr>
        <w:t xml:space="preserve">de </w:t>
      </w:r>
      <w:r w:rsidR="00DC1852" w:rsidRPr="00BD1319">
        <w:rPr>
          <w:spacing w:val="-3"/>
        </w:rPr>
        <w:t xml:space="preserve">la </w:t>
      </w:r>
      <w:r w:rsidRPr="00BD1319">
        <w:rPr>
          <w:spacing w:val="-3"/>
        </w:rPr>
        <w:t>gestión o implementación de actividades.</w:t>
      </w:r>
    </w:p>
    <w:p w14:paraId="6C5DAEFD" w14:textId="77777777" w:rsidR="001B0ED8" w:rsidRPr="00BD1319" w:rsidRDefault="001B0ED8">
      <w:pPr>
        <w:numPr>
          <w:ilvl w:val="12"/>
          <w:numId w:val="0"/>
        </w:numPr>
        <w:tabs>
          <w:tab w:val="left" w:pos="-2268"/>
        </w:tabs>
        <w:suppressAutoHyphens/>
        <w:rPr>
          <w:spacing w:val="-3"/>
        </w:rPr>
      </w:pPr>
    </w:p>
    <w:p w14:paraId="62398203" w14:textId="21A8E59D" w:rsidR="007C2AD1" w:rsidRPr="00BD1319" w:rsidRDefault="007C2AD1" w:rsidP="00216955">
      <w:pPr>
        <w:pStyle w:val="Ttulo3"/>
      </w:pPr>
      <w:bookmarkStart w:id="11332" w:name="_Toc175326822"/>
      <w:r w:rsidRPr="00BD1319">
        <w:t>Seguimiento y monitoreo a l</w:t>
      </w:r>
      <w:r w:rsidR="001E0DE1" w:rsidRPr="00BD1319">
        <w:t xml:space="preserve">a eficiencia de las medidas </w:t>
      </w:r>
      <w:r w:rsidR="003B6497" w:rsidRPr="00BD1319">
        <w:t>y acciones</w:t>
      </w:r>
      <w:bookmarkEnd w:id="11332"/>
    </w:p>
    <w:p w14:paraId="533D90AB" w14:textId="77777777" w:rsidR="007C2AD1" w:rsidRPr="00BD1319" w:rsidRDefault="007C2AD1" w:rsidP="007C2AD1"/>
    <w:p w14:paraId="652D9F8E" w14:textId="1AE9ECD7" w:rsidR="00B23E87" w:rsidRPr="00BD1319" w:rsidRDefault="001E0DE1" w:rsidP="007C2AD1">
      <w:pPr>
        <w:numPr>
          <w:ilvl w:val="12"/>
          <w:numId w:val="0"/>
        </w:numPr>
        <w:tabs>
          <w:tab w:val="left" w:pos="-2268"/>
        </w:tabs>
        <w:suppressAutoHyphens/>
        <w:rPr>
          <w:spacing w:val="-3"/>
        </w:rPr>
      </w:pPr>
      <w:r w:rsidRPr="00BD1319">
        <w:rPr>
          <w:spacing w:val="-3"/>
        </w:rPr>
        <w:t>El monitoreo y seguimiento a la eficiencia de las medidas de manejo</w:t>
      </w:r>
      <w:r w:rsidR="00DB6334" w:rsidRPr="00BD1319">
        <w:rPr>
          <w:spacing w:val="-3"/>
        </w:rPr>
        <w:t xml:space="preserve"> (que comprenden también a las de compensación del medio biótico)</w:t>
      </w:r>
      <w:r w:rsidR="000E7436" w:rsidRPr="00BD1319">
        <w:rPr>
          <w:spacing w:val="-3"/>
        </w:rPr>
        <w:t xml:space="preserve">, de las medidas de intervención (riesgos) </w:t>
      </w:r>
      <w:r w:rsidRPr="00BD1319">
        <w:rPr>
          <w:spacing w:val="-3"/>
        </w:rPr>
        <w:lastRenderedPageBreak/>
        <w:t xml:space="preserve">y de las </w:t>
      </w:r>
      <w:r w:rsidR="00E44045" w:rsidRPr="00BD1319">
        <w:rPr>
          <w:spacing w:val="-3"/>
        </w:rPr>
        <w:t xml:space="preserve">medidas o </w:t>
      </w:r>
      <w:r w:rsidRPr="00BD1319">
        <w:rPr>
          <w:spacing w:val="-3"/>
        </w:rPr>
        <w:t>acciones (</w:t>
      </w:r>
      <w:r w:rsidR="00E44045" w:rsidRPr="00BD1319">
        <w:rPr>
          <w:spacing w:val="-3"/>
        </w:rPr>
        <w:t xml:space="preserve">plan de inversión del </w:t>
      </w:r>
      <w:r w:rsidRPr="00BD1319">
        <w:rPr>
          <w:spacing w:val="-3"/>
        </w:rPr>
        <w:t xml:space="preserve">1%), se desarrolla mediante la formulación y cálculo de indicadores que relacionen la eficacia de las medidas de manejo con </w:t>
      </w:r>
      <w:r w:rsidR="000665CF" w:rsidRPr="00BD1319">
        <w:rPr>
          <w:spacing w:val="-3"/>
        </w:rPr>
        <w:t xml:space="preserve">la estimación </w:t>
      </w:r>
      <w:r w:rsidRPr="00BD1319">
        <w:rPr>
          <w:spacing w:val="-3"/>
        </w:rPr>
        <w:t xml:space="preserve">de </w:t>
      </w:r>
      <w:r w:rsidR="00B24FFB" w:rsidRPr="00BD1319">
        <w:rPr>
          <w:spacing w:val="-3"/>
        </w:rPr>
        <w:t xml:space="preserve">la cantidad de </w:t>
      </w:r>
      <w:r w:rsidRPr="00BD1319">
        <w:rPr>
          <w:spacing w:val="-3"/>
        </w:rPr>
        <w:t xml:space="preserve">recursos </w:t>
      </w:r>
      <w:r w:rsidR="00B24FFB" w:rsidRPr="00BD1319">
        <w:rPr>
          <w:spacing w:val="-3"/>
        </w:rPr>
        <w:t xml:space="preserve">empleados </w:t>
      </w:r>
      <w:r w:rsidRPr="00BD1319">
        <w:rPr>
          <w:spacing w:val="-3"/>
        </w:rPr>
        <w:t xml:space="preserve">para </w:t>
      </w:r>
      <w:r w:rsidR="00B24FFB" w:rsidRPr="00BD1319">
        <w:rPr>
          <w:spacing w:val="-3"/>
        </w:rPr>
        <w:t>su ejecución (</w:t>
      </w:r>
      <w:r w:rsidR="00041844" w:rsidRPr="00BD1319">
        <w:rPr>
          <w:spacing w:val="-3"/>
        </w:rPr>
        <w:t>p. ej.</w:t>
      </w:r>
      <w:r w:rsidR="00B24FFB" w:rsidRPr="00BD1319">
        <w:rPr>
          <w:spacing w:val="-3"/>
        </w:rPr>
        <w:t xml:space="preserve"> combustibles, </w:t>
      </w:r>
      <w:r w:rsidR="000665CF" w:rsidRPr="00BD1319">
        <w:rPr>
          <w:spacing w:val="-3"/>
        </w:rPr>
        <w:t xml:space="preserve">energía eléctrica, </w:t>
      </w:r>
      <w:r w:rsidR="00B24FFB" w:rsidRPr="00BD1319">
        <w:rPr>
          <w:spacing w:val="-3"/>
        </w:rPr>
        <w:t xml:space="preserve">insumos no renovables, agua, otros recursos renovables), </w:t>
      </w:r>
      <w:r w:rsidR="000665CF" w:rsidRPr="00BD1319">
        <w:rPr>
          <w:spacing w:val="-3"/>
        </w:rPr>
        <w:t xml:space="preserve">de la cantidad de emisiones, vertimientos, entre otros aspectos ambientales que resultan de su aplicación, </w:t>
      </w:r>
      <w:r w:rsidR="00B24FFB" w:rsidRPr="00BD1319">
        <w:rPr>
          <w:spacing w:val="-3"/>
        </w:rPr>
        <w:t>o de la cantidad de recursos</w:t>
      </w:r>
      <w:r w:rsidR="000E7436" w:rsidRPr="00BD1319">
        <w:rPr>
          <w:spacing w:val="-3"/>
        </w:rPr>
        <w:t xml:space="preserve"> que</w:t>
      </w:r>
      <w:r w:rsidR="00B24FFB" w:rsidRPr="00BD1319">
        <w:rPr>
          <w:spacing w:val="-3"/>
        </w:rPr>
        <w:t xml:space="preserve"> </w:t>
      </w:r>
      <w:r w:rsidRPr="00BD1319">
        <w:rPr>
          <w:spacing w:val="-3"/>
        </w:rPr>
        <w:t xml:space="preserve">se </w:t>
      </w:r>
      <w:r w:rsidR="000F3650" w:rsidRPr="00BD1319">
        <w:rPr>
          <w:spacing w:val="-3"/>
        </w:rPr>
        <w:t xml:space="preserve">dejaría de </w:t>
      </w:r>
      <w:r w:rsidR="00B24FFB" w:rsidRPr="00BD1319">
        <w:rPr>
          <w:spacing w:val="-3"/>
        </w:rPr>
        <w:t>reutiliz</w:t>
      </w:r>
      <w:r w:rsidR="000E7436" w:rsidRPr="00BD1319">
        <w:rPr>
          <w:spacing w:val="-3"/>
        </w:rPr>
        <w:t>ar</w:t>
      </w:r>
      <w:r w:rsidR="00B24FFB" w:rsidRPr="00BD1319">
        <w:rPr>
          <w:spacing w:val="-3"/>
        </w:rPr>
        <w:t xml:space="preserve"> o </w:t>
      </w:r>
      <w:r w:rsidR="000E7436" w:rsidRPr="00BD1319">
        <w:rPr>
          <w:spacing w:val="-3"/>
        </w:rPr>
        <w:t xml:space="preserve">de </w:t>
      </w:r>
      <w:r w:rsidR="00B24FFB" w:rsidRPr="00BD1319">
        <w:rPr>
          <w:spacing w:val="-3"/>
        </w:rPr>
        <w:t>recircul</w:t>
      </w:r>
      <w:r w:rsidR="000E7436" w:rsidRPr="00BD1319">
        <w:rPr>
          <w:spacing w:val="-3"/>
        </w:rPr>
        <w:t>ar</w:t>
      </w:r>
      <w:r w:rsidR="00B24FFB" w:rsidRPr="00BD1319">
        <w:rPr>
          <w:spacing w:val="-3"/>
        </w:rPr>
        <w:t xml:space="preserve"> </w:t>
      </w:r>
      <w:r w:rsidR="000665CF" w:rsidRPr="00BD1319">
        <w:rPr>
          <w:spacing w:val="-3"/>
        </w:rPr>
        <w:t>de no aplica</w:t>
      </w:r>
      <w:r w:rsidR="007166C7" w:rsidRPr="00BD1319">
        <w:rPr>
          <w:spacing w:val="-3"/>
        </w:rPr>
        <w:t>r</w:t>
      </w:r>
      <w:r w:rsidR="000665CF" w:rsidRPr="00BD1319">
        <w:rPr>
          <w:spacing w:val="-3"/>
        </w:rPr>
        <w:t xml:space="preserve"> </w:t>
      </w:r>
      <w:r w:rsidR="00DB6334" w:rsidRPr="00BD1319">
        <w:rPr>
          <w:spacing w:val="-3"/>
        </w:rPr>
        <w:t>tales</w:t>
      </w:r>
      <w:r w:rsidR="000665CF" w:rsidRPr="00BD1319">
        <w:rPr>
          <w:spacing w:val="-3"/>
        </w:rPr>
        <w:t xml:space="preserve"> </w:t>
      </w:r>
      <w:r w:rsidR="00B24FFB" w:rsidRPr="00BD1319">
        <w:rPr>
          <w:spacing w:val="-3"/>
        </w:rPr>
        <w:t>medidas</w:t>
      </w:r>
      <w:r w:rsidR="000665CF" w:rsidRPr="00BD1319">
        <w:rPr>
          <w:spacing w:val="-3"/>
        </w:rPr>
        <w:t xml:space="preserve"> o acciones</w:t>
      </w:r>
      <w:r w:rsidR="00B24FFB" w:rsidRPr="00BD1319">
        <w:rPr>
          <w:spacing w:val="-3"/>
        </w:rPr>
        <w:t>.</w:t>
      </w:r>
    </w:p>
    <w:p w14:paraId="1DDBDF61" w14:textId="77777777" w:rsidR="000665CF" w:rsidRPr="00BD1319" w:rsidRDefault="000665CF" w:rsidP="007C2AD1">
      <w:pPr>
        <w:numPr>
          <w:ilvl w:val="12"/>
          <w:numId w:val="0"/>
        </w:numPr>
        <w:tabs>
          <w:tab w:val="left" w:pos="-2268"/>
        </w:tabs>
        <w:suppressAutoHyphens/>
        <w:rPr>
          <w:spacing w:val="-3"/>
        </w:rPr>
      </w:pPr>
    </w:p>
    <w:p w14:paraId="28EA5D47" w14:textId="1B2FA736" w:rsidR="00076F22" w:rsidRPr="00BD1319" w:rsidRDefault="003B2892" w:rsidP="009420F5">
      <w:pPr>
        <w:pStyle w:val="Ttulo2"/>
        <w:tabs>
          <w:tab w:val="clear" w:pos="0"/>
          <w:tab w:val="num" w:pos="851"/>
        </w:tabs>
        <w:ind w:left="851" w:hanging="851"/>
        <w:rPr>
          <w:lang w:val="es-CO"/>
        </w:rPr>
      </w:pPr>
      <w:bookmarkStart w:id="11333" w:name="_Toc79443350"/>
      <w:bookmarkStart w:id="11334" w:name="_Toc42839710"/>
      <w:bookmarkStart w:id="11335" w:name="_Toc175326823"/>
      <w:bookmarkEnd w:id="11328"/>
      <w:bookmarkEnd w:id="11333"/>
      <w:r w:rsidRPr="00BD1319">
        <w:rPr>
          <w:lang w:val="es-CO"/>
        </w:rPr>
        <w:t xml:space="preserve">DIMENSIÓN AMBIENTAL DEL </w:t>
      </w:r>
      <w:bookmarkStart w:id="11336" w:name="_Toc40272800"/>
      <w:bookmarkStart w:id="11337" w:name="_Toc387312785"/>
      <w:bookmarkStart w:id="11338" w:name="_Toc405366877"/>
      <w:bookmarkStart w:id="11339" w:name="_Toc405372425"/>
      <w:bookmarkStart w:id="11340" w:name="_Toc412812790"/>
      <w:bookmarkStart w:id="11341" w:name="_Toc437936066"/>
      <w:r w:rsidR="003E1ED4" w:rsidRPr="00BD1319">
        <w:rPr>
          <w:lang w:val="es-CO"/>
        </w:rPr>
        <w:t xml:space="preserve">PLAN DE </w:t>
      </w:r>
      <w:bookmarkEnd w:id="11336"/>
      <w:bookmarkEnd w:id="11337"/>
      <w:bookmarkEnd w:id="11338"/>
      <w:bookmarkEnd w:id="11339"/>
      <w:bookmarkEnd w:id="11340"/>
      <w:bookmarkEnd w:id="11341"/>
      <w:r w:rsidRPr="00BD1319">
        <w:rPr>
          <w:lang w:val="es-CO"/>
        </w:rPr>
        <w:t>GESTIÓN DEL RIESGO</w:t>
      </w:r>
      <w:bookmarkEnd w:id="11334"/>
      <w:bookmarkEnd w:id="11335"/>
    </w:p>
    <w:p w14:paraId="4A285864" w14:textId="77777777" w:rsidR="0073596B" w:rsidRPr="00BD1319" w:rsidRDefault="0073596B">
      <w:pPr>
        <w:numPr>
          <w:ilvl w:val="12"/>
          <w:numId w:val="0"/>
        </w:numPr>
        <w:tabs>
          <w:tab w:val="left" w:pos="-2268"/>
        </w:tabs>
        <w:suppressAutoHyphens/>
        <w:rPr>
          <w:spacing w:val="-3"/>
        </w:rPr>
      </w:pPr>
    </w:p>
    <w:p w14:paraId="67F85B36" w14:textId="7BF232F5" w:rsidR="00076F22" w:rsidRPr="00017D31" w:rsidRDefault="00552056" w:rsidP="00C86DA5">
      <w:bookmarkStart w:id="11342" w:name="_Toc385865529"/>
      <w:bookmarkEnd w:id="11342"/>
      <w:r w:rsidRPr="00BD1319">
        <w:t>Se debe f</w:t>
      </w:r>
      <w:r w:rsidR="00076F22" w:rsidRPr="00BD1319">
        <w:t xml:space="preserve">ormular y presentar </w:t>
      </w:r>
      <w:r w:rsidR="003B2892" w:rsidRPr="00BD1319">
        <w:rPr>
          <w:rFonts w:cs="Arial"/>
        </w:rPr>
        <w:t xml:space="preserve">la dimensión ambiental del Plan de Gestión del Riesgo </w:t>
      </w:r>
      <w:r w:rsidR="00076F22" w:rsidRPr="00BD1319">
        <w:rPr>
          <w:rFonts w:cs="Arial"/>
          <w:szCs w:val="20"/>
        </w:rPr>
        <w:t>tomando como referencia</w:t>
      </w:r>
      <w:r w:rsidR="00076F22" w:rsidRPr="00BD1319">
        <w:t xml:space="preserve"> l</w:t>
      </w:r>
      <w:r w:rsidR="003B2892" w:rsidRPr="00BD1319">
        <w:t xml:space="preserve">os lineamientos </w:t>
      </w:r>
      <w:r w:rsidR="00076F22" w:rsidRPr="00BD1319">
        <w:t>previst</w:t>
      </w:r>
      <w:r w:rsidR="003B2892" w:rsidRPr="00BD1319">
        <w:t>o</w:t>
      </w:r>
      <w:r w:rsidR="00076F22" w:rsidRPr="00BD1319">
        <w:t>s en la Ley 1523 de 2012 (Política nacional de gestión del riesgo de desastres)</w:t>
      </w:r>
      <w:r w:rsidRPr="00BD1319">
        <w:t>,</w:t>
      </w:r>
      <w:r w:rsidR="00076F22" w:rsidRPr="00BD1319">
        <w:t xml:space="preserve"> </w:t>
      </w:r>
      <w:r w:rsidRPr="00BD1319">
        <w:t xml:space="preserve">en </w:t>
      </w:r>
      <w:r w:rsidR="00076F22" w:rsidRPr="00BD1319">
        <w:rPr>
          <w:rFonts w:cs="Arial"/>
          <w:szCs w:val="20"/>
        </w:rPr>
        <w:t xml:space="preserve">el Decreto 2157 de 2017 y </w:t>
      </w:r>
      <w:r w:rsidRPr="00BD1319">
        <w:rPr>
          <w:rFonts w:cs="Arial"/>
          <w:szCs w:val="20"/>
        </w:rPr>
        <w:t xml:space="preserve">en </w:t>
      </w:r>
      <w:r w:rsidR="00076F22" w:rsidRPr="00BD1319">
        <w:t xml:space="preserve">la normativa </w:t>
      </w:r>
      <w:r w:rsidR="00076F22" w:rsidRPr="00017D31">
        <w:t xml:space="preserve">sectorial específica, o </w:t>
      </w:r>
      <w:r w:rsidRPr="00017D31">
        <w:t xml:space="preserve">en </w:t>
      </w:r>
      <w:r w:rsidR="00076F22" w:rsidRPr="00017D31">
        <w:t>aquella que la modifique</w:t>
      </w:r>
      <w:r w:rsidR="00076F22" w:rsidRPr="00017D31">
        <w:rPr>
          <w:rFonts w:cs="Arial"/>
          <w:szCs w:val="20"/>
        </w:rPr>
        <w:t xml:space="preserve"> o</w:t>
      </w:r>
      <w:r w:rsidR="00076F22" w:rsidRPr="00017D31">
        <w:t xml:space="preserve"> sustituya.</w:t>
      </w:r>
    </w:p>
    <w:p w14:paraId="3DD00F11" w14:textId="77777777" w:rsidR="00076F22" w:rsidRPr="00017D31" w:rsidRDefault="00076F22" w:rsidP="00C86DA5"/>
    <w:p w14:paraId="71DEE0F4" w14:textId="4BC26F43" w:rsidR="00076F22" w:rsidRPr="00017D31" w:rsidRDefault="00076F22" w:rsidP="00C86DA5">
      <w:pPr>
        <w:rPr>
          <w:rFonts w:cs="Arial"/>
          <w:szCs w:val="20"/>
        </w:rPr>
      </w:pPr>
      <w:r w:rsidRPr="00017D31">
        <w:t>El análisis y valoración de los riesgos</w:t>
      </w:r>
      <w:r w:rsidR="003B2892" w:rsidRPr="00017D31">
        <w:t xml:space="preserve"> sobre el proyecto y los </w:t>
      </w:r>
      <w:r w:rsidR="003B2892" w:rsidRPr="00017D31">
        <w:rPr>
          <w:rFonts w:eastAsia="Arial" w:cs="Arial"/>
        </w:rPr>
        <w:t>elementos del ambiente y los ecosistemas y sus servicios</w:t>
      </w:r>
      <w:r w:rsidRPr="00017D31">
        <w:t xml:space="preserve">, constituye la base para </w:t>
      </w:r>
      <w:r w:rsidRPr="00017D31">
        <w:rPr>
          <w:rFonts w:cs="Arial"/>
          <w:szCs w:val="20"/>
        </w:rPr>
        <w:t xml:space="preserve">la formulación </w:t>
      </w:r>
      <w:r w:rsidRPr="00017D31">
        <w:t>e implementación de</w:t>
      </w:r>
      <w:r w:rsidR="003B2892" w:rsidRPr="00017D31">
        <w:t>l conocimiento y monitoreo del riesgo, las</w:t>
      </w:r>
      <w:r w:rsidRPr="00017D31">
        <w:t xml:space="preserve"> medidas de reducción del riesgo y </w:t>
      </w:r>
      <w:r w:rsidRPr="00017D31">
        <w:rPr>
          <w:rFonts w:cs="Arial"/>
          <w:szCs w:val="20"/>
        </w:rPr>
        <w:t>el</w:t>
      </w:r>
      <w:r w:rsidRPr="00017D31">
        <w:t xml:space="preserve"> </w:t>
      </w:r>
      <w:r w:rsidR="003B2892" w:rsidRPr="00017D31">
        <w:t xml:space="preserve">manejo </w:t>
      </w:r>
      <w:r w:rsidRPr="00017D31">
        <w:t xml:space="preserve">de </w:t>
      </w:r>
      <w:r w:rsidR="003B2892" w:rsidRPr="00017D31">
        <w:t xml:space="preserve">las </w:t>
      </w:r>
      <w:r w:rsidRPr="00017D31">
        <w:rPr>
          <w:rFonts w:cs="Arial"/>
          <w:szCs w:val="20"/>
        </w:rPr>
        <w:t>contingencias</w:t>
      </w:r>
      <w:r w:rsidRPr="00017D31">
        <w:t xml:space="preserve"> </w:t>
      </w:r>
      <w:r w:rsidR="003B2892" w:rsidRPr="00017D31">
        <w:t xml:space="preserve">mediante la preparación y ejecución para la respuesta, así como </w:t>
      </w:r>
      <w:r w:rsidR="003B2892" w:rsidRPr="00017D31">
        <w:rPr>
          <w:rFonts w:cs="Arial"/>
        </w:rPr>
        <w:t>la preparación y ejecución de la recuperación ambiental</w:t>
      </w:r>
      <w:r w:rsidRPr="00017D31">
        <w:rPr>
          <w:rFonts w:cs="Arial"/>
          <w:szCs w:val="20"/>
        </w:rPr>
        <w:t>.</w:t>
      </w:r>
    </w:p>
    <w:p w14:paraId="7D333AC6" w14:textId="3162AB2D" w:rsidR="00E2693F" w:rsidRPr="00017D31" w:rsidRDefault="00E2693F" w:rsidP="00C86DA5">
      <w:pPr>
        <w:rPr>
          <w:rFonts w:cs="Arial"/>
          <w:szCs w:val="20"/>
        </w:rPr>
      </w:pPr>
    </w:p>
    <w:p w14:paraId="035E2902" w14:textId="3E5AD052" w:rsidR="00E2693F" w:rsidRPr="00017D31" w:rsidRDefault="00F3709B" w:rsidP="00E2693F">
      <w:pPr>
        <w:rPr>
          <w:rFonts w:cs="Arial"/>
          <w:szCs w:val="20"/>
        </w:rPr>
      </w:pPr>
      <w:r w:rsidRPr="00017D31">
        <w:rPr>
          <w:rFonts w:cs="Arial"/>
          <w:szCs w:val="20"/>
        </w:rPr>
        <w:t>En el marco de la estructuración de la dimensión ambiental del plan de gestión de riesgo, se debe incorporar el enfoque de derechos, incluyendo a los sujetos de especial protección constitucional (entre ellos: mujeres, niños, comunidades étnicas, víctimas de conflicto armado)</w:t>
      </w:r>
      <w:r w:rsidR="0009124E" w:rsidRPr="00017D31">
        <w:rPr>
          <w:rFonts w:cs="Arial"/>
          <w:szCs w:val="20"/>
        </w:rPr>
        <w:t xml:space="preserve"> en el área de probable afectación.</w:t>
      </w:r>
      <w:r w:rsidR="00E2693F" w:rsidRPr="00017D31">
        <w:rPr>
          <w:rFonts w:cs="Arial"/>
          <w:szCs w:val="20"/>
        </w:rPr>
        <w:t xml:space="preserve"> Adicionalmente, es esencial considerar los territorios étnicos que podrían verse afectados de manera directa y diferenciada</w:t>
      </w:r>
      <w:r w:rsidR="00E2693F" w:rsidRPr="00017D31">
        <w:rPr>
          <w:rStyle w:val="Refdenotaalpie"/>
          <w:rFonts w:cs="Arial"/>
          <w:szCs w:val="20"/>
        </w:rPr>
        <w:footnoteReference w:id="222"/>
      </w:r>
      <w:r w:rsidR="00E2693F" w:rsidRPr="00017D31">
        <w:rPr>
          <w:rFonts w:cs="Arial"/>
          <w:szCs w:val="20"/>
        </w:rPr>
        <w:t>. Esta consideración debe incluirse en las etapas de conocimiento y reducción del riesgo, así como en el manejo de la contingencia y preparación y ejecución de la recuperación ambiental, garantizando que sus particularidades y necesidades sean integradas en el proceso.</w:t>
      </w:r>
    </w:p>
    <w:p w14:paraId="71CA10F2" w14:textId="77777777" w:rsidR="00D101FE" w:rsidRPr="00017D31" w:rsidRDefault="00D101FE" w:rsidP="00C86DA5">
      <w:pPr>
        <w:rPr>
          <w:rFonts w:cs="Arial"/>
          <w:szCs w:val="20"/>
        </w:rPr>
      </w:pPr>
    </w:p>
    <w:p w14:paraId="7E231526" w14:textId="22FC107C" w:rsidR="00D101FE" w:rsidRPr="00BD1319" w:rsidRDefault="00D16859" w:rsidP="00C86DA5">
      <w:r w:rsidRPr="00017D31">
        <w:t xml:space="preserve">Se debe hacer uso de las </w:t>
      </w:r>
      <w:r w:rsidR="00D101FE" w:rsidRPr="00017D31">
        <w:t xml:space="preserve">herramientas </w:t>
      </w:r>
      <w:r w:rsidR="00D101FE" w:rsidRPr="00BD1319">
        <w:t>aplicables a la dimensión ambiental del plan de gestión del riesgo</w:t>
      </w:r>
      <w:r w:rsidRPr="00BD1319">
        <w:t xml:space="preserve"> de las autoridades ambientales, en caso de que éstas las desarrollen.</w:t>
      </w:r>
    </w:p>
    <w:p w14:paraId="0E68F26B" w14:textId="77777777" w:rsidR="00076F22" w:rsidRPr="00BD1319" w:rsidRDefault="00076F22" w:rsidP="00C86DA5"/>
    <w:p w14:paraId="6B28BD6C" w14:textId="6B3AF993" w:rsidR="00076F22" w:rsidRPr="00BD1319" w:rsidRDefault="00D101FE" w:rsidP="00C86DA5">
      <w:r w:rsidRPr="00BD1319">
        <w:t xml:space="preserve">La dimensión ambiental del plan de gestión del riesgo </w:t>
      </w:r>
      <w:r w:rsidR="00076F22" w:rsidRPr="00BD1319">
        <w:t>debe contemplar como mínimo lo siguiente:</w:t>
      </w:r>
    </w:p>
    <w:p w14:paraId="1AC949EA" w14:textId="77777777" w:rsidR="000D4B56" w:rsidRPr="00BD1319" w:rsidRDefault="000D4B56" w:rsidP="00C86DA5"/>
    <w:p w14:paraId="4DA0EC07" w14:textId="4714E8DE" w:rsidR="00076F22" w:rsidRPr="00BD1319" w:rsidRDefault="00076F22" w:rsidP="00216955">
      <w:pPr>
        <w:pStyle w:val="Ttulo3"/>
      </w:pPr>
      <w:bookmarkStart w:id="11343" w:name="_Ref175320118"/>
      <w:bookmarkStart w:id="11344" w:name="_Toc175326824"/>
      <w:r w:rsidRPr="00BD1319">
        <w:t>Conocimiento del riesgo</w:t>
      </w:r>
      <w:bookmarkEnd w:id="11343"/>
      <w:bookmarkEnd w:id="11344"/>
    </w:p>
    <w:p w14:paraId="318BAD19" w14:textId="77777777" w:rsidR="00076F22" w:rsidRPr="00BD1319" w:rsidRDefault="00076F22" w:rsidP="00C86DA5"/>
    <w:p w14:paraId="567C68C7" w14:textId="2A3FB2EF" w:rsidR="00076F22" w:rsidRPr="00BD1319" w:rsidRDefault="00076F22" w:rsidP="00C86DA5">
      <w:r w:rsidRPr="00BD1319">
        <w:lastRenderedPageBreak/>
        <w:t xml:space="preserve">Como parte </w:t>
      </w:r>
      <w:r w:rsidRPr="00BD1319">
        <w:rPr>
          <w:rFonts w:cs="Arial"/>
          <w:szCs w:val="20"/>
        </w:rPr>
        <w:t xml:space="preserve">del </w:t>
      </w:r>
      <w:r w:rsidRPr="00BD1319">
        <w:t xml:space="preserve">proceso de conocimiento del </w:t>
      </w:r>
      <w:r w:rsidRPr="00BD1319">
        <w:rPr>
          <w:rFonts w:cs="Arial"/>
          <w:szCs w:val="20"/>
        </w:rPr>
        <w:t xml:space="preserve">riesgo es necesario que se </w:t>
      </w:r>
      <w:r w:rsidR="00452B48" w:rsidRPr="00BD1319">
        <w:rPr>
          <w:rFonts w:cs="Arial"/>
          <w:szCs w:val="20"/>
        </w:rPr>
        <w:t xml:space="preserve">desarrolle </w:t>
      </w:r>
      <w:r w:rsidRPr="00BD1319">
        <w:rPr>
          <w:rFonts w:cs="Arial"/>
          <w:szCs w:val="20"/>
        </w:rPr>
        <w:t>la identificación</w:t>
      </w:r>
      <w:r w:rsidR="00292577" w:rsidRPr="00BD1319">
        <w:rPr>
          <w:rFonts w:cs="Arial"/>
          <w:szCs w:val="20"/>
        </w:rPr>
        <w:t xml:space="preserve">, </w:t>
      </w:r>
      <w:r w:rsidRPr="00BD1319">
        <w:rPr>
          <w:rFonts w:cs="Arial"/>
          <w:szCs w:val="20"/>
        </w:rPr>
        <w:t>caracterización</w:t>
      </w:r>
      <w:r w:rsidR="00292577" w:rsidRPr="00BD1319">
        <w:rPr>
          <w:rFonts w:cs="Arial"/>
          <w:szCs w:val="20"/>
        </w:rPr>
        <w:t>, análisis y valoración</w:t>
      </w:r>
      <w:r w:rsidRPr="00BD1319">
        <w:rPr>
          <w:rFonts w:cs="Arial"/>
          <w:szCs w:val="20"/>
        </w:rPr>
        <w:t xml:space="preserve"> de los escenarios de riesgo</w:t>
      </w:r>
      <w:r w:rsidR="00292577" w:rsidRPr="00BD1319">
        <w:rPr>
          <w:rFonts w:cs="Arial"/>
          <w:szCs w:val="20"/>
        </w:rPr>
        <w:t xml:space="preserve"> </w:t>
      </w:r>
      <w:r w:rsidR="00292577" w:rsidRPr="00BD1319">
        <w:rPr>
          <w:rFonts w:cs="Arial"/>
        </w:rPr>
        <w:t>que se deriven de amenazas de origen exógeno (considerando las probables afectaciones sobre el proyecto) y de origen endógeno (</w:t>
      </w:r>
      <w:r w:rsidR="00452B48" w:rsidRPr="00BD1319">
        <w:rPr>
          <w:rFonts w:cs="Arial"/>
        </w:rPr>
        <w:t>sobre los elementos del ambiente y los ecosistemas y sus servicios</w:t>
      </w:r>
      <w:r w:rsidR="00292577" w:rsidRPr="00BD1319">
        <w:rPr>
          <w:rFonts w:cs="Arial"/>
        </w:rPr>
        <w:t>),</w:t>
      </w:r>
      <w:r w:rsidRPr="00BD1319">
        <w:rPr>
          <w:rFonts w:cs="Arial"/>
          <w:szCs w:val="20"/>
        </w:rPr>
        <w:t xml:space="preserve"> </w:t>
      </w:r>
      <w:r w:rsidR="00D16859" w:rsidRPr="00BD1319">
        <w:rPr>
          <w:rFonts w:cs="Arial"/>
          <w:szCs w:val="20"/>
        </w:rPr>
        <w:t>así como de</w:t>
      </w:r>
      <w:r w:rsidR="00452B48" w:rsidRPr="00BD1319">
        <w:rPr>
          <w:rFonts w:cs="Arial"/>
          <w:szCs w:val="20"/>
        </w:rPr>
        <w:t xml:space="preserve"> </w:t>
      </w:r>
      <w:r w:rsidRPr="00BD1319">
        <w:t>la vulnerabilidad</w:t>
      </w:r>
      <w:r w:rsidR="00D16859" w:rsidRPr="00BD1319">
        <w:t xml:space="preserve"> </w:t>
      </w:r>
      <w:r w:rsidR="00D16859" w:rsidRPr="00BD1319">
        <w:rPr>
          <w:rFonts w:cs="Arial"/>
          <w:szCs w:val="20"/>
        </w:rPr>
        <w:t>de los elementos expuestos</w:t>
      </w:r>
      <w:r w:rsidR="00452B48" w:rsidRPr="00BD1319">
        <w:t>, partiendo de la información consignada en la caracterización ambiental del área de influencia y en la descripción del proyecto</w:t>
      </w:r>
      <w:r w:rsidRPr="00BD1319">
        <w:rPr>
          <w:rFonts w:cs="Arial"/>
          <w:szCs w:val="20"/>
        </w:rPr>
        <w:t>.</w:t>
      </w:r>
    </w:p>
    <w:p w14:paraId="7DCC8C2E" w14:textId="075E6371" w:rsidR="00076F22" w:rsidRPr="00BD1319" w:rsidRDefault="00076F22">
      <w:pPr>
        <w:rPr>
          <w:rFonts w:cs="Arial"/>
          <w:szCs w:val="20"/>
        </w:rPr>
      </w:pPr>
    </w:p>
    <w:p w14:paraId="2B2AC483" w14:textId="76C4A59F" w:rsidR="00076F22" w:rsidRPr="00BD1319" w:rsidRDefault="00D16859">
      <w:pPr>
        <w:rPr>
          <w:rFonts w:cs="Arial"/>
          <w:szCs w:val="20"/>
        </w:rPr>
      </w:pPr>
      <w:r w:rsidRPr="00BD1319">
        <w:rPr>
          <w:rFonts w:cs="Arial"/>
          <w:szCs w:val="20"/>
        </w:rPr>
        <w:t>Para ello s</w:t>
      </w:r>
      <w:r w:rsidR="00AE6E18" w:rsidRPr="00BD1319">
        <w:rPr>
          <w:rFonts w:cs="Arial"/>
          <w:szCs w:val="20"/>
        </w:rPr>
        <w:t>e debe desarrollar lo establecido en los siguientes literales</w:t>
      </w:r>
      <w:r w:rsidR="00076F22" w:rsidRPr="00BD1319">
        <w:rPr>
          <w:rFonts w:cs="Arial"/>
          <w:szCs w:val="20"/>
        </w:rPr>
        <w:t>:</w:t>
      </w:r>
    </w:p>
    <w:p w14:paraId="22C19C8D" w14:textId="77777777" w:rsidR="00076F22" w:rsidRPr="00BD1319" w:rsidRDefault="00076F22" w:rsidP="00C86DA5"/>
    <w:p w14:paraId="789F8138" w14:textId="7860065F" w:rsidR="00076F22" w:rsidRPr="00BD1319" w:rsidRDefault="00076F22" w:rsidP="006052B3">
      <w:pPr>
        <w:numPr>
          <w:ilvl w:val="0"/>
          <w:numId w:val="586"/>
        </w:numPr>
        <w:tabs>
          <w:tab w:val="left" w:pos="-2268"/>
        </w:tabs>
        <w:suppressAutoHyphens/>
        <w:ind w:left="567" w:hanging="567"/>
        <w:rPr>
          <w:b/>
          <w:i/>
          <w:spacing w:val="-3"/>
          <w:u w:val="single"/>
        </w:rPr>
      </w:pPr>
      <w:r w:rsidRPr="00BD1319">
        <w:rPr>
          <w:b/>
          <w:i/>
          <w:spacing w:val="-3"/>
          <w:u w:val="single"/>
        </w:rPr>
        <w:t>Identificación, caracterización, análisis y evaluación de amenaz</w:t>
      </w:r>
      <w:r w:rsidR="00D42FBC" w:rsidRPr="00BD1319">
        <w:rPr>
          <w:b/>
          <w:i/>
          <w:spacing w:val="-3"/>
          <w:u w:val="single"/>
        </w:rPr>
        <w:t>a</w:t>
      </w:r>
      <w:r w:rsidRPr="00BD1319">
        <w:rPr>
          <w:b/>
          <w:i/>
          <w:spacing w:val="-3"/>
          <w:u w:val="single"/>
        </w:rPr>
        <w:t>s</w:t>
      </w:r>
    </w:p>
    <w:p w14:paraId="155675DC" w14:textId="77777777" w:rsidR="003665F5" w:rsidRPr="00BD1319" w:rsidRDefault="003665F5">
      <w:pPr>
        <w:numPr>
          <w:ilvl w:val="12"/>
          <w:numId w:val="0"/>
        </w:numPr>
        <w:tabs>
          <w:tab w:val="left" w:pos="-2268"/>
        </w:tabs>
        <w:suppressAutoHyphens/>
        <w:rPr>
          <w:rFonts w:cs="Arial"/>
          <w:spacing w:val="-3"/>
        </w:rPr>
      </w:pPr>
    </w:p>
    <w:p w14:paraId="5C78A863" w14:textId="0CBF459F" w:rsidR="00076F22" w:rsidRPr="00BD1319" w:rsidRDefault="00076F22">
      <w:pPr>
        <w:rPr>
          <w:rFonts w:eastAsia="Arial" w:cs="Arial"/>
        </w:rPr>
      </w:pPr>
      <w:r w:rsidRPr="00BD1319">
        <w:t xml:space="preserve">Se deben identificar las amenazas </w:t>
      </w:r>
      <w:r w:rsidR="00D42FBC" w:rsidRPr="00BD1319">
        <w:t xml:space="preserve">de origen exógeno y </w:t>
      </w:r>
      <w:r w:rsidRPr="00BD1319">
        <w:t>endógen</w:t>
      </w:r>
      <w:r w:rsidR="00D42FBC" w:rsidRPr="00BD1319">
        <w:t>o</w:t>
      </w:r>
      <w:r w:rsidRPr="00BD1319">
        <w:t xml:space="preserve"> </w:t>
      </w:r>
      <w:r w:rsidR="005D4442" w:rsidRPr="00BD1319">
        <w:t>para</w:t>
      </w:r>
      <w:r w:rsidR="00445A18" w:rsidRPr="00BD1319">
        <w:t xml:space="preserve"> </w:t>
      </w:r>
      <w:r w:rsidRPr="00BD1319">
        <w:t>cada una de las fases del proyecto</w:t>
      </w:r>
      <w:r w:rsidR="00311679" w:rsidRPr="00BD1319">
        <w:t>,</w:t>
      </w:r>
      <w:r w:rsidRPr="00BD1319">
        <w:t xml:space="preserve"> </w:t>
      </w:r>
      <w:r w:rsidRPr="00BD1319">
        <w:rPr>
          <w:rFonts w:cs="Arial"/>
        </w:rPr>
        <w:t>obra o actividad</w:t>
      </w:r>
      <w:r w:rsidRPr="00BD1319">
        <w:t xml:space="preserve"> que puedan generar </w:t>
      </w:r>
      <w:r w:rsidR="00D42FBC" w:rsidRPr="00BD1319">
        <w:t xml:space="preserve">probable </w:t>
      </w:r>
      <w:r w:rsidRPr="00BD1319">
        <w:rPr>
          <w:rFonts w:cs="Arial"/>
        </w:rPr>
        <w:t>afectación</w:t>
      </w:r>
      <w:r w:rsidRPr="00BD1319">
        <w:t xml:space="preserve"> sobre los elementos expuestos.</w:t>
      </w:r>
      <w:r w:rsidR="006F6FDA" w:rsidRPr="00BD1319">
        <w:rPr>
          <w:rFonts w:eastAsia="Arial" w:cs="Arial"/>
        </w:rPr>
        <w:t xml:space="preserve"> </w:t>
      </w:r>
      <w:r w:rsidR="001E67A2" w:rsidRPr="00BD1319">
        <w:rPr>
          <w:rFonts w:eastAsia="Arial" w:cs="Arial"/>
        </w:rPr>
        <w:t xml:space="preserve">Se </w:t>
      </w:r>
      <w:r w:rsidR="006F6FDA" w:rsidRPr="00BD1319">
        <w:rPr>
          <w:rFonts w:eastAsia="Arial" w:cs="Arial"/>
        </w:rPr>
        <w:t>debe</w:t>
      </w:r>
      <w:r w:rsidR="001E67A2" w:rsidRPr="00BD1319">
        <w:rPr>
          <w:rFonts w:eastAsia="Arial" w:cs="Arial"/>
        </w:rPr>
        <w:t>n</w:t>
      </w:r>
      <w:r w:rsidR="006F6FDA" w:rsidRPr="00BD1319">
        <w:rPr>
          <w:rFonts w:eastAsia="Arial" w:cs="Arial"/>
        </w:rPr>
        <w:t xml:space="preserve"> </w:t>
      </w:r>
      <w:r w:rsidRPr="00BD1319">
        <w:rPr>
          <w:rFonts w:eastAsia="Arial" w:cs="Arial"/>
        </w:rPr>
        <w:t>considerar</w:t>
      </w:r>
      <w:r w:rsidR="006F6FDA" w:rsidRPr="00BD1319">
        <w:rPr>
          <w:rFonts w:eastAsia="Arial" w:cs="Arial"/>
        </w:rPr>
        <w:t xml:space="preserve"> </w:t>
      </w:r>
      <w:r w:rsidR="005D4442" w:rsidRPr="00BD1319">
        <w:rPr>
          <w:rFonts w:eastAsia="Arial" w:cs="Arial"/>
        </w:rPr>
        <w:t>las</w:t>
      </w:r>
      <w:r w:rsidR="006F6FDA" w:rsidRPr="00BD1319">
        <w:rPr>
          <w:rFonts w:eastAsia="Arial" w:cs="Arial"/>
        </w:rPr>
        <w:t xml:space="preserve"> siguiente</w:t>
      </w:r>
      <w:r w:rsidR="001E67A2" w:rsidRPr="00BD1319">
        <w:rPr>
          <w:rFonts w:eastAsia="Arial" w:cs="Arial"/>
        </w:rPr>
        <w:t>s amenazas</w:t>
      </w:r>
      <w:r w:rsidRPr="00BD1319">
        <w:rPr>
          <w:rFonts w:eastAsia="Arial" w:cs="Arial"/>
        </w:rPr>
        <w:t>:</w:t>
      </w:r>
    </w:p>
    <w:p w14:paraId="1BE0B350" w14:textId="77777777" w:rsidR="00076F22" w:rsidRPr="00BD1319" w:rsidRDefault="00076F22">
      <w:pPr>
        <w:rPr>
          <w:rFonts w:eastAsia="Arial" w:cs="Arial"/>
        </w:rPr>
      </w:pPr>
    </w:p>
    <w:p w14:paraId="65EE1D36" w14:textId="20DE9C70" w:rsidR="005D4442" w:rsidRPr="00BD1319" w:rsidRDefault="005D4442" w:rsidP="008A4FE9">
      <w:pPr>
        <w:pStyle w:val="Prrafodelista"/>
        <w:numPr>
          <w:ilvl w:val="0"/>
          <w:numId w:val="47"/>
        </w:numPr>
        <w:ind w:left="567" w:hanging="567"/>
        <w:contextualSpacing/>
        <w:rPr>
          <w:rFonts w:cs="Arial"/>
        </w:rPr>
      </w:pPr>
      <w:r w:rsidRPr="00BD1319">
        <w:rPr>
          <w:rFonts w:cs="Arial"/>
          <w:lang w:val="es-CO"/>
        </w:rPr>
        <w:t xml:space="preserve">Amenazas de </w:t>
      </w:r>
      <w:proofErr w:type="gramStart"/>
      <w:r w:rsidRPr="00BD1319">
        <w:rPr>
          <w:rFonts w:cs="Arial"/>
          <w:lang w:val="es-CO"/>
        </w:rPr>
        <w:t>origen natural y socio natural</w:t>
      </w:r>
      <w:proofErr w:type="gramEnd"/>
      <w:r w:rsidRPr="00BD1319">
        <w:rPr>
          <w:rFonts w:cs="Arial"/>
          <w:lang w:val="es-CO"/>
        </w:rPr>
        <w:t>, considerando</w:t>
      </w:r>
      <w:r w:rsidR="008539E1" w:rsidRPr="00BD1319">
        <w:rPr>
          <w:rFonts w:cs="Arial"/>
          <w:lang w:val="es-CO"/>
        </w:rPr>
        <w:t xml:space="preserve"> los escenarios exacerbados </w:t>
      </w:r>
      <w:r w:rsidRPr="00BD1319">
        <w:rPr>
          <w:rFonts w:cs="Arial"/>
          <w:lang w:val="es-CO"/>
        </w:rPr>
        <w:t xml:space="preserve">por la variabilidad climática que puedan generar probables afectaciones sobre el proyecto, obra o actividad, de acuerdo con el contexto </w:t>
      </w:r>
      <w:r w:rsidR="00096E37" w:rsidRPr="00BD1319">
        <w:rPr>
          <w:rFonts w:cs="Arial"/>
          <w:lang w:val="es-CO"/>
        </w:rPr>
        <w:t>externo</w:t>
      </w:r>
      <w:r w:rsidRPr="00BD1319">
        <w:rPr>
          <w:rFonts w:cs="Arial"/>
          <w:lang w:val="es-CO"/>
        </w:rPr>
        <w:t xml:space="preserve"> del territorio.</w:t>
      </w:r>
    </w:p>
    <w:p w14:paraId="1E155A31" w14:textId="77777777" w:rsidR="003665F5" w:rsidRPr="00BD1319" w:rsidRDefault="003665F5" w:rsidP="008A4FE9">
      <w:pPr>
        <w:contextualSpacing/>
        <w:rPr>
          <w:rFonts w:eastAsiaTheme="minorEastAsia" w:cs="Arial"/>
        </w:rPr>
      </w:pPr>
    </w:p>
    <w:p w14:paraId="7129222C" w14:textId="1F89EBEB" w:rsidR="00076F22" w:rsidRPr="00BD1319" w:rsidRDefault="005D4442">
      <w:pPr>
        <w:pStyle w:val="Prrafodelista"/>
        <w:numPr>
          <w:ilvl w:val="0"/>
          <w:numId w:val="47"/>
        </w:numPr>
        <w:ind w:left="567" w:hanging="567"/>
        <w:contextualSpacing/>
        <w:rPr>
          <w:rFonts w:eastAsiaTheme="minorEastAsia" w:cs="Arial"/>
          <w:lang w:val="es-CO"/>
        </w:rPr>
      </w:pPr>
      <w:r w:rsidRPr="00BD1319">
        <w:rPr>
          <w:rFonts w:cs="Arial"/>
          <w:lang w:val="es-CO"/>
        </w:rPr>
        <w:t>A</w:t>
      </w:r>
      <w:r w:rsidR="00076F22" w:rsidRPr="00BD1319">
        <w:rPr>
          <w:rFonts w:cs="Arial"/>
          <w:lang w:val="es-CO"/>
        </w:rPr>
        <w:t>menaza</w:t>
      </w:r>
      <w:r w:rsidRPr="00BD1319">
        <w:rPr>
          <w:rFonts w:cs="Arial"/>
          <w:lang w:val="es-CO"/>
        </w:rPr>
        <w:t>s</w:t>
      </w:r>
      <w:r w:rsidR="00076F22" w:rsidRPr="00BD1319">
        <w:rPr>
          <w:rFonts w:cs="Arial"/>
          <w:lang w:val="es-CO"/>
        </w:rPr>
        <w:t xml:space="preserve"> de origen antrópico intencional o no intencional que </w:t>
      </w:r>
      <w:r w:rsidRPr="00BD1319">
        <w:rPr>
          <w:rFonts w:cs="Arial"/>
          <w:lang w:val="es-CO"/>
        </w:rPr>
        <w:t>puedan generar probables afectaciones sobre e</w:t>
      </w:r>
      <w:r w:rsidR="00076F22" w:rsidRPr="00BD1319">
        <w:rPr>
          <w:rFonts w:cs="Arial"/>
          <w:lang w:val="es-CO"/>
        </w:rPr>
        <w:t>l proyecto</w:t>
      </w:r>
      <w:r w:rsidR="00311679" w:rsidRPr="00BD1319">
        <w:rPr>
          <w:spacing w:val="-3"/>
          <w:lang w:val="es-CO"/>
        </w:rPr>
        <w:t>, obra o actividad</w:t>
      </w:r>
      <w:r w:rsidRPr="00BD1319">
        <w:rPr>
          <w:rFonts w:cs="Arial"/>
          <w:lang w:val="es-CO"/>
        </w:rPr>
        <w:t>, de acuerdo con el contexto regional del territorio</w:t>
      </w:r>
      <w:r w:rsidR="00076F22" w:rsidRPr="00BD1319">
        <w:rPr>
          <w:rFonts w:cs="Arial"/>
          <w:lang w:val="es-CO"/>
        </w:rPr>
        <w:t>.</w:t>
      </w:r>
    </w:p>
    <w:p w14:paraId="76591A61" w14:textId="77777777" w:rsidR="003665F5" w:rsidRPr="00BD1319" w:rsidRDefault="003665F5" w:rsidP="009420F5">
      <w:pPr>
        <w:rPr>
          <w:rFonts w:eastAsiaTheme="minorEastAsia" w:cs="Arial"/>
        </w:rPr>
      </w:pPr>
    </w:p>
    <w:p w14:paraId="5210F675" w14:textId="450A5353" w:rsidR="00076F22" w:rsidRPr="00BD1319" w:rsidRDefault="005D4442" w:rsidP="00C86DA5">
      <w:pPr>
        <w:pStyle w:val="Prrafodelista"/>
        <w:numPr>
          <w:ilvl w:val="0"/>
          <w:numId w:val="47"/>
        </w:numPr>
        <w:ind w:left="567" w:hanging="567"/>
        <w:contextualSpacing/>
        <w:rPr>
          <w:rFonts w:eastAsiaTheme="minorEastAsia"/>
          <w:lang w:val="es-CO"/>
        </w:rPr>
      </w:pPr>
      <w:r w:rsidRPr="00BD1319">
        <w:rPr>
          <w:rFonts w:cs="Arial"/>
          <w:lang w:val="es-CO"/>
        </w:rPr>
        <w:t>Amenazas de origen endógeno generadas por las actividades del proyecto, obra o actividad que puedan generar probables afectaciones sobre los elementos del ambiente y los ecosistemas y sus servicios</w:t>
      </w:r>
      <w:r w:rsidR="00076F22" w:rsidRPr="00BD1319">
        <w:rPr>
          <w:rFonts w:cs="Arial"/>
          <w:lang w:val="es-CO"/>
        </w:rPr>
        <w:t>.</w:t>
      </w:r>
    </w:p>
    <w:p w14:paraId="1B3A9190" w14:textId="77777777" w:rsidR="003665F5" w:rsidRPr="00BD1319" w:rsidRDefault="003665F5" w:rsidP="00C86DA5">
      <w:pPr>
        <w:pStyle w:val="Prrafodelista"/>
        <w:ind w:left="567" w:hanging="567"/>
        <w:contextualSpacing/>
        <w:rPr>
          <w:rFonts w:eastAsiaTheme="minorEastAsia"/>
          <w:lang w:val="es-CO"/>
        </w:rPr>
      </w:pPr>
    </w:p>
    <w:p w14:paraId="6FCBC5BC" w14:textId="70A43637" w:rsidR="00076F22" w:rsidRPr="00BD1319" w:rsidRDefault="005D4442">
      <w:pPr>
        <w:pStyle w:val="Prrafodelista"/>
        <w:numPr>
          <w:ilvl w:val="0"/>
          <w:numId w:val="47"/>
        </w:numPr>
        <w:ind w:left="567" w:hanging="567"/>
        <w:contextualSpacing/>
        <w:rPr>
          <w:rFonts w:eastAsiaTheme="minorEastAsia" w:cs="Arial"/>
          <w:lang w:val="es-CO"/>
        </w:rPr>
      </w:pPr>
      <w:r w:rsidRPr="00BD1319">
        <w:rPr>
          <w:rFonts w:cs="Arial"/>
          <w:lang w:val="es-CO"/>
        </w:rPr>
        <w:t>Amenazas de origen endógeno cuyos desencadenantes sean de origen exógeno</w:t>
      </w:r>
      <w:r w:rsidR="00076F22" w:rsidRPr="00BD1319">
        <w:rPr>
          <w:rFonts w:cs="Arial"/>
          <w:lang w:val="es-CO"/>
        </w:rPr>
        <w:t>.</w:t>
      </w:r>
    </w:p>
    <w:p w14:paraId="30EF1130" w14:textId="77777777" w:rsidR="003665F5" w:rsidRPr="00BD1319" w:rsidRDefault="003665F5" w:rsidP="00C86DA5">
      <w:pPr>
        <w:pStyle w:val="Prrafodelista"/>
        <w:ind w:left="567" w:hanging="567"/>
        <w:contextualSpacing/>
        <w:rPr>
          <w:rFonts w:eastAsiaTheme="minorEastAsia" w:cs="Arial"/>
          <w:lang w:val="es-CO"/>
        </w:rPr>
      </w:pPr>
    </w:p>
    <w:p w14:paraId="46CAE4E7" w14:textId="5CEEAC53" w:rsidR="005D4442" w:rsidRPr="00BD1319" w:rsidRDefault="005D4442" w:rsidP="008A4FE9">
      <w:pPr>
        <w:pStyle w:val="Prrafodelista"/>
        <w:ind w:left="0"/>
        <w:contextualSpacing/>
        <w:rPr>
          <w:lang w:val="es-CO"/>
        </w:rPr>
      </w:pPr>
      <w:r w:rsidRPr="00BD1319">
        <w:rPr>
          <w:rFonts w:cs="Arial"/>
        </w:rPr>
        <w:t xml:space="preserve">Este proceso de identificación, caracterización, análisis y evaluación de </w:t>
      </w:r>
      <w:proofErr w:type="gramStart"/>
      <w:r w:rsidRPr="00BD1319">
        <w:rPr>
          <w:rFonts w:cs="Arial"/>
        </w:rPr>
        <w:t>amenazas</w:t>
      </w:r>
      <w:r w:rsidR="005A313A" w:rsidRPr="00BD1319">
        <w:rPr>
          <w:rFonts w:cs="Arial"/>
        </w:rPr>
        <w:t>,</w:t>
      </w:r>
      <w:proofErr w:type="gramEnd"/>
      <w:r w:rsidRPr="00BD1319">
        <w:rPr>
          <w:rFonts w:cs="Arial"/>
        </w:rPr>
        <w:t xml:space="preserve"> debe considerar posibles causas y frecuencias de falla</w:t>
      </w:r>
      <w:r w:rsidR="005A313A" w:rsidRPr="00BD1319">
        <w:rPr>
          <w:rFonts w:cs="Arial"/>
        </w:rPr>
        <w:t xml:space="preserve">, empleando para ello </w:t>
      </w:r>
      <w:r w:rsidRPr="00BD1319">
        <w:rPr>
          <w:rFonts w:cs="Arial"/>
        </w:rPr>
        <w:t xml:space="preserve">fuentes de información verificables que documenten experiencias del ámbito nacional </w:t>
      </w:r>
      <w:r w:rsidR="003F6265" w:rsidRPr="00BD1319">
        <w:rPr>
          <w:rFonts w:cs="Arial"/>
        </w:rPr>
        <w:t>(</w:t>
      </w:r>
      <w:r w:rsidRPr="00BD1319">
        <w:rPr>
          <w:rFonts w:cs="Arial"/>
        </w:rPr>
        <w:t>o internacional</w:t>
      </w:r>
      <w:r w:rsidR="005A313A" w:rsidRPr="00BD1319">
        <w:rPr>
          <w:rFonts w:cs="Arial"/>
        </w:rPr>
        <w:t>,</w:t>
      </w:r>
      <w:r w:rsidRPr="00BD1319">
        <w:rPr>
          <w:rFonts w:cs="Arial"/>
        </w:rPr>
        <w:t xml:space="preserve"> en caso de no contar con información nacional</w:t>
      </w:r>
      <w:r w:rsidR="003F6265" w:rsidRPr="00BD1319">
        <w:rPr>
          <w:rFonts w:cs="Arial"/>
        </w:rPr>
        <w:t>)</w:t>
      </w:r>
      <w:r w:rsidRPr="00BD1319">
        <w:rPr>
          <w:rFonts w:cs="Arial"/>
        </w:rPr>
        <w:t>.</w:t>
      </w:r>
    </w:p>
    <w:p w14:paraId="54CD50EE" w14:textId="6F97FD88" w:rsidR="00076F22" w:rsidRPr="00BD1319" w:rsidRDefault="00076F22" w:rsidP="00C86DA5"/>
    <w:p w14:paraId="255C6CA1" w14:textId="4B55C94A" w:rsidR="00076F22" w:rsidRPr="00BD1319" w:rsidRDefault="00076F22" w:rsidP="006052B3">
      <w:pPr>
        <w:numPr>
          <w:ilvl w:val="0"/>
          <w:numId w:val="586"/>
        </w:numPr>
        <w:tabs>
          <w:tab w:val="left" w:pos="-2268"/>
        </w:tabs>
        <w:suppressAutoHyphens/>
        <w:ind w:left="567" w:hanging="567"/>
        <w:rPr>
          <w:b/>
          <w:i/>
          <w:spacing w:val="-3"/>
          <w:u w:val="single"/>
        </w:rPr>
      </w:pPr>
      <w:r w:rsidRPr="00BD1319">
        <w:rPr>
          <w:b/>
          <w:i/>
          <w:spacing w:val="-3"/>
          <w:u w:val="single"/>
        </w:rPr>
        <w:t xml:space="preserve">Estimación de áreas de </w:t>
      </w:r>
      <w:r w:rsidR="00AD4C1A" w:rsidRPr="00BD1319">
        <w:rPr>
          <w:b/>
          <w:bCs/>
          <w:i/>
          <w:iCs/>
          <w:spacing w:val="-3"/>
          <w:u w:val="single"/>
        </w:rPr>
        <w:t xml:space="preserve">amenaza y de probable </w:t>
      </w:r>
      <w:r w:rsidRPr="00BD1319">
        <w:rPr>
          <w:b/>
          <w:i/>
          <w:spacing w:val="-3"/>
          <w:u w:val="single"/>
        </w:rPr>
        <w:t>afectación</w:t>
      </w:r>
    </w:p>
    <w:p w14:paraId="65C00FE3" w14:textId="77777777" w:rsidR="00076F22" w:rsidRPr="00BD1319" w:rsidRDefault="00076F22" w:rsidP="00C86DA5"/>
    <w:p w14:paraId="68AD7566" w14:textId="03BC20AA" w:rsidR="00AD4C1A" w:rsidRPr="00BD1319" w:rsidRDefault="00076F22" w:rsidP="00C86DA5">
      <w:r w:rsidRPr="00BD1319">
        <w:t xml:space="preserve">Se deben </w:t>
      </w:r>
      <w:r w:rsidR="00AD4C1A" w:rsidRPr="00BD1319">
        <w:t xml:space="preserve">delimitar </w:t>
      </w:r>
      <w:r w:rsidRPr="00BD1319">
        <w:t xml:space="preserve">las áreas </w:t>
      </w:r>
      <w:r w:rsidR="00AD4C1A" w:rsidRPr="00BD1319">
        <w:t xml:space="preserve">de las amenazas de origen exógeno y las áreas de probable </w:t>
      </w:r>
      <w:r w:rsidRPr="00BD1319">
        <w:t xml:space="preserve">afectación para </w:t>
      </w:r>
      <w:r w:rsidR="00AD4C1A" w:rsidRPr="00BD1319">
        <w:t>las amenazas de origen endógeno que fueron analizadas según lo expuesto en el literal a).</w:t>
      </w:r>
    </w:p>
    <w:p w14:paraId="5199EA1D" w14:textId="1B62491D" w:rsidR="00AD4C1A" w:rsidRPr="00BD1319" w:rsidRDefault="00AD4C1A" w:rsidP="00C86DA5"/>
    <w:p w14:paraId="142E6889" w14:textId="21163BDF" w:rsidR="00076F22" w:rsidRPr="00BD1319" w:rsidRDefault="00AF05DE" w:rsidP="00C86DA5">
      <w:r w:rsidRPr="00BD1319">
        <w:lastRenderedPageBreak/>
        <w:t xml:space="preserve">La definición de </w:t>
      </w:r>
      <w:r w:rsidR="008F1B2F" w:rsidRPr="00BD1319">
        <w:t xml:space="preserve">áreas de amenaza y de sus </w:t>
      </w:r>
      <w:r w:rsidRPr="00BD1319">
        <w:t>escenarios de riesgo</w:t>
      </w:r>
      <w:r w:rsidR="008F1B2F" w:rsidRPr="00BD1319">
        <w:t>, así como</w:t>
      </w:r>
      <w:r w:rsidRPr="00BD1319">
        <w:t xml:space="preserve"> la identificación de áreas de probable afectación p</w:t>
      </w:r>
      <w:r w:rsidR="00B84B20" w:rsidRPr="00BD1319">
        <w:t>ara</w:t>
      </w:r>
      <w:r w:rsidR="0092227D" w:rsidRPr="00BD1319">
        <w:t xml:space="preserve"> aquellos proyectos</w:t>
      </w:r>
      <w:r w:rsidR="00445A18" w:rsidRPr="00BD1319">
        <w:t>, obras o actividades</w:t>
      </w:r>
      <w:r w:rsidR="0092227D" w:rsidRPr="00BD1319">
        <w:t xml:space="preserve"> </w:t>
      </w:r>
      <w:r w:rsidR="009C241F" w:rsidRPr="00BD1319">
        <w:t xml:space="preserve">en los cuales </w:t>
      </w:r>
      <w:r w:rsidR="0092227D" w:rsidRPr="00BD1319">
        <w:t>se descono</w:t>
      </w:r>
      <w:r w:rsidR="00B84B20" w:rsidRPr="00BD1319">
        <w:t>ce</w:t>
      </w:r>
      <w:r w:rsidR="0092227D" w:rsidRPr="00BD1319">
        <w:t xml:space="preserve"> la ubicación exacta de la infraestructura a construir, se </w:t>
      </w:r>
      <w:r w:rsidR="00445A18" w:rsidRPr="00BD1319">
        <w:t>debe</w:t>
      </w:r>
      <w:r w:rsidR="004D0988" w:rsidRPr="00BD1319">
        <w:t xml:space="preserve"> </w:t>
      </w:r>
      <w:r w:rsidR="009C241F" w:rsidRPr="00BD1319">
        <w:t xml:space="preserve">efectuar </w:t>
      </w:r>
      <w:r w:rsidR="004D0988" w:rsidRPr="00BD1319">
        <w:t>considera</w:t>
      </w:r>
      <w:r w:rsidR="009C241F" w:rsidRPr="00BD1319">
        <w:t xml:space="preserve">ndo </w:t>
      </w:r>
      <w:r w:rsidR="004D0988" w:rsidRPr="00BD1319">
        <w:t xml:space="preserve">la zonificación ambiental y las características </w:t>
      </w:r>
      <w:r w:rsidR="004F543C" w:rsidRPr="00BD1319">
        <w:t xml:space="preserve">particulares </w:t>
      </w:r>
      <w:r w:rsidR="004D0988" w:rsidRPr="00BD1319">
        <w:t xml:space="preserve">de las actividades a desarrollar. </w:t>
      </w:r>
      <w:r w:rsidR="004F543C" w:rsidRPr="00BD1319">
        <w:t xml:space="preserve">Si se otorga la licencia ambiental, </w:t>
      </w:r>
      <w:r w:rsidR="00AC75C9" w:rsidRPr="00BD1319">
        <w:t xml:space="preserve">al </w:t>
      </w:r>
      <w:r w:rsidR="004D0988" w:rsidRPr="00BD1319">
        <w:t>defin</w:t>
      </w:r>
      <w:r w:rsidR="00AC75C9" w:rsidRPr="00BD1319">
        <w:t xml:space="preserve">ir </w:t>
      </w:r>
      <w:r w:rsidR="004D0988" w:rsidRPr="00BD1319">
        <w:t>la ubicación de la infraestructura a construir</w:t>
      </w:r>
      <w:r w:rsidR="00AC75C9" w:rsidRPr="00BD1319">
        <w:t>,</w:t>
      </w:r>
      <w:r w:rsidR="004D0988" w:rsidRPr="00BD1319">
        <w:t xml:space="preserve"> se deben </w:t>
      </w:r>
      <w:r w:rsidR="00A93F8E" w:rsidRPr="00BD1319">
        <w:t xml:space="preserve">no sólo </w:t>
      </w:r>
      <w:r w:rsidR="004D0988" w:rsidRPr="00BD1319">
        <w:t xml:space="preserve">ajustar las áreas de probable afectación </w:t>
      </w:r>
      <w:r w:rsidR="004F543C" w:rsidRPr="00BD1319">
        <w:t xml:space="preserve">y </w:t>
      </w:r>
      <w:r w:rsidR="004D0988" w:rsidRPr="00BD1319">
        <w:t>los escenarios de riesgo aplicables</w:t>
      </w:r>
      <w:r w:rsidR="00A93F8E" w:rsidRPr="00BD1319">
        <w:t>, sino también</w:t>
      </w:r>
      <w:r w:rsidR="004D0988" w:rsidRPr="00BD1319">
        <w:t xml:space="preserve"> </w:t>
      </w:r>
      <w:r w:rsidR="00AC75C9" w:rsidRPr="00BD1319">
        <w:t>presentar</w:t>
      </w:r>
      <w:r w:rsidR="00A93F8E" w:rsidRPr="00BD1319">
        <w:t>los</w:t>
      </w:r>
      <w:r w:rsidR="00AC75C9" w:rsidRPr="00BD1319">
        <w:t xml:space="preserve"> ante la autoridad ambiental mediante los informes de cumplimiento ambiental</w:t>
      </w:r>
      <w:r w:rsidR="0092227D" w:rsidRPr="00BD1319">
        <w:t>.</w:t>
      </w:r>
    </w:p>
    <w:p w14:paraId="536D06EA" w14:textId="77777777" w:rsidR="00076F22" w:rsidRPr="00BD1319" w:rsidRDefault="00076F22" w:rsidP="00C86DA5"/>
    <w:p w14:paraId="18AF3339" w14:textId="0D64CC84" w:rsidR="00076F22" w:rsidRPr="00BD1319" w:rsidRDefault="00E03A47">
      <w:pPr>
        <w:rPr>
          <w:rFonts w:cs="Arial"/>
        </w:rPr>
      </w:pPr>
      <w:r w:rsidRPr="00BD1319">
        <w:rPr>
          <w:rFonts w:cs="Arial"/>
        </w:rPr>
        <w:t xml:space="preserve">Las </w:t>
      </w:r>
      <w:hyperlink r:id="rId72" w:history="1">
        <w:r w:rsidRPr="00BD1319">
          <w:rPr>
            <w:rFonts w:cs="Arial"/>
          </w:rPr>
          <w:t>metodologías</w:t>
        </w:r>
      </w:hyperlink>
      <w:r w:rsidRPr="00BD1319">
        <w:rPr>
          <w:rFonts w:cs="Arial"/>
        </w:rPr>
        <w:t xml:space="preserve"> para la definición de las áreas de amenaza y de probable afectación deben ser sistemáticas, exhaustivas, repetibles y verificables, así como probadas y reconocidas internacional o nacionalmente. Se debe presentar una descripción y justificación de los </w:t>
      </w:r>
      <w:hyperlink r:id="rId73" w:history="1">
        <w:r w:rsidRPr="00BD1319">
          <w:rPr>
            <w:rFonts w:cs="Arial"/>
          </w:rPr>
          <w:t>métodos de cálculo</w:t>
        </w:r>
      </w:hyperlink>
      <w:r w:rsidRPr="00BD1319">
        <w:rPr>
          <w:rFonts w:cs="Arial"/>
        </w:rPr>
        <w:t xml:space="preserve"> empleados y los criterios e hipótesis asumidas en éstos. Asimismo, los resultados de aplicación de tales metodologías deben integrarse a las capas del modelo de almacenamiento geográfico.</w:t>
      </w:r>
    </w:p>
    <w:p w14:paraId="144CE0FC" w14:textId="77777777" w:rsidR="00076F22" w:rsidRPr="00BD1319" w:rsidRDefault="00076F22">
      <w:pPr>
        <w:rPr>
          <w:rFonts w:cs="Arial"/>
        </w:rPr>
      </w:pPr>
    </w:p>
    <w:p w14:paraId="645FDDC4" w14:textId="69B2D6BA" w:rsidR="00076F22" w:rsidRPr="00BD1319" w:rsidRDefault="00E772EC">
      <w:pPr>
        <w:rPr>
          <w:rFonts w:cs="Arial"/>
        </w:rPr>
      </w:pPr>
      <w:r w:rsidRPr="00BD1319">
        <w:rPr>
          <w:rFonts w:cs="Arial"/>
        </w:rPr>
        <w:t>Asimismo, e</w:t>
      </w:r>
      <w:r w:rsidR="00076F22" w:rsidRPr="00BD1319">
        <w:rPr>
          <w:rFonts w:cs="Arial"/>
        </w:rPr>
        <w:t xml:space="preserve">s necesario tener en cuenta aquellos eventos que puedan producirse por </w:t>
      </w:r>
      <w:r w:rsidR="005B62A0" w:rsidRPr="00BD1319">
        <w:rPr>
          <w:rFonts w:cs="Arial"/>
        </w:rPr>
        <w:t xml:space="preserve">eventos concatenados y por </w:t>
      </w:r>
      <w:hyperlink r:id="rId74" w:history="1">
        <w:r w:rsidR="00076F22" w:rsidRPr="00BD1319">
          <w:rPr>
            <w:rFonts w:cs="Arial"/>
          </w:rPr>
          <w:t>efecto dominó</w:t>
        </w:r>
      </w:hyperlink>
      <w:r w:rsidR="00076F22" w:rsidRPr="00BD1319">
        <w:rPr>
          <w:rFonts w:cs="Arial"/>
        </w:rPr>
        <w:t xml:space="preserve"> que </w:t>
      </w:r>
      <w:r w:rsidR="001E67A2" w:rsidRPr="00BD1319">
        <w:rPr>
          <w:rFonts w:cs="Arial"/>
        </w:rPr>
        <w:t xml:space="preserve">produzcan </w:t>
      </w:r>
      <w:r w:rsidR="0092227D" w:rsidRPr="00BD1319">
        <w:rPr>
          <w:rFonts w:cs="Arial"/>
        </w:rPr>
        <w:t xml:space="preserve">afectaciones </w:t>
      </w:r>
      <w:r w:rsidR="00076F22" w:rsidRPr="00BD1319">
        <w:rPr>
          <w:rFonts w:cs="Arial"/>
        </w:rPr>
        <w:t>ambientales.</w:t>
      </w:r>
      <w:r w:rsidR="00867579" w:rsidRPr="00BD1319">
        <w:rPr>
          <w:rFonts w:cs="Arial"/>
        </w:rPr>
        <w:t xml:space="preserve"> Algunos de estos eventos entran en la categoría de eventos NATECH, eventos de origen natural que desencadenan accidentes tecnológicos y se derivan del acrónimo en inglés, Natural </w:t>
      </w:r>
      <w:proofErr w:type="spellStart"/>
      <w:r w:rsidR="00867579" w:rsidRPr="00BD1319">
        <w:rPr>
          <w:rFonts w:cs="Arial"/>
        </w:rPr>
        <w:t>hazard-triggered</w:t>
      </w:r>
      <w:proofErr w:type="spellEnd"/>
      <w:r w:rsidR="00867579" w:rsidRPr="00BD1319">
        <w:rPr>
          <w:rFonts w:cs="Arial"/>
        </w:rPr>
        <w:t xml:space="preserve"> </w:t>
      </w:r>
      <w:proofErr w:type="spellStart"/>
      <w:r w:rsidR="00867579" w:rsidRPr="00BD1319">
        <w:rPr>
          <w:rFonts w:cs="Arial"/>
        </w:rPr>
        <w:t>Technological</w:t>
      </w:r>
      <w:proofErr w:type="spellEnd"/>
      <w:r w:rsidR="00867579" w:rsidRPr="00BD1319">
        <w:rPr>
          <w:rFonts w:cs="Arial"/>
        </w:rPr>
        <w:t xml:space="preserve"> </w:t>
      </w:r>
      <w:proofErr w:type="spellStart"/>
      <w:r w:rsidR="00867579" w:rsidRPr="00BD1319">
        <w:rPr>
          <w:rFonts w:cs="Arial"/>
        </w:rPr>
        <w:t>accidents</w:t>
      </w:r>
      <w:proofErr w:type="spellEnd"/>
      <w:r w:rsidR="00867579" w:rsidRPr="00BD1319">
        <w:rPr>
          <w:rFonts w:cs="Arial"/>
        </w:rPr>
        <w:t xml:space="preserve"> (Cruz et al., 2004; Showalter &amp; Myers, 1994)</w:t>
      </w:r>
      <w:r w:rsidR="00CD63B8" w:rsidRPr="00BD1319">
        <w:rPr>
          <w:rFonts w:cs="Arial"/>
        </w:rPr>
        <w:t>; éstos, s</w:t>
      </w:r>
      <w:r w:rsidR="00867579" w:rsidRPr="00BD1319">
        <w:rPr>
          <w:rFonts w:cs="Arial"/>
        </w:rPr>
        <w:t xml:space="preserve">on considerados eventos de baja </w:t>
      </w:r>
      <w:proofErr w:type="gramStart"/>
      <w:r w:rsidR="00867579" w:rsidRPr="00BD1319">
        <w:rPr>
          <w:rFonts w:cs="Arial"/>
        </w:rPr>
        <w:t>probabilidad</w:t>
      </w:r>
      <w:proofErr w:type="gramEnd"/>
      <w:r w:rsidR="00867579" w:rsidRPr="00BD1319">
        <w:rPr>
          <w:rFonts w:cs="Arial"/>
        </w:rPr>
        <w:t xml:space="preserve"> pero de muy alta consecuencia (</w:t>
      </w:r>
      <w:proofErr w:type="spellStart"/>
      <w:r w:rsidR="00867579" w:rsidRPr="00BD1319">
        <w:rPr>
          <w:rFonts w:cs="Arial"/>
        </w:rPr>
        <w:t>Cozzani</w:t>
      </w:r>
      <w:proofErr w:type="spellEnd"/>
      <w:r w:rsidR="00867579" w:rsidRPr="00BD1319">
        <w:rPr>
          <w:rFonts w:cs="Arial"/>
        </w:rPr>
        <w:t xml:space="preserve"> et al., 2014) y han sido catalogados como una amenaza silenciosa y potencialmente letal (</w:t>
      </w:r>
      <w:proofErr w:type="spellStart"/>
      <w:r w:rsidR="00867579" w:rsidRPr="00BD1319">
        <w:rPr>
          <w:rFonts w:cs="Arial"/>
        </w:rPr>
        <w:t>Khoirunissa</w:t>
      </w:r>
      <w:proofErr w:type="spellEnd"/>
      <w:r w:rsidR="00867579" w:rsidRPr="00BD1319">
        <w:rPr>
          <w:rFonts w:cs="Arial"/>
        </w:rPr>
        <w:t xml:space="preserve"> </w:t>
      </w:r>
      <w:proofErr w:type="spellStart"/>
      <w:r w:rsidR="00867579" w:rsidRPr="00BD1319">
        <w:rPr>
          <w:rFonts w:cs="Arial"/>
        </w:rPr>
        <w:t>Ariyanta</w:t>
      </w:r>
      <w:proofErr w:type="spellEnd"/>
      <w:r w:rsidR="00867579" w:rsidRPr="00BD1319">
        <w:rPr>
          <w:rFonts w:cs="Arial"/>
        </w:rPr>
        <w:t xml:space="preserve"> et al., 2019).</w:t>
      </w:r>
    </w:p>
    <w:p w14:paraId="5E732A0A" w14:textId="77777777" w:rsidR="003665F5" w:rsidRPr="00BD1319" w:rsidRDefault="003665F5">
      <w:pPr>
        <w:rPr>
          <w:rFonts w:cs="Arial"/>
        </w:rPr>
      </w:pPr>
    </w:p>
    <w:p w14:paraId="7A8822CF" w14:textId="3148B62B" w:rsidR="00076F22" w:rsidRPr="00BD1319" w:rsidRDefault="00076F22" w:rsidP="006052B3">
      <w:pPr>
        <w:numPr>
          <w:ilvl w:val="0"/>
          <w:numId w:val="586"/>
        </w:numPr>
        <w:tabs>
          <w:tab w:val="left" w:pos="-2268"/>
        </w:tabs>
        <w:suppressAutoHyphens/>
        <w:ind w:left="567" w:hanging="567"/>
        <w:rPr>
          <w:b/>
          <w:i/>
          <w:spacing w:val="-3"/>
          <w:u w:val="single"/>
        </w:rPr>
      </w:pPr>
      <w:r w:rsidRPr="00BD1319">
        <w:rPr>
          <w:b/>
          <w:i/>
          <w:spacing w:val="-3"/>
          <w:u w:val="single"/>
        </w:rPr>
        <w:t>Identificación de elementos expuestos</w:t>
      </w:r>
    </w:p>
    <w:p w14:paraId="53AC5702" w14:textId="77777777" w:rsidR="00076F22" w:rsidRPr="00BD1319" w:rsidRDefault="00076F22">
      <w:pPr>
        <w:rPr>
          <w:rFonts w:cs="Arial"/>
        </w:rPr>
      </w:pPr>
    </w:p>
    <w:p w14:paraId="0B1BBB00" w14:textId="3BFE2764" w:rsidR="00475A15" w:rsidRPr="00BD1319" w:rsidRDefault="00475A15" w:rsidP="00475A15">
      <w:pPr>
        <w:rPr>
          <w:rFonts w:cs="Arial"/>
        </w:rPr>
      </w:pPr>
      <w:r w:rsidRPr="00BD1319">
        <w:rPr>
          <w:rFonts w:cs="Arial"/>
        </w:rPr>
        <w:t xml:space="preserve">La identificación de elementos expuestos debe partir de la información de caracterización de los medios abiótico, biótico y socioeconómico y </w:t>
      </w:r>
      <w:r w:rsidR="00230762" w:rsidRPr="00BD1319">
        <w:rPr>
          <w:rFonts w:cs="Arial"/>
        </w:rPr>
        <w:t>de los ecosistemas y sus servicios</w:t>
      </w:r>
      <w:r w:rsidRPr="00BD1319">
        <w:rPr>
          <w:rFonts w:cs="Arial"/>
        </w:rPr>
        <w:t>, considerando entre otr</w:t>
      </w:r>
      <w:r w:rsidR="00230762" w:rsidRPr="00BD1319">
        <w:rPr>
          <w:rFonts w:cs="Arial"/>
        </w:rPr>
        <w:t>a,</w:t>
      </w:r>
      <w:r w:rsidRPr="00BD1319">
        <w:rPr>
          <w:rFonts w:cs="Arial"/>
        </w:rPr>
        <w:t xml:space="preserve"> </w:t>
      </w:r>
      <w:r w:rsidR="00230762" w:rsidRPr="00BD1319">
        <w:rPr>
          <w:rFonts w:cs="Arial"/>
        </w:rPr>
        <w:t xml:space="preserve">información sobre </w:t>
      </w:r>
      <w:r w:rsidRPr="00BD1319">
        <w:rPr>
          <w:rFonts w:cs="Arial"/>
        </w:rPr>
        <w:t>asentamientos humanos, infraestructura pública, infraestructura social, bienes de interés cultural, territorios colectivos, áreas destinadas a la producción económica (</w:t>
      </w:r>
      <w:r w:rsidR="00230762" w:rsidRPr="00BD1319">
        <w:rPr>
          <w:rFonts w:cs="Arial"/>
        </w:rPr>
        <w:t xml:space="preserve">p. ej. </w:t>
      </w:r>
      <w:r w:rsidRPr="00BD1319">
        <w:rPr>
          <w:rFonts w:cs="Arial"/>
        </w:rPr>
        <w:t>agropecuaria, forestal, pesquera, acuícola, minera), acuíferos, nacederos, aljibes, pozos, áreas ambiental</w:t>
      </w:r>
      <w:r w:rsidR="0086126A" w:rsidRPr="00BD1319">
        <w:rPr>
          <w:rFonts w:cs="Arial"/>
        </w:rPr>
        <w:t>es estratégicas</w:t>
      </w:r>
      <w:r w:rsidRPr="00BD1319">
        <w:rPr>
          <w:rFonts w:cs="Arial"/>
        </w:rPr>
        <w:t>, sitios de captación de agua, bocatomas, sistema de riego, áreas con reglamentación especial definida en los instrumentos de ordenamiento y planificación del territorio, especies de fauna y flora amenazada.</w:t>
      </w:r>
    </w:p>
    <w:p w14:paraId="41E1A8B2" w14:textId="77777777" w:rsidR="00475A15" w:rsidRPr="00BD1319" w:rsidRDefault="00475A15" w:rsidP="00475A15">
      <w:pPr>
        <w:rPr>
          <w:rFonts w:cs="Arial"/>
        </w:rPr>
      </w:pPr>
    </w:p>
    <w:p w14:paraId="09118943" w14:textId="1E9D590A" w:rsidR="00475A15" w:rsidRPr="00BD1319" w:rsidRDefault="00475A15" w:rsidP="00475A15">
      <w:pPr>
        <w:rPr>
          <w:rFonts w:cs="Arial"/>
        </w:rPr>
      </w:pPr>
      <w:r w:rsidRPr="00BD1319">
        <w:rPr>
          <w:rFonts w:cs="Arial"/>
        </w:rPr>
        <w:t>Se debe considerar que la infraestructura del proyecto, obra o actividad se constituye como elemento expuesto frente a las amenazas de origen exógeno.</w:t>
      </w:r>
    </w:p>
    <w:p w14:paraId="00CB8598" w14:textId="77777777" w:rsidR="00475A15" w:rsidRPr="00BD1319" w:rsidRDefault="00475A15" w:rsidP="00475A15">
      <w:pPr>
        <w:rPr>
          <w:rFonts w:cs="Arial"/>
        </w:rPr>
      </w:pPr>
    </w:p>
    <w:p w14:paraId="5C3625C2" w14:textId="1CE55A3E" w:rsidR="00475A15" w:rsidRPr="00BD1319" w:rsidRDefault="00230762" w:rsidP="00475A15">
      <w:pPr>
        <w:rPr>
          <w:rFonts w:cs="Arial"/>
        </w:rPr>
      </w:pPr>
      <w:r w:rsidRPr="00BD1319">
        <w:rPr>
          <w:rFonts w:cs="Arial"/>
        </w:rPr>
        <w:t>Los elementos expuestos deben representarse geográficamente e incorporarse a</w:t>
      </w:r>
      <w:r w:rsidR="00475A15" w:rsidRPr="00BD1319">
        <w:rPr>
          <w:rFonts w:cs="Arial"/>
        </w:rPr>
        <w:t>l modelo de almacenamiento geográfico.</w:t>
      </w:r>
    </w:p>
    <w:p w14:paraId="07E330BB" w14:textId="592F2230" w:rsidR="00076F22" w:rsidRPr="00BD1319" w:rsidRDefault="00076F22">
      <w:pPr>
        <w:rPr>
          <w:rFonts w:cs="Arial"/>
          <w:szCs w:val="20"/>
        </w:rPr>
      </w:pPr>
    </w:p>
    <w:p w14:paraId="45BE5764" w14:textId="653829B0" w:rsidR="00170F2D" w:rsidRPr="00BD1319" w:rsidRDefault="00170F2D" w:rsidP="00170F2D">
      <w:pPr>
        <w:numPr>
          <w:ilvl w:val="0"/>
          <w:numId w:val="586"/>
        </w:numPr>
        <w:tabs>
          <w:tab w:val="left" w:pos="-2268"/>
        </w:tabs>
        <w:suppressAutoHyphens/>
        <w:ind w:left="567" w:hanging="567"/>
        <w:rPr>
          <w:b/>
          <w:i/>
          <w:spacing w:val="-3"/>
          <w:u w:val="single"/>
        </w:rPr>
      </w:pPr>
      <w:r w:rsidRPr="00BD1319">
        <w:rPr>
          <w:b/>
          <w:i/>
          <w:spacing w:val="-3"/>
          <w:u w:val="single"/>
        </w:rPr>
        <w:lastRenderedPageBreak/>
        <w:t>Análisis de vulnerabilidad</w:t>
      </w:r>
    </w:p>
    <w:p w14:paraId="2D0A138C" w14:textId="77777777" w:rsidR="00170F2D" w:rsidRPr="00BD1319" w:rsidRDefault="00170F2D">
      <w:pPr>
        <w:rPr>
          <w:rFonts w:cs="Arial"/>
          <w:szCs w:val="20"/>
        </w:rPr>
      </w:pPr>
    </w:p>
    <w:p w14:paraId="799E8F4F" w14:textId="2039F841" w:rsidR="00170F2D" w:rsidRPr="00BD1319" w:rsidRDefault="00170F2D">
      <w:pPr>
        <w:rPr>
          <w:rFonts w:cs="Arial"/>
          <w:szCs w:val="20"/>
        </w:rPr>
      </w:pPr>
      <w:r w:rsidRPr="00BD1319">
        <w:rPr>
          <w:rFonts w:cs="Arial"/>
          <w:szCs w:val="20"/>
        </w:rPr>
        <w:t xml:space="preserve">A partir de los resultados obtenidos del desarrollo de los literales b y c, se deben definir criterios y realizar un análisis de la vulnerabilidad </w:t>
      </w:r>
      <w:r w:rsidR="00A93F8E" w:rsidRPr="00BD1319">
        <w:rPr>
          <w:rFonts w:cs="Arial"/>
          <w:szCs w:val="20"/>
        </w:rPr>
        <w:t xml:space="preserve">de </w:t>
      </w:r>
      <w:r w:rsidRPr="00BD1319">
        <w:rPr>
          <w:rFonts w:cs="Arial"/>
          <w:szCs w:val="20"/>
        </w:rPr>
        <w:t>la infraestructura del proyecto, obra o actividad y los medios abiótico, biótico y socioeconómico y de los ecosistemas y sus servicios, que sea consistente con la zonificación ambiental y demás información que se incorpore al modelo de almacenamiento de datos geográfico.</w:t>
      </w:r>
    </w:p>
    <w:p w14:paraId="3E573D01" w14:textId="77777777" w:rsidR="00170F2D" w:rsidRPr="00BD1319" w:rsidRDefault="00170F2D">
      <w:pPr>
        <w:rPr>
          <w:rFonts w:cs="Arial"/>
          <w:szCs w:val="20"/>
        </w:rPr>
      </w:pPr>
    </w:p>
    <w:p w14:paraId="5E79BCF8" w14:textId="6AF58FAE" w:rsidR="00076F22" w:rsidRPr="00BD1319" w:rsidRDefault="00C12284" w:rsidP="006052B3">
      <w:pPr>
        <w:numPr>
          <w:ilvl w:val="0"/>
          <w:numId w:val="586"/>
        </w:numPr>
        <w:tabs>
          <w:tab w:val="left" w:pos="-2268"/>
        </w:tabs>
        <w:suppressAutoHyphens/>
        <w:ind w:left="567" w:hanging="567"/>
        <w:rPr>
          <w:b/>
          <w:i/>
          <w:spacing w:val="-3"/>
          <w:u w:val="single"/>
        </w:rPr>
      </w:pPr>
      <w:r w:rsidRPr="00BD1319">
        <w:rPr>
          <w:b/>
          <w:i/>
          <w:spacing w:val="-3"/>
          <w:u w:val="single"/>
        </w:rPr>
        <w:t>A</w:t>
      </w:r>
      <w:r w:rsidR="00076F22" w:rsidRPr="00BD1319">
        <w:rPr>
          <w:b/>
          <w:i/>
          <w:spacing w:val="-3"/>
          <w:u w:val="single"/>
        </w:rPr>
        <w:t>nálisis y evaluación de escenarios de riesgo</w:t>
      </w:r>
    </w:p>
    <w:p w14:paraId="7F5370AC" w14:textId="77777777" w:rsidR="00076F22" w:rsidRPr="00BD1319" w:rsidRDefault="00076F22">
      <w:pPr>
        <w:rPr>
          <w:rFonts w:cs="Arial"/>
        </w:rPr>
      </w:pPr>
    </w:p>
    <w:p w14:paraId="3E08489C" w14:textId="36744EA8" w:rsidR="00C12284" w:rsidRPr="00BD1319" w:rsidRDefault="00B42D6F" w:rsidP="00C12284">
      <w:r w:rsidRPr="00BD1319">
        <w:rPr>
          <w:rFonts w:cs="Arial"/>
          <w:szCs w:val="20"/>
        </w:rPr>
        <w:t xml:space="preserve">A partir de los resultados obtenidos del desarrollo de </w:t>
      </w:r>
      <w:r w:rsidR="00C12284" w:rsidRPr="00BD1319">
        <w:t xml:space="preserve">los literales a, b, c y d </w:t>
      </w:r>
      <w:r w:rsidR="00476BC0" w:rsidRPr="00BD1319">
        <w:t xml:space="preserve">y mediante metodologías semicuantitativas o cuantitativas, </w:t>
      </w:r>
      <w:r w:rsidR="00C12284" w:rsidRPr="00BD1319">
        <w:t>se deben identificar, caracterizar, analizar y evaluar los escenarios de riesgo que puedan afectar al proyecto, obra o actividad</w:t>
      </w:r>
      <w:r w:rsidR="00476BC0" w:rsidRPr="00BD1319">
        <w:t xml:space="preserve">, así como </w:t>
      </w:r>
      <w:r w:rsidR="00C12284" w:rsidRPr="00BD1319">
        <w:t>los que puedan generarse a causa del desarrollo de sus fases de ejecución</w:t>
      </w:r>
      <w:r w:rsidR="00476BC0" w:rsidRPr="00BD1319">
        <w:t xml:space="preserve">; este proceso debe </w:t>
      </w:r>
      <w:r w:rsidR="00C12284" w:rsidRPr="00BD1319">
        <w:t>analiza</w:t>
      </w:r>
      <w:r w:rsidR="00476BC0" w:rsidRPr="00BD1319">
        <w:t xml:space="preserve">r </w:t>
      </w:r>
      <w:r w:rsidR="00C12284" w:rsidRPr="00BD1319">
        <w:t>los peores escenarios creíbles, es decir, aquellos de particular interés ambiental, social y económico, detalla</w:t>
      </w:r>
      <w:r w:rsidR="00476BC0" w:rsidRPr="00BD1319">
        <w:t xml:space="preserve">r </w:t>
      </w:r>
      <w:r w:rsidR="00C12284" w:rsidRPr="00BD1319">
        <w:t xml:space="preserve">los criterios de aceptabilidad o tolerabilidad, </w:t>
      </w:r>
      <w:r w:rsidR="00476BC0" w:rsidRPr="00BD1319">
        <w:t xml:space="preserve">y </w:t>
      </w:r>
      <w:r w:rsidR="00C12284" w:rsidRPr="00BD1319">
        <w:t>soporta</w:t>
      </w:r>
      <w:r w:rsidR="00476BC0" w:rsidRPr="00BD1319">
        <w:t xml:space="preserve">r </w:t>
      </w:r>
      <w:r w:rsidR="00C12284" w:rsidRPr="00BD1319">
        <w:t>y represent</w:t>
      </w:r>
      <w:r w:rsidR="00476BC0" w:rsidRPr="00BD1319">
        <w:t xml:space="preserve">ar geográficamente los resultados </w:t>
      </w:r>
      <w:r w:rsidR="00C12284" w:rsidRPr="00BD1319">
        <w:t>en las capas del modelo de almacenamiento geográfico.</w:t>
      </w:r>
    </w:p>
    <w:p w14:paraId="5ED658FE" w14:textId="77777777" w:rsidR="00C12284" w:rsidRPr="00BD1319" w:rsidRDefault="00C12284" w:rsidP="00C12284"/>
    <w:p w14:paraId="6020FDAF" w14:textId="38FB30AF" w:rsidR="00C12284" w:rsidRPr="00BD1319" w:rsidRDefault="00C12284" w:rsidP="00C12284">
      <w:r w:rsidRPr="00BD1319">
        <w:t xml:space="preserve">Para el caso de los escenarios de riesgo de origen endógeno, se deben analizar y evaluar los riesgos socioeconómicos y los que pueden afectar los elementos del ambiente y </w:t>
      </w:r>
      <w:r w:rsidR="00047AD4" w:rsidRPr="00BD1319">
        <w:rPr>
          <w:rFonts w:cs="Arial"/>
          <w:szCs w:val="20"/>
        </w:rPr>
        <w:t>los ecosistemas y sus servicios</w:t>
      </w:r>
      <w:r w:rsidRPr="00BD1319">
        <w:t>.</w:t>
      </w:r>
    </w:p>
    <w:p w14:paraId="6CB1149D" w14:textId="77777777" w:rsidR="00C12284" w:rsidRPr="00BD1319" w:rsidRDefault="00C12284" w:rsidP="00C12284"/>
    <w:p w14:paraId="5B268B2D" w14:textId="31B5586A" w:rsidR="00C12284" w:rsidRPr="00BD1319" w:rsidRDefault="00C12284" w:rsidP="00C12284">
      <w:r w:rsidRPr="00BD1319">
        <w:t>Se deben presentar mapas de riesgos con el resultado de la evaluación obtenida</w:t>
      </w:r>
      <w:r w:rsidR="00047AD4" w:rsidRPr="00BD1319">
        <w:t xml:space="preserve">, cuya </w:t>
      </w:r>
      <w:r w:rsidRPr="00BD1319">
        <w:t>escala coincid</w:t>
      </w:r>
      <w:r w:rsidR="00047AD4" w:rsidRPr="00BD1319">
        <w:t>a</w:t>
      </w:r>
      <w:r w:rsidRPr="00BD1319">
        <w:t xml:space="preserve"> con la utilizada en los mapas de los análisis de eventos amenazantes y elementos expuestos. Los resultados deben </w:t>
      </w:r>
      <w:r w:rsidR="00047AD4" w:rsidRPr="00BD1319">
        <w:t>integrarse a</w:t>
      </w:r>
      <w:r w:rsidRPr="00BD1319">
        <w:t>l modelo de almacenamiento geográfico.</w:t>
      </w:r>
    </w:p>
    <w:p w14:paraId="1C9A522E" w14:textId="77777777" w:rsidR="00076F22" w:rsidRPr="00BD1319" w:rsidRDefault="00076F22" w:rsidP="00C86DA5"/>
    <w:p w14:paraId="674F6149" w14:textId="50436A79" w:rsidR="00076F22" w:rsidRPr="00BD1319" w:rsidRDefault="005259F7" w:rsidP="006052B3">
      <w:pPr>
        <w:numPr>
          <w:ilvl w:val="0"/>
          <w:numId w:val="586"/>
        </w:numPr>
        <w:tabs>
          <w:tab w:val="left" w:pos="-2268"/>
        </w:tabs>
        <w:suppressAutoHyphens/>
        <w:ind w:left="567" w:hanging="567"/>
        <w:rPr>
          <w:b/>
          <w:i/>
          <w:spacing w:val="-3"/>
          <w:u w:val="single"/>
        </w:rPr>
      </w:pPr>
      <w:r w:rsidRPr="00BD1319">
        <w:rPr>
          <w:b/>
          <w:i/>
          <w:spacing w:val="-3"/>
          <w:u w:val="single"/>
        </w:rPr>
        <w:t>M</w:t>
      </w:r>
      <w:r w:rsidR="00076F22" w:rsidRPr="00BD1319">
        <w:rPr>
          <w:b/>
          <w:i/>
          <w:spacing w:val="-3"/>
          <w:u w:val="single"/>
        </w:rPr>
        <w:t>onitoreo del riesgo</w:t>
      </w:r>
    </w:p>
    <w:p w14:paraId="6B541EA9" w14:textId="77777777" w:rsidR="00076F22" w:rsidRPr="00BD1319" w:rsidRDefault="00076F22">
      <w:pPr>
        <w:rPr>
          <w:rFonts w:eastAsia="Arial" w:cs="Arial"/>
          <w:color w:val="000000" w:themeColor="text1"/>
        </w:rPr>
      </w:pPr>
    </w:p>
    <w:p w14:paraId="06FBC02B" w14:textId="08DCCF4B" w:rsidR="0069561C" w:rsidRPr="00BD1319" w:rsidRDefault="0069561C" w:rsidP="0069561C">
      <w:pPr>
        <w:rPr>
          <w:rFonts w:eastAsia="Arial" w:cs="Arial"/>
          <w:color w:val="000000" w:themeColor="text1"/>
        </w:rPr>
      </w:pPr>
      <w:r w:rsidRPr="00BD1319">
        <w:rPr>
          <w:rFonts w:eastAsia="Arial" w:cs="Arial"/>
          <w:color w:val="000000" w:themeColor="text1"/>
        </w:rPr>
        <w:t xml:space="preserve">El monitoreo del riesgo debe </w:t>
      </w:r>
      <w:r w:rsidR="00EE7200" w:rsidRPr="00BD1319">
        <w:rPr>
          <w:rFonts w:eastAsia="Arial" w:cs="Arial"/>
          <w:color w:val="000000" w:themeColor="text1"/>
        </w:rPr>
        <w:t>formular actividades de seguimiento a las condiciones de amenaza, vulnerabilidad y riesgo de acuerdo con los resultados obtenidos de aplicar los lineamientos de los literales b, c, d y e</w:t>
      </w:r>
      <w:r w:rsidRPr="00BD1319">
        <w:rPr>
          <w:rFonts w:eastAsia="Arial" w:cs="Arial"/>
          <w:color w:val="000000" w:themeColor="text1"/>
        </w:rPr>
        <w:t>.</w:t>
      </w:r>
    </w:p>
    <w:p w14:paraId="0307E89F" w14:textId="77777777" w:rsidR="0069561C" w:rsidRPr="00BD1319" w:rsidRDefault="0069561C" w:rsidP="0069561C">
      <w:pPr>
        <w:rPr>
          <w:rFonts w:eastAsia="Arial" w:cs="Arial"/>
          <w:color w:val="000000" w:themeColor="text1"/>
        </w:rPr>
      </w:pPr>
    </w:p>
    <w:p w14:paraId="6173DBAD" w14:textId="77777777" w:rsidR="0069561C" w:rsidRPr="00BD1319" w:rsidRDefault="0069561C" w:rsidP="0069561C">
      <w:pPr>
        <w:rPr>
          <w:rFonts w:eastAsia="Arial" w:cs="Arial"/>
          <w:color w:val="000000" w:themeColor="text1"/>
        </w:rPr>
      </w:pPr>
      <w:r w:rsidRPr="00BD1319">
        <w:rPr>
          <w:rFonts w:eastAsia="Arial" w:cs="Arial"/>
          <w:color w:val="000000" w:themeColor="text1"/>
        </w:rPr>
        <w:t>El monitoreo del riesgo debe contemplar lo siguiente:</w:t>
      </w:r>
    </w:p>
    <w:p w14:paraId="34BF535E" w14:textId="77777777" w:rsidR="0069561C" w:rsidRPr="00BD1319" w:rsidRDefault="0069561C" w:rsidP="0069561C">
      <w:pPr>
        <w:rPr>
          <w:rFonts w:eastAsia="Arial" w:cs="Arial"/>
          <w:color w:val="000000" w:themeColor="text1"/>
        </w:rPr>
      </w:pPr>
    </w:p>
    <w:p w14:paraId="2AEE0D9F" w14:textId="079247DE" w:rsidR="0069561C" w:rsidRPr="00BD1319" w:rsidRDefault="0069561C" w:rsidP="008A4FE9">
      <w:pPr>
        <w:numPr>
          <w:ilvl w:val="0"/>
          <w:numId w:val="401"/>
        </w:numPr>
        <w:tabs>
          <w:tab w:val="left" w:pos="-2268"/>
        </w:tabs>
        <w:suppressAutoHyphens/>
        <w:overflowPunct/>
        <w:autoSpaceDE/>
        <w:autoSpaceDN/>
        <w:adjustRightInd/>
        <w:ind w:left="567" w:hanging="567"/>
        <w:contextualSpacing/>
        <w:textAlignment w:val="auto"/>
      </w:pPr>
      <w:r w:rsidRPr="00BD1319">
        <w:t>Determinación de variables e indicadores de seguimiento a las condiciones de amenaza, vulnerabilidad y riesgo.</w:t>
      </w:r>
    </w:p>
    <w:p w14:paraId="098D69C0" w14:textId="77777777" w:rsidR="0069561C" w:rsidRPr="00BD1319" w:rsidRDefault="0069561C" w:rsidP="008A4FE9">
      <w:pPr>
        <w:tabs>
          <w:tab w:val="left" w:pos="-2268"/>
        </w:tabs>
        <w:suppressAutoHyphens/>
        <w:overflowPunct/>
        <w:autoSpaceDE/>
        <w:autoSpaceDN/>
        <w:adjustRightInd/>
        <w:contextualSpacing/>
        <w:textAlignment w:val="auto"/>
      </w:pPr>
    </w:p>
    <w:p w14:paraId="111EAE30" w14:textId="507F62E5" w:rsidR="0069561C" w:rsidRPr="00BD1319" w:rsidRDefault="0069561C" w:rsidP="008A4FE9">
      <w:pPr>
        <w:numPr>
          <w:ilvl w:val="0"/>
          <w:numId w:val="401"/>
        </w:numPr>
        <w:tabs>
          <w:tab w:val="left" w:pos="-2268"/>
        </w:tabs>
        <w:suppressAutoHyphens/>
        <w:overflowPunct/>
        <w:autoSpaceDE/>
        <w:autoSpaceDN/>
        <w:adjustRightInd/>
        <w:ind w:left="567" w:hanging="567"/>
        <w:contextualSpacing/>
        <w:textAlignment w:val="auto"/>
      </w:pPr>
      <w:r w:rsidRPr="00BD1319">
        <w:t>Determinación de actividades, medidas, protocolos o procedimientos para ejecutar en el monitoreo de las condiciones de amenaza, vulnerabilidad y riesgo.</w:t>
      </w:r>
    </w:p>
    <w:p w14:paraId="610D2D32" w14:textId="77777777" w:rsidR="0069561C" w:rsidRPr="00BD1319" w:rsidRDefault="0069561C" w:rsidP="008A4FE9">
      <w:pPr>
        <w:tabs>
          <w:tab w:val="left" w:pos="-2268"/>
        </w:tabs>
        <w:suppressAutoHyphens/>
        <w:overflowPunct/>
        <w:autoSpaceDE/>
        <w:autoSpaceDN/>
        <w:adjustRightInd/>
        <w:contextualSpacing/>
        <w:textAlignment w:val="auto"/>
      </w:pPr>
    </w:p>
    <w:p w14:paraId="518BB520" w14:textId="36253F7C" w:rsidR="0069561C" w:rsidRPr="00BD1319" w:rsidRDefault="0069561C" w:rsidP="008A4FE9">
      <w:pPr>
        <w:numPr>
          <w:ilvl w:val="0"/>
          <w:numId w:val="401"/>
        </w:numPr>
        <w:tabs>
          <w:tab w:val="left" w:pos="-2268"/>
        </w:tabs>
        <w:suppressAutoHyphens/>
        <w:overflowPunct/>
        <w:autoSpaceDE/>
        <w:autoSpaceDN/>
        <w:adjustRightInd/>
        <w:ind w:left="567" w:hanging="567"/>
        <w:contextualSpacing/>
        <w:textAlignment w:val="auto"/>
      </w:pPr>
      <w:r w:rsidRPr="00BD1319">
        <w:lastRenderedPageBreak/>
        <w:t>Determinación de instrumentos tecnológicos, manuales o automatizados, para realizar la medición de condiciones de amenaza, vulnerabilidad o riesgo.</w:t>
      </w:r>
    </w:p>
    <w:p w14:paraId="77B05DEB" w14:textId="77777777" w:rsidR="0069561C" w:rsidRPr="00BD1319" w:rsidRDefault="0069561C" w:rsidP="008A4FE9">
      <w:pPr>
        <w:tabs>
          <w:tab w:val="left" w:pos="-2268"/>
        </w:tabs>
        <w:suppressAutoHyphens/>
        <w:overflowPunct/>
        <w:autoSpaceDE/>
        <w:autoSpaceDN/>
        <w:adjustRightInd/>
        <w:contextualSpacing/>
        <w:textAlignment w:val="auto"/>
      </w:pPr>
    </w:p>
    <w:p w14:paraId="441003A5" w14:textId="5C46B1E6" w:rsidR="0069561C" w:rsidRPr="00BD1319" w:rsidRDefault="0069561C" w:rsidP="008A4FE9">
      <w:pPr>
        <w:numPr>
          <w:ilvl w:val="0"/>
          <w:numId w:val="401"/>
        </w:numPr>
        <w:tabs>
          <w:tab w:val="left" w:pos="-2268"/>
        </w:tabs>
        <w:suppressAutoHyphens/>
        <w:overflowPunct/>
        <w:autoSpaceDE/>
        <w:autoSpaceDN/>
        <w:adjustRightInd/>
        <w:ind w:left="567" w:hanging="567"/>
        <w:contextualSpacing/>
        <w:textAlignment w:val="auto"/>
      </w:pPr>
      <w:r w:rsidRPr="00BD1319">
        <w:t xml:space="preserve">Articulación con el procedimiento de notificación y con los niveles de contingencia según se define en el numeral </w:t>
      </w:r>
      <w:r w:rsidRPr="00BD1319">
        <w:fldChar w:fldCharType="begin"/>
      </w:r>
      <w:r w:rsidRPr="00BD1319">
        <w:instrText xml:space="preserve"> REF _Ref142917460 \r \h </w:instrText>
      </w:r>
      <w:r w:rsidR="00BD1319">
        <w:instrText xml:space="preserve"> \* MERGEFORMAT </w:instrText>
      </w:r>
      <w:r w:rsidRPr="00BD1319">
        <w:fldChar w:fldCharType="separate"/>
      </w:r>
      <w:r w:rsidR="00296654" w:rsidRPr="00BD1319">
        <w:t>10.3.3</w:t>
      </w:r>
      <w:r w:rsidRPr="00BD1319">
        <w:fldChar w:fldCharType="end"/>
      </w:r>
      <w:r w:rsidRPr="00BD1319">
        <w:t>.</w:t>
      </w:r>
    </w:p>
    <w:p w14:paraId="3568B3C6" w14:textId="3E5E024C" w:rsidR="0069561C" w:rsidRPr="00BD1319" w:rsidRDefault="0069561C" w:rsidP="008A4FE9">
      <w:pPr>
        <w:tabs>
          <w:tab w:val="left" w:pos="-2268"/>
        </w:tabs>
        <w:suppressAutoHyphens/>
        <w:overflowPunct/>
        <w:autoSpaceDE/>
        <w:autoSpaceDN/>
        <w:adjustRightInd/>
        <w:contextualSpacing/>
        <w:textAlignment w:val="auto"/>
      </w:pPr>
    </w:p>
    <w:p w14:paraId="7054A79A" w14:textId="1F239B19" w:rsidR="0069561C" w:rsidRPr="00BD1319" w:rsidRDefault="0069561C" w:rsidP="008A4FE9">
      <w:pPr>
        <w:numPr>
          <w:ilvl w:val="0"/>
          <w:numId w:val="401"/>
        </w:numPr>
        <w:tabs>
          <w:tab w:val="left" w:pos="-2268"/>
        </w:tabs>
        <w:suppressAutoHyphens/>
        <w:overflowPunct/>
        <w:autoSpaceDE/>
        <w:autoSpaceDN/>
        <w:adjustRightInd/>
        <w:ind w:left="567" w:hanging="567"/>
        <w:contextualSpacing/>
        <w:textAlignment w:val="auto"/>
      </w:pPr>
      <w:r w:rsidRPr="00BD1319">
        <w:t xml:space="preserve">Articulación del monitoreo de parámetros de amenaza, vulnerabilidad y riesgo con el monitoreo establecido en el plan de seguimiento y monitoreo descrito en el numeral </w:t>
      </w:r>
      <w:r w:rsidRPr="00BD1319">
        <w:fldChar w:fldCharType="begin"/>
      </w:r>
      <w:r w:rsidRPr="00BD1319">
        <w:instrText xml:space="preserve"> REF _Ref142917517 \r \h </w:instrText>
      </w:r>
      <w:r w:rsidR="00BD1319">
        <w:instrText xml:space="preserve"> \* MERGEFORMAT </w:instrText>
      </w:r>
      <w:r w:rsidRPr="00BD1319">
        <w:fldChar w:fldCharType="separate"/>
      </w:r>
      <w:r w:rsidR="00A52059" w:rsidRPr="00BD1319">
        <w:t>10.2</w:t>
      </w:r>
      <w:r w:rsidRPr="00BD1319">
        <w:fldChar w:fldCharType="end"/>
      </w:r>
      <w:r w:rsidRPr="00BD1319">
        <w:t>.</w:t>
      </w:r>
    </w:p>
    <w:p w14:paraId="74148D49" w14:textId="5F8A3971" w:rsidR="00076F22" w:rsidRPr="00BD1319" w:rsidRDefault="00076F22"/>
    <w:p w14:paraId="3977F7AB" w14:textId="54CA8C93" w:rsidR="00076F22" w:rsidRPr="00BD1319" w:rsidRDefault="00076F22" w:rsidP="00216955">
      <w:pPr>
        <w:pStyle w:val="Ttulo3"/>
      </w:pPr>
      <w:bookmarkStart w:id="11345" w:name="_Ref175320128"/>
      <w:bookmarkStart w:id="11346" w:name="_Toc175326825"/>
      <w:r w:rsidRPr="00BD1319">
        <w:t>Reducción del riesgo</w:t>
      </w:r>
      <w:bookmarkEnd w:id="11345"/>
      <w:bookmarkEnd w:id="11346"/>
    </w:p>
    <w:p w14:paraId="4A653748" w14:textId="77777777" w:rsidR="00076F22" w:rsidRPr="00BD1319" w:rsidRDefault="00076F22" w:rsidP="00C86DA5">
      <w:pPr>
        <w:rPr>
          <w:rFonts w:eastAsia="Arial"/>
          <w:color w:val="000000" w:themeColor="text1"/>
        </w:rPr>
      </w:pPr>
    </w:p>
    <w:p w14:paraId="2806AF08" w14:textId="504F92F8" w:rsidR="00076F22" w:rsidRPr="00BD1319" w:rsidRDefault="00474140">
      <w:pPr>
        <w:rPr>
          <w:rFonts w:eastAsia="Arial"/>
        </w:rPr>
      </w:pPr>
      <w:r w:rsidRPr="00BD1319">
        <w:rPr>
          <w:rFonts w:eastAsia="Arial"/>
          <w:color w:val="000000" w:themeColor="text1"/>
        </w:rPr>
        <w:t>S</w:t>
      </w:r>
      <w:r w:rsidR="00076F22" w:rsidRPr="00BD1319">
        <w:rPr>
          <w:rFonts w:eastAsia="Arial"/>
          <w:color w:val="000000" w:themeColor="text1"/>
        </w:rPr>
        <w:t xml:space="preserve">e deben formular </w:t>
      </w:r>
      <w:bookmarkStart w:id="11347" w:name="_Hlk151560303"/>
      <w:r w:rsidR="00076F22" w:rsidRPr="00BD1319">
        <w:rPr>
          <w:rFonts w:eastAsia="Arial"/>
          <w:color w:val="000000" w:themeColor="text1"/>
        </w:rPr>
        <w:t>medidas</w:t>
      </w:r>
      <w:r w:rsidR="0092227D" w:rsidRPr="00BD1319">
        <w:rPr>
          <w:rFonts w:eastAsia="Arial"/>
          <w:color w:val="000000" w:themeColor="text1"/>
        </w:rPr>
        <w:t xml:space="preserve"> de intervención</w:t>
      </w:r>
      <w:r w:rsidR="00076F22" w:rsidRPr="00BD1319">
        <w:rPr>
          <w:rFonts w:eastAsia="Arial"/>
          <w:color w:val="000000" w:themeColor="text1"/>
        </w:rPr>
        <w:t xml:space="preserve"> </w:t>
      </w:r>
      <w:r w:rsidR="00076F22" w:rsidRPr="00BD1319">
        <w:rPr>
          <w:rFonts w:eastAsia="Arial" w:cs="Arial"/>
          <w:color w:val="000000" w:themeColor="text1"/>
        </w:rPr>
        <w:t xml:space="preserve">correctivas y prospectivas </w:t>
      </w:r>
      <w:bookmarkEnd w:id="11347"/>
      <w:r w:rsidR="00053AF2" w:rsidRPr="00BD1319">
        <w:rPr>
          <w:rFonts w:eastAsia="Arial" w:cs="Arial"/>
          <w:color w:val="000000" w:themeColor="text1"/>
        </w:rPr>
        <w:t xml:space="preserve">para los escenarios de riesgos valorados con categoría media, alta o muy alta (o equivalentes dependiendo de la metodología utilizada) </w:t>
      </w:r>
      <w:r w:rsidR="00B364D5" w:rsidRPr="00BD1319">
        <w:rPr>
          <w:rFonts w:eastAsia="Arial" w:cs="Arial"/>
          <w:color w:val="000000" w:themeColor="text1"/>
        </w:rPr>
        <w:t>a partir de las siguientes definiciones</w:t>
      </w:r>
      <w:r w:rsidR="0092227D" w:rsidRPr="00BD1319">
        <w:rPr>
          <w:rFonts w:eastAsia="Arial"/>
        </w:rPr>
        <w:t xml:space="preserve">: </w:t>
      </w:r>
      <w:r w:rsidR="00F309AA" w:rsidRPr="00BD1319">
        <w:rPr>
          <w:rFonts w:eastAsia="Arial"/>
        </w:rPr>
        <w:t xml:space="preserve">i) </w:t>
      </w:r>
      <w:r w:rsidR="009B5438" w:rsidRPr="00BD1319">
        <w:rPr>
          <w:rFonts w:eastAsia="Arial"/>
        </w:rPr>
        <w:t xml:space="preserve">medidas correctivas: </w:t>
      </w:r>
      <w:r w:rsidR="00F309AA" w:rsidRPr="00BD1319">
        <w:rPr>
          <w:rFonts w:eastAsia="Arial"/>
        </w:rPr>
        <w:t>a</w:t>
      </w:r>
      <w:r w:rsidR="00076F22" w:rsidRPr="00BD1319">
        <w:rPr>
          <w:rFonts w:eastAsia="Arial"/>
        </w:rPr>
        <w:t xml:space="preserve">cciones de mitigación </w:t>
      </w:r>
      <w:r w:rsidR="0092227D" w:rsidRPr="00BD1319">
        <w:rPr>
          <w:rFonts w:eastAsia="Arial"/>
          <w:color w:val="000000" w:themeColor="text1"/>
        </w:rPr>
        <w:t xml:space="preserve">del riesgo existente en el sentido de </w:t>
      </w:r>
      <w:r w:rsidR="00076F22" w:rsidRPr="00BD1319">
        <w:rPr>
          <w:rFonts w:eastAsia="Arial"/>
        </w:rPr>
        <w:t xml:space="preserve">disminuir </w:t>
      </w:r>
      <w:r w:rsidR="00F309AA" w:rsidRPr="00BD1319">
        <w:rPr>
          <w:rFonts w:eastAsia="Arial"/>
          <w:color w:val="000000" w:themeColor="text1"/>
        </w:rPr>
        <w:t xml:space="preserve">o reducir las condiciones de amenaza, cuando sea posible, y </w:t>
      </w:r>
      <w:r w:rsidR="00076F22" w:rsidRPr="00BD1319">
        <w:rPr>
          <w:rFonts w:eastAsia="Arial"/>
        </w:rPr>
        <w:t>vulnerabilidad de los elementos expuestos</w:t>
      </w:r>
      <w:r w:rsidR="00F309AA" w:rsidRPr="00BD1319">
        <w:rPr>
          <w:rFonts w:eastAsia="Arial"/>
        </w:rPr>
        <w:t xml:space="preserve"> y; </w:t>
      </w:r>
      <w:proofErr w:type="spellStart"/>
      <w:r w:rsidR="00F309AA" w:rsidRPr="00BD1319">
        <w:rPr>
          <w:rFonts w:eastAsia="Arial"/>
        </w:rPr>
        <w:t>ii</w:t>
      </w:r>
      <w:proofErr w:type="spellEnd"/>
      <w:r w:rsidR="00F309AA" w:rsidRPr="00BD1319">
        <w:rPr>
          <w:rFonts w:eastAsia="Arial"/>
        </w:rPr>
        <w:t xml:space="preserve">) </w:t>
      </w:r>
      <w:r w:rsidR="009B5438" w:rsidRPr="00BD1319">
        <w:rPr>
          <w:rFonts w:eastAsia="Arial" w:cs="Arial"/>
          <w:color w:val="000000" w:themeColor="text1"/>
        </w:rPr>
        <w:t xml:space="preserve">medidas prospectivas: </w:t>
      </w:r>
      <w:r w:rsidR="00F309AA" w:rsidRPr="00BD1319">
        <w:rPr>
          <w:rFonts w:eastAsia="Arial"/>
        </w:rPr>
        <w:t>a</w:t>
      </w:r>
      <w:r w:rsidR="00F309AA" w:rsidRPr="00BD1319">
        <w:rPr>
          <w:rFonts w:eastAsia="Arial"/>
          <w:color w:val="000000" w:themeColor="text1"/>
        </w:rPr>
        <w:t xml:space="preserve">cciones de prevención que </w:t>
      </w:r>
      <w:r w:rsidRPr="00BD1319">
        <w:rPr>
          <w:rFonts w:eastAsia="Arial"/>
          <w:color w:val="000000" w:themeColor="text1"/>
        </w:rPr>
        <w:t xml:space="preserve">busquen evitar el </w:t>
      </w:r>
      <w:r w:rsidR="00F309AA" w:rsidRPr="00BD1319">
        <w:rPr>
          <w:rFonts w:eastAsia="Arial"/>
          <w:color w:val="000000" w:themeColor="text1"/>
        </w:rPr>
        <w:t>sur</w:t>
      </w:r>
      <w:r w:rsidRPr="00BD1319">
        <w:rPr>
          <w:rFonts w:eastAsia="Arial"/>
          <w:color w:val="000000" w:themeColor="text1"/>
        </w:rPr>
        <w:t xml:space="preserve">gimiento de </w:t>
      </w:r>
      <w:r w:rsidR="00F309AA" w:rsidRPr="00BD1319">
        <w:rPr>
          <w:rFonts w:eastAsia="Arial"/>
          <w:color w:val="000000" w:themeColor="text1"/>
        </w:rPr>
        <w:t>nuevas situaciones de riesgo</w:t>
      </w:r>
      <w:r w:rsidR="00076F22" w:rsidRPr="00BD1319">
        <w:rPr>
          <w:rFonts w:eastAsia="Arial"/>
        </w:rPr>
        <w:t>.</w:t>
      </w:r>
    </w:p>
    <w:p w14:paraId="237592A3" w14:textId="77777777" w:rsidR="00076F22" w:rsidRPr="00BD1319" w:rsidRDefault="00076F22" w:rsidP="00C86DA5">
      <w:pPr>
        <w:rPr>
          <w:rFonts w:eastAsia="Arial"/>
        </w:rPr>
      </w:pPr>
    </w:p>
    <w:p w14:paraId="755AB78E" w14:textId="5C2FE0C0" w:rsidR="00F309AA" w:rsidRPr="00BD1319" w:rsidRDefault="00076F22">
      <w:pPr>
        <w:rPr>
          <w:rFonts w:eastAsia="Arial" w:cs="Arial"/>
          <w:color w:val="000000" w:themeColor="text1"/>
        </w:rPr>
      </w:pPr>
      <w:r w:rsidRPr="00BD1319">
        <w:rPr>
          <w:rFonts w:eastAsia="Arial" w:cs="Arial"/>
        </w:rPr>
        <w:t xml:space="preserve">Estas medidas deben ser formuladas en función de la </w:t>
      </w:r>
      <w:r w:rsidR="00053AF2" w:rsidRPr="00BD1319">
        <w:rPr>
          <w:rFonts w:eastAsia="Arial" w:cs="Arial"/>
        </w:rPr>
        <w:t xml:space="preserve">probable </w:t>
      </w:r>
      <w:r w:rsidRPr="00BD1319">
        <w:rPr>
          <w:rFonts w:eastAsia="Arial" w:cs="Arial"/>
        </w:rPr>
        <w:t xml:space="preserve">afectación </w:t>
      </w:r>
      <w:r w:rsidR="00053AF2" w:rsidRPr="00BD1319">
        <w:rPr>
          <w:rFonts w:eastAsia="Arial" w:cs="Arial"/>
        </w:rPr>
        <w:t xml:space="preserve">de la infraestructura del proyecto, obra o actividad y de </w:t>
      </w:r>
      <w:r w:rsidRPr="00BD1319">
        <w:rPr>
          <w:rFonts w:eastAsia="Arial" w:cs="Arial"/>
        </w:rPr>
        <w:t xml:space="preserve">los </w:t>
      </w:r>
      <w:r w:rsidR="00053AF2" w:rsidRPr="00BD1319">
        <w:rPr>
          <w:rFonts w:cs="Arial"/>
          <w:szCs w:val="20"/>
        </w:rPr>
        <w:t>elementos del ambiente y los ecosistemas y sus servicios</w:t>
      </w:r>
      <w:r w:rsidRPr="00BD1319">
        <w:rPr>
          <w:rFonts w:eastAsia="Arial" w:cs="Arial"/>
        </w:rPr>
        <w:t xml:space="preserve">, </w:t>
      </w:r>
      <w:r w:rsidR="00C5440D" w:rsidRPr="00BD1319">
        <w:rPr>
          <w:rFonts w:eastAsia="Arial" w:cs="Arial"/>
        </w:rPr>
        <w:t>ser clasificadas en medidas estructurales</w:t>
      </w:r>
      <w:r w:rsidR="00C5440D" w:rsidRPr="00BD1319">
        <w:rPr>
          <w:rStyle w:val="Refdenotaalpie"/>
          <w:rFonts w:eastAsia="Arial" w:cs="Arial"/>
          <w:lang w:val="es-CO"/>
        </w:rPr>
        <w:footnoteReference w:id="223"/>
      </w:r>
      <w:r w:rsidR="00C5440D" w:rsidRPr="00BD1319">
        <w:rPr>
          <w:rFonts w:eastAsia="Arial" w:cs="Arial"/>
        </w:rPr>
        <w:t xml:space="preserve"> y no estructurales</w:t>
      </w:r>
      <w:r w:rsidR="00C5440D" w:rsidRPr="00BD1319">
        <w:rPr>
          <w:rStyle w:val="Refdenotaalpie"/>
          <w:rFonts w:eastAsia="Arial" w:cs="Arial"/>
          <w:lang w:val="es-CO"/>
        </w:rPr>
        <w:footnoteReference w:id="224"/>
      </w:r>
      <w:r w:rsidR="00C5440D" w:rsidRPr="00BD1319">
        <w:rPr>
          <w:rFonts w:eastAsia="Arial" w:cs="Arial"/>
        </w:rPr>
        <w:t xml:space="preserve"> </w:t>
      </w:r>
      <w:r w:rsidR="00474140" w:rsidRPr="00BD1319">
        <w:rPr>
          <w:rFonts w:eastAsia="Arial" w:cs="Arial"/>
        </w:rPr>
        <w:t xml:space="preserve">y </w:t>
      </w:r>
      <w:r w:rsidR="00053AF2" w:rsidRPr="00BD1319">
        <w:rPr>
          <w:rFonts w:eastAsia="Arial" w:cs="Arial"/>
        </w:rPr>
        <w:t xml:space="preserve">estar </w:t>
      </w:r>
      <w:r w:rsidR="00F64A98" w:rsidRPr="00BD1319">
        <w:rPr>
          <w:rFonts w:eastAsia="Arial" w:cs="Arial"/>
        </w:rPr>
        <w:t>articula</w:t>
      </w:r>
      <w:r w:rsidR="00AE32C3" w:rsidRPr="00BD1319">
        <w:rPr>
          <w:rFonts w:eastAsia="Arial" w:cs="Arial"/>
        </w:rPr>
        <w:t>d</w:t>
      </w:r>
      <w:r w:rsidR="00F64A98" w:rsidRPr="00BD1319">
        <w:rPr>
          <w:rFonts w:eastAsia="Arial" w:cs="Arial"/>
        </w:rPr>
        <w:t>as</w:t>
      </w:r>
      <w:r w:rsidR="00F309AA" w:rsidRPr="00BD1319">
        <w:rPr>
          <w:rFonts w:eastAsia="Arial" w:cs="Arial"/>
        </w:rPr>
        <w:t xml:space="preserve"> </w:t>
      </w:r>
      <w:r w:rsidR="00053AF2" w:rsidRPr="00BD1319">
        <w:rPr>
          <w:rFonts w:eastAsia="Arial" w:cs="Arial"/>
        </w:rPr>
        <w:t xml:space="preserve">tanto </w:t>
      </w:r>
      <w:r w:rsidR="00F309AA" w:rsidRPr="00BD1319">
        <w:rPr>
          <w:rFonts w:eastAsia="Arial" w:cs="Arial"/>
        </w:rPr>
        <w:t xml:space="preserve">con </w:t>
      </w:r>
      <w:r w:rsidR="00053AF2" w:rsidRPr="00BD1319">
        <w:rPr>
          <w:rFonts w:eastAsia="Arial" w:cs="Arial"/>
        </w:rPr>
        <w:t xml:space="preserve">las </w:t>
      </w:r>
      <w:r w:rsidR="00474140" w:rsidRPr="00BD1319">
        <w:rPr>
          <w:rFonts w:eastAsia="Arial" w:cs="Arial"/>
        </w:rPr>
        <w:t xml:space="preserve">medidas </w:t>
      </w:r>
      <w:r w:rsidR="00053AF2" w:rsidRPr="00BD1319">
        <w:rPr>
          <w:rFonts w:eastAsia="Arial" w:cs="Arial"/>
        </w:rPr>
        <w:t xml:space="preserve">del </w:t>
      </w:r>
      <w:r w:rsidR="0083186B" w:rsidRPr="00BD1319">
        <w:rPr>
          <w:rFonts w:eastAsia="Arial" w:cs="Arial"/>
        </w:rPr>
        <w:t xml:space="preserve">plan </w:t>
      </w:r>
      <w:r w:rsidRPr="00BD1319">
        <w:rPr>
          <w:rFonts w:eastAsia="Arial" w:cs="Arial"/>
        </w:rPr>
        <w:t>de manejo ambiental</w:t>
      </w:r>
      <w:r w:rsidR="00F309AA" w:rsidRPr="00BD1319">
        <w:rPr>
          <w:rFonts w:eastAsia="Arial" w:cs="Arial"/>
        </w:rPr>
        <w:t xml:space="preserve"> y el plan de seguimiento y monitoreo</w:t>
      </w:r>
      <w:r w:rsidRPr="00BD1319">
        <w:rPr>
          <w:rFonts w:eastAsia="Arial" w:cs="Arial"/>
        </w:rPr>
        <w:t xml:space="preserve"> del EIA para las diferentes fases del proyecto, obra o actividad, </w:t>
      </w:r>
      <w:r w:rsidR="00C5440D" w:rsidRPr="00BD1319">
        <w:rPr>
          <w:rFonts w:eastAsia="Arial" w:cs="Arial"/>
        </w:rPr>
        <w:t>como con las definidas en los instrumentos de gestión del riesgo territorial</w:t>
      </w:r>
      <w:r w:rsidRPr="00BD1319">
        <w:rPr>
          <w:rFonts w:eastAsia="Arial" w:cs="Arial"/>
        </w:rPr>
        <w:t>.</w:t>
      </w:r>
    </w:p>
    <w:p w14:paraId="337211A6" w14:textId="77777777" w:rsidR="00F309AA" w:rsidRPr="00BD1319" w:rsidRDefault="00F309AA">
      <w:pPr>
        <w:rPr>
          <w:rFonts w:eastAsia="Arial" w:cs="Arial"/>
          <w:color w:val="000000" w:themeColor="text1"/>
        </w:rPr>
      </w:pPr>
    </w:p>
    <w:p w14:paraId="5E0FF478" w14:textId="3401E00E" w:rsidR="00852021" w:rsidRPr="00BD1319" w:rsidRDefault="00852021" w:rsidP="00852021">
      <w:pPr>
        <w:numPr>
          <w:ilvl w:val="12"/>
          <w:numId w:val="0"/>
        </w:numPr>
        <w:tabs>
          <w:tab w:val="left" w:pos="-2268"/>
        </w:tabs>
        <w:suppressAutoHyphens/>
        <w:rPr>
          <w:spacing w:val="-3"/>
          <w:lang w:val="es-ES"/>
        </w:rPr>
      </w:pPr>
      <w:r w:rsidRPr="00BD1319">
        <w:rPr>
          <w:spacing w:val="-3"/>
        </w:rPr>
        <w:t xml:space="preserve">De ser posible, las medidas de intervención deben ser formuladas procurando mitigar la emisión de GEI y adaptar el proyecto y los elementos del ambiente </w:t>
      </w:r>
      <w:r w:rsidR="001C34A2" w:rsidRPr="00BD1319">
        <w:rPr>
          <w:spacing w:val="-3"/>
        </w:rPr>
        <w:t xml:space="preserve">que están </w:t>
      </w:r>
      <w:r w:rsidR="00E5481D" w:rsidRPr="00BD1319">
        <w:rPr>
          <w:spacing w:val="-3"/>
        </w:rPr>
        <w:t xml:space="preserve">sujetos a </w:t>
      </w:r>
      <w:r w:rsidR="00387117" w:rsidRPr="00BD1319">
        <w:rPr>
          <w:spacing w:val="-3"/>
        </w:rPr>
        <w:t xml:space="preserve">riesgos derivados </w:t>
      </w:r>
      <w:r w:rsidR="001C34A2" w:rsidRPr="00BD1319">
        <w:rPr>
          <w:spacing w:val="-3"/>
        </w:rPr>
        <w:t>de</w:t>
      </w:r>
      <w:r w:rsidRPr="00BD1319">
        <w:rPr>
          <w:spacing w:val="-3"/>
        </w:rPr>
        <w:t>l cambio climático</w:t>
      </w:r>
      <w:r w:rsidR="001C34A2" w:rsidRPr="00BD1319">
        <w:rPr>
          <w:spacing w:val="-3"/>
        </w:rPr>
        <w:t xml:space="preserve"> dada la ejecución del proyecto;</w:t>
      </w:r>
      <w:r w:rsidRPr="00BD1319">
        <w:rPr>
          <w:spacing w:val="-3"/>
        </w:rPr>
        <w:t xml:space="preserve"> </w:t>
      </w:r>
      <w:r w:rsidRPr="00BD1319">
        <w:rPr>
          <w:lang w:val="es-ES_tradnl"/>
        </w:rPr>
        <w:t xml:space="preserve">es decir, se debe buscar que </w:t>
      </w:r>
      <w:r w:rsidR="00387117" w:rsidRPr="00BD1319">
        <w:rPr>
          <w:lang w:val="es-ES_tradnl"/>
        </w:rPr>
        <w:t xml:space="preserve">estas </w:t>
      </w:r>
      <w:r w:rsidRPr="00BD1319">
        <w:rPr>
          <w:lang w:val="es-ES_tradnl"/>
        </w:rPr>
        <w:t xml:space="preserve">medidas </w:t>
      </w:r>
      <w:r w:rsidR="00E5481D" w:rsidRPr="00BD1319">
        <w:rPr>
          <w:lang w:val="es-ES_tradnl"/>
        </w:rPr>
        <w:t xml:space="preserve">contribuyan a la </w:t>
      </w:r>
      <w:r w:rsidRPr="00BD1319">
        <w:rPr>
          <w:lang w:val="es-ES"/>
        </w:rPr>
        <w:t>redu</w:t>
      </w:r>
      <w:r w:rsidR="00E5481D" w:rsidRPr="00BD1319">
        <w:rPr>
          <w:lang w:val="es-ES"/>
        </w:rPr>
        <w:t xml:space="preserve">cción de las </w:t>
      </w:r>
      <w:r w:rsidRPr="00BD1319">
        <w:rPr>
          <w:lang w:val="es-ES"/>
        </w:rPr>
        <w:t xml:space="preserve">emisiones netas </w:t>
      </w:r>
      <w:r w:rsidR="009A7365" w:rsidRPr="00BD1319">
        <w:rPr>
          <w:lang w:val="es-ES"/>
        </w:rPr>
        <w:t xml:space="preserve">de GEI </w:t>
      </w:r>
      <w:r w:rsidRPr="00BD1319">
        <w:rPr>
          <w:lang w:val="es-ES"/>
        </w:rPr>
        <w:t xml:space="preserve">a la atmósfera y </w:t>
      </w:r>
      <w:r w:rsidR="00E5481D" w:rsidRPr="00BD1319">
        <w:rPr>
          <w:lang w:val="es-ES"/>
        </w:rPr>
        <w:t xml:space="preserve">a la </w:t>
      </w:r>
      <w:r w:rsidR="00A563A5" w:rsidRPr="00BD1319">
        <w:rPr>
          <w:lang w:val="es-ES"/>
        </w:rPr>
        <w:t xml:space="preserve">disminución de </w:t>
      </w:r>
      <w:r w:rsidRPr="00BD1319">
        <w:rPr>
          <w:lang w:val="es-ES"/>
        </w:rPr>
        <w:t>los riesgos derivados del cambio del clima (reduciendo la vulnerabilidad y la exposición de elementos según los resultados de aplicar los lineamientos del numeral</w:t>
      </w:r>
      <w:r w:rsidR="006F29A4" w:rsidRPr="00BD1319">
        <w:rPr>
          <w:lang w:val="es-ES"/>
        </w:rPr>
        <w:t xml:space="preserve"> </w:t>
      </w:r>
      <w:r w:rsidR="00064A83" w:rsidRPr="00BD1319">
        <w:rPr>
          <w:lang w:val="es-ES"/>
        </w:rPr>
        <w:fldChar w:fldCharType="begin"/>
      </w:r>
      <w:r w:rsidR="00064A83" w:rsidRPr="00BD1319">
        <w:rPr>
          <w:lang w:val="es-ES"/>
        </w:rPr>
        <w:instrText xml:space="preserve"> REF _Ref175323999 \r \h </w:instrText>
      </w:r>
      <w:r w:rsidR="00BD1319">
        <w:rPr>
          <w:lang w:val="es-ES"/>
        </w:rPr>
        <w:instrText xml:space="preserve"> \* MERGEFORMAT </w:instrText>
      </w:r>
      <w:r w:rsidR="00064A83" w:rsidRPr="00BD1319">
        <w:rPr>
          <w:lang w:val="es-ES"/>
        </w:rPr>
      </w:r>
      <w:r w:rsidR="00064A83" w:rsidRPr="00BD1319">
        <w:rPr>
          <w:lang w:val="es-ES"/>
        </w:rPr>
        <w:fldChar w:fldCharType="separate"/>
      </w:r>
      <w:r w:rsidR="00296654" w:rsidRPr="00BD1319">
        <w:rPr>
          <w:lang w:val="es-ES"/>
        </w:rPr>
        <w:t>10.7.2.2</w:t>
      </w:r>
      <w:r w:rsidR="00064A83" w:rsidRPr="00BD1319">
        <w:rPr>
          <w:lang w:val="es-ES"/>
        </w:rPr>
        <w:fldChar w:fldCharType="end"/>
      </w:r>
      <w:r w:rsidRPr="00BD1319">
        <w:rPr>
          <w:lang w:val="es-ES"/>
        </w:rPr>
        <w:t xml:space="preserve">), respectivamente. </w:t>
      </w:r>
      <w:r w:rsidRPr="00BD1319">
        <w:rPr>
          <w:spacing w:val="-3"/>
          <w:lang w:val="es-ES"/>
        </w:rPr>
        <w:t xml:space="preserve">En cualquier caso, es necesario identificar qué medidas de </w:t>
      </w:r>
      <w:r w:rsidR="00387117" w:rsidRPr="00BD1319">
        <w:rPr>
          <w:spacing w:val="-3"/>
          <w:lang w:val="es-ES"/>
        </w:rPr>
        <w:t xml:space="preserve">intervención </w:t>
      </w:r>
      <w:r w:rsidRPr="00BD1319">
        <w:rPr>
          <w:spacing w:val="-3"/>
          <w:lang w:val="es-ES"/>
        </w:rPr>
        <w:t xml:space="preserve">son también medidas de mitigación de GEI o de adaptación al cambio climático y </w:t>
      </w:r>
      <w:r w:rsidR="00387117" w:rsidRPr="00BD1319">
        <w:rPr>
          <w:spacing w:val="-3"/>
          <w:lang w:val="es-ES"/>
        </w:rPr>
        <w:t xml:space="preserve">con este fin, así como </w:t>
      </w:r>
      <w:r w:rsidR="00CC7CB7" w:rsidRPr="00BD1319">
        <w:rPr>
          <w:spacing w:val="-3"/>
          <w:lang w:val="es-ES"/>
        </w:rPr>
        <w:t xml:space="preserve">con el </w:t>
      </w:r>
      <w:r w:rsidR="00387117" w:rsidRPr="00BD1319">
        <w:rPr>
          <w:spacing w:val="-3"/>
          <w:lang w:val="es-ES"/>
        </w:rPr>
        <w:t xml:space="preserve">de articularlas con las medidas </w:t>
      </w:r>
      <w:r w:rsidR="00387117" w:rsidRPr="00BD1319">
        <w:rPr>
          <w:spacing w:val="-3"/>
          <w:lang w:val="es-ES"/>
        </w:rPr>
        <w:lastRenderedPageBreak/>
        <w:t>de manejo establecidas en el PMA y de facilitar su ejecución y seguimiento</w:t>
      </w:r>
      <w:r w:rsidRPr="00BD1319">
        <w:rPr>
          <w:spacing w:val="-3"/>
          <w:lang w:val="es-ES"/>
        </w:rPr>
        <w:t xml:space="preserve">, </w:t>
      </w:r>
      <w:r w:rsidR="00A563A5" w:rsidRPr="00BD1319">
        <w:rPr>
          <w:rFonts w:eastAsia="Arial"/>
          <w:color w:val="000000" w:themeColor="text1"/>
        </w:rPr>
        <w:t xml:space="preserve">es necesario definir para cada una de </w:t>
      </w:r>
      <w:r w:rsidR="00CC7CB7" w:rsidRPr="00BD1319">
        <w:rPr>
          <w:rFonts w:eastAsia="Arial"/>
          <w:color w:val="000000" w:themeColor="text1"/>
        </w:rPr>
        <w:t xml:space="preserve">las medidas de intervención </w:t>
      </w:r>
      <w:r w:rsidR="00A563A5" w:rsidRPr="00BD1319">
        <w:rPr>
          <w:rFonts w:eastAsia="Arial"/>
          <w:color w:val="000000" w:themeColor="text1"/>
        </w:rPr>
        <w:t>lo siguiente:</w:t>
      </w:r>
    </w:p>
    <w:p w14:paraId="63520ED5" w14:textId="77777777" w:rsidR="00852021" w:rsidRPr="00BD1319" w:rsidRDefault="00852021">
      <w:pPr>
        <w:rPr>
          <w:rFonts w:eastAsia="Arial"/>
          <w:color w:val="000000" w:themeColor="text1"/>
          <w:lang w:val="es-ES"/>
        </w:rPr>
      </w:pPr>
    </w:p>
    <w:p w14:paraId="4D72B94D" w14:textId="4CC144A3" w:rsidR="00B364D5" w:rsidRPr="00BD1319" w:rsidRDefault="00B364D5" w:rsidP="00B364D5">
      <w:pPr>
        <w:numPr>
          <w:ilvl w:val="0"/>
          <w:numId w:val="19"/>
        </w:numPr>
        <w:tabs>
          <w:tab w:val="left" w:pos="-2268"/>
        </w:tabs>
        <w:suppressAutoHyphens/>
        <w:ind w:left="567" w:hanging="567"/>
        <w:rPr>
          <w:spacing w:val="-3"/>
        </w:rPr>
      </w:pPr>
      <w:r w:rsidRPr="00BD1319">
        <w:rPr>
          <w:spacing w:val="-3"/>
        </w:rPr>
        <w:t>Riesgo al cual se dirige.</w:t>
      </w:r>
    </w:p>
    <w:p w14:paraId="453BA3FA" w14:textId="77777777" w:rsidR="00B364D5" w:rsidRPr="00BD1319" w:rsidRDefault="00B364D5" w:rsidP="00B364D5">
      <w:pPr>
        <w:tabs>
          <w:tab w:val="left" w:pos="-2268"/>
        </w:tabs>
        <w:suppressAutoHyphens/>
        <w:rPr>
          <w:spacing w:val="-3"/>
        </w:rPr>
      </w:pPr>
    </w:p>
    <w:p w14:paraId="0AA8FE80" w14:textId="4DD18F17" w:rsidR="00B364D5" w:rsidRPr="00BD1319" w:rsidRDefault="00B364D5" w:rsidP="00B364D5">
      <w:pPr>
        <w:numPr>
          <w:ilvl w:val="0"/>
          <w:numId w:val="19"/>
        </w:numPr>
        <w:tabs>
          <w:tab w:val="left" w:pos="-2268"/>
        </w:tabs>
        <w:suppressAutoHyphens/>
        <w:ind w:left="567" w:hanging="567"/>
        <w:rPr>
          <w:spacing w:val="-3"/>
        </w:rPr>
      </w:pPr>
      <w:r w:rsidRPr="00BD1319">
        <w:rPr>
          <w:spacing w:val="-3"/>
        </w:rPr>
        <w:t>Tipo de medida de intervención (correctiva, prospectiva).</w:t>
      </w:r>
    </w:p>
    <w:p w14:paraId="10383577" w14:textId="77777777" w:rsidR="00B364D5" w:rsidRPr="00BD1319" w:rsidRDefault="00B364D5" w:rsidP="00B364D5">
      <w:pPr>
        <w:rPr>
          <w:spacing w:val="-3"/>
        </w:rPr>
      </w:pPr>
    </w:p>
    <w:p w14:paraId="5B9F1F76" w14:textId="000A4507" w:rsidR="009B72DF" w:rsidRPr="00BD1319" w:rsidRDefault="009B72DF" w:rsidP="009B72DF">
      <w:pPr>
        <w:numPr>
          <w:ilvl w:val="0"/>
          <w:numId w:val="19"/>
        </w:numPr>
        <w:tabs>
          <w:tab w:val="left" w:pos="-2268"/>
        </w:tabs>
        <w:suppressAutoHyphens/>
        <w:ind w:left="567" w:hanging="567"/>
        <w:rPr>
          <w:spacing w:val="-3"/>
        </w:rPr>
      </w:pPr>
      <w:r w:rsidRPr="00BD1319">
        <w:rPr>
          <w:rFonts w:cs="Arial"/>
          <w:spacing w:val="-3"/>
        </w:rPr>
        <w:t>Clasificación de la medida (estructural, no estructural) y descripción sucinta</w:t>
      </w:r>
      <w:r w:rsidRPr="00BD1319">
        <w:rPr>
          <w:spacing w:val="-3"/>
        </w:rPr>
        <w:t xml:space="preserve"> de las obras que se propone construir, en caso de aplicar.</w:t>
      </w:r>
    </w:p>
    <w:p w14:paraId="28262D28" w14:textId="77777777" w:rsidR="009B72DF" w:rsidRPr="00BD1319" w:rsidRDefault="009B72DF" w:rsidP="00B364D5">
      <w:pPr>
        <w:rPr>
          <w:spacing w:val="-3"/>
        </w:rPr>
      </w:pPr>
    </w:p>
    <w:p w14:paraId="094CEF36" w14:textId="66482B7C" w:rsidR="009B72DF" w:rsidRPr="00BD1319" w:rsidRDefault="009B72DF" w:rsidP="009B72DF">
      <w:pPr>
        <w:numPr>
          <w:ilvl w:val="0"/>
          <w:numId w:val="19"/>
        </w:numPr>
        <w:tabs>
          <w:tab w:val="left" w:pos="-2268"/>
        </w:tabs>
        <w:suppressAutoHyphens/>
        <w:ind w:left="567" w:hanging="567"/>
        <w:rPr>
          <w:rFonts w:cs="Arial"/>
          <w:spacing w:val="-3"/>
        </w:rPr>
      </w:pPr>
      <w:r w:rsidRPr="00BD1319">
        <w:rPr>
          <w:rFonts w:cs="Arial"/>
          <w:spacing w:val="-3"/>
        </w:rPr>
        <w:t>Metas. D</w:t>
      </w:r>
      <w:r w:rsidRPr="00BD1319">
        <w:rPr>
          <w:spacing w:val="-3"/>
        </w:rPr>
        <w:t>eben especificar de forma cuantitativa</w:t>
      </w:r>
      <w:r w:rsidR="00A563A5" w:rsidRPr="00BD1319">
        <w:rPr>
          <w:spacing w:val="-3"/>
        </w:rPr>
        <w:t>,</w:t>
      </w:r>
      <w:r w:rsidRPr="00BD1319">
        <w:rPr>
          <w:spacing w:val="-3"/>
        </w:rPr>
        <w:t xml:space="preserve"> si ello resulta posible, qué resultados finales y parciales en el parámetro, indicador o índice asociado se espera obtener mediante la aplicación de tal medida</w:t>
      </w:r>
      <w:r w:rsidRPr="00BD1319">
        <w:rPr>
          <w:rFonts w:cs="Arial"/>
          <w:spacing w:val="-3"/>
        </w:rPr>
        <w:t>.</w:t>
      </w:r>
    </w:p>
    <w:p w14:paraId="6A77999C" w14:textId="77777777" w:rsidR="009B72DF" w:rsidRPr="00BD1319" w:rsidRDefault="009B72DF" w:rsidP="000D6E21">
      <w:pPr>
        <w:rPr>
          <w:spacing w:val="-3"/>
        </w:rPr>
      </w:pPr>
    </w:p>
    <w:p w14:paraId="724B7297" w14:textId="217CA1B4" w:rsidR="00A768F0" w:rsidRPr="00BD1319" w:rsidRDefault="00A768F0" w:rsidP="00A768F0">
      <w:pPr>
        <w:numPr>
          <w:ilvl w:val="0"/>
          <w:numId w:val="19"/>
        </w:numPr>
        <w:tabs>
          <w:tab w:val="left" w:pos="-2268"/>
        </w:tabs>
        <w:suppressAutoHyphens/>
        <w:ind w:left="567" w:hanging="567"/>
        <w:rPr>
          <w:spacing w:val="-3"/>
        </w:rPr>
      </w:pPr>
      <w:r w:rsidRPr="00BD1319">
        <w:rPr>
          <w:spacing w:val="-3"/>
        </w:rPr>
        <w:t>Tipo de medida de manejo en materia de cambio climático (mitigación de GEI o adaptación al cambio climático), en caso de aplicar.</w:t>
      </w:r>
    </w:p>
    <w:p w14:paraId="4677F67B" w14:textId="77777777" w:rsidR="00B364D5" w:rsidRPr="00BD1319" w:rsidRDefault="00B364D5" w:rsidP="000D6E21">
      <w:pPr>
        <w:rPr>
          <w:spacing w:val="-3"/>
        </w:rPr>
      </w:pPr>
    </w:p>
    <w:p w14:paraId="7C7227C9" w14:textId="6829CC9F" w:rsidR="00B364D5" w:rsidRPr="00BD1319" w:rsidRDefault="00B364D5" w:rsidP="00B364D5">
      <w:pPr>
        <w:numPr>
          <w:ilvl w:val="0"/>
          <w:numId w:val="19"/>
        </w:numPr>
        <w:tabs>
          <w:tab w:val="left" w:pos="-2268"/>
        </w:tabs>
        <w:suppressAutoHyphens/>
        <w:ind w:left="567" w:hanging="567"/>
        <w:rPr>
          <w:spacing w:val="-3"/>
        </w:rPr>
      </w:pPr>
      <w:r w:rsidRPr="00BD1319">
        <w:rPr>
          <w:rFonts w:cs="Arial"/>
          <w:spacing w:val="-3"/>
        </w:rPr>
        <w:t>Listado</w:t>
      </w:r>
      <w:r w:rsidRPr="00BD1319">
        <w:rPr>
          <w:spacing w:val="-3"/>
        </w:rPr>
        <w:t xml:space="preserve"> de acciones específicas a ejecutar.</w:t>
      </w:r>
    </w:p>
    <w:p w14:paraId="426D4F51" w14:textId="77777777" w:rsidR="00B364D5" w:rsidRPr="00BD1319" w:rsidRDefault="00B364D5" w:rsidP="00B364D5">
      <w:pPr>
        <w:tabs>
          <w:tab w:val="left" w:pos="-2268"/>
        </w:tabs>
        <w:suppressAutoHyphens/>
        <w:rPr>
          <w:spacing w:val="-3"/>
        </w:rPr>
      </w:pPr>
    </w:p>
    <w:p w14:paraId="7688B5A8" w14:textId="3A3FA46B" w:rsidR="00B364D5" w:rsidRPr="00BD1319" w:rsidRDefault="00B364D5" w:rsidP="00B364D5">
      <w:pPr>
        <w:numPr>
          <w:ilvl w:val="0"/>
          <w:numId w:val="19"/>
        </w:numPr>
        <w:tabs>
          <w:tab w:val="left" w:pos="-2268"/>
        </w:tabs>
        <w:suppressAutoHyphens/>
        <w:ind w:left="567" w:hanging="567"/>
        <w:rPr>
          <w:spacing w:val="-3"/>
        </w:rPr>
      </w:pPr>
      <w:r w:rsidRPr="00BD1319">
        <w:rPr>
          <w:spacing w:val="-3"/>
        </w:rPr>
        <w:t xml:space="preserve">Fases del proyecto, obra o actividad en las que se </w:t>
      </w:r>
      <w:r w:rsidRPr="00BD1319">
        <w:rPr>
          <w:rFonts w:cs="Arial"/>
          <w:spacing w:val="-3"/>
        </w:rPr>
        <w:t xml:space="preserve">prevé </w:t>
      </w:r>
      <w:r w:rsidR="000E6C25" w:rsidRPr="00BD1319">
        <w:rPr>
          <w:rFonts w:cs="Arial"/>
          <w:spacing w:val="-3"/>
        </w:rPr>
        <w:t xml:space="preserve">su </w:t>
      </w:r>
      <w:r w:rsidRPr="00BD1319">
        <w:rPr>
          <w:rFonts w:cs="Arial"/>
          <w:spacing w:val="-3"/>
        </w:rPr>
        <w:t>implementa</w:t>
      </w:r>
      <w:r w:rsidR="000E6C25" w:rsidRPr="00BD1319">
        <w:rPr>
          <w:rFonts w:cs="Arial"/>
          <w:spacing w:val="-3"/>
        </w:rPr>
        <w:t>ción</w:t>
      </w:r>
      <w:r w:rsidRPr="00BD1319">
        <w:rPr>
          <w:spacing w:val="-3"/>
        </w:rPr>
        <w:t>.</w:t>
      </w:r>
    </w:p>
    <w:p w14:paraId="75ADE910" w14:textId="77777777" w:rsidR="00B364D5" w:rsidRPr="00BD1319" w:rsidRDefault="00B364D5" w:rsidP="00B364D5">
      <w:pPr>
        <w:tabs>
          <w:tab w:val="left" w:pos="-2268"/>
        </w:tabs>
        <w:suppressAutoHyphens/>
        <w:rPr>
          <w:spacing w:val="-3"/>
        </w:rPr>
      </w:pPr>
    </w:p>
    <w:p w14:paraId="2BD2EE8B" w14:textId="60582E50" w:rsidR="00B364D5" w:rsidRPr="00BD1319" w:rsidRDefault="00B364D5" w:rsidP="00B364D5">
      <w:pPr>
        <w:numPr>
          <w:ilvl w:val="0"/>
          <w:numId w:val="19"/>
        </w:numPr>
        <w:tabs>
          <w:tab w:val="left" w:pos="-2268"/>
        </w:tabs>
        <w:suppressAutoHyphens/>
        <w:ind w:left="567" w:hanging="567"/>
        <w:rPr>
          <w:rFonts w:cs="Arial"/>
          <w:spacing w:val="-3"/>
        </w:rPr>
      </w:pPr>
      <w:r w:rsidRPr="00BD1319">
        <w:rPr>
          <w:spacing w:val="-3"/>
        </w:rPr>
        <w:t xml:space="preserve">Cronograma </w:t>
      </w:r>
      <w:r w:rsidRPr="00BD1319">
        <w:rPr>
          <w:rFonts w:cs="Arial"/>
          <w:spacing w:val="-3"/>
        </w:rPr>
        <w:t xml:space="preserve">anual </w:t>
      </w:r>
      <w:r w:rsidRPr="00BD1319">
        <w:rPr>
          <w:spacing w:val="-3"/>
        </w:rPr>
        <w:t>estimado de implementación</w:t>
      </w:r>
      <w:r w:rsidRPr="00BD1319">
        <w:rPr>
          <w:rFonts w:cs="Arial"/>
          <w:spacing w:val="-3"/>
        </w:rPr>
        <w:t>.</w:t>
      </w:r>
    </w:p>
    <w:p w14:paraId="56161B58" w14:textId="77777777" w:rsidR="00B364D5" w:rsidRPr="00BD1319" w:rsidRDefault="00B364D5" w:rsidP="00B364D5">
      <w:pPr>
        <w:tabs>
          <w:tab w:val="left" w:pos="-2268"/>
        </w:tabs>
        <w:suppressAutoHyphens/>
        <w:rPr>
          <w:spacing w:val="-3"/>
        </w:rPr>
      </w:pPr>
    </w:p>
    <w:p w14:paraId="2923D86F" w14:textId="2C1ACCA6" w:rsidR="00B364D5" w:rsidRPr="00BD1319" w:rsidRDefault="00B364D5" w:rsidP="00B364D5">
      <w:pPr>
        <w:numPr>
          <w:ilvl w:val="0"/>
          <w:numId w:val="19"/>
        </w:numPr>
        <w:tabs>
          <w:tab w:val="left" w:pos="-2268"/>
        </w:tabs>
        <w:suppressAutoHyphens/>
        <w:ind w:left="567" w:hanging="567"/>
        <w:rPr>
          <w:spacing w:val="-3"/>
        </w:rPr>
      </w:pPr>
      <w:r w:rsidRPr="00BD1319">
        <w:rPr>
          <w:spacing w:val="-3"/>
        </w:rPr>
        <w:t>Lugares de aplicación, señalando siempre que sea posible su ubicación en términos de coordenadas o de unidades de análisis.</w:t>
      </w:r>
    </w:p>
    <w:p w14:paraId="5F32EF84" w14:textId="77777777" w:rsidR="00B364D5" w:rsidRPr="00BD1319" w:rsidRDefault="00B364D5" w:rsidP="00B364D5">
      <w:pPr>
        <w:tabs>
          <w:tab w:val="left" w:pos="-2268"/>
        </w:tabs>
        <w:suppressAutoHyphens/>
        <w:rPr>
          <w:spacing w:val="-3"/>
        </w:rPr>
      </w:pPr>
    </w:p>
    <w:p w14:paraId="6B0F63D9" w14:textId="77777777" w:rsidR="00B364D5" w:rsidRPr="00BD1319" w:rsidRDefault="00B364D5" w:rsidP="00B364D5">
      <w:pPr>
        <w:numPr>
          <w:ilvl w:val="0"/>
          <w:numId w:val="19"/>
        </w:numPr>
        <w:tabs>
          <w:tab w:val="left" w:pos="-2268"/>
        </w:tabs>
        <w:suppressAutoHyphens/>
        <w:ind w:left="567" w:hanging="567"/>
        <w:rPr>
          <w:spacing w:val="-3"/>
        </w:rPr>
      </w:pPr>
      <w:r w:rsidRPr="00BD1319">
        <w:rPr>
          <w:rFonts w:cs="Arial"/>
          <w:spacing w:val="-3"/>
        </w:rPr>
        <w:t xml:space="preserve">Estimativo de </w:t>
      </w:r>
      <w:r w:rsidRPr="00BD1319">
        <w:rPr>
          <w:spacing w:val="-3"/>
        </w:rPr>
        <w:t xml:space="preserve">los </w:t>
      </w:r>
      <w:r w:rsidRPr="00BD1319">
        <w:rPr>
          <w:rFonts w:cs="Arial"/>
          <w:spacing w:val="-3"/>
        </w:rPr>
        <w:t xml:space="preserve">recursos </w:t>
      </w:r>
      <w:r w:rsidRPr="00BD1319">
        <w:rPr>
          <w:spacing w:val="-3"/>
        </w:rPr>
        <w:t xml:space="preserve">(humanos, técnicos y tecnológicos, maquinaria y equipos, materiales, entre otros) </w:t>
      </w:r>
      <w:r w:rsidRPr="00BD1319">
        <w:rPr>
          <w:rFonts w:cs="Arial"/>
          <w:spacing w:val="-3"/>
        </w:rPr>
        <w:t>y costos necesarios para la</w:t>
      </w:r>
      <w:r w:rsidRPr="00BD1319">
        <w:rPr>
          <w:spacing w:val="-3"/>
        </w:rPr>
        <w:t xml:space="preserve"> implementación de cada medida.</w:t>
      </w:r>
    </w:p>
    <w:p w14:paraId="48766242" w14:textId="77777777" w:rsidR="00B364D5" w:rsidRPr="00BD1319" w:rsidRDefault="00B364D5" w:rsidP="00B364D5">
      <w:pPr>
        <w:rPr>
          <w:spacing w:val="-3"/>
        </w:rPr>
      </w:pPr>
    </w:p>
    <w:p w14:paraId="00A46382" w14:textId="192030CB" w:rsidR="00B364D5" w:rsidRPr="00BD1319" w:rsidRDefault="00B364D5" w:rsidP="00B364D5">
      <w:pPr>
        <w:numPr>
          <w:ilvl w:val="0"/>
          <w:numId w:val="19"/>
        </w:numPr>
        <w:tabs>
          <w:tab w:val="left" w:pos="-2268"/>
        </w:tabs>
        <w:suppressAutoHyphens/>
        <w:ind w:left="567" w:hanging="567"/>
        <w:rPr>
          <w:spacing w:val="-3"/>
        </w:rPr>
      </w:pPr>
      <w:r w:rsidRPr="00BD1319">
        <w:rPr>
          <w:spacing w:val="-3"/>
        </w:rPr>
        <w:t>Indicador de eficacia.</w:t>
      </w:r>
    </w:p>
    <w:p w14:paraId="236B70EA" w14:textId="77777777" w:rsidR="00B364D5" w:rsidRPr="00BD1319" w:rsidRDefault="00B364D5">
      <w:pPr>
        <w:rPr>
          <w:rFonts w:eastAsia="Arial" w:cs="Arial"/>
          <w:color w:val="000000" w:themeColor="text1"/>
        </w:rPr>
      </w:pPr>
    </w:p>
    <w:p w14:paraId="70872AB0" w14:textId="18060652" w:rsidR="00076F22" w:rsidRPr="00BD1319" w:rsidRDefault="00076F22">
      <w:pPr>
        <w:rPr>
          <w:rFonts w:eastAsia="Arial" w:cs="Arial"/>
          <w:color w:val="000000" w:themeColor="text1"/>
        </w:rPr>
      </w:pPr>
      <w:r w:rsidRPr="00BD1319">
        <w:rPr>
          <w:rFonts w:eastAsia="Arial" w:cs="Arial"/>
          <w:color w:val="000000" w:themeColor="text1"/>
        </w:rPr>
        <w:t>Es de anotar que las autoridades ambientales no tienen competencia para pronuncia</w:t>
      </w:r>
      <w:r w:rsidR="004E6945" w:rsidRPr="00BD1319">
        <w:rPr>
          <w:rFonts w:eastAsia="Arial" w:cs="Arial"/>
          <w:color w:val="000000" w:themeColor="text1"/>
        </w:rPr>
        <w:t xml:space="preserve">rse sobre o para </w:t>
      </w:r>
      <w:r w:rsidRPr="00BD1319">
        <w:rPr>
          <w:rFonts w:eastAsia="Arial" w:cs="Arial"/>
          <w:color w:val="000000" w:themeColor="text1"/>
        </w:rPr>
        <w:t>autoriza</w:t>
      </w:r>
      <w:r w:rsidR="004E6945" w:rsidRPr="00BD1319">
        <w:rPr>
          <w:rFonts w:eastAsia="Arial" w:cs="Arial"/>
          <w:color w:val="000000" w:themeColor="text1"/>
        </w:rPr>
        <w:t xml:space="preserve">r </w:t>
      </w:r>
      <w:r w:rsidRPr="00BD1319">
        <w:rPr>
          <w:rFonts w:eastAsia="Arial" w:cs="Arial"/>
          <w:color w:val="000000" w:themeColor="text1"/>
        </w:rPr>
        <w:t xml:space="preserve">diseños de obras </w:t>
      </w:r>
      <w:r w:rsidR="004E6945" w:rsidRPr="00BD1319">
        <w:rPr>
          <w:rFonts w:eastAsia="Arial" w:cs="Arial"/>
          <w:color w:val="000000" w:themeColor="text1"/>
        </w:rPr>
        <w:t xml:space="preserve">o </w:t>
      </w:r>
      <w:r w:rsidRPr="00BD1319">
        <w:rPr>
          <w:rFonts w:eastAsia="Arial" w:cs="Arial"/>
          <w:color w:val="000000" w:themeColor="text1"/>
        </w:rPr>
        <w:t>estructurales civiles.</w:t>
      </w:r>
    </w:p>
    <w:p w14:paraId="5D85647A" w14:textId="77777777" w:rsidR="009F56FA" w:rsidRPr="00BD1319" w:rsidRDefault="009F56FA">
      <w:pPr>
        <w:rPr>
          <w:rFonts w:cs="Arial"/>
          <w:szCs w:val="20"/>
        </w:rPr>
      </w:pPr>
    </w:p>
    <w:p w14:paraId="3D64EB4C" w14:textId="64367A67" w:rsidR="00076F22" w:rsidRPr="00BD1319" w:rsidRDefault="00076F22" w:rsidP="00216955">
      <w:pPr>
        <w:pStyle w:val="Ttulo3"/>
      </w:pPr>
      <w:bookmarkStart w:id="11348" w:name="_Ref142917460"/>
      <w:bookmarkStart w:id="11349" w:name="_Toc175326826"/>
      <w:r w:rsidRPr="00BD1319">
        <w:t>Manejo de la contingencia</w:t>
      </w:r>
      <w:bookmarkEnd w:id="11348"/>
      <w:bookmarkEnd w:id="11349"/>
    </w:p>
    <w:p w14:paraId="63A384D8" w14:textId="77777777" w:rsidR="00076F22" w:rsidRPr="00BD1319" w:rsidRDefault="00076F22" w:rsidP="00C86DA5"/>
    <w:p w14:paraId="132C4231" w14:textId="721DFEA8" w:rsidR="00076F22" w:rsidRPr="00BD1319" w:rsidRDefault="00F309AA" w:rsidP="00C86DA5">
      <w:r w:rsidRPr="00BD1319">
        <w:rPr>
          <w:rFonts w:cs="Arial"/>
        </w:rPr>
        <w:t>El</w:t>
      </w:r>
      <w:r w:rsidRPr="00BD1319">
        <w:t xml:space="preserve"> manejo </w:t>
      </w:r>
      <w:r w:rsidRPr="00BD1319">
        <w:rPr>
          <w:rFonts w:cs="Arial"/>
        </w:rPr>
        <w:t>de la contingencia</w:t>
      </w:r>
      <w:r w:rsidRPr="00BD1319">
        <w:t xml:space="preserve"> prepara</w:t>
      </w:r>
      <w:r w:rsidR="00C633E2" w:rsidRPr="00BD1319">
        <w:t xml:space="preserve"> </w:t>
      </w:r>
      <w:r w:rsidRPr="00BD1319">
        <w:t xml:space="preserve">la respuesta que con base en los escenarios posibles y priorizados (identificados en el proceso de conocimiento del riesgo), define los mecanismos de organización, coordinación, funciones, competencias, responsabilidades, así como recursos disponibles y necesarios para garantizar la atención efectiva de las contingencias que se puedan presentar. Igualmente, precisa los procedimientos y protocolos de actuación para cada una de </w:t>
      </w:r>
      <w:r w:rsidR="00C633E2" w:rsidRPr="00BD1319">
        <w:t xml:space="preserve">las contingencias a fin de </w:t>
      </w:r>
      <w:r w:rsidRPr="00BD1319">
        <w:lastRenderedPageBreak/>
        <w:t>minimiza</w:t>
      </w:r>
      <w:r w:rsidR="00C633E2" w:rsidRPr="00BD1319">
        <w:t xml:space="preserve">r </w:t>
      </w:r>
      <w:r w:rsidRPr="00BD1319">
        <w:t xml:space="preserve">la afectación a las personas, </w:t>
      </w:r>
      <w:r w:rsidR="007157A4" w:rsidRPr="00BD1319">
        <w:t xml:space="preserve">a </w:t>
      </w:r>
      <w:r w:rsidR="00324143" w:rsidRPr="00BD1319">
        <w:t xml:space="preserve">sus bienes y </w:t>
      </w:r>
      <w:r w:rsidR="007157A4" w:rsidRPr="00BD1319">
        <w:t>a</w:t>
      </w:r>
      <w:r w:rsidRPr="00BD1319">
        <w:t xml:space="preserve">l ambiente. </w:t>
      </w:r>
      <w:r w:rsidRPr="00BD1319">
        <w:rPr>
          <w:rFonts w:cs="Arial"/>
        </w:rPr>
        <w:t xml:space="preserve">Su contenido mínimo </w:t>
      </w:r>
      <w:r w:rsidR="00C633E2" w:rsidRPr="00BD1319">
        <w:rPr>
          <w:rFonts w:cs="Arial"/>
        </w:rPr>
        <w:t>es</w:t>
      </w:r>
      <w:r w:rsidRPr="00BD1319">
        <w:rPr>
          <w:rFonts w:cs="Arial"/>
        </w:rPr>
        <w:t xml:space="preserve"> el siguiente:</w:t>
      </w:r>
    </w:p>
    <w:p w14:paraId="23F3FE9C" w14:textId="77777777" w:rsidR="00076F22" w:rsidRPr="00BD1319" w:rsidRDefault="00076F22" w:rsidP="00C86DA5"/>
    <w:p w14:paraId="706F20E8" w14:textId="03BF68F9" w:rsidR="003E4159" w:rsidRPr="00BD1319" w:rsidRDefault="00076F22" w:rsidP="006052B3">
      <w:pPr>
        <w:numPr>
          <w:ilvl w:val="0"/>
          <w:numId w:val="587"/>
        </w:numPr>
        <w:tabs>
          <w:tab w:val="left" w:pos="-2268"/>
        </w:tabs>
        <w:suppressAutoHyphens/>
        <w:ind w:left="567" w:hanging="567"/>
        <w:rPr>
          <w:b/>
          <w:i/>
          <w:spacing w:val="-3"/>
          <w:u w:val="single"/>
        </w:rPr>
      </w:pPr>
      <w:r w:rsidRPr="00BD1319">
        <w:rPr>
          <w:b/>
          <w:i/>
          <w:spacing w:val="-3"/>
          <w:u w:val="single"/>
        </w:rPr>
        <w:t>Componente de preparación para la respuesta</w:t>
      </w:r>
    </w:p>
    <w:p w14:paraId="251EEDB2" w14:textId="77777777" w:rsidR="003E4159" w:rsidRPr="00BD1319" w:rsidRDefault="003E4159" w:rsidP="00C86DA5">
      <w:pPr>
        <w:rPr>
          <w:rFonts w:eastAsia="Arial" w:cs="Arial"/>
          <w:color w:val="000000" w:themeColor="text1"/>
        </w:rPr>
      </w:pPr>
    </w:p>
    <w:p w14:paraId="627B71F9" w14:textId="4B89941B" w:rsidR="00076F22" w:rsidRPr="00BD1319" w:rsidRDefault="00673E23" w:rsidP="003725C8">
      <w:pPr>
        <w:rPr>
          <w:rFonts w:eastAsiaTheme="minorEastAsia"/>
        </w:rPr>
      </w:pPr>
      <w:r w:rsidRPr="00BD1319">
        <w:rPr>
          <w:rFonts w:eastAsia="Arial" w:cs="Arial"/>
          <w:color w:val="000000" w:themeColor="text1"/>
        </w:rPr>
        <w:t xml:space="preserve">Debe establecer </w:t>
      </w:r>
      <w:r w:rsidR="00076F22" w:rsidRPr="00BD1319">
        <w:rPr>
          <w:rFonts w:eastAsia="Arial" w:cs="Arial"/>
          <w:color w:val="000000" w:themeColor="text1"/>
        </w:rPr>
        <w:t xml:space="preserve">el conjunto de acciones previas a la </w:t>
      </w:r>
      <w:r w:rsidR="00076F22" w:rsidRPr="00BD1319">
        <w:rPr>
          <w:rFonts w:eastAsia="Arial"/>
        </w:rPr>
        <w:t>respuesta ante una contingencia</w:t>
      </w:r>
      <w:r w:rsidR="003E4159" w:rsidRPr="00BD1319">
        <w:rPr>
          <w:rFonts w:eastAsia="Arial"/>
        </w:rPr>
        <w:t>,</w:t>
      </w:r>
      <w:r w:rsidR="00076F22" w:rsidRPr="00BD1319">
        <w:rPr>
          <w:rFonts w:eastAsia="Arial"/>
        </w:rPr>
        <w:t xml:space="preserve"> </w:t>
      </w:r>
      <w:r w:rsidRPr="00BD1319">
        <w:rPr>
          <w:rFonts w:eastAsia="Arial"/>
        </w:rPr>
        <w:t xml:space="preserve">así como desarrollar el </w:t>
      </w:r>
      <w:r w:rsidR="003E4159" w:rsidRPr="00BD1319">
        <w:rPr>
          <w:rFonts w:eastAsia="Arial"/>
        </w:rPr>
        <w:t>siguiente</w:t>
      </w:r>
      <w:r w:rsidRPr="00BD1319">
        <w:rPr>
          <w:rFonts w:eastAsia="Arial"/>
        </w:rPr>
        <w:t xml:space="preserve"> contenido</w:t>
      </w:r>
      <w:r w:rsidR="00076F22" w:rsidRPr="00BD1319">
        <w:rPr>
          <w:rFonts w:eastAsia="Arial"/>
        </w:rPr>
        <w:t>:</w:t>
      </w:r>
    </w:p>
    <w:p w14:paraId="34D04C5A" w14:textId="77777777" w:rsidR="00076F22" w:rsidRPr="00BD1319" w:rsidRDefault="00076F22" w:rsidP="009420F5">
      <w:pPr>
        <w:rPr>
          <w:rFonts w:eastAsiaTheme="minorEastAsia"/>
          <w:color w:val="000000" w:themeColor="text1"/>
        </w:rPr>
      </w:pPr>
    </w:p>
    <w:p w14:paraId="51127330" w14:textId="1D4B92E2" w:rsidR="003665F5" w:rsidRPr="00BD1319" w:rsidRDefault="00076F22" w:rsidP="003725C8">
      <w:pPr>
        <w:pStyle w:val="Prrafodelista"/>
        <w:numPr>
          <w:ilvl w:val="0"/>
          <w:numId w:val="51"/>
        </w:numPr>
        <w:ind w:left="567" w:hanging="567"/>
        <w:contextualSpacing/>
        <w:rPr>
          <w:rFonts w:eastAsiaTheme="minorEastAsia" w:cs="Arial"/>
          <w:color w:val="000000" w:themeColor="text1"/>
          <w:lang w:val="es-CO"/>
        </w:rPr>
      </w:pPr>
      <w:r w:rsidRPr="00BD1319">
        <w:rPr>
          <w:rFonts w:eastAsia="Arial" w:cs="Arial"/>
          <w:b/>
          <w:bCs/>
          <w:color w:val="000000" w:themeColor="text1"/>
          <w:lang w:val="es-CO"/>
        </w:rPr>
        <w:t>Capacitación:</w:t>
      </w:r>
      <w:r w:rsidRPr="00BD1319">
        <w:rPr>
          <w:rFonts w:eastAsia="Arial" w:cs="Arial"/>
          <w:color w:val="000000" w:themeColor="text1"/>
          <w:lang w:val="es-CO"/>
        </w:rPr>
        <w:t xml:space="preserve"> formación del personal, ya sea interno o externo, para la respuesta frente a las contingencias.</w:t>
      </w:r>
    </w:p>
    <w:p w14:paraId="360DEBF1" w14:textId="774E985A" w:rsidR="00076F22" w:rsidRPr="00BD1319" w:rsidRDefault="00076F22" w:rsidP="003725C8">
      <w:pPr>
        <w:contextualSpacing/>
        <w:rPr>
          <w:rFonts w:eastAsiaTheme="minorEastAsia" w:cs="Arial"/>
          <w:color w:val="000000" w:themeColor="text1"/>
        </w:rPr>
      </w:pPr>
    </w:p>
    <w:p w14:paraId="4F214ED2" w14:textId="3CEF5217" w:rsidR="00076F22" w:rsidRPr="00BD1319" w:rsidRDefault="00076F22" w:rsidP="003725C8">
      <w:pPr>
        <w:pStyle w:val="Prrafodelista"/>
        <w:numPr>
          <w:ilvl w:val="0"/>
          <w:numId w:val="51"/>
        </w:numPr>
        <w:ind w:left="567" w:hanging="567"/>
        <w:contextualSpacing/>
        <w:rPr>
          <w:rFonts w:eastAsiaTheme="minorEastAsia" w:cs="Arial"/>
          <w:color w:val="000000" w:themeColor="text1"/>
          <w:lang w:val="es-CO"/>
        </w:rPr>
      </w:pPr>
      <w:r w:rsidRPr="00BD1319">
        <w:rPr>
          <w:rFonts w:eastAsia="Arial" w:cs="Arial"/>
          <w:b/>
          <w:bCs/>
          <w:color w:val="000000" w:themeColor="text1"/>
          <w:lang w:val="es-CO"/>
        </w:rPr>
        <w:t>Equipamiento:</w:t>
      </w:r>
      <w:r w:rsidRPr="00BD1319">
        <w:rPr>
          <w:rFonts w:eastAsia="Arial" w:cs="Arial"/>
          <w:color w:val="000000" w:themeColor="text1"/>
          <w:lang w:val="es-CO"/>
        </w:rPr>
        <w:t xml:space="preserve"> herramientas, equipos, accesorios, sistema de alerta temprana de sus propios procesos para garantizar de manera oportuna la primera respuesta, </w:t>
      </w:r>
      <w:r w:rsidR="00103345" w:rsidRPr="00BD1319">
        <w:rPr>
          <w:rFonts w:eastAsia="Arial" w:cs="Arial"/>
          <w:color w:val="000000" w:themeColor="text1"/>
          <w:lang w:val="es-CO"/>
        </w:rPr>
        <w:t>asimismo</w:t>
      </w:r>
      <w:r w:rsidRPr="00BD1319">
        <w:rPr>
          <w:rFonts w:eastAsia="Arial" w:cs="Arial"/>
          <w:color w:val="000000" w:themeColor="text1"/>
          <w:lang w:val="es-CO"/>
        </w:rPr>
        <w:t xml:space="preserve"> la disponibilidad de personal idóneo para atender la contingencia. El inventario de recursos </w:t>
      </w:r>
      <w:r w:rsidR="00103345" w:rsidRPr="00BD1319">
        <w:rPr>
          <w:rFonts w:eastAsia="Arial" w:cs="Arial"/>
          <w:color w:val="000000" w:themeColor="text1"/>
          <w:lang w:val="es-CO"/>
        </w:rPr>
        <w:t>debe</w:t>
      </w:r>
      <w:r w:rsidRPr="00BD1319">
        <w:rPr>
          <w:rFonts w:eastAsia="Arial" w:cs="Arial"/>
          <w:color w:val="000000" w:themeColor="text1"/>
          <w:lang w:val="es-CO"/>
        </w:rPr>
        <w:t xml:space="preserve"> ser actualizado periódicamente para la atención de contingencias según cada escenario de riesgo.</w:t>
      </w:r>
    </w:p>
    <w:p w14:paraId="7DBB2717" w14:textId="442D063C" w:rsidR="003665F5" w:rsidRPr="00BD1319" w:rsidRDefault="003665F5" w:rsidP="00C86DA5">
      <w:pPr>
        <w:contextualSpacing/>
        <w:rPr>
          <w:rFonts w:eastAsiaTheme="minorEastAsia" w:cs="Arial"/>
          <w:color w:val="000000" w:themeColor="text1"/>
        </w:rPr>
      </w:pPr>
    </w:p>
    <w:p w14:paraId="4BD9B910" w14:textId="41FA1B2C" w:rsidR="00076F22" w:rsidRPr="00BD1319" w:rsidRDefault="00076F22" w:rsidP="003725C8">
      <w:pPr>
        <w:pStyle w:val="Prrafodelista"/>
        <w:numPr>
          <w:ilvl w:val="0"/>
          <w:numId w:val="51"/>
        </w:numPr>
        <w:ind w:left="567" w:hanging="567"/>
        <w:contextualSpacing/>
        <w:rPr>
          <w:color w:val="000000"/>
          <w:lang w:val="es-CO"/>
        </w:rPr>
      </w:pPr>
      <w:r w:rsidRPr="00BD1319">
        <w:rPr>
          <w:b/>
          <w:color w:val="000000"/>
          <w:lang w:val="es-CO"/>
        </w:rPr>
        <w:t>Determina</w:t>
      </w:r>
      <w:r w:rsidR="00673E23" w:rsidRPr="00BD1319">
        <w:rPr>
          <w:b/>
          <w:color w:val="000000"/>
          <w:lang w:val="es-CO"/>
        </w:rPr>
        <w:t>ción de</w:t>
      </w:r>
      <w:r w:rsidRPr="00BD1319">
        <w:rPr>
          <w:b/>
          <w:color w:val="000000"/>
          <w:lang w:val="es-CO"/>
        </w:rPr>
        <w:t xml:space="preserve"> las prioridades de protección</w:t>
      </w:r>
      <w:r w:rsidRPr="00BD1319">
        <w:rPr>
          <w:rFonts w:cs="Arial"/>
          <w:b/>
          <w:bCs/>
          <w:color w:val="000000"/>
          <w:lang w:val="es-CO"/>
        </w:rPr>
        <w:t>:</w:t>
      </w:r>
      <w:r w:rsidRPr="00BD1319">
        <w:rPr>
          <w:rFonts w:cs="Arial"/>
          <w:color w:val="000000"/>
          <w:lang w:val="es-CO"/>
        </w:rPr>
        <w:t xml:space="preserve"> </w:t>
      </w:r>
      <w:r w:rsidR="00673E23" w:rsidRPr="00BD1319">
        <w:rPr>
          <w:rFonts w:cs="Arial"/>
          <w:color w:val="000000"/>
          <w:lang w:val="es-CO"/>
        </w:rPr>
        <w:t xml:space="preserve">detalle sobre </w:t>
      </w:r>
      <w:r w:rsidRPr="00BD1319">
        <w:rPr>
          <w:rFonts w:cs="Arial"/>
          <w:color w:val="000000"/>
          <w:lang w:val="es-CO"/>
        </w:rPr>
        <w:t>cuáles son las prioridades al momento de activar el plan de contingencia</w:t>
      </w:r>
      <w:r w:rsidR="008452E2" w:rsidRPr="00BD1319">
        <w:rPr>
          <w:rFonts w:cs="Arial"/>
          <w:color w:val="000000"/>
          <w:lang w:val="es-CO"/>
        </w:rPr>
        <w:t>s</w:t>
      </w:r>
      <w:r w:rsidRPr="00BD1319">
        <w:rPr>
          <w:rFonts w:cs="Arial"/>
          <w:color w:val="000000"/>
          <w:lang w:val="es-CO"/>
        </w:rPr>
        <w:t>, asimismo definir</w:t>
      </w:r>
      <w:r w:rsidRPr="00BD1319">
        <w:rPr>
          <w:color w:val="000000"/>
          <w:lang w:val="es-CO"/>
        </w:rPr>
        <w:t xml:space="preserve"> los sitios estratégicos para el control de contingencias, teniendo en cuenta las características de las áreas </w:t>
      </w:r>
      <w:r w:rsidRPr="00BD1319">
        <w:rPr>
          <w:rFonts w:cs="Arial"/>
          <w:color w:val="000000"/>
          <w:lang w:val="es-CO"/>
        </w:rPr>
        <w:t xml:space="preserve">ambientalmente </w:t>
      </w:r>
      <w:r w:rsidRPr="00BD1319">
        <w:rPr>
          <w:color w:val="000000"/>
          <w:lang w:val="es-CO"/>
        </w:rPr>
        <w:t>sensibles.</w:t>
      </w:r>
    </w:p>
    <w:p w14:paraId="1F6961A4" w14:textId="5387E8CF" w:rsidR="003665F5" w:rsidRPr="00BD1319" w:rsidRDefault="003665F5" w:rsidP="009420F5">
      <w:pPr>
        <w:contextualSpacing/>
        <w:rPr>
          <w:color w:val="000000"/>
        </w:rPr>
      </w:pPr>
    </w:p>
    <w:p w14:paraId="7A9D6E6E" w14:textId="6F586CD8" w:rsidR="00076F22" w:rsidRPr="00BD1319" w:rsidRDefault="00076F22" w:rsidP="003725C8">
      <w:pPr>
        <w:pStyle w:val="Prrafodelista"/>
        <w:numPr>
          <w:ilvl w:val="0"/>
          <w:numId w:val="51"/>
        </w:numPr>
        <w:ind w:left="567" w:hanging="567"/>
        <w:contextualSpacing/>
        <w:rPr>
          <w:rFonts w:eastAsiaTheme="minorEastAsia" w:cs="Arial"/>
          <w:color w:val="000000" w:themeColor="text1"/>
          <w:lang w:val="es-CO"/>
        </w:rPr>
      </w:pPr>
      <w:r w:rsidRPr="00BD1319">
        <w:rPr>
          <w:rFonts w:eastAsia="Arial" w:cs="Arial"/>
          <w:b/>
          <w:bCs/>
          <w:color w:val="000000" w:themeColor="text1"/>
          <w:lang w:val="es-CO"/>
        </w:rPr>
        <w:t>Planeación y organización:</w:t>
      </w:r>
      <w:r w:rsidRPr="00BD1319">
        <w:rPr>
          <w:rFonts w:eastAsia="Arial" w:cs="Arial"/>
          <w:color w:val="000000" w:themeColor="text1"/>
          <w:lang w:val="es-CO"/>
        </w:rPr>
        <w:t xml:space="preserve"> </w:t>
      </w:r>
      <w:r w:rsidR="00673E23" w:rsidRPr="00BD1319">
        <w:rPr>
          <w:rFonts w:eastAsia="Arial" w:cs="Arial"/>
          <w:color w:val="000000" w:themeColor="text1"/>
          <w:lang w:val="es-CO"/>
        </w:rPr>
        <w:t>formulación de</w:t>
      </w:r>
      <w:r w:rsidRPr="00BD1319">
        <w:rPr>
          <w:rFonts w:eastAsia="Arial" w:cs="Arial"/>
          <w:color w:val="000000" w:themeColor="text1"/>
          <w:lang w:val="es-CO"/>
        </w:rPr>
        <w:t xml:space="preserve"> protocolos y </w:t>
      </w:r>
      <w:r w:rsidRPr="00BD1319">
        <w:rPr>
          <w:rFonts w:eastAsia="Arial"/>
          <w:color w:val="000000" w:themeColor="text1"/>
          <w:lang w:val="es-CO"/>
        </w:rPr>
        <w:t>procedimientos</w:t>
      </w:r>
      <w:r w:rsidR="003E4159" w:rsidRPr="00BD1319">
        <w:rPr>
          <w:rFonts w:eastAsia="Arial"/>
          <w:color w:val="000000" w:themeColor="text1"/>
          <w:lang w:val="es-CO"/>
        </w:rPr>
        <w:t>,</w:t>
      </w:r>
      <w:r w:rsidRPr="00BD1319">
        <w:rPr>
          <w:rFonts w:eastAsia="Arial"/>
          <w:color w:val="000000" w:themeColor="text1"/>
          <w:lang w:val="es-CO"/>
        </w:rPr>
        <w:t xml:space="preserve"> </w:t>
      </w:r>
      <w:r w:rsidRPr="00BD1319">
        <w:rPr>
          <w:rFonts w:eastAsia="Arial" w:cs="Arial"/>
          <w:color w:val="000000" w:themeColor="text1"/>
          <w:lang w:val="es-CO"/>
        </w:rPr>
        <w:t xml:space="preserve">y </w:t>
      </w:r>
      <w:r w:rsidR="00673E23" w:rsidRPr="00BD1319">
        <w:rPr>
          <w:rFonts w:eastAsia="Arial" w:cs="Arial"/>
          <w:color w:val="000000" w:themeColor="text1"/>
          <w:lang w:val="es-CO"/>
        </w:rPr>
        <w:t xml:space="preserve">definición de </w:t>
      </w:r>
      <w:r w:rsidRPr="00BD1319">
        <w:rPr>
          <w:rFonts w:eastAsia="Arial" w:cs="Arial"/>
          <w:color w:val="000000" w:themeColor="text1"/>
          <w:lang w:val="es-CO"/>
        </w:rPr>
        <w:t xml:space="preserve">un equipo </w:t>
      </w:r>
      <w:r w:rsidRPr="00BD1319">
        <w:rPr>
          <w:rFonts w:eastAsia="Arial"/>
          <w:color w:val="000000" w:themeColor="text1"/>
          <w:lang w:val="es-CO"/>
        </w:rPr>
        <w:t xml:space="preserve">de respuesta </w:t>
      </w:r>
      <w:r w:rsidRPr="00BD1319">
        <w:rPr>
          <w:rFonts w:eastAsia="Arial" w:cs="Arial"/>
          <w:color w:val="000000" w:themeColor="text1"/>
          <w:lang w:val="es-CO"/>
        </w:rPr>
        <w:t>con funciones y responsabilidades específicas, de acuerdo con cada escenario de riesgo identificado.</w:t>
      </w:r>
    </w:p>
    <w:p w14:paraId="28D39909" w14:textId="0B1AC231" w:rsidR="003665F5" w:rsidRPr="00BD1319" w:rsidRDefault="003665F5" w:rsidP="009420F5">
      <w:pPr>
        <w:contextualSpacing/>
        <w:rPr>
          <w:rFonts w:eastAsiaTheme="minorEastAsia" w:cs="Arial"/>
          <w:color w:val="000000" w:themeColor="text1"/>
        </w:rPr>
      </w:pPr>
    </w:p>
    <w:p w14:paraId="04A26714" w14:textId="2E5491E8" w:rsidR="00076F22" w:rsidRPr="00BD1319" w:rsidRDefault="00673E23" w:rsidP="003725C8">
      <w:pPr>
        <w:pStyle w:val="Prrafodelista"/>
        <w:numPr>
          <w:ilvl w:val="0"/>
          <w:numId w:val="51"/>
        </w:numPr>
        <w:ind w:left="567" w:hanging="567"/>
        <w:contextualSpacing/>
        <w:rPr>
          <w:rFonts w:eastAsiaTheme="minorEastAsia" w:cs="Arial"/>
          <w:color w:val="000000" w:themeColor="text1"/>
          <w:lang w:val="es-CO"/>
        </w:rPr>
      </w:pPr>
      <w:bookmarkStart w:id="11350" w:name="_Hlk167885898"/>
      <w:r w:rsidRPr="00BD1319">
        <w:rPr>
          <w:rFonts w:eastAsia="Arial" w:cs="Arial"/>
          <w:b/>
          <w:bCs/>
          <w:color w:val="000000" w:themeColor="text1"/>
          <w:lang w:val="es-CO"/>
        </w:rPr>
        <w:t>Procedimiento de notificación y r</w:t>
      </w:r>
      <w:r w:rsidR="00076F22" w:rsidRPr="00BD1319">
        <w:rPr>
          <w:rFonts w:eastAsia="Arial" w:cs="Arial"/>
          <w:b/>
          <w:bCs/>
          <w:color w:val="000000" w:themeColor="text1"/>
          <w:lang w:val="es-CO"/>
        </w:rPr>
        <w:t>eporte de la contingencia</w:t>
      </w:r>
      <w:bookmarkEnd w:id="11350"/>
      <w:r w:rsidRPr="00BD1319">
        <w:rPr>
          <w:rFonts w:eastAsia="Arial" w:cs="Arial"/>
          <w:b/>
          <w:bCs/>
          <w:color w:val="000000" w:themeColor="text1"/>
          <w:lang w:val="es-CO"/>
        </w:rPr>
        <w:t>:</w:t>
      </w:r>
      <w:r w:rsidR="00076F22" w:rsidRPr="00BD1319">
        <w:rPr>
          <w:rFonts w:eastAsia="Arial" w:cs="Arial"/>
          <w:color w:val="000000" w:themeColor="text1"/>
          <w:lang w:val="es-CO"/>
        </w:rPr>
        <w:t xml:space="preserve"> </w:t>
      </w:r>
      <w:r w:rsidRPr="00BD1319">
        <w:rPr>
          <w:rFonts w:eastAsia="Arial" w:cs="Arial"/>
          <w:color w:val="000000" w:themeColor="text1"/>
          <w:lang w:val="es-CO"/>
        </w:rPr>
        <w:t xml:space="preserve">formulación de protocolos y procedimientos de notificación que se articulen con entidades de apoyo externo, niveles de activación y el correspondiente reporte de eventos de contingencia, </w:t>
      </w:r>
      <w:r w:rsidR="00076F22" w:rsidRPr="00BD1319">
        <w:rPr>
          <w:rFonts w:eastAsia="Arial" w:cs="Arial"/>
          <w:color w:val="000000" w:themeColor="text1"/>
          <w:lang w:val="es-CO"/>
        </w:rPr>
        <w:t xml:space="preserve">conforme a lo establecido en la Resolución 1767 de 2016 </w:t>
      </w:r>
      <w:r w:rsidR="00076F22" w:rsidRPr="00BD1319">
        <w:rPr>
          <w:rFonts w:cs="Arial"/>
          <w:lang w:val="es-CO"/>
        </w:rPr>
        <w:t>o aquella</w:t>
      </w:r>
      <w:r w:rsidR="00076F22" w:rsidRPr="00BD1319">
        <w:rPr>
          <w:lang w:val="es-CO"/>
        </w:rPr>
        <w:t xml:space="preserve"> que la </w:t>
      </w:r>
      <w:r w:rsidR="00076F22" w:rsidRPr="00BD1319">
        <w:rPr>
          <w:rFonts w:cs="Arial"/>
          <w:lang w:val="es-CO"/>
        </w:rPr>
        <w:t>modifique o sustituya</w:t>
      </w:r>
      <w:r w:rsidR="00076F22" w:rsidRPr="00BD1319">
        <w:rPr>
          <w:rFonts w:eastAsia="Arial" w:cs="Arial"/>
          <w:color w:val="000000" w:themeColor="text1"/>
          <w:lang w:val="es-CO"/>
        </w:rPr>
        <w:t>.</w:t>
      </w:r>
    </w:p>
    <w:p w14:paraId="58A2BA8C" w14:textId="765CCFD5" w:rsidR="003665F5" w:rsidRPr="00BD1319" w:rsidRDefault="003665F5" w:rsidP="009420F5">
      <w:pPr>
        <w:contextualSpacing/>
        <w:rPr>
          <w:rFonts w:eastAsiaTheme="minorEastAsia" w:cs="Arial"/>
          <w:color w:val="000000" w:themeColor="text1"/>
        </w:rPr>
      </w:pPr>
    </w:p>
    <w:p w14:paraId="65591A25" w14:textId="089E5475" w:rsidR="00076F22" w:rsidRPr="00BD1319" w:rsidRDefault="00076F22" w:rsidP="003725C8">
      <w:pPr>
        <w:pStyle w:val="Prrafodelista"/>
        <w:numPr>
          <w:ilvl w:val="0"/>
          <w:numId w:val="51"/>
        </w:numPr>
        <w:ind w:left="567" w:hanging="567"/>
        <w:contextualSpacing/>
        <w:rPr>
          <w:rFonts w:eastAsiaTheme="minorEastAsia" w:cs="Arial"/>
          <w:color w:val="000000" w:themeColor="text1"/>
          <w:lang w:val="es-CO"/>
        </w:rPr>
      </w:pPr>
      <w:r w:rsidRPr="00BD1319">
        <w:rPr>
          <w:rFonts w:eastAsia="Arial" w:cs="Arial"/>
          <w:b/>
          <w:bCs/>
          <w:color w:val="000000" w:themeColor="text1"/>
          <w:lang w:val="es-CO"/>
        </w:rPr>
        <w:t>Ejercicios</w:t>
      </w:r>
      <w:r w:rsidRPr="00BD1319">
        <w:rPr>
          <w:rFonts w:eastAsia="Arial"/>
          <w:b/>
          <w:color w:val="000000" w:themeColor="text1"/>
          <w:lang w:val="es-CO"/>
        </w:rPr>
        <w:t xml:space="preserve"> de </w:t>
      </w:r>
      <w:r w:rsidRPr="00BD1319">
        <w:rPr>
          <w:rFonts w:eastAsia="Arial" w:cs="Arial"/>
          <w:b/>
          <w:bCs/>
          <w:color w:val="000000" w:themeColor="text1"/>
          <w:lang w:val="es-CO"/>
        </w:rPr>
        <w:t>simulaciones</w:t>
      </w:r>
      <w:r w:rsidRPr="00BD1319">
        <w:rPr>
          <w:rFonts w:eastAsia="Arial"/>
          <w:b/>
          <w:color w:val="000000" w:themeColor="text1"/>
          <w:lang w:val="es-CO"/>
        </w:rPr>
        <w:t xml:space="preserve"> y </w:t>
      </w:r>
      <w:r w:rsidRPr="00BD1319">
        <w:rPr>
          <w:rFonts w:eastAsia="Arial" w:cs="Arial"/>
          <w:b/>
          <w:bCs/>
          <w:color w:val="000000" w:themeColor="text1"/>
          <w:lang w:val="es-CO"/>
        </w:rPr>
        <w:t>simulacros con actores internos y externos</w:t>
      </w:r>
      <w:r w:rsidR="00673E23" w:rsidRPr="00BD1319">
        <w:rPr>
          <w:rFonts w:eastAsia="Arial" w:cs="Arial"/>
          <w:b/>
          <w:bCs/>
          <w:color w:val="000000" w:themeColor="text1"/>
          <w:lang w:val="es-CO"/>
        </w:rPr>
        <w:t>:</w:t>
      </w:r>
      <w:r w:rsidRPr="00BD1319">
        <w:rPr>
          <w:rFonts w:eastAsia="Arial" w:cs="Arial"/>
          <w:color w:val="000000" w:themeColor="text1"/>
          <w:lang w:val="es-CO"/>
        </w:rPr>
        <w:t xml:space="preserve"> </w:t>
      </w:r>
      <w:r w:rsidR="00673E23" w:rsidRPr="00BD1319">
        <w:rPr>
          <w:rFonts w:eastAsia="Arial" w:cs="Arial"/>
          <w:color w:val="000000" w:themeColor="text1"/>
          <w:lang w:val="es-CO"/>
        </w:rPr>
        <w:t xml:space="preserve">definición de su frecuencia de ejecución; </w:t>
      </w:r>
      <w:r w:rsidRPr="00BD1319">
        <w:rPr>
          <w:rFonts w:eastAsia="Arial" w:cs="Arial"/>
          <w:color w:val="000000" w:themeColor="text1"/>
          <w:lang w:val="es-CO"/>
        </w:rPr>
        <w:t>estos ejercicios se deben realizar mínimo una vez al año y presentar evidencias de su realización.</w:t>
      </w:r>
    </w:p>
    <w:p w14:paraId="0340214F" w14:textId="77777777" w:rsidR="00F309AA" w:rsidRPr="00BD1319" w:rsidRDefault="00F309AA">
      <w:pPr>
        <w:rPr>
          <w:rFonts w:cs="Arial"/>
          <w:szCs w:val="20"/>
        </w:rPr>
      </w:pPr>
    </w:p>
    <w:p w14:paraId="12BA3A35" w14:textId="17643044" w:rsidR="003566B5" w:rsidRPr="00BD1319" w:rsidRDefault="003566B5">
      <w:pPr>
        <w:rPr>
          <w:rFonts w:cs="Arial"/>
          <w:szCs w:val="20"/>
        </w:rPr>
      </w:pPr>
      <w:r w:rsidRPr="00BD1319">
        <w:rPr>
          <w:rFonts w:cs="Arial"/>
          <w:szCs w:val="20"/>
        </w:rPr>
        <w:t>En la preparación y ejecución de la respuesta</w:t>
      </w:r>
      <w:r w:rsidR="00667F30" w:rsidRPr="00BD1319">
        <w:rPr>
          <w:rFonts w:cs="Arial"/>
          <w:szCs w:val="20"/>
        </w:rPr>
        <w:t xml:space="preserve">, se debe tener cuenta que </w:t>
      </w:r>
      <w:r w:rsidRPr="00BD1319">
        <w:rPr>
          <w:rFonts w:cs="Arial"/>
          <w:szCs w:val="20"/>
        </w:rPr>
        <w:t xml:space="preserve">es importante la coordinación y comunicación con el coordinador de gestión del riesgo del ente territorial o quien haga sus veces, de acuerdo </w:t>
      </w:r>
      <w:r w:rsidR="00E86DE7" w:rsidRPr="00BD1319">
        <w:rPr>
          <w:rFonts w:cs="Arial"/>
          <w:szCs w:val="20"/>
        </w:rPr>
        <w:t>con</w:t>
      </w:r>
      <w:r w:rsidRPr="00BD1319">
        <w:rPr>
          <w:rFonts w:cs="Arial"/>
          <w:szCs w:val="20"/>
        </w:rPr>
        <w:t xml:space="preserve"> lo establecido en la Ley 1523 de 2012 y en el Decreto 2157 de 2017. </w:t>
      </w:r>
      <w:r w:rsidR="004C5948" w:rsidRPr="00BD1319">
        <w:rPr>
          <w:rFonts w:cs="Arial"/>
          <w:szCs w:val="20"/>
        </w:rPr>
        <w:t>Asimismo, se deben a</w:t>
      </w:r>
      <w:r w:rsidRPr="00BD1319">
        <w:rPr>
          <w:rFonts w:cs="Arial"/>
          <w:szCs w:val="20"/>
        </w:rPr>
        <w:t>rticula</w:t>
      </w:r>
      <w:r w:rsidR="004C5948" w:rsidRPr="00BD1319">
        <w:rPr>
          <w:rFonts w:cs="Arial"/>
          <w:szCs w:val="20"/>
        </w:rPr>
        <w:t xml:space="preserve">r </w:t>
      </w:r>
      <w:r w:rsidR="00B061D5" w:rsidRPr="00BD1319">
        <w:rPr>
          <w:rFonts w:cs="Arial"/>
          <w:szCs w:val="20"/>
        </w:rPr>
        <w:t xml:space="preserve">los protocolos internos de respuesta de la organización que solicite la licencia </w:t>
      </w:r>
      <w:r w:rsidR="007C73DD" w:rsidRPr="00BD1319">
        <w:rPr>
          <w:rFonts w:cs="Arial"/>
          <w:szCs w:val="20"/>
        </w:rPr>
        <w:t xml:space="preserve">con </w:t>
      </w:r>
      <w:r w:rsidRPr="00BD1319">
        <w:rPr>
          <w:rFonts w:cs="Arial"/>
          <w:szCs w:val="20"/>
        </w:rPr>
        <w:t xml:space="preserve">las </w:t>
      </w:r>
      <w:r w:rsidR="004C5948" w:rsidRPr="00BD1319">
        <w:rPr>
          <w:rFonts w:cs="Arial"/>
          <w:szCs w:val="20"/>
        </w:rPr>
        <w:t>estrategias de respuesta a emergencia territoriales</w:t>
      </w:r>
      <w:r w:rsidRPr="00BD1319">
        <w:rPr>
          <w:rFonts w:cs="Arial"/>
          <w:szCs w:val="20"/>
        </w:rPr>
        <w:t>.</w:t>
      </w:r>
    </w:p>
    <w:p w14:paraId="33AC5F69" w14:textId="77777777" w:rsidR="003566B5" w:rsidRPr="00BD1319" w:rsidRDefault="003566B5">
      <w:pPr>
        <w:rPr>
          <w:rFonts w:cs="Arial"/>
          <w:szCs w:val="20"/>
        </w:rPr>
      </w:pPr>
    </w:p>
    <w:p w14:paraId="70B0E8A8" w14:textId="3D1ACD2B" w:rsidR="003E4159" w:rsidRPr="00BD1319" w:rsidRDefault="00076F22" w:rsidP="006052B3">
      <w:pPr>
        <w:numPr>
          <w:ilvl w:val="0"/>
          <w:numId w:val="587"/>
        </w:numPr>
        <w:tabs>
          <w:tab w:val="left" w:pos="-2268"/>
        </w:tabs>
        <w:suppressAutoHyphens/>
        <w:ind w:left="567" w:hanging="567"/>
        <w:rPr>
          <w:b/>
          <w:i/>
          <w:spacing w:val="-3"/>
          <w:u w:val="single"/>
        </w:rPr>
      </w:pPr>
      <w:r w:rsidRPr="00BD1319">
        <w:rPr>
          <w:b/>
          <w:i/>
          <w:spacing w:val="-3"/>
          <w:u w:val="single"/>
        </w:rPr>
        <w:t>Componente de ejecución para la respuesta a contingencias</w:t>
      </w:r>
    </w:p>
    <w:p w14:paraId="3DF2A475" w14:textId="77777777" w:rsidR="003E4159" w:rsidRPr="00BD1319" w:rsidRDefault="003E4159" w:rsidP="00C86DA5">
      <w:pPr>
        <w:contextualSpacing/>
        <w:rPr>
          <w:rFonts w:eastAsia="Arial" w:cs="Arial"/>
          <w:color w:val="000000" w:themeColor="text1"/>
        </w:rPr>
      </w:pPr>
    </w:p>
    <w:p w14:paraId="6F6F93C6" w14:textId="483DBB18" w:rsidR="00076F22" w:rsidRPr="00BD1319" w:rsidRDefault="00274FC7" w:rsidP="003725C8">
      <w:pPr>
        <w:contextualSpacing/>
        <w:rPr>
          <w:rFonts w:eastAsia="Arial"/>
          <w:color w:val="000000" w:themeColor="text1"/>
        </w:rPr>
      </w:pPr>
      <w:r w:rsidRPr="00BD1319">
        <w:rPr>
          <w:rFonts w:eastAsia="Arial" w:cs="Arial"/>
          <w:color w:val="000000" w:themeColor="text1"/>
        </w:rPr>
        <w:t>Se deben e</w:t>
      </w:r>
      <w:r w:rsidR="00076F22" w:rsidRPr="00BD1319">
        <w:rPr>
          <w:rFonts w:eastAsia="Arial" w:cs="Arial"/>
          <w:color w:val="000000" w:themeColor="text1"/>
        </w:rPr>
        <w:t>stablece</w:t>
      </w:r>
      <w:r w:rsidRPr="00BD1319">
        <w:rPr>
          <w:rFonts w:eastAsia="Arial" w:cs="Arial"/>
          <w:color w:val="000000" w:themeColor="text1"/>
        </w:rPr>
        <w:t>r</w:t>
      </w:r>
      <w:r w:rsidR="00076F22" w:rsidRPr="00BD1319">
        <w:rPr>
          <w:rFonts w:eastAsia="Arial" w:cs="Arial"/>
          <w:color w:val="000000" w:themeColor="text1"/>
        </w:rPr>
        <w:t xml:space="preserve"> los niveles de contingencia, los actores, instancias de coordinación y estructuras de intervención; </w:t>
      </w:r>
      <w:r w:rsidR="00103345" w:rsidRPr="00BD1319">
        <w:rPr>
          <w:rFonts w:eastAsia="Arial" w:cs="Arial"/>
          <w:color w:val="000000" w:themeColor="text1"/>
        </w:rPr>
        <w:t>asimismo</w:t>
      </w:r>
      <w:r w:rsidR="00076F22" w:rsidRPr="00BD1319">
        <w:rPr>
          <w:rFonts w:eastAsia="Arial" w:cs="Arial"/>
          <w:color w:val="000000" w:themeColor="text1"/>
        </w:rPr>
        <w:t>, señala la articulación de la respuesta con actores internos y externos. Establece protocolos y procedimientos de respuesta para cada tipo de contingencia</w:t>
      </w:r>
      <w:r w:rsidRPr="00BD1319">
        <w:rPr>
          <w:rFonts w:eastAsia="Arial" w:cs="Arial"/>
          <w:color w:val="000000" w:themeColor="text1"/>
        </w:rPr>
        <w:t xml:space="preserve"> a partir de los análisis de riesgos desarrollados</w:t>
      </w:r>
      <w:r w:rsidR="00076F22" w:rsidRPr="00BD1319">
        <w:rPr>
          <w:rFonts w:eastAsia="Arial" w:cs="Arial"/>
          <w:color w:val="000000" w:themeColor="text1"/>
        </w:rPr>
        <w:t xml:space="preserve">, </w:t>
      </w:r>
      <w:bookmarkStart w:id="11351" w:name="_Hlk142474453"/>
      <w:r w:rsidR="00076F22" w:rsidRPr="00BD1319">
        <w:rPr>
          <w:rFonts w:eastAsia="Arial" w:cs="Arial"/>
          <w:color w:val="000000" w:themeColor="text1"/>
        </w:rPr>
        <w:t>para lo cual se determina la necesidad de la aplicación de instrumentos de Evaluación de Daños y Análisis de Necesidades Ambientales (EDANA)</w:t>
      </w:r>
      <w:r w:rsidR="00076F22" w:rsidRPr="00BD1319">
        <w:rPr>
          <w:rStyle w:val="Refdenotaalpie"/>
          <w:rFonts w:eastAsia="Arial" w:cs="Arial"/>
          <w:color w:val="000000" w:themeColor="text1"/>
          <w:lang w:val="es-CO"/>
        </w:rPr>
        <w:footnoteReference w:id="225"/>
      </w:r>
      <w:bookmarkEnd w:id="11351"/>
      <w:r w:rsidR="00076F22" w:rsidRPr="00BD1319">
        <w:rPr>
          <w:rFonts w:eastAsia="Arial" w:cs="Arial"/>
          <w:color w:val="000000" w:themeColor="text1"/>
        </w:rPr>
        <w:t>.</w:t>
      </w:r>
    </w:p>
    <w:p w14:paraId="2685129C" w14:textId="77777777" w:rsidR="00076F22" w:rsidRPr="00BD1319" w:rsidRDefault="00076F22" w:rsidP="009420F5">
      <w:pPr>
        <w:rPr>
          <w:rFonts w:eastAsia="Arial"/>
          <w:color w:val="000000" w:themeColor="text1"/>
        </w:rPr>
      </w:pPr>
    </w:p>
    <w:p w14:paraId="4C567CCC" w14:textId="033F64B5" w:rsidR="003E4159" w:rsidRPr="00BD1319" w:rsidRDefault="00076F22" w:rsidP="006052B3">
      <w:pPr>
        <w:numPr>
          <w:ilvl w:val="0"/>
          <w:numId w:val="587"/>
        </w:numPr>
        <w:tabs>
          <w:tab w:val="left" w:pos="-2268"/>
        </w:tabs>
        <w:suppressAutoHyphens/>
        <w:ind w:left="567" w:hanging="567"/>
        <w:rPr>
          <w:b/>
          <w:i/>
          <w:spacing w:val="-3"/>
          <w:u w:val="single"/>
        </w:rPr>
      </w:pPr>
      <w:r w:rsidRPr="00BD1319">
        <w:rPr>
          <w:b/>
          <w:i/>
          <w:spacing w:val="-3"/>
          <w:u w:val="single"/>
        </w:rPr>
        <w:t>Componente de preparación y ejecución de la recuperación ambiental</w:t>
      </w:r>
    </w:p>
    <w:p w14:paraId="042AAF23" w14:textId="77777777" w:rsidR="003E4159" w:rsidRPr="00BD1319" w:rsidRDefault="003E4159" w:rsidP="00C86DA5">
      <w:pPr>
        <w:contextualSpacing/>
        <w:rPr>
          <w:rFonts w:eastAsia="Arial" w:cs="Arial"/>
          <w:color w:val="000000" w:themeColor="text1"/>
        </w:rPr>
      </w:pPr>
    </w:p>
    <w:p w14:paraId="5A27B1ED" w14:textId="227BCAC3" w:rsidR="00076F22" w:rsidRPr="00BD1319" w:rsidRDefault="003E4159" w:rsidP="003725C8">
      <w:pPr>
        <w:contextualSpacing/>
        <w:rPr>
          <w:rFonts w:eastAsiaTheme="minorEastAsia" w:cs="Arial"/>
          <w:color w:val="000000" w:themeColor="text1"/>
        </w:rPr>
      </w:pPr>
      <w:r w:rsidRPr="00BD1319">
        <w:rPr>
          <w:rFonts w:eastAsia="Arial" w:cs="Arial"/>
          <w:color w:val="000000" w:themeColor="text1"/>
        </w:rPr>
        <w:t>E</w:t>
      </w:r>
      <w:r w:rsidR="00076F22" w:rsidRPr="00BD1319">
        <w:rPr>
          <w:rFonts w:eastAsia="Arial" w:cs="Arial"/>
          <w:color w:val="000000" w:themeColor="text1"/>
        </w:rPr>
        <w:t xml:space="preserve">s el conjunto de acciones </w:t>
      </w:r>
      <w:r w:rsidR="00C161D8" w:rsidRPr="00BD1319">
        <w:rPr>
          <w:rFonts w:eastAsia="Arial" w:cs="Arial"/>
          <w:color w:val="000000" w:themeColor="text1"/>
        </w:rPr>
        <w:t xml:space="preserve">que se planea ejecutar </w:t>
      </w:r>
      <w:r w:rsidR="00076F22" w:rsidRPr="00BD1319">
        <w:rPr>
          <w:rFonts w:eastAsia="Arial" w:cs="Arial"/>
          <w:color w:val="000000" w:themeColor="text1"/>
        </w:rPr>
        <w:t>para la recuperación ambiental, comprende entre otr</w:t>
      </w:r>
      <w:r w:rsidRPr="00BD1319">
        <w:rPr>
          <w:rFonts w:eastAsia="Arial" w:cs="Arial"/>
          <w:color w:val="000000" w:themeColor="text1"/>
        </w:rPr>
        <w:t>a</w:t>
      </w:r>
      <w:r w:rsidR="00076F22" w:rsidRPr="00BD1319">
        <w:rPr>
          <w:rFonts w:eastAsia="Arial" w:cs="Arial"/>
          <w:color w:val="000000" w:themeColor="text1"/>
        </w:rPr>
        <w:t>s</w:t>
      </w:r>
      <w:r w:rsidRPr="00BD1319">
        <w:rPr>
          <w:rFonts w:eastAsia="Arial" w:cs="Arial"/>
          <w:color w:val="000000" w:themeColor="text1"/>
        </w:rPr>
        <w:t xml:space="preserve"> actividades, las siguientes</w:t>
      </w:r>
      <w:r w:rsidR="00076F22" w:rsidRPr="00BD1319">
        <w:rPr>
          <w:rFonts w:eastAsia="Arial" w:cs="Arial"/>
          <w:color w:val="000000" w:themeColor="text1"/>
        </w:rPr>
        <w:t>:</w:t>
      </w:r>
    </w:p>
    <w:p w14:paraId="3FE1C756" w14:textId="77777777" w:rsidR="00076F22" w:rsidRPr="00BD1319" w:rsidRDefault="00076F22" w:rsidP="009420F5">
      <w:pPr>
        <w:rPr>
          <w:rFonts w:eastAsiaTheme="minorEastAsia" w:cs="Arial"/>
          <w:color w:val="000000" w:themeColor="text1"/>
        </w:rPr>
      </w:pPr>
    </w:p>
    <w:p w14:paraId="3D6A6D4C" w14:textId="32073731" w:rsidR="003665F5" w:rsidRPr="00BD1319" w:rsidRDefault="00076F22" w:rsidP="003725C8">
      <w:pPr>
        <w:pStyle w:val="Prrafodelista"/>
        <w:numPr>
          <w:ilvl w:val="0"/>
          <w:numId w:val="53"/>
        </w:numPr>
        <w:ind w:left="567" w:hanging="567"/>
        <w:contextualSpacing/>
        <w:rPr>
          <w:rFonts w:eastAsiaTheme="minorEastAsia" w:cs="Arial"/>
          <w:color w:val="000000" w:themeColor="text1"/>
          <w:lang w:val="es-CO"/>
        </w:rPr>
      </w:pPr>
      <w:r w:rsidRPr="00BD1319">
        <w:rPr>
          <w:rFonts w:eastAsia="Arial" w:cs="Arial"/>
          <w:color w:val="000000" w:themeColor="text1"/>
          <w:lang w:val="es-CO"/>
        </w:rPr>
        <w:t xml:space="preserve">Monitoreo de </w:t>
      </w:r>
      <w:r w:rsidR="00274FC7" w:rsidRPr="00BD1319">
        <w:rPr>
          <w:rFonts w:eastAsia="Arial" w:cs="Arial"/>
          <w:color w:val="000000" w:themeColor="text1"/>
          <w:lang w:val="es-CO"/>
        </w:rPr>
        <w:t>las afectaciones a elementos del ambiente y los ecosistemas y sus servicios una vez se finaliza la atención de la contingencia</w:t>
      </w:r>
      <w:r w:rsidRPr="00BD1319">
        <w:rPr>
          <w:rFonts w:eastAsia="Arial" w:cs="Arial"/>
          <w:color w:val="000000" w:themeColor="text1"/>
          <w:lang w:val="es-CO"/>
        </w:rPr>
        <w:t>.</w:t>
      </w:r>
    </w:p>
    <w:p w14:paraId="53A8F9D8" w14:textId="021E6D91" w:rsidR="00076F22" w:rsidRPr="00BD1319" w:rsidRDefault="00076F22" w:rsidP="009420F5">
      <w:pPr>
        <w:contextualSpacing/>
        <w:rPr>
          <w:rFonts w:eastAsiaTheme="minorEastAsia" w:cs="Arial"/>
          <w:color w:val="000000" w:themeColor="text1"/>
        </w:rPr>
      </w:pPr>
    </w:p>
    <w:p w14:paraId="1485B7E0" w14:textId="457E73F2" w:rsidR="00076F22" w:rsidRPr="00BD1319" w:rsidRDefault="00076F22" w:rsidP="003725C8">
      <w:pPr>
        <w:pStyle w:val="Prrafodelista"/>
        <w:numPr>
          <w:ilvl w:val="0"/>
          <w:numId w:val="53"/>
        </w:numPr>
        <w:ind w:left="567" w:hanging="567"/>
        <w:contextualSpacing/>
        <w:rPr>
          <w:rFonts w:cs="Arial"/>
          <w:lang w:val="es-CO"/>
        </w:rPr>
      </w:pPr>
      <w:r w:rsidRPr="00BD1319">
        <w:rPr>
          <w:rFonts w:eastAsia="Arial" w:cs="Arial"/>
          <w:color w:val="000000" w:themeColor="text1"/>
          <w:lang w:val="es-CO"/>
        </w:rPr>
        <w:t xml:space="preserve">Restablecimiento de los ecosistemas afectados por la contingencia </w:t>
      </w:r>
      <w:r w:rsidR="00274FC7" w:rsidRPr="00BD1319">
        <w:rPr>
          <w:rFonts w:eastAsia="Arial" w:cs="Arial"/>
          <w:color w:val="000000" w:themeColor="text1"/>
          <w:lang w:val="es-CO"/>
        </w:rPr>
        <w:t xml:space="preserve">teniendo como referencia la EDANA y la caracterización ambiental o el estado del ambiente previo </w:t>
      </w:r>
      <w:r w:rsidR="00274FC7" w:rsidRPr="00BD1319">
        <w:rPr>
          <w:rFonts w:eastAsia="Arial" w:cs="Arial"/>
          <w:lang w:val="es-CO"/>
        </w:rPr>
        <w:t xml:space="preserve">a la </w:t>
      </w:r>
      <w:r w:rsidRPr="00BD1319">
        <w:rPr>
          <w:rFonts w:eastAsia="Arial" w:cs="Arial"/>
          <w:lang w:val="es-CO"/>
        </w:rPr>
        <w:t xml:space="preserve">ocurrencia de </w:t>
      </w:r>
      <w:r w:rsidR="00274FC7" w:rsidRPr="00BD1319">
        <w:rPr>
          <w:rFonts w:eastAsia="Arial" w:cs="Arial"/>
          <w:lang w:val="es-CO"/>
        </w:rPr>
        <w:t>la contingencia</w:t>
      </w:r>
      <w:r w:rsidRPr="00BD1319">
        <w:rPr>
          <w:rFonts w:eastAsia="Arial" w:cs="Arial"/>
          <w:lang w:val="es-CO"/>
        </w:rPr>
        <w:t>.</w:t>
      </w:r>
    </w:p>
    <w:p w14:paraId="289E5B7D" w14:textId="77777777" w:rsidR="003665F5" w:rsidRPr="00BD1319" w:rsidRDefault="003665F5" w:rsidP="009420F5">
      <w:pPr>
        <w:contextualSpacing/>
        <w:rPr>
          <w:rFonts w:cs="Arial"/>
        </w:rPr>
      </w:pPr>
    </w:p>
    <w:p w14:paraId="68EBCF22" w14:textId="40A3143A" w:rsidR="00076F22" w:rsidRPr="00BD1319" w:rsidRDefault="00076F22" w:rsidP="003725C8">
      <w:pPr>
        <w:pStyle w:val="Prrafodelista"/>
        <w:numPr>
          <w:ilvl w:val="0"/>
          <w:numId w:val="53"/>
        </w:numPr>
        <w:ind w:left="567" w:hanging="567"/>
        <w:contextualSpacing/>
        <w:rPr>
          <w:rFonts w:eastAsiaTheme="minorEastAsia" w:cs="Arial"/>
          <w:lang w:val="es-CO"/>
        </w:rPr>
      </w:pPr>
      <w:r w:rsidRPr="00BD1319">
        <w:rPr>
          <w:rFonts w:eastAsia="Arial" w:cs="Arial"/>
          <w:lang w:val="es-CO"/>
        </w:rPr>
        <w:t>Restablecimiento de los servicios (infraestructura).</w:t>
      </w:r>
    </w:p>
    <w:p w14:paraId="35E0573B" w14:textId="77777777" w:rsidR="00380E11" w:rsidRPr="00BD1319" w:rsidRDefault="00380E11" w:rsidP="009420F5">
      <w:pPr>
        <w:rPr>
          <w:rFonts w:eastAsiaTheme="minorEastAsia" w:cs="Arial"/>
        </w:rPr>
      </w:pPr>
    </w:p>
    <w:p w14:paraId="4B4BCC10" w14:textId="5C86B2BA" w:rsidR="00380E11" w:rsidRPr="00BD1319" w:rsidRDefault="00380E11">
      <w:pPr>
        <w:pStyle w:val="Prrafodelista"/>
        <w:numPr>
          <w:ilvl w:val="0"/>
          <w:numId w:val="53"/>
        </w:numPr>
        <w:ind w:left="567" w:hanging="567"/>
        <w:contextualSpacing/>
        <w:rPr>
          <w:rFonts w:eastAsiaTheme="minorEastAsia" w:cs="Arial"/>
          <w:lang w:val="es-CO"/>
        </w:rPr>
      </w:pPr>
      <w:r w:rsidRPr="00BD1319">
        <w:rPr>
          <w:rFonts w:eastAsiaTheme="minorEastAsia" w:cs="Arial"/>
          <w:lang w:val="es-CO"/>
        </w:rPr>
        <w:t>Planteamiento de las medidas de compensación cuando no es posible restablecer las condiciones que se tenían antes de la ocurrencia de la contingencia.</w:t>
      </w:r>
    </w:p>
    <w:p w14:paraId="5F645E49" w14:textId="77777777" w:rsidR="003665F5" w:rsidRPr="00BD1319" w:rsidRDefault="003665F5" w:rsidP="009420F5">
      <w:pPr>
        <w:contextualSpacing/>
        <w:rPr>
          <w:rFonts w:eastAsiaTheme="minorEastAsia" w:cs="Arial"/>
        </w:rPr>
      </w:pPr>
    </w:p>
    <w:p w14:paraId="3976457C" w14:textId="77777777" w:rsidR="00076F22" w:rsidRPr="00BD1319" w:rsidRDefault="00076F22" w:rsidP="003725C8">
      <w:pPr>
        <w:pStyle w:val="Prrafodelista"/>
        <w:numPr>
          <w:ilvl w:val="0"/>
          <w:numId w:val="53"/>
        </w:numPr>
        <w:ind w:left="567" w:hanging="567"/>
        <w:contextualSpacing/>
        <w:rPr>
          <w:rFonts w:eastAsiaTheme="minorEastAsia" w:cs="Arial"/>
          <w:lang w:val="es-CO"/>
        </w:rPr>
      </w:pPr>
      <w:r w:rsidRPr="00BD1319">
        <w:rPr>
          <w:rFonts w:eastAsia="Arial" w:cs="Arial"/>
          <w:lang w:val="es-CO"/>
        </w:rPr>
        <w:t xml:space="preserve">Reporte del avance del plan de recuperación ambiental conforme a lo establecido en la Resolución 1767 de 2016 </w:t>
      </w:r>
      <w:r w:rsidRPr="00BD1319">
        <w:rPr>
          <w:rFonts w:cs="Arial"/>
          <w:lang w:val="es-CO"/>
        </w:rPr>
        <w:t>o aquella que la modifique o sustituya</w:t>
      </w:r>
      <w:r w:rsidRPr="00BD1319">
        <w:rPr>
          <w:rFonts w:eastAsia="Arial" w:cs="Arial"/>
          <w:lang w:val="es-CO"/>
        </w:rPr>
        <w:t>.</w:t>
      </w:r>
    </w:p>
    <w:p w14:paraId="1E68E00B" w14:textId="16F231DB" w:rsidR="00076F22" w:rsidRPr="00BD1319" w:rsidRDefault="00076F22" w:rsidP="00C86DA5"/>
    <w:p w14:paraId="3867D74B" w14:textId="6D8BD2E5" w:rsidR="00076F22" w:rsidRPr="00BD1319" w:rsidRDefault="00F3165D" w:rsidP="009420F5">
      <w:pPr>
        <w:pStyle w:val="Ttulo2"/>
        <w:tabs>
          <w:tab w:val="clear" w:pos="0"/>
          <w:tab w:val="num" w:pos="851"/>
        </w:tabs>
        <w:ind w:left="851" w:hanging="851"/>
        <w:rPr>
          <w:lang w:val="es-CO"/>
        </w:rPr>
      </w:pPr>
      <w:hyperlink r:id="rId75" w:history="1">
        <w:bookmarkStart w:id="11352" w:name="_Toc175326827"/>
        <w:r w:rsidRPr="00BD1319">
          <w:rPr>
            <w:lang w:val="es-CO"/>
          </w:rPr>
          <w:t>PLAN DE DESMANTELAMIENTO Y CIERRE</w:t>
        </w:r>
      </w:hyperlink>
      <w:r w:rsidRPr="00BD1319">
        <w:rPr>
          <w:lang w:val="es-CO"/>
        </w:rPr>
        <w:t xml:space="preserve"> AMBIENTAL</w:t>
      </w:r>
      <w:bookmarkEnd w:id="11352"/>
    </w:p>
    <w:p w14:paraId="26154E3A" w14:textId="75A079AA" w:rsidR="00076F22" w:rsidRPr="00BD1319" w:rsidRDefault="00076F22" w:rsidP="00C86DA5"/>
    <w:p w14:paraId="44A91A98" w14:textId="1595FD4D" w:rsidR="00D85BE2" w:rsidRPr="00BD1319" w:rsidRDefault="00D85BE2" w:rsidP="00D85BE2">
      <w:r w:rsidRPr="00BD1319">
        <w:rPr>
          <w:rFonts w:eastAsia="Malgun Gothic" w:cs="Arial"/>
          <w:lang w:eastAsia="ko-KR"/>
        </w:rPr>
        <w:t>E</w:t>
      </w:r>
      <w:r w:rsidR="004757C0" w:rsidRPr="00BD1319">
        <w:rPr>
          <w:rFonts w:eastAsia="Malgun Gothic" w:cs="Arial"/>
          <w:lang w:eastAsia="ko-KR"/>
        </w:rPr>
        <w:t xml:space="preserve">l </w:t>
      </w:r>
      <w:r w:rsidR="00BD05E9" w:rsidRPr="00BD1319">
        <w:rPr>
          <w:rFonts w:eastAsia="Malgun Gothic" w:cs="Arial"/>
          <w:lang w:eastAsia="ko-KR"/>
        </w:rPr>
        <w:t xml:space="preserve">plan </w:t>
      </w:r>
      <w:r w:rsidR="004757C0" w:rsidRPr="00BD1319">
        <w:rPr>
          <w:rFonts w:eastAsia="Malgun Gothic" w:cs="Arial"/>
          <w:lang w:eastAsia="ko-KR"/>
        </w:rPr>
        <w:t xml:space="preserve">de desmantelamiento y </w:t>
      </w:r>
      <w:r w:rsidR="00F3165D" w:rsidRPr="00BD1319">
        <w:rPr>
          <w:rFonts w:eastAsia="Malgun Gothic" w:cs="Arial"/>
          <w:lang w:eastAsia="ko-KR"/>
        </w:rPr>
        <w:t xml:space="preserve">cierre ambiental </w:t>
      </w:r>
      <w:r w:rsidR="00BD05E9" w:rsidRPr="00BD1319">
        <w:rPr>
          <w:rFonts w:eastAsia="Malgun Gothic" w:cs="Arial"/>
          <w:lang w:eastAsia="ko-KR"/>
        </w:rPr>
        <w:t>defin</w:t>
      </w:r>
      <w:r w:rsidRPr="00BD1319">
        <w:rPr>
          <w:rFonts w:eastAsia="Malgun Gothic" w:cs="Arial"/>
          <w:lang w:eastAsia="ko-KR"/>
        </w:rPr>
        <w:t>e</w:t>
      </w:r>
      <w:r w:rsidR="00BD05E9" w:rsidRPr="00BD1319">
        <w:rPr>
          <w:rFonts w:eastAsia="Malgun Gothic" w:cs="Arial"/>
          <w:lang w:eastAsia="ko-KR"/>
        </w:rPr>
        <w:t xml:space="preserve"> el uso final del suelo, así como las medidas de manejo, restauración y reconformación morfológica que deb</w:t>
      </w:r>
      <w:r w:rsidRPr="00BD1319">
        <w:rPr>
          <w:rFonts w:eastAsia="Malgun Gothic" w:cs="Arial"/>
          <w:lang w:eastAsia="ko-KR"/>
        </w:rPr>
        <w:t>e</w:t>
      </w:r>
      <w:r w:rsidR="00BD05E9" w:rsidRPr="00BD1319">
        <w:rPr>
          <w:rFonts w:eastAsia="Malgun Gothic" w:cs="Arial"/>
          <w:lang w:eastAsia="ko-KR"/>
        </w:rPr>
        <w:t xml:space="preserve">n aplicarse </w:t>
      </w:r>
      <w:r w:rsidR="00E2274C" w:rsidRPr="00BD1319">
        <w:t>luego de terminar la vida útil del proyecto, obra o actividad</w:t>
      </w:r>
      <w:r w:rsidR="00E2274C" w:rsidRPr="00BD1319">
        <w:rPr>
          <w:rFonts w:eastAsia="Malgun Gothic" w:cs="Arial"/>
          <w:lang w:eastAsia="ko-KR"/>
        </w:rPr>
        <w:t xml:space="preserve"> </w:t>
      </w:r>
      <w:r w:rsidR="00BD05E9" w:rsidRPr="00BD1319">
        <w:rPr>
          <w:rFonts w:eastAsia="Malgun Gothic" w:cs="Arial"/>
          <w:lang w:eastAsia="ko-KR"/>
        </w:rPr>
        <w:t xml:space="preserve">para </w:t>
      </w:r>
      <w:r w:rsidR="004757C0" w:rsidRPr="00BD1319">
        <w:rPr>
          <w:rFonts w:eastAsia="Malgun Gothic" w:cs="Arial"/>
          <w:lang w:eastAsia="ko-KR"/>
        </w:rPr>
        <w:t xml:space="preserve">asegurar </w:t>
      </w:r>
      <w:r w:rsidR="0054381F" w:rsidRPr="00BD1319">
        <w:rPr>
          <w:rFonts w:eastAsia="Malgun Gothic" w:cs="Arial"/>
          <w:lang w:eastAsia="ko-KR"/>
        </w:rPr>
        <w:t xml:space="preserve">un </w:t>
      </w:r>
      <w:r w:rsidRPr="00BD1319">
        <w:t xml:space="preserve">balance </w:t>
      </w:r>
      <w:r w:rsidRPr="00BD1319">
        <w:lastRenderedPageBreak/>
        <w:t xml:space="preserve">ambiental neto </w:t>
      </w:r>
      <w:r w:rsidR="0054381F" w:rsidRPr="00BD1319">
        <w:t>por lo menos igual a cero</w:t>
      </w:r>
      <w:r w:rsidR="0083392F" w:rsidRPr="00BD1319">
        <w:rPr>
          <w:rStyle w:val="Refdenotaalpie"/>
          <w:lang w:val="es-CO"/>
        </w:rPr>
        <w:footnoteReference w:id="226"/>
      </w:r>
      <w:r w:rsidR="0083392F" w:rsidRPr="00BD1319">
        <w:rPr>
          <w:rFonts w:eastAsia="Malgun Gothic" w:cs="Arial"/>
          <w:lang w:eastAsia="ko-KR"/>
        </w:rPr>
        <w:t xml:space="preserve">. </w:t>
      </w:r>
      <w:r w:rsidR="009805A8" w:rsidRPr="00BD1319">
        <w:t>L</w:t>
      </w:r>
      <w:r w:rsidR="009805A8" w:rsidRPr="00BD1319">
        <w:rPr>
          <w:rFonts w:eastAsia="Malgun Gothic" w:cs="Arial"/>
          <w:lang w:eastAsia="ko-KR"/>
        </w:rPr>
        <w:t xml:space="preserve">as condiciones ambientales que se </w:t>
      </w:r>
      <w:r w:rsidR="009812CF" w:rsidRPr="00BD1319">
        <w:rPr>
          <w:rFonts w:eastAsia="Malgun Gothic" w:cs="Arial"/>
          <w:lang w:eastAsia="ko-KR"/>
        </w:rPr>
        <w:t>plantee</w:t>
      </w:r>
      <w:r w:rsidR="009805A8" w:rsidRPr="00BD1319">
        <w:rPr>
          <w:rFonts w:eastAsia="Malgun Gothic" w:cs="Arial"/>
          <w:lang w:eastAsia="ko-KR"/>
        </w:rPr>
        <w:t xml:space="preserve"> alcanzar mediante l</w:t>
      </w:r>
      <w:r w:rsidR="009805A8" w:rsidRPr="00BD1319">
        <w:t>a ejecución de las medidas y actividades establecidas en e</w:t>
      </w:r>
      <w:r w:rsidR="00FA77E7" w:rsidRPr="00BD1319">
        <w:t>ste</w:t>
      </w:r>
      <w:r w:rsidR="009805A8" w:rsidRPr="00BD1319">
        <w:t xml:space="preserve"> </w:t>
      </w:r>
      <w:r w:rsidR="003D2F41" w:rsidRPr="00BD1319">
        <w:t>plan</w:t>
      </w:r>
      <w:r w:rsidR="009805A8" w:rsidRPr="00BD1319">
        <w:t xml:space="preserve"> deben </w:t>
      </w:r>
      <w:r w:rsidR="004757C0" w:rsidRPr="00BD1319">
        <w:rPr>
          <w:rFonts w:eastAsia="Malgun Gothic" w:cs="Arial"/>
          <w:lang w:eastAsia="ko-KR"/>
        </w:rPr>
        <w:t>correspond</w:t>
      </w:r>
      <w:r w:rsidR="009805A8" w:rsidRPr="00BD1319">
        <w:rPr>
          <w:rFonts w:eastAsia="Malgun Gothic" w:cs="Arial"/>
          <w:lang w:eastAsia="ko-KR"/>
        </w:rPr>
        <w:t>er y hacer posible e</w:t>
      </w:r>
      <w:r w:rsidR="004757C0" w:rsidRPr="00BD1319">
        <w:rPr>
          <w:rFonts w:eastAsia="Malgun Gothic" w:cs="Arial"/>
          <w:lang w:eastAsia="ko-KR"/>
        </w:rPr>
        <w:t xml:space="preserve">l uso del suelo </w:t>
      </w:r>
      <w:r w:rsidR="00FA77E7" w:rsidRPr="00BD1319">
        <w:rPr>
          <w:rFonts w:eastAsia="Malgun Gothic" w:cs="Arial"/>
          <w:lang w:eastAsia="ko-KR"/>
        </w:rPr>
        <w:t xml:space="preserve">que </w:t>
      </w:r>
      <w:r w:rsidR="009812CF" w:rsidRPr="00BD1319">
        <w:rPr>
          <w:rFonts w:eastAsia="Malgun Gothic" w:cs="Arial"/>
          <w:lang w:eastAsia="ko-KR"/>
        </w:rPr>
        <w:t>en éste se determina</w:t>
      </w:r>
      <w:r w:rsidRPr="00BD1319">
        <w:t>.</w:t>
      </w:r>
    </w:p>
    <w:p w14:paraId="1A59AE6B" w14:textId="77777777" w:rsidR="00D85BE2" w:rsidRPr="00BD1319" w:rsidRDefault="00D85BE2" w:rsidP="00D85BE2"/>
    <w:p w14:paraId="3D04DF06" w14:textId="7D89BB51" w:rsidR="0054678E" w:rsidRPr="00BD1319" w:rsidRDefault="0054678E" w:rsidP="0054678E">
      <w:r w:rsidRPr="00BD1319">
        <w:t>Se debe establecer claramente el objetivo y alcances del plan, asimismo, se debe especificar con la mayor precisión posible, entre otros elementos, la localización de los lugares a reconfigurar morfológicamente y a restaurar, la manera en que las actividades propuestas permiten el cumplimiento del objetivo, los métodos a emplear, la maquinaria e insumos requeridos</w:t>
      </w:r>
      <w:r w:rsidR="001524D5" w:rsidRPr="00BD1319">
        <w:t>,</w:t>
      </w:r>
      <w:r w:rsidRPr="00BD1319">
        <w:t xml:space="preserve"> y el cronograma</w:t>
      </w:r>
      <w:r w:rsidR="00E06611" w:rsidRPr="00BD1319">
        <w:t xml:space="preserve"> de ejecución; el plan </w:t>
      </w:r>
      <w:r w:rsidR="000767EF" w:rsidRPr="00BD1319">
        <w:t xml:space="preserve">de desmantelamiento y </w:t>
      </w:r>
      <w:r w:rsidR="004E5745" w:rsidRPr="00BD1319">
        <w:t xml:space="preserve">cierre ambiental </w:t>
      </w:r>
      <w:r w:rsidR="000767EF" w:rsidRPr="00BD1319">
        <w:t xml:space="preserve">incluido en </w:t>
      </w:r>
      <w:r w:rsidR="00E06611" w:rsidRPr="00BD1319">
        <w:t xml:space="preserve">el estudio </w:t>
      </w:r>
      <w:r w:rsidR="001524D5" w:rsidRPr="00BD1319">
        <w:t xml:space="preserve">que se </w:t>
      </w:r>
      <w:r w:rsidR="00E06611" w:rsidRPr="00BD1319">
        <w:t xml:space="preserve">elabora </w:t>
      </w:r>
      <w:r w:rsidR="001524D5" w:rsidRPr="00BD1319">
        <w:t xml:space="preserve">a fin de </w:t>
      </w:r>
      <w:r w:rsidR="00E06611" w:rsidRPr="00BD1319">
        <w:t xml:space="preserve">iniciar la fase de desmantelamiento y </w:t>
      </w:r>
      <w:r w:rsidR="004E5745" w:rsidRPr="00BD1319">
        <w:t xml:space="preserve">cierre ambiental </w:t>
      </w:r>
      <w:r w:rsidR="00E06611" w:rsidRPr="00BD1319">
        <w:t xml:space="preserve">debe tener mayor </w:t>
      </w:r>
      <w:r w:rsidR="001C2D87" w:rsidRPr="00BD1319">
        <w:t>precisión</w:t>
      </w:r>
      <w:r w:rsidR="00E06611" w:rsidRPr="00BD1319">
        <w:t xml:space="preserve"> y detalle que el plan </w:t>
      </w:r>
      <w:r w:rsidR="001524D5" w:rsidRPr="00BD1319">
        <w:t xml:space="preserve">que debe </w:t>
      </w:r>
      <w:r w:rsidR="000767EF" w:rsidRPr="00BD1319">
        <w:t xml:space="preserve">contener </w:t>
      </w:r>
      <w:r w:rsidR="00E06611" w:rsidRPr="00BD1319">
        <w:t>el EIA</w:t>
      </w:r>
      <w:r w:rsidRPr="00BD1319">
        <w:t>.</w:t>
      </w:r>
    </w:p>
    <w:p w14:paraId="186D87F1" w14:textId="77777777" w:rsidR="0054678E" w:rsidRPr="00BD1319" w:rsidRDefault="0054678E" w:rsidP="006E41CD">
      <w:pPr>
        <w:rPr>
          <w:rFonts w:eastAsia="Malgun Gothic" w:cs="Arial"/>
          <w:lang w:eastAsia="ko-KR"/>
        </w:rPr>
      </w:pPr>
    </w:p>
    <w:p w14:paraId="1870FC57" w14:textId="4640184F" w:rsidR="006E41CD" w:rsidRPr="00BD1319" w:rsidRDefault="004B5043" w:rsidP="006E41CD">
      <w:r w:rsidRPr="00BD1319">
        <w:rPr>
          <w:rFonts w:eastAsia="Malgun Gothic" w:cs="Arial"/>
          <w:lang w:eastAsia="ko-KR"/>
        </w:rPr>
        <w:t xml:space="preserve">Tomando como insumos </w:t>
      </w:r>
      <w:r w:rsidR="006E41CD" w:rsidRPr="00BD1319">
        <w:rPr>
          <w:rFonts w:eastAsia="Malgun Gothic" w:cs="Arial"/>
          <w:lang w:eastAsia="ko-KR"/>
        </w:rPr>
        <w:t>el uso final de suelo prop</w:t>
      </w:r>
      <w:r w:rsidR="009812CF" w:rsidRPr="00BD1319">
        <w:rPr>
          <w:rFonts w:eastAsia="Malgun Gothic" w:cs="Arial"/>
          <w:lang w:eastAsia="ko-KR"/>
        </w:rPr>
        <w:t xml:space="preserve">uesto </w:t>
      </w:r>
      <w:r w:rsidR="006E41CD" w:rsidRPr="00BD1319">
        <w:rPr>
          <w:rFonts w:eastAsia="Malgun Gothic" w:cs="Arial"/>
          <w:lang w:eastAsia="ko-KR"/>
        </w:rPr>
        <w:t xml:space="preserve">para el área a desmantelar y </w:t>
      </w:r>
      <w:r w:rsidR="00EF7401" w:rsidRPr="00BD1319">
        <w:rPr>
          <w:rFonts w:eastAsia="Malgun Gothic" w:cs="Arial"/>
          <w:lang w:eastAsia="ko-KR"/>
        </w:rPr>
        <w:t xml:space="preserve">objeto de cierre </w:t>
      </w:r>
      <w:r w:rsidR="00F9287F" w:rsidRPr="00BD1319">
        <w:rPr>
          <w:rFonts w:eastAsia="Malgun Gothic" w:cs="Arial"/>
          <w:lang w:eastAsia="ko-KR"/>
        </w:rPr>
        <w:t xml:space="preserve">del </w:t>
      </w:r>
      <w:r w:rsidR="006E41CD" w:rsidRPr="00BD1319">
        <w:rPr>
          <w:rFonts w:eastAsia="Malgun Gothic" w:cs="Arial"/>
          <w:lang w:eastAsia="ko-KR"/>
        </w:rPr>
        <w:t xml:space="preserve">área </w:t>
      </w:r>
      <w:r w:rsidR="004E5745" w:rsidRPr="00BD1319">
        <w:rPr>
          <w:rFonts w:eastAsia="Malgun Gothic" w:cs="Arial"/>
          <w:lang w:eastAsia="ko-KR"/>
        </w:rPr>
        <w:t xml:space="preserve">por </w:t>
      </w:r>
      <w:r w:rsidR="00EF7401" w:rsidRPr="00BD1319">
        <w:rPr>
          <w:rFonts w:eastAsia="Malgun Gothic" w:cs="Arial"/>
          <w:lang w:eastAsia="ko-KR"/>
        </w:rPr>
        <w:t>intervenir</w:t>
      </w:r>
      <w:r w:rsidR="004E5745" w:rsidRPr="00BD1319">
        <w:rPr>
          <w:rFonts w:eastAsia="Malgun Gothic" w:cs="Arial"/>
          <w:lang w:eastAsia="ko-KR"/>
        </w:rPr>
        <w:t xml:space="preserve"> </w:t>
      </w:r>
      <w:r w:rsidR="00F9287F" w:rsidRPr="00BD1319">
        <w:rPr>
          <w:rFonts w:eastAsia="Malgun Gothic" w:cs="Arial"/>
          <w:lang w:eastAsia="ko-KR"/>
        </w:rPr>
        <w:t>del proyecto, obra o actividad</w:t>
      </w:r>
      <w:r w:rsidR="006E41CD" w:rsidRPr="00BD1319">
        <w:rPr>
          <w:rFonts w:eastAsia="Malgun Gothic" w:cs="Arial"/>
          <w:lang w:eastAsia="ko-KR"/>
        </w:rPr>
        <w:t xml:space="preserve"> </w:t>
      </w:r>
      <w:r w:rsidR="000767EF" w:rsidRPr="00BD1319">
        <w:rPr>
          <w:rFonts w:eastAsia="Malgun Gothic" w:cs="Arial"/>
          <w:lang w:eastAsia="ko-KR"/>
        </w:rPr>
        <w:t>(</w:t>
      </w:r>
      <w:r w:rsidRPr="00BD1319">
        <w:rPr>
          <w:rFonts w:eastAsia="Malgun Gothic" w:cs="Arial"/>
          <w:lang w:eastAsia="ko-KR"/>
        </w:rPr>
        <w:t xml:space="preserve">el cual debe ser </w:t>
      </w:r>
      <w:r w:rsidR="006E41CD" w:rsidRPr="00BD1319">
        <w:rPr>
          <w:rFonts w:eastAsia="Malgun Gothic" w:cs="Arial"/>
          <w:lang w:eastAsia="ko-KR"/>
        </w:rPr>
        <w:t>arm</w:t>
      </w:r>
      <w:r w:rsidRPr="00BD1319">
        <w:rPr>
          <w:rFonts w:eastAsia="Malgun Gothic" w:cs="Arial"/>
          <w:lang w:eastAsia="ko-KR"/>
        </w:rPr>
        <w:t xml:space="preserve">ónico </w:t>
      </w:r>
      <w:r w:rsidR="006E41CD" w:rsidRPr="00BD1319">
        <w:rPr>
          <w:rFonts w:eastAsia="Malgun Gothic" w:cs="Arial"/>
          <w:lang w:eastAsia="ko-KR"/>
        </w:rPr>
        <w:t xml:space="preserve">con el medio circundante </w:t>
      </w:r>
      <w:r w:rsidR="000767EF" w:rsidRPr="00BD1319">
        <w:rPr>
          <w:rFonts w:eastAsia="Malgun Gothic" w:cs="Arial"/>
          <w:lang w:eastAsia="ko-KR"/>
        </w:rPr>
        <w:t xml:space="preserve">y </w:t>
      </w:r>
      <w:r w:rsidR="00E07DE2" w:rsidRPr="00BD1319">
        <w:rPr>
          <w:rFonts w:eastAsia="Malgun Gothic" w:cs="Arial"/>
          <w:lang w:eastAsia="ko-KR"/>
        </w:rPr>
        <w:t xml:space="preserve">con </w:t>
      </w:r>
      <w:r w:rsidR="00E06611" w:rsidRPr="00BD1319">
        <w:rPr>
          <w:rFonts w:eastAsia="Malgun Gothic" w:cs="Arial"/>
          <w:lang w:eastAsia="ko-KR"/>
        </w:rPr>
        <w:t>el objetivo y alcances del plan</w:t>
      </w:r>
      <w:r w:rsidR="000767EF" w:rsidRPr="00BD1319">
        <w:rPr>
          <w:rFonts w:eastAsia="Malgun Gothic" w:cs="Arial"/>
          <w:lang w:eastAsia="ko-KR"/>
        </w:rPr>
        <w:t>)</w:t>
      </w:r>
      <w:r w:rsidR="00E06611" w:rsidRPr="00BD1319">
        <w:rPr>
          <w:rFonts w:eastAsia="Malgun Gothic" w:cs="Arial"/>
          <w:lang w:eastAsia="ko-KR"/>
        </w:rPr>
        <w:t xml:space="preserve">, </w:t>
      </w:r>
      <w:r w:rsidR="000767EF" w:rsidRPr="00BD1319">
        <w:rPr>
          <w:rFonts w:eastAsia="Malgun Gothic" w:cs="Arial"/>
          <w:lang w:eastAsia="ko-KR"/>
        </w:rPr>
        <w:t xml:space="preserve">y </w:t>
      </w:r>
      <w:r w:rsidR="006E41CD" w:rsidRPr="00BD1319">
        <w:rPr>
          <w:rFonts w:eastAsia="Malgun Gothic" w:cs="Arial"/>
          <w:lang w:eastAsia="ko-KR"/>
        </w:rPr>
        <w:t xml:space="preserve">los impactos ambientales </w:t>
      </w:r>
      <w:r w:rsidR="006E41CD" w:rsidRPr="00BD1319">
        <w:t>que se prevea existan al culminar la vida útil del proyecto, o los que se identifiquen efectivamente en ese momento (en el caso de</w:t>
      </w:r>
      <w:r w:rsidR="009812CF" w:rsidRPr="00BD1319">
        <w:t>l</w:t>
      </w:r>
      <w:r w:rsidR="006E41CD" w:rsidRPr="00BD1319">
        <w:t xml:space="preserve"> plan de desmantelamiento </w:t>
      </w:r>
      <w:r w:rsidR="009812CF" w:rsidRPr="00BD1319">
        <w:t xml:space="preserve">que hace parte </w:t>
      </w:r>
      <w:r w:rsidR="006E41CD" w:rsidRPr="00BD1319">
        <w:t xml:space="preserve">del estudio que se </w:t>
      </w:r>
      <w:r w:rsidR="009812CF" w:rsidRPr="00BD1319">
        <w:t xml:space="preserve">elabora </w:t>
      </w:r>
      <w:r w:rsidR="006E41CD" w:rsidRPr="00BD1319">
        <w:t xml:space="preserve">para solicitar el inicio de la fase de desmantelamiento y </w:t>
      </w:r>
      <w:r w:rsidR="004E5745" w:rsidRPr="00BD1319">
        <w:t>cierre ambiental</w:t>
      </w:r>
      <w:r w:rsidR="006E41CD" w:rsidRPr="00BD1319">
        <w:t xml:space="preserve">), se deben </w:t>
      </w:r>
      <w:r w:rsidRPr="00BD1319">
        <w:t xml:space="preserve">plantear </w:t>
      </w:r>
      <w:r w:rsidR="006847A8" w:rsidRPr="00BD1319">
        <w:t xml:space="preserve">las </w:t>
      </w:r>
      <w:r w:rsidR="006E41CD" w:rsidRPr="00BD1319">
        <w:t xml:space="preserve">actividades que permitan </w:t>
      </w:r>
      <w:r w:rsidR="009812CF" w:rsidRPr="00BD1319">
        <w:t xml:space="preserve">la </w:t>
      </w:r>
      <w:r w:rsidR="006E41CD" w:rsidRPr="00BD1319">
        <w:t>reconfiguración morfológica y restauración</w:t>
      </w:r>
      <w:r w:rsidR="009812CF" w:rsidRPr="00BD1319">
        <w:t xml:space="preserve"> de tales áreas</w:t>
      </w:r>
      <w:r w:rsidR="005A6B5B" w:rsidRPr="00BD1319">
        <w:rPr>
          <w:rStyle w:val="Refdenotaalpie"/>
          <w:lang w:val="es-CO"/>
        </w:rPr>
        <w:footnoteReference w:id="227"/>
      </w:r>
      <w:r w:rsidR="006E41CD" w:rsidRPr="00BD1319">
        <w:t>.</w:t>
      </w:r>
    </w:p>
    <w:p w14:paraId="7F806EF4" w14:textId="77777777" w:rsidR="00A16B7A" w:rsidRPr="00BD1319" w:rsidRDefault="00A16B7A" w:rsidP="006E41CD"/>
    <w:p w14:paraId="12D9F0B8" w14:textId="23F159C8" w:rsidR="00262F37" w:rsidRPr="00BD1319" w:rsidRDefault="00E06611" w:rsidP="006E41CD">
      <w:r w:rsidRPr="00BD1319">
        <w:t xml:space="preserve">Estas </w:t>
      </w:r>
      <w:r w:rsidR="004B5043" w:rsidRPr="00BD1319">
        <w:t xml:space="preserve">actividades de </w:t>
      </w:r>
      <w:r w:rsidR="006E41CD" w:rsidRPr="00BD1319">
        <w:t xml:space="preserve">reconfiguración morfológica y recuperación, rehabilitación o restauración, </w:t>
      </w:r>
      <w:r w:rsidR="00262F37" w:rsidRPr="00BD1319">
        <w:t xml:space="preserve">tienen que </w:t>
      </w:r>
      <w:r w:rsidR="004B5043" w:rsidRPr="00BD1319">
        <w:t xml:space="preserve">ser descritas </w:t>
      </w:r>
      <w:r w:rsidR="00D61F8A" w:rsidRPr="00BD1319">
        <w:t>de forma sintética</w:t>
      </w:r>
      <w:r w:rsidR="00262F37" w:rsidRPr="00BD1319">
        <w:t xml:space="preserve"> y planteadas de forma tal</w:t>
      </w:r>
      <w:r w:rsidR="002B4A5D" w:rsidRPr="00BD1319">
        <w:t>,</w:t>
      </w:r>
      <w:r w:rsidR="00262F37" w:rsidRPr="00BD1319">
        <w:t xml:space="preserve"> que </w:t>
      </w:r>
      <w:r w:rsidR="00262F37" w:rsidRPr="00BD1319">
        <w:rPr>
          <w:rFonts w:eastAsia="Arial" w:cs="Arial"/>
          <w:bCs/>
          <w:color w:val="000000" w:themeColor="text1"/>
        </w:rPr>
        <w:t xml:space="preserve">garanticen la estabilidad del terreno, la </w:t>
      </w:r>
      <w:r w:rsidR="00262F37" w:rsidRPr="00BD1319">
        <w:rPr>
          <w:rFonts w:cs="Arial"/>
          <w:spacing w:val="-3"/>
        </w:rPr>
        <w:t>recuperación y rehabilitación del suelo,</w:t>
      </w:r>
      <w:r w:rsidR="00262F37" w:rsidRPr="00BD1319">
        <w:rPr>
          <w:rFonts w:eastAsia="Arial" w:cs="Arial"/>
          <w:bCs/>
          <w:color w:val="000000" w:themeColor="text1"/>
        </w:rPr>
        <w:t xml:space="preserve"> el restablecimiento de la cobertura vegetal y la reconformación paisajística en concordancia con la propuesta del uso final del suelo</w:t>
      </w:r>
      <w:r w:rsidR="00262F37" w:rsidRPr="00BD1319">
        <w:t xml:space="preserve">; </w:t>
      </w:r>
      <w:r w:rsidR="004B5043" w:rsidRPr="00BD1319">
        <w:t xml:space="preserve">asimismo, </w:t>
      </w:r>
      <w:r w:rsidR="002B4A5D" w:rsidRPr="00BD1319">
        <w:t xml:space="preserve">en el plan </w:t>
      </w:r>
      <w:r w:rsidR="004B5043" w:rsidRPr="00BD1319">
        <w:t xml:space="preserve">se deben describir </w:t>
      </w:r>
      <w:r w:rsidR="006E41CD" w:rsidRPr="00BD1319">
        <w:t xml:space="preserve">las actividades de desmantelamiento </w:t>
      </w:r>
      <w:r w:rsidRPr="00BD1319">
        <w:t xml:space="preserve">y retiro </w:t>
      </w:r>
      <w:r w:rsidR="006E41CD" w:rsidRPr="00BD1319">
        <w:t>de las obras e infraestructura para las cuales se p</w:t>
      </w:r>
      <w:r w:rsidR="004B5043" w:rsidRPr="00BD1319">
        <w:t xml:space="preserve">revea </w:t>
      </w:r>
      <w:r w:rsidR="006E41CD" w:rsidRPr="00BD1319">
        <w:t>este tratamiento</w:t>
      </w:r>
      <w:r w:rsidR="00262F37" w:rsidRPr="00BD1319">
        <w:t>. L</w:t>
      </w:r>
      <w:r w:rsidRPr="00BD1319">
        <w:t xml:space="preserve">as particularidades para la descripción de </w:t>
      </w:r>
      <w:r w:rsidR="001524D5" w:rsidRPr="00BD1319">
        <w:t xml:space="preserve">todas </w:t>
      </w:r>
      <w:r w:rsidRPr="00BD1319">
        <w:t>estas actividades</w:t>
      </w:r>
      <w:r w:rsidR="000767EF" w:rsidRPr="00BD1319">
        <w:t xml:space="preserve"> y la formulación del plan de desmantelamiento y </w:t>
      </w:r>
      <w:r w:rsidR="00787414" w:rsidRPr="00BD1319">
        <w:t>cierre ambiental</w:t>
      </w:r>
      <w:r w:rsidRPr="00BD1319">
        <w:t>, de acuerdo con cada tipo de proyecto, obra o actividad, se establecen en los términos de referencia.</w:t>
      </w:r>
    </w:p>
    <w:p w14:paraId="3A572C54" w14:textId="77777777" w:rsidR="00262F37" w:rsidRPr="00BD1319" w:rsidRDefault="00262F37" w:rsidP="006E41CD"/>
    <w:p w14:paraId="69A29EC2" w14:textId="1F0C89C7" w:rsidR="006E41CD" w:rsidRPr="00BD1319" w:rsidRDefault="006E41CD" w:rsidP="006E41CD">
      <w:r w:rsidRPr="00BD1319">
        <w:t>En el plan se debe hacer claridad sobre las obras e infraestructura que se proyecta entregar a terceros (comunidades, privados, o entidades del Estado, en este último caso se constituiría una reversión)</w:t>
      </w:r>
      <w:r w:rsidR="00E06611" w:rsidRPr="00BD1319">
        <w:t xml:space="preserve">, teniendo en cuenta </w:t>
      </w:r>
      <w:r w:rsidR="00262F37" w:rsidRPr="00BD1319">
        <w:t xml:space="preserve">que </w:t>
      </w:r>
      <w:r w:rsidR="009F103C" w:rsidRPr="00BD1319">
        <w:t xml:space="preserve">se debe </w:t>
      </w:r>
      <w:r w:rsidR="000063D2" w:rsidRPr="00BD1319">
        <w:t xml:space="preserve">suministrar </w:t>
      </w:r>
      <w:r w:rsidR="009F103C" w:rsidRPr="00BD1319">
        <w:t xml:space="preserve">la información necesaria para que quien se responsabilice de </w:t>
      </w:r>
      <w:r w:rsidR="00CC5789" w:rsidRPr="00BD1319">
        <w:t>ést</w:t>
      </w:r>
      <w:r w:rsidR="003B331C" w:rsidRPr="00BD1319">
        <w:t>a</w:t>
      </w:r>
      <w:r w:rsidR="00CC5789" w:rsidRPr="00BD1319">
        <w:t>s</w:t>
      </w:r>
      <w:r w:rsidR="009F103C" w:rsidRPr="00BD1319">
        <w:t xml:space="preserve">, pueda incorporar en su gestión </w:t>
      </w:r>
      <w:r w:rsidR="009F103C" w:rsidRPr="00BD1319">
        <w:lastRenderedPageBreak/>
        <w:t xml:space="preserve">ambiental medidas de manejo para </w:t>
      </w:r>
      <w:r w:rsidR="00605D4E" w:rsidRPr="00BD1319">
        <w:t>prevenir</w:t>
      </w:r>
      <w:r w:rsidR="009F103C" w:rsidRPr="00BD1319">
        <w:t>, mitigar, corregir o compensar de forma eficaz sus impactos ambientales.</w:t>
      </w:r>
    </w:p>
    <w:p w14:paraId="661F4671" w14:textId="77777777" w:rsidR="006E41CD" w:rsidRPr="00BD1319" w:rsidRDefault="006E41CD" w:rsidP="006E41CD"/>
    <w:p w14:paraId="1690F128" w14:textId="1D5406C4" w:rsidR="00081105" w:rsidRPr="00BD1319" w:rsidRDefault="00081105" w:rsidP="006E41CD">
      <w:r w:rsidRPr="00BD1319">
        <w:rPr>
          <w:rFonts w:eastAsia="Arial" w:cs="Arial"/>
          <w:bCs/>
          <w:color w:val="000000" w:themeColor="text1"/>
        </w:rPr>
        <w:t xml:space="preserve">Las actividades de disposición de residuos de construcción y demolición (RCD) deben ser realizadas en concordancia con las condiciones en las que fue otorgada la licencia ambiental, así como con la normativa ambiental vigente. Igualmente, las actividades de desmantelamiento y </w:t>
      </w:r>
      <w:r w:rsidR="00816261" w:rsidRPr="00BD1319">
        <w:rPr>
          <w:rFonts w:eastAsia="Arial" w:cs="Arial"/>
          <w:bCs/>
          <w:color w:val="000000" w:themeColor="text1"/>
        </w:rPr>
        <w:t xml:space="preserve">cierre ambiental </w:t>
      </w:r>
      <w:r w:rsidRPr="00BD1319">
        <w:rPr>
          <w:rFonts w:eastAsia="Arial" w:cs="Arial"/>
          <w:bCs/>
          <w:color w:val="000000" w:themeColor="text1"/>
        </w:rPr>
        <w:t xml:space="preserve">deben garantizar la correcta gestión de los residuos de aparatos eléctricos y electrónicos (RAEE) y de los residuos peligrosos que se prevé se generarán durante el desmantelamiento y </w:t>
      </w:r>
      <w:bookmarkStart w:id="11353" w:name="_Hlk145938190"/>
      <w:r w:rsidR="00816261" w:rsidRPr="00BD1319">
        <w:rPr>
          <w:rFonts w:eastAsia="Arial" w:cs="Arial"/>
          <w:bCs/>
          <w:color w:val="000000" w:themeColor="text1"/>
        </w:rPr>
        <w:t>cierre ambiental</w:t>
      </w:r>
      <w:bookmarkEnd w:id="11353"/>
      <w:r w:rsidRPr="00BD1319">
        <w:rPr>
          <w:rFonts w:eastAsia="Arial" w:cs="Arial"/>
          <w:bCs/>
          <w:color w:val="000000" w:themeColor="text1"/>
        </w:rPr>
        <w:t>, con el fin de evitar cualquier episodio de contaminación que pueda representar un riesgo a la salud y al ambiente.</w:t>
      </w:r>
    </w:p>
    <w:p w14:paraId="5180417B" w14:textId="77777777" w:rsidR="00081105" w:rsidRPr="00BD1319" w:rsidRDefault="00081105" w:rsidP="006E41CD"/>
    <w:p w14:paraId="2C6C6AF7" w14:textId="68027307" w:rsidR="006E41CD" w:rsidRPr="00BD1319" w:rsidRDefault="008D3685" w:rsidP="006E41CD">
      <w:r w:rsidRPr="00BD1319">
        <w:t>Se debe tener en cuenta que l</w:t>
      </w:r>
      <w:r w:rsidR="006E41CD" w:rsidRPr="00BD1319">
        <w:t xml:space="preserve">as actividades de desmantelamiento y </w:t>
      </w:r>
      <w:r w:rsidR="00816261" w:rsidRPr="00BD1319">
        <w:rPr>
          <w:rFonts w:eastAsia="Arial" w:cs="Arial"/>
          <w:bCs/>
          <w:color w:val="000000" w:themeColor="text1"/>
        </w:rPr>
        <w:t>cierre ambiental</w:t>
      </w:r>
      <w:r w:rsidR="00EF7401" w:rsidRPr="00BD1319">
        <w:rPr>
          <w:rFonts w:eastAsia="Arial" w:cs="Arial"/>
          <w:bCs/>
          <w:color w:val="000000" w:themeColor="text1"/>
        </w:rPr>
        <w:t xml:space="preserve"> </w:t>
      </w:r>
      <w:r w:rsidR="006E41CD" w:rsidRPr="00BD1319">
        <w:t xml:space="preserve">de obras </w:t>
      </w:r>
      <w:r w:rsidRPr="00BD1319">
        <w:t>e</w:t>
      </w:r>
      <w:r w:rsidR="006E41CD" w:rsidRPr="00BD1319">
        <w:t xml:space="preserve"> infraestructura temporales, así como las </w:t>
      </w:r>
      <w:r w:rsidR="002B4A5D" w:rsidRPr="00BD1319">
        <w:t xml:space="preserve">actividades </w:t>
      </w:r>
      <w:r w:rsidR="006E41CD" w:rsidRPr="00BD1319">
        <w:t xml:space="preserve">requeridas para el desmantelamiento y </w:t>
      </w:r>
      <w:r w:rsidR="00816261" w:rsidRPr="00BD1319">
        <w:rPr>
          <w:rFonts w:eastAsia="Arial" w:cs="Arial"/>
          <w:bCs/>
          <w:color w:val="000000" w:themeColor="text1"/>
        </w:rPr>
        <w:t xml:space="preserve">cierre ambiental </w:t>
      </w:r>
      <w:r w:rsidR="006E41CD" w:rsidRPr="00BD1319">
        <w:t xml:space="preserve">progresivo de obras, infraestructura o frentes de explotación de ciertos tipos de proyectos, deben ser descritas en el capítulo de descripción del proyecto, obra o actividad, al cual </w:t>
      </w:r>
      <w:r w:rsidRPr="00BD1319">
        <w:t xml:space="preserve">hace </w:t>
      </w:r>
      <w:r w:rsidR="006E41CD" w:rsidRPr="00BD1319">
        <w:t>ref</w:t>
      </w:r>
      <w:r w:rsidRPr="00BD1319">
        <w:t xml:space="preserve">erencia </w:t>
      </w:r>
      <w:r w:rsidR="006E41CD" w:rsidRPr="00BD1319">
        <w:t xml:space="preserve">el numeral </w:t>
      </w:r>
      <w:r w:rsidR="004A7E9F" w:rsidRPr="00BD1319">
        <w:fldChar w:fldCharType="begin"/>
      </w:r>
      <w:r w:rsidR="004A7E9F" w:rsidRPr="00BD1319">
        <w:instrText xml:space="preserve"> REF _Ref75276177 \r \h </w:instrText>
      </w:r>
      <w:r w:rsidR="00D35CF9" w:rsidRPr="00BD1319">
        <w:instrText xml:space="preserve"> \* MERGEFORMAT </w:instrText>
      </w:r>
      <w:r w:rsidR="004A7E9F" w:rsidRPr="00BD1319">
        <w:fldChar w:fldCharType="separate"/>
      </w:r>
      <w:r w:rsidR="00296654" w:rsidRPr="00BD1319">
        <w:t>1</w:t>
      </w:r>
      <w:r w:rsidR="004A7E9F" w:rsidRPr="00BD1319">
        <w:fldChar w:fldCharType="end"/>
      </w:r>
      <w:r w:rsidR="006E41CD" w:rsidRPr="00BD1319">
        <w:t xml:space="preserve"> del capítulo III de esta metodología.</w:t>
      </w:r>
    </w:p>
    <w:p w14:paraId="56504651" w14:textId="77777777" w:rsidR="006E41CD" w:rsidRPr="00BD1319" w:rsidRDefault="006E41CD" w:rsidP="006E41CD"/>
    <w:p w14:paraId="4AA97E05" w14:textId="49274BD8" w:rsidR="006E41CD" w:rsidRPr="00BD1319" w:rsidRDefault="002B4A5D" w:rsidP="006E41CD">
      <w:r w:rsidRPr="00BD1319">
        <w:t>Tomando como fundamento</w:t>
      </w:r>
      <w:r w:rsidR="006E41CD" w:rsidRPr="00BD1319">
        <w:t xml:space="preserve"> </w:t>
      </w:r>
      <w:r w:rsidR="004B5043" w:rsidRPr="00BD1319">
        <w:t>las</w:t>
      </w:r>
      <w:r w:rsidR="006E41CD" w:rsidRPr="00BD1319">
        <w:t xml:space="preserve"> actividades de reconfiguración y restauración</w:t>
      </w:r>
      <w:r w:rsidR="004A7E9F" w:rsidRPr="00BD1319">
        <w:t xml:space="preserve"> establecidas en este plan</w:t>
      </w:r>
      <w:r w:rsidR="006E41CD" w:rsidRPr="00BD1319">
        <w:t xml:space="preserve">, </w:t>
      </w:r>
      <w:r w:rsidRPr="00BD1319">
        <w:t xml:space="preserve">los impactos ambientales que </w:t>
      </w:r>
      <w:r w:rsidR="00370887" w:rsidRPr="00BD1319">
        <w:t xml:space="preserve">estas actividades </w:t>
      </w:r>
      <w:r w:rsidRPr="00BD1319">
        <w:t xml:space="preserve">puedan ocasionar, </w:t>
      </w:r>
      <w:r w:rsidR="006E41CD" w:rsidRPr="00BD1319">
        <w:t xml:space="preserve">así como los impactos </w:t>
      </w:r>
      <w:r w:rsidR="004A7E9F" w:rsidRPr="00BD1319">
        <w:t xml:space="preserve">ambientales </w:t>
      </w:r>
      <w:r w:rsidR="006E41CD" w:rsidRPr="00BD1319">
        <w:t xml:space="preserve">que persistan por la ejecución del proyecto, </w:t>
      </w:r>
      <w:r w:rsidR="004B5043" w:rsidRPr="00BD1319">
        <w:t>obra o actividad</w:t>
      </w:r>
      <w:r w:rsidR="004A7E9F" w:rsidRPr="00BD1319">
        <w:t xml:space="preserve"> (para el caso del plan que hace parte del estudio elaborado para iniciar la fase de desmantelamiento y </w:t>
      </w:r>
      <w:r w:rsidR="00816261" w:rsidRPr="00BD1319">
        <w:rPr>
          <w:rFonts w:eastAsia="Arial" w:cs="Arial"/>
          <w:bCs/>
          <w:color w:val="000000" w:themeColor="text1"/>
        </w:rPr>
        <w:t>cierre ambiental</w:t>
      </w:r>
      <w:r w:rsidR="004A7E9F" w:rsidRPr="00BD1319">
        <w:t>)</w:t>
      </w:r>
      <w:r w:rsidR="004B5043" w:rsidRPr="00BD1319">
        <w:t xml:space="preserve">, </w:t>
      </w:r>
      <w:r w:rsidR="004A7E9F" w:rsidRPr="00BD1319">
        <w:t xml:space="preserve">se </w:t>
      </w:r>
      <w:r w:rsidR="006E41CD" w:rsidRPr="00BD1319">
        <w:t>debe</w:t>
      </w:r>
      <w:r w:rsidR="004A7E9F" w:rsidRPr="00BD1319">
        <w:t>n</w:t>
      </w:r>
      <w:r w:rsidR="006E41CD" w:rsidRPr="00BD1319">
        <w:t xml:space="preserve"> formular </w:t>
      </w:r>
      <w:r w:rsidR="00D35CF9" w:rsidRPr="00BD1319">
        <w:t xml:space="preserve">e incluir en este plan </w:t>
      </w:r>
      <w:r w:rsidR="006E41CD" w:rsidRPr="00BD1319">
        <w:t xml:space="preserve">medidas </w:t>
      </w:r>
      <w:r w:rsidR="004B5043" w:rsidRPr="00BD1319">
        <w:rPr>
          <w:rFonts w:eastAsia="Malgun Gothic" w:cs="Arial"/>
          <w:lang w:eastAsia="ko-KR"/>
        </w:rPr>
        <w:t>encaminadas a prevenir, mitigar, corregir y compensar</w:t>
      </w:r>
      <w:r w:rsidR="00370887" w:rsidRPr="00BD1319">
        <w:rPr>
          <w:rFonts w:eastAsia="Malgun Gothic" w:cs="Arial"/>
          <w:lang w:eastAsia="ko-KR"/>
        </w:rPr>
        <w:t xml:space="preserve"> dichos impactos</w:t>
      </w:r>
      <w:r w:rsidR="006E41CD" w:rsidRPr="00BD1319">
        <w:t xml:space="preserve">, teniendo especial énfasis en </w:t>
      </w:r>
      <w:r w:rsidR="004A7E9F" w:rsidRPr="00BD1319">
        <w:t xml:space="preserve">la conservación de los </w:t>
      </w:r>
      <w:r w:rsidR="006E41CD" w:rsidRPr="00BD1319">
        <w:t>ecosistemas estratégicos presentes en el área de influencia del proyecto</w:t>
      </w:r>
      <w:r w:rsidR="00370887" w:rsidRPr="00BD1319">
        <w:t xml:space="preserve">, </w:t>
      </w:r>
      <w:r w:rsidR="00BC2EE3" w:rsidRPr="00BD1319">
        <w:t xml:space="preserve">obra o actividad </w:t>
      </w:r>
      <w:r w:rsidR="00370887" w:rsidRPr="00BD1319">
        <w:t xml:space="preserve">y especificando las características de </w:t>
      </w:r>
      <w:r w:rsidR="00BB320E" w:rsidRPr="00BD1319">
        <w:t xml:space="preserve">manejo de cada impacto </w:t>
      </w:r>
      <w:r w:rsidR="00370887" w:rsidRPr="00BD1319">
        <w:t xml:space="preserve">según los lineamientos establecidos para el plan de manejo ambiental en el numeral </w:t>
      </w:r>
      <w:r w:rsidR="00370887" w:rsidRPr="00BD1319">
        <w:fldChar w:fldCharType="begin"/>
      </w:r>
      <w:r w:rsidR="00370887" w:rsidRPr="00BD1319">
        <w:instrText xml:space="preserve"> REF _Ref75276155 \r \h </w:instrText>
      </w:r>
      <w:r w:rsidR="006A4128" w:rsidRPr="00BD1319">
        <w:instrText xml:space="preserve"> \* MERGEFORMAT </w:instrText>
      </w:r>
      <w:r w:rsidR="00370887" w:rsidRPr="00BD1319">
        <w:fldChar w:fldCharType="separate"/>
      </w:r>
      <w:r w:rsidR="00296654" w:rsidRPr="00BD1319">
        <w:t>10.1</w:t>
      </w:r>
      <w:r w:rsidR="00370887" w:rsidRPr="00BD1319">
        <w:fldChar w:fldCharType="end"/>
      </w:r>
      <w:r w:rsidR="00370887" w:rsidRPr="00BD1319">
        <w:t xml:space="preserve"> de este documento.</w:t>
      </w:r>
    </w:p>
    <w:p w14:paraId="34A1DBD4" w14:textId="77777777" w:rsidR="006E41CD" w:rsidRPr="00BD1319" w:rsidRDefault="006E41CD" w:rsidP="006E41CD"/>
    <w:p w14:paraId="7AF4E505" w14:textId="1A7EA74F" w:rsidR="00005394" w:rsidRPr="00BD1319" w:rsidRDefault="00370887" w:rsidP="009420F5">
      <w:pPr>
        <w:contextualSpacing/>
        <w:rPr>
          <w:rFonts w:eastAsia="Arial" w:cs="Arial"/>
          <w:bCs/>
          <w:color w:val="000000" w:themeColor="text1"/>
        </w:rPr>
      </w:pPr>
      <w:r w:rsidRPr="00BD1319">
        <w:rPr>
          <w:rFonts w:eastAsia="Arial" w:cs="Arial"/>
          <w:bCs/>
          <w:color w:val="000000" w:themeColor="text1"/>
        </w:rPr>
        <w:t xml:space="preserve">Adicional a los indicadores que informan sobre la eficacia de las medidas de manejo </w:t>
      </w:r>
      <w:r w:rsidR="00005394" w:rsidRPr="00BD1319">
        <w:rPr>
          <w:rFonts w:eastAsia="Arial" w:cs="Arial"/>
          <w:bCs/>
          <w:color w:val="000000" w:themeColor="text1"/>
        </w:rPr>
        <w:t xml:space="preserve">de los impactos </w:t>
      </w:r>
      <w:r w:rsidRPr="00BD1319">
        <w:rPr>
          <w:rFonts w:eastAsia="Arial" w:cs="Arial"/>
          <w:bCs/>
          <w:color w:val="000000" w:themeColor="text1"/>
        </w:rPr>
        <w:t xml:space="preserve">que ocurren en la fase de desmantelamiento y </w:t>
      </w:r>
      <w:r w:rsidR="00816261" w:rsidRPr="00BD1319">
        <w:rPr>
          <w:rFonts w:eastAsia="Arial" w:cs="Arial"/>
          <w:bCs/>
          <w:color w:val="000000" w:themeColor="text1"/>
        </w:rPr>
        <w:t>cierre ambiental</w:t>
      </w:r>
      <w:r w:rsidR="00081105" w:rsidRPr="00BD1319">
        <w:rPr>
          <w:rFonts w:eastAsia="Arial" w:cs="Arial"/>
          <w:bCs/>
          <w:color w:val="000000" w:themeColor="text1"/>
        </w:rPr>
        <w:t xml:space="preserve">, que deben ser formulados siguiendo los lineamientos señalados </w:t>
      </w:r>
      <w:r w:rsidR="00081105" w:rsidRPr="00BD1319">
        <w:t xml:space="preserve">en el numeral </w:t>
      </w:r>
      <w:r w:rsidR="00081105" w:rsidRPr="00BD1319">
        <w:fldChar w:fldCharType="begin"/>
      </w:r>
      <w:r w:rsidR="00081105" w:rsidRPr="00BD1319">
        <w:instrText xml:space="preserve"> REF _Ref75276155 \r \h </w:instrText>
      </w:r>
      <w:r w:rsidR="006A4128" w:rsidRPr="00BD1319">
        <w:instrText xml:space="preserve"> \* MERGEFORMAT </w:instrText>
      </w:r>
      <w:r w:rsidR="00081105" w:rsidRPr="00BD1319">
        <w:fldChar w:fldCharType="separate"/>
      </w:r>
      <w:r w:rsidR="00296654" w:rsidRPr="00BD1319">
        <w:t>10.1</w:t>
      </w:r>
      <w:r w:rsidR="00081105" w:rsidRPr="00BD1319">
        <w:fldChar w:fldCharType="end"/>
      </w:r>
      <w:r w:rsidR="00081105" w:rsidRPr="00BD1319">
        <w:t xml:space="preserve"> de esta metodología</w:t>
      </w:r>
      <w:r w:rsidRPr="00BD1319">
        <w:rPr>
          <w:rFonts w:eastAsia="Arial" w:cs="Arial"/>
          <w:bCs/>
          <w:color w:val="000000" w:themeColor="text1"/>
        </w:rPr>
        <w:t xml:space="preserve">, se debe </w:t>
      </w:r>
      <w:r w:rsidR="00081105" w:rsidRPr="00BD1319">
        <w:rPr>
          <w:rFonts w:eastAsia="Arial" w:cs="Arial"/>
          <w:bCs/>
          <w:color w:val="000000" w:themeColor="text1"/>
        </w:rPr>
        <w:t>p</w:t>
      </w:r>
      <w:r w:rsidRPr="00BD1319">
        <w:rPr>
          <w:rFonts w:eastAsia="Arial" w:cs="Arial"/>
          <w:bCs/>
          <w:color w:val="000000" w:themeColor="text1"/>
        </w:rPr>
        <w:t xml:space="preserve">resentar una propuesta de indicadores </w:t>
      </w:r>
      <w:r w:rsidR="00081105" w:rsidRPr="00BD1319">
        <w:rPr>
          <w:rFonts w:eastAsia="Arial" w:cs="Arial"/>
          <w:bCs/>
          <w:color w:val="000000" w:themeColor="text1"/>
        </w:rPr>
        <w:t>que permitan verificar el cumplimiento del o</w:t>
      </w:r>
      <w:r w:rsidRPr="00BD1319">
        <w:rPr>
          <w:rFonts w:eastAsia="Arial" w:cs="Arial"/>
          <w:bCs/>
          <w:color w:val="000000" w:themeColor="text1"/>
        </w:rPr>
        <w:t xml:space="preserve">bjetivo y alcances del plan </w:t>
      </w:r>
      <w:r w:rsidR="00081105" w:rsidRPr="00BD1319">
        <w:rPr>
          <w:rFonts w:eastAsia="Arial" w:cs="Arial"/>
          <w:bCs/>
          <w:color w:val="000000" w:themeColor="text1"/>
        </w:rPr>
        <w:t xml:space="preserve">de desmantelamiento y </w:t>
      </w:r>
      <w:r w:rsidR="00816261" w:rsidRPr="00BD1319">
        <w:rPr>
          <w:rFonts w:eastAsia="Arial" w:cs="Arial"/>
          <w:bCs/>
          <w:color w:val="000000" w:themeColor="text1"/>
        </w:rPr>
        <w:t>cierre ambiental</w:t>
      </w:r>
      <w:r w:rsidR="00081105" w:rsidRPr="00BD1319">
        <w:rPr>
          <w:rFonts w:eastAsia="Arial" w:cs="Arial"/>
          <w:bCs/>
          <w:color w:val="000000" w:themeColor="text1"/>
        </w:rPr>
        <w:t>.</w:t>
      </w:r>
    </w:p>
    <w:p w14:paraId="2DAA57BE" w14:textId="77777777" w:rsidR="00005394" w:rsidRPr="00BD1319" w:rsidRDefault="00005394" w:rsidP="004A7E9F"/>
    <w:p w14:paraId="1CE731ED" w14:textId="031B4426" w:rsidR="004A7E9F" w:rsidRPr="00BD1319" w:rsidRDefault="004A7E9F" w:rsidP="004A7E9F">
      <w:r w:rsidRPr="00BD1319">
        <w:t xml:space="preserve">Se debe tener en cuenta que las medidas para manejar los impactos producto de las actividades de desmantelamiento y </w:t>
      </w:r>
      <w:r w:rsidR="00816261" w:rsidRPr="00BD1319">
        <w:rPr>
          <w:rFonts w:eastAsia="Arial" w:cs="Arial"/>
          <w:bCs/>
          <w:color w:val="000000" w:themeColor="text1"/>
        </w:rPr>
        <w:t xml:space="preserve">cierre ambiental </w:t>
      </w:r>
      <w:r w:rsidRPr="00BD1319">
        <w:t xml:space="preserve">de obras e infraestructura temporales, y de las requeridas para el desmantelamiento y </w:t>
      </w:r>
      <w:r w:rsidR="00816261" w:rsidRPr="00BD1319">
        <w:rPr>
          <w:rFonts w:eastAsia="Arial" w:cs="Arial"/>
          <w:bCs/>
          <w:color w:val="000000" w:themeColor="text1"/>
        </w:rPr>
        <w:t>cierre ambiental</w:t>
      </w:r>
      <w:r w:rsidR="00EF7401" w:rsidRPr="00BD1319">
        <w:rPr>
          <w:rFonts w:eastAsia="Arial" w:cs="Arial"/>
          <w:bCs/>
          <w:color w:val="000000" w:themeColor="text1"/>
        </w:rPr>
        <w:t xml:space="preserve"> </w:t>
      </w:r>
      <w:r w:rsidRPr="00BD1319">
        <w:t xml:space="preserve">progresivo de obras, infraestructura o frentes de explotación de ciertos tipos de proyectos, deben ser planteadas en el plan de manejo ambiental del EIA, de acuerdo con lo establecido en el numeral </w:t>
      </w:r>
      <w:r w:rsidRPr="00BD1319">
        <w:fldChar w:fldCharType="begin"/>
      </w:r>
      <w:r w:rsidRPr="00BD1319">
        <w:instrText xml:space="preserve"> REF _Ref75276155 \r \h </w:instrText>
      </w:r>
      <w:r w:rsidR="006A4128" w:rsidRPr="00BD1319">
        <w:instrText xml:space="preserve"> \* MERGEFORMAT </w:instrText>
      </w:r>
      <w:r w:rsidRPr="00BD1319">
        <w:fldChar w:fldCharType="separate"/>
      </w:r>
      <w:r w:rsidR="00296654" w:rsidRPr="00BD1319">
        <w:t>10.1</w:t>
      </w:r>
      <w:r w:rsidRPr="00BD1319">
        <w:fldChar w:fldCharType="end"/>
      </w:r>
      <w:r w:rsidRPr="00BD1319">
        <w:t xml:space="preserve"> del capítulo III de esta metodología.</w:t>
      </w:r>
    </w:p>
    <w:p w14:paraId="32846A1A" w14:textId="77777777" w:rsidR="004A7E9F" w:rsidRPr="00BD1319" w:rsidRDefault="004A7E9F" w:rsidP="004B5043">
      <w:pPr>
        <w:overflowPunct/>
        <w:autoSpaceDE/>
        <w:autoSpaceDN/>
        <w:adjustRightInd/>
        <w:textAlignment w:val="auto"/>
        <w:rPr>
          <w:rFonts w:eastAsia="Malgun Gothic" w:cs="Arial"/>
          <w:lang w:eastAsia="ko-KR"/>
        </w:rPr>
      </w:pPr>
    </w:p>
    <w:p w14:paraId="1EF194B9" w14:textId="5CDEDFF1" w:rsidR="004B5043" w:rsidRPr="00BD1319" w:rsidRDefault="004B5043" w:rsidP="004B5043">
      <w:pPr>
        <w:overflowPunct/>
        <w:autoSpaceDE/>
        <w:autoSpaceDN/>
        <w:adjustRightInd/>
        <w:textAlignment w:val="auto"/>
        <w:rPr>
          <w:rFonts w:eastAsia="Malgun Gothic" w:cs="Arial"/>
          <w:lang w:eastAsia="ko-KR"/>
        </w:rPr>
      </w:pPr>
      <w:r w:rsidRPr="00BD1319">
        <w:rPr>
          <w:rFonts w:eastAsia="Malgun Gothic" w:cs="Arial"/>
          <w:lang w:eastAsia="ko-KR"/>
        </w:rPr>
        <w:lastRenderedPageBreak/>
        <w:t xml:space="preserve">Tanto las actividades de reconformación morfológica y restauración como las medidas de manejo </w:t>
      </w:r>
      <w:r w:rsidR="00D35CF9" w:rsidRPr="00BD1319">
        <w:rPr>
          <w:rFonts w:eastAsia="Malgun Gothic" w:cs="Arial"/>
          <w:lang w:eastAsia="ko-KR"/>
        </w:rPr>
        <w:t xml:space="preserve">incluidas en </w:t>
      </w:r>
      <w:r w:rsidR="004A7E9F" w:rsidRPr="00BD1319">
        <w:rPr>
          <w:rFonts w:eastAsia="Malgun Gothic" w:cs="Arial"/>
          <w:lang w:eastAsia="ko-KR"/>
        </w:rPr>
        <w:t xml:space="preserve">este plan, que complementan las del plan de manejo ambiental, tienen el propósito de </w:t>
      </w:r>
      <w:r w:rsidRPr="00BD1319">
        <w:rPr>
          <w:rFonts w:eastAsia="Malgun Gothic" w:cs="Arial"/>
          <w:lang w:eastAsia="ko-KR"/>
        </w:rPr>
        <w:t>evitar pasivos ambientales que persistan luego de desmantelar, abandonar o terminar todas las acciones, usos del espacio, actividades e infraestructura relacionados y asociados con el proyecto, obra o actividad.</w:t>
      </w:r>
    </w:p>
    <w:p w14:paraId="45988883" w14:textId="77777777" w:rsidR="00005394" w:rsidRPr="00BD1319" w:rsidRDefault="00005394" w:rsidP="006E41CD"/>
    <w:p w14:paraId="2AE9FBF5" w14:textId="77BA23D7" w:rsidR="00C90D2A" w:rsidRPr="00BD1319" w:rsidRDefault="0036247D" w:rsidP="006E41CD">
      <w:r w:rsidRPr="00BD1319">
        <w:rPr>
          <w:rFonts w:eastAsia="Arial" w:cs="Arial"/>
          <w:bCs/>
          <w:color w:val="000000" w:themeColor="text1"/>
        </w:rPr>
        <w:t>S</w:t>
      </w:r>
      <w:r w:rsidR="00C90D2A" w:rsidRPr="00BD1319">
        <w:rPr>
          <w:rFonts w:eastAsia="Arial" w:cs="Arial"/>
          <w:bCs/>
          <w:color w:val="000000" w:themeColor="text1"/>
        </w:rPr>
        <w:t xml:space="preserve">e deben plantear las acciones necesarias para desarrollar el seguimiento ambiental tanto a las actividades </w:t>
      </w:r>
      <w:r w:rsidR="00C90D2A" w:rsidRPr="00BD1319">
        <w:t xml:space="preserve">de reconfiguración morfológica y recuperación, rehabilitación o restauración, como a las actividades de desmantelamiento y retiro de las obras e infraestructura que se establezcan en este el plan, basándose para ello, en los indicadores arriba mencionados y en los lineamientos sobre seguimiento </w:t>
      </w:r>
      <w:r w:rsidR="00B34C64" w:rsidRPr="00BD1319">
        <w:t xml:space="preserve">y monitoreo </w:t>
      </w:r>
      <w:r w:rsidR="00C90D2A" w:rsidRPr="00BD1319">
        <w:t xml:space="preserve">que se establecen en el numeral </w:t>
      </w:r>
      <w:r w:rsidR="00C90D2A" w:rsidRPr="00BD1319">
        <w:fldChar w:fldCharType="begin"/>
      </w:r>
      <w:r w:rsidR="00C90D2A" w:rsidRPr="00BD1319">
        <w:instrText xml:space="preserve"> REF _Ref76058128 \r \h </w:instrText>
      </w:r>
      <w:r w:rsidR="006A4128" w:rsidRPr="00BD1319">
        <w:instrText xml:space="preserve"> \* MERGEFORMAT </w:instrText>
      </w:r>
      <w:r w:rsidR="00C90D2A" w:rsidRPr="00BD1319">
        <w:fldChar w:fldCharType="separate"/>
      </w:r>
      <w:r w:rsidR="00296654" w:rsidRPr="00BD1319">
        <w:t>10.2</w:t>
      </w:r>
      <w:r w:rsidR="00C90D2A" w:rsidRPr="00BD1319">
        <w:fldChar w:fldCharType="end"/>
      </w:r>
      <w:r w:rsidR="00C90D2A" w:rsidRPr="00BD1319">
        <w:t xml:space="preserve"> del capítulo III de esta metodología.</w:t>
      </w:r>
    </w:p>
    <w:p w14:paraId="0821465B" w14:textId="77777777" w:rsidR="00C90D2A" w:rsidRPr="00BD1319" w:rsidRDefault="00C90D2A" w:rsidP="006E41CD"/>
    <w:p w14:paraId="1D103049" w14:textId="37406493" w:rsidR="00054CBD" w:rsidRPr="00BD1319" w:rsidRDefault="001300AD" w:rsidP="009420F5">
      <w:pPr>
        <w:contextualSpacing/>
        <w:rPr>
          <w:rFonts w:eastAsia="Arial" w:cs="Arial"/>
          <w:bCs/>
          <w:color w:val="000000" w:themeColor="text1"/>
        </w:rPr>
      </w:pPr>
      <w:r w:rsidRPr="00BD1319">
        <w:rPr>
          <w:rFonts w:eastAsia="Malgun Gothic" w:cs="Arial"/>
          <w:lang w:eastAsia="ko-KR"/>
        </w:rPr>
        <w:t xml:space="preserve">Con el propósito de que el plan de desmantelamiento y </w:t>
      </w:r>
      <w:r w:rsidR="00816261" w:rsidRPr="00BD1319">
        <w:rPr>
          <w:rFonts w:eastAsia="Arial" w:cs="Arial"/>
          <w:bCs/>
          <w:color w:val="000000" w:themeColor="text1"/>
        </w:rPr>
        <w:t xml:space="preserve">cierre ambiental </w:t>
      </w:r>
      <w:r w:rsidRPr="00BD1319">
        <w:rPr>
          <w:rFonts w:eastAsia="Malgun Gothic" w:cs="Arial"/>
          <w:lang w:eastAsia="ko-KR"/>
        </w:rPr>
        <w:t xml:space="preserve">garantice que la finalización del proyecto, obra o actividad sea ambiental y socialmente sostenible, en él se </w:t>
      </w:r>
      <w:r w:rsidR="00005394" w:rsidRPr="00BD1319">
        <w:rPr>
          <w:rFonts w:eastAsia="Malgun Gothic" w:cs="Arial"/>
          <w:lang w:eastAsia="ko-KR"/>
        </w:rPr>
        <w:t>debe</w:t>
      </w:r>
      <w:r w:rsidRPr="00BD1319">
        <w:rPr>
          <w:rFonts w:eastAsia="Malgun Gothic" w:cs="Arial"/>
          <w:lang w:eastAsia="ko-KR"/>
        </w:rPr>
        <w:t>n</w:t>
      </w:r>
      <w:r w:rsidR="00005394" w:rsidRPr="00BD1319">
        <w:rPr>
          <w:rFonts w:eastAsia="Malgun Gothic" w:cs="Arial"/>
          <w:lang w:eastAsia="ko-KR"/>
        </w:rPr>
        <w:t xml:space="preserve"> establecer </w:t>
      </w:r>
      <w:r w:rsidR="00921683" w:rsidRPr="00BD1319">
        <w:rPr>
          <w:rFonts w:eastAsia="Arial" w:cs="Arial"/>
          <w:bCs/>
          <w:color w:val="000000" w:themeColor="text1"/>
        </w:rPr>
        <w:t xml:space="preserve">estrategias de divulgación de </w:t>
      </w:r>
      <w:r w:rsidR="00BB320E" w:rsidRPr="00BD1319">
        <w:rPr>
          <w:rFonts w:eastAsia="Arial" w:cs="Arial"/>
          <w:bCs/>
          <w:color w:val="000000" w:themeColor="text1"/>
        </w:rPr>
        <w:t xml:space="preserve">las </w:t>
      </w:r>
      <w:r w:rsidR="00921683" w:rsidRPr="00BD1319">
        <w:rPr>
          <w:rFonts w:eastAsia="Arial" w:cs="Arial"/>
          <w:bCs/>
          <w:color w:val="000000" w:themeColor="text1"/>
        </w:rPr>
        <w:t xml:space="preserve">actividades </w:t>
      </w:r>
      <w:r w:rsidR="00BB320E" w:rsidRPr="00BD1319">
        <w:rPr>
          <w:rFonts w:eastAsia="Arial" w:cs="Arial"/>
          <w:bCs/>
          <w:color w:val="000000" w:themeColor="text1"/>
        </w:rPr>
        <w:t xml:space="preserve">y medidas a ejecutar </w:t>
      </w:r>
      <w:r w:rsidR="00921683" w:rsidRPr="00BD1319">
        <w:rPr>
          <w:rFonts w:eastAsia="Arial" w:cs="Arial"/>
          <w:bCs/>
          <w:color w:val="000000" w:themeColor="text1"/>
        </w:rPr>
        <w:t xml:space="preserve">durante la implementación del plan de desmantelamiento y </w:t>
      </w:r>
      <w:r w:rsidR="00816261" w:rsidRPr="00BD1319">
        <w:rPr>
          <w:rFonts w:eastAsia="Arial" w:cs="Arial"/>
          <w:bCs/>
          <w:color w:val="000000" w:themeColor="text1"/>
        </w:rPr>
        <w:t>cierre ambiental</w:t>
      </w:r>
      <w:r w:rsidR="00921683" w:rsidRPr="00BD1319">
        <w:rPr>
          <w:rFonts w:eastAsia="Arial" w:cs="Arial"/>
          <w:bCs/>
          <w:color w:val="000000" w:themeColor="text1"/>
        </w:rPr>
        <w:t xml:space="preserve">, </w:t>
      </w:r>
      <w:r w:rsidRPr="00BD1319">
        <w:rPr>
          <w:rFonts w:eastAsia="Arial" w:cs="Arial"/>
          <w:bCs/>
          <w:color w:val="000000" w:themeColor="text1"/>
        </w:rPr>
        <w:t xml:space="preserve">que permitan la participación de </w:t>
      </w:r>
      <w:r w:rsidR="00816261" w:rsidRPr="00BD1319">
        <w:rPr>
          <w:rFonts w:eastAsia="Arial" w:cs="Arial"/>
          <w:bCs/>
          <w:color w:val="000000" w:themeColor="text1"/>
        </w:rPr>
        <w:t xml:space="preserve">los grupos de interés </w:t>
      </w:r>
      <w:r w:rsidR="00921683" w:rsidRPr="00BD1319">
        <w:rPr>
          <w:rFonts w:eastAsia="Arial" w:cs="Arial"/>
          <w:bCs/>
          <w:color w:val="000000" w:themeColor="text1"/>
        </w:rPr>
        <w:t>de</w:t>
      </w:r>
      <w:r w:rsidR="00005394" w:rsidRPr="00BD1319">
        <w:rPr>
          <w:rFonts w:eastAsia="Arial" w:cs="Arial"/>
          <w:bCs/>
          <w:color w:val="000000" w:themeColor="text1"/>
        </w:rPr>
        <w:t>l área de</w:t>
      </w:r>
      <w:r w:rsidR="00840012" w:rsidRPr="00BD1319">
        <w:rPr>
          <w:rFonts w:eastAsia="Arial" w:cs="Arial"/>
          <w:bCs/>
          <w:color w:val="000000" w:themeColor="text1"/>
        </w:rPr>
        <w:t xml:space="preserve"> influencia de</w:t>
      </w:r>
      <w:r w:rsidR="00921683" w:rsidRPr="00BD1319">
        <w:rPr>
          <w:rFonts w:eastAsia="Arial" w:cs="Arial"/>
          <w:bCs/>
          <w:color w:val="000000" w:themeColor="text1"/>
        </w:rPr>
        <w:t>l proyecto, obra o actividad</w:t>
      </w:r>
      <w:r w:rsidR="00005394" w:rsidRPr="00BD1319">
        <w:rPr>
          <w:rFonts w:eastAsia="Arial" w:cs="Arial"/>
          <w:bCs/>
          <w:color w:val="000000" w:themeColor="text1"/>
        </w:rPr>
        <w:t>,</w:t>
      </w:r>
      <w:r w:rsidR="00921683" w:rsidRPr="00BD1319">
        <w:rPr>
          <w:rFonts w:eastAsia="Arial" w:cs="Arial"/>
          <w:bCs/>
          <w:color w:val="000000" w:themeColor="text1"/>
        </w:rPr>
        <w:t xml:space="preserve"> </w:t>
      </w:r>
      <w:r w:rsidR="00005394" w:rsidRPr="00BD1319">
        <w:rPr>
          <w:rFonts w:eastAsia="Arial" w:cs="Arial"/>
          <w:bCs/>
          <w:color w:val="000000" w:themeColor="text1"/>
        </w:rPr>
        <w:t xml:space="preserve">de acuerdo con los lineamientos de participación señalados en el numeral </w:t>
      </w:r>
      <w:r w:rsidR="00005394" w:rsidRPr="00BD1319">
        <w:rPr>
          <w:rFonts w:eastAsia="Arial" w:cs="Arial"/>
          <w:bCs/>
          <w:color w:val="000000" w:themeColor="text1"/>
        </w:rPr>
        <w:fldChar w:fldCharType="begin"/>
      </w:r>
      <w:r w:rsidR="00005394" w:rsidRPr="00BD1319">
        <w:rPr>
          <w:rFonts w:eastAsia="Arial" w:cs="Arial"/>
          <w:bCs/>
          <w:color w:val="000000" w:themeColor="text1"/>
        </w:rPr>
        <w:instrText xml:space="preserve"> REF _Ref75276648 \r \h </w:instrText>
      </w:r>
      <w:r w:rsidR="006A4128" w:rsidRPr="00BD1319">
        <w:rPr>
          <w:rFonts w:eastAsia="Arial" w:cs="Arial"/>
          <w:bCs/>
          <w:color w:val="000000" w:themeColor="text1"/>
        </w:rPr>
        <w:instrText xml:space="preserve"> \* MERGEFORMAT </w:instrText>
      </w:r>
      <w:r w:rsidR="00005394" w:rsidRPr="00BD1319">
        <w:rPr>
          <w:rFonts w:eastAsia="Arial" w:cs="Arial"/>
          <w:bCs/>
          <w:color w:val="000000" w:themeColor="text1"/>
        </w:rPr>
      </w:r>
      <w:r w:rsidR="00005394" w:rsidRPr="00BD1319">
        <w:rPr>
          <w:rFonts w:eastAsia="Arial" w:cs="Arial"/>
          <w:bCs/>
          <w:color w:val="000000" w:themeColor="text1"/>
        </w:rPr>
        <w:fldChar w:fldCharType="separate"/>
      </w:r>
      <w:r w:rsidR="00296654" w:rsidRPr="00BD1319">
        <w:rPr>
          <w:rFonts w:eastAsia="Arial" w:cs="Arial"/>
          <w:bCs/>
          <w:color w:val="000000" w:themeColor="text1"/>
        </w:rPr>
        <w:t>3</w:t>
      </w:r>
      <w:r w:rsidR="00005394" w:rsidRPr="00BD1319">
        <w:rPr>
          <w:rFonts w:eastAsia="Arial" w:cs="Arial"/>
          <w:bCs/>
          <w:color w:val="000000" w:themeColor="text1"/>
        </w:rPr>
        <w:fldChar w:fldCharType="end"/>
      </w:r>
      <w:r w:rsidR="00005394" w:rsidRPr="00BD1319">
        <w:rPr>
          <w:rFonts w:eastAsia="Arial" w:cs="Arial"/>
          <w:bCs/>
          <w:color w:val="000000" w:themeColor="text1"/>
        </w:rPr>
        <w:t xml:space="preserve"> del capítulo III de este documento.</w:t>
      </w:r>
    </w:p>
    <w:p w14:paraId="43784883" w14:textId="551AE057" w:rsidR="00921683" w:rsidRPr="00BD1319" w:rsidRDefault="00921683" w:rsidP="00C86DA5">
      <w:pPr>
        <w:contextualSpacing/>
        <w:rPr>
          <w:rFonts w:eastAsia="Arial" w:cs="Arial"/>
          <w:bCs/>
          <w:color w:val="000000" w:themeColor="text1"/>
        </w:rPr>
      </w:pPr>
    </w:p>
    <w:p w14:paraId="7B12ACE1" w14:textId="3C653BF2" w:rsidR="00612529" w:rsidRPr="00BD1319" w:rsidRDefault="007770AF">
      <w:pPr>
        <w:pStyle w:val="Ttulo2"/>
        <w:rPr>
          <w:lang w:val="es-CO"/>
        </w:rPr>
      </w:pPr>
      <w:bookmarkStart w:id="11354" w:name="_Toc79443356"/>
      <w:bookmarkStart w:id="11355" w:name="_Toc79443357"/>
      <w:bookmarkStart w:id="11356" w:name="_Toc79443358"/>
      <w:bookmarkStart w:id="11357" w:name="_Toc79443359"/>
      <w:bookmarkStart w:id="11358" w:name="_Toc79443360"/>
      <w:bookmarkStart w:id="11359" w:name="_Toc79443361"/>
      <w:bookmarkStart w:id="11360" w:name="_Toc79443363"/>
      <w:bookmarkStart w:id="11361" w:name="_Toc412812793"/>
      <w:bookmarkStart w:id="11362" w:name="_Toc437936069"/>
      <w:bookmarkStart w:id="11363" w:name="_Toc37163445"/>
      <w:bookmarkStart w:id="11364" w:name="_Toc175326828"/>
      <w:bookmarkStart w:id="11365" w:name="_Hlk96514942"/>
      <w:bookmarkEnd w:id="11354"/>
      <w:bookmarkEnd w:id="11355"/>
      <w:bookmarkEnd w:id="11356"/>
      <w:bookmarkEnd w:id="11357"/>
      <w:bookmarkEnd w:id="11358"/>
      <w:bookmarkEnd w:id="11359"/>
      <w:bookmarkEnd w:id="11360"/>
      <w:r w:rsidRPr="00BD1319">
        <w:rPr>
          <w:lang w:val="es-CO"/>
        </w:rPr>
        <w:t>PLAN DE INVERSIÓN DE NO MENOS DEL 1%</w:t>
      </w:r>
      <w:bookmarkEnd w:id="11361"/>
      <w:bookmarkEnd w:id="11362"/>
      <w:bookmarkEnd w:id="11363"/>
      <w:bookmarkEnd w:id="11364"/>
    </w:p>
    <w:bookmarkEnd w:id="11365"/>
    <w:p w14:paraId="167F318C" w14:textId="77777777" w:rsidR="00612529" w:rsidRPr="00BD1319" w:rsidRDefault="00612529">
      <w:pPr>
        <w:numPr>
          <w:ilvl w:val="12"/>
          <w:numId w:val="0"/>
        </w:numPr>
        <w:tabs>
          <w:tab w:val="left" w:pos="-2268"/>
        </w:tabs>
        <w:suppressAutoHyphens/>
        <w:rPr>
          <w:spacing w:val="-3"/>
        </w:rPr>
      </w:pPr>
    </w:p>
    <w:p w14:paraId="0F4C16C1" w14:textId="3569F32E" w:rsidR="00503083" w:rsidRPr="00BD1319" w:rsidRDefault="00503083" w:rsidP="00AA51B6">
      <w:pPr>
        <w:numPr>
          <w:ilvl w:val="12"/>
          <w:numId w:val="0"/>
        </w:numPr>
        <w:tabs>
          <w:tab w:val="left" w:pos="-2268"/>
        </w:tabs>
        <w:suppressAutoHyphens/>
        <w:rPr>
          <w:rFonts w:cs="Arial"/>
          <w:spacing w:val="-3"/>
        </w:rPr>
      </w:pPr>
      <w:r w:rsidRPr="00BD1319">
        <w:rPr>
          <w:rFonts w:cs="Arial"/>
          <w:spacing w:val="-3"/>
        </w:rPr>
        <w:t xml:space="preserve">A fin de dar </w:t>
      </w:r>
      <w:r w:rsidR="00AA51B6" w:rsidRPr="00BD1319">
        <w:rPr>
          <w:rFonts w:cs="Arial"/>
          <w:spacing w:val="-3"/>
        </w:rPr>
        <w:t xml:space="preserve">cumplimiento </w:t>
      </w:r>
      <w:r w:rsidRPr="00BD1319">
        <w:rPr>
          <w:rFonts w:cs="Arial"/>
          <w:spacing w:val="-3"/>
        </w:rPr>
        <w:t xml:space="preserve">con </w:t>
      </w:r>
      <w:r w:rsidR="00AA51B6" w:rsidRPr="00BD1319">
        <w:rPr>
          <w:rFonts w:cs="Arial"/>
          <w:spacing w:val="-3"/>
        </w:rPr>
        <w:t xml:space="preserve">lo establecido en el parágrafo 1 del artículo 43 de la Ley 99 de 1993, </w:t>
      </w:r>
      <w:r w:rsidRPr="00BD1319">
        <w:rPr>
          <w:rFonts w:cs="Arial"/>
          <w:spacing w:val="-3"/>
        </w:rPr>
        <w:t xml:space="preserve">en caso de que </w:t>
      </w:r>
      <w:r w:rsidR="00C45810" w:rsidRPr="00BD1319">
        <w:rPr>
          <w:rFonts w:cs="Arial"/>
          <w:spacing w:val="-3"/>
        </w:rPr>
        <w:t xml:space="preserve">el proyecto, obra o actividad </w:t>
      </w:r>
      <w:r w:rsidR="000F04FD" w:rsidRPr="00BD1319">
        <w:rPr>
          <w:rFonts w:cs="Arial"/>
          <w:spacing w:val="-3"/>
        </w:rPr>
        <w:t xml:space="preserve">implique </w:t>
      </w:r>
      <w:r w:rsidR="00C45810" w:rsidRPr="00BD1319">
        <w:rPr>
          <w:rFonts w:cs="Arial"/>
          <w:spacing w:val="-3"/>
        </w:rPr>
        <w:t>la obligación de realizar la inversión forzosa de no menos del 1%</w:t>
      </w:r>
      <w:r w:rsidRPr="00BD1319">
        <w:rPr>
          <w:rFonts w:cs="Arial"/>
          <w:spacing w:val="-3"/>
        </w:rPr>
        <w:t xml:space="preserve">, se debe elaborar e incorporar en el EIA </w:t>
      </w:r>
      <w:r w:rsidR="0020652E" w:rsidRPr="00BD1319">
        <w:rPr>
          <w:rFonts w:cs="Arial"/>
          <w:spacing w:val="-3"/>
        </w:rPr>
        <w:t xml:space="preserve">o </w:t>
      </w:r>
      <w:r w:rsidR="001E04F7" w:rsidRPr="00BD1319">
        <w:rPr>
          <w:rFonts w:cs="Arial"/>
          <w:spacing w:val="-3"/>
        </w:rPr>
        <w:t>en el PMA establecido como instrumento de manejo y control ambiental objeto de modificación,</w:t>
      </w:r>
      <w:r w:rsidR="0020652E" w:rsidRPr="00BD1319">
        <w:rPr>
          <w:rFonts w:cs="Arial"/>
          <w:spacing w:val="-3"/>
        </w:rPr>
        <w:t xml:space="preserve"> </w:t>
      </w:r>
      <w:r w:rsidRPr="00BD1319">
        <w:rPr>
          <w:rFonts w:cs="Arial"/>
          <w:spacing w:val="-3"/>
        </w:rPr>
        <w:t xml:space="preserve">un Plan de inversión de no menos del 1% </w:t>
      </w:r>
      <w:r w:rsidR="00F0607F" w:rsidRPr="00BD1319">
        <w:rPr>
          <w:rFonts w:cs="Arial"/>
          <w:spacing w:val="-3"/>
        </w:rPr>
        <w:t>a partir de</w:t>
      </w:r>
      <w:r w:rsidRPr="00BD1319">
        <w:rPr>
          <w:rFonts w:cs="Arial"/>
          <w:spacing w:val="-3"/>
        </w:rPr>
        <w:t xml:space="preserve"> lo establecido en la normativa vigente que regula esta temática</w:t>
      </w:r>
      <w:r w:rsidRPr="00BD1319">
        <w:rPr>
          <w:rStyle w:val="Refdenotaalpie"/>
          <w:rFonts w:cs="Arial"/>
          <w:spacing w:val="-3"/>
          <w:lang w:val="es-CO"/>
        </w:rPr>
        <w:footnoteReference w:id="228"/>
      </w:r>
      <w:r w:rsidRPr="00BD1319">
        <w:rPr>
          <w:rFonts w:cs="Arial"/>
          <w:spacing w:val="-3"/>
        </w:rPr>
        <w:t>.</w:t>
      </w:r>
    </w:p>
    <w:p w14:paraId="6FA76009" w14:textId="77777777" w:rsidR="00475D56" w:rsidRPr="00BD1319" w:rsidRDefault="00475D56">
      <w:pPr>
        <w:numPr>
          <w:ilvl w:val="12"/>
          <w:numId w:val="0"/>
        </w:numPr>
        <w:tabs>
          <w:tab w:val="left" w:pos="-2268"/>
        </w:tabs>
        <w:suppressAutoHyphens/>
        <w:rPr>
          <w:spacing w:val="-3"/>
        </w:rPr>
      </w:pPr>
    </w:p>
    <w:p w14:paraId="5C826711" w14:textId="13006B5A" w:rsidR="00612529" w:rsidRPr="00BD1319" w:rsidRDefault="007770AF" w:rsidP="009420F5">
      <w:pPr>
        <w:pStyle w:val="Ttulo2"/>
        <w:rPr>
          <w:lang w:val="es-CO"/>
        </w:rPr>
      </w:pPr>
      <w:bookmarkStart w:id="11366" w:name="_Toc43485797"/>
      <w:bookmarkStart w:id="11367" w:name="_Toc437936070"/>
      <w:bookmarkStart w:id="11368" w:name="_Toc37163446"/>
      <w:bookmarkStart w:id="11369" w:name="_Toc175326829"/>
      <w:bookmarkEnd w:id="11366"/>
      <w:r w:rsidRPr="00BD1319">
        <w:rPr>
          <w:lang w:val="es-CO"/>
        </w:rPr>
        <w:t>PLAN DE COMPENSACIONES DEL MEDIO BIÓTICO EN EL MARCO DEL LICENCIAMIENTO AMBIENTAL</w:t>
      </w:r>
      <w:bookmarkEnd w:id="11367"/>
      <w:bookmarkEnd w:id="11368"/>
      <w:bookmarkEnd w:id="11369"/>
    </w:p>
    <w:p w14:paraId="11B8D79D" w14:textId="1BCD1B39" w:rsidR="00612529" w:rsidRPr="00BD1319" w:rsidRDefault="00612529">
      <w:pPr>
        <w:numPr>
          <w:ilvl w:val="12"/>
          <w:numId w:val="0"/>
        </w:numPr>
        <w:tabs>
          <w:tab w:val="left" w:pos="-2268"/>
        </w:tabs>
        <w:suppressAutoHyphens/>
        <w:rPr>
          <w:spacing w:val="-3"/>
        </w:rPr>
      </w:pPr>
    </w:p>
    <w:p w14:paraId="6FFD99A6" w14:textId="4B5E028E" w:rsidR="00061C78" w:rsidRPr="00BD1319" w:rsidRDefault="00CB274A" w:rsidP="00061C78">
      <w:pPr>
        <w:numPr>
          <w:ilvl w:val="12"/>
          <w:numId w:val="0"/>
        </w:numPr>
        <w:tabs>
          <w:tab w:val="left" w:pos="-2268"/>
        </w:tabs>
        <w:suppressAutoHyphens/>
        <w:rPr>
          <w:spacing w:val="-3"/>
        </w:rPr>
      </w:pPr>
      <w:r w:rsidRPr="00BD1319">
        <w:rPr>
          <w:rFonts w:cs="Arial"/>
          <w:spacing w:val="-3"/>
        </w:rPr>
        <w:t xml:space="preserve">Con el propósito de </w:t>
      </w:r>
      <w:r w:rsidRPr="00BD1319">
        <w:rPr>
          <w:spacing w:val="-3"/>
        </w:rPr>
        <w:t xml:space="preserve">elaborar el </w:t>
      </w:r>
      <w:r w:rsidRPr="00BD1319">
        <w:rPr>
          <w:rFonts w:cs="Arial"/>
          <w:spacing w:val="-3"/>
        </w:rPr>
        <w:t>P</w:t>
      </w:r>
      <w:r w:rsidR="00061C78" w:rsidRPr="00BD1319">
        <w:rPr>
          <w:rFonts w:cs="Arial"/>
          <w:spacing w:val="-3"/>
        </w:rPr>
        <w:t>lan</w:t>
      </w:r>
      <w:r w:rsidR="00061C78" w:rsidRPr="00BD1319">
        <w:rPr>
          <w:spacing w:val="-3"/>
        </w:rPr>
        <w:t xml:space="preserve"> de compensación </w:t>
      </w:r>
      <w:r w:rsidRPr="00BD1319">
        <w:rPr>
          <w:spacing w:val="-3"/>
        </w:rPr>
        <w:t xml:space="preserve">al que se refiere </w:t>
      </w:r>
      <w:r w:rsidR="00061C78" w:rsidRPr="00BD1319">
        <w:rPr>
          <w:spacing w:val="-3"/>
        </w:rPr>
        <w:t xml:space="preserve">el numeral 12 del artículo 2.2.2.3.5.1 del Decreto 1076 de 2015 </w:t>
      </w:r>
      <w:r w:rsidRPr="00BD1319">
        <w:rPr>
          <w:spacing w:val="-3"/>
        </w:rPr>
        <w:t xml:space="preserve">o aquel que lo modifique o sustituya, </w:t>
      </w:r>
      <w:r w:rsidRPr="00BD1319">
        <w:rPr>
          <w:rFonts w:cs="Arial"/>
          <w:spacing w:val="-3"/>
        </w:rPr>
        <w:t>se deben seguir los procedimientos, métodos y demás orientaciones establecidas en la normativa vigente que regule esta temática</w:t>
      </w:r>
      <w:r w:rsidR="00061C78" w:rsidRPr="00BD1319">
        <w:rPr>
          <w:spacing w:val="-3"/>
          <w:vertAlign w:val="superscript"/>
        </w:rPr>
        <w:footnoteReference w:id="229"/>
      </w:r>
      <w:r w:rsidR="00061C78" w:rsidRPr="00BD1319">
        <w:rPr>
          <w:rFonts w:cs="Arial"/>
          <w:spacing w:val="-3"/>
        </w:rPr>
        <w:t>.</w:t>
      </w:r>
    </w:p>
    <w:p w14:paraId="178B316D" w14:textId="50D806A0" w:rsidR="00CB274A" w:rsidRPr="00BD1319" w:rsidRDefault="00CB274A" w:rsidP="00105B95">
      <w:pPr>
        <w:rPr>
          <w:rFonts w:cs="Arial"/>
          <w:spacing w:val="-3"/>
        </w:rPr>
      </w:pPr>
    </w:p>
    <w:p w14:paraId="681FEA4A" w14:textId="77777777" w:rsidR="00BF4C5C" w:rsidRPr="00BD1319" w:rsidRDefault="00BF4C5C" w:rsidP="00BF4C5C">
      <w:pPr>
        <w:pStyle w:val="Ttulo2"/>
        <w:rPr>
          <w:lang w:val="es-CO"/>
        </w:rPr>
      </w:pPr>
      <w:bookmarkStart w:id="11371" w:name="_Toc175326830"/>
      <w:r w:rsidRPr="00BD1319">
        <w:rPr>
          <w:lang w:val="es-CO"/>
        </w:rPr>
        <w:lastRenderedPageBreak/>
        <w:t>PLAN DE GESTIÓN DE CAMBIO CLIMÁTICO</w:t>
      </w:r>
      <w:bookmarkEnd w:id="11371"/>
    </w:p>
    <w:p w14:paraId="1C50C492" w14:textId="77777777" w:rsidR="009D76C4" w:rsidRPr="00BD1319" w:rsidRDefault="009D76C4" w:rsidP="00105B95">
      <w:pPr>
        <w:rPr>
          <w:rFonts w:cs="Arial"/>
          <w:spacing w:val="-3"/>
        </w:rPr>
      </w:pPr>
    </w:p>
    <w:p w14:paraId="3C7B29D6" w14:textId="77777777" w:rsidR="0051664F" w:rsidRPr="00BD1319" w:rsidRDefault="0051664F" w:rsidP="0051664F">
      <w:pPr>
        <w:rPr>
          <w:rFonts w:cs="Arial"/>
          <w:spacing w:val="-3"/>
        </w:rPr>
      </w:pPr>
      <w:r w:rsidRPr="00BD1319">
        <w:rPr>
          <w:rFonts w:cs="Arial"/>
          <w:spacing w:val="-3"/>
        </w:rPr>
        <w:t>Á fin de dar cumplimiento a lo establecido por la Ley 2169 de 2021 sobre la necesidad de que los instrumentos de manejo y control ambiental de proyectos, obras o actividades incluyan consideraciones de adaptación y mitigación al cambio climático con especial énfasis en la cuantificación de las emisiones de GEI y los aportes que las medidas de compensación ambiental pueden hacer a la Contribución Nacional ante la CMNUCC, así como de asegurar que tales consideraciones sean consistentes con los instrumentos de gestión del cambio climático que establece la Ley 1931 de 2018, los EIA deben elaborarse incorporando la variable cambio climático de acuerdo con los siguientes lineamientos.</w:t>
      </w:r>
    </w:p>
    <w:p w14:paraId="275A04B7" w14:textId="77777777" w:rsidR="0051664F" w:rsidRPr="00BD1319" w:rsidRDefault="0051664F" w:rsidP="0051664F">
      <w:pPr>
        <w:rPr>
          <w:rFonts w:cs="Arial"/>
          <w:spacing w:val="-3"/>
        </w:rPr>
      </w:pPr>
    </w:p>
    <w:p w14:paraId="5C00B921" w14:textId="12A7799D" w:rsidR="0051664F" w:rsidRPr="00BD1319" w:rsidRDefault="0051664F" w:rsidP="0051664F">
      <w:pPr>
        <w:rPr>
          <w:rFonts w:cs="Arial"/>
          <w:spacing w:val="-3"/>
        </w:rPr>
      </w:pPr>
      <w:r w:rsidRPr="00BD1319">
        <w:rPr>
          <w:rFonts w:cs="Arial"/>
          <w:spacing w:val="-3"/>
        </w:rPr>
        <w:t>Inicialmente, y con el propósito de facilitar el proceso de elaboración y de evaluación del EIA, se debe desarrollar un Plan de gestión de cambio climático en el que se formulen medidas de mitigación de GEI para las cuales sea posible verificar su potencial de mitigación, así como medidas de adaptación a partir de una evaluación del riesgo por cambio climático</w:t>
      </w:r>
      <w:r w:rsidR="00E4660E" w:rsidRPr="00BD1319">
        <w:rPr>
          <w:rStyle w:val="Refdenotaalpie"/>
        </w:rPr>
        <w:footnoteReference w:id="230"/>
      </w:r>
      <w:r w:rsidRPr="00BD1319">
        <w:rPr>
          <w:rFonts w:cs="Arial"/>
          <w:spacing w:val="-3"/>
        </w:rPr>
        <w:t>.</w:t>
      </w:r>
    </w:p>
    <w:p w14:paraId="350056E7" w14:textId="77777777" w:rsidR="0051664F" w:rsidRPr="00BD1319" w:rsidRDefault="0051664F" w:rsidP="0051664F">
      <w:pPr>
        <w:rPr>
          <w:rFonts w:cs="Arial"/>
          <w:spacing w:val="-3"/>
        </w:rPr>
      </w:pPr>
    </w:p>
    <w:p w14:paraId="22CAFE48" w14:textId="07D5592E" w:rsidR="0051664F" w:rsidRPr="00BD1319" w:rsidRDefault="0051664F" w:rsidP="0051664F">
      <w:pPr>
        <w:rPr>
          <w:rFonts w:cs="Arial"/>
          <w:spacing w:val="-3"/>
        </w:rPr>
      </w:pPr>
      <w:r w:rsidRPr="00BD1319">
        <w:rPr>
          <w:rFonts w:cs="Arial"/>
          <w:spacing w:val="-3"/>
        </w:rPr>
        <w:t xml:space="preserve">Por otra </w:t>
      </w:r>
      <w:r w:rsidR="00FA0EB1" w:rsidRPr="00BD1319">
        <w:rPr>
          <w:rFonts w:cs="Arial"/>
          <w:spacing w:val="-3"/>
        </w:rPr>
        <w:t>parte,</w:t>
      </w:r>
      <w:r w:rsidRPr="00BD1319">
        <w:rPr>
          <w:rFonts w:cs="Arial"/>
          <w:spacing w:val="-3"/>
        </w:rPr>
        <w:t xml:space="preserve"> y teniendo en cuenta que el cambio climático es una variable transversal que no puede abordarse en un único numeral del EIA, es necesario incorporarla de forma armónica en otros apartados de este estudio para que, en efecto, la ejecución de un proyecto, obra o actividad al que se le conceda licencia, desarrolle eficazmente medidas de mitigación y adaptación al cambio climático y pueda contabilizar objetivamente sus emisiones netas de GEI. En este sentido, en los numerales: i) Descripción del proyecto, </w:t>
      </w:r>
      <w:proofErr w:type="spellStart"/>
      <w:r w:rsidRPr="00BD1319">
        <w:rPr>
          <w:rFonts w:cs="Arial"/>
          <w:spacing w:val="-3"/>
        </w:rPr>
        <w:t>ii</w:t>
      </w:r>
      <w:proofErr w:type="spellEnd"/>
      <w:r w:rsidRPr="00BD1319">
        <w:rPr>
          <w:rFonts w:cs="Arial"/>
          <w:spacing w:val="-3"/>
        </w:rPr>
        <w:t xml:space="preserve">) Caracterización ambiental, </w:t>
      </w:r>
      <w:proofErr w:type="spellStart"/>
      <w:r w:rsidRPr="00BD1319">
        <w:rPr>
          <w:rFonts w:cs="Arial"/>
          <w:spacing w:val="-3"/>
        </w:rPr>
        <w:t>iii</w:t>
      </w:r>
      <w:proofErr w:type="spellEnd"/>
      <w:r w:rsidRPr="00BD1319">
        <w:rPr>
          <w:rFonts w:cs="Arial"/>
          <w:spacing w:val="-3"/>
        </w:rPr>
        <w:t xml:space="preserve">) Evaluación ambiental, </w:t>
      </w:r>
      <w:proofErr w:type="spellStart"/>
      <w:r w:rsidRPr="00BD1319">
        <w:rPr>
          <w:rFonts w:cs="Arial"/>
          <w:spacing w:val="-3"/>
        </w:rPr>
        <w:t>iv</w:t>
      </w:r>
      <w:proofErr w:type="spellEnd"/>
      <w:r w:rsidRPr="00BD1319">
        <w:rPr>
          <w:rFonts w:cs="Arial"/>
          <w:spacing w:val="-3"/>
        </w:rPr>
        <w:t>) Plan de manejo ambiental y, v) Dimensión ambiental del plan de gestión del riesgo, se deben incorporar consideraciones sobre cambio climático.</w:t>
      </w:r>
    </w:p>
    <w:p w14:paraId="70244D62" w14:textId="77777777" w:rsidR="0051664F" w:rsidRPr="00BD1319" w:rsidRDefault="0051664F" w:rsidP="0051664F">
      <w:pPr>
        <w:rPr>
          <w:rFonts w:cs="Arial"/>
          <w:spacing w:val="-3"/>
        </w:rPr>
      </w:pPr>
    </w:p>
    <w:p w14:paraId="6089DB15" w14:textId="669152D9" w:rsidR="0051664F" w:rsidRPr="00BD1319" w:rsidRDefault="0051664F" w:rsidP="0051664F">
      <w:pPr>
        <w:rPr>
          <w:rFonts w:cs="Arial"/>
          <w:spacing w:val="-3"/>
        </w:rPr>
      </w:pPr>
      <w:r w:rsidRPr="00BD1319">
        <w:rPr>
          <w:rFonts w:cs="Arial"/>
          <w:spacing w:val="-3"/>
        </w:rPr>
        <w:t>En el numeral de descripción del proyecto se debe hacer evidente cómo se incorporó la variable cambio climático para que la configuración específica del proyecto, obra o actividad en términos de diseño, tecnología y localización (o trazado, en caso de aplicar) haga posible su adaptación al cambio climático y la mitigación de GEI.</w:t>
      </w:r>
    </w:p>
    <w:p w14:paraId="4BFC653E" w14:textId="77777777" w:rsidR="0051664F" w:rsidRPr="00BD1319" w:rsidRDefault="0051664F" w:rsidP="0051664F">
      <w:pPr>
        <w:rPr>
          <w:rFonts w:cs="Arial"/>
          <w:spacing w:val="-3"/>
        </w:rPr>
      </w:pPr>
    </w:p>
    <w:p w14:paraId="23A6A70C" w14:textId="088D1C43" w:rsidR="0051664F" w:rsidRPr="00BD1319" w:rsidRDefault="0051664F" w:rsidP="0051664F">
      <w:pPr>
        <w:rPr>
          <w:rFonts w:cs="Arial"/>
          <w:spacing w:val="-3"/>
        </w:rPr>
      </w:pPr>
      <w:r w:rsidRPr="00BD1319">
        <w:rPr>
          <w:rFonts w:cs="Arial"/>
          <w:spacing w:val="-3"/>
        </w:rPr>
        <w:t>Por su parte, en la caracterización ambiental se debe procurar que la información de línea base de componentes clave como el hidrológico y el oceanográfico</w:t>
      </w:r>
      <w:r w:rsidR="00250AAB" w:rsidRPr="00BD1319">
        <w:rPr>
          <w:rFonts w:cs="Arial"/>
          <w:spacing w:val="-3"/>
        </w:rPr>
        <w:t>,</w:t>
      </w:r>
      <w:r w:rsidRPr="00BD1319">
        <w:rPr>
          <w:rFonts w:cs="Arial"/>
          <w:spacing w:val="-3"/>
        </w:rPr>
        <w:t xml:space="preserve"> se construya mediante series de datos con periodos de tiempo suficientes que permitan hacer previsiones asociadas al cambio climático.</w:t>
      </w:r>
    </w:p>
    <w:p w14:paraId="15C564A1" w14:textId="77777777" w:rsidR="0051664F" w:rsidRPr="00BD1319" w:rsidRDefault="0051664F" w:rsidP="0051664F">
      <w:pPr>
        <w:rPr>
          <w:rFonts w:cs="Arial"/>
          <w:spacing w:val="-3"/>
        </w:rPr>
      </w:pPr>
    </w:p>
    <w:p w14:paraId="4B6338D9" w14:textId="0D97DB51" w:rsidR="0051664F" w:rsidRPr="00BD1319" w:rsidRDefault="0051664F" w:rsidP="0051664F">
      <w:pPr>
        <w:rPr>
          <w:rFonts w:cs="Arial"/>
          <w:spacing w:val="-3"/>
        </w:rPr>
      </w:pPr>
      <w:r w:rsidRPr="00BD1319">
        <w:rPr>
          <w:rFonts w:cs="Arial"/>
          <w:spacing w:val="-3"/>
        </w:rPr>
        <w:lastRenderedPageBreak/>
        <w:t>En el contexto de la evaluación ambiental, se debe tener en cuenta la forma en que el cambio climático puede afectar las características ambientales del área de influencia con el propósito de determinar y valorar los impactos ambientales de los escenarios con y sin proyecto. En este sentido, la evaluación ambiental se puede apoyar en escenarios prospectivos que estimen la forma en que el cambio climático genera alteraciones en los elementos del ambiente que pueden ser impactados por el proyecto, obra o actividad.</w:t>
      </w:r>
    </w:p>
    <w:p w14:paraId="56D91D6A" w14:textId="77777777" w:rsidR="0051664F" w:rsidRPr="00BD1319" w:rsidRDefault="0051664F" w:rsidP="0051664F">
      <w:pPr>
        <w:rPr>
          <w:rFonts w:cs="Arial"/>
          <w:spacing w:val="-3"/>
        </w:rPr>
      </w:pPr>
    </w:p>
    <w:p w14:paraId="3888AD3B" w14:textId="7DBF72A6" w:rsidR="0051664F" w:rsidRPr="00BD1319" w:rsidRDefault="0051664F" w:rsidP="0051664F">
      <w:pPr>
        <w:rPr>
          <w:rFonts w:cs="Arial"/>
          <w:spacing w:val="-3"/>
        </w:rPr>
      </w:pPr>
      <w:r w:rsidRPr="00BD1319">
        <w:rPr>
          <w:rFonts w:cs="Arial"/>
          <w:spacing w:val="-3"/>
        </w:rPr>
        <w:t xml:space="preserve">Asimismo, con el fin de incorporar consideraciones de adaptación al cambio climático, se debe emplear la información sobre amenazas hidrometeorológicas arrojada en los numérales </w:t>
      </w:r>
      <w:r w:rsidR="00AB78D8" w:rsidRPr="00BD1319">
        <w:rPr>
          <w:rFonts w:cs="Arial"/>
          <w:spacing w:val="-3"/>
        </w:rPr>
        <w:fldChar w:fldCharType="begin"/>
      </w:r>
      <w:r w:rsidR="00AB78D8" w:rsidRPr="00BD1319">
        <w:rPr>
          <w:rFonts w:cs="Arial"/>
          <w:spacing w:val="-3"/>
        </w:rPr>
        <w:instrText xml:space="preserve"> REF _Ref175320118 \r \h </w:instrText>
      </w:r>
      <w:r w:rsidR="00BD1319">
        <w:rPr>
          <w:rFonts w:cs="Arial"/>
          <w:spacing w:val="-3"/>
        </w:rPr>
        <w:instrText xml:space="preserve"> \* MERGEFORMAT </w:instrText>
      </w:r>
      <w:r w:rsidR="00AB78D8" w:rsidRPr="00BD1319">
        <w:rPr>
          <w:rFonts w:cs="Arial"/>
          <w:spacing w:val="-3"/>
        </w:rPr>
      </w:r>
      <w:r w:rsidR="00AB78D8" w:rsidRPr="00BD1319">
        <w:rPr>
          <w:rFonts w:cs="Arial"/>
          <w:spacing w:val="-3"/>
        </w:rPr>
        <w:fldChar w:fldCharType="separate"/>
      </w:r>
      <w:r w:rsidR="00296654" w:rsidRPr="00BD1319">
        <w:rPr>
          <w:rFonts w:cs="Arial"/>
          <w:spacing w:val="-3"/>
        </w:rPr>
        <w:t>10.3.1</w:t>
      </w:r>
      <w:r w:rsidR="00AB78D8" w:rsidRPr="00BD1319">
        <w:rPr>
          <w:rFonts w:cs="Arial"/>
          <w:spacing w:val="-3"/>
        </w:rPr>
        <w:fldChar w:fldCharType="end"/>
      </w:r>
      <w:r w:rsidRPr="00BD1319">
        <w:rPr>
          <w:rFonts w:cs="Arial"/>
          <w:spacing w:val="-3"/>
        </w:rPr>
        <w:t xml:space="preserve"> y</w:t>
      </w:r>
      <w:r w:rsidR="00AB78D8" w:rsidRPr="00BD1319">
        <w:rPr>
          <w:rFonts w:cs="Arial"/>
          <w:spacing w:val="-3"/>
        </w:rPr>
        <w:t xml:space="preserve"> </w:t>
      </w:r>
      <w:r w:rsidR="00AB78D8" w:rsidRPr="00BD1319">
        <w:rPr>
          <w:rFonts w:cs="Arial"/>
          <w:spacing w:val="-3"/>
        </w:rPr>
        <w:fldChar w:fldCharType="begin"/>
      </w:r>
      <w:r w:rsidR="00AB78D8" w:rsidRPr="00BD1319">
        <w:rPr>
          <w:rFonts w:cs="Arial"/>
          <w:spacing w:val="-3"/>
        </w:rPr>
        <w:instrText xml:space="preserve"> REF _Ref175320128 \r \h </w:instrText>
      </w:r>
      <w:r w:rsidR="00BD1319">
        <w:rPr>
          <w:rFonts w:cs="Arial"/>
          <w:spacing w:val="-3"/>
        </w:rPr>
        <w:instrText xml:space="preserve"> \* MERGEFORMAT </w:instrText>
      </w:r>
      <w:r w:rsidR="00AB78D8" w:rsidRPr="00BD1319">
        <w:rPr>
          <w:rFonts w:cs="Arial"/>
          <w:spacing w:val="-3"/>
        </w:rPr>
      </w:r>
      <w:r w:rsidR="00AB78D8" w:rsidRPr="00BD1319">
        <w:rPr>
          <w:rFonts w:cs="Arial"/>
          <w:spacing w:val="-3"/>
        </w:rPr>
        <w:fldChar w:fldCharType="separate"/>
      </w:r>
      <w:r w:rsidR="00296654" w:rsidRPr="00BD1319">
        <w:rPr>
          <w:rFonts w:cs="Arial"/>
          <w:spacing w:val="-3"/>
        </w:rPr>
        <w:t>10.3.2</w:t>
      </w:r>
      <w:r w:rsidR="00AB78D8" w:rsidRPr="00BD1319">
        <w:rPr>
          <w:rFonts w:cs="Arial"/>
          <w:spacing w:val="-3"/>
        </w:rPr>
        <w:fldChar w:fldCharType="end"/>
      </w:r>
      <w:r w:rsidRPr="00BD1319">
        <w:rPr>
          <w:rFonts w:cs="Arial"/>
          <w:spacing w:val="-3"/>
        </w:rPr>
        <w:t xml:space="preserve"> de la Dimensión ambiental del plan de gestión del riesgo para desarrollar el análisis del riesgo climático y formular medidas de reducción del riesgo. Estas medidas deben </w:t>
      </w:r>
      <w:r w:rsidR="00C41D95" w:rsidRPr="00BD1319">
        <w:rPr>
          <w:rFonts w:cs="Arial"/>
          <w:spacing w:val="-3"/>
        </w:rPr>
        <w:t xml:space="preserve">formularse con el fin de </w:t>
      </w:r>
      <w:r w:rsidRPr="00BD1319">
        <w:rPr>
          <w:rFonts w:cs="Arial"/>
          <w:spacing w:val="-3"/>
        </w:rPr>
        <w:t>disminuir las condiciones de vulnerabilidad y aportar a la resiliencia del proyecto, obra o actividad y de los elementos del ambiente que el proyecto puede impactar frente a los cambios observados o esperados del clima.</w:t>
      </w:r>
    </w:p>
    <w:p w14:paraId="4ED0C121" w14:textId="77777777" w:rsidR="0051664F" w:rsidRPr="00BD1319" w:rsidRDefault="0051664F" w:rsidP="0051664F">
      <w:pPr>
        <w:rPr>
          <w:rFonts w:cs="Arial"/>
          <w:spacing w:val="-3"/>
        </w:rPr>
      </w:pPr>
    </w:p>
    <w:p w14:paraId="6E6A8673" w14:textId="0F306649" w:rsidR="0051664F" w:rsidRPr="00BD1319" w:rsidRDefault="0051664F" w:rsidP="0051664F">
      <w:pPr>
        <w:rPr>
          <w:rFonts w:cs="Arial"/>
          <w:spacing w:val="-3"/>
        </w:rPr>
      </w:pPr>
      <w:r w:rsidRPr="00BD1319">
        <w:rPr>
          <w:rFonts w:cs="Arial"/>
          <w:spacing w:val="-3"/>
        </w:rPr>
        <w:t>De otra parte, si se identifica que una de las medidas de manejo de los impactos del proyecto obra o actividad es también una medida de mitigación de GEI o de adaptación al cambio climático, es necesario señalar tal propiedad en el Plan de manejo ambiental para facilitar el proceso de evaluación de la autoridad ambiental y la cuantificación y seguimiento a las metas durante la ejecución del proyecto, en caso de que se otorgue licencia ambiental.</w:t>
      </w:r>
    </w:p>
    <w:p w14:paraId="20ADD5A0" w14:textId="77777777" w:rsidR="0051664F" w:rsidRPr="00BD1319" w:rsidRDefault="0051664F" w:rsidP="0051664F">
      <w:pPr>
        <w:rPr>
          <w:rFonts w:cs="Arial"/>
          <w:spacing w:val="-3"/>
        </w:rPr>
      </w:pPr>
    </w:p>
    <w:p w14:paraId="567B58F7" w14:textId="69D441E2" w:rsidR="009D76C4" w:rsidRPr="00BD1319" w:rsidRDefault="0051664F" w:rsidP="0051664F">
      <w:pPr>
        <w:rPr>
          <w:rFonts w:cs="Arial"/>
          <w:spacing w:val="-3"/>
        </w:rPr>
      </w:pPr>
      <w:r w:rsidRPr="00BD1319">
        <w:rPr>
          <w:rFonts w:cs="Arial"/>
          <w:spacing w:val="-3"/>
        </w:rPr>
        <w:t xml:space="preserve">Finalmente, se debe considerar que las medidas de mitigación de GEI y de adaptación al cambio climático incorporadas al Plan de gestión de cambio climático tienen dos propósitos adicionales a su objetivo fundamental, los cuales se materializan durante la fase de ejecución del proyecto, obra o actividad. Tales propósitos complementarios son: i) brindar información útil a las autoridades ambientales para la gestión ambiental y la toma de decisiones asociadas al área de su jurisdicción y, </w:t>
      </w:r>
      <w:proofErr w:type="spellStart"/>
      <w:r w:rsidRPr="00BD1319">
        <w:rPr>
          <w:rFonts w:cs="Arial"/>
          <w:spacing w:val="-3"/>
        </w:rPr>
        <w:t>ii</w:t>
      </w:r>
      <w:proofErr w:type="spellEnd"/>
      <w:r w:rsidRPr="00BD1319">
        <w:rPr>
          <w:rFonts w:cs="Arial"/>
          <w:spacing w:val="-3"/>
        </w:rPr>
        <w:t xml:space="preserve">) facilitar el proceso de contabilización y </w:t>
      </w:r>
      <w:r w:rsidR="00F70024" w:rsidRPr="00BD1319">
        <w:rPr>
          <w:rFonts w:cs="Arial"/>
          <w:spacing w:val="-3"/>
        </w:rPr>
        <w:t>transmisión</w:t>
      </w:r>
      <w:r w:rsidRPr="00BD1319">
        <w:rPr>
          <w:rFonts w:cs="Arial"/>
          <w:spacing w:val="-3"/>
        </w:rPr>
        <w:t xml:space="preserve"> de información sobre adaptación y mitigación que deben realizar los titulares de licencias ambientales a las entidades competentes de evaluar el avance en el cumplimiento de metas sectoriales.</w:t>
      </w:r>
    </w:p>
    <w:p w14:paraId="08352DB3" w14:textId="77777777" w:rsidR="009D76C4" w:rsidRPr="00BD1319" w:rsidRDefault="009D76C4" w:rsidP="00105B95">
      <w:pPr>
        <w:rPr>
          <w:rFonts w:cs="Arial"/>
          <w:spacing w:val="-3"/>
        </w:rPr>
      </w:pPr>
    </w:p>
    <w:p w14:paraId="3BDEFEF4" w14:textId="4332166D" w:rsidR="00A418F7" w:rsidRPr="00BD1319" w:rsidRDefault="008B4A54" w:rsidP="00A418F7">
      <w:pPr>
        <w:pStyle w:val="Ttulo3"/>
      </w:pPr>
      <w:bookmarkStart w:id="11372" w:name="_Toc175326831"/>
      <w:r w:rsidRPr="00BD1319">
        <w:t>Mitigación de gases de efecto invernadero</w:t>
      </w:r>
      <w:bookmarkEnd w:id="11372"/>
    </w:p>
    <w:p w14:paraId="1E1C03E1" w14:textId="77777777" w:rsidR="00A418F7" w:rsidRPr="00BD1319" w:rsidRDefault="00A418F7" w:rsidP="00105B95">
      <w:pPr>
        <w:rPr>
          <w:rFonts w:cs="Arial"/>
          <w:spacing w:val="-3"/>
        </w:rPr>
      </w:pPr>
    </w:p>
    <w:p w14:paraId="650A0ACB" w14:textId="42F4BFC3" w:rsidR="001F7601" w:rsidRPr="00BD1319" w:rsidRDefault="001F7601" w:rsidP="001F7601">
      <w:pPr>
        <w:rPr>
          <w:rFonts w:cs="Arial"/>
          <w:spacing w:val="-3"/>
        </w:rPr>
      </w:pPr>
      <w:r w:rsidRPr="00BD1319">
        <w:rPr>
          <w:rFonts w:cs="Arial"/>
          <w:spacing w:val="-3"/>
        </w:rPr>
        <w:t>El propósito fundamental de este numeral del Plan de gestión de cambio climático es formular medidas de mitigación de GEI a partir de las características del proyecto, obra o actividad y de las condiciones ambientales de su área de influencia</w:t>
      </w:r>
      <w:r w:rsidR="00431981" w:rsidRPr="00BD1319">
        <w:rPr>
          <w:rFonts w:cs="Arial"/>
          <w:spacing w:val="-3"/>
        </w:rPr>
        <w:t>.</w:t>
      </w:r>
      <w:r w:rsidRPr="00BD1319">
        <w:rPr>
          <w:rFonts w:cs="Arial"/>
          <w:spacing w:val="-3"/>
        </w:rPr>
        <w:t xml:space="preserve"> </w:t>
      </w:r>
      <w:r w:rsidR="00431981" w:rsidRPr="00BD1319">
        <w:rPr>
          <w:rFonts w:cs="Arial"/>
          <w:spacing w:val="-3"/>
        </w:rPr>
        <w:t>A</w:t>
      </w:r>
      <w:r w:rsidRPr="00BD1319">
        <w:rPr>
          <w:rFonts w:cs="Arial"/>
          <w:spacing w:val="-3"/>
        </w:rPr>
        <w:t>simismo, en este numeral se deben establecer las metas de mitigación de tales medidas.</w:t>
      </w:r>
    </w:p>
    <w:p w14:paraId="25304810" w14:textId="77777777" w:rsidR="00785D9E" w:rsidRPr="00BD1319" w:rsidRDefault="00785D9E" w:rsidP="001F7601">
      <w:pPr>
        <w:rPr>
          <w:rFonts w:cs="Arial"/>
          <w:spacing w:val="-3"/>
        </w:rPr>
      </w:pPr>
    </w:p>
    <w:p w14:paraId="6B6D840B" w14:textId="1FE32CBD" w:rsidR="008B4A54" w:rsidRPr="00BD1319" w:rsidRDefault="001F7601" w:rsidP="001F7601">
      <w:pPr>
        <w:rPr>
          <w:rFonts w:cs="Arial"/>
          <w:spacing w:val="-3"/>
        </w:rPr>
      </w:pPr>
      <w:r w:rsidRPr="00BD1319">
        <w:rPr>
          <w:rFonts w:cs="Arial"/>
          <w:spacing w:val="-3"/>
        </w:rPr>
        <w:t>Las metas de mitigación se establecen a partir de la diferencia que resulte entre la emisión de GEI para el escenario BAU</w:t>
      </w:r>
      <w:r w:rsidR="00CC5595" w:rsidRPr="00BD1319">
        <w:rPr>
          <w:rFonts w:cs="Arial"/>
          <w:spacing w:val="-3"/>
          <w:vertAlign w:val="superscript"/>
          <w:lang w:val="en-US"/>
        </w:rPr>
        <w:footnoteReference w:id="231"/>
      </w:r>
      <w:r w:rsidRPr="00BD1319">
        <w:rPr>
          <w:rFonts w:cs="Arial"/>
          <w:spacing w:val="-3"/>
        </w:rPr>
        <w:t xml:space="preserve"> (escenario de ejecución del proyecto sin medidas de </w:t>
      </w:r>
      <w:r w:rsidRPr="00BD1319">
        <w:rPr>
          <w:rFonts w:cs="Arial"/>
          <w:spacing w:val="-3"/>
        </w:rPr>
        <w:lastRenderedPageBreak/>
        <w:t>mitigación de GEI) y la emisión de GEI para el escenario de ejecución del proyecto con la aplicación de medidas de mitigación; estos escenarios se deben formular a partir de la estimación de emisiones directas de GEI (alcance uno o categoría uno) y de las emisiones indirectas de GEI por consumo de energía (alcance dos o categoría dos) mencionadas en la descripción del proyecto, teniendo en cuenta que el año base se entiende como el año 1 de la cuantificación de emisiones de GEI.</w:t>
      </w:r>
    </w:p>
    <w:p w14:paraId="681D4828" w14:textId="77777777" w:rsidR="00A418F7" w:rsidRPr="00BD1319" w:rsidRDefault="00A418F7" w:rsidP="00105B95">
      <w:pPr>
        <w:rPr>
          <w:rFonts w:cs="Arial"/>
          <w:spacing w:val="-3"/>
        </w:rPr>
      </w:pPr>
    </w:p>
    <w:p w14:paraId="3B99F78D" w14:textId="54AF1D24" w:rsidR="00CB51CB" w:rsidRPr="00BD1319" w:rsidRDefault="00CB51CB" w:rsidP="00CB51CB">
      <w:pPr>
        <w:pStyle w:val="Ttulo4"/>
        <w:tabs>
          <w:tab w:val="num" w:pos="1418"/>
        </w:tabs>
        <w:ind w:left="1418" w:hanging="1418"/>
        <w:rPr>
          <w:lang w:val="es-CO"/>
        </w:rPr>
      </w:pPr>
      <w:r w:rsidRPr="00BD1319">
        <w:rPr>
          <w:lang w:val="es-CO"/>
        </w:rPr>
        <w:t>Medidas de mitigación de GEI</w:t>
      </w:r>
    </w:p>
    <w:p w14:paraId="15769DBD" w14:textId="77777777" w:rsidR="00CB51CB" w:rsidRPr="00BD1319" w:rsidRDefault="00CB51CB" w:rsidP="00105B95">
      <w:pPr>
        <w:rPr>
          <w:rFonts w:cs="Arial"/>
          <w:spacing w:val="-3"/>
        </w:rPr>
      </w:pPr>
    </w:p>
    <w:p w14:paraId="336E5D29" w14:textId="77777777" w:rsidR="00CB51CB" w:rsidRPr="00BD1319" w:rsidRDefault="00CB51CB" w:rsidP="00CB51CB">
      <w:pPr>
        <w:rPr>
          <w:rFonts w:cs="Arial"/>
          <w:spacing w:val="-3"/>
        </w:rPr>
      </w:pPr>
      <w:r w:rsidRPr="00BD1319">
        <w:rPr>
          <w:rFonts w:cs="Arial"/>
          <w:spacing w:val="-3"/>
        </w:rPr>
        <w:t>Se deben formular medidas de mitigación de GEI cuyo propósito sea disminuir la cantidad de las emisiones atmosféricas de estos gases que se generarían con la ejecución del proyecto, o bien, incrementar la cantidad de GEI asimilada en el área de influencia. Se debe tener en cuenta que este incremento en la cantidad de GEI asimilada en el área de influencia debe ser adicional a la que se logra con las compensaciones del medio biótico previstas para el desarrollo del proyecto, obra o actividad. Para cada una de las medidas de mitigación de GEI se debe establecer lo siguiente:</w:t>
      </w:r>
    </w:p>
    <w:p w14:paraId="4C3ED37B" w14:textId="77777777" w:rsidR="00CB51CB" w:rsidRPr="00BD1319" w:rsidRDefault="00CB51CB" w:rsidP="00CB51CB">
      <w:pPr>
        <w:rPr>
          <w:rFonts w:cs="Arial"/>
          <w:spacing w:val="-3"/>
        </w:rPr>
      </w:pPr>
    </w:p>
    <w:p w14:paraId="2BF8AB0A" w14:textId="2B584A86" w:rsidR="00CB51CB" w:rsidRPr="00BD1319" w:rsidRDefault="00CB51CB" w:rsidP="00CB51CB">
      <w:pPr>
        <w:rPr>
          <w:rFonts w:cs="Arial"/>
          <w:spacing w:val="-3"/>
        </w:rPr>
      </w:pPr>
      <w:r w:rsidRPr="00BD1319">
        <w:rPr>
          <w:rFonts w:cs="Arial"/>
          <w:spacing w:val="-3"/>
        </w:rPr>
        <w:t>Para la presentación de cada una de las medidas de mitigación de GEI se debe definir:</w:t>
      </w:r>
    </w:p>
    <w:p w14:paraId="2E4D994A" w14:textId="77777777" w:rsidR="00CB51CB" w:rsidRPr="00BD1319" w:rsidRDefault="00CB51CB" w:rsidP="00CB51CB">
      <w:pPr>
        <w:rPr>
          <w:rFonts w:cs="Arial"/>
          <w:spacing w:val="-3"/>
        </w:rPr>
      </w:pPr>
    </w:p>
    <w:p w14:paraId="7DC65A7F" w14:textId="470764B1" w:rsidR="00CB51CB" w:rsidRPr="00BD1319" w:rsidRDefault="00CB51CB" w:rsidP="00CB51CB">
      <w:pPr>
        <w:pStyle w:val="Prrafodelista"/>
        <w:numPr>
          <w:ilvl w:val="0"/>
          <w:numId w:val="51"/>
        </w:numPr>
        <w:ind w:left="567" w:hanging="567"/>
        <w:contextualSpacing/>
        <w:rPr>
          <w:rFonts w:eastAsia="Arial" w:cs="Arial"/>
          <w:color w:val="000000" w:themeColor="text1"/>
          <w:lang w:val="es-CO"/>
        </w:rPr>
      </w:pPr>
      <w:r w:rsidRPr="00BD1319">
        <w:rPr>
          <w:rFonts w:eastAsia="Arial" w:cs="Arial"/>
          <w:color w:val="000000" w:themeColor="text1"/>
          <w:lang w:val="es-CO"/>
        </w:rPr>
        <w:t>Nombre.</w:t>
      </w:r>
    </w:p>
    <w:p w14:paraId="46281B47" w14:textId="77777777" w:rsidR="00A50FBF" w:rsidRPr="00BD1319" w:rsidRDefault="00A50FBF" w:rsidP="000D6E21">
      <w:pPr>
        <w:contextualSpacing/>
        <w:rPr>
          <w:rFonts w:eastAsia="Arial" w:cs="Arial"/>
          <w:color w:val="000000" w:themeColor="text1"/>
        </w:rPr>
      </w:pPr>
    </w:p>
    <w:p w14:paraId="3D8ABF5C" w14:textId="600230E0" w:rsidR="00CB51CB" w:rsidRPr="00BD1319" w:rsidRDefault="00CB51CB" w:rsidP="000D6E21">
      <w:pPr>
        <w:pStyle w:val="Prrafodelista"/>
        <w:numPr>
          <w:ilvl w:val="0"/>
          <w:numId w:val="51"/>
        </w:numPr>
        <w:ind w:left="567" w:hanging="567"/>
        <w:contextualSpacing/>
        <w:rPr>
          <w:rFonts w:eastAsia="Arial" w:cs="Arial"/>
          <w:color w:val="000000" w:themeColor="text1"/>
        </w:rPr>
      </w:pPr>
      <w:r w:rsidRPr="00BD1319">
        <w:rPr>
          <w:rFonts w:eastAsia="Arial" w:cs="Arial"/>
          <w:color w:val="000000" w:themeColor="text1"/>
          <w:lang w:val="es-CO"/>
        </w:rPr>
        <w:t>Objetivo (disminución de emisiones de GEI o incremento de GEI almacenado en el área de influencia).</w:t>
      </w:r>
    </w:p>
    <w:p w14:paraId="4218EFFC" w14:textId="77777777" w:rsidR="00A50FBF" w:rsidRPr="00BD1319" w:rsidRDefault="00A50FBF" w:rsidP="000D6E21">
      <w:pPr>
        <w:contextualSpacing/>
        <w:rPr>
          <w:rFonts w:eastAsia="Arial" w:cs="Arial"/>
          <w:color w:val="000000" w:themeColor="text1"/>
        </w:rPr>
      </w:pPr>
    </w:p>
    <w:p w14:paraId="0EDC04C4" w14:textId="52C09B76" w:rsidR="00CB51CB" w:rsidRPr="00BD1319" w:rsidRDefault="00CB51CB" w:rsidP="000D6E21">
      <w:pPr>
        <w:pStyle w:val="Prrafodelista"/>
        <w:numPr>
          <w:ilvl w:val="0"/>
          <w:numId w:val="51"/>
        </w:numPr>
        <w:ind w:left="567" w:hanging="567"/>
        <w:contextualSpacing/>
        <w:rPr>
          <w:rFonts w:eastAsia="Arial" w:cs="Arial"/>
          <w:color w:val="000000" w:themeColor="text1"/>
        </w:rPr>
      </w:pPr>
      <w:r w:rsidRPr="00BD1319">
        <w:rPr>
          <w:rFonts w:eastAsia="Arial" w:cs="Arial"/>
          <w:color w:val="000000" w:themeColor="text1"/>
          <w:lang w:val="es-CO"/>
        </w:rPr>
        <w:t>Hipótesis de mitigación.</w:t>
      </w:r>
    </w:p>
    <w:p w14:paraId="4DE27AAB" w14:textId="77777777" w:rsidR="00A50FBF" w:rsidRPr="00BD1319" w:rsidRDefault="00A50FBF" w:rsidP="000D6E21">
      <w:pPr>
        <w:contextualSpacing/>
        <w:rPr>
          <w:rFonts w:eastAsia="Arial" w:cs="Arial"/>
          <w:color w:val="000000" w:themeColor="text1"/>
        </w:rPr>
      </w:pPr>
    </w:p>
    <w:p w14:paraId="29AF8C9A" w14:textId="3F201C17" w:rsidR="00CB51CB" w:rsidRPr="00BD1319" w:rsidRDefault="00CB51CB" w:rsidP="000D6E21">
      <w:pPr>
        <w:pStyle w:val="Prrafodelista"/>
        <w:numPr>
          <w:ilvl w:val="0"/>
          <w:numId w:val="51"/>
        </w:numPr>
        <w:ind w:left="567" w:hanging="567"/>
        <w:contextualSpacing/>
        <w:rPr>
          <w:rFonts w:eastAsia="Arial" w:cs="Arial"/>
          <w:color w:val="000000" w:themeColor="text1"/>
        </w:rPr>
      </w:pPr>
      <w:r w:rsidRPr="00BD1319">
        <w:rPr>
          <w:rFonts w:eastAsia="Arial" w:cs="Arial"/>
          <w:color w:val="000000" w:themeColor="text1"/>
          <w:lang w:val="es-CO"/>
        </w:rPr>
        <w:t>Meta relacionada con cada objetivo en términos del potencial de mitigación en toneladas de CO2</w:t>
      </w:r>
      <w:r w:rsidRPr="00BD1319">
        <w:rPr>
          <w:rFonts w:eastAsia="Arial" w:cs="Arial"/>
          <w:color w:val="000000" w:themeColor="text1"/>
          <w:vertAlign w:val="subscript"/>
          <w:lang w:val="es-CO"/>
        </w:rPr>
        <w:t>eq</w:t>
      </w:r>
      <w:r w:rsidRPr="00BD1319">
        <w:rPr>
          <w:rFonts w:eastAsia="Arial" w:cs="Arial"/>
          <w:color w:val="000000" w:themeColor="text1"/>
          <w:lang w:val="es-CO"/>
        </w:rPr>
        <w:t>. Las metas deben especificar qué resultados finales y parciales se espera obtener mediante la aplicación de la medida.</w:t>
      </w:r>
    </w:p>
    <w:p w14:paraId="3DE5CBD6" w14:textId="77777777" w:rsidR="00D93636" w:rsidRPr="00BD1319" w:rsidRDefault="00D93636" w:rsidP="000D6E21">
      <w:pPr>
        <w:contextualSpacing/>
        <w:rPr>
          <w:rFonts w:eastAsia="Arial" w:cs="Arial"/>
          <w:color w:val="000000" w:themeColor="text1"/>
        </w:rPr>
      </w:pPr>
    </w:p>
    <w:p w14:paraId="4EB1A8AA" w14:textId="62D26E7E" w:rsidR="00CB51CB" w:rsidRPr="00BD1319" w:rsidRDefault="00CB51CB" w:rsidP="000D6E21">
      <w:pPr>
        <w:pStyle w:val="Prrafodelista"/>
        <w:numPr>
          <w:ilvl w:val="0"/>
          <w:numId w:val="51"/>
        </w:numPr>
        <w:ind w:left="567" w:hanging="567"/>
        <w:contextualSpacing/>
        <w:rPr>
          <w:rFonts w:eastAsia="Arial" w:cs="Arial"/>
          <w:color w:val="000000" w:themeColor="text1"/>
        </w:rPr>
      </w:pPr>
      <w:r w:rsidRPr="00BD1319">
        <w:rPr>
          <w:rFonts w:eastAsia="Arial" w:cs="Arial"/>
          <w:color w:val="000000" w:themeColor="text1"/>
          <w:lang w:val="es-CO"/>
        </w:rPr>
        <w:t>Descripción de la medida y sus acciones (breve descripción de las actividades mediante las que se desarrolla la medida y sus acciones).</w:t>
      </w:r>
    </w:p>
    <w:p w14:paraId="3BC339FB" w14:textId="77777777" w:rsidR="00D93636" w:rsidRPr="00BD1319" w:rsidRDefault="00D93636" w:rsidP="000D6E21">
      <w:pPr>
        <w:contextualSpacing/>
        <w:rPr>
          <w:rFonts w:eastAsia="Arial" w:cs="Arial"/>
          <w:color w:val="000000" w:themeColor="text1"/>
        </w:rPr>
      </w:pPr>
    </w:p>
    <w:p w14:paraId="10A06EDB" w14:textId="534FE9A5" w:rsidR="00CB51CB" w:rsidRPr="00BD1319" w:rsidRDefault="00CB51CB" w:rsidP="000D6E21">
      <w:pPr>
        <w:pStyle w:val="Prrafodelista"/>
        <w:numPr>
          <w:ilvl w:val="0"/>
          <w:numId w:val="51"/>
        </w:numPr>
        <w:ind w:left="567" w:hanging="567"/>
        <w:contextualSpacing/>
        <w:rPr>
          <w:rFonts w:eastAsia="Arial" w:cs="Arial"/>
          <w:color w:val="000000" w:themeColor="text1"/>
        </w:rPr>
      </w:pPr>
      <w:r w:rsidRPr="00BD1319">
        <w:rPr>
          <w:rFonts w:eastAsia="Arial" w:cs="Arial"/>
          <w:color w:val="000000" w:themeColor="text1"/>
          <w:lang w:val="es-CO"/>
        </w:rPr>
        <w:t>Limitantes de implementación de la medida.</w:t>
      </w:r>
    </w:p>
    <w:p w14:paraId="3506A2AE" w14:textId="77777777" w:rsidR="00D93636" w:rsidRPr="00BD1319" w:rsidRDefault="00D93636" w:rsidP="000D6E21">
      <w:pPr>
        <w:contextualSpacing/>
        <w:rPr>
          <w:rFonts w:eastAsia="Arial" w:cs="Arial"/>
          <w:color w:val="000000" w:themeColor="text1"/>
        </w:rPr>
      </w:pPr>
    </w:p>
    <w:p w14:paraId="75C98D04" w14:textId="4D5E4840" w:rsidR="00CB51CB" w:rsidRPr="00BD1319" w:rsidRDefault="00CB51CB" w:rsidP="000D6E21">
      <w:pPr>
        <w:pStyle w:val="Prrafodelista"/>
        <w:numPr>
          <w:ilvl w:val="0"/>
          <w:numId w:val="51"/>
        </w:numPr>
        <w:ind w:left="567" w:hanging="567"/>
        <w:contextualSpacing/>
        <w:rPr>
          <w:rFonts w:eastAsia="Arial" w:cs="Arial"/>
          <w:color w:val="000000" w:themeColor="text1"/>
        </w:rPr>
      </w:pPr>
      <w:r w:rsidRPr="00BD1319">
        <w:rPr>
          <w:rFonts w:eastAsia="Arial" w:cs="Arial"/>
          <w:color w:val="000000" w:themeColor="text1"/>
          <w:lang w:val="es-CO"/>
        </w:rPr>
        <w:t>Lugares de implementación.</w:t>
      </w:r>
    </w:p>
    <w:p w14:paraId="366F05C5" w14:textId="77777777" w:rsidR="00D93636" w:rsidRPr="00BD1319" w:rsidRDefault="00D93636" w:rsidP="000D6E21">
      <w:pPr>
        <w:contextualSpacing/>
        <w:rPr>
          <w:rFonts w:eastAsia="Arial" w:cs="Arial"/>
          <w:color w:val="000000" w:themeColor="text1"/>
        </w:rPr>
      </w:pPr>
    </w:p>
    <w:p w14:paraId="5033BAE7" w14:textId="62497088" w:rsidR="00CB51CB" w:rsidRPr="00BD1319" w:rsidRDefault="00CB51CB" w:rsidP="000D6E21">
      <w:pPr>
        <w:pStyle w:val="Prrafodelista"/>
        <w:numPr>
          <w:ilvl w:val="0"/>
          <w:numId w:val="51"/>
        </w:numPr>
        <w:ind w:left="567" w:hanging="567"/>
        <w:contextualSpacing/>
        <w:rPr>
          <w:rFonts w:eastAsia="Arial" w:cs="Arial"/>
          <w:color w:val="000000" w:themeColor="text1"/>
        </w:rPr>
      </w:pPr>
      <w:r w:rsidRPr="00BD1319">
        <w:rPr>
          <w:rFonts w:eastAsia="Arial" w:cs="Arial"/>
          <w:color w:val="000000" w:themeColor="text1"/>
          <w:lang w:val="es-CO"/>
        </w:rPr>
        <w:t>Beneficios de implementación.</w:t>
      </w:r>
    </w:p>
    <w:p w14:paraId="63225283" w14:textId="77777777" w:rsidR="00D93636" w:rsidRPr="00BD1319" w:rsidRDefault="00D93636" w:rsidP="000D6E21">
      <w:pPr>
        <w:contextualSpacing/>
        <w:rPr>
          <w:rFonts w:eastAsia="Arial" w:cs="Arial"/>
          <w:color w:val="000000" w:themeColor="text1"/>
        </w:rPr>
      </w:pPr>
    </w:p>
    <w:p w14:paraId="6B9611D9" w14:textId="4673CA3D" w:rsidR="00CB51CB" w:rsidRPr="00BD1319" w:rsidRDefault="00CB51CB" w:rsidP="000D6E21">
      <w:pPr>
        <w:pStyle w:val="Prrafodelista"/>
        <w:numPr>
          <w:ilvl w:val="0"/>
          <w:numId w:val="51"/>
        </w:numPr>
        <w:ind w:left="567" w:hanging="567"/>
        <w:contextualSpacing/>
        <w:rPr>
          <w:rFonts w:eastAsia="Arial" w:cs="Arial"/>
          <w:color w:val="000000" w:themeColor="text1"/>
        </w:rPr>
      </w:pPr>
      <w:r w:rsidRPr="00BD1319">
        <w:rPr>
          <w:rFonts w:eastAsia="Arial" w:cs="Arial"/>
          <w:color w:val="000000" w:themeColor="text1"/>
          <w:lang w:val="es-CO"/>
        </w:rPr>
        <w:t>Fases del proyecto, obra o actividad en las que se prevé su implementación.</w:t>
      </w:r>
    </w:p>
    <w:p w14:paraId="04C3D008" w14:textId="77777777" w:rsidR="00D93636" w:rsidRPr="00BD1319" w:rsidRDefault="00D93636" w:rsidP="000D6E21">
      <w:pPr>
        <w:contextualSpacing/>
        <w:rPr>
          <w:rFonts w:eastAsia="Arial" w:cs="Arial"/>
          <w:color w:val="000000" w:themeColor="text1"/>
        </w:rPr>
      </w:pPr>
    </w:p>
    <w:p w14:paraId="77379B2E" w14:textId="146BC07A" w:rsidR="00CB51CB" w:rsidRPr="00BD1319" w:rsidRDefault="00CB51CB" w:rsidP="000D6E21">
      <w:pPr>
        <w:pStyle w:val="Prrafodelista"/>
        <w:numPr>
          <w:ilvl w:val="0"/>
          <w:numId w:val="51"/>
        </w:numPr>
        <w:ind w:left="567" w:hanging="567"/>
        <w:contextualSpacing/>
        <w:rPr>
          <w:rFonts w:eastAsia="Arial" w:cs="Arial"/>
          <w:color w:val="000000" w:themeColor="text1"/>
        </w:rPr>
      </w:pPr>
      <w:r w:rsidRPr="00BD1319">
        <w:rPr>
          <w:rFonts w:eastAsia="Arial" w:cs="Arial"/>
          <w:color w:val="000000" w:themeColor="text1"/>
          <w:lang w:val="es-CO"/>
        </w:rPr>
        <w:t>Cronograma de implementación, señalando fechas de inicio y finalización.</w:t>
      </w:r>
    </w:p>
    <w:p w14:paraId="70342C8A" w14:textId="77777777" w:rsidR="00D93636" w:rsidRPr="00BD1319" w:rsidRDefault="00D93636" w:rsidP="000D6E21">
      <w:pPr>
        <w:contextualSpacing/>
        <w:rPr>
          <w:rFonts w:eastAsia="Arial" w:cs="Arial"/>
          <w:color w:val="000000" w:themeColor="text1"/>
        </w:rPr>
      </w:pPr>
    </w:p>
    <w:p w14:paraId="2B491C8A" w14:textId="78E47A49" w:rsidR="00CB51CB" w:rsidRPr="00BD1319" w:rsidRDefault="00CB51CB" w:rsidP="000D6E21">
      <w:pPr>
        <w:pStyle w:val="Prrafodelista"/>
        <w:numPr>
          <w:ilvl w:val="0"/>
          <w:numId w:val="51"/>
        </w:numPr>
        <w:ind w:left="567" w:hanging="567"/>
        <w:contextualSpacing/>
        <w:rPr>
          <w:rFonts w:eastAsia="Arial" w:cs="Arial"/>
          <w:color w:val="000000" w:themeColor="text1"/>
        </w:rPr>
      </w:pPr>
      <w:r w:rsidRPr="00BD1319">
        <w:rPr>
          <w:rFonts w:eastAsia="Arial" w:cs="Arial"/>
          <w:color w:val="000000" w:themeColor="text1"/>
          <w:lang w:val="es-CO"/>
        </w:rPr>
        <w:t>Estimativo de los recursos (humanos, técnicos y tecnológicos, maquinaria y equipos, materiales, entre otros) y costos necesarios para la implementación de cada acción.</w:t>
      </w:r>
    </w:p>
    <w:p w14:paraId="524AE847" w14:textId="77777777" w:rsidR="00D93636" w:rsidRPr="00BD1319" w:rsidRDefault="00D93636" w:rsidP="000D6E21">
      <w:pPr>
        <w:contextualSpacing/>
        <w:rPr>
          <w:rFonts w:eastAsia="Arial" w:cs="Arial"/>
          <w:color w:val="000000" w:themeColor="text1"/>
        </w:rPr>
      </w:pPr>
    </w:p>
    <w:p w14:paraId="49222368" w14:textId="0261F827" w:rsidR="00F433A8" w:rsidRPr="00BD1319" w:rsidRDefault="00CB51CB" w:rsidP="00CB51CB">
      <w:pPr>
        <w:pStyle w:val="Prrafodelista"/>
        <w:numPr>
          <w:ilvl w:val="0"/>
          <w:numId w:val="51"/>
        </w:numPr>
        <w:ind w:left="567" w:hanging="567"/>
        <w:contextualSpacing/>
        <w:rPr>
          <w:rFonts w:eastAsia="Arial" w:cs="Arial"/>
          <w:color w:val="000000" w:themeColor="text1"/>
          <w:lang w:val="es-CO"/>
        </w:rPr>
      </w:pPr>
      <w:r w:rsidRPr="00BD1319">
        <w:rPr>
          <w:rFonts w:eastAsia="Arial" w:cs="Arial"/>
          <w:color w:val="000000" w:themeColor="text1"/>
          <w:lang w:val="es-CO"/>
        </w:rPr>
        <w:t>Indicador de avance y eficacia de implementación</w:t>
      </w:r>
      <w:r w:rsidR="007E7263" w:rsidRPr="00BD1319">
        <w:rPr>
          <w:rFonts w:eastAsia="Arial" w:cs="Arial"/>
          <w:color w:val="000000" w:themeColor="text1"/>
          <w:vertAlign w:val="superscript"/>
          <w:lang w:val="en-US"/>
        </w:rPr>
        <w:footnoteReference w:id="232"/>
      </w:r>
      <w:r w:rsidRPr="00BD1319">
        <w:rPr>
          <w:rFonts w:eastAsia="Arial" w:cs="Arial"/>
          <w:color w:val="000000" w:themeColor="text1"/>
          <w:lang w:val="es-CO"/>
        </w:rPr>
        <w:t>.</w:t>
      </w:r>
    </w:p>
    <w:p w14:paraId="013FCD48" w14:textId="77777777" w:rsidR="00DD5B69" w:rsidRPr="00BD1319" w:rsidRDefault="00DD5B69" w:rsidP="000D6E21">
      <w:pPr>
        <w:rPr>
          <w:rFonts w:eastAsia="Arial" w:cs="Arial"/>
          <w:color w:val="000000" w:themeColor="text1"/>
        </w:rPr>
      </w:pPr>
    </w:p>
    <w:p w14:paraId="73AA412A" w14:textId="17FF44B8" w:rsidR="00DD5B69" w:rsidRPr="00BD1319" w:rsidRDefault="00EB3028" w:rsidP="00DD5B69">
      <w:pPr>
        <w:pStyle w:val="Ttulo3"/>
      </w:pPr>
      <w:bookmarkStart w:id="11373" w:name="_Toc175326832"/>
      <w:r w:rsidRPr="00BD1319">
        <w:t>Adaptación al cambio climático</w:t>
      </w:r>
      <w:bookmarkEnd w:id="11373"/>
    </w:p>
    <w:p w14:paraId="6592DFEB" w14:textId="77777777" w:rsidR="00DD5B69" w:rsidRPr="00BD1319" w:rsidRDefault="00DD5B69" w:rsidP="00DD5B69">
      <w:pPr>
        <w:rPr>
          <w:rFonts w:cs="Arial"/>
          <w:spacing w:val="-3"/>
        </w:rPr>
      </w:pPr>
    </w:p>
    <w:p w14:paraId="2F34A8AE" w14:textId="04AA1511" w:rsidR="00DD5B69" w:rsidRPr="00BD1319" w:rsidRDefault="005A40CB" w:rsidP="00DD5B69">
      <w:pPr>
        <w:rPr>
          <w:rFonts w:cs="Arial"/>
          <w:spacing w:val="-3"/>
        </w:rPr>
      </w:pPr>
      <w:r w:rsidRPr="00BD1319">
        <w:rPr>
          <w:rFonts w:cs="Arial"/>
          <w:spacing w:val="-3"/>
        </w:rPr>
        <w:t>El propósito de este numeral es formular medidas de adaptación al cambio climático para el proyecto, obra o actividad y los elementos del ambiente que pueden resultar impactados por su ejecución. Para ello, es necesario desarrollar escenarios de variabilidad y cambio climático, desarrollar una evaluación del riesgo climático, así como considerar los resultados obtenidos en la caracterización ambiental y la evaluación ambiental y lo definido en la Dimensión ambiental del plan de gestión del riesgo teniendo en cuenta la identificación y análisis de los eventos amenazantes de tipo endógeno y exógeno potenciales, el análisis de las amenazas, la vulnerabilidad de elementos expuestos y la estimación de áreas de afectación.</w:t>
      </w:r>
    </w:p>
    <w:p w14:paraId="1237F92D" w14:textId="77777777" w:rsidR="00DD5B69" w:rsidRPr="00BD1319" w:rsidRDefault="00DD5B69" w:rsidP="00DD5B69">
      <w:pPr>
        <w:rPr>
          <w:rFonts w:cs="Arial"/>
          <w:spacing w:val="-3"/>
        </w:rPr>
      </w:pPr>
    </w:p>
    <w:p w14:paraId="085EDE49" w14:textId="716A2968" w:rsidR="00DD5B69" w:rsidRPr="00BD1319" w:rsidRDefault="00DE34FB" w:rsidP="00DD5B69">
      <w:pPr>
        <w:pStyle w:val="Ttulo4"/>
        <w:tabs>
          <w:tab w:val="num" w:pos="1418"/>
        </w:tabs>
        <w:ind w:left="1418" w:hanging="1418"/>
        <w:rPr>
          <w:lang w:val="es-CO"/>
        </w:rPr>
      </w:pPr>
      <w:bookmarkStart w:id="11374" w:name="_Ref175324153"/>
      <w:r w:rsidRPr="00BD1319">
        <w:rPr>
          <w:lang w:val="es-CO"/>
        </w:rPr>
        <w:t>Escenarios de variabilidad y cambio climático</w:t>
      </w:r>
      <w:bookmarkEnd w:id="11374"/>
    </w:p>
    <w:p w14:paraId="3A824D11" w14:textId="77777777" w:rsidR="00DD5B69" w:rsidRPr="00BD1319" w:rsidRDefault="00DD5B69" w:rsidP="00DD5B69">
      <w:pPr>
        <w:rPr>
          <w:rFonts w:cs="Arial"/>
          <w:spacing w:val="-3"/>
        </w:rPr>
      </w:pPr>
    </w:p>
    <w:p w14:paraId="0225C6FC" w14:textId="77777777" w:rsidR="004979A7" w:rsidRPr="00BD1319" w:rsidRDefault="004979A7" w:rsidP="004979A7">
      <w:pPr>
        <w:rPr>
          <w:rFonts w:cs="Arial"/>
          <w:spacing w:val="-3"/>
        </w:rPr>
      </w:pPr>
      <w:r w:rsidRPr="00BD1319">
        <w:rPr>
          <w:rFonts w:cs="Arial"/>
          <w:spacing w:val="-3"/>
        </w:rPr>
        <w:t xml:space="preserve">Se debe desarrollar una modelización de </w:t>
      </w:r>
      <w:proofErr w:type="gramStart"/>
      <w:r w:rsidRPr="00BD1319">
        <w:rPr>
          <w:rFonts w:cs="Arial"/>
          <w:spacing w:val="-3"/>
        </w:rPr>
        <w:t>variabilidad climática y cambio climático</w:t>
      </w:r>
      <w:proofErr w:type="gramEnd"/>
      <w:r w:rsidRPr="00BD1319">
        <w:rPr>
          <w:rFonts w:cs="Arial"/>
          <w:spacing w:val="-3"/>
        </w:rPr>
        <w:t xml:space="preserve"> utilizando RCP y SSP. Este análisis debe integrarse con la dimensión ambiental del plan de gestión de riesgos del proyecto, con el fin de formular medidas de adaptación apropiadas al proyecto y las condiciones ambientales su área de influencia.</w:t>
      </w:r>
    </w:p>
    <w:p w14:paraId="0B327E46" w14:textId="77777777" w:rsidR="004979A7" w:rsidRPr="00BD1319" w:rsidRDefault="004979A7" w:rsidP="004979A7">
      <w:pPr>
        <w:rPr>
          <w:rFonts w:cs="Arial"/>
          <w:spacing w:val="-3"/>
        </w:rPr>
      </w:pPr>
    </w:p>
    <w:p w14:paraId="7E4F5236" w14:textId="6573167C" w:rsidR="004979A7" w:rsidRPr="00BD1319" w:rsidRDefault="004979A7" w:rsidP="004979A7">
      <w:pPr>
        <w:rPr>
          <w:rFonts w:cs="Arial"/>
          <w:spacing w:val="-3"/>
        </w:rPr>
      </w:pPr>
      <w:r w:rsidRPr="00BD1319">
        <w:rPr>
          <w:rFonts w:cs="Arial"/>
          <w:spacing w:val="-3"/>
        </w:rPr>
        <w:t>Esta modelización permite evaluar los posibles impactos de la variabilidad climática y del cambio climático en el proyecto y en los elementos del ambiente que éste puede impactar, con el fin de aportar elementos que mejoren su configuración tecnológica, de diseño y localización, así como sus medidas de adaptación al cambio climático. Asimismo, se deben incorporar al análisis los resultados de la Dimensión ambiental del plan de gestión del riesgo, con el fin de ampliar la visión de las potenciales vulnerabilidades y así desarrollar estrategias más efectivas de prevención de los impactos asociados a la variabilidad y cambio climáticos.</w:t>
      </w:r>
    </w:p>
    <w:p w14:paraId="3CAE8AB3" w14:textId="77777777" w:rsidR="004979A7" w:rsidRPr="00BD1319" w:rsidRDefault="004979A7" w:rsidP="004979A7">
      <w:pPr>
        <w:rPr>
          <w:rFonts w:cs="Arial"/>
          <w:spacing w:val="-3"/>
        </w:rPr>
      </w:pPr>
    </w:p>
    <w:p w14:paraId="4411E951" w14:textId="05161EF7" w:rsidR="004979A7" w:rsidRPr="00BD1319" w:rsidRDefault="004979A7" w:rsidP="004979A7">
      <w:pPr>
        <w:rPr>
          <w:rFonts w:cs="Arial"/>
          <w:spacing w:val="-3"/>
        </w:rPr>
      </w:pPr>
      <w:r w:rsidRPr="00BD1319">
        <w:rPr>
          <w:rFonts w:cs="Arial"/>
          <w:spacing w:val="-3"/>
        </w:rPr>
        <w:t>Las medidas de adaptación derivadas de los escenarios de variabilidad y cambio climático deben incorporarse al Plan de gestión de cambio climático de forma tal que su implementación en el corto, mediano y largo plazo sea coherente con las condiciones de ejecución del proyecto, asegurando así una gestión proactiva de los riesgos asociados al cambio climático durante toda su vida útil.</w:t>
      </w:r>
    </w:p>
    <w:p w14:paraId="0BFD6F12" w14:textId="77777777" w:rsidR="004979A7" w:rsidRPr="00BD1319" w:rsidRDefault="004979A7" w:rsidP="004979A7">
      <w:pPr>
        <w:rPr>
          <w:rFonts w:cs="Arial"/>
          <w:spacing w:val="-3"/>
        </w:rPr>
      </w:pPr>
    </w:p>
    <w:p w14:paraId="7E309107" w14:textId="6F64E04A" w:rsidR="004979A7" w:rsidRPr="00BD1319" w:rsidRDefault="004979A7" w:rsidP="004979A7">
      <w:pPr>
        <w:rPr>
          <w:rFonts w:cs="Arial"/>
          <w:spacing w:val="-3"/>
        </w:rPr>
      </w:pPr>
      <w:r w:rsidRPr="00BD1319">
        <w:rPr>
          <w:rFonts w:cs="Arial"/>
          <w:spacing w:val="-3"/>
        </w:rPr>
        <w:lastRenderedPageBreak/>
        <w:t>A continuación, se mencionan orientaciones generales para desarrollar modelos de variabilidad climática, de cambio climático, así como de los cambios que se esperarían en los componentes hidrológico e hidrogeológico y en algunos elementos del medio biótico bajo escenarios de cambio climático, que son útiles para la formulación de medidas de adaptación y también para la determinación y valoración de los impactos ambientales del proyecto.</w:t>
      </w:r>
    </w:p>
    <w:p w14:paraId="3C73254C" w14:textId="77777777" w:rsidR="004979A7" w:rsidRPr="00BD1319" w:rsidRDefault="004979A7" w:rsidP="004979A7">
      <w:pPr>
        <w:rPr>
          <w:rFonts w:cs="Arial"/>
          <w:spacing w:val="-3"/>
        </w:rPr>
      </w:pPr>
    </w:p>
    <w:p w14:paraId="2838BA1F" w14:textId="7A662A56" w:rsidR="004979A7" w:rsidRPr="00BD1319" w:rsidRDefault="004979A7" w:rsidP="004979A7">
      <w:pPr>
        <w:rPr>
          <w:rFonts w:cs="Arial"/>
          <w:spacing w:val="-3"/>
        </w:rPr>
      </w:pPr>
      <w:r w:rsidRPr="00BD1319">
        <w:rPr>
          <w:rFonts w:cs="Arial"/>
          <w:spacing w:val="-3"/>
        </w:rPr>
        <w:t>A partir de las directrices más recientes del Panel Intergubernamental de Cambio Climático (IPCC) y de acuerdo con la disponibilidad de datos climáticos y meteorológicos, se deben desarrollar modelos de variabilidad climática retrospectivos e identificar eventos extremos en prospectiva para el área de influencia del proyecto, obra o actividad que permitan determinar las tendencias relacionadas con las alteraciones de patrones de variabilidad climática, la identificación de eventos extremos (p. ej. olas de calor, tormentas intensas y precipitaciones extremas) y establecer efectos asociados a los fenómenos de variabilidad climática analizados. Tales modelos se deben emplear para la formulación e implementación del proyecto, obra o actividad con el fin de fortalecer la resiliencia del proyecto y de aquellos elementos ambientales que éste puede impactar.</w:t>
      </w:r>
    </w:p>
    <w:p w14:paraId="3A8DF926" w14:textId="77777777" w:rsidR="004979A7" w:rsidRPr="00BD1319" w:rsidRDefault="004979A7" w:rsidP="004979A7">
      <w:pPr>
        <w:rPr>
          <w:rFonts w:cs="Arial"/>
          <w:spacing w:val="-3"/>
        </w:rPr>
      </w:pPr>
    </w:p>
    <w:p w14:paraId="2349056A" w14:textId="375B09A6" w:rsidR="004979A7" w:rsidRPr="00BD1319" w:rsidRDefault="004979A7" w:rsidP="004979A7">
      <w:pPr>
        <w:rPr>
          <w:rFonts w:cs="Arial"/>
          <w:spacing w:val="-3"/>
        </w:rPr>
      </w:pPr>
      <w:r w:rsidRPr="00BD1319">
        <w:rPr>
          <w:rFonts w:cs="Arial"/>
          <w:spacing w:val="-3"/>
        </w:rPr>
        <w:t xml:space="preserve">Asimismo, se debe desarrollar un modelo prospectivo de cambio climático que emplee como variables de entrada la información sobre el comportamiento histórico de la precipitación y la temperatura en un periodo mínimo de 30 años (periodo en el que es posible identificar la ocurrencia de eventos climáticos de alto impacto) y los escenarios de cambio climático generados por el </w:t>
      </w:r>
      <w:proofErr w:type="spellStart"/>
      <w:r w:rsidRPr="00BD1319">
        <w:rPr>
          <w:rFonts w:cs="Arial"/>
          <w:spacing w:val="-3"/>
        </w:rPr>
        <w:t>Ideam</w:t>
      </w:r>
      <w:proofErr w:type="spellEnd"/>
      <w:r w:rsidRPr="00BD1319">
        <w:rPr>
          <w:rFonts w:cs="Arial"/>
          <w:spacing w:val="-3"/>
        </w:rPr>
        <w:t xml:space="preserve"> o las Trayectorias de Concentración Representativas (RCP por sus siglas en inglés) para los escenarios 4.5, 6.0 y 8.5 o las Trayectorias Socioeconómicas Compartidas (SSP por su sigla en inglés) para los escenarios del 1 al 5 para los períodos 2011-2040 y 2012 al 2099. Se debe indicar la fuente de información de los datos históricos y de los escenarios de cambio climático utilizados.</w:t>
      </w:r>
    </w:p>
    <w:p w14:paraId="6F46FD16" w14:textId="77777777" w:rsidR="004979A7" w:rsidRPr="00BD1319" w:rsidRDefault="004979A7" w:rsidP="004979A7">
      <w:pPr>
        <w:rPr>
          <w:rFonts w:cs="Arial"/>
          <w:spacing w:val="-3"/>
        </w:rPr>
      </w:pPr>
    </w:p>
    <w:p w14:paraId="4361784B" w14:textId="1AEF7422" w:rsidR="004979A7" w:rsidRPr="00BD1319" w:rsidRDefault="004979A7" w:rsidP="004979A7">
      <w:pPr>
        <w:rPr>
          <w:rFonts w:cs="Arial"/>
          <w:spacing w:val="-3"/>
        </w:rPr>
      </w:pPr>
      <w:r w:rsidRPr="00BD1319">
        <w:rPr>
          <w:rFonts w:cs="Arial"/>
          <w:spacing w:val="-3"/>
        </w:rPr>
        <w:t xml:space="preserve">Asimismo, para el componente hídrico superficial se deben tener en cuenta los resultados del modelo prospectivo desarrollado con anterioridad para estimar caudales superficiales, teniendo en cuenta las precipitaciones y temperaturas de los escenarios RCP o SSP, así como también los cambios en las coberturas de la tierra que tendrían lugar bajo esas condiciones. </w:t>
      </w:r>
    </w:p>
    <w:p w14:paraId="0D50A559" w14:textId="77777777" w:rsidR="004979A7" w:rsidRPr="00BD1319" w:rsidRDefault="004979A7" w:rsidP="004979A7">
      <w:pPr>
        <w:rPr>
          <w:rFonts w:cs="Arial"/>
          <w:spacing w:val="-3"/>
        </w:rPr>
      </w:pPr>
    </w:p>
    <w:p w14:paraId="69E40179" w14:textId="77777777" w:rsidR="004979A7" w:rsidRPr="00BD1319" w:rsidRDefault="004979A7" w:rsidP="004979A7">
      <w:pPr>
        <w:rPr>
          <w:rFonts w:cs="Arial"/>
          <w:spacing w:val="-3"/>
        </w:rPr>
      </w:pPr>
      <w:r w:rsidRPr="00BD1319">
        <w:rPr>
          <w:rFonts w:cs="Arial"/>
          <w:spacing w:val="-3"/>
        </w:rPr>
        <w:t>Para evaluar la dinámica hídrica de los sitios susceptibles de intervención por captación, vertimiento u ocupación de cauce se deben tener en cuenta los fenómenos de inundación o sequía que resulten de los caudales máximos y mínimos arrojados en los escenarios prospectivos de cambio climático. Finalmente, se deben incluir estos escenarios (caudales y temperaturas) en la evaluación de la potencial alteración a la calidad del recurso hídrico cuando se solicite permiso de vertimiento o se generen impactos que reduzcan a la calidad del agua.</w:t>
      </w:r>
    </w:p>
    <w:p w14:paraId="6069EF41" w14:textId="77777777" w:rsidR="004979A7" w:rsidRPr="00BD1319" w:rsidRDefault="004979A7" w:rsidP="004979A7">
      <w:pPr>
        <w:rPr>
          <w:rFonts w:cs="Arial"/>
          <w:spacing w:val="-3"/>
        </w:rPr>
      </w:pPr>
    </w:p>
    <w:p w14:paraId="6B197D5C" w14:textId="64DF2A62" w:rsidR="004979A7" w:rsidRPr="00BD1319" w:rsidRDefault="004979A7" w:rsidP="004979A7">
      <w:pPr>
        <w:rPr>
          <w:rFonts w:cs="Arial"/>
          <w:spacing w:val="-3"/>
        </w:rPr>
      </w:pPr>
      <w:r w:rsidRPr="00BD1319">
        <w:rPr>
          <w:rFonts w:cs="Arial"/>
          <w:spacing w:val="-3"/>
        </w:rPr>
        <w:lastRenderedPageBreak/>
        <w:t>Para el componente hidrogeológico la estimación de la recarga potencial a los acuíferos, por ejemplo, para proyectos, obras o actividades con una vida útil superior a 15 años, debe contemplar los escenarios prospectivos de cambio climático en sus cálculos, donde se consideren los cambios que se pueden generar en el área de influencia del proyecto en relación con la precipitación, temperatura, evapotranspiración y usos del suelo, que alteran directamente la recarga potencial.</w:t>
      </w:r>
    </w:p>
    <w:p w14:paraId="4BEB1CAB" w14:textId="77777777" w:rsidR="004979A7" w:rsidRPr="00BD1319" w:rsidRDefault="004979A7" w:rsidP="004979A7">
      <w:pPr>
        <w:rPr>
          <w:rFonts w:cs="Arial"/>
          <w:spacing w:val="-3"/>
        </w:rPr>
      </w:pPr>
    </w:p>
    <w:p w14:paraId="15B7BBD8" w14:textId="77777777" w:rsidR="004979A7" w:rsidRPr="00BD1319" w:rsidRDefault="004979A7" w:rsidP="004979A7">
      <w:pPr>
        <w:rPr>
          <w:rFonts w:cs="Arial"/>
          <w:spacing w:val="-3"/>
        </w:rPr>
      </w:pPr>
      <w:r w:rsidRPr="00BD1319">
        <w:rPr>
          <w:rFonts w:cs="Arial"/>
          <w:spacing w:val="-3"/>
        </w:rPr>
        <w:t>Los resultados de la recarga potencial para los diferentes escenarios prospectivos de cambio climático deben ser considerados en el desarrollo de los modelos hidrogeológicos numéricos que se realicen en el marco de la identificación de las posibles afectaciones sobre el recurso. Lo anterior aplica para aquellos proyectos, obras o actividades que presenten un modelo hidrogeológico numérico.</w:t>
      </w:r>
    </w:p>
    <w:p w14:paraId="70B67703" w14:textId="77777777" w:rsidR="004979A7" w:rsidRPr="00BD1319" w:rsidRDefault="004979A7" w:rsidP="004979A7">
      <w:pPr>
        <w:rPr>
          <w:rFonts w:cs="Arial"/>
          <w:spacing w:val="-3"/>
        </w:rPr>
      </w:pPr>
    </w:p>
    <w:p w14:paraId="44ADFA47" w14:textId="349E3DEC" w:rsidR="004979A7" w:rsidRPr="00BD1319" w:rsidRDefault="004979A7" w:rsidP="004979A7">
      <w:pPr>
        <w:rPr>
          <w:rFonts w:cs="Arial"/>
          <w:spacing w:val="-3"/>
        </w:rPr>
      </w:pPr>
      <w:r w:rsidRPr="00BD1319">
        <w:rPr>
          <w:rFonts w:cs="Arial"/>
          <w:spacing w:val="-3"/>
        </w:rPr>
        <w:t xml:space="preserve">Para el medio biótico, solo en caso de identificar ecosistemas estratégicos o ecosistemas acuáticos o terrestres dentro del área de influencia del proyecto con impactos significativos, se debe aplicar un modelo que estime la distribución potencial de especies de fauna o flora sensibles ante los cambios de temperatura y precipitación (preferiblemente especies especialistas en dichos ecosistemas); con este fin, es posible realizar la proyección o transferencia del modelo de distribución potencial de especies generado en el marco de la caracterización ambiental (numeral </w:t>
      </w:r>
      <w:r w:rsidR="00A25CFC" w:rsidRPr="00BD1319">
        <w:rPr>
          <w:rFonts w:cs="Arial"/>
          <w:spacing w:val="-3"/>
        </w:rPr>
        <w:fldChar w:fldCharType="begin"/>
      </w:r>
      <w:r w:rsidR="00A25CFC" w:rsidRPr="00BD1319">
        <w:rPr>
          <w:rFonts w:cs="Arial"/>
          <w:spacing w:val="-3"/>
        </w:rPr>
        <w:instrText xml:space="preserve"> REF _Ref79492801 \r \h </w:instrText>
      </w:r>
      <w:r w:rsidR="00BD1319">
        <w:rPr>
          <w:rFonts w:cs="Arial"/>
          <w:spacing w:val="-3"/>
        </w:rPr>
        <w:instrText xml:space="preserve"> \* MERGEFORMAT </w:instrText>
      </w:r>
      <w:r w:rsidR="00A25CFC" w:rsidRPr="00BD1319">
        <w:rPr>
          <w:rFonts w:cs="Arial"/>
          <w:spacing w:val="-3"/>
        </w:rPr>
      </w:r>
      <w:r w:rsidR="00A25CFC" w:rsidRPr="00BD1319">
        <w:rPr>
          <w:rFonts w:cs="Arial"/>
          <w:spacing w:val="-3"/>
        </w:rPr>
        <w:fldChar w:fldCharType="separate"/>
      </w:r>
      <w:r w:rsidR="00296654" w:rsidRPr="00BD1319">
        <w:rPr>
          <w:rFonts w:cs="Arial"/>
          <w:spacing w:val="-3"/>
        </w:rPr>
        <w:t>4.2.2.3.2</w:t>
      </w:r>
      <w:r w:rsidR="00A25CFC" w:rsidRPr="00BD1319">
        <w:rPr>
          <w:rFonts w:cs="Arial"/>
          <w:spacing w:val="-3"/>
        </w:rPr>
        <w:fldChar w:fldCharType="end"/>
      </w:r>
      <w:r w:rsidRPr="00BD1319">
        <w:rPr>
          <w:rFonts w:cs="Arial"/>
          <w:spacing w:val="-3"/>
        </w:rPr>
        <w:t>, Análisis de conectividad) incorporando a éste los cambios previstos en las variables de precipitación y temperatura, para escenarios RCP o SSP para los períodos 2011-2040, incorporando los resultados de los modelos prospectivos generados previamente (p. ej. temperatura, precipitación, caudal y calidad del agua).</w:t>
      </w:r>
    </w:p>
    <w:p w14:paraId="61674118" w14:textId="77777777" w:rsidR="004979A7" w:rsidRPr="00BD1319" w:rsidRDefault="004979A7" w:rsidP="004979A7">
      <w:pPr>
        <w:rPr>
          <w:rFonts w:cs="Arial"/>
          <w:spacing w:val="-3"/>
        </w:rPr>
      </w:pPr>
    </w:p>
    <w:p w14:paraId="5139249D" w14:textId="77777777" w:rsidR="004979A7" w:rsidRPr="00BD1319" w:rsidRDefault="004979A7" w:rsidP="004979A7">
      <w:pPr>
        <w:rPr>
          <w:rFonts w:cs="Arial"/>
          <w:spacing w:val="-3"/>
        </w:rPr>
      </w:pPr>
      <w:r w:rsidRPr="00BD1319">
        <w:rPr>
          <w:rFonts w:cs="Arial"/>
          <w:spacing w:val="-3"/>
        </w:rPr>
        <w:t>Si la transferencia del modelo conlleva la necesidad de extrapolación del modelo debido a la existencia de condiciones no-análogas, es necesario seleccionar un método de extrapolación adecuado y realizar un análisis de climas análogos para verificar la potencia del modelo.</w:t>
      </w:r>
    </w:p>
    <w:p w14:paraId="46F2478F" w14:textId="77777777" w:rsidR="004979A7" w:rsidRPr="00BD1319" w:rsidRDefault="004979A7" w:rsidP="004979A7">
      <w:pPr>
        <w:rPr>
          <w:rFonts w:cs="Arial"/>
          <w:spacing w:val="-3"/>
        </w:rPr>
      </w:pPr>
    </w:p>
    <w:p w14:paraId="183E6E49" w14:textId="7C14D9BE" w:rsidR="004979A7" w:rsidRPr="00BD1319" w:rsidRDefault="004979A7" w:rsidP="004979A7">
      <w:pPr>
        <w:rPr>
          <w:rFonts w:cs="Arial"/>
          <w:spacing w:val="-3"/>
        </w:rPr>
      </w:pPr>
      <w:r w:rsidRPr="00BD1319">
        <w:rPr>
          <w:rFonts w:cs="Arial"/>
          <w:spacing w:val="-3"/>
        </w:rPr>
        <w:t>Como resultado, se debe presentar un análisis de afectación en los ecosistemas estratégicos teniendo en cuenta los escenarios RCP o SSP. Asimismo, se debe evaluar la viabilidad del permiso de aprovechamiento forestal o de otros permisos dada la afectación a ecosistemas acuáticos en los sitios susceptibles de intervención.</w:t>
      </w:r>
    </w:p>
    <w:p w14:paraId="2AF712A3" w14:textId="77777777" w:rsidR="004979A7" w:rsidRPr="00BD1319" w:rsidRDefault="004979A7" w:rsidP="004979A7">
      <w:pPr>
        <w:rPr>
          <w:rFonts w:cs="Arial"/>
          <w:spacing w:val="-3"/>
        </w:rPr>
      </w:pPr>
    </w:p>
    <w:p w14:paraId="2FA272E6" w14:textId="2D943D0E" w:rsidR="00DE34FB" w:rsidRPr="00BD1319" w:rsidRDefault="004979A7" w:rsidP="004979A7">
      <w:pPr>
        <w:rPr>
          <w:rFonts w:cs="Arial"/>
          <w:spacing w:val="-3"/>
        </w:rPr>
      </w:pPr>
      <w:r w:rsidRPr="00BD1319">
        <w:rPr>
          <w:rFonts w:cs="Arial"/>
          <w:spacing w:val="-3"/>
        </w:rPr>
        <w:t>Estos resultados deben ser tenidos en cuenta para la incorporar a la evaluación ambiental la variable cambio climático.</w:t>
      </w:r>
    </w:p>
    <w:p w14:paraId="1A91A104" w14:textId="77777777" w:rsidR="00DE34FB" w:rsidRPr="00BD1319" w:rsidRDefault="00DE34FB" w:rsidP="00DD5B69">
      <w:pPr>
        <w:rPr>
          <w:rFonts w:cs="Arial"/>
          <w:spacing w:val="-3"/>
        </w:rPr>
      </w:pPr>
    </w:p>
    <w:p w14:paraId="5C061B92" w14:textId="4B7C1B4B" w:rsidR="008F240C" w:rsidRPr="00BD1319" w:rsidRDefault="00A85036" w:rsidP="008F240C">
      <w:pPr>
        <w:pStyle w:val="Ttulo4"/>
        <w:tabs>
          <w:tab w:val="num" w:pos="1418"/>
        </w:tabs>
        <w:ind w:left="1418" w:hanging="1418"/>
        <w:rPr>
          <w:lang w:val="es-CO"/>
        </w:rPr>
      </w:pPr>
      <w:bookmarkStart w:id="11375" w:name="_Ref175323999"/>
      <w:r w:rsidRPr="00BD1319">
        <w:rPr>
          <w:lang w:val="es-CO"/>
        </w:rPr>
        <w:t>Evaluación del riesgo climático</w:t>
      </w:r>
      <w:bookmarkEnd w:id="11375"/>
    </w:p>
    <w:p w14:paraId="02F6FD0B" w14:textId="77777777" w:rsidR="00DD5B69" w:rsidRPr="00BD1319" w:rsidRDefault="00DD5B69" w:rsidP="00DD5B69">
      <w:pPr>
        <w:contextualSpacing/>
        <w:rPr>
          <w:rFonts w:eastAsia="Arial" w:cs="Arial"/>
          <w:color w:val="000000" w:themeColor="text1"/>
        </w:rPr>
      </w:pPr>
    </w:p>
    <w:p w14:paraId="060BDCC0" w14:textId="77777777" w:rsidR="00856383" w:rsidRPr="00BD1319" w:rsidRDefault="00856383" w:rsidP="00856383">
      <w:pPr>
        <w:contextualSpacing/>
        <w:rPr>
          <w:rFonts w:eastAsia="Arial" w:cs="Arial"/>
          <w:color w:val="000000" w:themeColor="text1"/>
          <w:lang w:val="es-ES"/>
        </w:rPr>
      </w:pPr>
      <w:r w:rsidRPr="00BD1319">
        <w:rPr>
          <w:rFonts w:eastAsia="Arial" w:cs="Arial"/>
          <w:color w:val="000000" w:themeColor="text1"/>
          <w:lang w:val="es-ES"/>
        </w:rPr>
        <w:t xml:space="preserve">El riesgo por cambio climático resulta de la interacción entre el potencial de ocurrencia de amenazas, la exposición y la vulnerabilidad al cambio climático (IPCC, 2014) y para estimarlo, se debe emplear la siguiente ecuación y desarrollar un método, aplicable a las </w:t>
      </w:r>
      <w:r w:rsidRPr="00BD1319">
        <w:rPr>
          <w:rFonts w:eastAsia="Arial" w:cs="Arial"/>
          <w:color w:val="000000" w:themeColor="text1"/>
          <w:lang w:val="es-ES"/>
        </w:rPr>
        <w:lastRenderedPageBreak/>
        <w:t>condiciones ambientales del área de influencia y a las características del POA, que conjugue información cuantitativa y cualitativa sobre el potencial de ocurrencia de amenazas climáticas, el grado de exposición, y la vulnerabilidad al cambio climático del proyecto y del entorno.</w:t>
      </w:r>
    </w:p>
    <w:p w14:paraId="102074D0" w14:textId="77777777" w:rsidR="00856383" w:rsidRPr="00BD1319" w:rsidRDefault="00856383" w:rsidP="00856383">
      <w:pPr>
        <w:contextualSpacing/>
        <w:rPr>
          <w:rFonts w:eastAsia="Arial" w:cs="Arial"/>
          <w:color w:val="000000" w:themeColor="text1"/>
          <w:lang w:val="es-ES"/>
        </w:rPr>
      </w:pPr>
    </w:p>
    <w:p w14:paraId="482E18D8" w14:textId="27D71D15" w:rsidR="00856383" w:rsidRPr="00BD1319" w:rsidRDefault="00856383" w:rsidP="00856383">
      <w:pPr>
        <w:contextualSpacing/>
        <w:rPr>
          <w:rFonts w:eastAsia="Arial" w:cs="Arial"/>
          <w:color w:val="000000" w:themeColor="text1"/>
        </w:rPr>
      </w:pPr>
      <m:oMathPara>
        <m:oMath>
          <m:r>
            <w:rPr>
              <w:rFonts w:ascii="Cambria Math" w:eastAsia="Arial" w:hAnsi="Cambria Math" w:cs="Arial"/>
              <w:color w:val="000000" w:themeColor="text1"/>
            </w:rPr>
            <m:t>Rcc=Acc*E*Vcc</m:t>
          </m:r>
        </m:oMath>
      </m:oMathPara>
    </w:p>
    <w:p w14:paraId="2B7BE2AC" w14:textId="5D13AD93" w:rsidR="00856383" w:rsidRPr="00BD1319" w:rsidRDefault="00856383" w:rsidP="000D6E21">
      <w:pPr>
        <w:contextualSpacing/>
        <w:jc w:val="center"/>
        <w:rPr>
          <w:rFonts w:eastAsia="Arial" w:cs="Arial"/>
          <w:color w:val="000000" w:themeColor="text1"/>
          <w:sz w:val="20"/>
          <w:szCs w:val="20"/>
        </w:rPr>
      </w:pPr>
      <w:r w:rsidRPr="00BD1319">
        <w:rPr>
          <w:rFonts w:eastAsia="Arial" w:cs="Arial"/>
          <w:color w:val="000000" w:themeColor="text1"/>
          <w:sz w:val="20"/>
          <w:szCs w:val="20"/>
        </w:rPr>
        <w:t xml:space="preserve">Fuente: </w:t>
      </w:r>
      <w:r w:rsidR="00A86E3F" w:rsidRPr="00BD1319">
        <w:rPr>
          <w:rFonts w:eastAsia="Arial" w:cs="Arial"/>
          <w:color w:val="000000" w:themeColor="text1"/>
          <w:sz w:val="20"/>
          <w:szCs w:val="20"/>
        </w:rPr>
        <w:t>a</w:t>
      </w:r>
      <w:r w:rsidRPr="00BD1319">
        <w:rPr>
          <w:rFonts w:eastAsia="Arial" w:cs="Arial"/>
          <w:color w:val="000000" w:themeColor="text1"/>
          <w:sz w:val="20"/>
          <w:szCs w:val="20"/>
        </w:rPr>
        <w:t xml:space="preserve">daptado del análisis de vulnerabilidad y riesgo por cambio climático, </w:t>
      </w:r>
      <w:proofErr w:type="spellStart"/>
      <w:r w:rsidRPr="00BD1319">
        <w:rPr>
          <w:rFonts w:eastAsia="Arial" w:cs="Arial"/>
          <w:color w:val="000000" w:themeColor="text1"/>
          <w:sz w:val="20"/>
          <w:szCs w:val="20"/>
        </w:rPr>
        <w:t>Ideam</w:t>
      </w:r>
      <w:proofErr w:type="spellEnd"/>
      <w:r w:rsidRPr="00BD1319">
        <w:rPr>
          <w:rFonts w:eastAsia="Arial" w:cs="Arial"/>
          <w:color w:val="000000" w:themeColor="text1"/>
          <w:sz w:val="20"/>
          <w:szCs w:val="20"/>
        </w:rPr>
        <w:t xml:space="preserve"> 2017</w:t>
      </w:r>
    </w:p>
    <w:p w14:paraId="4AB3AFE8" w14:textId="77777777" w:rsidR="00856383" w:rsidRPr="00BD1319" w:rsidRDefault="00856383" w:rsidP="00856383">
      <w:pPr>
        <w:contextualSpacing/>
        <w:rPr>
          <w:rFonts w:eastAsia="Arial" w:cs="Arial"/>
          <w:color w:val="000000" w:themeColor="text1"/>
        </w:rPr>
      </w:pPr>
    </w:p>
    <w:p w14:paraId="6A7045CC" w14:textId="77777777" w:rsidR="00856383" w:rsidRPr="00BD1319" w:rsidRDefault="00856383" w:rsidP="00856383">
      <w:pPr>
        <w:contextualSpacing/>
        <w:rPr>
          <w:rFonts w:eastAsia="Arial" w:cs="Arial"/>
          <w:color w:val="000000" w:themeColor="text1"/>
          <w:lang w:val="es-ES"/>
        </w:rPr>
      </w:pPr>
      <w:r w:rsidRPr="00BD1319">
        <w:rPr>
          <w:rFonts w:eastAsia="Arial" w:cs="Arial"/>
          <w:color w:val="000000" w:themeColor="text1"/>
          <w:lang w:val="es-ES"/>
        </w:rPr>
        <w:t>Donde,</w:t>
      </w:r>
    </w:p>
    <w:p w14:paraId="1ABD6992" w14:textId="77777777" w:rsidR="004A5250" w:rsidRPr="00BD1319" w:rsidRDefault="004A5250" w:rsidP="00856383">
      <w:pPr>
        <w:contextualSpacing/>
        <w:rPr>
          <w:rFonts w:eastAsia="Arial" w:cs="Arial"/>
          <w:color w:val="000000" w:themeColor="text1"/>
          <w:lang w:val="es-ES"/>
        </w:rPr>
      </w:pPr>
    </w:p>
    <w:p w14:paraId="7032A03D" w14:textId="77777777" w:rsidR="00856383" w:rsidRPr="00BD1319" w:rsidRDefault="00856383" w:rsidP="000D6E21">
      <w:pPr>
        <w:ind w:left="851" w:hanging="851"/>
        <w:contextualSpacing/>
        <w:rPr>
          <w:rFonts w:eastAsia="Arial" w:cs="Arial"/>
          <w:color w:val="000000" w:themeColor="text1"/>
          <w:lang w:val="es-ES"/>
        </w:rPr>
      </w:pPr>
      <w:proofErr w:type="spellStart"/>
      <w:r w:rsidRPr="00BD1319">
        <w:rPr>
          <w:rFonts w:eastAsia="Arial" w:cs="Arial"/>
          <w:i/>
          <w:iCs/>
          <w:color w:val="000000" w:themeColor="text1"/>
          <w:lang w:val="es-ES"/>
        </w:rPr>
        <w:t>Rcc</w:t>
      </w:r>
      <w:proofErr w:type="spellEnd"/>
      <w:r w:rsidRPr="00BD1319">
        <w:rPr>
          <w:rFonts w:eastAsia="Arial" w:cs="Arial"/>
          <w:color w:val="000000" w:themeColor="text1"/>
          <w:lang w:val="es-ES"/>
        </w:rPr>
        <w:t>:</w:t>
      </w:r>
      <w:r w:rsidRPr="00BD1319">
        <w:rPr>
          <w:rFonts w:eastAsia="Arial" w:cs="Arial"/>
          <w:color w:val="000000" w:themeColor="text1"/>
          <w:lang w:val="es-ES"/>
        </w:rPr>
        <w:tab/>
        <w:t>Riesgo por cambio climático</w:t>
      </w:r>
    </w:p>
    <w:p w14:paraId="48E70075" w14:textId="77777777" w:rsidR="004A5250" w:rsidRPr="00BD1319" w:rsidRDefault="004A5250" w:rsidP="000D6E21">
      <w:pPr>
        <w:ind w:left="851" w:hanging="851"/>
        <w:contextualSpacing/>
        <w:rPr>
          <w:rFonts w:eastAsia="Arial" w:cs="Arial"/>
          <w:i/>
          <w:iCs/>
          <w:color w:val="000000" w:themeColor="text1"/>
          <w:lang w:val="es-ES"/>
        </w:rPr>
      </w:pPr>
    </w:p>
    <w:p w14:paraId="613A2B09" w14:textId="6F87D443" w:rsidR="00856383" w:rsidRPr="00BD1319" w:rsidRDefault="00856383" w:rsidP="000D6E21">
      <w:pPr>
        <w:ind w:left="851" w:hanging="851"/>
        <w:contextualSpacing/>
        <w:rPr>
          <w:rFonts w:eastAsia="Arial" w:cs="Arial"/>
          <w:color w:val="000000" w:themeColor="text1"/>
          <w:lang w:val="es-ES"/>
        </w:rPr>
      </w:pPr>
      <w:proofErr w:type="spellStart"/>
      <w:r w:rsidRPr="00BD1319">
        <w:rPr>
          <w:rFonts w:eastAsia="Arial" w:cs="Arial"/>
          <w:i/>
          <w:iCs/>
          <w:color w:val="000000" w:themeColor="text1"/>
          <w:lang w:val="es-ES"/>
        </w:rPr>
        <w:t>Acc</w:t>
      </w:r>
      <w:proofErr w:type="spellEnd"/>
      <w:r w:rsidRPr="00BD1319">
        <w:rPr>
          <w:rFonts w:eastAsia="Arial" w:cs="Arial"/>
          <w:color w:val="000000" w:themeColor="text1"/>
          <w:lang w:val="es-ES"/>
        </w:rPr>
        <w:t>:</w:t>
      </w:r>
      <w:r w:rsidRPr="00BD1319">
        <w:rPr>
          <w:rFonts w:eastAsia="Arial" w:cs="Arial"/>
          <w:color w:val="000000" w:themeColor="text1"/>
          <w:lang w:val="es-ES"/>
        </w:rPr>
        <w:tab/>
        <w:t>Amenazas climáticas</w:t>
      </w:r>
    </w:p>
    <w:p w14:paraId="3DFDB370" w14:textId="77777777" w:rsidR="004A5250" w:rsidRPr="00BD1319" w:rsidRDefault="004A5250" w:rsidP="000D6E21">
      <w:pPr>
        <w:ind w:left="851" w:hanging="851"/>
        <w:contextualSpacing/>
        <w:rPr>
          <w:rFonts w:eastAsia="Arial" w:cs="Arial"/>
          <w:i/>
          <w:iCs/>
          <w:color w:val="000000" w:themeColor="text1"/>
          <w:lang w:val="es-ES"/>
        </w:rPr>
      </w:pPr>
    </w:p>
    <w:p w14:paraId="0F91E13F" w14:textId="6109548E" w:rsidR="00856383" w:rsidRPr="00BD1319" w:rsidRDefault="00856383" w:rsidP="000D6E21">
      <w:pPr>
        <w:ind w:left="851" w:hanging="851"/>
        <w:contextualSpacing/>
        <w:rPr>
          <w:rFonts w:eastAsia="Arial" w:cs="Arial"/>
          <w:color w:val="000000" w:themeColor="text1"/>
          <w:lang w:val="es-ES"/>
        </w:rPr>
      </w:pPr>
      <w:r w:rsidRPr="00BD1319">
        <w:rPr>
          <w:rFonts w:eastAsia="Arial" w:cs="Arial"/>
          <w:i/>
          <w:iCs/>
          <w:color w:val="000000" w:themeColor="text1"/>
          <w:lang w:val="es-ES"/>
        </w:rPr>
        <w:t>E</w:t>
      </w:r>
      <w:r w:rsidRPr="00BD1319">
        <w:rPr>
          <w:rFonts w:eastAsia="Arial" w:cs="Arial"/>
          <w:color w:val="000000" w:themeColor="text1"/>
          <w:lang w:val="es-ES"/>
        </w:rPr>
        <w:t>:</w:t>
      </w:r>
      <w:r w:rsidRPr="00BD1319">
        <w:rPr>
          <w:rFonts w:eastAsia="Arial" w:cs="Arial"/>
          <w:color w:val="000000" w:themeColor="text1"/>
          <w:lang w:val="es-ES"/>
        </w:rPr>
        <w:tab/>
        <w:t>Grado de exposición del proyecto o del entorno</w:t>
      </w:r>
    </w:p>
    <w:p w14:paraId="5FDF4202" w14:textId="77777777" w:rsidR="004A5250" w:rsidRPr="00BD1319" w:rsidRDefault="004A5250" w:rsidP="000D6E21">
      <w:pPr>
        <w:ind w:left="851" w:hanging="851"/>
        <w:contextualSpacing/>
        <w:rPr>
          <w:rFonts w:eastAsia="Arial" w:cs="Arial"/>
          <w:i/>
          <w:iCs/>
          <w:color w:val="000000" w:themeColor="text1"/>
          <w:lang w:val="es-ES"/>
        </w:rPr>
      </w:pPr>
    </w:p>
    <w:p w14:paraId="6A7AF3B8" w14:textId="7BAC4043" w:rsidR="00856383" w:rsidRPr="00BD1319" w:rsidRDefault="00856383" w:rsidP="000D6E21">
      <w:pPr>
        <w:ind w:left="851" w:hanging="851"/>
        <w:contextualSpacing/>
        <w:rPr>
          <w:rFonts w:eastAsia="Arial" w:cs="Arial"/>
          <w:color w:val="000000" w:themeColor="text1"/>
          <w:lang w:val="es-ES"/>
        </w:rPr>
      </w:pPr>
      <w:proofErr w:type="spellStart"/>
      <w:r w:rsidRPr="00BD1319">
        <w:rPr>
          <w:rFonts w:eastAsia="Arial" w:cs="Arial"/>
          <w:i/>
          <w:iCs/>
          <w:color w:val="000000" w:themeColor="text1"/>
          <w:lang w:val="es-ES"/>
        </w:rPr>
        <w:t>Vcc</w:t>
      </w:r>
      <w:proofErr w:type="spellEnd"/>
      <w:r w:rsidRPr="00BD1319">
        <w:rPr>
          <w:rFonts w:eastAsia="Arial" w:cs="Arial"/>
          <w:color w:val="000000" w:themeColor="text1"/>
          <w:lang w:val="es-ES"/>
        </w:rPr>
        <w:t>:</w:t>
      </w:r>
      <w:r w:rsidRPr="00BD1319">
        <w:rPr>
          <w:rFonts w:eastAsia="Arial" w:cs="Arial"/>
          <w:color w:val="000000" w:themeColor="text1"/>
          <w:lang w:val="es-ES"/>
        </w:rPr>
        <w:tab/>
        <w:t>Vulnerabilidad al cambio climático del proyecto o del entorno</w:t>
      </w:r>
    </w:p>
    <w:p w14:paraId="09E4BEC7" w14:textId="77777777" w:rsidR="00856383" w:rsidRPr="00BD1319" w:rsidRDefault="00856383" w:rsidP="00856383">
      <w:pPr>
        <w:contextualSpacing/>
        <w:rPr>
          <w:rFonts w:eastAsia="Arial" w:cs="Arial"/>
          <w:color w:val="000000" w:themeColor="text1"/>
          <w:lang w:val="es-ES"/>
        </w:rPr>
      </w:pPr>
    </w:p>
    <w:p w14:paraId="27777F1C" w14:textId="77777777" w:rsidR="00856383" w:rsidRPr="00BD1319" w:rsidRDefault="00856383" w:rsidP="00856383">
      <w:pPr>
        <w:contextualSpacing/>
        <w:rPr>
          <w:rFonts w:eastAsia="Arial" w:cs="Arial"/>
          <w:color w:val="000000" w:themeColor="text1"/>
          <w:lang w:val="es-ES"/>
        </w:rPr>
      </w:pPr>
      <w:r w:rsidRPr="00BD1319">
        <w:rPr>
          <w:rFonts w:eastAsia="Arial" w:cs="Arial"/>
          <w:color w:val="000000" w:themeColor="text1"/>
          <w:lang w:val="es-ES"/>
        </w:rPr>
        <w:t>El método de estimación del riesgo por cambio climático debe permitir establecer diferentes grados de riesgo y abordarse desde una perspectiva geográfica, con el fin de elaborar un mapa que delimite zonas del área de influencia del POA según su grado de riesgo por cambio climático. El método de estimación del riesgo por cambio climático, que incluya también el procedimiento para calcular las variables que lo componen y desarrollar el mapa, debe ser descrito y justificado técnicamente.</w:t>
      </w:r>
    </w:p>
    <w:p w14:paraId="6BB870D2" w14:textId="7D2A2DE5" w:rsidR="007C2101" w:rsidRPr="00BD1319" w:rsidRDefault="007C2101" w:rsidP="00DD5B69">
      <w:pPr>
        <w:contextualSpacing/>
        <w:rPr>
          <w:rFonts w:eastAsia="Arial" w:cs="Arial"/>
          <w:color w:val="000000" w:themeColor="text1"/>
          <w:lang w:val="es-ES"/>
        </w:rPr>
      </w:pPr>
    </w:p>
    <w:p w14:paraId="097DDC7F" w14:textId="792E8161" w:rsidR="007C2101" w:rsidRPr="00BD1319" w:rsidRDefault="008F3AF9" w:rsidP="00E002E9">
      <w:pPr>
        <w:pStyle w:val="Ttulo5"/>
        <w:tabs>
          <w:tab w:val="clear" w:pos="2160"/>
          <w:tab w:val="num" w:pos="1134"/>
        </w:tabs>
        <w:ind w:left="1134" w:hanging="1134"/>
        <w:rPr>
          <w:lang w:val="es-CO"/>
        </w:rPr>
      </w:pPr>
      <w:r w:rsidRPr="00BD1319">
        <w:rPr>
          <w:lang w:val="es-CO"/>
        </w:rPr>
        <w:t>Amenazas climáticas</w:t>
      </w:r>
    </w:p>
    <w:p w14:paraId="5D1FFAEF" w14:textId="77777777" w:rsidR="007C2101" w:rsidRPr="00BD1319" w:rsidRDefault="007C2101" w:rsidP="00DD5B69">
      <w:pPr>
        <w:contextualSpacing/>
        <w:rPr>
          <w:rFonts w:eastAsia="Arial" w:cs="Arial"/>
          <w:color w:val="000000" w:themeColor="text1"/>
          <w:lang w:val="es-ES"/>
        </w:rPr>
      </w:pPr>
    </w:p>
    <w:p w14:paraId="62342D4F" w14:textId="77777777" w:rsidR="00C37566" w:rsidRPr="00BD1319" w:rsidRDefault="00C37566" w:rsidP="00C37566">
      <w:pPr>
        <w:contextualSpacing/>
        <w:rPr>
          <w:rFonts w:eastAsia="Arial" w:cs="Arial"/>
          <w:color w:val="000000" w:themeColor="text1"/>
          <w:lang w:val="es-ES_tradnl"/>
        </w:rPr>
      </w:pPr>
      <w:r w:rsidRPr="00BD1319">
        <w:rPr>
          <w:rFonts w:eastAsia="Arial" w:cs="Arial"/>
          <w:color w:val="000000" w:themeColor="text1"/>
          <w:lang w:val="es-ES_tradnl"/>
        </w:rPr>
        <w:t>Esta variable, en el contexto de los estudios ambientales, se refiere a la ocurrencia potencial de un suceso físico climático de origen natural o humano que puede causar pérdidas de vidas, lesiones u otros efectos negativos sobre la salud, así como daños y pérdidas en propiedades, infraestructuras, medios de subsistencia, medios de prestación de servicios, ecosistemas, servicios ecosistémicos y demás elementos ambientales.</w:t>
      </w:r>
    </w:p>
    <w:p w14:paraId="087687F3" w14:textId="77777777" w:rsidR="00716AC3" w:rsidRPr="00BD1319" w:rsidRDefault="00716AC3" w:rsidP="00C37566">
      <w:pPr>
        <w:contextualSpacing/>
        <w:rPr>
          <w:rFonts w:eastAsia="Arial" w:cs="Arial"/>
          <w:color w:val="000000" w:themeColor="text1"/>
          <w:lang w:val="es-ES_tradnl"/>
        </w:rPr>
      </w:pPr>
    </w:p>
    <w:p w14:paraId="06BB15C1" w14:textId="13E786AC" w:rsidR="00C37566" w:rsidRPr="00BD1319" w:rsidRDefault="00C37566" w:rsidP="00C37566">
      <w:pPr>
        <w:contextualSpacing/>
        <w:rPr>
          <w:rFonts w:eastAsia="Arial" w:cs="Arial"/>
          <w:color w:val="000000" w:themeColor="text1"/>
          <w:lang w:val="es-ES_tradnl"/>
        </w:rPr>
      </w:pPr>
      <w:r w:rsidRPr="00BD1319">
        <w:rPr>
          <w:rFonts w:eastAsia="Arial" w:cs="Arial"/>
          <w:color w:val="000000" w:themeColor="text1"/>
          <w:lang w:val="es-ES_tradnl"/>
        </w:rPr>
        <w:t>Teniendo en cuenta lo anterior, y con base en los resultados de variabilidad y cambio climático previamente descrito, se debe relacionar las amenazas climáticas, específicamente las concernientes, a cambios climatológicos en precipitación y temperatura.</w:t>
      </w:r>
    </w:p>
    <w:p w14:paraId="1ACD5F46" w14:textId="77777777" w:rsidR="00716AC3" w:rsidRPr="00BD1319" w:rsidRDefault="00716AC3" w:rsidP="00C37566">
      <w:pPr>
        <w:contextualSpacing/>
        <w:rPr>
          <w:rFonts w:eastAsia="Arial" w:cs="Arial"/>
          <w:color w:val="000000" w:themeColor="text1"/>
          <w:lang w:val="es-ES"/>
        </w:rPr>
      </w:pPr>
    </w:p>
    <w:p w14:paraId="523E4FB9" w14:textId="77777777" w:rsidR="00C37566" w:rsidRPr="00E96487" w:rsidRDefault="00C37566" w:rsidP="00E96487">
      <w:pPr>
        <w:pStyle w:val="Ttulo5"/>
        <w:tabs>
          <w:tab w:val="clear" w:pos="2160"/>
          <w:tab w:val="num" w:pos="1134"/>
        </w:tabs>
        <w:ind w:left="1134" w:hanging="1134"/>
        <w:rPr>
          <w:lang w:val="es-CO"/>
        </w:rPr>
      </w:pPr>
      <w:r w:rsidRPr="00BD1319">
        <w:rPr>
          <w:lang w:val="es-CO"/>
        </w:rPr>
        <w:t>Elementos expuestos del proyecto o del entorno</w:t>
      </w:r>
    </w:p>
    <w:p w14:paraId="5A59AB42" w14:textId="77777777" w:rsidR="00416737" w:rsidRPr="00BD1319" w:rsidRDefault="00416737" w:rsidP="00C37566">
      <w:pPr>
        <w:contextualSpacing/>
        <w:rPr>
          <w:rFonts w:eastAsia="Arial" w:cs="Arial"/>
          <w:color w:val="000000" w:themeColor="text1"/>
          <w:lang w:val="es-ES"/>
        </w:rPr>
      </w:pPr>
    </w:p>
    <w:p w14:paraId="3B855867" w14:textId="19AE9A14" w:rsidR="00C37566" w:rsidRPr="00BD1319" w:rsidRDefault="00C37566" w:rsidP="00C37566">
      <w:pPr>
        <w:contextualSpacing/>
        <w:rPr>
          <w:rFonts w:eastAsia="Arial" w:cs="Arial"/>
          <w:color w:val="000000" w:themeColor="text1"/>
          <w:lang w:val="es-ES"/>
        </w:rPr>
      </w:pPr>
      <w:r w:rsidRPr="00BD1319">
        <w:rPr>
          <w:rFonts w:eastAsia="Arial" w:cs="Arial"/>
          <w:color w:val="000000" w:themeColor="text1"/>
          <w:lang w:val="es-ES"/>
        </w:rPr>
        <w:t xml:space="preserve">La exposición se refiere a la presencia de personas o elementos del proyecto o del entorno (p. ej. medios de subsistencia, especies, ecosistemas, funciones o servicios ecosistémicos, infraestructura o activos económicos, sociales o culturales) en lugares que </w:t>
      </w:r>
      <w:r w:rsidRPr="00BD1319">
        <w:rPr>
          <w:rFonts w:eastAsia="Arial" w:cs="Arial"/>
          <w:color w:val="000000" w:themeColor="text1"/>
          <w:lang w:val="es-ES"/>
        </w:rPr>
        <w:lastRenderedPageBreak/>
        <w:t>podrían verse afectados negativamente por las amenazas climáticas o los cambios que éstas inducen en el área de influencia del proyecto, obra o actividad.</w:t>
      </w:r>
    </w:p>
    <w:p w14:paraId="3AF5FC41" w14:textId="77777777" w:rsidR="00416737" w:rsidRPr="00BD1319" w:rsidRDefault="00416737" w:rsidP="00C37566">
      <w:pPr>
        <w:contextualSpacing/>
        <w:rPr>
          <w:rFonts w:eastAsia="Arial" w:cs="Arial"/>
          <w:color w:val="000000" w:themeColor="text1"/>
          <w:lang w:val="es-ES"/>
        </w:rPr>
      </w:pPr>
    </w:p>
    <w:p w14:paraId="059D4C5A" w14:textId="2DB2AF25" w:rsidR="00C37566" w:rsidRPr="00BD1319" w:rsidRDefault="00C37566" w:rsidP="00C37566">
      <w:pPr>
        <w:contextualSpacing/>
        <w:rPr>
          <w:rFonts w:eastAsia="Arial" w:cs="Arial"/>
          <w:color w:val="000000" w:themeColor="text1"/>
          <w:lang w:val="es-ES"/>
        </w:rPr>
      </w:pPr>
      <w:r w:rsidRPr="00BD1319">
        <w:rPr>
          <w:rFonts w:eastAsia="Arial" w:cs="Arial"/>
          <w:color w:val="000000" w:themeColor="text1"/>
          <w:lang w:val="es-ES"/>
        </w:rPr>
        <w:t>Se debe analizar cada uno de los elementos expuestos del proyecto o del entorno señalados en la Dimensión ambiental del plan de gestión del riesgo y en los instrumentos de planificación ambiental, territorial y sectorial aplicables (p. ej. POT, POMCA, Planes de Desarrollo Municipal, Planes integrales de gestión sobre cambio climático territoriales y sectoriales) y determinar de manera cuantitativa y cualitativa cuán expuestos están a las amenazas climáticas antes mencionadas, o si en definitiva no tienen exposición alguna. Este análisis debe complementarse con información sobre elementos expuestos obtenida mediante recorridos de campo, entrevistas a grupos de interés (p. ej. funcionarios de oficinas de planeación municipal, comunidades, juntas de acción comunal) u otros métodos de recolección de información primaria.</w:t>
      </w:r>
    </w:p>
    <w:p w14:paraId="326A758B" w14:textId="77777777" w:rsidR="00416737" w:rsidRPr="00BD1319" w:rsidRDefault="00416737" w:rsidP="00C37566">
      <w:pPr>
        <w:contextualSpacing/>
        <w:rPr>
          <w:rFonts w:eastAsia="Arial" w:cs="Arial"/>
          <w:color w:val="000000" w:themeColor="text1"/>
          <w:lang w:val="es-ES"/>
        </w:rPr>
      </w:pPr>
    </w:p>
    <w:p w14:paraId="7E86BF81" w14:textId="1AF7E074" w:rsidR="00C37566" w:rsidRPr="00BD1319" w:rsidRDefault="00C37566" w:rsidP="00C37566">
      <w:pPr>
        <w:contextualSpacing/>
        <w:rPr>
          <w:rFonts w:eastAsia="Arial" w:cs="Arial"/>
          <w:color w:val="000000" w:themeColor="text1"/>
          <w:lang w:val="es-ES"/>
        </w:rPr>
      </w:pPr>
      <w:r w:rsidRPr="00BD1319">
        <w:rPr>
          <w:rFonts w:eastAsia="Arial" w:cs="Arial"/>
          <w:color w:val="000000" w:themeColor="text1"/>
          <w:lang w:val="es-ES"/>
        </w:rPr>
        <w:t>Es necesario considerar que la estimación del grado de exposición de los elementos expuestos del entorno debe realizarse sólo para aquellos elementos del ambiente sobre los que el proyecto, obra o actividad genera impactos ambientales.</w:t>
      </w:r>
    </w:p>
    <w:p w14:paraId="4548F5B6" w14:textId="77777777" w:rsidR="00416737" w:rsidRPr="00BD1319" w:rsidRDefault="00416737" w:rsidP="00C37566">
      <w:pPr>
        <w:contextualSpacing/>
        <w:rPr>
          <w:rFonts w:eastAsia="Arial" w:cs="Arial"/>
          <w:color w:val="000000" w:themeColor="text1"/>
          <w:lang w:val="es-ES"/>
        </w:rPr>
      </w:pPr>
    </w:p>
    <w:p w14:paraId="126DBB84" w14:textId="77777777" w:rsidR="00C37566" w:rsidRPr="005C0E24" w:rsidRDefault="00C37566" w:rsidP="005C0E24">
      <w:pPr>
        <w:pStyle w:val="Ttulo5"/>
        <w:tabs>
          <w:tab w:val="clear" w:pos="2160"/>
          <w:tab w:val="num" w:pos="1134"/>
        </w:tabs>
        <w:ind w:left="1134" w:hanging="1134"/>
        <w:rPr>
          <w:lang w:val="es-CO"/>
        </w:rPr>
      </w:pPr>
      <w:r w:rsidRPr="00BD1319">
        <w:rPr>
          <w:lang w:val="es-CO"/>
        </w:rPr>
        <w:t>Vulnerabilidad al cambio climático</w:t>
      </w:r>
    </w:p>
    <w:p w14:paraId="7BA20358" w14:textId="77777777" w:rsidR="00543C73" w:rsidRPr="00BD1319" w:rsidRDefault="00543C73" w:rsidP="00C37566">
      <w:pPr>
        <w:contextualSpacing/>
        <w:rPr>
          <w:rFonts w:eastAsia="Arial" w:cs="Arial"/>
          <w:color w:val="000000" w:themeColor="text1"/>
          <w:lang w:val="es-ES"/>
        </w:rPr>
      </w:pPr>
    </w:p>
    <w:p w14:paraId="16BF6FFA" w14:textId="39E75B30" w:rsidR="00C37566" w:rsidRPr="00BD1319" w:rsidRDefault="00C37566" w:rsidP="00C37566">
      <w:pPr>
        <w:contextualSpacing/>
        <w:rPr>
          <w:rFonts w:eastAsia="Arial" w:cs="Arial"/>
          <w:color w:val="000000" w:themeColor="text1"/>
          <w:lang w:val="es-ES"/>
        </w:rPr>
      </w:pPr>
      <w:r w:rsidRPr="00BD1319">
        <w:rPr>
          <w:rFonts w:eastAsia="Arial" w:cs="Arial"/>
          <w:color w:val="000000" w:themeColor="text1"/>
          <w:lang w:val="es-ES"/>
        </w:rPr>
        <w:t>La vulnerabilidad al cambio climático es definida por el IPCC (2014) como la propensión o predisposición de un sistema a ser afectado negativamente y comprende una variedad de conceptos que incluyen la sensibilidad climática al daño y la capacidad de respuesta a la adaptación</w:t>
      </w:r>
      <w:r w:rsidRPr="00BD1319">
        <w:rPr>
          <w:rFonts w:eastAsia="Arial" w:cs="Arial"/>
          <w:color w:val="000000" w:themeColor="text1"/>
          <w:vertAlign w:val="superscript"/>
          <w:lang w:val="en-US"/>
        </w:rPr>
        <w:footnoteReference w:id="233"/>
      </w:r>
      <w:r w:rsidRPr="00BD1319">
        <w:rPr>
          <w:rFonts w:eastAsia="Arial" w:cs="Arial"/>
          <w:color w:val="000000" w:themeColor="text1"/>
          <w:lang w:val="es-ES"/>
        </w:rPr>
        <w:t>. En tal sentido, la vulnerabilidad al cambio climático debe ser estimada a partir de la sensibilidad climática y la capacidad adaptativa del proyecto y del entorno aplicando la siguiente ecuación:</w:t>
      </w:r>
    </w:p>
    <w:p w14:paraId="49378610" w14:textId="77777777" w:rsidR="00C37566" w:rsidRPr="00BD1319" w:rsidRDefault="00C37566" w:rsidP="00C37566">
      <w:pPr>
        <w:contextualSpacing/>
        <w:rPr>
          <w:rFonts w:eastAsia="Arial" w:cs="Arial"/>
          <w:color w:val="000000" w:themeColor="text1"/>
          <w:lang w:val="es-ES"/>
        </w:rPr>
      </w:pPr>
    </w:p>
    <w:p w14:paraId="721EEF26" w14:textId="0C2F6C8F" w:rsidR="00C37566" w:rsidRPr="00BD1319" w:rsidRDefault="00C37566" w:rsidP="00C37566">
      <w:pPr>
        <w:contextualSpacing/>
        <w:rPr>
          <w:rFonts w:eastAsia="Arial" w:cs="Arial"/>
          <w:color w:val="000000" w:themeColor="text1"/>
          <w:lang w:val="es-ES"/>
        </w:rPr>
      </w:pPr>
      <m:oMathPara>
        <m:oMath>
          <m:r>
            <w:rPr>
              <w:rFonts w:ascii="Cambria Math" w:eastAsia="Arial" w:hAnsi="Cambria Math" w:cs="Arial"/>
              <w:color w:val="000000" w:themeColor="text1"/>
              <w:lang w:val="es-ES"/>
            </w:rPr>
            <m:t>Vcc=</m:t>
          </m:r>
          <m:f>
            <m:fPr>
              <m:ctrlPr>
                <w:rPr>
                  <w:rFonts w:ascii="Cambria Math" w:eastAsia="Arial" w:hAnsi="Cambria Math" w:cs="Arial"/>
                  <w:i/>
                  <w:color w:val="000000" w:themeColor="text1"/>
                  <w:lang w:val="es-ES"/>
                </w:rPr>
              </m:ctrlPr>
            </m:fPr>
            <m:num>
              <m:r>
                <w:rPr>
                  <w:rFonts w:ascii="Cambria Math" w:eastAsia="Arial" w:hAnsi="Cambria Math" w:cs="Arial"/>
                  <w:color w:val="000000" w:themeColor="text1"/>
                  <w:lang w:val="es-ES"/>
                </w:rPr>
                <m:t>S</m:t>
              </m:r>
            </m:num>
            <m:den>
              <m:r>
                <w:rPr>
                  <w:rFonts w:ascii="Cambria Math" w:eastAsia="Arial" w:hAnsi="Cambria Math" w:cs="Arial"/>
                  <w:color w:val="000000" w:themeColor="text1"/>
                  <w:lang w:val="es-ES"/>
                </w:rPr>
                <m:t>CA</m:t>
              </m:r>
            </m:den>
          </m:f>
        </m:oMath>
      </m:oMathPara>
    </w:p>
    <w:p w14:paraId="27C96EC1" w14:textId="77777777" w:rsidR="00C37566" w:rsidRPr="00BD1319" w:rsidRDefault="00C37566" w:rsidP="000D6E21">
      <w:pPr>
        <w:contextualSpacing/>
        <w:jc w:val="center"/>
        <w:rPr>
          <w:rFonts w:eastAsia="Arial" w:cs="Arial"/>
          <w:color w:val="000000" w:themeColor="text1"/>
          <w:sz w:val="20"/>
          <w:szCs w:val="20"/>
        </w:rPr>
      </w:pPr>
      <w:r w:rsidRPr="00BD1319">
        <w:rPr>
          <w:rFonts w:eastAsia="Arial" w:cs="Arial"/>
          <w:color w:val="000000" w:themeColor="text1"/>
          <w:sz w:val="20"/>
          <w:szCs w:val="20"/>
        </w:rPr>
        <w:t xml:space="preserve">Fuente: Análisis de vulnerabilidad y riesgo por cambio climático, </w:t>
      </w:r>
      <w:proofErr w:type="spellStart"/>
      <w:r w:rsidRPr="00BD1319">
        <w:rPr>
          <w:rFonts w:eastAsia="Arial" w:cs="Arial"/>
          <w:color w:val="000000" w:themeColor="text1"/>
          <w:sz w:val="20"/>
          <w:szCs w:val="20"/>
        </w:rPr>
        <w:t>Ideam</w:t>
      </w:r>
      <w:proofErr w:type="spellEnd"/>
      <w:r w:rsidRPr="00BD1319">
        <w:rPr>
          <w:rFonts w:eastAsia="Arial" w:cs="Arial"/>
          <w:color w:val="000000" w:themeColor="text1"/>
          <w:sz w:val="20"/>
          <w:szCs w:val="20"/>
        </w:rPr>
        <w:t xml:space="preserve"> 2017</w:t>
      </w:r>
    </w:p>
    <w:p w14:paraId="75AAB5F5" w14:textId="77777777" w:rsidR="00C37566" w:rsidRPr="00BD1319" w:rsidRDefault="00C37566" w:rsidP="00C37566">
      <w:pPr>
        <w:contextualSpacing/>
        <w:rPr>
          <w:rFonts w:eastAsia="Arial" w:cs="Arial"/>
          <w:color w:val="000000" w:themeColor="text1"/>
          <w:lang w:val="es-ES"/>
        </w:rPr>
      </w:pPr>
    </w:p>
    <w:p w14:paraId="31135BA9" w14:textId="77777777" w:rsidR="00C37566" w:rsidRPr="00BD1319" w:rsidRDefault="00C37566" w:rsidP="00C37566">
      <w:pPr>
        <w:contextualSpacing/>
        <w:rPr>
          <w:rFonts w:eastAsia="Arial" w:cs="Arial"/>
          <w:color w:val="000000" w:themeColor="text1"/>
          <w:lang w:val="es-ES"/>
        </w:rPr>
      </w:pPr>
      <w:r w:rsidRPr="00BD1319">
        <w:rPr>
          <w:rFonts w:eastAsia="Arial" w:cs="Arial"/>
          <w:color w:val="000000" w:themeColor="text1"/>
          <w:lang w:val="es-ES"/>
        </w:rPr>
        <w:t>Donde,</w:t>
      </w:r>
    </w:p>
    <w:p w14:paraId="4EB02C59" w14:textId="77777777" w:rsidR="00C37566" w:rsidRPr="00BD1319" w:rsidRDefault="00C37566" w:rsidP="00C37566">
      <w:pPr>
        <w:contextualSpacing/>
        <w:rPr>
          <w:rFonts w:eastAsia="Arial" w:cs="Arial"/>
          <w:color w:val="000000" w:themeColor="text1"/>
          <w:lang w:val="es-ES"/>
        </w:rPr>
      </w:pPr>
    </w:p>
    <w:p w14:paraId="57A236E2" w14:textId="77777777" w:rsidR="00C37566" w:rsidRPr="00BD1319" w:rsidRDefault="00C37566" w:rsidP="000D6E21">
      <w:pPr>
        <w:ind w:left="851" w:hanging="851"/>
        <w:contextualSpacing/>
        <w:rPr>
          <w:rFonts w:eastAsia="Arial" w:cs="Arial"/>
          <w:color w:val="000000" w:themeColor="text1"/>
          <w:lang w:val="es-ES"/>
        </w:rPr>
      </w:pPr>
      <w:proofErr w:type="spellStart"/>
      <w:r w:rsidRPr="00BD1319">
        <w:rPr>
          <w:rFonts w:eastAsia="Arial" w:cs="Arial"/>
          <w:i/>
          <w:iCs/>
          <w:color w:val="000000" w:themeColor="text1"/>
          <w:lang w:val="es-ES"/>
        </w:rPr>
        <w:t>Vcc</w:t>
      </w:r>
      <w:proofErr w:type="spellEnd"/>
      <w:r w:rsidRPr="00BD1319">
        <w:rPr>
          <w:rFonts w:eastAsia="Arial" w:cs="Arial"/>
          <w:color w:val="000000" w:themeColor="text1"/>
          <w:lang w:val="es-ES"/>
        </w:rPr>
        <w:t>:</w:t>
      </w:r>
      <w:r w:rsidRPr="00BD1319">
        <w:rPr>
          <w:rFonts w:eastAsia="Arial" w:cs="Arial"/>
          <w:color w:val="000000" w:themeColor="text1"/>
          <w:lang w:val="es-ES"/>
        </w:rPr>
        <w:tab/>
        <w:t>Vulnerabilidad al cambio climático del proyecto o del entorno</w:t>
      </w:r>
    </w:p>
    <w:p w14:paraId="3E232E5D" w14:textId="77777777" w:rsidR="00F06611" w:rsidRPr="00BD1319" w:rsidRDefault="00F06611" w:rsidP="00F06611">
      <w:pPr>
        <w:ind w:left="851" w:hanging="851"/>
        <w:contextualSpacing/>
        <w:rPr>
          <w:rFonts w:eastAsia="Arial" w:cs="Arial"/>
          <w:i/>
          <w:iCs/>
          <w:color w:val="000000" w:themeColor="text1"/>
          <w:lang w:val="es-ES"/>
        </w:rPr>
      </w:pPr>
    </w:p>
    <w:p w14:paraId="0520732B" w14:textId="0A461869" w:rsidR="00C37566" w:rsidRPr="00BD1319" w:rsidRDefault="00C37566" w:rsidP="000D6E21">
      <w:pPr>
        <w:ind w:left="851" w:hanging="851"/>
        <w:contextualSpacing/>
        <w:rPr>
          <w:rFonts w:eastAsia="Arial" w:cs="Arial"/>
          <w:color w:val="000000" w:themeColor="text1"/>
          <w:lang w:val="es-ES"/>
        </w:rPr>
      </w:pPr>
      <w:r w:rsidRPr="00BD1319">
        <w:rPr>
          <w:rFonts w:eastAsia="Arial" w:cs="Arial"/>
          <w:i/>
          <w:iCs/>
          <w:color w:val="000000" w:themeColor="text1"/>
          <w:lang w:val="es-ES"/>
        </w:rPr>
        <w:t>S</w:t>
      </w:r>
      <w:r w:rsidRPr="00BD1319">
        <w:rPr>
          <w:rFonts w:eastAsia="Arial" w:cs="Arial"/>
          <w:color w:val="000000" w:themeColor="text1"/>
          <w:lang w:val="es-ES"/>
        </w:rPr>
        <w:t>:</w:t>
      </w:r>
      <w:r w:rsidRPr="00BD1319">
        <w:rPr>
          <w:rFonts w:eastAsia="Arial" w:cs="Arial"/>
          <w:color w:val="000000" w:themeColor="text1"/>
          <w:lang w:val="es-ES"/>
        </w:rPr>
        <w:tab/>
        <w:t>Sensibilidad climática del proyecto o del entorno</w:t>
      </w:r>
    </w:p>
    <w:p w14:paraId="6F1F73F6" w14:textId="77777777" w:rsidR="00F06611" w:rsidRPr="00BD1319" w:rsidRDefault="00F06611" w:rsidP="00F06611">
      <w:pPr>
        <w:ind w:left="851" w:hanging="851"/>
        <w:contextualSpacing/>
        <w:rPr>
          <w:rFonts w:eastAsia="Arial" w:cs="Arial"/>
          <w:i/>
          <w:iCs/>
          <w:color w:val="000000" w:themeColor="text1"/>
          <w:lang w:val="es-ES"/>
        </w:rPr>
      </w:pPr>
    </w:p>
    <w:p w14:paraId="48EEDDC9" w14:textId="665F3FCC" w:rsidR="00C37566" w:rsidRPr="00BD1319" w:rsidRDefault="00C37566" w:rsidP="000D6E21">
      <w:pPr>
        <w:ind w:left="851" w:hanging="851"/>
        <w:contextualSpacing/>
        <w:rPr>
          <w:rFonts w:eastAsia="Arial" w:cs="Arial"/>
          <w:color w:val="000000" w:themeColor="text1"/>
          <w:lang w:val="es-ES"/>
        </w:rPr>
      </w:pPr>
      <w:r w:rsidRPr="00BD1319">
        <w:rPr>
          <w:rFonts w:eastAsia="Arial" w:cs="Arial"/>
          <w:i/>
          <w:iCs/>
          <w:color w:val="000000" w:themeColor="text1"/>
          <w:lang w:val="es-ES"/>
        </w:rPr>
        <w:t>CA</w:t>
      </w:r>
      <w:r w:rsidRPr="00BD1319">
        <w:rPr>
          <w:rFonts w:eastAsia="Arial" w:cs="Arial"/>
          <w:color w:val="000000" w:themeColor="text1"/>
          <w:lang w:val="es-ES"/>
        </w:rPr>
        <w:t>:</w:t>
      </w:r>
      <w:r w:rsidRPr="00BD1319">
        <w:rPr>
          <w:rFonts w:eastAsia="Arial" w:cs="Arial"/>
          <w:color w:val="000000" w:themeColor="text1"/>
          <w:lang w:val="es-ES"/>
        </w:rPr>
        <w:tab/>
        <w:t>Capacidad adaptativa del proyecto o del entorno</w:t>
      </w:r>
    </w:p>
    <w:p w14:paraId="0EBF4575" w14:textId="77777777" w:rsidR="00C37566" w:rsidRPr="00BD1319" w:rsidRDefault="00C37566" w:rsidP="00C37566">
      <w:pPr>
        <w:contextualSpacing/>
        <w:rPr>
          <w:rFonts w:eastAsia="Arial" w:cs="Arial"/>
          <w:color w:val="000000" w:themeColor="text1"/>
          <w:lang w:val="es-ES"/>
        </w:rPr>
      </w:pPr>
    </w:p>
    <w:p w14:paraId="5AD86062" w14:textId="77777777" w:rsidR="00C37566" w:rsidRPr="00BD1319" w:rsidRDefault="00C37566" w:rsidP="00C37566">
      <w:pPr>
        <w:contextualSpacing/>
        <w:rPr>
          <w:rFonts w:eastAsia="Arial" w:cs="Arial"/>
          <w:color w:val="000000" w:themeColor="text1"/>
          <w:lang w:val="es-ES"/>
        </w:rPr>
      </w:pPr>
      <w:r w:rsidRPr="00BD1319">
        <w:rPr>
          <w:rFonts w:eastAsia="Arial" w:cs="Arial"/>
          <w:color w:val="000000" w:themeColor="text1"/>
        </w:rPr>
        <w:lastRenderedPageBreak/>
        <w:t>Dado que la sensibilidad climática al daño se define como el grado en que un sistema o especie resultan afectados, positiva o negativamente por la variabilidad o el cambio climático de manera directa (p. ej. una variación del rendimiento de los cultivos en respuesta a una variación de la temperatura media) o indirecta (p. ej. los daños causados por un aumento de la frecuencia de las inundaciones costeras como consecuencia de una elevación del nivel del mar) (IPCC, 2014), es necesario desarrollar una evaluación cuantitativa y cualitativa para asignar valores de la susceptibilidad intrínseca de cada elemento expuesto a las amenazas climáticas.</w:t>
      </w:r>
    </w:p>
    <w:p w14:paraId="010E0F37" w14:textId="77777777" w:rsidR="00F06611" w:rsidRPr="00BD1319" w:rsidRDefault="00F06611" w:rsidP="00C37566">
      <w:pPr>
        <w:contextualSpacing/>
        <w:rPr>
          <w:rFonts w:eastAsia="Arial" w:cs="Arial"/>
          <w:color w:val="000000" w:themeColor="text1"/>
          <w:lang w:val="es-ES"/>
        </w:rPr>
      </w:pPr>
    </w:p>
    <w:p w14:paraId="39F6895C" w14:textId="08AD727E" w:rsidR="00C37566" w:rsidRPr="00BD1319" w:rsidRDefault="00C37566" w:rsidP="00C37566">
      <w:pPr>
        <w:contextualSpacing/>
        <w:rPr>
          <w:rFonts w:eastAsia="Arial" w:cs="Arial"/>
          <w:color w:val="000000" w:themeColor="text1"/>
          <w:lang w:val="es-ES"/>
        </w:rPr>
      </w:pPr>
      <w:r w:rsidRPr="00BD1319">
        <w:rPr>
          <w:rFonts w:eastAsia="Arial" w:cs="Arial"/>
          <w:color w:val="000000" w:themeColor="text1"/>
          <w:lang w:val="es-ES"/>
        </w:rPr>
        <w:t>Esta evaluación debe basarse en los posibles daños de la amenaza climática sobre los elementos expuestos, entre ellos, algunos atributos hidrológicos, hidrogeológicos o de los ecosistemas. Se debe estimar el grado de afectación sobre los elementos expuestos identificados para los modelos de variabilidad y cambio climático que consideren el cambio en la temperatura y la precipitación.</w:t>
      </w:r>
    </w:p>
    <w:p w14:paraId="59D0D16F" w14:textId="77777777" w:rsidR="00F06611" w:rsidRPr="00BD1319" w:rsidRDefault="00F06611" w:rsidP="00C37566">
      <w:pPr>
        <w:contextualSpacing/>
        <w:rPr>
          <w:rFonts w:eastAsia="Arial" w:cs="Arial"/>
          <w:color w:val="000000" w:themeColor="text1"/>
          <w:lang w:val="es-ES"/>
        </w:rPr>
      </w:pPr>
    </w:p>
    <w:p w14:paraId="42006EA1" w14:textId="2836CFDB" w:rsidR="00C37566" w:rsidRPr="00BD1319" w:rsidRDefault="00C37566" w:rsidP="00C37566">
      <w:pPr>
        <w:contextualSpacing/>
        <w:rPr>
          <w:rFonts w:eastAsia="Arial" w:cs="Arial"/>
          <w:color w:val="000000" w:themeColor="text1"/>
          <w:lang w:val="es-ES"/>
        </w:rPr>
      </w:pPr>
      <w:r w:rsidRPr="00BD1319">
        <w:rPr>
          <w:rFonts w:eastAsia="Arial" w:cs="Arial"/>
          <w:color w:val="000000" w:themeColor="text1"/>
          <w:lang w:val="es-ES"/>
        </w:rPr>
        <w:t>De otro lado, la capacidad adaptativa es definida por el IPCC (2015) como la capacidad que tienen los sistema, las instituciones, los humanos entre otros para adaptarse ante los posibles daños, aprovechar las oportunidades o afrontar las consecuencias, es necesario identificar los elementos de la disponibilidad de recursos económicos, disponibilidad de infraestructura, de recursos tecnológicos, entre otros, y analizarlos de manera cuantitativa y cualitativamente como insumo para evaluar la capacidad adaptativa.</w:t>
      </w:r>
    </w:p>
    <w:p w14:paraId="25A0F905" w14:textId="77777777" w:rsidR="00C37566" w:rsidRPr="00BD1319" w:rsidRDefault="00C37566" w:rsidP="00C37566">
      <w:pPr>
        <w:contextualSpacing/>
        <w:rPr>
          <w:rFonts w:eastAsia="Arial" w:cs="Arial"/>
          <w:color w:val="000000" w:themeColor="text1"/>
          <w:lang w:val="es-ES"/>
        </w:rPr>
      </w:pPr>
    </w:p>
    <w:p w14:paraId="2B7E0930" w14:textId="77777777" w:rsidR="00C37566" w:rsidRPr="00BD1319" w:rsidRDefault="00C37566" w:rsidP="00C37566">
      <w:pPr>
        <w:contextualSpacing/>
        <w:rPr>
          <w:rFonts w:eastAsia="Arial" w:cs="Arial"/>
          <w:color w:val="000000" w:themeColor="text1"/>
        </w:rPr>
      </w:pPr>
      <w:r w:rsidRPr="00BD1319">
        <w:rPr>
          <w:rFonts w:eastAsia="Arial" w:cs="Arial"/>
          <w:color w:val="000000" w:themeColor="text1"/>
        </w:rPr>
        <w:t>Se debe estimar y analizar la vulnerabilidad climática del proyecto teniendo en cuenta la información desarrollada para los escenarios prospectivos por variabilidad y cambio climático y la evaluación ambiental por cambio climático.</w:t>
      </w:r>
    </w:p>
    <w:p w14:paraId="08166807" w14:textId="77777777" w:rsidR="00183A50" w:rsidRPr="00BD1319" w:rsidRDefault="00183A50" w:rsidP="00C37566">
      <w:pPr>
        <w:contextualSpacing/>
        <w:rPr>
          <w:rFonts w:eastAsia="Arial" w:cs="Arial"/>
          <w:color w:val="000000" w:themeColor="text1"/>
        </w:rPr>
      </w:pPr>
    </w:p>
    <w:p w14:paraId="1D333E25" w14:textId="77777777" w:rsidR="00C37566" w:rsidRPr="00BD1319" w:rsidRDefault="00C37566" w:rsidP="00C37566">
      <w:pPr>
        <w:contextualSpacing/>
        <w:rPr>
          <w:rFonts w:eastAsia="Arial" w:cs="Arial"/>
          <w:color w:val="000000" w:themeColor="text1"/>
          <w:lang w:val="es-ES"/>
        </w:rPr>
      </w:pPr>
      <w:r w:rsidRPr="00BD1319">
        <w:rPr>
          <w:rFonts w:eastAsia="Arial" w:cs="Arial"/>
          <w:color w:val="000000" w:themeColor="text1"/>
          <w:lang w:val="es-ES"/>
        </w:rPr>
        <w:t>Se debe describir y justificar técnicamente el método cuantitativo o cualitativo aplicado para estimar tanto la vulnerabilidad al cambio climático, como las variables que la componen.</w:t>
      </w:r>
    </w:p>
    <w:p w14:paraId="011EC2DE" w14:textId="77777777" w:rsidR="00183A50" w:rsidRPr="00BD1319" w:rsidRDefault="00183A50" w:rsidP="00C37566">
      <w:pPr>
        <w:contextualSpacing/>
        <w:rPr>
          <w:rFonts w:eastAsia="Arial" w:cs="Arial"/>
          <w:color w:val="000000" w:themeColor="text1"/>
        </w:rPr>
      </w:pPr>
    </w:p>
    <w:p w14:paraId="51E3E4C3" w14:textId="77777777" w:rsidR="00C37566" w:rsidRPr="00BD1319" w:rsidRDefault="00C37566" w:rsidP="000D6E21">
      <w:pPr>
        <w:pStyle w:val="Ttulo4"/>
        <w:tabs>
          <w:tab w:val="num" w:pos="1418"/>
        </w:tabs>
        <w:ind w:left="1418" w:hanging="1418"/>
        <w:rPr>
          <w:b w:val="0"/>
        </w:rPr>
      </w:pPr>
      <w:r w:rsidRPr="00BD1319">
        <w:rPr>
          <w:lang w:val="es-CO"/>
        </w:rPr>
        <w:t>Medidas de adaptación al cambio climático</w:t>
      </w:r>
    </w:p>
    <w:p w14:paraId="74015DA3" w14:textId="77777777" w:rsidR="00AC40E6" w:rsidRPr="00BD1319" w:rsidRDefault="00AC40E6" w:rsidP="00C37566">
      <w:pPr>
        <w:contextualSpacing/>
        <w:rPr>
          <w:rFonts w:eastAsia="Arial" w:cs="Arial"/>
          <w:color w:val="000000" w:themeColor="text1"/>
        </w:rPr>
      </w:pPr>
    </w:p>
    <w:p w14:paraId="2ECBE615" w14:textId="7270FF5C" w:rsidR="00C37566" w:rsidRPr="00BD1319" w:rsidRDefault="00C37566" w:rsidP="00C37566">
      <w:pPr>
        <w:contextualSpacing/>
        <w:rPr>
          <w:rFonts w:eastAsia="Arial" w:cs="Arial"/>
          <w:color w:val="000000" w:themeColor="text1"/>
        </w:rPr>
      </w:pPr>
      <w:r w:rsidRPr="00BD1319">
        <w:rPr>
          <w:rFonts w:eastAsia="Arial" w:cs="Arial"/>
          <w:color w:val="000000" w:themeColor="text1"/>
        </w:rPr>
        <w:t>A partir de los resultados del análisis de vulnerabilidad, del análisis de resiliencia y de la estimación del riesgo por cambio climático, se deben formular medidas de adaptación al cambio climático. Estas medidas se desarrollan a través de acciones y tienen el propósito de aportar elementos o consolidar oportunidades que permitan reducir la vulnerabilidad e incrementar la resiliencia</w:t>
      </w:r>
      <w:r w:rsidRPr="00BD1319">
        <w:rPr>
          <w:rFonts w:eastAsia="Arial" w:cs="Arial"/>
          <w:color w:val="000000" w:themeColor="text1"/>
          <w:vertAlign w:val="superscript"/>
          <w:lang w:val="en-US"/>
        </w:rPr>
        <w:footnoteReference w:id="234"/>
      </w:r>
      <w:r w:rsidRPr="00BD1319">
        <w:rPr>
          <w:rFonts w:eastAsia="Arial" w:cs="Arial"/>
          <w:color w:val="000000" w:themeColor="text1"/>
        </w:rPr>
        <w:t xml:space="preserve"> y capacidad adaptativa del proyecto y de los elementos del ambiente que éste puede impactar (p. ej. ecosistemas estratégicos, comunidades rurales y urbanas) ante potenciales impactos asociados a los cambios del clima.</w:t>
      </w:r>
    </w:p>
    <w:p w14:paraId="10AE1F35" w14:textId="77777777" w:rsidR="00601919" w:rsidRPr="00BD1319" w:rsidRDefault="00601919" w:rsidP="00C37566">
      <w:pPr>
        <w:contextualSpacing/>
        <w:rPr>
          <w:rFonts w:eastAsia="Arial" w:cs="Arial"/>
          <w:color w:val="000000" w:themeColor="text1"/>
        </w:rPr>
      </w:pPr>
    </w:p>
    <w:p w14:paraId="5F4673EA" w14:textId="77777777" w:rsidR="00C37566" w:rsidRPr="00BD1319" w:rsidRDefault="00C37566" w:rsidP="00C37566">
      <w:pPr>
        <w:contextualSpacing/>
        <w:rPr>
          <w:rFonts w:eastAsia="Arial" w:cs="Arial"/>
          <w:color w:val="000000" w:themeColor="text1"/>
        </w:rPr>
      </w:pPr>
      <w:r w:rsidRPr="00BD1319">
        <w:rPr>
          <w:rFonts w:eastAsia="Arial" w:cs="Arial"/>
          <w:color w:val="000000" w:themeColor="text1"/>
        </w:rPr>
        <w:lastRenderedPageBreak/>
        <w:t>La formulación de las medidas y acciones de adaptación debe considerar, además, los resultados del proceso de participación con los grupos de interés del área de influencia con el fin de incorporar su conocimiento y experiencia, así como de evitar la configuración de conflictos socioambientales. La formulación de medidas debe realizarse bajo un enfoque integral que, a partir de las condiciones particulares del proyecto y de su área de influencia, combine coherentemente diferentes acciones, las cuales pueden orientarse a enfoques como el de las soluciones basadas en la naturaleza.</w:t>
      </w:r>
    </w:p>
    <w:p w14:paraId="496A1CDB" w14:textId="77777777" w:rsidR="00DF7709" w:rsidRPr="00BD1319" w:rsidRDefault="00DF7709" w:rsidP="00C37566">
      <w:pPr>
        <w:contextualSpacing/>
        <w:rPr>
          <w:rFonts w:eastAsia="Arial" w:cs="Arial"/>
          <w:color w:val="000000" w:themeColor="text1"/>
        </w:rPr>
      </w:pPr>
    </w:p>
    <w:p w14:paraId="2CD9D25E" w14:textId="23CEA3AE" w:rsidR="00C37566" w:rsidRPr="00BD1319" w:rsidRDefault="00C37566" w:rsidP="00C37566">
      <w:pPr>
        <w:contextualSpacing/>
        <w:rPr>
          <w:rFonts w:eastAsia="Arial" w:cs="Arial"/>
          <w:color w:val="000000" w:themeColor="text1"/>
        </w:rPr>
      </w:pPr>
      <w:r w:rsidRPr="00BD1319">
        <w:rPr>
          <w:rFonts w:eastAsia="Arial" w:cs="Arial"/>
          <w:color w:val="000000" w:themeColor="text1"/>
        </w:rPr>
        <w:t>Las medidas se deben formular también teniendo en cuenta el contexto ecosistémico, empleando, por ejemplo, la información sobre conectividad y fragmentación, así como la modelización biótica señalada más arriba en este numeral de Plan de gestión de cambio climático.</w:t>
      </w:r>
    </w:p>
    <w:p w14:paraId="0F9A2985" w14:textId="77777777" w:rsidR="00DF7709" w:rsidRPr="00BD1319" w:rsidRDefault="00DF7709" w:rsidP="00C37566">
      <w:pPr>
        <w:contextualSpacing/>
        <w:rPr>
          <w:rFonts w:eastAsia="Arial" w:cs="Arial"/>
          <w:color w:val="000000" w:themeColor="text1"/>
        </w:rPr>
      </w:pPr>
    </w:p>
    <w:p w14:paraId="3B682B61" w14:textId="53D0E2D0" w:rsidR="00C37566" w:rsidRPr="00BD1319" w:rsidRDefault="00C37566" w:rsidP="00C37566">
      <w:pPr>
        <w:contextualSpacing/>
        <w:rPr>
          <w:rFonts w:eastAsia="Arial" w:cs="Arial"/>
          <w:color w:val="000000" w:themeColor="text1"/>
        </w:rPr>
      </w:pPr>
      <w:r w:rsidRPr="00BD1319">
        <w:rPr>
          <w:rFonts w:eastAsia="Arial" w:cs="Arial"/>
          <w:color w:val="000000" w:themeColor="text1"/>
        </w:rPr>
        <w:t xml:space="preserve">Con el fin de dar mayor consistencia al Plan de gestión de cambio climático, es necesario que se identifiquen las medidas de adaptación que generen </w:t>
      </w:r>
      <w:proofErr w:type="spellStart"/>
      <w:r w:rsidRPr="00BD1319">
        <w:rPr>
          <w:rFonts w:eastAsia="Arial" w:cs="Arial"/>
          <w:color w:val="000000" w:themeColor="text1"/>
        </w:rPr>
        <w:t>co-beneficios</w:t>
      </w:r>
      <w:proofErr w:type="spellEnd"/>
      <w:r w:rsidRPr="00BD1319">
        <w:rPr>
          <w:rFonts w:eastAsia="Arial" w:cs="Arial"/>
          <w:color w:val="000000" w:themeColor="text1"/>
        </w:rPr>
        <w:t xml:space="preserve"> en mitigación y viceversa, y también, que se señalen las medidas que producen aportes adicionales a iniciativas como las metas de las autoridades ambientales o territoriales, por ejemplo, en sus planes de acción.</w:t>
      </w:r>
    </w:p>
    <w:p w14:paraId="5D8DFB41" w14:textId="77777777" w:rsidR="00DF7709" w:rsidRPr="00BD1319" w:rsidRDefault="00DF7709" w:rsidP="00C37566">
      <w:pPr>
        <w:contextualSpacing/>
        <w:rPr>
          <w:rFonts w:eastAsia="Arial" w:cs="Arial"/>
          <w:color w:val="000000" w:themeColor="text1"/>
          <w:lang w:val="es-ES_tradnl"/>
        </w:rPr>
      </w:pPr>
    </w:p>
    <w:p w14:paraId="2654E9CD" w14:textId="66581E44" w:rsidR="00C37566" w:rsidRPr="00BD1319" w:rsidRDefault="00C37566" w:rsidP="00C37566">
      <w:pPr>
        <w:contextualSpacing/>
        <w:rPr>
          <w:rFonts w:eastAsia="Arial" w:cs="Arial"/>
          <w:color w:val="000000" w:themeColor="text1"/>
          <w:lang w:val="es-ES_tradnl"/>
        </w:rPr>
      </w:pPr>
      <w:r w:rsidRPr="00BD1319">
        <w:rPr>
          <w:rFonts w:eastAsia="Arial" w:cs="Arial"/>
          <w:color w:val="000000" w:themeColor="text1"/>
          <w:lang w:val="es-ES_tradnl"/>
        </w:rPr>
        <w:t>Para la identificación de medidas de adaptación al cambio climático se debe partir de la Evaluación del riesgo climático para el área de influencia, estas medidas deben estar encaminadas a reducir la vulnerabilidad y el riesgo al cambio climático.</w:t>
      </w:r>
    </w:p>
    <w:p w14:paraId="69820C4A" w14:textId="77777777" w:rsidR="00DF7709" w:rsidRPr="00BD1319" w:rsidRDefault="00DF7709" w:rsidP="00C37566">
      <w:pPr>
        <w:contextualSpacing/>
        <w:rPr>
          <w:rFonts w:eastAsia="Arial" w:cs="Arial"/>
          <w:color w:val="000000" w:themeColor="text1"/>
        </w:rPr>
      </w:pPr>
    </w:p>
    <w:p w14:paraId="229A34D7" w14:textId="342423E6" w:rsidR="00C37566" w:rsidRPr="00BD1319" w:rsidRDefault="00C37566" w:rsidP="00C37566">
      <w:pPr>
        <w:contextualSpacing/>
        <w:rPr>
          <w:rFonts w:eastAsia="Arial" w:cs="Arial"/>
          <w:color w:val="000000" w:themeColor="text1"/>
        </w:rPr>
      </w:pPr>
      <w:r w:rsidRPr="00BD1319">
        <w:rPr>
          <w:rFonts w:eastAsia="Arial" w:cs="Arial"/>
          <w:color w:val="000000" w:themeColor="text1"/>
        </w:rPr>
        <w:t>Para la presentación de cada una de las medidas de adaptación al cambio climático se debe definir</w:t>
      </w:r>
      <w:r w:rsidRPr="00BD1319">
        <w:rPr>
          <w:rFonts w:eastAsia="Arial" w:cs="Arial"/>
          <w:color w:val="000000" w:themeColor="text1"/>
          <w:vertAlign w:val="superscript"/>
          <w:lang w:val="en-US"/>
        </w:rPr>
        <w:footnoteReference w:id="235"/>
      </w:r>
      <w:r w:rsidRPr="00BD1319">
        <w:rPr>
          <w:rFonts w:eastAsia="Arial" w:cs="Arial"/>
          <w:color w:val="000000" w:themeColor="text1"/>
        </w:rPr>
        <w:t>:</w:t>
      </w:r>
    </w:p>
    <w:p w14:paraId="293B8AFE" w14:textId="77777777" w:rsidR="00DF7709" w:rsidRPr="00BD1319" w:rsidRDefault="00DF7709" w:rsidP="00C37566">
      <w:pPr>
        <w:contextualSpacing/>
        <w:rPr>
          <w:rFonts w:eastAsia="Arial" w:cs="Arial"/>
          <w:color w:val="000000" w:themeColor="text1"/>
          <w:lang w:val="es-ES_tradnl"/>
        </w:rPr>
      </w:pPr>
    </w:p>
    <w:p w14:paraId="10E9EE01" w14:textId="77777777" w:rsidR="00C37566" w:rsidRPr="00BD1319" w:rsidRDefault="00C37566" w:rsidP="00D82373">
      <w:pPr>
        <w:pStyle w:val="Prrafodelista"/>
        <w:numPr>
          <w:ilvl w:val="0"/>
          <w:numId w:val="51"/>
        </w:numPr>
        <w:ind w:left="567" w:hanging="567"/>
        <w:contextualSpacing/>
        <w:rPr>
          <w:rFonts w:eastAsia="Arial" w:cs="Arial"/>
          <w:color w:val="000000" w:themeColor="text1"/>
          <w:lang w:val="es-CO"/>
        </w:rPr>
      </w:pPr>
      <w:r w:rsidRPr="00BD1319">
        <w:rPr>
          <w:rFonts w:eastAsia="Arial" w:cs="Arial"/>
          <w:color w:val="000000" w:themeColor="text1"/>
          <w:lang w:val="es-CO"/>
        </w:rPr>
        <w:t>Nombre.</w:t>
      </w:r>
    </w:p>
    <w:p w14:paraId="53BBE861" w14:textId="77777777" w:rsidR="00D82373" w:rsidRPr="00BD1319" w:rsidRDefault="00D82373" w:rsidP="000D6E21">
      <w:pPr>
        <w:contextualSpacing/>
        <w:rPr>
          <w:rFonts w:eastAsia="Arial" w:cs="Arial"/>
          <w:color w:val="000000" w:themeColor="text1"/>
        </w:rPr>
      </w:pPr>
    </w:p>
    <w:p w14:paraId="795C644B" w14:textId="77777777" w:rsidR="00C37566" w:rsidRPr="00BD1319" w:rsidRDefault="00C37566" w:rsidP="000D6E21">
      <w:pPr>
        <w:pStyle w:val="Prrafodelista"/>
        <w:numPr>
          <w:ilvl w:val="0"/>
          <w:numId w:val="51"/>
        </w:numPr>
        <w:ind w:left="567" w:hanging="567"/>
        <w:contextualSpacing/>
        <w:rPr>
          <w:rFonts w:eastAsia="Arial" w:cs="Arial"/>
          <w:color w:val="000000" w:themeColor="text1"/>
        </w:rPr>
      </w:pPr>
      <w:r w:rsidRPr="00BD1319">
        <w:rPr>
          <w:rFonts w:eastAsia="Arial" w:cs="Arial"/>
          <w:color w:val="000000" w:themeColor="text1"/>
          <w:lang w:val="es-CO"/>
        </w:rPr>
        <w:t xml:space="preserve">Objetivo </w:t>
      </w:r>
    </w:p>
    <w:p w14:paraId="477B7E25" w14:textId="77777777" w:rsidR="00D82373" w:rsidRPr="00BD1319" w:rsidRDefault="00D82373" w:rsidP="000D6E21">
      <w:pPr>
        <w:contextualSpacing/>
        <w:rPr>
          <w:rFonts w:eastAsia="Arial" w:cs="Arial"/>
          <w:color w:val="000000" w:themeColor="text1"/>
        </w:rPr>
      </w:pPr>
    </w:p>
    <w:p w14:paraId="68807978" w14:textId="540E6668" w:rsidR="00C37566" w:rsidRPr="00BD1319" w:rsidRDefault="00C37566" w:rsidP="000D6E21">
      <w:pPr>
        <w:pStyle w:val="Prrafodelista"/>
        <w:numPr>
          <w:ilvl w:val="0"/>
          <w:numId w:val="51"/>
        </w:numPr>
        <w:ind w:left="567" w:hanging="567"/>
        <w:contextualSpacing/>
        <w:rPr>
          <w:rFonts w:eastAsia="Arial" w:cs="Arial"/>
          <w:color w:val="000000" w:themeColor="text1"/>
        </w:rPr>
      </w:pPr>
      <w:r w:rsidRPr="00BD1319">
        <w:rPr>
          <w:rFonts w:eastAsia="Arial" w:cs="Arial"/>
          <w:color w:val="000000" w:themeColor="text1"/>
          <w:lang w:val="es-CO"/>
        </w:rPr>
        <w:t>Hipótesis de adaptación.</w:t>
      </w:r>
    </w:p>
    <w:p w14:paraId="0D456101" w14:textId="77777777" w:rsidR="00D82373" w:rsidRPr="00BD1319" w:rsidRDefault="00D82373" w:rsidP="000D6E21">
      <w:pPr>
        <w:contextualSpacing/>
        <w:rPr>
          <w:rFonts w:eastAsia="Arial" w:cs="Arial"/>
          <w:color w:val="000000" w:themeColor="text1"/>
        </w:rPr>
      </w:pPr>
    </w:p>
    <w:p w14:paraId="23C0E3E9" w14:textId="4EA78FD3" w:rsidR="00C37566" w:rsidRPr="00BD1319" w:rsidRDefault="00C37566" w:rsidP="000D6E21">
      <w:pPr>
        <w:pStyle w:val="Prrafodelista"/>
        <w:numPr>
          <w:ilvl w:val="0"/>
          <w:numId w:val="51"/>
        </w:numPr>
        <w:ind w:left="567" w:hanging="567"/>
        <w:contextualSpacing/>
        <w:rPr>
          <w:rFonts w:eastAsia="Arial" w:cs="Arial"/>
          <w:color w:val="000000" w:themeColor="text1"/>
        </w:rPr>
      </w:pPr>
      <w:r w:rsidRPr="00BD1319">
        <w:rPr>
          <w:rFonts w:eastAsia="Arial" w:cs="Arial"/>
          <w:color w:val="000000" w:themeColor="text1"/>
          <w:lang w:val="es-CO"/>
        </w:rPr>
        <w:t>Meta relacionada con cada objetivo. Las metas deben especificar qué resultados finales y parciales se espera obtener mediante la aplicación de la medida.</w:t>
      </w:r>
    </w:p>
    <w:p w14:paraId="5FF3F14F" w14:textId="77777777" w:rsidR="00D82373" w:rsidRPr="00BD1319" w:rsidRDefault="00D82373" w:rsidP="000D6E21">
      <w:pPr>
        <w:contextualSpacing/>
        <w:rPr>
          <w:rFonts w:eastAsia="Arial" w:cs="Arial"/>
          <w:color w:val="000000" w:themeColor="text1"/>
        </w:rPr>
      </w:pPr>
    </w:p>
    <w:p w14:paraId="39F42A07" w14:textId="34E8BEFE" w:rsidR="00C37566" w:rsidRPr="00BD1319" w:rsidRDefault="00C37566" w:rsidP="000D6E21">
      <w:pPr>
        <w:pStyle w:val="Prrafodelista"/>
        <w:numPr>
          <w:ilvl w:val="0"/>
          <w:numId w:val="51"/>
        </w:numPr>
        <w:ind w:left="567" w:hanging="567"/>
        <w:contextualSpacing/>
        <w:rPr>
          <w:rFonts w:eastAsia="Arial" w:cs="Arial"/>
          <w:color w:val="000000" w:themeColor="text1"/>
        </w:rPr>
      </w:pPr>
      <w:r w:rsidRPr="00BD1319">
        <w:rPr>
          <w:rFonts w:eastAsia="Arial" w:cs="Arial"/>
          <w:color w:val="000000" w:themeColor="text1"/>
          <w:lang w:val="es-CO"/>
        </w:rPr>
        <w:t>Descripción de la medida y sus acciones (breve descripción de las actividades mediante las que se desarrolla la medida y sus acciones).</w:t>
      </w:r>
    </w:p>
    <w:p w14:paraId="00DC3351" w14:textId="77777777" w:rsidR="00D82373" w:rsidRPr="00BD1319" w:rsidRDefault="00D82373" w:rsidP="000D6E21">
      <w:pPr>
        <w:contextualSpacing/>
        <w:rPr>
          <w:rFonts w:eastAsia="Arial" w:cs="Arial"/>
          <w:color w:val="000000" w:themeColor="text1"/>
        </w:rPr>
      </w:pPr>
    </w:p>
    <w:p w14:paraId="66FD13D9" w14:textId="70EAF594" w:rsidR="00C37566" w:rsidRPr="00BD1319" w:rsidRDefault="00C37566" w:rsidP="000D6E21">
      <w:pPr>
        <w:pStyle w:val="Prrafodelista"/>
        <w:numPr>
          <w:ilvl w:val="0"/>
          <w:numId w:val="51"/>
        </w:numPr>
        <w:ind w:left="567" w:hanging="567"/>
        <w:contextualSpacing/>
        <w:rPr>
          <w:rFonts w:eastAsia="Arial" w:cs="Arial"/>
          <w:color w:val="000000" w:themeColor="text1"/>
        </w:rPr>
      </w:pPr>
      <w:r w:rsidRPr="00BD1319">
        <w:rPr>
          <w:rFonts w:eastAsia="Arial" w:cs="Arial"/>
          <w:color w:val="000000" w:themeColor="text1"/>
          <w:lang w:val="es-CO"/>
        </w:rPr>
        <w:t>Limitantes de implementación de la medida.</w:t>
      </w:r>
    </w:p>
    <w:p w14:paraId="74C84DC2" w14:textId="77777777" w:rsidR="00D82373" w:rsidRPr="00BD1319" w:rsidRDefault="00D82373" w:rsidP="000D6E21">
      <w:pPr>
        <w:contextualSpacing/>
        <w:rPr>
          <w:rFonts w:eastAsia="Arial" w:cs="Arial"/>
          <w:color w:val="000000" w:themeColor="text1"/>
        </w:rPr>
      </w:pPr>
    </w:p>
    <w:p w14:paraId="15EF6CB6" w14:textId="65A48D29" w:rsidR="00C37566" w:rsidRPr="00BD1319" w:rsidRDefault="00C37566" w:rsidP="000D6E21">
      <w:pPr>
        <w:pStyle w:val="Prrafodelista"/>
        <w:numPr>
          <w:ilvl w:val="0"/>
          <w:numId w:val="51"/>
        </w:numPr>
        <w:ind w:left="567" w:hanging="567"/>
        <w:contextualSpacing/>
        <w:rPr>
          <w:rFonts w:eastAsia="Arial" w:cs="Arial"/>
          <w:color w:val="000000" w:themeColor="text1"/>
        </w:rPr>
      </w:pPr>
      <w:r w:rsidRPr="00BD1319">
        <w:rPr>
          <w:rFonts w:eastAsia="Arial" w:cs="Arial"/>
          <w:color w:val="000000" w:themeColor="text1"/>
          <w:lang w:val="es-CO"/>
        </w:rPr>
        <w:lastRenderedPageBreak/>
        <w:t>Lugares de implementación.</w:t>
      </w:r>
    </w:p>
    <w:p w14:paraId="0A2EFBCA" w14:textId="77777777" w:rsidR="00D82373" w:rsidRPr="00BD1319" w:rsidRDefault="00D82373" w:rsidP="000D6E21">
      <w:pPr>
        <w:contextualSpacing/>
        <w:rPr>
          <w:rFonts w:eastAsia="Arial" w:cs="Arial"/>
          <w:color w:val="000000" w:themeColor="text1"/>
        </w:rPr>
      </w:pPr>
    </w:p>
    <w:p w14:paraId="1D2A45C8" w14:textId="6EC156E2" w:rsidR="00C37566" w:rsidRPr="00BD1319" w:rsidRDefault="00C37566" w:rsidP="000D6E21">
      <w:pPr>
        <w:pStyle w:val="Prrafodelista"/>
        <w:numPr>
          <w:ilvl w:val="0"/>
          <w:numId w:val="51"/>
        </w:numPr>
        <w:ind w:left="567" w:hanging="567"/>
        <w:contextualSpacing/>
        <w:rPr>
          <w:rFonts w:eastAsia="Arial" w:cs="Arial"/>
          <w:color w:val="000000" w:themeColor="text1"/>
        </w:rPr>
      </w:pPr>
      <w:r w:rsidRPr="00BD1319">
        <w:rPr>
          <w:rFonts w:eastAsia="Arial" w:cs="Arial"/>
          <w:color w:val="000000" w:themeColor="text1"/>
          <w:lang w:val="es-CO"/>
        </w:rPr>
        <w:t>Beneficios de implementación.</w:t>
      </w:r>
    </w:p>
    <w:p w14:paraId="02188A53" w14:textId="77777777" w:rsidR="00D82373" w:rsidRPr="00BD1319" w:rsidRDefault="00D82373" w:rsidP="000D6E21">
      <w:pPr>
        <w:contextualSpacing/>
        <w:rPr>
          <w:rFonts w:eastAsia="Arial" w:cs="Arial"/>
          <w:color w:val="000000" w:themeColor="text1"/>
        </w:rPr>
      </w:pPr>
    </w:p>
    <w:p w14:paraId="79C3BDF4" w14:textId="7BD693AB" w:rsidR="00C37566" w:rsidRPr="00BD1319" w:rsidRDefault="00C37566" w:rsidP="000D6E21">
      <w:pPr>
        <w:pStyle w:val="Prrafodelista"/>
        <w:numPr>
          <w:ilvl w:val="0"/>
          <w:numId w:val="51"/>
        </w:numPr>
        <w:ind w:left="567" w:hanging="567"/>
        <w:contextualSpacing/>
        <w:rPr>
          <w:rFonts w:eastAsia="Arial" w:cs="Arial"/>
          <w:color w:val="000000" w:themeColor="text1"/>
        </w:rPr>
      </w:pPr>
      <w:r w:rsidRPr="00BD1319">
        <w:rPr>
          <w:rFonts w:eastAsia="Arial" w:cs="Arial"/>
          <w:color w:val="000000" w:themeColor="text1"/>
          <w:lang w:val="es-CO"/>
        </w:rPr>
        <w:t>Tipo o enfoque de la medida de adaptación (</w:t>
      </w:r>
      <w:r w:rsidR="00851E79" w:rsidRPr="00BD1319">
        <w:rPr>
          <w:rFonts w:eastAsia="Arial" w:cs="Arial"/>
          <w:color w:val="000000" w:themeColor="text1"/>
          <w:lang w:val="es-CO"/>
        </w:rPr>
        <w:t xml:space="preserve">Adaptación basada </w:t>
      </w:r>
      <w:r w:rsidRPr="00BD1319">
        <w:rPr>
          <w:rFonts w:eastAsia="Arial" w:cs="Arial"/>
          <w:color w:val="000000" w:themeColor="text1"/>
          <w:lang w:val="es-CO"/>
        </w:rPr>
        <w:t xml:space="preserve">en </w:t>
      </w:r>
      <w:r w:rsidR="00851E79" w:rsidRPr="00BD1319">
        <w:rPr>
          <w:rFonts w:eastAsia="Arial" w:cs="Arial"/>
          <w:color w:val="000000" w:themeColor="text1"/>
          <w:lang w:val="es-CO"/>
        </w:rPr>
        <w:t>E</w:t>
      </w:r>
      <w:r w:rsidRPr="00BD1319">
        <w:rPr>
          <w:rFonts w:eastAsia="Arial" w:cs="Arial"/>
          <w:color w:val="000000" w:themeColor="text1"/>
          <w:lang w:val="es-CO"/>
        </w:rPr>
        <w:t>cosistemas -</w:t>
      </w:r>
      <w:proofErr w:type="spellStart"/>
      <w:r w:rsidRPr="00BD1319">
        <w:rPr>
          <w:rFonts w:eastAsia="Arial" w:cs="Arial"/>
          <w:color w:val="000000" w:themeColor="text1"/>
          <w:lang w:val="es-CO"/>
        </w:rPr>
        <w:t>AbE</w:t>
      </w:r>
      <w:proofErr w:type="spellEnd"/>
      <w:r w:rsidRPr="00BD1319">
        <w:rPr>
          <w:rFonts w:eastAsia="Arial" w:cs="Arial"/>
          <w:color w:val="000000" w:themeColor="text1"/>
          <w:lang w:val="es-CO"/>
        </w:rPr>
        <w:t xml:space="preserve">, en </w:t>
      </w:r>
      <w:r w:rsidR="00851E79" w:rsidRPr="00BD1319">
        <w:rPr>
          <w:rFonts w:eastAsia="Arial" w:cs="Arial"/>
          <w:color w:val="000000" w:themeColor="text1"/>
          <w:lang w:val="es-CO"/>
        </w:rPr>
        <w:t>C</w:t>
      </w:r>
      <w:r w:rsidRPr="00BD1319">
        <w:rPr>
          <w:rFonts w:eastAsia="Arial" w:cs="Arial"/>
          <w:color w:val="000000" w:themeColor="text1"/>
          <w:lang w:val="es-CO"/>
        </w:rPr>
        <w:t>omunidades -</w:t>
      </w:r>
      <w:proofErr w:type="spellStart"/>
      <w:r w:rsidRPr="00BD1319">
        <w:rPr>
          <w:rFonts w:eastAsia="Arial" w:cs="Arial"/>
          <w:color w:val="000000" w:themeColor="text1"/>
          <w:lang w:val="es-CO"/>
        </w:rPr>
        <w:t>AbC</w:t>
      </w:r>
      <w:proofErr w:type="spellEnd"/>
      <w:r w:rsidRPr="00BD1319">
        <w:rPr>
          <w:rFonts w:eastAsia="Arial" w:cs="Arial"/>
          <w:color w:val="000000" w:themeColor="text1"/>
          <w:lang w:val="es-CO"/>
        </w:rPr>
        <w:t xml:space="preserve">, en </w:t>
      </w:r>
      <w:r w:rsidR="00851E79" w:rsidRPr="00BD1319">
        <w:rPr>
          <w:rFonts w:eastAsia="Arial" w:cs="Arial"/>
          <w:color w:val="000000" w:themeColor="text1"/>
          <w:lang w:val="es-CO"/>
        </w:rPr>
        <w:t>I</w:t>
      </w:r>
      <w:r w:rsidRPr="00BD1319">
        <w:rPr>
          <w:rFonts w:eastAsia="Arial" w:cs="Arial"/>
          <w:color w:val="000000" w:themeColor="text1"/>
          <w:lang w:val="es-CO"/>
        </w:rPr>
        <w:t>nfraestructura -</w:t>
      </w:r>
      <w:proofErr w:type="spellStart"/>
      <w:r w:rsidRPr="00BD1319">
        <w:rPr>
          <w:rFonts w:eastAsia="Arial" w:cs="Arial"/>
          <w:color w:val="000000" w:themeColor="text1"/>
          <w:lang w:val="es-CO"/>
        </w:rPr>
        <w:t>AbI</w:t>
      </w:r>
      <w:proofErr w:type="spellEnd"/>
      <w:r w:rsidRPr="00BD1319">
        <w:rPr>
          <w:rFonts w:eastAsia="Arial" w:cs="Arial"/>
          <w:color w:val="000000" w:themeColor="text1"/>
          <w:lang w:val="es-CO"/>
        </w:rPr>
        <w:t>, entre otras).</w:t>
      </w:r>
    </w:p>
    <w:p w14:paraId="62DB849C" w14:textId="77777777" w:rsidR="00D82373" w:rsidRPr="00BD1319" w:rsidRDefault="00D82373" w:rsidP="000D6E21">
      <w:pPr>
        <w:contextualSpacing/>
        <w:rPr>
          <w:rFonts w:eastAsia="Arial" w:cs="Arial"/>
          <w:color w:val="000000" w:themeColor="text1"/>
        </w:rPr>
      </w:pPr>
    </w:p>
    <w:p w14:paraId="655B3199" w14:textId="40C1B8CE" w:rsidR="00C37566" w:rsidRPr="00BD1319" w:rsidRDefault="00C37566" w:rsidP="000D6E21">
      <w:pPr>
        <w:pStyle w:val="Prrafodelista"/>
        <w:numPr>
          <w:ilvl w:val="0"/>
          <w:numId w:val="51"/>
        </w:numPr>
        <w:ind w:left="567" w:hanging="567"/>
        <w:contextualSpacing/>
        <w:rPr>
          <w:rFonts w:eastAsia="Arial" w:cs="Arial"/>
          <w:color w:val="000000" w:themeColor="text1"/>
        </w:rPr>
      </w:pPr>
      <w:r w:rsidRPr="00BD1319">
        <w:rPr>
          <w:rFonts w:eastAsia="Arial" w:cs="Arial"/>
          <w:color w:val="000000" w:themeColor="text1"/>
          <w:lang w:val="es-CO"/>
        </w:rPr>
        <w:t>Dimensión de la última comunicación en adaptación de país disponible a la cual se asocia. Para la Tercera Comunicación Nacional de Cambio Climático – TCNCC son: Seguridad alimentaria, Recurso hídrico, Biodiversidad, Salud, Hábitat humano, Infraestructura.</w:t>
      </w:r>
    </w:p>
    <w:p w14:paraId="640F9E5A" w14:textId="77777777" w:rsidR="00D82373" w:rsidRPr="00BD1319" w:rsidRDefault="00D82373" w:rsidP="000D6E21">
      <w:pPr>
        <w:contextualSpacing/>
        <w:rPr>
          <w:rFonts w:eastAsia="Arial" w:cs="Arial"/>
          <w:color w:val="000000" w:themeColor="text1"/>
        </w:rPr>
      </w:pPr>
    </w:p>
    <w:p w14:paraId="768AB370" w14:textId="284E6F46" w:rsidR="00C37566" w:rsidRPr="00BD1319" w:rsidRDefault="00C37566" w:rsidP="000D6E21">
      <w:pPr>
        <w:pStyle w:val="Prrafodelista"/>
        <w:numPr>
          <w:ilvl w:val="0"/>
          <w:numId w:val="51"/>
        </w:numPr>
        <w:ind w:left="567" w:hanging="567"/>
        <w:contextualSpacing/>
        <w:rPr>
          <w:rFonts w:eastAsia="Arial" w:cs="Arial"/>
          <w:color w:val="000000" w:themeColor="text1"/>
        </w:rPr>
      </w:pPr>
      <w:r w:rsidRPr="00BD1319">
        <w:rPr>
          <w:rFonts w:eastAsia="Arial" w:cs="Arial"/>
          <w:color w:val="000000" w:themeColor="text1"/>
          <w:lang w:val="es-CO"/>
        </w:rPr>
        <w:t>Fases del proyecto, obra o actividad en las que se prevé su implementación.</w:t>
      </w:r>
    </w:p>
    <w:p w14:paraId="3F03177D" w14:textId="77777777" w:rsidR="00184379" w:rsidRPr="00BD1319" w:rsidRDefault="00184379" w:rsidP="000D6E21">
      <w:pPr>
        <w:contextualSpacing/>
        <w:rPr>
          <w:rFonts w:eastAsia="Arial" w:cs="Arial"/>
          <w:color w:val="000000" w:themeColor="text1"/>
        </w:rPr>
      </w:pPr>
    </w:p>
    <w:p w14:paraId="4212CF5E" w14:textId="7BE2988B" w:rsidR="00C37566" w:rsidRPr="00BD1319" w:rsidRDefault="00C37566" w:rsidP="000D6E21">
      <w:pPr>
        <w:pStyle w:val="Prrafodelista"/>
        <w:numPr>
          <w:ilvl w:val="0"/>
          <w:numId w:val="51"/>
        </w:numPr>
        <w:ind w:left="567" w:hanging="567"/>
        <w:contextualSpacing/>
        <w:rPr>
          <w:rFonts w:eastAsia="Arial" w:cs="Arial"/>
          <w:color w:val="000000" w:themeColor="text1"/>
        </w:rPr>
      </w:pPr>
      <w:r w:rsidRPr="00BD1319">
        <w:rPr>
          <w:rFonts w:eastAsia="Arial" w:cs="Arial"/>
          <w:color w:val="000000" w:themeColor="text1"/>
          <w:lang w:val="es-CO"/>
        </w:rPr>
        <w:t>Amenaza o riesgo climático que atiende, por ejemplo, cambio en patrones de lluvia, extremos de calor, cambios bruscos de temperatura, granizo, vientos fuertes, lluvias intensas, heladas, barreras o riesgo de mercado, uso insostenible de recursos locales. pérdida de conocimientos o activos, indeterminado.</w:t>
      </w:r>
    </w:p>
    <w:p w14:paraId="43949646" w14:textId="77777777" w:rsidR="00184379" w:rsidRPr="00BD1319" w:rsidRDefault="00184379" w:rsidP="000D6E21">
      <w:pPr>
        <w:contextualSpacing/>
        <w:rPr>
          <w:rFonts w:eastAsia="Arial" w:cs="Arial"/>
          <w:color w:val="000000" w:themeColor="text1"/>
        </w:rPr>
      </w:pPr>
    </w:p>
    <w:p w14:paraId="66AA1067" w14:textId="5FC92B72" w:rsidR="00C37566" w:rsidRPr="00BD1319" w:rsidRDefault="00C37566" w:rsidP="000D6E21">
      <w:pPr>
        <w:pStyle w:val="Prrafodelista"/>
        <w:numPr>
          <w:ilvl w:val="0"/>
          <w:numId w:val="51"/>
        </w:numPr>
        <w:ind w:left="567" w:hanging="567"/>
        <w:contextualSpacing/>
        <w:rPr>
          <w:rFonts w:eastAsia="Arial" w:cs="Arial"/>
          <w:color w:val="000000" w:themeColor="text1"/>
        </w:rPr>
      </w:pPr>
      <w:r w:rsidRPr="00BD1319">
        <w:rPr>
          <w:rFonts w:eastAsia="Arial" w:cs="Arial"/>
          <w:color w:val="000000" w:themeColor="text1"/>
          <w:lang w:val="es-CO"/>
        </w:rPr>
        <w:t>Efecto o impacto atendido, por ejemplo, sequías, pérdida de productividad, pérdida de cosechas, erosión, deslizamiento, inundaciones, pérdida de ecosistemas, incendios forestales, disminución de disponibilidad de agua, reducción de seguridad alimentaria, exposición a enfermedades, dependencia económica, degradación de medios de vida o emisiones de GEI.</w:t>
      </w:r>
    </w:p>
    <w:p w14:paraId="063088CA" w14:textId="77777777" w:rsidR="00184379" w:rsidRPr="00BD1319" w:rsidRDefault="00184379" w:rsidP="000D6E21">
      <w:pPr>
        <w:contextualSpacing/>
        <w:rPr>
          <w:rFonts w:eastAsia="Arial" w:cs="Arial"/>
          <w:color w:val="000000" w:themeColor="text1"/>
        </w:rPr>
      </w:pPr>
    </w:p>
    <w:p w14:paraId="254435A8" w14:textId="4D851983" w:rsidR="00C37566" w:rsidRPr="00BD1319" w:rsidRDefault="00C37566" w:rsidP="000D6E21">
      <w:pPr>
        <w:pStyle w:val="Prrafodelista"/>
        <w:numPr>
          <w:ilvl w:val="0"/>
          <w:numId w:val="51"/>
        </w:numPr>
        <w:ind w:left="567" w:hanging="567"/>
        <w:contextualSpacing/>
        <w:rPr>
          <w:rFonts w:eastAsia="Arial" w:cs="Arial"/>
          <w:color w:val="000000" w:themeColor="text1"/>
        </w:rPr>
      </w:pPr>
      <w:r w:rsidRPr="00BD1319">
        <w:rPr>
          <w:rFonts w:eastAsia="Arial" w:cs="Arial"/>
          <w:color w:val="000000" w:themeColor="text1"/>
          <w:lang w:val="es-CO"/>
        </w:rPr>
        <w:t>Cronograma de implementación, señalando fechas de inicio y finalización.</w:t>
      </w:r>
    </w:p>
    <w:p w14:paraId="3549BAE9" w14:textId="77777777" w:rsidR="00184379" w:rsidRPr="00BD1319" w:rsidRDefault="00184379" w:rsidP="000D6E21">
      <w:pPr>
        <w:contextualSpacing/>
        <w:rPr>
          <w:rFonts w:eastAsia="Arial" w:cs="Arial"/>
          <w:color w:val="000000" w:themeColor="text1"/>
        </w:rPr>
      </w:pPr>
    </w:p>
    <w:p w14:paraId="44CB39A2" w14:textId="465B3D41" w:rsidR="00C37566" w:rsidRPr="00BD1319" w:rsidRDefault="00C37566" w:rsidP="000D6E21">
      <w:pPr>
        <w:pStyle w:val="Prrafodelista"/>
        <w:numPr>
          <w:ilvl w:val="0"/>
          <w:numId w:val="51"/>
        </w:numPr>
        <w:ind w:left="567" w:hanging="567"/>
        <w:contextualSpacing/>
        <w:rPr>
          <w:rFonts w:eastAsia="Arial" w:cs="Arial"/>
          <w:color w:val="000000" w:themeColor="text1"/>
        </w:rPr>
      </w:pPr>
      <w:r w:rsidRPr="00BD1319">
        <w:rPr>
          <w:rFonts w:eastAsia="Arial" w:cs="Arial"/>
          <w:color w:val="000000" w:themeColor="text1"/>
          <w:lang w:val="es-CO"/>
        </w:rPr>
        <w:t>Estructura de costos promedio, detallando los principales rubros (humanos, técnicos y tecnológicos, maquinaria y equipos, materiales, entre otros). Esto facilita el análisis de la relación costo beneficio.</w:t>
      </w:r>
    </w:p>
    <w:p w14:paraId="2F0877BF" w14:textId="77777777" w:rsidR="00184379" w:rsidRPr="00BD1319" w:rsidRDefault="00184379" w:rsidP="000D6E21">
      <w:pPr>
        <w:contextualSpacing/>
        <w:rPr>
          <w:rFonts w:eastAsia="Arial" w:cs="Arial"/>
          <w:color w:val="000000" w:themeColor="text1"/>
        </w:rPr>
      </w:pPr>
    </w:p>
    <w:p w14:paraId="438A4A94" w14:textId="77777777" w:rsidR="00B4081A" w:rsidRPr="00BD1319" w:rsidRDefault="00B4081A" w:rsidP="00B4081A">
      <w:pPr>
        <w:pStyle w:val="Prrafodelista"/>
        <w:numPr>
          <w:ilvl w:val="0"/>
          <w:numId w:val="51"/>
        </w:numPr>
        <w:ind w:left="567" w:hanging="567"/>
        <w:contextualSpacing/>
        <w:rPr>
          <w:rFonts w:eastAsia="Arial" w:cs="Arial"/>
          <w:color w:val="000000" w:themeColor="text1"/>
          <w:lang w:val="es-CO"/>
        </w:rPr>
      </w:pPr>
      <w:r w:rsidRPr="00BD1319">
        <w:rPr>
          <w:rFonts w:eastAsia="Arial" w:cs="Arial"/>
          <w:color w:val="000000" w:themeColor="text1"/>
          <w:lang w:val="es-CO"/>
        </w:rPr>
        <w:t>Indicador de avance y eficacia de implementación</w:t>
      </w:r>
      <w:r w:rsidRPr="00BD1319">
        <w:rPr>
          <w:rFonts w:eastAsia="Arial" w:cs="Arial"/>
          <w:color w:val="000000" w:themeColor="text1"/>
          <w:vertAlign w:val="superscript"/>
          <w:lang w:val="en-US"/>
        </w:rPr>
        <w:footnoteReference w:id="236"/>
      </w:r>
      <w:r w:rsidRPr="00BD1319">
        <w:rPr>
          <w:rFonts w:eastAsia="Arial" w:cs="Arial"/>
          <w:color w:val="000000" w:themeColor="text1"/>
          <w:lang w:val="es-CO"/>
        </w:rPr>
        <w:t>.</w:t>
      </w:r>
    </w:p>
    <w:p w14:paraId="4EF997BA" w14:textId="5B63CABA" w:rsidR="00A20F0D" w:rsidRPr="00BD1319" w:rsidRDefault="00A20F0D" w:rsidP="00105B95">
      <w:pPr>
        <w:rPr>
          <w:spacing w:val="-3"/>
        </w:rPr>
      </w:pPr>
      <w:r w:rsidRPr="00BD1319">
        <w:rPr>
          <w:spacing w:val="-3"/>
        </w:rPr>
        <w:br w:type="page"/>
      </w:r>
    </w:p>
    <w:p w14:paraId="4D3D233F" w14:textId="3AA43512" w:rsidR="00EB3085" w:rsidRPr="00BD1319" w:rsidRDefault="00EB3085" w:rsidP="001831AE">
      <w:pPr>
        <w:pStyle w:val="Captulosinnumero"/>
        <w:rPr>
          <w:lang w:val="es-MX"/>
        </w:rPr>
      </w:pPr>
      <w:bookmarkStart w:id="11376" w:name="_Toc488245066"/>
      <w:bookmarkStart w:id="11377" w:name="_Toc488248186"/>
      <w:bookmarkStart w:id="11378" w:name="_Toc488248830"/>
      <w:bookmarkStart w:id="11379" w:name="_Toc488249446"/>
      <w:bookmarkStart w:id="11380" w:name="_Toc488250062"/>
      <w:bookmarkStart w:id="11381" w:name="_Toc488245071"/>
      <w:bookmarkStart w:id="11382" w:name="_Toc488248191"/>
      <w:bookmarkStart w:id="11383" w:name="_Toc488248835"/>
      <w:bookmarkStart w:id="11384" w:name="_Toc488249451"/>
      <w:bookmarkStart w:id="11385" w:name="_Toc488250067"/>
      <w:bookmarkStart w:id="11386" w:name="_Toc437936092"/>
      <w:bookmarkStart w:id="11387" w:name="_Toc175326833"/>
      <w:bookmarkEnd w:id="11376"/>
      <w:bookmarkEnd w:id="11377"/>
      <w:bookmarkEnd w:id="11378"/>
      <w:bookmarkEnd w:id="11379"/>
      <w:bookmarkEnd w:id="11380"/>
      <w:bookmarkEnd w:id="11381"/>
      <w:bookmarkEnd w:id="11382"/>
      <w:bookmarkEnd w:id="11383"/>
      <w:bookmarkEnd w:id="11384"/>
      <w:bookmarkEnd w:id="11385"/>
      <w:r w:rsidRPr="00BD1319">
        <w:rPr>
          <w:lang w:val="es-MX"/>
        </w:rPr>
        <w:lastRenderedPageBreak/>
        <w:t>BIBLIOGRAFÍA</w:t>
      </w:r>
      <w:bookmarkEnd w:id="11386"/>
      <w:bookmarkEnd w:id="11387"/>
    </w:p>
    <w:p w14:paraId="02D4D047" w14:textId="77777777" w:rsidR="00A23EB9" w:rsidRPr="00BD1319" w:rsidRDefault="00A23EB9" w:rsidP="00C86DA5">
      <w:pPr>
        <w:overflowPunct/>
        <w:autoSpaceDE/>
        <w:autoSpaceDN/>
        <w:adjustRightInd/>
        <w:jc w:val="left"/>
        <w:textAlignment w:val="auto"/>
        <w:rPr>
          <w:spacing w:val="-3"/>
          <w:lang w:val="es-MX"/>
        </w:rPr>
      </w:pPr>
      <w:bookmarkStart w:id="11388" w:name="_Toc342071423"/>
      <w:bookmarkStart w:id="11389" w:name="_Toc378923336"/>
      <w:bookmarkStart w:id="11390" w:name="_Toc387312794"/>
      <w:bookmarkStart w:id="11391" w:name="_Toc391040020"/>
      <w:bookmarkStart w:id="11392" w:name="_Toc432071675"/>
      <w:bookmarkStart w:id="11393" w:name="_Toc444507694"/>
    </w:p>
    <w:p w14:paraId="52B8D167" w14:textId="31A5D893" w:rsidR="004D1428" w:rsidRPr="00BD1319" w:rsidRDefault="004D1428">
      <w:pPr>
        <w:tabs>
          <w:tab w:val="left" w:pos="-2268"/>
        </w:tabs>
        <w:suppressAutoHyphens/>
        <w:rPr>
          <w:spacing w:val="-3"/>
          <w:lang w:val="en-US"/>
        </w:rPr>
      </w:pPr>
      <w:r w:rsidRPr="00BD1319">
        <w:rPr>
          <w:spacing w:val="-3"/>
          <w:lang w:val="es-MX"/>
        </w:rPr>
        <w:t xml:space="preserve">ABAJO, B., NAVARRO, D., GARCÍA, G., ZORITA, S., FELIU, E., KLETT, P., SÁNCHEZ, M. &amp; HERAS, F. Guía para la evaluación de riesgos asociados al cambio climático 2023. España: Ministerio para la Transición Ecológica y el Reto Demográfico </w:t>
      </w:r>
      <w:r w:rsidR="00A37419" w:rsidRPr="00BD1319">
        <w:rPr>
          <w:spacing w:val="-3"/>
        </w:rPr>
        <w:t>–</w:t>
      </w:r>
      <w:r w:rsidRPr="00BD1319">
        <w:rPr>
          <w:spacing w:val="-3"/>
          <w:lang w:val="es-MX"/>
        </w:rPr>
        <w:t xml:space="preserve">MITECO, 2023. </w:t>
      </w:r>
      <w:r w:rsidRPr="00BD1319">
        <w:rPr>
          <w:spacing w:val="-3"/>
          <w:lang w:val="en-US"/>
        </w:rPr>
        <w:t xml:space="preserve">84 </w:t>
      </w:r>
      <w:proofErr w:type="gramStart"/>
      <w:r w:rsidRPr="00BD1319">
        <w:rPr>
          <w:spacing w:val="-3"/>
          <w:lang w:val="en-US"/>
        </w:rPr>
        <w:t>p.</w:t>
      </w:r>
      <w:proofErr w:type="gramEnd"/>
    </w:p>
    <w:p w14:paraId="010F0883" w14:textId="77777777" w:rsidR="004D1428" w:rsidRPr="00BD1319" w:rsidRDefault="004D1428">
      <w:pPr>
        <w:tabs>
          <w:tab w:val="left" w:pos="-2268"/>
        </w:tabs>
        <w:suppressAutoHyphens/>
        <w:rPr>
          <w:spacing w:val="-3"/>
          <w:lang w:val="en-US"/>
        </w:rPr>
      </w:pPr>
    </w:p>
    <w:p w14:paraId="1EE7E422" w14:textId="2354A372" w:rsidR="00E93E41" w:rsidRPr="00BD1319" w:rsidRDefault="00E93E41">
      <w:pPr>
        <w:tabs>
          <w:tab w:val="left" w:pos="-2268"/>
        </w:tabs>
        <w:suppressAutoHyphens/>
        <w:rPr>
          <w:spacing w:val="-3"/>
          <w:lang w:val="en-US"/>
        </w:rPr>
      </w:pPr>
      <w:r w:rsidRPr="00BD1319">
        <w:rPr>
          <w:spacing w:val="-3"/>
          <w:lang w:val="en-US"/>
        </w:rPr>
        <w:t>AMENT, R., CALLAHAN, R., MCCLURE, M. REULING, M. &amp; TABOR, G. Wildlife Connectivity: Fundamentals for conservation action. Bozeman, Montana: Center for large landscape conservation, 2014.</w:t>
      </w:r>
    </w:p>
    <w:p w14:paraId="4BD3B672" w14:textId="77777777" w:rsidR="00E93E41" w:rsidRPr="00BD1319" w:rsidRDefault="00E93E41">
      <w:pPr>
        <w:tabs>
          <w:tab w:val="left" w:pos="-2268"/>
        </w:tabs>
        <w:suppressAutoHyphens/>
        <w:rPr>
          <w:spacing w:val="-3"/>
          <w:lang w:val="en-US"/>
        </w:rPr>
      </w:pPr>
    </w:p>
    <w:p w14:paraId="303CC7D4" w14:textId="1F82D8A0" w:rsidR="00304259" w:rsidRPr="00BD1319" w:rsidRDefault="00304259" w:rsidP="000D6E21">
      <w:pPr>
        <w:rPr>
          <w:spacing w:val="-3"/>
          <w:lang w:val="en-US"/>
        </w:rPr>
      </w:pPr>
      <w:r w:rsidRPr="00BD1319">
        <w:rPr>
          <w:spacing w:val="-3"/>
          <w:lang w:val="en-US"/>
        </w:rPr>
        <w:t>AMOROS, C., &amp; BORNETTE, G. Connectivity and biocomplexity in waterbodies of riverine floodplains. Freshwater Biology. 47, 4 (2002); 761–776.</w:t>
      </w:r>
    </w:p>
    <w:p w14:paraId="4B2D7BEB" w14:textId="77777777" w:rsidR="00304259" w:rsidRPr="00BD1319" w:rsidRDefault="00304259" w:rsidP="00311FE2">
      <w:pPr>
        <w:tabs>
          <w:tab w:val="left" w:pos="-2268"/>
        </w:tabs>
        <w:suppressAutoHyphens/>
        <w:rPr>
          <w:spacing w:val="-3"/>
          <w:lang w:val="en-US"/>
        </w:rPr>
      </w:pPr>
    </w:p>
    <w:p w14:paraId="5B78D209" w14:textId="37336EC6" w:rsidR="00311FE2" w:rsidRPr="00BD1319" w:rsidRDefault="00311FE2" w:rsidP="00311FE2">
      <w:pPr>
        <w:tabs>
          <w:tab w:val="left" w:pos="-2268"/>
        </w:tabs>
        <w:suppressAutoHyphens/>
        <w:rPr>
          <w:spacing w:val="-3"/>
          <w:lang w:val="en-US"/>
        </w:rPr>
      </w:pPr>
      <w:r w:rsidRPr="00BD1319">
        <w:rPr>
          <w:spacing w:val="-3"/>
          <w:lang w:val="en-US"/>
        </w:rPr>
        <w:t xml:space="preserve">ANADÓN, J., D’AGROSA, C., GONDOR, A., GERBER, L. Quantifying the Spatial Ecology of Wide-Ranging Marine Species in the Gulf of California: Implications for Marine Conservation Planning. </w:t>
      </w:r>
      <w:proofErr w:type="spellStart"/>
      <w:r w:rsidRPr="00BD1319">
        <w:rPr>
          <w:spacing w:val="-3"/>
          <w:lang w:val="en-US"/>
        </w:rPr>
        <w:t>PLoS</w:t>
      </w:r>
      <w:proofErr w:type="spellEnd"/>
      <w:r w:rsidRPr="00BD1319">
        <w:rPr>
          <w:spacing w:val="-3"/>
          <w:lang w:val="en-US"/>
        </w:rPr>
        <w:t xml:space="preserve"> ONE. 6, 12 (2011) e28400; 1-10.</w:t>
      </w:r>
    </w:p>
    <w:p w14:paraId="7B861853" w14:textId="77777777" w:rsidR="00311FE2" w:rsidRPr="00BD1319" w:rsidRDefault="00311FE2" w:rsidP="00737201">
      <w:pPr>
        <w:tabs>
          <w:tab w:val="left" w:pos="-2268"/>
        </w:tabs>
        <w:suppressAutoHyphens/>
        <w:rPr>
          <w:spacing w:val="-3"/>
          <w:lang w:val="en-US"/>
        </w:rPr>
      </w:pPr>
    </w:p>
    <w:p w14:paraId="3AB6E191" w14:textId="0F20E1E0" w:rsidR="00737201" w:rsidRPr="00BD1319" w:rsidRDefault="00614041" w:rsidP="00737201">
      <w:pPr>
        <w:tabs>
          <w:tab w:val="left" w:pos="-2268"/>
        </w:tabs>
        <w:suppressAutoHyphens/>
        <w:rPr>
          <w:spacing w:val="-3"/>
        </w:rPr>
      </w:pPr>
      <w:r w:rsidRPr="00BD1319">
        <w:rPr>
          <w:spacing w:val="-3"/>
          <w:lang w:val="en-US"/>
        </w:rPr>
        <w:t>ANGARITA, H., WICKEL, A., SIEBER, J., CHAVARRO, J., MALDONADO-OCAMPO, J. HERRERA-R, G., DELGADO, J. AND PURKEY, D</w:t>
      </w:r>
      <w:r w:rsidR="00737201" w:rsidRPr="00BD1319">
        <w:rPr>
          <w:spacing w:val="-3"/>
          <w:lang w:val="en-US"/>
        </w:rPr>
        <w:t xml:space="preserve">. Basin-scale impacts of hydropower development on the </w:t>
      </w:r>
      <w:proofErr w:type="spellStart"/>
      <w:r w:rsidR="00737201" w:rsidRPr="00BD1319">
        <w:rPr>
          <w:spacing w:val="-3"/>
          <w:lang w:val="en-US"/>
        </w:rPr>
        <w:t>Mompós</w:t>
      </w:r>
      <w:proofErr w:type="spellEnd"/>
      <w:r w:rsidR="00737201" w:rsidRPr="00BD1319">
        <w:rPr>
          <w:spacing w:val="-3"/>
          <w:lang w:val="en-US"/>
        </w:rPr>
        <w:t xml:space="preserve"> Depression wetlands, Colombia. </w:t>
      </w:r>
      <w:proofErr w:type="spellStart"/>
      <w:r w:rsidR="00737201" w:rsidRPr="00BD1319">
        <w:rPr>
          <w:spacing w:val="-3"/>
        </w:rPr>
        <w:t>Hydrology</w:t>
      </w:r>
      <w:proofErr w:type="spellEnd"/>
      <w:r w:rsidR="00737201" w:rsidRPr="00BD1319">
        <w:rPr>
          <w:spacing w:val="-3"/>
        </w:rPr>
        <w:t xml:space="preserve"> and </w:t>
      </w:r>
      <w:proofErr w:type="spellStart"/>
      <w:r w:rsidR="00737201" w:rsidRPr="00BD1319">
        <w:rPr>
          <w:spacing w:val="-3"/>
        </w:rPr>
        <w:t>Earth</w:t>
      </w:r>
      <w:proofErr w:type="spellEnd"/>
      <w:r w:rsidR="00737201" w:rsidRPr="00BD1319">
        <w:rPr>
          <w:spacing w:val="-3"/>
        </w:rPr>
        <w:t xml:space="preserve"> </w:t>
      </w:r>
      <w:proofErr w:type="spellStart"/>
      <w:r w:rsidR="00737201" w:rsidRPr="00BD1319">
        <w:rPr>
          <w:spacing w:val="-3"/>
        </w:rPr>
        <w:t>System</w:t>
      </w:r>
      <w:proofErr w:type="spellEnd"/>
      <w:r w:rsidR="00737201" w:rsidRPr="00BD1319">
        <w:rPr>
          <w:spacing w:val="-3"/>
        </w:rPr>
        <w:t xml:space="preserve"> </w:t>
      </w:r>
      <w:proofErr w:type="spellStart"/>
      <w:r w:rsidR="00737201" w:rsidRPr="00BD1319">
        <w:rPr>
          <w:spacing w:val="-3"/>
        </w:rPr>
        <w:t>Sciences</w:t>
      </w:r>
      <w:proofErr w:type="spellEnd"/>
      <w:r w:rsidR="00737201" w:rsidRPr="00BD1319">
        <w:rPr>
          <w:spacing w:val="-3"/>
        </w:rPr>
        <w:t>. 22, (2018); p. 2839–2865.</w:t>
      </w:r>
    </w:p>
    <w:p w14:paraId="1575E577" w14:textId="77777777" w:rsidR="00737201" w:rsidRPr="00BD1319" w:rsidRDefault="00737201">
      <w:pPr>
        <w:tabs>
          <w:tab w:val="left" w:pos="-2268"/>
        </w:tabs>
        <w:suppressAutoHyphens/>
        <w:rPr>
          <w:spacing w:val="-3"/>
        </w:rPr>
      </w:pPr>
    </w:p>
    <w:p w14:paraId="41279CC1" w14:textId="14F85231" w:rsidR="00E93E41" w:rsidRPr="00BD1319" w:rsidRDefault="00E93E41">
      <w:pPr>
        <w:tabs>
          <w:tab w:val="left" w:pos="-2268"/>
        </w:tabs>
        <w:suppressAutoHyphens/>
        <w:rPr>
          <w:spacing w:val="-3"/>
          <w:lang w:val="en-US"/>
        </w:rPr>
      </w:pPr>
      <w:r w:rsidRPr="00BD1319">
        <w:rPr>
          <w:spacing w:val="-3"/>
        </w:rPr>
        <w:t xml:space="preserve">ANGULO A., RUEDA-ALMONACID, J., RODRÍGUEZ-MAHECHA, J. &amp; LA MARCA, E. (Eds.). Técnicas de inventario y monitoreo para los anfibios de la región tropical andina. Serie Manuales de Campo </w:t>
      </w:r>
      <w:proofErr w:type="spellStart"/>
      <w:r w:rsidRPr="00BD1319">
        <w:rPr>
          <w:spacing w:val="-3"/>
        </w:rPr>
        <w:t>Nº</w:t>
      </w:r>
      <w:proofErr w:type="spellEnd"/>
      <w:r w:rsidRPr="00BD1319">
        <w:rPr>
          <w:spacing w:val="-3"/>
        </w:rPr>
        <w:t xml:space="preserve"> 2. Bogotá D.C.: Conservación Internacional. </w:t>
      </w:r>
      <w:r w:rsidRPr="00BD1319">
        <w:rPr>
          <w:spacing w:val="-3"/>
          <w:lang w:val="en-US"/>
        </w:rPr>
        <w:t xml:space="preserve">Panamericana Formas e </w:t>
      </w:r>
      <w:proofErr w:type="spellStart"/>
      <w:r w:rsidRPr="00BD1319">
        <w:rPr>
          <w:spacing w:val="-3"/>
          <w:lang w:val="en-US"/>
        </w:rPr>
        <w:t>Impresos</w:t>
      </w:r>
      <w:proofErr w:type="spellEnd"/>
      <w:r w:rsidRPr="00BD1319">
        <w:rPr>
          <w:spacing w:val="-3"/>
          <w:lang w:val="en-US"/>
        </w:rPr>
        <w:t xml:space="preserve"> S.A., 2006. 298 p.</w:t>
      </w:r>
    </w:p>
    <w:p w14:paraId="508115C2" w14:textId="77777777" w:rsidR="00E93E41" w:rsidRPr="00BD1319" w:rsidRDefault="00E93E41">
      <w:pPr>
        <w:tabs>
          <w:tab w:val="left" w:pos="-2268"/>
        </w:tabs>
        <w:suppressAutoHyphens/>
        <w:rPr>
          <w:spacing w:val="-3"/>
          <w:lang w:val="en-US"/>
        </w:rPr>
      </w:pPr>
    </w:p>
    <w:p w14:paraId="27B57EFE" w14:textId="77777777" w:rsidR="00E93E41" w:rsidRPr="00BD1319" w:rsidRDefault="00E93E41">
      <w:pPr>
        <w:tabs>
          <w:tab w:val="left" w:pos="-2268"/>
        </w:tabs>
        <w:suppressAutoHyphens/>
        <w:rPr>
          <w:spacing w:val="-3"/>
        </w:rPr>
      </w:pPr>
      <w:r w:rsidRPr="00BD1319">
        <w:rPr>
          <w:spacing w:val="-3"/>
          <w:lang w:val="en-US"/>
        </w:rPr>
        <w:t xml:space="preserve">AZAM, C., LE VIOL, I., JULIEN, J., BAS, Y., &amp; KERBIRIOU, C. Disentangling the relative effect of light pollution, impervious surfaces and intensive agriculture on bat activity with a national-scale monitoring program. </w:t>
      </w:r>
      <w:proofErr w:type="spellStart"/>
      <w:r w:rsidRPr="00BD1319">
        <w:rPr>
          <w:spacing w:val="-3"/>
        </w:rPr>
        <w:t>Landscape</w:t>
      </w:r>
      <w:proofErr w:type="spellEnd"/>
      <w:r w:rsidRPr="00BD1319">
        <w:rPr>
          <w:spacing w:val="-3"/>
        </w:rPr>
        <w:t xml:space="preserve"> </w:t>
      </w:r>
      <w:proofErr w:type="spellStart"/>
      <w:r w:rsidRPr="00BD1319">
        <w:rPr>
          <w:spacing w:val="-3"/>
        </w:rPr>
        <w:t>Ecology</w:t>
      </w:r>
      <w:proofErr w:type="spellEnd"/>
      <w:r w:rsidRPr="00BD1319">
        <w:rPr>
          <w:spacing w:val="-3"/>
        </w:rPr>
        <w:t>. 31, 10 (2016); p. 2471–2483.</w:t>
      </w:r>
    </w:p>
    <w:p w14:paraId="1EC72F0F" w14:textId="77777777" w:rsidR="00E93E41" w:rsidRPr="00BD1319" w:rsidRDefault="00E93E41">
      <w:pPr>
        <w:tabs>
          <w:tab w:val="left" w:pos="-2268"/>
        </w:tabs>
        <w:suppressAutoHyphens/>
        <w:rPr>
          <w:spacing w:val="-3"/>
        </w:rPr>
      </w:pPr>
    </w:p>
    <w:p w14:paraId="43339ED8" w14:textId="216FD10B" w:rsidR="005E1E02" w:rsidRPr="00BD1319" w:rsidRDefault="005E1E02">
      <w:pPr>
        <w:tabs>
          <w:tab w:val="left" w:pos="-2268"/>
        </w:tabs>
        <w:suppressAutoHyphens/>
        <w:rPr>
          <w:spacing w:val="-3"/>
          <w:lang w:val="en-US"/>
        </w:rPr>
      </w:pPr>
      <w:r w:rsidRPr="00BD1319">
        <w:rPr>
          <w:rFonts w:cs="Arial"/>
          <w:szCs w:val="20"/>
        </w:rPr>
        <w:t xml:space="preserve">AUTORIDAD NACIONAL DE LICENCIAS AMBIENTALES – ANLA. Guía para la solicitud y uso del permiso de estudio para la recolección de especímenes de especies silvestres de la diversidad biológica con fines de elaboración de estudios ambientales. </w:t>
      </w:r>
      <w:r w:rsidRPr="00BD1319">
        <w:rPr>
          <w:rFonts w:cs="Arial"/>
          <w:szCs w:val="20"/>
          <w:lang w:val="en-US"/>
        </w:rPr>
        <w:t>Bogotá D. C.: ANLA, s. f. 60 p.</w:t>
      </w:r>
    </w:p>
    <w:p w14:paraId="6915FFE4" w14:textId="0C06CA5D" w:rsidR="00051AB2" w:rsidRPr="00BD1319" w:rsidRDefault="00051AB2">
      <w:pPr>
        <w:tabs>
          <w:tab w:val="left" w:pos="-2268"/>
        </w:tabs>
        <w:suppressAutoHyphens/>
        <w:rPr>
          <w:spacing w:val="-3"/>
          <w:lang w:val="en-US"/>
        </w:rPr>
      </w:pPr>
    </w:p>
    <w:p w14:paraId="7B8E00E9" w14:textId="4198AEC7" w:rsidR="00051AB2" w:rsidRPr="00BD1319" w:rsidRDefault="00614041">
      <w:pPr>
        <w:tabs>
          <w:tab w:val="left" w:pos="-2268"/>
        </w:tabs>
        <w:suppressAutoHyphens/>
        <w:rPr>
          <w:spacing w:val="-3"/>
          <w:lang w:val="en-US"/>
        </w:rPr>
      </w:pPr>
      <w:r w:rsidRPr="00BD1319">
        <w:rPr>
          <w:spacing w:val="-3"/>
          <w:lang w:val="en-US"/>
        </w:rPr>
        <w:t>BEIER, P., MAJKA, D. &amp; JENNESS, J</w:t>
      </w:r>
      <w:r w:rsidR="00051AB2" w:rsidRPr="00BD1319">
        <w:rPr>
          <w:spacing w:val="-3"/>
          <w:lang w:val="en-US"/>
        </w:rPr>
        <w:t>. Designing Wildlife Corridors with ArcGIS. Watsonville, CA, 2007.</w:t>
      </w:r>
    </w:p>
    <w:p w14:paraId="142F94B2" w14:textId="77777777" w:rsidR="00051AB2" w:rsidRPr="00BD1319" w:rsidRDefault="00051AB2">
      <w:pPr>
        <w:tabs>
          <w:tab w:val="left" w:pos="-2268"/>
        </w:tabs>
        <w:suppressAutoHyphens/>
        <w:rPr>
          <w:spacing w:val="-3"/>
          <w:lang w:val="en-US"/>
        </w:rPr>
      </w:pPr>
    </w:p>
    <w:p w14:paraId="78D598CE" w14:textId="2E618AAE" w:rsidR="00E93E41" w:rsidRPr="00BD1319" w:rsidRDefault="00E93E41">
      <w:pPr>
        <w:tabs>
          <w:tab w:val="left" w:pos="-2268"/>
        </w:tabs>
        <w:suppressAutoHyphens/>
        <w:rPr>
          <w:spacing w:val="-3"/>
          <w:lang w:val="en-US"/>
        </w:rPr>
      </w:pPr>
      <w:r w:rsidRPr="00BD1319">
        <w:rPr>
          <w:spacing w:val="-3"/>
          <w:lang w:val="en-US"/>
        </w:rPr>
        <w:t>BENNIE, J., DUFFY, J., DAVIES, T., CORREA-CANO, M., GASTON, K. Global trends in exposure to light pollution in natural terrestrial ecosystems. Remote Sensing. 7 (2015)</w:t>
      </w:r>
      <w:proofErr w:type="gramStart"/>
      <w:r w:rsidRPr="00BD1319">
        <w:rPr>
          <w:spacing w:val="-3"/>
          <w:lang w:val="en-US"/>
        </w:rPr>
        <w:t>; p.</w:t>
      </w:r>
      <w:proofErr w:type="gramEnd"/>
      <w:r w:rsidRPr="00BD1319">
        <w:rPr>
          <w:spacing w:val="-3"/>
          <w:lang w:val="en-US"/>
        </w:rPr>
        <w:t xml:space="preserve"> 2715-2730.</w:t>
      </w:r>
    </w:p>
    <w:p w14:paraId="5F383D55" w14:textId="77777777" w:rsidR="00E93E41" w:rsidRPr="00BD1319" w:rsidRDefault="00E93E41">
      <w:pPr>
        <w:tabs>
          <w:tab w:val="left" w:pos="-2268"/>
        </w:tabs>
        <w:suppressAutoHyphens/>
        <w:rPr>
          <w:spacing w:val="-3"/>
          <w:lang w:val="en-US"/>
        </w:rPr>
      </w:pPr>
    </w:p>
    <w:p w14:paraId="3554226E" w14:textId="77777777" w:rsidR="00E93E41" w:rsidRPr="00BD1319" w:rsidRDefault="00E93E41">
      <w:pPr>
        <w:tabs>
          <w:tab w:val="left" w:pos="-2268"/>
        </w:tabs>
        <w:suppressAutoHyphens/>
        <w:rPr>
          <w:spacing w:val="-3"/>
          <w:lang w:val="en-US"/>
        </w:rPr>
      </w:pPr>
      <w:r w:rsidRPr="00BD1319">
        <w:rPr>
          <w:spacing w:val="-3"/>
          <w:lang w:val="en-US"/>
        </w:rPr>
        <w:t>BENZING, D. Vascular epiphytes. General biology and related biota. Cambridge, England: Cambridge University Press, 1990.</w:t>
      </w:r>
    </w:p>
    <w:p w14:paraId="5DE1BF18" w14:textId="77777777" w:rsidR="00E93E41" w:rsidRPr="00BD1319" w:rsidRDefault="00E93E41">
      <w:pPr>
        <w:tabs>
          <w:tab w:val="left" w:pos="-2268"/>
        </w:tabs>
        <w:suppressAutoHyphens/>
        <w:rPr>
          <w:spacing w:val="-3"/>
          <w:lang w:val="en-US"/>
        </w:rPr>
      </w:pPr>
    </w:p>
    <w:p w14:paraId="77B998B8" w14:textId="77777777" w:rsidR="00E93E41" w:rsidRPr="00BD1319" w:rsidRDefault="00E93E41">
      <w:pPr>
        <w:tabs>
          <w:tab w:val="left" w:pos="-2268"/>
        </w:tabs>
        <w:suppressAutoHyphens/>
        <w:rPr>
          <w:spacing w:val="-3"/>
          <w:lang w:val="en-US"/>
        </w:rPr>
      </w:pPr>
      <w:r w:rsidRPr="00BD1319">
        <w:rPr>
          <w:spacing w:val="-3"/>
          <w:lang w:val="en-US"/>
        </w:rPr>
        <w:t>BODIN, Ö. &amp; SAURA, S. Ranking individual habitat patches as connectivity providers: integrating network analysis and patch removal experiments. Ecological Modelling. 221, (2010); p. 2393-2405.</w:t>
      </w:r>
    </w:p>
    <w:p w14:paraId="29F801DA" w14:textId="77777777" w:rsidR="00E93E41" w:rsidRPr="00BD1319" w:rsidRDefault="00E93E41">
      <w:pPr>
        <w:tabs>
          <w:tab w:val="left" w:pos="-2268"/>
        </w:tabs>
        <w:suppressAutoHyphens/>
        <w:rPr>
          <w:spacing w:val="-3"/>
          <w:lang w:val="en-US"/>
        </w:rPr>
      </w:pPr>
    </w:p>
    <w:p w14:paraId="2624C4FB" w14:textId="7492F156" w:rsidR="00E93E41" w:rsidRPr="006B11C6" w:rsidRDefault="00E93E41">
      <w:pPr>
        <w:tabs>
          <w:tab w:val="left" w:pos="-2268"/>
        </w:tabs>
        <w:suppressAutoHyphens/>
        <w:rPr>
          <w:spacing w:val="-3"/>
        </w:rPr>
      </w:pPr>
      <w:r w:rsidRPr="00BD1319">
        <w:rPr>
          <w:spacing w:val="-3"/>
          <w:lang w:val="en-US"/>
        </w:rPr>
        <w:t xml:space="preserve">BÖHRINGER, C. &amp; JOCHEM, P. Measuring the immeasurable – A survey of sustainability indexes. </w:t>
      </w:r>
      <w:proofErr w:type="spellStart"/>
      <w:r w:rsidRPr="006B11C6">
        <w:rPr>
          <w:spacing w:val="-3"/>
        </w:rPr>
        <w:t>Ecological</w:t>
      </w:r>
      <w:proofErr w:type="spellEnd"/>
      <w:r w:rsidRPr="006B11C6">
        <w:rPr>
          <w:spacing w:val="-3"/>
        </w:rPr>
        <w:t xml:space="preserve"> </w:t>
      </w:r>
      <w:proofErr w:type="spellStart"/>
      <w:r w:rsidRPr="006B11C6">
        <w:rPr>
          <w:spacing w:val="-3"/>
        </w:rPr>
        <w:t>Economics</w:t>
      </w:r>
      <w:proofErr w:type="spellEnd"/>
      <w:r w:rsidRPr="006B11C6">
        <w:rPr>
          <w:spacing w:val="-3"/>
        </w:rPr>
        <w:t>. 63, 1 (2007); p. 1-8.</w:t>
      </w:r>
    </w:p>
    <w:p w14:paraId="7B4161A4" w14:textId="444154F2" w:rsidR="00E93E41" w:rsidRPr="006B11C6" w:rsidRDefault="00E93E41">
      <w:pPr>
        <w:tabs>
          <w:tab w:val="left" w:pos="-2268"/>
        </w:tabs>
        <w:suppressAutoHyphens/>
        <w:rPr>
          <w:spacing w:val="-3"/>
        </w:rPr>
      </w:pPr>
    </w:p>
    <w:p w14:paraId="6BA58781" w14:textId="77777777" w:rsidR="00E93E41" w:rsidRPr="00BD1319" w:rsidRDefault="00E93E41">
      <w:pPr>
        <w:tabs>
          <w:tab w:val="left" w:pos="-2268"/>
        </w:tabs>
        <w:suppressAutoHyphens/>
        <w:rPr>
          <w:spacing w:val="-3"/>
        </w:rPr>
      </w:pPr>
      <w:r w:rsidRPr="006B11C6">
        <w:rPr>
          <w:spacing w:val="-3"/>
        </w:rPr>
        <w:t xml:space="preserve">BRAUN BLANQUET, J. Fitosociología. </w:t>
      </w:r>
      <w:r w:rsidRPr="00BD1319">
        <w:rPr>
          <w:spacing w:val="-3"/>
        </w:rPr>
        <w:t>Bases para el estudio de las comunidades vegetales. Madrid: H. Blume Ediciones, 1979. 820 p.</w:t>
      </w:r>
    </w:p>
    <w:p w14:paraId="39C583B0" w14:textId="77777777" w:rsidR="00E93E41" w:rsidRPr="00BD1319" w:rsidRDefault="00E93E41">
      <w:pPr>
        <w:tabs>
          <w:tab w:val="left" w:pos="-2268"/>
        </w:tabs>
        <w:suppressAutoHyphens/>
        <w:rPr>
          <w:spacing w:val="-3"/>
        </w:rPr>
      </w:pPr>
    </w:p>
    <w:p w14:paraId="60140017" w14:textId="62BA60D1" w:rsidR="0053750C" w:rsidRPr="00BD1319" w:rsidRDefault="0053750C" w:rsidP="000D6E21">
      <w:pPr>
        <w:rPr>
          <w:spacing w:val="-3"/>
          <w:lang w:val="es-MX"/>
        </w:rPr>
      </w:pPr>
      <w:r w:rsidRPr="00BD1319">
        <w:rPr>
          <w:spacing w:val="-3"/>
          <w:lang w:val="es-MX"/>
        </w:rPr>
        <w:t xml:space="preserve">BUITRAGO, A., MENDOZA, Á., MARÍN, D., MARTÍNEZ, D., BARONA, E., PANTOJA, H., ZAPATA, L., &amp; FORERO, A. Protocolo para toma de medidas de grabaciones focales en espectro audible utilizando el programa Raven (Versión 1.6.1) / Colección de Sonidos Ambientales. Colombia: </w:t>
      </w:r>
      <w:r w:rsidRPr="00BD1319">
        <w:rPr>
          <w:spacing w:val="-3"/>
        </w:rPr>
        <w:t xml:space="preserve">Instituto de Investigación de Recursos Biológicos Alexander </w:t>
      </w:r>
      <w:proofErr w:type="spellStart"/>
      <w:r w:rsidRPr="00BD1319">
        <w:rPr>
          <w:spacing w:val="-3"/>
        </w:rPr>
        <w:t>Von</w:t>
      </w:r>
      <w:proofErr w:type="spellEnd"/>
      <w:r w:rsidRPr="00BD1319">
        <w:rPr>
          <w:spacing w:val="-3"/>
        </w:rPr>
        <w:t xml:space="preserve"> Humboldt,</w:t>
      </w:r>
      <w:r w:rsidRPr="00BD1319">
        <w:rPr>
          <w:spacing w:val="-3"/>
          <w:lang w:val="es-MX"/>
        </w:rPr>
        <w:t xml:space="preserve"> 2022.</w:t>
      </w:r>
    </w:p>
    <w:p w14:paraId="5183D899" w14:textId="77777777" w:rsidR="0053750C" w:rsidRPr="00BD1319" w:rsidRDefault="0053750C">
      <w:pPr>
        <w:tabs>
          <w:tab w:val="left" w:pos="-2268"/>
        </w:tabs>
        <w:suppressAutoHyphens/>
        <w:rPr>
          <w:spacing w:val="-3"/>
          <w:lang w:val="es-MX"/>
        </w:rPr>
      </w:pPr>
    </w:p>
    <w:p w14:paraId="484C5427" w14:textId="26DEEF02" w:rsidR="00E93E41" w:rsidRPr="00BD1319" w:rsidRDefault="00E93E41">
      <w:pPr>
        <w:tabs>
          <w:tab w:val="left" w:pos="-2268"/>
        </w:tabs>
        <w:suppressAutoHyphens/>
        <w:rPr>
          <w:spacing w:val="-3"/>
          <w:lang w:val="en-US"/>
        </w:rPr>
      </w:pPr>
      <w:r w:rsidRPr="00BD1319">
        <w:rPr>
          <w:spacing w:val="-3"/>
          <w:lang w:val="en-US"/>
        </w:rPr>
        <w:t xml:space="preserve">BUNKLEY, J., </w:t>
      </w:r>
      <w:proofErr w:type="spellStart"/>
      <w:r w:rsidRPr="00BD1319">
        <w:rPr>
          <w:spacing w:val="-3"/>
          <w:lang w:val="en-US"/>
        </w:rPr>
        <w:t>McCLURE</w:t>
      </w:r>
      <w:proofErr w:type="spellEnd"/>
      <w:r w:rsidRPr="00BD1319">
        <w:rPr>
          <w:spacing w:val="-3"/>
          <w:lang w:val="en-US"/>
        </w:rPr>
        <w:t>, C., KLEIST, N., FRANCIS, C., &amp; BARBER, J. Anthropogenic noise alters bat activity levels and echolocation calls. Global Ecology and Conservation. 3, (2015); p. 62–71.</w:t>
      </w:r>
    </w:p>
    <w:p w14:paraId="7B942266" w14:textId="77777777" w:rsidR="00E93E41" w:rsidRPr="00BD1319" w:rsidRDefault="00E93E41" w:rsidP="00E93E41">
      <w:pPr>
        <w:tabs>
          <w:tab w:val="left" w:pos="-2268"/>
        </w:tabs>
        <w:suppressAutoHyphens/>
        <w:rPr>
          <w:spacing w:val="-3"/>
          <w:lang w:val="en-US"/>
        </w:rPr>
      </w:pPr>
    </w:p>
    <w:p w14:paraId="33453269" w14:textId="77777777" w:rsidR="00E93E41" w:rsidRPr="00BD1319" w:rsidRDefault="00E93E41" w:rsidP="009420F5">
      <w:pPr>
        <w:tabs>
          <w:tab w:val="left" w:pos="-2268"/>
        </w:tabs>
        <w:suppressAutoHyphens/>
        <w:rPr>
          <w:spacing w:val="-3"/>
          <w:lang w:val="en-US"/>
        </w:rPr>
      </w:pPr>
      <w:r w:rsidRPr="00BD1319">
        <w:rPr>
          <w:spacing w:val="-3"/>
          <w:lang w:val="en-US"/>
        </w:rPr>
        <w:t>BUNN, A., URBAN, D., &amp; KEITT, T. Landscape connectivity: a conservation application of graph theory. Journal of Environmental Management. 59, 4 (2000); 265–278.</w:t>
      </w:r>
    </w:p>
    <w:p w14:paraId="1F444F5C" w14:textId="77777777" w:rsidR="00E93E41" w:rsidRPr="00BD1319" w:rsidRDefault="00E93E41">
      <w:pPr>
        <w:tabs>
          <w:tab w:val="left" w:pos="-2268"/>
        </w:tabs>
        <w:suppressAutoHyphens/>
        <w:rPr>
          <w:rFonts w:cs="Arial"/>
          <w:lang w:val="en-US"/>
        </w:rPr>
      </w:pPr>
    </w:p>
    <w:p w14:paraId="00ABC29C" w14:textId="77777777" w:rsidR="00E93E41" w:rsidRPr="00BD1319" w:rsidRDefault="00E93E41">
      <w:pPr>
        <w:tabs>
          <w:tab w:val="left" w:pos="-2268"/>
        </w:tabs>
        <w:suppressAutoHyphens/>
        <w:rPr>
          <w:rFonts w:cs="Arial"/>
          <w:lang w:val="en-US"/>
        </w:rPr>
      </w:pPr>
      <w:r w:rsidRPr="00BD1319">
        <w:rPr>
          <w:rFonts w:cs="Arial"/>
          <w:lang w:val="en-US"/>
        </w:rPr>
        <w:t xml:space="preserve">BUREAU OF LAND MANAGEMENT –BLM. Visual resource management. </w:t>
      </w:r>
      <w:r w:rsidRPr="00BD1319">
        <w:rPr>
          <w:rFonts w:cs="Arial"/>
        </w:rPr>
        <w:t xml:space="preserve">Manual 8400. Estados Unidos, Washington: Departamento del Interior, 1986. </w:t>
      </w:r>
      <w:r w:rsidRPr="00BD1319">
        <w:rPr>
          <w:rFonts w:cs="Arial"/>
          <w:lang w:val="en-US"/>
        </w:rPr>
        <w:t xml:space="preserve">15 p. </w:t>
      </w:r>
    </w:p>
    <w:p w14:paraId="0F46839E" w14:textId="77777777" w:rsidR="00E93E41" w:rsidRPr="00BD1319" w:rsidRDefault="00E93E41">
      <w:pPr>
        <w:tabs>
          <w:tab w:val="left" w:pos="-2268"/>
        </w:tabs>
        <w:suppressAutoHyphens/>
        <w:rPr>
          <w:spacing w:val="-3"/>
          <w:lang w:val="en-US"/>
        </w:rPr>
      </w:pPr>
    </w:p>
    <w:p w14:paraId="585593B1" w14:textId="77777777" w:rsidR="00E93E41" w:rsidRPr="00BD1319" w:rsidRDefault="00E93E41">
      <w:pPr>
        <w:tabs>
          <w:tab w:val="left" w:pos="-2268"/>
        </w:tabs>
        <w:suppressAutoHyphens/>
        <w:rPr>
          <w:spacing w:val="-3"/>
          <w:lang w:val="en-US"/>
        </w:rPr>
      </w:pPr>
      <w:r w:rsidRPr="00BD1319">
        <w:rPr>
          <w:spacing w:val="-3"/>
          <w:lang w:val="en-US"/>
        </w:rPr>
        <w:t>BURKHARD, B. &amp; MAES, J. (Eds.). Mapping Ecosystem Services. Sofia: Pensoft Publishers, 2017. 374 p.</w:t>
      </w:r>
    </w:p>
    <w:p w14:paraId="2679036E" w14:textId="77777777" w:rsidR="00E93E41" w:rsidRPr="00BD1319" w:rsidRDefault="00E93E41">
      <w:pPr>
        <w:tabs>
          <w:tab w:val="left" w:pos="-2268"/>
        </w:tabs>
        <w:suppressAutoHyphens/>
        <w:rPr>
          <w:spacing w:val="-3"/>
          <w:lang w:val="en-US"/>
        </w:rPr>
      </w:pPr>
    </w:p>
    <w:p w14:paraId="52B132AE" w14:textId="292E67B4" w:rsidR="00D45B87" w:rsidRPr="00BD1319" w:rsidRDefault="00D45B87">
      <w:pPr>
        <w:tabs>
          <w:tab w:val="left" w:pos="-2268"/>
        </w:tabs>
        <w:suppressAutoHyphens/>
        <w:rPr>
          <w:spacing w:val="-3"/>
        </w:rPr>
      </w:pPr>
      <w:r w:rsidRPr="00BD1319">
        <w:rPr>
          <w:spacing w:val="-3"/>
          <w:lang w:val="en-US"/>
        </w:rPr>
        <w:t xml:space="preserve">BURNS, K. C. &amp; G. ZOTZ. A hierarchical framework for investigating epiphyte assemblages: networks, meta-communities, and scale. </w:t>
      </w:r>
      <w:proofErr w:type="spellStart"/>
      <w:r w:rsidRPr="00BD1319">
        <w:rPr>
          <w:spacing w:val="-3"/>
        </w:rPr>
        <w:t>Ecology</w:t>
      </w:r>
      <w:proofErr w:type="spellEnd"/>
      <w:r w:rsidRPr="00BD1319">
        <w:rPr>
          <w:spacing w:val="-3"/>
        </w:rPr>
        <w:t>, 91, 2 (2010); 377–385.</w:t>
      </w:r>
    </w:p>
    <w:p w14:paraId="6A0AEF6F" w14:textId="77777777" w:rsidR="00D45B87" w:rsidRPr="00BD1319" w:rsidRDefault="00D45B87">
      <w:pPr>
        <w:tabs>
          <w:tab w:val="left" w:pos="-2268"/>
        </w:tabs>
        <w:suppressAutoHyphens/>
        <w:rPr>
          <w:spacing w:val="-3"/>
        </w:rPr>
      </w:pPr>
    </w:p>
    <w:p w14:paraId="660FCFE8" w14:textId="15D3E945" w:rsidR="00E93E41" w:rsidRPr="00BD1319" w:rsidRDefault="00E93E41">
      <w:pPr>
        <w:tabs>
          <w:tab w:val="left" w:pos="-2268"/>
        </w:tabs>
        <w:suppressAutoHyphens/>
        <w:rPr>
          <w:spacing w:val="-3"/>
        </w:rPr>
      </w:pPr>
      <w:r w:rsidRPr="00BD1319">
        <w:rPr>
          <w:spacing w:val="-3"/>
        </w:rPr>
        <w:t xml:space="preserve">CALDERÓN, E.; GALEANO, G y GARCÍA, N. Libro rojo de plantas de Colombia. </w:t>
      </w:r>
      <w:r w:rsidR="002A4465" w:rsidRPr="00BD1319">
        <w:rPr>
          <w:spacing w:val="-3"/>
        </w:rPr>
        <w:t>Vol.</w:t>
      </w:r>
      <w:r w:rsidRPr="00BD1319">
        <w:rPr>
          <w:spacing w:val="-3"/>
        </w:rPr>
        <w:t xml:space="preserve"> 2: Palmas, frailejones y </w:t>
      </w:r>
      <w:proofErr w:type="spellStart"/>
      <w:r w:rsidRPr="00BD1319">
        <w:rPr>
          <w:spacing w:val="-3"/>
        </w:rPr>
        <w:t>zamias</w:t>
      </w:r>
      <w:proofErr w:type="spellEnd"/>
      <w:r w:rsidRPr="00BD1319">
        <w:rPr>
          <w:spacing w:val="-3"/>
        </w:rPr>
        <w:t xml:space="preserve">. Serie Libros rojos de especies amenazadas de Colombia. Bogotá: Ministerio del Medio Ambiente, Vivienda y Desarrollo Territorial de Colombia. Instituto de Investigación de Recursos Biológicos Alexander </w:t>
      </w:r>
      <w:proofErr w:type="spellStart"/>
      <w:r w:rsidRPr="00BD1319">
        <w:rPr>
          <w:spacing w:val="-3"/>
        </w:rPr>
        <w:t>Von</w:t>
      </w:r>
      <w:proofErr w:type="spellEnd"/>
      <w:r w:rsidRPr="00BD1319">
        <w:rPr>
          <w:spacing w:val="-3"/>
        </w:rPr>
        <w:t xml:space="preserve"> Humboldt, Instituto de Ciencias Naturales - Universidad Nacional de Colombia, Ministerio de Ambiente, Vivienda y Desarrollo Territorial, 2005.</w:t>
      </w:r>
    </w:p>
    <w:p w14:paraId="517D5951" w14:textId="77777777" w:rsidR="00E93E41" w:rsidRPr="00BD1319" w:rsidRDefault="00E93E41">
      <w:pPr>
        <w:tabs>
          <w:tab w:val="left" w:pos="-2268"/>
        </w:tabs>
        <w:suppressAutoHyphens/>
        <w:rPr>
          <w:spacing w:val="-3"/>
        </w:rPr>
      </w:pPr>
    </w:p>
    <w:p w14:paraId="55AB960F" w14:textId="098E386C" w:rsidR="00F70F4A" w:rsidRPr="00BD1319" w:rsidRDefault="002A1398" w:rsidP="00F70F4A">
      <w:pPr>
        <w:tabs>
          <w:tab w:val="left" w:pos="-2268"/>
        </w:tabs>
        <w:suppressAutoHyphens/>
        <w:rPr>
          <w:spacing w:val="-3"/>
          <w:lang w:val="en-US"/>
        </w:rPr>
      </w:pPr>
      <w:r w:rsidRPr="00BD1319">
        <w:rPr>
          <w:spacing w:val="-3"/>
        </w:rPr>
        <w:lastRenderedPageBreak/>
        <w:t xml:space="preserve">CÁRDENAS-LÓPEZ, D., BAPTISTE M. Y CASTAÑO N. </w:t>
      </w:r>
      <w:r w:rsidR="00F70F4A" w:rsidRPr="00BD1319">
        <w:rPr>
          <w:spacing w:val="-3"/>
        </w:rPr>
        <w:t>(</w:t>
      </w:r>
      <w:proofErr w:type="spellStart"/>
      <w:r w:rsidR="00F70F4A" w:rsidRPr="00BD1319">
        <w:rPr>
          <w:spacing w:val="-3"/>
        </w:rPr>
        <w:t>Eds</w:t>
      </w:r>
      <w:proofErr w:type="spellEnd"/>
      <w:r w:rsidR="00F70F4A" w:rsidRPr="00BD1319">
        <w:rPr>
          <w:spacing w:val="-3"/>
        </w:rPr>
        <w:t xml:space="preserve">). Plantas exóticas con alto potencial de invasión en Colombia. Bogotá D. C.: Instituto de Investigación de Recursos Biológicos Alexander </w:t>
      </w:r>
      <w:proofErr w:type="spellStart"/>
      <w:r w:rsidR="00F70F4A" w:rsidRPr="00BD1319">
        <w:rPr>
          <w:spacing w:val="-3"/>
        </w:rPr>
        <w:t>von</w:t>
      </w:r>
      <w:proofErr w:type="spellEnd"/>
      <w:r w:rsidR="00F70F4A" w:rsidRPr="00BD1319">
        <w:rPr>
          <w:spacing w:val="-3"/>
        </w:rPr>
        <w:t xml:space="preserve"> Humboldt, 2017. </w:t>
      </w:r>
      <w:r w:rsidR="00F70F4A" w:rsidRPr="00BD1319">
        <w:rPr>
          <w:spacing w:val="-3"/>
          <w:lang w:val="en-US"/>
        </w:rPr>
        <w:t>295 p.</w:t>
      </w:r>
    </w:p>
    <w:p w14:paraId="08424940" w14:textId="77777777" w:rsidR="00F70F4A" w:rsidRPr="00BD1319" w:rsidRDefault="00F70F4A">
      <w:pPr>
        <w:tabs>
          <w:tab w:val="left" w:pos="-2268"/>
        </w:tabs>
        <w:suppressAutoHyphens/>
        <w:rPr>
          <w:spacing w:val="-3"/>
          <w:lang w:val="en-US"/>
        </w:rPr>
      </w:pPr>
    </w:p>
    <w:p w14:paraId="34713AAC" w14:textId="77777777" w:rsidR="00D82BF5" w:rsidRPr="00BD1319" w:rsidRDefault="00D82BF5" w:rsidP="00D82BF5">
      <w:pPr>
        <w:tabs>
          <w:tab w:val="left" w:pos="-2268"/>
        </w:tabs>
        <w:suppressAutoHyphens/>
        <w:rPr>
          <w:spacing w:val="-3"/>
          <w:lang w:val="en-US"/>
        </w:rPr>
      </w:pPr>
      <w:r w:rsidRPr="00BD1319">
        <w:rPr>
          <w:spacing w:val="-3"/>
          <w:lang w:val="en-US"/>
        </w:rPr>
        <w:t>CARR, M. &amp; HANZEN, E. Ecological connectivity in the ocean. En: Hilty, J. (Ed.). Corridor Ecology: Linking Landscapes for Biodiversity Conservation and Climate Adaptation. Second edition. Washington, District of Columbia: Island Press. (2019); 216-237.</w:t>
      </w:r>
    </w:p>
    <w:p w14:paraId="59FDA99E" w14:textId="77777777" w:rsidR="00D82BF5" w:rsidRPr="00BD1319" w:rsidRDefault="00D82BF5">
      <w:pPr>
        <w:tabs>
          <w:tab w:val="left" w:pos="-2268"/>
        </w:tabs>
        <w:suppressAutoHyphens/>
        <w:rPr>
          <w:spacing w:val="-3"/>
          <w:lang w:val="en-US"/>
        </w:rPr>
      </w:pPr>
    </w:p>
    <w:p w14:paraId="74034B43" w14:textId="698D41CE" w:rsidR="002A1398" w:rsidRPr="00BD1319" w:rsidRDefault="002A1398">
      <w:pPr>
        <w:tabs>
          <w:tab w:val="left" w:pos="-2268"/>
        </w:tabs>
        <w:suppressAutoHyphens/>
        <w:rPr>
          <w:spacing w:val="-3"/>
        </w:rPr>
      </w:pPr>
      <w:r w:rsidRPr="00BD1319">
        <w:rPr>
          <w:spacing w:val="-3"/>
          <w:lang w:val="en-US"/>
        </w:rPr>
        <w:t xml:space="preserve">CARROLL, C., </w:t>
      </w:r>
      <w:proofErr w:type="spellStart"/>
      <w:r w:rsidRPr="00BD1319">
        <w:rPr>
          <w:spacing w:val="-3"/>
          <w:lang w:val="en-US"/>
        </w:rPr>
        <w:t>McRAE</w:t>
      </w:r>
      <w:proofErr w:type="spellEnd"/>
      <w:r w:rsidRPr="00BD1319">
        <w:rPr>
          <w:spacing w:val="-3"/>
          <w:lang w:val="en-US"/>
        </w:rPr>
        <w:t xml:space="preserve">, B., &amp; BROOKES, A. Use of </w:t>
      </w:r>
      <w:r w:rsidRPr="00BD1319">
        <w:rPr>
          <w:lang w:val="en-US"/>
        </w:rPr>
        <w:t>linkage mapping and centrality analysis across habitat gradients to conserve connectivity of gray wolf populations in western North America.</w:t>
      </w:r>
      <w:r w:rsidRPr="00BD1319">
        <w:rPr>
          <w:spacing w:val="-3"/>
          <w:lang w:val="en-US"/>
        </w:rPr>
        <w:t xml:space="preserve"> </w:t>
      </w:r>
      <w:proofErr w:type="spellStart"/>
      <w:r w:rsidRPr="00BD1319">
        <w:rPr>
          <w:spacing w:val="-3"/>
        </w:rPr>
        <w:t>Conservation</w:t>
      </w:r>
      <w:proofErr w:type="spellEnd"/>
      <w:r w:rsidRPr="00BD1319">
        <w:rPr>
          <w:spacing w:val="-3"/>
        </w:rPr>
        <w:t xml:space="preserve"> </w:t>
      </w:r>
      <w:proofErr w:type="spellStart"/>
      <w:r w:rsidRPr="00BD1319">
        <w:rPr>
          <w:spacing w:val="-3"/>
        </w:rPr>
        <w:t>Biology</w:t>
      </w:r>
      <w:proofErr w:type="spellEnd"/>
      <w:r w:rsidRPr="00BD1319">
        <w:rPr>
          <w:spacing w:val="-3"/>
        </w:rPr>
        <w:t>, 26, 1 (201</w:t>
      </w:r>
      <w:r w:rsidR="00F21E7B" w:rsidRPr="00BD1319">
        <w:rPr>
          <w:spacing w:val="-3"/>
        </w:rPr>
        <w:t>2</w:t>
      </w:r>
      <w:r w:rsidRPr="00BD1319">
        <w:rPr>
          <w:spacing w:val="-3"/>
        </w:rPr>
        <w:t>), 78–87.</w:t>
      </w:r>
    </w:p>
    <w:p w14:paraId="57FCAAB9" w14:textId="77777777" w:rsidR="002A1398" w:rsidRPr="00BD1319" w:rsidRDefault="002A1398">
      <w:pPr>
        <w:tabs>
          <w:tab w:val="left" w:pos="-2268"/>
        </w:tabs>
        <w:suppressAutoHyphens/>
        <w:rPr>
          <w:spacing w:val="-3"/>
        </w:rPr>
      </w:pPr>
    </w:p>
    <w:p w14:paraId="07A7DE16" w14:textId="3D6B49D8" w:rsidR="00E93E41" w:rsidRPr="00BD1319" w:rsidRDefault="00E93E41">
      <w:pPr>
        <w:tabs>
          <w:tab w:val="left" w:pos="-2268"/>
        </w:tabs>
        <w:suppressAutoHyphens/>
        <w:rPr>
          <w:spacing w:val="-3"/>
        </w:rPr>
      </w:pPr>
      <w:r w:rsidRPr="00BD1319">
        <w:rPr>
          <w:spacing w:val="-3"/>
        </w:rPr>
        <w:t>CARVAJAL, J. Propuesta de estandarización de la cartografía geomorfológica en Colombia. Bogotá, Colombia: Servicio Geológico Colombiano, 2012. 83 p.</w:t>
      </w:r>
    </w:p>
    <w:p w14:paraId="0A26DE03" w14:textId="77777777" w:rsidR="00E93E41" w:rsidRPr="00BD1319" w:rsidRDefault="00E93E41" w:rsidP="001B75E9">
      <w:pPr>
        <w:tabs>
          <w:tab w:val="left" w:pos="-2268"/>
        </w:tabs>
        <w:suppressAutoHyphens/>
        <w:rPr>
          <w:spacing w:val="-3"/>
        </w:rPr>
      </w:pPr>
    </w:p>
    <w:p w14:paraId="4DFFAD8F" w14:textId="77777777" w:rsidR="00E93E41" w:rsidRPr="00BD1319" w:rsidRDefault="00E93E41" w:rsidP="001B75E9">
      <w:pPr>
        <w:tabs>
          <w:tab w:val="left" w:pos="-2268"/>
        </w:tabs>
        <w:suppressAutoHyphens/>
        <w:rPr>
          <w:spacing w:val="-3"/>
          <w:lang w:val="en-US"/>
        </w:rPr>
      </w:pPr>
      <w:r w:rsidRPr="00BD1319">
        <w:rPr>
          <w:spacing w:val="-3"/>
        </w:rPr>
        <w:t>CARVAJAL</w:t>
      </w:r>
      <w:r w:rsidRPr="00BD1319">
        <w:rPr>
          <w:rFonts w:ascii="Cambria Math" w:hAnsi="Cambria Math" w:cs="Cambria Math"/>
          <w:spacing w:val="-3"/>
        </w:rPr>
        <w:t>‐</w:t>
      </w:r>
      <w:r w:rsidRPr="00BD1319">
        <w:rPr>
          <w:spacing w:val="-3"/>
        </w:rPr>
        <w:t>QUINTERO, J., JANUCHOWSKI</w:t>
      </w:r>
      <w:r w:rsidRPr="00BD1319">
        <w:rPr>
          <w:rFonts w:ascii="Cambria Math" w:hAnsi="Cambria Math" w:cs="Cambria Math"/>
          <w:spacing w:val="-3"/>
        </w:rPr>
        <w:t>‐</w:t>
      </w:r>
      <w:r w:rsidRPr="00BD1319">
        <w:rPr>
          <w:spacing w:val="-3"/>
        </w:rPr>
        <w:t>HARTLEY, S., MALDONADO</w:t>
      </w:r>
      <w:r w:rsidRPr="00BD1319">
        <w:rPr>
          <w:rFonts w:ascii="Cambria Math" w:hAnsi="Cambria Math" w:cs="Cambria Math"/>
          <w:spacing w:val="-3"/>
        </w:rPr>
        <w:t>‐</w:t>
      </w:r>
      <w:r w:rsidRPr="00BD1319">
        <w:rPr>
          <w:spacing w:val="-3"/>
        </w:rPr>
        <w:t xml:space="preserve">OCAMPO, J., JÉZÉQUEL, C., DELGADO, J., &amp; TEDESCO, P. A. (2017). </w:t>
      </w:r>
      <w:r w:rsidRPr="00BD1319">
        <w:rPr>
          <w:spacing w:val="-3"/>
          <w:lang w:val="en-US"/>
        </w:rPr>
        <w:t xml:space="preserve">Damming fragments </w:t>
      </w:r>
      <w:proofErr w:type="gramStart"/>
      <w:r w:rsidRPr="00BD1319">
        <w:rPr>
          <w:spacing w:val="-3"/>
          <w:lang w:val="en-US"/>
        </w:rPr>
        <w:t>species’</w:t>
      </w:r>
      <w:proofErr w:type="gramEnd"/>
      <w:r w:rsidRPr="00BD1319">
        <w:rPr>
          <w:spacing w:val="-3"/>
          <w:lang w:val="en-US"/>
        </w:rPr>
        <w:t xml:space="preserve"> ranges and heightens extinction risk. Conservation Letters, 10(6), 708-716.</w:t>
      </w:r>
    </w:p>
    <w:p w14:paraId="48946A6B" w14:textId="77777777" w:rsidR="00E93E41" w:rsidRPr="00BD1319" w:rsidRDefault="00E93E41" w:rsidP="00C01132">
      <w:pPr>
        <w:tabs>
          <w:tab w:val="left" w:pos="-2268"/>
        </w:tabs>
        <w:suppressAutoHyphens/>
        <w:rPr>
          <w:spacing w:val="-3"/>
          <w:lang w:val="en-US"/>
        </w:rPr>
      </w:pPr>
    </w:p>
    <w:p w14:paraId="64B2304C" w14:textId="77777777" w:rsidR="00E93E41" w:rsidRPr="00BD1319" w:rsidRDefault="00E93E41" w:rsidP="00C01132">
      <w:pPr>
        <w:tabs>
          <w:tab w:val="left" w:pos="-2268"/>
        </w:tabs>
        <w:suppressAutoHyphens/>
        <w:rPr>
          <w:spacing w:val="-3"/>
        </w:rPr>
      </w:pPr>
      <w:r w:rsidRPr="00BD1319">
        <w:rPr>
          <w:spacing w:val="-3"/>
        </w:rPr>
        <w:t xml:space="preserve">CASTRO, R., CASTRO, D., CASALLAS, Y. Tasa de descuento: aspectos relevantes para el licenciamiento ambiental en Colombia. Revista Desarrollo y Sociedad, Universidad de los Andes –CEDE. 84, 1 (2020); p. 9-55. </w:t>
      </w:r>
    </w:p>
    <w:p w14:paraId="51EF4543" w14:textId="77777777" w:rsidR="00E93E41" w:rsidRPr="00BD1319" w:rsidRDefault="00E93E41">
      <w:pPr>
        <w:tabs>
          <w:tab w:val="left" w:pos="-2268"/>
        </w:tabs>
        <w:suppressAutoHyphens/>
        <w:rPr>
          <w:rFonts w:cs="Arial"/>
          <w:szCs w:val="20"/>
        </w:rPr>
      </w:pPr>
    </w:p>
    <w:p w14:paraId="22F3BC49" w14:textId="43AF25F1" w:rsidR="00E93E41" w:rsidRPr="00BD1319" w:rsidRDefault="00E93E41">
      <w:pPr>
        <w:tabs>
          <w:tab w:val="left" w:pos="-2268"/>
        </w:tabs>
        <w:suppressAutoHyphens/>
        <w:rPr>
          <w:spacing w:val="-3"/>
          <w:lang w:val="es-MX"/>
        </w:rPr>
      </w:pPr>
      <w:r w:rsidRPr="00BD1319">
        <w:rPr>
          <w:rFonts w:cs="Arial"/>
          <w:szCs w:val="20"/>
        </w:rPr>
        <w:t xml:space="preserve">CHASQUI V., L., A. POLANCO F., A. ACERO P., P.A. MEJÍA-FALLA, A. NAVIA, L.A. ZAPATA Y J.P. CALDAS. (Eds.). Libro rojo de peces marinos de Colombia. Santa Marta, Colombia: Instituto de investigaciones marinas y costeras “José Benito Vives de </w:t>
      </w:r>
      <w:proofErr w:type="spellStart"/>
      <w:r w:rsidRPr="00BD1319">
        <w:rPr>
          <w:rFonts w:cs="Arial"/>
          <w:szCs w:val="20"/>
        </w:rPr>
        <w:t>Andréis</w:t>
      </w:r>
      <w:proofErr w:type="spellEnd"/>
      <w:r w:rsidRPr="00BD1319">
        <w:rPr>
          <w:rFonts w:cs="Arial"/>
          <w:szCs w:val="20"/>
        </w:rPr>
        <w:t>” –</w:t>
      </w:r>
      <w:proofErr w:type="spellStart"/>
      <w:r w:rsidRPr="00BD1319">
        <w:rPr>
          <w:rFonts w:cs="Arial"/>
          <w:szCs w:val="20"/>
        </w:rPr>
        <w:t>Invemar</w:t>
      </w:r>
      <w:proofErr w:type="spellEnd"/>
      <w:r w:rsidRPr="00BD1319">
        <w:rPr>
          <w:rFonts w:cs="Arial"/>
          <w:szCs w:val="20"/>
        </w:rPr>
        <w:t xml:space="preserve">, Ministerio de Ambiente y Desarrollo Sostenible. </w:t>
      </w:r>
      <w:r w:rsidRPr="00BD1319">
        <w:rPr>
          <w:rFonts w:cs="Arial"/>
          <w:szCs w:val="20"/>
          <w:lang w:val="es-MX"/>
        </w:rPr>
        <w:t xml:space="preserve">Serie de Publicaciones Generales de </w:t>
      </w:r>
      <w:proofErr w:type="spellStart"/>
      <w:r w:rsidR="00A92356" w:rsidRPr="00BD1319">
        <w:rPr>
          <w:rFonts w:cs="Arial"/>
          <w:szCs w:val="20"/>
          <w:lang w:val="es-MX"/>
        </w:rPr>
        <w:t>Invemar</w:t>
      </w:r>
      <w:proofErr w:type="spellEnd"/>
      <w:r w:rsidRPr="00BD1319">
        <w:rPr>
          <w:rFonts w:cs="Arial"/>
          <w:szCs w:val="20"/>
          <w:lang w:val="es-MX"/>
        </w:rPr>
        <w:t xml:space="preserve"> # 93, 2017. 552 p.</w:t>
      </w:r>
    </w:p>
    <w:p w14:paraId="34804FFE" w14:textId="4DF7ADF6" w:rsidR="00E93E41" w:rsidRPr="00BD1319" w:rsidRDefault="00E93E41">
      <w:pPr>
        <w:tabs>
          <w:tab w:val="left" w:pos="-2268"/>
        </w:tabs>
        <w:suppressAutoHyphens/>
        <w:rPr>
          <w:spacing w:val="-3"/>
          <w:lang w:val="es-MX"/>
        </w:rPr>
      </w:pPr>
    </w:p>
    <w:p w14:paraId="6486ADAA" w14:textId="5984DF57" w:rsidR="004023C8" w:rsidRPr="00BD1319" w:rsidRDefault="004023C8">
      <w:pPr>
        <w:tabs>
          <w:tab w:val="left" w:pos="-2268"/>
        </w:tabs>
        <w:suppressAutoHyphens/>
        <w:rPr>
          <w:spacing w:val="-3"/>
          <w:lang w:val="en-US"/>
        </w:rPr>
      </w:pPr>
      <w:r w:rsidRPr="00BD1319">
        <w:rPr>
          <w:spacing w:val="-3"/>
          <w:lang w:val="es-MX"/>
        </w:rPr>
        <w:t xml:space="preserve">CHURCHILL, S., ALDANA, C., OPISSO, J., MORALES, T. Familias y géneros de los musgos de los Andes tropicales. </w:t>
      </w:r>
      <w:r w:rsidRPr="00BD1319">
        <w:rPr>
          <w:spacing w:val="-3"/>
          <w:lang w:val="en-US"/>
        </w:rPr>
        <w:t>St Louis: Missouri Botanical Garden (2020).</w:t>
      </w:r>
    </w:p>
    <w:p w14:paraId="0274A945" w14:textId="77777777" w:rsidR="004023C8" w:rsidRPr="00BD1319" w:rsidRDefault="004023C8">
      <w:pPr>
        <w:tabs>
          <w:tab w:val="left" w:pos="-2268"/>
        </w:tabs>
        <w:suppressAutoHyphens/>
        <w:rPr>
          <w:spacing w:val="-3"/>
          <w:lang w:val="en-US"/>
        </w:rPr>
      </w:pPr>
    </w:p>
    <w:p w14:paraId="3F97A65C" w14:textId="48211E14" w:rsidR="004023C8" w:rsidRPr="00BD1319" w:rsidRDefault="004023C8">
      <w:pPr>
        <w:tabs>
          <w:tab w:val="left" w:pos="-2268"/>
        </w:tabs>
        <w:suppressAutoHyphens/>
        <w:rPr>
          <w:spacing w:val="-3"/>
          <w:lang w:val="en-US"/>
        </w:rPr>
      </w:pPr>
      <w:r w:rsidRPr="00BD1319">
        <w:rPr>
          <w:spacing w:val="-3"/>
          <w:lang w:val="en-US"/>
        </w:rPr>
        <w:t xml:space="preserve">CHURCHILL, S., GRIFFIN, D., MUÑOZ, J. A checklist of the mosses of the tropical Andean countries. </w:t>
      </w:r>
      <w:proofErr w:type="spellStart"/>
      <w:r w:rsidRPr="00BD1319">
        <w:rPr>
          <w:spacing w:val="-3"/>
          <w:lang w:val="en-US"/>
        </w:rPr>
        <w:t>Ruizia</w:t>
      </w:r>
      <w:proofErr w:type="spellEnd"/>
      <w:r w:rsidRPr="00BD1319">
        <w:rPr>
          <w:spacing w:val="-3"/>
          <w:lang w:val="en-US"/>
        </w:rPr>
        <w:t>. 17 (2000); 1–20.</w:t>
      </w:r>
    </w:p>
    <w:p w14:paraId="0ED4FC64" w14:textId="77777777" w:rsidR="004023C8" w:rsidRPr="00BD1319" w:rsidRDefault="004023C8">
      <w:pPr>
        <w:tabs>
          <w:tab w:val="left" w:pos="-2268"/>
        </w:tabs>
        <w:suppressAutoHyphens/>
        <w:rPr>
          <w:spacing w:val="-3"/>
          <w:lang w:val="en-US"/>
        </w:rPr>
      </w:pPr>
    </w:p>
    <w:p w14:paraId="31D9941B" w14:textId="1356C312" w:rsidR="00D50D7B" w:rsidRPr="00BD1319" w:rsidRDefault="00D50D7B">
      <w:pPr>
        <w:tabs>
          <w:tab w:val="left" w:pos="-2268"/>
        </w:tabs>
        <w:suppressAutoHyphens/>
        <w:rPr>
          <w:spacing w:val="-3"/>
        </w:rPr>
      </w:pPr>
      <w:r w:rsidRPr="00BD1319">
        <w:rPr>
          <w:spacing w:val="-3"/>
          <w:lang w:val="en-US"/>
        </w:rPr>
        <w:t xml:space="preserve">COLLINGE, S. &amp; FORMAN, R. A Conceptual Model of Land Conversion Processes: Predictions and Evidence from a </w:t>
      </w:r>
      <w:proofErr w:type="spellStart"/>
      <w:r w:rsidRPr="00BD1319">
        <w:rPr>
          <w:spacing w:val="-3"/>
          <w:lang w:val="en-US"/>
        </w:rPr>
        <w:t>Microlandscape</w:t>
      </w:r>
      <w:proofErr w:type="spellEnd"/>
      <w:r w:rsidRPr="00BD1319">
        <w:rPr>
          <w:spacing w:val="-3"/>
          <w:lang w:val="en-US"/>
        </w:rPr>
        <w:t xml:space="preserve"> Experiment with Grassland Insects. </w:t>
      </w:r>
      <w:r w:rsidRPr="00BD1319">
        <w:rPr>
          <w:spacing w:val="-3"/>
        </w:rPr>
        <w:t>Oikos, 82</w:t>
      </w:r>
      <w:r w:rsidR="0040127B" w:rsidRPr="00BD1319">
        <w:rPr>
          <w:spacing w:val="-3"/>
        </w:rPr>
        <w:t xml:space="preserve">, </w:t>
      </w:r>
      <w:r w:rsidRPr="00BD1319">
        <w:rPr>
          <w:spacing w:val="-3"/>
        </w:rPr>
        <w:t>1</w:t>
      </w:r>
      <w:r w:rsidR="0040127B" w:rsidRPr="00BD1319">
        <w:rPr>
          <w:spacing w:val="-3"/>
        </w:rPr>
        <w:t xml:space="preserve"> (1998</w:t>
      </w:r>
      <w:r w:rsidRPr="00BD1319">
        <w:rPr>
          <w:spacing w:val="-3"/>
        </w:rPr>
        <w:t>)</w:t>
      </w:r>
      <w:r w:rsidR="0040127B" w:rsidRPr="00BD1319">
        <w:rPr>
          <w:spacing w:val="-3"/>
        </w:rPr>
        <w:t>;</w:t>
      </w:r>
      <w:r w:rsidRPr="00BD1319">
        <w:rPr>
          <w:spacing w:val="-3"/>
        </w:rPr>
        <w:t xml:space="preserve"> </w:t>
      </w:r>
      <w:r w:rsidR="0040127B" w:rsidRPr="00BD1319">
        <w:rPr>
          <w:spacing w:val="-3"/>
        </w:rPr>
        <w:t xml:space="preserve">p. </w:t>
      </w:r>
      <w:r w:rsidRPr="00BD1319">
        <w:rPr>
          <w:spacing w:val="-3"/>
        </w:rPr>
        <w:t>66</w:t>
      </w:r>
      <w:r w:rsidR="0040127B" w:rsidRPr="00BD1319">
        <w:rPr>
          <w:spacing w:val="-3"/>
        </w:rPr>
        <w:t>.</w:t>
      </w:r>
    </w:p>
    <w:p w14:paraId="2F09BE5A" w14:textId="77777777" w:rsidR="00D50D7B" w:rsidRPr="00BD1319" w:rsidRDefault="00D50D7B">
      <w:pPr>
        <w:tabs>
          <w:tab w:val="left" w:pos="-2268"/>
        </w:tabs>
        <w:suppressAutoHyphens/>
        <w:rPr>
          <w:spacing w:val="-3"/>
        </w:rPr>
      </w:pPr>
    </w:p>
    <w:p w14:paraId="46D767AD" w14:textId="30D0E15A" w:rsidR="008D6E89" w:rsidRPr="00BD1319" w:rsidRDefault="008D6E89">
      <w:pPr>
        <w:tabs>
          <w:tab w:val="left" w:pos="-2268"/>
        </w:tabs>
        <w:suppressAutoHyphens/>
        <w:rPr>
          <w:spacing w:val="-3"/>
        </w:rPr>
      </w:pPr>
      <w:r w:rsidRPr="00BD1319">
        <w:rPr>
          <w:spacing w:val="-3"/>
        </w:rPr>
        <w:t xml:space="preserve">COMISIÓN INTERAMERICANA DE DERECHOS HUMANOS (CIDH) &amp; RELATORÍA ESPECIAL SOBRE LOS DERECHOS ECONÓMICOS, SOCIALES, CULTURALES Y AMBIENTALES (REDESCA). Resolución no. 3/2021 Emergencia climática: alcance de las </w:t>
      </w:r>
      <w:r w:rsidRPr="00BD1319">
        <w:rPr>
          <w:spacing w:val="-3"/>
        </w:rPr>
        <w:lastRenderedPageBreak/>
        <w:t xml:space="preserve">obligaciones interamericanas en materia de derechos humanos. </w:t>
      </w:r>
      <w:r w:rsidR="00710328" w:rsidRPr="00BD1319">
        <w:rPr>
          <w:spacing w:val="-3"/>
        </w:rPr>
        <w:t xml:space="preserve">CIDH – REDESCA, </w:t>
      </w:r>
      <w:r w:rsidRPr="00BD1319">
        <w:rPr>
          <w:spacing w:val="-3"/>
        </w:rPr>
        <w:t>2021</w:t>
      </w:r>
      <w:r w:rsidR="00710328" w:rsidRPr="00BD1319">
        <w:rPr>
          <w:spacing w:val="-3"/>
        </w:rPr>
        <w:t>. 26 p.</w:t>
      </w:r>
    </w:p>
    <w:p w14:paraId="425E256E" w14:textId="77777777" w:rsidR="00710328" w:rsidRPr="00BD1319" w:rsidRDefault="00710328">
      <w:pPr>
        <w:tabs>
          <w:tab w:val="left" w:pos="-2268"/>
        </w:tabs>
        <w:suppressAutoHyphens/>
        <w:rPr>
          <w:spacing w:val="-3"/>
        </w:rPr>
      </w:pPr>
    </w:p>
    <w:p w14:paraId="20788985" w14:textId="77777777" w:rsidR="00E93E41" w:rsidRPr="00BD1319" w:rsidRDefault="00E93E41">
      <w:pPr>
        <w:rPr>
          <w:spacing w:val="-3"/>
        </w:rPr>
      </w:pPr>
      <w:r w:rsidRPr="00BD1319">
        <w:rPr>
          <w:spacing w:val="-3"/>
        </w:rPr>
        <w:t xml:space="preserve">CONESA, V. Guía metodológica para la Evaluación del Impacto Ambiental. Cuarta edición revisada y ampliada. Madrid España: Ediciones </w:t>
      </w:r>
      <w:proofErr w:type="spellStart"/>
      <w:r w:rsidRPr="00BD1319">
        <w:rPr>
          <w:spacing w:val="-3"/>
        </w:rPr>
        <w:t>Mundi</w:t>
      </w:r>
      <w:proofErr w:type="spellEnd"/>
      <w:r w:rsidRPr="00BD1319">
        <w:rPr>
          <w:spacing w:val="-3"/>
        </w:rPr>
        <w:t>-Prensa, 2010.</w:t>
      </w:r>
    </w:p>
    <w:p w14:paraId="665698F3" w14:textId="13435602" w:rsidR="00E93E41" w:rsidRPr="00BD1319" w:rsidRDefault="00E93E41" w:rsidP="004E1DDB">
      <w:pPr>
        <w:tabs>
          <w:tab w:val="left" w:pos="-2268"/>
        </w:tabs>
        <w:suppressAutoHyphens/>
        <w:rPr>
          <w:spacing w:val="-3"/>
        </w:rPr>
      </w:pPr>
    </w:p>
    <w:p w14:paraId="5447AC40" w14:textId="55A9B0B4" w:rsidR="0029308A" w:rsidRPr="00BD1319" w:rsidRDefault="00EF00F3" w:rsidP="004E1DDB">
      <w:pPr>
        <w:tabs>
          <w:tab w:val="left" w:pos="-2268"/>
        </w:tabs>
        <w:suppressAutoHyphens/>
        <w:rPr>
          <w:spacing w:val="-3"/>
        </w:rPr>
      </w:pPr>
      <w:r w:rsidRPr="00BD1319">
        <w:rPr>
          <w:spacing w:val="-3"/>
          <w:lang w:val="en-US"/>
        </w:rPr>
        <w:t xml:space="preserve">CORREA, C., MENDOZA, M., ETTER, A., &amp; PÉREZ, </w:t>
      </w:r>
      <w:r w:rsidR="0029308A" w:rsidRPr="00BD1319">
        <w:rPr>
          <w:spacing w:val="-3"/>
          <w:lang w:val="en-US"/>
        </w:rPr>
        <w:t xml:space="preserve">D. Anthropogenic impact on habitat connectivity: A multidimensional human footprint index evaluated in a highly biodiverse landscape of Mexico. </w:t>
      </w:r>
      <w:proofErr w:type="spellStart"/>
      <w:r w:rsidR="0029308A" w:rsidRPr="00BD1319">
        <w:rPr>
          <w:spacing w:val="-3"/>
          <w:lang w:val="es-MX"/>
        </w:rPr>
        <w:t>Ecological</w:t>
      </w:r>
      <w:proofErr w:type="spellEnd"/>
      <w:r w:rsidR="0029308A" w:rsidRPr="00BD1319">
        <w:rPr>
          <w:spacing w:val="-3"/>
          <w:lang w:val="es-MX"/>
        </w:rPr>
        <w:t xml:space="preserve"> </w:t>
      </w:r>
      <w:proofErr w:type="spellStart"/>
      <w:r w:rsidR="0029308A" w:rsidRPr="00BD1319">
        <w:rPr>
          <w:spacing w:val="-3"/>
          <w:lang w:val="es-MX"/>
        </w:rPr>
        <w:t>Indicators</w:t>
      </w:r>
      <w:proofErr w:type="spellEnd"/>
      <w:r w:rsidR="0029308A" w:rsidRPr="00BD1319">
        <w:rPr>
          <w:spacing w:val="-3"/>
          <w:lang w:val="es-MX"/>
        </w:rPr>
        <w:t xml:space="preserve">. </w:t>
      </w:r>
      <w:r w:rsidR="0029308A" w:rsidRPr="00BD1319">
        <w:rPr>
          <w:spacing w:val="-3"/>
        </w:rPr>
        <w:t>72 (2017); p. 895–909.</w:t>
      </w:r>
    </w:p>
    <w:p w14:paraId="721A24EB" w14:textId="77777777" w:rsidR="0029308A" w:rsidRPr="00BD1319" w:rsidRDefault="0029308A" w:rsidP="004E1DDB">
      <w:pPr>
        <w:tabs>
          <w:tab w:val="left" w:pos="-2268"/>
        </w:tabs>
        <w:suppressAutoHyphens/>
        <w:rPr>
          <w:spacing w:val="-3"/>
        </w:rPr>
      </w:pPr>
    </w:p>
    <w:p w14:paraId="19475941" w14:textId="03F82387" w:rsidR="00FF3184" w:rsidRPr="00BD1319" w:rsidRDefault="00FF3184" w:rsidP="00F66D4F">
      <w:pPr>
        <w:tabs>
          <w:tab w:val="left" w:pos="-2268"/>
        </w:tabs>
        <w:suppressAutoHyphens/>
        <w:rPr>
          <w:spacing w:val="-3"/>
        </w:rPr>
      </w:pPr>
      <w:r w:rsidRPr="00BD1319">
        <w:rPr>
          <w:spacing w:val="-3"/>
        </w:rPr>
        <w:t>CORREA</w:t>
      </w:r>
      <w:r w:rsidR="007B1325" w:rsidRPr="00BD1319">
        <w:rPr>
          <w:spacing w:val="-3"/>
        </w:rPr>
        <w:t>, D</w:t>
      </w:r>
      <w:r w:rsidRPr="00BD1319">
        <w:rPr>
          <w:spacing w:val="-3"/>
        </w:rPr>
        <w:t xml:space="preserve">. Pasos de fauna en infraestructura lineal: </w:t>
      </w:r>
      <w:r w:rsidR="007B1325" w:rsidRPr="00BD1319">
        <w:rPr>
          <w:spacing w:val="-3"/>
        </w:rPr>
        <w:t>c</w:t>
      </w:r>
      <w:r w:rsidRPr="00BD1319">
        <w:rPr>
          <w:spacing w:val="-3"/>
        </w:rPr>
        <w:t>artilla de referencia para toma de decisiones</w:t>
      </w:r>
      <w:r w:rsidR="007B1325" w:rsidRPr="00BD1319">
        <w:rPr>
          <w:spacing w:val="-3"/>
        </w:rPr>
        <w:t>. Bogotá D. C.:</w:t>
      </w:r>
      <w:r w:rsidR="00F66D4F" w:rsidRPr="00BD1319">
        <w:rPr>
          <w:spacing w:val="-3"/>
        </w:rPr>
        <w:t xml:space="preserve"> Conservación de bosques y sostenibilidad en el Corazón de la </w:t>
      </w:r>
      <w:proofErr w:type="spellStart"/>
      <w:r w:rsidR="00F66D4F" w:rsidRPr="00BD1319">
        <w:rPr>
          <w:spacing w:val="-3"/>
        </w:rPr>
        <w:t>Amazonía</w:t>
      </w:r>
      <w:r w:rsidRPr="00BD1319">
        <w:rPr>
          <w:spacing w:val="-3"/>
        </w:rPr>
        <w:t>l</w:t>
      </w:r>
      <w:proofErr w:type="spellEnd"/>
      <w:r w:rsidRPr="00BD1319">
        <w:rPr>
          <w:spacing w:val="-3"/>
        </w:rPr>
        <w:t>,</w:t>
      </w:r>
      <w:r w:rsidR="007B1325" w:rsidRPr="00BD1319">
        <w:rPr>
          <w:spacing w:val="-3"/>
        </w:rPr>
        <w:t xml:space="preserve"> 2020</w:t>
      </w:r>
      <w:r w:rsidRPr="00BD1319">
        <w:rPr>
          <w:spacing w:val="-3"/>
        </w:rPr>
        <w:t>.</w:t>
      </w:r>
      <w:r w:rsidR="007B1325" w:rsidRPr="00BD1319">
        <w:rPr>
          <w:spacing w:val="-3"/>
        </w:rPr>
        <w:t xml:space="preserve"> 166 p.</w:t>
      </w:r>
    </w:p>
    <w:p w14:paraId="35FFFB53" w14:textId="77777777" w:rsidR="00FF3184" w:rsidRPr="00BD1319" w:rsidRDefault="00FF3184" w:rsidP="004E1DDB">
      <w:pPr>
        <w:tabs>
          <w:tab w:val="left" w:pos="-2268"/>
        </w:tabs>
        <w:suppressAutoHyphens/>
        <w:rPr>
          <w:spacing w:val="-3"/>
        </w:rPr>
      </w:pPr>
    </w:p>
    <w:p w14:paraId="3BAA965D" w14:textId="63A9E001" w:rsidR="00735972" w:rsidRPr="00BD1319" w:rsidRDefault="00735972" w:rsidP="004E1DDB">
      <w:pPr>
        <w:tabs>
          <w:tab w:val="left" w:pos="-2268"/>
        </w:tabs>
        <w:suppressAutoHyphens/>
        <w:rPr>
          <w:spacing w:val="-3"/>
        </w:rPr>
      </w:pPr>
      <w:r w:rsidRPr="00BD1319">
        <w:rPr>
          <w:spacing w:val="-3"/>
        </w:rPr>
        <w:t>CORTE INTERAMERICANA DE DERECHOS HUMANOS –CIDH. Opinión consultiva OC-23/17 de 15 de noviembre de 2017 solicitada por la República de Colombia. Medio Ambiente y Derechos Humanos. San José, Costa Rica: CIDH, 2017.</w:t>
      </w:r>
    </w:p>
    <w:p w14:paraId="5F90A17C" w14:textId="77777777" w:rsidR="00735972" w:rsidRPr="00BD1319" w:rsidRDefault="00735972" w:rsidP="004E1DDB">
      <w:pPr>
        <w:tabs>
          <w:tab w:val="left" w:pos="-2268"/>
        </w:tabs>
        <w:suppressAutoHyphens/>
        <w:rPr>
          <w:spacing w:val="-3"/>
        </w:rPr>
      </w:pPr>
    </w:p>
    <w:p w14:paraId="7D66DD67" w14:textId="6C93076C" w:rsidR="009B6A14" w:rsidRPr="00BD1319" w:rsidRDefault="009B6A14" w:rsidP="004E1DDB">
      <w:pPr>
        <w:tabs>
          <w:tab w:val="left" w:pos="-2268"/>
        </w:tabs>
        <w:suppressAutoHyphens/>
        <w:rPr>
          <w:spacing w:val="-3"/>
          <w:lang w:val="en-US"/>
        </w:rPr>
      </w:pPr>
      <w:r w:rsidRPr="00BD1319">
        <w:rPr>
          <w:spacing w:val="-3"/>
          <w:lang w:val="en-US"/>
        </w:rPr>
        <w:t>CRUMP, M., &amp; SCOTT JR.</w:t>
      </w:r>
      <w:r w:rsidR="005820F6" w:rsidRPr="00BD1319">
        <w:rPr>
          <w:spacing w:val="-3"/>
          <w:lang w:val="en-US"/>
        </w:rPr>
        <w:t>, N.</w:t>
      </w:r>
      <w:r w:rsidRPr="00BD1319">
        <w:rPr>
          <w:spacing w:val="-3"/>
          <w:lang w:val="en-US"/>
        </w:rPr>
        <w:t xml:space="preserve"> Visual encounter surveys. In W. R. </w:t>
      </w:r>
      <w:r w:rsidR="005820F6" w:rsidRPr="00BD1319">
        <w:rPr>
          <w:spacing w:val="-3"/>
          <w:lang w:val="en-US"/>
        </w:rPr>
        <w:t>HEYER</w:t>
      </w:r>
      <w:r w:rsidRPr="00BD1319">
        <w:rPr>
          <w:spacing w:val="-3"/>
          <w:lang w:val="en-US"/>
        </w:rPr>
        <w:t>, M.</w:t>
      </w:r>
      <w:r w:rsidR="005820F6" w:rsidRPr="00BD1319">
        <w:rPr>
          <w:spacing w:val="-3"/>
          <w:lang w:val="en-US"/>
        </w:rPr>
        <w:t>,</w:t>
      </w:r>
      <w:r w:rsidRPr="00BD1319">
        <w:rPr>
          <w:spacing w:val="-3"/>
          <w:lang w:val="en-US"/>
        </w:rPr>
        <w:t xml:space="preserve"> </w:t>
      </w:r>
      <w:r w:rsidR="005820F6" w:rsidRPr="00BD1319">
        <w:rPr>
          <w:spacing w:val="-3"/>
          <w:lang w:val="en-US"/>
        </w:rPr>
        <w:t>DONNELLY</w:t>
      </w:r>
      <w:r w:rsidRPr="00BD1319">
        <w:rPr>
          <w:spacing w:val="-3"/>
          <w:lang w:val="en-US"/>
        </w:rPr>
        <w:t xml:space="preserve">, </w:t>
      </w:r>
      <w:proofErr w:type="spellStart"/>
      <w:r w:rsidRPr="00BD1319">
        <w:rPr>
          <w:spacing w:val="-3"/>
          <w:lang w:val="en-US"/>
        </w:rPr>
        <w:t>McD</w:t>
      </w:r>
      <w:r w:rsidR="005820F6" w:rsidRPr="00BD1319">
        <w:rPr>
          <w:spacing w:val="-3"/>
          <w:lang w:val="en-US"/>
        </w:rPr>
        <w:t>IARMID</w:t>
      </w:r>
      <w:proofErr w:type="spellEnd"/>
      <w:r w:rsidRPr="00BD1319">
        <w:rPr>
          <w:spacing w:val="-3"/>
          <w:lang w:val="en-US"/>
        </w:rPr>
        <w:t xml:space="preserve">, </w:t>
      </w:r>
      <w:r w:rsidR="005820F6" w:rsidRPr="00BD1319">
        <w:rPr>
          <w:spacing w:val="-3"/>
          <w:lang w:val="en-US"/>
        </w:rPr>
        <w:t>R., HAYEK</w:t>
      </w:r>
      <w:r w:rsidRPr="00BD1319">
        <w:rPr>
          <w:spacing w:val="-3"/>
          <w:lang w:val="en-US"/>
        </w:rPr>
        <w:t xml:space="preserve">, </w:t>
      </w:r>
      <w:r w:rsidR="005820F6" w:rsidRPr="00BD1319">
        <w:rPr>
          <w:spacing w:val="-3"/>
          <w:lang w:val="en-US"/>
        </w:rPr>
        <w:t xml:space="preserve">L. &amp; FOSTER, M. </w:t>
      </w:r>
      <w:r w:rsidRPr="00BD1319">
        <w:rPr>
          <w:spacing w:val="-3"/>
          <w:lang w:val="en-US"/>
        </w:rPr>
        <w:t>(</w:t>
      </w:r>
      <w:r w:rsidR="005820F6" w:rsidRPr="00BD1319">
        <w:rPr>
          <w:spacing w:val="-3"/>
          <w:lang w:val="en-US"/>
        </w:rPr>
        <w:t>E</w:t>
      </w:r>
      <w:r w:rsidRPr="00BD1319">
        <w:rPr>
          <w:spacing w:val="-3"/>
          <w:lang w:val="en-US"/>
        </w:rPr>
        <w:t xml:space="preserve">ds.), Measuring and </w:t>
      </w:r>
      <w:r w:rsidR="005820F6" w:rsidRPr="00BD1319">
        <w:rPr>
          <w:spacing w:val="-3"/>
          <w:lang w:val="en-US"/>
        </w:rPr>
        <w:t xml:space="preserve">monitoring biological diversity: standard methods for amphibians. Washington, DC.: </w:t>
      </w:r>
      <w:r w:rsidRPr="00BD1319">
        <w:rPr>
          <w:spacing w:val="-3"/>
          <w:lang w:val="en-US"/>
        </w:rPr>
        <w:t>Smithsonian Institution Press</w:t>
      </w:r>
      <w:r w:rsidR="005820F6" w:rsidRPr="00BD1319">
        <w:rPr>
          <w:spacing w:val="-3"/>
          <w:lang w:val="en-US"/>
        </w:rPr>
        <w:t>.</w:t>
      </w:r>
      <w:r w:rsidRPr="00BD1319">
        <w:rPr>
          <w:spacing w:val="-3"/>
          <w:lang w:val="en-US"/>
        </w:rPr>
        <w:t xml:space="preserve"> </w:t>
      </w:r>
      <w:r w:rsidR="005820F6" w:rsidRPr="00BD1319">
        <w:rPr>
          <w:spacing w:val="-3"/>
          <w:lang w:val="en-US"/>
        </w:rPr>
        <w:t>(1994); p. 84–92.</w:t>
      </w:r>
    </w:p>
    <w:p w14:paraId="5464E443" w14:textId="77777777" w:rsidR="009B6A14" w:rsidRPr="00BD1319" w:rsidRDefault="009B6A14" w:rsidP="004E1DDB">
      <w:pPr>
        <w:tabs>
          <w:tab w:val="left" w:pos="-2268"/>
        </w:tabs>
        <w:suppressAutoHyphens/>
        <w:rPr>
          <w:spacing w:val="-3"/>
          <w:lang w:val="en-US"/>
        </w:rPr>
      </w:pPr>
    </w:p>
    <w:p w14:paraId="4B407F12" w14:textId="77777777" w:rsidR="00E93E41" w:rsidRPr="00BD1319" w:rsidRDefault="00E93E41" w:rsidP="004E1DDB">
      <w:pPr>
        <w:tabs>
          <w:tab w:val="left" w:pos="-2268"/>
        </w:tabs>
        <w:suppressAutoHyphens/>
        <w:rPr>
          <w:spacing w:val="-3"/>
          <w:lang w:val="en-US"/>
        </w:rPr>
      </w:pPr>
      <w:r w:rsidRPr="00BD1319">
        <w:rPr>
          <w:spacing w:val="-3"/>
          <w:lang w:val="en-US"/>
        </w:rPr>
        <w:t>DAY, T. Longitudinal dispersion of fluid particles in mountain streams: 1. Theory and filed evidence. J. Hydro. (N.Z.), 16, 1 (1977); p. 7-25.</w:t>
      </w:r>
    </w:p>
    <w:p w14:paraId="47E6A96C" w14:textId="77777777" w:rsidR="00E93E41" w:rsidRPr="00BD1319" w:rsidRDefault="00E93E41">
      <w:pPr>
        <w:tabs>
          <w:tab w:val="left" w:pos="-2268"/>
        </w:tabs>
        <w:suppressAutoHyphens/>
        <w:rPr>
          <w:spacing w:val="-3"/>
          <w:lang w:val="en-US"/>
        </w:rPr>
      </w:pPr>
    </w:p>
    <w:p w14:paraId="0457A185" w14:textId="5646D864" w:rsidR="00E93E41" w:rsidRPr="006B11C6" w:rsidRDefault="00E93E41">
      <w:pPr>
        <w:tabs>
          <w:tab w:val="left" w:pos="-2268"/>
        </w:tabs>
        <w:suppressAutoHyphens/>
        <w:rPr>
          <w:spacing w:val="-3"/>
        </w:rPr>
      </w:pPr>
      <w:r w:rsidRPr="00BD1319">
        <w:rPr>
          <w:spacing w:val="-3"/>
          <w:lang w:val="en-US"/>
        </w:rPr>
        <w:t xml:space="preserve">DEICHMANN, J., HERNÁNDEZ-SERNA, A., DELGADO A., CAMPOS-CERQUEIRA, M., MITCHELL AIDE, T. Soundscape analysis and acoustic monitoring document impacts of natural gas exploration on biodiversity in a tropical forest. </w:t>
      </w:r>
      <w:proofErr w:type="spellStart"/>
      <w:r w:rsidRPr="006B11C6">
        <w:rPr>
          <w:spacing w:val="-3"/>
        </w:rPr>
        <w:t>Ecological</w:t>
      </w:r>
      <w:proofErr w:type="spellEnd"/>
      <w:r w:rsidRPr="006B11C6">
        <w:rPr>
          <w:spacing w:val="-3"/>
        </w:rPr>
        <w:t xml:space="preserve"> </w:t>
      </w:r>
      <w:proofErr w:type="spellStart"/>
      <w:r w:rsidRPr="006B11C6">
        <w:rPr>
          <w:spacing w:val="-3"/>
        </w:rPr>
        <w:t>Indicators</w:t>
      </w:r>
      <w:proofErr w:type="spellEnd"/>
      <w:r w:rsidRPr="006B11C6">
        <w:rPr>
          <w:spacing w:val="-3"/>
        </w:rPr>
        <w:t>. 74 (2017); p. 39-48.</w:t>
      </w:r>
    </w:p>
    <w:p w14:paraId="59E23398" w14:textId="77777777" w:rsidR="00E93E41" w:rsidRPr="006B11C6" w:rsidRDefault="00E93E41" w:rsidP="004E0E57">
      <w:pPr>
        <w:overflowPunct/>
        <w:textAlignment w:val="auto"/>
      </w:pPr>
    </w:p>
    <w:p w14:paraId="30DC25D6" w14:textId="77777777" w:rsidR="00E93E41" w:rsidRPr="006B11C6" w:rsidRDefault="00E93E41" w:rsidP="004E0E57">
      <w:pPr>
        <w:overflowPunct/>
        <w:textAlignment w:val="auto"/>
      </w:pPr>
      <w:r w:rsidRPr="006B11C6">
        <w:t>DEPARTAMENTO ADMINISTRATIVO NACIONAL DE ESTADÍSTICA –DANE. Ficha metodológica tercer censo nacional agropecuario. Bogotá D. C.: DANE, 2016.</w:t>
      </w:r>
    </w:p>
    <w:p w14:paraId="5D4C1094" w14:textId="77777777" w:rsidR="00E93E41" w:rsidRPr="006B11C6" w:rsidRDefault="00E93E41" w:rsidP="00E93E41">
      <w:pPr>
        <w:overflowPunct/>
        <w:textAlignment w:val="auto"/>
      </w:pPr>
    </w:p>
    <w:p w14:paraId="08A45744" w14:textId="77777777" w:rsidR="00E93E41" w:rsidRPr="00BD1319" w:rsidRDefault="00E93E41" w:rsidP="009420F5">
      <w:pPr>
        <w:overflowPunct/>
        <w:textAlignment w:val="auto"/>
      </w:pPr>
      <w:r w:rsidRPr="006B11C6">
        <w:t xml:space="preserve">DEPARTAMENTO ADMINISTRATIVO NACIONAL DE ESTADÍSTICA –DANE. </w:t>
      </w:r>
      <w:r w:rsidRPr="00BD1319">
        <w:t>Metodología Gran Encuesta Integrada de Hogares. Colección documentos - actualización 2009. Núm. 83. Bogotá D. C.: DANE, 2009.</w:t>
      </w:r>
    </w:p>
    <w:p w14:paraId="77AC6659" w14:textId="5FACAFDD" w:rsidR="00E93E41" w:rsidRPr="00BD1319" w:rsidRDefault="00E93E41">
      <w:pPr>
        <w:tabs>
          <w:tab w:val="left" w:pos="-2268"/>
        </w:tabs>
        <w:suppressAutoHyphens/>
        <w:rPr>
          <w:spacing w:val="-3"/>
        </w:rPr>
      </w:pPr>
    </w:p>
    <w:p w14:paraId="0BB03B8B" w14:textId="46F5E9FF" w:rsidR="009E12F7" w:rsidRPr="00BD1319" w:rsidRDefault="009E12F7" w:rsidP="009E12F7">
      <w:pPr>
        <w:tabs>
          <w:tab w:val="left" w:pos="-2268"/>
        </w:tabs>
        <w:suppressAutoHyphens/>
        <w:rPr>
          <w:spacing w:val="-3"/>
          <w:lang w:val="en-US"/>
        </w:rPr>
      </w:pPr>
      <w:r w:rsidRPr="00BD1319">
        <w:rPr>
          <w:spacing w:val="-3"/>
        </w:rPr>
        <w:t xml:space="preserve">DEPARTAMENTO NACIONAL DE PLANEACIÓN </w:t>
      </w:r>
      <w:r w:rsidRPr="00BD1319">
        <w:t xml:space="preserve">–DNP. Elementos para la formulación de la política nacional de ordenamiento territorial y alcances de las directrices departamentales. </w:t>
      </w:r>
      <w:r w:rsidRPr="00BD1319">
        <w:rPr>
          <w:lang w:val="en-US"/>
        </w:rPr>
        <w:t>Bogotá D.C.: DNP</w:t>
      </w:r>
      <w:r w:rsidRPr="00BD1319">
        <w:rPr>
          <w:spacing w:val="-3"/>
          <w:lang w:val="en-US"/>
        </w:rPr>
        <w:t>, 2013.</w:t>
      </w:r>
    </w:p>
    <w:p w14:paraId="699C53C0" w14:textId="77777777" w:rsidR="009E12F7" w:rsidRPr="00BD1319" w:rsidRDefault="009E12F7">
      <w:pPr>
        <w:tabs>
          <w:tab w:val="left" w:pos="-2268"/>
        </w:tabs>
        <w:suppressAutoHyphens/>
        <w:rPr>
          <w:spacing w:val="-3"/>
          <w:lang w:val="en-US"/>
        </w:rPr>
      </w:pPr>
    </w:p>
    <w:p w14:paraId="0F0334B6" w14:textId="11199F48" w:rsidR="00A23EB9" w:rsidRPr="00BD1319" w:rsidRDefault="00D633BC" w:rsidP="00FA627D">
      <w:pPr>
        <w:overflowPunct/>
        <w:autoSpaceDE/>
        <w:autoSpaceDN/>
        <w:adjustRightInd/>
        <w:textAlignment w:val="auto"/>
        <w:rPr>
          <w:color w:val="000000" w:themeColor="text1"/>
          <w:spacing w:val="-3"/>
        </w:rPr>
      </w:pPr>
      <w:r w:rsidRPr="00BD1319">
        <w:rPr>
          <w:color w:val="000000" w:themeColor="text1"/>
          <w:spacing w:val="-3"/>
          <w:lang w:val="en-US"/>
        </w:rPr>
        <w:lastRenderedPageBreak/>
        <w:t xml:space="preserve">DEPARTMENT FOR COMMUNITIES AND LOCAL GOVERNMENT </w:t>
      </w:r>
      <w:r w:rsidRPr="00BD1319">
        <w:rPr>
          <w:color w:val="000000" w:themeColor="text1"/>
          <w:lang w:val="en-US"/>
        </w:rPr>
        <w:t>–</w:t>
      </w:r>
      <w:r w:rsidR="00A23EB9" w:rsidRPr="00BD1319">
        <w:rPr>
          <w:color w:val="000000" w:themeColor="text1"/>
          <w:spacing w:val="-3"/>
          <w:lang w:val="en-US"/>
        </w:rPr>
        <w:t xml:space="preserve">DCLG. Multi-criteria analysis: a manual. London: Department for Communities and Local Government, </w:t>
      </w:r>
      <w:r w:rsidRPr="00BD1319">
        <w:rPr>
          <w:color w:val="000000" w:themeColor="text1"/>
          <w:spacing w:val="-3"/>
          <w:lang w:val="en-US"/>
        </w:rPr>
        <w:t xml:space="preserve">2009. </w:t>
      </w:r>
      <w:r w:rsidR="00A23EB9" w:rsidRPr="00BD1319">
        <w:rPr>
          <w:color w:val="000000" w:themeColor="text1"/>
          <w:spacing w:val="-3"/>
        </w:rPr>
        <w:t>165p.</w:t>
      </w:r>
    </w:p>
    <w:p w14:paraId="2158AD7E" w14:textId="77777777" w:rsidR="00A23EB9" w:rsidRPr="00BD1319" w:rsidRDefault="00A23EB9" w:rsidP="00FA627D">
      <w:pPr>
        <w:tabs>
          <w:tab w:val="left" w:pos="-2268"/>
        </w:tabs>
        <w:suppressAutoHyphens/>
        <w:rPr>
          <w:spacing w:val="-3"/>
        </w:rPr>
      </w:pPr>
    </w:p>
    <w:p w14:paraId="7EE3960F" w14:textId="1CBDE384" w:rsidR="00283CC7" w:rsidRPr="00BD1319" w:rsidRDefault="00283CC7" w:rsidP="00FA627D">
      <w:pPr>
        <w:tabs>
          <w:tab w:val="left" w:pos="-2268"/>
        </w:tabs>
        <w:suppressAutoHyphens/>
        <w:rPr>
          <w:spacing w:val="-3"/>
          <w:lang w:val="en-US"/>
        </w:rPr>
      </w:pPr>
      <w:r w:rsidRPr="00BD1319">
        <w:rPr>
          <w:spacing w:val="-3"/>
        </w:rPr>
        <w:t xml:space="preserve">DÍAZ-PULIDO, A. Y PAYÁN, E. Manual de </w:t>
      </w:r>
      <w:proofErr w:type="spellStart"/>
      <w:r w:rsidRPr="00BD1319">
        <w:rPr>
          <w:spacing w:val="-3"/>
        </w:rPr>
        <w:t>fototrampeo</w:t>
      </w:r>
      <w:proofErr w:type="spellEnd"/>
      <w:r w:rsidRPr="00BD1319">
        <w:rPr>
          <w:spacing w:val="-3"/>
        </w:rPr>
        <w:t xml:space="preserve">: una herramienta de investigación para la conservación de la biodiversidad en Colombia. Bogotá: Instituto de Investigaciones de Recursos Biológicos Alexander </w:t>
      </w:r>
      <w:proofErr w:type="spellStart"/>
      <w:r w:rsidRPr="00BD1319">
        <w:rPr>
          <w:spacing w:val="-3"/>
        </w:rPr>
        <w:t>von</w:t>
      </w:r>
      <w:proofErr w:type="spellEnd"/>
      <w:r w:rsidRPr="00BD1319">
        <w:rPr>
          <w:spacing w:val="-3"/>
        </w:rPr>
        <w:t xml:space="preserve"> Humboldt y Panthera Colombia, 2012. </w:t>
      </w:r>
      <w:r w:rsidRPr="00BD1319">
        <w:rPr>
          <w:spacing w:val="-3"/>
          <w:lang w:val="en-US"/>
        </w:rPr>
        <w:t>32 p.</w:t>
      </w:r>
    </w:p>
    <w:p w14:paraId="453BCD09" w14:textId="77777777" w:rsidR="00283CC7" w:rsidRPr="00BD1319" w:rsidRDefault="00283CC7" w:rsidP="00FA627D">
      <w:pPr>
        <w:tabs>
          <w:tab w:val="left" w:pos="-2268"/>
        </w:tabs>
        <w:suppressAutoHyphens/>
        <w:rPr>
          <w:spacing w:val="-3"/>
          <w:lang w:val="en-US"/>
        </w:rPr>
      </w:pPr>
    </w:p>
    <w:p w14:paraId="5DDEE0A0" w14:textId="77777777" w:rsidR="00E93E41" w:rsidRPr="00BD1319" w:rsidRDefault="00E93E41" w:rsidP="00FA627D">
      <w:pPr>
        <w:tabs>
          <w:tab w:val="left" w:pos="-2268"/>
        </w:tabs>
        <w:suppressAutoHyphens/>
        <w:rPr>
          <w:spacing w:val="-3"/>
          <w:lang w:val="en-US"/>
        </w:rPr>
      </w:pPr>
      <w:r w:rsidRPr="00BD1319">
        <w:rPr>
          <w:spacing w:val="-3"/>
          <w:lang w:val="en-US"/>
        </w:rPr>
        <w:t xml:space="preserve">DINGMAN S. Physical hydrology Vol. 1. New Jersey: Prentice Hall, 2002. 646 </w:t>
      </w:r>
      <w:proofErr w:type="gramStart"/>
      <w:r w:rsidRPr="00BD1319">
        <w:rPr>
          <w:spacing w:val="-3"/>
          <w:lang w:val="en-US"/>
        </w:rPr>
        <w:t>p.</w:t>
      </w:r>
      <w:proofErr w:type="gramEnd"/>
    </w:p>
    <w:p w14:paraId="4C01E57A" w14:textId="77777777" w:rsidR="00E93E41" w:rsidRPr="00BD1319" w:rsidRDefault="00E93E41" w:rsidP="00FA627D">
      <w:pPr>
        <w:tabs>
          <w:tab w:val="left" w:pos="-2268"/>
        </w:tabs>
        <w:suppressAutoHyphens/>
        <w:rPr>
          <w:spacing w:val="-3"/>
          <w:lang w:val="en-US"/>
        </w:rPr>
      </w:pPr>
    </w:p>
    <w:p w14:paraId="6534FD35" w14:textId="0E81E264" w:rsidR="00A23EB9" w:rsidRPr="00BD1319" w:rsidRDefault="00D633BC" w:rsidP="00FA627D">
      <w:pPr>
        <w:overflowPunct/>
        <w:autoSpaceDE/>
        <w:autoSpaceDN/>
        <w:adjustRightInd/>
        <w:textAlignment w:val="auto"/>
        <w:rPr>
          <w:color w:val="000000" w:themeColor="text1"/>
          <w:spacing w:val="-3"/>
          <w:lang w:val="en-US"/>
        </w:rPr>
      </w:pPr>
      <w:r w:rsidRPr="00BD1319">
        <w:rPr>
          <w:color w:val="000000" w:themeColor="text1"/>
          <w:spacing w:val="-3"/>
          <w:lang w:val="en-US"/>
        </w:rPr>
        <w:t>EASTMAN</w:t>
      </w:r>
      <w:r w:rsidR="00A23EB9" w:rsidRPr="00BD1319">
        <w:rPr>
          <w:color w:val="000000" w:themeColor="text1"/>
          <w:spacing w:val="-3"/>
          <w:lang w:val="en-US"/>
        </w:rPr>
        <w:t xml:space="preserve">, J. Multi-criteria evaluation and GIS. En: </w:t>
      </w:r>
      <w:r w:rsidR="00981D41" w:rsidRPr="00BD1319">
        <w:rPr>
          <w:color w:val="000000" w:themeColor="text1"/>
          <w:spacing w:val="-3"/>
          <w:lang w:val="en-US"/>
        </w:rPr>
        <w:t>LONGLEY, P., GOODCHILD, M., MAGUIRE, D., RHIND</w:t>
      </w:r>
      <w:r w:rsidR="00A23EB9" w:rsidRPr="00BD1319">
        <w:rPr>
          <w:color w:val="000000" w:themeColor="text1"/>
          <w:spacing w:val="-3"/>
          <w:lang w:val="en-US"/>
        </w:rPr>
        <w:t xml:space="preserve">, D. </w:t>
      </w:r>
      <w:r w:rsidR="00981D41" w:rsidRPr="00BD1319">
        <w:rPr>
          <w:color w:val="000000" w:themeColor="text1"/>
          <w:spacing w:val="-3"/>
          <w:lang w:val="en-US"/>
        </w:rPr>
        <w:t>(</w:t>
      </w:r>
      <w:r w:rsidR="00A23EB9" w:rsidRPr="00BD1319">
        <w:rPr>
          <w:color w:val="000000" w:themeColor="text1"/>
          <w:spacing w:val="-3"/>
          <w:lang w:val="en-US"/>
        </w:rPr>
        <w:t>Eds</w:t>
      </w:r>
      <w:r w:rsidR="00981D41" w:rsidRPr="00BD1319">
        <w:rPr>
          <w:color w:val="000000" w:themeColor="text1"/>
          <w:spacing w:val="-3"/>
          <w:lang w:val="en-US"/>
        </w:rPr>
        <w:t>)</w:t>
      </w:r>
      <w:r w:rsidR="00A23EB9" w:rsidRPr="00BD1319">
        <w:rPr>
          <w:color w:val="000000" w:themeColor="text1"/>
          <w:spacing w:val="-3"/>
          <w:lang w:val="en-US"/>
        </w:rPr>
        <w:t>.</w:t>
      </w:r>
      <w:r w:rsidR="00981D41" w:rsidRPr="00BD1319">
        <w:rPr>
          <w:color w:val="000000" w:themeColor="text1"/>
          <w:spacing w:val="-3"/>
          <w:lang w:val="en-US"/>
        </w:rPr>
        <w:t xml:space="preserve"> Geographical Information Systems: principles, techniques, management and applications.</w:t>
      </w:r>
      <w:r w:rsidR="00A23EB9" w:rsidRPr="00BD1319">
        <w:rPr>
          <w:color w:val="000000" w:themeColor="text1"/>
          <w:spacing w:val="-3"/>
          <w:lang w:val="en-US"/>
        </w:rPr>
        <w:t xml:space="preserve"> New York</w:t>
      </w:r>
      <w:r w:rsidR="00981D41" w:rsidRPr="00BD1319">
        <w:rPr>
          <w:color w:val="000000" w:themeColor="text1"/>
          <w:spacing w:val="-3"/>
          <w:lang w:val="en-US"/>
        </w:rPr>
        <w:t>: Wiley.</w:t>
      </w:r>
      <w:r w:rsidR="00A23EB9" w:rsidRPr="00BD1319">
        <w:rPr>
          <w:color w:val="000000" w:themeColor="text1"/>
          <w:spacing w:val="-3"/>
          <w:lang w:val="en-US"/>
        </w:rPr>
        <w:t xml:space="preserve"> </w:t>
      </w:r>
      <w:r w:rsidR="00981D41" w:rsidRPr="00BD1319">
        <w:rPr>
          <w:color w:val="000000" w:themeColor="text1"/>
          <w:spacing w:val="-3"/>
          <w:lang w:val="en-US"/>
        </w:rPr>
        <w:t>(</w:t>
      </w:r>
      <w:r w:rsidR="00A23EB9" w:rsidRPr="00BD1319">
        <w:rPr>
          <w:color w:val="000000" w:themeColor="text1"/>
          <w:spacing w:val="-3"/>
          <w:lang w:val="en-US"/>
        </w:rPr>
        <w:t>2005</w:t>
      </w:r>
      <w:r w:rsidR="00981D41" w:rsidRPr="00BD1319">
        <w:rPr>
          <w:color w:val="000000" w:themeColor="text1"/>
          <w:spacing w:val="-3"/>
          <w:lang w:val="en-US"/>
        </w:rPr>
        <w:t>)</w:t>
      </w:r>
      <w:r w:rsidR="00A23EB9" w:rsidRPr="00BD1319">
        <w:rPr>
          <w:color w:val="000000" w:themeColor="text1"/>
          <w:spacing w:val="-3"/>
          <w:lang w:val="en-US"/>
        </w:rPr>
        <w:t>; p. 493–502.</w:t>
      </w:r>
    </w:p>
    <w:p w14:paraId="21DC4CCA" w14:textId="77777777" w:rsidR="00A23EB9" w:rsidRPr="00BD1319" w:rsidRDefault="00A23EB9" w:rsidP="00FA627D">
      <w:pPr>
        <w:tabs>
          <w:tab w:val="left" w:pos="-2268"/>
        </w:tabs>
        <w:suppressAutoHyphens/>
        <w:rPr>
          <w:spacing w:val="-3"/>
          <w:lang w:val="en-US"/>
        </w:rPr>
      </w:pPr>
    </w:p>
    <w:p w14:paraId="4E481C25" w14:textId="77777777" w:rsidR="00E93E41" w:rsidRPr="00BD1319" w:rsidRDefault="00E93E41" w:rsidP="00FA627D">
      <w:pPr>
        <w:tabs>
          <w:tab w:val="left" w:pos="-2268"/>
        </w:tabs>
        <w:suppressAutoHyphens/>
        <w:rPr>
          <w:spacing w:val="-3"/>
          <w:lang w:val="es-MX"/>
        </w:rPr>
      </w:pPr>
      <w:r w:rsidRPr="00BD1319">
        <w:rPr>
          <w:spacing w:val="-3"/>
          <w:lang w:val="en-US"/>
        </w:rPr>
        <w:t xml:space="preserve">EISENBEIS, G. &amp; HÄNEL, A. Light pollution and the impact of artificial night lighting on insects. En: </w:t>
      </w:r>
      <w:proofErr w:type="spellStart"/>
      <w:r w:rsidRPr="00BD1319">
        <w:rPr>
          <w:spacing w:val="-3"/>
          <w:lang w:val="en-US"/>
        </w:rPr>
        <w:t>McDONNELL</w:t>
      </w:r>
      <w:proofErr w:type="spellEnd"/>
      <w:r w:rsidRPr="00BD1319">
        <w:rPr>
          <w:spacing w:val="-3"/>
          <w:lang w:val="en-US"/>
        </w:rPr>
        <w:t xml:space="preserve">, M., HAHS, A., &amp; BREUSTE, J. (Eds.). Ecology of Cities and Towns. </w:t>
      </w:r>
      <w:r w:rsidRPr="00BD1319">
        <w:rPr>
          <w:spacing w:val="-3"/>
          <w:lang w:val="es-MX"/>
        </w:rPr>
        <w:t xml:space="preserve">Cambridge: Cambridge </w:t>
      </w:r>
      <w:proofErr w:type="spellStart"/>
      <w:r w:rsidRPr="00BD1319">
        <w:rPr>
          <w:spacing w:val="-3"/>
          <w:lang w:val="es-MX"/>
        </w:rPr>
        <w:t>University</w:t>
      </w:r>
      <w:proofErr w:type="spellEnd"/>
      <w:r w:rsidRPr="00BD1319">
        <w:rPr>
          <w:spacing w:val="-3"/>
          <w:lang w:val="es-MX"/>
        </w:rPr>
        <w:t xml:space="preserve"> </w:t>
      </w:r>
      <w:proofErr w:type="spellStart"/>
      <w:r w:rsidRPr="00BD1319">
        <w:rPr>
          <w:spacing w:val="-3"/>
          <w:lang w:val="es-MX"/>
        </w:rPr>
        <w:t>Press</w:t>
      </w:r>
      <w:proofErr w:type="spellEnd"/>
      <w:r w:rsidRPr="00BD1319">
        <w:rPr>
          <w:spacing w:val="-3"/>
          <w:lang w:val="es-MX"/>
        </w:rPr>
        <w:t>. (2009); p. 243-263.</w:t>
      </w:r>
    </w:p>
    <w:p w14:paraId="4B59CB0E" w14:textId="77777777" w:rsidR="00E93E41" w:rsidRPr="00BD1319" w:rsidRDefault="00E93E41" w:rsidP="00E93E41">
      <w:pPr>
        <w:tabs>
          <w:tab w:val="left" w:pos="-2268"/>
        </w:tabs>
        <w:suppressAutoHyphens/>
        <w:rPr>
          <w:spacing w:val="-3"/>
          <w:lang w:val="es-MX"/>
        </w:rPr>
      </w:pPr>
    </w:p>
    <w:p w14:paraId="4B1DA670" w14:textId="42467FD1" w:rsidR="00123468" w:rsidRPr="00BD1319" w:rsidRDefault="00123468">
      <w:pPr>
        <w:tabs>
          <w:tab w:val="left" w:pos="-2268"/>
        </w:tabs>
        <w:suppressAutoHyphens/>
        <w:rPr>
          <w:spacing w:val="-3"/>
          <w:lang w:val="en-US"/>
        </w:rPr>
      </w:pPr>
      <w:r w:rsidRPr="00BD1319">
        <w:rPr>
          <w:spacing w:val="-3"/>
        </w:rPr>
        <w:t xml:space="preserve">EQUIPO DE TRABAJO DE LA RED LATINOAMERICANA DE SISTEMAS DE EVALUACIÓN DE IMPACTO AMBIENTAL (REDLASEIA) y COMISIÓN ECONÓMICA PARA AMÉRICA LATINA Y EL CARIBE (CEPAL). Criterios para la integración del cambio climático en la evaluación ambiental de proyectos de inversión, serie Medio Ambiente y Desarrollo, </w:t>
      </w:r>
      <w:proofErr w:type="spellStart"/>
      <w:r w:rsidRPr="00BD1319">
        <w:rPr>
          <w:spacing w:val="-3"/>
        </w:rPr>
        <w:t>N°</w:t>
      </w:r>
      <w:proofErr w:type="spellEnd"/>
      <w:r w:rsidRPr="00BD1319">
        <w:rPr>
          <w:spacing w:val="-3"/>
        </w:rPr>
        <w:t xml:space="preserve"> 176 (LC/TS.2023/147). </w:t>
      </w:r>
      <w:r w:rsidRPr="00BD1319">
        <w:rPr>
          <w:spacing w:val="-3"/>
          <w:lang w:val="en-US"/>
        </w:rPr>
        <w:t>Santiago: CEPAL, 2023. 61 p.</w:t>
      </w:r>
    </w:p>
    <w:p w14:paraId="10B55484" w14:textId="77777777" w:rsidR="00123468" w:rsidRPr="00BD1319" w:rsidRDefault="00123468" w:rsidP="00E93E41">
      <w:pPr>
        <w:tabs>
          <w:tab w:val="left" w:pos="-2268"/>
        </w:tabs>
        <w:suppressAutoHyphens/>
        <w:rPr>
          <w:spacing w:val="-3"/>
          <w:lang w:val="en-US"/>
        </w:rPr>
      </w:pPr>
    </w:p>
    <w:p w14:paraId="3F6C8897" w14:textId="77777777" w:rsidR="00E93E41" w:rsidRPr="00BD1319" w:rsidRDefault="00E93E41" w:rsidP="009420F5">
      <w:pPr>
        <w:tabs>
          <w:tab w:val="left" w:pos="-2268"/>
        </w:tabs>
        <w:suppressAutoHyphens/>
        <w:rPr>
          <w:spacing w:val="-3"/>
          <w:lang w:val="en-US"/>
        </w:rPr>
      </w:pPr>
      <w:r w:rsidRPr="00BD1319">
        <w:rPr>
          <w:spacing w:val="-3"/>
          <w:lang w:val="en-US"/>
        </w:rPr>
        <w:t>ETHERINGTON, T. Least-Cost modelling and landscape ecology: concepts, applications, and opportunities. Current Landscape Ecology Reports. 1, 1 (2016); p. 40–53.</w:t>
      </w:r>
    </w:p>
    <w:p w14:paraId="53189F97" w14:textId="77777777" w:rsidR="00E93E41" w:rsidRPr="00BD1319" w:rsidRDefault="00E93E41">
      <w:pPr>
        <w:tabs>
          <w:tab w:val="left" w:pos="-2268"/>
        </w:tabs>
        <w:suppressAutoHyphens/>
        <w:rPr>
          <w:spacing w:val="-3"/>
          <w:lang w:val="en-US"/>
        </w:rPr>
      </w:pPr>
    </w:p>
    <w:p w14:paraId="41C0D7D5" w14:textId="77777777" w:rsidR="00E93E41" w:rsidRPr="00BD1319" w:rsidRDefault="00E93E41">
      <w:pPr>
        <w:tabs>
          <w:tab w:val="left" w:pos="-2268"/>
        </w:tabs>
        <w:suppressAutoHyphens/>
        <w:rPr>
          <w:spacing w:val="-3"/>
          <w:lang w:val="en-US"/>
        </w:rPr>
      </w:pPr>
      <w:r w:rsidRPr="00BD1319">
        <w:rPr>
          <w:spacing w:val="-3"/>
          <w:lang w:val="en-US"/>
        </w:rPr>
        <w:t>EUROPEAN MONITORING AND EVALUATION PROGRAMME –EMEP &amp; EUROPEAN ENVIRONMENT AGENCY (EEA). EMEP/EEA air pollutant emission inventory guidebook 2019. Luxembourg: EEA, 2019. 21 p.</w:t>
      </w:r>
    </w:p>
    <w:p w14:paraId="1E5782A8" w14:textId="77777777" w:rsidR="00E93E41" w:rsidRPr="00BD1319" w:rsidRDefault="00E93E41">
      <w:pPr>
        <w:tabs>
          <w:tab w:val="left" w:pos="-2268"/>
        </w:tabs>
        <w:suppressAutoHyphens/>
        <w:rPr>
          <w:spacing w:val="-3"/>
          <w:lang w:val="en-US"/>
        </w:rPr>
      </w:pPr>
    </w:p>
    <w:p w14:paraId="4A8F248E" w14:textId="2D8B5E9D" w:rsidR="003F5D45" w:rsidRPr="00BD1319" w:rsidRDefault="003F5D45">
      <w:pPr>
        <w:tabs>
          <w:tab w:val="left" w:pos="-2268"/>
        </w:tabs>
        <w:suppressAutoHyphens/>
        <w:rPr>
          <w:spacing w:val="-3"/>
          <w:lang w:val="en-US"/>
        </w:rPr>
      </w:pPr>
      <w:r w:rsidRPr="00BD1319">
        <w:rPr>
          <w:spacing w:val="-3"/>
          <w:lang w:val="en-US"/>
        </w:rPr>
        <w:t>FRAHM, J.-P., POCS, T., O´SHEA, B., KOPONEN, T., PIIPPO, S., ENROTH, J., RAO, P., &amp; FANG, Y.-M. Manual of tropical bryology. Bryophyte diversity and evolution, 23, 1 (2003); p 1–200. https://doi.org/10.11646/bde.23.1.1</w:t>
      </w:r>
    </w:p>
    <w:p w14:paraId="65719469" w14:textId="77777777" w:rsidR="003F5D45" w:rsidRPr="00BD1319" w:rsidRDefault="003F5D45">
      <w:pPr>
        <w:tabs>
          <w:tab w:val="left" w:pos="-2268"/>
        </w:tabs>
        <w:suppressAutoHyphens/>
        <w:rPr>
          <w:spacing w:val="-3"/>
          <w:lang w:val="en-US"/>
        </w:rPr>
      </w:pPr>
    </w:p>
    <w:p w14:paraId="1E24CB17" w14:textId="489F99B5" w:rsidR="00E93E41" w:rsidRPr="00BD1319" w:rsidRDefault="00E93E41">
      <w:pPr>
        <w:tabs>
          <w:tab w:val="left" w:pos="-2268"/>
        </w:tabs>
        <w:suppressAutoHyphens/>
        <w:rPr>
          <w:spacing w:val="-3"/>
        </w:rPr>
      </w:pPr>
      <w:r w:rsidRPr="00BD1319">
        <w:rPr>
          <w:spacing w:val="-3"/>
          <w:lang w:val="en-US"/>
        </w:rPr>
        <w:t xml:space="preserve">FISCHER, H., List, J., IMBERGER, J., KOH, C., &amp; </w:t>
      </w:r>
      <w:r w:rsidR="003F5D45" w:rsidRPr="00BD1319">
        <w:rPr>
          <w:spacing w:val="-3"/>
          <w:lang w:val="en-US"/>
        </w:rPr>
        <w:t>BROOKS</w:t>
      </w:r>
      <w:r w:rsidRPr="00BD1319">
        <w:rPr>
          <w:spacing w:val="-3"/>
          <w:lang w:val="en-US"/>
        </w:rPr>
        <w:t xml:space="preserve">, N. Mixing in inland and coastal waters: New York: Academic Press, 1979. </w:t>
      </w:r>
      <w:r w:rsidRPr="00BD1319">
        <w:rPr>
          <w:spacing w:val="-3"/>
        </w:rPr>
        <w:t>483 p.</w:t>
      </w:r>
    </w:p>
    <w:p w14:paraId="1567EF19" w14:textId="77777777" w:rsidR="00E93E41" w:rsidRPr="00BD1319" w:rsidRDefault="00E93E41">
      <w:pPr>
        <w:tabs>
          <w:tab w:val="left" w:pos="-2268"/>
        </w:tabs>
        <w:suppressAutoHyphens/>
      </w:pPr>
    </w:p>
    <w:p w14:paraId="048FFA7D" w14:textId="77777777" w:rsidR="00E93E41" w:rsidRPr="00BD1319" w:rsidRDefault="00E93E41">
      <w:pPr>
        <w:tabs>
          <w:tab w:val="left" w:pos="-2268"/>
        </w:tabs>
        <w:suppressAutoHyphens/>
        <w:rPr>
          <w:lang w:val="en-US"/>
        </w:rPr>
      </w:pPr>
      <w:r w:rsidRPr="00BD1319">
        <w:t xml:space="preserve">GAITÁN, M. &amp; CÁRDENAS, P. Guía para la elaboración de inventarios de emisiones atmosféricas. Bogotá D. C.: Ministerio de Ambiente y Desarrollo Sostenible (Minambiente), 2017. </w:t>
      </w:r>
      <w:r w:rsidRPr="00BD1319">
        <w:rPr>
          <w:lang w:val="en-US"/>
        </w:rPr>
        <w:t>91 p.</w:t>
      </w:r>
    </w:p>
    <w:p w14:paraId="42EB09F0" w14:textId="77777777" w:rsidR="00E93E41" w:rsidRPr="00BD1319" w:rsidRDefault="00E93E41">
      <w:pPr>
        <w:tabs>
          <w:tab w:val="left" w:pos="-2268"/>
        </w:tabs>
        <w:suppressAutoHyphens/>
        <w:rPr>
          <w:spacing w:val="-3"/>
          <w:lang w:val="en-US"/>
        </w:rPr>
      </w:pPr>
    </w:p>
    <w:p w14:paraId="22894BAD" w14:textId="77777777" w:rsidR="00E93E41" w:rsidRPr="00BD1319" w:rsidRDefault="00E93E41">
      <w:pPr>
        <w:tabs>
          <w:tab w:val="left" w:pos="-2268"/>
        </w:tabs>
        <w:suppressAutoHyphens/>
        <w:rPr>
          <w:spacing w:val="-3"/>
          <w:lang w:val="en-US"/>
        </w:rPr>
      </w:pPr>
      <w:r w:rsidRPr="00BD1319">
        <w:rPr>
          <w:spacing w:val="-3"/>
          <w:lang w:val="en-US"/>
        </w:rPr>
        <w:lastRenderedPageBreak/>
        <w:t>GENTRY, A. Patterns of Neotropical plant species diversity. Evolutionary Biology. 15 (1982); p. 1-84.</w:t>
      </w:r>
    </w:p>
    <w:p w14:paraId="5DAD39A0" w14:textId="77777777" w:rsidR="00E93E41" w:rsidRPr="00BD1319" w:rsidRDefault="00E93E41">
      <w:pPr>
        <w:tabs>
          <w:tab w:val="left" w:pos="-2268"/>
        </w:tabs>
        <w:suppressAutoHyphens/>
        <w:rPr>
          <w:spacing w:val="-3"/>
          <w:lang w:val="en-US"/>
        </w:rPr>
      </w:pPr>
    </w:p>
    <w:p w14:paraId="08290384" w14:textId="10E9389B" w:rsidR="00E93E41" w:rsidRPr="00BD1319" w:rsidRDefault="00E93E41">
      <w:pPr>
        <w:tabs>
          <w:tab w:val="left" w:pos="-2268"/>
        </w:tabs>
        <w:suppressAutoHyphens/>
        <w:rPr>
          <w:spacing w:val="-3"/>
          <w:lang w:val="en-US"/>
        </w:rPr>
      </w:pPr>
      <w:r w:rsidRPr="00BD1319">
        <w:rPr>
          <w:spacing w:val="-3"/>
          <w:lang w:val="en-US"/>
        </w:rPr>
        <w:t>GENTRY, H., DODSON, C. Diversity and biogeography of neotropical vascular epiphytes. Annals of the Missouri Botanical Garden. 74, 2 (1987); p. 205-233.</w:t>
      </w:r>
    </w:p>
    <w:p w14:paraId="23C465B8" w14:textId="3D09F6F9" w:rsidR="00E93E41" w:rsidRPr="00BD1319" w:rsidRDefault="00E93E41">
      <w:pPr>
        <w:tabs>
          <w:tab w:val="left" w:pos="-2268"/>
        </w:tabs>
        <w:suppressAutoHyphens/>
        <w:rPr>
          <w:spacing w:val="-3"/>
          <w:lang w:val="en-US"/>
        </w:rPr>
      </w:pPr>
    </w:p>
    <w:p w14:paraId="2B2D0BD6" w14:textId="25B7FD9C" w:rsidR="00B3294C" w:rsidRPr="006B11C6" w:rsidRDefault="00B3294C">
      <w:pPr>
        <w:tabs>
          <w:tab w:val="left" w:pos="-2268"/>
        </w:tabs>
        <w:suppressAutoHyphens/>
        <w:rPr>
          <w:spacing w:val="-3"/>
        </w:rPr>
      </w:pPr>
      <w:r w:rsidRPr="00BD1319">
        <w:rPr>
          <w:spacing w:val="-3"/>
          <w:lang w:val="en-US"/>
        </w:rPr>
        <w:t xml:space="preserve">GLIME, J. Field Taxonomy and Collection Methods. </w:t>
      </w:r>
      <w:proofErr w:type="spellStart"/>
      <w:r w:rsidRPr="00BD1319">
        <w:rPr>
          <w:spacing w:val="-3"/>
          <w:lang w:val="fr-FR"/>
        </w:rPr>
        <w:t>Chapter</w:t>
      </w:r>
      <w:proofErr w:type="spellEnd"/>
      <w:r w:rsidRPr="00BD1319">
        <w:rPr>
          <w:spacing w:val="-3"/>
          <w:lang w:val="fr-FR"/>
        </w:rPr>
        <w:t xml:space="preserve">. 1-1. </w:t>
      </w:r>
      <w:proofErr w:type="gramStart"/>
      <w:r w:rsidRPr="00BD1319">
        <w:rPr>
          <w:spacing w:val="-3"/>
          <w:lang w:val="fr-FR"/>
        </w:rPr>
        <w:t>En:</w:t>
      </w:r>
      <w:proofErr w:type="gramEnd"/>
      <w:r w:rsidRPr="00BD1319">
        <w:rPr>
          <w:spacing w:val="-3"/>
          <w:lang w:val="fr-FR"/>
        </w:rPr>
        <w:t xml:space="preserve"> </w:t>
      </w:r>
      <w:r w:rsidR="007935B8" w:rsidRPr="00BD1319">
        <w:rPr>
          <w:spacing w:val="-3"/>
          <w:lang w:val="fr-FR"/>
        </w:rPr>
        <w:t>GLIME</w:t>
      </w:r>
      <w:r w:rsidRPr="00BD1319">
        <w:rPr>
          <w:spacing w:val="-3"/>
          <w:lang w:val="fr-FR"/>
        </w:rPr>
        <w:t xml:space="preserve">, J. Bryophyte </w:t>
      </w:r>
      <w:proofErr w:type="spellStart"/>
      <w:r w:rsidRPr="00BD1319">
        <w:rPr>
          <w:spacing w:val="-3"/>
          <w:lang w:val="fr-FR"/>
        </w:rPr>
        <w:t>Ecology</w:t>
      </w:r>
      <w:proofErr w:type="spellEnd"/>
      <w:r w:rsidRPr="00BD1319">
        <w:rPr>
          <w:spacing w:val="-3"/>
          <w:lang w:val="fr-FR"/>
        </w:rPr>
        <w:t xml:space="preserve">. </w:t>
      </w:r>
      <w:r w:rsidRPr="00BD1319">
        <w:rPr>
          <w:spacing w:val="-3"/>
          <w:lang w:val="en-US"/>
        </w:rPr>
        <w:t xml:space="preserve">Volume 3. Methods. Michigan Technological University and the International Association of Bryologists. </w:t>
      </w:r>
      <w:r w:rsidR="007935B8" w:rsidRPr="006B11C6">
        <w:rPr>
          <w:spacing w:val="-3"/>
        </w:rPr>
        <w:t>(</w:t>
      </w:r>
      <w:r w:rsidRPr="006B11C6">
        <w:rPr>
          <w:spacing w:val="-3"/>
        </w:rPr>
        <w:t>2017</w:t>
      </w:r>
      <w:r w:rsidR="007935B8" w:rsidRPr="006B11C6">
        <w:rPr>
          <w:spacing w:val="-3"/>
        </w:rPr>
        <w:t>)</w:t>
      </w:r>
      <w:r w:rsidRPr="006B11C6">
        <w:rPr>
          <w:spacing w:val="-3"/>
        </w:rPr>
        <w:t>.</w:t>
      </w:r>
      <w:r w:rsidR="007935B8" w:rsidRPr="006B11C6">
        <w:rPr>
          <w:spacing w:val="-3"/>
        </w:rPr>
        <w:t xml:space="preserve"> </w:t>
      </w:r>
      <w:r w:rsidR="007935B8" w:rsidRPr="006B11C6">
        <w:t>https://digitalcommons.mtu.edu/oabooks/4/</w:t>
      </w:r>
    </w:p>
    <w:p w14:paraId="7DC89A47" w14:textId="77777777" w:rsidR="007935B8" w:rsidRPr="006B11C6" w:rsidRDefault="007935B8">
      <w:pPr>
        <w:tabs>
          <w:tab w:val="left" w:pos="-2268"/>
        </w:tabs>
        <w:suppressAutoHyphens/>
        <w:rPr>
          <w:spacing w:val="-3"/>
        </w:rPr>
      </w:pPr>
    </w:p>
    <w:p w14:paraId="425489A5" w14:textId="0D9FD0B6" w:rsidR="004F4839" w:rsidRPr="00BD1319" w:rsidRDefault="004F4839">
      <w:pPr>
        <w:tabs>
          <w:tab w:val="left" w:pos="-2268"/>
        </w:tabs>
        <w:suppressAutoHyphens/>
        <w:rPr>
          <w:spacing w:val="-3"/>
          <w:lang w:val="en-US"/>
        </w:rPr>
      </w:pPr>
      <w:r w:rsidRPr="006B11C6">
        <w:rPr>
          <w:spacing w:val="-3"/>
        </w:rPr>
        <w:t>GÓMEZ-LÓPEZ, D., NAVARRETE-RAMÍREZ, S., NAVAS-CAMACHO, R., DÍAZ-SÁNCHEZ, C., MUÑOZ-ESCOBAR, L. &amp; GALEANO, E. Protocolo Indicador Condición Tendencia Praderas de Pastos Marinos (ICT</w:t>
      </w:r>
      <w:r w:rsidRPr="006B11C6">
        <w:rPr>
          <w:spacing w:val="-3"/>
          <w:vertAlign w:val="subscript"/>
        </w:rPr>
        <w:t>PM</w:t>
      </w:r>
      <w:r w:rsidRPr="006B11C6">
        <w:rPr>
          <w:spacing w:val="-3"/>
        </w:rPr>
        <w:t xml:space="preserve">). </w:t>
      </w:r>
      <w:r w:rsidRPr="005A685F">
        <w:rPr>
          <w:spacing w:val="-3"/>
          <w:lang w:val="pt-PT"/>
        </w:rPr>
        <w:t xml:space="preserve">Indicadores de monitoreo biológico del Subsistema de Áreas Marinas Protegidas (SAMP). </w:t>
      </w:r>
      <w:r w:rsidRPr="00BD1319">
        <w:rPr>
          <w:spacing w:val="-3"/>
        </w:rPr>
        <w:t xml:space="preserve">Serie de publicaciones generales del </w:t>
      </w:r>
      <w:proofErr w:type="spellStart"/>
      <w:r w:rsidRPr="00BD1319">
        <w:rPr>
          <w:spacing w:val="-3"/>
        </w:rPr>
        <w:t>Invemar</w:t>
      </w:r>
      <w:proofErr w:type="spellEnd"/>
      <w:r w:rsidRPr="00BD1319">
        <w:rPr>
          <w:spacing w:val="-3"/>
        </w:rPr>
        <w:t xml:space="preserve"> No. 68. Santa Marta; </w:t>
      </w:r>
      <w:proofErr w:type="spellStart"/>
      <w:r w:rsidRPr="00BD1319">
        <w:rPr>
          <w:spacing w:val="-3"/>
        </w:rPr>
        <w:t>Invemar</w:t>
      </w:r>
      <w:proofErr w:type="spellEnd"/>
      <w:r w:rsidRPr="00BD1319">
        <w:rPr>
          <w:spacing w:val="-3"/>
        </w:rPr>
        <w:t xml:space="preserve">, GEF y PNUD, 2014. </w:t>
      </w:r>
      <w:r w:rsidRPr="00BD1319">
        <w:rPr>
          <w:spacing w:val="-3"/>
          <w:lang w:val="en-US"/>
        </w:rPr>
        <w:t>36 p.</w:t>
      </w:r>
    </w:p>
    <w:p w14:paraId="407B1E94" w14:textId="02D47602" w:rsidR="004F4839" w:rsidRPr="00BD1319" w:rsidRDefault="004F4839">
      <w:pPr>
        <w:tabs>
          <w:tab w:val="left" w:pos="-2268"/>
        </w:tabs>
        <w:suppressAutoHyphens/>
        <w:rPr>
          <w:spacing w:val="-3"/>
          <w:lang w:val="en-US"/>
        </w:rPr>
      </w:pPr>
    </w:p>
    <w:p w14:paraId="2BBFDD6B" w14:textId="73E7F9DD" w:rsidR="001B00C8" w:rsidRPr="00BD1319" w:rsidRDefault="001B00C8" w:rsidP="001B00C8">
      <w:pPr>
        <w:tabs>
          <w:tab w:val="left" w:pos="-2268"/>
        </w:tabs>
        <w:suppressAutoHyphens/>
        <w:rPr>
          <w:spacing w:val="-3"/>
          <w:lang w:val="en-US"/>
        </w:rPr>
      </w:pPr>
      <w:r w:rsidRPr="00BD1319">
        <w:rPr>
          <w:spacing w:val="-3"/>
          <w:lang w:val="en-US"/>
        </w:rPr>
        <w:t>GOPAL, B. A conceptual framework for environmental flows assessment based on ecosystem services and their economic valuation. Ecosystem Services. 2016. Volume 21, Part A (2016); p 53-58.</w:t>
      </w:r>
    </w:p>
    <w:p w14:paraId="1D6F26DB" w14:textId="77777777" w:rsidR="001B00C8" w:rsidRPr="00BD1319" w:rsidRDefault="001B00C8">
      <w:pPr>
        <w:tabs>
          <w:tab w:val="left" w:pos="-2268"/>
        </w:tabs>
        <w:suppressAutoHyphens/>
        <w:rPr>
          <w:spacing w:val="-3"/>
          <w:lang w:val="en-US"/>
        </w:rPr>
      </w:pPr>
    </w:p>
    <w:p w14:paraId="5C4EEC2C" w14:textId="728677DA" w:rsidR="00D900FC" w:rsidRPr="00BD1319" w:rsidRDefault="00D900FC" w:rsidP="00D900FC">
      <w:pPr>
        <w:rPr>
          <w:lang w:val="en-US"/>
        </w:rPr>
      </w:pPr>
      <w:r w:rsidRPr="00BD1319">
        <w:rPr>
          <w:lang w:val="en-US"/>
        </w:rPr>
        <w:t>GRADSTEIN, S., CHURCHILL, S. &amp; SALAZAR-ALLEN, N. Guide to the bryophytes of tropical America. Memoirs of the New York Botanical Garden</w:t>
      </w:r>
      <w:r w:rsidR="00ED6321" w:rsidRPr="00BD1319">
        <w:rPr>
          <w:lang w:val="en-US"/>
        </w:rPr>
        <w:t>.</w:t>
      </w:r>
      <w:r w:rsidRPr="00BD1319">
        <w:rPr>
          <w:lang w:val="en-US"/>
        </w:rPr>
        <w:t xml:space="preserve"> 86 (2001)</w:t>
      </w:r>
      <w:r w:rsidR="00ED6321" w:rsidRPr="00BD1319">
        <w:rPr>
          <w:lang w:val="en-US"/>
        </w:rPr>
        <w:t>; p 1-577.</w:t>
      </w:r>
    </w:p>
    <w:p w14:paraId="4895817D" w14:textId="77777777" w:rsidR="00D900FC" w:rsidRPr="00BD1319" w:rsidRDefault="00D900FC">
      <w:pPr>
        <w:tabs>
          <w:tab w:val="left" w:pos="-2268"/>
        </w:tabs>
        <w:suppressAutoHyphens/>
        <w:rPr>
          <w:spacing w:val="-3"/>
          <w:lang w:val="en-US"/>
        </w:rPr>
      </w:pPr>
    </w:p>
    <w:p w14:paraId="2878A65D" w14:textId="77777777" w:rsidR="00E93E41" w:rsidRPr="00BD1319" w:rsidRDefault="00E93E41">
      <w:pPr>
        <w:tabs>
          <w:tab w:val="left" w:pos="-2268"/>
        </w:tabs>
        <w:suppressAutoHyphens/>
        <w:rPr>
          <w:spacing w:val="-3"/>
        </w:rPr>
      </w:pPr>
      <w:r w:rsidRPr="00BD1319">
        <w:rPr>
          <w:spacing w:val="-3"/>
          <w:lang w:val="en-US"/>
        </w:rPr>
        <w:t xml:space="preserve">GRADSTEIN, S., NADKARNI, N., KRÖMER, T., HOLZ I. &amp; NÖSKE, N. A protocol for rapid and representative sampling of vascular and non-vascular epiphyte diversity in tropical rain forests. </w:t>
      </w:r>
      <w:proofErr w:type="spellStart"/>
      <w:r w:rsidRPr="00BD1319">
        <w:rPr>
          <w:spacing w:val="-3"/>
        </w:rPr>
        <w:t>Selbyana</w:t>
      </w:r>
      <w:proofErr w:type="spellEnd"/>
      <w:r w:rsidRPr="00BD1319">
        <w:rPr>
          <w:spacing w:val="-3"/>
        </w:rPr>
        <w:t>. 24 (2003); 105-111.</w:t>
      </w:r>
    </w:p>
    <w:p w14:paraId="47587C9E" w14:textId="77777777" w:rsidR="00E93E41" w:rsidRPr="00BD1319" w:rsidRDefault="00E93E41">
      <w:pPr>
        <w:tabs>
          <w:tab w:val="left" w:pos="-2268"/>
        </w:tabs>
        <w:suppressAutoHyphens/>
        <w:rPr>
          <w:spacing w:val="-3"/>
        </w:rPr>
      </w:pPr>
    </w:p>
    <w:p w14:paraId="3792F53C" w14:textId="77777777" w:rsidR="00E93E41" w:rsidRPr="00BD1319" w:rsidRDefault="00E93E41">
      <w:pPr>
        <w:tabs>
          <w:tab w:val="left" w:pos="-2268"/>
        </w:tabs>
        <w:suppressAutoHyphens/>
        <w:rPr>
          <w:spacing w:val="-3"/>
        </w:rPr>
      </w:pPr>
      <w:r w:rsidRPr="00BD1319">
        <w:rPr>
          <w:spacing w:val="-3"/>
        </w:rPr>
        <w:t>GRANADOS-SÁNCHEZ, D., LÓPEZ-RÍOS, G., HERNÁNDEZ-GARCÍA M. &amp; SÁNCHEZ GONZÁLEZ, A. Ecología de las plantas epífitas. Revista Chapingo Serie Ciencias Forestales y del Ambiente. 9, 2 (2003); 101-111.</w:t>
      </w:r>
    </w:p>
    <w:p w14:paraId="4FDC6448" w14:textId="77777777" w:rsidR="00E93E41" w:rsidRPr="00BD1319" w:rsidRDefault="00E93E41">
      <w:pPr>
        <w:tabs>
          <w:tab w:val="left" w:pos="-2268"/>
        </w:tabs>
        <w:suppressAutoHyphens/>
        <w:rPr>
          <w:spacing w:val="-3"/>
        </w:rPr>
      </w:pPr>
    </w:p>
    <w:p w14:paraId="5E850AD3" w14:textId="3D9717CD" w:rsidR="00A23EB9" w:rsidRPr="00BD1319" w:rsidRDefault="00FA627D" w:rsidP="00A23EB9">
      <w:pPr>
        <w:overflowPunct/>
        <w:autoSpaceDE/>
        <w:autoSpaceDN/>
        <w:adjustRightInd/>
        <w:jc w:val="left"/>
        <w:textAlignment w:val="auto"/>
        <w:rPr>
          <w:color w:val="000000" w:themeColor="text1"/>
          <w:spacing w:val="-3"/>
          <w:lang w:val="en-US"/>
        </w:rPr>
      </w:pPr>
      <w:r w:rsidRPr="00BD1319">
        <w:rPr>
          <w:color w:val="000000" w:themeColor="text1"/>
          <w:spacing w:val="-3"/>
        </w:rPr>
        <w:t>GUITOUNI, A., &amp; MARTEL</w:t>
      </w:r>
      <w:r w:rsidR="00A23EB9" w:rsidRPr="00BD1319">
        <w:rPr>
          <w:color w:val="000000" w:themeColor="text1"/>
          <w:spacing w:val="-3"/>
        </w:rPr>
        <w:t xml:space="preserve">, J. Tentative </w:t>
      </w:r>
      <w:proofErr w:type="spellStart"/>
      <w:r w:rsidR="00A23EB9" w:rsidRPr="00BD1319">
        <w:rPr>
          <w:color w:val="000000" w:themeColor="text1"/>
          <w:spacing w:val="-3"/>
        </w:rPr>
        <w:t>guidelines</w:t>
      </w:r>
      <w:proofErr w:type="spellEnd"/>
      <w:r w:rsidR="00A23EB9" w:rsidRPr="00BD1319">
        <w:rPr>
          <w:color w:val="000000" w:themeColor="text1"/>
          <w:spacing w:val="-3"/>
        </w:rPr>
        <w:t xml:space="preserve"> </w:t>
      </w:r>
      <w:proofErr w:type="spellStart"/>
      <w:r w:rsidR="00A23EB9" w:rsidRPr="00BD1319">
        <w:rPr>
          <w:color w:val="000000" w:themeColor="text1"/>
          <w:spacing w:val="-3"/>
        </w:rPr>
        <w:t>to</w:t>
      </w:r>
      <w:proofErr w:type="spellEnd"/>
      <w:r w:rsidR="00A23EB9" w:rsidRPr="00BD1319">
        <w:rPr>
          <w:color w:val="000000" w:themeColor="text1"/>
          <w:spacing w:val="-3"/>
        </w:rPr>
        <w:t xml:space="preserve"> </w:t>
      </w:r>
      <w:proofErr w:type="spellStart"/>
      <w:r w:rsidR="00A23EB9" w:rsidRPr="00BD1319">
        <w:rPr>
          <w:color w:val="000000" w:themeColor="text1"/>
          <w:spacing w:val="-3"/>
        </w:rPr>
        <w:t>help</w:t>
      </w:r>
      <w:proofErr w:type="spellEnd"/>
      <w:r w:rsidR="00A23EB9" w:rsidRPr="00BD1319">
        <w:rPr>
          <w:color w:val="000000" w:themeColor="text1"/>
          <w:spacing w:val="-3"/>
        </w:rPr>
        <w:t xml:space="preserve"> </w:t>
      </w:r>
      <w:proofErr w:type="spellStart"/>
      <w:r w:rsidR="00A23EB9" w:rsidRPr="00BD1319">
        <w:rPr>
          <w:color w:val="000000" w:themeColor="text1"/>
          <w:spacing w:val="-3"/>
        </w:rPr>
        <w:t>choosing</w:t>
      </w:r>
      <w:proofErr w:type="spellEnd"/>
      <w:r w:rsidR="00A23EB9" w:rsidRPr="00BD1319">
        <w:rPr>
          <w:color w:val="000000" w:themeColor="text1"/>
          <w:spacing w:val="-3"/>
        </w:rPr>
        <w:t xml:space="preserve"> </w:t>
      </w:r>
      <w:proofErr w:type="spellStart"/>
      <w:r w:rsidR="00A23EB9" w:rsidRPr="00BD1319">
        <w:rPr>
          <w:color w:val="000000" w:themeColor="text1"/>
          <w:spacing w:val="-3"/>
        </w:rPr>
        <w:t>an</w:t>
      </w:r>
      <w:proofErr w:type="spellEnd"/>
      <w:r w:rsidR="00A23EB9" w:rsidRPr="00BD1319">
        <w:rPr>
          <w:color w:val="000000" w:themeColor="text1"/>
          <w:spacing w:val="-3"/>
        </w:rPr>
        <w:t xml:space="preserve"> </w:t>
      </w:r>
      <w:proofErr w:type="spellStart"/>
      <w:r w:rsidR="00A23EB9" w:rsidRPr="00BD1319">
        <w:rPr>
          <w:color w:val="000000" w:themeColor="text1"/>
          <w:spacing w:val="-3"/>
        </w:rPr>
        <w:t>appropriate</w:t>
      </w:r>
      <w:proofErr w:type="spellEnd"/>
      <w:r w:rsidR="00A23EB9" w:rsidRPr="00BD1319">
        <w:rPr>
          <w:color w:val="000000" w:themeColor="text1"/>
          <w:spacing w:val="-3"/>
        </w:rPr>
        <w:t xml:space="preserve"> MCDA </w:t>
      </w:r>
      <w:proofErr w:type="spellStart"/>
      <w:r w:rsidR="00A23EB9" w:rsidRPr="00BD1319">
        <w:rPr>
          <w:color w:val="000000" w:themeColor="text1"/>
          <w:spacing w:val="-3"/>
        </w:rPr>
        <w:t>method</w:t>
      </w:r>
      <w:proofErr w:type="spellEnd"/>
      <w:r w:rsidR="00A23EB9" w:rsidRPr="00BD1319">
        <w:rPr>
          <w:color w:val="000000" w:themeColor="text1"/>
          <w:spacing w:val="-3"/>
        </w:rPr>
        <w:t xml:space="preserve">. </w:t>
      </w:r>
      <w:r w:rsidR="00A23EB9" w:rsidRPr="00BD1319">
        <w:rPr>
          <w:color w:val="000000" w:themeColor="text1"/>
          <w:spacing w:val="-3"/>
          <w:lang w:val="en-US"/>
        </w:rPr>
        <w:t>European Journal of Operational Research</w:t>
      </w:r>
      <w:r w:rsidRPr="00BD1319">
        <w:rPr>
          <w:color w:val="000000" w:themeColor="text1"/>
          <w:spacing w:val="-3"/>
          <w:lang w:val="en-US"/>
        </w:rPr>
        <w:t>.</w:t>
      </w:r>
      <w:r w:rsidR="00A23EB9" w:rsidRPr="00BD1319">
        <w:rPr>
          <w:color w:val="000000" w:themeColor="text1"/>
          <w:spacing w:val="-3"/>
          <w:lang w:val="en-US"/>
        </w:rPr>
        <w:t xml:space="preserve"> 109</w:t>
      </w:r>
      <w:r w:rsidRPr="00BD1319">
        <w:rPr>
          <w:color w:val="000000" w:themeColor="text1"/>
          <w:spacing w:val="-3"/>
          <w:lang w:val="en-US"/>
        </w:rPr>
        <w:t xml:space="preserve">, </w:t>
      </w:r>
      <w:r w:rsidR="00A23EB9" w:rsidRPr="00BD1319">
        <w:rPr>
          <w:color w:val="000000" w:themeColor="text1"/>
          <w:spacing w:val="-3"/>
          <w:lang w:val="en-US"/>
        </w:rPr>
        <w:t>2</w:t>
      </w:r>
      <w:r w:rsidRPr="00BD1319">
        <w:rPr>
          <w:color w:val="000000" w:themeColor="text1"/>
          <w:spacing w:val="-3"/>
          <w:lang w:val="en-US"/>
        </w:rPr>
        <w:t xml:space="preserve"> (1998);</w:t>
      </w:r>
      <w:r w:rsidR="00A23EB9" w:rsidRPr="00BD1319">
        <w:rPr>
          <w:color w:val="000000" w:themeColor="text1"/>
          <w:spacing w:val="-3"/>
          <w:lang w:val="en-US"/>
        </w:rPr>
        <w:t xml:space="preserve"> 501–521.</w:t>
      </w:r>
    </w:p>
    <w:p w14:paraId="5B1C560C" w14:textId="77777777" w:rsidR="00A23EB9" w:rsidRPr="00BD1319" w:rsidRDefault="00A23EB9">
      <w:pPr>
        <w:tabs>
          <w:tab w:val="left" w:pos="-2268"/>
        </w:tabs>
        <w:suppressAutoHyphens/>
        <w:rPr>
          <w:spacing w:val="-3"/>
          <w:lang w:val="en-US"/>
        </w:rPr>
      </w:pPr>
    </w:p>
    <w:p w14:paraId="1BD6C229" w14:textId="77777777" w:rsidR="00E93E41" w:rsidRPr="00BD1319" w:rsidRDefault="00E93E41">
      <w:pPr>
        <w:tabs>
          <w:tab w:val="left" w:pos="-2268"/>
        </w:tabs>
        <w:suppressAutoHyphens/>
        <w:rPr>
          <w:spacing w:val="-3"/>
        </w:rPr>
      </w:pPr>
      <w:r w:rsidRPr="00BD1319">
        <w:rPr>
          <w:spacing w:val="-3"/>
          <w:lang w:val="en-US"/>
        </w:rPr>
        <w:t xml:space="preserve">GUTIÉRREZ, F., LASSO, C., BAPTISTE, M., SÁNCHEZ-DUARTE, P. &amp; DÍAZ, A. M. (Eds). </w:t>
      </w:r>
      <w:r w:rsidRPr="00BD1319">
        <w:rPr>
          <w:spacing w:val="-3"/>
        </w:rPr>
        <w:t xml:space="preserve">VI Catálogo de la biodiversidad acuática exótica y trasplantada en Colombia: moluscos, crustáceos, peces, anfibios, reptiles y aves. Serie editorial recursos hidrobiológicos y pesqueros continentales de Colombia. Bogotá, D. C.: Instituto de Investigación de los Recursos Biológicos Alexander </w:t>
      </w:r>
      <w:proofErr w:type="spellStart"/>
      <w:r w:rsidRPr="00BD1319">
        <w:rPr>
          <w:spacing w:val="-3"/>
        </w:rPr>
        <w:t>von</w:t>
      </w:r>
      <w:proofErr w:type="spellEnd"/>
      <w:r w:rsidRPr="00BD1319">
        <w:rPr>
          <w:spacing w:val="-3"/>
        </w:rPr>
        <w:t xml:space="preserve"> Humboldt, 2012. 335 p.</w:t>
      </w:r>
    </w:p>
    <w:p w14:paraId="361D2B25" w14:textId="77777777" w:rsidR="00E93E41" w:rsidRPr="00BD1319" w:rsidRDefault="00E93E41" w:rsidP="001B2DD1">
      <w:pPr>
        <w:tabs>
          <w:tab w:val="left" w:pos="-2268"/>
        </w:tabs>
        <w:suppressAutoHyphens/>
        <w:rPr>
          <w:spacing w:val="-3"/>
        </w:rPr>
      </w:pPr>
    </w:p>
    <w:p w14:paraId="18E35DB0" w14:textId="77777777" w:rsidR="00E93E41" w:rsidRPr="00BD1319" w:rsidRDefault="00E93E41" w:rsidP="001B2DD1">
      <w:pPr>
        <w:tabs>
          <w:tab w:val="left" w:pos="-2268"/>
        </w:tabs>
        <w:suppressAutoHyphens/>
        <w:rPr>
          <w:spacing w:val="-3"/>
          <w:lang w:val="en-US"/>
        </w:rPr>
      </w:pPr>
      <w:r w:rsidRPr="00BD1319">
        <w:rPr>
          <w:spacing w:val="-3"/>
        </w:rPr>
        <w:t xml:space="preserve">HABERGGER, S &amp; MANCILLA, I. El poder de la cartografía social en las prácticas contra hegemónicas o la cartografía social como estrategia para diagnosticar nuestro territorio. </w:t>
      </w:r>
      <w:r w:rsidRPr="00BD1319">
        <w:rPr>
          <w:spacing w:val="-3"/>
          <w:lang w:val="en-US"/>
        </w:rPr>
        <w:t xml:space="preserve">(2006). </w:t>
      </w:r>
      <w:proofErr w:type="spellStart"/>
      <w:r w:rsidRPr="00BD1319">
        <w:rPr>
          <w:spacing w:val="-3"/>
          <w:lang w:val="en-US"/>
        </w:rPr>
        <w:t>Recuperado</w:t>
      </w:r>
      <w:proofErr w:type="spellEnd"/>
      <w:r w:rsidRPr="00BD1319">
        <w:rPr>
          <w:spacing w:val="-3"/>
          <w:lang w:val="en-US"/>
        </w:rPr>
        <w:t xml:space="preserve"> de: https://uvirtual.unet.edu.ve/</w:t>
      </w:r>
    </w:p>
    <w:p w14:paraId="69FF022F" w14:textId="77777777" w:rsidR="00E93E41" w:rsidRPr="00BD1319" w:rsidRDefault="00E93E41">
      <w:pPr>
        <w:tabs>
          <w:tab w:val="left" w:pos="-2268"/>
        </w:tabs>
        <w:suppressAutoHyphens/>
        <w:rPr>
          <w:spacing w:val="-3"/>
          <w:lang w:val="en-US"/>
        </w:rPr>
      </w:pPr>
    </w:p>
    <w:p w14:paraId="658DE4A7" w14:textId="48060510" w:rsidR="00E93E41" w:rsidRPr="00BD1319" w:rsidRDefault="00E93E41">
      <w:pPr>
        <w:tabs>
          <w:tab w:val="left" w:pos="-2268"/>
        </w:tabs>
        <w:suppressAutoHyphens/>
        <w:rPr>
          <w:spacing w:val="-3"/>
        </w:rPr>
      </w:pPr>
      <w:r w:rsidRPr="00BD1319">
        <w:rPr>
          <w:spacing w:val="-3"/>
          <w:lang w:val="en-US"/>
        </w:rPr>
        <w:t xml:space="preserve">HAINES-YOUNG, R. &amp; POTSCHIN, M. Methodologies for defining and assessing ecosystem services. Final Report, JNCC, Project Code C08-0170-0062. Centre for Environmental Management University of Nottingham, 2009. </w:t>
      </w:r>
      <w:r w:rsidRPr="00BD1319">
        <w:rPr>
          <w:spacing w:val="-3"/>
        </w:rPr>
        <w:t>69 p.</w:t>
      </w:r>
    </w:p>
    <w:p w14:paraId="5E32569C" w14:textId="77777777" w:rsidR="00E93E41" w:rsidRPr="00BD1319" w:rsidRDefault="00E93E41">
      <w:pPr>
        <w:tabs>
          <w:tab w:val="left" w:pos="-2268"/>
        </w:tabs>
        <w:suppressAutoHyphens/>
        <w:rPr>
          <w:spacing w:val="-3"/>
        </w:rPr>
      </w:pPr>
    </w:p>
    <w:p w14:paraId="0F89D1F5" w14:textId="5E2D500C" w:rsidR="00E93E41" w:rsidRPr="00BD1319" w:rsidRDefault="00035CE6">
      <w:pPr>
        <w:tabs>
          <w:tab w:val="left" w:pos="-2268"/>
        </w:tabs>
        <w:suppressAutoHyphens/>
        <w:rPr>
          <w:spacing w:val="-3"/>
          <w:lang w:val="en-US"/>
        </w:rPr>
      </w:pPr>
      <w:r w:rsidRPr="00BD1319">
        <w:t>HALFFTER</w:t>
      </w:r>
      <w:r w:rsidR="00E93E41" w:rsidRPr="00BD1319">
        <w:rPr>
          <w:spacing w:val="-3"/>
        </w:rPr>
        <w:t xml:space="preserve">, G., MORENO C., &amp; PINEDA, E. Manual para evaluación de la biodiversidad en Reservas de la Biosfera. </w:t>
      </w:r>
      <w:proofErr w:type="spellStart"/>
      <w:r w:rsidR="00E93E41" w:rsidRPr="00BD1319">
        <w:rPr>
          <w:spacing w:val="-3"/>
          <w:lang w:val="en-US"/>
        </w:rPr>
        <w:t>Manuales</w:t>
      </w:r>
      <w:proofErr w:type="spellEnd"/>
      <w:r w:rsidR="00E93E41" w:rsidRPr="00BD1319">
        <w:rPr>
          <w:spacing w:val="-3"/>
          <w:lang w:val="en-US"/>
        </w:rPr>
        <w:t xml:space="preserve"> y Tesis. </w:t>
      </w:r>
      <w:r w:rsidR="002A4465" w:rsidRPr="00BD1319">
        <w:rPr>
          <w:spacing w:val="-3"/>
          <w:lang w:val="en-US"/>
        </w:rPr>
        <w:t>Vol.</w:t>
      </w:r>
      <w:r w:rsidR="00E93E41" w:rsidRPr="00BD1319">
        <w:rPr>
          <w:spacing w:val="-3"/>
          <w:lang w:val="en-US"/>
        </w:rPr>
        <w:t xml:space="preserve"> 2. Zaragoza: Sociedad </w:t>
      </w:r>
      <w:proofErr w:type="spellStart"/>
      <w:r w:rsidR="00E93E41" w:rsidRPr="00BD1319">
        <w:rPr>
          <w:spacing w:val="-3"/>
          <w:lang w:val="en-US"/>
        </w:rPr>
        <w:t>Entomológica</w:t>
      </w:r>
      <w:proofErr w:type="spellEnd"/>
      <w:r w:rsidR="00E93E41" w:rsidRPr="00BD1319">
        <w:rPr>
          <w:spacing w:val="-3"/>
          <w:lang w:val="en-US"/>
        </w:rPr>
        <w:t xml:space="preserve"> Aragonesa, 2001. 79 p.</w:t>
      </w:r>
    </w:p>
    <w:p w14:paraId="5993212E" w14:textId="77777777" w:rsidR="00035CE6" w:rsidRPr="00BD1319" w:rsidRDefault="00035CE6">
      <w:pPr>
        <w:tabs>
          <w:tab w:val="left" w:pos="-2268"/>
        </w:tabs>
        <w:suppressAutoHyphens/>
        <w:rPr>
          <w:spacing w:val="-3"/>
          <w:lang w:val="en-US"/>
        </w:rPr>
      </w:pPr>
    </w:p>
    <w:p w14:paraId="57734919" w14:textId="466F41DF" w:rsidR="00EB6CF3" w:rsidRPr="00BD1319" w:rsidRDefault="00EB6CF3">
      <w:pPr>
        <w:tabs>
          <w:tab w:val="left" w:pos="-2268"/>
        </w:tabs>
        <w:suppressAutoHyphens/>
        <w:rPr>
          <w:spacing w:val="-3"/>
          <w:lang w:val="en-US"/>
        </w:rPr>
      </w:pPr>
      <w:r w:rsidRPr="00BD1319">
        <w:rPr>
          <w:spacing w:val="-3"/>
          <w:lang w:val="en-US"/>
        </w:rPr>
        <w:t>HALFFTER, G. A strategy for measuring landscape biodiversity. Biology International -Special Issue. 36 (1998); 3-17.</w:t>
      </w:r>
    </w:p>
    <w:p w14:paraId="7FCA1AD8" w14:textId="77777777" w:rsidR="00EB6CF3" w:rsidRPr="00BD1319" w:rsidRDefault="00EB6CF3">
      <w:pPr>
        <w:tabs>
          <w:tab w:val="left" w:pos="-2268"/>
        </w:tabs>
        <w:suppressAutoHyphens/>
        <w:rPr>
          <w:spacing w:val="-3"/>
          <w:lang w:val="en-US"/>
        </w:rPr>
      </w:pPr>
    </w:p>
    <w:p w14:paraId="21932808" w14:textId="68FDD6EB" w:rsidR="00CE18BB" w:rsidRPr="00BD1319" w:rsidRDefault="00CE18BB">
      <w:pPr>
        <w:tabs>
          <w:tab w:val="left" w:pos="-2268"/>
        </w:tabs>
        <w:suppressAutoHyphens/>
        <w:rPr>
          <w:spacing w:val="-3"/>
          <w:lang w:val="en-US"/>
        </w:rPr>
      </w:pPr>
      <w:r w:rsidRPr="00BD1319">
        <w:rPr>
          <w:spacing w:val="-3"/>
          <w:lang w:val="en-US"/>
        </w:rPr>
        <w:t xml:space="preserve">HERMOSO, V., WARD, D., KENNARD, M. Using water residency time to enhance </w:t>
      </w:r>
      <w:proofErr w:type="spellStart"/>
      <w:r w:rsidRPr="00BD1319">
        <w:rPr>
          <w:spacing w:val="-3"/>
          <w:lang w:val="en-US"/>
        </w:rPr>
        <w:t>spatio</w:t>
      </w:r>
      <w:proofErr w:type="spellEnd"/>
      <w:r w:rsidRPr="00BD1319">
        <w:rPr>
          <w:spacing w:val="-3"/>
          <w:lang w:val="en-US"/>
        </w:rPr>
        <w:t>-temporal connectivity for conservation planning in seasonally dynamic freshwater ecosystems. Journal of Applied Ecology. 49 (2012); 1028–1035.</w:t>
      </w:r>
    </w:p>
    <w:p w14:paraId="41EBE74A" w14:textId="77777777" w:rsidR="00DA7F05" w:rsidRPr="00BD1319" w:rsidRDefault="00DA7F05">
      <w:pPr>
        <w:tabs>
          <w:tab w:val="left" w:pos="-2268"/>
        </w:tabs>
        <w:suppressAutoHyphens/>
        <w:rPr>
          <w:spacing w:val="-3"/>
          <w:lang w:val="en-US"/>
        </w:rPr>
      </w:pPr>
    </w:p>
    <w:p w14:paraId="1F4650F0" w14:textId="3540D60D" w:rsidR="00DA7F05" w:rsidRPr="00BD1319" w:rsidRDefault="00DA7F05" w:rsidP="00DA7F05">
      <w:pPr>
        <w:tabs>
          <w:tab w:val="left" w:pos="-2268"/>
        </w:tabs>
        <w:suppressAutoHyphens/>
        <w:rPr>
          <w:spacing w:val="-3"/>
          <w:lang w:val="en-US"/>
        </w:rPr>
      </w:pPr>
      <w:r w:rsidRPr="00BD1319">
        <w:rPr>
          <w:spacing w:val="-3"/>
          <w:lang w:val="en-US"/>
        </w:rPr>
        <w:t xml:space="preserve">HERMOSO, V., KENNARD, M.J., LINKE, S. Integrating multidirectional connectivity requirements in systematic conservation planning for freshwater systems. Divers. </w:t>
      </w:r>
      <w:proofErr w:type="spellStart"/>
      <w:r w:rsidRPr="00BD1319">
        <w:rPr>
          <w:spacing w:val="-3"/>
          <w:lang w:val="en-US"/>
        </w:rPr>
        <w:t>Distrib</w:t>
      </w:r>
      <w:proofErr w:type="spellEnd"/>
      <w:r w:rsidRPr="00BD1319">
        <w:rPr>
          <w:spacing w:val="-3"/>
          <w:lang w:val="en-US"/>
        </w:rPr>
        <w:t>. 18 (2012); 448–458.</w:t>
      </w:r>
    </w:p>
    <w:p w14:paraId="1D5F1B0A" w14:textId="77777777" w:rsidR="00CE18BB" w:rsidRPr="00BD1319" w:rsidRDefault="00CE18BB">
      <w:pPr>
        <w:tabs>
          <w:tab w:val="left" w:pos="-2268"/>
        </w:tabs>
        <w:suppressAutoHyphens/>
        <w:rPr>
          <w:spacing w:val="-3"/>
          <w:lang w:val="en-US"/>
        </w:rPr>
      </w:pPr>
    </w:p>
    <w:p w14:paraId="735A0636" w14:textId="70A6E695" w:rsidR="00CE4187" w:rsidRPr="006B11C6" w:rsidRDefault="00CE4187" w:rsidP="00CE4187">
      <w:pPr>
        <w:tabs>
          <w:tab w:val="left" w:pos="-2268"/>
        </w:tabs>
        <w:suppressAutoHyphens/>
        <w:rPr>
          <w:spacing w:val="-3"/>
        </w:rPr>
      </w:pPr>
      <w:r w:rsidRPr="00BD1319">
        <w:rPr>
          <w:spacing w:val="-3"/>
          <w:lang w:val="en-US"/>
        </w:rPr>
        <w:t xml:space="preserve">HULBERT, S.H. Pseudoreplication and the Desing of Ecological Field Experiments. </w:t>
      </w:r>
      <w:proofErr w:type="spellStart"/>
      <w:r w:rsidRPr="006B11C6">
        <w:rPr>
          <w:spacing w:val="-3"/>
        </w:rPr>
        <w:t>Ecological</w:t>
      </w:r>
      <w:proofErr w:type="spellEnd"/>
      <w:r w:rsidRPr="006B11C6">
        <w:rPr>
          <w:spacing w:val="-3"/>
        </w:rPr>
        <w:t xml:space="preserve"> </w:t>
      </w:r>
      <w:proofErr w:type="spellStart"/>
      <w:r w:rsidRPr="006B11C6">
        <w:rPr>
          <w:spacing w:val="-3"/>
        </w:rPr>
        <w:t>Monographs</w:t>
      </w:r>
      <w:proofErr w:type="spellEnd"/>
      <w:r w:rsidRPr="006B11C6">
        <w:rPr>
          <w:spacing w:val="-3"/>
        </w:rPr>
        <w:t>. 54 (1984); 187 - 211.</w:t>
      </w:r>
    </w:p>
    <w:p w14:paraId="2BEA0643" w14:textId="77777777" w:rsidR="00CE4187" w:rsidRPr="006B11C6" w:rsidRDefault="00CE4187" w:rsidP="00CE4187">
      <w:pPr>
        <w:tabs>
          <w:tab w:val="left" w:pos="-2268"/>
        </w:tabs>
        <w:suppressAutoHyphens/>
        <w:rPr>
          <w:spacing w:val="-3"/>
        </w:rPr>
      </w:pPr>
    </w:p>
    <w:p w14:paraId="6C6E960C" w14:textId="02DCFA46" w:rsidR="00FC2149" w:rsidRPr="00BD1319" w:rsidRDefault="00FC2149">
      <w:pPr>
        <w:tabs>
          <w:tab w:val="left" w:pos="-2268"/>
        </w:tabs>
        <w:suppressAutoHyphens/>
        <w:rPr>
          <w:spacing w:val="-3"/>
          <w:lang w:val="es-MX"/>
        </w:rPr>
      </w:pPr>
      <w:r w:rsidRPr="006B11C6">
        <w:rPr>
          <w:spacing w:val="-3"/>
        </w:rPr>
        <w:t xml:space="preserve">INSTITUTO COLOMBIANO DE NORMAS TÉCNICAS Y CERTIFICACIÓN –Icontec. </w:t>
      </w:r>
      <w:r w:rsidRPr="00BD1319">
        <w:rPr>
          <w:spacing w:val="-3"/>
          <w:lang w:val="es-MX"/>
        </w:rPr>
        <w:t>Norma técnica colombiana NTC-ISO 14091:2021 Adaptación al cambio climático. Directrices sobre la vulnerabilidad, los impactos y la evaluación del riesgo.</w:t>
      </w:r>
      <w:r w:rsidR="00E1574C" w:rsidRPr="00BD1319">
        <w:rPr>
          <w:spacing w:val="-3"/>
          <w:lang w:val="es-MX"/>
        </w:rPr>
        <w:t xml:space="preserve"> Bogotá D. C.: Icontec, 2021. 47p.</w:t>
      </w:r>
    </w:p>
    <w:p w14:paraId="1E626374" w14:textId="77777777" w:rsidR="00FC2149" w:rsidRPr="00BD1319" w:rsidRDefault="00FC2149">
      <w:pPr>
        <w:tabs>
          <w:tab w:val="left" w:pos="-2268"/>
        </w:tabs>
        <w:suppressAutoHyphens/>
        <w:rPr>
          <w:spacing w:val="-3"/>
        </w:rPr>
      </w:pPr>
    </w:p>
    <w:p w14:paraId="344DCFFA" w14:textId="19247B6A" w:rsidR="00E93E41" w:rsidRPr="00BD1319" w:rsidRDefault="00E93E41">
      <w:pPr>
        <w:tabs>
          <w:tab w:val="left" w:pos="-2268"/>
        </w:tabs>
        <w:suppressAutoHyphens/>
        <w:rPr>
          <w:spacing w:val="-3"/>
        </w:rPr>
      </w:pPr>
      <w:r w:rsidRPr="00BD1319">
        <w:rPr>
          <w:spacing w:val="-3"/>
        </w:rPr>
        <w:t>INSTITUTO DE HIDROLOGÍA, METEOROLOGÍA Y ESTUDIOS AMBIENTALES –</w:t>
      </w:r>
      <w:proofErr w:type="spellStart"/>
      <w:r w:rsidR="00A92356" w:rsidRPr="00BD1319">
        <w:rPr>
          <w:spacing w:val="-3"/>
        </w:rPr>
        <w:t>Ideam</w:t>
      </w:r>
      <w:proofErr w:type="spellEnd"/>
      <w:r w:rsidRPr="00BD1319">
        <w:rPr>
          <w:spacing w:val="-3"/>
        </w:rPr>
        <w:t xml:space="preserve">. Protocolo para el monitoreo y seguimiento del agua. Bogotá: </w:t>
      </w:r>
      <w:proofErr w:type="spellStart"/>
      <w:r w:rsidR="00A92356" w:rsidRPr="00BD1319">
        <w:rPr>
          <w:spacing w:val="-3"/>
        </w:rPr>
        <w:t>Ideam</w:t>
      </w:r>
      <w:proofErr w:type="spellEnd"/>
      <w:r w:rsidRPr="00BD1319">
        <w:rPr>
          <w:spacing w:val="-3"/>
        </w:rPr>
        <w:t>, MAVDT, 2017. 586 p.</w:t>
      </w:r>
    </w:p>
    <w:p w14:paraId="7AD9DB83" w14:textId="77777777" w:rsidR="00E93E41" w:rsidRPr="00BD1319" w:rsidRDefault="00E93E41">
      <w:pPr>
        <w:tabs>
          <w:tab w:val="left" w:pos="-2268"/>
        </w:tabs>
        <w:suppressAutoHyphens/>
        <w:rPr>
          <w:spacing w:val="-3"/>
        </w:rPr>
      </w:pPr>
    </w:p>
    <w:p w14:paraId="283071D4" w14:textId="27F1DD82" w:rsidR="00E93E41" w:rsidRPr="00BD1319" w:rsidRDefault="00E93E41">
      <w:pPr>
        <w:tabs>
          <w:tab w:val="left" w:pos="-2268"/>
        </w:tabs>
        <w:suppressAutoHyphens/>
        <w:rPr>
          <w:spacing w:val="-3"/>
        </w:rPr>
      </w:pPr>
      <w:r w:rsidRPr="00BD1319">
        <w:rPr>
          <w:spacing w:val="-3"/>
        </w:rPr>
        <w:t>INSTITUTO DE HIDROLOGÍA, METEOROLOGÍA Y ESTUDIOS AMBIENTALES –</w:t>
      </w:r>
      <w:proofErr w:type="spellStart"/>
      <w:r w:rsidR="00A92356" w:rsidRPr="00BD1319">
        <w:rPr>
          <w:spacing w:val="-3"/>
        </w:rPr>
        <w:t>Ideam</w:t>
      </w:r>
      <w:proofErr w:type="spellEnd"/>
      <w:r w:rsidRPr="00BD1319">
        <w:rPr>
          <w:spacing w:val="-3"/>
        </w:rPr>
        <w:t xml:space="preserve"> &amp; UNIVERSIDAD DE CIENCIAS APLICADAS Y AMBIENTALES –UDCA. Protocolo para la identificación y evaluación de la degradación de suelos por erosión. Versión 2. Bogotá D.C.: </w:t>
      </w:r>
      <w:proofErr w:type="spellStart"/>
      <w:r w:rsidR="00A92356" w:rsidRPr="00BD1319">
        <w:rPr>
          <w:spacing w:val="-3"/>
        </w:rPr>
        <w:t>Ideam</w:t>
      </w:r>
      <w:proofErr w:type="spellEnd"/>
      <w:r w:rsidRPr="00BD1319">
        <w:rPr>
          <w:spacing w:val="-3"/>
        </w:rPr>
        <w:t xml:space="preserve">, MADS, UDCA, 2015. 170 p. </w:t>
      </w:r>
    </w:p>
    <w:p w14:paraId="6F6FE6B4" w14:textId="77777777" w:rsidR="00E93E41" w:rsidRPr="00BD1319" w:rsidRDefault="00E93E41">
      <w:pPr>
        <w:tabs>
          <w:tab w:val="left" w:pos="-2268"/>
        </w:tabs>
        <w:suppressAutoHyphens/>
        <w:rPr>
          <w:spacing w:val="-3"/>
        </w:rPr>
      </w:pPr>
    </w:p>
    <w:p w14:paraId="658B9AD8" w14:textId="10A4590F" w:rsidR="00E93E41" w:rsidRPr="00BD1319" w:rsidRDefault="00E93E41">
      <w:pPr>
        <w:tabs>
          <w:tab w:val="left" w:pos="-2268"/>
        </w:tabs>
        <w:suppressAutoHyphens/>
        <w:rPr>
          <w:spacing w:val="-3"/>
        </w:rPr>
      </w:pPr>
      <w:r w:rsidRPr="00BD1319">
        <w:rPr>
          <w:spacing w:val="-3"/>
        </w:rPr>
        <w:t>INSTITUTO DE HIDROLOGÍA, METEOROLOGÍA Y ESTUDIOS AMBIENTALES –</w:t>
      </w:r>
      <w:proofErr w:type="spellStart"/>
      <w:r w:rsidR="00A92356" w:rsidRPr="00BD1319">
        <w:rPr>
          <w:spacing w:val="-3"/>
        </w:rPr>
        <w:t>Ideam</w:t>
      </w:r>
      <w:proofErr w:type="spellEnd"/>
      <w:r w:rsidRPr="00BD1319">
        <w:rPr>
          <w:spacing w:val="-3"/>
        </w:rPr>
        <w:t xml:space="preserve">, CORPORACIÓN AUTÓNOMA REGIONAL DE CUNDINAMARCA –CAR &amp; UNIVERSIDAD DE CIENCIAS APLICADAS Y AMBIENTALES –UDCA. Protocolo para la identificación y evaluación de la degradación de suelos por salinización. Bogotá D.C.: </w:t>
      </w:r>
      <w:proofErr w:type="spellStart"/>
      <w:r w:rsidR="00A92356" w:rsidRPr="00BD1319">
        <w:rPr>
          <w:spacing w:val="-3"/>
        </w:rPr>
        <w:t>Ideam</w:t>
      </w:r>
      <w:proofErr w:type="spellEnd"/>
      <w:r w:rsidRPr="00BD1319">
        <w:rPr>
          <w:spacing w:val="-3"/>
        </w:rPr>
        <w:t>, CAR, UDCA, 2017. 109 p.</w:t>
      </w:r>
    </w:p>
    <w:p w14:paraId="5B49EB0A" w14:textId="77777777" w:rsidR="00E93E41" w:rsidRPr="00BD1319" w:rsidRDefault="00E93E41">
      <w:pPr>
        <w:tabs>
          <w:tab w:val="left" w:pos="-2268"/>
        </w:tabs>
        <w:suppressAutoHyphens/>
        <w:rPr>
          <w:spacing w:val="-3"/>
        </w:rPr>
      </w:pPr>
    </w:p>
    <w:p w14:paraId="1A0113CC" w14:textId="5D6EB11F" w:rsidR="009A57BB" w:rsidRPr="00BD1319" w:rsidRDefault="009A57BB">
      <w:pPr>
        <w:tabs>
          <w:tab w:val="left" w:pos="-2268"/>
        </w:tabs>
        <w:suppressAutoHyphens/>
        <w:rPr>
          <w:spacing w:val="-3"/>
        </w:rPr>
      </w:pPr>
      <w:r w:rsidRPr="00BD1319">
        <w:rPr>
          <w:spacing w:val="-3"/>
        </w:rPr>
        <w:lastRenderedPageBreak/>
        <w:t>INSTITUTO DE HIDROLOGÍA, METEOROLOGÍA Y ESTUDIOS AMBIENTALES –</w:t>
      </w:r>
      <w:proofErr w:type="spellStart"/>
      <w:r w:rsidRPr="00BD1319">
        <w:rPr>
          <w:spacing w:val="-3"/>
        </w:rPr>
        <w:t>Ideam</w:t>
      </w:r>
      <w:proofErr w:type="spellEnd"/>
      <w:r w:rsidRPr="00BD1319">
        <w:rPr>
          <w:spacing w:val="-3"/>
        </w:rPr>
        <w:t xml:space="preserve">, PROGRAMA DE LAS NACIONES UNIDAS PARA EL MEDIO AMBIENTE -PNUD, MINISTERIO DE AMBIENTE Y DESARROLLO SOSTENIBLE -Minambiente, DEPARTAMENTO NACIONAL DE PLANEACIÓN -DNP, MINISTERIO DE RELACINES EXTERIORES – Cancillería. Análisis de vulnerabilidad y riesgo por cambio climático en Colombia. Tercera Comunicación Nacional de Cambio Climático. Bogotá D.C.: </w:t>
      </w:r>
      <w:proofErr w:type="spellStart"/>
      <w:r w:rsidRPr="00BD1319">
        <w:rPr>
          <w:spacing w:val="-3"/>
        </w:rPr>
        <w:t>Ideam</w:t>
      </w:r>
      <w:proofErr w:type="spellEnd"/>
      <w:r w:rsidRPr="00BD1319">
        <w:rPr>
          <w:spacing w:val="-3"/>
        </w:rPr>
        <w:t>, PNUD, Minambiente, DNP, Cancillería, 2017b. 333 p.</w:t>
      </w:r>
    </w:p>
    <w:p w14:paraId="3CCFF6BB" w14:textId="77777777" w:rsidR="009A57BB" w:rsidRPr="00BD1319" w:rsidRDefault="009A57BB">
      <w:pPr>
        <w:tabs>
          <w:tab w:val="left" w:pos="-2268"/>
        </w:tabs>
        <w:suppressAutoHyphens/>
        <w:rPr>
          <w:spacing w:val="-3"/>
        </w:rPr>
      </w:pPr>
    </w:p>
    <w:p w14:paraId="5C8220E9" w14:textId="461C1DE1" w:rsidR="009A57BB" w:rsidRPr="00BD1319" w:rsidRDefault="009A57BB" w:rsidP="009A57BB">
      <w:pPr>
        <w:tabs>
          <w:tab w:val="left" w:pos="-2268"/>
        </w:tabs>
        <w:suppressAutoHyphens/>
        <w:rPr>
          <w:spacing w:val="-3"/>
        </w:rPr>
      </w:pPr>
      <w:r w:rsidRPr="00BD1319">
        <w:rPr>
          <w:spacing w:val="-3"/>
        </w:rPr>
        <w:t>IDEAM, PNUD, MADS, DNP, CANCILLERÍA. 2017. Análisis de vulnerabilidad y riesgo por cambio climático en Colombia. Tercera Comunicación Nacional de Cambio Climático. IDEAM, PNUD, MADS, DNP, CANCILLERÍA, FMAM. Bogotá D.C., Colombia.</w:t>
      </w:r>
    </w:p>
    <w:p w14:paraId="27DDE964" w14:textId="77777777" w:rsidR="009A57BB" w:rsidRPr="00BD1319" w:rsidRDefault="009A57BB">
      <w:pPr>
        <w:tabs>
          <w:tab w:val="left" w:pos="-2268"/>
        </w:tabs>
        <w:suppressAutoHyphens/>
        <w:rPr>
          <w:spacing w:val="-3"/>
        </w:rPr>
      </w:pPr>
    </w:p>
    <w:p w14:paraId="48D5C9B7" w14:textId="77777777" w:rsidR="009A57BB" w:rsidRPr="00BD1319" w:rsidRDefault="009A57BB">
      <w:pPr>
        <w:tabs>
          <w:tab w:val="left" w:pos="-2268"/>
        </w:tabs>
        <w:suppressAutoHyphens/>
        <w:rPr>
          <w:spacing w:val="-3"/>
        </w:rPr>
      </w:pPr>
    </w:p>
    <w:p w14:paraId="37C03F97" w14:textId="78C438AD" w:rsidR="00E93E41" w:rsidRPr="00BD1319" w:rsidRDefault="00E93E41">
      <w:pPr>
        <w:tabs>
          <w:tab w:val="left" w:pos="-2268"/>
        </w:tabs>
        <w:suppressAutoHyphens/>
        <w:rPr>
          <w:spacing w:val="-3"/>
        </w:rPr>
      </w:pPr>
      <w:r w:rsidRPr="00BD1319">
        <w:rPr>
          <w:spacing w:val="-3"/>
        </w:rPr>
        <w:t>INSTITUTO DE HIDROLOGÍA, METEOROLOGÍA Y ESTUDIOS AMBIENTALES –</w:t>
      </w:r>
      <w:proofErr w:type="spellStart"/>
      <w:r w:rsidR="00A92356" w:rsidRPr="00BD1319">
        <w:rPr>
          <w:spacing w:val="-3"/>
        </w:rPr>
        <w:t>Ideam</w:t>
      </w:r>
      <w:proofErr w:type="spellEnd"/>
      <w:r w:rsidRPr="00BD1319">
        <w:rPr>
          <w:spacing w:val="-3"/>
        </w:rPr>
        <w:t xml:space="preserve">. Lineamientos conceptuales y metodológicos para la Evaluación Regional del Agua –ERA. Bogotá: </w:t>
      </w:r>
      <w:proofErr w:type="spellStart"/>
      <w:r w:rsidR="00A92356" w:rsidRPr="00BD1319">
        <w:rPr>
          <w:spacing w:val="-3"/>
        </w:rPr>
        <w:t>Ideam</w:t>
      </w:r>
      <w:proofErr w:type="spellEnd"/>
      <w:r w:rsidRPr="00BD1319">
        <w:rPr>
          <w:spacing w:val="-3"/>
        </w:rPr>
        <w:t>, Minambiente, 2013. 275 p.</w:t>
      </w:r>
    </w:p>
    <w:p w14:paraId="2E0FCE11" w14:textId="27BAD1AB" w:rsidR="00E93E41" w:rsidRPr="00BD1319" w:rsidRDefault="00E93E41">
      <w:pPr>
        <w:tabs>
          <w:tab w:val="left" w:pos="-2268"/>
        </w:tabs>
        <w:suppressAutoHyphens/>
        <w:rPr>
          <w:spacing w:val="-3"/>
        </w:rPr>
      </w:pPr>
    </w:p>
    <w:p w14:paraId="5DE94AA4" w14:textId="2A2FDCBD" w:rsidR="00DB60CF" w:rsidRPr="00BD1319" w:rsidRDefault="00DB60CF" w:rsidP="00DB60CF">
      <w:pPr>
        <w:tabs>
          <w:tab w:val="left" w:pos="-2268"/>
        </w:tabs>
        <w:suppressAutoHyphens/>
        <w:rPr>
          <w:spacing w:val="-3"/>
        </w:rPr>
      </w:pPr>
      <w:r w:rsidRPr="00BD1319">
        <w:rPr>
          <w:spacing w:val="-3"/>
        </w:rPr>
        <w:t>INSTITUTO DE HIDROLOGÍA, METEOROLOGÍA Y ESTUDIOS AMBIENTALES –</w:t>
      </w:r>
      <w:proofErr w:type="spellStart"/>
      <w:r w:rsidRPr="00BD1319">
        <w:rPr>
          <w:spacing w:val="-3"/>
        </w:rPr>
        <w:t>Ideam</w:t>
      </w:r>
      <w:proofErr w:type="spellEnd"/>
      <w:r w:rsidRPr="00BD1319">
        <w:rPr>
          <w:spacing w:val="-3"/>
        </w:rPr>
        <w:t xml:space="preserve"> e INSTITUTO DE INVESTIGACIONES MARINAS Y COSTERAS “JOSÉ BENITO VIVES DE ANDRÉIS” –</w:t>
      </w:r>
      <w:proofErr w:type="spellStart"/>
      <w:r w:rsidRPr="00BD1319">
        <w:rPr>
          <w:spacing w:val="-3"/>
        </w:rPr>
        <w:t>Invemar</w:t>
      </w:r>
      <w:proofErr w:type="spellEnd"/>
      <w:r w:rsidRPr="00BD1319">
        <w:rPr>
          <w:spacing w:val="-3"/>
        </w:rPr>
        <w:t xml:space="preserve">. </w:t>
      </w:r>
      <w:hyperlink r:id="rId76" w:history="1">
        <w:r w:rsidRPr="00BD1319">
          <w:rPr>
            <w:spacing w:val="-3"/>
          </w:rPr>
          <w:t>Protocolo de Monitoreo del Agua</w:t>
        </w:r>
      </w:hyperlink>
      <w:r w:rsidRPr="00BD1319">
        <w:rPr>
          <w:spacing w:val="-3"/>
        </w:rPr>
        <w:t xml:space="preserve">. Bogotá: </w:t>
      </w:r>
      <w:proofErr w:type="spellStart"/>
      <w:r w:rsidRPr="00BD1319">
        <w:rPr>
          <w:spacing w:val="-3"/>
        </w:rPr>
        <w:t>Ideam</w:t>
      </w:r>
      <w:proofErr w:type="spellEnd"/>
      <w:r w:rsidRPr="00BD1319">
        <w:rPr>
          <w:spacing w:val="-3"/>
        </w:rPr>
        <w:t>, 2017. 586 p.</w:t>
      </w:r>
    </w:p>
    <w:p w14:paraId="69397FD0" w14:textId="77777777" w:rsidR="00DB60CF" w:rsidRPr="00BD1319" w:rsidRDefault="00DB60CF">
      <w:pPr>
        <w:tabs>
          <w:tab w:val="left" w:pos="-2268"/>
        </w:tabs>
        <w:suppressAutoHyphens/>
        <w:rPr>
          <w:spacing w:val="-3"/>
        </w:rPr>
      </w:pPr>
    </w:p>
    <w:p w14:paraId="655445A4" w14:textId="1ABF3910" w:rsidR="00E93E41" w:rsidRPr="00BD1319" w:rsidRDefault="00E93E41">
      <w:pPr>
        <w:tabs>
          <w:tab w:val="left" w:pos="-2268"/>
        </w:tabs>
        <w:suppressAutoHyphens/>
        <w:rPr>
          <w:spacing w:val="-3"/>
        </w:rPr>
      </w:pPr>
      <w:r w:rsidRPr="00BD1319">
        <w:rPr>
          <w:spacing w:val="-3"/>
        </w:rPr>
        <w:t>INSTITUTO DE HIDROLOGÍA, METEOROLOGÍA Y ESTUDIOS AMBIENTALES –</w:t>
      </w:r>
      <w:proofErr w:type="spellStart"/>
      <w:r w:rsidR="00A92356" w:rsidRPr="00BD1319">
        <w:rPr>
          <w:spacing w:val="-3"/>
        </w:rPr>
        <w:t>Ideam</w:t>
      </w:r>
      <w:proofErr w:type="spellEnd"/>
      <w:r w:rsidRPr="00BD1319">
        <w:rPr>
          <w:spacing w:val="-3"/>
        </w:rPr>
        <w:t>, INSTITUTO DE INVESTIGACIÓN DE RECURSOS BIOLÓGICOS ALEXANDER VON HUMBOLDT –</w:t>
      </w:r>
      <w:proofErr w:type="spellStart"/>
      <w:r w:rsidRPr="00BD1319">
        <w:rPr>
          <w:spacing w:val="-3"/>
        </w:rPr>
        <w:t>IAvH</w:t>
      </w:r>
      <w:proofErr w:type="spellEnd"/>
      <w:r w:rsidRPr="00BD1319">
        <w:rPr>
          <w:spacing w:val="-3"/>
        </w:rPr>
        <w:t>, INSTITUTO GEOGRÁFICO AGUSTÍN CODAZZI –IGAC, INSTITUTO DE INVESTIGACIONES MARINAS Y COSTERAS “JOSÉ BENITO VIVES DE ANDRÉIS” –</w:t>
      </w:r>
      <w:proofErr w:type="spellStart"/>
      <w:r w:rsidRPr="00BD1319">
        <w:rPr>
          <w:spacing w:val="-3"/>
        </w:rPr>
        <w:t>Invemar</w:t>
      </w:r>
      <w:proofErr w:type="spellEnd"/>
      <w:r w:rsidRPr="00BD1319">
        <w:rPr>
          <w:spacing w:val="-3"/>
        </w:rPr>
        <w:t>, INSTITUTO AMAZÓNICO DE INVESTIGACIONES CIENTÍFICAS –Sinchi, INSTITUTO DE INVESTIGACIONES AMBIENTALES DEL PACÍFICO –IIAP, PARQUES NACIONALES NATURALES DE COLOMBIA –PNN &amp; MINISTERIO DE AMBIENTE Y DESARROLLO SOSTENIBLE –Minambiente. Mapa de Ecosistemas Continentales, Costeros y Marinos de Colombia (MEC) [mapa], Versión 2.1, escala 1:100.000, 2017.</w:t>
      </w:r>
    </w:p>
    <w:p w14:paraId="0896ED49" w14:textId="77777777" w:rsidR="00E93E41" w:rsidRPr="00BD1319" w:rsidRDefault="00E93E41">
      <w:pPr>
        <w:tabs>
          <w:tab w:val="left" w:pos="-2268"/>
        </w:tabs>
        <w:suppressAutoHyphens/>
        <w:rPr>
          <w:spacing w:val="-3"/>
        </w:rPr>
      </w:pPr>
    </w:p>
    <w:p w14:paraId="439C840D" w14:textId="79B1F67D" w:rsidR="00CB3736" w:rsidRPr="00BD1319" w:rsidRDefault="00A40360" w:rsidP="00CB3736">
      <w:pPr>
        <w:tabs>
          <w:tab w:val="left" w:pos="-2268"/>
        </w:tabs>
        <w:suppressAutoHyphens/>
        <w:rPr>
          <w:spacing w:val="-3"/>
        </w:rPr>
      </w:pPr>
      <w:r w:rsidRPr="00BD1319">
        <w:rPr>
          <w:spacing w:val="-3"/>
        </w:rPr>
        <w:t>INSTITUTO DE HIDROLOGÍA, METEOROLOGÍA Y ESTUDIOS AMBIENTALES –</w:t>
      </w:r>
      <w:proofErr w:type="spellStart"/>
      <w:r w:rsidRPr="00BD1319">
        <w:rPr>
          <w:spacing w:val="-3"/>
        </w:rPr>
        <w:t>Ideam</w:t>
      </w:r>
      <w:proofErr w:type="spellEnd"/>
      <w:r w:rsidRPr="00BD1319">
        <w:rPr>
          <w:spacing w:val="-3"/>
        </w:rPr>
        <w:t>,</w:t>
      </w:r>
      <w:r w:rsidR="00CB3736" w:rsidRPr="00BD1319">
        <w:rPr>
          <w:spacing w:val="-3"/>
        </w:rPr>
        <w:t xml:space="preserve"> </w:t>
      </w:r>
      <w:r w:rsidRPr="00BD1319">
        <w:rPr>
          <w:spacing w:val="-3"/>
        </w:rPr>
        <w:t>PROGRAMA DE LAS NACIONES UNIDAS PARA EL DESARROLLO -</w:t>
      </w:r>
      <w:r w:rsidR="00CB3736" w:rsidRPr="00BD1319">
        <w:rPr>
          <w:spacing w:val="-3"/>
        </w:rPr>
        <w:t xml:space="preserve">PNUD, </w:t>
      </w:r>
      <w:r w:rsidRPr="00BD1319">
        <w:rPr>
          <w:spacing w:val="-3"/>
        </w:rPr>
        <w:t>MINISTERIO DE AMBIENTE Y DESARROLLO SOSTENIBLE -</w:t>
      </w:r>
      <w:r w:rsidR="00CB3736" w:rsidRPr="00BD1319">
        <w:rPr>
          <w:spacing w:val="-3"/>
        </w:rPr>
        <w:t>M</w:t>
      </w:r>
      <w:r w:rsidRPr="00BD1319">
        <w:rPr>
          <w:spacing w:val="-3"/>
        </w:rPr>
        <w:t>inambiente</w:t>
      </w:r>
      <w:r w:rsidR="00CB3736" w:rsidRPr="00BD1319">
        <w:rPr>
          <w:spacing w:val="-3"/>
        </w:rPr>
        <w:t>,</w:t>
      </w:r>
      <w:r w:rsidRPr="00BD1319">
        <w:rPr>
          <w:spacing w:val="-3"/>
        </w:rPr>
        <w:t xml:space="preserve"> DEPARTAMENTO NACIONAL DE PLANEACIÓN -</w:t>
      </w:r>
      <w:r w:rsidR="00CB3736" w:rsidRPr="00BD1319">
        <w:rPr>
          <w:spacing w:val="-3"/>
        </w:rPr>
        <w:t xml:space="preserve">DNP, </w:t>
      </w:r>
      <w:r w:rsidRPr="00BD1319">
        <w:rPr>
          <w:spacing w:val="-3"/>
        </w:rPr>
        <w:t>MINISTERIO DE RELACIONES EXTERIORES -Cancillería</w:t>
      </w:r>
      <w:r w:rsidR="00CB3736" w:rsidRPr="00BD1319">
        <w:rPr>
          <w:spacing w:val="-3"/>
        </w:rPr>
        <w:t xml:space="preserve">. Análisis de vulnerabilidad y riesgo por cambio climático en Colombia. Tercera Comunicación Nacional de Cambio Climático. Bogotá D. C.: </w:t>
      </w:r>
      <w:proofErr w:type="spellStart"/>
      <w:r w:rsidRPr="00BD1319">
        <w:rPr>
          <w:spacing w:val="-3"/>
        </w:rPr>
        <w:t>Ideam</w:t>
      </w:r>
      <w:proofErr w:type="spellEnd"/>
      <w:r w:rsidR="00CB3736" w:rsidRPr="00BD1319">
        <w:rPr>
          <w:spacing w:val="-3"/>
        </w:rPr>
        <w:t xml:space="preserve">, PNUD, </w:t>
      </w:r>
      <w:r w:rsidRPr="00BD1319">
        <w:rPr>
          <w:spacing w:val="-3"/>
        </w:rPr>
        <w:t>Minambiente</w:t>
      </w:r>
      <w:r w:rsidR="00CB3736" w:rsidRPr="00BD1319">
        <w:rPr>
          <w:spacing w:val="-3"/>
        </w:rPr>
        <w:t>, DNP, CANCILLERÍA, FMAM, 2017</w:t>
      </w:r>
      <w:r w:rsidR="00D6307E" w:rsidRPr="00BD1319">
        <w:rPr>
          <w:spacing w:val="-3"/>
        </w:rPr>
        <w:t>b</w:t>
      </w:r>
      <w:r w:rsidR="00CB3736" w:rsidRPr="00BD1319">
        <w:rPr>
          <w:spacing w:val="-3"/>
        </w:rPr>
        <w:t xml:space="preserve">, 333 p. </w:t>
      </w:r>
    </w:p>
    <w:p w14:paraId="0A15FEA3" w14:textId="77777777" w:rsidR="00CB3736" w:rsidRPr="00BD1319" w:rsidRDefault="00CB3736">
      <w:pPr>
        <w:tabs>
          <w:tab w:val="left" w:pos="-2268"/>
        </w:tabs>
        <w:suppressAutoHyphens/>
        <w:rPr>
          <w:spacing w:val="-3"/>
        </w:rPr>
      </w:pPr>
    </w:p>
    <w:p w14:paraId="6D0090D9" w14:textId="65B00E72" w:rsidR="00E93E41" w:rsidRPr="00BD1319" w:rsidRDefault="00E93E41">
      <w:pPr>
        <w:tabs>
          <w:tab w:val="left" w:pos="-2268"/>
        </w:tabs>
        <w:suppressAutoHyphens/>
        <w:rPr>
          <w:spacing w:val="-3"/>
        </w:rPr>
      </w:pPr>
      <w:r w:rsidRPr="00BD1319">
        <w:rPr>
          <w:spacing w:val="-3"/>
        </w:rPr>
        <w:t>INSTITUTO DE HIDROLOGÍA, METEOROLOGÍA Y ESTUDIOS AMBIENTALES –</w:t>
      </w:r>
      <w:proofErr w:type="spellStart"/>
      <w:r w:rsidR="00A92356" w:rsidRPr="00BD1319">
        <w:rPr>
          <w:spacing w:val="-3"/>
        </w:rPr>
        <w:t>Ideam</w:t>
      </w:r>
      <w:proofErr w:type="spellEnd"/>
      <w:r w:rsidRPr="00BD1319">
        <w:rPr>
          <w:spacing w:val="-3"/>
        </w:rPr>
        <w:t xml:space="preserve">. Leyenda nacional de coberturas de la tierra. Metodología Corine </w:t>
      </w:r>
      <w:proofErr w:type="spellStart"/>
      <w:r w:rsidRPr="00BD1319">
        <w:rPr>
          <w:spacing w:val="-3"/>
        </w:rPr>
        <w:t>Land</w:t>
      </w:r>
      <w:proofErr w:type="spellEnd"/>
      <w:r w:rsidRPr="00BD1319">
        <w:rPr>
          <w:spacing w:val="-3"/>
        </w:rPr>
        <w:t xml:space="preserve"> </w:t>
      </w:r>
      <w:proofErr w:type="spellStart"/>
      <w:r w:rsidRPr="00BD1319">
        <w:rPr>
          <w:spacing w:val="-3"/>
        </w:rPr>
        <w:t>Cover</w:t>
      </w:r>
      <w:proofErr w:type="spellEnd"/>
      <w:r w:rsidRPr="00BD1319">
        <w:rPr>
          <w:spacing w:val="-3"/>
        </w:rPr>
        <w:t xml:space="preserve"> adaptada para Colombia Escala 1:100.000. Bogotá D.C.: </w:t>
      </w:r>
      <w:proofErr w:type="spellStart"/>
      <w:r w:rsidR="00A92356" w:rsidRPr="00BD1319">
        <w:rPr>
          <w:spacing w:val="-3"/>
        </w:rPr>
        <w:t>Ideam</w:t>
      </w:r>
      <w:proofErr w:type="spellEnd"/>
      <w:r w:rsidRPr="00BD1319">
        <w:rPr>
          <w:spacing w:val="-3"/>
        </w:rPr>
        <w:t>, 2010. 72 p.</w:t>
      </w:r>
    </w:p>
    <w:p w14:paraId="19BA1A36" w14:textId="77777777" w:rsidR="00E93E41" w:rsidRPr="00BD1319" w:rsidRDefault="00E93E41" w:rsidP="00897C15">
      <w:pPr>
        <w:tabs>
          <w:tab w:val="left" w:pos="-2268"/>
        </w:tabs>
        <w:suppressAutoHyphens/>
        <w:rPr>
          <w:spacing w:val="-3"/>
        </w:rPr>
      </w:pPr>
    </w:p>
    <w:p w14:paraId="49C1C0BA" w14:textId="2A299E7A" w:rsidR="00E93E41" w:rsidRPr="00BD1319" w:rsidRDefault="00E93E41" w:rsidP="00897C15">
      <w:pPr>
        <w:tabs>
          <w:tab w:val="left" w:pos="-2268"/>
        </w:tabs>
        <w:suppressAutoHyphens/>
        <w:rPr>
          <w:spacing w:val="-3"/>
        </w:rPr>
      </w:pPr>
      <w:r w:rsidRPr="00BD1319">
        <w:rPr>
          <w:spacing w:val="-3"/>
        </w:rPr>
        <w:lastRenderedPageBreak/>
        <w:t>INSTITUTO DE HIDROLOGÍA, METEOROLOGÍA Y ESTUDIOS AMBIENTALES –</w:t>
      </w:r>
      <w:proofErr w:type="spellStart"/>
      <w:r w:rsidR="00A92356" w:rsidRPr="00BD1319">
        <w:rPr>
          <w:spacing w:val="-3"/>
        </w:rPr>
        <w:t>Ideam</w:t>
      </w:r>
      <w:proofErr w:type="spellEnd"/>
      <w:r w:rsidRPr="00BD1319">
        <w:rPr>
          <w:spacing w:val="-3"/>
        </w:rPr>
        <w:t xml:space="preserve">. Guía metodológica para la elaboración de mapas geomorfológicos a escala 1:100.000. Bogotá: </w:t>
      </w:r>
      <w:proofErr w:type="spellStart"/>
      <w:r w:rsidR="00A92356" w:rsidRPr="00BD1319">
        <w:rPr>
          <w:spacing w:val="-3"/>
        </w:rPr>
        <w:t>Ideam</w:t>
      </w:r>
      <w:proofErr w:type="spellEnd"/>
      <w:r w:rsidRPr="00BD1319">
        <w:rPr>
          <w:spacing w:val="-3"/>
        </w:rPr>
        <w:t>, Subdirección de ecosistemas e información ambiental, 2013. 88 p.</w:t>
      </w:r>
    </w:p>
    <w:p w14:paraId="4A6E487A" w14:textId="77777777" w:rsidR="00E93E41" w:rsidRPr="00BD1319" w:rsidRDefault="00E93E41">
      <w:pPr>
        <w:tabs>
          <w:tab w:val="left" w:pos="-2268"/>
        </w:tabs>
        <w:suppressAutoHyphens/>
        <w:rPr>
          <w:spacing w:val="-3"/>
        </w:rPr>
      </w:pPr>
    </w:p>
    <w:p w14:paraId="290B8EFE" w14:textId="19B17462" w:rsidR="00E93E41" w:rsidRPr="00BD1319" w:rsidRDefault="00E93E41">
      <w:pPr>
        <w:tabs>
          <w:tab w:val="left" w:pos="-2268"/>
        </w:tabs>
        <w:suppressAutoHyphens/>
        <w:rPr>
          <w:spacing w:val="-3"/>
        </w:rPr>
      </w:pPr>
      <w:r w:rsidRPr="00BD1319">
        <w:rPr>
          <w:spacing w:val="-3"/>
        </w:rPr>
        <w:t>INSTITUTO DE INVESTIGACIONES MARINAS Y COSTERAS “JOSÉ BENITO VIVES DE ANDRÉIS” –</w:t>
      </w:r>
      <w:proofErr w:type="spellStart"/>
      <w:r w:rsidRPr="00BD1319">
        <w:rPr>
          <w:spacing w:val="-3"/>
        </w:rPr>
        <w:t>Invemar</w:t>
      </w:r>
      <w:proofErr w:type="spellEnd"/>
      <w:r w:rsidRPr="00BD1319">
        <w:rPr>
          <w:spacing w:val="-3"/>
        </w:rPr>
        <w:t xml:space="preserve"> e INSTITUTO DE HIDROLOGÍA, METEOROLOGÍA Y ESTUDIOS AMBIENTALES –</w:t>
      </w:r>
      <w:proofErr w:type="spellStart"/>
      <w:r w:rsidR="00A92356" w:rsidRPr="00BD1319">
        <w:rPr>
          <w:spacing w:val="-3"/>
        </w:rPr>
        <w:t>Ideam</w:t>
      </w:r>
      <w:proofErr w:type="spellEnd"/>
      <w:r w:rsidRPr="00BD1319">
        <w:rPr>
          <w:spacing w:val="-3"/>
        </w:rPr>
        <w:t xml:space="preserve">. Elaboración del análisis de vulnerabilidad </w:t>
      </w:r>
      <w:proofErr w:type="gramStart"/>
      <w:r w:rsidRPr="00BD1319">
        <w:rPr>
          <w:spacing w:val="-3"/>
        </w:rPr>
        <w:t>marino costera</w:t>
      </w:r>
      <w:proofErr w:type="gramEnd"/>
      <w:r w:rsidRPr="00BD1319">
        <w:rPr>
          <w:spacing w:val="-3"/>
        </w:rPr>
        <w:t xml:space="preserve"> e insular ante el cambio climático para el país. Informe Técnico Final (ITF) – 001. Contrato con el Programa de las Naciones Unidas para el Desarrollo – PNUD, </w:t>
      </w:r>
      <w:proofErr w:type="spellStart"/>
      <w:r w:rsidRPr="00BD1319">
        <w:rPr>
          <w:spacing w:val="-3"/>
        </w:rPr>
        <w:t>N°</w:t>
      </w:r>
      <w:proofErr w:type="spellEnd"/>
      <w:r w:rsidRPr="00BD1319">
        <w:rPr>
          <w:spacing w:val="-3"/>
        </w:rPr>
        <w:t xml:space="preserve">. 0000040357. Santa Marta: </w:t>
      </w:r>
      <w:proofErr w:type="spellStart"/>
      <w:r w:rsidRPr="00BD1319">
        <w:rPr>
          <w:spacing w:val="-3"/>
        </w:rPr>
        <w:t>Invemar</w:t>
      </w:r>
      <w:proofErr w:type="spellEnd"/>
      <w:r w:rsidRPr="00BD1319">
        <w:rPr>
          <w:spacing w:val="-3"/>
        </w:rPr>
        <w:t>, 2017. 256 p.</w:t>
      </w:r>
    </w:p>
    <w:p w14:paraId="11554912" w14:textId="77777777" w:rsidR="00E93E41" w:rsidRPr="00BD1319" w:rsidRDefault="00E93E41">
      <w:pPr>
        <w:tabs>
          <w:tab w:val="left" w:pos="-2268"/>
        </w:tabs>
        <w:suppressAutoHyphens/>
        <w:rPr>
          <w:spacing w:val="-3"/>
        </w:rPr>
      </w:pPr>
    </w:p>
    <w:p w14:paraId="3B795D92" w14:textId="3EB886EE" w:rsidR="00E93E41" w:rsidRPr="00BD1319" w:rsidRDefault="00E93E41">
      <w:pPr>
        <w:tabs>
          <w:tab w:val="left" w:pos="-2268"/>
        </w:tabs>
        <w:suppressAutoHyphens/>
        <w:rPr>
          <w:spacing w:val="-3"/>
        </w:rPr>
      </w:pPr>
      <w:r w:rsidRPr="00BD1319">
        <w:rPr>
          <w:spacing w:val="-3"/>
        </w:rPr>
        <w:t>INSTITUTO GEOGRÁFICO AGUSTÍN CODAZZI –IGAC, INSTITUTO DE HIDROLOGÍA, METEOROLOGÍA Y ESTUDIOS AMBIENTALES –</w:t>
      </w:r>
      <w:proofErr w:type="spellStart"/>
      <w:r w:rsidR="00A92356" w:rsidRPr="00BD1319">
        <w:rPr>
          <w:spacing w:val="-3"/>
        </w:rPr>
        <w:t>Ideam</w:t>
      </w:r>
      <w:proofErr w:type="spellEnd"/>
      <w:r w:rsidRPr="00BD1319">
        <w:rPr>
          <w:spacing w:val="-3"/>
        </w:rPr>
        <w:t xml:space="preserve"> y MINISTERIO DE AMBIENTE, VIVIENDA Y DESARROLLO TERRITORIAL –MAVDT. Protocolo para la identificación y evaluación de los procesos de degradación de suelos y tierras por desertificación. Bogotá, Colombia: IGAC, </w:t>
      </w:r>
      <w:proofErr w:type="spellStart"/>
      <w:r w:rsidR="00A92356" w:rsidRPr="00BD1319">
        <w:rPr>
          <w:spacing w:val="-3"/>
        </w:rPr>
        <w:t>Ideam</w:t>
      </w:r>
      <w:proofErr w:type="spellEnd"/>
      <w:r w:rsidRPr="00BD1319">
        <w:rPr>
          <w:spacing w:val="-3"/>
        </w:rPr>
        <w:t>, MAVDT, 2010. 143 p.</w:t>
      </w:r>
    </w:p>
    <w:p w14:paraId="52A036B1" w14:textId="77777777" w:rsidR="00E93E41" w:rsidRPr="00BD1319" w:rsidRDefault="00E93E41">
      <w:pPr>
        <w:tabs>
          <w:tab w:val="left" w:pos="-2268"/>
        </w:tabs>
        <w:suppressAutoHyphens/>
        <w:rPr>
          <w:spacing w:val="-3"/>
        </w:rPr>
      </w:pPr>
    </w:p>
    <w:p w14:paraId="3A0785D4" w14:textId="066E3C9D" w:rsidR="00E93E41" w:rsidRPr="00BD1319" w:rsidRDefault="00E93E41">
      <w:pPr>
        <w:tabs>
          <w:tab w:val="left" w:pos="-2268"/>
        </w:tabs>
        <w:suppressAutoHyphens/>
        <w:rPr>
          <w:spacing w:val="-3"/>
        </w:rPr>
      </w:pPr>
      <w:r w:rsidRPr="00BD1319">
        <w:rPr>
          <w:spacing w:val="-3"/>
        </w:rPr>
        <w:t>INSTITUTO GEOGRÁFICO AGUSTÍN CODAZZI –IGAC. Atlas de la distribución de la propiedad rural en Colombia. Bogotá: Gobierno de Colombia, Universidad de los Andes, IGAC, 2012. 538 p.</w:t>
      </w:r>
    </w:p>
    <w:p w14:paraId="61FEA66A" w14:textId="77777777" w:rsidR="00E93E41" w:rsidRPr="00BD1319" w:rsidRDefault="00E93E41">
      <w:pPr>
        <w:tabs>
          <w:tab w:val="left" w:pos="-2268"/>
        </w:tabs>
        <w:suppressAutoHyphens/>
        <w:rPr>
          <w:spacing w:val="-3"/>
        </w:rPr>
      </w:pPr>
    </w:p>
    <w:p w14:paraId="2FE65250" w14:textId="343B0F7E" w:rsidR="00E839A8" w:rsidRPr="00BD1319" w:rsidRDefault="00E839A8" w:rsidP="00E839A8">
      <w:pPr>
        <w:tabs>
          <w:tab w:val="left" w:pos="-2268"/>
        </w:tabs>
        <w:suppressAutoHyphens/>
        <w:rPr>
          <w:spacing w:val="-3"/>
        </w:rPr>
      </w:pPr>
      <w:r w:rsidRPr="00BD1319">
        <w:rPr>
          <w:spacing w:val="-3"/>
        </w:rPr>
        <w:t xml:space="preserve">INSTITUTO GEOGRÁFICO AGUSTÍN CODAZZI –IGAC. Especificaciones técnicas. Cartografía básica digital. </w:t>
      </w:r>
      <w:r w:rsidR="006F2F7D" w:rsidRPr="00BD1319">
        <w:rPr>
          <w:spacing w:val="-3"/>
        </w:rPr>
        <w:t xml:space="preserve">Bogotá: </w:t>
      </w:r>
      <w:r w:rsidRPr="00BD1319">
        <w:rPr>
          <w:spacing w:val="-3"/>
        </w:rPr>
        <w:t>IGAC, 2016. 94 p.</w:t>
      </w:r>
    </w:p>
    <w:p w14:paraId="5FA74A9D" w14:textId="4057C516" w:rsidR="00E839A8" w:rsidRPr="00BD1319" w:rsidRDefault="00E839A8">
      <w:pPr>
        <w:tabs>
          <w:tab w:val="left" w:pos="-2268"/>
        </w:tabs>
        <w:suppressAutoHyphens/>
        <w:rPr>
          <w:spacing w:val="-3"/>
        </w:rPr>
      </w:pPr>
    </w:p>
    <w:p w14:paraId="2019CF9E" w14:textId="6AAE78CB" w:rsidR="00F62348" w:rsidRPr="00BD1319" w:rsidRDefault="00F62348" w:rsidP="00F62348">
      <w:pPr>
        <w:tabs>
          <w:tab w:val="left" w:pos="-2268"/>
        </w:tabs>
        <w:suppressAutoHyphens/>
        <w:rPr>
          <w:spacing w:val="-3"/>
          <w:lang w:val="en-US"/>
        </w:rPr>
      </w:pPr>
      <w:r w:rsidRPr="00BD1319">
        <w:rPr>
          <w:spacing w:val="-3"/>
        </w:rPr>
        <w:t xml:space="preserve">INSTITUTO NACIONAL DE VÍAS –INVIAS. Manual de drenaje para carreteras. </w:t>
      </w:r>
      <w:r w:rsidRPr="00BD1319">
        <w:rPr>
          <w:spacing w:val="-3"/>
          <w:lang w:val="en-US"/>
        </w:rPr>
        <w:t xml:space="preserve">Bogotá: </w:t>
      </w:r>
      <w:proofErr w:type="spellStart"/>
      <w:r w:rsidRPr="00BD1319">
        <w:rPr>
          <w:spacing w:val="-3"/>
          <w:lang w:val="en-US"/>
        </w:rPr>
        <w:t>Ministerio</w:t>
      </w:r>
      <w:proofErr w:type="spellEnd"/>
      <w:r w:rsidRPr="00BD1319">
        <w:rPr>
          <w:spacing w:val="-3"/>
          <w:lang w:val="en-US"/>
        </w:rPr>
        <w:t xml:space="preserve"> de Transporte, 2009. 537 p.</w:t>
      </w:r>
    </w:p>
    <w:p w14:paraId="0230AAEC" w14:textId="77777777" w:rsidR="00F62348" w:rsidRPr="00BD1319" w:rsidRDefault="00F62348">
      <w:pPr>
        <w:tabs>
          <w:tab w:val="left" w:pos="-2268"/>
        </w:tabs>
        <w:suppressAutoHyphens/>
        <w:rPr>
          <w:spacing w:val="-3"/>
          <w:lang w:val="en-US"/>
        </w:rPr>
      </w:pPr>
    </w:p>
    <w:p w14:paraId="4DA5DD0C" w14:textId="77777777" w:rsidR="00E93E41" w:rsidRPr="00BD1319" w:rsidRDefault="00E93E41">
      <w:pPr>
        <w:tabs>
          <w:tab w:val="left" w:pos="-2268"/>
        </w:tabs>
        <w:suppressAutoHyphens/>
        <w:rPr>
          <w:spacing w:val="-3"/>
          <w:lang w:val="en-US"/>
        </w:rPr>
      </w:pPr>
      <w:r w:rsidRPr="00BD1319">
        <w:rPr>
          <w:spacing w:val="-3"/>
          <w:lang w:val="en-US"/>
        </w:rPr>
        <w:t>INTERGOVERNMENTAL OCEANOGRAPHIC COMMISSION –IOC, SCIENTIFIC COMMITTEE ON OCEANIC RESEARCH –SCOR &amp; INTERNATIONAL ASSOCIATION FOR THE PHYSICAL SCIENCES OF THE OCEANS –IAPSO. The international thermodynamic equation of seawater – 2010: Calculation and use of thermodynamic properties. Intergovernmental Oceanographic Commission, Manuals and Guides No. 56. UNESCO, 2010. 196 p.</w:t>
      </w:r>
    </w:p>
    <w:p w14:paraId="0A4CEBB5" w14:textId="77777777" w:rsidR="00E93E41" w:rsidRPr="00BD1319" w:rsidRDefault="00E93E41" w:rsidP="000037C3">
      <w:pPr>
        <w:tabs>
          <w:tab w:val="left" w:pos="-2268"/>
        </w:tabs>
        <w:suppressAutoHyphens/>
        <w:rPr>
          <w:rFonts w:cs="Arial"/>
          <w:spacing w:val="-3"/>
          <w:lang w:val="en-US"/>
        </w:rPr>
      </w:pPr>
    </w:p>
    <w:p w14:paraId="64256C06" w14:textId="4A782895" w:rsidR="00F92A23" w:rsidRPr="00BD1319" w:rsidRDefault="00F92A23" w:rsidP="00F92A23">
      <w:pPr>
        <w:tabs>
          <w:tab w:val="left" w:pos="-2268"/>
        </w:tabs>
        <w:suppressAutoHyphens/>
        <w:rPr>
          <w:rFonts w:cs="Arial"/>
          <w:spacing w:val="-3"/>
          <w:lang w:val="en-US"/>
        </w:rPr>
      </w:pPr>
      <w:r w:rsidRPr="00BD1319">
        <w:rPr>
          <w:rFonts w:cs="Arial"/>
          <w:spacing w:val="-3"/>
          <w:lang w:val="en-US"/>
        </w:rPr>
        <w:t xml:space="preserve">INTERGOVERNMENTAL PANEL ON CLIMATE CHANGE </w:t>
      </w:r>
      <w:r w:rsidRPr="00BD1319">
        <w:rPr>
          <w:spacing w:val="-3"/>
          <w:lang w:val="en-US"/>
        </w:rPr>
        <w:t>–</w:t>
      </w:r>
      <w:r w:rsidRPr="00BD1319">
        <w:rPr>
          <w:rFonts w:cs="Arial"/>
          <w:spacing w:val="-3"/>
          <w:lang w:val="en-US"/>
        </w:rPr>
        <w:t xml:space="preserve">IPCC. </w:t>
      </w:r>
      <w:r w:rsidRPr="00BD1319">
        <w:rPr>
          <w:rFonts w:cs="Arial"/>
          <w:spacing w:val="-3"/>
          <w:lang w:val="es-MX"/>
        </w:rPr>
        <w:t xml:space="preserve">Cambio climático 2014: Impactos, adaptación y vulnerabilidad. Resúmenes, preguntas frecuentes y recuadros </w:t>
      </w:r>
      <w:proofErr w:type="spellStart"/>
      <w:r w:rsidRPr="00BD1319">
        <w:rPr>
          <w:rFonts w:cs="Arial"/>
          <w:spacing w:val="-3"/>
          <w:lang w:val="es-MX"/>
        </w:rPr>
        <w:t>multicapítulos</w:t>
      </w:r>
      <w:proofErr w:type="spellEnd"/>
      <w:r w:rsidRPr="00BD1319">
        <w:rPr>
          <w:rFonts w:cs="Arial"/>
          <w:spacing w:val="-3"/>
          <w:lang w:val="es-MX"/>
        </w:rPr>
        <w:t xml:space="preserve">. Contribución del Grupo de trabajo II al Quinto informe de evaluación del grupo intergubernamental de expertos sobre el cambio climático [Field, C.B., V.R. Barros, D.J. Dokken, K.J. Mach, M.D. </w:t>
      </w:r>
      <w:proofErr w:type="spellStart"/>
      <w:r w:rsidRPr="00BD1319">
        <w:rPr>
          <w:rFonts w:cs="Arial"/>
          <w:spacing w:val="-3"/>
          <w:lang w:val="es-MX"/>
        </w:rPr>
        <w:t>Mastrandrea</w:t>
      </w:r>
      <w:proofErr w:type="spellEnd"/>
      <w:r w:rsidRPr="00BD1319">
        <w:rPr>
          <w:rFonts w:cs="Arial"/>
          <w:spacing w:val="-3"/>
          <w:lang w:val="es-MX"/>
        </w:rPr>
        <w:t xml:space="preserve">, T.E. </w:t>
      </w:r>
      <w:proofErr w:type="spellStart"/>
      <w:r w:rsidRPr="00BD1319">
        <w:rPr>
          <w:rFonts w:cs="Arial"/>
          <w:spacing w:val="-3"/>
          <w:lang w:val="es-MX"/>
        </w:rPr>
        <w:t>Bilir</w:t>
      </w:r>
      <w:proofErr w:type="spellEnd"/>
      <w:r w:rsidRPr="00BD1319">
        <w:rPr>
          <w:rFonts w:cs="Arial"/>
          <w:spacing w:val="-3"/>
          <w:lang w:val="es-MX"/>
        </w:rPr>
        <w:t xml:space="preserve">, M. Chatterjee, K.L. </w:t>
      </w:r>
      <w:proofErr w:type="spellStart"/>
      <w:r w:rsidRPr="00BD1319">
        <w:rPr>
          <w:rFonts w:cs="Arial"/>
          <w:spacing w:val="-3"/>
          <w:lang w:val="es-MX"/>
        </w:rPr>
        <w:t>Ebi</w:t>
      </w:r>
      <w:proofErr w:type="spellEnd"/>
      <w:r w:rsidRPr="00BD1319">
        <w:rPr>
          <w:rFonts w:cs="Arial"/>
          <w:spacing w:val="-3"/>
          <w:lang w:val="es-MX"/>
        </w:rPr>
        <w:t xml:space="preserve">, Y.O. Estrada, R.C. </w:t>
      </w:r>
      <w:proofErr w:type="spellStart"/>
      <w:r w:rsidRPr="00BD1319">
        <w:rPr>
          <w:rFonts w:cs="Arial"/>
          <w:spacing w:val="-3"/>
          <w:lang w:val="es-MX"/>
        </w:rPr>
        <w:t>Genova</w:t>
      </w:r>
      <w:proofErr w:type="spellEnd"/>
      <w:r w:rsidRPr="00BD1319">
        <w:rPr>
          <w:rFonts w:cs="Arial"/>
          <w:spacing w:val="-3"/>
          <w:lang w:val="es-MX"/>
        </w:rPr>
        <w:t xml:space="preserve">, B. </w:t>
      </w:r>
      <w:proofErr w:type="spellStart"/>
      <w:r w:rsidRPr="00BD1319">
        <w:rPr>
          <w:rFonts w:cs="Arial"/>
          <w:spacing w:val="-3"/>
          <w:lang w:val="es-MX"/>
        </w:rPr>
        <w:t>Girma</w:t>
      </w:r>
      <w:proofErr w:type="spellEnd"/>
      <w:r w:rsidRPr="00BD1319">
        <w:rPr>
          <w:rFonts w:cs="Arial"/>
          <w:spacing w:val="-3"/>
          <w:lang w:val="es-MX"/>
        </w:rPr>
        <w:t xml:space="preserve">, E.S. </w:t>
      </w:r>
      <w:proofErr w:type="spellStart"/>
      <w:r w:rsidRPr="00BD1319">
        <w:rPr>
          <w:rFonts w:cs="Arial"/>
          <w:spacing w:val="-3"/>
          <w:lang w:val="es-MX"/>
        </w:rPr>
        <w:t>Kissel</w:t>
      </w:r>
      <w:proofErr w:type="spellEnd"/>
      <w:r w:rsidRPr="00BD1319">
        <w:rPr>
          <w:rFonts w:cs="Arial"/>
          <w:spacing w:val="-3"/>
          <w:lang w:val="es-MX"/>
        </w:rPr>
        <w:t xml:space="preserve">, A.N. Levy, S. </w:t>
      </w:r>
      <w:proofErr w:type="spellStart"/>
      <w:r w:rsidRPr="00BD1319">
        <w:rPr>
          <w:rFonts w:cs="Arial"/>
          <w:spacing w:val="-3"/>
          <w:lang w:val="es-MX"/>
        </w:rPr>
        <w:t>MacCracken</w:t>
      </w:r>
      <w:proofErr w:type="spellEnd"/>
      <w:r w:rsidRPr="00BD1319">
        <w:rPr>
          <w:rFonts w:cs="Arial"/>
          <w:spacing w:val="-3"/>
          <w:lang w:val="es-MX"/>
        </w:rPr>
        <w:t xml:space="preserve">, P.R. </w:t>
      </w:r>
      <w:proofErr w:type="spellStart"/>
      <w:r w:rsidRPr="00BD1319">
        <w:rPr>
          <w:rFonts w:cs="Arial"/>
          <w:spacing w:val="-3"/>
          <w:lang w:val="es-MX"/>
        </w:rPr>
        <w:t>Mastrandrea</w:t>
      </w:r>
      <w:proofErr w:type="spellEnd"/>
      <w:r w:rsidRPr="00BD1319">
        <w:rPr>
          <w:rFonts w:cs="Arial"/>
          <w:spacing w:val="-3"/>
          <w:lang w:val="es-MX"/>
        </w:rPr>
        <w:t xml:space="preserve"> y L.L. White (eds.)]. </w:t>
      </w:r>
      <w:r w:rsidRPr="00BD1319">
        <w:rPr>
          <w:rFonts w:cs="Arial"/>
          <w:spacing w:val="-3"/>
          <w:lang w:val="en-US"/>
        </w:rPr>
        <w:t xml:space="preserve">Ginebra (Suiza): Organización </w:t>
      </w:r>
      <w:proofErr w:type="spellStart"/>
      <w:r w:rsidRPr="00BD1319">
        <w:rPr>
          <w:rFonts w:cs="Arial"/>
          <w:spacing w:val="-3"/>
          <w:lang w:val="en-US"/>
        </w:rPr>
        <w:t>Meteorológica</w:t>
      </w:r>
      <w:proofErr w:type="spellEnd"/>
      <w:r w:rsidRPr="00BD1319">
        <w:rPr>
          <w:rFonts w:cs="Arial"/>
          <w:spacing w:val="-3"/>
          <w:lang w:val="en-US"/>
        </w:rPr>
        <w:t xml:space="preserve"> Mundial, 2014, 200 p.</w:t>
      </w:r>
    </w:p>
    <w:p w14:paraId="277872B0" w14:textId="77777777" w:rsidR="00F92A23" w:rsidRPr="00BD1319" w:rsidRDefault="00F92A23" w:rsidP="00886C4A">
      <w:pPr>
        <w:tabs>
          <w:tab w:val="left" w:pos="-2268"/>
        </w:tabs>
        <w:suppressAutoHyphens/>
        <w:rPr>
          <w:rFonts w:cs="Arial"/>
          <w:spacing w:val="-3"/>
          <w:lang w:val="en-US"/>
        </w:rPr>
      </w:pPr>
    </w:p>
    <w:p w14:paraId="3FA7C773" w14:textId="3B14C939" w:rsidR="00FD5490" w:rsidRPr="00BD1319" w:rsidRDefault="008917C5" w:rsidP="00886C4A">
      <w:pPr>
        <w:tabs>
          <w:tab w:val="left" w:pos="-2268"/>
        </w:tabs>
        <w:suppressAutoHyphens/>
        <w:rPr>
          <w:rFonts w:cs="Arial"/>
          <w:spacing w:val="-3"/>
          <w:lang w:val="en-US"/>
        </w:rPr>
      </w:pPr>
      <w:r w:rsidRPr="00BD1319">
        <w:rPr>
          <w:rFonts w:cs="Arial"/>
          <w:spacing w:val="-3"/>
          <w:lang w:val="en-US"/>
        </w:rPr>
        <w:lastRenderedPageBreak/>
        <w:t>INTERGOVERNMENTAL PANEL ON CLIMATE CHANGE</w:t>
      </w:r>
      <w:r w:rsidR="00FD5490" w:rsidRPr="00BD1319">
        <w:rPr>
          <w:rFonts w:cs="Arial"/>
          <w:spacing w:val="-3"/>
          <w:lang w:val="en-US"/>
        </w:rPr>
        <w:t xml:space="preserve"> </w:t>
      </w:r>
      <w:r w:rsidR="007544CE" w:rsidRPr="00BD1319">
        <w:rPr>
          <w:spacing w:val="-3"/>
          <w:lang w:val="en-US"/>
        </w:rPr>
        <w:t>–</w:t>
      </w:r>
      <w:r w:rsidR="007544CE" w:rsidRPr="00BD1319">
        <w:rPr>
          <w:rFonts w:cs="Arial"/>
          <w:spacing w:val="-3"/>
          <w:lang w:val="en-US"/>
        </w:rPr>
        <w:t xml:space="preserve">IPCC. </w:t>
      </w:r>
      <w:r w:rsidR="00886C4A" w:rsidRPr="00BD1319">
        <w:rPr>
          <w:rFonts w:cs="Arial"/>
          <w:spacing w:val="-3"/>
          <w:lang w:val="en-US"/>
        </w:rPr>
        <w:t xml:space="preserve">Climate Change 2021: The Physical Science Basis. Contribution of Working Group I to the Sixth Assessment Report of the Intergovernmental Panel on Climate Change [Masson-Delmotte, V., P. Zhai, A. Pirani, S.L. Connors, C. </w:t>
      </w:r>
      <w:proofErr w:type="spellStart"/>
      <w:r w:rsidR="00886C4A" w:rsidRPr="00BD1319">
        <w:rPr>
          <w:rFonts w:cs="Arial"/>
          <w:spacing w:val="-3"/>
          <w:lang w:val="en-US"/>
        </w:rPr>
        <w:t>Péan</w:t>
      </w:r>
      <w:proofErr w:type="spellEnd"/>
      <w:r w:rsidR="00886C4A" w:rsidRPr="00BD1319">
        <w:rPr>
          <w:rFonts w:cs="Arial"/>
          <w:spacing w:val="-3"/>
          <w:lang w:val="en-US"/>
        </w:rPr>
        <w:t xml:space="preserve">, S. Berger, N. </w:t>
      </w:r>
      <w:proofErr w:type="spellStart"/>
      <w:r w:rsidR="00886C4A" w:rsidRPr="00BD1319">
        <w:rPr>
          <w:rFonts w:cs="Arial"/>
          <w:spacing w:val="-3"/>
          <w:lang w:val="en-US"/>
        </w:rPr>
        <w:t>Caud</w:t>
      </w:r>
      <w:proofErr w:type="spellEnd"/>
      <w:r w:rsidR="00886C4A" w:rsidRPr="00BD1319">
        <w:rPr>
          <w:rFonts w:cs="Arial"/>
          <w:spacing w:val="-3"/>
          <w:lang w:val="en-US"/>
        </w:rPr>
        <w:t xml:space="preserve">, Y. Chen, L. Goldfarb, M.I. Gomis, M. Huang, K. Leitzell, E. </w:t>
      </w:r>
      <w:proofErr w:type="spellStart"/>
      <w:r w:rsidR="00886C4A" w:rsidRPr="00BD1319">
        <w:rPr>
          <w:rFonts w:cs="Arial"/>
          <w:spacing w:val="-3"/>
          <w:lang w:val="en-US"/>
        </w:rPr>
        <w:t>Lonnoy</w:t>
      </w:r>
      <w:proofErr w:type="spellEnd"/>
      <w:r w:rsidR="00886C4A" w:rsidRPr="00BD1319">
        <w:rPr>
          <w:rFonts w:cs="Arial"/>
          <w:spacing w:val="-3"/>
          <w:lang w:val="en-US"/>
        </w:rPr>
        <w:t xml:space="preserve">, J.B.R. Matthews, T.K. Maycock, T. Waterfield, O. </w:t>
      </w:r>
      <w:proofErr w:type="spellStart"/>
      <w:r w:rsidR="00886C4A" w:rsidRPr="00BD1319">
        <w:rPr>
          <w:rFonts w:cs="Arial"/>
          <w:spacing w:val="-3"/>
          <w:lang w:val="en-US"/>
        </w:rPr>
        <w:t>Yelekçi</w:t>
      </w:r>
      <w:proofErr w:type="spellEnd"/>
      <w:r w:rsidR="00886C4A" w:rsidRPr="00BD1319">
        <w:rPr>
          <w:rFonts w:cs="Arial"/>
          <w:spacing w:val="-3"/>
          <w:lang w:val="en-US"/>
        </w:rPr>
        <w:t>, R. Yu, and B. Zhou (eds.)].</w:t>
      </w:r>
      <w:r w:rsidR="007544CE" w:rsidRPr="00BD1319">
        <w:rPr>
          <w:rFonts w:cs="Arial"/>
          <w:spacing w:val="-3"/>
          <w:lang w:val="en-US"/>
        </w:rPr>
        <w:t xml:space="preserve"> Cambridge, United Kingdom and New York, NY, USA: Cambridge University Press, 2021</w:t>
      </w:r>
      <w:r w:rsidR="00FD5490" w:rsidRPr="00BD1319">
        <w:rPr>
          <w:rFonts w:cs="Arial"/>
          <w:spacing w:val="-3"/>
          <w:lang w:val="en-US"/>
        </w:rPr>
        <w:t>.</w:t>
      </w:r>
      <w:r w:rsidR="007544CE" w:rsidRPr="00BD1319">
        <w:rPr>
          <w:rFonts w:cs="Arial"/>
          <w:spacing w:val="-3"/>
          <w:lang w:val="en-US"/>
        </w:rPr>
        <w:t xml:space="preserve"> </w:t>
      </w:r>
      <w:r w:rsidR="00886C4A" w:rsidRPr="00BD1319">
        <w:rPr>
          <w:rFonts w:cs="Arial"/>
          <w:spacing w:val="-3"/>
          <w:lang w:val="en-US"/>
        </w:rPr>
        <w:t>2391 p.</w:t>
      </w:r>
    </w:p>
    <w:p w14:paraId="06ABE662" w14:textId="77777777" w:rsidR="00886C4A" w:rsidRPr="00BD1319" w:rsidRDefault="00886C4A" w:rsidP="000037C3">
      <w:pPr>
        <w:tabs>
          <w:tab w:val="left" w:pos="-2268"/>
        </w:tabs>
        <w:suppressAutoHyphens/>
        <w:rPr>
          <w:rFonts w:cs="Arial"/>
          <w:spacing w:val="-3"/>
          <w:lang w:val="en-US"/>
        </w:rPr>
      </w:pPr>
    </w:p>
    <w:p w14:paraId="6F1DF6B0" w14:textId="0E4437A5" w:rsidR="00E93E41" w:rsidRPr="00BD1319" w:rsidRDefault="00E93E41" w:rsidP="000037C3">
      <w:pPr>
        <w:tabs>
          <w:tab w:val="left" w:pos="-2268"/>
        </w:tabs>
        <w:suppressAutoHyphens/>
        <w:rPr>
          <w:rFonts w:cs="Arial"/>
          <w:spacing w:val="-3"/>
          <w:lang w:val="en-US"/>
        </w:rPr>
      </w:pPr>
      <w:r w:rsidRPr="00BD1319">
        <w:rPr>
          <w:rFonts w:cs="Arial"/>
          <w:spacing w:val="-3"/>
          <w:lang w:val="en-US"/>
        </w:rPr>
        <w:t>INTERGOVERNMENTAL SCIENCE-POLICY PLATFORM ON BIODIVERSITY AND ECOSYSTEM SERVICES –IPBES. Decision IPBES-2/4. Conceptual framework. IPBES, s. f., 9 p.</w:t>
      </w:r>
    </w:p>
    <w:p w14:paraId="6FAA0B5F" w14:textId="77777777" w:rsidR="00E93E41" w:rsidRPr="00BD1319" w:rsidRDefault="00E93E41" w:rsidP="006B15A0">
      <w:pPr>
        <w:tabs>
          <w:tab w:val="left" w:pos="-2268"/>
        </w:tabs>
        <w:suppressAutoHyphens/>
        <w:rPr>
          <w:spacing w:val="-3"/>
          <w:lang w:val="en-US"/>
        </w:rPr>
      </w:pPr>
    </w:p>
    <w:p w14:paraId="6B8DBC44" w14:textId="77777777" w:rsidR="00E93E41" w:rsidRPr="00BD1319" w:rsidRDefault="00E93E41" w:rsidP="006B15A0">
      <w:pPr>
        <w:tabs>
          <w:tab w:val="left" w:pos="-2268"/>
        </w:tabs>
        <w:suppressAutoHyphens/>
        <w:rPr>
          <w:spacing w:val="-3"/>
          <w:lang w:val="en-US"/>
        </w:rPr>
      </w:pPr>
      <w:r w:rsidRPr="00BD1319">
        <w:rPr>
          <w:spacing w:val="-3"/>
          <w:lang w:val="en-US"/>
        </w:rPr>
        <w:t xml:space="preserve">INTERNATIONAL LABOUR ORGANIZATION –ILO. Report I. General report Seventeenth International Conference of </w:t>
      </w:r>
      <w:proofErr w:type="spellStart"/>
      <w:r w:rsidRPr="00BD1319">
        <w:rPr>
          <w:spacing w:val="-3"/>
          <w:lang w:val="en-US"/>
        </w:rPr>
        <w:t>Labour</w:t>
      </w:r>
      <w:proofErr w:type="spellEnd"/>
      <w:r w:rsidRPr="00BD1319">
        <w:rPr>
          <w:spacing w:val="-3"/>
          <w:lang w:val="en-US"/>
        </w:rPr>
        <w:t xml:space="preserve"> Statisticians. Geneva: ILO, 2003. 100 p.</w:t>
      </w:r>
    </w:p>
    <w:p w14:paraId="0A3D71B7" w14:textId="77777777" w:rsidR="00792F74" w:rsidRPr="00BD1319" w:rsidRDefault="00792F74" w:rsidP="004A1C59">
      <w:pPr>
        <w:tabs>
          <w:tab w:val="left" w:pos="-2268"/>
        </w:tabs>
        <w:suppressAutoHyphens/>
        <w:rPr>
          <w:spacing w:val="-3"/>
          <w:lang w:val="en-US"/>
        </w:rPr>
      </w:pPr>
    </w:p>
    <w:p w14:paraId="390D6298" w14:textId="565008FC" w:rsidR="00B40B04" w:rsidRPr="00BD1319" w:rsidRDefault="00B40B04" w:rsidP="004A1C59">
      <w:pPr>
        <w:tabs>
          <w:tab w:val="left" w:pos="-2268"/>
        </w:tabs>
        <w:suppressAutoHyphens/>
        <w:rPr>
          <w:spacing w:val="-3"/>
        </w:rPr>
      </w:pPr>
      <w:r w:rsidRPr="00BD1319">
        <w:rPr>
          <w:spacing w:val="-3"/>
          <w:lang w:val="en-US"/>
        </w:rPr>
        <w:t xml:space="preserve">IWATSUKI Z. The Epiphytic </w:t>
      </w:r>
      <w:proofErr w:type="spellStart"/>
      <w:r w:rsidRPr="00BD1319">
        <w:rPr>
          <w:spacing w:val="-3"/>
          <w:lang w:val="en-US"/>
        </w:rPr>
        <w:t>Briophyte</w:t>
      </w:r>
      <w:proofErr w:type="spellEnd"/>
      <w:r w:rsidRPr="00BD1319">
        <w:rPr>
          <w:spacing w:val="-3"/>
          <w:lang w:val="en-US"/>
        </w:rPr>
        <w:t xml:space="preserve"> Communities in Japan. </w:t>
      </w:r>
      <w:r w:rsidRPr="00BD1319">
        <w:rPr>
          <w:spacing w:val="-3"/>
        </w:rPr>
        <w:t xml:space="preserve">J </w:t>
      </w:r>
      <w:proofErr w:type="spellStart"/>
      <w:r w:rsidRPr="00BD1319">
        <w:rPr>
          <w:spacing w:val="-3"/>
        </w:rPr>
        <w:t>Hattori</w:t>
      </w:r>
      <w:proofErr w:type="spellEnd"/>
      <w:r w:rsidRPr="00BD1319">
        <w:rPr>
          <w:spacing w:val="-3"/>
        </w:rPr>
        <w:t xml:space="preserve"> Bot </w:t>
      </w:r>
      <w:proofErr w:type="spellStart"/>
      <w:r w:rsidRPr="00BD1319">
        <w:rPr>
          <w:spacing w:val="-3"/>
        </w:rPr>
        <w:t>Lab</w:t>
      </w:r>
      <w:proofErr w:type="spellEnd"/>
      <w:r w:rsidRPr="00BD1319">
        <w:rPr>
          <w:spacing w:val="-3"/>
        </w:rPr>
        <w:t>. 22 (1960); 159-339.</w:t>
      </w:r>
    </w:p>
    <w:p w14:paraId="7DF34205" w14:textId="77777777" w:rsidR="00B40B04" w:rsidRPr="00BD1319" w:rsidRDefault="00B40B04" w:rsidP="004A1C59">
      <w:pPr>
        <w:tabs>
          <w:tab w:val="left" w:pos="-2268"/>
        </w:tabs>
        <w:suppressAutoHyphens/>
        <w:rPr>
          <w:spacing w:val="-3"/>
        </w:rPr>
      </w:pPr>
    </w:p>
    <w:p w14:paraId="1749BD85" w14:textId="7EFD5123" w:rsidR="00792F74" w:rsidRPr="00BD1319" w:rsidRDefault="00695FCA" w:rsidP="00792F74">
      <w:pPr>
        <w:tabs>
          <w:tab w:val="left" w:pos="-2268"/>
        </w:tabs>
        <w:suppressAutoHyphens/>
        <w:rPr>
          <w:spacing w:val="-3"/>
        </w:rPr>
      </w:pPr>
      <w:r w:rsidRPr="00BD1319">
        <w:rPr>
          <w:spacing w:val="-3"/>
        </w:rPr>
        <w:t>JARAMILLO-FAYAD, J., VELÁZQUEZ, M., PREMAUER, J., GONZÁLEZ, J., &amp; GONZÁLEZ VÉLEZ, J.</w:t>
      </w:r>
      <w:r w:rsidR="00792F74" w:rsidRPr="00BD1319">
        <w:rPr>
          <w:spacing w:val="-3"/>
        </w:rPr>
        <w:t xml:space="preserve"> Atropellamiento de fauna silvestre en Colombia: Guía para entender y diagnosticar este impacto. </w:t>
      </w:r>
      <w:r w:rsidRPr="00BD1319">
        <w:rPr>
          <w:spacing w:val="-3"/>
        </w:rPr>
        <w:t xml:space="preserve">Medellín: </w:t>
      </w:r>
      <w:r w:rsidR="00792F74" w:rsidRPr="00BD1319">
        <w:rPr>
          <w:spacing w:val="-3"/>
        </w:rPr>
        <w:t>Gobierno Nacional de Colombia – Institución Universitaria ITM</w:t>
      </w:r>
      <w:r w:rsidRPr="00BD1319">
        <w:rPr>
          <w:spacing w:val="-3"/>
        </w:rPr>
        <w:t>, 2021</w:t>
      </w:r>
      <w:r w:rsidR="00792F74" w:rsidRPr="00BD1319">
        <w:rPr>
          <w:spacing w:val="-3"/>
        </w:rPr>
        <w:t>.</w:t>
      </w:r>
      <w:r w:rsidRPr="00BD1319">
        <w:rPr>
          <w:spacing w:val="-3"/>
        </w:rPr>
        <w:t xml:space="preserve"> 109 p.</w:t>
      </w:r>
    </w:p>
    <w:p w14:paraId="40A41D26" w14:textId="77777777" w:rsidR="00792F74" w:rsidRPr="00BD1319" w:rsidRDefault="00792F74">
      <w:pPr>
        <w:tabs>
          <w:tab w:val="left" w:pos="-2268"/>
        </w:tabs>
        <w:suppressAutoHyphens/>
        <w:rPr>
          <w:spacing w:val="-3"/>
        </w:rPr>
      </w:pPr>
    </w:p>
    <w:p w14:paraId="377C5FFC" w14:textId="571EA53F" w:rsidR="00E93E41" w:rsidRPr="00BD1319" w:rsidRDefault="00E93E41">
      <w:pPr>
        <w:tabs>
          <w:tab w:val="left" w:pos="-2268"/>
        </w:tabs>
        <w:suppressAutoHyphens/>
        <w:rPr>
          <w:spacing w:val="-3"/>
          <w:lang w:val="en-US"/>
        </w:rPr>
      </w:pPr>
      <w:r w:rsidRPr="00BD1319">
        <w:rPr>
          <w:spacing w:val="-3"/>
          <w:lang w:val="es-MX"/>
        </w:rPr>
        <w:t xml:space="preserve">JOHANSSON, D. </w:t>
      </w:r>
      <w:proofErr w:type="spellStart"/>
      <w:r w:rsidRPr="00BD1319">
        <w:rPr>
          <w:spacing w:val="-3"/>
          <w:lang w:val="es-MX"/>
        </w:rPr>
        <w:t>Ecology</w:t>
      </w:r>
      <w:proofErr w:type="spellEnd"/>
      <w:r w:rsidRPr="00BD1319">
        <w:rPr>
          <w:spacing w:val="-3"/>
          <w:lang w:val="es-MX"/>
        </w:rPr>
        <w:t xml:space="preserve"> of vascular </w:t>
      </w:r>
      <w:proofErr w:type="spellStart"/>
      <w:r w:rsidRPr="00BD1319">
        <w:rPr>
          <w:spacing w:val="-3"/>
          <w:lang w:val="es-MX"/>
        </w:rPr>
        <w:t>epiphytes</w:t>
      </w:r>
      <w:proofErr w:type="spellEnd"/>
      <w:r w:rsidRPr="00BD1319">
        <w:rPr>
          <w:spacing w:val="-3"/>
          <w:lang w:val="es-MX"/>
        </w:rPr>
        <w:t xml:space="preserve"> in West </w:t>
      </w:r>
      <w:proofErr w:type="spellStart"/>
      <w:r w:rsidRPr="00BD1319">
        <w:rPr>
          <w:spacing w:val="-3"/>
          <w:lang w:val="es-MX"/>
        </w:rPr>
        <w:t>African</w:t>
      </w:r>
      <w:proofErr w:type="spellEnd"/>
      <w:r w:rsidRPr="00BD1319">
        <w:rPr>
          <w:spacing w:val="-3"/>
          <w:lang w:val="es-MX"/>
        </w:rPr>
        <w:t xml:space="preserve"> rain </w:t>
      </w:r>
      <w:proofErr w:type="spellStart"/>
      <w:r w:rsidRPr="00BD1319">
        <w:rPr>
          <w:spacing w:val="-3"/>
          <w:lang w:val="es-MX"/>
        </w:rPr>
        <w:t>forest</w:t>
      </w:r>
      <w:proofErr w:type="spellEnd"/>
      <w:r w:rsidRPr="00BD1319">
        <w:rPr>
          <w:spacing w:val="-3"/>
          <w:lang w:val="es-MX"/>
        </w:rPr>
        <w:t xml:space="preserve">. </w:t>
      </w:r>
      <w:r w:rsidRPr="00BD1319">
        <w:rPr>
          <w:spacing w:val="-3"/>
          <w:lang w:val="en-US"/>
        </w:rPr>
        <w:t xml:space="preserve">Acta </w:t>
      </w:r>
      <w:proofErr w:type="spellStart"/>
      <w:r w:rsidRPr="00BD1319">
        <w:rPr>
          <w:spacing w:val="-3"/>
          <w:lang w:val="en-US"/>
        </w:rPr>
        <w:t>Phytogeographica</w:t>
      </w:r>
      <w:proofErr w:type="spellEnd"/>
      <w:r w:rsidRPr="00BD1319">
        <w:rPr>
          <w:spacing w:val="-3"/>
          <w:lang w:val="en-US"/>
        </w:rPr>
        <w:t xml:space="preserve"> </w:t>
      </w:r>
      <w:proofErr w:type="spellStart"/>
      <w:r w:rsidRPr="00BD1319">
        <w:rPr>
          <w:spacing w:val="-3"/>
          <w:lang w:val="en-US"/>
        </w:rPr>
        <w:t>Suecica</w:t>
      </w:r>
      <w:proofErr w:type="spellEnd"/>
      <w:r w:rsidRPr="00BD1319">
        <w:rPr>
          <w:spacing w:val="-3"/>
          <w:lang w:val="en-US"/>
        </w:rPr>
        <w:t>. 59 (1974); 1-136.</w:t>
      </w:r>
    </w:p>
    <w:p w14:paraId="23F432B0" w14:textId="77777777" w:rsidR="00E93E41" w:rsidRPr="00BD1319" w:rsidRDefault="00E93E41">
      <w:pPr>
        <w:tabs>
          <w:tab w:val="left" w:pos="-2268"/>
        </w:tabs>
        <w:suppressAutoHyphens/>
        <w:rPr>
          <w:spacing w:val="-3"/>
          <w:lang w:val="en-US"/>
        </w:rPr>
      </w:pPr>
    </w:p>
    <w:p w14:paraId="397B13F3" w14:textId="77777777" w:rsidR="00E93E41" w:rsidRPr="00BD1319" w:rsidRDefault="00E93E41">
      <w:pPr>
        <w:tabs>
          <w:tab w:val="left" w:pos="-2268"/>
        </w:tabs>
        <w:suppressAutoHyphens/>
        <w:rPr>
          <w:spacing w:val="-3"/>
          <w:lang w:val="en-US"/>
        </w:rPr>
      </w:pPr>
      <w:r w:rsidRPr="00BD1319">
        <w:rPr>
          <w:spacing w:val="-3"/>
          <w:lang w:val="en-US"/>
        </w:rPr>
        <w:t>KASS, J., VILELA, B., AIELLO-LAMMENS, M., MUSCARELLA, R., MEROW, C., &amp; ANDERSON, R. Wallace: A flexible platform for reproducible modeling of species niches and distributions built for community expansion. Methods in Ecology and Evolution. 9, 4 (2018); 1151–1156.</w:t>
      </w:r>
    </w:p>
    <w:p w14:paraId="363A9AD1" w14:textId="77777777" w:rsidR="00E93E41" w:rsidRPr="00BD1319" w:rsidRDefault="00E93E41">
      <w:pPr>
        <w:tabs>
          <w:tab w:val="left" w:pos="-2268"/>
        </w:tabs>
        <w:suppressAutoHyphens/>
        <w:rPr>
          <w:spacing w:val="-3"/>
          <w:lang w:val="en-US"/>
        </w:rPr>
      </w:pPr>
    </w:p>
    <w:p w14:paraId="41B91D1B" w14:textId="77777777" w:rsidR="00E93E41" w:rsidRPr="00BD1319" w:rsidRDefault="00E93E41">
      <w:pPr>
        <w:tabs>
          <w:tab w:val="left" w:pos="-2268"/>
        </w:tabs>
        <w:suppressAutoHyphens/>
        <w:rPr>
          <w:spacing w:val="-3"/>
          <w:lang w:val="en-US"/>
        </w:rPr>
      </w:pPr>
      <w:r w:rsidRPr="00BD1319">
        <w:rPr>
          <w:spacing w:val="-3"/>
          <w:lang w:val="en-US"/>
        </w:rPr>
        <w:t xml:space="preserve">KATTAN, G., &amp; NARANJO, L. (Eds.). </w:t>
      </w:r>
      <w:r w:rsidRPr="00BD1319">
        <w:rPr>
          <w:spacing w:val="-3"/>
        </w:rPr>
        <w:t xml:space="preserve">Regiones biodiversas: herramientas para la planificación de sistemas regionales de áreas protegidas. </w:t>
      </w:r>
      <w:r w:rsidRPr="00BD1319">
        <w:rPr>
          <w:spacing w:val="-3"/>
          <w:lang w:val="en-US"/>
        </w:rPr>
        <w:t xml:space="preserve">Santiago de Cali: WWF, </w:t>
      </w:r>
      <w:proofErr w:type="spellStart"/>
      <w:r w:rsidRPr="00BD1319">
        <w:rPr>
          <w:spacing w:val="-3"/>
          <w:lang w:val="en-US"/>
        </w:rPr>
        <w:t>EcoAndina</w:t>
      </w:r>
      <w:proofErr w:type="spellEnd"/>
      <w:r w:rsidRPr="00BD1319">
        <w:rPr>
          <w:spacing w:val="-3"/>
          <w:lang w:val="en-US"/>
        </w:rPr>
        <w:t>, 2008.</w:t>
      </w:r>
    </w:p>
    <w:p w14:paraId="04CB499E" w14:textId="77777777" w:rsidR="00E93E41" w:rsidRPr="00BD1319" w:rsidRDefault="00E93E41">
      <w:pPr>
        <w:tabs>
          <w:tab w:val="left" w:pos="-2268"/>
        </w:tabs>
        <w:suppressAutoHyphens/>
        <w:rPr>
          <w:spacing w:val="-3"/>
          <w:lang w:val="en-US"/>
        </w:rPr>
      </w:pPr>
    </w:p>
    <w:p w14:paraId="759E67C0" w14:textId="77777777" w:rsidR="00E93E41" w:rsidRPr="00BD1319" w:rsidRDefault="00E93E41">
      <w:pPr>
        <w:tabs>
          <w:tab w:val="left" w:pos="-2268"/>
        </w:tabs>
        <w:suppressAutoHyphens/>
        <w:rPr>
          <w:spacing w:val="-3"/>
          <w:lang w:val="en-US"/>
        </w:rPr>
      </w:pPr>
      <w:r w:rsidRPr="00BD1319">
        <w:rPr>
          <w:spacing w:val="-3"/>
          <w:lang w:val="en-US"/>
        </w:rPr>
        <w:t>KILPATRICK, F., &amp; WILSON, J. Measurement of time of travel in streams by dye tracing (rev.). Techniques of Water-Resources Investigations, book 3, chap. A9. Denver: United States Geological Survey, 1989. 27 p.</w:t>
      </w:r>
    </w:p>
    <w:p w14:paraId="16BC7437" w14:textId="77777777" w:rsidR="00E93E41" w:rsidRPr="00BD1319" w:rsidRDefault="00E93E41">
      <w:pPr>
        <w:tabs>
          <w:tab w:val="left" w:pos="-2268"/>
        </w:tabs>
        <w:suppressAutoHyphens/>
        <w:rPr>
          <w:spacing w:val="-3"/>
          <w:lang w:val="en-US"/>
        </w:rPr>
      </w:pPr>
    </w:p>
    <w:p w14:paraId="58FF33E0" w14:textId="77777777" w:rsidR="00E93E41" w:rsidRPr="00BD1319" w:rsidRDefault="00E93E41">
      <w:pPr>
        <w:tabs>
          <w:tab w:val="left" w:pos="-2268"/>
        </w:tabs>
        <w:suppressAutoHyphens/>
        <w:rPr>
          <w:spacing w:val="-3"/>
          <w:lang w:val="en-US"/>
        </w:rPr>
      </w:pPr>
      <w:r w:rsidRPr="00BD1319">
        <w:rPr>
          <w:spacing w:val="-3"/>
          <w:lang w:val="en-US"/>
        </w:rPr>
        <w:t>KING, E. &amp; MURPHY, E. Environmental noise – ‘Forgotten’ or ‘Ignored’ pollutant? Applied Acoustics. 112 (2016); p. 211-215.</w:t>
      </w:r>
    </w:p>
    <w:p w14:paraId="3C1EA991" w14:textId="77777777" w:rsidR="00E93E41" w:rsidRPr="00BD1319" w:rsidRDefault="00E93E41">
      <w:pPr>
        <w:tabs>
          <w:tab w:val="left" w:pos="-2268"/>
        </w:tabs>
        <w:suppressAutoHyphens/>
        <w:rPr>
          <w:spacing w:val="-3"/>
          <w:lang w:val="en-US"/>
        </w:rPr>
      </w:pPr>
    </w:p>
    <w:p w14:paraId="5175ED45" w14:textId="77777777" w:rsidR="00E93E41" w:rsidRPr="00BD1319" w:rsidRDefault="00E93E41">
      <w:pPr>
        <w:tabs>
          <w:tab w:val="left" w:pos="-2268"/>
        </w:tabs>
        <w:suppressAutoHyphens/>
        <w:rPr>
          <w:spacing w:val="-3"/>
          <w:lang w:val="en-US"/>
        </w:rPr>
      </w:pPr>
      <w:r w:rsidRPr="00BD1319">
        <w:rPr>
          <w:spacing w:val="-3"/>
          <w:lang w:val="en-US"/>
        </w:rPr>
        <w:lastRenderedPageBreak/>
        <w:t>KORHONEN, P., MOSKOWITZ, H. &amp; WALLENIUS, J. Multiple Criteria Decision Support - A review. European Journal of Operational Research. 63 (1992); 361-375.</w:t>
      </w:r>
    </w:p>
    <w:p w14:paraId="75452D7D" w14:textId="77777777" w:rsidR="00E93E41" w:rsidRPr="00BD1319" w:rsidRDefault="00E93E41">
      <w:pPr>
        <w:tabs>
          <w:tab w:val="left" w:pos="-2268"/>
        </w:tabs>
        <w:suppressAutoHyphens/>
        <w:rPr>
          <w:spacing w:val="-3"/>
          <w:lang w:val="en-US"/>
        </w:rPr>
      </w:pPr>
    </w:p>
    <w:p w14:paraId="341C4230" w14:textId="4BB810BA" w:rsidR="00E93E41" w:rsidRPr="00BD1319" w:rsidRDefault="00E93E41">
      <w:pPr>
        <w:tabs>
          <w:tab w:val="left" w:pos="-2268"/>
        </w:tabs>
        <w:suppressAutoHyphens/>
        <w:rPr>
          <w:spacing w:val="-3"/>
        </w:rPr>
      </w:pPr>
      <w:r w:rsidRPr="00BD1319">
        <w:rPr>
          <w:spacing w:val="-3"/>
          <w:lang w:val="en-US"/>
        </w:rPr>
        <w:t xml:space="preserve">LANDSBERG, F., TREWEEK, J., STICKLER, M., HENNINGER, N., VENN, O. Weaving ecosystem services into impact assessment. </w:t>
      </w:r>
      <w:r w:rsidRPr="00BD1319">
        <w:rPr>
          <w:spacing w:val="-3"/>
        </w:rPr>
        <w:t>A Step-</w:t>
      </w:r>
      <w:proofErr w:type="spellStart"/>
      <w:r w:rsidRPr="00BD1319">
        <w:rPr>
          <w:spacing w:val="-3"/>
        </w:rPr>
        <w:t>By</w:t>
      </w:r>
      <w:proofErr w:type="spellEnd"/>
      <w:r w:rsidRPr="00BD1319">
        <w:rPr>
          <w:spacing w:val="-3"/>
        </w:rPr>
        <w:t xml:space="preserve">-Step </w:t>
      </w:r>
      <w:proofErr w:type="spellStart"/>
      <w:r w:rsidRPr="00BD1319">
        <w:rPr>
          <w:spacing w:val="-3"/>
        </w:rPr>
        <w:t>Method</w:t>
      </w:r>
      <w:proofErr w:type="spellEnd"/>
      <w:r w:rsidRPr="00BD1319">
        <w:rPr>
          <w:spacing w:val="-3"/>
        </w:rPr>
        <w:t xml:space="preserve">. </w:t>
      </w:r>
      <w:proofErr w:type="spellStart"/>
      <w:r w:rsidRPr="00BD1319">
        <w:rPr>
          <w:spacing w:val="-3"/>
        </w:rPr>
        <w:t>Version</w:t>
      </w:r>
      <w:proofErr w:type="spellEnd"/>
      <w:r w:rsidRPr="00BD1319">
        <w:rPr>
          <w:spacing w:val="-3"/>
        </w:rPr>
        <w:t xml:space="preserve"> 1.0. </w:t>
      </w:r>
      <w:proofErr w:type="spellStart"/>
      <w:r w:rsidRPr="00BD1319">
        <w:rPr>
          <w:spacing w:val="-3"/>
        </w:rPr>
        <w:t>World</w:t>
      </w:r>
      <w:proofErr w:type="spellEnd"/>
      <w:r w:rsidRPr="00BD1319">
        <w:rPr>
          <w:spacing w:val="-3"/>
        </w:rPr>
        <w:t xml:space="preserve"> </w:t>
      </w:r>
      <w:proofErr w:type="spellStart"/>
      <w:r w:rsidRPr="00BD1319">
        <w:rPr>
          <w:spacing w:val="-3"/>
        </w:rPr>
        <w:t>Resources</w:t>
      </w:r>
      <w:proofErr w:type="spellEnd"/>
      <w:r w:rsidRPr="00BD1319">
        <w:rPr>
          <w:spacing w:val="-3"/>
        </w:rPr>
        <w:t xml:space="preserve"> </w:t>
      </w:r>
      <w:proofErr w:type="spellStart"/>
      <w:r w:rsidRPr="00BD1319">
        <w:rPr>
          <w:spacing w:val="-3"/>
        </w:rPr>
        <w:t>Institute</w:t>
      </w:r>
      <w:proofErr w:type="spellEnd"/>
      <w:r w:rsidRPr="00BD1319">
        <w:rPr>
          <w:spacing w:val="-3"/>
        </w:rPr>
        <w:t>, 2013.</w:t>
      </w:r>
    </w:p>
    <w:p w14:paraId="13CB04A5" w14:textId="77777777" w:rsidR="00E93E41" w:rsidRPr="00BD1319" w:rsidRDefault="00E93E41">
      <w:pPr>
        <w:tabs>
          <w:tab w:val="left" w:pos="-2268"/>
        </w:tabs>
        <w:suppressAutoHyphens/>
        <w:rPr>
          <w:spacing w:val="-3"/>
        </w:rPr>
      </w:pPr>
    </w:p>
    <w:p w14:paraId="3B240846" w14:textId="6F669638" w:rsidR="00E93E41" w:rsidRPr="00BD1319" w:rsidRDefault="00E93E41">
      <w:pPr>
        <w:tabs>
          <w:tab w:val="left" w:pos="-2268"/>
        </w:tabs>
        <w:suppressAutoHyphens/>
        <w:rPr>
          <w:spacing w:val="-3"/>
        </w:rPr>
      </w:pPr>
      <w:r w:rsidRPr="00BD1319">
        <w:rPr>
          <w:spacing w:val="-3"/>
        </w:rPr>
        <w:t>LATERRA, P., BARRAL, P., CARMONA, A. &amp; NAHUELHUAL, L. ECOSER: protocolo colaborativo de evaluación y mapeo de servicios ecosistémicos y vulnerabilidad socio-ecológica para el ordenamiento territorial. 2015.</w:t>
      </w:r>
    </w:p>
    <w:p w14:paraId="19B9CF25" w14:textId="77777777" w:rsidR="00E93E41" w:rsidRPr="00BD1319" w:rsidRDefault="00E93E41">
      <w:pPr>
        <w:tabs>
          <w:tab w:val="left" w:pos="-2268"/>
        </w:tabs>
        <w:suppressAutoHyphens/>
        <w:rPr>
          <w:spacing w:val="-3"/>
        </w:rPr>
      </w:pPr>
    </w:p>
    <w:p w14:paraId="705E414A" w14:textId="77777777" w:rsidR="00E93E41" w:rsidRPr="00BD1319" w:rsidRDefault="00E93E41">
      <w:pPr>
        <w:tabs>
          <w:tab w:val="left" w:pos="-2268"/>
        </w:tabs>
        <w:suppressAutoHyphens/>
        <w:rPr>
          <w:spacing w:val="-3"/>
        </w:rPr>
      </w:pPr>
      <w:r w:rsidRPr="00BD1319">
        <w:rPr>
          <w:spacing w:val="-3"/>
        </w:rPr>
        <w:t>LINARES, E. &amp; URIBE, J. Libro rojo de Briófitas de Colombia. Bogotá: Instituto de Ciencias Naturales –Universidad Nacional de Colombia, Ministerio del Medio Ambiente, 2002. 170p.</w:t>
      </w:r>
    </w:p>
    <w:p w14:paraId="1DF5EB97" w14:textId="77777777" w:rsidR="00E93E41" w:rsidRPr="00BD1319" w:rsidRDefault="00E93E41">
      <w:pPr>
        <w:tabs>
          <w:tab w:val="left" w:pos="-2268"/>
        </w:tabs>
        <w:suppressAutoHyphens/>
        <w:rPr>
          <w:spacing w:val="-3"/>
        </w:rPr>
      </w:pPr>
    </w:p>
    <w:p w14:paraId="6AFBA83F" w14:textId="69AA0268" w:rsidR="00E93E41" w:rsidRPr="00BD1319" w:rsidRDefault="00E93E41">
      <w:pPr>
        <w:tabs>
          <w:tab w:val="left" w:pos="-2268"/>
        </w:tabs>
        <w:suppressAutoHyphens/>
        <w:rPr>
          <w:spacing w:val="-3"/>
          <w:lang w:val="en-US"/>
        </w:rPr>
      </w:pPr>
      <w:r w:rsidRPr="00BD1319">
        <w:rPr>
          <w:spacing w:val="-3"/>
        </w:rPr>
        <w:t xml:space="preserve">LOZANO-ZAMBRANO, F. (Ed). Herramientas de manejo para la conservación de biodiversidad en paisajes rurales. Bogotá, D. C.: Instituto de Investigación de Recursos Biológicos Alexander </w:t>
      </w:r>
      <w:proofErr w:type="spellStart"/>
      <w:r w:rsidRPr="00BD1319">
        <w:rPr>
          <w:spacing w:val="-3"/>
        </w:rPr>
        <w:t>von</w:t>
      </w:r>
      <w:proofErr w:type="spellEnd"/>
      <w:r w:rsidRPr="00BD1319">
        <w:rPr>
          <w:spacing w:val="-3"/>
        </w:rPr>
        <w:t xml:space="preserve"> Humboldt -</w:t>
      </w:r>
      <w:proofErr w:type="spellStart"/>
      <w:r w:rsidRPr="00BD1319">
        <w:rPr>
          <w:spacing w:val="-3"/>
        </w:rPr>
        <w:t>IAvH</w:t>
      </w:r>
      <w:proofErr w:type="spellEnd"/>
      <w:r w:rsidRPr="00BD1319">
        <w:rPr>
          <w:spacing w:val="-3"/>
        </w:rPr>
        <w:t xml:space="preserve"> y Corporación Autónoma Regional de Cundinamarca -CAR, 2009. </w:t>
      </w:r>
      <w:r w:rsidRPr="00BD1319">
        <w:rPr>
          <w:spacing w:val="-3"/>
          <w:lang w:val="en-US"/>
        </w:rPr>
        <w:t>238 p.</w:t>
      </w:r>
    </w:p>
    <w:p w14:paraId="02570FF2" w14:textId="77777777" w:rsidR="00E93E41" w:rsidRPr="00BD1319" w:rsidRDefault="00E93E41">
      <w:pPr>
        <w:tabs>
          <w:tab w:val="left" w:pos="-2268"/>
        </w:tabs>
        <w:suppressAutoHyphens/>
        <w:rPr>
          <w:spacing w:val="-3"/>
          <w:lang w:val="en-US"/>
        </w:rPr>
      </w:pPr>
    </w:p>
    <w:p w14:paraId="5372562C" w14:textId="77777777" w:rsidR="00E93E41" w:rsidRPr="00BD1319" w:rsidRDefault="00E93E41">
      <w:pPr>
        <w:tabs>
          <w:tab w:val="left" w:pos="-2268"/>
        </w:tabs>
        <w:suppressAutoHyphens/>
        <w:rPr>
          <w:spacing w:val="-3"/>
        </w:rPr>
      </w:pPr>
      <w:r w:rsidRPr="00BD1319">
        <w:rPr>
          <w:spacing w:val="-3"/>
          <w:lang w:val="en-US"/>
        </w:rPr>
        <w:t>LYYTIMÄKI, J. Nature’s nocturnal services: Light pollution as a non-</w:t>
      </w:r>
      <w:proofErr w:type="spellStart"/>
      <w:r w:rsidRPr="00BD1319">
        <w:rPr>
          <w:spacing w:val="-3"/>
          <w:lang w:val="en-US"/>
        </w:rPr>
        <w:t>recognised</w:t>
      </w:r>
      <w:proofErr w:type="spellEnd"/>
      <w:r w:rsidRPr="00BD1319">
        <w:rPr>
          <w:spacing w:val="-3"/>
          <w:lang w:val="en-US"/>
        </w:rPr>
        <w:t xml:space="preserve"> challenge for ecosystem services research and management. </w:t>
      </w:r>
      <w:proofErr w:type="spellStart"/>
      <w:r w:rsidRPr="00BD1319">
        <w:rPr>
          <w:spacing w:val="-3"/>
        </w:rPr>
        <w:t>Ecosystem</w:t>
      </w:r>
      <w:proofErr w:type="spellEnd"/>
      <w:r w:rsidRPr="00BD1319">
        <w:rPr>
          <w:spacing w:val="-3"/>
        </w:rPr>
        <w:t xml:space="preserve"> </w:t>
      </w:r>
      <w:proofErr w:type="spellStart"/>
      <w:r w:rsidRPr="00BD1319">
        <w:rPr>
          <w:spacing w:val="-3"/>
        </w:rPr>
        <w:t>Services</w:t>
      </w:r>
      <w:proofErr w:type="spellEnd"/>
      <w:r w:rsidRPr="00BD1319">
        <w:rPr>
          <w:spacing w:val="-3"/>
        </w:rPr>
        <w:t>. 3 (2013); 44–48.</w:t>
      </w:r>
    </w:p>
    <w:p w14:paraId="3D9D6C30" w14:textId="77777777" w:rsidR="00E93E41" w:rsidRPr="00BD1319" w:rsidRDefault="00E93E41">
      <w:pPr>
        <w:tabs>
          <w:tab w:val="left" w:pos="-2268"/>
        </w:tabs>
        <w:suppressAutoHyphens/>
        <w:rPr>
          <w:spacing w:val="-3"/>
        </w:rPr>
      </w:pPr>
    </w:p>
    <w:p w14:paraId="6460B55E" w14:textId="77777777" w:rsidR="00E93E41" w:rsidRPr="00BD1319" w:rsidRDefault="00E93E41">
      <w:pPr>
        <w:tabs>
          <w:tab w:val="left" w:pos="-2268"/>
        </w:tabs>
        <w:suppressAutoHyphens/>
        <w:rPr>
          <w:spacing w:val="-3"/>
          <w:lang w:val="en-US"/>
        </w:rPr>
      </w:pPr>
      <w:r w:rsidRPr="00BD1319">
        <w:rPr>
          <w:spacing w:val="-3"/>
        </w:rPr>
        <w:t xml:space="preserve">MALDONADO-OCAMPO, J., ORTEGA-LARA, A., USMA J., GALVIS G., VILLA-NAVARRO, F., VÁSQUEZ L., PRADA-PEDREROS, S. &amp; ARDILA C. Peces de los Andes de Colombia. Bogotá, D.C.: Instituto de Investigación de Recursos Biológicos Alexander </w:t>
      </w:r>
      <w:proofErr w:type="spellStart"/>
      <w:r w:rsidRPr="00BD1319">
        <w:rPr>
          <w:spacing w:val="-3"/>
        </w:rPr>
        <w:t>von</w:t>
      </w:r>
      <w:proofErr w:type="spellEnd"/>
      <w:r w:rsidRPr="00BD1319">
        <w:rPr>
          <w:spacing w:val="-3"/>
        </w:rPr>
        <w:t xml:space="preserve"> Humboldt, 2005. </w:t>
      </w:r>
      <w:r w:rsidRPr="00BD1319">
        <w:rPr>
          <w:spacing w:val="-3"/>
          <w:lang w:val="en-US"/>
        </w:rPr>
        <w:t xml:space="preserve">346 </w:t>
      </w:r>
      <w:proofErr w:type="gramStart"/>
      <w:r w:rsidRPr="00BD1319">
        <w:rPr>
          <w:spacing w:val="-3"/>
          <w:lang w:val="en-US"/>
        </w:rPr>
        <w:t>p.</w:t>
      </w:r>
      <w:proofErr w:type="gramEnd"/>
    </w:p>
    <w:p w14:paraId="5670E352" w14:textId="50C4D008" w:rsidR="00E93E41" w:rsidRPr="00BD1319" w:rsidRDefault="00E93E41">
      <w:pPr>
        <w:tabs>
          <w:tab w:val="left" w:pos="-2268"/>
        </w:tabs>
        <w:suppressAutoHyphens/>
        <w:rPr>
          <w:spacing w:val="-3"/>
          <w:lang w:val="en-US"/>
        </w:rPr>
      </w:pPr>
    </w:p>
    <w:p w14:paraId="296DA49D" w14:textId="308C43E3" w:rsidR="00953095" w:rsidRPr="00BD1319" w:rsidRDefault="00953095">
      <w:pPr>
        <w:tabs>
          <w:tab w:val="left" w:pos="-2268"/>
        </w:tabs>
        <w:suppressAutoHyphens/>
        <w:rPr>
          <w:spacing w:val="-3"/>
        </w:rPr>
      </w:pPr>
      <w:r w:rsidRPr="00BD1319">
        <w:rPr>
          <w:spacing w:val="-3"/>
          <w:lang w:val="en-US"/>
        </w:rPr>
        <w:t xml:space="preserve">MARINE BIODIVERSITY OBSERVATION NETWORK POLE TO POLE OF THE AMERICAS -MBON Pole to Pole. Sampling protocol for assessment of marine diversity on rocky shores (modified from the SARCE South American Research Group on Coastal Ecosystems for sampling on rocky shores protocol). Marine Biodiversity Observation Network Pole to Pole of the Americas, 2019. </w:t>
      </w:r>
      <w:r w:rsidRPr="00BD1319">
        <w:rPr>
          <w:spacing w:val="-3"/>
        </w:rPr>
        <w:t>13p.</w:t>
      </w:r>
    </w:p>
    <w:p w14:paraId="3200105C" w14:textId="77777777" w:rsidR="00953095" w:rsidRPr="00BD1319" w:rsidRDefault="00953095">
      <w:pPr>
        <w:tabs>
          <w:tab w:val="left" w:pos="-2268"/>
        </w:tabs>
        <w:suppressAutoHyphens/>
        <w:rPr>
          <w:spacing w:val="-3"/>
        </w:rPr>
      </w:pPr>
    </w:p>
    <w:p w14:paraId="6D1AB9C0" w14:textId="77777777" w:rsidR="00E93E41" w:rsidRPr="00BD1319" w:rsidRDefault="00E93E41">
      <w:pPr>
        <w:tabs>
          <w:tab w:val="left" w:pos="-2268"/>
        </w:tabs>
        <w:suppressAutoHyphens/>
        <w:rPr>
          <w:spacing w:val="-3"/>
          <w:lang w:val="en-US"/>
        </w:rPr>
      </w:pPr>
      <w:r w:rsidRPr="00BD1319">
        <w:rPr>
          <w:spacing w:val="-3"/>
        </w:rPr>
        <w:t>MARTÍN-LÓPEZ, B., GONZÁLEZ, J., VILARDY, S. (</w:t>
      </w:r>
      <w:proofErr w:type="spellStart"/>
      <w:r w:rsidRPr="00BD1319">
        <w:rPr>
          <w:spacing w:val="-3"/>
        </w:rPr>
        <w:t>Coord</w:t>
      </w:r>
      <w:proofErr w:type="spellEnd"/>
      <w:r w:rsidRPr="00BD1319">
        <w:rPr>
          <w:spacing w:val="-3"/>
        </w:rPr>
        <w:t xml:space="preserve">). Ciencias de la sostenibilidad: guía docente. Magdalena: Universidad de Magdalena, Instituto de Investigación de Recursos Biológicos Alexander </w:t>
      </w:r>
      <w:proofErr w:type="spellStart"/>
      <w:r w:rsidRPr="00BD1319">
        <w:rPr>
          <w:spacing w:val="-3"/>
        </w:rPr>
        <w:t>von</w:t>
      </w:r>
      <w:proofErr w:type="spellEnd"/>
      <w:r w:rsidRPr="00BD1319">
        <w:rPr>
          <w:spacing w:val="-3"/>
        </w:rPr>
        <w:t xml:space="preserve"> Humboldt, Universidad Autónoma de Madrid. </w:t>
      </w:r>
      <w:r w:rsidRPr="00BD1319">
        <w:rPr>
          <w:spacing w:val="-3"/>
          <w:lang w:val="en-US"/>
        </w:rPr>
        <w:t>2012. 145 p.</w:t>
      </w:r>
    </w:p>
    <w:p w14:paraId="10D2BD46" w14:textId="77777777" w:rsidR="00E93E41" w:rsidRPr="00BD1319" w:rsidRDefault="00E93E41">
      <w:pPr>
        <w:tabs>
          <w:tab w:val="left" w:pos="-2268"/>
        </w:tabs>
        <w:suppressAutoHyphens/>
        <w:rPr>
          <w:spacing w:val="-3"/>
          <w:lang w:val="en-US"/>
        </w:rPr>
      </w:pPr>
    </w:p>
    <w:p w14:paraId="3554FC74" w14:textId="77777777" w:rsidR="00E93E41" w:rsidRPr="00BD1319" w:rsidRDefault="00E93E41">
      <w:pPr>
        <w:tabs>
          <w:tab w:val="left" w:pos="-2268"/>
        </w:tabs>
        <w:suppressAutoHyphens/>
        <w:rPr>
          <w:spacing w:val="-3"/>
        </w:rPr>
      </w:pPr>
      <w:r w:rsidRPr="00BD1319">
        <w:rPr>
          <w:spacing w:val="-3"/>
          <w:lang w:val="en-US"/>
        </w:rPr>
        <w:t xml:space="preserve">MATEO-SÁNCHEZ, M., BALKENHOL, N., CUSHMAN, S., PÉREZ, T., DOMÍNGUEZ, A. &amp; SAURA, S. A comparative framework to infer landscape effects on population genetic structure: are habitat suitability models effective in explaining gene flow? </w:t>
      </w:r>
      <w:proofErr w:type="spellStart"/>
      <w:r w:rsidRPr="00BD1319">
        <w:rPr>
          <w:spacing w:val="-3"/>
        </w:rPr>
        <w:t>Landscape</w:t>
      </w:r>
      <w:proofErr w:type="spellEnd"/>
      <w:r w:rsidRPr="00BD1319">
        <w:rPr>
          <w:spacing w:val="-3"/>
        </w:rPr>
        <w:t xml:space="preserve"> </w:t>
      </w:r>
      <w:proofErr w:type="spellStart"/>
      <w:r w:rsidRPr="00BD1319">
        <w:rPr>
          <w:spacing w:val="-3"/>
        </w:rPr>
        <w:t>Ecology</w:t>
      </w:r>
      <w:proofErr w:type="spellEnd"/>
      <w:r w:rsidRPr="00BD1319">
        <w:rPr>
          <w:spacing w:val="-3"/>
        </w:rPr>
        <w:t>. 30 (2015); 1405–1420.</w:t>
      </w:r>
    </w:p>
    <w:p w14:paraId="6872E75E" w14:textId="77777777" w:rsidR="00E93E41" w:rsidRPr="00BD1319" w:rsidRDefault="00E93E41">
      <w:pPr>
        <w:tabs>
          <w:tab w:val="left" w:pos="-2268"/>
        </w:tabs>
        <w:suppressAutoHyphens/>
        <w:rPr>
          <w:spacing w:val="-3"/>
        </w:rPr>
      </w:pPr>
    </w:p>
    <w:p w14:paraId="1865B1CE" w14:textId="77777777" w:rsidR="00E93E41" w:rsidRPr="00BD1319" w:rsidRDefault="00E93E41">
      <w:pPr>
        <w:tabs>
          <w:tab w:val="left" w:pos="-2268"/>
        </w:tabs>
        <w:suppressAutoHyphens/>
        <w:rPr>
          <w:spacing w:val="-3"/>
        </w:rPr>
      </w:pPr>
      <w:r w:rsidRPr="00BD1319">
        <w:rPr>
          <w:spacing w:val="-3"/>
        </w:rPr>
        <w:lastRenderedPageBreak/>
        <w:t>MATTEUCCI, S. &amp; COLMA, A. Metodología para el estudio de la vegetación. Washington, D.C.: Secretaría General de la Organización de los Estados Americanos. Programa regional de desarrollo Científico y Tecnológico, 1982. 166 p.</w:t>
      </w:r>
    </w:p>
    <w:p w14:paraId="1D46FF51" w14:textId="77777777" w:rsidR="00E93E41" w:rsidRPr="00BD1319" w:rsidRDefault="00E93E41" w:rsidP="00E93E41">
      <w:pPr>
        <w:tabs>
          <w:tab w:val="left" w:pos="-2268"/>
        </w:tabs>
        <w:suppressAutoHyphens/>
        <w:rPr>
          <w:spacing w:val="-3"/>
        </w:rPr>
      </w:pPr>
    </w:p>
    <w:p w14:paraId="1062E024" w14:textId="77777777" w:rsidR="00E93E41" w:rsidRPr="00BD1319" w:rsidRDefault="00E93E41" w:rsidP="009420F5">
      <w:pPr>
        <w:tabs>
          <w:tab w:val="left" w:pos="-2268"/>
        </w:tabs>
        <w:suppressAutoHyphens/>
        <w:rPr>
          <w:spacing w:val="-3"/>
          <w:lang w:val="en-US"/>
        </w:rPr>
      </w:pPr>
      <w:proofErr w:type="spellStart"/>
      <w:r w:rsidRPr="00BD1319">
        <w:rPr>
          <w:spacing w:val="-3"/>
        </w:rPr>
        <w:t>McRAE</w:t>
      </w:r>
      <w:proofErr w:type="spellEnd"/>
      <w:r w:rsidRPr="00BD1319">
        <w:rPr>
          <w:spacing w:val="-3"/>
        </w:rPr>
        <w:t xml:space="preserve">, B., DICKSON, B., KEITT, T., &amp; SHAH, V. </w:t>
      </w:r>
      <w:proofErr w:type="spellStart"/>
      <w:r w:rsidRPr="00BD1319">
        <w:rPr>
          <w:spacing w:val="-3"/>
        </w:rPr>
        <w:t>Using</w:t>
      </w:r>
      <w:proofErr w:type="spellEnd"/>
      <w:r w:rsidRPr="00BD1319">
        <w:rPr>
          <w:spacing w:val="-3"/>
        </w:rPr>
        <w:t xml:space="preserve"> </w:t>
      </w:r>
      <w:proofErr w:type="spellStart"/>
      <w:r w:rsidRPr="00BD1319">
        <w:rPr>
          <w:spacing w:val="-3"/>
        </w:rPr>
        <w:t>circuit</w:t>
      </w:r>
      <w:proofErr w:type="spellEnd"/>
      <w:r w:rsidRPr="00BD1319">
        <w:rPr>
          <w:spacing w:val="-3"/>
        </w:rPr>
        <w:t xml:space="preserve"> </w:t>
      </w:r>
      <w:proofErr w:type="spellStart"/>
      <w:r w:rsidRPr="00BD1319">
        <w:rPr>
          <w:spacing w:val="-3"/>
        </w:rPr>
        <w:t>theory</w:t>
      </w:r>
      <w:proofErr w:type="spellEnd"/>
      <w:r w:rsidRPr="00BD1319">
        <w:rPr>
          <w:spacing w:val="-3"/>
        </w:rPr>
        <w:t xml:space="preserve"> </w:t>
      </w:r>
      <w:proofErr w:type="spellStart"/>
      <w:r w:rsidRPr="00BD1319">
        <w:rPr>
          <w:spacing w:val="-3"/>
        </w:rPr>
        <w:t>to</w:t>
      </w:r>
      <w:proofErr w:type="spellEnd"/>
      <w:r w:rsidRPr="00BD1319">
        <w:rPr>
          <w:spacing w:val="-3"/>
        </w:rPr>
        <w:t xml:space="preserve"> </w:t>
      </w:r>
      <w:proofErr w:type="spellStart"/>
      <w:r w:rsidRPr="00BD1319">
        <w:rPr>
          <w:spacing w:val="-3"/>
        </w:rPr>
        <w:t>model</w:t>
      </w:r>
      <w:proofErr w:type="spellEnd"/>
      <w:r w:rsidRPr="00BD1319">
        <w:rPr>
          <w:spacing w:val="-3"/>
        </w:rPr>
        <w:t xml:space="preserve"> </w:t>
      </w:r>
      <w:proofErr w:type="spellStart"/>
      <w:r w:rsidRPr="00BD1319">
        <w:rPr>
          <w:spacing w:val="-3"/>
        </w:rPr>
        <w:t>connectivity</w:t>
      </w:r>
      <w:proofErr w:type="spellEnd"/>
      <w:r w:rsidRPr="00BD1319">
        <w:rPr>
          <w:spacing w:val="-3"/>
        </w:rPr>
        <w:t xml:space="preserve"> in </w:t>
      </w:r>
      <w:proofErr w:type="spellStart"/>
      <w:r w:rsidRPr="00BD1319">
        <w:rPr>
          <w:spacing w:val="-3"/>
        </w:rPr>
        <w:t>ecology</w:t>
      </w:r>
      <w:proofErr w:type="spellEnd"/>
      <w:r w:rsidRPr="00BD1319">
        <w:rPr>
          <w:spacing w:val="-3"/>
        </w:rPr>
        <w:t xml:space="preserve">, </w:t>
      </w:r>
      <w:proofErr w:type="spellStart"/>
      <w:r w:rsidRPr="00BD1319">
        <w:rPr>
          <w:spacing w:val="-3"/>
        </w:rPr>
        <w:t>evolution</w:t>
      </w:r>
      <w:proofErr w:type="spellEnd"/>
      <w:r w:rsidRPr="00BD1319">
        <w:rPr>
          <w:spacing w:val="-3"/>
        </w:rPr>
        <w:t xml:space="preserve">, and </w:t>
      </w:r>
      <w:proofErr w:type="spellStart"/>
      <w:r w:rsidRPr="00BD1319">
        <w:rPr>
          <w:spacing w:val="-3"/>
        </w:rPr>
        <w:t>conservation</w:t>
      </w:r>
      <w:proofErr w:type="spellEnd"/>
      <w:r w:rsidRPr="00BD1319">
        <w:rPr>
          <w:spacing w:val="-3"/>
        </w:rPr>
        <w:t xml:space="preserve">. </w:t>
      </w:r>
      <w:r w:rsidRPr="00BD1319">
        <w:rPr>
          <w:spacing w:val="-3"/>
          <w:lang w:val="en-US"/>
        </w:rPr>
        <w:t>Ecology. 89, 10 (2008); 2712–2724.</w:t>
      </w:r>
    </w:p>
    <w:p w14:paraId="7EDB859C" w14:textId="77777777" w:rsidR="00E93E41" w:rsidRPr="00BD1319" w:rsidRDefault="00E93E41">
      <w:pPr>
        <w:tabs>
          <w:tab w:val="left" w:pos="-2268"/>
        </w:tabs>
        <w:suppressAutoHyphens/>
        <w:rPr>
          <w:spacing w:val="-3"/>
          <w:lang w:val="en-US"/>
        </w:rPr>
      </w:pPr>
    </w:p>
    <w:p w14:paraId="42CEFDAF" w14:textId="1E9995C5" w:rsidR="00274FBF" w:rsidRPr="00BD1319" w:rsidRDefault="00274FBF" w:rsidP="000D6E21">
      <w:pPr>
        <w:rPr>
          <w:spacing w:val="-3"/>
          <w:lang w:val="es-MX"/>
        </w:rPr>
      </w:pPr>
      <w:r w:rsidRPr="00BD1319">
        <w:rPr>
          <w:spacing w:val="-3"/>
          <w:lang w:val="en-US"/>
        </w:rPr>
        <w:t xml:space="preserve">MENDIETA-LEIVA, G., &amp; ZOTZ, G. A conceptual framework for the analysis of vascular epiphyte assemblages. </w:t>
      </w:r>
      <w:proofErr w:type="spellStart"/>
      <w:r w:rsidRPr="00BD1319">
        <w:rPr>
          <w:spacing w:val="-3"/>
          <w:lang w:val="es-MX"/>
        </w:rPr>
        <w:t>Perspectives</w:t>
      </w:r>
      <w:proofErr w:type="spellEnd"/>
      <w:r w:rsidRPr="00BD1319">
        <w:rPr>
          <w:spacing w:val="-3"/>
          <w:lang w:val="es-MX"/>
        </w:rPr>
        <w:t xml:space="preserve"> in </w:t>
      </w:r>
      <w:proofErr w:type="spellStart"/>
      <w:r w:rsidRPr="00BD1319">
        <w:rPr>
          <w:spacing w:val="-3"/>
          <w:lang w:val="es-MX"/>
        </w:rPr>
        <w:t>Plant</w:t>
      </w:r>
      <w:proofErr w:type="spellEnd"/>
      <w:r w:rsidRPr="00BD1319">
        <w:rPr>
          <w:spacing w:val="-3"/>
          <w:lang w:val="es-MX"/>
        </w:rPr>
        <w:t xml:space="preserve"> </w:t>
      </w:r>
      <w:proofErr w:type="spellStart"/>
      <w:r w:rsidRPr="00BD1319">
        <w:rPr>
          <w:spacing w:val="-3"/>
          <w:lang w:val="es-MX"/>
        </w:rPr>
        <w:t>Ecology</w:t>
      </w:r>
      <w:proofErr w:type="spellEnd"/>
      <w:r w:rsidRPr="00BD1319">
        <w:rPr>
          <w:spacing w:val="-3"/>
          <w:lang w:val="es-MX"/>
        </w:rPr>
        <w:t xml:space="preserve">, </w:t>
      </w:r>
      <w:proofErr w:type="spellStart"/>
      <w:r w:rsidRPr="00BD1319">
        <w:rPr>
          <w:spacing w:val="-3"/>
          <w:lang w:val="es-MX"/>
        </w:rPr>
        <w:t>Evolution</w:t>
      </w:r>
      <w:proofErr w:type="spellEnd"/>
      <w:r w:rsidRPr="00BD1319">
        <w:rPr>
          <w:spacing w:val="-3"/>
          <w:lang w:val="es-MX"/>
        </w:rPr>
        <w:t xml:space="preserve"> and </w:t>
      </w:r>
      <w:proofErr w:type="spellStart"/>
      <w:r w:rsidRPr="00BD1319">
        <w:rPr>
          <w:spacing w:val="-3"/>
          <w:lang w:val="es-MX"/>
        </w:rPr>
        <w:t>Systematics</w:t>
      </w:r>
      <w:proofErr w:type="spellEnd"/>
      <w:r w:rsidRPr="00BD1319">
        <w:rPr>
          <w:spacing w:val="-3"/>
          <w:lang w:val="es-MX"/>
        </w:rPr>
        <w:t>, 17, 6 (2015); 510–521.</w:t>
      </w:r>
    </w:p>
    <w:p w14:paraId="121B4AF7" w14:textId="77777777" w:rsidR="00274FBF" w:rsidRPr="00BD1319" w:rsidRDefault="00274FBF">
      <w:pPr>
        <w:tabs>
          <w:tab w:val="left" w:pos="-2268"/>
        </w:tabs>
        <w:suppressAutoHyphens/>
        <w:rPr>
          <w:spacing w:val="-3"/>
          <w:lang w:val="es-MX"/>
        </w:rPr>
      </w:pPr>
    </w:p>
    <w:p w14:paraId="3C3D7050" w14:textId="49C47DCF" w:rsidR="00E93E41" w:rsidRPr="00BD1319" w:rsidRDefault="00E93E41">
      <w:pPr>
        <w:tabs>
          <w:tab w:val="left" w:pos="-2268"/>
        </w:tabs>
        <w:suppressAutoHyphens/>
        <w:rPr>
          <w:spacing w:val="-3"/>
        </w:rPr>
      </w:pPr>
      <w:r w:rsidRPr="00BD1319">
        <w:rPr>
          <w:spacing w:val="-3"/>
        </w:rPr>
        <w:t>MINISTERIO DE AMBIENTE Y DESARROLLO SOSTENIBLE –Minambiente &amp; AUTORIDAD NACIONAL DE LICENCIAS AMBIENTALES –ANLA. Criterios técnicos para el uso de herramientas económicas en los proyectos, obras o actividades objeto de licenciamiento ambiental. Minambiente &amp; ANLA, 2017.</w:t>
      </w:r>
    </w:p>
    <w:p w14:paraId="31C1A832" w14:textId="77777777" w:rsidR="00E93E41" w:rsidRPr="00BD1319" w:rsidRDefault="00E93E41" w:rsidP="00B0120E">
      <w:pPr>
        <w:tabs>
          <w:tab w:val="left" w:pos="-2268"/>
        </w:tabs>
        <w:suppressAutoHyphens/>
        <w:rPr>
          <w:spacing w:val="-3"/>
        </w:rPr>
      </w:pPr>
    </w:p>
    <w:p w14:paraId="1C0A7F7C" w14:textId="77777777" w:rsidR="00E93E41" w:rsidRPr="00BD1319" w:rsidRDefault="00E93E41" w:rsidP="00B0120E">
      <w:pPr>
        <w:tabs>
          <w:tab w:val="left" w:pos="-2268"/>
        </w:tabs>
        <w:suppressAutoHyphens/>
        <w:rPr>
          <w:spacing w:val="-3"/>
        </w:rPr>
      </w:pPr>
      <w:r w:rsidRPr="00BD1319">
        <w:rPr>
          <w:spacing w:val="-3"/>
        </w:rPr>
        <w:t>MINISTERIO DE AMBIENTE Y DESARROLLO SOSTENIBLE –Minambiente, CORPORACIÓN AUTÓNOMA REGIONAL DE CUNDINAMRCA –CAR, INSTITUTO DE INVESTIGACIÓN DE RECURSOS BIOLÓGICOS ALEXANDER VON HUMBOLDT –Instituto Humboldt. Iniciativa colombiana de polinizadores. Eds.: Moreno Villamil, R., Vélez Velandia, D., Gómez Hoyos, A. J., Higuera Díaz, D., Carvajal González, J., López Vargas, C. M., Melo, D. Bogotá, D. C.: Minambiente, CAR e Instituto Humboldt, 2018. 60p.</w:t>
      </w:r>
    </w:p>
    <w:p w14:paraId="63B133C9" w14:textId="77777777" w:rsidR="00E93E41" w:rsidRPr="00BD1319" w:rsidRDefault="00E93E41">
      <w:pPr>
        <w:tabs>
          <w:tab w:val="left" w:pos="-2268"/>
        </w:tabs>
        <w:suppressAutoHyphens/>
        <w:rPr>
          <w:spacing w:val="-3"/>
        </w:rPr>
      </w:pPr>
    </w:p>
    <w:p w14:paraId="59C98A64" w14:textId="4211FD18" w:rsidR="00E93E41" w:rsidRPr="00BD1319" w:rsidRDefault="00E93E41">
      <w:pPr>
        <w:tabs>
          <w:tab w:val="left" w:pos="-2268"/>
        </w:tabs>
        <w:suppressAutoHyphens/>
        <w:rPr>
          <w:spacing w:val="-3"/>
        </w:rPr>
      </w:pPr>
      <w:r w:rsidRPr="00BD1319">
        <w:rPr>
          <w:spacing w:val="-3"/>
        </w:rPr>
        <w:t>MINISTERIO DE AMBIENTE Y DESARROLLO SOSTENIBLE –Minambiente. Guía metodológica para la formulación de planes de manejo ambiental de acuíferos. Bogotá: Minambiente, 2014.</w:t>
      </w:r>
    </w:p>
    <w:p w14:paraId="47274DD9" w14:textId="49E2464A" w:rsidR="00F70F4A" w:rsidRPr="00BD1319" w:rsidRDefault="00F70F4A">
      <w:pPr>
        <w:tabs>
          <w:tab w:val="left" w:pos="-2268"/>
        </w:tabs>
        <w:suppressAutoHyphens/>
        <w:rPr>
          <w:spacing w:val="-3"/>
        </w:rPr>
      </w:pPr>
    </w:p>
    <w:p w14:paraId="12847D7E" w14:textId="75ACD1D4" w:rsidR="00F70F4A" w:rsidRPr="00BD1319" w:rsidRDefault="00F70F4A" w:rsidP="00F70F4A">
      <w:pPr>
        <w:tabs>
          <w:tab w:val="left" w:pos="-2268"/>
        </w:tabs>
        <w:suppressAutoHyphens/>
        <w:rPr>
          <w:spacing w:val="-3"/>
        </w:rPr>
      </w:pPr>
      <w:r w:rsidRPr="00BD1319">
        <w:rPr>
          <w:spacing w:val="-3"/>
        </w:rPr>
        <w:t>MINISTERIO DE AMBIENTE Y DESARROLLO SOSTENIBLE –Minambiente. Guía nacional de modelación del recurso hídrico para aguas superficiales continentales. Textos: Buitrago Aguirre, C., González Parra, J., Hernández Suarez, J. Bogotá, D.C.: Minambiente, 2018. 76 p.</w:t>
      </w:r>
    </w:p>
    <w:p w14:paraId="6348D549" w14:textId="77777777" w:rsidR="00E93E41" w:rsidRPr="00BD1319" w:rsidRDefault="00E93E41" w:rsidP="009A1B21">
      <w:pPr>
        <w:tabs>
          <w:tab w:val="left" w:pos="-2268"/>
        </w:tabs>
        <w:suppressAutoHyphens/>
        <w:rPr>
          <w:spacing w:val="-3"/>
        </w:rPr>
      </w:pPr>
    </w:p>
    <w:p w14:paraId="23CF1012" w14:textId="77777777" w:rsidR="00E93E41" w:rsidRPr="00BD1319" w:rsidRDefault="00E93E41" w:rsidP="009A1B21">
      <w:pPr>
        <w:tabs>
          <w:tab w:val="left" w:pos="-2268"/>
        </w:tabs>
        <w:suppressAutoHyphens/>
        <w:rPr>
          <w:spacing w:val="-3"/>
        </w:rPr>
      </w:pPr>
      <w:r w:rsidRPr="00BD1319">
        <w:rPr>
          <w:spacing w:val="-3"/>
        </w:rPr>
        <w:t xml:space="preserve">MINISTERIO DE AMBIENTE Y DESARROLLO SOSTENIBLE –Minambiente. La restauración como acción de compensación para proyectos </w:t>
      </w:r>
      <w:proofErr w:type="spellStart"/>
      <w:r w:rsidRPr="00BD1319">
        <w:rPr>
          <w:spacing w:val="-3"/>
        </w:rPr>
        <w:t>licenciables</w:t>
      </w:r>
      <w:proofErr w:type="spellEnd"/>
      <w:r w:rsidRPr="00BD1319">
        <w:rPr>
          <w:spacing w:val="-3"/>
        </w:rPr>
        <w:t xml:space="preserve"> Textos: Lozano Rodríguez, L., Vieira Muñoz, M., Ramírez Martínez, N. Bogotá, D.C.: Minambiente, 2018.</w:t>
      </w:r>
    </w:p>
    <w:p w14:paraId="46A37586" w14:textId="77777777" w:rsidR="00E93E41" w:rsidRPr="00BD1319" w:rsidRDefault="00E93E41">
      <w:pPr>
        <w:tabs>
          <w:tab w:val="left" w:pos="-2268"/>
        </w:tabs>
        <w:suppressAutoHyphens/>
        <w:rPr>
          <w:spacing w:val="-3"/>
        </w:rPr>
      </w:pPr>
    </w:p>
    <w:p w14:paraId="59A85209" w14:textId="481D36DF" w:rsidR="00E93E41" w:rsidRPr="00BD1319" w:rsidRDefault="00E93E41">
      <w:pPr>
        <w:tabs>
          <w:tab w:val="left" w:pos="-2268"/>
        </w:tabs>
        <w:suppressAutoHyphens/>
        <w:rPr>
          <w:spacing w:val="-3"/>
        </w:rPr>
      </w:pPr>
      <w:r w:rsidRPr="00BD1319">
        <w:rPr>
          <w:spacing w:val="-3"/>
        </w:rPr>
        <w:t>MINISTERIO DE AMBIENTE Y DESARROLLO SOSTENIBLE –Minambiente. Manual de compensaciones ambientales del componente biótico. Dirección de Bosques, Biodiversidad y Servicios Ecosistémicos; textos: M. Ramírez; J. Ruíz- ISBN obra completa versión digital: 978-958-8901-88-2. Bogotá: Minambiente, 2018.</w:t>
      </w:r>
    </w:p>
    <w:p w14:paraId="1E8A2A12" w14:textId="212703FB" w:rsidR="00E93E41" w:rsidRPr="00BD1319" w:rsidRDefault="00E93E41" w:rsidP="00360C43">
      <w:pPr>
        <w:tabs>
          <w:tab w:val="left" w:pos="-2268"/>
        </w:tabs>
        <w:suppressAutoHyphens/>
        <w:rPr>
          <w:spacing w:val="-3"/>
        </w:rPr>
      </w:pPr>
    </w:p>
    <w:p w14:paraId="0AA35C57" w14:textId="77777777" w:rsidR="00792F74" w:rsidRPr="00BD1319" w:rsidRDefault="00792F74" w:rsidP="00792F74">
      <w:pPr>
        <w:tabs>
          <w:tab w:val="left" w:pos="-2268"/>
        </w:tabs>
        <w:suppressAutoHyphens/>
        <w:rPr>
          <w:spacing w:val="-3"/>
        </w:rPr>
      </w:pPr>
      <w:r w:rsidRPr="00BD1319">
        <w:rPr>
          <w:spacing w:val="-3"/>
        </w:rPr>
        <w:t xml:space="preserve">MINISTERIO DE AMBIENTE Y DESARROLLO SOSTENIBLE –Minambiente, Fundación para la Conservación y el Desarrollo Sostenible –FCDS, WWF Colombia –WWF. </w:t>
      </w:r>
      <w:r w:rsidRPr="00BD1319">
        <w:rPr>
          <w:spacing w:val="-3"/>
        </w:rPr>
        <w:lastRenderedPageBreak/>
        <w:t>Lineamientos de Infraestructura Verde Vial para Colombia (LIVV). Bogotá: Minambiente, FCDS, WWF, 2020. 98 p.</w:t>
      </w:r>
    </w:p>
    <w:p w14:paraId="70D085A1" w14:textId="77777777" w:rsidR="00792F74" w:rsidRPr="00BD1319" w:rsidRDefault="00792F74" w:rsidP="00360C43">
      <w:pPr>
        <w:tabs>
          <w:tab w:val="left" w:pos="-2268"/>
        </w:tabs>
        <w:suppressAutoHyphens/>
        <w:rPr>
          <w:spacing w:val="-3"/>
        </w:rPr>
      </w:pPr>
    </w:p>
    <w:p w14:paraId="296018C2" w14:textId="77777777" w:rsidR="00E93E41" w:rsidRPr="00BD1319" w:rsidRDefault="00E93E41" w:rsidP="00360C43">
      <w:pPr>
        <w:tabs>
          <w:tab w:val="left" w:pos="-2268"/>
        </w:tabs>
        <w:suppressAutoHyphens/>
        <w:rPr>
          <w:spacing w:val="-3"/>
        </w:rPr>
      </w:pPr>
      <w:r w:rsidRPr="00BD1319">
        <w:rPr>
          <w:spacing w:val="-3"/>
        </w:rPr>
        <w:t>MINISTERIO DE AMBIENTE, VIVIENDA Y DESARROLLO TERRITORIAL –MAVDT. Propuesta metodológica para la evaluación de la vulnerabilidad intrínseca de los acuíferos a la contaminación. Bogotá: MAVDT, 2010a.</w:t>
      </w:r>
    </w:p>
    <w:p w14:paraId="017BAFD4" w14:textId="77777777" w:rsidR="00E93E41" w:rsidRPr="00BD1319" w:rsidRDefault="00E93E41" w:rsidP="00D64853">
      <w:pPr>
        <w:tabs>
          <w:tab w:val="left" w:pos="-2268"/>
        </w:tabs>
        <w:suppressAutoHyphens/>
        <w:rPr>
          <w:spacing w:val="-3"/>
        </w:rPr>
      </w:pPr>
    </w:p>
    <w:p w14:paraId="66A29D1F" w14:textId="77777777" w:rsidR="00E93E41" w:rsidRPr="00BD1319" w:rsidRDefault="00E93E41" w:rsidP="00D64853">
      <w:pPr>
        <w:tabs>
          <w:tab w:val="left" w:pos="-2268"/>
        </w:tabs>
        <w:suppressAutoHyphens/>
        <w:rPr>
          <w:spacing w:val="-3"/>
        </w:rPr>
      </w:pPr>
      <w:r w:rsidRPr="00BD1319">
        <w:rPr>
          <w:spacing w:val="-3"/>
        </w:rPr>
        <w:t>MINISTERIO DE AMBIENTE, VIVIENDA Y DESARROLLO TERRITORIAL –MAVDT. Política nacional de producción y consumo sostenible. Bogotá D. C.: MAVDT, 2010.</w:t>
      </w:r>
    </w:p>
    <w:p w14:paraId="2902D285" w14:textId="77777777" w:rsidR="00E93E41" w:rsidRPr="00BD1319" w:rsidRDefault="00E93E41">
      <w:pPr>
        <w:tabs>
          <w:tab w:val="left" w:pos="-2268"/>
        </w:tabs>
        <w:suppressAutoHyphens/>
        <w:rPr>
          <w:spacing w:val="-3"/>
        </w:rPr>
      </w:pPr>
    </w:p>
    <w:p w14:paraId="07729584" w14:textId="057AC8E9" w:rsidR="00E93E41" w:rsidRPr="00BD1319" w:rsidRDefault="00E93E41">
      <w:pPr>
        <w:tabs>
          <w:tab w:val="left" w:pos="-2268"/>
        </w:tabs>
        <w:suppressAutoHyphens/>
        <w:rPr>
          <w:spacing w:val="-3"/>
        </w:rPr>
      </w:pPr>
      <w:r w:rsidRPr="00BD1319">
        <w:rPr>
          <w:spacing w:val="-3"/>
        </w:rPr>
        <w:t>MINISTERIO DE AMBIENTE, VIVIENDA Y DESARROLLO TERRITORIAL –MAVDT. Protocolo para el control y vigilancia de la contaminación atmosférica generada por fuentes fijas. Bogotá. D.C.: MAVDT, 2010b. 99 p.</w:t>
      </w:r>
    </w:p>
    <w:p w14:paraId="7AEB0026" w14:textId="77777777" w:rsidR="00E93E41" w:rsidRPr="00BD1319" w:rsidRDefault="00E93E41">
      <w:pPr>
        <w:tabs>
          <w:tab w:val="left" w:pos="-2268"/>
        </w:tabs>
        <w:suppressAutoHyphens/>
        <w:rPr>
          <w:spacing w:val="-3"/>
        </w:rPr>
      </w:pPr>
    </w:p>
    <w:p w14:paraId="38816A09" w14:textId="23072D2D" w:rsidR="00B37DDB" w:rsidRPr="00BD1319" w:rsidRDefault="00B37DDB">
      <w:pPr>
        <w:tabs>
          <w:tab w:val="left" w:pos="-2268"/>
        </w:tabs>
        <w:suppressAutoHyphens/>
        <w:rPr>
          <w:spacing w:val="-3"/>
        </w:rPr>
      </w:pPr>
      <w:r w:rsidRPr="00BD1319">
        <w:rPr>
          <w:spacing w:val="-3"/>
        </w:rPr>
        <w:t xml:space="preserve">MINISTERIO DEL MEDIO AMBIENTE &amp; ASOCIACIÓN COLOMBIANA DE REFORESTADORES. Proyecto aplicación y evaluación de criterios e indicadores para la ordenación sostenible de los bosques naturales Pd 8/97 </w:t>
      </w:r>
      <w:proofErr w:type="spellStart"/>
      <w:r w:rsidRPr="00BD1319">
        <w:rPr>
          <w:spacing w:val="-3"/>
        </w:rPr>
        <w:t>rev</w:t>
      </w:r>
      <w:proofErr w:type="spellEnd"/>
      <w:r w:rsidRPr="00BD1319">
        <w:rPr>
          <w:spacing w:val="-3"/>
        </w:rPr>
        <w:t xml:space="preserve"> 2(f): guías técnicas para la ordenación y el manejo sostenible de los bosques naturales. Bogotá: Ministerio del Medio Ambiente, Asociación colombiana de </w:t>
      </w:r>
      <w:proofErr w:type="spellStart"/>
      <w:r w:rsidRPr="00BD1319">
        <w:rPr>
          <w:spacing w:val="-3"/>
        </w:rPr>
        <w:t>reforestadores</w:t>
      </w:r>
      <w:proofErr w:type="spellEnd"/>
      <w:r w:rsidRPr="00BD1319">
        <w:rPr>
          <w:spacing w:val="-3"/>
        </w:rPr>
        <w:t>, Organización Internacional de Maderas Tropicales, 2002. 142p.</w:t>
      </w:r>
    </w:p>
    <w:p w14:paraId="57CDB58F" w14:textId="77777777" w:rsidR="00B37DDB" w:rsidRPr="00BD1319" w:rsidRDefault="00B37DDB">
      <w:pPr>
        <w:tabs>
          <w:tab w:val="left" w:pos="-2268"/>
        </w:tabs>
        <w:suppressAutoHyphens/>
        <w:rPr>
          <w:spacing w:val="-3"/>
        </w:rPr>
      </w:pPr>
    </w:p>
    <w:p w14:paraId="51DEA7F8" w14:textId="77777777" w:rsidR="00E93E41" w:rsidRPr="00BD1319" w:rsidRDefault="00E93E41">
      <w:pPr>
        <w:tabs>
          <w:tab w:val="left" w:pos="-2268"/>
        </w:tabs>
        <w:suppressAutoHyphens/>
        <w:rPr>
          <w:spacing w:val="-3"/>
          <w:lang w:val="en-US"/>
        </w:rPr>
      </w:pPr>
      <w:r w:rsidRPr="00BD1319">
        <w:rPr>
          <w:spacing w:val="-3"/>
        </w:rPr>
        <w:t xml:space="preserve">MOJICA, J., USMA, J., ÁLVAREZ-LEÓN R. &amp; LASSO, C. (Eds.). Libro rojo de peces dulceacuícolas de Colombia 2012. Bogotá: Instituto de Investigación de Recursos Biológicos Alexander </w:t>
      </w:r>
      <w:proofErr w:type="spellStart"/>
      <w:r w:rsidRPr="00BD1319">
        <w:rPr>
          <w:spacing w:val="-3"/>
        </w:rPr>
        <w:t>von</w:t>
      </w:r>
      <w:proofErr w:type="spellEnd"/>
      <w:r w:rsidRPr="00BD1319">
        <w:rPr>
          <w:spacing w:val="-3"/>
        </w:rPr>
        <w:t xml:space="preserve"> Humboldt, Instituto de Ciencias Naturales de la Universidad Nacional de Colombia, WWF Colombia y Universidad de Manizales, 2012. </w:t>
      </w:r>
      <w:r w:rsidRPr="00BD1319">
        <w:rPr>
          <w:spacing w:val="-3"/>
          <w:lang w:val="en-US"/>
        </w:rPr>
        <w:t>319 p.</w:t>
      </w:r>
    </w:p>
    <w:p w14:paraId="3093EC0B" w14:textId="77777777" w:rsidR="00E93E41" w:rsidRPr="00BD1319" w:rsidRDefault="00E93E41">
      <w:pPr>
        <w:tabs>
          <w:tab w:val="left" w:pos="-2268"/>
        </w:tabs>
        <w:suppressAutoHyphens/>
        <w:rPr>
          <w:spacing w:val="-3"/>
          <w:lang w:val="en-US"/>
        </w:rPr>
      </w:pPr>
    </w:p>
    <w:p w14:paraId="79B2E6A7" w14:textId="0A692BE9" w:rsidR="00F1592D" w:rsidRPr="00BD1319" w:rsidRDefault="00F1592D">
      <w:pPr>
        <w:tabs>
          <w:tab w:val="left" w:pos="-2268"/>
        </w:tabs>
        <w:suppressAutoHyphens/>
        <w:rPr>
          <w:spacing w:val="-3"/>
        </w:rPr>
      </w:pPr>
      <w:r w:rsidRPr="00BD1319">
        <w:rPr>
          <w:spacing w:val="-3"/>
          <w:lang w:val="en-US"/>
        </w:rPr>
        <w:t xml:space="preserve">MOLNAR, P. "Calibration". Watershed Modelling, SS 2011. Institute of Environmental Engineering, Chair of Hydrology and Water Resources Management, ETH Zürich. </w:t>
      </w:r>
      <w:proofErr w:type="spellStart"/>
      <w:r w:rsidRPr="00BD1319">
        <w:rPr>
          <w:spacing w:val="-3"/>
        </w:rPr>
        <w:t>Switzerland</w:t>
      </w:r>
      <w:proofErr w:type="spellEnd"/>
      <w:r w:rsidRPr="00BD1319">
        <w:rPr>
          <w:spacing w:val="-3"/>
        </w:rPr>
        <w:t>, 2011.</w:t>
      </w:r>
    </w:p>
    <w:p w14:paraId="5CDA0318" w14:textId="77777777" w:rsidR="00F1592D" w:rsidRPr="00BD1319" w:rsidRDefault="00F1592D">
      <w:pPr>
        <w:tabs>
          <w:tab w:val="left" w:pos="-2268"/>
        </w:tabs>
        <w:suppressAutoHyphens/>
        <w:rPr>
          <w:spacing w:val="-3"/>
        </w:rPr>
      </w:pPr>
    </w:p>
    <w:p w14:paraId="439DBEB3" w14:textId="6AD684E6" w:rsidR="00F93FC9" w:rsidRPr="00BD1319" w:rsidRDefault="00F93FC9">
      <w:pPr>
        <w:tabs>
          <w:tab w:val="left" w:pos="-2268"/>
        </w:tabs>
        <w:suppressAutoHyphens/>
        <w:rPr>
          <w:spacing w:val="-3"/>
          <w:lang w:val="es-MX"/>
        </w:rPr>
      </w:pPr>
      <w:r w:rsidRPr="00BD1319">
        <w:rPr>
          <w:spacing w:val="-3"/>
          <w:lang w:val="es-MX"/>
        </w:rPr>
        <w:t>MONTENEGRO, A., ÁLVAREZ, J., BASTIÁN-MONARCA, N., PEREIRA, T. Evaluación de impacto acústico por ruido sobre fauna nativa terrestre en el marco del Sistema de Evaluación de Impacto Ambiental (SEIA) en Chile. Valdivia, Chile: Congreso Internacional de Acústica y Audio Profesional INGEACUS 2020, 2020. 6p.</w:t>
      </w:r>
    </w:p>
    <w:p w14:paraId="031CA875" w14:textId="77777777" w:rsidR="00F93FC9" w:rsidRPr="00BD1319" w:rsidRDefault="00F93FC9">
      <w:pPr>
        <w:tabs>
          <w:tab w:val="left" w:pos="-2268"/>
        </w:tabs>
        <w:suppressAutoHyphens/>
        <w:rPr>
          <w:spacing w:val="-3"/>
          <w:lang w:val="es-MX"/>
        </w:rPr>
      </w:pPr>
    </w:p>
    <w:p w14:paraId="65DEA5B7" w14:textId="21DEF856" w:rsidR="00E93E41" w:rsidRPr="00BD1319" w:rsidRDefault="00E93E41">
      <w:pPr>
        <w:tabs>
          <w:tab w:val="left" w:pos="-2268"/>
        </w:tabs>
        <w:suppressAutoHyphens/>
        <w:rPr>
          <w:spacing w:val="-3"/>
        </w:rPr>
      </w:pPr>
      <w:r w:rsidRPr="00BD1319">
        <w:rPr>
          <w:spacing w:val="-3"/>
        </w:rPr>
        <w:t xml:space="preserve">MORALES-BETANCOURT, M., LASSO, C., PÁEZ, V. &amp; BOCK, B. Libro rojo de reptiles de Colombia (2015). Bogotá, D. C.: Instituto de Investigación de Recursos Biológicos Alexander </w:t>
      </w:r>
      <w:proofErr w:type="spellStart"/>
      <w:r w:rsidRPr="00BD1319">
        <w:rPr>
          <w:spacing w:val="-3"/>
        </w:rPr>
        <w:t>von</w:t>
      </w:r>
      <w:proofErr w:type="spellEnd"/>
      <w:r w:rsidRPr="00BD1319">
        <w:rPr>
          <w:spacing w:val="-3"/>
        </w:rPr>
        <w:t xml:space="preserve"> Humboldt –</w:t>
      </w:r>
      <w:proofErr w:type="spellStart"/>
      <w:r w:rsidRPr="00BD1319">
        <w:rPr>
          <w:spacing w:val="-3"/>
        </w:rPr>
        <w:t>IAvH</w:t>
      </w:r>
      <w:proofErr w:type="spellEnd"/>
      <w:r w:rsidRPr="00BD1319">
        <w:rPr>
          <w:spacing w:val="-3"/>
        </w:rPr>
        <w:t>, Universidad de Antioquia, 2015. 258 p.</w:t>
      </w:r>
    </w:p>
    <w:p w14:paraId="1CC865A2" w14:textId="77777777" w:rsidR="00E93E41" w:rsidRPr="00BD1319" w:rsidRDefault="00E93E41">
      <w:pPr>
        <w:tabs>
          <w:tab w:val="left" w:pos="-2268"/>
        </w:tabs>
        <w:suppressAutoHyphens/>
        <w:rPr>
          <w:spacing w:val="-3"/>
        </w:rPr>
      </w:pPr>
    </w:p>
    <w:p w14:paraId="29884868" w14:textId="77777777" w:rsidR="00E93E41" w:rsidRPr="00BD1319" w:rsidRDefault="00E93E41">
      <w:pPr>
        <w:tabs>
          <w:tab w:val="left" w:pos="-2268"/>
        </w:tabs>
        <w:suppressAutoHyphens/>
        <w:rPr>
          <w:spacing w:val="-3"/>
        </w:rPr>
      </w:pPr>
      <w:r w:rsidRPr="00BD1319">
        <w:rPr>
          <w:spacing w:val="-3"/>
        </w:rPr>
        <w:t>MORALES-JIMÉNEZ A., SÁNCHEZ F., POVEDA, K., &amp; CADENA, A. Mamíferos terrestres y voladores de Colombia. Guía de Campo. Bogotá: Alcom, 2004. 248 p.</w:t>
      </w:r>
    </w:p>
    <w:p w14:paraId="0F61BD57" w14:textId="77777777" w:rsidR="00E93E41" w:rsidRPr="00BD1319" w:rsidRDefault="00E93E41">
      <w:pPr>
        <w:tabs>
          <w:tab w:val="left" w:pos="-2268"/>
        </w:tabs>
        <w:suppressAutoHyphens/>
        <w:rPr>
          <w:spacing w:val="-3"/>
        </w:rPr>
      </w:pPr>
    </w:p>
    <w:p w14:paraId="6C4E78F9" w14:textId="4A32AFC0" w:rsidR="00E93E41" w:rsidRPr="00BD1319" w:rsidRDefault="00E93E41">
      <w:pPr>
        <w:tabs>
          <w:tab w:val="left" w:pos="-2268"/>
        </w:tabs>
        <w:suppressAutoHyphens/>
        <w:rPr>
          <w:spacing w:val="-3"/>
        </w:rPr>
      </w:pPr>
      <w:r w:rsidRPr="00BD1319">
        <w:rPr>
          <w:spacing w:val="-3"/>
        </w:rPr>
        <w:lastRenderedPageBreak/>
        <w:t xml:space="preserve">MORENO, C. Métodos para medir la biodiversidad. Manuales y Tesis. </w:t>
      </w:r>
      <w:r w:rsidR="00434EA7" w:rsidRPr="00BD1319">
        <w:rPr>
          <w:spacing w:val="-3"/>
        </w:rPr>
        <w:t>Vol.</w:t>
      </w:r>
      <w:r w:rsidRPr="00BD1319">
        <w:rPr>
          <w:spacing w:val="-3"/>
        </w:rPr>
        <w:t xml:space="preserve"> 1. Zaragoza: Sociedad Entomológica Aragonesa, 2001. 84 p. </w:t>
      </w:r>
    </w:p>
    <w:p w14:paraId="29902B7A" w14:textId="77777777" w:rsidR="00E93E41" w:rsidRPr="00BD1319" w:rsidRDefault="00E93E41">
      <w:pPr>
        <w:tabs>
          <w:tab w:val="left" w:pos="-2268"/>
        </w:tabs>
        <w:suppressAutoHyphens/>
        <w:rPr>
          <w:spacing w:val="-3"/>
        </w:rPr>
      </w:pPr>
    </w:p>
    <w:p w14:paraId="1983D555" w14:textId="77777777" w:rsidR="00E93E41" w:rsidRPr="00BD1319" w:rsidRDefault="00E93E41">
      <w:pPr>
        <w:tabs>
          <w:tab w:val="left" w:pos="-2268"/>
        </w:tabs>
        <w:suppressAutoHyphens/>
        <w:rPr>
          <w:spacing w:val="-3"/>
          <w:lang w:val="en-US"/>
        </w:rPr>
      </w:pPr>
      <w:r w:rsidRPr="00BD1319">
        <w:rPr>
          <w:spacing w:val="-3"/>
        </w:rPr>
        <w:t xml:space="preserve">MORLÁNS, M. Introducción a la ecología del paisaje. San Fernando del Valle de Catamarca, Argentina: Universidad de Catamarca. </w:t>
      </w:r>
      <w:r w:rsidRPr="00BD1319">
        <w:rPr>
          <w:spacing w:val="-3"/>
          <w:lang w:val="en-US"/>
        </w:rPr>
        <w:t>2005.</w:t>
      </w:r>
    </w:p>
    <w:p w14:paraId="675ACF9D" w14:textId="77777777" w:rsidR="00E93E41" w:rsidRPr="00BD1319" w:rsidRDefault="00E93E41">
      <w:pPr>
        <w:tabs>
          <w:tab w:val="left" w:pos="-2268"/>
        </w:tabs>
        <w:suppressAutoHyphens/>
        <w:rPr>
          <w:spacing w:val="-3"/>
          <w:lang w:val="en-US"/>
        </w:rPr>
      </w:pPr>
    </w:p>
    <w:p w14:paraId="719BCE81" w14:textId="314D68E1" w:rsidR="00E93E41" w:rsidRPr="00BD1319" w:rsidRDefault="00E93E41">
      <w:pPr>
        <w:tabs>
          <w:tab w:val="left" w:pos="-2268"/>
        </w:tabs>
        <w:suppressAutoHyphens/>
        <w:rPr>
          <w:spacing w:val="-3"/>
          <w:lang w:val="en-US"/>
        </w:rPr>
      </w:pPr>
      <w:r w:rsidRPr="00BD1319">
        <w:rPr>
          <w:spacing w:val="-3"/>
          <w:lang w:val="en-US"/>
        </w:rPr>
        <w:t xml:space="preserve">MUNDA, G. Multicriteria evaluation in a fuzzy environment. Theory and applications in ecological economics. Germany: Physica-Verlag </w:t>
      </w:r>
      <w:proofErr w:type="spellStart"/>
      <w:r w:rsidRPr="00BD1319">
        <w:rPr>
          <w:spacing w:val="-3"/>
          <w:lang w:val="en-US"/>
        </w:rPr>
        <w:t>Heidelgerg</w:t>
      </w:r>
      <w:proofErr w:type="spellEnd"/>
      <w:r w:rsidRPr="00BD1319">
        <w:rPr>
          <w:spacing w:val="-3"/>
          <w:lang w:val="en-US"/>
        </w:rPr>
        <w:t>, 1995</w:t>
      </w:r>
      <w:r w:rsidR="00D712AB" w:rsidRPr="00BD1319">
        <w:rPr>
          <w:spacing w:val="-3"/>
          <w:lang w:val="en-US"/>
        </w:rPr>
        <w:t>. 255 p</w:t>
      </w:r>
      <w:r w:rsidRPr="00BD1319">
        <w:rPr>
          <w:spacing w:val="-3"/>
          <w:lang w:val="en-US"/>
        </w:rPr>
        <w:t>.</w:t>
      </w:r>
    </w:p>
    <w:p w14:paraId="73A258F9" w14:textId="77777777" w:rsidR="00E93E41" w:rsidRPr="00BD1319" w:rsidRDefault="00E93E41" w:rsidP="00624F3E">
      <w:pPr>
        <w:tabs>
          <w:tab w:val="left" w:pos="-2268"/>
        </w:tabs>
        <w:suppressAutoHyphens/>
        <w:rPr>
          <w:rFonts w:cs="Arial"/>
          <w:lang w:val="en-US"/>
        </w:rPr>
      </w:pPr>
    </w:p>
    <w:p w14:paraId="78A0ACA5" w14:textId="0571C44E" w:rsidR="00A23EB9" w:rsidRPr="006B11C6" w:rsidRDefault="00D712AB" w:rsidP="00A23EB9">
      <w:pPr>
        <w:overflowPunct/>
        <w:autoSpaceDE/>
        <w:autoSpaceDN/>
        <w:adjustRightInd/>
        <w:jc w:val="left"/>
        <w:textAlignment w:val="auto"/>
        <w:rPr>
          <w:color w:val="000000" w:themeColor="text1"/>
          <w:spacing w:val="-3"/>
        </w:rPr>
      </w:pPr>
      <w:r w:rsidRPr="00BD1319">
        <w:rPr>
          <w:color w:val="000000" w:themeColor="text1"/>
          <w:spacing w:val="-3"/>
          <w:lang w:val="en-US"/>
        </w:rPr>
        <w:t>MUNDA</w:t>
      </w:r>
      <w:r w:rsidR="00A23EB9" w:rsidRPr="00BD1319">
        <w:rPr>
          <w:color w:val="000000" w:themeColor="text1"/>
          <w:spacing w:val="-3"/>
          <w:lang w:val="en-US"/>
        </w:rPr>
        <w:t xml:space="preserve">, G. Social Multi-Criteria Evaluation for a Sustainable Economy. </w:t>
      </w:r>
      <w:proofErr w:type="spellStart"/>
      <w:r w:rsidR="00A23EB9" w:rsidRPr="006B11C6">
        <w:rPr>
          <w:color w:val="000000" w:themeColor="text1"/>
          <w:spacing w:val="-3"/>
        </w:rPr>
        <w:t>Berlin</w:t>
      </w:r>
      <w:proofErr w:type="spellEnd"/>
      <w:r w:rsidRPr="006B11C6">
        <w:rPr>
          <w:color w:val="000000" w:themeColor="text1"/>
          <w:spacing w:val="-3"/>
        </w:rPr>
        <w:t>,</w:t>
      </w:r>
      <w:r w:rsidR="00A23EB9" w:rsidRPr="006B11C6">
        <w:rPr>
          <w:color w:val="000000" w:themeColor="text1"/>
          <w:spacing w:val="-3"/>
        </w:rPr>
        <w:t xml:space="preserve"> Heidelberg: Springer-</w:t>
      </w:r>
      <w:proofErr w:type="spellStart"/>
      <w:r w:rsidR="00A23EB9" w:rsidRPr="006B11C6">
        <w:rPr>
          <w:color w:val="000000" w:themeColor="text1"/>
          <w:spacing w:val="-3"/>
        </w:rPr>
        <w:t>Verlag</w:t>
      </w:r>
      <w:proofErr w:type="spellEnd"/>
      <w:r w:rsidR="00A23EB9" w:rsidRPr="006B11C6">
        <w:rPr>
          <w:color w:val="000000" w:themeColor="text1"/>
          <w:spacing w:val="-3"/>
        </w:rPr>
        <w:t xml:space="preserve">, </w:t>
      </w:r>
      <w:r w:rsidRPr="006B11C6">
        <w:rPr>
          <w:color w:val="000000" w:themeColor="text1"/>
          <w:spacing w:val="-3"/>
        </w:rPr>
        <w:t xml:space="preserve">2008. </w:t>
      </w:r>
      <w:r w:rsidR="00A23EB9" w:rsidRPr="006B11C6">
        <w:rPr>
          <w:color w:val="000000" w:themeColor="text1"/>
          <w:spacing w:val="-3"/>
        </w:rPr>
        <w:t>210</w:t>
      </w:r>
      <w:r w:rsidRPr="006B11C6">
        <w:rPr>
          <w:color w:val="000000" w:themeColor="text1"/>
          <w:spacing w:val="-3"/>
        </w:rPr>
        <w:t xml:space="preserve"> </w:t>
      </w:r>
      <w:r w:rsidR="00A23EB9" w:rsidRPr="006B11C6">
        <w:rPr>
          <w:color w:val="000000" w:themeColor="text1"/>
          <w:spacing w:val="-3"/>
        </w:rPr>
        <w:t>p.</w:t>
      </w:r>
    </w:p>
    <w:p w14:paraId="2D9BC30D" w14:textId="77777777" w:rsidR="00A23EB9" w:rsidRPr="006B11C6" w:rsidRDefault="00A23EB9" w:rsidP="00624F3E">
      <w:pPr>
        <w:tabs>
          <w:tab w:val="left" w:pos="-2268"/>
        </w:tabs>
        <w:suppressAutoHyphens/>
        <w:rPr>
          <w:rFonts w:cs="Arial"/>
        </w:rPr>
      </w:pPr>
    </w:p>
    <w:p w14:paraId="014E26A6" w14:textId="77777777" w:rsidR="00E93E41" w:rsidRPr="00BD1319" w:rsidRDefault="00E93E41" w:rsidP="00624F3E">
      <w:pPr>
        <w:tabs>
          <w:tab w:val="left" w:pos="-2268"/>
        </w:tabs>
        <w:suppressAutoHyphens/>
        <w:rPr>
          <w:rFonts w:cs="Arial"/>
        </w:rPr>
      </w:pPr>
      <w:r w:rsidRPr="00BD1319">
        <w:rPr>
          <w:rFonts w:cs="Arial"/>
        </w:rPr>
        <w:t xml:space="preserve">MUÑOZ, A. Guía Metodológica. Estudios del Paisaje. Valencia: Conselleria de Infraestructuras, Territorio y Medio Ambiente. 2012. </w:t>
      </w:r>
    </w:p>
    <w:p w14:paraId="2E617F5E" w14:textId="0B5465B4" w:rsidR="00E93E41" w:rsidRPr="00BD1319" w:rsidRDefault="00E93E41">
      <w:pPr>
        <w:tabs>
          <w:tab w:val="left" w:pos="-2268"/>
        </w:tabs>
        <w:suppressAutoHyphens/>
        <w:overflowPunct/>
        <w:autoSpaceDE/>
        <w:autoSpaceDN/>
        <w:adjustRightInd/>
        <w:textAlignment w:val="auto"/>
        <w:rPr>
          <w:rFonts w:eastAsia="Calibri"/>
        </w:rPr>
      </w:pPr>
    </w:p>
    <w:p w14:paraId="22AF40B3" w14:textId="12ABCA70" w:rsidR="00961255" w:rsidRPr="00BD1319" w:rsidRDefault="00961255">
      <w:pPr>
        <w:tabs>
          <w:tab w:val="left" w:pos="-2268"/>
        </w:tabs>
        <w:suppressAutoHyphens/>
        <w:overflowPunct/>
        <w:autoSpaceDE/>
        <w:autoSpaceDN/>
        <w:adjustRightInd/>
        <w:textAlignment w:val="auto"/>
        <w:rPr>
          <w:rFonts w:eastAsia="Calibri"/>
        </w:rPr>
      </w:pPr>
      <w:r w:rsidRPr="00BD1319">
        <w:rPr>
          <w:rFonts w:cs="Arial"/>
          <w:szCs w:val="20"/>
        </w:rPr>
        <w:t xml:space="preserve">NAVARRETE-RAMÍREZ, S. Protocolo Indicador Variación línea de costa: perfiles de playa. Indicadores de monitoreo biológico del Subsistema de Áreas Marinas Protegidas (SAMP). Serie de Publicaciones Generales del </w:t>
      </w:r>
      <w:proofErr w:type="spellStart"/>
      <w:r w:rsidRPr="00BD1319">
        <w:rPr>
          <w:rFonts w:cs="Arial"/>
          <w:szCs w:val="20"/>
        </w:rPr>
        <w:t>Invemar</w:t>
      </w:r>
      <w:proofErr w:type="spellEnd"/>
      <w:r w:rsidRPr="00BD1319">
        <w:rPr>
          <w:rFonts w:cs="Arial"/>
          <w:szCs w:val="20"/>
        </w:rPr>
        <w:t xml:space="preserve"> No. 73. Santa Marta: </w:t>
      </w:r>
      <w:proofErr w:type="spellStart"/>
      <w:r w:rsidRPr="00BD1319">
        <w:rPr>
          <w:rFonts w:cs="Arial"/>
          <w:szCs w:val="20"/>
        </w:rPr>
        <w:t>Invemar</w:t>
      </w:r>
      <w:proofErr w:type="spellEnd"/>
      <w:r w:rsidRPr="00BD1319">
        <w:rPr>
          <w:rFonts w:cs="Arial"/>
          <w:szCs w:val="20"/>
        </w:rPr>
        <w:t>, GEF y PNUD, 2014. 36 p.</w:t>
      </w:r>
    </w:p>
    <w:p w14:paraId="37DC6AA2" w14:textId="77777777" w:rsidR="00961255" w:rsidRPr="00BD1319" w:rsidRDefault="00961255">
      <w:pPr>
        <w:tabs>
          <w:tab w:val="left" w:pos="-2268"/>
        </w:tabs>
        <w:suppressAutoHyphens/>
        <w:overflowPunct/>
        <w:autoSpaceDE/>
        <w:autoSpaceDN/>
        <w:adjustRightInd/>
        <w:textAlignment w:val="auto"/>
        <w:rPr>
          <w:rFonts w:eastAsia="Calibri"/>
        </w:rPr>
      </w:pPr>
    </w:p>
    <w:p w14:paraId="3FCE6F06" w14:textId="3851DEC8" w:rsidR="00961255" w:rsidRPr="00BD1319" w:rsidRDefault="00961255">
      <w:pPr>
        <w:tabs>
          <w:tab w:val="left" w:pos="-2268"/>
        </w:tabs>
        <w:suppressAutoHyphens/>
        <w:overflowPunct/>
        <w:autoSpaceDE/>
        <w:autoSpaceDN/>
        <w:adjustRightInd/>
        <w:textAlignment w:val="auto"/>
        <w:rPr>
          <w:rFonts w:eastAsia="Calibri"/>
          <w:lang w:val="en-US"/>
        </w:rPr>
      </w:pPr>
      <w:r w:rsidRPr="00BD1319">
        <w:rPr>
          <w:rFonts w:eastAsia="Calibri"/>
        </w:rPr>
        <w:t>NAVARRETE-RAMÍREZ, S. &amp; RODRÍGUEZ-RINCÓN, A. 2014. Protocolo Indicador Condición Tendencia Bosques de Manglar (ICT</w:t>
      </w:r>
      <w:r w:rsidRPr="00BD1319">
        <w:rPr>
          <w:rFonts w:eastAsia="Calibri"/>
          <w:vertAlign w:val="subscript"/>
        </w:rPr>
        <w:t>BM</w:t>
      </w:r>
      <w:r w:rsidRPr="00BD1319">
        <w:rPr>
          <w:rFonts w:eastAsia="Calibri"/>
        </w:rPr>
        <w:t xml:space="preserve">). Indicadores de monitoreo biológico del Subsistema de Áreas Marinas Protegidas (SAMP). Serie de Publicaciones Generales del </w:t>
      </w:r>
      <w:proofErr w:type="spellStart"/>
      <w:r w:rsidRPr="00BD1319">
        <w:rPr>
          <w:rFonts w:eastAsia="Calibri"/>
        </w:rPr>
        <w:t>Invemar</w:t>
      </w:r>
      <w:proofErr w:type="spellEnd"/>
      <w:r w:rsidRPr="00BD1319">
        <w:rPr>
          <w:rFonts w:eastAsia="Calibri"/>
        </w:rPr>
        <w:t xml:space="preserve"> No. 67. Santa Marta: </w:t>
      </w:r>
      <w:proofErr w:type="spellStart"/>
      <w:r w:rsidRPr="00BD1319">
        <w:rPr>
          <w:rFonts w:eastAsia="Calibri"/>
        </w:rPr>
        <w:t>Invemar</w:t>
      </w:r>
      <w:proofErr w:type="spellEnd"/>
      <w:r w:rsidRPr="00BD1319">
        <w:rPr>
          <w:rFonts w:eastAsia="Calibri"/>
        </w:rPr>
        <w:t xml:space="preserve">, GEF y PNUD, 2014. </w:t>
      </w:r>
      <w:r w:rsidRPr="00BD1319">
        <w:rPr>
          <w:rFonts w:eastAsia="Calibri"/>
          <w:lang w:val="en-US"/>
        </w:rPr>
        <w:t>40 p.</w:t>
      </w:r>
    </w:p>
    <w:p w14:paraId="776D128C" w14:textId="77777777" w:rsidR="00961255" w:rsidRPr="00BD1319" w:rsidRDefault="00961255">
      <w:pPr>
        <w:tabs>
          <w:tab w:val="left" w:pos="-2268"/>
        </w:tabs>
        <w:suppressAutoHyphens/>
        <w:overflowPunct/>
        <w:autoSpaceDE/>
        <w:autoSpaceDN/>
        <w:adjustRightInd/>
        <w:textAlignment w:val="auto"/>
        <w:rPr>
          <w:rFonts w:eastAsia="Calibri"/>
          <w:lang w:val="en-US"/>
        </w:rPr>
      </w:pPr>
    </w:p>
    <w:p w14:paraId="1917CFE2" w14:textId="29001FDE" w:rsidR="00E95EE3" w:rsidRPr="00BD1319" w:rsidRDefault="00EC6296" w:rsidP="00E95EE3">
      <w:pPr>
        <w:rPr>
          <w:rFonts w:eastAsia="Calibri"/>
          <w:lang w:val="en-US"/>
        </w:rPr>
      </w:pPr>
      <w:r w:rsidRPr="00BD1319">
        <w:rPr>
          <w:rFonts w:eastAsia="Calibri"/>
          <w:lang w:val="en-US"/>
        </w:rPr>
        <w:t>NEWMAN</w:t>
      </w:r>
      <w:r w:rsidR="00E95EE3" w:rsidRPr="00BD1319">
        <w:rPr>
          <w:rFonts w:eastAsia="Calibri"/>
          <w:lang w:val="en-US"/>
        </w:rPr>
        <w:t>, C. Guidance for hydrogeologic groundwater flow modeling at mine sites. Carson City: Nevada Division of Environmental Protection, 2018. 28 p.</w:t>
      </w:r>
    </w:p>
    <w:p w14:paraId="3C3D2FB3" w14:textId="77777777" w:rsidR="00E95EE3" w:rsidRPr="00BD1319" w:rsidRDefault="00E95EE3">
      <w:pPr>
        <w:tabs>
          <w:tab w:val="left" w:pos="-2268"/>
        </w:tabs>
        <w:suppressAutoHyphens/>
        <w:overflowPunct/>
        <w:autoSpaceDE/>
        <w:autoSpaceDN/>
        <w:adjustRightInd/>
        <w:textAlignment w:val="auto"/>
        <w:rPr>
          <w:rFonts w:eastAsia="Calibri"/>
          <w:lang w:val="en-US"/>
        </w:rPr>
      </w:pPr>
    </w:p>
    <w:p w14:paraId="3D84FFFB" w14:textId="05F2B50D" w:rsidR="00301575" w:rsidRPr="00BD1319" w:rsidRDefault="00301575">
      <w:pPr>
        <w:tabs>
          <w:tab w:val="left" w:pos="-2268"/>
        </w:tabs>
        <w:suppressAutoHyphens/>
        <w:overflowPunct/>
        <w:autoSpaceDE/>
        <w:autoSpaceDN/>
        <w:adjustRightInd/>
        <w:textAlignment w:val="auto"/>
        <w:rPr>
          <w:rFonts w:eastAsia="Calibri"/>
        </w:rPr>
      </w:pPr>
      <w:r w:rsidRPr="00BD1319">
        <w:rPr>
          <w:rFonts w:eastAsia="Calibri"/>
          <w:lang w:val="en-US"/>
        </w:rPr>
        <w:t xml:space="preserve">NIE, M. Drivers of natural resource-based political conflict. </w:t>
      </w:r>
      <w:proofErr w:type="spellStart"/>
      <w:r w:rsidRPr="00BD1319">
        <w:rPr>
          <w:rFonts w:eastAsia="Calibri"/>
          <w:lang w:val="es-MX"/>
        </w:rPr>
        <w:t>Policy</w:t>
      </w:r>
      <w:proofErr w:type="spellEnd"/>
      <w:r w:rsidRPr="00BD1319">
        <w:rPr>
          <w:rFonts w:eastAsia="Calibri"/>
          <w:lang w:val="es-MX"/>
        </w:rPr>
        <w:t xml:space="preserve"> </w:t>
      </w:r>
      <w:proofErr w:type="spellStart"/>
      <w:r w:rsidRPr="00BD1319">
        <w:rPr>
          <w:rFonts w:eastAsia="Calibri"/>
          <w:lang w:val="es-MX"/>
        </w:rPr>
        <w:t>Sciences</w:t>
      </w:r>
      <w:proofErr w:type="spellEnd"/>
      <w:r w:rsidRPr="00BD1319">
        <w:rPr>
          <w:rFonts w:eastAsia="Calibri"/>
          <w:lang w:val="es-MX"/>
        </w:rPr>
        <w:t xml:space="preserve">. </w:t>
      </w:r>
      <w:r w:rsidRPr="00BD1319">
        <w:rPr>
          <w:rFonts w:eastAsia="Calibri"/>
        </w:rPr>
        <w:t>360 (2003)</w:t>
      </w:r>
      <w:r w:rsidR="00334CD9" w:rsidRPr="00BD1319">
        <w:rPr>
          <w:rFonts w:eastAsia="Calibri"/>
        </w:rPr>
        <w:t>;</w:t>
      </w:r>
      <w:r w:rsidRPr="00BD1319">
        <w:rPr>
          <w:rFonts w:eastAsia="Calibri"/>
        </w:rPr>
        <w:t xml:space="preserve"> 307-341.</w:t>
      </w:r>
    </w:p>
    <w:p w14:paraId="160CE778" w14:textId="77777777" w:rsidR="00B85AAB" w:rsidRPr="00BD1319" w:rsidRDefault="00B85AAB">
      <w:pPr>
        <w:tabs>
          <w:tab w:val="left" w:pos="-2268"/>
        </w:tabs>
        <w:suppressAutoHyphens/>
        <w:overflowPunct/>
        <w:autoSpaceDE/>
        <w:autoSpaceDN/>
        <w:adjustRightInd/>
        <w:textAlignment w:val="auto"/>
        <w:rPr>
          <w:rFonts w:eastAsia="Calibri"/>
        </w:rPr>
      </w:pPr>
    </w:p>
    <w:p w14:paraId="32EF954F" w14:textId="0EC588E9" w:rsidR="00B85AAB" w:rsidRPr="00BD1319" w:rsidRDefault="00B85AAB" w:rsidP="00B85AAB">
      <w:pPr>
        <w:tabs>
          <w:tab w:val="left" w:pos="-2268"/>
        </w:tabs>
        <w:suppressAutoHyphens/>
        <w:overflowPunct/>
        <w:autoSpaceDE/>
        <w:autoSpaceDN/>
        <w:adjustRightInd/>
        <w:textAlignment w:val="auto"/>
        <w:rPr>
          <w:rFonts w:eastAsia="Calibri"/>
          <w:lang w:val="en-US"/>
        </w:rPr>
      </w:pPr>
      <w:r w:rsidRPr="00BD1319">
        <w:rPr>
          <w:rFonts w:eastAsia="Calibri"/>
        </w:rPr>
        <w:t xml:space="preserve">OLMOS, A. Conflictos ambientales asociados al aprovisionamiento y regulación hídrica, generados por la expansión de cultivos de palma africana. </w:t>
      </w:r>
      <w:r w:rsidRPr="00BD1319">
        <w:rPr>
          <w:rFonts w:eastAsia="Calibri"/>
          <w:lang w:val="en-US"/>
        </w:rPr>
        <w:t xml:space="preserve">Zona oriental </w:t>
      </w:r>
      <w:proofErr w:type="spellStart"/>
      <w:r w:rsidRPr="00BD1319">
        <w:rPr>
          <w:rFonts w:eastAsia="Calibri"/>
          <w:lang w:val="en-US"/>
        </w:rPr>
        <w:t>colombiana</w:t>
      </w:r>
      <w:proofErr w:type="spellEnd"/>
      <w:r w:rsidRPr="00BD1319">
        <w:rPr>
          <w:rFonts w:eastAsia="Calibri"/>
          <w:lang w:val="en-US"/>
        </w:rPr>
        <w:t>. Bogotá: Universidad Nacional de Colombia, 2014, 163 p.</w:t>
      </w:r>
    </w:p>
    <w:p w14:paraId="0068A7A7" w14:textId="77777777" w:rsidR="00B85AAB" w:rsidRPr="00BD1319" w:rsidRDefault="00B85AAB" w:rsidP="00B85AAB">
      <w:pPr>
        <w:tabs>
          <w:tab w:val="left" w:pos="-2268"/>
        </w:tabs>
        <w:suppressAutoHyphens/>
        <w:overflowPunct/>
        <w:autoSpaceDE/>
        <w:autoSpaceDN/>
        <w:adjustRightInd/>
        <w:textAlignment w:val="auto"/>
        <w:rPr>
          <w:rFonts w:eastAsia="Calibri"/>
          <w:lang w:val="en-US"/>
        </w:rPr>
      </w:pPr>
    </w:p>
    <w:p w14:paraId="2E2D647B" w14:textId="6D8621B4" w:rsidR="00E93E41" w:rsidRPr="00BD1319" w:rsidRDefault="00E93E41">
      <w:pPr>
        <w:tabs>
          <w:tab w:val="left" w:pos="-2268"/>
        </w:tabs>
        <w:suppressAutoHyphens/>
        <w:overflowPunct/>
        <w:autoSpaceDE/>
        <w:autoSpaceDN/>
        <w:adjustRightInd/>
        <w:textAlignment w:val="auto"/>
        <w:rPr>
          <w:spacing w:val="-3"/>
          <w:lang w:val="en-US"/>
        </w:rPr>
      </w:pPr>
      <w:r w:rsidRPr="00BD1319">
        <w:rPr>
          <w:rFonts w:eastAsia="Calibri"/>
          <w:lang w:val="en-US"/>
        </w:rPr>
        <w:t>ORGANIZATION FOR ECONOMIC CO-OPERATION AND DEVELOPMENT –OCDE. Biodiversity offsets: Effective design and implementation. Paris: OECD publishing, 2016.</w:t>
      </w:r>
    </w:p>
    <w:p w14:paraId="6B8C8A71" w14:textId="25698913" w:rsidR="00E93E41" w:rsidRPr="00BD1319" w:rsidRDefault="00E93E41">
      <w:pPr>
        <w:tabs>
          <w:tab w:val="left" w:pos="-2268"/>
        </w:tabs>
        <w:suppressAutoHyphens/>
        <w:rPr>
          <w:spacing w:val="-3"/>
          <w:lang w:val="en-US"/>
        </w:rPr>
      </w:pPr>
    </w:p>
    <w:p w14:paraId="7DCAD971" w14:textId="09A94626" w:rsidR="00BD3419" w:rsidRPr="00BD1319" w:rsidRDefault="00BD3419" w:rsidP="00BD3419">
      <w:pPr>
        <w:tabs>
          <w:tab w:val="left" w:pos="-2268"/>
        </w:tabs>
        <w:suppressAutoHyphens/>
        <w:overflowPunct/>
        <w:autoSpaceDE/>
        <w:autoSpaceDN/>
        <w:adjustRightInd/>
        <w:textAlignment w:val="auto"/>
        <w:rPr>
          <w:spacing w:val="-3"/>
        </w:rPr>
      </w:pPr>
      <w:r w:rsidRPr="00BD1319">
        <w:rPr>
          <w:rFonts w:eastAsia="Calibri"/>
          <w:lang w:val="en-US"/>
        </w:rPr>
        <w:t xml:space="preserve">ORGANIZATION FOR ECONOMIC CO-OPERATION AND DEVELOPMENT –OCDE. Handbook on constructing composite indicators: Methodology and user guide. </w:t>
      </w:r>
      <w:r w:rsidRPr="00BD1319">
        <w:rPr>
          <w:rFonts w:eastAsia="Calibri"/>
        </w:rPr>
        <w:t xml:space="preserve">OECD </w:t>
      </w:r>
      <w:proofErr w:type="spellStart"/>
      <w:r w:rsidRPr="00BD1319">
        <w:rPr>
          <w:rFonts w:eastAsia="Calibri"/>
        </w:rPr>
        <w:t>publishing</w:t>
      </w:r>
      <w:proofErr w:type="spellEnd"/>
      <w:r w:rsidRPr="00BD1319">
        <w:rPr>
          <w:rFonts w:eastAsia="Calibri"/>
        </w:rPr>
        <w:t>, 2008.</w:t>
      </w:r>
    </w:p>
    <w:p w14:paraId="4BEA7D04" w14:textId="77777777" w:rsidR="00BD3419" w:rsidRPr="00BD1319" w:rsidRDefault="00BD3419">
      <w:pPr>
        <w:tabs>
          <w:tab w:val="left" w:pos="-2268"/>
        </w:tabs>
        <w:suppressAutoHyphens/>
        <w:rPr>
          <w:spacing w:val="-3"/>
        </w:rPr>
      </w:pPr>
    </w:p>
    <w:p w14:paraId="4D006CB7" w14:textId="0F5A206D" w:rsidR="008348CE" w:rsidRPr="00BD1319" w:rsidRDefault="008348CE" w:rsidP="008348CE">
      <w:pPr>
        <w:tabs>
          <w:tab w:val="left" w:pos="-2268"/>
        </w:tabs>
        <w:suppressAutoHyphens/>
        <w:rPr>
          <w:spacing w:val="-3"/>
          <w:lang w:val="en-US"/>
        </w:rPr>
      </w:pPr>
      <w:r w:rsidRPr="00BD1319">
        <w:rPr>
          <w:spacing w:val="-3"/>
        </w:rPr>
        <w:lastRenderedPageBreak/>
        <w:t xml:space="preserve">PHILLIPS, J., DUQUE, A., YEPES, A., CABRERA, K., GARCÍA, M., NAVARRETE, D., ÁLVAREZ, E., CÁRDENAS, D. Estimación de las reservas actuales (2010) de carbono almacenadas en la biomasa aérea en bosques naturales de Colombia. Estratificación, alometría y métodos </w:t>
      </w:r>
      <w:r w:rsidR="005B5E15" w:rsidRPr="00BD1319">
        <w:rPr>
          <w:spacing w:val="-3"/>
        </w:rPr>
        <w:t>analíticos</w:t>
      </w:r>
      <w:r w:rsidRPr="00BD1319">
        <w:rPr>
          <w:spacing w:val="-3"/>
        </w:rPr>
        <w:t xml:space="preserve">. </w:t>
      </w:r>
      <w:r w:rsidR="005B5E15" w:rsidRPr="00BD1319">
        <w:rPr>
          <w:spacing w:val="-3"/>
        </w:rPr>
        <w:t xml:space="preserve">Bogotá D. C.: </w:t>
      </w:r>
      <w:r w:rsidRPr="00BD1319">
        <w:rPr>
          <w:spacing w:val="-3"/>
        </w:rPr>
        <w:t xml:space="preserve">Instituto de Hidrología, Meteorología y Estudios Ambientales </w:t>
      </w:r>
      <w:r w:rsidR="005B5E15" w:rsidRPr="00BD1319">
        <w:rPr>
          <w:spacing w:val="-3"/>
        </w:rPr>
        <w:t>-</w:t>
      </w:r>
      <w:proofErr w:type="spellStart"/>
      <w:r w:rsidR="005B5E15" w:rsidRPr="00BD1319">
        <w:rPr>
          <w:spacing w:val="-3"/>
        </w:rPr>
        <w:t>Ideam</w:t>
      </w:r>
      <w:proofErr w:type="spellEnd"/>
      <w:r w:rsidR="005B5E15" w:rsidRPr="00BD1319">
        <w:rPr>
          <w:spacing w:val="-3"/>
        </w:rPr>
        <w:t>, 2011</w:t>
      </w:r>
      <w:r w:rsidRPr="00BD1319">
        <w:rPr>
          <w:spacing w:val="-3"/>
        </w:rPr>
        <w:t xml:space="preserve">. </w:t>
      </w:r>
      <w:r w:rsidRPr="00BD1319">
        <w:rPr>
          <w:spacing w:val="-3"/>
          <w:lang w:val="en-US"/>
        </w:rPr>
        <w:t xml:space="preserve">68 </w:t>
      </w:r>
      <w:proofErr w:type="gramStart"/>
      <w:r w:rsidRPr="00BD1319">
        <w:rPr>
          <w:spacing w:val="-3"/>
          <w:lang w:val="en-US"/>
        </w:rPr>
        <w:t>p.</w:t>
      </w:r>
      <w:proofErr w:type="gramEnd"/>
    </w:p>
    <w:p w14:paraId="0346B99C" w14:textId="77777777" w:rsidR="008348CE" w:rsidRPr="00BD1319" w:rsidRDefault="008348CE" w:rsidP="008348CE">
      <w:pPr>
        <w:tabs>
          <w:tab w:val="left" w:pos="-2268"/>
        </w:tabs>
        <w:suppressAutoHyphens/>
        <w:rPr>
          <w:spacing w:val="-3"/>
          <w:lang w:val="en-US"/>
        </w:rPr>
      </w:pPr>
    </w:p>
    <w:p w14:paraId="5CBC7199" w14:textId="4DB653B4" w:rsidR="001B00C8" w:rsidRPr="00BD1319" w:rsidRDefault="001B00C8">
      <w:pPr>
        <w:tabs>
          <w:tab w:val="left" w:pos="-2268"/>
        </w:tabs>
        <w:suppressAutoHyphens/>
        <w:rPr>
          <w:spacing w:val="-3"/>
        </w:rPr>
      </w:pPr>
      <w:r w:rsidRPr="00BD1319">
        <w:rPr>
          <w:spacing w:val="-3"/>
          <w:lang w:val="en-US"/>
        </w:rPr>
        <w:t xml:space="preserve">POFF, L., THARME, R., &amp; ARTHINGTON, A. Evolution of Environmental Flows Assessment Science, Principles and Methodologies. </w:t>
      </w:r>
      <w:r w:rsidR="007935B8" w:rsidRPr="00BD1319">
        <w:rPr>
          <w:spacing w:val="-3"/>
          <w:lang w:val="en-US"/>
        </w:rPr>
        <w:t>En:</w:t>
      </w:r>
      <w:r w:rsidRPr="00BD1319">
        <w:rPr>
          <w:spacing w:val="-3"/>
          <w:lang w:val="en-US"/>
        </w:rPr>
        <w:t xml:space="preserve"> A. Horne, A. Webb, M. </w:t>
      </w:r>
      <w:proofErr w:type="spellStart"/>
      <w:r w:rsidRPr="00BD1319">
        <w:rPr>
          <w:spacing w:val="-3"/>
          <w:lang w:val="en-US"/>
        </w:rPr>
        <w:t>Stewwardson</w:t>
      </w:r>
      <w:proofErr w:type="spellEnd"/>
      <w:r w:rsidRPr="00BD1319">
        <w:rPr>
          <w:spacing w:val="-3"/>
          <w:lang w:val="en-US"/>
        </w:rPr>
        <w:t xml:space="preserve">, B. Richter, &amp; M. Acreman (Eds.), Water for the Environment: From Policy and Science to Implementation and Management. </w:t>
      </w:r>
      <w:proofErr w:type="spellStart"/>
      <w:r w:rsidRPr="00BD1319">
        <w:rPr>
          <w:spacing w:val="-3"/>
        </w:rPr>
        <w:t>Netherlands</w:t>
      </w:r>
      <w:proofErr w:type="spellEnd"/>
      <w:r w:rsidRPr="00BD1319">
        <w:rPr>
          <w:spacing w:val="-3"/>
        </w:rPr>
        <w:t>: Elsevier, 2017. p. 203-228.</w:t>
      </w:r>
    </w:p>
    <w:p w14:paraId="0469EC06" w14:textId="77777777" w:rsidR="001B00C8" w:rsidRPr="00BD1319" w:rsidRDefault="001B00C8">
      <w:pPr>
        <w:tabs>
          <w:tab w:val="left" w:pos="-2268"/>
        </w:tabs>
        <w:suppressAutoHyphens/>
        <w:rPr>
          <w:spacing w:val="-3"/>
        </w:rPr>
      </w:pPr>
    </w:p>
    <w:p w14:paraId="1E7482AD" w14:textId="77777777" w:rsidR="00E93E41" w:rsidRPr="00BD1319" w:rsidRDefault="00E93E41">
      <w:pPr>
        <w:tabs>
          <w:tab w:val="left" w:pos="-2268"/>
        </w:tabs>
        <w:suppressAutoHyphens/>
        <w:rPr>
          <w:spacing w:val="-3"/>
        </w:rPr>
      </w:pPr>
      <w:r w:rsidRPr="00BD1319">
        <w:rPr>
          <w:spacing w:val="-3"/>
        </w:rPr>
        <w:t xml:space="preserve">PRADA, M., UNGER, B, GÓMEZ, J. Transformación de conflictos mediante el diálogo. Herramientas para practicantes. Bogotá D. C.: Deutsche </w:t>
      </w:r>
      <w:proofErr w:type="spellStart"/>
      <w:r w:rsidRPr="00BD1319">
        <w:rPr>
          <w:spacing w:val="-3"/>
        </w:rPr>
        <w:t>Gesellschaft</w:t>
      </w:r>
      <w:proofErr w:type="spellEnd"/>
      <w:r w:rsidRPr="00BD1319">
        <w:rPr>
          <w:spacing w:val="-3"/>
        </w:rPr>
        <w:t xml:space="preserve"> </w:t>
      </w:r>
      <w:proofErr w:type="spellStart"/>
      <w:r w:rsidRPr="00BD1319">
        <w:rPr>
          <w:spacing w:val="-3"/>
        </w:rPr>
        <w:t>für</w:t>
      </w:r>
      <w:proofErr w:type="spellEnd"/>
      <w:r w:rsidRPr="00BD1319">
        <w:rPr>
          <w:spacing w:val="-3"/>
        </w:rPr>
        <w:t xml:space="preserve"> </w:t>
      </w:r>
      <w:proofErr w:type="spellStart"/>
      <w:r w:rsidRPr="00BD1319">
        <w:rPr>
          <w:spacing w:val="-3"/>
        </w:rPr>
        <w:t>Internationale</w:t>
      </w:r>
      <w:proofErr w:type="spellEnd"/>
      <w:r w:rsidRPr="00BD1319">
        <w:rPr>
          <w:spacing w:val="-3"/>
        </w:rPr>
        <w:t xml:space="preserve"> </w:t>
      </w:r>
      <w:proofErr w:type="spellStart"/>
      <w:r w:rsidRPr="00BD1319">
        <w:rPr>
          <w:spacing w:val="-3"/>
        </w:rPr>
        <w:t>Zusammenarbeit</w:t>
      </w:r>
      <w:proofErr w:type="spellEnd"/>
      <w:r w:rsidRPr="00BD1319">
        <w:rPr>
          <w:spacing w:val="-3"/>
        </w:rPr>
        <w:t xml:space="preserve"> –GIZ </w:t>
      </w:r>
      <w:proofErr w:type="spellStart"/>
      <w:r w:rsidRPr="00BD1319">
        <w:rPr>
          <w:spacing w:val="-3"/>
        </w:rPr>
        <w:t>GmbH</w:t>
      </w:r>
      <w:proofErr w:type="spellEnd"/>
      <w:r w:rsidRPr="00BD1319">
        <w:rPr>
          <w:spacing w:val="-3"/>
        </w:rPr>
        <w:t>, 2014. 159 p.</w:t>
      </w:r>
    </w:p>
    <w:p w14:paraId="341F00D8" w14:textId="77777777" w:rsidR="00E93E41" w:rsidRPr="00BD1319" w:rsidRDefault="00E93E41">
      <w:pPr>
        <w:tabs>
          <w:tab w:val="left" w:pos="-2268"/>
        </w:tabs>
        <w:suppressAutoHyphens/>
        <w:rPr>
          <w:spacing w:val="-3"/>
        </w:rPr>
      </w:pPr>
    </w:p>
    <w:p w14:paraId="72CE7E42" w14:textId="20CFC460" w:rsidR="003E17A1" w:rsidRPr="00BD1319" w:rsidRDefault="003E17A1" w:rsidP="003E17A1">
      <w:pPr>
        <w:tabs>
          <w:tab w:val="left" w:pos="-2268"/>
        </w:tabs>
        <w:suppressAutoHyphens/>
        <w:rPr>
          <w:spacing w:val="-3"/>
        </w:rPr>
      </w:pPr>
      <w:r w:rsidRPr="00BD1319">
        <w:rPr>
          <w:spacing w:val="-3"/>
        </w:rPr>
        <w:t>QUIROGA, R. Guía metodológica para desarrollar indicadores ambientales y de desarrollo sostenible en países de América Latina y el Caribe. Serie Manuales 61. Santiago de Chile: Naciones Unidas - CEPAL, 2009. 129 p.</w:t>
      </w:r>
    </w:p>
    <w:p w14:paraId="0091C81D" w14:textId="77777777" w:rsidR="003E17A1" w:rsidRPr="00BD1319" w:rsidRDefault="003E17A1">
      <w:pPr>
        <w:tabs>
          <w:tab w:val="left" w:pos="-2268"/>
        </w:tabs>
        <w:suppressAutoHyphens/>
        <w:rPr>
          <w:spacing w:val="-3"/>
        </w:rPr>
      </w:pPr>
    </w:p>
    <w:p w14:paraId="76C5EA78" w14:textId="77777777" w:rsidR="00E93E41" w:rsidRPr="00BD1319" w:rsidRDefault="00E93E41">
      <w:pPr>
        <w:tabs>
          <w:tab w:val="left" w:pos="-2268"/>
        </w:tabs>
        <w:suppressAutoHyphens/>
        <w:rPr>
          <w:spacing w:val="-3"/>
        </w:rPr>
      </w:pPr>
      <w:r w:rsidRPr="00BD1319">
        <w:rPr>
          <w:spacing w:val="-3"/>
        </w:rPr>
        <w:t xml:space="preserve">RAMÍREZ, A. &amp; VIÑA, G. Limnología colombiana. Bogotá: BP </w:t>
      </w:r>
      <w:proofErr w:type="spellStart"/>
      <w:r w:rsidRPr="00BD1319">
        <w:rPr>
          <w:spacing w:val="-3"/>
        </w:rPr>
        <w:t>Exploration</w:t>
      </w:r>
      <w:proofErr w:type="spellEnd"/>
      <w:r w:rsidRPr="00BD1319">
        <w:rPr>
          <w:spacing w:val="-3"/>
        </w:rPr>
        <w:t xml:space="preserve"> Colombia y Universidad Jorge Tadeo Lozano, 1998. 293p.</w:t>
      </w:r>
    </w:p>
    <w:p w14:paraId="7D08DD6C" w14:textId="77777777" w:rsidR="00E93E41" w:rsidRPr="00BD1319" w:rsidRDefault="00E93E41">
      <w:pPr>
        <w:tabs>
          <w:tab w:val="left" w:pos="-2268"/>
        </w:tabs>
        <w:suppressAutoHyphens/>
        <w:rPr>
          <w:spacing w:val="-3"/>
        </w:rPr>
      </w:pPr>
    </w:p>
    <w:p w14:paraId="21C0E7F5" w14:textId="77777777" w:rsidR="00E93E41" w:rsidRPr="00BD1319" w:rsidRDefault="00E93E41">
      <w:pPr>
        <w:tabs>
          <w:tab w:val="left" w:pos="-2268"/>
        </w:tabs>
        <w:suppressAutoHyphens/>
        <w:rPr>
          <w:spacing w:val="-3"/>
        </w:rPr>
      </w:pPr>
      <w:r w:rsidRPr="00BD1319">
        <w:rPr>
          <w:spacing w:val="-3"/>
        </w:rPr>
        <w:t>RANGEL, J. &amp; VELÁZQUEZ, A. Métodos de estudio de la vegetación. En: RANGEL, J., LOWY, P. &amp; AGUILAR, M. (Eds.). Colombia. Diversidad Biótica II. Bogotá: Universidad Nacional de Colombia. (1997); p. 59-87.</w:t>
      </w:r>
    </w:p>
    <w:p w14:paraId="54877FAE" w14:textId="7591868F" w:rsidR="00E93E41" w:rsidRPr="00BD1319" w:rsidRDefault="00E93E41">
      <w:pPr>
        <w:tabs>
          <w:tab w:val="left" w:pos="-2268"/>
        </w:tabs>
        <w:suppressAutoHyphens/>
        <w:rPr>
          <w:spacing w:val="-3"/>
        </w:rPr>
      </w:pPr>
    </w:p>
    <w:p w14:paraId="6AE424FE" w14:textId="39D1C4FF" w:rsidR="00E220CB" w:rsidRPr="00BD1319" w:rsidRDefault="00E220CB">
      <w:pPr>
        <w:tabs>
          <w:tab w:val="left" w:pos="-2268"/>
        </w:tabs>
        <w:suppressAutoHyphens/>
        <w:rPr>
          <w:spacing w:val="-3"/>
          <w:lang w:val="en-US"/>
        </w:rPr>
      </w:pPr>
      <w:r w:rsidRPr="00BD1319">
        <w:rPr>
          <w:spacing w:val="-3"/>
        </w:rPr>
        <w:t xml:space="preserve">RENJIFO, L., FRANCO-MAYA, A., AMAYA-ESPINEL, J., KATTAN, G. Y LÓPEZ-LANÚS, B. (Eds.). Libro rojo de aves de Colombia. Serie Libros Rojos de Especies Amenazadas de Colombia. Bogotá: Instituto de Investigación de Recursos Biológicos Alexander </w:t>
      </w:r>
      <w:proofErr w:type="spellStart"/>
      <w:r w:rsidRPr="00BD1319">
        <w:rPr>
          <w:spacing w:val="-3"/>
        </w:rPr>
        <w:t>von</w:t>
      </w:r>
      <w:proofErr w:type="spellEnd"/>
      <w:r w:rsidRPr="00BD1319">
        <w:rPr>
          <w:spacing w:val="-3"/>
        </w:rPr>
        <w:t xml:space="preserve"> Humboldt y Ministerio del Medio Ambiente, 2002. </w:t>
      </w:r>
      <w:r w:rsidRPr="00BD1319">
        <w:rPr>
          <w:spacing w:val="-3"/>
          <w:lang w:val="en-US"/>
        </w:rPr>
        <w:t>562 p.</w:t>
      </w:r>
    </w:p>
    <w:p w14:paraId="49C8A7A4" w14:textId="13525E06" w:rsidR="00E220CB" w:rsidRPr="00BD1319" w:rsidRDefault="00E220CB">
      <w:pPr>
        <w:tabs>
          <w:tab w:val="left" w:pos="-2268"/>
        </w:tabs>
        <w:suppressAutoHyphens/>
        <w:rPr>
          <w:spacing w:val="-3"/>
          <w:lang w:val="en-US"/>
        </w:rPr>
      </w:pPr>
    </w:p>
    <w:p w14:paraId="69437F83" w14:textId="122F4FA2" w:rsidR="00B26AA9" w:rsidRPr="00BD1319" w:rsidRDefault="00B26AA9" w:rsidP="00B26AA9">
      <w:pPr>
        <w:tabs>
          <w:tab w:val="left" w:pos="-2268"/>
        </w:tabs>
        <w:suppressAutoHyphens/>
        <w:rPr>
          <w:spacing w:val="-3"/>
        </w:rPr>
      </w:pPr>
      <w:r w:rsidRPr="00BD1319">
        <w:rPr>
          <w:spacing w:val="-3"/>
          <w:lang w:val="en-US"/>
        </w:rPr>
        <w:t xml:space="preserve">RICHTER, B., BAUMGARTNER, J., POWELL, J., BRAUN, D. A Method for Assessing Hydrologic Alteration within Ecosystems. </w:t>
      </w:r>
      <w:proofErr w:type="spellStart"/>
      <w:r w:rsidRPr="00BD1319">
        <w:rPr>
          <w:spacing w:val="-3"/>
        </w:rPr>
        <w:t>Conservation</w:t>
      </w:r>
      <w:proofErr w:type="spellEnd"/>
      <w:r w:rsidRPr="00BD1319">
        <w:rPr>
          <w:spacing w:val="-3"/>
        </w:rPr>
        <w:t xml:space="preserve"> </w:t>
      </w:r>
      <w:proofErr w:type="spellStart"/>
      <w:r w:rsidRPr="00BD1319">
        <w:rPr>
          <w:spacing w:val="-3"/>
        </w:rPr>
        <w:t>Biology</w:t>
      </w:r>
      <w:proofErr w:type="spellEnd"/>
      <w:r w:rsidRPr="00BD1319">
        <w:rPr>
          <w:spacing w:val="-3"/>
        </w:rPr>
        <w:t>. 10, 4 (1996); 1163 – 1174.</w:t>
      </w:r>
    </w:p>
    <w:p w14:paraId="2690677A" w14:textId="77777777" w:rsidR="00B26AA9" w:rsidRPr="00BD1319" w:rsidRDefault="00B26AA9">
      <w:pPr>
        <w:tabs>
          <w:tab w:val="left" w:pos="-2268"/>
        </w:tabs>
        <w:suppressAutoHyphens/>
        <w:rPr>
          <w:spacing w:val="-3"/>
        </w:rPr>
      </w:pPr>
    </w:p>
    <w:p w14:paraId="3A1B726D" w14:textId="77777777" w:rsidR="00E93E41" w:rsidRPr="00BD1319" w:rsidRDefault="00E93E41" w:rsidP="009420F5">
      <w:pPr>
        <w:tabs>
          <w:tab w:val="left" w:pos="-2268"/>
        </w:tabs>
        <w:suppressAutoHyphens/>
        <w:rPr>
          <w:spacing w:val="-3"/>
        </w:rPr>
      </w:pPr>
      <w:r w:rsidRPr="00BD1319">
        <w:rPr>
          <w:spacing w:val="-3"/>
        </w:rPr>
        <w:t>RINCÓN-RUIZ, A., ARIAS-ARÉVALO, P., CLAVIJO-ROMERO, M. (</w:t>
      </w:r>
      <w:proofErr w:type="spellStart"/>
      <w:r w:rsidRPr="00BD1319">
        <w:rPr>
          <w:spacing w:val="-3"/>
        </w:rPr>
        <w:t>Eds</w:t>
      </w:r>
      <w:proofErr w:type="spellEnd"/>
      <w:r w:rsidRPr="00BD1319">
        <w:rPr>
          <w:spacing w:val="-3"/>
        </w:rPr>
        <w:t>). Hacia una valoración incluyente y plural de la biodiversidad y los servicios ecosistémicos: visiones, avances y retos en América Latina. Bogotá: Centro Editorial – Facultad de Ciencias Económicas, Universidad Nacional de Colombia, 2021. 359 p.</w:t>
      </w:r>
    </w:p>
    <w:p w14:paraId="43E3F6CE" w14:textId="77777777" w:rsidR="00E93E41" w:rsidRPr="00BD1319" w:rsidRDefault="00E93E41" w:rsidP="000037C3">
      <w:pPr>
        <w:tabs>
          <w:tab w:val="left" w:pos="-2268"/>
        </w:tabs>
        <w:suppressAutoHyphens/>
        <w:rPr>
          <w:rFonts w:cs="Arial"/>
          <w:spacing w:val="-3"/>
        </w:rPr>
      </w:pPr>
    </w:p>
    <w:p w14:paraId="4A018DC9" w14:textId="77777777" w:rsidR="00E93E41" w:rsidRPr="00BD1319" w:rsidRDefault="00E93E41" w:rsidP="000037C3">
      <w:pPr>
        <w:tabs>
          <w:tab w:val="left" w:pos="-2268"/>
        </w:tabs>
        <w:suppressAutoHyphens/>
        <w:rPr>
          <w:rFonts w:cs="Arial"/>
          <w:spacing w:val="-3"/>
        </w:rPr>
      </w:pPr>
      <w:r w:rsidRPr="00BD1319">
        <w:rPr>
          <w:rFonts w:cs="Arial"/>
          <w:spacing w:val="-3"/>
        </w:rPr>
        <w:t xml:space="preserve">RINCÓN-RUÍZ, A., ECHEVERRY-DUQUE, M., PIÑEROS, A. M., TAPIA, C. H., DAVID, A., ARIAS-ARÉVALO, P. Y ZULUAGA, P. A. Valoración integral de la biodiversidad y los servicios ecosistémicos: Aspectos conceptuales y metodológicos. Bogotá, D. C.: Instituto de Investigación de Recursos Biológicos Alexander </w:t>
      </w:r>
      <w:proofErr w:type="spellStart"/>
      <w:r w:rsidRPr="00BD1319">
        <w:rPr>
          <w:rFonts w:cs="Arial"/>
          <w:spacing w:val="-3"/>
        </w:rPr>
        <w:t>von</w:t>
      </w:r>
      <w:proofErr w:type="spellEnd"/>
      <w:r w:rsidRPr="00BD1319">
        <w:rPr>
          <w:rFonts w:cs="Arial"/>
          <w:spacing w:val="-3"/>
        </w:rPr>
        <w:t xml:space="preserve"> Humboldt –</w:t>
      </w:r>
      <w:proofErr w:type="spellStart"/>
      <w:r w:rsidRPr="00BD1319">
        <w:rPr>
          <w:rFonts w:cs="Arial"/>
          <w:spacing w:val="-3"/>
        </w:rPr>
        <w:t>IAvH</w:t>
      </w:r>
      <w:proofErr w:type="spellEnd"/>
      <w:r w:rsidRPr="00BD1319">
        <w:rPr>
          <w:rFonts w:cs="Arial"/>
          <w:spacing w:val="-3"/>
        </w:rPr>
        <w:t>, 2014. 151 p.</w:t>
      </w:r>
    </w:p>
    <w:p w14:paraId="4857CEBA" w14:textId="77777777" w:rsidR="00E93E41" w:rsidRPr="00BD1319" w:rsidRDefault="00E93E41" w:rsidP="000037C3">
      <w:pPr>
        <w:tabs>
          <w:tab w:val="left" w:pos="-2268"/>
        </w:tabs>
        <w:suppressAutoHyphens/>
        <w:rPr>
          <w:rFonts w:cs="Arial"/>
        </w:rPr>
      </w:pPr>
    </w:p>
    <w:p w14:paraId="5EBB3029" w14:textId="1DE0EEDF" w:rsidR="00E220CB" w:rsidRPr="00BD1319" w:rsidRDefault="00E220CB" w:rsidP="000037C3">
      <w:pPr>
        <w:tabs>
          <w:tab w:val="left" w:pos="-2268"/>
        </w:tabs>
        <w:suppressAutoHyphens/>
        <w:rPr>
          <w:rFonts w:cs="Arial"/>
          <w:lang w:val="en-US"/>
        </w:rPr>
      </w:pPr>
      <w:r w:rsidRPr="00BD1319">
        <w:rPr>
          <w:rFonts w:cs="Arial"/>
        </w:rPr>
        <w:t xml:space="preserve">RODRÍGUEZ-M., J., ALBERICO, M., TRUJILLO, F. &amp; JORGENSON, J. (Eds.). Libro Rojo de los Mamíferos de Colombia. Serie Libros Rojos de Especies Amenazadas de Colombia. Bogotá: Conservación Internacional Colombia, Instituto de Ciencias Naturales – Universidad Nacional de Colombia, Ministerio del Medio Ambiente. </w:t>
      </w:r>
      <w:r w:rsidRPr="00BD1319">
        <w:rPr>
          <w:rFonts w:cs="Arial"/>
          <w:lang w:val="en-US"/>
        </w:rPr>
        <w:t>2006. 384 p.</w:t>
      </w:r>
    </w:p>
    <w:p w14:paraId="25E41734" w14:textId="77777777" w:rsidR="00E220CB" w:rsidRPr="00BD1319" w:rsidRDefault="00E220CB" w:rsidP="000037C3">
      <w:pPr>
        <w:tabs>
          <w:tab w:val="left" w:pos="-2268"/>
        </w:tabs>
        <w:suppressAutoHyphens/>
        <w:rPr>
          <w:rFonts w:cs="Arial"/>
          <w:lang w:val="en-US"/>
        </w:rPr>
      </w:pPr>
    </w:p>
    <w:p w14:paraId="557A8C2E" w14:textId="14E7BC7F" w:rsidR="00FF59DE" w:rsidRPr="006B11C6" w:rsidRDefault="00FF59DE" w:rsidP="00FF59DE">
      <w:pPr>
        <w:rPr>
          <w:spacing w:val="-3"/>
        </w:rPr>
      </w:pPr>
      <w:r w:rsidRPr="00BD1319">
        <w:rPr>
          <w:spacing w:val="-3"/>
          <w:lang w:val="en-US"/>
        </w:rPr>
        <w:t xml:space="preserve">RODRÍGUEZ, J., BEARD, T., BENNETT, E., CUMMING, G., CORK, S., AGARD, J., DOBSON, A., &amp; PETERSON, G. Trade-offs across space, time, and ecosystem services. Ecology and Society: A Journal of Integrative Science for Resilience and Sustainability. </w:t>
      </w:r>
      <w:r w:rsidRPr="006B11C6">
        <w:rPr>
          <w:spacing w:val="-3"/>
        </w:rPr>
        <w:t>11, 1 (2006). https://doi.org/10.5751/es-01667-110128</w:t>
      </w:r>
    </w:p>
    <w:p w14:paraId="49973B03" w14:textId="77777777" w:rsidR="00FF59DE" w:rsidRPr="006B11C6" w:rsidRDefault="00FF59DE" w:rsidP="00CE285C">
      <w:pPr>
        <w:tabs>
          <w:tab w:val="left" w:pos="-2268"/>
        </w:tabs>
        <w:suppressAutoHyphens/>
        <w:rPr>
          <w:spacing w:val="-3"/>
        </w:rPr>
      </w:pPr>
    </w:p>
    <w:p w14:paraId="718B039C" w14:textId="0180E9D5" w:rsidR="00CE285C" w:rsidRPr="00BD1319" w:rsidRDefault="00CE285C" w:rsidP="00CE285C">
      <w:pPr>
        <w:tabs>
          <w:tab w:val="left" w:pos="-2268"/>
        </w:tabs>
        <w:suppressAutoHyphens/>
        <w:rPr>
          <w:spacing w:val="-3"/>
          <w:lang w:val="en-US"/>
        </w:rPr>
      </w:pPr>
      <w:r w:rsidRPr="006B11C6">
        <w:rPr>
          <w:spacing w:val="-3"/>
        </w:rPr>
        <w:t>RODRÍGUEZ-RINCÓN, A., NAVARRETE-RAMÍREZ, S., GÓMEZ-LÓPEZ, D. &amp; NAVAS-CAMACHO, R. Protocolo Indicador Condición Tendencia Áreas Coralinas (ICT</w:t>
      </w:r>
      <w:r w:rsidRPr="006B11C6">
        <w:rPr>
          <w:spacing w:val="-3"/>
          <w:vertAlign w:val="subscript"/>
        </w:rPr>
        <w:t>AC</w:t>
      </w:r>
      <w:r w:rsidRPr="006B11C6">
        <w:rPr>
          <w:spacing w:val="-3"/>
        </w:rPr>
        <w:t xml:space="preserve">). </w:t>
      </w:r>
      <w:r w:rsidRPr="005A685F">
        <w:rPr>
          <w:spacing w:val="-3"/>
          <w:lang w:val="pt-PT"/>
        </w:rPr>
        <w:t xml:space="preserve">Indicadores de monitoreo biológico del Subsistema de Áreas Marinas Protegidas (SAMP). </w:t>
      </w:r>
      <w:r w:rsidRPr="00BD1319">
        <w:rPr>
          <w:spacing w:val="-3"/>
        </w:rPr>
        <w:t xml:space="preserve">Serie de publicaciones generales del </w:t>
      </w:r>
      <w:proofErr w:type="spellStart"/>
      <w:r w:rsidRPr="00BD1319">
        <w:rPr>
          <w:spacing w:val="-3"/>
        </w:rPr>
        <w:t>Invemar</w:t>
      </w:r>
      <w:proofErr w:type="spellEnd"/>
      <w:r w:rsidRPr="00BD1319">
        <w:rPr>
          <w:spacing w:val="-3"/>
        </w:rPr>
        <w:t xml:space="preserve"> No. 66. Santa Marta: </w:t>
      </w:r>
      <w:proofErr w:type="spellStart"/>
      <w:r w:rsidRPr="00BD1319">
        <w:rPr>
          <w:spacing w:val="-3"/>
        </w:rPr>
        <w:t>Invemar</w:t>
      </w:r>
      <w:proofErr w:type="spellEnd"/>
      <w:r w:rsidRPr="00BD1319">
        <w:rPr>
          <w:spacing w:val="-3"/>
        </w:rPr>
        <w:t xml:space="preserve">, GEF y PNUD, 2014. </w:t>
      </w:r>
      <w:r w:rsidRPr="00BD1319">
        <w:rPr>
          <w:spacing w:val="-3"/>
          <w:lang w:val="en-US"/>
        </w:rPr>
        <w:t>52 p.</w:t>
      </w:r>
    </w:p>
    <w:p w14:paraId="51F986A5" w14:textId="77777777" w:rsidR="00CE285C" w:rsidRPr="00BD1319" w:rsidRDefault="00CE285C">
      <w:pPr>
        <w:tabs>
          <w:tab w:val="left" w:pos="-2268"/>
        </w:tabs>
        <w:suppressAutoHyphens/>
        <w:rPr>
          <w:spacing w:val="-3"/>
          <w:lang w:val="en-US"/>
        </w:rPr>
      </w:pPr>
    </w:p>
    <w:p w14:paraId="4E29D3BF" w14:textId="77777777" w:rsidR="00E93E41" w:rsidRPr="00BD1319" w:rsidRDefault="00E93E41">
      <w:pPr>
        <w:tabs>
          <w:tab w:val="left" w:pos="-2268"/>
        </w:tabs>
        <w:suppressAutoHyphens/>
        <w:rPr>
          <w:spacing w:val="-3"/>
        </w:rPr>
      </w:pPr>
      <w:r w:rsidRPr="00BD1319">
        <w:rPr>
          <w:spacing w:val="-3"/>
          <w:lang w:val="en-US"/>
        </w:rPr>
        <w:t xml:space="preserve">ROWSE, E., LEWANZIK, D., STONE E., HARRIS S., JONES, G. Dark matters: the effects of artificial lighting on bats. En: VOIGT, C. &amp; KINGSTON, T. (Eds.). Bats in the </w:t>
      </w:r>
      <w:proofErr w:type="spellStart"/>
      <w:r w:rsidRPr="00BD1319">
        <w:rPr>
          <w:spacing w:val="-3"/>
          <w:lang w:val="en-US"/>
        </w:rPr>
        <w:t>anthropocene</w:t>
      </w:r>
      <w:proofErr w:type="spellEnd"/>
      <w:r w:rsidRPr="00BD1319">
        <w:rPr>
          <w:spacing w:val="-3"/>
          <w:lang w:val="en-US"/>
        </w:rPr>
        <w:t xml:space="preserve">: conservation of bats in a changing world. </w:t>
      </w:r>
      <w:r w:rsidRPr="00BD1319">
        <w:rPr>
          <w:spacing w:val="-3"/>
        </w:rPr>
        <w:t>New York: Springer, 2016. p. 187–213.</w:t>
      </w:r>
    </w:p>
    <w:p w14:paraId="42F52128" w14:textId="77777777" w:rsidR="00E93E41" w:rsidRPr="00BD1319" w:rsidRDefault="00E93E41">
      <w:pPr>
        <w:tabs>
          <w:tab w:val="left" w:pos="-2268"/>
        </w:tabs>
        <w:suppressAutoHyphens/>
        <w:rPr>
          <w:spacing w:val="-3"/>
        </w:rPr>
      </w:pPr>
    </w:p>
    <w:p w14:paraId="35AD3834" w14:textId="77777777" w:rsidR="00E93E41" w:rsidRPr="00BD1319" w:rsidRDefault="00E93E41">
      <w:pPr>
        <w:tabs>
          <w:tab w:val="left" w:pos="-2268"/>
        </w:tabs>
        <w:suppressAutoHyphens/>
        <w:rPr>
          <w:spacing w:val="-3"/>
        </w:rPr>
      </w:pPr>
      <w:r w:rsidRPr="00BD1319">
        <w:rPr>
          <w:spacing w:val="-3"/>
        </w:rPr>
        <w:t xml:space="preserve">RUEDA, G. Manual de métodos en limnología. Bogotá: Asociación colombiana de limnología – ACL. </w:t>
      </w:r>
      <w:proofErr w:type="spellStart"/>
      <w:r w:rsidRPr="00BD1319">
        <w:rPr>
          <w:spacing w:val="-3"/>
        </w:rPr>
        <w:t>Limnos</w:t>
      </w:r>
      <w:proofErr w:type="spellEnd"/>
      <w:r w:rsidRPr="00BD1319">
        <w:rPr>
          <w:spacing w:val="-3"/>
        </w:rPr>
        <w:t>, 2002.</w:t>
      </w:r>
    </w:p>
    <w:p w14:paraId="28CA4045" w14:textId="77777777" w:rsidR="00E93E41" w:rsidRPr="00BD1319" w:rsidRDefault="00E93E41">
      <w:pPr>
        <w:tabs>
          <w:tab w:val="left" w:pos="-2268"/>
        </w:tabs>
        <w:suppressAutoHyphens/>
        <w:rPr>
          <w:spacing w:val="-3"/>
        </w:rPr>
      </w:pPr>
    </w:p>
    <w:p w14:paraId="5151F95B" w14:textId="77777777" w:rsidR="00E93E41" w:rsidRPr="00BD1319" w:rsidRDefault="00E93E41">
      <w:pPr>
        <w:tabs>
          <w:tab w:val="left" w:pos="-2268"/>
        </w:tabs>
        <w:suppressAutoHyphens/>
        <w:rPr>
          <w:spacing w:val="-3"/>
        </w:rPr>
      </w:pPr>
      <w:r w:rsidRPr="00BD1319">
        <w:rPr>
          <w:spacing w:val="-3"/>
        </w:rPr>
        <w:t>RUEDA-ALMONACID, J., AMÉZQUITA, A. &amp; LYNCH, J. Libro rojo de los anfibios de Colombia. Serie Libros Rojos de Especies Amenazadas de Colombia. Bogotá: Conservación Internacional Colombia, Instituto de Ciencias Naturales, Minambiente, 2004.</w:t>
      </w:r>
    </w:p>
    <w:p w14:paraId="62097140" w14:textId="77777777" w:rsidR="00E93E41" w:rsidRPr="00BD1319" w:rsidRDefault="00E93E41">
      <w:pPr>
        <w:tabs>
          <w:tab w:val="left" w:pos="-2268"/>
        </w:tabs>
        <w:suppressAutoHyphens/>
        <w:rPr>
          <w:spacing w:val="-3"/>
        </w:rPr>
      </w:pPr>
    </w:p>
    <w:p w14:paraId="50D8096D" w14:textId="77777777" w:rsidR="00E93E41" w:rsidRPr="00BD1319" w:rsidRDefault="00E93E41">
      <w:pPr>
        <w:tabs>
          <w:tab w:val="left" w:pos="-2268"/>
        </w:tabs>
        <w:suppressAutoHyphens/>
        <w:rPr>
          <w:spacing w:val="-3"/>
          <w:lang w:val="en-US"/>
        </w:rPr>
      </w:pPr>
      <w:r w:rsidRPr="00BD1319">
        <w:rPr>
          <w:spacing w:val="-3"/>
        </w:rPr>
        <w:t xml:space="preserve">SALDARRIAGA, A. La ranchería de los Wayuu en la Guajira. </w:t>
      </w:r>
      <w:proofErr w:type="spellStart"/>
      <w:r w:rsidRPr="00BD1319">
        <w:rPr>
          <w:spacing w:val="-3"/>
          <w:lang w:val="en-US"/>
        </w:rPr>
        <w:t>Credencial</w:t>
      </w:r>
      <w:proofErr w:type="spellEnd"/>
      <w:r w:rsidRPr="00BD1319">
        <w:rPr>
          <w:spacing w:val="-3"/>
          <w:lang w:val="en-US"/>
        </w:rPr>
        <w:t xml:space="preserve"> Historia. 351 (2019).</w:t>
      </w:r>
    </w:p>
    <w:p w14:paraId="7B46C8C9" w14:textId="77777777" w:rsidR="00E93E41" w:rsidRPr="00BD1319" w:rsidRDefault="00E93E41">
      <w:pPr>
        <w:tabs>
          <w:tab w:val="left" w:pos="-2268"/>
        </w:tabs>
        <w:suppressAutoHyphens/>
        <w:rPr>
          <w:spacing w:val="-3"/>
          <w:lang w:val="en-US"/>
        </w:rPr>
      </w:pPr>
    </w:p>
    <w:p w14:paraId="0AEE6D9F" w14:textId="77777777" w:rsidR="00E93E41" w:rsidRPr="00BD1319" w:rsidRDefault="00E93E41">
      <w:pPr>
        <w:tabs>
          <w:tab w:val="left" w:pos="-2268"/>
        </w:tabs>
        <w:suppressAutoHyphens/>
        <w:rPr>
          <w:spacing w:val="-3"/>
          <w:lang w:val="en-US"/>
        </w:rPr>
      </w:pPr>
      <w:r w:rsidRPr="00BD1319">
        <w:rPr>
          <w:spacing w:val="-3"/>
          <w:lang w:val="en-US"/>
        </w:rPr>
        <w:t>SAURA, S., VOGT, P., VELÁZQUEZ, J., HERNANDO, A., &amp; TEJERA, R. Key structural forest connectors can be identified by combining landscape spatial pattern and network analyses. Forest Ecology and Management. 262 (2011); 150–160.</w:t>
      </w:r>
    </w:p>
    <w:p w14:paraId="13BC6752" w14:textId="77777777" w:rsidR="00E93E41" w:rsidRPr="00BD1319" w:rsidRDefault="00E93E41">
      <w:pPr>
        <w:tabs>
          <w:tab w:val="left" w:pos="-2268"/>
        </w:tabs>
        <w:suppressAutoHyphens/>
        <w:rPr>
          <w:spacing w:val="-3"/>
          <w:lang w:val="en-US"/>
        </w:rPr>
      </w:pPr>
    </w:p>
    <w:p w14:paraId="77F02A20" w14:textId="77777777" w:rsidR="00E93E41" w:rsidRPr="00BD1319" w:rsidRDefault="00E93E41">
      <w:pPr>
        <w:tabs>
          <w:tab w:val="left" w:pos="-2268"/>
        </w:tabs>
        <w:suppressAutoHyphens/>
        <w:rPr>
          <w:spacing w:val="-3"/>
          <w:lang w:val="en-US"/>
        </w:rPr>
      </w:pPr>
      <w:r w:rsidRPr="00BD1319">
        <w:rPr>
          <w:spacing w:val="-3"/>
          <w:lang w:val="en-US"/>
        </w:rPr>
        <w:t xml:space="preserve">SAYRE, R., ROCA, E., SEDAGHATKISH, G., YOUNG, B., KEEL, S., ROCA, R. &amp; SHEPPARD, S. Un </w:t>
      </w:r>
      <w:proofErr w:type="spellStart"/>
      <w:r w:rsidRPr="00BD1319">
        <w:rPr>
          <w:spacing w:val="-3"/>
          <w:lang w:val="en-US"/>
        </w:rPr>
        <w:t>Enfoque</w:t>
      </w:r>
      <w:proofErr w:type="spellEnd"/>
      <w:r w:rsidRPr="00BD1319">
        <w:rPr>
          <w:spacing w:val="-3"/>
          <w:lang w:val="en-US"/>
        </w:rPr>
        <w:t xml:space="preserve"> en la </w:t>
      </w:r>
      <w:proofErr w:type="spellStart"/>
      <w:r w:rsidRPr="00BD1319">
        <w:rPr>
          <w:spacing w:val="-3"/>
          <w:lang w:val="en-US"/>
        </w:rPr>
        <w:t>Naturaleza</w:t>
      </w:r>
      <w:proofErr w:type="spellEnd"/>
      <w:r w:rsidRPr="00BD1319">
        <w:rPr>
          <w:spacing w:val="-3"/>
          <w:lang w:val="en-US"/>
        </w:rPr>
        <w:t xml:space="preserve">. </w:t>
      </w:r>
      <w:proofErr w:type="spellStart"/>
      <w:r w:rsidRPr="00BD1319">
        <w:rPr>
          <w:spacing w:val="-3"/>
          <w:lang w:val="en-US"/>
        </w:rPr>
        <w:t>Evaluaciones</w:t>
      </w:r>
      <w:proofErr w:type="spellEnd"/>
      <w:r w:rsidRPr="00BD1319">
        <w:rPr>
          <w:spacing w:val="-3"/>
          <w:lang w:val="en-US"/>
        </w:rPr>
        <w:t xml:space="preserve"> </w:t>
      </w:r>
      <w:proofErr w:type="spellStart"/>
      <w:r w:rsidRPr="00BD1319">
        <w:rPr>
          <w:spacing w:val="-3"/>
          <w:lang w:val="en-US"/>
        </w:rPr>
        <w:t>Ecológicas</w:t>
      </w:r>
      <w:proofErr w:type="spellEnd"/>
      <w:r w:rsidRPr="00BD1319">
        <w:rPr>
          <w:spacing w:val="-3"/>
          <w:lang w:val="en-US"/>
        </w:rPr>
        <w:t xml:space="preserve"> </w:t>
      </w:r>
      <w:proofErr w:type="spellStart"/>
      <w:r w:rsidRPr="00BD1319">
        <w:rPr>
          <w:spacing w:val="-3"/>
          <w:lang w:val="en-US"/>
        </w:rPr>
        <w:t>Rápidas</w:t>
      </w:r>
      <w:proofErr w:type="spellEnd"/>
      <w:r w:rsidRPr="00BD1319">
        <w:rPr>
          <w:spacing w:val="-3"/>
          <w:lang w:val="en-US"/>
        </w:rPr>
        <w:t>. Arlington: The Nature Conservancy, 2002. 195 p.</w:t>
      </w:r>
    </w:p>
    <w:p w14:paraId="3DC32CA8" w14:textId="77777777" w:rsidR="00E93E41" w:rsidRPr="00BD1319" w:rsidRDefault="00E93E41">
      <w:pPr>
        <w:tabs>
          <w:tab w:val="left" w:pos="-2268"/>
        </w:tabs>
        <w:suppressAutoHyphens/>
        <w:rPr>
          <w:spacing w:val="-3"/>
          <w:lang w:val="en-US"/>
        </w:rPr>
      </w:pPr>
    </w:p>
    <w:p w14:paraId="538D04C3" w14:textId="77777777" w:rsidR="00E93E41" w:rsidRPr="00BD1319" w:rsidRDefault="00E93E41">
      <w:pPr>
        <w:tabs>
          <w:tab w:val="left" w:pos="-2268"/>
        </w:tabs>
        <w:suppressAutoHyphens/>
        <w:rPr>
          <w:spacing w:val="-3"/>
          <w:lang w:val="es-MX"/>
        </w:rPr>
      </w:pPr>
      <w:r w:rsidRPr="00BD1319">
        <w:rPr>
          <w:spacing w:val="-3"/>
          <w:lang w:val="en-US"/>
        </w:rPr>
        <w:t xml:space="preserve">SCHNEIDER-MAUNOURY, L., LEFEBVRE, V., EWERS, R., MEDINA-RANGEL, G., PERES, C., SOMARRIBA, E., URBINA-CARDONA, N., PFEIFER, M. Abundance signals of amphibians and reptiles indicate strong edge effects in Neotropical fragmented forest landscapes. </w:t>
      </w:r>
      <w:proofErr w:type="spellStart"/>
      <w:r w:rsidRPr="00BD1319">
        <w:rPr>
          <w:spacing w:val="-3"/>
          <w:lang w:val="es-MX"/>
        </w:rPr>
        <w:t>Biological</w:t>
      </w:r>
      <w:proofErr w:type="spellEnd"/>
      <w:r w:rsidRPr="00BD1319">
        <w:rPr>
          <w:spacing w:val="-3"/>
          <w:lang w:val="es-MX"/>
        </w:rPr>
        <w:t xml:space="preserve"> </w:t>
      </w:r>
      <w:proofErr w:type="spellStart"/>
      <w:r w:rsidRPr="00BD1319">
        <w:rPr>
          <w:spacing w:val="-3"/>
          <w:lang w:val="es-MX"/>
        </w:rPr>
        <w:t>Conservation</w:t>
      </w:r>
      <w:proofErr w:type="spellEnd"/>
      <w:r w:rsidRPr="00BD1319">
        <w:rPr>
          <w:spacing w:val="-3"/>
          <w:lang w:val="es-MX"/>
        </w:rPr>
        <w:t>. 200 (2016); p. 207-215.</w:t>
      </w:r>
    </w:p>
    <w:p w14:paraId="7B8BCEED" w14:textId="77777777" w:rsidR="00E93E41" w:rsidRPr="00BD1319" w:rsidRDefault="00E93E41" w:rsidP="00624F3E">
      <w:pPr>
        <w:tabs>
          <w:tab w:val="left" w:pos="-2268"/>
        </w:tabs>
        <w:suppressAutoHyphens/>
        <w:rPr>
          <w:rFonts w:cs="Arial"/>
          <w:lang w:val="es-MX"/>
        </w:rPr>
      </w:pPr>
    </w:p>
    <w:p w14:paraId="4F044F49" w14:textId="33217338" w:rsidR="00D10016" w:rsidRPr="00BD1319" w:rsidRDefault="00D10016" w:rsidP="00FA1A75">
      <w:pPr>
        <w:overflowPunct/>
        <w:autoSpaceDE/>
        <w:autoSpaceDN/>
        <w:adjustRightInd/>
        <w:textAlignment w:val="auto"/>
        <w:rPr>
          <w:color w:val="000000" w:themeColor="text1"/>
          <w:spacing w:val="-3"/>
          <w:lang w:val="en-US"/>
        </w:rPr>
      </w:pPr>
      <w:bookmarkStart w:id="11394" w:name="_Hlk122504199"/>
      <w:r w:rsidRPr="00BD1319">
        <w:rPr>
          <w:color w:val="000000" w:themeColor="text1"/>
          <w:spacing w:val="-3"/>
          <w:lang w:val="es-MX"/>
        </w:rPr>
        <w:t xml:space="preserve">SERVICIO DE EVALUACIÓN AMBIENTAL </w:t>
      </w:r>
      <w:r w:rsidR="00B40B04" w:rsidRPr="00BD1319">
        <w:rPr>
          <w:color w:val="000000" w:themeColor="text1"/>
          <w:spacing w:val="-3"/>
          <w:lang w:val="es-MX"/>
        </w:rPr>
        <w:t>-S</w:t>
      </w:r>
      <w:r w:rsidRPr="00BD1319">
        <w:rPr>
          <w:color w:val="000000" w:themeColor="text1"/>
          <w:spacing w:val="-3"/>
          <w:lang w:val="es-MX"/>
        </w:rPr>
        <w:t xml:space="preserve">EA. Criterio de Evaluación en el SEIA: Evaluación de Impactos por Ruido Sobre Fauna Nativa. </w:t>
      </w:r>
      <w:r w:rsidRPr="00BD1319">
        <w:rPr>
          <w:color w:val="000000" w:themeColor="text1"/>
          <w:spacing w:val="-3"/>
          <w:lang w:val="en-US"/>
        </w:rPr>
        <w:t>Santiago: SEA, 2022. 15</w:t>
      </w:r>
      <w:r w:rsidR="008A7ED7" w:rsidRPr="00BD1319">
        <w:rPr>
          <w:color w:val="000000" w:themeColor="text1"/>
          <w:spacing w:val="-3"/>
          <w:lang w:val="en-US"/>
        </w:rPr>
        <w:t xml:space="preserve"> </w:t>
      </w:r>
      <w:r w:rsidRPr="00BD1319">
        <w:rPr>
          <w:color w:val="000000" w:themeColor="text1"/>
          <w:spacing w:val="-3"/>
          <w:lang w:val="en-US"/>
        </w:rPr>
        <w:t>p</w:t>
      </w:r>
      <w:r w:rsidR="008A7ED7" w:rsidRPr="00BD1319">
        <w:rPr>
          <w:color w:val="000000" w:themeColor="text1"/>
          <w:spacing w:val="-3"/>
          <w:lang w:val="en-US"/>
        </w:rPr>
        <w:t>.</w:t>
      </w:r>
    </w:p>
    <w:p w14:paraId="75DAFF35" w14:textId="77777777" w:rsidR="00D10016" w:rsidRPr="00BD1319" w:rsidRDefault="00D10016" w:rsidP="00FA1A75">
      <w:pPr>
        <w:overflowPunct/>
        <w:autoSpaceDE/>
        <w:autoSpaceDN/>
        <w:adjustRightInd/>
        <w:textAlignment w:val="auto"/>
        <w:rPr>
          <w:color w:val="000000" w:themeColor="text1"/>
          <w:spacing w:val="-3"/>
          <w:lang w:val="en-US"/>
        </w:rPr>
      </w:pPr>
    </w:p>
    <w:p w14:paraId="7934870D" w14:textId="54DB2303" w:rsidR="00A23EB9" w:rsidRPr="00BD1319" w:rsidRDefault="00D712AB" w:rsidP="00FA1A75">
      <w:pPr>
        <w:overflowPunct/>
        <w:autoSpaceDE/>
        <w:autoSpaceDN/>
        <w:adjustRightInd/>
        <w:textAlignment w:val="auto"/>
        <w:rPr>
          <w:color w:val="000000" w:themeColor="text1"/>
          <w:spacing w:val="-3"/>
        </w:rPr>
      </w:pPr>
      <w:r w:rsidRPr="00BD1319">
        <w:rPr>
          <w:color w:val="000000" w:themeColor="text1"/>
          <w:spacing w:val="-3"/>
          <w:lang w:val="en-US"/>
        </w:rPr>
        <w:t>SHMELEV</w:t>
      </w:r>
      <w:r w:rsidR="00A23EB9" w:rsidRPr="00BD1319">
        <w:rPr>
          <w:color w:val="000000" w:themeColor="text1"/>
          <w:spacing w:val="-3"/>
          <w:lang w:val="en-US"/>
        </w:rPr>
        <w:t>, S.</w:t>
      </w:r>
      <w:bookmarkEnd w:id="11394"/>
      <w:r w:rsidR="00A23EB9" w:rsidRPr="00BD1319">
        <w:rPr>
          <w:color w:val="000000" w:themeColor="text1"/>
          <w:spacing w:val="-3"/>
          <w:lang w:val="en-US"/>
        </w:rPr>
        <w:t xml:space="preserve"> Ecological Economics</w:t>
      </w:r>
      <w:r w:rsidR="00FA1A75" w:rsidRPr="00BD1319">
        <w:rPr>
          <w:color w:val="000000" w:themeColor="text1"/>
          <w:spacing w:val="-3"/>
          <w:lang w:val="en-US"/>
        </w:rPr>
        <w:t>:</w:t>
      </w:r>
      <w:r w:rsidR="00A23EB9" w:rsidRPr="00BD1319">
        <w:rPr>
          <w:color w:val="000000" w:themeColor="text1"/>
          <w:spacing w:val="-3"/>
          <w:lang w:val="en-US"/>
        </w:rPr>
        <w:t xml:space="preserve"> </w:t>
      </w:r>
      <w:r w:rsidR="00FA1A75" w:rsidRPr="00BD1319">
        <w:rPr>
          <w:color w:val="000000" w:themeColor="text1"/>
          <w:spacing w:val="-3"/>
          <w:lang w:val="en-US"/>
        </w:rPr>
        <w:t xml:space="preserve">Sustainability in practice. </w:t>
      </w:r>
      <w:proofErr w:type="spellStart"/>
      <w:r w:rsidRPr="00BD1319">
        <w:rPr>
          <w:color w:val="000000" w:themeColor="text1"/>
          <w:spacing w:val="-3"/>
        </w:rPr>
        <w:t>Netherlands</w:t>
      </w:r>
      <w:proofErr w:type="spellEnd"/>
      <w:r w:rsidRPr="00BD1319">
        <w:rPr>
          <w:color w:val="000000" w:themeColor="text1"/>
          <w:spacing w:val="-3"/>
        </w:rPr>
        <w:t xml:space="preserve">: </w:t>
      </w:r>
      <w:r w:rsidR="00A23EB9" w:rsidRPr="00BD1319">
        <w:rPr>
          <w:color w:val="000000" w:themeColor="text1"/>
          <w:spacing w:val="-3"/>
        </w:rPr>
        <w:t>Springer</w:t>
      </w:r>
      <w:r w:rsidRPr="00BD1319">
        <w:rPr>
          <w:color w:val="000000" w:themeColor="text1"/>
          <w:spacing w:val="-3"/>
        </w:rPr>
        <w:t xml:space="preserve">, 2012. </w:t>
      </w:r>
      <w:r w:rsidR="00FA1A75" w:rsidRPr="00BD1319">
        <w:rPr>
          <w:color w:val="000000" w:themeColor="text1"/>
          <w:spacing w:val="-3"/>
        </w:rPr>
        <w:t>248 p</w:t>
      </w:r>
      <w:r w:rsidRPr="00BD1319">
        <w:rPr>
          <w:color w:val="000000" w:themeColor="text1"/>
          <w:spacing w:val="-3"/>
        </w:rPr>
        <w:t>.</w:t>
      </w:r>
    </w:p>
    <w:p w14:paraId="65F76556" w14:textId="77777777" w:rsidR="00A23EB9" w:rsidRPr="00BD1319" w:rsidRDefault="00A23EB9" w:rsidP="00624F3E">
      <w:pPr>
        <w:tabs>
          <w:tab w:val="left" w:pos="-2268"/>
        </w:tabs>
        <w:suppressAutoHyphens/>
        <w:rPr>
          <w:rFonts w:cs="Arial"/>
        </w:rPr>
      </w:pPr>
    </w:p>
    <w:p w14:paraId="63FC7F56" w14:textId="77777777" w:rsidR="00E93E41" w:rsidRPr="00BD1319" w:rsidRDefault="00E93E41" w:rsidP="00624F3E">
      <w:pPr>
        <w:tabs>
          <w:tab w:val="left" w:pos="-2268"/>
        </w:tabs>
        <w:suppressAutoHyphens/>
        <w:rPr>
          <w:rFonts w:cs="Arial"/>
          <w:lang w:val="en-US"/>
        </w:rPr>
      </w:pPr>
      <w:r w:rsidRPr="00BD1319">
        <w:rPr>
          <w:rFonts w:cs="Arial"/>
        </w:rPr>
        <w:t xml:space="preserve">SOLARI, F. &amp; CAZORLA, L. Valoración de la calidad y fragilidad visual del paisaje. Revista cuadernos del centro de estudios en diseño y comunicación. </w:t>
      </w:r>
      <w:r w:rsidRPr="00BD1319">
        <w:rPr>
          <w:rFonts w:cs="Arial"/>
          <w:lang w:val="en-US"/>
        </w:rPr>
        <w:t>30 (2009). p. 213-225.</w:t>
      </w:r>
    </w:p>
    <w:p w14:paraId="4C5FE0A5" w14:textId="77777777" w:rsidR="00E93E41" w:rsidRPr="00BD1319" w:rsidRDefault="00E93E41">
      <w:pPr>
        <w:tabs>
          <w:tab w:val="left" w:pos="-2268"/>
        </w:tabs>
        <w:suppressAutoHyphens/>
        <w:rPr>
          <w:spacing w:val="-3"/>
          <w:lang w:val="en-US"/>
        </w:rPr>
      </w:pPr>
    </w:p>
    <w:p w14:paraId="68ADDF8E" w14:textId="77777777" w:rsidR="00E93E41" w:rsidRPr="00BD1319" w:rsidRDefault="00E93E41">
      <w:pPr>
        <w:tabs>
          <w:tab w:val="left" w:pos="-2268"/>
        </w:tabs>
        <w:suppressAutoHyphens/>
        <w:rPr>
          <w:spacing w:val="-3"/>
          <w:lang w:val="en-US"/>
        </w:rPr>
      </w:pPr>
      <w:r w:rsidRPr="00BD1319">
        <w:rPr>
          <w:spacing w:val="-3"/>
          <w:lang w:val="en-US"/>
        </w:rPr>
        <w:t>STRATFORD, J. &amp; STOUFFER, P. Forest fragmentation alters microhabitat availability for neotropical terrestrial insectivorous birds. Biological Conservation. 188 (2015); p. 109–115.</w:t>
      </w:r>
    </w:p>
    <w:p w14:paraId="53384563" w14:textId="77777777" w:rsidR="00E93E41" w:rsidRPr="00BD1319" w:rsidRDefault="00E93E41">
      <w:pPr>
        <w:rPr>
          <w:spacing w:val="-3"/>
          <w:lang w:val="en-US"/>
        </w:rPr>
      </w:pPr>
    </w:p>
    <w:p w14:paraId="71663834" w14:textId="77777777" w:rsidR="00E93E41" w:rsidRPr="00BD1319" w:rsidRDefault="00E93E41">
      <w:pPr>
        <w:rPr>
          <w:spacing w:val="-3"/>
          <w:lang w:val="en-US"/>
        </w:rPr>
      </w:pPr>
      <w:r w:rsidRPr="00BD1319">
        <w:rPr>
          <w:spacing w:val="-3"/>
          <w:lang w:val="en-US"/>
        </w:rPr>
        <w:t>STRUCKMEIER, W. &amp; MARGAT, J. Hydrogeological maps - a guide and a standard legend. International Association of Hydrogeology (IAH) International Contributions to Hydrogeology, volume 17. Hannover: Verlag Heinz Heise, 1995. 177 p.</w:t>
      </w:r>
    </w:p>
    <w:p w14:paraId="771DF22E" w14:textId="77777777" w:rsidR="00E93E41" w:rsidRPr="00BD1319" w:rsidRDefault="00E93E41">
      <w:pPr>
        <w:rPr>
          <w:spacing w:val="-3"/>
          <w:lang w:val="en-US"/>
        </w:rPr>
      </w:pPr>
    </w:p>
    <w:p w14:paraId="79871920" w14:textId="77777777" w:rsidR="00E93E41" w:rsidRPr="00BD1319" w:rsidRDefault="00E93E41">
      <w:pPr>
        <w:rPr>
          <w:spacing w:val="-3"/>
          <w:lang w:val="en-US"/>
        </w:rPr>
      </w:pPr>
      <w:r w:rsidRPr="00BD1319">
        <w:rPr>
          <w:spacing w:val="-3"/>
          <w:lang w:val="en-US"/>
        </w:rPr>
        <w:t xml:space="preserve">TER STEEGE, H. &amp; CORNELISSEN, J. Distribution and ecology of vascular epiphytes in lowland rain forest of Guyana. </w:t>
      </w:r>
      <w:proofErr w:type="spellStart"/>
      <w:r w:rsidRPr="00BD1319">
        <w:rPr>
          <w:spacing w:val="-3"/>
          <w:lang w:val="en-US"/>
        </w:rPr>
        <w:t>Biotropica</w:t>
      </w:r>
      <w:proofErr w:type="spellEnd"/>
      <w:r w:rsidRPr="00BD1319">
        <w:rPr>
          <w:spacing w:val="-3"/>
          <w:lang w:val="en-US"/>
        </w:rPr>
        <w:t>. 21 (1989); p. 331-339.</w:t>
      </w:r>
    </w:p>
    <w:p w14:paraId="043EE7A5" w14:textId="77777777" w:rsidR="00E93E41" w:rsidRPr="00BD1319" w:rsidRDefault="00E93E41">
      <w:pPr>
        <w:tabs>
          <w:tab w:val="left" w:pos="-2268"/>
        </w:tabs>
        <w:suppressAutoHyphens/>
        <w:rPr>
          <w:spacing w:val="-3"/>
          <w:lang w:val="en-US"/>
        </w:rPr>
      </w:pPr>
    </w:p>
    <w:p w14:paraId="4EDBD297" w14:textId="77777777" w:rsidR="00E93E41" w:rsidRPr="00BD1319" w:rsidRDefault="00E93E41">
      <w:pPr>
        <w:tabs>
          <w:tab w:val="left" w:pos="-2268"/>
        </w:tabs>
        <w:suppressAutoHyphens/>
        <w:rPr>
          <w:spacing w:val="-3"/>
        </w:rPr>
      </w:pPr>
      <w:r w:rsidRPr="00BD1319">
        <w:rPr>
          <w:spacing w:val="-3"/>
          <w:lang w:val="en-US"/>
        </w:rPr>
        <w:t xml:space="preserve">THOMANN, R. &amp; MUELLER, J. Principles of surface water quality modelling and control. </w:t>
      </w:r>
      <w:r w:rsidRPr="00BD1319">
        <w:rPr>
          <w:spacing w:val="-3"/>
        </w:rPr>
        <w:t xml:space="preserve">New York: Harper and </w:t>
      </w:r>
      <w:proofErr w:type="spellStart"/>
      <w:r w:rsidRPr="00BD1319">
        <w:rPr>
          <w:spacing w:val="-3"/>
        </w:rPr>
        <w:t>Row</w:t>
      </w:r>
      <w:proofErr w:type="spellEnd"/>
      <w:r w:rsidRPr="00BD1319">
        <w:rPr>
          <w:spacing w:val="-3"/>
        </w:rPr>
        <w:t>, 1987.</w:t>
      </w:r>
    </w:p>
    <w:p w14:paraId="17ABD5E1" w14:textId="77777777" w:rsidR="00E93E41" w:rsidRPr="00BD1319" w:rsidRDefault="00E93E41" w:rsidP="00E93E41">
      <w:pPr>
        <w:overflowPunct/>
        <w:textAlignment w:val="auto"/>
        <w:rPr>
          <w:rFonts w:cs="Arial"/>
          <w:color w:val="222222"/>
          <w:lang w:eastAsia="es-CO"/>
        </w:rPr>
      </w:pPr>
    </w:p>
    <w:p w14:paraId="622ACF55" w14:textId="080EB0E8" w:rsidR="00E93E41" w:rsidRPr="00BD1319" w:rsidRDefault="00E93E41" w:rsidP="009420F5">
      <w:pPr>
        <w:overflowPunct/>
        <w:textAlignment w:val="auto"/>
        <w:rPr>
          <w:rFonts w:cs="Arial"/>
          <w:color w:val="222222"/>
          <w:lang w:eastAsia="es-CO"/>
        </w:rPr>
      </w:pPr>
      <w:r w:rsidRPr="00BD1319">
        <w:rPr>
          <w:rFonts w:cs="Arial"/>
          <w:color w:val="222222"/>
          <w:lang w:eastAsia="es-CO"/>
        </w:rPr>
        <w:t xml:space="preserve">UNIDAD DE PLANIFICACIÓN RURAL AGROPECUARIA –UPRA. </w:t>
      </w:r>
      <w:r w:rsidRPr="00BD1319">
        <w:rPr>
          <w:rFonts w:cs="Arial"/>
          <w:iCs/>
          <w:color w:val="222222"/>
          <w:lang w:eastAsia="es-CO"/>
        </w:rPr>
        <w:t xml:space="preserve">Lineamientos para el ordenamiento territorial agropecuario. Anexo 1. Contenidos del componente rural de los POT: elementos para su comprensión – insumos para su formulación. </w:t>
      </w:r>
      <w:r w:rsidRPr="00BD1319">
        <w:rPr>
          <w:rFonts w:cs="Arial"/>
          <w:color w:val="222222"/>
          <w:lang w:eastAsia="es-CO"/>
        </w:rPr>
        <w:t>Bogotá (Colombia): UPRA, 2016. 47 p.</w:t>
      </w:r>
    </w:p>
    <w:p w14:paraId="36A561C3" w14:textId="01A45980" w:rsidR="002D4C5E" w:rsidRPr="00BD1319" w:rsidRDefault="002D4C5E" w:rsidP="009420F5">
      <w:pPr>
        <w:overflowPunct/>
        <w:textAlignment w:val="auto"/>
        <w:rPr>
          <w:rFonts w:cs="Arial"/>
          <w:color w:val="222222"/>
          <w:lang w:eastAsia="es-CO"/>
        </w:rPr>
      </w:pPr>
    </w:p>
    <w:p w14:paraId="190A26F2" w14:textId="57F6C37E" w:rsidR="002D4C5E" w:rsidRPr="00BD1319" w:rsidRDefault="002D4C5E" w:rsidP="002D4C5E">
      <w:pPr>
        <w:overflowPunct/>
        <w:textAlignment w:val="auto"/>
        <w:rPr>
          <w:rFonts w:cs="Arial"/>
          <w:color w:val="222222"/>
          <w:lang w:eastAsia="es-CO"/>
        </w:rPr>
      </w:pPr>
      <w:r w:rsidRPr="00BD1319">
        <w:rPr>
          <w:rFonts w:cs="Arial"/>
          <w:color w:val="222222"/>
          <w:lang w:eastAsia="es-CO"/>
        </w:rPr>
        <w:t xml:space="preserve">UNIDAD NACIONAL PARA LA GESTIÓN DEL RIESGO DE DESASTRES -UNGRD. Terminología sobre Gestión del Riesgo de Desastres y Fenómenos Amenazantes. Bogotá D. C.: UNGRD y Presidencia de la República, 2017. </w:t>
      </w:r>
      <w:r w:rsidR="005E1E02" w:rsidRPr="00BD1319">
        <w:rPr>
          <w:rFonts w:cs="Arial"/>
          <w:color w:val="222222"/>
          <w:lang w:eastAsia="es-CO"/>
        </w:rPr>
        <w:t>45</w:t>
      </w:r>
      <w:r w:rsidRPr="00BD1319">
        <w:rPr>
          <w:rFonts w:cs="Arial"/>
          <w:color w:val="222222"/>
          <w:lang w:eastAsia="es-CO"/>
        </w:rPr>
        <w:t xml:space="preserve"> p.</w:t>
      </w:r>
    </w:p>
    <w:p w14:paraId="14817D23" w14:textId="77777777" w:rsidR="00E93E41" w:rsidRPr="00BD1319" w:rsidRDefault="00E93E41" w:rsidP="0011329F">
      <w:pPr>
        <w:tabs>
          <w:tab w:val="left" w:pos="-2268"/>
        </w:tabs>
        <w:suppressAutoHyphens/>
        <w:rPr>
          <w:spacing w:val="-3"/>
        </w:rPr>
      </w:pPr>
    </w:p>
    <w:p w14:paraId="1F60DFF9" w14:textId="77777777" w:rsidR="00E93E41" w:rsidRPr="00BD1319" w:rsidRDefault="00E93E41" w:rsidP="0011329F">
      <w:pPr>
        <w:tabs>
          <w:tab w:val="left" w:pos="-2268"/>
        </w:tabs>
        <w:suppressAutoHyphens/>
        <w:rPr>
          <w:spacing w:val="-3"/>
          <w:lang w:val="en-US"/>
        </w:rPr>
      </w:pPr>
      <w:r w:rsidRPr="00BD1319">
        <w:rPr>
          <w:spacing w:val="-3"/>
          <w:lang w:val="en-US"/>
        </w:rPr>
        <w:t>UNITED STATES DEPARTMENT OF AGRICULTURE –USDA. Landscape aesthetics: A handbook for scenery management. Agricultural Handbook 701. Washington: USDA, Forest Service, 1995.</w:t>
      </w:r>
    </w:p>
    <w:p w14:paraId="0E8CC688" w14:textId="77777777" w:rsidR="00E93E41" w:rsidRPr="00BD1319" w:rsidRDefault="00E93E41">
      <w:pPr>
        <w:tabs>
          <w:tab w:val="left" w:pos="-2268"/>
        </w:tabs>
        <w:suppressAutoHyphens/>
        <w:rPr>
          <w:rFonts w:cs="Arial"/>
          <w:spacing w:val="-3"/>
          <w:lang w:val="en-US"/>
        </w:rPr>
      </w:pPr>
    </w:p>
    <w:p w14:paraId="627D231B" w14:textId="77777777" w:rsidR="00E93E41" w:rsidRPr="00BD1319" w:rsidRDefault="00E93E41">
      <w:pPr>
        <w:tabs>
          <w:tab w:val="left" w:pos="-2268"/>
        </w:tabs>
        <w:suppressAutoHyphens/>
        <w:rPr>
          <w:spacing w:val="-3"/>
        </w:rPr>
      </w:pPr>
      <w:r w:rsidRPr="00BD1319">
        <w:rPr>
          <w:rFonts w:cs="Arial"/>
          <w:spacing w:val="-3"/>
          <w:lang w:val="en-US"/>
        </w:rPr>
        <w:t>URBINA-CARDONA, N., OLIVARES-PÉREZ, M. &amp; REYNOSO, V. Herpetofauna diversity</w:t>
      </w:r>
      <w:r w:rsidRPr="00BD1319">
        <w:rPr>
          <w:spacing w:val="-3"/>
          <w:lang w:val="en-US"/>
        </w:rPr>
        <w:t xml:space="preserve"> and microenvironment correlates across the pasture-edge-interior gradient in tropical rainforest fragments in the region of Los </w:t>
      </w:r>
      <w:proofErr w:type="spellStart"/>
      <w:r w:rsidRPr="00BD1319">
        <w:rPr>
          <w:spacing w:val="-3"/>
          <w:lang w:val="en-US"/>
        </w:rPr>
        <w:t>Tuxtlas</w:t>
      </w:r>
      <w:proofErr w:type="spellEnd"/>
      <w:r w:rsidRPr="00BD1319">
        <w:rPr>
          <w:spacing w:val="-3"/>
          <w:lang w:val="en-US"/>
        </w:rPr>
        <w:t xml:space="preserve">, Veracruz. </w:t>
      </w:r>
      <w:proofErr w:type="spellStart"/>
      <w:r w:rsidRPr="00BD1319">
        <w:rPr>
          <w:spacing w:val="-3"/>
          <w:lang w:val="es-MX"/>
        </w:rPr>
        <w:t>Biological</w:t>
      </w:r>
      <w:proofErr w:type="spellEnd"/>
      <w:r w:rsidRPr="00BD1319">
        <w:rPr>
          <w:spacing w:val="-3"/>
          <w:lang w:val="es-MX"/>
        </w:rPr>
        <w:t xml:space="preserve"> </w:t>
      </w:r>
      <w:proofErr w:type="spellStart"/>
      <w:r w:rsidRPr="00BD1319">
        <w:rPr>
          <w:spacing w:val="-3"/>
          <w:lang w:val="es-MX"/>
        </w:rPr>
        <w:t>Conservation</w:t>
      </w:r>
      <w:proofErr w:type="spellEnd"/>
      <w:r w:rsidRPr="00BD1319">
        <w:rPr>
          <w:spacing w:val="-3"/>
          <w:lang w:val="es-MX"/>
        </w:rPr>
        <w:t xml:space="preserve">. </w:t>
      </w:r>
      <w:r w:rsidRPr="00BD1319">
        <w:rPr>
          <w:spacing w:val="-3"/>
        </w:rPr>
        <w:t>132 (2006); p. 61-75.</w:t>
      </w:r>
    </w:p>
    <w:p w14:paraId="18F562ED" w14:textId="77777777" w:rsidR="00E93E41" w:rsidRPr="00BD1319" w:rsidRDefault="00E93E41">
      <w:pPr>
        <w:tabs>
          <w:tab w:val="left" w:pos="-2268"/>
        </w:tabs>
        <w:suppressAutoHyphens/>
        <w:rPr>
          <w:rFonts w:cs="Arial"/>
        </w:rPr>
      </w:pPr>
    </w:p>
    <w:p w14:paraId="75B89FDE" w14:textId="77777777" w:rsidR="00E93E41" w:rsidRPr="00BD1319" w:rsidRDefault="00E93E41">
      <w:pPr>
        <w:tabs>
          <w:tab w:val="left" w:pos="-2268"/>
        </w:tabs>
        <w:suppressAutoHyphens/>
        <w:rPr>
          <w:rFonts w:cs="Arial"/>
          <w:lang w:val="en-US"/>
        </w:rPr>
      </w:pPr>
      <w:r w:rsidRPr="00BD1319">
        <w:rPr>
          <w:rFonts w:cs="Arial"/>
        </w:rPr>
        <w:lastRenderedPageBreak/>
        <w:t xml:space="preserve">VELÁSQUEZ, F., GONZÁLEZ, E., MARTÍNEZ, M., PEÑA, J., ARÉVALO, J., VARGAS, J. ¿Qué ha pasado con la participación ciudadana en Colombia? 2003- 2018. Tomo 1. El entorno de la participación. Bogotá D. C.: Fundación Foro Nacional por Colombia, 2020. </w:t>
      </w:r>
      <w:r w:rsidRPr="00BD1319">
        <w:rPr>
          <w:rFonts w:cs="Arial"/>
          <w:lang w:val="en-US"/>
        </w:rPr>
        <w:t>448 p.</w:t>
      </w:r>
    </w:p>
    <w:p w14:paraId="6324702A" w14:textId="77777777" w:rsidR="00E93E41" w:rsidRPr="00BD1319" w:rsidRDefault="00E93E41">
      <w:pPr>
        <w:tabs>
          <w:tab w:val="left" w:pos="-2268"/>
        </w:tabs>
        <w:suppressAutoHyphens/>
        <w:rPr>
          <w:spacing w:val="-3"/>
          <w:lang w:val="en-US"/>
        </w:rPr>
      </w:pPr>
    </w:p>
    <w:p w14:paraId="46D9F86A" w14:textId="77777777" w:rsidR="00E93E41" w:rsidRPr="006B11C6" w:rsidRDefault="00E93E41">
      <w:pPr>
        <w:tabs>
          <w:tab w:val="left" w:pos="-2268"/>
        </w:tabs>
        <w:suppressAutoHyphens/>
        <w:rPr>
          <w:spacing w:val="-3"/>
        </w:rPr>
      </w:pPr>
      <w:r w:rsidRPr="00BD1319">
        <w:rPr>
          <w:spacing w:val="-3"/>
          <w:lang w:val="en-US"/>
        </w:rPr>
        <w:t xml:space="preserve">VETTER, D., RÜCKER, G., &amp; STORCH, I. Meta-analysis: A need for well-defined usage in ecology and conservation biology. </w:t>
      </w:r>
      <w:proofErr w:type="spellStart"/>
      <w:r w:rsidRPr="006B11C6">
        <w:rPr>
          <w:spacing w:val="-3"/>
        </w:rPr>
        <w:t>Ecosphere</w:t>
      </w:r>
      <w:proofErr w:type="spellEnd"/>
      <w:r w:rsidRPr="006B11C6">
        <w:rPr>
          <w:spacing w:val="-3"/>
        </w:rPr>
        <w:t>. 4, 6 (2013). 74.</w:t>
      </w:r>
    </w:p>
    <w:p w14:paraId="3E3788DD" w14:textId="77777777" w:rsidR="00E93E41" w:rsidRPr="006B11C6" w:rsidRDefault="00E93E41">
      <w:pPr>
        <w:tabs>
          <w:tab w:val="left" w:pos="-2268"/>
        </w:tabs>
        <w:suppressAutoHyphens/>
        <w:rPr>
          <w:spacing w:val="-3"/>
        </w:rPr>
      </w:pPr>
    </w:p>
    <w:p w14:paraId="331BE296" w14:textId="66B5F6DB" w:rsidR="00E93E41" w:rsidRPr="00BD1319" w:rsidRDefault="00E93E41">
      <w:pPr>
        <w:tabs>
          <w:tab w:val="left" w:pos="-2268"/>
        </w:tabs>
        <w:suppressAutoHyphens/>
        <w:rPr>
          <w:spacing w:val="-3"/>
          <w:lang w:val="en-US"/>
        </w:rPr>
      </w:pPr>
      <w:r w:rsidRPr="006B11C6">
        <w:rPr>
          <w:spacing w:val="-3"/>
        </w:rPr>
        <w:t xml:space="preserve">VILLARREAL H., ÁLVAREZ, M., CÓRDOBA, S., ESCOBAR, F., FAGUA, G., GAST, F., MENDOZA, H., OSPINA, M., &amp; UMAÑA, A. Segunda edición. </w:t>
      </w:r>
      <w:r w:rsidRPr="00BD1319">
        <w:rPr>
          <w:spacing w:val="-3"/>
        </w:rPr>
        <w:t xml:space="preserve">Manual de métodos para el desarrollo de inventarios de biodiversidad. Programa de Inventarios de Biodiversidad. Bogotá: Instituto de Investigación de Recursos Biológicos Alexander </w:t>
      </w:r>
      <w:proofErr w:type="spellStart"/>
      <w:r w:rsidRPr="00BD1319">
        <w:rPr>
          <w:spacing w:val="-3"/>
        </w:rPr>
        <w:t>von</w:t>
      </w:r>
      <w:proofErr w:type="spellEnd"/>
      <w:r w:rsidRPr="00BD1319">
        <w:rPr>
          <w:spacing w:val="-3"/>
        </w:rPr>
        <w:t xml:space="preserve"> Humboldt, 200</w:t>
      </w:r>
      <w:r w:rsidR="00C34E67" w:rsidRPr="00BD1319">
        <w:rPr>
          <w:spacing w:val="-3"/>
        </w:rPr>
        <w:t>4</w:t>
      </w:r>
      <w:r w:rsidRPr="00BD1319">
        <w:rPr>
          <w:spacing w:val="-3"/>
        </w:rPr>
        <w:t xml:space="preserve">. </w:t>
      </w:r>
      <w:r w:rsidRPr="00BD1319">
        <w:rPr>
          <w:spacing w:val="-3"/>
          <w:lang w:val="en-US"/>
        </w:rPr>
        <w:t>236 p.</w:t>
      </w:r>
    </w:p>
    <w:p w14:paraId="6F1656FF" w14:textId="77777777" w:rsidR="002D05B3" w:rsidRPr="00BD1319" w:rsidRDefault="002D05B3">
      <w:pPr>
        <w:tabs>
          <w:tab w:val="left" w:pos="-2268"/>
        </w:tabs>
        <w:suppressAutoHyphens/>
        <w:rPr>
          <w:spacing w:val="-3"/>
          <w:lang w:val="en-US"/>
        </w:rPr>
      </w:pPr>
    </w:p>
    <w:p w14:paraId="397E2813" w14:textId="72FCA256" w:rsidR="002D05B3" w:rsidRPr="00BD1319" w:rsidRDefault="006A09A7">
      <w:pPr>
        <w:tabs>
          <w:tab w:val="left" w:pos="-2268"/>
        </w:tabs>
        <w:suppressAutoHyphens/>
        <w:rPr>
          <w:spacing w:val="-3"/>
          <w:lang w:val="en-US"/>
        </w:rPr>
      </w:pPr>
      <w:r w:rsidRPr="00BD1319">
        <w:rPr>
          <w:spacing w:val="-3"/>
          <w:lang w:val="en-US"/>
        </w:rPr>
        <w:t>WOLF</w:t>
      </w:r>
      <w:r w:rsidR="002D05B3" w:rsidRPr="00BD1319">
        <w:rPr>
          <w:spacing w:val="-3"/>
          <w:lang w:val="en-US"/>
        </w:rPr>
        <w:t xml:space="preserve">, J. Epiphyte communities of tropical montane rain forest in the northern Andes II. </w:t>
      </w:r>
      <w:proofErr w:type="spellStart"/>
      <w:r w:rsidR="002D05B3" w:rsidRPr="00BD1319">
        <w:rPr>
          <w:spacing w:val="-3"/>
          <w:lang w:val="en-US"/>
        </w:rPr>
        <w:t>Uper</w:t>
      </w:r>
      <w:proofErr w:type="spellEnd"/>
      <w:r w:rsidR="002D05B3" w:rsidRPr="00BD1319">
        <w:rPr>
          <w:spacing w:val="-3"/>
          <w:lang w:val="en-US"/>
        </w:rPr>
        <w:t xml:space="preserve"> montane communities. </w:t>
      </w:r>
      <w:proofErr w:type="spellStart"/>
      <w:r w:rsidR="002D05B3" w:rsidRPr="00BD1319">
        <w:rPr>
          <w:spacing w:val="-3"/>
          <w:lang w:val="en-US"/>
        </w:rPr>
        <w:t>Phytocoenologia</w:t>
      </w:r>
      <w:proofErr w:type="spellEnd"/>
      <w:r w:rsidR="002D05B3" w:rsidRPr="00BD1319">
        <w:rPr>
          <w:spacing w:val="-3"/>
          <w:lang w:val="en-US"/>
        </w:rPr>
        <w:t>. 22</w:t>
      </w:r>
      <w:r w:rsidRPr="00BD1319">
        <w:rPr>
          <w:spacing w:val="-3"/>
          <w:lang w:val="en-US"/>
        </w:rPr>
        <w:t xml:space="preserve"> (1993);</w:t>
      </w:r>
      <w:r w:rsidR="002D05B3" w:rsidRPr="00BD1319">
        <w:rPr>
          <w:spacing w:val="-3"/>
          <w:lang w:val="en-US"/>
        </w:rPr>
        <w:t xml:space="preserve"> 53-103.</w:t>
      </w:r>
    </w:p>
    <w:p w14:paraId="038A2B84" w14:textId="77777777" w:rsidR="00E93E41" w:rsidRPr="00BD1319" w:rsidRDefault="00E93E41">
      <w:pPr>
        <w:tabs>
          <w:tab w:val="left" w:pos="-2268"/>
        </w:tabs>
        <w:suppressAutoHyphens/>
        <w:rPr>
          <w:spacing w:val="-3"/>
          <w:lang w:val="en-US"/>
        </w:rPr>
      </w:pPr>
    </w:p>
    <w:p w14:paraId="061D92FC" w14:textId="77777777" w:rsidR="00E93E41" w:rsidRPr="00E002E9" w:rsidRDefault="00E93E41">
      <w:pPr>
        <w:tabs>
          <w:tab w:val="left" w:pos="-2268"/>
        </w:tabs>
        <w:suppressAutoHyphens/>
        <w:rPr>
          <w:spacing w:val="-3"/>
        </w:rPr>
      </w:pPr>
      <w:r w:rsidRPr="00BD1319">
        <w:rPr>
          <w:spacing w:val="-3"/>
          <w:lang w:val="en-US"/>
        </w:rPr>
        <w:t xml:space="preserve">YOTSUKURA, N., &amp; COBB, E. Transverse diffusion of solutes in natural streams. Geological Survey Professional Paper 582-C. Washington: United States Government Printing Office, 1972. </w:t>
      </w:r>
      <w:r w:rsidRPr="00E002E9">
        <w:rPr>
          <w:spacing w:val="-3"/>
        </w:rPr>
        <w:t>19 p.</w:t>
      </w:r>
    </w:p>
    <w:p w14:paraId="54FCCD7E" w14:textId="77777777" w:rsidR="00E93E41" w:rsidRPr="00E002E9" w:rsidRDefault="00E93E41">
      <w:pPr>
        <w:tabs>
          <w:tab w:val="left" w:pos="-2268"/>
        </w:tabs>
        <w:suppressAutoHyphens/>
        <w:overflowPunct/>
        <w:autoSpaceDE/>
        <w:autoSpaceDN/>
        <w:adjustRightInd/>
        <w:textAlignment w:val="auto"/>
        <w:rPr>
          <w:spacing w:val="-3"/>
        </w:rPr>
      </w:pPr>
    </w:p>
    <w:p w14:paraId="379C6FDD" w14:textId="77777777" w:rsidR="00E93E41" w:rsidRPr="00BD1319" w:rsidRDefault="00E93E41">
      <w:pPr>
        <w:tabs>
          <w:tab w:val="left" w:pos="-2268"/>
        </w:tabs>
        <w:suppressAutoHyphens/>
        <w:overflowPunct/>
        <w:autoSpaceDE/>
        <w:autoSpaceDN/>
        <w:adjustRightInd/>
        <w:textAlignment w:val="auto"/>
        <w:rPr>
          <w:spacing w:val="-3"/>
        </w:rPr>
      </w:pPr>
      <w:r w:rsidRPr="00BD1319">
        <w:rPr>
          <w:spacing w:val="-3"/>
        </w:rPr>
        <w:t>ZAPATA, L. &amp; USMA J. (Eds.). Guía de las especies migratorias de la biodiversidad en Colombia. Peces. Vol. 2. Bogotá, D.C. Colombia: Ministerio de Ambiente y Desarrollo Sostenible, WWF-Colombia, 2013. 486 p.</w:t>
      </w:r>
    </w:p>
    <w:p w14:paraId="6F8463D2" w14:textId="77777777" w:rsidR="00E93E41" w:rsidRPr="00BD1319" w:rsidRDefault="00E93E41" w:rsidP="00E93E41">
      <w:pPr>
        <w:overflowPunct/>
        <w:autoSpaceDE/>
        <w:autoSpaceDN/>
        <w:adjustRightInd/>
        <w:textAlignment w:val="auto"/>
        <w:rPr>
          <w:spacing w:val="-3"/>
        </w:rPr>
      </w:pPr>
    </w:p>
    <w:p w14:paraId="522AF105" w14:textId="01E9B5EA" w:rsidR="000339A1" w:rsidRPr="00BD1319" w:rsidRDefault="00E93E41" w:rsidP="009420F5">
      <w:pPr>
        <w:overflowPunct/>
        <w:autoSpaceDE/>
        <w:autoSpaceDN/>
        <w:adjustRightInd/>
        <w:textAlignment w:val="auto"/>
        <w:rPr>
          <w:spacing w:val="-3"/>
        </w:rPr>
      </w:pPr>
      <w:r w:rsidRPr="00BD1319">
        <w:rPr>
          <w:spacing w:val="-3"/>
        </w:rPr>
        <w:t>ZURBRIGGEN, C. Gobernanza: una mirada desde América Latina. Perfiles Latinoamericanos. 38 (2011); p. 39-64.</w:t>
      </w:r>
      <w:r w:rsidR="000339A1" w:rsidRPr="00BD1319">
        <w:rPr>
          <w:spacing w:val="-3"/>
        </w:rPr>
        <w:br w:type="page"/>
      </w:r>
    </w:p>
    <w:p w14:paraId="0DB683A9" w14:textId="02A78A56" w:rsidR="007D6428" w:rsidRPr="00BD1319" w:rsidRDefault="007D6428" w:rsidP="007D6428">
      <w:pPr>
        <w:pStyle w:val="Captulosinnumero"/>
        <w:rPr>
          <w:lang w:val="es-CO"/>
        </w:rPr>
      </w:pPr>
      <w:bookmarkStart w:id="11395" w:name="_Toc175326834"/>
      <w:r w:rsidRPr="00BD1319">
        <w:rPr>
          <w:lang w:val="es-CO"/>
        </w:rPr>
        <w:lastRenderedPageBreak/>
        <w:t xml:space="preserve">REFERENCIAS </w:t>
      </w:r>
      <w:r w:rsidR="002B1BEA" w:rsidRPr="00BD1319">
        <w:rPr>
          <w:lang w:val="es-CO"/>
        </w:rPr>
        <w:t xml:space="preserve">DE </w:t>
      </w:r>
      <w:r w:rsidRPr="00BD1319">
        <w:rPr>
          <w:lang w:val="es-CO"/>
        </w:rPr>
        <w:t xml:space="preserve">MÉTODOS </w:t>
      </w:r>
      <w:r w:rsidR="00AA07CC" w:rsidRPr="00BD1319">
        <w:rPr>
          <w:lang w:val="es-CO"/>
        </w:rPr>
        <w:t>DE EVALUACIÓN MULTICRITERIO</w:t>
      </w:r>
      <w:bookmarkEnd w:id="11395"/>
    </w:p>
    <w:p w14:paraId="02492BFC" w14:textId="77777777" w:rsidR="007D6428" w:rsidRPr="00BD1319" w:rsidRDefault="007D6428" w:rsidP="007D6428">
      <w:pPr>
        <w:overflowPunct/>
        <w:autoSpaceDE/>
        <w:autoSpaceDN/>
        <w:adjustRightInd/>
        <w:textAlignment w:val="auto"/>
        <w:rPr>
          <w:spacing w:val="-3"/>
        </w:rPr>
      </w:pPr>
    </w:p>
    <w:p w14:paraId="278268A1" w14:textId="35BA44B3" w:rsidR="007D6428" w:rsidRPr="00BD1319" w:rsidRDefault="007D6428" w:rsidP="007D6428">
      <w:pPr>
        <w:overflowPunct/>
        <w:autoSpaceDE/>
        <w:autoSpaceDN/>
        <w:adjustRightInd/>
        <w:textAlignment w:val="auto"/>
        <w:rPr>
          <w:spacing w:val="-3"/>
        </w:rPr>
      </w:pPr>
      <w:r w:rsidRPr="00BD1319">
        <w:rPr>
          <w:spacing w:val="-3"/>
        </w:rPr>
        <w:t xml:space="preserve">A continuación, se listan los documentos que </w:t>
      </w:r>
      <w:proofErr w:type="spellStart"/>
      <w:r w:rsidRPr="00BD1319">
        <w:rPr>
          <w:spacing w:val="-3"/>
        </w:rPr>
        <w:t>Guitouni</w:t>
      </w:r>
      <w:proofErr w:type="spellEnd"/>
      <w:r w:rsidRPr="00BD1319">
        <w:rPr>
          <w:spacing w:val="-3"/>
        </w:rPr>
        <w:t xml:space="preserve"> &amp; Martel (1998) citan como referencias y en los cuales es posible encontrar información detallada sobre los procedimientos de agregación de preferencias de los métodos de EMC señalados en la </w:t>
      </w:r>
      <w:r w:rsidR="009C61CC" w:rsidRPr="00BD1319">
        <w:rPr>
          <w:spacing w:val="-3"/>
        </w:rPr>
        <w:fldChar w:fldCharType="begin"/>
      </w:r>
      <w:r w:rsidR="009C61CC" w:rsidRPr="00BD1319">
        <w:rPr>
          <w:spacing w:val="-3"/>
        </w:rPr>
        <w:instrText xml:space="preserve"> REF _Ref138759265 \h </w:instrText>
      </w:r>
      <w:r w:rsidR="00BD1319">
        <w:rPr>
          <w:spacing w:val="-3"/>
        </w:rPr>
        <w:instrText xml:space="preserve"> \* MERGEFORMAT </w:instrText>
      </w:r>
      <w:r w:rsidR="009C61CC" w:rsidRPr="00BD1319">
        <w:rPr>
          <w:spacing w:val="-3"/>
        </w:rPr>
      </w:r>
      <w:r w:rsidR="009C61CC" w:rsidRPr="00BD1319">
        <w:rPr>
          <w:spacing w:val="-3"/>
        </w:rPr>
        <w:fldChar w:fldCharType="separate"/>
      </w:r>
      <w:r w:rsidR="00296654" w:rsidRPr="00BD1319">
        <w:t xml:space="preserve">Tabla </w:t>
      </w:r>
      <w:r w:rsidR="00296654" w:rsidRPr="00BD1319">
        <w:rPr>
          <w:noProof/>
        </w:rPr>
        <w:t>15</w:t>
      </w:r>
      <w:r w:rsidR="009C61CC" w:rsidRPr="00BD1319">
        <w:rPr>
          <w:spacing w:val="-3"/>
        </w:rPr>
        <w:fldChar w:fldCharType="end"/>
      </w:r>
      <w:r w:rsidRPr="00BD1319">
        <w:rPr>
          <w:spacing w:val="-3"/>
        </w:rPr>
        <w:t xml:space="preserve"> (ver columna 15):</w:t>
      </w:r>
    </w:p>
    <w:p w14:paraId="269EE8C2" w14:textId="77777777" w:rsidR="007D6428" w:rsidRPr="00BD1319" w:rsidRDefault="007D6428" w:rsidP="007D6428">
      <w:pPr>
        <w:overflowPunct/>
        <w:autoSpaceDE/>
        <w:autoSpaceDN/>
        <w:adjustRightInd/>
        <w:textAlignment w:val="auto"/>
        <w:rPr>
          <w:spacing w:val="-3"/>
        </w:rPr>
      </w:pPr>
    </w:p>
    <w:p w14:paraId="6BA864FE" w14:textId="631BE609" w:rsidR="004C7C58" w:rsidRPr="00BD1319" w:rsidRDefault="006B5FEA" w:rsidP="00511F41">
      <w:pPr>
        <w:numPr>
          <w:ilvl w:val="0"/>
          <w:numId w:val="672"/>
        </w:numPr>
        <w:overflowPunct/>
        <w:autoSpaceDE/>
        <w:autoSpaceDN/>
        <w:adjustRightInd/>
        <w:ind w:left="567" w:hanging="567"/>
        <w:textAlignment w:val="auto"/>
        <w:rPr>
          <w:spacing w:val="-3"/>
        </w:rPr>
      </w:pPr>
      <w:r w:rsidRPr="00BD1319">
        <w:rPr>
          <w:spacing w:val="-3"/>
          <w:lang w:val="en-US"/>
        </w:rPr>
        <w:t>BAAS, S., KWAKERNAAK</w:t>
      </w:r>
      <w:r w:rsidR="004C7C58" w:rsidRPr="00BD1319">
        <w:rPr>
          <w:spacing w:val="-3"/>
          <w:lang w:val="en-US"/>
        </w:rPr>
        <w:t xml:space="preserve">, H. Rating and ranking of multiple aspect alternative using fuzzy sets. </w:t>
      </w:r>
      <w:proofErr w:type="spellStart"/>
      <w:r w:rsidR="004C7C58" w:rsidRPr="00BD1319">
        <w:rPr>
          <w:spacing w:val="-3"/>
        </w:rPr>
        <w:t>Automatica</w:t>
      </w:r>
      <w:proofErr w:type="spellEnd"/>
      <w:r w:rsidR="004C7C58" w:rsidRPr="00BD1319">
        <w:rPr>
          <w:spacing w:val="-3"/>
        </w:rPr>
        <w:t xml:space="preserve"> 13 (1977); p 47–58.</w:t>
      </w:r>
    </w:p>
    <w:p w14:paraId="36375138" w14:textId="323E7BED" w:rsidR="004C7C58" w:rsidRPr="00BD1319" w:rsidRDefault="006B5FEA" w:rsidP="00511F41">
      <w:pPr>
        <w:numPr>
          <w:ilvl w:val="0"/>
          <w:numId w:val="672"/>
        </w:numPr>
        <w:overflowPunct/>
        <w:autoSpaceDE/>
        <w:autoSpaceDN/>
        <w:adjustRightInd/>
        <w:ind w:left="567" w:hanging="567"/>
        <w:textAlignment w:val="auto"/>
        <w:rPr>
          <w:spacing w:val="-3"/>
        </w:rPr>
      </w:pPr>
      <w:r w:rsidRPr="00BD1319">
        <w:rPr>
          <w:spacing w:val="-3"/>
          <w:lang w:val="en-US"/>
        </w:rPr>
        <w:t>BELLMAN, R. &amp; ZADEH</w:t>
      </w:r>
      <w:r w:rsidR="004C7C58" w:rsidRPr="00BD1319">
        <w:rPr>
          <w:spacing w:val="-3"/>
          <w:lang w:val="en-US"/>
        </w:rPr>
        <w:t xml:space="preserve">, L. Decision making in a fuzzy environment. </w:t>
      </w:r>
      <w:r w:rsidR="004C7C58" w:rsidRPr="00BD1319">
        <w:rPr>
          <w:spacing w:val="-3"/>
        </w:rPr>
        <w:t xml:space="preserve">Management </w:t>
      </w:r>
      <w:proofErr w:type="spellStart"/>
      <w:r w:rsidR="004C7C58" w:rsidRPr="00BD1319">
        <w:rPr>
          <w:spacing w:val="-3"/>
        </w:rPr>
        <w:t>Sci</w:t>
      </w:r>
      <w:proofErr w:type="spellEnd"/>
      <w:r w:rsidR="004C7C58" w:rsidRPr="00BD1319">
        <w:rPr>
          <w:spacing w:val="-3"/>
        </w:rPr>
        <w:t>. 17B, 4 (1970): p 141–164.</w:t>
      </w:r>
    </w:p>
    <w:p w14:paraId="0333AF62" w14:textId="77924295" w:rsidR="004C7C58" w:rsidRPr="00BD1319" w:rsidRDefault="006B5FEA" w:rsidP="00511F41">
      <w:pPr>
        <w:numPr>
          <w:ilvl w:val="0"/>
          <w:numId w:val="672"/>
        </w:numPr>
        <w:overflowPunct/>
        <w:autoSpaceDE/>
        <w:autoSpaceDN/>
        <w:adjustRightInd/>
        <w:ind w:left="567" w:hanging="567"/>
        <w:textAlignment w:val="auto"/>
        <w:rPr>
          <w:spacing w:val="-3"/>
          <w:lang w:val="en-US"/>
        </w:rPr>
      </w:pPr>
      <w:r w:rsidRPr="00BD1319">
        <w:rPr>
          <w:spacing w:val="-3"/>
          <w:lang w:val="en-US"/>
        </w:rPr>
        <w:t xml:space="preserve">BRANS, J., VINCKE, </w:t>
      </w:r>
      <w:r w:rsidR="004C7C58" w:rsidRPr="00BD1319">
        <w:rPr>
          <w:spacing w:val="-3"/>
          <w:lang w:val="en-US"/>
        </w:rPr>
        <w:t xml:space="preserve">P. A preference ranking </w:t>
      </w:r>
      <w:proofErr w:type="spellStart"/>
      <w:r w:rsidR="004C7C58" w:rsidRPr="00BD1319">
        <w:rPr>
          <w:spacing w:val="-3"/>
          <w:lang w:val="en-US"/>
        </w:rPr>
        <w:t>organisation</w:t>
      </w:r>
      <w:proofErr w:type="spellEnd"/>
      <w:r w:rsidR="004C7C58" w:rsidRPr="00BD1319">
        <w:rPr>
          <w:spacing w:val="-3"/>
          <w:lang w:val="en-US"/>
        </w:rPr>
        <w:t xml:space="preserve"> method (the PROMETHEE method for multiple criteria decision-making). Management Sci. 31, 6 (1985); p 647– 656.</w:t>
      </w:r>
    </w:p>
    <w:p w14:paraId="70DBF480" w14:textId="7BEFF777" w:rsidR="004C7C58" w:rsidRPr="00BD1319" w:rsidRDefault="006B5FEA" w:rsidP="00511F41">
      <w:pPr>
        <w:numPr>
          <w:ilvl w:val="0"/>
          <w:numId w:val="672"/>
        </w:numPr>
        <w:overflowPunct/>
        <w:autoSpaceDE/>
        <w:autoSpaceDN/>
        <w:adjustRightInd/>
        <w:ind w:left="567" w:hanging="567"/>
        <w:textAlignment w:val="auto"/>
        <w:rPr>
          <w:spacing w:val="-3"/>
        </w:rPr>
      </w:pPr>
      <w:r w:rsidRPr="00BD1319">
        <w:rPr>
          <w:spacing w:val="-3"/>
          <w:lang w:val="en-US"/>
        </w:rPr>
        <w:t>BRANS, J., MARESCHAL, B., VINCKE</w:t>
      </w:r>
      <w:r w:rsidR="004C7C58" w:rsidRPr="00BD1319">
        <w:rPr>
          <w:spacing w:val="-3"/>
          <w:lang w:val="en-US"/>
        </w:rPr>
        <w:t xml:space="preserve">, </w:t>
      </w:r>
      <w:r w:rsidR="00511F41" w:rsidRPr="00BD1319">
        <w:rPr>
          <w:spacing w:val="-3"/>
          <w:lang w:val="en-US"/>
        </w:rPr>
        <w:t xml:space="preserve">P. </w:t>
      </w:r>
      <w:r w:rsidR="004C7C58" w:rsidRPr="00BD1319">
        <w:rPr>
          <w:spacing w:val="-3"/>
          <w:lang w:val="en-US"/>
        </w:rPr>
        <w:t>PROMETHEE: A new family of outranking methods in multicriteria analysis</w:t>
      </w:r>
      <w:r w:rsidR="00511F41" w:rsidRPr="00BD1319">
        <w:rPr>
          <w:spacing w:val="-3"/>
          <w:lang w:val="en-US"/>
        </w:rPr>
        <w:t>.</w:t>
      </w:r>
      <w:r w:rsidR="004C7C58" w:rsidRPr="00BD1319">
        <w:rPr>
          <w:spacing w:val="-3"/>
          <w:lang w:val="en-US"/>
        </w:rPr>
        <w:t xml:space="preserve"> </w:t>
      </w:r>
      <w:r w:rsidR="00511F41" w:rsidRPr="005A685F">
        <w:rPr>
          <w:spacing w:val="-3"/>
          <w:lang w:val="en-US"/>
        </w:rPr>
        <w:t>E</w:t>
      </w:r>
      <w:r w:rsidR="004C7C58" w:rsidRPr="005A685F">
        <w:rPr>
          <w:spacing w:val="-3"/>
          <w:lang w:val="en-US"/>
        </w:rPr>
        <w:t xml:space="preserve">n: </w:t>
      </w:r>
      <w:r w:rsidR="00511F41" w:rsidRPr="005A685F">
        <w:rPr>
          <w:spacing w:val="-3"/>
          <w:lang w:val="en-US"/>
        </w:rPr>
        <w:t xml:space="preserve">BRANS, J. </w:t>
      </w:r>
      <w:r w:rsidR="004C7C58" w:rsidRPr="005A685F">
        <w:rPr>
          <w:spacing w:val="-3"/>
          <w:lang w:val="en-US"/>
        </w:rPr>
        <w:t>(Ed.)</w:t>
      </w:r>
      <w:r w:rsidR="00511F41" w:rsidRPr="005A685F">
        <w:rPr>
          <w:spacing w:val="-3"/>
          <w:lang w:val="en-US"/>
        </w:rPr>
        <w:t>.</w:t>
      </w:r>
      <w:r w:rsidR="004C7C58" w:rsidRPr="005A685F">
        <w:rPr>
          <w:spacing w:val="-3"/>
          <w:lang w:val="en-US"/>
        </w:rPr>
        <w:t xml:space="preserve"> </w:t>
      </w:r>
      <w:proofErr w:type="spellStart"/>
      <w:r w:rsidR="004C7C58" w:rsidRPr="00BD1319">
        <w:rPr>
          <w:spacing w:val="-3"/>
        </w:rPr>
        <w:t>Operational</w:t>
      </w:r>
      <w:proofErr w:type="spellEnd"/>
      <w:r w:rsidR="004C7C58" w:rsidRPr="00BD1319">
        <w:rPr>
          <w:spacing w:val="-3"/>
        </w:rPr>
        <w:t xml:space="preserve"> Research’84</w:t>
      </w:r>
      <w:r w:rsidR="00511F41" w:rsidRPr="00BD1319">
        <w:rPr>
          <w:spacing w:val="-3"/>
        </w:rPr>
        <w:t>.</w:t>
      </w:r>
      <w:r w:rsidR="004C7C58" w:rsidRPr="00BD1319">
        <w:rPr>
          <w:spacing w:val="-3"/>
        </w:rPr>
        <w:t xml:space="preserve"> </w:t>
      </w:r>
      <w:proofErr w:type="spellStart"/>
      <w:r w:rsidR="004C7C58" w:rsidRPr="00BD1319">
        <w:rPr>
          <w:spacing w:val="-3"/>
        </w:rPr>
        <w:t>Amsterdam</w:t>
      </w:r>
      <w:proofErr w:type="spellEnd"/>
      <w:r w:rsidR="00511F41" w:rsidRPr="00BD1319">
        <w:rPr>
          <w:spacing w:val="-3"/>
        </w:rPr>
        <w:t>: Elsevier</w:t>
      </w:r>
      <w:r w:rsidR="004C7C58" w:rsidRPr="00BD1319">
        <w:rPr>
          <w:spacing w:val="-3"/>
        </w:rPr>
        <w:t>, 1984, p. 408–421.</w:t>
      </w:r>
    </w:p>
    <w:p w14:paraId="413FD1A8" w14:textId="09D8C21B" w:rsidR="004C7C58" w:rsidRPr="00BD1319" w:rsidRDefault="006B5FEA" w:rsidP="00511F41">
      <w:pPr>
        <w:numPr>
          <w:ilvl w:val="0"/>
          <w:numId w:val="672"/>
        </w:numPr>
        <w:overflowPunct/>
        <w:autoSpaceDE/>
        <w:autoSpaceDN/>
        <w:adjustRightInd/>
        <w:ind w:left="567" w:hanging="567"/>
        <w:textAlignment w:val="auto"/>
        <w:rPr>
          <w:spacing w:val="-3"/>
        </w:rPr>
      </w:pPr>
      <w:r w:rsidRPr="00BD1319">
        <w:rPr>
          <w:spacing w:val="-3"/>
          <w:lang w:val="en-US"/>
        </w:rPr>
        <w:t>BUNN</w:t>
      </w:r>
      <w:r w:rsidR="004C7C58" w:rsidRPr="00BD1319">
        <w:rPr>
          <w:spacing w:val="-3"/>
          <w:lang w:val="en-US"/>
        </w:rPr>
        <w:t xml:space="preserve">, </w:t>
      </w:r>
      <w:r w:rsidR="004E574B" w:rsidRPr="00BD1319">
        <w:rPr>
          <w:spacing w:val="-3"/>
          <w:lang w:val="en-US"/>
        </w:rPr>
        <w:t xml:space="preserve">D. </w:t>
      </w:r>
      <w:r w:rsidR="004C7C58" w:rsidRPr="00BD1319">
        <w:rPr>
          <w:spacing w:val="-3"/>
          <w:lang w:val="en-US"/>
        </w:rPr>
        <w:t>Applied Decision Analysis</w:t>
      </w:r>
      <w:r w:rsidR="004E574B" w:rsidRPr="00BD1319">
        <w:rPr>
          <w:spacing w:val="-3"/>
          <w:lang w:val="en-US"/>
        </w:rPr>
        <w:t>.</w:t>
      </w:r>
      <w:r w:rsidR="004C7C58" w:rsidRPr="00BD1319">
        <w:rPr>
          <w:spacing w:val="-3"/>
          <w:lang w:val="en-US"/>
        </w:rPr>
        <w:t xml:space="preserve"> </w:t>
      </w:r>
      <w:r w:rsidR="004C7C58" w:rsidRPr="00BD1319">
        <w:rPr>
          <w:spacing w:val="-3"/>
        </w:rPr>
        <w:t>New York</w:t>
      </w:r>
      <w:r w:rsidR="004E574B" w:rsidRPr="00BD1319">
        <w:rPr>
          <w:spacing w:val="-3"/>
        </w:rPr>
        <w:t>: McGraw Hill,</w:t>
      </w:r>
      <w:r w:rsidR="004C7C58" w:rsidRPr="00BD1319">
        <w:rPr>
          <w:spacing w:val="-3"/>
        </w:rPr>
        <w:t xml:space="preserve"> 1984.</w:t>
      </w:r>
    </w:p>
    <w:p w14:paraId="485AEDE0" w14:textId="202B0FD8" w:rsidR="004C7C58" w:rsidRPr="00BD1319" w:rsidRDefault="006B5FEA" w:rsidP="00511F41">
      <w:pPr>
        <w:numPr>
          <w:ilvl w:val="0"/>
          <w:numId w:val="672"/>
        </w:numPr>
        <w:overflowPunct/>
        <w:autoSpaceDE/>
        <w:autoSpaceDN/>
        <w:adjustRightInd/>
        <w:ind w:left="567" w:hanging="567"/>
        <w:textAlignment w:val="auto"/>
        <w:rPr>
          <w:spacing w:val="-3"/>
        </w:rPr>
      </w:pPr>
      <w:r w:rsidRPr="00BD1319">
        <w:rPr>
          <w:spacing w:val="-3"/>
          <w:lang w:val="en-US"/>
        </w:rPr>
        <w:t>CHEN, S., HWANG</w:t>
      </w:r>
      <w:r w:rsidR="004C7C58" w:rsidRPr="00BD1319">
        <w:rPr>
          <w:spacing w:val="-3"/>
          <w:lang w:val="en-US"/>
        </w:rPr>
        <w:t xml:space="preserve">, </w:t>
      </w:r>
      <w:r w:rsidR="004E574B" w:rsidRPr="00BD1319">
        <w:rPr>
          <w:spacing w:val="-3"/>
          <w:lang w:val="en-US"/>
        </w:rPr>
        <w:t xml:space="preserve">C. </w:t>
      </w:r>
      <w:r w:rsidR="004C7C58" w:rsidRPr="00BD1319">
        <w:rPr>
          <w:spacing w:val="-3"/>
          <w:lang w:val="en-US"/>
        </w:rPr>
        <w:t>Fuzzy Multiple Attribute Decision Making: Methods and Applications</w:t>
      </w:r>
      <w:r w:rsidR="004E574B" w:rsidRPr="00BD1319">
        <w:rPr>
          <w:spacing w:val="-3"/>
          <w:lang w:val="en-US"/>
        </w:rPr>
        <w:t>.</w:t>
      </w:r>
      <w:r w:rsidR="004C7C58" w:rsidRPr="00BD1319">
        <w:rPr>
          <w:spacing w:val="-3"/>
          <w:lang w:val="en-US"/>
        </w:rPr>
        <w:t xml:space="preserve"> </w:t>
      </w:r>
      <w:proofErr w:type="spellStart"/>
      <w:r w:rsidR="004C7C58" w:rsidRPr="00BD1319">
        <w:rPr>
          <w:spacing w:val="-3"/>
        </w:rPr>
        <w:t>Berlin</w:t>
      </w:r>
      <w:proofErr w:type="spellEnd"/>
      <w:r w:rsidR="004E574B" w:rsidRPr="00BD1319">
        <w:rPr>
          <w:spacing w:val="-3"/>
        </w:rPr>
        <w:t>: Springer</w:t>
      </w:r>
      <w:r w:rsidR="004C7C58" w:rsidRPr="00BD1319">
        <w:rPr>
          <w:spacing w:val="-3"/>
        </w:rPr>
        <w:t>, 1992.</w:t>
      </w:r>
    </w:p>
    <w:p w14:paraId="63648E07" w14:textId="4520CC2D" w:rsidR="004C7C58" w:rsidRPr="00BD1319" w:rsidRDefault="006B5FEA" w:rsidP="00511F41">
      <w:pPr>
        <w:numPr>
          <w:ilvl w:val="0"/>
          <w:numId w:val="672"/>
        </w:numPr>
        <w:overflowPunct/>
        <w:autoSpaceDE/>
        <w:autoSpaceDN/>
        <w:adjustRightInd/>
        <w:ind w:left="567" w:hanging="567"/>
        <w:textAlignment w:val="auto"/>
        <w:rPr>
          <w:spacing w:val="-3"/>
          <w:lang w:val="en-US"/>
        </w:rPr>
      </w:pPr>
      <w:r w:rsidRPr="00BD1319">
        <w:rPr>
          <w:spacing w:val="-3"/>
          <w:lang w:val="en-US"/>
        </w:rPr>
        <w:t>CHURCHMAN, C., ACKOFF</w:t>
      </w:r>
      <w:r w:rsidR="004C7C58" w:rsidRPr="00BD1319">
        <w:rPr>
          <w:spacing w:val="-3"/>
          <w:lang w:val="en-US"/>
        </w:rPr>
        <w:t xml:space="preserve">, </w:t>
      </w:r>
      <w:r w:rsidR="003C60ED" w:rsidRPr="00BD1319">
        <w:rPr>
          <w:spacing w:val="-3"/>
          <w:lang w:val="en-US"/>
        </w:rPr>
        <w:t xml:space="preserve">R. </w:t>
      </w:r>
      <w:r w:rsidR="004C7C58" w:rsidRPr="00BD1319">
        <w:rPr>
          <w:spacing w:val="-3"/>
          <w:lang w:val="en-US"/>
        </w:rPr>
        <w:t>An approximate measure of value</w:t>
      </w:r>
      <w:r w:rsidR="003C60ED" w:rsidRPr="00BD1319">
        <w:rPr>
          <w:spacing w:val="-3"/>
          <w:lang w:val="en-US"/>
        </w:rPr>
        <w:t>.</w:t>
      </w:r>
      <w:r w:rsidR="004C7C58" w:rsidRPr="00BD1319">
        <w:rPr>
          <w:spacing w:val="-3"/>
          <w:lang w:val="en-US"/>
        </w:rPr>
        <w:t xml:space="preserve"> J. Oper. Res. Soc. Am. 2 (1954)</w:t>
      </w:r>
      <w:r w:rsidR="003C60ED" w:rsidRPr="00BD1319">
        <w:rPr>
          <w:spacing w:val="-3"/>
          <w:lang w:val="en-US"/>
        </w:rPr>
        <w:t>;</w:t>
      </w:r>
      <w:r w:rsidR="004C7C58" w:rsidRPr="00BD1319">
        <w:rPr>
          <w:spacing w:val="-3"/>
          <w:lang w:val="en-US"/>
        </w:rPr>
        <w:t xml:space="preserve"> </w:t>
      </w:r>
      <w:r w:rsidR="003C60ED" w:rsidRPr="00BD1319">
        <w:rPr>
          <w:spacing w:val="-3"/>
          <w:lang w:val="en-US"/>
        </w:rPr>
        <w:t xml:space="preserve">p </w:t>
      </w:r>
      <w:r w:rsidR="004C7C58" w:rsidRPr="00BD1319">
        <w:rPr>
          <w:spacing w:val="-3"/>
          <w:lang w:val="en-US"/>
        </w:rPr>
        <w:t>172–187.</w:t>
      </w:r>
    </w:p>
    <w:p w14:paraId="23A992B6" w14:textId="5F6DEEEA" w:rsidR="004C7C58" w:rsidRPr="00BD1319" w:rsidRDefault="006B5FEA" w:rsidP="00511F41">
      <w:pPr>
        <w:numPr>
          <w:ilvl w:val="0"/>
          <w:numId w:val="672"/>
        </w:numPr>
        <w:overflowPunct/>
        <w:autoSpaceDE/>
        <w:autoSpaceDN/>
        <w:adjustRightInd/>
        <w:ind w:left="567" w:hanging="567"/>
        <w:textAlignment w:val="auto"/>
        <w:rPr>
          <w:spacing w:val="-3"/>
          <w:lang w:val="en-US"/>
        </w:rPr>
      </w:pPr>
      <w:r w:rsidRPr="00BD1319">
        <w:rPr>
          <w:spacing w:val="-3"/>
          <w:lang w:val="en-US"/>
        </w:rPr>
        <w:t>DUBOIS, D., PRADE</w:t>
      </w:r>
      <w:r w:rsidR="004C7C58" w:rsidRPr="00BD1319">
        <w:rPr>
          <w:spacing w:val="-3"/>
          <w:lang w:val="en-US"/>
        </w:rPr>
        <w:t>,</w:t>
      </w:r>
      <w:r w:rsidR="00185E17" w:rsidRPr="00BD1319">
        <w:rPr>
          <w:spacing w:val="-3"/>
          <w:lang w:val="en-US"/>
        </w:rPr>
        <w:t xml:space="preserve"> H.</w:t>
      </w:r>
      <w:r w:rsidR="004C7C58" w:rsidRPr="00BD1319">
        <w:rPr>
          <w:spacing w:val="-3"/>
          <w:lang w:val="en-US"/>
        </w:rPr>
        <w:t xml:space="preserve"> The use of fuzzy numbers in decision analysis</w:t>
      </w:r>
      <w:r w:rsidR="00185E17" w:rsidRPr="00BD1319">
        <w:rPr>
          <w:spacing w:val="-3"/>
          <w:lang w:val="en-US"/>
        </w:rPr>
        <w:t>.</w:t>
      </w:r>
      <w:r w:rsidR="004C7C58" w:rsidRPr="00BD1319">
        <w:rPr>
          <w:spacing w:val="-3"/>
          <w:lang w:val="en-US"/>
        </w:rPr>
        <w:t xml:space="preserve"> </w:t>
      </w:r>
      <w:r w:rsidR="00185E17" w:rsidRPr="00BD1319">
        <w:rPr>
          <w:spacing w:val="-3"/>
          <w:lang w:val="en-US"/>
        </w:rPr>
        <w:t>E</w:t>
      </w:r>
      <w:r w:rsidR="004C7C58" w:rsidRPr="00BD1319">
        <w:rPr>
          <w:spacing w:val="-3"/>
          <w:lang w:val="en-US"/>
        </w:rPr>
        <w:t xml:space="preserve">n: </w:t>
      </w:r>
      <w:r w:rsidRPr="00BD1319">
        <w:rPr>
          <w:spacing w:val="-3"/>
          <w:lang w:val="en-US"/>
        </w:rPr>
        <w:t>GUPTA, M. SANCHEZ</w:t>
      </w:r>
      <w:r w:rsidR="00185E17" w:rsidRPr="00BD1319">
        <w:rPr>
          <w:spacing w:val="-3"/>
          <w:lang w:val="en-US"/>
        </w:rPr>
        <w:t>, E.</w:t>
      </w:r>
      <w:r w:rsidR="004C7C58" w:rsidRPr="00BD1319">
        <w:rPr>
          <w:spacing w:val="-3"/>
          <w:lang w:val="en-US"/>
        </w:rPr>
        <w:t xml:space="preserve"> (Eds.)</w:t>
      </w:r>
      <w:r w:rsidR="00185E17" w:rsidRPr="00BD1319">
        <w:rPr>
          <w:spacing w:val="-3"/>
          <w:lang w:val="en-US"/>
        </w:rPr>
        <w:t>.</w:t>
      </w:r>
      <w:r w:rsidR="004C7C58" w:rsidRPr="00BD1319">
        <w:rPr>
          <w:spacing w:val="-3"/>
          <w:lang w:val="en-US"/>
        </w:rPr>
        <w:t xml:space="preserve"> Fuzzy Information and Decision Processes</w:t>
      </w:r>
      <w:r w:rsidR="00B1120A" w:rsidRPr="00BD1319">
        <w:rPr>
          <w:spacing w:val="-3"/>
          <w:lang w:val="en-US"/>
        </w:rPr>
        <w:t>.</w:t>
      </w:r>
      <w:r w:rsidR="004C7C58" w:rsidRPr="00BD1319">
        <w:rPr>
          <w:spacing w:val="-3"/>
          <w:lang w:val="en-US"/>
        </w:rPr>
        <w:t xml:space="preserve"> Amsterdam</w:t>
      </w:r>
      <w:r w:rsidR="00B1120A" w:rsidRPr="00BD1319">
        <w:rPr>
          <w:spacing w:val="-3"/>
          <w:lang w:val="en-US"/>
        </w:rPr>
        <w:t>: North-Holland</w:t>
      </w:r>
      <w:r w:rsidR="004C7C58" w:rsidRPr="00BD1319">
        <w:rPr>
          <w:spacing w:val="-3"/>
          <w:lang w:val="en-US"/>
        </w:rPr>
        <w:t>, 1982, p 309–321.</w:t>
      </w:r>
    </w:p>
    <w:p w14:paraId="3B6E26BC" w14:textId="5A055FD7" w:rsidR="004C7C58" w:rsidRPr="00BD1319" w:rsidRDefault="006B5FEA" w:rsidP="00511F41">
      <w:pPr>
        <w:numPr>
          <w:ilvl w:val="0"/>
          <w:numId w:val="672"/>
        </w:numPr>
        <w:overflowPunct/>
        <w:autoSpaceDE/>
        <w:autoSpaceDN/>
        <w:adjustRightInd/>
        <w:ind w:left="567" w:hanging="567"/>
        <w:textAlignment w:val="auto"/>
        <w:rPr>
          <w:spacing w:val="-3"/>
        </w:rPr>
      </w:pPr>
      <w:r w:rsidRPr="00BD1319">
        <w:rPr>
          <w:spacing w:val="-3"/>
          <w:lang w:val="en-US"/>
        </w:rPr>
        <w:t>DUBOIS, D., PRADE, H., TESTEMALE, C.</w:t>
      </w:r>
      <w:r w:rsidR="004C7C58" w:rsidRPr="00BD1319">
        <w:rPr>
          <w:spacing w:val="-3"/>
          <w:lang w:val="en-US"/>
        </w:rPr>
        <w:t xml:space="preserve"> Weighted fuzzy pattern matching</w:t>
      </w:r>
      <w:r w:rsidRPr="00BD1319">
        <w:rPr>
          <w:spacing w:val="-3"/>
          <w:lang w:val="en-US"/>
        </w:rPr>
        <w:t>.</w:t>
      </w:r>
      <w:r w:rsidR="004C7C58" w:rsidRPr="00BD1319">
        <w:rPr>
          <w:spacing w:val="-3"/>
          <w:lang w:val="en-US"/>
        </w:rPr>
        <w:t xml:space="preserve"> </w:t>
      </w:r>
      <w:r w:rsidR="004C7C58" w:rsidRPr="005A685F">
        <w:rPr>
          <w:spacing w:val="-3"/>
          <w:lang w:val="en-US"/>
        </w:rPr>
        <w:t>Fuzzy Sets and Systems</w:t>
      </w:r>
      <w:r w:rsidRPr="005A685F">
        <w:rPr>
          <w:spacing w:val="-3"/>
          <w:lang w:val="en-US"/>
        </w:rPr>
        <w:t>.</w:t>
      </w:r>
      <w:r w:rsidR="004C7C58" w:rsidRPr="005A685F">
        <w:rPr>
          <w:spacing w:val="-3"/>
          <w:lang w:val="en-US"/>
        </w:rPr>
        <w:t xml:space="preserve"> </w:t>
      </w:r>
      <w:r w:rsidR="004C7C58" w:rsidRPr="00BD1319">
        <w:rPr>
          <w:spacing w:val="-3"/>
        </w:rPr>
        <w:t>28</w:t>
      </w:r>
      <w:r w:rsidRPr="00BD1319">
        <w:rPr>
          <w:spacing w:val="-3"/>
        </w:rPr>
        <w:t>,</w:t>
      </w:r>
      <w:r w:rsidR="004C7C58" w:rsidRPr="00BD1319">
        <w:rPr>
          <w:spacing w:val="-3"/>
        </w:rPr>
        <w:t xml:space="preserve"> 3 (1988)</w:t>
      </w:r>
      <w:r w:rsidRPr="00BD1319">
        <w:rPr>
          <w:spacing w:val="-3"/>
        </w:rPr>
        <w:t>; p</w:t>
      </w:r>
      <w:r w:rsidR="004C7C58" w:rsidRPr="00BD1319">
        <w:rPr>
          <w:spacing w:val="-3"/>
        </w:rPr>
        <w:t xml:space="preserve"> 313–331.</w:t>
      </w:r>
    </w:p>
    <w:p w14:paraId="0BD0D33E" w14:textId="70262400" w:rsidR="004C7C58" w:rsidRPr="00BD1319" w:rsidRDefault="007D32A9" w:rsidP="00511F41">
      <w:pPr>
        <w:numPr>
          <w:ilvl w:val="0"/>
          <w:numId w:val="672"/>
        </w:numPr>
        <w:overflowPunct/>
        <w:autoSpaceDE/>
        <w:autoSpaceDN/>
        <w:adjustRightInd/>
        <w:ind w:left="567" w:hanging="567"/>
        <w:textAlignment w:val="auto"/>
        <w:rPr>
          <w:spacing w:val="-3"/>
          <w:lang w:val="en-US"/>
        </w:rPr>
      </w:pPr>
      <w:r w:rsidRPr="00BD1319">
        <w:rPr>
          <w:spacing w:val="-3"/>
          <w:lang w:val="en-US"/>
        </w:rPr>
        <w:t xml:space="preserve">EDWARDS, W. </w:t>
      </w:r>
      <w:r w:rsidR="004C7C58" w:rsidRPr="00BD1319">
        <w:rPr>
          <w:spacing w:val="-3"/>
          <w:lang w:val="en-US"/>
        </w:rPr>
        <w:t>Social utilities</w:t>
      </w:r>
      <w:r w:rsidRPr="00BD1319">
        <w:rPr>
          <w:spacing w:val="-3"/>
          <w:lang w:val="en-US"/>
        </w:rPr>
        <w:t>.</w:t>
      </w:r>
      <w:r w:rsidR="004C7C58" w:rsidRPr="00BD1319">
        <w:rPr>
          <w:spacing w:val="-3"/>
          <w:lang w:val="en-US"/>
        </w:rPr>
        <w:t xml:space="preserve"> Eng. Economist Summer Symp. Ser. 6 (1971)</w:t>
      </w:r>
      <w:r w:rsidRPr="00BD1319">
        <w:rPr>
          <w:spacing w:val="-3"/>
          <w:lang w:val="en-US"/>
        </w:rPr>
        <w:t>; p</w:t>
      </w:r>
      <w:r w:rsidR="004C7C58" w:rsidRPr="00BD1319">
        <w:rPr>
          <w:spacing w:val="-3"/>
          <w:lang w:val="en-US"/>
        </w:rPr>
        <w:t xml:space="preserve"> 116–129.</w:t>
      </w:r>
    </w:p>
    <w:p w14:paraId="654495F0" w14:textId="197DE9AC" w:rsidR="004C7C58" w:rsidRPr="00BD1319" w:rsidRDefault="007D32A9" w:rsidP="00511F41">
      <w:pPr>
        <w:numPr>
          <w:ilvl w:val="0"/>
          <w:numId w:val="672"/>
        </w:numPr>
        <w:overflowPunct/>
        <w:autoSpaceDE/>
        <w:autoSpaceDN/>
        <w:adjustRightInd/>
        <w:ind w:left="567" w:hanging="567"/>
        <w:textAlignment w:val="auto"/>
        <w:rPr>
          <w:spacing w:val="-3"/>
        </w:rPr>
      </w:pPr>
      <w:r w:rsidRPr="00BD1319">
        <w:rPr>
          <w:spacing w:val="-3"/>
          <w:lang w:val="en-US"/>
        </w:rPr>
        <w:t xml:space="preserve">EDWARDS, W. </w:t>
      </w:r>
      <w:r w:rsidR="004C7C58" w:rsidRPr="00BD1319">
        <w:rPr>
          <w:spacing w:val="-3"/>
          <w:lang w:val="en-US"/>
        </w:rPr>
        <w:t xml:space="preserve">How to use </w:t>
      </w:r>
      <w:proofErr w:type="spellStart"/>
      <w:r w:rsidR="004C7C58" w:rsidRPr="00BD1319">
        <w:rPr>
          <w:spacing w:val="-3"/>
          <w:lang w:val="en-US"/>
        </w:rPr>
        <w:t>multiattribute</w:t>
      </w:r>
      <w:proofErr w:type="spellEnd"/>
      <w:r w:rsidR="004C7C58" w:rsidRPr="00BD1319">
        <w:rPr>
          <w:spacing w:val="-3"/>
          <w:lang w:val="en-US"/>
        </w:rPr>
        <w:t xml:space="preserve"> utility measurement for social decision making</w:t>
      </w:r>
      <w:r w:rsidRPr="00BD1319">
        <w:rPr>
          <w:spacing w:val="-3"/>
          <w:lang w:val="en-US"/>
        </w:rPr>
        <w:t>.</w:t>
      </w:r>
      <w:r w:rsidR="004C7C58" w:rsidRPr="00BD1319">
        <w:rPr>
          <w:spacing w:val="-3"/>
          <w:lang w:val="en-US"/>
        </w:rPr>
        <w:t xml:space="preserve"> </w:t>
      </w:r>
      <w:r w:rsidR="004C7C58" w:rsidRPr="00BD1319">
        <w:rPr>
          <w:spacing w:val="-3"/>
        </w:rPr>
        <w:t xml:space="preserve">IEEE Trans. </w:t>
      </w:r>
      <w:proofErr w:type="spellStart"/>
      <w:r w:rsidR="004C7C58" w:rsidRPr="00BD1319">
        <w:rPr>
          <w:spacing w:val="-3"/>
        </w:rPr>
        <w:t>Systems</w:t>
      </w:r>
      <w:proofErr w:type="spellEnd"/>
      <w:r w:rsidR="004C7C58" w:rsidRPr="00BD1319">
        <w:rPr>
          <w:spacing w:val="-3"/>
        </w:rPr>
        <w:t xml:space="preserve"> Man </w:t>
      </w:r>
      <w:proofErr w:type="spellStart"/>
      <w:r w:rsidR="004C7C58" w:rsidRPr="00BD1319">
        <w:rPr>
          <w:spacing w:val="-3"/>
        </w:rPr>
        <w:t>Cybernet</w:t>
      </w:r>
      <w:proofErr w:type="spellEnd"/>
      <w:r w:rsidR="004C7C58" w:rsidRPr="00BD1319">
        <w:rPr>
          <w:spacing w:val="-3"/>
        </w:rPr>
        <w:t>. SMC 7</w:t>
      </w:r>
      <w:r w:rsidRPr="00BD1319">
        <w:rPr>
          <w:spacing w:val="-3"/>
        </w:rPr>
        <w:t>,</w:t>
      </w:r>
      <w:r w:rsidR="004C7C58" w:rsidRPr="00BD1319">
        <w:rPr>
          <w:spacing w:val="-3"/>
        </w:rPr>
        <w:t xml:space="preserve"> 5 (1977)</w:t>
      </w:r>
      <w:r w:rsidRPr="00BD1319">
        <w:rPr>
          <w:spacing w:val="-3"/>
        </w:rPr>
        <w:t>; p</w:t>
      </w:r>
      <w:r w:rsidR="004C7C58" w:rsidRPr="00BD1319">
        <w:rPr>
          <w:spacing w:val="-3"/>
        </w:rPr>
        <w:t xml:space="preserve"> 326–340.</w:t>
      </w:r>
    </w:p>
    <w:p w14:paraId="1338FCAB" w14:textId="0A38CD48" w:rsidR="004C7C58" w:rsidRPr="00BD1319" w:rsidRDefault="007D32A9" w:rsidP="00511F41">
      <w:pPr>
        <w:numPr>
          <w:ilvl w:val="0"/>
          <w:numId w:val="672"/>
        </w:numPr>
        <w:overflowPunct/>
        <w:autoSpaceDE/>
        <w:autoSpaceDN/>
        <w:adjustRightInd/>
        <w:ind w:left="567" w:hanging="567"/>
        <w:textAlignment w:val="auto"/>
        <w:rPr>
          <w:spacing w:val="-3"/>
          <w:lang w:val="en-US"/>
        </w:rPr>
      </w:pPr>
      <w:r w:rsidRPr="00BD1319">
        <w:rPr>
          <w:spacing w:val="-3"/>
          <w:lang w:val="en-US"/>
        </w:rPr>
        <w:t xml:space="preserve">HINLOOPEN, E. NIJKAMP, P. </w:t>
      </w:r>
      <w:r w:rsidR="004C7C58" w:rsidRPr="00BD1319">
        <w:rPr>
          <w:spacing w:val="-3"/>
          <w:lang w:val="en-US"/>
        </w:rPr>
        <w:t>Information systems in an uncertain planning environment</w:t>
      </w:r>
      <w:r w:rsidRPr="00BD1319">
        <w:rPr>
          <w:spacing w:val="-3"/>
          <w:lang w:val="en-US"/>
        </w:rPr>
        <w:t>:</w:t>
      </w:r>
      <w:r w:rsidR="004C7C58" w:rsidRPr="00BD1319">
        <w:rPr>
          <w:spacing w:val="-3"/>
          <w:lang w:val="en-US"/>
        </w:rPr>
        <w:t xml:space="preserve"> Some methods</w:t>
      </w:r>
      <w:r w:rsidRPr="00BD1319">
        <w:rPr>
          <w:spacing w:val="-3"/>
          <w:lang w:val="en-US"/>
        </w:rPr>
        <w:t>.</w:t>
      </w:r>
      <w:r w:rsidR="004C7C58" w:rsidRPr="00BD1319">
        <w:rPr>
          <w:spacing w:val="-3"/>
          <w:lang w:val="en-US"/>
        </w:rPr>
        <w:t xml:space="preserve"> Working Paper 82–117, International Institute for Applied System Analysis, 1982.</w:t>
      </w:r>
    </w:p>
    <w:p w14:paraId="0C41F5DB" w14:textId="35E8AA35" w:rsidR="004C7C58" w:rsidRPr="00BD1319" w:rsidRDefault="007D32A9" w:rsidP="00511F41">
      <w:pPr>
        <w:numPr>
          <w:ilvl w:val="0"/>
          <w:numId w:val="672"/>
        </w:numPr>
        <w:overflowPunct/>
        <w:autoSpaceDE/>
        <w:autoSpaceDN/>
        <w:adjustRightInd/>
        <w:ind w:left="567" w:hanging="567"/>
        <w:textAlignment w:val="auto"/>
        <w:rPr>
          <w:spacing w:val="-3"/>
        </w:rPr>
      </w:pPr>
      <w:r w:rsidRPr="00BD1319">
        <w:rPr>
          <w:spacing w:val="-3"/>
          <w:lang w:val="en-US"/>
        </w:rPr>
        <w:t xml:space="preserve">HWANG, C., YOUN, K. </w:t>
      </w:r>
      <w:r w:rsidR="004C7C58" w:rsidRPr="00BD1319">
        <w:rPr>
          <w:spacing w:val="-3"/>
          <w:lang w:val="en-US"/>
        </w:rPr>
        <w:t>Multiple Attribute Decision Making</w:t>
      </w:r>
      <w:r w:rsidRPr="00BD1319">
        <w:rPr>
          <w:spacing w:val="-3"/>
          <w:lang w:val="en-US"/>
        </w:rPr>
        <w:t>.</w:t>
      </w:r>
      <w:r w:rsidR="004C7C58" w:rsidRPr="00BD1319">
        <w:rPr>
          <w:spacing w:val="-3"/>
          <w:lang w:val="en-US"/>
        </w:rPr>
        <w:t xml:space="preserve"> Methods and Application: A </w:t>
      </w:r>
      <w:proofErr w:type="gramStart"/>
      <w:r w:rsidR="004C7C58" w:rsidRPr="00BD1319">
        <w:rPr>
          <w:spacing w:val="-3"/>
          <w:lang w:val="en-US"/>
        </w:rPr>
        <w:t>State of the Art</w:t>
      </w:r>
      <w:proofErr w:type="gramEnd"/>
      <w:r w:rsidR="004C7C58" w:rsidRPr="00BD1319">
        <w:rPr>
          <w:spacing w:val="-3"/>
          <w:lang w:val="en-US"/>
        </w:rPr>
        <w:t xml:space="preserve"> Survey</w:t>
      </w:r>
      <w:r w:rsidRPr="00BD1319">
        <w:rPr>
          <w:spacing w:val="-3"/>
          <w:lang w:val="en-US"/>
        </w:rPr>
        <w:t xml:space="preserve">. </w:t>
      </w:r>
      <w:r w:rsidR="004C7C58" w:rsidRPr="00BD1319">
        <w:rPr>
          <w:spacing w:val="-3"/>
        </w:rPr>
        <w:t>New York</w:t>
      </w:r>
      <w:r w:rsidRPr="00BD1319">
        <w:rPr>
          <w:spacing w:val="-3"/>
        </w:rPr>
        <w:t>: Springer,</w:t>
      </w:r>
      <w:r w:rsidR="004C7C58" w:rsidRPr="00BD1319">
        <w:rPr>
          <w:spacing w:val="-3"/>
        </w:rPr>
        <w:t xml:space="preserve"> 1981.</w:t>
      </w:r>
    </w:p>
    <w:p w14:paraId="59817BD8" w14:textId="4A3E61C7" w:rsidR="004C7C58" w:rsidRPr="00BD1319" w:rsidRDefault="00DD3B3C" w:rsidP="00511F41">
      <w:pPr>
        <w:numPr>
          <w:ilvl w:val="0"/>
          <w:numId w:val="672"/>
        </w:numPr>
        <w:overflowPunct/>
        <w:autoSpaceDE/>
        <w:autoSpaceDN/>
        <w:adjustRightInd/>
        <w:ind w:left="567" w:hanging="567"/>
        <w:textAlignment w:val="auto"/>
        <w:rPr>
          <w:spacing w:val="-3"/>
          <w:lang w:val="en-US"/>
        </w:rPr>
      </w:pPr>
      <w:r w:rsidRPr="00BD1319">
        <w:rPr>
          <w:spacing w:val="-3"/>
          <w:lang w:val="en-US"/>
        </w:rPr>
        <w:t>JACQUET-LAGRÈZE, E., SISKOS</w:t>
      </w:r>
      <w:r w:rsidR="004C7C58" w:rsidRPr="00BD1319">
        <w:rPr>
          <w:spacing w:val="-3"/>
          <w:lang w:val="en-US"/>
        </w:rPr>
        <w:t xml:space="preserve">, </w:t>
      </w:r>
      <w:r w:rsidR="00976E5F" w:rsidRPr="00BD1319">
        <w:rPr>
          <w:spacing w:val="-3"/>
          <w:lang w:val="en-US"/>
        </w:rPr>
        <w:t xml:space="preserve">J. </w:t>
      </w:r>
      <w:r w:rsidR="004C7C58" w:rsidRPr="00BD1319">
        <w:rPr>
          <w:spacing w:val="-3"/>
          <w:lang w:val="en-US"/>
        </w:rPr>
        <w:t>Assessing a set of additive utility functions for multicriteria decision making, Euro pean J. Oper. Res. 10</w:t>
      </w:r>
      <w:r w:rsidR="00976E5F" w:rsidRPr="00BD1319">
        <w:rPr>
          <w:spacing w:val="-3"/>
          <w:lang w:val="en-US"/>
        </w:rPr>
        <w:t>,</w:t>
      </w:r>
      <w:r w:rsidR="004C7C58" w:rsidRPr="00BD1319">
        <w:rPr>
          <w:spacing w:val="-3"/>
          <w:lang w:val="en-US"/>
        </w:rPr>
        <w:t xml:space="preserve"> 2 (1982)</w:t>
      </w:r>
      <w:r w:rsidR="00976E5F" w:rsidRPr="00BD1319">
        <w:rPr>
          <w:spacing w:val="-3"/>
          <w:lang w:val="en-US"/>
        </w:rPr>
        <w:t>; p</w:t>
      </w:r>
      <w:r w:rsidR="004C7C58" w:rsidRPr="00BD1319">
        <w:rPr>
          <w:spacing w:val="-3"/>
          <w:lang w:val="en-US"/>
        </w:rPr>
        <w:t xml:space="preserve"> 151–164.</w:t>
      </w:r>
    </w:p>
    <w:p w14:paraId="5778EA87" w14:textId="7D85E98B" w:rsidR="004C7C58" w:rsidRPr="00BD1319" w:rsidRDefault="009C6D90" w:rsidP="00511F41">
      <w:pPr>
        <w:numPr>
          <w:ilvl w:val="0"/>
          <w:numId w:val="672"/>
        </w:numPr>
        <w:overflowPunct/>
        <w:autoSpaceDE/>
        <w:autoSpaceDN/>
        <w:adjustRightInd/>
        <w:ind w:left="567" w:hanging="567"/>
        <w:textAlignment w:val="auto"/>
        <w:rPr>
          <w:spacing w:val="-3"/>
        </w:rPr>
      </w:pPr>
      <w:r w:rsidRPr="00BD1319">
        <w:rPr>
          <w:spacing w:val="-3"/>
          <w:lang w:val="en-US"/>
        </w:rPr>
        <w:t xml:space="preserve">KEENEY, R., RAIFA, H. </w:t>
      </w:r>
      <w:r w:rsidR="004C7C58" w:rsidRPr="00BD1319">
        <w:rPr>
          <w:spacing w:val="-3"/>
          <w:lang w:val="en-US"/>
        </w:rPr>
        <w:t>Decision with Multiple Objectives</w:t>
      </w:r>
      <w:r w:rsidRPr="00BD1319">
        <w:rPr>
          <w:spacing w:val="-3"/>
          <w:lang w:val="en-US"/>
        </w:rPr>
        <w:t>.</w:t>
      </w:r>
      <w:r w:rsidR="004C7C58" w:rsidRPr="00BD1319">
        <w:rPr>
          <w:spacing w:val="-3"/>
          <w:lang w:val="en-US"/>
        </w:rPr>
        <w:t xml:space="preserve"> Preferences and Value Trade-Offs</w:t>
      </w:r>
      <w:r w:rsidRPr="00BD1319">
        <w:rPr>
          <w:spacing w:val="-3"/>
          <w:lang w:val="en-US"/>
        </w:rPr>
        <w:t xml:space="preserve">. </w:t>
      </w:r>
      <w:r w:rsidR="004C7C58" w:rsidRPr="00BD1319">
        <w:rPr>
          <w:spacing w:val="-3"/>
        </w:rPr>
        <w:t>New York</w:t>
      </w:r>
      <w:r w:rsidRPr="00BD1319">
        <w:rPr>
          <w:spacing w:val="-3"/>
        </w:rPr>
        <w:t>: Wiley,</w:t>
      </w:r>
      <w:r w:rsidR="004C7C58" w:rsidRPr="00BD1319">
        <w:rPr>
          <w:spacing w:val="-3"/>
        </w:rPr>
        <w:t xml:space="preserve"> 1976.</w:t>
      </w:r>
    </w:p>
    <w:p w14:paraId="54CA2DCF" w14:textId="54EE62F0" w:rsidR="004C7C58" w:rsidRPr="00BD1319" w:rsidRDefault="00D142BD" w:rsidP="00511F41">
      <w:pPr>
        <w:numPr>
          <w:ilvl w:val="0"/>
          <w:numId w:val="672"/>
        </w:numPr>
        <w:overflowPunct/>
        <w:autoSpaceDE/>
        <w:autoSpaceDN/>
        <w:adjustRightInd/>
        <w:ind w:left="567" w:hanging="567"/>
        <w:textAlignment w:val="auto"/>
        <w:rPr>
          <w:spacing w:val="-3"/>
          <w:lang w:val="en-US"/>
        </w:rPr>
      </w:pPr>
      <w:r w:rsidRPr="00BD1319">
        <w:rPr>
          <w:spacing w:val="-3"/>
          <w:lang w:val="en-US"/>
        </w:rPr>
        <w:t>KRANTZ, D., LUCE, R., SUPPES, P. TVERSKY</w:t>
      </w:r>
      <w:r w:rsidR="004C7C58" w:rsidRPr="00BD1319">
        <w:rPr>
          <w:spacing w:val="-3"/>
          <w:lang w:val="en-US"/>
        </w:rPr>
        <w:t xml:space="preserve">, </w:t>
      </w:r>
      <w:r w:rsidR="00E92F1E" w:rsidRPr="00BD1319">
        <w:rPr>
          <w:spacing w:val="-3"/>
          <w:lang w:val="en-US"/>
        </w:rPr>
        <w:t xml:space="preserve">A. </w:t>
      </w:r>
      <w:r w:rsidR="004C7C58" w:rsidRPr="00BD1319">
        <w:rPr>
          <w:spacing w:val="-3"/>
          <w:lang w:val="en-US"/>
        </w:rPr>
        <w:t>Foundations of Measurement</w:t>
      </w:r>
      <w:r w:rsidR="00E92F1E" w:rsidRPr="00BD1319">
        <w:rPr>
          <w:spacing w:val="-3"/>
          <w:lang w:val="en-US"/>
        </w:rPr>
        <w:t>.</w:t>
      </w:r>
      <w:r w:rsidR="004C7C58" w:rsidRPr="00BD1319">
        <w:rPr>
          <w:spacing w:val="-3"/>
          <w:lang w:val="en-US"/>
        </w:rPr>
        <w:t xml:space="preserve"> New York</w:t>
      </w:r>
      <w:r w:rsidR="00E92F1E" w:rsidRPr="00BD1319">
        <w:rPr>
          <w:spacing w:val="-3"/>
          <w:lang w:val="en-US"/>
        </w:rPr>
        <w:t>: Academic Press,</w:t>
      </w:r>
      <w:r w:rsidR="004C7C58" w:rsidRPr="00BD1319">
        <w:rPr>
          <w:spacing w:val="-3"/>
          <w:lang w:val="en-US"/>
        </w:rPr>
        <w:t xml:space="preserve"> 1971.</w:t>
      </w:r>
    </w:p>
    <w:p w14:paraId="6B4C4633" w14:textId="18653ED2" w:rsidR="004C7C58" w:rsidRPr="00BD1319" w:rsidRDefault="00D142BD" w:rsidP="00511F41">
      <w:pPr>
        <w:numPr>
          <w:ilvl w:val="0"/>
          <w:numId w:val="672"/>
        </w:numPr>
        <w:overflowPunct/>
        <w:autoSpaceDE/>
        <w:autoSpaceDN/>
        <w:adjustRightInd/>
        <w:ind w:left="567" w:hanging="567"/>
        <w:textAlignment w:val="auto"/>
        <w:rPr>
          <w:spacing w:val="-3"/>
        </w:rPr>
      </w:pPr>
      <w:r w:rsidRPr="00BD1319">
        <w:rPr>
          <w:spacing w:val="-3"/>
          <w:lang w:val="en-US"/>
        </w:rPr>
        <w:lastRenderedPageBreak/>
        <w:t>KWAKERNAAK</w:t>
      </w:r>
      <w:r w:rsidR="004C7C58" w:rsidRPr="00BD1319">
        <w:rPr>
          <w:spacing w:val="-3"/>
          <w:lang w:val="en-US"/>
        </w:rPr>
        <w:t xml:space="preserve">, </w:t>
      </w:r>
      <w:r w:rsidRPr="00BD1319">
        <w:rPr>
          <w:spacing w:val="-3"/>
          <w:lang w:val="en-US"/>
        </w:rPr>
        <w:t xml:space="preserve">H. </w:t>
      </w:r>
      <w:r w:rsidR="004C7C58" w:rsidRPr="00BD1319">
        <w:rPr>
          <w:spacing w:val="-3"/>
          <w:lang w:val="en-US"/>
        </w:rPr>
        <w:t>An algorithm for rating multiple-aspect alternatives using fuzzy sets</w:t>
      </w:r>
      <w:r w:rsidRPr="00BD1319">
        <w:rPr>
          <w:spacing w:val="-3"/>
          <w:lang w:val="en-US"/>
        </w:rPr>
        <w:t>.</w:t>
      </w:r>
      <w:r w:rsidR="004C7C58" w:rsidRPr="00BD1319">
        <w:rPr>
          <w:spacing w:val="-3"/>
          <w:lang w:val="en-US"/>
        </w:rPr>
        <w:t xml:space="preserve"> </w:t>
      </w:r>
      <w:proofErr w:type="spellStart"/>
      <w:r w:rsidR="004C7C58" w:rsidRPr="00BD1319">
        <w:rPr>
          <w:spacing w:val="-3"/>
        </w:rPr>
        <w:t>Automatica</w:t>
      </w:r>
      <w:proofErr w:type="spellEnd"/>
      <w:r w:rsidR="004C7C58" w:rsidRPr="00BD1319">
        <w:rPr>
          <w:spacing w:val="-3"/>
        </w:rPr>
        <w:t xml:space="preserve"> 15 (1979)</w:t>
      </w:r>
      <w:r w:rsidRPr="00BD1319">
        <w:rPr>
          <w:spacing w:val="-3"/>
        </w:rPr>
        <w:t>; p</w:t>
      </w:r>
      <w:r w:rsidR="004C7C58" w:rsidRPr="00BD1319">
        <w:rPr>
          <w:spacing w:val="-3"/>
        </w:rPr>
        <w:t xml:space="preserve"> 615– 616.</w:t>
      </w:r>
    </w:p>
    <w:p w14:paraId="682DF0DC" w14:textId="542E7341" w:rsidR="004C7C58" w:rsidRPr="00BD1319" w:rsidRDefault="00D142BD" w:rsidP="00511F41">
      <w:pPr>
        <w:numPr>
          <w:ilvl w:val="0"/>
          <w:numId w:val="672"/>
        </w:numPr>
        <w:overflowPunct/>
        <w:autoSpaceDE/>
        <w:autoSpaceDN/>
        <w:adjustRightInd/>
        <w:ind w:left="567" w:hanging="567"/>
        <w:textAlignment w:val="auto"/>
        <w:rPr>
          <w:spacing w:val="-3"/>
        </w:rPr>
      </w:pPr>
      <w:r w:rsidRPr="00BD1319">
        <w:rPr>
          <w:spacing w:val="-3"/>
          <w:lang w:val="fr-FR"/>
        </w:rPr>
        <w:t>LECLERC</w:t>
      </w:r>
      <w:r w:rsidR="004C7C58" w:rsidRPr="00BD1319">
        <w:rPr>
          <w:spacing w:val="-3"/>
          <w:lang w:val="fr-FR"/>
        </w:rPr>
        <w:t xml:space="preserve">, </w:t>
      </w:r>
      <w:r w:rsidRPr="00BD1319">
        <w:rPr>
          <w:spacing w:val="-3"/>
          <w:lang w:val="fr-FR"/>
        </w:rPr>
        <w:t xml:space="preserve">J. </w:t>
      </w:r>
      <w:r w:rsidR="004C7C58" w:rsidRPr="00BD1319">
        <w:rPr>
          <w:spacing w:val="-3"/>
          <w:lang w:val="fr-FR"/>
        </w:rPr>
        <w:t xml:space="preserve">Propositions d’extension de la notion de dominance en présence de relations d’ordre sur les pseudo- </w:t>
      </w:r>
      <w:proofErr w:type="gramStart"/>
      <w:r w:rsidR="004C7C58" w:rsidRPr="00BD1319">
        <w:rPr>
          <w:spacing w:val="-3"/>
          <w:lang w:val="fr-FR"/>
        </w:rPr>
        <w:t>critères:</w:t>
      </w:r>
      <w:proofErr w:type="gramEnd"/>
      <w:r w:rsidR="004C7C58" w:rsidRPr="00BD1319">
        <w:rPr>
          <w:spacing w:val="-3"/>
          <w:lang w:val="fr-FR"/>
        </w:rPr>
        <w:t xml:space="preserve"> MELCHIOR</w:t>
      </w:r>
      <w:r w:rsidR="002D703A" w:rsidRPr="00BD1319">
        <w:rPr>
          <w:spacing w:val="-3"/>
          <w:lang w:val="fr-FR"/>
        </w:rPr>
        <w:t xml:space="preserve">. </w:t>
      </w:r>
      <w:proofErr w:type="spellStart"/>
      <w:r w:rsidR="004C7C58" w:rsidRPr="00BD1319">
        <w:rPr>
          <w:spacing w:val="-3"/>
        </w:rPr>
        <w:t>Math</w:t>
      </w:r>
      <w:proofErr w:type="spellEnd"/>
      <w:r w:rsidR="004C7C58" w:rsidRPr="00BD1319">
        <w:rPr>
          <w:spacing w:val="-3"/>
        </w:rPr>
        <w:t xml:space="preserve">. Social </w:t>
      </w:r>
      <w:proofErr w:type="spellStart"/>
      <w:r w:rsidR="004C7C58" w:rsidRPr="00BD1319">
        <w:rPr>
          <w:spacing w:val="-3"/>
        </w:rPr>
        <w:t>Sci</w:t>
      </w:r>
      <w:proofErr w:type="spellEnd"/>
      <w:r w:rsidR="004C7C58" w:rsidRPr="00BD1319">
        <w:rPr>
          <w:spacing w:val="-3"/>
        </w:rPr>
        <w:t>. 8 (1984)</w:t>
      </w:r>
      <w:r w:rsidR="002D703A" w:rsidRPr="00BD1319">
        <w:rPr>
          <w:spacing w:val="-3"/>
        </w:rPr>
        <w:t>; p</w:t>
      </w:r>
      <w:r w:rsidR="004C7C58" w:rsidRPr="00BD1319">
        <w:rPr>
          <w:spacing w:val="-3"/>
        </w:rPr>
        <w:t xml:space="preserve"> 45–61.</w:t>
      </w:r>
    </w:p>
    <w:p w14:paraId="457E1C23" w14:textId="17CAC17C" w:rsidR="004C7C58" w:rsidRPr="00BD1319" w:rsidRDefault="004C7C58" w:rsidP="00511F41">
      <w:pPr>
        <w:numPr>
          <w:ilvl w:val="0"/>
          <w:numId w:val="672"/>
        </w:numPr>
        <w:overflowPunct/>
        <w:autoSpaceDE/>
        <w:autoSpaceDN/>
        <w:adjustRightInd/>
        <w:ind w:left="567" w:hanging="567"/>
        <w:textAlignment w:val="auto"/>
        <w:rPr>
          <w:spacing w:val="-3"/>
        </w:rPr>
      </w:pPr>
      <w:proofErr w:type="spellStart"/>
      <w:r w:rsidRPr="00BD1319">
        <w:rPr>
          <w:spacing w:val="-3"/>
          <w:lang w:val="en-US"/>
        </w:rPr>
        <w:t>MacC</w:t>
      </w:r>
      <w:r w:rsidR="002B552D" w:rsidRPr="00BD1319">
        <w:rPr>
          <w:spacing w:val="-3"/>
          <w:lang w:val="en-US"/>
        </w:rPr>
        <w:t>RIMON</w:t>
      </w:r>
      <w:proofErr w:type="spellEnd"/>
      <w:r w:rsidRPr="00BD1319">
        <w:rPr>
          <w:spacing w:val="-3"/>
          <w:lang w:val="en-US"/>
        </w:rPr>
        <w:t xml:space="preserve">, </w:t>
      </w:r>
      <w:r w:rsidR="002B552D" w:rsidRPr="00BD1319">
        <w:rPr>
          <w:spacing w:val="-3"/>
          <w:lang w:val="en-US"/>
        </w:rPr>
        <w:t xml:space="preserve">K. </w:t>
      </w:r>
      <w:r w:rsidRPr="00BD1319">
        <w:rPr>
          <w:spacing w:val="-3"/>
          <w:lang w:val="en-US"/>
        </w:rPr>
        <w:t>Decision making among multiple attribute alternatives: A survey and consolidated approach</w:t>
      </w:r>
      <w:r w:rsidR="002B552D" w:rsidRPr="00BD1319">
        <w:rPr>
          <w:spacing w:val="-3"/>
          <w:lang w:val="en-US"/>
        </w:rPr>
        <w:t>.</w:t>
      </w:r>
      <w:r w:rsidRPr="00BD1319">
        <w:rPr>
          <w:spacing w:val="-3"/>
          <w:lang w:val="en-US"/>
        </w:rPr>
        <w:t xml:space="preserve"> </w:t>
      </w:r>
      <w:r w:rsidRPr="00BD1319">
        <w:rPr>
          <w:spacing w:val="-3"/>
        </w:rPr>
        <w:t xml:space="preserve">Rand </w:t>
      </w:r>
      <w:proofErr w:type="spellStart"/>
      <w:r w:rsidRPr="00BD1319">
        <w:rPr>
          <w:spacing w:val="-3"/>
        </w:rPr>
        <w:t>Memorandum</w:t>
      </w:r>
      <w:proofErr w:type="spellEnd"/>
      <w:r w:rsidRPr="00BD1319">
        <w:rPr>
          <w:spacing w:val="-3"/>
        </w:rPr>
        <w:t>, RM-4823-ARPA, 1968.</w:t>
      </w:r>
    </w:p>
    <w:p w14:paraId="120A39FE" w14:textId="4DC516AF" w:rsidR="004C7C58" w:rsidRPr="00BD1319" w:rsidRDefault="002B552D" w:rsidP="00511F41">
      <w:pPr>
        <w:numPr>
          <w:ilvl w:val="0"/>
          <w:numId w:val="672"/>
        </w:numPr>
        <w:overflowPunct/>
        <w:autoSpaceDE/>
        <w:autoSpaceDN/>
        <w:adjustRightInd/>
        <w:ind w:left="567" w:hanging="567"/>
        <w:textAlignment w:val="auto"/>
        <w:rPr>
          <w:spacing w:val="-3"/>
        </w:rPr>
      </w:pPr>
      <w:r w:rsidRPr="00BD1319">
        <w:rPr>
          <w:spacing w:val="-3"/>
          <w:lang w:val="fr-FR"/>
        </w:rPr>
        <w:t xml:space="preserve">MARTEL, J., ZARAS, K. </w:t>
      </w:r>
      <w:r w:rsidR="004C7C58" w:rsidRPr="00BD1319">
        <w:rPr>
          <w:spacing w:val="-3"/>
          <w:lang w:val="fr-FR"/>
        </w:rPr>
        <w:t>Dominance stochastique en analyse multicritère face au risque</w:t>
      </w:r>
      <w:r w:rsidRPr="00BD1319">
        <w:rPr>
          <w:spacing w:val="-3"/>
          <w:lang w:val="fr-FR"/>
        </w:rPr>
        <w:t>.</w:t>
      </w:r>
      <w:r w:rsidR="004C7C58" w:rsidRPr="00BD1319">
        <w:rPr>
          <w:spacing w:val="-3"/>
          <w:lang w:val="fr-FR"/>
        </w:rPr>
        <w:t xml:space="preserve"> </w:t>
      </w:r>
      <w:proofErr w:type="spellStart"/>
      <w:r w:rsidR="004C7C58" w:rsidRPr="00BD1319">
        <w:rPr>
          <w:spacing w:val="-3"/>
        </w:rPr>
        <w:t>Cahier</w:t>
      </w:r>
      <w:proofErr w:type="spellEnd"/>
      <w:r w:rsidR="004C7C58" w:rsidRPr="00BD1319">
        <w:rPr>
          <w:spacing w:val="-3"/>
        </w:rPr>
        <w:t xml:space="preserve"> du LAMSADE, No. 100, </w:t>
      </w:r>
      <w:proofErr w:type="spellStart"/>
      <w:r w:rsidR="004C7C58" w:rsidRPr="00BD1319">
        <w:rPr>
          <w:spacing w:val="-3"/>
        </w:rPr>
        <w:t>Université</w:t>
      </w:r>
      <w:proofErr w:type="spellEnd"/>
      <w:r w:rsidR="004C7C58" w:rsidRPr="00BD1319">
        <w:rPr>
          <w:spacing w:val="-3"/>
        </w:rPr>
        <w:t xml:space="preserve"> de Paris-</w:t>
      </w:r>
      <w:proofErr w:type="spellStart"/>
      <w:r w:rsidR="004C7C58" w:rsidRPr="00BD1319">
        <w:rPr>
          <w:spacing w:val="-3"/>
        </w:rPr>
        <w:t>Dauphine</w:t>
      </w:r>
      <w:proofErr w:type="spellEnd"/>
      <w:r w:rsidR="004C7C58" w:rsidRPr="00BD1319">
        <w:rPr>
          <w:spacing w:val="-3"/>
        </w:rPr>
        <w:t>, 1990.</w:t>
      </w:r>
    </w:p>
    <w:p w14:paraId="2D5F7F7F" w14:textId="0B579FDE" w:rsidR="004C7C58" w:rsidRPr="00BD1319" w:rsidRDefault="00845CDC" w:rsidP="00511F41">
      <w:pPr>
        <w:numPr>
          <w:ilvl w:val="0"/>
          <w:numId w:val="672"/>
        </w:numPr>
        <w:overflowPunct/>
        <w:autoSpaceDE/>
        <w:autoSpaceDN/>
        <w:adjustRightInd/>
        <w:ind w:left="567" w:hanging="567"/>
        <w:textAlignment w:val="auto"/>
        <w:rPr>
          <w:spacing w:val="-3"/>
          <w:lang w:val="en-US"/>
        </w:rPr>
      </w:pPr>
      <w:r w:rsidRPr="00BD1319">
        <w:rPr>
          <w:spacing w:val="-3"/>
          <w:lang w:val="en-US"/>
        </w:rPr>
        <w:t>MARTEL, J., ZARAS</w:t>
      </w:r>
      <w:r w:rsidR="004C7C58" w:rsidRPr="00BD1319">
        <w:rPr>
          <w:spacing w:val="-3"/>
          <w:lang w:val="en-US"/>
        </w:rPr>
        <w:t xml:space="preserve">, </w:t>
      </w:r>
      <w:r w:rsidR="002B552D" w:rsidRPr="00BD1319">
        <w:rPr>
          <w:spacing w:val="-3"/>
          <w:lang w:val="en-US"/>
        </w:rPr>
        <w:t xml:space="preserve">K. </w:t>
      </w:r>
      <w:r w:rsidR="004C7C58" w:rsidRPr="00BD1319">
        <w:rPr>
          <w:spacing w:val="-3"/>
          <w:lang w:val="en-US"/>
        </w:rPr>
        <w:t>Stochastic dominance in multi- criterion analysis under risk</w:t>
      </w:r>
      <w:r w:rsidR="002B552D" w:rsidRPr="00BD1319">
        <w:rPr>
          <w:spacing w:val="-3"/>
          <w:lang w:val="en-US"/>
        </w:rPr>
        <w:t>.</w:t>
      </w:r>
      <w:r w:rsidR="004C7C58" w:rsidRPr="00BD1319">
        <w:rPr>
          <w:spacing w:val="-3"/>
          <w:lang w:val="en-US"/>
        </w:rPr>
        <w:t xml:space="preserve"> Theory and Decision 35</w:t>
      </w:r>
      <w:r w:rsidR="002B552D" w:rsidRPr="00BD1319">
        <w:rPr>
          <w:spacing w:val="-3"/>
          <w:lang w:val="en-US"/>
        </w:rPr>
        <w:t>,</w:t>
      </w:r>
      <w:r w:rsidR="004C7C58" w:rsidRPr="00BD1319">
        <w:rPr>
          <w:spacing w:val="-3"/>
          <w:lang w:val="en-US"/>
        </w:rPr>
        <w:t xml:space="preserve"> 1 (1995)</w:t>
      </w:r>
      <w:r w:rsidR="002B552D" w:rsidRPr="00BD1319">
        <w:rPr>
          <w:spacing w:val="-3"/>
          <w:lang w:val="en-US"/>
        </w:rPr>
        <w:t>; p</w:t>
      </w:r>
      <w:r w:rsidR="004C7C58" w:rsidRPr="00BD1319">
        <w:rPr>
          <w:spacing w:val="-3"/>
          <w:lang w:val="en-US"/>
        </w:rPr>
        <w:t xml:space="preserve"> 31–49.</w:t>
      </w:r>
    </w:p>
    <w:p w14:paraId="43AAE3C8" w14:textId="4E254708" w:rsidR="004C7C58" w:rsidRPr="00BD1319" w:rsidRDefault="00845CDC" w:rsidP="00511F41">
      <w:pPr>
        <w:numPr>
          <w:ilvl w:val="0"/>
          <w:numId w:val="672"/>
        </w:numPr>
        <w:overflowPunct/>
        <w:autoSpaceDE/>
        <w:autoSpaceDN/>
        <w:adjustRightInd/>
        <w:ind w:left="567" w:hanging="567"/>
        <w:textAlignment w:val="auto"/>
        <w:rPr>
          <w:spacing w:val="-3"/>
          <w:lang w:val="en-US"/>
        </w:rPr>
      </w:pPr>
      <w:r w:rsidRPr="00BD1319">
        <w:rPr>
          <w:spacing w:val="-3"/>
          <w:lang w:val="en-US"/>
        </w:rPr>
        <w:t xml:space="preserve">MUNDA, G. </w:t>
      </w:r>
      <w:r w:rsidR="004C7C58" w:rsidRPr="00BD1319">
        <w:rPr>
          <w:spacing w:val="-3"/>
          <w:lang w:val="en-US"/>
        </w:rPr>
        <w:t>Multicriteria Evolution in a Fuzzy Environment</w:t>
      </w:r>
      <w:r w:rsidRPr="00BD1319">
        <w:rPr>
          <w:spacing w:val="-3"/>
          <w:lang w:val="en-US"/>
        </w:rPr>
        <w:t xml:space="preserve">. </w:t>
      </w:r>
      <w:r w:rsidR="004C7C58" w:rsidRPr="00BD1319">
        <w:rPr>
          <w:spacing w:val="-3"/>
          <w:lang w:val="en-US"/>
        </w:rPr>
        <w:t>Berlin</w:t>
      </w:r>
      <w:r w:rsidRPr="00BD1319">
        <w:rPr>
          <w:spacing w:val="-3"/>
          <w:lang w:val="en-US"/>
        </w:rPr>
        <w:t>: Springer,</w:t>
      </w:r>
      <w:r w:rsidR="004C7C58" w:rsidRPr="00BD1319">
        <w:rPr>
          <w:spacing w:val="-3"/>
          <w:lang w:val="en-US"/>
        </w:rPr>
        <w:t xml:space="preserve"> 1995.</w:t>
      </w:r>
    </w:p>
    <w:p w14:paraId="0DF155C9" w14:textId="710DB6D9" w:rsidR="004C7C58" w:rsidRPr="00BD1319" w:rsidRDefault="00845CDC" w:rsidP="00511F41">
      <w:pPr>
        <w:numPr>
          <w:ilvl w:val="0"/>
          <w:numId w:val="672"/>
        </w:numPr>
        <w:overflowPunct/>
        <w:autoSpaceDE/>
        <w:autoSpaceDN/>
        <w:adjustRightInd/>
        <w:ind w:left="567" w:hanging="567"/>
        <w:textAlignment w:val="auto"/>
        <w:rPr>
          <w:spacing w:val="-3"/>
        </w:rPr>
      </w:pPr>
      <w:r w:rsidRPr="00BD1319">
        <w:rPr>
          <w:spacing w:val="-3"/>
          <w:lang w:val="en-US"/>
        </w:rPr>
        <w:t>OLSON</w:t>
      </w:r>
      <w:r w:rsidR="004C7C58" w:rsidRPr="00BD1319">
        <w:rPr>
          <w:spacing w:val="-3"/>
          <w:lang w:val="en-US"/>
        </w:rPr>
        <w:t xml:space="preserve">, </w:t>
      </w:r>
      <w:r w:rsidRPr="00BD1319">
        <w:rPr>
          <w:spacing w:val="-3"/>
          <w:lang w:val="en-US"/>
        </w:rPr>
        <w:t xml:space="preserve">D. </w:t>
      </w:r>
      <w:r w:rsidR="004C7C58" w:rsidRPr="00BD1319">
        <w:rPr>
          <w:spacing w:val="-3"/>
          <w:lang w:val="en-US"/>
        </w:rPr>
        <w:t xml:space="preserve">Decision </w:t>
      </w:r>
      <w:r w:rsidRPr="00BD1319">
        <w:rPr>
          <w:spacing w:val="-3"/>
          <w:lang w:val="en-US"/>
        </w:rPr>
        <w:t xml:space="preserve">aids for selection problems. </w:t>
      </w:r>
      <w:proofErr w:type="spellStart"/>
      <w:r w:rsidRPr="00BD1319">
        <w:rPr>
          <w:spacing w:val="-3"/>
        </w:rPr>
        <w:t>Berlin</w:t>
      </w:r>
      <w:proofErr w:type="spellEnd"/>
      <w:r w:rsidRPr="00BD1319">
        <w:rPr>
          <w:spacing w:val="-3"/>
        </w:rPr>
        <w:t xml:space="preserve">: Springer, </w:t>
      </w:r>
      <w:r w:rsidR="004C7C58" w:rsidRPr="00BD1319">
        <w:rPr>
          <w:spacing w:val="-3"/>
        </w:rPr>
        <w:t>1996.</w:t>
      </w:r>
    </w:p>
    <w:p w14:paraId="7E74C998" w14:textId="7A4D5E5C" w:rsidR="004C7C58" w:rsidRPr="00BD1319" w:rsidRDefault="00845CDC" w:rsidP="00511F41">
      <w:pPr>
        <w:numPr>
          <w:ilvl w:val="0"/>
          <w:numId w:val="672"/>
        </w:numPr>
        <w:overflowPunct/>
        <w:autoSpaceDE/>
        <w:autoSpaceDN/>
        <w:adjustRightInd/>
        <w:ind w:left="567" w:hanging="567"/>
        <w:textAlignment w:val="auto"/>
        <w:rPr>
          <w:spacing w:val="-3"/>
          <w:lang w:val="en-US"/>
        </w:rPr>
      </w:pPr>
      <w:r w:rsidRPr="00BD1319">
        <w:rPr>
          <w:spacing w:val="-3"/>
          <w:lang w:val="en-US"/>
        </w:rPr>
        <w:t xml:space="preserve">PAELINCK, J. </w:t>
      </w:r>
      <w:proofErr w:type="spellStart"/>
      <w:r w:rsidR="004C7C58" w:rsidRPr="00BD1319">
        <w:rPr>
          <w:spacing w:val="-3"/>
          <w:lang w:val="en-US"/>
        </w:rPr>
        <w:t>Qualiflex</w:t>
      </w:r>
      <w:proofErr w:type="spellEnd"/>
      <w:r w:rsidR="004C7C58" w:rsidRPr="00BD1319">
        <w:rPr>
          <w:spacing w:val="-3"/>
          <w:lang w:val="en-US"/>
        </w:rPr>
        <w:t>, a flexible multiple criteria method</w:t>
      </w:r>
      <w:r w:rsidRPr="00BD1319">
        <w:rPr>
          <w:spacing w:val="-3"/>
          <w:lang w:val="en-US"/>
        </w:rPr>
        <w:t>.</w:t>
      </w:r>
      <w:r w:rsidR="004C7C58" w:rsidRPr="00BD1319">
        <w:rPr>
          <w:spacing w:val="-3"/>
          <w:lang w:val="en-US"/>
        </w:rPr>
        <w:t xml:space="preserve"> Economic Lett. 3 (1978)</w:t>
      </w:r>
      <w:r w:rsidRPr="00BD1319">
        <w:rPr>
          <w:spacing w:val="-3"/>
          <w:lang w:val="en-US"/>
        </w:rPr>
        <w:t>; p</w:t>
      </w:r>
      <w:r w:rsidR="004C7C58" w:rsidRPr="00BD1319">
        <w:rPr>
          <w:spacing w:val="-3"/>
          <w:lang w:val="en-US"/>
        </w:rPr>
        <w:t xml:space="preserve"> 193–197.</w:t>
      </w:r>
    </w:p>
    <w:p w14:paraId="6166DAA8" w14:textId="58C87F35" w:rsidR="004C7C58" w:rsidRPr="00BD1319" w:rsidRDefault="00C45BE7" w:rsidP="00511F41">
      <w:pPr>
        <w:numPr>
          <w:ilvl w:val="0"/>
          <w:numId w:val="672"/>
        </w:numPr>
        <w:overflowPunct/>
        <w:autoSpaceDE/>
        <w:autoSpaceDN/>
        <w:adjustRightInd/>
        <w:ind w:left="567" w:hanging="567"/>
        <w:textAlignment w:val="auto"/>
        <w:rPr>
          <w:spacing w:val="-3"/>
        </w:rPr>
      </w:pPr>
      <w:r w:rsidRPr="00BD1319">
        <w:rPr>
          <w:spacing w:val="-3"/>
          <w:lang w:val="fr-FR"/>
        </w:rPr>
        <w:t xml:space="preserve">ROUBENS, M. </w:t>
      </w:r>
      <w:r w:rsidR="004C7C58" w:rsidRPr="00BD1319">
        <w:rPr>
          <w:spacing w:val="-3"/>
          <w:lang w:val="fr-FR"/>
        </w:rPr>
        <w:t>Analyse et agr</w:t>
      </w:r>
      <w:r w:rsidRPr="00BD1319">
        <w:rPr>
          <w:spacing w:val="-3"/>
          <w:lang w:val="fr-FR"/>
        </w:rPr>
        <w:t>é</w:t>
      </w:r>
      <w:r w:rsidR="004C7C58" w:rsidRPr="00BD1319">
        <w:rPr>
          <w:spacing w:val="-3"/>
          <w:lang w:val="fr-FR"/>
        </w:rPr>
        <w:t xml:space="preserve">gation des </w:t>
      </w:r>
      <w:proofErr w:type="gramStart"/>
      <w:r w:rsidR="004C7C58" w:rsidRPr="00BD1319">
        <w:rPr>
          <w:spacing w:val="-3"/>
          <w:lang w:val="fr-FR"/>
        </w:rPr>
        <w:t>pr</w:t>
      </w:r>
      <w:r w:rsidRPr="00BD1319">
        <w:rPr>
          <w:spacing w:val="-3"/>
          <w:lang w:val="fr-FR"/>
        </w:rPr>
        <w:t>é</w:t>
      </w:r>
      <w:r w:rsidR="004C7C58" w:rsidRPr="00BD1319">
        <w:rPr>
          <w:spacing w:val="-3"/>
          <w:lang w:val="fr-FR"/>
        </w:rPr>
        <w:t>f</w:t>
      </w:r>
      <w:r w:rsidRPr="00BD1319">
        <w:rPr>
          <w:spacing w:val="-3"/>
          <w:lang w:val="fr-FR"/>
        </w:rPr>
        <w:t>é</w:t>
      </w:r>
      <w:r w:rsidR="004C7C58" w:rsidRPr="00BD1319">
        <w:rPr>
          <w:spacing w:val="-3"/>
          <w:lang w:val="fr-FR"/>
        </w:rPr>
        <w:t>rences:</w:t>
      </w:r>
      <w:proofErr w:type="gramEnd"/>
      <w:r w:rsidR="004C7C58" w:rsidRPr="00BD1319">
        <w:rPr>
          <w:spacing w:val="-3"/>
          <w:lang w:val="fr-FR"/>
        </w:rPr>
        <w:t xml:space="preserve"> Mod</w:t>
      </w:r>
      <w:r w:rsidRPr="00BD1319">
        <w:rPr>
          <w:spacing w:val="-3"/>
          <w:lang w:val="fr-FR"/>
        </w:rPr>
        <w:t>é</w:t>
      </w:r>
      <w:r w:rsidR="004C7C58" w:rsidRPr="00BD1319">
        <w:rPr>
          <w:spacing w:val="-3"/>
          <w:lang w:val="fr-FR"/>
        </w:rPr>
        <w:t xml:space="preserve">lisation, </w:t>
      </w:r>
      <w:proofErr w:type="spellStart"/>
      <w:r w:rsidR="004C7C58" w:rsidRPr="00BD1319">
        <w:rPr>
          <w:spacing w:val="-3"/>
          <w:lang w:val="fr-FR"/>
        </w:rPr>
        <w:t>adjustement</w:t>
      </w:r>
      <w:proofErr w:type="spellEnd"/>
      <w:r w:rsidR="004C7C58" w:rsidRPr="00BD1319">
        <w:rPr>
          <w:spacing w:val="-3"/>
          <w:lang w:val="fr-FR"/>
        </w:rPr>
        <w:t xml:space="preserve"> et r</w:t>
      </w:r>
      <w:r w:rsidRPr="00BD1319">
        <w:rPr>
          <w:spacing w:val="-3"/>
          <w:lang w:val="fr-FR"/>
        </w:rPr>
        <w:t>é</w:t>
      </w:r>
      <w:r w:rsidR="004C7C58" w:rsidRPr="00BD1319">
        <w:rPr>
          <w:spacing w:val="-3"/>
          <w:lang w:val="fr-FR"/>
        </w:rPr>
        <w:t>sum</w:t>
      </w:r>
      <w:r w:rsidRPr="00BD1319">
        <w:rPr>
          <w:spacing w:val="-3"/>
          <w:lang w:val="fr-FR"/>
        </w:rPr>
        <w:t>é</w:t>
      </w:r>
      <w:r w:rsidR="004C7C58" w:rsidRPr="00BD1319">
        <w:rPr>
          <w:spacing w:val="-3"/>
          <w:lang w:val="fr-FR"/>
        </w:rPr>
        <w:t xml:space="preserve"> de donn</w:t>
      </w:r>
      <w:r w:rsidRPr="00BD1319">
        <w:rPr>
          <w:spacing w:val="-3"/>
          <w:lang w:val="fr-FR"/>
        </w:rPr>
        <w:t>é</w:t>
      </w:r>
      <w:r w:rsidR="004C7C58" w:rsidRPr="00BD1319">
        <w:rPr>
          <w:spacing w:val="-3"/>
          <w:lang w:val="fr-FR"/>
        </w:rPr>
        <w:t xml:space="preserve">es relationnelles </w:t>
      </w:r>
      <w:proofErr w:type="spellStart"/>
      <w:r w:rsidR="004C7C58" w:rsidRPr="00BD1319">
        <w:rPr>
          <w:spacing w:val="-3"/>
          <w:lang w:val="fr-FR"/>
        </w:rPr>
        <w:t>Rev</w:t>
      </w:r>
      <w:proofErr w:type="spellEnd"/>
      <w:r w:rsidR="004C7C58" w:rsidRPr="00BD1319">
        <w:rPr>
          <w:spacing w:val="-3"/>
          <w:lang w:val="fr-FR"/>
        </w:rPr>
        <w:t xml:space="preserve">. Belge de </w:t>
      </w:r>
      <w:proofErr w:type="spellStart"/>
      <w:r w:rsidR="004C7C58" w:rsidRPr="00BD1319">
        <w:rPr>
          <w:spacing w:val="-3"/>
          <w:lang w:val="fr-FR"/>
        </w:rPr>
        <w:t>Statist</w:t>
      </w:r>
      <w:proofErr w:type="spellEnd"/>
      <w:r w:rsidR="004C7C58" w:rsidRPr="00BD1319">
        <w:rPr>
          <w:spacing w:val="-3"/>
          <w:lang w:val="fr-FR"/>
        </w:rPr>
        <w:t xml:space="preserve"> d’</w:t>
      </w:r>
      <w:proofErr w:type="spellStart"/>
      <w:r w:rsidR="004C7C58" w:rsidRPr="00BD1319">
        <w:rPr>
          <w:spacing w:val="-3"/>
          <w:lang w:val="fr-FR"/>
        </w:rPr>
        <w:t>Informat</w:t>
      </w:r>
      <w:proofErr w:type="spellEnd"/>
      <w:r w:rsidR="004C7C58" w:rsidRPr="00BD1319">
        <w:rPr>
          <w:spacing w:val="-3"/>
          <w:lang w:val="fr-FR"/>
        </w:rPr>
        <w:t xml:space="preserve">. </w:t>
      </w:r>
      <w:r w:rsidR="004C7C58" w:rsidRPr="005A685F">
        <w:rPr>
          <w:spacing w:val="-3"/>
          <w:lang w:val="en-US"/>
        </w:rPr>
        <w:t xml:space="preserve">Rech. </w:t>
      </w:r>
      <w:proofErr w:type="spellStart"/>
      <w:r w:rsidR="004C7C58" w:rsidRPr="00BD1319">
        <w:rPr>
          <w:spacing w:val="-3"/>
        </w:rPr>
        <w:t>Op</w:t>
      </w:r>
      <w:r w:rsidRPr="00BD1319">
        <w:rPr>
          <w:spacing w:val="-3"/>
        </w:rPr>
        <w:t>é</w:t>
      </w:r>
      <w:r w:rsidR="004C7C58" w:rsidRPr="00BD1319">
        <w:rPr>
          <w:spacing w:val="-3"/>
        </w:rPr>
        <w:t>r</w:t>
      </w:r>
      <w:proofErr w:type="spellEnd"/>
      <w:r w:rsidR="004C7C58" w:rsidRPr="00BD1319">
        <w:rPr>
          <w:spacing w:val="-3"/>
        </w:rPr>
        <w:t>. 20</w:t>
      </w:r>
      <w:r w:rsidRPr="00BD1319">
        <w:rPr>
          <w:spacing w:val="-3"/>
        </w:rPr>
        <w:t>,</w:t>
      </w:r>
      <w:r w:rsidR="004C7C58" w:rsidRPr="00BD1319">
        <w:rPr>
          <w:spacing w:val="-3"/>
        </w:rPr>
        <w:t xml:space="preserve"> 2 (1980)</w:t>
      </w:r>
      <w:r w:rsidRPr="00BD1319">
        <w:rPr>
          <w:spacing w:val="-3"/>
        </w:rPr>
        <w:t>; p</w:t>
      </w:r>
      <w:r w:rsidR="004C7C58" w:rsidRPr="00BD1319">
        <w:rPr>
          <w:spacing w:val="-3"/>
        </w:rPr>
        <w:t xml:space="preserve"> 36–67.</w:t>
      </w:r>
    </w:p>
    <w:p w14:paraId="41DF4469" w14:textId="149EC111" w:rsidR="004C7C58" w:rsidRPr="00BD1319" w:rsidRDefault="001B6426" w:rsidP="00511F41">
      <w:pPr>
        <w:numPr>
          <w:ilvl w:val="0"/>
          <w:numId w:val="672"/>
        </w:numPr>
        <w:overflowPunct/>
        <w:autoSpaceDE/>
        <w:autoSpaceDN/>
        <w:adjustRightInd/>
        <w:ind w:left="567" w:hanging="567"/>
        <w:textAlignment w:val="auto"/>
        <w:rPr>
          <w:spacing w:val="-3"/>
        </w:rPr>
      </w:pPr>
      <w:r w:rsidRPr="00BD1319">
        <w:rPr>
          <w:spacing w:val="-3"/>
          <w:lang w:val="fr-FR"/>
        </w:rPr>
        <w:t>ROY</w:t>
      </w:r>
      <w:r w:rsidR="004C7C58" w:rsidRPr="00BD1319">
        <w:rPr>
          <w:spacing w:val="-3"/>
          <w:lang w:val="fr-FR"/>
        </w:rPr>
        <w:t xml:space="preserve">, </w:t>
      </w:r>
      <w:r w:rsidRPr="00BD1319">
        <w:rPr>
          <w:spacing w:val="-3"/>
          <w:lang w:val="fr-FR"/>
        </w:rPr>
        <w:t xml:space="preserve">B. </w:t>
      </w:r>
      <w:r w:rsidR="004C7C58" w:rsidRPr="00BD1319">
        <w:rPr>
          <w:spacing w:val="-3"/>
          <w:lang w:val="fr-FR"/>
        </w:rPr>
        <w:t>Classement et choix en pr</w:t>
      </w:r>
      <w:r w:rsidRPr="00BD1319">
        <w:rPr>
          <w:spacing w:val="-3"/>
          <w:lang w:val="fr-FR"/>
        </w:rPr>
        <w:t>é</w:t>
      </w:r>
      <w:r w:rsidR="004C7C58" w:rsidRPr="00BD1319">
        <w:rPr>
          <w:spacing w:val="-3"/>
          <w:lang w:val="fr-FR"/>
        </w:rPr>
        <w:t>sence de points de vue multiples (la m</w:t>
      </w:r>
      <w:r w:rsidRPr="00BD1319">
        <w:rPr>
          <w:spacing w:val="-3"/>
          <w:lang w:val="fr-FR"/>
        </w:rPr>
        <w:t>é</w:t>
      </w:r>
      <w:r w:rsidR="004C7C58" w:rsidRPr="00BD1319">
        <w:rPr>
          <w:spacing w:val="-3"/>
          <w:lang w:val="fr-FR"/>
        </w:rPr>
        <w:t>thode ELECTRE)</w:t>
      </w:r>
      <w:r w:rsidRPr="00BD1319">
        <w:rPr>
          <w:spacing w:val="-3"/>
          <w:lang w:val="fr-FR"/>
        </w:rPr>
        <w:t>.</w:t>
      </w:r>
      <w:r w:rsidR="004C7C58" w:rsidRPr="00BD1319">
        <w:rPr>
          <w:spacing w:val="-3"/>
          <w:lang w:val="fr-FR"/>
        </w:rPr>
        <w:t xml:space="preserve"> </w:t>
      </w:r>
      <w:r w:rsidR="004C7C58" w:rsidRPr="00BD1319">
        <w:rPr>
          <w:spacing w:val="-3"/>
        </w:rPr>
        <w:t>RIRO 8 (1968)</w:t>
      </w:r>
      <w:r w:rsidRPr="00BD1319">
        <w:rPr>
          <w:spacing w:val="-3"/>
        </w:rPr>
        <w:t>; p</w:t>
      </w:r>
      <w:r w:rsidR="004C7C58" w:rsidRPr="00BD1319">
        <w:rPr>
          <w:spacing w:val="-3"/>
        </w:rPr>
        <w:t xml:space="preserve"> 57–75.</w:t>
      </w:r>
    </w:p>
    <w:p w14:paraId="2D5040C5" w14:textId="6C9182DA" w:rsidR="004C7C58" w:rsidRPr="00BD1319" w:rsidRDefault="008400A0" w:rsidP="00511F41">
      <w:pPr>
        <w:numPr>
          <w:ilvl w:val="0"/>
          <w:numId w:val="672"/>
        </w:numPr>
        <w:overflowPunct/>
        <w:autoSpaceDE/>
        <w:autoSpaceDN/>
        <w:adjustRightInd/>
        <w:ind w:left="567" w:hanging="567"/>
        <w:textAlignment w:val="auto"/>
        <w:rPr>
          <w:spacing w:val="-3"/>
          <w:lang w:val="fr-FR"/>
        </w:rPr>
      </w:pPr>
      <w:r w:rsidRPr="00BD1319">
        <w:rPr>
          <w:spacing w:val="-3"/>
          <w:lang w:val="fr-FR"/>
        </w:rPr>
        <w:t xml:space="preserve">ROY, B. </w:t>
      </w:r>
      <w:r w:rsidR="004C7C58" w:rsidRPr="00BD1319">
        <w:rPr>
          <w:spacing w:val="-3"/>
          <w:lang w:val="fr-FR"/>
        </w:rPr>
        <w:t xml:space="preserve">ELECTRE </w:t>
      </w:r>
      <w:proofErr w:type="gramStart"/>
      <w:r w:rsidR="004C7C58" w:rsidRPr="00BD1319">
        <w:rPr>
          <w:spacing w:val="-3"/>
          <w:lang w:val="fr-FR"/>
        </w:rPr>
        <w:t>III:</w:t>
      </w:r>
      <w:proofErr w:type="gramEnd"/>
      <w:r w:rsidR="004C7C58" w:rsidRPr="00BD1319">
        <w:rPr>
          <w:spacing w:val="-3"/>
          <w:lang w:val="fr-FR"/>
        </w:rPr>
        <w:t xml:space="preserve"> Un algorithme de classement fond</w:t>
      </w:r>
      <w:r w:rsidRPr="00BD1319">
        <w:rPr>
          <w:spacing w:val="-3"/>
          <w:lang w:val="fr-FR"/>
        </w:rPr>
        <w:t>é</w:t>
      </w:r>
      <w:r w:rsidR="004C7C58" w:rsidRPr="00BD1319">
        <w:rPr>
          <w:spacing w:val="-3"/>
          <w:lang w:val="fr-FR"/>
        </w:rPr>
        <w:t xml:space="preserve"> sur une repr</w:t>
      </w:r>
      <w:r w:rsidRPr="00BD1319">
        <w:rPr>
          <w:spacing w:val="-3"/>
          <w:lang w:val="fr-FR"/>
        </w:rPr>
        <w:t>é</w:t>
      </w:r>
      <w:r w:rsidR="004C7C58" w:rsidRPr="00BD1319">
        <w:rPr>
          <w:spacing w:val="-3"/>
          <w:lang w:val="fr-FR"/>
        </w:rPr>
        <w:t>sentation floue des pr</w:t>
      </w:r>
      <w:r w:rsidRPr="00BD1319">
        <w:rPr>
          <w:spacing w:val="-3"/>
          <w:lang w:val="fr-FR"/>
        </w:rPr>
        <w:t>é</w:t>
      </w:r>
      <w:r w:rsidR="004C7C58" w:rsidRPr="00BD1319">
        <w:rPr>
          <w:spacing w:val="-3"/>
          <w:lang w:val="fr-FR"/>
        </w:rPr>
        <w:t>f</w:t>
      </w:r>
      <w:r w:rsidRPr="00BD1319">
        <w:rPr>
          <w:spacing w:val="-3"/>
          <w:lang w:val="fr-FR"/>
        </w:rPr>
        <w:t>é</w:t>
      </w:r>
      <w:r w:rsidR="004C7C58" w:rsidRPr="00BD1319">
        <w:rPr>
          <w:spacing w:val="-3"/>
          <w:lang w:val="fr-FR"/>
        </w:rPr>
        <w:t>rences en pr</w:t>
      </w:r>
      <w:r w:rsidRPr="00BD1319">
        <w:rPr>
          <w:spacing w:val="-3"/>
          <w:lang w:val="fr-FR"/>
        </w:rPr>
        <w:t>é</w:t>
      </w:r>
      <w:r w:rsidR="004C7C58" w:rsidRPr="00BD1319">
        <w:rPr>
          <w:spacing w:val="-3"/>
          <w:lang w:val="fr-FR"/>
        </w:rPr>
        <w:t xml:space="preserve">sence de </w:t>
      </w:r>
      <w:proofErr w:type="spellStart"/>
      <w:r w:rsidR="004C7C58" w:rsidRPr="00BD1319">
        <w:rPr>
          <w:spacing w:val="-3"/>
          <w:lang w:val="fr-FR"/>
        </w:rPr>
        <w:t>crit</w:t>
      </w:r>
      <w:r w:rsidRPr="00BD1319">
        <w:rPr>
          <w:spacing w:val="-3"/>
          <w:lang w:val="fr-FR"/>
        </w:rPr>
        <w:t>é</w:t>
      </w:r>
      <w:r w:rsidR="004C7C58" w:rsidRPr="00BD1319">
        <w:rPr>
          <w:spacing w:val="-3"/>
          <w:lang w:val="fr-FR"/>
        </w:rPr>
        <w:t>res</w:t>
      </w:r>
      <w:proofErr w:type="spellEnd"/>
      <w:r w:rsidR="004C7C58" w:rsidRPr="00BD1319">
        <w:rPr>
          <w:spacing w:val="-3"/>
          <w:lang w:val="fr-FR"/>
        </w:rPr>
        <w:t xml:space="preserve"> multiples</w:t>
      </w:r>
      <w:r w:rsidRPr="00BD1319">
        <w:rPr>
          <w:spacing w:val="-3"/>
          <w:lang w:val="fr-FR"/>
        </w:rPr>
        <w:t>.</w:t>
      </w:r>
      <w:r w:rsidR="004C7C58" w:rsidRPr="00BD1319">
        <w:rPr>
          <w:spacing w:val="-3"/>
          <w:lang w:val="fr-FR"/>
        </w:rPr>
        <w:t xml:space="preserve"> Cahiers Centre d’</w:t>
      </w:r>
      <w:r w:rsidRPr="00BD1319">
        <w:rPr>
          <w:spacing w:val="-3"/>
          <w:lang w:val="fr-FR"/>
        </w:rPr>
        <w:t>É</w:t>
      </w:r>
      <w:r w:rsidR="004C7C58" w:rsidRPr="00BD1319">
        <w:rPr>
          <w:spacing w:val="-3"/>
          <w:lang w:val="fr-FR"/>
        </w:rPr>
        <w:t xml:space="preserve">tudes Rech. </w:t>
      </w:r>
      <w:proofErr w:type="spellStart"/>
      <w:r w:rsidR="004C7C58" w:rsidRPr="00BD1319">
        <w:rPr>
          <w:spacing w:val="-3"/>
          <w:lang w:val="fr-FR"/>
        </w:rPr>
        <w:t>Op</w:t>
      </w:r>
      <w:r w:rsidRPr="00BD1319">
        <w:rPr>
          <w:spacing w:val="-3"/>
          <w:lang w:val="fr-FR"/>
        </w:rPr>
        <w:t>é</w:t>
      </w:r>
      <w:r w:rsidR="004C7C58" w:rsidRPr="00BD1319">
        <w:rPr>
          <w:spacing w:val="-3"/>
          <w:lang w:val="fr-FR"/>
        </w:rPr>
        <w:t>r</w:t>
      </w:r>
      <w:proofErr w:type="spellEnd"/>
      <w:r w:rsidR="004C7C58" w:rsidRPr="00BD1319">
        <w:rPr>
          <w:spacing w:val="-3"/>
          <w:lang w:val="fr-FR"/>
        </w:rPr>
        <w:t>. 20</w:t>
      </w:r>
      <w:r w:rsidRPr="00BD1319">
        <w:rPr>
          <w:spacing w:val="-3"/>
          <w:lang w:val="fr-FR"/>
        </w:rPr>
        <w:t>,</w:t>
      </w:r>
      <w:r w:rsidR="004C7C58" w:rsidRPr="00BD1319">
        <w:rPr>
          <w:spacing w:val="-3"/>
          <w:lang w:val="fr-FR"/>
        </w:rPr>
        <w:t xml:space="preserve"> 1 (1978</w:t>
      </w:r>
      <w:proofErr w:type="gramStart"/>
      <w:r w:rsidR="004C7C58" w:rsidRPr="00BD1319">
        <w:rPr>
          <w:spacing w:val="-3"/>
          <w:lang w:val="fr-FR"/>
        </w:rPr>
        <w:t>)</w:t>
      </w:r>
      <w:r w:rsidRPr="00BD1319">
        <w:rPr>
          <w:spacing w:val="-3"/>
          <w:lang w:val="fr-FR"/>
        </w:rPr>
        <w:t>;</w:t>
      </w:r>
      <w:proofErr w:type="gramEnd"/>
      <w:r w:rsidRPr="00BD1319">
        <w:rPr>
          <w:spacing w:val="-3"/>
          <w:lang w:val="fr-FR"/>
        </w:rPr>
        <w:t xml:space="preserve"> p</w:t>
      </w:r>
      <w:r w:rsidR="004C7C58" w:rsidRPr="00BD1319">
        <w:rPr>
          <w:spacing w:val="-3"/>
          <w:lang w:val="fr-FR"/>
        </w:rPr>
        <w:t xml:space="preserve"> 3–24.</w:t>
      </w:r>
    </w:p>
    <w:p w14:paraId="7AD18A1F" w14:textId="54F2D835" w:rsidR="004C7C58" w:rsidRPr="00BD1319" w:rsidRDefault="001204E1" w:rsidP="00511F41">
      <w:pPr>
        <w:numPr>
          <w:ilvl w:val="0"/>
          <w:numId w:val="672"/>
        </w:numPr>
        <w:overflowPunct/>
        <w:autoSpaceDE/>
        <w:autoSpaceDN/>
        <w:adjustRightInd/>
        <w:ind w:left="567" w:hanging="567"/>
        <w:textAlignment w:val="auto"/>
        <w:rPr>
          <w:spacing w:val="-3"/>
        </w:rPr>
      </w:pPr>
      <w:r w:rsidRPr="00BD1319">
        <w:rPr>
          <w:spacing w:val="-3"/>
          <w:lang w:val="fr-FR"/>
        </w:rPr>
        <w:t>ROY, B.</w:t>
      </w:r>
      <w:r w:rsidR="004C7C58" w:rsidRPr="00BD1319">
        <w:rPr>
          <w:spacing w:val="-3"/>
          <w:lang w:val="fr-FR"/>
        </w:rPr>
        <w:t xml:space="preserve"> </w:t>
      </w:r>
      <w:r w:rsidR="001E394D" w:rsidRPr="00BD1319">
        <w:rPr>
          <w:spacing w:val="-3"/>
          <w:lang w:val="fr-FR"/>
        </w:rPr>
        <w:t>BERTIER</w:t>
      </w:r>
      <w:r w:rsidR="004C7C58" w:rsidRPr="00BD1319">
        <w:rPr>
          <w:spacing w:val="-3"/>
          <w:lang w:val="fr-FR"/>
        </w:rPr>
        <w:t xml:space="preserve">, </w:t>
      </w:r>
      <w:r w:rsidRPr="00BD1319">
        <w:rPr>
          <w:spacing w:val="-3"/>
          <w:lang w:val="fr-FR"/>
        </w:rPr>
        <w:t xml:space="preserve">P. </w:t>
      </w:r>
      <w:r w:rsidR="004C7C58" w:rsidRPr="00BD1319">
        <w:rPr>
          <w:spacing w:val="-3"/>
          <w:lang w:val="fr-FR"/>
        </w:rPr>
        <w:t>La m</w:t>
      </w:r>
      <w:r w:rsidRPr="00BD1319">
        <w:rPr>
          <w:spacing w:val="-3"/>
          <w:lang w:val="fr-FR"/>
        </w:rPr>
        <w:t>é</w:t>
      </w:r>
      <w:r w:rsidR="004C7C58" w:rsidRPr="00BD1319">
        <w:rPr>
          <w:spacing w:val="-3"/>
          <w:lang w:val="fr-FR"/>
        </w:rPr>
        <w:t xml:space="preserve">thode ELECTRE II – Une application au </w:t>
      </w:r>
      <w:proofErr w:type="spellStart"/>
      <w:r w:rsidR="004C7C58" w:rsidRPr="00BD1319">
        <w:rPr>
          <w:spacing w:val="-3"/>
          <w:lang w:val="fr-FR"/>
        </w:rPr>
        <w:t>m</w:t>
      </w:r>
      <w:r w:rsidRPr="00BD1319">
        <w:rPr>
          <w:spacing w:val="-3"/>
          <w:lang w:val="fr-FR"/>
        </w:rPr>
        <w:t>é</w:t>
      </w:r>
      <w:r w:rsidR="004C7C58" w:rsidRPr="00BD1319">
        <w:rPr>
          <w:spacing w:val="-3"/>
          <w:lang w:val="fr-FR"/>
        </w:rPr>
        <w:t>dia-planning</w:t>
      </w:r>
      <w:proofErr w:type="spellEnd"/>
      <w:r w:rsidRPr="00BD1319">
        <w:rPr>
          <w:spacing w:val="-3"/>
          <w:lang w:val="fr-FR"/>
        </w:rPr>
        <w:t>.</w:t>
      </w:r>
      <w:r w:rsidR="004C7C58" w:rsidRPr="00BD1319">
        <w:rPr>
          <w:spacing w:val="-3"/>
          <w:lang w:val="fr-FR"/>
        </w:rPr>
        <w:t xml:space="preserve"> </w:t>
      </w:r>
      <w:r w:rsidR="004C7C58" w:rsidRPr="00BD1319">
        <w:rPr>
          <w:spacing w:val="-3"/>
        </w:rPr>
        <w:t>SEMA (Metra International)</w:t>
      </w:r>
      <w:r w:rsidRPr="00BD1319">
        <w:rPr>
          <w:spacing w:val="-3"/>
        </w:rPr>
        <w:t>.</w:t>
      </w:r>
      <w:r w:rsidR="004C7C58" w:rsidRPr="00BD1319">
        <w:rPr>
          <w:spacing w:val="-3"/>
        </w:rPr>
        <w:t xml:space="preserve"> Note de </w:t>
      </w:r>
      <w:proofErr w:type="spellStart"/>
      <w:r w:rsidR="004C7C58" w:rsidRPr="00BD1319">
        <w:rPr>
          <w:spacing w:val="-3"/>
        </w:rPr>
        <w:t>Travail</w:t>
      </w:r>
      <w:proofErr w:type="spellEnd"/>
      <w:r w:rsidR="004C7C58" w:rsidRPr="00BD1319">
        <w:rPr>
          <w:spacing w:val="-3"/>
        </w:rPr>
        <w:t>, 142, 1971.</w:t>
      </w:r>
    </w:p>
    <w:p w14:paraId="53ACCF2E" w14:textId="3A0EFDA8" w:rsidR="004C7C58" w:rsidRPr="00BD1319" w:rsidRDefault="001204E1" w:rsidP="00511F41">
      <w:pPr>
        <w:numPr>
          <w:ilvl w:val="0"/>
          <w:numId w:val="672"/>
        </w:numPr>
        <w:overflowPunct/>
        <w:autoSpaceDE/>
        <w:autoSpaceDN/>
        <w:adjustRightInd/>
        <w:ind w:left="567" w:hanging="567"/>
        <w:textAlignment w:val="auto"/>
        <w:rPr>
          <w:spacing w:val="-3"/>
        </w:rPr>
      </w:pPr>
      <w:r w:rsidRPr="00BD1319">
        <w:rPr>
          <w:spacing w:val="-3"/>
          <w:lang w:val="fr-FR"/>
        </w:rPr>
        <w:t xml:space="preserve">ROY, B. </w:t>
      </w:r>
      <w:r w:rsidR="001E394D" w:rsidRPr="00BD1319">
        <w:rPr>
          <w:spacing w:val="-3"/>
          <w:lang w:val="fr-FR"/>
        </w:rPr>
        <w:t>BOUYSSOU</w:t>
      </w:r>
      <w:r w:rsidR="004C7C58" w:rsidRPr="00BD1319">
        <w:rPr>
          <w:spacing w:val="-3"/>
          <w:lang w:val="fr-FR"/>
        </w:rPr>
        <w:t xml:space="preserve">, </w:t>
      </w:r>
      <w:r w:rsidRPr="00BD1319">
        <w:rPr>
          <w:spacing w:val="-3"/>
          <w:lang w:val="fr-FR"/>
        </w:rPr>
        <w:t xml:space="preserve">D. </w:t>
      </w:r>
      <w:r w:rsidR="004C7C58" w:rsidRPr="00BD1319">
        <w:rPr>
          <w:spacing w:val="-3"/>
          <w:lang w:val="fr-FR"/>
        </w:rPr>
        <w:t xml:space="preserve">Aide </w:t>
      </w:r>
      <w:proofErr w:type="spellStart"/>
      <w:r w:rsidR="004C7C58" w:rsidRPr="00BD1319">
        <w:rPr>
          <w:spacing w:val="-3"/>
          <w:lang w:val="fr-FR"/>
        </w:rPr>
        <w:t>Multicrit</w:t>
      </w:r>
      <w:r w:rsidRPr="00BD1319">
        <w:rPr>
          <w:spacing w:val="-3"/>
          <w:lang w:val="fr-FR"/>
        </w:rPr>
        <w:t>é</w:t>
      </w:r>
      <w:r w:rsidR="004C7C58" w:rsidRPr="00BD1319">
        <w:rPr>
          <w:spacing w:val="-3"/>
          <w:lang w:val="fr-FR"/>
        </w:rPr>
        <w:t>re</w:t>
      </w:r>
      <w:proofErr w:type="spellEnd"/>
      <w:r w:rsidR="004C7C58" w:rsidRPr="00BD1319">
        <w:rPr>
          <w:spacing w:val="-3"/>
          <w:lang w:val="fr-FR"/>
        </w:rPr>
        <w:t xml:space="preserve"> </w:t>
      </w:r>
      <w:r w:rsidR="001E394D" w:rsidRPr="00BD1319">
        <w:rPr>
          <w:rFonts w:cs="Arial"/>
          <w:spacing w:val="-3"/>
          <w:lang w:val="fr-FR"/>
        </w:rPr>
        <w:t>à</w:t>
      </w:r>
      <w:r w:rsidR="004C7C58" w:rsidRPr="00BD1319">
        <w:rPr>
          <w:spacing w:val="-3"/>
          <w:lang w:val="fr-FR"/>
        </w:rPr>
        <w:t xml:space="preserve"> la </w:t>
      </w:r>
      <w:proofErr w:type="gramStart"/>
      <w:r w:rsidR="004C7C58" w:rsidRPr="00BD1319">
        <w:rPr>
          <w:spacing w:val="-3"/>
          <w:lang w:val="fr-FR"/>
        </w:rPr>
        <w:t>D</w:t>
      </w:r>
      <w:r w:rsidRPr="00BD1319">
        <w:rPr>
          <w:spacing w:val="-3"/>
          <w:lang w:val="fr-FR"/>
        </w:rPr>
        <w:t>é</w:t>
      </w:r>
      <w:r w:rsidR="004C7C58" w:rsidRPr="00BD1319">
        <w:rPr>
          <w:spacing w:val="-3"/>
          <w:lang w:val="fr-FR"/>
        </w:rPr>
        <w:t>cision:</w:t>
      </w:r>
      <w:proofErr w:type="gramEnd"/>
      <w:r w:rsidR="004C7C58" w:rsidRPr="00BD1319">
        <w:rPr>
          <w:spacing w:val="-3"/>
          <w:lang w:val="fr-FR"/>
        </w:rPr>
        <w:t xml:space="preserve"> M</w:t>
      </w:r>
      <w:r w:rsidRPr="00BD1319">
        <w:rPr>
          <w:spacing w:val="-3"/>
          <w:lang w:val="fr-FR"/>
        </w:rPr>
        <w:t>é</w:t>
      </w:r>
      <w:r w:rsidR="004C7C58" w:rsidRPr="00BD1319">
        <w:rPr>
          <w:spacing w:val="-3"/>
          <w:lang w:val="fr-FR"/>
        </w:rPr>
        <w:t>thodes et Cas</w:t>
      </w:r>
      <w:r w:rsidRPr="00BD1319">
        <w:rPr>
          <w:spacing w:val="-3"/>
          <w:lang w:val="fr-FR"/>
        </w:rPr>
        <w:t>.</w:t>
      </w:r>
      <w:r w:rsidR="004C7C58" w:rsidRPr="00BD1319">
        <w:rPr>
          <w:spacing w:val="-3"/>
          <w:lang w:val="fr-FR"/>
        </w:rPr>
        <w:t xml:space="preserve"> </w:t>
      </w:r>
      <w:r w:rsidR="004C7C58" w:rsidRPr="00BD1319">
        <w:rPr>
          <w:spacing w:val="-3"/>
        </w:rPr>
        <w:t>Paris</w:t>
      </w:r>
      <w:r w:rsidRPr="00BD1319">
        <w:rPr>
          <w:spacing w:val="-3"/>
        </w:rPr>
        <w:t xml:space="preserve">: </w:t>
      </w:r>
      <w:proofErr w:type="spellStart"/>
      <w:r w:rsidRPr="00BD1319">
        <w:rPr>
          <w:spacing w:val="-3"/>
        </w:rPr>
        <w:t>Economica</w:t>
      </w:r>
      <w:proofErr w:type="spellEnd"/>
      <w:r w:rsidRPr="00BD1319">
        <w:rPr>
          <w:spacing w:val="-3"/>
        </w:rPr>
        <w:t>,</w:t>
      </w:r>
      <w:r w:rsidR="004C7C58" w:rsidRPr="00BD1319">
        <w:rPr>
          <w:spacing w:val="-3"/>
        </w:rPr>
        <w:t xml:space="preserve"> 1993.</w:t>
      </w:r>
    </w:p>
    <w:p w14:paraId="279504BC" w14:textId="3CD0EB41" w:rsidR="004C7C58" w:rsidRPr="00BD1319" w:rsidRDefault="001204E1" w:rsidP="00511F41">
      <w:pPr>
        <w:numPr>
          <w:ilvl w:val="0"/>
          <w:numId w:val="672"/>
        </w:numPr>
        <w:overflowPunct/>
        <w:autoSpaceDE/>
        <w:autoSpaceDN/>
        <w:adjustRightInd/>
        <w:ind w:left="567" w:hanging="567"/>
        <w:textAlignment w:val="auto"/>
        <w:rPr>
          <w:spacing w:val="-3"/>
        </w:rPr>
      </w:pPr>
      <w:r w:rsidRPr="00BD1319">
        <w:rPr>
          <w:spacing w:val="-3"/>
          <w:lang w:val="en-US"/>
        </w:rPr>
        <w:t>ROY, B.</w:t>
      </w:r>
      <w:r w:rsidR="004C7C58" w:rsidRPr="00BD1319">
        <w:rPr>
          <w:spacing w:val="-3"/>
          <w:lang w:val="en-US"/>
        </w:rPr>
        <w:t xml:space="preserve"> </w:t>
      </w:r>
      <w:r w:rsidR="001E394D" w:rsidRPr="00BD1319">
        <w:rPr>
          <w:spacing w:val="-3"/>
          <w:lang w:val="en-US"/>
        </w:rPr>
        <w:t>HUGONNARD</w:t>
      </w:r>
      <w:r w:rsidR="004C7C58" w:rsidRPr="00BD1319">
        <w:rPr>
          <w:spacing w:val="-3"/>
          <w:lang w:val="en-US"/>
        </w:rPr>
        <w:t xml:space="preserve">, </w:t>
      </w:r>
      <w:r w:rsidR="001E394D" w:rsidRPr="00BD1319">
        <w:rPr>
          <w:spacing w:val="-3"/>
          <w:lang w:val="en-US"/>
        </w:rPr>
        <w:t xml:space="preserve">J. </w:t>
      </w:r>
      <w:r w:rsidR="004C7C58" w:rsidRPr="00BD1319">
        <w:rPr>
          <w:spacing w:val="-3"/>
          <w:lang w:val="en-US"/>
        </w:rPr>
        <w:t>Ranking of suburban line extension projects on the Paris metro system by a multicriteria method</w:t>
      </w:r>
      <w:r w:rsidR="001E394D" w:rsidRPr="00BD1319">
        <w:rPr>
          <w:spacing w:val="-3"/>
          <w:lang w:val="en-US"/>
        </w:rPr>
        <w:t>.</w:t>
      </w:r>
      <w:r w:rsidR="004C7C58" w:rsidRPr="00BD1319">
        <w:rPr>
          <w:spacing w:val="-3"/>
          <w:lang w:val="en-US"/>
        </w:rPr>
        <w:t xml:space="preserve"> </w:t>
      </w:r>
      <w:proofErr w:type="spellStart"/>
      <w:r w:rsidR="004C7C58" w:rsidRPr="00BD1319">
        <w:rPr>
          <w:spacing w:val="-3"/>
        </w:rPr>
        <w:t>Transport</w:t>
      </w:r>
      <w:proofErr w:type="spellEnd"/>
      <w:r w:rsidR="004C7C58" w:rsidRPr="00BD1319">
        <w:rPr>
          <w:spacing w:val="-3"/>
        </w:rPr>
        <w:t>. Res. 16A</w:t>
      </w:r>
      <w:r w:rsidR="001E394D" w:rsidRPr="00BD1319">
        <w:rPr>
          <w:spacing w:val="-3"/>
        </w:rPr>
        <w:t>,</w:t>
      </w:r>
      <w:r w:rsidR="004C7C58" w:rsidRPr="00BD1319">
        <w:rPr>
          <w:spacing w:val="-3"/>
        </w:rPr>
        <w:t xml:space="preserve"> 4 (1982)</w:t>
      </w:r>
      <w:r w:rsidR="001E394D" w:rsidRPr="00BD1319">
        <w:rPr>
          <w:spacing w:val="-3"/>
        </w:rPr>
        <w:t>; p</w:t>
      </w:r>
      <w:r w:rsidR="004C7C58" w:rsidRPr="00BD1319">
        <w:rPr>
          <w:spacing w:val="-3"/>
        </w:rPr>
        <w:t xml:space="preserve"> 301–312.</w:t>
      </w:r>
    </w:p>
    <w:p w14:paraId="1AE35ECA" w14:textId="169B6C3C" w:rsidR="004C7C58" w:rsidRPr="00BD1319" w:rsidRDefault="001E394D" w:rsidP="00511F41">
      <w:pPr>
        <w:numPr>
          <w:ilvl w:val="0"/>
          <w:numId w:val="672"/>
        </w:numPr>
        <w:overflowPunct/>
        <w:autoSpaceDE/>
        <w:autoSpaceDN/>
        <w:adjustRightInd/>
        <w:ind w:left="567" w:hanging="567"/>
        <w:textAlignment w:val="auto"/>
        <w:rPr>
          <w:spacing w:val="-3"/>
        </w:rPr>
      </w:pPr>
      <w:r w:rsidRPr="00BD1319">
        <w:rPr>
          <w:spacing w:val="-3"/>
          <w:lang w:val="en-US"/>
        </w:rPr>
        <w:t xml:space="preserve">SAATY, T. </w:t>
      </w:r>
      <w:r w:rsidR="004C7C58" w:rsidRPr="00BD1319">
        <w:rPr>
          <w:spacing w:val="-3"/>
          <w:lang w:val="en-US"/>
        </w:rPr>
        <w:t>A scaling method for priorities in hierarchical structures</w:t>
      </w:r>
      <w:r w:rsidRPr="00BD1319">
        <w:rPr>
          <w:spacing w:val="-3"/>
          <w:lang w:val="en-US"/>
        </w:rPr>
        <w:t>.</w:t>
      </w:r>
      <w:r w:rsidR="004C7C58" w:rsidRPr="00BD1319">
        <w:rPr>
          <w:spacing w:val="-3"/>
          <w:lang w:val="en-US"/>
        </w:rPr>
        <w:t xml:space="preserve"> J. Math. </w:t>
      </w:r>
      <w:proofErr w:type="spellStart"/>
      <w:r w:rsidR="004C7C58" w:rsidRPr="00BD1319">
        <w:rPr>
          <w:spacing w:val="-3"/>
        </w:rPr>
        <w:t>Psychol</w:t>
      </w:r>
      <w:proofErr w:type="spellEnd"/>
      <w:r w:rsidR="004C7C58" w:rsidRPr="00BD1319">
        <w:rPr>
          <w:spacing w:val="-3"/>
        </w:rPr>
        <w:t>. 15</w:t>
      </w:r>
      <w:r w:rsidRPr="00BD1319">
        <w:rPr>
          <w:spacing w:val="-3"/>
        </w:rPr>
        <w:t>,</w:t>
      </w:r>
      <w:r w:rsidR="004C7C58" w:rsidRPr="00BD1319">
        <w:rPr>
          <w:spacing w:val="-3"/>
        </w:rPr>
        <w:t xml:space="preserve"> 3 (1977)</w:t>
      </w:r>
      <w:r w:rsidRPr="00BD1319">
        <w:rPr>
          <w:spacing w:val="-3"/>
        </w:rPr>
        <w:t>; p</w:t>
      </w:r>
      <w:r w:rsidR="004C7C58" w:rsidRPr="00BD1319">
        <w:rPr>
          <w:spacing w:val="-3"/>
        </w:rPr>
        <w:t xml:space="preserve"> 234–281.</w:t>
      </w:r>
    </w:p>
    <w:p w14:paraId="1FB83198" w14:textId="4D765F74" w:rsidR="004C7C58" w:rsidRPr="00BD1319" w:rsidRDefault="00D2497C" w:rsidP="00511F41">
      <w:pPr>
        <w:numPr>
          <w:ilvl w:val="0"/>
          <w:numId w:val="672"/>
        </w:numPr>
        <w:overflowPunct/>
        <w:autoSpaceDE/>
        <w:autoSpaceDN/>
        <w:adjustRightInd/>
        <w:ind w:left="567" w:hanging="567"/>
        <w:textAlignment w:val="auto"/>
        <w:rPr>
          <w:spacing w:val="-3"/>
        </w:rPr>
      </w:pPr>
      <w:r w:rsidRPr="00BD1319">
        <w:rPr>
          <w:spacing w:val="-3"/>
          <w:lang w:val="en-US"/>
        </w:rPr>
        <w:t xml:space="preserve">SAATY, T. </w:t>
      </w:r>
      <w:r w:rsidR="004C7C58" w:rsidRPr="00BD1319">
        <w:rPr>
          <w:spacing w:val="-3"/>
          <w:lang w:val="en-US"/>
        </w:rPr>
        <w:t>The Analytic Hierarchy Process</w:t>
      </w:r>
      <w:r w:rsidRPr="00BD1319">
        <w:rPr>
          <w:spacing w:val="-3"/>
          <w:lang w:val="en-US"/>
        </w:rPr>
        <w:t xml:space="preserve">. </w:t>
      </w:r>
      <w:r w:rsidR="004C7C58" w:rsidRPr="00BD1319">
        <w:rPr>
          <w:spacing w:val="-3"/>
        </w:rPr>
        <w:t>New York</w:t>
      </w:r>
      <w:r w:rsidRPr="00BD1319">
        <w:rPr>
          <w:spacing w:val="-3"/>
        </w:rPr>
        <w:t>: McGraw- Hill,</w:t>
      </w:r>
      <w:r w:rsidR="004C7C58" w:rsidRPr="00BD1319">
        <w:rPr>
          <w:spacing w:val="-3"/>
        </w:rPr>
        <w:t xml:space="preserve"> 1980.</w:t>
      </w:r>
    </w:p>
    <w:p w14:paraId="78534F42" w14:textId="622140D1" w:rsidR="004C7C58" w:rsidRPr="00BD1319" w:rsidRDefault="00D2497C" w:rsidP="00511F41">
      <w:pPr>
        <w:numPr>
          <w:ilvl w:val="0"/>
          <w:numId w:val="672"/>
        </w:numPr>
        <w:overflowPunct/>
        <w:autoSpaceDE/>
        <w:autoSpaceDN/>
        <w:adjustRightInd/>
        <w:ind w:left="567" w:hanging="567"/>
        <w:textAlignment w:val="auto"/>
        <w:rPr>
          <w:spacing w:val="-3"/>
          <w:lang w:val="fr-FR"/>
        </w:rPr>
      </w:pPr>
      <w:r w:rsidRPr="00BD1319">
        <w:rPr>
          <w:spacing w:val="-3"/>
          <w:lang w:val="fr-FR"/>
        </w:rPr>
        <w:t xml:space="preserve">VINCKE, P. </w:t>
      </w:r>
      <w:r w:rsidR="004C7C58" w:rsidRPr="00BD1319">
        <w:rPr>
          <w:spacing w:val="-3"/>
          <w:lang w:val="fr-FR"/>
        </w:rPr>
        <w:t xml:space="preserve">L’aide </w:t>
      </w:r>
      <w:proofErr w:type="spellStart"/>
      <w:r w:rsidR="004C7C58" w:rsidRPr="00BD1319">
        <w:rPr>
          <w:spacing w:val="-3"/>
          <w:lang w:val="fr-FR"/>
        </w:rPr>
        <w:t>Multicrit</w:t>
      </w:r>
      <w:r w:rsidRPr="00BD1319">
        <w:rPr>
          <w:spacing w:val="-3"/>
          <w:lang w:val="fr-FR"/>
        </w:rPr>
        <w:t>é</w:t>
      </w:r>
      <w:r w:rsidR="004C7C58" w:rsidRPr="00BD1319">
        <w:rPr>
          <w:spacing w:val="-3"/>
          <w:lang w:val="fr-FR"/>
        </w:rPr>
        <w:t>re</w:t>
      </w:r>
      <w:proofErr w:type="spellEnd"/>
      <w:r w:rsidR="004C7C58" w:rsidRPr="00BD1319">
        <w:rPr>
          <w:spacing w:val="-3"/>
          <w:lang w:val="fr-FR"/>
        </w:rPr>
        <w:t xml:space="preserve"> </w:t>
      </w:r>
      <w:r w:rsidRPr="00BD1319">
        <w:rPr>
          <w:rFonts w:cs="Arial"/>
          <w:spacing w:val="-3"/>
          <w:lang w:val="fr-FR"/>
        </w:rPr>
        <w:t>à</w:t>
      </w:r>
      <w:r w:rsidR="004C7C58" w:rsidRPr="00BD1319">
        <w:rPr>
          <w:spacing w:val="-3"/>
          <w:lang w:val="fr-FR"/>
        </w:rPr>
        <w:t xml:space="preserve"> la D</w:t>
      </w:r>
      <w:r w:rsidRPr="00BD1319">
        <w:rPr>
          <w:spacing w:val="-3"/>
          <w:lang w:val="fr-FR"/>
        </w:rPr>
        <w:t>é</w:t>
      </w:r>
      <w:r w:rsidR="004C7C58" w:rsidRPr="00BD1319">
        <w:rPr>
          <w:spacing w:val="-3"/>
          <w:lang w:val="fr-FR"/>
        </w:rPr>
        <w:t>cision</w:t>
      </w:r>
      <w:r w:rsidRPr="00BD1319">
        <w:rPr>
          <w:spacing w:val="-3"/>
          <w:lang w:val="fr-FR"/>
        </w:rPr>
        <w:t>.</w:t>
      </w:r>
      <w:r w:rsidR="004C7C58" w:rsidRPr="00BD1319">
        <w:rPr>
          <w:spacing w:val="-3"/>
          <w:lang w:val="fr-FR"/>
        </w:rPr>
        <w:t xml:space="preserve"> </w:t>
      </w:r>
      <w:r w:rsidRPr="00BD1319">
        <w:rPr>
          <w:spacing w:val="-3"/>
          <w:lang w:val="fr-FR"/>
        </w:rPr>
        <w:t>É</w:t>
      </w:r>
      <w:r w:rsidR="004C7C58" w:rsidRPr="00BD1319">
        <w:rPr>
          <w:spacing w:val="-3"/>
          <w:lang w:val="fr-FR"/>
        </w:rPr>
        <w:t>ditions del</w:t>
      </w:r>
      <w:r w:rsidRPr="00BD1319">
        <w:rPr>
          <w:spacing w:val="-3"/>
          <w:lang w:val="fr-FR"/>
        </w:rPr>
        <w:t xml:space="preserve"> </w:t>
      </w:r>
      <w:r w:rsidR="004C7C58" w:rsidRPr="00BD1319">
        <w:rPr>
          <w:spacing w:val="-3"/>
          <w:lang w:val="fr-FR"/>
        </w:rPr>
        <w:t>Universit</w:t>
      </w:r>
      <w:r w:rsidRPr="00BD1319">
        <w:rPr>
          <w:spacing w:val="-3"/>
          <w:lang w:val="fr-FR"/>
        </w:rPr>
        <w:t>é</w:t>
      </w:r>
      <w:r w:rsidR="004C7C58" w:rsidRPr="00BD1319">
        <w:rPr>
          <w:spacing w:val="-3"/>
          <w:lang w:val="fr-FR"/>
        </w:rPr>
        <w:t xml:space="preserve"> de Bruxelles, 1989.</w:t>
      </w:r>
    </w:p>
    <w:p w14:paraId="2F149C46" w14:textId="3F096A38" w:rsidR="004C7C58" w:rsidRPr="00BD1319" w:rsidRDefault="00D2497C" w:rsidP="00511F41">
      <w:pPr>
        <w:numPr>
          <w:ilvl w:val="0"/>
          <w:numId w:val="672"/>
        </w:numPr>
        <w:overflowPunct/>
        <w:autoSpaceDE/>
        <w:autoSpaceDN/>
        <w:adjustRightInd/>
        <w:ind w:left="567" w:hanging="567"/>
        <w:textAlignment w:val="auto"/>
        <w:rPr>
          <w:spacing w:val="-3"/>
        </w:rPr>
      </w:pPr>
      <w:r w:rsidRPr="00BD1319">
        <w:rPr>
          <w:spacing w:val="-3"/>
          <w:lang w:val="en-US"/>
        </w:rPr>
        <w:t>VOOGD</w:t>
      </w:r>
      <w:r w:rsidR="004C7C58" w:rsidRPr="00BD1319">
        <w:rPr>
          <w:spacing w:val="-3"/>
          <w:lang w:val="en-US"/>
        </w:rPr>
        <w:t xml:space="preserve">, </w:t>
      </w:r>
      <w:r w:rsidRPr="00BD1319">
        <w:rPr>
          <w:spacing w:val="-3"/>
          <w:lang w:val="en-US"/>
        </w:rPr>
        <w:t xml:space="preserve">H. </w:t>
      </w:r>
      <w:r w:rsidR="004C7C58" w:rsidRPr="00BD1319">
        <w:rPr>
          <w:spacing w:val="-3"/>
          <w:lang w:val="en-US"/>
        </w:rPr>
        <w:t>Multicriteria Evaluation for Urban and Regional Planning</w:t>
      </w:r>
      <w:r w:rsidRPr="00BD1319">
        <w:rPr>
          <w:spacing w:val="-3"/>
          <w:lang w:val="en-US"/>
        </w:rPr>
        <w:t xml:space="preserve">. </w:t>
      </w:r>
      <w:r w:rsidR="004C7C58" w:rsidRPr="00BD1319">
        <w:rPr>
          <w:spacing w:val="-3"/>
        </w:rPr>
        <w:t>London</w:t>
      </w:r>
      <w:r w:rsidRPr="00BD1319">
        <w:rPr>
          <w:spacing w:val="-3"/>
        </w:rPr>
        <w:t>: Pion</w:t>
      </w:r>
      <w:r w:rsidR="004C7C58" w:rsidRPr="00BD1319">
        <w:rPr>
          <w:spacing w:val="-3"/>
        </w:rPr>
        <w:t>, 1983.</w:t>
      </w:r>
    </w:p>
    <w:p w14:paraId="44BC08AA" w14:textId="4E371C7D" w:rsidR="004C7C58" w:rsidRPr="00BD1319" w:rsidRDefault="00D2497C" w:rsidP="00A41DC6">
      <w:pPr>
        <w:numPr>
          <w:ilvl w:val="0"/>
          <w:numId w:val="672"/>
        </w:numPr>
        <w:overflowPunct/>
        <w:autoSpaceDE/>
        <w:autoSpaceDN/>
        <w:adjustRightInd/>
        <w:ind w:left="567" w:hanging="567"/>
        <w:textAlignment w:val="auto"/>
        <w:rPr>
          <w:spacing w:val="-3"/>
          <w:lang w:val="en-US"/>
        </w:rPr>
      </w:pPr>
      <w:r w:rsidRPr="00BD1319">
        <w:rPr>
          <w:spacing w:val="-3"/>
          <w:lang w:val="en-US"/>
        </w:rPr>
        <w:t>YAGER</w:t>
      </w:r>
      <w:r w:rsidR="004C7C58" w:rsidRPr="00BD1319">
        <w:rPr>
          <w:spacing w:val="-3"/>
          <w:lang w:val="en-US"/>
        </w:rPr>
        <w:t xml:space="preserve">, </w:t>
      </w:r>
      <w:r w:rsidRPr="00BD1319">
        <w:rPr>
          <w:spacing w:val="-3"/>
          <w:lang w:val="en-US"/>
        </w:rPr>
        <w:t xml:space="preserve">R. </w:t>
      </w:r>
      <w:r w:rsidR="004C7C58" w:rsidRPr="00BD1319">
        <w:rPr>
          <w:spacing w:val="-3"/>
          <w:lang w:val="en-US"/>
        </w:rPr>
        <w:t>Fuzzy decision-making including unequal objectives</w:t>
      </w:r>
      <w:r w:rsidRPr="00BD1319">
        <w:rPr>
          <w:spacing w:val="-3"/>
          <w:lang w:val="en-US"/>
        </w:rPr>
        <w:t>.</w:t>
      </w:r>
      <w:r w:rsidR="004C7C58" w:rsidRPr="00BD1319">
        <w:rPr>
          <w:spacing w:val="-3"/>
          <w:lang w:val="en-US"/>
        </w:rPr>
        <w:t xml:space="preserve"> Fuzzy Sets and Systems</w:t>
      </w:r>
      <w:r w:rsidRPr="00BD1319">
        <w:rPr>
          <w:spacing w:val="-3"/>
          <w:lang w:val="en-US"/>
        </w:rPr>
        <w:t>.</w:t>
      </w:r>
      <w:r w:rsidR="004C7C58" w:rsidRPr="00BD1319">
        <w:rPr>
          <w:spacing w:val="-3"/>
          <w:lang w:val="en-US"/>
        </w:rPr>
        <w:t xml:space="preserve"> 1</w:t>
      </w:r>
      <w:r w:rsidRPr="00BD1319">
        <w:rPr>
          <w:spacing w:val="-3"/>
          <w:lang w:val="en-US"/>
        </w:rPr>
        <w:t>,</w:t>
      </w:r>
      <w:r w:rsidR="004C7C58" w:rsidRPr="00BD1319">
        <w:rPr>
          <w:spacing w:val="-3"/>
          <w:lang w:val="en-US"/>
        </w:rPr>
        <w:t xml:space="preserve"> 2 (1978)</w:t>
      </w:r>
      <w:r w:rsidRPr="00BD1319">
        <w:rPr>
          <w:spacing w:val="-3"/>
          <w:lang w:val="en-US"/>
        </w:rPr>
        <w:t>; p</w:t>
      </w:r>
      <w:r w:rsidR="004C7C58" w:rsidRPr="00BD1319">
        <w:rPr>
          <w:spacing w:val="-3"/>
          <w:lang w:val="en-US"/>
        </w:rPr>
        <w:t xml:space="preserve"> 87–95.</w:t>
      </w:r>
    </w:p>
    <w:p w14:paraId="7CA5366C" w14:textId="21FAC3EC" w:rsidR="004C7C58" w:rsidRPr="00BD1319" w:rsidRDefault="00D2497C" w:rsidP="00A41DC6">
      <w:pPr>
        <w:numPr>
          <w:ilvl w:val="0"/>
          <w:numId w:val="672"/>
        </w:numPr>
        <w:overflowPunct/>
        <w:autoSpaceDE/>
        <w:autoSpaceDN/>
        <w:adjustRightInd/>
        <w:ind w:left="567" w:hanging="567"/>
        <w:textAlignment w:val="auto"/>
        <w:rPr>
          <w:spacing w:val="-3"/>
          <w:lang w:val="en-US"/>
        </w:rPr>
      </w:pPr>
      <w:r w:rsidRPr="00BD1319">
        <w:rPr>
          <w:spacing w:val="-3"/>
          <w:lang w:val="en-US"/>
        </w:rPr>
        <w:t>HUTTON, F., BARRETT, B.</w:t>
      </w:r>
      <w:r w:rsidR="004C7C58" w:rsidRPr="00BD1319">
        <w:rPr>
          <w:spacing w:val="-3"/>
          <w:lang w:val="en-US"/>
        </w:rPr>
        <w:t xml:space="preserve"> Decision Quality Using Ranked and Partially ranked Attribute Weights</w:t>
      </w:r>
      <w:r w:rsidRPr="00BD1319">
        <w:rPr>
          <w:spacing w:val="-3"/>
          <w:lang w:val="en-US"/>
        </w:rPr>
        <w:t xml:space="preserve">. </w:t>
      </w:r>
      <w:r w:rsidR="003C3A59" w:rsidRPr="00BD1319">
        <w:rPr>
          <w:spacing w:val="-3"/>
          <w:lang w:val="en-US"/>
        </w:rPr>
        <w:t>Management Science. 42., 11</w:t>
      </w:r>
      <w:r w:rsidRPr="00BD1319">
        <w:rPr>
          <w:spacing w:val="-3"/>
          <w:lang w:val="en-US"/>
        </w:rPr>
        <w:t xml:space="preserve"> </w:t>
      </w:r>
      <w:r w:rsidR="003C3A59" w:rsidRPr="00BD1319">
        <w:rPr>
          <w:spacing w:val="-3"/>
          <w:lang w:val="en-US"/>
        </w:rPr>
        <w:t>(</w:t>
      </w:r>
      <w:r w:rsidRPr="00BD1319">
        <w:rPr>
          <w:spacing w:val="-3"/>
          <w:lang w:val="en-US"/>
        </w:rPr>
        <w:t>1996</w:t>
      </w:r>
      <w:r w:rsidR="003C3A59" w:rsidRPr="00BD1319">
        <w:rPr>
          <w:spacing w:val="-3"/>
          <w:lang w:val="en-US"/>
        </w:rPr>
        <w:t>)</w:t>
      </w:r>
      <w:r w:rsidRPr="00BD1319">
        <w:rPr>
          <w:spacing w:val="-3"/>
          <w:lang w:val="en-US"/>
        </w:rPr>
        <w:t>.</w:t>
      </w:r>
      <w:r w:rsidR="004C7C58" w:rsidRPr="00BD1319">
        <w:rPr>
          <w:spacing w:val="-3"/>
          <w:lang w:val="en-US"/>
        </w:rPr>
        <w:t xml:space="preserve"> </w:t>
      </w:r>
      <w:proofErr w:type="spellStart"/>
      <w:r w:rsidRPr="00BD1319">
        <w:rPr>
          <w:spacing w:val="-3"/>
          <w:lang w:val="en-US"/>
        </w:rPr>
        <w:t>Citado</w:t>
      </w:r>
      <w:proofErr w:type="spellEnd"/>
      <w:r w:rsidRPr="00BD1319">
        <w:rPr>
          <w:spacing w:val="-3"/>
          <w:lang w:val="en-US"/>
        </w:rPr>
        <w:t xml:space="preserve"> </w:t>
      </w:r>
      <w:proofErr w:type="spellStart"/>
      <w:r w:rsidRPr="00BD1319">
        <w:rPr>
          <w:spacing w:val="-3"/>
          <w:lang w:val="en-US"/>
        </w:rPr>
        <w:t>e</w:t>
      </w:r>
      <w:r w:rsidR="004C7C58" w:rsidRPr="00BD1319">
        <w:rPr>
          <w:spacing w:val="-3"/>
          <w:lang w:val="en-US"/>
        </w:rPr>
        <w:t>n</w:t>
      </w:r>
      <w:proofErr w:type="spellEnd"/>
      <w:r w:rsidR="004C7C58" w:rsidRPr="00BD1319">
        <w:rPr>
          <w:spacing w:val="-3"/>
          <w:lang w:val="en-US"/>
        </w:rPr>
        <w:t xml:space="preserve"> </w:t>
      </w:r>
      <w:r w:rsidRPr="00BD1319">
        <w:rPr>
          <w:spacing w:val="-3"/>
          <w:lang w:val="en-US"/>
        </w:rPr>
        <w:t>OLSON, D. Decision aids for selection problems. Berlin: Springer, 1996.</w:t>
      </w:r>
    </w:p>
    <w:p w14:paraId="179D32B9" w14:textId="2F54A65A" w:rsidR="007D6428" w:rsidRPr="005A685F" w:rsidRDefault="003D723A" w:rsidP="00A41DC6">
      <w:pPr>
        <w:numPr>
          <w:ilvl w:val="0"/>
          <w:numId w:val="672"/>
        </w:numPr>
        <w:overflowPunct/>
        <w:autoSpaceDE/>
        <w:autoSpaceDN/>
        <w:adjustRightInd/>
        <w:ind w:left="567" w:hanging="567"/>
        <w:textAlignment w:val="auto"/>
        <w:rPr>
          <w:spacing w:val="-3"/>
          <w:lang w:val="en-US"/>
        </w:rPr>
      </w:pPr>
      <w:r w:rsidRPr="00BD1319">
        <w:rPr>
          <w:spacing w:val="-3"/>
          <w:lang w:val="en-US"/>
        </w:rPr>
        <w:t>EDWARDS</w:t>
      </w:r>
      <w:r w:rsidR="004C7C58" w:rsidRPr="00BD1319">
        <w:rPr>
          <w:spacing w:val="-3"/>
          <w:lang w:val="en-US"/>
        </w:rPr>
        <w:t xml:space="preserve">, </w:t>
      </w:r>
      <w:r w:rsidRPr="00BD1319">
        <w:rPr>
          <w:spacing w:val="-3"/>
          <w:lang w:val="en-US"/>
        </w:rPr>
        <w:t xml:space="preserve">W., HUTTON </w:t>
      </w:r>
      <w:r w:rsidR="004C7C58" w:rsidRPr="00BD1319">
        <w:rPr>
          <w:spacing w:val="-3"/>
          <w:lang w:val="en-US"/>
        </w:rPr>
        <w:t xml:space="preserve">F. SMARTS and SMARTER: Improved simple methods for </w:t>
      </w:r>
      <w:proofErr w:type="spellStart"/>
      <w:r w:rsidR="004C7C58" w:rsidRPr="00BD1319">
        <w:rPr>
          <w:spacing w:val="-3"/>
          <w:lang w:val="en-US"/>
        </w:rPr>
        <w:t>multiattribute</w:t>
      </w:r>
      <w:proofErr w:type="spellEnd"/>
      <w:r w:rsidR="004C7C58" w:rsidRPr="00BD1319">
        <w:rPr>
          <w:spacing w:val="-3"/>
          <w:lang w:val="en-US"/>
        </w:rPr>
        <w:t xml:space="preserve"> utility</w:t>
      </w:r>
      <w:r w:rsidRPr="00BD1319">
        <w:rPr>
          <w:spacing w:val="-3"/>
          <w:lang w:val="en-US"/>
        </w:rPr>
        <w:t xml:space="preserve">. </w:t>
      </w:r>
      <w:r w:rsidRPr="005A685F">
        <w:rPr>
          <w:spacing w:val="-3"/>
          <w:lang w:val="en-US"/>
        </w:rPr>
        <w:t>Organizational behavior and human decision processes. 60 (1994); p 306-325.</w:t>
      </w:r>
      <w:r w:rsidR="007D6428" w:rsidRPr="005A685F">
        <w:rPr>
          <w:spacing w:val="-3"/>
          <w:lang w:val="en-US"/>
        </w:rPr>
        <w:br w:type="page"/>
      </w:r>
    </w:p>
    <w:p w14:paraId="3DAC3D7A" w14:textId="77777777" w:rsidR="007D6428" w:rsidRPr="005A685F" w:rsidRDefault="007D6428" w:rsidP="009420F5">
      <w:pPr>
        <w:overflowPunct/>
        <w:autoSpaceDE/>
        <w:autoSpaceDN/>
        <w:adjustRightInd/>
        <w:textAlignment w:val="auto"/>
        <w:rPr>
          <w:spacing w:val="-3"/>
          <w:lang w:val="en-US"/>
        </w:rPr>
      </w:pPr>
    </w:p>
    <w:p w14:paraId="27765436" w14:textId="20CC216C" w:rsidR="004471D7" w:rsidRPr="00EE6898" w:rsidRDefault="004471D7" w:rsidP="004471D7">
      <w:pPr>
        <w:pStyle w:val="Captulosinnumero"/>
      </w:pPr>
      <w:bookmarkStart w:id="11396" w:name="_Toc175326835"/>
      <w:r w:rsidRPr="00BD1319">
        <w:rPr>
          <w:lang w:val="es-CO"/>
        </w:rPr>
        <w:t>BIBLIOGRAFÍA</w:t>
      </w:r>
      <w:bookmarkEnd w:id="11388"/>
      <w:bookmarkEnd w:id="11389"/>
      <w:bookmarkEnd w:id="11390"/>
      <w:bookmarkEnd w:id="11391"/>
      <w:bookmarkEnd w:id="11392"/>
      <w:r w:rsidRPr="00BD1319">
        <w:rPr>
          <w:lang w:val="es-CO"/>
        </w:rPr>
        <w:t xml:space="preserve"> GLOSARIO</w:t>
      </w:r>
      <w:bookmarkEnd w:id="11393"/>
      <w:bookmarkEnd w:id="11396"/>
    </w:p>
    <w:sectPr w:rsidR="004471D7" w:rsidRPr="00EE6898" w:rsidSect="00544833">
      <w:headerReference w:type="even" r:id="rId77"/>
      <w:headerReference w:type="default" r:id="rId78"/>
      <w:footerReference w:type="default" r:id="rId79"/>
      <w:headerReference w:type="first" r:id="rId80"/>
      <w:type w:val="continuous"/>
      <w:pgSz w:w="12242" w:h="15842" w:code="1"/>
      <w:pgMar w:top="2268" w:right="1134" w:bottom="1701" w:left="1701" w:header="1134" w:footer="1009"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6DF3678" w14:textId="77777777" w:rsidR="00EB4104" w:rsidRPr="00394D50" w:rsidRDefault="00EB4104"/>
  </w:endnote>
  <w:endnote w:type="continuationSeparator" w:id="0">
    <w:p w14:paraId="22BDBE9F" w14:textId="77777777" w:rsidR="00EB4104" w:rsidRPr="00394D50" w:rsidRDefault="00EB4104">
      <w:r w:rsidRPr="00394D50">
        <w:continuationSeparator/>
      </w:r>
    </w:p>
  </w:endnote>
  <w:endnote w:type="continuationNotice" w:id="1">
    <w:p w14:paraId="019F6F18" w14:textId="77777777" w:rsidR="00EB4104" w:rsidRPr="00394D50" w:rsidRDefault="00EB4104"/>
  </w:endnote>
  <w:endnote w:id="2">
    <w:p w14:paraId="282FD287" w14:textId="1B712F20" w:rsidR="00D55F13" w:rsidRPr="00394D50" w:rsidRDefault="00D55F13">
      <w:pPr>
        <w:pStyle w:val="Textonotaalfinal"/>
        <w:rPr>
          <w:rFonts w:cs="Arial"/>
        </w:rPr>
      </w:pPr>
      <w:r w:rsidRPr="00394D50">
        <w:rPr>
          <w:rFonts w:cs="Arial"/>
          <w:vertAlign w:val="superscript"/>
        </w:rPr>
        <w:t>[</w:t>
      </w:r>
      <w:r w:rsidRPr="00394D50">
        <w:rPr>
          <w:rStyle w:val="Refdenotaalfinal"/>
        </w:rPr>
        <w:endnoteRef/>
      </w:r>
      <w:r w:rsidRPr="00394D50">
        <w:rPr>
          <w:rFonts w:cs="Arial"/>
          <w:vertAlign w:val="superscript"/>
        </w:rPr>
        <w:t>]</w:t>
      </w:r>
      <w:r w:rsidRPr="00394D50">
        <w:t xml:space="preserve"> </w:t>
      </w:r>
      <w:r w:rsidRPr="00394D50">
        <w:rPr>
          <w:rFonts w:cs="Arial"/>
        </w:rPr>
        <w:t>COLOMBIA. MINISTERIO DE AMBIENTE Y DESARROLLO SOSTENIBLE –Minambiente. Decreto 1076 “Por medio del cual se expide el Decreto Único Reglamentario del Sector Ambiente y Desarrollo Sostenible". Bogotá: Ministerio de Ambiente y Desarrollo Sostenible, 2015.</w:t>
      </w:r>
    </w:p>
    <w:p w14:paraId="60299CBD" w14:textId="77777777" w:rsidR="00D55F13" w:rsidRPr="00394D50" w:rsidRDefault="00D55F13">
      <w:pPr>
        <w:pStyle w:val="Textonotaalfinal"/>
        <w:rPr>
          <w:rFonts w:cs="Arial"/>
        </w:rPr>
      </w:pPr>
    </w:p>
  </w:endnote>
  <w:endnote w:id="3">
    <w:p w14:paraId="1BDAF059" w14:textId="39B0E1D4" w:rsidR="00D55F13" w:rsidRPr="00697E17" w:rsidRDefault="00D55F13">
      <w:pPr>
        <w:pStyle w:val="Textonotaalfinal"/>
        <w:rPr>
          <w:rFonts w:cs="Arial"/>
        </w:rPr>
      </w:pPr>
      <w:r w:rsidRPr="00394D50">
        <w:rPr>
          <w:rFonts w:cs="Arial"/>
          <w:vertAlign w:val="superscript"/>
        </w:rPr>
        <w:t>[</w:t>
      </w:r>
      <w:r w:rsidRPr="00394D50">
        <w:rPr>
          <w:vertAlign w:val="superscript"/>
        </w:rPr>
        <w:endnoteRef/>
      </w:r>
      <w:r w:rsidRPr="00394D50">
        <w:rPr>
          <w:rFonts w:cs="Arial"/>
          <w:vertAlign w:val="superscript"/>
        </w:rPr>
        <w:t>]</w:t>
      </w:r>
      <w:r w:rsidRPr="00394D50">
        <w:rPr>
          <w:rFonts w:cs="Arial"/>
        </w:rPr>
        <w:t xml:space="preserve"> COLOMBIA. CONGRESO DE LA REPÚBLICA.</w:t>
      </w:r>
      <w:r w:rsidRPr="00394D50">
        <w:t xml:space="preserve"> Ley 1931 </w:t>
      </w:r>
      <w:r w:rsidRPr="00394D50">
        <w:rPr>
          <w:rFonts w:cs="Arial"/>
        </w:rPr>
        <w:t>“Por</w:t>
      </w:r>
      <w:r w:rsidRPr="00394D50">
        <w:t xml:space="preserve"> la cual se establecen directrices para la gestión del cambio climático</w:t>
      </w:r>
      <w:r w:rsidRPr="00394D50">
        <w:rPr>
          <w:rFonts w:cs="Arial"/>
        </w:rPr>
        <w:t xml:space="preserve">”. </w:t>
      </w:r>
      <w:r w:rsidRPr="00697E17">
        <w:rPr>
          <w:rFonts w:cs="Arial"/>
        </w:rPr>
        <w:t>Bogotá: Congreso de la República. 2018</w:t>
      </w:r>
      <w:r w:rsidRPr="00697E17">
        <w:t>.</w:t>
      </w:r>
    </w:p>
    <w:p w14:paraId="2405B992" w14:textId="77777777" w:rsidR="00D55F13" w:rsidRPr="00697E17" w:rsidRDefault="00D55F13">
      <w:pPr>
        <w:pStyle w:val="Textonotaalfinal"/>
        <w:rPr>
          <w:rFonts w:cs="Arial"/>
        </w:rPr>
      </w:pPr>
    </w:p>
  </w:endnote>
  <w:endnote w:id="4">
    <w:p w14:paraId="576978C7" w14:textId="524323D8" w:rsidR="00897F46" w:rsidRPr="00697E17" w:rsidRDefault="00897F46" w:rsidP="009F32F2">
      <w:pPr>
        <w:pStyle w:val="Textonotaalfinal"/>
        <w:rPr>
          <w:rFonts w:cs="Arial"/>
        </w:rPr>
      </w:pPr>
      <w:r w:rsidRPr="00697E17">
        <w:rPr>
          <w:rFonts w:cs="Arial"/>
          <w:vertAlign w:val="superscript"/>
        </w:rPr>
        <w:t>[</w:t>
      </w:r>
      <w:r w:rsidRPr="00394D50">
        <w:rPr>
          <w:vertAlign w:val="superscript"/>
        </w:rPr>
        <w:endnoteRef/>
      </w:r>
      <w:r w:rsidRPr="00697E17">
        <w:rPr>
          <w:rFonts w:cs="Arial"/>
          <w:vertAlign w:val="superscript"/>
        </w:rPr>
        <w:t>]</w:t>
      </w:r>
      <w:r w:rsidR="0024415C" w:rsidRPr="000D6E21">
        <w:rPr>
          <w:rFonts w:cs="Arial"/>
          <w:vertAlign w:val="superscript"/>
        </w:rPr>
        <w:t xml:space="preserve"> </w:t>
      </w:r>
      <w:r w:rsidR="00BF2F6C" w:rsidRPr="00697E17">
        <w:t>Adaptado de:</w:t>
      </w:r>
      <w:r w:rsidR="00BF2F6C" w:rsidRPr="000D6E21">
        <w:t xml:space="preserve"> </w:t>
      </w:r>
      <w:r w:rsidR="0024415C" w:rsidRPr="000D6E21">
        <w:rPr>
          <w:rFonts w:cs="Arial"/>
        </w:rPr>
        <w:t xml:space="preserve">REID, H., HUQ, S. AND MURRAY, </w:t>
      </w:r>
      <w:r w:rsidR="009C1C12" w:rsidRPr="000D6E21">
        <w:rPr>
          <w:rFonts w:cs="Arial"/>
        </w:rPr>
        <w:t>L</w:t>
      </w:r>
      <w:r w:rsidR="0024415C" w:rsidRPr="000D6E21">
        <w:rPr>
          <w:rFonts w:cs="Arial"/>
        </w:rPr>
        <w:t xml:space="preserve">. </w:t>
      </w:r>
      <w:r w:rsidR="009F32F2" w:rsidRPr="00697E17">
        <w:rPr>
          <w:rFonts w:cs="Arial"/>
        </w:rPr>
        <w:t>Community Champions: Adapting to Climate Challenges. London</w:t>
      </w:r>
      <w:r w:rsidR="009C1C12" w:rsidRPr="000D6E21">
        <w:rPr>
          <w:rFonts w:cs="Arial"/>
        </w:rPr>
        <w:t>: International Institute for Environment and Development</w:t>
      </w:r>
      <w:r w:rsidR="0045449A" w:rsidRPr="000D6E21">
        <w:rPr>
          <w:rFonts w:cs="Arial"/>
        </w:rPr>
        <w:t>.</w:t>
      </w:r>
      <w:r w:rsidR="009F32F2" w:rsidRPr="00697E17">
        <w:rPr>
          <w:rFonts w:cs="Arial"/>
        </w:rPr>
        <w:t xml:space="preserve"> 2010.</w:t>
      </w:r>
    </w:p>
    <w:p w14:paraId="044B6002" w14:textId="77777777" w:rsidR="00897F46" w:rsidRPr="00697E17" w:rsidRDefault="00897F46" w:rsidP="00897F46">
      <w:pPr>
        <w:pStyle w:val="Textonotaalfinal"/>
        <w:rPr>
          <w:rFonts w:cs="Arial"/>
        </w:rPr>
      </w:pPr>
    </w:p>
  </w:endnote>
  <w:endnote w:id="5">
    <w:p w14:paraId="0E5C7787" w14:textId="2A2A97FB" w:rsidR="002F4B3B" w:rsidRPr="000D6E21" w:rsidRDefault="002F4B3B" w:rsidP="00BF2F6C">
      <w:pPr>
        <w:pStyle w:val="Textonotaalfinal"/>
        <w:rPr>
          <w:rFonts w:cs="Arial"/>
        </w:rPr>
      </w:pPr>
      <w:r w:rsidRPr="000D6E21">
        <w:rPr>
          <w:rFonts w:cs="Arial"/>
          <w:vertAlign w:val="superscript"/>
          <w:lang w:val="es-MX"/>
        </w:rPr>
        <w:t>[</w:t>
      </w:r>
      <w:r w:rsidRPr="00394D50">
        <w:rPr>
          <w:vertAlign w:val="superscript"/>
        </w:rPr>
        <w:endnoteRef/>
      </w:r>
      <w:r w:rsidRPr="000D6E21">
        <w:rPr>
          <w:rFonts w:cs="Arial"/>
          <w:vertAlign w:val="superscript"/>
          <w:lang w:val="es-MX"/>
        </w:rPr>
        <w:t>]</w:t>
      </w:r>
      <w:r w:rsidR="00BF2F6C">
        <w:rPr>
          <w:rFonts w:cs="Arial"/>
          <w:vertAlign w:val="superscript"/>
          <w:lang w:val="es-MX"/>
        </w:rPr>
        <w:t xml:space="preserve"> </w:t>
      </w:r>
      <w:r w:rsidR="001538C7" w:rsidRPr="00BF2F6C">
        <w:rPr>
          <w:rFonts w:cs="Arial"/>
          <w:lang w:val="es-MX"/>
        </w:rPr>
        <w:t xml:space="preserve">LHUMEAU, </w:t>
      </w:r>
      <w:r w:rsidR="001538C7">
        <w:rPr>
          <w:rFonts w:cs="Arial"/>
          <w:lang w:val="es-MX"/>
        </w:rPr>
        <w:t xml:space="preserve">A. &amp; </w:t>
      </w:r>
      <w:r w:rsidR="001538C7" w:rsidRPr="00BF2F6C">
        <w:rPr>
          <w:rFonts w:cs="Arial"/>
          <w:lang w:val="es-MX"/>
        </w:rPr>
        <w:t>CORDERO</w:t>
      </w:r>
      <w:r w:rsidR="001538C7">
        <w:rPr>
          <w:rFonts w:cs="Arial"/>
          <w:lang w:val="es-MX"/>
        </w:rPr>
        <w:t>, D</w:t>
      </w:r>
      <w:r w:rsidR="00BF2F6C">
        <w:rPr>
          <w:rFonts w:cs="Arial"/>
          <w:lang w:val="es-MX"/>
        </w:rPr>
        <w:t xml:space="preserve">. </w:t>
      </w:r>
      <w:r w:rsidR="00BF2F6C" w:rsidRPr="000D6E21">
        <w:rPr>
          <w:rFonts w:cs="Arial"/>
          <w:lang w:val="es-MX"/>
        </w:rPr>
        <w:t xml:space="preserve">Adaptación basada en Ecosistemas: una respuesta al cambio climático. </w:t>
      </w:r>
      <w:r w:rsidR="00BF2F6C" w:rsidRPr="000D6E21">
        <w:rPr>
          <w:rFonts w:cs="Arial"/>
        </w:rPr>
        <w:t xml:space="preserve">Quito, Ecuador: UICN, </w:t>
      </w:r>
      <w:r w:rsidR="00BF2F6C" w:rsidRPr="004A316B">
        <w:rPr>
          <w:rFonts w:cs="Arial"/>
          <w:lang w:val="es-MX"/>
        </w:rPr>
        <w:t>2012.</w:t>
      </w:r>
    </w:p>
    <w:p w14:paraId="0C621BE3" w14:textId="77777777" w:rsidR="002F4B3B" w:rsidRPr="000D6E21" w:rsidRDefault="002F4B3B" w:rsidP="002F4B3B">
      <w:pPr>
        <w:pStyle w:val="Textonotaalfinal"/>
        <w:rPr>
          <w:rFonts w:cs="Arial"/>
        </w:rPr>
      </w:pPr>
    </w:p>
  </w:endnote>
  <w:endnote w:id="6">
    <w:p w14:paraId="449097A3" w14:textId="5C10E4F2" w:rsidR="000839AB" w:rsidRPr="000D6E21" w:rsidRDefault="000839AB" w:rsidP="000839AB">
      <w:pPr>
        <w:pStyle w:val="Textonotaalfinal"/>
        <w:rPr>
          <w:rFonts w:cs="Arial"/>
        </w:rPr>
      </w:pPr>
      <w:r w:rsidRPr="00CB6DE8">
        <w:rPr>
          <w:rFonts w:cs="Arial"/>
          <w:vertAlign w:val="superscript"/>
          <w:lang w:val="es-MX"/>
        </w:rPr>
        <w:t>[</w:t>
      </w:r>
      <w:r w:rsidRPr="00394D50">
        <w:rPr>
          <w:vertAlign w:val="superscript"/>
        </w:rPr>
        <w:endnoteRef/>
      </w:r>
      <w:r w:rsidRPr="00CB6DE8">
        <w:rPr>
          <w:rFonts w:cs="Arial"/>
          <w:vertAlign w:val="superscript"/>
          <w:lang w:val="es-MX"/>
        </w:rPr>
        <w:t>]</w:t>
      </w:r>
      <w:r w:rsidR="00697E17">
        <w:rPr>
          <w:rFonts w:cs="Arial"/>
          <w:vertAlign w:val="superscript"/>
          <w:lang w:val="es-MX"/>
        </w:rPr>
        <w:t xml:space="preserve"> </w:t>
      </w:r>
      <w:r w:rsidR="00C86C35">
        <w:rPr>
          <w:rFonts w:cs="Arial"/>
          <w:lang w:val="es-MX"/>
        </w:rPr>
        <w:t xml:space="preserve">DEPARTAMENTO NACIONAL DE PLANEACIÓN </w:t>
      </w:r>
      <w:r w:rsidR="00697E17">
        <w:rPr>
          <w:rFonts w:cs="Arial"/>
          <w:lang w:val="es-MX"/>
        </w:rPr>
        <w:t>-DNP</w:t>
      </w:r>
      <w:r>
        <w:rPr>
          <w:rFonts w:cs="Arial"/>
          <w:lang w:val="es-MX"/>
        </w:rPr>
        <w:t xml:space="preserve">. </w:t>
      </w:r>
      <w:r w:rsidR="00FA08AB">
        <w:rPr>
          <w:rFonts w:cs="Arial"/>
          <w:lang w:val="es-MX"/>
        </w:rPr>
        <w:t xml:space="preserve">ABC: Adaptación bases conceptuales. </w:t>
      </w:r>
      <w:r w:rsidR="00827A56">
        <w:rPr>
          <w:rFonts w:cs="Arial"/>
          <w:lang w:val="es-MX"/>
        </w:rPr>
        <w:t>Marco conceptual y lineamientos</w:t>
      </w:r>
      <w:r w:rsidR="00FA08AB">
        <w:rPr>
          <w:rFonts w:cs="Arial"/>
          <w:lang w:val="es-MX"/>
        </w:rPr>
        <w:t xml:space="preserve"> del Plan Nacional de A</w:t>
      </w:r>
      <w:r w:rsidR="00FA08AB" w:rsidRPr="00CB6DE8">
        <w:rPr>
          <w:rFonts w:cs="Arial"/>
          <w:lang w:val="es-MX"/>
        </w:rPr>
        <w:t>daptación</w:t>
      </w:r>
      <w:r w:rsidR="00FA08AB">
        <w:rPr>
          <w:rFonts w:cs="Arial"/>
          <w:lang w:val="es-MX"/>
        </w:rPr>
        <w:t xml:space="preserve"> al Cambio Climático (PNACC).</w:t>
      </w:r>
      <w:r w:rsidR="00C86C35">
        <w:rPr>
          <w:rFonts w:cs="Arial"/>
          <w:lang w:val="es-MX"/>
        </w:rPr>
        <w:t xml:space="preserve"> </w:t>
      </w:r>
      <w:r w:rsidR="00BB20F5">
        <w:rPr>
          <w:rFonts w:cs="Arial"/>
          <w:lang w:val="es-MX"/>
        </w:rPr>
        <w:t xml:space="preserve">DNP, Minambiente, Ideam, </w:t>
      </w:r>
      <w:r w:rsidR="00521B67">
        <w:rPr>
          <w:rFonts w:cs="Arial"/>
          <w:lang w:val="es-MX"/>
        </w:rPr>
        <w:t>SNGRD, UNGRD</w:t>
      </w:r>
      <w:r w:rsidR="003452AF">
        <w:rPr>
          <w:rFonts w:cs="Arial"/>
          <w:lang w:val="es-MX"/>
        </w:rPr>
        <w:t xml:space="preserve">, </w:t>
      </w:r>
      <w:r w:rsidR="00E81E18">
        <w:rPr>
          <w:rFonts w:cs="Arial"/>
          <w:lang w:val="es-MX"/>
        </w:rPr>
        <w:t>s. f.</w:t>
      </w:r>
    </w:p>
    <w:p w14:paraId="7A162CB1" w14:textId="77777777" w:rsidR="000839AB" w:rsidRPr="000D6E21" w:rsidRDefault="000839AB" w:rsidP="000839AB">
      <w:pPr>
        <w:pStyle w:val="Textonotaalfinal"/>
        <w:rPr>
          <w:rFonts w:cs="Arial"/>
        </w:rPr>
      </w:pPr>
    </w:p>
  </w:endnote>
  <w:endnote w:id="7">
    <w:p w14:paraId="1960EBF9" w14:textId="5A9E14B0" w:rsidR="00D55F13" w:rsidRPr="00045B66" w:rsidRDefault="00D55F13">
      <w:pPr>
        <w:rPr>
          <w:lang w:val="en-US"/>
        </w:rPr>
      </w:pPr>
      <w:r w:rsidRPr="00394D50">
        <w:rPr>
          <w:vertAlign w:val="superscript"/>
        </w:rPr>
        <w:t>[</w:t>
      </w:r>
      <w:r w:rsidRPr="00394D50">
        <w:rPr>
          <w:rStyle w:val="Refdenotaalfinal"/>
        </w:rPr>
        <w:endnoteRef/>
      </w:r>
      <w:r w:rsidRPr="00394D50">
        <w:rPr>
          <w:vertAlign w:val="superscript"/>
        </w:rPr>
        <w:t>]</w:t>
      </w:r>
      <w:r w:rsidRPr="00394D50">
        <w:t xml:space="preserve"> COLOMBIA. CONGRESO DE LA REPÚBLICA. Ley 1523 “Por la cual se adopta la política nacional de gestión del riesgo de desastres y se establece el Sistema Nacional de Gestión del Riesgo de Desastres”. </w:t>
      </w:r>
      <w:r w:rsidRPr="00045B66">
        <w:rPr>
          <w:lang w:val="en-US"/>
        </w:rPr>
        <w:t>Bogotá: Congreso de la República, 2012.</w:t>
      </w:r>
    </w:p>
    <w:p w14:paraId="20583A46" w14:textId="77777777" w:rsidR="00D55F13" w:rsidRPr="00045B66" w:rsidRDefault="00D55F13">
      <w:pPr>
        <w:rPr>
          <w:lang w:val="en-US"/>
        </w:rPr>
      </w:pPr>
    </w:p>
  </w:endnote>
  <w:endnote w:id="8">
    <w:p w14:paraId="72BCC707" w14:textId="7056A140" w:rsidR="00D55F13" w:rsidRPr="00045B66" w:rsidRDefault="00D55F13" w:rsidP="00040ED9">
      <w:pPr>
        <w:pStyle w:val="Textonotaalfinal"/>
        <w:rPr>
          <w:rFonts w:cs="Arial"/>
          <w:lang w:val="en-US"/>
        </w:rPr>
      </w:pPr>
      <w:r w:rsidRPr="00045B66">
        <w:rPr>
          <w:rFonts w:cs="Arial"/>
          <w:vertAlign w:val="superscript"/>
          <w:lang w:val="en-US"/>
        </w:rPr>
        <w:t>[</w:t>
      </w:r>
      <w:r w:rsidRPr="00394D50">
        <w:rPr>
          <w:rFonts w:cs="Arial"/>
          <w:vertAlign w:val="superscript"/>
        </w:rPr>
        <w:endnoteRef/>
      </w:r>
      <w:r w:rsidRPr="00045B66">
        <w:rPr>
          <w:rFonts w:cs="Arial"/>
          <w:vertAlign w:val="superscript"/>
          <w:lang w:val="en-US"/>
        </w:rPr>
        <w:t>]</w:t>
      </w:r>
      <w:r w:rsidRPr="00045B66">
        <w:rPr>
          <w:rFonts w:cs="Arial"/>
          <w:lang w:val="en-US"/>
        </w:rPr>
        <w:t xml:space="preserve"> CENTER FOR CHEMICAL PROCESS SAFETY –CCPS. Guidelines for chemical process quantitative risk analysis. New York: John Wiley &amp; Sons, Inc, 2000.</w:t>
      </w:r>
    </w:p>
    <w:p w14:paraId="4F2C4922" w14:textId="77777777" w:rsidR="00D55F13" w:rsidRPr="00045B66" w:rsidRDefault="00D55F13" w:rsidP="00040ED9">
      <w:pPr>
        <w:pStyle w:val="Textonotaalfinal"/>
        <w:rPr>
          <w:lang w:val="en-US"/>
        </w:rPr>
      </w:pPr>
    </w:p>
  </w:endnote>
  <w:endnote w:id="9">
    <w:p w14:paraId="489086F8" w14:textId="77777777" w:rsidR="00D55F13" w:rsidRPr="00394D50" w:rsidRDefault="00D55F13" w:rsidP="00844386">
      <w:pPr>
        <w:pStyle w:val="Textonotaalfinal"/>
        <w:rPr>
          <w:rStyle w:val="nfasis"/>
          <w:rFonts w:eastAsiaTheme="majorEastAsia"/>
          <w:i w:val="0"/>
        </w:rPr>
      </w:pPr>
      <w:r w:rsidRPr="00045B66">
        <w:rPr>
          <w:vertAlign w:val="superscript"/>
          <w:lang w:val="en-US"/>
        </w:rPr>
        <w:t>[</w:t>
      </w:r>
      <w:r w:rsidRPr="00394D50">
        <w:rPr>
          <w:rStyle w:val="Refdenotaalfinal"/>
        </w:rPr>
        <w:endnoteRef/>
      </w:r>
      <w:r w:rsidRPr="00045B66">
        <w:rPr>
          <w:vertAlign w:val="superscript"/>
          <w:lang w:val="en-US"/>
        </w:rPr>
        <w:t xml:space="preserve">] </w:t>
      </w:r>
      <w:r w:rsidRPr="00045B66">
        <w:rPr>
          <w:lang w:val="en-US"/>
        </w:rPr>
        <w:t xml:space="preserve">Adaptado de: AMERICAN PRETROLEUM INSTITUTE –API. Managing system integrity for hazardous liquid pipelines. </w:t>
      </w:r>
      <w:r w:rsidRPr="00394D50">
        <w:t>API recommended practice 1160</w:t>
      </w:r>
      <w:r w:rsidRPr="00394D50">
        <w:rPr>
          <w:rStyle w:val="nfasis"/>
          <w:rFonts w:eastAsiaTheme="majorEastAsia"/>
        </w:rPr>
        <w:t>. Washington: API, 2013.</w:t>
      </w:r>
    </w:p>
    <w:p w14:paraId="6B96ABC9" w14:textId="77777777" w:rsidR="00D55F13" w:rsidRPr="00394D50" w:rsidRDefault="00D55F13" w:rsidP="00844386">
      <w:pPr>
        <w:pStyle w:val="Textonotaalfinal"/>
      </w:pPr>
    </w:p>
  </w:endnote>
  <w:endnote w:id="10">
    <w:p w14:paraId="0B78139D" w14:textId="3CAFBB66" w:rsidR="00D55F13" w:rsidRPr="00394D50" w:rsidRDefault="00D55F13" w:rsidP="00810791">
      <w:pPr>
        <w:overflowPunct/>
        <w:autoSpaceDE/>
        <w:autoSpaceDN/>
        <w:adjustRightInd/>
        <w:textAlignment w:val="auto"/>
        <w:rPr>
          <w:rFonts w:cs="Arial"/>
          <w:lang w:eastAsia="es-CO"/>
        </w:rPr>
      </w:pPr>
      <w:r w:rsidRPr="00394D50">
        <w:rPr>
          <w:vertAlign w:val="superscript"/>
        </w:rPr>
        <w:t>[</w:t>
      </w:r>
      <w:r w:rsidRPr="00394D50">
        <w:rPr>
          <w:rStyle w:val="Refdenotaalfinal"/>
        </w:rPr>
        <w:endnoteRef/>
      </w:r>
      <w:r w:rsidRPr="00394D50">
        <w:rPr>
          <w:rFonts w:cs="Arial"/>
          <w:vertAlign w:val="superscript"/>
        </w:rPr>
        <w:t>]</w:t>
      </w:r>
      <w:r w:rsidRPr="00394D50">
        <w:t xml:space="preserve"> Adaptado de: </w:t>
      </w:r>
      <w:r w:rsidRPr="00394D50">
        <w:rPr>
          <w:rFonts w:cs="Arial"/>
          <w:lang w:eastAsia="es-CO"/>
        </w:rPr>
        <w:t>MINISTERIO DE AMBIENTE Y DESARROLLO SOSTENIBLE –</w:t>
      </w:r>
      <w:r w:rsidRPr="00394D50">
        <w:t>Minambiente. Manual de compensaciones del componente biótico.</w:t>
      </w:r>
      <w:r w:rsidRPr="00394D50">
        <w:rPr>
          <w:rFonts w:cs="Arial"/>
          <w:lang w:eastAsia="es-CO"/>
        </w:rPr>
        <w:t xml:space="preserve"> </w:t>
      </w:r>
      <w:r w:rsidRPr="00394D50">
        <w:rPr>
          <w:rFonts w:cs="Arial"/>
          <w:spacing w:val="-2"/>
          <w:lang w:eastAsia="es-CO"/>
        </w:rPr>
        <w:t>Bogotá: Minambiente, 2018.</w:t>
      </w:r>
    </w:p>
    <w:p w14:paraId="4D9F5532" w14:textId="01BDECAD" w:rsidR="00D55F13" w:rsidRPr="00394D50" w:rsidRDefault="00D55F13">
      <w:pPr>
        <w:pStyle w:val="Textonotaalfinal"/>
      </w:pPr>
    </w:p>
  </w:endnote>
  <w:endnote w:id="11">
    <w:p w14:paraId="3E32D1E9" w14:textId="61D1AA10" w:rsidR="00D55F13" w:rsidRPr="00394D50" w:rsidRDefault="00D55F13" w:rsidP="00F236C1">
      <w:pPr>
        <w:suppressAutoHyphens/>
        <w:rPr>
          <w:rFonts w:cs="Arial"/>
          <w:spacing w:val="-2"/>
        </w:rPr>
      </w:pPr>
      <w:r w:rsidRPr="00394D50">
        <w:rPr>
          <w:rFonts w:cs="Arial"/>
          <w:vertAlign w:val="superscript"/>
        </w:rPr>
        <w:t>[</w:t>
      </w:r>
      <w:r w:rsidRPr="00394D50">
        <w:rPr>
          <w:rStyle w:val="Refdenotaalfinal"/>
          <w:rFonts w:cs="Arial"/>
        </w:rPr>
        <w:endnoteRef/>
      </w:r>
      <w:r w:rsidRPr="00394D50">
        <w:rPr>
          <w:rFonts w:cs="Arial"/>
          <w:vertAlign w:val="superscript"/>
        </w:rPr>
        <w:t xml:space="preserve">] </w:t>
      </w:r>
      <w:r w:rsidRPr="00394D50">
        <w:rPr>
          <w:rFonts w:cs="Arial"/>
        </w:rPr>
        <w:t>Adaptado de: INSTITUTO COLOMBIANO DE NORMAS TÉCNICAS Y CERTIFICACIÓN –ICONTEC. Norma Técnica Colombiana NTC-ISO 14001 (versión 2015). Sistemas de gestión ambiental. Requisitos con orientación para su uso. Bogotá: ICONTEC, 2015.</w:t>
      </w:r>
    </w:p>
    <w:p w14:paraId="3EABA81E" w14:textId="77777777" w:rsidR="00D55F13" w:rsidRPr="00394D50" w:rsidRDefault="00D55F13" w:rsidP="00F236C1">
      <w:pPr>
        <w:pStyle w:val="Textonotaalfinal"/>
        <w:rPr>
          <w:rFonts w:cs="Arial"/>
        </w:rPr>
      </w:pPr>
    </w:p>
  </w:endnote>
  <w:endnote w:id="12">
    <w:p w14:paraId="4F62317E" w14:textId="75B16C1C" w:rsidR="00D55F13" w:rsidRPr="008A4FE9" w:rsidRDefault="00D55F13">
      <w:pPr>
        <w:pStyle w:val="Textonotaalfinal"/>
      </w:pPr>
      <w:r w:rsidRPr="00394D50">
        <w:rPr>
          <w:rFonts w:cs="Arial"/>
          <w:vertAlign w:val="superscript"/>
        </w:rPr>
        <w:t>[</w:t>
      </w:r>
      <w:r w:rsidRPr="00394D50">
        <w:rPr>
          <w:rStyle w:val="Refdenotaalfinal"/>
        </w:rPr>
        <w:endnoteRef/>
      </w:r>
      <w:r w:rsidRPr="00394D50">
        <w:rPr>
          <w:rFonts w:cs="Arial"/>
          <w:vertAlign w:val="superscript"/>
        </w:rPr>
        <w:t>]</w:t>
      </w:r>
      <w:r w:rsidRPr="00394D50">
        <w:rPr>
          <w:rFonts w:cs="Arial"/>
        </w:rPr>
        <w:t xml:space="preserve"> </w:t>
      </w:r>
      <w:r w:rsidRPr="008A4FE9">
        <w:t xml:space="preserve">INSTITUTO GEOGRÁFICO AGUSTÍN CODAZZI –IGAC, Subdirección de Catastro. Catálogo de objetos geográficos de catastro, versión 2.2. Bogotá: ICDE, 2018. </w:t>
      </w:r>
    </w:p>
    <w:p w14:paraId="66AB6E69" w14:textId="77777777" w:rsidR="00D55F13" w:rsidRPr="008A4FE9" w:rsidRDefault="00D55F13">
      <w:pPr>
        <w:pStyle w:val="Textonotaalfinal"/>
      </w:pPr>
    </w:p>
  </w:endnote>
  <w:endnote w:id="13">
    <w:p w14:paraId="687B64B7" w14:textId="3D86D669" w:rsidR="00D55F13" w:rsidRPr="00394D50" w:rsidRDefault="00D55F13" w:rsidP="00AA4F93">
      <w:pPr>
        <w:overflowPunct/>
        <w:autoSpaceDE/>
        <w:autoSpaceDN/>
        <w:adjustRightInd/>
        <w:textAlignment w:val="auto"/>
        <w:rPr>
          <w:rFonts w:cs="Arial"/>
          <w:lang w:eastAsia="es-CO"/>
        </w:rPr>
      </w:pPr>
      <w:r w:rsidRPr="00394D50">
        <w:rPr>
          <w:rFonts w:cs="Arial"/>
          <w:vertAlign w:val="superscript"/>
        </w:rPr>
        <w:t>[</w:t>
      </w:r>
      <w:r w:rsidRPr="00394D50">
        <w:rPr>
          <w:rStyle w:val="Refdenotaalfinal"/>
        </w:rPr>
        <w:endnoteRef/>
      </w:r>
      <w:r w:rsidRPr="00394D50">
        <w:rPr>
          <w:rFonts w:cs="Arial"/>
          <w:vertAlign w:val="superscript"/>
        </w:rPr>
        <w:t xml:space="preserve">] </w:t>
      </w:r>
      <w:r w:rsidRPr="00394D50">
        <w:rPr>
          <w:rFonts w:cs="Arial"/>
          <w:lang w:eastAsia="es-CO"/>
        </w:rPr>
        <w:t xml:space="preserve">NACIONES UNIDAS –NU. </w:t>
      </w:r>
      <w:r w:rsidRPr="00394D50">
        <w:t xml:space="preserve">Convenio </w:t>
      </w:r>
      <w:r w:rsidRPr="00394D50">
        <w:rPr>
          <w:rFonts w:cs="Arial"/>
          <w:lang w:eastAsia="es-CO"/>
        </w:rPr>
        <w:t>sobre la diversidad biológica</w:t>
      </w:r>
      <w:r w:rsidRPr="00394D50">
        <w:rPr>
          <w:rFonts w:cs="Arial"/>
          <w:spacing w:val="-2"/>
          <w:lang w:eastAsia="es-CO"/>
        </w:rPr>
        <w:t>.</w:t>
      </w:r>
      <w:r w:rsidRPr="00394D50">
        <w:t xml:space="preserve"> Río de Janeiro: UN,</w:t>
      </w:r>
      <w:r w:rsidRPr="00394D50">
        <w:rPr>
          <w:spacing w:val="-2"/>
        </w:rPr>
        <w:t xml:space="preserve"> 1992</w:t>
      </w:r>
      <w:r w:rsidRPr="00394D50">
        <w:rPr>
          <w:rFonts w:cs="Arial"/>
          <w:spacing w:val="-2"/>
          <w:lang w:eastAsia="es-CO"/>
        </w:rPr>
        <w:t>.</w:t>
      </w:r>
    </w:p>
    <w:p w14:paraId="60D3ACAD" w14:textId="77777777" w:rsidR="00D55F13" w:rsidRPr="00394D50" w:rsidRDefault="00D55F13" w:rsidP="00AA4F93">
      <w:pPr>
        <w:pStyle w:val="Textonotaalfinal"/>
      </w:pPr>
    </w:p>
  </w:endnote>
  <w:endnote w:id="14">
    <w:p w14:paraId="31F19740" w14:textId="77777777" w:rsidR="00D55F13" w:rsidRPr="008A4FE9" w:rsidRDefault="00D55F13" w:rsidP="009019A7">
      <w:pPr>
        <w:pStyle w:val="Textonotaalfinal"/>
      </w:pPr>
      <w:r w:rsidRPr="00394D50">
        <w:rPr>
          <w:vertAlign w:val="superscript"/>
        </w:rPr>
        <w:t>[</w:t>
      </w:r>
      <w:r w:rsidRPr="00394D50">
        <w:rPr>
          <w:rStyle w:val="Refdenotaalfinal"/>
        </w:rPr>
        <w:endnoteRef/>
      </w:r>
      <w:r w:rsidRPr="00394D50">
        <w:rPr>
          <w:vertAlign w:val="superscript"/>
        </w:rPr>
        <w:t>]</w:t>
      </w:r>
      <w:r w:rsidRPr="00394D50">
        <w:t xml:space="preserve"> DEPARTAMENTO ADMINISTRATIVO NACIONAL DE ESTADÍSTICA –DANE. Manual de conceptos. Censo nacional de población y vivienda 2018 – Colombia. DANE</w:t>
      </w:r>
      <w:r w:rsidRPr="008A4FE9">
        <w:t>, 2018.</w:t>
      </w:r>
    </w:p>
    <w:p w14:paraId="1C4442A7" w14:textId="77777777" w:rsidR="00D55F13" w:rsidRPr="008A4FE9" w:rsidRDefault="00D55F13" w:rsidP="009019A7">
      <w:pPr>
        <w:pStyle w:val="Textonotaalfinal"/>
      </w:pPr>
    </w:p>
  </w:endnote>
  <w:endnote w:id="15">
    <w:p w14:paraId="2E9BBA13" w14:textId="01CDA209" w:rsidR="00D55F13" w:rsidRPr="00394D50" w:rsidRDefault="00D55F13" w:rsidP="00AA4F93">
      <w:pPr>
        <w:pStyle w:val="Textonotaalfinal"/>
        <w:rPr>
          <w:rFonts w:cs="Arial"/>
        </w:rPr>
      </w:pPr>
      <w:r w:rsidRPr="00394D50">
        <w:rPr>
          <w:rFonts w:cs="Arial"/>
          <w:vertAlign w:val="superscript"/>
        </w:rPr>
        <w:t>[</w:t>
      </w:r>
      <w:r w:rsidRPr="00394D50">
        <w:rPr>
          <w:rStyle w:val="Refdenotaalfinal"/>
          <w:rFonts w:cs="Arial"/>
        </w:rPr>
        <w:endnoteRef/>
      </w:r>
      <w:r w:rsidRPr="00394D50">
        <w:rPr>
          <w:rFonts w:cs="Arial"/>
          <w:vertAlign w:val="superscript"/>
        </w:rPr>
        <w:t>]</w:t>
      </w:r>
      <w:r w:rsidRPr="00394D50">
        <w:rPr>
          <w:rFonts w:cs="Arial"/>
        </w:rPr>
        <w:t xml:space="preserve"> Adaptado de: SILVA, R., MARTÍNEZ, M.L., MORENO-CASASOLA, P., MENDOZA, E., LÓPEZ-PORTILLO, J., LITHGOW, D., VÁZQUEZ, G., MARTÍNEZ-MARTÍNEZ, R.E., MONROY-IBARRA, R., CÁCERES-PUIG, J.I., RAMÍREZ-HERNÁNDEZ, A., BOY TAMBORELL, M. Aspectos generales de la zona costera. Veracruz: UNAM, INECOL, 2017.</w:t>
      </w:r>
    </w:p>
    <w:p w14:paraId="273E2D5E" w14:textId="77777777" w:rsidR="00D55F13" w:rsidRPr="00394D50" w:rsidRDefault="00D55F13" w:rsidP="00AA4F93">
      <w:pPr>
        <w:pStyle w:val="Textonotaalfinal"/>
      </w:pPr>
    </w:p>
  </w:endnote>
  <w:endnote w:id="16">
    <w:p w14:paraId="3CB2CFA0" w14:textId="36976F89" w:rsidR="00D55F13" w:rsidRPr="00394D50" w:rsidRDefault="00D55F13" w:rsidP="00ED30A5">
      <w:pPr>
        <w:pStyle w:val="Textonotaalfinal"/>
        <w:rPr>
          <w:rFonts w:cs="Arial"/>
        </w:rPr>
      </w:pPr>
      <w:r w:rsidRPr="00394D50">
        <w:rPr>
          <w:rFonts w:cs="Arial"/>
          <w:vertAlign w:val="superscript"/>
        </w:rPr>
        <w:t>[</w:t>
      </w:r>
      <w:r w:rsidRPr="00394D50">
        <w:rPr>
          <w:rStyle w:val="Refdenotaalfinal"/>
          <w:rFonts w:cs="Arial"/>
        </w:rPr>
        <w:endnoteRef/>
      </w:r>
      <w:r w:rsidRPr="00394D50">
        <w:rPr>
          <w:rFonts w:cs="Arial"/>
          <w:vertAlign w:val="superscript"/>
        </w:rPr>
        <w:t xml:space="preserve">] </w:t>
      </w:r>
      <w:r w:rsidRPr="00394D50">
        <w:rPr>
          <w:rFonts w:cs="Arial"/>
        </w:rPr>
        <w:t>INSTITUTO DE HIDROLOGÍA, METEOROLOGÍA Y ESTUDIOS AMBIENTALES –Ideam. Glosario meteorológico. Bogotá D.C.: Ideam. Subdirección de meteorología, 2019. 311 p.</w:t>
      </w:r>
    </w:p>
    <w:p w14:paraId="32D3FEDF" w14:textId="77777777" w:rsidR="00D55F13" w:rsidRPr="00394D50" w:rsidRDefault="00D55F13" w:rsidP="00ED30A5">
      <w:pPr>
        <w:pStyle w:val="Textonotaalfinal"/>
      </w:pPr>
    </w:p>
  </w:endnote>
  <w:endnote w:id="17">
    <w:p w14:paraId="5CB6D3C7" w14:textId="6529459A" w:rsidR="00294968" w:rsidRPr="008A4FE9" w:rsidRDefault="00294968" w:rsidP="00294968">
      <w:pPr>
        <w:pStyle w:val="Textonotaalfinal"/>
        <w:rPr>
          <w:rFonts w:cs="Arial"/>
          <w:bCs/>
          <w:lang w:val="en-US"/>
        </w:rPr>
      </w:pPr>
      <w:r w:rsidRPr="008A4FE9">
        <w:rPr>
          <w:rFonts w:cs="Arial"/>
          <w:vertAlign w:val="superscript"/>
          <w:lang w:val="en-US"/>
        </w:rPr>
        <w:t>[</w:t>
      </w:r>
      <w:r w:rsidRPr="00394D50">
        <w:rPr>
          <w:rStyle w:val="Refdenotaalfinal"/>
        </w:rPr>
        <w:endnoteRef/>
      </w:r>
      <w:r w:rsidRPr="008A4FE9">
        <w:rPr>
          <w:vertAlign w:val="superscript"/>
          <w:lang w:val="en-US"/>
        </w:rPr>
        <w:t>]</w:t>
      </w:r>
      <w:r w:rsidRPr="008A4FE9">
        <w:rPr>
          <w:lang w:val="en-US"/>
        </w:rPr>
        <w:t xml:space="preserve"> </w:t>
      </w:r>
      <w:r w:rsidRPr="00045B66">
        <w:rPr>
          <w:lang w:val="en-US"/>
        </w:rPr>
        <w:t>KALFF, S. A. A proposed framework to assess cumulative environmental effects in Canadian National Parks. In: Parks Canada technical reports in ecosystem science: Vol. #1. 1995.</w:t>
      </w:r>
    </w:p>
    <w:p w14:paraId="6CE7645D" w14:textId="77777777" w:rsidR="00294968" w:rsidRPr="008A4FE9" w:rsidRDefault="00294968" w:rsidP="00294968">
      <w:pPr>
        <w:pStyle w:val="Textonotaalfinal"/>
        <w:rPr>
          <w:lang w:val="en-US"/>
        </w:rPr>
      </w:pPr>
    </w:p>
  </w:endnote>
  <w:endnote w:id="18">
    <w:p w14:paraId="71CE5C3F" w14:textId="2F0BF2B0" w:rsidR="00D55F13" w:rsidRPr="00394D50" w:rsidRDefault="00D55F13" w:rsidP="00295FEA">
      <w:pPr>
        <w:pStyle w:val="Textonotaalfinal"/>
        <w:rPr>
          <w:rFonts w:cs="Arial"/>
          <w:bCs/>
        </w:rPr>
      </w:pPr>
      <w:r w:rsidRPr="008A4FE9">
        <w:rPr>
          <w:rFonts w:cs="Arial"/>
          <w:vertAlign w:val="superscript"/>
          <w:lang w:val="en-US"/>
        </w:rPr>
        <w:t>[</w:t>
      </w:r>
      <w:r w:rsidRPr="00394D50">
        <w:rPr>
          <w:rStyle w:val="Refdenotaalfinal"/>
        </w:rPr>
        <w:endnoteRef/>
      </w:r>
      <w:r w:rsidRPr="008A4FE9">
        <w:rPr>
          <w:vertAlign w:val="superscript"/>
          <w:lang w:val="en-US"/>
        </w:rPr>
        <w:t>]</w:t>
      </w:r>
      <w:r w:rsidRPr="008A4FE9">
        <w:rPr>
          <w:lang w:val="en-US"/>
        </w:rPr>
        <w:t xml:space="preserve"> </w:t>
      </w:r>
      <w:r w:rsidRPr="008A4FE9">
        <w:rPr>
          <w:rFonts w:cs="Arial"/>
          <w:lang w:val="en-US"/>
        </w:rPr>
        <w:t xml:space="preserve">COLOMBIA. </w:t>
      </w:r>
      <w:r w:rsidRPr="00394D50">
        <w:rPr>
          <w:rFonts w:cs="Arial"/>
        </w:rPr>
        <w:t>MINISTERIO DE AMBIENTE Y DESARROLLO SOSTENIBLE –Minambiente. Resolución 2035 “Por medio de la cual se implementan los centros regionales de diálogo ambiental y se dictan otras disposiciones". Bogotá: Ministerio de Ambiente y Desarrollo Sostenible, 2018.</w:t>
      </w:r>
    </w:p>
    <w:p w14:paraId="14B5DAEB" w14:textId="77777777" w:rsidR="00D55F13" w:rsidRPr="00394D50" w:rsidRDefault="00D55F13" w:rsidP="00295FEA">
      <w:pPr>
        <w:pStyle w:val="Textonotaalfinal"/>
      </w:pPr>
    </w:p>
  </w:endnote>
  <w:endnote w:id="19">
    <w:p w14:paraId="4FBDCEE1" w14:textId="40D18BA7" w:rsidR="002A57E3" w:rsidRPr="00394D50" w:rsidRDefault="002A57E3" w:rsidP="002A57E3">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uppressAutoHyphens/>
      </w:pPr>
      <w:r w:rsidRPr="00394D50">
        <w:rPr>
          <w:vertAlign w:val="superscript"/>
        </w:rPr>
        <w:t>[</w:t>
      </w:r>
      <w:r w:rsidRPr="00394D50">
        <w:rPr>
          <w:rStyle w:val="Refdenotaalfinal"/>
        </w:rPr>
        <w:endnoteRef/>
      </w:r>
      <w:r w:rsidRPr="00394D50">
        <w:rPr>
          <w:vertAlign w:val="superscript"/>
        </w:rPr>
        <w:t xml:space="preserve">] </w:t>
      </w:r>
      <w:r>
        <w:rPr>
          <w:rFonts w:cs="Arial"/>
        </w:rPr>
        <w:t xml:space="preserve">AGENCIA NACIONAL DE HIDROCARBUROS </w:t>
      </w:r>
      <w:r w:rsidRPr="002A57E3">
        <w:rPr>
          <w:rFonts w:cs="Arial"/>
        </w:rPr>
        <w:t>–</w:t>
      </w:r>
      <w:r>
        <w:rPr>
          <w:rFonts w:cs="Arial"/>
        </w:rPr>
        <w:t xml:space="preserve">ANH, </w:t>
      </w:r>
      <w:r w:rsidRPr="002A57E3">
        <w:rPr>
          <w:rFonts w:cs="Arial"/>
        </w:rPr>
        <w:t>FUNDACIÓN</w:t>
      </w:r>
      <w:r>
        <w:rPr>
          <w:rFonts w:cs="Arial"/>
        </w:rPr>
        <w:t xml:space="preserve"> </w:t>
      </w:r>
      <w:r w:rsidRPr="002A57E3">
        <w:rPr>
          <w:rFonts w:cs="Arial"/>
        </w:rPr>
        <w:t>PANAMERICANA PARA EL DESARROLLO –FUPAD</w:t>
      </w:r>
      <w:r>
        <w:rPr>
          <w:rFonts w:cs="Arial"/>
        </w:rPr>
        <w:t xml:space="preserve"> &amp;</w:t>
      </w:r>
      <w:r w:rsidRPr="002A57E3">
        <w:rPr>
          <w:rFonts w:cs="Arial"/>
        </w:rPr>
        <w:t xml:space="preserve"> CENTRO</w:t>
      </w:r>
      <w:r>
        <w:rPr>
          <w:rFonts w:cs="Arial"/>
        </w:rPr>
        <w:t xml:space="preserve"> </w:t>
      </w:r>
      <w:r w:rsidRPr="002A57E3">
        <w:rPr>
          <w:rFonts w:cs="Arial"/>
        </w:rPr>
        <w:t>REGIONAL DE EMPRESAS Y EMPRENDIMIENTOS RESPONSABLES –CREER</w:t>
      </w:r>
      <w:r w:rsidRPr="00394D50">
        <w:rPr>
          <w:rFonts w:cs="Arial"/>
        </w:rPr>
        <w:t xml:space="preserve">. </w:t>
      </w:r>
      <w:r>
        <w:rPr>
          <w:rFonts w:cs="Arial"/>
        </w:rPr>
        <w:t>B</w:t>
      </w:r>
      <w:r w:rsidRPr="002A57E3">
        <w:rPr>
          <w:rFonts w:cs="Arial"/>
        </w:rPr>
        <w:t>atería de indicadores para la debida</w:t>
      </w:r>
      <w:r>
        <w:rPr>
          <w:rFonts w:cs="Arial"/>
        </w:rPr>
        <w:t xml:space="preserve"> </w:t>
      </w:r>
      <w:r w:rsidRPr="002A57E3">
        <w:rPr>
          <w:rFonts w:cs="Arial"/>
        </w:rPr>
        <w:t>diligencia en derechos humanos para el</w:t>
      </w:r>
      <w:r>
        <w:rPr>
          <w:rFonts w:cs="Arial"/>
        </w:rPr>
        <w:t xml:space="preserve"> </w:t>
      </w:r>
      <w:r w:rsidRPr="002A57E3">
        <w:rPr>
          <w:rFonts w:cs="Arial"/>
        </w:rPr>
        <w:t>sector hidrocarburífero</w:t>
      </w:r>
      <w:r w:rsidRPr="00394D50">
        <w:rPr>
          <w:rFonts w:cs="Arial"/>
        </w:rPr>
        <w:t xml:space="preserve">. </w:t>
      </w:r>
      <w:r>
        <w:rPr>
          <w:rFonts w:cs="Arial"/>
        </w:rPr>
        <w:t>Colombia</w:t>
      </w:r>
      <w:r w:rsidRPr="00394D50">
        <w:rPr>
          <w:rFonts w:cs="Arial"/>
        </w:rPr>
        <w:t xml:space="preserve">: </w:t>
      </w:r>
      <w:r>
        <w:rPr>
          <w:rFonts w:cs="Arial"/>
        </w:rPr>
        <w:t>ANH, FUPAD &amp; CREER</w:t>
      </w:r>
      <w:r w:rsidRPr="00394D50">
        <w:rPr>
          <w:rFonts w:cs="Arial"/>
        </w:rPr>
        <w:t xml:space="preserve">, </w:t>
      </w:r>
      <w:r>
        <w:rPr>
          <w:rFonts w:cs="Arial"/>
        </w:rPr>
        <w:t>2018</w:t>
      </w:r>
      <w:r w:rsidRPr="00394D50">
        <w:rPr>
          <w:rFonts w:cs="Arial"/>
        </w:rPr>
        <w:t>.</w:t>
      </w:r>
    </w:p>
    <w:p w14:paraId="3FB66508" w14:textId="77777777" w:rsidR="002A57E3" w:rsidRPr="00394D50" w:rsidRDefault="002A57E3" w:rsidP="002A57E3">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uppressAutoHyphens/>
      </w:pPr>
    </w:p>
  </w:endnote>
  <w:endnote w:id="20">
    <w:p w14:paraId="489E2EF8" w14:textId="26DD4CAA" w:rsidR="00D55F13" w:rsidRPr="00394D50" w:rsidRDefault="00D55F13">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uppressAutoHyphens/>
      </w:pPr>
      <w:r w:rsidRPr="00394D50">
        <w:rPr>
          <w:vertAlign w:val="superscript"/>
        </w:rPr>
        <w:t>[</w:t>
      </w:r>
      <w:r w:rsidRPr="00394D50">
        <w:rPr>
          <w:rStyle w:val="Refdenotaalfinal"/>
        </w:rPr>
        <w:endnoteRef/>
      </w:r>
      <w:r w:rsidRPr="00394D50">
        <w:rPr>
          <w:vertAlign w:val="superscript"/>
        </w:rPr>
        <w:t xml:space="preserve">] </w:t>
      </w:r>
      <w:r w:rsidRPr="00394D50">
        <w:rPr>
          <w:rFonts w:cs="Arial"/>
        </w:rPr>
        <w:t>COLOMBIA. CONGRESO DE LA REPÚBLICA. Ley 99 “Por la cual se crea el Ministerio del Medio Ambiente, se reordena el Sector Público encargado de la gestión y conservación del medio ambiente y los recursos naturales renovables, se organiza el Sistema Nacional Ambiental, SINA, y se dictan otras disposiciones”. Bogotá: Congreso de la República, 1993.</w:t>
      </w:r>
    </w:p>
    <w:p w14:paraId="777CACF8" w14:textId="77777777" w:rsidR="00D55F13" w:rsidRPr="00394D50" w:rsidRDefault="00D55F13">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uppressAutoHyphens/>
      </w:pPr>
    </w:p>
  </w:endnote>
  <w:endnote w:id="21">
    <w:p w14:paraId="16B18259" w14:textId="0DFBD59E" w:rsidR="00D55F13" w:rsidRPr="005A685F" w:rsidRDefault="00D55F13" w:rsidP="00DB1152">
      <w:pPr>
        <w:pStyle w:val="Textonotaalfinal"/>
        <w:rPr>
          <w:lang w:val="pt-PT"/>
        </w:rPr>
      </w:pPr>
      <w:r w:rsidRPr="00394D50">
        <w:rPr>
          <w:rStyle w:val="Refdenotaalfinal"/>
        </w:rPr>
        <w:endnoteRef/>
      </w:r>
      <w:r w:rsidRPr="00394D50">
        <w:t xml:space="preserve"> ORGANIZACIÓN DE LAS NACIONES UNIDAS PARA LA ALIMENTACIÓN Y LA AGRICULTURA </w:t>
      </w:r>
      <w:r w:rsidRPr="00394D50">
        <w:rPr>
          <w:rFonts w:cs="Arial"/>
        </w:rPr>
        <w:t>–</w:t>
      </w:r>
      <w:r w:rsidRPr="00394D50">
        <w:t xml:space="preserve">FAO. Fisheries Topics: Ecosystems. Ecosistemas acuáticos continentales. Topics Fact Sheets. Texto de Peter Manning. In: Departamento de Pesca y Acuicultura de la FAO [en línea]. </w:t>
      </w:r>
      <w:r w:rsidRPr="005A685F">
        <w:rPr>
          <w:lang w:val="pt-PT"/>
        </w:rPr>
        <w:t>Roma: FAO, 2001-2020. Actualizado 28 December 2015. [Citado 27 August 2020]. http://www.fao.org/fishery/en.</w:t>
      </w:r>
    </w:p>
    <w:p w14:paraId="13032630" w14:textId="77777777" w:rsidR="00D55F13" w:rsidRPr="005A685F" w:rsidRDefault="00D55F13" w:rsidP="00DB1152">
      <w:pPr>
        <w:pStyle w:val="Textonotaalfinal"/>
        <w:rPr>
          <w:lang w:val="pt-PT"/>
        </w:rPr>
      </w:pPr>
    </w:p>
  </w:endnote>
  <w:endnote w:id="22">
    <w:p w14:paraId="01996F33" w14:textId="431755D4" w:rsidR="00D55F13" w:rsidRPr="00394D50" w:rsidRDefault="00D55F13" w:rsidP="00DB1152">
      <w:pPr>
        <w:pStyle w:val="Textonotaalfinal"/>
      </w:pPr>
      <w:r w:rsidRPr="00394D50">
        <w:rPr>
          <w:rStyle w:val="Refdenotaalfinal"/>
        </w:rPr>
        <w:endnoteRef/>
      </w:r>
      <w:r w:rsidRPr="00394D50">
        <w:t xml:space="preserve"> SÁNCHEZ, O., HERZIG, M., PETERS, E., MÁRQUEZ, R. &amp; ZAMBRANO, L. (Eds.). Perspectivas sobre conservación de ecosistemas acuáticos en México. México, D. F.: Instituto Nacional de Ecología–Secretaría de Medio Ambiente y Recursos Naturales., 2007. 294 p.</w:t>
      </w:r>
    </w:p>
    <w:p w14:paraId="71448F70" w14:textId="77777777" w:rsidR="00D55F13" w:rsidRPr="00394D50" w:rsidRDefault="00D55F13" w:rsidP="00DB1152">
      <w:pPr>
        <w:pStyle w:val="Textonotaalfinal"/>
      </w:pPr>
    </w:p>
  </w:endnote>
  <w:endnote w:id="23">
    <w:p w14:paraId="2F40C1E7" w14:textId="037039FF" w:rsidR="00472950" w:rsidRPr="00394D50" w:rsidRDefault="00472950" w:rsidP="00472950">
      <w:pPr>
        <w:pStyle w:val="Textonotaalfinal"/>
      </w:pPr>
      <w:r w:rsidRPr="00394D50">
        <w:rPr>
          <w:rStyle w:val="Refdenotaalfinal"/>
        </w:rPr>
        <w:endnoteRef/>
      </w:r>
      <w:r w:rsidRPr="006F2DE1">
        <w:t xml:space="preserve"> </w:t>
      </w:r>
      <w:r w:rsidR="0063483D" w:rsidRPr="006F2DE1">
        <w:rPr>
          <w:rFonts w:cs="Arial"/>
        </w:rPr>
        <w:t xml:space="preserve">INTERGOVERNMENTAL PANEL ON CLIMATE CHANGE (IPCC). </w:t>
      </w:r>
      <w:r w:rsidR="0063483D" w:rsidRPr="000D6E21">
        <w:rPr>
          <w:rFonts w:cs="Arial"/>
        </w:rPr>
        <w:t xml:space="preserve">Anexo </w:t>
      </w:r>
      <w:r w:rsidR="00EC5195" w:rsidRPr="000D6E21">
        <w:rPr>
          <w:rFonts w:cs="Arial"/>
        </w:rPr>
        <w:t>B</w:t>
      </w:r>
      <w:r w:rsidR="0063483D" w:rsidRPr="000D6E21">
        <w:rPr>
          <w:rFonts w:cs="Arial"/>
        </w:rPr>
        <w:t xml:space="preserve">: </w:t>
      </w:r>
      <w:r w:rsidR="00EC5195" w:rsidRPr="000D6E21">
        <w:rPr>
          <w:rFonts w:cs="Arial"/>
        </w:rPr>
        <w:t>Glosario de términos</w:t>
      </w:r>
      <w:r w:rsidR="00C3222E">
        <w:rPr>
          <w:rFonts w:cs="Arial"/>
        </w:rPr>
        <w:t xml:space="preserve">. </w:t>
      </w:r>
      <w:r w:rsidR="007A403F">
        <w:rPr>
          <w:rFonts w:cs="Arial"/>
        </w:rPr>
        <w:t>Cambio climático 2001: informe de síntesis</w:t>
      </w:r>
      <w:r w:rsidR="009453E2">
        <w:rPr>
          <w:rFonts w:cs="Arial"/>
        </w:rPr>
        <w:t xml:space="preserve">. </w:t>
      </w:r>
      <w:r w:rsidR="009453E2" w:rsidRPr="009453E2">
        <w:rPr>
          <w:rFonts w:cs="Arial"/>
        </w:rPr>
        <w:t>Watson</w:t>
      </w:r>
      <w:r w:rsidR="009453E2">
        <w:rPr>
          <w:rFonts w:cs="Arial"/>
        </w:rPr>
        <w:t>, R.</w:t>
      </w:r>
      <w:r w:rsidR="009453E2" w:rsidRPr="009453E2">
        <w:rPr>
          <w:rFonts w:cs="Arial"/>
        </w:rPr>
        <w:t xml:space="preserve"> </w:t>
      </w:r>
      <w:r w:rsidR="0063483D" w:rsidRPr="00CB6DE8">
        <w:rPr>
          <w:rFonts w:cs="Arial"/>
          <w:lang w:val="es-MX"/>
        </w:rPr>
        <w:t>(ed</w:t>
      </w:r>
      <w:r w:rsidR="009453E2">
        <w:rPr>
          <w:rFonts w:cs="Arial"/>
          <w:lang w:val="es-MX"/>
        </w:rPr>
        <w:t>.</w:t>
      </w:r>
      <w:r w:rsidR="0063483D" w:rsidRPr="00CB6DE8">
        <w:rPr>
          <w:rFonts w:cs="Arial"/>
          <w:lang w:val="es-MX"/>
        </w:rPr>
        <w:t xml:space="preserve">). IPCC, </w:t>
      </w:r>
      <w:r w:rsidR="0056377C">
        <w:rPr>
          <w:rFonts w:cs="Arial"/>
          <w:lang w:val="es-MX"/>
        </w:rPr>
        <w:t>2001</w:t>
      </w:r>
      <w:r w:rsidR="0063483D" w:rsidRPr="00CB6DE8">
        <w:rPr>
          <w:rFonts w:cs="Arial"/>
          <w:lang w:val="es-MX"/>
        </w:rPr>
        <w:t xml:space="preserve">, </w:t>
      </w:r>
      <w:r w:rsidR="0056377C">
        <w:rPr>
          <w:rFonts w:cs="Arial"/>
          <w:lang w:val="es-MX"/>
        </w:rPr>
        <w:t>27</w:t>
      </w:r>
      <w:r w:rsidR="0063483D" w:rsidRPr="00CB6DE8">
        <w:rPr>
          <w:rFonts w:cs="Arial"/>
          <w:lang w:val="es-MX"/>
        </w:rPr>
        <w:t xml:space="preserve"> p.</w:t>
      </w:r>
    </w:p>
    <w:p w14:paraId="625B9415" w14:textId="77777777" w:rsidR="00472950" w:rsidRPr="00394D50" w:rsidRDefault="00472950" w:rsidP="00472950">
      <w:pPr>
        <w:pStyle w:val="Textonotaalfinal"/>
      </w:pPr>
    </w:p>
  </w:endnote>
  <w:endnote w:id="24">
    <w:p w14:paraId="518E2A23" w14:textId="7872EF3D" w:rsidR="00D55F13" w:rsidRDefault="00D55F13">
      <w:pPr>
        <w:pStyle w:val="Textonotaalfinal"/>
        <w:rPr>
          <w:rFonts w:cs="Arial"/>
        </w:rPr>
      </w:pPr>
      <w:r w:rsidRPr="00394D50">
        <w:rPr>
          <w:rFonts w:cs="Arial"/>
          <w:vertAlign w:val="superscript"/>
        </w:rPr>
        <w:t>[</w:t>
      </w:r>
      <w:r w:rsidRPr="00394D50">
        <w:rPr>
          <w:rStyle w:val="Refdenotaalfinal"/>
        </w:rPr>
        <w:endnoteRef/>
      </w:r>
      <w:r w:rsidRPr="00394D50">
        <w:rPr>
          <w:rFonts w:cs="Arial"/>
          <w:vertAlign w:val="superscript"/>
        </w:rPr>
        <w:t>]</w:t>
      </w:r>
      <w:r w:rsidRPr="00394D50">
        <w:t xml:space="preserve"> COLOMBIA. MINISTERIO DE AMBIENTE, VIVIENDA Y DESARROLLO TERRITORIAL -MAVDT. Resolución 0627 “Por la cual se establece la norma nacional de emisión de ruido y ruido ambiental”</w:t>
      </w:r>
      <w:r w:rsidRPr="00394D50">
        <w:rPr>
          <w:rFonts w:cs="Arial"/>
        </w:rPr>
        <w:t>. Bogotá: MAVDT, 2006.</w:t>
      </w:r>
    </w:p>
    <w:p w14:paraId="186536C6" w14:textId="77777777" w:rsidR="00281355" w:rsidRPr="008A4FE9" w:rsidRDefault="00281355">
      <w:pPr>
        <w:pStyle w:val="Textonotaalfinal"/>
      </w:pPr>
    </w:p>
  </w:endnote>
  <w:endnote w:id="25">
    <w:p w14:paraId="57AB6ADE" w14:textId="0E18AF58" w:rsidR="00D55F13" w:rsidRPr="008A4FE9" w:rsidRDefault="00D55F13">
      <w:pPr>
        <w:pStyle w:val="Textonotaalfinal"/>
      </w:pPr>
      <w:r w:rsidRPr="00394D50">
        <w:rPr>
          <w:rFonts w:cs="Arial"/>
          <w:vertAlign w:val="superscript"/>
        </w:rPr>
        <w:t>[</w:t>
      </w:r>
      <w:r w:rsidRPr="00394D50">
        <w:rPr>
          <w:rStyle w:val="Refdenotaalfinal"/>
        </w:rPr>
        <w:endnoteRef/>
      </w:r>
      <w:r w:rsidRPr="00394D50">
        <w:rPr>
          <w:rFonts w:cs="Arial"/>
          <w:vertAlign w:val="superscript"/>
        </w:rPr>
        <w:t>]</w:t>
      </w:r>
      <w:r w:rsidRPr="00394D50">
        <w:t xml:space="preserve"> COLOMBIA. MINISTERIO DE VIVIENDA, CIUDAD Y TERRITORIO –MVCT. </w:t>
      </w:r>
      <w:r w:rsidRPr="008A4FE9">
        <w:t>Decreto 1077 “Por el medio el cual se expide el Decreto único reglamentario del sector vivienda, ciudad y territorio”. Bogotá: MCVT, 2015.</w:t>
      </w:r>
    </w:p>
    <w:p w14:paraId="0D23EA45" w14:textId="77777777" w:rsidR="00D55F13" w:rsidRPr="008A4FE9" w:rsidRDefault="00D55F13">
      <w:pPr>
        <w:pStyle w:val="Textonotaalfinal"/>
      </w:pPr>
    </w:p>
  </w:endnote>
  <w:endnote w:id="26">
    <w:p w14:paraId="334EC637" w14:textId="4ED5AFE2" w:rsidR="00D55F13" w:rsidRPr="00394D50" w:rsidRDefault="00D55F13" w:rsidP="001877BD">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uppressAutoHyphens/>
        <w:rPr>
          <w:rFonts w:cs="Arial"/>
        </w:rPr>
      </w:pPr>
      <w:r w:rsidRPr="00394D50">
        <w:rPr>
          <w:rFonts w:cs="Arial"/>
          <w:vertAlign w:val="superscript"/>
        </w:rPr>
        <w:t>[</w:t>
      </w:r>
      <w:r w:rsidRPr="00394D50">
        <w:rPr>
          <w:rStyle w:val="Refdenotaalfinal"/>
          <w:rFonts w:cs="Arial"/>
        </w:rPr>
        <w:endnoteRef/>
      </w:r>
      <w:r w:rsidRPr="00394D50">
        <w:rPr>
          <w:rFonts w:cs="Arial"/>
          <w:vertAlign w:val="superscript"/>
        </w:rPr>
        <w:t>]</w:t>
      </w:r>
      <w:r w:rsidRPr="00394D50">
        <w:rPr>
          <w:rFonts w:cs="Arial"/>
        </w:rPr>
        <w:t xml:space="preserve"> Adaptado de:</w:t>
      </w:r>
    </w:p>
    <w:p w14:paraId="6FC6EA36" w14:textId="77777777" w:rsidR="00D55F13" w:rsidRPr="00394D50" w:rsidRDefault="00D55F13" w:rsidP="001877BD">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uppressAutoHyphens/>
        <w:rPr>
          <w:rFonts w:cs="Arial"/>
        </w:rPr>
      </w:pPr>
    </w:p>
    <w:p w14:paraId="7017024C" w14:textId="76C955F4" w:rsidR="00D55F13" w:rsidRPr="008A4FE9" w:rsidRDefault="00D55F13" w:rsidP="00456AB1">
      <w:pPr>
        <w:pStyle w:val="Textonotaalfinal"/>
        <w:numPr>
          <w:ilvl w:val="0"/>
          <w:numId w:val="20"/>
        </w:numPr>
        <w:ind w:left="567" w:hanging="283"/>
        <w:rPr>
          <w:rFonts w:cs="Arial"/>
        </w:rPr>
      </w:pPr>
      <w:r w:rsidRPr="00045B66">
        <w:rPr>
          <w:rFonts w:cs="Arial"/>
          <w:lang w:val="en-US"/>
        </w:rPr>
        <w:t xml:space="preserve">De GROOT, R. Functions of Nature: Evaluation of nature in environmental planning, de management and decision making. </w:t>
      </w:r>
      <w:r w:rsidRPr="008A4FE9">
        <w:rPr>
          <w:rFonts w:cs="Arial"/>
        </w:rPr>
        <w:t>Groningen: Wolters Noordhoff, 1992.</w:t>
      </w:r>
    </w:p>
    <w:p w14:paraId="3D1411F4" w14:textId="77777777" w:rsidR="00D55F13" w:rsidRPr="008A4FE9" w:rsidRDefault="00D55F13" w:rsidP="009420F5">
      <w:pPr>
        <w:pStyle w:val="Textonotaalfinal"/>
        <w:ind w:left="567"/>
        <w:rPr>
          <w:rFonts w:cs="Arial"/>
        </w:rPr>
      </w:pPr>
    </w:p>
    <w:p w14:paraId="44796E3D" w14:textId="640B76F8" w:rsidR="00D55F13" w:rsidRPr="008A4FE9" w:rsidRDefault="00D55F13">
      <w:pPr>
        <w:pStyle w:val="Textonotaalfinal"/>
        <w:numPr>
          <w:ilvl w:val="0"/>
          <w:numId w:val="20"/>
        </w:numPr>
        <w:ind w:left="567" w:hanging="283"/>
        <w:rPr>
          <w:rFonts w:cs="Arial"/>
        </w:rPr>
      </w:pPr>
      <w:r w:rsidRPr="00045B66">
        <w:rPr>
          <w:rFonts w:cs="Arial"/>
          <w:lang w:val="en-US"/>
        </w:rPr>
        <w:t xml:space="preserve">DAILY, G. Nature's services: societal dependence on natural ecosystems. </w:t>
      </w:r>
      <w:r w:rsidRPr="008A4FE9">
        <w:rPr>
          <w:rFonts w:cs="Arial"/>
        </w:rPr>
        <w:t>Washington: Island Press, 1997.</w:t>
      </w:r>
    </w:p>
    <w:p w14:paraId="46018C8A" w14:textId="77777777" w:rsidR="00D55F13" w:rsidRPr="008A4FE9" w:rsidRDefault="00D55F13" w:rsidP="009420F5">
      <w:pPr>
        <w:pStyle w:val="Textonotaalfinal"/>
        <w:ind w:left="567"/>
        <w:rPr>
          <w:rFonts w:cs="Arial"/>
        </w:rPr>
      </w:pPr>
    </w:p>
    <w:p w14:paraId="0C428F0C" w14:textId="09FE3537" w:rsidR="00D55F13" w:rsidRPr="00045B66" w:rsidRDefault="00D55F13" w:rsidP="009420F5">
      <w:pPr>
        <w:pStyle w:val="Textonotaalfinal"/>
        <w:numPr>
          <w:ilvl w:val="0"/>
          <w:numId w:val="20"/>
        </w:numPr>
        <w:ind w:left="567" w:hanging="283"/>
        <w:rPr>
          <w:rFonts w:cs="Arial"/>
          <w:lang w:val="en-US"/>
        </w:rPr>
      </w:pPr>
      <w:r w:rsidRPr="00045B66">
        <w:rPr>
          <w:rFonts w:cs="Arial"/>
          <w:lang w:val="en-US"/>
        </w:rPr>
        <w:t xml:space="preserve">SCHOWALTER, T. </w:t>
      </w:r>
      <w:hyperlink r:id="rId1" w:history="1">
        <w:r w:rsidRPr="00045B66">
          <w:rPr>
            <w:rFonts w:cs="Arial"/>
            <w:lang w:val="en-US"/>
          </w:rPr>
          <w:t>Insect Ecology. An ecosystem approach (Fourth Edition)</w:t>
        </w:r>
      </w:hyperlink>
      <w:r w:rsidRPr="00045B66">
        <w:rPr>
          <w:rFonts w:cs="Arial"/>
          <w:lang w:val="en-US"/>
        </w:rPr>
        <w:t>. Amsterdam, Boston, Heidelberg, London, New York, Oxford, Paris, San Diego, San Francisco, Singapore, Sidney, Tokyo: Academic Press, 2016.</w:t>
      </w:r>
    </w:p>
    <w:p w14:paraId="70766CB0" w14:textId="77777777" w:rsidR="00D55F13" w:rsidRPr="00045B66" w:rsidRDefault="00D55F13" w:rsidP="001877BD">
      <w:pPr>
        <w:pStyle w:val="Textonotaalfinal"/>
        <w:rPr>
          <w:rFonts w:cs="Arial"/>
          <w:lang w:val="en-US"/>
        </w:rPr>
      </w:pPr>
    </w:p>
  </w:endnote>
  <w:endnote w:id="27">
    <w:p w14:paraId="446E6B5E" w14:textId="784C2497" w:rsidR="00D55F13" w:rsidRPr="00045B66" w:rsidRDefault="00D55F13">
      <w:pPr>
        <w:pStyle w:val="Textonotaalfinal"/>
        <w:rPr>
          <w:lang w:val="en-US"/>
        </w:rPr>
      </w:pPr>
      <w:r w:rsidRPr="00045B66">
        <w:rPr>
          <w:rFonts w:cs="Arial"/>
          <w:vertAlign w:val="superscript"/>
          <w:lang w:val="en-US"/>
        </w:rPr>
        <w:t>[</w:t>
      </w:r>
      <w:r w:rsidRPr="00394D50">
        <w:rPr>
          <w:rStyle w:val="Refdenotaalfinal"/>
        </w:rPr>
        <w:endnoteRef/>
      </w:r>
      <w:r w:rsidRPr="00045B66">
        <w:rPr>
          <w:rFonts w:cs="Arial"/>
          <w:vertAlign w:val="superscript"/>
          <w:lang w:val="en-US"/>
        </w:rPr>
        <w:t>]</w:t>
      </w:r>
      <w:r w:rsidRPr="00045B66">
        <w:rPr>
          <w:lang w:val="en-US"/>
        </w:rPr>
        <w:t xml:space="preserve"> Adaptado de: BOTEQUILHA, A. Measuring Landscapes: a planner's handbook. </w:t>
      </w:r>
      <w:r w:rsidRPr="00045B66">
        <w:rPr>
          <w:rFonts w:cs="Arial"/>
          <w:lang w:val="en-US"/>
        </w:rPr>
        <w:t>Washington: Island Press, 2006.</w:t>
      </w:r>
    </w:p>
    <w:p w14:paraId="232AE0FD" w14:textId="77777777" w:rsidR="00D55F13" w:rsidRPr="00045B66" w:rsidRDefault="00D55F13">
      <w:pPr>
        <w:pStyle w:val="Textonotaalfinal"/>
        <w:rPr>
          <w:lang w:val="en-US"/>
        </w:rPr>
      </w:pPr>
    </w:p>
  </w:endnote>
  <w:endnote w:id="28">
    <w:p w14:paraId="62A51A01" w14:textId="75BC3709" w:rsidR="00D55F13" w:rsidRPr="000D6E21" w:rsidRDefault="00D55F13">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uppressAutoHyphens/>
        <w:rPr>
          <w:shd w:val="clear" w:color="auto" w:fill="FFFFFF"/>
          <w:lang w:val="en-US"/>
        </w:rPr>
      </w:pPr>
      <w:r w:rsidRPr="00045B66">
        <w:rPr>
          <w:vertAlign w:val="superscript"/>
          <w:lang w:val="en-US"/>
        </w:rPr>
        <w:t>[</w:t>
      </w:r>
      <w:r w:rsidRPr="00394D50">
        <w:rPr>
          <w:rStyle w:val="Refdenotaalfinal"/>
        </w:rPr>
        <w:endnoteRef/>
      </w:r>
      <w:r w:rsidRPr="00045B66">
        <w:rPr>
          <w:vertAlign w:val="superscript"/>
          <w:lang w:val="en-US"/>
        </w:rPr>
        <w:t>]</w:t>
      </w:r>
      <w:r w:rsidRPr="000D6E21">
        <w:rPr>
          <w:lang w:val="en-US"/>
        </w:rPr>
        <w:t xml:space="preserve"> </w:t>
      </w:r>
      <w:r w:rsidR="00FD2209" w:rsidRPr="000D6E21">
        <w:rPr>
          <w:lang w:val="en-US"/>
        </w:rPr>
        <w:t>BURKHARD, B. &amp; MAES, J. (Eds.). Mapping Ecosystem Services. Sofia: Pensoft Publishers, 2017. 374 p</w:t>
      </w:r>
      <w:r w:rsidRPr="000D6E21">
        <w:rPr>
          <w:lang w:val="en-US"/>
        </w:rPr>
        <w:t>.</w:t>
      </w:r>
      <w:r w:rsidRPr="000D6E21" w:rsidDel="00DF1710">
        <w:rPr>
          <w:lang w:val="en-US"/>
        </w:rPr>
        <w:t xml:space="preserve"> </w:t>
      </w:r>
    </w:p>
    <w:p w14:paraId="72E374F9" w14:textId="77777777" w:rsidR="00D55F13" w:rsidRPr="000D6E21" w:rsidRDefault="00D55F13">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uppressAutoHyphens/>
        <w:rPr>
          <w:shd w:val="clear" w:color="auto" w:fill="FFFFFF"/>
          <w:lang w:val="en-US"/>
        </w:rPr>
      </w:pPr>
    </w:p>
  </w:endnote>
  <w:endnote w:id="29">
    <w:p w14:paraId="50BD8DFD" w14:textId="4851060A" w:rsidR="00D55F13" w:rsidRPr="00394D50" w:rsidRDefault="00D55F13" w:rsidP="00AA4F93">
      <w:pPr>
        <w:pStyle w:val="Textonotaalfinal"/>
        <w:rPr>
          <w:rFonts w:cs="Arial"/>
        </w:rPr>
      </w:pPr>
      <w:r w:rsidRPr="000D6E21">
        <w:rPr>
          <w:rFonts w:cs="Arial"/>
          <w:vertAlign w:val="superscript"/>
          <w:lang w:val="en-US"/>
        </w:rPr>
        <w:t>[</w:t>
      </w:r>
      <w:r w:rsidRPr="00394D50">
        <w:rPr>
          <w:rStyle w:val="Refdenotaalfinal"/>
        </w:rPr>
        <w:endnoteRef/>
      </w:r>
      <w:r w:rsidRPr="000D6E21">
        <w:rPr>
          <w:rFonts w:cs="Arial"/>
          <w:vertAlign w:val="superscript"/>
          <w:lang w:val="en-US"/>
        </w:rPr>
        <w:t>]</w:t>
      </w:r>
      <w:r w:rsidRPr="000D6E21">
        <w:rPr>
          <w:rFonts w:cs="Arial"/>
          <w:lang w:val="en-US"/>
        </w:rPr>
        <w:t xml:space="preserve"> COLOMBIA. </w:t>
      </w:r>
      <w:r w:rsidRPr="00394D50">
        <w:rPr>
          <w:rFonts w:cs="Arial"/>
        </w:rPr>
        <w:t>CONGRESO DE LA REPÚBLICA. Ley 357, por “Por medio de la cual se aprueba la "Convención Relativa a los Humedales de Importancia Internacional Especialmente como Hábitat de Aves Acuáticas", suscrita en Ramsar el dos (2) de febrero de mil novecientos setenta y uno (1971)”. Bogotá: Congreso de la República, 1997.</w:t>
      </w:r>
    </w:p>
    <w:p w14:paraId="12FD01B3" w14:textId="77777777" w:rsidR="00D55F13" w:rsidRPr="00394D50" w:rsidRDefault="00D55F13" w:rsidP="00AA4F93">
      <w:pPr>
        <w:pStyle w:val="Textonotaalfinal"/>
        <w:rPr>
          <w:rFonts w:cs="Arial"/>
        </w:rPr>
      </w:pPr>
    </w:p>
  </w:endnote>
  <w:endnote w:id="30">
    <w:p w14:paraId="0564DBCA" w14:textId="31A7C8C4" w:rsidR="00D55F13" w:rsidRPr="00394D50" w:rsidRDefault="00D55F13">
      <w:pPr>
        <w:shd w:val="clear" w:color="auto" w:fill="FFFFFF"/>
        <w:ind w:left="284" w:right="57" w:hanging="301"/>
      </w:pPr>
      <w:r w:rsidRPr="00394D50">
        <w:rPr>
          <w:vertAlign w:val="superscript"/>
        </w:rPr>
        <w:t>[</w:t>
      </w:r>
      <w:r w:rsidRPr="00394D50">
        <w:rPr>
          <w:vertAlign w:val="superscript"/>
        </w:rPr>
        <w:endnoteRef/>
      </w:r>
      <w:r w:rsidRPr="00394D50">
        <w:rPr>
          <w:vertAlign w:val="superscript"/>
        </w:rPr>
        <w:t>]</w:t>
      </w:r>
      <w:r w:rsidRPr="00394D50">
        <w:t xml:space="preserve"> Adaptado de:</w:t>
      </w:r>
    </w:p>
    <w:p w14:paraId="0CCDDD00" w14:textId="77777777" w:rsidR="00D55F13" w:rsidRPr="00394D50" w:rsidRDefault="00D55F13">
      <w:pPr>
        <w:shd w:val="clear" w:color="auto" w:fill="FFFFFF"/>
        <w:ind w:left="284" w:right="57" w:hanging="301"/>
      </w:pPr>
    </w:p>
    <w:p w14:paraId="7244EB69" w14:textId="6A82FD9C" w:rsidR="00D55F13" w:rsidRPr="00394D50" w:rsidRDefault="00D55F13" w:rsidP="006B4032">
      <w:pPr>
        <w:pStyle w:val="Textonotaalfinal"/>
        <w:numPr>
          <w:ilvl w:val="0"/>
          <w:numId w:val="20"/>
        </w:numPr>
        <w:ind w:left="567" w:hanging="283"/>
        <w:rPr>
          <w:rFonts w:cs="Arial"/>
        </w:rPr>
      </w:pPr>
      <w:r w:rsidRPr="00394D50">
        <w:rPr>
          <w:rFonts w:cs="Arial"/>
        </w:rPr>
        <w:t>CONESA, V. Guía metodológica para la Evaluación del Impacto Ambiental. Cuarta edición revisada y ampliada. Madrid España: Ediciones Mundi-Prensa, 2010.</w:t>
      </w:r>
    </w:p>
    <w:p w14:paraId="631AC09E" w14:textId="77777777" w:rsidR="00D55F13" w:rsidRPr="00394D50" w:rsidRDefault="00D55F13" w:rsidP="009420F5">
      <w:pPr>
        <w:shd w:val="clear" w:color="auto" w:fill="FFFFFF"/>
        <w:ind w:right="55"/>
        <w:contextualSpacing/>
        <w:rPr>
          <w:rFonts w:cs="Arial"/>
          <w:color w:val="000000"/>
        </w:rPr>
      </w:pPr>
    </w:p>
    <w:p w14:paraId="2362014C" w14:textId="6FF70DAD" w:rsidR="00D55F13" w:rsidRPr="008A4FE9" w:rsidRDefault="00AB2DFD" w:rsidP="008A4FE9">
      <w:pPr>
        <w:pStyle w:val="Textonotaalfinal"/>
        <w:numPr>
          <w:ilvl w:val="0"/>
          <w:numId w:val="20"/>
        </w:numPr>
        <w:ind w:left="567" w:hanging="283"/>
        <w:rPr>
          <w:rFonts w:cs="Arial"/>
        </w:rPr>
      </w:pPr>
      <w:r w:rsidRPr="00045B66">
        <w:rPr>
          <w:rFonts w:cs="Arial"/>
          <w:lang w:val="en-US"/>
        </w:rPr>
        <w:t>WALKER, L. &amp; JOHNSTON, J</w:t>
      </w:r>
      <w:r w:rsidR="00D55F13" w:rsidRPr="00045B66">
        <w:rPr>
          <w:rFonts w:cs="Arial"/>
          <w:lang w:val="en-US"/>
        </w:rPr>
        <w:t xml:space="preserve">. </w:t>
      </w:r>
      <w:r w:rsidRPr="00045B66">
        <w:rPr>
          <w:rFonts w:cs="Arial"/>
          <w:lang w:val="en-US"/>
        </w:rPr>
        <w:t>Guidelines for the Assessment of Indirect and Cumulative Impacts as well as Impact Interactions</w:t>
      </w:r>
      <w:r w:rsidR="00D55F13" w:rsidRPr="00045B66">
        <w:rPr>
          <w:rFonts w:cs="Arial"/>
          <w:lang w:val="en-US"/>
        </w:rPr>
        <w:t xml:space="preserve">. </w:t>
      </w:r>
      <w:r w:rsidRPr="008A4FE9">
        <w:rPr>
          <w:rFonts w:cs="Arial"/>
        </w:rPr>
        <w:t>Environment, Nuclear Safety &amp; Civil Protection. HHH: The European Commission, 1999</w:t>
      </w:r>
      <w:r w:rsidR="00D55F13" w:rsidRPr="008A4FE9">
        <w:rPr>
          <w:rFonts w:cs="Arial"/>
        </w:rPr>
        <w:t>.</w:t>
      </w:r>
    </w:p>
    <w:p w14:paraId="7E1E3386" w14:textId="77777777" w:rsidR="00AE7898" w:rsidRPr="008A4FE9" w:rsidRDefault="00AE7898" w:rsidP="008A4FE9">
      <w:pPr>
        <w:pStyle w:val="Textonotaalfinal"/>
        <w:rPr>
          <w:rFonts w:cs="Arial"/>
        </w:rPr>
      </w:pPr>
    </w:p>
  </w:endnote>
  <w:endnote w:id="31">
    <w:p w14:paraId="6D0F1F57" w14:textId="07E23B10" w:rsidR="001A4259" w:rsidRPr="000D6E21" w:rsidRDefault="001A4259" w:rsidP="000D6E21">
      <w:pPr>
        <w:pStyle w:val="Textonotaalfinal"/>
        <w:rPr>
          <w:rFonts w:cs="Arial"/>
          <w:lang w:val="es-MX"/>
        </w:rPr>
      </w:pPr>
      <w:r w:rsidRPr="000D6E21">
        <w:rPr>
          <w:rFonts w:cs="Arial"/>
          <w:vertAlign w:val="superscript"/>
          <w:lang w:val="en-US"/>
        </w:rPr>
        <w:t>[</w:t>
      </w:r>
      <w:r w:rsidRPr="000D6E21">
        <w:rPr>
          <w:rFonts w:cs="Arial"/>
          <w:vertAlign w:val="superscript"/>
          <w:lang w:val="en-US"/>
        </w:rPr>
        <w:endnoteRef/>
      </w:r>
      <w:r w:rsidRPr="000D6E21">
        <w:rPr>
          <w:rFonts w:cs="Arial"/>
          <w:vertAlign w:val="superscript"/>
          <w:lang w:val="en-US"/>
        </w:rPr>
        <w:t>]</w:t>
      </w:r>
      <w:r w:rsidRPr="000D6E21">
        <w:rPr>
          <w:rFonts w:cs="Arial"/>
          <w:lang w:val="en-US"/>
        </w:rPr>
        <w:t xml:space="preserve"> </w:t>
      </w:r>
      <w:r w:rsidR="007762B3" w:rsidRPr="000D6E21">
        <w:rPr>
          <w:rFonts w:cs="Arial"/>
          <w:lang w:val="en-US"/>
        </w:rPr>
        <w:t xml:space="preserve">INTERGOVERNMENTAL PANEL ON CLIMATE CHANGE (IPCC). Anexo I: Glosario [Matthews J.B.R. (ed.)]. </w:t>
      </w:r>
      <w:r w:rsidR="007762B3" w:rsidRPr="000D6E21">
        <w:rPr>
          <w:rFonts w:cs="Arial"/>
          <w:lang w:val="es-MX"/>
        </w:rPr>
        <w:t>En: Calentamiento global de 1,5 °C, Informe especial del IPCC sobre los impactos del calentamiento global de 1,5 ºC con respecto a los niveles preindustriales y las trayectorias correspondientes que deberían seguir las emisiones mundiales de gases de efecto invernadero, en el contexto del reforzamiento de la respuesta mundial a la amenaza del cambio climático, el desarrollo sostenible y los esfuerzos por erradicar la pobreza [Masson-Delmotte V., P. Zhai, H.-O. Pörtner, D. Roberts, J. Skea, P.R. Shukla, A. Pirani, W. Moufouma-Okia, C. Péan, R. Pidcock, S. Connors, J.B.R. Matthews, Y. Chen, X. Zhou, M.I. Gomis, E. Lonnoy, T. Maycock, M. Tignor y T. Waterfield (eds.)].</w:t>
      </w:r>
      <w:r w:rsidR="002F6211" w:rsidRPr="000D6E21">
        <w:rPr>
          <w:rFonts w:cs="Arial"/>
          <w:lang w:val="es-MX"/>
        </w:rPr>
        <w:t xml:space="preserve"> IPCC, 2018, 94 p.</w:t>
      </w:r>
    </w:p>
    <w:p w14:paraId="52096EFF" w14:textId="77777777" w:rsidR="001A4259" w:rsidRPr="007762B3" w:rsidRDefault="001A4259" w:rsidP="001A4259">
      <w:pPr>
        <w:pStyle w:val="Textonotaalfinal"/>
        <w:rPr>
          <w:rFonts w:cs="Arial"/>
        </w:rPr>
      </w:pPr>
    </w:p>
  </w:endnote>
  <w:endnote w:id="32">
    <w:p w14:paraId="5ADDEF42" w14:textId="022D460C" w:rsidR="00D55F13" w:rsidRPr="00394D50" w:rsidRDefault="00D55F13" w:rsidP="00AA4F93">
      <w:pPr>
        <w:pStyle w:val="Textonotaalfinal"/>
        <w:rPr>
          <w:rFonts w:cs="Arial"/>
          <w:vertAlign w:val="superscript"/>
        </w:rPr>
      </w:pPr>
      <w:r w:rsidRPr="00394D50">
        <w:rPr>
          <w:rFonts w:cs="Arial"/>
          <w:vertAlign w:val="superscript"/>
        </w:rPr>
        <w:t>[</w:t>
      </w:r>
      <w:r w:rsidRPr="00394D50">
        <w:rPr>
          <w:rFonts w:cs="Arial"/>
          <w:vertAlign w:val="superscript"/>
        </w:rPr>
        <w:endnoteRef/>
      </w:r>
      <w:r w:rsidRPr="00394D50">
        <w:rPr>
          <w:rFonts w:cs="Arial"/>
          <w:vertAlign w:val="superscript"/>
        </w:rPr>
        <w:t>]</w:t>
      </w:r>
      <w:r w:rsidRPr="00394D50">
        <w:rPr>
          <w:rFonts w:cs="Arial"/>
        </w:rPr>
        <w:t xml:space="preserve"> INSTITUTO COLOMBIANO DE NORMAS TÉCNICAS Y CERTIFICACIÓN –ICONTEC. Norma Técnica Colombiana NTC 4611. Información geográfica. Metadatos. Bogotá: ICONTEC, 2000.</w:t>
      </w:r>
    </w:p>
    <w:p w14:paraId="0F30A067" w14:textId="77777777" w:rsidR="00D55F13" w:rsidRPr="00394D50" w:rsidRDefault="00D55F13" w:rsidP="003725C8">
      <w:pPr>
        <w:pStyle w:val="Textonotaalfinal"/>
      </w:pPr>
    </w:p>
  </w:endnote>
  <w:endnote w:id="33">
    <w:p w14:paraId="269CB2C3" w14:textId="73D49BA2" w:rsidR="00D55F13" w:rsidRPr="00394D50" w:rsidRDefault="00D55F13">
      <w:pPr>
        <w:pStyle w:val="Textonotaalfinal"/>
        <w:rPr>
          <w:rFonts w:cs="Arial"/>
          <w:color w:val="000000"/>
        </w:rPr>
      </w:pPr>
      <w:r w:rsidRPr="00394D50">
        <w:rPr>
          <w:rFonts w:cs="Arial"/>
          <w:vertAlign w:val="superscript"/>
        </w:rPr>
        <w:t>[</w:t>
      </w:r>
      <w:r w:rsidRPr="00394D50">
        <w:rPr>
          <w:rStyle w:val="Refdenotaalfinal"/>
        </w:rPr>
        <w:endnoteRef/>
      </w:r>
      <w:r w:rsidRPr="00394D50">
        <w:rPr>
          <w:vertAlign w:val="superscript"/>
        </w:rPr>
        <w:t>]</w:t>
      </w:r>
      <w:r w:rsidRPr="00394D50">
        <w:rPr>
          <w:rFonts w:cs="Arial"/>
          <w:color w:val="000000"/>
        </w:rPr>
        <w:t xml:space="preserve"> </w:t>
      </w:r>
      <w:r w:rsidRPr="00394D50">
        <w:rPr>
          <w:rFonts w:cs="Arial"/>
        </w:rPr>
        <w:t xml:space="preserve">COLOMBIA. EL PUEBLO DE COLOMBIA. Constitución </w:t>
      </w:r>
      <w:r w:rsidR="00C21ACA">
        <w:rPr>
          <w:rFonts w:cs="Arial"/>
        </w:rPr>
        <w:t>P</w:t>
      </w:r>
      <w:r w:rsidRPr="00394D50">
        <w:rPr>
          <w:rFonts w:cs="Arial"/>
        </w:rPr>
        <w:t>olítica de Colombia. Bogotá: El pueblo de Colombia, 1991.</w:t>
      </w:r>
    </w:p>
    <w:p w14:paraId="3AD05E7F" w14:textId="1216FD6C" w:rsidR="00D55F13" w:rsidRPr="008A4FE9" w:rsidRDefault="00D55F13">
      <w:pPr>
        <w:pStyle w:val="Textonotaalfinal"/>
      </w:pPr>
    </w:p>
  </w:endnote>
  <w:endnote w:id="34">
    <w:p w14:paraId="698781DB" w14:textId="77777777" w:rsidR="00D55F13" w:rsidRPr="00394D50" w:rsidRDefault="00D55F13">
      <w:pPr>
        <w:suppressAutoHyphens/>
        <w:rPr>
          <w:spacing w:val="-2"/>
        </w:rPr>
      </w:pPr>
      <w:r w:rsidRPr="00394D50">
        <w:rPr>
          <w:vertAlign w:val="superscript"/>
        </w:rPr>
        <w:t>[</w:t>
      </w:r>
      <w:r w:rsidRPr="00394D50">
        <w:rPr>
          <w:rStyle w:val="Refdenotaalfinal"/>
        </w:rPr>
        <w:endnoteRef/>
      </w:r>
      <w:r w:rsidRPr="00394D50">
        <w:rPr>
          <w:vertAlign w:val="superscript"/>
        </w:rPr>
        <w:t xml:space="preserve">] </w:t>
      </w:r>
      <w:r w:rsidRPr="00394D50">
        <w:t>INSTITUTO COLOMBIANO DE NORMAS TÉCNICAS Y CERTIFICACIÓN –ICONTEC. Norma Técnica Colombiana NTC-ISO 31000. Gestión del riesgo. Principios y directrices. Bogotá: ICONTEC, 2016.</w:t>
      </w:r>
    </w:p>
    <w:p w14:paraId="0E8D9D15" w14:textId="77777777" w:rsidR="00D55F13" w:rsidRPr="00394D50" w:rsidRDefault="00D55F13">
      <w:pPr>
        <w:pStyle w:val="Textonotaalfinal"/>
      </w:pPr>
    </w:p>
  </w:endnote>
  <w:endnote w:id="35">
    <w:p w14:paraId="6D5E6753" w14:textId="13005F5C" w:rsidR="00D55F13" w:rsidRPr="00394D50" w:rsidRDefault="00D55F13">
      <w:pPr>
        <w:pStyle w:val="Textonotaalfinal"/>
      </w:pPr>
      <w:r w:rsidRPr="00394D50">
        <w:rPr>
          <w:rFonts w:cs="Arial"/>
          <w:vertAlign w:val="superscript"/>
        </w:rPr>
        <w:t>[</w:t>
      </w:r>
      <w:r w:rsidRPr="00394D50">
        <w:rPr>
          <w:rStyle w:val="Refdenotaalfinal"/>
        </w:rPr>
        <w:endnoteRef/>
      </w:r>
      <w:r w:rsidRPr="00394D50">
        <w:rPr>
          <w:rFonts w:cs="Arial"/>
          <w:vertAlign w:val="superscript"/>
        </w:rPr>
        <w:t>]</w:t>
      </w:r>
      <w:r w:rsidRPr="00394D50">
        <w:t xml:space="preserve"> Adaptado de: </w:t>
      </w:r>
    </w:p>
    <w:p w14:paraId="1F81036E" w14:textId="77777777" w:rsidR="00D55F13" w:rsidRPr="00394D50" w:rsidRDefault="00D55F13">
      <w:pPr>
        <w:pStyle w:val="Textonotaalfinal"/>
      </w:pPr>
    </w:p>
    <w:p w14:paraId="5804B351" w14:textId="25D5FFAD" w:rsidR="00D55F13" w:rsidRPr="008A4FE9" w:rsidRDefault="00D55F13" w:rsidP="006B4032">
      <w:pPr>
        <w:pStyle w:val="Textonotaalfinal"/>
        <w:numPr>
          <w:ilvl w:val="0"/>
          <w:numId w:val="20"/>
        </w:numPr>
        <w:ind w:left="567" w:hanging="283"/>
        <w:rPr>
          <w:rFonts w:cs="Arial"/>
        </w:rPr>
      </w:pPr>
      <w:r w:rsidRPr="00394D50">
        <w:rPr>
          <w:rFonts w:cs="Arial"/>
        </w:rPr>
        <w:t xml:space="preserve">ETTER, A. Introducción a la ecología del paisaje: un marco de integración para los levantamientos rurales. </w:t>
      </w:r>
      <w:r w:rsidRPr="008A4FE9">
        <w:rPr>
          <w:rFonts w:cs="Arial"/>
        </w:rPr>
        <w:t>Bogotá: IGAC, 1990.</w:t>
      </w:r>
    </w:p>
    <w:p w14:paraId="1DBE48A6" w14:textId="77777777" w:rsidR="00D55F13" w:rsidRPr="008A4FE9" w:rsidRDefault="00D55F13" w:rsidP="006B4032">
      <w:pPr>
        <w:pStyle w:val="Textonotaalfinal"/>
        <w:rPr>
          <w:rFonts w:cs="Arial"/>
        </w:rPr>
      </w:pPr>
    </w:p>
    <w:p w14:paraId="5EFAF213" w14:textId="435C7031" w:rsidR="00D55F13" w:rsidRPr="00394D50" w:rsidRDefault="00D55F13" w:rsidP="006B4032">
      <w:pPr>
        <w:pStyle w:val="Textonotaalfinal"/>
        <w:numPr>
          <w:ilvl w:val="0"/>
          <w:numId w:val="20"/>
        </w:numPr>
        <w:ind w:left="567" w:hanging="283"/>
        <w:rPr>
          <w:rFonts w:cs="Arial"/>
        </w:rPr>
      </w:pPr>
      <w:r w:rsidRPr="00394D50">
        <w:rPr>
          <w:rFonts w:cs="Arial"/>
        </w:rPr>
        <w:t>MORLÁNS, M. C. Introducción a la Ecología del Paisaje. Catamarca: Editorial Científica Universitaria, Universidad Nacional de Catamarca, 2005.</w:t>
      </w:r>
    </w:p>
    <w:p w14:paraId="2E8D9AD0" w14:textId="77777777" w:rsidR="00D55F13" w:rsidRPr="00394D50" w:rsidRDefault="00D55F13">
      <w:pPr>
        <w:pStyle w:val="Textonotaalfinal"/>
      </w:pPr>
    </w:p>
  </w:endnote>
  <w:endnote w:id="36">
    <w:p w14:paraId="2C20C543" w14:textId="2F3AF672" w:rsidR="00D55F13" w:rsidRPr="008A4FE9" w:rsidRDefault="00D55F13" w:rsidP="00554813">
      <w:pPr>
        <w:pStyle w:val="Textonotaalfinal"/>
        <w:rPr>
          <w:rFonts w:cs="Arial"/>
        </w:rPr>
      </w:pPr>
      <w:r w:rsidRPr="00045B66">
        <w:rPr>
          <w:rFonts w:cs="Arial"/>
          <w:vertAlign w:val="superscript"/>
          <w:lang w:val="en-US"/>
        </w:rPr>
        <w:t>[</w:t>
      </w:r>
      <w:r w:rsidRPr="00394D50">
        <w:rPr>
          <w:rStyle w:val="Refdenotaalfinal"/>
          <w:rFonts w:cs="Arial"/>
        </w:rPr>
        <w:endnoteRef/>
      </w:r>
      <w:r w:rsidRPr="00045B66">
        <w:rPr>
          <w:rFonts w:cs="Arial"/>
          <w:vertAlign w:val="superscript"/>
          <w:lang w:val="en-US"/>
        </w:rPr>
        <w:t>]</w:t>
      </w:r>
      <w:r w:rsidRPr="00045B66">
        <w:rPr>
          <w:rFonts w:cs="Arial"/>
          <w:lang w:val="en-US" w:eastAsia="es-CO"/>
        </w:rPr>
        <w:t xml:space="preserve"> </w:t>
      </w:r>
      <w:r w:rsidR="004A617C" w:rsidRPr="008A4FE9">
        <w:rPr>
          <w:lang w:val="en-US"/>
        </w:rPr>
        <w:t>Adaptado de:</w:t>
      </w:r>
      <w:r w:rsidR="004A617C" w:rsidRPr="008A4FE9">
        <w:rPr>
          <w:rFonts w:cs="Arial"/>
          <w:lang w:val="en-US"/>
        </w:rPr>
        <w:t xml:space="preserve"> </w:t>
      </w:r>
      <w:r w:rsidRPr="00045B66">
        <w:rPr>
          <w:rFonts w:cs="Arial"/>
          <w:lang w:val="en-US" w:eastAsia="es-CO"/>
        </w:rPr>
        <w:t xml:space="preserve">POSUDIN, Y. Methods of measuring environmental parameters. </w:t>
      </w:r>
      <w:r w:rsidRPr="008A4FE9">
        <w:rPr>
          <w:rFonts w:cs="Arial"/>
          <w:lang w:eastAsia="es-CO"/>
        </w:rPr>
        <w:t>New Jersey: John Wiley &amp; Sons, Inc., 2014.</w:t>
      </w:r>
    </w:p>
    <w:p w14:paraId="003C6AD8" w14:textId="77777777" w:rsidR="00D55F13" w:rsidRPr="008A4FE9" w:rsidRDefault="00D55F13" w:rsidP="00554813">
      <w:pPr>
        <w:pStyle w:val="Textonotaalfinal"/>
        <w:rPr>
          <w:rFonts w:cs="Arial"/>
        </w:rPr>
      </w:pPr>
    </w:p>
  </w:endnote>
  <w:endnote w:id="37">
    <w:p w14:paraId="35A56343" w14:textId="485A156A" w:rsidR="00FC1EF0" w:rsidRDefault="00FC1EF0" w:rsidP="00FC1EF0">
      <w:pPr>
        <w:pStyle w:val="Textonotaalfinal"/>
      </w:pPr>
      <w:r w:rsidRPr="000D6E21">
        <w:rPr>
          <w:color w:val="2B579A"/>
          <w:shd w:val="clear" w:color="auto" w:fill="E6E6E6"/>
          <w:vertAlign w:val="superscript"/>
        </w:rPr>
        <w:t>[</w:t>
      </w:r>
      <w:r w:rsidRPr="000D6E21">
        <w:rPr>
          <w:rStyle w:val="Refdenotaalfinal"/>
        </w:rPr>
        <w:endnoteRef/>
      </w:r>
      <w:r w:rsidRPr="000D6E21">
        <w:rPr>
          <w:vertAlign w:val="superscript"/>
        </w:rPr>
        <w:t>]</w:t>
      </w:r>
      <w:r w:rsidRPr="000D6E21">
        <w:t xml:space="preserve"> REBOLLO REVESADO, S. Provención, prevención y solución del conflicto humano desde las prácticas restaurativas. En: Revista de Ciencias y Orientación Familiar. Salamanca: 2022, nro. 60, p. 89 - 103. ISSN: 1130-8893 95.</w:t>
      </w:r>
    </w:p>
    <w:p w14:paraId="24DDDB08" w14:textId="77777777" w:rsidR="00FC1EF0" w:rsidRPr="00C07DB1" w:rsidRDefault="00FC1EF0" w:rsidP="00FC1EF0">
      <w:pPr>
        <w:pStyle w:val="Textonotaalfinal"/>
      </w:pPr>
    </w:p>
  </w:endnote>
  <w:endnote w:id="38">
    <w:p w14:paraId="428EB8C3" w14:textId="616DCCB8" w:rsidR="00D55F13" w:rsidRPr="00394D50" w:rsidRDefault="00D55F13" w:rsidP="0000007B">
      <w:pPr>
        <w:pStyle w:val="Textonotaalfinal"/>
      </w:pPr>
      <w:r w:rsidRPr="00394D50">
        <w:rPr>
          <w:vertAlign w:val="superscript"/>
        </w:rPr>
        <w:t>[</w:t>
      </w:r>
      <w:r w:rsidRPr="00394D50">
        <w:rPr>
          <w:rStyle w:val="Refdenotaalfinal"/>
        </w:rPr>
        <w:endnoteRef/>
      </w:r>
      <w:r w:rsidRPr="00394D50">
        <w:rPr>
          <w:vertAlign w:val="superscript"/>
        </w:rPr>
        <w:t xml:space="preserve">] </w:t>
      </w:r>
      <w:r w:rsidRPr="00394D50">
        <w:t>Adaptado de:</w:t>
      </w:r>
      <w:r w:rsidRPr="00394D50">
        <w:rPr>
          <w:rFonts w:cs="Arial"/>
        </w:rPr>
        <w:t xml:space="preserve"> UNIDAD NACIONAL PARA LA GESTIÓN DEL RIESGO DE DESASTRES COLOMBIA –UNGRD. Marco de política de reasentamiento. P</w:t>
      </w:r>
      <w:r w:rsidRPr="00394D50">
        <w:t xml:space="preserve">lan todos somos Pazcifico, Tumaco y Guapi. UNGRD, </w:t>
      </w:r>
      <w:r w:rsidRPr="00394D50">
        <w:rPr>
          <w:rFonts w:cs="Arial"/>
        </w:rPr>
        <w:t>2015</w:t>
      </w:r>
      <w:r w:rsidRPr="00394D50">
        <w:t>.</w:t>
      </w:r>
    </w:p>
    <w:p w14:paraId="5B647C0A" w14:textId="77777777" w:rsidR="00D55F13" w:rsidRPr="00394D50" w:rsidRDefault="00D55F13" w:rsidP="0000007B">
      <w:pPr>
        <w:pStyle w:val="Textonotaalfinal"/>
      </w:pPr>
    </w:p>
  </w:endnote>
  <w:endnote w:id="39">
    <w:p w14:paraId="7A2D8F7B" w14:textId="118958AA" w:rsidR="00D55F13" w:rsidRPr="00394D50" w:rsidRDefault="00D55F13">
      <w:pPr>
        <w:pStyle w:val="Textonotaalfinal"/>
      </w:pPr>
      <w:r w:rsidRPr="00394D50">
        <w:rPr>
          <w:vertAlign w:val="superscript"/>
        </w:rPr>
        <w:t>[</w:t>
      </w:r>
      <w:r w:rsidRPr="00394D50">
        <w:rPr>
          <w:rStyle w:val="Refdenotaalfinal"/>
        </w:rPr>
        <w:endnoteRef/>
      </w:r>
      <w:r w:rsidRPr="00394D50">
        <w:rPr>
          <w:vertAlign w:val="superscript"/>
        </w:rPr>
        <w:t>]</w:t>
      </w:r>
      <w:r w:rsidRPr="00394D50">
        <w:t xml:space="preserve"> COLOMBIA. CONGRESO DE LA REPÚBLICA. Ley 13 “Por la cual se dicta el estatuto general de pesca”. Bogotá: Congreso de la República, 1990.</w:t>
      </w:r>
    </w:p>
    <w:p w14:paraId="40E64C88" w14:textId="77777777" w:rsidR="00D55F13" w:rsidRPr="00394D50" w:rsidRDefault="00D55F13">
      <w:pPr>
        <w:pStyle w:val="Textonotaalfinal"/>
      </w:pPr>
    </w:p>
  </w:endnote>
  <w:endnote w:id="40">
    <w:p w14:paraId="53EA28E0" w14:textId="3922AB19" w:rsidR="00D55F13" w:rsidRPr="00394D50" w:rsidRDefault="00D55F13" w:rsidP="00535659">
      <w:pPr>
        <w:pStyle w:val="Textonotaalfinal"/>
      </w:pPr>
      <w:r w:rsidRPr="00394D50">
        <w:rPr>
          <w:vertAlign w:val="superscript"/>
        </w:rPr>
        <w:t>[</w:t>
      </w:r>
      <w:r w:rsidRPr="00394D50">
        <w:rPr>
          <w:rStyle w:val="Refdenotaalfinal"/>
        </w:rPr>
        <w:endnoteRef/>
      </w:r>
      <w:r w:rsidRPr="00394D50">
        <w:rPr>
          <w:vertAlign w:val="superscript"/>
        </w:rPr>
        <w:t>]</w:t>
      </w:r>
      <w:r w:rsidRPr="00394D50">
        <w:t xml:space="preserve"> </w:t>
      </w:r>
      <w:r w:rsidRPr="00394D50">
        <w:rPr>
          <w:rFonts w:cs="Arial"/>
        </w:rPr>
        <w:t>COLOMBIA. MINISTERIO DE AGRICULTURA Y DESARROLLO RURAL –Minagricultura. Decreto 1071 “Por medio del cual se expide el Decreto Único Reglamentario del Sector Administrativo Agropecuario, Pesquero y de Desarrollo Rural". Bogotá: Ministerio de Agricultura y Desarrollo Rural, 2015.</w:t>
      </w:r>
    </w:p>
    <w:p w14:paraId="592EEDAB" w14:textId="77777777" w:rsidR="00D55F13" w:rsidRPr="00394D50" w:rsidRDefault="00D55F13" w:rsidP="00535659">
      <w:pPr>
        <w:pStyle w:val="Textonotaalfinal"/>
      </w:pPr>
    </w:p>
  </w:endnote>
  <w:endnote w:id="41">
    <w:p w14:paraId="288E9E2B" w14:textId="19194A6E" w:rsidR="00D55F13" w:rsidRPr="00394D50" w:rsidRDefault="00D55F13" w:rsidP="0036726A">
      <w:pPr>
        <w:pStyle w:val="Textonotaalfinal"/>
        <w:rPr>
          <w:rFonts w:cs="Arial"/>
        </w:rPr>
      </w:pPr>
      <w:r w:rsidRPr="00394D50">
        <w:rPr>
          <w:rFonts w:cs="Arial"/>
          <w:vertAlign w:val="superscript"/>
        </w:rPr>
        <w:t>[</w:t>
      </w:r>
      <w:r w:rsidRPr="00394D50">
        <w:rPr>
          <w:rStyle w:val="Refdenotaalfinal"/>
        </w:rPr>
        <w:endnoteRef/>
      </w:r>
      <w:r w:rsidRPr="00394D50">
        <w:rPr>
          <w:rFonts w:cs="Arial"/>
          <w:vertAlign w:val="superscript"/>
        </w:rPr>
        <w:t>]</w:t>
      </w:r>
      <w:r w:rsidRPr="00394D50">
        <w:t xml:space="preserve"> </w:t>
      </w:r>
      <w:r w:rsidRPr="00394D50">
        <w:rPr>
          <w:rFonts w:cs="Arial"/>
        </w:rPr>
        <w:t>COLOMBIA. MINISTERIO DE AMBIENTE Y DESARROLLO SOSTENIBLE –Minambiente. Resolución 472 “Por la cual se reglamenta la gestión integral de los residuos generados en las actividades de Construcción y Demolición (RCD) y se dictan otras disposiciones". Bogotá: Ministerio de Ambiente y Desarrollo Sostenible, 2017.</w:t>
      </w:r>
    </w:p>
    <w:p w14:paraId="7A4920D5" w14:textId="77777777" w:rsidR="00D55F13" w:rsidRPr="00394D50" w:rsidRDefault="00D55F13" w:rsidP="0036726A">
      <w:pPr>
        <w:pStyle w:val="Textonotaalfinal"/>
        <w:rPr>
          <w:rFonts w:cs="Arial"/>
        </w:rPr>
      </w:pPr>
    </w:p>
  </w:endnote>
  <w:endnote w:id="42">
    <w:p w14:paraId="29AE6838" w14:textId="77777777" w:rsidR="00D55F13" w:rsidRPr="00394D50" w:rsidRDefault="00D55F13">
      <w:pPr>
        <w:pStyle w:val="Textonotaalfinal"/>
      </w:pPr>
      <w:r w:rsidRPr="00394D50">
        <w:rPr>
          <w:vertAlign w:val="superscript"/>
        </w:rPr>
        <w:t>[</w:t>
      </w:r>
      <w:r w:rsidRPr="00394D50">
        <w:rPr>
          <w:rStyle w:val="Refdenotaalfinal"/>
          <w:rFonts w:eastAsiaTheme="majorEastAsia"/>
        </w:rPr>
        <w:endnoteRef/>
      </w:r>
      <w:r w:rsidRPr="00394D50">
        <w:rPr>
          <w:vertAlign w:val="superscript"/>
        </w:rPr>
        <w:t xml:space="preserve">] </w:t>
      </w:r>
      <w:r w:rsidRPr="00394D50">
        <w:t>Adaptado de SANDIA, L. &amp; HENAO, A. Sensibilidad Ambiental y Sistemas de Información Geográfica. Proyecto Sistemas Ambientales Venezolanos: VEN/79/001. Metodologías para la elaboración de los mapas de vegetación, uso potencial, agrícola. Caracas: MARNR. Dirección general sectorial de planificación y ordenamiento del ambiente, 1983.</w:t>
      </w:r>
    </w:p>
    <w:p w14:paraId="22E101D7" w14:textId="77777777" w:rsidR="00D55F13" w:rsidRPr="00394D50" w:rsidRDefault="00D55F13">
      <w:pPr>
        <w:pStyle w:val="Textonotaalfinal"/>
      </w:pPr>
    </w:p>
  </w:endnote>
  <w:endnote w:id="43">
    <w:p w14:paraId="5BBECD11" w14:textId="77777777" w:rsidR="00D55F13" w:rsidRPr="00394D50" w:rsidRDefault="00D55F13" w:rsidP="008F3CBD">
      <w:pPr>
        <w:pStyle w:val="Textonotaalfinal"/>
        <w:rPr>
          <w:i/>
        </w:rPr>
      </w:pPr>
      <w:r w:rsidRPr="00394D50">
        <w:rPr>
          <w:vertAlign w:val="superscript"/>
        </w:rPr>
        <w:t>[</w:t>
      </w:r>
      <w:r w:rsidRPr="00394D50">
        <w:rPr>
          <w:rStyle w:val="Refdenotaalfinal"/>
        </w:rPr>
        <w:endnoteRef/>
      </w:r>
      <w:r w:rsidRPr="00394D50">
        <w:rPr>
          <w:vertAlign w:val="superscript"/>
        </w:rPr>
        <w:t xml:space="preserve">] </w:t>
      </w:r>
      <w:r w:rsidRPr="00394D50">
        <w:t xml:space="preserve">COLOMBIA. MINISTERIO DE AMBIENTE Y DESARROLLO SOSTENIBLE –Minambiente. </w:t>
      </w:r>
      <w:r w:rsidRPr="00394D50">
        <w:rPr>
          <w:spacing w:val="-2"/>
        </w:rPr>
        <w:t>Política nacional para la gestión integral de la biodiversidad y sus servicios ecosistémicos (PNGIBSE). Bogotá:</w:t>
      </w:r>
      <w:r w:rsidRPr="00394D50">
        <w:t xml:space="preserve"> Ministerio de Ambiente y Desarrollo Sostenible, s. f.</w:t>
      </w:r>
    </w:p>
    <w:p w14:paraId="38468EC4" w14:textId="532FAC80" w:rsidR="00D55F13" w:rsidRPr="00394D50" w:rsidRDefault="00D55F13" w:rsidP="008F3CBD">
      <w:pPr>
        <w:pStyle w:val="Textonotaalfinal"/>
      </w:pPr>
    </w:p>
  </w:endnote>
  <w:endnote w:id="44">
    <w:p w14:paraId="15A6BB3B" w14:textId="32A3560C" w:rsidR="00D55F13" w:rsidRPr="00394D50" w:rsidRDefault="00D55F13" w:rsidP="00AA4F93">
      <w:pPr>
        <w:pStyle w:val="Textonotaalfinal"/>
        <w:rPr>
          <w:rFonts w:cs="Arial"/>
        </w:rPr>
      </w:pPr>
      <w:r w:rsidRPr="00394D50">
        <w:rPr>
          <w:vertAlign w:val="superscript"/>
        </w:rPr>
        <w:t>[</w:t>
      </w:r>
      <w:r w:rsidRPr="00394D50">
        <w:rPr>
          <w:rStyle w:val="Refdenotaalfinal"/>
          <w:rFonts w:cs="Arial"/>
        </w:rPr>
        <w:endnoteRef/>
      </w:r>
      <w:r w:rsidRPr="00394D50">
        <w:rPr>
          <w:vertAlign w:val="superscript"/>
        </w:rPr>
        <w:t>]</w:t>
      </w:r>
      <w:r w:rsidRPr="00394D50">
        <w:rPr>
          <w:rFonts w:cs="Arial"/>
        </w:rPr>
        <w:t xml:space="preserve"> Adaptado de:</w:t>
      </w:r>
    </w:p>
    <w:p w14:paraId="386971BE" w14:textId="77777777" w:rsidR="00D55F13" w:rsidRPr="00394D50" w:rsidRDefault="00D55F13" w:rsidP="00AA4F93">
      <w:pPr>
        <w:pStyle w:val="Textonotaalfinal"/>
        <w:rPr>
          <w:rFonts w:cs="Arial"/>
        </w:rPr>
      </w:pPr>
    </w:p>
    <w:p w14:paraId="403D5F6A" w14:textId="4E61C89B" w:rsidR="00D55F13" w:rsidRPr="008A4FE9" w:rsidRDefault="00D55F13" w:rsidP="006B4032">
      <w:pPr>
        <w:pStyle w:val="Textonotaalfinal"/>
        <w:numPr>
          <w:ilvl w:val="0"/>
          <w:numId w:val="20"/>
        </w:numPr>
        <w:ind w:left="567" w:hanging="283"/>
        <w:rPr>
          <w:rFonts w:cs="Arial"/>
        </w:rPr>
      </w:pPr>
      <w:r w:rsidRPr="00394D50">
        <w:rPr>
          <w:rFonts w:cs="Arial"/>
        </w:rPr>
        <w:t xml:space="preserve">CORTÉS-DUQUE, J. Y SARMIENTO, C. (Eds.). Visión socioecosistémica de los páramos y alta montaña colombiana: Memorias del proceso de definición de criterios para la delimitación de páramos. </w:t>
      </w:r>
      <w:r w:rsidRPr="008A4FE9">
        <w:rPr>
          <w:rFonts w:cs="Arial"/>
        </w:rPr>
        <w:t>Bogotá D.C., Colombia: Instituto Alexander Von Humboldt, 2013.</w:t>
      </w:r>
    </w:p>
    <w:p w14:paraId="0D8233BD" w14:textId="77777777" w:rsidR="00D55F13" w:rsidRPr="00394D50" w:rsidRDefault="00D55F13" w:rsidP="00AA4F93">
      <w:pPr>
        <w:pStyle w:val="Textonotaalfinal"/>
        <w:rPr>
          <w:rFonts w:cs="Arial"/>
        </w:rPr>
      </w:pPr>
    </w:p>
    <w:p w14:paraId="57077F0C" w14:textId="1859C3A5" w:rsidR="00D55F13" w:rsidRPr="008A4FE9" w:rsidRDefault="00D55F13" w:rsidP="006B4032">
      <w:pPr>
        <w:pStyle w:val="Textonotaalfinal"/>
        <w:numPr>
          <w:ilvl w:val="0"/>
          <w:numId w:val="20"/>
        </w:numPr>
        <w:ind w:left="567" w:hanging="283"/>
        <w:rPr>
          <w:rFonts w:cs="Arial"/>
        </w:rPr>
      </w:pPr>
      <w:r w:rsidRPr="00394D50">
        <w:rPr>
          <w:rFonts w:cs="Arial"/>
        </w:rPr>
        <w:t xml:space="preserve">MINISTERIO DE AMBIENTE Y DESARROLLO SOSTENIBLE –Minambiente. Política nacional para la gestión integral de la biodiversidad y sus servicios ecosistémicos (PNGIBSE). </w:t>
      </w:r>
      <w:r w:rsidRPr="008A4FE9">
        <w:rPr>
          <w:rFonts w:cs="Arial"/>
        </w:rPr>
        <w:t>Bogotá: Ministerio de Ambiente y Desarrollo Sostenible, s. f.</w:t>
      </w:r>
    </w:p>
    <w:p w14:paraId="55A1E1B3" w14:textId="77777777" w:rsidR="00D55F13" w:rsidRPr="00394D50" w:rsidRDefault="00D55F13" w:rsidP="00AA4F93">
      <w:pPr>
        <w:pStyle w:val="Textonotaalfinal"/>
        <w:ind w:left="343"/>
        <w:rPr>
          <w:rFonts w:cs="Arial"/>
        </w:rPr>
      </w:pPr>
    </w:p>
  </w:endnote>
  <w:endnote w:id="45">
    <w:p w14:paraId="3E5C70E9" w14:textId="100CEC9F" w:rsidR="00D55F13" w:rsidRPr="00394D50" w:rsidRDefault="00D55F13">
      <w:pPr>
        <w:pStyle w:val="Textonotaalfinal"/>
        <w:rPr>
          <w:i/>
        </w:rPr>
      </w:pPr>
      <w:r w:rsidRPr="00394D50">
        <w:rPr>
          <w:vertAlign w:val="superscript"/>
        </w:rPr>
        <w:t>[</w:t>
      </w:r>
      <w:r w:rsidRPr="00394D50">
        <w:rPr>
          <w:rStyle w:val="Refdenotaalfinal"/>
        </w:rPr>
        <w:endnoteRef/>
      </w:r>
      <w:r w:rsidRPr="00394D50">
        <w:rPr>
          <w:vertAlign w:val="superscript"/>
        </w:rPr>
        <w:t>]</w:t>
      </w:r>
      <w:r w:rsidRPr="00394D50">
        <w:t xml:space="preserve"> MINISTERIO DE AMBIENTE Y DESARROLLO SOSTENIBLE –Minambiente. </w:t>
      </w:r>
      <w:r w:rsidRPr="00394D50">
        <w:rPr>
          <w:spacing w:val="-2"/>
        </w:rPr>
        <w:t>Política para la Gestión Sostenible del Suelo. Bogotá:</w:t>
      </w:r>
      <w:r w:rsidRPr="00394D50">
        <w:rPr>
          <w:i/>
        </w:rPr>
        <w:t xml:space="preserve"> </w:t>
      </w:r>
      <w:r w:rsidRPr="00394D50">
        <w:t>Minambiente, 2016</w:t>
      </w:r>
      <w:r w:rsidRPr="00394D50">
        <w:rPr>
          <w:i/>
        </w:rPr>
        <w:t>.</w:t>
      </w:r>
    </w:p>
    <w:p w14:paraId="7B646F29" w14:textId="77777777" w:rsidR="00D55F13" w:rsidRPr="00394D50" w:rsidRDefault="00D55F13">
      <w:pPr>
        <w:pStyle w:val="Textonotaalfinal"/>
      </w:pPr>
    </w:p>
  </w:endnote>
  <w:endnote w:id="46">
    <w:p w14:paraId="335B1A27" w14:textId="2220ED56" w:rsidR="00281355" w:rsidRDefault="004816BC" w:rsidP="004816BC">
      <w:r w:rsidRPr="00394D50">
        <w:t>[</w:t>
      </w:r>
      <w:r w:rsidRPr="008A4FE9">
        <w:rPr>
          <w:vertAlign w:val="superscript"/>
        </w:rPr>
        <w:endnoteRef/>
      </w:r>
      <w:r w:rsidRPr="00394D50">
        <w:t xml:space="preserve">] </w:t>
      </w:r>
      <w:r w:rsidRPr="004816BC">
        <w:t>MARTINEZ, D., SÁNCHEZ, J., ZURC, D., SÁNCHEZ, F., OTÁLORA-ARDILA, A., RESTREPO-GIRALDO, C., ACEVEDO-CHARRY, O., HERNÁNDEZ, F., &amp; LIZCANO, D. J. Estándares para registrar señales de ecolocalización y construir bibliotecas de referencia de murciélagos en Colombia. Biota colombiana, 22</w:t>
      </w:r>
      <w:r w:rsidR="00281355">
        <w:t xml:space="preserve">; </w:t>
      </w:r>
      <w:r w:rsidRPr="004816BC">
        <w:t>1</w:t>
      </w:r>
      <w:r w:rsidR="00281355">
        <w:t xml:space="preserve"> (2021</w:t>
      </w:r>
      <w:r w:rsidRPr="004816BC">
        <w:t xml:space="preserve">). </w:t>
      </w:r>
      <w:hyperlink r:id="rId2" w:history="1">
        <w:r w:rsidR="00281355" w:rsidRPr="000D6E21">
          <w:t>https://doi.org/10.21068/c2021.v22n01a03</w:t>
        </w:r>
      </w:hyperlink>
    </w:p>
    <w:p w14:paraId="4C5FA8C9" w14:textId="77777777" w:rsidR="005051F4" w:rsidRPr="00394D50" w:rsidRDefault="005051F4" w:rsidP="004816BC"/>
  </w:endnote>
  <w:endnote w:id="47">
    <w:p w14:paraId="0D8E4F03" w14:textId="298F831D" w:rsidR="00D55F13" w:rsidRPr="00394D50" w:rsidRDefault="00D55F13">
      <w:r w:rsidRPr="00394D50">
        <w:t>[</w:t>
      </w:r>
      <w:r w:rsidRPr="008A4FE9">
        <w:rPr>
          <w:vertAlign w:val="superscript"/>
        </w:rPr>
        <w:endnoteRef/>
      </w:r>
      <w:r w:rsidRPr="00394D50">
        <w:t xml:space="preserve">] Adaptado de: CONFERENCIA DE LAS NACIONES UNIDAS SOBRE EL MEDIO AMBIENTE Y EL DESARROLLO. Agenda 21, 1992. Disponible en </w:t>
      </w:r>
      <w:hyperlink r:id="rId3" w:history="1">
        <w:r w:rsidRPr="00394D50">
          <w:t>http://www.un.org/spanish/esa/sustdev/agenda21/agenda21spchapter34.htm</w:t>
        </w:r>
      </w:hyperlink>
    </w:p>
    <w:p w14:paraId="2779DA2B" w14:textId="77777777" w:rsidR="00D55F13" w:rsidRPr="00394D50" w:rsidRDefault="00D55F13"/>
  </w:endnote>
  <w:endnote w:id="48">
    <w:p w14:paraId="332163B6" w14:textId="6B149DD6" w:rsidR="00D55F13" w:rsidRPr="00394D50" w:rsidRDefault="00D55F13" w:rsidP="00A27AE3">
      <w:pPr>
        <w:pStyle w:val="Textonotaalfinal"/>
        <w:rPr>
          <w:rFonts w:cs="Arial"/>
        </w:rPr>
      </w:pPr>
      <w:r w:rsidRPr="00394D50">
        <w:rPr>
          <w:vertAlign w:val="superscript"/>
        </w:rPr>
        <w:t>[</w:t>
      </w:r>
      <w:r w:rsidRPr="00394D50">
        <w:rPr>
          <w:rStyle w:val="Refdenotaalfinal"/>
          <w:rFonts w:cs="Arial"/>
        </w:rPr>
        <w:endnoteRef/>
      </w:r>
      <w:r w:rsidRPr="00394D50">
        <w:rPr>
          <w:vertAlign w:val="superscript"/>
        </w:rPr>
        <w:t>]</w:t>
      </w:r>
      <w:r w:rsidRPr="00394D50">
        <w:rPr>
          <w:rFonts w:cs="Arial"/>
        </w:rPr>
        <w:t xml:space="preserve"> </w:t>
      </w:r>
      <w:r w:rsidRPr="008A4FE9">
        <w:rPr>
          <w:rFonts w:cs="Arial"/>
        </w:rPr>
        <w:t>Adaptado de: MINISTERIO DE AMBIENTE Y DESARROLLO SOSTENIBLE –Minambiente. Guía técnica para la formulación de planes de ordenamiento del recurso hídrico. Bogotá: Minambiente, 2014.</w:t>
      </w:r>
    </w:p>
    <w:p w14:paraId="22FB02E1" w14:textId="77777777" w:rsidR="00D55F13" w:rsidRPr="00394D50" w:rsidRDefault="00D55F13" w:rsidP="00A27AE3">
      <w:pPr>
        <w:pStyle w:val="Textonotaalfinal"/>
      </w:pPr>
    </w:p>
  </w:endnote>
  <w:endnote w:id="49">
    <w:p w14:paraId="6362D19C" w14:textId="5EC2DEE5" w:rsidR="00D55F13" w:rsidRPr="00394D50" w:rsidRDefault="00D55F13" w:rsidP="00AA4F93">
      <w:pPr>
        <w:pStyle w:val="Textonotaalfinal"/>
        <w:rPr>
          <w:rFonts w:cs="Arial"/>
        </w:rPr>
      </w:pPr>
      <w:r w:rsidRPr="00394D50">
        <w:rPr>
          <w:vertAlign w:val="superscript"/>
        </w:rPr>
        <w:t>[</w:t>
      </w:r>
      <w:r w:rsidRPr="00394D50">
        <w:rPr>
          <w:rStyle w:val="Refdenotaalfinal"/>
          <w:rFonts w:cs="Arial"/>
        </w:rPr>
        <w:endnoteRef/>
      </w:r>
      <w:r w:rsidRPr="00394D50">
        <w:rPr>
          <w:vertAlign w:val="superscript"/>
        </w:rPr>
        <w:t>]</w:t>
      </w:r>
      <w:r w:rsidRPr="00394D50">
        <w:rPr>
          <w:rFonts w:cs="Arial"/>
        </w:rPr>
        <w:t xml:space="preserve"> COLOMBIA. MINISTERIO DE AMBIENTE Y DESARROLLO SOSTENIBLE. Decreto 1120 “Por el cual se reglamentan las Unidades Ambiental Costeras (UAC) y las comisiones conjuntas, se establecen las reglas de procedimiento y criterios para reglamentar la restricción de ciertas actividades en pastos marinos, y se dictan otras disposiciones”. Bogotá: Minambiente, 2013.</w:t>
      </w:r>
    </w:p>
    <w:p w14:paraId="61103AB1" w14:textId="77777777" w:rsidR="00D55F13" w:rsidRPr="00394D50" w:rsidRDefault="00D55F13" w:rsidP="00AA4F93">
      <w:pPr>
        <w:pStyle w:val="Textonotaalfinal"/>
      </w:pPr>
    </w:p>
  </w:endnote>
  <w:endnote w:id="50">
    <w:p w14:paraId="41936CE5" w14:textId="77777777" w:rsidR="00D55F13" w:rsidRPr="00394D50" w:rsidRDefault="00D55F13">
      <w:r w:rsidRPr="00394D50">
        <w:rPr>
          <w:vertAlign w:val="superscript"/>
        </w:rPr>
        <w:t>[</w:t>
      </w:r>
      <w:r w:rsidRPr="00394D50">
        <w:rPr>
          <w:rStyle w:val="Refdenotaalfinal"/>
        </w:rPr>
        <w:endnoteRef/>
      </w:r>
      <w:r w:rsidRPr="00394D50">
        <w:rPr>
          <w:vertAlign w:val="superscript"/>
        </w:rPr>
        <w:t xml:space="preserve">] </w:t>
      </w:r>
      <w:r w:rsidRPr="00394D50">
        <w:t>COLOMBIA. INSTITUTO NACIONAL DE CONCESIONES. Resolución 545 “Por la cual se definen los instrumentos de gestión social aplicables a proyectos de infraestructura desarrollados por el Instituto Nacional de Concesiones y se establecen criterios”. Bogotá: Instituto Nacional de Concesiones, 2008.</w:t>
      </w:r>
    </w:p>
    <w:p w14:paraId="4FC56B4D" w14:textId="19384549" w:rsidR="00D55F13" w:rsidRPr="00394D50" w:rsidRDefault="00D55F13" w:rsidP="009420F5">
      <w:pPr>
        <w:tabs>
          <w:tab w:val="left" w:pos="6061"/>
        </w:tabs>
      </w:pPr>
    </w:p>
  </w:endnote>
  <w:endnote w:id="51">
    <w:p w14:paraId="6B12B575" w14:textId="3E63845F" w:rsidR="00074278" w:rsidRDefault="00074278" w:rsidP="00074278">
      <w:r w:rsidRPr="00394D50">
        <w:rPr>
          <w:vertAlign w:val="superscript"/>
        </w:rPr>
        <w:t>[</w:t>
      </w:r>
      <w:r w:rsidRPr="00394D50">
        <w:rPr>
          <w:rStyle w:val="Refdenotaalfinal"/>
        </w:rPr>
        <w:endnoteRef/>
      </w:r>
      <w:r w:rsidRPr="00394D50">
        <w:rPr>
          <w:vertAlign w:val="superscript"/>
        </w:rPr>
        <w:t xml:space="preserve">] </w:t>
      </w:r>
      <w:r w:rsidRPr="00394D50">
        <w:rPr>
          <w:rFonts w:cs="Arial"/>
          <w:color w:val="222222"/>
          <w:lang w:eastAsia="es-CO"/>
        </w:rPr>
        <w:t>UNIDAD NACIONAL PARA LA GESTIÓN DEL RIESGO DE DESASTRES -UNGRD. Terminología sobre Gestión del Riesgo de Desastres y Fenómenos Amenazantes. Bogotá D. C.: UNGRD y Presidencia de la República, 2017. 45 p.</w:t>
      </w:r>
    </w:p>
    <w:p w14:paraId="65DDE33F" w14:textId="77777777" w:rsidR="00074278" w:rsidRPr="001831AE" w:rsidRDefault="00074278" w:rsidP="00074278"/>
  </w:endnote>
  <w:endnote w:id="52">
    <w:p w14:paraId="79F74186" w14:textId="65F17009" w:rsidR="00D55F13" w:rsidRPr="001831AE" w:rsidRDefault="00D55F13" w:rsidP="008B2CB6">
      <w:r w:rsidRPr="00394D50">
        <w:rPr>
          <w:vertAlign w:val="superscript"/>
        </w:rPr>
        <w:t>[</w:t>
      </w:r>
      <w:r w:rsidRPr="00394D50">
        <w:rPr>
          <w:rStyle w:val="Refdenotaalfinal"/>
        </w:rPr>
        <w:endnoteRef/>
      </w:r>
      <w:r w:rsidRPr="00394D50">
        <w:rPr>
          <w:vertAlign w:val="superscript"/>
        </w:rPr>
        <w:t xml:space="preserve">] </w:t>
      </w:r>
      <w:r w:rsidRPr="00394D50">
        <w:t>COLOMBIA. CONGRESO DE LA REPÚBLICA. Ley 160 “Por la cual se crea el Sistema Nacional de Reforma Agraria y Desarrollo Rural Campesino, se establece un subsidio para la adquisición de tierras, se reforma el Instituto Colombiano de la Reforma Agraria y se dictan otras disposiciones”. Bogotá: Congreso de la República, 1994.</w:t>
      </w:r>
      <w:r w:rsidR="00907988">
        <w:t xml:space="preserve"> Modificada por el</w:t>
      </w:r>
      <w:r w:rsidR="00907988" w:rsidRPr="00907988">
        <w:t xml:space="preserve"> Decreto Ley 236</w:t>
      </w:r>
      <w:r w:rsidR="00691C87">
        <w:t>3</w:t>
      </w:r>
      <w:r w:rsidR="00907988" w:rsidRPr="00907988">
        <w:t xml:space="preserve"> </w:t>
      </w:r>
      <w:r w:rsidR="008B2CB6">
        <w:t>“</w:t>
      </w:r>
      <w:r w:rsidR="008B2CB6" w:rsidRPr="008B2CB6">
        <w:t>Por el cual se crea la Agencia Nacional de Tierras, ANT, se fija su objeto y estructura</w:t>
      </w:r>
      <w:r w:rsidR="008B2CB6">
        <w:t xml:space="preserve">”. </w:t>
      </w:r>
      <w:r w:rsidR="008B2CB6" w:rsidRPr="00394D50">
        <w:t xml:space="preserve">Bogotá: </w:t>
      </w:r>
      <w:r w:rsidR="008B2CB6">
        <w:t>Ministerio de hacienda y crédito público, Ministerio de agricultura y desarrollo rural, Departamento administrativo de la función pública</w:t>
      </w:r>
      <w:r w:rsidR="008B2CB6" w:rsidRPr="00394D50">
        <w:t xml:space="preserve">, </w:t>
      </w:r>
      <w:r w:rsidR="008B2CB6" w:rsidRPr="00907988">
        <w:t>2015</w:t>
      </w:r>
      <w:r w:rsidR="008B2CB6">
        <w:t>.</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Geneva">
    <w:charset w:val="00"/>
    <w:family w:val="swiss"/>
    <w:pitch w:val="variable"/>
    <w:sig w:usb0="E00002FF" w:usb1="5200205F" w:usb2="00A0C000" w:usb3="00000000" w:csb0="0000019F" w:csb1="00000000"/>
  </w:font>
  <w:font w:name="Verdana">
    <w:panose1 w:val="020B0604030504040204"/>
    <w:charset w:val="00"/>
    <w:family w:val="swiss"/>
    <w:pitch w:val="variable"/>
    <w:sig w:usb0="A00006FF" w:usb1="4000205B" w:usb2="00000010" w:usb3="00000000" w:csb0="0000019F" w:csb1="00000000"/>
  </w:font>
  <w:font w:name="Arial,Bold">
    <w:altName w:val="Arial"/>
    <w:panose1 w:val="00000000000000000000"/>
    <w:charset w:val="00"/>
    <w:family w:val="swiss"/>
    <w:notTrueType/>
    <w:pitch w:val="default"/>
    <w:sig w:usb0="00000003" w:usb1="00000000" w:usb2="00000000" w:usb3="00000000" w:csb0="00000001" w:csb1="00000000"/>
  </w:font>
  <w:font w:name="PNDKN T+ Myriad Pro">
    <w:altName w:val="Calibri"/>
    <w:panose1 w:val="00000000000000000000"/>
    <w:charset w:val="00"/>
    <w:family w:val="swiss"/>
    <w:notTrueType/>
    <w:pitch w:val="default"/>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Work Sans">
    <w:charset w:val="00"/>
    <w:family w:val="auto"/>
    <w:pitch w:val="variable"/>
    <w:sig w:usb0="A00000FF" w:usb1="5000E07B" w:usb2="00000000" w:usb3="00000000" w:csb0="00000193" w:csb1="00000000"/>
  </w:font>
  <w:font w:name="Arial Unicode MS">
    <w:panose1 w:val="020B0604020202020204"/>
    <w:charset w:val="80"/>
    <w:family w:val="swiss"/>
    <w:pitch w:val="variable"/>
    <w:sig w:usb0="F7FFAEFF" w:usb1="F9DFFFFF" w:usb2="0000007F" w:usb3="00000000" w:csb0="003F01FF" w:csb1="00000000"/>
  </w:font>
  <w:font w:name="Century Gothic">
    <w:panose1 w:val="020B0502020202020204"/>
    <w:charset w:val="00"/>
    <w:family w:val="swiss"/>
    <w:pitch w:val="variable"/>
    <w:sig w:usb0="00000287" w:usb1="00000000" w:usb2="00000000" w:usb3="00000000" w:csb0="0000009F" w:csb1="00000000"/>
  </w:font>
  <w:font w:name="CIDFont+F3">
    <w:altName w:val="MS Gothic"/>
    <w:panose1 w:val="00000000000000000000"/>
    <w:charset w:val="80"/>
    <w:family w:val="auto"/>
    <w:notTrueType/>
    <w:pitch w:val="default"/>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3339B0A" w14:textId="77777777" w:rsidR="00D55F13" w:rsidRPr="00394D50" w:rsidRDefault="00D55F13" w:rsidP="00FD3351">
    <w:pPr>
      <w:pStyle w:val="Piedepgina"/>
      <w:framePr w:wrap="around" w:vAnchor="text" w:hAnchor="margin" w:xAlign="right" w:y="1"/>
      <w:rPr>
        <w:rStyle w:val="Nmerodepgina"/>
      </w:rPr>
    </w:pPr>
    <w:r w:rsidRPr="00394D50">
      <w:rPr>
        <w:rStyle w:val="Nmerodepgina"/>
      </w:rPr>
      <w:fldChar w:fldCharType="begin"/>
    </w:r>
    <w:r w:rsidRPr="00394D50">
      <w:rPr>
        <w:rStyle w:val="Nmerodepgina"/>
      </w:rPr>
      <w:instrText xml:space="preserve">PAGE  </w:instrText>
    </w:r>
    <w:r w:rsidRPr="00394D50">
      <w:rPr>
        <w:rStyle w:val="Nmerodepgina"/>
      </w:rPr>
      <w:fldChar w:fldCharType="end"/>
    </w:r>
  </w:p>
  <w:p w14:paraId="2DCFA27B" w14:textId="77777777" w:rsidR="00D55F13" w:rsidRPr="00394D50" w:rsidRDefault="00D55F13" w:rsidP="00AB3956">
    <w:pPr>
      <w:pStyle w:val="Piedepgin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8711A0" w14:textId="3515CECD" w:rsidR="00D55F13" w:rsidRPr="00394D50" w:rsidRDefault="00D55F13" w:rsidP="00691F59">
    <w:pPr>
      <w:pStyle w:val="Piedepgina"/>
      <w:pBdr>
        <w:top w:val="single" w:sz="4" w:space="1" w:color="auto"/>
      </w:pBdr>
      <w:tabs>
        <w:tab w:val="clear" w:pos="8838"/>
        <w:tab w:val="right" w:pos="9356"/>
      </w:tabs>
      <w:rPr>
        <w:rFonts w:cs="Arial"/>
        <w:sz w:val="20"/>
        <w:szCs w:val="20"/>
      </w:rPr>
    </w:pPr>
    <w:r w:rsidRPr="00394D50">
      <w:rPr>
        <w:rFonts w:cs="Arial"/>
        <w:spacing w:val="-3"/>
        <w:sz w:val="20"/>
        <w:szCs w:val="20"/>
      </w:rPr>
      <w:t>Metodología general para la elaboración y presentación de estudios ambientales</w:t>
    </w:r>
    <w:r w:rsidRPr="00394D50">
      <w:rPr>
        <w:rFonts w:cs="Arial"/>
        <w:sz w:val="20"/>
        <w:szCs w:val="20"/>
      </w:rPr>
      <w:tab/>
    </w:r>
    <w:r w:rsidRPr="00394D50">
      <w:rPr>
        <w:rFonts w:cs="Arial"/>
        <w:sz w:val="20"/>
        <w:szCs w:val="20"/>
      </w:rPr>
      <w:fldChar w:fldCharType="begin"/>
    </w:r>
    <w:r w:rsidRPr="00394D50">
      <w:rPr>
        <w:rFonts w:cs="Arial"/>
        <w:sz w:val="20"/>
        <w:szCs w:val="20"/>
      </w:rPr>
      <w:instrText>PAGE   \* MERGEFORMAT</w:instrText>
    </w:r>
    <w:r w:rsidRPr="00394D50">
      <w:rPr>
        <w:rFonts w:cs="Arial"/>
        <w:sz w:val="20"/>
        <w:szCs w:val="20"/>
      </w:rPr>
      <w:fldChar w:fldCharType="separate"/>
    </w:r>
    <w:r w:rsidRPr="008A4FE9">
      <w:rPr>
        <w:rFonts w:cs="Arial"/>
        <w:sz w:val="20"/>
        <w:szCs w:val="20"/>
      </w:rPr>
      <w:t>17</w:t>
    </w:r>
    <w:r w:rsidRPr="00394D50">
      <w:rPr>
        <w:rFonts w:cs="Arial"/>
        <w:sz w:val="20"/>
        <w:szCs w:val="20"/>
      </w:rPr>
      <w:fldChar w:fldCharType="end"/>
    </w:r>
  </w:p>
  <w:p w14:paraId="76BBFDBD" w14:textId="77777777" w:rsidR="00D55F13" w:rsidRPr="00394D50" w:rsidRDefault="00D55F13" w:rsidP="00691F59">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3E4B07B" w14:textId="1A2013DA" w:rsidR="009A3AAD" w:rsidRPr="00394D50" w:rsidRDefault="009A3AAD" w:rsidP="00691F59">
    <w:pPr>
      <w:pStyle w:val="Piedepgina"/>
      <w:pBdr>
        <w:top w:val="single" w:sz="4" w:space="1" w:color="auto"/>
      </w:pBdr>
      <w:tabs>
        <w:tab w:val="clear" w:pos="8838"/>
        <w:tab w:val="right" w:pos="9356"/>
      </w:tabs>
      <w:rPr>
        <w:rFonts w:cs="Arial"/>
        <w:sz w:val="20"/>
        <w:szCs w:val="20"/>
      </w:rPr>
    </w:pPr>
    <w:r w:rsidRPr="00394D50">
      <w:rPr>
        <w:rFonts w:cs="Arial"/>
        <w:spacing w:val="-3"/>
        <w:sz w:val="20"/>
        <w:szCs w:val="20"/>
      </w:rPr>
      <w:t>Metodología general para la elaboración y presentación de estudios ambientales</w:t>
    </w:r>
    <w:r w:rsidRPr="00394D50">
      <w:rPr>
        <w:rFonts w:cs="Arial"/>
        <w:sz w:val="20"/>
        <w:szCs w:val="20"/>
      </w:rPr>
      <w:tab/>
    </w:r>
    <w:r w:rsidRPr="00394D50">
      <w:rPr>
        <w:rFonts w:cs="Arial"/>
        <w:sz w:val="20"/>
        <w:szCs w:val="20"/>
      </w:rPr>
      <w:fldChar w:fldCharType="begin"/>
    </w:r>
    <w:r w:rsidRPr="00394D50">
      <w:rPr>
        <w:rFonts w:cs="Arial"/>
        <w:sz w:val="20"/>
        <w:szCs w:val="20"/>
      </w:rPr>
      <w:instrText>PAGE   \* MERGEFORMAT</w:instrText>
    </w:r>
    <w:r w:rsidRPr="00394D50">
      <w:rPr>
        <w:rFonts w:cs="Arial"/>
        <w:sz w:val="20"/>
        <w:szCs w:val="20"/>
      </w:rPr>
      <w:fldChar w:fldCharType="separate"/>
    </w:r>
    <w:r w:rsidR="002705E6">
      <w:rPr>
        <w:rFonts w:cs="Arial"/>
        <w:noProof/>
        <w:sz w:val="20"/>
        <w:szCs w:val="20"/>
      </w:rPr>
      <w:t>132</w:t>
    </w:r>
    <w:r w:rsidRPr="00394D50">
      <w:rPr>
        <w:rFonts w:cs="Arial"/>
        <w:sz w:val="20"/>
        <w:szCs w:val="20"/>
      </w:rPr>
      <w:fldChar w:fldCharType="end"/>
    </w:r>
  </w:p>
  <w:p w14:paraId="77532184" w14:textId="51209091" w:rsidR="009A3AAD" w:rsidRPr="00394D50" w:rsidRDefault="009A3AAD" w:rsidP="00691F59">
    <w:pPr>
      <w:pStyle w:val="Piedepgina"/>
    </w:pPr>
  </w:p>
  <w:p w14:paraId="558A983B" w14:textId="77777777" w:rsidR="00DF60B5" w:rsidRPr="00394D50" w:rsidRDefault="00DF60B5"/>
  <w:p w14:paraId="1AA660F5" w14:textId="77777777" w:rsidR="00DF60B5" w:rsidRPr="00394D50" w:rsidRDefault="00DF60B5"/>
  <w:p w14:paraId="24E63F13" w14:textId="77777777" w:rsidR="00DF60B5" w:rsidRPr="00394D50" w:rsidRDefault="00DF60B5"/>
  <w:p w14:paraId="7572FCBF" w14:textId="77777777" w:rsidR="00DF60B5" w:rsidRPr="00394D50" w:rsidRDefault="00DF60B5"/>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29C4015" w14:textId="1F297700" w:rsidR="00D55F13" w:rsidRPr="00394D50" w:rsidRDefault="00D55F13" w:rsidP="00743410">
    <w:pPr>
      <w:tabs>
        <w:tab w:val="right" w:pos="9356"/>
      </w:tabs>
      <w:rPr>
        <w:rFonts w:cs="Arial"/>
        <w:sz w:val="20"/>
        <w:szCs w:val="20"/>
      </w:rPr>
    </w:pPr>
    <w:r w:rsidRPr="00394D50">
      <w:rPr>
        <w:rFonts w:cs="Arial"/>
        <w:spacing w:val="-3"/>
        <w:sz w:val="20"/>
        <w:szCs w:val="20"/>
      </w:rPr>
      <w:t xml:space="preserve">Términos de referencia – EIA - Proyectos de </w:t>
    </w:r>
    <w:r w:rsidRPr="008A4FE9">
      <w:rPr>
        <w:rFonts w:cs="Arial"/>
        <w:spacing w:val="-3"/>
        <w:sz w:val="20"/>
        <w:szCs w:val="20"/>
      </w:rPr>
      <w:t>Construcción de obras marítimas duras de control y protección costera, y de regeneración de dunas y playas</w:t>
    </w:r>
    <w:r w:rsidRPr="008A4FE9">
      <w:rPr>
        <w:rFonts w:cs="Arial"/>
        <w:spacing w:val="-3"/>
        <w:sz w:val="20"/>
        <w:szCs w:val="20"/>
      </w:rPr>
      <w:tab/>
    </w:r>
    <w:r w:rsidRPr="008A4FE9">
      <w:rPr>
        <w:rFonts w:cs="Arial"/>
        <w:spacing w:val="-3"/>
        <w:sz w:val="20"/>
        <w:szCs w:val="20"/>
      </w:rPr>
      <w:fldChar w:fldCharType="begin"/>
    </w:r>
    <w:r w:rsidRPr="008A4FE9">
      <w:rPr>
        <w:rFonts w:cs="Arial"/>
        <w:spacing w:val="-3"/>
        <w:sz w:val="20"/>
        <w:szCs w:val="20"/>
      </w:rPr>
      <w:instrText xml:space="preserve"> PAGE   \* MERGEFORMAT </w:instrText>
    </w:r>
    <w:r w:rsidRPr="008A4FE9">
      <w:rPr>
        <w:rFonts w:cs="Arial"/>
        <w:spacing w:val="-3"/>
        <w:sz w:val="20"/>
        <w:szCs w:val="20"/>
      </w:rPr>
      <w:fldChar w:fldCharType="separate"/>
    </w:r>
    <w:r w:rsidRPr="008A4FE9">
      <w:rPr>
        <w:rFonts w:cs="Arial"/>
        <w:spacing w:val="-3"/>
        <w:sz w:val="20"/>
        <w:szCs w:val="20"/>
      </w:rPr>
      <w:t>2</w:t>
    </w:r>
    <w:r w:rsidRPr="008A4FE9">
      <w:rPr>
        <w:rFonts w:cs="Arial"/>
        <w:spacing w:val="-3"/>
        <w:sz w:val="20"/>
        <w:szCs w:val="20"/>
      </w:rPr>
      <w:fldChar w:fldCharType="end"/>
    </w:r>
  </w:p>
  <w:p w14:paraId="4ABD6171" w14:textId="77777777" w:rsidR="00DF60B5" w:rsidRPr="00394D50" w:rsidRDefault="00DF60B5"/>
  <w:p w14:paraId="39BD2CFC" w14:textId="77777777" w:rsidR="00DF60B5" w:rsidRPr="00394D50" w:rsidRDefault="00DF60B5"/>
  <w:p w14:paraId="493C8E46" w14:textId="77777777" w:rsidR="00DF60B5" w:rsidRPr="00394D50" w:rsidRDefault="00DF60B5"/>
  <w:p w14:paraId="6E4AE405" w14:textId="77777777" w:rsidR="00DF60B5" w:rsidRPr="00394D50" w:rsidRDefault="00DF60B5"/>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5BBF692" w14:textId="7DAF3E4A" w:rsidR="0005570C" w:rsidRPr="00394D50" w:rsidRDefault="0005570C" w:rsidP="00691F59">
    <w:pPr>
      <w:pStyle w:val="Piedepgina"/>
      <w:pBdr>
        <w:top w:val="single" w:sz="4" w:space="1" w:color="auto"/>
      </w:pBdr>
      <w:tabs>
        <w:tab w:val="clear" w:pos="8838"/>
        <w:tab w:val="right" w:pos="9356"/>
      </w:tabs>
      <w:rPr>
        <w:rFonts w:cs="Arial"/>
        <w:sz w:val="20"/>
        <w:szCs w:val="20"/>
      </w:rPr>
    </w:pPr>
    <w:r w:rsidRPr="00394D50">
      <w:rPr>
        <w:rFonts w:cs="Arial"/>
        <w:spacing w:val="-3"/>
        <w:sz w:val="20"/>
        <w:szCs w:val="20"/>
      </w:rPr>
      <w:t>Metodología general para la elaboración y presentación de estudios ambientales</w:t>
    </w:r>
    <w:r w:rsidRPr="00394D50">
      <w:rPr>
        <w:rFonts w:cs="Arial"/>
        <w:sz w:val="20"/>
        <w:szCs w:val="20"/>
      </w:rPr>
      <w:tab/>
    </w:r>
    <w:r w:rsidRPr="00394D50">
      <w:rPr>
        <w:rFonts w:cs="Arial"/>
        <w:sz w:val="20"/>
        <w:szCs w:val="20"/>
      </w:rPr>
      <w:fldChar w:fldCharType="begin"/>
    </w:r>
    <w:r w:rsidRPr="00394D50">
      <w:rPr>
        <w:rFonts w:cs="Arial"/>
        <w:sz w:val="20"/>
        <w:szCs w:val="20"/>
      </w:rPr>
      <w:instrText>PAGE   \* MERGEFORMAT</w:instrText>
    </w:r>
    <w:r w:rsidRPr="00394D50">
      <w:rPr>
        <w:rFonts w:cs="Arial"/>
        <w:sz w:val="20"/>
        <w:szCs w:val="20"/>
      </w:rPr>
      <w:fldChar w:fldCharType="separate"/>
    </w:r>
    <w:r w:rsidR="002705E6">
      <w:rPr>
        <w:rFonts w:cs="Arial"/>
        <w:noProof/>
        <w:sz w:val="20"/>
        <w:szCs w:val="20"/>
      </w:rPr>
      <w:t>299</w:t>
    </w:r>
    <w:r w:rsidRPr="00394D50">
      <w:rPr>
        <w:rFonts w:cs="Arial"/>
        <w:sz w:val="20"/>
        <w:szCs w:val="20"/>
      </w:rPr>
      <w:fldChar w:fldCharType="end"/>
    </w:r>
  </w:p>
  <w:p w14:paraId="79CEC41F" w14:textId="77777777" w:rsidR="0005570C" w:rsidRPr="00394D50" w:rsidRDefault="0005570C"/>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DEEC563" w14:textId="75D99820" w:rsidR="00D55F13" w:rsidRPr="00394D50" w:rsidRDefault="00D55F13" w:rsidP="009D6964">
    <w:pPr>
      <w:pStyle w:val="Piedepgina"/>
      <w:pBdr>
        <w:top w:val="single" w:sz="4" w:space="1" w:color="auto"/>
      </w:pBdr>
      <w:tabs>
        <w:tab w:val="clear" w:pos="8838"/>
        <w:tab w:val="right" w:pos="9356"/>
        <w:tab w:val="left" w:pos="10770"/>
      </w:tabs>
      <w:rPr>
        <w:rFonts w:cs="Arial"/>
        <w:sz w:val="20"/>
        <w:szCs w:val="20"/>
      </w:rPr>
    </w:pPr>
    <w:r w:rsidRPr="00394D50">
      <w:rPr>
        <w:rFonts w:cs="Arial"/>
        <w:sz w:val="20"/>
        <w:szCs w:val="20"/>
      </w:rPr>
      <w:t>Metodología general para la elaboración y presentación de estudios ambientales</w:t>
    </w:r>
    <w:r w:rsidRPr="00394D50">
      <w:rPr>
        <w:rFonts w:cs="Arial"/>
        <w:sz w:val="20"/>
        <w:szCs w:val="20"/>
      </w:rPr>
      <w:tab/>
    </w:r>
    <w:r w:rsidRPr="00394D50">
      <w:rPr>
        <w:rFonts w:cs="Arial"/>
        <w:sz w:val="20"/>
        <w:szCs w:val="20"/>
      </w:rPr>
      <w:fldChar w:fldCharType="begin"/>
    </w:r>
    <w:r w:rsidRPr="00394D50">
      <w:rPr>
        <w:rFonts w:cs="Arial"/>
        <w:sz w:val="20"/>
        <w:szCs w:val="20"/>
      </w:rPr>
      <w:instrText>PAGE   \* MERGEFORMAT</w:instrText>
    </w:r>
    <w:r w:rsidRPr="00394D50">
      <w:rPr>
        <w:rFonts w:cs="Arial"/>
        <w:sz w:val="20"/>
        <w:szCs w:val="20"/>
      </w:rPr>
      <w:fldChar w:fldCharType="separate"/>
    </w:r>
    <w:r w:rsidR="002705E6">
      <w:rPr>
        <w:rFonts w:cs="Arial"/>
        <w:noProof/>
        <w:sz w:val="20"/>
        <w:szCs w:val="20"/>
      </w:rPr>
      <w:t>303</w:t>
    </w:r>
    <w:r w:rsidRPr="00394D50">
      <w:rPr>
        <w:rFonts w:cs="Arial"/>
        <w:sz w:val="20"/>
        <w:szCs w:val="20"/>
      </w:rPr>
      <w:fldChar w:fldCharType="end"/>
    </w:r>
  </w:p>
  <w:p w14:paraId="7830DCDB" w14:textId="07BDE6E8" w:rsidR="00D55F13" w:rsidRPr="00394D50" w:rsidRDefault="00D828AB" w:rsidP="009D6964">
    <w:pPr>
      <w:pStyle w:val="Piedepgina"/>
      <w:pBdr>
        <w:top w:val="single" w:sz="4" w:space="1" w:color="auto"/>
      </w:pBdr>
      <w:tabs>
        <w:tab w:val="clear" w:pos="8838"/>
        <w:tab w:val="right" w:pos="9356"/>
        <w:tab w:val="left" w:pos="10770"/>
      </w:tabs>
      <w:rPr>
        <w:rFonts w:cs="Arial"/>
        <w:sz w:val="20"/>
        <w:szCs w:val="20"/>
      </w:rPr>
    </w:pPr>
    <w:r w:rsidRPr="00E947ED">
      <w:rPr>
        <w:noProof/>
        <w:lang w:eastAsia="es-CO"/>
      </w:rPr>
      <w:drawing>
        <wp:anchor distT="0" distB="0" distL="114300" distR="114300" simplePos="0" relativeHeight="251688960" behindDoc="0" locked="0" layoutInCell="1" allowOverlap="1" wp14:anchorId="533A934B" wp14:editId="09144E6B">
          <wp:simplePos x="0" y="0"/>
          <wp:positionH relativeFrom="margin">
            <wp:posOffset>5325745</wp:posOffset>
          </wp:positionH>
          <wp:positionV relativeFrom="line">
            <wp:posOffset>2312626</wp:posOffset>
          </wp:positionV>
          <wp:extent cx="644400" cy="349200"/>
          <wp:effectExtent l="0" t="0" r="3810" b="0"/>
          <wp:wrapNone/>
          <wp:docPr id="604086436" name="Imagen 604086436" descr="Logotipo, nombre de la empres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2283" name="Imagen 15042283" descr="Logotipo, nombre de la empresa&#10;&#10;Descripción generada automáticament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44400" cy="349200"/>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6DED6A" w14:textId="77777777" w:rsidR="00D55F13" w:rsidRPr="00394D50" w:rsidRDefault="00D55F13" w:rsidP="00743410">
    <w:pPr>
      <w:tabs>
        <w:tab w:val="right" w:pos="9356"/>
      </w:tabs>
      <w:rPr>
        <w:rFonts w:cs="Arial"/>
        <w:sz w:val="20"/>
        <w:szCs w:val="20"/>
      </w:rPr>
    </w:pPr>
    <w:r w:rsidRPr="00394D50">
      <w:rPr>
        <w:rFonts w:cs="Arial"/>
        <w:spacing w:val="-3"/>
        <w:sz w:val="20"/>
        <w:szCs w:val="20"/>
      </w:rPr>
      <w:t xml:space="preserve">Términos de referencia – EIA - Proyectos de </w:t>
    </w:r>
    <w:r w:rsidRPr="008A4FE9">
      <w:rPr>
        <w:rFonts w:cs="Arial"/>
        <w:spacing w:val="-3"/>
        <w:sz w:val="20"/>
        <w:szCs w:val="20"/>
      </w:rPr>
      <w:t>Construcción de obras marítimas duras de control y protección costera, y de regeneración de dunas y playas</w:t>
    </w:r>
    <w:r w:rsidRPr="008A4FE9">
      <w:rPr>
        <w:rFonts w:cs="Arial"/>
        <w:spacing w:val="-3"/>
        <w:sz w:val="20"/>
        <w:szCs w:val="20"/>
      </w:rPr>
      <w:tab/>
    </w:r>
    <w:r w:rsidRPr="008A4FE9">
      <w:rPr>
        <w:rFonts w:cs="Arial"/>
        <w:spacing w:val="-3"/>
        <w:sz w:val="20"/>
        <w:szCs w:val="20"/>
      </w:rPr>
      <w:fldChar w:fldCharType="begin"/>
    </w:r>
    <w:r w:rsidRPr="008A4FE9">
      <w:rPr>
        <w:rFonts w:cs="Arial"/>
        <w:spacing w:val="-3"/>
        <w:sz w:val="20"/>
        <w:szCs w:val="20"/>
      </w:rPr>
      <w:instrText xml:space="preserve"> PAGE   \* MERGEFORMAT </w:instrText>
    </w:r>
    <w:r w:rsidRPr="008A4FE9">
      <w:rPr>
        <w:rFonts w:cs="Arial"/>
        <w:spacing w:val="-3"/>
        <w:sz w:val="20"/>
        <w:szCs w:val="20"/>
      </w:rPr>
      <w:fldChar w:fldCharType="separate"/>
    </w:r>
    <w:r w:rsidRPr="008A4FE9">
      <w:rPr>
        <w:rFonts w:cs="Arial"/>
        <w:spacing w:val="-3"/>
        <w:sz w:val="20"/>
        <w:szCs w:val="20"/>
      </w:rPr>
      <w:t>2</w:t>
    </w:r>
    <w:r w:rsidRPr="008A4FE9">
      <w:rPr>
        <w:rFonts w:cs="Arial"/>
        <w:spacing w:val="-3"/>
        <w:sz w:val="20"/>
        <w:szCs w:val="20"/>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ECC2A4E" w14:textId="77777777" w:rsidR="00D828AB" w:rsidRPr="00394D50" w:rsidRDefault="00D828AB" w:rsidP="009D6964">
    <w:pPr>
      <w:pStyle w:val="Piedepgina"/>
      <w:pBdr>
        <w:top w:val="single" w:sz="4" w:space="1" w:color="auto"/>
      </w:pBdr>
      <w:tabs>
        <w:tab w:val="clear" w:pos="8838"/>
        <w:tab w:val="right" w:pos="9356"/>
        <w:tab w:val="left" w:pos="10770"/>
      </w:tabs>
      <w:rPr>
        <w:rFonts w:cs="Arial"/>
        <w:sz w:val="20"/>
        <w:szCs w:val="20"/>
      </w:rPr>
    </w:pPr>
    <w:r w:rsidRPr="00394D50">
      <w:rPr>
        <w:rFonts w:cs="Arial"/>
        <w:sz w:val="20"/>
        <w:szCs w:val="20"/>
      </w:rPr>
      <w:t>Metodología general para la elaboración y presentación de estudios ambientales</w:t>
    </w:r>
    <w:r w:rsidRPr="00394D50">
      <w:rPr>
        <w:rFonts w:cs="Arial"/>
        <w:sz w:val="20"/>
        <w:szCs w:val="20"/>
      </w:rPr>
      <w:tab/>
    </w:r>
    <w:r w:rsidRPr="00394D50">
      <w:rPr>
        <w:rFonts w:cs="Arial"/>
        <w:sz w:val="20"/>
        <w:szCs w:val="20"/>
      </w:rPr>
      <w:fldChar w:fldCharType="begin"/>
    </w:r>
    <w:r w:rsidRPr="00394D50">
      <w:rPr>
        <w:rFonts w:cs="Arial"/>
        <w:sz w:val="20"/>
        <w:szCs w:val="20"/>
      </w:rPr>
      <w:instrText>PAGE   \* MERGEFORMAT</w:instrText>
    </w:r>
    <w:r w:rsidRPr="00394D50">
      <w:rPr>
        <w:rFonts w:cs="Arial"/>
        <w:sz w:val="20"/>
        <w:szCs w:val="20"/>
      </w:rPr>
      <w:fldChar w:fldCharType="separate"/>
    </w:r>
    <w:r w:rsidR="00FA30FB">
      <w:rPr>
        <w:rFonts w:cs="Arial"/>
        <w:noProof/>
        <w:sz w:val="20"/>
        <w:szCs w:val="20"/>
      </w:rPr>
      <w:t>372</w:t>
    </w:r>
    <w:r w:rsidRPr="00394D50">
      <w:rPr>
        <w:rFonts w:cs="Arial"/>
        <w:sz w:val="20"/>
        <w:szCs w:val="20"/>
      </w:rPr>
      <w:fldChar w:fldCharType="end"/>
    </w:r>
  </w:p>
  <w:p w14:paraId="397FBDCA" w14:textId="3BA40DFC" w:rsidR="00D828AB" w:rsidRPr="00394D50" w:rsidRDefault="00D828AB" w:rsidP="009D6964">
    <w:pPr>
      <w:pStyle w:val="Piedepgina"/>
      <w:pBdr>
        <w:top w:val="single" w:sz="4" w:space="1" w:color="auto"/>
      </w:pBdr>
      <w:tabs>
        <w:tab w:val="clear" w:pos="8838"/>
        <w:tab w:val="right" w:pos="9356"/>
        <w:tab w:val="left" w:pos="10770"/>
      </w:tabs>
      <w:rPr>
        <w:rFonts w:cs="Arial"/>
        <w:sz w:val="20"/>
        <w:szCs w:val="20"/>
      </w:rPr>
    </w:pPr>
    <w:r w:rsidRPr="00E947ED">
      <w:rPr>
        <w:noProof/>
        <w:lang w:eastAsia="es-CO"/>
      </w:rPr>
      <w:drawing>
        <wp:anchor distT="0" distB="0" distL="114300" distR="114300" simplePos="0" relativeHeight="251691008" behindDoc="0" locked="0" layoutInCell="1" allowOverlap="1" wp14:anchorId="74A0C4D9" wp14:editId="54B3385C">
          <wp:simplePos x="0" y="0"/>
          <wp:positionH relativeFrom="margin">
            <wp:posOffset>5325745</wp:posOffset>
          </wp:positionH>
          <wp:positionV relativeFrom="line">
            <wp:posOffset>2312626</wp:posOffset>
          </wp:positionV>
          <wp:extent cx="644400" cy="349200"/>
          <wp:effectExtent l="0" t="0" r="3810" b="0"/>
          <wp:wrapNone/>
          <wp:docPr id="1556650980" name="Imagen 1556650980" descr="Logotipo, nombre de la empres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2283" name="Imagen 15042283" descr="Logotipo, nombre de la empresa&#10;&#10;Descripción generada automáticament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44400" cy="349200"/>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E5DF76F" w14:textId="77777777" w:rsidR="00EB4104" w:rsidRPr="00394D50" w:rsidRDefault="00EB4104">
      <w:r w:rsidRPr="00394D50">
        <w:separator/>
      </w:r>
    </w:p>
  </w:footnote>
  <w:footnote w:type="continuationSeparator" w:id="0">
    <w:p w14:paraId="3B0A361A" w14:textId="77777777" w:rsidR="00EB4104" w:rsidRPr="00394D50" w:rsidRDefault="00EB4104">
      <w:r w:rsidRPr="00394D50">
        <w:continuationSeparator/>
      </w:r>
    </w:p>
  </w:footnote>
  <w:footnote w:type="continuationNotice" w:id="1">
    <w:p w14:paraId="1D357680" w14:textId="77777777" w:rsidR="00EB4104" w:rsidRPr="00394D50" w:rsidRDefault="00EB4104"/>
  </w:footnote>
  <w:footnote w:id="2">
    <w:p w14:paraId="0BFF8CA7" w14:textId="2E351788" w:rsidR="00D55F13" w:rsidRPr="007B3017" w:rsidRDefault="00D55F13" w:rsidP="007B3017">
      <w:pPr>
        <w:pStyle w:val="Textonotapie"/>
        <w:rPr>
          <w:rFonts w:cs="Arial"/>
          <w:szCs w:val="20"/>
          <w:lang w:val="es-CO"/>
        </w:rPr>
      </w:pPr>
      <w:r w:rsidRPr="000D6E21">
        <w:rPr>
          <w:rStyle w:val="Refdenotaalpie"/>
          <w:rFonts w:cs="Arial"/>
          <w:sz w:val="20"/>
          <w:szCs w:val="20"/>
          <w:lang w:val="es-CO"/>
        </w:rPr>
        <w:footnoteRef/>
      </w:r>
      <w:r w:rsidRPr="007B3017">
        <w:rPr>
          <w:rFonts w:cs="Arial"/>
          <w:szCs w:val="20"/>
          <w:lang w:val="es-CO"/>
        </w:rPr>
        <w:t xml:space="preserve"> Los términos de referencia </w:t>
      </w:r>
      <w:r w:rsidR="001A0DB9" w:rsidRPr="007B3017">
        <w:rPr>
          <w:rFonts w:cs="Arial"/>
          <w:szCs w:val="20"/>
          <w:lang w:val="es-CO"/>
        </w:rPr>
        <w:t xml:space="preserve">constituyen los requerimientos de información </w:t>
      </w:r>
      <w:r w:rsidRPr="007B3017">
        <w:rPr>
          <w:rFonts w:cs="Arial"/>
          <w:szCs w:val="20"/>
          <w:lang w:val="es-CO"/>
        </w:rPr>
        <w:t>generales que se establecen para orientar la elaboración de los estudios ambientales de los proyectos, obras o actividades sujetas a licenciamiento ambiental y que deben ser presentados ante la autoridad ambiental competente para su evaluación; la expedición de términos de referencia genéricos está a cargo del Ministerio de Ambiente y Desarrollo Sostenible y en caso de que éstos no hayan sido proferidos, las autoridades ambientales, de acuerdo con sus competencias, deben establecer unos específicos para cada caso particular.</w:t>
      </w:r>
    </w:p>
  </w:footnote>
  <w:footnote w:id="3">
    <w:p w14:paraId="35184E29" w14:textId="31A02732"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Los tratados internacionales ratificados por Colombia mediante la Ley 22 de 1981, la Ley 74 de 1968, la Ley 51 de 1981, la Ley 70 de 1986, la Ley 12 de 1992, la Ley 1346 de 2009 y la Ley 2273 de 2022, implican obligaciones para el Estado en materia de participación.</w:t>
      </w:r>
    </w:p>
  </w:footnote>
  <w:footnote w:id="4">
    <w:p w14:paraId="199A075C" w14:textId="0667CB42" w:rsidR="006462DB" w:rsidRPr="000D6E21" w:rsidRDefault="006462DB">
      <w:pPr>
        <w:pStyle w:val="Textonotapie"/>
        <w:rPr>
          <w:lang w:val="es-MX"/>
        </w:rPr>
      </w:pPr>
      <w:r>
        <w:rPr>
          <w:rStyle w:val="Refdenotaalpie"/>
        </w:rPr>
        <w:footnoteRef/>
      </w:r>
      <w:r>
        <w:t xml:space="preserve"> </w:t>
      </w:r>
      <w:r w:rsidR="007A5E7F">
        <w:t xml:space="preserve">Este lineamiento permite aplicar </w:t>
      </w:r>
      <w:r>
        <w:rPr>
          <w:lang w:val="es-MX"/>
        </w:rPr>
        <w:t xml:space="preserve">la </w:t>
      </w:r>
      <w:r w:rsidR="008D6E89">
        <w:rPr>
          <w:lang w:val="es-MX"/>
        </w:rPr>
        <w:t>Resolución</w:t>
      </w:r>
      <w:r>
        <w:rPr>
          <w:lang w:val="es-MX"/>
        </w:rPr>
        <w:t xml:space="preserve"> </w:t>
      </w:r>
      <w:r w:rsidR="008D6E89">
        <w:rPr>
          <w:lang w:val="es-MX"/>
        </w:rPr>
        <w:t xml:space="preserve">No. </w:t>
      </w:r>
      <w:r>
        <w:rPr>
          <w:lang w:val="es-MX"/>
        </w:rPr>
        <w:t xml:space="preserve">3 de 2021 </w:t>
      </w:r>
      <w:r w:rsidR="00B70094">
        <w:rPr>
          <w:lang w:val="es-MX"/>
        </w:rPr>
        <w:t>de la Comisión Interamericana de Derechos Humanos</w:t>
      </w:r>
      <w:r w:rsidR="00A74010">
        <w:rPr>
          <w:lang w:val="es-MX"/>
        </w:rPr>
        <w:t xml:space="preserve"> (CIDH &amp; REDESCA, 2021)</w:t>
      </w:r>
      <w:r w:rsidR="00B70094">
        <w:rPr>
          <w:lang w:val="es-MX"/>
        </w:rPr>
        <w:t>.</w:t>
      </w:r>
    </w:p>
  </w:footnote>
  <w:footnote w:id="5">
    <w:p w14:paraId="6EC77B28" w14:textId="77777777" w:rsidR="00D55F13" w:rsidRPr="007B3017" w:rsidRDefault="00D55F13" w:rsidP="007B3017">
      <w:pPr>
        <w:pStyle w:val="Textonotapie"/>
        <w:rPr>
          <w:rFonts w:cs="Arial"/>
          <w:szCs w:val="20"/>
          <w:lang w:val="es-CO"/>
        </w:rPr>
      </w:pPr>
      <w:r w:rsidRPr="007B3017">
        <w:rPr>
          <w:rStyle w:val="Refdenotaalpie"/>
          <w:rFonts w:eastAsiaTheme="majorEastAsia" w:cs="Arial"/>
          <w:sz w:val="20"/>
          <w:szCs w:val="20"/>
          <w:lang w:val="es-CO"/>
        </w:rPr>
        <w:footnoteRef/>
      </w:r>
      <w:r w:rsidRPr="007B3017">
        <w:rPr>
          <w:rFonts w:cs="Arial"/>
          <w:szCs w:val="20"/>
          <w:lang w:val="es-CO"/>
        </w:rPr>
        <w:t xml:space="preserve"> Las referencias para esta sección se encuentran al final del documento, en el ítem de Bibliografía glosario.</w:t>
      </w:r>
    </w:p>
  </w:footnote>
  <w:footnote w:id="6">
    <w:p w14:paraId="71862579" w14:textId="736171B7"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Fuentes oficiales o fuentes técnicas de alto nivel como revistas científicas, publicaciones académicas de centros o institutos de investigación y otras fuentes que hayan tenido un proceso idóneo de gestión. Muchas de ellas se listan en el numeral </w:t>
      </w:r>
      <w:r w:rsidRPr="007B3017">
        <w:rPr>
          <w:rFonts w:cs="Arial"/>
          <w:szCs w:val="20"/>
          <w:lang w:val="es-CO"/>
        </w:rPr>
        <w:fldChar w:fldCharType="begin"/>
      </w:r>
      <w:r w:rsidRPr="007B3017">
        <w:rPr>
          <w:rFonts w:cs="Arial"/>
          <w:szCs w:val="20"/>
          <w:lang w:val="es-CO"/>
        </w:rPr>
        <w:instrText xml:space="preserve"> REF _Ref45085611 \r \h  \* MERGEFORMAT </w:instrText>
      </w:r>
      <w:r w:rsidRPr="007B3017">
        <w:rPr>
          <w:rFonts w:cs="Arial"/>
          <w:szCs w:val="20"/>
          <w:lang w:val="es-CO"/>
        </w:rPr>
      </w:r>
      <w:r w:rsidRPr="007B3017">
        <w:rPr>
          <w:rFonts w:cs="Arial"/>
          <w:szCs w:val="20"/>
          <w:lang w:val="es-CO"/>
        </w:rPr>
        <w:fldChar w:fldCharType="separate"/>
      </w:r>
      <w:r w:rsidR="00B311B1" w:rsidRPr="007B3017">
        <w:rPr>
          <w:rFonts w:cs="Arial"/>
          <w:szCs w:val="20"/>
          <w:lang w:val="es-CO"/>
        </w:rPr>
        <w:t>2</w:t>
      </w:r>
      <w:r w:rsidRPr="007B3017">
        <w:rPr>
          <w:rFonts w:cs="Arial"/>
          <w:szCs w:val="20"/>
          <w:lang w:val="es-CO"/>
        </w:rPr>
        <w:fldChar w:fldCharType="end"/>
      </w:r>
      <w:r w:rsidRPr="007B3017">
        <w:rPr>
          <w:rFonts w:cs="Arial"/>
          <w:szCs w:val="20"/>
          <w:lang w:val="es-CO"/>
        </w:rPr>
        <w:t xml:space="preserve"> de este capítulo.</w:t>
      </w:r>
    </w:p>
  </w:footnote>
  <w:footnote w:id="7">
    <w:p w14:paraId="18CD1022" w14:textId="05E6CB49"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En el marco de los estudios ambientales, los indicadores se definen como un tipo de información que sintetiza las características de uno o más fenómenos que resultan importantes para el proceso de licenciamiento ambiental y, por tanto, pueden ser parámetros ambientales o agregaciones, combinaciones y transformaciones de parámetros u otro tipo de información ambiental cuantitativa o cualitativa. Los índices por su parte y de acuerdo con Quiroga (2009), deben entenderse como la expresión numérica de la relación entre dos o más variables que han sido conmensuradas y agregadas hasta convertirlas en un solo </w:t>
      </w:r>
      <w:proofErr w:type="spellStart"/>
      <w:r w:rsidRPr="007B3017">
        <w:rPr>
          <w:rFonts w:cs="Arial"/>
          <w:szCs w:val="20"/>
          <w:lang w:val="es-CO"/>
        </w:rPr>
        <w:t>meganumerario</w:t>
      </w:r>
      <w:proofErr w:type="spellEnd"/>
      <w:r w:rsidRPr="007B3017">
        <w:rPr>
          <w:rFonts w:cs="Arial"/>
          <w:szCs w:val="20"/>
          <w:lang w:val="es-CO"/>
        </w:rPr>
        <w:t>.</w:t>
      </w:r>
    </w:p>
  </w:footnote>
  <w:footnote w:id="8">
    <w:p w14:paraId="5871BBE7" w14:textId="77777777"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Jerarquía conocida internacionalmente como Jerarquía de la mitigación.</w:t>
      </w:r>
    </w:p>
  </w:footnote>
  <w:footnote w:id="9">
    <w:p w14:paraId="1E427286" w14:textId="77777777"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En ningún caso, se deben formular proyectos que generen impactos residuales que vulneren los derechos fundamentales de la población.</w:t>
      </w:r>
    </w:p>
  </w:footnote>
  <w:footnote w:id="10">
    <w:p w14:paraId="07AF57ED" w14:textId="2D7DE610"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Figuras que, al ser adoptadas mediante acto administrativo, gozan de vida propia y, por tanto, deben ser incorporadas en los instrumentos de ordenamiento ambiental y territorial.</w:t>
      </w:r>
    </w:p>
  </w:footnote>
  <w:footnote w:id="11">
    <w:p w14:paraId="1FC9160B" w14:textId="659ACAA3"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Sin perjuicio de lo dispuesto en el Decreto 1077 de 2015, o en la norma que lo modifique o sustituya, sobre los proyectos, obras o actividades considerados de utilidad pública e interés social por el legislador, y sobre los proyectos de los sectores minero e </w:t>
      </w:r>
      <w:proofErr w:type="spellStart"/>
      <w:r w:rsidRPr="007B3017">
        <w:rPr>
          <w:rFonts w:cs="Arial"/>
          <w:szCs w:val="20"/>
          <w:lang w:val="es-CO"/>
        </w:rPr>
        <w:t>hidrocarburífero</w:t>
      </w:r>
      <w:proofErr w:type="spellEnd"/>
      <w:r w:rsidRPr="007B3017">
        <w:rPr>
          <w:rFonts w:cs="Arial"/>
          <w:szCs w:val="20"/>
          <w:lang w:val="es-CO"/>
        </w:rPr>
        <w:t>.</w:t>
      </w:r>
    </w:p>
  </w:footnote>
  <w:footnote w:id="12">
    <w:p w14:paraId="6D7D02C6" w14:textId="77777777" w:rsidR="00EE4DE9" w:rsidRPr="00BE2C7E" w:rsidRDefault="00EE4DE9" w:rsidP="00EE4DE9">
      <w:pPr>
        <w:pStyle w:val="Textonotapie"/>
        <w:rPr>
          <w:lang w:val="es-MX"/>
        </w:rPr>
      </w:pPr>
      <w:r w:rsidRPr="00BE2C7E">
        <w:rPr>
          <w:rStyle w:val="Refdenotaalpie"/>
          <w:sz w:val="20"/>
          <w:szCs w:val="20"/>
        </w:rPr>
        <w:footnoteRef/>
      </w:r>
      <w:r>
        <w:t xml:space="preserve"> Se debe tener en cuenta que el p</w:t>
      </w:r>
      <w:r w:rsidRPr="00724971">
        <w:t xml:space="preserve">arágrafo </w:t>
      </w:r>
      <w:r>
        <w:t xml:space="preserve">3 </w:t>
      </w:r>
      <w:r w:rsidRPr="00724971">
        <w:t xml:space="preserve">del artículo 10 de la Ley 388 de 1997 </w:t>
      </w:r>
      <w:r>
        <w:t>(modificado por el artículo 32 de la Ley 2294 de 2023) establece que</w:t>
      </w:r>
      <w:r w:rsidRPr="00724971">
        <w:t xml:space="preserve"> </w:t>
      </w:r>
      <w:r>
        <w:t>“</w:t>
      </w:r>
      <w:r w:rsidRPr="00724971">
        <w:t>los fundamentos definidos por los pueblos y comunidades indígenas serán vinculantes para todos los actores públicos y privados en sus territorios y territorialidades"</w:t>
      </w:r>
      <w:r>
        <w:t>.</w:t>
      </w:r>
    </w:p>
  </w:footnote>
  <w:footnote w:id="13">
    <w:p w14:paraId="101C964B" w14:textId="6023B17A" w:rsidR="00D264DF" w:rsidRPr="007B3017" w:rsidRDefault="00D264DF" w:rsidP="007B3017">
      <w:pPr>
        <w:pStyle w:val="Textonotapie"/>
        <w:rPr>
          <w:rFonts w:cs="Arial"/>
          <w:szCs w:val="20"/>
        </w:rPr>
      </w:pPr>
      <w:r w:rsidRPr="007B3017">
        <w:rPr>
          <w:rStyle w:val="Refdenotaalpie"/>
          <w:rFonts w:cs="Arial"/>
          <w:sz w:val="20"/>
          <w:szCs w:val="20"/>
        </w:rPr>
        <w:footnoteRef/>
      </w:r>
      <w:r w:rsidRPr="007B3017">
        <w:rPr>
          <w:rFonts w:cs="Arial"/>
          <w:szCs w:val="20"/>
        </w:rPr>
        <w:t xml:space="preserve"> Hace referencia a las personas que tienen mayor dificultad para informarse y participar de manera efectiva por diversas situaciones, entre ellas, limitaciones tecnológicas, auditivas, por tener una lengua diferente al castellano o vivir en espacios territoriales de difícil acceso.</w:t>
      </w:r>
    </w:p>
  </w:footnote>
  <w:footnote w:id="14">
    <w:p w14:paraId="63E48A7F" w14:textId="014BED2A"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w:t>
      </w:r>
      <w:r w:rsidRPr="007B3017">
        <w:rPr>
          <w:rFonts w:cs="Arial"/>
          <w:spacing w:val="-3"/>
          <w:szCs w:val="20"/>
          <w:lang w:val="es-CO"/>
        </w:rPr>
        <w:t>En caso de que en las fuentes secundarias no se encuentre información con las cualidades requeridas, la orientación metodológica para cumplir con las especificaciones técnicas de caracterización de los medios abiótico, biótico y socioeconómico</w:t>
      </w:r>
      <w:r w:rsidRPr="007B3017" w:rsidDel="0073605B">
        <w:rPr>
          <w:rFonts w:cs="Arial"/>
          <w:spacing w:val="-3"/>
          <w:szCs w:val="20"/>
          <w:lang w:val="es-CO"/>
        </w:rPr>
        <w:t xml:space="preserve"> </w:t>
      </w:r>
      <w:r w:rsidRPr="007B3017">
        <w:rPr>
          <w:rFonts w:cs="Arial"/>
          <w:spacing w:val="-3"/>
          <w:szCs w:val="20"/>
          <w:lang w:val="es-CO"/>
        </w:rPr>
        <w:t>es obtener, procesar y analizar información primaria.</w:t>
      </w:r>
    </w:p>
  </w:footnote>
  <w:footnote w:id="15">
    <w:p w14:paraId="4C4A9068" w14:textId="22F5AF15"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Disponibles</w:t>
      </w:r>
      <w:r w:rsidRPr="007B3017">
        <w:rPr>
          <w:rFonts w:cs="Arial"/>
          <w:spacing w:val="-3"/>
          <w:szCs w:val="20"/>
          <w:lang w:val="es-CO"/>
        </w:rPr>
        <w:t xml:space="preserve"> en la página Web ANLA:</w:t>
      </w:r>
      <w:r w:rsidRPr="007B3017">
        <w:rPr>
          <w:rFonts w:cs="Arial"/>
          <w:szCs w:val="20"/>
          <w:lang w:val="es-CO"/>
        </w:rPr>
        <w:t xml:space="preserve"> https://www.anla.gov.co/entidad/subdirecciones-y-oficinas/instrumentos-permisos-y-tramites-ambientales/sistema-de-informacion-geografica.</w:t>
      </w:r>
    </w:p>
  </w:footnote>
  <w:footnote w:id="16">
    <w:p w14:paraId="5F876EFE" w14:textId="58318AF3"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El ámbito de aplicación de esta política incluye a las entidades que conforman la Administración Pública, según lo establece el artículo 39 de la Ley 489 de 1998, así como a los particulares que cumplen funciones administrativas.</w:t>
      </w:r>
    </w:p>
  </w:footnote>
  <w:footnote w:id="17">
    <w:p w14:paraId="27BE3B1E" w14:textId="56ED57E0"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Si no es posible cargar la información al sistema VITAL (</w:t>
      </w:r>
      <w:r w:rsidR="00041844" w:rsidRPr="007B3017">
        <w:rPr>
          <w:rFonts w:cs="Arial"/>
          <w:szCs w:val="20"/>
          <w:lang w:val="es-CO"/>
        </w:rPr>
        <w:t>p. ej.</w:t>
      </w:r>
      <w:r w:rsidRPr="007B3017">
        <w:rPr>
          <w:rFonts w:cs="Arial"/>
          <w:szCs w:val="20"/>
          <w:lang w:val="es-CO"/>
        </w:rPr>
        <w:t xml:space="preserve"> cuando es contenida en archivos de gran tamaño), se debe solicitar una cita con la autoridad ambiental a fin de que ésta la cargue directamente al sistema.</w:t>
      </w:r>
    </w:p>
  </w:footnote>
  <w:footnote w:id="18">
    <w:p w14:paraId="67FAAA7B" w14:textId="7551A6B7"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Valores definidos de acuerdo con lo establecido por la Resolución 471 de 2020, modificada por la Resolución 529 de 2020.</w:t>
      </w:r>
    </w:p>
  </w:footnote>
  <w:footnote w:id="19">
    <w:p w14:paraId="10B61C7C" w14:textId="42C6EDE0"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El ejercicio de evaluación de las autoridades ambientales sobre las opciones de tecnología y diseño </w:t>
      </w:r>
      <w:r w:rsidR="00890B79">
        <w:rPr>
          <w:rFonts w:cs="Arial"/>
          <w:szCs w:val="20"/>
          <w:lang w:val="es-CO"/>
        </w:rPr>
        <w:t xml:space="preserve">de </w:t>
      </w:r>
      <w:r w:rsidRPr="007B3017">
        <w:rPr>
          <w:rFonts w:cs="Arial"/>
          <w:szCs w:val="20"/>
          <w:lang w:val="es-CO"/>
        </w:rPr>
        <w:t>las alternativas propuestas se limita a la evaluación de sus consecuencias en el ambiente</w:t>
      </w:r>
      <w:r w:rsidR="00365A48">
        <w:rPr>
          <w:rFonts w:cs="Arial"/>
          <w:szCs w:val="20"/>
          <w:lang w:val="es-CO"/>
        </w:rPr>
        <w:t>;</w:t>
      </w:r>
      <w:r w:rsidRPr="007B3017">
        <w:rPr>
          <w:rFonts w:cs="Arial"/>
          <w:szCs w:val="20"/>
          <w:lang w:val="es-CO"/>
        </w:rPr>
        <w:t xml:space="preserve"> no tiene como alcance evaluar la tecnología y el diseño en sí.</w:t>
      </w:r>
    </w:p>
  </w:footnote>
  <w:footnote w:id="20">
    <w:p w14:paraId="356F82AF" w14:textId="1942C655"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Es posible mejorar el desempeño ambiental de un proyecto, obra o actividad planteada en una ubicación o trazado terminado, al contemplar o incorporar otro tipo de tecnologías, tener en cuenta otras opciones de diseño o prever la implementación de nuevas soluciones ingenieriles; integrar esta gama de posibilidades de forma temprana en los análisis y decisiones propi</w:t>
      </w:r>
      <w:r w:rsidR="00890B79">
        <w:rPr>
          <w:rFonts w:cs="Arial"/>
          <w:szCs w:val="20"/>
          <w:lang w:val="es-CO"/>
        </w:rPr>
        <w:t>a</w:t>
      </w:r>
      <w:r w:rsidRPr="007B3017">
        <w:rPr>
          <w:rFonts w:cs="Arial"/>
          <w:szCs w:val="20"/>
          <w:lang w:val="es-CO"/>
        </w:rPr>
        <w:t xml:space="preserve">s de un DAA, permite formular </w:t>
      </w:r>
      <w:r w:rsidR="00890B79">
        <w:rPr>
          <w:rFonts w:cs="Arial"/>
          <w:szCs w:val="20"/>
          <w:lang w:val="es-CO"/>
        </w:rPr>
        <w:t xml:space="preserve">mejores </w:t>
      </w:r>
      <w:r w:rsidRPr="007B3017">
        <w:rPr>
          <w:rFonts w:cs="Arial"/>
          <w:szCs w:val="20"/>
          <w:lang w:val="es-CO"/>
        </w:rPr>
        <w:t>alternativas evit</w:t>
      </w:r>
      <w:r w:rsidR="00890B79">
        <w:rPr>
          <w:rFonts w:cs="Arial"/>
          <w:szCs w:val="20"/>
          <w:lang w:val="es-CO"/>
        </w:rPr>
        <w:t>a</w:t>
      </w:r>
      <w:r w:rsidRPr="007B3017">
        <w:rPr>
          <w:rFonts w:cs="Arial"/>
          <w:szCs w:val="20"/>
          <w:lang w:val="es-CO"/>
        </w:rPr>
        <w:t>n</w:t>
      </w:r>
      <w:r w:rsidR="00890B79">
        <w:rPr>
          <w:rFonts w:cs="Arial"/>
          <w:szCs w:val="20"/>
          <w:lang w:val="es-CO"/>
        </w:rPr>
        <w:t>do</w:t>
      </w:r>
      <w:r w:rsidRPr="007B3017">
        <w:rPr>
          <w:rFonts w:cs="Arial"/>
          <w:szCs w:val="20"/>
          <w:lang w:val="es-CO"/>
        </w:rPr>
        <w:t xml:space="preserve"> y mitig</w:t>
      </w:r>
      <w:r w:rsidR="00890B79">
        <w:rPr>
          <w:rFonts w:cs="Arial"/>
          <w:szCs w:val="20"/>
          <w:lang w:val="es-CO"/>
        </w:rPr>
        <w:t>ando</w:t>
      </w:r>
      <w:r w:rsidRPr="007B3017">
        <w:rPr>
          <w:rFonts w:cs="Arial"/>
          <w:szCs w:val="20"/>
          <w:lang w:val="es-CO"/>
        </w:rPr>
        <w:t xml:space="preserve"> los impactos ambientales negativos.</w:t>
      </w:r>
    </w:p>
  </w:footnote>
  <w:footnote w:id="21">
    <w:p w14:paraId="005AEDB7" w14:textId="19D05159"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Tal calidad se determina mediante los atributos de calidad de la información señalados en el capítulo I en función del propósito del DAA, el cual es evaluar y comparar distintas alternativas.</w:t>
      </w:r>
    </w:p>
  </w:footnote>
  <w:footnote w:id="22">
    <w:p w14:paraId="438CE814" w14:textId="31BF7B6E"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Las alternativas </w:t>
      </w:r>
      <w:r w:rsidRPr="007B3017">
        <w:rPr>
          <w:rFonts w:cs="Arial"/>
          <w:spacing w:val="-3"/>
          <w:szCs w:val="20"/>
          <w:lang w:val="es-CO"/>
        </w:rPr>
        <w:t>del proyecto, obra o actividad deben tener en cuenta los usos del suelo establecidos en los instrumentos de ordenamiento territorial (</w:t>
      </w:r>
      <w:r w:rsidRPr="007B3017">
        <w:rPr>
          <w:rFonts w:cs="Arial"/>
          <w:szCs w:val="20"/>
          <w:lang w:val="es-CO"/>
        </w:rPr>
        <w:t xml:space="preserve">sin perjuicio de lo dispuesto en el Decreto 1077 de 2015, o en la norma que lo modifique o sustituya, sobre los proyectos, obras o actividades considerados de utilidad pública e interés social por el legislador, y sobre los proyectos del sector </w:t>
      </w:r>
      <w:proofErr w:type="spellStart"/>
      <w:r w:rsidRPr="007B3017">
        <w:rPr>
          <w:rFonts w:cs="Arial"/>
          <w:szCs w:val="20"/>
          <w:lang w:val="es-CO"/>
        </w:rPr>
        <w:t>hidrocarburífero</w:t>
      </w:r>
      <w:proofErr w:type="spellEnd"/>
      <w:r w:rsidRPr="007B3017">
        <w:rPr>
          <w:rFonts w:cs="Arial"/>
          <w:szCs w:val="20"/>
          <w:lang w:val="es-CO"/>
        </w:rPr>
        <w:t>)</w:t>
      </w:r>
      <w:r w:rsidR="00B3421B">
        <w:rPr>
          <w:rFonts w:cs="Arial"/>
          <w:szCs w:val="20"/>
          <w:lang w:val="es-CO"/>
        </w:rPr>
        <w:t xml:space="preserve"> y </w:t>
      </w:r>
      <w:r w:rsidR="00B3421B" w:rsidRPr="007B3017">
        <w:rPr>
          <w:rFonts w:cs="Arial"/>
          <w:spacing w:val="-3"/>
          <w:szCs w:val="20"/>
          <w:lang w:val="es-CO"/>
        </w:rPr>
        <w:t>las determinantes ambientales</w:t>
      </w:r>
      <w:r w:rsidR="00B3421B">
        <w:rPr>
          <w:rFonts w:cs="Arial"/>
          <w:spacing w:val="-3"/>
          <w:szCs w:val="20"/>
          <w:lang w:val="es-CO"/>
        </w:rPr>
        <w:t xml:space="preserve">, considerando </w:t>
      </w:r>
      <w:r w:rsidR="00B3421B">
        <w:t>que el p</w:t>
      </w:r>
      <w:r w:rsidR="00B3421B" w:rsidRPr="00724971">
        <w:t xml:space="preserve">arágrafo </w:t>
      </w:r>
      <w:r w:rsidR="00B3421B">
        <w:t xml:space="preserve">3 </w:t>
      </w:r>
      <w:r w:rsidR="00B3421B" w:rsidRPr="00724971">
        <w:t xml:space="preserve">del artículo 10 de la Ley 388 de 1997 </w:t>
      </w:r>
      <w:r w:rsidR="00B3421B">
        <w:t>(modificado por el artículo 32 de la Ley 2294 de 2023) establece que</w:t>
      </w:r>
      <w:r w:rsidR="00B3421B" w:rsidRPr="00724971">
        <w:t xml:space="preserve"> </w:t>
      </w:r>
      <w:r w:rsidR="00B3421B">
        <w:t>“</w:t>
      </w:r>
      <w:r w:rsidR="00B3421B" w:rsidRPr="00724971">
        <w:t>los fundamentos definidos por los pueblos y comunidades indígenas serán vinculantes para todos los actores públicos y privados en sus territorios y territorialidades"</w:t>
      </w:r>
      <w:r w:rsidRPr="007B3017">
        <w:rPr>
          <w:rFonts w:cs="Arial"/>
          <w:szCs w:val="20"/>
          <w:lang w:val="es-CO"/>
        </w:rPr>
        <w:t>.</w:t>
      </w:r>
    </w:p>
  </w:footnote>
  <w:footnote w:id="23">
    <w:p w14:paraId="4A92979C" w14:textId="65781B38"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En el caso de contemplar el desarrollo de vías carreteras, es posible emplear como referencia para la formulación de las alternativas los documentos Lineamientos de </w:t>
      </w:r>
      <w:r w:rsidRPr="007B3017">
        <w:rPr>
          <w:rFonts w:cs="Arial"/>
          <w:spacing w:val="-3"/>
          <w:szCs w:val="20"/>
          <w:lang w:val="es-CO"/>
        </w:rPr>
        <w:t>Infraestructura Verde Vial para Colombia (Minambiente, FCDS &amp; WWF, 2020) y Pasos de fauna en infraestructura lineal: cartilla de referencia para la toma de decisiones (Correa, 2020), u otros de reconocida idoneidad técnica.</w:t>
      </w:r>
    </w:p>
  </w:footnote>
  <w:footnote w:id="24">
    <w:p w14:paraId="2C86BCCE" w14:textId="77777777" w:rsidR="00642E22" w:rsidRPr="000D6E21" w:rsidRDefault="00642E22" w:rsidP="007B3017">
      <w:pPr>
        <w:pStyle w:val="Textonotapie"/>
        <w:rPr>
          <w:rFonts w:cs="Arial"/>
          <w:szCs w:val="20"/>
          <w:lang w:val="es-CO"/>
        </w:rPr>
      </w:pPr>
      <w:r w:rsidRPr="000D6E21">
        <w:rPr>
          <w:rStyle w:val="Refdenotaalpie"/>
          <w:rFonts w:cs="Arial"/>
          <w:sz w:val="20"/>
          <w:szCs w:val="20"/>
          <w:lang w:val="es-CO"/>
        </w:rPr>
        <w:footnoteRef/>
      </w:r>
      <w:r w:rsidRPr="000D6E21">
        <w:rPr>
          <w:rFonts w:cs="Arial"/>
          <w:szCs w:val="20"/>
          <w:lang w:val="es-CO"/>
        </w:rPr>
        <w:t xml:space="preserve"> Particularmente sus artículos 4, 5 y 23.1. (literal a). La interpretación de estos artículos en el contexto de la protección del ambiente y del cumplimiento de las obligaciones internacionales de Colombia asociadas a la protección de los derechos humanos, se basó en la Opinión consultiva 23 para Colombia de la Corte interamericana de derechos humanos (CIDH, 2017).</w:t>
      </w:r>
    </w:p>
  </w:footnote>
  <w:footnote w:id="25">
    <w:p w14:paraId="4805F923" w14:textId="77777777" w:rsidR="00642E22" w:rsidRPr="007B3017" w:rsidRDefault="00642E22" w:rsidP="007B3017">
      <w:pPr>
        <w:pStyle w:val="Textonotapie"/>
        <w:rPr>
          <w:rFonts w:cs="Arial"/>
          <w:szCs w:val="20"/>
          <w:lang w:val="es-CO"/>
        </w:rPr>
      </w:pPr>
      <w:r w:rsidRPr="000D6E21">
        <w:rPr>
          <w:rStyle w:val="Refdenotaalpie"/>
          <w:rFonts w:cs="Arial"/>
          <w:sz w:val="20"/>
          <w:szCs w:val="20"/>
          <w:lang w:val="es-CO"/>
        </w:rPr>
        <w:footnoteRef/>
      </w:r>
      <w:r w:rsidRPr="000D6E21">
        <w:rPr>
          <w:rFonts w:cs="Arial"/>
          <w:szCs w:val="20"/>
          <w:lang w:val="es-CO"/>
        </w:rPr>
        <w:t xml:space="preserve"> Adoptada y proclamada en 1982 por la Resolución 37/7 de la Asamblea General de las Naciones Unidas. Ver especialmente el numeral 23 “</w:t>
      </w:r>
      <w:r w:rsidRPr="007B3017">
        <w:rPr>
          <w:rFonts w:cs="Arial"/>
          <w:i/>
          <w:szCs w:val="20"/>
          <w:lang w:val="es-CO"/>
        </w:rPr>
        <w:t>Toda persona, de conformidad con la legislación nacional, tendrá la oportunidad de participar, individual o colectivamente, en el proceso de preparación de las decisiones que conciernan directamente a su medio ambiente y, cuando éste haya sido objeto de daño o deterioro, podrá ejercer los recursos necesarios para obtener una indemnización</w:t>
      </w:r>
      <w:r w:rsidRPr="007B3017">
        <w:rPr>
          <w:rFonts w:cs="Arial"/>
          <w:szCs w:val="20"/>
          <w:lang w:val="es-CO"/>
        </w:rPr>
        <w:t>”.</w:t>
      </w:r>
    </w:p>
  </w:footnote>
  <w:footnote w:id="26">
    <w:p w14:paraId="28338670" w14:textId="77777777" w:rsidR="00642E22" w:rsidRPr="000D6E21" w:rsidRDefault="00642E22" w:rsidP="007B3017">
      <w:pPr>
        <w:pStyle w:val="Textonotapie"/>
        <w:rPr>
          <w:rFonts w:cs="Arial"/>
          <w:szCs w:val="20"/>
          <w:lang w:val="es-CO"/>
        </w:rPr>
      </w:pPr>
      <w:r w:rsidRPr="000D6E21">
        <w:rPr>
          <w:rStyle w:val="Refdenotaalpie"/>
          <w:rFonts w:cs="Arial"/>
          <w:sz w:val="20"/>
          <w:szCs w:val="20"/>
          <w:lang w:val="es-CO"/>
        </w:rPr>
        <w:footnoteRef/>
      </w:r>
      <w:r w:rsidRPr="000D6E21">
        <w:rPr>
          <w:rFonts w:cs="Arial"/>
          <w:szCs w:val="20"/>
          <w:lang w:val="es-CO"/>
        </w:rPr>
        <w:t xml:space="preserve"> Según el cual “</w:t>
      </w:r>
      <w:r w:rsidRPr="000D6E21">
        <w:rPr>
          <w:rFonts w:cs="Arial"/>
          <w:i/>
          <w:szCs w:val="20"/>
          <w:lang w:val="es-CO"/>
        </w:rPr>
        <w:t xml:space="preserve">El mejor modo de tratar las cuestiones ambientales es con la participación de todos los ciudadanos interesados, en el nivel que corresponda. En el plano nacional, toda persona deberá tener acceso adecuado a la información sobre el medio ambiente de que dispongan las </w:t>
      </w:r>
      <w:proofErr w:type="gramStart"/>
      <w:r w:rsidRPr="000D6E21">
        <w:rPr>
          <w:rFonts w:cs="Arial"/>
          <w:i/>
          <w:szCs w:val="20"/>
          <w:lang w:val="es-CO"/>
        </w:rPr>
        <w:t>autoridades públicas</w:t>
      </w:r>
      <w:proofErr w:type="gramEnd"/>
      <w:r w:rsidRPr="000D6E21">
        <w:rPr>
          <w:rFonts w:cs="Arial"/>
          <w:i/>
          <w:szCs w:val="20"/>
          <w:lang w:val="es-CO"/>
        </w:rPr>
        <w:t>, incluida la información sobre los materiales y las actividades que encierran peligro en sus comunidades, así como la oportunidad de participar en los procesos de adopción de decisiones. Los Estados deberán facilitar y fomentar la sensibilización y la participación de la población poniendo la información a disposición de todos. Deberá proporcionarse acceso efectivo a los procedimientos judiciales y administrativos, entre estos el resarcimiento de daños y los recursos pertinentes”</w:t>
      </w:r>
      <w:r w:rsidRPr="000D6E21">
        <w:rPr>
          <w:rFonts w:cs="Arial"/>
          <w:szCs w:val="20"/>
          <w:lang w:val="es-CO"/>
        </w:rPr>
        <w:t>.</w:t>
      </w:r>
    </w:p>
  </w:footnote>
  <w:footnote w:id="27">
    <w:p w14:paraId="5BB93E8B" w14:textId="77777777" w:rsidR="00642E22" w:rsidRPr="000D6E21" w:rsidRDefault="00642E22" w:rsidP="007B3017">
      <w:pPr>
        <w:pStyle w:val="Textonotapie"/>
        <w:rPr>
          <w:rFonts w:cs="Arial"/>
          <w:szCs w:val="20"/>
          <w:lang w:val="es-CO"/>
        </w:rPr>
      </w:pPr>
      <w:r w:rsidRPr="000D6E21">
        <w:rPr>
          <w:rStyle w:val="Refdenotaalpie"/>
          <w:rFonts w:cs="Arial"/>
          <w:sz w:val="20"/>
          <w:szCs w:val="20"/>
          <w:lang w:val="es-CO"/>
        </w:rPr>
        <w:footnoteRef/>
      </w:r>
      <w:r w:rsidRPr="000D6E21">
        <w:rPr>
          <w:rFonts w:cs="Arial"/>
          <w:szCs w:val="20"/>
          <w:lang w:val="es-CO"/>
        </w:rPr>
        <w:t xml:space="preserve"> Acuerdo conocido como Agenda 21, aprobado en la Conferencia de las Naciones Unidas sobre el Medio Ambiente y el Desarrollo que se reunió en Río de Janeiro en 1992, cuyo capítulo 23.2 señala que “</w:t>
      </w:r>
      <w:r w:rsidRPr="000D6E21">
        <w:rPr>
          <w:rFonts w:cs="Arial"/>
          <w:i/>
          <w:szCs w:val="20"/>
          <w:lang w:val="es-CO"/>
        </w:rPr>
        <w:t>Uno de los requisitos fundamentales para alcanzar el desarrollo sostenible es la amplia participación de la opinión pública en la adopción de decisiones. Además, en el contexto más concreto del medio ambiente y el desarrollo, se ha hecho evidente la necesidad de emplear nuevas formas de participación. Se trata de la necesidad de que las personas, los grupos y las organizaciones participen en los procedimientos de evaluación del impacto ambiental, conozcan el mecanismo de adopción de decisiones y participen en él, sobre todo cuando exista la posibilidad de que esas decisiones afecten a las comunidades donde viven y trabajan. Toda persona, grupo u organización debería tener acceso a la información relativa al medio ambiente y el desarrollo con que contaran las autoridades nacionales, incluso a la información acerca de productos y actividades que tuvieran consecuencias importantes para el medio ambiente o hubiera probabilidades de que las tuvieran, así como a la información sobre las medidas de protección del medio ambiente</w:t>
      </w:r>
      <w:r w:rsidRPr="000D6E21">
        <w:rPr>
          <w:rFonts w:cs="Arial"/>
          <w:szCs w:val="20"/>
          <w:lang w:val="es-CO"/>
        </w:rPr>
        <w:t>”.</w:t>
      </w:r>
    </w:p>
  </w:footnote>
  <w:footnote w:id="28">
    <w:p w14:paraId="6CA13BC0" w14:textId="77777777" w:rsidR="00642E22" w:rsidRPr="007B3017" w:rsidRDefault="00642E22" w:rsidP="007B3017">
      <w:pPr>
        <w:rPr>
          <w:rFonts w:cs="Arial"/>
          <w:sz w:val="20"/>
          <w:szCs w:val="20"/>
        </w:rPr>
      </w:pPr>
      <w:r w:rsidRPr="000D6E21">
        <w:rPr>
          <w:rStyle w:val="Refdenotaalpie"/>
          <w:rFonts w:cs="Arial"/>
          <w:sz w:val="20"/>
          <w:szCs w:val="20"/>
          <w:lang w:val="es-CO"/>
        </w:rPr>
        <w:footnoteRef/>
      </w:r>
      <w:r w:rsidRPr="007B3017">
        <w:rPr>
          <w:rFonts w:cs="Arial"/>
          <w:sz w:val="20"/>
          <w:szCs w:val="20"/>
        </w:rPr>
        <w:t xml:space="preserve"> Que </w:t>
      </w:r>
      <w:r w:rsidRPr="000D6E21">
        <w:rPr>
          <w:rFonts w:cs="Arial"/>
          <w:sz w:val="20"/>
          <w:szCs w:val="20"/>
        </w:rPr>
        <w:t>en su artículo 74 establece el derecho de petición en materia ambiental.</w:t>
      </w:r>
    </w:p>
  </w:footnote>
  <w:footnote w:id="29">
    <w:p w14:paraId="007E2C1D" w14:textId="77777777" w:rsidR="00642E22" w:rsidRPr="000D6E21" w:rsidRDefault="00642E22" w:rsidP="007B3017">
      <w:pPr>
        <w:pStyle w:val="Textonotapie"/>
        <w:rPr>
          <w:rFonts w:cs="Arial"/>
          <w:szCs w:val="20"/>
          <w:lang w:val="es-CO"/>
        </w:rPr>
      </w:pPr>
      <w:r w:rsidRPr="000D6E21">
        <w:rPr>
          <w:rStyle w:val="Refdenotaalpie"/>
          <w:rFonts w:cs="Arial"/>
          <w:sz w:val="20"/>
          <w:szCs w:val="20"/>
          <w:lang w:val="es-CO"/>
        </w:rPr>
        <w:footnoteRef/>
      </w:r>
      <w:r w:rsidRPr="000D6E21">
        <w:rPr>
          <w:rFonts w:cs="Arial"/>
          <w:szCs w:val="20"/>
          <w:lang w:val="es-CO"/>
        </w:rPr>
        <w:t xml:space="preserve"> Que expide el Código de Procedimiento Administrativo y de lo Contencioso Administrativo y que en su artículo 3 establece que las actuaciones administrativas deben desarrollarse mediante los principios de debido proceso, igualdad, imparcialidad, buena fe, moralidad, participación, responsabilidad, transparencia, publicidad, coordinación, eficacia, economía y celeridad.</w:t>
      </w:r>
    </w:p>
  </w:footnote>
  <w:footnote w:id="30">
    <w:p w14:paraId="036F15A7" w14:textId="77777777" w:rsidR="00642E22" w:rsidRPr="007B3017" w:rsidRDefault="00642E22" w:rsidP="007B3017">
      <w:pPr>
        <w:rPr>
          <w:rFonts w:cs="Arial"/>
          <w:sz w:val="20"/>
          <w:szCs w:val="20"/>
        </w:rPr>
      </w:pPr>
      <w:r w:rsidRPr="000D6E21">
        <w:rPr>
          <w:rStyle w:val="Refdenotaalpie"/>
          <w:rFonts w:cs="Arial"/>
          <w:sz w:val="20"/>
          <w:szCs w:val="20"/>
          <w:lang w:val="es-CO"/>
        </w:rPr>
        <w:footnoteRef/>
      </w:r>
      <w:r w:rsidRPr="007B3017">
        <w:rPr>
          <w:rFonts w:cs="Arial"/>
          <w:sz w:val="20"/>
          <w:szCs w:val="20"/>
        </w:rPr>
        <w:t xml:space="preserve"> Que regula el derecho fundamental de acceso a la información pública.</w:t>
      </w:r>
    </w:p>
  </w:footnote>
  <w:footnote w:id="31">
    <w:p w14:paraId="579E5539" w14:textId="77777777" w:rsidR="00642E22" w:rsidRPr="007B3017" w:rsidRDefault="00642E22" w:rsidP="007B3017">
      <w:pPr>
        <w:rPr>
          <w:rFonts w:cs="Arial"/>
          <w:sz w:val="20"/>
          <w:szCs w:val="20"/>
        </w:rPr>
      </w:pPr>
      <w:r w:rsidRPr="000D6E21">
        <w:rPr>
          <w:rStyle w:val="Refdenotaalpie"/>
          <w:rFonts w:cs="Arial"/>
          <w:sz w:val="20"/>
          <w:szCs w:val="20"/>
          <w:lang w:val="es-CO"/>
        </w:rPr>
        <w:footnoteRef/>
      </w:r>
      <w:r w:rsidRPr="007B3017">
        <w:rPr>
          <w:rFonts w:cs="Arial"/>
          <w:sz w:val="20"/>
          <w:szCs w:val="20"/>
        </w:rPr>
        <w:t xml:space="preserve"> Que regula el derecho fundamental de petición.</w:t>
      </w:r>
    </w:p>
  </w:footnote>
  <w:footnote w:id="32">
    <w:p w14:paraId="703861D3" w14:textId="77777777" w:rsidR="00642E22" w:rsidRPr="007B3017" w:rsidRDefault="00642E22" w:rsidP="007B3017">
      <w:pPr>
        <w:pStyle w:val="Textonotapie"/>
        <w:rPr>
          <w:rFonts w:cs="Arial"/>
          <w:szCs w:val="20"/>
          <w:lang w:val="fr-FR"/>
        </w:rPr>
      </w:pPr>
      <w:r w:rsidRPr="007B3017">
        <w:rPr>
          <w:rStyle w:val="Refdenotaalpie"/>
          <w:rFonts w:cs="Arial"/>
          <w:sz w:val="20"/>
          <w:szCs w:val="20"/>
        </w:rPr>
        <w:footnoteRef/>
      </w:r>
      <w:r w:rsidRPr="007B3017">
        <w:rPr>
          <w:rFonts w:cs="Arial"/>
          <w:szCs w:val="20"/>
          <w:lang w:val="fr-FR"/>
        </w:rPr>
        <w:t xml:space="preserve"> Sentencias T-348 de 2012, T-294 de 2014, T-704 de 2016 y SU-217 de 2017.</w:t>
      </w:r>
    </w:p>
  </w:footnote>
  <w:footnote w:id="33">
    <w:p w14:paraId="32C128DD" w14:textId="594BBA0D" w:rsidR="00642E22" w:rsidRPr="007B3017" w:rsidRDefault="00642E22" w:rsidP="007B3017">
      <w:pPr>
        <w:pStyle w:val="Textonotapie"/>
        <w:rPr>
          <w:rFonts w:cs="Arial"/>
          <w:szCs w:val="20"/>
        </w:rPr>
      </w:pPr>
      <w:r w:rsidRPr="007B3017">
        <w:rPr>
          <w:rStyle w:val="Refdenotaalpie"/>
          <w:rFonts w:cs="Arial"/>
          <w:sz w:val="20"/>
          <w:szCs w:val="20"/>
        </w:rPr>
        <w:footnoteRef/>
      </w:r>
      <w:r w:rsidRPr="007B3017">
        <w:rPr>
          <w:rFonts w:cs="Arial"/>
          <w:szCs w:val="20"/>
        </w:rPr>
        <w:t xml:space="preserve"> Se hace referencia a las personas que tienen mayor dificultad para informarse y participar de manera efectiva por diversas situaciones, entre ellas, limitaciones tecnológicas, auditivas, por tener una lengua diferente al castellano o vivir en espacios territoriales de difícil acceso.</w:t>
      </w:r>
    </w:p>
  </w:footnote>
  <w:footnote w:id="34">
    <w:p w14:paraId="5A69F9F4" w14:textId="2AD05D47" w:rsidR="00D264DF" w:rsidRPr="007B3017" w:rsidRDefault="00D264DF" w:rsidP="007B3017">
      <w:pPr>
        <w:pStyle w:val="Textonotapie"/>
        <w:rPr>
          <w:rFonts w:cs="Arial"/>
          <w:szCs w:val="20"/>
        </w:rPr>
      </w:pPr>
      <w:r w:rsidRPr="007B3017">
        <w:rPr>
          <w:rStyle w:val="Refdenotaalpie"/>
          <w:rFonts w:cs="Arial"/>
          <w:sz w:val="20"/>
          <w:szCs w:val="20"/>
        </w:rPr>
        <w:footnoteRef/>
      </w:r>
      <w:r w:rsidRPr="007B3017">
        <w:rPr>
          <w:rFonts w:cs="Arial"/>
          <w:szCs w:val="20"/>
        </w:rPr>
        <w:t xml:space="preserve"> Según la Sentencia T-678/16 de la Corte Constitucional los grupos de especial protección constitucional son los niños, los adolescentes, los ancianos, los disminuidos físicos, síquicos y sensoriales, las mujeres cabeza de familia, las personas desplazadas por la violencia y aquellas que se encuentran en extrema pobreza.</w:t>
      </w:r>
    </w:p>
  </w:footnote>
  <w:footnote w:id="35">
    <w:p w14:paraId="374977F5" w14:textId="77777777" w:rsidR="00642E22" w:rsidRPr="007B3017" w:rsidRDefault="00642E22" w:rsidP="007B3017">
      <w:pPr>
        <w:pStyle w:val="Textonotapie"/>
        <w:rPr>
          <w:rFonts w:cs="Arial"/>
          <w:szCs w:val="20"/>
          <w:lang w:val="es-CO"/>
        </w:rPr>
      </w:pPr>
      <w:r w:rsidRPr="007B3017">
        <w:rPr>
          <w:rStyle w:val="Refdenotaalpie"/>
          <w:rFonts w:cs="Arial"/>
          <w:sz w:val="20"/>
          <w:szCs w:val="20"/>
        </w:rPr>
        <w:footnoteRef/>
      </w:r>
      <w:r w:rsidRPr="007B3017">
        <w:rPr>
          <w:rFonts w:cs="Arial"/>
          <w:szCs w:val="20"/>
        </w:rPr>
        <w:t xml:space="preserve"> Entre ellas, las históricas, demográficas, educativas, de vulnerabilidad, de conflictividad socioambiental, de liderazgo social y ambiental y de limitación a la participación por amenazas a la vida (señaladas en el numeral 4.3 de este capítulo).</w:t>
      </w:r>
    </w:p>
  </w:footnote>
  <w:footnote w:id="36">
    <w:p w14:paraId="188BCB65" w14:textId="77777777" w:rsidR="00642E22" w:rsidRPr="007B3017" w:rsidRDefault="00642E22"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Durante la convocatoria a los procesos de participación pueden proponerse fechas preliminares, no obstante, es necesario que las comunidades tengan pleno conocimiento de las fechas definitivas de forma oportuna.</w:t>
      </w:r>
    </w:p>
  </w:footnote>
  <w:footnote w:id="37">
    <w:p w14:paraId="6160073D" w14:textId="60FDB81C"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w:t>
      </w:r>
      <w:r w:rsidR="00B44BB4" w:rsidRPr="007B3017">
        <w:rPr>
          <w:rFonts w:cs="Arial"/>
          <w:szCs w:val="20"/>
          <w:lang w:val="es-CO"/>
        </w:rPr>
        <w:t xml:space="preserve">Cada </w:t>
      </w:r>
      <w:r w:rsidRPr="007B3017">
        <w:rPr>
          <w:rFonts w:cs="Arial"/>
          <w:szCs w:val="20"/>
          <w:lang w:val="es-CO"/>
        </w:rPr>
        <w:t xml:space="preserve">factor ambiental </w:t>
      </w:r>
      <w:r w:rsidR="00B44BB4" w:rsidRPr="007B3017">
        <w:rPr>
          <w:rFonts w:cs="Arial"/>
          <w:szCs w:val="20"/>
          <w:lang w:val="es-CO"/>
        </w:rPr>
        <w:t xml:space="preserve">posiblemente impactado </w:t>
      </w:r>
      <w:r w:rsidRPr="007B3017">
        <w:rPr>
          <w:rFonts w:cs="Arial"/>
          <w:szCs w:val="20"/>
          <w:lang w:val="es-CO"/>
        </w:rPr>
        <w:t>debe caracterizarse en toda el área de estudio del componente al cual correspond</w:t>
      </w:r>
      <w:r w:rsidR="00B44BB4" w:rsidRPr="007B3017">
        <w:rPr>
          <w:rFonts w:cs="Arial"/>
          <w:szCs w:val="20"/>
          <w:lang w:val="es-CO"/>
        </w:rPr>
        <w:t>a</w:t>
      </w:r>
      <w:r w:rsidRPr="007B3017">
        <w:rPr>
          <w:rFonts w:cs="Arial"/>
          <w:szCs w:val="20"/>
          <w:lang w:val="es-CO"/>
        </w:rPr>
        <w:t>. Por ejemplo, si se determina que el factor Calidad del agua podría ser impactado por las alternativas del proyecto, es necesario caracterizar los parámetros de calidad del agua potencialmente impactados en el área de estudio del componente hidrológico.</w:t>
      </w:r>
    </w:p>
  </w:footnote>
  <w:footnote w:id="38">
    <w:p w14:paraId="774BB33D" w14:textId="662438CA" w:rsidR="00D55F13" w:rsidRPr="007B3017" w:rsidRDefault="00D55F13" w:rsidP="007B3017">
      <w:pPr>
        <w:overflowPunct/>
        <w:autoSpaceDE/>
        <w:autoSpaceDN/>
        <w:adjustRightInd/>
        <w:textAlignment w:val="auto"/>
        <w:rPr>
          <w:rFonts w:cs="Arial"/>
          <w:sz w:val="20"/>
          <w:szCs w:val="20"/>
          <w:lang w:eastAsia="es-ES_tradnl"/>
        </w:rPr>
      </w:pPr>
      <w:r w:rsidRPr="007B3017">
        <w:rPr>
          <w:rStyle w:val="Refdenotaalpie"/>
          <w:rFonts w:cs="Arial"/>
          <w:sz w:val="20"/>
          <w:szCs w:val="20"/>
          <w:lang w:val="es-CO"/>
        </w:rPr>
        <w:footnoteRef/>
      </w:r>
      <w:r w:rsidRPr="007B3017">
        <w:rPr>
          <w:rFonts w:cs="Arial"/>
          <w:sz w:val="20"/>
          <w:szCs w:val="20"/>
        </w:rPr>
        <w:t xml:space="preserve"> https://www.icde.org.co/</w:t>
      </w:r>
    </w:p>
  </w:footnote>
  <w:footnote w:id="39">
    <w:p w14:paraId="23DE942D" w14:textId="69D0D8E2" w:rsidR="00D55F13" w:rsidRPr="007B3017" w:rsidRDefault="00D55F13" w:rsidP="007B3017">
      <w:pPr>
        <w:overflowPunct/>
        <w:autoSpaceDE/>
        <w:autoSpaceDN/>
        <w:adjustRightInd/>
        <w:textAlignment w:val="auto"/>
        <w:rPr>
          <w:rFonts w:cs="Arial"/>
          <w:sz w:val="20"/>
          <w:szCs w:val="20"/>
          <w:lang w:eastAsia="es-ES_tradnl"/>
        </w:rPr>
      </w:pPr>
      <w:r w:rsidRPr="007B3017">
        <w:rPr>
          <w:rStyle w:val="Refdenotaalpie"/>
          <w:rFonts w:cs="Arial"/>
          <w:sz w:val="20"/>
          <w:szCs w:val="20"/>
          <w:lang w:val="es-CO"/>
        </w:rPr>
        <w:footnoteRef/>
      </w:r>
      <w:r w:rsidRPr="007B3017">
        <w:rPr>
          <w:rFonts w:cs="Arial"/>
          <w:sz w:val="20"/>
          <w:szCs w:val="20"/>
        </w:rPr>
        <w:t xml:space="preserve"> https://www.igac.gov.co/es/ide/estrategia-y-gobierno-geoespacial/estandares/agrologia</w:t>
      </w:r>
    </w:p>
  </w:footnote>
  <w:footnote w:id="40">
    <w:p w14:paraId="1CB4EC76" w14:textId="77068A68" w:rsidR="00D55F13" w:rsidRPr="007B3017" w:rsidRDefault="00D55F13" w:rsidP="007B3017">
      <w:pPr>
        <w:rPr>
          <w:rFonts w:cs="Arial"/>
          <w:sz w:val="20"/>
          <w:szCs w:val="20"/>
        </w:rPr>
      </w:pPr>
      <w:r w:rsidRPr="007B3017">
        <w:rPr>
          <w:rStyle w:val="Refdenotaalpie"/>
          <w:rFonts w:cs="Arial"/>
          <w:sz w:val="20"/>
          <w:szCs w:val="20"/>
          <w:lang w:val="es-CO"/>
        </w:rPr>
        <w:footnoteRef/>
      </w:r>
      <w:r w:rsidRPr="007B3017">
        <w:rPr>
          <w:rFonts w:cs="Arial"/>
          <w:sz w:val="20"/>
          <w:szCs w:val="20"/>
        </w:rPr>
        <w:t xml:space="preserve"> Dicha existencia debe corroborarse mediante </w:t>
      </w:r>
      <w:r w:rsidRPr="007B3017">
        <w:rPr>
          <w:rFonts w:cs="Arial"/>
          <w:spacing w:val="-3"/>
          <w:sz w:val="20"/>
          <w:szCs w:val="20"/>
        </w:rPr>
        <w:t>consulta a la autoridad ambiental competente.</w:t>
      </w:r>
    </w:p>
  </w:footnote>
  <w:footnote w:id="41">
    <w:p w14:paraId="18D648E3" w14:textId="05912FA6" w:rsidR="00D55F13" w:rsidRPr="007B3017" w:rsidRDefault="00D55F13" w:rsidP="007B3017">
      <w:pPr>
        <w:overflowPunct/>
        <w:autoSpaceDE/>
        <w:autoSpaceDN/>
        <w:adjustRightInd/>
        <w:textAlignment w:val="auto"/>
        <w:rPr>
          <w:rFonts w:cs="Arial"/>
          <w:sz w:val="20"/>
          <w:szCs w:val="20"/>
          <w:lang w:eastAsia="es-ES_tradnl"/>
        </w:rPr>
      </w:pPr>
      <w:r w:rsidRPr="007B3017">
        <w:rPr>
          <w:rStyle w:val="Refdenotaalpie"/>
          <w:rFonts w:cs="Arial"/>
          <w:sz w:val="20"/>
          <w:szCs w:val="20"/>
          <w:lang w:val="es-CO"/>
        </w:rPr>
        <w:footnoteRef/>
      </w:r>
      <w:r w:rsidRPr="007B3017">
        <w:rPr>
          <w:rFonts w:cs="Arial"/>
          <w:sz w:val="20"/>
          <w:szCs w:val="20"/>
        </w:rPr>
        <w:t xml:space="preserve"> </w:t>
      </w:r>
      <w:r w:rsidRPr="007B3017">
        <w:rPr>
          <w:rFonts w:cs="Arial"/>
          <w:color w:val="000000"/>
          <w:sz w:val="20"/>
          <w:szCs w:val="20"/>
          <w:lang w:eastAsia="es-CO"/>
        </w:rPr>
        <w:t xml:space="preserve">La cual puede ser descargada libremente, junto con sus metadatos, del Sistema de Información Ambiental de Colombia (SIAC) en: </w:t>
      </w:r>
      <w:r w:rsidRPr="007B3017">
        <w:rPr>
          <w:rFonts w:cs="Arial"/>
          <w:sz w:val="20"/>
          <w:szCs w:val="20"/>
        </w:rPr>
        <w:t>http://www.siac.gov.co/catalogo-de-mapas.</w:t>
      </w:r>
    </w:p>
  </w:footnote>
  <w:footnote w:id="42">
    <w:p w14:paraId="1E18DAFE" w14:textId="5F8C83F5" w:rsidR="00F06D27" w:rsidRPr="000D6E21" w:rsidRDefault="00F06D27" w:rsidP="00F06D27">
      <w:pPr>
        <w:pStyle w:val="Textonotapie"/>
        <w:rPr>
          <w:rFonts w:cs="Arial"/>
          <w:szCs w:val="20"/>
          <w:highlight w:val="green"/>
          <w:lang w:val="es-CO"/>
        </w:rPr>
      </w:pPr>
      <w:r w:rsidRPr="000D6E21">
        <w:rPr>
          <w:szCs w:val="20"/>
        </w:rPr>
        <w:footnoteRef/>
      </w:r>
      <w:r w:rsidRPr="000D6E21">
        <w:rPr>
          <w:rFonts w:cs="Arial"/>
          <w:szCs w:val="20"/>
          <w:lang w:val="es-CO"/>
        </w:rPr>
        <w:t xml:space="preserve"> De acuerdo con lo establecido en el artículo 2.2.3.3.1.3 del Decreto 1076 de 2015, el caudal ambiental es el “Volumen de agua por unidad de tiempo, en términos de régimen y calidad, requerido para mantener el funcionamiento y resiliencia de los ecosistemas acuáticos y su provisión de servicios ecosistémicos”.</w:t>
      </w:r>
    </w:p>
  </w:footnote>
  <w:footnote w:id="43">
    <w:p w14:paraId="4D2E280D" w14:textId="3273254F" w:rsidR="00C64B85" w:rsidRPr="000D6E21" w:rsidRDefault="00C64B85">
      <w:pPr>
        <w:pStyle w:val="Textonotapie"/>
        <w:rPr>
          <w:lang w:val="es-MX"/>
        </w:rPr>
      </w:pPr>
      <w:r w:rsidRPr="000D6E21">
        <w:rPr>
          <w:rStyle w:val="Refdenotaalpie"/>
          <w:sz w:val="20"/>
          <w:szCs w:val="20"/>
        </w:rPr>
        <w:footnoteRef/>
      </w:r>
      <w:r w:rsidRPr="00047AB6">
        <w:rPr>
          <w:szCs w:val="20"/>
        </w:rPr>
        <w:t xml:space="preserve"> En caso de que la autoridad ambiental no haya emitido instrumento alguno </w:t>
      </w:r>
      <w:r w:rsidR="00102FD3" w:rsidRPr="00047AB6">
        <w:rPr>
          <w:szCs w:val="20"/>
        </w:rPr>
        <w:t xml:space="preserve">u obtenido </w:t>
      </w:r>
      <w:r w:rsidRPr="00047AB6">
        <w:rPr>
          <w:szCs w:val="20"/>
        </w:rPr>
        <w:t xml:space="preserve">información de calidad de agua e hidrobiología </w:t>
      </w:r>
      <w:r w:rsidR="00102FD3" w:rsidRPr="00047AB6">
        <w:rPr>
          <w:szCs w:val="20"/>
        </w:rPr>
        <w:t xml:space="preserve">mediante sus labores de </w:t>
      </w:r>
      <w:r w:rsidRPr="00047AB6">
        <w:rPr>
          <w:szCs w:val="20"/>
        </w:rPr>
        <w:t xml:space="preserve">monitoreo, </w:t>
      </w:r>
      <w:r w:rsidR="00102FD3" w:rsidRPr="00047AB6">
        <w:rPr>
          <w:szCs w:val="20"/>
        </w:rPr>
        <w:t xml:space="preserve">es posible emplear </w:t>
      </w:r>
      <w:r w:rsidRPr="00047AB6">
        <w:rPr>
          <w:szCs w:val="20"/>
        </w:rPr>
        <w:t xml:space="preserve">información </w:t>
      </w:r>
      <w:r w:rsidR="00102FD3" w:rsidRPr="00047AB6">
        <w:rPr>
          <w:szCs w:val="20"/>
        </w:rPr>
        <w:t>técnica y científicamente válida de otras fuentes</w:t>
      </w:r>
      <w:r w:rsidRPr="00047AB6">
        <w:rPr>
          <w:szCs w:val="20"/>
        </w:rPr>
        <w:t>.</w:t>
      </w:r>
    </w:p>
  </w:footnote>
  <w:footnote w:id="44">
    <w:p w14:paraId="4F057495" w14:textId="1FEC1AD5" w:rsidR="00666745" w:rsidRPr="000D6E21" w:rsidRDefault="00666745">
      <w:pPr>
        <w:pStyle w:val="Textonotapie"/>
        <w:rPr>
          <w:lang w:val="es-MX"/>
        </w:rPr>
      </w:pPr>
      <w:r>
        <w:rPr>
          <w:rStyle w:val="Refdenotaalpie"/>
        </w:rPr>
        <w:footnoteRef/>
      </w:r>
      <w:r>
        <w:t xml:space="preserve"> </w:t>
      </w:r>
      <w:r w:rsidRPr="00666745">
        <w:t xml:space="preserve">Lo anterior hasta que sea expedida </w:t>
      </w:r>
      <w:r>
        <w:t xml:space="preserve">una </w:t>
      </w:r>
      <w:r w:rsidRPr="00666745">
        <w:t xml:space="preserve">guía para la estimación de caudales ambientales </w:t>
      </w:r>
      <w:r>
        <w:t xml:space="preserve">en el ámbito </w:t>
      </w:r>
      <w:r w:rsidRPr="00666745">
        <w:t>nacional</w:t>
      </w:r>
      <w:r>
        <w:t>.</w:t>
      </w:r>
    </w:p>
  </w:footnote>
  <w:footnote w:id="45">
    <w:p w14:paraId="42D0A8ED" w14:textId="50F8A57A"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Debe entenderse por acuífero lo establecido en el artículo 2.2.3.1.1.3. del Decreto 1076 de 2015.</w:t>
      </w:r>
    </w:p>
  </w:footnote>
  <w:footnote w:id="46">
    <w:p w14:paraId="2E25214C" w14:textId="7DA3428A" w:rsidR="00D55F13" w:rsidRPr="007B3017" w:rsidRDefault="00D55F13" w:rsidP="007B3017">
      <w:pPr>
        <w:overflowPunct/>
        <w:autoSpaceDE/>
        <w:autoSpaceDN/>
        <w:adjustRightInd/>
        <w:textAlignment w:val="auto"/>
        <w:rPr>
          <w:rFonts w:cs="Arial"/>
          <w:sz w:val="20"/>
          <w:szCs w:val="20"/>
        </w:rPr>
      </w:pPr>
      <w:r w:rsidRPr="007B3017">
        <w:rPr>
          <w:rStyle w:val="Refdenotaalpie"/>
          <w:rFonts w:cs="Arial"/>
          <w:sz w:val="20"/>
          <w:szCs w:val="20"/>
          <w:lang w:val="es-CO"/>
        </w:rPr>
        <w:footnoteRef/>
      </w:r>
      <w:r w:rsidRPr="007B3017">
        <w:rPr>
          <w:rFonts w:cs="Arial"/>
          <w:sz w:val="20"/>
          <w:szCs w:val="20"/>
        </w:rPr>
        <w:t xml:space="preserve"> El catálogo nacional de estaciones del </w:t>
      </w:r>
      <w:proofErr w:type="spellStart"/>
      <w:r w:rsidRPr="007B3017">
        <w:rPr>
          <w:rFonts w:cs="Arial"/>
          <w:sz w:val="20"/>
          <w:szCs w:val="20"/>
        </w:rPr>
        <w:t>Ideam</w:t>
      </w:r>
      <w:proofErr w:type="spellEnd"/>
      <w:r w:rsidRPr="007B3017">
        <w:rPr>
          <w:rFonts w:cs="Arial"/>
          <w:sz w:val="20"/>
          <w:szCs w:val="20"/>
        </w:rPr>
        <w:t xml:space="preserve"> puede ser consultado en el siguiente enlace: http://dhime.ideam.gov.co/webgis/home/</w:t>
      </w:r>
    </w:p>
  </w:footnote>
  <w:footnote w:id="47">
    <w:p w14:paraId="63827EA3" w14:textId="5405E2BD"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En caso de que no exista la información indicada en las fuentes secundarias, ésta debe ser generada directamente por quien elabora el estudio.</w:t>
      </w:r>
    </w:p>
  </w:footnote>
  <w:footnote w:id="48">
    <w:p w14:paraId="67287DF2" w14:textId="6AE241A2" w:rsidR="00D96A7A" w:rsidRPr="007B3017" w:rsidRDefault="00D96A7A"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El estudio ambiental debe señalar la fecha de consulta del listado de la UICN.</w:t>
      </w:r>
    </w:p>
  </w:footnote>
  <w:footnote w:id="49">
    <w:p w14:paraId="6F7FC3F8" w14:textId="2958CB6A"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En el ámbito del licenciamiento ambiental, la rareza de una especie es función de las siguientes variables: i) área de distribución geográfica; </w:t>
      </w:r>
      <w:proofErr w:type="spellStart"/>
      <w:r w:rsidRPr="007B3017">
        <w:rPr>
          <w:rFonts w:cs="Arial"/>
          <w:szCs w:val="20"/>
          <w:lang w:val="es-CO"/>
        </w:rPr>
        <w:t>ii</w:t>
      </w:r>
      <w:proofErr w:type="spellEnd"/>
      <w:r w:rsidRPr="007B3017">
        <w:rPr>
          <w:rFonts w:cs="Arial"/>
          <w:szCs w:val="20"/>
          <w:lang w:val="es-CO"/>
        </w:rPr>
        <w:t xml:space="preserve">) requerimientos de hábitat y; </w:t>
      </w:r>
      <w:proofErr w:type="spellStart"/>
      <w:r w:rsidRPr="007B3017">
        <w:rPr>
          <w:rFonts w:cs="Arial"/>
          <w:szCs w:val="20"/>
          <w:lang w:val="es-CO"/>
        </w:rPr>
        <w:t>iii</w:t>
      </w:r>
      <w:proofErr w:type="spellEnd"/>
      <w:r w:rsidRPr="007B3017">
        <w:rPr>
          <w:rFonts w:cs="Arial"/>
          <w:szCs w:val="20"/>
          <w:lang w:val="es-CO"/>
        </w:rPr>
        <w:t xml:space="preserve">) tamaños poblacionales. El documento Regiones biodiversas de </w:t>
      </w:r>
      <w:proofErr w:type="spellStart"/>
      <w:r w:rsidRPr="007B3017">
        <w:rPr>
          <w:rFonts w:cs="Arial"/>
          <w:szCs w:val="20"/>
          <w:lang w:val="es-CO"/>
        </w:rPr>
        <w:t>Kattan</w:t>
      </w:r>
      <w:proofErr w:type="spellEnd"/>
      <w:r w:rsidRPr="007B3017">
        <w:rPr>
          <w:rFonts w:cs="Arial"/>
          <w:szCs w:val="20"/>
          <w:lang w:val="es-CO"/>
        </w:rPr>
        <w:t xml:space="preserve"> &amp; Naranjo (2008), puede servir como referencia para establecer la rareza de una especie.</w:t>
      </w:r>
    </w:p>
  </w:footnote>
  <w:footnote w:id="50">
    <w:p w14:paraId="6250C61F" w14:textId="6AD82210" w:rsidR="008F0E3E" w:rsidRPr="007B3017" w:rsidRDefault="008F0E3E"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Para ecosistemas terrestres se sugiere revisar las metodologías desarrolladas por Angarita et al. (2018) para la depresión Momposina y por Carvajal-Quintero et al. (2017) para la cuenca del Magdalena</w:t>
      </w:r>
      <w:r w:rsidR="00446C5C" w:rsidRPr="000D6E21">
        <w:rPr>
          <w:rFonts w:cs="Arial"/>
          <w:szCs w:val="20"/>
          <w:lang w:val="es-CO"/>
        </w:rPr>
        <w:t xml:space="preserve"> y</w:t>
      </w:r>
      <w:r w:rsidR="00446C5C" w:rsidRPr="007B3017">
        <w:rPr>
          <w:rFonts w:cs="Arial"/>
          <w:szCs w:val="20"/>
          <w:lang w:val="es-CO"/>
        </w:rPr>
        <w:t>, para ecosistemas oceánicos, el documento de</w:t>
      </w:r>
      <w:r w:rsidR="00446C5C" w:rsidRPr="000D6E21">
        <w:rPr>
          <w:rFonts w:cs="Arial"/>
          <w:szCs w:val="20"/>
          <w:lang w:val="es-CO"/>
        </w:rPr>
        <w:t xml:space="preserve"> </w:t>
      </w:r>
      <w:proofErr w:type="spellStart"/>
      <w:r w:rsidR="00446C5C" w:rsidRPr="007B3017">
        <w:rPr>
          <w:rFonts w:cs="Arial"/>
          <w:szCs w:val="20"/>
          <w:lang w:val="es-CO"/>
        </w:rPr>
        <w:t>Carr</w:t>
      </w:r>
      <w:proofErr w:type="spellEnd"/>
      <w:r w:rsidR="00446C5C" w:rsidRPr="007B3017">
        <w:rPr>
          <w:rFonts w:cs="Arial"/>
          <w:szCs w:val="20"/>
          <w:lang w:val="es-CO"/>
        </w:rPr>
        <w:t xml:space="preserve"> &amp; </w:t>
      </w:r>
      <w:proofErr w:type="spellStart"/>
      <w:r w:rsidR="00446C5C" w:rsidRPr="007B3017">
        <w:rPr>
          <w:rFonts w:cs="Arial"/>
          <w:szCs w:val="20"/>
          <w:lang w:val="es-CO"/>
        </w:rPr>
        <w:t>Hanzen</w:t>
      </w:r>
      <w:proofErr w:type="spellEnd"/>
      <w:r w:rsidR="00446C5C" w:rsidRPr="007B3017">
        <w:rPr>
          <w:rFonts w:cs="Arial"/>
          <w:szCs w:val="20"/>
          <w:lang w:val="es-CO"/>
        </w:rPr>
        <w:t xml:space="preserve"> (2019)</w:t>
      </w:r>
      <w:r w:rsidRPr="007B3017">
        <w:rPr>
          <w:rFonts w:cs="Arial"/>
          <w:szCs w:val="20"/>
          <w:lang w:val="es-CO"/>
        </w:rPr>
        <w:t>.</w:t>
      </w:r>
    </w:p>
  </w:footnote>
  <w:footnote w:id="51">
    <w:p w14:paraId="0D9FFAFA" w14:textId="77777777" w:rsidR="00295A11" w:rsidRPr="007B3017" w:rsidRDefault="00295A11" w:rsidP="007B3017">
      <w:pPr>
        <w:pStyle w:val="Textonotapie"/>
        <w:rPr>
          <w:rFonts w:cs="Arial"/>
          <w:szCs w:val="20"/>
          <w:lang w:val="es-CO"/>
        </w:rPr>
      </w:pPr>
      <w:r w:rsidRPr="007B3017">
        <w:rPr>
          <w:rFonts w:cs="Arial"/>
          <w:szCs w:val="20"/>
          <w:vertAlign w:val="superscript"/>
          <w:lang w:val="es-CO"/>
        </w:rPr>
        <w:footnoteRef/>
      </w:r>
      <w:r w:rsidRPr="007B3017">
        <w:rPr>
          <w:rFonts w:cs="Arial"/>
          <w:szCs w:val="20"/>
          <w:lang w:val="es-CO"/>
        </w:rPr>
        <w:t xml:space="preserve"> Zonas declaradas y delimitadas por Minambiente. Es necesario verificar su vigencia dado que su declaración tiene un carácter temporal.</w:t>
      </w:r>
    </w:p>
  </w:footnote>
  <w:footnote w:id="52">
    <w:p w14:paraId="3344A9C5" w14:textId="77777777" w:rsidR="00415D30" w:rsidRPr="007B3017" w:rsidRDefault="00415D30" w:rsidP="00415D30">
      <w:pPr>
        <w:pStyle w:val="Textonotapie"/>
        <w:rPr>
          <w:rFonts w:cs="Arial"/>
          <w:szCs w:val="20"/>
          <w:lang w:val="es-CO"/>
        </w:rPr>
      </w:pPr>
      <w:r w:rsidRPr="005A71A4">
        <w:rPr>
          <w:rStyle w:val="Refdenotaalpie"/>
          <w:rFonts w:cs="Arial"/>
          <w:sz w:val="20"/>
          <w:szCs w:val="20"/>
        </w:rPr>
        <w:footnoteRef/>
      </w:r>
      <w:r w:rsidRPr="005A71A4">
        <w:rPr>
          <w:rFonts w:cs="Arial"/>
          <w:szCs w:val="20"/>
        </w:rPr>
        <w:t xml:space="preserve"> Para los proyectos de infraestructura de transporte se debe incluir información cartográfica oficial sobre posibles hallazgos y contexto forense y sobre áreas de interés forense emitida por la Unidad de Búsqueda de Personas dadas por Desaparecidas (UBPD) o por la Fiscalía general de la nación para el área de estudio del proyecto, obra o actividad.</w:t>
      </w:r>
    </w:p>
  </w:footnote>
  <w:footnote w:id="53">
    <w:p w14:paraId="47D0952C" w14:textId="3ACE6C9D"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En caso de que Minambiente establezca o adopte con posterioridad a este documento, una metodología de zonificación ambiental y zonificación de manejo ambiental, ésta deberá ser utilizada para la elaboración de estudios ambientales.</w:t>
      </w:r>
    </w:p>
  </w:footnote>
  <w:footnote w:id="54">
    <w:p w14:paraId="681F8830" w14:textId="734D3081" w:rsidR="00DD7790" w:rsidRPr="007B3017" w:rsidRDefault="00DD7790"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La determinación </w:t>
      </w:r>
      <w:r w:rsidR="009C60B0" w:rsidRPr="007B3017">
        <w:rPr>
          <w:rFonts w:cs="Arial"/>
          <w:szCs w:val="20"/>
          <w:lang w:val="es-CO"/>
        </w:rPr>
        <w:t xml:space="preserve">y evaluación </w:t>
      </w:r>
      <w:r w:rsidRPr="007B3017">
        <w:rPr>
          <w:rFonts w:cs="Arial"/>
          <w:szCs w:val="20"/>
          <w:lang w:val="es-CO"/>
        </w:rPr>
        <w:t xml:space="preserve">de impactos ambientales potenciales no debe desarrollar la evaluación de los impactos ambientales </w:t>
      </w:r>
      <w:r w:rsidR="009C60B0" w:rsidRPr="007B3017">
        <w:rPr>
          <w:rFonts w:cs="Arial"/>
          <w:szCs w:val="20"/>
          <w:lang w:val="es-CO"/>
        </w:rPr>
        <w:t>residuales acumulativos y sinérgicos, es exclusiva del EIA y cuyos lineamientos se establecen en el numeral 7.3.</w:t>
      </w:r>
      <w:r w:rsidR="008D2728" w:rsidRPr="007B3017">
        <w:rPr>
          <w:rFonts w:cs="Arial"/>
          <w:szCs w:val="20"/>
          <w:lang w:val="es-CO"/>
        </w:rPr>
        <w:t>4</w:t>
      </w:r>
      <w:r w:rsidR="009C60B0" w:rsidRPr="007B3017">
        <w:rPr>
          <w:rFonts w:cs="Arial"/>
          <w:szCs w:val="20"/>
          <w:lang w:val="es-CO"/>
        </w:rPr>
        <w:t xml:space="preserve"> del capítulo III de esta metodología.</w:t>
      </w:r>
    </w:p>
  </w:footnote>
  <w:footnote w:id="55">
    <w:p w14:paraId="4F96D572" w14:textId="008CEE09" w:rsidR="00D55F13" w:rsidRPr="007B3017" w:rsidRDefault="00D55F13" w:rsidP="007B3017">
      <w:pPr>
        <w:tabs>
          <w:tab w:val="left" w:pos="-2268"/>
        </w:tabs>
        <w:suppressAutoHyphens/>
        <w:rPr>
          <w:rFonts w:cs="Arial"/>
          <w:spacing w:val="-3"/>
          <w:sz w:val="20"/>
          <w:szCs w:val="20"/>
        </w:rPr>
      </w:pPr>
      <w:r w:rsidRPr="007B3017">
        <w:rPr>
          <w:rStyle w:val="Refdenotaalpie"/>
          <w:rFonts w:cs="Arial"/>
          <w:sz w:val="20"/>
          <w:szCs w:val="20"/>
          <w:lang w:val="es-CO"/>
        </w:rPr>
        <w:footnoteRef/>
      </w:r>
      <w:r w:rsidRPr="007B3017">
        <w:rPr>
          <w:rFonts w:cs="Arial"/>
          <w:sz w:val="20"/>
          <w:szCs w:val="20"/>
        </w:rPr>
        <w:t xml:space="preserve"> </w:t>
      </w:r>
      <w:r w:rsidR="00C000E0" w:rsidRPr="007B3017">
        <w:rPr>
          <w:rFonts w:cs="Arial"/>
          <w:spacing w:val="-3"/>
          <w:sz w:val="20"/>
          <w:szCs w:val="20"/>
        </w:rPr>
        <w:t xml:space="preserve">Determinar </w:t>
      </w:r>
      <w:r w:rsidRPr="007B3017">
        <w:rPr>
          <w:rFonts w:cs="Arial"/>
          <w:spacing w:val="-3"/>
          <w:sz w:val="20"/>
          <w:szCs w:val="20"/>
        </w:rPr>
        <w:t>los impactos ambientales potenciales que resultan significativos es fundamental para optimizar el proceso de elaboración del DAA, pues al considerar la manifestación de todos los impactos potenciales, se incrementa considerablemente la extensión del área de estudio, su caracterización y otros procesos como el de participación.</w:t>
      </w:r>
    </w:p>
  </w:footnote>
  <w:footnote w:id="56">
    <w:p w14:paraId="371BA0F7" w14:textId="1F6568BB"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Disponible en: </w:t>
      </w:r>
      <w:r w:rsidR="00E7730D" w:rsidRPr="000D6E21">
        <w:t>https://www.minambiente.gov.co/asuntos-ambientales-sectorial-y-urbana/</w:t>
      </w:r>
      <w:r w:rsidRPr="007B3017">
        <w:rPr>
          <w:rFonts w:cs="Arial"/>
          <w:szCs w:val="20"/>
          <w:lang w:val="es-CO"/>
        </w:rPr>
        <w:t>.</w:t>
      </w:r>
    </w:p>
  </w:footnote>
  <w:footnote w:id="57">
    <w:p w14:paraId="735683AD" w14:textId="13515514" w:rsidR="00F15672" w:rsidRPr="007B3017" w:rsidRDefault="00F15672" w:rsidP="007B3017">
      <w:pPr>
        <w:numPr>
          <w:ilvl w:val="12"/>
          <w:numId w:val="0"/>
        </w:numPr>
        <w:tabs>
          <w:tab w:val="left" w:pos="-2268"/>
        </w:tabs>
        <w:suppressAutoHyphens/>
        <w:rPr>
          <w:rFonts w:cs="Arial"/>
          <w:sz w:val="20"/>
          <w:szCs w:val="20"/>
        </w:rPr>
      </w:pPr>
      <w:r w:rsidRPr="007B3017">
        <w:rPr>
          <w:rStyle w:val="Refdenotaalpie"/>
          <w:rFonts w:cs="Arial"/>
          <w:sz w:val="20"/>
          <w:szCs w:val="20"/>
          <w:lang w:val="es-CO"/>
        </w:rPr>
        <w:footnoteRef/>
      </w:r>
      <w:r w:rsidRPr="007B3017">
        <w:rPr>
          <w:rFonts w:cs="Arial"/>
          <w:sz w:val="20"/>
          <w:szCs w:val="20"/>
        </w:rPr>
        <w:t xml:space="preserve"> En el </w:t>
      </w:r>
      <w:r w:rsidRPr="007B3017">
        <w:rPr>
          <w:rFonts w:cs="Arial"/>
          <w:spacing w:val="-3"/>
          <w:sz w:val="20"/>
          <w:szCs w:val="20"/>
        </w:rPr>
        <w:t xml:space="preserve">numeral </w:t>
      </w:r>
      <w:r w:rsidRPr="007B3017">
        <w:rPr>
          <w:rFonts w:cs="Arial"/>
          <w:spacing w:val="-3"/>
          <w:sz w:val="20"/>
          <w:szCs w:val="20"/>
        </w:rPr>
        <w:fldChar w:fldCharType="begin"/>
      </w:r>
      <w:r w:rsidRPr="007B3017">
        <w:rPr>
          <w:rFonts w:cs="Arial"/>
          <w:spacing w:val="-3"/>
          <w:sz w:val="20"/>
          <w:szCs w:val="20"/>
        </w:rPr>
        <w:instrText xml:space="preserve"> REF _Ref415502137 \r \h  \* MERGEFORMAT </w:instrText>
      </w:r>
      <w:r w:rsidRPr="007B3017">
        <w:rPr>
          <w:rFonts w:cs="Arial"/>
          <w:spacing w:val="-3"/>
          <w:sz w:val="20"/>
          <w:szCs w:val="20"/>
        </w:rPr>
      </w:r>
      <w:r w:rsidRPr="007B3017">
        <w:rPr>
          <w:rFonts w:cs="Arial"/>
          <w:spacing w:val="-3"/>
          <w:sz w:val="20"/>
          <w:szCs w:val="20"/>
        </w:rPr>
        <w:fldChar w:fldCharType="separate"/>
      </w:r>
      <w:r w:rsidR="00B311B1" w:rsidRPr="007B3017">
        <w:rPr>
          <w:rFonts w:cs="Arial"/>
          <w:spacing w:val="-3"/>
          <w:sz w:val="20"/>
          <w:szCs w:val="20"/>
        </w:rPr>
        <w:t>9.4</w:t>
      </w:r>
      <w:r w:rsidRPr="007B3017">
        <w:rPr>
          <w:rFonts w:cs="Arial"/>
          <w:spacing w:val="-3"/>
          <w:sz w:val="20"/>
          <w:szCs w:val="20"/>
        </w:rPr>
        <w:fldChar w:fldCharType="end"/>
      </w:r>
      <w:r w:rsidRPr="007B3017">
        <w:rPr>
          <w:rFonts w:cs="Arial"/>
          <w:spacing w:val="-3"/>
          <w:sz w:val="20"/>
          <w:szCs w:val="20"/>
        </w:rPr>
        <w:t xml:space="preserve"> de este capítulo se señalan los criterios, tanto generales como específicos a cada uno de los medios, que se deben considerar para el desarrollo de la EMC.</w:t>
      </w:r>
    </w:p>
  </w:footnote>
  <w:footnote w:id="58">
    <w:p w14:paraId="56191C4A" w14:textId="323994B7" w:rsidR="00F15672" w:rsidRPr="007B3017" w:rsidRDefault="00F15672"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Los métodos de EMC discretos son aquellos que evalúan un conjunto finito de alternativas</w:t>
      </w:r>
      <w:r w:rsidR="0050196A" w:rsidRPr="007B3017">
        <w:rPr>
          <w:rFonts w:cs="Arial"/>
          <w:szCs w:val="20"/>
          <w:lang w:val="es-CO"/>
        </w:rPr>
        <w:t>;</w:t>
      </w:r>
      <w:r w:rsidRPr="007B3017">
        <w:rPr>
          <w:rFonts w:cs="Arial"/>
          <w:szCs w:val="20"/>
          <w:lang w:val="es-CO"/>
        </w:rPr>
        <w:t xml:space="preserve"> los </w:t>
      </w:r>
      <w:r w:rsidR="0050196A" w:rsidRPr="007B3017">
        <w:rPr>
          <w:rFonts w:cs="Arial"/>
          <w:szCs w:val="20"/>
          <w:lang w:val="es-CO"/>
        </w:rPr>
        <w:t xml:space="preserve">métodos </w:t>
      </w:r>
      <w:r w:rsidRPr="007B3017">
        <w:rPr>
          <w:rFonts w:cs="Arial"/>
          <w:szCs w:val="20"/>
          <w:lang w:val="es-CO"/>
        </w:rPr>
        <w:t>continuos evalúan alternativas que varían infinitamente (</w:t>
      </w:r>
      <w:proofErr w:type="spellStart"/>
      <w:r w:rsidRPr="007B3017">
        <w:rPr>
          <w:rFonts w:cs="Arial"/>
          <w:szCs w:val="20"/>
          <w:lang w:val="es-CO"/>
        </w:rPr>
        <w:t>Guitouni</w:t>
      </w:r>
      <w:proofErr w:type="spellEnd"/>
      <w:r w:rsidRPr="007B3017">
        <w:rPr>
          <w:rFonts w:cs="Arial"/>
          <w:szCs w:val="20"/>
          <w:lang w:val="es-CO"/>
        </w:rPr>
        <w:t xml:space="preserve"> &amp; Martel, 1998; </w:t>
      </w:r>
      <w:proofErr w:type="spellStart"/>
      <w:r w:rsidRPr="007B3017">
        <w:rPr>
          <w:rFonts w:cs="Arial"/>
          <w:szCs w:val="20"/>
          <w:lang w:val="es-CO"/>
        </w:rPr>
        <w:t>Munda</w:t>
      </w:r>
      <w:proofErr w:type="spellEnd"/>
      <w:r w:rsidRPr="007B3017">
        <w:rPr>
          <w:rFonts w:cs="Arial"/>
          <w:szCs w:val="20"/>
          <w:lang w:val="es-CO"/>
        </w:rPr>
        <w:t>, 2008; DCLG, 2009). En el marco del licenciamiento ambiental sólo son aplicables los métodos discretos.</w:t>
      </w:r>
    </w:p>
  </w:footnote>
  <w:footnote w:id="59">
    <w:p w14:paraId="69AF4C0C" w14:textId="77777777" w:rsidR="001A4326" w:rsidRPr="007B3017" w:rsidRDefault="001A4326"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Si en un proceso de toma de decisión se plantea sólo una alternativa que es racional desde el punto de vista ambiental junto con un conjunto de alternativas que no lo son, la comparación y posterior selección de alternativas se inclinaría hacia la alternativa ambientalmente racional; en este caso la EMC no tendría utilidad, dado que en el fondo sólo existe una alternativa. Para poder realizar la evaluación todas las alternativas deben ser ambientalmente racionales.</w:t>
      </w:r>
    </w:p>
  </w:footnote>
  <w:footnote w:id="60">
    <w:p w14:paraId="050564F8" w14:textId="77777777" w:rsidR="001A4326" w:rsidRPr="007B3017" w:rsidRDefault="001A4326"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El cero no representa la ausencia de la característica medida, corresponde a un punto de referencia desde el que se establecen intervalos de igual magnitud que constituyen la escala.</w:t>
      </w:r>
    </w:p>
  </w:footnote>
  <w:footnote w:id="61">
    <w:p w14:paraId="0F0F6280" w14:textId="790C85BE" w:rsidR="00B301F5" w:rsidRPr="007B3017" w:rsidRDefault="00B301F5"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Es posible calcular e</w:t>
      </w:r>
      <w:r w:rsidR="00916912" w:rsidRPr="007B3017">
        <w:rPr>
          <w:rFonts w:cs="Arial"/>
          <w:szCs w:val="20"/>
          <w:lang w:val="es-CO"/>
        </w:rPr>
        <w:t xml:space="preserve">ste </w:t>
      </w:r>
      <w:r w:rsidRPr="007B3017">
        <w:rPr>
          <w:rFonts w:cs="Arial"/>
          <w:szCs w:val="20"/>
          <w:lang w:val="es-CO"/>
        </w:rPr>
        <w:t xml:space="preserve">índice empleando información del Estudio Nacional del Agua o de estudios regionales que contengan datos para el área </w:t>
      </w:r>
      <w:r w:rsidR="00916912" w:rsidRPr="007B3017">
        <w:rPr>
          <w:rFonts w:cs="Arial"/>
          <w:szCs w:val="20"/>
          <w:lang w:val="es-CO"/>
        </w:rPr>
        <w:t>de estudio</w:t>
      </w:r>
      <w:r w:rsidR="00E25DBC" w:rsidRPr="007B3017">
        <w:rPr>
          <w:rFonts w:cs="Arial"/>
          <w:szCs w:val="20"/>
          <w:lang w:val="es-CO"/>
        </w:rPr>
        <w:t>,</w:t>
      </w:r>
      <w:r w:rsidR="00916912" w:rsidRPr="007B3017">
        <w:rPr>
          <w:rFonts w:cs="Arial"/>
          <w:szCs w:val="20"/>
          <w:lang w:val="es-CO"/>
        </w:rPr>
        <w:t xml:space="preserve"> adicionado a la cantidad de agua utilizada por los diferentes sectores usuarios la demanda hídrica potencial de las alternativas y relacionando tal resultado con la oferta hídrica superficial disponible.</w:t>
      </w:r>
    </w:p>
  </w:footnote>
  <w:footnote w:id="62">
    <w:p w14:paraId="052F4063" w14:textId="456FD115"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Para identificar el factor aplicable a cada ecosistema presente en el área de estudio y estimar el valor probable a compensar de cada alternativa, se debe tomar el factor correspondiente a cada ecosistema de acuerdo con lo establecido en el Mapa de ecosistemas continentales, costeros y marinos de Colombia, Versión 2.1, escala 1:100.000 (2017), o en sus versiones oficiales posteriores.</w:t>
      </w:r>
    </w:p>
  </w:footnote>
  <w:footnote w:id="63">
    <w:p w14:paraId="00C5CD57" w14:textId="2CAC9300" w:rsidR="00D55F13" w:rsidRPr="007B3017" w:rsidRDefault="00D55F13" w:rsidP="007B3017">
      <w:pPr>
        <w:pStyle w:val="Textonotapie"/>
        <w:rPr>
          <w:rFonts w:cs="Arial"/>
          <w:szCs w:val="20"/>
          <w:lang w:val="es-CO"/>
        </w:rPr>
      </w:pPr>
      <w:r w:rsidRPr="007B3017">
        <w:rPr>
          <w:rFonts w:cs="Arial"/>
          <w:szCs w:val="20"/>
          <w:vertAlign w:val="superscript"/>
          <w:lang w:val="es-CO"/>
        </w:rPr>
        <w:footnoteRef/>
      </w:r>
      <w:r w:rsidRPr="007B3017">
        <w:rPr>
          <w:rFonts w:cs="Arial"/>
          <w:szCs w:val="20"/>
          <w:lang w:val="es-CO"/>
        </w:rPr>
        <w:t xml:space="preserve"> Categorías establecidas en el numeral de metodología y tratamiento de la información del Atlas de la Distribución de la propiedad rural en Colombia publicado por IGAC en 2012.</w:t>
      </w:r>
    </w:p>
  </w:footnote>
  <w:footnote w:id="64">
    <w:p w14:paraId="4322D59C" w14:textId="2AAC2C19" w:rsidR="002C5B64" w:rsidRPr="007B3017" w:rsidRDefault="002C5B64" w:rsidP="007B3017">
      <w:pPr>
        <w:pStyle w:val="Textonotapie"/>
        <w:rPr>
          <w:rFonts w:cs="Arial"/>
          <w:szCs w:val="20"/>
        </w:rPr>
      </w:pPr>
      <w:r w:rsidRPr="007B3017">
        <w:rPr>
          <w:rStyle w:val="Refdenotaalpie"/>
          <w:rFonts w:cs="Arial"/>
          <w:sz w:val="20"/>
          <w:szCs w:val="20"/>
        </w:rPr>
        <w:footnoteRef/>
      </w:r>
      <w:r w:rsidRPr="007B3017">
        <w:rPr>
          <w:rFonts w:cs="Arial"/>
          <w:szCs w:val="20"/>
        </w:rPr>
        <w:t xml:space="preserve"> Hace referencia a las personas que tienen mayor dificultad para informarse y participar de manera efectiva por diversas situaciones, entre ellas, limitaciones tecnológicas, auditivas, por tener una lengua diferente al castellano o vivir en espacios territoriales de difícil acceso.</w:t>
      </w:r>
    </w:p>
  </w:footnote>
  <w:footnote w:id="65">
    <w:p w14:paraId="045F8CA3" w14:textId="660B1003" w:rsidR="003032B6" w:rsidRPr="007B3017" w:rsidRDefault="003032B6" w:rsidP="007B3017">
      <w:pPr>
        <w:pStyle w:val="Textonotapie"/>
        <w:rPr>
          <w:rFonts w:cs="Arial"/>
          <w:szCs w:val="20"/>
        </w:rPr>
      </w:pPr>
      <w:r w:rsidRPr="007B3017">
        <w:rPr>
          <w:rStyle w:val="Refdenotaalpie"/>
          <w:rFonts w:cs="Arial"/>
          <w:sz w:val="20"/>
          <w:szCs w:val="20"/>
        </w:rPr>
        <w:footnoteRef/>
      </w:r>
      <w:r w:rsidRPr="007B3017">
        <w:rPr>
          <w:rFonts w:cs="Arial"/>
          <w:szCs w:val="20"/>
        </w:rPr>
        <w:t xml:space="preserve"> Según la Sentencia T-678/16 de la Corte Constitucional los grupos de especial protección constitucional son los niños, los adolescentes, los ancianos, los disminuidos físicos, síquicos y sensoriales, las mujeres cabeza de familia, las personas desplazadas por la violencia y aquellas que se encuentran en extrema pobreza.</w:t>
      </w:r>
    </w:p>
  </w:footnote>
  <w:footnote w:id="66">
    <w:p w14:paraId="1DFC5AAD" w14:textId="77777777"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De acuerdo con lo señalado por la Política nacional de producción y consumo sostenible (MAVDT, 2010).</w:t>
      </w:r>
    </w:p>
  </w:footnote>
  <w:footnote w:id="67">
    <w:p w14:paraId="752F6235" w14:textId="67CA9EEA"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Para incorporar en los diseños estas especificaciones es posible emplear como referencia los documentos Lineamientos de </w:t>
      </w:r>
      <w:r w:rsidRPr="007B3017">
        <w:rPr>
          <w:rFonts w:cs="Arial"/>
          <w:spacing w:val="-3"/>
          <w:szCs w:val="20"/>
          <w:lang w:val="es-CO"/>
        </w:rPr>
        <w:t>Infraestructura Verde Vial para Colombia (Minambiente, FCDS &amp; WWF, 2020) y Pasos de fauna en infraestructura lineal: cartilla de referencia para la toma de decisiones (Correa, 2020), u otros de reconocida idoneidad técnica.</w:t>
      </w:r>
    </w:p>
  </w:footnote>
  <w:footnote w:id="68">
    <w:p w14:paraId="34747A35" w14:textId="088D87AF" w:rsidR="000D6EE6" w:rsidRPr="007B3017" w:rsidRDefault="000D6EE6" w:rsidP="007B3017">
      <w:pPr>
        <w:pStyle w:val="Textonotapie"/>
        <w:rPr>
          <w:rFonts w:cs="Arial"/>
          <w:szCs w:val="20"/>
        </w:rPr>
      </w:pPr>
      <w:r w:rsidRPr="007B3017">
        <w:rPr>
          <w:rStyle w:val="Refdenotaalpie"/>
          <w:rFonts w:cs="Arial"/>
          <w:sz w:val="20"/>
          <w:szCs w:val="20"/>
        </w:rPr>
        <w:footnoteRef/>
      </w:r>
      <w:r w:rsidRPr="007B3017">
        <w:rPr>
          <w:rFonts w:cs="Arial"/>
          <w:szCs w:val="20"/>
        </w:rPr>
        <w:t xml:space="preserve"> Para la formulación de </w:t>
      </w:r>
      <w:r w:rsidR="00574806">
        <w:rPr>
          <w:rFonts w:cs="Arial"/>
          <w:szCs w:val="20"/>
        </w:rPr>
        <w:t>medidas</w:t>
      </w:r>
      <w:r w:rsidRPr="007B3017">
        <w:rPr>
          <w:rFonts w:cs="Arial"/>
          <w:szCs w:val="20"/>
        </w:rPr>
        <w:t xml:space="preserve"> de adaptación y mitigación puede emplearse como referencia el Portafolio de buenas prácticas para el cambio climático de ANLA</w:t>
      </w:r>
      <w:r w:rsidR="00123468" w:rsidRPr="007B3017">
        <w:rPr>
          <w:rFonts w:cs="Arial"/>
          <w:szCs w:val="20"/>
        </w:rPr>
        <w:t xml:space="preserve"> o el documento Criterios para la integración del cambio climático en la evaluación ambiental de proyectos de inversión (REDLASEIA &amp; CEPAL, 2023)</w:t>
      </w:r>
      <w:r w:rsidRPr="007B3017">
        <w:rPr>
          <w:rFonts w:cs="Arial"/>
          <w:szCs w:val="20"/>
        </w:rPr>
        <w:t>.</w:t>
      </w:r>
    </w:p>
  </w:footnote>
  <w:footnote w:id="69">
    <w:p w14:paraId="25D00A7F" w14:textId="223327A5" w:rsidR="003D7CB7" w:rsidRPr="000D6E21" w:rsidRDefault="003D7CB7" w:rsidP="007B3017">
      <w:pPr>
        <w:pStyle w:val="Textonotapie"/>
        <w:rPr>
          <w:rFonts w:cs="Arial"/>
          <w:szCs w:val="20"/>
          <w:lang w:val="es-MX"/>
        </w:rPr>
      </w:pPr>
      <w:r w:rsidRPr="007B3017">
        <w:rPr>
          <w:rStyle w:val="Refdenotaalpie"/>
          <w:rFonts w:cs="Arial"/>
          <w:sz w:val="20"/>
          <w:szCs w:val="20"/>
        </w:rPr>
        <w:footnoteRef/>
      </w:r>
      <w:r w:rsidRPr="007B3017">
        <w:rPr>
          <w:rFonts w:cs="Arial"/>
          <w:szCs w:val="20"/>
        </w:rPr>
        <w:t xml:space="preserve"> </w:t>
      </w:r>
      <w:r w:rsidR="00A42083" w:rsidRPr="007B3017">
        <w:rPr>
          <w:rFonts w:cs="Arial"/>
          <w:szCs w:val="20"/>
        </w:rPr>
        <w:t>Se debe tener en cuenta que l</w:t>
      </w:r>
      <w:r w:rsidR="00C97F8E" w:rsidRPr="007B3017">
        <w:rPr>
          <w:rFonts w:cs="Arial"/>
          <w:szCs w:val="20"/>
        </w:rPr>
        <w:t xml:space="preserve">os proyectos </w:t>
      </w:r>
      <w:r w:rsidR="00A42083" w:rsidRPr="007B3017">
        <w:rPr>
          <w:rFonts w:cs="Arial"/>
          <w:szCs w:val="20"/>
        </w:rPr>
        <w:t xml:space="preserve">o fases </w:t>
      </w:r>
      <w:r w:rsidR="00C97F8E" w:rsidRPr="007B3017">
        <w:rPr>
          <w:rFonts w:cs="Arial"/>
          <w:szCs w:val="20"/>
        </w:rPr>
        <w:t xml:space="preserve">de </w:t>
      </w:r>
      <w:r w:rsidRPr="007B3017">
        <w:rPr>
          <w:rFonts w:cs="Arial"/>
          <w:szCs w:val="20"/>
        </w:rPr>
        <w:t xml:space="preserve">duración </w:t>
      </w:r>
      <w:r w:rsidR="00C97F8E" w:rsidRPr="007B3017">
        <w:rPr>
          <w:rFonts w:cs="Arial"/>
          <w:szCs w:val="20"/>
        </w:rPr>
        <w:t xml:space="preserve">extensa deben tolerar la modificación del clima que se espera en el </w:t>
      </w:r>
      <w:r w:rsidRPr="007B3017">
        <w:rPr>
          <w:rFonts w:cs="Arial"/>
          <w:szCs w:val="20"/>
        </w:rPr>
        <w:t>largo plazo</w:t>
      </w:r>
      <w:r w:rsidR="00C97F8E" w:rsidRPr="007B3017">
        <w:rPr>
          <w:rFonts w:cs="Arial"/>
          <w:szCs w:val="20"/>
        </w:rPr>
        <w:t xml:space="preserve">, así como una mayor cantidad de </w:t>
      </w:r>
      <w:r w:rsidRPr="007B3017">
        <w:rPr>
          <w:rFonts w:cs="Arial"/>
          <w:szCs w:val="20"/>
        </w:rPr>
        <w:t>eventos extremos</w:t>
      </w:r>
      <w:r w:rsidR="00A42083" w:rsidRPr="007B3017">
        <w:rPr>
          <w:rFonts w:cs="Arial"/>
          <w:szCs w:val="20"/>
        </w:rPr>
        <w:t xml:space="preserve"> y, que e</w:t>
      </w:r>
      <w:r w:rsidRPr="007B3017">
        <w:rPr>
          <w:rFonts w:cs="Arial"/>
          <w:szCs w:val="20"/>
        </w:rPr>
        <w:t xml:space="preserve">l momento del año </w:t>
      </w:r>
      <w:r w:rsidR="00C97F8E" w:rsidRPr="007B3017">
        <w:rPr>
          <w:rFonts w:cs="Arial"/>
          <w:szCs w:val="20"/>
        </w:rPr>
        <w:t xml:space="preserve">en el que se desarrollen actividades </w:t>
      </w:r>
      <w:r w:rsidRPr="007B3017">
        <w:rPr>
          <w:rFonts w:cs="Arial"/>
          <w:szCs w:val="20"/>
        </w:rPr>
        <w:t>constructivas</w:t>
      </w:r>
      <w:r w:rsidR="00C97F8E" w:rsidRPr="007B3017">
        <w:rPr>
          <w:rFonts w:cs="Arial"/>
          <w:szCs w:val="20"/>
        </w:rPr>
        <w:t xml:space="preserve"> u </w:t>
      </w:r>
      <w:r w:rsidRPr="007B3017">
        <w:rPr>
          <w:rFonts w:cs="Arial"/>
          <w:szCs w:val="20"/>
        </w:rPr>
        <w:t xml:space="preserve">operativas </w:t>
      </w:r>
      <w:r w:rsidR="00C97F8E" w:rsidRPr="007B3017">
        <w:rPr>
          <w:rFonts w:cs="Arial"/>
          <w:szCs w:val="20"/>
        </w:rPr>
        <w:t xml:space="preserve">puede determinar diferentes posibilidades de adaptación y mitigación dado que </w:t>
      </w:r>
      <w:r w:rsidRPr="007B3017">
        <w:rPr>
          <w:rFonts w:cs="Arial"/>
          <w:szCs w:val="20"/>
        </w:rPr>
        <w:t xml:space="preserve">la ocurrencia de eventos extremos </w:t>
      </w:r>
      <w:r w:rsidR="00C97F8E" w:rsidRPr="007B3017">
        <w:rPr>
          <w:rFonts w:cs="Arial"/>
          <w:szCs w:val="20"/>
        </w:rPr>
        <w:t xml:space="preserve">es más </w:t>
      </w:r>
      <w:r w:rsidRPr="007B3017">
        <w:rPr>
          <w:rFonts w:cs="Arial"/>
          <w:szCs w:val="20"/>
        </w:rPr>
        <w:t>probable</w:t>
      </w:r>
      <w:r w:rsidR="00C97F8E" w:rsidRPr="007B3017">
        <w:rPr>
          <w:rFonts w:cs="Arial"/>
          <w:szCs w:val="20"/>
        </w:rPr>
        <w:t xml:space="preserve"> en ciertas épocas del año.</w:t>
      </w:r>
    </w:p>
  </w:footnote>
  <w:footnote w:id="70">
    <w:p w14:paraId="3C1A2416" w14:textId="517233A2"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El </w:t>
      </w:r>
      <w:r w:rsidRPr="007B3017">
        <w:rPr>
          <w:rFonts w:cs="Arial"/>
          <w:spacing w:val="-3"/>
          <w:szCs w:val="20"/>
          <w:lang w:val="es-CO"/>
        </w:rPr>
        <w:t>proyecto, obra o actividad debe tener en cuenta los usos del suelo establecidos en los instrumentos de ordenamiento territorial (</w:t>
      </w:r>
      <w:r w:rsidRPr="007B3017">
        <w:rPr>
          <w:rFonts w:cs="Arial"/>
          <w:szCs w:val="20"/>
          <w:lang w:val="es-CO"/>
        </w:rPr>
        <w:t xml:space="preserve">sin perjuicio de lo dispuesto en el Decreto 1077 de 2015, o en la norma que lo modifique o sustituya sobre los proyectos, obras o actividades considerados de utilidad pública e interés social por el legislador, </w:t>
      </w:r>
      <w:bookmarkStart w:id="2518" w:name="_Hlk78378337"/>
      <w:r w:rsidRPr="007B3017">
        <w:rPr>
          <w:rFonts w:cs="Arial"/>
          <w:szCs w:val="20"/>
          <w:lang w:val="es-CO"/>
        </w:rPr>
        <w:t xml:space="preserve">y sobre los proyectos de </w:t>
      </w:r>
      <w:bookmarkEnd w:id="2518"/>
      <w:r w:rsidRPr="007B3017">
        <w:rPr>
          <w:rFonts w:cs="Arial"/>
          <w:szCs w:val="20"/>
          <w:lang w:val="es-CO"/>
        </w:rPr>
        <w:t xml:space="preserve">los sectores minero e </w:t>
      </w:r>
      <w:proofErr w:type="spellStart"/>
      <w:r w:rsidRPr="007B3017">
        <w:rPr>
          <w:rFonts w:cs="Arial"/>
          <w:szCs w:val="20"/>
          <w:lang w:val="es-CO"/>
        </w:rPr>
        <w:t>hidrocarburífero</w:t>
      </w:r>
      <w:proofErr w:type="spellEnd"/>
      <w:r w:rsidRPr="007B3017">
        <w:rPr>
          <w:rFonts w:cs="Arial"/>
          <w:szCs w:val="20"/>
          <w:lang w:val="es-CO"/>
        </w:rPr>
        <w:t>), la zonificación ambiental de áreas protegidas y de zonas amortiguadoras del SPNN, la zonificación de áreas de manglar, los planes de manejo ambiental de páramos y las prohibiciones para el desarrollo de actividades que establece la Ley en este ecosistema, entre otros instrumentos</w:t>
      </w:r>
      <w:r w:rsidR="005F23D7">
        <w:rPr>
          <w:rFonts w:cs="Arial"/>
          <w:szCs w:val="20"/>
          <w:lang w:val="es-CO"/>
        </w:rPr>
        <w:t xml:space="preserve">, así como </w:t>
      </w:r>
      <w:r w:rsidR="005F23D7" w:rsidRPr="007B3017">
        <w:rPr>
          <w:rFonts w:cs="Arial"/>
          <w:spacing w:val="-3"/>
          <w:szCs w:val="20"/>
          <w:lang w:val="es-CO"/>
        </w:rPr>
        <w:t>las determinantes ambientales,</w:t>
      </w:r>
      <w:r w:rsidR="005F23D7">
        <w:rPr>
          <w:rFonts w:cs="Arial"/>
          <w:spacing w:val="-3"/>
          <w:szCs w:val="20"/>
          <w:lang w:val="es-CO"/>
        </w:rPr>
        <w:t xml:space="preserve"> considerando </w:t>
      </w:r>
      <w:r w:rsidR="005F23D7">
        <w:t>que el p</w:t>
      </w:r>
      <w:r w:rsidR="005F23D7" w:rsidRPr="00724971">
        <w:t xml:space="preserve">arágrafo </w:t>
      </w:r>
      <w:r w:rsidR="005F23D7">
        <w:t xml:space="preserve">3 </w:t>
      </w:r>
      <w:r w:rsidR="005F23D7" w:rsidRPr="00724971">
        <w:t xml:space="preserve">del artículo 10 de la Ley 388 de 1997 </w:t>
      </w:r>
      <w:r w:rsidR="005F23D7">
        <w:t>(modificado por el artículo 32 de la Ley 2294 de 2023) establece que</w:t>
      </w:r>
      <w:r w:rsidR="005F23D7" w:rsidRPr="00724971">
        <w:t xml:space="preserve"> </w:t>
      </w:r>
      <w:r w:rsidR="005F23D7">
        <w:t>“</w:t>
      </w:r>
      <w:r w:rsidR="005F23D7" w:rsidRPr="00724971">
        <w:t>los fundamentos definidos por los pueblos y comunidades indígenas serán vinculantes para todos los actores públicos y privados en sus territorios y territorialidades"</w:t>
      </w:r>
      <w:r w:rsidRPr="007B3017">
        <w:rPr>
          <w:rFonts w:cs="Arial"/>
          <w:szCs w:val="20"/>
          <w:lang w:val="es-CO"/>
        </w:rPr>
        <w:t>.</w:t>
      </w:r>
    </w:p>
  </w:footnote>
  <w:footnote w:id="71">
    <w:p w14:paraId="51B55FF3" w14:textId="217841A7"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La infraestructura existente puede ser de propiedad del beneficiario de la licencia ambiental o de terceros; asimismo, las actividades pueden ser desarrolladas o gestionadas mediante terceros. En cualquier caso, quien solicita la licencia ambiental adquiere la responsabilidad directa ante la autoridad ambiental por el manejo del proyecto, obra o actividad en caso de que se le otorgue la licencia.</w:t>
      </w:r>
    </w:p>
  </w:footnote>
  <w:footnote w:id="72">
    <w:p w14:paraId="0E382EA0" w14:textId="2533A0F3" w:rsidR="00D55F13" w:rsidRPr="007B3017" w:rsidRDefault="00D55F13" w:rsidP="007B3017">
      <w:pPr>
        <w:rPr>
          <w:rFonts w:cs="Arial"/>
          <w:bCs/>
          <w:spacing w:val="-3"/>
          <w:sz w:val="20"/>
          <w:szCs w:val="20"/>
        </w:rPr>
      </w:pPr>
      <w:r w:rsidRPr="007B3017">
        <w:rPr>
          <w:rStyle w:val="Refdenotaalpie"/>
          <w:rFonts w:cs="Arial"/>
          <w:sz w:val="20"/>
          <w:szCs w:val="20"/>
          <w:lang w:val="es-CO"/>
        </w:rPr>
        <w:footnoteRef/>
      </w:r>
      <w:r w:rsidRPr="007B3017">
        <w:rPr>
          <w:rFonts w:cs="Arial"/>
          <w:sz w:val="20"/>
          <w:szCs w:val="20"/>
        </w:rPr>
        <w:t xml:space="preserve"> </w:t>
      </w:r>
      <w:r w:rsidRPr="007B3017">
        <w:rPr>
          <w:rFonts w:cs="Arial"/>
          <w:bCs/>
          <w:spacing w:val="-3"/>
          <w:sz w:val="20"/>
          <w:szCs w:val="20"/>
        </w:rPr>
        <w:t xml:space="preserve">Dado que estas actividades de explotación de materiales de construcción se desarrollan directamente por el proyecto, obra o actividad, se debe asegurar total coherencia entre dichas actividades y los demás elementos del EIA que se le relacionen, por ejemplo, delimitación del área de influencia, evaluación ambiental, caracterización ambiental, zonificación ambiental, zonificación de manejo ambiental, plan de manejo ambiental, plan de seguimiento y monitoreo, plan de desmantelamiento y </w:t>
      </w:r>
      <w:r w:rsidR="007F4556" w:rsidRPr="007B3017">
        <w:rPr>
          <w:rFonts w:cs="Arial"/>
          <w:bCs/>
          <w:spacing w:val="-3"/>
          <w:sz w:val="20"/>
          <w:szCs w:val="20"/>
        </w:rPr>
        <w:t xml:space="preserve">cierre ambiental </w:t>
      </w:r>
      <w:r w:rsidRPr="007B3017">
        <w:rPr>
          <w:rFonts w:cs="Arial"/>
          <w:bCs/>
          <w:spacing w:val="-3"/>
          <w:sz w:val="20"/>
          <w:szCs w:val="20"/>
        </w:rPr>
        <w:t>(atendiendo los lineamientos señalados en los términos de referencia sobre proyectos mineros), entre otros.</w:t>
      </w:r>
    </w:p>
  </w:footnote>
  <w:footnote w:id="73">
    <w:p w14:paraId="14CE5393" w14:textId="2C826341" w:rsidR="008265B9" w:rsidRPr="000D6E21" w:rsidRDefault="008265B9" w:rsidP="007B3017">
      <w:pPr>
        <w:pStyle w:val="Textonotapie"/>
        <w:rPr>
          <w:rFonts w:cs="Arial"/>
          <w:szCs w:val="20"/>
          <w:lang w:val="es-MX"/>
        </w:rPr>
      </w:pPr>
      <w:r w:rsidRPr="007B3017">
        <w:rPr>
          <w:rStyle w:val="Refdenotaalpie"/>
          <w:rFonts w:cs="Arial"/>
          <w:sz w:val="20"/>
          <w:szCs w:val="20"/>
        </w:rPr>
        <w:footnoteRef/>
      </w:r>
      <w:r w:rsidRPr="007B3017">
        <w:rPr>
          <w:rFonts w:cs="Arial"/>
          <w:szCs w:val="20"/>
        </w:rPr>
        <w:t xml:space="preserve"> La </w:t>
      </w:r>
      <w:r w:rsidRPr="000D6E21">
        <w:rPr>
          <w:rFonts w:cs="Arial"/>
          <w:bCs/>
          <w:spacing w:val="-3"/>
          <w:szCs w:val="20"/>
        </w:rPr>
        <w:t xml:space="preserve">disposición final </w:t>
      </w:r>
      <w:r w:rsidR="00855DF9" w:rsidRPr="000D6E21">
        <w:rPr>
          <w:rFonts w:cs="Arial"/>
          <w:bCs/>
          <w:spacing w:val="-3"/>
          <w:szCs w:val="20"/>
        </w:rPr>
        <w:t xml:space="preserve">en Zodme aplica </w:t>
      </w:r>
      <w:r w:rsidRPr="000D6E21">
        <w:rPr>
          <w:rFonts w:cs="Arial"/>
          <w:bCs/>
          <w:spacing w:val="-3"/>
          <w:szCs w:val="20"/>
        </w:rPr>
        <w:t xml:space="preserve">únicamente </w:t>
      </w:r>
      <w:r w:rsidR="000E56E9" w:rsidRPr="007B3017">
        <w:rPr>
          <w:rFonts w:cs="Arial"/>
          <w:bCs/>
          <w:spacing w:val="-3"/>
          <w:szCs w:val="20"/>
        </w:rPr>
        <w:t xml:space="preserve">a </w:t>
      </w:r>
      <w:r w:rsidRPr="000D6E21">
        <w:rPr>
          <w:rFonts w:cs="Arial"/>
          <w:bCs/>
          <w:spacing w:val="-3"/>
          <w:szCs w:val="20"/>
        </w:rPr>
        <w:t xml:space="preserve">los residuos </w:t>
      </w:r>
      <w:r w:rsidR="000E56E9" w:rsidRPr="007B3017">
        <w:rPr>
          <w:rFonts w:cs="Arial"/>
          <w:bCs/>
          <w:spacing w:val="-3"/>
          <w:szCs w:val="20"/>
        </w:rPr>
        <w:t>de construcción y demolición susceptibles de aprovechamiento que se prevea pueda generar el proyecto, obra o actividad.</w:t>
      </w:r>
    </w:p>
  </w:footnote>
  <w:footnote w:id="74">
    <w:p w14:paraId="5EBC2365" w14:textId="6D344B30" w:rsidR="004C37CC" w:rsidRPr="007B3017" w:rsidRDefault="004C37CC" w:rsidP="007B3017">
      <w:pPr>
        <w:pStyle w:val="Textonotapie"/>
        <w:rPr>
          <w:rFonts w:cs="Arial"/>
          <w:szCs w:val="20"/>
        </w:rPr>
      </w:pPr>
      <w:r w:rsidRPr="000D6E21">
        <w:rPr>
          <w:rStyle w:val="Refdenotaalpie"/>
          <w:rFonts w:cs="Arial"/>
          <w:sz w:val="20"/>
          <w:szCs w:val="20"/>
        </w:rPr>
        <w:footnoteRef/>
      </w:r>
      <w:r w:rsidRPr="000D6E21">
        <w:rPr>
          <w:rFonts w:cs="Arial"/>
          <w:szCs w:val="20"/>
        </w:rPr>
        <w:t xml:space="preserve"> </w:t>
      </w:r>
      <w:r w:rsidRPr="000D6E21">
        <w:rPr>
          <w:rFonts w:cs="Arial"/>
          <w:bCs/>
          <w:spacing w:val="-3"/>
          <w:szCs w:val="20"/>
        </w:rPr>
        <w:t>Por ejemplo, la referida a las actividades de demolición selectiva, almacenamiento temporal de RCD y aprovechamiento de RCD.</w:t>
      </w:r>
      <w:r w:rsidRPr="000D6E21">
        <w:rPr>
          <w:rFonts w:cs="Arial"/>
          <w:szCs w:val="20"/>
        </w:rPr>
        <w:t xml:space="preserve"> Ha de tenerse en cuenta que no todos los requerimientos de información </w:t>
      </w:r>
      <w:r w:rsidR="00B51078" w:rsidRPr="000D6E21">
        <w:rPr>
          <w:rFonts w:cs="Arial"/>
          <w:szCs w:val="20"/>
        </w:rPr>
        <w:t xml:space="preserve">del </w:t>
      </w:r>
      <w:r w:rsidR="00B51078" w:rsidRPr="007B3017">
        <w:rPr>
          <w:rFonts w:cs="Arial"/>
          <w:szCs w:val="20"/>
        </w:rPr>
        <w:t xml:space="preserve">Programa de Manejo Ambiental de RCD </w:t>
      </w:r>
      <w:r w:rsidRPr="000D6E21">
        <w:rPr>
          <w:rFonts w:cs="Arial"/>
          <w:szCs w:val="20"/>
        </w:rPr>
        <w:t>se deben incorporar al numeral de descripción del proyecto y que muchos de éstos corresponden al numeral de planes y programas en tanto se refieren al manejo de los impactos que esta actividad genera.</w:t>
      </w:r>
    </w:p>
  </w:footnote>
  <w:footnote w:id="75">
    <w:p w14:paraId="7FA66499" w14:textId="77777777" w:rsidR="00F9177C" w:rsidRPr="00D61FF6" w:rsidRDefault="00F9177C" w:rsidP="00F9177C">
      <w:pPr>
        <w:pStyle w:val="Textonotapie"/>
        <w:rPr>
          <w:rFonts w:cs="Arial"/>
          <w:szCs w:val="20"/>
        </w:rPr>
      </w:pPr>
      <w:r w:rsidRPr="000D6E21">
        <w:rPr>
          <w:rFonts w:cs="Arial"/>
          <w:szCs w:val="20"/>
        </w:rPr>
        <w:footnoteRef/>
      </w:r>
      <w:r w:rsidRPr="000D6E21">
        <w:rPr>
          <w:rFonts w:cs="Arial"/>
          <w:szCs w:val="20"/>
        </w:rPr>
        <w:t xml:space="preserve"> </w:t>
      </w:r>
      <w:r w:rsidRPr="000D6E21">
        <w:rPr>
          <w:rFonts w:cs="Arial"/>
          <w:i/>
          <w:iCs/>
          <w:szCs w:val="20"/>
        </w:rPr>
        <w:t>Alcance</w:t>
      </w:r>
      <w:r w:rsidRPr="000D6E21">
        <w:rPr>
          <w:rFonts w:cs="Arial"/>
          <w:szCs w:val="20"/>
        </w:rPr>
        <w:t xml:space="preserve"> y </w:t>
      </w:r>
      <w:r w:rsidRPr="000D6E21">
        <w:rPr>
          <w:rFonts w:cs="Arial"/>
          <w:i/>
          <w:iCs/>
          <w:szCs w:val="20"/>
        </w:rPr>
        <w:t>Categoría</w:t>
      </w:r>
      <w:r w:rsidRPr="000D6E21">
        <w:rPr>
          <w:rFonts w:cs="Arial"/>
          <w:szCs w:val="20"/>
        </w:rPr>
        <w:t xml:space="preserve"> son denominaciones equivalentes y su uso depende del estándar de reporte se haya empleado para realizar el inventario de GEI. Bajo GHG </w:t>
      </w:r>
      <w:proofErr w:type="spellStart"/>
      <w:r w:rsidRPr="000D6E21">
        <w:rPr>
          <w:rFonts w:cs="Arial"/>
          <w:szCs w:val="20"/>
        </w:rPr>
        <w:t>Protocol</w:t>
      </w:r>
      <w:proofErr w:type="spellEnd"/>
      <w:r w:rsidRPr="000D6E21">
        <w:rPr>
          <w:rFonts w:cs="Arial"/>
          <w:szCs w:val="20"/>
        </w:rPr>
        <w:t xml:space="preserve"> se denomina </w:t>
      </w:r>
      <w:r w:rsidRPr="000D6E21">
        <w:rPr>
          <w:rFonts w:cs="Arial"/>
          <w:i/>
          <w:iCs/>
          <w:szCs w:val="20"/>
        </w:rPr>
        <w:t>Alcance</w:t>
      </w:r>
      <w:r w:rsidRPr="000D6E21">
        <w:rPr>
          <w:rFonts w:cs="Arial"/>
          <w:szCs w:val="20"/>
        </w:rPr>
        <w:t xml:space="preserve"> y, bajo ISO 14064-1 se denomina </w:t>
      </w:r>
      <w:r w:rsidRPr="000D6E21">
        <w:rPr>
          <w:rFonts w:cs="Arial"/>
          <w:i/>
          <w:iCs/>
          <w:szCs w:val="20"/>
        </w:rPr>
        <w:t>Categoría</w:t>
      </w:r>
      <w:r w:rsidRPr="000D6E21">
        <w:rPr>
          <w:rFonts w:cs="Arial"/>
          <w:szCs w:val="20"/>
        </w:rPr>
        <w:t>.</w:t>
      </w:r>
    </w:p>
  </w:footnote>
  <w:footnote w:id="76">
    <w:p w14:paraId="5F7D56D9" w14:textId="77777777"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Style w:val="Refdenotaalpie"/>
          <w:rFonts w:cs="Arial"/>
          <w:sz w:val="20"/>
          <w:szCs w:val="20"/>
          <w:lang w:val="es-CO"/>
        </w:rPr>
        <w:t xml:space="preserve"> </w:t>
      </w:r>
      <w:r w:rsidRPr="007B3017">
        <w:rPr>
          <w:rFonts w:cs="Arial"/>
          <w:szCs w:val="20"/>
          <w:lang w:val="es-CO"/>
        </w:rPr>
        <w:t>De acuerdo con el artículo 2.2.2.3.1.1. del Decreto 1076 de 2015.</w:t>
      </w:r>
    </w:p>
  </w:footnote>
  <w:footnote w:id="77">
    <w:p w14:paraId="6679B47F" w14:textId="77777777"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N</w:t>
      </w:r>
      <w:r w:rsidRPr="007B3017">
        <w:rPr>
          <w:rFonts w:cs="Arial"/>
          <w:spacing w:val="-3"/>
          <w:szCs w:val="20"/>
          <w:lang w:val="es-CO"/>
        </w:rPr>
        <w:t>o contempla aquellos impactos ambientales producto de contingencias o de eventos no planeados.</w:t>
      </w:r>
    </w:p>
  </w:footnote>
  <w:footnote w:id="78">
    <w:p w14:paraId="660E5B07" w14:textId="0A35663A"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Corresponde al proceso de “</w:t>
      </w:r>
      <w:r w:rsidRPr="007B3017">
        <w:rPr>
          <w:rFonts w:cs="Arial"/>
          <w:i/>
          <w:szCs w:val="20"/>
          <w:lang w:val="es-CO"/>
        </w:rPr>
        <w:t>Unión geográfica</w:t>
      </w:r>
      <w:r w:rsidRPr="007B3017">
        <w:rPr>
          <w:rFonts w:cs="Arial"/>
          <w:szCs w:val="20"/>
          <w:lang w:val="es-CO"/>
        </w:rPr>
        <w:t xml:space="preserve">” que se incluye en diversos </w:t>
      </w:r>
      <w:r w:rsidR="000C45CE" w:rsidRPr="007B3017">
        <w:rPr>
          <w:rFonts w:cs="Arial"/>
          <w:szCs w:val="20"/>
          <w:lang w:val="es-CO"/>
        </w:rPr>
        <w:t xml:space="preserve">paquetes informáticos </w:t>
      </w:r>
      <w:r w:rsidRPr="007B3017">
        <w:rPr>
          <w:rFonts w:cs="Arial"/>
          <w:szCs w:val="20"/>
          <w:lang w:val="es-CO"/>
        </w:rPr>
        <w:t>de procesamiento geoespacial.</w:t>
      </w:r>
    </w:p>
  </w:footnote>
  <w:footnote w:id="79">
    <w:p w14:paraId="2EFE3DEA" w14:textId="77777777"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Esta área de influencia preliminar se construye a partir de áreas de influencia por componente, preliminares, aplicando el procedimiento descrito con anterioridad y que se registra en la Figura 3.</w:t>
      </w:r>
    </w:p>
  </w:footnote>
  <w:footnote w:id="80">
    <w:p w14:paraId="7EF1F275" w14:textId="3D9F873A"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El á</w:t>
      </w:r>
      <w:r w:rsidRPr="007B3017">
        <w:rPr>
          <w:rFonts w:cs="Arial"/>
          <w:szCs w:val="20"/>
          <w:lang w:val="es-CO" w:eastAsia="x-none"/>
        </w:rPr>
        <w:t xml:space="preserve">rea </w:t>
      </w:r>
      <w:r w:rsidR="00F53A6E" w:rsidRPr="007B3017">
        <w:rPr>
          <w:rFonts w:cs="Arial"/>
          <w:szCs w:val="20"/>
          <w:lang w:val="es-CO" w:eastAsia="x-none"/>
        </w:rPr>
        <w:t>por</w:t>
      </w:r>
      <w:r w:rsidR="001B4589" w:rsidRPr="007B3017">
        <w:rPr>
          <w:rFonts w:cs="Arial"/>
          <w:szCs w:val="20"/>
          <w:lang w:val="es-CO" w:eastAsia="x-none"/>
        </w:rPr>
        <w:t xml:space="preserve"> </w:t>
      </w:r>
      <w:r w:rsidRPr="007B3017">
        <w:rPr>
          <w:rFonts w:cs="Arial"/>
          <w:szCs w:val="20"/>
          <w:lang w:val="es-CO" w:eastAsia="x-none"/>
        </w:rPr>
        <w:t>intervenir es aquella área ocupada por la infraestructura, las obras y las actividades que es necesario emprender para el desarrollo de un proyecto, obra o actividad; incluye las requeridas para el uso, aprovechamiento y afectación de los recursos naturales renovables.</w:t>
      </w:r>
    </w:p>
  </w:footnote>
  <w:footnote w:id="81">
    <w:p w14:paraId="22EF6C7D" w14:textId="77777777"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Las unidades de análisis son áreas geográficas que a una determinada escala son temáticamente homogéneas; presentan dimensiones concretas y son cartografiables.</w:t>
      </w:r>
    </w:p>
  </w:footnote>
  <w:footnote w:id="82">
    <w:p w14:paraId="46885473" w14:textId="2C1392D7"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La representación en un plano cartográfico de dos dimensiones debe reflejar mediante una proyección ortogonal el hecho de que los impactos ambientales de algunos componentes no ocurren sólo en superficie, sino que también, pueden manifestarse en un espacio tridimensional o volumen (</w:t>
      </w:r>
      <w:r w:rsidR="00041844" w:rsidRPr="007B3017">
        <w:rPr>
          <w:rFonts w:cs="Arial"/>
          <w:szCs w:val="20"/>
          <w:lang w:val="es-CO"/>
        </w:rPr>
        <w:t>p. ej.</w:t>
      </w:r>
      <w:r w:rsidRPr="007B3017">
        <w:rPr>
          <w:rFonts w:cs="Arial"/>
          <w:szCs w:val="20"/>
          <w:lang w:val="es-CO"/>
        </w:rPr>
        <w:t xml:space="preserve"> en el océano, cuerpos de agua lénticos, atmósfera, entre otros).</w:t>
      </w:r>
    </w:p>
  </w:footnote>
  <w:footnote w:id="83">
    <w:p w14:paraId="68BBE90F" w14:textId="720AB1B9"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En caso de que Minambiente establezca o adopte con posterioridad a este documento, una guía de modelización para cualquier recurso, ésta deberá ser utilizada como insumo para la elaboración de las modelizaciones a realizar en el marco de los estudios ambientales.</w:t>
      </w:r>
    </w:p>
  </w:footnote>
  <w:footnote w:id="84">
    <w:p w14:paraId="0BE8E04F" w14:textId="05F5029F"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w:t>
      </w:r>
      <w:r w:rsidRPr="007B3017">
        <w:rPr>
          <w:rFonts w:cs="Arial"/>
          <w:spacing w:val="-3"/>
          <w:szCs w:val="20"/>
          <w:lang w:val="es-CO"/>
        </w:rPr>
        <w:t xml:space="preserve">Teniendo en cuenta que de un ecosistema a otro hay diferencias en composición, estructura y función, y que </w:t>
      </w:r>
      <w:r w:rsidRPr="007B3017">
        <w:rPr>
          <w:rFonts w:cs="Arial"/>
          <w:szCs w:val="20"/>
          <w:lang w:val="es-CO"/>
        </w:rPr>
        <w:t xml:space="preserve">distintas coberturas de la tierra pueden reflejar tales diferencias, es posible </w:t>
      </w:r>
      <w:r w:rsidR="00A928E6" w:rsidRPr="007B3017">
        <w:rPr>
          <w:rFonts w:cs="Arial"/>
          <w:szCs w:val="20"/>
          <w:lang w:val="es-CO"/>
        </w:rPr>
        <w:t xml:space="preserve">asumir </w:t>
      </w:r>
      <w:r w:rsidRPr="007B3017">
        <w:rPr>
          <w:rFonts w:cs="Arial"/>
          <w:szCs w:val="20"/>
          <w:lang w:val="es-CO"/>
        </w:rPr>
        <w:t>que los límites de las unidades de análisis seleccionadas (bien sean ecosistemas o coberturas de la tierra), pueden generar interrupciones a los impactos ambientales.</w:t>
      </w:r>
    </w:p>
  </w:footnote>
  <w:footnote w:id="85">
    <w:p w14:paraId="1D684083" w14:textId="7826EB30"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w:t>
      </w:r>
      <w:r w:rsidRPr="007B3017">
        <w:rPr>
          <w:rFonts w:cs="Arial"/>
          <w:color w:val="000000"/>
          <w:szCs w:val="20"/>
          <w:shd w:val="clear" w:color="auto" w:fill="FFFFFF"/>
          <w:lang w:val="es-CO"/>
        </w:rPr>
        <w:t xml:space="preserve">Entendida como la descripción del grado en que los paisajes facilitan o impiden el movimiento de organismos y procesos, de acuerdo con lo expuesto por </w:t>
      </w:r>
      <w:proofErr w:type="spellStart"/>
      <w:r w:rsidRPr="007B3017">
        <w:rPr>
          <w:rFonts w:cs="Arial"/>
          <w:color w:val="000000"/>
          <w:szCs w:val="20"/>
          <w:shd w:val="clear" w:color="auto" w:fill="FFFFFF"/>
          <w:lang w:val="es-CO"/>
        </w:rPr>
        <w:t>Ament</w:t>
      </w:r>
      <w:proofErr w:type="spellEnd"/>
      <w:r w:rsidRPr="007B3017">
        <w:rPr>
          <w:rFonts w:cs="Arial"/>
          <w:color w:val="000000"/>
          <w:szCs w:val="20"/>
          <w:shd w:val="clear" w:color="auto" w:fill="FFFFFF"/>
          <w:lang w:val="es-CO"/>
        </w:rPr>
        <w:t xml:space="preserve"> et al. (2014).</w:t>
      </w:r>
    </w:p>
  </w:footnote>
  <w:footnote w:id="86">
    <w:p w14:paraId="5DF533A3" w14:textId="64C71915" w:rsidR="00A32CD3" w:rsidRPr="007B3017" w:rsidRDefault="00A32CD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Asimismo, es posible emplear los </w:t>
      </w:r>
      <w:proofErr w:type="spellStart"/>
      <w:r w:rsidRPr="007B3017">
        <w:rPr>
          <w:rFonts w:cs="Arial"/>
          <w:szCs w:val="20"/>
          <w:lang w:val="es-CO"/>
        </w:rPr>
        <w:t>BioModelos</w:t>
      </w:r>
      <w:proofErr w:type="spellEnd"/>
      <w:r w:rsidRPr="007B3017">
        <w:rPr>
          <w:rFonts w:cs="Arial"/>
          <w:szCs w:val="20"/>
          <w:lang w:val="es-CO"/>
        </w:rPr>
        <w:t>, una aplicación web para la consulta y descarga de información geográfica sobre la distribución de especies de Colombia, desarrollada por el Laboratorio de biogeografía aplicada del Instituto Humboldt (disponible en: http://biomodelos.humboldt.org.co/).</w:t>
      </w:r>
    </w:p>
  </w:footnote>
  <w:footnote w:id="87">
    <w:p w14:paraId="22CAD9BF" w14:textId="77777777" w:rsidR="00A32CD3" w:rsidRPr="007B3017" w:rsidRDefault="00A32CD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Puede recurrirse, por ejemplo, a las bases de datos Global </w:t>
      </w:r>
      <w:proofErr w:type="spellStart"/>
      <w:r w:rsidRPr="007B3017">
        <w:rPr>
          <w:rFonts w:cs="Arial"/>
          <w:szCs w:val="20"/>
          <w:lang w:val="es-CO"/>
        </w:rPr>
        <w:t>Biodiversity</w:t>
      </w:r>
      <w:proofErr w:type="spellEnd"/>
      <w:r w:rsidRPr="007B3017">
        <w:rPr>
          <w:rFonts w:cs="Arial"/>
          <w:szCs w:val="20"/>
          <w:lang w:val="es-CO"/>
        </w:rPr>
        <w:t xml:space="preserve"> </w:t>
      </w:r>
      <w:proofErr w:type="spellStart"/>
      <w:r w:rsidRPr="007B3017">
        <w:rPr>
          <w:rFonts w:cs="Arial"/>
          <w:szCs w:val="20"/>
          <w:lang w:val="es-CO"/>
        </w:rPr>
        <w:t>Information</w:t>
      </w:r>
      <w:proofErr w:type="spellEnd"/>
      <w:r w:rsidRPr="007B3017">
        <w:rPr>
          <w:rFonts w:cs="Arial"/>
          <w:szCs w:val="20"/>
          <w:lang w:val="es-CO"/>
        </w:rPr>
        <w:t xml:space="preserve"> </w:t>
      </w:r>
      <w:proofErr w:type="spellStart"/>
      <w:r w:rsidRPr="007B3017">
        <w:rPr>
          <w:rFonts w:cs="Arial"/>
          <w:szCs w:val="20"/>
          <w:lang w:val="es-CO"/>
        </w:rPr>
        <w:t>Facility</w:t>
      </w:r>
      <w:proofErr w:type="spellEnd"/>
      <w:r w:rsidRPr="007B3017">
        <w:rPr>
          <w:rFonts w:cs="Arial"/>
          <w:szCs w:val="20"/>
          <w:lang w:val="es-CO"/>
        </w:rPr>
        <w:t xml:space="preserve"> (GBIF) y Sistema de Información sobre Biodiversidad de Colombia (</w:t>
      </w:r>
      <w:proofErr w:type="spellStart"/>
      <w:r w:rsidRPr="007B3017">
        <w:rPr>
          <w:rFonts w:cs="Arial"/>
          <w:szCs w:val="20"/>
          <w:lang w:val="es-CO"/>
        </w:rPr>
        <w:t>SiB</w:t>
      </w:r>
      <w:proofErr w:type="spellEnd"/>
      <w:r w:rsidRPr="007B3017">
        <w:rPr>
          <w:rFonts w:cs="Arial"/>
          <w:szCs w:val="20"/>
          <w:lang w:val="es-CO"/>
        </w:rPr>
        <w:t xml:space="preserve"> Colombia).</w:t>
      </w:r>
    </w:p>
  </w:footnote>
  <w:footnote w:id="88">
    <w:p w14:paraId="133E778E" w14:textId="77777777"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Ver por ejemplo </w:t>
      </w:r>
      <w:r w:rsidRPr="007B3017">
        <w:rPr>
          <w:rFonts w:cs="Arial"/>
          <w:spacing w:val="-3"/>
          <w:szCs w:val="20"/>
          <w:lang w:val="es-CO"/>
        </w:rPr>
        <w:t>los estudios de Schneider-</w:t>
      </w:r>
      <w:proofErr w:type="spellStart"/>
      <w:r w:rsidRPr="007B3017">
        <w:rPr>
          <w:rFonts w:cs="Arial"/>
          <w:spacing w:val="-3"/>
          <w:szCs w:val="20"/>
          <w:lang w:val="es-CO"/>
        </w:rPr>
        <w:t>Maunoury</w:t>
      </w:r>
      <w:proofErr w:type="spellEnd"/>
      <w:r w:rsidRPr="007B3017">
        <w:rPr>
          <w:rFonts w:cs="Arial"/>
          <w:spacing w:val="-3"/>
          <w:szCs w:val="20"/>
          <w:lang w:val="es-CO"/>
        </w:rPr>
        <w:t xml:space="preserve"> y otros (2016) y de Urbina-Cardona y otros (2006).</w:t>
      </w:r>
    </w:p>
  </w:footnote>
  <w:footnote w:id="89">
    <w:p w14:paraId="5E7D33F6" w14:textId="77777777"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w:t>
      </w:r>
      <w:r w:rsidRPr="007B3017">
        <w:rPr>
          <w:rFonts w:cs="Arial"/>
          <w:spacing w:val="-3"/>
          <w:szCs w:val="20"/>
          <w:lang w:val="es-CO"/>
        </w:rPr>
        <w:t xml:space="preserve">Ejemplo de ello son las investigaciones de Stratford &amp; </w:t>
      </w:r>
      <w:proofErr w:type="spellStart"/>
      <w:r w:rsidRPr="007B3017">
        <w:rPr>
          <w:rFonts w:cs="Arial"/>
          <w:spacing w:val="-3"/>
          <w:szCs w:val="20"/>
          <w:lang w:val="es-CO"/>
        </w:rPr>
        <w:t>Stouffer</w:t>
      </w:r>
      <w:proofErr w:type="spellEnd"/>
      <w:r w:rsidRPr="007B3017">
        <w:rPr>
          <w:rFonts w:cs="Arial"/>
          <w:spacing w:val="-3"/>
          <w:szCs w:val="20"/>
          <w:lang w:val="es-CO"/>
        </w:rPr>
        <w:t xml:space="preserve"> (2015) y de </w:t>
      </w:r>
      <w:proofErr w:type="spellStart"/>
      <w:r w:rsidRPr="007B3017">
        <w:rPr>
          <w:rFonts w:cs="Arial"/>
          <w:spacing w:val="-3"/>
          <w:szCs w:val="20"/>
          <w:lang w:val="es-CO"/>
        </w:rPr>
        <w:t>Vetter</w:t>
      </w:r>
      <w:proofErr w:type="spellEnd"/>
      <w:r w:rsidRPr="007B3017">
        <w:rPr>
          <w:rFonts w:cs="Arial"/>
          <w:spacing w:val="-3"/>
          <w:szCs w:val="20"/>
          <w:lang w:val="es-CO"/>
        </w:rPr>
        <w:t xml:space="preserve"> et al. (2013).</w:t>
      </w:r>
    </w:p>
  </w:footnote>
  <w:footnote w:id="90">
    <w:p w14:paraId="0D4A3A80" w14:textId="77777777" w:rsidR="00D55F13" w:rsidRPr="00296654"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Se encuentran ejemplos en </w:t>
      </w:r>
      <w:r w:rsidRPr="007B3017">
        <w:rPr>
          <w:rFonts w:cs="Arial"/>
          <w:spacing w:val="-3"/>
          <w:szCs w:val="20"/>
          <w:lang w:val="es-CO"/>
        </w:rPr>
        <w:t xml:space="preserve">Azam et al. </w:t>
      </w:r>
      <w:r w:rsidRPr="00296654">
        <w:rPr>
          <w:rFonts w:cs="Arial"/>
          <w:spacing w:val="-3"/>
          <w:szCs w:val="20"/>
          <w:lang w:val="es-CO"/>
        </w:rPr>
        <w:t xml:space="preserve">(2016), </w:t>
      </w:r>
      <w:proofErr w:type="spellStart"/>
      <w:r w:rsidRPr="00296654">
        <w:rPr>
          <w:rFonts w:cs="Arial"/>
          <w:spacing w:val="-3"/>
          <w:szCs w:val="20"/>
          <w:lang w:val="es-CO"/>
        </w:rPr>
        <w:t>Bennie</w:t>
      </w:r>
      <w:proofErr w:type="spellEnd"/>
      <w:r w:rsidRPr="00296654">
        <w:rPr>
          <w:rFonts w:cs="Arial"/>
          <w:spacing w:val="-3"/>
          <w:szCs w:val="20"/>
          <w:lang w:val="es-CO"/>
        </w:rPr>
        <w:t xml:space="preserve"> et al. (2015), </w:t>
      </w:r>
      <w:proofErr w:type="spellStart"/>
      <w:r w:rsidRPr="00296654">
        <w:rPr>
          <w:rFonts w:cs="Arial"/>
          <w:spacing w:val="-3"/>
          <w:szCs w:val="20"/>
          <w:lang w:val="es-CO"/>
        </w:rPr>
        <w:t>Eisenbeis</w:t>
      </w:r>
      <w:proofErr w:type="spellEnd"/>
      <w:r w:rsidRPr="00296654">
        <w:rPr>
          <w:rFonts w:cs="Arial"/>
          <w:spacing w:val="-3"/>
          <w:szCs w:val="20"/>
          <w:lang w:val="es-CO"/>
        </w:rPr>
        <w:t xml:space="preserve"> y </w:t>
      </w:r>
      <w:proofErr w:type="spellStart"/>
      <w:r w:rsidRPr="00296654">
        <w:rPr>
          <w:rFonts w:cs="Arial"/>
          <w:spacing w:val="-3"/>
          <w:szCs w:val="20"/>
          <w:lang w:val="es-CO"/>
        </w:rPr>
        <w:t>Hänel</w:t>
      </w:r>
      <w:proofErr w:type="spellEnd"/>
      <w:r w:rsidRPr="00296654">
        <w:rPr>
          <w:rFonts w:cs="Arial"/>
          <w:spacing w:val="-3"/>
          <w:szCs w:val="20"/>
          <w:lang w:val="es-CO"/>
        </w:rPr>
        <w:t xml:space="preserve"> (2009), </w:t>
      </w:r>
      <w:proofErr w:type="spellStart"/>
      <w:r w:rsidRPr="00296654">
        <w:rPr>
          <w:rFonts w:cs="Arial"/>
          <w:spacing w:val="-3"/>
          <w:szCs w:val="20"/>
          <w:lang w:val="es-CO"/>
        </w:rPr>
        <w:t>Lyytimäki</w:t>
      </w:r>
      <w:proofErr w:type="spellEnd"/>
      <w:r w:rsidRPr="00296654">
        <w:rPr>
          <w:rFonts w:cs="Arial"/>
          <w:spacing w:val="-3"/>
          <w:szCs w:val="20"/>
          <w:lang w:val="es-CO"/>
        </w:rPr>
        <w:t xml:space="preserve"> (2013) y </w:t>
      </w:r>
      <w:proofErr w:type="spellStart"/>
      <w:r w:rsidRPr="00296654">
        <w:rPr>
          <w:rFonts w:cs="Arial"/>
          <w:spacing w:val="-3"/>
          <w:szCs w:val="20"/>
          <w:lang w:val="es-CO"/>
        </w:rPr>
        <w:t>Rowse</w:t>
      </w:r>
      <w:proofErr w:type="spellEnd"/>
      <w:r w:rsidRPr="00296654">
        <w:rPr>
          <w:rFonts w:cs="Arial"/>
          <w:spacing w:val="-3"/>
          <w:szCs w:val="20"/>
          <w:lang w:val="es-CO"/>
        </w:rPr>
        <w:t xml:space="preserve"> et al (2016).</w:t>
      </w:r>
    </w:p>
  </w:footnote>
  <w:footnote w:id="91">
    <w:p w14:paraId="791AF3DA" w14:textId="71E43F70" w:rsidR="00D55F13" w:rsidRPr="007B3017" w:rsidRDefault="00D55F13" w:rsidP="007B3017">
      <w:pPr>
        <w:rPr>
          <w:rFonts w:cs="Arial"/>
          <w:sz w:val="20"/>
          <w:szCs w:val="20"/>
        </w:rPr>
      </w:pPr>
      <w:r w:rsidRPr="007B3017">
        <w:rPr>
          <w:rStyle w:val="Refdenotaalpie"/>
          <w:rFonts w:cs="Arial"/>
          <w:sz w:val="20"/>
          <w:szCs w:val="20"/>
          <w:lang w:val="es-CO"/>
        </w:rPr>
        <w:footnoteRef/>
      </w:r>
      <w:r w:rsidRPr="007B3017">
        <w:rPr>
          <w:rFonts w:cs="Arial"/>
          <w:sz w:val="20"/>
          <w:szCs w:val="20"/>
        </w:rPr>
        <w:t xml:space="preserve"> Tipo de poblamiento de la comunidad indígena Wayuu, que se caracteriza por ser un conjunto de viviendas en la zona rural asociado a su concepción territorial y de asentamiento familiar (Saldarriaga, 2019).</w:t>
      </w:r>
    </w:p>
  </w:footnote>
  <w:footnote w:id="92">
    <w:p w14:paraId="1A09EE0E" w14:textId="77777777"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w:t>
      </w:r>
      <w:r w:rsidRPr="007B3017">
        <w:rPr>
          <w:rFonts w:cs="Arial"/>
          <w:color w:val="000000"/>
          <w:szCs w:val="20"/>
          <w:lang w:val="es-CO"/>
        </w:rPr>
        <w:t>De acuerdo con el Artículo 2 del Decreto 2164 de 1995, una parcialidad indígena es un grupo o conjunto de familias de ascendencia amerindia, que tienen conciencia de identidad y comparten valores, rasgos, usos o costumbres de su cultura, así como formas de gobierno, gestión, control social o sistemas normativos propios que la distinguen de otras comunidades, tengan o no títulos de propiedad, o que no puedan acreditarlos legalmente, o que sus resguardos fueron disueltos, divididos o declarados vacantes.</w:t>
      </w:r>
    </w:p>
  </w:footnote>
  <w:footnote w:id="93">
    <w:p w14:paraId="09FE4C4E" w14:textId="77777777"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Sus definiciones pueden ser consultadas en el glosario de este documento.</w:t>
      </w:r>
    </w:p>
  </w:footnote>
  <w:footnote w:id="94">
    <w:p w14:paraId="4C1CE7AB" w14:textId="77777777" w:rsidR="00533295" w:rsidRPr="000D6E21" w:rsidRDefault="00533295" w:rsidP="007B3017">
      <w:pPr>
        <w:pStyle w:val="Textonotapie"/>
        <w:rPr>
          <w:rFonts w:cs="Arial"/>
          <w:szCs w:val="20"/>
          <w:lang w:val="es-CO"/>
        </w:rPr>
      </w:pPr>
      <w:r w:rsidRPr="000D6E21">
        <w:rPr>
          <w:rStyle w:val="Refdenotaalpie"/>
          <w:rFonts w:cs="Arial"/>
          <w:sz w:val="20"/>
          <w:szCs w:val="20"/>
          <w:lang w:val="es-CO"/>
        </w:rPr>
        <w:footnoteRef/>
      </w:r>
      <w:r w:rsidRPr="000D6E21">
        <w:rPr>
          <w:rFonts w:cs="Arial"/>
          <w:szCs w:val="20"/>
          <w:lang w:val="es-CO"/>
        </w:rPr>
        <w:t xml:space="preserve"> Particularmente sus artículos 4, 5 y 23.1. (literal a). La interpretación de estos artículos en el contexto de la protección del ambiente y del cumplimiento de las obligaciones internacionales de Colombia asociadas a la protección de los derechos humanos, se basó en la Opinión consultiva 23 para Colombia de la Corte interamericana de derechos humanos (CIDH, 2017).</w:t>
      </w:r>
    </w:p>
  </w:footnote>
  <w:footnote w:id="95">
    <w:p w14:paraId="0BF079A5" w14:textId="77777777" w:rsidR="00533295" w:rsidRPr="007B3017" w:rsidRDefault="00533295" w:rsidP="007B3017">
      <w:pPr>
        <w:pStyle w:val="Textonotapie"/>
        <w:rPr>
          <w:rFonts w:cs="Arial"/>
          <w:szCs w:val="20"/>
          <w:lang w:val="es-CO"/>
        </w:rPr>
      </w:pPr>
      <w:r w:rsidRPr="000D6E21">
        <w:rPr>
          <w:rStyle w:val="Refdenotaalpie"/>
          <w:rFonts w:cs="Arial"/>
          <w:sz w:val="20"/>
          <w:szCs w:val="20"/>
          <w:lang w:val="es-CO"/>
        </w:rPr>
        <w:footnoteRef/>
      </w:r>
      <w:r w:rsidRPr="000D6E21">
        <w:rPr>
          <w:rFonts w:cs="Arial"/>
          <w:szCs w:val="20"/>
          <w:lang w:val="es-CO"/>
        </w:rPr>
        <w:t xml:space="preserve"> Adoptada y proclamada en 1982 por la Resolución 37/7 de la Asamblea General de las Naciones Unidas. Ver especialmente el numeral 23 “</w:t>
      </w:r>
      <w:r w:rsidRPr="007B3017">
        <w:rPr>
          <w:rFonts w:cs="Arial"/>
          <w:i/>
          <w:szCs w:val="20"/>
          <w:lang w:val="es-CO"/>
        </w:rPr>
        <w:t>Toda persona, de conformidad con la legislación nacional, tendrá la oportunidad de participar, individual o colectivamente, en el proceso de preparación de las decisiones que conciernan directamente a su medio ambiente y, cuando éste haya sido objeto de daño o deterioro, podrá ejercer los recursos necesarios para obtener una indemnización</w:t>
      </w:r>
      <w:r w:rsidRPr="007B3017">
        <w:rPr>
          <w:rFonts w:cs="Arial"/>
          <w:szCs w:val="20"/>
          <w:lang w:val="es-CO"/>
        </w:rPr>
        <w:t>”.</w:t>
      </w:r>
    </w:p>
  </w:footnote>
  <w:footnote w:id="96">
    <w:p w14:paraId="23775F59" w14:textId="77777777" w:rsidR="00533295" w:rsidRPr="000D6E21" w:rsidRDefault="00533295" w:rsidP="007B3017">
      <w:pPr>
        <w:pStyle w:val="Textonotapie"/>
        <w:rPr>
          <w:rFonts w:cs="Arial"/>
          <w:szCs w:val="20"/>
          <w:lang w:val="es-CO"/>
        </w:rPr>
      </w:pPr>
      <w:r w:rsidRPr="000D6E21">
        <w:rPr>
          <w:rStyle w:val="Refdenotaalpie"/>
          <w:rFonts w:cs="Arial"/>
          <w:sz w:val="20"/>
          <w:szCs w:val="20"/>
          <w:lang w:val="es-CO"/>
        </w:rPr>
        <w:footnoteRef/>
      </w:r>
      <w:r w:rsidRPr="000D6E21">
        <w:rPr>
          <w:rFonts w:cs="Arial"/>
          <w:szCs w:val="20"/>
          <w:lang w:val="es-CO"/>
        </w:rPr>
        <w:t xml:space="preserve"> Según el cual “</w:t>
      </w:r>
      <w:r w:rsidRPr="000D6E21">
        <w:rPr>
          <w:rFonts w:cs="Arial"/>
          <w:i/>
          <w:szCs w:val="20"/>
          <w:lang w:val="es-CO"/>
        </w:rPr>
        <w:t xml:space="preserve">El mejor modo de tratar las cuestiones ambientales es con la participación de todos los ciudadanos interesados, en el nivel que corresponda. En el plano nacional, toda persona deberá tener acceso adecuado a la información sobre el medio ambiente de que dispongan las </w:t>
      </w:r>
      <w:proofErr w:type="gramStart"/>
      <w:r w:rsidRPr="000D6E21">
        <w:rPr>
          <w:rFonts w:cs="Arial"/>
          <w:i/>
          <w:szCs w:val="20"/>
          <w:lang w:val="es-CO"/>
        </w:rPr>
        <w:t>autoridades públicas</w:t>
      </w:r>
      <w:proofErr w:type="gramEnd"/>
      <w:r w:rsidRPr="000D6E21">
        <w:rPr>
          <w:rFonts w:cs="Arial"/>
          <w:i/>
          <w:szCs w:val="20"/>
          <w:lang w:val="es-CO"/>
        </w:rPr>
        <w:t>, incluida la información sobre los materiales y las actividades que encierran peligro en sus comunidades, así como la oportunidad de participar en los procesos de adopción de decisiones. Los Estados deberán facilitar y fomentar la sensibilización y la participación de la población poniendo la información a disposición de todos. Deberá proporcionarse acceso efectivo a los procedimientos judiciales y administrativos, entre estos el resarcimiento de daños y los recursos pertinentes”</w:t>
      </w:r>
      <w:r w:rsidRPr="000D6E21">
        <w:rPr>
          <w:rFonts w:cs="Arial"/>
          <w:szCs w:val="20"/>
          <w:lang w:val="es-CO"/>
        </w:rPr>
        <w:t>.</w:t>
      </w:r>
    </w:p>
  </w:footnote>
  <w:footnote w:id="97">
    <w:p w14:paraId="359199D9" w14:textId="77777777" w:rsidR="00533295" w:rsidRPr="000D6E21" w:rsidRDefault="00533295" w:rsidP="007B3017">
      <w:pPr>
        <w:pStyle w:val="Textonotapie"/>
        <w:rPr>
          <w:rFonts w:cs="Arial"/>
          <w:szCs w:val="20"/>
          <w:lang w:val="es-CO"/>
        </w:rPr>
      </w:pPr>
      <w:r w:rsidRPr="000D6E21">
        <w:rPr>
          <w:rStyle w:val="Refdenotaalpie"/>
          <w:rFonts w:cs="Arial"/>
          <w:sz w:val="20"/>
          <w:szCs w:val="20"/>
          <w:lang w:val="es-CO"/>
        </w:rPr>
        <w:footnoteRef/>
      </w:r>
      <w:r w:rsidRPr="000D6E21">
        <w:rPr>
          <w:rFonts w:cs="Arial"/>
          <w:szCs w:val="20"/>
          <w:lang w:val="es-CO"/>
        </w:rPr>
        <w:t xml:space="preserve"> Acuerdo conocido como Agenda 21, aprobado en la Conferencia de las Naciones Unidas sobre el Medio Ambiente y el Desarrollo que se reunió en Río de Janeiro en 1992, cuyo capítulo 23.2 señala que “</w:t>
      </w:r>
      <w:r w:rsidRPr="000D6E21">
        <w:rPr>
          <w:rFonts w:cs="Arial"/>
          <w:i/>
          <w:szCs w:val="20"/>
          <w:lang w:val="es-CO"/>
        </w:rPr>
        <w:t>Uno de los requisitos fundamentales para alcanzar el desarrollo sostenible es la amplia participación de la opinión pública en la adopción de decisiones. Además, en el contexto más concreto del medio ambiente y el desarrollo, se ha hecho evidente la necesidad de emplear nuevas formas de participación. Se trata de la necesidad de que las personas, los grupos y las organizaciones participen en los procedimientos de evaluación del impacto ambiental, conozcan el mecanismo de adopción de decisiones y participen en él, sobre todo cuando exista la posibilidad de que esas decisiones afecten a las comunidades donde viven y trabajan. Toda persona, grupo u organización debería tener acceso a la información relativa al medio ambiente y el desarrollo con que contaran las autoridades nacionales, incluso a la información acerca de productos y actividades que tuvieran consecuencias importantes para el medio ambiente o hubiera probabilidades de que las tuvieran, así como a la información sobre las medidas de protección del medio ambiente</w:t>
      </w:r>
      <w:r w:rsidRPr="000D6E21">
        <w:rPr>
          <w:rFonts w:cs="Arial"/>
          <w:szCs w:val="20"/>
          <w:lang w:val="es-CO"/>
        </w:rPr>
        <w:t>”.</w:t>
      </w:r>
    </w:p>
  </w:footnote>
  <w:footnote w:id="98">
    <w:p w14:paraId="675DE760" w14:textId="77777777" w:rsidR="00533295" w:rsidRPr="007B3017" w:rsidRDefault="00533295" w:rsidP="007B3017">
      <w:pPr>
        <w:rPr>
          <w:rFonts w:cs="Arial"/>
          <w:sz w:val="20"/>
          <w:szCs w:val="20"/>
        </w:rPr>
      </w:pPr>
      <w:r w:rsidRPr="000D6E21">
        <w:rPr>
          <w:rStyle w:val="Refdenotaalpie"/>
          <w:rFonts w:cs="Arial"/>
          <w:sz w:val="20"/>
          <w:szCs w:val="20"/>
          <w:lang w:val="es-CO"/>
        </w:rPr>
        <w:footnoteRef/>
      </w:r>
      <w:r w:rsidRPr="007B3017">
        <w:rPr>
          <w:rFonts w:cs="Arial"/>
          <w:sz w:val="20"/>
          <w:szCs w:val="20"/>
        </w:rPr>
        <w:t xml:space="preserve"> Que </w:t>
      </w:r>
      <w:r w:rsidRPr="000D6E21">
        <w:rPr>
          <w:rFonts w:cs="Arial"/>
          <w:sz w:val="20"/>
          <w:szCs w:val="20"/>
        </w:rPr>
        <w:t>en su artículo 74 establece el derecho de petición en materia ambiental.</w:t>
      </w:r>
    </w:p>
  </w:footnote>
  <w:footnote w:id="99">
    <w:p w14:paraId="188236ED" w14:textId="77777777" w:rsidR="00533295" w:rsidRPr="000D6E21" w:rsidRDefault="00533295" w:rsidP="007B3017">
      <w:pPr>
        <w:pStyle w:val="Textonotapie"/>
        <w:rPr>
          <w:rFonts w:cs="Arial"/>
          <w:szCs w:val="20"/>
          <w:lang w:val="es-CO"/>
        </w:rPr>
      </w:pPr>
      <w:r w:rsidRPr="000D6E21">
        <w:rPr>
          <w:rStyle w:val="Refdenotaalpie"/>
          <w:rFonts w:cs="Arial"/>
          <w:sz w:val="20"/>
          <w:szCs w:val="20"/>
          <w:lang w:val="es-CO"/>
        </w:rPr>
        <w:footnoteRef/>
      </w:r>
      <w:r w:rsidRPr="000D6E21">
        <w:rPr>
          <w:rFonts w:cs="Arial"/>
          <w:szCs w:val="20"/>
          <w:lang w:val="es-CO"/>
        </w:rPr>
        <w:t xml:space="preserve"> Que expide el Código de Procedimiento Administrativo y de lo Contencioso Administrativo y que en su artículo 3 establece que las actuaciones administrativas deben desarrollarse mediante los principios de debido proceso, igualdad, imparcialidad, buena fe, moralidad, participación, responsabilidad, transparencia, publicidad, coordinación, eficacia, economía y celeridad.</w:t>
      </w:r>
    </w:p>
  </w:footnote>
  <w:footnote w:id="100">
    <w:p w14:paraId="5681EEE6" w14:textId="77777777" w:rsidR="00533295" w:rsidRPr="007B3017" w:rsidRDefault="00533295" w:rsidP="007B3017">
      <w:pPr>
        <w:rPr>
          <w:rFonts w:cs="Arial"/>
          <w:sz w:val="20"/>
          <w:szCs w:val="20"/>
        </w:rPr>
      </w:pPr>
      <w:r w:rsidRPr="000D6E21">
        <w:rPr>
          <w:rStyle w:val="Refdenotaalpie"/>
          <w:rFonts w:cs="Arial"/>
          <w:sz w:val="20"/>
          <w:szCs w:val="20"/>
          <w:lang w:val="es-CO"/>
        </w:rPr>
        <w:footnoteRef/>
      </w:r>
      <w:r w:rsidRPr="007B3017">
        <w:rPr>
          <w:rFonts w:cs="Arial"/>
          <w:sz w:val="20"/>
          <w:szCs w:val="20"/>
        </w:rPr>
        <w:t xml:space="preserve"> Que regula el derecho fundamental de acceso a la información pública.</w:t>
      </w:r>
    </w:p>
  </w:footnote>
  <w:footnote w:id="101">
    <w:p w14:paraId="51B6CE5C" w14:textId="77777777" w:rsidR="00533295" w:rsidRPr="007B3017" w:rsidRDefault="00533295" w:rsidP="007B3017">
      <w:pPr>
        <w:rPr>
          <w:rFonts w:cs="Arial"/>
          <w:sz w:val="20"/>
          <w:szCs w:val="20"/>
        </w:rPr>
      </w:pPr>
      <w:r w:rsidRPr="000D6E21">
        <w:rPr>
          <w:rStyle w:val="Refdenotaalpie"/>
          <w:rFonts w:cs="Arial"/>
          <w:sz w:val="20"/>
          <w:szCs w:val="20"/>
          <w:lang w:val="es-CO"/>
        </w:rPr>
        <w:footnoteRef/>
      </w:r>
      <w:r w:rsidRPr="007B3017">
        <w:rPr>
          <w:rFonts w:cs="Arial"/>
          <w:sz w:val="20"/>
          <w:szCs w:val="20"/>
        </w:rPr>
        <w:t xml:space="preserve"> Que regula el derecho fundamental de petición.</w:t>
      </w:r>
    </w:p>
  </w:footnote>
  <w:footnote w:id="102">
    <w:p w14:paraId="6D179355" w14:textId="77777777" w:rsidR="00533295" w:rsidRPr="007B3017" w:rsidRDefault="00533295" w:rsidP="007B3017">
      <w:pPr>
        <w:pStyle w:val="Textonotapie"/>
        <w:rPr>
          <w:rFonts w:cs="Arial"/>
          <w:szCs w:val="20"/>
          <w:lang w:val="fr-FR"/>
        </w:rPr>
      </w:pPr>
      <w:r w:rsidRPr="007B3017">
        <w:rPr>
          <w:rStyle w:val="Refdenotaalpie"/>
          <w:rFonts w:cs="Arial"/>
          <w:sz w:val="20"/>
          <w:szCs w:val="20"/>
        </w:rPr>
        <w:footnoteRef/>
      </w:r>
      <w:r w:rsidRPr="007B3017">
        <w:rPr>
          <w:rFonts w:cs="Arial"/>
          <w:szCs w:val="20"/>
          <w:lang w:val="fr-FR"/>
        </w:rPr>
        <w:t xml:space="preserve"> Sentencias T-348 de 2012, T-294 de 2014, T-704 de 2016 y SU-217 de 2017.</w:t>
      </w:r>
    </w:p>
  </w:footnote>
  <w:footnote w:id="103">
    <w:p w14:paraId="69DC8F99" w14:textId="60EAAB58" w:rsidR="005D18C9" w:rsidRPr="007B3017" w:rsidRDefault="005D18C9" w:rsidP="007B3017">
      <w:pPr>
        <w:pStyle w:val="Textonotapie"/>
        <w:rPr>
          <w:rFonts w:cs="Arial"/>
          <w:szCs w:val="20"/>
        </w:rPr>
      </w:pPr>
      <w:r w:rsidRPr="007B3017">
        <w:rPr>
          <w:rStyle w:val="Refdenotaalpie"/>
          <w:rFonts w:cs="Arial"/>
          <w:sz w:val="20"/>
          <w:szCs w:val="20"/>
        </w:rPr>
        <w:footnoteRef/>
      </w:r>
      <w:r w:rsidRPr="007B3017">
        <w:rPr>
          <w:rFonts w:cs="Arial"/>
          <w:szCs w:val="20"/>
        </w:rPr>
        <w:t xml:space="preserve"> Se ref</w:t>
      </w:r>
      <w:r w:rsidR="002C5B64" w:rsidRPr="007B3017">
        <w:rPr>
          <w:rFonts w:cs="Arial"/>
          <w:szCs w:val="20"/>
        </w:rPr>
        <w:t xml:space="preserve">iere </w:t>
      </w:r>
      <w:r w:rsidRPr="007B3017">
        <w:rPr>
          <w:rFonts w:cs="Arial"/>
          <w:szCs w:val="20"/>
        </w:rPr>
        <w:t>a las personas que tienen mayor dificultad para informarse y participar de manera efectiva por diversas situaciones, entre ellas, limitaciones tecnológicas, auditivas, por tener una lengua diferente al castellano o vivir en espacios territoriales de difícil acceso.</w:t>
      </w:r>
    </w:p>
  </w:footnote>
  <w:footnote w:id="104">
    <w:p w14:paraId="436ED334" w14:textId="77777777" w:rsidR="002C5B64" w:rsidRPr="007B3017" w:rsidRDefault="002C5B64" w:rsidP="007B3017">
      <w:pPr>
        <w:pStyle w:val="Textonotapie"/>
        <w:rPr>
          <w:rFonts w:cs="Arial"/>
          <w:szCs w:val="20"/>
        </w:rPr>
      </w:pPr>
      <w:r w:rsidRPr="007B3017">
        <w:rPr>
          <w:rStyle w:val="Refdenotaalpie"/>
          <w:rFonts w:cs="Arial"/>
          <w:sz w:val="20"/>
          <w:szCs w:val="20"/>
        </w:rPr>
        <w:footnoteRef/>
      </w:r>
      <w:r w:rsidRPr="007B3017">
        <w:rPr>
          <w:rFonts w:cs="Arial"/>
          <w:szCs w:val="20"/>
        </w:rPr>
        <w:t xml:space="preserve"> Se hace referencia a las personas que tienen mayor dificultad para informarse y participar de manera efectiva por diversas situaciones, entre ellas, limitaciones tecnológicas, auditivas, por tener una lengua diferente al castellano o vivir en espacios territoriales de difícil acceso.</w:t>
      </w:r>
    </w:p>
  </w:footnote>
  <w:footnote w:id="105">
    <w:p w14:paraId="3ADD42E2" w14:textId="0B74CBAB" w:rsidR="00D264DF" w:rsidRPr="007B3017" w:rsidRDefault="00D264DF" w:rsidP="007B3017">
      <w:pPr>
        <w:pStyle w:val="Textonotapie"/>
        <w:rPr>
          <w:rFonts w:cs="Arial"/>
          <w:szCs w:val="20"/>
        </w:rPr>
      </w:pPr>
      <w:r w:rsidRPr="007B3017">
        <w:rPr>
          <w:rStyle w:val="Refdenotaalpie"/>
          <w:rFonts w:cs="Arial"/>
          <w:sz w:val="20"/>
          <w:szCs w:val="20"/>
        </w:rPr>
        <w:footnoteRef/>
      </w:r>
      <w:r w:rsidRPr="007B3017">
        <w:rPr>
          <w:rFonts w:cs="Arial"/>
          <w:szCs w:val="20"/>
        </w:rPr>
        <w:t xml:space="preserve"> Según la Sentencia T-678/16 de la Corte Constitucional los grupos de especial protección constitucional son los niños, los adolescentes, los ancianos, los disminuidos físicos, síquicos y sensoriales, las mujeres cabeza de familia, las personas desplazadas por la violencia y aquellas que se encuentran en extrema pobreza.</w:t>
      </w:r>
    </w:p>
  </w:footnote>
  <w:footnote w:id="106">
    <w:p w14:paraId="1359DB98" w14:textId="77777777" w:rsidR="00533295" w:rsidRPr="007B3017" w:rsidRDefault="00533295" w:rsidP="007B3017">
      <w:pPr>
        <w:pStyle w:val="Textonotapie"/>
        <w:rPr>
          <w:rFonts w:cs="Arial"/>
          <w:szCs w:val="20"/>
          <w:lang w:val="es-ES"/>
        </w:rPr>
      </w:pPr>
      <w:r w:rsidRPr="007B3017">
        <w:rPr>
          <w:rStyle w:val="Refdenotaalpie"/>
          <w:rFonts w:cs="Arial"/>
          <w:sz w:val="20"/>
          <w:szCs w:val="20"/>
        </w:rPr>
        <w:footnoteRef/>
      </w:r>
      <w:r w:rsidRPr="007B3017">
        <w:rPr>
          <w:rFonts w:cs="Arial"/>
          <w:szCs w:val="20"/>
        </w:rPr>
        <w:t xml:space="preserve"> En caso de que el solicitante del trámite de evaluación del estudio ambiental sea un sujeto obligado en términos de la Ley 1712 de 2014, toda la información pública que no esté limitada o reservada bajo una disposición constitucional debe ponerse a disposición de los grupos de interés.</w:t>
      </w:r>
    </w:p>
  </w:footnote>
  <w:footnote w:id="107">
    <w:p w14:paraId="28A2007E" w14:textId="2372504D" w:rsidR="00533295" w:rsidRPr="007B3017" w:rsidRDefault="00533295" w:rsidP="007B3017">
      <w:pPr>
        <w:pStyle w:val="Textonotapie"/>
        <w:rPr>
          <w:rFonts w:cs="Arial"/>
          <w:szCs w:val="20"/>
          <w:lang w:val="es-CO"/>
        </w:rPr>
      </w:pPr>
      <w:r w:rsidRPr="007B3017">
        <w:rPr>
          <w:rStyle w:val="Refdenotaalpie"/>
          <w:rFonts w:cs="Arial"/>
          <w:sz w:val="20"/>
          <w:szCs w:val="20"/>
        </w:rPr>
        <w:footnoteRef/>
      </w:r>
      <w:r w:rsidRPr="007B3017">
        <w:rPr>
          <w:rFonts w:cs="Arial"/>
          <w:szCs w:val="20"/>
        </w:rPr>
        <w:t xml:space="preserve"> Entre ellas, las históricas, demográficas, educativas, patrimoniales, de relación con los ecosistemas, de género, de memoria, de vulnerabilidad, de liderazgo social y ambiental y de limitación a la participación por amenazas a la vida (señaladas en el numeral 4.3.2 de este capítulo).</w:t>
      </w:r>
    </w:p>
  </w:footnote>
  <w:footnote w:id="108">
    <w:p w14:paraId="69F9AD39" w14:textId="77777777" w:rsidR="00533295" w:rsidRPr="007B3017" w:rsidRDefault="00533295"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Durante la convocatoria a los procesos de participación pueden proponerse fechas preliminares, no obstante, es necesario que las comunidades tengan pleno conocimiento de las fechas definitivas de forma oportuna.</w:t>
      </w:r>
    </w:p>
  </w:footnote>
  <w:footnote w:id="109">
    <w:p w14:paraId="3CA45182" w14:textId="4F44B06A"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La técnica o principio puede cambiar, lo fundamental es garantizar que se realice en un laboratorio acreditado y asegurar que la que se emplee permita conocer el estado del suelo.</w:t>
      </w:r>
    </w:p>
  </w:footnote>
  <w:footnote w:id="110">
    <w:p w14:paraId="42C5BF34" w14:textId="5740B536" w:rsidR="00D55F13" w:rsidRPr="007B3017" w:rsidRDefault="00D55F13" w:rsidP="007B3017">
      <w:pPr>
        <w:pStyle w:val="Textonotapie"/>
        <w:rPr>
          <w:rFonts w:cs="Arial"/>
          <w:szCs w:val="20"/>
          <w:lang w:val="es-CO"/>
        </w:rPr>
      </w:pPr>
      <w:r w:rsidRPr="007B3017">
        <w:rPr>
          <w:rStyle w:val="Refdenotaalpie"/>
          <w:rFonts w:cs="Arial"/>
          <w:color w:val="000000" w:themeColor="text1"/>
          <w:sz w:val="20"/>
          <w:szCs w:val="20"/>
          <w:lang w:val="es-CO"/>
        </w:rPr>
        <w:footnoteRef/>
      </w:r>
      <w:r w:rsidRPr="007B3017">
        <w:rPr>
          <w:rFonts w:cs="Arial"/>
          <w:color w:val="000000" w:themeColor="text1"/>
          <w:szCs w:val="20"/>
          <w:lang w:val="es-CO"/>
        </w:rPr>
        <w:t xml:space="preserve"> Los análisis de este tipo de parámetros deben ser desarrollados en laboratorios nacionales, pues el traslado de las muestras a laboratorios extranjeros puede alterar sus resultados.</w:t>
      </w:r>
    </w:p>
  </w:footnote>
  <w:footnote w:id="111">
    <w:p w14:paraId="6DEFA0BC" w14:textId="77777777" w:rsidR="005A4F4E" w:rsidRPr="007B3017" w:rsidRDefault="005A4F4E"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Disponible en: https://www.epa.gov/risk/regional-screening-levels-rsls-generic-tables</w:t>
      </w:r>
    </w:p>
  </w:footnote>
  <w:footnote w:id="112">
    <w:p w14:paraId="10D750F2" w14:textId="737F58D6"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En la actualidad el IGAC cuenta con información a escala 1:25000 e incluso más detallada para determinadas áreas del país, por tanto, debe consultarse esta fuente de información.</w:t>
      </w:r>
    </w:p>
  </w:footnote>
  <w:footnote w:id="113">
    <w:p w14:paraId="7E8FDD51" w14:textId="5C62AFA3"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Dicha existencia debe corroborarse mediante </w:t>
      </w:r>
      <w:r w:rsidRPr="007B3017">
        <w:rPr>
          <w:rFonts w:cs="Arial"/>
          <w:spacing w:val="-3"/>
          <w:szCs w:val="20"/>
          <w:lang w:val="es-CO"/>
        </w:rPr>
        <w:t>consulta a la autoridad ambiental competente.</w:t>
      </w:r>
    </w:p>
  </w:footnote>
  <w:footnote w:id="114">
    <w:p w14:paraId="55F403E8" w14:textId="77777777" w:rsidR="00A524CE" w:rsidRPr="007B3017" w:rsidRDefault="00A524CE" w:rsidP="007B3017">
      <w:pPr>
        <w:rPr>
          <w:rFonts w:cs="Arial"/>
          <w:sz w:val="20"/>
          <w:szCs w:val="20"/>
        </w:rPr>
      </w:pPr>
      <w:r w:rsidRPr="007B3017">
        <w:rPr>
          <w:rStyle w:val="Refdenotaalpie"/>
          <w:rFonts w:cs="Arial"/>
          <w:sz w:val="20"/>
          <w:szCs w:val="20"/>
          <w:lang w:val="es-CO"/>
        </w:rPr>
        <w:footnoteRef/>
      </w:r>
      <w:r w:rsidRPr="007B3017">
        <w:rPr>
          <w:rFonts w:cs="Arial"/>
          <w:sz w:val="20"/>
          <w:szCs w:val="20"/>
        </w:rPr>
        <w:t xml:space="preserve"> Dicha existencia debe corroborarse mediante </w:t>
      </w:r>
      <w:r w:rsidRPr="007B3017">
        <w:rPr>
          <w:rFonts w:cs="Arial"/>
          <w:spacing w:val="-3"/>
          <w:sz w:val="20"/>
          <w:szCs w:val="20"/>
        </w:rPr>
        <w:t>consulta a la autoridad ambiental competente.</w:t>
      </w:r>
    </w:p>
  </w:footnote>
  <w:footnote w:id="115">
    <w:p w14:paraId="086732DB" w14:textId="0281B7B7"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Para efectos de análisis de cambio climático se deben considerar como mínimo series de datos de 30 años.</w:t>
      </w:r>
    </w:p>
  </w:footnote>
  <w:footnote w:id="116">
    <w:p w14:paraId="0D2AC955" w14:textId="77777777" w:rsidR="00B55470" w:rsidRPr="00AB0C00" w:rsidRDefault="00B55470" w:rsidP="00B55470">
      <w:pPr>
        <w:pStyle w:val="Textonotapie"/>
        <w:rPr>
          <w:rFonts w:cs="Arial"/>
          <w:szCs w:val="20"/>
          <w:highlight w:val="green"/>
          <w:lang w:val="es-CO"/>
        </w:rPr>
      </w:pPr>
      <w:r w:rsidRPr="00AB0C00">
        <w:rPr>
          <w:szCs w:val="20"/>
        </w:rPr>
        <w:footnoteRef/>
      </w:r>
      <w:r w:rsidRPr="00AB0C00">
        <w:rPr>
          <w:rFonts w:cs="Arial"/>
          <w:szCs w:val="20"/>
          <w:lang w:val="es-CO"/>
        </w:rPr>
        <w:t xml:space="preserve"> De acuerdo con lo establecido en el artículo 2.2.3.3.1.3 del Decreto 1076 de 2015, el caudal ambiental es el “Volumen de agua por unidad de tiempo, en términos de régimen y calidad, requerido para mantener el funcionamiento y resiliencia de los ecosistemas acuáticos y su provisión de servicios ecosistémicos”.</w:t>
      </w:r>
    </w:p>
  </w:footnote>
  <w:footnote w:id="117">
    <w:p w14:paraId="3D7A6EFC" w14:textId="77777777" w:rsidR="00B55470" w:rsidRPr="00AB0C00" w:rsidRDefault="00B55470" w:rsidP="00B55470">
      <w:pPr>
        <w:pStyle w:val="Textonotapie"/>
        <w:rPr>
          <w:lang w:val="es-MX"/>
        </w:rPr>
      </w:pPr>
      <w:r w:rsidRPr="00AB0C00">
        <w:rPr>
          <w:rStyle w:val="Refdenotaalpie"/>
          <w:sz w:val="20"/>
          <w:szCs w:val="20"/>
        </w:rPr>
        <w:footnoteRef/>
      </w:r>
      <w:r w:rsidRPr="00047AB6">
        <w:rPr>
          <w:szCs w:val="20"/>
        </w:rPr>
        <w:t xml:space="preserve"> En caso de que la autoridad ambiental no haya emitido instrumento alguno u obtenido información de calidad de agua e hidrobiología mediante sus labores de monitoreo, es posible emplear información técnica y científicamente válida de otras fuentes.</w:t>
      </w:r>
    </w:p>
  </w:footnote>
  <w:footnote w:id="118">
    <w:p w14:paraId="1D00A0BA" w14:textId="77777777" w:rsidR="00B55470" w:rsidRPr="00AB0C00" w:rsidRDefault="00B55470" w:rsidP="00B55470">
      <w:pPr>
        <w:pStyle w:val="Textonotapie"/>
        <w:rPr>
          <w:lang w:val="es-MX"/>
        </w:rPr>
      </w:pPr>
      <w:r>
        <w:rPr>
          <w:rStyle w:val="Refdenotaalpie"/>
        </w:rPr>
        <w:footnoteRef/>
      </w:r>
      <w:r>
        <w:t xml:space="preserve"> </w:t>
      </w:r>
      <w:r w:rsidRPr="00666745">
        <w:t xml:space="preserve">Lo anterior hasta que sea expedida </w:t>
      </w:r>
      <w:r>
        <w:t xml:space="preserve">una </w:t>
      </w:r>
      <w:r w:rsidRPr="00666745">
        <w:t xml:space="preserve">guía para la estimación de caudales ambientales </w:t>
      </w:r>
      <w:r>
        <w:t xml:space="preserve">en el ámbito </w:t>
      </w:r>
      <w:r w:rsidRPr="00666745">
        <w:t>nacional</w:t>
      </w:r>
      <w:r>
        <w:t>.</w:t>
      </w:r>
    </w:p>
  </w:footnote>
  <w:footnote w:id="119">
    <w:p w14:paraId="480D76E7" w14:textId="77777777"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Se refiere al efecto combinado de la meteorología y la oceanografía.</w:t>
      </w:r>
    </w:p>
  </w:footnote>
  <w:footnote w:id="120">
    <w:p w14:paraId="14DC8270" w14:textId="1F51012B" w:rsidR="00D55F13" w:rsidRPr="007B3017" w:rsidRDefault="00D55F13" w:rsidP="007B3017">
      <w:pPr>
        <w:overflowPunct/>
        <w:autoSpaceDE/>
        <w:autoSpaceDN/>
        <w:adjustRightInd/>
        <w:textAlignment w:val="auto"/>
        <w:rPr>
          <w:rFonts w:cs="Arial"/>
          <w:sz w:val="20"/>
          <w:szCs w:val="20"/>
        </w:rPr>
      </w:pPr>
      <w:r w:rsidRPr="007B3017">
        <w:rPr>
          <w:rStyle w:val="Refdenotaalpie"/>
          <w:rFonts w:cs="Arial"/>
          <w:sz w:val="20"/>
          <w:szCs w:val="20"/>
          <w:lang w:val="es-CO"/>
        </w:rPr>
        <w:footnoteRef/>
      </w:r>
      <w:r w:rsidRPr="007B3017">
        <w:rPr>
          <w:rFonts w:cs="Arial"/>
          <w:sz w:val="20"/>
          <w:szCs w:val="20"/>
        </w:rPr>
        <w:t xml:space="preserve"> En función del objetivo de la modelización y de las particularidades del proyecto, obra o actividad, es posible emplear un modelo con diferentes especificaciones (2D, 3D, profundidades objeto de estudio, entre otras), situación que debe ser sustentada técnicamente.</w:t>
      </w:r>
    </w:p>
  </w:footnote>
  <w:footnote w:id="121">
    <w:p w14:paraId="6FAA7A20" w14:textId="029222B4" w:rsidR="008B16D9" w:rsidRPr="007B3017" w:rsidRDefault="008B16D9"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En el ámbito del licenciamiento ambiental la funci</w:t>
      </w:r>
      <w:r w:rsidR="00AB4432" w:rsidRPr="007B3017">
        <w:rPr>
          <w:rFonts w:cs="Arial"/>
          <w:szCs w:val="20"/>
          <w:lang w:val="es-CO"/>
        </w:rPr>
        <w:t>ón</w:t>
      </w:r>
      <w:r w:rsidR="00FD2209" w:rsidRPr="007B3017">
        <w:rPr>
          <w:rFonts w:cs="Arial"/>
          <w:szCs w:val="20"/>
          <w:lang w:val="es-CO"/>
        </w:rPr>
        <w:t xml:space="preserve"> del </w:t>
      </w:r>
      <w:r w:rsidR="00AB4432" w:rsidRPr="007B3017">
        <w:rPr>
          <w:rFonts w:cs="Arial"/>
          <w:szCs w:val="20"/>
          <w:lang w:val="es-CO"/>
        </w:rPr>
        <w:t>ecosist</w:t>
      </w:r>
      <w:r w:rsidR="00FD2209" w:rsidRPr="007B3017">
        <w:rPr>
          <w:rFonts w:cs="Arial"/>
          <w:szCs w:val="20"/>
          <w:lang w:val="es-CO"/>
        </w:rPr>
        <w:t xml:space="preserve">ema </w:t>
      </w:r>
      <w:r w:rsidRPr="007B3017">
        <w:rPr>
          <w:rFonts w:cs="Arial"/>
          <w:szCs w:val="20"/>
          <w:lang w:val="es-CO"/>
        </w:rPr>
        <w:t>se refiere a</w:t>
      </w:r>
      <w:r w:rsidR="00FD2209" w:rsidRPr="007B3017">
        <w:rPr>
          <w:rFonts w:cs="Arial"/>
          <w:szCs w:val="20"/>
          <w:lang w:val="es-CO"/>
        </w:rPr>
        <w:t>l conjunto de</w:t>
      </w:r>
      <w:r w:rsidRPr="007B3017">
        <w:rPr>
          <w:rFonts w:cs="Arial"/>
          <w:szCs w:val="20"/>
          <w:lang w:val="es-CO"/>
        </w:rPr>
        <w:t xml:space="preserve"> </w:t>
      </w:r>
      <w:r w:rsidR="00335193" w:rsidRPr="007B3017">
        <w:rPr>
          <w:rFonts w:cs="Arial"/>
          <w:szCs w:val="20"/>
          <w:lang w:val="es-CO"/>
        </w:rPr>
        <w:t>interacciones entre estructuras biofísicas y procesos ecosistémicos que sustentan la capacidad de un ecosistema para proporcionar servicios ecosistémicos (</w:t>
      </w:r>
      <w:proofErr w:type="spellStart"/>
      <w:r w:rsidR="00335193" w:rsidRPr="007B3017">
        <w:rPr>
          <w:rFonts w:cs="Arial"/>
          <w:szCs w:val="20"/>
          <w:lang w:val="es-CO"/>
        </w:rPr>
        <w:t>Burkhard</w:t>
      </w:r>
      <w:proofErr w:type="spellEnd"/>
      <w:r w:rsidR="00335193" w:rsidRPr="007B3017">
        <w:rPr>
          <w:rFonts w:cs="Arial"/>
          <w:szCs w:val="20"/>
          <w:lang w:val="es-CO"/>
        </w:rPr>
        <w:t xml:space="preserve"> &amp; </w:t>
      </w:r>
      <w:proofErr w:type="spellStart"/>
      <w:r w:rsidR="00335193" w:rsidRPr="007B3017">
        <w:rPr>
          <w:rFonts w:cs="Arial"/>
          <w:szCs w:val="20"/>
          <w:lang w:val="es-CO"/>
        </w:rPr>
        <w:t>Maes</w:t>
      </w:r>
      <w:proofErr w:type="spellEnd"/>
      <w:r w:rsidR="00335193" w:rsidRPr="007B3017">
        <w:rPr>
          <w:rFonts w:cs="Arial"/>
          <w:szCs w:val="20"/>
          <w:lang w:val="es-CO"/>
        </w:rPr>
        <w:t>, 2017).</w:t>
      </w:r>
      <w:r w:rsidR="001B0D05" w:rsidRPr="007B3017">
        <w:rPr>
          <w:rFonts w:cs="Arial"/>
          <w:szCs w:val="20"/>
          <w:lang w:val="es-CO"/>
        </w:rPr>
        <w:t xml:space="preserve"> Más adelante se establecen lineamientos para caracterizar esta propiedad de los ecosistemas.</w:t>
      </w:r>
    </w:p>
  </w:footnote>
  <w:footnote w:id="122">
    <w:p w14:paraId="307DBA5C" w14:textId="77777777" w:rsidR="009D2570" w:rsidRPr="007B3017" w:rsidRDefault="009D2570"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En general se deben usar datos con máximo tres (3) años de antigüedad; no obstante, dependiendo del fenómeno objeto de caracterización y la dinámica ambiental de la zona, es posible emplear información más antigua.</w:t>
      </w:r>
    </w:p>
  </w:footnote>
  <w:footnote w:id="123">
    <w:p w14:paraId="2E90741E" w14:textId="3D711278"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En caso de que la autoridad ambiental competente sea ANLA, es pertinente consultar la Guía para la solicitud y uso del permiso de estudio para la recolección de especímenes de especies silvestres de la diversidad biológica con fines de elaboración de estudios ambientales (ANLA, s. f.).</w:t>
      </w:r>
    </w:p>
  </w:footnote>
  <w:footnote w:id="124">
    <w:p w14:paraId="2E5F9A7E" w14:textId="5EBB7203"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Disponible en </w:t>
      </w:r>
      <w:r w:rsidRPr="007B3017">
        <w:rPr>
          <w:rFonts w:cs="Arial"/>
          <w:spacing w:val="-3"/>
          <w:szCs w:val="20"/>
          <w:lang w:val="es-CO"/>
        </w:rPr>
        <w:t>http://catalogoplantasdecolombia.unal.edu.co/es/.</w:t>
      </w:r>
    </w:p>
  </w:footnote>
  <w:footnote w:id="125">
    <w:p w14:paraId="0689EB40" w14:textId="77777777" w:rsidR="00D55F13" w:rsidRPr="007B3017" w:rsidRDefault="00D55F13" w:rsidP="007B3017">
      <w:pPr>
        <w:pStyle w:val="Textonotapie"/>
        <w:rPr>
          <w:rFonts w:cs="Arial"/>
          <w:szCs w:val="20"/>
          <w:lang w:val="es-CO"/>
        </w:rPr>
      </w:pPr>
      <w:r w:rsidRPr="007B3017">
        <w:rPr>
          <w:rFonts w:cs="Arial"/>
          <w:szCs w:val="20"/>
          <w:vertAlign w:val="superscript"/>
          <w:lang w:val="es-CO"/>
        </w:rPr>
        <w:footnoteRef/>
      </w:r>
      <w:r w:rsidRPr="007B3017">
        <w:rPr>
          <w:rFonts w:cs="Arial"/>
          <w:szCs w:val="20"/>
          <w:lang w:val="es-CO"/>
        </w:rPr>
        <w:t xml:space="preserve"> Disponible en http://repository.humboldt.org.co/bitstream/handle/20.500.11761/32935/557.pdf?se</w:t>
      </w:r>
    </w:p>
  </w:footnote>
  <w:footnote w:id="126">
    <w:p w14:paraId="2279F993" w14:textId="7B599293" w:rsidR="008348CE" w:rsidRPr="007B3017" w:rsidRDefault="008348CE" w:rsidP="007B3017">
      <w:pPr>
        <w:pStyle w:val="Textonotapie"/>
        <w:rPr>
          <w:rFonts w:cs="Arial"/>
          <w:szCs w:val="20"/>
        </w:rPr>
      </w:pPr>
      <w:r w:rsidRPr="007B3017">
        <w:rPr>
          <w:rStyle w:val="Refdenotaalpie"/>
          <w:rFonts w:cs="Arial"/>
          <w:sz w:val="20"/>
          <w:szCs w:val="20"/>
        </w:rPr>
        <w:footnoteRef/>
      </w:r>
      <w:r w:rsidRPr="007B3017">
        <w:rPr>
          <w:rFonts w:cs="Arial"/>
          <w:szCs w:val="20"/>
        </w:rPr>
        <w:t xml:space="preserve"> Actualmente corresponde a la descrita en Estimación de las reservas actuales (2010) de carbono almacenadas en la biomasa aérea en bosques naturales de Colombia (Phillips et al., 2011).</w:t>
      </w:r>
    </w:p>
  </w:footnote>
  <w:footnote w:id="127">
    <w:p w14:paraId="282BCAA3" w14:textId="0FD7F78D"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Se debe hacer uso de las herramientas tecnológicas (aplicaciones o plataformas) que las autoridades ambientales pongan a disposición para el cargue de la información relacionada con los ejemplares fotografiados, </w:t>
      </w:r>
      <w:r w:rsidR="00BB45DA" w:rsidRPr="007B3017">
        <w:rPr>
          <w:rFonts w:cs="Arial"/>
          <w:szCs w:val="20"/>
          <w:lang w:val="es-CO"/>
        </w:rPr>
        <w:t xml:space="preserve">por ejemplo, </w:t>
      </w:r>
      <w:r w:rsidRPr="007B3017">
        <w:rPr>
          <w:rFonts w:cs="Arial"/>
          <w:szCs w:val="20"/>
          <w:lang w:val="es-CO"/>
        </w:rPr>
        <w:t xml:space="preserve">datos </w:t>
      </w:r>
      <w:r w:rsidR="00BB45DA" w:rsidRPr="007B3017">
        <w:rPr>
          <w:rFonts w:cs="Arial"/>
          <w:szCs w:val="20"/>
          <w:lang w:val="es-CO"/>
        </w:rPr>
        <w:t xml:space="preserve">sobre </w:t>
      </w:r>
      <w:r w:rsidRPr="007B3017">
        <w:rPr>
          <w:rFonts w:cs="Arial"/>
          <w:szCs w:val="20"/>
          <w:lang w:val="es-CO"/>
        </w:rPr>
        <w:t xml:space="preserve">localización, </w:t>
      </w:r>
      <w:r w:rsidR="00BB45DA" w:rsidRPr="007B3017">
        <w:rPr>
          <w:rFonts w:cs="Arial"/>
          <w:szCs w:val="20"/>
          <w:lang w:val="es-CO"/>
        </w:rPr>
        <w:t xml:space="preserve">determinación </w:t>
      </w:r>
      <w:r w:rsidRPr="007B3017">
        <w:rPr>
          <w:rFonts w:cs="Arial"/>
          <w:szCs w:val="20"/>
          <w:lang w:val="es-CO"/>
        </w:rPr>
        <w:t>preliminar y fecha.</w:t>
      </w:r>
    </w:p>
  </w:footnote>
  <w:footnote w:id="128">
    <w:p w14:paraId="05E98F30" w14:textId="5E3268AA" w:rsidR="00B001A6" w:rsidRPr="000D6E21" w:rsidRDefault="00B001A6" w:rsidP="007B3017">
      <w:pPr>
        <w:pStyle w:val="Textonotapie"/>
        <w:rPr>
          <w:rFonts w:cs="Arial"/>
          <w:szCs w:val="20"/>
          <w:lang w:val="es-CO"/>
        </w:rPr>
      </w:pPr>
      <w:r w:rsidRPr="007B3017">
        <w:rPr>
          <w:rStyle w:val="Refdenotaalpie"/>
          <w:rFonts w:cs="Arial"/>
          <w:sz w:val="20"/>
          <w:szCs w:val="20"/>
        </w:rPr>
        <w:footnoteRef/>
      </w:r>
      <w:r w:rsidRPr="007B3017">
        <w:rPr>
          <w:rFonts w:cs="Arial"/>
          <w:szCs w:val="20"/>
        </w:rPr>
        <w:t xml:space="preserve"> La experiencia en la evaluación de estudios ambientales ha demostrado que los muestreos aleatorios para este grupo de especies no son apropiados por cuanto subestiman la diversidad de especies y no permiten una buena aproximación a la estructura</w:t>
      </w:r>
      <w:r w:rsidR="00ED5EE2" w:rsidRPr="007B3017">
        <w:rPr>
          <w:rFonts w:cs="Arial"/>
          <w:szCs w:val="20"/>
        </w:rPr>
        <w:t xml:space="preserve"> de los ecosistemas</w:t>
      </w:r>
      <w:r w:rsidRPr="007B3017">
        <w:rPr>
          <w:rFonts w:cs="Arial"/>
          <w:szCs w:val="20"/>
        </w:rPr>
        <w:t>.</w:t>
      </w:r>
    </w:p>
  </w:footnote>
  <w:footnote w:id="129">
    <w:p w14:paraId="7959755A" w14:textId="6B409730" w:rsidR="00AC06A1" w:rsidRPr="000D6E21" w:rsidRDefault="00AC06A1" w:rsidP="007B3017">
      <w:pPr>
        <w:pStyle w:val="Textonotapie"/>
        <w:rPr>
          <w:rFonts w:cs="Arial"/>
          <w:szCs w:val="20"/>
          <w:lang w:val="es-CO"/>
        </w:rPr>
      </w:pPr>
      <w:r w:rsidRPr="007B3017">
        <w:rPr>
          <w:rStyle w:val="Refdenotaalpie"/>
          <w:rFonts w:cs="Arial"/>
          <w:sz w:val="20"/>
          <w:szCs w:val="20"/>
        </w:rPr>
        <w:footnoteRef/>
      </w:r>
      <w:r w:rsidRPr="007B3017">
        <w:rPr>
          <w:rFonts w:cs="Arial"/>
          <w:szCs w:val="20"/>
        </w:rPr>
        <w:t xml:space="preserve"> De acuerdo con la </w:t>
      </w:r>
      <w:r w:rsidR="00D143E4" w:rsidRPr="007B3017">
        <w:rPr>
          <w:rFonts w:cs="Arial"/>
          <w:szCs w:val="20"/>
        </w:rPr>
        <w:t>Resolución 0126 de 2024</w:t>
      </w:r>
      <w:r w:rsidRPr="007B3017">
        <w:rPr>
          <w:rFonts w:cs="Arial"/>
          <w:szCs w:val="20"/>
        </w:rPr>
        <w:t xml:space="preserve"> o aquella norma que la modifique o sustituya, la serie Libros rojos de especies amenazadas, los marcos normativos nacionales establecidos para la protección de la flora y los listados de UICN.</w:t>
      </w:r>
    </w:p>
  </w:footnote>
  <w:footnote w:id="130">
    <w:p w14:paraId="36C9051C" w14:textId="7D11F61C"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Se debe hacer uso de las herramientas tecnológicas (aplicaciones o plataformas) que las autoridades ambientales pongan a disposición para el cargue de la información relacionada con los ejemplares fotografiados, </w:t>
      </w:r>
      <w:r w:rsidR="00BB45DA" w:rsidRPr="007B3017">
        <w:rPr>
          <w:rFonts w:cs="Arial"/>
          <w:szCs w:val="20"/>
          <w:lang w:val="es-CO"/>
        </w:rPr>
        <w:t>por ejemplo, datos sobre</w:t>
      </w:r>
      <w:r w:rsidRPr="007B3017">
        <w:rPr>
          <w:rFonts w:cs="Arial"/>
          <w:szCs w:val="20"/>
          <w:lang w:val="es-CO"/>
        </w:rPr>
        <w:t xml:space="preserve"> localización, </w:t>
      </w:r>
      <w:r w:rsidR="00BB45DA" w:rsidRPr="007B3017">
        <w:rPr>
          <w:rFonts w:cs="Arial"/>
          <w:szCs w:val="20"/>
          <w:lang w:val="es-CO"/>
        </w:rPr>
        <w:t xml:space="preserve">determinación </w:t>
      </w:r>
      <w:r w:rsidRPr="007B3017">
        <w:rPr>
          <w:rFonts w:cs="Arial"/>
          <w:szCs w:val="20"/>
          <w:lang w:val="es-CO"/>
        </w:rPr>
        <w:t>preliminar y fecha.</w:t>
      </w:r>
    </w:p>
  </w:footnote>
  <w:footnote w:id="131">
    <w:p w14:paraId="3D6DAFC0" w14:textId="5811C96F"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Disponible en https://amphibiansoftheworld.amnh.org/</w:t>
      </w:r>
    </w:p>
  </w:footnote>
  <w:footnote w:id="132">
    <w:p w14:paraId="6C4D40E6" w14:textId="382AD7C8"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Disponible en https://www.batrachia.com/</w:t>
      </w:r>
    </w:p>
  </w:footnote>
  <w:footnote w:id="133">
    <w:p w14:paraId="33FC2D0C" w14:textId="77777777"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Disponible en </w:t>
      </w:r>
      <w:hyperlink r:id="rId1" w:history="1">
        <w:r w:rsidRPr="007B3017">
          <w:rPr>
            <w:rFonts w:cs="Arial"/>
            <w:spacing w:val="-3"/>
            <w:szCs w:val="20"/>
            <w:lang w:val="es-CO"/>
          </w:rPr>
          <w:t>http://www.reptile-database.org/</w:t>
        </w:r>
      </w:hyperlink>
    </w:p>
  </w:footnote>
  <w:footnote w:id="134">
    <w:p w14:paraId="6C58E618" w14:textId="77777777"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Disponible en </w:t>
      </w:r>
      <w:hyperlink r:id="rId2" w:history="1">
        <w:r w:rsidRPr="007B3017">
          <w:rPr>
            <w:rFonts w:cs="Arial"/>
            <w:spacing w:val="-3"/>
            <w:szCs w:val="20"/>
            <w:lang w:val="es-CO"/>
          </w:rPr>
          <w:t>http://www.museum.lsu.edu/~Remsen/SACCBaseline.htm</w:t>
        </w:r>
      </w:hyperlink>
    </w:p>
  </w:footnote>
  <w:footnote w:id="135">
    <w:p w14:paraId="29802486" w14:textId="77777777"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Disponible en </w:t>
      </w:r>
      <w:hyperlink r:id="rId3" w:history="1">
        <w:r w:rsidRPr="007B3017">
          <w:rPr>
            <w:rFonts w:cs="Arial"/>
            <w:spacing w:val="-3"/>
            <w:szCs w:val="20"/>
            <w:lang w:val="es-CO"/>
          </w:rPr>
          <w:t>http://www.departments.bucknell.edu/biology/resources/msw3/</w:t>
        </w:r>
      </w:hyperlink>
    </w:p>
  </w:footnote>
  <w:footnote w:id="136">
    <w:p w14:paraId="7C091839" w14:textId="77777777"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Disponible en https://datos.biodiversidad.co/</w:t>
      </w:r>
    </w:p>
  </w:footnote>
  <w:footnote w:id="137">
    <w:p w14:paraId="3406019F" w14:textId="3D699A31"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D</w:t>
      </w:r>
      <w:r w:rsidRPr="007B3017">
        <w:rPr>
          <w:rFonts w:cs="Arial"/>
          <w:spacing w:val="-3"/>
          <w:szCs w:val="20"/>
          <w:lang w:val="es-CO"/>
        </w:rPr>
        <w:t xml:space="preserve">isponible en </w:t>
      </w:r>
      <w:r w:rsidRPr="007B3017">
        <w:rPr>
          <w:rFonts w:cs="Arial"/>
          <w:szCs w:val="20"/>
          <w:lang w:val="es-CO"/>
        </w:rPr>
        <w:t>http://viceroy.eeb.uconn.edu/EstimateS/EstimateSPages/AboutEstimateS.htm</w:t>
      </w:r>
    </w:p>
  </w:footnote>
  <w:footnote w:id="138">
    <w:p w14:paraId="5A9D3601" w14:textId="529830AF" w:rsidR="008071BC" w:rsidRPr="000D6E21" w:rsidRDefault="008071BC" w:rsidP="007B3017">
      <w:pPr>
        <w:rPr>
          <w:rFonts w:cs="Arial"/>
          <w:sz w:val="20"/>
          <w:szCs w:val="20"/>
        </w:rPr>
      </w:pPr>
      <w:r w:rsidRPr="000D6E21">
        <w:rPr>
          <w:rFonts w:cs="Arial"/>
          <w:sz w:val="20"/>
          <w:szCs w:val="20"/>
          <w:vertAlign w:val="superscript"/>
        </w:rPr>
        <w:footnoteRef/>
      </w:r>
      <w:r w:rsidRPr="000D6E21">
        <w:rPr>
          <w:rFonts w:cs="Arial"/>
          <w:sz w:val="20"/>
          <w:szCs w:val="20"/>
        </w:rPr>
        <w:t xml:space="preserve"> </w:t>
      </w:r>
      <w:r w:rsidRPr="007B3017">
        <w:rPr>
          <w:rFonts w:eastAsia="Arial" w:cs="Arial"/>
          <w:sz w:val="20"/>
          <w:szCs w:val="20"/>
        </w:rPr>
        <w:t xml:space="preserve">Asimismo, es posible emplear los </w:t>
      </w:r>
      <w:proofErr w:type="spellStart"/>
      <w:r w:rsidRPr="007B3017">
        <w:rPr>
          <w:rFonts w:eastAsia="Arial" w:cs="Arial"/>
          <w:sz w:val="20"/>
          <w:szCs w:val="20"/>
        </w:rPr>
        <w:t>BioModelos</w:t>
      </w:r>
      <w:proofErr w:type="spellEnd"/>
      <w:r w:rsidRPr="007B3017">
        <w:rPr>
          <w:rFonts w:eastAsia="Arial" w:cs="Arial"/>
          <w:sz w:val="20"/>
          <w:szCs w:val="20"/>
        </w:rPr>
        <w:t>, una aplicación web para la consulta y descarga de información geográfica sobre la distribución de especies de Colombia, desarrollada por el Laboratorio de biogeografía aplicada del Instituto Humboldt (disponible en: http://biomodelos.humboldt.org.co/).</w:t>
      </w:r>
    </w:p>
  </w:footnote>
  <w:footnote w:id="139">
    <w:p w14:paraId="6081FB60" w14:textId="6218CCB4" w:rsidR="008071BC" w:rsidRPr="000D6E21" w:rsidRDefault="008071BC" w:rsidP="007B3017">
      <w:pPr>
        <w:rPr>
          <w:rFonts w:cs="Arial"/>
          <w:sz w:val="20"/>
          <w:szCs w:val="20"/>
        </w:rPr>
      </w:pPr>
      <w:r w:rsidRPr="000D6E21">
        <w:rPr>
          <w:rFonts w:cs="Arial"/>
          <w:sz w:val="20"/>
          <w:szCs w:val="20"/>
          <w:vertAlign w:val="superscript"/>
        </w:rPr>
        <w:footnoteRef/>
      </w:r>
      <w:r w:rsidRPr="000D6E21">
        <w:rPr>
          <w:rFonts w:cs="Arial"/>
          <w:sz w:val="20"/>
          <w:szCs w:val="20"/>
        </w:rPr>
        <w:t xml:space="preserve"> </w:t>
      </w:r>
      <w:r w:rsidR="00B23A4C" w:rsidRPr="007B3017">
        <w:rPr>
          <w:rFonts w:eastAsia="Arial" w:cs="Arial"/>
          <w:sz w:val="20"/>
          <w:szCs w:val="20"/>
        </w:rPr>
        <w:t>P</w:t>
      </w:r>
      <w:r w:rsidRPr="007B3017">
        <w:rPr>
          <w:rFonts w:eastAsia="Arial" w:cs="Arial"/>
          <w:sz w:val="20"/>
          <w:szCs w:val="20"/>
        </w:rPr>
        <w:t xml:space="preserve">or ejemplo, las bases de datos </w:t>
      </w:r>
      <w:r w:rsidR="00B23A4C" w:rsidRPr="007B3017">
        <w:rPr>
          <w:rFonts w:eastAsia="Arial" w:cs="Arial"/>
          <w:sz w:val="20"/>
          <w:szCs w:val="20"/>
        </w:rPr>
        <w:t xml:space="preserve">de </w:t>
      </w:r>
      <w:r w:rsidRPr="007B3017">
        <w:rPr>
          <w:rFonts w:eastAsia="Arial" w:cs="Arial"/>
          <w:sz w:val="20"/>
          <w:szCs w:val="20"/>
        </w:rPr>
        <w:t xml:space="preserve">Global </w:t>
      </w:r>
      <w:proofErr w:type="spellStart"/>
      <w:r w:rsidRPr="007B3017">
        <w:rPr>
          <w:rFonts w:eastAsia="Arial" w:cs="Arial"/>
          <w:sz w:val="20"/>
          <w:szCs w:val="20"/>
        </w:rPr>
        <w:t>Biodiversity</w:t>
      </w:r>
      <w:proofErr w:type="spellEnd"/>
      <w:r w:rsidRPr="007B3017">
        <w:rPr>
          <w:rFonts w:eastAsia="Arial" w:cs="Arial"/>
          <w:sz w:val="20"/>
          <w:szCs w:val="20"/>
        </w:rPr>
        <w:t xml:space="preserve"> </w:t>
      </w:r>
      <w:proofErr w:type="spellStart"/>
      <w:r w:rsidRPr="007B3017">
        <w:rPr>
          <w:rFonts w:eastAsia="Arial" w:cs="Arial"/>
          <w:sz w:val="20"/>
          <w:szCs w:val="20"/>
        </w:rPr>
        <w:t>Information</w:t>
      </w:r>
      <w:proofErr w:type="spellEnd"/>
      <w:r w:rsidRPr="007B3017">
        <w:rPr>
          <w:rFonts w:eastAsia="Arial" w:cs="Arial"/>
          <w:sz w:val="20"/>
          <w:szCs w:val="20"/>
        </w:rPr>
        <w:t xml:space="preserve"> </w:t>
      </w:r>
      <w:proofErr w:type="spellStart"/>
      <w:r w:rsidRPr="007B3017">
        <w:rPr>
          <w:rFonts w:eastAsia="Arial" w:cs="Arial"/>
          <w:sz w:val="20"/>
          <w:szCs w:val="20"/>
        </w:rPr>
        <w:t>Facility</w:t>
      </w:r>
      <w:proofErr w:type="spellEnd"/>
      <w:r w:rsidRPr="007B3017">
        <w:rPr>
          <w:rFonts w:eastAsia="Arial" w:cs="Arial"/>
          <w:sz w:val="20"/>
          <w:szCs w:val="20"/>
        </w:rPr>
        <w:t xml:space="preserve"> (GBIF) y </w:t>
      </w:r>
      <w:r w:rsidR="00B23A4C" w:rsidRPr="007B3017">
        <w:rPr>
          <w:rFonts w:eastAsia="Arial" w:cs="Arial"/>
          <w:sz w:val="20"/>
          <w:szCs w:val="20"/>
        </w:rPr>
        <w:t xml:space="preserve">del </w:t>
      </w:r>
      <w:r w:rsidRPr="007B3017">
        <w:rPr>
          <w:rFonts w:eastAsia="Arial" w:cs="Arial"/>
          <w:sz w:val="20"/>
          <w:szCs w:val="20"/>
        </w:rPr>
        <w:t>Sistema de Información sobre Biodiversidad de Colombia (</w:t>
      </w:r>
      <w:proofErr w:type="spellStart"/>
      <w:r w:rsidRPr="007B3017">
        <w:rPr>
          <w:rFonts w:eastAsia="Arial" w:cs="Arial"/>
          <w:sz w:val="20"/>
          <w:szCs w:val="20"/>
        </w:rPr>
        <w:t>SiB</w:t>
      </w:r>
      <w:proofErr w:type="spellEnd"/>
      <w:r w:rsidR="00B23A4C" w:rsidRPr="007B3017">
        <w:rPr>
          <w:rFonts w:eastAsia="Arial" w:cs="Arial"/>
          <w:sz w:val="20"/>
          <w:szCs w:val="20"/>
        </w:rPr>
        <w:t xml:space="preserve"> </w:t>
      </w:r>
      <w:r w:rsidRPr="007B3017">
        <w:rPr>
          <w:rFonts w:eastAsia="Arial" w:cs="Arial"/>
          <w:sz w:val="20"/>
          <w:szCs w:val="20"/>
        </w:rPr>
        <w:t>Colombia).</w:t>
      </w:r>
    </w:p>
  </w:footnote>
  <w:footnote w:id="140">
    <w:p w14:paraId="41857D05" w14:textId="0A679A4B" w:rsidR="0043341A" w:rsidRPr="007B3017" w:rsidRDefault="0043341A" w:rsidP="007B3017">
      <w:pPr>
        <w:rPr>
          <w:rFonts w:cs="Arial"/>
          <w:sz w:val="20"/>
          <w:szCs w:val="20"/>
        </w:rPr>
      </w:pPr>
      <w:r w:rsidRPr="007B3017">
        <w:rPr>
          <w:rFonts w:cs="Arial"/>
          <w:sz w:val="20"/>
          <w:szCs w:val="20"/>
          <w:vertAlign w:val="superscript"/>
        </w:rPr>
        <w:footnoteRef/>
      </w:r>
      <w:r w:rsidRPr="007B3017">
        <w:rPr>
          <w:rFonts w:cs="Arial"/>
          <w:sz w:val="20"/>
          <w:szCs w:val="20"/>
        </w:rPr>
        <w:t xml:space="preserve"> </w:t>
      </w:r>
      <w:r w:rsidRPr="007B3017">
        <w:rPr>
          <w:rFonts w:eastAsia="Arial" w:cs="Arial"/>
          <w:sz w:val="20"/>
          <w:szCs w:val="20"/>
        </w:rPr>
        <w:t xml:space="preserve">Puede recurrirse, para variables bioclimáticas a </w:t>
      </w:r>
      <w:proofErr w:type="spellStart"/>
      <w:r w:rsidRPr="007B3017">
        <w:rPr>
          <w:rFonts w:eastAsia="Arial" w:cs="Arial"/>
          <w:sz w:val="20"/>
          <w:szCs w:val="20"/>
        </w:rPr>
        <w:t>Worldclim</w:t>
      </w:r>
      <w:proofErr w:type="spellEnd"/>
      <w:r w:rsidR="003351A6" w:rsidRPr="007B3017">
        <w:rPr>
          <w:rFonts w:eastAsia="Arial" w:cs="Arial"/>
          <w:sz w:val="20"/>
          <w:szCs w:val="20"/>
        </w:rPr>
        <w:t xml:space="preserve"> (https://www.worldclim.org/data/bioclim.html)</w:t>
      </w:r>
      <w:r w:rsidRPr="007B3017">
        <w:rPr>
          <w:rFonts w:eastAsia="Arial" w:cs="Arial"/>
          <w:sz w:val="20"/>
          <w:szCs w:val="20"/>
        </w:rPr>
        <w:t xml:space="preserve">, para ecosistemas acuáticos continentales a </w:t>
      </w:r>
      <w:proofErr w:type="spellStart"/>
      <w:r w:rsidRPr="007B3017">
        <w:rPr>
          <w:rFonts w:eastAsia="Arial" w:cs="Arial"/>
          <w:sz w:val="20"/>
          <w:szCs w:val="20"/>
        </w:rPr>
        <w:t>EarthEnv</w:t>
      </w:r>
      <w:proofErr w:type="spellEnd"/>
      <w:r w:rsidR="003351A6" w:rsidRPr="007B3017">
        <w:rPr>
          <w:rFonts w:eastAsia="Arial" w:cs="Arial"/>
          <w:sz w:val="20"/>
          <w:szCs w:val="20"/>
        </w:rPr>
        <w:t xml:space="preserve"> (https://www.earthenv.org/streams)</w:t>
      </w:r>
      <w:r w:rsidRPr="007B3017">
        <w:rPr>
          <w:rFonts w:eastAsia="Arial" w:cs="Arial"/>
          <w:sz w:val="20"/>
          <w:szCs w:val="20"/>
        </w:rPr>
        <w:t xml:space="preserve"> y para ecosistemas marinos a MARSPEC </w:t>
      </w:r>
      <w:r w:rsidR="003351A6" w:rsidRPr="007B3017">
        <w:rPr>
          <w:rFonts w:eastAsia="Arial" w:cs="Arial"/>
          <w:sz w:val="20"/>
          <w:szCs w:val="20"/>
        </w:rPr>
        <w:t>(http://marspec.weebly.com/modern-data.html)</w:t>
      </w:r>
      <w:r w:rsidR="0093770B" w:rsidRPr="007B3017">
        <w:rPr>
          <w:rFonts w:eastAsia="Arial" w:cs="Arial"/>
          <w:sz w:val="20"/>
          <w:szCs w:val="20"/>
        </w:rPr>
        <w:t>.</w:t>
      </w:r>
    </w:p>
  </w:footnote>
  <w:footnote w:id="141">
    <w:p w14:paraId="3039F07F" w14:textId="77777777" w:rsidR="007F44B8" w:rsidRPr="007B3017" w:rsidRDefault="007F44B8" w:rsidP="007B3017">
      <w:pPr>
        <w:rPr>
          <w:rFonts w:eastAsia="Arial" w:cs="Arial"/>
          <w:sz w:val="20"/>
          <w:szCs w:val="20"/>
        </w:rPr>
      </w:pPr>
      <w:r w:rsidRPr="007B3017">
        <w:rPr>
          <w:rFonts w:cs="Arial"/>
          <w:sz w:val="20"/>
          <w:szCs w:val="20"/>
          <w:vertAlign w:val="superscript"/>
        </w:rPr>
        <w:footnoteRef/>
      </w:r>
      <w:r w:rsidRPr="007B3017">
        <w:rPr>
          <w:rFonts w:cs="Arial"/>
          <w:sz w:val="20"/>
          <w:szCs w:val="20"/>
          <w:vertAlign w:val="superscript"/>
        </w:rPr>
        <w:t xml:space="preserve"> </w:t>
      </w:r>
      <w:r w:rsidRPr="007B3017">
        <w:rPr>
          <w:rFonts w:eastAsia="Arial" w:cs="Arial"/>
          <w:sz w:val="20"/>
          <w:szCs w:val="20"/>
          <w:lang w:val="es"/>
        </w:rPr>
        <w:t>Disponible en: https://biodiversityinformatics.amnh.org/open_source/maxent/</w:t>
      </w:r>
    </w:p>
  </w:footnote>
  <w:footnote w:id="142">
    <w:p w14:paraId="39CC06F6" w14:textId="77777777" w:rsidR="007F44B8" w:rsidRPr="007B3017" w:rsidRDefault="007F44B8" w:rsidP="007B3017">
      <w:pPr>
        <w:rPr>
          <w:rFonts w:eastAsia="Arial" w:cs="Arial"/>
          <w:sz w:val="20"/>
          <w:szCs w:val="20"/>
        </w:rPr>
      </w:pPr>
      <w:r w:rsidRPr="007B3017">
        <w:rPr>
          <w:rFonts w:cs="Arial"/>
          <w:sz w:val="20"/>
          <w:szCs w:val="20"/>
          <w:vertAlign w:val="superscript"/>
        </w:rPr>
        <w:footnoteRef/>
      </w:r>
      <w:r w:rsidRPr="007B3017">
        <w:rPr>
          <w:rFonts w:cs="Arial"/>
          <w:sz w:val="20"/>
          <w:szCs w:val="20"/>
        </w:rPr>
        <w:t xml:space="preserve"> </w:t>
      </w:r>
      <w:r w:rsidRPr="007B3017">
        <w:rPr>
          <w:rFonts w:eastAsia="Arial" w:cs="Arial"/>
          <w:sz w:val="20"/>
          <w:szCs w:val="20"/>
        </w:rPr>
        <w:t xml:space="preserve">Ver </w:t>
      </w:r>
      <w:proofErr w:type="spellStart"/>
      <w:r w:rsidRPr="007B3017">
        <w:rPr>
          <w:rFonts w:eastAsia="Arial" w:cs="Arial"/>
          <w:color w:val="000000" w:themeColor="text1"/>
          <w:sz w:val="20"/>
          <w:szCs w:val="20"/>
        </w:rPr>
        <w:t>Kass</w:t>
      </w:r>
      <w:proofErr w:type="spellEnd"/>
      <w:r w:rsidRPr="007B3017">
        <w:rPr>
          <w:rFonts w:eastAsia="Arial" w:cs="Arial"/>
          <w:color w:val="000000" w:themeColor="text1"/>
          <w:sz w:val="20"/>
          <w:szCs w:val="20"/>
        </w:rPr>
        <w:t xml:space="preserve"> et al. (2018).</w:t>
      </w:r>
    </w:p>
  </w:footnote>
  <w:footnote w:id="143">
    <w:p w14:paraId="6333E880" w14:textId="2B398660" w:rsidR="007F44B8" w:rsidRPr="007B3017" w:rsidRDefault="007F44B8" w:rsidP="007B3017">
      <w:pPr>
        <w:rPr>
          <w:rFonts w:eastAsia="Arial" w:cs="Arial"/>
          <w:sz w:val="20"/>
          <w:szCs w:val="20"/>
        </w:rPr>
      </w:pPr>
      <w:r w:rsidRPr="007B3017">
        <w:rPr>
          <w:rFonts w:cs="Arial"/>
          <w:sz w:val="20"/>
          <w:szCs w:val="20"/>
          <w:vertAlign w:val="superscript"/>
        </w:rPr>
        <w:footnoteRef/>
      </w:r>
      <w:r w:rsidRPr="007B3017">
        <w:rPr>
          <w:rFonts w:cs="Arial"/>
          <w:sz w:val="20"/>
          <w:szCs w:val="20"/>
        </w:rPr>
        <w:t xml:space="preserve"> </w:t>
      </w:r>
      <w:r w:rsidRPr="007B3017">
        <w:rPr>
          <w:rFonts w:cs="Arial"/>
          <w:color w:val="000000" w:themeColor="text1"/>
          <w:sz w:val="20"/>
          <w:szCs w:val="20"/>
        </w:rPr>
        <w:t>Ver Cobos et al. (2019)</w:t>
      </w:r>
      <w:r w:rsidR="00541CDF" w:rsidRPr="007B3017">
        <w:rPr>
          <w:rFonts w:cs="Arial"/>
          <w:color w:val="000000" w:themeColor="text1"/>
          <w:sz w:val="20"/>
          <w:szCs w:val="20"/>
        </w:rPr>
        <w:t>.</w:t>
      </w:r>
    </w:p>
  </w:footnote>
  <w:footnote w:id="144">
    <w:p w14:paraId="46861DDD" w14:textId="32521DFF"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Algunos métodos para establecer la fragmentación de estos ecosistemas se encuentran referenciados en los estudios de Angarita et al. (2018) para la depresión Momposina y de Carvajal-Quintero et al. (2017) para la cuenca del Magdalena.</w:t>
      </w:r>
    </w:p>
  </w:footnote>
  <w:footnote w:id="145">
    <w:p w14:paraId="6D56C19C" w14:textId="3CA00629"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Aplicable para formaciones coralinas en aguas poco profundas.</w:t>
      </w:r>
    </w:p>
  </w:footnote>
  <w:footnote w:id="146">
    <w:p w14:paraId="041233CB" w14:textId="3B3E5DC6"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Disponible en: https://www.algaebase.org/</w:t>
      </w:r>
    </w:p>
  </w:footnote>
  <w:footnote w:id="147">
    <w:p w14:paraId="082E6693" w14:textId="0EF851F3"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Disponible en: https://ipt.biodiversidad.co/sib/resource?r=ictiofauna_colombiana_dulceacuicola</w:t>
      </w:r>
    </w:p>
  </w:footnote>
  <w:footnote w:id="148">
    <w:p w14:paraId="70FBDE10" w14:textId="127B286F"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Disponible en: http://researcharchive.calacademy.org/research/ichthyology/catalog/fishcatmain.asp</w:t>
      </w:r>
    </w:p>
  </w:footnote>
  <w:footnote w:id="149">
    <w:p w14:paraId="73C4EC76" w14:textId="77777777"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http://invasoresmarinos.invemar.org.co/</w:t>
      </w:r>
    </w:p>
  </w:footnote>
  <w:footnote w:id="150">
    <w:p w14:paraId="4F3D64C8" w14:textId="77777777" w:rsidR="003E222D" w:rsidRPr="007B3017" w:rsidRDefault="003E222D" w:rsidP="007B3017">
      <w:pPr>
        <w:pStyle w:val="Textonotapie"/>
        <w:rPr>
          <w:rFonts w:cs="Arial"/>
          <w:szCs w:val="20"/>
          <w:lang w:val="es-CO"/>
        </w:rPr>
      </w:pPr>
      <w:r w:rsidRPr="007B3017">
        <w:rPr>
          <w:rFonts w:cs="Arial"/>
          <w:szCs w:val="20"/>
          <w:vertAlign w:val="superscript"/>
          <w:lang w:val="es-CO"/>
        </w:rPr>
        <w:footnoteRef/>
      </w:r>
      <w:r w:rsidRPr="007B3017">
        <w:rPr>
          <w:rFonts w:cs="Arial"/>
          <w:szCs w:val="20"/>
          <w:lang w:val="es-CO"/>
        </w:rPr>
        <w:t xml:space="preserve"> Zonas declaradas y delimitadas por Minambiente. Es necesario verificar su vigencia dado que su declaración tiene un carácter temporal.</w:t>
      </w:r>
    </w:p>
  </w:footnote>
  <w:footnote w:id="151">
    <w:p w14:paraId="14B5F1EA" w14:textId="0687A53D"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Definida por el artículo 38 de la Ley 160 de 1994 como la empresa básica de producción agrícola, pecuaria, acuícola o forestal cuya extensión, conforme a las condiciones agroecológicas de la zona y con tecnología adecuada, permite a la familia remunerar su trabajo y disponer de un excedente capitalizable que coadyuve a la formación de su patrimonio.</w:t>
      </w:r>
    </w:p>
  </w:footnote>
  <w:footnote w:id="152">
    <w:p w14:paraId="55FB69BE" w14:textId="7A46406F" w:rsidR="00D55F13" w:rsidRPr="007B3017" w:rsidRDefault="00D55F13" w:rsidP="007B3017">
      <w:pPr>
        <w:rPr>
          <w:rFonts w:cs="Arial"/>
          <w:sz w:val="20"/>
          <w:szCs w:val="20"/>
        </w:rPr>
      </w:pPr>
      <w:r w:rsidRPr="007B3017">
        <w:rPr>
          <w:rStyle w:val="Refdenotaalpie"/>
          <w:rFonts w:cs="Arial"/>
          <w:sz w:val="20"/>
          <w:szCs w:val="20"/>
          <w:lang w:val="es-CO"/>
        </w:rPr>
        <w:footnoteRef/>
      </w:r>
      <w:r w:rsidRPr="007B3017">
        <w:rPr>
          <w:rFonts w:cs="Arial"/>
          <w:sz w:val="20"/>
          <w:szCs w:val="20"/>
        </w:rPr>
        <w:t xml:space="preserve"> Ejercicio de la autoridad económica, política y administrativa para administrar los asuntos de un país a todos los niveles de gobierno. Comprende los mecanismos, los procesos y las instituciones a través de las cuales los ciudadanos y los grupos articulan sus intereses, ejercen sus derechos legales, cumplen sus obligaciones y resuelven sus diferencias (PNUD, 1997</w:t>
      </w:r>
      <w:bookmarkStart w:id="2930" w:name="_Hlk86332252"/>
      <w:r w:rsidRPr="007B3017">
        <w:rPr>
          <w:rFonts w:cs="Arial"/>
          <w:sz w:val="20"/>
          <w:szCs w:val="20"/>
        </w:rPr>
        <w:t xml:space="preserve">, citado por </w:t>
      </w:r>
      <w:proofErr w:type="spellStart"/>
      <w:r w:rsidRPr="007B3017">
        <w:rPr>
          <w:rFonts w:cs="Arial"/>
          <w:sz w:val="20"/>
          <w:szCs w:val="20"/>
        </w:rPr>
        <w:t>Zurbriggen</w:t>
      </w:r>
      <w:proofErr w:type="spellEnd"/>
      <w:r w:rsidRPr="007B3017">
        <w:rPr>
          <w:rFonts w:cs="Arial"/>
          <w:sz w:val="20"/>
          <w:szCs w:val="20"/>
        </w:rPr>
        <w:t>, 2011</w:t>
      </w:r>
      <w:bookmarkEnd w:id="2930"/>
      <w:r w:rsidRPr="007B3017">
        <w:rPr>
          <w:rFonts w:cs="Arial"/>
          <w:sz w:val="20"/>
          <w:szCs w:val="20"/>
        </w:rPr>
        <w:t>).</w:t>
      </w:r>
    </w:p>
  </w:footnote>
  <w:footnote w:id="153">
    <w:p w14:paraId="7A77EFC3" w14:textId="51486340"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Población constituida por todas las personas de 12 años en adelante para las zonas urbanas y de 10 años en adelante en las zonas rurales (DANE, 2009).</w:t>
      </w:r>
    </w:p>
  </w:footnote>
  <w:footnote w:id="154">
    <w:p w14:paraId="4F703249" w14:textId="351B99AB" w:rsidR="003032B6" w:rsidRPr="007B3017" w:rsidRDefault="003032B6" w:rsidP="007B3017">
      <w:pPr>
        <w:pStyle w:val="Textonotapie"/>
        <w:rPr>
          <w:rFonts w:cs="Arial"/>
          <w:szCs w:val="20"/>
        </w:rPr>
      </w:pPr>
      <w:r w:rsidRPr="007B3017">
        <w:rPr>
          <w:rStyle w:val="Refdenotaalpie"/>
          <w:rFonts w:cs="Arial"/>
          <w:sz w:val="20"/>
          <w:szCs w:val="20"/>
        </w:rPr>
        <w:footnoteRef/>
      </w:r>
      <w:r w:rsidRPr="007B3017">
        <w:rPr>
          <w:rFonts w:cs="Arial"/>
          <w:szCs w:val="20"/>
        </w:rPr>
        <w:t xml:space="preserve"> Según la Sentencia T-678/16 de la Corte Constitucional los grupos de especial protección constitucional son los niños, los adolescentes, los ancianos, los disminuidos físicos, síquicos y sensoriales, las mujeres cabeza de familia, las personas desplazadas por la violencia y aquellas que se encuentran en extrema pobreza.</w:t>
      </w:r>
    </w:p>
  </w:footnote>
  <w:footnote w:id="155">
    <w:p w14:paraId="51EBC4FD" w14:textId="77777777" w:rsidR="002C5B64" w:rsidRPr="007B3017" w:rsidRDefault="002C5B64" w:rsidP="007B3017">
      <w:pPr>
        <w:pStyle w:val="Textonotapie"/>
        <w:rPr>
          <w:rFonts w:cs="Arial"/>
          <w:szCs w:val="20"/>
        </w:rPr>
      </w:pPr>
      <w:r w:rsidRPr="007B3017">
        <w:rPr>
          <w:rStyle w:val="Refdenotaalpie"/>
          <w:rFonts w:cs="Arial"/>
          <w:sz w:val="20"/>
          <w:szCs w:val="20"/>
        </w:rPr>
        <w:footnoteRef/>
      </w:r>
      <w:r w:rsidRPr="007B3017">
        <w:rPr>
          <w:rFonts w:cs="Arial"/>
          <w:szCs w:val="20"/>
        </w:rPr>
        <w:t xml:space="preserve"> Se hace referencia a las personas que tienen mayor dificultad para informarse y participar de manera efectiva por diversas situaciones, entre ellas, limitaciones tecnológicas, auditivas, por tener una lengua diferente al castellano o vivir en espacios territoriales de difícil acceso.</w:t>
      </w:r>
    </w:p>
  </w:footnote>
  <w:footnote w:id="156">
    <w:p w14:paraId="0A88BB30" w14:textId="3716C197"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Son aquellas relaciones que facilitan o favorecen el intercambio de bienes y servicios entre las diferentes zonas urbanas y rurales que conforman el territorio, que están determinadas por condiciones adecuadas de proximidad y accesibilidad, y que pueden ser tanto </w:t>
      </w:r>
      <w:proofErr w:type="spellStart"/>
      <w:r w:rsidRPr="007B3017">
        <w:rPr>
          <w:rFonts w:cs="Arial"/>
          <w:szCs w:val="20"/>
          <w:lang w:val="es-CO"/>
        </w:rPr>
        <w:t>intra-municipales</w:t>
      </w:r>
      <w:proofErr w:type="spellEnd"/>
      <w:r w:rsidRPr="007B3017">
        <w:rPr>
          <w:rFonts w:cs="Arial"/>
          <w:szCs w:val="20"/>
          <w:lang w:val="es-CO"/>
        </w:rPr>
        <w:t xml:space="preserve"> o </w:t>
      </w:r>
      <w:proofErr w:type="spellStart"/>
      <w:proofErr w:type="gramStart"/>
      <w:r w:rsidRPr="007B3017">
        <w:rPr>
          <w:rFonts w:cs="Arial"/>
          <w:szCs w:val="20"/>
          <w:lang w:val="es-CO"/>
        </w:rPr>
        <w:t>supra-municipales</w:t>
      </w:r>
      <w:proofErr w:type="spellEnd"/>
      <w:proofErr w:type="gramEnd"/>
      <w:r w:rsidRPr="007B3017">
        <w:rPr>
          <w:rFonts w:cs="Arial"/>
          <w:szCs w:val="20"/>
          <w:lang w:val="es-CO"/>
        </w:rPr>
        <w:t xml:space="preserve"> (UPRA, 2016).</w:t>
      </w:r>
    </w:p>
  </w:footnote>
  <w:footnote w:id="157">
    <w:p w14:paraId="410F86AF" w14:textId="298C5288"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Actividades asociadas a trabajos informales, en los cuales de acuerdo con ILO (2003), la relación de trabajo no está sujeta a la legislación laboral nacional, a impuestos, a la protección social o a determinadas prestaciones relacionadas con el empleo.</w:t>
      </w:r>
    </w:p>
  </w:footnote>
  <w:footnote w:id="158">
    <w:p w14:paraId="286202D1" w14:textId="01556A9A"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La procedencia de realización de la de consulta previa es determinada por la Autoridad Nacional de Consulta Previa o quien haga sus veces, de conformidad con las previsiones legales y funcionales que la regulen y lineamientos adicionales que considere.</w:t>
      </w:r>
    </w:p>
  </w:footnote>
  <w:footnote w:id="159">
    <w:p w14:paraId="29CD9317" w14:textId="52B2898F"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La información obtenida y los acercamientos </w:t>
      </w:r>
      <w:r w:rsidRPr="007B3017">
        <w:rPr>
          <w:rFonts w:cs="Arial"/>
          <w:color w:val="000000"/>
          <w:szCs w:val="20"/>
          <w:lang w:val="es-CO"/>
        </w:rPr>
        <w:t>especiales con estos agentes, en caso de que sea posible desarrollarlos, constituyen elementos que desde el conocimiento tradicional permiten precisar en el numeral de evaluación ambiental del EIA, las implicaciones del proyecto</w:t>
      </w:r>
      <w:r w:rsidRPr="007B3017">
        <w:rPr>
          <w:rFonts w:cs="Arial"/>
          <w:spacing w:val="-3"/>
          <w:szCs w:val="20"/>
          <w:lang w:val="es-CO"/>
        </w:rPr>
        <w:t>, obra o actividad</w:t>
      </w:r>
      <w:r w:rsidRPr="007B3017">
        <w:rPr>
          <w:rFonts w:cs="Arial"/>
          <w:color w:val="000000"/>
          <w:szCs w:val="20"/>
          <w:lang w:val="es-CO"/>
        </w:rPr>
        <w:t xml:space="preserve"> en el bienestar de la comunidad.</w:t>
      </w:r>
    </w:p>
  </w:footnote>
  <w:footnote w:id="160">
    <w:p w14:paraId="3B46FA7B" w14:textId="6FC15EC2" w:rsidR="00BB3021" w:rsidRPr="007B3017" w:rsidRDefault="00BB3021" w:rsidP="007B3017">
      <w:pPr>
        <w:pStyle w:val="Textonotapie"/>
        <w:rPr>
          <w:rFonts w:cs="Arial"/>
          <w:szCs w:val="20"/>
          <w:lang w:val="es-ES"/>
        </w:rPr>
      </w:pPr>
      <w:r w:rsidRPr="007B3017">
        <w:rPr>
          <w:rStyle w:val="Refdenotaalpie"/>
          <w:rFonts w:cs="Arial"/>
          <w:sz w:val="20"/>
          <w:szCs w:val="20"/>
        </w:rPr>
        <w:footnoteRef/>
      </w:r>
      <w:r w:rsidRPr="007B3017">
        <w:rPr>
          <w:rFonts w:cs="Arial"/>
          <w:szCs w:val="20"/>
        </w:rPr>
        <w:t xml:space="preserve"> </w:t>
      </w:r>
      <w:r w:rsidR="00FF59DE" w:rsidRPr="007B3017">
        <w:rPr>
          <w:rFonts w:cs="Arial"/>
          <w:szCs w:val="20"/>
        </w:rPr>
        <w:t xml:space="preserve">Situación en la cual se pierde una cualidad a cambio de otra (Nie, 2003). Los </w:t>
      </w:r>
      <w:proofErr w:type="spellStart"/>
      <w:r w:rsidR="00FF59DE" w:rsidRPr="007B3017">
        <w:rPr>
          <w:rFonts w:cs="Arial"/>
          <w:szCs w:val="20"/>
        </w:rPr>
        <w:t>trade</w:t>
      </w:r>
      <w:proofErr w:type="spellEnd"/>
      <w:r w:rsidR="00FF59DE" w:rsidRPr="007B3017">
        <w:rPr>
          <w:rFonts w:cs="Arial"/>
          <w:szCs w:val="20"/>
        </w:rPr>
        <w:t>-off ocurren cuando la provisión de un servicio ecosistémico es reducida como consecuencia del incremento en el uso de otro (Rodríguez et al., 2006).</w:t>
      </w:r>
    </w:p>
  </w:footnote>
  <w:footnote w:id="161">
    <w:p w14:paraId="4F20D776" w14:textId="251FA84B" w:rsidR="00463D5F" w:rsidRPr="007B3017" w:rsidRDefault="00463D5F" w:rsidP="007B3017">
      <w:pPr>
        <w:pStyle w:val="Textonotapie"/>
        <w:rPr>
          <w:rFonts w:cs="Arial"/>
          <w:szCs w:val="20"/>
          <w:lang w:val="es-ES"/>
        </w:rPr>
      </w:pPr>
      <w:r w:rsidRPr="007B3017">
        <w:rPr>
          <w:rStyle w:val="Refdenotaalpie"/>
          <w:rFonts w:cs="Arial"/>
          <w:sz w:val="20"/>
          <w:szCs w:val="20"/>
        </w:rPr>
        <w:footnoteRef/>
      </w:r>
      <w:r w:rsidRPr="007B3017">
        <w:rPr>
          <w:rFonts w:cs="Arial"/>
          <w:szCs w:val="20"/>
        </w:rPr>
        <w:t xml:space="preserve"> Se refieren más que a procesos conflictivos específicos, al reconocimiento de posibles factores exógenos al ámbito local, que actúan como direccionadores de cambio, </w:t>
      </w:r>
      <w:proofErr w:type="spellStart"/>
      <w:r w:rsidRPr="007B3017">
        <w:rPr>
          <w:rFonts w:cs="Arial"/>
          <w:szCs w:val="20"/>
        </w:rPr>
        <w:t>tensionantes</w:t>
      </w:r>
      <w:proofErr w:type="spellEnd"/>
      <w:r w:rsidRPr="007B3017">
        <w:rPr>
          <w:rFonts w:cs="Arial"/>
          <w:szCs w:val="20"/>
        </w:rPr>
        <w:t xml:space="preserve"> o motivadores para la elección de alternativas de acción que tienen los distintos actores pertenecientes a dicho </w:t>
      </w:r>
      <w:r w:rsidR="00B85AAB" w:rsidRPr="007B3017">
        <w:rPr>
          <w:rFonts w:cs="Arial"/>
          <w:szCs w:val="20"/>
        </w:rPr>
        <w:t xml:space="preserve">ámbito local </w:t>
      </w:r>
      <w:r w:rsidRPr="007B3017">
        <w:rPr>
          <w:rFonts w:cs="Arial"/>
          <w:szCs w:val="20"/>
          <w:shd w:val="clear" w:color="auto" w:fill="E6E6E6"/>
        </w:rPr>
        <w:t>(</w:t>
      </w:r>
      <w:r w:rsidRPr="000D6E21">
        <w:rPr>
          <w:rFonts w:cs="Arial"/>
          <w:szCs w:val="20"/>
          <w:shd w:val="clear" w:color="auto" w:fill="E6E6E6"/>
        </w:rPr>
        <w:t>Olmos, 2014)</w:t>
      </w:r>
      <w:r w:rsidR="00B85AAB" w:rsidRPr="007B3017">
        <w:rPr>
          <w:rFonts w:cs="Arial"/>
          <w:szCs w:val="20"/>
          <w:shd w:val="clear" w:color="auto" w:fill="E6E6E6"/>
        </w:rPr>
        <w:t>.</w:t>
      </w:r>
    </w:p>
  </w:footnote>
  <w:footnote w:id="162">
    <w:p w14:paraId="13FA294E" w14:textId="685D24F8"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Para ello es necesario </w:t>
      </w:r>
      <w:r w:rsidR="00C000E0" w:rsidRPr="007B3017">
        <w:rPr>
          <w:rFonts w:cs="Arial"/>
          <w:szCs w:val="20"/>
          <w:lang w:val="es-CO"/>
        </w:rPr>
        <w:t xml:space="preserve">determinar </w:t>
      </w:r>
      <w:r w:rsidRPr="007B3017">
        <w:rPr>
          <w:rFonts w:cs="Arial"/>
          <w:szCs w:val="20"/>
          <w:lang w:val="es-CO"/>
        </w:rPr>
        <w:t>las actividades, obras e infraestructuras del proyecto por las que se debe realizar el reasentamiento involuntario de población; dicha información debe estar desarrollada en el apartado de descripción del proyecto y las implicaciones ambientales de tales actividades, obras e infraestructuras, deben desarrollarse en el numeral de evaluación ambiental.</w:t>
      </w:r>
    </w:p>
  </w:footnote>
  <w:footnote w:id="163">
    <w:p w14:paraId="59492879" w14:textId="58603EE5"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Para </w:t>
      </w:r>
      <w:r w:rsidR="00C000E0" w:rsidRPr="007B3017">
        <w:rPr>
          <w:rFonts w:cs="Arial"/>
          <w:szCs w:val="20"/>
          <w:lang w:val="es-CO"/>
        </w:rPr>
        <w:t>determinar</w:t>
      </w:r>
      <w:r w:rsidRPr="007B3017">
        <w:rPr>
          <w:rFonts w:cs="Arial"/>
          <w:szCs w:val="20"/>
          <w:lang w:val="es-CO"/>
        </w:rPr>
        <w:t>, clasificar, evaluar y describir los SE, así como para definir las unidades de análisis, es posible tomar como referencia los siguientes documentos, metodologías, herramientas y sistemas de indicadores sobre biodiversidad:</w:t>
      </w:r>
    </w:p>
    <w:p w14:paraId="66A28332" w14:textId="0BBAF5D0" w:rsidR="00D55F13" w:rsidRPr="007B3017" w:rsidRDefault="00D55F13" w:rsidP="007B3017">
      <w:pPr>
        <w:pStyle w:val="Textonotapie"/>
        <w:numPr>
          <w:ilvl w:val="0"/>
          <w:numId w:val="71"/>
        </w:numPr>
        <w:ind w:left="0" w:firstLine="0"/>
        <w:rPr>
          <w:rFonts w:cs="Arial"/>
          <w:szCs w:val="20"/>
          <w:lang w:val="es-CO"/>
        </w:rPr>
      </w:pPr>
      <w:r w:rsidRPr="007B3017">
        <w:rPr>
          <w:rFonts w:cs="Arial"/>
          <w:szCs w:val="20"/>
          <w:lang w:val="es-CO"/>
        </w:rPr>
        <w:t>Hacia una valoración incluyente y plural de la biodiversidad y los servicios ecosistémicos. Rincón, A., Arias, P. &amp; Clavijo, M. (Eds.). (2021).</w:t>
      </w:r>
    </w:p>
    <w:p w14:paraId="038FFBD2" w14:textId="17BD1A08" w:rsidR="00D55F13" w:rsidRPr="007B3017" w:rsidRDefault="00D55F13" w:rsidP="007B3017">
      <w:pPr>
        <w:pStyle w:val="Textonotapie"/>
        <w:numPr>
          <w:ilvl w:val="0"/>
          <w:numId w:val="71"/>
        </w:numPr>
        <w:ind w:left="0" w:firstLine="0"/>
        <w:rPr>
          <w:rFonts w:cs="Arial"/>
          <w:szCs w:val="20"/>
          <w:lang w:val="es-CO"/>
        </w:rPr>
      </w:pPr>
      <w:r w:rsidRPr="007B3017">
        <w:rPr>
          <w:rFonts w:cs="Arial"/>
          <w:szCs w:val="20"/>
          <w:lang w:val="en-US"/>
        </w:rPr>
        <w:t xml:space="preserve">Mapping Ecosystem Services. Burkhard, B. &amp; Maes, J. (Eds.). </w:t>
      </w:r>
      <w:r w:rsidRPr="007B3017">
        <w:rPr>
          <w:rFonts w:cs="Arial"/>
          <w:szCs w:val="20"/>
          <w:lang w:val="es-CO"/>
        </w:rPr>
        <w:t>(2017).</w:t>
      </w:r>
    </w:p>
    <w:p w14:paraId="45BC54EC" w14:textId="77777777" w:rsidR="00D55F13" w:rsidRPr="007B3017" w:rsidRDefault="00D55F13" w:rsidP="007B3017">
      <w:pPr>
        <w:pStyle w:val="Textonotapie"/>
        <w:numPr>
          <w:ilvl w:val="0"/>
          <w:numId w:val="71"/>
        </w:numPr>
        <w:ind w:left="0" w:firstLine="0"/>
        <w:rPr>
          <w:rFonts w:cs="Arial"/>
          <w:szCs w:val="20"/>
          <w:lang w:val="es-CO"/>
        </w:rPr>
      </w:pPr>
      <w:proofErr w:type="spellStart"/>
      <w:r w:rsidRPr="007B3017">
        <w:rPr>
          <w:rFonts w:cs="Arial"/>
          <w:szCs w:val="20"/>
          <w:lang w:val="es-CO"/>
        </w:rPr>
        <w:t>Ecoser</w:t>
      </w:r>
      <w:proofErr w:type="spellEnd"/>
      <w:r w:rsidRPr="007B3017">
        <w:rPr>
          <w:rFonts w:cs="Arial"/>
          <w:szCs w:val="20"/>
          <w:lang w:val="es-CO"/>
        </w:rPr>
        <w:t xml:space="preserve">: protocolo colaborativo de evaluación y mapeo de servicios ecosistémicos y vulnerabilidad socio-ecológica para el ordenamiento territorial. </w:t>
      </w:r>
      <w:proofErr w:type="spellStart"/>
      <w:r w:rsidRPr="007B3017">
        <w:rPr>
          <w:rFonts w:cs="Arial"/>
          <w:szCs w:val="20"/>
          <w:lang w:val="es-CO"/>
        </w:rPr>
        <w:t>Laterra</w:t>
      </w:r>
      <w:proofErr w:type="spellEnd"/>
      <w:r w:rsidRPr="007B3017">
        <w:rPr>
          <w:rFonts w:cs="Arial"/>
          <w:szCs w:val="20"/>
          <w:lang w:val="es-CO"/>
        </w:rPr>
        <w:t xml:space="preserve">, Barral, Carmona y </w:t>
      </w:r>
      <w:proofErr w:type="spellStart"/>
      <w:r w:rsidRPr="007B3017">
        <w:rPr>
          <w:rFonts w:cs="Arial"/>
          <w:szCs w:val="20"/>
          <w:lang w:val="es-CO"/>
        </w:rPr>
        <w:t>Nahuelhual</w:t>
      </w:r>
      <w:proofErr w:type="spellEnd"/>
      <w:r w:rsidRPr="007B3017">
        <w:rPr>
          <w:rFonts w:cs="Arial"/>
          <w:szCs w:val="20"/>
          <w:lang w:val="es-CO"/>
        </w:rPr>
        <w:t xml:space="preserve"> (2015).</w:t>
      </w:r>
    </w:p>
    <w:p w14:paraId="6512ACF6" w14:textId="77777777" w:rsidR="00D55F13" w:rsidRPr="007B3017" w:rsidRDefault="00D55F13" w:rsidP="007B3017">
      <w:pPr>
        <w:pStyle w:val="Textonotapie"/>
        <w:numPr>
          <w:ilvl w:val="0"/>
          <w:numId w:val="71"/>
        </w:numPr>
        <w:ind w:left="0" w:firstLine="0"/>
        <w:rPr>
          <w:rFonts w:cs="Arial"/>
          <w:szCs w:val="20"/>
          <w:lang w:val="es-CO"/>
        </w:rPr>
      </w:pPr>
      <w:r w:rsidRPr="007B3017">
        <w:rPr>
          <w:rFonts w:cs="Arial"/>
          <w:szCs w:val="20"/>
          <w:lang w:val="es-CO"/>
        </w:rPr>
        <w:t>Valoración integral de la biodiversidad y los servicios ecosistémicos: Aspectos conceptuales y metodológicos. Rincón-Ruíz, A., et al. (2014).</w:t>
      </w:r>
    </w:p>
    <w:p w14:paraId="1882414C" w14:textId="77777777" w:rsidR="00D55F13" w:rsidRPr="007B3017" w:rsidRDefault="00D55F13" w:rsidP="007B3017">
      <w:pPr>
        <w:pStyle w:val="Textonotapie"/>
        <w:numPr>
          <w:ilvl w:val="0"/>
          <w:numId w:val="71"/>
        </w:numPr>
        <w:ind w:left="0" w:firstLine="0"/>
        <w:rPr>
          <w:rFonts w:cs="Arial"/>
          <w:szCs w:val="20"/>
          <w:lang w:val="es-CO"/>
        </w:rPr>
      </w:pPr>
      <w:r w:rsidRPr="007B3017">
        <w:rPr>
          <w:rFonts w:cs="Arial"/>
          <w:szCs w:val="20"/>
          <w:lang w:val="en-US"/>
        </w:rPr>
        <w:t xml:space="preserve">Weaving ecosystem services into impact assessment. </w:t>
      </w:r>
      <w:r w:rsidRPr="007B3017">
        <w:rPr>
          <w:rFonts w:cs="Arial"/>
          <w:szCs w:val="20"/>
          <w:lang w:val="es-CO"/>
        </w:rPr>
        <w:t>Landsberg, et al. (2013).</w:t>
      </w:r>
    </w:p>
    <w:p w14:paraId="580FB19D" w14:textId="77777777" w:rsidR="00D55F13" w:rsidRPr="007B3017" w:rsidRDefault="00D55F13" w:rsidP="007B3017">
      <w:pPr>
        <w:pStyle w:val="Textonotapie"/>
        <w:numPr>
          <w:ilvl w:val="0"/>
          <w:numId w:val="71"/>
        </w:numPr>
        <w:ind w:left="0" w:firstLine="0"/>
        <w:rPr>
          <w:rFonts w:cs="Arial"/>
          <w:szCs w:val="20"/>
          <w:lang w:val="es-CO"/>
        </w:rPr>
      </w:pPr>
      <w:r w:rsidRPr="007B3017">
        <w:rPr>
          <w:rFonts w:cs="Arial"/>
          <w:szCs w:val="20"/>
          <w:lang w:val="es-CO"/>
        </w:rPr>
        <w:t xml:space="preserve">Ciencias de la sostenibilidad: guía docente. Martín-López, González &amp; </w:t>
      </w:r>
      <w:proofErr w:type="spellStart"/>
      <w:r w:rsidRPr="007B3017">
        <w:rPr>
          <w:rFonts w:cs="Arial"/>
          <w:szCs w:val="20"/>
          <w:lang w:val="es-CO"/>
        </w:rPr>
        <w:t>Vilardy</w:t>
      </w:r>
      <w:proofErr w:type="spellEnd"/>
      <w:r w:rsidRPr="007B3017">
        <w:rPr>
          <w:rFonts w:cs="Arial"/>
          <w:szCs w:val="20"/>
          <w:lang w:val="es-CO"/>
        </w:rPr>
        <w:t xml:space="preserve"> (Coord.) (2012).</w:t>
      </w:r>
    </w:p>
    <w:p w14:paraId="6D1DA5EE" w14:textId="77777777" w:rsidR="00D55F13" w:rsidRPr="007B3017" w:rsidRDefault="00D55F13" w:rsidP="007B3017">
      <w:pPr>
        <w:pStyle w:val="Textonotapie"/>
        <w:numPr>
          <w:ilvl w:val="0"/>
          <w:numId w:val="71"/>
        </w:numPr>
        <w:ind w:left="0" w:firstLine="0"/>
        <w:rPr>
          <w:rFonts w:cs="Arial"/>
          <w:szCs w:val="20"/>
          <w:lang w:val="es-CO"/>
        </w:rPr>
      </w:pPr>
      <w:r w:rsidRPr="007B3017">
        <w:rPr>
          <w:rFonts w:cs="Arial"/>
          <w:szCs w:val="20"/>
          <w:lang w:val="en-US"/>
        </w:rPr>
        <w:t xml:space="preserve">Methodologies for defining and assessing ecosystem. </w:t>
      </w:r>
      <w:proofErr w:type="spellStart"/>
      <w:r w:rsidRPr="007B3017">
        <w:rPr>
          <w:rFonts w:cs="Arial"/>
          <w:szCs w:val="20"/>
          <w:lang w:val="es-CO"/>
        </w:rPr>
        <w:t>Haines</w:t>
      </w:r>
      <w:proofErr w:type="spellEnd"/>
      <w:r w:rsidRPr="007B3017">
        <w:rPr>
          <w:rFonts w:cs="Arial"/>
          <w:szCs w:val="20"/>
          <w:lang w:val="es-CO"/>
        </w:rPr>
        <w:t xml:space="preserve">-Young &amp; </w:t>
      </w:r>
      <w:proofErr w:type="spellStart"/>
      <w:r w:rsidRPr="007B3017">
        <w:rPr>
          <w:rFonts w:cs="Arial"/>
          <w:szCs w:val="20"/>
          <w:lang w:val="es-CO"/>
        </w:rPr>
        <w:t>Potschin</w:t>
      </w:r>
      <w:proofErr w:type="spellEnd"/>
      <w:r w:rsidRPr="007B3017">
        <w:rPr>
          <w:rFonts w:cs="Arial"/>
          <w:szCs w:val="20"/>
          <w:lang w:val="es-CO"/>
        </w:rPr>
        <w:t xml:space="preserve"> (2009).</w:t>
      </w:r>
    </w:p>
    <w:p w14:paraId="257389C2" w14:textId="77777777" w:rsidR="00D55F13" w:rsidRPr="007B3017" w:rsidRDefault="00D55F13" w:rsidP="007B3017">
      <w:pPr>
        <w:pStyle w:val="Textonotapie"/>
        <w:numPr>
          <w:ilvl w:val="0"/>
          <w:numId w:val="71"/>
        </w:numPr>
        <w:ind w:left="0" w:firstLine="0"/>
        <w:rPr>
          <w:rFonts w:cs="Arial"/>
          <w:szCs w:val="20"/>
          <w:lang w:val="en-US"/>
        </w:rPr>
      </w:pPr>
      <w:r w:rsidRPr="007B3017">
        <w:rPr>
          <w:rFonts w:cs="Arial"/>
          <w:szCs w:val="20"/>
          <w:lang w:val="en-US"/>
        </w:rPr>
        <w:t>Toolkit for Ecosystem Service Site-Based Assessment –TESSA: http://tessa.tools/.</w:t>
      </w:r>
    </w:p>
    <w:p w14:paraId="5C789956" w14:textId="77777777" w:rsidR="00D55F13" w:rsidRPr="007B3017" w:rsidRDefault="00D55F13" w:rsidP="007B3017">
      <w:pPr>
        <w:pStyle w:val="Textonotapie"/>
        <w:numPr>
          <w:ilvl w:val="0"/>
          <w:numId w:val="71"/>
        </w:numPr>
        <w:ind w:left="0" w:firstLine="0"/>
        <w:rPr>
          <w:rFonts w:cs="Arial"/>
          <w:szCs w:val="20"/>
          <w:lang w:val="en-US"/>
        </w:rPr>
      </w:pPr>
      <w:r w:rsidRPr="007B3017">
        <w:rPr>
          <w:rFonts w:cs="Arial"/>
          <w:szCs w:val="20"/>
          <w:lang w:val="en-US"/>
        </w:rPr>
        <w:t xml:space="preserve">Common International Classification of Ecosystem Services: </w:t>
      </w:r>
      <w:hyperlink r:id="rId4" w:tgtFrame="_blank" w:history="1">
        <w:r w:rsidRPr="007B3017">
          <w:rPr>
            <w:rStyle w:val="Hipervnculo"/>
            <w:rFonts w:cs="Arial"/>
            <w:color w:val="auto"/>
            <w:szCs w:val="20"/>
            <w:u w:val="none"/>
            <w:shd w:val="clear" w:color="auto" w:fill="FFFFFF"/>
            <w:lang w:val="en-US"/>
          </w:rPr>
          <w:t>http://cices.eu/</w:t>
        </w:r>
      </w:hyperlink>
      <w:r w:rsidRPr="007B3017">
        <w:rPr>
          <w:rStyle w:val="Hipervnculo"/>
          <w:rFonts w:cs="Arial"/>
          <w:color w:val="auto"/>
          <w:szCs w:val="20"/>
          <w:u w:val="none"/>
          <w:shd w:val="clear" w:color="auto" w:fill="FFFFFF"/>
          <w:lang w:val="en-US"/>
        </w:rPr>
        <w:t>.</w:t>
      </w:r>
    </w:p>
    <w:p w14:paraId="199F6B7C" w14:textId="77777777" w:rsidR="00D55F13" w:rsidRPr="007B3017" w:rsidRDefault="00D55F13" w:rsidP="007B3017">
      <w:pPr>
        <w:pStyle w:val="Textonotapie"/>
        <w:numPr>
          <w:ilvl w:val="0"/>
          <w:numId w:val="71"/>
        </w:numPr>
        <w:ind w:left="0" w:firstLine="0"/>
        <w:rPr>
          <w:rFonts w:cs="Arial"/>
          <w:szCs w:val="20"/>
          <w:lang w:val="en-US"/>
        </w:rPr>
      </w:pPr>
      <w:r w:rsidRPr="007B3017">
        <w:rPr>
          <w:rFonts w:cs="Arial"/>
          <w:szCs w:val="20"/>
          <w:lang w:val="en-US"/>
        </w:rPr>
        <w:t>Biodiversity Indicators Partnership (BIP): https://www.bipindicators.net/.</w:t>
      </w:r>
    </w:p>
  </w:footnote>
  <w:footnote w:id="164">
    <w:p w14:paraId="49B87CFD" w14:textId="5B399BA8"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Por ejemplo, </w:t>
      </w:r>
      <w:r w:rsidRPr="007B3017">
        <w:rPr>
          <w:rFonts w:cs="Arial"/>
          <w:spacing w:val="-3"/>
          <w:szCs w:val="20"/>
          <w:lang w:val="es-CO"/>
        </w:rPr>
        <w:t>la acumulación de nitrógeno en la materia orgánica (proceso) de las plantas (estructura), permite la remoción y retención de nutrientes (función) que, a su vez, permite la purificación del agua (servicio) (</w:t>
      </w:r>
      <w:proofErr w:type="spellStart"/>
      <w:r w:rsidRPr="007B3017">
        <w:rPr>
          <w:rFonts w:cs="Arial"/>
          <w:spacing w:val="-3"/>
          <w:szCs w:val="20"/>
          <w:lang w:val="es-CO"/>
        </w:rPr>
        <w:t>Haines</w:t>
      </w:r>
      <w:proofErr w:type="spellEnd"/>
      <w:r w:rsidRPr="007B3017">
        <w:rPr>
          <w:rFonts w:cs="Arial"/>
          <w:spacing w:val="-3"/>
          <w:szCs w:val="20"/>
          <w:lang w:val="es-CO"/>
        </w:rPr>
        <w:t xml:space="preserve">-Young &amp; </w:t>
      </w:r>
      <w:proofErr w:type="spellStart"/>
      <w:r w:rsidRPr="007B3017">
        <w:rPr>
          <w:rFonts w:cs="Arial"/>
          <w:spacing w:val="-3"/>
          <w:szCs w:val="20"/>
          <w:lang w:val="es-CO"/>
        </w:rPr>
        <w:t>Potschin</w:t>
      </w:r>
      <w:proofErr w:type="spellEnd"/>
      <w:r w:rsidRPr="007B3017">
        <w:rPr>
          <w:rFonts w:cs="Arial"/>
          <w:spacing w:val="-3"/>
          <w:szCs w:val="20"/>
          <w:lang w:val="es-CO"/>
        </w:rPr>
        <w:t>, 2009).</w:t>
      </w:r>
    </w:p>
  </w:footnote>
  <w:footnote w:id="165">
    <w:p w14:paraId="556343B7" w14:textId="77777777"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La Iniciativa colombiana de polinizadores, publicada en 2018 por Minambiente, CAR e Instituto Humboldt, brinda elementos conceptuales y de contexto general que pueden emplearse para la caracterización de este SE, en caso de aplicar.</w:t>
      </w:r>
    </w:p>
  </w:footnote>
  <w:footnote w:id="166">
    <w:p w14:paraId="4CAEFE1A" w14:textId="304AE1AC"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w:t>
      </w:r>
      <w:r w:rsidRPr="007B3017">
        <w:rPr>
          <w:rFonts w:cs="Arial"/>
          <w:spacing w:val="-3"/>
          <w:szCs w:val="20"/>
          <w:lang w:val="es-CO"/>
        </w:rPr>
        <w:t xml:space="preserve">Corresponde </w:t>
      </w:r>
      <w:r w:rsidR="00B83A28" w:rsidRPr="007B3017">
        <w:rPr>
          <w:rFonts w:cs="Arial"/>
          <w:spacing w:val="-3"/>
          <w:szCs w:val="20"/>
          <w:lang w:val="es-CO"/>
        </w:rPr>
        <w:t>a la percepción humana del valor estético y la importancia de un paisaje dadas sus características intrínsecas</w:t>
      </w:r>
      <w:r w:rsidRPr="007B3017">
        <w:rPr>
          <w:rFonts w:cs="Arial"/>
          <w:spacing w:val="-3"/>
          <w:szCs w:val="20"/>
          <w:lang w:val="es-CO"/>
        </w:rPr>
        <w:t>.</w:t>
      </w:r>
    </w:p>
  </w:footnote>
  <w:footnote w:id="167">
    <w:p w14:paraId="7F70BDB1" w14:textId="69AB5DA8"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w:t>
      </w:r>
      <w:r w:rsidRPr="007B3017">
        <w:rPr>
          <w:rFonts w:cs="Arial"/>
          <w:spacing w:val="-3"/>
          <w:szCs w:val="20"/>
          <w:lang w:val="es-CO"/>
        </w:rPr>
        <w:t>Corresponde a la evaluación de la capacidad de resiliencia del paisaje frente a una intervención.</w:t>
      </w:r>
    </w:p>
  </w:footnote>
  <w:footnote w:id="168">
    <w:p w14:paraId="0D3A9057" w14:textId="7E2CFC64"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Propiedad que i</w:t>
      </w:r>
      <w:r w:rsidRPr="007B3017">
        <w:rPr>
          <w:rFonts w:cs="Arial"/>
          <w:spacing w:val="-3"/>
          <w:szCs w:val="20"/>
          <w:lang w:val="es-CO"/>
        </w:rPr>
        <w:t>ndica qué tan intacto se encuentra un paisaje visualmente</w:t>
      </w:r>
      <w:r w:rsidR="00DE0C4D" w:rsidRPr="007B3017">
        <w:rPr>
          <w:rFonts w:cs="Arial"/>
          <w:color w:val="FF0000"/>
          <w:spacing w:val="-3"/>
          <w:szCs w:val="20"/>
          <w:lang w:val="es-CO"/>
        </w:rPr>
        <w:t xml:space="preserve"> m</w:t>
      </w:r>
      <w:r w:rsidR="00DE0C4D" w:rsidRPr="007B3017">
        <w:rPr>
          <w:rFonts w:cs="Arial"/>
          <w:spacing w:val="-3"/>
          <w:szCs w:val="20"/>
          <w:lang w:val="es-CO"/>
        </w:rPr>
        <w:t>ediante la determinación de las alteraciones existentes</w:t>
      </w:r>
      <w:r w:rsidR="008856F5" w:rsidRPr="007B3017">
        <w:rPr>
          <w:rFonts w:cs="Arial"/>
          <w:spacing w:val="-3"/>
          <w:szCs w:val="20"/>
          <w:lang w:val="es-CO"/>
        </w:rPr>
        <w:t xml:space="preserve">, </w:t>
      </w:r>
      <w:r w:rsidR="00DE0C4D" w:rsidRPr="007B3017">
        <w:rPr>
          <w:rFonts w:cs="Arial"/>
          <w:spacing w:val="-3"/>
          <w:szCs w:val="20"/>
          <w:lang w:val="es-CO"/>
        </w:rPr>
        <w:t>el análisis de los elementos discordantes</w:t>
      </w:r>
      <w:r w:rsidR="008856F5" w:rsidRPr="007B3017">
        <w:rPr>
          <w:rFonts w:cs="Arial"/>
          <w:spacing w:val="-3"/>
          <w:szCs w:val="20"/>
          <w:lang w:val="es-CO"/>
        </w:rPr>
        <w:t xml:space="preserve"> y </w:t>
      </w:r>
      <w:r w:rsidR="008856F5" w:rsidRPr="007B3017">
        <w:rPr>
          <w:rFonts w:cs="Arial"/>
          <w:spacing w:val="-3"/>
          <w:szCs w:val="20"/>
        </w:rPr>
        <w:t xml:space="preserve">la fragmentación y conectividad </w:t>
      </w:r>
      <w:r w:rsidR="00E85CE7" w:rsidRPr="007B3017">
        <w:rPr>
          <w:rFonts w:cs="Arial"/>
          <w:spacing w:val="-3"/>
          <w:szCs w:val="20"/>
        </w:rPr>
        <w:t xml:space="preserve">ecosistémica </w:t>
      </w:r>
      <w:r w:rsidR="008856F5" w:rsidRPr="007B3017">
        <w:rPr>
          <w:rFonts w:cs="Arial"/>
          <w:spacing w:val="-3"/>
          <w:szCs w:val="20"/>
        </w:rPr>
        <w:t xml:space="preserve">(numeral </w:t>
      </w:r>
      <w:r w:rsidR="008856F5" w:rsidRPr="007B3017">
        <w:rPr>
          <w:rFonts w:cs="Arial"/>
          <w:spacing w:val="-3"/>
          <w:szCs w:val="20"/>
        </w:rPr>
        <w:fldChar w:fldCharType="begin"/>
      </w:r>
      <w:r w:rsidR="008856F5" w:rsidRPr="007B3017">
        <w:rPr>
          <w:rFonts w:cs="Arial"/>
          <w:spacing w:val="-3"/>
          <w:szCs w:val="20"/>
        </w:rPr>
        <w:instrText xml:space="preserve"> REF _Ref78383170 \r \h  \* MERGEFORMAT </w:instrText>
      </w:r>
      <w:r w:rsidR="008856F5" w:rsidRPr="007B3017">
        <w:rPr>
          <w:rFonts w:cs="Arial"/>
          <w:spacing w:val="-3"/>
          <w:szCs w:val="20"/>
        </w:rPr>
      </w:r>
      <w:r w:rsidR="008856F5" w:rsidRPr="007B3017">
        <w:rPr>
          <w:rFonts w:cs="Arial"/>
          <w:spacing w:val="-3"/>
          <w:szCs w:val="20"/>
        </w:rPr>
        <w:fldChar w:fldCharType="separate"/>
      </w:r>
      <w:r w:rsidR="00B311B1" w:rsidRPr="007B3017">
        <w:rPr>
          <w:rFonts w:cs="Arial"/>
          <w:spacing w:val="-3"/>
          <w:szCs w:val="20"/>
        </w:rPr>
        <w:t>4.2.2.3</w:t>
      </w:r>
      <w:r w:rsidR="008856F5" w:rsidRPr="007B3017">
        <w:rPr>
          <w:rFonts w:cs="Arial"/>
          <w:spacing w:val="-3"/>
          <w:szCs w:val="20"/>
        </w:rPr>
        <w:fldChar w:fldCharType="end"/>
      </w:r>
      <w:r w:rsidR="008856F5" w:rsidRPr="007B3017">
        <w:rPr>
          <w:rFonts w:cs="Arial"/>
          <w:spacing w:val="-3"/>
          <w:szCs w:val="20"/>
        </w:rPr>
        <w:t xml:space="preserve"> de este capítulo)</w:t>
      </w:r>
      <w:r w:rsidR="00DE0C4D" w:rsidRPr="007B3017">
        <w:rPr>
          <w:rFonts w:cs="Arial"/>
          <w:spacing w:val="-3"/>
          <w:szCs w:val="20"/>
          <w:lang w:val="es-CO"/>
        </w:rPr>
        <w:t>.</w:t>
      </w:r>
    </w:p>
  </w:footnote>
  <w:footnote w:id="169">
    <w:p w14:paraId="02F60D05" w14:textId="6941857B"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Se refiere a la b</w:t>
      </w:r>
      <w:r w:rsidRPr="007B3017">
        <w:rPr>
          <w:rFonts w:cs="Arial"/>
          <w:spacing w:val="-3"/>
          <w:szCs w:val="20"/>
          <w:lang w:val="es-CO"/>
        </w:rPr>
        <w:t>elleza intrínseca del paisaje y la respuesta que éste genera en las personas (USDA, 1995).</w:t>
      </w:r>
    </w:p>
  </w:footnote>
  <w:footnote w:id="170">
    <w:p w14:paraId="60410036" w14:textId="7422C9F2"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Ver por ejemplo BLM (1986), Muñoz, A. (2012), Solari, F. &amp; Cazorla, L. (2009) y </w:t>
      </w:r>
      <w:proofErr w:type="spellStart"/>
      <w:r w:rsidRPr="007B3017">
        <w:rPr>
          <w:rFonts w:cs="Arial"/>
          <w:szCs w:val="20"/>
          <w:lang w:val="es-CO"/>
        </w:rPr>
        <w:t>Morláns</w:t>
      </w:r>
      <w:proofErr w:type="spellEnd"/>
      <w:r w:rsidRPr="007B3017">
        <w:rPr>
          <w:rFonts w:cs="Arial"/>
          <w:szCs w:val="20"/>
          <w:lang w:val="es-CO"/>
        </w:rPr>
        <w:t>, M. (2005).</w:t>
      </w:r>
    </w:p>
  </w:footnote>
  <w:footnote w:id="171">
    <w:p w14:paraId="1222C97A" w14:textId="77777777" w:rsidR="00C41281" w:rsidRPr="007B3017" w:rsidRDefault="00C41281" w:rsidP="007B3017">
      <w:pPr>
        <w:numPr>
          <w:ilvl w:val="12"/>
          <w:numId w:val="0"/>
        </w:numPr>
        <w:tabs>
          <w:tab w:val="left" w:pos="-2268"/>
        </w:tabs>
        <w:suppressAutoHyphens/>
        <w:rPr>
          <w:rFonts w:cs="Arial"/>
          <w:spacing w:val="-3"/>
          <w:sz w:val="20"/>
          <w:szCs w:val="20"/>
        </w:rPr>
      </w:pPr>
      <w:r w:rsidRPr="007B3017">
        <w:rPr>
          <w:rStyle w:val="Refdenotaalpie"/>
          <w:rFonts w:cs="Arial"/>
          <w:sz w:val="20"/>
          <w:szCs w:val="20"/>
          <w:lang w:val="es-CO"/>
        </w:rPr>
        <w:footnoteRef/>
      </w:r>
      <w:r w:rsidRPr="007B3017">
        <w:rPr>
          <w:rFonts w:cs="Arial"/>
          <w:sz w:val="20"/>
          <w:szCs w:val="20"/>
        </w:rPr>
        <w:t xml:space="preserve"> </w:t>
      </w:r>
      <w:r w:rsidRPr="007B3017">
        <w:rPr>
          <w:rFonts w:cs="Arial"/>
          <w:spacing w:val="-3"/>
          <w:sz w:val="20"/>
          <w:szCs w:val="20"/>
        </w:rPr>
        <w:t>La zonificación ambiental, además de ser uno de los insumos para formular la zonificación de manejo ambiental del proyecto, obra o actividad, permite que el diseño y ejecución de éste, contemple y sea coherente con el grado de sensibilidad ambiental del entorno en el que se prevé su ejecución.</w:t>
      </w:r>
    </w:p>
  </w:footnote>
  <w:footnote w:id="172">
    <w:p w14:paraId="2BFCE074" w14:textId="0A1951AD"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w:t>
      </w:r>
      <w:r w:rsidRPr="007B3017">
        <w:rPr>
          <w:rFonts w:cs="Arial"/>
          <w:spacing w:val="-3"/>
          <w:szCs w:val="20"/>
          <w:lang w:val="es-CO"/>
        </w:rPr>
        <w:t>En algunos casos, la sensibilidad ambiental también está definida por las restricciones impuestas en las figuras de protección ambiental adoptadas mediante la reglamentación expedida por la autoridad ambiental competente.</w:t>
      </w:r>
    </w:p>
  </w:footnote>
  <w:footnote w:id="173">
    <w:p w14:paraId="22C2A6DD" w14:textId="5FCDBF3B" w:rsidR="007D4BC0" w:rsidRPr="007B3017" w:rsidRDefault="007D4BC0" w:rsidP="007B3017">
      <w:pPr>
        <w:pStyle w:val="Textonotapie"/>
        <w:rPr>
          <w:rFonts w:cs="Arial"/>
          <w:szCs w:val="20"/>
        </w:rPr>
      </w:pPr>
      <w:r w:rsidRPr="007B3017">
        <w:rPr>
          <w:rStyle w:val="Refdenotaalpie"/>
          <w:rFonts w:cs="Arial"/>
          <w:sz w:val="20"/>
          <w:szCs w:val="20"/>
        </w:rPr>
        <w:footnoteRef/>
      </w:r>
      <w:r w:rsidRPr="007B3017">
        <w:rPr>
          <w:rFonts w:cs="Arial"/>
          <w:szCs w:val="20"/>
        </w:rPr>
        <w:t xml:space="preserve"> Los parámetros, indicadores o índices </w:t>
      </w:r>
      <w:r w:rsidR="00292E56" w:rsidRPr="007B3017">
        <w:rPr>
          <w:rFonts w:cs="Arial"/>
          <w:szCs w:val="20"/>
        </w:rPr>
        <w:t xml:space="preserve">se refieren a </w:t>
      </w:r>
      <w:r w:rsidRPr="007B3017">
        <w:rPr>
          <w:rFonts w:cs="Arial"/>
          <w:szCs w:val="20"/>
        </w:rPr>
        <w:t>los factores ambientales y, por tanto, pueden reflejar los aportes que resulten de los procesos de información y participación con los grupos de interés del área de influencia.</w:t>
      </w:r>
    </w:p>
  </w:footnote>
  <w:footnote w:id="174">
    <w:p w14:paraId="4DE7CA25" w14:textId="77777777"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Metodología para el cálculo del índice de escasez de agua superficial, Resolución 0865 del 22 de junio de 2004, o aquella norma que la modifique o sustituya.</w:t>
      </w:r>
    </w:p>
  </w:footnote>
  <w:footnote w:id="175">
    <w:p w14:paraId="682E2F5C" w14:textId="1FCFAD59"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w:t>
      </w:r>
      <w:r w:rsidRPr="007B3017">
        <w:rPr>
          <w:rFonts w:eastAsia="CIDFont+F3" w:cs="Arial"/>
          <w:szCs w:val="20"/>
          <w:lang w:val="es-CO"/>
        </w:rPr>
        <w:t>Unidad de roca o sedimento, capaz de almacenar y transmitir agua, entendida como el sistema que involucra las zonas de recarga, tránsito y de descarga, así como sus interacciones con otras unidades similares, las aguas superficiales y marinas; definición establecida por el artículo 2.2.3.1.1.3. del Decreto 1076 de 2015.</w:t>
      </w:r>
    </w:p>
  </w:footnote>
  <w:footnote w:id="176">
    <w:p w14:paraId="634CDC10" w14:textId="75AA5135" w:rsidR="00D55F13" w:rsidRPr="007B3017" w:rsidRDefault="00D55F13" w:rsidP="007B3017">
      <w:pPr>
        <w:overflowPunct/>
        <w:textAlignment w:val="auto"/>
        <w:rPr>
          <w:rFonts w:cs="Arial"/>
          <w:sz w:val="20"/>
          <w:szCs w:val="20"/>
        </w:rPr>
      </w:pPr>
      <w:r w:rsidRPr="007B3017">
        <w:rPr>
          <w:rStyle w:val="Refdenotaalpie"/>
          <w:rFonts w:cs="Arial"/>
          <w:sz w:val="20"/>
          <w:szCs w:val="20"/>
          <w:lang w:val="es-CO"/>
        </w:rPr>
        <w:footnoteRef/>
      </w:r>
      <w:r w:rsidRPr="007B3017">
        <w:rPr>
          <w:rFonts w:cs="Arial"/>
          <w:sz w:val="20"/>
          <w:szCs w:val="20"/>
        </w:rPr>
        <w:t xml:space="preserve"> </w:t>
      </w:r>
      <w:r w:rsidRPr="007B3017">
        <w:rPr>
          <w:rFonts w:eastAsia="CIDFont+F3" w:cs="Arial"/>
          <w:sz w:val="20"/>
          <w:szCs w:val="20"/>
        </w:rPr>
        <w:t xml:space="preserve">En caso de que el Ministerio de Ambiente y Desarrollo Sostenible, la autoridad ambiental regional o el </w:t>
      </w:r>
      <w:proofErr w:type="spellStart"/>
      <w:r w:rsidRPr="007B3017">
        <w:rPr>
          <w:rFonts w:eastAsia="CIDFont+F3" w:cs="Arial"/>
          <w:sz w:val="20"/>
          <w:szCs w:val="20"/>
        </w:rPr>
        <w:t>Ideam</w:t>
      </w:r>
      <w:proofErr w:type="spellEnd"/>
      <w:r w:rsidRPr="007B3017">
        <w:rPr>
          <w:rFonts w:eastAsia="CIDFont+F3" w:cs="Arial"/>
          <w:sz w:val="20"/>
          <w:szCs w:val="20"/>
        </w:rPr>
        <w:t xml:space="preserve"> establezcan o adopten con posterioridad una metodología para la estimación de la longitud de influencia del vertimiento sobre corrientes de agua superficial, ésta deberá ser aplicada para la formulación de los modelos.</w:t>
      </w:r>
    </w:p>
  </w:footnote>
  <w:footnote w:id="177">
    <w:p w14:paraId="2B85FC1B" w14:textId="07DBFD1C"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Para determinar las ocupaciones de cauce, se deben tener en cuenta los artículos 2.2.3.2.3.1, 2.2.3.2.3.2</w:t>
      </w:r>
      <w:r w:rsidR="00591A1D" w:rsidRPr="007B3017">
        <w:rPr>
          <w:rFonts w:cs="Arial"/>
          <w:szCs w:val="20"/>
          <w:lang w:val="es-CO"/>
        </w:rPr>
        <w:t>, 2.2.3.2.3A.2.</w:t>
      </w:r>
      <w:r w:rsidRPr="007B3017">
        <w:rPr>
          <w:rFonts w:cs="Arial"/>
          <w:szCs w:val="20"/>
          <w:lang w:val="es-CO"/>
        </w:rPr>
        <w:t xml:space="preserve"> y 2.2.3.2.12.1 del Decreto 1076 de 2015.</w:t>
      </w:r>
      <w:r w:rsidR="00845A02" w:rsidRPr="007B3017">
        <w:rPr>
          <w:rFonts w:cs="Arial"/>
          <w:szCs w:val="20"/>
          <w:lang w:val="es-CO"/>
        </w:rPr>
        <w:t xml:space="preserve"> Entre las obras </w:t>
      </w:r>
      <w:proofErr w:type="spellStart"/>
      <w:r w:rsidR="00845A02" w:rsidRPr="007B3017">
        <w:rPr>
          <w:rFonts w:cs="Arial"/>
          <w:szCs w:val="20"/>
          <w:lang w:val="es-CO"/>
        </w:rPr>
        <w:t>hidraúlicas</w:t>
      </w:r>
      <w:proofErr w:type="spellEnd"/>
      <w:r w:rsidR="00845A02" w:rsidRPr="007B3017">
        <w:rPr>
          <w:rFonts w:cs="Arial"/>
          <w:szCs w:val="20"/>
          <w:lang w:val="es-CO"/>
        </w:rPr>
        <w:t xml:space="preserve"> que requieren del permiso de ocupación de cauce se encuentran las siguientes: i) Captaciones y estructuras de vertimiento localizadas en el lecho o aferentes en los cuerpos de agua (incluye las estructuras de entrega de alcantarillados pluviales que lleguen a ocupar áreas del cauce permanente o la faja paralela), </w:t>
      </w:r>
      <w:proofErr w:type="spellStart"/>
      <w:r w:rsidR="00845A02" w:rsidRPr="007B3017">
        <w:rPr>
          <w:rFonts w:cs="Arial"/>
          <w:szCs w:val="20"/>
          <w:lang w:val="es-CO"/>
        </w:rPr>
        <w:t>ii</w:t>
      </w:r>
      <w:proofErr w:type="spellEnd"/>
      <w:r w:rsidR="00845A02" w:rsidRPr="007B3017">
        <w:rPr>
          <w:rFonts w:cs="Arial"/>
          <w:szCs w:val="20"/>
          <w:lang w:val="es-CO"/>
        </w:rPr>
        <w:t xml:space="preserve">) Obras localizadas en el lecho o en la faja paralela a los cuerpos de agua a la que hace referencia el literal d del artículo 83 del Decreto-Ley 2811 de 1974 (incluye los cruces aéreos y subfluviales de tuberías, jaulas de uso piscícola, pilotes y otras estructuras de cruce), </w:t>
      </w:r>
      <w:proofErr w:type="spellStart"/>
      <w:r w:rsidR="00845A02" w:rsidRPr="007B3017">
        <w:rPr>
          <w:rFonts w:cs="Arial"/>
          <w:szCs w:val="20"/>
          <w:lang w:val="es-CO"/>
        </w:rPr>
        <w:t>iii</w:t>
      </w:r>
      <w:proofErr w:type="spellEnd"/>
      <w:r w:rsidR="00845A02" w:rsidRPr="007B3017">
        <w:rPr>
          <w:rFonts w:cs="Arial"/>
          <w:szCs w:val="20"/>
          <w:lang w:val="es-CO"/>
        </w:rPr>
        <w:t xml:space="preserve">) Estructuras de protección de orillas como protecciones directas, enrocados y espolones, </w:t>
      </w:r>
      <w:proofErr w:type="spellStart"/>
      <w:r w:rsidR="00845A02" w:rsidRPr="007B3017">
        <w:rPr>
          <w:rFonts w:cs="Arial"/>
          <w:szCs w:val="20"/>
          <w:lang w:val="es-CO"/>
        </w:rPr>
        <w:t>iv</w:t>
      </w:r>
      <w:proofErr w:type="spellEnd"/>
      <w:r w:rsidR="00845A02" w:rsidRPr="007B3017">
        <w:rPr>
          <w:rFonts w:cs="Arial"/>
          <w:szCs w:val="20"/>
          <w:lang w:val="es-CO"/>
        </w:rPr>
        <w:t xml:space="preserve">) </w:t>
      </w:r>
      <w:proofErr w:type="spellStart"/>
      <w:r w:rsidR="00845A02" w:rsidRPr="007B3017">
        <w:rPr>
          <w:rFonts w:cs="Arial"/>
          <w:szCs w:val="20"/>
          <w:lang w:val="es-CO"/>
        </w:rPr>
        <w:t>Jarillones</w:t>
      </w:r>
      <w:proofErr w:type="spellEnd"/>
      <w:r w:rsidR="00845A02" w:rsidRPr="007B3017">
        <w:rPr>
          <w:rFonts w:cs="Arial"/>
          <w:szCs w:val="20"/>
          <w:lang w:val="es-CO"/>
        </w:rPr>
        <w:t>, muros o diques longitudinales o perimetrales usados para el manejo de inundaciones o el control de la evolución de los cuerpos de agua loticos o la explotación de minerales o materiales de arrastre, v) Estructuras de disipación de energía como gradas, rápidas, canales o sedimentadores que entreguen flujos a los cuerpos de agua ocupando zonas de su cauce permanente o faja paralela, vi) Actividades autorizadas que se realicen sobre el cauce permanente o la faja paralela de los cuerpos de agua incluyendo actividades de recreación y explotación de materiales del lecho, vi) Diques, presas y otras estructuras transversales usadas para generar embalsamientos, captar aguas o para cualquier otro fin.</w:t>
      </w:r>
      <w:r w:rsidR="00DE05C1" w:rsidRPr="007B3017">
        <w:rPr>
          <w:rFonts w:cs="Arial"/>
          <w:szCs w:val="20"/>
          <w:lang w:val="es-CO"/>
        </w:rPr>
        <w:t xml:space="preserve"> Se debe tener en cuenta que la construcción y desmantelamiento de obras de ocupación temporales no deben generar inestabilidad o mayores impactos en el cauce y que las obras tipo batea para cruces viales no se consideran ambientalmente viables.</w:t>
      </w:r>
    </w:p>
  </w:footnote>
  <w:footnote w:id="178">
    <w:p w14:paraId="568D0517" w14:textId="0CA071EB" w:rsidR="00845A02" w:rsidRPr="007B3017" w:rsidRDefault="00845A02"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Para determinar si una obra es mayor o menor, se deben considerar sus dimensiones y las características del cuerpo de agua a ocupar; </w:t>
      </w:r>
      <w:r w:rsidR="00937545" w:rsidRPr="007B3017">
        <w:rPr>
          <w:rFonts w:cs="Arial"/>
          <w:szCs w:val="20"/>
          <w:lang w:val="es-CO"/>
        </w:rPr>
        <w:t>por ejemplo, d</w:t>
      </w:r>
      <w:r w:rsidRPr="007B3017">
        <w:rPr>
          <w:rFonts w:cs="Arial"/>
          <w:szCs w:val="20"/>
          <w:lang w:val="es-CO"/>
        </w:rPr>
        <w:t xml:space="preserve">e acuerdo con el tratamiento que el Manual de drenajes para carreteras del Ministerio de Transporte de INVIAS (2009) le da a diferentes obras, las alcantarillas (sencillas, dobles o múltiples), box </w:t>
      </w:r>
      <w:proofErr w:type="spellStart"/>
      <w:r w:rsidRPr="007B3017">
        <w:rPr>
          <w:rFonts w:cs="Arial"/>
          <w:szCs w:val="20"/>
          <w:lang w:val="es-CO"/>
        </w:rPr>
        <w:t>culvert</w:t>
      </w:r>
      <w:proofErr w:type="spellEnd"/>
      <w:r w:rsidRPr="007B3017">
        <w:rPr>
          <w:rFonts w:cs="Arial"/>
          <w:szCs w:val="20"/>
          <w:lang w:val="es-CO"/>
        </w:rPr>
        <w:t>, descoles</w:t>
      </w:r>
      <w:r w:rsidR="00937545" w:rsidRPr="007B3017">
        <w:rPr>
          <w:rFonts w:cs="Arial"/>
          <w:szCs w:val="20"/>
          <w:lang w:val="es-CO"/>
        </w:rPr>
        <w:t xml:space="preserve"> y</w:t>
      </w:r>
      <w:r w:rsidRPr="007B3017">
        <w:rPr>
          <w:rFonts w:cs="Arial"/>
          <w:szCs w:val="20"/>
          <w:lang w:val="es-CO"/>
        </w:rPr>
        <w:t xml:space="preserve"> disipadores</w:t>
      </w:r>
      <w:r w:rsidR="00937545" w:rsidRPr="007B3017">
        <w:rPr>
          <w:rFonts w:cs="Arial"/>
          <w:szCs w:val="20"/>
          <w:lang w:val="es-CO"/>
        </w:rPr>
        <w:t xml:space="preserve"> </w:t>
      </w:r>
      <w:r w:rsidRPr="007B3017">
        <w:rPr>
          <w:rFonts w:cs="Arial"/>
          <w:szCs w:val="20"/>
          <w:lang w:val="es-CO"/>
        </w:rPr>
        <w:t>pueden clasificarse como obras menores, mientras que los puentes, pontones</w:t>
      </w:r>
      <w:r w:rsidR="00937545" w:rsidRPr="007B3017">
        <w:rPr>
          <w:rFonts w:cs="Arial"/>
          <w:szCs w:val="20"/>
          <w:lang w:val="es-CO"/>
        </w:rPr>
        <w:t xml:space="preserve"> y</w:t>
      </w:r>
      <w:r w:rsidRPr="007B3017">
        <w:rPr>
          <w:rFonts w:cs="Arial"/>
          <w:szCs w:val="20"/>
          <w:lang w:val="es-CO"/>
        </w:rPr>
        <w:t xml:space="preserve"> viaductos</w:t>
      </w:r>
      <w:r w:rsidR="00937545" w:rsidRPr="007B3017">
        <w:rPr>
          <w:rFonts w:cs="Arial"/>
          <w:szCs w:val="20"/>
          <w:lang w:val="es-CO"/>
        </w:rPr>
        <w:t xml:space="preserve"> </w:t>
      </w:r>
      <w:r w:rsidRPr="007B3017">
        <w:rPr>
          <w:rFonts w:cs="Arial"/>
          <w:szCs w:val="20"/>
          <w:lang w:val="es-CO"/>
        </w:rPr>
        <w:t>pueden clasificarse como obras mayores.</w:t>
      </w:r>
    </w:p>
  </w:footnote>
  <w:footnote w:id="179">
    <w:p w14:paraId="16A3401C" w14:textId="7A7B2538" w:rsidR="00D55F13" w:rsidRPr="007B3017" w:rsidRDefault="00D55F13" w:rsidP="007B3017">
      <w:pPr>
        <w:pStyle w:val="Textonotapie"/>
        <w:rPr>
          <w:rFonts w:cs="Arial"/>
          <w:szCs w:val="20"/>
          <w:lang w:val="es-CO"/>
        </w:rPr>
      </w:pPr>
      <w:r w:rsidRPr="007B3017">
        <w:rPr>
          <w:rFonts w:cs="Arial"/>
          <w:szCs w:val="20"/>
          <w:vertAlign w:val="superscript"/>
          <w:lang w:val="es-CO"/>
        </w:rPr>
        <w:footnoteRef/>
      </w:r>
      <w:r w:rsidRPr="007B3017">
        <w:rPr>
          <w:rFonts w:cs="Arial"/>
          <w:szCs w:val="20"/>
          <w:lang w:val="es-CO"/>
        </w:rPr>
        <w:t xml:space="preserve"> Aprovechamiento forestal único y aprovechamiento forestal de árboles aislados.</w:t>
      </w:r>
    </w:p>
  </w:footnote>
  <w:footnote w:id="180">
    <w:p w14:paraId="0FDF340A" w14:textId="3F290F3F" w:rsidR="00D55F13" w:rsidRPr="007B3017" w:rsidRDefault="00D55F13" w:rsidP="007B3017">
      <w:pPr>
        <w:pStyle w:val="Textonotapie"/>
        <w:rPr>
          <w:rFonts w:cs="Arial"/>
          <w:szCs w:val="20"/>
          <w:lang w:val="es-CO"/>
        </w:rPr>
      </w:pPr>
      <w:r w:rsidRPr="007B3017">
        <w:rPr>
          <w:rFonts w:cs="Arial"/>
          <w:szCs w:val="20"/>
          <w:vertAlign w:val="superscript"/>
          <w:lang w:val="es-CO"/>
        </w:rPr>
        <w:footnoteRef/>
      </w:r>
      <w:r w:rsidRPr="007B3017">
        <w:rPr>
          <w:rFonts w:cs="Arial"/>
          <w:szCs w:val="20"/>
          <w:lang w:val="es-CO"/>
        </w:rPr>
        <w:t xml:space="preserve"> Muestreo forestal: proceso mediante el que se registra información de un subconjunto de la población de una cobertura vegetal, con base en la cual es posible hacer inferencias sobre la población total. Censo forestal: proceso mediante el que se registra información del 100% de los individuos de un área.</w:t>
      </w:r>
    </w:p>
  </w:footnote>
  <w:footnote w:id="181">
    <w:p w14:paraId="534797BE" w14:textId="44FE8B6F" w:rsidR="00D55F13" w:rsidRPr="007B3017" w:rsidRDefault="00D55F13" w:rsidP="007B3017">
      <w:pPr>
        <w:rPr>
          <w:rFonts w:cs="Arial"/>
          <w:sz w:val="20"/>
          <w:szCs w:val="20"/>
        </w:rPr>
      </w:pPr>
      <w:r w:rsidRPr="007B3017">
        <w:rPr>
          <w:rStyle w:val="Refdenotaalpie"/>
          <w:rFonts w:cs="Arial"/>
          <w:sz w:val="20"/>
          <w:szCs w:val="20"/>
          <w:lang w:val="es-CO"/>
        </w:rPr>
        <w:footnoteRef/>
      </w:r>
      <w:r w:rsidRPr="007B3017">
        <w:rPr>
          <w:rFonts w:cs="Arial"/>
          <w:sz w:val="20"/>
          <w:szCs w:val="20"/>
        </w:rPr>
        <w:t xml:space="preserve"> El escenario con proyecto se define como la simulación para el año más crítico, es decir, el año con las mayores emisiones</w:t>
      </w:r>
      <w:r w:rsidR="00CF51C5" w:rsidRPr="007B3017">
        <w:rPr>
          <w:rFonts w:cs="Arial"/>
          <w:sz w:val="20"/>
          <w:szCs w:val="20"/>
        </w:rPr>
        <w:t>,</w:t>
      </w:r>
      <w:r w:rsidRPr="007B3017">
        <w:rPr>
          <w:rFonts w:cs="Arial"/>
          <w:sz w:val="20"/>
          <w:szCs w:val="20"/>
        </w:rPr>
        <w:t xml:space="preserve"> considera</w:t>
      </w:r>
      <w:r w:rsidR="00CF51C5" w:rsidRPr="007B3017">
        <w:rPr>
          <w:rFonts w:cs="Arial"/>
          <w:sz w:val="20"/>
          <w:szCs w:val="20"/>
        </w:rPr>
        <w:t xml:space="preserve">ndo </w:t>
      </w:r>
      <w:r w:rsidRPr="007B3017">
        <w:rPr>
          <w:rFonts w:cs="Arial"/>
          <w:sz w:val="20"/>
          <w:szCs w:val="20"/>
        </w:rPr>
        <w:t>condiciones meteorológicas críticas</w:t>
      </w:r>
      <w:r w:rsidR="00CF51C5" w:rsidRPr="007B3017">
        <w:rPr>
          <w:rFonts w:cs="Arial"/>
          <w:sz w:val="20"/>
          <w:szCs w:val="20"/>
        </w:rPr>
        <w:t xml:space="preserve"> y los </w:t>
      </w:r>
      <w:r w:rsidRPr="007B3017">
        <w:rPr>
          <w:rFonts w:cs="Arial"/>
          <w:sz w:val="20"/>
          <w:szCs w:val="20"/>
        </w:rPr>
        <w:t>tiempos de menor exposición de la norma.</w:t>
      </w:r>
    </w:p>
  </w:footnote>
  <w:footnote w:id="182">
    <w:p w14:paraId="5BD663A2" w14:textId="77777777"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El escenario sin medidas de control permite determinar la eficiencia de las medidas implementadas para el control de emisiones.</w:t>
      </w:r>
    </w:p>
  </w:footnote>
  <w:footnote w:id="183">
    <w:p w14:paraId="1E11CF73" w14:textId="20C861A9" w:rsidR="00D55F13" w:rsidRPr="007B3017" w:rsidRDefault="00D55F13" w:rsidP="007B3017">
      <w:pPr>
        <w:numPr>
          <w:ilvl w:val="12"/>
          <w:numId w:val="0"/>
        </w:numPr>
        <w:tabs>
          <w:tab w:val="left" w:pos="-2268"/>
        </w:tabs>
        <w:suppressAutoHyphens/>
        <w:rPr>
          <w:rFonts w:cs="Arial"/>
          <w:spacing w:val="-3"/>
          <w:sz w:val="20"/>
          <w:szCs w:val="20"/>
        </w:rPr>
      </w:pPr>
      <w:r w:rsidRPr="007B3017">
        <w:rPr>
          <w:rStyle w:val="Refdenotaalpie"/>
          <w:rFonts w:cs="Arial"/>
          <w:sz w:val="20"/>
          <w:szCs w:val="20"/>
          <w:lang w:val="es-CO"/>
        </w:rPr>
        <w:footnoteRef/>
      </w:r>
      <w:r w:rsidRPr="007B3017">
        <w:rPr>
          <w:rFonts w:cs="Arial"/>
          <w:sz w:val="20"/>
          <w:szCs w:val="20"/>
        </w:rPr>
        <w:t xml:space="preserve"> Mediante las cuales es posible evidenciar, por ejemplo, </w:t>
      </w:r>
      <w:r w:rsidRPr="007B3017">
        <w:rPr>
          <w:rFonts w:cs="Arial"/>
          <w:spacing w:val="-3"/>
          <w:sz w:val="20"/>
          <w:szCs w:val="20"/>
        </w:rPr>
        <w:t>que algunos impactos ambientales sobre el medio socioeconómico pueden ser consecuencia de impactos ambientales generados en los medios abiótico y biótico</w:t>
      </w:r>
      <w:r w:rsidRPr="007B3017">
        <w:rPr>
          <w:rFonts w:cs="Arial"/>
          <w:sz w:val="20"/>
          <w:szCs w:val="20"/>
        </w:rPr>
        <w:t>.</w:t>
      </w:r>
    </w:p>
  </w:footnote>
  <w:footnote w:id="184">
    <w:p w14:paraId="1F2A5C67" w14:textId="278F4F91"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El impacto ambiental potencial estima la capacidad que tiene un proyecto, obra o actividad, de generar impactos ambientales sobre los medios abiótico, biótico y socioeconómico debido a sus características intrínsecas, siendo posible evaluarlo con base en actividades previas o que se encuentran en operación.</w:t>
      </w:r>
    </w:p>
  </w:footnote>
  <w:footnote w:id="185">
    <w:p w14:paraId="3727A333" w14:textId="0E894745"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El documento Calificación de impactos ambientales potenciales de proyectos, obras y actividades que requieren licencia ambiental se encuentra disponible en la página Web de Minambiente. https://www.minambiente.gov.co/asuntos-ambientales-sectorial-y-urbana/. Si este documento es tomado como referencia, se debe señalar en el estudio ambiental la fecha en la cual se descargó de Internet.</w:t>
      </w:r>
    </w:p>
  </w:footnote>
  <w:footnote w:id="186">
    <w:p w14:paraId="06ACB5D2" w14:textId="7E154DEE"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El Listado de impactos ambientales específicos en el marco del licenciamiento ambiental responde a los parámetros ambientales que son requeridos como información de caracterización en los términos de referencia genéricos para la elaboración de estudios ambientales de los proyectos, obras o actividades sujetos a la licencia ambiental. Disponible en: https://www.minambiente.gov.co/asuntos-ambientales-sectorial-y-urbana/. Si este documento es tomado como referencia, se debe señalar en el estudio ambiental la fecha en la cual se descargó de Internet.</w:t>
      </w:r>
    </w:p>
  </w:footnote>
  <w:footnote w:id="187">
    <w:p w14:paraId="15ABB2B9" w14:textId="019E69FB"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Disponible en: https://www.minambiente.gov.co/asuntos-ambientales-sectorial-y-urbana/.</w:t>
      </w:r>
    </w:p>
  </w:footnote>
  <w:footnote w:id="188">
    <w:p w14:paraId="6FEF70E6" w14:textId="4257455E"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Disponible en: https://www.anla.gov.co.</w:t>
      </w:r>
    </w:p>
  </w:footnote>
  <w:footnote w:id="189">
    <w:p w14:paraId="23C8C317" w14:textId="75AB0B02" w:rsidR="00C037A6" w:rsidRPr="00140FCE" w:rsidRDefault="00C037A6" w:rsidP="00C037A6">
      <w:pPr>
        <w:pStyle w:val="Textonotapie"/>
        <w:rPr>
          <w:lang w:val="es-MX"/>
        </w:rPr>
      </w:pPr>
      <w:r>
        <w:rPr>
          <w:rStyle w:val="Refdenotaalpie"/>
        </w:rPr>
        <w:footnoteRef/>
      </w:r>
      <w:r>
        <w:t xml:space="preserve"> </w:t>
      </w:r>
      <w:r w:rsidR="00415D30">
        <w:t xml:space="preserve">Esto permite </w:t>
      </w:r>
      <w:r w:rsidR="009658F3">
        <w:t>operativizar</w:t>
      </w:r>
      <w:r w:rsidR="000D5C70">
        <w:rPr>
          <w:lang w:val="es-MX"/>
        </w:rPr>
        <w:t xml:space="preserve"> los mandatos de </w:t>
      </w:r>
      <w:r>
        <w:rPr>
          <w:lang w:val="es-MX"/>
        </w:rPr>
        <w:t>la Resolución No. 3 de 2021 de la Comisión Interamericana de Derechos Humanos (CIDH &amp; REDESCA, 2021).</w:t>
      </w:r>
      <w:r w:rsidR="0004793C">
        <w:rPr>
          <w:lang w:val="es-MX"/>
        </w:rPr>
        <w:t xml:space="preserve"> El propósito de esta evaluación no es suministrar </w:t>
      </w:r>
      <w:r w:rsidR="00E6273E">
        <w:rPr>
          <w:lang w:val="es-MX"/>
        </w:rPr>
        <w:t xml:space="preserve">elementos para que las </w:t>
      </w:r>
      <w:r w:rsidR="0004793C">
        <w:rPr>
          <w:lang w:val="es-MX"/>
        </w:rPr>
        <w:t xml:space="preserve">autoridades ambientales </w:t>
      </w:r>
      <w:r w:rsidR="00E6273E">
        <w:rPr>
          <w:lang w:val="es-MX"/>
        </w:rPr>
        <w:t>se pronuncien sobre la viabilidad ambiental de la propuesta</w:t>
      </w:r>
      <w:r w:rsidR="00F53671">
        <w:rPr>
          <w:lang w:val="es-MX"/>
        </w:rPr>
        <w:t xml:space="preserve">; esta orientación </w:t>
      </w:r>
      <w:r w:rsidR="0004793C">
        <w:rPr>
          <w:lang w:val="es-MX"/>
        </w:rPr>
        <w:t xml:space="preserve">tiene </w:t>
      </w:r>
      <w:r w:rsidR="00E6273E">
        <w:rPr>
          <w:lang w:val="es-MX"/>
        </w:rPr>
        <w:t xml:space="preserve">como fin </w:t>
      </w:r>
      <w:r w:rsidR="0004793C">
        <w:rPr>
          <w:lang w:val="es-MX"/>
        </w:rPr>
        <w:t xml:space="preserve">facilitar </w:t>
      </w:r>
      <w:r w:rsidR="00F53671">
        <w:rPr>
          <w:lang w:val="es-MX"/>
        </w:rPr>
        <w:t xml:space="preserve">las labores que deben adelantar </w:t>
      </w:r>
      <w:r w:rsidR="00E6273E">
        <w:rPr>
          <w:lang w:val="es-MX"/>
        </w:rPr>
        <w:t>los beneficiarios de licencia</w:t>
      </w:r>
      <w:r w:rsidR="00F53671">
        <w:rPr>
          <w:lang w:val="es-MX"/>
        </w:rPr>
        <w:t>s</w:t>
      </w:r>
      <w:r w:rsidR="00E6273E">
        <w:rPr>
          <w:lang w:val="es-MX"/>
        </w:rPr>
        <w:t xml:space="preserve"> (en caso </w:t>
      </w:r>
      <w:r w:rsidR="00F53671">
        <w:rPr>
          <w:lang w:val="es-MX"/>
        </w:rPr>
        <w:t>de obtener esta autorización</w:t>
      </w:r>
      <w:r w:rsidR="00E6273E">
        <w:rPr>
          <w:lang w:val="es-MX"/>
        </w:rPr>
        <w:t xml:space="preserve">) </w:t>
      </w:r>
      <w:r w:rsidR="00F53671">
        <w:rPr>
          <w:lang w:val="es-MX"/>
        </w:rPr>
        <w:t>y diferentes entidades del Estado para aplicar el principio de debida diligencia en materia de derechos humanos</w:t>
      </w:r>
      <w:r w:rsidR="0004793C">
        <w:rPr>
          <w:lang w:val="es-MX"/>
        </w:rPr>
        <w:t>.</w:t>
      </w:r>
    </w:p>
  </w:footnote>
  <w:footnote w:id="190">
    <w:p w14:paraId="521DD506" w14:textId="790591C3"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w:t>
      </w:r>
      <w:r w:rsidRPr="007B3017">
        <w:rPr>
          <w:rFonts w:cs="Arial"/>
          <w:spacing w:val="-3"/>
          <w:szCs w:val="20"/>
          <w:lang w:val="es-CO"/>
        </w:rPr>
        <w:t xml:space="preserve">En caso de no existir regulación nacional para algún parámetro, se pueden emplear como </w:t>
      </w:r>
      <w:r w:rsidRPr="007B3017">
        <w:rPr>
          <w:rFonts w:cs="Arial"/>
          <w:i/>
          <w:spacing w:val="-3"/>
          <w:szCs w:val="20"/>
          <w:lang w:val="es-CO"/>
        </w:rPr>
        <w:t>referencia</w:t>
      </w:r>
      <w:r w:rsidRPr="007B3017">
        <w:rPr>
          <w:rFonts w:cs="Arial"/>
          <w:spacing w:val="-3"/>
          <w:szCs w:val="20"/>
          <w:lang w:val="es-CO"/>
        </w:rPr>
        <w:t xml:space="preserve"> los estándares, valores límite o criterios de normativas internacionales.</w:t>
      </w:r>
    </w:p>
  </w:footnote>
  <w:footnote w:id="191">
    <w:p w14:paraId="155E745C" w14:textId="77777777" w:rsidR="00E63F45" w:rsidRPr="007B3017" w:rsidRDefault="00E63F45"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En algunas oportunidades, tales parámetros pueden ser estimados mediante indicadores o índices que sintetizan la información referida al elemento ambiental que resulta impactado.</w:t>
      </w:r>
    </w:p>
  </w:footnote>
  <w:footnote w:id="192">
    <w:p w14:paraId="718D4F20" w14:textId="510A6FA7" w:rsidR="00E84039" w:rsidRPr="000D6E21" w:rsidRDefault="00E84039" w:rsidP="007B3017">
      <w:pPr>
        <w:pStyle w:val="Textonotapie"/>
        <w:rPr>
          <w:rFonts w:cs="Arial"/>
          <w:szCs w:val="20"/>
          <w:lang w:val="es-MX"/>
        </w:rPr>
      </w:pPr>
      <w:r w:rsidRPr="007B3017">
        <w:rPr>
          <w:rStyle w:val="Refdenotaalpie"/>
          <w:rFonts w:cs="Arial"/>
          <w:sz w:val="20"/>
          <w:szCs w:val="20"/>
        </w:rPr>
        <w:footnoteRef/>
      </w:r>
      <w:r w:rsidRPr="007B3017">
        <w:rPr>
          <w:rFonts w:cs="Arial"/>
          <w:szCs w:val="20"/>
        </w:rPr>
        <w:t xml:space="preserve"> Para el caso de impactos de generación o exacerbación de conflictos socioambientales, es necesario prever el escenario más crítico en cuanto a sus causas, actores, asuntos objeto de conflicto y posibles resultados.</w:t>
      </w:r>
    </w:p>
  </w:footnote>
  <w:footnote w:id="193">
    <w:p w14:paraId="17C38138" w14:textId="77777777" w:rsidR="00DA652F" w:rsidRPr="007B3017" w:rsidRDefault="00DA652F"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w:t>
      </w:r>
      <w:r w:rsidRPr="007B3017">
        <w:rPr>
          <w:rFonts w:cs="Arial"/>
          <w:bCs/>
          <w:szCs w:val="20"/>
          <w:lang w:val="es-CO"/>
        </w:rPr>
        <w:t>Modificación progresiva y generalizada del conjunto de condiciones ambientales características de un área que resulta de actividades humanas o de procesos naturales.</w:t>
      </w:r>
    </w:p>
  </w:footnote>
  <w:footnote w:id="194">
    <w:p w14:paraId="3931194E" w14:textId="7BB07C4C" w:rsidR="00212816" w:rsidRPr="007B3017" w:rsidRDefault="00212816"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w:t>
      </w:r>
      <w:r w:rsidRPr="007B3017">
        <w:rPr>
          <w:rFonts w:cs="Arial"/>
          <w:bCs/>
          <w:szCs w:val="20"/>
          <w:lang w:val="es-CO"/>
        </w:rPr>
        <w:t>Modificaci</w:t>
      </w:r>
      <w:r w:rsidR="00265368" w:rsidRPr="007B3017">
        <w:rPr>
          <w:rFonts w:cs="Arial"/>
          <w:bCs/>
          <w:szCs w:val="20"/>
          <w:lang w:val="es-CO"/>
        </w:rPr>
        <w:t>o</w:t>
      </w:r>
      <w:r w:rsidRPr="007B3017">
        <w:rPr>
          <w:rFonts w:cs="Arial"/>
          <w:bCs/>
          <w:szCs w:val="20"/>
          <w:lang w:val="es-CO"/>
        </w:rPr>
        <w:t>n</w:t>
      </w:r>
      <w:r w:rsidR="00265368" w:rsidRPr="007B3017">
        <w:rPr>
          <w:rFonts w:cs="Arial"/>
          <w:bCs/>
          <w:szCs w:val="20"/>
          <w:lang w:val="es-CO"/>
        </w:rPr>
        <w:t>es</w:t>
      </w:r>
      <w:r w:rsidRPr="007B3017">
        <w:rPr>
          <w:rFonts w:cs="Arial"/>
          <w:bCs/>
          <w:szCs w:val="20"/>
          <w:lang w:val="es-CO"/>
        </w:rPr>
        <w:t xml:space="preserve"> progresiva</w:t>
      </w:r>
      <w:r w:rsidR="00265368" w:rsidRPr="007B3017">
        <w:rPr>
          <w:rFonts w:cs="Arial"/>
          <w:bCs/>
          <w:szCs w:val="20"/>
          <w:lang w:val="es-CO"/>
        </w:rPr>
        <w:t>s</w:t>
      </w:r>
      <w:r w:rsidRPr="007B3017">
        <w:rPr>
          <w:rFonts w:cs="Arial"/>
          <w:bCs/>
          <w:szCs w:val="20"/>
          <w:lang w:val="es-CO"/>
        </w:rPr>
        <w:t xml:space="preserve"> y generalizada</w:t>
      </w:r>
      <w:r w:rsidR="00265368" w:rsidRPr="007B3017">
        <w:rPr>
          <w:rFonts w:cs="Arial"/>
          <w:bCs/>
          <w:szCs w:val="20"/>
          <w:lang w:val="es-CO"/>
        </w:rPr>
        <w:t>s</w:t>
      </w:r>
      <w:r w:rsidRPr="007B3017">
        <w:rPr>
          <w:rFonts w:cs="Arial"/>
          <w:bCs/>
          <w:szCs w:val="20"/>
          <w:lang w:val="es-CO"/>
        </w:rPr>
        <w:t xml:space="preserve"> del conjunto de condiciones ambientales características de un área que resulta de actividades humanas o de procesos naturales</w:t>
      </w:r>
      <w:r w:rsidRPr="007B3017">
        <w:rPr>
          <w:rFonts w:cs="Arial"/>
          <w:szCs w:val="20"/>
          <w:lang w:val="es-CO"/>
        </w:rPr>
        <w:t>.</w:t>
      </w:r>
    </w:p>
  </w:footnote>
  <w:footnote w:id="195">
    <w:p w14:paraId="21566C83" w14:textId="468CC8A8" w:rsidR="001167C8" w:rsidRPr="007B3017" w:rsidRDefault="001167C8"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Un impacto ambiental significativo se define como aquel impacto</w:t>
      </w:r>
      <w:r w:rsidR="007F4556" w:rsidRPr="007B3017">
        <w:rPr>
          <w:rFonts w:cs="Arial"/>
          <w:szCs w:val="20"/>
          <w:lang w:val="es-CO"/>
        </w:rPr>
        <w:t xml:space="preserve"> que dada la sensibilidad ambiental del área geográfica en la que se manifiesta, genera una alteración de las condiciones ambientales que afecta su integridad y pone en riesgo su sostenibilidad ambiental</w:t>
      </w:r>
      <w:r w:rsidRPr="007B3017">
        <w:rPr>
          <w:rFonts w:cs="Arial"/>
          <w:szCs w:val="20"/>
          <w:lang w:val="es-CO"/>
        </w:rPr>
        <w:t>.</w:t>
      </w:r>
    </w:p>
  </w:footnote>
  <w:footnote w:id="196">
    <w:p w14:paraId="08183F6B" w14:textId="77777777" w:rsidR="00E63F45" w:rsidRPr="007B3017" w:rsidRDefault="00E63F45"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A pesar </w:t>
      </w:r>
      <w:r w:rsidRPr="007B3017">
        <w:rPr>
          <w:rFonts w:cs="Arial"/>
          <w:spacing w:val="-3"/>
          <w:szCs w:val="20"/>
          <w:lang w:val="es-CO"/>
        </w:rPr>
        <w:t>de que no determinan el grado con el cual los impactos pueden modificar el estado del ambiente, estos atributos deben emplearse en la estructuración del plan de manejo ambiental, pues permiten definir y organizar temporal y espacialmente la ejecución de las medidas de manejo.</w:t>
      </w:r>
    </w:p>
  </w:footnote>
  <w:footnote w:id="197">
    <w:p w14:paraId="2545B022" w14:textId="77777777" w:rsidR="00E63F45" w:rsidRPr="007B3017" w:rsidRDefault="00E63F45"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Que no hace uso de los atributos referidos a la probabilidad de ocurrencia, posibilidad de recuperación mediante acciones humanas, o que establezcan per se valores a los impactos de acuerdo con el tiempo que tardan en manifestarse, o a su condición de ser impactos directos o indirectos.</w:t>
      </w:r>
    </w:p>
  </w:footnote>
  <w:footnote w:id="198">
    <w:p w14:paraId="5E1B09C3" w14:textId="77777777" w:rsidR="00715995" w:rsidRPr="007B3017" w:rsidRDefault="00715995"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w:t>
      </w:r>
      <w:r w:rsidRPr="007B3017">
        <w:rPr>
          <w:rFonts w:cs="Arial"/>
          <w:spacing w:val="-3"/>
          <w:szCs w:val="20"/>
          <w:lang w:val="es-CO"/>
        </w:rPr>
        <w:t>Estos análisis espaciales deben atender los lineamientos para la elaboración de cartografía, análisis espaciales y almacenamiento de información geográfica fijados en el marco del licenciamiento ambiental.</w:t>
      </w:r>
    </w:p>
  </w:footnote>
  <w:footnote w:id="199">
    <w:p w14:paraId="7D2342F4" w14:textId="117DCB9C" w:rsidR="00E85CE7" w:rsidRPr="007B3017" w:rsidRDefault="00E85CE7" w:rsidP="007B3017">
      <w:pPr>
        <w:pStyle w:val="Textonotapie"/>
        <w:rPr>
          <w:rFonts w:cs="Arial"/>
          <w:szCs w:val="20"/>
        </w:rPr>
      </w:pPr>
      <w:r w:rsidRPr="007B3017">
        <w:rPr>
          <w:rStyle w:val="Refdenotaalpie"/>
          <w:rFonts w:cs="Arial"/>
          <w:sz w:val="20"/>
          <w:szCs w:val="20"/>
        </w:rPr>
        <w:footnoteRef/>
      </w:r>
      <w:r w:rsidRPr="007B3017">
        <w:rPr>
          <w:rFonts w:cs="Arial"/>
          <w:szCs w:val="20"/>
        </w:rPr>
        <w:t xml:space="preserve"> </w:t>
      </w:r>
      <w:r w:rsidRPr="007B3017">
        <w:rPr>
          <w:rFonts w:cs="Arial"/>
          <w:szCs w:val="20"/>
          <w:lang w:val="es-CO"/>
        </w:rPr>
        <w:t>Propiedad que i</w:t>
      </w:r>
      <w:r w:rsidRPr="007B3017">
        <w:rPr>
          <w:rFonts w:cs="Arial"/>
          <w:spacing w:val="-3"/>
          <w:szCs w:val="20"/>
          <w:lang w:val="es-CO"/>
        </w:rPr>
        <w:t>ndica qué tan intacto se encuentra un paisaje visualmente</w:t>
      </w:r>
      <w:r w:rsidRPr="000D6E21">
        <w:rPr>
          <w:rFonts w:cs="Arial"/>
          <w:color w:val="000000" w:themeColor="text1"/>
          <w:spacing w:val="-3"/>
          <w:szCs w:val="20"/>
          <w:lang w:val="es-CO"/>
        </w:rPr>
        <w:t xml:space="preserve"> mediante </w:t>
      </w:r>
      <w:r w:rsidRPr="007B3017">
        <w:rPr>
          <w:rFonts w:cs="Arial"/>
          <w:spacing w:val="-3"/>
          <w:szCs w:val="20"/>
          <w:lang w:val="es-CO"/>
        </w:rPr>
        <w:t xml:space="preserve">la determinación de las alteraciones existentes, el análisis de los elementos discordantes y </w:t>
      </w:r>
      <w:r w:rsidRPr="007B3017">
        <w:rPr>
          <w:rFonts w:cs="Arial"/>
          <w:spacing w:val="-3"/>
          <w:szCs w:val="20"/>
        </w:rPr>
        <w:t xml:space="preserve">la fragmentación y conectividad ecosistémica (numeral </w:t>
      </w:r>
      <w:r w:rsidRPr="007B3017">
        <w:rPr>
          <w:rFonts w:cs="Arial"/>
          <w:spacing w:val="-3"/>
          <w:szCs w:val="20"/>
        </w:rPr>
        <w:fldChar w:fldCharType="begin"/>
      </w:r>
      <w:r w:rsidRPr="007B3017">
        <w:rPr>
          <w:rFonts w:cs="Arial"/>
          <w:spacing w:val="-3"/>
          <w:szCs w:val="20"/>
        </w:rPr>
        <w:instrText xml:space="preserve"> REF _Ref78383170 \r \h  \* MERGEFORMAT </w:instrText>
      </w:r>
      <w:r w:rsidRPr="007B3017">
        <w:rPr>
          <w:rFonts w:cs="Arial"/>
          <w:spacing w:val="-3"/>
          <w:szCs w:val="20"/>
        </w:rPr>
      </w:r>
      <w:r w:rsidRPr="007B3017">
        <w:rPr>
          <w:rFonts w:cs="Arial"/>
          <w:spacing w:val="-3"/>
          <w:szCs w:val="20"/>
        </w:rPr>
        <w:fldChar w:fldCharType="separate"/>
      </w:r>
      <w:r w:rsidR="00B311B1" w:rsidRPr="007B3017">
        <w:rPr>
          <w:rFonts w:cs="Arial"/>
          <w:spacing w:val="-3"/>
          <w:szCs w:val="20"/>
        </w:rPr>
        <w:t>4.2.2.3</w:t>
      </w:r>
      <w:r w:rsidRPr="007B3017">
        <w:rPr>
          <w:rFonts w:cs="Arial"/>
          <w:spacing w:val="-3"/>
          <w:szCs w:val="20"/>
        </w:rPr>
        <w:fldChar w:fldCharType="end"/>
      </w:r>
      <w:r w:rsidRPr="007B3017">
        <w:rPr>
          <w:rFonts w:cs="Arial"/>
          <w:spacing w:val="-3"/>
          <w:szCs w:val="20"/>
        </w:rPr>
        <w:t xml:space="preserve"> de este capítulo)</w:t>
      </w:r>
      <w:r w:rsidRPr="007B3017">
        <w:rPr>
          <w:rFonts w:cs="Arial"/>
          <w:spacing w:val="-3"/>
          <w:szCs w:val="20"/>
          <w:lang w:val="es-CO"/>
        </w:rPr>
        <w:t>.</w:t>
      </w:r>
    </w:p>
  </w:footnote>
  <w:footnote w:id="200">
    <w:p w14:paraId="11B9D3F5" w14:textId="77777777"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Los impactos ambientales no </w:t>
      </w:r>
      <w:proofErr w:type="spellStart"/>
      <w:r w:rsidRPr="007B3017">
        <w:rPr>
          <w:rFonts w:cs="Arial"/>
          <w:szCs w:val="20"/>
          <w:lang w:val="es-CO"/>
        </w:rPr>
        <w:t>internalizables</w:t>
      </w:r>
      <w:proofErr w:type="spellEnd"/>
      <w:r w:rsidRPr="007B3017">
        <w:rPr>
          <w:rFonts w:cs="Arial"/>
          <w:szCs w:val="20"/>
          <w:lang w:val="es-CO"/>
        </w:rPr>
        <w:t xml:space="preserve"> no deben vulnerar los derechos fundamentales de la población. Cuando los impactos ambientales afecten los derechos fundamentales de la población, éstos deben ser prevenidos o corregidos.</w:t>
      </w:r>
    </w:p>
  </w:footnote>
  <w:footnote w:id="201">
    <w:p w14:paraId="452FB332" w14:textId="1E5FD5FC"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Conocida internacionalmente como jerarquía de la mitigación.</w:t>
      </w:r>
    </w:p>
  </w:footnote>
  <w:footnote w:id="202">
    <w:p w14:paraId="4FD11E17" w14:textId="0B339102"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Si en la práctica, dadas las condiciones particulares del proyecto, obra o actividad, es posible medir la fracción de los impactos mitigables que es efectivamente disminuida, esta fracción se debe incluir en la categoría de impactos ambientales </w:t>
      </w:r>
      <w:proofErr w:type="spellStart"/>
      <w:r w:rsidRPr="007B3017">
        <w:rPr>
          <w:rFonts w:cs="Arial"/>
          <w:szCs w:val="20"/>
          <w:lang w:val="es-CO"/>
        </w:rPr>
        <w:t>internalizables</w:t>
      </w:r>
      <w:proofErr w:type="spellEnd"/>
      <w:r w:rsidRPr="007B3017">
        <w:rPr>
          <w:rFonts w:cs="Arial"/>
          <w:szCs w:val="20"/>
          <w:lang w:val="es-CO"/>
        </w:rPr>
        <w:t xml:space="preserve">; así, los impactos </w:t>
      </w:r>
      <w:proofErr w:type="spellStart"/>
      <w:r w:rsidRPr="007B3017">
        <w:rPr>
          <w:rFonts w:cs="Arial"/>
          <w:szCs w:val="20"/>
          <w:lang w:val="es-CO"/>
        </w:rPr>
        <w:t>internalizables</w:t>
      </w:r>
      <w:proofErr w:type="spellEnd"/>
      <w:r w:rsidRPr="007B3017">
        <w:rPr>
          <w:rFonts w:cs="Arial"/>
          <w:szCs w:val="20"/>
          <w:lang w:val="es-CO"/>
        </w:rPr>
        <w:t xml:space="preserve"> corresponderían a los impactos que son prevenidos y corregidos, y a la fracción mitigada de los impactos mitigables, mientras que los no </w:t>
      </w:r>
      <w:proofErr w:type="spellStart"/>
      <w:r w:rsidRPr="007B3017">
        <w:rPr>
          <w:rFonts w:cs="Arial"/>
          <w:szCs w:val="20"/>
          <w:lang w:val="es-CO"/>
        </w:rPr>
        <w:t>internalizables</w:t>
      </w:r>
      <w:proofErr w:type="spellEnd"/>
      <w:r w:rsidRPr="007B3017">
        <w:rPr>
          <w:rFonts w:cs="Arial"/>
          <w:szCs w:val="20"/>
          <w:lang w:val="es-CO"/>
        </w:rPr>
        <w:t>, corresponderían a los impactos que no son prevenidos ni corregidos, y a la fracción no mitigada de los impactos mitigables.</w:t>
      </w:r>
    </w:p>
  </w:footnote>
  <w:footnote w:id="203">
    <w:p w14:paraId="7188C10F" w14:textId="5FEA0728"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Las medidas de mitigación pueden ser incluidas en el análisis de internalización siempre y cuando sea posible establecer la fracción mitigable del impacto residual, de lo contrario el valor del impacto debe ser incluido como un costo en el análisis costo beneficio.</w:t>
      </w:r>
    </w:p>
  </w:footnote>
  <w:footnote w:id="204">
    <w:p w14:paraId="26633E4F" w14:textId="71AC3F55" w:rsidR="00D55F13" w:rsidRPr="007B3017" w:rsidRDefault="00D55F13" w:rsidP="007B3017">
      <w:pPr>
        <w:overflowPunct/>
        <w:autoSpaceDE/>
        <w:autoSpaceDN/>
        <w:adjustRightInd/>
        <w:textAlignment w:val="auto"/>
        <w:rPr>
          <w:rFonts w:cs="Arial"/>
          <w:sz w:val="20"/>
          <w:szCs w:val="20"/>
        </w:rPr>
      </w:pPr>
      <w:r w:rsidRPr="007B3017">
        <w:rPr>
          <w:rStyle w:val="Refdenotaalpie"/>
          <w:rFonts w:cs="Arial"/>
          <w:sz w:val="20"/>
          <w:szCs w:val="20"/>
          <w:lang w:val="es-CO"/>
        </w:rPr>
        <w:footnoteRef/>
      </w:r>
      <w:r w:rsidRPr="007B3017">
        <w:rPr>
          <w:rFonts w:cs="Arial"/>
          <w:sz w:val="20"/>
          <w:szCs w:val="20"/>
        </w:rPr>
        <w:t xml:space="preserve"> </w:t>
      </w:r>
      <w:r w:rsidRPr="007B3017">
        <w:rPr>
          <w:rFonts w:cs="Arial"/>
          <w:color w:val="000000"/>
          <w:sz w:val="20"/>
          <w:szCs w:val="20"/>
          <w:lang w:eastAsia="es-ES_tradnl"/>
        </w:rPr>
        <w:t>impacto ambiental cuyos efectos persisten en el ambiente por cuanto no pudo ser prevenido, mitigado ni corregido. Implica que debe ser objeto de compensación.</w:t>
      </w:r>
    </w:p>
  </w:footnote>
  <w:footnote w:id="205">
    <w:p w14:paraId="3A49FCC4" w14:textId="492DC65B"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Minambiente puede adoptar con posterioridad a la adopción de esta metodología otras tasas de descuento para el proceso de licenciamiento ambiental, las cuales deben ser utilizadas a partir del momento de su entrada en vigor.</w:t>
      </w:r>
    </w:p>
  </w:footnote>
  <w:footnote w:id="206">
    <w:p w14:paraId="59848CD5" w14:textId="0469F250"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Cuando un impacto es generado por más de una actividad, se debe tomar la categoría más alta de potencial normalizado de modificación de las condiciones ambientales, o bien, realizar el análisis de cada actividad de forma independiente diferenciando las unidades de análisis en las que actúan.</w:t>
      </w:r>
    </w:p>
  </w:footnote>
  <w:footnote w:id="207">
    <w:p w14:paraId="1C960B30" w14:textId="50AEDB2C"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En algunas oportunidades, las medidas de compensación han de aplicarse fuera de ésta.</w:t>
      </w:r>
    </w:p>
  </w:footnote>
  <w:footnote w:id="208">
    <w:p w14:paraId="0F40A014" w14:textId="2EF0E31B"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Que comprenden, según aplique, su </w:t>
      </w:r>
      <w:r w:rsidRPr="007B3017">
        <w:rPr>
          <w:rFonts w:cs="Arial"/>
          <w:szCs w:val="20"/>
          <w:shd w:val="clear" w:color="auto" w:fill="FFFFFF"/>
          <w:lang w:val="es-CO"/>
        </w:rPr>
        <w:t>emplazamiento, instalación, construcción, montaje, operación, mantenimiento, desmantelamiento, abandono o terminación de todas las acciones, usos del espacio, actividades e infraestructura relacionados y asociados con su desarrollo.</w:t>
      </w:r>
    </w:p>
  </w:footnote>
  <w:footnote w:id="209">
    <w:p w14:paraId="4B2DA5F4" w14:textId="78068312"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Conocida internacionalmente como la jerarquía de la mitigación.</w:t>
      </w:r>
    </w:p>
  </w:footnote>
  <w:footnote w:id="210">
    <w:p w14:paraId="31446572" w14:textId="77777777"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No se deben establecer medidas dirigidas a compensar impactos residuales que vulneren los derechos fundamentales de la población, pues por principio, la formulación de proyectos no puede permitir la generación de impactos residuales que vulneren este tipo de derechos.</w:t>
      </w:r>
    </w:p>
  </w:footnote>
  <w:footnote w:id="211">
    <w:p w14:paraId="57B210C6" w14:textId="489E8938"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Se debe recordar que las medidas de compensación son acciones dirigidas a resarcir y retribuir a las comunidades, las regiones, localidades y al entorno natural por los impactos o efectos negativos generados por un proyecto, obra o actividad, que no puedan ser prevenidos, corregidos o mitigados, y que se ha establecido reglamentación específica para el caso de las compensaciones al medio biótico mediante la Resolución 256 de 2018, </w:t>
      </w:r>
      <w:bookmarkStart w:id="11036" w:name="_Hlk99961435"/>
      <w:r w:rsidRPr="007B3017">
        <w:rPr>
          <w:rFonts w:cs="Arial"/>
          <w:szCs w:val="20"/>
          <w:lang w:val="es-CO"/>
        </w:rPr>
        <w:t>modificada por las Resoluciones 1428 de 2018 y 0370 de 2021</w:t>
      </w:r>
      <w:bookmarkEnd w:id="11036"/>
      <w:r w:rsidRPr="007B3017">
        <w:rPr>
          <w:rFonts w:cs="Arial"/>
          <w:szCs w:val="20"/>
          <w:lang w:val="es-CO"/>
        </w:rPr>
        <w:t>, o aquella norma que las modifique o sustituya.</w:t>
      </w:r>
    </w:p>
  </w:footnote>
  <w:footnote w:id="212">
    <w:p w14:paraId="083D2072" w14:textId="77777777" w:rsidR="00713668" w:rsidRPr="007B3017" w:rsidRDefault="00713668" w:rsidP="007B3017">
      <w:pPr>
        <w:pStyle w:val="Textonotapie"/>
        <w:rPr>
          <w:rFonts w:cs="Arial"/>
          <w:szCs w:val="20"/>
          <w:lang w:val="es-ES"/>
        </w:rPr>
      </w:pPr>
      <w:r w:rsidRPr="007B3017">
        <w:rPr>
          <w:rStyle w:val="Refdenotaalpie"/>
          <w:rFonts w:cs="Arial"/>
          <w:sz w:val="20"/>
          <w:szCs w:val="20"/>
        </w:rPr>
        <w:footnoteRef/>
      </w:r>
      <w:r w:rsidRPr="007B3017">
        <w:rPr>
          <w:rFonts w:cs="Arial"/>
          <w:szCs w:val="20"/>
        </w:rPr>
        <w:t xml:space="preserve"> Las medidas de mitigación de GEI son tecnologías, procesos o prácticas que contribuyen con la reducción de emisiones netas de GEI mediante la limitación o disminución de las emisiones y el aumento o mejora de los sumideros y reservas de GEI.</w:t>
      </w:r>
    </w:p>
  </w:footnote>
  <w:footnote w:id="213">
    <w:p w14:paraId="0BBE79B1" w14:textId="62057CD5" w:rsidR="00EF16F9" w:rsidRPr="007B3017" w:rsidRDefault="00EF16F9" w:rsidP="007B3017">
      <w:pPr>
        <w:pStyle w:val="Textonotapie"/>
        <w:rPr>
          <w:rFonts w:cs="Arial"/>
          <w:szCs w:val="20"/>
        </w:rPr>
      </w:pPr>
      <w:r w:rsidRPr="007B3017">
        <w:rPr>
          <w:rStyle w:val="Refdenotaalpie"/>
          <w:rFonts w:cs="Arial"/>
          <w:sz w:val="20"/>
          <w:szCs w:val="20"/>
        </w:rPr>
        <w:footnoteRef/>
      </w:r>
      <w:r w:rsidRPr="007B3017">
        <w:rPr>
          <w:rFonts w:cs="Arial"/>
          <w:szCs w:val="20"/>
        </w:rPr>
        <w:t xml:space="preserve"> Para esta formulación, es posible emplear como referencia el Portafolio de buenas prácticas para el cambio climático de ANLA</w:t>
      </w:r>
      <w:r w:rsidR="00123468" w:rsidRPr="007B3017">
        <w:rPr>
          <w:rFonts w:cs="Arial"/>
          <w:szCs w:val="20"/>
        </w:rPr>
        <w:t xml:space="preserve"> o el documento Criterios para la integración del cambio climático en la evaluación ambiental de proyectos de inversión (REDLASEIA &amp; CEPAL, 2023)</w:t>
      </w:r>
      <w:r w:rsidRPr="007B3017">
        <w:rPr>
          <w:rFonts w:cs="Arial"/>
          <w:szCs w:val="20"/>
        </w:rPr>
        <w:t>.</w:t>
      </w:r>
      <w:r w:rsidR="000449CE">
        <w:rPr>
          <w:rFonts w:cs="Arial"/>
          <w:szCs w:val="20"/>
        </w:rPr>
        <w:t xml:space="preserve"> Asimismo, </w:t>
      </w:r>
      <w:r w:rsidR="00267766">
        <w:rPr>
          <w:rFonts w:cs="Arial"/>
          <w:szCs w:val="20"/>
        </w:rPr>
        <w:t xml:space="preserve">y </w:t>
      </w:r>
      <w:r w:rsidR="000449CE">
        <w:rPr>
          <w:rFonts w:cs="Arial"/>
          <w:szCs w:val="20"/>
        </w:rPr>
        <w:t xml:space="preserve">con el fin de reducir la vulnerabilidad, esto es, de </w:t>
      </w:r>
      <w:r w:rsidR="000449CE">
        <w:t xml:space="preserve">reducir la sensibilidad y de aumentar </w:t>
      </w:r>
      <w:r w:rsidR="000449CE">
        <w:rPr>
          <w:lang w:val="es-MX"/>
        </w:rPr>
        <w:t>la capacidad adaptativa</w:t>
      </w:r>
      <w:r w:rsidR="000449CE">
        <w:t xml:space="preserve">, se procure </w:t>
      </w:r>
      <w:r w:rsidR="000449CE">
        <w:rPr>
          <w:lang w:val="es-MX"/>
        </w:rPr>
        <w:t xml:space="preserve">incrementar la resiliencia </w:t>
      </w:r>
      <w:r w:rsidR="000449CE">
        <w:t>del proyecto y del entorno.</w:t>
      </w:r>
    </w:p>
  </w:footnote>
  <w:footnote w:id="214">
    <w:p w14:paraId="1836E558" w14:textId="3DA297B5"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w:t>
      </w:r>
      <w:r w:rsidRPr="007B3017">
        <w:rPr>
          <w:rFonts w:cs="Arial"/>
          <w:spacing w:val="-3"/>
          <w:szCs w:val="20"/>
          <w:lang w:val="es-CO"/>
        </w:rPr>
        <w:t xml:space="preserve">El indicador de eficacia de cada medida, en lo posible, debe referirse directamente al parámetro que resulta alterado y que se está manejando; no debe plantearse como un indicador de gestión, es decir, como un indicador que señale la cantidad de actividades, capacitaciones, talleres, o reuniones ejecutadas, o la cantidad de insumos o recursos empleados para la implementación de la medida. Los indicadores de gestión pueden usarse como complemento de los indicadores que se establecen para informar sobre la eficacia de las medidas de manejo, pero nunca como su reemplazo. El indicador de eficiencia de cada medida debe formularse teniendo en cuenta los lineamientos establecidos en el numeral </w:t>
      </w:r>
      <w:r w:rsidR="00A52059">
        <w:rPr>
          <w:rFonts w:cs="Arial"/>
          <w:spacing w:val="-3"/>
          <w:szCs w:val="20"/>
          <w:lang w:val="es-CO"/>
        </w:rPr>
        <w:fldChar w:fldCharType="begin"/>
      </w:r>
      <w:r w:rsidR="00A52059">
        <w:rPr>
          <w:rFonts w:cs="Arial"/>
          <w:spacing w:val="-3"/>
          <w:szCs w:val="20"/>
          <w:lang w:val="es-CO"/>
        </w:rPr>
        <w:instrText xml:space="preserve"> REF _Ref175326838 \r \h </w:instrText>
      </w:r>
      <w:r w:rsidR="00A52059">
        <w:rPr>
          <w:rFonts w:cs="Arial"/>
          <w:spacing w:val="-3"/>
          <w:szCs w:val="20"/>
          <w:lang w:val="es-CO"/>
        </w:rPr>
      </w:r>
      <w:r w:rsidR="00A52059">
        <w:rPr>
          <w:rFonts w:cs="Arial"/>
          <w:spacing w:val="-3"/>
          <w:szCs w:val="20"/>
          <w:lang w:val="es-CO"/>
        </w:rPr>
        <w:fldChar w:fldCharType="separate"/>
      </w:r>
      <w:r w:rsidR="00A52059">
        <w:rPr>
          <w:rFonts w:cs="Arial"/>
          <w:spacing w:val="-3"/>
          <w:szCs w:val="20"/>
          <w:lang w:val="es-CO"/>
        </w:rPr>
        <w:t>10.2</w:t>
      </w:r>
      <w:r w:rsidR="00A52059">
        <w:rPr>
          <w:rFonts w:cs="Arial"/>
          <w:spacing w:val="-3"/>
          <w:szCs w:val="20"/>
          <w:lang w:val="es-CO"/>
        </w:rPr>
        <w:fldChar w:fldCharType="end"/>
      </w:r>
      <w:r w:rsidR="00B675AC">
        <w:rPr>
          <w:rFonts w:cs="Arial"/>
          <w:spacing w:val="-3"/>
          <w:szCs w:val="20"/>
          <w:lang w:val="es-CO"/>
        </w:rPr>
        <w:t xml:space="preserve"> </w:t>
      </w:r>
      <w:r w:rsidRPr="007B3017">
        <w:rPr>
          <w:rFonts w:cs="Arial"/>
          <w:spacing w:val="-3"/>
          <w:szCs w:val="20"/>
          <w:lang w:val="es-CO"/>
        </w:rPr>
        <w:t>del presente capítulo.</w:t>
      </w:r>
    </w:p>
  </w:footnote>
  <w:footnote w:id="215">
    <w:p w14:paraId="51571810" w14:textId="72FAA61B"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En caso de que Minambiente establezca o adopte con posterioridad a este documento una metodología para la formulación del programa de reasentamiento, esta deberá ser utilizada para la elaboración de los estudios ambientales. Algunos textos de referencia para la elaboración de este programa son la Política operacional 4.12 del Banco Mundial y su Anexo A, así como el documento Reasentamiento involuntario en los proyectos del BID: principios y lineamientos.</w:t>
      </w:r>
    </w:p>
  </w:footnote>
  <w:footnote w:id="216">
    <w:p w14:paraId="15431002" w14:textId="2649760C"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Uno de los objetivos principales que ha de satisfacerse a través del conjunto de medidas para el reasentamiento de la población, es el de garantizar que las condiciones en las que se reubica sean iguales o mejores a sus condiciones actuales.</w:t>
      </w:r>
    </w:p>
  </w:footnote>
  <w:footnote w:id="217">
    <w:p w14:paraId="027E5CC5" w14:textId="048E21E1" w:rsidR="00D55F13" w:rsidRPr="007B3017" w:rsidRDefault="00D55F13" w:rsidP="007B3017">
      <w:pPr>
        <w:numPr>
          <w:ilvl w:val="12"/>
          <w:numId w:val="0"/>
        </w:numPr>
        <w:tabs>
          <w:tab w:val="left" w:pos="-2268"/>
        </w:tabs>
        <w:suppressAutoHyphens/>
        <w:rPr>
          <w:rFonts w:cs="Arial"/>
          <w:sz w:val="20"/>
          <w:szCs w:val="20"/>
        </w:rPr>
      </w:pPr>
      <w:r w:rsidRPr="007B3017">
        <w:rPr>
          <w:rStyle w:val="Refdenotaalpie"/>
          <w:rFonts w:cs="Arial"/>
          <w:sz w:val="20"/>
          <w:szCs w:val="20"/>
          <w:lang w:val="es-CO"/>
        </w:rPr>
        <w:footnoteRef/>
      </w:r>
      <w:r w:rsidRPr="007B3017">
        <w:rPr>
          <w:rFonts w:cs="Arial"/>
          <w:sz w:val="20"/>
          <w:szCs w:val="20"/>
        </w:rPr>
        <w:t xml:space="preserve"> En caso de que Minambiente establezca o adopte con posterioridad a este documento, un sistema de indicadores para la evaluación, monitoreo y seguimiento de impactos ambientales en el marco del licenciamiento ambiental, se deben incorporar sus lineamientos, parámetros, indicadores e índices en la elaboración de los estudios ambientales.</w:t>
      </w:r>
    </w:p>
  </w:footnote>
  <w:footnote w:id="218">
    <w:p w14:paraId="0245D5CD" w14:textId="61525210"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En el marco del licenciamiento ambiental, la eficacia se define como la capacidad de lograr el efecto que se espera, y la eficiencia, como la capacidad de lograr el efecto esperado con el mínimo posible de recursos.</w:t>
      </w:r>
    </w:p>
  </w:footnote>
  <w:footnote w:id="219">
    <w:p w14:paraId="280F931F" w14:textId="2EB2608F"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En algunas oportunidades, un p</w:t>
      </w:r>
      <w:r w:rsidRPr="007B3017">
        <w:rPr>
          <w:rFonts w:cs="Arial"/>
          <w:spacing w:val="-3"/>
          <w:szCs w:val="20"/>
          <w:lang w:val="es-CO"/>
        </w:rPr>
        <w:t>arámetro, indicador o índice puede ser empleado para más de un propósito y, por lo tanto, puede corresponder a más de un tipo.</w:t>
      </w:r>
    </w:p>
  </w:footnote>
  <w:footnote w:id="220">
    <w:p w14:paraId="3F0F4C71" w14:textId="2F226194" w:rsidR="00D55F13" w:rsidRPr="007B3017" w:rsidRDefault="00D55F13" w:rsidP="007B3017">
      <w:pPr>
        <w:numPr>
          <w:ilvl w:val="12"/>
          <w:numId w:val="0"/>
        </w:numPr>
        <w:tabs>
          <w:tab w:val="left" w:pos="-2268"/>
        </w:tabs>
        <w:suppressAutoHyphens/>
        <w:rPr>
          <w:rFonts w:cs="Arial"/>
          <w:spacing w:val="-3"/>
          <w:sz w:val="20"/>
          <w:szCs w:val="20"/>
        </w:rPr>
      </w:pPr>
      <w:r w:rsidRPr="007B3017">
        <w:rPr>
          <w:rStyle w:val="Refdenotaalpie"/>
          <w:rFonts w:cs="Arial"/>
          <w:sz w:val="20"/>
          <w:szCs w:val="20"/>
          <w:lang w:val="es-CO"/>
        </w:rPr>
        <w:footnoteRef/>
      </w:r>
      <w:r w:rsidRPr="007B3017">
        <w:rPr>
          <w:rFonts w:cs="Arial"/>
          <w:sz w:val="20"/>
          <w:szCs w:val="20"/>
        </w:rPr>
        <w:t xml:space="preserve"> </w:t>
      </w:r>
      <w:r w:rsidRPr="007B3017">
        <w:rPr>
          <w:rFonts w:cs="Arial"/>
          <w:spacing w:val="-3"/>
          <w:sz w:val="20"/>
          <w:szCs w:val="20"/>
        </w:rPr>
        <w:t>Es importante tener en cuenta que dicha comparación también permite establecer qué tan precisa fue la predicción hecha en la evaluación ambiental, información relevante para la elaboración de futuros estudios ambientales de proyectos, obras o actividades en condiciones ambientales similares a las identificadas en el EIA.</w:t>
      </w:r>
    </w:p>
  </w:footnote>
  <w:footnote w:id="221">
    <w:p w14:paraId="1983E028" w14:textId="4C45DFD4"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Tales lineamientos aplican para todos los índices que se formulen. Información adicional al respecto puede ser encontrada, por ejemplo, en </w:t>
      </w:r>
      <w:proofErr w:type="spellStart"/>
      <w:r w:rsidRPr="007B3017">
        <w:rPr>
          <w:rFonts w:cs="Arial"/>
          <w:szCs w:val="20"/>
          <w:lang w:val="es-CO" w:eastAsia="es-CO"/>
        </w:rPr>
        <w:t>Böhringer</w:t>
      </w:r>
      <w:proofErr w:type="spellEnd"/>
      <w:r w:rsidRPr="007B3017">
        <w:rPr>
          <w:rFonts w:cs="Arial"/>
          <w:szCs w:val="20"/>
          <w:lang w:val="es-CO" w:eastAsia="es-CO"/>
        </w:rPr>
        <w:t xml:space="preserve"> &amp; </w:t>
      </w:r>
      <w:proofErr w:type="spellStart"/>
      <w:r w:rsidRPr="007B3017">
        <w:rPr>
          <w:rFonts w:cs="Arial"/>
          <w:szCs w:val="20"/>
          <w:lang w:val="es-CO" w:eastAsia="es-CO"/>
        </w:rPr>
        <w:t>Jochem</w:t>
      </w:r>
      <w:proofErr w:type="spellEnd"/>
      <w:r w:rsidRPr="007B3017">
        <w:rPr>
          <w:rFonts w:cs="Arial"/>
          <w:szCs w:val="20"/>
          <w:lang w:val="es-CO" w:eastAsia="es-CO"/>
        </w:rPr>
        <w:t xml:space="preserve"> (2007) o en </w:t>
      </w:r>
      <w:r w:rsidR="00BD3419" w:rsidRPr="007B3017">
        <w:rPr>
          <w:rFonts w:cs="Arial"/>
          <w:szCs w:val="20"/>
          <w:lang w:val="es-CO" w:eastAsia="es-CO"/>
        </w:rPr>
        <w:t>OCDE</w:t>
      </w:r>
      <w:r w:rsidRPr="007B3017">
        <w:rPr>
          <w:rFonts w:cs="Arial"/>
          <w:szCs w:val="20"/>
          <w:lang w:val="es-CO" w:eastAsia="es-CO"/>
        </w:rPr>
        <w:t xml:space="preserve"> (200</w:t>
      </w:r>
      <w:r w:rsidR="00BD3419" w:rsidRPr="007B3017">
        <w:rPr>
          <w:rFonts w:cs="Arial"/>
          <w:szCs w:val="20"/>
          <w:lang w:val="es-CO" w:eastAsia="es-CO"/>
        </w:rPr>
        <w:t>8</w:t>
      </w:r>
      <w:r w:rsidRPr="007B3017">
        <w:rPr>
          <w:rFonts w:cs="Arial"/>
          <w:szCs w:val="20"/>
          <w:lang w:val="es-CO" w:eastAsia="es-CO"/>
        </w:rPr>
        <w:t>).</w:t>
      </w:r>
    </w:p>
  </w:footnote>
  <w:footnote w:id="222">
    <w:p w14:paraId="338825D7" w14:textId="08DFCED3" w:rsidR="00E2693F" w:rsidRPr="00E2693F" w:rsidRDefault="00E2693F">
      <w:pPr>
        <w:pStyle w:val="Textonotapie"/>
        <w:rPr>
          <w:lang w:val="es-ES"/>
        </w:rPr>
      </w:pPr>
      <w:r>
        <w:rPr>
          <w:rStyle w:val="Refdenotaalpie"/>
        </w:rPr>
        <w:footnoteRef/>
      </w:r>
      <w:r>
        <w:t xml:space="preserve"> </w:t>
      </w:r>
      <w:r>
        <w:rPr>
          <w:lang w:val="es-ES"/>
        </w:rPr>
        <w:t>En concordancia con lo estipulado en la Circular 12 del 20 de mayo de 2024 emitida por la Agencia Nacional de Defensa Jurídica del Estado.</w:t>
      </w:r>
    </w:p>
  </w:footnote>
  <w:footnote w:id="223">
    <w:p w14:paraId="51B81803" w14:textId="07F1A9BA" w:rsidR="00C5440D" w:rsidRPr="007B3017" w:rsidRDefault="00C5440D"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Cualquier construcción física para reducir o evitar </w:t>
      </w:r>
      <w:r w:rsidR="00324143" w:rsidRPr="007B3017">
        <w:rPr>
          <w:rFonts w:cs="Arial"/>
          <w:szCs w:val="20"/>
          <w:lang w:val="es-CO"/>
        </w:rPr>
        <w:t xml:space="preserve">las afectaciones </w:t>
      </w:r>
      <w:r w:rsidRPr="007B3017">
        <w:rPr>
          <w:rFonts w:cs="Arial"/>
          <w:szCs w:val="20"/>
          <w:lang w:val="es-CO"/>
        </w:rPr>
        <w:t>de las amenazas</w:t>
      </w:r>
      <w:r w:rsidR="00324143" w:rsidRPr="007B3017">
        <w:rPr>
          <w:rFonts w:cs="Arial"/>
          <w:szCs w:val="20"/>
          <w:lang w:val="es-CO"/>
        </w:rPr>
        <w:t xml:space="preserve"> o riesgos</w:t>
      </w:r>
      <w:r w:rsidRPr="007B3017">
        <w:rPr>
          <w:rFonts w:cs="Arial"/>
          <w:szCs w:val="20"/>
          <w:lang w:val="es-CO"/>
        </w:rPr>
        <w:t xml:space="preserve">, </w:t>
      </w:r>
      <w:r w:rsidR="00324143" w:rsidRPr="007B3017">
        <w:rPr>
          <w:rFonts w:cs="Arial"/>
          <w:szCs w:val="20"/>
          <w:lang w:val="es-CO"/>
        </w:rPr>
        <w:t xml:space="preserve">incluye </w:t>
      </w:r>
      <w:r w:rsidRPr="007B3017">
        <w:rPr>
          <w:rFonts w:cs="Arial"/>
          <w:szCs w:val="20"/>
          <w:lang w:val="es-CO"/>
        </w:rPr>
        <w:t>la aplicación de técnicas de ingeniería para lograr la resistencia y la resiliencia de las estructuras o de los sistemas frente a las amenazas (UNISDR, 2009, citado por UNGRD, 2017). Dentro de estas medidas se incluyen acciones de intervención basadas en ecosistemas.</w:t>
      </w:r>
    </w:p>
  </w:footnote>
  <w:footnote w:id="224">
    <w:p w14:paraId="1E7DFC04" w14:textId="43EF52D3" w:rsidR="00C5440D" w:rsidRPr="007B3017" w:rsidRDefault="00C5440D"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Cualquier medida que no suponga una construcción física y que utiliza el conocimiento, las prácticas o los acuerdos existentes para reducir el riesgo y sus </w:t>
      </w:r>
      <w:r w:rsidR="00324143" w:rsidRPr="007B3017">
        <w:rPr>
          <w:rFonts w:cs="Arial"/>
          <w:szCs w:val="20"/>
          <w:lang w:val="es-CO"/>
        </w:rPr>
        <w:t>afectaciones</w:t>
      </w:r>
      <w:r w:rsidRPr="007B3017">
        <w:rPr>
          <w:rFonts w:cs="Arial"/>
          <w:szCs w:val="20"/>
          <w:lang w:val="es-CO"/>
        </w:rPr>
        <w:t>, especialmente a través de una mayor concientización pública, la capacitación y la educación (UNISDR, 2009, citado por UNGRD, 2017).</w:t>
      </w:r>
    </w:p>
  </w:footnote>
  <w:footnote w:id="225">
    <w:p w14:paraId="0A28343A" w14:textId="2FA8B171"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La Evaluación de Daños y Análisis de Necesidades Ambientales (EDANA) es una herramienta utilizada para conocer el grado de afectación que la población y los recursos naturales han sufrido por una contingencia en un lugar y tiempo determinado; es decir, se utiliza para evaluar los daños y priorizar necesidades, por medio de la </w:t>
      </w:r>
      <w:r w:rsidR="00BB45DA" w:rsidRPr="007B3017">
        <w:rPr>
          <w:rFonts w:cs="Arial"/>
          <w:szCs w:val="20"/>
          <w:lang w:val="es-CO"/>
        </w:rPr>
        <w:t xml:space="preserve">determinación </w:t>
      </w:r>
      <w:r w:rsidRPr="007B3017">
        <w:rPr>
          <w:rFonts w:cs="Arial"/>
          <w:szCs w:val="20"/>
          <w:lang w:val="es-CO"/>
        </w:rPr>
        <w:t xml:space="preserve">y registro </w:t>
      </w:r>
      <w:proofErr w:type="spellStart"/>
      <w:r w:rsidRPr="007B3017">
        <w:rPr>
          <w:rFonts w:cs="Arial"/>
          <w:szCs w:val="20"/>
          <w:lang w:val="es-CO"/>
        </w:rPr>
        <w:t>cuali</w:t>
      </w:r>
      <w:proofErr w:type="spellEnd"/>
      <w:r w:rsidRPr="007B3017">
        <w:rPr>
          <w:rFonts w:cs="Arial"/>
          <w:szCs w:val="20"/>
          <w:lang w:val="es-CO"/>
        </w:rPr>
        <w:t>-cuantitativo de la extensión, gravedad y localización de los efectos de la contingencia.</w:t>
      </w:r>
    </w:p>
  </w:footnote>
  <w:footnote w:id="226">
    <w:p w14:paraId="688CDA4D" w14:textId="63555A14"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Los lineamientos establecidos en este apartado son aplicables tanto al plan de desmantelamiento y </w:t>
      </w:r>
      <w:r w:rsidR="00F3165D" w:rsidRPr="007B3017">
        <w:rPr>
          <w:rFonts w:cs="Arial"/>
          <w:szCs w:val="20"/>
          <w:lang w:val="es-CO"/>
        </w:rPr>
        <w:t xml:space="preserve">cierre ambiental </w:t>
      </w:r>
      <w:r w:rsidRPr="007B3017">
        <w:rPr>
          <w:rFonts w:cs="Arial"/>
          <w:szCs w:val="20"/>
          <w:lang w:val="es-CO"/>
        </w:rPr>
        <w:t xml:space="preserve">que hace parte del EIA, como al que contiene el estudio que se debe suministrar a la autoridad ambiental competente cuando se requiera o deba iniciar la fase de desmantelamiento y </w:t>
      </w:r>
      <w:r w:rsidR="00F3165D" w:rsidRPr="007B3017">
        <w:rPr>
          <w:rFonts w:cs="Arial"/>
          <w:szCs w:val="20"/>
          <w:lang w:val="es-CO"/>
        </w:rPr>
        <w:t xml:space="preserve">cierre ambiental </w:t>
      </w:r>
      <w:r w:rsidRPr="007B3017">
        <w:rPr>
          <w:rFonts w:cs="Arial"/>
          <w:szCs w:val="20"/>
          <w:lang w:val="es-CO"/>
        </w:rPr>
        <w:t>al que hace referencia el artículo 2.2.2.3.9.2 del Decreto 1076 de 2015, o aquella norma que lo modifique o sustituya.</w:t>
      </w:r>
    </w:p>
  </w:footnote>
  <w:footnote w:id="227">
    <w:p w14:paraId="66EFDE3F" w14:textId="5C6DA720"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Las actividades del plan de desmantelamiento y </w:t>
      </w:r>
      <w:r w:rsidR="00816261" w:rsidRPr="007B3017">
        <w:rPr>
          <w:rFonts w:cs="Arial"/>
          <w:szCs w:val="20"/>
          <w:lang w:val="es-CO"/>
        </w:rPr>
        <w:t xml:space="preserve">cierre ambiental </w:t>
      </w:r>
      <w:r w:rsidRPr="007B3017">
        <w:rPr>
          <w:rFonts w:cs="Arial"/>
          <w:szCs w:val="20"/>
          <w:lang w:val="es-CO"/>
        </w:rPr>
        <w:t>pueden contemplar opciones de economía circular.</w:t>
      </w:r>
    </w:p>
  </w:footnote>
  <w:footnote w:id="228">
    <w:p w14:paraId="411BB93C" w14:textId="16FFA10C"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Artículo 174 de la Ley 1753 de 2015, artículo 321 de la Ley 1955 de 2019 y Decreto 1076 de 2015 (modificado por los Decretos 2099 de 2016, 075 y 1120 de 2017), o las normas que los modifiquen o sustituyan.</w:t>
      </w:r>
    </w:p>
  </w:footnote>
  <w:footnote w:id="229">
    <w:p w14:paraId="7FDC7785" w14:textId="164E8453" w:rsidR="00D55F13" w:rsidRPr="007B3017" w:rsidRDefault="00D55F13" w:rsidP="007B3017">
      <w:pPr>
        <w:pStyle w:val="Textonotapie"/>
        <w:rPr>
          <w:rFonts w:cs="Arial"/>
          <w:szCs w:val="20"/>
          <w:lang w:val="es-CO"/>
        </w:rPr>
      </w:pPr>
      <w:r w:rsidRPr="007B3017">
        <w:rPr>
          <w:rStyle w:val="Refdenotaalpie"/>
          <w:rFonts w:cs="Arial"/>
          <w:sz w:val="20"/>
          <w:szCs w:val="20"/>
          <w:lang w:val="es-CO"/>
        </w:rPr>
        <w:footnoteRef/>
      </w:r>
      <w:r w:rsidRPr="007B3017">
        <w:rPr>
          <w:rFonts w:cs="Arial"/>
          <w:szCs w:val="20"/>
          <w:lang w:val="es-CO"/>
        </w:rPr>
        <w:t xml:space="preserve"> Actualmente, la Resolución 256 de 2018 </w:t>
      </w:r>
      <w:bookmarkStart w:id="11370" w:name="_Hlk99961533"/>
      <w:r w:rsidRPr="007B3017">
        <w:rPr>
          <w:rFonts w:cs="Arial"/>
          <w:szCs w:val="20"/>
          <w:lang w:val="es-CO"/>
        </w:rPr>
        <w:t>modificada por las Resoluciones 1428 de 2018 y 0370 de 2021</w:t>
      </w:r>
      <w:bookmarkEnd w:id="11370"/>
      <w:r w:rsidRPr="007B3017">
        <w:rPr>
          <w:rFonts w:cs="Arial"/>
          <w:szCs w:val="20"/>
          <w:lang w:val="es-CO"/>
        </w:rPr>
        <w:t>.</w:t>
      </w:r>
    </w:p>
  </w:footnote>
  <w:footnote w:id="230">
    <w:p w14:paraId="3DF13B46" w14:textId="77777777" w:rsidR="00E4660E" w:rsidRPr="007B3017" w:rsidRDefault="00E4660E" w:rsidP="00E4660E">
      <w:pPr>
        <w:pStyle w:val="Textonotapie"/>
        <w:rPr>
          <w:rFonts w:cs="Arial"/>
          <w:szCs w:val="20"/>
        </w:rPr>
      </w:pPr>
      <w:r w:rsidRPr="007B3017">
        <w:rPr>
          <w:rStyle w:val="Refdenotaalpie"/>
          <w:rFonts w:cs="Arial"/>
          <w:sz w:val="20"/>
          <w:szCs w:val="20"/>
        </w:rPr>
        <w:footnoteRef/>
      </w:r>
      <w:r w:rsidRPr="007B3017">
        <w:rPr>
          <w:rFonts w:cs="Arial"/>
          <w:szCs w:val="20"/>
        </w:rPr>
        <w:t xml:space="preserve"> Para la formulación de </w:t>
      </w:r>
      <w:r>
        <w:rPr>
          <w:rFonts w:cs="Arial"/>
          <w:szCs w:val="20"/>
        </w:rPr>
        <w:t>medidas</w:t>
      </w:r>
      <w:r w:rsidRPr="007B3017">
        <w:rPr>
          <w:rFonts w:cs="Arial"/>
          <w:szCs w:val="20"/>
        </w:rPr>
        <w:t xml:space="preserve"> de adaptación y mitigación puede emplearse como referencia el Portafolio de buenas prácticas para el cambio climático de ANLA o el documento Criterios para la integración del cambio climático en la evaluación ambiental de proyectos de inversión (REDLASEIA &amp; CEPAL, 2023).</w:t>
      </w:r>
    </w:p>
  </w:footnote>
  <w:footnote w:id="231">
    <w:p w14:paraId="6938074E" w14:textId="77777777" w:rsidR="00CC5595" w:rsidRPr="000D6E21" w:rsidRDefault="00CC5595" w:rsidP="00CC5595">
      <w:pPr>
        <w:pStyle w:val="Textonotapie"/>
        <w:rPr>
          <w:rFonts w:cs="Arial"/>
          <w:sz w:val="18"/>
          <w:szCs w:val="18"/>
          <w:lang w:val="es-CO"/>
        </w:rPr>
      </w:pPr>
      <w:r w:rsidRPr="000D6E21">
        <w:rPr>
          <w:rStyle w:val="Refdenotaalpie"/>
          <w:rFonts w:eastAsiaTheme="majorEastAsia" w:cs="Arial"/>
          <w:sz w:val="20"/>
          <w:szCs w:val="20"/>
        </w:rPr>
        <w:footnoteRef/>
      </w:r>
      <w:r w:rsidRPr="000D6E21">
        <w:rPr>
          <w:rFonts w:cs="Arial"/>
          <w:szCs w:val="20"/>
          <w:lang w:val="es-CO"/>
        </w:rPr>
        <w:t xml:space="preserve"> BAU: Business as usual, por sus siglas en inglés. En español se entiende como el escenario convencional.</w:t>
      </w:r>
    </w:p>
  </w:footnote>
  <w:footnote w:id="232">
    <w:p w14:paraId="03799782" w14:textId="02792691" w:rsidR="007E7263" w:rsidRPr="00DD5B69" w:rsidRDefault="007E7263" w:rsidP="007E7263">
      <w:pPr>
        <w:pStyle w:val="Textonotapie"/>
        <w:rPr>
          <w:szCs w:val="20"/>
          <w:lang w:val="es-CO"/>
        </w:rPr>
      </w:pPr>
      <w:r w:rsidRPr="000D6E21">
        <w:rPr>
          <w:rStyle w:val="Refdenotaalpie"/>
          <w:sz w:val="20"/>
          <w:szCs w:val="20"/>
        </w:rPr>
        <w:footnoteRef/>
      </w:r>
      <w:r w:rsidRPr="00DD5B69">
        <w:rPr>
          <w:szCs w:val="20"/>
        </w:rPr>
        <w:t xml:space="preserve"> El indicador de cada acción debe formularse teniendo en cuenta los lineamientos establecidos en el numeral </w:t>
      </w:r>
      <w:r w:rsidR="00564B46">
        <w:rPr>
          <w:rFonts w:cs="Arial"/>
          <w:spacing w:val="-3"/>
          <w:szCs w:val="20"/>
          <w:lang w:val="es-CO"/>
        </w:rPr>
        <w:fldChar w:fldCharType="begin"/>
      </w:r>
      <w:r w:rsidR="00564B46">
        <w:rPr>
          <w:rFonts w:cs="Arial"/>
          <w:spacing w:val="-3"/>
          <w:szCs w:val="20"/>
          <w:lang w:val="es-CO"/>
        </w:rPr>
        <w:instrText xml:space="preserve"> REF _Ref175326838 \r \h </w:instrText>
      </w:r>
      <w:r w:rsidR="00564B46">
        <w:rPr>
          <w:rFonts w:cs="Arial"/>
          <w:spacing w:val="-3"/>
          <w:szCs w:val="20"/>
          <w:lang w:val="es-CO"/>
        </w:rPr>
      </w:r>
      <w:r w:rsidR="00564B46">
        <w:rPr>
          <w:rFonts w:cs="Arial"/>
          <w:spacing w:val="-3"/>
          <w:szCs w:val="20"/>
          <w:lang w:val="es-CO"/>
        </w:rPr>
        <w:fldChar w:fldCharType="separate"/>
      </w:r>
      <w:r w:rsidR="00564B46">
        <w:rPr>
          <w:rFonts w:cs="Arial"/>
          <w:spacing w:val="-3"/>
          <w:szCs w:val="20"/>
          <w:lang w:val="es-CO"/>
        </w:rPr>
        <w:t>10.2</w:t>
      </w:r>
      <w:r w:rsidR="00564B46">
        <w:rPr>
          <w:rFonts w:cs="Arial"/>
          <w:spacing w:val="-3"/>
          <w:szCs w:val="20"/>
          <w:lang w:val="es-CO"/>
        </w:rPr>
        <w:fldChar w:fldCharType="end"/>
      </w:r>
      <w:r w:rsidRPr="00DD5B69">
        <w:rPr>
          <w:szCs w:val="20"/>
        </w:rPr>
        <w:t xml:space="preserve"> del presente capítulo.</w:t>
      </w:r>
    </w:p>
  </w:footnote>
  <w:footnote w:id="233">
    <w:p w14:paraId="1F1B9216" w14:textId="77777777" w:rsidR="00C37566" w:rsidRPr="00D70105" w:rsidRDefault="00C37566" w:rsidP="00C37566">
      <w:pPr>
        <w:pStyle w:val="Textonotapie"/>
        <w:rPr>
          <w:lang w:val="es-CO"/>
        </w:rPr>
      </w:pPr>
      <w:r>
        <w:rPr>
          <w:rStyle w:val="Refdenotaalpie"/>
          <w:rFonts w:eastAsiaTheme="majorEastAsia"/>
        </w:rPr>
        <w:footnoteRef/>
      </w:r>
      <w:r>
        <w:t xml:space="preserve"> </w:t>
      </w:r>
      <w:r w:rsidRPr="005360CE">
        <w:t>Capacidad de los sistemas, las instituciones, los humanos y otros organismos para adaptarse ante posibles daños, aprovechar las oportunidades o afrontar las consecuencias</w:t>
      </w:r>
      <w:r>
        <w:t xml:space="preserve"> (</w:t>
      </w:r>
      <w:r w:rsidRPr="00FD5490">
        <w:t>IPCC</w:t>
      </w:r>
      <w:r>
        <w:t>,</w:t>
      </w:r>
      <w:r w:rsidRPr="00FD5490">
        <w:t xml:space="preserve"> 2014)</w:t>
      </w:r>
      <w:r w:rsidRPr="005360CE">
        <w:t>.</w:t>
      </w:r>
    </w:p>
  </w:footnote>
  <w:footnote w:id="234">
    <w:p w14:paraId="7FC0123B" w14:textId="77777777" w:rsidR="00C37566" w:rsidRPr="00D47B21" w:rsidRDefault="00C37566" w:rsidP="00C37566">
      <w:pPr>
        <w:pStyle w:val="Textonotapie"/>
      </w:pPr>
      <w:r>
        <w:rPr>
          <w:rStyle w:val="Refdenotaalpie"/>
        </w:rPr>
        <w:footnoteRef/>
      </w:r>
      <w:r>
        <w:t xml:space="preserve"> </w:t>
      </w:r>
      <w:r w:rsidRPr="00D47B21">
        <w:t xml:space="preserve">El </w:t>
      </w:r>
      <w:r w:rsidRPr="00E87D02">
        <w:t>análisis de resiliencia debe desarrollarse considerando las condiciones ambientales del área de influencia del proyecto (p. ej. ecosistémicas, abióticas, sociales, económicas y culturales).</w:t>
      </w:r>
    </w:p>
  </w:footnote>
  <w:footnote w:id="235">
    <w:p w14:paraId="06886323" w14:textId="77777777" w:rsidR="00C37566" w:rsidRPr="000D6E21" w:rsidRDefault="00C37566" w:rsidP="00C37566">
      <w:pPr>
        <w:pStyle w:val="Textonotapie"/>
        <w:rPr>
          <w:rFonts w:cs="Arial"/>
          <w:sz w:val="18"/>
          <w:szCs w:val="18"/>
          <w:lang w:val="es-CO"/>
        </w:rPr>
      </w:pPr>
      <w:r w:rsidRPr="000D6E21">
        <w:rPr>
          <w:rStyle w:val="Refdenotaalpie"/>
          <w:rFonts w:eastAsiaTheme="majorEastAsia" w:cs="Arial"/>
          <w:sz w:val="20"/>
          <w:szCs w:val="20"/>
        </w:rPr>
        <w:footnoteRef/>
      </w:r>
      <w:r w:rsidRPr="000D6E21">
        <w:rPr>
          <w:rFonts w:cs="Arial"/>
          <w:szCs w:val="20"/>
        </w:rPr>
        <w:t xml:space="preserve"> </w:t>
      </w:r>
      <w:r w:rsidRPr="000D6E21">
        <w:rPr>
          <w:rFonts w:cs="Arial"/>
          <w:szCs w:val="20"/>
          <w:lang w:val="es-CO"/>
        </w:rPr>
        <w:t>Para la formulación de las medidas e indicadores de adaptación se puede hacer uso de las herramientas generadas para tal fin por las autoridades ambientales.</w:t>
      </w:r>
    </w:p>
  </w:footnote>
  <w:footnote w:id="236">
    <w:p w14:paraId="2B5BDF1E" w14:textId="50998462" w:rsidR="00B4081A" w:rsidRPr="00DD5B69" w:rsidRDefault="00B4081A" w:rsidP="00B4081A">
      <w:pPr>
        <w:pStyle w:val="Textonotapie"/>
        <w:rPr>
          <w:szCs w:val="20"/>
          <w:lang w:val="es-CO"/>
        </w:rPr>
      </w:pPr>
      <w:r w:rsidRPr="00E87D02">
        <w:rPr>
          <w:rStyle w:val="Refdenotaalpie"/>
          <w:sz w:val="20"/>
          <w:szCs w:val="20"/>
        </w:rPr>
        <w:footnoteRef/>
      </w:r>
      <w:r w:rsidRPr="00DD5B69">
        <w:rPr>
          <w:szCs w:val="20"/>
        </w:rPr>
        <w:t xml:space="preserve"> El indicador de cada acción debe formularse teniendo en cuenta los lineamientos establecidos en el numeral </w:t>
      </w:r>
      <w:r w:rsidR="00564B46">
        <w:rPr>
          <w:rFonts w:cs="Arial"/>
          <w:spacing w:val="-3"/>
          <w:szCs w:val="20"/>
          <w:lang w:val="es-CO"/>
        </w:rPr>
        <w:fldChar w:fldCharType="begin"/>
      </w:r>
      <w:r w:rsidR="00564B46">
        <w:rPr>
          <w:rFonts w:cs="Arial"/>
          <w:spacing w:val="-3"/>
          <w:szCs w:val="20"/>
          <w:lang w:val="es-CO"/>
        </w:rPr>
        <w:instrText xml:space="preserve"> REF _Ref175326838 \r \h </w:instrText>
      </w:r>
      <w:r w:rsidR="00564B46">
        <w:rPr>
          <w:rFonts w:cs="Arial"/>
          <w:spacing w:val="-3"/>
          <w:szCs w:val="20"/>
          <w:lang w:val="es-CO"/>
        </w:rPr>
      </w:r>
      <w:r w:rsidR="00564B46">
        <w:rPr>
          <w:rFonts w:cs="Arial"/>
          <w:spacing w:val="-3"/>
          <w:szCs w:val="20"/>
          <w:lang w:val="es-CO"/>
        </w:rPr>
        <w:fldChar w:fldCharType="separate"/>
      </w:r>
      <w:r w:rsidR="00564B46">
        <w:rPr>
          <w:rFonts w:cs="Arial"/>
          <w:spacing w:val="-3"/>
          <w:szCs w:val="20"/>
          <w:lang w:val="es-CO"/>
        </w:rPr>
        <w:t>10.2</w:t>
      </w:r>
      <w:r w:rsidR="00564B46">
        <w:rPr>
          <w:rFonts w:cs="Arial"/>
          <w:spacing w:val="-3"/>
          <w:szCs w:val="20"/>
          <w:lang w:val="es-CO"/>
        </w:rPr>
        <w:fldChar w:fldCharType="end"/>
      </w:r>
      <w:r w:rsidRPr="00DD5B69">
        <w:rPr>
          <w:szCs w:val="20"/>
        </w:rPr>
        <w:t xml:space="preserve"> del presente capítulo.</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0FBA2BF" w14:textId="7F529056" w:rsidR="00D55F13" w:rsidRPr="00394D50" w:rsidRDefault="00D55F13">
    <w:pPr>
      <w:pStyle w:val="Encabezado"/>
      <w:framePr w:wrap="around" w:vAnchor="text" w:hAnchor="margin" w:xAlign="right" w:y="1"/>
      <w:rPr>
        <w:rStyle w:val="Nmerodepgina"/>
      </w:rPr>
    </w:pPr>
    <w:r w:rsidRPr="00394D50">
      <w:rPr>
        <w:rStyle w:val="Nmerodepgina"/>
      </w:rPr>
      <w:fldChar w:fldCharType="begin"/>
    </w:r>
    <w:r w:rsidRPr="00394D50">
      <w:rPr>
        <w:rStyle w:val="Nmerodepgina"/>
      </w:rPr>
      <w:instrText xml:space="preserve">PAGE  </w:instrText>
    </w:r>
    <w:r w:rsidRPr="00394D50">
      <w:rPr>
        <w:rStyle w:val="Nmerodepgina"/>
      </w:rPr>
      <w:fldChar w:fldCharType="end"/>
    </w:r>
  </w:p>
  <w:p w14:paraId="109F51CE" w14:textId="77777777" w:rsidR="00D55F13" w:rsidRPr="00394D50" w:rsidRDefault="00D55F13">
    <w:pPr>
      <w:pStyle w:val="Encabezado"/>
      <w:ind w:right="360"/>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BDAB27D" w14:textId="4E63C1AC" w:rsidR="00D55F13" w:rsidRPr="00394D50" w:rsidRDefault="00DA3149" w:rsidP="009D6964">
    <w:pPr>
      <w:pStyle w:val="Encabezado"/>
      <w:tabs>
        <w:tab w:val="clear" w:pos="4252"/>
        <w:tab w:val="clear" w:pos="8504"/>
        <w:tab w:val="left" w:pos="8730"/>
      </w:tabs>
    </w:pPr>
    <w:r>
      <w:rPr>
        <w:noProof/>
      </w:rPr>
      <w:drawing>
        <wp:anchor distT="0" distB="0" distL="114300" distR="114300" simplePos="0" relativeHeight="251709440" behindDoc="1" locked="0" layoutInCell="1" allowOverlap="1" wp14:anchorId="6409BD2C" wp14:editId="1309E335">
          <wp:simplePos x="0" y="0"/>
          <wp:positionH relativeFrom="margin">
            <wp:posOffset>3103880</wp:posOffset>
          </wp:positionH>
          <wp:positionV relativeFrom="paragraph">
            <wp:posOffset>-467995</wp:posOffset>
          </wp:positionV>
          <wp:extent cx="2678400" cy="658800"/>
          <wp:effectExtent l="0" t="0" r="0" b="8255"/>
          <wp:wrapNone/>
          <wp:docPr id="1509027130" name="Imagen 3" descr="Interfaz de usuario gráfic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5716824" name="Imagen 3" descr="Interfaz de usuario gráfica&#10;&#10;Descripción generada automáticamente con confianza media"/>
                  <pic:cNvPicPr/>
                </pic:nvPicPr>
                <pic:blipFill>
                  <a:blip r:embed="rId1">
                    <a:extLst>
                      <a:ext uri="{28A0092B-C50C-407E-A947-70E740481C1C}">
                        <a14:useLocalDpi xmlns:a14="http://schemas.microsoft.com/office/drawing/2010/main" val="0"/>
                      </a:ext>
                    </a:extLst>
                  </a:blip>
                  <a:stretch>
                    <a:fillRect/>
                  </a:stretch>
                </pic:blipFill>
                <pic:spPr>
                  <a:xfrm>
                    <a:off x="0" y="0"/>
                    <a:ext cx="2678400" cy="6588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057F073" w14:textId="36A630B1" w:rsidR="00D55F13" w:rsidRPr="00394D50" w:rsidRDefault="00D55F13">
    <w:pPr>
      <w:pStyle w:val="Encabezado"/>
    </w:pPr>
    <w:r w:rsidRPr="00E947ED">
      <w:rPr>
        <w:noProof/>
        <w:lang w:eastAsia="es-CO"/>
      </w:rPr>
      <mc:AlternateContent>
        <mc:Choice Requires="wps">
          <w:drawing>
            <wp:anchor distT="0" distB="0" distL="114300" distR="114300" simplePos="0" relativeHeight="251658257" behindDoc="1" locked="0" layoutInCell="0" allowOverlap="1" wp14:anchorId="47D4D726" wp14:editId="640533EE">
              <wp:simplePos x="0" y="0"/>
              <wp:positionH relativeFrom="margin">
                <wp:align>center</wp:align>
              </wp:positionH>
              <wp:positionV relativeFrom="margin">
                <wp:align>center</wp:align>
              </wp:positionV>
              <wp:extent cx="7018020" cy="1403350"/>
              <wp:effectExtent l="0" t="2047875" r="0" b="2006600"/>
              <wp:wrapNone/>
              <wp:docPr id="2" name="WordArt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7018020" cy="140335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3F6EF9C2" w14:textId="77777777" w:rsidR="00D55F13" w:rsidRPr="00394D50" w:rsidRDefault="00D55F13" w:rsidP="005C3F9C">
                          <w:pPr>
                            <w:jc w:val="center"/>
                            <w:rPr>
                              <w:rFonts w:cs="Arial"/>
                              <w:color w:val="C0C0C0"/>
                              <w:sz w:val="2"/>
                              <w:szCs w:val="2"/>
                              <w14:textFill>
                                <w14:solidFill>
                                  <w14:srgbClr w14:val="C0C0C0">
                                    <w14:alpha w14:val="50000"/>
                                  </w14:srgbClr>
                                </w14:solidFill>
                              </w14:textFill>
                            </w:rPr>
                          </w:pPr>
                          <w:r w:rsidRPr="00394D50">
                            <w:rPr>
                              <w:rFonts w:cs="Arial"/>
                              <w:color w:val="C0C0C0"/>
                              <w:sz w:val="2"/>
                              <w:szCs w:val="2"/>
                              <w14:textFill>
                                <w14:solidFill>
                                  <w14:srgbClr w14:val="C0C0C0">
                                    <w14:alpha w14:val="50000"/>
                                  </w14:srgbClr>
                                </w14:solidFill>
                              </w14:textFill>
                            </w:rPr>
                            <w:t>BORRADOR</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47D4D726" id="_x0000_t202" coordsize="21600,21600" o:spt="202" path="m,l,21600r21600,l21600,xe">
              <v:stroke joinstyle="miter"/>
              <v:path gradientshapeok="t" o:connecttype="rect"/>
            </v:shapetype>
            <v:shape id="WordArt 16" o:spid="_x0000_s1364" type="#_x0000_t202" style="position:absolute;left:0;text-align:left;margin-left:0;margin-top:0;width:552.6pt;height:110.5pt;rotation:-45;z-index:-251658223;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" o:allowincell="f" filled="f" stroked="f">
              <v:stroke joinstyle="round"/>
              <o:lock v:ext="edit" shapetype="t"/>
              <v:textbox style="mso-fit-shape-to-text:t">
                <w:txbxContent>
                  <w:p w14:paraId="3F6EF9C2" w14:textId="77777777" w:rsidR="00D55F13" w:rsidRPr="00394D50" w:rsidRDefault="00D55F13" w:rsidP="005C3F9C">
                    <w:pPr>
                      <w:jc w:val="center"/>
                      <w:rPr>
                        <w:rFonts w:cs="Arial"/>
                        <w:color w:val="C0C0C0"/>
                        <w:sz w:val="2"/>
                        <w:szCs w:val="2"/>
                        <w14:textFill>
                          <w14:solidFill>
                            <w14:srgbClr w14:val="C0C0C0">
                              <w14:alpha w14:val="50000"/>
                            </w14:srgbClr>
                          </w14:solidFill>
                        </w14:textFill>
                      </w:rPr>
                    </w:pPr>
                    <w:r w:rsidRPr="00394D50">
                      <w:rPr>
                        <w:rFonts w:cs="Arial"/>
                        <w:color w:val="C0C0C0"/>
                        <w:sz w:val="2"/>
                        <w:szCs w:val="2"/>
                        <w14:textFill>
                          <w14:solidFill>
                            <w14:srgbClr w14:val="C0C0C0">
                              <w14:alpha w14:val="50000"/>
                            </w14:srgbClr>
                          </w14:solidFill>
                        </w14:textFill>
                      </w:rPr>
                      <w:t>BORRADOR</w:t>
                    </w:r>
                  </w:p>
                </w:txbxContent>
              </v:textbox>
              <w10:wrap anchorx="margin" anchory="margin"/>
            </v:shape>
          </w:pict>
        </mc:Fallback>
      </mc:AlternateContent>
    </w:r>
    <w:r w:rsidRPr="00E947ED">
      <w:rPr>
        <w:noProof/>
        <w:lang w:eastAsia="es-CO"/>
      </w:rPr>
      <mc:AlternateContent>
        <mc:Choice Requires="wpg">
          <w:drawing>
            <wp:anchor distT="0" distB="0" distL="114300" distR="114300" simplePos="0" relativeHeight="251651072" behindDoc="0" locked="0" layoutInCell="1" allowOverlap="1" wp14:anchorId="5E4C0417" wp14:editId="2545C4FE">
              <wp:simplePos x="0" y="0"/>
              <wp:positionH relativeFrom="column">
                <wp:posOffset>-3810</wp:posOffset>
              </wp:positionH>
              <wp:positionV relativeFrom="paragraph">
                <wp:posOffset>-567690</wp:posOffset>
              </wp:positionV>
              <wp:extent cx="1914525" cy="1381125"/>
              <wp:effectExtent l="0" t="0" r="9525" b="9525"/>
              <wp:wrapNone/>
              <wp:docPr id="18" name="Grupo 25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914525" cy="1381125"/>
                        <a:chOff x="0" y="0"/>
                        <a:chExt cx="2162175" cy="1656715"/>
                      </a:xfrm>
                    </wpg:grpSpPr>
                    <pic:pic xmlns:pic="http://schemas.openxmlformats.org/drawingml/2006/picture">
                      <pic:nvPicPr>
                        <pic:cNvPr id="22" name="0 Imagen"/>
                        <pic:cNvPicPr>
                          <a:picLocks noChangeAspect="1"/>
                        </pic:cNvPicPr>
                      </pic:nvPicPr>
                      <pic:blipFill rotWithShape="1">
                        <a:blip r:embed="rId1">
                          <a:extLst>
                            <a:ext uri="{28A0092B-C50C-407E-A947-70E740481C1C}">
                              <a14:useLocalDpi xmlns:a14="http://schemas.microsoft.com/office/drawing/2010/main" val="0"/>
                            </a:ext>
                          </a:extLst>
                        </a:blip>
                        <a:srcRect r="48100"/>
                        <a:stretch/>
                      </pic:blipFill>
                      <pic:spPr bwMode="auto">
                        <a:xfrm>
                          <a:off x="0" y="640080"/>
                          <a:ext cx="2162175" cy="1016635"/>
                        </a:xfrm>
                        <a:prstGeom prst="rect">
                          <a:avLst/>
                        </a:prstGeom>
                        <a:ln>
                          <a:noFill/>
                        </a:ln>
                      </pic:spPr>
                    </pic:pic>
                    <pic:pic xmlns:pic="http://schemas.openxmlformats.org/drawingml/2006/picture">
                      <pic:nvPicPr>
                        <pic:cNvPr id="776357504" name="0 Imagen"/>
                        <pic:cNvPicPr/>
                      </pic:nvPicPr>
                      <pic:blipFill rotWithShape="1">
                        <a:blip r:embed="rId2">
                          <a:extLst>
                            <a:ext uri="{28A0092B-C50C-407E-A947-70E740481C1C}">
                              <a14:useLocalDpi xmlns:a14="http://schemas.microsoft.com/office/drawing/2010/main" val="0"/>
                            </a:ext>
                          </a:extLst>
                        </a:blip>
                        <a:srcRect l="47317"/>
                        <a:stretch/>
                      </pic:blipFill>
                      <pic:spPr bwMode="auto">
                        <a:xfrm>
                          <a:off x="198120" y="0"/>
                          <a:ext cx="1740535" cy="888365"/>
                        </a:xfrm>
                        <a:prstGeom prst="rect">
                          <a:avLst/>
                        </a:prstGeom>
                        <a:ln>
                          <a:noFill/>
                        </a:ln>
                      </pic:spPr>
                    </pic:pic>
                  </wpg:wgp>
                </a:graphicData>
              </a:graphic>
              <wp14:sizeRelH relativeFrom="margin">
                <wp14:pctWidth>0</wp14:pctWidth>
              </wp14:sizeRelH>
              <wp14:sizeRelV relativeFrom="margin">
                <wp14:pctHeight>0</wp14:pctHeight>
              </wp14:sizeRelV>
            </wp:anchor>
          </w:drawing>
        </mc:Choice>
        <mc:Fallback>
          <w:pict>
            <v:group w14:anchorId="78463420" id="Grupo 2512" o:spid="_x0000_s1026" style="position:absolute;margin-left:-.3pt;margin-top:-44.7pt;width:150.75pt;height:108.75pt;z-index:251651072;mso-width-relative:margin;mso-height-relative:margin" coordsize="21621,165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0 Imagen" o:spid="_x0000_s1027" type="#_x0000_t75" style="position:absolute;top:6400;width:21621;height:101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">
                <v:imagedata r:id="rId3" o:title="" cropright="31523f"/>
              </v:shape>
              <v:shape id="0 Imagen" o:spid="_x0000_s1028" type="#_x0000_t75" style="position:absolute;left:1981;width:17405;height:88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">
                <v:imagedata r:id="rId4" o:title="" cropleft="31010f"/>
              </v:shape>
            </v:group>
          </w:pict>
        </mc:Fallback>
      </mc:AlternateContent>
    </w:r>
    <w:r w:rsidRPr="00E947ED">
      <w:rPr>
        <w:noProof/>
        <w:lang w:eastAsia="es-CO"/>
      </w:rPr>
      <w:drawing>
        <wp:anchor distT="0" distB="0" distL="114300" distR="114300" simplePos="0" relativeHeight="251648000" behindDoc="1" locked="0" layoutInCell="1" allowOverlap="1" wp14:anchorId="00A30790" wp14:editId="0965D723">
          <wp:simplePos x="0" y="0"/>
          <wp:positionH relativeFrom="column">
            <wp:posOffset>4384675</wp:posOffset>
          </wp:positionH>
          <wp:positionV relativeFrom="paragraph">
            <wp:posOffset>-388620</wp:posOffset>
          </wp:positionV>
          <wp:extent cx="2209800" cy="942975"/>
          <wp:effectExtent l="0" t="0" r="0" b="9525"/>
          <wp:wrapNone/>
          <wp:docPr id="738006603" name="Imagen 738006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209800" cy="942975"/>
                  </a:xfrm>
                  <a:prstGeom prst="rect">
                    <a:avLst/>
                  </a:prstGeom>
                  <a:noFill/>
                </pic:spPr>
              </pic:pic>
            </a:graphicData>
          </a:graphic>
        </wp:anchor>
      </w:drawing>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BF4996" w14:textId="5527DF51" w:rsidR="00D55F13" w:rsidRPr="00394D50" w:rsidRDefault="00D55F13">
    <w:pPr>
      <w:pStyle w:val="Encabezado"/>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7B09C74" w14:textId="186EE568" w:rsidR="00D55F13" w:rsidRPr="00394D50" w:rsidRDefault="00AC4FDA">
    <w:pPr>
      <w:pStyle w:val="Encabezado"/>
    </w:pPr>
    <w:r>
      <w:rPr>
        <w:noProof/>
      </w:rPr>
      <w:drawing>
        <wp:anchor distT="0" distB="0" distL="114300" distR="114300" simplePos="0" relativeHeight="251711488" behindDoc="1" locked="0" layoutInCell="1" allowOverlap="1" wp14:anchorId="71638724" wp14:editId="6C51D681">
          <wp:simplePos x="0" y="0"/>
          <wp:positionH relativeFrom="column">
            <wp:posOffset>1663700</wp:posOffset>
          </wp:positionH>
          <wp:positionV relativeFrom="paragraph">
            <wp:posOffset>-180340</wp:posOffset>
          </wp:positionV>
          <wp:extent cx="2678400" cy="658800"/>
          <wp:effectExtent l="0" t="0" r="0" b="8255"/>
          <wp:wrapNone/>
          <wp:docPr id="510387751" name="Imagen 3" descr="Interfaz de usuario gráfic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5716824" name="Imagen 3" descr="Interfaz de usuario gráfica&#10;&#10;Descripción generada automáticamente con confianza media"/>
                  <pic:cNvPicPr/>
                </pic:nvPicPr>
                <pic:blipFill>
                  <a:blip r:embed="rId1">
                    <a:extLst>
                      <a:ext uri="{28A0092B-C50C-407E-A947-70E740481C1C}">
                        <a14:useLocalDpi xmlns:a14="http://schemas.microsoft.com/office/drawing/2010/main" val="0"/>
                      </a:ext>
                    </a:extLst>
                  </a:blip>
                  <a:stretch>
                    <a:fillRect/>
                  </a:stretch>
                </pic:blipFill>
                <pic:spPr>
                  <a:xfrm>
                    <a:off x="0" y="0"/>
                    <a:ext cx="2678400" cy="6588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CDCEABB" w14:textId="27C1E982" w:rsidR="00D55F13" w:rsidRPr="00394D50" w:rsidRDefault="00D55F13">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E6ADB7E" w14:textId="1D783625" w:rsidR="00D55F13" w:rsidRPr="00394D50" w:rsidRDefault="00D55F13" w:rsidP="00F81F10">
    <w:pPr>
      <w:pStyle w:val="Encabezado"/>
    </w:pPr>
    <w:r w:rsidRPr="00E947ED">
      <w:rPr>
        <w:noProof/>
        <w:lang w:eastAsia="es-CO"/>
      </w:rPr>
      <w:drawing>
        <wp:anchor distT="0" distB="0" distL="114300" distR="114300" simplePos="0" relativeHeight="251658252" behindDoc="0" locked="0" layoutInCell="1" allowOverlap="1" wp14:anchorId="47D6B660" wp14:editId="131F50E7">
          <wp:simplePos x="0" y="0"/>
          <wp:positionH relativeFrom="column">
            <wp:posOffset>-352425</wp:posOffset>
          </wp:positionH>
          <wp:positionV relativeFrom="page">
            <wp:posOffset>337820</wp:posOffset>
          </wp:positionV>
          <wp:extent cx="3610800" cy="705600"/>
          <wp:effectExtent l="0" t="0" r="8890" b="0"/>
          <wp:wrapNone/>
          <wp:docPr id="919298549" name="Imagen 919298549" descr="img08 img01 img02 img03 img05 img06 img07 img04 img09 img10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g08 img01 img02 img03 img05 img06 img07 img04 img09 img10 ..."/>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610800" cy="7056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947ED">
      <w:rPr>
        <w:noProof/>
        <w:lang w:eastAsia="es-CO"/>
      </w:rPr>
      <w:drawing>
        <wp:anchor distT="0" distB="0" distL="114300" distR="114300" simplePos="0" relativeHeight="251658250" behindDoc="1" locked="0" layoutInCell="1" allowOverlap="1" wp14:anchorId="336F6118" wp14:editId="52ECB1E1">
          <wp:simplePos x="0" y="0"/>
          <wp:positionH relativeFrom="column">
            <wp:posOffset>3766820</wp:posOffset>
          </wp:positionH>
          <wp:positionV relativeFrom="paragraph">
            <wp:posOffset>-524510</wp:posOffset>
          </wp:positionV>
          <wp:extent cx="2209800" cy="942975"/>
          <wp:effectExtent l="0" t="0" r="0" b="9525"/>
          <wp:wrapNone/>
          <wp:docPr id="1352466744" name="Imagen 1352466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209800" cy="942975"/>
                  </a:xfrm>
                  <a:prstGeom prst="rect">
                    <a:avLst/>
                  </a:prstGeom>
                  <a:noFill/>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19CE095" w14:textId="775BAEA8" w:rsidR="00D55F13" w:rsidRPr="00394D50" w:rsidRDefault="006F2DE1" w:rsidP="00F86F8C">
    <w:pPr>
      <w:pStyle w:val="Encabezado"/>
      <w:tabs>
        <w:tab w:val="clear" w:pos="4252"/>
        <w:tab w:val="clear" w:pos="8504"/>
        <w:tab w:val="left" w:pos="6495"/>
      </w:tabs>
    </w:pPr>
    <w:r>
      <w:rPr>
        <w:noProof/>
      </w:rPr>
      <w:drawing>
        <wp:anchor distT="0" distB="0" distL="114300" distR="114300" simplePos="0" relativeHeight="251701248" behindDoc="1" locked="0" layoutInCell="1" allowOverlap="1" wp14:anchorId="13485945" wp14:editId="19C44353">
          <wp:simplePos x="0" y="0"/>
          <wp:positionH relativeFrom="column">
            <wp:posOffset>1663700</wp:posOffset>
          </wp:positionH>
          <wp:positionV relativeFrom="paragraph">
            <wp:posOffset>-248285</wp:posOffset>
          </wp:positionV>
          <wp:extent cx="2678400" cy="658800"/>
          <wp:effectExtent l="0" t="0" r="0" b="8255"/>
          <wp:wrapNone/>
          <wp:docPr id="728459999" name="Imagen 3" descr="Interfaz de usuario gráfic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8459999" name="Imagen 3" descr="Interfaz de usuario gráfica&#10;&#10;Descripción generada automáticamente con confianza media"/>
                  <pic:cNvPicPr/>
                </pic:nvPicPr>
                <pic:blipFill>
                  <a:blip r:embed="rId1">
                    <a:extLst>
                      <a:ext uri="{28A0092B-C50C-407E-A947-70E740481C1C}">
                        <a14:useLocalDpi xmlns:a14="http://schemas.microsoft.com/office/drawing/2010/main" val="0"/>
                      </a:ext>
                    </a:extLst>
                  </a:blip>
                  <a:stretch>
                    <a:fillRect/>
                  </a:stretch>
                </pic:blipFill>
                <pic:spPr>
                  <a:xfrm>
                    <a:off x="0" y="0"/>
                    <a:ext cx="2678400" cy="658800"/>
                  </a:xfrm>
                  <a:prstGeom prst="rect">
                    <a:avLst/>
                  </a:prstGeom>
                </pic:spPr>
              </pic:pic>
            </a:graphicData>
          </a:graphic>
          <wp14:sizeRelH relativeFrom="margin">
            <wp14:pctWidth>0</wp14:pctWidth>
          </wp14:sizeRelH>
          <wp14:sizeRelV relativeFrom="margin">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B4EA78B" w14:textId="445AAB73" w:rsidR="00D55F13" w:rsidRPr="00394D50" w:rsidRDefault="00D55F13">
    <w:pPr>
      <w:pStyle w:val="Encabezado"/>
    </w:pPr>
    <w:r w:rsidRPr="00E947ED">
      <w:rPr>
        <w:noProof/>
        <w:lang w:eastAsia="es-CO"/>
      </w:rPr>
      <mc:AlternateContent>
        <mc:Choice Requires="wps">
          <w:drawing>
            <wp:anchor distT="0" distB="0" distL="114300" distR="114300" simplePos="0" relativeHeight="251658256" behindDoc="1" locked="0" layoutInCell="0" allowOverlap="1" wp14:anchorId="5C29ADF4" wp14:editId="73397990">
              <wp:simplePos x="0" y="0"/>
              <wp:positionH relativeFrom="margin">
                <wp:align>center</wp:align>
              </wp:positionH>
              <wp:positionV relativeFrom="margin">
                <wp:align>center</wp:align>
              </wp:positionV>
              <wp:extent cx="7018020" cy="1403350"/>
              <wp:effectExtent l="0" t="2047875" r="0" b="2006600"/>
              <wp:wrapNone/>
              <wp:docPr id="2784" name="WordArt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7018020" cy="140335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0DBA9A03" w14:textId="77777777" w:rsidR="00D55F13" w:rsidRPr="00394D50" w:rsidRDefault="00D55F13" w:rsidP="005C3F9C">
                          <w:pPr>
                            <w:jc w:val="center"/>
                            <w:rPr>
                              <w:rFonts w:cs="Arial"/>
                              <w:color w:val="C0C0C0"/>
                              <w:sz w:val="2"/>
                              <w:szCs w:val="2"/>
                              <w14:textFill>
                                <w14:solidFill>
                                  <w14:srgbClr w14:val="C0C0C0">
                                    <w14:alpha w14:val="50000"/>
                                  </w14:srgbClr>
                                </w14:solidFill>
                              </w14:textFill>
                            </w:rPr>
                          </w:pPr>
                          <w:r w:rsidRPr="00394D50">
                            <w:rPr>
                              <w:rFonts w:cs="Arial"/>
                              <w:color w:val="C0C0C0"/>
                              <w:sz w:val="2"/>
                              <w:szCs w:val="2"/>
                              <w14:textFill>
                                <w14:solidFill>
                                  <w14:srgbClr w14:val="C0C0C0">
                                    <w14:alpha w14:val="50000"/>
                                  </w14:srgbClr>
                                </w14:solidFill>
                              </w14:textFill>
                            </w:rPr>
                            <w:t>BORRADOR</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5C29ADF4" id="_x0000_t202" coordsize="21600,21600" o:spt="202" path="m,l,21600r21600,l21600,xe">
              <v:stroke joinstyle="miter"/>
              <v:path gradientshapeok="t" o:connecttype="rect"/>
            </v:shapetype>
            <v:shape id="WordArt 14" o:spid="_x0000_s1361" type="#_x0000_t202" style="position:absolute;left:0;text-align:left;margin-left:0;margin-top:0;width:552.6pt;height:110.5pt;rotation:-45;z-index:-251658224;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" o:allowincell="f" filled="f" stroked="f">
              <v:stroke joinstyle="round"/>
              <o:lock v:ext="edit" shapetype="t"/>
              <v:textbox style="mso-fit-shape-to-text:t">
                <w:txbxContent>
                  <w:p w14:paraId="0DBA9A03" w14:textId="77777777" w:rsidR="00D55F13" w:rsidRPr="00394D50" w:rsidRDefault="00D55F13" w:rsidP="005C3F9C">
                    <w:pPr>
                      <w:jc w:val="center"/>
                      <w:rPr>
                        <w:rFonts w:cs="Arial"/>
                        <w:color w:val="C0C0C0"/>
                        <w:sz w:val="2"/>
                        <w:szCs w:val="2"/>
                        <w14:textFill>
                          <w14:solidFill>
                            <w14:srgbClr w14:val="C0C0C0">
                              <w14:alpha w14:val="50000"/>
                            </w14:srgbClr>
                          </w14:solidFill>
                        </w14:textFill>
                      </w:rPr>
                    </w:pPr>
                    <w:r w:rsidRPr="00394D50">
                      <w:rPr>
                        <w:rFonts w:cs="Arial"/>
                        <w:color w:val="C0C0C0"/>
                        <w:sz w:val="2"/>
                        <w:szCs w:val="2"/>
                        <w14:textFill>
                          <w14:solidFill>
                            <w14:srgbClr w14:val="C0C0C0">
                              <w14:alpha w14:val="50000"/>
                            </w14:srgbClr>
                          </w14:solidFill>
                        </w14:textFill>
                      </w:rPr>
                      <w:t>BORRADOR</w:t>
                    </w:r>
                  </w:p>
                </w:txbxContent>
              </v:textbox>
              <w10:wrap anchorx="margin" anchory="margin"/>
            </v:shape>
          </w:pict>
        </mc:Fallback>
      </mc:AlternateContent>
    </w:r>
  </w:p>
  <w:p w14:paraId="12D10D37" w14:textId="77777777" w:rsidR="00DF60B5" w:rsidRPr="00394D50" w:rsidRDefault="00DF60B5"/>
  <w:p w14:paraId="374EA8A2" w14:textId="77777777" w:rsidR="00DF60B5" w:rsidRPr="00394D50" w:rsidRDefault="00DF60B5"/>
  <w:p w14:paraId="757911A7" w14:textId="77777777" w:rsidR="00DF60B5" w:rsidRPr="00394D50" w:rsidRDefault="00DF60B5"/>
  <w:p w14:paraId="18E847D7" w14:textId="77777777" w:rsidR="00DF60B5" w:rsidRPr="00394D50" w:rsidRDefault="00DF60B5"/>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052C1D" w14:textId="191E411A" w:rsidR="00D55F13" w:rsidRPr="00394D50" w:rsidRDefault="006F2DE1">
    <w:pPr>
      <w:pStyle w:val="Encabezado"/>
    </w:pPr>
    <w:r>
      <w:rPr>
        <w:noProof/>
      </w:rPr>
      <w:drawing>
        <wp:anchor distT="0" distB="0" distL="114300" distR="114300" simplePos="0" relativeHeight="251703296" behindDoc="1" locked="0" layoutInCell="1" allowOverlap="1" wp14:anchorId="38B451CC" wp14:editId="4DD23E05">
          <wp:simplePos x="0" y="0"/>
          <wp:positionH relativeFrom="column">
            <wp:posOffset>1663700</wp:posOffset>
          </wp:positionH>
          <wp:positionV relativeFrom="paragraph">
            <wp:posOffset>-180340</wp:posOffset>
          </wp:positionV>
          <wp:extent cx="2678400" cy="658800"/>
          <wp:effectExtent l="0" t="0" r="0" b="8255"/>
          <wp:wrapNone/>
          <wp:docPr id="636118599" name="Imagen 3" descr="Interfaz de usuario gráfic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118599" name="Imagen 3" descr="Interfaz de usuario gráfica&#10;&#10;Descripción generada automáticamente con confianza media"/>
                  <pic:cNvPicPr/>
                </pic:nvPicPr>
                <pic:blipFill>
                  <a:blip r:embed="rId1">
                    <a:extLst>
                      <a:ext uri="{28A0092B-C50C-407E-A947-70E740481C1C}">
                        <a14:useLocalDpi xmlns:a14="http://schemas.microsoft.com/office/drawing/2010/main" val="0"/>
                      </a:ext>
                    </a:extLst>
                  </a:blip>
                  <a:stretch>
                    <a:fillRect/>
                  </a:stretch>
                </pic:blipFill>
                <pic:spPr>
                  <a:xfrm>
                    <a:off x="0" y="0"/>
                    <a:ext cx="2678400" cy="658800"/>
                  </a:xfrm>
                  <a:prstGeom prst="rect">
                    <a:avLst/>
                  </a:prstGeom>
                </pic:spPr>
              </pic:pic>
            </a:graphicData>
          </a:graphic>
          <wp14:sizeRelH relativeFrom="margin">
            <wp14:pctWidth>0</wp14:pctWidth>
          </wp14:sizeRelH>
          <wp14:sizeRelV relativeFrom="margin">
            <wp14:pctHeight>0</wp14:pctHeight>
          </wp14:sizeRelV>
        </wp:anchor>
      </w:drawing>
    </w:r>
  </w:p>
  <w:p w14:paraId="50650C32" w14:textId="77777777" w:rsidR="00DF60B5" w:rsidRPr="00394D50" w:rsidRDefault="00DF60B5"/>
  <w:p w14:paraId="4A42D94B" w14:textId="77777777" w:rsidR="00DF60B5" w:rsidRPr="00394D50" w:rsidRDefault="00DF60B5"/>
  <w:p w14:paraId="57CF4734" w14:textId="77777777" w:rsidR="00DF60B5" w:rsidRPr="00394D50" w:rsidRDefault="00DF60B5"/>
  <w:p w14:paraId="77F24ED9" w14:textId="77777777" w:rsidR="00DF60B5" w:rsidRPr="00394D50" w:rsidRDefault="00DF60B5"/>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F40D6D6" w14:textId="2401B912" w:rsidR="00D55F13" w:rsidRPr="00394D50" w:rsidRDefault="00D55F13">
    <w:pPr>
      <w:pStyle w:val="Encabezado"/>
    </w:pPr>
    <w:r w:rsidRPr="00E947ED">
      <w:rPr>
        <w:noProof/>
        <w:lang w:eastAsia="es-CO"/>
      </w:rPr>
      <mc:AlternateContent>
        <mc:Choice Requires="wps">
          <w:drawing>
            <wp:anchor distT="0" distB="0" distL="114300" distR="114300" simplePos="0" relativeHeight="251658255" behindDoc="1" locked="0" layoutInCell="0" allowOverlap="1" wp14:anchorId="06E46FFD" wp14:editId="213AADB0">
              <wp:simplePos x="0" y="0"/>
              <wp:positionH relativeFrom="margin">
                <wp:align>center</wp:align>
              </wp:positionH>
              <wp:positionV relativeFrom="margin">
                <wp:align>center</wp:align>
              </wp:positionV>
              <wp:extent cx="7018020" cy="1403350"/>
              <wp:effectExtent l="0" t="2047875" r="0" b="2006600"/>
              <wp:wrapNone/>
              <wp:docPr id="8" name="WordArt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7018020" cy="140335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706B8DFD" w14:textId="77777777" w:rsidR="00D55F13" w:rsidRPr="00394D50" w:rsidRDefault="00D55F13" w:rsidP="005C3F9C">
                          <w:pPr>
                            <w:jc w:val="center"/>
                            <w:rPr>
                              <w:rFonts w:cs="Arial"/>
                              <w:color w:val="C0C0C0"/>
                              <w:sz w:val="2"/>
                              <w:szCs w:val="2"/>
                              <w14:textFill>
                                <w14:solidFill>
                                  <w14:srgbClr w14:val="C0C0C0">
                                    <w14:alpha w14:val="50000"/>
                                  </w14:srgbClr>
                                </w14:solidFill>
                              </w14:textFill>
                            </w:rPr>
                          </w:pPr>
                          <w:r w:rsidRPr="00394D50">
                            <w:rPr>
                              <w:rFonts w:cs="Arial"/>
                              <w:color w:val="C0C0C0"/>
                              <w:sz w:val="2"/>
                              <w:szCs w:val="2"/>
                              <w14:textFill>
                                <w14:solidFill>
                                  <w14:srgbClr w14:val="C0C0C0">
                                    <w14:alpha w14:val="50000"/>
                                  </w14:srgbClr>
                                </w14:solidFill>
                              </w14:textFill>
                            </w:rPr>
                            <w:t>BORRADOR</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06E46FFD" id="_x0000_t202" coordsize="21600,21600" o:spt="202" path="m,l,21600r21600,l21600,xe">
              <v:stroke joinstyle="miter"/>
              <v:path gradientshapeok="t" o:connecttype="rect"/>
            </v:shapetype>
            <v:shape id="WordArt 13" o:spid="_x0000_s1362" type="#_x0000_t202" style="position:absolute;left:0;text-align:left;margin-left:0;margin-top:0;width:552.6pt;height:110.5pt;rotation:-45;z-index:-251658225;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" o:allowincell="f" filled="f" stroked="f">
              <v:stroke joinstyle="round"/>
              <o:lock v:ext="edit" shapetype="t"/>
              <v:textbox style="mso-fit-shape-to-text:t">
                <w:txbxContent>
                  <w:p w14:paraId="706B8DFD" w14:textId="77777777" w:rsidR="00D55F13" w:rsidRPr="00394D50" w:rsidRDefault="00D55F13" w:rsidP="005C3F9C">
                    <w:pPr>
                      <w:jc w:val="center"/>
                      <w:rPr>
                        <w:rFonts w:cs="Arial"/>
                        <w:color w:val="C0C0C0"/>
                        <w:sz w:val="2"/>
                        <w:szCs w:val="2"/>
                        <w14:textFill>
                          <w14:solidFill>
                            <w14:srgbClr w14:val="C0C0C0">
                              <w14:alpha w14:val="50000"/>
                            </w14:srgbClr>
                          </w14:solidFill>
                        </w14:textFill>
                      </w:rPr>
                    </w:pPr>
                    <w:r w:rsidRPr="00394D50">
                      <w:rPr>
                        <w:rFonts w:cs="Arial"/>
                        <w:color w:val="C0C0C0"/>
                        <w:sz w:val="2"/>
                        <w:szCs w:val="2"/>
                        <w14:textFill>
                          <w14:solidFill>
                            <w14:srgbClr w14:val="C0C0C0">
                              <w14:alpha w14:val="50000"/>
                            </w14:srgbClr>
                          </w14:solidFill>
                        </w14:textFill>
                      </w:rPr>
                      <w:t>BORRADOR</w:t>
                    </w:r>
                  </w:p>
                </w:txbxContent>
              </v:textbox>
              <w10:wrap anchorx="margin" anchory="margin"/>
            </v:shape>
          </w:pict>
        </mc:Fallback>
      </mc:AlternateContent>
    </w:r>
    <w:r w:rsidRPr="00E947ED">
      <w:rPr>
        <w:noProof/>
        <w:lang w:eastAsia="es-CO"/>
      </w:rPr>
      <mc:AlternateContent>
        <mc:Choice Requires="wpg">
          <w:drawing>
            <wp:anchor distT="0" distB="0" distL="114300" distR="114300" simplePos="0" relativeHeight="251656192" behindDoc="0" locked="0" layoutInCell="1" allowOverlap="1" wp14:anchorId="718E33D1" wp14:editId="7766C6B1">
              <wp:simplePos x="0" y="0"/>
              <wp:positionH relativeFrom="column">
                <wp:posOffset>-3810</wp:posOffset>
              </wp:positionH>
              <wp:positionV relativeFrom="paragraph">
                <wp:posOffset>-567690</wp:posOffset>
              </wp:positionV>
              <wp:extent cx="1914525" cy="1381125"/>
              <wp:effectExtent l="0" t="0" r="9525" b="9525"/>
              <wp:wrapNone/>
              <wp:docPr id="9" name="Grupo 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914525" cy="1381125"/>
                        <a:chOff x="0" y="0"/>
                        <a:chExt cx="2162175" cy="1656715"/>
                      </a:xfrm>
                    </wpg:grpSpPr>
                    <pic:pic xmlns:pic="http://schemas.openxmlformats.org/drawingml/2006/picture">
                      <pic:nvPicPr>
                        <pic:cNvPr id="12" name="0 Imagen"/>
                        <pic:cNvPicPr>
                          <a:picLocks noChangeAspect="1"/>
                        </pic:cNvPicPr>
                      </pic:nvPicPr>
                      <pic:blipFill rotWithShape="1">
                        <a:blip r:embed="rId1">
                          <a:extLst>
                            <a:ext uri="{28A0092B-C50C-407E-A947-70E740481C1C}">
                              <a14:useLocalDpi xmlns:a14="http://schemas.microsoft.com/office/drawing/2010/main" val="0"/>
                            </a:ext>
                          </a:extLst>
                        </a:blip>
                        <a:srcRect r="48100"/>
                        <a:stretch/>
                      </pic:blipFill>
                      <pic:spPr bwMode="auto">
                        <a:xfrm>
                          <a:off x="0" y="640080"/>
                          <a:ext cx="2162175" cy="1016635"/>
                        </a:xfrm>
                        <a:prstGeom prst="rect">
                          <a:avLst/>
                        </a:prstGeom>
                        <a:ln>
                          <a:noFill/>
                        </a:ln>
                      </pic:spPr>
                    </pic:pic>
                    <pic:pic xmlns:pic="http://schemas.openxmlformats.org/drawingml/2006/picture">
                      <pic:nvPicPr>
                        <pic:cNvPr id="15" name="0 Imagen"/>
                        <pic:cNvPicPr/>
                      </pic:nvPicPr>
                      <pic:blipFill rotWithShape="1">
                        <a:blip r:embed="rId2">
                          <a:extLst>
                            <a:ext uri="{28A0092B-C50C-407E-A947-70E740481C1C}">
                              <a14:useLocalDpi xmlns:a14="http://schemas.microsoft.com/office/drawing/2010/main" val="0"/>
                            </a:ext>
                          </a:extLst>
                        </a:blip>
                        <a:srcRect l="47317"/>
                        <a:stretch/>
                      </pic:blipFill>
                      <pic:spPr bwMode="auto">
                        <a:xfrm>
                          <a:off x="198120" y="0"/>
                          <a:ext cx="1740535" cy="888365"/>
                        </a:xfrm>
                        <a:prstGeom prst="rect">
                          <a:avLst/>
                        </a:prstGeom>
                        <a:ln>
                          <a:noFill/>
                        </a:ln>
                      </pic:spPr>
                    </pic:pic>
                  </wpg:wgp>
                </a:graphicData>
              </a:graphic>
              <wp14:sizeRelH relativeFrom="margin">
                <wp14:pctWidth>0</wp14:pctWidth>
              </wp14:sizeRelH>
              <wp14:sizeRelV relativeFrom="margin">
                <wp14:pctHeight>0</wp14:pctHeight>
              </wp14:sizeRelV>
            </wp:anchor>
          </w:drawing>
        </mc:Choice>
        <mc:Fallback>
          <w:pict>
            <v:group w14:anchorId="2BE2E921" id="Grupo 32" o:spid="_x0000_s1026" style="position:absolute;margin-left:-.3pt;margin-top:-44.7pt;width:150.75pt;height:108.75pt;z-index:251656192;mso-width-relative:margin;mso-height-relative:margin" coordsize="21621,165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0 Imagen" o:spid="_x0000_s1027" type="#_x0000_t75" style="position:absolute;top:6400;width:21621;height:101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">
                <v:imagedata r:id="rId3" o:title="" cropright="31523f"/>
              </v:shape>
              <v:shape id="0 Imagen" o:spid="_x0000_s1028" type="#_x0000_t75" style="position:absolute;left:1981;width:17405;height:88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">
                <v:imagedata r:id="rId4" o:title="" cropleft="31010f"/>
              </v:shape>
            </v:group>
          </w:pict>
        </mc:Fallback>
      </mc:AlternateContent>
    </w:r>
    <w:r w:rsidRPr="00E947ED">
      <w:rPr>
        <w:noProof/>
        <w:lang w:eastAsia="es-CO"/>
      </w:rPr>
      <w:drawing>
        <wp:anchor distT="0" distB="0" distL="114300" distR="114300" simplePos="0" relativeHeight="251654144" behindDoc="1" locked="0" layoutInCell="1" allowOverlap="1" wp14:anchorId="3CE1788D" wp14:editId="30DA83A1">
          <wp:simplePos x="0" y="0"/>
          <wp:positionH relativeFrom="column">
            <wp:posOffset>4384675</wp:posOffset>
          </wp:positionH>
          <wp:positionV relativeFrom="paragraph">
            <wp:posOffset>-388620</wp:posOffset>
          </wp:positionV>
          <wp:extent cx="2209800" cy="942975"/>
          <wp:effectExtent l="0" t="0" r="0" b="9525"/>
          <wp:wrapNone/>
          <wp:docPr id="202546266" name="Imagen 202546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209800" cy="942975"/>
                  </a:xfrm>
                  <a:prstGeom prst="rect">
                    <a:avLst/>
                  </a:prstGeom>
                  <a:noFill/>
                </pic:spPr>
              </pic:pic>
            </a:graphicData>
          </a:graphic>
        </wp:anchor>
      </w:drawing>
    </w:r>
  </w:p>
  <w:p w14:paraId="16BD01FB" w14:textId="77777777" w:rsidR="00DF60B5" w:rsidRPr="00394D50" w:rsidRDefault="00DF60B5"/>
  <w:p w14:paraId="39A04DE3" w14:textId="77777777" w:rsidR="00DF60B5" w:rsidRPr="00394D50" w:rsidRDefault="00DF60B5"/>
  <w:p w14:paraId="31AFFC1F" w14:textId="77777777" w:rsidR="00DF60B5" w:rsidRPr="00394D50" w:rsidRDefault="00DF60B5"/>
  <w:p w14:paraId="4440CE8E" w14:textId="77777777" w:rsidR="00DF60B5" w:rsidRPr="00394D50" w:rsidRDefault="00DF60B5"/>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E4976D9" w14:textId="516BDE63" w:rsidR="0005570C" w:rsidRPr="00394D50" w:rsidRDefault="00CD7A4F">
    <w:pPr>
      <w:pStyle w:val="Encabezado"/>
    </w:pPr>
    <w:r>
      <w:rPr>
        <w:noProof/>
      </w:rPr>
      <w:drawing>
        <wp:anchor distT="0" distB="0" distL="114300" distR="114300" simplePos="0" relativeHeight="251705344" behindDoc="1" locked="0" layoutInCell="1" allowOverlap="1" wp14:anchorId="323F64B7" wp14:editId="0E8E2700">
          <wp:simplePos x="0" y="0"/>
          <wp:positionH relativeFrom="margin">
            <wp:posOffset>3103245</wp:posOffset>
          </wp:positionH>
          <wp:positionV relativeFrom="paragraph">
            <wp:posOffset>-467360</wp:posOffset>
          </wp:positionV>
          <wp:extent cx="2679700" cy="659197"/>
          <wp:effectExtent l="0" t="0" r="0" b="7620"/>
          <wp:wrapNone/>
          <wp:docPr id="1895716824" name="Imagen 3" descr="Interfaz de usuario gráfic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5716824" name="Imagen 3" descr="Interfaz de usuario gráfica&#10;&#10;Descripción generada automáticamente con confianza media"/>
                  <pic:cNvPicPr/>
                </pic:nvPicPr>
                <pic:blipFill>
                  <a:blip r:embed="rId1">
                    <a:extLst>
                      <a:ext uri="{28A0092B-C50C-407E-A947-70E740481C1C}">
                        <a14:useLocalDpi xmlns:a14="http://schemas.microsoft.com/office/drawing/2010/main" val="0"/>
                      </a:ext>
                    </a:extLst>
                  </a:blip>
                  <a:stretch>
                    <a:fillRect/>
                  </a:stretch>
                </pic:blipFill>
                <pic:spPr>
                  <a:xfrm>
                    <a:off x="0" y="0"/>
                    <a:ext cx="2679700" cy="659197"/>
                  </a:xfrm>
                  <a:prstGeom prst="rect">
                    <a:avLst/>
                  </a:prstGeom>
                </pic:spPr>
              </pic:pic>
            </a:graphicData>
          </a:graphic>
          <wp14:sizeRelH relativeFrom="margin">
            <wp14:pctWidth>0</wp14:pctWidth>
          </wp14:sizeRelH>
          <wp14:sizeRelV relativeFrom="margin">
            <wp14:pctHeight>0</wp14:pctHeight>
          </wp14:sizeRelV>
        </wp:anchor>
      </w:drawing>
    </w:r>
  </w:p>
  <w:p w14:paraId="40BB9FA5" w14:textId="77777777" w:rsidR="0005570C" w:rsidRPr="00394D50" w:rsidRDefault="0005570C"/>
  <w:p w14:paraId="740A62B5" w14:textId="77777777" w:rsidR="0005570C" w:rsidRPr="00394D50" w:rsidRDefault="0005570C"/>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847C9A9" w14:textId="77777777" w:rsidR="0049045D" w:rsidRPr="00394D50" w:rsidRDefault="0049045D">
    <w:pPr>
      <w:pStyle w:val="Encabezado"/>
    </w:pPr>
    <w:r>
      <w:rPr>
        <w:noProof/>
      </w:rPr>
      <w:drawing>
        <wp:anchor distT="0" distB="0" distL="114300" distR="114300" simplePos="0" relativeHeight="251707392" behindDoc="1" locked="0" layoutInCell="1" allowOverlap="1" wp14:anchorId="183F88D4" wp14:editId="57386B2D">
          <wp:simplePos x="0" y="0"/>
          <wp:positionH relativeFrom="column">
            <wp:posOffset>1663700</wp:posOffset>
          </wp:positionH>
          <wp:positionV relativeFrom="paragraph">
            <wp:posOffset>-180340</wp:posOffset>
          </wp:positionV>
          <wp:extent cx="2678400" cy="658800"/>
          <wp:effectExtent l="0" t="0" r="0" b="8255"/>
          <wp:wrapNone/>
          <wp:docPr id="77844456" name="Imagen 3" descr="Interfaz de usuario gráfic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5716824" name="Imagen 3" descr="Interfaz de usuario gráfica&#10;&#10;Descripción generada automáticamente con confianza media"/>
                  <pic:cNvPicPr/>
                </pic:nvPicPr>
                <pic:blipFill>
                  <a:blip r:embed="rId1">
                    <a:extLst>
                      <a:ext uri="{28A0092B-C50C-407E-A947-70E740481C1C}">
                        <a14:useLocalDpi xmlns:a14="http://schemas.microsoft.com/office/drawing/2010/main" val="0"/>
                      </a:ext>
                    </a:extLst>
                  </a:blip>
                  <a:stretch>
                    <a:fillRect/>
                  </a:stretch>
                </pic:blipFill>
                <pic:spPr>
                  <a:xfrm>
                    <a:off x="0" y="0"/>
                    <a:ext cx="2678400" cy="658800"/>
                  </a:xfrm>
                  <a:prstGeom prst="rect">
                    <a:avLst/>
                  </a:prstGeom>
                </pic:spPr>
              </pic:pic>
            </a:graphicData>
          </a:graphic>
          <wp14:sizeRelH relativeFrom="margin">
            <wp14:pctWidth>0</wp14:pctWidth>
          </wp14:sizeRelH>
          <wp14:sizeRelV relativeFrom="margin">
            <wp14:pctHeight>0</wp14:pctHeight>
          </wp14:sizeRelV>
        </wp:anchor>
      </w:drawing>
    </w:r>
  </w:p>
  <w:p w14:paraId="65103049" w14:textId="77777777" w:rsidR="0049045D" w:rsidRPr="00394D50" w:rsidRDefault="0049045D"/>
  <w:p w14:paraId="39193CD5" w14:textId="77777777" w:rsidR="0049045D" w:rsidRPr="00394D50" w:rsidRDefault="0049045D"/>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920DFF9" w14:textId="01A7D13F" w:rsidR="00D55F13" w:rsidRPr="00394D50" w:rsidRDefault="00D55F13">
    <w:pPr>
      <w:pStyle w:val="Encabezado"/>
    </w:pPr>
    <w:r w:rsidRPr="00E947ED">
      <w:rPr>
        <w:noProof/>
        <w:lang w:eastAsia="es-CO"/>
      </w:rPr>
      <mc:AlternateContent>
        <mc:Choice Requires="wps">
          <w:drawing>
            <wp:anchor distT="0" distB="0" distL="114300" distR="114300" simplePos="0" relativeHeight="251658258" behindDoc="1" locked="0" layoutInCell="0" allowOverlap="1" wp14:anchorId="04A8EB38" wp14:editId="2A726560">
              <wp:simplePos x="0" y="0"/>
              <wp:positionH relativeFrom="margin">
                <wp:align>center</wp:align>
              </wp:positionH>
              <wp:positionV relativeFrom="margin">
                <wp:align>center</wp:align>
              </wp:positionV>
              <wp:extent cx="7018020" cy="1403350"/>
              <wp:effectExtent l="0" t="2047875" r="0" b="2006600"/>
              <wp:wrapNone/>
              <wp:docPr id="3" name="WordArt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7018020" cy="140335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401350B1" w14:textId="77777777" w:rsidR="00D55F13" w:rsidRPr="00394D50" w:rsidRDefault="00D55F13" w:rsidP="005C3F9C">
                          <w:pPr>
                            <w:jc w:val="center"/>
                            <w:rPr>
                              <w:rFonts w:cs="Arial"/>
                              <w:color w:val="C0C0C0"/>
                              <w:sz w:val="2"/>
                              <w:szCs w:val="2"/>
                              <w14:textFill>
                                <w14:solidFill>
                                  <w14:srgbClr w14:val="C0C0C0">
                                    <w14:alpha w14:val="50000"/>
                                  </w14:srgbClr>
                                </w14:solidFill>
                              </w14:textFill>
                            </w:rPr>
                          </w:pPr>
                          <w:r w:rsidRPr="00394D50">
                            <w:rPr>
                              <w:rFonts w:cs="Arial"/>
                              <w:color w:val="C0C0C0"/>
                              <w:sz w:val="2"/>
                              <w:szCs w:val="2"/>
                              <w14:textFill>
                                <w14:solidFill>
                                  <w14:srgbClr w14:val="C0C0C0">
                                    <w14:alpha w14:val="50000"/>
                                  </w14:srgbClr>
                                </w14:solidFill>
                              </w14:textFill>
                            </w:rPr>
                            <w:t>BORRADOR</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04A8EB38" id="_x0000_t202" coordsize="21600,21600" o:spt="202" path="m,l,21600r21600,l21600,xe">
              <v:stroke joinstyle="miter"/>
              <v:path gradientshapeok="t" o:connecttype="rect"/>
            </v:shapetype>
            <v:shape id="WordArt 17" o:spid="_x0000_s1363" type="#_x0000_t202" style="position:absolute;left:0;text-align:left;margin-left:0;margin-top:0;width:552.6pt;height:110.5pt;rotation:-45;z-index:-251658222;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" o:allowincell="f" filled="f" stroked="f">
              <v:stroke joinstyle="round"/>
              <o:lock v:ext="edit" shapetype="t"/>
              <v:textbox style="mso-fit-shape-to-text:t">
                <w:txbxContent>
                  <w:p w14:paraId="401350B1" w14:textId="77777777" w:rsidR="00D55F13" w:rsidRPr="00394D50" w:rsidRDefault="00D55F13" w:rsidP="005C3F9C">
                    <w:pPr>
                      <w:jc w:val="center"/>
                      <w:rPr>
                        <w:rFonts w:cs="Arial"/>
                        <w:color w:val="C0C0C0"/>
                        <w:sz w:val="2"/>
                        <w:szCs w:val="2"/>
                        <w14:textFill>
                          <w14:solidFill>
                            <w14:srgbClr w14:val="C0C0C0">
                              <w14:alpha w14:val="50000"/>
                            </w14:srgbClr>
                          </w14:solidFill>
                        </w14:textFill>
                      </w:rPr>
                    </w:pPr>
                    <w:r w:rsidRPr="00394D50">
                      <w:rPr>
                        <w:rFonts w:cs="Arial"/>
                        <w:color w:val="C0C0C0"/>
                        <w:sz w:val="2"/>
                        <w:szCs w:val="2"/>
                        <w14:textFill>
                          <w14:solidFill>
                            <w14:srgbClr w14:val="C0C0C0">
                              <w14:alpha w14:val="50000"/>
                            </w14:srgbClr>
                          </w14:solidFill>
                        </w14:textFill>
                      </w:rPr>
                      <w:t>BORRADOR</w:t>
                    </w:r>
                  </w:p>
                </w:txbxContent>
              </v:textbox>
              <w10:wrap anchorx="margin" anchory="margin"/>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0EFAFC2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160A44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94485E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8CBEF32C"/>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D3E067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AF0BB9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3"/>
    <w:multiLevelType w:val="singleLevel"/>
    <w:tmpl w:val="369C5216"/>
    <w:lvl w:ilvl="0">
      <w:start w:val="1"/>
      <w:numFmt w:val="bullet"/>
      <w:lvlText w:val=""/>
      <w:lvlJc w:val="left"/>
      <w:pPr>
        <w:tabs>
          <w:tab w:val="num" w:pos="643"/>
        </w:tabs>
        <w:ind w:left="643" w:hanging="360"/>
      </w:pPr>
      <w:rPr>
        <w:rFonts w:ascii="Symbol" w:hAnsi="Symbol" w:hint="default"/>
      </w:rPr>
    </w:lvl>
  </w:abstractNum>
  <w:abstractNum w:abstractNumId="7" w15:restartNumberingAfterBreak="0">
    <w:nsid w:val="FFFFFF88"/>
    <w:multiLevelType w:val="singleLevel"/>
    <w:tmpl w:val="E4C62226"/>
    <w:lvl w:ilvl="0">
      <w:start w:val="1"/>
      <w:numFmt w:val="decimal"/>
      <w:lvlText w:val="%1."/>
      <w:lvlJc w:val="left"/>
      <w:pPr>
        <w:tabs>
          <w:tab w:val="num" w:pos="360"/>
        </w:tabs>
        <w:ind w:left="360" w:hanging="360"/>
      </w:pPr>
    </w:lvl>
  </w:abstractNum>
  <w:abstractNum w:abstractNumId="8" w15:restartNumberingAfterBreak="0">
    <w:nsid w:val="FFFFFF89"/>
    <w:multiLevelType w:val="singleLevel"/>
    <w:tmpl w:val="281053F2"/>
    <w:lvl w:ilvl="0">
      <w:start w:val="1"/>
      <w:numFmt w:val="bullet"/>
      <w:pStyle w:val="Listaconvietas"/>
      <w:lvlText w:val=""/>
      <w:lvlJc w:val="left"/>
      <w:pPr>
        <w:tabs>
          <w:tab w:val="num" w:pos="360"/>
        </w:tabs>
        <w:ind w:left="360" w:hanging="360"/>
      </w:pPr>
      <w:rPr>
        <w:rFonts w:ascii="Symbol" w:hAnsi="Symbol" w:hint="default"/>
      </w:rPr>
    </w:lvl>
  </w:abstractNum>
  <w:abstractNum w:abstractNumId="9" w15:restartNumberingAfterBreak="0">
    <w:nsid w:val="003D430C"/>
    <w:multiLevelType w:val="hybridMultilevel"/>
    <w:tmpl w:val="A9A46C38"/>
    <w:lvl w:ilvl="0" w:tplc="240A0001">
      <w:start w:val="1"/>
      <w:numFmt w:val="bullet"/>
      <w:lvlText w:val=""/>
      <w:lvlJc w:val="left"/>
      <w:pPr>
        <w:ind w:left="720" w:hanging="360"/>
      </w:pPr>
      <w:rPr>
        <w:rFonts w:ascii="Symbol" w:hAnsi="Symbol" w:hint="default"/>
        <w:sz w:val="24"/>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007B206B"/>
    <w:multiLevelType w:val="hybridMultilevel"/>
    <w:tmpl w:val="41ACBBDC"/>
    <w:lvl w:ilvl="0" w:tplc="66400390">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0082365D"/>
    <w:multiLevelType w:val="multilevel"/>
    <w:tmpl w:val="BBB003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1122B9A"/>
    <w:multiLevelType w:val="hybridMultilevel"/>
    <w:tmpl w:val="54E078BC"/>
    <w:lvl w:ilvl="0" w:tplc="ED2899BC">
      <w:numFmt w:val="bullet"/>
      <w:lvlText w:val="-"/>
      <w:lvlJc w:val="left"/>
      <w:pPr>
        <w:ind w:left="343" w:hanging="360"/>
      </w:pPr>
      <w:rPr>
        <w:rFonts w:ascii="Arial" w:eastAsia="Times New Roman" w:hAnsi="Arial" w:cs="Arial" w:hint="default"/>
        <w:sz w:val="24"/>
      </w:rPr>
    </w:lvl>
    <w:lvl w:ilvl="1" w:tplc="240A0003" w:tentative="1">
      <w:start w:val="1"/>
      <w:numFmt w:val="bullet"/>
      <w:lvlText w:val="o"/>
      <w:lvlJc w:val="left"/>
      <w:pPr>
        <w:ind w:left="1063" w:hanging="360"/>
      </w:pPr>
      <w:rPr>
        <w:rFonts w:ascii="Courier New" w:hAnsi="Courier New" w:cs="Courier New" w:hint="default"/>
      </w:rPr>
    </w:lvl>
    <w:lvl w:ilvl="2" w:tplc="240A0005" w:tentative="1">
      <w:start w:val="1"/>
      <w:numFmt w:val="bullet"/>
      <w:lvlText w:val=""/>
      <w:lvlJc w:val="left"/>
      <w:pPr>
        <w:ind w:left="1783" w:hanging="360"/>
      </w:pPr>
      <w:rPr>
        <w:rFonts w:ascii="Wingdings" w:hAnsi="Wingdings" w:hint="default"/>
      </w:rPr>
    </w:lvl>
    <w:lvl w:ilvl="3" w:tplc="240A0001" w:tentative="1">
      <w:start w:val="1"/>
      <w:numFmt w:val="bullet"/>
      <w:lvlText w:val=""/>
      <w:lvlJc w:val="left"/>
      <w:pPr>
        <w:ind w:left="2503" w:hanging="360"/>
      </w:pPr>
      <w:rPr>
        <w:rFonts w:ascii="Symbol" w:hAnsi="Symbol" w:hint="default"/>
      </w:rPr>
    </w:lvl>
    <w:lvl w:ilvl="4" w:tplc="240A0003" w:tentative="1">
      <w:start w:val="1"/>
      <w:numFmt w:val="bullet"/>
      <w:lvlText w:val="o"/>
      <w:lvlJc w:val="left"/>
      <w:pPr>
        <w:ind w:left="3223" w:hanging="360"/>
      </w:pPr>
      <w:rPr>
        <w:rFonts w:ascii="Courier New" w:hAnsi="Courier New" w:cs="Courier New" w:hint="default"/>
      </w:rPr>
    </w:lvl>
    <w:lvl w:ilvl="5" w:tplc="240A0005" w:tentative="1">
      <w:start w:val="1"/>
      <w:numFmt w:val="bullet"/>
      <w:lvlText w:val=""/>
      <w:lvlJc w:val="left"/>
      <w:pPr>
        <w:ind w:left="3943" w:hanging="360"/>
      </w:pPr>
      <w:rPr>
        <w:rFonts w:ascii="Wingdings" w:hAnsi="Wingdings" w:hint="default"/>
      </w:rPr>
    </w:lvl>
    <w:lvl w:ilvl="6" w:tplc="240A0001" w:tentative="1">
      <w:start w:val="1"/>
      <w:numFmt w:val="bullet"/>
      <w:lvlText w:val=""/>
      <w:lvlJc w:val="left"/>
      <w:pPr>
        <w:ind w:left="4663" w:hanging="360"/>
      </w:pPr>
      <w:rPr>
        <w:rFonts w:ascii="Symbol" w:hAnsi="Symbol" w:hint="default"/>
      </w:rPr>
    </w:lvl>
    <w:lvl w:ilvl="7" w:tplc="240A0003" w:tentative="1">
      <w:start w:val="1"/>
      <w:numFmt w:val="bullet"/>
      <w:lvlText w:val="o"/>
      <w:lvlJc w:val="left"/>
      <w:pPr>
        <w:ind w:left="5383" w:hanging="360"/>
      </w:pPr>
      <w:rPr>
        <w:rFonts w:ascii="Courier New" w:hAnsi="Courier New" w:cs="Courier New" w:hint="default"/>
      </w:rPr>
    </w:lvl>
    <w:lvl w:ilvl="8" w:tplc="240A0005" w:tentative="1">
      <w:start w:val="1"/>
      <w:numFmt w:val="bullet"/>
      <w:lvlText w:val=""/>
      <w:lvlJc w:val="left"/>
      <w:pPr>
        <w:ind w:left="6103" w:hanging="360"/>
      </w:pPr>
      <w:rPr>
        <w:rFonts w:ascii="Wingdings" w:hAnsi="Wingdings" w:hint="default"/>
      </w:rPr>
    </w:lvl>
  </w:abstractNum>
  <w:abstractNum w:abstractNumId="13" w15:restartNumberingAfterBreak="0">
    <w:nsid w:val="0136122E"/>
    <w:multiLevelType w:val="hybridMultilevel"/>
    <w:tmpl w:val="7C82F778"/>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018D245C"/>
    <w:multiLevelType w:val="hybridMultilevel"/>
    <w:tmpl w:val="4A5069C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 w15:restartNumberingAfterBreak="0">
    <w:nsid w:val="02092FB7"/>
    <w:multiLevelType w:val="hybridMultilevel"/>
    <w:tmpl w:val="5B765922"/>
    <w:lvl w:ilvl="0" w:tplc="4DB80760">
      <w:start w:val="1"/>
      <w:numFmt w:val="bullet"/>
      <w:lvlText w:val="­"/>
      <w:lvlJc w:val="left"/>
      <w:pPr>
        <w:ind w:left="720" w:hanging="360"/>
      </w:pPr>
      <w:rPr>
        <w:rFonts w:ascii="Courier New" w:hAnsi="Courier New" w:cs="Times New Roman"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025B0CFC"/>
    <w:multiLevelType w:val="hybridMultilevel"/>
    <w:tmpl w:val="9F4EE876"/>
    <w:lvl w:ilvl="0" w:tplc="DC7877A6">
      <w:start w:val="1"/>
      <w:numFmt w:val="bullet"/>
      <w:lvlText w:val=""/>
      <w:lvlJc w:val="left"/>
      <w:pPr>
        <w:tabs>
          <w:tab w:val="num" w:pos="360"/>
        </w:tabs>
        <w:ind w:left="360" w:hanging="360"/>
      </w:pPr>
      <w:rPr>
        <w:rFonts w:ascii="Symbol" w:hAnsi="Symbol" w:hint="default"/>
        <w:color w:val="auto"/>
      </w:rPr>
    </w:lvl>
    <w:lvl w:ilvl="1" w:tplc="0C0A0003" w:tentative="1">
      <w:start w:val="1"/>
      <w:numFmt w:val="bullet"/>
      <w:lvlText w:val="o"/>
      <w:lvlJc w:val="left"/>
      <w:pPr>
        <w:tabs>
          <w:tab w:val="num" w:pos="1080"/>
        </w:tabs>
        <w:ind w:left="1080" w:hanging="360"/>
      </w:pPr>
      <w:rPr>
        <w:rFonts w:ascii="Courier New" w:hAnsi="Courier New" w:cs="Courier New" w:hint="default"/>
      </w:rPr>
    </w:lvl>
    <w:lvl w:ilvl="2" w:tplc="0C0A0005" w:tentative="1">
      <w:start w:val="1"/>
      <w:numFmt w:val="bullet"/>
      <w:lvlText w:val=""/>
      <w:lvlJc w:val="left"/>
      <w:pPr>
        <w:tabs>
          <w:tab w:val="num" w:pos="1800"/>
        </w:tabs>
        <w:ind w:left="1800" w:hanging="360"/>
      </w:pPr>
      <w:rPr>
        <w:rFonts w:ascii="Wingdings" w:hAnsi="Wingdings" w:hint="default"/>
      </w:rPr>
    </w:lvl>
    <w:lvl w:ilvl="3" w:tplc="0C0A0001" w:tentative="1">
      <w:start w:val="1"/>
      <w:numFmt w:val="bullet"/>
      <w:lvlText w:val=""/>
      <w:lvlJc w:val="left"/>
      <w:pPr>
        <w:tabs>
          <w:tab w:val="num" w:pos="2520"/>
        </w:tabs>
        <w:ind w:left="2520" w:hanging="360"/>
      </w:pPr>
      <w:rPr>
        <w:rFonts w:ascii="Symbol" w:hAnsi="Symbol" w:hint="default"/>
      </w:rPr>
    </w:lvl>
    <w:lvl w:ilvl="4" w:tplc="0C0A0003" w:tentative="1">
      <w:start w:val="1"/>
      <w:numFmt w:val="bullet"/>
      <w:lvlText w:val="o"/>
      <w:lvlJc w:val="left"/>
      <w:pPr>
        <w:tabs>
          <w:tab w:val="num" w:pos="3240"/>
        </w:tabs>
        <w:ind w:left="3240" w:hanging="360"/>
      </w:pPr>
      <w:rPr>
        <w:rFonts w:ascii="Courier New" w:hAnsi="Courier New" w:cs="Courier New" w:hint="default"/>
      </w:rPr>
    </w:lvl>
    <w:lvl w:ilvl="5" w:tplc="0C0A0005" w:tentative="1">
      <w:start w:val="1"/>
      <w:numFmt w:val="bullet"/>
      <w:lvlText w:val=""/>
      <w:lvlJc w:val="left"/>
      <w:pPr>
        <w:tabs>
          <w:tab w:val="num" w:pos="3960"/>
        </w:tabs>
        <w:ind w:left="3960" w:hanging="360"/>
      </w:pPr>
      <w:rPr>
        <w:rFonts w:ascii="Wingdings" w:hAnsi="Wingdings" w:hint="default"/>
      </w:rPr>
    </w:lvl>
    <w:lvl w:ilvl="6" w:tplc="0C0A0001" w:tentative="1">
      <w:start w:val="1"/>
      <w:numFmt w:val="bullet"/>
      <w:lvlText w:val=""/>
      <w:lvlJc w:val="left"/>
      <w:pPr>
        <w:tabs>
          <w:tab w:val="num" w:pos="4680"/>
        </w:tabs>
        <w:ind w:left="4680" w:hanging="360"/>
      </w:pPr>
      <w:rPr>
        <w:rFonts w:ascii="Symbol" w:hAnsi="Symbol" w:hint="default"/>
      </w:rPr>
    </w:lvl>
    <w:lvl w:ilvl="7" w:tplc="0C0A0003" w:tentative="1">
      <w:start w:val="1"/>
      <w:numFmt w:val="bullet"/>
      <w:lvlText w:val="o"/>
      <w:lvlJc w:val="left"/>
      <w:pPr>
        <w:tabs>
          <w:tab w:val="num" w:pos="5400"/>
        </w:tabs>
        <w:ind w:left="5400" w:hanging="360"/>
      </w:pPr>
      <w:rPr>
        <w:rFonts w:ascii="Courier New" w:hAnsi="Courier New" w:cs="Courier New" w:hint="default"/>
      </w:rPr>
    </w:lvl>
    <w:lvl w:ilvl="8" w:tplc="0C0A0005" w:tentative="1">
      <w:start w:val="1"/>
      <w:numFmt w:val="bullet"/>
      <w:lvlText w:val=""/>
      <w:lvlJc w:val="left"/>
      <w:pPr>
        <w:tabs>
          <w:tab w:val="num" w:pos="6120"/>
        </w:tabs>
        <w:ind w:left="6120" w:hanging="360"/>
      </w:pPr>
      <w:rPr>
        <w:rFonts w:ascii="Wingdings" w:hAnsi="Wingdings" w:hint="default"/>
      </w:rPr>
    </w:lvl>
  </w:abstractNum>
  <w:abstractNum w:abstractNumId="17" w15:restartNumberingAfterBreak="0">
    <w:nsid w:val="027F70A9"/>
    <w:multiLevelType w:val="hybridMultilevel"/>
    <w:tmpl w:val="A31AC3D8"/>
    <w:lvl w:ilvl="0" w:tplc="AB7080E6">
      <w:start w:val="1"/>
      <w:numFmt w:val="decimal"/>
      <w:lvlText w:val="%1."/>
      <w:lvlJc w:val="left"/>
      <w:pPr>
        <w:tabs>
          <w:tab w:val="num" w:pos="720"/>
        </w:tabs>
        <w:ind w:left="720" w:hanging="360"/>
      </w:pPr>
    </w:lvl>
    <w:lvl w:ilvl="1" w:tplc="A07668FA" w:tentative="1">
      <w:start w:val="1"/>
      <w:numFmt w:val="decimal"/>
      <w:lvlText w:val="%2."/>
      <w:lvlJc w:val="left"/>
      <w:pPr>
        <w:tabs>
          <w:tab w:val="num" w:pos="1440"/>
        </w:tabs>
        <w:ind w:left="1440" w:hanging="360"/>
      </w:pPr>
    </w:lvl>
    <w:lvl w:ilvl="2" w:tplc="AD74B45E" w:tentative="1">
      <w:start w:val="1"/>
      <w:numFmt w:val="decimal"/>
      <w:lvlText w:val="%3."/>
      <w:lvlJc w:val="left"/>
      <w:pPr>
        <w:tabs>
          <w:tab w:val="num" w:pos="2160"/>
        </w:tabs>
        <w:ind w:left="2160" w:hanging="360"/>
      </w:pPr>
    </w:lvl>
    <w:lvl w:ilvl="3" w:tplc="1DA0C4C8" w:tentative="1">
      <w:start w:val="1"/>
      <w:numFmt w:val="decimal"/>
      <w:lvlText w:val="%4."/>
      <w:lvlJc w:val="left"/>
      <w:pPr>
        <w:tabs>
          <w:tab w:val="num" w:pos="2880"/>
        </w:tabs>
        <w:ind w:left="2880" w:hanging="360"/>
      </w:pPr>
    </w:lvl>
    <w:lvl w:ilvl="4" w:tplc="9FA03FAC" w:tentative="1">
      <w:start w:val="1"/>
      <w:numFmt w:val="decimal"/>
      <w:lvlText w:val="%5."/>
      <w:lvlJc w:val="left"/>
      <w:pPr>
        <w:tabs>
          <w:tab w:val="num" w:pos="3600"/>
        </w:tabs>
        <w:ind w:left="3600" w:hanging="360"/>
      </w:pPr>
    </w:lvl>
    <w:lvl w:ilvl="5" w:tplc="1C16DF02" w:tentative="1">
      <w:start w:val="1"/>
      <w:numFmt w:val="decimal"/>
      <w:lvlText w:val="%6."/>
      <w:lvlJc w:val="left"/>
      <w:pPr>
        <w:tabs>
          <w:tab w:val="num" w:pos="4320"/>
        </w:tabs>
        <w:ind w:left="4320" w:hanging="360"/>
      </w:pPr>
    </w:lvl>
    <w:lvl w:ilvl="6" w:tplc="E800C6CC" w:tentative="1">
      <w:start w:val="1"/>
      <w:numFmt w:val="decimal"/>
      <w:lvlText w:val="%7."/>
      <w:lvlJc w:val="left"/>
      <w:pPr>
        <w:tabs>
          <w:tab w:val="num" w:pos="5040"/>
        </w:tabs>
        <w:ind w:left="5040" w:hanging="360"/>
      </w:pPr>
    </w:lvl>
    <w:lvl w:ilvl="7" w:tplc="3C26EAA8" w:tentative="1">
      <w:start w:val="1"/>
      <w:numFmt w:val="decimal"/>
      <w:lvlText w:val="%8."/>
      <w:lvlJc w:val="left"/>
      <w:pPr>
        <w:tabs>
          <w:tab w:val="num" w:pos="5760"/>
        </w:tabs>
        <w:ind w:left="5760" w:hanging="360"/>
      </w:pPr>
    </w:lvl>
    <w:lvl w:ilvl="8" w:tplc="AB846082" w:tentative="1">
      <w:start w:val="1"/>
      <w:numFmt w:val="decimal"/>
      <w:lvlText w:val="%9."/>
      <w:lvlJc w:val="left"/>
      <w:pPr>
        <w:tabs>
          <w:tab w:val="num" w:pos="6480"/>
        </w:tabs>
        <w:ind w:left="6480" w:hanging="360"/>
      </w:pPr>
    </w:lvl>
  </w:abstractNum>
  <w:abstractNum w:abstractNumId="18" w15:restartNumberingAfterBreak="0">
    <w:nsid w:val="02801E5B"/>
    <w:multiLevelType w:val="hybridMultilevel"/>
    <w:tmpl w:val="86A4DBB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28A1E0D"/>
    <w:multiLevelType w:val="hybridMultilevel"/>
    <w:tmpl w:val="0AAEEF46"/>
    <w:lvl w:ilvl="0" w:tplc="CA6E74E2">
      <w:start w:val="1"/>
      <w:numFmt w:val="decimal"/>
      <w:lvlText w:val="%1."/>
      <w:lvlJc w:val="left"/>
      <w:pPr>
        <w:ind w:left="1123" w:hanging="360"/>
      </w:pPr>
      <w:rPr>
        <w:rFonts w:hint="default"/>
        <w:color w:val="auto"/>
        <w:sz w:val="22"/>
      </w:rPr>
    </w:lvl>
    <w:lvl w:ilvl="1" w:tplc="240A0003" w:tentative="1">
      <w:start w:val="1"/>
      <w:numFmt w:val="bullet"/>
      <w:lvlText w:val="o"/>
      <w:lvlJc w:val="left"/>
      <w:pPr>
        <w:ind w:left="1843" w:hanging="360"/>
      </w:pPr>
      <w:rPr>
        <w:rFonts w:ascii="Courier New" w:hAnsi="Courier New" w:cs="Courier New" w:hint="default"/>
      </w:rPr>
    </w:lvl>
    <w:lvl w:ilvl="2" w:tplc="240A0005" w:tentative="1">
      <w:start w:val="1"/>
      <w:numFmt w:val="bullet"/>
      <w:lvlText w:val=""/>
      <w:lvlJc w:val="left"/>
      <w:pPr>
        <w:ind w:left="2563" w:hanging="360"/>
      </w:pPr>
      <w:rPr>
        <w:rFonts w:ascii="Wingdings" w:hAnsi="Wingdings" w:hint="default"/>
      </w:rPr>
    </w:lvl>
    <w:lvl w:ilvl="3" w:tplc="240A0001" w:tentative="1">
      <w:start w:val="1"/>
      <w:numFmt w:val="bullet"/>
      <w:lvlText w:val=""/>
      <w:lvlJc w:val="left"/>
      <w:pPr>
        <w:ind w:left="3283" w:hanging="360"/>
      </w:pPr>
      <w:rPr>
        <w:rFonts w:ascii="Symbol" w:hAnsi="Symbol" w:hint="default"/>
      </w:rPr>
    </w:lvl>
    <w:lvl w:ilvl="4" w:tplc="240A0003" w:tentative="1">
      <w:start w:val="1"/>
      <w:numFmt w:val="bullet"/>
      <w:lvlText w:val="o"/>
      <w:lvlJc w:val="left"/>
      <w:pPr>
        <w:ind w:left="4003" w:hanging="360"/>
      </w:pPr>
      <w:rPr>
        <w:rFonts w:ascii="Courier New" w:hAnsi="Courier New" w:cs="Courier New" w:hint="default"/>
      </w:rPr>
    </w:lvl>
    <w:lvl w:ilvl="5" w:tplc="240A0005" w:tentative="1">
      <w:start w:val="1"/>
      <w:numFmt w:val="bullet"/>
      <w:lvlText w:val=""/>
      <w:lvlJc w:val="left"/>
      <w:pPr>
        <w:ind w:left="4723" w:hanging="360"/>
      </w:pPr>
      <w:rPr>
        <w:rFonts w:ascii="Wingdings" w:hAnsi="Wingdings" w:hint="default"/>
      </w:rPr>
    </w:lvl>
    <w:lvl w:ilvl="6" w:tplc="240A0001" w:tentative="1">
      <w:start w:val="1"/>
      <w:numFmt w:val="bullet"/>
      <w:lvlText w:val=""/>
      <w:lvlJc w:val="left"/>
      <w:pPr>
        <w:ind w:left="5443" w:hanging="360"/>
      </w:pPr>
      <w:rPr>
        <w:rFonts w:ascii="Symbol" w:hAnsi="Symbol" w:hint="default"/>
      </w:rPr>
    </w:lvl>
    <w:lvl w:ilvl="7" w:tplc="240A0003" w:tentative="1">
      <w:start w:val="1"/>
      <w:numFmt w:val="bullet"/>
      <w:lvlText w:val="o"/>
      <w:lvlJc w:val="left"/>
      <w:pPr>
        <w:ind w:left="6163" w:hanging="360"/>
      </w:pPr>
      <w:rPr>
        <w:rFonts w:ascii="Courier New" w:hAnsi="Courier New" w:cs="Courier New" w:hint="default"/>
      </w:rPr>
    </w:lvl>
    <w:lvl w:ilvl="8" w:tplc="240A0005" w:tentative="1">
      <w:start w:val="1"/>
      <w:numFmt w:val="bullet"/>
      <w:lvlText w:val=""/>
      <w:lvlJc w:val="left"/>
      <w:pPr>
        <w:ind w:left="6883" w:hanging="360"/>
      </w:pPr>
      <w:rPr>
        <w:rFonts w:ascii="Wingdings" w:hAnsi="Wingdings" w:hint="default"/>
      </w:rPr>
    </w:lvl>
  </w:abstractNum>
  <w:abstractNum w:abstractNumId="20" w15:restartNumberingAfterBreak="0">
    <w:nsid w:val="028A21B3"/>
    <w:multiLevelType w:val="hybridMultilevel"/>
    <w:tmpl w:val="EDD0C5DC"/>
    <w:lvl w:ilvl="0" w:tplc="240A000D">
      <w:start w:val="1"/>
      <w:numFmt w:val="bullet"/>
      <w:lvlText w:val=""/>
      <w:lvlJc w:val="left"/>
      <w:pPr>
        <w:ind w:left="1065" w:hanging="360"/>
      </w:pPr>
      <w:rPr>
        <w:rFonts w:ascii="Wingdings" w:hAnsi="Wingdings" w:hint="default"/>
      </w:rPr>
    </w:lvl>
    <w:lvl w:ilvl="1" w:tplc="240A0003" w:tentative="1">
      <w:start w:val="1"/>
      <w:numFmt w:val="bullet"/>
      <w:lvlText w:val="o"/>
      <w:lvlJc w:val="left"/>
      <w:pPr>
        <w:ind w:left="1785" w:hanging="360"/>
      </w:pPr>
      <w:rPr>
        <w:rFonts w:ascii="Courier New" w:hAnsi="Courier New" w:cs="Courier New" w:hint="default"/>
      </w:rPr>
    </w:lvl>
    <w:lvl w:ilvl="2" w:tplc="240A0005" w:tentative="1">
      <w:start w:val="1"/>
      <w:numFmt w:val="bullet"/>
      <w:lvlText w:val=""/>
      <w:lvlJc w:val="left"/>
      <w:pPr>
        <w:ind w:left="2505" w:hanging="360"/>
      </w:pPr>
      <w:rPr>
        <w:rFonts w:ascii="Wingdings" w:hAnsi="Wingdings" w:hint="default"/>
      </w:rPr>
    </w:lvl>
    <w:lvl w:ilvl="3" w:tplc="240A0001" w:tentative="1">
      <w:start w:val="1"/>
      <w:numFmt w:val="bullet"/>
      <w:lvlText w:val=""/>
      <w:lvlJc w:val="left"/>
      <w:pPr>
        <w:ind w:left="3225" w:hanging="360"/>
      </w:pPr>
      <w:rPr>
        <w:rFonts w:ascii="Symbol" w:hAnsi="Symbol" w:hint="default"/>
      </w:rPr>
    </w:lvl>
    <w:lvl w:ilvl="4" w:tplc="240A0003" w:tentative="1">
      <w:start w:val="1"/>
      <w:numFmt w:val="bullet"/>
      <w:lvlText w:val="o"/>
      <w:lvlJc w:val="left"/>
      <w:pPr>
        <w:ind w:left="3945" w:hanging="360"/>
      </w:pPr>
      <w:rPr>
        <w:rFonts w:ascii="Courier New" w:hAnsi="Courier New" w:cs="Courier New" w:hint="default"/>
      </w:rPr>
    </w:lvl>
    <w:lvl w:ilvl="5" w:tplc="240A0005" w:tentative="1">
      <w:start w:val="1"/>
      <w:numFmt w:val="bullet"/>
      <w:lvlText w:val=""/>
      <w:lvlJc w:val="left"/>
      <w:pPr>
        <w:ind w:left="4665" w:hanging="360"/>
      </w:pPr>
      <w:rPr>
        <w:rFonts w:ascii="Wingdings" w:hAnsi="Wingdings" w:hint="default"/>
      </w:rPr>
    </w:lvl>
    <w:lvl w:ilvl="6" w:tplc="240A0001" w:tentative="1">
      <w:start w:val="1"/>
      <w:numFmt w:val="bullet"/>
      <w:lvlText w:val=""/>
      <w:lvlJc w:val="left"/>
      <w:pPr>
        <w:ind w:left="5385" w:hanging="360"/>
      </w:pPr>
      <w:rPr>
        <w:rFonts w:ascii="Symbol" w:hAnsi="Symbol" w:hint="default"/>
      </w:rPr>
    </w:lvl>
    <w:lvl w:ilvl="7" w:tplc="240A0003" w:tentative="1">
      <w:start w:val="1"/>
      <w:numFmt w:val="bullet"/>
      <w:lvlText w:val="o"/>
      <w:lvlJc w:val="left"/>
      <w:pPr>
        <w:ind w:left="6105" w:hanging="360"/>
      </w:pPr>
      <w:rPr>
        <w:rFonts w:ascii="Courier New" w:hAnsi="Courier New" w:cs="Courier New" w:hint="default"/>
      </w:rPr>
    </w:lvl>
    <w:lvl w:ilvl="8" w:tplc="240A0005" w:tentative="1">
      <w:start w:val="1"/>
      <w:numFmt w:val="bullet"/>
      <w:lvlText w:val=""/>
      <w:lvlJc w:val="left"/>
      <w:pPr>
        <w:ind w:left="6825" w:hanging="360"/>
      </w:pPr>
      <w:rPr>
        <w:rFonts w:ascii="Wingdings" w:hAnsi="Wingdings" w:hint="default"/>
      </w:rPr>
    </w:lvl>
  </w:abstractNum>
  <w:abstractNum w:abstractNumId="21" w15:restartNumberingAfterBreak="0">
    <w:nsid w:val="02D31952"/>
    <w:multiLevelType w:val="hybridMultilevel"/>
    <w:tmpl w:val="E336176E"/>
    <w:lvl w:ilvl="0" w:tplc="04090001">
      <w:start w:val="1"/>
      <w:numFmt w:val="bullet"/>
      <w:lvlText w:val=""/>
      <w:lvlJc w:val="left"/>
      <w:pPr>
        <w:ind w:left="720" w:hanging="360"/>
      </w:pPr>
      <w:rPr>
        <w:rFonts w:ascii="Symbol" w:hAnsi="Symbol" w:hint="default"/>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abstractNum w:abstractNumId="22" w15:restartNumberingAfterBreak="0">
    <w:nsid w:val="02E5371C"/>
    <w:multiLevelType w:val="hybridMultilevel"/>
    <w:tmpl w:val="6448839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 w15:restartNumberingAfterBreak="0">
    <w:nsid w:val="035C7E03"/>
    <w:multiLevelType w:val="hybridMultilevel"/>
    <w:tmpl w:val="AB56AB9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4" w15:restartNumberingAfterBreak="0">
    <w:nsid w:val="03B0150B"/>
    <w:multiLevelType w:val="hybridMultilevel"/>
    <w:tmpl w:val="F44221E2"/>
    <w:lvl w:ilvl="0" w:tplc="5A2E030E">
      <w:numFmt w:val="bullet"/>
      <w:lvlText w:val="•"/>
      <w:lvlJc w:val="left"/>
      <w:pPr>
        <w:ind w:left="847" w:hanging="705"/>
      </w:pPr>
      <w:rPr>
        <w:rFonts w:ascii="Arial" w:eastAsiaTheme="minorHAns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5" w15:restartNumberingAfterBreak="0">
    <w:nsid w:val="03D95B2D"/>
    <w:multiLevelType w:val="hybridMultilevel"/>
    <w:tmpl w:val="448C2D22"/>
    <w:lvl w:ilvl="0" w:tplc="3FA6218C">
      <w:start w:val="1"/>
      <w:numFmt w:val="lowerRoman"/>
      <w:lvlText w:val="%1)"/>
      <w:lvlJc w:val="left"/>
      <w:pPr>
        <w:ind w:left="1080" w:hanging="72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6" w15:restartNumberingAfterBreak="0">
    <w:nsid w:val="041B3C43"/>
    <w:multiLevelType w:val="hybridMultilevel"/>
    <w:tmpl w:val="07A8FB5A"/>
    <w:lvl w:ilvl="0" w:tplc="240A000D">
      <w:start w:val="1"/>
      <w:numFmt w:val="bullet"/>
      <w:lvlText w:val=""/>
      <w:lvlJc w:val="left"/>
      <w:pPr>
        <w:ind w:left="1453" w:hanging="360"/>
      </w:pPr>
      <w:rPr>
        <w:rFonts w:ascii="Wingdings" w:hAnsi="Wingdings" w:hint="default"/>
      </w:rPr>
    </w:lvl>
    <w:lvl w:ilvl="1" w:tplc="240A0003" w:tentative="1">
      <w:start w:val="1"/>
      <w:numFmt w:val="bullet"/>
      <w:lvlText w:val="o"/>
      <w:lvlJc w:val="left"/>
      <w:pPr>
        <w:ind w:left="2173" w:hanging="360"/>
      </w:pPr>
      <w:rPr>
        <w:rFonts w:ascii="Courier New" w:hAnsi="Courier New" w:cs="Courier New" w:hint="default"/>
      </w:rPr>
    </w:lvl>
    <w:lvl w:ilvl="2" w:tplc="240A0005" w:tentative="1">
      <w:start w:val="1"/>
      <w:numFmt w:val="bullet"/>
      <w:lvlText w:val=""/>
      <w:lvlJc w:val="left"/>
      <w:pPr>
        <w:ind w:left="2893" w:hanging="360"/>
      </w:pPr>
      <w:rPr>
        <w:rFonts w:ascii="Wingdings" w:hAnsi="Wingdings" w:hint="default"/>
      </w:rPr>
    </w:lvl>
    <w:lvl w:ilvl="3" w:tplc="240A0001" w:tentative="1">
      <w:start w:val="1"/>
      <w:numFmt w:val="bullet"/>
      <w:lvlText w:val=""/>
      <w:lvlJc w:val="left"/>
      <w:pPr>
        <w:ind w:left="3613" w:hanging="360"/>
      </w:pPr>
      <w:rPr>
        <w:rFonts w:ascii="Symbol" w:hAnsi="Symbol" w:hint="default"/>
      </w:rPr>
    </w:lvl>
    <w:lvl w:ilvl="4" w:tplc="240A0003" w:tentative="1">
      <w:start w:val="1"/>
      <w:numFmt w:val="bullet"/>
      <w:lvlText w:val="o"/>
      <w:lvlJc w:val="left"/>
      <w:pPr>
        <w:ind w:left="4333" w:hanging="360"/>
      </w:pPr>
      <w:rPr>
        <w:rFonts w:ascii="Courier New" w:hAnsi="Courier New" w:cs="Courier New" w:hint="default"/>
      </w:rPr>
    </w:lvl>
    <w:lvl w:ilvl="5" w:tplc="240A0005" w:tentative="1">
      <w:start w:val="1"/>
      <w:numFmt w:val="bullet"/>
      <w:lvlText w:val=""/>
      <w:lvlJc w:val="left"/>
      <w:pPr>
        <w:ind w:left="5053" w:hanging="360"/>
      </w:pPr>
      <w:rPr>
        <w:rFonts w:ascii="Wingdings" w:hAnsi="Wingdings" w:hint="default"/>
      </w:rPr>
    </w:lvl>
    <w:lvl w:ilvl="6" w:tplc="240A0001" w:tentative="1">
      <w:start w:val="1"/>
      <w:numFmt w:val="bullet"/>
      <w:lvlText w:val=""/>
      <w:lvlJc w:val="left"/>
      <w:pPr>
        <w:ind w:left="5773" w:hanging="360"/>
      </w:pPr>
      <w:rPr>
        <w:rFonts w:ascii="Symbol" w:hAnsi="Symbol" w:hint="default"/>
      </w:rPr>
    </w:lvl>
    <w:lvl w:ilvl="7" w:tplc="240A0003" w:tentative="1">
      <w:start w:val="1"/>
      <w:numFmt w:val="bullet"/>
      <w:lvlText w:val="o"/>
      <w:lvlJc w:val="left"/>
      <w:pPr>
        <w:ind w:left="6493" w:hanging="360"/>
      </w:pPr>
      <w:rPr>
        <w:rFonts w:ascii="Courier New" w:hAnsi="Courier New" w:cs="Courier New" w:hint="default"/>
      </w:rPr>
    </w:lvl>
    <w:lvl w:ilvl="8" w:tplc="240A0005" w:tentative="1">
      <w:start w:val="1"/>
      <w:numFmt w:val="bullet"/>
      <w:lvlText w:val=""/>
      <w:lvlJc w:val="left"/>
      <w:pPr>
        <w:ind w:left="7213" w:hanging="360"/>
      </w:pPr>
      <w:rPr>
        <w:rFonts w:ascii="Wingdings" w:hAnsi="Wingdings" w:hint="default"/>
      </w:rPr>
    </w:lvl>
  </w:abstractNum>
  <w:abstractNum w:abstractNumId="27" w15:restartNumberingAfterBreak="0">
    <w:nsid w:val="042247D6"/>
    <w:multiLevelType w:val="hybridMultilevel"/>
    <w:tmpl w:val="6694B4C0"/>
    <w:lvl w:ilvl="0" w:tplc="240A0017">
      <w:start w:val="1"/>
      <w:numFmt w:val="lowerLetter"/>
      <w:lvlText w:val="%1)"/>
      <w:lvlJc w:val="left"/>
      <w:pPr>
        <w:ind w:left="360" w:hanging="360"/>
      </w:pPr>
      <w:rPr>
        <w:rFonts w:hint="default"/>
        <w:lang w:val="es-CO"/>
      </w:rPr>
    </w:lvl>
    <w:lvl w:ilvl="1" w:tplc="240A0003">
      <w:start w:val="1"/>
      <w:numFmt w:val="bullet"/>
      <w:lvlText w:val="o"/>
      <w:lvlJc w:val="left"/>
      <w:pPr>
        <w:ind w:left="1080" w:hanging="360"/>
      </w:pPr>
      <w:rPr>
        <w:rFonts w:ascii="Courier New" w:hAnsi="Courier New" w:cs="Courier New" w:hint="default"/>
      </w:rPr>
    </w:lvl>
    <w:lvl w:ilvl="2" w:tplc="240A0005">
      <w:start w:val="1"/>
      <w:numFmt w:val="bullet"/>
      <w:lvlText w:val=""/>
      <w:lvlJc w:val="left"/>
      <w:pPr>
        <w:ind w:left="1800" w:hanging="360"/>
      </w:pPr>
      <w:rPr>
        <w:rFonts w:ascii="Wingdings" w:hAnsi="Wingdings" w:hint="default"/>
      </w:rPr>
    </w:lvl>
    <w:lvl w:ilvl="3" w:tplc="19AEA178">
      <w:numFmt w:val="bullet"/>
      <w:lvlText w:val="•"/>
      <w:lvlJc w:val="left"/>
      <w:pPr>
        <w:ind w:left="2865" w:hanging="705"/>
      </w:pPr>
      <w:rPr>
        <w:rFonts w:ascii="Arial" w:eastAsia="Times New Roman" w:hAnsi="Arial" w:cs="Arial" w:hint="default"/>
      </w:rPr>
    </w:lvl>
    <w:lvl w:ilvl="4" w:tplc="240A0003">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8" w15:restartNumberingAfterBreak="0">
    <w:nsid w:val="04A0191A"/>
    <w:multiLevelType w:val="hybridMultilevel"/>
    <w:tmpl w:val="B9E284E4"/>
    <w:lvl w:ilvl="0" w:tplc="240A0017">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9" w15:restartNumberingAfterBreak="0">
    <w:nsid w:val="04A56867"/>
    <w:multiLevelType w:val="hybridMultilevel"/>
    <w:tmpl w:val="05D298B6"/>
    <w:lvl w:ilvl="0" w:tplc="4DB80760">
      <w:start w:val="1"/>
      <w:numFmt w:val="bullet"/>
      <w:lvlText w:val="­"/>
      <w:lvlJc w:val="left"/>
      <w:pPr>
        <w:ind w:left="720" w:hanging="360"/>
      </w:pPr>
      <w:rPr>
        <w:rFonts w:ascii="Courier New" w:hAnsi="Courier New" w:cs="Times New Roman" w:hint="default"/>
        <w:color w:val="auto"/>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0" w15:restartNumberingAfterBreak="0">
    <w:nsid w:val="04BA7E73"/>
    <w:multiLevelType w:val="hybridMultilevel"/>
    <w:tmpl w:val="86E0E9E6"/>
    <w:lvl w:ilvl="0" w:tplc="4DB80760">
      <w:start w:val="1"/>
      <w:numFmt w:val="bullet"/>
      <w:lvlText w:val="­"/>
      <w:lvlJc w:val="left"/>
      <w:pPr>
        <w:ind w:left="360" w:hanging="360"/>
      </w:pPr>
      <w:rPr>
        <w:rFonts w:ascii="Courier New" w:hAnsi="Courier New" w:cs="Times New Roman" w:hint="default"/>
        <w:color w:val="auto"/>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1" w15:restartNumberingAfterBreak="0">
    <w:nsid w:val="04C07262"/>
    <w:multiLevelType w:val="hybridMultilevel"/>
    <w:tmpl w:val="EBCC8DFE"/>
    <w:lvl w:ilvl="0" w:tplc="240A0001">
      <w:start w:val="1"/>
      <w:numFmt w:val="bullet"/>
      <w:lvlText w:val=""/>
      <w:lvlJc w:val="left"/>
      <w:pPr>
        <w:ind w:left="1800" w:hanging="360"/>
      </w:pPr>
      <w:rPr>
        <w:rFonts w:ascii="Symbol" w:hAnsi="Symbol" w:hint="default"/>
      </w:rPr>
    </w:lvl>
    <w:lvl w:ilvl="1" w:tplc="240A0003">
      <w:start w:val="1"/>
      <w:numFmt w:val="bullet"/>
      <w:lvlText w:val="o"/>
      <w:lvlJc w:val="left"/>
      <w:pPr>
        <w:ind w:left="2520" w:hanging="360"/>
      </w:pPr>
      <w:rPr>
        <w:rFonts w:ascii="Courier New" w:hAnsi="Courier New" w:cs="Courier New" w:hint="default"/>
      </w:rPr>
    </w:lvl>
    <w:lvl w:ilvl="2" w:tplc="240A0005" w:tentative="1">
      <w:start w:val="1"/>
      <w:numFmt w:val="bullet"/>
      <w:lvlText w:val=""/>
      <w:lvlJc w:val="left"/>
      <w:pPr>
        <w:ind w:left="3240" w:hanging="360"/>
      </w:pPr>
      <w:rPr>
        <w:rFonts w:ascii="Wingdings" w:hAnsi="Wingdings" w:hint="default"/>
      </w:rPr>
    </w:lvl>
    <w:lvl w:ilvl="3" w:tplc="240A0001" w:tentative="1">
      <w:start w:val="1"/>
      <w:numFmt w:val="bullet"/>
      <w:lvlText w:val=""/>
      <w:lvlJc w:val="left"/>
      <w:pPr>
        <w:ind w:left="3960" w:hanging="360"/>
      </w:pPr>
      <w:rPr>
        <w:rFonts w:ascii="Symbol" w:hAnsi="Symbol" w:hint="default"/>
      </w:rPr>
    </w:lvl>
    <w:lvl w:ilvl="4" w:tplc="240A0003" w:tentative="1">
      <w:start w:val="1"/>
      <w:numFmt w:val="bullet"/>
      <w:lvlText w:val="o"/>
      <w:lvlJc w:val="left"/>
      <w:pPr>
        <w:ind w:left="4680" w:hanging="360"/>
      </w:pPr>
      <w:rPr>
        <w:rFonts w:ascii="Courier New" w:hAnsi="Courier New" w:cs="Courier New" w:hint="default"/>
      </w:rPr>
    </w:lvl>
    <w:lvl w:ilvl="5" w:tplc="240A0005" w:tentative="1">
      <w:start w:val="1"/>
      <w:numFmt w:val="bullet"/>
      <w:lvlText w:val=""/>
      <w:lvlJc w:val="left"/>
      <w:pPr>
        <w:ind w:left="5400" w:hanging="360"/>
      </w:pPr>
      <w:rPr>
        <w:rFonts w:ascii="Wingdings" w:hAnsi="Wingdings" w:hint="default"/>
      </w:rPr>
    </w:lvl>
    <w:lvl w:ilvl="6" w:tplc="240A0001" w:tentative="1">
      <w:start w:val="1"/>
      <w:numFmt w:val="bullet"/>
      <w:lvlText w:val=""/>
      <w:lvlJc w:val="left"/>
      <w:pPr>
        <w:ind w:left="6120" w:hanging="360"/>
      </w:pPr>
      <w:rPr>
        <w:rFonts w:ascii="Symbol" w:hAnsi="Symbol" w:hint="default"/>
      </w:rPr>
    </w:lvl>
    <w:lvl w:ilvl="7" w:tplc="240A0003" w:tentative="1">
      <w:start w:val="1"/>
      <w:numFmt w:val="bullet"/>
      <w:lvlText w:val="o"/>
      <w:lvlJc w:val="left"/>
      <w:pPr>
        <w:ind w:left="6840" w:hanging="360"/>
      </w:pPr>
      <w:rPr>
        <w:rFonts w:ascii="Courier New" w:hAnsi="Courier New" w:cs="Courier New" w:hint="default"/>
      </w:rPr>
    </w:lvl>
    <w:lvl w:ilvl="8" w:tplc="240A0005" w:tentative="1">
      <w:start w:val="1"/>
      <w:numFmt w:val="bullet"/>
      <w:lvlText w:val=""/>
      <w:lvlJc w:val="left"/>
      <w:pPr>
        <w:ind w:left="7560" w:hanging="360"/>
      </w:pPr>
      <w:rPr>
        <w:rFonts w:ascii="Wingdings" w:hAnsi="Wingdings" w:hint="default"/>
      </w:rPr>
    </w:lvl>
  </w:abstractNum>
  <w:abstractNum w:abstractNumId="32" w15:restartNumberingAfterBreak="0">
    <w:nsid w:val="06291533"/>
    <w:multiLevelType w:val="hybridMultilevel"/>
    <w:tmpl w:val="FA6224E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3" w15:restartNumberingAfterBreak="0">
    <w:nsid w:val="069F37B6"/>
    <w:multiLevelType w:val="hybridMultilevel"/>
    <w:tmpl w:val="F10E539A"/>
    <w:lvl w:ilvl="0" w:tplc="BC4678EC">
      <w:start w:val="1"/>
      <w:numFmt w:val="decimal"/>
      <w:lvlText w:val="%1)"/>
      <w:lvlJc w:val="left"/>
      <w:pPr>
        <w:ind w:left="720" w:hanging="360"/>
      </w:pPr>
      <w:rPr>
        <w:rFonts w:hint="default"/>
        <w:color w:val="auto"/>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4" w15:restartNumberingAfterBreak="0">
    <w:nsid w:val="06F93853"/>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15:restartNumberingAfterBreak="0">
    <w:nsid w:val="075A2DD1"/>
    <w:multiLevelType w:val="hybridMultilevel"/>
    <w:tmpl w:val="690E9972"/>
    <w:lvl w:ilvl="0" w:tplc="240A0001">
      <w:start w:val="1"/>
      <w:numFmt w:val="bullet"/>
      <w:lvlText w:val=""/>
      <w:lvlJc w:val="left"/>
      <w:pPr>
        <w:ind w:left="360" w:hanging="360"/>
      </w:pPr>
      <w:rPr>
        <w:rFonts w:ascii="Symbol" w:hAnsi="Symbol" w:hint="default"/>
      </w:rPr>
    </w:lvl>
    <w:lvl w:ilvl="1" w:tplc="240A0001">
      <w:start w:val="1"/>
      <w:numFmt w:val="bullet"/>
      <w:lvlText w:val=""/>
      <w:lvlJc w:val="left"/>
      <w:pPr>
        <w:ind w:left="1080" w:hanging="360"/>
      </w:pPr>
      <w:rPr>
        <w:rFonts w:ascii="Symbol" w:hAnsi="Symbol" w:hint="default"/>
      </w:rPr>
    </w:lvl>
    <w:lvl w:ilvl="2" w:tplc="240A0005">
      <w:start w:val="1"/>
      <w:numFmt w:val="bullet"/>
      <w:lvlText w:val=""/>
      <w:lvlJc w:val="left"/>
      <w:pPr>
        <w:ind w:left="1800" w:hanging="360"/>
      </w:pPr>
      <w:rPr>
        <w:rFonts w:ascii="Wingdings" w:hAnsi="Wingdings" w:hint="default"/>
      </w:rPr>
    </w:lvl>
    <w:lvl w:ilvl="3" w:tplc="240A0001">
      <w:start w:val="1"/>
      <w:numFmt w:val="bullet"/>
      <w:lvlText w:val=""/>
      <w:lvlJc w:val="left"/>
      <w:pPr>
        <w:ind w:left="2520" w:hanging="360"/>
      </w:pPr>
      <w:rPr>
        <w:rFonts w:ascii="Symbol" w:hAnsi="Symbol" w:hint="default"/>
      </w:rPr>
    </w:lvl>
    <w:lvl w:ilvl="4" w:tplc="240A0003">
      <w:start w:val="1"/>
      <w:numFmt w:val="bullet"/>
      <w:lvlText w:val="o"/>
      <w:lvlJc w:val="left"/>
      <w:pPr>
        <w:ind w:left="3240" w:hanging="360"/>
      </w:pPr>
      <w:rPr>
        <w:rFonts w:ascii="Courier New" w:hAnsi="Courier New" w:cs="Courier New" w:hint="default"/>
      </w:rPr>
    </w:lvl>
    <w:lvl w:ilvl="5" w:tplc="240A0005">
      <w:start w:val="1"/>
      <w:numFmt w:val="bullet"/>
      <w:lvlText w:val=""/>
      <w:lvlJc w:val="left"/>
      <w:pPr>
        <w:ind w:left="3960" w:hanging="360"/>
      </w:pPr>
      <w:rPr>
        <w:rFonts w:ascii="Wingdings" w:hAnsi="Wingdings" w:hint="default"/>
      </w:rPr>
    </w:lvl>
    <w:lvl w:ilvl="6" w:tplc="240A0001">
      <w:start w:val="1"/>
      <w:numFmt w:val="bullet"/>
      <w:lvlText w:val=""/>
      <w:lvlJc w:val="left"/>
      <w:pPr>
        <w:ind w:left="4680" w:hanging="360"/>
      </w:pPr>
      <w:rPr>
        <w:rFonts w:ascii="Symbol" w:hAnsi="Symbol" w:hint="default"/>
      </w:rPr>
    </w:lvl>
    <w:lvl w:ilvl="7" w:tplc="240A0003">
      <w:start w:val="1"/>
      <w:numFmt w:val="bullet"/>
      <w:lvlText w:val="o"/>
      <w:lvlJc w:val="left"/>
      <w:pPr>
        <w:ind w:left="5400" w:hanging="360"/>
      </w:pPr>
      <w:rPr>
        <w:rFonts w:ascii="Courier New" w:hAnsi="Courier New" w:cs="Courier New" w:hint="default"/>
      </w:rPr>
    </w:lvl>
    <w:lvl w:ilvl="8" w:tplc="240A0005">
      <w:start w:val="1"/>
      <w:numFmt w:val="bullet"/>
      <w:lvlText w:val=""/>
      <w:lvlJc w:val="left"/>
      <w:pPr>
        <w:ind w:left="6120" w:hanging="360"/>
      </w:pPr>
      <w:rPr>
        <w:rFonts w:ascii="Wingdings" w:hAnsi="Wingdings" w:hint="default"/>
      </w:rPr>
    </w:lvl>
  </w:abstractNum>
  <w:abstractNum w:abstractNumId="36" w15:restartNumberingAfterBreak="0">
    <w:nsid w:val="0792230D"/>
    <w:multiLevelType w:val="hybridMultilevel"/>
    <w:tmpl w:val="5A2A87E4"/>
    <w:lvl w:ilvl="0" w:tplc="00145946">
      <w:numFmt w:val="bullet"/>
      <w:lvlText w:val="-"/>
      <w:lvlJc w:val="left"/>
      <w:pPr>
        <w:ind w:left="1080" w:hanging="360"/>
      </w:pPr>
      <w:rPr>
        <w:rFonts w:ascii="Arial" w:eastAsiaTheme="minorHAnsi" w:hAnsi="Arial" w:cs="Aria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37" w15:restartNumberingAfterBreak="0">
    <w:nsid w:val="07BC5A8B"/>
    <w:multiLevelType w:val="multilevel"/>
    <w:tmpl w:val="69F45508"/>
    <w:lvl w:ilvl="0">
      <w:start w:val="1"/>
      <w:numFmt w:val="decimal"/>
      <w:lvlText w:val="%1."/>
      <w:lvlJc w:val="left"/>
      <w:pPr>
        <w:tabs>
          <w:tab w:val="num" w:pos="0"/>
        </w:tabs>
        <w:ind w:left="0" w:firstLine="0"/>
      </w:pPr>
      <w:rPr>
        <w:rFonts w:ascii="Arial" w:hAnsi="Arial" w:cs="Arial" w:hint="default"/>
        <w:b/>
        <w:i w:val="0"/>
        <w:sz w:val="24"/>
        <w:szCs w:val="24"/>
      </w:rPr>
    </w:lvl>
    <w:lvl w:ilvl="1">
      <w:start w:val="1"/>
      <w:numFmt w:val="decimal"/>
      <w:pStyle w:val="Ttulo2"/>
      <w:lvlText w:val="%1.%2"/>
      <w:lvlJc w:val="left"/>
      <w:pPr>
        <w:tabs>
          <w:tab w:val="num" w:pos="0"/>
        </w:tabs>
        <w:ind w:left="0" w:firstLine="0"/>
      </w:pPr>
      <w:rPr>
        <w:rFonts w:ascii="Arial" w:hAnsi="Arial" w:cs="Arial" w:hint="default"/>
        <w:b/>
        <w:i w:val="0"/>
        <w:sz w:val="24"/>
        <w:szCs w:val="24"/>
      </w:rPr>
    </w:lvl>
    <w:lvl w:ilvl="2">
      <w:start w:val="1"/>
      <w:numFmt w:val="decimal"/>
      <w:pStyle w:val="Ttulo3"/>
      <w:lvlText w:val="%1.%2.%3"/>
      <w:lvlJc w:val="left"/>
      <w:pPr>
        <w:tabs>
          <w:tab w:val="num" w:pos="1276"/>
        </w:tabs>
        <w:ind w:left="1276" w:firstLine="0"/>
      </w:pPr>
      <w:rPr>
        <w:rFonts w:ascii="Arial" w:hAnsi="Arial" w:cs="Arial" w:hint="default"/>
        <w:b/>
        <w:i w:val="0"/>
        <w:caps/>
        <w:sz w:val="24"/>
        <w:szCs w:val="20"/>
        <w:lang w:val="es-CO"/>
      </w:rPr>
    </w:lvl>
    <w:lvl w:ilvl="3">
      <w:start w:val="1"/>
      <w:numFmt w:val="decimal"/>
      <w:pStyle w:val="Ttulo4"/>
      <w:lvlText w:val="%1.%2.%3.%4"/>
      <w:lvlJc w:val="left"/>
      <w:pPr>
        <w:tabs>
          <w:tab w:val="num" w:pos="1844"/>
        </w:tabs>
        <w:ind w:left="1844" w:firstLine="0"/>
      </w:pPr>
      <w:rPr>
        <w:rFonts w:ascii="Arial" w:hAnsi="Arial" w:cs="Arial" w:hint="default"/>
        <w:b/>
        <w:i w:val="0"/>
        <w:sz w:val="24"/>
        <w:szCs w:val="20"/>
      </w:rPr>
    </w:lvl>
    <w:lvl w:ilvl="4">
      <w:start w:val="1"/>
      <w:numFmt w:val="decimal"/>
      <w:pStyle w:val="Ttulo5"/>
      <w:lvlText w:val="%1.%2.%3.%4.%5"/>
      <w:lvlJc w:val="left"/>
      <w:pPr>
        <w:tabs>
          <w:tab w:val="num" w:pos="2160"/>
        </w:tabs>
        <w:ind w:left="2160" w:hanging="1080"/>
      </w:pPr>
      <w:rPr>
        <w:rFonts w:hint="default"/>
      </w:rPr>
    </w:lvl>
    <w:lvl w:ilvl="5">
      <w:start w:val="1"/>
      <w:numFmt w:val="decimal"/>
      <w:pStyle w:val="Ttulo6"/>
      <w:lvlText w:val="%1.%2.%3.%4.%5.%6"/>
      <w:lvlJc w:val="left"/>
      <w:pPr>
        <w:tabs>
          <w:tab w:val="num" w:pos="2160"/>
        </w:tabs>
        <w:ind w:left="2160" w:hanging="1080"/>
      </w:pPr>
      <w:rPr>
        <w:rFonts w:hint="default"/>
      </w:rPr>
    </w:lvl>
    <w:lvl w:ilvl="6">
      <w:start w:val="1"/>
      <w:numFmt w:val="decimal"/>
      <w:lvlText w:val="%1.%2.%3.%4.%5.%6.%7"/>
      <w:lvlJc w:val="left"/>
      <w:pPr>
        <w:tabs>
          <w:tab w:val="num" w:pos="2520"/>
        </w:tabs>
        <w:ind w:left="2520" w:hanging="1440"/>
      </w:pPr>
      <w:rPr>
        <w:rFonts w:hint="default"/>
      </w:rPr>
    </w:lvl>
    <w:lvl w:ilvl="7">
      <w:start w:val="1"/>
      <w:numFmt w:val="decimal"/>
      <w:lvlText w:val="%1.%2.%3.%4.%5.%6.%7.%8"/>
      <w:lvlJc w:val="left"/>
      <w:pPr>
        <w:tabs>
          <w:tab w:val="num" w:pos="2520"/>
        </w:tabs>
        <w:ind w:left="2520" w:hanging="1440"/>
      </w:pPr>
      <w:rPr>
        <w:rFonts w:hint="default"/>
      </w:rPr>
    </w:lvl>
    <w:lvl w:ilvl="8">
      <w:start w:val="1"/>
      <w:numFmt w:val="decimal"/>
      <w:lvlText w:val="%1.%2.%3.%4.%5.%6.%7.%8.%9"/>
      <w:lvlJc w:val="left"/>
      <w:pPr>
        <w:tabs>
          <w:tab w:val="num" w:pos="2880"/>
        </w:tabs>
        <w:ind w:left="2880" w:hanging="1800"/>
      </w:pPr>
      <w:rPr>
        <w:rFonts w:hint="default"/>
      </w:rPr>
    </w:lvl>
  </w:abstractNum>
  <w:abstractNum w:abstractNumId="38" w15:restartNumberingAfterBreak="0">
    <w:nsid w:val="084C788E"/>
    <w:multiLevelType w:val="hybridMultilevel"/>
    <w:tmpl w:val="3F74B76C"/>
    <w:lvl w:ilvl="0" w:tplc="240A0001">
      <w:start w:val="1"/>
      <w:numFmt w:val="bullet"/>
      <w:lvlText w:val=""/>
      <w:lvlJc w:val="left"/>
      <w:pPr>
        <w:ind w:left="720" w:hanging="360"/>
      </w:pPr>
      <w:rPr>
        <w:rFonts w:ascii="Symbol" w:hAnsi="Symbol"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08ED301A"/>
    <w:multiLevelType w:val="hybridMultilevel"/>
    <w:tmpl w:val="01EC2D38"/>
    <w:lvl w:ilvl="0" w:tplc="4DB80760">
      <w:start w:val="1"/>
      <w:numFmt w:val="bullet"/>
      <w:lvlText w:val="­"/>
      <w:lvlJc w:val="left"/>
      <w:pPr>
        <w:ind w:left="360" w:hanging="360"/>
      </w:pPr>
      <w:rPr>
        <w:rFonts w:ascii="Courier New" w:hAnsi="Courier New" w:cs="Times New Roman" w:hint="default"/>
        <w:color w:val="auto"/>
      </w:rPr>
    </w:lvl>
    <w:lvl w:ilvl="1" w:tplc="26169528">
      <w:start w:val="1"/>
      <w:numFmt w:val="lowerLetter"/>
      <w:lvlText w:val="%2."/>
      <w:lvlJc w:val="left"/>
      <w:pPr>
        <w:ind w:left="1425" w:hanging="705"/>
      </w:pPr>
      <w:rPr>
        <w:rFonts w:hint="default"/>
      </w:rPr>
    </w:lvl>
    <w:lvl w:ilvl="2" w:tplc="B5CABCD4">
      <w:start w:val="1"/>
      <w:numFmt w:val="lowerLetter"/>
      <w:lvlText w:val="%3)"/>
      <w:lvlJc w:val="left"/>
      <w:pPr>
        <w:ind w:left="1980" w:hanging="360"/>
      </w:pPr>
      <w:rPr>
        <w:rFonts w:hint="default"/>
      </w:rPr>
    </w:lvl>
    <w:lvl w:ilvl="3" w:tplc="240A000F" w:tentative="1">
      <w:start w:val="1"/>
      <w:numFmt w:val="decimal"/>
      <w:lvlText w:val="%4."/>
      <w:lvlJc w:val="left"/>
      <w:pPr>
        <w:ind w:left="2520" w:hanging="360"/>
      </w:pPr>
    </w:lvl>
    <w:lvl w:ilvl="4" w:tplc="240A0019">
      <w:start w:val="1"/>
      <w:numFmt w:val="lowerLetter"/>
      <w:lvlText w:val="%5."/>
      <w:lvlJc w:val="left"/>
      <w:pPr>
        <w:ind w:left="3240" w:hanging="360"/>
      </w:pPr>
    </w:lvl>
    <w:lvl w:ilvl="5" w:tplc="240A001B">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40" w15:restartNumberingAfterBreak="0">
    <w:nsid w:val="09C048AD"/>
    <w:multiLevelType w:val="hybridMultilevel"/>
    <w:tmpl w:val="B16AB946"/>
    <w:lvl w:ilvl="0" w:tplc="240A0005">
      <w:start w:val="1"/>
      <w:numFmt w:val="bullet"/>
      <w:lvlText w:val=""/>
      <w:lvlJc w:val="left"/>
      <w:pPr>
        <w:ind w:left="720" w:hanging="360"/>
      </w:pPr>
      <w:rPr>
        <w:rFonts w:ascii="Wingdings" w:hAnsi="Wingdings"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1" w15:restartNumberingAfterBreak="0">
    <w:nsid w:val="0B9D2BA8"/>
    <w:multiLevelType w:val="hybridMultilevel"/>
    <w:tmpl w:val="31A6FCD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2" w15:restartNumberingAfterBreak="0">
    <w:nsid w:val="0BE8646F"/>
    <w:multiLevelType w:val="hybridMultilevel"/>
    <w:tmpl w:val="882EC234"/>
    <w:lvl w:ilvl="0" w:tplc="4DB80760">
      <w:start w:val="1"/>
      <w:numFmt w:val="bullet"/>
      <w:lvlText w:val="­"/>
      <w:lvlJc w:val="left"/>
      <w:pPr>
        <w:ind w:left="720" w:hanging="360"/>
      </w:pPr>
      <w:rPr>
        <w:rFonts w:ascii="Courier New" w:hAnsi="Courier New" w:cs="Times New Roman"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3" w15:restartNumberingAfterBreak="0">
    <w:nsid w:val="0C3162CE"/>
    <w:multiLevelType w:val="hybridMultilevel"/>
    <w:tmpl w:val="0BE6E494"/>
    <w:lvl w:ilvl="0" w:tplc="240A0001">
      <w:start w:val="1"/>
      <w:numFmt w:val="bullet"/>
      <w:lvlText w:val=""/>
      <w:lvlJc w:val="left"/>
      <w:pPr>
        <w:ind w:left="360" w:hanging="360"/>
      </w:pPr>
      <w:rPr>
        <w:rFonts w:ascii="Symbol" w:hAnsi="Symbol" w:hint="default"/>
      </w:rPr>
    </w:lvl>
    <w:lvl w:ilvl="1" w:tplc="240A0003">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4" w15:restartNumberingAfterBreak="0">
    <w:nsid w:val="0C3745AD"/>
    <w:multiLevelType w:val="hybridMultilevel"/>
    <w:tmpl w:val="790AD47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5" w15:restartNumberingAfterBreak="0">
    <w:nsid w:val="0C705B7C"/>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6" w15:restartNumberingAfterBreak="0">
    <w:nsid w:val="0C775A51"/>
    <w:multiLevelType w:val="hybridMultilevel"/>
    <w:tmpl w:val="35323F6A"/>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7" w15:restartNumberingAfterBreak="0">
    <w:nsid w:val="0CC2159C"/>
    <w:multiLevelType w:val="hybridMultilevel"/>
    <w:tmpl w:val="698A31B2"/>
    <w:lvl w:ilvl="0" w:tplc="24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8" w15:restartNumberingAfterBreak="0">
    <w:nsid w:val="0CEA23E0"/>
    <w:multiLevelType w:val="hybridMultilevel"/>
    <w:tmpl w:val="143A42EC"/>
    <w:lvl w:ilvl="0" w:tplc="240A0019">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9" w15:restartNumberingAfterBreak="0">
    <w:nsid w:val="0D6F00C9"/>
    <w:multiLevelType w:val="hybridMultilevel"/>
    <w:tmpl w:val="94D8C01A"/>
    <w:lvl w:ilvl="0" w:tplc="4DB80760">
      <w:start w:val="1"/>
      <w:numFmt w:val="bullet"/>
      <w:lvlText w:val="­"/>
      <w:lvlJc w:val="left"/>
      <w:pPr>
        <w:ind w:left="1065" w:hanging="360"/>
      </w:pPr>
      <w:rPr>
        <w:rFonts w:ascii="Courier New" w:hAnsi="Courier New" w:cs="Times New Roman" w:hint="default"/>
        <w:color w:val="auto"/>
      </w:rPr>
    </w:lvl>
    <w:lvl w:ilvl="1" w:tplc="240A0003" w:tentative="1">
      <w:start w:val="1"/>
      <w:numFmt w:val="bullet"/>
      <w:lvlText w:val="o"/>
      <w:lvlJc w:val="left"/>
      <w:pPr>
        <w:ind w:left="1785" w:hanging="360"/>
      </w:pPr>
      <w:rPr>
        <w:rFonts w:ascii="Courier New" w:hAnsi="Courier New" w:cs="Courier New" w:hint="default"/>
      </w:rPr>
    </w:lvl>
    <w:lvl w:ilvl="2" w:tplc="240A0005" w:tentative="1">
      <w:start w:val="1"/>
      <w:numFmt w:val="bullet"/>
      <w:lvlText w:val=""/>
      <w:lvlJc w:val="left"/>
      <w:pPr>
        <w:ind w:left="2505" w:hanging="360"/>
      </w:pPr>
      <w:rPr>
        <w:rFonts w:ascii="Wingdings" w:hAnsi="Wingdings" w:hint="default"/>
      </w:rPr>
    </w:lvl>
    <w:lvl w:ilvl="3" w:tplc="240A0001" w:tentative="1">
      <w:start w:val="1"/>
      <w:numFmt w:val="bullet"/>
      <w:lvlText w:val=""/>
      <w:lvlJc w:val="left"/>
      <w:pPr>
        <w:ind w:left="3225" w:hanging="360"/>
      </w:pPr>
      <w:rPr>
        <w:rFonts w:ascii="Symbol" w:hAnsi="Symbol" w:hint="default"/>
      </w:rPr>
    </w:lvl>
    <w:lvl w:ilvl="4" w:tplc="240A0003" w:tentative="1">
      <w:start w:val="1"/>
      <w:numFmt w:val="bullet"/>
      <w:lvlText w:val="o"/>
      <w:lvlJc w:val="left"/>
      <w:pPr>
        <w:ind w:left="3945" w:hanging="360"/>
      </w:pPr>
      <w:rPr>
        <w:rFonts w:ascii="Courier New" w:hAnsi="Courier New" w:cs="Courier New" w:hint="default"/>
      </w:rPr>
    </w:lvl>
    <w:lvl w:ilvl="5" w:tplc="240A0005" w:tentative="1">
      <w:start w:val="1"/>
      <w:numFmt w:val="bullet"/>
      <w:lvlText w:val=""/>
      <w:lvlJc w:val="left"/>
      <w:pPr>
        <w:ind w:left="4665" w:hanging="360"/>
      </w:pPr>
      <w:rPr>
        <w:rFonts w:ascii="Wingdings" w:hAnsi="Wingdings" w:hint="default"/>
      </w:rPr>
    </w:lvl>
    <w:lvl w:ilvl="6" w:tplc="240A0001" w:tentative="1">
      <w:start w:val="1"/>
      <w:numFmt w:val="bullet"/>
      <w:lvlText w:val=""/>
      <w:lvlJc w:val="left"/>
      <w:pPr>
        <w:ind w:left="5385" w:hanging="360"/>
      </w:pPr>
      <w:rPr>
        <w:rFonts w:ascii="Symbol" w:hAnsi="Symbol" w:hint="default"/>
      </w:rPr>
    </w:lvl>
    <w:lvl w:ilvl="7" w:tplc="240A0003" w:tentative="1">
      <w:start w:val="1"/>
      <w:numFmt w:val="bullet"/>
      <w:lvlText w:val="o"/>
      <w:lvlJc w:val="left"/>
      <w:pPr>
        <w:ind w:left="6105" w:hanging="360"/>
      </w:pPr>
      <w:rPr>
        <w:rFonts w:ascii="Courier New" w:hAnsi="Courier New" w:cs="Courier New" w:hint="default"/>
      </w:rPr>
    </w:lvl>
    <w:lvl w:ilvl="8" w:tplc="240A0005" w:tentative="1">
      <w:start w:val="1"/>
      <w:numFmt w:val="bullet"/>
      <w:lvlText w:val=""/>
      <w:lvlJc w:val="left"/>
      <w:pPr>
        <w:ind w:left="6825" w:hanging="360"/>
      </w:pPr>
      <w:rPr>
        <w:rFonts w:ascii="Wingdings" w:hAnsi="Wingdings" w:hint="default"/>
      </w:rPr>
    </w:lvl>
  </w:abstractNum>
  <w:abstractNum w:abstractNumId="50" w15:restartNumberingAfterBreak="0">
    <w:nsid w:val="0DD439BF"/>
    <w:multiLevelType w:val="hybridMultilevel"/>
    <w:tmpl w:val="4028ADF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1" w15:restartNumberingAfterBreak="0">
    <w:nsid w:val="0E0F7AB7"/>
    <w:multiLevelType w:val="hybridMultilevel"/>
    <w:tmpl w:val="915CDD5C"/>
    <w:lvl w:ilvl="0" w:tplc="ED2899BC">
      <w:numFmt w:val="bullet"/>
      <w:lvlText w:val="-"/>
      <w:lvlJc w:val="left"/>
      <w:pPr>
        <w:ind w:left="1778" w:hanging="360"/>
      </w:pPr>
      <w:rPr>
        <w:rFonts w:ascii="Arial" w:eastAsia="Times New Roman" w:hAnsi="Arial" w:cs="Arial" w:hint="default"/>
        <w:sz w:val="24"/>
      </w:rPr>
    </w:lvl>
    <w:lvl w:ilvl="1" w:tplc="ED2899BC">
      <w:numFmt w:val="bullet"/>
      <w:lvlText w:val="-"/>
      <w:lvlJc w:val="left"/>
      <w:pPr>
        <w:ind w:left="2498" w:hanging="360"/>
      </w:pPr>
      <w:rPr>
        <w:rFonts w:ascii="Arial" w:eastAsia="Times New Roman" w:hAnsi="Arial" w:cs="Arial" w:hint="default"/>
        <w:sz w:val="24"/>
      </w:rPr>
    </w:lvl>
    <w:lvl w:ilvl="2" w:tplc="240A0005" w:tentative="1">
      <w:start w:val="1"/>
      <w:numFmt w:val="bullet"/>
      <w:lvlText w:val=""/>
      <w:lvlJc w:val="left"/>
      <w:pPr>
        <w:ind w:left="3218" w:hanging="360"/>
      </w:pPr>
      <w:rPr>
        <w:rFonts w:ascii="Wingdings" w:hAnsi="Wingdings" w:hint="default"/>
      </w:rPr>
    </w:lvl>
    <w:lvl w:ilvl="3" w:tplc="240A0001" w:tentative="1">
      <w:start w:val="1"/>
      <w:numFmt w:val="bullet"/>
      <w:lvlText w:val=""/>
      <w:lvlJc w:val="left"/>
      <w:pPr>
        <w:ind w:left="3938" w:hanging="360"/>
      </w:pPr>
      <w:rPr>
        <w:rFonts w:ascii="Symbol" w:hAnsi="Symbol" w:hint="default"/>
      </w:rPr>
    </w:lvl>
    <w:lvl w:ilvl="4" w:tplc="240A0003" w:tentative="1">
      <w:start w:val="1"/>
      <w:numFmt w:val="bullet"/>
      <w:lvlText w:val="o"/>
      <w:lvlJc w:val="left"/>
      <w:pPr>
        <w:ind w:left="4658" w:hanging="360"/>
      </w:pPr>
      <w:rPr>
        <w:rFonts w:ascii="Courier New" w:hAnsi="Courier New" w:cs="Courier New" w:hint="default"/>
      </w:rPr>
    </w:lvl>
    <w:lvl w:ilvl="5" w:tplc="240A0005" w:tentative="1">
      <w:start w:val="1"/>
      <w:numFmt w:val="bullet"/>
      <w:lvlText w:val=""/>
      <w:lvlJc w:val="left"/>
      <w:pPr>
        <w:ind w:left="5378" w:hanging="360"/>
      </w:pPr>
      <w:rPr>
        <w:rFonts w:ascii="Wingdings" w:hAnsi="Wingdings" w:hint="default"/>
      </w:rPr>
    </w:lvl>
    <w:lvl w:ilvl="6" w:tplc="240A0001" w:tentative="1">
      <w:start w:val="1"/>
      <w:numFmt w:val="bullet"/>
      <w:lvlText w:val=""/>
      <w:lvlJc w:val="left"/>
      <w:pPr>
        <w:ind w:left="6098" w:hanging="360"/>
      </w:pPr>
      <w:rPr>
        <w:rFonts w:ascii="Symbol" w:hAnsi="Symbol" w:hint="default"/>
      </w:rPr>
    </w:lvl>
    <w:lvl w:ilvl="7" w:tplc="240A0003" w:tentative="1">
      <w:start w:val="1"/>
      <w:numFmt w:val="bullet"/>
      <w:lvlText w:val="o"/>
      <w:lvlJc w:val="left"/>
      <w:pPr>
        <w:ind w:left="6818" w:hanging="360"/>
      </w:pPr>
      <w:rPr>
        <w:rFonts w:ascii="Courier New" w:hAnsi="Courier New" w:cs="Courier New" w:hint="default"/>
      </w:rPr>
    </w:lvl>
    <w:lvl w:ilvl="8" w:tplc="240A0005" w:tentative="1">
      <w:start w:val="1"/>
      <w:numFmt w:val="bullet"/>
      <w:lvlText w:val=""/>
      <w:lvlJc w:val="left"/>
      <w:pPr>
        <w:ind w:left="7538" w:hanging="360"/>
      </w:pPr>
      <w:rPr>
        <w:rFonts w:ascii="Wingdings" w:hAnsi="Wingdings" w:hint="default"/>
      </w:rPr>
    </w:lvl>
  </w:abstractNum>
  <w:abstractNum w:abstractNumId="52" w15:restartNumberingAfterBreak="0">
    <w:nsid w:val="0E3E0DF3"/>
    <w:multiLevelType w:val="hybridMultilevel"/>
    <w:tmpl w:val="878ECE8C"/>
    <w:lvl w:ilvl="0" w:tplc="4DB80760">
      <w:start w:val="1"/>
      <w:numFmt w:val="bullet"/>
      <w:lvlText w:val="­"/>
      <w:lvlJc w:val="left"/>
      <w:pPr>
        <w:ind w:left="720" w:hanging="360"/>
      </w:pPr>
      <w:rPr>
        <w:rFonts w:ascii="Courier New" w:hAnsi="Courier New" w:cs="Times New Roman"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3" w15:restartNumberingAfterBreak="0">
    <w:nsid w:val="0E772C01"/>
    <w:multiLevelType w:val="hybridMultilevel"/>
    <w:tmpl w:val="9D568DBA"/>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4" w15:restartNumberingAfterBreak="0">
    <w:nsid w:val="0EC97839"/>
    <w:multiLevelType w:val="hybridMultilevel"/>
    <w:tmpl w:val="0E0AD9F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5" w15:restartNumberingAfterBreak="0">
    <w:nsid w:val="0F544E6D"/>
    <w:multiLevelType w:val="multilevel"/>
    <w:tmpl w:val="FC7A84DA"/>
    <w:lvl w:ilvl="0">
      <w:start w:val="1"/>
      <w:numFmt w:val="bullet"/>
      <w:lvlText w:val=""/>
      <w:lvlJc w:val="left"/>
      <w:pPr>
        <w:tabs>
          <w:tab w:val="num" w:pos="720"/>
        </w:tabs>
        <w:ind w:left="720" w:hanging="360"/>
      </w:pPr>
      <w:rPr>
        <w:rFonts w:ascii="Symbol" w:hAnsi="Symbol" w:hint="default"/>
        <w:sz w:val="20"/>
        <w:lang w:val="es-ES"/>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0F8F1C70"/>
    <w:multiLevelType w:val="hybridMultilevel"/>
    <w:tmpl w:val="482C2882"/>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57" w15:restartNumberingAfterBreak="0">
    <w:nsid w:val="0FA674C6"/>
    <w:multiLevelType w:val="hybridMultilevel"/>
    <w:tmpl w:val="3EC46D60"/>
    <w:lvl w:ilvl="0" w:tplc="25D0E072">
      <w:start w:val="1"/>
      <w:numFmt w:val="bullet"/>
      <w:lvlText w:val="­"/>
      <w:lvlJc w:val="left"/>
      <w:pPr>
        <w:ind w:left="720" w:hanging="360"/>
      </w:pPr>
      <w:rPr>
        <w:rFonts w:ascii="Courier New" w:hAnsi="Courier Ne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8" w15:restartNumberingAfterBreak="0">
    <w:nsid w:val="108D11EC"/>
    <w:multiLevelType w:val="multilevel"/>
    <w:tmpl w:val="07827B7C"/>
    <w:lvl w:ilvl="0">
      <w:start w:val="10"/>
      <w:numFmt w:val="decimal"/>
      <w:lvlText w:val="%1"/>
      <w:lvlJc w:val="left"/>
      <w:pPr>
        <w:ind w:left="1776" w:hanging="935"/>
      </w:pPr>
      <w:rPr>
        <w:rFonts w:hint="default"/>
      </w:rPr>
    </w:lvl>
    <w:lvl w:ilvl="1">
      <w:start w:val="1"/>
      <w:numFmt w:val="decimal"/>
      <w:lvlText w:val="%1.%2"/>
      <w:lvlJc w:val="left"/>
      <w:pPr>
        <w:ind w:left="1776" w:hanging="935"/>
      </w:pPr>
      <w:rPr>
        <w:rFonts w:hint="default"/>
      </w:rPr>
    </w:lvl>
    <w:lvl w:ilvl="2">
      <w:start w:val="3"/>
      <w:numFmt w:val="decimal"/>
      <w:lvlText w:val="%1.%2.%3"/>
      <w:lvlJc w:val="left"/>
      <w:pPr>
        <w:ind w:left="1776" w:hanging="935"/>
      </w:pPr>
      <w:rPr>
        <w:rFonts w:hint="default"/>
      </w:rPr>
    </w:lvl>
    <w:lvl w:ilvl="3">
      <w:start w:val="1"/>
      <w:numFmt w:val="decimal"/>
      <w:lvlText w:val="%1.%2.%3.%4"/>
      <w:lvlJc w:val="left"/>
      <w:pPr>
        <w:ind w:left="1776" w:hanging="935"/>
      </w:pPr>
      <w:rPr>
        <w:rFonts w:ascii="Arial" w:eastAsia="Arial" w:hAnsi="Arial" w:cs="Arial" w:hint="default"/>
        <w:b/>
        <w:bCs/>
        <w:spacing w:val="-2"/>
        <w:w w:val="99"/>
        <w:sz w:val="24"/>
        <w:szCs w:val="24"/>
      </w:rPr>
    </w:lvl>
    <w:lvl w:ilvl="4">
      <w:numFmt w:val="bullet"/>
      <w:lvlText w:val="•"/>
      <w:lvlJc w:val="left"/>
      <w:pPr>
        <w:ind w:left="5212" w:hanging="935"/>
      </w:pPr>
      <w:rPr>
        <w:rFonts w:hint="default"/>
      </w:rPr>
    </w:lvl>
    <w:lvl w:ilvl="5">
      <w:numFmt w:val="bullet"/>
      <w:lvlText w:val="•"/>
      <w:lvlJc w:val="left"/>
      <w:pPr>
        <w:ind w:left="6071" w:hanging="935"/>
      </w:pPr>
      <w:rPr>
        <w:rFonts w:hint="default"/>
      </w:rPr>
    </w:lvl>
    <w:lvl w:ilvl="6">
      <w:numFmt w:val="bullet"/>
      <w:lvlText w:val="•"/>
      <w:lvlJc w:val="left"/>
      <w:pPr>
        <w:ind w:left="6929" w:hanging="935"/>
      </w:pPr>
      <w:rPr>
        <w:rFonts w:hint="default"/>
      </w:rPr>
    </w:lvl>
    <w:lvl w:ilvl="7">
      <w:numFmt w:val="bullet"/>
      <w:lvlText w:val="•"/>
      <w:lvlJc w:val="left"/>
      <w:pPr>
        <w:ind w:left="7787" w:hanging="935"/>
      </w:pPr>
      <w:rPr>
        <w:rFonts w:hint="default"/>
      </w:rPr>
    </w:lvl>
    <w:lvl w:ilvl="8">
      <w:numFmt w:val="bullet"/>
      <w:lvlText w:val="•"/>
      <w:lvlJc w:val="left"/>
      <w:pPr>
        <w:ind w:left="8645" w:hanging="935"/>
      </w:pPr>
      <w:rPr>
        <w:rFonts w:hint="default"/>
      </w:rPr>
    </w:lvl>
  </w:abstractNum>
  <w:abstractNum w:abstractNumId="59" w15:restartNumberingAfterBreak="0">
    <w:nsid w:val="10C3440A"/>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0" w15:restartNumberingAfterBreak="0">
    <w:nsid w:val="10FE193F"/>
    <w:multiLevelType w:val="hybridMultilevel"/>
    <w:tmpl w:val="117E69C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1" w15:restartNumberingAfterBreak="0">
    <w:nsid w:val="114956B7"/>
    <w:multiLevelType w:val="hybridMultilevel"/>
    <w:tmpl w:val="09043322"/>
    <w:lvl w:ilvl="0" w:tplc="240A000F">
      <w:start w:val="1"/>
      <w:numFmt w:val="decimal"/>
      <w:lvlText w:val="%1."/>
      <w:lvlJc w:val="left"/>
      <w:pPr>
        <w:ind w:left="360" w:hanging="360"/>
      </w:pPr>
    </w:lvl>
    <w:lvl w:ilvl="1" w:tplc="240A0019">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62" w15:restartNumberingAfterBreak="0">
    <w:nsid w:val="117612BB"/>
    <w:multiLevelType w:val="hybridMultilevel"/>
    <w:tmpl w:val="65BC33BC"/>
    <w:lvl w:ilvl="0" w:tplc="4DB80760">
      <w:start w:val="1"/>
      <w:numFmt w:val="bullet"/>
      <w:lvlText w:val="­"/>
      <w:lvlJc w:val="left"/>
      <w:pPr>
        <w:tabs>
          <w:tab w:val="num" w:pos="720"/>
        </w:tabs>
        <w:ind w:left="720" w:hanging="360"/>
      </w:pPr>
      <w:rPr>
        <w:rFonts w:ascii="Courier New" w:hAnsi="Courier New" w:cs="Times New Roman" w:hint="default"/>
        <w:color w:val="auto"/>
      </w:rPr>
    </w:lvl>
    <w:lvl w:ilvl="1" w:tplc="D2FCA9A8" w:tentative="1">
      <w:start w:val="1"/>
      <w:numFmt w:val="bullet"/>
      <w:lvlText w:val="•"/>
      <w:lvlJc w:val="left"/>
      <w:pPr>
        <w:tabs>
          <w:tab w:val="num" w:pos="1440"/>
        </w:tabs>
        <w:ind w:left="1440" w:hanging="360"/>
      </w:pPr>
      <w:rPr>
        <w:rFonts w:ascii="Arial" w:hAnsi="Arial" w:hint="default"/>
      </w:rPr>
    </w:lvl>
    <w:lvl w:ilvl="2" w:tplc="FC88B270" w:tentative="1">
      <w:start w:val="1"/>
      <w:numFmt w:val="bullet"/>
      <w:lvlText w:val="•"/>
      <w:lvlJc w:val="left"/>
      <w:pPr>
        <w:tabs>
          <w:tab w:val="num" w:pos="2160"/>
        </w:tabs>
        <w:ind w:left="2160" w:hanging="360"/>
      </w:pPr>
      <w:rPr>
        <w:rFonts w:ascii="Arial" w:hAnsi="Arial" w:hint="default"/>
      </w:rPr>
    </w:lvl>
    <w:lvl w:ilvl="3" w:tplc="1D8CD8D2" w:tentative="1">
      <w:start w:val="1"/>
      <w:numFmt w:val="bullet"/>
      <w:lvlText w:val="•"/>
      <w:lvlJc w:val="left"/>
      <w:pPr>
        <w:tabs>
          <w:tab w:val="num" w:pos="2880"/>
        </w:tabs>
        <w:ind w:left="2880" w:hanging="360"/>
      </w:pPr>
      <w:rPr>
        <w:rFonts w:ascii="Arial" w:hAnsi="Arial" w:hint="default"/>
      </w:rPr>
    </w:lvl>
    <w:lvl w:ilvl="4" w:tplc="6CDCB484" w:tentative="1">
      <w:start w:val="1"/>
      <w:numFmt w:val="bullet"/>
      <w:lvlText w:val="•"/>
      <w:lvlJc w:val="left"/>
      <w:pPr>
        <w:tabs>
          <w:tab w:val="num" w:pos="3600"/>
        </w:tabs>
        <w:ind w:left="3600" w:hanging="360"/>
      </w:pPr>
      <w:rPr>
        <w:rFonts w:ascii="Arial" w:hAnsi="Arial" w:hint="default"/>
      </w:rPr>
    </w:lvl>
    <w:lvl w:ilvl="5" w:tplc="BED806C0" w:tentative="1">
      <w:start w:val="1"/>
      <w:numFmt w:val="bullet"/>
      <w:lvlText w:val="•"/>
      <w:lvlJc w:val="left"/>
      <w:pPr>
        <w:tabs>
          <w:tab w:val="num" w:pos="4320"/>
        </w:tabs>
        <w:ind w:left="4320" w:hanging="360"/>
      </w:pPr>
      <w:rPr>
        <w:rFonts w:ascii="Arial" w:hAnsi="Arial" w:hint="default"/>
      </w:rPr>
    </w:lvl>
    <w:lvl w:ilvl="6" w:tplc="492470DE" w:tentative="1">
      <w:start w:val="1"/>
      <w:numFmt w:val="bullet"/>
      <w:lvlText w:val="•"/>
      <w:lvlJc w:val="left"/>
      <w:pPr>
        <w:tabs>
          <w:tab w:val="num" w:pos="5040"/>
        </w:tabs>
        <w:ind w:left="5040" w:hanging="360"/>
      </w:pPr>
      <w:rPr>
        <w:rFonts w:ascii="Arial" w:hAnsi="Arial" w:hint="default"/>
      </w:rPr>
    </w:lvl>
    <w:lvl w:ilvl="7" w:tplc="69009ED4" w:tentative="1">
      <w:start w:val="1"/>
      <w:numFmt w:val="bullet"/>
      <w:lvlText w:val="•"/>
      <w:lvlJc w:val="left"/>
      <w:pPr>
        <w:tabs>
          <w:tab w:val="num" w:pos="5760"/>
        </w:tabs>
        <w:ind w:left="5760" w:hanging="360"/>
      </w:pPr>
      <w:rPr>
        <w:rFonts w:ascii="Arial" w:hAnsi="Arial" w:hint="default"/>
      </w:rPr>
    </w:lvl>
    <w:lvl w:ilvl="8" w:tplc="996422FE" w:tentative="1">
      <w:start w:val="1"/>
      <w:numFmt w:val="bullet"/>
      <w:lvlText w:val="•"/>
      <w:lvlJc w:val="left"/>
      <w:pPr>
        <w:tabs>
          <w:tab w:val="num" w:pos="6480"/>
        </w:tabs>
        <w:ind w:left="6480" w:hanging="360"/>
      </w:pPr>
      <w:rPr>
        <w:rFonts w:ascii="Arial" w:hAnsi="Arial" w:hint="default"/>
      </w:rPr>
    </w:lvl>
  </w:abstractNum>
  <w:abstractNum w:abstractNumId="63" w15:restartNumberingAfterBreak="0">
    <w:nsid w:val="118547A4"/>
    <w:multiLevelType w:val="hybridMultilevel"/>
    <w:tmpl w:val="27F64DE2"/>
    <w:lvl w:ilvl="0" w:tplc="4DB80760">
      <w:start w:val="1"/>
      <w:numFmt w:val="bullet"/>
      <w:lvlText w:val="­"/>
      <w:lvlJc w:val="left"/>
      <w:pPr>
        <w:ind w:left="720" w:hanging="360"/>
      </w:pPr>
      <w:rPr>
        <w:rFonts w:ascii="Courier New" w:hAnsi="Courier New" w:cs="Times New Roman"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4" w15:restartNumberingAfterBreak="0">
    <w:nsid w:val="11A926D6"/>
    <w:multiLevelType w:val="hybridMultilevel"/>
    <w:tmpl w:val="2062CA92"/>
    <w:lvl w:ilvl="0" w:tplc="240A0001">
      <w:start w:val="1"/>
      <w:numFmt w:val="bullet"/>
      <w:lvlText w:val=""/>
      <w:lvlJc w:val="left"/>
      <w:pPr>
        <w:ind w:left="360" w:hanging="360"/>
      </w:pPr>
      <w:rPr>
        <w:rFonts w:ascii="Symbol" w:hAnsi="Symbol" w:hint="default"/>
      </w:rPr>
    </w:lvl>
    <w:lvl w:ilvl="1" w:tplc="240A0003">
      <w:start w:val="1"/>
      <w:numFmt w:val="bullet"/>
      <w:lvlText w:val="o"/>
      <w:lvlJc w:val="left"/>
      <w:pPr>
        <w:ind w:left="1080" w:hanging="360"/>
      </w:pPr>
      <w:rPr>
        <w:rFonts w:ascii="Courier New" w:hAnsi="Courier New" w:cs="Courier New" w:hint="default"/>
      </w:rPr>
    </w:lvl>
    <w:lvl w:ilvl="2" w:tplc="240A0005">
      <w:start w:val="1"/>
      <w:numFmt w:val="bullet"/>
      <w:lvlText w:val=""/>
      <w:lvlJc w:val="left"/>
      <w:pPr>
        <w:ind w:left="1800" w:hanging="360"/>
      </w:pPr>
      <w:rPr>
        <w:rFonts w:ascii="Wingdings" w:hAnsi="Wingdings" w:hint="default"/>
      </w:rPr>
    </w:lvl>
    <w:lvl w:ilvl="3" w:tplc="240A0001">
      <w:start w:val="1"/>
      <w:numFmt w:val="bullet"/>
      <w:lvlText w:val=""/>
      <w:lvlJc w:val="left"/>
      <w:pPr>
        <w:ind w:left="2520" w:hanging="360"/>
      </w:pPr>
      <w:rPr>
        <w:rFonts w:ascii="Symbol" w:hAnsi="Symbol" w:hint="default"/>
      </w:rPr>
    </w:lvl>
    <w:lvl w:ilvl="4" w:tplc="240A0003">
      <w:start w:val="1"/>
      <w:numFmt w:val="bullet"/>
      <w:lvlText w:val="o"/>
      <w:lvlJc w:val="left"/>
      <w:pPr>
        <w:ind w:left="3240" w:hanging="360"/>
      </w:pPr>
      <w:rPr>
        <w:rFonts w:ascii="Courier New" w:hAnsi="Courier New" w:cs="Courier New" w:hint="default"/>
      </w:rPr>
    </w:lvl>
    <w:lvl w:ilvl="5" w:tplc="240A0005">
      <w:start w:val="1"/>
      <w:numFmt w:val="bullet"/>
      <w:lvlText w:val=""/>
      <w:lvlJc w:val="left"/>
      <w:pPr>
        <w:ind w:left="3960" w:hanging="360"/>
      </w:pPr>
      <w:rPr>
        <w:rFonts w:ascii="Wingdings" w:hAnsi="Wingdings" w:hint="default"/>
      </w:rPr>
    </w:lvl>
    <w:lvl w:ilvl="6" w:tplc="240A0001">
      <w:start w:val="1"/>
      <w:numFmt w:val="bullet"/>
      <w:lvlText w:val=""/>
      <w:lvlJc w:val="left"/>
      <w:pPr>
        <w:ind w:left="4680" w:hanging="360"/>
      </w:pPr>
      <w:rPr>
        <w:rFonts w:ascii="Symbol" w:hAnsi="Symbol" w:hint="default"/>
      </w:rPr>
    </w:lvl>
    <w:lvl w:ilvl="7" w:tplc="240A0003">
      <w:start w:val="1"/>
      <w:numFmt w:val="bullet"/>
      <w:lvlText w:val="o"/>
      <w:lvlJc w:val="left"/>
      <w:pPr>
        <w:ind w:left="5400" w:hanging="360"/>
      </w:pPr>
      <w:rPr>
        <w:rFonts w:ascii="Courier New" w:hAnsi="Courier New" w:cs="Courier New" w:hint="default"/>
      </w:rPr>
    </w:lvl>
    <w:lvl w:ilvl="8" w:tplc="240A0005">
      <w:start w:val="1"/>
      <w:numFmt w:val="bullet"/>
      <w:lvlText w:val=""/>
      <w:lvlJc w:val="left"/>
      <w:pPr>
        <w:ind w:left="6120" w:hanging="360"/>
      </w:pPr>
      <w:rPr>
        <w:rFonts w:ascii="Wingdings" w:hAnsi="Wingdings" w:hint="default"/>
      </w:rPr>
    </w:lvl>
  </w:abstractNum>
  <w:abstractNum w:abstractNumId="65" w15:restartNumberingAfterBreak="0">
    <w:nsid w:val="123C382D"/>
    <w:multiLevelType w:val="hybridMultilevel"/>
    <w:tmpl w:val="CEF04616"/>
    <w:lvl w:ilvl="0" w:tplc="240A0001">
      <w:start w:val="1"/>
      <w:numFmt w:val="bullet"/>
      <w:lvlText w:val=""/>
      <w:lvlJc w:val="left"/>
      <w:pPr>
        <w:ind w:left="1287" w:hanging="360"/>
      </w:pPr>
      <w:rPr>
        <w:rFonts w:ascii="Symbol" w:hAnsi="Symbol" w:hint="default"/>
      </w:rPr>
    </w:lvl>
    <w:lvl w:ilvl="1" w:tplc="240A0003">
      <w:start w:val="1"/>
      <w:numFmt w:val="bullet"/>
      <w:lvlText w:val="o"/>
      <w:lvlJc w:val="left"/>
      <w:pPr>
        <w:ind w:left="2007" w:hanging="360"/>
      </w:pPr>
      <w:rPr>
        <w:rFonts w:ascii="Courier New" w:hAnsi="Courier New" w:cs="Courier New" w:hint="default"/>
      </w:rPr>
    </w:lvl>
    <w:lvl w:ilvl="2" w:tplc="240A0005">
      <w:start w:val="1"/>
      <w:numFmt w:val="bullet"/>
      <w:lvlText w:val=""/>
      <w:lvlJc w:val="left"/>
      <w:pPr>
        <w:ind w:left="2727" w:hanging="360"/>
      </w:pPr>
      <w:rPr>
        <w:rFonts w:ascii="Wingdings" w:hAnsi="Wingdings" w:hint="default"/>
      </w:rPr>
    </w:lvl>
    <w:lvl w:ilvl="3" w:tplc="240A0001">
      <w:start w:val="1"/>
      <w:numFmt w:val="bullet"/>
      <w:lvlText w:val=""/>
      <w:lvlJc w:val="left"/>
      <w:pPr>
        <w:ind w:left="3447" w:hanging="360"/>
      </w:pPr>
      <w:rPr>
        <w:rFonts w:ascii="Symbol" w:hAnsi="Symbol" w:hint="default"/>
      </w:rPr>
    </w:lvl>
    <w:lvl w:ilvl="4" w:tplc="240A0003">
      <w:start w:val="1"/>
      <w:numFmt w:val="bullet"/>
      <w:lvlText w:val="o"/>
      <w:lvlJc w:val="left"/>
      <w:pPr>
        <w:ind w:left="4167" w:hanging="360"/>
      </w:pPr>
      <w:rPr>
        <w:rFonts w:ascii="Courier New" w:hAnsi="Courier New" w:cs="Courier New" w:hint="default"/>
      </w:rPr>
    </w:lvl>
    <w:lvl w:ilvl="5" w:tplc="240A0005">
      <w:start w:val="1"/>
      <w:numFmt w:val="bullet"/>
      <w:lvlText w:val=""/>
      <w:lvlJc w:val="left"/>
      <w:pPr>
        <w:ind w:left="4887" w:hanging="360"/>
      </w:pPr>
      <w:rPr>
        <w:rFonts w:ascii="Wingdings" w:hAnsi="Wingdings" w:hint="default"/>
      </w:rPr>
    </w:lvl>
    <w:lvl w:ilvl="6" w:tplc="240A0001">
      <w:start w:val="1"/>
      <w:numFmt w:val="bullet"/>
      <w:lvlText w:val=""/>
      <w:lvlJc w:val="left"/>
      <w:pPr>
        <w:ind w:left="5607" w:hanging="360"/>
      </w:pPr>
      <w:rPr>
        <w:rFonts w:ascii="Symbol" w:hAnsi="Symbol" w:hint="default"/>
      </w:rPr>
    </w:lvl>
    <w:lvl w:ilvl="7" w:tplc="240A0003">
      <w:start w:val="1"/>
      <w:numFmt w:val="bullet"/>
      <w:lvlText w:val="o"/>
      <w:lvlJc w:val="left"/>
      <w:pPr>
        <w:ind w:left="6327" w:hanging="360"/>
      </w:pPr>
      <w:rPr>
        <w:rFonts w:ascii="Courier New" w:hAnsi="Courier New" w:cs="Courier New" w:hint="default"/>
      </w:rPr>
    </w:lvl>
    <w:lvl w:ilvl="8" w:tplc="240A0005">
      <w:start w:val="1"/>
      <w:numFmt w:val="bullet"/>
      <w:lvlText w:val=""/>
      <w:lvlJc w:val="left"/>
      <w:pPr>
        <w:ind w:left="7047" w:hanging="360"/>
      </w:pPr>
      <w:rPr>
        <w:rFonts w:ascii="Wingdings" w:hAnsi="Wingdings" w:hint="default"/>
      </w:rPr>
    </w:lvl>
  </w:abstractNum>
  <w:abstractNum w:abstractNumId="66" w15:restartNumberingAfterBreak="0">
    <w:nsid w:val="126F58C0"/>
    <w:multiLevelType w:val="hybridMultilevel"/>
    <w:tmpl w:val="F6000468"/>
    <w:lvl w:ilvl="0" w:tplc="B2EEFD8E">
      <w:numFmt w:val="bullet"/>
      <w:lvlText w:val="•"/>
      <w:lvlJc w:val="left"/>
      <w:pPr>
        <w:ind w:left="1065" w:hanging="705"/>
      </w:pPr>
      <w:rPr>
        <w:rFonts w:ascii="Calibri" w:eastAsiaTheme="minorHAnsi" w:hAnsi="Calibri"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7" w15:restartNumberingAfterBreak="0">
    <w:nsid w:val="12707A00"/>
    <w:multiLevelType w:val="hybridMultilevel"/>
    <w:tmpl w:val="0772E200"/>
    <w:lvl w:ilvl="0" w:tplc="002E3DAA">
      <w:start w:val="1"/>
      <w:numFmt w:val="lowerRoman"/>
      <w:lvlText w:val="%1)"/>
      <w:lvlJc w:val="left"/>
      <w:pPr>
        <w:ind w:left="1080" w:hanging="72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68" w15:restartNumberingAfterBreak="0">
    <w:nsid w:val="12882C70"/>
    <w:multiLevelType w:val="hybridMultilevel"/>
    <w:tmpl w:val="522CC000"/>
    <w:lvl w:ilvl="0" w:tplc="240A0001">
      <w:start w:val="1"/>
      <w:numFmt w:val="bullet"/>
      <w:lvlText w:val=""/>
      <w:lvlJc w:val="left"/>
      <w:pPr>
        <w:ind w:left="1069" w:hanging="360"/>
      </w:pPr>
      <w:rPr>
        <w:rFonts w:ascii="Symbol" w:hAnsi="Symbol" w:hint="default"/>
      </w:rPr>
    </w:lvl>
    <w:lvl w:ilvl="1" w:tplc="B2E8FD9A">
      <w:start w:val="1"/>
      <w:numFmt w:val="bullet"/>
      <w:lvlText w:val="o"/>
      <w:lvlJc w:val="left"/>
      <w:pPr>
        <w:ind w:left="1789" w:hanging="360"/>
      </w:pPr>
      <w:rPr>
        <w:rFonts w:ascii="Courier New" w:hAnsi="Courier New" w:hint="default"/>
      </w:rPr>
    </w:lvl>
    <w:lvl w:ilvl="2" w:tplc="C4D825E6">
      <w:start w:val="1"/>
      <w:numFmt w:val="bullet"/>
      <w:lvlText w:val=""/>
      <w:lvlJc w:val="left"/>
      <w:pPr>
        <w:ind w:left="2509" w:hanging="360"/>
      </w:pPr>
      <w:rPr>
        <w:rFonts w:ascii="Wingdings" w:hAnsi="Wingdings" w:hint="default"/>
      </w:rPr>
    </w:lvl>
    <w:lvl w:ilvl="3" w:tplc="3A901592">
      <w:start w:val="1"/>
      <w:numFmt w:val="bullet"/>
      <w:lvlText w:val=""/>
      <w:lvlJc w:val="left"/>
      <w:pPr>
        <w:ind w:left="3229" w:hanging="360"/>
      </w:pPr>
      <w:rPr>
        <w:rFonts w:ascii="Symbol" w:hAnsi="Symbol" w:hint="default"/>
      </w:rPr>
    </w:lvl>
    <w:lvl w:ilvl="4" w:tplc="C73CD678">
      <w:start w:val="1"/>
      <w:numFmt w:val="bullet"/>
      <w:lvlText w:val="o"/>
      <w:lvlJc w:val="left"/>
      <w:pPr>
        <w:ind w:left="3949" w:hanging="360"/>
      </w:pPr>
      <w:rPr>
        <w:rFonts w:ascii="Courier New" w:hAnsi="Courier New" w:hint="default"/>
      </w:rPr>
    </w:lvl>
    <w:lvl w:ilvl="5" w:tplc="345AB478">
      <w:start w:val="1"/>
      <w:numFmt w:val="bullet"/>
      <w:lvlText w:val=""/>
      <w:lvlJc w:val="left"/>
      <w:pPr>
        <w:ind w:left="4669" w:hanging="360"/>
      </w:pPr>
      <w:rPr>
        <w:rFonts w:ascii="Wingdings" w:hAnsi="Wingdings" w:hint="default"/>
      </w:rPr>
    </w:lvl>
    <w:lvl w:ilvl="6" w:tplc="0A9E9130">
      <w:start w:val="1"/>
      <w:numFmt w:val="bullet"/>
      <w:lvlText w:val=""/>
      <w:lvlJc w:val="left"/>
      <w:pPr>
        <w:ind w:left="5389" w:hanging="360"/>
      </w:pPr>
      <w:rPr>
        <w:rFonts w:ascii="Symbol" w:hAnsi="Symbol" w:hint="default"/>
      </w:rPr>
    </w:lvl>
    <w:lvl w:ilvl="7" w:tplc="72D24A7A">
      <w:start w:val="1"/>
      <w:numFmt w:val="bullet"/>
      <w:lvlText w:val="o"/>
      <w:lvlJc w:val="left"/>
      <w:pPr>
        <w:ind w:left="6109" w:hanging="360"/>
      </w:pPr>
      <w:rPr>
        <w:rFonts w:ascii="Courier New" w:hAnsi="Courier New" w:hint="default"/>
      </w:rPr>
    </w:lvl>
    <w:lvl w:ilvl="8" w:tplc="B0F08C30">
      <w:start w:val="1"/>
      <w:numFmt w:val="bullet"/>
      <w:lvlText w:val=""/>
      <w:lvlJc w:val="left"/>
      <w:pPr>
        <w:ind w:left="6829" w:hanging="360"/>
      </w:pPr>
      <w:rPr>
        <w:rFonts w:ascii="Wingdings" w:hAnsi="Wingdings" w:hint="default"/>
      </w:rPr>
    </w:lvl>
  </w:abstractNum>
  <w:abstractNum w:abstractNumId="69" w15:restartNumberingAfterBreak="0">
    <w:nsid w:val="13096BB3"/>
    <w:multiLevelType w:val="multilevel"/>
    <w:tmpl w:val="E06656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13990958"/>
    <w:multiLevelType w:val="hybridMultilevel"/>
    <w:tmpl w:val="DAE05690"/>
    <w:lvl w:ilvl="0" w:tplc="1A4421E0">
      <w:start w:val="1"/>
      <w:numFmt w:val="lowerRoman"/>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1" w15:restartNumberingAfterBreak="0">
    <w:nsid w:val="143F5601"/>
    <w:multiLevelType w:val="hybridMultilevel"/>
    <w:tmpl w:val="154EAFE6"/>
    <w:lvl w:ilvl="0" w:tplc="240A0001">
      <w:start w:val="1"/>
      <w:numFmt w:val="bullet"/>
      <w:lvlText w:val=""/>
      <w:lvlJc w:val="left"/>
      <w:pPr>
        <w:ind w:left="360" w:hanging="360"/>
      </w:pPr>
      <w:rPr>
        <w:rFonts w:ascii="Symbol" w:hAnsi="Symbol" w:hint="default"/>
      </w:rPr>
    </w:lvl>
    <w:lvl w:ilvl="1" w:tplc="26169528">
      <w:start w:val="1"/>
      <w:numFmt w:val="lowerLetter"/>
      <w:lvlText w:val="%2."/>
      <w:lvlJc w:val="left"/>
      <w:pPr>
        <w:ind w:left="1425" w:hanging="705"/>
      </w:pPr>
      <w:rPr>
        <w:rFonts w:hint="default"/>
      </w:rPr>
    </w:lvl>
    <w:lvl w:ilvl="2" w:tplc="B5CABCD4">
      <w:start w:val="1"/>
      <w:numFmt w:val="lowerLetter"/>
      <w:lvlText w:val="%3)"/>
      <w:lvlJc w:val="left"/>
      <w:pPr>
        <w:ind w:left="1980" w:hanging="360"/>
      </w:pPr>
      <w:rPr>
        <w:rFonts w:hint="default"/>
      </w:r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72" w15:restartNumberingAfterBreak="0">
    <w:nsid w:val="14512D2E"/>
    <w:multiLevelType w:val="hybridMultilevel"/>
    <w:tmpl w:val="4828A77E"/>
    <w:lvl w:ilvl="0" w:tplc="A1301BAE">
      <w:start w:val="1"/>
      <w:numFmt w:val="bullet"/>
      <w:lvlText w:val=""/>
      <w:lvlJc w:val="left"/>
      <w:pPr>
        <w:tabs>
          <w:tab w:val="num" w:pos="360"/>
        </w:tabs>
        <w:ind w:left="360" w:hanging="360"/>
      </w:pPr>
      <w:rPr>
        <w:rFonts w:ascii="Symbol" w:hAnsi="Symbol" w:hint="default"/>
        <w:color w:val="auto"/>
      </w:rPr>
    </w:lvl>
    <w:lvl w:ilvl="1" w:tplc="0C0A0003" w:tentative="1">
      <w:start w:val="1"/>
      <w:numFmt w:val="bullet"/>
      <w:lvlText w:val="o"/>
      <w:lvlJc w:val="left"/>
      <w:pPr>
        <w:tabs>
          <w:tab w:val="num" w:pos="1080"/>
        </w:tabs>
        <w:ind w:left="1080" w:hanging="360"/>
      </w:pPr>
      <w:rPr>
        <w:rFonts w:ascii="Courier New" w:hAnsi="Courier New" w:cs="Vrinda" w:hint="default"/>
      </w:rPr>
    </w:lvl>
    <w:lvl w:ilvl="2" w:tplc="0C0A0005" w:tentative="1">
      <w:start w:val="1"/>
      <w:numFmt w:val="bullet"/>
      <w:lvlText w:val=""/>
      <w:lvlJc w:val="left"/>
      <w:pPr>
        <w:tabs>
          <w:tab w:val="num" w:pos="1800"/>
        </w:tabs>
        <w:ind w:left="1800" w:hanging="360"/>
      </w:pPr>
      <w:rPr>
        <w:rFonts w:ascii="Wingdings" w:hAnsi="Wingdings" w:hint="default"/>
      </w:rPr>
    </w:lvl>
    <w:lvl w:ilvl="3" w:tplc="0C0A0001" w:tentative="1">
      <w:start w:val="1"/>
      <w:numFmt w:val="bullet"/>
      <w:lvlText w:val=""/>
      <w:lvlJc w:val="left"/>
      <w:pPr>
        <w:tabs>
          <w:tab w:val="num" w:pos="2520"/>
        </w:tabs>
        <w:ind w:left="2520" w:hanging="360"/>
      </w:pPr>
      <w:rPr>
        <w:rFonts w:ascii="Symbol" w:hAnsi="Symbol" w:hint="default"/>
      </w:rPr>
    </w:lvl>
    <w:lvl w:ilvl="4" w:tplc="0C0A0003" w:tentative="1">
      <w:start w:val="1"/>
      <w:numFmt w:val="bullet"/>
      <w:lvlText w:val="o"/>
      <w:lvlJc w:val="left"/>
      <w:pPr>
        <w:tabs>
          <w:tab w:val="num" w:pos="3240"/>
        </w:tabs>
        <w:ind w:left="3240" w:hanging="360"/>
      </w:pPr>
      <w:rPr>
        <w:rFonts w:ascii="Courier New" w:hAnsi="Courier New" w:cs="Vrinda" w:hint="default"/>
      </w:rPr>
    </w:lvl>
    <w:lvl w:ilvl="5" w:tplc="0C0A0005" w:tentative="1">
      <w:start w:val="1"/>
      <w:numFmt w:val="bullet"/>
      <w:lvlText w:val=""/>
      <w:lvlJc w:val="left"/>
      <w:pPr>
        <w:tabs>
          <w:tab w:val="num" w:pos="3960"/>
        </w:tabs>
        <w:ind w:left="3960" w:hanging="360"/>
      </w:pPr>
      <w:rPr>
        <w:rFonts w:ascii="Wingdings" w:hAnsi="Wingdings" w:hint="default"/>
      </w:rPr>
    </w:lvl>
    <w:lvl w:ilvl="6" w:tplc="0C0A0001" w:tentative="1">
      <w:start w:val="1"/>
      <w:numFmt w:val="bullet"/>
      <w:lvlText w:val=""/>
      <w:lvlJc w:val="left"/>
      <w:pPr>
        <w:tabs>
          <w:tab w:val="num" w:pos="4680"/>
        </w:tabs>
        <w:ind w:left="4680" w:hanging="360"/>
      </w:pPr>
      <w:rPr>
        <w:rFonts w:ascii="Symbol" w:hAnsi="Symbol" w:hint="default"/>
      </w:rPr>
    </w:lvl>
    <w:lvl w:ilvl="7" w:tplc="0C0A0003" w:tentative="1">
      <w:start w:val="1"/>
      <w:numFmt w:val="bullet"/>
      <w:lvlText w:val="o"/>
      <w:lvlJc w:val="left"/>
      <w:pPr>
        <w:tabs>
          <w:tab w:val="num" w:pos="5400"/>
        </w:tabs>
        <w:ind w:left="5400" w:hanging="360"/>
      </w:pPr>
      <w:rPr>
        <w:rFonts w:ascii="Courier New" w:hAnsi="Courier New" w:cs="Vrinda" w:hint="default"/>
      </w:rPr>
    </w:lvl>
    <w:lvl w:ilvl="8" w:tplc="0C0A0005" w:tentative="1">
      <w:start w:val="1"/>
      <w:numFmt w:val="bullet"/>
      <w:lvlText w:val=""/>
      <w:lvlJc w:val="left"/>
      <w:pPr>
        <w:tabs>
          <w:tab w:val="num" w:pos="6120"/>
        </w:tabs>
        <w:ind w:left="6120" w:hanging="360"/>
      </w:pPr>
      <w:rPr>
        <w:rFonts w:ascii="Wingdings" w:hAnsi="Wingdings" w:hint="default"/>
      </w:rPr>
    </w:lvl>
  </w:abstractNum>
  <w:abstractNum w:abstractNumId="73" w15:restartNumberingAfterBreak="0">
    <w:nsid w:val="14D26A42"/>
    <w:multiLevelType w:val="hybridMultilevel"/>
    <w:tmpl w:val="5FDCE356"/>
    <w:lvl w:ilvl="0" w:tplc="F2B4939A">
      <w:start w:val="1"/>
      <w:numFmt w:val="lowerLetter"/>
      <w:lvlText w:val="%1)"/>
      <w:lvlJc w:val="left"/>
      <w:pPr>
        <w:ind w:left="720" w:hanging="360"/>
      </w:pPr>
      <w:rPr>
        <w:rFonts w:hint="default"/>
        <w:b/>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59D00124">
      <w:start w:val="727"/>
      <w:numFmt w:val="bullet"/>
      <w:lvlText w:val="-"/>
      <w:lvlJc w:val="left"/>
      <w:pPr>
        <w:ind w:left="2880" w:hanging="360"/>
      </w:pPr>
      <w:rPr>
        <w:rFonts w:ascii="Calibri" w:eastAsiaTheme="minorHAnsi" w:hAnsi="Calibri" w:cstheme="minorBidi"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4" w15:restartNumberingAfterBreak="0">
    <w:nsid w:val="14DC6528"/>
    <w:multiLevelType w:val="hybridMultilevel"/>
    <w:tmpl w:val="1A70991E"/>
    <w:lvl w:ilvl="0" w:tplc="4DB80760">
      <w:start w:val="1"/>
      <w:numFmt w:val="bullet"/>
      <w:lvlText w:val="­"/>
      <w:lvlJc w:val="left"/>
      <w:pPr>
        <w:ind w:left="720" w:hanging="360"/>
      </w:pPr>
      <w:rPr>
        <w:rFonts w:ascii="Courier New" w:hAnsi="Courier New" w:cs="Times New Roman" w:hint="default"/>
        <w:color w:val="auto"/>
      </w:rPr>
    </w:lvl>
    <w:lvl w:ilvl="1" w:tplc="240A0003">
      <w:start w:val="1"/>
      <w:numFmt w:val="bullet"/>
      <w:lvlText w:val="o"/>
      <w:lvlJc w:val="left"/>
      <w:pPr>
        <w:ind w:left="1440" w:hanging="360"/>
      </w:pPr>
      <w:rPr>
        <w:rFonts w:ascii="Courier New" w:hAnsi="Courier New" w:cs="Courier New" w:hint="default"/>
        <w:color w:val="auto"/>
      </w:rPr>
    </w:lvl>
    <w:lvl w:ilvl="2" w:tplc="240A0005">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5" w15:restartNumberingAfterBreak="0">
    <w:nsid w:val="14EC663F"/>
    <w:multiLevelType w:val="hybridMultilevel"/>
    <w:tmpl w:val="A750474E"/>
    <w:lvl w:ilvl="0" w:tplc="240A001B">
      <w:start w:val="1"/>
      <w:numFmt w:val="lowerRoman"/>
      <w:lvlText w:val="%1."/>
      <w:lvlJc w:val="righ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6" w15:restartNumberingAfterBreak="0">
    <w:nsid w:val="15A62E18"/>
    <w:multiLevelType w:val="hybridMultilevel"/>
    <w:tmpl w:val="19DC6292"/>
    <w:lvl w:ilvl="0" w:tplc="5352EBE2">
      <w:start w:val="1"/>
      <w:numFmt w:val="bullet"/>
      <w:lvlText w:val=""/>
      <w:lvlJc w:val="left"/>
      <w:pPr>
        <w:ind w:left="1123" w:hanging="360"/>
      </w:pPr>
      <w:rPr>
        <w:rFonts w:ascii="Symbol" w:hAnsi="Symbol" w:hint="default"/>
        <w:color w:val="auto"/>
      </w:rPr>
    </w:lvl>
    <w:lvl w:ilvl="1" w:tplc="240A0003" w:tentative="1">
      <w:start w:val="1"/>
      <w:numFmt w:val="bullet"/>
      <w:lvlText w:val="o"/>
      <w:lvlJc w:val="left"/>
      <w:pPr>
        <w:ind w:left="1843" w:hanging="360"/>
      </w:pPr>
      <w:rPr>
        <w:rFonts w:ascii="Courier New" w:hAnsi="Courier New" w:cs="Courier New" w:hint="default"/>
      </w:rPr>
    </w:lvl>
    <w:lvl w:ilvl="2" w:tplc="240A0005" w:tentative="1">
      <w:start w:val="1"/>
      <w:numFmt w:val="bullet"/>
      <w:lvlText w:val=""/>
      <w:lvlJc w:val="left"/>
      <w:pPr>
        <w:ind w:left="2563" w:hanging="360"/>
      </w:pPr>
      <w:rPr>
        <w:rFonts w:ascii="Wingdings" w:hAnsi="Wingdings" w:hint="default"/>
      </w:rPr>
    </w:lvl>
    <w:lvl w:ilvl="3" w:tplc="240A0001" w:tentative="1">
      <w:start w:val="1"/>
      <w:numFmt w:val="bullet"/>
      <w:lvlText w:val=""/>
      <w:lvlJc w:val="left"/>
      <w:pPr>
        <w:ind w:left="3283" w:hanging="360"/>
      </w:pPr>
      <w:rPr>
        <w:rFonts w:ascii="Symbol" w:hAnsi="Symbol" w:hint="default"/>
      </w:rPr>
    </w:lvl>
    <w:lvl w:ilvl="4" w:tplc="240A0003" w:tentative="1">
      <w:start w:val="1"/>
      <w:numFmt w:val="bullet"/>
      <w:lvlText w:val="o"/>
      <w:lvlJc w:val="left"/>
      <w:pPr>
        <w:ind w:left="4003" w:hanging="360"/>
      </w:pPr>
      <w:rPr>
        <w:rFonts w:ascii="Courier New" w:hAnsi="Courier New" w:cs="Courier New" w:hint="default"/>
      </w:rPr>
    </w:lvl>
    <w:lvl w:ilvl="5" w:tplc="240A0005" w:tentative="1">
      <w:start w:val="1"/>
      <w:numFmt w:val="bullet"/>
      <w:lvlText w:val=""/>
      <w:lvlJc w:val="left"/>
      <w:pPr>
        <w:ind w:left="4723" w:hanging="360"/>
      </w:pPr>
      <w:rPr>
        <w:rFonts w:ascii="Wingdings" w:hAnsi="Wingdings" w:hint="default"/>
      </w:rPr>
    </w:lvl>
    <w:lvl w:ilvl="6" w:tplc="240A0001" w:tentative="1">
      <w:start w:val="1"/>
      <w:numFmt w:val="bullet"/>
      <w:lvlText w:val=""/>
      <w:lvlJc w:val="left"/>
      <w:pPr>
        <w:ind w:left="5443" w:hanging="360"/>
      </w:pPr>
      <w:rPr>
        <w:rFonts w:ascii="Symbol" w:hAnsi="Symbol" w:hint="default"/>
      </w:rPr>
    </w:lvl>
    <w:lvl w:ilvl="7" w:tplc="240A0003" w:tentative="1">
      <w:start w:val="1"/>
      <w:numFmt w:val="bullet"/>
      <w:lvlText w:val="o"/>
      <w:lvlJc w:val="left"/>
      <w:pPr>
        <w:ind w:left="6163" w:hanging="360"/>
      </w:pPr>
      <w:rPr>
        <w:rFonts w:ascii="Courier New" w:hAnsi="Courier New" w:cs="Courier New" w:hint="default"/>
      </w:rPr>
    </w:lvl>
    <w:lvl w:ilvl="8" w:tplc="240A0005" w:tentative="1">
      <w:start w:val="1"/>
      <w:numFmt w:val="bullet"/>
      <w:lvlText w:val=""/>
      <w:lvlJc w:val="left"/>
      <w:pPr>
        <w:ind w:left="6883" w:hanging="360"/>
      </w:pPr>
      <w:rPr>
        <w:rFonts w:ascii="Wingdings" w:hAnsi="Wingdings" w:hint="default"/>
      </w:rPr>
    </w:lvl>
  </w:abstractNum>
  <w:abstractNum w:abstractNumId="77" w15:restartNumberingAfterBreak="0">
    <w:nsid w:val="16125631"/>
    <w:multiLevelType w:val="hybridMultilevel"/>
    <w:tmpl w:val="D8003276"/>
    <w:lvl w:ilvl="0" w:tplc="4DB80760">
      <w:start w:val="1"/>
      <w:numFmt w:val="bullet"/>
      <w:lvlText w:val="­"/>
      <w:lvlJc w:val="left"/>
      <w:pPr>
        <w:ind w:left="720" w:hanging="360"/>
      </w:pPr>
      <w:rPr>
        <w:rFonts w:ascii="Courier New" w:hAnsi="Courier New" w:cs="Times New Roman"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8" w15:restartNumberingAfterBreak="0">
    <w:nsid w:val="16E03DF3"/>
    <w:multiLevelType w:val="hybridMultilevel"/>
    <w:tmpl w:val="0CDCD508"/>
    <w:lvl w:ilvl="0" w:tplc="1A4421E0">
      <w:start w:val="1"/>
      <w:numFmt w:val="lowerRoman"/>
      <w:lvlText w:val="%1)"/>
      <w:lvlJc w:val="left"/>
      <w:pPr>
        <w:ind w:left="1080" w:hanging="720"/>
      </w:pPr>
      <w:rPr>
        <w:rFonts w:hint="default"/>
        <w:color w:val="auto"/>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9" w15:restartNumberingAfterBreak="0">
    <w:nsid w:val="171E1BA2"/>
    <w:multiLevelType w:val="hybridMultilevel"/>
    <w:tmpl w:val="90F8E1B0"/>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0" w15:restartNumberingAfterBreak="0">
    <w:nsid w:val="173868B2"/>
    <w:multiLevelType w:val="hybridMultilevel"/>
    <w:tmpl w:val="55D0869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1" w15:restartNumberingAfterBreak="0">
    <w:nsid w:val="173E64C8"/>
    <w:multiLevelType w:val="hybridMultilevel"/>
    <w:tmpl w:val="35F20C02"/>
    <w:lvl w:ilvl="0" w:tplc="4DB80760">
      <w:start w:val="1"/>
      <w:numFmt w:val="bullet"/>
      <w:lvlText w:val="­"/>
      <w:lvlJc w:val="left"/>
      <w:pPr>
        <w:ind w:left="720" w:hanging="360"/>
      </w:pPr>
      <w:rPr>
        <w:rFonts w:ascii="Courier New" w:hAnsi="Courier New" w:cs="Times New Roman"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2" w15:restartNumberingAfterBreak="0">
    <w:nsid w:val="175F3CA1"/>
    <w:multiLevelType w:val="hybridMultilevel"/>
    <w:tmpl w:val="7DE2E52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3" w15:restartNumberingAfterBreak="0">
    <w:nsid w:val="179C7378"/>
    <w:multiLevelType w:val="hybridMultilevel"/>
    <w:tmpl w:val="1F52109C"/>
    <w:lvl w:ilvl="0" w:tplc="240A0013">
      <w:start w:val="1"/>
      <w:numFmt w:val="upperRoman"/>
      <w:lvlText w:val="%1."/>
      <w:lvlJc w:val="right"/>
      <w:pPr>
        <w:ind w:left="720" w:hanging="360"/>
      </w:p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4" w15:restartNumberingAfterBreak="0">
    <w:nsid w:val="185650BC"/>
    <w:multiLevelType w:val="hybridMultilevel"/>
    <w:tmpl w:val="18C6DA68"/>
    <w:lvl w:ilvl="0" w:tplc="ECCCCD1C">
      <w:start w:val="1"/>
      <w:numFmt w:val="decimal"/>
      <w:lvlText w:val="%1."/>
      <w:lvlJc w:val="left"/>
      <w:pPr>
        <w:ind w:left="455" w:hanging="360"/>
      </w:pPr>
      <w:rPr>
        <w:rFonts w:hint="default"/>
      </w:rPr>
    </w:lvl>
    <w:lvl w:ilvl="1" w:tplc="240A0019" w:tentative="1">
      <w:start w:val="1"/>
      <w:numFmt w:val="lowerLetter"/>
      <w:lvlText w:val="%2."/>
      <w:lvlJc w:val="left"/>
      <w:pPr>
        <w:ind w:left="1175" w:hanging="360"/>
      </w:pPr>
    </w:lvl>
    <w:lvl w:ilvl="2" w:tplc="240A001B" w:tentative="1">
      <w:start w:val="1"/>
      <w:numFmt w:val="lowerRoman"/>
      <w:lvlText w:val="%3."/>
      <w:lvlJc w:val="right"/>
      <w:pPr>
        <w:ind w:left="1895" w:hanging="180"/>
      </w:pPr>
    </w:lvl>
    <w:lvl w:ilvl="3" w:tplc="240A000F" w:tentative="1">
      <w:start w:val="1"/>
      <w:numFmt w:val="decimal"/>
      <w:lvlText w:val="%4."/>
      <w:lvlJc w:val="left"/>
      <w:pPr>
        <w:ind w:left="2615" w:hanging="360"/>
      </w:pPr>
    </w:lvl>
    <w:lvl w:ilvl="4" w:tplc="240A0019" w:tentative="1">
      <w:start w:val="1"/>
      <w:numFmt w:val="lowerLetter"/>
      <w:lvlText w:val="%5."/>
      <w:lvlJc w:val="left"/>
      <w:pPr>
        <w:ind w:left="3335" w:hanging="360"/>
      </w:pPr>
    </w:lvl>
    <w:lvl w:ilvl="5" w:tplc="240A001B" w:tentative="1">
      <w:start w:val="1"/>
      <w:numFmt w:val="lowerRoman"/>
      <w:lvlText w:val="%6."/>
      <w:lvlJc w:val="right"/>
      <w:pPr>
        <w:ind w:left="4055" w:hanging="180"/>
      </w:pPr>
    </w:lvl>
    <w:lvl w:ilvl="6" w:tplc="240A000F" w:tentative="1">
      <w:start w:val="1"/>
      <w:numFmt w:val="decimal"/>
      <w:lvlText w:val="%7."/>
      <w:lvlJc w:val="left"/>
      <w:pPr>
        <w:ind w:left="4775" w:hanging="360"/>
      </w:pPr>
    </w:lvl>
    <w:lvl w:ilvl="7" w:tplc="240A0019" w:tentative="1">
      <w:start w:val="1"/>
      <w:numFmt w:val="lowerLetter"/>
      <w:lvlText w:val="%8."/>
      <w:lvlJc w:val="left"/>
      <w:pPr>
        <w:ind w:left="5495" w:hanging="360"/>
      </w:pPr>
    </w:lvl>
    <w:lvl w:ilvl="8" w:tplc="240A001B" w:tentative="1">
      <w:start w:val="1"/>
      <w:numFmt w:val="lowerRoman"/>
      <w:lvlText w:val="%9."/>
      <w:lvlJc w:val="right"/>
      <w:pPr>
        <w:ind w:left="6215" w:hanging="180"/>
      </w:pPr>
    </w:lvl>
  </w:abstractNum>
  <w:abstractNum w:abstractNumId="85" w15:restartNumberingAfterBreak="0">
    <w:nsid w:val="18745A71"/>
    <w:multiLevelType w:val="hybridMultilevel"/>
    <w:tmpl w:val="B4383B8A"/>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86" w15:restartNumberingAfterBreak="0">
    <w:nsid w:val="1896710D"/>
    <w:multiLevelType w:val="multilevel"/>
    <w:tmpl w:val="B1B061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7" w15:restartNumberingAfterBreak="0">
    <w:nsid w:val="18B7544B"/>
    <w:multiLevelType w:val="hybridMultilevel"/>
    <w:tmpl w:val="32DCAA48"/>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8" w15:restartNumberingAfterBreak="0">
    <w:nsid w:val="196446EF"/>
    <w:multiLevelType w:val="hybridMultilevel"/>
    <w:tmpl w:val="229ADD9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9" w15:restartNumberingAfterBreak="0">
    <w:nsid w:val="19E64849"/>
    <w:multiLevelType w:val="hybridMultilevel"/>
    <w:tmpl w:val="26724C2A"/>
    <w:lvl w:ilvl="0" w:tplc="4DB80760">
      <w:start w:val="1"/>
      <w:numFmt w:val="bullet"/>
      <w:lvlText w:val="­"/>
      <w:lvlJc w:val="left"/>
      <w:pPr>
        <w:ind w:left="360" w:hanging="360"/>
      </w:pPr>
      <w:rPr>
        <w:rFonts w:ascii="Courier New" w:hAnsi="Courier New" w:cs="Times New Roman" w:hint="default"/>
        <w:color w:val="auto"/>
      </w:rPr>
    </w:lvl>
    <w:lvl w:ilvl="1" w:tplc="1B4A25EA">
      <w:numFmt w:val="bullet"/>
      <w:lvlText w:val="•"/>
      <w:lvlJc w:val="left"/>
      <w:pPr>
        <w:ind w:left="1080" w:hanging="360"/>
      </w:pPr>
      <w:rPr>
        <w:rFonts w:ascii="Arial Narrow" w:eastAsia="Times New Roman" w:hAnsi="Arial Narrow" w:cs="Arial"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90" w15:restartNumberingAfterBreak="0">
    <w:nsid w:val="1A450ACD"/>
    <w:multiLevelType w:val="hybridMultilevel"/>
    <w:tmpl w:val="29DE6CA4"/>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91" w15:restartNumberingAfterBreak="0">
    <w:nsid w:val="1A783530"/>
    <w:multiLevelType w:val="hybridMultilevel"/>
    <w:tmpl w:val="9128523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2" w15:restartNumberingAfterBreak="0">
    <w:nsid w:val="1AEC0FD0"/>
    <w:multiLevelType w:val="hybridMultilevel"/>
    <w:tmpl w:val="AFDAC40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3" w15:restartNumberingAfterBreak="0">
    <w:nsid w:val="1B5B33EF"/>
    <w:multiLevelType w:val="hybridMultilevel"/>
    <w:tmpl w:val="49907B86"/>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4" w15:restartNumberingAfterBreak="0">
    <w:nsid w:val="1B694DF2"/>
    <w:multiLevelType w:val="multilevel"/>
    <w:tmpl w:val="E6F864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5" w15:restartNumberingAfterBreak="0">
    <w:nsid w:val="1B7C07A8"/>
    <w:multiLevelType w:val="hybridMultilevel"/>
    <w:tmpl w:val="E1BCAE9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6" w15:restartNumberingAfterBreak="0">
    <w:nsid w:val="1BAC4DF1"/>
    <w:multiLevelType w:val="hybridMultilevel"/>
    <w:tmpl w:val="B69AE068"/>
    <w:lvl w:ilvl="0" w:tplc="4DB80760">
      <w:start w:val="1"/>
      <w:numFmt w:val="bullet"/>
      <w:lvlText w:val="­"/>
      <w:lvlJc w:val="left"/>
      <w:pPr>
        <w:ind w:left="720" w:hanging="360"/>
      </w:pPr>
      <w:rPr>
        <w:rFonts w:ascii="Courier New" w:hAnsi="Courier New" w:cs="Times New Roman" w:hint="default"/>
        <w:b/>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7" w15:restartNumberingAfterBreak="0">
    <w:nsid w:val="1BE141FB"/>
    <w:multiLevelType w:val="hybridMultilevel"/>
    <w:tmpl w:val="16F047B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8" w15:restartNumberingAfterBreak="0">
    <w:nsid w:val="1BF6697D"/>
    <w:multiLevelType w:val="multilevel"/>
    <w:tmpl w:val="5BD80080"/>
    <w:lvl w:ilvl="0">
      <w:start w:val="2"/>
      <w:numFmt w:val="decimal"/>
      <w:lvlText w:val="%1"/>
      <w:lvlJc w:val="left"/>
      <w:pPr>
        <w:ind w:left="600" w:hanging="600"/>
      </w:pPr>
      <w:rPr>
        <w:rFonts w:hint="default"/>
      </w:rPr>
    </w:lvl>
    <w:lvl w:ilvl="1">
      <w:start w:val="3"/>
      <w:numFmt w:val="decimal"/>
      <w:lvlText w:val="%1.%2"/>
      <w:lvlJc w:val="left"/>
      <w:pPr>
        <w:ind w:left="600" w:hanging="600"/>
      </w:pPr>
      <w:rPr>
        <w:rFonts w:hint="default"/>
      </w:rPr>
    </w:lvl>
    <w:lvl w:ilvl="2">
      <w:start w:val="3"/>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9" w15:restartNumberingAfterBreak="0">
    <w:nsid w:val="1C3C54AC"/>
    <w:multiLevelType w:val="hybridMultilevel"/>
    <w:tmpl w:val="B1B610B0"/>
    <w:lvl w:ilvl="0" w:tplc="4DB80760">
      <w:start w:val="1"/>
      <w:numFmt w:val="bullet"/>
      <w:lvlText w:val="­"/>
      <w:lvlJc w:val="left"/>
      <w:pPr>
        <w:ind w:left="720" w:hanging="360"/>
      </w:pPr>
      <w:rPr>
        <w:rFonts w:ascii="Courier New" w:hAnsi="Courier New" w:cs="Times New Roman" w:hint="default"/>
        <w:b w:val="0"/>
        <w:i w:val="0"/>
        <w:color w:val="auto"/>
        <w:sz w:val="24"/>
        <w:lang w:val="es-CO"/>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0" w15:restartNumberingAfterBreak="0">
    <w:nsid w:val="1C45434E"/>
    <w:multiLevelType w:val="hybridMultilevel"/>
    <w:tmpl w:val="7B6AFA1A"/>
    <w:lvl w:ilvl="0" w:tplc="240A0005">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1" w15:restartNumberingAfterBreak="0">
    <w:nsid w:val="1CDF4169"/>
    <w:multiLevelType w:val="hybridMultilevel"/>
    <w:tmpl w:val="D9F63538"/>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02" w15:restartNumberingAfterBreak="0">
    <w:nsid w:val="1D0E61F6"/>
    <w:multiLevelType w:val="hybridMultilevel"/>
    <w:tmpl w:val="3446E922"/>
    <w:lvl w:ilvl="0" w:tplc="14D20D7A">
      <w:start w:val="1"/>
      <w:numFmt w:val="upperRoman"/>
      <w:pStyle w:val="Tituloaparte"/>
      <w:lvlText w:val="%1."/>
      <w:lvlJc w:val="right"/>
      <w:pPr>
        <w:ind w:left="720" w:hanging="360"/>
      </w:pPr>
    </w:lvl>
    <w:lvl w:ilvl="1" w:tplc="4914E3D4">
      <w:start w:val="1"/>
      <w:numFmt w:val="decimal"/>
      <w:lvlText w:val="%2."/>
      <w:lvlJc w:val="left"/>
      <w:pPr>
        <w:ind w:left="1785" w:hanging="705"/>
      </w:pPr>
      <w:rPr>
        <w:rFonts w:hint="default"/>
      </w:r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3" w15:restartNumberingAfterBreak="0">
    <w:nsid w:val="1D520B66"/>
    <w:multiLevelType w:val="hybridMultilevel"/>
    <w:tmpl w:val="E724F0D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4" w15:restartNumberingAfterBreak="0">
    <w:nsid w:val="1DB2638D"/>
    <w:multiLevelType w:val="hybridMultilevel"/>
    <w:tmpl w:val="D9F06D20"/>
    <w:lvl w:ilvl="0" w:tplc="529C9D72">
      <w:start w:val="4"/>
      <w:numFmt w:val="bullet"/>
      <w:lvlText w:val="-"/>
      <w:lvlJc w:val="left"/>
      <w:pPr>
        <w:ind w:left="720" w:hanging="360"/>
      </w:pPr>
      <w:rPr>
        <w:rFonts w:ascii="Arial" w:eastAsiaTheme="minorHAns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5" w15:restartNumberingAfterBreak="0">
    <w:nsid w:val="1DDA6183"/>
    <w:multiLevelType w:val="hybridMultilevel"/>
    <w:tmpl w:val="232CC63E"/>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06" w15:restartNumberingAfterBreak="0">
    <w:nsid w:val="1E6006FB"/>
    <w:multiLevelType w:val="hybridMultilevel"/>
    <w:tmpl w:val="E0444A06"/>
    <w:lvl w:ilvl="0" w:tplc="4DB80760">
      <w:start w:val="1"/>
      <w:numFmt w:val="bullet"/>
      <w:lvlText w:val="­"/>
      <w:lvlJc w:val="left"/>
      <w:pPr>
        <w:ind w:left="1287" w:hanging="360"/>
      </w:pPr>
      <w:rPr>
        <w:rFonts w:ascii="Courier New" w:hAnsi="Courier New" w:cs="Times New Roman" w:hint="default"/>
        <w:color w:val="auto"/>
      </w:rPr>
    </w:lvl>
    <w:lvl w:ilvl="1" w:tplc="0C0A0003" w:tentative="1">
      <w:start w:val="1"/>
      <w:numFmt w:val="bullet"/>
      <w:lvlText w:val="o"/>
      <w:lvlJc w:val="left"/>
      <w:pPr>
        <w:ind w:left="2007" w:hanging="360"/>
      </w:pPr>
      <w:rPr>
        <w:rFonts w:ascii="Courier New" w:hAnsi="Courier New" w:cs="Courier New" w:hint="default"/>
      </w:rPr>
    </w:lvl>
    <w:lvl w:ilvl="2" w:tplc="0C0A0005" w:tentative="1">
      <w:start w:val="1"/>
      <w:numFmt w:val="bullet"/>
      <w:lvlText w:val=""/>
      <w:lvlJc w:val="left"/>
      <w:pPr>
        <w:ind w:left="2727" w:hanging="360"/>
      </w:pPr>
      <w:rPr>
        <w:rFonts w:ascii="Wingdings" w:hAnsi="Wingdings" w:hint="default"/>
      </w:rPr>
    </w:lvl>
    <w:lvl w:ilvl="3" w:tplc="0C0A0001" w:tentative="1">
      <w:start w:val="1"/>
      <w:numFmt w:val="bullet"/>
      <w:lvlText w:val=""/>
      <w:lvlJc w:val="left"/>
      <w:pPr>
        <w:ind w:left="3447" w:hanging="360"/>
      </w:pPr>
      <w:rPr>
        <w:rFonts w:ascii="Symbol" w:hAnsi="Symbol" w:hint="default"/>
      </w:rPr>
    </w:lvl>
    <w:lvl w:ilvl="4" w:tplc="0C0A0003" w:tentative="1">
      <w:start w:val="1"/>
      <w:numFmt w:val="bullet"/>
      <w:lvlText w:val="o"/>
      <w:lvlJc w:val="left"/>
      <w:pPr>
        <w:ind w:left="4167" w:hanging="360"/>
      </w:pPr>
      <w:rPr>
        <w:rFonts w:ascii="Courier New" w:hAnsi="Courier New" w:cs="Courier New" w:hint="default"/>
      </w:rPr>
    </w:lvl>
    <w:lvl w:ilvl="5" w:tplc="0C0A0005" w:tentative="1">
      <w:start w:val="1"/>
      <w:numFmt w:val="bullet"/>
      <w:lvlText w:val=""/>
      <w:lvlJc w:val="left"/>
      <w:pPr>
        <w:ind w:left="4887" w:hanging="360"/>
      </w:pPr>
      <w:rPr>
        <w:rFonts w:ascii="Wingdings" w:hAnsi="Wingdings" w:hint="default"/>
      </w:rPr>
    </w:lvl>
    <w:lvl w:ilvl="6" w:tplc="0C0A0001" w:tentative="1">
      <w:start w:val="1"/>
      <w:numFmt w:val="bullet"/>
      <w:lvlText w:val=""/>
      <w:lvlJc w:val="left"/>
      <w:pPr>
        <w:ind w:left="5607" w:hanging="360"/>
      </w:pPr>
      <w:rPr>
        <w:rFonts w:ascii="Symbol" w:hAnsi="Symbol" w:hint="default"/>
      </w:rPr>
    </w:lvl>
    <w:lvl w:ilvl="7" w:tplc="0C0A0003" w:tentative="1">
      <w:start w:val="1"/>
      <w:numFmt w:val="bullet"/>
      <w:lvlText w:val="o"/>
      <w:lvlJc w:val="left"/>
      <w:pPr>
        <w:ind w:left="6327" w:hanging="360"/>
      </w:pPr>
      <w:rPr>
        <w:rFonts w:ascii="Courier New" w:hAnsi="Courier New" w:cs="Courier New" w:hint="default"/>
      </w:rPr>
    </w:lvl>
    <w:lvl w:ilvl="8" w:tplc="0C0A0005" w:tentative="1">
      <w:start w:val="1"/>
      <w:numFmt w:val="bullet"/>
      <w:lvlText w:val=""/>
      <w:lvlJc w:val="left"/>
      <w:pPr>
        <w:ind w:left="7047" w:hanging="360"/>
      </w:pPr>
      <w:rPr>
        <w:rFonts w:ascii="Wingdings" w:hAnsi="Wingdings" w:hint="default"/>
      </w:rPr>
    </w:lvl>
  </w:abstractNum>
  <w:abstractNum w:abstractNumId="107" w15:restartNumberingAfterBreak="0">
    <w:nsid w:val="1EE45760"/>
    <w:multiLevelType w:val="hybridMultilevel"/>
    <w:tmpl w:val="E36C3FB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8" w15:restartNumberingAfterBreak="0">
    <w:nsid w:val="1EE73563"/>
    <w:multiLevelType w:val="hybridMultilevel"/>
    <w:tmpl w:val="B7C0B964"/>
    <w:lvl w:ilvl="0" w:tplc="240A0003">
      <w:start w:val="1"/>
      <w:numFmt w:val="bullet"/>
      <w:lvlText w:val="o"/>
      <w:lvlJc w:val="left"/>
      <w:pPr>
        <w:ind w:left="1080" w:hanging="360"/>
      </w:pPr>
      <w:rPr>
        <w:rFonts w:ascii="Courier New" w:hAnsi="Courier New" w:cs="Courier New"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109" w15:restartNumberingAfterBreak="0">
    <w:nsid w:val="1EFA1F30"/>
    <w:multiLevelType w:val="hybridMultilevel"/>
    <w:tmpl w:val="3A204C0E"/>
    <w:lvl w:ilvl="0" w:tplc="1276B62A">
      <w:start w:val="1"/>
      <w:numFmt w:val="lowerLetter"/>
      <w:lvlText w:val="%1."/>
      <w:lvlJc w:val="left"/>
      <w:pPr>
        <w:ind w:left="1408" w:hanging="567"/>
      </w:pPr>
      <w:rPr>
        <w:rFonts w:ascii="Arial" w:eastAsia="Arial" w:hAnsi="Arial" w:cs="Arial" w:hint="default"/>
        <w:b/>
        <w:bCs/>
        <w:spacing w:val="-6"/>
        <w:w w:val="99"/>
        <w:sz w:val="24"/>
        <w:szCs w:val="24"/>
      </w:rPr>
    </w:lvl>
    <w:lvl w:ilvl="1" w:tplc="FA16E9CC">
      <w:numFmt w:val="bullet"/>
      <w:lvlText w:val="•"/>
      <w:lvlJc w:val="left"/>
      <w:pPr>
        <w:ind w:left="2296" w:hanging="567"/>
      </w:pPr>
      <w:rPr>
        <w:rFonts w:hint="default"/>
      </w:rPr>
    </w:lvl>
    <w:lvl w:ilvl="2" w:tplc="F4586442">
      <w:numFmt w:val="bullet"/>
      <w:lvlText w:val="•"/>
      <w:lvlJc w:val="left"/>
      <w:pPr>
        <w:ind w:left="3192" w:hanging="567"/>
      </w:pPr>
      <w:rPr>
        <w:rFonts w:hint="default"/>
      </w:rPr>
    </w:lvl>
    <w:lvl w:ilvl="3" w:tplc="D14A9936">
      <w:numFmt w:val="bullet"/>
      <w:lvlText w:val="•"/>
      <w:lvlJc w:val="left"/>
      <w:pPr>
        <w:ind w:left="4088" w:hanging="567"/>
      </w:pPr>
      <w:rPr>
        <w:rFonts w:hint="default"/>
      </w:rPr>
    </w:lvl>
    <w:lvl w:ilvl="4" w:tplc="46EA07BA">
      <w:numFmt w:val="bullet"/>
      <w:lvlText w:val="•"/>
      <w:lvlJc w:val="left"/>
      <w:pPr>
        <w:ind w:left="4984" w:hanging="567"/>
      </w:pPr>
      <w:rPr>
        <w:rFonts w:hint="default"/>
      </w:rPr>
    </w:lvl>
    <w:lvl w:ilvl="5" w:tplc="E2FA2E2A">
      <w:numFmt w:val="bullet"/>
      <w:lvlText w:val="•"/>
      <w:lvlJc w:val="left"/>
      <w:pPr>
        <w:ind w:left="5881" w:hanging="567"/>
      </w:pPr>
      <w:rPr>
        <w:rFonts w:hint="default"/>
      </w:rPr>
    </w:lvl>
    <w:lvl w:ilvl="6" w:tplc="5F1AF04C">
      <w:numFmt w:val="bullet"/>
      <w:lvlText w:val="•"/>
      <w:lvlJc w:val="left"/>
      <w:pPr>
        <w:ind w:left="6777" w:hanging="567"/>
      </w:pPr>
      <w:rPr>
        <w:rFonts w:hint="default"/>
      </w:rPr>
    </w:lvl>
    <w:lvl w:ilvl="7" w:tplc="20D4E4FE">
      <w:numFmt w:val="bullet"/>
      <w:lvlText w:val="•"/>
      <w:lvlJc w:val="left"/>
      <w:pPr>
        <w:ind w:left="7673" w:hanging="567"/>
      </w:pPr>
      <w:rPr>
        <w:rFonts w:hint="default"/>
      </w:rPr>
    </w:lvl>
    <w:lvl w:ilvl="8" w:tplc="9738EBC8">
      <w:numFmt w:val="bullet"/>
      <w:lvlText w:val="•"/>
      <w:lvlJc w:val="left"/>
      <w:pPr>
        <w:ind w:left="8569" w:hanging="567"/>
      </w:pPr>
      <w:rPr>
        <w:rFonts w:hint="default"/>
      </w:rPr>
    </w:lvl>
  </w:abstractNum>
  <w:abstractNum w:abstractNumId="110" w15:restartNumberingAfterBreak="0">
    <w:nsid w:val="1F02341D"/>
    <w:multiLevelType w:val="hybridMultilevel"/>
    <w:tmpl w:val="443288C2"/>
    <w:lvl w:ilvl="0" w:tplc="04090003">
      <w:start w:val="1"/>
      <w:numFmt w:val="bullet"/>
      <w:lvlText w:val="o"/>
      <w:lvlJc w:val="left"/>
      <w:pPr>
        <w:ind w:left="1440" w:hanging="360"/>
      </w:pPr>
      <w:rPr>
        <w:rFonts w:ascii="Courier New" w:hAnsi="Courier New" w:cs="Courier New" w:hint="default"/>
      </w:rPr>
    </w:lvl>
    <w:lvl w:ilvl="1" w:tplc="D9EE16D8">
      <w:numFmt w:val="bullet"/>
      <w:lvlText w:val=""/>
      <w:lvlJc w:val="left"/>
      <w:pPr>
        <w:ind w:left="2520" w:hanging="720"/>
      </w:pPr>
      <w:rPr>
        <w:rFonts w:ascii="Symbol" w:eastAsia="Times New Roman" w:hAnsi="Symbol" w:cs="Arial" w:hint="default"/>
      </w:rPr>
    </w:lvl>
    <w:lvl w:ilvl="2" w:tplc="580A0005" w:tentative="1">
      <w:start w:val="1"/>
      <w:numFmt w:val="bullet"/>
      <w:lvlText w:val=""/>
      <w:lvlJc w:val="left"/>
      <w:pPr>
        <w:ind w:left="2880" w:hanging="360"/>
      </w:pPr>
      <w:rPr>
        <w:rFonts w:ascii="Wingdings" w:hAnsi="Wingdings" w:hint="default"/>
      </w:rPr>
    </w:lvl>
    <w:lvl w:ilvl="3" w:tplc="580A0001" w:tentative="1">
      <w:start w:val="1"/>
      <w:numFmt w:val="bullet"/>
      <w:lvlText w:val=""/>
      <w:lvlJc w:val="left"/>
      <w:pPr>
        <w:ind w:left="3600" w:hanging="360"/>
      </w:pPr>
      <w:rPr>
        <w:rFonts w:ascii="Symbol" w:hAnsi="Symbol" w:hint="default"/>
      </w:rPr>
    </w:lvl>
    <w:lvl w:ilvl="4" w:tplc="580A0003" w:tentative="1">
      <w:start w:val="1"/>
      <w:numFmt w:val="bullet"/>
      <w:lvlText w:val="o"/>
      <w:lvlJc w:val="left"/>
      <w:pPr>
        <w:ind w:left="4320" w:hanging="360"/>
      </w:pPr>
      <w:rPr>
        <w:rFonts w:ascii="Courier New" w:hAnsi="Courier New" w:cs="Courier New" w:hint="default"/>
      </w:rPr>
    </w:lvl>
    <w:lvl w:ilvl="5" w:tplc="580A0005" w:tentative="1">
      <w:start w:val="1"/>
      <w:numFmt w:val="bullet"/>
      <w:lvlText w:val=""/>
      <w:lvlJc w:val="left"/>
      <w:pPr>
        <w:ind w:left="5040" w:hanging="360"/>
      </w:pPr>
      <w:rPr>
        <w:rFonts w:ascii="Wingdings" w:hAnsi="Wingdings" w:hint="default"/>
      </w:rPr>
    </w:lvl>
    <w:lvl w:ilvl="6" w:tplc="580A0001" w:tentative="1">
      <w:start w:val="1"/>
      <w:numFmt w:val="bullet"/>
      <w:lvlText w:val=""/>
      <w:lvlJc w:val="left"/>
      <w:pPr>
        <w:ind w:left="5760" w:hanging="360"/>
      </w:pPr>
      <w:rPr>
        <w:rFonts w:ascii="Symbol" w:hAnsi="Symbol" w:hint="default"/>
      </w:rPr>
    </w:lvl>
    <w:lvl w:ilvl="7" w:tplc="580A0003" w:tentative="1">
      <w:start w:val="1"/>
      <w:numFmt w:val="bullet"/>
      <w:lvlText w:val="o"/>
      <w:lvlJc w:val="left"/>
      <w:pPr>
        <w:ind w:left="6480" w:hanging="360"/>
      </w:pPr>
      <w:rPr>
        <w:rFonts w:ascii="Courier New" w:hAnsi="Courier New" w:cs="Courier New" w:hint="default"/>
      </w:rPr>
    </w:lvl>
    <w:lvl w:ilvl="8" w:tplc="580A0005" w:tentative="1">
      <w:start w:val="1"/>
      <w:numFmt w:val="bullet"/>
      <w:lvlText w:val=""/>
      <w:lvlJc w:val="left"/>
      <w:pPr>
        <w:ind w:left="7200" w:hanging="360"/>
      </w:pPr>
      <w:rPr>
        <w:rFonts w:ascii="Wingdings" w:hAnsi="Wingdings" w:hint="default"/>
      </w:rPr>
    </w:lvl>
  </w:abstractNum>
  <w:abstractNum w:abstractNumId="111" w15:restartNumberingAfterBreak="0">
    <w:nsid w:val="1F18152A"/>
    <w:multiLevelType w:val="hybridMultilevel"/>
    <w:tmpl w:val="39108F50"/>
    <w:lvl w:ilvl="0" w:tplc="240A0001">
      <w:start w:val="1"/>
      <w:numFmt w:val="bullet"/>
      <w:lvlText w:val=""/>
      <w:lvlJc w:val="left"/>
      <w:pPr>
        <w:ind w:left="720" w:hanging="360"/>
      </w:pPr>
      <w:rPr>
        <w:rFonts w:ascii="Symbol" w:hAnsi="Symbol" w:hint="default"/>
      </w:rPr>
    </w:lvl>
    <w:lvl w:ilvl="1" w:tplc="240A000D">
      <w:start w:val="1"/>
      <w:numFmt w:val="bullet"/>
      <w:lvlText w:val=""/>
      <w:lvlJc w:val="left"/>
      <w:pPr>
        <w:ind w:left="1440" w:hanging="360"/>
      </w:pPr>
      <w:rPr>
        <w:rFonts w:ascii="Wingdings" w:hAnsi="Wingdings"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2" w15:restartNumberingAfterBreak="0">
    <w:nsid w:val="1F1A5CF4"/>
    <w:multiLevelType w:val="hybridMultilevel"/>
    <w:tmpl w:val="E6F4BBE2"/>
    <w:lvl w:ilvl="0" w:tplc="240A0019">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13" w15:restartNumberingAfterBreak="0">
    <w:nsid w:val="1F664549"/>
    <w:multiLevelType w:val="hybridMultilevel"/>
    <w:tmpl w:val="0D5A76D6"/>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14" w15:restartNumberingAfterBreak="0">
    <w:nsid w:val="1F7E62A5"/>
    <w:multiLevelType w:val="hybridMultilevel"/>
    <w:tmpl w:val="C16C0638"/>
    <w:lvl w:ilvl="0" w:tplc="390E56E0">
      <w:start w:val="1"/>
      <w:numFmt w:val="bullet"/>
      <w:lvlText w:val="•"/>
      <w:lvlJc w:val="left"/>
      <w:pPr>
        <w:ind w:left="720" w:hanging="360"/>
      </w:pPr>
      <w:rPr>
        <w:rFonts w:ascii="Arial" w:hAnsi="Aria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5" w15:restartNumberingAfterBreak="0">
    <w:nsid w:val="1F943845"/>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6" w15:restartNumberingAfterBreak="0">
    <w:nsid w:val="1F9B4372"/>
    <w:multiLevelType w:val="hybridMultilevel"/>
    <w:tmpl w:val="56AED0CC"/>
    <w:lvl w:ilvl="0" w:tplc="4DB80760">
      <w:start w:val="1"/>
      <w:numFmt w:val="bullet"/>
      <w:lvlText w:val="­"/>
      <w:lvlJc w:val="left"/>
      <w:pPr>
        <w:ind w:left="720" w:hanging="360"/>
      </w:pPr>
      <w:rPr>
        <w:rFonts w:ascii="Courier New" w:hAnsi="Courier New" w:cs="Times New Roman" w:hint="default"/>
        <w:color w:val="auto"/>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7" w15:restartNumberingAfterBreak="0">
    <w:nsid w:val="1FA41E71"/>
    <w:multiLevelType w:val="hybridMultilevel"/>
    <w:tmpl w:val="F830E590"/>
    <w:lvl w:ilvl="0" w:tplc="4DB80760">
      <w:start w:val="1"/>
      <w:numFmt w:val="bullet"/>
      <w:lvlText w:val="­"/>
      <w:lvlJc w:val="left"/>
      <w:pPr>
        <w:ind w:left="360" w:hanging="360"/>
      </w:pPr>
      <w:rPr>
        <w:rFonts w:ascii="Courier New" w:hAnsi="Courier New" w:cs="Times New Roman" w:hint="default"/>
        <w:color w:val="auto"/>
      </w:rPr>
    </w:lvl>
    <w:lvl w:ilvl="1" w:tplc="240A0003">
      <w:start w:val="1"/>
      <w:numFmt w:val="bullet"/>
      <w:lvlText w:val="o"/>
      <w:lvlJc w:val="left"/>
      <w:pPr>
        <w:ind w:left="1080" w:hanging="360"/>
      </w:pPr>
      <w:rPr>
        <w:rFonts w:ascii="Courier New" w:hAnsi="Courier New" w:cs="Courier New" w:hint="default"/>
      </w:rPr>
    </w:lvl>
    <w:lvl w:ilvl="2" w:tplc="240A0005">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18" w15:restartNumberingAfterBreak="0">
    <w:nsid w:val="1FC6248B"/>
    <w:multiLevelType w:val="hybridMultilevel"/>
    <w:tmpl w:val="3B4EA59C"/>
    <w:lvl w:ilvl="0" w:tplc="4DB80760">
      <w:start w:val="1"/>
      <w:numFmt w:val="bullet"/>
      <w:lvlText w:val="­"/>
      <w:lvlJc w:val="left"/>
      <w:pPr>
        <w:ind w:left="720" w:hanging="360"/>
      </w:pPr>
      <w:rPr>
        <w:rFonts w:ascii="Courier New" w:hAnsi="Courier New" w:cs="Times New Roman"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15:restartNumberingAfterBreak="0">
    <w:nsid w:val="20034BEA"/>
    <w:multiLevelType w:val="hybridMultilevel"/>
    <w:tmpl w:val="5FDCE356"/>
    <w:lvl w:ilvl="0" w:tplc="F2B4939A">
      <w:start w:val="1"/>
      <w:numFmt w:val="lowerLetter"/>
      <w:lvlText w:val="%1)"/>
      <w:lvlJc w:val="left"/>
      <w:pPr>
        <w:ind w:left="720" w:hanging="360"/>
      </w:pPr>
      <w:rPr>
        <w:rFonts w:hint="default"/>
        <w:b/>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59D00124">
      <w:start w:val="727"/>
      <w:numFmt w:val="bullet"/>
      <w:lvlText w:val="-"/>
      <w:lvlJc w:val="left"/>
      <w:pPr>
        <w:ind w:left="2880" w:hanging="360"/>
      </w:pPr>
      <w:rPr>
        <w:rFonts w:ascii="Calibri" w:eastAsiaTheme="minorHAnsi" w:hAnsi="Calibri" w:cstheme="minorBidi"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0" w15:restartNumberingAfterBreak="0">
    <w:nsid w:val="200D4487"/>
    <w:multiLevelType w:val="hybridMultilevel"/>
    <w:tmpl w:val="B5B456F6"/>
    <w:lvl w:ilvl="0" w:tplc="DC7877A6">
      <w:start w:val="1"/>
      <w:numFmt w:val="bullet"/>
      <w:lvlText w:val=""/>
      <w:lvlJc w:val="left"/>
      <w:pPr>
        <w:ind w:left="720" w:hanging="360"/>
      </w:pPr>
      <w:rPr>
        <w:rFonts w:ascii="Symbol" w:hAnsi="Symbol"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1" w15:restartNumberingAfterBreak="0">
    <w:nsid w:val="21075469"/>
    <w:multiLevelType w:val="hybridMultilevel"/>
    <w:tmpl w:val="202ECA1A"/>
    <w:lvl w:ilvl="0" w:tplc="4DB80760">
      <w:start w:val="1"/>
      <w:numFmt w:val="bullet"/>
      <w:lvlText w:val="­"/>
      <w:lvlJc w:val="left"/>
      <w:pPr>
        <w:ind w:left="720" w:hanging="360"/>
      </w:pPr>
      <w:rPr>
        <w:rFonts w:ascii="Courier New" w:hAnsi="Courier New" w:cs="Times New Roman"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2" w15:restartNumberingAfterBreak="0">
    <w:nsid w:val="21BD1AED"/>
    <w:multiLevelType w:val="hybridMultilevel"/>
    <w:tmpl w:val="F3906C90"/>
    <w:lvl w:ilvl="0" w:tplc="AD7AB39C">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23" w15:restartNumberingAfterBreak="0">
    <w:nsid w:val="22293F33"/>
    <w:multiLevelType w:val="hybridMultilevel"/>
    <w:tmpl w:val="7F0C6810"/>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24" w15:restartNumberingAfterBreak="0">
    <w:nsid w:val="22815814"/>
    <w:multiLevelType w:val="hybridMultilevel"/>
    <w:tmpl w:val="A20AFF8E"/>
    <w:lvl w:ilvl="0" w:tplc="59D00124">
      <w:start w:val="727"/>
      <w:numFmt w:val="bullet"/>
      <w:lvlText w:val="-"/>
      <w:lvlJc w:val="left"/>
      <w:pPr>
        <w:ind w:left="780" w:hanging="360"/>
      </w:pPr>
      <w:rPr>
        <w:rFonts w:ascii="Calibri" w:eastAsiaTheme="minorHAnsi" w:hAnsi="Calibri" w:cstheme="minorBidi" w:hint="default"/>
      </w:rPr>
    </w:lvl>
    <w:lvl w:ilvl="1" w:tplc="240A0003" w:tentative="1">
      <w:start w:val="1"/>
      <w:numFmt w:val="bullet"/>
      <w:lvlText w:val="o"/>
      <w:lvlJc w:val="left"/>
      <w:pPr>
        <w:ind w:left="1500" w:hanging="360"/>
      </w:pPr>
      <w:rPr>
        <w:rFonts w:ascii="Courier New" w:hAnsi="Courier New" w:cs="Courier New" w:hint="default"/>
      </w:rPr>
    </w:lvl>
    <w:lvl w:ilvl="2" w:tplc="240A0005" w:tentative="1">
      <w:start w:val="1"/>
      <w:numFmt w:val="bullet"/>
      <w:lvlText w:val=""/>
      <w:lvlJc w:val="left"/>
      <w:pPr>
        <w:ind w:left="2220" w:hanging="360"/>
      </w:pPr>
      <w:rPr>
        <w:rFonts w:ascii="Wingdings" w:hAnsi="Wingdings" w:hint="default"/>
      </w:rPr>
    </w:lvl>
    <w:lvl w:ilvl="3" w:tplc="240A0001" w:tentative="1">
      <w:start w:val="1"/>
      <w:numFmt w:val="bullet"/>
      <w:lvlText w:val=""/>
      <w:lvlJc w:val="left"/>
      <w:pPr>
        <w:ind w:left="2940" w:hanging="360"/>
      </w:pPr>
      <w:rPr>
        <w:rFonts w:ascii="Symbol" w:hAnsi="Symbol" w:hint="default"/>
      </w:rPr>
    </w:lvl>
    <w:lvl w:ilvl="4" w:tplc="240A0003" w:tentative="1">
      <w:start w:val="1"/>
      <w:numFmt w:val="bullet"/>
      <w:lvlText w:val="o"/>
      <w:lvlJc w:val="left"/>
      <w:pPr>
        <w:ind w:left="3660" w:hanging="360"/>
      </w:pPr>
      <w:rPr>
        <w:rFonts w:ascii="Courier New" w:hAnsi="Courier New" w:cs="Courier New" w:hint="default"/>
      </w:rPr>
    </w:lvl>
    <w:lvl w:ilvl="5" w:tplc="240A0005" w:tentative="1">
      <w:start w:val="1"/>
      <w:numFmt w:val="bullet"/>
      <w:lvlText w:val=""/>
      <w:lvlJc w:val="left"/>
      <w:pPr>
        <w:ind w:left="4380" w:hanging="360"/>
      </w:pPr>
      <w:rPr>
        <w:rFonts w:ascii="Wingdings" w:hAnsi="Wingdings" w:hint="default"/>
      </w:rPr>
    </w:lvl>
    <w:lvl w:ilvl="6" w:tplc="240A0001" w:tentative="1">
      <w:start w:val="1"/>
      <w:numFmt w:val="bullet"/>
      <w:lvlText w:val=""/>
      <w:lvlJc w:val="left"/>
      <w:pPr>
        <w:ind w:left="5100" w:hanging="360"/>
      </w:pPr>
      <w:rPr>
        <w:rFonts w:ascii="Symbol" w:hAnsi="Symbol" w:hint="default"/>
      </w:rPr>
    </w:lvl>
    <w:lvl w:ilvl="7" w:tplc="240A0003" w:tentative="1">
      <w:start w:val="1"/>
      <w:numFmt w:val="bullet"/>
      <w:lvlText w:val="o"/>
      <w:lvlJc w:val="left"/>
      <w:pPr>
        <w:ind w:left="5820" w:hanging="360"/>
      </w:pPr>
      <w:rPr>
        <w:rFonts w:ascii="Courier New" w:hAnsi="Courier New" w:cs="Courier New" w:hint="default"/>
      </w:rPr>
    </w:lvl>
    <w:lvl w:ilvl="8" w:tplc="240A0005" w:tentative="1">
      <w:start w:val="1"/>
      <w:numFmt w:val="bullet"/>
      <w:lvlText w:val=""/>
      <w:lvlJc w:val="left"/>
      <w:pPr>
        <w:ind w:left="6540" w:hanging="360"/>
      </w:pPr>
      <w:rPr>
        <w:rFonts w:ascii="Wingdings" w:hAnsi="Wingdings" w:hint="default"/>
      </w:rPr>
    </w:lvl>
  </w:abstractNum>
  <w:abstractNum w:abstractNumId="125" w15:restartNumberingAfterBreak="0">
    <w:nsid w:val="229C6B97"/>
    <w:multiLevelType w:val="hybridMultilevel"/>
    <w:tmpl w:val="BDF01D8C"/>
    <w:lvl w:ilvl="0" w:tplc="ED2899BC">
      <w:numFmt w:val="bullet"/>
      <w:lvlText w:val="-"/>
      <w:lvlJc w:val="left"/>
      <w:pPr>
        <w:ind w:left="720" w:hanging="360"/>
      </w:pPr>
      <w:rPr>
        <w:rFonts w:ascii="Arial" w:eastAsia="Times New Roman" w:hAnsi="Arial" w:cs="Arial" w:hint="default"/>
        <w:sz w:val="24"/>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6" w15:restartNumberingAfterBreak="0">
    <w:nsid w:val="229D21A8"/>
    <w:multiLevelType w:val="hybridMultilevel"/>
    <w:tmpl w:val="A1C0AF42"/>
    <w:lvl w:ilvl="0" w:tplc="3B26A1EA">
      <w:start w:val="1"/>
      <w:numFmt w:val="bullet"/>
      <w:lvlText w:val="-"/>
      <w:lvlJc w:val="left"/>
      <w:pPr>
        <w:ind w:left="720" w:hanging="360"/>
      </w:pPr>
      <w:rPr>
        <w:rFonts w:ascii="SimSun" w:eastAsia="SimSun" w:hAnsi="SimSun" w:hint="eastAsia"/>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7" w15:restartNumberingAfterBreak="0">
    <w:nsid w:val="22E148EF"/>
    <w:multiLevelType w:val="hybridMultilevel"/>
    <w:tmpl w:val="7EE0FF2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8" w15:restartNumberingAfterBreak="0">
    <w:nsid w:val="24A34709"/>
    <w:multiLevelType w:val="hybridMultilevel"/>
    <w:tmpl w:val="DBA8631A"/>
    <w:lvl w:ilvl="0" w:tplc="DC7877A6">
      <w:start w:val="1"/>
      <w:numFmt w:val="bullet"/>
      <w:lvlText w:val=""/>
      <w:lvlJc w:val="left"/>
      <w:pPr>
        <w:tabs>
          <w:tab w:val="num" w:pos="720"/>
        </w:tabs>
        <w:ind w:left="720" w:hanging="360"/>
      </w:pPr>
      <w:rPr>
        <w:rFonts w:ascii="Symbol" w:hAnsi="Symbol" w:hint="default"/>
        <w:color w:val="auto"/>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29" w15:restartNumberingAfterBreak="0">
    <w:nsid w:val="24C607B3"/>
    <w:multiLevelType w:val="hybridMultilevel"/>
    <w:tmpl w:val="FF5E7536"/>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30" w15:restartNumberingAfterBreak="0">
    <w:nsid w:val="25417540"/>
    <w:multiLevelType w:val="hybridMultilevel"/>
    <w:tmpl w:val="C5AC05E8"/>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31" w15:restartNumberingAfterBreak="0">
    <w:nsid w:val="258174EA"/>
    <w:multiLevelType w:val="hybridMultilevel"/>
    <w:tmpl w:val="F452706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2" w15:restartNumberingAfterBreak="0">
    <w:nsid w:val="26170912"/>
    <w:multiLevelType w:val="hybridMultilevel"/>
    <w:tmpl w:val="BEB0F3E4"/>
    <w:lvl w:ilvl="0" w:tplc="FC107DA8">
      <w:start w:val="1"/>
      <w:numFmt w:val="bullet"/>
      <w:pStyle w:val="bolita"/>
      <w:lvlText w:val="o"/>
      <w:lvlJc w:val="left"/>
      <w:pPr>
        <w:ind w:left="1077" w:hanging="360"/>
      </w:pPr>
      <w:rPr>
        <w:rFonts w:ascii="Courier New" w:hAnsi="Courier New" w:cs="Courier New" w:hint="default"/>
        <w:color w:val="auto"/>
      </w:rPr>
    </w:lvl>
    <w:lvl w:ilvl="1" w:tplc="0C0A0003" w:tentative="1">
      <w:start w:val="1"/>
      <w:numFmt w:val="bullet"/>
      <w:lvlText w:val="o"/>
      <w:lvlJc w:val="left"/>
      <w:pPr>
        <w:ind w:left="1797" w:hanging="360"/>
      </w:pPr>
      <w:rPr>
        <w:rFonts w:ascii="Courier New" w:hAnsi="Courier New" w:cs="Courier New" w:hint="default"/>
      </w:rPr>
    </w:lvl>
    <w:lvl w:ilvl="2" w:tplc="0C0A0005" w:tentative="1">
      <w:start w:val="1"/>
      <w:numFmt w:val="bullet"/>
      <w:lvlText w:val=""/>
      <w:lvlJc w:val="left"/>
      <w:pPr>
        <w:ind w:left="2517" w:hanging="360"/>
      </w:pPr>
      <w:rPr>
        <w:rFonts w:ascii="Wingdings" w:hAnsi="Wingdings" w:hint="default"/>
      </w:rPr>
    </w:lvl>
    <w:lvl w:ilvl="3" w:tplc="0C0A0001" w:tentative="1">
      <w:start w:val="1"/>
      <w:numFmt w:val="bullet"/>
      <w:lvlText w:val=""/>
      <w:lvlJc w:val="left"/>
      <w:pPr>
        <w:ind w:left="3237" w:hanging="360"/>
      </w:pPr>
      <w:rPr>
        <w:rFonts w:ascii="Symbol" w:hAnsi="Symbol" w:hint="default"/>
      </w:rPr>
    </w:lvl>
    <w:lvl w:ilvl="4" w:tplc="0C0A0003" w:tentative="1">
      <w:start w:val="1"/>
      <w:numFmt w:val="bullet"/>
      <w:lvlText w:val="o"/>
      <w:lvlJc w:val="left"/>
      <w:pPr>
        <w:ind w:left="3957" w:hanging="360"/>
      </w:pPr>
      <w:rPr>
        <w:rFonts w:ascii="Courier New" w:hAnsi="Courier New" w:cs="Courier New" w:hint="default"/>
      </w:rPr>
    </w:lvl>
    <w:lvl w:ilvl="5" w:tplc="0C0A0005" w:tentative="1">
      <w:start w:val="1"/>
      <w:numFmt w:val="bullet"/>
      <w:lvlText w:val=""/>
      <w:lvlJc w:val="left"/>
      <w:pPr>
        <w:ind w:left="4677" w:hanging="360"/>
      </w:pPr>
      <w:rPr>
        <w:rFonts w:ascii="Wingdings" w:hAnsi="Wingdings" w:hint="default"/>
      </w:rPr>
    </w:lvl>
    <w:lvl w:ilvl="6" w:tplc="0C0A0001" w:tentative="1">
      <w:start w:val="1"/>
      <w:numFmt w:val="bullet"/>
      <w:lvlText w:val=""/>
      <w:lvlJc w:val="left"/>
      <w:pPr>
        <w:ind w:left="5397" w:hanging="360"/>
      </w:pPr>
      <w:rPr>
        <w:rFonts w:ascii="Symbol" w:hAnsi="Symbol" w:hint="default"/>
      </w:rPr>
    </w:lvl>
    <w:lvl w:ilvl="7" w:tplc="0C0A0003" w:tentative="1">
      <w:start w:val="1"/>
      <w:numFmt w:val="bullet"/>
      <w:lvlText w:val="o"/>
      <w:lvlJc w:val="left"/>
      <w:pPr>
        <w:ind w:left="6117" w:hanging="360"/>
      </w:pPr>
      <w:rPr>
        <w:rFonts w:ascii="Courier New" w:hAnsi="Courier New" w:cs="Courier New" w:hint="default"/>
      </w:rPr>
    </w:lvl>
    <w:lvl w:ilvl="8" w:tplc="0C0A0005" w:tentative="1">
      <w:start w:val="1"/>
      <w:numFmt w:val="bullet"/>
      <w:lvlText w:val=""/>
      <w:lvlJc w:val="left"/>
      <w:pPr>
        <w:ind w:left="6837" w:hanging="360"/>
      </w:pPr>
      <w:rPr>
        <w:rFonts w:ascii="Wingdings" w:hAnsi="Wingdings" w:hint="default"/>
      </w:rPr>
    </w:lvl>
  </w:abstractNum>
  <w:abstractNum w:abstractNumId="133" w15:restartNumberingAfterBreak="0">
    <w:nsid w:val="262C21E1"/>
    <w:multiLevelType w:val="hybridMultilevel"/>
    <w:tmpl w:val="10CE31A4"/>
    <w:lvl w:ilvl="0" w:tplc="A690690A">
      <w:start w:val="1"/>
      <w:numFmt w:val="lowerRoman"/>
      <w:lvlText w:val="%1)"/>
      <w:lvlJc w:val="left"/>
      <w:pPr>
        <w:ind w:left="1080" w:hanging="72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34" w15:restartNumberingAfterBreak="0">
    <w:nsid w:val="26541169"/>
    <w:multiLevelType w:val="hybridMultilevel"/>
    <w:tmpl w:val="4768C4CE"/>
    <w:lvl w:ilvl="0" w:tplc="4DB80760">
      <w:start w:val="1"/>
      <w:numFmt w:val="bullet"/>
      <w:lvlText w:val="­"/>
      <w:lvlJc w:val="left"/>
      <w:pPr>
        <w:ind w:left="720" w:hanging="360"/>
      </w:pPr>
      <w:rPr>
        <w:rFonts w:ascii="Courier New" w:hAnsi="Courier New" w:cs="Times New Roman" w:hint="default"/>
        <w:color w:val="auto"/>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5" w15:restartNumberingAfterBreak="0">
    <w:nsid w:val="274547C6"/>
    <w:multiLevelType w:val="hybridMultilevel"/>
    <w:tmpl w:val="7B780902"/>
    <w:lvl w:ilvl="0" w:tplc="240A0003">
      <w:start w:val="1"/>
      <w:numFmt w:val="bullet"/>
      <w:lvlText w:val="o"/>
      <w:lvlJc w:val="left"/>
      <w:pPr>
        <w:ind w:left="1180" w:hanging="360"/>
      </w:pPr>
      <w:rPr>
        <w:rFonts w:ascii="Courier New" w:hAnsi="Courier New" w:cs="Courier New" w:hint="default"/>
      </w:rPr>
    </w:lvl>
    <w:lvl w:ilvl="1" w:tplc="240A0003" w:tentative="1">
      <w:start w:val="1"/>
      <w:numFmt w:val="bullet"/>
      <w:lvlText w:val="o"/>
      <w:lvlJc w:val="left"/>
      <w:pPr>
        <w:ind w:left="1900" w:hanging="360"/>
      </w:pPr>
      <w:rPr>
        <w:rFonts w:ascii="Courier New" w:hAnsi="Courier New" w:cs="Courier New" w:hint="default"/>
      </w:rPr>
    </w:lvl>
    <w:lvl w:ilvl="2" w:tplc="240A0005" w:tentative="1">
      <w:start w:val="1"/>
      <w:numFmt w:val="bullet"/>
      <w:lvlText w:val=""/>
      <w:lvlJc w:val="left"/>
      <w:pPr>
        <w:ind w:left="2620" w:hanging="360"/>
      </w:pPr>
      <w:rPr>
        <w:rFonts w:ascii="Wingdings" w:hAnsi="Wingdings" w:hint="default"/>
      </w:rPr>
    </w:lvl>
    <w:lvl w:ilvl="3" w:tplc="240A0001" w:tentative="1">
      <w:start w:val="1"/>
      <w:numFmt w:val="bullet"/>
      <w:lvlText w:val=""/>
      <w:lvlJc w:val="left"/>
      <w:pPr>
        <w:ind w:left="3340" w:hanging="360"/>
      </w:pPr>
      <w:rPr>
        <w:rFonts w:ascii="Symbol" w:hAnsi="Symbol" w:hint="default"/>
      </w:rPr>
    </w:lvl>
    <w:lvl w:ilvl="4" w:tplc="240A0003" w:tentative="1">
      <w:start w:val="1"/>
      <w:numFmt w:val="bullet"/>
      <w:lvlText w:val="o"/>
      <w:lvlJc w:val="left"/>
      <w:pPr>
        <w:ind w:left="4060" w:hanging="360"/>
      </w:pPr>
      <w:rPr>
        <w:rFonts w:ascii="Courier New" w:hAnsi="Courier New" w:cs="Courier New" w:hint="default"/>
      </w:rPr>
    </w:lvl>
    <w:lvl w:ilvl="5" w:tplc="240A0005" w:tentative="1">
      <w:start w:val="1"/>
      <w:numFmt w:val="bullet"/>
      <w:lvlText w:val=""/>
      <w:lvlJc w:val="left"/>
      <w:pPr>
        <w:ind w:left="4780" w:hanging="360"/>
      </w:pPr>
      <w:rPr>
        <w:rFonts w:ascii="Wingdings" w:hAnsi="Wingdings" w:hint="default"/>
      </w:rPr>
    </w:lvl>
    <w:lvl w:ilvl="6" w:tplc="240A0001" w:tentative="1">
      <w:start w:val="1"/>
      <w:numFmt w:val="bullet"/>
      <w:lvlText w:val=""/>
      <w:lvlJc w:val="left"/>
      <w:pPr>
        <w:ind w:left="5500" w:hanging="360"/>
      </w:pPr>
      <w:rPr>
        <w:rFonts w:ascii="Symbol" w:hAnsi="Symbol" w:hint="default"/>
      </w:rPr>
    </w:lvl>
    <w:lvl w:ilvl="7" w:tplc="240A0003" w:tentative="1">
      <w:start w:val="1"/>
      <w:numFmt w:val="bullet"/>
      <w:lvlText w:val="o"/>
      <w:lvlJc w:val="left"/>
      <w:pPr>
        <w:ind w:left="6220" w:hanging="360"/>
      </w:pPr>
      <w:rPr>
        <w:rFonts w:ascii="Courier New" w:hAnsi="Courier New" w:cs="Courier New" w:hint="default"/>
      </w:rPr>
    </w:lvl>
    <w:lvl w:ilvl="8" w:tplc="240A0005" w:tentative="1">
      <w:start w:val="1"/>
      <w:numFmt w:val="bullet"/>
      <w:lvlText w:val=""/>
      <w:lvlJc w:val="left"/>
      <w:pPr>
        <w:ind w:left="6940" w:hanging="360"/>
      </w:pPr>
      <w:rPr>
        <w:rFonts w:ascii="Wingdings" w:hAnsi="Wingdings" w:hint="default"/>
      </w:rPr>
    </w:lvl>
  </w:abstractNum>
  <w:abstractNum w:abstractNumId="136" w15:restartNumberingAfterBreak="0">
    <w:nsid w:val="28127A49"/>
    <w:multiLevelType w:val="hybridMultilevel"/>
    <w:tmpl w:val="43BE2F8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7" w15:restartNumberingAfterBreak="0">
    <w:nsid w:val="28307A77"/>
    <w:multiLevelType w:val="hybridMultilevel"/>
    <w:tmpl w:val="2366677E"/>
    <w:lvl w:ilvl="0" w:tplc="240A0001">
      <w:start w:val="1"/>
      <w:numFmt w:val="bullet"/>
      <w:lvlText w:val=""/>
      <w:lvlJc w:val="left"/>
      <w:pPr>
        <w:ind w:left="720" w:hanging="360"/>
      </w:pPr>
      <w:rPr>
        <w:rFonts w:ascii="Symbol" w:hAnsi="Symbol" w:hint="default"/>
        <w:color w:val="auto"/>
      </w:rPr>
    </w:lvl>
    <w:lvl w:ilvl="1" w:tplc="240A0005">
      <w:start w:val="1"/>
      <w:numFmt w:val="bullet"/>
      <w:lvlText w:val=""/>
      <w:lvlJc w:val="left"/>
      <w:pPr>
        <w:ind w:left="1440" w:hanging="360"/>
      </w:pPr>
      <w:rPr>
        <w:rFonts w:ascii="Wingdings" w:hAnsi="Wingdings" w:hint="default"/>
        <w:color w:val="auto"/>
      </w:rPr>
    </w:lvl>
    <w:lvl w:ilvl="2" w:tplc="240A0005">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8" w15:restartNumberingAfterBreak="0">
    <w:nsid w:val="28964F64"/>
    <w:multiLevelType w:val="hybridMultilevel"/>
    <w:tmpl w:val="DB4CA36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9" w15:restartNumberingAfterBreak="0">
    <w:nsid w:val="28B60759"/>
    <w:multiLevelType w:val="hybridMultilevel"/>
    <w:tmpl w:val="0096CF0E"/>
    <w:lvl w:ilvl="0" w:tplc="240A0001">
      <w:start w:val="1"/>
      <w:numFmt w:val="bullet"/>
      <w:lvlText w:val=""/>
      <w:lvlJc w:val="left"/>
      <w:pPr>
        <w:ind w:left="720" w:hanging="360"/>
      </w:pPr>
      <w:rPr>
        <w:rFonts w:ascii="Symbol" w:hAnsi="Symbol"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0" w15:restartNumberingAfterBreak="0">
    <w:nsid w:val="29000DAE"/>
    <w:multiLevelType w:val="hybridMultilevel"/>
    <w:tmpl w:val="B4EAE3A2"/>
    <w:lvl w:ilvl="0" w:tplc="0409000B">
      <w:start w:val="1"/>
      <w:numFmt w:val="bullet"/>
      <w:lvlText w:val=""/>
      <w:lvlJc w:val="left"/>
      <w:pPr>
        <w:ind w:left="720" w:hanging="360"/>
      </w:pPr>
      <w:rPr>
        <w:rFonts w:ascii="Wingdings" w:hAnsi="Wingdings" w:hint="default"/>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abstractNum w:abstractNumId="141" w15:restartNumberingAfterBreak="0">
    <w:nsid w:val="29833350"/>
    <w:multiLevelType w:val="multilevel"/>
    <w:tmpl w:val="60B473F2"/>
    <w:lvl w:ilvl="0">
      <w:start w:val="3"/>
      <w:numFmt w:val="decimal"/>
      <w:lvlText w:val="%1"/>
      <w:lvlJc w:val="left"/>
      <w:pPr>
        <w:ind w:left="720" w:hanging="720"/>
      </w:pPr>
      <w:rPr>
        <w:rFonts w:cs="Times New Roman" w:hint="default"/>
      </w:rPr>
    </w:lvl>
    <w:lvl w:ilvl="1">
      <w:start w:val="1"/>
      <w:numFmt w:val="decimal"/>
      <w:lvlText w:val="%1.%2"/>
      <w:lvlJc w:val="left"/>
      <w:pPr>
        <w:ind w:left="720" w:hanging="72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1800" w:hanging="1800"/>
      </w:pPr>
      <w:rPr>
        <w:rFonts w:cs="Times New Roman" w:hint="default"/>
      </w:rPr>
    </w:lvl>
  </w:abstractNum>
  <w:abstractNum w:abstractNumId="142" w15:restartNumberingAfterBreak="0">
    <w:nsid w:val="29A146B6"/>
    <w:multiLevelType w:val="hybridMultilevel"/>
    <w:tmpl w:val="6CDEE7EC"/>
    <w:lvl w:ilvl="0" w:tplc="F2B4939A">
      <w:start w:val="1"/>
      <w:numFmt w:val="lowerLetter"/>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3" w15:restartNumberingAfterBreak="0">
    <w:nsid w:val="29A8457D"/>
    <w:multiLevelType w:val="multilevel"/>
    <w:tmpl w:val="399A3DE6"/>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4" w15:restartNumberingAfterBreak="0">
    <w:nsid w:val="2A3446C5"/>
    <w:multiLevelType w:val="hybridMultilevel"/>
    <w:tmpl w:val="8B8E28E2"/>
    <w:lvl w:ilvl="0" w:tplc="BFC6C052">
      <w:start w:val="1"/>
      <w:numFmt w:val="bullet"/>
      <w:lvlText w:val="-"/>
      <w:lvlJc w:val="left"/>
      <w:pPr>
        <w:tabs>
          <w:tab w:val="num" w:pos="720"/>
        </w:tabs>
        <w:ind w:left="720" w:hanging="360"/>
      </w:pPr>
      <w:rPr>
        <w:rFonts w:ascii="Times New Roman" w:hAnsi="Times New Roman" w:hint="default"/>
      </w:rPr>
    </w:lvl>
    <w:lvl w:ilvl="1" w:tplc="7A04648A" w:tentative="1">
      <w:start w:val="1"/>
      <w:numFmt w:val="bullet"/>
      <w:lvlText w:val="-"/>
      <w:lvlJc w:val="left"/>
      <w:pPr>
        <w:tabs>
          <w:tab w:val="num" w:pos="1440"/>
        </w:tabs>
        <w:ind w:left="1440" w:hanging="360"/>
      </w:pPr>
      <w:rPr>
        <w:rFonts w:ascii="Times New Roman" w:hAnsi="Times New Roman" w:hint="default"/>
      </w:rPr>
    </w:lvl>
    <w:lvl w:ilvl="2" w:tplc="7796256C" w:tentative="1">
      <w:start w:val="1"/>
      <w:numFmt w:val="bullet"/>
      <w:lvlText w:val="-"/>
      <w:lvlJc w:val="left"/>
      <w:pPr>
        <w:tabs>
          <w:tab w:val="num" w:pos="2160"/>
        </w:tabs>
        <w:ind w:left="2160" w:hanging="360"/>
      </w:pPr>
      <w:rPr>
        <w:rFonts w:ascii="Times New Roman" w:hAnsi="Times New Roman" w:hint="default"/>
      </w:rPr>
    </w:lvl>
    <w:lvl w:ilvl="3" w:tplc="2A06A450" w:tentative="1">
      <w:start w:val="1"/>
      <w:numFmt w:val="bullet"/>
      <w:lvlText w:val="-"/>
      <w:lvlJc w:val="left"/>
      <w:pPr>
        <w:tabs>
          <w:tab w:val="num" w:pos="2880"/>
        </w:tabs>
        <w:ind w:left="2880" w:hanging="360"/>
      </w:pPr>
      <w:rPr>
        <w:rFonts w:ascii="Times New Roman" w:hAnsi="Times New Roman" w:hint="default"/>
      </w:rPr>
    </w:lvl>
    <w:lvl w:ilvl="4" w:tplc="049630CC" w:tentative="1">
      <w:start w:val="1"/>
      <w:numFmt w:val="bullet"/>
      <w:lvlText w:val="-"/>
      <w:lvlJc w:val="left"/>
      <w:pPr>
        <w:tabs>
          <w:tab w:val="num" w:pos="3600"/>
        </w:tabs>
        <w:ind w:left="3600" w:hanging="360"/>
      </w:pPr>
      <w:rPr>
        <w:rFonts w:ascii="Times New Roman" w:hAnsi="Times New Roman" w:hint="default"/>
      </w:rPr>
    </w:lvl>
    <w:lvl w:ilvl="5" w:tplc="802CC056" w:tentative="1">
      <w:start w:val="1"/>
      <w:numFmt w:val="bullet"/>
      <w:lvlText w:val="-"/>
      <w:lvlJc w:val="left"/>
      <w:pPr>
        <w:tabs>
          <w:tab w:val="num" w:pos="4320"/>
        </w:tabs>
        <w:ind w:left="4320" w:hanging="360"/>
      </w:pPr>
      <w:rPr>
        <w:rFonts w:ascii="Times New Roman" w:hAnsi="Times New Roman" w:hint="default"/>
      </w:rPr>
    </w:lvl>
    <w:lvl w:ilvl="6" w:tplc="2EDC12B6" w:tentative="1">
      <w:start w:val="1"/>
      <w:numFmt w:val="bullet"/>
      <w:lvlText w:val="-"/>
      <w:lvlJc w:val="left"/>
      <w:pPr>
        <w:tabs>
          <w:tab w:val="num" w:pos="5040"/>
        </w:tabs>
        <w:ind w:left="5040" w:hanging="360"/>
      </w:pPr>
      <w:rPr>
        <w:rFonts w:ascii="Times New Roman" w:hAnsi="Times New Roman" w:hint="default"/>
      </w:rPr>
    </w:lvl>
    <w:lvl w:ilvl="7" w:tplc="44F6DCD2" w:tentative="1">
      <w:start w:val="1"/>
      <w:numFmt w:val="bullet"/>
      <w:lvlText w:val="-"/>
      <w:lvlJc w:val="left"/>
      <w:pPr>
        <w:tabs>
          <w:tab w:val="num" w:pos="5760"/>
        </w:tabs>
        <w:ind w:left="5760" w:hanging="360"/>
      </w:pPr>
      <w:rPr>
        <w:rFonts w:ascii="Times New Roman" w:hAnsi="Times New Roman" w:hint="default"/>
      </w:rPr>
    </w:lvl>
    <w:lvl w:ilvl="8" w:tplc="06E01456" w:tentative="1">
      <w:start w:val="1"/>
      <w:numFmt w:val="bullet"/>
      <w:lvlText w:val="-"/>
      <w:lvlJc w:val="left"/>
      <w:pPr>
        <w:tabs>
          <w:tab w:val="num" w:pos="6480"/>
        </w:tabs>
        <w:ind w:left="6480" w:hanging="360"/>
      </w:pPr>
      <w:rPr>
        <w:rFonts w:ascii="Times New Roman" w:hAnsi="Times New Roman" w:hint="default"/>
      </w:rPr>
    </w:lvl>
  </w:abstractNum>
  <w:abstractNum w:abstractNumId="145" w15:restartNumberingAfterBreak="0">
    <w:nsid w:val="2A4E257D"/>
    <w:multiLevelType w:val="hybridMultilevel"/>
    <w:tmpl w:val="57EED486"/>
    <w:lvl w:ilvl="0" w:tplc="FFFFFFFF">
      <w:start w:val="1"/>
      <w:numFmt w:val="bullet"/>
      <w:lvlText w:val=""/>
      <w:lvlJc w:val="left"/>
      <w:pPr>
        <w:ind w:left="720" w:hanging="360"/>
      </w:pPr>
      <w:rPr>
        <w:rFonts w:ascii="Symbol" w:hAnsi="Symbol" w:hint="default"/>
      </w:rPr>
    </w:lvl>
    <w:lvl w:ilvl="1" w:tplc="4DB80760">
      <w:start w:val="1"/>
      <w:numFmt w:val="bullet"/>
      <w:lvlText w:val="­"/>
      <w:lvlJc w:val="left"/>
      <w:pPr>
        <w:ind w:left="720" w:hanging="360"/>
      </w:pPr>
      <w:rPr>
        <w:rFonts w:ascii="Courier New" w:hAnsi="Courier New" w:cs="Times New Roman" w:hint="default"/>
        <w:color w:val="auto"/>
        <w:lang w:val="es-CO"/>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6" w15:restartNumberingAfterBreak="0">
    <w:nsid w:val="2B4E1C6B"/>
    <w:multiLevelType w:val="hybridMultilevel"/>
    <w:tmpl w:val="10CE31A4"/>
    <w:lvl w:ilvl="0" w:tplc="A690690A">
      <w:start w:val="1"/>
      <w:numFmt w:val="lowerRoman"/>
      <w:lvlText w:val="%1)"/>
      <w:lvlJc w:val="left"/>
      <w:pPr>
        <w:ind w:left="1080" w:hanging="72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7" w15:restartNumberingAfterBreak="0">
    <w:nsid w:val="2BEA71A4"/>
    <w:multiLevelType w:val="hybridMultilevel"/>
    <w:tmpl w:val="DB96A540"/>
    <w:lvl w:ilvl="0" w:tplc="4DB80760">
      <w:start w:val="1"/>
      <w:numFmt w:val="bullet"/>
      <w:lvlText w:val="­"/>
      <w:lvlJc w:val="left"/>
      <w:pPr>
        <w:ind w:left="720" w:hanging="360"/>
      </w:pPr>
      <w:rPr>
        <w:rFonts w:ascii="Courier New" w:hAnsi="Courier New" w:cs="Times New Roman"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8" w15:restartNumberingAfterBreak="0">
    <w:nsid w:val="2C126859"/>
    <w:multiLevelType w:val="hybridMultilevel"/>
    <w:tmpl w:val="BEFC757C"/>
    <w:lvl w:ilvl="0" w:tplc="0C0A0017">
      <w:start w:val="1"/>
      <w:numFmt w:val="lowerLetter"/>
      <w:lvlText w:val="%1)"/>
      <w:lvlJc w:val="left"/>
      <w:pPr>
        <w:ind w:left="2340" w:hanging="360"/>
      </w:pPr>
    </w:lvl>
    <w:lvl w:ilvl="1" w:tplc="0C0A0019" w:tentative="1">
      <w:start w:val="1"/>
      <w:numFmt w:val="lowerLetter"/>
      <w:lvlText w:val="%2."/>
      <w:lvlJc w:val="left"/>
      <w:pPr>
        <w:ind w:left="3060" w:hanging="360"/>
      </w:pPr>
    </w:lvl>
    <w:lvl w:ilvl="2" w:tplc="0C0A001B" w:tentative="1">
      <w:start w:val="1"/>
      <w:numFmt w:val="lowerRoman"/>
      <w:lvlText w:val="%3."/>
      <w:lvlJc w:val="right"/>
      <w:pPr>
        <w:ind w:left="3780" w:hanging="180"/>
      </w:pPr>
    </w:lvl>
    <w:lvl w:ilvl="3" w:tplc="0C0A000F" w:tentative="1">
      <w:start w:val="1"/>
      <w:numFmt w:val="decimal"/>
      <w:lvlText w:val="%4."/>
      <w:lvlJc w:val="left"/>
      <w:pPr>
        <w:ind w:left="4500" w:hanging="360"/>
      </w:pPr>
    </w:lvl>
    <w:lvl w:ilvl="4" w:tplc="0C0A0019" w:tentative="1">
      <w:start w:val="1"/>
      <w:numFmt w:val="lowerLetter"/>
      <w:lvlText w:val="%5."/>
      <w:lvlJc w:val="left"/>
      <w:pPr>
        <w:ind w:left="5220" w:hanging="360"/>
      </w:pPr>
    </w:lvl>
    <w:lvl w:ilvl="5" w:tplc="0C0A001B" w:tentative="1">
      <w:start w:val="1"/>
      <w:numFmt w:val="lowerRoman"/>
      <w:lvlText w:val="%6."/>
      <w:lvlJc w:val="right"/>
      <w:pPr>
        <w:ind w:left="5940" w:hanging="180"/>
      </w:pPr>
    </w:lvl>
    <w:lvl w:ilvl="6" w:tplc="0C0A000F" w:tentative="1">
      <w:start w:val="1"/>
      <w:numFmt w:val="decimal"/>
      <w:lvlText w:val="%7."/>
      <w:lvlJc w:val="left"/>
      <w:pPr>
        <w:ind w:left="6660" w:hanging="360"/>
      </w:pPr>
    </w:lvl>
    <w:lvl w:ilvl="7" w:tplc="0C0A0019" w:tentative="1">
      <w:start w:val="1"/>
      <w:numFmt w:val="lowerLetter"/>
      <w:lvlText w:val="%8."/>
      <w:lvlJc w:val="left"/>
      <w:pPr>
        <w:ind w:left="7380" w:hanging="360"/>
      </w:pPr>
    </w:lvl>
    <w:lvl w:ilvl="8" w:tplc="0C0A001B" w:tentative="1">
      <w:start w:val="1"/>
      <w:numFmt w:val="lowerRoman"/>
      <w:lvlText w:val="%9."/>
      <w:lvlJc w:val="right"/>
      <w:pPr>
        <w:ind w:left="8100" w:hanging="180"/>
      </w:pPr>
    </w:lvl>
  </w:abstractNum>
  <w:abstractNum w:abstractNumId="149" w15:restartNumberingAfterBreak="0">
    <w:nsid w:val="2C4E5839"/>
    <w:multiLevelType w:val="hybridMultilevel"/>
    <w:tmpl w:val="8A8466B2"/>
    <w:lvl w:ilvl="0" w:tplc="DA5C8EFA">
      <w:start w:val="1"/>
      <w:numFmt w:val="bullet"/>
      <w:lvlText w:val=""/>
      <w:lvlJc w:val="left"/>
      <w:pPr>
        <w:ind w:left="360" w:hanging="360"/>
      </w:pPr>
      <w:rPr>
        <w:rFonts w:ascii="Symbol" w:hAnsi="Symbol" w:hint="default"/>
        <w:lang w:val="es-CO"/>
      </w:rPr>
    </w:lvl>
    <w:lvl w:ilvl="1" w:tplc="4DB80760">
      <w:start w:val="1"/>
      <w:numFmt w:val="bullet"/>
      <w:lvlText w:val="­"/>
      <w:lvlJc w:val="left"/>
      <w:pPr>
        <w:ind w:left="1080" w:hanging="360"/>
      </w:pPr>
      <w:rPr>
        <w:rFonts w:ascii="Courier New" w:hAnsi="Courier New" w:cs="Times New Roman" w:hint="default"/>
        <w:color w:val="auto"/>
      </w:rPr>
    </w:lvl>
    <w:lvl w:ilvl="2" w:tplc="240A0005">
      <w:start w:val="1"/>
      <w:numFmt w:val="bullet"/>
      <w:lvlText w:val=""/>
      <w:lvlJc w:val="left"/>
      <w:pPr>
        <w:ind w:left="1800" w:hanging="360"/>
      </w:pPr>
      <w:rPr>
        <w:rFonts w:ascii="Wingdings" w:hAnsi="Wingdings" w:hint="default"/>
      </w:rPr>
    </w:lvl>
    <w:lvl w:ilvl="3" w:tplc="19AEA178">
      <w:numFmt w:val="bullet"/>
      <w:lvlText w:val="•"/>
      <w:lvlJc w:val="left"/>
      <w:pPr>
        <w:ind w:left="2865" w:hanging="705"/>
      </w:pPr>
      <w:rPr>
        <w:rFonts w:ascii="Arial" w:eastAsia="Times New Roman" w:hAnsi="Arial" w:cs="Arial" w:hint="default"/>
      </w:rPr>
    </w:lvl>
    <w:lvl w:ilvl="4" w:tplc="240A0003">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50" w15:restartNumberingAfterBreak="0">
    <w:nsid w:val="2CB421EE"/>
    <w:multiLevelType w:val="hybridMultilevel"/>
    <w:tmpl w:val="B75CE020"/>
    <w:lvl w:ilvl="0" w:tplc="4DB80760">
      <w:start w:val="1"/>
      <w:numFmt w:val="bullet"/>
      <w:lvlText w:val="­"/>
      <w:lvlJc w:val="left"/>
      <w:pPr>
        <w:ind w:left="720" w:hanging="360"/>
      </w:pPr>
      <w:rPr>
        <w:rFonts w:ascii="Courier New" w:hAnsi="Courier New" w:cs="Times New Roman" w:hint="default"/>
        <w:color w:val="auto"/>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51" w15:restartNumberingAfterBreak="0">
    <w:nsid w:val="2CB67AB9"/>
    <w:multiLevelType w:val="hybridMultilevel"/>
    <w:tmpl w:val="CAE2C40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2" w15:restartNumberingAfterBreak="0">
    <w:nsid w:val="2D0A094A"/>
    <w:multiLevelType w:val="hybridMultilevel"/>
    <w:tmpl w:val="35D203A8"/>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53" w15:restartNumberingAfterBreak="0">
    <w:nsid w:val="2D123B35"/>
    <w:multiLevelType w:val="hybridMultilevel"/>
    <w:tmpl w:val="AD04068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4" w15:restartNumberingAfterBreak="0">
    <w:nsid w:val="2D1F3B65"/>
    <w:multiLevelType w:val="hybridMultilevel"/>
    <w:tmpl w:val="A80C46C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5" w15:restartNumberingAfterBreak="0">
    <w:nsid w:val="2D3F73BF"/>
    <w:multiLevelType w:val="hybridMultilevel"/>
    <w:tmpl w:val="51CC8D1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6" w15:restartNumberingAfterBreak="0">
    <w:nsid w:val="2E0826C5"/>
    <w:multiLevelType w:val="hybridMultilevel"/>
    <w:tmpl w:val="9666690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7" w15:restartNumberingAfterBreak="0">
    <w:nsid w:val="2E4076B2"/>
    <w:multiLevelType w:val="hybridMultilevel"/>
    <w:tmpl w:val="A1C0F5C2"/>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58" w15:restartNumberingAfterBreak="0">
    <w:nsid w:val="2E5D51EF"/>
    <w:multiLevelType w:val="multilevel"/>
    <w:tmpl w:val="EE2C965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9" w15:restartNumberingAfterBreak="0">
    <w:nsid w:val="2E6211A5"/>
    <w:multiLevelType w:val="hybridMultilevel"/>
    <w:tmpl w:val="3718040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0" w15:restartNumberingAfterBreak="0">
    <w:nsid w:val="2EEE20DF"/>
    <w:multiLevelType w:val="hybridMultilevel"/>
    <w:tmpl w:val="7714A82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61" w15:restartNumberingAfterBreak="0">
    <w:nsid w:val="2F712E16"/>
    <w:multiLevelType w:val="hybridMultilevel"/>
    <w:tmpl w:val="10CE31A4"/>
    <w:lvl w:ilvl="0" w:tplc="A690690A">
      <w:start w:val="1"/>
      <w:numFmt w:val="lowerRoman"/>
      <w:lvlText w:val="%1)"/>
      <w:lvlJc w:val="left"/>
      <w:pPr>
        <w:ind w:left="1080" w:hanging="72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62" w15:restartNumberingAfterBreak="0">
    <w:nsid w:val="2FF62224"/>
    <w:multiLevelType w:val="hybridMultilevel"/>
    <w:tmpl w:val="677A099A"/>
    <w:lvl w:ilvl="0" w:tplc="240A0019">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63" w15:restartNumberingAfterBreak="0">
    <w:nsid w:val="31664826"/>
    <w:multiLevelType w:val="hybridMultilevel"/>
    <w:tmpl w:val="23CE11B8"/>
    <w:lvl w:ilvl="0" w:tplc="4DB80760">
      <w:start w:val="1"/>
      <w:numFmt w:val="bullet"/>
      <w:lvlText w:val="­"/>
      <w:lvlJc w:val="left"/>
      <w:pPr>
        <w:ind w:left="720" w:hanging="360"/>
      </w:pPr>
      <w:rPr>
        <w:rFonts w:ascii="Courier New" w:hAnsi="Courier New" w:cs="Times New Roman"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4" w15:restartNumberingAfterBreak="0">
    <w:nsid w:val="32D853B4"/>
    <w:multiLevelType w:val="hybridMultilevel"/>
    <w:tmpl w:val="4D88DC20"/>
    <w:lvl w:ilvl="0" w:tplc="0409000D">
      <w:start w:val="1"/>
      <w:numFmt w:val="bullet"/>
      <w:lvlText w:val=""/>
      <w:lvlJc w:val="left"/>
      <w:pPr>
        <w:ind w:left="1080" w:hanging="360"/>
      </w:pPr>
      <w:rPr>
        <w:rFonts w:ascii="Wingdings" w:hAnsi="Wingdings" w:hint="default"/>
      </w:rPr>
    </w:lvl>
    <w:lvl w:ilvl="1" w:tplc="580A0003" w:tentative="1">
      <w:start w:val="1"/>
      <w:numFmt w:val="bullet"/>
      <w:lvlText w:val="o"/>
      <w:lvlJc w:val="left"/>
      <w:pPr>
        <w:ind w:left="1800" w:hanging="360"/>
      </w:pPr>
      <w:rPr>
        <w:rFonts w:ascii="Courier New" w:hAnsi="Courier New" w:cs="Courier New" w:hint="default"/>
      </w:rPr>
    </w:lvl>
    <w:lvl w:ilvl="2" w:tplc="580A0005" w:tentative="1">
      <w:start w:val="1"/>
      <w:numFmt w:val="bullet"/>
      <w:lvlText w:val=""/>
      <w:lvlJc w:val="left"/>
      <w:pPr>
        <w:ind w:left="2520" w:hanging="360"/>
      </w:pPr>
      <w:rPr>
        <w:rFonts w:ascii="Wingdings" w:hAnsi="Wingdings" w:hint="default"/>
      </w:rPr>
    </w:lvl>
    <w:lvl w:ilvl="3" w:tplc="580A0001" w:tentative="1">
      <w:start w:val="1"/>
      <w:numFmt w:val="bullet"/>
      <w:lvlText w:val=""/>
      <w:lvlJc w:val="left"/>
      <w:pPr>
        <w:ind w:left="3240" w:hanging="360"/>
      </w:pPr>
      <w:rPr>
        <w:rFonts w:ascii="Symbol" w:hAnsi="Symbol" w:hint="default"/>
      </w:rPr>
    </w:lvl>
    <w:lvl w:ilvl="4" w:tplc="580A0003" w:tentative="1">
      <w:start w:val="1"/>
      <w:numFmt w:val="bullet"/>
      <w:lvlText w:val="o"/>
      <w:lvlJc w:val="left"/>
      <w:pPr>
        <w:ind w:left="3960" w:hanging="360"/>
      </w:pPr>
      <w:rPr>
        <w:rFonts w:ascii="Courier New" w:hAnsi="Courier New" w:cs="Courier New" w:hint="default"/>
      </w:rPr>
    </w:lvl>
    <w:lvl w:ilvl="5" w:tplc="580A0005" w:tentative="1">
      <w:start w:val="1"/>
      <w:numFmt w:val="bullet"/>
      <w:lvlText w:val=""/>
      <w:lvlJc w:val="left"/>
      <w:pPr>
        <w:ind w:left="4680" w:hanging="360"/>
      </w:pPr>
      <w:rPr>
        <w:rFonts w:ascii="Wingdings" w:hAnsi="Wingdings" w:hint="default"/>
      </w:rPr>
    </w:lvl>
    <w:lvl w:ilvl="6" w:tplc="580A0001" w:tentative="1">
      <w:start w:val="1"/>
      <w:numFmt w:val="bullet"/>
      <w:lvlText w:val=""/>
      <w:lvlJc w:val="left"/>
      <w:pPr>
        <w:ind w:left="5400" w:hanging="360"/>
      </w:pPr>
      <w:rPr>
        <w:rFonts w:ascii="Symbol" w:hAnsi="Symbol" w:hint="default"/>
      </w:rPr>
    </w:lvl>
    <w:lvl w:ilvl="7" w:tplc="580A0003" w:tentative="1">
      <w:start w:val="1"/>
      <w:numFmt w:val="bullet"/>
      <w:lvlText w:val="o"/>
      <w:lvlJc w:val="left"/>
      <w:pPr>
        <w:ind w:left="6120" w:hanging="360"/>
      </w:pPr>
      <w:rPr>
        <w:rFonts w:ascii="Courier New" w:hAnsi="Courier New" w:cs="Courier New" w:hint="default"/>
      </w:rPr>
    </w:lvl>
    <w:lvl w:ilvl="8" w:tplc="580A0005" w:tentative="1">
      <w:start w:val="1"/>
      <w:numFmt w:val="bullet"/>
      <w:lvlText w:val=""/>
      <w:lvlJc w:val="left"/>
      <w:pPr>
        <w:ind w:left="6840" w:hanging="360"/>
      </w:pPr>
      <w:rPr>
        <w:rFonts w:ascii="Wingdings" w:hAnsi="Wingdings" w:hint="default"/>
      </w:rPr>
    </w:lvl>
  </w:abstractNum>
  <w:abstractNum w:abstractNumId="165" w15:restartNumberingAfterBreak="0">
    <w:nsid w:val="337662A0"/>
    <w:multiLevelType w:val="multilevel"/>
    <w:tmpl w:val="D582589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6" w15:restartNumberingAfterBreak="0">
    <w:nsid w:val="337A1059"/>
    <w:multiLevelType w:val="hybridMultilevel"/>
    <w:tmpl w:val="D4E2792C"/>
    <w:lvl w:ilvl="0" w:tplc="240A0001">
      <w:start w:val="1"/>
      <w:numFmt w:val="bullet"/>
      <w:lvlText w:val=""/>
      <w:lvlJc w:val="left"/>
      <w:pPr>
        <w:ind w:left="1800" w:hanging="360"/>
      </w:pPr>
      <w:rPr>
        <w:rFonts w:ascii="Symbol" w:hAnsi="Symbol" w:hint="default"/>
      </w:rPr>
    </w:lvl>
    <w:lvl w:ilvl="1" w:tplc="240A0003">
      <w:start w:val="1"/>
      <w:numFmt w:val="bullet"/>
      <w:lvlText w:val="o"/>
      <w:lvlJc w:val="left"/>
      <w:pPr>
        <w:ind w:left="2520" w:hanging="360"/>
      </w:pPr>
      <w:rPr>
        <w:rFonts w:ascii="Courier New" w:hAnsi="Courier New" w:cs="Courier New" w:hint="default"/>
      </w:rPr>
    </w:lvl>
    <w:lvl w:ilvl="2" w:tplc="240A0005" w:tentative="1">
      <w:start w:val="1"/>
      <w:numFmt w:val="bullet"/>
      <w:lvlText w:val=""/>
      <w:lvlJc w:val="left"/>
      <w:pPr>
        <w:ind w:left="3240" w:hanging="360"/>
      </w:pPr>
      <w:rPr>
        <w:rFonts w:ascii="Wingdings" w:hAnsi="Wingdings" w:hint="default"/>
      </w:rPr>
    </w:lvl>
    <w:lvl w:ilvl="3" w:tplc="240A0001" w:tentative="1">
      <w:start w:val="1"/>
      <w:numFmt w:val="bullet"/>
      <w:lvlText w:val=""/>
      <w:lvlJc w:val="left"/>
      <w:pPr>
        <w:ind w:left="3960" w:hanging="360"/>
      </w:pPr>
      <w:rPr>
        <w:rFonts w:ascii="Symbol" w:hAnsi="Symbol" w:hint="default"/>
      </w:rPr>
    </w:lvl>
    <w:lvl w:ilvl="4" w:tplc="240A0003" w:tentative="1">
      <w:start w:val="1"/>
      <w:numFmt w:val="bullet"/>
      <w:lvlText w:val="o"/>
      <w:lvlJc w:val="left"/>
      <w:pPr>
        <w:ind w:left="4680" w:hanging="360"/>
      </w:pPr>
      <w:rPr>
        <w:rFonts w:ascii="Courier New" w:hAnsi="Courier New" w:cs="Courier New" w:hint="default"/>
      </w:rPr>
    </w:lvl>
    <w:lvl w:ilvl="5" w:tplc="240A0005" w:tentative="1">
      <w:start w:val="1"/>
      <w:numFmt w:val="bullet"/>
      <w:lvlText w:val=""/>
      <w:lvlJc w:val="left"/>
      <w:pPr>
        <w:ind w:left="5400" w:hanging="360"/>
      </w:pPr>
      <w:rPr>
        <w:rFonts w:ascii="Wingdings" w:hAnsi="Wingdings" w:hint="default"/>
      </w:rPr>
    </w:lvl>
    <w:lvl w:ilvl="6" w:tplc="240A0001" w:tentative="1">
      <w:start w:val="1"/>
      <w:numFmt w:val="bullet"/>
      <w:lvlText w:val=""/>
      <w:lvlJc w:val="left"/>
      <w:pPr>
        <w:ind w:left="6120" w:hanging="360"/>
      </w:pPr>
      <w:rPr>
        <w:rFonts w:ascii="Symbol" w:hAnsi="Symbol" w:hint="default"/>
      </w:rPr>
    </w:lvl>
    <w:lvl w:ilvl="7" w:tplc="240A0003" w:tentative="1">
      <w:start w:val="1"/>
      <w:numFmt w:val="bullet"/>
      <w:lvlText w:val="o"/>
      <w:lvlJc w:val="left"/>
      <w:pPr>
        <w:ind w:left="6840" w:hanging="360"/>
      </w:pPr>
      <w:rPr>
        <w:rFonts w:ascii="Courier New" w:hAnsi="Courier New" w:cs="Courier New" w:hint="default"/>
      </w:rPr>
    </w:lvl>
    <w:lvl w:ilvl="8" w:tplc="240A0005" w:tentative="1">
      <w:start w:val="1"/>
      <w:numFmt w:val="bullet"/>
      <w:lvlText w:val=""/>
      <w:lvlJc w:val="left"/>
      <w:pPr>
        <w:ind w:left="7560" w:hanging="360"/>
      </w:pPr>
      <w:rPr>
        <w:rFonts w:ascii="Wingdings" w:hAnsi="Wingdings" w:hint="default"/>
      </w:rPr>
    </w:lvl>
  </w:abstractNum>
  <w:abstractNum w:abstractNumId="167" w15:restartNumberingAfterBreak="0">
    <w:nsid w:val="339636A5"/>
    <w:multiLevelType w:val="hybridMultilevel"/>
    <w:tmpl w:val="8E886206"/>
    <w:lvl w:ilvl="0" w:tplc="D874762A">
      <w:start w:val="1"/>
      <w:numFmt w:val="bullet"/>
      <w:pStyle w:val="Diamante"/>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8" w15:restartNumberingAfterBreak="0">
    <w:nsid w:val="339F157A"/>
    <w:multiLevelType w:val="hybridMultilevel"/>
    <w:tmpl w:val="34F0470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9" w15:restartNumberingAfterBreak="0">
    <w:nsid w:val="33AB5218"/>
    <w:multiLevelType w:val="multilevel"/>
    <w:tmpl w:val="6A36369E"/>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0" w15:restartNumberingAfterBreak="0">
    <w:nsid w:val="33AC0DEE"/>
    <w:multiLevelType w:val="hybridMultilevel"/>
    <w:tmpl w:val="146853A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1" w15:restartNumberingAfterBreak="0">
    <w:nsid w:val="33CC5ACE"/>
    <w:multiLevelType w:val="hybridMultilevel"/>
    <w:tmpl w:val="9424A102"/>
    <w:lvl w:ilvl="0" w:tplc="BB2AAC48">
      <w:start w:val="1"/>
      <w:numFmt w:val="bullet"/>
      <w:lvlText w:val=""/>
      <w:lvlJc w:val="left"/>
      <w:pPr>
        <w:ind w:left="720" w:hanging="360"/>
      </w:pPr>
      <w:rPr>
        <w:rFonts w:ascii="Symbol" w:hAnsi="Symbol" w:hint="default"/>
        <w:lang w:val="es-ES"/>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2" w15:restartNumberingAfterBreak="0">
    <w:nsid w:val="33D120D5"/>
    <w:multiLevelType w:val="hybridMultilevel"/>
    <w:tmpl w:val="8424C046"/>
    <w:lvl w:ilvl="0" w:tplc="4DB80760">
      <w:start w:val="1"/>
      <w:numFmt w:val="bullet"/>
      <w:lvlText w:val="­"/>
      <w:lvlJc w:val="left"/>
      <w:pPr>
        <w:ind w:left="720" w:hanging="360"/>
      </w:pPr>
      <w:rPr>
        <w:rFonts w:ascii="Courier New" w:hAnsi="Courier New" w:cs="Times New Roman"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3" w15:restartNumberingAfterBreak="0">
    <w:nsid w:val="33D354A2"/>
    <w:multiLevelType w:val="hybridMultilevel"/>
    <w:tmpl w:val="03BCA2E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4" w15:restartNumberingAfterBreak="0">
    <w:nsid w:val="341668A7"/>
    <w:multiLevelType w:val="hybridMultilevel"/>
    <w:tmpl w:val="E9CCFFEA"/>
    <w:lvl w:ilvl="0" w:tplc="701690C0">
      <w:start w:val="1"/>
      <w:numFmt w:val="bullet"/>
      <w:lvlText w:val=""/>
      <w:lvlJc w:val="left"/>
      <w:pPr>
        <w:ind w:left="720" w:hanging="360"/>
      </w:pPr>
      <w:rPr>
        <w:rFonts w:ascii="Symbol" w:hAnsi="Symbol" w:hint="default"/>
        <w:color w:val="auto"/>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5" w15:restartNumberingAfterBreak="0">
    <w:nsid w:val="343523BC"/>
    <w:multiLevelType w:val="hybridMultilevel"/>
    <w:tmpl w:val="48B81CE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6" w15:restartNumberingAfterBreak="0">
    <w:nsid w:val="34403539"/>
    <w:multiLevelType w:val="hybridMultilevel"/>
    <w:tmpl w:val="1FC2A15A"/>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77" w15:restartNumberingAfterBreak="0">
    <w:nsid w:val="345600F7"/>
    <w:multiLevelType w:val="hybridMultilevel"/>
    <w:tmpl w:val="1F74FA5C"/>
    <w:lvl w:ilvl="0" w:tplc="51827248">
      <w:start w:val="1"/>
      <w:numFmt w:val="upperRoman"/>
      <w:pStyle w:val="Captulonmero"/>
      <w:lvlText w:val="%1."/>
      <w:lvlJc w:val="left"/>
      <w:pPr>
        <w:ind w:left="1080" w:hanging="720"/>
      </w:pPr>
      <w:rPr>
        <w:rFonts w:hint="default"/>
      </w:rPr>
    </w:lvl>
    <w:lvl w:ilvl="1" w:tplc="240A0019" w:tentative="1">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78" w15:restartNumberingAfterBreak="0">
    <w:nsid w:val="348E76CB"/>
    <w:multiLevelType w:val="hybridMultilevel"/>
    <w:tmpl w:val="358EDA9A"/>
    <w:lvl w:ilvl="0" w:tplc="00145946">
      <w:numFmt w:val="bullet"/>
      <w:lvlText w:val="-"/>
      <w:lvlJc w:val="left"/>
      <w:pPr>
        <w:ind w:left="720" w:hanging="360"/>
      </w:pPr>
      <w:rPr>
        <w:rFonts w:ascii="Arial" w:eastAsiaTheme="minorHAnsi" w:hAnsi="Arial" w:cs="Arial" w:hint="default"/>
        <w:sz w:val="24"/>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9" w15:restartNumberingAfterBreak="0">
    <w:nsid w:val="34AD1B43"/>
    <w:multiLevelType w:val="hybridMultilevel"/>
    <w:tmpl w:val="9D1497A2"/>
    <w:lvl w:ilvl="0" w:tplc="59D00124">
      <w:start w:val="727"/>
      <w:numFmt w:val="bullet"/>
      <w:lvlText w:val="-"/>
      <w:lvlJc w:val="left"/>
      <w:pPr>
        <w:ind w:left="720" w:hanging="360"/>
      </w:pPr>
      <w:rPr>
        <w:rFonts w:ascii="Calibri" w:eastAsiaTheme="minorHAnsi" w:hAnsi="Calibri" w:cstheme="minorBid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0" w15:restartNumberingAfterBreak="0">
    <w:nsid w:val="34EE5115"/>
    <w:multiLevelType w:val="hybridMultilevel"/>
    <w:tmpl w:val="AD3C4B4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1" w15:restartNumberingAfterBreak="0">
    <w:nsid w:val="35774AE2"/>
    <w:multiLevelType w:val="hybridMultilevel"/>
    <w:tmpl w:val="FA28863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2" w15:restartNumberingAfterBreak="0">
    <w:nsid w:val="358C777B"/>
    <w:multiLevelType w:val="hybridMultilevel"/>
    <w:tmpl w:val="4D78513A"/>
    <w:lvl w:ilvl="0" w:tplc="240A000F">
      <w:start w:val="1"/>
      <w:numFmt w:val="decimal"/>
      <w:lvlText w:val="%1."/>
      <w:lvlJc w:val="left"/>
      <w:pPr>
        <w:ind w:left="720" w:hanging="360"/>
      </w:p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83" w15:restartNumberingAfterBreak="0">
    <w:nsid w:val="35A5486C"/>
    <w:multiLevelType w:val="hybridMultilevel"/>
    <w:tmpl w:val="12EC41F0"/>
    <w:lvl w:ilvl="0" w:tplc="3B26A1EA">
      <w:start w:val="1"/>
      <w:numFmt w:val="bullet"/>
      <w:lvlText w:val="-"/>
      <w:lvlJc w:val="left"/>
      <w:pPr>
        <w:ind w:left="720" w:hanging="360"/>
      </w:pPr>
      <w:rPr>
        <w:rFonts w:ascii="SimSun" w:eastAsia="SimSun" w:hAnsi="SimSun" w:hint="eastAsia"/>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4" w15:restartNumberingAfterBreak="0">
    <w:nsid w:val="35BE0A91"/>
    <w:multiLevelType w:val="hybridMultilevel"/>
    <w:tmpl w:val="109C770A"/>
    <w:lvl w:ilvl="0" w:tplc="240A0005">
      <w:start w:val="1"/>
      <w:numFmt w:val="bullet"/>
      <w:lvlText w:val=""/>
      <w:lvlJc w:val="left"/>
      <w:pPr>
        <w:ind w:left="1180" w:hanging="360"/>
      </w:pPr>
      <w:rPr>
        <w:rFonts w:ascii="Wingdings" w:hAnsi="Wingdings" w:hint="default"/>
      </w:rPr>
    </w:lvl>
    <w:lvl w:ilvl="1" w:tplc="240A0003" w:tentative="1">
      <w:start w:val="1"/>
      <w:numFmt w:val="bullet"/>
      <w:lvlText w:val="o"/>
      <w:lvlJc w:val="left"/>
      <w:pPr>
        <w:ind w:left="1900" w:hanging="360"/>
      </w:pPr>
      <w:rPr>
        <w:rFonts w:ascii="Courier New" w:hAnsi="Courier New" w:cs="Courier New" w:hint="default"/>
      </w:rPr>
    </w:lvl>
    <w:lvl w:ilvl="2" w:tplc="240A0005" w:tentative="1">
      <w:start w:val="1"/>
      <w:numFmt w:val="bullet"/>
      <w:lvlText w:val=""/>
      <w:lvlJc w:val="left"/>
      <w:pPr>
        <w:ind w:left="2620" w:hanging="360"/>
      </w:pPr>
      <w:rPr>
        <w:rFonts w:ascii="Wingdings" w:hAnsi="Wingdings" w:hint="default"/>
      </w:rPr>
    </w:lvl>
    <w:lvl w:ilvl="3" w:tplc="240A0001" w:tentative="1">
      <w:start w:val="1"/>
      <w:numFmt w:val="bullet"/>
      <w:lvlText w:val=""/>
      <w:lvlJc w:val="left"/>
      <w:pPr>
        <w:ind w:left="3340" w:hanging="360"/>
      </w:pPr>
      <w:rPr>
        <w:rFonts w:ascii="Symbol" w:hAnsi="Symbol" w:hint="default"/>
      </w:rPr>
    </w:lvl>
    <w:lvl w:ilvl="4" w:tplc="240A0003" w:tentative="1">
      <w:start w:val="1"/>
      <w:numFmt w:val="bullet"/>
      <w:lvlText w:val="o"/>
      <w:lvlJc w:val="left"/>
      <w:pPr>
        <w:ind w:left="4060" w:hanging="360"/>
      </w:pPr>
      <w:rPr>
        <w:rFonts w:ascii="Courier New" w:hAnsi="Courier New" w:cs="Courier New" w:hint="default"/>
      </w:rPr>
    </w:lvl>
    <w:lvl w:ilvl="5" w:tplc="240A0005" w:tentative="1">
      <w:start w:val="1"/>
      <w:numFmt w:val="bullet"/>
      <w:lvlText w:val=""/>
      <w:lvlJc w:val="left"/>
      <w:pPr>
        <w:ind w:left="4780" w:hanging="360"/>
      </w:pPr>
      <w:rPr>
        <w:rFonts w:ascii="Wingdings" w:hAnsi="Wingdings" w:hint="default"/>
      </w:rPr>
    </w:lvl>
    <w:lvl w:ilvl="6" w:tplc="240A0001" w:tentative="1">
      <w:start w:val="1"/>
      <w:numFmt w:val="bullet"/>
      <w:lvlText w:val=""/>
      <w:lvlJc w:val="left"/>
      <w:pPr>
        <w:ind w:left="5500" w:hanging="360"/>
      </w:pPr>
      <w:rPr>
        <w:rFonts w:ascii="Symbol" w:hAnsi="Symbol" w:hint="default"/>
      </w:rPr>
    </w:lvl>
    <w:lvl w:ilvl="7" w:tplc="240A0003" w:tentative="1">
      <w:start w:val="1"/>
      <w:numFmt w:val="bullet"/>
      <w:lvlText w:val="o"/>
      <w:lvlJc w:val="left"/>
      <w:pPr>
        <w:ind w:left="6220" w:hanging="360"/>
      </w:pPr>
      <w:rPr>
        <w:rFonts w:ascii="Courier New" w:hAnsi="Courier New" w:cs="Courier New" w:hint="default"/>
      </w:rPr>
    </w:lvl>
    <w:lvl w:ilvl="8" w:tplc="240A0005" w:tentative="1">
      <w:start w:val="1"/>
      <w:numFmt w:val="bullet"/>
      <w:lvlText w:val=""/>
      <w:lvlJc w:val="left"/>
      <w:pPr>
        <w:ind w:left="6940" w:hanging="360"/>
      </w:pPr>
      <w:rPr>
        <w:rFonts w:ascii="Wingdings" w:hAnsi="Wingdings" w:hint="default"/>
      </w:rPr>
    </w:lvl>
  </w:abstractNum>
  <w:abstractNum w:abstractNumId="185" w15:restartNumberingAfterBreak="0">
    <w:nsid w:val="36412AAF"/>
    <w:multiLevelType w:val="hybridMultilevel"/>
    <w:tmpl w:val="473ACB02"/>
    <w:lvl w:ilvl="0" w:tplc="4DB80760">
      <w:start w:val="1"/>
      <w:numFmt w:val="bullet"/>
      <w:lvlText w:val="­"/>
      <w:lvlJc w:val="left"/>
      <w:pPr>
        <w:ind w:left="360" w:hanging="360"/>
      </w:pPr>
      <w:rPr>
        <w:rFonts w:ascii="Courier New" w:hAnsi="Courier New" w:cs="Times New Roman" w:hint="default"/>
        <w:color w:val="auto"/>
      </w:rPr>
    </w:lvl>
    <w:lvl w:ilvl="1" w:tplc="240A0003">
      <w:start w:val="1"/>
      <w:numFmt w:val="bullet"/>
      <w:lvlText w:val="o"/>
      <w:lvlJc w:val="left"/>
      <w:pPr>
        <w:ind w:left="1080" w:hanging="360"/>
      </w:pPr>
      <w:rPr>
        <w:rFonts w:ascii="Courier New" w:hAnsi="Courier New" w:cs="Courier New" w:hint="default"/>
      </w:rPr>
    </w:lvl>
    <w:lvl w:ilvl="2" w:tplc="D6143CF6">
      <w:numFmt w:val="bullet"/>
      <w:lvlText w:val="•"/>
      <w:lvlJc w:val="left"/>
      <w:pPr>
        <w:ind w:left="2145" w:hanging="705"/>
      </w:pPr>
      <w:rPr>
        <w:rFonts w:ascii="Arial" w:eastAsia="Times New Roman" w:hAnsi="Arial" w:cs="Arial" w:hint="default"/>
      </w:rPr>
    </w:lvl>
    <w:lvl w:ilvl="3" w:tplc="354E41B6">
      <w:numFmt w:val="bullet"/>
      <w:lvlText w:val="-"/>
      <w:lvlJc w:val="left"/>
      <w:pPr>
        <w:ind w:left="2520" w:hanging="360"/>
      </w:pPr>
      <w:rPr>
        <w:rFonts w:ascii="Arial Narrow" w:eastAsia="Times New Roman" w:hAnsi="Arial Narrow" w:cs="Aria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86" w15:restartNumberingAfterBreak="0">
    <w:nsid w:val="36C56137"/>
    <w:multiLevelType w:val="hybridMultilevel"/>
    <w:tmpl w:val="70BC765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7" w15:restartNumberingAfterBreak="0">
    <w:nsid w:val="37421FF7"/>
    <w:multiLevelType w:val="hybridMultilevel"/>
    <w:tmpl w:val="1F1CEDF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8" w15:restartNumberingAfterBreak="0">
    <w:nsid w:val="37E20D7F"/>
    <w:multiLevelType w:val="hybridMultilevel"/>
    <w:tmpl w:val="D8B2BDA4"/>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9" w15:restartNumberingAfterBreak="0">
    <w:nsid w:val="3850011E"/>
    <w:multiLevelType w:val="hybridMultilevel"/>
    <w:tmpl w:val="07081D6C"/>
    <w:lvl w:ilvl="0" w:tplc="426697A6">
      <w:start w:val="1"/>
      <w:numFmt w:val="bullet"/>
      <w:lvlText w:val="‒"/>
      <w:lvlJc w:val="left"/>
      <w:pPr>
        <w:ind w:left="720" w:hanging="360"/>
      </w:pPr>
      <w:rPr>
        <w:rFonts w:ascii="Calibri" w:hAnsi="Calibri"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0" w15:restartNumberingAfterBreak="0">
    <w:nsid w:val="38D32DD6"/>
    <w:multiLevelType w:val="multilevel"/>
    <w:tmpl w:val="B4FE1ACE"/>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1" w15:restartNumberingAfterBreak="0">
    <w:nsid w:val="392A40C0"/>
    <w:multiLevelType w:val="hybridMultilevel"/>
    <w:tmpl w:val="8F9265B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2" w15:restartNumberingAfterBreak="0">
    <w:nsid w:val="393610F3"/>
    <w:multiLevelType w:val="hybridMultilevel"/>
    <w:tmpl w:val="F44E1B3E"/>
    <w:lvl w:ilvl="0" w:tplc="4DB80760">
      <w:start w:val="1"/>
      <w:numFmt w:val="bullet"/>
      <w:lvlText w:val="­"/>
      <w:lvlJc w:val="left"/>
      <w:pPr>
        <w:ind w:left="720" w:hanging="360"/>
      </w:pPr>
      <w:rPr>
        <w:rFonts w:ascii="Courier New" w:hAnsi="Courier New" w:cs="Times New Roman" w:hint="default"/>
        <w:color w:val="auto"/>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3" w15:restartNumberingAfterBreak="0">
    <w:nsid w:val="396D427B"/>
    <w:multiLevelType w:val="hybridMultilevel"/>
    <w:tmpl w:val="53E4ED5C"/>
    <w:lvl w:ilvl="0" w:tplc="240A0003">
      <w:start w:val="1"/>
      <w:numFmt w:val="bullet"/>
      <w:lvlText w:val="o"/>
      <w:lvlJc w:val="left"/>
      <w:pPr>
        <w:ind w:left="1440" w:hanging="360"/>
      </w:pPr>
      <w:rPr>
        <w:rFonts w:ascii="Courier New" w:hAnsi="Courier New" w:cs="Courier New"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194" w15:restartNumberingAfterBreak="0">
    <w:nsid w:val="398555C6"/>
    <w:multiLevelType w:val="hybridMultilevel"/>
    <w:tmpl w:val="9A289266"/>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95" w15:restartNumberingAfterBreak="0">
    <w:nsid w:val="39B10C8E"/>
    <w:multiLevelType w:val="hybridMultilevel"/>
    <w:tmpl w:val="CD3858C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6" w15:restartNumberingAfterBreak="0">
    <w:nsid w:val="39F7048C"/>
    <w:multiLevelType w:val="hybridMultilevel"/>
    <w:tmpl w:val="10CE31A4"/>
    <w:lvl w:ilvl="0" w:tplc="A690690A">
      <w:start w:val="1"/>
      <w:numFmt w:val="lowerRoman"/>
      <w:lvlText w:val="%1)"/>
      <w:lvlJc w:val="left"/>
      <w:pPr>
        <w:ind w:left="1080" w:hanging="72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97" w15:restartNumberingAfterBreak="0">
    <w:nsid w:val="3A1B593F"/>
    <w:multiLevelType w:val="hybridMultilevel"/>
    <w:tmpl w:val="1E202F7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8" w15:restartNumberingAfterBreak="0">
    <w:nsid w:val="3A242F63"/>
    <w:multiLevelType w:val="hybridMultilevel"/>
    <w:tmpl w:val="2E40B3DA"/>
    <w:lvl w:ilvl="0" w:tplc="240A0001">
      <w:start w:val="1"/>
      <w:numFmt w:val="bullet"/>
      <w:lvlText w:val=""/>
      <w:lvlJc w:val="left"/>
      <w:pPr>
        <w:ind w:left="1069" w:hanging="360"/>
      </w:pPr>
      <w:rPr>
        <w:rFonts w:ascii="Symbol" w:hAnsi="Symbol" w:hint="default"/>
      </w:rPr>
    </w:lvl>
    <w:lvl w:ilvl="1" w:tplc="DDEEAB54">
      <w:start w:val="1"/>
      <w:numFmt w:val="bullet"/>
      <w:lvlText w:val="o"/>
      <w:lvlJc w:val="left"/>
      <w:pPr>
        <w:ind w:left="1789" w:hanging="360"/>
      </w:pPr>
      <w:rPr>
        <w:rFonts w:ascii="Courier New" w:hAnsi="Courier New" w:hint="default"/>
      </w:rPr>
    </w:lvl>
    <w:lvl w:ilvl="2" w:tplc="685036AE">
      <w:start w:val="1"/>
      <w:numFmt w:val="bullet"/>
      <w:lvlText w:val=""/>
      <w:lvlJc w:val="left"/>
      <w:pPr>
        <w:ind w:left="2509" w:hanging="360"/>
      </w:pPr>
      <w:rPr>
        <w:rFonts w:ascii="Wingdings" w:hAnsi="Wingdings" w:hint="default"/>
      </w:rPr>
    </w:lvl>
    <w:lvl w:ilvl="3" w:tplc="2D5687D8">
      <w:start w:val="1"/>
      <w:numFmt w:val="bullet"/>
      <w:lvlText w:val=""/>
      <w:lvlJc w:val="left"/>
      <w:pPr>
        <w:ind w:left="3229" w:hanging="360"/>
      </w:pPr>
      <w:rPr>
        <w:rFonts w:ascii="Symbol" w:hAnsi="Symbol" w:hint="default"/>
      </w:rPr>
    </w:lvl>
    <w:lvl w:ilvl="4" w:tplc="EED298AE">
      <w:start w:val="1"/>
      <w:numFmt w:val="bullet"/>
      <w:lvlText w:val="o"/>
      <w:lvlJc w:val="left"/>
      <w:pPr>
        <w:ind w:left="3949" w:hanging="360"/>
      </w:pPr>
      <w:rPr>
        <w:rFonts w:ascii="Courier New" w:hAnsi="Courier New" w:hint="default"/>
      </w:rPr>
    </w:lvl>
    <w:lvl w:ilvl="5" w:tplc="E13A0ECC">
      <w:start w:val="1"/>
      <w:numFmt w:val="bullet"/>
      <w:lvlText w:val=""/>
      <w:lvlJc w:val="left"/>
      <w:pPr>
        <w:ind w:left="4669" w:hanging="360"/>
      </w:pPr>
      <w:rPr>
        <w:rFonts w:ascii="Wingdings" w:hAnsi="Wingdings" w:hint="default"/>
      </w:rPr>
    </w:lvl>
    <w:lvl w:ilvl="6" w:tplc="1198398C">
      <w:start w:val="1"/>
      <w:numFmt w:val="bullet"/>
      <w:lvlText w:val=""/>
      <w:lvlJc w:val="left"/>
      <w:pPr>
        <w:ind w:left="5389" w:hanging="360"/>
      </w:pPr>
      <w:rPr>
        <w:rFonts w:ascii="Symbol" w:hAnsi="Symbol" w:hint="default"/>
      </w:rPr>
    </w:lvl>
    <w:lvl w:ilvl="7" w:tplc="049404B0">
      <w:start w:val="1"/>
      <w:numFmt w:val="bullet"/>
      <w:lvlText w:val="o"/>
      <w:lvlJc w:val="left"/>
      <w:pPr>
        <w:ind w:left="6109" w:hanging="360"/>
      </w:pPr>
      <w:rPr>
        <w:rFonts w:ascii="Courier New" w:hAnsi="Courier New" w:hint="default"/>
      </w:rPr>
    </w:lvl>
    <w:lvl w:ilvl="8" w:tplc="17C421B4">
      <w:start w:val="1"/>
      <w:numFmt w:val="bullet"/>
      <w:lvlText w:val=""/>
      <w:lvlJc w:val="left"/>
      <w:pPr>
        <w:ind w:left="6829" w:hanging="360"/>
      </w:pPr>
      <w:rPr>
        <w:rFonts w:ascii="Wingdings" w:hAnsi="Wingdings" w:hint="default"/>
      </w:rPr>
    </w:lvl>
  </w:abstractNum>
  <w:abstractNum w:abstractNumId="199" w15:restartNumberingAfterBreak="0">
    <w:nsid w:val="3A615863"/>
    <w:multiLevelType w:val="hybridMultilevel"/>
    <w:tmpl w:val="444A53CA"/>
    <w:lvl w:ilvl="0" w:tplc="240A0003">
      <w:start w:val="1"/>
      <w:numFmt w:val="bullet"/>
      <w:lvlText w:val="o"/>
      <w:lvlJc w:val="left"/>
      <w:pPr>
        <w:ind w:left="1287" w:hanging="360"/>
      </w:pPr>
      <w:rPr>
        <w:rFonts w:ascii="Courier New" w:hAnsi="Courier New" w:cs="Courier New" w:hint="default"/>
      </w:rPr>
    </w:lvl>
    <w:lvl w:ilvl="1" w:tplc="240A0003" w:tentative="1">
      <w:start w:val="1"/>
      <w:numFmt w:val="bullet"/>
      <w:lvlText w:val="o"/>
      <w:lvlJc w:val="left"/>
      <w:pPr>
        <w:ind w:left="2007" w:hanging="360"/>
      </w:pPr>
      <w:rPr>
        <w:rFonts w:ascii="Courier New" w:hAnsi="Courier New" w:cs="Courier New" w:hint="default"/>
      </w:rPr>
    </w:lvl>
    <w:lvl w:ilvl="2" w:tplc="240A0005" w:tentative="1">
      <w:start w:val="1"/>
      <w:numFmt w:val="bullet"/>
      <w:lvlText w:val=""/>
      <w:lvlJc w:val="left"/>
      <w:pPr>
        <w:ind w:left="2727" w:hanging="360"/>
      </w:pPr>
      <w:rPr>
        <w:rFonts w:ascii="Wingdings" w:hAnsi="Wingdings" w:hint="default"/>
      </w:rPr>
    </w:lvl>
    <w:lvl w:ilvl="3" w:tplc="240A0001" w:tentative="1">
      <w:start w:val="1"/>
      <w:numFmt w:val="bullet"/>
      <w:lvlText w:val=""/>
      <w:lvlJc w:val="left"/>
      <w:pPr>
        <w:ind w:left="3447" w:hanging="360"/>
      </w:pPr>
      <w:rPr>
        <w:rFonts w:ascii="Symbol" w:hAnsi="Symbol" w:hint="default"/>
      </w:rPr>
    </w:lvl>
    <w:lvl w:ilvl="4" w:tplc="240A0003" w:tentative="1">
      <w:start w:val="1"/>
      <w:numFmt w:val="bullet"/>
      <w:lvlText w:val="o"/>
      <w:lvlJc w:val="left"/>
      <w:pPr>
        <w:ind w:left="4167" w:hanging="360"/>
      </w:pPr>
      <w:rPr>
        <w:rFonts w:ascii="Courier New" w:hAnsi="Courier New" w:cs="Courier New" w:hint="default"/>
      </w:rPr>
    </w:lvl>
    <w:lvl w:ilvl="5" w:tplc="240A0005" w:tentative="1">
      <w:start w:val="1"/>
      <w:numFmt w:val="bullet"/>
      <w:lvlText w:val=""/>
      <w:lvlJc w:val="left"/>
      <w:pPr>
        <w:ind w:left="4887" w:hanging="360"/>
      </w:pPr>
      <w:rPr>
        <w:rFonts w:ascii="Wingdings" w:hAnsi="Wingdings" w:hint="default"/>
      </w:rPr>
    </w:lvl>
    <w:lvl w:ilvl="6" w:tplc="240A0001" w:tentative="1">
      <w:start w:val="1"/>
      <w:numFmt w:val="bullet"/>
      <w:lvlText w:val=""/>
      <w:lvlJc w:val="left"/>
      <w:pPr>
        <w:ind w:left="5607" w:hanging="360"/>
      </w:pPr>
      <w:rPr>
        <w:rFonts w:ascii="Symbol" w:hAnsi="Symbol" w:hint="default"/>
      </w:rPr>
    </w:lvl>
    <w:lvl w:ilvl="7" w:tplc="240A0003" w:tentative="1">
      <w:start w:val="1"/>
      <w:numFmt w:val="bullet"/>
      <w:lvlText w:val="o"/>
      <w:lvlJc w:val="left"/>
      <w:pPr>
        <w:ind w:left="6327" w:hanging="360"/>
      </w:pPr>
      <w:rPr>
        <w:rFonts w:ascii="Courier New" w:hAnsi="Courier New" w:cs="Courier New" w:hint="default"/>
      </w:rPr>
    </w:lvl>
    <w:lvl w:ilvl="8" w:tplc="240A0005" w:tentative="1">
      <w:start w:val="1"/>
      <w:numFmt w:val="bullet"/>
      <w:lvlText w:val=""/>
      <w:lvlJc w:val="left"/>
      <w:pPr>
        <w:ind w:left="7047" w:hanging="360"/>
      </w:pPr>
      <w:rPr>
        <w:rFonts w:ascii="Wingdings" w:hAnsi="Wingdings" w:hint="default"/>
      </w:rPr>
    </w:lvl>
  </w:abstractNum>
  <w:abstractNum w:abstractNumId="200" w15:restartNumberingAfterBreak="0">
    <w:nsid w:val="3B126E21"/>
    <w:multiLevelType w:val="hybridMultilevel"/>
    <w:tmpl w:val="7E2CDE02"/>
    <w:lvl w:ilvl="0" w:tplc="4DB80760">
      <w:start w:val="1"/>
      <w:numFmt w:val="bullet"/>
      <w:lvlText w:val="­"/>
      <w:lvlJc w:val="left"/>
      <w:pPr>
        <w:ind w:left="720" w:hanging="360"/>
      </w:pPr>
      <w:rPr>
        <w:rFonts w:ascii="Courier New" w:hAnsi="Courier New" w:cs="Times New Roman"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1" w15:restartNumberingAfterBreak="0">
    <w:nsid w:val="3B737753"/>
    <w:multiLevelType w:val="hybridMultilevel"/>
    <w:tmpl w:val="EFA64CA6"/>
    <w:lvl w:ilvl="0" w:tplc="E722B4D8">
      <w:start w:val="1"/>
      <w:numFmt w:val="decimal"/>
      <w:lvlText w:val="%1."/>
      <w:lvlJc w:val="left"/>
      <w:pPr>
        <w:tabs>
          <w:tab w:val="num" w:pos="720"/>
        </w:tabs>
        <w:ind w:left="720" w:hanging="360"/>
      </w:pPr>
    </w:lvl>
    <w:lvl w:ilvl="1" w:tplc="4C8C1816" w:tentative="1">
      <w:start w:val="1"/>
      <w:numFmt w:val="decimal"/>
      <w:lvlText w:val="%2."/>
      <w:lvlJc w:val="left"/>
      <w:pPr>
        <w:tabs>
          <w:tab w:val="num" w:pos="1440"/>
        </w:tabs>
        <w:ind w:left="1440" w:hanging="360"/>
      </w:pPr>
    </w:lvl>
    <w:lvl w:ilvl="2" w:tplc="6FBAD106" w:tentative="1">
      <w:start w:val="1"/>
      <w:numFmt w:val="decimal"/>
      <w:lvlText w:val="%3."/>
      <w:lvlJc w:val="left"/>
      <w:pPr>
        <w:tabs>
          <w:tab w:val="num" w:pos="2160"/>
        </w:tabs>
        <w:ind w:left="2160" w:hanging="360"/>
      </w:pPr>
    </w:lvl>
    <w:lvl w:ilvl="3" w:tplc="80C44982" w:tentative="1">
      <w:start w:val="1"/>
      <w:numFmt w:val="decimal"/>
      <w:lvlText w:val="%4."/>
      <w:lvlJc w:val="left"/>
      <w:pPr>
        <w:tabs>
          <w:tab w:val="num" w:pos="2880"/>
        </w:tabs>
        <w:ind w:left="2880" w:hanging="360"/>
      </w:pPr>
    </w:lvl>
    <w:lvl w:ilvl="4" w:tplc="881C33CE" w:tentative="1">
      <w:start w:val="1"/>
      <w:numFmt w:val="decimal"/>
      <w:lvlText w:val="%5."/>
      <w:lvlJc w:val="left"/>
      <w:pPr>
        <w:tabs>
          <w:tab w:val="num" w:pos="3600"/>
        </w:tabs>
        <w:ind w:left="3600" w:hanging="360"/>
      </w:pPr>
    </w:lvl>
    <w:lvl w:ilvl="5" w:tplc="BAFE2D72" w:tentative="1">
      <w:start w:val="1"/>
      <w:numFmt w:val="decimal"/>
      <w:lvlText w:val="%6."/>
      <w:lvlJc w:val="left"/>
      <w:pPr>
        <w:tabs>
          <w:tab w:val="num" w:pos="4320"/>
        </w:tabs>
        <w:ind w:left="4320" w:hanging="360"/>
      </w:pPr>
    </w:lvl>
    <w:lvl w:ilvl="6" w:tplc="C0B80E74" w:tentative="1">
      <w:start w:val="1"/>
      <w:numFmt w:val="decimal"/>
      <w:lvlText w:val="%7."/>
      <w:lvlJc w:val="left"/>
      <w:pPr>
        <w:tabs>
          <w:tab w:val="num" w:pos="5040"/>
        </w:tabs>
        <w:ind w:left="5040" w:hanging="360"/>
      </w:pPr>
    </w:lvl>
    <w:lvl w:ilvl="7" w:tplc="FC3635C4" w:tentative="1">
      <w:start w:val="1"/>
      <w:numFmt w:val="decimal"/>
      <w:lvlText w:val="%8."/>
      <w:lvlJc w:val="left"/>
      <w:pPr>
        <w:tabs>
          <w:tab w:val="num" w:pos="5760"/>
        </w:tabs>
        <w:ind w:left="5760" w:hanging="360"/>
      </w:pPr>
    </w:lvl>
    <w:lvl w:ilvl="8" w:tplc="2B6069AE" w:tentative="1">
      <w:start w:val="1"/>
      <w:numFmt w:val="decimal"/>
      <w:lvlText w:val="%9."/>
      <w:lvlJc w:val="left"/>
      <w:pPr>
        <w:tabs>
          <w:tab w:val="num" w:pos="6480"/>
        </w:tabs>
        <w:ind w:left="6480" w:hanging="360"/>
      </w:pPr>
    </w:lvl>
  </w:abstractNum>
  <w:abstractNum w:abstractNumId="202" w15:restartNumberingAfterBreak="0">
    <w:nsid w:val="3BC37A5F"/>
    <w:multiLevelType w:val="hybridMultilevel"/>
    <w:tmpl w:val="AEFC97F8"/>
    <w:lvl w:ilvl="0" w:tplc="BB2AAC48">
      <w:start w:val="1"/>
      <w:numFmt w:val="bullet"/>
      <w:lvlText w:val=""/>
      <w:lvlJc w:val="left"/>
      <w:pPr>
        <w:ind w:left="720" w:hanging="360"/>
      </w:pPr>
      <w:rPr>
        <w:rFonts w:ascii="Symbol" w:hAnsi="Symbol" w:hint="default"/>
        <w:lang w:val="es-E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03" w15:restartNumberingAfterBreak="0">
    <w:nsid w:val="3BC833EC"/>
    <w:multiLevelType w:val="hybridMultilevel"/>
    <w:tmpl w:val="175A3ED8"/>
    <w:lvl w:ilvl="0" w:tplc="1A4421E0">
      <w:start w:val="1"/>
      <w:numFmt w:val="lowerRoman"/>
      <w:lvlText w:val="%1)"/>
      <w:lvlJc w:val="left"/>
      <w:pPr>
        <w:ind w:left="1080" w:hanging="72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04" w15:restartNumberingAfterBreak="0">
    <w:nsid w:val="3BF30797"/>
    <w:multiLevelType w:val="hybridMultilevel"/>
    <w:tmpl w:val="BAB41580"/>
    <w:lvl w:ilvl="0" w:tplc="240A000B">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05" w15:restartNumberingAfterBreak="0">
    <w:nsid w:val="3C147E0F"/>
    <w:multiLevelType w:val="hybridMultilevel"/>
    <w:tmpl w:val="A82871C6"/>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6" w15:restartNumberingAfterBreak="0">
    <w:nsid w:val="3C204AF4"/>
    <w:multiLevelType w:val="hybridMultilevel"/>
    <w:tmpl w:val="C124022E"/>
    <w:lvl w:ilvl="0" w:tplc="529C9D72">
      <w:start w:val="4"/>
      <w:numFmt w:val="bullet"/>
      <w:lvlText w:val="-"/>
      <w:lvlJc w:val="left"/>
      <w:pPr>
        <w:ind w:left="360" w:hanging="360"/>
      </w:pPr>
      <w:rPr>
        <w:rFonts w:ascii="Arial" w:eastAsiaTheme="minorHAnsi" w:hAnsi="Arial" w:cs="Aria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07" w15:restartNumberingAfterBreak="0">
    <w:nsid w:val="3C3E43BA"/>
    <w:multiLevelType w:val="hybridMultilevel"/>
    <w:tmpl w:val="1842FAC0"/>
    <w:lvl w:ilvl="0" w:tplc="4DB80760">
      <w:start w:val="1"/>
      <w:numFmt w:val="bullet"/>
      <w:lvlText w:val="­"/>
      <w:lvlJc w:val="left"/>
      <w:pPr>
        <w:ind w:left="360" w:hanging="360"/>
      </w:pPr>
      <w:rPr>
        <w:rFonts w:ascii="Courier New" w:hAnsi="Courier New" w:cs="Times New Roman" w:hint="default"/>
        <w:color w:val="auto"/>
      </w:rPr>
    </w:lvl>
    <w:lvl w:ilvl="1" w:tplc="1B4A25EA">
      <w:numFmt w:val="bullet"/>
      <w:lvlText w:val="•"/>
      <w:lvlJc w:val="left"/>
      <w:pPr>
        <w:ind w:left="1080" w:hanging="360"/>
      </w:pPr>
      <w:rPr>
        <w:rFonts w:ascii="Arial Narrow" w:eastAsia="Times New Roman" w:hAnsi="Arial Narrow" w:cs="Arial"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08" w15:restartNumberingAfterBreak="0">
    <w:nsid w:val="3C6067CD"/>
    <w:multiLevelType w:val="hybridMultilevel"/>
    <w:tmpl w:val="379E35A2"/>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09" w15:restartNumberingAfterBreak="0">
    <w:nsid w:val="3C8F6EC9"/>
    <w:multiLevelType w:val="multilevel"/>
    <w:tmpl w:val="B9581C6A"/>
    <w:lvl w:ilvl="0">
      <w:start w:val="1"/>
      <w:numFmt w:val="bullet"/>
      <w:lvlText w:val=""/>
      <w:lvlJc w:val="left"/>
      <w:pPr>
        <w:tabs>
          <w:tab w:val="num" w:pos="720"/>
        </w:tabs>
        <w:ind w:left="720" w:hanging="360"/>
      </w:pPr>
      <w:rPr>
        <w:rFonts w:ascii="Symbol" w:hAnsi="Symbol" w:hint="default"/>
        <w:sz w:val="20"/>
        <w:lang w:val="es-ES"/>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0" w15:restartNumberingAfterBreak="0">
    <w:nsid w:val="3C9F6F57"/>
    <w:multiLevelType w:val="hybridMultilevel"/>
    <w:tmpl w:val="5FDCE356"/>
    <w:lvl w:ilvl="0" w:tplc="F2B4939A">
      <w:start w:val="1"/>
      <w:numFmt w:val="lowerLetter"/>
      <w:lvlText w:val="%1)"/>
      <w:lvlJc w:val="left"/>
      <w:pPr>
        <w:ind w:left="720" w:hanging="360"/>
      </w:pPr>
      <w:rPr>
        <w:rFonts w:hint="default"/>
        <w:b/>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59D00124">
      <w:start w:val="727"/>
      <w:numFmt w:val="bullet"/>
      <w:lvlText w:val="-"/>
      <w:lvlJc w:val="left"/>
      <w:pPr>
        <w:ind w:left="2880" w:hanging="360"/>
      </w:pPr>
      <w:rPr>
        <w:rFonts w:ascii="Calibri" w:eastAsiaTheme="minorHAnsi" w:hAnsi="Calibri" w:cstheme="minorBidi"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11" w15:restartNumberingAfterBreak="0">
    <w:nsid w:val="3CA66A5B"/>
    <w:multiLevelType w:val="hybridMultilevel"/>
    <w:tmpl w:val="E392F48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2" w15:restartNumberingAfterBreak="0">
    <w:nsid w:val="3CBF30B3"/>
    <w:multiLevelType w:val="hybridMultilevel"/>
    <w:tmpl w:val="097C2976"/>
    <w:lvl w:ilvl="0" w:tplc="4DB80760">
      <w:start w:val="1"/>
      <w:numFmt w:val="bullet"/>
      <w:lvlText w:val="­"/>
      <w:lvlJc w:val="left"/>
      <w:pPr>
        <w:ind w:left="360" w:hanging="360"/>
      </w:pPr>
      <w:rPr>
        <w:rFonts w:ascii="Courier New" w:hAnsi="Courier New" w:cs="Times New Roman" w:hint="default"/>
        <w:color w:val="auto"/>
      </w:rPr>
    </w:lvl>
    <w:lvl w:ilvl="1" w:tplc="240A0003">
      <w:start w:val="1"/>
      <w:numFmt w:val="bullet"/>
      <w:lvlText w:val="o"/>
      <w:lvlJc w:val="left"/>
      <w:pPr>
        <w:ind w:left="1080" w:hanging="360"/>
      </w:pPr>
      <w:rPr>
        <w:rFonts w:ascii="Courier New" w:hAnsi="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13" w15:restartNumberingAfterBreak="0">
    <w:nsid w:val="3D471C6A"/>
    <w:multiLevelType w:val="hybridMultilevel"/>
    <w:tmpl w:val="E72C405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4" w15:restartNumberingAfterBreak="0">
    <w:nsid w:val="3D5F21B2"/>
    <w:multiLevelType w:val="hybridMultilevel"/>
    <w:tmpl w:val="E03AB208"/>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215" w15:restartNumberingAfterBreak="0">
    <w:nsid w:val="3DEA6950"/>
    <w:multiLevelType w:val="hybridMultilevel"/>
    <w:tmpl w:val="F57423B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6" w15:restartNumberingAfterBreak="0">
    <w:nsid w:val="3E0B6802"/>
    <w:multiLevelType w:val="hybridMultilevel"/>
    <w:tmpl w:val="AA145654"/>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17" w15:restartNumberingAfterBreak="0">
    <w:nsid w:val="3E2555AA"/>
    <w:multiLevelType w:val="hybridMultilevel"/>
    <w:tmpl w:val="58EE2B18"/>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start w:val="1"/>
      <w:numFmt w:val="bullet"/>
      <w:lvlText w:val=""/>
      <w:lvlJc w:val="left"/>
      <w:pPr>
        <w:ind w:left="2880" w:hanging="360"/>
      </w:pPr>
      <w:rPr>
        <w:rFonts w:ascii="Symbol" w:hAnsi="Symbol" w:hint="default"/>
      </w:rPr>
    </w:lvl>
    <w:lvl w:ilvl="4" w:tplc="240A0003">
      <w:start w:val="1"/>
      <w:numFmt w:val="bullet"/>
      <w:lvlText w:val="o"/>
      <w:lvlJc w:val="left"/>
      <w:pPr>
        <w:ind w:left="3600" w:hanging="360"/>
      </w:pPr>
      <w:rPr>
        <w:rFonts w:ascii="Courier New" w:hAnsi="Courier New" w:cs="Courier New" w:hint="default"/>
      </w:rPr>
    </w:lvl>
    <w:lvl w:ilvl="5" w:tplc="240A0005">
      <w:start w:val="1"/>
      <w:numFmt w:val="bullet"/>
      <w:lvlText w:val=""/>
      <w:lvlJc w:val="left"/>
      <w:pPr>
        <w:ind w:left="4320" w:hanging="360"/>
      </w:pPr>
      <w:rPr>
        <w:rFonts w:ascii="Wingdings" w:hAnsi="Wingdings" w:hint="default"/>
      </w:rPr>
    </w:lvl>
    <w:lvl w:ilvl="6" w:tplc="240A0001">
      <w:start w:val="1"/>
      <w:numFmt w:val="bullet"/>
      <w:lvlText w:val=""/>
      <w:lvlJc w:val="left"/>
      <w:pPr>
        <w:ind w:left="5040" w:hanging="360"/>
      </w:pPr>
      <w:rPr>
        <w:rFonts w:ascii="Symbol" w:hAnsi="Symbol" w:hint="default"/>
      </w:rPr>
    </w:lvl>
    <w:lvl w:ilvl="7" w:tplc="240A0003">
      <w:start w:val="1"/>
      <w:numFmt w:val="bullet"/>
      <w:lvlText w:val="o"/>
      <w:lvlJc w:val="left"/>
      <w:pPr>
        <w:ind w:left="5760" w:hanging="360"/>
      </w:pPr>
      <w:rPr>
        <w:rFonts w:ascii="Courier New" w:hAnsi="Courier New" w:cs="Courier New" w:hint="default"/>
      </w:rPr>
    </w:lvl>
    <w:lvl w:ilvl="8" w:tplc="240A0005">
      <w:start w:val="1"/>
      <w:numFmt w:val="bullet"/>
      <w:lvlText w:val=""/>
      <w:lvlJc w:val="left"/>
      <w:pPr>
        <w:ind w:left="6480" w:hanging="360"/>
      </w:pPr>
      <w:rPr>
        <w:rFonts w:ascii="Wingdings" w:hAnsi="Wingdings" w:hint="default"/>
      </w:rPr>
    </w:lvl>
  </w:abstractNum>
  <w:abstractNum w:abstractNumId="218" w15:restartNumberingAfterBreak="0">
    <w:nsid w:val="3E306EFF"/>
    <w:multiLevelType w:val="hybridMultilevel"/>
    <w:tmpl w:val="132265C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9" w15:restartNumberingAfterBreak="0">
    <w:nsid w:val="3E4A67BA"/>
    <w:multiLevelType w:val="hybridMultilevel"/>
    <w:tmpl w:val="4DC039A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20" w15:restartNumberingAfterBreak="0">
    <w:nsid w:val="3E8D60A8"/>
    <w:multiLevelType w:val="hybridMultilevel"/>
    <w:tmpl w:val="9AF09372"/>
    <w:lvl w:ilvl="0" w:tplc="4DB80760">
      <w:start w:val="1"/>
      <w:numFmt w:val="bullet"/>
      <w:lvlText w:val="­"/>
      <w:lvlJc w:val="left"/>
      <w:pPr>
        <w:ind w:left="720" w:hanging="360"/>
      </w:pPr>
      <w:rPr>
        <w:rFonts w:ascii="Courier New" w:hAnsi="Courier New" w:cs="Times New Roman"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21" w15:restartNumberingAfterBreak="0">
    <w:nsid w:val="3E93539E"/>
    <w:multiLevelType w:val="hybridMultilevel"/>
    <w:tmpl w:val="4D78513A"/>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22" w15:restartNumberingAfterBreak="0">
    <w:nsid w:val="3EBA2414"/>
    <w:multiLevelType w:val="hybridMultilevel"/>
    <w:tmpl w:val="86C26454"/>
    <w:lvl w:ilvl="0" w:tplc="4DB80760">
      <w:start w:val="1"/>
      <w:numFmt w:val="bullet"/>
      <w:lvlText w:val="­"/>
      <w:lvlJc w:val="left"/>
      <w:pPr>
        <w:ind w:left="1800" w:hanging="360"/>
      </w:pPr>
      <w:rPr>
        <w:rFonts w:ascii="Courier New" w:hAnsi="Courier New" w:cs="Times New Roman" w:hint="default"/>
        <w:color w:val="auto"/>
      </w:rPr>
    </w:lvl>
    <w:lvl w:ilvl="1" w:tplc="240A0003" w:tentative="1">
      <w:start w:val="1"/>
      <w:numFmt w:val="bullet"/>
      <w:lvlText w:val="o"/>
      <w:lvlJc w:val="left"/>
      <w:pPr>
        <w:ind w:left="2520" w:hanging="360"/>
      </w:pPr>
      <w:rPr>
        <w:rFonts w:ascii="Courier New" w:hAnsi="Courier New" w:cs="Courier New" w:hint="default"/>
      </w:rPr>
    </w:lvl>
    <w:lvl w:ilvl="2" w:tplc="240A0005" w:tentative="1">
      <w:start w:val="1"/>
      <w:numFmt w:val="bullet"/>
      <w:lvlText w:val=""/>
      <w:lvlJc w:val="left"/>
      <w:pPr>
        <w:ind w:left="3240" w:hanging="360"/>
      </w:pPr>
      <w:rPr>
        <w:rFonts w:ascii="Wingdings" w:hAnsi="Wingdings" w:hint="default"/>
      </w:rPr>
    </w:lvl>
    <w:lvl w:ilvl="3" w:tplc="240A0001" w:tentative="1">
      <w:start w:val="1"/>
      <w:numFmt w:val="bullet"/>
      <w:lvlText w:val=""/>
      <w:lvlJc w:val="left"/>
      <w:pPr>
        <w:ind w:left="3960" w:hanging="360"/>
      </w:pPr>
      <w:rPr>
        <w:rFonts w:ascii="Symbol" w:hAnsi="Symbol" w:hint="default"/>
      </w:rPr>
    </w:lvl>
    <w:lvl w:ilvl="4" w:tplc="240A0003" w:tentative="1">
      <w:start w:val="1"/>
      <w:numFmt w:val="bullet"/>
      <w:lvlText w:val="o"/>
      <w:lvlJc w:val="left"/>
      <w:pPr>
        <w:ind w:left="4680" w:hanging="360"/>
      </w:pPr>
      <w:rPr>
        <w:rFonts w:ascii="Courier New" w:hAnsi="Courier New" w:cs="Courier New" w:hint="default"/>
      </w:rPr>
    </w:lvl>
    <w:lvl w:ilvl="5" w:tplc="240A0005" w:tentative="1">
      <w:start w:val="1"/>
      <w:numFmt w:val="bullet"/>
      <w:lvlText w:val=""/>
      <w:lvlJc w:val="left"/>
      <w:pPr>
        <w:ind w:left="5400" w:hanging="360"/>
      </w:pPr>
      <w:rPr>
        <w:rFonts w:ascii="Wingdings" w:hAnsi="Wingdings" w:hint="default"/>
      </w:rPr>
    </w:lvl>
    <w:lvl w:ilvl="6" w:tplc="240A0001" w:tentative="1">
      <w:start w:val="1"/>
      <w:numFmt w:val="bullet"/>
      <w:lvlText w:val=""/>
      <w:lvlJc w:val="left"/>
      <w:pPr>
        <w:ind w:left="6120" w:hanging="360"/>
      </w:pPr>
      <w:rPr>
        <w:rFonts w:ascii="Symbol" w:hAnsi="Symbol" w:hint="default"/>
      </w:rPr>
    </w:lvl>
    <w:lvl w:ilvl="7" w:tplc="240A0003" w:tentative="1">
      <w:start w:val="1"/>
      <w:numFmt w:val="bullet"/>
      <w:lvlText w:val="o"/>
      <w:lvlJc w:val="left"/>
      <w:pPr>
        <w:ind w:left="6840" w:hanging="360"/>
      </w:pPr>
      <w:rPr>
        <w:rFonts w:ascii="Courier New" w:hAnsi="Courier New" w:cs="Courier New" w:hint="default"/>
      </w:rPr>
    </w:lvl>
    <w:lvl w:ilvl="8" w:tplc="240A0005" w:tentative="1">
      <w:start w:val="1"/>
      <w:numFmt w:val="bullet"/>
      <w:lvlText w:val=""/>
      <w:lvlJc w:val="left"/>
      <w:pPr>
        <w:ind w:left="7560" w:hanging="360"/>
      </w:pPr>
      <w:rPr>
        <w:rFonts w:ascii="Wingdings" w:hAnsi="Wingdings" w:hint="default"/>
      </w:rPr>
    </w:lvl>
  </w:abstractNum>
  <w:abstractNum w:abstractNumId="223" w15:restartNumberingAfterBreak="0">
    <w:nsid w:val="3EDB1ED4"/>
    <w:multiLevelType w:val="hybridMultilevel"/>
    <w:tmpl w:val="D46E0A06"/>
    <w:lvl w:ilvl="0" w:tplc="580A0001">
      <w:start w:val="1"/>
      <w:numFmt w:val="bullet"/>
      <w:lvlText w:val=""/>
      <w:lvlJc w:val="left"/>
      <w:pPr>
        <w:ind w:left="360" w:hanging="360"/>
      </w:pPr>
      <w:rPr>
        <w:rFonts w:ascii="Symbol" w:hAnsi="Symbol" w:hint="default"/>
      </w:rPr>
    </w:lvl>
    <w:lvl w:ilvl="1" w:tplc="580A0003" w:tentative="1">
      <w:start w:val="1"/>
      <w:numFmt w:val="bullet"/>
      <w:lvlText w:val="o"/>
      <w:lvlJc w:val="left"/>
      <w:pPr>
        <w:ind w:left="1080" w:hanging="360"/>
      </w:pPr>
      <w:rPr>
        <w:rFonts w:ascii="Courier New" w:hAnsi="Courier New" w:cs="Courier New" w:hint="default"/>
      </w:rPr>
    </w:lvl>
    <w:lvl w:ilvl="2" w:tplc="580A0005" w:tentative="1">
      <w:start w:val="1"/>
      <w:numFmt w:val="bullet"/>
      <w:lvlText w:val=""/>
      <w:lvlJc w:val="left"/>
      <w:pPr>
        <w:ind w:left="1800" w:hanging="360"/>
      </w:pPr>
      <w:rPr>
        <w:rFonts w:ascii="Wingdings" w:hAnsi="Wingdings" w:hint="default"/>
      </w:rPr>
    </w:lvl>
    <w:lvl w:ilvl="3" w:tplc="580A0001" w:tentative="1">
      <w:start w:val="1"/>
      <w:numFmt w:val="bullet"/>
      <w:lvlText w:val=""/>
      <w:lvlJc w:val="left"/>
      <w:pPr>
        <w:ind w:left="2520" w:hanging="360"/>
      </w:pPr>
      <w:rPr>
        <w:rFonts w:ascii="Symbol" w:hAnsi="Symbol" w:hint="default"/>
      </w:rPr>
    </w:lvl>
    <w:lvl w:ilvl="4" w:tplc="580A0003" w:tentative="1">
      <w:start w:val="1"/>
      <w:numFmt w:val="bullet"/>
      <w:lvlText w:val="o"/>
      <w:lvlJc w:val="left"/>
      <w:pPr>
        <w:ind w:left="3240" w:hanging="360"/>
      </w:pPr>
      <w:rPr>
        <w:rFonts w:ascii="Courier New" w:hAnsi="Courier New" w:cs="Courier New" w:hint="default"/>
      </w:rPr>
    </w:lvl>
    <w:lvl w:ilvl="5" w:tplc="580A0005" w:tentative="1">
      <w:start w:val="1"/>
      <w:numFmt w:val="bullet"/>
      <w:lvlText w:val=""/>
      <w:lvlJc w:val="left"/>
      <w:pPr>
        <w:ind w:left="3960" w:hanging="360"/>
      </w:pPr>
      <w:rPr>
        <w:rFonts w:ascii="Wingdings" w:hAnsi="Wingdings" w:hint="default"/>
      </w:rPr>
    </w:lvl>
    <w:lvl w:ilvl="6" w:tplc="580A0001" w:tentative="1">
      <w:start w:val="1"/>
      <w:numFmt w:val="bullet"/>
      <w:lvlText w:val=""/>
      <w:lvlJc w:val="left"/>
      <w:pPr>
        <w:ind w:left="4680" w:hanging="360"/>
      </w:pPr>
      <w:rPr>
        <w:rFonts w:ascii="Symbol" w:hAnsi="Symbol" w:hint="default"/>
      </w:rPr>
    </w:lvl>
    <w:lvl w:ilvl="7" w:tplc="580A0003" w:tentative="1">
      <w:start w:val="1"/>
      <w:numFmt w:val="bullet"/>
      <w:lvlText w:val="o"/>
      <w:lvlJc w:val="left"/>
      <w:pPr>
        <w:ind w:left="5400" w:hanging="360"/>
      </w:pPr>
      <w:rPr>
        <w:rFonts w:ascii="Courier New" w:hAnsi="Courier New" w:cs="Courier New" w:hint="default"/>
      </w:rPr>
    </w:lvl>
    <w:lvl w:ilvl="8" w:tplc="580A0005" w:tentative="1">
      <w:start w:val="1"/>
      <w:numFmt w:val="bullet"/>
      <w:lvlText w:val=""/>
      <w:lvlJc w:val="left"/>
      <w:pPr>
        <w:ind w:left="6120" w:hanging="360"/>
      </w:pPr>
      <w:rPr>
        <w:rFonts w:ascii="Wingdings" w:hAnsi="Wingdings" w:hint="default"/>
      </w:rPr>
    </w:lvl>
  </w:abstractNum>
  <w:abstractNum w:abstractNumId="224" w15:restartNumberingAfterBreak="0">
    <w:nsid w:val="3F2116D3"/>
    <w:multiLevelType w:val="hybridMultilevel"/>
    <w:tmpl w:val="C35C364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25" w15:restartNumberingAfterBreak="0">
    <w:nsid w:val="3F3E6A7D"/>
    <w:multiLevelType w:val="hybridMultilevel"/>
    <w:tmpl w:val="378EBB42"/>
    <w:lvl w:ilvl="0" w:tplc="240A000B">
      <w:start w:val="1"/>
      <w:numFmt w:val="bullet"/>
      <w:lvlText w:val=""/>
      <w:lvlJc w:val="left"/>
      <w:pPr>
        <w:ind w:left="1123" w:hanging="360"/>
      </w:pPr>
      <w:rPr>
        <w:rFonts w:ascii="Wingdings" w:hAnsi="Wingdings" w:hint="default"/>
        <w:color w:val="auto"/>
      </w:rPr>
    </w:lvl>
    <w:lvl w:ilvl="1" w:tplc="240A0003" w:tentative="1">
      <w:start w:val="1"/>
      <w:numFmt w:val="bullet"/>
      <w:lvlText w:val="o"/>
      <w:lvlJc w:val="left"/>
      <w:pPr>
        <w:ind w:left="1843" w:hanging="360"/>
      </w:pPr>
      <w:rPr>
        <w:rFonts w:ascii="Courier New" w:hAnsi="Courier New" w:cs="Courier New" w:hint="default"/>
      </w:rPr>
    </w:lvl>
    <w:lvl w:ilvl="2" w:tplc="240A0005" w:tentative="1">
      <w:start w:val="1"/>
      <w:numFmt w:val="bullet"/>
      <w:lvlText w:val=""/>
      <w:lvlJc w:val="left"/>
      <w:pPr>
        <w:ind w:left="2563" w:hanging="360"/>
      </w:pPr>
      <w:rPr>
        <w:rFonts w:ascii="Wingdings" w:hAnsi="Wingdings" w:hint="default"/>
      </w:rPr>
    </w:lvl>
    <w:lvl w:ilvl="3" w:tplc="240A0001" w:tentative="1">
      <w:start w:val="1"/>
      <w:numFmt w:val="bullet"/>
      <w:lvlText w:val=""/>
      <w:lvlJc w:val="left"/>
      <w:pPr>
        <w:ind w:left="3283" w:hanging="360"/>
      </w:pPr>
      <w:rPr>
        <w:rFonts w:ascii="Symbol" w:hAnsi="Symbol" w:hint="default"/>
      </w:rPr>
    </w:lvl>
    <w:lvl w:ilvl="4" w:tplc="240A0003" w:tentative="1">
      <w:start w:val="1"/>
      <w:numFmt w:val="bullet"/>
      <w:lvlText w:val="o"/>
      <w:lvlJc w:val="left"/>
      <w:pPr>
        <w:ind w:left="4003" w:hanging="360"/>
      </w:pPr>
      <w:rPr>
        <w:rFonts w:ascii="Courier New" w:hAnsi="Courier New" w:cs="Courier New" w:hint="default"/>
      </w:rPr>
    </w:lvl>
    <w:lvl w:ilvl="5" w:tplc="240A0005" w:tentative="1">
      <w:start w:val="1"/>
      <w:numFmt w:val="bullet"/>
      <w:lvlText w:val=""/>
      <w:lvlJc w:val="left"/>
      <w:pPr>
        <w:ind w:left="4723" w:hanging="360"/>
      </w:pPr>
      <w:rPr>
        <w:rFonts w:ascii="Wingdings" w:hAnsi="Wingdings" w:hint="default"/>
      </w:rPr>
    </w:lvl>
    <w:lvl w:ilvl="6" w:tplc="240A0001" w:tentative="1">
      <w:start w:val="1"/>
      <w:numFmt w:val="bullet"/>
      <w:lvlText w:val=""/>
      <w:lvlJc w:val="left"/>
      <w:pPr>
        <w:ind w:left="5443" w:hanging="360"/>
      </w:pPr>
      <w:rPr>
        <w:rFonts w:ascii="Symbol" w:hAnsi="Symbol" w:hint="default"/>
      </w:rPr>
    </w:lvl>
    <w:lvl w:ilvl="7" w:tplc="240A0003" w:tentative="1">
      <w:start w:val="1"/>
      <w:numFmt w:val="bullet"/>
      <w:lvlText w:val="o"/>
      <w:lvlJc w:val="left"/>
      <w:pPr>
        <w:ind w:left="6163" w:hanging="360"/>
      </w:pPr>
      <w:rPr>
        <w:rFonts w:ascii="Courier New" w:hAnsi="Courier New" w:cs="Courier New" w:hint="default"/>
      </w:rPr>
    </w:lvl>
    <w:lvl w:ilvl="8" w:tplc="240A0005" w:tentative="1">
      <w:start w:val="1"/>
      <w:numFmt w:val="bullet"/>
      <w:lvlText w:val=""/>
      <w:lvlJc w:val="left"/>
      <w:pPr>
        <w:ind w:left="6883" w:hanging="360"/>
      </w:pPr>
      <w:rPr>
        <w:rFonts w:ascii="Wingdings" w:hAnsi="Wingdings" w:hint="default"/>
      </w:rPr>
    </w:lvl>
  </w:abstractNum>
  <w:abstractNum w:abstractNumId="226" w15:restartNumberingAfterBreak="0">
    <w:nsid w:val="3F4B592E"/>
    <w:multiLevelType w:val="hybridMultilevel"/>
    <w:tmpl w:val="0D8037A6"/>
    <w:lvl w:ilvl="0" w:tplc="240A000F">
      <w:start w:val="1"/>
      <w:numFmt w:val="decimal"/>
      <w:lvlText w:val="%1."/>
      <w:lvlJc w:val="left"/>
      <w:pPr>
        <w:ind w:left="768" w:hanging="360"/>
      </w:pPr>
    </w:lvl>
    <w:lvl w:ilvl="1" w:tplc="240A0019">
      <w:start w:val="1"/>
      <w:numFmt w:val="lowerLetter"/>
      <w:lvlText w:val="%2."/>
      <w:lvlJc w:val="left"/>
      <w:pPr>
        <w:ind w:left="1488" w:hanging="360"/>
      </w:pPr>
    </w:lvl>
    <w:lvl w:ilvl="2" w:tplc="240A001B">
      <w:start w:val="1"/>
      <w:numFmt w:val="lowerRoman"/>
      <w:lvlText w:val="%3."/>
      <w:lvlJc w:val="right"/>
      <w:pPr>
        <w:ind w:left="2208" w:hanging="180"/>
      </w:pPr>
    </w:lvl>
    <w:lvl w:ilvl="3" w:tplc="240A000F">
      <w:start w:val="1"/>
      <w:numFmt w:val="decimal"/>
      <w:lvlText w:val="%4."/>
      <w:lvlJc w:val="left"/>
      <w:pPr>
        <w:ind w:left="2928" w:hanging="360"/>
      </w:pPr>
    </w:lvl>
    <w:lvl w:ilvl="4" w:tplc="240A0019">
      <w:start w:val="1"/>
      <w:numFmt w:val="lowerLetter"/>
      <w:lvlText w:val="%5."/>
      <w:lvlJc w:val="left"/>
      <w:pPr>
        <w:ind w:left="3648" w:hanging="360"/>
      </w:pPr>
    </w:lvl>
    <w:lvl w:ilvl="5" w:tplc="240A001B">
      <w:start w:val="1"/>
      <w:numFmt w:val="lowerRoman"/>
      <w:lvlText w:val="%6."/>
      <w:lvlJc w:val="right"/>
      <w:pPr>
        <w:ind w:left="4368" w:hanging="180"/>
      </w:pPr>
    </w:lvl>
    <w:lvl w:ilvl="6" w:tplc="240A000F">
      <w:start w:val="1"/>
      <w:numFmt w:val="decimal"/>
      <w:lvlText w:val="%7."/>
      <w:lvlJc w:val="left"/>
      <w:pPr>
        <w:ind w:left="5088" w:hanging="360"/>
      </w:pPr>
    </w:lvl>
    <w:lvl w:ilvl="7" w:tplc="240A0019">
      <w:start w:val="1"/>
      <w:numFmt w:val="lowerLetter"/>
      <w:lvlText w:val="%8."/>
      <w:lvlJc w:val="left"/>
      <w:pPr>
        <w:ind w:left="5808" w:hanging="360"/>
      </w:pPr>
    </w:lvl>
    <w:lvl w:ilvl="8" w:tplc="240A001B">
      <w:start w:val="1"/>
      <w:numFmt w:val="lowerRoman"/>
      <w:lvlText w:val="%9."/>
      <w:lvlJc w:val="right"/>
      <w:pPr>
        <w:ind w:left="6528" w:hanging="180"/>
      </w:pPr>
    </w:lvl>
  </w:abstractNum>
  <w:abstractNum w:abstractNumId="227" w15:restartNumberingAfterBreak="0">
    <w:nsid w:val="3F835182"/>
    <w:multiLevelType w:val="hybridMultilevel"/>
    <w:tmpl w:val="5E02FC64"/>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28" w15:restartNumberingAfterBreak="0">
    <w:nsid w:val="3F9742AD"/>
    <w:multiLevelType w:val="hybridMultilevel"/>
    <w:tmpl w:val="5DB2CA8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29" w15:restartNumberingAfterBreak="0">
    <w:nsid w:val="3FC367EB"/>
    <w:multiLevelType w:val="hybridMultilevel"/>
    <w:tmpl w:val="E7B24FF2"/>
    <w:lvl w:ilvl="0" w:tplc="54A6D0FE">
      <w:numFmt w:val="bullet"/>
      <w:lvlText w:val=""/>
      <w:lvlJc w:val="left"/>
      <w:pPr>
        <w:ind w:left="1408" w:hanging="567"/>
      </w:pPr>
      <w:rPr>
        <w:rFonts w:ascii="Symbol" w:eastAsia="Symbol" w:hAnsi="Symbol" w:cs="Symbol" w:hint="default"/>
        <w:w w:val="100"/>
        <w:sz w:val="24"/>
        <w:szCs w:val="24"/>
      </w:rPr>
    </w:lvl>
    <w:lvl w:ilvl="1" w:tplc="2F6A4E8E">
      <w:numFmt w:val="bullet"/>
      <w:lvlText w:val="-"/>
      <w:lvlJc w:val="left"/>
      <w:pPr>
        <w:ind w:left="1554" w:hanging="147"/>
      </w:pPr>
      <w:rPr>
        <w:rFonts w:ascii="Arial" w:eastAsia="Arial" w:hAnsi="Arial" w:cs="Arial" w:hint="default"/>
        <w:w w:val="99"/>
        <w:sz w:val="24"/>
        <w:szCs w:val="24"/>
      </w:rPr>
    </w:lvl>
    <w:lvl w:ilvl="2" w:tplc="2C88AF4A">
      <w:numFmt w:val="bullet"/>
      <w:lvlText w:val="•"/>
      <w:lvlJc w:val="left"/>
      <w:pPr>
        <w:ind w:left="2538" w:hanging="147"/>
      </w:pPr>
      <w:rPr>
        <w:rFonts w:hint="default"/>
      </w:rPr>
    </w:lvl>
    <w:lvl w:ilvl="3" w:tplc="3D821374">
      <w:numFmt w:val="bullet"/>
      <w:lvlText w:val="•"/>
      <w:lvlJc w:val="left"/>
      <w:pPr>
        <w:ind w:left="3516" w:hanging="147"/>
      </w:pPr>
      <w:rPr>
        <w:rFonts w:hint="default"/>
      </w:rPr>
    </w:lvl>
    <w:lvl w:ilvl="4" w:tplc="A0D4682E">
      <w:numFmt w:val="bullet"/>
      <w:lvlText w:val="•"/>
      <w:lvlJc w:val="left"/>
      <w:pPr>
        <w:ind w:left="4494" w:hanging="147"/>
      </w:pPr>
      <w:rPr>
        <w:rFonts w:hint="default"/>
      </w:rPr>
    </w:lvl>
    <w:lvl w:ilvl="5" w:tplc="0EF4185A">
      <w:numFmt w:val="bullet"/>
      <w:lvlText w:val="•"/>
      <w:lvlJc w:val="left"/>
      <w:pPr>
        <w:ind w:left="5472" w:hanging="147"/>
      </w:pPr>
      <w:rPr>
        <w:rFonts w:hint="default"/>
      </w:rPr>
    </w:lvl>
    <w:lvl w:ilvl="6" w:tplc="AFB64FEA">
      <w:numFmt w:val="bullet"/>
      <w:lvlText w:val="•"/>
      <w:lvlJc w:val="left"/>
      <w:pPr>
        <w:ind w:left="6450" w:hanging="147"/>
      </w:pPr>
      <w:rPr>
        <w:rFonts w:hint="default"/>
      </w:rPr>
    </w:lvl>
    <w:lvl w:ilvl="7" w:tplc="1902D728">
      <w:numFmt w:val="bullet"/>
      <w:lvlText w:val="•"/>
      <w:lvlJc w:val="left"/>
      <w:pPr>
        <w:ind w:left="7428" w:hanging="147"/>
      </w:pPr>
      <w:rPr>
        <w:rFonts w:hint="default"/>
      </w:rPr>
    </w:lvl>
    <w:lvl w:ilvl="8" w:tplc="92E4A8D2">
      <w:numFmt w:val="bullet"/>
      <w:lvlText w:val="•"/>
      <w:lvlJc w:val="left"/>
      <w:pPr>
        <w:ind w:left="8406" w:hanging="147"/>
      </w:pPr>
      <w:rPr>
        <w:rFonts w:hint="default"/>
      </w:rPr>
    </w:lvl>
  </w:abstractNum>
  <w:abstractNum w:abstractNumId="230" w15:restartNumberingAfterBreak="0">
    <w:nsid w:val="40B22520"/>
    <w:multiLevelType w:val="hybridMultilevel"/>
    <w:tmpl w:val="84169E1E"/>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1" w15:restartNumberingAfterBreak="0">
    <w:nsid w:val="41010D64"/>
    <w:multiLevelType w:val="hybridMultilevel"/>
    <w:tmpl w:val="CD18D194"/>
    <w:lvl w:ilvl="0" w:tplc="F2B4939A">
      <w:start w:val="1"/>
      <w:numFmt w:val="lowerLetter"/>
      <w:lvlText w:val="%1)"/>
      <w:lvlJc w:val="left"/>
      <w:pPr>
        <w:ind w:left="720" w:hanging="360"/>
      </w:pPr>
      <w:rPr>
        <w:rFonts w:hint="default"/>
        <w:b/>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59D00124">
      <w:start w:val="727"/>
      <w:numFmt w:val="bullet"/>
      <w:lvlText w:val="-"/>
      <w:lvlJc w:val="left"/>
      <w:pPr>
        <w:ind w:left="2880" w:hanging="360"/>
      </w:pPr>
      <w:rPr>
        <w:rFonts w:ascii="Calibri" w:eastAsiaTheme="minorHAnsi" w:hAnsi="Calibri" w:cstheme="minorBidi" w:hint="default"/>
      </w:rPr>
    </w:lvl>
    <w:lvl w:ilvl="4" w:tplc="240A000F">
      <w:start w:val="1"/>
      <w:numFmt w:val="decimal"/>
      <w:lvlText w:val="%5."/>
      <w:lvlJc w:val="left"/>
      <w:pPr>
        <w:ind w:left="3960" w:hanging="720"/>
      </w:pPr>
      <w:rPr>
        <w:rFonts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32" w15:restartNumberingAfterBreak="0">
    <w:nsid w:val="410B0535"/>
    <w:multiLevelType w:val="hybridMultilevel"/>
    <w:tmpl w:val="F2C2A90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33" w15:restartNumberingAfterBreak="0">
    <w:nsid w:val="411C1B1E"/>
    <w:multiLevelType w:val="hybridMultilevel"/>
    <w:tmpl w:val="DFCE9B7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34" w15:restartNumberingAfterBreak="0">
    <w:nsid w:val="41215B4B"/>
    <w:multiLevelType w:val="hybridMultilevel"/>
    <w:tmpl w:val="2A0EB60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5" w15:restartNumberingAfterBreak="0">
    <w:nsid w:val="41341B27"/>
    <w:multiLevelType w:val="multilevel"/>
    <w:tmpl w:val="A6326C78"/>
    <w:lvl w:ilvl="0">
      <w:start w:val="1"/>
      <w:numFmt w:val="bullet"/>
      <w:lvlText w:val=""/>
      <w:lvlJc w:val="left"/>
      <w:pPr>
        <w:ind w:left="600" w:hanging="600"/>
      </w:pPr>
      <w:rPr>
        <w:rFonts w:ascii="Wingdings" w:hAnsi="Wingdings" w:hint="default"/>
      </w:rPr>
    </w:lvl>
    <w:lvl w:ilvl="1">
      <w:start w:val="3"/>
      <w:numFmt w:val="decimal"/>
      <w:lvlText w:val="%1.%2"/>
      <w:lvlJc w:val="left"/>
      <w:pPr>
        <w:ind w:left="600" w:hanging="600"/>
      </w:pPr>
      <w:rPr>
        <w:rFonts w:hint="default"/>
      </w:rPr>
    </w:lvl>
    <w:lvl w:ilvl="2">
      <w:start w:val="3"/>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6" w15:restartNumberingAfterBreak="0">
    <w:nsid w:val="41424367"/>
    <w:multiLevelType w:val="hybridMultilevel"/>
    <w:tmpl w:val="EC4CB7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7" w15:restartNumberingAfterBreak="0">
    <w:nsid w:val="4172008E"/>
    <w:multiLevelType w:val="hybridMultilevel"/>
    <w:tmpl w:val="7EFE3B0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8" w15:restartNumberingAfterBreak="0">
    <w:nsid w:val="41D42E1E"/>
    <w:multiLevelType w:val="hybridMultilevel"/>
    <w:tmpl w:val="04C67DF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9" w15:restartNumberingAfterBreak="0">
    <w:nsid w:val="41F21834"/>
    <w:multiLevelType w:val="hybridMultilevel"/>
    <w:tmpl w:val="5AA294AA"/>
    <w:lvl w:ilvl="0" w:tplc="240A0013">
      <w:start w:val="1"/>
      <w:numFmt w:val="upperRoman"/>
      <w:lvlText w:val="%1."/>
      <w:lvlJc w:val="righ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40" w15:restartNumberingAfterBreak="0">
    <w:nsid w:val="41F8098D"/>
    <w:multiLevelType w:val="hybridMultilevel"/>
    <w:tmpl w:val="10CE31A4"/>
    <w:lvl w:ilvl="0" w:tplc="A690690A">
      <w:start w:val="1"/>
      <w:numFmt w:val="lowerRoman"/>
      <w:lvlText w:val="%1)"/>
      <w:lvlJc w:val="left"/>
      <w:pPr>
        <w:ind w:left="1080" w:hanging="72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41" w15:restartNumberingAfterBreak="0">
    <w:nsid w:val="426D7EB5"/>
    <w:multiLevelType w:val="hybridMultilevel"/>
    <w:tmpl w:val="4C92ECF4"/>
    <w:lvl w:ilvl="0" w:tplc="6F80E942">
      <w:start w:val="1"/>
      <w:numFmt w:val="lowerLetter"/>
      <w:lvlText w:val="%1."/>
      <w:lvlJc w:val="left"/>
      <w:pPr>
        <w:ind w:left="1065" w:hanging="705"/>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42" w15:restartNumberingAfterBreak="0">
    <w:nsid w:val="42B44785"/>
    <w:multiLevelType w:val="hybridMultilevel"/>
    <w:tmpl w:val="10CE31A4"/>
    <w:lvl w:ilvl="0" w:tplc="A690690A">
      <w:start w:val="1"/>
      <w:numFmt w:val="lowerRoman"/>
      <w:lvlText w:val="%1)"/>
      <w:lvlJc w:val="left"/>
      <w:pPr>
        <w:ind w:left="1080" w:hanging="72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43" w15:restartNumberingAfterBreak="0">
    <w:nsid w:val="432E0159"/>
    <w:multiLevelType w:val="hybridMultilevel"/>
    <w:tmpl w:val="E88A9DF2"/>
    <w:lvl w:ilvl="0" w:tplc="59D00124">
      <w:start w:val="727"/>
      <w:numFmt w:val="bullet"/>
      <w:lvlText w:val="-"/>
      <w:lvlJc w:val="left"/>
      <w:pPr>
        <w:ind w:left="720" w:hanging="360"/>
      </w:pPr>
      <w:rPr>
        <w:rFonts w:ascii="Calibri" w:eastAsiaTheme="minorHAnsi" w:hAnsi="Calibri" w:cstheme="minorBid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44" w15:restartNumberingAfterBreak="0">
    <w:nsid w:val="4333506A"/>
    <w:multiLevelType w:val="hybridMultilevel"/>
    <w:tmpl w:val="7F566DF4"/>
    <w:lvl w:ilvl="0" w:tplc="ED2899BC">
      <w:numFmt w:val="bullet"/>
      <w:lvlText w:val="-"/>
      <w:lvlJc w:val="left"/>
      <w:pPr>
        <w:ind w:left="720" w:hanging="360"/>
      </w:pPr>
      <w:rPr>
        <w:rFonts w:ascii="Arial" w:eastAsia="Times New Roman" w:hAnsi="Arial" w:cs="Arial" w:hint="default"/>
        <w:sz w:val="24"/>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45" w15:restartNumberingAfterBreak="0">
    <w:nsid w:val="4344467C"/>
    <w:multiLevelType w:val="hybridMultilevel"/>
    <w:tmpl w:val="A5288180"/>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46" w15:restartNumberingAfterBreak="0">
    <w:nsid w:val="438C068D"/>
    <w:multiLevelType w:val="hybridMultilevel"/>
    <w:tmpl w:val="057495B0"/>
    <w:lvl w:ilvl="0" w:tplc="240A000D">
      <w:start w:val="1"/>
      <w:numFmt w:val="bullet"/>
      <w:lvlText w:val=""/>
      <w:lvlJc w:val="left"/>
      <w:pPr>
        <w:ind w:left="720" w:hanging="360"/>
      </w:pPr>
      <w:rPr>
        <w:rFonts w:ascii="Wingdings" w:hAnsi="Wingdings"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47" w15:restartNumberingAfterBreak="0">
    <w:nsid w:val="43CE7767"/>
    <w:multiLevelType w:val="hybridMultilevel"/>
    <w:tmpl w:val="F782FAC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48" w15:restartNumberingAfterBreak="0">
    <w:nsid w:val="43F014FE"/>
    <w:multiLevelType w:val="hybridMultilevel"/>
    <w:tmpl w:val="1A34A4D2"/>
    <w:lvl w:ilvl="0" w:tplc="240A001B">
      <w:start w:val="1"/>
      <w:numFmt w:val="lowerRoman"/>
      <w:lvlText w:val="%1."/>
      <w:lvlJc w:val="righ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49" w15:restartNumberingAfterBreak="0">
    <w:nsid w:val="44287026"/>
    <w:multiLevelType w:val="hybridMultilevel"/>
    <w:tmpl w:val="52809104"/>
    <w:lvl w:ilvl="0" w:tplc="240A0001">
      <w:start w:val="1"/>
      <w:numFmt w:val="bullet"/>
      <w:lvlText w:val=""/>
      <w:lvlJc w:val="left"/>
      <w:pPr>
        <w:ind w:left="1287" w:hanging="360"/>
      </w:pPr>
      <w:rPr>
        <w:rFonts w:ascii="Symbol" w:hAnsi="Symbol" w:hint="default"/>
      </w:rPr>
    </w:lvl>
    <w:lvl w:ilvl="1" w:tplc="240A0003" w:tentative="1">
      <w:start w:val="1"/>
      <w:numFmt w:val="bullet"/>
      <w:lvlText w:val="o"/>
      <w:lvlJc w:val="left"/>
      <w:pPr>
        <w:ind w:left="2007" w:hanging="360"/>
      </w:pPr>
      <w:rPr>
        <w:rFonts w:ascii="Courier New" w:hAnsi="Courier New" w:cs="Courier New" w:hint="default"/>
      </w:rPr>
    </w:lvl>
    <w:lvl w:ilvl="2" w:tplc="240A0005" w:tentative="1">
      <w:start w:val="1"/>
      <w:numFmt w:val="bullet"/>
      <w:lvlText w:val=""/>
      <w:lvlJc w:val="left"/>
      <w:pPr>
        <w:ind w:left="2727" w:hanging="360"/>
      </w:pPr>
      <w:rPr>
        <w:rFonts w:ascii="Wingdings" w:hAnsi="Wingdings" w:hint="default"/>
      </w:rPr>
    </w:lvl>
    <w:lvl w:ilvl="3" w:tplc="240A0001" w:tentative="1">
      <w:start w:val="1"/>
      <w:numFmt w:val="bullet"/>
      <w:lvlText w:val=""/>
      <w:lvlJc w:val="left"/>
      <w:pPr>
        <w:ind w:left="3447" w:hanging="360"/>
      </w:pPr>
      <w:rPr>
        <w:rFonts w:ascii="Symbol" w:hAnsi="Symbol" w:hint="default"/>
      </w:rPr>
    </w:lvl>
    <w:lvl w:ilvl="4" w:tplc="240A0003" w:tentative="1">
      <w:start w:val="1"/>
      <w:numFmt w:val="bullet"/>
      <w:lvlText w:val="o"/>
      <w:lvlJc w:val="left"/>
      <w:pPr>
        <w:ind w:left="4167" w:hanging="360"/>
      </w:pPr>
      <w:rPr>
        <w:rFonts w:ascii="Courier New" w:hAnsi="Courier New" w:cs="Courier New" w:hint="default"/>
      </w:rPr>
    </w:lvl>
    <w:lvl w:ilvl="5" w:tplc="240A0005" w:tentative="1">
      <w:start w:val="1"/>
      <w:numFmt w:val="bullet"/>
      <w:lvlText w:val=""/>
      <w:lvlJc w:val="left"/>
      <w:pPr>
        <w:ind w:left="4887" w:hanging="360"/>
      </w:pPr>
      <w:rPr>
        <w:rFonts w:ascii="Wingdings" w:hAnsi="Wingdings" w:hint="default"/>
      </w:rPr>
    </w:lvl>
    <w:lvl w:ilvl="6" w:tplc="240A0001" w:tentative="1">
      <w:start w:val="1"/>
      <w:numFmt w:val="bullet"/>
      <w:lvlText w:val=""/>
      <w:lvlJc w:val="left"/>
      <w:pPr>
        <w:ind w:left="5607" w:hanging="360"/>
      </w:pPr>
      <w:rPr>
        <w:rFonts w:ascii="Symbol" w:hAnsi="Symbol" w:hint="default"/>
      </w:rPr>
    </w:lvl>
    <w:lvl w:ilvl="7" w:tplc="240A0003" w:tentative="1">
      <w:start w:val="1"/>
      <w:numFmt w:val="bullet"/>
      <w:lvlText w:val="o"/>
      <w:lvlJc w:val="left"/>
      <w:pPr>
        <w:ind w:left="6327" w:hanging="360"/>
      </w:pPr>
      <w:rPr>
        <w:rFonts w:ascii="Courier New" w:hAnsi="Courier New" w:cs="Courier New" w:hint="default"/>
      </w:rPr>
    </w:lvl>
    <w:lvl w:ilvl="8" w:tplc="240A0005" w:tentative="1">
      <w:start w:val="1"/>
      <w:numFmt w:val="bullet"/>
      <w:lvlText w:val=""/>
      <w:lvlJc w:val="left"/>
      <w:pPr>
        <w:ind w:left="7047" w:hanging="360"/>
      </w:pPr>
      <w:rPr>
        <w:rFonts w:ascii="Wingdings" w:hAnsi="Wingdings" w:hint="default"/>
      </w:rPr>
    </w:lvl>
  </w:abstractNum>
  <w:abstractNum w:abstractNumId="250" w15:restartNumberingAfterBreak="0">
    <w:nsid w:val="44355C88"/>
    <w:multiLevelType w:val="hybridMultilevel"/>
    <w:tmpl w:val="527A712A"/>
    <w:lvl w:ilvl="0" w:tplc="240A0001">
      <w:start w:val="1"/>
      <w:numFmt w:val="bullet"/>
      <w:lvlText w:val=""/>
      <w:lvlJc w:val="left"/>
      <w:pPr>
        <w:ind w:left="360" w:hanging="360"/>
      </w:pPr>
      <w:rPr>
        <w:rFonts w:ascii="Symbol" w:hAnsi="Symbol" w:hint="default"/>
      </w:rPr>
    </w:lvl>
    <w:lvl w:ilvl="1" w:tplc="240A0003">
      <w:start w:val="1"/>
      <w:numFmt w:val="bullet"/>
      <w:lvlText w:val="o"/>
      <w:lvlJc w:val="left"/>
      <w:pPr>
        <w:ind w:left="1080" w:hanging="360"/>
      </w:pPr>
      <w:rPr>
        <w:rFonts w:ascii="Courier New" w:hAnsi="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51" w15:restartNumberingAfterBreak="0">
    <w:nsid w:val="45660AFC"/>
    <w:multiLevelType w:val="hybridMultilevel"/>
    <w:tmpl w:val="0E28788C"/>
    <w:lvl w:ilvl="0" w:tplc="FFFFFFFF">
      <w:start w:val="1"/>
      <w:numFmt w:val="bullet"/>
      <w:lvlText w:val=""/>
      <w:lvlJc w:val="left"/>
      <w:pPr>
        <w:ind w:left="720" w:hanging="360"/>
      </w:pPr>
      <w:rPr>
        <w:rFonts w:ascii="Symbol" w:hAnsi="Symbol" w:hint="default"/>
      </w:rPr>
    </w:lvl>
    <w:lvl w:ilvl="1" w:tplc="4DB80760">
      <w:start w:val="1"/>
      <w:numFmt w:val="bullet"/>
      <w:lvlText w:val="­"/>
      <w:lvlJc w:val="left"/>
      <w:pPr>
        <w:ind w:left="720" w:hanging="360"/>
      </w:pPr>
      <w:rPr>
        <w:rFonts w:ascii="Courier New" w:hAnsi="Courier New" w:cs="Times New Roman" w:hint="default"/>
        <w:color w:val="auto"/>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2" w15:restartNumberingAfterBreak="0">
    <w:nsid w:val="4574296B"/>
    <w:multiLevelType w:val="hybridMultilevel"/>
    <w:tmpl w:val="67EC2DF2"/>
    <w:lvl w:ilvl="0" w:tplc="59D00124">
      <w:start w:val="727"/>
      <w:numFmt w:val="bullet"/>
      <w:lvlText w:val="-"/>
      <w:lvlJc w:val="left"/>
      <w:pPr>
        <w:ind w:left="360" w:hanging="360"/>
      </w:pPr>
      <w:rPr>
        <w:rFonts w:ascii="Calibri" w:eastAsiaTheme="minorHAnsi" w:hAnsi="Calibri" w:cstheme="minorBidi" w:hint="default"/>
        <w:lang w:val="es-ES"/>
      </w:rPr>
    </w:lvl>
    <w:lvl w:ilvl="1" w:tplc="240A0003">
      <w:start w:val="1"/>
      <w:numFmt w:val="bullet"/>
      <w:lvlText w:val="o"/>
      <w:lvlJc w:val="left"/>
      <w:pPr>
        <w:ind w:left="1080" w:hanging="360"/>
      </w:pPr>
      <w:rPr>
        <w:rFonts w:ascii="Courier New" w:hAnsi="Courier New" w:cs="Courier New" w:hint="default"/>
      </w:rPr>
    </w:lvl>
    <w:lvl w:ilvl="2" w:tplc="240A0005">
      <w:start w:val="1"/>
      <w:numFmt w:val="bullet"/>
      <w:lvlText w:val=""/>
      <w:lvlJc w:val="left"/>
      <w:pPr>
        <w:ind w:left="1800" w:hanging="360"/>
      </w:pPr>
      <w:rPr>
        <w:rFonts w:ascii="Wingdings" w:hAnsi="Wingdings" w:hint="default"/>
      </w:rPr>
    </w:lvl>
    <w:lvl w:ilvl="3" w:tplc="19AEA178">
      <w:numFmt w:val="bullet"/>
      <w:lvlText w:val="•"/>
      <w:lvlJc w:val="left"/>
      <w:pPr>
        <w:ind w:left="2865" w:hanging="705"/>
      </w:pPr>
      <w:rPr>
        <w:rFonts w:ascii="Arial" w:eastAsia="Times New Roman" w:hAnsi="Arial" w:cs="Arial" w:hint="default"/>
      </w:rPr>
    </w:lvl>
    <w:lvl w:ilvl="4" w:tplc="240A0003">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53" w15:restartNumberingAfterBreak="0">
    <w:nsid w:val="45AD49E0"/>
    <w:multiLevelType w:val="hybridMultilevel"/>
    <w:tmpl w:val="9088421A"/>
    <w:lvl w:ilvl="0" w:tplc="4DB80760">
      <w:start w:val="1"/>
      <w:numFmt w:val="bullet"/>
      <w:lvlText w:val="­"/>
      <w:lvlJc w:val="left"/>
      <w:pPr>
        <w:ind w:left="360" w:hanging="360"/>
      </w:pPr>
      <w:rPr>
        <w:rFonts w:ascii="Courier New" w:hAnsi="Courier New" w:cs="Times New Roman" w:hint="default"/>
        <w:color w:val="auto"/>
        <w:lang w:val="es-ES"/>
      </w:rPr>
    </w:lvl>
    <w:lvl w:ilvl="1" w:tplc="4DB80760">
      <w:start w:val="1"/>
      <w:numFmt w:val="bullet"/>
      <w:lvlText w:val="­"/>
      <w:lvlJc w:val="left"/>
      <w:pPr>
        <w:ind w:left="1080" w:hanging="360"/>
      </w:pPr>
      <w:rPr>
        <w:rFonts w:ascii="Courier New" w:hAnsi="Courier New" w:cs="Times New Roman" w:hint="default"/>
        <w:color w:val="auto"/>
      </w:rPr>
    </w:lvl>
    <w:lvl w:ilvl="2" w:tplc="240A0005">
      <w:start w:val="1"/>
      <w:numFmt w:val="bullet"/>
      <w:lvlText w:val=""/>
      <w:lvlJc w:val="left"/>
      <w:pPr>
        <w:ind w:left="1800" w:hanging="360"/>
      </w:pPr>
      <w:rPr>
        <w:rFonts w:ascii="Wingdings" w:hAnsi="Wingdings" w:hint="default"/>
      </w:rPr>
    </w:lvl>
    <w:lvl w:ilvl="3" w:tplc="19AEA178">
      <w:numFmt w:val="bullet"/>
      <w:lvlText w:val="•"/>
      <w:lvlJc w:val="left"/>
      <w:pPr>
        <w:ind w:left="2865" w:hanging="705"/>
      </w:pPr>
      <w:rPr>
        <w:rFonts w:ascii="Arial" w:eastAsia="Times New Roman" w:hAnsi="Arial" w:cs="Arial" w:hint="default"/>
      </w:rPr>
    </w:lvl>
    <w:lvl w:ilvl="4" w:tplc="240A0003">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54" w15:restartNumberingAfterBreak="0">
    <w:nsid w:val="45B86A40"/>
    <w:multiLevelType w:val="hybridMultilevel"/>
    <w:tmpl w:val="CFBA899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55" w15:restartNumberingAfterBreak="0">
    <w:nsid w:val="464B6B15"/>
    <w:multiLevelType w:val="hybridMultilevel"/>
    <w:tmpl w:val="CAF24768"/>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56" w15:restartNumberingAfterBreak="0">
    <w:nsid w:val="47001CEF"/>
    <w:multiLevelType w:val="hybridMultilevel"/>
    <w:tmpl w:val="1A38470E"/>
    <w:lvl w:ilvl="0" w:tplc="46B61F7C">
      <w:start w:val="1"/>
      <w:numFmt w:val="bullet"/>
      <w:pStyle w:val="Diamantico"/>
      <w:lvlText w:val=""/>
      <w:lvlJc w:val="left"/>
      <w:pPr>
        <w:ind w:left="360" w:hanging="360"/>
      </w:pPr>
      <w:rPr>
        <w:rFonts w:ascii="Wingdings" w:hAnsi="Wingdings" w:hint="default"/>
        <w:b w:val="0"/>
      </w:rPr>
    </w:lvl>
    <w:lvl w:ilvl="1" w:tplc="D3867C30" w:tentative="1">
      <w:start w:val="1"/>
      <w:numFmt w:val="bullet"/>
      <w:lvlText w:val="o"/>
      <w:lvlJc w:val="left"/>
      <w:pPr>
        <w:ind w:left="1788" w:hanging="360"/>
      </w:pPr>
      <w:rPr>
        <w:rFonts w:ascii="Courier New" w:hAnsi="Courier New" w:cs="Courier New" w:hint="default"/>
      </w:rPr>
    </w:lvl>
    <w:lvl w:ilvl="2" w:tplc="AD5A04F4" w:tentative="1">
      <w:start w:val="1"/>
      <w:numFmt w:val="bullet"/>
      <w:lvlText w:val=""/>
      <w:lvlJc w:val="left"/>
      <w:pPr>
        <w:ind w:left="2508" w:hanging="360"/>
      </w:pPr>
      <w:rPr>
        <w:rFonts w:ascii="Wingdings" w:hAnsi="Wingdings" w:hint="default"/>
      </w:rPr>
    </w:lvl>
    <w:lvl w:ilvl="3" w:tplc="4606A6F2" w:tentative="1">
      <w:start w:val="1"/>
      <w:numFmt w:val="bullet"/>
      <w:lvlText w:val=""/>
      <w:lvlJc w:val="left"/>
      <w:pPr>
        <w:ind w:left="3228" w:hanging="360"/>
      </w:pPr>
      <w:rPr>
        <w:rFonts w:ascii="Symbol" w:hAnsi="Symbol" w:hint="default"/>
      </w:rPr>
    </w:lvl>
    <w:lvl w:ilvl="4" w:tplc="152CABB4" w:tentative="1">
      <w:start w:val="1"/>
      <w:numFmt w:val="bullet"/>
      <w:lvlText w:val="o"/>
      <w:lvlJc w:val="left"/>
      <w:pPr>
        <w:ind w:left="3948" w:hanging="360"/>
      </w:pPr>
      <w:rPr>
        <w:rFonts w:ascii="Courier New" w:hAnsi="Courier New" w:cs="Courier New" w:hint="default"/>
      </w:rPr>
    </w:lvl>
    <w:lvl w:ilvl="5" w:tplc="A0880F52" w:tentative="1">
      <w:start w:val="1"/>
      <w:numFmt w:val="bullet"/>
      <w:lvlText w:val=""/>
      <w:lvlJc w:val="left"/>
      <w:pPr>
        <w:ind w:left="4668" w:hanging="360"/>
      </w:pPr>
      <w:rPr>
        <w:rFonts w:ascii="Wingdings" w:hAnsi="Wingdings" w:hint="default"/>
      </w:rPr>
    </w:lvl>
    <w:lvl w:ilvl="6" w:tplc="163A1F22" w:tentative="1">
      <w:start w:val="1"/>
      <w:numFmt w:val="bullet"/>
      <w:lvlText w:val=""/>
      <w:lvlJc w:val="left"/>
      <w:pPr>
        <w:ind w:left="5388" w:hanging="360"/>
      </w:pPr>
      <w:rPr>
        <w:rFonts w:ascii="Symbol" w:hAnsi="Symbol" w:hint="default"/>
      </w:rPr>
    </w:lvl>
    <w:lvl w:ilvl="7" w:tplc="D51EA094" w:tentative="1">
      <w:start w:val="1"/>
      <w:numFmt w:val="bullet"/>
      <w:lvlText w:val="o"/>
      <w:lvlJc w:val="left"/>
      <w:pPr>
        <w:ind w:left="6108" w:hanging="360"/>
      </w:pPr>
      <w:rPr>
        <w:rFonts w:ascii="Courier New" w:hAnsi="Courier New" w:cs="Courier New" w:hint="default"/>
      </w:rPr>
    </w:lvl>
    <w:lvl w:ilvl="8" w:tplc="B5BA42F0" w:tentative="1">
      <w:start w:val="1"/>
      <w:numFmt w:val="bullet"/>
      <w:lvlText w:val=""/>
      <w:lvlJc w:val="left"/>
      <w:pPr>
        <w:ind w:left="6828" w:hanging="360"/>
      </w:pPr>
      <w:rPr>
        <w:rFonts w:ascii="Wingdings" w:hAnsi="Wingdings" w:hint="default"/>
      </w:rPr>
    </w:lvl>
  </w:abstractNum>
  <w:abstractNum w:abstractNumId="257" w15:restartNumberingAfterBreak="0">
    <w:nsid w:val="4719509C"/>
    <w:multiLevelType w:val="hybridMultilevel"/>
    <w:tmpl w:val="5FDCE356"/>
    <w:lvl w:ilvl="0" w:tplc="F2B4939A">
      <w:start w:val="1"/>
      <w:numFmt w:val="lowerLetter"/>
      <w:lvlText w:val="%1)"/>
      <w:lvlJc w:val="left"/>
      <w:pPr>
        <w:ind w:left="720" w:hanging="360"/>
      </w:pPr>
      <w:rPr>
        <w:rFonts w:hint="default"/>
        <w:b/>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59D00124">
      <w:start w:val="727"/>
      <w:numFmt w:val="bullet"/>
      <w:lvlText w:val="-"/>
      <w:lvlJc w:val="left"/>
      <w:pPr>
        <w:ind w:left="2880" w:hanging="360"/>
      </w:pPr>
      <w:rPr>
        <w:rFonts w:ascii="Calibri" w:eastAsiaTheme="minorHAnsi" w:hAnsi="Calibri" w:cstheme="minorBidi"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58" w15:restartNumberingAfterBreak="0">
    <w:nsid w:val="472234D5"/>
    <w:multiLevelType w:val="hybridMultilevel"/>
    <w:tmpl w:val="2CF07510"/>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59" w15:restartNumberingAfterBreak="0">
    <w:nsid w:val="473030D4"/>
    <w:multiLevelType w:val="hybridMultilevel"/>
    <w:tmpl w:val="BB8C74E2"/>
    <w:lvl w:ilvl="0" w:tplc="6824A634">
      <w:start w:val="1"/>
      <w:numFmt w:val="decimal"/>
      <w:lvlText w:val="%1."/>
      <w:lvlJc w:val="left"/>
      <w:pPr>
        <w:ind w:left="720" w:hanging="360"/>
      </w:pPr>
      <w:rPr>
        <w:b/>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260" w15:restartNumberingAfterBreak="0">
    <w:nsid w:val="47914B6C"/>
    <w:multiLevelType w:val="hybridMultilevel"/>
    <w:tmpl w:val="6CF801E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61" w15:restartNumberingAfterBreak="0">
    <w:nsid w:val="47E6113C"/>
    <w:multiLevelType w:val="hybridMultilevel"/>
    <w:tmpl w:val="CE72950E"/>
    <w:lvl w:ilvl="0" w:tplc="240A0001">
      <w:start w:val="1"/>
      <w:numFmt w:val="bullet"/>
      <w:lvlText w:val=""/>
      <w:lvlJc w:val="left"/>
      <w:pPr>
        <w:ind w:left="360" w:hanging="360"/>
      </w:pPr>
      <w:rPr>
        <w:rFonts w:ascii="Symbol" w:hAnsi="Symbol" w:hint="default"/>
        <w:color w:val="auto"/>
      </w:rPr>
    </w:lvl>
    <w:lvl w:ilvl="1" w:tplc="240A0003">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62" w15:restartNumberingAfterBreak="0">
    <w:nsid w:val="48273350"/>
    <w:multiLevelType w:val="hybridMultilevel"/>
    <w:tmpl w:val="8B2C9F00"/>
    <w:lvl w:ilvl="0" w:tplc="8508ECF4">
      <w:numFmt w:val="bullet"/>
      <w:lvlText w:val="•"/>
      <w:lvlJc w:val="left"/>
      <w:pPr>
        <w:ind w:left="720" w:hanging="360"/>
      </w:pPr>
      <w:rPr>
        <w:rFonts w:ascii="Arial" w:eastAsia="Calibr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63" w15:restartNumberingAfterBreak="0">
    <w:nsid w:val="488145B5"/>
    <w:multiLevelType w:val="hybridMultilevel"/>
    <w:tmpl w:val="CCFA1AF2"/>
    <w:lvl w:ilvl="0" w:tplc="4DB80760">
      <w:start w:val="1"/>
      <w:numFmt w:val="bullet"/>
      <w:lvlText w:val="­"/>
      <w:lvlJc w:val="left"/>
      <w:pPr>
        <w:ind w:left="720" w:hanging="360"/>
      </w:pPr>
      <w:rPr>
        <w:rFonts w:ascii="Courier New" w:hAnsi="Courier New" w:cs="Times New Roman" w:hint="default"/>
        <w:color w:val="auto"/>
      </w:rPr>
    </w:lvl>
    <w:lvl w:ilvl="1" w:tplc="240A0003">
      <w:start w:val="1"/>
      <w:numFmt w:val="bullet"/>
      <w:lvlText w:val="o"/>
      <w:lvlJc w:val="left"/>
      <w:pPr>
        <w:ind w:left="1440" w:hanging="360"/>
      </w:pPr>
      <w:rPr>
        <w:rFonts w:ascii="Courier New" w:hAnsi="Courier New" w:cs="Courier New" w:hint="default"/>
        <w:color w:val="auto"/>
      </w:rPr>
    </w:lvl>
    <w:lvl w:ilvl="2" w:tplc="240A0005">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64" w15:restartNumberingAfterBreak="0">
    <w:nsid w:val="49046E7A"/>
    <w:multiLevelType w:val="hybridMultilevel"/>
    <w:tmpl w:val="3F6A2ABA"/>
    <w:lvl w:ilvl="0" w:tplc="0C0A0017">
      <w:start w:val="1"/>
      <w:numFmt w:val="lowerLetter"/>
      <w:lvlText w:val="%1)"/>
      <w:lvlJc w:val="left"/>
      <w:pPr>
        <w:ind w:left="720" w:hanging="360"/>
      </w:pPr>
    </w:lvl>
    <w:lvl w:ilvl="1" w:tplc="0C0A0019" w:tentative="1">
      <w:start w:val="1"/>
      <w:numFmt w:val="lowerLetter"/>
      <w:lvlText w:val="%2."/>
      <w:lvlJc w:val="left"/>
      <w:pPr>
        <w:ind w:left="1440" w:hanging="360"/>
      </w:pPr>
    </w:lvl>
    <w:lvl w:ilvl="2" w:tplc="0C0A0017">
      <w:start w:val="1"/>
      <w:numFmt w:val="lowerLetter"/>
      <w:lvlText w:val="%3)"/>
      <w:lvlJc w:val="lef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65" w15:restartNumberingAfterBreak="0">
    <w:nsid w:val="4A8753CE"/>
    <w:multiLevelType w:val="hybridMultilevel"/>
    <w:tmpl w:val="E5DA874E"/>
    <w:lvl w:ilvl="0" w:tplc="240A0015">
      <w:start w:val="1"/>
      <w:numFmt w:val="upp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66" w15:restartNumberingAfterBreak="0">
    <w:nsid w:val="4A9754A7"/>
    <w:multiLevelType w:val="hybridMultilevel"/>
    <w:tmpl w:val="A4108010"/>
    <w:lvl w:ilvl="0" w:tplc="240A0001">
      <w:start w:val="1"/>
      <w:numFmt w:val="bullet"/>
      <w:lvlText w:val=""/>
      <w:lvlJc w:val="left"/>
      <w:pPr>
        <w:ind w:left="360" w:hanging="360"/>
      </w:pPr>
      <w:rPr>
        <w:rFonts w:ascii="Symbol" w:hAnsi="Symbol" w:hint="default"/>
      </w:rPr>
    </w:lvl>
    <w:lvl w:ilvl="1" w:tplc="4DB80760">
      <w:start w:val="1"/>
      <w:numFmt w:val="bullet"/>
      <w:lvlText w:val="­"/>
      <w:lvlJc w:val="left"/>
      <w:pPr>
        <w:ind w:left="1080" w:hanging="360"/>
      </w:pPr>
      <w:rPr>
        <w:rFonts w:ascii="Courier New" w:hAnsi="Courier New" w:cs="Times New Roman" w:hint="default"/>
        <w:color w:val="auto"/>
      </w:rPr>
    </w:lvl>
    <w:lvl w:ilvl="2" w:tplc="240A0005">
      <w:start w:val="1"/>
      <w:numFmt w:val="bullet"/>
      <w:lvlText w:val=""/>
      <w:lvlJc w:val="left"/>
      <w:pPr>
        <w:ind w:left="1800" w:hanging="360"/>
      </w:pPr>
      <w:rPr>
        <w:rFonts w:ascii="Wingdings" w:hAnsi="Wingdings" w:hint="default"/>
      </w:rPr>
    </w:lvl>
    <w:lvl w:ilvl="3" w:tplc="240A0001">
      <w:start w:val="1"/>
      <w:numFmt w:val="bullet"/>
      <w:lvlText w:val=""/>
      <w:lvlJc w:val="left"/>
      <w:pPr>
        <w:ind w:left="2520" w:hanging="360"/>
      </w:pPr>
      <w:rPr>
        <w:rFonts w:ascii="Symbol" w:hAnsi="Symbol" w:hint="default"/>
      </w:rPr>
    </w:lvl>
    <w:lvl w:ilvl="4" w:tplc="240A0003">
      <w:start w:val="1"/>
      <w:numFmt w:val="bullet"/>
      <w:lvlText w:val="o"/>
      <w:lvlJc w:val="left"/>
      <w:pPr>
        <w:ind w:left="3240" w:hanging="360"/>
      </w:pPr>
      <w:rPr>
        <w:rFonts w:ascii="Courier New" w:hAnsi="Courier New" w:cs="Courier New" w:hint="default"/>
      </w:rPr>
    </w:lvl>
    <w:lvl w:ilvl="5" w:tplc="240A0005">
      <w:start w:val="1"/>
      <w:numFmt w:val="bullet"/>
      <w:lvlText w:val=""/>
      <w:lvlJc w:val="left"/>
      <w:pPr>
        <w:ind w:left="3960" w:hanging="360"/>
      </w:pPr>
      <w:rPr>
        <w:rFonts w:ascii="Wingdings" w:hAnsi="Wingdings" w:hint="default"/>
      </w:rPr>
    </w:lvl>
    <w:lvl w:ilvl="6" w:tplc="240A0001">
      <w:start w:val="1"/>
      <w:numFmt w:val="bullet"/>
      <w:lvlText w:val=""/>
      <w:lvlJc w:val="left"/>
      <w:pPr>
        <w:ind w:left="4680" w:hanging="360"/>
      </w:pPr>
      <w:rPr>
        <w:rFonts w:ascii="Symbol" w:hAnsi="Symbol" w:hint="default"/>
      </w:rPr>
    </w:lvl>
    <w:lvl w:ilvl="7" w:tplc="240A0003">
      <w:start w:val="1"/>
      <w:numFmt w:val="bullet"/>
      <w:lvlText w:val="o"/>
      <w:lvlJc w:val="left"/>
      <w:pPr>
        <w:ind w:left="5400" w:hanging="360"/>
      </w:pPr>
      <w:rPr>
        <w:rFonts w:ascii="Courier New" w:hAnsi="Courier New" w:cs="Courier New" w:hint="default"/>
      </w:rPr>
    </w:lvl>
    <w:lvl w:ilvl="8" w:tplc="240A0005">
      <w:start w:val="1"/>
      <w:numFmt w:val="bullet"/>
      <w:lvlText w:val=""/>
      <w:lvlJc w:val="left"/>
      <w:pPr>
        <w:ind w:left="6120" w:hanging="360"/>
      </w:pPr>
      <w:rPr>
        <w:rFonts w:ascii="Wingdings" w:hAnsi="Wingdings" w:hint="default"/>
      </w:rPr>
    </w:lvl>
  </w:abstractNum>
  <w:abstractNum w:abstractNumId="267" w15:restartNumberingAfterBreak="0">
    <w:nsid w:val="4ABB21F0"/>
    <w:multiLevelType w:val="hybridMultilevel"/>
    <w:tmpl w:val="53D2F23A"/>
    <w:lvl w:ilvl="0" w:tplc="4DB80760">
      <w:start w:val="1"/>
      <w:numFmt w:val="bullet"/>
      <w:lvlText w:val="­"/>
      <w:lvlJc w:val="left"/>
      <w:pPr>
        <w:ind w:left="720" w:hanging="360"/>
      </w:pPr>
      <w:rPr>
        <w:rFonts w:ascii="Courier New" w:hAnsi="Courier New" w:cs="Times New Roman" w:hint="default"/>
        <w:color w:val="auto"/>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start w:val="1"/>
      <w:numFmt w:val="bullet"/>
      <w:lvlText w:val=""/>
      <w:lvlJc w:val="left"/>
      <w:pPr>
        <w:ind w:left="2880" w:hanging="360"/>
      </w:pPr>
      <w:rPr>
        <w:rFonts w:ascii="Symbol" w:hAnsi="Symbol" w:hint="default"/>
      </w:rPr>
    </w:lvl>
    <w:lvl w:ilvl="4" w:tplc="240A0003">
      <w:start w:val="1"/>
      <w:numFmt w:val="bullet"/>
      <w:lvlText w:val="o"/>
      <w:lvlJc w:val="left"/>
      <w:pPr>
        <w:ind w:left="3600" w:hanging="360"/>
      </w:pPr>
      <w:rPr>
        <w:rFonts w:ascii="Courier New" w:hAnsi="Courier New" w:cs="Courier New" w:hint="default"/>
      </w:rPr>
    </w:lvl>
    <w:lvl w:ilvl="5" w:tplc="240A0005">
      <w:start w:val="1"/>
      <w:numFmt w:val="bullet"/>
      <w:lvlText w:val=""/>
      <w:lvlJc w:val="left"/>
      <w:pPr>
        <w:ind w:left="4320" w:hanging="360"/>
      </w:pPr>
      <w:rPr>
        <w:rFonts w:ascii="Wingdings" w:hAnsi="Wingdings" w:hint="default"/>
      </w:rPr>
    </w:lvl>
    <w:lvl w:ilvl="6" w:tplc="240A0001">
      <w:start w:val="1"/>
      <w:numFmt w:val="bullet"/>
      <w:lvlText w:val=""/>
      <w:lvlJc w:val="left"/>
      <w:pPr>
        <w:ind w:left="5040" w:hanging="360"/>
      </w:pPr>
      <w:rPr>
        <w:rFonts w:ascii="Symbol" w:hAnsi="Symbol" w:hint="default"/>
      </w:rPr>
    </w:lvl>
    <w:lvl w:ilvl="7" w:tplc="240A0003">
      <w:start w:val="1"/>
      <w:numFmt w:val="bullet"/>
      <w:lvlText w:val="o"/>
      <w:lvlJc w:val="left"/>
      <w:pPr>
        <w:ind w:left="5760" w:hanging="360"/>
      </w:pPr>
      <w:rPr>
        <w:rFonts w:ascii="Courier New" w:hAnsi="Courier New" w:cs="Courier New" w:hint="default"/>
      </w:rPr>
    </w:lvl>
    <w:lvl w:ilvl="8" w:tplc="240A0005">
      <w:start w:val="1"/>
      <w:numFmt w:val="bullet"/>
      <w:lvlText w:val=""/>
      <w:lvlJc w:val="left"/>
      <w:pPr>
        <w:ind w:left="6480" w:hanging="360"/>
      </w:pPr>
      <w:rPr>
        <w:rFonts w:ascii="Wingdings" w:hAnsi="Wingdings" w:hint="default"/>
      </w:rPr>
    </w:lvl>
  </w:abstractNum>
  <w:abstractNum w:abstractNumId="268" w15:restartNumberingAfterBreak="0">
    <w:nsid w:val="4ABD6CC0"/>
    <w:multiLevelType w:val="hybridMultilevel"/>
    <w:tmpl w:val="A8FC6F82"/>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69" w15:restartNumberingAfterBreak="0">
    <w:nsid w:val="4AE327AB"/>
    <w:multiLevelType w:val="hybridMultilevel"/>
    <w:tmpl w:val="F04400F0"/>
    <w:lvl w:ilvl="0" w:tplc="4DB80760">
      <w:start w:val="1"/>
      <w:numFmt w:val="bullet"/>
      <w:lvlText w:val="­"/>
      <w:lvlJc w:val="left"/>
      <w:pPr>
        <w:ind w:left="720" w:hanging="360"/>
      </w:pPr>
      <w:rPr>
        <w:rFonts w:ascii="Courier New" w:hAnsi="Courier New" w:cs="Times New Roman" w:hint="default"/>
        <w:color w:val="auto"/>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70" w15:restartNumberingAfterBreak="0">
    <w:nsid w:val="4AFE3159"/>
    <w:multiLevelType w:val="hybridMultilevel"/>
    <w:tmpl w:val="9F700AFA"/>
    <w:lvl w:ilvl="0" w:tplc="4DB80760">
      <w:start w:val="1"/>
      <w:numFmt w:val="bullet"/>
      <w:lvlText w:val="­"/>
      <w:lvlJc w:val="left"/>
      <w:pPr>
        <w:ind w:left="720" w:hanging="360"/>
      </w:pPr>
      <w:rPr>
        <w:rFonts w:ascii="Courier New" w:hAnsi="Courier New" w:cs="Times New Roman" w:hint="default"/>
        <w:color w:val="auto"/>
        <w:sz w:val="24"/>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71" w15:restartNumberingAfterBreak="0">
    <w:nsid w:val="4B037868"/>
    <w:multiLevelType w:val="hybridMultilevel"/>
    <w:tmpl w:val="F51E3C5C"/>
    <w:lvl w:ilvl="0" w:tplc="59D00124">
      <w:start w:val="727"/>
      <w:numFmt w:val="bullet"/>
      <w:lvlText w:val="-"/>
      <w:lvlJc w:val="left"/>
      <w:pPr>
        <w:ind w:left="720" w:hanging="360"/>
      </w:pPr>
      <w:rPr>
        <w:rFonts w:ascii="Calibri" w:eastAsiaTheme="minorHAnsi" w:hAnsi="Calibri" w:cstheme="minorBid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72" w15:restartNumberingAfterBreak="0">
    <w:nsid w:val="4B606B01"/>
    <w:multiLevelType w:val="multilevel"/>
    <w:tmpl w:val="B1B061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3" w15:restartNumberingAfterBreak="0">
    <w:nsid w:val="4D7A052F"/>
    <w:multiLevelType w:val="hybridMultilevel"/>
    <w:tmpl w:val="1428B6D8"/>
    <w:lvl w:ilvl="0" w:tplc="240A0003">
      <w:start w:val="1"/>
      <w:numFmt w:val="bullet"/>
      <w:lvlText w:val="o"/>
      <w:lvlJc w:val="left"/>
      <w:pPr>
        <w:ind w:left="1854" w:hanging="360"/>
      </w:pPr>
      <w:rPr>
        <w:rFonts w:ascii="Courier New" w:hAnsi="Courier New" w:cs="Courier New" w:hint="default"/>
      </w:rPr>
    </w:lvl>
    <w:lvl w:ilvl="1" w:tplc="240A0003" w:tentative="1">
      <w:start w:val="1"/>
      <w:numFmt w:val="bullet"/>
      <w:lvlText w:val="o"/>
      <w:lvlJc w:val="left"/>
      <w:pPr>
        <w:ind w:left="2574" w:hanging="360"/>
      </w:pPr>
      <w:rPr>
        <w:rFonts w:ascii="Courier New" w:hAnsi="Courier New" w:cs="Courier New" w:hint="default"/>
      </w:rPr>
    </w:lvl>
    <w:lvl w:ilvl="2" w:tplc="240A0005" w:tentative="1">
      <w:start w:val="1"/>
      <w:numFmt w:val="bullet"/>
      <w:lvlText w:val=""/>
      <w:lvlJc w:val="left"/>
      <w:pPr>
        <w:ind w:left="3294" w:hanging="360"/>
      </w:pPr>
      <w:rPr>
        <w:rFonts w:ascii="Wingdings" w:hAnsi="Wingdings" w:hint="default"/>
      </w:rPr>
    </w:lvl>
    <w:lvl w:ilvl="3" w:tplc="240A0001" w:tentative="1">
      <w:start w:val="1"/>
      <w:numFmt w:val="bullet"/>
      <w:lvlText w:val=""/>
      <w:lvlJc w:val="left"/>
      <w:pPr>
        <w:ind w:left="4014" w:hanging="360"/>
      </w:pPr>
      <w:rPr>
        <w:rFonts w:ascii="Symbol" w:hAnsi="Symbol" w:hint="default"/>
      </w:rPr>
    </w:lvl>
    <w:lvl w:ilvl="4" w:tplc="240A0003" w:tentative="1">
      <w:start w:val="1"/>
      <w:numFmt w:val="bullet"/>
      <w:lvlText w:val="o"/>
      <w:lvlJc w:val="left"/>
      <w:pPr>
        <w:ind w:left="4734" w:hanging="360"/>
      </w:pPr>
      <w:rPr>
        <w:rFonts w:ascii="Courier New" w:hAnsi="Courier New" w:cs="Courier New" w:hint="default"/>
      </w:rPr>
    </w:lvl>
    <w:lvl w:ilvl="5" w:tplc="240A0005" w:tentative="1">
      <w:start w:val="1"/>
      <w:numFmt w:val="bullet"/>
      <w:lvlText w:val=""/>
      <w:lvlJc w:val="left"/>
      <w:pPr>
        <w:ind w:left="5454" w:hanging="360"/>
      </w:pPr>
      <w:rPr>
        <w:rFonts w:ascii="Wingdings" w:hAnsi="Wingdings" w:hint="default"/>
      </w:rPr>
    </w:lvl>
    <w:lvl w:ilvl="6" w:tplc="240A0001" w:tentative="1">
      <w:start w:val="1"/>
      <w:numFmt w:val="bullet"/>
      <w:lvlText w:val=""/>
      <w:lvlJc w:val="left"/>
      <w:pPr>
        <w:ind w:left="6174" w:hanging="360"/>
      </w:pPr>
      <w:rPr>
        <w:rFonts w:ascii="Symbol" w:hAnsi="Symbol" w:hint="default"/>
      </w:rPr>
    </w:lvl>
    <w:lvl w:ilvl="7" w:tplc="240A0003" w:tentative="1">
      <w:start w:val="1"/>
      <w:numFmt w:val="bullet"/>
      <w:lvlText w:val="o"/>
      <w:lvlJc w:val="left"/>
      <w:pPr>
        <w:ind w:left="6894" w:hanging="360"/>
      </w:pPr>
      <w:rPr>
        <w:rFonts w:ascii="Courier New" w:hAnsi="Courier New" w:cs="Courier New" w:hint="default"/>
      </w:rPr>
    </w:lvl>
    <w:lvl w:ilvl="8" w:tplc="240A0005" w:tentative="1">
      <w:start w:val="1"/>
      <w:numFmt w:val="bullet"/>
      <w:lvlText w:val=""/>
      <w:lvlJc w:val="left"/>
      <w:pPr>
        <w:ind w:left="7614" w:hanging="360"/>
      </w:pPr>
      <w:rPr>
        <w:rFonts w:ascii="Wingdings" w:hAnsi="Wingdings" w:hint="default"/>
      </w:rPr>
    </w:lvl>
  </w:abstractNum>
  <w:abstractNum w:abstractNumId="274" w15:restartNumberingAfterBreak="0">
    <w:nsid w:val="4D7F59B4"/>
    <w:multiLevelType w:val="hybridMultilevel"/>
    <w:tmpl w:val="22741694"/>
    <w:lvl w:ilvl="0" w:tplc="4DB80760">
      <w:start w:val="1"/>
      <w:numFmt w:val="bullet"/>
      <w:lvlText w:val="­"/>
      <w:lvlJc w:val="left"/>
      <w:pPr>
        <w:ind w:left="720" w:hanging="360"/>
      </w:pPr>
      <w:rPr>
        <w:rFonts w:ascii="Courier New" w:hAnsi="Courier New" w:cs="Times New Roman"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75" w15:restartNumberingAfterBreak="0">
    <w:nsid w:val="4D805C5A"/>
    <w:multiLevelType w:val="hybridMultilevel"/>
    <w:tmpl w:val="7C901244"/>
    <w:lvl w:ilvl="0" w:tplc="4DB80760">
      <w:start w:val="1"/>
      <w:numFmt w:val="bullet"/>
      <w:lvlText w:val="­"/>
      <w:lvlJc w:val="left"/>
      <w:pPr>
        <w:ind w:left="720" w:hanging="360"/>
      </w:pPr>
      <w:rPr>
        <w:rFonts w:ascii="Courier New" w:hAnsi="Courier New" w:cs="Times New Roman"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76" w15:restartNumberingAfterBreak="0">
    <w:nsid w:val="4EE31276"/>
    <w:multiLevelType w:val="hybridMultilevel"/>
    <w:tmpl w:val="472CF6D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77" w15:restartNumberingAfterBreak="0">
    <w:nsid w:val="4F152DAA"/>
    <w:multiLevelType w:val="hybridMultilevel"/>
    <w:tmpl w:val="26107E24"/>
    <w:lvl w:ilvl="0" w:tplc="4DB80760">
      <w:start w:val="1"/>
      <w:numFmt w:val="bullet"/>
      <w:lvlText w:val="­"/>
      <w:lvlJc w:val="left"/>
      <w:pPr>
        <w:ind w:left="720" w:hanging="360"/>
      </w:pPr>
      <w:rPr>
        <w:rFonts w:ascii="Courier New" w:hAnsi="Courier New" w:cs="Times New Roman" w:hint="default"/>
        <w:color w:val="auto"/>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78" w15:restartNumberingAfterBreak="0">
    <w:nsid w:val="4F9A1C06"/>
    <w:multiLevelType w:val="hybridMultilevel"/>
    <w:tmpl w:val="FB06CE4A"/>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9" w15:restartNumberingAfterBreak="0">
    <w:nsid w:val="4FB46B2F"/>
    <w:multiLevelType w:val="hybridMultilevel"/>
    <w:tmpl w:val="B1A8E752"/>
    <w:lvl w:ilvl="0" w:tplc="D250E522">
      <w:start w:val="1"/>
      <w:numFmt w:val="bullet"/>
      <w:lvlText w:val=""/>
      <w:lvlJc w:val="left"/>
      <w:pPr>
        <w:tabs>
          <w:tab w:val="num" w:pos="360"/>
        </w:tabs>
        <w:ind w:left="360" w:hanging="360"/>
      </w:pPr>
      <w:rPr>
        <w:rFonts w:ascii="Symbol" w:hAnsi="Symbol" w:hint="default"/>
        <w:color w:val="auto"/>
        <w:lang w:val="es-ES_tradnl"/>
      </w:rPr>
    </w:lvl>
    <w:lvl w:ilvl="1" w:tplc="0C0A0003" w:tentative="1">
      <w:start w:val="1"/>
      <w:numFmt w:val="bullet"/>
      <w:lvlText w:val="o"/>
      <w:lvlJc w:val="left"/>
      <w:pPr>
        <w:tabs>
          <w:tab w:val="num" w:pos="1080"/>
        </w:tabs>
        <w:ind w:left="1080" w:hanging="360"/>
      </w:pPr>
      <w:rPr>
        <w:rFonts w:ascii="Courier New" w:hAnsi="Courier New" w:cs="Courier New" w:hint="default"/>
      </w:rPr>
    </w:lvl>
    <w:lvl w:ilvl="2" w:tplc="0C0A0005" w:tentative="1">
      <w:start w:val="1"/>
      <w:numFmt w:val="bullet"/>
      <w:lvlText w:val=""/>
      <w:lvlJc w:val="left"/>
      <w:pPr>
        <w:tabs>
          <w:tab w:val="num" w:pos="1800"/>
        </w:tabs>
        <w:ind w:left="1800" w:hanging="360"/>
      </w:pPr>
      <w:rPr>
        <w:rFonts w:ascii="Wingdings" w:hAnsi="Wingdings" w:hint="default"/>
      </w:rPr>
    </w:lvl>
    <w:lvl w:ilvl="3" w:tplc="0C0A0001" w:tentative="1">
      <w:start w:val="1"/>
      <w:numFmt w:val="bullet"/>
      <w:lvlText w:val=""/>
      <w:lvlJc w:val="left"/>
      <w:pPr>
        <w:tabs>
          <w:tab w:val="num" w:pos="2520"/>
        </w:tabs>
        <w:ind w:left="2520" w:hanging="360"/>
      </w:pPr>
      <w:rPr>
        <w:rFonts w:ascii="Symbol" w:hAnsi="Symbol" w:hint="default"/>
      </w:rPr>
    </w:lvl>
    <w:lvl w:ilvl="4" w:tplc="0C0A0003" w:tentative="1">
      <w:start w:val="1"/>
      <w:numFmt w:val="bullet"/>
      <w:lvlText w:val="o"/>
      <w:lvlJc w:val="left"/>
      <w:pPr>
        <w:tabs>
          <w:tab w:val="num" w:pos="3240"/>
        </w:tabs>
        <w:ind w:left="3240" w:hanging="360"/>
      </w:pPr>
      <w:rPr>
        <w:rFonts w:ascii="Courier New" w:hAnsi="Courier New" w:cs="Courier New" w:hint="default"/>
      </w:rPr>
    </w:lvl>
    <w:lvl w:ilvl="5" w:tplc="0C0A0005" w:tentative="1">
      <w:start w:val="1"/>
      <w:numFmt w:val="bullet"/>
      <w:lvlText w:val=""/>
      <w:lvlJc w:val="left"/>
      <w:pPr>
        <w:tabs>
          <w:tab w:val="num" w:pos="3960"/>
        </w:tabs>
        <w:ind w:left="3960" w:hanging="360"/>
      </w:pPr>
      <w:rPr>
        <w:rFonts w:ascii="Wingdings" w:hAnsi="Wingdings" w:hint="default"/>
      </w:rPr>
    </w:lvl>
    <w:lvl w:ilvl="6" w:tplc="0C0A0001" w:tentative="1">
      <w:start w:val="1"/>
      <w:numFmt w:val="bullet"/>
      <w:lvlText w:val=""/>
      <w:lvlJc w:val="left"/>
      <w:pPr>
        <w:tabs>
          <w:tab w:val="num" w:pos="4680"/>
        </w:tabs>
        <w:ind w:left="4680" w:hanging="360"/>
      </w:pPr>
      <w:rPr>
        <w:rFonts w:ascii="Symbol" w:hAnsi="Symbol" w:hint="default"/>
      </w:rPr>
    </w:lvl>
    <w:lvl w:ilvl="7" w:tplc="0C0A0003" w:tentative="1">
      <w:start w:val="1"/>
      <w:numFmt w:val="bullet"/>
      <w:lvlText w:val="o"/>
      <w:lvlJc w:val="left"/>
      <w:pPr>
        <w:tabs>
          <w:tab w:val="num" w:pos="5400"/>
        </w:tabs>
        <w:ind w:left="5400" w:hanging="360"/>
      </w:pPr>
      <w:rPr>
        <w:rFonts w:ascii="Courier New" w:hAnsi="Courier New" w:cs="Courier New" w:hint="default"/>
      </w:rPr>
    </w:lvl>
    <w:lvl w:ilvl="8" w:tplc="0C0A0005" w:tentative="1">
      <w:start w:val="1"/>
      <w:numFmt w:val="bullet"/>
      <w:lvlText w:val=""/>
      <w:lvlJc w:val="left"/>
      <w:pPr>
        <w:tabs>
          <w:tab w:val="num" w:pos="6120"/>
        </w:tabs>
        <w:ind w:left="6120" w:hanging="360"/>
      </w:pPr>
      <w:rPr>
        <w:rFonts w:ascii="Wingdings" w:hAnsi="Wingdings" w:hint="default"/>
      </w:rPr>
    </w:lvl>
  </w:abstractNum>
  <w:abstractNum w:abstractNumId="280" w15:restartNumberingAfterBreak="0">
    <w:nsid w:val="4FFB0378"/>
    <w:multiLevelType w:val="hybridMultilevel"/>
    <w:tmpl w:val="8972489C"/>
    <w:lvl w:ilvl="0" w:tplc="946A2CF6">
      <w:start w:val="1"/>
      <w:numFmt w:val="bullet"/>
      <w:lvlText w:val=""/>
      <w:lvlJc w:val="left"/>
      <w:pPr>
        <w:ind w:left="720" w:hanging="360"/>
      </w:pPr>
      <w:rPr>
        <w:rFonts w:ascii="Symbol" w:hAnsi="Symbol"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81" w15:restartNumberingAfterBreak="0">
    <w:nsid w:val="501B7415"/>
    <w:multiLevelType w:val="hybridMultilevel"/>
    <w:tmpl w:val="448C2D22"/>
    <w:lvl w:ilvl="0" w:tplc="3FA6218C">
      <w:start w:val="1"/>
      <w:numFmt w:val="lowerRoman"/>
      <w:lvlText w:val="%1)"/>
      <w:lvlJc w:val="left"/>
      <w:pPr>
        <w:ind w:left="1080" w:hanging="72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82" w15:restartNumberingAfterBreak="0">
    <w:nsid w:val="50627CE0"/>
    <w:multiLevelType w:val="multilevel"/>
    <w:tmpl w:val="C0065042"/>
    <w:lvl w:ilvl="0">
      <w:start w:val="2"/>
      <w:numFmt w:val="decimal"/>
      <w:lvlText w:val="%1"/>
      <w:lvlJc w:val="left"/>
      <w:pPr>
        <w:ind w:left="600" w:hanging="600"/>
      </w:pPr>
      <w:rPr>
        <w:rFonts w:hint="default"/>
      </w:rPr>
    </w:lvl>
    <w:lvl w:ilvl="1">
      <w:start w:val="2"/>
      <w:numFmt w:val="decimal"/>
      <w:lvlText w:val="%1.%2"/>
      <w:lvlJc w:val="left"/>
      <w:pPr>
        <w:ind w:left="600" w:hanging="600"/>
      </w:pPr>
      <w:rPr>
        <w:rFonts w:hint="default"/>
      </w:rPr>
    </w:lvl>
    <w:lvl w:ilvl="2">
      <w:start w:val="3"/>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3" w15:restartNumberingAfterBreak="0">
    <w:nsid w:val="508D7E69"/>
    <w:multiLevelType w:val="hybridMultilevel"/>
    <w:tmpl w:val="40AC682E"/>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284" w15:restartNumberingAfterBreak="0">
    <w:nsid w:val="50CA27DB"/>
    <w:multiLevelType w:val="hybridMultilevel"/>
    <w:tmpl w:val="4E6E2400"/>
    <w:lvl w:ilvl="0" w:tplc="240A000D">
      <w:start w:val="1"/>
      <w:numFmt w:val="bullet"/>
      <w:lvlText w:val=""/>
      <w:lvlJc w:val="left"/>
      <w:pPr>
        <w:ind w:left="720" w:hanging="360"/>
      </w:pPr>
      <w:rPr>
        <w:rFonts w:ascii="Wingdings" w:hAnsi="Wingdings" w:hint="default"/>
      </w:rPr>
    </w:lvl>
    <w:lvl w:ilvl="1" w:tplc="01BAB790">
      <w:numFmt w:val="bullet"/>
      <w:lvlText w:val="•"/>
      <w:lvlJc w:val="left"/>
      <w:pPr>
        <w:ind w:left="1785" w:hanging="705"/>
      </w:pPr>
      <w:rPr>
        <w:rFonts w:ascii="Arial" w:eastAsia="Times New Roman" w:hAnsi="Arial" w:cs="Arial"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85" w15:restartNumberingAfterBreak="0">
    <w:nsid w:val="50FB6D97"/>
    <w:multiLevelType w:val="hybridMultilevel"/>
    <w:tmpl w:val="28A8202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86" w15:restartNumberingAfterBreak="0">
    <w:nsid w:val="5117254E"/>
    <w:multiLevelType w:val="hybridMultilevel"/>
    <w:tmpl w:val="9198046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87" w15:restartNumberingAfterBreak="0">
    <w:nsid w:val="513C2FFB"/>
    <w:multiLevelType w:val="hybridMultilevel"/>
    <w:tmpl w:val="F2CAAE66"/>
    <w:lvl w:ilvl="0" w:tplc="3B26A1EA">
      <w:start w:val="1"/>
      <w:numFmt w:val="bullet"/>
      <w:lvlText w:val="-"/>
      <w:lvlJc w:val="left"/>
      <w:pPr>
        <w:ind w:left="720" w:hanging="360"/>
      </w:pPr>
      <w:rPr>
        <w:rFonts w:ascii="SimSun" w:eastAsia="SimSun" w:hAnsi="SimSun" w:hint="eastAsia"/>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88" w15:restartNumberingAfterBreak="0">
    <w:nsid w:val="514519DA"/>
    <w:multiLevelType w:val="hybridMultilevel"/>
    <w:tmpl w:val="E5BAB890"/>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289" w15:restartNumberingAfterBreak="0">
    <w:nsid w:val="514C1EE4"/>
    <w:multiLevelType w:val="hybridMultilevel"/>
    <w:tmpl w:val="A6EADA6C"/>
    <w:lvl w:ilvl="0" w:tplc="4DB80760">
      <w:start w:val="1"/>
      <w:numFmt w:val="bullet"/>
      <w:lvlText w:val="­"/>
      <w:lvlJc w:val="left"/>
      <w:pPr>
        <w:ind w:left="720" w:hanging="360"/>
      </w:pPr>
      <w:rPr>
        <w:rFonts w:ascii="Courier New" w:hAnsi="Courier New" w:cs="Times New Roman" w:hint="default"/>
        <w:color w:val="auto"/>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90" w15:restartNumberingAfterBreak="0">
    <w:nsid w:val="518E7960"/>
    <w:multiLevelType w:val="hybridMultilevel"/>
    <w:tmpl w:val="705CE810"/>
    <w:lvl w:ilvl="0" w:tplc="240A0003">
      <w:start w:val="1"/>
      <w:numFmt w:val="bullet"/>
      <w:lvlText w:val="o"/>
      <w:lvlJc w:val="left"/>
      <w:pPr>
        <w:ind w:left="720" w:hanging="360"/>
      </w:pPr>
      <w:rPr>
        <w:rFonts w:ascii="Courier New" w:hAnsi="Courier New" w:hint="default"/>
        <w:color w:val="auto"/>
      </w:rPr>
    </w:lvl>
    <w:lvl w:ilvl="1" w:tplc="4DB80760">
      <w:start w:val="1"/>
      <w:numFmt w:val="bullet"/>
      <w:lvlText w:val="­"/>
      <w:lvlJc w:val="left"/>
      <w:pPr>
        <w:ind w:left="1440" w:hanging="360"/>
      </w:pPr>
      <w:rPr>
        <w:rFonts w:ascii="Courier New" w:hAnsi="Courier New" w:cs="Times New Roman" w:hint="default"/>
        <w:color w:val="auto"/>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91" w15:restartNumberingAfterBreak="0">
    <w:nsid w:val="51E62DA0"/>
    <w:multiLevelType w:val="hybridMultilevel"/>
    <w:tmpl w:val="4378B622"/>
    <w:lvl w:ilvl="0" w:tplc="CBFAC3AA">
      <w:start w:val="1"/>
      <w:numFmt w:val="bullet"/>
      <w:lvlText w:val=""/>
      <w:lvlJc w:val="left"/>
      <w:pPr>
        <w:ind w:left="720" w:hanging="360"/>
      </w:pPr>
      <w:rPr>
        <w:rFonts w:ascii="Symbol" w:hAnsi="Symbol" w:hint="default"/>
        <w:lang w:val="es-ES"/>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92" w15:restartNumberingAfterBreak="0">
    <w:nsid w:val="51FC68AB"/>
    <w:multiLevelType w:val="hybridMultilevel"/>
    <w:tmpl w:val="F58A3F56"/>
    <w:lvl w:ilvl="0" w:tplc="24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93" w15:restartNumberingAfterBreak="0">
    <w:nsid w:val="52166EC0"/>
    <w:multiLevelType w:val="hybridMultilevel"/>
    <w:tmpl w:val="F4BC6D2A"/>
    <w:lvl w:ilvl="0" w:tplc="4DB80760">
      <w:start w:val="1"/>
      <w:numFmt w:val="bullet"/>
      <w:lvlText w:val="­"/>
      <w:lvlJc w:val="left"/>
      <w:pPr>
        <w:ind w:left="720" w:hanging="360"/>
      </w:pPr>
      <w:rPr>
        <w:rFonts w:ascii="Courier New" w:hAnsi="Courier New" w:cs="Times New Roman"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94" w15:restartNumberingAfterBreak="0">
    <w:nsid w:val="52401F4F"/>
    <w:multiLevelType w:val="hybridMultilevel"/>
    <w:tmpl w:val="B26A33F6"/>
    <w:lvl w:ilvl="0" w:tplc="240A0001">
      <w:start w:val="1"/>
      <w:numFmt w:val="bullet"/>
      <w:lvlText w:val=""/>
      <w:lvlJc w:val="left"/>
      <w:pPr>
        <w:ind w:left="360" w:hanging="360"/>
      </w:pPr>
      <w:rPr>
        <w:rFonts w:ascii="Symbol" w:hAnsi="Symbol" w:hint="default"/>
        <w:color w:val="auto"/>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95" w15:restartNumberingAfterBreak="0">
    <w:nsid w:val="5265354B"/>
    <w:multiLevelType w:val="hybridMultilevel"/>
    <w:tmpl w:val="6DBE6AB6"/>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96" w15:restartNumberingAfterBreak="0">
    <w:nsid w:val="53104F52"/>
    <w:multiLevelType w:val="hybridMultilevel"/>
    <w:tmpl w:val="831688EE"/>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97" w15:restartNumberingAfterBreak="0">
    <w:nsid w:val="537754DC"/>
    <w:multiLevelType w:val="hybridMultilevel"/>
    <w:tmpl w:val="92F8A3B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98" w15:restartNumberingAfterBreak="0">
    <w:nsid w:val="53EB2303"/>
    <w:multiLevelType w:val="hybridMultilevel"/>
    <w:tmpl w:val="4FACD7B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99" w15:restartNumberingAfterBreak="0">
    <w:nsid w:val="541B5F19"/>
    <w:multiLevelType w:val="hybridMultilevel"/>
    <w:tmpl w:val="B2A4E890"/>
    <w:lvl w:ilvl="0" w:tplc="A1885E3C">
      <w:numFmt w:val="bullet"/>
      <w:lvlText w:val="-"/>
      <w:lvlJc w:val="left"/>
      <w:pPr>
        <w:ind w:left="1065" w:hanging="360"/>
      </w:pPr>
      <w:rPr>
        <w:rFonts w:ascii="Arial" w:eastAsia="Times New Roman" w:hAnsi="Arial" w:cs="Arial" w:hint="default"/>
      </w:rPr>
    </w:lvl>
    <w:lvl w:ilvl="1" w:tplc="240A0003" w:tentative="1">
      <w:start w:val="1"/>
      <w:numFmt w:val="bullet"/>
      <w:lvlText w:val="o"/>
      <w:lvlJc w:val="left"/>
      <w:pPr>
        <w:ind w:left="1785" w:hanging="360"/>
      </w:pPr>
      <w:rPr>
        <w:rFonts w:ascii="Courier New" w:hAnsi="Courier New" w:cs="Courier New" w:hint="default"/>
      </w:rPr>
    </w:lvl>
    <w:lvl w:ilvl="2" w:tplc="240A0005" w:tentative="1">
      <w:start w:val="1"/>
      <w:numFmt w:val="bullet"/>
      <w:lvlText w:val=""/>
      <w:lvlJc w:val="left"/>
      <w:pPr>
        <w:ind w:left="2505" w:hanging="360"/>
      </w:pPr>
      <w:rPr>
        <w:rFonts w:ascii="Wingdings" w:hAnsi="Wingdings" w:hint="default"/>
      </w:rPr>
    </w:lvl>
    <w:lvl w:ilvl="3" w:tplc="240A0001" w:tentative="1">
      <w:start w:val="1"/>
      <w:numFmt w:val="bullet"/>
      <w:lvlText w:val=""/>
      <w:lvlJc w:val="left"/>
      <w:pPr>
        <w:ind w:left="3225" w:hanging="360"/>
      </w:pPr>
      <w:rPr>
        <w:rFonts w:ascii="Symbol" w:hAnsi="Symbol" w:hint="default"/>
      </w:rPr>
    </w:lvl>
    <w:lvl w:ilvl="4" w:tplc="240A0003" w:tentative="1">
      <w:start w:val="1"/>
      <w:numFmt w:val="bullet"/>
      <w:lvlText w:val="o"/>
      <w:lvlJc w:val="left"/>
      <w:pPr>
        <w:ind w:left="3945" w:hanging="360"/>
      </w:pPr>
      <w:rPr>
        <w:rFonts w:ascii="Courier New" w:hAnsi="Courier New" w:cs="Courier New" w:hint="default"/>
      </w:rPr>
    </w:lvl>
    <w:lvl w:ilvl="5" w:tplc="240A0005" w:tentative="1">
      <w:start w:val="1"/>
      <w:numFmt w:val="bullet"/>
      <w:lvlText w:val=""/>
      <w:lvlJc w:val="left"/>
      <w:pPr>
        <w:ind w:left="4665" w:hanging="360"/>
      </w:pPr>
      <w:rPr>
        <w:rFonts w:ascii="Wingdings" w:hAnsi="Wingdings" w:hint="default"/>
      </w:rPr>
    </w:lvl>
    <w:lvl w:ilvl="6" w:tplc="240A0001" w:tentative="1">
      <w:start w:val="1"/>
      <w:numFmt w:val="bullet"/>
      <w:lvlText w:val=""/>
      <w:lvlJc w:val="left"/>
      <w:pPr>
        <w:ind w:left="5385" w:hanging="360"/>
      </w:pPr>
      <w:rPr>
        <w:rFonts w:ascii="Symbol" w:hAnsi="Symbol" w:hint="default"/>
      </w:rPr>
    </w:lvl>
    <w:lvl w:ilvl="7" w:tplc="240A0003" w:tentative="1">
      <w:start w:val="1"/>
      <w:numFmt w:val="bullet"/>
      <w:lvlText w:val="o"/>
      <w:lvlJc w:val="left"/>
      <w:pPr>
        <w:ind w:left="6105" w:hanging="360"/>
      </w:pPr>
      <w:rPr>
        <w:rFonts w:ascii="Courier New" w:hAnsi="Courier New" w:cs="Courier New" w:hint="default"/>
      </w:rPr>
    </w:lvl>
    <w:lvl w:ilvl="8" w:tplc="240A0005" w:tentative="1">
      <w:start w:val="1"/>
      <w:numFmt w:val="bullet"/>
      <w:lvlText w:val=""/>
      <w:lvlJc w:val="left"/>
      <w:pPr>
        <w:ind w:left="6825" w:hanging="360"/>
      </w:pPr>
      <w:rPr>
        <w:rFonts w:ascii="Wingdings" w:hAnsi="Wingdings" w:hint="default"/>
      </w:rPr>
    </w:lvl>
  </w:abstractNum>
  <w:abstractNum w:abstractNumId="300" w15:restartNumberingAfterBreak="0">
    <w:nsid w:val="548A6AEE"/>
    <w:multiLevelType w:val="hybridMultilevel"/>
    <w:tmpl w:val="F6BE72C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01" w15:restartNumberingAfterBreak="0">
    <w:nsid w:val="548E21A8"/>
    <w:multiLevelType w:val="hybridMultilevel"/>
    <w:tmpl w:val="ABCC373A"/>
    <w:lvl w:ilvl="0" w:tplc="1A4421E0">
      <w:start w:val="1"/>
      <w:numFmt w:val="lowerRoman"/>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02" w15:restartNumberingAfterBreak="0">
    <w:nsid w:val="553D42BA"/>
    <w:multiLevelType w:val="hybridMultilevel"/>
    <w:tmpl w:val="65B2EC1E"/>
    <w:lvl w:ilvl="0" w:tplc="4DB80760">
      <w:start w:val="1"/>
      <w:numFmt w:val="bullet"/>
      <w:lvlText w:val="­"/>
      <w:lvlJc w:val="left"/>
      <w:pPr>
        <w:ind w:left="360" w:hanging="360"/>
      </w:pPr>
      <w:rPr>
        <w:rFonts w:ascii="Courier New" w:hAnsi="Courier New" w:cs="Times New Roman" w:hint="default"/>
        <w:color w:val="auto"/>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03" w15:restartNumberingAfterBreak="0">
    <w:nsid w:val="55706033"/>
    <w:multiLevelType w:val="hybridMultilevel"/>
    <w:tmpl w:val="818ECD88"/>
    <w:lvl w:ilvl="0" w:tplc="ED2899BC">
      <w:numFmt w:val="bullet"/>
      <w:lvlText w:val="-"/>
      <w:lvlJc w:val="left"/>
      <w:pPr>
        <w:ind w:left="720" w:hanging="360"/>
      </w:pPr>
      <w:rPr>
        <w:rFonts w:ascii="Arial" w:eastAsia="Times New Roman" w:hAnsi="Arial" w:cs="Arial" w:hint="default"/>
        <w:sz w:val="24"/>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04" w15:restartNumberingAfterBreak="0">
    <w:nsid w:val="55AB3765"/>
    <w:multiLevelType w:val="hybridMultilevel"/>
    <w:tmpl w:val="D01C643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05" w15:restartNumberingAfterBreak="0">
    <w:nsid w:val="55C530AC"/>
    <w:multiLevelType w:val="hybridMultilevel"/>
    <w:tmpl w:val="F6884D66"/>
    <w:lvl w:ilvl="0" w:tplc="4DB80760">
      <w:start w:val="1"/>
      <w:numFmt w:val="bullet"/>
      <w:lvlText w:val="­"/>
      <w:lvlJc w:val="left"/>
      <w:pPr>
        <w:ind w:left="1800" w:hanging="360"/>
      </w:pPr>
      <w:rPr>
        <w:rFonts w:ascii="Courier New" w:hAnsi="Courier New" w:cs="Times New Roman" w:hint="default"/>
        <w:color w:val="auto"/>
      </w:rPr>
    </w:lvl>
    <w:lvl w:ilvl="1" w:tplc="240A0003" w:tentative="1">
      <w:start w:val="1"/>
      <w:numFmt w:val="bullet"/>
      <w:lvlText w:val="o"/>
      <w:lvlJc w:val="left"/>
      <w:pPr>
        <w:ind w:left="2520" w:hanging="360"/>
      </w:pPr>
      <w:rPr>
        <w:rFonts w:ascii="Courier New" w:hAnsi="Courier New" w:cs="Courier New" w:hint="default"/>
      </w:rPr>
    </w:lvl>
    <w:lvl w:ilvl="2" w:tplc="240A0005" w:tentative="1">
      <w:start w:val="1"/>
      <w:numFmt w:val="bullet"/>
      <w:lvlText w:val=""/>
      <w:lvlJc w:val="left"/>
      <w:pPr>
        <w:ind w:left="3240" w:hanging="360"/>
      </w:pPr>
      <w:rPr>
        <w:rFonts w:ascii="Wingdings" w:hAnsi="Wingdings" w:hint="default"/>
      </w:rPr>
    </w:lvl>
    <w:lvl w:ilvl="3" w:tplc="240A0001" w:tentative="1">
      <w:start w:val="1"/>
      <w:numFmt w:val="bullet"/>
      <w:lvlText w:val=""/>
      <w:lvlJc w:val="left"/>
      <w:pPr>
        <w:ind w:left="3960" w:hanging="360"/>
      </w:pPr>
      <w:rPr>
        <w:rFonts w:ascii="Symbol" w:hAnsi="Symbol" w:hint="default"/>
      </w:rPr>
    </w:lvl>
    <w:lvl w:ilvl="4" w:tplc="240A0003" w:tentative="1">
      <w:start w:val="1"/>
      <w:numFmt w:val="bullet"/>
      <w:lvlText w:val="o"/>
      <w:lvlJc w:val="left"/>
      <w:pPr>
        <w:ind w:left="4680" w:hanging="360"/>
      </w:pPr>
      <w:rPr>
        <w:rFonts w:ascii="Courier New" w:hAnsi="Courier New" w:cs="Courier New" w:hint="default"/>
      </w:rPr>
    </w:lvl>
    <w:lvl w:ilvl="5" w:tplc="240A0005" w:tentative="1">
      <w:start w:val="1"/>
      <w:numFmt w:val="bullet"/>
      <w:lvlText w:val=""/>
      <w:lvlJc w:val="left"/>
      <w:pPr>
        <w:ind w:left="5400" w:hanging="360"/>
      </w:pPr>
      <w:rPr>
        <w:rFonts w:ascii="Wingdings" w:hAnsi="Wingdings" w:hint="default"/>
      </w:rPr>
    </w:lvl>
    <w:lvl w:ilvl="6" w:tplc="240A0001" w:tentative="1">
      <w:start w:val="1"/>
      <w:numFmt w:val="bullet"/>
      <w:lvlText w:val=""/>
      <w:lvlJc w:val="left"/>
      <w:pPr>
        <w:ind w:left="6120" w:hanging="360"/>
      </w:pPr>
      <w:rPr>
        <w:rFonts w:ascii="Symbol" w:hAnsi="Symbol" w:hint="default"/>
      </w:rPr>
    </w:lvl>
    <w:lvl w:ilvl="7" w:tplc="240A0003" w:tentative="1">
      <w:start w:val="1"/>
      <w:numFmt w:val="bullet"/>
      <w:lvlText w:val="o"/>
      <w:lvlJc w:val="left"/>
      <w:pPr>
        <w:ind w:left="6840" w:hanging="360"/>
      </w:pPr>
      <w:rPr>
        <w:rFonts w:ascii="Courier New" w:hAnsi="Courier New" w:cs="Courier New" w:hint="default"/>
      </w:rPr>
    </w:lvl>
    <w:lvl w:ilvl="8" w:tplc="240A0005" w:tentative="1">
      <w:start w:val="1"/>
      <w:numFmt w:val="bullet"/>
      <w:lvlText w:val=""/>
      <w:lvlJc w:val="left"/>
      <w:pPr>
        <w:ind w:left="7560" w:hanging="360"/>
      </w:pPr>
      <w:rPr>
        <w:rFonts w:ascii="Wingdings" w:hAnsi="Wingdings" w:hint="default"/>
      </w:rPr>
    </w:lvl>
  </w:abstractNum>
  <w:abstractNum w:abstractNumId="306" w15:restartNumberingAfterBreak="0">
    <w:nsid w:val="55D232F4"/>
    <w:multiLevelType w:val="hybridMultilevel"/>
    <w:tmpl w:val="ED7A15C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07" w15:restartNumberingAfterBreak="0">
    <w:nsid w:val="562D4BFD"/>
    <w:multiLevelType w:val="hybridMultilevel"/>
    <w:tmpl w:val="AC90B9D8"/>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08" w15:restartNumberingAfterBreak="0">
    <w:nsid w:val="56430D1D"/>
    <w:multiLevelType w:val="hybridMultilevel"/>
    <w:tmpl w:val="D548EABA"/>
    <w:lvl w:ilvl="0" w:tplc="240A000D">
      <w:start w:val="1"/>
      <w:numFmt w:val="bullet"/>
      <w:lvlText w:val=""/>
      <w:lvlJc w:val="left"/>
      <w:pPr>
        <w:ind w:left="720" w:hanging="360"/>
      </w:pPr>
      <w:rPr>
        <w:rFonts w:ascii="Wingdings" w:hAnsi="Wingdings" w:hint="default"/>
      </w:rPr>
    </w:lvl>
    <w:lvl w:ilvl="1" w:tplc="8508ECF4">
      <w:numFmt w:val="bullet"/>
      <w:lvlText w:val="•"/>
      <w:lvlJc w:val="left"/>
      <w:pPr>
        <w:ind w:left="1800" w:hanging="720"/>
      </w:pPr>
      <w:rPr>
        <w:rFonts w:ascii="Arial" w:eastAsia="Calibri" w:hAnsi="Arial" w:cs="Arial"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09" w15:restartNumberingAfterBreak="0">
    <w:nsid w:val="572B53A0"/>
    <w:multiLevelType w:val="hybridMultilevel"/>
    <w:tmpl w:val="BF5CE816"/>
    <w:lvl w:ilvl="0" w:tplc="4DB80760">
      <w:start w:val="1"/>
      <w:numFmt w:val="bullet"/>
      <w:lvlText w:val="­"/>
      <w:lvlJc w:val="left"/>
      <w:pPr>
        <w:ind w:left="360" w:hanging="360"/>
      </w:pPr>
      <w:rPr>
        <w:rFonts w:ascii="Courier New" w:hAnsi="Courier New" w:cs="Times New Roman" w:hint="default"/>
        <w:color w:val="auto"/>
        <w:lang w:val="es-ES"/>
      </w:rPr>
    </w:lvl>
    <w:lvl w:ilvl="1" w:tplc="240A0003">
      <w:start w:val="1"/>
      <w:numFmt w:val="bullet"/>
      <w:lvlText w:val="o"/>
      <w:lvlJc w:val="left"/>
      <w:pPr>
        <w:ind w:left="1080" w:hanging="360"/>
      </w:pPr>
      <w:rPr>
        <w:rFonts w:ascii="Courier New" w:hAnsi="Courier New" w:cs="Courier New" w:hint="default"/>
      </w:rPr>
    </w:lvl>
    <w:lvl w:ilvl="2" w:tplc="240A0005">
      <w:start w:val="1"/>
      <w:numFmt w:val="bullet"/>
      <w:lvlText w:val=""/>
      <w:lvlJc w:val="left"/>
      <w:pPr>
        <w:ind w:left="1800" w:hanging="360"/>
      </w:pPr>
      <w:rPr>
        <w:rFonts w:ascii="Wingdings" w:hAnsi="Wingdings" w:hint="default"/>
      </w:rPr>
    </w:lvl>
    <w:lvl w:ilvl="3" w:tplc="19AEA178">
      <w:numFmt w:val="bullet"/>
      <w:lvlText w:val="•"/>
      <w:lvlJc w:val="left"/>
      <w:pPr>
        <w:ind w:left="2865" w:hanging="705"/>
      </w:pPr>
      <w:rPr>
        <w:rFonts w:ascii="Arial" w:eastAsia="Times New Roman" w:hAnsi="Arial" w:cs="Arial" w:hint="default"/>
      </w:rPr>
    </w:lvl>
    <w:lvl w:ilvl="4" w:tplc="240A0003">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10" w15:restartNumberingAfterBreak="0">
    <w:nsid w:val="57731A7E"/>
    <w:multiLevelType w:val="hybridMultilevel"/>
    <w:tmpl w:val="F7D2F288"/>
    <w:lvl w:ilvl="0" w:tplc="240A000D">
      <w:start w:val="1"/>
      <w:numFmt w:val="bullet"/>
      <w:lvlText w:val=""/>
      <w:lvlJc w:val="left"/>
      <w:pPr>
        <w:ind w:left="360" w:hanging="360"/>
      </w:pPr>
      <w:rPr>
        <w:rFonts w:ascii="Wingdings" w:hAnsi="Wingdings" w:hint="default"/>
      </w:rPr>
    </w:lvl>
    <w:lvl w:ilvl="1" w:tplc="1B4A25EA">
      <w:numFmt w:val="bullet"/>
      <w:lvlText w:val="•"/>
      <w:lvlJc w:val="left"/>
      <w:pPr>
        <w:ind w:left="1080" w:hanging="360"/>
      </w:pPr>
      <w:rPr>
        <w:rFonts w:ascii="Arial Narrow" w:eastAsia="Times New Roman" w:hAnsi="Arial Narrow" w:cs="Arial"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11" w15:restartNumberingAfterBreak="0">
    <w:nsid w:val="57842296"/>
    <w:multiLevelType w:val="hybridMultilevel"/>
    <w:tmpl w:val="33083EE4"/>
    <w:lvl w:ilvl="0" w:tplc="BB2AAC48">
      <w:start w:val="1"/>
      <w:numFmt w:val="bullet"/>
      <w:lvlText w:val=""/>
      <w:lvlJc w:val="left"/>
      <w:pPr>
        <w:ind w:left="360" w:hanging="360"/>
      </w:pPr>
      <w:rPr>
        <w:rFonts w:ascii="Symbol" w:hAnsi="Symbol" w:hint="default"/>
        <w:color w:val="auto"/>
        <w:lang w:val="es-ES"/>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12" w15:restartNumberingAfterBreak="0">
    <w:nsid w:val="57AA6164"/>
    <w:multiLevelType w:val="hybridMultilevel"/>
    <w:tmpl w:val="E7369A7A"/>
    <w:lvl w:ilvl="0" w:tplc="0409000B">
      <w:start w:val="1"/>
      <w:numFmt w:val="bullet"/>
      <w:lvlText w:val=""/>
      <w:lvlJc w:val="left"/>
      <w:pPr>
        <w:ind w:left="780" w:hanging="360"/>
      </w:pPr>
      <w:rPr>
        <w:rFonts w:ascii="Wingdings" w:hAnsi="Wingdings" w:hint="default"/>
      </w:rPr>
    </w:lvl>
    <w:lvl w:ilvl="1" w:tplc="580A0003" w:tentative="1">
      <w:start w:val="1"/>
      <w:numFmt w:val="bullet"/>
      <w:lvlText w:val="o"/>
      <w:lvlJc w:val="left"/>
      <w:pPr>
        <w:ind w:left="1500" w:hanging="360"/>
      </w:pPr>
      <w:rPr>
        <w:rFonts w:ascii="Courier New" w:hAnsi="Courier New" w:cs="Courier New" w:hint="default"/>
      </w:rPr>
    </w:lvl>
    <w:lvl w:ilvl="2" w:tplc="580A0005" w:tentative="1">
      <w:start w:val="1"/>
      <w:numFmt w:val="bullet"/>
      <w:lvlText w:val=""/>
      <w:lvlJc w:val="left"/>
      <w:pPr>
        <w:ind w:left="2220" w:hanging="360"/>
      </w:pPr>
      <w:rPr>
        <w:rFonts w:ascii="Wingdings" w:hAnsi="Wingdings" w:hint="default"/>
      </w:rPr>
    </w:lvl>
    <w:lvl w:ilvl="3" w:tplc="580A0001" w:tentative="1">
      <w:start w:val="1"/>
      <w:numFmt w:val="bullet"/>
      <w:lvlText w:val=""/>
      <w:lvlJc w:val="left"/>
      <w:pPr>
        <w:ind w:left="2940" w:hanging="360"/>
      </w:pPr>
      <w:rPr>
        <w:rFonts w:ascii="Symbol" w:hAnsi="Symbol" w:hint="default"/>
      </w:rPr>
    </w:lvl>
    <w:lvl w:ilvl="4" w:tplc="580A0003" w:tentative="1">
      <w:start w:val="1"/>
      <w:numFmt w:val="bullet"/>
      <w:lvlText w:val="o"/>
      <w:lvlJc w:val="left"/>
      <w:pPr>
        <w:ind w:left="3660" w:hanging="360"/>
      </w:pPr>
      <w:rPr>
        <w:rFonts w:ascii="Courier New" w:hAnsi="Courier New" w:cs="Courier New" w:hint="default"/>
      </w:rPr>
    </w:lvl>
    <w:lvl w:ilvl="5" w:tplc="580A0005" w:tentative="1">
      <w:start w:val="1"/>
      <w:numFmt w:val="bullet"/>
      <w:lvlText w:val=""/>
      <w:lvlJc w:val="left"/>
      <w:pPr>
        <w:ind w:left="4380" w:hanging="360"/>
      </w:pPr>
      <w:rPr>
        <w:rFonts w:ascii="Wingdings" w:hAnsi="Wingdings" w:hint="default"/>
      </w:rPr>
    </w:lvl>
    <w:lvl w:ilvl="6" w:tplc="580A0001" w:tentative="1">
      <w:start w:val="1"/>
      <w:numFmt w:val="bullet"/>
      <w:lvlText w:val=""/>
      <w:lvlJc w:val="left"/>
      <w:pPr>
        <w:ind w:left="5100" w:hanging="360"/>
      </w:pPr>
      <w:rPr>
        <w:rFonts w:ascii="Symbol" w:hAnsi="Symbol" w:hint="default"/>
      </w:rPr>
    </w:lvl>
    <w:lvl w:ilvl="7" w:tplc="580A0003" w:tentative="1">
      <w:start w:val="1"/>
      <w:numFmt w:val="bullet"/>
      <w:lvlText w:val="o"/>
      <w:lvlJc w:val="left"/>
      <w:pPr>
        <w:ind w:left="5820" w:hanging="360"/>
      </w:pPr>
      <w:rPr>
        <w:rFonts w:ascii="Courier New" w:hAnsi="Courier New" w:cs="Courier New" w:hint="default"/>
      </w:rPr>
    </w:lvl>
    <w:lvl w:ilvl="8" w:tplc="580A0005" w:tentative="1">
      <w:start w:val="1"/>
      <w:numFmt w:val="bullet"/>
      <w:lvlText w:val=""/>
      <w:lvlJc w:val="left"/>
      <w:pPr>
        <w:ind w:left="6540" w:hanging="360"/>
      </w:pPr>
      <w:rPr>
        <w:rFonts w:ascii="Wingdings" w:hAnsi="Wingdings" w:hint="default"/>
      </w:rPr>
    </w:lvl>
  </w:abstractNum>
  <w:abstractNum w:abstractNumId="313" w15:restartNumberingAfterBreak="0">
    <w:nsid w:val="57F356A9"/>
    <w:multiLevelType w:val="hybridMultilevel"/>
    <w:tmpl w:val="BF28198C"/>
    <w:lvl w:ilvl="0" w:tplc="0C0A0003">
      <w:start w:val="1"/>
      <w:numFmt w:val="bullet"/>
      <w:lvlText w:val="o"/>
      <w:lvlJc w:val="left"/>
      <w:pPr>
        <w:ind w:left="720" w:hanging="360"/>
      </w:pPr>
      <w:rPr>
        <w:rFonts w:ascii="Courier New" w:hAnsi="Courier New" w:cs="Courier New"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14" w15:restartNumberingAfterBreak="0">
    <w:nsid w:val="586022E5"/>
    <w:multiLevelType w:val="hybridMultilevel"/>
    <w:tmpl w:val="E27EB010"/>
    <w:lvl w:ilvl="0" w:tplc="240A0003">
      <w:start w:val="1"/>
      <w:numFmt w:val="bullet"/>
      <w:lvlText w:val="o"/>
      <w:lvlJc w:val="left"/>
      <w:pPr>
        <w:ind w:left="720" w:hanging="360"/>
      </w:pPr>
      <w:rPr>
        <w:rFonts w:ascii="Courier New" w:hAnsi="Courier New" w:cs="Courier New"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15" w15:restartNumberingAfterBreak="0">
    <w:nsid w:val="58AB5F7F"/>
    <w:multiLevelType w:val="hybridMultilevel"/>
    <w:tmpl w:val="ADF4F9CA"/>
    <w:lvl w:ilvl="0" w:tplc="4DB80760">
      <w:start w:val="1"/>
      <w:numFmt w:val="bullet"/>
      <w:lvlText w:val="­"/>
      <w:lvlJc w:val="left"/>
      <w:pPr>
        <w:ind w:left="360" w:hanging="360"/>
      </w:pPr>
      <w:rPr>
        <w:rFonts w:ascii="Courier New" w:hAnsi="Courier New" w:cs="Times New Roman" w:hint="default"/>
        <w:color w:val="auto"/>
      </w:rPr>
    </w:lvl>
    <w:lvl w:ilvl="1" w:tplc="240A0003">
      <w:start w:val="1"/>
      <w:numFmt w:val="bullet"/>
      <w:lvlText w:val="o"/>
      <w:lvlJc w:val="left"/>
      <w:pPr>
        <w:ind w:left="1080" w:hanging="360"/>
      </w:pPr>
      <w:rPr>
        <w:rFonts w:ascii="Courier New" w:hAnsi="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16" w15:restartNumberingAfterBreak="0">
    <w:nsid w:val="58BB39DC"/>
    <w:multiLevelType w:val="multilevel"/>
    <w:tmpl w:val="B1B061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7" w15:restartNumberingAfterBreak="0">
    <w:nsid w:val="58C13750"/>
    <w:multiLevelType w:val="hybridMultilevel"/>
    <w:tmpl w:val="5D784A5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18" w15:restartNumberingAfterBreak="0">
    <w:nsid w:val="58DD50A8"/>
    <w:multiLevelType w:val="hybridMultilevel"/>
    <w:tmpl w:val="0F22E3AA"/>
    <w:lvl w:ilvl="0" w:tplc="0409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19" w15:restartNumberingAfterBreak="0">
    <w:nsid w:val="59347168"/>
    <w:multiLevelType w:val="singleLevel"/>
    <w:tmpl w:val="E884D0B8"/>
    <w:lvl w:ilvl="0">
      <w:numFmt w:val="bullet"/>
      <w:lvlText w:val=""/>
      <w:lvlJc w:val="left"/>
      <w:pPr>
        <w:tabs>
          <w:tab w:val="num" w:pos="360"/>
        </w:tabs>
        <w:ind w:left="360" w:hanging="360"/>
      </w:pPr>
      <w:rPr>
        <w:rFonts w:ascii="Symbol" w:hAnsi="Symbol" w:hint="default"/>
      </w:rPr>
    </w:lvl>
  </w:abstractNum>
  <w:abstractNum w:abstractNumId="320" w15:restartNumberingAfterBreak="0">
    <w:nsid w:val="59DA473A"/>
    <w:multiLevelType w:val="hybridMultilevel"/>
    <w:tmpl w:val="FA760E06"/>
    <w:lvl w:ilvl="0" w:tplc="62280C32">
      <w:start w:val="1"/>
      <w:numFmt w:val="lowerLetter"/>
      <w:pStyle w:val="EstiloEpgrafeJustificado3"/>
      <w:lvlText w:val="%1)"/>
      <w:lvlJc w:val="left"/>
      <w:pPr>
        <w:tabs>
          <w:tab w:val="num" w:pos="723"/>
        </w:tabs>
        <w:ind w:left="723" w:hanging="360"/>
      </w:pPr>
      <w:rPr>
        <w:rFonts w:cs="Times New Roman"/>
      </w:rPr>
    </w:lvl>
    <w:lvl w:ilvl="1" w:tplc="0C0A0019" w:tentative="1">
      <w:start w:val="1"/>
      <w:numFmt w:val="lowerLetter"/>
      <w:lvlText w:val="%2."/>
      <w:lvlJc w:val="left"/>
      <w:pPr>
        <w:tabs>
          <w:tab w:val="num" w:pos="1443"/>
        </w:tabs>
        <w:ind w:left="1443" w:hanging="360"/>
      </w:pPr>
      <w:rPr>
        <w:rFonts w:cs="Times New Roman"/>
      </w:rPr>
    </w:lvl>
    <w:lvl w:ilvl="2" w:tplc="0C0A001B" w:tentative="1">
      <w:start w:val="1"/>
      <w:numFmt w:val="lowerRoman"/>
      <w:lvlText w:val="%3."/>
      <w:lvlJc w:val="right"/>
      <w:pPr>
        <w:tabs>
          <w:tab w:val="num" w:pos="2163"/>
        </w:tabs>
        <w:ind w:left="2163" w:hanging="180"/>
      </w:pPr>
      <w:rPr>
        <w:rFonts w:cs="Times New Roman"/>
      </w:rPr>
    </w:lvl>
    <w:lvl w:ilvl="3" w:tplc="0C0A000F" w:tentative="1">
      <w:start w:val="1"/>
      <w:numFmt w:val="decimal"/>
      <w:lvlText w:val="%4."/>
      <w:lvlJc w:val="left"/>
      <w:pPr>
        <w:tabs>
          <w:tab w:val="num" w:pos="2883"/>
        </w:tabs>
        <w:ind w:left="2883" w:hanging="360"/>
      </w:pPr>
      <w:rPr>
        <w:rFonts w:cs="Times New Roman"/>
      </w:rPr>
    </w:lvl>
    <w:lvl w:ilvl="4" w:tplc="0C0A0019" w:tentative="1">
      <w:start w:val="1"/>
      <w:numFmt w:val="lowerLetter"/>
      <w:lvlText w:val="%5."/>
      <w:lvlJc w:val="left"/>
      <w:pPr>
        <w:tabs>
          <w:tab w:val="num" w:pos="3603"/>
        </w:tabs>
        <w:ind w:left="3603" w:hanging="360"/>
      </w:pPr>
      <w:rPr>
        <w:rFonts w:cs="Times New Roman"/>
      </w:rPr>
    </w:lvl>
    <w:lvl w:ilvl="5" w:tplc="0C0A001B" w:tentative="1">
      <w:start w:val="1"/>
      <w:numFmt w:val="lowerRoman"/>
      <w:lvlText w:val="%6."/>
      <w:lvlJc w:val="right"/>
      <w:pPr>
        <w:tabs>
          <w:tab w:val="num" w:pos="4323"/>
        </w:tabs>
        <w:ind w:left="4323" w:hanging="180"/>
      </w:pPr>
      <w:rPr>
        <w:rFonts w:cs="Times New Roman"/>
      </w:rPr>
    </w:lvl>
    <w:lvl w:ilvl="6" w:tplc="0C0A000F" w:tentative="1">
      <w:start w:val="1"/>
      <w:numFmt w:val="decimal"/>
      <w:lvlText w:val="%7."/>
      <w:lvlJc w:val="left"/>
      <w:pPr>
        <w:tabs>
          <w:tab w:val="num" w:pos="5043"/>
        </w:tabs>
        <w:ind w:left="5043" w:hanging="360"/>
      </w:pPr>
      <w:rPr>
        <w:rFonts w:cs="Times New Roman"/>
      </w:rPr>
    </w:lvl>
    <w:lvl w:ilvl="7" w:tplc="0C0A0019" w:tentative="1">
      <w:start w:val="1"/>
      <w:numFmt w:val="lowerLetter"/>
      <w:lvlText w:val="%8."/>
      <w:lvlJc w:val="left"/>
      <w:pPr>
        <w:tabs>
          <w:tab w:val="num" w:pos="5763"/>
        </w:tabs>
        <w:ind w:left="5763" w:hanging="360"/>
      </w:pPr>
      <w:rPr>
        <w:rFonts w:cs="Times New Roman"/>
      </w:rPr>
    </w:lvl>
    <w:lvl w:ilvl="8" w:tplc="0C0A001B" w:tentative="1">
      <w:start w:val="1"/>
      <w:numFmt w:val="lowerRoman"/>
      <w:lvlText w:val="%9."/>
      <w:lvlJc w:val="right"/>
      <w:pPr>
        <w:tabs>
          <w:tab w:val="num" w:pos="6483"/>
        </w:tabs>
        <w:ind w:left="6483" w:hanging="180"/>
      </w:pPr>
      <w:rPr>
        <w:rFonts w:cs="Times New Roman"/>
      </w:rPr>
    </w:lvl>
  </w:abstractNum>
  <w:abstractNum w:abstractNumId="321" w15:restartNumberingAfterBreak="0">
    <w:nsid w:val="5A460080"/>
    <w:multiLevelType w:val="hybridMultilevel"/>
    <w:tmpl w:val="33F82D2C"/>
    <w:lvl w:ilvl="0" w:tplc="F4703420">
      <w:start w:val="1"/>
      <w:numFmt w:val="decimal"/>
      <w:lvlText w:val="%1."/>
      <w:lvlJc w:val="left"/>
      <w:pPr>
        <w:ind w:left="455" w:hanging="360"/>
      </w:pPr>
      <w:rPr>
        <w:rFonts w:hint="default"/>
      </w:rPr>
    </w:lvl>
    <w:lvl w:ilvl="1" w:tplc="240A0019" w:tentative="1">
      <w:start w:val="1"/>
      <w:numFmt w:val="lowerLetter"/>
      <w:lvlText w:val="%2."/>
      <w:lvlJc w:val="left"/>
      <w:pPr>
        <w:ind w:left="1175" w:hanging="360"/>
      </w:pPr>
    </w:lvl>
    <w:lvl w:ilvl="2" w:tplc="240A001B" w:tentative="1">
      <w:start w:val="1"/>
      <w:numFmt w:val="lowerRoman"/>
      <w:lvlText w:val="%3."/>
      <w:lvlJc w:val="right"/>
      <w:pPr>
        <w:ind w:left="1895" w:hanging="180"/>
      </w:pPr>
    </w:lvl>
    <w:lvl w:ilvl="3" w:tplc="240A000F" w:tentative="1">
      <w:start w:val="1"/>
      <w:numFmt w:val="decimal"/>
      <w:lvlText w:val="%4."/>
      <w:lvlJc w:val="left"/>
      <w:pPr>
        <w:ind w:left="2615" w:hanging="360"/>
      </w:pPr>
    </w:lvl>
    <w:lvl w:ilvl="4" w:tplc="240A0019" w:tentative="1">
      <w:start w:val="1"/>
      <w:numFmt w:val="lowerLetter"/>
      <w:lvlText w:val="%5."/>
      <w:lvlJc w:val="left"/>
      <w:pPr>
        <w:ind w:left="3335" w:hanging="360"/>
      </w:pPr>
    </w:lvl>
    <w:lvl w:ilvl="5" w:tplc="240A001B" w:tentative="1">
      <w:start w:val="1"/>
      <w:numFmt w:val="lowerRoman"/>
      <w:lvlText w:val="%6."/>
      <w:lvlJc w:val="right"/>
      <w:pPr>
        <w:ind w:left="4055" w:hanging="180"/>
      </w:pPr>
    </w:lvl>
    <w:lvl w:ilvl="6" w:tplc="240A000F" w:tentative="1">
      <w:start w:val="1"/>
      <w:numFmt w:val="decimal"/>
      <w:lvlText w:val="%7."/>
      <w:lvlJc w:val="left"/>
      <w:pPr>
        <w:ind w:left="4775" w:hanging="360"/>
      </w:pPr>
    </w:lvl>
    <w:lvl w:ilvl="7" w:tplc="240A0019" w:tentative="1">
      <w:start w:val="1"/>
      <w:numFmt w:val="lowerLetter"/>
      <w:lvlText w:val="%8."/>
      <w:lvlJc w:val="left"/>
      <w:pPr>
        <w:ind w:left="5495" w:hanging="360"/>
      </w:pPr>
    </w:lvl>
    <w:lvl w:ilvl="8" w:tplc="240A001B" w:tentative="1">
      <w:start w:val="1"/>
      <w:numFmt w:val="lowerRoman"/>
      <w:lvlText w:val="%9."/>
      <w:lvlJc w:val="right"/>
      <w:pPr>
        <w:ind w:left="6215" w:hanging="180"/>
      </w:pPr>
    </w:lvl>
  </w:abstractNum>
  <w:abstractNum w:abstractNumId="322" w15:restartNumberingAfterBreak="0">
    <w:nsid w:val="5A791E06"/>
    <w:multiLevelType w:val="hybridMultilevel"/>
    <w:tmpl w:val="126E75EC"/>
    <w:lvl w:ilvl="0" w:tplc="59D00124">
      <w:start w:val="727"/>
      <w:numFmt w:val="bullet"/>
      <w:lvlText w:val="-"/>
      <w:lvlJc w:val="left"/>
      <w:pPr>
        <w:ind w:left="720" w:hanging="360"/>
      </w:pPr>
      <w:rPr>
        <w:rFonts w:ascii="Calibri" w:eastAsiaTheme="minorHAnsi" w:hAnsi="Calibri" w:cstheme="minorBid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23" w15:restartNumberingAfterBreak="0">
    <w:nsid w:val="5A9C6C8F"/>
    <w:multiLevelType w:val="multilevel"/>
    <w:tmpl w:val="F42E0AA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4" w15:restartNumberingAfterBreak="0">
    <w:nsid w:val="5ABB7323"/>
    <w:multiLevelType w:val="hybridMultilevel"/>
    <w:tmpl w:val="9300FC0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25" w15:restartNumberingAfterBreak="0">
    <w:nsid w:val="5AFB0A05"/>
    <w:multiLevelType w:val="hybridMultilevel"/>
    <w:tmpl w:val="F2C2A90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26" w15:restartNumberingAfterBreak="0">
    <w:nsid w:val="5B17425D"/>
    <w:multiLevelType w:val="hybridMultilevel"/>
    <w:tmpl w:val="4F88877A"/>
    <w:lvl w:ilvl="0" w:tplc="4DB80760">
      <w:start w:val="1"/>
      <w:numFmt w:val="bullet"/>
      <w:lvlText w:val="­"/>
      <w:lvlJc w:val="left"/>
      <w:pPr>
        <w:ind w:left="720" w:hanging="360"/>
      </w:pPr>
      <w:rPr>
        <w:rFonts w:ascii="Courier New" w:hAnsi="Courier New" w:cs="Times New Roman" w:hint="default"/>
        <w:color w:val="auto"/>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27" w15:restartNumberingAfterBreak="0">
    <w:nsid w:val="5B256C3D"/>
    <w:multiLevelType w:val="hybridMultilevel"/>
    <w:tmpl w:val="CA747CFC"/>
    <w:lvl w:ilvl="0" w:tplc="040A000F">
      <w:start w:val="1"/>
      <w:numFmt w:val="decimal"/>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328" w15:restartNumberingAfterBreak="0">
    <w:nsid w:val="5B6165D4"/>
    <w:multiLevelType w:val="hybridMultilevel"/>
    <w:tmpl w:val="8AA6ABD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29" w15:restartNumberingAfterBreak="0">
    <w:nsid w:val="5B703417"/>
    <w:multiLevelType w:val="hybridMultilevel"/>
    <w:tmpl w:val="103C38C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30" w15:restartNumberingAfterBreak="0">
    <w:nsid w:val="5BAD3BEA"/>
    <w:multiLevelType w:val="hybridMultilevel"/>
    <w:tmpl w:val="7A045F38"/>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1" w15:restartNumberingAfterBreak="0">
    <w:nsid w:val="5BC67189"/>
    <w:multiLevelType w:val="multilevel"/>
    <w:tmpl w:val="C8AE5742"/>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2" w15:restartNumberingAfterBreak="0">
    <w:nsid w:val="5C32441B"/>
    <w:multiLevelType w:val="hybridMultilevel"/>
    <w:tmpl w:val="24E02554"/>
    <w:lvl w:ilvl="0" w:tplc="080A0001">
      <w:start w:val="1"/>
      <w:numFmt w:val="bullet"/>
      <w:lvlText w:val=""/>
      <w:lvlJc w:val="left"/>
      <w:pPr>
        <w:ind w:left="1800" w:hanging="360"/>
      </w:pPr>
      <w:rPr>
        <w:rFonts w:ascii="Symbol" w:hAnsi="Symbol" w:hint="default"/>
      </w:rPr>
    </w:lvl>
    <w:lvl w:ilvl="1" w:tplc="080A0003" w:tentative="1">
      <w:start w:val="1"/>
      <w:numFmt w:val="bullet"/>
      <w:lvlText w:val="o"/>
      <w:lvlJc w:val="left"/>
      <w:pPr>
        <w:ind w:left="2520" w:hanging="360"/>
      </w:pPr>
      <w:rPr>
        <w:rFonts w:ascii="Courier New" w:hAnsi="Courier New" w:cs="Courier New" w:hint="default"/>
      </w:rPr>
    </w:lvl>
    <w:lvl w:ilvl="2" w:tplc="080A0005" w:tentative="1">
      <w:start w:val="1"/>
      <w:numFmt w:val="bullet"/>
      <w:lvlText w:val=""/>
      <w:lvlJc w:val="left"/>
      <w:pPr>
        <w:ind w:left="3240" w:hanging="360"/>
      </w:pPr>
      <w:rPr>
        <w:rFonts w:ascii="Wingdings" w:hAnsi="Wingdings" w:hint="default"/>
      </w:rPr>
    </w:lvl>
    <w:lvl w:ilvl="3" w:tplc="080A0001" w:tentative="1">
      <w:start w:val="1"/>
      <w:numFmt w:val="bullet"/>
      <w:lvlText w:val=""/>
      <w:lvlJc w:val="left"/>
      <w:pPr>
        <w:ind w:left="3960" w:hanging="360"/>
      </w:pPr>
      <w:rPr>
        <w:rFonts w:ascii="Symbol" w:hAnsi="Symbol" w:hint="default"/>
      </w:rPr>
    </w:lvl>
    <w:lvl w:ilvl="4" w:tplc="080A0003" w:tentative="1">
      <w:start w:val="1"/>
      <w:numFmt w:val="bullet"/>
      <w:lvlText w:val="o"/>
      <w:lvlJc w:val="left"/>
      <w:pPr>
        <w:ind w:left="4680" w:hanging="360"/>
      </w:pPr>
      <w:rPr>
        <w:rFonts w:ascii="Courier New" w:hAnsi="Courier New" w:cs="Courier New" w:hint="default"/>
      </w:rPr>
    </w:lvl>
    <w:lvl w:ilvl="5" w:tplc="080A0005" w:tentative="1">
      <w:start w:val="1"/>
      <w:numFmt w:val="bullet"/>
      <w:lvlText w:val=""/>
      <w:lvlJc w:val="left"/>
      <w:pPr>
        <w:ind w:left="5400" w:hanging="360"/>
      </w:pPr>
      <w:rPr>
        <w:rFonts w:ascii="Wingdings" w:hAnsi="Wingdings" w:hint="default"/>
      </w:rPr>
    </w:lvl>
    <w:lvl w:ilvl="6" w:tplc="080A0001" w:tentative="1">
      <w:start w:val="1"/>
      <w:numFmt w:val="bullet"/>
      <w:lvlText w:val=""/>
      <w:lvlJc w:val="left"/>
      <w:pPr>
        <w:ind w:left="6120" w:hanging="360"/>
      </w:pPr>
      <w:rPr>
        <w:rFonts w:ascii="Symbol" w:hAnsi="Symbol" w:hint="default"/>
      </w:rPr>
    </w:lvl>
    <w:lvl w:ilvl="7" w:tplc="080A0003" w:tentative="1">
      <w:start w:val="1"/>
      <w:numFmt w:val="bullet"/>
      <w:lvlText w:val="o"/>
      <w:lvlJc w:val="left"/>
      <w:pPr>
        <w:ind w:left="6840" w:hanging="360"/>
      </w:pPr>
      <w:rPr>
        <w:rFonts w:ascii="Courier New" w:hAnsi="Courier New" w:cs="Courier New" w:hint="default"/>
      </w:rPr>
    </w:lvl>
    <w:lvl w:ilvl="8" w:tplc="080A0005" w:tentative="1">
      <w:start w:val="1"/>
      <w:numFmt w:val="bullet"/>
      <w:lvlText w:val=""/>
      <w:lvlJc w:val="left"/>
      <w:pPr>
        <w:ind w:left="7560" w:hanging="360"/>
      </w:pPr>
      <w:rPr>
        <w:rFonts w:ascii="Wingdings" w:hAnsi="Wingdings" w:hint="default"/>
      </w:rPr>
    </w:lvl>
  </w:abstractNum>
  <w:abstractNum w:abstractNumId="333" w15:restartNumberingAfterBreak="0">
    <w:nsid w:val="5C3E0928"/>
    <w:multiLevelType w:val="hybridMultilevel"/>
    <w:tmpl w:val="F4DA059E"/>
    <w:lvl w:ilvl="0" w:tplc="4DB80760">
      <w:start w:val="1"/>
      <w:numFmt w:val="bullet"/>
      <w:lvlText w:val="­"/>
      <w:lvlJc w:val="left"/>
      <w:pPr>
        <w:ind w:left="360" w:hanging="360"/>
      </w:pPr>
      <w:rPr>
        <w:rFonts w:ascii="Courier New" w:hAnsi="Courier New" w:cs="Times New Roman" w:hint="default"/>
        <w:color w:val="auto"/>
        <w:lang w:val="es-CO"/>
      </w:rPr>
    </w:lvl>
    <w:lvl w:ilvl="1" w:tplc="240A0003">
      <w:start w:val="1"/>
      <w:numFmt w:val="bullet"/>
      <w:lvlText w:val="o"/>
      <w:lvlJc w:val="left"/>
      <w:pPr>
        <w:ind w:left="1080" w:hanging="360"/>
      </w:pPr>
      <w:rPr>
        <w:rFonts w:ascii="Courier New" w:hAnsi="Courier New" w:cs="Courier New" w:hint="default"/>
      </w:rPr>
    </w:lvl>
    <w:lvl w:ilvl="2" w:tplc="240A0005">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34" w15:restartNumberingAfterBreak="0">
    <w:nsid w:val="5C6B3AA1"/>
    <w:multiLevelType w:val="hybridMultilevel"/>
    <w:tmpl w:val="F40E64A4"/>
    <w:lvl w:ilvl="0" w:tplc="240A0015">
      <w:start w:val="1"/>
      <w:numFmt w:val="upp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35" w15:restartNumberingAfterBreak="0">
    <w:nsid w:val="5C905D63"/>
    <w:multiLevelType w:val="hybridMultilevel"/>
    <w:tmpl w:val="C78E126A"/>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36" w15:restartNumberingAfterBreak="0">
    <w:nsid w:val="5CBE3708"/>
    <w:multiLevelType w:val="hybridMultilevel"/>
    <w:tmpl w:val="BB9CCF1E"/>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37" w15:restartNumberingAfterBreak="0">
    <w:nsid w:val="5CDF1029"/>
    <w:multiLevelType w:val="hybridMultilevel"/>
    <w:tmpl w:val="28BE6EC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38" w15:restartNumberingAfterBreak="0">
    <w:nsid w:val="5D344DC7"/>
    <w:multiLevelType w:val="multilevel"/>
    <w:tmpl w:val="2402BE72"/>
    <w:lvl w:ilvl="0">
      <w:start w:val="1"/>
      <w:numFmt w:val="decimal"/>
      <w:lvlText w:val="%1."/>
      <w:lvlJc w:val="left"/>
      <w:pPr>
        <w:ind w:left="1000" w:hanging="1000"/>
      </w:pPr>
      <w:rPr>
        <w:rFonts w:hint="default"/>
      </w:rPr>
    </w:lvl>
    <w:lvl w:ilvl="1">
      <w:start w:val="1"/>
      <w:numFmt w:val="decimal"/>
      <w:lvlText w:val="%1.%2."/>
      <w:lvlJc w:val="left"/>
      <w:pPr>
        <w:ind w:left="1000" w:hanging="1000"/>
      </w:pPr>
      <w:rPr>
        <w:rFonts w:hint="default"/>
      </w:rPr>
    </w:lvl>
    <w:lvl w:ilvl="2">
      <w:start w:val="1"/>
      <w:numFmt w:val="decimal"/>
      <w:lvlText w:val="%1.%2.%3."/>
      <w:lvlJc w:val="left"/>
      <w:pPr>
        <w:ind w:left="1000" w:hanging="100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39" w15:restartNumberingAfterBreak="0">
    <w:nsid w:val="5D7C1A70"/>
    <w:multiLevelType w:val="hybridMultilevel"/>
    <w:tmpl w:val="83C0C67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40" w15:restartNumberingAfterBreak="0">
    <w:nsid w:val="5D8F1151"/>
    <w:multiLevelType w:val="hybridMultilevel"/>
    <w:tmpl w:val="FFFC1228"/>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41" w15:restartNumberingAfterBreak="0">
    <w:nsid w:val="5D9D1EAA"/>
    <w:multiLevelType w:val="hybridMultilevel"/>
    <w:tmpl w:val="1F3EE11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42" w15:restartNumberingAfterBreak="0">
    <w:nsid w:val="5E484B43"/>
    <w:multiLevelType w:val="hybridMultilevel"/>
    <w:tmpl w:val="2BC22714"/>
    <w:lvl w:ilvl="0" w:tplc="4DB80760">
      <w:start w:val="1"/>
      <w:numFmt w:val="bullet"/>
      <w:lvlText w:val="­"/>
      <w:lvlJc w:val="left"/>
      <w:pPr>
        <w:ind w:left="720" w:hanging="360"/>
      </w:pPr>
      <w:rPr>
        <w:rFonts w:ascii="Courier New" w:hAnsi="Courier New" w:cs="Times New Roman"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43" w15:restartNumberingAfterBreak="0">
    <w:nsid w:val="5E7B4FF5"/>
    <w:multiLevelType w:val="hybridMultilevel"/>
    <w:tmpl w:val="BE30E690"/>
    <w:lvl w:ilvl="0" w:tplc="BECAF93A">
      <w:start w:val="100"/>
      <w:numFmt w:val="decimal"/>
      <w:lvlText w:val="%1"/>
      <w:lvlJc w:val="left"/>
      <w:pPr>
        <w:ind w:left="2220" w:hanging="360"/>
      </w:pPr>
      <w:rPr>
        <w:rFonts w:hint="default"/>
      </w:rPr>
    </w:lvl>
    <w:lvl w:ilvl="1" w:tplc="240A0019" w:tentative="1">
      <w:start w:val="1"/>
      <w:numFmt w:val="lowerLetter"/>
      <w:lvlText w:val="%2."/>
      <w:lvlJc w:val="left"/>
      <w:pPr>
        <w:ind w:left="2940" w:hanging="360"/>
      </w:pPr>
    </w:lvl>
    <w:lvl w:ilvl="2" w:tplc="240A001B" w:tentative="1">
      <w:start w:val="1"/>
      <w:numFmt w:val="lowerRoman"/>
      <w:lvlText w:val="%3."/>
      <w:lvlJc w:val="right"/>
      <w:pPr>
        <w:ind w:left="3660" w:hanging="180"/>
      </w:pPr>
    </w:lvl>
    <w:lvl w:ilvl="3" w:tplc="240A000F" w:tentative="1">
      <w:start w:val="1"/>
      <w:numFmt w:val="decimal"/>
      <w:lvlText w:val="%4."/>
      <w:lvlJc w:val="left"/>
      <w:pPr>
        <w:ind w:left="4380" w:hanging="360"/>
      </w:pPr>
    </w:lvl>
    <w:lvl w:ilvl="4" w:tplc="240A0019" w:tentative="1">
      <w:start w:val="1"/>
      <w:numFmt w:val="lowerLetter"/>
      <w:lvlText w:val="%5."/>
      <w:lvlJc w:val="left"/>
      <w:pPr>
        <w:ind w:left="5100" w:hanging="360"/>
      </w:pPr>
    </w:lvl>
    <w:lvl w:ilvl="5" w:tplc="240A001B" w:tentative="1">
      <w:start w:val="1"/>
      <w:numFmt w:val="lowerRoman"/>
      <w:lvlText w:val="%6."/>
      <w:lvlJc w:val="right"/>
      <w:pPr>
        <w:ind w:left="5820" w:hanging="180"/>
      </w:pPr>
    </w:lvl>
    <w:lvl w:ilvl="6" w:tplc="240A000F" w:tentative="1">
      <w:start w:val="1"/>
      <w:numFmt w:val="decimal"/>
      <w:lvlText w:val="%7."/>
      <w:lvlJc w:val="left"/>
      <w:pPr>
        <w:ind w:left="6540" w:hanging="360"/>
      </w:pPr>
    </w:lvl>
    <w:lvl w:ilvl="7" w:tplc="240A0019" w:tentative="1">
      <w:start w:val="1"/>
      <w:numFmt w:val="lowerLetter"/>
      <w:lvlText w:val="%8."/>
      <w:lvlJc w:val="left"/>
      <w:pPr>
        <w:ind w:left="7260" w:hanging="360"/>
      </w:pPr>
    </w:lvl>
    <w:lvl w:ilvl="8" w:tplc="240A001B" w:tentative="1">
      <w:start w:val="1"/>
      <w:numFmt w:val="lowerRoman"/>
      <w:lvlText w:val="%9."/>
      <w:lvlJc w:val="right"/>
      <w:pPr>
        <w:ind w:left="7980" w:hanging="180"/>
      </w:pPr>
    </w:lvl>
  </w:abstractNum>
  <w:abstractNum w:abstractNumId="344" w15:restartNumberingAfterBreak="0">
    <w:nsid w:val="5F5C0C80"/>
    <w:multiLevelType w:val="multilevel"/>
    <w:tmpl w:val="96B41356"/>
    <w:lvl w:ilvl="0">
      <w:start w:val="3"/>
      <w:numFmt w:val="decimal"/>
      <w:lvlText w:val="%1."/>
      <w:lvlJc w:val="left"/>
      <w:pPr>
        <w:ind w:left="360" w:hanging="360"/>
      </w:pPr>
      <w:rPr>
        <w:rFonts w:asciiTheme="minorHAnsi" w:eastAsiaTheme="minorHAnsi" w:hAnsiTheme="minorHAnsi" w:hint="default"/>
        <w:b w:val="0"/>
        <w:sz w:val="22"/>
        <w:u w:val="none"/>
      </w:rPr>
    </w:lvl>
    <w:lvl w:ilvl="1">
      <w:start w:val="2"/>
      <w:numFmt w:val="decimal"/>
      <w:lvlText w:val="%1.%2."/>
      <w:lvlJc w:val="left"/>
      <w:pPr>
        <w:ind w:left="720" w:hanging="720"/>
      </w:pPr>
      <w:rPr>
        <w:rFonts w:asciiTheme="minorHAnsi" w:eastAsiaTheme="minorHAnsi" w:hAnsiTheme="minorHAnsi" w:hint="default"/>
        <w:b w:val="0"/>
        <w:sz w:val="22"/>
        <w:u w:val="none"/>
      </w:rPr>
    </w:lvl>
    <w:lvl w:ilvl="2">
      <w:start w:val="1"/>
      <w:numFmt w:val="decimal"/>
      <w:lvlText w:val="%1.%2.%3."/>
      <w:lvlJc w:val="left"/>
      <w:pPr>
        <w:ind w:left="720" w:hanging="720"/>
      </w:pPr>
      <w:rPr>
        <w:rFonts w:asciiTheme="minorHAnsi" w:eastAsiaTheme="minorHAnsi" w:hAnsiTheme="minorHAnsi" w:hint="default"/>
        <w:b w:val="0"/>
        <w:sz w:val="22"/>
        <w:u w:val="none"/>
      </w:rPr>
    </w:lvl>
    <w:lvl w:ilvl="3">
      <w:start w:val="1"/>
      <w:numFmt w:val="decimal"/>
      <w:lvlText w:val="%1.%2.%3.%4."/>
      <w:lvlJc w:val="left"/>
      <w:pPr>
        <w:ind w:left="1080" w:hanging="1080"/>
      </w:pPr>
      <w:rPr>
        <w:rFonts w:asciiTheme="minorHAnsi" w:eastAsiaTheme="minorHAnsi" w:hAnsiTheme="minorHAnsi" w:hint="default"/>
        <w:b w:val="0"/>
        <w:sz w:val="22"/>
        <w:u w:val="none"/>
      </w:rPr>
    </w:lvl>
    <w:lvl w:ilvl="4">
      <w:start w:val="1"/>
      <w:numFmt w:val="decimal"/>
      <w:lvlText w:val="%1.%2.%3.%4.%5."/>
      <w:lvlJc w:val="left"/>
      <w:pPr>
        <w:ind w:left="1080" w:hanging="1080"/>
      </w:pPr>
      <w:rPr>
        <w:rFonts w:asciiTheme="minorHAnsi" w:eastAsiaTheme="minorHAnsi" w:hAnsiTheme="minorHAnsi" w:hint="default"/>
        <w:b w:val="0"/>
        <w:sz w:val="22"/>
        <w:u w:val="none"/>
      </w:rPr>
    </w:lvl>
    <w:lvl w:ilvl="5">
      <w:start w:val="1"/>
      <w:numFmt w:val="decimal"/>
      <w:lvlText w:val="%1.%2.%3.%4.%5.%6."/>
      <w:lvlJc w:val="left"/>
      <w:pPr>
        <w:ind w:left="1440" w:hanging="1440"/>
      </w:pPr>
      <w:rPr>
        <w:rFonts w:asciiTheme="minorHAnsi" w:eastAsiaTheme="minorHAnsi" w:hAnsiTheme="minorHAnsi" w:hint="default"/>
        <w:b w:val="0"/>
        <w:sz w:val="22"/>
        <w:u w:val="none"/>
      </w:rPr>
    </w:lvl>
    <w:lvl w:ilvl="6">
      <w:start w:val="1"/>
      <w:numFmt w:val="decimal"/>
      <w:lvlText w:val="%1.%2.%3.%4.%5.%6.%7."/>
      <w:lvlJc w:val="left"/>
      <w:pPr>
        <w:ind w:left="1440" w:hanging="1440"/>
      </w:pPr>
      <w:rPr>
        <w:rFonts w:asciiTheme="minorHAnsi" w:eastAsiaTheme="minorHAnsi" w:hAnsiTheme="minorHAnsi" w:hint="default"/>
        <w:b w:val="0"/>
        <w:sz w:val="22"/>
        <w:u w:val="none"/>
      </w:rPr>
    </w:lvl>
    <w:lvl w:ilvl="7">
      <w:start w:val="1"/>
      <w:numFmt w:val="decimal"/>
      <w:lvlText w:val="%1.%2.%3.%4.%5.%6.%7.%8."/>
      <w:lvlJc w:val="left"/>
      <w:pPr>
        <w:ind w:left="1800" w:hanging="1800"/>
      </w:pPr>
      <w:rPr>
        <w:rFonts w:asciiTheme="minorHAnsi" w:eastAsiaTheme="minorHAnsi" w:hAnsiTheme="minorHAnsi" w:hint="default"/>
        <w:b w:val="0"/>
        <w:sz w:val="22"/>
        <w:u w:val="none"/>
      </w:rPr>
    </w:lvl>
    <w:lvl w:ilvl="8">
      <w:start w:val="1"/>
      <w:numFmt w:val="decimal"/>
      <w:lvlText w:val="%1.%2.%3.%4.%5.%6.%7.%8.%9."/>
      <w:lvlJc w:val="left"/>
      <w:pPr>
        <w:ind w:left="2160" w:hanging="2160"/>
      </w:pPr>
      <w:rPr>
        <w:rFonts w:asciiTheme="minorHAnsi" w:eastAsiaTheme="minorHAnsi" w:hAnsiTheme="minorHAnsi" w:hint="default"/>
        <w:b w:val="0"/>
        <w:sz w:val="22"/>
        <w:u w:val="none"/>
      </w:rPr>
    </w:lvl>
  </w:abstractNum>
  <w:abstractNum w:abstractNumId="345" w15:restartNumberingAfterBreak="0">
    <w:nsid w:val="5F6D1E3E"/>
    <w:multiLevelType w:val="hybridMultilevel"/>
    <w:tmpl w:val="D80CF908"/>
    <w:lvl w:ilvl="0" w:tplc="3B26A1EA">
      <w:start w:val="1"/>
      <w:numFmt w:val="bullet"/>
      <w:lvlText w:val="-"/>
      <w:lvlJc w:val="left"/>
      <w:pPr>
        <w:ind w:left="360" w:hanging="360"/>
      </w:pPr>
      <w:rPr>
        <w:rFonts w:ascii="SimSun" w:eastAsia="SimSun" w:hAnsi="SimSun" w:hint="eastAsia"/>
      </w:rPr>
    </w:lvl>
    <w:lvl w:ilvl="1" w:tplc="240A0001">
      <w:start w:val="1"/>
      <w:numFmt w:val="bullet"/>
      <w:lvlText w:val=""/>
      <w:lvlJc w:val="left"/>
      <w:pPr>
        <w:ind w:left="1080" w:hanging="360"/>
      </w:pPr>
      <w:rPr>
        <w:rFonts w:ascii="Symbol" w:hAnsi="Symbol" w:hint="default"/>
      </w:rPr>
    </w:lvl>
    <w:lvl w:ilvl="2" w:tplc="240A0005">
      <w:start w:val="1"/>
      <w:numFmt w:val="bullet"/>
      <w:lvlText w:val=""/>
      <w:lvlJc w:val="left"/>
      <w:pPr>
        <w:ind w:left="1800" w:hanging="360"/>
      </w:pPr>
      <w:rPr>
        <w:rFonts w:ascii="Wingdings" w:hAnsi="Wingdings" w:hint="default"/>
      </w:rPr>
    </w:lvl>
    <w:lvl w:ilvl="3" w:tplc="240A0001">
      <w:start w:val="1"/>
      <w:numFmt w:val="bullet"/>
      <w:lvlText w:val=""/>
      <w:lvlJc w:val="left"/>
      <w:pPr>
        <w:ind w:left="2520" w:hanging="360"/>
      </w:pPr>
      <w:rPr>
        <w:rFonts w:ascii="Symbol" w:hAnsi="Symbol" w:hint="default"/>
      </w:rPr>
    </w:lvl>
    <w:lvl w:ilvl="4" w:tplc="240A0003">
      <w:start w:val="1"/>
      <w:numFmt w:val="bullet"/>
      <w:lvlText w:val="o"/>
      <w:lvlJc w:val="left"/>
      <w:pPr>
        <w:ind w:left="3240" w:hanging="360"/>
      </w:pPr>
      <w:rPr>
        <w:rFonts w:ascii="Courier New" w:hAnsi="Courier New" w:cs="Courier New" w:hint="default"/>
      </w:rPr>
    </w:lvl>
    <w:lvl w:ilvl="5" w:tplc="240A0005">
      <w:start w:val="1"/>
      <w:numFmt w:val="bullet"/>
      <w:lvlText w:val=""/>
      <w:lvlJc w:val="left"/>
      <w:pPr>
        <w:ind w:left="3960" w:hanging="360"/>
      </w:pPr>
      <w:rPr>
        <w:rFonts w:ascii="Wingdings" w:hAnsi="Wingdings" w:hint="default"/>
      </w:rPr>
    </w:lvl>
    <w:lvl w:ilvl="6" w:tplc="240A0001">
      <w:start w:val="1"/>
      <w:numFmt w:val="bullet"/>
      <w:lvlText w:val=""/>
      <w:lvlJc w:val="left"/>
      <w:pPr>
        <w:ind w:left="4680" w:hanging="360"/>
      </w:pPr>
      <w:rPr>
        <w:rFonts w:ascii="Symbol" w:hAnsi="Symbol" w:hint="default"/>
      </w:rPr>
    </w:lvl>
    <w:lvl w:ilvl="7" w:tplc="240A0003">
      <w:start w:val="1"/>
      <w:numFmt w:val="bullet"/>
      <w:lvlText w:val="o"/>
      <w:lvlJc w:val="left"/>
      <w:pPr>
        <w:ind w:left="5400" w:hanging="360"/>
      </w:pPr>
      <w:rPr>
        <w:rFonts w:ascii="Courier New" w:hAnsi="Courier New" w:cs="Courier New" w:hint="default"/>
      </w:rPr>
    </w:lvl>
    <w:lvl w:ilvl="8" w:tplc="240A0005">
      <w:start w:val="1"/>
      <w:numFmt w:val="bullet"/>
      <w:lvlText w:val=""/>
      <w:lvlJc w:val="left"/>
      <w:pPr>
        <w:ind w:left="6120" w:hanging="360"/>
      </w:pPr>
      <w:rPr>
        <w:rFonts w:ascii="Wingdings" w:hAnsi="Wingdings" w:hint="default"/>
      </w:rPr>
    </w:lvl>
  </w:abstractNum>
  <w:abstractNum w:abstractNumId="346" w15:restartNumberingAfterBreak="0">
    <w:nsid w:val="5FC562CD"/>
    <w:multiLevelType w:val="hybridMultilevel"/>
    <w:tmpl w:val="30942772"/>
    <w:lvl w:ilvl="0" w:tplc="DC7877A6">
      <w:start w:val="1"/>
      <w:numFmt w:val="bullet"/>
      <w:lvlText w:val=""/>
      <w:lvlJc w:val="left"/>
      <w:pPr>
        <w:ind w:left="720" w:hanging="360"/>
      </w:pPr>
      <w:rPr>
        <w:rFonts w:ascii="Symbol" w:hAnsi="Symbol" w:hint="default"/>
        <w:color w:val="auto"/>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47" w15:restartNumberingAfterBreak="0">
    <w:nsid w:val="6087656B"/>
    <w:multiLevelType w:val="hybridMultilevel"/>
    <w:tmpl w:val="22FC6CEC"/>
    <w:lvl w:ilvl="0" w:tplc="240A0001">
      <w:start w:val="1"/>
      <w:numFmt w:val="bullet"/>
      <w:lvlText w:val=""/>
      <w:lvlJc w:val="left"/>
      <w:pPr>
        <w:ind w:left="720" w:hanging="360"/>
      </w:pPr>
      <w:rPr>
        <w:rFonts w:ascii="Symbol" w:hAnsi="Symbol" w:hint="default"/>
      </w:rPr>
    </w:lvl>
    <w:lvl w:ilvl="1" w:tplc="4DB80760">
      <w:start w:val="1"/>
      <w:numFmt w:val="bullet"/>
      <w:lvlText w:val="­"/>
      <w:lvlJc w:val="left"/>
      <w:pPr>
        <w:ind w:left="1440" w:hanging="360"/>
      </w:pPr>
      <w:rPr>
        <w:rFonts w:ascii="Courier New" w:hAnsi="Courier New" w:cs="Times New Roman" w:hint="default"/>
        <w:color w:val="auto"/>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48" w15:restartNumberingAfterBreak="0">
    <w:nsid w:val="611A64E2"/>
    <w:multiLevelType w:val="hybridMultilevel"/>
    <w:tmpl w:val="E8D00A6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49" w15:restartNumberingAfterBreak="0">
    <w:nsid w:val="61390B41"/>
    <w:multiLevelType w:val="hybridMultilevel"/>
    <w:tmpl w:val="DF160314"/>
    <w:lvl w:ilvl="0" w:tplc="0C0A0001">
      <w:start w:val="1"/>
      <w:numFmt w:val="bullet"/>
      <w:lvlText w:val=""/>
      <w:lvlJc w:val="left"/>
      <w:pPr>
        <w:ind w:left="720" w:hanging="360"/>
      </w:pPr>
      <w:rPr>
        <w:rFonts w:ascii="Symbol" w:hAnsi="Symbol" w:hint="default"/>
      </w:rPr>
    </w:lvl>
    <w:lvl w:ilvl="1" w:tplc="4DB80760">
      <w:start w:val="1"/>
      <w:numFmt w:val="bullet"/>
      <w:lvlText w:val="­"/>
      <w:lvlJc w:val="left"/>
      <w:pPr>
        <w:ind w:left="1440" w:hanging="360"/>
      </w:pPr>
      <w:rPr>
        <w:rFonts w:ascii="Courier New" w:hAnsi="Courier New" w:cs="Times New Roman" w:hint="default"/>
        <w:color w:val="auto"/>
      </w:rPr>
    </w:lvl>
    <w:lvl w:ilvl="2" w:tplc="0C0A0003">
      <w:start w:val="1"/>
      <w:numFmt w:val="bullet"/>
      <w:lvlText w:val="o"/>
      <w:lvlJc w:val="left"/>
      <w:pPr>
        <w:ind w:left="2160" w:hanging="360"/>
      </w:pPr>
      <w:rPr>
        <w:rFonts w:ascii="Courier New" w:hAnsi="Courier New" w:cs="Courier New" w:hint="default"/>
      </w:rPr>
    </w:lvl>
    <w:lvl w:ilvl="3" w:tplc="240A0005">
      <w:start w:val="1"/>
      <w:numFmt w:val="bullet"/>
      <w:lvlText w:val=""/>
      <w:lvlJc w:val="left"/>
      <w:pPr>
        <w:ind w:left="2880" w:hanging="360"/>
      </w:pPr>
      <w:rPr>
        <w:rFonts w:ascii="Wingdings" w:hAnsi="Wingdings"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50" w15:restartNumberingAfterBreak="0">
    <w:nsid w:val="617E6A34"/>
    <w:multiLevelType w:val="hybridMultilevel"/>
    <w:tmpl w:val="55F4E2C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51" w15:restartNumberingAfterBreak="0">
    <w:nsid w:val="617F231C"/>
    <w:multiLevelType w:val="hybridMultilevel"/>
    <w:tmpl w:val="2C4CA37C"/>
    <w:lvl w:ilvl="0" w:tplc="240A0003">
      <w:start w:val="1"/>
      <w:numFmt w:val="bullet"/>
      <w:lvlText w:val="o"/>
      <w:lvlJc w:val="left"/>
      <w:pPr>
        <w:ind w:left="360" w:hanging="360"/>
      </w:pPr>
      <w:rPr>
        <w:rFonts w:ascii="Courier New" w:hAnsi="Courier New" w:cs="Courier New" w:hint="default"/>
        <w:color w:val="auto"/>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52" w15:restartNumberingAfterBreak="0">
    <w:nsid w:val="61D15C8F"/>
    <w:multiLevelType w:val="hybridMultilevel"/>
    <w:tmpl w:val="4B1E1B7E"/>
    <w:lvl w:ilvl="0" w:tplc="5352EBE2">
      <w:start w:val="1"/>
      <w:numFmt w:val="bullet"/>
      <w:lvlText w:val=""/>
      <w:lvlJc w:val="left"/>
      <w:pPr>
        <w:ind w:left="720" w:hanging="360"/>
      </w:pPr>
      <w:rPr>
        <w:rFonts w:ascii="Symbol" w:hAnsi="Symbol"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53" w15:restartNumberingAfterBreak="0">
    <w:nsid w:val="61DF62DD"/>
    <w:multiLevelType w:val="hybridMultilevel"/>
    <w:tmpl w:val="F886BE58"/>
    <w:lvl w:ilvl="0" w:tplc="240A0003">
      <w:start w:val="1"/>
      <w:numFmt w:val="bullet"/>
      <w:lvlText w:val="o"/>
      <w:lvlJc w:val="left"/>
      <w:pPr>
        <w:ind w:left="720" w:hanging="360"/>
      </w:pPr>
      <w:rPr>
        <w:rFonts w:ascii="Courier New" w:hAnsi="Courier New" w:cs="Courier Ne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54" w15:restartNumberingAfterBreak="0">
    <w:nsid w:val="61E3165C"/>
    <w:multiLevelType w:val="hybridMultilevel"/>
    <w:tmpl w:val="1D5465CC"/>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55" w15:restartNumberingAfterBreak="0">
    <w:nsid w:val="61FD7509"/>
    <w:multiLevelType w:val="hybridMultilevel"/>
    <w:tmpl w:val="79A4158A"/>
    <w:lvl w:ilvl="0" w:tplc="240A0001">
      <w:start w:val="1"/>
      <w:numFmt w:val="bullet"/>
      <w:lvlText w:val=""/>
      <w:lvlJc w:val="left"/>
      <w:pPr>
        <w:ind w:left="720" w:hanging="360"/>
      </w:pPr>
      <w:rPr>
        <w:rFonts w:ascii="Symbol" w:hAnsi="Symbol" w:hint="default"/>
        <w:b/>
        <w:bC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56" w15:restartNumberingAfterBreak="0">
    <w:nsid w:val="62041062"/>
    <w:multiLevelType w:val="hybridMultilevel"/>
    <w:tmpl w:val="703E7D6A"/>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57" w15:restartNumberingAfterBreak="0">
    <w:nsid w:val="6208157D"/>
    <w:multiLevelType w:val="hybridMultilevel"/>
    <w:tmpl w:val="2AB26D02"/>
    <w:lvl w:ilvl="0" w:tplc="4DB80760">
      <w:start w:val="1"/>
      <w:numFmt w:val="bullet"/>
      <w:lvlText w:val="­"/>
      <w:lvlJc w:val="left"/>
      <w:pPr>
        <w:ind w:left="720" w:hanging="360"/>
      </w:pPr>
      <w:rPr>
        <w:rFonts w:ascii="Courier New" w:hAnsi="Courier New" w:cs="Times New Roman"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58" w15:restartNumberingAfterBreak="0">
    <w:nsid w:val="62551038"/>
    <w:multiLevelType w:val="hybridMultilevel"/>
    <w:tmpl w:val="F06E4DC8"/>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59" w15:restartNumberingAfterBreak="0">
    <w:nsid w:val="62750016"/>
    <w:multiLevelType w:val="hybridMultilevel"/>
    <w:tmpl w:val="1A6C238A"/>
    <w:lvl w:ilvl="0" w:tplc="4DB80760">
      <w:start w:val="1"/>
      <w:numFmt w:val="bullet"/>
      <w:lvlText w:val="­"/>
      <w:lvlJc w:val="left"/>
      <w:pPr>
        <w:ind w:left="1080" w:hanging="360"/>
      </w:pPr>
      <w:rPr>
        <w:rFonts w:ascii="Courier New" w:hAnsi="Courier New" w:cs="Times New Roman" w:hint="default"/>
        <w:color w:val="auto"/>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360" w15:restartNumberingAfterBreak="0">
    <w:nsid w:val="62C268F4"/>
    <w:multiLevelType w:val="hybridMultilevel"/>
    <w:tmpl w:val="5492F666"/>
    <w:lvl w:ilvl="0" w:tplc="240A0001">
      <w:start w:val="1"/>
      <w:numFmt w:val="bullet"/>
      <w:lvlText w:val=""/>
      <w:lvlJc w:val="left"/>
      <w:pPr>
        <w:ind w:left="1800" w:hanging="360"/>
      </w:pPr>
      <w:rPr>
        <w:rFonts w:ascii="Symbol" w:hAnsi="Symbol" w:hint="default"/>
      </w:rPr>
    </w:lvl>
    <w:lvl w:ilvl="1" w:tplc="240A0003" w:tentative="1">
      <w:start w:val="1"/>
      <w:numFmt w:val="bullet"/>
      <w:lvlText w:val="o"/>
      <w:lvlJc w:val="left"/>
      <w:pPr>
        <w:ind w:left="2520" w:hanging="360"/>
      </w:pPr>
      <w:rPr>
        <w:rFonts w:ascii="Courier New" w:hAnsi="Courier New" w:cs="Courier New" w:hint="default"/>
      </w:rPr>
    </w:lvl>
    <w:lvl w:ilvl="2" w:tplc="240A0005" w:tentative="1">
      <w:start w:val="1"/>
      <w:numFmt w:val="bullet"/>
      <w:lvlText w:val=""/>
      <w:lvlJc w:val="left"/>
      <w:pPr>
        <w:ind w:left="3240" w:hanging="360"/>
      </w:pPr>
      <w:rPr>
        <w:rFonts w:ascii="Wingdings" w:hAnsi="Wingdings" w:hint="default"/>
      </w:rPr>
    </w:lvl>
    <w:lvl w:ilvl="3" w:tplc="240A0001" w:tentative="1">
      <w:start w:val="1"/>
      <w:numFmt w:val="bullet"/>
      <w:lvlText w:val=""/>
      <w:lvlJc w:val="left"/>
      <w:pPr>
        <w:ind w:left="3960" w:hanging="360"/>
      </w:pPr>
      <w:rPr>
        <w:rFonts w:ascii="Symbol" w:hAnsi="Symbol" w:hint="default"/>
      </w:rPr>
    </w:lvl>
    <w:lvl w:ilvl="4" w:tplc="240A0003" w:tentative="1">
      <w:start w:val="1"/>
      <w:numFmt w:val="bullet"/>
      <w:lvlText w:val="o"/>
      <w:lvlJc w:val="left"/>
      <w:pPr>
        <w:ind w:left="4680" w:hanging="360"/>
      </w:pPr>
      <w:rPr>
        <w:rFonts w:ascii="Courier New" w:hAnsi="Courier New" w:cs="Courier New" w:hint="default"/>
      </w:rPr>
    </w:lvl>
    <w:lvl w:ilvl="5" w:tplc="240A0005" w:tentative="1">
      <w:start w:val="1"/>
      <w:numFmt w:val="bullet"/>
      <w:lvlText w:val=""/>
      <w:lvlJc w:val="left"/>
      <w:pPr>
        <w:ind w:left="5400" w:hanging="360"/>
      </w:pPr>
      <w:rPr>
        <w:rFonts w:ascii="Wingdings" w:hAnsi="Wingdings" w:hint="default"/>
      </w:rPr>
    </w:lvl>
    <w:lvl w:ilvl="6" w:tplc="240A0001" w:tentative="1">
      <w:start w:val="1"/>
      <w:numFmt w:val="bullet"/>
      <w:lvlText w:val=""/>
      <w:lvlJc w:val="left"/>
      <w:pPr>
        <w:ind w:left="6120" w:hanging="360"/>
      </w:pPr>
      <w:rPr>
        <w:rFonts w:ascii="Symbol" w:hAnsi="Symbol" w:hint="default"/>
      </w:rPr>
    </w:lvl>
    <w:lvl w:ilvl="7" w:tplc="240A0003" w:tentative="1">
      <w:start w:val="1"/>
      <w:numFmt w:val="bullet"/>
      <w:lvlText w:val="o"/>
      <w:lvlJc w:val="left"/>
      <w:pPr>
        <w:ind w:left="6840" w:hanging="360"/>
      </w:pPr>
      <w:rPr>
        <w:rFonts w:ascii="Courier New" w:hAnsi="Courier New" w:cs="Courier New" w:hint="default"/>
      </w:rPr>
    </w:lvl>
    <w:lvl w:ilvl="8" w:tplc="240A0005" w:tentative="1">
      <w:start w:val="1"/>
      <w:numFmt w:val="bullet"/>
      <w:lvlText w:val=""/>
      <w:lvlJc w:val="left"/>
      <w:pPr>
        <w:ind w:left="7560" w:hanging="360"/>
      </w:pPr>
      <w:rPr>
        <w:rFonts w:ascii="Wingdings" w:hAnsi="Wingdings" w:hint="default"/>
      </w:rPr>
    </w:lvl>
  </w:abstractNum>
  <w:abstractNum w:abstractNumId="361" w15:restartNumberingAfterBreak="0">
    <w:nsid w:val="62DA1485"/>
    <w:multiLevelType w:val="hybridMultilevel"/>
    <w:tmpl w:val="2234784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62" w15:restartNumberingAfterBreak="0">
    <w:nsid w:val="632A1C52"/>
    <w:multiLevelType w:val="hybridMultilevel"/>
    <w:tmpl w:val="468A6F4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63" w15:restartNumberingAfterBreak="0">
    <w:nsid w:val="63D9524F"/>
    <w:multiLevelType w:val="multilevel"/>
    <w:tmpl w:val="42B81104"/>
    <w:lvl w:ilvl="0">
      <w:start w:val="1"/>
      <w:numFmt w:val="decimal"/>
      <w:lvlText w:val="%1."/>
      <w:lvlJc w:val="left"/>
      <w:pPr>
        <w:ind w:left="785"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3131"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64" w15:restartNumberingAfterBreak="0">
    <w:nsid w:val="63E76388"/>
    <w:multiLevelType w:val="hybridMultilevel"/>
    <w:tmpl w:val="34A87ED0"/>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65" w15:restartNumberingAfterBreak="0">
    <w:nsid w:val="64A14B68"/>
    <w:multiLevelType w:val="hybridMultilevel"/>
    <w:tmpl w:val="1B5E44B8"/>
    <w:lvl w:ilvl="0" w:tplc="4DB80760">
      <w:start w:val="1"/>
      <w:numFmt w:val="bullet"/>
      <w:lvlText w:val="­"/>
      <w:lvlJc w:val="left"/>
      <w:pPr>
        <w:ind w:left="720" w:hanging="360"/>
      </w:pPr>
      <w:rPr>
        <w:rFonts w:ascii="Courier New" w:hAnsi="Courier New" w:cs="Times New Roman" w:hint="default"/>
        <w:color w:val="auto"/>
      </w:rPr>
    </w:lvl>
    <w:lvl w:ilvl="1" w:tplc="4DB80760">
      <w:start w:val="1"/>
      <w:numFmt w:val="bullet"/>
      <w:lvlText w:val="­"/>
      <w:lvlJc w:val="left"/>
      <w:pPr>
        <w:ind w:left="1440" w:hanging="360"/>
      </w:pPr>
      <w:rPr>
        <w:rFonts w:ascii="Courier New" w:hAnsi="Courier New" w:cs="Times New Roman" w:hint="default"/>
        <w:color w:val="auto"/>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66" w15:restartNumberingAfterBreak="0">
    <w:nsid w:val="65595297"/>
    <w:multiLevelType w:val="hybridMultilevel"/>
    <w:tmpl w:val="0E8ECBE4"/>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67" w15:restartNumberingAfterBreak="0">
    <w:nsid w:val="65652C76"/>
    <w:multiLevelType w:val="hybridMultilevel"/>
    <w:tmpl w:val="ECCA892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68" w15:restartNumberingAfterBreak="0">
    <w:nsid w:val="65D30F01"/>
    <w:multiLevelType w:val="hybridMultilevel"/>
    <w:tmpl w:val="A17E10E0"/>
    <w:lvl w:ilvl="0" w:tplc="E7A2F2F4">
      <w:start w:val="1"/>
      <w:numFmt w:val="lowerLetter"/>
      <w:lvlText w:val="%1."/>
      <w:lvlJc w:val="left"/>
      <w:pPr>
        <w:ind w:left="720" w:hanging="360"/>
      </w:pPr>
      <w:rPr>
        <w:rFonts w:eastAsia="Arial" w:hint="default"/>
        <w:b/>
        <w:bC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69" w15:restartNumberingAfterBreak="0">
    <w:nsid w:val="66424E07"/>
    <w:multiLevelType w:val="multilevel"/>
    <w:tmpl w:val="3C26E1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0" w15:restartNumberingAfterBreak="0">
    <w:nsid w:val="664F1E72"/>
    <w:multiLevelType w:val="hybridMultilevel"/>
    <w:tmpl w:val="FFE8ED2C"/>
    <w:lvl w:ilvl="0" w:tplc="0C0A0001">
      <w:start w:val="1"/>
      <w:numFmt w:val="bullet"/>
      <w:lvlText w:val=""/>
      <w:lvlJc w:val="left"/>
      <w:pPr>
        <w:ind w:left="360" w:hanging="360"/>
      </w:pPr>
      <w:rPr>
        <w:rFonts w:ascii="Symbol" w:hAnsi="Symbol" w:hint="default"/>
      </w:rPr>
    </w:lvl>
    <w:lvl w:ilvl="1" w:tplc="F39EA5A6">
      <w:numFmt w:val="bullet"/>
      <w:lvlText w:val="•"/>
      <w:lvlJc w:val="left"/>
      <w:pPr>
        <w:ind w:left="1080" w:hanging="360"/>
      </w:pPr>
      <w:rPr>
        <w:rFonts w:ascii="Arial" w:eastAsia="Times New Roman" w:hAnsi="Arial" w:cs="Arial"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371" w15:restartNumberingAfterBreak="0">
    <w:nsid w:val="66603A71"/>
    <w:multiLevelType w:val="hybridMultilevel"/>
    <w:tmpl w:val="9F225620"/>
    <w:lvl w:ilvl="0" w:tplc="4DB80760">
      <w:start w:val="1"/>
      <w:numFmt w:val="bullet"/>
      <w:lvlText w:val="­"/>
      <w:lvlJc w:val="left"/>
      <w:pPr>
        <w:ind w:left="360" w:hanging="360"/>
      </w:pPr>
      <w:rPr>
        <w:rFonts w:ascii="Courier New" w:hAnsi="Courier New" w:cs="Times New Roman" w:hint="default"/>
        <w:color w:val="auto"/>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72" w15:restartNumberingAfterBreak="0">
    <w:nsid w:val="666E5EE2"/>
    <w:multiLevelType w:val="hybridMultilevel"/>
    <w:tmpl w:val="C06C7A5E"/>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73" w15:restartNumberingAfterBreak="0">
    <w:nsid w:val="675E432B"/>
    <w:multiLevelType w:val="hybridMultilevel"/>
    <w:tmpl w:val="F3BE6FB2"/>
    <w:lvl w:ilvl="0" w:tplc="4DB80760">
      <w:start w:val="1"/>
      <w:numFmt w:val="bullet"/>
      <w:lvlText w:val="­"/>
      <w:lvlJc w:val="left"/>
      <w:pPr>
        <w:ind w:left="720" w:hanging="360"/>
      </w:pPr>
      <w:rPr>
        <w:rFonts w:ascii="Courier New" w:hAnsi="Courier New" w:cs="Times New Roman"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74" w15:restartNumberingAfterBreak="0">
    <w:nsid w:val="678519F7"/>
    <w:multiLevelType w:val="hybridMultilevel"/>
    <w:tmpl w:val="9D927212"/>
    <w:lvl w:ilvl="0" w:tplc="1A4421E0">
      <w:start w:val="1"/>
      <w:numFmt w:val="lowerRoman"/>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75" w15:restartNumberingAfterBreak="0">
    <w:nsid w:val="67C24447"/>
    <w:multiLevelType w:val="hybridMultilevel"/>
    <w:tmpl w:val="4AFAE9F4"/>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376" w15:restartNumberingAfterBreak="0">
    <w:nsid w:val="68043128"/>
    <w:multiLevelType w:val="hybridMultilevel"/>
    <w:tmpl w:val="219CCF04"/>
    <w:lvl w:ilvl="0" w:tplc="0C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77" w15:restartNumberingAfterBreak="0">
    <w:nsid w:val="681C4F95"/>
    <w:multiLevelType w:val="hybridMultilevel"/>
    <w:tmpl w:val="92229178"/>
    <w:lvl w:ilvl="0" w:tplc="60504E42">
      <w:start w:val="1"/>
      <w:numFmt w:val="lowerRoman"/>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78" w15:restartNumberingAfterBreak="0">
    <w:nsid w:val="68CD4591"/>
    <w:multiLevelType w:val="hybridMultilevel"/>
    <w:tmpl w:val="0B866C9A"/>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379" w15:restartNumberingAfterBreak="0">
    <w:nsid w:val="695F343A"/>
    <w:multiLevelType w:val="hybridMultilevel"/>
    <w:tmpl w:val="BA5290B6"/>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80" w15:restartNumberingAfterBreak="0">
    <w:nsid w:val="697D1DF6"/>
    <w:multiLevelType w:val="hybridMultilevel"/>
    <w:tmpl w:val="3BBE71E6"/>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81" w15:restartNumberingAfterBreak="0">
    <w:nsid w:val="69A3696D"/>
    <w:multiLevelType w:val="hybridMultilevel"/>
    <w:tmpl w:val="72185C98"/>
    <w:lvl w:ilvl="0" w:tplc="4DB80760">
      <w:start w:val="1"/>
      <w:numFmt w:val="bullet"/>
      <w:lvlText w:val="­"/>
      <w:lvlJc w:val="left"/>
      <w:pPr>
        <w:ind w:left="720" w:hanging="360"/>
      </w:pPr>
      <w:rPr>
        <w:rFonts w:ascii="Courier New" w:hAnsi="Courier New" w:cs="Times New Roman" w:hint="default"/>
        <w:color w:val="auto"/>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2" w15:restartNumberingAfterBreak="0">
    <w:nsid w:val="6AA80B9E"/>
    <w:multiLevelType w:val="hybridMultilevel"/>
    <w:tmpl w:val="96689764"/>
    <w:lvl w:ilvl="0" w:tplc="2C0E6588">
      <w:start w:val="1"/>
      <w:numFmt w:val="bullet"/>
      <w:lvlText w:val=""/>
      <w:lvlJc w:val="left"/>
      <w:pPr>
        <w:ind w:left="1080" w:hanging="360"/>
      </w:pPr>
      <w:rPr>
        <w:rFonts w:ascii="Symbol" w:hAnsi="Symbol" w:hint="default"/>
      </w:rPr>
    </w:lvl>
    <w:lvl w:ilvl="1" w:tplc="E656329E">
      <w:start w:val="1"/>
      <w:numFmt w:val="bullet"/>
      <w:lvlText w:val="o"/>
      <w:lvlJc w:val="left"/>
      <w:pPr>
        <w:ind w:left="1800" w:hanging="360"/>
      </w:pPr>
      <w:rPr>
        <w:rFonts w:ascii="Courier New" w:hAnsi="Courier New" w:hint="default"/>
      </w:rPr>
    </w:lvl>
    <w:lvl w:ilvl="2" w:tplc="5DB2DB02">
      <w:start w:val="1"/>
      <w:numFmt w:val="bullet"/>
      <w:lvlText w:val=""/>
      <w:lvlJc w:val="left"/>
      <w:pPr>
        <w:ind w:left="2520" w:hanging="360"/>
      </w:pPr>
      <w:rPr>
        <w:rFonts w:ascii="Wingdings" w:hAnsi="Wingdings" w:hint="default"/>
      </w:rPr>
    </w:lvl>
    <w:lvl w:ilvl="3" w:tplc="6E82F896">
      <w:start w:val="1"/>
      <w:numFmt w:val="bullet"/>
      <w:lvlText w:val=""/>
      <w:lvlJc w:val="left"/>
      <w:pPr>
        <w:ind w:left="3240" w:hanging="360"/>
      </w:pPr>
      <w:rPr>
        <w:rFonts w:ascii="Symbol" w:hAnsi="Symbol" w:hint="default"/>
      </w:rPr>
    </w:lvl>
    <w:lvl w:ilvl="4" w:tplc="195A1220">
      <w:start w:val="1"/>
      <w:numFmt w:val="bullet"/>
      <w:lvlText w:val="o"/>
      <w:lvlJc w:val="left"/>
      <w:pPr>
        <w:ind w:left="3960" w:hanging="360"/>
      </w:pPr>
      <w:rPr>
        <w:rFonts w:ascii="Courier New" w:hAnsi="Courier New" w:hint="default"/>
      </w:rPr>
    </w:lvl>
    <w:lvl w:ilvl="5" w:tplc="9B3CDAB2">
      <w:start w:val="1"/>
      <w:numFmt w:val="bullet"/>
      <w:lvlText w:val=""/>
      <w:lvlJc w:val="left"/>
      <w:pPr>
        <w:ind w:left="4680" w:hanging="360"/>
      </w:pPr>
      <w:rPr>
        <w:rFonts w:ascii="Wingdings" w:hAnsi="Wingdings" w:hint="default"/>
      </w:rPr>
    </w:lvl>
    <w:lvl w:ilvl="6" w:tplc="6DEA0FD4">
      <w:start w:val="1"/>
      <w:numFmt w:val="bullet"/>
      <w:lvlText w:val=""/>
      <w:lvlJc w:val="left"/>
      <w:pPr>
        <w:ind w:left="5400" w:hanging="360"/>
      </w:pPr>
      <w:rPr>
        <w:rFonts w:ascii="Symbol" w:hAnsi="Symbol" w:hint="default"/>
      </w:rPr>
    </w:lvl>
    <w:lvl w:ilvl="7" w:tplc="9AC025CE">
      <w:start w:val="1"/>
      <w:numFmt w:val="bullet"/>
      <w:lvlText w:val="o"/>
      <w:lvlJc w:val="left"/>
      <w:pPr>
        <w:ind w:left="6120" w:hanging="360"/>
      </w:pPr>
      <w:rPr>
        <w:rFonts w:ascii="Courier New" w:hAnsi="Courier New" w:hint="default"/>
      </w:rPr>
    </w:lvl>
    <w:lvl w:ilvl="8" w:tplc="C884E266">
      <w:start w:val="1"/>
      <w:numFmt w:val="bullet"/>
      <w:lvlText w:val=""/>
      <w:lvlJc w:val="left"/>
      <w:pPr>
        <w:ind w:left="6840" w:hanging="360"/>
      </w:pPr>
      <w:rPr>
        <w:rFonts w:ascii="Wingdings" w:hAnsi="Wingdings" w:hint="default"/>
      </w:rPr>
    </w:lvl>
  </w:abstractNum>
  <w:abstractNum w:abstractNumId="383" w15:restartNumberingAfterBreak="0">
    <w:nsid w:val="6ABD1FE3"/>
    <w:multiLevelType w:val="hybridMultilevel"/>
    <w:tmpl w:val="ECFC2030"/>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84" w15:restartNumberingAfterBreak="0">
    <w:nsid w:val="6AC96EC5"/>
    <w:multiLevelType w:val="hybridMultilevel"/>
    <w:tmpl w:val="9B5A408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85" w15:restartNumberingAfterBreak="0">
    <w:nsid w:val="6B334750"/>
    <w:multiLevelType w:val="multilevel"/>
    <w:tmpl w:val="3152A51E"/>
    <w:lvl w:ilvl="0">
      <w:start w:val="4"/>
      <w:numFmt w:val="decimal"/>
      <w:lvlText w:val="%1."/>
      <w:lvlJc w:val="left"/>
      <w:pPr>
        <w:ind w:left="780" w:hanging="780"/>
      </w:pPr>
      <w:rPr>
        <w:rFonts w:hint="default"/>
      </w:rPr>
    </w:lvl>
    <w:lvl w:ilvl="1">
      <w:start w:val="3"/>
      <w:numFmt w:val="decimal"/>
      <w:lvlText w:val="%1.%2."/>
      <w:lvlJc w:val="left"/>
      <w:pPr>
        <w:ind w:left="780" w:hanging="780"/>
      </w:pPr>
      <w:rPr>
        <w:rFonts w:hint="default"/>
      </w:rPr>
    </w:lvl>
    <w:lvl w:ilvl="2">
      <w:start w:val="2"/>
      <w:numFmt w:val="decimal"/>
      <w:lvlText w:val="%1.%2.%3."/>
      <w:lvlJc w:val="left"/>
      <w:pPr>
        <w:ind w:left="780" w:hanging="780"/>
      </w:pPr>
      <w:rPr>
        <w:rFonts w:hint="default"/>
      </w:rPr>
    </w:lvl>
    <w:lvl w:ilvl="3">
      <w:start w:val="7"/>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86" w15:restartNumberingAfterBreak="0">
    <w:nsid w:val="6B40452B"/>
    <w:multiLevelType w:val="hybridMultilevel"/>
    <w:tmpl w:val="297855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387" w15:restartNumberingAfterBreak="0">
    <w:nsid w:val="6BE33255"/>
    <w:multiLevelType w:val="multilevel"/>
    <w:tmpl w:val="395E5438"/>
    <w:lvl w:ilvl="0">
      <w:start w:val="1"/>
      <w:numFmt w:val="bullet"/>
      <w:lvlText w:val="o"/>
      <w:lvlJc w:val="left"/>
      <w:pPr>
        <w:ind w:left="600" w:hanging="600"/>
      </w:pPr>
      <w:rPr>
        <w:rFonts w:ascii="Courier New" w:hAnsi="Courier New" w:cs="Courier New" w:hint="default"/>
      </w:rPr>
    </w:lvl>
    <w:lvl w:ilvl="1">
      <w:start w:val="3"/>
      <w:numFmt w:val="decimal"/>
      <w:lvlText w:val="%1.%2"/>
      <w:lvlJc w:val="left"/>
      <w:pPr>
        <w:ind w:left="600" w:hanging="600"/>
      </w:pPr>
      <w:rPr>
        <w:rFonts w:hint="default"/>
      </w:rPr>
    </w:lvl>
    <w:lvl w:ilvl="2">
      <w:start w:val="3"/>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88" w15:restartNumberingAfterBreak="0">
    <w:nsid w:val="6C432593"/>
    <w:multiLevelType w:val="hybridMultilevel"/>
    <w:tmpl w:val="482053D6"/>
    <w:lvl w:ilvl="0" w:tplc="BB2AAC48">
      <w:start w:val="1"/>
      <w:numFmt w:val="bullet"/>
      <w:lvlText w:val=""/>
      <w:lvlJc w:val="left"/>
      <w:pPr>
        <w:ind w:left="360" w:hanging="360"/>
      </w:pPr>
      <w:rPr>
        <w:rFonts w:ascii="Symbol" w:hAnsi="Symbol" w:hint="default"/>
        <w:lang w:val="es-ES"/>
      </w:rPr>
    </w:lvl>
    <w:lvl w:ilvl="1" w:tplc="240A0003">
      <w:start w:val="1"/>
      <w:numFmt w:val="bullet"/>
      <w:lvlText w:val="o"/>
      <w:lvlJc w:val="left"/>
      <w:pPr>
        <w:ind w:left="1080" w:hanging="360"/>
      </w:pPr>
      <w:rPr>
        <w:rFonts w:ascii="Courier New" w:hAnsi="Courier New" w:cs="Courier New" w:hint="default"/>
      </w:rPr>
    </w:lvl>
    <w:lvl w:ilvl="2" w:tplc="240A0005">
      <w:start w:val="1"/>
      <w:numFmt w:val="bullet"/>
      <w:lvlText w:val=""/>
      <w:lvlJc w:val="left"/>
      <w:pPr>
        <w:ind w:left="1800" w:hanging="360"/>
      </w:pPr>
      <w:rPr>
        <w:rFonts w:ascii="Wingdings" w:hAnsi="Wingdings" w:hint="default"/>
      </w:rPr>
    </w:lvl>
    <w:lvl w:ilvl="3" w:tplc="19AEA178">
      <w:numFmt w:val="bullet"/>
      <w:lvlText w:val="•"/>
      <w:lvlJc w:val="left"/>
      <w:pPr>
        <w:ind w:left="2865" w:hanging="705"/>
      </w:pPr>
      <w:rPr>
        <w:rFonts w:ascii="Arial" w:eastAsia="Times New Roman" w:hAnsi="Arial" w:cs="Arial" w:hint="default"/>
      </w:rPr>
    </w:lvl>
    <w:lvl w:ilvl="4" w:tplc="240A0003">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89" w15:restartNumberingAfterBreak="0">
    <w:nsid w:val="6D081267"/>
    <w:multiLevelType w:val="hybridMultilevel"/>
    <w:tmpl w:val="631C91DA"/>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90" w15:restartNumberingAfterBreak="0">
    <w:nsid w:val="6D3970A2"/>
    <w:multiLevelType w:val="hybridMultilevel"/>
    <w:tmpl w:val="7C043B2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91" w15:restartNumberingAfterBreak="0">
    <w:nsid w:val="6D5C33E6"/>
    <w:multiLevelType w:val="multilevel"/>
    <w:tmpl w:val="5AD87114"/>
    <w:lvl w:ilvl="0">
      <w:start w:val="2"/>
      <w:numFmt w:val="decimal"/>
      <w:lvlText w:val="%1"/>
      <w:lvlJc w:val="left"/>
      <w:pPr>
        <w:ind w:left="435" w:hanging="435"/>
      </w:pPr>
      <w:rPr>
        <w:rFonts w:hint="default"/>
      </w:rPr>
    </w:lvl>
    <w:lvl w:ilvl="1">
      <w:start w:val="2"/>
      <w:numFmt w:val="decimal"/>
      <w:lvlText w:val="%1.%2"/>
      <w:lvlJc w:val="left"/>
      <w:pPr>
        <w:ind w:left="435" w:hanging="43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92" w15:restartNumberingAfterBreak="0">
    <w:nsid w:val="6D7D1C28"/>
    <w:multiLevelType w:val="hybridMultilevel"/>
    <w:tmpl w:val="BDF6300E"/>
    <w:lvl w:ilvl="0" w:tplc="4DB80760">
      <w:start w:val="1"/>
      <w:numFmt w:val="bullet"/>
      <w:lvlText w:val="­"/>
      <w:lvlJc w:val="left"/>
      <w:pPr>
        <w:ind w:left="360" w:hanging="360"/>
      </w:pPr>
      <w:rPr>
        <w:rFonts w:ascii="Courier New" w:hAnsi="Courier New" w:cs="Times New Roman" w:hint="default"/>
        <w:color w:val="auto"/>
        <w:lang w:val="es-CO"/>
      </w:rPr>
    </w:lvl>
    <w:lvl w:ilvl="1" w:tplc="240A0003">
      <w:start w:val="1"/>
      <w:numFmt w:val="bullet"/>
      <w:lvlText w:val="o"/>
      <w:lvlJc w:val="left"/>
      <w:pPr>
        <w:ind w:left="1080" w:hanging="360"/>
      </w:pPr>
      <w:rPr>
        <w:rFonts w:ascii="Courier New" w:hAnsi="Courier New" w:cs="Courier New" w:hint="default"/>
      </w:rPr>
    </w:lvl>
    <w:lvl w:ilvl="2" w:tplc="240A0005">
      <w:start w:val="1"/>
      <w:numFmt w:val="bullet"/>
      <w:lvlText w:val=""/>
      <w:lvlJc w:val="left"/>
      <w:pPr>
        <w:ind w:left="1800" w:hanging="360"/>
      </w:pPr>
      <w:rPr>
        <w:rFonts w:ascii="Wingdings" w:hAnsi="Wingdings" w:hint="default"/>
      </w:rPr>
    </w:lvl>
    <w:lvl w:ilvl="3" w:tplc="19AEA178">
      <w:numFmt w:val="bullet"/>
      <w:lvlText w:val="•"/>
      <w:lvlJc w:val="left"/>
      <w:pPr>
        <w:ind w:left="2865" w:hanging="705"/>
      </w:pPr>
      <w:rPr>
        <w:rFonts w:ascii="Arial" w:eastAsia="Times New Roman" w:hAnsi="Arial" w:cs="Arial" w:hint="default"/>
      </w:rPr>
    </w:lvl>
    <w:lvl w:ilvl="4" w:tplc="240A0003">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93" w15:restartNumberingAfterBreak="0">
    <w:nsid w:val="6D9660FE"/>
    <w:multiLevelType w:val="hybridMultilevel"/>
    <w:tmpl w:val="80E419FA"/>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94" w15:restartNumberingAfterBreak="0">
    <w:nsid w:val="6E04625A"/>
    <w:multiLevelType w:val="hybridMultilevel"/>
    <w:tmpl w:val="FDFAE6DA"/>
    <w:lvl w:ilvl="0" w:tplc="F4481138">
      <w:start w:val="1"/>
      <w:numFmt w:val="upperRoman"/>
      <w:lvlText w:val="%1."/>
      <w:lvlJc w:val="left"/>
      <w:pPr>
        <w:ind w:left="1080" w:hanging="72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95" w15:restartNumberingAfterBreak="0">
    <w:nsid w:val="6E395BD2"/>
    <w:multiLevelType w:val="hybridMultilevel"/>
    <w:tmpl w:val="A0E06180"/>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96" w15:restartNumberingAfterBreak="0">
    <w:nsid w:val="6E3C3F7E"/>
    <w:multiLevelType w:val="hybridMultilevel"/>
    <w:tmpl w:val="FB06CE4A"/>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97" w15:restartNumberingAfterBreak="0">
    <w:nsid w:val="6E8C3F3E"/>
    <w:multiLevelType w:val="hybridMultilevel"/>
    <w:tmpl w:val="EE78276E"/>
    <w:lvl w:ilvl="0" w:tplc="4DB80760">
      <w:start w:val="1"/>
      <w:numFmt w:val="bullet"/>
      <w:lvlText w:val="­"/>
      <w:lvlJc w:val="left"/>
      <w:pPr>
        <w:ind w:left="720" w:hanging="360"/>
      </w:pPr>
      <w:rPr>
        <w:rFonts w:ascii="Courier New" w:hAnsi="Courier New" w:cs="Times New Roman"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98" w15:restartNumberingAfterBreak="0">
    <w:nsid w:val="6F527A33"/>
    <w:multiLevelType w:val="multilevel"/>
    <w:tmpl w:val="A0D0F468"/>
    <w:lvl w:ilvl="0">
      <w:start w:val="1"/>
      <w:numFmt w:val="decimal"/>
      <w:lvlText w:val="%1."/>
      <w:lvlJc w:val="left"/>
      <w:pPr>
        <w:tabs>
          <w:tab w:val="num" w:pos="0"/>
        </w:tabs>
        <w:ind w:left="0" w:firstLine="0"/>
      </w:pPr>
      <w:rPr>
        <w:rFonts w:ascii="Arial" w:hAnsi="Arial" w:cs="Symbol" w:hint="default"/>
        <w:b/>
        <w:i w:val="0"/>
        <w:sz w:val="24"/>
        <w:szCs w:val="24"/>
      </w:rPr>
    </w:lvl>
    <w:lvl w:ilvl="1">
      <w:start w:val="1"/>
      <w:numFmt w:val="decimal"/>
      <w:lvlText w:val="%1.%2"/>
      <w:lvlJc w:val="left"/>
      <w:pPr>
        <w:tabs>
          <w:tab w:val="num" w:pos="0"/>
        </w:tabs>
        <w:ind w:left="0" w:firstLine="0"/>
      </w:pPr>
      <w:rPr>
        <w:rFonts w:ascii="Arial" w:hAnsi="Arial" w:cs="Symbol" w:hint="default"/>
        <w:b/>
        <w:i w:val="0"/>
        <w:sz w:val="24"/>
        <w:szCs w:val="24"/>
      </w:rPr>
    </w:lvl>
    <w:lvl w:ilvl="2">
      <w:start w:val="1"/>
      <w:numFmt w:val="decimal"/>
      <w:lvlText w:val="%1.%2.%3"/>
      <w:lvlJc w:val="left"/>
      <w:pPr>
        <w:tabs>
          <w:tab w:val="num" w:pos="0"/>
        </w:tabs>
        <w:ind w:left="0" w:firstLine="0"/>
      </w:pPr>
      <w:rPr>
        <w:rFonts w:ascii="Arial" w:hAnsi="Arial" w:cs="Symbol" w:hint="default"/>
        <w:b/>
        <w:i w:val="0"/>
        <w:caps/>
        <w:sz w:val="24"/>
        <w:szCs w:val="20"/>
        <w:lang w:val="es-CO"/>
      </w:rPr>
    </w:lvl>
    <w:lvl w:ilvl="3">
      <w:start w:val="1"/>
      <w:numFmt w:val="decimal"/>
      <w:lvlText w:val="%1.%2.%3.%4"/>
      <w:lvlJc w:val="left"/>
      <w:pPr>
        <w:tabs>
          <w:tab w:val="num" w:pos="0"/>
        </w:tabs>
        <w:ind w:left="0" w:firstLine="0"/>
      </w:pPr>
      <w:rPr>
        <w:rFonts w:ascii="Arial" w:hAnsi="Arial" w:cs="Symbol" w:hint="default"/>
        <w:b/>
        <w:i w:val="0"/>
        <w:sz w:val="24"/>
        <w:szCs w:val="20"/>
      </w:rPr>
    </w:lvl>
    <w:lvl w:ilvl="4">
      <w:start w:val="1"/>
      <w:numFmt w:val="decimal"/>
      <w:lvlText w:val="%1.%2.%3.%4.%5"/>
      <w:lvlJc w:val="left"/>
      <w:pPr>
        <w:tabs>
          <w:tab w:val="num" w:pos="2160"/>
        </w:tabs>
        <w:ind w:left="2160" w:hanging="1080"/>
      </w:pPr>
    </w:lvl>
    <w:lvl w:ilvl="5">
      <w:start w:val="1"/>
      <w:numFmt w:val="decimal"/>
      <w:lvlText w:val="%1.%2.%3.%4.%5.%6"/>
      <w:lvlJc w:val="left"/>
      <w:pPr>
        <w:tabs>
          <w:tab w:val="num" w:pos="2160"/>
        </w:tabs>
        <w:ind w:left="2160" w:hanging="1080"/>
      </w:pPr>
    </w:lvl>
    <w:lvl w:ilvl="6">
      <w:start w:val="1"/>
      <w:numFmt w:val="decimal"/>
      <w:lvlText w:val="%1.%2.%3.%4.%5.%6.%7"/>
      <w:lvlJc w:val="left"/>
      <w:pPr>
        <w:tabs>
          <w:tab w:val="num" w:pos="2520"/>
        </w:tabs>
        <w:ind w:left="2520" w:hanging="1440"/>
      </w:pPr>
    </w:lvl>
    <w:lvl w:ilvl="7">
      <w:start w:val="1"/>
      <w:numFmt w:val="decimal"/>
      <w:lvlText w:val="%1.%2.%3.%4.%5.%6.%7.%8"/>
      <w:lvlJc w:val="left"/>
      <w:pPr>
        <w:tabs>
          <w:tab w:val="num" w:pos="2520"/>
        </w:tabs>
        <w:ind w:left="2520" w:hanging="1440"/>
      </w:pPr>
    </w:lvl>
    <w:lvl w:ilvl="8">
      <w:start w:val="1"/>
      <w:numFmt w:val="decimal"/>
      <w:lvlText w:val="%1.%2.%3.%4.%5.%6.%7.%8.%9"/>
      <w:lvlJc w:val="left"/>
      <w:pPr>
        <w:tabs>
          <w:tab w:val="num" w:pos="2880"/>
        </w:tabs>
        <w:ind w:left="2880" w:hanging="1800"/>
      </w:pPr>
    </w:lvl>
  </w:abstractNum>
  <w:abstractNum w:abstractNumId="399" w15:restartNumberingAfterBreak="0">
    <w:nsid w:val="701659E0"/>
    <w:multiLevelType w:val="hybridMultilevel"/>
    <w:tmpl w:val="244A9EA6"/>
    <w:lvl w:ilvl="0" w:tplc="DA5C8EFA">
      <w:start w:val="1"/>
      <w:numFmt w:val="bullet"/>
      <w:lvlText w:val=""/>
      <w:lvlJc w:val="left"/>
      <w:pPr>
        <w:ind w:left="360" w:hanging="360"/>
      </w:pPr>
      <w:rPr>
        <w:rFonts w:ascii="Symbol" w:hAnsi="Symbol" w:hint="default"/>
        <w:lang w:val="es-CO"/>
      </w:rPr>
    </w:lvl>
    <w:lvl w:ilvl="1" w:tplc="240A0003">
      <w:start w:val="1"/>
      <w:numFmt w:val="bullet"/>
      <w:lvlText w:val="o"/>
      <w:lvlJc w:val="left"/>
      <w:pPr>
        <w:ind w:left="1080" w:hanging="360"/>
      </w:pPr>
      <w:rPr>
        <w:rFonts w:ascii="Courier New" w:hAnsi="Courier New" w:cs="Courier New" w:hint="default"/>
      </w:rPr>
    </w:lvl>
    <w:lvl w:ilvl="2" w:tplc="240A0005">
      <w:start w:val="1"/>
      <w:numFmt w:val="bullet"/>
      <w:lvlText w:val=""/>
      <w:lvlJc w:val="left"/>
      <w:pPr>
        <w:ind w:left="1800" w:hanging="360"/>
      </w:pPr>
      <w:rPr>
        <w:rFonts w:ascii="Wingdings" w:hAnsi="Wingdings" w:hint="default"/>
      </w:rPr>
    </w:lvl>
    <w:lvl w:ilvl="3" w:tplc="19AEA178">
      <w:numFmt w:val="bullet"/>
      <w:lvlText w:val="•"/>
      <w:lvlJc w:val="left"/>
      <w:pPr>
        <w:ind w:left="2865" w:hanging="705"/>
      </w:pPr>
      <w:rPr>
        <w:rFonts w:ascii="Arial" w:eastAsia="Times New Roman" w:hAnsi="Arial" w:cs="Arial" w:hint="default"/>
      </w:rPr>
    </w:lvl>
    <w:lvl w:ilvl="4" w:tplc="240A0003">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00" w15:restartNumberingAfterBreak="0">
    <w:nsid w:val="706475F5"/>
    <w:multiLevelType w:val="hybridMultilevel"/>
    <w:tmpl w:val="08283A80"/>
    <w:lvl w:ilvl="0" w:tplc="4DB80760">
      <w:start w:val="1"/>
      <w:numFmt w:val="bullet"/>
      <w:lvlText w:val="­"/>
      <w:lvlJc w:val="left"/>
      <w:pPr>
        <w:ind w:left="720" w:hanging="360"/>
      </w:pPr>
      <w:rPr>
        <w:rFonts w:ascii="Courier New" w:hAnsi="Courier New" w:cs="Times New Roman" w:hint="default"/>
        <w:color w:val="auto"/>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01" w15:restartNumberingAfterBreak="0">
    <w:nsid w:val="710941BA"/>
    <w:multiLevelType w:val="hybridMultilevel"/>
    <w:tmpl w:val="A2947BD6"/>
    <w:lvl w:ilvl="0" w:tplc="240A0001">
      <w:start w:val="1"/>
      <w:numFmt w:val="bullet"/>
      <w:lvlText w:val=""/>
      <w:lvlJc w:val="left"/>
      <w:pPr>
        <w:ind w:left="360" w:hanging="360"/>
      </w:pPr>
      <w:rPr>
        <w:rFonts w:ascii="Symbol" w:hAnsi="Symbol" w:hint="default"/>
      </w:rPr>
    </w:lvl>
    <w:lvl w:ilvl="1" w:tplc="26169528">
      <w:start w:val="1"/>
      <w:numFmt w:val="lowerLetter"/>
      <w:lvlText w:val="%2."/>
      <w:lvlJc w:val="left"/>
      <w:pPr>
        <w:ind w:left="1425" w:hanging="705"/>
      </w:pPr>
      <w:rPr>
        <w:rFonts w:hint="default"/>
      </w:rPr>
    </w:lvl>
    <w:lvl w:ilvl="2" w:tplc="F2B4939A">
      <w:start w:val="1"/>
      <w:numFmt w:val="lowerLetter"/>
      <w:lvlText w:val="%3)"/>
      <w:lvlJc w:val="left"/>
      <w:pPr>
        <w:ind w:left="1980" w:hanging="360"/>
      </w:pPr>
      <w:rPr>
        <w:rFonts w:hint="default"/>
        <w:b/>
      </w:r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402" w15:restartNumberingAfterBreak="0">
    <w:nsid w:val="71CE3103"/>
    <w:multiLevelType w:val="hybridMultilevel"/>
    <w:tmpl w:val="E8B2AEBA"/>
    <w:lvl w:ilvl="0" w:tplc="240A0001">
      <w:start w:val="1"/>
      <w:numFmt w:val="bullet"/>
      <w:lvlText w:val=""/>
      <w:lvlJc w:val="left"/>
      <w:pPr>
        <w:ind w:left="360" w:hanging="360"/>
      </w:pPr>
      <w:rPr>
        <w:rFonts w:ascii="Symbol" w:hAnsi="Symbol" w:hint="default"/>
      </w:rPr>
    </w:lvl>
    <w:lvl w:ilvl="1" w:tplc="240A0003">
      <w:start w:val="1"/>
      <w:numFmt w:val="bullet"/>
      <w:lvlText w:val="o"/>
      <w:lvlJc w:val="left"/>
      <w:pPr>
        <w:ind w:left="1080" w:hanging="360"/>
      </w:pPr>
      <w:rPr>
        <w:rFonts w:ascii="Courier New" w:hAnsi="Courier New" w:cs="Vrinda" w:hint="default"/>
      </w:rPr>
    </w:lvl>
    <w:lvl w:ilvl="2" w:tplc="240A0005">
      <w:start w:val="1"/>
      <w:numFmt w:val="bullet"/>
      <w:lvlText w:val=""/>
      <w:lvlJc w:val="left"/>
      <w:pPr>
        <w:ind w:left="1800" w:hanging="360"/>
      </w:pPr>
      <w:rPr>
        <w:rFonts w:ascii="Wingdings" w:hAnsi="Wingdings" w:hint="default"/>
      </w:rPr>
    </w:lvl>
    <w:lvl w:ilvl="3" w:tplc="240A0001">
      <w:start w:val="1"/>
      <w:numFmt w:val="bullet"/>
      <w:lvlText w:val=""/>
      <w:lvlJc w:val="left"/>
      <w:pPr>
        <w:ind w:left="2520" w:hanging="360"/>
      </w:pPr>
      <w:rPr>
        <w:rFonts w:ascii="Symbol" w:hAnsi="Symbol" w:hint="default"/>
      </w:rPr>
    </w:lvl>
    <w:lvl w:ilvl="4" w:tplc="240A0003">
      <w:start w:val="1"/>
      <w:numFmt w:val="bullet"/>
      <w:lvlText w:val="o"/>
      <w:lvlJc w:val="left"/>
      <w:pPr>
        <w:ind w:left="3240" w:hanging="360"/>
      </w:pPr>
      <w:rPr>
        <w:rFonts w:ascii="Courier New" w:hAnsi="Courier New" w:cs="Vrinda" w:hint="default"/>
      </w:rPr>
    </w:lvl>
    <w:lvl w:ilvl="5" w:tplc="240A0005">
      <w:start w:val="1"/>
      <w:numFmt w:val="bullet"/>
      <w:lvlText w:val=""/>
      <w:lvlJc w:val="left"/>
      <w:pPr>
        <w:ind w:left="3960" w:hanging="360"/>
      </w:pPr>
      <w:rPr>
        <w:rFonts w:ascii="Wingdings" w:hAnsi="Wingdings" w:hint="default"/>
      </w:rPr>
    </w:lvl>
    <w:lvl w:ilvl="6" w:tplc="240A0001">
      <w:start w:val="1"/>
      <w:numFmt w:val="bullet"/>
      <w:lvlText w:val=""/>
      <w:lvlJc w:val="left"/>
      <w:pPr>
        <w:ind w:left="4680" w:hanging="360"/>
      </w:pPr>
      <w:rPr>
        <w:rFonts w:ascii="Symbol" w:hAnsi="Symbol" w:hint="default"/>
      </w:rPr>
    </w:lvl>
    <w:lvl w:ilvl="7" w:tplc="240A0003">
      <w:start w:val="1"/>
      <w:numFmt w:val="bullet"/>
      <w:lvlText w:val="o"/>
      <w:lvlJc w:val="left"/>
      <w:pPr>
        <w:ind w:left="5400" w:hanging="360"/>
      </w:pPr>
      <w:rPr>
        <w:rFonts w:ascii="Courier New" w:hAnsi="Courier New" w:cs="Vrinda" w:hint="default"/>
      </w:rPr>
    </w:lvl>
    <w:lvl w:ilvl="8" w:tplc="240A0005">
      <w:start w:val="1"/>
      <w:numFmt w:val="bullet"/>
      <w:lvlText w:val=""/>
      <w:lvlJc w:val="left"/>
      <w:pPr>
        <w:ind w:left="6120" w:hanging="360"/>
      </w:pPr>
      <w:rPr>
        <w:rFonts w:ascii="Wingdings" w:hAnsi="Wingdings" w:hint="default"/>
      </w:rPr>
    </w:lvl>
  </w:abstractNum>
  <w:abstractNum w:abstractNumId="403" w15:restartNumberingAfterBreak="0">
    <w:nsid w:val="72835D97"/>
    <w:multiLevelType w:val="hybridMultilevel"/>
    <w:tmpl w:val="F9F8216C"/>
    <w:lvl w:ilvl="0" w:tplc="D8A6D34E">
      <w:start w:val="1"/>
      <w:numFmt w:val="lowerRoman"/>
      <w:lvlText w:val="%1."/>
      <w:lvlJc w:val="left"/>
      <w:pPr>
        <w:ind w:left="1080" w:hanging="72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04" w15:restartNumberingAfterBreak="0">
    <w:nsid w:val="7418085E"/>
    <w:multiLevelType w:val="hybridMultilevel"/>
    <w:tmpl w:val="03041546"/>
    <w:lvl w:ilvl="0" w:tplc="240A0001">
      <w:start w:val="1"/>
      <w:numFmt w:val="bullet"/>
      <w:lvlText w:val=""/>
      <w:lvlJc w:val="left"/>
      <w:pPr>
        <w:ind w:left="1146" w:hanging="360"/>
      </w:pPr>
      <w:rPr>
        <w:rFonts w:ascii="Symbol" w:hAnsi="Symbol" w:hint="default"/>
      </w:rPr>
    </w:lvl>
    <w:lvl w:ilvl="1" w:tplc="240A0003" w:tentative="1">
      <w:start w:val="1"/>
      <w:numFmt w:val="bullet"/>
      <w:lvlText w:val="o"/>
      <w:lvlJc w:val="left"/>
      <w:pPr>
        <w:ind w:left="1866" w:hanging="360"/>
      </w:pPr>
      <w:rPr>
        <w:rFonts w:ascii="Courier New" w:hAnsi="Courier New" w:cs="Courier New" w:hint="default"/>
      </w:rPr>
    </w:lvl>
    <w:lvl w:ilvl="2" w:tplc="240A0005" w:tentative="1">
      <w:start w:val="1"/>
      <w:numFmt w:val="bullet"/>
      <w:lvlText w:val=""/>
      <w:lvlJc w:val="left"/>
      <w:pPr>
        <w:ind w:left="2586" w:hanging="360"/>
      </w:pPr>
      <w:rPr>
        <w:rFonts w:ascii="Wingdings" w:hAnsi="Wingdings" w:hint="default"/>
      </w:rPr>
    </w:lvl>
    <w:lvl w:ilvl="3" w:tplc="240A0001" w:tentative="1">
      <w:start w:val="1"/>
      <w:numFmt w:val="bullet"/>
      <w:lvlText w:val=""/>
      <w:lvlJc w:val="left"/>
      <w:pPr>
        <w:ind w:left="3306" w:hanging="360"/>
      </w:pPr>
      <w:rPr>
        <w:rFonts w:ascii="Symbol" w:hAnsi="Symbol" w:hint="default"/>
      </w:rPr>
    </w:lvl>
    <w:lvl w:ilvl="4" w:tplc="240A0003" w:tentative="1">
      <w:start w:val="1"/>
      <w:numFmt w:val="bullet"/>
      <w:lvlText w:val="o"/>
      <w:lvlJc w:val="left"/>
      <w:pPr>
        <w:ind w:left="4026" w:hanging="360"/>
      </w:pPr>
      <w:rPr>
        <w:rFonts w:ascii="Courier New" w:hAnsi="Courier New" w:cs="Courier New" w:hint="default"/>
      </w:rPr>
    </w:lvl>
    <w:lvl w:ilvl="5" w:tplc="240A0005" w:tentative="1">
      <w:start w:val="1"/>
      <w:numFmt w:val="bullet"/>
      <w:lvlText w:val=""/>
      <w:lvlJc w:val="left"/>
      <w:pPr>
        <w:ind w:left="4746" w:hanging="360"/>
      </w:pPr>
      <w:rPr>
        <w:rFonts w:ascii="Wingdings" w:hAnsi="Wingdings" w:hint="default"/>
      </w:rPr>
    </w:lvl>
    <w:lvl w:ilvl="6" w:tplc="240A0001" w:tentative="1">
      <w:start w:val="1"/>
      <w:numFmt w:val="bullet"/>
      <w:lvlText w:val=""/>
      <w:lvlJc w:val="left"/>
      <w:pPr>
        <w:ind w:left="5466" w:hanging="360"/>
      </w:pPr>
      <w:rPr>
        <w:rFonts w:ascii="Symbol" w:hAnsi="Symbol" w:hint="default"/>
      </w:rPr>
    </w:lvl>
    <w:lvl w:ilvl="7" w:tplc="240A0003" w:tentative="1">
      <w:start w:val="1"/>
      <w:numFmt w:val="bullet"/>
      <w:lvlText w:val="o"/>
      <w:lvlJc w:val="left"/>
      <w:pPr>
        <w:ind w:left="6186" w:hanging="360"/>
      </w:pPr>
      <w:rPr>
        <w:rFonts w:ascii="Courier New" w:hAnsi="Courier New" w:cs="Courier New" w:hint="default"/>
      </w:rPr>
    </w:lvl>
    <w:lvl w:ilvl="8" w:tplc="240A0005" w:tentative="1">
      <w:start w:val="1"/>
      <w:numFmt w:val="bullet"/>
      <w:lvlText w:val=""/>
      <w:lvlJc w:val="left"/>
      <w:pPr>
        <w:ind w:left="6906" w:hanging="360"/>
      </w:pPr>
      <w:rPr>
        <w:rFonts w:ascii="Wingdings" w:hAnsi="Wingdings" w:hint="default"/>
      </w:rPr>
    </w:lvl>
  </w:abstractNum>
  <w:abstractNum w:abstractNumId="405" w15:restartNumberingAfterBreak="0">
    <w:nsid w:val="7440021D"/>
    <w:multiLevelType w:val="hybridMultilevel"/>
    <w:tmpl w:val="5D143C42"/>
    <w:lvl w:ilvl="0" w:tplc="240A000D">
      <w:start w:val="1"/>
      <w:numFmt w:val="bullet"/>
      <w:lvlText w:val=""/>
      <w:lvlJc w:val="left"/>
      <w:pPr>
        <w:ind w:left="1080" w:hanging="360"/>
      </w:pPr>
      <w:rPr>
        <w:rFonts w:ascii="Wingdings" w:hAnsi="Wingdings"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406" w15:restartNumberingAfterBreak="0">
    <w:nsid w:val="74704960"/>
    <w:multiLevelType w:val="hybridMultilevel"/>
    <w:tmpl w:val="A86CD40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07" w15:restartNumberingAfterBreak="0">
    <w:nsid w:val="748678D6"/>
    <w:multiLevelType w:val="hybridMultilevel"/>
    <w:tmpl w:val="5FDCE356"/>
    <w:lvl w:ilvl="0" w:tplc="F2B4939A">
      <w:start w:val="1"/>
      <w:numFmt w:val="lowerLetter"/>
      <w:lvlText w:val="%1)"/>
      <w:lvlJc w:val="left"/>
      <w:pPr>
        <w:ind w:left="720" w:hanging="360"/>
      </w:pPr>
      <w:rPr>
        <w:rFonts w:hint="default"/>
        <w:b/>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59D00124">
      <w:start w:val="727"/>
      <w:numFmt w:val="bullet"/>
      <w:lvlText w:val="-"/>
      <w:lvlJc w:val="left"/>
      <w:pPr>
        <w:ind w:left="2880" w:hanging="360"/>
      </w:pPr>
      <w:rPr>
        <w:rFonts w:ascii="Calibri" w:eastAsiaTheme="minorHAnsi" w:hAnsi="Calibri" w:cstheme="minorBidi"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08" w15:restartNumberingAfterBreak="0">
    <w:nsid w:val="748E4A94"/>
    <w:multiLevelType w:val="hybridMultilevel"/>
    <w:tmpl w:val="A574E9B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09" w15:restartNumberingAfterBreak="0">
    <w:nsid w:val="74A23EBE"/>
    <w:multiLevelType w:val="multilevel"/>
    <w:tmpl w:val="A0EC06EC"/>
    <w:lvl w:ilvl="0">
      <w:start w:val="1"/>
      <w:numFmt w:val="bullet"/>
      <w:lvlText w:val=""/>
      <w:lvlJc w:val="left"/>
      <w:pPr>
        <w:ind w:left="720" w:hanging="720"/>
      </w:pPr>
      <w:rPr>
        <w:rFonts w:ascii="Wingdings" w:hAnsi="Wingding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10" w15:restartNumberingAfterBreak="0">
    <w:nsid w:val="74DD0B7D"/>
    <w:multiLevelType w:val="hybridMultilevel"/>
    <w:tmpl w:val="F72AB074"/>
    <w:lvl w:ilvl="0" w:tplc="4DB80760">
      <w:start w:val="1"/>
      <w:numFmt w:val="bullet"/>
      <w:lvlText w:val="­"/>
      <w:lvlJc w:val="left"/>
      <w:pPr>
        <w:ind w:left="720" w:hanging="360"/>
      </w:pPr>
      <w:rPr>
        <w:rFonts w:ascii="Courier New" w:hAnsi="Courier New" w:cs="Times New Roman" w:hint="default"/>
        <w:color w:val="auto"/>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11" w15:restartNumberingAfterBreak="0">
    <w:nsid w:val="752B443A"/>
    <w:multiLevelType w:val="hybridMultilevel"/>
    <w:tmpl w:val="4F84DD7C"/>
    <w:lvl w:ilvl="0" w:tplc="4DB80760">
      <w:start w:val="1"/>
      <w:numFmt w:val="bullet"/>
      <w:lvlText w:val="­"/>
      <w:lvlJc w:val="left"/>
      <w:pPr>
        <w:ind w:left="720" w:hanging="360"/>
      </w:pPr>
      <w:rPr>
        <w:rFonts w:ascii="Courier New" w:hAnsi="Courier New" w:cs="Times New Roman" w:hint="default"/>
        <w:color w:val="auto"/>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12" w15:restartNumberingAfterBreak="0">
    <w:nsid w:val="755A60C4"/>
    <w:multiLevelType w:val="hybridMultilevel"/>
    <w:tmpl w:val="71D8D470"/>
    <w:lvl w:ilvl="0" w:tplc="48A43A4A">
      <w:numFmt w:val="bullet"/>
      <w:lvlText w:val="•"/>
      <w:lvlJc w:val="left"/>
      <w:pPr>
        <w:ind w:left="1065" w:hanging="705"/>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13" w15:restartNumberingAfterBreak="0">
    <w:nsid w:val="75E92ECD"/>
    <w:multiLevelType w:val="hybridMultilevel"/>
    <w:tmpl w:val="31560418"/>
    <w:lvl w:ilvl="0" w:tplc="4DB80760">
      <w:start w:val="1"/>
      <w:numFmt w:val="bullet"/>
      <w:lvlText w:val="­"/>
      <w:lvlJc w:val="left"/>
      <w:pPr>
        <w:ind w:left="720" w:hanging="360"/>
      </w:pPr>
      <w:rPr>
        <w:rFonts w:ascii="Courier New" w:hAnsi="Courier New" w:cs="Times New Roman"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14" w15:restartNumberingAfterBreak="0">
    <w:nsid w:val="75FE58BA"/>
    <w:multiLevelType w:val="hybridMultilevel"/>
    <w:tmpl w:val="23526338"/>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15" w15:restartNumberingAfterBreak="0">
    <w:nsid w:val="76156207"/>
    <w:multiLevelType w:val="hybridMultilevel"/>
    <w:tmpl w:val="C18474EC"/>
    <w:lvl w:ilvl="0" w:tplc="E84C41B8">
      <w:numFmt w:val="bullet"/>
      <w:lvlText w:val="-"/>
      <w:lvlJc w:val="left"/>
      <w:pPr>
        <w:ind w:left="720" w:hanging="360"/>
      </w:pPr>
      <w:rPr>
        <w:rFonts w:ascii="Arial" w:eastAsia="Times New Roman"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16" w15:restartNumberingAfterBreak="0">
    <w:nsid w:val="76317A91"/>
    <w:multiLevelType w:val="hybridMultilevel"/>
    <w:tmpl w:val="21A04AA8"/>
    <w:lvl w:ilvl="0" w:tplc="240A0003">
      <w:start w:val="1"/>
      <w:numFmt w:val="bullet"/>
      <w:lvlText w:val="o"/>
      <w:lvlJc w:val="left"/>
      <w:pPr>
        <w:ind w:left="720" w:hanging="360"/>
      </w:pPr>
      <w:rPr>
        <w:rFonts w:ascii="Courier New" w:hAnsi="Courier New" w:cs="Courier New"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17" w15:restartNumberingAfterBreak="0">
    <w:nsid w:val="763D6689"/>
    <w:multiLevelType w:val="hybridMultilevel"/>
    <w:tmpl w:val="999EC712"/>
    <w:lvl w:ilvl="0" w:tplc="240A0013">
      <w:start w:val="1"/>
      <w:numFmt w:val="upperRoman"/>
      <w:lvlText w:val="%1."/>
      <w:lvlJc w:val="righ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18" w15:restartNumberingAfterBreak="0">
    <w:nsid w:val="76E02FD4"/>
    <w:multiLevelType w:val="hybridMultilevel"/>
    <w:tmpl w:val="934405D4"/>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19" w15:restartNumberingAfterBreak="0">
    <w:nsid w:val="77067EE1"/>
    <w:multiLevelType w:val="hybridMultilevel"/>
    <w:tmpl w:val="A7E806C0"/>
    <w:lvl w:ilvl="0" w:tplc="240A0019">
      <w:start w:val="1"/>
      <w:numFmt w:val="lowerLetter"/>
      <w:lvlText w:val="%1."/>
      <w:lvlJc w:val="left"/>
      <w:pPr>
        <w:ind w:left="360" w:hanging="360"/>
      </w:pPr>
    </w:lvl>
    <w:lvl w:ilvl="1" w:tplc="240A0019">
      <w:start w:val="1"/>
      <w:numFmt w:val="lowerLetter"/>
      <w:lvlText w:val="%2."/>
      <w:lvlJc w:val="left"/>
      <w:pPr>
        <w:ind w:left="1080" w:hanging="360"/>
      </w:pPr>
    </w:lvl>
    <w:lvl w:ilvl="2" w:tplc="240A001B">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420" w15:restartNumberingAfterBreak="0">
    <w:nsid w:val="771E12A8"/>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21" w15:restartNumberingAfterBreak="0">
    <w:nsid w:val="77374C17"/>
    <w:multiLevelType w:val="hybridMultilevel"/>
    <w:tmpl w:val="EC52AC7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22" w15:restartNumberingAfterBreak="0">
    <w:nsid w:val="773C0F75"/>
    <w:multiLevelType w:val="hybridMultilevel"/>
    <w:tmpl w:val="708080A8"/>
    <w:lvl w:ilvl="0" w:tplc="4DB80760">
      <w:start w:val="1"/>
      <w:numFmt w:val="bullet"/>
      <w:lvlText w:val="­"/>
      <w:lvlJc w:val="left"/>
      <w:pPr>
        <w:ind w:left="720" w:hanging="360"/>
      </w:pPr>
      <w:rPr>
        <w:rFonts w:ascii="Courier New" w:hAnsi="Courier New" w:cs="Times New Roman"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23" w15:restartNumberingAfterBreak="0">
    <w:nsid w:val="775E2428"/>
    <w:multiLevelType w:val="hybridMultilevel"/>
    <w:tmpl w:val="A85A36F6"/>
    <w:lvl w:ilvl="0" w:tplc="BB2AAC48">
      <w:start w:val="1"/>
      <w:numFmt w:val="bullet"/>
      <w:lvlText w:val=""/>
      <w:lvlJc w:val="left"/>
      <w:pPr>
        <w:ind w:left="720" w:hanging="360"/>
      </w:pPr>
      <w:rPr>
        <w:rFonts w:ascii="Symbol" w:hAnsi="Symbol" w:hint="default"/>
        <w:sz w:val="24"/>
        <w:lang w:val="es-ES"/>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24" w15:restartNumberingAfterBreak="0">
    <w:nsid w:val="776C3B0A"/>
    <w:multiLevelType w:val="hybridMultilevel"/>
    <w:tmpl w:val="6EDC4B0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25" w15:restartNumberingAfterBreak="0">
    <w:nsid w:val="77A36B08"/>
    <w:multiLevelType w:val="hybridMultilevel"/>
    <w:tmpl w:val="B658BF9E"/>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26" w15:restartNumberingAfterBreak="0">
    <w:nsid w:val="77C1768A"/>
    <w:multiLevelType w:val="multilevel"/>
    <w:tmpl w:val="D2E88670"/>
    <w:lvl w:ilvl="0">
      <w:start w:val="1"/>
      <w:numFmt w:val="decimal"/>
      <w:lvlText w:val="%1"/>
      <w:lvlJc w:val="left"/>
      <w:pPr>
        <w:ind w:left="705" w:hanging="705"/>
      </w:pPr>
      <w:rPr>
        <w:rFonts w:hint="default"/>
      </w:rPr>
    </w:lvl>
    <w:lvl w:ilvl="1">
      <w:start w:val="1"/>
      <w:numFmt w:val="decimal"/>
      <w:lvlText w:val="%1.%2"/>
      <w:lvlJc w:val="left"/>
      <w:pPr>
        <w:ind w:left="705" w:hanging="7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27" w15:restartNumberingAfterBreak="0">
    <w:nsid w:val="787F7BF9"/>
    <w:multiLevelType w:val="hybridMultilevel"/>
    <w:tmpl w:val="A57E5B68"/>
    <w:lvl w:ilvl="0" w:tplc="04090001">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428" w15:restartNumberingAfterBreak="0">
    <w:nsid w:val="78AD60E7"/>
    <w:multiLevelType w:val="hybridMultilevel"/>
    <w:tmpl w:val="9B64F0E0"/>
    <w:lvl w:ilvl="0" w:tplc="59D00124">
      <w:start w:val="727"/>
      <w:numFmt w:val="bullet"/>
      <w:lvlText w:val="-"/>
      <w:lvlJc w:val="left"/>
      <w:pPr>
        <w:ind w:left="720" w:hanging="360"/>
      </w:pPr>
      <w:rPr>
        <w:rFonts w:ascii="Calibri" w:eastAsiaTheme="minorHAnsi" w:hAnsi="Calibri" w:cstheme="minorBid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29" w15:restartNumberingAfterBreak="0">
    <w:nsid w:val="78AF2780"/>
    <w:multiLevelType w:val="multilevel"/>
    <w:tmpl w:val="1D8A9BC8"/>
    <w:lvl w:ilvl="0">
      <w:start w:val="2"/>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2"/>
      <w:numFmt w:val="decimal"/>
      <w:lvlText w:val="%1.%2.%3"/>
      <w:lvlJc w:val="left"/>
      <w:pPr>
        <w:ind w:left="720" w:hanging="720"/>
      </w:pPr>
      <w:rPr>
        <w:rFonts w:hint="default"/>
      </w:rPr>
    </w:lvl>
    <w:lvl w:ilvl="3">
      <w:start w:val="7"/>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30" w15:restartNumberingAfterBreak="0">
    <w:nsid w:val="78BF7B60"/>
    <w:multiLevelType w:val="hybridMultilevel"/>
    <w:tmpl w:val="A6B639B4"/>
    <w:lvl w:ilvl="0" w:tplc="4DB80760">
      <w:start w:val="1"/>
      <w:numFmt w:val="bullet"/>
      <w:lvlText w:val="­"/>
      <w:lvlJc w:val="left"/>
      <w:pPr>
        <w:ind w:left="360" w:hanging="360"/>
      </w:pPr>
      <w:rPr>
        <w:rFonts w:ascii="Courier New" w:hAnsi="Courier New" w:cs="Times New Roman" w:hint="default"/>
        <w:color w:val="auto"/>
      </w:rPr>
    </w:lvl>
    <w:lvl w:ilvl="1" w:tplc="1B4A25EA">
      <w:numFmt w:val="bullet"/>
      <w:lvlText w:val="•"/>
      <w:lvlJc w:val="left"/>
      <w:pPr>
        <w:ind w:left="1080" w:hanging="360"/>
      </w:pPr>
      <w:rPr>
        <w:rFonts w:ascii="Arial Narrow" w:eastAsia="Times New Roman" w:hAnsi="Arial Narrow" w:cs="Arial"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31" w15:restartNumberingAfterBreak="0">
    <w:nsid w:val="78E71AD0"/>
    <w:multiLevelType w:val="hybridMultilevel"/>
    <w:tmpl w:val="89A6094E"/>
    <w:lvl w:ilvl="0" w:tplc="4DB80760">
      <w:start w:val="1"/>
      <w:numFmt w:val="bullet"/>
      <w:lvlText w:val="­"/>
      <w:lvlJc w:val="left"/>
      <w:pPr>
        <w:ind w:left="720" w:hanging="360"/>
      </w:pPr>
      <w:rPr>
        <w:rFonts w:ascii="Courier New" w:hAnsi="Courier New" w:cs="Times New Roman" w:hint="default"/>
        <w:color w:val="auto"/>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32" w15:restartNumberingAfterBreak="0">
    <w:nsid w:val="790753B5"/>
    <w:multiLevelType w:val="multilevel"/>
    <w:tmpl w:val="3C7A76A0"/>
    <w:lvl w:ilvl="0">
      <w:start w:val="1"/>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33" w15:restartNumberingAfterBreak="0">
    <w:nsid w:val="79620288"/>
    <w:multiLevelType w:val="hybridMultilevel"/>
    <w:tmpl w:val="51602994"/>
    <w:lvl w:ilvl="0" w:tplc="0409000D">
      <w:start w:val="1"/>
      <w:numFmt w:val="bullet"/>
      <w:lvlText w:val=""/>
      <w:lvlJc w:val="left"/>
      <w:pPr>
        <w:ind w:left="1080" w:hanging="360"/>
      </w:pPr>
      <w:rPr>
        <w:rFonts w:ascii="Wingdings" w:hAnsi="Wingdings" w:hint="default"/>
      </w:rPr>
    </w:lvl>
    <w:lvl w:ilvl="1" w:tplc="580A0003" w:tentative="1">
      <w:start w:val="1"/>
      <w:numFmt w:val="bullet"/>
      <w:lvlText w:val="o"/>
      <w:lvlJc w:val="left"/>
      <w:pPr>
        <w:ind w:left="1800" w:hanging="360"/>
      </w:pPr>
      <w:rPr>
        <w:rFonts w:ascii="Courier New" w:hAnsi="Courier New" w:cs="Courier New" w:hint="default"/>
      </w:rPr>
    </w:lvl>
    <w:lvl w:ilvl="2" w:tplc="580A0005" w:tentative="1">
      <w:start w:val="1"/>
      <w:numFmt w:val="bullet"/>
      <w:lvlText w:val=""/>
      <w:lvlJc w:val="left"/>
      <w:pPr>
        <w:ind w:left="2520" w:hanging="360"/>
      </w:pPr>
      <w:rPr>
        <w:rFonts w:ascii="Wingdings" w:hAnsi="Wingdings" w:hint="default"/>
      </w:rPr>
    </w:lvl>
    <w:lvl w:ilvl="3" w:tplc="580A0001" w:tentative="1">
      <w:start w:val="1"/>
      <w:numFmt w:val="bullet"/>
      <w:lvlText w:val=""/>
      <w:lvlJc w:val="left"/>
      <w:pPr>
        <w:ind w:left="3240" w:hanging="360"/>
      </w:pPr>
      <w:rPr>
        <w:rFonts w:ascii="Symbol" w:hAnsi="Symbol" w:hint="default"/>
      </w:rPr>
    </w:lvl>
    <w:lvl w:ilvl="4" w:tplc="580A0003" w:tentative="1">
      <w:start w:val="1"/>
      <w:numFmt w:val="bullet"/>
      <w:lvlText w:val="o"/>
      <w:lvlJc w:val="left"/>
      <w:pPr>
        <w:ind w:left="3960" w:hanging="360"/>
      </w:pPr>
      <w:rPr>
        <w:rFonts w:ascii="Courier New" w:hAnsi="Courier New" w:cs="Courier New" w:hint="default"/>
      </w:rPr>
    </w:lvl>
    <w:lvl w:ilvl="5" w:tplc="580A0005" w:tentative="1">
      <w:start w:val="1"/>
      <w:numFmt w:val="bullet"/>
      <w:lvlText w:val=""/>
      <w:lvlJc w:val="left"/>
      <w:pPr>
        <w:ind w:left="4680" w:hanging="360"/>
      </w:pPr>
      <w:rPr>
        <w:rFonts w:ascii="Wingdings" w:hAnsi="Wingdings" w:hint="default"/>
      </w:rPr>
    </w:lvl>
    <w:lvl w:ilvl="6" w:tplc="580A0001" w:tentative="1">
      <w:start w:val="1"/>
      <w:numFmt w:val="bullet"/>
      <w:lvlText w:val=""/>
      <w:lvlJc w:val="left"/>
      <w:pPr>
        <w:ind w:left="5400" w:hanging="360"/>
      </w:pPr>
      <w:rPr>
        <w:rFonts w:ascii="Symbol" w:hAnsi="Symbol" w:hint="default"/>
      </w:rPr>
    </w:lvl>
    <w:lvl w:ilvl="7" w:tplc="580A0003" w:tentative="1">
      <w:start w:val="1"/>
      <w:numFmt w:val="bullet"/>
      <w:lvlText w:val="o"/>
      <w:lvlJc w:val="left"/>
      <w:pPr>
        <w:ind w:left="6120" w:hanging="360"/>
      </w:pPr>
      <w:rPr>
        <w:rFonts w:ascii="Courier New" w:hAnsi="Courier New" w:cs="Courier New" w:hint="default"/>
      </w:rPr>
    </w:lvl>
    <w:lvl w:ilvl="8" w:tplc="580A0005" w:tentative="1">
      <w:start w:val="1"/>
      <w:numFmt w:val="bullet"/>
      <w:lvlText w:val=""/>
      <w:lvlJc w:val="left"/>
      <w:pPr>
        <w:ind w:left="6840" w:hanging="360"/>
      </w:pPr>
      <w:rPr>
        <w:rFonts w:ascii="Wingdings" w:hAnsi="Wingdings" w:hint="default"/>
      </w:rPr>
    </w:lvl>
  </w:abstractNum>
  <w:abstractNum w:abstractNumId="434" w15:restartNumberingAfterBreak="0">
    <w:nsid w:val="79852FDA"/>
    <w:multiLevelType w:val="hybridMultilevel"/>
    <w:tmpl w:val="10CE31A4"/>
    <w:lvl w:ilvl="0" w:tplc="A690690A">
      <w:start w:val="1"/>
      <w:numFmt w:val="lowerRoman"/>
      <w:lvlText w:val="%1)"/>
      <w:lvlJc w:val="left"/>
      <w:pPr>
        <w:ind w:left="1080" w:hanging="72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35" w15:restartNumberingAfterBreak="0">
    <w:nsid w:val="7A3F2122"/>
    <w:multiLevelType w:val="hybridMultilevel"/>
    <w:tmpl w:val="B8D69F40"/>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436" w15:restartNumberingAfterBreak="0">
    <w:nsid w:val="7A531BCB"/>
    <w:multiLevelType w:val="hybridMultilevel"/>
    <w:tmpl w:val="0550285E"/>
    <w:lvl w:ilvl="0" w:tplc="240A0017">
      <w:start w:val="1"/>
      <w:numFmt w:val="lowerLetter"/>
      <w:lvlText w:val="%1)"/>
      <w:lvlJc w:val="left"/>
      <w:pPr>
        <w:ind w:left="1004" w:hanging="360"/>
      </w:pPr>
    </w:lvl>
    <w:lvl w:ilvl="1" w:tplc="240A0019" w:tentative="1">
      <w:start w:val="1"/>
      <w:numFmt w:val="lowerLetter"/>
      <w:lvlText w:val="%2."/>
      <w:lvlJc w:val="left"/>
      <w:pPr>
        <w:ind w:left="1724" w:hanging="360"/>
      </w:pPr>
    </w:lvl>
    <w:lvl w:ilvl="2" w:tplc="240A001B" w:tentative="1">
      <w:start w:val="1"/>
      <w:numFmt w:val="lowerRoman"/>
      <w:lvlText w:val="%3."/>
      <w:lvlJc w:val="right"/>
      <w:pPr>
        <w:ind w:left="2444" w:hanging="180"/>
      </w:pPr>
    </w:lvl>
    <w:lvl w:ilvl="3" w:tplc="240A000F" w:tentative="1">
      <w:start w:val="1"/>
      <w:numFmt w:val="decimal"/>
      <w:lvlText w:val="%4."/>
      <w:lvlJc w:val="left"/>
      <w:pPr>
        <w:ind w:left="3164" w:hanging="360"/>
      </w:pPr>
    </w:lvl>
    <w:lvl w:ilvl="4" w:tplc="240A0019" w:tentative="1">
      <w:start w:val="1"/>
      <w:numFmt w:val="lowerLetter"/>
      <w:lvlText w:val="%5."/>
      <w:lvlJc w:val="left"/>
      <w:pPr>
        <w:ind w:left="3884" w:hanging="360"/>
      </w:pPr>
    </w:lvl>
    <w:lvl w:ilvl="5" w:tplc="240A001B" w:tentative="1">
      <w:start w:val="1"/>
      <w:numFmt w:val="lowerRoman"/>
      <w:lvlText w:val="%6."/>
      <w:lvlJc w:val="right"/>
      <w:pPr>
        <w:ind w:left="4604" w:hanging="180"/>
      </w:pPr>
    </w:lvl>
    <w:lvl w:ilvl="6" w:tplc="240A000F" w:tentative="1">
      <w:start w:val="1"/>
      <w:numFmt w:val="decimal"/>
      <w:lvlText w:val="%7."/>
      <w:lvlJc w:val="left"/>
      <w:pPr>
        <w:ind w:left="5324" w:hanging="360"/>
      </w:pPr>
    </w:lvl>
    <w:lvl w:ilvl="7" w:tplc="240A0019" w:tentative="1">
      <w:start w:val="1"/>
      <w:numFmt w:val="lowerLetter"/>
      <w:lvlText w:val="%8."/>
      <w:lvlJc w:val="left"/>
      <w:pPr>
        <w:ind w:left="6044" w:hanging="360"/>
      </w:pPr>
    </w:lvl>
    <w:lvl w:ilvl="8" w:tplc="240A001B" w:tentative="1">
      <w:start w:val="1"/>
      <w:numFmt w:val="lowerRoman"/>
      <w:lvlText w:val="%9."/>
      <w:lvlJc w:val="right"/>
      <w:pPr>
        <w:ind w:left="6764" w:hanging="180"/>
      </w:pPr>
    </w:lvl>
  </w:abstractNum>
  <w:abstractNum w:abstractNumId="437" w15:restartNumberingAfterBreak="0">
    <w:nsid w:val="7A8C1C99"/>
    <w:multiLevelType w:val="hybridMultilevel"/>
    <w:tmpl w:val="AE1268BA"/>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38" w15:restartNumberingAfterBreak="0">
    <w:nsid w:val="7AE91E4B"/>
    <w:multiLevelType w:val="hybridMultilevel"/>
    <w:tmpl w:val="9DEC0C12"/>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39" w15:restartNumberingAfterBreak="0">
    <w:nsid w:val="7AF86094"/>
    <w:multiLevelType w:val="hybridMultilevel"/>
    <w:tmpl w:val="B810F624"/>
    <w:lvl w:ilvl="0" w:tplc="390E56E0">
      <w:start w:val="1"/>
      <w:numFmt w:val="bullet"/>
      <w:lvlText w:val="•"/>
      <w:lvlJc w:val="left"/>
      <w:pPr>
        <w:ind w:left="720" w:hanging="360"/>
      </w:pPr>
      <w:rPr>
        <w:rFonts w:ascii="Arial" w:hAnsi="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40" w15:restartNumberingAfterBreak="0">
    <w:nsid w:val="7B332B0A"/>
    <w:multiLevelType w:val="hybridMultilevel"/>
    <w:tmpl w:val="983841FA"/>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41" w15:restartNumberingAfterBreak="0">
    <w:nsid w:val="7B472D8C"/>
    <w:multiLevelType w:val="hybridMultilevel"/>
    <w:tmpl w:val="2D90530C"/>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42" w15:restartNumberingAfterBreak="0">
    <w:nsid w:val="7C57596F"/>
    <w:multiLevelType w:val="hybridMultilevel"/>
    <w:tmpl w:val="6302C092"/>
    <w:lvl w:ilvl="0" w:tplc="4DB80760">
      <w:start w:val="1"/>
      <w:numFmt w:val="bullet"/>
      <w:lvlText w:val="­"/>
      <w:lvlJc w:val="left"/>
      <w:pPr>
        <w:ind w:left="780" w:hanging="360"/>
      </w:pPr>
      <w:rPr>
        <w:rFonts w:ascii="Courier New" w:hAnsi="Courier New" w:cs="Times New Roman" w:hint="default"/>
        <w:color w:val="auto"/>
      </w:rPr>
    </w:lvl>
    <w:lvl w:ilvl="1" w:tplc="240A0003" w:tentative="1">
      <w:start w:val="1"/>
      <w:numFmt w:val="bullet"/>
      <w:lvlText w:val="o"/>
      <w:lvlJc w:val="left"/>
      <w:pPr>
        <w:ind w:left="1500" w:hanging="360"/>
      </w:pPr>
      <w:rPr>
        <w:rFonts w:ascii="Courier New" w:hAnsi="Courier New" w:cs="Courier New" w:hint="default"/>
      </w:rPr>
    </w:lvl>
    <w:lvl w:ilvl="2" w:tplc="240A0005" w:tentative="1">
      <w:start w:val="1"/>
      <w:numFmt w:val="bullet"/>
      <w:lvlText w:val=""/>
      <w:lvlJc w:val="left"/>
      <w:pPr>
        <w:ind w:left="2220" w:hanging="360"/>
      </w:pPr>
      <w:rPr>
        <w:rFonts w:ascii="Wingdings" w:hAnsi="Wingdings" w:hint="default"/>
      </w:rPr>
    </w:lvl>
    <w:lvl w:ilvl="3" w:tplc="240A0001" w:tentative="1">
      <w:start w:val="1"/>
      <w:numFmt w:val="bullet"/>
      <w:lvlText w:val=""/>
      <w:lvlJc w:val="left"/>
      <w:pPr>
        <w:ind w:left="2940" w:hanging="360"/>
      </w:pPr>
      <w:rPr>
        <w:rFonts w:ascii="Symbol" w:hAnsi="Symbol" w:hint="default"/>
      </w:rPr>
    </w:lvl>
    <w:lvl w:ilvl="4" w:tplc="240A0003" w:tentative="1">
      <w:start w:val="1"/>
      <w:numFmt w:val="bullet"/>
      <w:lvlText w:val="o"/>
      <w:lvlJc w:val="left"/>
      <w:pPr>
        <w:ind w:left="3660" w:hanging="360"/>
      </w:pPr>
      <w:rPr>
        <w:rFonts w:ascii="Courier New" w:hAnsi="Courier New" w:cs="Courier New" w:hint="default"/>
      </w:rPr>
    </w:lvl>
    <w:lvl w:ilvl="5" w:tplc="240A0005" w:tentative="1">
      <w:start w:val="1"/>
      <w:numFmt w:val="bullet"/>
      <w:lvlText w:val=""/>
      <w:lvlJc w:val="left"/>
      <w:pPr>
        <w:ind w:left="4380" w:hanging="360"/>
      </w:pPr>
      <w:rPr>
        <w:rFonts w:ascii="Wingdings" w:hAnsi="Wingdings" w:hint="default"/>
      </w:rPr>
    </w:lvl>
    <w:lvl w:ilvl="6" w:tplc="240A0001" w:tentative="1">
      <w:start w:val="1"/>
      <w:numFmt w:val="bullet"/>
      <w:lvlText w:val=""/>
      <w:lvlJc w:val="left"/>
      <w:pPr>
        <w:ind w:left="5100" w:hanging="360"/>
      </w:pPr>
      <w:rPr>
        <w:rFonts w:ascii="Symbol" w:hAnsi="Symbol" w:hint="default"/>
      </w:rPr>
    </w:lvl>
    <w:lvl w:ilvl="7" w:tplc="240A0003" w:tentative="1">
      <w:start w:val="1"/>
      <w:numFmt w:val="bullet"/>
      <w:lvlText w:val="o"/>
      <w:lvlJc w:val="left"/>
      <w:pPr>
        <w:ind w:left="5820" w:hanging="360"/>
      </w:pPr>
      <w:rPr>
        <w:rFonts w:ascii="Courier New" w:hAnsi="Courier New" w:cs="Courier New" w:hint="default"/>
      </w:rPr>
    </w:lvl>
    <w:lvl w:ilvl="8" w:tplc="240A0005" w:tentative="1">
      <w:start w:val="1"/>
      <w:numFmt w:val="bullet"/>
      <w:lvlText w:val=""/>
      <w:lvlJc w:val="left"/>
      <w:pPr>
        <w:ind w:left="6540" w:hanging="360"/>
      </w:pPr>
      <w:rPr>
        <w:rFonts w:ascii="Wingdings" w:hAnsi="Wingdings" w:hint="default"/>
      </w:rPr>
    </w:lvl>
  </w:abstractNum>
  <w:abstractNum w:abstractNumId="443" w15:restartNumberingAfterBreak="0">
    <w:nsid w:val="7C7A324E"/>
    <w:multiLevelType w:val="hybridMultilevel"/>
    <w:tmpl w:val="33523F12"/>
    <w:lvl w:ilvl="0" w:tplc="3B26A1EA">
      <w:start w:val="1"/>
      <w:numFmt w:val="bullet"/>
      <w:lvlText w:val="-"/>
      <w:lvlJc w:val="left"/>
      <w:pPr>
        <w:ind w:left="720" w:hanging="360"/>
      </w:pPr>
      <w:rPr>
        <w:rFonts w:ascii="SimSun" w:eastAsia="SimSun" w:hAnsi="SimSun" w:hint="eastAsia"/>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44" w15:restartNumberingAfterBreak="0">
    <w:nsid w:val="7CC619C6"/>
    <w:multiLevelType w:val="hybridMultilevel"/>
    <w:tmpl w:val="F55C71DA"/>
    <w:lvl w:ilvl="0" w:tplc="E954D1AC">
      <w:numFmt w:val="bullet"/>
      <w:lvlText w:val="-"/>
      <w:lvlJc w:val="left"/>
      <w:pPr>
        <w:ind w:left="720" w:hanging="360"/>
      </w:pPr>
      <w:rPr>
        <w:rFonts w:ascii="Arial" w:eastAsia="Times New Roman"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45" w15:restartNumberingAfterBreak="0">
    <w:nsid w:val="7CF643ED"/>
    <w:multiLevelType w:val="hybridMultilevel"/>
    <w:tmpl w:val="35DEE048"/>
    <w:lvl w:ilvl="0" w:tplc="240A0013">
      <w:start w:val="1"/>
      <w:numFmt w:val="upperRoman"/>
      <w:lvlText w:val="%1."/>
      <w:lvlJc w:val="righ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46" w15:restartNumberingAfterBreak="0">
    <w:nsid w:val="7D9229EB"/>
    <w:multiLevelType w:val="hybridMultilevel"/>
    <w:tmpl w:val="8BA47CA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47" w15:restartNumberingAfterBreak="0">
    <w:nsid w:val="7DB736CF"/>
    <w:multiLevelType w:val="hybridMultilevel"/>
    <w:tmpl w:val="0250FE3A"/>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48" w15:restartNumberingAfterBreak="0">
    <w:nsid w:val="7E456734"/>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49" w15:restartNumberingAfterBreak="0">
    <w:nsid w:val="7E6714EB"/>
    <w:multiLevelType w:val="hybridMultilevel"/>
    <w:tmpl w:val="6D7CB42A"/>
    <w:lvl w:ilvl="0" w:tplc="ED2899BC">
      <w:numFmt w:val="bullet"/>
      <w:lvlText w:val="-"/>
      <w:lvlJc w:val="left"/>
      <w:pPr>
        <w:ind w:left="720" w:hanging="360"/>
      </w:pPr>
      <w:rPr>
        <w:rFonts w:ascii="Arial" w:eastAsia="Times New Roman" w:hAnsi="Arial" w:cs="Arial"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0" w15:restartNumberingAfterBreak="0">
    <w:nsid w:val="7EE610A2"/>
    <w:multiLevelType w:val="hybridMultilevel"/>
    <w:tmpl w:val="4C2A46B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51" w15:restartNumberingAfterBreak="0">
    <w:nsid w:val="7F1C38AB"/>
    <w:multiLevelType w:val="hybridMultilevel"/>
    <w:tmpl w:val="77DE1358"/>
    <w:lvl w:ilvl="0" w:tplc="240A000D">
      <w:start w:val="1"/>
      <w:numFmt w:val="bullet"/>
      <w:lvlText w:val=""/>
      <w:lvlJc w:val="left"/>
      <w:pPr>
        <w:ind w:left="1065" w:hanging="360"/>
      </w:pPr>
      <w:rPr>
        <w:rFonts w:ascii="Wingdings" w:hAnsi="Wingdings" w:hint="default"/>
      </w:rPr>
    </w:lvl>
    <w:lvl w:ilvl="1" w:tplc="240A0003" w:tentative="1">
      <w:start w:val="1"/>
      <w:numFmt w:val="bullet"/>
      <w:lvlText w:val="o"/>
      <w:lvlJc w:val="left"/>
      <w:pPr>
        <w:ind w:left="1785" w:hanging="360"/>
      </w:pPr>
      <w:rPr>
        <w:rFonts w:ascii="Courier New" w:hAnsi="Courier New" w:cs="Courier New" w:hint="default"/>
      </w:rPr>
    </w:lvl>
    <w:lvl w:ilvl="2" w:tplc="240A0005" w:tentative="1">
      <w:start w:val="1"/>
      <w:numFmt w:val="bullet"/>
      <w:lvlText w:val=""/>
      <w:lvlJc w:val="left"/>
      <w:pPr>
        <w:ind w:left="2505" w:hanging="360"/>
      </w:pPr>
      <w:rPr>
        <w:rFonts w:ascii="Wingdings" w:hAnsi="Wingdings" w:hint="default"/>
      </w:rPr>
    </w:lvl>
    <w:lvl w:ilvl="3" w:tplc="240A0001" w:tentative="1">
      <w:start w:val="1"/>
      <w:numFmt w:val="bullet"/>
      <w:lvlText w:val=""/>
      <w:lvlJc w:val="left"/>
      <w:pPr>
        <w:ind w:left="3225" w:hanging="360"/>
      </w:pPr>
      <w:rPr>
        <w:rFonts w:ascii="Symbol" w:hAnsi="Symbol" w:hint="default"/>
      </w:rPr>
    </w:lvl>
    <w:lvl w:ilvl="4" w:tplc="240A0003" w:tentative="1">
      <w:start w:val="1"/>
      <w:numFmt w:val="bullet"/>
      <w:lvlText w:val="o"/>
      <w:lvlJc w:val="left"/>
      <w:pPr>
        <w:ind w:left="3945" w:hanging="360"/>
      </w:pPr>
      <w:rPr>
        <w:rFonts w:ascii="Courier New" w:hAnsi="Courier New" w:cs="Courier New" w:hint="default"/>
      </w:rPr>
    </w:lvl>
    <w:lvl w:ilvl="5" w:tplc="240A0005" w:tentative="1">
      <w:start w:val="1"/>
      <w:numFmt w:val="bullet"/>
      <w:lvlText w:val=""/>
      <w:lvlJc w:val="left"/>
      <w:pPr>
        <w:ind w:left="4665" w:hanging="360"/>
      </w:pPr>
      <w:rPr>
        <w:rFonts w:ascii="Wingdings" w:hAnsi="Wingdings" w:hint="default"/>
      </w:rPr>
    </w:lvl>
    <w:lvl w:ilvl="6" w:tplc="240A0001" w:tentative="1">
      <w:start w:val="1"/>
      <w:numFmt w:val="bullet"/>
      <w:lvlText w:val=""/>
      <w:lvlJc w:val="left"/>
      <w:pPr>
        <w:ind w:left="5385" w:hanging="360"/>
      </w:pPr>
      <w:rPr>
        <w:rFonts w:ascii="Symbol" w:hAnsi="Symbol" w:hint="default"/>
      </w:rPr>
    </w:lvl>
    <w:lvl w:ilvl="7" w:tplc="240A0003" w:tentative="1">
      <w:start w:val="1"/>
      <w:numFmt w:val="bullet"/>
      <w:lvlText w:val="o"/>
      <w:lvlJc w:val="left"/>
      <w:pPr>
        <w:ind w:left="6105" w:hanging="360"/>
      </w:pPr>
      <w:rPr>
        <w:rFonts w:ascii="Courier New" w:hAnsi="Courier New" w:cs="Courier New" w:hint="default"/>
      </w:rPr>
    </w:lvl>
    <w:lvl w:ilvl="8" w:tplc="240A0005" w:tentative="1">
      <w:start w:val="1"/>
      <w:numFmt w:val="bullet"/>
      <w:lvlText w:val=""/>
      <w:lvlJc w:val="left"/>
      <w:pPr>
        <w:ind w:left="6825" w:hanging="360"/>
      </w:pPr>
      <w:rPr>
        <w:rFonts w:ascii="Wingdings" w:hAnsi="Wingdings" w:hint="default"/>
      </w:rPr>
    </w:lvl>
  </w:abstractNum>
  <w:abstractNum w:abstractNumId="452" w15:restartNumberingAfterBreak="0">
    <w:nsid w:val="7F937AF9"/>
    <w:multiLevelType w:val="hybridMultilevel"/>
    <w:tmpl w:val="448C2D22"/>
    <w:lvl w:ilvl="0" w:tplc="3FA6218C">
      <w:start w:val="1"/>
      <w:numFmt w:val="lowerRoman"/>
      <w:lvlText w:val="%1)"/>
      <w:lvlJc w:val="left"/>
      <w:pPr>
        <w:ind w:left="1080" w:hanging="72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53" w15:restartNumberingAfterBreak="0">
    <w:nsid w:val="7FD97F68"/>
    <w:multiLevelType w:val="hybridMultilevel"/>
    <w:tmpl w:val="FFFFFFFF"/>
    <w:lvl w:ilvl="0" w:tplc="07024904">
      <w:start w:val="1"/>
      <w:numFmt w:val="bullet"/>
      <w:lvlText w:val=""/>
      <w:lvlJc w:val="left"/>
      <w:pPr>
        <w:ind w:left="720" w:hanging="360"/>
      </w:pPr>
      <w:rPr>
        <w:rFonts w:ascii="Symbol" w:hAnsi="Symbol" w:hint="default"/>
      </w:rPr>
    </w:lvl>
    <w:lvl w:ilvl="1" w:tplc="B34847CE">
      <w:start w:val="1"/>
      <w:numFmt w:val="bullet"/>
      <w:lvlText w:val="o"/>
      <w:lvlJc w:val="left"/>
      <w:pPr>
        <w:ind w:left="1440" w:hanging="360"/>
      </w:pPr>
      <w:rPr>
        <w:rFonts w:ascii="Courier New" w:hAnsi="Courier New" w:hint="default"/>
      </w:rPr>
    </w:lvl>
    <w:lvl w:ilvl="2" w:tplc="0D666B50">
      <w:start w:val="1"/>
      <w:numFmt w:val="bullet"/>
      <w:lvlText w:val=""/>
      <w:lvlJc w:val="left"/>
      <w:pPr>
        <w:ind w:left="2160" w:hanging="360"/>
      </w:pPr>
      <w:rPr>
        <w:rFonts w:ascii="Wingdings" w:hAnsi="Wingdings" w:hint="default"/>
      </w:rPr>
    </w:lvl>
    <w:lvl w:ilvl="3" w:tplc="4D4236D6">
      <w:start w:val="1"/>
      <w:numFmt w:val="bullet"/>
      <w:lvlText w:val=""/>
      <w:lvlJc w:val="left"/>
      <w:pPr>
        <w:ind w:left="2880" w:hanging="360"/>
      </w:pPr>
      <w:rPr>
        <w:rFonts w:ascii="Symbol" w:hAnsi="Symbol" w:hint="default"/>
      </w:rPr>
    </w:lvl>
    <w:lvl w:ilvl="4" w:tplc="32EE43F6">
      <w:start w:val="1"/>
      <w:numFmt w:val="bullet"/>
      <w:lvlText w:val="o"/>
      <w:lvlJc w:val="left"/>
      <w:pPr>
        <w:ind w:left="3600" w:hanging="360"/>
      </w:pPr>
      <w:rPr>
        <w:rFonts w:ascii="Courier New" w:hAnsi="Courier New" w:hint="default"/>
      </w:rPr>
    </w:lvl>
    <w:lvl w:ilvl="5" w:tplc="818C4420">
      <w:start w:val="1"/>
      <w:numFmt w:val="bullet"/>
      <w:lvlText w:val=""/>
      <w:lvlJc w:val="left"/>
      <w:pPr>
        <w:ind w:left="4320" w:hanging="360"/>
      </w:pPr>
      <w:rPr>
        <w:rFonts w:ascii="Wingdings" w:hAnsi="Wingdings" w:hint="default"/>
      </w:rPr>
    </w:lvl>
    <w:lvl w:ilvl="6" w:tplc="FD00B376">
      <w:start w:val="1"/>
      <w:numFmt w:val="bullet"/>
      <w:lvlText w:val=""/>
      <w:lvlJc w:val="left"/>
      <w:pPr>
        <w:ind w:left="5040" w:hanging="360"/>
      </w:pPr>
      <w:rPr>
        <w:rFonts w:ascii="Symbol" w:hAnsi="Symbol" w:hint="default"/>
      </w:rPr>
    </w:lvl>
    <w:lvl w:ilvl="7" w:tplc="30A459B0">
      <w:start w:val="1"/>
      <w:numFmt w:val="bullet"/>
      <w:lvlText w:val="o"/>
      <w:lvlJc w:val="left"/>
      <w:pPr>
        <w:ind w:left="5760" w:hanging="360"/>
      </w:pPr>
      <w:rPr>
        <w:rFonts w:ascii="Courier New" w:hAnsi="Courier New" w:hint="default"/>
      </w:rPr>
    </w:lvl>
    <w:lvl w:ilvl="8" w:tplc="2F9E3348">
      <w:start w:val="1"/>
      <w:numFmt w:val="bullet"/>
      <w:lvlText w:val=""/>
      <w:lvlJc w:val="left"/>
      <w:pPr>
        <w:ind w:left="6480" w:hanging="360"/>
      </w:pPr>
      <w:rPr>
        <w:rFonts w:ascii="Wingdings" w:hAnsi="Wingdings" w:hint="default"/>
      </w:rPr>
    </w:lvl>
  </w:abstractNum>
  <w:num w:numId="1" w16cid:durableId="1673413173">
    <w:abstractNumId w:val="320"/>
  </w:num>
  <w:num w:numId="2" w16cid:durableId="1471826284">
    <w:abstractNumId w:val="37"/>
  </w:num>
  <w:num w:numId="3" w16cid:durableId="267545232">
    <w:abstractNumId w:val="8"/>
  </w:num>
  <w:num w:numId="4" w16cid:durableId="1197692871">
    <w:abstractNumId w:val="177"/>
  </w:num>
  <w:num w:numId="5" w16cid:durableId="318003144">
    <w:abstractNumId w:val="85"/>
  </w:num>
  <w:num w:numId="6" w16cid:durableId="2113629064">
    <w:abstractNumId w:val="102"/>
  </w:num>
  <w:num w:numId="7" w16cid:durableId="977993974">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681005651">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2026975202">
    <w:abstractNumId w:val="10"/>
  </w:num>
  <w:num w:numId="10" w16cid:durableId="1770462108">
    <w:abstractNumId w:val="256"/>
  </w:num>
  <w:num w:numId="11" w16cid:durableId="238371220">
    <w:abstractNumId w:val="132"/>
  </w:num>
  <w:num w:numId="12" w16cid:durableId="1025712712">
    <w:abstractNumId w:val="424"/>
  </w:num>
  <w:num w:numId="13" w16cid:durableId="224806395">
    <w:abstractNumId w:val="230"/>
  </w:num>
  <w:num w:numId="14" w16cid:durableId="722484400">
    <w:abstractNumId w:val="36"/>
  </w:num>
  <w:num w:numId="15" w16cid:durableId="161745149">
    <w:abstractNumId w:val="358"/>
  </w:num>
  <w:num w:numId="16" w16cid:durableId="803739193">
    <w:abstractNumId w:val="405"/>
  </w:num>
  <w:num w:numId="17" w16cid:durableId="865675848">
    <w:abstractNumId w:val="130"/>
  </w:num>
  <w:num w:numId="18" w16cid:durableId="1823425057">
    <w:abstractNumId w:val="360"/>
  </w:num>
  <w:num w:numId="19" w16cid:durableId="804783697">
    <w:abstractNumId w:val="399"/>
  </w:num>
  <w:num w:numId="20" w16cid:durableId="1614165502">
    <w:abstractNumId w:val="243"/>
  </w:num>
  <w:num w:numId="21" w16cid:durableId="703099235">
    <w:abstractNumId w:val="447"/>
  </w:num>
  <w:num w:numId="22" w16cid:durableId="1101223834">
    <w:abstractNumId w:val="12"/>
  </w:num>
  <w:num w:numId="23" w16cid:durableId="1293554443">
    <w:abstractNumId w:val="406"/>
  </w:num>
  <w:num w:numId="24" w16cid:durableId="425344215">
    <w:abstractNumId w:val="365"/>
  </w:num>
  <w:num w:numId="25" w16cid:durableId="745223770">
    <w:abstractNumId w:val="392"/>
  </w:num>
  <w:num w:numId="26" w16cid:durableId="551159204">
    <w:abstractNumId w:val="159"/>
  </w:num>
  <w:num w:numId="27" w16cid:durableId="174657134">
    <w:abstractNumId w:val="176"/>
  </w:num>
  <w:num w:numId="28" w16cid:durableId="1356418280">
    <w:abstractNumId w:val="216"/>
  </w:num>
  <w:num w:numId="29" w16cid:durableId="190145242">
    <w:abstractNumId w:val="366"/>
  </w:num>
  <w:num w:numId="30" w16cid:durableId="2017607243">
    <w:abstractNumId w:val="56"/>
  </w:num>
  <w:num w:numId="31" w16cid:durableId="876697211">
    <w:abstractNumId w:val="428"/>
  </w:num>
  <w:num w:numId="32" w16cid:durableId="1258711945">
    <w:abstractNumId w:val="271"/>
  </w:num>
  <w:num w:numId="33" w16cid:durableId="2003966188">
    <w:abstractNumId w:val="287"/>
  </w:num>
  <w:num w:numId="34" w16cid:durableId="1231500363">
    <w:abstractNumId w:val="126"/>
  </w:num>
  <w:num w:numId="35" w16cid:durableId="20979043">
    <w:abstractNumId w:val="376"/>
  </w:num>
  <w:num w:numId="36" w16cid:durableId="2108191971">
    <w:abstractNumId w:val="375"/>
  </w:num>
  <w:num w:numId="37" w16cid:durableId="1598440248">
    <w:abstractNumId w:val="206"/>
  </w:num>
  <w:num w:numId="38" w16cid:durableId="1837258550">
    <w:abstractNumId w:val="106"/>
  </w:num>
  <w:num w:numId="39" w16cid:durableId="498472967">
    <w:abstractNumId w:val="301"/>
  </w:num>
  <w:num w:numId="40" w16cid:durableId="636686155">
    <w:abstractNumId w:val="349"/>
  </w:num>
  <w:num w:numId="41" w16cid:durableId="1120758361">
    <w:abstractNumId w:val="257"/>
  </w:num>
  <w:num w:numId="42" w16cid:durableId="1598556999">
    <w:abstractNumId w:val="53"/>
  </w:num>
  <w:num w:numId="43" w16cid:durableId="1398288413">
    <w:abstractNumId w:val="17"/>
  </w:num>
  <w:num w:numId="44" w16cid:durableId="2034110378">
    <w:abstractNumId w:val="123"/>
  </w:num>
  <w:num w:numId="45" w16cid:durableId="1813718012">
    <w:abstractNumId w:val="355"/>
  </w:num>
  <w:num w:numId="46" w16cid:durableId="1668825299">
    <w:abstractNumId w:val="285"/>
  </w:num>
  <w:num w:numId="47" w16cid:durableId="1871406938">
    <w:abstractNumId w:val="453"/>
  </w:num>
  <w:num w:numId="48" w16cid:durableId="1975061952">
    <w:abstractNumId w:val="208"/>
  </w:num>
  <w:num w:numId="49" w16cid:durableId="590550545">
    <w:abstractNumId w:val="337"/>
  </w:num>
  <w:num w:numId="50" w16cid:durableId="615991003">
    <w:abstractNumId w:val="382"/>
  </w:num>
  <w:num w:numId="51" w16cid:durableId="2100984855">
    <w:abstractNumId w:val="198"/>
  </w:num>
  <w:num w:numId="52" w16cid:durableId="936837449">
    <w:abstractNumId w:val="368"/>
  </w:num>
  <w:num w:numId="53" w16cid:durableId="1582791875">
    <w:abstractNumId w:val="68"/>
  </w:num>
  <w:num w:numId="54" w16cid:durableId="1607425287">
    <w:abstractNumId w:val="69"/>
  </w:num>
  <w:num w:numId="55" w16cid:durableId="1186485442">
    <w:abstractNumId w:val="128"/>
  </w:num>
  <w:num w:numId="56" w16cid:durableId="323709644">
    <w:abstractNumId w:val="250"/>
  </w:num>
  <w:num w:numId="57" w16cid:durableId="2024626130">
    <w:abstractNumId w:val="279"/>
  </w:num>
  <w:num w:numId="58" w16cid:durableId="916937400">
    <w:abstractNumId w:val="16"/>
  </w:num>
  <w:num w:numId="59" w16cid:durableId="1962031572">
    <w:abstractNumId w:val="35"/>
  </w:num>
  <w:num w:numId="60" w16cid:durableId="1384596789">
    <w:abstractNumId w:val="319"/>
  </w:num>
  <w:num w:numId="61" w16cid:durableId="1499881693">
    <w:abstractNumId w:val="50"/>
  </w:num>
  <w:num w:numId="62" w16cid:durableId="1578251357">
    <w:abstractNumId w:val="240"/>
  </w:num>
  <w:num w:numId="63" w16cid:durableId="1115515408">
    <w:abstractNumId w:val="403"/>
  </w:num>
  <w:num w:numId="64" w16cid:durableId="1496610783">
    <w:abstractNumId w:val="325"/>
  </w:num>
  <w:num w:numId="65" w16cid:durableId="367686275">
    <w:abstractNumId w:val="191"/>
  </w:num>
  <w:num w:numId="66" w16cid:durableId="943145497">
    <w:abstractNumId w:val="157"/>
  </w:num>
  <w:num w:numId="67" w16cid:durableId="142429121">
    <w:abstractNumId w:val="442"/>
  </w:num>
  <w:num w:numId="68" w16cid:durableId="1778063325">
    <w:abstractNumId w:val="155"/>
  </w:num>
  <w:num w:numId="69" w16cid:durableId="1059012754">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16cid:durableId="1817605414">
    <w:abstractNumId w:val="414"/>
  </w:num>
  <w:num w:numId="71" w16cid:durableId="1253780638">
    <w:abstractNumId w:val="136"/>
  </w:num>
  <w:num w:numId="72" w16cid:durableId="1741320415">
    <w:abstractNumId w:val="290"/>
  </w:num>
  <w:num w:numId="73" w16cid:durableId="1550916228">
    <w:abstractNumId w:val="444"/>
  </w:num>
  <w:num w:numId="74" w16cid:durableId="680667228">
    <w:abstractNumId w:val="306"/>
  </w:num>
  <w:num w:numId="75" w16cid:durableId="1285817273">
    <w:abstractNumId w:val="66"/>
  </w:num>
  <w:num w:numId="76" w16cid:durableId="1429812961">
    <w:abstractNumId w:val="236"/>
  </w:num>
  <w:num w:numId="77" w16cid:durableId="860511216">
    <w:abstractNumId w:val="215"/>
  </w:num>
  <w:num w:numId="78" w16cid:durableId="1778140212">
    <w:abstractNumId w:val="340"/>
  </w:num>
  <w:num w:numId="79" w16cid:durableId="165368061">
    <w:abstractNumId w:val="70"/>
  </w:num>
  <w:num w:numId="80" w16cid:durableId="1423455244">
    <w:abstractNumId w:val="303"/>
  </w:num>
  <w:num w:numId="81" w16cid:durableId="662978328">
    <w:abstractNumId w:val="125"/>
  </w:num>
  <w:num w:numId="82" w16cid:durableId="1563518888">
    <w:abstractNumId w:val="82"/>
  </w:num>
  <w:num w:numId="83" w16cid:durableId="1232160789">
    <w:abstractNumId w:val="174"/>
  </w:num>
  <w:num w:numId="84" w16cid:durableId="899634533">
    <w:abstractNumId w:val="431"/>
  </w:num>
  <w:num w:numId="85" w16cid:durableId="762528810">
    <w:abstractNumId w:val="384"/>
  </w:num>
  <w:num w:numId="86" w16cid:durableId="704065147">
    <w:abstractNumId w:val="298"/>
  </w:num>
  <w:num w:numId="87" w16cid:durableId="31619749">
    <w:abstractNumId w:val="266"/>
  </w:num>
  <w:num w:numId="88" w16cid:durableId="979579279">
    <w:abstractNumId w:val="449"/>
  </w:num>
  <w:num w:numId="89" w16cid:durableId="877938087">
    <w:abstractNumId w:val="445"/>
  </w:num>
  <w:num w:numId="90" w16cid:durableId="2103984683">
    <w:abstractNumId w:val="239"/>
  </w:num>
  <w:num w:numId="91" w16cid:durableId="208684675">
    <w:abstractNumId w:val="83"/>
  </w:num>
  <w:num w:numId="92" w16cid:durableId="1451900592">
    <w:abstractNumId w:val="112"/>
  </w:num>
  <w:num w:numId="93" w16cid:durableId="922376768">
    <w:abstractNumId w:val="162"/>
  </w:num>
  <w:num w:numId="94" w16cid:durableId="1880126764">
    <w:abstractNumId w:val="48"/>
  </w:num>
  <w:num w:numId="95" w16cid:durableId="779229155">
    <w:abstractNumId w:val="386"/>
  </w:num>
  <w:num w:numId="96" w16cid:durableId="652370218">
    <w:abstractNumId w:val="427"/>
  </w:num>
  <w:num w:numId="97" w16cid:durableId="1731269417">
    <w:abstractNumId w:val="213"/>
  </w:num>
  <w:num w:numId="98" w16cid:durableId="2024937530">
    <w:abstractNumId w:val="330"/>
  </w:num>
  <w:num w:numId="99" w16cid:durableId="438110213">
    <w:abstractNumId w:val="417"/>
  </w:num>
  <w:num w:numId="100" w16cid:durableId="1742559550">
    <w:abstractNumId w:val="245"/>
  </w:num>
  <w:num w:numId="101" w16cid:durableId="1199778054">
    <w:abstractNumId w:val="354"/>
  </w:num>
  <w:num w:numId="102" w16cid:durableId="1126121991">
    <w:abstractNumId w:val="27"/>
  </w:num>
  <w:num w:numId="103" w16cid:durableId="1478767124">
    <w:abstractNumId w:val="288"/>
  </w:num>
  <w:num w:numId="104" w16cid:durableId="1419407820">
    <w:abstractNumId w:val="244"/>
  </w:num>
  <w:num w:numId="105" w16cid:durableId="1054500723">
    <w:abstractNumId w:val="385"/>
  </w:num>
  <w:num w:numId="106" w16cid:durableId="490416139">
    <w:abstractNumId w:val="195"/>
  </w:num>
  <w:num w:numId="107" w16cid:durableId="1064643570">
    <w:abstractNumId w:val="379"/>
  </w:num>
  <w:num w:numId="108" w16cid:durableId="949431827">
    <w:abstractNumId w:val="140"/>
  </w:num>
  <w:num w:numId="109" w16cid:durableId="1943758344">
    <w:abstractNumId w:val="164"/>
  </w:num>
  <w:num w:numId="110" w16cid:durableId="1734545173">
    <w:abstractNumId w:val="312"/>
  </w:num>
  <w:num w:numId="111" w16cid:durableId="1570650926">
    <w:abstractNumId w:val="433"/>
  </w:num>
  <w:num w:numId="112" w16cid:durableId="574169059">
    <w:abstractNumId w:val="110"/>
  </w:num>
  <w:num w:numId="113" w16cid:durableId="137722626">
    <w:abstractNumId w:val="13"/>
  </w:num>
  <w:num w:numId="114" w16cid:durableId="141627395">
    <w:abstractNumId w:val="193"/>
  </w:num>
  <w:num w:numId="115" w16cid:durableId="1034765286">
    <w:abstractNumId w:val="402"/>
  </w:num>
  <w:num w:numId="116" w16cid:durableId="1855222553">
    <w:abstractNumId w:val="72"/>
  </w:num>
  <w:num w:numId="117" w16cid:durableId="2081713361">
    <w:abstractNumId w:val="370"/>
  </w:num>
  <w:num w:numId="118" w16cid:durableId="911038452">
    <w:abstractNumId w:val="233"/>
  </w:num>
  <w:num w:numId="119" w16cid:durableId="506603225">
    <w:abstractNumId w:val="95"/>
  </w:num>
  <w:num w:numId="120" w16cid:durableId="1191257192">
    <w:abstractNumId w:val="97"/>
  </w:num>
  <w:num w:numId="121" w16cid:durableId="1398090377">
    <w:abstractNumId w:val="44"/>
  </w:num>
  <w:num w:numId="122" w16cid:durableId="2078284507">
    <w:abstractNumId w:val="88"/>
  </w:num>
  <w:num w:numId="123" w16cid:durableId="447243018">
    <w:abstractNumId w:val="223"/>
  </w:num>
  <w:num w:numId="124" w16cid:durableId="337387909">
    <w:abstractNumId w:val="221"/>
  </w:num>
  <w:num w:numId="125" w16cid:durableId="373114449">
    <w:abstractNumId w:val="120"/>
  </w:num>
  <w:num w:numId="126" w16cid:durableId="1833065337">
    <w:abstractNumId w:val="307"/>
  </w:num>
  <w:num w:numId="127" w16cid:durableId="2067799222">
    <w:abstractNumId w:val="117"/>
  </w:num>
  <w:num w:numId="128" w16cid:durableId="575359329">
    <w:abstractNumId w:val="54"/>
  </w:num>
  <w:num w:numId="129" w16cid:durableId="1831287989">
    <w:abstractNumId w:val="297"/>
  </w:num>
  <w:num w:numId="130" w16cid:durableId="237053999">
    <w:abstractNumId w:val="142"/>
  </w:num>
  <w:num w:numId="131" w16cid:durableId="568467445">
    <w:abstractNumId w:val="395"/>
  </w:num>
  <w:num w:numId="132" w16cid:durableId="1882089391">
    <w:abstractNumId w:val="138"/>
  </w:num>
  <w:num w:numId="133" w16cid:durableId="449513795">
    <w:abstractNumId w:val="186"/>
  </w:num>
  <w:num w:numId="134" w16cid:durableId="2067143786">
    <w:abstractNumId w:val="105"/>
  </w:num>
  <w:num w:numId="135" w16cid:durableId="1731229289">
    <w:abstractNumId w:val="362"/>
  </w:num>
  <w:num w:numId="136" w16cid:durableId="80176884">
    <w:abstractNumId w:val="336"/>
  </w:num>
  <w:num w:numId="137" w16cid:durableId="455871776">
    <w:abstractNumId w:val="168"/>
  </w:num>
  <w:num w:numId="138" w16cid:durableId="1750695396">
    <w:abstractNumId w:val="418"/>
  </w:num>
  <w:num w:numId="139" w16cid:durableId="174659638">
    <w:abstractNumId w:val="46"/>
  </w:num>
  <w:num w:numId="140" w16cid:durableId="1991598724">
    <w:abstractNumId w:val="218"/>
  </w:num>
  <w:num w:numId="141" w16cid:durableId="1800152083">
    <w:abstractNumId w:val="211"/>
  </w:num>
  <w:num w:numId="142" w16cid:durableId="1815101984">
    <w:abstractNumId w:val="443"/>
  </w:num>
  <w:num w:numId="143" w16cid:durableId="1445926667">
    <w:abstractNumId w:val="156"/>
  </w:num>
  <w:num w:numId="144" w16cid:durableId="569388744">
    <w:abstractNumId w:val="183"/>
  </w:num>
  <w:num w:numId="145" w16cid:durableId="720906197">
    <w:abstractNumId w:val="296"/>
  </w:num>
  <w:num w:numId="146" w16cid:durableId="1105921335">
    <w:abstractNumId w:val="101"/>
  </w:num>
  <w:num w:numId="147" w16cid:durableId="1524785453">
    <w:abstractNumId w:val="113"/>
  </w:num>
  <w:num w:numId="148" w16cid:durableId="1275331299">
    <w:abstractNumId w:val="273"/>
  </w:num>
  <w:num w:numId="149" w16cid:durableId="1240404442">
    <w:abstractNumId w:val="152"/>
  </w:num>
  <w:num w:numId="150" w16cid:durableId="205991374">
    <w:abstractNumId w:val="415"/>
  </w:num>
  <w:num w:numId="151" w16cid:durableId="1062633189">
    <w:abstractNumId w:val="390"/>
  </w:num>
  <w:num w:numId="152" w16cid:durableId="1052656173">
    <w:abstractNumId w:val="234"/>
  </w:num>
  <w:num w:numId="153" w16cid:durableId="1924759142">
    <w:abstractNumId w:val="324"/>
  </w:num>
  <w:num w:numId="154" w16cid:durableId="2146578345">
    <w:abstractNumId w:val="440"/>
  </w:num>
  <w:num w:numId="155" w16cid:durableId="2048941526">
    <w:abstractNumId w:val="348"/>
  </w:num>
  <w:num w:numId="156" w16cid:durableId="926688836">
    <w:abstractNumId w:val="182"/>
  </w:num>
  <w:num w:numId="157" w16cid:durableId="1187331169">
    <w:abstractNumId w:val="295"/>
  </w:num>
  <w:num w:numId="158" w16cid:durableId="265700259">
    <w:abstractNumId w:val="189"/>
  </w:num>
  <w:num w:numId="159" w16cid:durableId="377243752">
    <w:abstractNumId w:val="71"/>
  </w:num>
  <w:num w:numId="160" w16cid:durableId="1913154546">
    <w:abstractNumId w:val="74"/>
  </w:num>
  <w:num w:numId="161" w16cid:durableId="793912578">
    <w:abstractNumId w:val="263"/>
  </w:num>
  <w:num w:numId="162" w16cid:durableId="449859611">
    <w:abstractNumId w:val="419"/>
  </w:num>
  <w:num w:numId="163" w16cid:durableId="1161040909">
    <w:abstractNumId w:val="153"/>
  </w:num>
  <w:num w:numId="164" w16cid:durableId="1186754329">
    <w:abstractNumId w:val="92"/>
  </w:num>
  <w:num w:numId="165" w16cid:durableId="777455027">
    <w:abstractNumId w:val="175"/>
  </w:num>
  <w:num w:numId="166" w16cid:durableId="542254454">
    <w:abstractNumId w:val="154"/>
  </w:num>
  <w:num w:numId="167" w16cid:durableId="1600985220">
    <w:abstractNumId w:val="151"/>
  </w:num>
  <w:num w:numId="168" w16cid:durableId="407389426">
    <w:abstractNumId w:val="77"/>
  </w:num>
  <w:num w:numId="169" w16cid:durableId="892810440">
    <w:abstractNumId w:val="315"/>
  </w:num>
  <w:num w:numId="170" w16cid:durableId="2131043922">
    <w:abstractNumId w:val="212"/>
  </w:num>
  <w:num w:numId="171" w16cid:durableId="508913763">
    <w:abstractNumId w:val="265"/>
  </w:num>
  <w:num w:numId="172" w16cid:durableId="2056393189">
    <w:abstractNumId w:val="187"/>
  </w:num>
  <w:num w:numId="173" w16cid:durableId="1186483141">
    <w:abstractNumId w:val="75"/>
  </w:num>
  <w:num w:numId="174" w16cid:durableId="158162517">
    <w:abstractNumId w:val="87"/>
  </w:num>
  <w:num w:numId="175" w16cid:durableId="83843820">
    <w:abstractNumId w:val="367"/>
  </w:num>
  <w:num w:numId="176" w16cid:durableId="612983443">
    <w:abstractNumId w:val="334"/>
  </w:num>
  <w:num w:numId="177" w16cid:durableId="366413757">
    <w:abstractNumId w:val="318"/>
  </w:num>
  <w:num w:numId="178" w16cid:durableId="2126342114">
    <w:abstractNumId w:val="421"/>
  </w:num>
  <w:num w:numId="179" w16cid:durableId="153185734">
    <w:abstractNumId w:val="24"/>
  </w:num>
  <w:num w:numId="180" w16cid:durableId="1977177381">
    <w:abstractNumId w:val="357"/>
  </w:num>
  <w:num w:numId="181" w16cid:durableId="849834308">
    <w:abstractNumId w:val="450"/>
  </w:num>
  <w:num w:numId="182" w16cid:durableId="1996378533">
    <w:abstractNumId w:val="293"/>
  </w:num>
  <w:num w:numId="183" w16cid:durableId="1960842264">
    <w:abstractNumId w:val="361"/>
  </w:num>
  <w:num w:numId="184" w16cid:durableId="1825931020">
    <w:abstractNumId w:val="342"/>
  </w:num>
  <w:num w:numId="185" w16cid:durableId="1647126612">
    <w:abstractNumId w:val="246"/>
  </w:num>
  <w:num w:numId="186" w16cid:durableId="1146316714">
    <w:abstractNumId w:val="252"/>
  </w:num>
  <w:num w:numId="187" w16cid:durableId="110979443">
    <w:abstractNumId w:val="309"/>
  </w:num>
  <w:num w:numId="188" w16cid:durableId="217212047">
    <w:abstractNumId w:val="253"/>
  </w:num>
  <w:num w:numId="189" w16cid:durableId="2131505738">
    <w:abstractNumId w:val="441"/>
  </w:num>
  <w:num w:numId="190" w16cid:durableId="972322938">
    <w:abstractNumId w:val="268"/>
  </w:num>
  <w:num w:numId="191" w16cid:durableId="256864235">
    <w:abstractNumId w:val="15"/>
  </w:num>
  <w:num w:numId="192" w16cid:durableId="408355884">
    <w:abstractNumId w:val="313"/>
  </w:num>
  <w:num w:numId="193" w16cid:durableId="1309943082">
    <w:abstractNumId w:val="373"/>
  </w:num>
  <w:num w:numId="194" w16cid:durableId="1941793651">
    <w:abstractNumId w:val="144"/>
  </w:num>
  <w:num w:numId="195" w16cid:durableId="1359502232">
    <w:abstractNumId w:val="372"/>
  </w:num>
  <w:num w:numId="196" w16cid:durableId="1022508816">
    <w:abstractNumId w:val="237"/>
  </w:num>
  <w:num w:numId="197" w16cid:durableId="812527542">
    <w:abstractNumId w:val="62"/>
  </w:num>
  <w:num w:numId="198" w16cid:durableId="460611778">
    <w:abstractNumId w:val="63"/>
  </w:num>
  <w:num w:numId="199" w16cid:durableId="429591180">
    <w:abstractNumId w:val="299"/>
  </w:num>
  <w:num w:numId="200" w16cid:durableId="353502248">
    <w:abstractNumId w:val="277"/>
  </w:num>
  <w:num w:numId="201" w16cid:durableId="1913194555">
    <w:abstractNumId w:val="397"/>
  </w:num>
  <w:num w:numId="202" w16cid:durableId="28921725">
    <w:abstractNumId w:val="451"/>
  </w:num>
  <w:num w:numId="203" w16cid:durableId="1907060257">
    <w:abstractNumId w:val="20"/>
  </w:num>
  <w:num w:numId="204" w16cid:durableId="1778593875">
    <w:abstractNumId w:val="49"/>
  </w:num>
  <w:num w:numId="205" w16cid:durableId="687410264">
    <w:abstractNumId w:val="264"/>
  </w:num>
  <w:num w:numId="206" w16cid:durableId="1109087132">
    <w:abstractNumId w:val="39"/>
  </w:num>
  <w:num w:numId="207" w16cid:durableId="1884366251">
    <w:abstractNumId w:val="148"/>
  </w:num>
  <w:num w:numId="208" w16cid:durableId="1718313706">
    <w:abstractNumId w:val="371"/>
  </w:num>
  <w:num w:numId="209" w16cid:durableId="1861355540">
    <w:abstractNumId w:val="400"/>
  </w:num>
  <w:num w:numId="210" w16cid:durableId="61218404">
    <w:abstractNumId w:val="134"/>
  </w:num>
  <w:num w:numId="211" w16cid:durableId="1560094245">
    <w:abstractNumId w:val="111"/>
  </w:num>
  <w:num w:numId="212" w16cid:durableId="1196695407">
    <w:abstractNumId w:val="411"/>
  </w:num>
  <w:num w:numId="213" w16cid:durableId="90703203">
    <w:abstractNumId w:val="289"/>
  </w:num>
  <w:num w:numId="214" w16cid:durableId="226232604">
    <w:abstractNumId w:val="192"/>
  </w:num>
  <w:num w:numId="215" w16cid:durableId="1534490402">
    <w:abstractNumId w:val="47"/>
  </w:num>
  <w:num w:numId="216" w16cid:durableId="1706828009">
    <w:abstractNumId w:val="81"/>
  </w:num>
  <w:num w:numId="217" w16cid:durableId="1334575933">
    <w:abstractNumId w:val="200"/>
  </w:num>
  <w:num w:numId="218" w16cid:durableId="1157647637">
    <w:abstractNumId w:val="90"/>
  </w:num>
  <w:num w:numId="219" w16cid:durableId="1724791035">
    <w:abstractNumId w:val="302"/>
  </w:num>
  <w:num w:numId="220" w16cid:durableId="1496022552">
    <w:abstractNumId w:val="163"/>
  </w:num>
  <w:num w:numId="221" w16cid:durableId="1564245612">
    <w:abstractNumId w:val="284"/>
  </w:num>
  <w:num w:numId="222" w16cid:durableId="512300819">
    <w:abstractNumId w:val="147"/>
  </w:num>
  <w:num w:numId="223" w16cid:durableId="390277047">
    <w:abstractNumId w:val="89"/>
  </w:num>
  <w:num w:numId="224" w16cid:durableId="1687487762">
    <w:abstractNumId w:val="430"/>
  </w:num>
  <w:num w:numId="225" w16cid:durableId="1720931858">
    <w:abstractNumId w:val="425"/>
  </w:num>
  <w:num w:numId="226" w16cid:durableId="372079818">
    <w:abstractNumId w:val="310"/>
  </w:num>
  <w:num w:numId="227" w16cid:durableId="546452683">
    <w:abstractNumId w:val="207"/>
  </w:num>
  <w:num w:numId="228" w16cid:durableId="128325111">
    <w:abstractNumId w:val="52"/>
  </w:num>
  <w:num w:numId="229" w16cid:durableId="1549338894">
    <w:abstractNumId w:val="437"/>
  </w:num>
  <w:num w:numId="230" w16cid:durableId="1078602435">
    <w:abstractNumId w:val="172"/>
  </w:num>
  <w:num w:numId="231" w16cid:durableId="577374173">
    <w:abstractNumId w:val="220"/>
  </w:num>
  <w:num w:numId="232" w16cid:durableId="807012430">
    <w:abstractNumId w:val="274"/>
  </w:num>
  <w:num w:numId="233" w16cid:durableId="612400984">
    <w:abstractNumId w:val="96"/>
  </w:num>
  <w:num w:numId="234" w16cid:durableId="342361518">
    <w:abstractNumId w:val="185"/>
  </w:num>
  <w:num w:numId="235" w16cid:durableId="1515455556">
    <w:abstractNumId w:val="203"/>
  </w:num>
  <w:num w:numId="236" w16cid:durableId="1541239552">
    <w:abstractNumId w:val="426"/>
  </w:num>
  <w:num w:numId="237" w16cid:durableId="659231380">
    <w:abstractNumId w:val="109"/>
  </w:num>
  <w:num w:numId="238" w16cid:durableId="2038114312">
    <w:abstractNumId w:val="229"/>
  </w:num>
  <w:num w:numId="239" w16cid:durableId="117334099">
    <w:abstractNumId w:val="73"/>
  </w:num>
  <w:num w:numId="240" w16cid:durableId="1679499104">
    <w:abstractNumId w:val="58"/>
  </w:num>
  <w:num w:numId="241" w16cid:durableId="1862670696">
    <w:abstractNumId w:val="346"/>
  </w:num>
  <w:num w:numId="242" w16cid:durableId="505708297">
    <w:abstractNumId w:val="412"/>
  </w:num>
  <w:num w:numId="243" w16cid:durableId="785462071">
    <w:abstractNumId w:val="67"/>
  </w:num>
  <w:num w:numId="244" w16cid:durableId="1098327668">
    <w:abstractNumId w:val="3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5" w16cid:durableId="1163622221">
    <w:abstractNumId w:val="422"/>
  </w:num>
  <w:num w:numId="246" w16cid:durableId="129980364">
    <w:abstractNumId w:val="439"/>
  </w:num>
  <w:num w:numId="247" w16cid:durableId="1116144930">
    <w:abstractNumId w:val="114"/>
  </w:num>
  <w:num w:numId="248" w16cid:durableId="157356260">
    <w:abstractNumId w:val="280"/>
  </w:num>
  <w:num w:numId="249" w16cid:durableId="235820486">
    <w:abstractNumId w:val="280"/>
    <w:lvlOverride w:ilvl="0">
      <w:startOverride w:val="1"/>
    </w:lvlOverride>
  </w:num>
  <w:num w:numId="250" w16cid:durableId="1352801688">
    <w:abstractNumId w:val="231"/>
  </w:num>
  <w:num w:numId="251" w16cid:durableId="158079486">
    <w:abstractNumId w:val="80"/>
  </w:num>
  <w:num w:numId="252" w16cid:durableId="230778390">
    <w:abstractNumId w:val="78"/>
  </w:num>
  <w:num w:numId="253" w16cid:durableId="1266156660">
    <w:abstractNumId w:val="241"/>
  </w:num>
  <w:num w:numId="254" w16cid:durableId="1164971942">
    <w:abstractNumId w:val="37"/>
    <w:lvlOverride w:ilvl="0">
      <w:startOverride w:val="1"/>
    </w:lvlOverride>
  </w:num>
  <w:num w:numId="255" w16cid:durableId="848720815">
    <w:abstractNumId w:val="258"/>
  </w:num>
  <w:num w:numId="256" w16cid:durableId="55517844">
    <w:abstractNumId w:val="141"/>
  </w:num>
  <w:num w:numId="257" w16cid:durableId="816528860">
    <w:abstractNumId w:val="286"/>
  </w:num>
  <w:num w:numId="258" w16cid:durableId="872614150">
    <w:abstractNumId w:val="261"/>
  </w:num>
  <w:num w:numId="259" w16cid:durableId="2011638553">
    <w:abstractNumId w:val="224"/>
  </w:num>
  <w:num w:numId="260" w16cid:durableId="665747279">
    <w:abstractNumId w:val="197"/>
  </w:num>
  <w:num w:numId="261" w16cid:durableId="1079526017">
    <w:abstractNumId w:val="217"/>
  </w:num>
  <w:num w:numId="262" w16cid:durableId="498270244">
    <w:abstractNumId w:val="363"/>
  </w:num>
  <w:num w:numId="263" w16cid:durableId="2077778718">
    <w:abstractNumId w:val="65"/>
  </w:num>
  <w:num w:numId="264" w16cid:durableId="1160850166">
    <w:abstractNumId w:val="3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5" w16cid:durableId="1783111156">
    <w:abstractNumId w:val="294"/>
  </w:num>
  <w:num w:numId="266" w16cid:durableId="1385834210">
    <w:abstractNumId w:val="292"/>
  </w:num>
  <w:num w:numId="267" w16cid:durableId="358896543">
    <w:abstractNumId w:val="2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8" w16cid:durableId="843129625">
    <w:abstractNumId w:val="267"/>
  </w:num>
  <w:num w:numId="269" w16cid:durableId="1424911141">
    <w:abstractNumId w:val="446"/>
  </w:num>
  <w:num w:numId="270" w16cid:durableId="1045255313">
    <w:abstractNumId w:val="436"/>
  </w:num>
  <w:num w:numId="271" w16cid:durableId="1030640919">
    <w:abstractNumId w:val="401"/>
  </w:num>
  <w:num w:numId="272" w16cid:durableId="1867138780">
    <w:abstractNumId w:val="291"/>
  </w:num>
  <w:num w:numId="273" w16cid:durableId="1780679278">
    <w:abstractNumId w:val="369"/>
  </w:num>
  <w:num w:numId="274" w16cid:durableId="545147510">
    <w:abstractNumId w:val="180"/>
  </w:num>
  <w:num w:numId="275" w16cid:durableId="681711103">
    <w:abstractNumId w:val="356"/>
  </w:num>
  <w:num w:numId="276" w16cid:durableId="1210337322">
    <w:abstractNumId w:val="432"/>
  </w:num>
  <w:num w:numId="277" w16cid:durableId="1423137718">
    <w:abstractNumId w:val="28"/>
  </w:num>
  <w:num w:numId="278" w16cid:durableId="1116406169">
    <w:abstractNumId w:val="308"/>
  </w:num>
  <w:num w:numId="279" w16cid:durableId="1867983685">
    <w:abstractNumId w:val="404"/>
  </w:num>
  <w:num w:numId="280" w16cid:durableId="545416740">
    <w:abstractNumId w:val="93"/>
  </w:num>
  <w:num w:numId="281" w16cid:durableId="69619067">
    <w:abstractNumId w:val="416"/>
  </w:num>
  <w:num w:numId="282" w16cid:durableId="1569656991">
    <w:abstractNumId w:val="429"/>
  </w:num>
  <w:num w:numId="283" w16cid:durableId="611472301">
    <w:abstractNumId w:val="391"/>
  </w:num>
  <w:num w:numId="284" w16cid:durableId="1824927050">
    <w:abstractNumId w:val="343"/>
  </w:num>
  <w:num w:numId="285" w16cid:durableId="616983900">
    <w:abstractNumId w:val="282"/>
  </w:num>
  <w:num w:numId="286" w16cid:durableId="2136214605">
    <w:abstractNumId w:val="98"/>
  </w:num>
  <w:num w:numId="287" w16cid:durableId="203829307">
    <w:abstractNumId w:val="227"/>
  </w:num>
  <w:num w:numId="288" w16cid:durableId="588849900">
    <w:abstractNumId w:val="341"/>
  </w:num>
  <w:num w:numId="289" w16cid:durableId="1192182749">
    <w:abstractNumId w:val="328"/>
  </w:num>
  <w:num w:numId="290" w16cid:durableId="1044062393">
    <w:abstractNumId w:val="235"/>
  </w:num>
  <w:num w:numId="291" w16cid:durableId="1602907254">
    <w:abstractNumId w:val="225"/>
  </w:num>
  <w:num w:numId="292" w16cid:durableId="1722706168">
    <w:abstractNumId w:val="76"/>
  </w:num>
  <w:num w:numId="293" w16cid:durableId="917060041">
    <w:abstractNumId w:val="194"/>
  </w:num>
  <w:num w:numId="294" w16cid:durableId="24328032">
    <w:abstractNumId w:val="219"/>
  </w:num>
  <w:num w:numId="295" w16cid:durableId="560598414">
    <w:abstractNumId w:val="255"/>
  </w:num>
  <w:num w:numId="296" w16cid:durableId="1442719460">
    <w:abstractNumId w:val="79"/>
  </w:num>
  <w:num w:numId="297" w16cid:durableId="357968813">
    <w:abstractNumId w:val="205"/>
  </w:num>
  <w:num w:numId="298" w16cid:durableId="1811089173">
    <w:abstractNumId w:val="40"/>
  </w:num>
  <w:num w:numId="299" w16cid:durableId="1443650826">
    <w:abstractNumId w:val="409"/>
  </w:num>
  <w:num w:numId="300" w16cid:durableId="1458600780">
    <w:abstractNumId w:val="321"/>
  </w:num>
  <w:num w:numId="301" w16cid:durableId="766583518">
    <w:abstractNumId w:val="84"/>
  </w:num>
  <w:num w:numId="302" w16cid:durableId="1161697467">
    <w:abstractNumId w:val="100"/>
  </w:num>
  <w:num w:numId="303" w16cid:durableId="503203061">
    <w:abstractNumId w:val="335"/>
  </w:num>
  <w:num w:numId="304" w16cid:durableId="1269118719">
    <w:abstractNumId w:val="26"/>
  </w:num>
  <w:num w:numId="305" w16cid:durableId="1667786134">
    <w:abstractNumId w:val="238"/>
  </w:num>
  <w:num w:numId="306" w16cid:durableId="243999584">
    <w:abstractNumId w:val="408"/>
  </w:num>
  <w:num w:numId="307" w16cid:durableId="1502114266">
    <w:abstractNumId w:val="352"/>
  </w:num>
  <w:num w:numId="308" w16cid:durableId="1805148573">
    <w:abstractNumId w:val="11"/>
  </w:num>
  <w:num w:numId="309" w16cid:durableId="1040319092">
    <w:abstractNumId w:val="262"/>
  </w:num>
  <w:num w:numId="310" w16cid:durableId="1482313710">
    <w:abstractNumId w:val="135"/>
  </w:num>
  <w:num w:numId="311" w16cid:durableId="1353146407">
    <w:abstractNumId w:val="184"/>
  </w:num>
  <w:num w:numId="312" w16cid:durableId="759911079">
    <w:abstractNumId w:val="383"/>
  </w:num>
  <w:num w:numId="313" w16cid:durableId="66731049">
    <w:abstractNumId w:val="387"/>
  </w:num>
  <w:num w:numId="314" w16cid:durableId="1764719222">
    <w:abstractNumId w:val="19"/>
  </w:num>
  <w:num w:numId="315" w16cid:durableId="211353800">
    <w:abstractNumId w:val="199"/>
  </w:num>
  <w:num w:numId="316" w16cid:durableId="1232616231">
    <w:abstractNumId w:val="344"/>
  </w:num>
  <w:num w:numId="317" w16cid:durableId="497424122">
    <w:abstractNumId w:val="394"/>
  </w:num>
  <w:num w:numId="318" w16cid:durableId="203098322">
    <w:abstractNumId w:val="228"/>
  </w:num>
  <w:num w:numId="319" w16cid:durableId="456917877">
    <w:abstractNumId w:val="329"/>
  </w:num>
  <w:num w:numId="320" w16cid:durableId="1174537138">
    <w:abstractNumId w:val="43"/>
  </w:num>
  <w:num w:numId="321" w16cid:durableId="1252661672">
    <w:abstractNumId w:val="137"/>
  </w:num>
  <w:num w:numId="322" w16cid:durableId="1616476680">
    <w:abstractNumId w:val="350"/>
  </w:num>
  <w:num w:numId="323" w16cid:durableId="501706467">
    <w:abstractNumId w:val="204"/>
  </w:num>
  <w:num w:numId="324" w16cid:durableId="1724717025">
    <w:abstractNumId w:val="41"/>
  </w:num>
  <w:num w:numId="325" w16cid:durableId="1906648349">
    <w:abstractNumId w:val="51"/>
  </w:num>
  <w:num w:numId="326" w16cid:durableId="1285504692">
    <w:abstractNumId w:val="201"/>
  </w:num>
  <w:num w:numId="327" w16cid:durableId="1932199431">
    <w:abstractNumId w:val="339"/>
  </w:num>
  <w:num w:numId="328" w16cid:durableId="1731151367">
    <w:abstractNumId w:val="364"/>
  </w:num>
  <w:num w:numId="329" w16cid:durableId="661931223">
    <w:abstractNumId w:val="57"/>
  </w:num>
  <w:num w:numId="330" w16cid:durableId="1487435369">
    <w:abstractNumId w:val="333"/>
  </w:num>
  <w:num w:numId="331" w16cid:durableId="1045905950">
    <w:abstractNumId w:val="7"/>
  </w:num>
  <w:num w:numId="332" w16cid:durableId="902982437">
    <w:abstractNumId w:val="3"/>
  </w:num>
  <w:num w:numId="333" w16cid:durableId="869680901">
    <w:abstractNumId w:val="2"/>
  </w:num>
  <w:num w:numId="334" w16cid:durableId="1006204124">
    <w:abstractNumId w:val="1"/>
  </w:num>
  <w:num w:numId="335" w16cid:durableId="820465592">
    <w:abstractNumId w:val="0"/>
  </w:num>
  <w:num w:numId="336" w16cid:durableId="1843424364">
    <w:abstractNumId w:val="6"/>
  </w:num>
  <w:num w:numId="337" w16cid:durableId="1692343260">
    <w:abstractNumId w:val="5"/>
  </w:num>
  <w:num w:numId="338" w16cid:durableId="118183831">
    <w:abstractNumId w:val="4"/>
  </w:num>
  <w:num w:numId="339" w16cid:durableId="901450056">
    <w:abstractNumId w:val="377"/>
  </w:num>
  <w:num w:numId="340" w16cid:durableId="1276869208">
    <w:abstractNumId w:val="448"/>
  </w:num>
  <w:num w:numId="341" w16cid:durableId="1865437013">
    <w:abstractNumId w:val="177"/>
  </w:num>
  <w:num w:numId="342" w16cid:durableId="121581775">
    <w:abstractNumId w:val="37"/>
  </w:num>
  <w:num w:numId="343" w16cid:durableId="2144734340">
    <w:abstractNumId w:val="37"/>
  </w:num>
  <w:num w:numId="344" w16cid:durableId="1521360086">
    <w:abstractNumId w:val="435"/>
  </w:num>
  <w:num w:numId="345" w16cid:durableId="791557010">
    <w:abstractNumId w:val="131"/>
  </w:num>
  <w:num w:numId="346" w16cid:durableId="1868063371">
    <w:abstractNumId w:val="37"/>
  </w:num>
  <w:num w:numId="347" w16cid:durableId="469632338">
    <w:abstractNumId w:val="37"/>
  </w:num>
  <w:num w:numId="348" w16cid:durableId="1718894167">
    <w:abstractNumId w:val="37"/>
  </w:num>
  <w:num w:numId="349" w16cid:durableId="955449629">
    <w:abstractNumId w:val="37"/>
  </w:num>
  <w:num w:numId="350" w16cid:durableId="2026860257">
    <w:abstractNumId w:val="37"/>
  </w:num>
  <w:num w:numId="351" w16cid:durableId="394354239">
    <w:abstractNumId w:val="37"/>
  </w:num>
  <w:num w:numId="352" w16cid:durableId="629820414">
    <w:abstractNumId w:val="37"/>
  </w:num>
  <w:num w:numId="353" w16cid:durableId="467819656">
    <w:abstractNumId w:val="37"/>
  </w:num>
  <w:num w:numId="354" w16cid:durableId="2001232984">
    <w:abstractNumId w:val="37"/>
  </w:num>
  <w:num w:numId="355" w16cid:durableId="112672922">
    <w:abstractNumId w:val="37"/>
  </w:num>
  <w:num w:numId="356" w16cid:durableId="2017153183">
    <w:abstractNumId w:val="37"/>
  </w:num>
  <w:num w:numId="357" w16cid:durableId="2086106388">
    <w:abstractNumId w:val="37"/>
  </w:num>
  <w:num w:numId="358" w16cid:durableId="1744332173">
    <w:abstractNumId w:val="37"/>
  </w:num>
  <w:num w:numId="359" w16cid:durableId="1197740558">
    <w:abstractNumId w:val="127"/>
  </w:num>
  <w:num w:numId="360" w16cid:durableId="1739749196">
    <w:abstractNumId w:val="276"/>
  </w:num>
  <w:num w:numId="361" w16cid:durableId="59911433">
    <w:abstractNumId w:val="9"/>
  </w:num>
  <w:num w:numId="362" w16cid:durableId="630747715">
    <w:abstractNumId w:val="178"/>
  </w:num>
  <w:num w:numId="363" w16cid:durableId="1005985570">
    <w:abstractNumId w:val="270"/>
  </w:num>
  <w:num w:numId="364" w16cid:durableId="757487676">
    <w:abstractNumId w:val="86"/>
  </w:num>
  <w:num w:numId="365" w16cid:durableId="1923098456">
    <w:abstractNumId w:val="94"/>
  </w:num>
  <w:num w:numId="366" w16cid:durableId="1054547572">
    <w:abstractNumId w:val="316"/>
  </w:num>
  <w:num w:numId="367" w16cid:durableId="1882136091">
    <w:abstractNumId w:val="272"/>
  </w:num>
  <w:num w:numId="368" w16cid:durableId="1994869246">
    <w:abstractNumId w:val="283"/>
  </w:num>
  <w:num w:numId="369" w16cid:durableId="332295267">
    <w:abstractNumId w:val="64"/>
  </w:num>
  <w:num w:numId="370" w16cid:durableId="34695543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1" w16cid:durableId="1349409063">
    <w:abstractNumId w:val="37"/>
  </w:num>
  <w:num w:numId="372" w16cid:durableId="2076007727">
    <w:abstractNumId w:val="381"/>
  </w:num>
  <w:num w:numId="373" w16cid:durableId="1234778658">
    <w:abstractNumId w:val="118"/>
  </w:num>
  <w:num w:numId="374" w16cid:durableId="1059128664">
    <w:abstractNumId w:val="38"/>
  </w:num>
  <w:num w:numId="375" w16cid:durableId="1117409609">
    <w:abstractNumId w:val="37"/>
  </w:num>
  <w:num w:numId="376" w16cid:durableId="2040619843">
    <w:abstractNumId w:val="378"/>
  </w:num>
  <w:num w:numId="377" w16cid:durableId="2146964603">
    <w:abstractNumId w:val="37"/>
  </w:num>
  <w:num w:numId="378" w16cid:durableId="1208757308">
    <w:abstractNumId w:val="214"/>
  </w:num>
  <w:num w:numId="379" w16cid:durableId="868302588">
    <w:abstractNumId w:val="37"/>
  </w:num>
  <w:num w:numId="380" w16cid:durableId="1175608314">
    <w:abstractNumId w:val="37"/>
  </w:num>
  <w:num w:numId="381" w16cid:durableId="343829826">
    <w:abstractNumId w:val="37"/>
  </w:num>
  <w:num w:numId="382" w16cid:durableId="345720055">
    <w:abstractNumId w:val="37"/>
  </w:num>
  <w:num w:numId="383" w16cid:durableId="1647130104">
    <w:abstractNumId w:val="37"/>
  </w:num>
  <w:num w:numId="384" w16cid:durableId="960265373">
    <w:abstractNumId w:val="37"/>
  </w:num>
  <w:num w:numId="385" w16cid:durableId="1446997269">
    <w:abstractNumId w:val="139"/>
  </w:num>
  <w:num w:numId="386" w16cid:durableId="958293411">
    <w:abstractNumId w:val="150"/>
  </w:num>
  <w:num w:numId="387" w16cid:durableId="1982420981">
    <w:abstractNumId w:val="37"/>
  </w:num>
  <w:num w:numId="388" w16cid:durableId="280919571">
    <w:abstractNumId w:val="37"/>
  </w:num>
  <w:num w:numId="389" w16cid:durableId="1511876317">
    <w:abstractNumId w:val="388"/>
  </w:num>
  <w:num w:numId="390" w16cid:durableId="182597695">
    <w:abstractNumId w:val="37"/>
  </w:num>
  <w:num w:numId="391" w16cid:durableId="617180160">
    <w:abstractNumId w:val="37"/>
  </w:num>
  <w:num w:numId="392" w16cid:durableId="1876847233">
    <w:abstractNumId w:val="37"/>
  </w:num>
  <w:num w:numId="393" w16cid:durableId="1508473694">
    <w:abstractNumId w:val="37"/>
  </w:num>
  <w:num w:numId="394" w16cid:durableId="1878932439">
    <w:abstractNumId w:val="202"/>
  </w:num>
  <w:num w:numId="395" w16cid:durableId="513955038">
    <w:abstractNumId w:val="326"/>
  </w:num>
  <w:num w:numId="396" w16cid:durableId="2081907400">
    <w:abstractNumId w:val="269"/>
  </w:num>
  <w:num w:numId="397" w16cid:durableId="1425878067">
    <w:abstractNumId w:val="116"/>
  </w:num>
  <w:num w:numId="398" w16cid:durableId="2143769798">
    <w:abstractNumId w:val="410"/>
  </w:num>
  <w:num w:numId="399" w16cid:durableId="2062509399">
    <w:abstractNumId w:val="37"/>
  </w:num>
  <w:num w:numId="400" w16cid:durableId="313796383">
    <w:abstractNumId w:val="423"/>
  </w:num>
  <w:num w:numId="401" w16cid:durableId="260652481">
    <w:abstractNumId w:val="171"/>
  </w:num>
  <w:num w:numId="402" w16cid:durableId="1746564440">
    <w:abstractNumId w:val="30"/>
  </w:num>
  <w:num w:numId="403" w16cid:durableId="1532717951">
    <w:abstractNumId w:val="351"/>
  </w:num>
  <w:num w:numId="404" w16cid:durableId="569535662">
    <w:abstractNumId w:val="311"/>
  </w:num>
  <w:num w:numId="405" w16cid:durableId="472449248">
    <w:abstractNumId w:val="275"/>
  </w:num>
  <w:num w:numId="406" w16cid:durableId="294221179">
    <w:abstractNumId w:val="209"/>
  </w:num>
  <w:num w:numId="407" w16cid:durableId="338121107">
    <w:abstractNumId w:val="55"/>
  </w:num>
  <w:num w:numId="408" w16cid:durableId="405032745">
    <w:abstractNumId w:val="248"/>
  </w:num>
  <w:num w:numId="409" w16cid:durableId="1556040758">
    <w:abstractNumId w:val="181"/>
  </w:num>
  <w:num w:numId="410" w16cid:durableId="1421869670">
    <w:abstractNumId w:val="167"/>
  </w:num>
  <w:num w:numId="411" w16cid:durableId="2086607436">
    <w:abstractNumId w:val="359"/>
  </w:num>
  <w:num w:numId="412" w16cid:durableId="1965967692">
    <w:abstractNumId w:val="413"/>
  </w:num>
  <w:num w:numId="413" w16cid:durableId="920912206">
    <w:abstractNumId w:val="121"/>
  </w:num>
  <w:num w:numId="414" w16cid:durableId="106436769">
    <w:abstractNumId w:val="314"/>
  </w:num>
  <w:num w:numId="415" w16cid:durableId="1062945143">
    <w:abstractNumId w:val="108"/>
  </w:num>
  <w:num w:numId="416" w16cid:durableId="1624654795">
    <w:abstractNumId w:val="347"/>
  </w:num>
  <w:num w:numId="417" w16cid:durableId="1399667277">
    <w:abstractNumId w:val="170"/>
  </w:num>
  <w:num w:numId="418" w16cid:durableId="1804152909">
    <w:abstractNumId w:val="305"/>
  </w:num>
  <w:num w:numId="419" w16cid:durableId="781998647">
    <w:abstractNumId w:val="37"/>
  </w:num>
  <w:num w:numId="420" w16cid:durableId="617569049">
    <w:abstractNumId w:val="242"/>
  </w:num>
  <w:num w:numId="421" w16cid:durableId="2141530978">
    <w:abstractNumId w:val="59"/>
  </w:num>
  <w:num w:numId="422" w16cid:durableId="1237664634">
    <w:abstractNumId w:val="115"/>
  </w:num>
  <w:num w:numId="423" w16cid:durableId="157428518">
    <w:abstractNumId w:val="420"/>
  </w:num>
  <w:num w:numId="424" w16cid:durableId="1005858800">
    <w:abstractNumId w:val="37"/>
  </w:num>
  <w:num w:numId="425" w16cid:durableId="43911080">
    <w:abstractNumId w:val="37"/>
  </w:num>
  <w:num w:numId="426" w16cid:durableId="831872915">
    <w:abstractNumId w:val="37"/>
  </w:num>
  <w:num w:numId="427" w16cid:durableId="1630822369">
    <w:abstractNumId w:val="37"/>
  </w:num>
  <w:num w:numId="428" w16cid:durableId="1973174572">
    <w:abstractNumId w:val="37"/>
  </w:num>
  <w:num w:numId="429" w16cid:durableId="1596862878">
    <w:abstractNumId w:val="37"/>
  </w:num>
  <w:num w:numId="430" w16cid:durableId="363822756">
    <w:abstractNumId w:val="37"/>
  </w:num>
  <w:num w:numId="431" w16cid:durableId="777481495">
    <w:abstractNumId w:val="37"/>
  </w:num>
  <w:num w:numId="432" w16cid:durableId="184056221">
    <w:abstractNumId w:val="37"/>
  </w:num>
  <w:num w:numId="433" w16cid:durableId="167990684">
    <w:abstractNumId w:val="37"/>
  </w:num>
  <w:num w:numId="434" w16cid:durableId="877666833">
    <w:abstractNumId w:val="37"/>
  </w:num>
  <w:num w:numId="435" w16cid:durableId="681665852">
    <w:abstractNumId w:val="37"/>
  </w:num>
  <w:num w:numId="436" w16cid:durableId="1326325957">
    <w:abstractNumId w:val="37"/>
  </w:num>
  <w:num w:numId="437" w16cid:durableId="157769773">
    <w:abstractNumId w:val="37"/>
  </w:num>
  <w:num w:numId="438" w16cid:durableId="32124680">
    <w:abstractNumId w:val="22"/>
  </w:num>
  <w:num w:numId="439" w16cid:durableId="139462174">
    <w:abstractNumId w:val="37"/>
  </w:num>
  <w:num w:numId="440" w16cid:durableId="1630475377">
    <w:abstractNumId w:val="37"/>
  </w:num>
  <w:num w:numId="441" w16cid:durableId="912010966">
    <w:abstractNumId w:val="37"/>
  </w:num>
  <w:num w:numId="442" w16cid:durableId="514148198">
    <w:abstractNumId w:val="37"/>
  </w:num>
  <w:num w:numId="443" w16cid:durableId="928195894">
    <w:abstractNumId w:val="37"/>
  </w:num>
  <w:num w:numId="444" w16cid:durableId="1330718858">
    <w:abstractNumId w:val="37"/>
  </w:num>
  <w:num w:numId="445" w16cid:durableId="51999840">
    <w:abstractNumId w:val="37"/>
  </w:num>
  <w:num w:numId="446" w16cid:durableId="232592869">
    <w:abstractNumId w:val="37"/>
  </w:num>
  <w:num w:numId="447" w16cid:durableId="236986273">
    <w:abstractNumId w:val="37"/>
  </w:num>
  <w:num w:numId="448" w16cid:durableId="2117553656">
    <w:abstractNumId w:val="37"/>
  </w:num>
  <w:num w:numId="449" w16cid:durableId="1734236487">
    <w:abstractNumId w:val="37"/>
  </w:num>
  <w:num w:numId="450" w16cid:durableId="818108754">
    <w:abstractNumId w:val="37"/>
  </w:num>
  <w:num w:numId="451" w16cid:durableId="110325334">
    <w:abstractNumId w:val="37"/>
  </w:num>
  <w:num w:numId="452" w16cid:durableId="1767966236">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3" w16cid:durableId="2031057994">
    <w:abstractNumId w:val="37"/>
  </w:num>
  <w:num w:numId="454" w16cid:durableId="625309996">
    <w:abstractNumId w:val="37"/>
  </w:num>
  <w:num w:numId="455" w16cid:durableId="534781235">
    <w:abstractNumId w:val="353"/>
  </w:num>
  <w:num w:numId="456" w16cid:durableId="1280407168">
    <w:abstractNumId w:val="37"/>
  </w:num>
  <w:num w:numId="457" w16cid:durableId="1874807136">
    <w:abstractNumId w:val="37"/>
  </w:num>
  <w:num w:numId="458" w16cid:durableId="1399398209">
    <w:abstractNumId w:val="37"/>
  </w:num>
  <w:num w:numId="459" w16cid:durableId="1828083535">
    <w:abstractNumId w:val="37"/>
  </w:num>
  <w:num w:numId="460" w16cid:durableId="1443577521">
    <w:abstractNumId w:val="37"/>
  </w:num>
  <w:num w:numId="461" w16cid:durableId="664211772">
    <w:abstractNumId w:val="37"/>
  </w:num>
  <w:num w:numId="462" w16cid:durableId="1771926139">
    <w:abstractNumId w:val="37"/>
  </w:num>
  <w:num w:numId="463" w16cid:durableId="1776828245">
    <w:abstractNumId w:val="37"/>
  </w:num>
  <w:num w:numId="464" w16cid:durableId="1176387898">
    <w:abstractNumId w:val="33"/>
  </w:num>
  <w:num w:numId="465" w16cid:durableId="1189370029">
    <w:abstractNumId w:val="158"/>
  </w:num>
  <w:num w:numId="466" w16cid:durableId="106242555">
    <w:abstractNumId w:val="165"/>
  </w:num>
  <w:num w:numId="467" w16cid:durableId="1272585683">
    <w:abstractNumId w:val="323"/>
  </w:num>
  <w:num w:numId="468" w16cid:durableId="1598635235">
    <w:abstractNumId w:val="169"/>
  </w:num>
  <w:num w:numId="469" w16cid:durableId="1452481585">
    <w:abstractNumId w:val="331"/>
  </w:num>
  <w:num w:numId="470" w16cid:durableId="1274676258">
    <w:abstractNumId w:val="133"/>
  </w:num>
  <w:num w:numId="471" w16cid:durableId="1625044499">
    <w:abstractNumId w:val="146"/>
  </w:num>
  <w:num w:numId="472" w16cid:durableId="1637756226">
    <w:abstractNumId w:val="345"/>
  </w:num>
  <w:num w:numId="473" w16cid:durableId="1804735695">
    <w:abstractNumId w:val="37"/>
  </w:num>
  <w:num w:numId="474" w16cid:durableId="498346320">
    <w:abstractNumId w:val="37"/>
  </w:num>
  <w:num w:numId="475" w16cid:durableId="63378761">
    <w:abstractNumId w:val="232"/>
  </w:num>
  <w:num w:numId="476" w16cid:durableId="974945489">
    <w:abstractNumId w:val="37"/>
  </w:num>
  <w:num w:numId="477" w16cid:durableId="1838497075">
    <w:abstractNumId w:val="21"/>
  </w:num>
  <w:num w:numId="478" w16cid:durableId="63111692">
    <w:abstractNumId w:val="32"/>
  </w:num>
  <w:num w:numId="479" w16cid:durableId="27802896">
    <w:abstractNumId w:val="104"/>
  </w:num>
  <w:num w:numId="480" w16cid:durableId="2051682461">
    <w:abstractNumId w:val="42"/>
  </w:num>
  <w:num w:numId="481" w16cid:durableId="1919169833">
    <w:abstractNumId w:val="37"/>
  </w:num>
  <w:num w:numId="482" w16cid:durableId="1186402888">
    <w:abstractNumId w:val="37"/>
  </w:num>
  <w:num w:numId="483" w16cid:durableId="2131194944">
    <w:abstractNumId w:val="37"/>
  </w:num>
  <w:num w:numId="484" w16cid:durableId="396053233">
    <w:abstractNumId w:val="37"/>
  </w:num>
  <w:num w:numId="485" w16cid:durableId="1070232990">
    <w:abstractNumId w:val="37"/>
  </w:num>
  <w:num w:numId="486" w16cid:durableId="1293897875">
    <w:abstractNumId w:val="37"/>
  </w:num>
  <w:num w:numId="487" w16cid:durableId="67004308">
    <w:abstractNumId w:val="37"/>
  </w:num>
  <w:num w:numId="488" w16cid:durableId="1721977674">
    <w:abstractNumId w:val="37"/>
  </w:num>
  <w:num w:numId="489" w16cid:durableId="1072584368">
    <w:abstractNumId w:val="37"/>
  </w:num>
  <w:num w:numId="490" w16cid:durableId="562369065">
    <w:abstractNumId w:val="37"/>
  </w:num>
  <w:num w:numId="491" w16cid:durableId="1600523984">
    <w:abstractNumId w:val="37"/>
  </w:num>
  <w:num w:numId="492" w16cid:durableId="780608576">
    <w:abstractNumId w:val="37"/>
  </w:num>
  <w:num w:numId="493" w16cid:durableId="477693992">
    <w:abstractNumId w:val="37"/>
  </w:num>
  <w:num w:numId="494" w16cid:durableId="210043569">
    <w:abstractNumId w:val="37"/>
  </w:num>
  <w:num w:numId="495" w16cid:durableId="832529646">
    <w:abstractNumId w:val="37"/>
  </w:num>
  <w:num w:numId="496" w16cid:durableId="629745647">
    <w:abstractNumId w:val="37"/>
  </w:num>
  <w:num w:numId="497" w16cid:durableId="670789521">
    <w:abstractNumId w:val="37"/>
  </w:num>
  <w:num w:numId="498" w16cid:durableId="2036419948">
    <w:abstractNumId w:val="37"/>
  </w:num>
  <w:num w:numId="499" w16cid:durableId="1785231060">
    <w:abstractNumId w:val="37"/>
  </w:num>
  <w:num w:numId="500" w16cid:durableId="1127429596">
    <w:abstractNumId w:val="37"/>
  </w:num>
  <w:num w:numId="501" w16cid:durableId="1322124934">
    <w:abstractNumId w:val="37"/>
  </w:num>
  <w:num w:numId="502" w16cid:durableId="1679234427">
    <w:abstractNumId w:val="37"/>
  </w:num>
  <w:num w:numId="503" w16cid:durableId="1824658758">
    <w:abstractNumId w:val="37"/>
  </w:num>
  <w:num w:numId="504" w16cid:durableId="737947564">
    <w:abstractNumId w:val="37"/>
  </w:num>
  <w:num w:numId="505" w16cid:durableId="550731571">
    <w:abstractNumId w:val="37"/>
  </w:num>
  <w:num w:numId="506" w16cid:durableId="938679595">
    <w:abstractNumId w:val="37"/>
  </w:num>
  <w:num w:numId="507" w16cid:durableId="1082993288">
    <w:abstractNumId w:val="37"/>
  </w:num>
  <w:num w:numId="508" w16cid:durableId="778715558">
    <w:abstractNumId w:val="37"/>
  </w:num>
  <w:num w:numId="509" w16cid:durableId="1492015372">
    <w:abstractNumId w:val="37"/>
  </w:num>
  <w:num w:numId="510" w16cid:durableId="2008096408">
    <w:abstractNumId w:val="37"/>
  </w:num>
  <w:num w:numId="511" w16cid:durableId="97452282">
    <w:abstractNumId w:val="37"/>
  </w:num>
  <w:num w:numId="512" w16cid:durableId="1585608450">
    <w:abstractNumId w:val="37"/>
  </w:num>
  <w:num w:numId="513" w16cid:durableId="1486043258">
    <w:abstractNumId w:val="37"/>
  </w:num>
  <w:num w:numId="514" w16cid:durableId="1517108971">
    <w:abstractNumId w:val="37"/>
  </w:num>
  <w:num w:numId="515" w16cid:durableId="1979869721">
    <w:abstractNumId w:val="37"/>
  </w:num>
  <w:num w:numId="516" w16cid:durableId="620496837">
    <w:abstractNumId w:val="37"/>
  </w:num>
  <w:num w:numId="517" w16cid:durableId="1482846078">
    <w:abstractNumId w:val="37"/>
  </w:num>
  <w:num w:numId="518" w16cid:durableId="443158840">
    <w:abstractNumId w:val="37"/>
  </w:num>
  <w:num w:numId="519" w16cid:durableId="323557347">
    <w:abstractNumId w:val="37"/>
  </w:num>
  <w:num w:numId="520" w16cid:durableId="1421633110">
    <w:abstractNumId w:val="37"/>
  </w:num>
  <w:num w:numId="521" w16cid:durableId="1870676004">
    <w:abstractNumId w:val="37"/>
  </w:num>
  <w:num w:numId="522" w16cid:durableId="573665025">
    <w:abstractNumId w:val="37"/>
  </w:num>
  <w:num w:numId="523" w16cid:durableId="604845419">
    <w:abstractNumId w:val="37"/>
  </w:num>
  <w:num w:numId="524" w16cid:durableId="1856580142">
    <w:abstractNumId w:val="37"/>
  </w:num>
  <w:num w:numId="525" w16cid:durableId="454493802">
    <w:abstractNumId w:val="37"/>
  </w:num>
  <w:num w:numId="526" w16cid:durableId="1543859445">
    <w:abstractNumId w:val="37"/>
  </w:num>
  <w:num w:numId="527" w16cid:durableId="1006444504">
    <w:abstractNumId w:val="37"/>
  </w:num>
  <w:num w:numId="528" w16cid:durableId="525289780">
    <w:abstractNumId w:val="37"/>
  </w:num>
  <w:num w:numId="529" w16cid:durableId="1035689625">
    <w:abstractNumId w:val="37"/>
  </w:num>
  <w:num w:numId="530" w16cid:durableId="2046370632">
    <w:abstractNumId w:val="37"/>
  </w:num>
  <w:num w:numId="531" w16cid:durableId="1249003652">
    <w:abstractNumId w:val="37"/>
  </w:num>
  <w:num w:numId="532" w16cid:durableId="1634826540">
    <w:abstractNumId w:val="37"/>
  </w:num>
  <w:num w:numId="533" w16cid:durableId="625357278">
    <w:abstractNumId w:val="37"/>
  </w:num>
  <w:num w:numId="534" w16cid:durableId="1395005007">
    <w:abstractNumId w:val="37"/>
  </w:num>
  <w:num w:numId="535" w16cid:durableId="433285662">
    <w:abstractNumId w:val="37"/>
  </w:num>
  <w:num w:numId="536" w16cid:durableId="971442071">
    <w:abstractNumId w:val="37"/>
  </w:num>
  <w:num w:numId="537" w16cid:durableId="1528567811">
    <w:abstractNumId w:val="37"/>
  </w:num>
  <w:num w:numId="538" w16cid:durableId="927538569">
    <w:abstractNumId w:val="37"/>
  </w:num>
  <w:num w:numId="539" w16cid:durableId="1153640906">
    <w:abstractNumId w:val="37"/>
  </w:num>
  <w:num w:numId="540" w16cid:durableId="1166671949">
    <w:abstractNumId w:val="380"/>
  </w:num>
  <w:num w:numId="541" w16cid:durableId="1316565196">
    <w:abstractNumId w:val="18"/>
  </w:num>
  <w:num w:numId="542" w16cid:durableId="10184303">
    <w:abstractNumId w:val="438"/>
  </w:num>
  <w:num w:numId="543" w16cid:durableId="2099328130">
    <w:abstractNumId w:val="393"/>
  </w:num>
  <w:num w:numId="544" w16cid:durableId="1650556519">
    <w:abstractNumId w:val="122"/>
  </w:num>
  <w:num w:numId="545" w16cid:durableId="440078320">
    <w:abstractNumId w:val="222"/>
  </w:num>
  <w:num w:numId="546" w16cid:durableId="1770464329">
    <w:abstractNumId w:val="60"/>
  </w:num>
  <w:num w:numId="547" w16cid:durableId="1633947479">
    <w:abstractNumId w:val="190"/>
  </w:num>
  <w:num w:numId="548" w16cid:durableId="429816905">
    <w:abstractNumId w:val="166"/>
  </w:num>
  <w:num w:numId="549" w16cid:durableId="480078107">
    <w:abstractNumId w:val="61"/>
  </w:num>
  <w:num w:numId="550" w16cid:durableId="1516574502">
    <w:abstractNumId w:val="31"/>
  </w:num>
  <w:num w:numId="551" w16cid:durableId="581112391">
    <w:abstractNumId w:val="1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2" w16cid:durableId="23215878">
    <w:abstractNumId w:val="34"/>
  </w:num>
  <w:num w:numId="553" w16cid:durableId="936865066">
    <w:abstractNumId w:val="37"/>
  </w:num>
  <w:num w:numId="554" w16cid:durableId="1033387801">
    <w:abstractNumId w:val="37"/>
  </w:num>
  <w:num w:numId="555" w16cid:durableId="1112239796">
    <w:abstractNumId w:val="37"/>
  </w:num>
  <w:num w:numId="556" w16cid:durableId="1251237901">
    <w:abstractNumId w:val="37"/>
  </w:num>
  <w:num w:numId="557" w16cid:durableId="43219259">
    <w:abstractNumId w:val="37"/>
  </w:num>
  <w:num w:numId="558" w16cid:durableId="819733277">
    <w:abstractNumId w:val="37"/>
  </w:num>
  <w:num w:numId="559" w16cid:durableId="844856309">
    <w:abstractNumId w:val="37"/>
  </w:num>
  <w:num w:numId="560" w16cid:durableId="1940286149">
    <w:abstractNumId w:val="37"/>
  </w:num>
  <w:num w:numId="561" w16cid:durableId="2061437656">
    <w:abstractNumId w:val="37"/>
  </w:num>
  <w:num w:numId="562" w16cid:durableId="1509825637">
    <w:abstractNumId w:val="37"/>
  </w:num>
  <w:num w:numId="563" w16cid:durableId="519245475">
    <w:abstractNumId w:val="37"/>
  </w:num>
  <w:num w:numId="564" w16cid:durableId="287392079">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5" w16cid:durableId="756636046">
    <w:abstractNumId w:val="37"/>
  </w:num>
  <w:num w:numId="566" w16cid:durableId="417333558">
    <w:abstractNumId w:val="37"/>
  </w:num>
  <w:num w:numId="567" w16cid:durableId="1094088582">
    <w:abstractNumId w:val="37"/>
  </w:num>
  <w:num w:numId="568" w16cid:durableId="1429544126">
    <w:abstractNumId w:val="37"/>
  </w:num>
  <w:num w:numId="569" w16cid:durableId="948121400">
    <w:abstractNumId w:val="37"/>
  </w:num>
  <w:num w:numId="570" w16cid:durableId="969557131">
    <w:abstractNumId w:val="37"/>
  </w:num>
  <w:num w:numId="571" w16cid:durableId="1916893599">
    <w:abstractNumId w:val="37"/>
  </w:num>
  <w:num w:numId="572" w16cid:durableId="436292795">
    <w:abstractNumId w:val="37"/>
  </w:num>
  <w:num w:numId="573" w16cid:durableId="1689401901">
    <w:abstractNumId w:val="149"/>
  </w:num>
  <w:num w:numId="574" w16cid:durableId="390006929">
    <w:abstractNumId w:val="338"/>
  </w:num>
  <w:num w:numId="575" w16cid:durableId="1720204652">
    <w:abstractNumId w:val="304"/>
  </w:num>
  <w:num w:numId="576" w16cid:durableId="1656447027">
    <w:abstractNumId w:val="281"/>
  </w:num>
  <w:num w:numId="577" w16cid:durableId="2021002532">
    <w:abstractNumId w:val="452"/>
  </w:num>
  <w:num w:numId="578" w16cid:durableId="443578833">
    <w:abstractNumId w:val="25"/>
  </w:num>
  <w:num w:numId="579" w16cid:durableId="6174601">
    <w:abstractNumId w:val="37"/>
  </w:num>
  <w:num w:numId="580" w16cid:durableId="2140100535">
    <w:abstractNumId w:val="37"/>
  </w:num>
  <w:num w:numId="581" w16cid:durableId="1675913625">
    <w:abstractNumId w:val="37"/>
  </w:num>
  <w:num w:numId="582" w16cid:durableId="741295631">
    <w:abstractNumId w:val="37"/>
  </w:num>
  <w:num w:numId="583" w16cid:durableId="189032135">
    <w:abstractNumId w:val="37"/>
  </w:num>
  <w:num w:numId="584" w16cid:durableId="157162833">
    <w:abstractNumId w:val="389"/>
  </w:num>
  <w:num w:numId="585" w16cid:durableId="2041279200">
    <w:abstractNumId w:val="407"/>
  </w:num>
  <w:num w:numId="586" w16cid:durableId="801770294">
    <w:abstractNumId w:val="119"/>
  </w:num>
  <w:num w:numId="587" w16cid:durableId="503740775">
    <w:abstractNumId w:val="210"/>
  </w:num>
  <w:num w:numId="588" w16cid:durableId="871653646">
    <w:abstractNumId w:val="327"/>
  </w:num>
  <w:num w:numId="589" w16cid:durableId="1485467195">
    <w:abstractNumId w:val="37"/>
  </w:num>
  <w:num w:numId="590" w16cid:durableId="513110294">
    <w:abstractNumId w:val="37"/>
  </w:num>
  <w:num w:numId="591" w16cid:durableId="951282075">
    <w:abstractNumId w:val="37"/>
  </w:num>
  <w:num w:numId="592" w16cid:durableId="1996227479">
    <w:abstractNumId w:val="37"/>
  </w:num>
  <w:num w:numId="593" w16cid:durableId="1668945740">
    <w:abstractNumId w:val="37"/>
  </w:num>
  <w:num w:numId="594" w16cid:durableId="1135874692">
    <w:abstractNumId w:val="37"/>
  </w:num>
  <w:num w:numId="595" w16cid:durableId="843252374">
    <w:abstractNumId w:val="37"/>
  </w:num>
  <w:num w:numId="596" w16cid:durableId="1820341994">
    <w:abstractNumId w:val="37"/>
  </w:num>
  <w:num w:numId="597" w16cid:durableId="751901741">
    <w:abstractNumId w:val="37"/>
  </w:num>
  <w:num w:numId="598" w16cid:durableId="1179660977">
    <w:abstractNumId w:val="37"/>
  </w:num>
  <w:num w:numId="599" w16cid:durableId="1289628041">
    <w:abstractNumId w:val="37"/>
  </w:num>
  <w:num w:numId="600" w16cid:durableId="259027573">
    <w:abstractNumId w:val="37"/>
  </w:num>
  <w:num w:numId="601" w16cid:durableId="395250921">
    <w:abstractNumId w:val="37"/>
  </w:num>
  <w:num w:numId="602" w16cid:durableId="1382706117">
    <w:abstractNumId w:val="37"/>
  </w:num>
  <w:num w:numId="603" w16cid:durableId="162362405">
    <w:abstractNumId w:val="37"/>
  </w:num>
  <w:num w:numId="604" w16cid:durableId="514926294">
    <w:abstractNumId w:val="37"/>
  </w:num>
  <w:num w:numId="605" w16cid:durableId="431710346">
    <w:abstractNumId w:val="37"/>
  </w:num>
  <w:num w:numId="606" w16cid:durableId="553322476">
    <w:abstractNumId w:val="37"/>
  </w:num>
  <w:num w:numId="607" w16cid:durableId="1580292377">
    <w:abstractNumId w:val="37"/>
  </w:num>
  <w:num w:numId="608" w16cid:durableId="945816426">
    <w:abstractNumId w:val="37"/>
  </w:num>
  <w:num w:numId="609" w16cid:durableId="2030254551">
    <w:abstractNumId w:val="37"/>
  </w:num>
  <w:num w:numId="610" w16cid:durableId="1508784316">
    <w:abstractNumId w:val="37"/>
  </w:num>
  <w:num w:numId="611" w16cid:durableId="145248815">
    <w:abstractNumId w:val="37"/>
  </w:num>
  <w:num w:numId="612" w16cid:durableId="1415515668">
    <w:abstractNumId w:val="37"/>
  </w:num>
  <w:num w:numId="613" w16cid:durableId="2145537083">
    <w:abstractNumId w:val="37"/>
  </w:num>
  <w:num w:numId="614" w16cid:durableId="444929645">
    <w:abstractNumId w:val="37"/>
  </w:num>
  <w:num w:numId="615" w16cid:durableId="2082094017">
    <w:abstractNumId w:val="37"/>
  </w:num>
  <w:num w:numId="616" w16cid:durableId="1844393267">
    <w:abstractNumId w:val="37"/>
  </w:num>
  <w:num w:numId="617" w16cid:durableId="1376270539">
    <w:abstractNumId w:val="37"/>
  </w:num>
  <w:num w:numId="618" w16cid:durableId="530460674">
    <w:abstractNumId w:val="37"/>
  </w:num>
  <w:num w:numId="619" w16cid:durableId="992023402">
    <w:abstractNumId w:val="37"/>
  </w:num>
  <w:num w:numId="620" w16cid:durableId="1754399198">
    <w:abstractNumId w:val="37"/>
  </w:num>
  <w:num w:numId="621" w16cid:durableId="203250443">
    <w:abstractNumId w:val="37"/>
  </w:num>
  <w:num w:numId="622" w16cid:durableId="996151477">
    <w:abstractNumId w:val="37"/>
  </w:num>
  <w:num w:numId="623" w16cid:durableId="1107694946">
    <w:abstractNumId w:val="37"/>
  </w:num>
  <w:num w:numId="624" w16cid:durableId="1433818132">
    <w:abstractNumId w:val="37"/>
  </w:num>
  <w:num w:numId="625" w16cid:durableId="502286420">
    <w:abstractNumId w:val="434"/>
  </w:num>
  <w:num w:numId="626" w16cid:durableId="1364013322">
    <w:abstractNumId w:val="37"/>
  </w:num>
  <w:num w:numId="627" w16cid:durableId="808977229">
    <w:abstractNumId w:val="196"/>
  </w:num>
  <w:num w:numId="628" w16cid:durableId="1905599947">
    <w:abstractNumId w:val="161"/>
  </w:num>
  <w:num w:numId="629" w16cid:durableId="172648263">
    <w:abstractNumId w:val="2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0" w16cid:durableId="1552110677">
    <w:abstractNumId w:val="37"/>
  </w:num>
  <w:num w:numId="631" w16cid:durableId="1855262795">
    <w:abstractNumId w:val="129"/>
  </w:num>
  <w:num w:numId="632" w16cid:durableId="388892266">
    <w:abstractNumId w:val="37"/>
  </w:num>
  <w:num w:numId="633" w16cid:durableId="2120829156">
    <w:abstractNumId w:val="37"/>
  </w:num>
  <w:num w:numId="634" w16cid:durableId="286085090">
    <w:abstractNumId w:val="37"/>
  </w:num>
  <w:num w:numId="635" w16cid:durableId="654339715">
    <w:abstractNumId w:val="37"/>
  </w:num>
  <w:num w:numId="636" w16cid:durableId="1758749356">
    <w:abstractNumId w:val="374"/>
  </w:num>
  <w:num w:numId="637" w16cid:durableId="1174340552">
    <w:abstractNumId w:val="37"/>
  </w:num>
  <w:num w:numId="638" w16cid:durableId="549418810">
    <w:abstractNumId w:val="37"/>
  </w:num>
  <w:num w:numId="639" w16cid:durableId="794176994">
    <w:abstractNumId w:val="37"/>
  </w:num>
  <w:num w:numId="640" w16cid:durableId="1417366321">
    <w:abstractNumId w:val="37"/>
  </w:num>
  <w:num w:numId="641" w16cid:durableId="2111122287">
    <w:abstractNumId w:val="37"/>
  </w:num>
  <w:num w:numId="642" w16cid:durableId="1804075442">
    <w:abstractNumId w:val="37"/>
  </w:num>
  <w:num w:numId="643" w16cid:durableId="701326785">
    <w:abstractNumId w:val="37"/>
  </w:num>
  <w:num w:numId="644" w16cid:durableId="1107693414">
    <w:abstractNumId w:val="37"/>
  </w:num>
  <w:num w:numId="645" w16cid:durableId="1935700042">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6" w16cid:durableId="736513611">
    <w:abstractNumId w:val="37"/>
  </w:num>
  <w:num w:numId="647" w16cid:durableId="1480994910">
    <w:abstractNumId w:val="37"/>
  </w:num>
  <w:num w:numId="648" w16cid:durableId="355353639">
    <w:abstractNumId w:val="317"/>
  </w:num>
  <w:num w:numId="649" w16cid:durableId="476066720">
    <w:abstractNumId w:val="37"/>
  </w:num>
  <w:num w:numId="650" w16cid:durableId="1417510007">
    <w:abstractNumId w:val="45"/>
  </w:num>
  <w:num w:numId="651" w16cid:durableId="462118847">
    <w:abstractNumId w:val="188"/>
  </w:num>
  <w:num w:numId="652" w16cid:durableId="820848392">
    <w:abstractNumId w:val="396"/>
  </w:num>
  <w:num w:numId="653" w16cid:durableId="646058041">
    <w:abstractNumId w:val="99"/>
  </w:num>
  <w:num w:numId="654" w16cid:durableId="1848716333">
    <w:abstractNumId w:val="251"/>
  </w:num>
  <w:num w:numId="655" w16cid:durableId="460074176">
    <w:abstractNumId w:val="145"/>
  </w:num>
  <w:num w:numId="656" w16cid:durableId="897085786">
    <w:abstractNumId w:val="37"/>
  </w:num>
  <w:num w:numId="657" w16cid:durableId="1604992785">
    <w:abstractNumId w:val="173"/>
  </w:num>
  <w:num w:numId="658" w16cid:durableId="1733115924">
    <w:abstractNumId w:val="332"/>
  </w:num>
  <w:num w:numId="659" w16cid:durableId="449592822">
    <w:abstractNumId w:val="143"/>
  </w:num>
  <w:num w:numId="660" w16cid:durableId="1221598591">
    <w:abstractNumId w:val="278"/>
  </w:num>
  <w:num w:numId="661" w16cid:durableId="1350333902">
    <w:abstractNumId w:val="37"/>
  </w:num>
  <w:num w:numId="662" w16cid:durableId="390691696">
    <w:abstractNumId w:val="37"/>
  </w:num>
  <w:num w:numId="663" w16cid:durableId="33846135">
    <w:abstractNumId w:val="37"/>
  </w:num>
  <w:num w:numId="664" w16cid:durableId="131869151">
    <w:abstractNumId w:val="37"/>
  </w:num>
  <w:num w:numId="665" w16cid:durableId="414131623">
    <w:abstractNumId w:val="37"/>
  </w:num>
  <w:num w:numId="666" w16cid:durableId="66147465">
    <w:abstractNumId w:val="37"/>
  </w:num>
  <w:num w:numId="667" w16cid:durableId="1445269681">
    <w:abstractNumId w:val="37"/>
  </w:num>
  <w:num w:numId="668" w16cid:durableId="855652341">
    <w:abstractNumId w:val="37"/>
  </w:num>
  <w:num w:numId="669" w16cid:durableId="127942524">
    <w:abstractNumId w:val="37"/>
  </w:num>
  <w:num w:numId="670" w16cid:durableId="230121361">
    <w:abstractNumId w:val="37"/>
  </w:num>
  <w:num w:numId="671" w16cid:durableId="629240017">
    <w:abstractNumId w:val="37"/>
  </w:num>
  <w:num w:numId="672" w16cid:durableId="327945935">
    <w:abstractNumId w:val="160"/>
  </w:num>
  <w:num w:numId="673" w16cid:durableId="1451896935">
    <w:abstractNumId w:val="266"/>
  </w:num>
  <w:num w:numId="674" w16cid:durableId="862480430">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5" w16cid:durableId="1709991655">
    <w:abstractNumId w:val="37"/>
  </w:num>
  <w:num w:numId="676" w16cid:durableId="2100983025">
    <w:abstractNumId w:val="103"/>
  </w:num>
  <w:num w:numId="677" w16cid:durableId="1329753198">
    <w:abstractNumId w:val="29"/>
  </w:num>
  <w:num w:numId="678" w16cid:durableId="1232354901">
    <w:abstractNumId w:val="91"/>
  </w:num>
  <w:num w:numId="679" w16cid:durableId="127213501">
    <w:abstractNumId w:val="260"/>
  </w:num>
  <w:num w:numId="680" w16cid:durableId="1379015728">
    <w:abstractNumId w:val="107"/>
  </w:num>
  <w:num w:numId="681" w16cid:durableId="1878278756">
    <w:abstractNumId w:val="179"/>
  </w:num>
  <w:num w:numId="682" w16cid:durableId="1211570501">
    <w:abstractNumId w:val="37"/>
  </w:num>
  <w:num w:numId="683" w16cid:durableId="1364789400">
    <w:abstractNumId w:val="37"/>
  </w:num>
  <w:num w:numId="684" w16cid:durableId="1465349823">
    <w:abstractNumId w:val="37"/>
  </w:num>
  <w:num w:numId="685" w16cid:durableId="224875127">
    <w:abstractNumId w:val="37"/>
  </w:num>
  <w:num w:numId="686" w16cid:durableId="456022162">
    <w:abstractNumId w:val="37"/>
  </w:num>
  <w:num w:numId="687" w16cid:durableId="1661883017">
    <w:abstractNumId w:val="37"/>
  </w:num>
  <w:num w:numId="688" w16cid:durableId="982387102">
    <w:abstractNumId w:val="322"/>
  </w:num>
  <w:num w:numId="689" w16cid:durableId="1635062792">
    <w:abstractNumId w:val="124"/>
  </w:num>
  <w:num w:numId="690" w16cid:durableId="784885153">
    <w:abstractNumId w:val="249"/>
  </w:num>
  <w:num w:numId="691" w16cid:durableId="473376776">
    <w:abstractNumId w:val="37"/>
  </w:num>
  <w:num w:numId="692" w16cid:durableId="1305967348">
    <w:abstractNumId w:val="37"/>
  </w:num>
  <w:num w:numId="693" w16cid:durableId="1341739294">
    <w:abstractNumId w:val="37"/>
  </w:num>
  <w:num w:numId="694" w16cid:durableId="1099519586">
    <w:abstractNumId w:val="37"/>
  </w:num>
  <w:num w:numId="695" w16cid:durableId="1885629415">
    <w:abstractNumId w:val="37"/>
  </w:num>
  <w:num w:numId="696" w16cid:durableId="1865708042">
    <w:abstractNumId w:val="37"/>
  </w:num>
  <w:num w:numId="697" w16cid:durableId="1554266906">
    <w:abstractNumId w:val="37"/>
  </w:num>
  <w:num w:numId="698" w16cid:durableId="499851238">
    <w:abstractNumId w:val="37"/>
  </w:num>
  <w:num w:numId="699" w16cid:durableId="1246719172">
    <w:abstractNumId w:val="37"/>
  </w:num>
  <w:num w:numId="700" w16cid:durableId="1606109129">
    <w:abstractNumId w:val="37"/>
  </w:num>
  <w:num w:numId="701" w16cid:durableId="1833569828">
    <w:abstractNumId w:val="37"/>
  </w:num>
  <w:num w:numId="702" w16cid:durableId="512307892">
    <w:abstractNumId w:val="37"/>
  </w:num>
  <w:num w:numId="703" w16cid:durableId="1648824206">
    <w:abstractNumId w:val="37"/>
  </w:num>
  <w:num w:numId="704" w16cid:durableId="295573862">
    <w:abstractNumId w:val="37"/>
  </w:num>
  <w:num w:numId="705" w16cid:durableId="1354570973">
    <w:abstractNumId w:val="254"/>
  </w:num>
  <w:num w:numId="706" w16cid:durableId="1628467066">
    <w:abstractNumId w:val="300"/>
  </w:num>
  <w:num w:numId="707" w16cid:durableId="2117675509">
    <w:abstractNumId w:val="37"/>
  </w:num>
  <w:num w:numId="708" w16cid:durableId="29496738">
    <w:abstractNumId w:val="37"/>
  </w:num>
  <w:num w:numId="709" w16cid:durableId="1884175645">
    <w:abstractNumId w:val="37"/>
  </w:num>
  <w:num w:numId="710" w16cid:durableId="401564727">
    <w:abstractNumId w:val="37"/>
  </w:num>
  <w:num w:numId="711" w16cid:durableId="655837386">
    <w:abstractNumId w:val="37"/>
  </w:num>
  <w:num w:numId="712" w16cid:durableId="1505701971">
    <w:abstractNumId w:val="37"/>
  </w:num>
  <w:num w:numId="713" w16cid:durableId="1318264205">
    <w:abstractNumId w:val="37"/>
  </w:num>
  <w:num w:numId="714" w16cid:durableId="625281065">
    <w:abstractNumId w:val="37"/>
  </w:num>
  <w:num w:numId="715" w16cid:durableId="1533615072">
    <w:abstractNumId w:val="37"/>
  </w:num>
  <w:num w:numId="716" w16cid:durableId="1365595497">
    <w:abstractNumId w:val="37"/>
  </w:num>
  <w:num w:numId="717" w16cid:durableId="984310304">
    <w:abstractNumId w:val="247"/>
  </w:num>
  <w:num w:numId="718" w16cid:durableId="2120636988">
    <w:abstractNumId w:val="14"/>
  </w:num>
  <w:num w:numId="719" w16cid:durableId="1921089109">
    <w:abstractNumId w:val="37"/>
  </w:num>
  <w:num w:numId="720" w16cid:durableId="313872611">
    <w:abstractNumId w:val="37"/>
  </w:num>
  <w:num w:numId="721" w16cid:durableId="1008748114">
    <w:abstractNumId w:val="37"/>
  </w:num>
  <w:num w:numId="722" w16cid:durableId="1800953917">
    <w:abstractNumId w:val="37"/>
  </w:num>
  <w:num w:numId="723" w16cid:durableId="1825779184">
    <w:abstractNumId w:val="37"/>
  </w:num>
  <w:num w:numId="724" w16cid:durableId="1943800279">
    <w:abstractNumId w:val="37"/>
  </w:num>
  <w:num w:numId="725" w16cid:durableId="1961492676">
    <w:abstractNumId w:val="37"/>
  </w:num>
  <w:num w:numId="726" w16cid:durableId="1762337720">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7" w16cid:durableId="1900093428">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8" w16cid:durableId="1271400038">
    <w:abstractNumId w:val="37"/>
  </w:num>
  <w:num w:numId="729" w16cid:durableId="1112431294">
    <w:abstractNumId w:val="37"/>
  </w:num>
  <w:num w:numId="730" w16cid:durableId="136267112">
    <w:abstractNumId w:val="37"/>
  </w:num>
  <w:num w:numId="731" w16cid:durableId="1076168365">
    <w:abstractNumId w:val="37"/>
  </w:num>
  <w:num w:numId="732" w16cid:durableId="1611471829">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3" w16cid:durableId="354312416">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4" w16cid:durableId="1008481848">
    <w:abstractNumId w:val="23"/>
  </w:num>
  <w:num w:numId="735" w16cid:durableId="1078211573">
    <w:abstractNumId w:val="37"/>
  </w:num>
  <w:num w:numId="736" w16cid:durableId="607808699">
    <w:abstractNumId w:val="37"/>
  </w:num>
  <w:num w:numId="737" w16cid:durableId="1269193637">
    <w:abstractNumId w:val="37"/>
  </w:num>
  <w:num w:numId="738" w16cid:durableId="2129078550">
    <w:abstractNumId w:val="37"/>
  </w:num>
  <w:num w:numId="739" w16cid:durableId="173959732">
    <w:abstractNumId w:val="37"/>
  </w:num>
  <w:num w:numId="740" w16cid:durableId="1114132671">
    <w:abstractNumId w:val="37"/>
  </w:num>
  <w:numIdMacAtCleanup w:val="7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SystemFonts/>
  <w:activeWritingStyle w:appName="MSWord" w:lang="es-MX" w:vendorID="64" w:dllVersion="0" w:nlCheck="1" w:checkStyle="0"/>
  <w:activeWritingStyle w:appName="MSWord" w:lang="es-ES" w:vendorID="64" w:dllVersion="6" w:nlCheck="1" w:checkStyle="0"/>
  <w:activeWritingStyle w:appName="MSWord" w:lang="es-ES_tradnl" w:vendorID="64" w:dllVersion="6" w:nlCheck="1" w:checkStyle="1"/>
  <w:activeWritingStyle w:appName="MSWord" w:lang="es-CO" w:vendorID="64" w:dllVersion="6" w:nlCheck="1" w:checkStyle="1"/>
  <w:activeWritingStyle w:appName="MSWord" w:lang="es-MX" w:vendorID="64" w:dllVersion="6" w:nlCheck="1" w:checkStyle="1"/>
  <w:activeWritingStyle w:appName="MSWord" w:lang="es-CL" w:vendorID="64" w:dllVersion="6" w:nlCheck="1" w:checkStyle="0"/>
  <w:activeWritingStyle w:appName="MSWord" w:lang="en-US" w:vendorID="64" w:dllVersion="6" w:nlCheck="1" w:checkStyle="1"/>
  <w:activeWritingStyle w:appName="MSWord" w:lang="es-ES" w:vendorID="64" w:dllVersion="0" w:nlCheck="1" w:checkStyle="0"/>
  <w:activeWritingStyle w:appName="MSWord" w:lang="es-CO"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es-419" w:vendorID="64" w:dllVersion="0" w:nlCheck="1" w:checkStyle="0"/>
  <w:activeWritingStyle w:appName="MSWord" w:lang="es-CL" w:vendorID="64" w:dllVersion="0" w:nlCheck="1" w:checkStyle="0"/>
  <w:activeWritingStyle w:appName="MSWord" w:lang="es-ES" w:vendorID="64" w:dllVersion="4096" w:nlCheck="1" w:checkStyle="0"/>
  <w:activeWritingStyle w:appName="MSWord" w:lang="es-ES_tradnl" w:vendorID="64" w:dllVersion="4096" w:nlCheck="1" w:checkStyle="0"/>
  <w:activeWritingStyle w:appName="MSWord" w:lang="en-US" w:vendorID="64" w:dllVersion="4096" w:nlCheck="1" w:checkStyle="0"/>
  <w:activeWritingStyle w:appName="MSWord" w:lang="es-CO" w:vendorID="64" w:dllVersion="4096" w:nlCheck="1" w:checkStyle="0"/>
  <w:activeWritingStyle w:appName="MSWord" w:lang="es-MX" w:vendorID="64" w:dllVersion="4096" w:nlCheck="1" w:checkStyle="0"/>
  <w:activeWritingStyle w:appName="MSWord" w:lang="es-CL" w:vendorID="64" w:dllVersion="4096" w:nlCheck="1" w:checkStyle="0"/>
  <w:activeWritingStyle w:appName="MSWord" w:lang="es-419" w:vendorID="64" w:dllVersion="4096" w:nlCheck="1" w:checkStyle="0"/>
  <w:activeWritingStyle w:appName="MSWord" w:lang="es-419" w:vendorID="64" w:dllVersion="6" w:nlCheck="1" w:checkStyle="0"/>
  <w:activeWritingStyle w:appName="MSWord" w:lang="fr-FR" w:vendorID="64" w:dllVersion="0" w:nlCheck="1" w:checkStyle="0"/>
  <w:activeWritingStyle w:appName="MSWord" w:lang="fr-FR" w:vendorID="64" w:dllVersion="6" w:nlCheck="1" w:checkStyle="1"/>
  <w:activeWritingStyle w:appName="MSWord" w:lang="fr-FR" w:vendorID="64" w:dllVersion="4096"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709"/>
  <w:hyphenationZone w:val="425"/>
  <w:drawingGridHorizontalSpacing w:val="120"/>
  <w:drawingGridVerticalSpacing w:val="120"/>
  <w:displayVerticalDrawingGridEvery w:val="0"/>
  <w:doNotUseMarginsForDrawingGridOrigin/>
  <w:characterSpacingControl w:val="doNotCompress"/>
  <w:hdrShapeDefaults>
    <o:shapedefaults v:ext="edit" spidmax="2050"/>
  </w:hdrShapeDefaults>
  <w:footnotePr>
    <w:footnote w:id="-1"/>
    <w:footnote w:id="0"/>
    <w:footnote w:id="1"/>
  </w:footnotePr>
  <w:endnotePr>
    <w:numFmt w:val="decimal"/>
    <w:endnote w:id="-1"/>
    <w:endnote w:id="0"/>
    <w:endnote w:id="1"/>
  </w:endnotePr>
  <w:compat>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2239F"/>
    <w:rsid w:val="0000007B"/>
    <w:rsid w:val="00000496"/>
    <w:rsid w:val="000004E0"/>
    <w:rsid w:val="00000674"/>
    <w:rsid w:val="00000851"/>
    <w:rsid w:val="00000AAE"/>
    <w:rsid w:val="00000C95"/>
    <w:rsid w:val="00000CC5"/>
    <w:rsid w:val="00000D1F"/>
    <w:rsid w:val="00000F65"/>
    <w:rsid w:val="00000F72"/>
    <w:rsid w:val="000012AE"/>
    <w:rsid w:val="00001306"/>
    <w:rsid w:val="000013E0"/>
    <w:rsid w:val="000013F6"/>
    <w:rsid w:val="00001476"/>
    <w:rsid w:val="000018E9"/>
    <w:rsid w:val="00001977"/>
    <w:rsid w:val="00001A94"/>
    <w:rsid w:val="00001C9E"/>
    <w:rsid w:val="00001F0C"/>
    <w:rsid w:val="00002530"/>
    <w:rsid w:val="0000278E"/>
    <w:rsid w:val="00002D10"/>
    <w:rsid w:val="00002D4B"/>
    <w:rsid w:val="00002EF0"/>
    <w:rsid w:val="00003231"/>
    <w:rsid w:val="0000328C"/>
    <w:rsid w:val="000032EE"/>
    <w:rsid w:val="0000330F"/>
    <w:rsid w:val="00003544"/>
    <w:rsid w:val="000036FF"/>
    <w:rsid w:val="000037C3"/>
    <w:rsid w:val="00003842"/>
    <w:rsid w:val="00003B99"/>
    <w:rsid w:val="00003FE7"/>
    <w:rsid w:val="00003FE8"/>
    <w:rsid w:val="0000400A"/>
    <w:rsid w:val="0000417C"/>
    <w:rsid w:val="0000437F"/>
    <w:rsid w:val="0000438E"/>
    <w:rsid w:val="000043B5"/>
    <w:rsid w:val="0000442A"/>
    <w:rsid w:val="00004613"/>
    <w:rsid w:val="000047EE"/>
    <w:rsid w:val="0000480B"/>
    <w:rsid w:val="00004A29"/>
    <w:rsid w:val="00004DA5"/>
    <w:rsid w:val="00004E4D"/>
    <w:rsid w:val="0000501C"/>
    <w:rsid w:val="000050A6"/>
    <w:rsid w:val="00005394"/>
    <w:rsid w:val="000054C1"/>
    <w:rsid w:val="000054F2"/>
    <w:rsid w:val="0000586D"/>
    <w:rsid w:val="00005BB7"/>
    <w:rsid w:val="00005CF6"/>
    <w:rsid w:val="00005D7F"/>
    <w:rsid w:val="00005E00"/>
    <w:rsid w:val="00005EEE"/>
    <w:rsid w:val="0000601F"/>
    <w:rsid w:val="00006338"/>
    <w:rsid w:val="000063D2"/>
    <w:rsid w:val="00006483"/>
    <w:rsid w:val="000065A1"/>
    <w:rsid w:val="0000660B"/>
    <w:rsid w:val="0000679F"/>
    <w:rsid w:val="000067BE"/>
    <w:rsid w:val="0000682D"/>
    <w:rsid w:val="00006901"/>
    <w:rsid w:val="00006904"/>
    <w:rsid w:val="00006991"/>
    <w:rsid w:val="00006A7C"/>
    <w:rsid w:val="00006B44"/>
    <w:rsid w:val="00006E79"/>
    <w:rsid w:val="000070DD"/>
    <w:rsid w:val="000073FC"/>
    <w:rsid w:val="00007495"/>
    <w:rsid w:val="000074AF"/>
    <w:rsid w:val="000075C8"/>
    <w:rsid w:val="0000766D"/>
    <w:rsid w:val="000076D2"/>
    <w:rsid w:val="00007A22"/>
    <w:rsid w:val="00007C6E"/>
    <w:rsid w:val="00007F0C"/>
    <w:rsid w:val="00010100"/>
    <w:rsid w:val="000105F5"/>
    <w:rsid w:val="00010710"/>
    <w:rsid w:val="0001107B"/>
    <w:rsid w:val="00011465"/>
    <w:rsid w:val="0001156E"/>
    <w:rsid w:val="00011674"/>
    <w:rsid w:val="0001172C"/>
    <w:rsid w:val="0001180F"/>
    <w:rsid w:val="000118E9"/>
    <w:rsid w:val="00011A79"/>
    <w:rsid w:val="00011B22"/>
    <w:rsid w:val="00011CCA"/>
    <w:rsid w:val="00011E70"/>
    <w:rsid w:val="00011F45"/>
    <w:rsid w:val="00011F4F"/>
    <w:rsid w:val="00011FE3"/>
    <w:rsid w:val="00012389"/>
    <w:rsid w:val="0001245C"/>
    <w:rsid w:val="000124F2"/>
    <w:rsid w:val="0001258E"/>
    <w:rsid w:val="000125CD"/>
    <w:rsid w:val="00012605"/>
    <w:rsid w:val="000128A6"/>
    <w:rsid w:val="00012BC7"/>
    <w:rsid w:val="00012E81"/>
    <w:rsid w:val="00012F40"/>
    <w:rsid w:val="00013031"/>
    <w:rsid w:val="0001309A"/>
    <w:rsid w:val="000130E6"/>
    <w:rsid w:val="00013122"/>
    <w:rsid w:val="0001330A"/>
    <w:rsid w:val="0001351F"/>
    <w:rsid w:val="00013729"/>
    <w:rsid w:val="000137DC"/>
    <w:rsid w:val="000139BC"/>
    <w:rsid w:val="00013A07"/>
    <w:rsid w:val="00013A6C"/>
    <w:rsid w:val="00013BC7"/>
    <w:rsid w:val="00013C2E"/>
    <w:rsid w:val="00013ED7"/>
    <w:rsid w:val="0001425A"/>
    <w:rsid w:val="0001433E"/>
    <w:rsid w:val="000144FE"/>
    <w:rsid w:val="00014587"/>
    <w:rsid w:val="000145CC"/>
    <w:rsid w:val="00014D03"/>
    <w:rsid w:val="00014D30"/>
    <w:rsid w:val="00014D44"/>
    <w:rsid w:val="00015071"/>
    <w:rsid w:val="00015132"/>
    <w:rsid w:val="000151CC"/>
    <w:rsid w:val="00015329"/>
    <w:rsid w:val="00015464"/>
    <w:rsid w:val="00015BBA"/>
    <w:rsid w:val="00015D1E"/>
    <w:rsid w:val="00015E78"/>
    <w:rsid w:val="00016060"/>
    <w:rsid w:val="00016121"/>
    <w:rsid w:val="00016166"/>
    <w:rsid w:val="000161C4"/>
    <w:rsid w:val="000161FB"/>
    <w:rsid w:val="00016228"/>
    <w:rsid w:val="000162F4"/>
    <w:rsid w:val="00016514"/>
    <w:rsid w:val="00016721"/>
    <w:rsid w:val="0001691B"/>
    <w:rsid w:val="00016BBE"/>
    <w:rsid w:val="00016D9A"/>
    <w:rsid w:val="00016E77"/>
    <w:rsid w:val="0001712F"/>
    <w:rsid w:val="000172EB"/>
    <w:rsid w:val="00017671"/>
    <w:rsid w:val="00017695"/>
    <w:rsid w:val="0001774B"/>
    <w:rsid w:val="00017B25"/>
    <w:rsid w:val="00017B4D"/>
    <w:rsid w:val="00017BCE"/>
    <w:rsid w:val="00017D31"/>
    <w:rsid w:val="00017DA7"/>
    <w:rsid w:val="00017FD0"/>
    <w:rsid w:val="00020236"/>
    <w:rsid w:val="0002027B"/>
    <w:rsid w:val="0002038B"/>
    <w:rsid w:val="0002045D"/>
    <w:rsid w:val="00020571"/>
    <w:rsid w:val="000205C5"/>
    <w:rsid w:val="0002074D"/>
    <w:rsid w:val="000207D2"/>
    <w:rsid w:val="000207D9"/>
    <w:rsid w:val="000208E2"/>
    <w:rsid w:val="00020C77"/>
    <w:rsid w:val="00020F42"/>
    <w:rsid w:val="0002113B"/>
    <w:rsid w:val="00021143"/>
    <w:rsid w:val="00021382"/>
    <w:rsid w:val="000213CC"/>
    <w:rsid w:val="00021686"/>
    <w:rsid w:val="000217C4"/>
    <w:rsid w:val="00021D35"/>
    <w:rsid w:val="00021D9A"/>
    <w:rsid w:val="00021DED"/>
    <w:rsid w:val="00021FDB"/>
    <w:rsid w:val="000222CD"/>
    <w:rsid w:val="000223B9"/>
    <w:rsid w:val="00022414"/>
    <w:rsid w:val="00022440"/>
    <w:rsid w:val="00022496"/>
    <w:rsid w:val="0002286A"/>
    <w:rsid w:val="000229EE"/>
    <w:rsid w:val="00022B40"/>
    <w:rsid w:val="00022B80"/>
    <w:rsid w:val="00022C05"/>
    <w:rsid w:val="00022D46"/>
    <w:rsid w:val="00022E50"/>
    <w:rsid w:val="00022E5D"/>
    <w:rsid w:val="00023167"/>
    <w:rsid w:val="000234A2"/>
    <w:rsid w:val="00023696"/>
    <w:rsid w:val="00023762"/>
    <w:rsid w:val="00023996"/>
    <w:rsid w:val="00023B13"/>
    <w:rsid w:val="00023B47"/>
    <w:rsid w:val="00023CF8"/>
    <w:rsid w:val="00023D09"/>
    <w:rsid w:val="00023F1A"/>
    <w:rsid w:val="00023F4B"/>
    <w:rsid w:val="0002405D"/>
    <w:rsid w:val="0002426E"/>
    <w:rsid w:val="00024F77"/>
    <w:rsid w:val="000250D4"/>
    <w:rsid w:val="0002514F"/>
    <w:rsid w:val="000251CF"/>
    <w:rsid w:val="0002520D"/>
    <w:rsid w:val="00025384"/>
    <w:rsid w:val="0002562C"/>
    <w:rsid w:val="0002571E"/>
    <w:rsid w:val="0002572B"/>
    <w:rsid w:val="000257A8"/>
    <w:rsid w:val="000258C3"/>
    <w:rsid w:val="0002594B"/>
    <w:rsid w:val="0002596E"/>
    <w:rsid w:val="000259C6"/>
    <w:rsid w:val="00025A1B"/>
    <w:rsid w:val="00025C16"/>
    <w:rsid w:val="00025CB1"/>
    <w:rsid w:val="00025E84"/>
    <w:rsid w:val="00025E92"/>
    <w:rsid w:val="00025F8A"/>
    <w:rsid w:val="00026080"/>
    <w:rsid w:val="00026141"/>
    <w:rsid w:val="00026414"/>
    <w:rsid w:val="00026455"/>
    <w:rsid w:val="00026655"/>
    <w:rsid w:val="00026A2E"/>
    <w:rsid w:val="00026A41"/>
    <w:rsid w:val="00026D74"/>
    <w:rsid w:val="00026D8E"/>
    <w:rsid w:val="00026F3C"/>
    <w:rsid w:val="00026FF9"/>
    <w:rsid w:val="000271D5"/>
    <w:rsid w:val="000274C7"/>
    <w:rsid w:val="0002757C"/>
    <w:rsid w:val="0002762D"/>
    <w:rsid w:val="000277B5"/>
    <w:rsid w:val="00027958"/>
    <w:rsid w:val="000279BF"/>
    <w:rsid w:val="00027BD1"/>
    <w:rsid w:val="00027E6B"/>
    <w:rsid w:val="00027E95"/>
    <w:rsid w:val="00027EF6"/>
    <w:rsid w:val="00030170"/>
    <w:rsid w:val="0003022D"/>
    <w:rsid w:val="0003027D"/>
    <w:rsid w:val="00030424"/>
    <w:rsid w:val="00030744"/>
    <w:rsid w:val="00030968"/>
    <w:rsid w:val="000309F7"/>
    <w:rsid w:val="00030AE9"/>
    <w:rsid w:val="00030E3A"/>
    <w:rsid w:val="00030F7D"/>
    <w:rsid w:val="0003100B"/>
    <w:rsid w:val="000311B5"/>
    <w:rsid w:val="00031305"/>
    <w:rsid w:val="000315DD"/>
    <w:rsid w:val="00031626"/>
    <w:rsid w:val="000318F2"/>
    <w:rsid w:val="00031A9C"/>
    <w:rsid w:val="00031B62"/>
    <w:rsid w:val="00031C29"/>
    <w:rsid w:val="000320D4"/>
    <w:rsid w:val="00032109"/>
    <w:rsid w:val="000322A0"/>
    <w:rsid w:val="000323C2"/>
    <w:rsid w:val="000323F9"/>
    <w:rsid w:val="00032414"/>
    <w:rsid w:val="00032616"/>
    <w:rsid w:val="000327E0"/>
    <w:rsid w:val="00032A85"/>
    <w:rsid w:val="00032B44"/>
    <w:rsid w:val="00032C74"/>
    <w:rsid w:val="00032DBB"/>
    <w:rsid w:val="00032DED"/>
    <w:rsid w:val="00033024"/>
    <w:rsid w:val="00033190"/>
    <w:rsid w:val="00033390"/>
    <w:rsid w:val="0003340A"/>
    <w:rsid w:val="00033465"/>
    <w:rsid w:val="0003347A"/>
    <w:rsid w:val="000336EF"/>
    <w:rsid w:val="0003387F"/>
    <w:rsid w:val="000339A1"/>
    <w:rsid w:val="00033A3C"/>
    <w:rsid w:val="00033BED"/>
    <w:rsid w:val="00033D8F"/>
    <w:rsid w:val="00033FD4"/>
    <w:rsid w:val="00034147"/>
    <w:rsid w:val="000341AF"/>
    <w:rsid w:val="0003458D"/>
    <w:rsid w:val="00034603"/>
    <w:rsid w:val="00034697"/>
    <w:rsid w:val="000348F3"/>
    <w:rsid w:val="00034A07"/>
    <w:rsid w:val="00034B4D"/>
    <w:rsid w:val="00034B93"/>
    <w:rsid w:val="00034D41"/>
    <w:rsid w:val="00034F5A"/>
    <w:rsid w:val="00035065"/>
    <w:rsid w:val="000355BA"/>
    <w:rsid w:val="000355BE"/>
    <w:rsid w:val="000355F7"/>
    <w:rsid w:val="0003581A"/>
    <w:rsid w:val="0003584E"/>
    <w:rsid w:val="000359CA"/>
    <w:rsid w:val="00035AA7"/>
    <w:rsid w:val="00035ABF"/>
    <w:rsid w:val="00035CB4"/>
    <w:rsid w:val="00035CE6"/>
    <w:rsid w:val="00035D1D"/>
    <w:rsid w:val="00035D3F"/>
    <w:rsid w:val="00035D85"/>
    <w:rsid w:val="00036101"/>
    <w:rsid w:val="00036156"/>
    <w:rsid w:val="000363C0"/>
    <w:rsid w:val="000363FC"/>
    <w:rsid w:val="00036454"/>
    <w:rsid w:val="000366B5"/>
    <w:rsid w:val="000369CA"/>
    <w:rsid w:val="00036A00"/>
    <w:rsid w:val="00036A27"/>
    <w:rsid w:val="00036D0C"/>
    <w:rsid w:val="00037008"/>
    <w:rsid w:val="000370C1"/>
    <w:rsid w:val="000370DC"/>
    <w:rsid w:val="00037336"/>
    <w:rsid w:val="00037455"/>
    <w:rsid w:val="0003769B"/>
    <w:rsid w:val="0003769C"/>
    <w:rsid w:val="000376A5"/>
    <w:rsid w:val="00037A36"/>
    <w:rsid w:val="00037A3E"/>
    <w:rsid w:val="00037ABE"/>
    <w:rsid w:val="00037AC1"/>
    <w:rsid w:val="00037DB6"/>
    <w:rsid w:val="00037ED5"/>
    <w:rsid w:val="00037F09"/>
    <w:rsid w:val="0004003B"/>
    <w:rsid w:val="000404AA"/>
    <w:rsid w:val="000404B7"/>
    <w:rsid w:val="00040566"/>
    <w:rsid w:val="00040A8A"/>
    <w:rsid w:val="00040B09"/>
    <w:rsid w:val="00040C9C"/>
    <w:rsid w:val="00040DB3"/>
    <w:rsid w:val="00040EA8"/>
    <w:rsid w:val="00040ED9"/>
    <w:rsid w:val="00040FF5"/>
    <w:rsid w:val="000411DE"/>
    <w:rsid w:val="00041208"/>
    <w:rsid w:val="000415F1"/>
    <w:rsid w:val="00041622"/>
    <w:rsid w:val="00041844"/>
    <w:rsid w:val="000419FA"/>
    <w:rsid w:val="00041B50"/>
    <w:rsid w:val="00041B9C"/>
    <w:rsid w:val="00041CD6"/>
    <w:rsid w:val="00041D0A"/>
    <w:rsid w:val="00041D85"/>
    <w:rsid w:val="00041E53"/>
    <w:rsid w:val="00042053"/>
    <w:rsid w:val="0004246E"/>
    <w:rsid w:val="00042E66"/>
    <w:rsid w:val="00042E72"/>
    <w:rsid w:val="0004331B"/>
    <w:rsid w:val="000433DC"/>
    <w:rsid w:val="000434B9"/>
    <w:rsid w:val="00043572"/>
    <w:rsid w:val="00043866"/>
    <w:rsid w:val="00043954"/>
    <w:rsid w:val="000439BB"/>
    <w:rsid w:val="00043B65"/>
    <w:rsid w:val="00043D17"/>
    <w:rsid w:val="00043D58"/>
    <w:rsid w:val="00043E06"/>
    <w:rsid w:val="00043EED"/>
    <w:rsid w:val="00044030"/>
    <w:rsid w:val="0004417E"/>
    <w:rsid w:val="0004436C"/>
    <w:rsid w:val="0004443B"/>
    <w:rsid w:val="00044495"/>
    <w:rsid w:val="000445E1"/>
    <w:rsid w:val="00044613"/>
    <w:rsid w:val="0004472F"/>
    <w:rsid w:val="000449CE"/>
    <w:rsid w:val="00044A07"/>
    <w:rsid w:val="00044AD4"/>
    <w:rsid w:val="00044D9A"/>
    <w:rsid w:val="00044DB4"/>
    <w:rsid w:val="00044F5D"/>
    <w:rsid w:val="0004503C"/>
    <w:rsid w:val="000451EB"/>
    <w:rsid w:val="0004536C"/>
    <w:rsid w:val="000453C6"/>
    <w:rsid w:val="00045414"/>
    <w:rsid w:val="00045627"/>
    <w:rsid w:val="000456FB"/>
    <w:rsid w:val="000457FA"/>
    <w:rsid w:val="00045883"/>
    <w:rsid w:val="00045AB5"/>
    <w:rsid w:val="00045B66"/>
    <w:rsid w:val="00045C94"/>
    <w:rsid w:val="00045FE6"/>
    <w:rsid w:val="00046197"/>
    <w:rsid w:val="00046380"/>
    <w:rsid w:val="000465FD"/>
    <w:rsid w:val="00046818"/>
    <w:rsid w:val="00046AD0"/>
    <w:rsid w:val="00046B3E"/>
    <w:rsid w:val="00046C49"/>
    <w:rsid w:val="00046C87"/>
    <w:rsid w:val="00046C91"/>
    <w:rsid w:val="00046E96"/>
    <w:rsid w:val="00046ED2"/>
    <w:rsid w:val="0004704B"/>
    <w:rsid w:val="0004707D"/>
    <w:rsid w:val="00047220"/>
    <w:rsid w:val="00047271"/>
    <w:rsid w:val="000473D4"/>
    <w:rsid w:val="000475D7"/>
    <w:rsid w:val="0004793C"/>
    <w:rsid w:val="00047A4F"/>
    <w:rsid w:val="00047AAB"/>
    <w:rsid w:val="00047AB6"/>
    <w:rsid w:val="00047AD4"/>
    <w:rsid w:val="00047CDE"/>
    <w:rsid w:val="00047E1E"/>
    <w:rsid w:val="000500B3"/>
    <w:rsid w:val="0005013B"/>
    <w:rsid w:val="000501DE"/>
    <w:rsid w:val="000502AA"/>
    <w:rsid w:val="000502B5"/>
    <w:rsid w:val="00050322"/>
    <w:rsid w:val="000504CC"/>
    <w:rsid w:val="0005094C"/>
    <w:rsid w:val="000509FD"/>
    <w:rsid w:val="00050AFA"/>
    <w:rsid w:val="00050C39"/>
    <w:rsid w:val="00050C88"/>
    <w:rsid w:val="00050CA5"/>
    <w:rsid w:val="00050CF7"/>
    <w:rsid w:val="00050E38"/>
    <w:rsid w:val="00050E60"/>
    <w:rsid w:val="00050E7C"/>
    <w:rsid w:val="00050EEF"/>
    <w:rsid w:val="00050F2F"/>
    <w:rsid w:val="00050FBB"/>
    <w:rsid w:val="0005118C"/>
    <w:rsid w:val="00051396"/>
    <w:rsid w:val="00051496"/>
    <w:rsid w:val="00051594"/>
    <w:rsid w:val="000519E4"/>
    <w:rsid w:val="00051AB2"/>
    <w:rsid w:val="00051B17"/>
    <w:rsid w:val="00051C2E"/>
    <w:rsid w:val="00051DCF"/>
    <w:rsid w:val="00051EC2"/>
    <w:rsid w:val="0005200C"/>
    <w:rsid w:val="0005220B"/>
    <w:rsid w:val="00052351"/>
    <w:rsid w:val="00052BED"/>
    <w:rsid w:val="00052F4C"/>
    <w:rsid w:val="00053074"/>
    <w:rsid w:val="0005341B"/>
    <w:rsid w:val="000535A6"/>
    <w:rsid w:val="0005365B"/>
    <w:rsid w:val="00053AF2"/>
    <w:rsid w:val="00053CD4"/>
    <w:rsid w:val="00053E2D"/>
    <w:rsid w:val="00053FFC"/>
    <w:rsid w:val="00054059"/>
    <w:rsid w:val="00054354"/>
    <w:rsid w:val="00054422"/>
    <w:rsid w:val="00054434"/>
    <w:rsid w:val="000544FF"/>
    <w:rsid w:val="000545C9"/>
    <w:rsid w:val="0005468C"/>
    <w:rsid w:val="00054945"/>
    <w:rsid w:val="00054A95"/>
    <w:rsid w:val="00054CBD"/>
    <w:rsid w:val="00054DF4"/>
    <w:rsid w:val="00054E30"/>
    <w:rsid w:val="00055015"/>
    <w:rsid w:val="0005501D"/>
    <w:rsid w:val="00055266"/>
    <w:rsid w:val="000552CE"/>
    <w:rsid w:val="0005541B"/>
    <w:rsid w:val="00055654"/>
    <w:rsid w:val="0005570C"/>
    <w:rsid w:val="00055743"/>
    <w:rsid w:val="0005576D"/>
    <w:rsid w:val="000557B0"/>
    <w:rsid w:val="0005580B"/>
    <w:rsid w:val="000558BF"/>
    <w:rsid w:val="00055CE4"/>
    <w:rsid w:val="00055DAF"/>
    <w:rsid w:val="00055DBB"/>
    <w:rsid w:val="00056196"/>
    <w:rsid w:val="0005636B"/>
    <w:rsid w:val="00056440"/>
    <w:rsid w:val="000564D3"/>
    <w:rsid w:val="00056689"/>
    <w:rsid w:val="00056B6A"/>
    <w:rsid w:val="00056C03"/>
    <w:rsid w:val="0005704B"/>
    <w:rsid w:val="0005725D"/>
    <w:rsid w:val="0005755C"/>
    <w:rsid w:val="000576DF"/>
    <w:rsid w:val="00057C75"/>
    <w:rsid w:val="00057D9F"/>
    <w:rsid w:val="00060036"/>
    <w:rsid w:val="0006013F"/>
    <w:rsid w:val="0006024D"/>
    <w:rsid w:val="00060619"/>
    <w:rsid w:val="00060CE5"/>
    <w:rsid w:val="00061076"/>
    <w:rsid w:val="0006119E"/>
    <w:rsid w:val="0006130F"/>
    <w:rsid w:val="000613E3"/>
    <w:rsid w:val="00061756"/>
    <w:rsid w:val="00061C78"/>
    <w:rsid w:val="00061F02"/>
    <w:rsid w:val="00061F04"/>
    <w:rsid w:val="00061F70"/>
    <w:rsid w:val="00062026"/>
    <w:rsid w:val="000621DD"/>
    <w:rsid w:val="00062237"/>
    <w:rsid w:val="00062570"/>
    <w:rsid w:val="000625AB"/>
    <w:rsid w:val="000626B3"/>
    <w:rsid w:val="00062996"/>
    <w:rsid w:val="000631C7"/>
    <w:rsid w:val="000636DD"/>
    <w:rsid w:val="00063780"/>
    <w:rsid w:val="00063838"/>
    <w:rsid w:val="00063B7C"/>
    <w:rsid w:val="00063CB7"/>
    <w:rsid w:val="00063CC0"/>
    <w:rsid w:val="00063E02"/>
    <w:rsid w:val="00063F51"/>
    <w:rsid w:val="00063F94"/>
    <w:rsid w:val="0006409A"/>
    <w:rsid w:val="000640B4"/>
    <w:rsid w:val="00064338"/>
    <w:rsid w:val="0006441D"/>
    <w:rsid w:val="00064548"/>
    <w:rsid w:val="00064779"/>
    <w:rsid w:val="000649E7"/>
    <w:rsid w:val="00064A83"/>
    <w:rsid w:val="00064A85"/>
    <w:rsid w:val="00064B42"/>
    <w:rsid w:val="00064ED7"/>
    <w:rsid w:val="0006509A"/>
    <w:rsid w:val="00065113"/>
    <w:rsid w:val="00065115"/>
    <w:rsid w:val="00065169"/>
    <w:rsid w:val="000652F9"/>
    <w:rsid w:val="0006536E"/>
    <w:rsid w:val="0006563A"/>
    <w:rsid w:val="00065667"/>
    <w:rsid w:val="00065837"/>
    <w:rsid w:val="0006596D"/>
    <w:rsid w:val="00065C5B"/>
    <w:rsid w:val="00065F46"/>
    <w:rsid w:val="00065F54"/>
    <w:rsid w:val="00066095"/>
    <w:rsid w:val="00066311"/>
    <w:rsid w:val="000663CF"/>
    <w:rsid w:val="00066433"/>
    <w:rsid w:val="000664CF"/>
    <w:rsid w:val="000665BA"/>
    <w:rsid w:val="000665CF"/>
    <w:rsid w:val="000666F2"/>
    <w:rsid w:val="000669C8"/>
    <w:rsid w:val="00066CCB"/>
    <w:rsid w:val="00066E2D"/>
    <w:rsid w:val="00066E3E"/>
    <w:rsid w:val="00066EDC"/>
    <w:rsid w:val="00066FFD"/>
    <w:rsid w:val="000674B4"/>
    <w:rsid w:val="00067514"/>
    <w:rsid w:val="00067534"/>
    <w:rsid w:val="000676F3"/>
    <w:rsid w:val="00067784"/>
    <w:rsid w:val="000679CD"/>
    <w:rsid w:val="00067B4C"/>
    <w:rsid w:val="00067DCC"/>
    <w:rsid w:val="000700BE"/>
    <w:rsid w:val="00070372"/>
    <w:rsid w:val="000705A6"/>
    <w:rsid w:val="00070775"/>
    <w:rsid w:val="0007077A"/>
    <w:rsid w:val="0007079E"/>
    <w:rsid w:val="00070AE3"/>
    <w:rsid w:val="00070BF8"/>
    <w:rsid w:val="00070F20"/>
    <w:rsid w:val="00070FD3"/>
    <w:rsid w:val="000711C9"/>
    <w:rsid w:val="00071362"/>
    <w:rsid w:val="00071396"/>
    <w:rsid w:val="000713D4"/>
    <w:rsid w:val="0007143D"/>
    <w:rsid w:val="00071DC0"/>
    <w:rsid w:val="00071F94"/>
    <w:rsid w:val="000720D1"/>
    <w:rsid w:val="0007223C"/>
    <w:rsid w:val="0007259D"/>
    <w:rsid w:val="000725AE"/>
    <w:rsid w:val="00072605"/>
    <w:rsid w:val="000729E2"/>
    <w:rsid w:val="00072A66"/>
    <w:rsid w:val="00072A6D"/>
    <w:rsid w:val="00072AD5"/>
    <w:rsid w:val="00072DF3"/>
    <w:rsid w:val="00073174"/>
    <w:rsid w:val="00073219"/>
    <w:rsid w:val="000732C4"/>
    <w:rsid w:val="000732FA"/>
    <w:rsid w:val="0007359D"/>
    <w:rsid w:val="000735BC"/>
    <w:rsid w:val="00073756"/>
    <w:rsid w:val="000737C4"/>
    <w:rsid w:val="000738E2"/>
    <w:rsid w:val="00073AFD"/>
    <w:rsid w:val="00073B17"/>
    <w:rsid w:val="00073B9C"/>
    <w:rsid w:val="00073CA4"/>
    <w:rsid w:val="00073DD9"/>
    <w:rsid w:val="00073DDD"/>
    <w:rsid w:val="00073F18"/>
    <w:rsid w:val="00073F9A"/>
    <w:rsid w:val="00074278"/>
    <w:rsid w:val="00074AE4"/>
    <w:rsid w:val="00074AFB"/>
    <w:rsid w:val="00074C35"/>
    <w:rsid w:val="00074CC0"/>
    <w:rsid w:val="00074CF8"/>
    <w:rsid w:val="000753EF"/>
    <w:rsid w:val="00075441"/>
    <w:rsid w:val="00075693"/>
    <w:rsid w:val="000756D1"/>
    <w:rsid w:val="00075A59"/>
    <w:rsid w:val="00075B97"/>
    <w:rsid w:val="00075C46"/>
    <w:rsid w:val="00075C84"/>
    <w:rsid w:val="00075F79"/>
    <w:rsid w:val="00076044"/>
    <w:rsid w:val="00076076"/>
    <w:rsid w:val="0007617B"/>
    <w:rsid w:val="0007619D"/>
    <w:rsid w:val="000762E8"/>
    <w:rsid w:val="00076374"/>
    <w:rsid w:val="0007637F"/>
    <w:rsid w:val="00076511"/>
    <w:rsid w:val="00076717"/>
    <w:rsid w:val="00076756"/>
    <w:rsid w:val="00076769"/>
    <w:rsid w:val="000767EF"/>
    <w:rsid w:val="0007687D"/>
    <w:rsid w:val="000768A4"/>
    <w:rsid w:val="000769B6"/>
    <w:rsid w:val="00076D00"/>
    <w:rsid w:val="00076D1F"/>
    <w:rsid w:val="00076DAF"/>
    <w:rsid w:val="00076EEF"/>
    <w:rsid w:val="00076F22"/>
    <w:rsid w:val="0007705F"/>
    <w:rsid w:val="0007707E"/>
    <w:rsid w:val="00077101"/>
    <w:rsid w:val="000773F6"/>
    <w:rsid w:val="0007744E"/>
    <w:rsid w:val="00077489"/>
    <w:rsid w:val="000774F6"/>
    <w:rsid w:val="000775BB"/>
    <w:rsid w:val="0007781C"/>
    <w:rsid w:val="000779D7"/>
    <w:rsid w:val="00077AFF"/>
    <w:rsid w:val="00077B59"/>
    <w:rsid w:val="00077B6D"/>
    <w:rsid w:val="00077D69"/>
    <w:rsid w:val="00077DBC"/>
    <w:rsid w:val="00077E48"/>
    <w:rsid w:val="0008046A"/>
    <w:rsid w:val="000806A6"/>
    <w:rsid w:val="00081105"/>
    <w:rsid w:val="00081249"/>
    <w:rsid w:val="0008131F"/>
    <w:rsid w:val="0008133D"/>
    <w:rsid w:val="000813CF"/>
    <w:rsid w:val="0008144B"/>
    <w:rsid w:val="0008158D"/>
    <w:rsid w:val="000815E2"/>
    <w:rsid w:val="000816CB"/>
    <w:rsid w:val="000816F0"/>
    <w:rsid w:val="0008182B"/>
    <w:rsid w:val="000818A8"/>
    <w:rsid w:val="00081B8C"/>
    <w:rsid w:val="00081CC2"/>
    <w:rsid w:val="00081E97"/>
    <w:rsid w:val="00082369"/>
    <w:rsid w:val="00082384"/>
    <w:rsid w:val="000823D0"/>
    <w:rsid w:val="00082426"/>
    <w:rsid w:val="00082471"/>
    <w:rsid w:val="00082675"/>
    <w:rsid w:val="0008267C"/>
    <w:rsid w:val="00082707"/>
    <w:rsid w:val="00082BC6"/>
    <w:rsid w:val="00082C82"/>
    <w:rsid w:val="00082F82"/>
    <w:rsid w:val="00083252"/>
    <w:rsid w:val="000835AD"/>
    <w:rsid w:val="00083948"/>
    <w:rsid w:val="00083949"/>
    <w:rsid w:val="000839AB"/>
    <w:rsid w:val="00083C5C"/>
    <w:rsid w:val="00083D6C"/>
    <w:rsid w:val="00083FEB"/>
    <w:rsid w:val="00084324"/>
    <w:rsid w:val="000843A5"/>
    <w:rsid w:val="000845EB"/>
    <w:rsid w:val="000847CB"/>
    <w:rsid w:val="0008498F"/>
    <w:rsid w:val="00084B98"/>
    <w:rsid w:val="00084F29"/>
    <w:rsid w:val="000850EA"/>
    <w:rsid w:val="0008519C"/>
    <w:rsid w:val="000851AE"/>
    <w:rsid w:val="000851EB"/>
    <w:rsid w:val="000853B9"/>
    <w:rsid w:val="000854DE"/>
    <w:rsid w:val="00085614"/>
    <w:rsid w:val="0008579A"/>
    <w:rsid w:val="000858C8"/>
    <w:rsid w:val="000859E5"/>
    <w:rsid w:val="000859F0"/>
    <w:rsid w:val="00085B5C"/>
    <w:rsid w:val="00085B6C"/>
    <w:rsid w:val="00085C97"/>
    <w:rsid w:val="00085DCC"/>
    <w:rsid w:val="00085F6A"/>
    <w:rsid w:val="00086148"/>
    <w:rsid w:val="0008640B"/>
    <w:rsid w:val="000866DB"/>
    <w:rsid w:val="000866E4"/>
    <w:rsid w:val="00086776"/>
    <w:rsid w:val="00086960"/>
    <w:rsid w:val="000869B5"/>
    <w:rsid w:val="00086AB3"/>
    <w:rsid w:val="00086C81"/>
    <w:rsid w:val="00086CEE"/>
    <w:rsid w:val="00086E08"/>
    <w:rsid w:val="00086F18"/>
    <w:rsid w:val="000870C1"/>
    <w:rsid w:val="000870C7"/>
    <w:rsid w:val="000870CE"/>
    <w:rsid w:val="00087485"/>
    <w:rsid w:val="000876B0"/>
    <w:rsid w:val="0008785A"/>
    <w:rsid w:val="00087906"/>
    <w:rsid w:val="00087A2E"/>
    <w:rsid w:val="00087C40"/>
    <w:rsid w:val="00087DAD"/>
    <w:rsid w:val="00087ED5"/>
    <w:rsid w:val="00087FA2"/>
    <w:rsid w:val="00087FB8"/>
    <w:rsid w:val="00090013"/>
    <w:rsid w:val="00090043"/>
    <w:rsid w:val="000901A3"/>
    <w:rsid w:val="0009021A"/>
    <w:rsid w:val="0009030E"/>
    <w:rsid w:val="0009031A"/>
    <w:rsid w:val="0009071D"/>
    <w:rsid w:val="000907CF"/>
    <w:rsid w:val="00090803"/>
    <w:rsid w:val="000909F4"/>
    <w:rsid w:val="00090EB4"/>
    <w:rsid w:val="00091229"/>
    <w:rsid w:val="00091237"/>
    <w:rsid w:val="0009124E"/>
    <w:rsid w:val="00091311"/>
    <w:rsid w:val="000913D4"/>
    <w:rsid w:val="000915F9"/>
    <w:rsid w:val="000915FD"/>
    <w:rsid w:val="000916B7"/>
    <w:rsid w:val="00091760"/>
    <w:rsid w:val="00091769"/>
    <w:rsid w:val="000918EB"/>
    <w:rsid w:val="00091B7F"/>
    <w:rsid w:val="00091C18"/>
    <w:rsid w:val="00091C81"/>
    <w:rsid w:val="00091CA1"/>
    <w:rsid w:val="00092086"/>
    <w:rsid w:val="00092253"/>
    <w:rsid w:val="00092465"/>
    <w:rsid w:val="000925BE"/>
    <w:rsid w:val="00092629"/>
    <w:rsid w:val="00092652"/>
    <w:rsid w:val="00092762"/>
    <w:rsid w:val="00092886"/>
    <w:rsid w:val="00092A21"/>
    <w:rsid w:val="00092B30"/>
    <w:rsid w:val="00092D2A"/>
    <w:rsid w:val="00092EB3"/>
    <w:rsid w:val="00092FD3"/>
    <w:rsid w:val="00093104"/>
    <w:rsid w:val="0009311A"/>
    <w:rsid w:val="00093127"/>
    <w:rsid w:val="000931E2"/>
    <w:rsid w:val="000933A5"/>
    <w:rsid w:val="0009367A"/>
    <w:rsid w:val="000936A0"/>
    <w:rsid w:val="000939BA"/>
    <w:rsid w:val="00093A3D"/>
    <w:rsid w:val="00093AC0"/>
    <w:rsid w:val="00093B77"/>
    <w:rsid w:val="00093B95"/>
    <w:rsid w:val="00093EAF"/>
    <w:rsid w:val="00093F5C"/>
    <w:rsid w:val="00093FE2"/>
    <w:rsid w:val="00093FF2"/>
    <w:rsid w:val="0009435C"/>
    <w:rsid w:val="0009451B"/>
    <w:rsid w:val="0009462F"/>
    <w:rsid w:val="0009475B"/>
    <w:rsid w:val="00094785"/>
    <w:rsid w:val="000947C2"/>
    <w:rsid w:val="0009489C"/>
    <w:rsid w:val="00094933"/>
    <w:rsid w:val="000949DB"/>
    <w:rsid w:val="00094CF6"/>
    <w:rsid w:val="00094F51"/>
    <w:rsid w:val="00095039"/>
    <w:rsid w:val="000951B5"/>
    <w:rsid w:val="000954B1"/>
    <w:rsid w:val="00095839"/>
    <w:rsid w:val="00095C3D"/>
    <w:rsid w:val="00095C71"/>
    <w:rsid w:val="00095D62"/>
    <w:rsid w:val="00095DC7"/>
    <w:rsid w:val="00095EDD"/>
    <w:rsid w:val="00095F2F"/>
    <w:rsid w:val="00096117"/>
    <w:rsid w:val="00096528"/>
    <w:rsid w:val="00096650"/>
    <w:rsid w:val="00096944"/>
    <w:rsid w:val="00096C0D"/>
    <w:rsid w:val="00096E37"/>
    <w:rsid w:val="00096EF3"/>
    <w:rsid w:val="00096F02"/>
    <w:rsid w:val="00097246"/>
    <w:rsid w:val="0009761D"/>
    <w:rsid w:val="0009764E"/>
    <w:rsid w:val="000976A6"/>
    <w:rsid w:val="000977B1"/>
    <w:rsid w:val="000979B4"/>
    <w:rsid w:val="00097CD6"/>
    <w:rsid w:val="00097E2E"/>
    <w:rsid w:val="000A01CC"/>
    <w:rsid w:val="000A0305"/>
    <w:rsid w:val="000A06BD"/>
    <w:rsid w:val="000A08F2"/>
    <w:rsid w:val="000A0928"/>
    <w:rsid w:val="000A0943"/>
    <w:rsid w:val="000A0A68"/>
    <w:rsid w:val="000A0B89"/>
    <w:rsid w:val="000A0C1C"/>
    <w:rsid w:val="000A0CFF"/>
    <w:rsid w:val="000A0F3B"/>
    <w:rsid w:val="000A0F68"/>
    <w:rsid w:val="000A0F84"/>
    <w:rsid w:val="000A1032"/>
    <w:rsid w:val="000A12EE"/>
    <w:rsid w:val="000A1493"/>
    <w:rsid w:val="000A1589"/>
    <w:rsid w:val="000A164F"/>
    <w:rsid w:val="000A1711"/>
    <w:rsid w:val="000A17A3"/>
    <w:rsid w:val="000A17C4"/>
    <w:rsid w:val="000A17ED"/>
    <w:rsid w:val="000A188F"/>
    <w:rsid w:val="000A19FD"/>
    <w:rsid w:val="000A1BC5"/>
    <w:rsid w:val="000A1BF1"/>
    <w:rsid w:val="000A1C70"/>
    <w:rsid w:val="000A1C8F"/>
    <w:rsid w:val="000A1CF1"/>
    <w:rsid w:val="000A1F2C"/>
    <w:rsid w:val="000A2605"/>
    <w:rsid w:val="000A272A"/>
    <w:rsid w:val="000A276B"/>
    <w:rsid w:val="000A283F"/>
    <w:rsid w:val="000A28C5"/>
    <w:rsid w:val="000A2964"/>
    <w:rsid w:val="000A29AB"/>
    <w:rsid w:val="000A2A16"/>
    <w:rsid w:val="000A2D40"/>
    <w:rsid w:val="000A347C"/>
    <w:rsid w:val="000A3702"/>
    <w:rsid w:val="000A3818"/>
    <w:rsid w:val="000A3860"/>
    <w:rsid w:val="000A3C98"/>
    <w:rsid w:val="000A3DB9"/>
    <w:rsid w:val="000A3DC4"/>
    <w:rsid w:val="000A3E2F"/>
    <w:rsid w:val="000A3F6C"/>
    <w:rsid w:val="000A40B7"/>
    <w:rsid w:val="000A41A8"/>
    <w:rsid w:val="000A4229"/>
    <w:rsid w:val="000A4312"/>
    <w:rsid w:val="000A4323"/>
    <w:rsid w:val="000A43B6"/>
    <w:rsid w:val="000A44CD"/>
    <w:rsid w:val="000A458D"/>
    <w:rsid w:val="000A4675"/>
    <w:rsid w:val="000A4712"/>
    <w:rsid w:val="000A4760"/>
    <w:rsid w:val="000A47D2"/>
    <w:rsid w:val="000A481A"/>
    <w:rsid w:val="000A4A07"/>
    <w:rsid w:val="000A4BFC"/>
    <w:rsid w:val="000A4D49"/>
    <w:rsid w:val="000A5118"/>
    <w:rsid w:val="000A539C"/>
    <w:rsid w:val="000A54AB"/>
    <w:rsid w:val="000A5521"/>
    <w:rsid w:val="000A578C"/>
    <w:rsid w:val="000A5809"/>
    <w:rsid w:val="000A5D3F"/>
    <w:rsid w:val="000A5E92"/>
    <w:rsid w:val="000A614D"/>
    <w:rsid w:val="000A6153"/>
    <w:rsid w:val="000A6216"/>
    <w:rsid w:val="000A62E4"/>
    <w:rsid w:val="000A6427"/>
    <w:rsid w:val="000A65B6"/>
    <w:rsid w:val="000A6654"/>
    <w:rsid w:val="000A66ED"/>
    <w:rsid w:val="000A6760"/>
    <w:rsid w:val="000A686E"/>
    <w:rsid w:val="000A689C"/>
    <w:rsid w:val="000A6B6A"/>
    <w:rsid w:val="000A6C33"/>
    <w:rsid w:val="000A6D28"/>
    <w:rsid w:val="000A6DC7"/>
    <w:rsid w:val="000A6F3B"/>
    <w:rsid w:val="000A70C6"/>
    <w:rsid w:val="000A7134"/>
    <w:rsid w:val="000A73BA"/>
    <w:rsid w:val="000A7600"/>
    <w:rsid w:val="000A79B8"/>
    <w:rsid w:val="000A7AFF"/>
    <w:rsid w:val="000A7E94"/>
    <w:rsid w:val="000A7F4D"/>
    <w:rsid w:val="000A7F9A"/>
    <w:rsid w:val="000B0262"/>
    <w:rsid w:val="000B0326"/>
    <w:rsid w:val="000B0392"/>
    <w:rsid w:val="000B0582"/>
    <w:rsid w:val="000B064F"/>
    <w:rsid w:val="000B0676"/>
    <w:rsid w:val="000B069B"/>
    <w:rsid w:val="000B06D6"/>
    <w:rsid w:val="000B0924"/>
    <w:rsid w:val="000B0987"/>
    <w:rsid w:val="000B0D39"/>
    <w:rsid w:val="000B0F18"/>
    <w:rsid w:val="000B112F"/>
    <w:rsid w:val="000B123F"/>
    <w:rsid w:val="000B1336"/>
    <w:rsid w:val="000B157A"/>
    <w:rsid w:val="000B1724"/>
    <w:rsid w:val="000B17E7"/>
    <w:rsid w:val="000B1E6B"/>
    <w:rsid w:val="000B1EAE"/>
    <w:rsid w:val="000B2100"/>
    <w:rsid w:val="000B22E3"/>
    <w:rsid w:val="000B23D9"/>
    <w:rsid w:val="000B248C"/>
    <w:rsid w:val="000B25AA"/>
    <w:rsid w:val="000B2628"/>
    <w:rsid w:val="000B288C"/>
    <w:rsid w:val="000B2A6A"/>
    <w:rsid w:val="000B2D50"/>
    <w:rsid w:val="000B2D5F"/>
    <w:rsid w:val="000B2E79"/>
    <w:rsid w:val="000B2E9A"/>
    <w:rsid w:val="000B2FC2"/>
    <w:rsid w:val="000B305A"/>
    <w:rsid w:val="000B3084"/>
    <w:rsid w:val="000B3400"/>
    <w:rsid w:val="000B351E"/>
    <w:rsid w:val="000B3594"/>
    <w:rsid w:val="000B36BE"/>
    <w:rsid w:val="000B3830"/>
    <w:rsid w:val="000B394F"/>
    <w:rsid w:val="000B3A2F"/>
    <w:rsid w:val="000B3BCA"/>
    <w:rsid w:val="000B3CA7"/>
    <w:rsid w:val="000B3F18"/>
    <w:rsid w:val="000B40A4"/>
    <w:rsid w:val="000B41F6"/>
    <w:rsid w:val="000B423E"/>
    <w:rsid w:val="000B4474"/>
    <w:rsid w:val="000B44A9"/>
    <w:rsid w:val="000B45FF"/>
    <w:rsid w:val="000B4722"/>
    <w:rsid w:val="000B4781"/>
    <w:rsid w:val="000B4A77"/>
    <w:rsid w:val="000B4A87"/>
    <w:rsid w:val="000B4B89"/>
    <w:rsid w:val="000B5015"/>
    <w:rsid w:val="000B50FF"/>
    <w:rsid w:val="000B5341"/>
    <w:rsid w:val="000B53C2"/>
    <w:rsid w:val="000B5796"/>
    <w:rsid w:val="000B59C3"/>
    <w:rsid w:val="000B59EF"/>
    <w:rsid w:val="000B5C23"/>
    <w:rsid w:val="000B5E58"/>
    <w:rsid w:val="000B6243"/>
    <w:rsid w:val="000B6292"/>
    <w:rsid w:val="000B6345"/>
    <w:rsid w:val="000B6355"/>
    <w:rsid w:val="000B63C5"/>
    <w:rsid w:val="000B6541"/>
    <w:rsid w:val="000B666B"/>
    <w:rsid w:val="000B6A2F"/>
    <w:rsid w:val="000B6F23"/>
    <w:rsid w:val="000B6F67"/>
    <w:rsid w:val="000B706B"/>
    <w:rsid w:val="000B7129"/>
    <w:rsid w:val="000B73D0"/>
    <w:rsid w:val="000B74C1"/>
    <w:rsid w:val="000B7542"/>
    <w:rsid w:val="000B75F0"/>
    <w:rsid w:val="000B762A"/>
    <w:rsid w:val="000B77CC"/>
    <w:rsid w:val="000B7A67"/>
    <w:rsid w:val="000B7A6D"/>
    <w:rsid w:val="000B7A82"/>
    <w:rsid w:val="000B7C08"/>
    <w:rsid w:val="000B7D6D"/>
    <w:rsid w:val="000B7E3F"/>
    <w:rsid w:val="000C0051"/>
    <w:rsid w:val="000C007E"/>
    <w:rsid w:val="000C03E3"/>
    <w:rsid w:val="000C04A3"/>
    <w:rsid w:val="000C04C2"/>
    <w:rsid w:val="000C0556"/>
    <w:rsid w:val="000C069A"/>
    <w:rsid w:val="000C0876"/>
    <w:rsid w:val="000C0979"/>
    <w:rsid w:val="000C1022"/>
    <w:rsid w:val="000C114C"/>
    <w:rsid w:val="000C114F"/>
    <w:rsid w:val="000C145F"/>
    <w:rsid w:val="000C153E"/>
    <w:rsid w:val="000C1783"/>
    <w:rsid w:val="000C1B8B"/>
    <w:rsid w:val="000C1FB0"/>
    <w:rsid w:val="000C2151"/>
    <w:rsid w:val="000C2538"/>
    <w:rsid w:val="000C2736"/>
    <w:rsid w:val="000C277E"/>
    <w:rsid w:val="000C27D2"/>
    <w:rsid w:val="000C2923"/>
    <w:rsid w:val="000C29DB"/>
    <w:rsid w:val="000C2B0C"/>
    <w:rsid w:val="000C2D9A"/>
    <w:rsid w:val="000C2E00"/>
    <w:rsid w:val="000C2ED5"/>
    <w:rsid w:val="000C3247"/>
    <w:rsid w:val="000C3477"/>
    <w:rsid w:val="000C3696"/>
    <w:rsid w:val="000C3843"/>
    <w:rsid w:val="000C395C"/>
    <w:rsid w:val="000C3CF6"/>
    <w:rsid w:val="000C3F4D"/>
    <w:rsid w:val="000C4273"/>
    <w:rsid w:val="000C42BF"/>
    <w:rsid w:val="000C4525"/>
    <w:rsid w:val="000C45CE"/>
    <w:rsid w:val="000C48B4"/>
    <w:rsid w:val="000C4B24"/>
    <w:rsid w:val="000C4CDF"/>
    <w:rsid w:val="000C4E65"/>
    <w:rsid w:val="000C4F2E"/>
    <w:rsid w:val="000C50FE"/>
    <w:rsid w:val="000C518C"/>
    <w:rsid w:val="000C52CF"/>
    <w:rsid w:val="000C537D"/>
    <w:rsid w:val="000C54CE"/>
    <w:rsid w:val="000C5692"/>
    <w:rsid w:val="000C56BF"/>
    <w:rsid w:val="000C586D"/>
    <w:rsid w:val="000C5AEC"/>
    <w:rsid w:val="000C5B48"/>
    <w:rsid w:val="000C5C1D"/>
    <w:rsid w:val="000C5DD5"/>
    <w:rsid w:val="000C5DEE"/>
    <w:rsid w:val="000C6013"/>
    <w:rsid w:val="000C6090"/>
    <w:rsid w:val="000C62BD"/>
    <w:rsid w:val="000C6434"/>
    <w:rsid w:val="000C6556"/>
    <w:rsid w:val="000C6616"/>
    <w:rsid w:val="000C67E3"/>
    <w:rsid w:val="000C69D6"/>
    <w:rsid w:val="000C6CFC"/>
    <w:rsid w:val="000C6E4B"/>
    <w:rsid w:val="000C7252"/>
    <w:rsid w:val="000C7810"/>
    <w:rsid w:val="000C7A06"/>
    <w:rsid w:val="000C7FF7"/>
    <w:rsid w:val="000D0047"/>
    <w:rsid w:val="000D008E"/>
    <w:rsid w:val="000D02AE"/>
    <w:rsid w:val="000D0403"/>
    <w:rsid w:val="000D047C"/>
    <w:rsid w:val="000D0593"/>
    <w:rsid w:val="000D090D"/>
    <w:rsid w:val="000D0924"/>
    <w:rsid w:val="000D0AC5"/>
    <w:rsid w:val="000D0C86"/>
    <w:rsid w:val="000D0CA2"/>
    <w:rsid w:val="000D0D07"/>
    <w:rsid w:val="000D0FFB"/>
    <w:rsid w:val="000D10BA"/>
    <w:rsid w:val="000D11AE"/>
    <w:rsid w:val="000D1618"/>
    <w:rsid w:val="000D1650"/>
    <w:rsid w:val="000D16C7"/>
    <w:rsid w:val="000D1712"/>
    <w:rsid w:val="000D17D8"/>
    <w:rsid w:val="000D18EE"/>
    <w:rsid w:val="000D198A"/>
    <w:rsid w:val="000D1AFB"/>
    <w:rsid w:val="000D1BC5"/>
    <w:rsid w:val="000D1D2A"/>
    <w:rsid w:val="000D1D5C"/>
    <w:rsid w:val="000D1F96"/>
    <w:rsid w:val="000D1FD6"/>
    <w:rsid w:val="000D2268"/>
    <w:rsid w:val="000D2950"/>
    <w:rsid w:val="000D2A39"/>
    <w:rsid w:val="000D2A80"/>
    <w:rsid w:val="000D2C82"/>
    <w:rsid w:val="000D2CD6"/>
    <w:rsid w:val="000D2F23"/>
    <w:rsid w:val="000D307B"/>
    <w:rsid w:val="000D30A9"/>
    <w:rsid w:val="000D3114"/>
    <w:rsid w:val="000D3405"/>
    <w:rsid w:val="000D395C"/>
    <w:rsid w:val="000D39A7"/>
    <w:rsid w:val="000D3BB2"/>
    <w:rsid w:val="000D3BFF"/>
    <w:rsid w:val="000D3CE7"/>
    <w:rsid w:val="000D3DBB"/>
    <w:rsid w:val="000D3E9A"/>
    <w:rsid w:val="000D3EB2"/>
    <w:rsid w:val="000D3EC0"/>
    <w:rsid w:val="000D40C0"/>
    <w:rsid w:val="000D4643"/>
    <w:rsid w:val="000D468E"/>
    <w:rsid w:val="000D46C3"/>
    <w:rsid w:val="000D4B56"/>
    <w:rsid w:val="000D4BAA"/>
    <w:rsid w:val="000D4E84"/>
    <w:rsid w:val="000D4FA4"/>
    <w:rsid w:val="000D53BB"/>
    <w:rsid w:val="000D5478"/>
    <w:rsid w:val="000D5929"/>
    <w:rsid w:val="000D5A92"/>
    <w:rsid w:val="000D5C0C"/>
    <w:rsid w:val="000D5C70"/>
    <w:rsid w:val="000D5CB3"/>
    <w:rsid w:val="000D5D52"/>
    <w:rsid w:val="000D62D6"/>
    <w:rsid w:val="000D63E1"/>
    <w:rsid w:val="000D64FA"/>
    <w:rsid w:val="000D6517"/>
    <w:rsid w:val="000D660C"/>
    <w:rsid w:val="000D662E"/>
    <w:rsid w:val="000D6646"/>
    <w:rsid w:val="000D67DC"/>
    <w:rsid w:val="000D6B0F"/>
    <w:rsid w:val="000D6CE8"/>
    <w:rsid w:val="000D6E21"/>
    <w:rsid w:val="000D6EE6"/>
    <w:rsid w:val="000D6F1B"/>
    <w:rsid w:val="000D702F"/>
    <w:rsid w:val="000D71EB"/>
    <w:rsid w:val="000D73AA"/>
    <w:rsid w:val="000D7508"/>
    <w:rsid w:val="000D7664"/>
    <w:rsid w:val="000D79B9"/>
    <w:rsid w:val="000D7D61"/>
    <w:rsid w:val="000D7DD7"/>
    <w:rsid w:val="000D7DD8"/>
    <w:rsid w:val="000D7E4F"/>
    <w:rsid w:val="000D7F09"/>
    <w:rsid w:val="000D7F7C"/>
    <w:rsid w:val="000D7FC5"/>
    <w:rsid w:val="000E0090"/>
    <w:rsid w:val="000E0162"/>
    <w:rsid w:val="000E046B"/>
    <w:rsid w:val="000E0478"/>
    <w:rsid w:val="000E049C"/>
    <w:rsid w:val="000E04D4"/>
    <w:rsid w:val="000E0667"/>
    <w:rsid w:val="000E0708"/>
    <w:rsid w:val="000E087E"/>
    <w:rsid w:val="000E090F"/>
    <w:rsid w:val="000E0964"/>
    <w:rsid w:val="000E098F"/>
    <w:rsid w:val="000E0993"/>
    <w:rsid w:val="000E0A71"/>
    <w:rsid w:val="000E0B10"/>
    <w:rsid w:val="000E0BF9"/>
    <w:rsid w:val="000E0D5D"/>
    <w:rsid w:val="000E0DD0"/>
    <w:rsid w:val="000E0E4A"/>
    <w:rsid w:val="000E0F1F"/>
    <w:rsid w:val="000E0F76"/>
    <w:rsid w:val="000E1057"/>
    <w:rsid w:val="000E1235"/>
    <w:rsid w:val="000E160E"/>
    <w:rsid w:val="000E1631"/>
    <w:rsid w:val="000E16BC"/>
    <w:rsid w:val="000E16F1"/>
    <w:rsid w:val="000E1BB0"/>
    <w:rsid w:val="000E1C5B"/>
    <w:rsid w:val="000E1FE6"/>
    <w:rsid w:val="000E207F"/>
    <w:rsid w:val="000E266A"/>
    <w:rsid w:val="000E27D4"/>
    <w:rsid w:val="000E2A1B"/>
    <w:rsid w:val="000E2AED"/>
    <w:rsid w:val="000E2B12"/>
    <w:rsid w:val="000E2F58"/>
    <w:rsid w:val="000E32CD"/>
    <w:rsid w:val="000E3359"/>
    <w:rsid w:val="000E338A"/>
    <w:rsid w:val="000E35A1"/>
    <w:rsid w:val="000E3875"/>
    <w:rsid w:val="000E38E2"/>
    <w:rsid w:val="000E38E8"/>
    <w:rsid w:val="000E3930"/>
    <w:rsid w:val="000E3965"/>
    <w:rsid w:val="000E39A2"/>
    <w:rsid w:val="000E3AB2"/>
    <w:rsid w:val="000E3ABF"/>
    <w:rsid w:val="000E3B34"/>
    <w:rsid w:val="000E3DBB"/>
    <w:rsid w:val="000E3E7E"/>
    <w:rsid w:val="000E4026"/>
    <w:rsid w:val="000E404F"/>
    <w:rsid w:val="000E4141"/>
    <w:rsid w:val="000E4172"/>
    <w:rsid w:val="000E418D"/>
    <w:rsid w:val="000E4389"/>
    <w:rsid w:val="000E4454"/>
    <w:rsid w:val="000E4470"/>
    <w:rsid w:val="000E449D"/>
    <w:rsid w:val="000E4520"/>
    <w:rsid w:val="000E455D"/>
    <w:rsid w:val="000E4618"/>
    <w:rsid w:val="000E465F"/>
    <w:rsid w:val="000E4814"/>
    <w:rsid w:val="000E4836"/>
    <w:rsid w:val="000E4C76"/>
    <w:rsid w:val="000E4DE3"/>
    <w:rsid w:val="000E502A"/>
    <w:rsid w:val="000E504F"/>
    <w:rsid w:val="000E50DE"/>
    <w:rsid w:val="000E551A"/>
    <w:rsid w:val="000E5596"/>
    <w:rsid w:val="000E56E9"/>
    <w:rsid w:val="000E5883"/>
    <w:rsid w:val="000E5BC6"/>
    <w:rsid w:val="000E5C6E"/>
    <w:rsid w:val="000E6068"/>
    <w:rsid w:val="000E60EB"/>
    <w:rsid w:val="000E63E3"/>
    <w:rsid w:val="000E64B4"/>
    <w:rsid w:val="000E6553"/>
    <w:rsid w:val="000E6824"/>
    <w:rsid w:val="000E68D2"/>
    <w:rsid w:val="000E6972"/>
    <w:rsid w:val="000E6980"/>
    <w:rsid w:val="000E6A19"/>
    <w:rsid w:val="000E6A4E"/>
    <w:rsid w:val="000E6B42"/>
    <w:rsid w:val="000E6BC1"/>
    <w:rsid w:val="000E6C25"/>
    <w:rsid w:val="000E6D94"/>
    <w:rsid w:val="000E703A"/>
    <w:rsid w:val="000E70A2"/>
    <w:rsid w:val="000E7370"/>
    <w:rsid w:val="000E73DD"/>
    <w:rsid w:val="000E7436"/>
    <w:rsid w:val="000E76E4"/>
    <w:rsid w:val="000E7803"/>
    <w:rsid w:val="000E7CBA"/>
    <w:rsid w:val="000E7D40"/>
    <w:rsid w:val="000E7DC2"/>
    <w:rsid w:val="000E7E1B"/>
    <w:rsid w:val="000E7EC2"/>
    <w:rsid w:val="000F003E"/>
    <w:rsid w:val="000F0288"/>
    <w:rsid w:val="000F04FD"/>
    <w:rsid w:val="000F05D3"/>
    <w:rsid w:val="000F06BF"/>
    <w:rsid w:val="000F07BC"/>
    <w:rsid w:val="000F097A"/>
    <w:rsid w:val="000F0988"/>
    <w:rsid w:val="000F0D87"/>
    <w:rsid w:val="000F0EEB"/>
    <w:rsid w:val="000F14CA"/>
    <w:rsid w:val="000F15E4"/>
    <w:rsid w:val="000F1683"/>
    <w:rsid w:val="000F1A7E"/>
    <w:rsid w:val="000F1B21"/>
    <w:rsid w:val="000F1B37"/>
    <w:rsid w:val="000F1F4E"/>
    <w:rsid w:val="000F1FB9"/>
    <w:rsid w:val="000F2105"/>
    <w:rsid w:val="000F23C1"/>
    <w:rsid w:val="000F23DD"/>
    <w:rsid w:val="000F2400"/>
    <w:rsid w:val="000F2600"/>
    <w:rsid w:val="000F260D"/>
    <w:rsid w:val="000F266C"/>
    <w:rsid w:val="000F269A"/>
    <w:rsid w:val="000F26A0"/>
    <w:rsid w:val="000F2955"/>
    <w:rsid w:val="000F29DE"/>
    <w:rsid w:val="000F2AAD"/>
    <w:rsid w:val="000F2B13"/>
    <w:rsid w:val="000F2B97"/>
    <w:rsid w:val="000F2F13"/>
    <w:rsid w:val="000F2F3D"/>
    <w:rsid w:val="000F327C"/>
    <w:rsid w:val="000F3353"/>
    <w:rsid w:val="000F33AC"/>
    <w:rsid w:val="000F356C"/>
    <w:rsid w:val="000F3593"/>
    <w:rsid w:val="000F35CE"/>
    <w:rsid w:val="000F3650"/>
    <w:rsid w:val="000F37A5"/>
    <w:rsid w:val="000F3B82"/>
    <w:rsid w:val="000F4074"/>
    <w:rsid w:val="000F4240"/>
    <w:rsid w:val="000F42C3"/>
    <w:rsid w:val="000F438B"/>
    <w:rsid w:val="000F43C1"/>
    <w:rsid w:val="000F43FB"/>
    <w:rsid w:val="000F455A"/>
    <w:rsid w:val="000F45BC"/>
    <w:rsid w:val="000F4650"/>
    <w:rsid w:val="000F489D"/>
    <w:rsid w:val="000F4953"/>
    <w:rsid w:val="000F497D"/>
    <w:rsid w:val="000F4A88"/>
    <w:rsid w:val="000F4AA9"/>
    <w:rsid w:val="000F4BC5"/>
    <w:rsid w:val="000F4D45"/>
    <w:rsid w:val="000F4D88"/>
    <w:rsid w:val="000F5499"/>
    <w:rsid w:val="000F54E5"/>
    <w:rsid w:val="000F569A"/>
    <w:rsid w:val="000F56EE"/>
    <w:rsid w:val="000F5A6F"/>
    <w:rsid w:val="000F5B04"/>
    <w:rsid w:val="000F5C05"/>
    <w:rsid w:val="000F5CA0"/>
    <w:rsid w:val="000F5CEB"/>
    <w:rsid w:val="000F5D28"/>
    <w:rsid w:val="000F5D36"/>
    <w:rsid w:val="000F5EA0"/>
    <w:rsid w:val="000F5EA1"/>
    <w:rsid w:val="000F5FFE"/>
    <w:rsid w:val="000F603F"/>
    <w:rsid w:val="000F60F8"/>
    <w:rsid w:val="000F611F"/>
    <w:rsid w:val="000F61B4"/>
    <w:rsid w:val="000F61C8"/>
    <w:rsid w:val="000F61E3"/>
    <w:rsid w:val="000F6349"/>
    <w:rsid w:val="000F634D"/>
    <w:rsid w:val="000F669C"/>
    <w:rsid w:val="000F69CD"/>
    <w:rsid w:val="000F6A88"/>
    <w:rsid w:val="000F6A97"/>
    <w:rsid w:val="000F6CC9"/>
    <w:rsid w:val="000F6E5F"/>
    <w:rsid w:val="000F7533"/>
    <w:rsid w:val="000F7589"/>
    <w:rsid w:val="000F7968"/>
    <w:rsid w:val="000F79E6"/>
    <w:rsid w:val="000F7A94"/>
    <w:rsid w:val="000F7AF9"/>
    <w:rsid w:val="000F7C0F"/>
    <w:rsid w:val="000F7C65"/>
    <w:rsid w:val="000F7DF4"/>
    <w:rsid w:val="000F7EDF"/>
    <w:rsid w:val="001002B6"/>
    <w:rsid w:val="00100331"/>
    <w:rsid w:val="0010056F"/>
    <w:rsid w:val="00100675"/>
    <w:rsid w:val="001006F3"/>
    <w:rsid w:val="00100760"/>
    <w:rsid w:val="001009C1"/>
    <w:rsid w:val="00100DDF"/>
    <w:rsid w:val="00100EFB"/>
    <w:rsid w:val="00100F6D"/>
    <w:rsid w:val="0010129A"/>
    <w:rsid w:val="0010145F"/>
    <w:rsid w:val="001014CD"/>
    <w:rsid w:val="0010154F"/>
    <w:rsid w:val="001018C3"/>
    <w:rsid w:val="001018D5"/>
    <w:rsid w:val="001018D8"/>
    <w:rsid w:val="00101CDF"/>
    <w:rsid w:val="00101EE6"/>
    <w:rsid w:val="00101FE2"/>
    <w:rsid w:val="00102112"/>
    <w:rsid w:val="00102133"/>
    <w:rsid w:val="001022BA"/>
    <w:rsid w:val="0010236A"/>
    <w:rsid w:val="00102893"/>
    <w:rsid w:val="00102E46"/>
    <w:rsid w:val="00102EEB"/>
    <w:rsid w:val="00102F0F"/>
    <w:rsid w:val="00102FD3"/>
    <w:rsid w:val="00103241"/>
    <w:rsid w:val="00103345"/>
    <w:rsid w:val="001034DC"/>
    <w:rsid w:val="00103702"/>
    <w:rsid w:val="00103C1C"/>
    <w:rsid w:val="00103F5A"/>
    <w:rsid w:val="001045E0"/>
    <w:rsid w:val="0010472F"/>
    <w:rsid w:val="0010485C"/>
    <w:rsid w:val="001049D6"/>
    <w:rsid w:val="00104AA0"/>
    <w:rsid w:val="00104B0D"/>
    <w:rsid w:val="00104C57"/>
    <w:rsid w:val="00104D1D"/>
    <w:rsid w:val="0010505D"/>
    <w:rsid w:val="0010529F"/>
    <w:rsid w:val="001052FC"/>
    <w:rsid w:val="0010558C"/>
    <w:rsid w:val="001056F5"/>
    <w:rsid w:val="001057B9"/>
    <w:rsid w:val="00105B95"/>
    <w:rsid w:val="001060FD"/>
    <w:rsid w:val="0010619C"/>
    <w:rsid w:val="001061D0"/>
    <w:rsid w:val="001063DD"/>
    <w:rsid w:val="001064E6"/>
    <w:rsid w:val="001065AC"/>
    <w:rsid w:val="001066C0"/>
    <w:rsid w:val="001067F4"/>
    <w:rsid w:val="0010683B"/>
    <w:rsid w:val="001068D5"/>
    <w:rsid w:val="001068DD"/>
    <w:rsid w:val="00106B10"/>
    <w:rsid w:val="00106B65"/>
    <w:rsid w:val="00106CC5"/>
    <w:rsid w:val="00106DF9"/>
    <w:rsid w:val="00106F3C"/>
    <w:rsid w:val="001070EE"/>
    <w:rsid w:val="001070F6"/>
    <w:rsid w:val="001070FE"/>
    <w:rsid w:val="0010713E"/>
    <w:rsid w:val="001071CC"/>
    <w:rsid w:val="00107261"/>
    <w:rsid w:val="0010730D"/>
    <w:rsid w:val="001073D0"/>
    <w:rsid w:val="00107CBC"/>
    <w:rsid w:val="00107CDC"/>
    <w:rsid w:val="00107CF1"/>
    <w:rsid w:val="00107FAF"/>
    <w:rsid w:val="00110307"/>
    <w:rsid w:val="00110812"/>
    <w:rsid w:val="00110EE5"/>
    <w:rsid w:val="00111071"/>
    <w:rsid w:val="0011135F"/>
    <w:rsid w:val="00111433"/>
    <w:rsid w:val="0011154F"/>
    <w:rsid w:val="0011164C"/>
    <w:rsid w:val="0011164D"/>
    <w:rsid w:val="0011164E"/>
    <w:rsid w:val="001116E0"/>
    <w:rsid w:val="001116FA"/>
    <w:rsid w:val="00111863"/>
    <w:rsid w:val="00111E51"/>
    <w:rsid w:val="00111E55"/>
    <w:rsid w:val="00112299"/>
    <w:rsid w:val="0011240A"/>
    <w:rsid w:val="00112526"/>
    <w:rsid w:val="0011257E"/>
    <w:rsid w:val="001125D2"/>
    <w:rsid w:val="00112893"/>
    <w:rsid w:val="0011293B"/>
    <w:rsid w:val="00112A7A"/>
    <w:rsid w:val="00112C2F"/>
    <w:rsid w:val="00112DA9"/>
    <w:rsid w:val="00113064"/>
    <w:rsid w:val="001130B9"/>
    <w:rsid w:val="00113166"/>
    <w:rsid w:val="0011329F"/>
    <w:rsid w:val="0011344C"/>
    <w:rsid w:val="00113526"/>
    <w:rsid w:val="0011356E"/>
    <w:rsid w:val="00113638"/>
    <w:rsid w:val="00113713"/>
    <w:rsid w:val="001137E6"/>
    <w:rsid w:val="001139A3"/>
    <w:rsid w:val="00113C71"/>
    <w:rsid w:val="00113D03"/>
    <w:rsid w:val="00113DBF"/>
    <w:rsid w:val="001142BE"/>
    <w:rsid w:val="0011458E"/>
    <w:rsid w:val="00114593"/>
    <w:rsid w:val="00114623"/>
    <w:rsid w:val="001148CA"/>
    <w:rsid w:val="0011495A"/>
    <w:rsid w:val="00114CAA"/>
    <w:rsid w:val="00114ED3"/>
    <w:rsid w:val="0011516A"/>
    <w:rsid w:val="00115236"/>
    <w:rsid w:val="00115266"/>
    <w:rsid w:val="001153C8"/>
    <w:rsid w:val="001154B5"/>
    <w:rsid w:val="001154E3"/>
    <w:rsid w:val="001156CF"/>
    <w:rsid w:val="001158BC"/>
    <w:rsid w:val="00115D5D"/>
    <w:rsid w:val="00115D88"/>
    <w:rsid w:val="00115F66"/>
    <w:rsid w:val="00116121"/>
    <w:rsid w:val="001161C0"/>
    <w:rsid w:val="001162D4"/>
    <w:rsid w:val="001164AD"/>
    <w:rsid w:val="00116510"/>
    <w:rsid w:val="001166B0"/>
    <w:rsid w:val="001167C8"/>
    <w:rsid w:val="00116A63"/>
    <w:rsid w:val="00116D34"/>
    <w:rsid w:val="00117253"/>
    <w:rsid w:val="0011754B"/>
    <w:rsid w:val="00117721"/>
    <w:rsid w:val="00117934"/>
    <w:rsid w:val="00117D2C"/>
    <w:rsid w:val="00117DCC"/>
    <w:rsid w:val="00117F0D"/>
    <w:rsid w:val="00120128"/>
    <w:rsid w:val="00120407"/>
    <w:rsid w:val="00120421"/>
    <w:rsid w:val="001204E1"/>
    <w:rsid w:val="0012070E"/>
    <w:rsid w:val="0012082A"/>
    <w:rsid w:val="001208D2"/>
    <w:rsid w:val="00120A49"/>
    <w:rsid w:val="00120A59"/>
    <w:rsid w:val="00120ADA"/>
    <w:rsid w:val="00120C75"/>
    <w:rsid w:val="00120E14"/>
    <w:rsid w:val="00121135"/>
    <w:rsid w:val="001212DA"/>
    <w:rsid w:val="0012138C"/>
    <w:rsid w:val="001213F7"/>
    <w:rsid w:val="0012142E"/>
    <w:rsid w:val="00121472"/>
    <w:rsid w:val="00121639"/>
    <w:rsid w:val="0012192A"/>
    <w:rsid w:val="00121B89"/>
    <w:rsid w:val="00121BF5"/>
    <w:rsid w:val="00121D31"/>
    <w:rsid w:val="00121E19"/>
    <w:rsid w:val="00121E89"/>
    <w:rsid w:val="001220EB"/>
    <w:rsid w:val="0012215D"/>
    <w:rsid w:val="0012222F"/>
    <w:rsid w:val="00122609"/>
    <w:rsid w:val="00122660"/>
    <w:rsid w:val="0012275D"/>
    <w:rsid w:val="0012280A"/>
    <w:rsid w:val="0012283D"/>
    <w:rsid w:val="00122A00"/>
    <w:rsid w:val="00122B11"/>
    <w:rsid w:val="00122D77"/>
    <w:rsid w:val="00122F90"/>
    <w:rsid w:val="00123468"/>
    <w:rsid w:val="001234EE"/>
    <w:rsid w:val="00123509"/>
    <w:rsid w:val="00123571"/>
    <w:rsid w:val="001235D8"/>
    <w:rsid w:val="001235E1"/>
    <w:rsid w:val="001235FC"/>
    <w:rsid w:val="00123A5C"/>
    <w:rsid w:val="00123AF2"/>
    <w:rsid w:val="00123B16"/>
    <w:rsid w:val="00123B2B"/>
    <w:rsid w:val="00123E6E"/>
    <w:rsid w:val="00123E8C"/>
    <w:rsid w:val="00123F7A"/>
    <w:rsid w:val="00124063"/>
    <w:rsid w:val="0012423F"/>
    <w:rsid w:val="0012442D"/>
    <w:rsid w:val="001247A7"/>
    <w:rsid w:val="0012494C"/>
    <w:rsid w:val="00124BA5"/>
    <w:rsid w:val="00124C95"/>
    <w:rsid w:val="00124E2C"/>
    <w:rsid w:val="001250AC"/>
    <w:rsid w:val="00125203"/>
    <w:rsid w:val="00125283"/>
    <w:rsid w:val="00125343"/>
    <w:rsid w:val="001253AC"/>
    <w:rsid w:val="001253C0"/>
    <w:rsid w:val="00125565"/>
    <w:rsid w:val="001255DB"/>
    <w:rsid w:val="0012566C"/>
    <w:rsid w:val="001256B9"/>
    <w:rsid w:val="00125995"/>
    <w:rsid w:val="00125A17"/>
    <w:rsid w:val="00125AC5"/>
    <w:rsid w:val="00125DA7"/>
    <w:rsid w:val="00125E53"/>
    <w:rsid w:val="00125F8B"/>
    <w:rsid w:val="00125F98"/>
    <w:rsid w:val="00126199"/>
    <w:rsid w:val="00126382"/>
    <w:rsid w:val="00126467"/>
    <w:rsid w:val="00126746"/>
    <w:rsid w:val="00126890"/>
    <w:rsid w:val="001268C0"/>
    <w:rsid w:val="00126910"/>
    <w:rsid w:val="00126BB2"/>
    <w:rsid w:val="00126BC0"/>
    <w:rsid w:val="00126E05"/>
    <w:rsid w:val="00126E4A"/>
    <w:rsid w:val="001270C2"/>
    <w:rsid w:val="0012725B"/>
    <w:rsid w:val="001272BD"/>
    <w:rsid w:val="0012757C"/>
    <w:rsid w:val="001276DD"/>
    <w:rsid w:val="001277B2"/>
    <w:rsid w:val="00127A66"/>
    <w:rsid w:val="00127B40"/>
    <w:rsid w:val="00127BE1"/>
    <w:rsid w:val="00127C31"/>
    <w:rsid w:val="001300AD"/>
    <w:rsid w:val="0013013C"/>
    <w:rsid w:val="00130291"/>
    <w:rsid w:val="0013029F"/>
    <w:rsid w:val="001305A9"/>
    <w:rsid w:val="001306E4"/>
    <w:rsid w:val="00130977"/>
    <w:rsid w:val="00130A66"/>
    <w:rsid w:val="00130AA1"/>
    <w:rsid w:val="00130BED"/>
    <w:rsid w:val="00130DBC"/>
    <w:rsid w:val="001310C2"/>
    <w:rsid w:val="00131163"/>
    <w:rsid w:val="00131359"/>
    <w:rsid w:val="00131466"/>
    <w:rsid w:val="001317D2"/>
    <w:rsid w:val="001318DE"/>
    <w:rsid w:val="00131B30"/>
    <w:rsid w:val="00131BF3"/>
    <w:rsid w:val="00131F88"/>
    <w:rsid w:val="00131FCF"/>
    <w:rsid w:val="0013232C"/>
    <w:rsid w:val="00132746"/>
    <w:rsid w:val="001327B0"/>
    <w:rsid w:val="00132C74"/>
    <w:rsid w:val="00132CDC"/>
    <w:rsid w:val="00132DD2"/>
    <w:rsid w:val="0013346A"/>
    <w:rsid w:val="001334E3"/>
    <w:rsid w:val="00133550"/>
    <w:rsid w:val="0013391F"/>
    <w:rsid w:val="00133A53"/>
    <w:rsid w:val="00133B68"/>
    <w:rsid w:val="00133D7F"/>
    <w:rsid w:val="00133E5B"/>
    <w:rsid w:val="0013455A"/>
    <w:rsid w:val="001345E1"/>
    <w:rsid w:val="001346B5"/>
    <w:rsid w:val="00134867"/>
    <w:rsid w:val="0013490F"/>
    <w:rsid w:val="00134A96"/>
    <w:rsid w:val="00134A9B"/>
    <w:rsid w:val="00134CB3"/>
    <w:rsid w:val="00134E68"/>
    <w:rsid w:val="00134EDC"/>
    <w:rsid w:val="001352A3"/>
    <w:rsid w:val="0013530A"/>
    <w:rsid w:val="00135568"/>
    <w:rsid w:val="00135C1C"/>
    <w:rsid w:val="00135CA7"/>
    <w:rsid w:val="00135DE7"/>
    <w:rsid w:val="00135EDC"/>
    <w:rsid w:val="00135EFD"/>
    <w:rsid w:val="00135F4D"/>
    <w:rsid w:val="00135FB5"/>
    <w:rsid w:val="00136182"/>
    <w:rsid w:val="0013620C"/>
    <w:rsid w:val="0013627D"/>
    <w:rsid w:val="001362E8"/>
    <w:rsid w:val="001365AE"/>
    <w:rsid w:val="001366CE"/>
    <w:rsid w:val="00136CAB"/>
    <w:rsid w:val="00136DE3"/>
    <w:rsid w:val="00136E73"/>
    <w:rsid w:val="001370AB"/>
    <w:rsid w:val="001370D8"/>
    <w:rsid w:val="00137230"/>
    <w:rsid w:val="0013734D"/>
    <w:rsid w:val="001373C2"/>
    <w:rsid w:val="00137C1A"/>
    <w:rsid w:val="00137D7C"/>
    <w:rsid w:val="0014007D"/>
    <w:rsid w:val="001400A1"/>
    <w:rsid w:val="001401AD"/>
    <w:rsid w:val="00140643"/>
    <w:rsid w:val="001407D3"/>
    <w:rsid w:val="00140974"/>
    <w:rsid w:val="00141162"/>
    <w:rsid w:val="001413B8"/>
    <w:rsid w:val="00141545"/>
    <w:rsid w:val="0014179C"/>
    <w:rsid w:val="00141D4A"/>
    <w:rsid w:val="00141EAA"/>
    <w:rsid w:val="00141F25"/>
    <w:rsid w:val="001420BB"/>
    <w:rsid w:val="001424FA"/>
    <w:rsid w:val="00142688"/>
    <w:rsid w:val="0014275B"/>
    <w:rsid w:val="00142857"/>
    <w:rsid w:val="001429BF"/>
    <w:rsid w:val="00142B1A"/>
    <w:rsid w:val="00142BEA"/>
    <w:rsid w:val="00142CD8"/>
    <w:rsid w:val="00142DB0"/>
    <w:rsid w:val="00142FEC"/>
    <w:rsid w:val="00143096"/>
    <w:rsid w:val="00143271"/>
    <w:rsid w:val="00143349"/>
    <w:rsid w:val="0014337D"/>
    <w:rsid w:val="001436FB"/>
    <w:rsid w:val="001438D6"/>
    <w:rsid w:val="00143A02"/>
    <w:rsid w:val="00143AEA"/>
    <w:rsid w:val="00143CF0"/>
    <w:rsid w:val="00143E09"/>
    <w:rsid w:val="00144014"/>
    <w:rsid w:val="0014433D"/>
    <w:rsid w:val="001443A3"/>
    <w:rsid w:val="00144493"/>
    <w:rsid w:val="00144AEF"/>
    <w:rsid w:val="00145070"/>
    <w:rsid w:val="00145242"/>
    <w:rsid w:val="001454B8"/>
    <w:rsid w:val="0014550A"/>
    <w:rsid w:val="001456B9"/>
    <w:rsid w:val="00145767"/>
    <w:rsid w:val="00145924"/>
    <w:rsid w:val="00145C50"/>
    <w:rsid w:val="001462F2"/>
    <w:rsid w:val="001468B9"/>
    <w:rsid w:val="001469D8"/>
    <w:rsid w:val="001469DB"/>
    <w:rsid w:val="001469F1"/>
    <w:rsid w:val="001469F2"/>
    <w:rsid w:val="00146AFD"/>
    <w:rsid w:val="00146EC4"/>
    <w:rsid w:val="001470D6"/>
    <w:rsid w:val="00147319"/>
    <w:rsid w:val="001476A0"/>
    <w:rsid w:val="00147957"/>
    <w:rsid w:val="001479FF"/>
    <w:rsid w:val="00147AF8"/>
    <w:rsid w:val="00147DE8"/>
    <w:rsid w:val="00150019"/>
    <w:rsid w:val="001504B2"/>
    <w:rsid w:val="00150795"/>
    <w:rsid w:val="00150824"/>
    <w:rsid w:val="00150921"/>
    <w:rsid w:val="00150A87"/>
    <w:rsid w:val="0015108F"/>
    <w:rsid w:val="00151527"/>
    <w:rsid w:val="001515D9"/>
    <w:rsid w:val="001515E7"/>
    <w:rsid w:val="001517DE"/>
    <w:rsid w:val="001518A1"/>
    <w:rsid w:val="001519EC"/>
    <w:rsid w:val="00151A01"/>
    <w:rsid w:val="00151C8E"/>
    <w:rsid w:val="00151CBB"/>
    <w:rsid w:val="00151FC8"/>
    <w:rsid w:val="0015202E"/>
    <w:rsid w:val="0015242F"/>
    <w:rsid w:val="0015243A"/>
    <w:rsid w:val="001524D3"/>
    <w:rsid w:val="001524D5"/>
    <w:rsid w:val="00152795"/>
    <w:rsid w:val="00152A12"/>
    <w:rsid w:val="00152A3F"/>
    <w:rsid w:val="00152BF6"/>
    <w:rsid w:val="00152C06"/>
    <w:rsid w:val="00152C74"/>
    <w:rsid w:val="00152D99"/>
    <w:rsid w:val="00152E08"/>
    <w:rsid w:val="00152E6E"/>
    <w:rsid w:val="00152E71"/>
    <w:rsid w:val="00153175"/>
    <w:rsid w:val="0015349E"/>
    <w:rsid w:val="0015352C"/>
    <w:rsid w:val="00153580"/>
    <w:rsid w:val="00153705"/>
    <w:rsid w:val="0015377E"/>
    <w:rsid w:val="001538C7"/>
    <w:rsid w:val="001539AF"/>
    <w:rsid w:val="00153A8D"/>
    <w:rsid w:val="00153C65"/>
    <w:rsid w:val="00153C93"/>
    <w:rsid w:val="00153CE3"/>
    <w:rsid w:val="00154060"/>
    <w:rsid w:val="001540A3"/>
    <w:rsid w:val="00154132"/>
    <w:rsid w:val="00154612"/>
    <w:rsid w:val="0015464E"/>
    <w:rsid w:val="00154652"/>
    <w:rsid w:val="0015489E"/>
    <w:rsid w:val="001548C9"/>
    <w:rsid w:val="00154CCF"/>
    <w:rsid w:val="00154EF3"/>
    <w:rsid w:val="001550CA"/>
    <w:rsid w:val="00155215"/>
    <w:rsid w:val="00155292"/>
    <w:rsid w:val="00155455"/>
    <w:rsid w:val="00155835"/>
    <w:rsid w:val="00155D0B"/>
    <w:rsid w:val="00155D52"/>
    <w:rsid w:val="0015604B"/>
    <w:rsid w:val="00156266"/>
    <w:rsid w:val="00156267"/>
    <w:rsid w:val="00156275"/>
    <w:rsid w:val="001562E7"/>
    <w:rsid w:val="00156313"/>
    <w:rsid w:val="001566F1"/>
    <w:rsid w:val="00156748"/>
    <w:rsid w:val="001567A1"/>
    <w:rsid w:val="00156804"/>
    <w:rsid w:val="001568BF"/>
    <w:rsid w:val="00156A43"/>
    <w:rsid w:val="00156AE1"/>
    <w:rsid w:val="00156B76"/>
    <w:rsid w:val="00156E7D"/>
    <w:rsid w:val="00156EE0"/>
    <w:rsid w:val="00156FD7"/>
    <w:rsid w:val="00156FF1"/>
    <w:rsid w:val="00157183"/>
    <w:rsid w:val="001573DF"/>
    <w:rsid w:val="00157BB8"/>
    <w:rsid w:val="00157C7F"/>
    <w:rsid w:val="00157DD5"/>
    <w:rsid w:val="00157E19"/>
    <w:rsid w:val="00157ED3"/>
    <w:rsid w:val="00160080"/>
    <w:rsid w:val="001602EA"/>
    <w:rsid w:val="0016034F"/>
    <w:rsid w:val="00160433"/>
    <w:rsid w:val="001606C8"/>
    <w:rsid w:val="00160908"/>
    <w:rsid w:val="00160914"/>
    <w:rsid w:val="00160958"/>
    <w:rsid w:val="00160B4A"/>
    <w:rsid w:val="00160C5A"/>
    <w:rsid w:val="00160D3F"/>
    <w:rsid w:val="00160DCF"/>
    <w:rsid w:val="00160E09"/>
    <w:rsid w:val="00161118"/>
    <w:rsid w:val="00161146"/>
    <w:rsid w:val="00161231"/>
    <w:rsid w:val="001613AF"/>
    <w:rsid w:val="0016152A"/>
    <w:rsid w:val="00161595"/>
    <w:rsid w:val="001615D2"/>
    <w:rsid w:val="001615F6"/>
    <w:rsid w:val="00161638"/>
    <w:rsid w:val="00161A29"/>
    <w:rsid w:val="00161B35"/>
    <w:rsid w:val="00161E30"/>
    <w:rsid w:val="00161F62"/>
    <w:rsid w:val="0016215D"/>
    <w:rsid w:val="00162623"/>
    <w:rsid w:val="0016265A"/>
    <w:rsid w:val="00162A70"/>
    <w:rsid w:val="00162A75"/>
    <w:rsid w:val="00162ABB"/>
    <w:rsid w:val="00162B61"/>
    <w:rsid w:val="00162D88"/>
    <w:rsid w:val="00162FBD"/>
    <w:rsid w:val="0016310B"/>
    <w:rsid w:val="00163381"/>
    <w:rsid w:val="0016339C"/>
    <w:rsid w:val="001634B3"/>
    <w:rsid w:val="00163A42"/>
    <w:rsid w:val="00163BE3"/>
    <w:rsid w:val="00163E15"/>
    <w:rsid w:val="00163F8F"/>
    <w:rsid w:val="00164043"/>
    <w:rsid w:val="001640FE"/>
    <w:rsid w:val="0016413D"/>
    <w:rsid w:val="001641D6"/>
    <w:rsid w:val="0016424F"/>
    <w:rsid w:val="0016432F"/>
    <w:rsid w:val="00164679"/>
    <w:rsid w:val="00164859"/>
    <w:rsid w:val="001649E0"/>
    <w:rsid w:val="00164AA2"/>
    <w:rsid w:val="00164C8A"/>
    <w:rsid w:val="00164E49"/>
    <w:rsid w:val="0016515B"/>
    <w:rsid w:val="00165257"/>
    <w:rsid w:val="0016526A"/>
    <w:rsid w:val="00165360"/>
    <w:rsid w:val="00165432"/>
    <w:rsid w:val="00165493"/>
    <w:rsid w:val="001654A0"/>
    <w:rsid w:val="00165960"/>
    <w:rsid w:val="00165B7B"/>
    <w:rsid w:val="00165BAE"/>
    <w:rsid w:val="00165FC1"/>
    <w:rsid w:val="00165FD5"/>
    <w:rsid w:val="001660BA"/>
    <w:rsid w:val="001661FF"/>
    <w:rsid w:val="00166220"/>
    <w:rsid w:val="00166419"/>
    <w:rsid w:val="001666E4"/>
    <w:rsid w:val="00166788"/>
    <w:rsid w:val="0016678F"/>
    <w:rsid w:val="001667AD"/>
    <w:rsid w:val="001668BA"/>
    <w:rsid w:val="0016692C"/>
    <w:rsid w:val="00166A75"/>
    <w:rsid w:val="00166B14"/>
    <w:rsid w:val="00166BCF"/>
    <w:rsid w:val="00166C29"/>
    <w:rsid w:val="00166E88"/>
    <w:rsid w:val="001674C1"/>
    <w:rsid w:val="001677BE"/>
    <w:rsid w:val="0016784D"/>
    <w:rsid w:val="00167AED"/>
    <w:rsid w:val="00167BD8"/>
    <w:rsid w:val="00167C0C"/>
    <w:rsid w:val="00167D18"/>
    <w:rsid w:val="00167D78"/>
    <w:rsid w:val="00167DA8"/>
    <w:rsid w:val="00167DF5"/>
    <w:rsid w:val="00167EA7"/>
    <w:rsid w:val="0016F5AC"/>
    <w:rsid w:val="001704BF"/>
    <w:rsid w:val="0017067A"/>
    <w:rsid w:val="001706A0"/>
    <w:rsid w:val="001706AC"/>
    <w:rsid w:val="001707F8"/>
    <w:rsid w:val="00170926"/>
    <w:rsid w:val="00170A06"/>
    <w:rsid w:val="00170ADD"/>
    <w:rsid w:val="00170B6C"/>
    <w:rsid w:val="00170F2D"/>
    <w:rsid w:val="001712D8"/>
    <w:rsid w:val="0017135E"/>
    <w:rsid w:val="00171517"/>
    <w:rsid w:val="00171520"/>
    <w:rsid w:val="001715A0"/>
    <w:rsid w:val="001717B2"/>
    <w:rsid w:val="0017199D"/>
    <w:rsid w:val="00171A12"/>
    <w:rsid w:val="00171B3C"/>
    <w:rsid w:val="00171BB1"/>
    <w:rsid w:val="00171D9C"/>
    <w:rsid w:val="00171DF2"/>
    <w:rsid w:val="001721BF"/>
    <w:rsid w:val="00172294"/>
    <w:rsid w:val="001722D4"/>
    <w:rsid w:val="001722F8"/>
    <w:rsid w:val="001728C4"/>
    <w:rsid w:val="001729A7"/>
    <w:rsid w:val="00172B5C"/>
    <w:rsid w:val="00172DE4"/>
    <w:rsid w:val="001731DC"/>
    <w:rsid w:val="001734E3"/>
    <w:rsid w:val="00173510"/>
    <w:rsid w:val="00173647"/>
    <w:rsid w:val="001736DF"/>
    <w:rsid w:val="00173741"/>
    <w:rsid w:val="001738CA"/>
    <w:rsid w:val="0017394C"/>
    <w:rsid w:val="00173AE4"/>
    <w:rsid w:val="00173DA5"/>
    <w:rsid w:val="00174029"/>
    <w:rsid w:val="00174295"/>
    <w:rsid w:val="00174474"/>
    <w:rsid w:val="001745E2"/>
    <w:rsid w:val="00174631"/>
    <w:rsid w:val="001748AF"/>
    <w:rsid w:val="001749F1"/>
    <w:rsid w:val="00174E51"/>
    <w:rsid w:val="00175017"/>
    <w:rsid w:val="0017506F"/>
    <w:rsid w:val="0017522C"/>
    <w:rsid w:val="00175254"/>
    <w:rsid w:val="001752C8"/>
    <w:rsid w:val="0017554F"/>
    <w:rsid w:val="00175670"/>
    <w:rsid w:val="0017569E"/>
    <w:rsid w:val="00175728"/>
    <w:rsid w:val="00175732"/>
    <w:rsid w:val="0017585C"/>
    <w:rsid w:val="001758D6"/>
    <w:rsid w:val="00175A33"/>
    <w:rsid w:val="00175AD0"/>
    <w:rsid w:val="00175E9A"/>
    <w:rsid w:val="00175F6C"/>
    <w:rsid w:val="00176037"/>
    <w:rsid w:val="0017633D"/>
    <w:rsid w:val="00176450"/>
    <w:rsid w:val="00176600"/>
    <w:rsid w:val="001768F7"/>
    <w:rsid w:val="001768FE"/>
    <w:rsid w:val="001769E3"/>
    <w:rsid w:val="00176D79"/>
    <w:rsid w:val="00176E67"/>
    <w:rsid w:val="00177164"/>
    <w:rsid w:val="001771E1"/>
    <w:rsid w:val="001773BA"/>
    <w:rsid w:val="0017741A"/>
    <w:rsid w:val="00177741"/>
    <w:rsid w:val="0017793A"/>
    <w:rsid w:val="00177B0F"/>
    <w:rsid w:val="00177C46"/>
    <w:rsid w:val="00177D01"/>
    <w:rsid w:val="0018003B"/>
    <w:rsid w:val="00180083"/>
    <w:rsid w:val="00180115"/>
    <w:rsid w:val="001801E7"/>
    <w:rsid w:val="00180249"/>
    <w:rsid w:val="001804B8"/>
    <w:rsid w:val="00180571"/>
    <w:rsid w:val="00180A98"/>
    <w:rsid w:val="00180B9A"/>
    <w:rsid w:val="00180BD0"/>
    <w:rsid w:val="00180CBF"/>
    <w:rsid w:val="00180EA7"/>
    <w:rsid w:val="00180FBA"/>
    <w:rsid w:val="00180FEE"/>
    <w:rsid w:val="001813A0"/>
    <w:rsid w:val="001813D6"/>
    <w:rsid w:val="00181D18"/>
    <w:rsid w:val="0018209D"/>
    <w:rsid w:val="00182386"/>
    <w:rsid w:val="001824F4"/>
    <w:rsid w:val="00182611"/>
    <w:rsid w:val="0018289E"/>
    <w:rsid w:val="00182E5E"/>
    <w:rsid w:val="001830F9"/>
    <w:rsid w:val="00183164"/>
    <w:rsid w:val="001831AE"/>
    <w:rsid w:val="001831B2"/>
    <w:rsid w:val="00183267"/>
    <w:rsid w:val="00183309"/>
    <w:rsid w:val="00183498"/>
    <w:rsid w:val="00183550"/>
    <w:rsid w:val="0018357F"/>
    <w:rsid w:val="00183751"/>
    <w:rsid w:val="00183777"/>
    <w:rsid w:val="0018380A"/>
    <w:rsid w:val="0018385A"/>
    <w:rsid w:val="00183895"/>
    <w:rsid w:val="00183A50"/>
    <w:rsid w:val="00183EAE"/>
    <w:rsid w:val="00183F90"/>
    <w:rsid w:val="00184056"/>
    <w:rsid w:val="0018407F"/>
    <w:rsid w:val="001840FC"/>
    <w:rsid w:val="001841F7"/>
    <w:rsid w:val="00184379"/>
    <w:rsid w:val="00184387"/>
    <w:rsid w:val="0018439C"/>
    <w:rsid w:val="001843D6"/>
    <w:rsid w:val="001843D8"/>
    <w:rsid w:val="00184571"/>
    <w:rsid w:val="001845C3"/>
    <w:rsid w:val="0018464A"/>
    <w:rsid w:val="00184656"/>
    <w:rsid w:val="0018468C"/>
    <w:rsid w:val="001848BE"/>
    <w:rsid w:val="00184931"/>
    <w:rsid w:val="00184B0E"/>
    <w:rsid w:val="00184BF2"/>
    <w:rsid w:val="00184E67"/>
    <w:rsid w:val="00185137"/>
    <w:rsid w:val="00185190"/>
    <w:rsid w:val="001851E5"/>
    <w:rsid w:val="00185401"/>
    <w:rsid w:val="001857F0"/>
    <w:rsid w:val="001858C4"/>
    <w:rsid w:val="00185997"/>
    <w:rsid w:val="00185A14"/>
    <w:rsid w:val="00185AD1"/>
    <w:rsid w:val="00185D33"/>
    <w:rsid w:val="00185E17"/>
    <w:rsid w:val="00185FAA"/>
    <w:rsid w:val="001861C6"/>
    <w:rsid w:val="00186653"/>
    <w:rsid w:val="00186C39"/>
    <w:rsid w:val="00186CD1"/>
    <w:rsid w:val="001870BF"/>
    <w:rsid w:val="00187164"/>
    <w:rsid w:val="00187431"/>
    <w:rsid w:val="001874F6"/>
    <w:rsid w:val="001875D0"/>
    <w:rsid w:val="001876BD"/>
    <w:rsid w:val="00187705"/>
    <w:rsid w:val="001877BD"/>
    <w:rsid w:val="00187A33"/>
    <w:rsid w:val="00187A72"/>
    <w:rsid w:val="00187AD5"/>
    <w:rsid w:val="00187CE6"/>
    <w:rsid w:val="00187D02"/>
    <w:rsid w:val="00187D67"/>
    <w:rsid w:val="00190055"/>
    <w:rsid w:val="001900EF"/>
    <w:rsid w:val="0019010C"/>
    <w:rsid w:val="0019032A"/>
    <w:rsid w:val="00190434"/>
    <w:rsid w:val="0019060D"/>
    <w:rsid w:val="001906C0"/>
    <w:rsid w:val="00190792"/>
    <w:rsid w:val="001909CD"/>
    <w:rsid w:val="00190C42"/>
    <w:rsid w:val="00190D66"/>
    <w:rsid w:val="00190EAB"/>
    <w:rsid w:val="00190F35"/>
    <w:rsid w:val="0019120B"/>
    <w:rsid w:val="00191266"/>
    <w:rsid w:val="00191310"/>
    <w:rsid w:val="001914B2"/>
    <w:rsid w:val="001914D6"/>
    <w:rsid w:val="001918A6"/>
    <w:rsid w:val="00191A25"/>
    <w:rsid w:val="00191A80"/>
    <w:rsid w:val="00191B1F"/>
    <w:rsid w:val="00191D46"/>
    <w:rsid w:val="00191D57"/>
    <w:rsid w:val="00191DB2"/>
    <w:rsid w:val="00191DCB"/>
    <w:rsid w:val="00191E06"/>
    <w:rsid w:val="0019209E"/>
    <w:rsid w:val="001920C0"/>
    <w:rsid w:val="0019214C"/>
    <w:rsid w:val="001921B4"/>
    <w:rsid w:val="001922FB"/>
    <w:rsid w:val="001924FD"/>
    <w:rsid w:val="00192B46"/>
    <w:rsid w:val="00192D90"/>
    <w:rsid w:val="00192DB0"/>
    <w:rsid w:val="00192FD5"/>
    <w:rsid w:val="00192FE6"/>
    <w:rsid w:val="00193084"/>
    <w:rsid w:val="00193141"/>
    <w:rsid w:val="001931AA"/>
    <w:rsid w:val="00193303"/>
    <w:rsid w:val="0019341C"/>
    <w:rsid w:val="001935E7"/>
    <w:rsid w:val="00193866"/>
    <w:rsid w:val="00193F3B"/>
    <w:rsid w:val="00193F5C"/>
    <w:rsid w:val="0019434D"/>
    <w:rsid w:val="001943B1"/>
    <w:rsid w:val="00194492"/>
    <w:rsid w:val="00194498"/>
    <w:rsid w:val="0019450B"/>
    <w:rsid w:val="0019459C"/>
    <w:rsid w:val="00194749"/>
    <w:rsid w:val="001948CD"/>
    <w:rsid w:val="00194B6E"/>
    <w:rsid w:val="00194BF1"/>
    <w:rsid w:val="00194D18"/>
    <w:rsid w:val="00194FEB"/>
    <w:rsid w:val="0019534B"/>
    <w:rsid w:val="00195AF2"/>
    <w:rsid w:val="00195B3B"/>
    <w:rsid w:val="00195C92"/>
    <w:rsid w:val="00195E7B"/>
    <w:rsid w:val="00195E93"/>
    <w:rsid w:val="00195FA7"/>
    <w:rsid w:val="00196111"/>
    <w:rsid w:val="001961FB"/>
    <w:rsid w:val="00196566"/>
    <w:rsid w:val="001966FD"/>
    <w:rsid w:val="001969A4"/>
    <w:rsid w:val="00196C78"/>
    <w:rsid w:val="00196DA2"/>
    <w:rsid w:val="00196F87"/>
    <w:rsid w:val="00197733"/>
    <w:rsid w:val="00197762"/>
    <w:rsid w:val="0019777F"/>
    <w:rsid w:val="00197797"/>
    <w:rsid w:val="001977C1"/>
    <w:rsid w:val="00197A74"/>
    <w:rsid w:val="00197B35"/>
    <w:rsid w:val="00197B8A"/>
    <w:rsid w:val="00197B93"/>
    <w:rsid w:val="00197CF4"/>
    <w:rsid w:val="00197E47"/>
    <w:rsid w:val="00197FC4"/>
    <w:rsid w:val="001A0000"/>
    <w:rsid w:val="001A0629"/>
    <w:rsid w:val="001A07A0"/>
    <w:rsid w:val="001A09A0"/>
    <w:rsid w:val="001A0C78"/>
    <w:rsid w:val="001A0CFE"/>
    <w:rsid w:val="001A0DB9"/>
    <w:rsid w:val="001A0EC5"/>
    <w:rsid w:val="001A0FF3"/>
    <w:rsid w:val="001A1070"/>
    <w:rsid w:val="001A10C3"/>
    <w:rsid w:val="001A10F7"/>
    <w:rsid w:val="001A1351"/>
    <w:rsid w:val="001A18E7"/>
    <w:rsid w:val="001A1A3D"/>
    <w:rsid w:val="001A1B58"/>
    <w:rsid w:val="001A1D02"/>
    <w:rsid w:val="001A1DAB"/>
    <w:rsid w:val="001A1DC7"/>
    <w:rsid w:val="001A1F40"/>
    <w:rsid w:val="001A21AC"/>
    <w:rsid w:val="001A2265"/>
    <w:rsid w:val="001A24B2"/>
    <w:rsid w:val="001A2979"/>
    <w:rsid w:val="001A29F9"/>
    <w:rsid w:val="001A2A04"/>
    <w:rsid w:val="001A2A3B"/>
    <w:rsid w:val="001A2CD3"/>
    <w:rsid w:val="001A2DFA"/>
    <w:rsid w:val="001A2ED4"/>
    <w:rsid w:val="001A326D"/>
    <w:rsid w:val="001A35AA"/>
    <w:rsid w:val="001A35FF"/>
    <w:rsid w:val="001A3602"/>
    <w:rsid w:val="001A36F0"/>
    <w:rsid w:val="001A3806"/>
    <w:rsid w:val="001A3826"/>
    <w:rsid w:val="001A396F"/>
    <w:rsid w:val="001A3AB4"/>
    <w:rsid w:val="001A3CB5"/>
    <w:rsid w:val="001A3EC3"/>
    <w:rsid w:val="001A4259"/>
    <w:rsid w:val="001A4326"/>
    <w:rsid w:val="001A43FB"/>
    <w:rsid w:val="001A446F"/>
    <w:rsid w:val="001A44C5"/>
    <w:rsid w:val="001A4571"/>
    <w:rsid w:val="001A45E1"/>
    <w:rsid w:val="001A46BE"/>
    <w:rsid w:val="001A4931"/>
    <w:rsid w:val="001A49F6"/>
    <w:rsid w:val="001A4B25"/>
    <w:rsid w:val="001A4C1A"/>
    <w:rsid w:val="001A4E38"/>
    <w:rsid w:val="001A4F7F"/>
    <w:rsid w:val="001A5057"/>
    <w:rsid w:val="001A5191"/>
    <w:rsid w:val="001A54FB"/>
    <w:rsid w:val="001A580B"/>
    <w:rsid w:val="001A58FB"/>
    <w:rsid w:val="001A59FB"/>
    <w:rsid w:val="001A5EEC"/>
    <w:rsid w:val="001A5FBE"/>
    <w:rsid w:val="001A63A9"/>
    <w:rsid w:val="001A6577"/>
    <w:rsid w:val="001A66A7"/>
    <w:rsid w:val="001A6700"/>
    <w:rsid w:val="001A6739"/>
    <w:rsid w:val="001A6A17"/>
    <w:rsid w:val="001A6AE6"/>
    <w:rsid w:val="001A6E9E"/>
    <w:rsid w:val="001A710B"/>
    <w:rsid w:val="001A7163"/>
    <w:rsid w:val="001A7536"/>
    <w:rsid w:val="001A75AE"/>
    <w:rsid w:val="001A75AF"/>
    <w:rsid w:val="001A7657"/>
    <w:rsid w:val="001A7718"/>
    <w:rsid w:val="001A7B39"/>
    <w:rsid w:val="001A7E27"/>
    <w:rsid w:val="001A7EDD"/>
    <w:rsid w:val="001A7EFF"/>
    <w:rsid w:val="001A7F7C"/>
    <w:rsid w:val="001B00C8"/>
    <w:rsid w:val="001B0643"/>
    <w:rsid w:val="001B09EE"/>
    <w:rsid w:val="001B09EF"/>
    <w:rsid w:val="001B0A7B"/>
    <w:rsid w:val="001B0C5B"/>
    <w:rsid w:val="001B0D05"/>
    <w:rsid w:val="001B0DD4"/>
    <w:rsid w:val="001B0EC5"/>
    <w:rsid w:val="001B0ED8"/>
    <w:rsid w:val="001B1341"/>
    <w:rsid w:val="001B16B0"/>
    <w:rsid w:val="001B1748"/>
    <w:rsid w:val="001B1885"/>
    <w:rsid w:val="001B18C3"/>
    <w:rsid w:val="001B19D6"/>
    <w:rsid w:val="001B1AA3"/>
    <w:rsid w:val="001B1AC4"/>
    <w:rsid w:val="001B1CDD"/>
    <w:rsid w:val="001B1DAC"/>
    <w:rsid w:val="001B1F13"/>
    <w:rsid w:val="001B1F20"/>
    <w:rsid w:val="001B1F3D"/>
    <w:rsid w:val="001B1F9F"/>
    <w:rsid w:val="001B2224"/>
    <w:rsid w:val="001B2229"/>
    <w:rsid w:val="001B224B"/>
    <w:rsid w:val="001B236D"/>
    <w:rsid w:val="001B25E7"/>
    <w:rsid w:val="001B2658"/>
    <w:rsid w:val="001B2740"/>
    <w:rsid w:val="001B2816"/>
    <w:rsid w:val="001B29EF"/>
    <w:rsid w:val="001B2A6D"/>
    <w:rsid w:val="001B2A88"/>
    <w:rsid w:val="001B2AD2"/>
    <w:rsid w:val="001B2B1E"/>
    <w:rsid w:val="001B2B4C"/>
    <w:rsid w:val="001B2B9F"/>
    <w:rsid w:val="001B2C23"/>
    <w:rsid w:val="001B2DB9"/>
    <w:rsid w:val="001B2DD1"/>
    <w:rsid w:val="001B2E80"/>
    <w:rsid w:val="001B2EFE"/>
    <w:rsid w:val="001B2F01"/>
    <w:rsid w:val="001B3327"/>
    <w:rsid w:val="001B34A8"/>
    <w:rsid w:val="001B36CA"/>
    <w:rsid w:val="001B36FF"/>
    <w:rsid w:val="001B4589"/>
    <w:rsid w:val="001B4599"/>
    <w:rsid w:val="001B461E"/>
    <w:rsid w:val="001B485E"/>
    <w:rsid w:val="001B4D10"/>
    <w:rsid w:val="001B4F88"/>
    <w:rsid w:val="001B4FDF"/>
    <w:rsid w:val="001B5110"/>
    <w:rsid w:val="001B5220"/>
    <w:rsid w:val="001B5475"/>
    <w:rsid w:val="001B5572"/>
    <w:rsid w:val="001B57FB"/>
    <w:rsid w:val="001B5900"/>
    <w:rsid w:val="001B594F"/>
    <w:rsid w:val="001B621D"/>
    <w:rsid w:val="001B6426"/>
    <w:rsid w:val="001B646D"/>
    <w:rsid w:val="001B6692"/>
    <w:rsid w:val="001B6816"/>
    <w:rsid w:val="001B6862"/>
    <w:rsid w:val="001B6913"/>
    <w:rsid w:val="001B6C31"/>
    <w:rsid w:val="001B6FCF"/>
    <w:rsid w:val="001B6FF8"/>
    <w:rsid w:val="001B71E7"/>
    <w:rsid w:val="001B725C"/>
    <w:rsid w:val="001B7425"/>
    <w:rsid w:val="001B742E"/>
    <w:rsid w:val="001B758C"/>
    <w:rsid w:val="001B75E9"/>
    <w:rsid w:val="001B78C5"/>
    <w:rsid w:val="001B7966"/>
    <w:rsid w:val="001B7FCF"/>
    <w:rsid w:val="001C02E4"/>
    <w:rsid w:val="001C035E"/>
    <w:rsid w:val="001C0520"/>
    <w:rsid w:val="001C052B"/>
    <w:rsid w:val="001C0921"/>
    <w:rsid w:val="001C09E2"/>
    <w:rsid w:val="001C0A9D"/>
    <w:rsid w:val="001C0E0C"/>
    <w:rsid w:val="001C0E66"/>
    <w:rsid w:val="001C0F02"/>
    <w:rsid w:val="001C105C"/>
    <w:rsid w:val="001C114A"/>
    <w:rsid w:val="001C1505"/>
    <w:rsid w:val="001C1647"/>
    <w:rsid w:val="001C1694"/>
    <w:rsid w:val="001C1731"/>
    <w:rsid w:val="001C17AE"/>
    <w:rsid w:val="001C183F"/>
    <w:rsid w:val="001C196E"/>
    <w:rsid w:val="001C1CE5"/>
    <w:rsid w:val="001C1F16"/>
    <w:rsid w:val="001C1F3D"/>
    <w:rsid w:val="001C20C1"/>
    <w:rsid w:val="001C2276"/>
    <w:rsid w:val="001C23CB"/>
    <w:rsid w:val="001C25AE"/>
    <w:rsid w:val="001C288B"/>
    <w:rsid w:val="001C28C8"/>
    <w:rsid w:val="001C29C4"/>
    <w:rsid w:val="001C2B34"/>
    <w:rsid w:val="001C2B36"/>
    <w:rsid w:val="001C2B58"/>
    <w:rsid w:val="001C2CD6"/>
    <w:rsid w:val="001C2D87"/>
    <w:rsid w:val="001C2E97"/>
    <w:rsid w:val="001C2EF0"/>
    <w:rsid w:val="001C301F"/>
    <w:rsid w:val="001C3069"/>
    <w:rsid w:val="001C32C8"/>
    <w:rsid w:val="001C3390"/>
    <w:rsid w:val="001C346D"/>
    <w:rsid w:val="001C34A2"/>
    <w:rsid w:val="001C35CC"/>
    <w:rsid w:val="001C3919"/>
    <w:rsid w:val="001C3974"/>
    <w:rsid w:val="001C3D30"/>
    <w:rsid w:val="001C3D47"/>
    <w:rsid w:val="001C3D6B"/>
    <w:rsid w:val="001C3DB6"/>
    <w:rsid w:val="001C3E54"/>
    <w:rsid w:val="001C3F22"/>
    <w:rsid w:val="001C3FDC"/>
    <w:rsid w:val="001C4046"/>
    <w:rsid w:val="001C40AF"/>
    <w:rsid w:val="001C4136"/>
    <w:rsid w:val="001C43B5"/>
    <w:rsid w:val="001C4732"/>
    <w:rsid w:val="001C4855"/>
    <w:rsid w:val="001C4994"/>
    <w:rsid w:val="001C49FE"/>
    <w:rsid w:val="001C4A1B"/>
    <w:rsid w:val="001C4AF8"/>
    <w:rsid w:val="001C4DE3"/>
    <w:rsid w:val="001C4DE9"/>
    <w:rsid w:val="001C4EDB"/>
    <w:rsid w:val="001C4FFB"/>
    <w:rsid w:val="001C5111"/>
    <w:rsid w:val="001C5139"/>
    <w:rsid w:val="001C521C"/>
    <w:rsid w:val="001C53D1"/>
    <w:rsid w:val="001C541C"/>
    <w:rsid w:val="001C54EB"/>
    <w:rsid w:val="001C579B"/>
    <w:rsid w:val="001C57A6"/>
    <w:rsid w:val="001C5807"/>
    <w:rsid w:val="001C58A1"/>
    <w:rsid w:val="001C5A59"/>
    <w:rsid w:val="001C5C79"/>
    <w:rsid w:val="001C5E18"/>
    <w:rsid w:val="001C5F69"/>
    <w:rsid w:val="001C606A"/>
    <w:rsid w:val="001C61B2"/>
    <w:rsid w:val="001C61E6"/>
    <w:rsid w:val="001C66FD"/>
    <w:rsid w:val="001C683C"/>
    <w:rsid w:val="001C69B5"/>
    <w:rsid w:val="001C6A1C"/>
    <w:rsid w:val="001C6AD3"/>
    <w:rsid w:val="001C6B56"/>
    <w:rsid w:val="001C6DC5"/>
    <w:rsid w:val="001C6F0D"/>
    <w:rsid w:val="001C70A3"/>
    <w:rsid w:val="001C71B3"/>
    <w:rsid w:val="001C7459"/>
    <w:rsid w:val="001C74E5"/>
    <w:rsid w:val="001C7534"/>
    <w:rsid w:val="001C7847"/>
    <w:rsid w:val="001C7A84"/>
    <w:rsid w:val="001C7C6A"/>
    <w:rsid w:val="001C7D23"/>
    <w:rsid w:val="001C7D44"/>
    <w:rsid w:val="001C7DCE"/>
    <w:rsid w:val="001C7FB5"/>
    <w:rsid w:val="001D0083"/>
    <w:rsid w:val="001D040F"/>
    <w:rsid w:val="001D0451"/>
    <w:rsid w:val="001D06E5"/>
    <w:rsid w:val="001D08A5"/>
    <w:rsid w:val="001D0975"/>
    <w:rsid w:val="001D0AFD"/>
    <w:rsid w:val="001D0B65"/>
    <w:rsid w:val="001D0FC2"/>
    <w:rsid w:val="001D1059"/>
    <w:rsid w:val="001D11C5"/>
    <w:rsid w:val="001D1335"/>
    <w:rsid w:val="001D14B2"/>
    <w:rsid w:val="001D1516"/>
    <w:rsid w:val="001D15CC"/>
    <w:rsid w:val="001D1635"/>
    <w:rsid w:val="001D16BC"/>
    <w:rsid w:val="001D170A"/>
    <w:rsid w:val="001D17EE"/>
    <w:rsid w:val="001D188F"/>
    <w:rsid w:val="001D199D"/>
    <w:rsid w:val="001D199E"/>
    <w:rsid w:val="001D1B80"/>
    <w:rsid w:val="001D1DC0"/>
    <w:rsid w:val="001D1F64"/>
    <w:rsid w:val="001D1F71"/>
    <w:rsid w:val="001D2073"/>
    <w:rsid w:val="001D2606"/>
    <w:rsid w:val="001D27B9"/>
    <w:rsid w:val="001D2ABB"/>
    <w:rsid w:val="001D2DD2"/>
    <w:rsid w:val="001D2E06"/>
    <w:rsid w:val="001D2F78"/>
    <w:rsid w:val="001D30FA"/>
    <w:rsid w:val="001D320D"/>
    <w:rsid w:val="001D328B"/>
    <w:rsid w:val="001D33B0"/>
    <w:rsid w:val="001D3619"/>
    <w:rsid w:val="001D361F"/>
    <w:rsid w:val="001D3644"/>
    <w:rsid w:val="001D374D"/>
    <w:rsid w:val="001D3CB6"/>
    <w:rsid w:val="001D3CB7"/>
    <w:rsid w:val="001D3CBA"/>
    <w:rsid w:val="001D3E1B"/>
    <w:rsid w:val="001D3E76"/>
    <w:rsid w:val="001D3EEA"/>
    <w:rsid w:val="001D3FF9"/>
    <w:rsid w:val="001D4199"/>
    <w:rsid w:val="001D4435"/>
    <w:rsid w:val="001D449A"/>
    <w:rsid w:val="001D46E7"/>
    <w:rsid w:val="001D480F"/>
    <w:rsid w:val="001D4875"/>
    <w:rsid w:val="001D4A36"/>
    <w:rsid w:val="001D4ACD"/>
    <w:rsid w:val="001D4AF4"/>
    <w:rsid w:val="001D4B7E"/>
    <w:rsid w:val="001D4E07"/>
    <w:rsid w:val="001D4F54"/>
    <w:rsid w:val="001D5140"/>
    <w:rsid w:val="001D523B"/>
    <w:rsid w:val="001D54C4"/>
    <w:rsid w:val="001D56AD"/>
    <w:rsid w:val="001D56E2"/>
    <w:rsid w:val="001D5884"/>
    <w:rsid w:val="001D5925"/>
    <w:rsid w:val="001D592E"/>
    <w:rsid w:val="001D59C6"/>
    <w:rsid w:val="001D5C97"/>
    <w:rsid w:val="001D5DFD"/>
    <w:rsid w:val="001D6479"/>
    <w:rsid w:val="001D64E0"/>
    <w:rsid w:val="001D6611"/>
    <w:rsid w:val="001D669A"/>
    <w:rsid w:val="001D696C"/>
    <w:rsid w:val="001D6A3A"/>
    <w:rsid w:val="001D6B92"/>
    <w:rsid w:val="001D6C8D"/>
    <w:rsid w:val="001D6EF6"/>
    <w:rsid w:val="001D6F98"/>
    <w:rsid w:val="001D6FEB"/>
    <w:rsid w:val="001D716E"/>
    <w:rsid w:val="001D74FD"/>
    <w:rsid w:val="001D760F"/>
    <w:rsid w:val="001D7662"/>
    <w:rsid w:val="001D770B"/>
    <w:rsid w:val="001D7F14"/>
    <w:rsid w:val="001D7FB0"/>
    <w:rsid w:val="001E01F6"/>
    <w:rsid w:val="001E04F7"/>
    <w:rsid w:val="001E0607"/>
    <w:rsid w:val="001E06FE"/>
    <w:rsid w:val="001E0AE2"/>
    <w:rsid w:val="001E0C2E"/>
    <w:rsid w:val="001E0DE1"/>
    <w:rsid w:val="001E1346"/>
    <w:rsid w:val="001E13AA"/>
    <w:rsid w:val="001E16FD"/>
    <w:rsid w:val="001E17ED"/>
    <w:rsid w:val="001E184D"/>
    <w:rsid w:val="001E19A8"/>
    <w:rsid w:val="001E19EF"/>
    <w:rsid w:val="001E1A01"/>
    <w:rsid w:val="001E1B37"/>
    <w:rsid w:val="001E1BBB"/>
    <w:rsid w:val="001E1D44"/>
    <w:rsid w:val="001E1DA4"/>
    <w:rsid w:val="001E1FA7"/>
    <w:rsid w:val="001E2027"/>
    <w:rsid w:val="001E204A"/>
    <w:rsid w:val="001E235A"/>
    <w:rsid w:val="001E281B"/>
    <w:rsid w:val="001E28C7"/>
    <w:rsid w:val="001E28DE"/>
    <w:rsid w:val="001E28F7"/>
    <w:rsid w:val="001E29F3"/>
    <w:rsid w:val="001E2D00"/>
    <w:rsid w:val="001E2E9C"/>
    <w:rsid w:val="001E30E4"/>
    <w:rsid w:val="001E30F9"/>
    <w:rsid w:val="001E31ED"/>
    <w:rsid w:val="001E3344"/>
    <w:rsid w:val="001E341F"/>
    <w:rsid w:val="001E35C9"/>
    <w:rsid w:val="001E36F5"/>
    <w:rsid w:val="001E3786"/>
    <w:rsid w:val="001E38B4"/>
    <w:rsid w:val="001E394D"/>
    <w:rsid w:val="001E3D68"/>
    <w:rsid w:val="001E3F24"/>
    <w:rsid w:val="001E3FDA"/>
    <w:rsid w:val="001E4009"/>
    <w:rsid w:val="001E43C3"/>
    <w:rsid w:val="001E462C"/>
    <w:rsid w:val="001E4ED9"/>
    <w:rsid w:val="001E4F54"/>
    <w:rsid w:val="001E4F88"/>
    <w:rsid w:val="001E4FD1"/>
    <w:rsid w:val="001E51D7"/>
    <w:rsid w:val="001E530C"/>
    <w:rsid w:val="001E5416"/>
    <w:rsid w:val="001E5573"/>
    <w:rsid w:val="001E567A"/>
    <w:rsid w:val="001E5698"/>
    <w:rsid w:val="001E59B5"/>
    <w:rsid w:val="001E5B48"/>
    <w:rsid w:val="001E5D96"/>
    <w:rsid w:val="001E6295"/>
    <w:rsid w:val="001E64D2"/>
    <w:rsid w:val="001E6508"/>
    <w:rsid w:val="001E6621"/>
    <w:rsid w:val="001E6631"/>
    <w:rsid w:val="001E66C3"/>
    <w:rsid w:val="001E6759"/>
    <w:rsid w:val="001E6794"/>
    <w:rsid w:val="001E67A2"/>
    <w:rsid w:val="001E688B"/>
    <w:rsid w:val="001E69A1"/>
    <w:rsid w:val="001E69EE"/>
    <w:rsid w:val="001E6E98"/>
    <w:rsid w:val="001E6FDD"/>
    <w:rsid w:val="001E703A"/>
    <w:rsid w:val="001E7294"/>
    <w:rsid w:val="001E7668"/>
    <w:rsid w:val="001E7AE7"/>
    <w:rsid w:val="001E7AEE"/>
    <w:rsid w:val="001E7C04"/>
    <w:rsid w:val="001E7CC9"/>
    <w:rsid w:val="001E7E13"/>
    <w:rsid w:val="001E7EF5"/>
    <w:rsid w:val="001F0153"/>
    <w:rsid w:val="001F01F1"/>
    <w:rsid w:val="001F0508"/>
    <w:rsid w:val="001F09CD"/>
    <w:rsid w:val="001F0D51"/>
    <w:rsid w:val="001F0D5B"/>
    <w:rsid w:val="001F0DBA"/>
    <w:rsid w:val="001F1086"/>
    <w:rsid w:val="001F11DE"/>
    <w:rsid w:val="001F1382"/>
    <w:rsid w:val="001F1416"/>
    <w:rsid w:val="001F1440"/>
    <w:rsid w:val="001F15C2"/>
    <w:rsid w:val="001F1958"/>
    <w:rsid w:val="001F1A81"/>
    <w:rsid w:val="001F1B04"/>
    <w:rsid w:val="001F1B50"/>
    <w:rsid w:val="001F1C6C"/>
    <w:rsid w:val="001F1D6D"/>
    <w:rsid w:val="001F1D8F"/>
    <w:rsid w:val="001F1EAE"/>
    <w:rsid w:val="001F20A2"/>
    <w:rsid w:val="001F2107"/>
    <w:rsid w:val="001F212F"/>
    <w:rsid w:val="001F2286"/>
    <w:rsid w:val="001F2399"/>
    <w:rsid w:val="001F2453"/>
    <w:rsid w:val="001F24E2"/>
    <w:rsid w:val="001F25E7"/>
    <w:rsid w:val="001F2609"/>
    <w:rsid w:val="001F26DE"/>
    <w:rsid w:val="001F289C"/>
    <w:rsid w:val="001F2B50"/>
    <w:rsid w:val="001F2BDB"/>
    <w:rsid w:val="001F2CF2"/>
    <w:rsid w:val="001F2DF5"/>
    <w:rsid w:val="001F320C"/>
    <w:rsid w:val="001F3357"/>
    <w:rsid w:val="001F3524"/>
    <w:rsid w:val="001F365C"/>
    <w:rsid w:val="001F3686"/>
    <w:rsid w:val="001F3BA5"/>
    <w:rsid w:val="001F3DAB"/>
    <w:rsid w:val="001F3E8B"/>
    <w:rsid w:val="001F42DD"/>
    <w:rsid w:val="001F474E"/>
    <w:rsid w:val="001F48C0"/>
    <w:rsid w:val="001F48DA"/>
    <w:rsid w:val="001F498C"/>
    <w:rsid w:val="001F49C3"/>
    <w:rsid w:val="001F4A65"/>
    <w:rsid w:val="001F4AAA"/>
    <w:rsid w:val="001F4FF8"/>
    <w:rsid w:val="001F517E"/>
    <w:rsid w:val="001F5406"/>
    <w:rsid w:val="001F54C9"/>
    <w:rsid w:val="001F5560"/>
    <w:rsid w:val="001F5788"/>
    <w:rsid w:val="001F57E0"/>
    <w:rsid w:val="001F58A5"/>
    <w:rsid w:val="001F5963"/>
    <w:rsid w:val="001F5A22"/>
    <w:rsid w:val="001F5F43"/>
    <w:rsid w:val="001F5F9B"/>
    <w:rsid w:val="001F620A"/>
    <w:rsid w:val="001F628B"/>
    <w:rsid w:val="001F6618"/>
    <w:rsid w:val="001F68CD"/>
    <w:rsid w:val="001F68DE"/>
    <w:rsid w:val="001F6C68"/>
    <w:rsid w:val="001F6E3C"/>
    <w:rsid w:val="001F6EC0"/>
    <w:rsid w:val="001F6F00"/>
    <w:rsid w:val="001F707F"/>
    <w:rsid w:val="001F7107"/>
    <w:rsid w:val="001F714D"/>
    <w:rsid w:val="001F7171"/>
    <w:rsid w:val="001F7447"/>
    <w:rsid w:val="001F7534"/>
    <w:rsid w:val="001F7601"/>
    <w:rsid w:val="001F77E1"/>
    <w:rsid w:val="001F7854"/>
    <w:rsid w:val="001F79A7"/>
    <w:rsid w:val="001F7B18"/>
    <w:rsid w:val="001F7D2F"/>
    <w:rsid w:val="001F7D56"/>
    <w:rsid w:val="001F7F64"/>
    <w:rsid w:val="001F7FDD"/>
    <w:rsid w:val="0020020C"/>
    <w:rsid w:val="00200928"/>
    <w:rsid w:val="002009D4"/>
    <w:rsid w:val="00200CC4"/>
    <w:rsid w:val="00200CE4"/>
    <w:rsid w:val="0020129D"/>
    <w:rsid w:val="002014A7"/>
    <w:rsid w:val="0020169D"/>
    <w:rsid w:val="0020185B"/>
    <w:rsid w:val="00201A43"/>
    <w:rsid w:val="00201A69"/>
    <w:rsid w:val="00201B13"/>
    <w:rsid w:val="00201D1A"/>
    <w:rsid w:val="00201D4A"/>
    <w:rsid w:val="00201EB3"/>
    <w:rsid w:val="00201F2D"/>
    <w:rsid w:val="0020221D"/>
    <w:rsid w:val="00202BB9"/>
    <w:rsid w:val="00203003"/>
    <w:rsid w:val="00203085"/>
    <w:rsid w:val="0020367E"/>
    <w:rsid w:val="00203783"/>
    <w:rsid w:val="00203864"/>
    <w:rsid w:val="00203872"/>
    <w:rsid w:val="002038C0"/>
    <w:rsid w:val="00203A05"/>
    <w:rsid w:val="00203C59"/>
    <w:rsid w:val="00203DE0"/>
    <w:rsid w:val="00203EE2"/>
    <w:rsid w:val="00203F64"/>
    <w:rsid w:val="002040ED"/>
    <w:rsid w:val="002046C2"/>
    <w:rsid w:val="002046FA"/>
    <w:rsid w:val="00204808"/>
    <w:rsid w:val="00204B36"/>
    <w:rsid w:val="00204C4C"/>
    <w:rsid w:val="00204C9F"/>
    <w:rsid w:val="00204CF9"/>
    <w:rsid w:val="00204D13"/>
    <w:rsid w:val="00204DA0"/>
    <w:rsid w:val="00204F0C"/>
    <w:rsid w:val="0020501D"/>
    <w:rsid w:val="0020512E"/>
    <w:rsid w:val="00205190"/>
    <w:rsid w:val="00205314"/>
    <w:rsid w:val="002053AC"/>
    <w:rsid w:val="0020543A"/>
    <w:rsid w:val="0020543C"/>
    <w:rsid w:val="002054FB"/>
    <w:rsid w:val="00205632"/>
    <w:rsid w:val="00205803"/>
    <w:rsid w:val="0020586F"/>
    <w:rsid w:val="002058C0"/>
    <w:rsid w:val="00205A87"/>
    <w:rsid w:val="00205B9F"/>
    <w:rsid w:val="00205CA5"/>
    <w:rsid w:val="0020602A"/>
    <w:rsid w:val="0020607F"/>
    <w:rsid w:val="00206107"/>
    <w:rsid w:val="002063DE"/>
    <w:rsid w:val="002064AE"/>
    <w:rsid w:val="0020652E"/>
    <w:rsid w:val="00206615"/>
    <w:rsid w:val="0020667E"/>
    <w:rsid w:val="0020668D"/>
    <w:rsid w:val="0020684F"/>
    <w:rsid w:val="00206A44"/>
    <w:rsid w:val="00206D71"/>
    <w:rsid w:val="0020700A"/>
    <w:rsid w:val="002073FF"/>
    <w:rsid w:val="0020749A"/>
    <w:rsid w:val="002074B6"/>
    <w:rsid w:val="002076FF"/>
    <w:rsid w:val="002078C6"/>
    <w:rsid w:val="00207BD2"/>
    <w:rsid w:val="00207CE9"/>
    <w:rsid w:val="00207EDD"/>
    <w:rsid w:val="00210112"/>
    <w:rsid w:val="0021028B"/>
    <w:rsid w:val="002102C8"/>
    <w:rsid w:val="0021037C"/>
    <w:rsid w:val="00210470"/>
    <w:rsid w:val="0021080F"/>
    <w:rsid w:val="00210878"/>
    <w:rsid w:val="00210901"/>
    <w:rsid w:val="00210DFD"/>
    <w:rsid w:val="0021116B"/>
    <w:rsid w:val="0021133C"/>
    <w:rsid w:val="002115BE"/>
    <w:rsid w:val="0021168F"/>
    <w:rsid w:val="00211736"/>
    <w:rsid w:val="002117E3"/>
    <w:rsid w:val="002117EE"/>
    <w:rsid w:val="00211806"/>
    <w:rsid w:val="00211AEE"/>
    <w:rsid w:val="00211C2B"/>
    <w:rsid w:val="00211E69"/>
    <w:rsid w:val="00211EA9"/>
    <w:rsid w:val="00211F06"/>
    <w:rsid w:val="00211F77"/>
    <w:rsid w:val="00211FF1"/>
    <w:rsid w:val="0021208A"/>
    <w:rsid w:val="002121F0"/>
    <w:rsid w:val="0021229D"/>
    <w:rsid w:val="002122E8"/>
    <w:rsid w:val="00212358"/>
    <w:rsid w:val="002127C3"/>
    <w:rsid w:val="00212816"/>
    <w:rsid w:val="00212849"/>
    <w:rsid w:val="002128EF"/>
    <w:rsid w:val="00212B29"/>
    <w:rsid w:val="00212C87"/>
    <w:rsid w:val="00212CE3"/>
    <w:rsid w:val="00212FDA"/>
    <w:rsid w:val="00213404"/>
    <w:rsid w:val="00213563"/>
    <w:rsid w:val="0021359F"/>
    <w:rsid w:val="00213692"/>
    <w:rsid w:val="00213715"/>
    <w:rsid w:val="0021371F"/>
    <w:rsid w:val="00213933"/>
    <w:rsid w:val="002139EF"/>
    <w:rsid w:val="00213A96"/>
    <w:rsid w:val="00213D12"/>
    <w:rsid w:val="00213D9E"/>
    <w:rsid w:val="002140B3"/>
    <w:rsid w:val="002141C4"/>
    <w:rsid w:val="002141E6"/>
    <w:rsid w:val="00214208"/>
    <w:rsid w:val="0021442E"/>
    <w:rsid w:val="00214584"/>
    <w:rsid w:val="00214A0F"/>
    <w:rsid w:val="00214B5D"/>
    <w:rsid w:val="00214D81"/>
    <w:rsid w:val="00214DFE"/>
    <w:rsid w:val="00214E4E"/>
    <w:rsid w:val="00214E9E"/>
    <w:rsid w:val="00214F8F"/>
    <w:rsid w:val="002150CA"/>
    <w:rsid w:val="00215231"/>
    <w:rsid w:val="00215278"/>
    <w:rsid w:val="00215791"/>
    <w:rsid w:val="002158CC"/>
    <w:rsid w:val="0021598C"/>
    <w:rsid w:val="002159C2"/>
    <w:rsid w:val="00215DEA"/>
    <w:rsid w:val="002160E0"/>
    <w:rsid w:val="00216227"/>
    <w:rsid w:val="0021660B"/>
    <w:rsid w:val="0021686C"/>
    <w:rsid w:val="00216955"/>
    <w:rsid w:val="0021696B"/>
    <w:rsid w:val="00216985"/>
    <w:rsid w:val="002169A9"/>
    <w:rsid w:val="00216C6B"/>
    <w:rsid w:val="00216DFA"/>
    <w:rsid w:val="00216E23"/>
    <w:rsid w:val="00216F6D"/>
    <w:rsid w:val="00216FB1"/>
    <w:rsid w:val="00217007"/>
    <w:rsid w:val="00217030"/>
    <w:rsid w:val="0021704A"/>
    <w:rsid w:val="00217134"/>
    <w:rsid w:val="002171E3"/>
    <w:rsid w:val="00217381"/>
    <w:rsid w:val="0021741A"/>
    <w:rsid w:val="00217441"/>
    <w:rsid w:val="002174B5"/>
    <w:rsid w:val="002174F2"/>
    <w:rsid w:val="002175C7"/>
    <w:rsid w:val="00217A8D"/>
    <w:rsid w:val="00217FB3"/>
    <w:rsid w:val="00220372"/>
    <w:rsid w:val="002205BA"/>
    <w:rsid w:val="00220798"/>
    <w:rsid w:val="002207F0"/>
    <w:rsid w:val="00220848"/>
    <w:rsid w:val="00220E86"/>
    <w:rsid w:val="002210C4"/>
    <w:rsid w:val="00221119"/>
    <w:rsid w:val="0022137A"/>
    <w:rsid w:val="00221758"/>
    <w:rsid w:val="00221904"/>
    <w:rsid w:val="00221916"/>
    <w:rsid w:val="00221B2B"/>
    <w:rsid w:val="00221D5A"/>
    <w:rsid w:val="00221DB7"/>
    <w:rsid w:val="00221E3B"/>
    <w:rsid w:val="002221EB"/>
    <w:rsid w:val="00222346"/>
    <w:rsid w:val="002224B2"/>
    <w:rsid w:val="0022251B"/>
    <w:rsid w:val="002227C7"/>
    <w:rsid w:val="002227D9"/>
    <w:rsid w:val="00222832"/>
    <w:rsid w:val="00222C13"/>
    <w:rsid w:val="00222E1B"/>
    <w:rsid w:val="002230D3"/>
    <w:rsid w:val="002232E3"/>
    <w:rsid w:val="00223743"/>
    <w:rsid w:val="002237E5"/>
    <w:rsid w:val="00223939"/>
    <w:rsid w:val="00223B3F"/>
    <w:rsid w:val="00223D78"/>
    <w:rsid w:val="0022410D"/>
    <w:rsid w:val="002241DB"/>
    <w:rsid w:val="002243B5"/>
    <w:rsid w:val="0022472F"/>
    <w:rsid w:val="00224762"/>
    <w:rsid w:val="002247DF"/>
    <w:rsid w:val="00224884"/>
    <w:rsid w:val="002248B3"/>
    <w:rsid w:val="002248FB"/>
    <w:rsid w:val="00224B71"/>
    <w:rsid w:val="00224C74"/>
    <w:rsid w:val="00224CF7"/>
    <w:rsid w:val="00224F4F"/>
    <w:rsid w:val="002250C1"/>
    <w:rsid w:val="002252AC"/>
    <w:rsid w:val="002253BC"/>
    <w:rsid w:val="00225521"/>
    <w:rsid w:val="0022553F"/>
    <w:rsid w:val="00225597"/>
    <w:rsid w:val="0022567D"/>
    <w:rsid w:val="00225791"/>
    <w:rsid w:val="002257BF"/>
    <w:rsid w:val="002258EF"/>
    <w:rsid w:val="00225B03"/>
    <w:rsid w:val="00225B10"/>
    <w:rsid w:val="00225D3C"/>
    <w:rsid w:val="00225FD8"/>
    <w:rsid w:val="0022601D"/>
    <w:rsid w:val="00226073"/>
    <w:rsid w:val="002262E8"/>
    <w:rsid w:val="00226309"/>
    <w:rsid w:val="00226341"/>
    <w:rsid w:val="0022645C"/>
    <w:rsid w:val="00226786"/>
    <w:rsid w:val="002268C4"/>
    <w:rsid w:val="0022696B"/>
    <w:rsid w:val="00226B07"/>
    <w:rsid w:val="00226CD5"/>
    <w:rsid w:val="00226E3A"/>
    <w:rsid w:val="002270B2"/>
    <w:rsid w:val="002270B3"/>
    <w:rsid w:val="0022761A"/>
    <w:rsid w:val="0022792F"/>
    <w:rsid w:val="002279F3"/>
    <w:rsid w:val="00227A09"/>
    <w:rsid w:val="00227A2D"/>
    <w:rsid w:val="00227A53"/>
    <w:rsid w:val="00227C98"/>
    <w:rsid w:val="00227D18"/>
    <w:rsid w:val="00227FAF"/>
    <w:rsid w:val="00230236"/>
    <w:rsid w:val="00230602"/>
    <w:rsid w:val="002306E9"/>
    <w:rsid w:val="00230762"/>
    <w:rsid w:val="002308F3"/>
    <w:rsid w:val="00230B3F"/>
    <w:rsid w:val="00230B65"/>
    <w:rsid w:val="00230CA4"/>
    <w:rsid w:val="002311F9"/>
    <w:rsid w:val="0023158E"/>
    <w:rsid w:val="002315AF"/>
    <w:rsid w:val="00231695"/>
    <w:rsid w:val="002317DE"/>
    <w:rsid w:val="0023193A"/>
    <w:rsid w:val="00231A5C"/>
    <w:rsid w:val="00231BE4"/>
    <w:rsid w:val="00231C2C"/>
    <w:rsid w:val="00232111"/>
    <w:rsid w:val="00232193"/>
    <w:rsid w:val="00232239"/>
    <w:rsid w:val="0023226D"/>
    <w:rsid w:val="002323A0"/>
    <w:rsid w:val="00232599"/>
    <w:rsid w:val="0023273C"/>
    <w:rsid w:val="0023289B"/>
    <w:rsid w:val="0023291E"/>
    <w:rsid w:val="00232B8F"/>
    <w:rsid w:val="00232C46"/>
    <w:rsid w:val="00232CD0"/>
    <w:rsid w:val="00232D0C"/>
    <w:rsid w:val="00232D37"/>
    <w:rsid w:val="00232E70"/>
    <w:rsid w:val="00232EA2"/>
    <w:rsid w:val="00232EA9"/>
    <w:rsid w:val="00232ED4"/>
    <w:rsid w:val="00232FCF"/>
    <w:rsid w:val="00233020"/>
    <w:rsid w:val="00233325"/>
    <w:rsid w:val="002334D5"/>
    <w:rsid w:val="002339C1"/>
    <w:rsid w:val="00233A4D"/>
    <w:rsid w:val="00233A4F"/>
    <w:rsid w:val="00233B14"/>
    <w:rsid w:val="00233DC7"/>
    <w:rsid w:val="00233E25"/>
    <w:rsid w:val="00233E26"/>
    <w:rsid w:val="00233FDA"/>
    <w:rsid w:val="002341D4"/>
    <w:rsid w:val="002341FE"/>
    <w:rsid w:val="00234223"/>
    <w:rsid w:val="00234299"/>
    <w:rsid w:val="00234510"/>
    <w:rsid w:val="002345D5"/>
    <w:rsid w:val="00234810"/>
    <w:rsid w:val="002349F2"/>
    <w:rsid w:val="00234DF5"/>
    <w:rsid w:val="00234E97"/>
    <w:rsid w:val="00235078"/>
    <w:rsid w:val="00235249"/>
    <w:rsid w:val="002352E1"/>
    <w:rsid w:val="00235366"/>
    <w:rsid w:val="0023562E"/>
    <w:rsid w:val="00235636"/>
    <w:rsid w:val="00235867"/>
    <w:rsid w:val="00235902"/>
    <w:rsid w:val="00235986"/>
    <w:rsid w:val="00235A47"/>
    <w:rsid w:val="00235B90"/>
    <w:rsid w:val="00235CDD"/>
    <w:rsid w:val="00235DC7"/>
    <w:rsid w:val="00235F13"/>
    <w:rsid w:val="00235F6D"/>
    <w:rsid w:val="002360E6"/>
    <w:rsid w:val="002363C1"/>
    <w:rsid w:val="002364BA"/>
    <w:rsid w:val="002364E1"/>
    <w:rsid w:val="00236526"/>
    <w:rsid w:val="0023681B"/>
    <w:rsid w:val="00236852"/>
    <w:rsid w:val="002368E6"/>
    <w:rsid w:val="00236A76"/>
    <w:rsid w:val="00236B92"/>
    <w:rsid w:val="00236BD7"/>
    <w:rsid w:val="00236CA3"/>
    <w:rsid w:val="00236F6A"/>
    <w:rsid w:val="00237022"/>
    <w:rsid w:val="002370B7"/>
    <w:rsid w:val="0023784E"/>
    <w:rsid w:val="00237B2B"/>
    <w:rsid w:val="00237D4B"/>
    <w:rsid w:val="002400A2"/>
    <w:rsid w:val="0024014E"/>
    <w:rsid w:val="00240210"/>
    <w:rsid w:val="00240391"/>
    <w:rsid w:val="00240A53"/>
    <w:rsid w:val="00240AC5"/>
    <w:rsid w:val="00240D74"/>
    <w:rsid w:val="00240E80"/>
    <w:rsid w:val="00240F37"/>
    <w:rsid w:val="00240F94"/>
    <w:rsid w:val="0024168E"/>
    <w:rsid w:val="002416A6"/>
    <w:rsid w:val="00241830"/>
    <w:rsid w:val="00241893"/>
    <w:rsid w:val="00241A04"/>
    <w:rsid w:val="00241B0D"/>
    <w:rsid w:val="00241C92"/>
    <w:rsid w:val="00241D70"/>
    <w:rsid w:val="00241F98"/>
    <w:rsid w:val="002420D6"/>
    <w:rsid w:val="00242174"/>
    <w:rsid w:val="0024221F"/>
    <w:rsid w:val="00242239"/>
    <w:rsid w:val="00242411"/>
    <w:rsid w:val="00242432"/>
    <w:rsid w:val="002424E9"/>
    <w:rsid w:val="00242597"/>
    <w:rsid w:val="002425D4"/>
    <w:rsid w:val="00242D27"/>
    <w:rsid w:val="00242DA0"/>
    <w:rsid w:val="00242E57"/>
    <w:rsid w:val="00243039"/>
    <w:rsid w:val="00243197"/>
    <w:rsid w:val="0024378E"/>
    <w:rsid w:val="002437D9"/>
    <w:rsid w:val="002438EC"/>
    <w:rsid w:val="00243999"/>
    <w:rsid w:val="00243AE1"/>
    <w:rsid w:val="00243BFA"/>
    <w:rsid w:val="00243D8A"/>
    <w:rsid w:val="00243D95"/>
    <w:rsid w:val="00243FAA"/>
    <w:rsid w:val="0024415C"/>
    <w:rsid w:val="00244222"/>
    <w:rsid w:val="002442B1"/>
    <w:rsid w:val="002442E4"/>
    <w:rsid w:val="00244359"/>
    <w:rsid w:val="002446A0"/>
    <w:rsid w:val="002446F7"/>
    <w:rsid w:val="00244B1A"/>
    <w:rsid w:val="002450E3"/>
    <w:rsid w:val="0024519D"/>
    <w:rsid w:val="002452B5"/>
    <w:rsid w:val="002452F0"/>
    <w:rsid w:val="0024535A"/>
    <w:rsid w:val="00245398"/>
    <w:rsid w:val="002454BB"/>
    <w:rsid w:val="002454C6"/>
    <w:rsid w:val="0024579E"/>
    <w:rsid w:val="002458B1"/>
    <w:rsid w:val="002458C7"/>
    <w:rsid w:val="002458C9"/>
    <w:rsid w:val="00245904"/>
    <w:rsid w:val="002459EE"/>
    <w:rsid w:val="00245C4B"/>
    <w:rsid w:val="00245C8C"/>
    <w:rsid w:val="00245D88"/>
    <w:rsid w:val="00245EF3"/>
    <w:rsid w:val="00246066"/>
    <w:rsid w:val="00246093"/>
    <w:rsid w:val="0024609B"/>
    <w:rsid w:val="002463E4"/>
    <w:rsid w:val="002465AA"/>
    <w:rsid w:val="00246867"/>
    <w:rsid w:val="002468D5"/>
    <w:rsid w:val="00246CA1"/>
    <w:rsid w:val="00246D2D"/>
    <w:rsid w:val="00246E44"/>
    <w:rsid w:val="00246E8D"/>
    <w:rsid w:val="00246F21"/>
    <w:rsid w:val="00246F69"/>
    <w:rsid w:val="0024701F"/>
    <w:rsid w:val="0024746F"/>
    <w:rsid w:val="002476E0"/>
    <w:rsid w:val="00247708"/>
    <w:rsid w:val="00247ABF"/>
    <w:rsid w:val="0025009F"/>
    <w:rsid w:val="002501D9"/>
    <w:rsid w:val="002502E6"/>
    <w:rsid w:val="002504FD"/>
    <w:rsid w:val="0025054F"/>
    <w:rsid w:val="002505A3"/>
    <w:rsid w:val="0025062E"/>
    <w:rsid w:val="0025078A"/>
    <w:rsid w:val="00250AAB"/>
    <w:rsid w:val="00250B8E"/>
    <w:rsid w:val="00250E58"/>
    <w:rsid w:val="00250EC7"/>
    <w:rsid w:val="00251052"/>
    <w:rsid w:val="00251144"/>
    <w:rsid w:val="002514F0"/>
    <w:rsid w:val="002516AC"/>
    <w:rsid w:val="00251D0A"/>
    <w:rsid w:val="00252146"/>
    <w:rsid w:val="00252539"/>
    <w:rsid w:val="00252756"/>
    <w:rsid w:val="0025295F"/>
    <w:rsid w:val="00252965"/>
    <w:rsid w:val="00252B85"/>
    <w:rsid w:val="00252BC9"/>
    <w:rsid w:val="00252D73"/>
    <w:rsid w:val="00252F05"/>
    <w:rsid w:val="00253370"/>
    <w:rsid w:val="00253406"/>
    <w:rsid w:val="00253441"/>
    <w:rsid w:val="00253609"/>
    <w:rsid w:val="00253936"/>
    <w:rsid w:val="00253A6B"/>
    <w:rsid w:val="00253A9F"/>
    <w:rsid w:val="00253AC8"/>
    <w:rsid w:val="00253B0D"/>
    <w:rsid w:val="00253B24"/>
    <w:rsid w:val="00253BB3"/>
    <w:rsid w:val="00253E88"/>
    <w:rsid w:val="00253F06"/>
    <w:rsid w:val="00253FAC"/>
    <w:rsid w:val="00254001"/>
    <w:rsid w:val="002541BE"/>
    <w:rsid w:val="0025434E"/>
    <w:rsid w:val="0025454F"/>
    <w:rsid w:val="00254640"/>
    <w:rsid w:val="002546D8"/>
    <w:rsid w:val="002546E7"/>
    <w:rsid w:val="002548DD"/>
    <w:rsid w:val="00254CC5"/>
    <w:rsid w:val="00254FE8"/>
    <w:rsid w:val="00255334"/>
    <w:rsid w:val="002553CC"/>
    <w:rsid w:val="002554E3"/>
    <w:rsid w:val="002555F4"/>
    <w:rsid w:val="002556DA"/>
    <w:rsid w:val="00255715"/>
    <w:rsid w:val="00255C7B"/>
    <w:rsid w:val="00255E5B"/>
    <w:rsid w:val="00255E90"/>
    <w:rsid w:val="00255FB6"/>
    <w:rsid w:val="00256165"/>
    <w:rsid w:val="002564DA"/>
    <w:rsid w:val="0025658E"/>
    <w:rsid w:val="00256707"/>
    <w:rsid w:val="00256882"/>
    <w:rsid w:val="002568D1"/>
    <w:rsid w:val="00256A1C"/>
    <w:rsid w:val="00256A74"/>
    <w:rsid w:val="00256B3C"/>
    <w:rsid w:val="00256C6B"/>
    <w:rsid w:val="00256E4F"/>
    <w:rsid w:val="00257391"/>
    <w:rsid w:val="002573A3"/>
    <w:rsid w:val="00257555"/>
    <w:rsid w:val="0025761F"/>
    <w:rsid w:val="00257635"/>
    <w:rsid w:val="00257F66"/>
    <w:rsid w:val="00257F76"/>
    <w:rsid w:val="00257FA8"/>
    <w:rsid w:val="0026004A"/>
    <w:rsid w:val="00260064"/>
    <w:rsid w:val="00260078"/>
    <w:rsid w:val="0026050F"/>
    <w:rsid w:val="002606C5"/>
    <w:rsid w:val="00260BD4"/>
    <w:rsid w:val="002613D8"/>
    <w:rsid w:val="00261672"/>
    <w:rsid w:val="00261772"/>
    <w:rsid w:val="0026180C"/>
    <w:rsid w:val="00261846"/>
    <w:rsid w:val="00261BC4"/>
    <w:rsid w:val="002624C8"/>
    <w:rsid w:val="00262552"/>
    <w:rsid w:val="002628F7"/>
    <w:rsid w:val="00262A16"/>
    <w:rsid w:val="00262C3E"/>
    <w:rsid w:val="00262C6C"/>
    <w:rsid w:val="00262EDC"/>
    <w:rsid w:val="00262F37"/>
    <w:rsid w:val="0026322A"/>
    <w:rsid w:val="00263454"/>
    <w:rsid w:val="00263496"/>
    <w:rsid w:val="002637E2"/>
    <w:rsid w:val="00263B49"/>
    <w:rsid w:val="00263D79"/>
    <w:rsid w:val="00263F79"/>
    <w:rsid w:val="00264135"/>
    <w:rsid w:val="0026427F"/>
    <w:rsid w:val="002643A7"/>
    <w:rsid w:val="00264492"/>
    <w:rsid w:val="002644F0"/>
    <w:rsid w:val="00264540"/>
    <w:rsid w:val="002645AC"/>
    <w:rsid w:val="0026470F"/>
    <w:rsid w:val="00264976"/>
    <w:rsid w:val="00264A7E"/>
    <w:rsid w:val="00264AFF"/>
    <w:rsid w:val="00264CB5"/>
    <w:rsid w:val="00264EE8"/>
    <w:rsid w:val="00265181"/>
    <w:rsid w:val="00265368"/>
    <w:rsid w:val="0026584C"/>
    <w:rsid w:val="00265A50"/>
    <w:rsid w:val="00265BB4"/>
    <w:rsid w:val="00265D43"/>
    <w:rsid w:val="002661F3"/>
    <w:rsid w:val="002661F4"/>
    <w:rsid w:val="002665F6"/>
    <w:rsid w:val="00266B94"/>
    <w:rsid w:val="00266C26"/>
    <w:rsid w:val="00266D44"/>
    <w:rsid w:val="00266F33"/>
    <w:rsid w:val="00266F64"/>
    <w:rsid w:val="0026701C"/>
    <w:rsid w:val="002672C4"/>
    <w:rsid w:val="002673CD"/>
    <w:rsid w:val="00267569"/>
    <w:rsid w:val="00267766"/>
    <w:rsid w:val="002678AC"/>
    <w:rsid w:val="002678E3"/>
    <w:rsid w:val="00267CE5"/>
    <w:rsid w:val="00267F5D"/>
    <w:rsid w:val="0027005C"/>
    <w:rsid w:val="002701A5"/>
    <w:rsid w:val="00270241"/>
    <w:rsid w:val="002702D5"/>
    <w:rsid w:val="00270419"/>
    <w:rsid w:val="00270437"/>
    <w:rsid w:val="00270449"/>
    <w:rsid w:val="00270492"/>
    <w:rsid w:val="00270557"/>
    <w:rsid w:val="002705E6"/>
    <w:rsid w:val="0027072D"/>
    <w:rsid w:val="002708B8"/>
    <w:rsid w:val="0027094C"/>
    <w:rsid w:val="002709DB"/>
    <w:rsid w:val="00270A97"/>
    <w:rsid w:val="00270B13"/>
    <w:rsid w:val="00270B7D"/>
    <w:rsid w:val="002711C6"/>
    <w:rsid w:val="00271210"/>
    <w:rsid w:val="0027129B"/>
    <w:rsid w:val="00271624"/>
    <w:rsid w:val="0027167E"/>
    <w:rsid w:val="00271B03"/>
    <w:rsid w:val="00271B04"/>
    <w:rsid w:val="00271F13"/>
    <w:rsid w:val="00272002"/>
    <w:rsid w:val="00272088"/>
    <w:rsid w:val="00272611"/>
    <w:rsid w:val="0027263F"/>
    <w:rsid w:val="002726FE"/>
    <w:rsid w:val="00272AB4"/>
    <w:rsid w:val="00272CBF"/>
    <w:rsid w:val="00272FF5"/>
    <w:rsid w:val="00273047"/>
    <w:rsid w:val="002732F6"/>
    <w:rsid w:val="002734B2"/>
    <w:rsid w:val="002735C1"/>
    <w:rsid w:val="00273660"/>
    <w:rsid w:val="002738ED"/>
    <w:rsid w:val="00273993"/>
    <w:rsid w:val="00273A20"/>
    <w:rsid w:val="002744FB"/>
    <w:rsid w:val="002745F6"/>
    <w:rsid w:val="00274735"/>
    <w:rsid w:val="002749DD"/>
    <w:rsid w:val="00274A25"/>
    <w:rsid w:val="00274A8B"/>
    <w:rsid w:val="00274B89"/>
    <w:rsid w:val="00274BAC"/>
    <w:rsid w:val="00274CD5"/>
    <w:rsid w:val="00274CDD"/>
    <w:rsid w:val="00274CDE"/>
    <w:rsid w:val="00274D43"/>
    <w:rsid w:val="00274D61"/>
    <w:rsid w:val="00274FBF"/>
    <w:rsid w:val="00274FC7"/>
    <w:rsid w:val="0027508D"/>
    <w:rsid w:val="0027519D"/>
    <w:rsid w:val="00275230"/>
    <w:rsid w:val="00275331"/>
    <w:rsid w:val="0027548A"/>
    <w:rsid w:val="0027549D"/>
    <w:rsid w:val="00275628"/>
    <w:rsid w:val="00275649"/>
    <w:rsid w:val="0027564A"/>
    <w:rsid w:val="002757C4"/>
    <w:rsid w:val="002757D1"/>
    <w:rsid w:val="002757DF"/>
    <w:rsid w:val="002758C7"/>
    <w:rsid w:val="00275974"/>
    <w:rsid w:val="00275AF1"/>
    <w:rsid w:val="0027602E"/>
    <w:rsid w:val="002760FC"/>
    <w:rsid w:val="00276293"/>
    <w:rsid w:val="002764AC"/>
    <w:rsid w:val="0027651B"/>
    <w:rsid w:val="00276659"/>
    <w:rsid w:val="00276BF4"/>
    <w:rsid w:val="00276D10"/>
    <w:rsid w:val="00276D2E"/>
    <w:rsid w:val="00276DAF"/>
    <w:rsid w:val="00276FFD"/>
    <w:rsid w:val="002771AD"/>
    <w:rsid w:val="002773C8"/>
    <w:rsid w:val="00277419"/>
    <w:rsid w:val="002775DC"/>
    <w:rsid w:val="00277983"/>
    <w:rsid w:val="00277A05"/>
    <w:rsid w:val="00277FAD"/>
    <w:rsid w:val="0028047F"/>
    <w:rsid w:val="002806C8"/>
    <w:rsid w:val="002806FD"/>
    <w:rsid w:val="00280754"/>
    <w:rsid w:val="002807C4"/>
    <w:rsid w:val="00280843"/>
    <w:rsid w:val="002808EF"/>
    <w:rsid w:val="0028091A"/>
    <w:rsid w:val="00280924"/>
    <w:rsid w:val="00280A98"/>
    <w:rsid w:val="00281167"/>
    <w:rsid w:val="00281233"/>
    <w:rsid w:val="00281256"/>
    <w:rsid w:val="002812EB"/>
    <w:rsid w:val="00281355"/>
    <w:rsid w:val="00281356"/>
    <w:rsid w:val="00281605"/>
    <w:rsid w:val="00281623"/>
    <w:rsid w:val="00281A55"/>
    <w:rsid w:val="00281B09"/>
    <w:rsid w:val="00281BA9"/>
    <w:rsid w:val="00281C64"/>
    <w:rsid w:val="00282049"/>
    <w:rsid w:val="002821DC"/>
    <w:rsid w:val="0028226D"/>
    <w:rsid w:val="0028243C"/>
    <w:rsid w:val="0028249E"/>
    <w:rsid w:val="002824C2"/>
    <w:rsid w:val="00282630"/>
    <w:rsid w:val="0028289C"/>
    <w:rsid w:val="00282C54"/>
    <w:rsid w:val="00282F10"/>
    <w:rsid w:val="0028306D"/>
    <w:rsid w:val="002830FF"/>
    <w:rsid w:val="00283162"/>
    <w:rsid w:val="00283228"/>
    <w:rsid w:val="002832F1"/>
    <w:rsid w:val="00283351"/>
    <w:rsid w:val="0028338A"/>
    <w:rsid w:val="002833FB"/>
    <w:rsid w:val="0028353C"/>
    <w:rsid w:val="002835A3"/>
    <w:rsid w:val="00283601"/>
    <w:rsid w:val="00283663"/>
    <w:rsid w:val="00283834"/>
    <w:rsid w:val="00283865"/>
    <w:rsid w:val="00283877"/>
    <w:rsid w:val="00283964"/>
    <w:rsid w:val="002839D3"/>
    <w:rsid w:val="00283C0B"/>
    <w:rsid w:val="00283CC7"/>
    <w:rsid w:val="002840A8"/>
    <w:rsid w:val="002843A5"/>
    <w:rsid w:val="002846BE"/>
    <w:rsid w:val="00284D68"/>
    <w:rsid w:val="0028527B"/>
    <w:rsid w:val="00285643"/>
    <w:rsid w:val="00285A5A"/>
    <w:rsid w:val="00285C2A"/>
    <w:rsid w:val="00285D01"/>
    <w:rsid w:val="002860F6"/>
    <w:rsid w:val="0028617A"/>
    <w:rsid w:val="002861DD"/>
    <w:rsid w:val="002864EB"/>
    <w:rsid w:val="002866B3"/>
    <w:rsid w:val="00286765"/>
    <w:rsid w:val="002868BA"/>
    <w:rsid w:val="00286910"/>
    <w:rsid w:val="00286952"/>
    <w:rsid w:val="00286AC5"/>
    <w:rsid w:val="00286E5E"/>
    <w:rsid w:val="00286EDA"/>
    <w:rsid w:val="00287146"/>
    <w:rsid w:val="002871AF"/>
    <w:rsid w:val="0028726A"/>
    <w:rsid w:val="002873B6"/>
    <w:rsid w:val="00287830"/>
    <w:rsid w:val="0028784B"/>
    <w:rsid w:val="002878DA"/>
    <w:rsid w:val="00287A01"/>
    <w:rsid w:val="00287A23"/>
    <w:rsid w:val="00287A2E"/>
    <w:rsid w:val="00287B34"/>
    <w:rsid w:val="00287F0A"/>
    <w:rsid w:val="00287F44"/>
    <w:rsid w:val="00287F51"/>
    <w:rsid w:val="002900ED"/>
    <w:rsid w:val="002902D3"/>
    <w:rsid w:val="0029057E"/>
    <w:rsid w:val="002905E1"/>
    <w:rsid w:val="0029068C"/>
    <w:rsid w:val="002906CA"/>
    <w:rsid w:val="0029074F"/>
    <w:rsid w:val="00290A61"/>
    <w:rsid w:val="00290A75"/>
    <w:rsid w:val="00290B36"/>
    <w:rsid w:val="00290E50"/>
    <w:rsid w:val="00290EA1"/>
    <w:rsid w:val="00290F24"/>
    <w:rsid w:val="00290FE4"/>
    <w:rsid w:val="0029180E"/>
    <w:rsid w:val="00291972"/>
    <w:rsid w:val="00291C4B"/>
    <w:rsid w:val="00291C70"/>
    <w:rsid w:val="00291E57"/>
    <w:rsid w:val="00291F02"/>
    <w:rsid w:val="00291F3A"/>
    <w:rsid w:val="002924CD"/>
    <w:rsid w:val="00292541"/>
    <w:rsid w:val="00292577"/>
    <w:rsid w:val="002929DD"/>
    <w:rsid w:val="00292A32"/>
    <w:rsid w:val="00292D38"/>
    <w:rsid w:val="00292E56"/>
    <w:rsid w:val="00292F5A"/>
    <w:rsid w:val="00292F8F"/>
    <w:rsid w:val="0029308A"/>
    <w:rsid w:val="00293540"/>
    <w:rsid w:val="00293642"/>
    <w:rsid w:val="00293838"/>
    <w:rsid w:val="0029384B"/>
    <w:rsid w:val="0029387A"/>
    <w:rsid w:val="00293884"/>
    <w:rsid w:val="00293A60"/>
    <w:rsid w:val="00293B56"/>
    <w:rsid w:val="00293C11"/>
    <w:rsid w:val="00293C77"/>
    <w:rsid w:val="00293D57"/>
    <w:rsid w:val="00293D9D"/>
    <w:rsid w:val="00293DD4"/>
    <w:rsid w:val="00293FE7"/>
    <w:rsid w:val="002941EC"/>
    <w:rsid w:val="00294349"/>
    <w:rsid w:val="0029483F"/>
    <w:rsid w:val="00294968"/>
    <w:rsid w:val="00294D07"/>
    <w:rsid w:val="0029529C"/>
    <w:rsid w:val="002952C7"/>
    <w:rsid w:val="0029530B"/>
    <w:rsid w:val="00295448"/>
    <w:rsid w:val="002956BE"/>
    <w:rsid w:val="00295A11"/>
    <w:rsid w:val="00295AF4"/>
    <w:rsid w:val="00295B64"/>
    <w:rsid w:val="00295FEA"/>
    <w:rsid w:val="00296630"/>
    <w:rsid w:val="00296654"/>
    <w:rsid w:val="0029675B"/>
    <w:rsid w:val="002968C8"/>
    <w:rsid w:val="002969A0"/>
    <w:rsid w:val="00296C34"/>
    <w:rsid w:val="00296CD7"/>
    <w:rsid w:val="00297080"/>
    <w:rsid w:val="0029708D"/>
    <w:rsid w:val="002970E2"/>
    <w:rsid w:val="00297311"/>
    <w:rsid w:val="00297402"/>
    <w:rsid w:val="0029780E"/>
    <w:rsid w:val="00297885"/>
    <w:rsid w:val="002978BF"/>
    <w:rsid w:val="002978FA"/>
    <w:rsid w:val="00297B41"/>
    <w:rsid w:val="00297C58"/>
    <w:rsid w:val="00297D70"/>
    <w:rsid w:val="00297EEE"/>
    <w:rsid w:val="00297F92"/>
    <w:rsid w:val="002A0290"/>
    <w:rsid w:val="002A03AD"/>
    <w:rsid w:val="002A06DE"/>
    <w:rsid w:val="002A06EB"/>
    <w:rsid w:val="002A086D"/>
    <w:rsid w:val="002A08DB"/>
    <w:rsid w:val="002A0975"/>
    <w:rsid w:val="002A0CAA"/>
    <w:rsid w:val="002A0FB6"/>
    <w:rsid w:val="002A10EB"/>
    <w:rsid w:val="002A12B6"/>
    <w:rsid w:val="002A1398"/>
    <w:rsid w:val="002A15F0"/>
    <w:rsid w:val="002A1740"/>
    <w:rsid w:val="002A1774"/>
    <w:rsid w:val="002A1A00"/>
    <w:rsid w:val="002A212D"/>
    <w:rsid w:val="002A2322"/>
    <w:rsid w:val="002A2440"/>
    <w:rsid w:val="002A24F1"/>
    <w:rsid w:val="002A28E3"/>
    <w:rsid w:val="002A28EA"/>
    <w:rsid w:val="002A2977"/>
    <w:rsid w:val="002A2A43"/>
    <w:rsid w:val="002A2BAD"/>
    <w:rsid w:val="002A2D8D"/>
    <w:rsid w:val="002A2DB0"/>
    <w:rsid w:val="002A3042"/>
    <w:rsid w:val="002A304E"/>
    <w:rsid w:val="002A3102"/>
    <w:rsid w:val="002A3527"/>
    <w:rsid w:val="002A3736"/>
    <w:rsid w:val="002A3A21"/>
    <w:rsid w:val="002A3A5B"/>
    <w:rsid w:val="002A3A85"/>
    <w:rsid w:val="002A3B33"/>
    <w:rsid w:val="002A3D27"/>
    <w:rsid w:val="002A3E69"/>
    <w:rsid w:val="002A3EA0"/>
    <w:rsid w:val="002A4012"/>
    <w:rsid w:val="002A40BD"/>
    <w:rsid w:val="002A41A1"/>
    <w:rsid w:val="002A420C"/>
    <w:rsid w:val="002A42FA"/>
    <w:rsid w:val="002A436B"/>
    <w:rsid w:val="002A4415"/>
    <w:rsid w:val="002A4465"/>
    <w:rsid w:val="002A494E"/>
    <w:rsid w:val="002A4D69"/>
    <w:rsid w:val="002A4EFC"/>
    <w:rsid w:val="002A4F59"/>
    <w:rsid w:val="002A500F"/>
    <w:rsid w:val="002A5109"/>
    <w:rsid w:val="002A5228"/>
    <w:rsid w:val="002A529F"/>
    <w:rsid w:val="002A549F"/>
    <w:rsid w:val="002A5715"/>
    <w:rsid w:val="002A57E3"/>
    <w:rsid w:val="002A5A6D"/>
    <w:rsid w:val="002A5B09"/>
    <w:rsid w:val="002A5B42"/>
    <w:rsid w:val="002A5D90"/>
    <w:rsid w:val="002A60D5"/>
    <w:rsid w:val="002A627D"/>
    <w:rsid w:val="002A6838"/>
    <w:rsid w:val="002A6AB5"/>
    <w:rsid w:val="002A6ABB"/>
    <w:rsid w:val="002A6CFA"/>
    <w:rsid w:val="002A6D28"/>
    <w:rsid w:val="002A6EFD"/>
    <w:rsid w:val="002A6F88"/>
    <w:rsid w:val="002A73A6"/>
    <w:rsid w:val="002A73E7"/>
    <w:rsid w:val="002A76C0"/>
    <w:rsid w:val="002A76E6"/>
    <w:rsid w:val="002A76FD"/>
    <w:rsid w:val="002A77C8"/>
    <w:rsid w:val="002A78AB"/>
    <w:rsid w:val="002A79E7"/>
    <w:rsid w:val="002A79F9"/>
    <w:rsid w:val="002A7ABE"/>
    <w:rsid w:val="002A7B84"/>
    <w:rsid w:val="002A7E2F"/>
    <w:rsid w:val="002A7FFB"/>
    <w:rsid w:val="002B027B"/>
    <w:rsid w:val="002B0294"/>
    <w:rsid w:val="002B0591"/>
    <w:rsid w:val="002B0A9E"/>
    <w:rsid w:val="002B0D18"/>
    <w:rsid w:val="002B0D53"/>
    <w:rsid w:val="002B0E3F"/>
    <w:rsid w:val="002B1008"/>
    <w:rsid w:val="002B1070"/>
    <w:rsid w:val="002B1627"/>
    <w:rsid w:val="002B166B"/>
    <w:rsid w:val="002B1773"/>
    <w:rsid w:val="002B195E"/>
    <w:rsid w:val="002B1974"/>
    <w:rsid w:val="002B1B67"/>
    <w:rsid w:val="002B1BEA"/>
    <w:rsid w:val="002B1F19"/>
    <w:rsid w:val="002B1FF3"/>
    <w:rsid w:val="002B20A5"/>
    <w:rsid w:val="002B2393"/>
    <w:rsid w:val="002B23D7"/>
    <w:rsid w:val="002B275D"/>
    <w:rsid w:val="002B27CD"/>
    <w:rsid w:val="002B28B6"/>
    <w:rsid w:val="002B28D7"/>
    <w:rsid w:val="002B2A94"/>
    <w:rsid w:val="002B2AB3"/>
    <w:rsid w:val="002B2E99"/>
    <w:rsid w:val="002B30C6"/>
    <w:rsid w:val="002B30F5"/>
    <w:rsid w:val="002B33D2"/>
    <w:rsid w:val="002B355A"/>
    <w:rsid w:val="002B3AE7"/>
    <w:rsid w:val="002B3C66"/>
    <w:rsid w:val="002B3D55"/>
    <w:rsid w:val="002B3E12"/>
    <w:rsid w:val="002B40EF"/>
    <w:rsid w:val="002B4727"/>
    <w:rsid w:val="002B49BC"/>
    <w:rsid w:val="002B4A5D"/>
    <w:rsid w:val="002B4B75"/>
    <w:rsid w:val="002B4BA1"/>
    <w:rsid w:val="002B4E02"/>
    <w:rsid w:val="002B4E7C"/>
    <w:rsid w:val="002B4F41"/>
    <w:rsid w:val="002B50F6"/>
    <w:rsid w:val="002B5305"/>
    <w:rsid w:val="002B546A"/>
    <w:rsid w:val="002B552D"/>
    <w:rsid w:val="002B56FC"/>
    <w:rsid w:val="002B5776"/>
    <w:rsid w:val="002B58B9"/>
    <w:rsid w:val="002B5984"/>
    <w:rsid w:val="002B5AB8"/>
    <w:rsid w:val="002B5BD6"/>
    <w:rsid w:val="002B5C23"/>
    <w:rsid w:val="002B5C76"/>
    <w:rsid w:val="002B5DC5"/>
    <w:rsid w:val="002B5DE2"/>
    <w:rsid w:val="002B5EB0"/>
    <w:rsid w:val="002B5EEB"/>
    <w:rsid w:val="002B621D"/>
    <w:rsid w:val="002B62D6"/>
    <w:rsid w:val="002B6373"/>
    <w:rsid w:val="002B6588"/>
    <w:rsid w:val="002B67BD"/>
    <w:rsid w:val="002B69F5"/>
    <w:rsid w:val="002B6FA3"/>
    <w:rsid w:val="002B70CF"/>
    <w:rsid w:val="002B7182"/>
    <w:rsid w:val="002B7236"/>
    <w:rsid w:val="002B73D4"/>
    <w:rsid w:val="002B7418"/>
    <w:rsid w:val="002B74AB"/>
    <w:rsid w:val="002B75CC"/>
    <w:rsid w:val="002B76DF"/>
    <w:rsid w:val="002B7787"/>
    <w:rsid w:val="002B77FC"/>
    <w:rsid w:val="002B7A7C"/>
    <w:rsid w:val="002B7EBE"/>
    <w:rsid w:val="002B7EC5"/>
    <w:rsid w:val="002C0047"/>
    <w:rsid w:val="002C019E"/>
    <w:rsid w:val="002C01F4"/>
    <w:rsid w:val="002C0253"/>
    <w:rsid w:val="002C02C0"/>
    <w:rsid w:val="002C0431"/>
    <w:rsid w:val="002C0522"/>
    <w:rsid w:val="002C0C11"/>
    <w:rsid w:val="002C0DF5"/>
    <w:rsid w:val="002C0FC5"/>
    <w:rsid w:val="002C11A0"/>
    <w:rsid w:val="002C123E"/>
    <w:rsid w:val="002C12CF"/>
    <w:rsid w:val="002C14E4"/>
    <w:rsid w:val="002C1593"/>
    <w:rsid w:val="002C18D3"/>
    <w:rsid w:val="002C1AC2"/>
    <w:rsid w:val="002C1E4E"/>
    <w:rsid w:val="002C1F7F"/>
    <w:rsid w:val="002C2021"/>
    <w:rsid w:val="002C206D"/>
    <w:rsid w:val="002C21FE"/>
    <w:rsid w:val="002C22B8"/>
    <w:rsid w:val="002C2491"/>
    <w:rsid w:val="002C24A4"/>
    <w:rsid w:val="002C2576"/>
    <w:rsid w:val="002C258C"/>
    <w:rsid w:val="002C2745"/>
    <w:rsid w:val="002C275D"/>
    <w:rsid w:val="002C2A2F"/>
    <w:rsid w:val="002C2A53"/>
    <w:rsid w:val="002C2BA9"/>
    <w:rsid w:val="002C2C22"/>
    <w:rsid w:val="002C2CDC"/>
    <w:rsid w:val="002C2DA1"/>
    <w:rsid w:val="002C2E7C"/>
    <w:rsid w:val="002C3175"/>
    <w:rsid w:val="002C31BD"/>
    <w:rsid w:val="002C334D"/>
    <w:rsid w:val="002C34C3"/>
    <w:rsid w:val="002C350E"/>
    <w:rsid w:val="002C35DF"/>
    <w:rsid w:val="002C3657"/>
    <w:rsid w:val="002C390F"/>
    <w:rsid w:val="002C39AC"/>
    <w:rsid w:val="002C3A82"/>
    <w:rsid w:val="002C3DC9"/>
    <w:rsid w:val="002C3DFC"/>
    <w:rsid w:val="002C3E82"/>
    <w:rsid w:val="002C3F2F"/>
    <w:rsid w:val="002C40EC"/>
    <w:rsid w:val="002C41B5"/>
    <w:rsid w:val="002C41D6"/>
    <w:rsid w:val="002C47EC"/>
    <w:rsid w:val="002C4ACF"/>
    <w:rsid w:val="002C4E31"/>
    <w:rsid w:val="002C4E90"/>
    <w:rsid w:val="002C4F65"/>
    <w:rsid w:val="002C54E3"/>
    <w:rsid w:val="002C5616"/>
    <w:rsid w:val="002C56DF"/>
    <w:rsid w:val="002C5738"/>
    <w:rsid w:val="002C59A5"/>
    <w:rsid w:val="002C59CE"/>
    <w:rsid w:val="002C5B64"/>
    <w:rsid w:val="002C5DD2"/>
    <w:rsid w:val="002C5EDB"/>
    <w:rsid w:val="002C5FB0"/>
    <w:rsid w:val="002C6350"/>
    <w:rsid w:val="002C65A9"/>
    <w:rsid w:val="002C6679"/>
    <w:rsid w:val="002C66A5"/>
    <w:rsid w:val="002C6791"/>
    <w:rsid w:val="002C699F"/>
    <w:rsid w:val="002C6D69"/>
    <w:rsid w:val="002C708D"/>
    <w:rsid w:val="002C7153"/>
    <w:rsid w:val="002C729F"/>
    <w:rsid w:val="002C72B3"/>
    <w:rsid w:val="002C7656"/>
    <w:rsid w:val="002C7723"/>
    <w:rsid w:val="002C77A7"/>
    <w:rsid w:val="002C7EB5"/>
    <w:rsid w:val="002D0006"/>
    <w:rsid w:val="002D006D"/>
    <w:rsid w:val="002D015F"/>
    <w:rsid w:val="002D02BA"/>
    <w:rsid w:val="002D04FB"/>
    <w:rsid w:val="002D05B3"/>
    <w:rsid w:val="002D07AF"/>
    <w:rsid w:val="002D10C4"/>
    <w:rsid w:val="002D11CD"/>
    <w:rsid w:val="002D1271"/>
    <w:rsid w:val="002D1719"/>
    <w:rsid w:val="002D17E6"/>
    <w:rsid w:val="002D1987"/>
    <w:rsid w:val="002D1A2F"/>
    <w:rsid w:val="002D1A5F"/>
    <w:rsid w:val="002D1AEB"/>
    <w:rsid w:val="002D1D7E"/>
    <w:rsid w:val="002D1E38"/>
    <w:rsid w:val="002D205C"/>
    <w:rsid w:val="002D21A0"/>
    <w:rsid w:val="002D2255"/>
    <w:rsid w:val="002D2277"/>
    <w:rsid w:val="002D248F"/>
    <w:rsid w:val="002D24F2"/>
    <w:rsid w:val="002D2663"/>
    <w:rsid w:val="002D297E"/>
    <w:rsid w:val="002D2E10"/>
    <w:rsid w:val="002D2EAC"/>
    <w:rsid w:val="002D2F25"/>
    <w:rsid w:val="002D2FE9"/>
    <w:rsid w:val="002D3290"/>
    <w:rsid w:val="002D3382"/>
    <w:rsid w:val="002D3485"/>
    <w:rsid w:val="002D37B9"/>
    <w:rsid w:val="002D37E0"/>
    <w:rsid w:val="002D3ABC"/>
    <w:rsid w:val="002D3BD3"/>
    <w:rsid w:val="002D3C96"/>
    <w:rsid w:val="002D3D20"/>
    <w:rsid w:val="002D3F4C"/>
    <w:rsid w:val="002D44CF"/>
    <w:rsid w:val="002D44DD"/>
    <w:rsid w:val="002D44E4"/>
    <w:rsid w:val="002D455B"/>
    <w:rsid w:val="002D46DF"/>
    <w:rsid w:val="002D4B22"/>
    <w:rsid w:val="002D4C40"/>
    <w:rsid w:val="002D4C5E"/>
    <w:rsid w:val="002D4D3D"/>
    <w:rsid w:val="002D4D59"/>
    <w:rsid w:val="002D4EBB"/>
    <w:rsid w:val="002D4F79"/>
    <w:rsid w:val="002D53DA"/>
    <w:rsid w:val="002D543B"/>
    <w:rsid w:val="002D5515"/>
    <w:rsid w:val="002D5608"/>
    <w:rsid w:val="002D5815"/>
    <w:rsid w:val="002D5ACD"/>
    <w:rsid w:val="002D5C24"/>
    <w:rsid w:val="002D5DB8"/>
    <w:rsid w:val="002D5DBD"/>
    <w:rsid w:val="002D604B"/>
    <w:rsid w:val="002D64A0"/>
    <w:rsid w:val="002D6507"/>
    <w:rsid w:val="002D66CB"/>
    <w:rsid w:val="002D6FD7"/>
    <w:rsid w:val="002D703A"/>
    <w:rsid w:val="002D749D"/>
    <w:rsid w:val="002D7508"/>
    <w:rsid w:val="002D7547"/>
    <w:rsid w:val="002D7887"/>
    <w:rsid w:val="002D7891"/>
    <w:rsid w:val="002D78A8"/>
    <w:rsid w:val="002D79F6"/>
    <w:rsid w:val="002D7C29"/>
    <w:rsid w:val="002E004E"/>
    <w:rsid w:val="002E007E"/>
    <w:rsid w:val="002E00DA"/>
    <w:rsid w:val="002E0114"/>
    <w:rsid w:val="002E031E"/>
    <w:rsid w:val="002E064F"/>
    <w:rsid w:val="002E07A5"/>
    <w:rsid w:val="002E089C"/>
    <w:rsid w:val="002E099D"/>
    <w:rsid w:val="002E0AD4"/>
    <w:rsid w:val="002E10B2"/>
    <w:rsid w:val="002E11F2"/>
    <w:rsid w:val="002E1307"/>
    <w:rsid w:val="002E147B"/>
    <w:rsid w:val="002E14B6"/>
    <w:rsid w:val="002E179B"/>
    <w:rsid w:val="002E18F7"/>
    <w:rsid w:val="002E1966"/>
    <w:rsid w:val="002E1A7A"/>
    <w:rsid w:val="002E1AB4"/>
    <w:rsid w:val="002E1CCC"/>
    <w:rsid w:val="002E1EA0"/>
    <w:rsid w:val="002E21F8"/>
    <w:rsid w:val="002E226E"/>
    <w:rsid w:val="002E2326"/>
    <w:rsid w:val="002E23D5"/>
    <w:rsid w:val="002E25A7"/>
    <w:rsid w:val="002E273B"/>
    <w:rsid w:val="002E2955"/>
    <w:rsid w:val="002E2974"/>
    <w:rsid w:val="002E2D1E"/>
    <w:rsid w:val="002E2D5A"/>
    <w:rsid w:val="002E2D9C"/>
    <w:rsid w:val="002E2DCA"/>
    <w:rsid w:val="002E2EB0"/>
    <w:rsid w:val="002E2FDC"/>
    <w:rsid w:val="002E3006"/>
    <w:rsid w:val="002E31BC"/>
    <w:rsid w:val="002E32A3"/>
    <w:rsid w:val="002E37D8"/>
    <w:rsid w:val="002E3962"/>
    <w:rsid w:val="002E3AEF"/>
    <w:rsid w:val="002E3D61"/>
    <w:rsid w:val="002E3DD9"/>
    <w:rsid w:val="002E3DE0"/>
    <w:rsid w:val="002E3EC3"/>
    <w:rsid w:val="002E408C"/>
    <w:rsid w:val="002E409E"/>
    <w:rsid w:val="002E43B7"/>
    <w:rsid w:val="002E43CB"/>
    <w:rsid w:val="002E462C"/>
    <w:rsid w:val="002E4E74"/>
    <w:rsid w:val="002E4EBA"/>
    <w:rsid w:val="002E4FA5"/>
    <w:rsid w:val="002E50BB"/>
    <w:rsid w:val="002E50C7"/>
    <w:rsid w:val="002E5216"/>
    <w:rsid w:val="002E5394"/>
    <w:rsid w:val="002E5430"/>
    <w:rsid w:val="002E58ED"/>
    <w:rsid w:val="002E59C1"/>
    <w:rsid w:val="002E5B9E"/>
    <w:rsid w:val="002E5BD4"/>
    <w:rsid w:val="002E5C70"/>
    <w:rsid w:val="002E5D68"/>
    <w:rsid w:val="002E5E58"/>
    <w:rsid w:val="002E606C"/>
    <w:rsid w:val="002E64FA"/>
    <w:rsid w:val="002E65C2"/>
    <w:rsid w:val="002E678E"/>
    <w:rsid w:val="002E68FF"/>
    <w:rsid w:val="002E699A"/>
    <w:rsid w:val="002E6B78"/>
    <w:rsid w:val="002E6DA9"/>
    <w:rsid w:val="002E6ED7"/>
    <w:rsid w:val="002E724E"/>
    <w:rsid w:val="002E725E"/>
    <w:rsid w:val="002E736D"/>
    <w:rsid w:val="002E748A"/>
    <w:rsid w:val="002E76AF"/>
    <w:rsid w:val="002E77DC"/>
    <w:rsid w:val="002E786E"/>
    <w:rsid w:val="002E78EF"/>
    <w:rsid w:val="002E7A7C"/>
    <w:rsid w:val="002E7A84"/>
    <w:rsid w:val="002E7AC6"/>
    <w:rsid w:val="002E7AE6"/>
    <w:rsid w:val="002E7B71"/>
    <w:rsid w:val="002E7D5E"/>
    <w:rsid w:val="002F00A0"/>
    <w:rsid w:val="002F0132"/>
    <w:rsid w:val="002F0147"/>
    <w:rsid w:val="002F01BD"/>
    <w:rsid w:val="002F020E"/>
    <w:rsid w:val="002F0246"/>
    <w:rsid w:val="002F0264"/>
    <w:rsid w:val="002F026E"/>
    <w:rsid w:val="002F0380"/>
    <w:rsid w:val="002F0385"/>
    <w:rsid w:val="002F03C6"/>
    <w:rsid w:val="002F040D"/>
    <w:rsid w:val="002F044C"/>
    <w:rsid w:val="002F0549"/>
    <w:rsid w:val="002F0830"/>
    <w:rsid w:val="002F0954"/>
    <w:rsid w:val="002F0A2A"/>
    <w:rsid w:val="002F0DAC"/>
    <w:rsid w:val="002F0E2C"/>
    <w:rsid w:val="002F0F22"/>
    <w:rsid w:val="002F0F64"/>
    <w:rsid w:val="002F1124"/>
    <w:rsid w:val="002F176B"/>
    <w:rsid w:val="002F1824"/>
    <w:rsid w:val="002F1B89"/>
    <w:rsid w:val="002F1C3A"/>
    <w:rsid w:val="002F1D11"/>
    <w:rsid w:val="002F1DEC"/>
    <w:rsid w:val="002F1FA8"/>
    <w:rsid w:val="002F1FC2"/>
    <w:rsid w:val="002F21B8"/>
    <w:rsid w:val="002F2231"/>
    <w:rsid w:val="002F22C5"/>
    <w:rsid w:val="002F2416"/>
    <w:rsid w:val="002F25D6"/>
    <w:rsid w:val="002F2681"/>
    <w:rsid w:val="002F2793"/>
    <w:rsid w:val="002F28BF"/>
    <w:rsid w:val="002F2D87"/>
    <w:rsid w:val="002F2FED"/>
    <w:rsid w:val="002F3148"/>
    <w:rsid w:val="002F33AD"/>
    <w:rsid w:val="002F33BC"/>
    <w:rsid w:val="002F34CA"/>
    <w:rsid w:val="002F39B9"/>
    <w:rsid w:val="002F3A3D"/>
    <w:rsid w:val="002F3A7F"/>
    <w:rsid w:val="002F3A80"/>
    <w:rsid w:val="002F3F7A"/>
    <w:rsid w:val="002F3FF4"/>
    <w:rsid w:val="002F405E"/>
    <w:rsid w:val="002F40A9"/>
    <w:rsid w:val="002F40CB"/>
    <w:rsid w:val="002F426A"/>
    <w:rsid w:val="002F433F"/>
    <w:rsid w:val="002F446A"/>
    <w:rsid w:val="002F44A7"/>
    <w:rsid w:val="002F47E5"/>
    <w:rsid w:val="002F4880"/>
    <w:rsid w:val="002F4B3B"/>
    <w:rsid w:val="002F5195"/>
    <w:rsid w:val="002F5202"/>
    <w:rsid w:val="002F5289"/>
    <w:rsid w:val="002F5570"/>
    <w:rsid w:val="002F5576"/>
    <w:rsid w:val="002F55A0"/>
    <w:rsid w:val="002F5664"/>
    <w:rsid w:val="002F56BB"/>
    <w:rsid w:val="002F5B72"/>
    <w:rsid w:val="002F5C26"/>
    <w:rsid w:val="002F5C41"/>
    <w:rsid w:val="002F5DCA"/>
    <w:rsid w:val="002F6211"/>
    <w:rsid w:val="002F64ED"/>
    <w:rsid w:val="002F6609"/>
    <w:rsid w:val="002F6743"/>
    <w:rsid w:val="002F6962"/>
    <w:rsid w:val="002F6F69"/>
    <w:rsid w:val="002F6FFA"/>
    <w:rsid w:val="002F7034"/>
    <w:rsid w:val="002F7152"/>
    <w:rsid w:val="002F738A"/>
    <w:rsid w:val="002F73AA"/>
    <w:rsid w:val="002F742B"/>
    <w:rsid w:val="002F74C0"/>
    <w:rsid w:val="002F76CC"/>
    <w:rsid w:val="002F76FC"/>
    <w:rsid w:val="002F77C8"/>
    <w:rsid w:val="002F78FA"/>
    <w:rsid w:val="002F7AA7"/>
    <w:rsid w:val="002F7B62"/>
    <w:rsid w:val="002F7D56"/>
    <w:rsid w:val="002F7EB8"/>
    <w:rsid w:val="002F7EBA"/>
    <w:rsid w:val="00300270"/>
    <w:rsid w:val="00300640"/>
    <w:rsid w:val="00300833"/>
    <w:rsid w:val="00300899"/>
    <w:rsid w:val="0030099D"/>
    <w:rsid w:val="00300AA1"/>
    <w:rsid w:val="00300B16"/>
    <w:rsid w:val="00300B6C"/>
    <w:rsid w:val="00300DAD"/>
    <w:rsid w:val="00300E1A"/>
    <w:rsid w:val="00300F33"/>
    <w:rsid w:val="00300F90"/>
    <w:rsid w:val="003010F5"/>
    <w:rsid w:val="003012E7"/>
    <w:rsid w:val="003013BF"/>
    <w:rsid w:val="003014C9"/>
    <w:rsid w:val="003014E7"/>
    <w:rsid w:val="00301517"/>
    <w:rsid w:val="00301575"/>
    <w:rsid w:val="003018AE"/>
    <w:rsid w:val="0030198A"/>
    <w:rsid w:val="00301ABD"/>
    <w:rsid w:val="00301EDB"/>
    <w:rsid w:val="00301FB9"/>
    <w:rsid w:val="00302026"/>
    <w:rsid w:val="0030206B"/>
    <w:rsid w:val="00302127"/>
    <w:rsid w:val="00302175"/>
    <w:rsid w:val="00302233"/>
    <w:rsid w:val="00302526"/>
    <w:rsid w:val="00302A6B"/>
    <w:rsid w:val="00302B12"/>
    <w:rsid w:val="00302B90"/>
    <w:rsid w:val="00302E13"/>
    <w:rsid w:val="00303132"/>
    <w:rsid w:val="003032B6"/>
    <w:rsid w:val="003032D8"/>
    <w:rsid w:val="003032EE"/>
    <w:rsid w:val="003032F2"/>
    <w:rsid w:val="00303765"/>
    <w:rsid w:val="003039B4"/>
    <w:rsid w:val="00303F27"/>
    <w:rsid w:val="00304214"/>
    <w:rsid w:val="00304259"/>
    <w:rsid w:val="0030444B"/>
    <w:rsid w:val="00304544"/>
    <w:rsid w:val="003048E1"/>
    <w:rsid w:val="0030496A"/>
    <w:rsid w:val="00304A94"/>
    <w:rsid w:val="003051E8"/>
    <w:rsid w:val="00305777"/>
    <w:rsid w:val="00305833"/>
    <w:rsid w:val="00305946"/>
    <w:rsid w:val="00305B9A"/>
    <w:rsid w:val="0030619E"/>
    <w:rsid w:val="003061A7"/>
    <w:rsid w:val="00306341"/>
    <w:rsid w:val="00306358"/>
    <w:rsid w:val="00306364"/>
    <w:rsid w:val="00306372"/>
    <w:rsid w:val="00306460"/>
    <w:rsid w:val="003065D2"/>
    <w:rsid w:val="00306730"/>
    <w:rsid w:val="00306766"/>
    <w:rsid w:val="003067F5"/>
    <w:rsid w:val="00306946"/>
    <w:rsid w:val="00306984"/>
    <w:rsid w:val="00306E2B"/>
    <w:rsid w:val="00306EB7"/>
    <w:rsid w:val="003072BF"/>
    <w:rsid w:val="00307326"/>
    <w:rsid w:val="00307462"/>
    <w:rsid w:val="00307B13"/>
    <w:rsid w:val="00307C64"/>
    <w:rsid w:val="003100FB"/>
    <w:rsid w:val="003101D3"/>
    <w:rsid w:val="003102DA"/>
    <w:rsid w:val="003106B9"/>
    <w:rsid w:val="00310A9D"/>
    <w:rsid w:val="00310C3E"/>
    <w:rsid w:val="00310C8D"/>
    <w:rsid w:val="00310E2F"/>
    <w:rsid w:val="00310FC1"/>
    <w:rsid w:val="0031101F"/>
    <w:rsid w:val="00311165"/>
    <w:rsid w:val="00311203"/>
    <w:rsid w:val="003112C9"/>
    <w:rsid w:val="003113AD"/>
    <w:rsid w:val="0031152F"/>
    <w:rsid w:val="00311606"/>
    <w:rsid w:val="00311679"/>
    <w:rsid w:val="00311734"/>
    <w:rsid w:val="00311831"/>
    <w:rsid w:val="0031185E"/>
    <w:rsid w:val="0031189B"/>
    <w:rsid w:val="003118D3"/>
    <w:rsid w:val="0031196F"/>
    <w:rsid w:val="00311D0A"/>
    <w:rsid w:val="00311E03"/>
    <w:rsid w:val="00311E94"/>
    <w:rsid w:val="00311EBC"/>
    <w:rsid w:val="00311FE2"/>
    <w:rsid w:val="0031250F"/>
    <w:rsid w:val="003126C2"/>
    <w:rsid w:val="00312A83"/>
    <w:rsid w:val="00312A8B"/>
    <w:rsid w:val="00312AD0"/>
    <w:rsid w:val="00312B5F"/>
    <w:rsid w:val="00312CD9"/>
    <w:rsid w:val="00312ED1"/>
    <w:rsid w:val="00312FAC"/>
    <w:rsid w:val="00313013"/>
    <w:rsid w:val="0031310C"/>
    <w:rsid w:val="003131C1"/>
    <w:rsid w:val="00313203"/>
    <w:rsid w:val="00313242"/>
    <w:rsid w:val="0031355A"/>
    <w:rsid w:val="00313642"/>
    <w:rsid w:val="0031380C"/>
    <w:rsid w:val="003139C1"/>
    <w:rsid w:val="00313AE7"/>
    <w:rsid w:val="00313C1D"/>
    <w:rsid w:val="00313CD6"/>
    <w:rsid w:val="00313DA8"/>
    <w:rsid w:val="00313EAE"/>
    <w:rsid w:val="00313F00"/>
    <w:rsid w:val="00314092"/>
    <w:rsid w:val="00314095"/>
    <w:rsid w:val="00314326"/>
    <w:rsid w:val="00314394"/>
    <w:rsid w:val="00314568"/>
    <w:rsid w:val="00314969"/>
    <w:rsid w:val="00314ADD"/>
    <w:rsid w:val="00314AE9"/>
    <w:rsid w:val="00314CD3"/>
    <w:rsid w:val="00314D6B"/>
    <w:rsid w:val="00314DE6"/>
    <w:rsid w:val="00314FE9"/>
    <w:rsid w:val="00315202"/>
    <w:rsid w:val="003153B1"/>
    <w:rsid w:val="00315738"/>
    <w:rsid w:val="00315826"/>
    <w:rsid w:val="003159F6"/>
    <w:rsid w:val="00315AA5"/>
    <w:rsid w:val="00315C98"/>
    <w:rsid w:val="00315DC1"/>
    <w:rsid w:val="00315DE7"/>
    <w:rsid w:val="00315E6E"/>
    <w:rsid w:val="00316118"/>
    <w:rsid w:val="0031634D"/>
    <w:rsid w:val="00316933"/>
    <w:rsid w:val="00316972"/>
    <w:rsid w:val="00316C79"/>
    <w:rsid w:val="00316D61"/>
    <w:rsid w:val="003171AC"/>
    <w:rsid w:val="00317369"/>
    <w:rsid w:val="0031791A"/>
    <w:rsid w:val="003179B7"/>
    <w:rsid w:val="00317B09"/>
    <w:rsid w:val="00317CBA"/>
    <w:rsid w:val="00317D5A"/>
    <w:rsid w:val="00317E92"/>
    <w:rsid w:val="00317EC8"/>
    <w:rsid w:val="00320024"/>
    <w:rsid w:val="003202B6"/>
    <w:rsid w:val="0032038D"/>
    <w:rsid w:val="00320571"/>
    <w:rsid w:val="0032096B"/>
    <w:rsid w:val="00320B18"/>
    <w:rsid w:val="00320D50"/>
    <w:rsid w:val="00320DF9"/>
    <w:rsid w:val="00320FDC"/>
    <w:rsid w:val="00321065"/>
    <w:rsid w:val="003214EA"/>
    <w:rsid w:val="00321768"/>
    <w:rsid w:val="003217FF"/>
    <w:rsid w:val="0032180C"/>
    <w:rsid w:val="00321836"/>
    <w:rsid w:val="0032186C"/>
    <w:rsid w:val="003218F4"/>
    <w:rsid w:val="00321C7D"/>
    <w:rsid w:val="00321CC8"/>
    <w:rsid w:val="00321EF0"/>
    <w:rsid w:val="00321FC4"/>
    <w:rsid w:val="0032208B"/>
    <w:rsid w:val="00322197"/>
    <w:rsid w:val="003221A4"/>
    <w:rsid w:val="0032228E"/>
    <w:rsid w:val="003222F1"/>
    <w:rsid w:val="0032240E"/>
    <w:rsid w:val="0032242C"/>
    <w:rsid w:val="00322514"/>
    <w:rsid w:val="00322540"/>
    <w:rsid w:val="0032256D"/>
    <w:rsid w:val="003225CA"/>
    <w:rsid w:val="003226B2"/>
    <w:rsid w:val="00322814"/>
    <w:rsid w:val="00322C79"/>
    <w:rsid w:val="00323020"/>
    <w:rsid w:val="003231A0"/>
    <w:rsid w:val="003231EE"/>
    <w:rsid w:val="00323321"/>
    <w:rsid w:val="003235DB"/>
    <w:rsid w:val="0032366F"/>
    <w:rsid w:val="003236AA"/>
    <w:rsid w:val="00323891"/>
    <w:rsid w:val="0032390E"/>
    <w:rsid w:val="003239DF"/>
    <w:rsid w:val="00324143"/>
    <w:rsid w:val="00324216"/>
    <w:rsid w:val="003242F7"/>
    <w:rsid w:val="00324673"/>
    <w:rsid w:val="003248F4"/>
    <w:rsid w:val="003249F7"/>
    <w:rsid w:val="00324AC0"/>
    <w:rsid w:val="00324AF0"/>
    <w:rsid w:val="00324C1D"/>
    <w:rsid w:val="00324E6E"/>
    <w:rsid w:val="00324EBE"/>
    <w:rsid w:val="003251B9"/>
    <w:rsid w:val="0032529A"/>
    <w:rsid w:val="003252A0"/>
    <w:rsid w:val="003253C6"/>
    <w:rsid w:val="00325540"/>
    <w:rsid w:val="00325925"/>
    <w:rsid w:val="00325B4A"/>
    <w:rsid w:val="00325C8A"/>
    <w:rsid w:val="00325D3A"/>
    <w:rsid w:val="00325E09"/>
    <w:rsid w:val="00325E1D"/>
    <w:rsid w:val="00325F15"/>
    <w:rsid w:val="00326033"/>
    <w:rsid w:val="003260A8"/>
    <w:rsid w:val="003260D0"/>
    <w:rsid w:val="003261F4"/>
    <w:rsid w:val="0032671C"/>
    <w:rsid w:val="003267FE"/>
    <w:rsid w:val="003269F5"/>
    <w:rsid w:val="00326CE1"/>
    <w:rsid w:val="00326F22"/>
    <w:rsid w:val="003272EA"/>
    <w:rsid w:val="003274FE"/>
    <w:rsid w:val="00327610"/>
    <w:rsid w:val="00327638"/>
    <w:rsid w:val="003277B8"/>
    <w:rsid w:val="00327812"/>
    <w:rsid w:val="003278AB"/>
    <w:rsid w:val="00327919"/>
    <w:rsid w:val="0032799F"/>
    <w:rsid w:val="003279AE"/>
    <w:rsid w:val="00327DE3"/>
    <w:rsid w:val="00327E8A"/>
    <w:rsid w:val="00330037"/>
    <w:rsid w:val="00330439"/>
    <w:rsid w:val="003306EA"/>
    <w:rsid w:val="0033088F"/>
    <w:rsid w:val="00330ADD"/>
    <w:rsid w:val="00330C12"/>
    <w:rsid w:val="003310B6"/>
    <w:rsid w:val="0033186B"/>
    <w:rsid w:val="00331B4A"/>
    <w:rsid w:val="00331DF8"/>
    <w:rsid w:val="00331F25"/>
    <w:rsid w:val="00331F2F"/>
    <w:rsid w:val="00331F9C"/>
    <w:rsid w:val="00332279"/>
    <w:rsid w:val="0033243A"/>
    <w:rsid w:val="003326F5"/>
    <w:rsid w:val="003327AF"/>
    <w:rsid w:val="00332887"/>
    <w:rsid w:val="003328CA"/>
    <w:rsid w:val="003329D5"/>
    <w:rsid w:val="00332ADF"/>
    <w:rsid w:val="00332CF7"/>
    <w:rsid w:val="00332DB4"/>
    <w:rsid w:val="00332E11"/>
    <w:rsid w:val="00332F87"/>
    <w:rsid w:val="003331B8"/>
    <w:rsid w:val="00333358"/>
    <w:rsid w:val="0033342E"/>
    <w:rsid w:val="003334DA"/>
    <w:rsid w:val="003336AF"/>
    <w:rsid w:val="003336C5"/>
    <w:rsid w:val="0033380C"/>
    <w:rsid w:val="00333A09"/>
    <w:rsid w:val="00333B9D"/>
    <w:rsid w:val="00333CD9"/>
    <w:rsid w:val="00333D11"/>
    <w:rsid w:val="00333F42"/>
    <w:rsid w:val="0033458F"/>
    <w:rsid w:val="003346DD"/>
    <w:rsid w:val="003346FA"/>
    <w:rsid w:val="003347B2"/>
    <w:rsid w:val="00334821"/>
    <w:rsid w:val="00334B2D"/>
    <w:rsid w:val="00334CD9"/>
    <w:rsid w:val="00334DDB"/>
    <w:rsid w:val="00334DEF"/>
    <w:rsid w:val="00334F2B"/>
    <w:rsid w:val="00334F68"/>
    <w:rsid w:val="00335067"/>
    <w:rsid w:val="00335193"/>
    <w:rsid w:val="003351A6"/>
    <w:rsid w:val="003351AD"/>
    <w:rsid w:val="003351BE"/>
    <w:rsid w:val="003352BE"/>
    <w:rsid w:val="0033535A"/>
    <w:rsid w:val="00335495"/>
    <w:rsid w:val="0033588D"/>
    <w:rsid w:val="0033597C"/>
    <w:rsid w:val="003359A7"/>
    <w:rsid w:val="00335EC1"/>
    <w:rsid w:val="003360AB"/>
    <w:rsid w:val="003360D5"/>
    <w:rsid w:val="003360FD"/>
    <w:rsid w:val="00336397"/>
    <w:rsid w:val="003364CF"/>
    <w:rsid w:val="00336542"/>
    <w:rsid w:val="00336739"/>
    <w:rsid w:val="003367DC"/>
    <w:rsid w:val="003368E3"/>
    <w:rsid w:val="00336946"/>
    <w:rsid w:val="00336AF0"/>
    <w:rsid w:val="00336B46"/>
    <w:rsid w:val="00336B94"/>
    <w:rsid w:val="00336DFD"/>
    <w:rsid w:val="00336E5C"/>
    <w:rsid w:val="003372C3"/>
    <w:rsid w:val="003374BC"/>
    <w:rsid w:val="003375C4"/>
    <w:rsid w:val="003376D6"/>
    <w:rsid w:val="00337733"/>
    <w:rsid w:val="00337810"/>
    <w:rsid w:val="00337B7F"/>
    <w:rsid w:val="00337CAC"/>
    <w:rsid w:val="00337DC6"/>
    <w:rsid w:val="00337E49"/>
    <w:rsid w:val="00337EF3"/>
    <w:rsid w:val="00340280"/>
    <w:rsid w:val="003405B8"/>
    <w:rsid w:val="00340747"/>
    <w:rsid w:val="003409DD"/>
    <w:rsid w:val="00340B64"/>
    <w:rsid w:val="00340BF3"/>
    <w:rsid w:val="00340C53"/>
    <w:rsid w:val="00340CA9"/>
    <w:rsid w:val="00340F03"/>
    <w:rsid w:val="00341163"/>
    <w:rsid w:val="003412A1"/>
    <w:rsid w:val="00341307"/>
    <w:rsid w:val="0034170F"/>
    <w:rsid w:val="00341A26"/>
    <w:rsid w:val="00341B35"/>
    <w:rsid w:val="00341EB1"/>
    <w:rsid w:val="00341FD6"/>
    <w:rsid w:val="00341FED"/>
    <w:rsid w:val="00342163"/>
    <w:rsid w:val="00342209"/>
    <w:rsid w:val="003422CC"/>
    <w:rsid w:val="003422F0"/>
    <w:rsid w:val="00342479"/>
    <w:rsid w:val="00342547"/>
    <w:rsid w:val="00342606"/>
    <w:rsid w:val="003428E5"/>
    <w:rsid w:val="00342996"/>
    <w:rsid w:val="003429D4"/>
    <w:rsid w:val="00342D25"/>
    <w:rsid w:val="00342DCE"/>
    <w:rsid w:val="00342ED2"/>
    <w:rsid w:val="00342FD9"/>
    <w:rsid w:val="00343207"/>
    <w:rsid w:val="00343219"/>
    <w:rsid w:val="00343370"/>
    <w:rsid w:val="00343426"/>
    <w:rsid w:val="003434DD"/>
    <w:rsid w:val="00343597"/>
    <w:rsid w:val="00343795"/>
    <w:rsid w:val="003437F8"/>
    <w:rsid w:val="00343825"/>
    <w:rsid w:val="00343B89"/>
    <w:rsid w:val="00343C21"/>
    <w:rsid w:val="00343DC4"/>
    <w:rsid w:val="00343E45"/>
    <w:rsid w:val="00343EB9"/>
    <w:rsid w:val="00343EF8"/>
    <w:rsid w:val="00343FAE"/>
    <w:rsid w:val="0034436E"/>
    <w:rsid w:val="003443F7"/>
    <w:rsid w:val="0034441C"/>
    <w:rsid w:val="00344587"/>
    <w:rsid w:val="00344A4A"/>
    <w:rsid w:val="00344AB0"/>
    <w:rsid w:val="00344B33"/>
    <w:rsid w:val="00344C38"/>
    <w:rsid w:val="00344D16"/>
    <w:rsid w:val="00344D17"/>
    <w:rsid w:val="00345189"/>
    <w:rsid w:val="003452AF"/>
    <w:rsid w:val="003454BB"/>
    <w:rsid w:val="0034557C"/>
    <w:rsid w:val="003457BE"/>
    <w:rsid w:val="0034581E"/>
    <w:rsid w:val="00345963"/>
    <w:rsid w:val="00345A34"/>
    <w:rsid w:val="00345C6F"/>
    <w:rsid w:val="00345D72"/>
    <w:rsid w:val="00346310"/>
    <w:rsid w:val="003467FD"/>
    <w:rsid w:val="0034688A"/>
    <w:rsid w:val="00346935"/>
    <w:rsid w:val="00346AE0"/>
    <w:rsid w:val="00346BC5"/>
    <w:rsid w:val="00346E40"/>
    <w:rsid w:val="00347069"/>
    <w:rsid w:val="003470A6"/>
    <w:rsid w:val="003471B9"/>
    <w:rsid w:val="00347496"/>
    <w:rsid w:val="00347526"/>
    <w:rsid w:val="0034788D"/>
    <w:rsid w:val="003479E6"/>
    <w:rsid w:val="00347BD7"/>
    <w:rsid w:val="00347BDF"/>
    <w:rsid w:val="00347C39"/>
    <w:rsid w:val="00347CF6"/>
    <w:rsid w:val="00347D02"/>
    <w:rsid w:val="00347F50"/>
    <w:rsid w:val="0035023F"/>
    <w:rsid w:val="00350255"/>
    <w:rsid w:val="003502AD"/>
    <w:rsid w:val="003502AE"/>
    <w:rsid w:val="003507E7"/>
    <w:rsid w:val="003508EB"/>
    <w:rsid w:val="003508ED"/>
    <w:rsid w:val="00350997"/>
    <w:rsid w:val="00350B17"/>
    <w:rsid w:val="00350BBA"/>
    <w:rsid w:val="00350C6A"/>
    <w:rsid w:val="00350D3E"/>
    <w:rsid w:val="00350DC7"/>
    <w:rsid w:val="0035104C"/>
    <w:rsid w:val="00351221"/>
    <w:rsid w:val="003512CD"/>
    <w:rsid w:val="003515DE"/>
    <w:rsid w:val="003516E7"/>
    <w:rsid w:val="003518E0"/>
    <w:rsid w:val="00351F0B"/>
    <w:rsid w:val="00351F77"/>
    <w:rsid w:val="003524BE"/>
    <w:rsid w:val="003524CF"/>
    <w:rsid w:val="003526D5"/>
    <w:rsid w:val="003527B2"/>
    <w:rsid w:val="00352913"/>
    <w:rsid w:val="0035299D"/>
    <w:rsid w:val="00352C0A"/>
    <w:rsid w:val="00352E37"/>
    <w:rsid w:val="00352F41"/>
    <w:rsid w:val="00352FC2"/>
    <w:rsid w:val="003530BF"/>
    <w:rsid w:val="003533C4"/>
    <w:rsid w:val="003534BE"/>
    <w:rsid w:val="003535E7"/>
    <w:rsid w:val="00353667"/>
    <w:rsid w:val="003538CB"/>
    <w:rsid w:val="00353A0E"/>
    <w:rsid w:val="00353C55"/>
    <w:rsid w:val="00353E5F"/>
    <w:rsid w:val="00354382"/>
    <w:rsid w:val="00354400"/>
    <w:rsid w:val="0035455F"/>
    <w:rsid w:val="003548BC"/>
    <w:rsid w:val="0035490A"/>
    <w:rsid w:val="00354959"/>
    <w:rsid w:val="00354A01"/>
    <w:rsid w:val="00354A37"/>
    <w:rsid w:val="00354A46"/>
    <w:rsid w:val="00354A97"/>
    <w:rsid w:val="0035504E"/>
    <w:rsid w:val="00355614"/>
    <w:rsid w:val="0035585E"/>
    <w:rsid w:val="00355977"/>
    <w:rsid w:val="003559DC"/>
    <w:rsid w:val="00355A1E"/>
    <w:rsid w:val="00355A57"/>
    <w:rsid w:val="00355AE1"/>
    <w:rsid w:val="00355C20"/>
    <w:rsid w:val="00355CAE"/>
    <w:rsid w:val="00355CE3"/>
    <w:rsid w:val="00355DE4"/>
    <w:rsid w:val="00355EB2"/>
    <w:rsid w:val="00355FA9"/>
    <w:rsid w:val="00356021"/>
    <w:rsid w:val="00356022"/>
    <w:rsid w:val="003562AD"/>
    <w:rsid w:val="003562D7"/>
    <w:rsid w:val="003563AB"/>
    <w:rsid w:val="00356465"/>
    <w:rsid w:val="003566B5"/>
    <w:rsid w:val="0035676D"/>
    <w:rsid w:val="003567CB"/>
    <w:rsid w:val="0035683B"/>
    <w:rsid w:val="00356913"/>
    <w:rsid w:val="00356BED"/>
    <w:rsid w:val="00356CE5"/>
    <w:rsid w:val="00356E5F"/>
    <w:rsid w:val="00356F4D"/>
    <w:rsid w:val="0035724B"/>
    <w:rsid w:val="00357510"/>
    <w:rsid w:val="003575E1"/>
    <w:rsid w:val="00357AFA"/>
    <w:rsid w:val="00357E1A"/>
    <w:rsid w:val="0036024F"/>
    <w:rsid w:val="003602C4"/>
    <w:rsid w:val="00360636"/>
    <w:rsid w:val="003608EA"/>
    <w:rsid w:val="00360C43"/>
    <w:rsid w:val="00360CB2"/>
    <w:rsid w:val="00360DB0"/>
    <w:rsid w:val="00360DBA"/>
    <w:rsid w:val="00360E83"/>
    <w:rsid w:val="00360F66"/>
    <w:rsid w:val="00360F87"/>
    <w:rsid w:val="003610A8"/>
    <w:rsid w:val="003611F7"/>
    <w:rsid w:val="003613F9"/>
    <w:rsid w:val="003615A9"/>
    <w:rsid w:val="00361857"/>
    <w:rsid w:val="00361DB0"/>
    <w:rsid w:val="00361DD0"/>
    <w:rsid w:val="00361EC9"/>
    <w:rsid w:val="00362036"/>
    <w:rsid w:val="003621DE"/>
    <w:rsid w:val="003621EA"/>
    <w:rsid w:val="003622E1"/>
    <w:rsid w:val="00362309"/>
    <w:rsid w:val="0036232D"/>
    <w:rsid w:val="0036247D"/>
    <w:rsid w:val="003625DE"/>
    <w:rsid w:val="00362691"/>
    <w:rsid w:val="003626B2"/>
    <w:rsid w:val="0036272E"/>
    <w:rsid w:val="0036281D"/>
    <w:rsid w:val="00362BFF"/>
    <w:rsid w:val="00362C8E"/>
    <w:rsid w:val="00362D8A"/>
    <w:rsid w:val="00362EA3"/>
    <w:rsid w:val="003632BB"/>
    <w:rsid w:val="003632FF"/>
    <w:rsid w:val="0036337A"/>
    <w:rsid w:val="003633E1"/>
    <w:rsid w:val="003635BD"/>
    <w:rsid w:val="00363643"/>
    <w:rsid w:val="0036372F"/>
    <w:rsid w:val="0036382D"/>
    <w:rsid w:val="00363916"/>
    <w:rsid w:val="003639A9"/>
    <w:rsid w:val="00363B4C"/>
    <w:rsid w:val="00363DAE"/>
    <w:rsid w:val="00363F9A"/>
    <w:rsid w:val="003642CA"/>
    <w:rsid w:val="003644DC"/>
    <w:rsid w:val="00364501"/>
    <w:rsid w:val="0036459A"/>
    <w:rsid w:val="003645C5"/>
    <w:rsid w:val="0036480D"/>
    <w:rsid w:val="0036484C"/>
    <w:rsid w:val="0036498C"/>
    <w:rsid w:val="00364EC5"/>
    <w:rsid w:val="00364F29"/>
    <w:rsid w:val="00365631"/>
    <w:rsid w:val="003656D7"/>
    <w:rsid w:val="00365A48"/>
    <w:rsid w:val="00365CDD"/>
    <w:rsid w:val="00365D5B"/>
    <w:rsid w:val="00365EEC"/>
    <w:rsid w:val="003660AC"/>
    <w:rsid w:val="00366151"/>
    <w:rsid w:val="0036631D"/>
    <w:rsid w:val="00366508"/>
    <w:rsid w:val="003665F0"/>
    <w:rsid w:val="003665F5"/>
    <w:rsid w:val="0036668B"/>
    <w:rsid w:val="00366707"/>
    <w:rsid w:val="00366918"/>
    <w:rsid w:val="003669BB"/>
    <w:rsid w:val="00366BF3"/>
    <w:rsid w:val="00366C60"/>
    <w:rsid w:val="00366C6C"/>
    <w:rsid w:val="00366D89"/>
    <w:rsid w:val="00366E36"/>
    <w:rsid w:val="00366E67"/>
    <w:rsid w:val="00366F10"/>
    <w:rsid w:val="00366F26"/>
    <w:rsid w:val="003670FD"/>
    <w:rsid w:val="0036726A"/>
    <w:rsid w:val="003673B3"/>
    <w:rsid w:val="003675A8"/>
    <w:rsid w:val="00367912"/>
    <w:rsid w:val="00367BA3"/>
    <w:rsid w:val="00367CD4"/>
    <w:rsid w:val="00367DDA"/>
    <w:rsid w:val="00367F14"/>
    <w:rsid w:val="00370024"/>
    <w:rsid w:val="003700D7"/>
    <w:rsid w:val="00370272"/>
    <w:rsid w:val="00370554"/>
    <w:rsid w:val="003705E9"/>
    <w:rsid w:val="0037070C"/>
    <w:rsid w:val="00370785"/>
    <w:rsid w:val="003707CF"/>
    <w:rsid w:val="00370887"/>
    <w:rsid w:val="0037091D"/>
    <w:rsid w:val="00370937"/>
    <w:rsid w:val="003709B1"/>
    <w:rsid w:val="00370A26"/>
    <w:rsid w:val="00370B53"/>
    <w:rsid w:val="00370D91"/>
    <w:rsid w:val="00371145"/>
    <w:rsid w:val="0037117C"/>
    <w:rsid w:val="00371687"/>
    <w:rsid w:val="003717D4"/>
    <w:rsid w:val="00371D0E"/>
    <w:rsid w:val="00371D32"/>
    <w:rsid w:val="00371D88"/>
    <w:rsid w:val="00371EF7"/>
    <w:rsid w:val="00371F99"/>
    <w:rsid w:val="00372067"/>
    <w:rsid w:val="0037218C"/>
    <w:rsid w:val="003721E8"/>
    <w:rsid w:val="0037239C"/>
    <w:rsid w:val="0037257A"/>
    <w:rsid w:val="003725C8"/>
    <w:rsid w:val="00372887"/>
    <w:rsid w:val="00372967"/>
    <w:rsid w:val="00372A32"/>
    <w:rsid w:val="00372A3D"/>
    <w:rsid w:val="00372F8A"/>
    <w:rsid w:val="00373223"/>
    <w:rsid w:val="00373396"/>
    <w:rsid w:val="00373442"/>
    <w:rsid w:val="00373531"/>
    <w:rsid w:val="00373736"/>
    <w:rsid w:val="003737ED"/>
    <w:rsid w:val="0037385D"/>
    <w:rsid w:val="003738A7"/>
    <w:rsid w:val="00373AEB"/>
    <w:rsid w:val="00374094"/>
    <w:rsid w:val="003740EF"/>
    <w:rsid w:val="00374293"/>
    <w:rsid w:val="003747E9"/>
    <w:rsid w:val="003749A6"/>
    <w:rsid w:val="00374BE5"/>
    <w:rsid w:val="00374BFE"/>
    <w:rsid w:val="00374E8A"/>
    <w:rsid w:val="003752BA"/>
    <w:rsid w:val="00375430"/>
    <w:rsid w:val="003755A5"/>
    <w:rsid w:val="003755C2"/>
    <w:rsid w:val="00375675"/>
    <w:rsid w:val="00375715"/>
    <w:rsid w:val="00375748"/>
    <w:rsid w:val="00375B0A"/>
    <w:rsid w:val="00375D5E"/>
    <w:rsid w:val="00375E8D"/>
    <w:rsid w:val="00375EA5"/>
    <w:rsid w:val="00375EBD"/>
    <w:rsid w:val="003760F0"/>
    <w:rsid w:val="003762C4"/>
    <w:rsid w:val="0037654D"/>
    <w:rsid w:val="0037658F"/>
    <w:rsid w:val="003767DF"/>
    <w:rsid w:val="00376C3E"/>
    <w:rsid w:val="00376E6A"/>
    <w:rsid w:val="00377007"/>
    <w:rsid w:val="00377043"/>
    <w:rsid w:val="00377044"/>
    <w:rsid w:val="0037720E"/>
    <w:rsid w:val="00377462"/>
    <w:rsid w:val="003775A8"/>
    <w:rsid w:val="003775CC"/>
    <w:rsid w:val="00377939"/>
    <w:rsid w:val="003779C9"/>
    <w:rsid w:val="003779DF"/>
    <w:rsid w:val="00377C1C"/>
    <w:rsid w:val="00377FB3"/>
    <w:rsid w:val="003800BB"/>
    <w:rsid w:val="003800BE"/>
    <w:rsid w:val="00380157"/>
    <w:rsid w:val="00380429"/>
    <w:rsid w:val="00380449"/>
    <w:rsid w:val="0038055D"/>
    <w:rsid w:val="003807A6"/>
    <w:rsid w:val="003808E0"/>
    <w:rsid w:val="003808FC"/>
    <w:rsid w:val="00380B34"/>
    <w:rsid w:val="00380C46"/>
    <w:rsid w:val="00380E11"/>
    <w:rsid w:val="00380E99"/>
    <w:rsid w:val="00380EED"/>
    <w:rsid w:val="00380F43"/>
    <w:rsid w:val="003811E0"/>
    <w:rsid w:val="00381548"/>
    <w:rsid w:val="003815A5"/>
    <w:rsid w:val="003815CD"/>
    <w:rsid w:val="003815E3"/>
    <w:rsid w:val="003816D7"/>
    <w:rsid w:val="003817A9"/>
    <w:rsid w:val="003818C7"/>
    <w:rsid w:val="00381CF8"/>
    <w:rsid w:val="00381D08"/>
    <w:rsid w:val="00381E14"/>
    <w:rsid w:val="00382028"/>
    <w:rsid w:val="00382061"/>
    <w:rsid w:val="003820CD"/>
    <w:rsid w:val="0038229D"/>
    <w:rsid w:val="003825D3"/>
    <w:rsid w:val="0038282B"/>
    <w:rsid w:val="0038289E"/>
    <w:rsid w:val="00382900"/>
    <w:rsid w:val="003830C5"/>
    <w:rsid w:val="0038378B"/>
    <w:rsid w:val="00383799"/>
    <w:rsid w:val="00383A4A"/>
    <w:rsid w:val="00383AF4"/>
    <w:rsid w:val="00383C05"/>
    <w:rsid w:val="00383C18"/>
    <w:rsid w:val="00383C76"/>
    <w:rsid w:val="00383E4C"/>
    <w:rsid w:val="00383E68"/>
    <w:rsid w:val="00384101"/>
    <w:rsid w:val="00384127"/>
    <w:rsid w:val="0038415C"/>
    <w:rsid w:val="003841AC"/>
    <w:rsid w:val="003841B6"/>
    <w:rsid w:val="00384916"/>
    <w:rsid w:val="003849CD"/>
    <w:rsid w:val="00384A1F"/>
    <w:rsid w:val="00384C76"/>
    <w:rsid w:val="00384DDB"/>
    <w:rsid w:val="00384E4E"/>
    <w:rsid w:val="0038505D"/>
    <w:rsid w:val="00385266"/>
    <w:rsid w:val="00385306"/>
    <w:rsid w:val="00385346"/>
    <w:rsid w:val="00385C7A"/>
    <w:rsid w:val="00385CAC"/>
    <w:rsid w:val="00385D39"/>
    <w:rsid w:val="00385EF4"/>
    <w:rsid w:val="00385F3D"/>
    <w:rsid w:val="00386106"/>
    <w:rsid w:val="0038612A"/>
    <w:rsid w:val="0038619C"/>
    <w:rsid w:val="003861AF"/>
    <w:rsid w:val="003866E9"/>
    <w:rsid w:val="00386709"/>
    <w:rsid w:val="0038675C"/>
    <w:rsid w:val="003867EF"/>
    <w:rsid w:val="003869A2"/>
    <w:rsid w:val="00386ACF"/>
    <w:rsid w:val="00386B43"/>
    <w:rsid w:val="00386D6B"/>
    <w:rsid w:val="00386DF5"/>
    <w:rsid w:val="00386F27"/>
    <w:rsid w:val="00387117"/>
    <w:rsid w:val="00387290"/>
    <w:rsid w:val="0038742F"/>
    <w:rsid w:val="00387640"/>
    <w:rsid w:val="0038783A"/>
    <w:rsid w:val="00387858"/>
    <w:rsid w:val="00387866"/>
    <w:rsid w:val="00387BCF"/>
    <w:rsid w:val="00387BF2"/>
    <w:rsid w:val="00387CD2"/>
    <w:rsid w:val="00387D77"/>
    <w:rsid w:val="00387D79"/>
    <w:rsid w:val="0039008A"/>
    <w:rsid w:val="0039034F"/>
    <w:rsid w:val="003903D0"/>
    <w:rsid w:val="003903EA"/>
    <w:rsid w:val="00390472"/>
    <w:rsid w:val="0039089D"/>
    <w:rsid w:val="00390E46"/>
    <w:rsid w:val="0039102A"/>
    <w:rsid w:val="003910AC"/>
    <w:rsid w:val="00391249"/>
    <w:rsid w:val="0039139C"/>
    <w:rsid w:val="0039148A"/>
    <w:rsid w:val="003914C1"/>
    <w:rsid w:val="0039171F"/>
    <w:rsid w:val="00391778"/>
    <w:rsid w:val="003918E0"/>
    <w:rsid w:val="003918E3"/>
    <w:rsid w:val="00391907"/>
    <w:rsid w:val="003919D8"/>
    <w:rsid w:val="00391C52"/>
    <w:rsid w:val="00391C5D"/>
    <w:rsid w:val="00391D11"/>
    <w:rsid w:val="00391DE3"/>
    <w:rsid w:val="003920A9"/>
    <w:rsid w:val="0039216A"/>
    <w:rsid w:val="00392493"/>
    <w:rsid w:val="0039254C"/>
    <w:rsid w:val="003926D3"/>
    <w:rsid w:val="00392A03"/>
    <w:rsid w:val="00392A08"/>
    <w:rsid w:val="00392A22"/>
    <w:rsid w:val="00392A80"/>
    <w:rsid w:val="00392AB7"/>
    <w:rsid w:val="00392BF4"/>
    <w:rsid w:val="00392E45"/>
    <w:rsid w:val="00392F73"/>
    <w:rsid w:val="00393059"/>
    <w:rsid w:val="00393225"/>
    <w:rsid w:val="00393228"/>
    <w:rsid w:val="003933A9"/>
    <w:rsid w:val="003934E9"/>
    <w:rsid w:val="003935BD"/>
    <w:rsid w:val="003935E0"/>
    <w:rsid w:val="0039389B"/>
    <w:rsid w:val="00393A0A"/>
    <w:rsid w:val="00393C52"/>
    <w:rsid w:val="00393D39"/>
    <w:rsid w:val="00393D84"/>
    <w:rsid w:val="00393DDC"/>
    <w:rsid w:val="00393F94"/>
    <w:rsid w:val="00394300"/>
    <w:rsid w:val="0039433C"/>
    <w:rsid w:val="003944CE"/>
    <w:rsid w:val="003944F4"/>
    <w:rsid w:val="003945B4"/>
    <w:rsid w:val="00394744"/>
    <w:rsid w:val="0039474B"/>
    <w:rsid w:val="0039476E"/>
    <w:rsid w:val="00394826"/>
    <w:rsid w:val="0039495B"/>
    <w:rsid w:val="003949E0"/>
    <w:rsid w:val="00394CDD"/>
    <w:rsid w:val="00394D50"/>
    <w:rsid w:val="00394E24"/>
    <w:rsid w:val="00394F53"/>
    <w:rsid w:val="0039526E"/>
    <w:rsid w:val="003957BB"/>
    <w:rsid w:val="00395857"/>
    <w:rsid w:val="00395C75"/>
    <w:rsid w:val="00395CF0"/>
    <w:rsid w:val="00395F66"/>
    <w:rsid w:val="0039612E"/>
    <w:rsid w:val="003962B4"/>
    <w:rsid w:val="00396390"/>
    <w:rsid w:val="003964D1"/>
    <w:rsid w:val="003965CC"/>
    <w:rsid w:val="003966C1"/>
    <w:rsid w:val="00396870"/>
    <w:rsid w:val="00396897"/>
    <w:rsid w:val="003968FB"/>
    <w:rsid w:val="00396A90"/>
    <w:rsid w:val="00396B0B"/>
    <w:rsid w:val="00396D6D"/>
    <w:rsid w:val="00396F59"/>
    <w:rsid w:val="0039712D"/>
    <w:rsid w:val="003971B7"/>
    <w:rsid w:val="0039730B"/>
    <w:rsid w:val="003975AE"/>
    <w:rsid w:val="00397778"/>
    <w:rsid w:val="00397817"/>
    <w:rsid w:val="00397865"/>
    <w:rsid w:val="003979D7"/>
    <w:rsid w:val="00397BBC"/>
    <w:rsid w:val="00397D08"/>
    <w:rsid w:val="00397F0F"/>
    <w:rsid w:val="00397F7F"/>
    <w:rsid w:val="00397FE3"/>
    <w:rsid w:val="003A0032"/>
    <w:rsid w:val="003A0120"/>
    <w:rsid w:val="003A018E"/>
    <w:rsid w:val="003A01FD"/>
    <w:rsid w:val="003A02EE"/>
    <w:rsid w:val="003A0692"/>
    <w:rsid w:val="003A06A1"/>
    <w:rsid w:val="003A072B"/>
    <w:rsid w:val="003A0737"/>
    <w:rsid w:val="003A081B"/>
    <w:rsid w:val="003A09F4"/>
    <w:rsid w:val="003A0A61"/>
    <w:rsid w:val="003A0A8A"/>
    <w:rsid w:val="003A0D09"/>
    <w:rsid w:val="003A0D9B"/>
    <w:rsid w:val="003A109A"/>
    <w:rsid w:val="003A112B"/>
    <w:rsid w:val="003A1234"/>
    <w:rsid w:val="003A1332"/>
    <w:rsid w:val="003A1371"/>
    <w:rsid w:val="003A1445"/>
    <w:rsid w:val="003A163D"/>
    <w:rsid w:val="003A167B"/>
    <w:rsid w:val="003A170D"/>
    <w:rsid w:val="003A1A95"/>
    <w:rsid w:val="003A1ADF"/>
    <w:rsid w:val="003A1B0B"/>
    <w:rsid w:val="003A1DD7"/>
    <w:rsid w:val="003A1DDA"/>
    <w:rsid w:val="003A1F92"/>
    <w:rsid w:val="003A2088"/>
    <w:rsid w:val="003A2165"/>
    <w:rsid w:val="003A21AD"/>
    <w:rsid w:val="003A24BF"/>
    <w:rsid w:val="003A24EE"/>
    <w:rsid w:val="003A2692"/>
    <w:rsid w:val="003A2A77"/>
    <w:rsid w:val="003A2AC1"/>
    <w:rsid w:val="003A2B0B"/>
    <w:rsid w:val="003A2DE1"/>
    <w:rsid w:val="003A2E11"/>
    <w:rsid w:val="003A2F29"/>
    <w:rsid w:val="003A2FE3"/>
    <w:rsid w:val="003A30B2"/>
    <w:rsid w:val="003A32E5"/>
    <w:rsid w:val="003A33F7"/>
    <w:rsid w:val="003A353F"/>
    <w:rsid w:val="003A35E9"/>
    <w:rsid w:val="003A363A"/>
    <w:rsid w:val="003A37C2"/>
    <w:rsid w:val="003A3814"/>
    <w:rsid w:val="003A38DC"/>
    <w:rsid w:val="003A3B28"/>
    <w:rsid w:val="003A3B79"/>
    <w:rsid w:val="003A3B7D"/>
    <w:rsid w:val="003A3F42"/>
    <w:rsid w:val="003A3F96"/>
    <w:rsid w:val="003A42A1"/>
    <w:rsid w:val="003A431C"/>
    <w:rsid w:val="003A44A3"/>
    <w:rsid w:val="003A46D4"/>
    <w:rsid w:val="003A4EB3"/>
    <w:rsid w:val="003A501D"/>
    <w:rsid w:val="003A53E9"/>
    <w:rsid w:val="003A54D6"/>
    <w:rsid w:val="003A5B46"/>
    <w:rsid w:val="003A5B6E"/>
    <w:rsid w:val="003A5C0C"/>
    <w:rsid w:val="003A5C39"/>
    <w:rsid w:val="003A5CB0"/>
    <w:rsid w:val="003A5DDC"/>
    <w:rsid w:val="003A5DE6"/>
    <w:rsid w:val="003A5F66"/>
    <w:rsid w:val="003A602D"/>
    <w:rsid w:val="003A6195"/>
    <w:rsid w:val="003A6286"/>
    <w:rsid w:val="003A62AE"/>
    <w:rsid w:val="003A637F"/>
    <w:rsid w:val="003A669A"/>
    <w:rsid w:val="003A6761"/>
    <w:rsid w:val="003A6A5B"/>
    <w:rsid w:val="003A6A6A"/>
    <w:rsid w:val="003A6AF6"/>
    <w:rsid w:val="003A7273"/>
    <w:rsid w:val="003A738F"/>
    <w:rsid w:val="003A73A6"/>
    <w:rsid w:val="003A73DE"/>
    <w:rsid w:val="003A753C"/>
    <w:rsid w:val="003A7567"/>
    <w:rsid w:val="003A76AD"/>
    <w:rsid w:val="003A76FF"/>
    <w:rsid w:val="003A7B4D"/>
    <w:rsid w:val="003A7C80"/>
    <w:rsid w:val="003A7CA5"/>
    <w:rsid w:val="003A7E0A"/>
    <w:rsid w:val="003B002F"/>
    <w:rsid w:val="003B0096"/>
    <w:rsid w:val="003B00C0"/>
    <w:rsid w:val="003B0163"/>
    <w:rsid w:val="003B026F"/>
    <w:rsid w:val="003B02D0"/>
    <w:rsid w:val="003B032C"/>
    <w:rsid w:val="003B03CA"/>
    <w:rsid w:val="003B059D"/>
    <w:rsid w:val="003B0916"/>
    <w:rsid w:val="003B0973"/>
    <w:rsid w:val="003B09B2"/>
    <w:rsid w:val="003B0A7B"/>
    <w:rsid w:val="003B0D6B"/>
    <w:rsid w:val="003B0F92"/>
    <w:rsid w:val="003B11F4"/>
    <w:rsid w:val="003B132E"/>
    <w:rsid w:val="003B13A9"/>
    <w:rsid w:val="003B159C"/>
    <w:rsid w:val="003B1676"/>
    <w:rsid w:val="003B18AA"/>
    <w:rsid w:val="003B1A38"/>
    <w:rsid w:val="003B25A1"/>
    <w:rsid w:val="003B268F"/>
    <w:rsid w:val="003B26CB"/>
    <w:rsid w:val="003B2777"/>
    <w:rsid w:val="003B27B6"/>
    <w:rsid w:val="003B283F"/>
    <w:rsid w:val="003B288D"/>
    <w:rsid w:val="003B2892"/>
    <w:rsid w:val="003B2BF6"/>
    <w:rsid w:val="003B2C0E"/>
    <w:rsid w:val="003B2C67"/>
    <w:rsid w:val="003B2E3D"/>
    <w:rsid w:val="003B3119"/>
    <w:rsid w:val="003B331C"/>
    <w:rsid w:val="003B340E"/>
    <w:rsid w:val="003B37E3"/>
    <w:rsid w:val="003B37FE"/>
    <w:rsid w:val="003B3C34"/>
    <w:rsid w:val="003B3D0E"/>
    <w:rsid w:val="003B3F27"/>
    <w:rsid w:val="003B463F"/>
    <w:rsid w:val="003B4722"/>
    <w:rsid w:val="003B47D6"/>
    <w:rsid w:val="003B4941"/>
    <w:rsid w:val="003B4B27"/>
    <w:rsid w:val="003B4C2B"/>
    <w:rsid w:val="003B4E07"/>
    <w:rsid w:val="003B4E8F"/>
    <w:rsid w:val="003B4F1A"/>
    <w:rsid w:val="003B4FF6"/>
    <w:rsid w:val="003B5057"/>
    <w:rsid w:val="003B514D"/>
    <w:rsid w:val="003B596C"/>
    <w:rsid w:val="003B5B4E"/>
    <w:rsid w:val="003B5D7D"/>
    <w:rsid w:val="003B5D8B"/>
    <w:rsid w:val="003B5DA7"/>
    <w:rsid w:val="003B5E17"/>
    <w:rsid w:val="003B5E6E"/>
    <w:rsid w:val="003B5F3F"/>
    <w:rsid w:val="003B63EF"/>
    <w:rsid w:val="003B6497"/>
    <w:rsid w:val="003B64DE"/>
    <w:rsid w:val="003B65B2"/>
    <w:rsid w:val="003B6704"/>
    <w:rsid w:val="003B67B8"/>
    <w:rsid w:val="003B6893"/>
    <w:rsid w:val="003B6B89"/>
    <w:rsid w:val="003B6D38"/>
    <w:rsid w:val="003B6E5C"/>
    <w:rsid w:val="003B6FA4"/>
    <w:rsid w:val="003B705E"/>
    <w:rsid w:val="003B70E2"/>
    <w:rsid w:val="003B7223"/>
    <w:rsid w:val="003B74EA"/>
    <w:rsid w:val="003B75A5"/>
    <w:rsid w:val="003B76A7"/>
    <w:rsid w:val="003B7A03"/>
    <w:rsid w:val="003B7BC4"/>
    <w:rsid w:val="003B7BFB"/>
    <w:rsid w:val="003B7C10"/>
    <w:rsid w:val="003B7C49"/>
    <w:rsid w:val="003B7C4E"/>
    <w:rsid w:val="003B7D59"/>
    <w:rsid w:val="003B7E99"/>
    <w:rsid w:val="003B7F0D"/>
    <w:rsid w:val="003C06A1"/>
    <w:rsid w:val="003C0955"/>
    <w:rsid w:val="003C0C8B"/>
    <w:rsid w:val="003C0D0B"/>
    <w:rsid w:val="003C0F0E"/>
    <w:rsid w:val="003C0F4C"/>
    <w:rsid w:val="003C0F7D"/>
    <w:rsid w:val="003C1062"/>
    <w:rsid w:val="003C1073"/>
    <w:rsid w:val="003C1339"/>
    <w:rsid w:val="003C1679"/>
    <w:rsid w:val="003C170F"/>
    <w:rsid w:val="003C1B3E"/>
    <w:rsid w:val="003C1C12"/>
    <w:rsid w:val="003C1E45"/>
    <w:rsid w:val="003C1F7C"/>
    <w:rsid w:val="003C1FE0"/>
    <w:rsid w:val="003C2090"/>
    <w:rsid w:val="003C2438"/>
    <w:rsid w:val="003C24A1"/>
    <w:rsid w:val="003C2821"/>
    <w:rsid w:val="003C29E4"/>
    <w:rsid w:val="003C2AF8"/>
    <w:rsid w:val="003C2FA4"/>
    <w:rsid w:val="003C2FB4"/>
    <w:rsid w:val="003C32CC"/>
    <w:rsid w:val="003C33BA"/>
    <w:rsid w:val="003C3413"/>
    <w:rsid w:val="003C36AF"/>
    <w:rsid w:val="003C3A59"/>
    <w:rsid w:val="003C3BAE"/>
    <w:rsid w:val="003C4101"/>
    <w:rsid w:val="003C4326"/>
    <w:rsid w:val="003C4410"/>
    <w:rsid w:val="003C4560"/>
    <w:rsid w:val="003C4580"/>
    <w:rsid w:val="003C463E"/>
    <w:rsid w:val="003C49CC"/>
    <w:rsid w:val="003C4A56"/>
    <w:rsid w:val="003C4B02"/>
    <w:rsid w:val="003C4C53"/>
    <w:rsid w:val="003C4CB8"/>
    <w:rsid w:val="003C4F3E"/>
    <w:rsid w:val="003C5126"/>
    <w:rsid w:val="003C52C2"/>
    <w:rsid w:val="003C5660"/>
    <w:rsid w:val="003C56D3"/>
    <w:rsid w:val="003C56DE"/>
    <w:rsid w:val="003C5700"/>
    <w:rsid w:val="003C5794"/>
    <w:rsid w:val="003C5B08"/>
    <w:rsid w:val="003C60ED"/>
    <w:rsid w:val="003C6157"/>
    <w:rsid w:val="003C6411"/>
    <w:rsid w:val="003C6475"/>
    <w:rsid w:val="003C655E"/>
    <w:rsid w:val="003C6B1D"/>
    <w:rsid w:val="003C6C77"/>
    <w:rsid w:val="003C6D28"/>
    <w:rsid w:val="003C6E42"/>
    <w:rsid w:val="003C701F"/>
    <w:rsid w:val="003C70CD"/>
    <w:rsid w:val="003C70CF"/>
    <w:rsid w:val="003C72AC"/>
    <w:rsid w:val="003C7343"/>
    <w:rsid w:val="003C7364"/>
    <w:rsid w:val="003C7554"/>
    <w:rsid w:val="003C7571"/>
    <w:rsid w:val="003C75FD"/>
    <w:rsid w:val="003C7652"/>
    <w:rsid w:val="003C76A5"/>
    <w:rsid w:val="003C770B"/>
    <w:rsid w:val="003C77F4"/>
    <w:rsid w:val="003C7829"/>
    <w:rsid w:val="003C7E49"/>
    <w:rsid w:val="003C7E63"/>
    <w:rsid w:val="003D0006"/>
    <w:rsid w:val="003D0162"/>
    <w:rsid w:val="003D03C5"/>
    <w:rsid w:val="003D03FF"/>
    <w:rsid w:val="003D076D"/>
    <w:rsid w:val="003D0787"/>
    <w:rsid w:val="003D0B61"/>
    <w:rsid w:val="003D0BA5"/>
    <w:rsid w:val="003D0EA6"/>
    <w:rsid w:val="003D107F"/>
    <w:rsid w:val="003D1299"/>
    <w:rsid w:val="003D13B3"/>
    <w:rsid w:val="003D1426"/>
    <w:rsid w:val="003D17CB"/>
    <w:rsid w:val="003D1AAD"/>
    <w:rsid w:val="003D1EE1"/>
    <w:rsid w:val="003D1F2B"/>
    <w:rsid w:val="003D1F82"/>
    <w:rsid w:val="003D211E"/>
    <w:rsid w:val="003D249E"/>
    <w:rsid w:val="003D2553"/>
    <w:rsid w:val="003D25D2"/>
    <w:rsid w:val="003D26C3"/>
    <w:rsid w:val="003D27C4"/>
    <w:rsid w:val="003D27FF"/>
    <w:rsid w:val="003D294E"/>
    <w:rsid w:val="003D2D17"/>
    <w:rsid w:val="003D2D70"/>
    <w:rsid w:val="003D2E26"/>
    <w:rsid w:val="003D2E4D"/>
    <w:rsid w:val="003D2F41"/>
    <w:rsid w:val="003D301B"/>
    <w:rsid w:val="003D32F0"/>
    <w:rsid w:val="003D33A0"/>
    <w:rsid w:val="003D35A0"/>
    <w:rsid w:val="003D35EC"/>
    <w:rsid w:val="003D36B7"/>
    <w:rsid w:val="003D3805"/>
    <w:rsid w:val="003D389E"/>
    <w:rsid w:val="003D3A7B"/>
    <w:rsid w:val="003D3A95"/>
    <w:rsid w:val="003D3AF5"/>
    <w:rsid w:val="003D3D4D"/>
    <w:rsid w:val="003D3EC7"/>
    <w:rsid w:val="003D41B3"/>
    <w:rsid w:val="003D41DF"/>
    <w:rsid w:val="003D46C4"/>
    <w:rsid w:val="003D470C"/>
    <w:rsid w:val="003D474D"/>
    <w:rsid w:val="003D5157"/>
    <w:rsid w:val="003D56B0"/>
    <w:rsid w:val="003D585A"/>
    <w:rsid w:val="003D5A34"/>
    <w:rsid w:val="003D5E7A"/>
    <w:rsid w:val="003D5EED"/>
    <w:rsid w:val="003D6323"/>
    <w:rsid w:val="003D64C7"/>
    <w:rsid w:val="003D64ED"/>
    <w:rsid w:val="003D6AE0"/>
    <w:rsid w:val="003D6B33"/>
    <w:rsid w:val="003D6B9D"/>
    <w:rsid w:val="003D6BF3"/>
    <w:rsid w:val="003D6EDD"/>
    <w:rsid w:val="003D705A"/>
    <w:rsid w:val="003D723A"/>
    <w:rsid w:val="003D7392"/>
    <w:rsid w:val="003D769F"/>
    <w:rsid w:val="003D770A"/>
    <w:rsid w:val="003D7780"/>
    <w:rsid w:val="003D78FF"/>
    <w:rsid w:val="003D7B0F"/>
    <w:rsid w:val="003D7C5F"/>
    <w:rsid w:val="003D7CB7"/>
    <w:rsid w:val="003D7D98"/>
    <w:rsid w:val="003D7DEC"/>
    <w:rsid w:val="003E006B"/>
    <w:rsid w:val="003E00D2"/>
    <w:rsid w:val="003E016A"/>
    <w:rsid w:val="003E0263"/>
    <w:rsid w:val="003E079E"/>
    <w:rsid w:val="003E07BF"/>
    <w:rsid w:val="003E0C41"/>
    <w:rsid w:val="003E0DAB"/>
    <w:rsid w:val="003E0E52"/>
    <w:rsid w:val="003E0FC0"/>
    <w:rsid w:val="003E1090"/>
    <w:rsid w:val="003E12EA"/>
    <w:rsid w:val="003E1583"/>
    <w:rsid w:val="003E15A6"/>
    <w:rsid w:val="003E160E"/>
    <w:rsid w:val="003E17A1"/>
    <w:rsid w:val="003E1825"/>
    <w:rsid w:val="003E18B5"/>
    <w:rsid w:val="003E1C0C"/>
    <w:rsid w:val="003E1CC7"/>
    <w:rsid w:val="003E1ED4"/>
    <w:rsid w:val="003E212C"/>
    <w:rsid w:val="003E222D"/>
    <w:rsid w:val="003E2498"/>
    <w:rsid w:val="003E279D"/>
    <w:rsid w:val="003E2967"/>
    <w:rsid w:val="003E2A67"/>
    <w:rsid w:val="003E2BEB"/>
    <w:rsid w:val="003E2E12"/>
    <w:rsid w:val="003E30C9"/>
    <w:rsid w:val="003E33F1"/>
    <w:rsid w:val="003E38DA"/>
    <w:rsid w:val="003E38E7"/>
    <w:rsid w:val="003E38F1"/>
    <w:rsid w:val="003E3977"/>
    <w:rsid w:val="003E3B23"/>
    <w:rsid w:val="003E3CA4"/>
    <w:rsid w:val="003E4025"/>
    <w:rsid w:val="003E4159"/>
    <w:rsid w:val="003E4213"/>
    <w:rsid w:val="003E429E"/>
    <w:rsid w:val="003E4300"/>
    <w:rsid w:val="003E43CB"/>
    <w:rsid w:val="003E468F"/>
    <w:rsid w:val="003E4A06"/>
    <w:rsid w:val="003E4BA6"/>
    <w:rsid w:val="003E5023"/>
    <w:rsid w:val="003E50BB"/>
    <w:rsid w:val="003E5143"/>
    <w:rsid w:val="003E53B9"/>
    <w:rsid w:val="003E53BA"/>
    <w:rsid w:val="003E53BC"/>
    <w:rsid w:val="003E559A"/>
    <w:rsid w:val="003E5815"/>
    <w:rsid w:val="003E59B6"/>
    <w:rsid w:val="003E5ABC"/>
    <w:rsid w:val="003E5BAB"/>
    <w:rsid w:val="003E5DC1"/>
    <w:rsid w:val="003E5E20"/>
    <w:rsid w:val="003E5FC4"/>
    <w:rsid w:val="003E6064"/>
    <w:rsid w:val="003E606D"/>
    <w:rsid w:val="003E612A"/>
    <w:rsid w:val="003E62D4"/>
    <w:rsid w:val="003E6404"/>
    <w:rsid w:val="003E661A"/>
    <w:rsid w:val="003E676E"/>
    <w:rsid w:val="003E68D0"/>
    <w:rsid w:val="003E6C2F"/>
    <w:rsid w:val="003E6ED4"/>
    <w:rsid w:val="003E6F29"/>
    <w:rsid w:val="003E7045"/>
    <w:rsid w:val="003E715B"/>
    <w:rsid w:val="003E73E9"/>
    <w:rsid w:val="003E73EF"/>
    <w:rsid w:val="003E7559"/>
    <w:rsid w:val="003E79C2"/>
    <w:rsid w:val="003E7B1C"/>
    <w:rsid w:val="003E7CC2"/>
    <w:rsid w:val="003E7D13"/>
    <w:rsid w:val="003F02C5"/>
    <w:rsid w:val="003F02D2"/>
    <w:rsid w:val="003F045A"/>
    <w:rsid w:val="003F04DC"/>
    <w:rsid w:val="003F0B24"/>
    <w:rsid w:val="003F0B32"/>
    <w:rsid w:val="003F0CE6"/>
    <w:rsid w:val="003F0D48"/>
    <w:rsid w:val="003F0D63"/>
    <w:rsid w:val="003F0E3F"/>
    <w:rsid w:val="003F0F97"/>
    <w:rsid w:val="003F0FB8"/>
    <w:rsid w:val="003F0FE8"/>
    <w:rsid w:val="003F1213"/>
    <w:rsid w:val="003F129E"/>
    <w:rsid w:val="003F12E1"/>
    <w:rsid w:val="003F12E9"/>
    <w:rsid w:val="003F17E3"/>
    <w:rsid w:val="003F1884"/>
    <w:rsid w:val="003F1905"/>
    <w:rsid w:val="003F190F"/>
    <w:rsid w:val="003F19C4"/>
    <w:rsid w:val="003F1B10"/>
    <w:rsid w:val="003F1BE1"/>
    <w:rsid w:val="003F24E9"/>
    <w:rsid w:val="003F24F9"/>
    <w:rsid w:val="003F2546"/>
    <w:rsid w:val="003F28B9"/>
    <w:rsid w:val="003F2A39"/>
    <w:rsid w:val="003F2B13"/>
    <w:rsid w:val="003F2DFF"/>
    <w:rsid w:val="003F3031"/>
    <w:rsid w:val="003F31B0"/>
    <w:rsid w:val="003F3308"/>
    <w:rsid w:val="003F354A"/>
    <w:rsid w:val="003F366F"/>
    <w:rsid w:val="003F3794"/>
    <w:rsid w:val="003F39DD"/>
    <w:rsid w:val="003F4048"/>
    <w:rsid w:val="003F426A"/>
    <w:rsid w:val="003F433B"/>
    <w:rsid w:val="003F44B2"/>
    <w:rsid w:val="003F44C7"/>
    <w:rsid w:val="003F4641"/>
    <w:rsid w:val="003F46E8"/>
    <w:rsid w:val="003F473F"/>
    <w:rsid w:val="003F4904"/>
    <w:rsid w:val="003F4AC4"/>
    <w:rsid w:val="003F4CFA"/>
    <w:rsid w:val="003F54C8"/>
    <w:rsid w:val="003F5D3E"/>
    <w:rsid w:val="003F5D45"/>
    <w:rsid w:val="003F5E31"/>
    <w:rsid w:val="003F6265"/>
    <w:rsid w:val="003F6572"/>
    <w:rsid w:val="003F65CD"/>
    <w:rsid w:val="003F6613"/>
    <w:rsid w:val="003F6656"/>
    <w:rsid w:val="003F67C3"/>
    <w:rsid w:val="003F6837"/>
    <w:rsid w:val="003F690D"/>
    <w:rsid w:val="003F698D"/>
    <w:rsid w:val="003F69E2"/>
    <w:rsid w:val="003F69EE"/>
    <w:rsid w:val="003F6B3C"/>
    <w:rsid w:val="003F6D5C"/>
    <w:rsid w:val="003F6DCD"/>
    <w:rsid w:val="003F6E77"/>
    <w:rsid w:val="003F6E96"/>
    <w:rsid w:val="003F6F2D"/>
    <w:rsid w:val="003F719C"/>
    <w:rsid w:val="003F73B5"/>
    <w:rsid w:val="003F76DA"/>
    <w:rsid w:val="003F7818"/>
    <w:rsid w:val="003F7A75"/>
    <w:rsid w:val="003F7B4E"/>
    <w:rsid w:val="003F7D68"/>
    <w:rsid w:val="004003D3"/>
    <w:rsid w:val="004006D7"/>
    <w:rsid w:val="00400788"/>
    <w:rsid w:val="004007C2"/>
    <w:rsid w:val="004007E2"/>
    <w:rsid w:val="004008D1"/>
    <w:rsid w:val="004008E4"/>
    <w:rsid w:val="00400952"/>
    <w:rsid w:val="0040099B"/>
    <w:rsid w:val="004009BA"/>
    <w:rsid w:val="00400B06"/>
    <w:rsid w:val="0040127B"/>
    <w:rsid w:val="004013A9"/>
    <w:rsid w:val="004013C6"/>
    <w:rsid w:val="004013D8"/>
    <w:rsid w:val="004016DA"/>
    <w:rsid w:val="0040172B"/>
    <w:rsid w:val="00401771"/>
    <w:rsid w:val="00401D61"/>
    <w:rsid w:val="00401DE0"/>
    <w:rsid w:val="00402122"/>
    <w:rsid w:val="00402174"/>
    <w:rsid w:val="0040217B"/>
    <w:rsid w:val="00402311"/>
    <w:rsid w:val="004023C8"/>
    <w:rsid w:val="0040243C"/>
    <w:rsid w:val="00402533"/>
    <w:rsid w:val="0040253F"/>
    <w:rsid w:val="00402572"/>
    <w:rsid w:val="0040295C"/>
    <w:rsid w:val="00402998"/>
    <w:rsid w:val="004029BE"/>
    <w:rsid w:val="00402C45"/>
    <w:rsid w:val="00402C6E"/>
    <w:rsid w:val="00402C87"/>
    <w:rsid w:val="00402D2D"/>
    <w:rsid w:val="00402FB4"/>
    <w:rsid w:val="0040318B"/>
    <w:rsid w:val="0040329D"/>
    <w:rsid w:val="004035E4"/>
    <w:rsid w:val="00403635"/>
    <w:rsid w:val="00403665"/>
    <w:rsid w:val="0040390B"/>
    <w:rsid w:val="00403A18"/>
    <w:rsid w:val="00403CBE"/>
    <w:rsid w:val="00403F24"/>
    <w:rsid w:val="004041B0"/>
    <w:rsid w:val="004041E6"/>
    <w:rsid w:val="004044FC"/>
    <w:rsid w:val="00404A8F"/>
    <w:rsid w:val="00404BBC"/>
    <w:rsid w:val="00404C9B"/>
    <w:rsid w:val="00404DEF"/>
    <w:rsid w:val="00404F17"/>
    <w:rsid w:val="00404F40"/>
    <w:rsid w:val="00405075"/>
    <w:rsid w:val="00405130"/>
    <w:rsid w:val="0040535C"/>
    <w:rsid w:val="004054C3"/>
    <w:rsid w:val="00405500"/>
    <w:rsid w:val="00405628"/>
    <w:rsid w:val="00405785"/>
    <w:rsid w:val="00405BDA"/>
    <w:rsid w:val="00405EC6"/>
    <w:rsid w:val="00406188"/>
    <w:rsid w:val="00406374"/>
    <w:rsid w:val="00406468"/>
    <w:rsid w:val="0040676C"/>
    <w:rsid w:val="004068E8"/>
    <w:rsid w:val="00406C1B"/>
    <w:rsid w:val="00406C68"/>
    <w:rsid w:val="00407343"/>
    <w:rsid w:val="00407396"/>
    <w:rsid w:val="0040746D"/>
    <w:rsid w:val="00407676"/>
    <w:rsid w:val="00407751"/>
    <w:rsid w:val="0040776E"/>
    <w:rsid w:val="004079D8"/>
    <w:rsid w:val="004102D2"/>
    <w:rsid w:val="0041033B"/>
    <w:rsid w:val="0041034C"/>
    <w:rsid w:val="0041038C"/>
    <w:rsid w:val="004105F1"/>
    <w:rsid w:val="00410826"/>
    <w:rsid w:val="0041099C"/>
    <w:rsid w:val="00410BB7"/>
    <w:rsid w:val="00410FE7"/>
    <w:rsid w:val="004111A0"/>
    <w:rsid w:val="00411483"/>
    <w:rsid w:val="0041171E"/>
    <w:rsid w:val="00411781"/>
    <w:rsid w:val="004118A7"/>
    <w:rsid w:val="00411E65"/>
    <w:rsid w:val="00411F30"/>
    <w:rsid w:val="0041279A"/>
    <w:rsid w:val="004127A2"/>
    <w:rsid w:val="00412927"/>
    <w:rsid w:val="00412944"/>
    <w:rsid w:val="0041295D"/>
    <w:rsid w:val="00412A08"/>
    <w:rsid w:val="00412AB9"/>
    <w:rsid w:val="00412ACA"/>
    <w:rsid w:val="00412B12"/>
    <w:rsid w:val="00412E3B"/>
    <w:rsid w:val="0041311B"/>
    <w:rsid w:val="00413334"/>
    <w:rsid w:val="0041390F"/>
    <w:rsid w:val="00413975"/>
    <w:rsid w:val="00413BD0"/>
    <w:rsid w:val="00413C8A"/>
    <w:rsid w:val="00413D24"/>
    <w:rsid w:val="0041412F"/>
    <w:rsid w:val="00414238"/>
    <w:rsid w:val="00414285"/>
    <w:rsid w:val="0041428E"/>
    <w:rsid w:val="00414322"/>
    <w:rsid w:val="0041436F"/>
    <w:rsid w:val="0041473C"/>
    <w:rsid w:val="00414AC9"/>
    <w:rsid w:val="00414B08"/>
    <w:rsid w:val="00414BAE"/>
    <w:rsid w:val="00414D15"/>
    <w:rsid w:val="00414D5E"/>
    <w:rsid w:val="00414DF4"/>
    <w:rsid w:val="0041505E"/>
    <w:rsid w:val="0041554E"/>
    <w:rsid w:val="00415678"/>
    <w:rsid w:val="00415C46"/>
    <w:rsid w:val="00415C89"/>
    <w:rsid w:val="00415D30"/>
    <w:rsid w:val="00416277"/>
    <w:rsid w:val="00416445"/>
    <w:rsid w:val="00416484"/>
    <w:rsid w:val="004164A6"/>
    <w:rsid w:val="00416684"/>
    <w:rsid w:val="0041670C"/>
    <w:rsid w:val="00416737"/>
    <w:rsid w:val="00416765"/>
    <w:rsid w:val="0041678F"/>
    <w:rsid w:val="0041683A"/>
    <w:rsid w:val="00416872"/>
    <w:rsid w:val="0041689A"/>
    <w:rsid w:val="00416AAC"/>
    <w:rsid w:val="00416B0C"/>
    <w:rsid w:val="00416DD9"/>
    <w:rsid w:val="00416EE9"/>
    <w:rsid w:val="00416EF1"/>
    <w:rsid w:val="00417017"/>
    <w:rsid w:val="00417061"/>
    <w:rsid w:val="004170F2"/>
    <w:rsid w:val="004171A4"/>
    <w:rsid w:val="00417357"/>
    <w:rsid w:val="004175FD"/>
    <w:rsid w:val="0041770D"/>
    <w:rsid w:val="00417824"/>
    <w:rsid w:val="0041783C"/>
    <w:rsid w:val="004178D5"/>
    <w:rsid w:val="00417956"/>
    <w:rsid w:val="004179E1"/>
    <w:rsid w:val="004179F2"/>
    <w:rsid w:val="00417A40"/>
    <w:rsid w:val="00417AC9"/>
    <w:rsid w:val="00417B42"/>
    <w:rsid w:val="00417B7E"/>
    <w:rsid w:val="00417E3B"/>
    <w:rsid w:val="00417E44"/>
    <w:rsid w:val="00417E5A"/>
    <w:rsid w:val="00417EE4"/>
    <w:rsid w:val="00417FB4"/>
    <w:rsid w:val="004203D5"/>
    <w:rsid w:val="004205B7"/>
    <w:rsid w:val="0042068F"/>
    <w:rsid w:val="004206A7"/>
    <w:rsid w:val="00420A78"/>
    <w:rsid w:val="00420AD4"/>
    <w:rsid w:val="00420E6B"/>
    <w:rsid w:val="00420F17"/>
    <w:rsid w:val="0042112F"/>
    <w:rsid w:val="00421212"/>
    <w:rsid w:val="0042133D"/>
    <w:rsid w:val="0042169F"/>
    <w:rsid w:val="00421720"/>
    <w:rsid w:val="00421786"/>
    <w:rsid w:val="00421A25"/>
    <w:rsid w:val="00421B03"/>
    <w:rsid w:val="00421B92"/>
    <w:rsid w:val="00421CB6"/>
    <w:rsid w:val="00421D93"/>
    <w:rsid w:val="00422115"/>
    <w:rsid w:val="00422146"/>
    <w:rsid w:val="00422249"/>
    <w:rsid w:val="00422366"/>
    <w:rsid w:val="0042258C"/>
    <w:rsid w:val="004227BF"/>
    <w:rsid w:val="00422A25"/>
    <w:rsid w:val="00422AAB"/>
    <w:rsid w:val="00423174"/>
    <w:rsid w:val="004231CF"/>
    <w:rsid w:val="004233EE"/>
    <w:rsid w:val="0042341A"/>
    <w:rsid w:val="00423460"/>
    <w:rsid w:val="00423506"/>
    <w:rsid w:val="004237A2"/>
    <w:rsid w:val="00423839"/>
    <w:rsid w:val="00423915"/>
    <w:rsid w:val="00423AD6"/>
    <w:rsid w:val="00423B8A"/>
    <w:rsid w:val="00423D00"/>
    <w:rsid w:val="00424094"/>
    <w:rsid w:val="00424522"/>
    <w:rsid w:val="004247CD"/>
    <w:rsid w:val="0042485A"/>
    <w:rsid w:val="0042491B"/>
    <w:rsid w:val="00424C49"/>
    <w:rsid w:val="00424CC6"/>
    <w:rsid w:val="004250CA"/>
    <w:rsid w:val="004250FA"/>
    <w:rsid w:val="00425234"/>
    <w:rsid w:val="0042529C"/>
    <w:rsid w:val="00425355"/>
    <w:rsid w:val="004253A0"/>
    <w:rsid w:val="0042541A"/>
    <w:rsid w:val="0042559A"/>
    <w:rsid w:val="00425754"/>
    <w:rsid w:val="00425766"/>
    <w:rsid w:val="004258A6"/>
    <w:rsid w:val="004258ED"/>
    <w:rsid w:val="00425B42"/>
    <w:rsid w:val="00425C4A"/>
    <w:rsid w:val="00425D97"/>
    <w:rsid w:val="00425DBF"/>
    <w:rsid w:val="00425ED8"/>
    <w:rsid w:val="00426175"/>
    <w:rsid w:val="0042637C"/>
    <w:rsid w:val="004264A4"/>
    <w:rsid w:val="004264F2"/>
    <w:rsid w:val="00426865"/>
    <w:rsid w:val="00426B12"/>
    <w:rsid w:val="00426C60"/>
    <w:rsid w:val="00427133"/>
    <w:rsid w:val="004271E2"/>
    <w:rsid w:val="00427417"/>
    <w:rsid w:val="004275E2"/>
    <w:rsid w:val="004275E5"/>
    <w:rsid w:val="004276B2"/>
    <w:rsid w:val="00427758"/>
    <w:rsid w:val="004279CC"/>
    <w:rsid w:val="004279F0"/>
    <w:rsid w:val="00427BBD"/>
    <w:rsid w:val="00427C63"/>
    <w:rsid w:val="00427EAC"/>
    <w:rsid w:val="0043025C"/>
    <w:rsid w:val="00430352"/>
    <w:rsid w:val="004305E0"/>
    <w:rsid w:val="00430726"/>
    <w:rsid w:val="00430882"/>
    <w:rsid w:val="00430A5A"/>
    <w:rsid w:val="00430D3C"/>
    <w:rsid w:val="00430DD4"/>
    <w:rsid w:val="00431190"/>
    <w:rsid w:val="0043149B"/>
    <w:rsid w:val="00431599"/>
    <w:rsid w:val="004315B4"/>
    <w:rsid w:val="00431643"/>
    <w:rsid w:val="0043189B"/>
    <w:rsid w:val="004318BF"/>
    <w:rsid w:val="004318E7"/>
    <w:rsid w:val="004318F7"/>
    <w:rsid w:val="00431981"/>
    <w:rsid w:val="00431A85"/>
    <w:rsid w:val="00431CFD"/>
    <w:rsid w:val="00431D86"/>
    <w:rsid w:val="00431E98"/>
    <w:rsid w:val="00431EDF"/>
    <w:rsid w:val="004320A5"/>
    <w:rsid w:val="004320F6"/>
    <w:rsid w:val="0043211F"/>
    <w:rsid w:val="0043220B"/>
    <w:rsid w:val="0043231D"/>
    <w:rsid w:val="0043239B"/>
    <w:rsid w:val="004325EC"/>
    <w:rsid w:val="00432789"/>
    <w:rsid w:val="00432A07"/>
    <w:rsid w:val="00432C3A"/>
    <w:rsid w:val="00432CE3"/>
    <w:rsid w:val="00432D96"/>
    <w:rsid w:val="00432F8E"/>
    <w:rsid w:val="0043307D"/>
    <w:rsid w:val="0043341A"/>
    <w:rsid w:val="00433787"/>
    <w:rsid w:val="00433915"/>
    <w:rsid w:val="00433CF3"/>
    <w:rsid w:val="00433CFD"/>
    <w:rsid w:val="00433F74"/>
    <w:rsid w:val="00433FCA"/>
    <w:rsid w:val="004340B0"/>
    <w:rsid w:val="004340E6"/>
    <w:rsid w:val="00434125"/>
    <w:rsid w:val="00434252"/>
    <w:rsid w:val="0043448E"/>
    <w:rsid w:val="00434497"/>
    <w:rsid w:val="00434565"/>
    <w:rsid w:val="004345E5"/>
    <w:rsid w:val="00434602"/>
    <w:rsid w:val="0043464D"/>
    <w:rsid w:val="004346E6"/>
    <w:rsid w:val="00434753"/>
    <w:rsid w:val="004347E1"/>
    <w:rsid w:val="0043491D"/>
    <w:rsid w:val="00434A33"/>
    <w:rsid w:val="00434B98"/>
    <w:rsid w:val="00434D97"/>
    <w:rsid w:val="00434E96"/>
    <w:rsid w:val="00434EA7"/>
    <w:rsid w:val="00435129"/>
    <w:rsid w:val="0043521E"/>
    <w:rsid w:val="0043551D"/>
    <w:rsid w:val="00435988"/>
    <w:rsid w:val="004359E2"/>
    <w:rsid w:val="00435AA6"/>
    <w:rsid w:val="00435D2A"/>
    <w:rsid w:val="00435EF6"/>
    <w:rsid w:val="00436090"/>
    <w:rsid w:val="004364BB"/>
    <w:rsid w:val="00436511"/>
    <w:rsid w:val="004367FF"/>
    <w:rsid w:val="0043696B"/>
    <w:rsid w:val="0043699A"/>
    <w:rsid w:val="004369E7"/>
    <w:rsid w:val="00436D14"/>
    <w:rsid w:val="00436E0B"/>
    <w:rsid w:val="00436E47"/>
    <w:rsid w:val="00436E5E"/>
    <w:rsid w:val="00436FB1"/>
    <w:rsid w:val="00437042"/>
    <w:rsid w:val="004371B9"/>
    <w:rsid w:val="00437235"/>
    <w:rsid w:val="00437305"/>
    <w:rsid w:val="00437753"/>
    <w:rsid w:val="0043781A"/>
    <w:rsid w:val="00437904"/>
    <w:rsid w:val="004379F3"/>
    <w:rsid w:val="00437B02"/>
    <w:rsid w:val="00437B3E"/>
    <w:rsid w:val="00437B96"/>
    <w:rsid w:val="00437DC3"/>
    <w:rsid w:val="00440086"/>
    <w:rsid w:val="004400A5"/>
    <w:rsid w:val="004400BC"/>
    <w:rsid w:val="00440111"/>
    <w:rsid w:val="0044028B"/>
    <w:rsid w:val="00440439"/>
    <w:rsid w:val="0044053F"/>
    <w:rsid w:val="0044058C"/>
    <w:rsid w:val="00440691"/>
    <w:rsid w:val="00440783"/>
    <w:rsid w:val="00440957"/>
    <w:rsid w:val="00440C2F"/>
    <w:rsid w:val="00440C46"/>
    <w:rsid w:val="00440D53"/>
    <w:rsid w:val="00440D55"/>
    <w:rsid w:val="00440E93"/>
    <w:rsid w:val="00440F1D"/>
    <w:rsid w:val="00441009"/>
    <w:rsid w:val="004411C5"/>
    <w:rsid w:val="004413BF"/>
    <w:rsid w:val="00441599"/>
    <w:rsid w:val="00441994"/>
    <w:rsid w:val="00441B9F"/>
    <w:rsid w:val="00441D11"/>
    <w:rsid w:val="00441F06"/>
    <w:rsid w:val="00442066"/>
    <w:rsid w:val="00442358"/>
    <w:rsid w:val="004424D0"/>
    <w:rsid w:val="004427B7"/>
    <w:rsid w:val="00442887"/>
    <w:rsid w:val="0044289F"/>
    <w:rsid w:val="00442D02"/>
    <w:rsid w:val="004434C8"/>
    <w:rsid w:val="004434DC"/>
    <w:rsid w:val="004436C0"/>
    <w:rsid w:val="00443737"/>
    <w:rsid w:val="00443788"/>
    <w:rsid w:val="00443789"/>
    <w:rsid w:val="00443905"/>
    <w:rsid w:val="00443A11"/>
    <w:rsid w:val="00443AAA"/>
    <w:rsid w:val="00443DC4"/>
    <w:rsid w:val="00443E4F"/>
    <w:rsid w:val="00443FA7"/>
    <w:rsid w:val="0044426A"/>
    <w:rsid w:val="004442A6"/>
    <w:rsid w:val="004444B2"/>
    <w:rsid w:val="004448F1"/>
    <w:rsid w:val="00444D91"/>
    <w:rsid w:val="00444E4F"/>
    <w:rsid w:val="00444E7F"/>
    <w:rsid w:val="00444F5D"/>
    <w:rsid w:val="004451D1"/>
    <w:rsid w:val="00445254"/>
    <w:rsid w:val="0044525C"/>
    <w:rsid w:val="0044530A"/>
    <w:rsid w:val="004454D0"/>
    <w:rsid w:val="00445621"/>
    <w:rsid w:val="0044563A"/>
    <w:rsid w:val="00445693"/>
    <w:rsid w:val="004459CC"/>
    <w:rsid w:val="00445A18"/>
    <w:rsid w:val="00445D5A"/>
    <w:rsid w:val="00445F21"/>
    <w:rsid w:val="004460F2"/>
    <w:rsid w:val="004461A9"/>
    <w:rsid w:val="004462A5"/>
    <w:rsid w:val="004463BB"/>
    <w:rsid w:val="00446795"/>
    <w:rsid w:val="00446995"/>
    <w:rsid w:val="00446A48"/>
    <w:rsid w:val="00446A9C"/>
    <w:rsid w:val="00446C5C"/>
    <w:rsid w:val="00446D44"/>
    <w:rsid w:val="004470BD"/>
    <w:rsid w:val="00447141"/>
    <w:rsid w:val="004471D7"/>
    <w:rsid w:val="0044720E"/>
    <w:rsid w:val="0044730E"/>
    <w:rsid w:val="0044731A"/>
    <w:rsid w:val="0044752B"/>
    <w:rsid w:val="004475D7"/>
    <w:rsid w:val="00447666"/>
    <w:rsid w:val="0044789E"/>
    <w:rsid w:val="00447ACD"/>
    <w:rsid w:val="00447B99"/>
    <w:rsid w:val="00447EA6"/>
    <w:rsid w:val="00450114"/>
    <w:rsid w:val="0045022E"/>
    <w:rsid w:val="00450508"/>
    <w:rsid w:val="00450522"/>
    <w:rsid w:val="004505B6"/>
    <w:rsid w:val="0045086C"/>
    <w:rsid w:val="00450870"/>
    <w:rsid w:val="00450907"/>
    <w:rsid w:val="00450EB2"/>
    <w:rsid w:val="004510FB"/>
    <w:rsid w:val="00451316"/>
    <w:rsid w:val="004516D3"/>
    <w:rsid w:val="0045181F"/>
    <w:rsid w:val="004518D0"/>
    <w:rsid w:val="004519C1"/>
    <w:rsid w:val="00451A2B"/>
    <w:rsid w:val="00451C91"/>
    <w:rsid w:val="00451E71"/>
    <w:rsid w:val="00451FCF"/>
    <w:rsid w:val="0045217B"/>
    <w:rsid w:val="004521A6"/>
    <w:rsid w:val="0045220B"/>
    <w:rsid w:val="004522C6"/>
    <w:rsid w:val="00452424"/>
    <w:rsid w:val="0045251B"/>
    <w:rsid w:val="00452585"/>
    <w:rsid w:val="0045265C"/>
    <w:rsid w:val="004527C2"/>
    <w:rsid w:val="004528DF"/>
    <w:rsid w:val="004529A3"/>
    <w:rsid w:val="00452B48"/>
    <w:rsid w:val="00452CEB"/>
    <w:rsid w:val="00452D3A"/>
    <w:rsid w:val="00453187"/>
    <w:rsid w:val="004531C6"/>
    <w:rsid w:val="004535B0"/>
    <w:rsid w:val="00453795"/>
    <w:rsid w:val="004537BC"/>
    <w:rsid w:val="004537F6"/>
    <w:rsid w:val="00453966"/>
    <w:rsid w:val="00453981"/>
    <w:rsid w:val="00453DF9"/>
    <w:rsid w:val="00453DFF"/>
    <w:rsid w:val="00453F6A"/>
    <w:rsid w:val="00454046"/>
    <w:rsid w:val="004540EE"/>
    <w:rsid w:val="004543F1"/>
    <w:rsid w:val="0045449A"/>
    <w:rsid w:val="004544BC"/>
    <w:rsid w:val="00454606"/>
    <w:rsid w:val="004547C6"/>
    <w:rsid w:val="00454995"/>
    <w:rsid w:val="00455368"/>
    <w:rsid w:val="00455597"/>
    <w:rsid w:val="00455697"/>
    <w:rsid w:val="00455853"/>
    <w:rsid w:val="00455997"/>
    <w:rsid w:val="00455A0E"/>
    <w:rsid w:val="00455AA1"/>
    <w:rsid w:val="00455B5C"/>
    <w:rsid w:val="00455DFC"/>
    <w:rsid w:val="00456030"/>
    <w:rsid w:val="00456557"/>
    <w:rsid w:val="00456691"/>
    <w:rsid w:val="00456808"/>
    <w:rsid w:val="00456981"/>
    <w:rsid w:val="00456AB1"/>
    <w:rsid w:val="00456C35"/>
    <w:rsid w:val="00456DE0"/>
    <w:rsid w:val="004570A6"/>
    <w:rsid w:val="004571F3"/>
    <w:rsid w:val="00457209"/>
    <w:rsid w:val="00457400"/>
    <w:rsid w:val="00457411"/>
    <w:rsid w:val="00457412"/>
    <w:rsid w:val="004574C7"/>
    <w:rsid w:val="0045755B"/>
    <w:rsid w:val="004575EE"/>
    <w:rsid w:val="004575F8"/>
    <w:rsid w:val="00457632"/>
    <w:rsid w:val="00457648"/>
    <w:rsid w:val="004576A7"/>
    <w:rsid w:val="00457A51"/>
    <w:rsid w:val="00457AAE"/>
    <w:rsid w:val="00457C2E"/>
    <w:rsid w:val="00457CBE"/>
    <w:rsid w:val="00457F51"/>
    <w:rsid w:val="004600D0"/>
    <w:rsid w:val="004604D1"/>
    <w:rsid w:val="00460544"/>
    <w:rsid w:val="00460655"/>
    <w:rsid w:val="00460739"/>
    <w:rsid w:val="00460769"/>
    <w:rsid w:val="00460822"/>
    <w:rsid w:val="004609C2"/>
    <w:rsid w:val="004609C4"/>
    <w:rsid w:val="00460AD9"/>
    <w:rsid w:val="00460D2A"/>
    <w:rsid w:val="00460D55"/>
    <w:rsid w:val="00460EA7"/>
    <w:rsid w:val="00460EFE"/>
    <w:rsid w:val="00460FA4"/>
    <w:rsid w:val="0046108E"/>
    <w:rsid w:val="00461244"/>
    <w:rsid w:val="00461411"/>
    <w:rsid w:val="00461591"/>
    <w:rsid w:val="00461915"/>
    <w:rsid w:val="00461EC5"/>
    <w:rsid w:val="00461F0B"/>
    <w:rsid w:val="0046200A"/>
    <w:rsid w:val="0046224D"/>
    <w:rsid w:val="004625FF"/>
    <w:rsid w:val="00462656"/>
    <w:rsid w:val="0046269C"/>
    <w:rsid w:val="00462726"/>
    <w:rsid w:val="004627C7"/>
    <w:rsid w:val="00462908"/>
    <w:rsid w:val="00462BBD"/>
    <w:rsid w:val="00462EA9"/>
    <w:rsid w:val="00462FC5"/>
    <w:rsid w:val="00463242"/>
    <w:rsid w:val="004633FF"/>
    <w:rsid w:val="00463507"/>
    <w:rsid w:val="0046381A"/>
    <w:rsid w:val="00463969"/>
    <w:rsid w:val="00463B7B"/>
    <w:rsid w:val="00463D5F"/>
    <w:rsid w:val="00464626"/>
    <w:rsid w:val="0046494A"/>
    <w:rsid w:val="00464AA8"/>
    <w:rsid w:val="00464D46"/>
    <w:rsid w:val="00464E84"/>
    <w:rsid w:val="00464EE0"/>
    <w:rsid w:val="00465024"/>
    <w:rsid w:val="00465069"/>
    <w:rsid w:val="00465163"/>
    <w:rsid w:val="00465339"/>
    <w:rsid w:val="00465678"/>
    <w:rsid w:val="00465784"/>
    <w:rsid w:val="0046585D"/>
    <w:rsid w:val="0046590E"/>
    <w:rsid w:val="00465DB2"/>
    <w:rsid w:val="00465FC7"/>
    <w:rsid w:val="00466188"/>
    <w:rsid w:val="004668CC"/>
    <w:rsid w:val="00466C84"/>
    <w:rsid w:val="00466D0B"/>
    <w:rsid w:val="00466F9F"/>
    <w:rsid w:val="0046700D"/>
    <w:rsid w:val="004673C0"/>
    <w:rsid w:val="00467554"/>
    <w:rsid w:val="004675A0"/>
    <w:rsid w:val="0046760E"/>
    <w:rsid w:val="00467686"/>
    <w:rsid w:val="004677B2"/>
    <w:rsid w:val="004677E4"/>
    <w:rsid w:val="00467BFE"/>
    <w:rsid w:val="00467CE5"/>
    <w:rsid w:val="00467DE2"/>
    <w:rsid w:val="00467EDB"/>
    <w:rsid w:val="00467F30"/>
    <w:rsid w:val="00470127"/>
    <w:rsid w:val="00470172"/>
    <w:rsid w:val="0047025E"/>
    <w:rsid w:val="0047059E"/>
    <w:rsid w:val="004705B3"/>
    <w:rsid w:val="004705F9"/>
    <w:rsid w:val="00470765"/>
    <w:rsid w:val="004707DC"/>
    <w:rsid w:val="0047086C"/>
    <w:rsid w:val="00470B75"/>
    <w:rsid w:val="00470D0F"/>
    <w:rsid w:val="00470F14"/>
    <w:rsid w:val="00470F23"/>
    <w:rsid w:val="00470FDA"/>
    <w:rsid w:val="004711A8"/>
    <w:rsid w:val="004711B9"/>
    <w:rsid w:val="004712FF"/>
    <w:rsid w:val="004713AB"/>
    <w:rsid w:val="004715AA"/>
    <w:rsid w:val="00471CD4"/>
    <w:rsid w:val="00471D28"/>
    <w:rsid w:val="00471E10"/>
    <w:rsid w:val="00471E53"/>
    <w:rsid w:val="00471E5D"/>
    <w:rsid w:val="0047207C"/>
    <w:rsid w:val="0047212F"/>
    <w:rsid w:val="004723FC"/>
    <w:rsid w:val="00472427"/>
    <w:rsid w:val="004724F6"/>
    <w:rsid w:val="00472838"/>
    <w:rsid w:val="00472950"/>
    <w:rsid w:val="00472A03"/>
    <w:rsid w:val="00472AA4"/>
    <w:rsid w:val="00472CB4"/>
    <w:rsid w:val="004731B3"/>
    <w:rsid w:val="00473461"/>
    <w:rsid w:val="004734F0"/>
    <w:rsid w:val="0047363D"/>
    <w:rsid w:val="004736C1"/>
    <w:rsid w:val="004736C9"/>
    <w:rsid w:val="004736D1"/>
    <w:rsid w:val="0047380B"/>
    <w:rsid w:val="004738C6"/>
    <w:rsid w:val="00473CC6"/>
    <w:rsid w:val="00473F58"/>
    <w:rsid w:val="00474140"/>
    <w:rsid w:val="00474234"/>
    <w:rsid w:val="0047434A"/>
    <w:rsid w:val="004745C6"/>
    <w:rsid w:val="00474679"/>
    <w:rsid w:val="004747D3"/>
    <w:rsid w:val="004749C4"/>
    <w:rsid w:val="00474C31"/>
    <w:rsid w:val="00474CA4"/>
    <w:rsid w:val="00474F66"/>
    <w:rsid w:val="0047504B"/>
    <w:rsid w:val="00475148"/>
    <w:rsid w:val="00475205"/>
    <w:rsid w:val="00475559"/>
    <w:rsid w:val="00475562"/>
    <w:rsid w:val="004755B0"/>
    <w:rsid w:val="004757C0"/>
    <w:rsid w:val="004758B0"/>
    <w:rsid w:val="004758E3"/>
    <w:rsid w:val="00475A15"/>
    <w:rsid w:val="00475A1F"/>
    <w:rsid w:val="00475BF4"/>
    <w:rsid w:val="00475D56"/>
    <w:rsid w:val="004761BA"/>
    <w:rsid w:val="00476268"/>
    <w:rsid w:val="004764E1"/>
    <w:rsid w:val="004764F9"/>
    <w:rsid w:val="00476BC0"/>
    <w:rsid w:val="00476BF7"/>
    <w:rsid w:val="00476F9B"/>
    <w:rsid w:val="004770C9"/>
    <w:rsid w:val="0047739B"/>
    <w:rsid w:val="0047756E"/>
    <w:rsid w:val="00477574"/>
    <w:rsid w:val="004777C4"/>
    <w:rsid w:val="004779DC"/>
    <w:rsid w:val="00477A1F"/>
    <w:rsid w:val="00477A5D"/>
    <w:rsid w:val="00477BCD"/>
    <w:rsid w:val="00477C41"/>
    <w:rsid w:val="00477FC1"/>
    <w:rsid w:val="00480530"/>
    <w:rsid w:val="004805CD"/>
    <w:rsid w:val="004806B5"/>
    <w:rsid w:val="00480868"/>
    <w:rsid w:val="00480BE3"/>
    <w:rsid w:val="00480C79"/>
    <w:rsid w:val="0048116E"/>
    <w:rsid w:val="00481469"/>
    <w:rsid w:val="004815ED"/>
    <w:rsid w:val="004816BC"/>
    <w:rsid w:val="004816CA"/>
    <w:rsid w:val="004816D9"/>
    <w:rsid w:val="00481805"/>
    <w:rsid w:val="00481C71"/>
    <w:rsid w:val="00481F32"/>
    <w:rsid w:val="004821FE"/>
    <w:rsid w:val="00482685"/>
    <w:rsid w:val="00482A5F"/>
    <w:rsid w:val="00482CAC"/>
    <w:rsid w:val="00482D74"/>
    <w:rsid w:val="00483053"/>
    <w:rsid w:val="004831DA"/>
    <w:rsid w:val="004832CE"/>
    <w:rsid w:val="00483472"/>
    <w:rsid w:val="004834B9"/>
    <w:rsid w:val="004834BF"/>
    <w:rsid w:val="0048379E"/>
    <w:rsid w:val="004837EF"/>
    <w:rsid w:val="00483B9D"/>
    <w:rsid w:val="00483BAC"/>
    <w:rsid w:val="00483E97"/>
    <w:rsid w:val="00483F91"/>
    <w:rsid w:val="00483FB0"/>
    <w:rsid w:val="00484153"/>
    <w:rsid w:val="00484469"/>
    <w:rsid w:val="004844AA"/>
    <w:rsid w:val="004845DE"/>
    <w:rsid w:val="00484696"/>
    <w:rsid w:val="004847F9"/>
    <w:rsid w:val="00484932"/>
    <w:rsid w:val="00484938"/>
    <w:rsid w:val="00484A66"/>
    <w:rsid w:val="00484B21"/>
    <w:rsid w:val="00484B56"/>
    <w:rsid w:val="00484EE2"/>
    <w:rsid w:val="0048536A"/>
    <w:rsid w:val="00485494"/>
    <w:rsid w:val="00485512"/>
    <w:rsid w:val="0048555A"/>
    <w:rsid w:val="00485679"/>
    <w:rsid w:val="0048572A"/>
    <w:rsid w:val="00485792"/>
    <w:rsid w:val="00485A3B"/>
    <w:rsid w:val="00485A81"/>
    <w:rsid w:val="00485B42"/>
    <w:rsid w:val="00485BEB"/>
    <w:rsid w:val="00485D10"/>
    <w:rsid w:val="00485DF3"/>
    <w:rsid w:val="00485EC4"/>
    <w:rsid w:val="00485F96"/>
    <w:rsid w:val="004863B2"/>
    <w:rsid w:val="00486448"/>
    <w:rsid w:val="00486598"/>
    <w:rsid w:val="00486652"/>
    <w:rsid w:val="004867D4"/>
    <w:rsid w:val="0048696B"/>
    <w:rsid w:val="00486BED"/>
    <w:rsid w:val="00486C5D"/>
    <w:rsid w:val="00486CA3"/>
    <w:rsid w:val="00486CBA"/>
    <w:rsid w:val="00486DB9"/>
    <w:rsid w:val="00486E8B"/>
    <w:rsid w:val="00486EC6"/>
    <w:rsid w:val="00486F75"/>
    <w:rsid w:val="00487261"/>
    <w:rsid w:val="00487498"/>
    <w:rsid w:val="004874C8"/>
    <w:rsid w:val="004874E2"/>
    <w:rsid w:val="0048761E"/>
    <w:rsid w:val="004877F0"/>
    <w:rsid w:val="0048781A"/>
    <w:rsid w:val="00487867"/>
    <w:rsid w:val="00487A33"/>
    <w:rsid w:val="00490355"/>
    <w:rsid w:val="0049045D"/>
    <w:rsid w:val="00490564"/>
    <w:rsid w:val="004905B1"/>
    <w:rsid w:val="0049081E"/>
    <w:rsid w:val="004909FB"/>
    <w:rsid w:val="00490A99"/>
    <w:rsid w:val="00490B3C"/>
    <w:rsid w:val="00490DAC"/>
    <w:rsid w:val="00491055"/>
    <w:rsid w:val="00491361"/>
    <w:rsid w:val="004913A2"/>
    <w:rsid w:val="0049196F"/>
    <w:rsid w:val="00491ADA"/>
    <w:rsid w:val="00491F8B"/>
    <w:rsid w:val="004920D9"/>
    <w:rsid w:val="004920F3"/>
    <w:rsid w:val="00492442"/>
    <w:rsid w:val="0049247B"/>
    <w:rsid w:val="00492665"/>
    <w:rsid w:val="004926BE"/>
    <w:rsid w:val="00492A25"/>
    <w:rsid w:val="00492B69"/>
    <w:rsid w:val="00492B9D"/>
    <w:rsid w:val="00492C00"/>
    <w:rsid w:val="00492CD7"/>
    <w:rsid w:val="004930BB"/>
    <w:rsid w:val="00493666"/>
    <w:rsid w:val="0049369E"/>
    <w:rsid w:val="00493C92"/>
    <w:rsid w:val="004940E0"/>
    <w:rsid w:val="004942DA"/>
    <w:rsid w:val="004944EB"/>
    <w:rsid w:val="0049461E"/>
    <w:rsid w:val="0049468B"/>
    <w:rsid w:val="0049471E"/>
    <w:rsid w:val="00494751"/>
    <w:rsid w:val="00494958"/>
    <w:rsid w:val="00494A14"/>
    <w:rsid w:val="00494A17"/>
    <w:rsid w:val="00494ABF"/>
    <w:rsid w:val="00494C27"/>
    <w:rsid w:val="00494C48"/>
    <w:rsid w:val="00494EC7"/>
    <w:rsid w:val="0049501E"/>
    <w:rsid w:val="0049503A"/>
    <w:rsid w:val="0049514D"/>
    <w:rsid w:val="004951FC"/>
    <w:rsid w:val="00495322"/>
    <w:rsid w:val="0049539A"/>
    <w:rsid w:val="00495499"/>
    <w:rsid w:val="0049558C"/>
    <w:rsid w:val="00495797"/>
    <w:rsid w:val="004957FE"/>
    <w:rsid w:val="00495C9A"/>
    <w:rsid w:val="00495D12"/>
    <w:rsid w:val="00495DFD"/>
    <w:rsid w:val="00496312"/>
    <w:rsid w:val="004964C3"/>
    <w:rsid w:val="0049660B"/>
    <w:rsid w:val="0049683F"/>
    <w:rsid w:val="004969BC"/>
    <w:rsid w:val="00496A03"/>
    <w:rsid w:val="00496B2B"/>
    <w:rsid w:val="00496B5F"/>
    <w:rsid w:val="00496CCB"/>
    <w:rsid w:val="00496CDD"/>
    <w:rsid w:val="00496D33"/>
    <w:rsid w:val="00496E42"/>
    <w:rsid w:val="00496EAA"/>
    <w:rsid w:val="00496F55"/>
    <w:rsid w:val="0049729E"/>
    <w:rsid w:val="00497471"/>
    <w:rsid w:val="004974BF"/>
    <w:rsid w:val="004974E5"/>
    <w:rsid w:val="00497612"/>
    <w:rsid w:val="0049772D"/>
    <w:rsid w:val="0049789A"/>
    <w:rsid w:val="0049790C"/>
    <w:rsid w:val="004979A7"/>
    <w:rsid w:val="00497ACB"/>
    <w:rsid w:val="00497C5C"/>
    <w:rsid w:val="00497D09"/>
    <w:rsid w:val="00497EB4"/>
    <w:rsid w:val="00497F35"/>
    <w:rsid w:val="00497FC4"/>
    <w:rsid w:val="004A0430"/>
    <w:rsid w:val="004A04D5"/>
    <w:rsid w:val="004A0515"/>
    <w:rsid w:val="004A0590"/>
    <w:rsid w:val="004A0693"/>
    <w:rsid w:val="004A06A4"/>
    <w:rsid w:val="004A0706"/>
    <w:rsid w:val="004A0943"/>
    <w:rsid w:val="004A0D3A"/>
    <w:rsid w:val="004A0FE8"/>
    <w:rsid w:val="004A1302"/>
    <w:rsid w:val="004A1731"/>
    <w:rsid w:val="004A184F"/>
    <w:rsid w:val="004A1933"/>
    <w:rsid w:val="004A195A"/>
    <w:rsid w:val="004A19AD"/>
    <w:rsid w:val="004A19FD"/>
    <w:rsid w:val="004A1AA7"/>
    <w:rsid w:val="004A1B3C"/>
    <w:rsid w:val="004A1B8D"/>
    <w:rsid w:val="004A1BC3"/>
    <w:rsid w:val="004A1C59"/>
    <w:rsid w:val="004A1CF2"/>
    <w:rsid w:val="004A1D07"/>
    <w:rsid w:val="004A1E27"/>
    <w:rsid w:val="004A1EB3"/>
    <w:rsid w:val="004A2054"/>
    <w:rsid w:val="004A206A"/>
    <w:rsid w:val="004A20A7"/>
    <w:rsid w:val="004A21E7"/>
    <w:rsid w:val="004A243E"/>
    <w:rsid w:val="004A24D1"/>
    <w:rsid w:val="004A24DE"/>
    <w:rsid w:val="004A25B0"/>
    <w:rsid w:val="004A2752"/>
    <w:rsid w:val="004A2884"/>
    <w:rsid w:val="004A29C8"/>
    <w:rsid w:val="004A2B34"/>
    <w:rsid w:val="004A2D33"/>
    <w:rsid w:val="004A2E6D"/>
    <w:rsid w:val="004A33E2"/>
    <w:rsid w:val="004A3772"/>
    <w:rsid w:val="004A3AF0"/>
    <w:rsid w:val="004A3CB7"/>
    <w:rsid w:val="004A3F95"/>
    <w:rsid w:val="004A45D7"/>
    <w:rsid w:val="004A45DA"/>
    <w:rsid w:val="004A4A12"/>
    <w:rsid w:val="004A4AF1"/>
    <w:rsid w:val="004A4CD7"/>
    <w:rsid w:val="004A4D79"/>
    <w:rsid w:val="004A5250"/>
    <w:rsid w:val="004A5444"/>
    <w:rsid w:val="004A54F9"/>
    <w:rsid w:val="004A5609"/>
    <w:rsid w:val="004A56DE"/>
    <w:rsid w:val="004A56F3"/>
    <w:rsid w:val="004A5DA1"/>
    <w:rsid w:val="004A5DB6"/>
    <w:rsid w:val="004A5E15"/>
    <w:rsid w:val="004A6125"/>
    <w:rsid w:val="004A617C"/>
    <w:rsid w:val="004A621F"/>
    <w:rsid w:val="004A635E"/>
    <w:rsid w:val="004A639C"/>
    <w:rsid w:val="004A6541"/>
    <w:rsid w:val="004A6656"/>
    <w:rsid w:val="004A6681"/>
    <w:rsid w:val="004A67EC"/>
    <w:rsid w:val="004A6893"/>
    <w:rsid w:val="004A6902"/>
    <w:rsid w:val="004A6B03"/>
    <w:rsid w:val="004A6B9B"/>
    <w:rsid w:val="004A6D3C"/>
    <w:rsid w:val="004A6E3B"/>
    <w:rsid w:val="004A7007"/>
    <w:rsid w:val="004A704F"/>
    <w:rsid w:val="004A7175"/>
    <w:rsid w:val="004A7290"/>
    <w:rsid w:val="004A774D"/>
    <w:rsid w:val="004A775D"/>
    <w:rsid w:val="004A7A4A"/>
    <w:rsid w:val="004A7B7D"/>
    <w:rsid w:val="004A7D6E"/>
    <w:rsid w:val="004A7E5F"/>
    <w:rsid w:val="004A7E9F"/>
    <w:rsid w:val="004A7FD0"/>
    <w:rsid w:val="004B01B0"/>
    <w:rsid w:val="004B01E1"/>
    <w:rsid w:val="004B06A8"/>
    <w:rsid w:val="004B07AB"/>
    <w:rsid w:val="004B0DAA"/>
    <w:rsid w:val="004B0DC6"/>
    <w:rsid w:val="004B110C"/>
    <w:rsid w:val="004B1136"/>
    <w:rsid w:val="004B11DC"/>
    <w:rsid w:val="004B14A3"/>
    <w:rsid w:val="004B1606"/>
    <w:rsid w:val="004B192B"/>
    <w:rsid w:val="004B194D"/>
    <w:rsid w:val="004B1995"/>
    <w:rsid w:val="004B1BA3"/>
    <w:rsid w:val="004B20CD"/>
    <w:rsid w:val="004B2273"/>
    <w:rsid w:val="004B24DD"/>
    <w:rsid w:val="004B264A"/>
    <w:rsid w:val="004B27C9"/>
    <w:rsid w:val="004B2A32"/>
    <w:rsid w:val="004B2C56"/>
    <w:rsid w:val="004B2DC0"/>
    <w:rsid w:val="004B2E70"/>
    <w:rsid w:val="004B30D5"/>
    <w:rsid w:val="004B3545"/>
    <w:rsid w:val="004B3732"/>
    <w:rsid w:val="004B3773"/>
    <w:rsid w:val="004B3840"/>
    <w:rsid w:val="004B3842"/>
    <w:rsid w:val="004B3D3E"/>
    <w:rsid w:val="004B4020"/>
    <w:rsid w:val="004B41F4"/>
    <w:rsid w:val="004B466F"/>
    <w:rsid w:val="004B46F6"/>
    <w:rsid w:val="004B48A3"/>
    <w:rsid w:val="004B48DD"/>
    <w:rsid w:val="004B4A4B"/>
    <w:rsid w:val="004B4A53"/>
    <w:rsid w:val="004B4CB6"/>
    <w:rsid w:val="004B4DDF"/>
    <w:rsid w:val="004B4E1C"/>
    <w:rsid w:val="004B5043"/>
    <w:rsid w:val="004B50E7"/>
    <w:rsid w:val="004B5186"/>
    <w:rsid w:val="004B53B8"/>
    <w:rsid w:val="004B569A"/>
    <w:rsid w:val="004B587D"/>
    <w:rsid w:val="004B5DB4"/>
    <w:rsid w:val="004B5E19"/>
    <w:rsid w:val="004B5F5A"/>
    <w:rsid w:val="004B6346"/>
    <w:rsid w:val="004B644A"/>
    <w:rsid w:val="004B6484"/>
    <w:rsid w:val="004B64C4"/>
    <w:rsid w:val="004B6638"/>
    <w:rsid w:val="004B6828"/>
    <w:rsid w:val="004B6AAC"/>
    <w:rsid w:val="004B6B43"/>
    <w:rsid w:val="004B6B93"/>
    <w:rsid w:val="004B6BBA"/>
    <w:rsid w:val="004B6C0B"/>
    <w:rsid w:val="004B6F7B"/>
    <w:rsid w:val="004B7258"/>
    <w:rsid w:val="004B73F9"/>
    <w:rsid w:val="004B7446"/>
    <w:rsid w:val="004B7613"/>
    <w:rsid w:val="004B793E"/>
    <w:rsid w:val="004B7954"/>
    <w:rsid w:val="004B7A2D"/>
    <w:rsid w:val="004B7AF6"/>
    <w:rsid w:val="004B7B01"/>
    <w:rsid w:val="004B7B73"/>
    <w:rsid w:val="004B7C12"/>
    <w:rsid w:val="004B7FFB"/>
    <w:rsid w:val="004C0067"/>
    <w:rsid w:val="004C023E"/>
    <w:rsid w:val="004C034A"/>
    <w:rsid w:val="004C0486"/>
    <w:rsid w:val="004C068F"/>
    <w:rsid w:val="004C0751"/>
    <w:rsid w:val="004C0888"/>
    <w:rsid w:val="004C0892"/>
    <w:rsid w:val="004C099A"/>
    <w:rsid w:val="004C0C39"/>
    <w:rsid w:val="004C0DF5"/>
    <w:rsid w:val="004C13D2"/>
    <w:rsid w:val="004C14AB"/>
    <w:rsid w:val="004C1516"/>
    <w:rsid w:val="004C160C"/>
    <w:rsid w:val="004C1648"/>
    <w:rsid w:val="004C16B3"/>
    <w:rsid w:val="004C173C"/>
    <w:rsid w:val="004C190B"/>
    <w:rsid w:val="004C1BCB"/>
    <w:rsid w:val="004C1C9D"/>
    <w:rsid w:val="004C1CDB"/>
    <w:rsid w:val="004C1E23"/>
    <w:rsid w:val="004C213B"/>
    <w:rsid w:val="004C2152"/>
    <w:rsid w:val="004C2306"/>
    <w:rsid w:val="004C230C"/>
    <w:rsid w:val="004C2552"/>
    <w:rsid w:val="004C258C"/>
    <w:rsid w:val="004C27B3"/>
    <w:rsid w:val="004C29D0"/>
    <w:rsid w:val="004C2A46"/>
    <w:rsid w:val="004C2B8A"/>
    <w:rsid w:val="004C2BCA"/>
    <w:rsid w:val="004C2C98"/>
    <w:rsid w:val="004C2EC6"/>
    <w:rsid w:val="004C3064"/>
    <w:rsid w:val="004C313B"/>
    <w:rsid w:val="004C31B7"/>
    <w:rsid w:val="004C32D2"/>
    <w:rsid w:val="004C32FD"/>
    <w:rsid w:val="004C331D"/>
    <w:rsid w:val="004C33E7"/>
    <w:rsid w:val="004C3477"/>
    <w:rsid w:val="004C34AF"/>
    <w:rsid w:val="004C37CC"/>
    <w:rsid w:val="004C3862"/>
    <w:rsid w:val="004C39B9"/>
    <w:rsid w:val="004C39BA"/>
    <w:rsid w:val="004C3B33"/>
    <w:rsid w:val="004C3CF6"/>
    <w:rsid w:val="004C3DF8"/>
    <w:rsid w:val="004C40EA"/>
    <w:rsid w:val="004C42DF"/>
    <w:rsid w:val="004C45AF"/>
    <w:rsid w:val="004C45FD"/>
    <w:rsid w:val="004C4729"/>
    <w:rsid w:val="004C4835"/>
    <w:rsid w:val="004C48A6"/>
    <w:rsid w:val="004C4A41"/>
    <w:rsid w:val="004C4A87"/>
    <w:rsid w:val="004C4B1B"/>
    <w:rsid w:val="004C4C85"/>
    <w:rsid w:val="004C51ED"/>
    <w:rsid w:val="004C533F"/>
    <w:rsid w:val="004C5364"/>
    <w:rsid w:val="004C5377"/>
    <w:rsid w:val="004C53CE"/>
    <w:rsid w:val="004C5710"/>
    <w:rsid w:val="004C5786"/>
    <w:rsid w:val="004C57F8"/>
    <w:rsid w:val="004C5948"/>
    <w:rsid w:val="004C5ADC"/>
    <w:rsid w:val="004C5AFA"/>
    <w:rsid w:val="004C5B8A"/>
    <w:rsid w:val="004C5F7D"/>
    <w:rsid w:val="004C620C"/>
    <w:rsid w:val="004C63E7"/>
    <w:rsid w:val="004C6443"/>
    <w:rsid w:val="004C65DF"/>
    <w:rsid w:val="004C671F"/>
    <w:rsid w:val="004C687F"/>
    <w:rsid w:val="004C695A"/>
    <w:rsid w:val="004C6BD3"/>
    <w:rsid w:val="004C6D85"/>
    <w:rsid w:val="004C710D"/>
    <w:rsid w:val="004C72B2"/>
    <w:rsid w:val="004C7309"/>
    <w:rsid w:val="004C7324"/>
    <w:rsid w:val="004C745E"/>
    <w:rsid w:val="004C762D"/>
    <w:rsid w:val="004C763A"/>
    <w:rsid w:val="004C76B9"/>
    <w:rsid w:val="004C76F8"/>
    <w:rsid w:val="004C78BB"/>
    <w:rsid w:val="004C79B5"/>
    <w:rsid w:val="004C7B27"/>
    <w:rsid w:val="004C7BCF"/>
    <w:rsid w:val="004C7C58"/>
    <w:rsid w:val="004C7C85"/>
    <w:rsid w:val="004C7C9B"/>
    <w:rsid w:val="004D0143"/>
    <w:rsid w:val="004D023E"/>
    <w:rsid w:val="004D02A8"/>
    <w:rsid w:val="004D02B2"/>
    <w:rsid w:val="004D0478"/>
    <w:rsid w:val="004D0684"/>
    <w:rsid w:val="004D0802"/>
    <w:rsid w:val="004D08A7"/>
    <w:rsid w:val="004D0988"/>
    <w:rsid w:val="004D0BFE"/>
    <w:rsid w:val="004D1130"/>
    <w:rsid w:val="004D1173"/>
    <w:rsid w:val="004D132C"/>
    <w:rsid w:val="004D1428"/>
    <w:rsid w:val="004D1469"/>
    <w:rsid w:val="004D1599"/>
    <w:rsid w:val="004D1BFD"/>
    <w:rsid w:val="004D1C9E"/>
    <w:rsid w:val="004D204B"/>
    <w:rsid w:val="004D2251"/>
    <w:rsid w:val="004D2298"/>
    <w:rsid w:val="004D241D"/>
    <w:rsid w:val="004D2587"/>
    <w:rsid w:val="004D25F9"/>
    <w:rsid w:val="004D2687"/>
    <w:rsid w:val="004D271E"/>
    <w:rsid w:val="004D28E5"/>
    <w:rsid w:val="004D29B5"/>
    <w:rsid w:val="004D2A96"/>
    <w:rsid w:val="004D2B95"/>
    <w:rsid w:val="004D2C80"/>
    <w:rsid w:val="004D2CA7"/>
    <w:rsid w:val="004D2CF7"/>
    <w:rsid w:val="004D2E9C"/>
    <w:rsid w:val="004D3376"/>
    <w:rsid w:val="004D3521"/>
    <w:rsid w:val="004D352C"/>
    <w:rsid w:val="004D38E7"/>
    <w:rsid w:val="004D39E6"/>
    <w:rsid w:val="004D3A18"/>
    <w:rsid w:val="004D3B48"/>
    <w:rsid w:val="004D3C19"/>
    <w:rsid w:val="004D3CB4"/>
    <w:rsid w:val="004D3CC4"/>
    <w:rsid w:val="004D3E7B"/>
    <w:rsid w:val="004D417D"/>
    <w:rsid w:val="004D43E3"/>
    <w:rsid w:val="004D4640"/>
    <w:rsid w:val="004D47B9"/>
    <w:rsid w:val="004D4D8D"/>
    <w:rsid w:val="004D4E2F"/>
    <w:rsid w:val="004D4E31"/>
    <w:rsid w:val="004D4EBB"/>
    <w:rsid w:val="004D4F40"/>
    <w:rsid w:val="004D5255"/>
    <w:rsid w:val="004D5472"/>
    <w:rsid w:val="004D56CE"/>
    <w:rsid w:val="004D5C13"/>
    <w:rsid w:val="004D5D7E"/>
    <w:rsid w:val="004D5E3C"/>
    <w:rsid w:val="004D5F1D"/>
    <w:rsid w:val="004D5F97"/>
    <w:rsid w:val="004D60E0"/>
    <w:rsid w:val="004D62E3"/>
    <w:rsid w:val="004D63D5"/>
    <w:rsid w:val="004D6598"/>
    <w:rsid w:val="004D665A"/>
    <w:rsid w:val="004D6843"/>
    <w:rsid w:val="004D7098"/>
    <w:rsid w:val="004D70B4"/>
    <w:rsid w:val="004D71BF"/>
    <w:rsid w:val="004D73C3"/>
    <w:rsid w:val="004D73D3"/>
    <w:rsid w:val="004D7401"/>
    <w:rsid w:val="004D749E"/>
    <w:rsid w:val="004D75A0"/>
    <w:rsid w:val="004D76C0"/>
    <w:rsid w:val="004D7719"/>
    <w:rsid w:val="004D7BBD"/>
    <w:rsid w:val="004D7D13"/>
    <w:rsid w:val="004D7DB8"/>
    <w:rsid w:val="004E01EE"/>
    <w:rsid w:val="004E03A6"/>
    <w:rsid w:val="004E06A6"/>
    <w:rsid w:val="004E087B"/>
    <w:rsid w:val="004E0A88"/>
    <w:rsid w:val="004E0AA5"/>
    <w:rsid w:val="004E0CED"/>
    <w:rsid w:val="004E0E56"/>
    <w:rsid w:val="004E0E57"/>
    <w:rsid w:val="004E1168"/>
    <w:rsid w:val="004E125C"/>
    <w:rsid w:val="004E15CB"/>
    <w:rsid w:val="004E15FE"/>
    <w:rsid w:val="004E1605"/>
    <w:rsid w:val="004E17F2"/>
    <w:rsid w:val="004E1960"/>
    <w:rsid w:val="004E1BD8"/>
    <w:rsid w:val="004E1BE9"/>
    <w:rsid w:val="004E1C05"/>
    <w:rsid w:val="004E1DDB"/>
    <w:rsid w:val="004E1EE1"/>
    <w:rsid w:val="004E202E"/>
    <w:rsid w:val="004E2060"/>
    <w:rsid w:val="004E2098"/>
    <w:rsid w:val="004E20A7"/>
    <w:rsid w:val="004E2225"/>
    <w:rsid w:val="004E226A"/>
    <w:rsid w:val="004E2420"/>
    <w:rsid w:val="004E2691"/>
    <w:rsid w:val="004E26E9"/>
    <w:rsid w:val="004E2787"/>
    <w:rsid w:val="004E2793"/>
    <w:rsid w:val="004E296D"/>
    <w:rsid w:val="004E29DB"/>
    <w:rsid w:val="004E2CE3"/>
    <w:rsid w:val="004E317D"/>
    <w:rsid w:val="004E36EE"/>
    <w:rsid w:val="004E37DE"/>
    <w:rsid w:val="004E38EB"/>
    <w:rsid w:val="004E39EB"/>
    <w:rsid w:val="004E3EFC"/>
    <w:rsid w:val="004E413B"/>
    <w:rsid w:val="004E4523"/>
    <w:rsid w:val="004E4617"/>
    <w:rsid w:val="004E467C"/>
    <w:rsid w:val="004E46FF"/>
    <w:rsid w:val="004E472A"/>
    <w:rsid w:val="004E48A6"/>
    <w:rsid w:val="004E4B06"/>
    <w:rsid w:val="004E4B97"/>
    <w:rsid w:val="004E4BB8"/>
    <w:rsid w:val="004E4C81"/>
    <w:rsid w:val="004E4DCA"/>
    <w:rsid w:val="004E4E02"/>
    <w:rsid w:val="004E5267"/>
    <w:rsid w:val="004E52A9"/>
    <w:rsid w:val="004E5341"/>
    <w:rsid w:val="004E5559"/>
    <w:rsid w:val="004E568C"/>
    <w:rsid w:val="004E5745"/>
    <w:rsid w:val="004E574B"/>
    <w:rsid w:val="004E5795"/>
    <w:rsid w:val="004E5994"/>
    <w:rsid w:val="004E59C0"/>
    <w:rsid w:val="004E5AA7"/>
    <w:rsid w:val="004E5D06"/>
    <w:rsid w:val="004E5E1A"/>
    <w:rsid w:val="004E5F4F"/>
    <w:rsid w:val="004E5FD4"/>
    <w:rsid w:val="004E6241"/>
    <w:rsid w:val="004E66D1"/>
    <w:rsid w:val="004E6794"/>
    <w:rsid w:val="004E6844"/>
    <w:rsid w:val="004E693F"/>
    <w:rsid w:val="004E6945"/>
    <w:rsid w:val="004E696D"/>
    <w:rsid w:val="004E6D13"/>
    <w:rsid w:val="004E6DB6"/>
    <w:rsid w:val="004E6DDC"/>
    <w:rsid w:val="004E73B1"/>
    <w:rsid w:val="004E749C"/>
    <w:rsid w:val="004E74D2"/>
    <w:rsid w:val="004E78FB"/>
    <w:rsid w:val="004E7902"/>
    <w:rsid w:val="004E79C6"/>
    <w:rsid w:val="004E7AC8"/>
    <w:rsid w:val="004E7B58"/>
    <w:rsid w:val="004E7C1B"/>
    <w:rsid w:val="004E7E36"/>
    <w:rsid w:val="004E7F0E"/>
    <w:rsid w:val="004F01DD"/>
    <w:rsid w:val="004F05BB"/>
    <w:rsid w:val="004F0797"/>
    <w:rsid w:val="004F07F8"/>
    <w:rsid w:val="004F0AC2"/>
    <w:rsid w:val="004F0AD4"/>
    <w:rsid w:val="004F0AFE"/>
    <w:rsid w:val="004F0C77"/>
    <w:rsid w:val="004F0EA2"/>
    <w:rsid w:val="004F0F0E"/>
    <w:rsid w:val="004F0FD0"/>
    <w:rsid w:val="004F10BC"/>
    <w:rsid w:val="004F11E1"/>
    <w:rsid w:val="004F140F"/>
    <w:rsid w:val="004F142B"/>
    <w:rsid w:val="004F1438"/>
    <w:rsid w:val="004F15FD"/>
    <w:rsid w:val="004F170E"/>
    <w:rsid w:val="004F1718"/>
    <w:rsid w:val="004F176A"/>
    <w:rsid w:val="004F1B86"/>
    <w:rsid w:val="004F1F5B"/>
    <w:rsid w:val="004F27D3"/>
    <w:rsid w:val="004F27EA"/>
    <w:rsid w:val="004F2825"/>
    <w:rsid w:val="004F28EF"/>
    <w:rsid w:val="004F2A19"/>
    <w:rsid w:val="004F2C39"/>
    <w:rsid w:val="004F333C"/>
    <w:rsid w:val="004F359D"/>
    <w:rsid w:val="004F3832"/>
    <w:rsid w:val="004F3879"/>
    <w:rsid w:val="004F38F8"/>
    <w:rsid w:val="004F3925"/>
    <w:rsid w:val="004F3A8E"/>
    <w:rsid w:val="004F3B9B"/>
    <w:rsid w:val="004F3CBD"/>
    <w:rsid w:val="004F41C7"/>
    <w:rsid w:val="004F44C6"/>
    <w:rsid w:val="004F44E5"/>
    <w:rsid w:val="004F44F2"/>
    <w:rsid w:val="004F4760"/>
    <w:rsid w:val="004F4764"/>
    <w:rsid w:val="004F4769"/>
    <w:rsid w:val="004F4839"/>
    <w:rsid w:val="004F4CC2"/>
    <w:rsid w:val="004F4EAF"/>
    <w:rsid w:val="004F5106"/>
    <w:rsid w:val="004F5225"/>
    <w:rsid w:val="004F52AC"/>
    <w:rsid w:val="004F53CC"/>
    <w:rsid w:val="004F543C"/>
    <w:rsid w:val="004F557C"/>
    <w:rsid w:val="004F561C"/>
    <w:rsid w:val="004F566C"/>
    <w:rsid w:val="004F56D0"/>
    <w:rsid w:val="004F57C8"/>
    <w:rsid w:val="004F5911"/>
    <w:rsid w:val="004F5B5B"/>
    <w:rsid w:val="004F5F7D"/>
    <w:rsid w:val="004F626F"/>
    <w:rsid w:val="004F6442"/>
    <w:rsid w:val="004F6765"/>
    <w:rsid w:val="004F6804"/>
    <w:rsid w:val="004F68CE"/>
    <w:rsid w:val="004F693F"/>
    <w:rsid w:val="004F6A99"/>
    <w:rsid w:val="004F6B34"/>
    <w:rsid w:val="004F7011"/>
    <w:rsid w:val="004F7164"/>
    <w:rsid w:val="004F71EF"/>
    <w:rsid w:val="004F7273"/>
    <w:rsid w:val="004F728F"/>
    <w:rsid w:val="004F7540"/>
    <w:rsid w:val="004F76EA"/>
    <w:rsid w:val="004F7A6B"/>
    <w:rsid w:val="004F7AB5"/>
    <w:rsid w:val="004F7AF9"/>
    <w:rsid w:val="004F7BCF"/>
    <w:rsid w:val="004F7CD6"/>
    <w:rsid w:val="0050005E"/>
    <w:rsid w:val="0050008E"/>
    <w:rsid w:val="00500430"/>
    <w:rsid w:val="00500476"/>
    <w:rsid w:val="00500848"/>
    <w:rsid w:val="0050085C"/>
    <w:rsid w:val="005008BE"/>
    <w:rsid w:val="005009B5"/>
    <w:rsid w:val="00500A39"/>
    <w:rsid w:val="00500AE8"/>
    <w:rsid w:val="00500E7E"/>
    <w:rsid w:val="00500FEA"/>
    <w:rsid w:val="005010C7"/>
    <w:rsid w:val="00501194"/>
    <w:rsid w:val="00501195"/>
    <w:rsid w:val="005013F1"/>
    <w:rsid w:val="0050143A"/>
    <w:rsid w:val="005015A4"/>
    <w:rsid w:val="0050173E"/>
    <w:rsid w:val="0050183A"/>
    <w:rsid w:val="0050196A"/>
    <w:rsid w:val="005019EF"/>
    <w:rsid w:val="00501CB6"/>
    <w:rsid w:val="00501EC4"/>
    <w:rsid w:val="0050218E"/>
    <w:rsid w:val="005022B2"/>
    <w:rsid w:val="005023B0"/>
    <w:rsid w:val="005023B5"/>
    <w:rsid w:val="00502702"/>
    <w:rsid w:val="005027E7"/>
    <w:rsid w:val="00502838"/>
    <w:rsid w:val="0050289E"/>
    <w:rsid w:val="00502BC3"/>
    <w:rsid w:val="00502E20"/>
    <w:rsid w:val="0050306B"/>
    <w:rsid w:val="00503070"/>
    <w:rsid w:val="00503083"/>
    <w:rsid w:val="00503222"/>
    <w:rsid w:val="0050331A"/>
    <w:rsid w:val="005033F9"/>
    <w:rsid w:val="0050341B"/>
    <w:rsid w:val="005034DF"/>
    <w:rsid w:val="00503728"/>
    <w:rsid w:val="005038AC"/>
    <w:rsid w:val="005039A0"/>
    <w:rsid w:val="00503B8D"/>
    <w:rsid w:val="00503BD7"/>
    <w:rsid w:val="00503BF5"/>
    <w:rsid w:val="00503C6B"/>
    <w:rsid w:val="00503CCF"/>
    <w:rsid w:val="00503F8D"/>
    <w:rsid w:val="00503FB3"/>
    <w:rsid w:val="00503FF6"/>
    <w:rsid w:val="005040A0"/>
    <w:rsid w:val="0050428A"/>
    <w:rsid w:val="00504331"/>
    <w:rsid w:val="005049EA"/>
    <w:rsid w:val="00504A4E"/>
    <w:rsid w:val="00504ABD"/>
    <w:rsid w:val="00504B84"/>
    <w:rsid w:val="00504C11"/>
    <w:rsid w:val="00504CDC"/>
    <w:rsid w:val="00504D09"/>
    <w:rsid w:val="00504FEB"/>
    <w:rsid w:val="005050B4"/>
    <w:rsid w:val="005051F4"/>
    <w:rsid w:val="00505312"/>
    <w:rsid w:val="00505781"/>
    <w:rsid w:val="0050593D"/>
    <w:rsid w:val="00505B5A"/>
    <w:rsid w:val="00505B74"/>
    <w:rsid w:val="00505B95"/>
    <w:rsid w:val="00505E89"/>
    <w:rsid w:val="00505F75"/>
    <w:rsid w:val="00505FF7"/>
    <w:rsid w:val="0050669C"/>
    <w:rsid w:val="005066F4"/>
    <w:rsid w:val="00506ACD"/>
    <w:rsid w:val="00506B7C"/>
    <w:rsid w:val="00506C16"/>
    <w:rsid w:val="00506EE0"/>
    <w:rsid w:val="00506F82"/>
    <w:rsid w:val="00506FD4"/>
    <w:rsid w:val="00507273"/>
    <w:rsid w:val="005072C0"/>
    <w:rsid w:val="005072DE"/>
    <w:rsid w:val="005079E5"/>
    <w:rsid w:val="00507A29"/>
    <w:rsid w:val="00507A87"/>
    <w:rsid w:val="00507AB7"/>
    <w:rsid w:val="00507B60"/>
    <w:rsid w:val="00507D37"/>
    <w:rsid w:val="0051034B"/>
    <w:rsid w:val="00510485"/>
    <w:rsid w:val="00510522"/>
    <w:rsid w:val="0051052D"/>
    <w:rsid w:val="0051059C"/>
    <w:rsid w:val="00510AE7"/>
    <w:rsid w:val="00510B0C"/>
    <w:rsid w:val="00510C63"/>
    <w:rsid w:val="00510FB4"/>
    <w:rsid w:val="00511247"/>
    <w:rsid w:val="005112D7"/>
    <w:rsid w:val="0051142D"/>
    <w:rsid w:val="005115A0"/>
    <w:rsid w:val="00511883"/>
    <w:rsid w:val="00511B28"/>
    <w:rsid w:val="00511C35"/>
    <w:rsid w:val="00511CE1"/>
    <w:rsid w:val="00511D7C"/>
    <w:rsid w:val="00511F41"/>
    <w:rsid w:val="00512120"/>
    <w:rsid w:val="005123F4"/>
    <w:rsid w:val="00512458"/>
    <w:rsid w:val="005125D8"/>
    <w:rsid w:val="005125FF"/>
    <w:rsid w:val="00512881"/>
    <w:rsid w:val="005128BA"/>
    <w:rsid w:val="0051298A"/>
    <w:rsid w:val="00512BE4"/>
    <w:rsid w:val="00512BFB"/>
    <w:rsid w:val="00512C12"/>
    <w:rsid w:val="00512DA4"/>
    <w:rsid w:val="00512FBE"/>
    <w:rsid w:val="005131CD"/>
    <w:rsid w:val="005131D3"/>
    <w:rsid w:val="00513445"/>
    <w:rsid w:val="0051358A"/>
    <w:rsid w:val="005135FA"/>
    <w:rsid w:val="0051362D"/>
    <w:rsid w:val="00513702"/>
    <w:rsid w:val="00513920"/>
    <w:rsid w:val="0051398E"/>
    <w:rsid w:val="00513992"/>
    <w:rsid w:val="00513C2A"/>
    <w:rsid w:val="00513E54"/>
    <w:rsid w:val="00513F26"/>
    <w:rsid w:val="00514176"/>
    <w:rsid w:val="005143F4"/>
    <w:rsid w:val="005144F0"/>
    <w:rsid w:val="00514A1E"/>
    <w:rsid w:val="00514BFD"/>
    <w:rsid w:val="00514C59"/>
    <w:rsid w:val="00514D7E"/>
    <w:rsid w:val="00514DD7"/>
    <w:rsid w:val="00514ED9"/>
    <w:rsid w:val="00514F2F"/>
    <w:rsid w:val="00515022"/>
    <w:rsid w:val="0051508B"/>
    <w:rsid w:val="005150DE"/>
    <w:rsid w:val="005150F8"/>
    <w:rsid w:val="005152C4"/>
    <w:rsid w:val="00515354"/>
    <w:rsid w:val="00515515"/>
    <w:rsid w:val="0051600F"/>
    <w:rsid w:val="005160E6"/>
    <w:rsid w:val="005163B6"/>
    <w:rsid w:val="00516435"/>
    <w:rsid w:val="005164C7"/>
    <w:rsid w:val="0051664F"/>
    <w:rsid w:val="005166BD"/>
    <w:rsid w:val="00516788"/>
    <w:rsid w:val="005169E2"/>
    <w:rsid w:val="00516C5C"/>
    <w:rsid w:val="00516E58"/>
    <w:rsid w:val="00516FB4"/>
    <w:rsid w:val="0051707D"/>
    <w:rsid w:val="0051714E"/>
    <w:rsid w:val="005171B5"/>
    <w:rsid w:val="00517266"/>
    <w:rsid w:val="00517787"/>
    <w:rsid w:val="00517B29"/>
    <w:rsid w:val="00517B33"/>
    <w:rsid w:val="00517E69"/>
    <w:rsid w:val="005200B4"/>
    <w:rsid w:val="00520108"/>
    <w:rsid w:val="00520155"/>
    <w:rsid w:val="00520172"/>
    <w:rsid w:val="00520322"/>
    <w:rsid w:val="00520969"/>
    <w:rsid w:val="00520B3D"/>
    <w:rsid w:val="00520B78"/>
    <w:rsid w:val="00520BCA"/>
    <w:rsid w:val="00520C5B"/>
    <w:rsid w:val="00520E58"/>
    <w:rsid w:val="00521001"/>
    <w:rsid w:val="005210D0"/>
    <w:rsid w:val="00521159"/>
    <w:rsid w:val="005214C5"/>
    <w:rsid w:val="0052151F"/>
    <w:rsid w:val="005215FF"/>
    <w:rsid w:val="00521852"/>
    <w:rsid w:val="00521973"/>
    <w:rsid w:val="00521B67"/>
    <w:rsid w:val="00521CD5"/>
    <w:rsid w:val="00521D1A"/>
    <w:rsid w:val="00521DCF"/>
    <w:rsid w:val="00521E62"/>
    <w:rsid w:val="00522109"/>
    <w:rsid w:val="005224E5"/>
    <w:rsid w:val="0052250B"/>
    <w:rsid w:val="0052252E"/>
    <w:rsid w:val="00522A37"/>
    <w:rsid w:val="00522C26"/>
    <w:rsid w:val="0052317F"/>
    <w:rsid w:val="00523417"/>
    <w:rsid w:val="00523421"/>
    <w:rsid w:val="00523475"/>
    <w:rsid w:val="00523514"/>
    <w:rsid w:val="0052368F"/>
    <w:rsid w:val="0052373D"/>
    <w:rsid w:val="00523779"/>
    <w:rsid w:val="00523ACE"/>
    <w:rsid w:val="00523B2E"/>
    <w:rsid w:val="00523D26"/>
    <w:rsid w:val="00523DB2"/>
    <w:rsid w:val="00523DF3"/>
    <w:rsid w:val="00523FD7"/>
    <w:rsid w:val="005242F2"/>
    <w:rsid w:val="005247CD"/>
    <w:rsid w:val="005248BB"/>
    <w:rsid w:val="005248EC"/>
    <w:rsid w:val="0052493B"/>
    <w:rsid w:val="00524CE3"/>
    <w:rsid w:val="00524D38"/>
    <w:rsid w:val="00524E67"/>
    <w:rsid w:val="00524E9D"/>
    <w:rsid w:val="00524EDE"/>
    <w:rsid w:val="00524F96"/>
    <w:rsid w:val="00524FE1"/>
    <w:rsid w:val="00524FE6"/>
    <w:rsid w:val="00525236"/>
    <w:rsid w:val="005253F6"/>
    <w:rsid w:val="00525800"/>
    <w:rsid w:val="00525859"/>
    <w:rsid w:val="00525917"/>
    <w:rsid w:val="00525981"/>
    <w:rsid w:val="00525999"/>
    <w:rsid w:val="005259F7"/>
    <w:rsid w:val="00525AD8"/>
    <w:rsid w:val="00525B9A"/>
    <w:rsid w:val="00525C3D"/>
    <w:rsid w:val="00525E86"/>
    <w:rsid w:val="00526180"/>
    <w:rsid w:val="0052621E"/>
    <w:rsid w:val="00526603"/>
    <w:rsid w:val="00526613"/>
    <w:rsid w:val="00526619"/>
    <w:rsid w:val="005267B8"/>
    <w:rsid w:val="00526918"/>
    <w:rsid w:val="00526B10"/>
    <w:rsid w:val="00526C02"/>
    <w:rsid w:val="00526D34"/>
    <w:rsid w:val="00527060"/>
    <w:rsid w:val="00527083"/>
    <w:rsid w:val="00527243"/>
    <w:rsid w:val="0052738C"/>
    <w:rsid w:val="005274F4"/>
    <w:rsid w:val="00527754"/>
    <w:rsid w:val="005278C3"/>
    <w:rsid w:val="00527C6D"/>
    <w:rsid w:val="00527DA1"/>
    <w:rsid w:val="00527E1E"/>
    <w:rsid w:val="00527EA1"/>
    <w:rsid w:val="00527F41"/>
    <w:rsid w:val="0053057E"/>
    <w:rsid w:val="005306C4"/>
    <w:rsid w:val="00530932"/>
    <w:rsid w:val="005309D9"/>
    <w:rsid w:val="00530EAD"/>
    <w:rsid w:val="00530EE4"/>
    <w:rsid w:val="00530F8A"/>
    <w:rsid w:val="005312E8"/>
    <w:rsid w:val="005312F2"/>
    <w:rsid w:val="005315B9"/>
    <w:rsid w:val="00531615"/>
    <w:rsid w:val="005317BD"/>
    <w:rsid w:val="005317EE"/>
    <w:rsid w:val="00531951"/>
    <w:rsid w:val="00531CEB"/>
    <w:rsid w:val="00531E33"/>
    <w:rsid w:val="00531ECA"/>
    <w:rsid w:val="00532261"/>
    <w:rsid w:val="00532436"/>
    <w:rsid w:val="00532479"/>
    <w:rsid w:val="0053247D"/>
    <w:rsid w:val="005324BC"/>
    <w:rsid w:val="00532516"/>
    <w:rsid w:val="005326C0"/>
    <w:rsid w:val="005329C0"/>
    <w:rsid w:val="00532A17"/>
    <w:rsid w:val="00532FD8"/>
    <w:rsid w:val="0053319F"/>
    <w:rsid w:val="00533295"/>
    <w:rsid w:val="00533444"/>
    <w:rsid w:val="00533485"/>
    <w:rsid w:val="00533557"/>
    <w:rsid w:val="005337DB"/>
    <w:rsid w:val="00533897"/>
    <w:rsid w:val="005339EB"/>
    <w:rsid w:val="00533A95"/>
    <w:rsid w:val="00533AD7"/>
    <w:rsid w:val="00533B26"/>
    <w:rsid w:val="00533C65"/>
    <w:rsid w:val="00533CFE"/>
    <w:rsid w:val="00533EAB"/>
    <w:rsid w:val="00533FD6"/>
    <w:rsid w:val="00534106"/>
    <w:rsid w:val="005342CC"/>
    <w:rsid w:val="005342EB"/>
    <w:rsid w:val="00534558"/>
    <w:rsid w:val="00534701"/>
    <w:rsid w:val="005347C6"/>
    <w:rsid w:val="00534937"/>
    <w:rsid w:val="00534AFD"/>
    <w:rsid w:val="00534B06"/>
    <w:rsid w:val="00534C44"/>
    <w:rsid w:val="00534F5D"/>
    <w:rsid w:val="00534FE2"/>
    <w:rsid w:val="005351E1"/>
    <w:rsid w:val="0053533A"/>
    <w:rsid w:val="005355F5"/>
    <w:rsid w:val="00535659"/>
    <w:rsid w:val="00535693"/>
    <w:rsid w:val="00535A13"/>
    <w:rsid w:val="00535B45"/>
    <w:rsid w:val="00535C1E"/>
    <w:rsid w:val="00535C4D"/>
    <w:rsid w:val="00535FD3"/>
    <w:rsid w:val="00535FF4"/>
    <w:rsid w:val="00536007"/>
    <w:rsid w:val="005360CE"/>
    <w:rsid w:val="005360FD"/>
    <w:rsid w:val="005362FC"/>
    <w:rsid w:val="0053637F"/>
    <w:rsid w:val="00536711"/>
    <w:rsid w:val="00536763"/>
    <w:rsid w:val="00536894"/>
    <w:rsid w:val="005369C2"/>
    <w:rsid w:val="005369CE"/>
    <w:rsid w:val="00536CA6"/>
    <w:rsid w:val="00536D90"/>
    <w:rsid w:val="00537068"/>
    <w:rsid w:val="0053727C"/>
    <w:rsid w:val="005372F6"/>
    <w:rsid w:val="0053750C"/>
    <w:rsid w:val="005377DC"/>
    <w:rsid w:val="00537A6C"/>
    <w:rsid w:val="00537C56"/>
    <w:rsid w:val="00537D37"/>
    <w:rsid w:val="00537F78"/>
    <w:rsid w:val="00540168"/>
    <w:rsid w:val="00540212"/>
    <w:rsid w:val="0054025A"/>
    <w:rsid w:val="005404C3"/>
    <w:rsid w:val="00540931"/>
    <w:rsid w:val="00540BD4"/>
    <w:rsid w:val="00540CA6"/>
    <w:rsid w:val="00540D1C"/>
    <w:rsid w:val="00540E77"/>
    <w:rsid w:val="00540F5E"/>
    <w:rsid w:val="00541246"/>
    <w:rsid w:val="0054134F"/>
    <w:rsid w:val="0054146E"/>
    <w:rsid w:val="0054162F"/>
    <w:rsid w:val="00541A75"/>
    <w:rsid w:val="00541B0C"/>
    <w:rsid w:val="00541CDF"/>
    <w:rsid w:val="00541D21"/>
    <w:rsid w:val="00541D7C"/>
    <w:rsid w:val="00541E89"/>
    <w:rsid w:val="00541F52"/>
    <w:rsid w:val="005421EE"/>
    <w:rsid w:val="005424B8"/>
    <w:rsid w:val="005424FB"/>
    <w:rsid w:val="00542853"/>
    <w:rsid w:val="00542864"/>
    <w:rsid w:val="00542892"/>
    <w:rsid w:val="00542C23"/>
    <w:rsid w:val="00542F5D"/>
    <w:rsid w:val="005434FE"/>
    <w:rsid w:val="00543642"/>
    <w:rsid w:val="00543669"/>
    <w:rsid w:val="0054381F"/>
    <w:rsid w:val="00543900"/>
    <w:rsid w:val="00543AB9"/>
    <w:rsid w:val="00543C73"/>
    <w:rsid w:val="00543E52"/>
    <w:rsid w:val="00543EB4"/>
    <w:rsid w:val="00544142"/>
    <w:rsid w:val="005441FA"/>
    <w:rsid w:val="0054429E"/>
    <w:rsid w:val="005443A4"/>
    <w:rsid w:val="00544833"/>
    <w:rsid w:val="00544AC6"/>
    <w:rsid w:val="00544DEB"/>
    <w:rsid w:val="00544E30"/>
    <w:rsid w:val="00544E5D"/>
    <w:rsid w:val="0054526F"/>
    <w:rsid w:val="005458DD"/>
    <w:rsid w:val="00545928"/>
    <w:rsid w:val="005459B5"/>
    <w:rsid w:val="00545A78"/>
    <w:rsid w:val="00545BF4"/>
    <w:rsid w:val="00545CC7"/>
    <w:rsid w:val="00545D47"/>
    <w:rsid w:val="00546197"/>
    <w:rsid w:val="00546336"/>
    <w:rsid w:val="00546367"/>
    <w:rsid w:val="005464BA"/>
    <w:rsid w:val="005464DA"/>
    <w:rsid w:val="005464E1"/>
    <w:rsid w:val="005466EF"/>
    <w:rsid w:val="0054678E"/>
    <w:rsid w:val="00546871"/>
    <w:rsid w:val="0054695C"/>
    <w:rsid w:val="00546A75"/>
    <w:rsid w:val="00546BB4"/>
    <w:rsid w:val="00546C2A"/>
    <w:rsid w:val="00546C4F"/>
    <w:rsid w:val="00546DD5"/>
    <w:rsid w:val="00546EF7"/>
    <w:rsid w:val="00546FF3"/>
    <w:rsid w:val="005472C6"/>
    <w:rsid w:val="005472CA"/>
    <w:rsid w:val="005473A7"/>
    <w:rsid w:val="005473CD"/>
    <w:rsid w:val="00547490"/>
    <w:rsid w:val="005479A2"/>
    <w:rsid w:val="00547A00"/>
    <w:rsid w:val="00547AD3"/>
    <w:rsid w:val="00547D14"/>
    <w:rsid w:val="00547ECD"/>
    <w:rsid w:val="00550055"/>
    <w:rsid w:val="005501A9"/>
    <w:rsid w:val="00550405"/>
    <w:rsid w:val="0055047A"/>
    <w:rsid w:val="00550585"/>
    <w:rsid w:val="00550708"/>
    <w:rsid w:val="0055070F"/>
    <w:rsid w:val="00550C76"/>
    <w:rsid w:val="00550D61"/>
    <w:rsid w:val="00551064"/>
    <w:rsid w:val="00551276"/>
    <w:rsid w:val="005512E1"/>
    <w:rsid w:val="005514B4"/>
    <w:rsid w:val="00551535"/>
    <w:rsid w:val="005515CF"/>
    <w:rsid w:val="005519B7"/>
    <w:rsid w:val="00551B7C"/>
    <w:rsid w:val="00551BA1"/>
    <w:rsid w:val="00551C9D"/>
    <w:rsid w:val="00551CBB"/>
    <w:rsid w:val="00551F8C"/>
    <w:rsid w:val="00552056"/>
    <w:rsid w:val="00552071"/>
    <w:rsid w:val="00552127"/>
    <w:rsid w:val="005522A8"/>
    <w:rsid w:val="00552695"/>
    <w:rsid w:val="0055280B"/>
    <w:rsid w:val="005529DA"/>
    <w:rsid w:val="00552A96"/>
    <w:rsid w:val="00552C75"/>
    <w:rsid w:val="00552F69"/>
    <w:rsid w:val="005530FD"/>
    <w:rsid w:val="00553523"/>
    <w:rsid w:val="00553701"/>
    <w:rsid w:val="005537F2"/>
    <w:rsid w:val="005538FE"/>
    <w:rsid w:val="00553958"/>
    <w:rsid w:val="005539BB"/>
    <w:rsid w:val="00553AF6"/>
    <w:rsid w:val="00553C70"/>
    <w:rsid w:val="00553E6C"/>
    <w:rsid w:val="0055407F"/>
    <w:rsid w:val="005541B1"/>
    <w:rsid w:val="0055439D"/>
    <w:rsid w:val="00554435"/>
    <w:rsid w:val="00554813"/>
    <w:rsid w:val="005549F6"/>
    <w:rsid w:val="00554C62"/>
    <w:rsid w:val="00554E0B"/>
    <w:rsid w:val="00554EB6"/>
    <w:rsid w:val="005550BC"/>
    <w:rsid w:val="00555252"/>
    <w:rsid w:val="00555274"/>
    <w:rsid w:val="005553A3"/>
    <w:rsid w:val="005553FD"/>
    <w:rsid w:val="0055547C"/>
    <w:rsid w:val="00555489"/>
    <w:rsid w:val="00555AA6"/>
    <w:rsid w:val="00555E2B"/>
    <w:rsid w:val="00555F31"/>
    <w:rsid w:val="00555FAF"/>
    <w:rsid w:val="00556130"/>
    <w:rsid w:val="005561B7"/>
    <w:rsid w:val="00556233"/>
    <w:rsid w:val="00556615"/>
    <w:rsid w:val="0055662E"/>
    <w:rsid w:val="00556630"/>
    <w:rsid w:val="0055673D"/>
    <w:rsid w:val="0055691C"/>
    <w:rsid w:val="00556A0C"/>
    <w:rsid w:val="00556A3C"/>
    <w:rsid w:val="00556AA7"/>
    <w:rsid w:val="00556C29"/>
    <w:rsid w:val="00556D41"/>
    <w:rsid w:val="00556E37"/>
    <w:rsid w:val="00557032"/>
    <w:rsid w:val="005571E6"/>
    <w:rsid w:val="0055729B"/>
    <w:rsid w:val="0055729E"/>
    <w:rsid w:val="00557761"/>
    <w:rsid w:val="00557883"/>
    <w:rsid w:val="00557A21"/>
    <w:rsid w:val="00557A2A"/>
    <w:rsid w:val="00557AD3"/>
    <w:rsid w:val="00557BC9"/>
    <w:rsid w:val="00557D51"/>
    <w:rsid w:val="00557E67"/>
    <w:rsid w:val="005600AA"/>
    <w:rsid w:val="005600C3"/>
    <w:rsid w:val="0056031B"/>
    <w:rsid w:val="0056057D"/>
    <w:rsid w:val="005606BF"/>
    <w:rsid w:val="00560725"/>
    <w:rsid w:val="005607EB"/>
    <w:rsid w:val="0056088F"/>
    <w:rsid w:val="005608A2"/>
    <w:rsid w:val="005609E6"/>
    <w:rsid w:val="00560BC4"/>
    <w:rsid w:val="00560BCF"/>
    <w:rsid w:val="00560DF5"/>
    <w:rsid w:val="00560E6A"/>
    <w:rsid w:val="00561085"/>
    <w:rsid w:val="005610FB"/>
    <w:rsid w:val="00561768"/>
    <w:rsid w:val="00561DA1"/>
    <w:rsid w:val="00561DCC"/>
    <w:rsid w:val="00561FA6"/>
    <w:rsid w:val="00562088"/>
    <w:rsid w:val="00562120"/>
    <w:rsid w:val="005622B4"/>
    <w:rsid w:val="00562399"/>
    <w:rsid w:val="005623B9"/>
    <w:rsid w:val="005626DD"/>
    <w:rsid w:val="0056278E"/>
    <w:rsid w:val="00562917"/>
    <w:rsid w:val="00562B30"/>
    <w:rsid w:val="00562D5E"/>
    <w:rsid w:val="005630B1"/>
    <w:rsid w:val="00563117"/>
    <w:rsid w:val="0056350C"/>
    <w:rsid w:val="00563523"/>
    <w:rsid w:val="00563595"/>
    <w:rsid w:val="005636EE"/>
    <w:rsid w:val="0056377C"/>
    <w:rsid w:val="005637D6"/>
    <w:rsid w:val="00563AD6"/>
    <w:rsid w:val="0056402F"/>
    <w:rsid w:val="005641DD"/>
    <w:rsid w:val="005642C0"/>
    <w:rsid w:val="005646A4"/>
    <w:rsid w:val="0056472E"/>
    <w:rsid w:val="005647C4"/>
    <w:rsid w:val="005648CD"/>
    <w:rsid w:val="00564A83"/>
    <w:rsid w:val="00564AEE"/>
    <w:rsid w:val="00564B0B"/>
    <w:rsid w:val="00564B46"/>
    <w:rsid w:val="00564C0F"/>
    <w:rsid w:val="00564CD2"/>
    <w:rsid w:val="00564DF3"/>
    <w:rsid w:val="00564F32"/>
    <w:rsid w:val="00565027"/>
    <w:rsid w:val="00565681"/>
    <w:rsid w:val="005656FC"/>
    <w:rsid w:val="00565A2D"/>
    <w:rsid w:val="00565B47"/>
    <w:rsid w:val="00565BD1"/>
    <w:rsid w:val="00565C7B"/>
    <w:rsid w:val="00565E37"/>
    <w:rsid w:val="00565EAA"/>
    <w:rsid w:val="0056612E"/>
    <w:rsid w:val="0056616E"/>
    <w:rsid w:val="005661B0"/>
    <w:rsid w:val="00566341"/>
    <w:rsid w:val="005663FA"/>
    <w:rsid w:val="00566404"/>
    <w:rsid w:val="00566765"/>
    <w:rsid w:val="005668E5"/>
    <w:rsid w:val="00566945"/>
    <w:rsid w:val="00566985"/>
    <w:rsid w:val="00566AE7"/>
    <w:rsid w:val="00566C43"/>
    <w:rsid w:val="00566D9C"/>
    <w:rsid w:val="00566EC4"/>
    <w:rsid w:val="0056716B"/>
    <w:rsid w:val="00567195"/>
    <w:rsid w:val="0056728F"/>
    <w:rsid w:val="005673FF"/>
    <w:rsid w:val="00567479"/>
    <w:rsid w:val="00567553"/>
    <w:rsid w:val="005677AE"/>
    <w:rsid w:val="005678D8"/>
    <w:rsid w:val="00567A3D"/>
    <w:rsid w:val="00567A80"/>
    <w:rsid w:val="00567ADE"/>
    <w:rsid w:val="00567C3F"/>
    <w:rsid w:val="00567F0E"/>
    <w:rsid w:val="00567FD8"/>
    <w:rsid w:val="005702DB"/>
    <w:rsid w:val="00570397"/>
    <w:rsid w:val="00570399"/>
    <w:rsid w:val="0057059E"/>
    <w:rsid w:val="00570ACD"/>
    <w:rsid w:val="00570D9A"/>
    <w:rsid w:val="005710BF"/>
    <w:rsid w:val="00571113"/>
    <w:rsid w:val="0057130D"/>
    <w:rsid w:val="005717B0"/>
    <w:rsid w:val="00571AC8"/>
    <w:rsid w:val="00571B66"/>
    <w:rsid w:val="00571BF2"/>
    <w:rsid w:val="00571F37"/>
    <w:rsid w:val="00571F8F"/>
    <w:rsid w:val="00571FC6"/>
    <w:rsid w:val="0057217D"/>
    <w:rsid w:val="0057221C"/>
    <w:rsid w:val="005722B4"/>
    <w:rsid w:val="005723A9"/>
    <w:rsid w:val="005725B3"/>
    <w:rsid w:val="00572626"/>
    <w:rsid w:val="00572701"/>
    <w:rsid w:val="005727A3"/>
    <w:rsid w:val="00572808"/>
    <w:rsid w:val="00572855"/>
    <w:rsid w:val="0057286A"/>
    <w:rsid w:val="005728B4"/>
    <w:rsid w:val="005728F2"/>
    <w:rsid w:val="00572AA4"/>
    <w:rsid w:val="00572D59"/>
    <w:rsid w:val="00572EB3"/>
    <w:rsid w:val="00572EBA"/>
    <w:rsid w:val="00573375"/>
    <w:rsid w:val="00573524"/>
    <w:rsid w:val="00573811"/>
    <w:rsid w:val="0057384A"/>
    <w:rsid w:val="005739D9"/>
    <w:rsid w:val="00573AAD"/>
    <w:rsid w:val="00573C21"/>
    <w:rsid w:val="00573ED0"/>
    <w:rsid w:val="00573FEB"/>
    <w:rsid w:val="005740C2"/>
    <w:rsid w:val="005740E5"/>
    <w:rsid w:val="00574127"/>
    <w:rsid w:val="005743EC"/>
    <w:rsid w:val="00574400"/>
    <w:rsid w:val="0057457B"/>
    <w:rsid w:val="005745EC"/>
    <w:rsid w:val="00574665"/>
    <w:rsid w:val="0057469D"/>
    <w:rsid w:val="0057469F"/>
    <w:rsid w:val="0057470F"/>
    <w:rsid w:val="005747A8"/>
    <w:rsid w:val="00574806"/>
    <w:rsid w:val="0057489F"/>
    <w:rsid w:val="00574A5D"/>
    <w:rsid w:val="00574C6E"/>
    <w:rsid w:val="00574CEC"/>
    <w:rsid w:val="00574F9E"/>
    <w:rsid w:val="0057505B"/>
    <w:rsid w:val="005751AB"/>
    <w:rsid w:val="0057529D"/>
    <w:rsid w:val="005756C2"/>
    <w:rsid w:val="00575732"/>
    <w:rsid w:val="005758EF"/>
    <w:rsid w:val="005759AB"/>
    <w:rsid w:val="00575E11"/>
    <w:rsid w:val="00575E77"/>
    <w:rsid w:val="00575EBC"/>
    <w:rsid w:val="005760ED"/>
    <w:rsid w:val="005762B2"/>
    <w:rsid w:val="00576603"/>
    <w:rsid w:val="005767CC"/>
    <w:rsid w:val="00576918"/>
    <w:rsid w:val="00576B58"/>
    <w:rsid w:val="00576BEA"/>
    <w:rsid w:val="00576C67"/>
    <w:rsid w:val="00576D98"/>
    <w:rsid w:val="00576DD7"/>
    <w:rsid w:val="00576E78"/>
    <w:rsid w:val="00576E9D"/>
    <w:rsid w:val="005771C8"/>
    <w:rsid w:val="0057730B"/>
    <w:rsid w:val="005774A9"/>
    <w:rsid w:val="005775C0"/>
    <w:rsid w:val="0057762B"/>
    <w:rsid w:val="0057792E"/>
    <w:rsid w:val="005779CB"/>
    <w:rsid w:val="00577AFA"/>
    <w:rsid w:val="00577BD4"/>
    <w:rsid w:val="00577C40"/>
    <w:rsid w:val="00577CBB"/>
    <w:rsid w:val="00577E3F"/>
    <w:rsid w:val="00577F84"/>
    <w:rsid w:val="00577FA0"/>
    <w:rsid w:val="005807DA"/>
    <w:rsid w:val="00580EBB"/>
    <w:rsid w:val="00581141"/>
    <w:rsid w:val="00581742"/>
    <w:rsid w:val="00581843"/>
    <w:rsid w:val="00581A8B"/>
    <w:rsid w:val="00581F0F"/>
    <w:rsid w:val="00582008"/>
    <w:rsid w:val="005820C4"/>
    <w:rsid w:val="005820F6"/>
    <w:rsid w:val="0058229F"/>
    <w:rsid w:val="00582660"/>
    <w:rsid w:val="005827A4"/>
    <w:rsid w:val="005827D6"/>
    <w:rsid w:val="00582896"/>
    <w:rsid w:val="005829DA"/>
    <w:rsid w:val="00582B11"/>
    <w:rsid w:val="00582B2F"/>
    <w:rsid w:val="00582F84"/>
    <w:rsid w:val="00583051"/>
    <w:rsid w:val="0058315C"/>
    <w:rsid w:val="005831EC"/>
    <w:rsid w:val="0058322D"/>
    <w:rsid w:val="0058330A"/>
    <w:rsid w:val="00583479"/>
    <w:rsid w:val="00583625"/>
    <w:rsid w:val="00583692"/>
    <w:rsid w:val="00583816"/>
    <w:rsid w:val="00583D59"/>
    <w:rsid w:val="00583E84"/>
    <w:rsid w:val="00583EE1"/>
    <w:rsid w:val="00584270"/>
    <w:rsid w:val="00584286"/>
    <w:rsid w:val="005842F8"/>
    <w:rsid w:val="0058434A"/>
    <w:rsid w:val="005843F9"/>
    <w:rsid w:val="0058447C"/>
    <w:rsid w:val="005846A2"/>
    <w:rsid w:val="00584A36"/>
    <w:rsid w:val="00584AF0"/>
    <w:rsid w:val="00584B7C"/>
    <w:rsid w:val="00584C61"/>
    <w:rsid w:val="00584D0F"/>
    <w:rsid w:val="00584D30"/>
    <w:rsid w:val="00585070"/>
    <w:rsid w:val="0058512D"/>
    <w:rsid w:val="005852BA"/>
    <w:rsid w:val="005854F9"/>
    <w:rsid w:val="00585784"/>
    <w:rsid w:val="00585D3E"/>
    <w:rsid w:val="00585FA2"/>
    <w:rsid w:val="00586002"/>
    <w:rsid w:val="0058601E"/>
    <w:rsid w:val="00586054"/>
    <w:rsid w:val="00586091"/>
    <w:rsid w:val="005860E9"/>
    <w:rsid w:val="0058629B"/>
    <w:rsid w:val="005866D8"/>
    <w:rsid w:val="0058691A"/>
    <w:rsid w:val="005869FC"/>
    <w:rsid w:val="00586B5B"/>
    <w:rsid w:val="00586BB8"/>
    <w:rsid w:val="00586BCF"/>
    <w:rsid w:val="00586E0B"/>
    <w:rsid w:val="00586F05"/>
    <w:rsid w:val="00586F58"/>
    <w:rsid w:val="00587070"/>
    <w:rsid w:val="005870B1"/>
    <w:rsid w:val="00587101"/>
    <w:rsid w:val="005871A3"/>
    <w:rsid w:val="005871B3"/>
    <w:rsid w:val="0058724E"/>
    <w:rsid w:val="00587532"/>
    <w:rsid w:val="005875BD"/>
    <w:rsid w:val="005876F5"/>
    <w:rsid w:val="0058796C"/>
    <w:rsid w:val="00587971"/>
    <w:rsid w:val="00587D38"/>
    <w:rsid w:val="00587E48"/>
    <w:rsid w:val="00590001"/>
    <w:rsid w:val="00590062"/>
    <w:rsid w:val="00590308"/>
    <w:rsid w:val="005903D2"/>
    <w:rsid w:val="005904F7"/>
    <w:rsid w:val="00590631"/>
    <w:rsid w:val="00590638"/>
    <w:rsid w:val="0059075F"/>
    <w:rsid w:val="0059080F"/>
    <w:rsid w:val="0059082A"/>
    <w:rsid w:val="00590AE2"/>
    <w:rsid w:val="00590B16"/>
    <w:rsid w:val="00590B9E"/>
    <w:rsid w:val="00590BC5"/>
    <w:rsid w:val="00590BF0"/>
    <w:rsid w:val="00590E37"/>
    <w:rsid w:val="00590FD0"/>
    <w:rsid w:val="0059104E"/>
    <w:rsid w:val="0059107E"/>
    <w:rsid w:val="00591202"/>
    <w:rsid w:val="005915A9"/>
    <w:rsid w:val="005917D9"/>
    <w:rsid w:val="005919A7"/>
    <w:rsid w:val="00591A1D"/>
    <w:rsid w:val="00591F1B"/>
    <w:rsid w:val="00591F73"/>
    <w:rsid w:val="00592027"/>
    <w:rsid w:val="00592043"/>
    <w:rsid w:val="00592109"/>
    <w:rsid w:val="00592457"/>
    <w:rsid w:val="00592661"/>
    <w:rsid w:val="005928CC"/>
    <w:rsid w:val="00592A22"/>
    <w:rsid w:val="00592A81"/>
    <w:rsid w:val="00592B38"/>
    <w:rsid w:val="00592B40"/>
    <w:rsid w:val="00592D95"/>
    <w:rsid w:val="00592E5F"/>
    <w:rsid w:val="00592E9F"/>
    <w:rsid w:val="00592F34"/>
    <w:rsid w:val="0059306C"/>
    <w:rsid w:val="00593085"/>
    <w:rsid w:val="0059324C"/>
    <w:rsid w:val="005932F5"/>
    <w:rsid w:val="0059335C"/>
    <w:rsid w:val="0059349F"/>
    <w:rsid w:val="0059350C"/>
    <w:rsid w:val="0059352E"/>
    <w:rsid w:val="00593666"/>
    <w:rsid w:val="00593878"/>
    <w:rsid w:val="00593CC7"/>
    <w:rsid w:val="0059402C"/>
    <w:rsid w:val="00594096"/>
    <w:rsid w:val="005943C4"/>
    <w:rsid w:val="00594420"/>
    <w:rsid w:val="00594B4C"/>
    <w:rsid w:val="00594BE9"/>
    <w:rsid w:val="00594E6F"/>
    <w:rsid w:val="00594F0F"/>
    <w:rsid w:val="00594FDC"/>
    <w:rsid w:val="00595001"/>
    <w:rsid w:val="005952C7"/>
    <w:rsid w:val="00595692"/>
    <w:rsid w:val="005957C7"/>
    <w:rsid w:val="005959B2"/>
    <w:rsid w:val="00595D9D"/>
    <w:rsid w:val="00595DE6"/>
    <w:rsid w:val="00595EE4"/>
    <w:rsid w:val="005960CE"/>
    <w:rsid w:val="0059616B"/>
    <w:rsid w:val="005961C1"/>
    <w:rsid w:val="0059633D"/>
    <w:rsid w:val="0059649D"/>
    <w:rsid w:val="005965F5"/>
    <w:rsid w:val="0059663A"/>
    <w:rsid w:val="00596938"/>
    <w:rsid w:val="0059693B"/>
    <w:rsid w:val="00596978"/>
    <w:rsid w:val="00596AD7"/>
    <w:rsid w:val="00596B80"/>
    <w:rsid w:val="00596D7F"/>
    <w:rsid w:val="00596EF8"/>
    <w:rsid w:val="005973B0"/>
    <w:rsid w:val="005976A9"/>
    <w:rsid w:val="00597736"/>
    <w:rsid w:val="0059776A"/>
    <w:rsid w:val="005979C7"/>
    <w:rsid w:val="005979D7"/>
    <w:rsid w:val="00597A1E"/>
    <w:rsid w:val="00597A4F"/>
    <w:rsid w:val="00597B52"/>
    <w:rsid w:val="00597E39"/>
    <w:rsid w:val="00597F17"/>
    <w:rsid w:val="00597F89"/>
    <w:rsid w:val="00597FEE"/>
    <w:rsid w:val="005A021E"/>
    <w:rsid w:val="005A025D"/>
    <w:rsid w:val="005A0264"/>
    <w:rsid w:val="005A03B4"/>
    <w:rsid w:val="005A07CF"/>
    <w:rsid w:val="005A09F9"/>
    <w:rsid w:val="005A0DD9"/>
    <w:rsid w:val="005A0DF6"/>
    <w:rsid w:val="005A0E88"/>
    <w:rsid w:val="005A0F59"/>
    <w:rsid w:val="005A0F86"/>
    <w:rsid w:val="005A1038"/>
    <w:rsid w:val="005A10C6"/>
    <w:rsid w:val="005A10DA"/>
    <w:rsid w:val="005A11BA"/>
    <w:rsid w:val="005A1275"/>
    <w:rsid w:val="005A1296"/>
    <w:rsid w:val="005A12D0"/>
    <w:rsid w:val="005A1618"/>
    <w:rsid w:val="005A1645"/>
    <w:rsid w:val="005A16CC"/>
    <w:rsid w:val="005A180C"/>
    <w:rsid w:val="005A1E82"/>
    <w:rsid w:val="005A216E"/>
    <w:rsid w:val="005A2172"/>
    <w:rsid w:val="005A21CF"/>
    <w:rsid w:val="005A228E"/>
    <w:rsid w:val="005A22F5"/>
    <w:rsid w:val="005A24BE"/>
    <w:rsid w:val="005A26C2"/>
    <w:rsid w:val="005A27BA"/>
    <w:rsid w:val="005A2B36"/>
    <w:rsid w:val="005A2B52"/>
    <w:rsid w:val="005A2C37"/>
    <w:rsid w:val="005A2E0D"/>
    <w:rsid w:val="005A2E84"/>
    <w:rsid w:val="005A2ECA"/>
    <w:rsid w:val="005A2F5A"/>
    <w:rsid w:val="005A313A"/>
    <w:rsid w:val="005A31BD"/>
    <w:rsid w:val="005A3224"/>
    <w:rsid w:val="005A3229"/>
    <w:rsid w:val="005A32F7"/>
    <w:rsid w:val="005A3320"/>
    <w:rsid w:val="005A3428"/>
    <w:rsid w:val="005A344F"/>
    <w:rsid w:val="005A3674"/>
    <w:rsid w:val="005A371C"/>
    <w:rsid w:val="005A377D"/>
    <w:rsid w:val="005A37B3"/>
    <w:rsid w:val="005A3930"/>
    <w:rsid w:val="005A40CB"/>
    <w:rsid w:val="005A420D"/>
    <w:rsid w:val="005A4414"/>
    <w:rsid w:val="005A465D"/>
    <w:rsid w:val="005A477A"/>
    <w:rsid w:val="005A47F9"/>
    <w:rsid w:val="005A4955"/>
    <w:rsid w:val="005A4981"/>
    <w:rsid w:val="005A4BB0"/>
    <w:rsid w:val="005A4F4E"/>
    <w:rsid w:val="005A4FB8"/>
    <w:rsid w:val="005A5082"/>
    <w:rsid w:val="005A542C"/>
    <w:rsid w:val="005A5891"/>
    <w:rsid w:val="005A5B01"/>
    <w:rsid w:val="005A5CD2"/>
    <w:rsid w:val="005A5E68"/>
    <w:rsid w:val="005A5EBF"/>
    <w:rsid w:val="005A5EF2"/>
    <w:rsid w:val="005A6154"/>
    <w:rsid w:val="005A61B7"/>
    <w:rsid w:val="005A61C0"/>
    <w:rsid w:val="005A62DB"/>
    <w:rsid w:val="005A6367"/>
    <w:rsid w:val="005A642F"/>
    <w:rsid w:val="005A65FD"/>
    <w:rsid w:val="005A6742"/>
    <w:rsid w:val="005A685F"/>
    <w:rsid w:val="005A6AD5"/>
    <w:rsid w:val="005A6B5B"/>
    <w:rsid w:val="005A6BAB"/>
    <w:rsid w:val="005A6C3F"/>
    <w:rsid w:val="005A6C94"/>
    <w:rsid w:val="005A707F"/>
    <w:rsid w:val="005A7264"/>
    <w:rsid w:val="005A7A89"/>
    <w:rsid w:val="005A7D08"/>
    <w:rsid w:val="005A7D9B"/>
    <w:rsid w:val="005A7E46"/>
    <w:rsid w:val="005A7EB3"/>
    <w:rsid w:val="005A7EBE"/>
    <w:rsid w:val="005B05FE"/>
    <w:rsid w:val="005B066E"/>
    <w:rsid w:val="005B08FA"/>
    <w:rsid w:val="005B0A13"/>
    <w:rsid w:val="005B0B83"/>
    <w:rsid w:val="005B0D17"/>
    <w:rsid w:val="005B0DC2"/>
    <w:rsid w:val="005B1266"/>
    <w:rsid w:val="005B129E"/>
    <w:rsid w:val="005B1397"/>
    <w:rsid w:val="005B18D4"/>
    <w:rsid w:val="005B1924"/>
    <w:rsid w:val="005B1D6A"/>
    <w:rsid w:val="005B1F7E"/>
    <w:rsid w:val="005B1F99"/>
    <w:rsid w:val="005B1F9E"/>
    <w:rsid w:val="005B21E8"/>
    <w:rsid w:val="005B222E"/>
    <w:rsid w:val="005B224B"/>
    <w:rsid w:val="005B25F7"/>
    <w:rsid w:val="005B26D9"/>
    <w:rsid w:val="005B2B59"/>
    <w:rsid w:val="005B2E6C"/>
    <w:rsid w:val="005B2F03"/>
    <w:rsid w:val="005B2F96"/>
    <w:rsid w:val="005B3065"/>
    <w:rsid w:val="005B321D"/>
    <w:rsid w:val="005B323F"/>
    <w:rsid w:val="005B3284"/>
    <w:rsid w:val="005B337B"/>
    <w:rsid w:val="005B3640"/>
    <w:rsid w:val="005B374B"/>
    <w:rsid w:val="005B3A8F"/>
    <w:rsid w:val="005B3B24"/>
    <w:rsid w:val="005B3CAF"/>
    <w:rsid w:val="005B3EE6"/>
    <w:rsid w:val="005B3F9D"/>
    <w:rsid w:val="005B47D5"/>
    <w:rsid w:val="005B4A0C"/>
    <w:rsid w:val="005B4A76"/>
    <w:rsid w:val="005B4DEF"/>
    <w:rsid w:val="005B50C5"/>
    <w:rsid w:val="005B52E8"/>
    <w:rsid w:val="005B5368"/>
    <w:rsid w:val="005B53C7"/>
    <w:rsid w:val="005B53F4"/>
    <w:rsid w:val="005B570C"/>
    <w:rsid w:val="005B57B0"/>
    <w:rsid w:val="005B59C9"/>
    <w:rsid w:val="005B5AAC"/>
    <w:rsid w:val="005B5CE3"/>
    <w:rsid w:val="005B5E15"/>
    <w:rsid w:val="005B5E95"/>
    <w:rsid w:val="005B61C3"/>
    <w:rsid w:val="005B622F"/>
    <w:rsid w:val="005B624E"/>
    <w:rsid w:val="005B62A0"/>
    <w:rsid w:val="005B649E"/>
    <w:rsid w:val="005B6852"/>
    <w:rsid w:val="005B6CB5"/>
    <w:rsid w:val="005B6E39"/>
    <w:rsid w:val="005B70BA"/>
    <w:rsid w:val="005B7187"/>
    <w:rsid w:val="005B71F1"/>
    <w:rsid w:val="005B742E"/>
    <w:rsid w:val="005B753C"/>
    <w:rsid w:val="005B7570"/>
    <w:rsid w:val="005B7645"/>
    <w:rsid w:val="005B7790"/>
    <w:rsid w:val="005B7798"/>
    <w:rsid w:val="005B78C9"/>
    <w:rsid w:val="005B790C"/>
    <w:rsid w:val="005B7AF6"/>
    <w:rsid w:val="005B7B11"/>
    <w:rsid w:val="005B7B2F"/>
    <w:rsid w:val="005B7D43"/>
    <w:rsid w:val="005B7D48"/>
    <w:rsid w:val="005B7E9A"/>
    <w:rsid w:val="005B7F70"/>
    <w:rsid w:val="005C00D4"/>
    <w:rsid w:val="005C0104"/>
    <w:rsid w:val="005C03B4"/>
    <w:rsid w:val="005C04D2"/>
    <w:rsid w:val="005C051D"/>
    <w:rsid w:val="005C059D"/>
    <w:rsid w:val="005C0B2E"/>
    <w:rsid w:val="005C0D0B"/>
    <w:rsid w:val="005C0E24"/>
    <w:rsid w:val="005C0E69"/>
    <w:rsid w:val="005C1268"/>
    <w:rsid w:val="005C13B9"/>
    <w:rsid w:val="005C147E"/>
    <w:rsid w:val="005C1A2D"/>
    <w:rsid w:val="005C1CE6"/>
    <w:rsid w:val="005C1EA4"/>
    <w:rsid w:val="005C238D"/>
    <w:rsid w:val="005C24ED"/>
    <w:rsid w:val="005C2851"/>
    <w:rsid w:val="005C2A93"/>
    <w:rsid w:val="005C2CED"/>
    <w:rsid w:val="005C2E97"/>
    <w:rsid w:val="005C3058"/>
    <w:rsid w:val="005C3129"/>
    <w:rsid w:val="005C3594"/>
    <w:rsid w:val="005C3910"/>
    <w:rsid w:val="005C3A59"/>
    <w:rsid w:val="005C3C6B"/>
    <w:rsid w:val="005C3CF3"/>
    <w:rsid w:val="005C3F06"/>
    <w:rsid w:val="005C3F1B"/>
    <w:rsid w:val="005C3F9C"/>
    <w:rsid w:val="005C41AB"/>
    <w:rsid w:val="005C41CB"/>
    <w:rsid w:val="005C425E"/>
    <w:rsid w:val="005C43EF"/>
    <w:rsid w:val="005C442A"/>
    <w:rsid w:val="005C4794"/>
    <w:rsid w:val="005C4803"/>
    <w:rsid w:val="005C4860"/>
    <w:rsid w:val="005C4C99"/>
    <w:rsid w:val="005C4CEB"/>
    <w:rsid w:val="005C4CEC"/>
    <w:rsid w:val="005C5023"/>
    <w:rsid w:val="005C50AB"/>
    <w:rsid w:val="005C5121"/>
    <w:rsid w:val="005C520A"/>
    <w:rsid w:val="005C538D"/>
    <w:rsid w:val="005C5410"/>
    <w:rsid w:val="005C5532"/>
    <w:rsid w:val="005C55AC"/>
    <w:rsid w:val="005C55F5"/>
    <w:rsid w:val="005C57F6"/>
    <w:rsid w:val="005C5846"/>
    <w:rsid w:val="005C5A51"/>
    <w:rsid w:val="005C5E1D"/>
    <w:rsid w:val="005C61CA"/>
    <w:rsid w:val="005C636E"/>
    <w:rsid w:val="005C63A3"/>
    <w:rsid w:val="005C6400"/>
    <w:rsid w:val="005C64AF"/>
    <w:rsid w:val="005C6652"/>
    <w:rsid w:val="005C6833"/>
    <w:rsid w:val="005C685D"/>
    <w:rsid w:val="005C68BC"/>
    <w:rsid w:val="005C69B1"/>
    <w:rsid w:val="005C6C2B"/>
    <w:rsid w:val="005C6D33"/>
    <w:rsid w:val="005C7032"/>
    <w:rsid w:val="005C71CA"/>
    <w:rsid w:val="005C736F"/>
    <w:rsid w:val="005C75C7"/>
    <w:rsid w:val="005C7956"/>
    <w:rsid w:val="005C79E2"/>
    <w:rsid w:val="005C7A8F"/>
    <w:rsid w:val="005C7B23"/>
    <w:rsid w:val="005C7DCB"/>
    <w:rsid w:val="005C7EFB"/>
    <w:rsid w:val="005C7F31"/>
    <w:rsid w:val="005D030A"/>
    <w:rsid w:val="005D0320"/>
    <w:rsid w:val="005D0600"/>
    <w:rsid w:val="005D0657"/>
    <w:rsid w:val="005D0797"/>
    <w:rsid w:val="005D07B0"/>
    <w:rsid w:val="005D091E"/>
    <w:rsid w:val="005D0B69"/>
    <w:rsid w:val="005D0BC6"/>
    <w:rsid w:val="005D0D02"/>
    <w:rsid w:val="005D0DFB"/>
    <w:rsid w:val="005D1037"/>
    <w:rsid w:val="005D109F"/>
    <w:rsid w:val="005D1183"/>
    <w:rsid w:val="005D1375"/>
    <w:rsid w:val="005D1583"/>
    <w:rsid w:val="005D18C9"/>
    <w:rsid w:val="005D1B4A"/>
    <w:rsid w:val="005D1C14"/>
    <w:rsid w:val="005D1C61"/>
    <w:rsid w:val="005D1D75"/>
    <w:rsid w:val="005D1EB6"/>
    <w:rsid w:val="005D1F3D"/>
    <w:rsid w:val="005D219F"/>
    <w:rsid w:val="005D21AF"/>
    <w:rsid w:val="005D2283"/>
    <w:rsid w:val="005D22A3"/>
    <w:rsid w:val="005D2471"/>
    <w:rsid w:val="005D2619"/>
    <w:rsid w:val="005D2684"/>
    <w:rsid w:val="005D28D5"/>
    <w:rsid w:val="005D2D55"/>
    <w:rsid w:val="005D2DDD"/>
    <w:rsid w:val="005D2FA2"/>
    <w:rsid w:val="005D3037"/>
    <w:rsid w:val="005D3173"/>
    <w:rsid w:val="005D3201"/>
    <w:rsid w:val="005D3207"/>
    <w:rsid w:val="005D3218"/>
    <w:rsid w:val="005D3409"/>
    <w:rsid w:val="005D3498"/>
    <w:rsid w:val="005D354C"/>
    <w:rsid w:val="005D37E9"/>
    <w:rsid w:val="005D380C"/>
    <w:rsid w:val="005D3861"/>
    <w:rsid w:val="005D39CF"/>
    <w:rsid w:val="005D3AF6"/>
    <w:rsid w:val="005D3C6E"/>
    <w:rsid w:val="005D3FAE"/>
    <w:rsid w:val="005D4035"/>
    <w:rsid w:val="005D425A"/>
    <w:rsid w:val="005D4442"/>
    <w:rsid w:val="005D4499"/>
    <w:rsid w:val="005D454E"/>
    <w:rsid w:val="005D4553"/>
    <w:rsid w:val="005D470C"/>
    <w:rsid w:val="005D522A"/>
    <w:rsid w:val="005D5446"/>
    <w:rsid w:val="005D5479"/>
    <w:rsid w:val="005D56C4"/>
    <w:rsid w:val="005D56D5"/>
    <w:rsid w:val="005D58D1"/>
    <w:rsid w:val="005D5914"/>
    <w:rsid w:val="005D5981"/>
    <w:rsid w:val="005D5C7F"/>
    <w:rsid w:val="005D5CC5"/>
    <w:rsid w:val="005D5DD1"/>
    <w:rsid w:val="005D5F41"/>
    <w:rsid w:val="005D5F82"/>
    <w:rsid w:val="005D6435"/>
    <w:rsid w:val="005D65BF"/>
    <w:rsid w:val="005D65DD"/>
    <w:rsid w:val="005D699F"/>
    <w:rsid w:val="005D6B69"/>
    <w:rsid w:val="005D6DAF"/>
    <w:rsid w:val="005D6FAF"/>
    <w:rsid w:val="005D7203"/>
    <w:rsid w:val="005D741B"/>
    <w:rsid w:val="005D74E2"/>
    <w:rsid w:val="005D750B"/>
    <w:rsid w:val="005D75AD"/>
    <w:rsid w:val="005D7841"/>
    <w:rsid w:val="005D78A5"/>
    <w:rsid w:val="005D78CA"/>
    <w:rsid w:val="005D7954"/>
    <w:rsid w:val="005D7E56"/>
    <w:rsid w:val="005D7EEC"/>
    <w:rsid w:val="005E011F"/>
    <w:rsid w:val="005E0600"/>
    <w:rsid w:val="005E0770"/>
    <w:rsid w:val="005E0B1F"/>
    <w:rsid w:val="005E0C78"/>
    <w:rsid w:val="005E0D79"/>
    <w:rsid w:val="005E0EDF"/>
    <w:rsid w:val="005E10D1"/>
    <w:rsid w:val="005E1630"/>
    <w:rsid w:val="005E1BAC"/>
    <w:rsid w:val="005E1E02"/>
    <w:rsid w:val="005E1E67"/>
    <w:rsid w:val="005E23CE"/>
    <w:rsid w:val="005E26A2"/>
    <w:rsid w:val="005E2777"/>
    <w:rsid w:val="005E278E"/>
    <w:rsid w:val="005E27CE"/>
    <w:rsid w:val="005E288B"/>
    <w:rsid w:val="005E28BD"/>
    <w:rsid w:val="005E29B5"/>
    <w:rsid w:val="005E2B48"/>
    <w:rsid w:val="005E2B57"/>
    <w:rsid w:val="005E2E36"/>
    <w:rsid w:val="005E2F77"/>
    <w:rsid w:val="005E2F78"/>
    <w:rsid w:val="005E3064"/>
    <w:rsid w:val="005E307B"/>
    <w:rsid w:val="005E3155"/>
    <w:rsid w:val="005E330C"/>
    <w:rsid w:val="005E34BC"/>
    <w:rsid w:val="005E3618"/>
    <w:rsid w:val="005E3668"/>
    <w:rsid w:val="005E368B"/>
    <w:rsid w:val="005E378A"/>
    <w:rsid w:val="005E39F8"/>
    <w:rsid w:val="005E3A93"/>
    <w:rsid w:val="005E3B6D"/>
    <w:rsid w:val="005E3D98"/>
    <w:rsid w:val="005E3F68"/>
    <w:rsid w:val="005E40C3"/>
    <w:rsid w:val="005E4108"/>
    <w:rsid w:val="005E41AC"/>
    <w:rsid w:val="005E4426"/>
    <w:rsid w:val="005E449B"/>
    <w:rsid w:val="005E44C7"/>
    <w:rsid w:val="005E459F"/>
    <w:rsid w:val="005E4870"/>
    <w:rsid w:val="005E48EE"/>
    <w:rsid w:val="005E499D"/>
    <w:rsid w:val="005E4B5E"/>
    <w:rsid w:val="005E4D88"/>
    <w:rsid w:val="005E4DE1"/>
    <w:rsid w:val="005E4E45"/>
    <w:rsid w:val="005E5166"/>
    <w:rsid w:val="005E5192"/>
    <w:rsid w:val="005E5418"/>
    <w:rsid w:val="005E549B"/>
    <w:rsid w:val="005E5533"/>
    <w:rsid w:val="005E55F5"/>
    <w:rsid w:val="005E565A"/>
    <w:rsid w:val="005E5803"/>
    <w:rsid w:val="005E5925"/>
    <w:rsid w:val="005E5B25"/>
    <w:rsid w:val="005E5C9C"/>
    <w:rsid w:val="005E5D0B"/>
    <w:rsid w:val="005E5FFF"/>
    <w:rsid w:val="005E607F"/>
    <w:rsid w:val="005E60C3"/>
    <w:rsid w:val="005E66F0"/>
    <w:rsid w:val="005E6A48"/>
    <w:rsid w:val="005E6AB4"/>
    <w:rsid w:val="005E6CC7"/>
    <w:rsid w:val="005E6CD2"/>
    <w:rsid w:val="005E6D05"/>
    <w:rsid w:val="005E6D76"/>
    <w:rsid w:val="005E6F78"/>
    <w:rsid w:val="005E7447"/>
    <w:rsid w:val="005E77A4"/>
    <w:rsid w:val="005E77CF"/>
    <w:rsid w:val="005E780B"/>
    <w:rsid w:val="005E7952"/>
    <w:rsid w:val="005E7A80"/>
    <w:rsid w:val="005E7BBE"/>
    <w:rsid w:val="005E7C49"/>
    <w:rsid w:val="005E7C85"/>
    <w:rsid w:val="005E7DB9"/>
    <w:rsid w:val="005E7DDF"/>
    <w:rsid w:val="005E7E22"/>
    <w:rsid w:val="005E7E6C"/>
    <w:rsid w:val="005E7F35"/>
    <w:rsid w:val="005E7FC4"/>
    <w:rsid w:val="005F0003"/>
    <w:rsid w:val="005F001F"/>
    <w:rsid w:val="005F01C5"/>
    <w:rsid w:val="005F0217"/>
    <w:rsid w:val="005F0394"/>
    <w:rsid w:val="005F04BB"/>
    <w:rsid w:val="005F0500"/>
    <w:rsid w:val="005F055A"/>
    <w:rsid w:val="005F05F1"/>
    <w:rsid w:val="005F0648"/>
    <w:rsid w:val="005F06E9"/>
    <w:rsid w:val="005F077F"/>
    <w:rsid w:val="005F0824"/>
    <w:rsid w:val="005F0841"/>
    <w:rsid w:val="005F09C5"/>
    <w:rsid w:val="005F0AF1"/>
    <w:rsid w:val="005F0C2C"/>
    <w:rsid w:val="005F0F75"/>
    <w:rsid w:val="005F0FEE"/>
    <w:rsid w:val="005F108A"/>
    <w:rsid w:val="005F115F"/>
    <w:rsid w:val="005F1197"/>
    <w:rsid w:val="005F12C8"/>
    <w:rsid w:val="005F139F"/>
    <w:rsid w:val="005F13C8"/>
    <w:rsid w:val="005F1464"/>
    <w:rsid w:val="005F1561"/>
    <w:rsid w:val="005F1685"/>
    <w:rsid w:val="005F16D0"/>
    <w:rsid w:val="005F19CC"/>
    <w:rsid w:val="005F1B02"/>
    <w:rsid w:val="005F1E0B"/>
    <w:rsid w:val="005F1E7C"/>
    <w:rsid w:val="005F1EF2"/>
    <w:rsid w:val="005F2266"/>
    <w:rsid w:val="005F23D7"/>
    <w:rsid w:val="005F269D"/>
    <w:rsid w:val="005F26DC"/>
    <w:rsid w:val="005F2806"/>
    <w:rsid w:val="005F2967"/>
    <w:rsid w:val="005F2CF6"/>
    <w:rsid w:val="005F2D2F"/>
    <w:rsid w:val="005F2E8C"/>
    <w:rsid w:val="005F33E4"/>
    <w:rsid w:val="005F3529"/>
    <w:rsid w:val="005F35D7"/>
    <w:rsid w:val="005F3650"/>
    <w:rsid w:val="005F3882"/>
    <w:rsid w:val="005F38CC"/>
    <w:rsid w:val="005F394D"/>
    <w:rsid w:val="005F3AC7"/>
    <w:rsid w:val="005F3BC5"/>
    <w:rsid w:val="005F3BEF"/>
    <w:rsid w:val="005F3D88"/>
    <w:rsid w:val="005F40D3"/>
    <w:rsid w:val="005F41D9"/>
    <w:rsid w:val="005F42DA"/>
    <w:rsid w:val="005F4728"/>
    <w:rsid w:val="005F481A"/>
    <w:rsid w:val="005F4CBE"/>
    <w:rsid w:val="005F5058"/>
    <w:rsid w:val="005F5303"/>
    <w:rsid w:val="005F530B"/>
    <w:rsid w:val="005F5858"/>
    <w:rsid w:val="005F58BE"/>
    <w:rsid w:val="005F594B"/>
    <w:rsid w:val="005F59A7"/>
    <w:rsid w:val="005F5FED"/>
    <w:rsid w:val="005F5FFA"/>
    <w:rsid w:val="005F6090"/>
    <w:rsid w:val="005F6289"/>
    <w:rsid w:val="005F6672"/>
    <w:rsid w:val="005F670A"/>
    <w:rsid w:val="005F6D40"/>
    <w:rsid w:val="005F7167"/>
    <w:rsid w:val="005F756E"/>
    <w:rsid w:val="005F75B7"/>
    <w:rsid w:val="005F7995"/>
    <w:rsid w:val="005F79AF"/>
    <w:rsid w:val="005F7A8B"/>
    <w:rsid w:val="005F7B4F"/>
    <w:rsid w:val="005F7D11"/>
    <w:rsid w:val="005F7D4F"/>
    <w:rsid w:val="005F7E6C"/>
    <w:rsid w:val="005F7F4D"/>
    <w:rsid w:val="005F7F79"/>
    <w:rsid w:val="006002DA"/>
    <w:rsid w:val="006003DF"/>
    <w:rsid w:val="0060049A"/>
    <w:rsid w:val="006004A3"/>
    <w:rsid w:val="00600502"/>
    <w:rsid w:val="00600612"/>
    <w:rsid w:val="00600769"/>
    <w:rsid w:val="0060083C"/>
    <w:rsid w:val="00600961"/>
    <w:rsid w:val="006009D8"/>
    <w:rsid w:val="00600F4D"/>
    <w:rsid w:val="00601025"/>
    <w:rsid w:val="0060136E"/>
    <w:rsid w:val="00601907"/>
    <w:rsid w:val="00601919"/>
    <w:rsid w:val="00601D5C"/>
    <w:rsid w:val="00602085"/>
    <w:rsid w:val="0060221C"/>
    <w:rsid w:val="00602362"/>
    <w:rsid w:val="00602447"/>
    <w:rsid w:val="00602880"/>
    <w:rsid w:val="006028FB"/>
    <w:rsid w:val="00602961"/>
    <w:rsid w:val="0060296E"/>
    <w:rsid w:val="00602AF5"/>
    <w:rsid w:val="00602C0E"/>
    <w:rsid w:val="00602D18"/>
    <w:rsid w:val="00602E26"/>
    <w:rsid w:val="0060306B"/>
    <w:rsid w:val="00603158"/>
    <w:rsid w:val="00603397"/>
    <w:rsid w:val="006037EF"/>
    <w:rsid w:val="00603B2B"/>
    <w:rsid w:val="00603BA4"/>
    <w:rsid w:val="00603CD1"/>
    <w:rsid w:val="00603CF3"/>
    <w:rsid w:val="00603D47"/>
    <w:rsid w:val="00603D53"/>
    <w:rsid w:val="00603D93"/>
    <w:rsid w:val="00603DDC"/>
    <w:rsid w:val="00603E3A"/>
    <w:rsid w:val="00603E97"/>
    <w:rsid w:val="00603F4F"/>
    <w:rsid w:val="00603FBA"/>
    <w:rsid w:val="0060418F"/>
    <w:rsid w:val="006041C8"/>
    <w:rsid w:val="00604222"/>
    <w:rsid w:val="006044B8"/>
    <w:rsid w:val="00604672"/>
    <w:rsid w:val="0060476D"/>
    <w:rsid w:val="0060491B"/>
    <w:rsid w:val="00604B3A"/>
    <w:rsid w:val="00604FC5"/>
    <w:rsid w:val="0060504C"/>
    <w:rsid w:val="006052B3"/>
    <w:rsid w:val="006054C1"/>
    <w:rsid w:val="0060552A"/>
    <w:rsid w:val="0060552F"/>
    <w:rsid w:val="006055DA"/>
    <w:rsid w:val="006056C6"/>
    <w:rsid w:val="00605788"/>
    <w:rsid w:val="0060593C"/>
    <w:rsid w:val="00605A3D"/>
    <w:rsid w:val="00605D4E"/>
    <w:rsid w:val="0060637A"/>
    <w:rsid w:val="006063B0"/>
    <w:rsid w:val="0060645A"/>
    <w:rsid w:val="00606522"/>
    <w:rsid w:val="00606539"/>
    <w:rsid w:val="006065D5"/>
    <w:rsid w:val="00606694"/>
    <w:rsid w:val="0060675C"/>
    <w:rsid w:val="0060686C"/>
    <w:rsid w:val="0060697B"/>
    <w:rsid w:val="00606A10"/>
    <w:rsid w:val="00606AF0"/>
    <w:rsid w:val="00606B1C"/>
    <w:rsid w:val="00606C68"/>
    <w:rsid w:val="00606CE6"/>
    <w:rsid w:val="00606D16"/>
    <w:rsid w:val="00606E4C"/>
    <w:rsid w:val="00606EC3"/>
    <w:rsid w:val="00607274"/>
    <w:rsid w:val="006072B5"/>
    <w:rsid w:val="006073B7"/>
    <w:rsid w:val="006073B9"/>
    <w:rsid w:val="006074C1"/>
    <w:rsid w:val="00607715"/>
    <w:rsid w:val="0060776B"/>
    <w:rsid w:val="006078AA"/>
    <w:rsid w:val="006079E7"/>
    <w:rsid w:val="00607B41"/>
    <w:rsid w:val="00607BB2"/>
    <w:rsid w:val="00607C22"/>
    <w:rsid w:val="00607CEC"/>
    <w:rsid w:val="00607D37"/>
    <w:rsid w:val="00607E7C"/>
    <w:rsid w:val="006101FD"/>
    <w:rsid w:val="0061066F"/>
    <w:rsid w:val="006107A8"/>
    <w:rsid w:val="00610872"/>
    <w:rsid w:val="00610D41"/>
    <w:rsid w:val="00610E12"/>
    <w:rsid w:val="00610F0B"/>
    <w:rsid w:val="00611009"/>
    <w:rsid w:val="0061104B"/>
    <w:rsid w:val="00611263"/>
    <w:rsid w:val="006112F5"/>
    <w:rsid w:val="0061133D"/>
    <w:rsid w:val="0061134E"/>
    <w:rsid w:val="0061149C"/>
    <w:rsid w:val="00611536"/>
    <w:rsid w:val="00611636"/>
    <w:rsid w:val="00611751"/>
    <w:rsid w:val="00611A63"/>
    <w:rsid w:val="00611A7B"/>
    <w:rsid w:val="00611AE8"/>
    <w:rsid w:val="00611AEE"/>
    <w:rsid w:val="00611EA4"/>
    <w:rsid w:val="006120B0"/>
    <w:rsid w:val="00612529"/>
    <w:rsid w:val="006125D6"/>
    <w:rsid w:val="006127E7"/>
    <w:rsid w:val="0061287E"/>
    <w:rsid w:val="00612A32"/>
    <w:rsid w:val="00612AD1"/>
    <w:rsid w:val="00612BB1"/>
    <w:rsid w:val="00612CD5"/>
    <w:rsid w:val="00612D60"/>
    <w:rsid w:val="006130C0"/>
    <w:rsid w:val="006134A9"/>
    <w:rsid w:val="006134C2"/>
    <w:rsid w:val="00613601"/>
    <w:rsid w:val="006136A0"/>
    <w:rsid w:val="006139F2"/>
    <w:rsid w:val="00613B8C"/>
    <w:rsid w:val="00613DA1"/>
    <w:rsid w:val="00613F74"/>
    <w:rsid w:val="00614041"/>
    <w:rsid w:val="006143F3"/>
    <w:rsid w:val="006144AB"/>
    <w:rsid w:val="006144D6"/>
    <w:rsid w:val="006145E8"/>
    <w:rsid w:val="00614DBD"/>
    <w:rsid w:val="00614DD3"/>
    <w:rsid w:val="0061501B"/>
    <w:rsid w:val="006150D7"/>
    <w:rsid w:val="00615104"/>
    <w:rsid w:val="006151DD"/>
    <w:rsid w:val="00615397"/>
    <w:rsid w:val="0061554C"/>
    <w:rsid w:val="006157A1"/>
    <w:rsid w:val="006158A8"/>
    <w:rsid w:val="00615B26"/>
    <w:rsid w:val="00615C76"/>
    <w:rsid w:val="00616027"/>
    <w:rsid w:val="006160EB"/>
    <w:rsid w:val="00616164"/>
    <w:rsid w:val="006162EB"/>
    <w:rsid w:val="0061680E"/>
    <w:rsid w:val="00616812"/>
    <w:rsid w:val="00616866"/>
    <w:rsid w:val="006168A4"/>
    <w:rsid w:val="00616B79"/>
    <w:rsid w:val="00616C4A"/>
    <w:rsid w:val="00616C71"/>
    <w:rsid w:val="00616D5E"/>
    <w:rsid w:val="00616EF6"/>
    <w:rsid w:val="00617061"/>
    <w:rsid w:val="00617176"/>
    <w:rsid w:val="00617561"/>
    <w:rsid w:val="006176E3"/>
    <w:rsid w:val="006177BB"/>
    <w:rsid w:val="006177FF"/>
    <w:rsid w:val="00617A3B"/>
    <w:rsid w:val="00617BFC"/>
    <w:rsid w:val="00617C12"/>
    <w:rsid w:val="00617C80"/>
    <w:rsid w:val="00617CE9"/>
    <w:rsid w:val="00617DE5"/>
    <w:rsid w:val="00617EC4"/>
    <w:rsid w:val="006200AE"/>
    <w:rsid w:val="0062012D"/>
    <w:rsid w:val="0062029D"/>
    <w:rsid w:val="0062040E"/>
    <w:rsid w:val="00620972"/>
    <w:rsid w:val="00620C34"/>
    <w:rsid w:val="00620DDB"/>
    <w:rsid w:val="00620E04"/>
    <w:rsid w:val="00621121"/>
    <w:rsid w:val="00621142"/>
    <w:rsid w:val="0062125F"/>
    <w:rsid w:val="0062133E"/>
    <w:rsid w:val="00621397"/>
    <w:rsid w:val="0062148C"/>
    <w:rsid w:val="00621617"/>
    <w:rsid w:val="006216DB"/>
    <w:rsid w:val="00621841"/>
    <w:rsid w:val="00621C36"/>
    <w:rsid w:val="00621C53"/>
    <w:rsid w:val="00621EF0"/>
    <w:rsid w:val="00622028"/>
    <w:rsid w:val="006220A0"/>
    <w:rsid w:val="0062230E"/>
    <w:rsid w:val="0062231E"/>
    <w:rsid w:val="006223A9"/>
    <w:rsid w:val="00622618"/>
    <w:rsid w:val="006226B4"/>
    <w:rsid w:val="006228CB"/>
    <w:rsid w:val="00622964"/>
    <w:rsid w:val="00622DD8"/>
    <w:rsid w:val="00622E24"/>
    <w:rsid w:val="00623053"/>
    <w:rsid w:val="00623149"/>
    <w:rsid w:val="00623697"/>
    <w:rsid w:val="00623BFA"/>
    <w:rsid w:val="00623CD5"/>
    <w:rsid w:val="00623CE0"/>
    <w:rsid w:val="00623D63"/>
    <w:rsid w:val="00623EF3"/>
    <w:rsid w:val="00623F42"/>
    <w:rsid w:val="00623FBF"/>
    <w:rsid w:val="0062403C"/>
    <w:rsid w:val="0062406E"/>
    <w:rsid w:val="006241D4"/>
    <w:rsid w:val="00624375"/>
    <w:rsid w:val="00624388"/>
    <w:rsid w:val="0062457E"/>
    <w:rsid w:val="006247C5"/>
    <w:rsid w:val="00624B6D"/>
    <w:rsid w:val="00624C0D"/>
    <w:rsid w:val="00624C16"/>
    <w:rsid w:val="00624CDC"/>
    <w:rsid w:val="00624E24"/>
    <w:rsid w:val="00624F3E"/>
    <w:rsid w:val="00625276"/>
    <w:rsid w:val="0062550C"/>
    <w:rsid w:val="006258D6"/>
    <w:rsid w:val="006259FA"/>
    <w:rsid w:val="0062610B"/>
    <w:rsid w:val="006261F7"/>
    <w:rsid w:val="006262D8"/>
    <w:rsid w:val="00626603"/>
    <w:rsid w:val="006266DB"/>
    <w:rsid w:val="0062694C"/>
    <w:rsid w:val="00626B20"/>
    <w:rsid w:val="00626E4C"/>
    <w:rsid w:val="00626F9F"/>
    <w:rsid w:val="006270A1"/>
    <w:rsid w:val="00627406"/>
    <w:rsid w:val="00627413"/>
    <w:rsid w:val="006275D9"/>
    <w:rsid w:val="00627791"/>
    <w:rsid w:val="00627A1D"/>
    <w:rsid w:val="00627A30"/>
    <w:rsid w:val="00627F2C"/>
    <w:rsid w:val="00627FA1"/>
    <w:rsid w:val="0063002B"/>
    <w:rsid w:val="006300F7"/>
    <w:rsid w:val="00630161"/>
    <w:rsid w:val="006304D0"/>
    <w:rsid w:val="00630624"/>
    <w:rsid w:val="0063075D"/>
    <w:rsid w:val="00630A0E"/>
    <w:rsid w:val="00630BB0"/>
    <w:rsid w:val="00631099"/>
    <w:rsid w:val="00631467"/>
    <w:rsid w:val="00631703"/>
    <w:rsid w:val="00631718"/>
    <w:rsid w:val="00631766"/>
    <w:rsid w:val="00631851"/>
    <w:rsid w:val="0063193B"/>
    <w:rsid w:val="006319AA"/>
    <w:rsid w:val="006319D8"/>
    <w:rsid w:val="00631AD0"/>
    <w:rsid w:val="00631BC2"/>
    <w:rsid w:val="00631CF2"/>
    <w:rsid w:val="00631E20"/>
    <w:rsid w:val="00631E7E"/>
    <w:rsid w:val="00631F6D"/>
    <w:rsid w:val="006320D6"/>
    <w:rsid w:val="006321E3"/>
    <w:rsid w:val="0063243D"/>
    <w:rsid w:val="00632615"/>
    <w:rsid w:val="0063262F"/>
    <w:rsid w:val="00632677"/>
    <w:rsid w:val="00632743"/>
    <w:rsid w:val="006327A6"/>
    <w:rsid w:val="00632B1A"/>
    <w:rsid w:val="00632B56"/>
    <w:rsid w:val="00632BD6"/>
    <w:rsid w:val="00632E09"/>
    <w:rsid w:val="0063313D"/>
    <w:rsid w:val="00633306"/>
    <w:rsid w:val="00633677"/>
    <w:rsid w:val="00633958"/>
    <w:rsid w:val="00633A04"/>
    <w:rsid w:val="00633E28"/>
    <w:rsid w:val="00633F0B"/>
    <w:rsid w:val="00633F90"/>
    <w:rsid w:val="00634255"/>
    <w:rsid w:val="006343DD"/>
    <w:rsid w:val="00634430"/>
    <w:rsid w:val="006344EF"/>
    <w:rsid w:val="00634768"/>
    <w:rsid w:val="0063483D"/>
    <w:rsid w:val="00634A9C"/>
    <w:rsid w:val="00634B34"/>
    <w:rsid w:val="00634C5F"/>
    <w:rsid w:val="00634C72"/>
    <w:rsid w:val="00634D69"/>
    <w:rsid w:val="00634DB7"/>
    <w:rsid w:val="00634E91"/>
    <w:rsid w:val="0063509E"/>
    <w:rsid w:val="006352AF"/>
    <w:rsid w:val="006358FE"/>
    <w:rsid w:val="00635B04"/>
    <w:rsid w:val="00635B50"/>
    <w:rsid w:val="00635B68"/>
    <w:rsid w:val="00635BBF"/>
    <w:rsid w:val="00635DB4"/>
    <w:rsid w:val="00635DE3"/>
    <w:rsid w:val="006362E8"/>
    <w:rsid w:val="0063640F"/>
    <w:rsid w:val="006365B7"/>
    <w:rsid w:val="00636924"/>
    <w:rsid w:val="00636B24"/>
    <w:rsid w:val="00636FE2"/>
    <w:rsid w:val="00636FEE"/>
    <w:rsid w:val="00637305"/>
    <w:rsid w:val="00637656"/>
    <w:rsid w:val="0063780B"/>
    <w:rsid w:val="00637A86"/>
    <w:rsid w:val="00637D65"/>
    <w:rsid w:val="00637DC7"/>
    <w:rsid w:val="00637F03"/>
    <w:rsid w:val="00637F09"/>
    <w:rsid w:val="00637F1D"/>
    <w:rsid w:val="00640300"/>
    <w:rsid w:val="00640821"/>
    <w:rsid w:val="0064095A"/>
    <w:rsid w:val="00640A81"/>
    <w:rsid w:val="00640C45"/>
    <w:rsid w:val="00640C6B"/>
    <w:rsid w:val="00640F0B"/>
    <w:rsid w:val="0064114D"/>
    <w:rsid w:val="0064122B"/>
    <w:rsid w:val="006412FA"/>
    <w:rsid w:val="00641377"/>
    <w:rsid w:val="00641536"/>
    <w:rsid w:val="006421BA"/>
    <w:rsid w:val="0064229B"/>
    <w:rsid w:val="006424C6"/>
    <w:rsid w:val="00642575"/>
    <w:rsid w:val="00642694"/>
    <w:rsid w:val="00642881"/>
    <w:rsid w:val="00642BF8"/>
    <w:rsid w:val="00642CD4"/>
    <w:rsid w:val="00642CF2"/>
    <w:rsid w:val="00642E22"/>
    <w:rsid w:val="006435BE"/>
    <w:rsid w:val="006436A6"/>
    <w:rsid w:val="00643762"/>
    <w:rsid w:val="00643820"/>
    <w:rsid w:val="00643ABD"/>
    <w:rsid w:val="00643B87"/>
    <w:rsid w:val="00643BEA"/>
    <w:rsid w:val="00643CF0"/>
    <w:rsid w:val="00643F0E"/>
    <w:rsid w:val="0064404E"/>
    <w:rsid w:val="006442AA"/>
    <w:rsid w:val="00644304"/>
    <w:rsid w:val="00644315"/>
    <w:rsid w:val="0064431F"/>
    <w:rsid w:val="006444AB"/>
    <w:rsid w:val="006447FC"/>
    <w:rsid w:val="0064497B"/>
    <w:rsid w:val="00644AD2"/>
    <w:rsid w:val="00644B65"/>
    <w:rsid w:val="00644BA6"/>
    <w:rsid w:val="00644D0C"/>
    <w:rsid w:val="0064508F"/>
    <w:rsid w:val="00645126"/>
    <w:rsid w:val="00645199"/>
    <w:rsid w:val="006452CA"/>
    <w:rsid w:val="006452D8"/>
    <w:rsid w:val="00645443"/>
    <w:rsid w:val="00645960"/>
    <w:rsid w:val="00645A8D"/>
    <w:rsid w:val="00645B6A"/>
    <w:rsid w:val="00645C19"/>
    <w:rsid w:val="00645CDA"/>
    <w:rsid w:val="00645E5A"/>
    <w:rsid w:val="006461D3"/>
    <w:rsid w:val="006462DB"/>
    <w:rsid w:val="00646506"/>
    <w:rsid w:val="0064656A"/>
    <w:rsid w:val="006466DA"/>
    <w:rsid w:val="006468FD"/>
    <w:rsid w:val="006468FE"/>
    <w:rsid w:val="0064695E"/>
    <w:rsid w:val="00646D62"/>
    <w:rsid w:val="00646D8F"/>
    <w:rsid w:val="00646F7A"/>
    <w:rsid w:val="006471F0"/>
    <w:rsid w:val="00647317"/>
    <w:rsid w:val="00647571"/>
    <w:rsid w:val="00647B27"/>
    <w:rsid w:val="00647C11"/>
    <w:rsid w:val="00647C2B"/>
    <w:rsid w:val="00647C56"/>
    <w:rsid w:val="00647F2E"/>
    <w:rsid w:val="00647F5F"/>
    <w:rsid w:val="006500AC"/>
    <w:rsid w:val="006500F0"/>
    <w:rsid w:val="0065023A"/>
    <w:rsid w:val="00650285"/>
    <w:rsid w:val="006504FB"/>
    <w:rsid w:val="006506FA"/>
    <w:rsid w:val="0065079E"/>
    <w:rsid w:val="00650CA7"/>
    <w:rsid w:val="00650D8C"/>
    <w:rsid w:val="00650E6C"/>
    <w:rsid w:val="006510F1"/>
    <w:rsid w:val="00651288"/>
    <w:rsid w:val="006514EF"/>
    <w:rsid w:val="006517C1"/>
    <w:rsid w:val="0065195A"/>
    <w:rsid w:val="00651B31"/>
    <w:rsid w:val="00651BF9"/>
    <w:rsid w:val="00651DC7"/>
    <w:rsid w:val="00651E47"/>
    <w:rsid w:val="00651EAF"/>
    <w:rsid w:val="00652087"/>
    <w:rsid w:val="00652148"/>
    <w:rsid w:val="00652500"/>
    <w:rsid w:val="006525B3"/>
    <w:rsid w:val="00652667"/>
    <w:rsid w:val="00652741"/>
    <w:rsid w:val="00652894"/>
    <w:rsid w:val="00652AA0"/>
    <w:rsid w:val="00652C47"/>
    <w:rsid w:val="00652EC5"/>
    <w:rsid w:val="006531B3"/>
    <w:rsid w:val="00653280"/>
    <w:rsid w:val="00653465"/>
    <w:rsid w:val="0065347C"/>
    <w:rsid w:val="0065350B"/>
    <w:rsid w:val="00653576"/>
    <w:rsid w:val="00653683"/>
    <w:rsid w:val="006537C7"/>
    <w:rsid w:val="00653922"/>
    <w:rsid w:val="0065392D"/>
    <w:rsid w:val="00653AF1"/>
    <w:rsid w:val="00653C99"/>
    <w:rsid w:val="00653EF0"/>
    <w:rsid w:val="00653F0B"/>
    <w:rsid w:val="00654456"/>
    <w:rsid w:val="006544B8"/>
    <w:rsid w:val="00654556"/>
    <w:rsid w:val="00654641"/>
    <w:rsid w:val="00654A9D"/>
    <w:rsid w:val="00654B0F"/>
    <w:rsid w:val="00654C23"/>
    <w:rsid w:val="00654E43"/>
    <w:rsid w:val="00654EF3"/>
    <w:rsid w:val="00654F1D"/>
    <w:rsid w:val="00654FA2"/>
    <w:rsid w:val="00655048"/>
    <w:rsid w:val="00655094"/>
    <w:rsid w:val="006551F8"/>
    <w:rsid w:val="0065550B"/>
    <w:rsid w:val="006557AB"/>
    <w:rsid w:val="00655876"/>
    <w:rsid w:val="00655C28"/>
    <w:rsid w:val="00655C2A"/>
    <w:rsid w:val="00655EFE"/>
    <w:rsid w:val="00656079"/>
    <w:rsid w:val="00656110"/>
    <w:rsid w:val="00656142"/>
    <w:rsid w:val="006563E6"/>
    <w:rsid w:val="0065655F"/>
    <w:rsid w:val="006565E7"/>
    <w:rsid w:val="00656681"/>
    <w:rsid w:val="00656976"/>
    <w:rsid w:val="00656B82"/>
    <w:rsid w:val="00656BB5"/>
    <w:rsid w:val="00656D95"/>
    <w:rsid w:val="006571A8"/>
    <w:rsid w:val="0065724E"/>
    <w:rsid w:val="00657725"/>
    <w:rsid w:val="00657A3A"/>
    <w:rsid w:val="00657D3F"/>
    <w:rsid w:val="00657E8F"/>
    <w:rsid w:val="00660029"/>
    <w:rsid w:val="00660346"/>
    <w:rsid w:val="00660350"/>
    <w:rsid w:val="006605C0"/>
    <w:rsid w:val="006607F6"/>
    <w:rsid w:val="006609D2"/>
    <w:rsid w:val="00660A39"/>
    <w:rsid w:val="00660CC7"/>
    <w:rsid w:val="00660DC1"/>
    <w:rsid w:val="00660E97"/>
    <w:rsid w:val="00660EC5"/>
    <w:rsid w:val="00660F77"/>
    <w:rsid w:val="00660FB5"/>
    <w:rsid w:val="006612CD"/>
    <w:rsid w:val="00661696"/>
    <w:rsid w:val="006618FD"/>
    <w:rsid w:val="006619BC"/>
    <w:rsid w:val="00661B22"/>
    <w:rsid w:val="00661BE4"/>
    <w:rsid w:val="00661CCE"/>
    <w:rsid w:val="00661D69"/>
    <w:rsid w:val="00661D8E"/>
    <w:rsid w:val="00661E1D"/>
    <w:rsid w:val="00661F5A"/>
    <w:rsid w:val="00661F8D"/>
    <w:rsid w:val="006620FF"/>
    <w:rsid w:val="00662118"/>
    <w:rsid w:val="00662215"/>
    <w:rsid w:val="0066232C"/>
    <w:rsid w:val="00662688"/>
    <w:rsid w:val="0066273E"/>
    <w:rsid w:val="006627E5"/>
    <w:rsid w:val="006628B4"/>
    <w:rsid w:val="00662B17"/>
    <w:rsid w:val="00662CAE"/>
    <w:rsid w:val="00662F19"/>
    <w:rsid w:val="006630E2"/>
    <w:rsid w:val="006631B2"/>
    <w:rsid w:val="00663286"/>
    <w:rsid w:val="006634AB"/>
    <w:rsid w:val="006635C0"/>
    <w:rsid w:val="006635EC"/>
    <w:rsid w:val="00663809"/>
    <w:rsid w:val="00663967"/>
    <w:rsid w:val="006639D9"/>
    <w:rsid w:val="00663AB3"/>
    <w:rsid w:val="00663BAE"/>
    <w:rsid w:val="00663BE8"/>
    <w:rsid w:val="00663CF3"/>
    <w:rsid w:val="00663F8B"/>
    <w:rsid w:val="00663FFC"/>
    <w:rsid w:val="006642E1"/>
    <w:rsid w:val="00664469"/>
    <w:rsid w:val="00664531"/>
    <w:rsid w:val="00664601"/>
    <w:rsid w:val="00664657"/>
    <w:rsid w:val="00664690"/>
    <w:rsid w:val="0066487D"/>
    <w:rsid w:val="00664978"/>
    <w:rsid w:val="00664A2A"/>
    <w:rsid w:val="00664C06"/>
    <w:rsid w:val="00664C9C"/>
    <w:rsid w:val="00664DC8"/>
    <w:rsid w:val="00664F27"/>
    <w:rsid w:val="00664F8F"/>
    <w:rsid w:val="00664FAF"/>
    <w:rsid w:val="00664FBA"/>
    <w:rsid w:val="00665118"/>
    <w:rsid w:val="006653B9"/>
    <w:rsid w:val="00665402"/>
    <w:rsid w:val="006658CB"/>
    <w:rsid w:val="00665C66"/>
    <w:rsid w:val="00665D76"/>
    <w:rsid w:val="00665E7D"/>
    <w:rsid w:val="0066618E"/>
    <w:rsid w:val="006661C6"/>
    <w:rsid w:val="0066647D"/>
    <w:rsid w:val="00666482"/>
    <w:rsid w:val="00666733"/>
    <w:rsid w:val="00666745"/>
    <w:rsid w:val="00666827"/>
    <w:rsid w:val="0066689A"/>
    <w:rsid w:val="00666956"/>
    <w:rsid w:val="00666AC5"/>
    <w:rsid w:val="00666D0F"/>
    <w:rsid w:val="00666E01"/>
    <w:rsid w:val="00667206"/>
    <w:rsid w:val="006672B1"/>
    <w:rsid w:val="0066735A"/>
    <w:rsid w:val="00667765"/>
    <w:rsid w:val="00667F30"/>
    <w:rsid w:val="0067057A"/>
    <w:rsid w:val="00670598"/>
    <w:rsid w:val="00670EDA"/>
    <w:rsid w:val="00670F3A"/>
    <w:rsid w:val="006710CF"/>
    <w:rsid w:val="0067113E"/>
    <w:rsid w:val="006713CB"/>
    <w:rsid w:val="00671705"/>
    <w:rsid w:val="0067172D"/>
    <w:rsid w:val="00671860"/>
    <w:rsid w:val="00671ABC"/>
    <w:rsid w:val="00671E37"/>
    <w:rsid w:val="006725F2"/>
    <w:rsid w:val="00672617"/>
    <w:rsid w:val="00672626"/>
    <w:rsid w:val="00672A77"/>
    <w:rsid w:val="00672CF2"/>
    <w:rsid w:val="00672E2F"/>
    <w:rsid w:val="00672ED7"/>
    <w:rsid w:val="00672F9B"/>
    <w:rsid w:val="006731E9"/>
    <w:rsid w:val="006732F9"/>
    <w:rsid w:val="006733A4"/>
    <w:rsid w:val="00673664"/>
    <w:rsid w:val="006737C6"/>
    <w:rsid w:val="00673ADB"/>
    <w:rsid w:val="00673BBE"/>
    <w:rsid w:val="00673E23"/>
    <w:rsid w:val="00673E35"/>
    <w:rsid w:val="00673FAF"/>
    <w:rsid w:val="00673FF9"/>
    <w:rsid w:val="0067405A"/>
    <w:rsid w:val="00674467"/>
    <w:rsid w:val="00674521"/>
    <w:rsid w:val="00674A5A"/>
    <w:rsid w:val="00674F92"/>
    <w:rsid w:val="00675042"/>
    <w:rsid w:val="00675083"/>
    <w:rsid w:val="0067513E"/>
    <w:rsid w:val="0067523D"/>
    <w:rsid w:val="00675410"/>
    <w:rsid w:val="0067578D"/>
    <w:rsid w:val="00675874"/>
    <w:rsid w:val="0067588F"/>
    <w:rsid w:val="00675C87"/>
    <w:rsid w:val="00675E27"/>
    <w:rsid w:val="00675FBF"/>
    <w:rsid w:val="00676015"/>
    <w:rsid w:val="006760B5"/>
    <w:rsid w:val="00676150"/>
    <w:rsid w:val="00676181"/>
    <w:rsid w:val="006762EC"/>
    <w:rsid w:val="0067648A"/>
    <w:rsid w:val="00676632"/>
    <w:rsid w:val="0067663F"/>
    <w:rsid w:val="006768F9"/>
    <w:rsid w:val="0067691C"/>
    <w:rsid w:val="00676952"/>
    <w:rsid w:val="00676A62"/>
    <w:rsid w:val="00676AF6"/>
    <w:rsid w:val="00676B9B"/>
    <w:rsid w:val="00676BE8"/>
    <w:rsid w:val="00676CA7"/>
    <w:rsid w:val="00676DE6"/>
    <w:rsid w:val="00677024"/>
    <w:rsid w:val="006774BC"/>
    <w:rsid w:val="006774EB"/>
    <w:rsid w:val="0067758A"/>
    <w:rsid w:val="00677831"/>
    <w:rsid w:val="00677A25"/>
    <w:rsid w:val="00677F7B"/>
    <w:rsid w:val="0068010F"/>
    <w:rsid w:val="00680265"/>
    <w:rsid w:val="006803D8"/>
    <w:rsid w:val="006805E3"/>
    <w:rsid w:val="00680673"/>
    <w:rsid w:val="00680B61"/>
    <w:rsid w:val="00680EAD"/>
    <w:rsid w:val="00680F2A"/>
    <w:rsid w:val="00680F40"/>
    <w:rsid w:val="00680F60"/>
    <w:rsid w:val="00681354"/>
    <w:rsid w:val="0068149C"/>
    <w:rsid w:val="0068154F"/>
    <w:rsid w:val="00681609"/>
    <w:rsid w:val="0068186F"/>
    <w:rsid w:val="006819D3"/>
    <w:rsid w:val="00681B34"/>
    <w:rsid w:val="00681BA2"/>
    <w:rsid w:val="00681C17"/>
    <w:rsid w:val="00681C70"/>
    <w:rsid w:val="00681C73"/>
    <w:rsid w:val="00681E42"/>
    <w:rsid w:val="00681FBC"/>
    <w:rsid w:val="00682013"/>
    <w:rsid w:val="00682353"/>
    <w:rsid w:val="006824D4"/>
    <w:rsid w:val="00682504"/>
    <w:rsid w:val="006825C9"/>
    <w:rsid w:val="006827EB"/>
    <w:rsid w:val="006829A2"/>
    <w:rsid w:val="00682A6C"/>
    <w:rsid w:val="00682AC0"/>
    <w:rsid w:val="00682D31"/>
    <w:rsid w:val="00682F9A"/>
    <w:rsid w:val="006830C9"/>
    <w:rsid w:val="006830DB"/>
    <w:rsid w:val="006833F0"/>
    <w:rsid w:val="006835D9"/>
    <w:rsid w:val="006835DC"/>
    <w:rsid w:val="00683657"/>
    <w:rsid w:val="006836A5"/>
    <w:rsid w:val="0068381C"/>
    <w:rsid w:val="0068383C"/>
    <w:rsid w:val="0068388B"/>
    <w:rsid w:val="00683AFA"/>
    <w:rsid w:val="00683B73"/>
    <w:rsid w:val="00683BC3"/>
    <w:rsid w:val="00683C46"/>
    <w:rsid w:val="00683C5B"/>
    <w:rsid w:val="00683DFA"/>
    <w:rsid w:val="00683E53"/>
    <w:rsid w:val="006840B3"/>
    <w:rsid w:val="0068433C"/>
    <w:rsid w:val="00684657"/>
    <w:rsid w:val="006846CC"/>
    <w:rsid w:val="0068475A"/>
    <w:rsid w:val="006847A8"/>
    <w:rsid w:val="006847EB"/>
    <w:rsid w:val="00684955"/>
    <w:rsid w:val="00684FF3"/>
    <w:rsid w:val="00685011"/>
    <w:rsid w:val="0068517B"/>
    <w:rsid w:val="006852B7"/>
    <w:rsid w:val="00685379"/>
    <w:rsid w:val="00685434"/>
    <w:rsid w:val="0068548B"/>
    <w:rsid w:val="006854E2"/>
    <w:rsid w:val="006856B5"/>
    <w:rsid w:val="006857CF"/>
    <w:rsid w:val="0068586A"/>
    <w:rsid w:val="006858CB"/>
    <w:rsid w:val="006859D2"/>
    <w:rsid w:val="00685B16"/>
    <w:rsid w:val="00685C92"/>
    <w:rsid w:val="00686049"/>
    <w:rsid w:val="00686232"/>
    <w:rsid w:val="006864F6"/>
    <w:rsid w:val="006868FD"/>
    <w:rsid w:val="0068692D"/>
    <w:rsid w:val="00686C09"/>
    <w:rsid w:val="00686E5B"/>
    <w:rsid w:val="00686F75"/>
    <w:rsid w:val="0068704F"/>
    <w:rsid w:val="00687087"/>
    <w:rsid w:val="0068720A"/>
    <w:rsid w:val="006873DD"/>
    <w:rsid w:val="006873FD"/>
    <w:rsid w:val="00687443"/>
    <w:rsid w:val="006874F2"/>
    <w:rsid w:val="00687582"/>
    <w:rsid w:val="00687616"/>
    <w:rsid w:val="006878D6"/>
    <w:rsid w:val="00687A91"/>
    <w:rsid w:val="00687AAA"/>
    <w:rsid w:val="00687B83"/>
    <w:rsid w:val="00687D27"/>
    <w:rsid w:val="00687E2C"/>
    <w:rsid w:val="00690214"/>
    <w:rsid w:val="0069073D"/>
    <w:rsid w:val="006907CE"/>
    <w:rsid w:val="00690AC1"/>
    <w:rsid w:val="00690CD4"/>
    <w:rsid w:val="00690D50"/>
    <w:rsid w:val="00690FDB"/>
    <w:rsid w:val="006911A1"/>
    <w:rsid w:val="00691356"/>
    <w:rsid w:val="006913A2"/>
    <w:rsid w:val="006913EB"/>
    <w:rsid w:val="006914FB"/>
    <w:rsid w:val="0069154F"/>
    <w:rsid w:val="006915A6"/>
    <w:rsid w:val="00691663"/>
    <w:rsid w:val="0069169A"/>
    <w:rsid w:val="0069186E"/>
    <w:rsid w:val="00691870"/>
    <w:rsid w:val="006918CA"/>
    <w:rsid w:val="00691C74"/>
    <w:rsid w:val="00691C87"/>
    <w:rsid w:val="00691E86"/>
    <w:rsid w:val="00691F59"/>
    <w:rsid w:val="00691FB7"/>
    <w:rsid w:val="006920D5"/>
    <w:rsid w:val="0069212B"/>
    <w:rsid w:val="006922F4"/>
    <w:rsid w:val="00692551"/>
    <w:rsid w:val="006925B7"/>
    <w:rsid w:val="0069293E"/>
    <w:rsid w:val="00692A92"/>
    <w:rsid w:val="00692B7D"/>
    <w:rsid w:val="00692C53"/>
    <w:rsid w:val="00692C61"/>
    <w:rsid w:val="00692D52"/>
    <w:rsid w:val="00692E80"/>
    <w:rsid w:val="00693238"/>
    <w:rsid w:val="006935B9"/>
    <w:rsid w:val="0069362B"/>
    <w:rsid w:val="0069366C"/>
    <w:rsid w:val="006937C9"/>
    <w:rsid w:val="00693980"/>
    <w:rsid w:val="00693AFE"/>
    <w:rsid w:val="00693B9A"/>
    <w:rsid w:val="00693E5E"/>
    <w:rsid w:val="00693F1A"/>
    <w:rsid w:val="00693F4E"/>
    <w:rsid w:val="00693FFF"/>
    <w:rsid w:val="00694146"/>
    <w:rsid w:val="0069422C"/>
    <w:rsid w:val="006947D2"/>
    <w:rsid w:val="00694817"/>
    <w:rsid w:val="006949D9"/>
    <w:rsid w:val="00694B3F"/>
    <w:rsid w:val="00694C5F"/>
    <w:rsid w:val="00694CC9"/>
    <w:rsid w:val="006950A3"/>
    <w:rsid w:val="006951E3"/>
    <w:rsid w:val="0069530A"/>
    <w:rsid w:val="00695380"/>
    <w:rsid w:val="006953C5"/>
    <w:rsid w:val="0069561C"/>
    <w:rsid w:val="00695623"/>
    <w:rsid w:val="006958CC"/>
    <w:rsid w:val="0069598E"/>
    <w:rsid w:val="00695AC9"/>
    <w:rsid w:val="00695B91"/>
    <w:rsid w:val="00695C84"/>
    <w:rsid w:val="00695DA9"/>
    <w:rsid w:val="00695DD7"/>
    <w:rsid w:val="00695FCA"/>
    <w:rsid w:val="006960D4"/>
    <w:rsid w:val="0069625B"/>
    <w:rsid w:val="006962B0"/>
    <w:rsid w:val="00696338"/>
    <w:rsid w:val="00696385"/>
    <w:rsid w:val="00696453"/>
    <w:rsid w:val="006964FD"/>
    <w:rsid w:val="0069681A"/>
    <w:rsid w:val="00696ABD"/>
    <w:rsid w:val="00696B84"/>
    <w:rsid w:val="00696CF8"/>
    <w:rsid w:val="00696DCB"/>
    <w:rsid w:val="00696ECB"/>
    <w:rsid w:val="00696F36"/>
    <w:rsid w:val="00697171"/>
    <w:rsid w:val="00697231"/>
    <w:rsid w:val="00697272"/>
    <w:rsid w:val="0069731B"/>
    <w:rsid w:val="0069768D"/>
    <w:rsid w:val="0069780A"/>
    <w:rsid w:val="00697843"/>
    <w:rsid w:val="00697912"/>
    <w:rsid w:val="006979B6"/>
    <w:rsid w:val="006979EC"/>
    <w:rsid w:val="00697C82"/>
    <w:rsid w:val="00697DCC"/>
    <w:rsid w:val="00697E17"/>
    <w:rsid w:val="00697E75"/>
    <w:rsid w:val="00697F94"/>
    <w:rsid w:val="006A0167"/>
    <w:rsid w:val="006A02C9"/>
    <w:rsid w:val="006A0438"/>
    <w:rsid w:val="006A058C"/>
    <w:rsid w:val="006A08D2"/>
    <w:rsid w:val="006A08E1"/>
    <w:rsid w:val="006A098B"/>
    <w:rsid w:val="006A09A7"/>
    <w:rsid w:val="006A09CD"/>
    <w:rsid w:val="006A0BCF"/>
    <w:rsid w:val="006A0C63"/>
    <w:rsid w:val="006A0CAE"/>
    <w:rsid w:val="006A0D5C"/>
    <w:rsid w:val="006A107D"/>
    <w:rsid w:val="006A1123"/>
    <w:rsid w:val="006A1304"/>
    <w:rsid w:val="006A14C5"/>
    <w:rsid w:val="006A16B5"/>
    <w:rsid w:val="006A16DA"/>
    <w:rsid w:val="006A1B87"/>
    <w:rsid w:val="006A1DD2"/>
    <w:rsid w:val="006A1DF4"/>
    <w:rsid w:val="006A1E1F"/>
    <w:rsid w:val="006A1F99"/>
    <w:rsid w:val="006A2190"/>
    <w:rsid w:val="006A221C"/>
    <w:rsid w:val="006A234D"/>
    <w:rsid w:val="006A246A"/>
    <w:rsid w:val="006A25E2"/>
    <w:rsid w:val="006A267B"/>
    <w:rsid w:val="006A26F4"/>
    <w:rsid w:val="006A2A2C"/>
    <w:rsid w:val="006A2A56"/>
    <w:rsid w:val="006A2BB0"/>
    <w:rsid w:val="006A2BD6"/>
    <w:rsid w:val="006A2C64"/>
    <w:rsid w:val="006A3097"/>
    <w:rsid w:val="006A30CF"/>
    <w:rsid w:val="006A30EF"/>
    <w:rsid w:val="006A3576"/>
    <w:rsid w:val="006A35A6"/>
    <w:rsid w:val="006A35DF"/>
    <w:rsid w:val="006A35EC"/>
    <w:rsid w:val="006A37F0"/>
    <w:rsid w:val="006A385E"/>
    <w:rsid w:val="006A38C6"/>
    <w:rsid w:val="006A3C99"/>
    <w:rsid w:val="006A3E03"/>
    <w:rsid w:val="006A40BE"/>
    <w:rsid w:val="006A4128"/>
    <w:rsid w:val="006A4545"/>
    <w:rsid w:val="006A4800"/>
    <w:rsid w:val="006A4A37"/>
    <w:rsid w:val="006A4A5A"/>
    <w:rsid w:val="006A4B01"/>
    <w:rsid w:val="006A4BFB"/>
    <w:rsid w:val="006A4CAC"/>
    <w:rsid w:val="006A4DE0"/>
    <w:rsid w:val="006A5138"/>
    <w:rsid w:val="006A51A1"/>
    <w:rsid w:val="006A561C"/>
    <w:rsid w:val="006A57AD"/>
    <w:rsid w:val="006A58EC"/>
    <w:rsid w:val="006A5909"/>
    <w:rsid w:val="006A5988"/>
    <w:rsid w:val="006A5A2C"/>
    <w:rsid w:val="006A5C20"/>
    <w:rsid w:val="006A5D01"/>
    <w:rsid w:val="006A5F16"/>
    <w:rsid w:val="006A6087"/>
    <w:rsid w:val="006A6135"/>
    <w:rsid w:val="006A616D"/>
    <w:rsid w:val="006A6296"/>
    <w:rsid w:val="006A64C5"/>
    <w:rsid w:val="006A64FF"/>
    <w:rsid w:val="006A6955"/>
    <w:rsid w:val="006A697C"/>
    <w:rsid w:val="006A6A69"/>
    <w:rsid w:val="006A6AB0"/>
    <w:rsid w:val="006A6BB6"/>
    <w:rsid w:val="006A6BDD"/>
    <w:rsid w:val="006A6CC6"/>
    <w:rsid w:val="006A6E08"/>
    <w:rsid w:val="006A6EED"/>
    <w:rsid w:val="006A716E"/>
    <w:rsid w:val="006A74A3"/>
    <w:rsid w:val="006A76EB"/>
    <w:rsid w:val="006A7716"/>
    <w:rsid w:val="006A7B59"/>
    <w:rsid w:val="006A7F22"/>
    <w:rsid w:val="006B007C"/>
    <w:rsid w:val="006B0085"/>
    <w:rsid w:val="006B01CC"/>
    <w:rsid w:val="006B0219"/>
    <w:rsid w:val="006B022A"/>
    <w:rsid w:val="006B0259"/>
    <w:rsid w:val="006B02F4"/>
    <w:rsid w:val="006B03F7"/>
    <w:rsid w:val="006B0420"/>
    <w:rsid w:val="006B05A3"/>
    <w:rsid w:val="006B05FC"/>
    <w:rsid w:val="006B0736"/>
    <w:rsid w:val="006B07F7"/>
    <w:rsid w:val="006B08B4"/>
    <w:rsid w:val="006B09AC"/>
    <w:rsid w:val="006B09D3"/>
    <w:rsid w:val="006B0BDE"/>
    <w:rsid w:val="006B0D71"/>
    <w:rsid w:val="006B11C6"/>
    <w:rsid w:val="006B14F6"/>
    <w:rsid w:val="006B15A0"/>
    <w:rsid w:val="006B17A9"/>
    <w:rsid w:val="006B184D"/>
    <w:rsid w:val="006B1932"/>
    <w:rsid w:val="006B193A"/>
    <w:rsid w:val="006B1994"/>
    <w:rsid w:val="006B19B9"/>
    <w:rsid w:val="006B1DFD"/>
    <w:rsid w:val="006B20F4"/>
    <w:rsid w:val="006B2176"/>
    <w:rsid w:val="006B22A8"/>
    <w:rsid w:val="006B2438"/>
    <w:rsid w:val="006B2775"/>
    <w:rsid w:val="006B2920"/>
    <w:rsid w:val="006B2A0B"/>
    <w:rsid w:val="006B2A86"/>
    <w:rsid w:val="006B2AAD"/>
    <w:rsid w:val="006B2AF4"/>
    <w:rsid w:val="006B2DE8"/>
    <w:rsid w:val="006B31F6"/>
    <w:rsid w:val="006B3489"/>
    <w:rsid w:val="006B3516"/>
    <w:rsid w:val="006B365E"/>
    <w:rsid w:val="006B3665"/>
    <w:rsid w:val="006B3674"/>
    <w:rsid w:val="006B36A0"/>
    <w:rsid w:val="006B36C9"/>
    <w:rsid w:val="006B3851"/>
    <w:rsid w:val="006B3915"/>
    <w:rsid w:val="006B3981"/>
    <w:rsid w:val="006B39AF"/>
    <w:rsid w:val="006B3B19"/>
    <w:rsid w:val="006B3B96"/>
    <w:rsid w:val="006B3CD9"/>
    <w:rsid w:val="006B3D6D"/>
    <w:rsid w:val="006B3DB2"/>
    <w:rsid w:val="006B3EA6"/>
    <w:rsid w:val="006B4032"/>
    <w:rsid w:val="006B411E"/>
    <w:rsid w:val="006B4400"/>
    <w:rsid w:val="006B4906"/>
    <w:rsid w:val="006B499C"/>
    <w:rsid w:val="006B4A97"/>
    <w:rsid w:val="006B4AFD"/>
    <w:rsid w:val="006B4B12"/>
    <w:rsid w:val="006B4C73"/>
    <w:rsid w:val="006B4EA3"/>
    <w:rsid w:val="006B4F04"/>
    <w:rsid w:val="006B508B"/>
    <w:rsid w:val="006B50D5"/>
    <w:rsid w:val="006B5112"/>
    <w:rsid w:val="006B5351"/>
    <w:rsid w:val="006B53B1"/>
    <w:rsid w:val="006B55BF"/>
    <w:rsid w:val="006B58CA"/>
    <w:rsid w:val="006B5AED"/>
    <w:rsid w:val="006B5B58"/>
    <w:rsid w:val="006B5E0F"/>
    <w:rsid w:val="006B5E47"/>
    <w:rsid w:val="006B5E89"/>
    <w:rsid w:val="006B5FC8"/>
    <w:rsid w:val="006B5FEA"/>
    <w:rsid w:val="006B6009"/>
    <w:rsid w:val="006B60AF"/>
    <w:rsid w:val="006B60B8"/>
    <w:rsid w:val="006B62BE"/>
    <w:rsid w:val="006B634F"/>
    <w:rsid w:val="006B636C"/>
    <w:rsid w:val="006B652F"/>
    <w:rsid w:val="006B676A"/>
    <w:rsid w:val="006B6796"/>
    <w:rsid w:val="006B696D"/>
    <w:rsid w:val="006B69EB"/>
    <w:rsid w:val="006B6D31"/>
    <w:rsid w:val="006B6D4E"/>
    <w:rsid w:val="006B6DAA"/>
    <w:rsid w:val="006B6E4A"/>
    <w:rsid w:val="006B7333"/>
    <w:rsid w:val="006B7500"/>
    <w:rsid w:val="006B755E"/>
    <w:rsid w:val="006B764A"/>
    <w:rsid w:val="006B7865"/>
    <w:rsid w:val="006B7958"/>
    <w:rsid w:val="006B796B"/>
    <w:rsid w:val="006B79C7"/>
    <w:rsid w:val="006B79DB"/>
    <w:rsid w:val="006B79F4"/>
    <w:rsid w:val="006B7B4D"/>
    <w:rsid w:val="006B7B7F"/>
    <w:rsid w:val="006B7C1A"/>
    <w:rsid w:val="006B7CBE"/>
    <w:rsid w:val="006B7DDE"/>
    <w:rsid w:val="006B7DF0"/>
    <w:rsid w:val="006C01F4"/>
    <w:rsid w:val="006C02E0"/>
    <w:rsid w:val="006C0311"/>
    <w:rsid w:val="006C0498"/>
    <w:rsid w:val="006C0637"/>
    <w:rsid w:val="006C0848"/>
    <w:rsid w:val="006C08BA"/>
    <w:rsid w:val="006C08FC"/>
    <w:rsid w:val="006C0B62"/>
    <w:rsid w:val="006C0C33"/>
    <w:rsid w:val="006C0D13"/>
    <w:rsid w:val="006C0DA5"/>
    <w:rsid w:val="006C0DE7"/>
    <w:rsid w:val="006C0E60"/>
    <w:rsid w:val="006C0F67"/>
    <w:rsid w:val="006C13E5"/>
    <w:rsid w:val="006C1776"/>
    <w:rsid w:val="006C17C3"/>
    <w:rsid w:val="006C1BFC"/>
    <w:rsid w:val="006C1C2E"/>
    <w:rsid w:val="006C1C6B"/>
    <w:rsid w:val="006C1F47"/>
    <w:rsid w:val="006C20F6"/>
    <w:rsid w:val="006C212F"/>
    <w:rsid w:val="006C22E6"/>
    <w:rsid w:val="006C25C6"/>
    <w:rsid w:val="006C2782"/>
    <w:rsid w:val="006C281B"/>
    <w:rsid w:val="006C28BA"/>
    <w:rsid w:val="006C2ADA"/>
    <w:rsid w:val="006C2B21"/>
    <w:rsid w:val="006C2D65"/>
    <w:rsid w:val="006C2DB4"/>
    <w:rsid w:val="006C2F26"/>
    <w:rsid w:val="006C2F2D"/>
    <w:rsid w:val="006C3038"/>
    <w:rsid w:val="006C3049"/>
    <w:rsid w:val="006C3098"/>
    <w:rsid w:val="006C3108"/>
    <w:rsid w:val="006C310D"/>
    <w:rsid w:val="006C337B"/>
    <w:rsid w:val="006C337E"/>
    <w:rsid w:val="006C3432"/>
    <w:rsid w:val="006C36CE"/>
    <w:rsid w:val="006C3820"/>
    <w:rsid w:val="006C38BB"/>
    <w:rsid w:val="006C38CA"/>
    <w:rsid w:val="006C3B80"/>
    <w:rsid w:val="006C3C69"/>
    <w:rsid w:val="006C3CB4"/>
    <w:rsid w:val="006C3DEF"/>
    <w:rsid w:val="006C3E91"/>
    <w:rsid w:val="006C4071"/>
    <w:rsid w:val="006C46E7"/>
    <w:rsid w:val="006C4BA7"/>
    <w:rsid w:val="006C4C63"/>
    <w:rsid w:val="006C4CB2"/>
    <w:rsid w:val="006C4EA5"/>
    <w:rsid w:val="006C4F34"/>
    <w:rsid w:val="006C4F47"/>
    <w:rsid w:val="006C4F69"/>
    <w:rsid w:val="006C50E1"/>
    <w:rsid w:val="006C5558"/>
    <w:rsid w:val="006C5625"/>
    <w:rsid w:val="006C5960"/>
    <w:rsid w:val="006C596B"/>
    <w:rsid w:val="006C5B44"/>
    <w:rsid w:val="006C5B6B"/>
    <w:rsid w:val="006C5C8F"/>
    <w:rsid w:val="006C5CA4"/>
    <w:rsid w:val="006C5D76"/>
    <w:rsid w:val="006C5DDD"/>
    <w:rsid w:val="006C5E88"/>
    <w:rsid w:val="006C6043"/>
    <w:rsid w:val="006C6067"/>
    <w:rsid w:val="006C6109"/>
    <w:rsid w:val="006C6218"/>
    <w:rsid w:val="006C63A6"/>
    <w:rsid w:val="006C664F"/>
    <w:rsid w:val="006C6676"/>
    <w:rsid w:val="006C6741"/>
    <w:rsid w:val="006C6797"/>
    <w:rsid w:val="006C697F"/>
    <w:rsid w:val="006C6AAB"/>
    <w:rsid w:val="006C6BC3"/>
    <w:rsid w:val="006C6D02"/>
    <w:rsid w:val="006C6D06"/>
    <w:rsid w:val="006C6F04"/>
    <w:rsid w:val="006C75C3"/>
    <w:rsid w:val="006C7C8E"/>
    <w:rsid w:val="006C7F06"/>
    <w:rsid w:val="006C7FF5"/>
    <w:rsid w:val="006D0002"/>
    <w:rsid w:val="006D00C1"/>
    <w:rsid w:val="006D0157"/>
    <w:rsid w:val="006D03B0"/>
    <w:rsid w:val="006D0627"/>
    <w:rsid w:val="006D0970"/>
    <w:rsid w:val="006D0A7C"/>
    <w:rsid w:val="006D0B83"/>
    <w:rsid w:val="006D0D7A"/>
    <w:rsid w:val="006D0E20"/>
    <w:rsid w:val="006D0E6A"/>
    <w:rsid w:val="006D128F"/>
    <w:rsid w:val="006D16AF"/>
    <w:rsid w:val="006D1B22"/>
    <w:rsid w:val="006D1BB9"/>
    <w:rsid w:val="006D1C62"/>
    <w:rsid w:val="006D1D92"/>
    <w:rsid w:val="006D1EC3"/>
    <w:rsid w:val="006D1F66"/>
    <w:rsid w:val="006D2007"/>
    <w:rsid w:val="006D2408"/>
    <w:rsid w:val="006D2475"/>
    <w:rsid w:val="006D2594"/>
    <w:rsid w:val="006D2710"/>
    <w:rsid w:val="006D2A3D"/>
    <w:rsid w:val="006D3115"/>
    <w:rsid w:val="006D3166"/>
    <w:rsid w:val="006D3592"/>
    <w:rsid w:val="006D3894"/>
    <w:rsid w:val="006D38A4"/>
    <w:rsid w:val="006D3E01"/>
    <w:rsid w:val="006D4077"/>
    <w:rsid w:val="006D4150"/>
    <w:rsid w:val="006D42CE"/>
    <w:rsid w:val="006D43A5"/>
    <w:rsid w:val="006D449F"/>
    <w:rsid w:val="006D478F"/>
    <w:rsid w:val="006D4877"/>
    <w:rsid w:val="006D4C10"/>
    <w:rsid w:val="006D4C7A"/>
    <w:rsid w:val="006D4E15"/>
    <w:rsid w:val="006D4EB2"/>
    <w:rsid w:val="006D4FA8"/>
    <w:rsid w:val="006D5083"/>
    <w:rsid w:val="006D5535"/>
    <w:rsid w:val="006D5783"/>
    <w:rsid w:val="006D58B7"/>
    <w:rsid w:val="006D5A88"/>
    <w:rsid w:val="006D5ECD"/>
    <w:rsid w:val="006D5EEB"/>
    <w:rsid w:val="006D5F04"/>
    <w:rsid w:val="006D5FD3"/>
    <w:rsid w:val="006D60E8"/>
    <w:rsid w:val="006D61BA"/>
    <w:rsid w:val="006D6296"/>
    <w:rsid w:val="006D63F9"/>
    <w:rsid w:val="006D6437"/>
    <w:rsid w:val="006D6481"/>
    <w:rsid w:val="006D64C3"/>
    <w:rsid w:val="006D6734"/>
    <w:rsid w:val="006D67BB"/>
    <w:rsid w:val="006D681F"/>
    <w:rsid w:val="006D699C"/>
    <w:rsid w:val="006D6A88"/>
    <w:rsid w:val="006D6DF4"/>
    <w:rsid w:val="006D716C"/>
    <w:rsid w:val="006D7234"/>
    <w:rsid w:val="006D7334"/>
    <w:rsid w:val="006D7518"/>
    <w:rsid w:val="006D753D"/>
    <w:rsid w:val="006D7598"/>
    <w:rsid w:val="006D75A2"/>
    <w:rsid w:val="006D770A"/>
    <w:rsid w:val="006D7851"/>
    <w:rsid w:val="006D788E"/>
    <w:rsid w:val="006D7C85"/>
    <w:rsid w:val="006D7CDE"/>
    <w:rsid w:val="006D7E41"/>
    <w:rsid w:val="006D7ECB"/>
    <w:rsid w:val="006D7F7F"/>
    <w:rsid w:val="006E01B1"/>
    <w:rsid w:val="006E0485"/>
    <w:rsid w:val="006E04DC"/>
    <w:rsid w:val="006E05C8"/>
    <w:rsid w:val="006E0815"/>
    <w:rsid w:val="006E091F"/>
    <w:rsid w:val="006E0938"/>
    <w:rsid w:val="006E0C3B"/>
    <w:rsid w:val="006E0E20"/>
    <w:rsid w:val="006E0E3F"/>
    <w:rsid w:val="006E1395"/>
    <w:rsid w:val="006E13DC"/>
    <w:rsid w:val="006E14F9"/>
    <w:rsid w:val="006E15C6"/>
    <w:rsid w:val="006E1865"/>
    <w:rsid w:val="006E1906"/>
    <w:rsid w:val="006E196F"/>
    <w:rsid w:val="006E1B46"/>
    <w:rsid w:val="006E1BA2"/>
    <w:rsid w:val="006E1CD4"/>
    <w:rsid w:val="006E1D20"/>
    <w:rsid w:val="006E216A"/>
    <w:rsid w:val="006E2300"/>
    <w:rsid w:val="006E2337"/>
    <w:rsid w:val="006E2488"/>
    <w:rsid w:val="006E24F1"/>
    <w:rsid w:val="006E2878"/>
    <w:rsid w:val="006E2A85"/>
    <w:rsid w:val="006E2D00"/>
    <w:rsid w:val="006E2D23"/>
    <w:rsid w:val="006E2D98"/>
    <w:rsid w:val="006E2E3F"/>
    <w:rsid w:val="006E2EF7"/>
    <w:rsid w:val="006E310E"/>
    <w:rsid w:val="006E351D"/>
    <w:rsid w:val="006E3565"/>
    <w:rsid w:val="006E36AB"/>
    <w:rsid w:val="006E3A1E"/>
    <w:rsid w:val="006E3AB7"/>
    <w:rsid w:val="006E3C2B"/>
    <w:rsid w:val="006E3C59"/>
    <w:rsid w:val="006E3C69"/>
    <w:rsid w:val="006E3C7B"/>
    <w:rsid w:val="006E3EDA"/>
    <w:rsid w:val="006E41AC"/>
    <w:rsid w:val="006E41CD"/>
    <w:rsid w:val="006E4249"/>
    <w:rsid w:val="006E4347"/>
    <w:rsid w:val="006E443F"/>
    <w:rsid w:val="006E445E"/>
    <w:rsid w:val="006E4531"/>
    <w:rsid w:val="006E4636"/>
    <w:rsid w:val="006E47E7"/>
    <w:rsid w:val="006E481C"/>
    <w:rsid w:val="006E48A1"/>
    <w:rsid w:val="006E49D4"/>
    <w:rsid w:val="006E4A69"/>
    <w:rsid w:val="006E4BCC"/>
    <w:rsid w:val="006E4CAF"/>
    <w:rsid w:val="006E5139"/>
    <w:rsid w:val="006E53D3"/>
    <w:rsid w:val="006E5591"/>
    <w:rsid w:val="006E591B"/>
    <w:rsid w:val="006E5BF4"/>
    <w:rsid w:val="006E5BF6"/>
    <w:rsid w:val="006E5CF9"/>
    <w:rsid w:val="006E5F1D"/>
    <w:rsid w:val="006E606A"/>
    <w:rsid w:val="006E61C9"/>
    <w:rsid w:val="006E6225"/>
    <w:rsid w:val="006E64BC"/>
    <w:rsid w:val="006E6527"/>
    <w:rsid w:val="006E6624"/>
    <w:rsid w:val="006E66C2"/>
    <w:rsid w:val="006E67A9"/>
    <w:rsid w:val="006E6844"/>
    <w:rsid w:val="006E70A5"/>
    <w:rsid w:val="006E71A0"/>
    <w:rsid w:val="006E732F"/>
    <w:rsid w:val="006E74C3"/>
    <w:rsid w:val="006E7741"/>
    <w:rsid w:val="006E7749"/>
    <w:rsid w:val="006E79BC"/>
    <w:rsid w:val="006E7A71"/>
    <w:rsid w:val="006E7AF9"/>
    <w:rsid w:val="006E7C61"/>
    <w:rsid w:val="006E7CD9"/>
    <w:rsid w:val="006E7CFA"/>
    <w:rsid w:val="006E7F13"/>
    <w:rsid w:val="006E7F96"/>
    <w:rsid w:val="006F001E"/>
    <w:rsid w:val="006F0109"/>
    <w:rsid w:val="006F02C7"/>
    <w:rsid w:val="006F04C3"/>
    <w:rsid w:val="006F054F"/>
    <w:rsid w:val="006F05B3"/>
    <w:rsid w:val="006F0A86"/>
    <w:rsid w:val="006F0C9D"/>
    <w:rsid w:val="006F0E9F"/>
    <w:rsid w:val="006F106D"/>
    <w:rsid w:val="006F1102"/>
    <w:rsid w:val="006F13EC"/>
    <w:rsid w:val="006F1432"/>
    <w:rsid w:val="006F1497"/>
    <w:rsid w:val="006F1888"/>
    <w:rsid w:val="006F194E"/>
    <w:rsid w:val="006F1953"/>
    <w:rsid w:val="006F1C13"/>
    <w:rsid w:val="006F1CF3"/>
    <w:rsid w:val="006F1D13"/>
    <w:rsid w:val="006F1D2C"/>
    <w:rsid w:val="006F1E1F"/>
    <w:rsid w:val="006F1E21"/>
    <w:rsid w:val="006F2397"/>
    <w:rsid w:val="006F249B"/>
    <w:rsid w:val="006F282F"/>
    <w:rsid w:val="006F2855"/>
    <w:rsid w:val="006F29A4"/>
    <w:rsid w:val="006F2A0F"/>
    <w:rsid w:val="006F2BA9"/>
    <w:rsid w:val="006F2DE1"/>
    <w:rsid w:val="006F2F41"/>
    <w:rsid w:val="006F2F7D"/>
    <w:rsid w:val="006F34A6"/>
    <w:rsid w:val="006F355A"/>
    <w:rsid w:val="006F35EF"/>
    <w:rsid w:val="006F3682"/>
    <w:rsid w:val="006F36C9"/>
    <w:rsid w:val="006F375A"/>
    <w:rsid w:val="006F382F"/>
    <w:rsid w:val="006F396F"/>
    <w:rsid w:val="006F3AC5"/>
    <w:rsid w:val="006F3B28"/>
    <w:rsid w:val="006F3D30"/>
    <w:rsid w:val="006F3DC5"/>
    <w:rsid w:val="006F3F99"/>
    <w:rsid w:val="006F41B5"/>
    <w:rsid w:val="006F48AA"/>
    <w:rsid w:val="006F4CFE"/>
    <w:rsid w:val="006F4FD1"/>
    <w:rsid w:val="006F4FD7"/>
    <w:rsid w:val="006F528B"/>
    <w:rsid w:val="006F5298"/>
    <w:rsid w:val="006F5326"/>
    <w:rsid w:val="006F5537"/>
    <w:rsid w:val="006F5556"/>
    <w:rsid w:val="006F56BD"/>
    <w:rsid w:val="006F58EF"/>
    <w:rsid w:val="006F59D4"/>
    <w:rsid w:val="006F5BF3"/>
    <w:rsid w:val="006F5C6F"/>
    <w:rsid w:val="006F5CCF"/>
    <w:rsid w:val="006F5D4E"/>
    <w:rsid w:val="006F5FA9"/>
    <w:rsid w:val="006F5FB1"/>
    <w:rsid w:val="006F6375"/>
    <w:rsid w:val="006F6398"/>
    <w:rsid w:val="006F63A5"/>
    <w:rsid w:val="006F63D6"/>
    <w:rsid w:val="006F66F4"/>
    <w:rsid w:val="006F678B"/>
    <w:rsid w:val="006F693E"/>
    <w:rsid w:val="006F69C1"/>
    <w:rsid w:val="006F69D7"/>
    <w:rsid w:val="006F69F7"/>
    <w:rsid w:val="006F6B94"/>
    <w:rsid w:val="006F6F8D"/>
    <w:rsid w:val="006F6FDA"/>
    <w:rsid w:val="006F7476"/>
    <w:rsid w:val="006F7E1A"/>
    <w:rsid w:val="006F7FAB"/>
    <w:rsid w:val="007000C1"/>
    <w:rsid w:val="007000C9"/>
    <w:rsid w:val="007001BC"/>
    <w:rsid w:val="00700261"/>
    <w:rsid w:val="0070070D"/>
    <w:rsid w:val="0070077C"/>
    <w:rsid w:val="0070090D"/>
    <w:rsid w:val="00700B13"/>
    <w:rsid w:val="00700B23"/>
    <w:rsid w:val="00700BDB"/>
    <w:rsid w:val="00700E97"/>
    <w:rsid w:val="00700F27"/>
    <w:rsid w:val="007010FB"/>
    <w:rsid w:val="00701305"/>
    <w:rsid w:val="00701363"/>
    <w:rsid w:val="007013E5"/>
    <w:rsid w:val="007013F3"/>
    <w:rsid w:val="00701BB7"/>
    <w:rsid w:val="00701DE5"/>
    <w:rsid w:val="00701E99"/>
    <w:rsid w:val="00701EE2"/>
    <w:rsid w:val="007021D8"/>
    <w:rsid w:val="00702221"/>
    <w:rsid w:val="007023F9"/>
    <w:rsid w:val="0070242A"/>
    <w:rsid w:val="007027D3"/>
    <w:rsid w:val="00702BB8"/>
    <w:rsid w:val="00702C3E"/>
    <w:rsid w:val="00702E22"/>
    <w:rsid w:val="00702FB4"/>
    <w:rsid w:val="00702FF0"/>
    <w:rsid w:val="00703156"/>
    <w:rsid w:val="00703281"/>
    <w:rsid w:val="00703864"/>
    <w:rsid w:val="007038B3"/>
    <w:rsid w:val="007039EB"/>
    <w:rsid w:val="00703B13"/>
    <w:rsid w:val="00703D8F"/>
    <w:rsid w:val="00703EB3"/>
    <w:rsid w:val="0070405D"/>
    <w:rsid w:val="0070422E"/>
    <w:rsid w:val="0070437E"/>
    <w:rsid w:val="007046E5"/>
    <w:rsid w:val="007049AA"/>
    <w:rsid w:val="00704F0C"/>
    <w:rsid w:val="0070572D"/>
    <w:rsid w:val="007058D8"/>
    <w:rsid w:val="00705B06"/>
    <w:rsid w:val="00705B16"/>
    <w:rsid w:val="00705C46"/>
    <w:rsid w:val="00705C6A"/>
    <w:rsid w:val="00705CB7"/>
    <w:rsid w:val="007060B2"/>
    <w:rsid w:val="007060EC"/>
    <w:rsid w:val="007061D0"/>
    <w:rsid w:val="0070626E"/>
    <w:rsid w:val="00706582"/>
    <w:rsid w:val="007065B2"/>
    <w:rsid w:val="00706775"/>
    <w:rsid w:val="007067DC"/>
    <w:rsid w:val="00706943"/>
    <w:rsid w:val="00706A9E"/>
    <w:rsid w:val="00706EA8"/>
    <w:rsid w:val="00706EC4"/>
    <w:rsid w:val="00706EE4"/>
    <w:rsid w:val="00707056"/>
    <w:rsid w:val="00707342"/>
    <w:rsid w:val="00707425"/>
    <w:rsid w:val="00707543"/>
    <w:rsid w:val="007076EC"/>
    <w:rsid w:val="00707773"/>
    <w:rsid w:val="00707832"/>
    <w:rsid w:val="007078D0"/>
    <w:rsid w:val="00707980"/>
    <w:rsid w:val="007079B9"/>
    <w:rsid w:val="00707AA6"/>
    <w:rsid w:val="00707C4E"/>
    <w:rsid w:val="00707EF3"/>
    <w:rsid w:val="007101D7"/>
    <w:rsid w:val="00710328"/>
    <w:rsid w:val="0071036C"/>
    <w:rsid w:val="007103F6"/>
    <w:rsid w:val="00710437"/>
    <w:rsid w:val="007108C4"/>
    <w:rsid w:val="00710AAA"/>
    <w:rsid w:val="00710B65"/>
    <w:rsid w:val="00710EA1"/>
    <w:rsid w:val="00710ECF"/>
    <w:rsid w:val="00710EEA"/>
    <w:rsid w:val="00711121"/>
    <w:rsid w:val="0071123A"/>
    <w:rsid w:val="0071123E"/>
    <w:rsid w:val="00711336"/>
    <w:rsid w:val="007113FB"/>
    <w:rsid w:val="0071140E"/>
    <w:rsid w:val="007114B2"/>
    <w:rsid w:val="007114C1"/>
    <w:rsid w:val="007114CD"/>
    <w:rsid w:val="00711542"/>
    <w:rsid w:val="00711726"/>
    <w:rsid w:val="007119AC"/>
    <w:rsid w:val="007119E5"/>
    <w:rsid w:val="00711A54"/>
    <w:rsid w:val="00711B15"/>
    <w:rsid w:val="00711E1D"/>
    <w:rsid w:val="00711EDC"/>
    <w:rsid w:val="00712090"/>
    <w:rsid w:val="007120D6"/>
    <w:rsid w:val="00712143"/>
    <w:rsid w:val="0071239F"/>
    <w:rsid w:val="007123AC"/>
    <w:rsid w:val="00712409"/>
    <w:rsid w:val="0071245E"/>
    <w:rsid w:val="00712868"/>
    <w:rsid w:val="0071295F"/>
    <w:rsid w:val="00712B33"/>
    <w:rsid w:val="00712B3A"/>
    <w:rsid w:val="00712E35"/>
    <w:rsid w:val="00712E63"/>
    <w:rsid w:val="00712EAE"/>
    <w:rsid w:val="00712FD6"/>
    <w:rsid w:val="00713006"/>
    <w:rsid w:val="0071309F"/>
    <w:rsid w:val="007134A0"/>
    <w:rsid w:val="007135EC"/>
    <w:rsid w:val="00713668"/>
    <w:rsid w:val="007136F6"/>
    <w:rsid w:val="00713782"/>
    <w:rsid w:val="007138AA"/>
    <w:rsid w:val="00713947"/>
    <w:rsid w:val="00713BDD"/>
    <w:rsid w:val="00713E90"/>
    <w:rsid w:val="00713EE3"/>
    <w:rsid w:val="00713F06"/>
    <w:rsid w:val="00713F0A"/>
    <w:rsid w:val="00713F2A"/>
    <w:rsid w:val="00714005"/>
    <w:rsid w:val="00714403"/>
    <w:rsid w:val="007144F3"/>
    <w:rsid w:val="00714738"/>
    <w:rsid w:val="0071483B"/>
    <w:rsid w:val="00714873"/>
    <w:rsid w:val="00714EE0"/>
    <w:rsid w:val="0071524D"/>
    <w:rsid w:val="0071536C"/>
    <w:rsid w:val="00715416"/>
    <w:rsid w:val="007157A4"/>
    <w:rsid w:val="007157CC"/>
    <w:rsid w:val="00715995"/>
    <w:rsid w:val="007159DD"/>
    <w:rsid w:val="00715C28"/>
    <w:rsid w:val="00715C9F"/>
    <w:rsid w:val="00715D16"/>
    <w:rsid w:val="00715E09"/>
    <w:rsid w:val="00716053"/>
    <w:rsid w:val="00716177"/>
    <w:rsid w:val="0071641B"/>
    <w:rsid w:val="00716503"/>
    <w:rsid w:val="00716581"/>
    <w:rsid w:val="007165AD"/>
    <w:rsid w:val="007166C7"/>
    <w:rsid w:val="0071678A"/>
    <w:rsid w:val="007167A0"/>
    <w:rsid w:val="00716AC3"/>
    <w:rsid w:val="00716CCF"/>
    <w:rsid w:val="00716D7F"/>
    <w:rsid w:val="00716DBB"/>
    <w:rsid w:val="0071700E"/>
    <w:rsid w:val="00717134"/>
    <w:rsid w:val="00717204"/>
    <w:rsid w:val="007173E5"/>
    <w:rsid w:val="007174F1"/>
    <w:rsid w:val="007175A2"/>
    <w:rsid w:val="0071781D"/>
    <w:rsid w:val="00717C1B"/>
    <w:rsid w:val="00717D2F"/>
    <w:rsid w:val="00717E36"/>
    <w:rsid w:val="00717E6A"/>
    <w:rsid w:val="00717EEE"/>
    <w:rsid w:val="00717F33"/>
    <w:rsid w:val="00717FE8"/>
    <w:rsid w:val="007203F9"/>
    <w:rsid w:val="0072054C"/>
    <w:rsid w:val="0072056C"/>
    <w:rsid w:val="007205C6"/>
    <w:rsid w:val="007206AF"/>
    <w:rsid w:val="00720A29"/>
    <w:rsid w:val="00720B22"/>
    <w:rsid w:val="00720C3F"/>
    <w:rsid w:val="00720D42"/>
    <w:rsid w:val="00720DB2"/>
    <w:rsid w:val="00720DEE"/>
    <w:rsid w:val="00720EA7"/>
    <w:rsid w:val="00720EBE"/>
    <w:rsid w:val="00720ECE"/>
    <w:rsid w:val="0072176B"/>
    <w:rsid w:val="0072177A"/>
    <w:rsid w:val="0072182E"/>
    <w:rsid w:val="00721866"/>
    <w:rsid w:val="00721AAE"/>
    <w:rsid w:val="00721D67"/>
    <w:rsid w:val="00721DA0"/>
    <w:rsid w:val="00721E2A"/>
    <w:rsid w:val="00721E52"/>
    <w:rsid w:val="0072213F"/>
    <w:rsid w:val="00722159"/>
    <w:rsid w:val="007224A4"/>
    <w:rsid w:val="007225E3"/>
    <w:rsid w:val="00722955"/>
    <w:rsid w:val="00722B7C"/>
    <w:rsid w:val="00722FC6"/>
    <w:rsid w:val="0072328F"/>
    <w:rsid w:val="00723488"/>
    <w:rsid w:val="007234E6"/>
    <w:rsid w:val="007235E2"/>
    <w:rsid w:val="007235FA"/>
    <w:rsid w:val="00723770"/>
    <w:rsid w:val="00723827"/>
    <w:rsid w:val="007239A7"/>
    <w:rsid w:val="007239AD"/>
    <w:rsid w:val="007239C2"/>
    <w:rsid w:val="00723A58"/>
    <w:rsid w:val="00723CAC"/>
    <w:rsid w:val="00723D94"/>
    <w:rsid w:val="007242D6"/>
    <w:rsid w:val="0072438A"/>
    <w:rsid w:val="007243DF"/>
    <w:rsid w:val="0072441D"/>
    <w:rsid w:val="0072445E"/>
    <w:rsid w:val="00724620"/>
    <w:rsid w:val="00724971"/>
    <w:rsid w:val="00724B84"/>
    <w:rsid w:val="00724B96"/>
    <w:rsid w:val="00724CBB"/>
    <w:rsid w:val="00724ECA"/>
    <w:rsid w:val="00725066"/>
    <w:rsid w:val="00725086"/>
    <w:rsid w:val="00725511"/>
    <w:rsid w:val="00725607"/>
    <w:rsid w:val="007256DA"/>
    <w:rsid w:val="007257F6"/>
    <w:rsid w:val="007259E0"/>
    <w:rsid w:val="00725C05"/>
    <w:rsid w:val="00725CC8"/>
    <w:rsid w:val="00725D87"/>
    <w:rsid w:val="00725E73"/>
    <w:rsid w:val="00725ED2"/>
    <w:rsid w:val="00725F18"/>
    <w:rsid w:val="00725F23"/>
    <w:rsid w:val="00725F80"/>
    <w:rsid w:val="007260C7"/>
    <w:rsid w:val="007261EE"/>
    <w:rsid w:val="007262B3"/>
    <w:rsid w:val="007264AC"/>
    <w:rsid w:val="00726527"/>
    <w:rsid w:val="007265BB"/>
    <w:rsid w:val="0072664C"/>
    <w:rsid w:val="00726720"/>
    <w:rsid w:val="0072677F"/>
    <w:rsid w:val="007268C0"/>
    <w:rsid w:val="007268DB"/>
    <w:rsid w:val="00726940"/>
    <w:rsid w:val="00726C29"/>
    <w:rsid w:val="00726CDC"/>
    <w:rsid w:val="00726E81"/>
    <w:rsid w:val="007271A9"/>
    <w:rsid w:val="007271F0"/>
    <w:rsid w:val="0072736D"/>
    <w:rsid w:val="007273CD"/>
    <w:rsid w:val="007278C2"/>
    <w:rsid w:val="00727968"/>
    <w:rsid w:val="0072799A"/>
    <w:rsid w:val="007279F2"/>
    <w:rsid w:val="00727BE4"/>
    <w:rsid w:val="00727E06"/>
    <w:rsid w:val="00727ECB"/>
    <w:rsid w:val="00727F52"/>
    <w:rsid w:val="00730019"/>
    <w:rsid w:val="0073004F"/>
    <w:rsid w:val="007305F2"/>
    <w:rsid w:val="00730600"/>
    <w:rsid w:val="00730710"/>
    <w:rsid w:val="00730855"/>
    <w:rsid w:val="00730B1F"/>
    <w:rsid w:val="00730C2D"/>
    <w:rsid w:val="00730E38"/>
    <w:rsid w:val="0073109F"/>
    <w:rsid w:val="007310C5"/>
    <w:rsid w:val="0073112C"/>
    <w:rsid w:val="00731180"/>
    <w:rsid w:val="007312BF"/>
    <w:rsid w:val="007313A0"/>
    <w:rsid w:val="007314B5"/>
    <w:rsid w:val="007315A2"/>
    <w:rsid w:val="00731752"/>
    <w:rsid w:val="007317AE"/>
    <w:rsid w:val="00731BD8"/>
    <w:rsid w:val="00731EED"/>
    <w:rsid w:val="00731F02"/>
    <w:rsid w:val="00732038"/>
    <w:rsid w:val="00732260"/>
    <w:rsid w:val="00732307"/>
    <w:rsid w:val="00732551"/>
    <w:rsid w:val="0073258E"/>
    <w:rsid w:val="007326F6"/>
    <w:rsid w:val="0073272E"/>
    <w:rsid w:val="007327A3"/>
    <w:rsid w:val="007327D9"/>
    <w:rsid w:val="00732895"/>
    <w:rsid w:val="00732A16"/>
    <w:rsid w:val="00732ACC"/>
    <w:rsid w:val="00732DF6"/>
    <w:rsid w:val="00732ED3"/>
    <w:rsid w:val="0073325F"/>
    <w:rsid w:val="0073332A"/>
    <w:rsid w:val="007334A4"/>
    <w:rsid w:val="007334BC"/>
    <w:rsid w:val="00733530"/>
    <w:rsid w:val="0073354A"/>
    <w:rsid w:val="00733594"/>
    <w:rsid w:val="00733633"/>
    <w:rsid w:val="00733999"/>
    <w:rsid w:val="00733AC0"/>
    <w:rsid w:val="00733AEA"/>
    <w:rsid w:val="00733CCE"/>
    <w:rsid w:val="00733FEA"/>
    <w:rsid w:val="00734025"/>
    <w:rsid w:val="0073403C"/>
    <w:rsid w:val="00734378"/>
    <w:rsid w:val="0073442F"/>
    <w:rsid w:val="00734950"/>
    <w:rsid w:val="00734A53"/>
    <w:rsid w:val="00734A7A"/>
    <w:rsid w:val="00734BA6"/>
    <w:rsid w:val="00734D45"/>
    <w:rsid w:val="00734D48"/>
    <w:rsid w:val="00734DE1"/>
    <w:rsid w:val="00734E02"/>
    <w:rsid w:val="00734F69"/>
    <w:rsid w:val="0073513C"/>
    <w:rsid w:val="00735213"/>
    <w:rsid w:val="00735280"/>
    <w:rsid w:val="00735410"/>
    <w:rsid w:val="007354D3"/>
    <w:rsid w:val="00735653"/>
    <w:rsid w:val="0073579C"/>
    <w:rsid w:val="00735874"/>
    <w:rsid w:val="0073596B"/>
    <w:rsid w:val="00735972"/>
    <w:rsid w:val="00735B38"/>
    <w:rsid w:val="00735B49"/>
    <w:rsid w:val="00735BD2"/>
    <w:rsid w:val="00735C5D"/>
    <w:rsid w:val="00735E91"/>
    <w:rsid w:val="00735E9F"/>
    <w:rsid w:val="00735F08"/>
    <w:rsid w:val="00735F68"/>
    <w:rsid w:val="0073605B"/>
    <w:rsid w:val="00736113"/>
    <w:rsid w:val="0073614E"/>
    <w:rsid w:val="00736254"/>
    <w:rsid w:val="0073630F"/>
    <w:rsid w:val="00736329"/>
    <w:rsid w:val="00736386"/>
    <w:rsid w:val="00736395"/>
    <w:rsid w:val="00736434"/>
    <w:rsid w:val="00736710"/>
    <w:rsid w:val="0073688E"/>
    <w:rsid w:val="0073692C"/>
    <w:rsid w:val="00736970"/>
    <w:rsid w:val="0073698F"/>
    <w:rsid w:val="00736ADC"/>
    <w:rsid w:val="00736B34"/>
    <w:rsid w:val="00736F04"/>
    <w:rsid w:val="00736F42"/>
    <w:rsid w:val="00737023"/>
    <w:rsid w:val="007370B6"/>
    <w:rsid w:val="0073718B"/>
    <w:rsid w:val="00737201"/>
    <w:rsid w:val="00737211"/>
    <w:rsid w:val="00737476"/>
    <w:rsid w:val="007374D4"/>
    <w:rsid w:val="00737796"/>
    <w:rsid w:val="0073790E"/>
    <w:rsid w:val="00737A66"/>
    <w:rsid w:val="00737B6D"/>
    <w:rsid w:val="00737D27"/>
    <w:rsid w:val="00737D89"/>
    <w:rsid w:val="00737E1F"/>
    <w:rsid w:val="00737EC6"/>
    <w:rsid w:val="007400EB"/>
    <w:rsid w:val="007401A6"/>
    <w:rsid w:val="00740622"/>
    <w:rsid w:val="007409F3"/>
    <w:rsid w:val="00740AA5"/>
    <w:rsid w:val="00740F71"/>
    <w:rsid w:val="00740FCB"/>
    <w:rsid w:val="00740FE9"/>
    <w:rsid w:val="00741093"/>
    <w:rsid w:val="00741402"/>
    <w:rsid w:val="0074166A"/>
    <w:rsid w:val="00741677"/>
    <w:rsid w:val="007416B9"/>
    <w:rsid w:val="00741701"/>
    <w:rsid w:val="007417CC"/>
    <w:rsid w:val="007417CF"/>
    <w:rsid w:val="00741862"/>
    <w:rsid w:val="00741964"/>
    <w:rsid w:val="00741A0D"/>
    <w:rsid w:val="00741B27"/>
    <w:rsid w:val="00741F4E"/>
    <w:rsid w:val="00741F7C"/>
    <w:rsid w:val="0074234F"/>
    <w:rsid w:val="0074236D"/>
    <w:rsid w:val="007424B6"/>
    <w:rsid w:val="007424C6"/>
    <w:rsid w:val="00742842"/>
    <w:rsid w:val="00742AE8"/>
    <w:rsid w:val="00742BEA"/>
    <w:rsid w:val="00742C1A"/>
    <w:rsid w:val="00742C83"/>
    <w:rsid w:val="00742D3E"/>
    <w:rsid w:val="00742F40"/>
    <w:rsid w:val="00743076"/>
    <w:rsid w:val="00743235"/>
    <w:rsid w:val="0074330E"/>
    <w:rsid w:val="00743410"/>
    <w:rsid w:val="00743634"/>
    <w:rsid w:val="0074366D"/>
    <w:rsid w:val="007436FF"/>
    <w:rsid w:val="00743727"/>
    <w:rsid w:val="007439A9"/>
    <w:rsid w:val="00743A17"/>
    <w:rsid w:val="00743A64"/>
    <w:rsid w:val="00743A69"/>
    <w:rsid w:val="00743DAF"/>
    <w:rsid w:val="00743E37"/>
    <w:rsid w:val="00743E5A"/>
    <w:rsid w:val="00743EBE"/>
    <w:rsid w:val="00743F14"/>
    <w:rsid w:val="00743F4F"/>
    <w:rsid w:val="007442AE"/>
    <w:rsid w:val="0074435D"/>
    <w:rsid w:val="007443E1"/>
    <w:rsid w:val="007445DD"/>
    <w:rsid w:val="00744FB7"/>
    <w:rsid w:val="007451A8"/>
    <w:rsid w:val="0074537B"/>
    <w:rsid w:val="00745486"/>
    <w:rsid w:val="007455CA"/>
    <w:rsid w:val="00745673"/>
    <w:rsid w:val="00745681"/>
    <w:rsid w:val="0074570B"/>
    <w:rsid w:val="0074594C"/>
    <w:rsid w:val="00745987"/>
    <w:rsid w:val="007459B3"/>
    <w:rsid w:val="00745AEB"/>
    <w:rsid w:val="00745C1B"/>
    <w:rsid w:val="00745D82"/>
    <w:rsid w:val="007461D7"/>
    <w:rsid w:val="00746321"/>
    <w:rsid w:val="00746456"/>
    <w:rsid w:val="00746721"/>
    <w:rsid w:val="00746736"/>
    <w:rsid w:val="007468FB"/>
    <w:rsid w:val="007469DB"/>
    <w:rsid w:val="00746ADD"/>
    <w:rsid w:val="00746B3D"/>
    <w:rsid w:val="00746B90"/>
    <w:rsid w:val="00746BDF"/>
    <w:rsid w:val="007473B7"/>
    <w:rsid w:val="00747414"/>
    <w:rsid w:val="00747AB5"/>
    <w:rsid w:val="00750119"/>
    <w:rsid w:val="0075023A"/>
    <w:rsid w:val="00750298"/>
    <w:rsid w:val="007504B9"/>
    <w:rsid w:val="007506FF"/>
    <w:rsid w:val="007509B8"/>
    <w:rsid w:val="00750EB3"/>
    <w:rsid w:val="00750F60"/>
    <w:rsid w:val="007510C2"/>
    <w:rsid w:val="007512AF"/>
    <w:rsid w:val="007513E3"/>
    <w:rsid w:val="007514D6"/>
    <w:rsid w:val="00751642"/>
    <w:rsid w:val="00751692"/>
    <w:rsid w:val="007517F5"/>
    <w:rsid w:val="00751965"/>
    <w:rsid w:val="00751B1F"/>
    <w:rsid w:val="00751EA6"/>
    <w:rsid w:val="00751EF1"/>
    <w:rsid w:val="00752024"/>
    <w:rsid w:val="0075265F"/>
    <w:rsid w:val="00752758"/>
    <w:rsid w:val="007527D5"/>
    <w:rsid w:val="007529C1"/>
    <w:rsid w:val="00752A78"/>
    <w:rsid w:val="00752EDC"/>
    <w:rsid w:val="00752F7E"/>
    <w:rsid w:val="00753182"/>
    <w:rsid w:val="007532FF"/>
    <w:rsid w:val="00753425"/>
    <w:rsid w:val="007535F6"/>
    <w:rsid w:val="0075389A"/>
    <w:rsid w:val="007538D8"/>
    <w:rsid w:val="00754033"/>
    <w:rsid w:val="007542CC"/>
    <w:rsid w:val="00754494"/>
    <w:rsid w:val="007544CE"/>
    <w:rsid w:val="00754964"/>
    <w:rsid w:val="00754B46"/>
    <w:rsid w:val="00754D30"/>
    <w:rsid w:val="00754DF7"/>
    <w:rsid w:val="00754E9A"/>
    <w:rsid w:val="00754F03"/>
    <w:rsid w:val="0075511E"/>
    <w:rsid w:val="00755408"/>
    <w:rsid w:val="00755461"/>
    <w:rsid w:val="00755598"/>
    <w:rsid w:val="007555FF"/>
    <w:rsid w:val="00755778"/>
    <w:rsid w:val="007557AD"/>
    <w:rsid w:val="00755A07"/>
    <w:rsid w:val="00755EBD"/>
    <w:rsid w:val="00755FA8"/>
    <w:rsid w:val="00755FBD"/>
    <w:rsid w:val="00756115"/>
    <w:rsid w:val="007569AC"/>
    <w:rsid w:val="00756F4D"/>
    <w:rsid w:val="00756FE0"/>
    <w:rsid w:val="007572D2"/>
    <w:rsid w:val="007576A8"/>
    <w:rsid w:val="00757702"/>
    <w:rsid w:val="00757706"/>
    <w:rsid w:val="00757791"/>
    <w:rsid w:val="00757808"/>
    <w:rsid w:val="00757A1C"/>
    <w:rsid w:val="00757A3E"/>
    <w:rsid w:val="00757ABD"/>
    <w:rsid w:val="00757AF8"/>
    <w:rsid w:val="00757C0F"/>
    <w:rsid w:val="00757E54"/>
    <w:rsid w:val="00760025"/>
    <w:rsid w:val="007600DA"/>
    <w:rsid w:val="007607C6"/>
    <w:rsid w:val="00760841"/>
    <w:rsid w:val="0076097E"/>
    <w:rsid w:val="00760C67"/>
    <w:rsid w:val="00760D4F"/>
    <w:rsid w:val="00760F97"/>
    <w:rsid w:val="00761161"/>
    <w:rsid w:val="00761168"/>
    <w:rsid w:val="00761188"/>
    <w:rsid w:val="00761232"/>
    <w:rsid w:val="007613E3"/>
    <w:rsid w:val="007614EF"/>
    <w:rsid w:val="007615C3"/>
    <w:rsid w:val="00761777"/>
    <w:rsid w:val="007617E8"/>
    <w:rsid w:val="007618F2"/>
    <w:rsid w:val="00761910"/>
    <w:rsid w:val="00761A38"/>
    <w:rsid w:val="00761A56"/>
    <w:rsid w:val="00761CB7"/>
    <w:rsid w:val="00761FEE"/>
    <w:rsid w:val="00762091"/>
    <w:rsid w:val="007620BD"/>
    <w:rsid w:val="00762106"/>
    <w:rsid w:val="007622E6"/>
    <w:rsid w:val="0076241D"/>
    <w:rsid w:val="007624A5"/>
    <w:rsid w:val="00762565"/>
    <w:rsid w:val="00762B14"/>
    <w:rsid w:val="00762C39"/>
    <w:rsid w:val="00762C58"/>
    <w:rsid w:val="00762C5B"/>
    <w:rsid w:val="00762C77"/>
    <w:rsid w:val="00762F1E"/>
    <w:rsid w:val="00762F54"/>
    <w:rsid w:val="007631AF"/>
    <w:rsid w:val="0076334C"/>
    <w:rsid w:val="007635E3"/>
    <w:rsid w:val="00763909"/>
    <w:rsid w:val="00763984"/>
    <w:rsid w:val="00763D67"/>
    <w:rsid w:val="007640C6"/>
    <w:rsid w:val="00764125"/>
    <w:rsid w:val="0076430D"/>
    <w:rsid w:val="0076454C"/>
    <w:rsid w:val="0076456A"/>
    <w:rsid w:val="0076468F"/>
    <w:rsid w:val="007646DE"/>
    <w:rsid w:val="00764814"/>
    <w:rsid w:val="00764B93"/>
    <w:rsid w:val="007650D9"/>
    <w:rsid w:val="00765105"/>
    <w:rsid w:val="00765140"/>
    <w:rsid w:val="00765245"/>
    <w:rsid w:val="0076547C"/>
    <w:rsid w:val="00765498"/>
    <w:rsid w:val="007658D3"/>
    <w:rsid w:val="00765C5A"/>
    <w:rsid w:val="00765D06"/>
    <w:rsid w:val="00765FF6"/>
    <w:rsid w:val="0076625E"/>
    <w:rsid w:val="0076648C"/>
    <w:rsid w:val="007667BB"/>
    <w:rsid w:val="00766C2C"/>
    <w:rsid w:val="00766CDC"/>
    <w:rsid w:val="00766DED"/>
    <w:rsid w:val="00766DF7"/>
    <w:rsid w:val="00766F40"/>
    <w:rsid w:val="00767135"/>
    <w:rsid w:val="00767376"/>
    <w:rsid w:val="007678D9"/>
    <w:rsid w:val="0076792A"/>
    <w:rsid w:val="00767D68"/>
    <w:rsid w:val="00767D6C"/>
    <w:rsid w:val="00767E60"/>
    <w:rsid w:val="00767FEF"/>
    <w:rsid w:val="0077018C"/>
    <w:rsid w:val="0077032C"/>
    <w:rsid w:val="00770371"/>
    <w:rsid w:val="007706A2"/>
    <w:rsid w:val="0077096F"/>
    <w:rsid w:val="00770CDA"/>
    <w:rsid w:val="00770D9E"/>
    <w:rsid w:val="00770E50"/>
    <w:rsid w:val="00770E8F"/>
    <w:rsid w:val="00771074"/>
    <w:rsid w:val="007710E5"/>
    <w:rsid w:val="00771164"/>
    <w:rsid w:val="007711BE"/>
    <w:rsid w:val="00771529"/>
    <w:rsid w:val="007715E0"/>
    <w:rsid w:val="007719F0"/>
    <w:rsid w:val="00771EB9"/>
    <w:rsid w:val="00771FAF"/>
    <w:rsid w:val="00772145"/>
    <w:rsid w:val="00772162"/>
    <w:rsid w:val="00772192"/>
    <w:rsid w:val="00772241"/>
    <w:rsid w:val="00772312"/>
    <w:rsid w:val="00772357"/>
    <w:rsid w:val="0077242E"/>
    <w:rsid w:val="00772450"/>
    <w:rsid w:val="007725B5"/>
    <w:rsid w:val="007728E8"/>
    <w:rsid w:val="00772C74"/>
    <w:rsid w:val="00772D10"/>
    <w:rsid w:val="00772D74"/>
    <w:rsid w:val="00772EC6"/>
    <w:rsid w:val="00773165"/>
    <w:rsid w:val="0077338A"/>
    <w:rsid w:val="00773697"/>
    <w:rsid w:val="0077378A"/>
    <w:rsid w:val="0077382B"/>
    <w:rsid w:val="0077382E"/>
    <w:rsid w:val="00773997"/>
    <w:rsid w:val="007739F1"/>
    <w:rsid w:val="00773C63"/>
    <w:rsid w:val="00773C77"/>
    <w:rsid w:val="00773CCA"/>
    <w:rsid w:val="00773D14"/>
    <w:rsid w:val="00773DE6"/>
    <w:rsid w:val="00773F76"/>
    <w:rsid w:val="00773FD2"/>
    <w:rsid w:val="00774021"/>
    <w:rsid w:val="007741AC"/>
    <w:rsid w:val="0077430C"/>
    <w:rsid w:val="00774532"/>
    <w:rsid w:val="00774546"/>
    <w:rsid w:val="0077459E"/>
    <w:rsid w:val="007745C7"/>
    <w:rsid w:val="007745FE"/>
    <w:rsid w:val="00774653"/>
    <w:rsid w:val="007747D7"/>
    <w:rsid w:val="0077491E"/>
    <w:rsid w:val="00774B0C"/>
    <w:rsid w:val="00774BD9"/>
    <w:rsid w:val="00774C8D"/>
    <w:rsid w:val="0077509B"/>
    <w:rsid w:val="00775242"/>
    <w:rsid w:val="00775281"/>
    <w:rsid w:val="0077530D"/>
    <w:rsid w:val="00775481"/>
    <w:rsid w:val="00775601"/>
    <w:rsid w:val="00775694"/>
    <w:rsid w:val="00775DA8"/>
    <w:rsid w:val="0077625B"/>
    <w:rsid w:val="0077628B"/>
    <w:rsid w:val="007762B3"/>
    <w:rsid w:val="00776615"/>
    <w:rsid w:val="00776652"/>
    <w:rsid w:val="00776681"/>
    <w:rsid w:val="0077699F"/>
    <w:rsid w:val="00776CBA"/>
    <w:rsid w:val="00776F99"/>
    <w:rsid w:val="007770AF"/>
    <w:rsid w:val="007771B0"/>
    <w:rsid w:val="00777305"/>
    <w:rsid w:val="0077745E"/>
    <w:rsid w:val="0077756B"/>
    <w:rsid w:val="0077758D"/>
    <w:rsid w:val="007775EC"/>
    <w:rsid w:val="00777A44"/>
    <w:rsid w:val="00777A76"/>
    <w:rsid w:val="00777B82"/>
    <w:rsid w:val="00777D5A"/>
    <w:rsid w:val="007800B3"/>
    <w:rsid w:val="00780246"/>
    <w:rsid w:val="007802B2"/>
    <w:rsid w:val="007803D4"/>
    <w:rsid w:val="007805BF"/>
    <w:rsid w:val="0078063E"/>
    <w:rsid w:val="00780D2D"/>
    <w:rsid w:val="00780D69"/>
    <w:rsid w:val="00780FAE"/>
    <w:rsid w:val="00781015"/>
    <w:rsid w:val="00781025"/>
    <w:rsid w:val="00781053"/>
    <w:rsid w:val="007812AB"/>
    <w:rsid w:val="007815A2"/>
    <w:rsid w:val="0078162B"/>
    <w:rsid w:val="007818B1"/>
    <w:rsid w:val="007818D3"/>
    <w:rsid w:val="007819F2"/>
    <w:rsid w:val="00781B95"/>
    <w:rsid w:val="00781C37"/>
    <w:rsid w:val="00781F23"/>
    <w:rsid w:val="00782137"/>
    <w:rsid w:val="0078221B"/>
    <w:rsid w:val="00782274"/>
    <w:rsid w:val="00782373"/>
    <w:rsid w:val="007824C6"/>
    <w:rsid w:val="007827D2"/>
    <w:rsid w:val="00782A46"/>
    <w:rsid w:val="00782B2B"/>
    <w:rsid w:val="00782C6F"/>
    <w:rsid w:val="00782E8D"/>
    <w:rsid w:val="007832D2"/>
    <w:rsid w:val="00783368"/>
    <w:rsid w:val="0078392D"/>
    <w:rsid w:val="007839CD"/>
    <w:rsid w:val="00783BBB"/>
    <w:rsid w:val="00783BEC"/>
    <w:rsid w:val="00783FA6"/>
    <w:rsid w:val="00784001"/>
    <w:rsid w:val="007840AC"/>
    <w:rsid w:val="00784145"/>
    <w:rsid w:val="007841FA"/>
    <w:rsid w:val="00784740"/>
    <w:rsid w:val="0078481C"/>
    <w:rsid w:val="0078488D"/>
    <w:rsid w:val="007848CA"/>
    <w:rsid w:val="00784BB5"/>
    <w:rsid w:val="00784C0F"/>
    <w:rsid w:val="00784C99"/>
    <w:rsid w:val="00784F08"/>
    <w:rsid w:val="007851C2"/>
    <w:rsid w:val="007851D8"/>
    <w:rsid w:val="0078528D"/>
    <w:rsid w:val="007852E1"/>
    <w:rsid w:val="0078556B"/>
    <w:rsid w:val="007855A3"/>
    <w:rsid w:val="007856B7"/>
    <w:rsid w:val="007858C8"/>
    <w:rsid w:val="00785A15"/>
    <w:rsid w:val="00785A27"/>
    <w:rsid w:val="00785AEE"/>
    <w:rsid w:val="00785B44"/>
    <w:rsid w:val="00785D9E"/>
    <w:rsid w:val="00785E21"/>
    <w:rsid w:val="00785F82"/>
    <w:rsid w:val="007860C5"/>
    <w:rsid w:val="00786117"/>
    <w:rsid w:val="00786389"/>
    <w:rsid w:val="00786544"/>
    <w:rsid w:val="007867C0"/>
    <w:rsid w:val="007867F2"/>
    <w:rsid w:val="00786B00"/>
    <w:rsid w:val="00787414"/>
    <w:rsid w:val="0078751B"/>
    <w:rsid w:val="00787712"/>
    <w:rsid w:val="00787886"/>
    <w:rsid w:val="00787A38"/>
    <w:rsid w:val="00787ADD"/>
    <w:rsid w:val="00787CB7"/>
    <w:rsid w:val="00787D8E"/>
    <w:rsid w:val="007900C1"/>
    <w:rsid w:val="00790270"/>
    <w:rsid w:val="00790308"/>
    <w:rsid w:val="007903DF"/>
    <w:rsid w:val="0079041D"/>
    <w:rsid w:val="00790491"/>
    <w:rsid w:val="007905F9"/>
    <w:rsid w:val="00790833"/>
    <w:rsid w:val="00790861"/>
    <w:rsid w:val="00790995"/>
    <w:rsid w:val="00790A32"/>
    <w:rsid w:val="00790A3C"/>
    <w:rsid w:val="00790AB1"/>
    <w:rsid w:val="00790AEB"/>
    <w:rsid w:val="00790BE6"/>
    <w:rsid w:val="00790C82"/>
    <w:rsid w:val="0079103E"/>
    <w:rsid w:val="00791106"/>
    <w:rsid w:val="007913AA"/>
    <w:rsid w:val="007914FF"/>
    <w:rsid w:val="00791541"/>
    <w:rsid w:val="0079168E"/>
    <w:rsid w:val="007916AA"/>
    <w:rsid w:val="007918FA"/>
    <w:rsid w:val="00791A40"/>
    <w:rsid w:val="00791A50"/>
    <w:rsid w:val="00791D3A"/>
    <w:rsid w:val="00791E44"/>
    <w:rsid w:val="00791FD5"/>
    <w:rsid w:val="00792079"/>
    <w:rsid w:val="0079208E"/>
    <w:rsid w:val="007920B2"/>
    <w:rsid w:val="00792144"/>
    <w:rsid w:val="007922A5"/>
    <w:rsid w:val="00792512"/>
    <w:rsid w:val="00792516"/>
    <w:rsid w:val="0079290E"/>
    <w:rsid w:val="0079291B"/>
    <w:rsid w:val="007929E5"/>
    <w:rsid w:val="00792A56"/>
    <w:rsid w:val="00792B1D"/>
    <w:rsid w:val="00792D52"/>
    <w:rsid w:val="00792F74"/>
    <w:rsid w:val="00792F77"/>
    <w:rsid w:val="00792F7C"/>
    <w:rsid w:val="0079300D"/>
    <w:rsid w:val="00793188"/>
    <w:rsid w:val="007932C3"/>
    <w:rsid w:val="007933EF"/>
    <w:rsid w:val="007935B8"/>
    <w:rsid w:val="00793653"/>
    <w:rsid w:val="00793706"/>
    <w:rsid w:val="00793943"/>
    <w:rsid w:val="00793A77"/>
    <w:rsid w:val="00793B4F"/>
    <w:rsid w:val="00793CE4"/>
    <w:rsid w:val="0079451C"/>
    <w:rsid w:val="00794657"/>
    <w:rsid w:val="00794695"/>
    <w:rsid w:val="0079485C"/>
    <w:rsid w:val="007949CB"/>
    <w:rsid w:val="00794E67"/>
    <w:rsid w:val="00794E91"/>
    <w:rsid w:val="007952AD"/>
    <w:rsid w:val="00795437"/>
    <w:rsid w:val="00795449"/>
    <w:rsid w:val="00795476"/>
    <w:rsid w:val="007954AA"/>
    <w:rsid w:val="007954B5"/>
    <w:rsid w:val="00795C8A"/>
    <w:rsid w:val="00795ECB"/>
    <w:rsid w:val="00796080"/>
    <w:rsid w:val="007960BC"/>
    <w:rsid w:val="0079615C"/>
    <w:rsid w:val="007965AE"/>
    <w:rsid w:val="0079660E"/>
    <w:rsid w:val="0079663C"/>
    <w:rsid w:val="007966EF"/>
    <w:rsid w:val="00796728"/>
    <w:rsid w:val="00796770"/>
    <w:rsid w:val="007968A8"/>
    <w:rsid w:val="00796BCA"/>
    <w:rsid w:val="00796BE7"/>
    <w:rsid w:val="00796EEA"/>
    <w:rsid w:val="00796F20"/>
    <w:rsid w:val="00796FED"/>
    <w:rsid w:val="00797030"/>
    <w:rsid w:val="007974B0"/>
    <w:rsid w:val="00797630"/>
    <w:rsid w:val="00797644"/>
    <w:rsid w:val="00797C9D"/>
    <w:rsid w:val="00797F43"/>
    <w:rsid w:val="007A03AB"/>
    <w:rsid w:val="007A0433"/>
    <w:rsid w:val="007A0664"/>
    <w:rsid w:val="007A06A7"/>
    <w:rsid w:val="007A0724"/>
    <w:rsid w:val="007A0C0E"/>
    <w:rsid w:val="007A0C3C"/>
    <w:rsid w:val="007A0D01"/>
    <w:rsid w:val="007A0EB2"/>
    <w:rsid w:val="007A0EF0"/>
    <w:rsid w:val="007A10F4"/>
    <w:rsid w:val="007A136D"/>
    <w:rsid w:val="007A14E7"/>
    <w:rsid w:val="007A1524"/>
    <w:rsid w:val="007A1674"/>
    <w:rsid w:val="007A16DA"/>
    <w:rsid w:val="007A17CA"/>
    <w:rsid w:val="007A1947"/>
    <w:rsid w:val="007A1D3F"/>
    <w:rsid w:val="007A2478"/>
    <w:rsid w:val="007A27EC"/>
    <w:rsid w:val="007A29A2"/>
    <w:rsid w:val="007A2A17"/>
    <w:rsid w:val="007A2A2A"/>
    <w:rsid w:val="007A2F37"/>
    <w:rsid w:val="007A2FC3"/>
    <w:rsid w:val="007A3000"/>
    <w:rsid w:val="007A310E"/>
    <w:rsid w:val="007A323E"/>
    <w:rsid w:val="007A3287"/>
    <w:rsid w:val="007A335F"/>
    <w:rsid w:val="007A34BE"/>
    <w:rsid w:val="007A36C4"/>
    <w:rsid w:val="007A3906"/>
    <w:rsid w:val="007A3915"/>
    <w:rsid w:val="007A3979"/>
    <w:rsid w:val="007A3A2E"/>
    <w:rsid w:val="007A3BA6"/>
    <w:rsid w:val="007A3BBE"/>
    <w:rsid w:val="007A3CA5"/>
    <w:rsid w:val="007A3DF1"/>
    <w:rsid w:val="007A3E03"/>
    <w:rsid w:val="007A403F"/>
    <w:rsid w:val="007A40C8"/>
    <w:rsid w:val="007A414B"/>
    <w:rsid w:val="007A4185"/>
    <w:rsid w:val="007A432F"/>
    <w:rsid w:val="007A449E"/>
    <w:rsid w:val="007A471E"/>
    <w:rsid w:val="007A476A"/>
    <w:rsid w:val="007A47CB"/>
    <w:rsid w:val="007A480F"/>
    <w:rsid w:val="007A4922"/>
    <w:rsid w:val="007A498E"/>
    <w:rsid w:val="007A49CB"/>
    <w:rsid w:val="007A4A51"/>
    <w:rsid w:val="007A4C47"/>
    <w:rsid w:val="007A4E31"/>
    <w:rsid w:val="007A4E7C"/>
    <w:rsid w:val="007A51F2"/>
    <w:rsid w:val="007A53B4"/>
    <w:rsid w:val="007A5465"/>
    <w:rsid w:val="007A549C"/>
    <w:rsid w:val="007A552D"/>
    <w:rsid w:val="007A59C3"/>
    <w:rsid w:val="007A59CB"/>
    <w:rsid w:val="007A5E29"/>
    <w:rsid w:val="007A5E7F"/>
    <w:rsid w:val="007A5FB3"/>
    <w:rsid w:val="007A6362"/>
    <w:rsid w:val="007A63FE"/>
    <w:rsid w:val="007A659C"/>
    <w:rsid w:val="007A6B2E"/>
    <w:rsid w:val="007A6CAF"/>
    <w:rsid w:val="007A6D50"/>
    <w:rsid w:val="007A6E4D"/>
    <w:rsid w:val="007A6F92"/>
    <w:rsid w:val="007A742C"/>
    <w:rsid w:val="007A75CE"/>
    <w:rsid w:val="007A7718"/>
    <w:rsid w:val="007A7881"/>
    <w:rsid w:val="007A794E"/>
    <w:rsid w:val="007A7A69"/>
    <w:rsid w:val="007A7BEF"/>
    <w:rsid w:val="007A7F43"/>
    <w:rsid w:val="007B036C"/>
    <w:rsid w:val="007B037F"/>
    <w:rsid w:val="007B03B5"/>
    <w:rsid w:val="007B03ED"/>
    <w:rsid w:val="007B06DD"/>
    <w:rsid w:val="007B06F7"/>
    <w:rsid w:val="007B079C"/>
    <w:rsid w:val="007B0932"/>
    <w:rsid w:val="007B1042"/>
    <w:rsid w:val="007B1325"/>
    <w:rsid w:val="007B14AF"/>
    <w:rsid w:val="007B14C0"/>
    <w:rsid w:val="007B1B42"/>
    <w:rsid w:val="007B1C38"/>
    <w:rsid w:val="007B1C91"/>
    <w:rsid w:val="007B1D5E"/>
    <w:rsid w:val="007B1E3C"/>
    <w:rsid w:val="007B1EB4"/>
    <w:rsid w:val="007B2072"/>
    <w:rsid w:val="007B207D"/>
    <w:rsid w:val="007B24D9"/>
    <w:rsid w:val="007B282F"/>
    <w:rsid w:val="007B284F"/>
    <w:rsid w:val="007B298E"/>
    <w:rsid w:val="007B2A5B"/>
    <w:rsid w:val="007B2B91"/>
    <w:rsid w:val="007B2D2D"/>
    <w:rsid w:val="007B2D65"/>
    <w:rsid w:val="007B2E23"/>
    <w:rsid w:val="007B3017"/>
    <w:rsid w:val="007B3141"/>
    <w:rsid w:val="007B31DD"/>
    <w:rsid w:val="007B377A"/>
    <w:rsid w:val="007B392F"/>
    <w:rsid w:val="007B3FA1"/>
    <w:rsid w:val="007B40EE"/>
    <w:rsid w:val="007B4400"/>
    <w:rsid w:val="007B461E"/>
    <w:rsid w:val="007B4979"/>
    <w:rsid w:val="007B4EA4"/>
    <w:rsid w:val="007B510A"/>
    <w:rsid w:val="007B51E7"/>
    <w:rsid w:val="007B5279"/>
    <w:rsid w:val="007B537B"/>
    <w:rsid w:val="007B5585"/>
    <w:rsid w:val="007B567C"/>
    <w:rsid w:val="007B56C6"/>
    <w:rsid w:val="007B577C"/>
    <w:rsid w:val="007B5E5F"/>
    <w:rsid w:val="007B5EC5"/>
    <w:rsid w:val="007B605B"/>
    <w:rsid w:val="007B6507"/>
    <w:rsid w:val="007B652B"/>
    <w:rsid w:val="007B669C"/>
    <w:rsid w:val="007B66F9"/>
    <w:rsid w:val="007B6833"/>
    <w:rsid w:val="007B6B4C"/>
    <w:rsid w:val="007B6B76"/>
    <w:rsid w:val="007B6BA1"/>
    <w:rsid w:val="007B6D14"/>
    <w:rsid w:val="007B6FD1"/>
    <w:rsid w:val="007B7358"/>
    <w:rsid w:val="007B7469"/>
    <w:rsid w:val="007B74CD"/>
    <w:rsid w:val="007B7585"/>
    <w:rsid w:val="007B763A"/>
    <w:rsid w:val="007B78C5"/>
    <w:rsid w:val="007B7A8E"/>
    <w:rsid w:val="007B7B7E"/>
    <w:rsid w:val="007B7BC7"/>
    <w:rsid w:val="007B7D2B"/>
    <w:rsid w:val="007B7EF6"/>
    <w:rsid w:val="007B7FCD"/>
    <w:rsid w:val="007C032D"/>
    <w:rsid w:val="007C045C"/>
    <w:rsid w:val="007C0582"/>
    <w:rsid w:val="007C08BC"/>
    <w:rsid w:val="007C0A83"/>
    <w:rsid w:val="007C0A89"/>
    <w:rsid w:val="007C0B52"/>
    <w:rsid w:val="007C0EA7"/>
    <w:rsid w:val="007C0F0E"/>
    <w:rsid w:val="007C1015"/>
    <w:rsid w:val="007C11E9"/>
    <w:rsid w:val="007C12BC"/>
    <w:rsid w:val="007C131B"/>
    <w:rsid w:val="007C139A"/>
    <w:rsid w:val="007C1452"/>
    <w:rsid w:val="007C175A"/>
    <w:rsid w:val="007C19FC"/>
    <w:rsid w:val="007C1AAF"/>
    <w:rsid w:val="007C1B96"/>
    <w:rsid w:val="007C1C82"/>
    <w:rsid w:val="007C1F93"/>
    <w:rsid w:val="007C1FF7"/>
    <w:rsid w:val="007C2060"/>
    <w:rsid w:val="007C2096"/>
    <w:rsid w:val="007C2101"/>
    <w:rsid w:val="007C2169"/>
    <w:rsid w:val="007C2478"/>
    <w:rsid w:val="007C24AC"/>
    <w:rsid w:val="007C275E"/>
    <w:rsid w:val="007C2818"/>
    <w:rsid w:val="007C2A1B"/>
    <w:rsid w:val="007C2A47"/>
    <w:rsid w:val="007C2AA7"/>
    <w:rsid w:val="007C2AD1"/>
    <w:rsid w:val="007C2C26"/>
    <w:rsid w:val="007C2D08"/>
    <w:rsid w:val="007C2D22"/>
    <w:rsid w:val="007C2D99"/>
    <w:rsid w:val="007C2EF8"/>
    <w:rsid w:val="007C2FBD"/>
    <w:rsid w:val="007C305E"/>
    <w:rsid w:val="007C3085"/>
    <w:rsid w:val="007C3462"/>
    <w:rsid w:val="007C347D"/>
    <w:rsid w:val="007C349E"/>
    <w:rsid w:val="007C34E0"/>
    <w:rsid w:val="007C35F3"/>
    <w:rsid w:val="007C36B4"/>
    <w:rsid w:val="007C38B1"/>
    <w:rsid w:val="007C3D01"/>
    <w:rsid w:val="007C43FA"/>
    <w:rsid w:val="007C441E"/>
    <w:rsid w:val="007C478D"/>
    <w:rsid w:val="007C4836"/>
    <w:rsid w:val="007C4AF9"/>
    <w:rsid w:val="007C4B39"/>
    <w:rsid w:val="007C4E02"/>
    <w:rsid w:val="007C4E36"/>
    <w:rsid w:val="007C5048"/>
    <w:rsid w:val="007C5121"/>
    <w:rsid w:val="007C5143"/>
    <w:rsid w:val="007C58E1"/>
    <w:rsid w:val="007C594B"/>
    <w:rsid w:val="007C5A37"/>
    <w:rsid w:val="007C5A38"/>
    <w:rsid w:val="007C5AD7"/>
    <w:rsid w:val="007C5BE5"/>
    <w:rsid w:val="007C5C3E"/>
    <w:rsid w:val="007C5EED"/>
    <w:rsid w:val="007C5FA8"/>
    <w:rsid w:val="007C6038"/>
    <w:rsid w:val="007C6160"/>
    <w:rsid w:val="007C618D"/>
    <w:rsid w:val="007C61C5"/>
    <w:rsid w:val="007C62D8"/>
    <w:rsid w:val="007C6392"/>
    <w:rsid w:val="007C64DF"/>
    <w:rsid w:val="007C6722"/>
    <w:rsid w:val="007C672F"/>
    <w:rsid w:val="007C67F7"/>
    <w:rsid w:val="007C6889"/>
    <w:rsid w:val="007C6C53"/>
    <w:rsid w:val="007C6DB2"/>
    <w:rsid w:val="007C6F30"/>
    <w:rsid w:val="007C6F44"/>
    <w:rsid w:val="007C73DD"/>
    <w:rsid w:val="007C73F5"/>
    <w:rsid w:val="007C742C"/>
    <w:rsid w:val="007C745D"/>
    <w:rsid w:val="007C765D"/>
    <w:rsid w:val="007C77CC"/>
    <w:rsid w:val="007C7840"/>
    <w:rsid w:val="007C7957"/>
    <w:rsid w:val="007C7A38"/>
    <w:rsid w:val="007C7AB5"/>
    <w:rsid w:val="007C7BA3"/>
    <w:rsid w:val="007C7D15"/>
    <w:rsid w:val="007C7EBB"/>
    <w:rsid w:val="007C7ECF"/>
    <w:rsid w:val="007D0185"/>
    <w:rsid w:val="007D01E8"/>
    <w:rsid w:val="007D037A"/>
    <w:rsid w:val="007D0477"/>
    <w:rsid w:val="007D05FC"/>
    <w:rsid w:val="007D060F"/>
    <w:rsid w:val="007D06C9"/>
    <w:rsid w:val="007D0861"/>
    <w:rsid w:val="007D0864"/>
    <w:rsid w:val="007D0992"/>
    <w:rsid w:val="007D09F8"/>
    <w:rsid w:val="007D0B49"/>
    <w:rsid w:val="007D0BD2"/>
    <w:rsid w:val="007D108E"/>
    <w:rsid w:val="007D10A2"/>
    <w:rsid w:val="007D130E"/>
    <w:rsid w:val="007D1413"/>
    <w:rsid w:val="007D143B"/>
    <w:rsid w:val="007D1565"/>
    <w:rsid w:val="007D1592"/>
    <w:rsid w:val="007D1884"/>
    <w:rsid w:val="007D1890"/>
    <w:rsid w:val="007D1C3F"/>
    <w:rsid w:val="007D1CCB"/>
    <w:rsid w:val="007D1E3F"/>
    <w:rsid w:val="007D2105"/>
    <w:rsid w:val="007D21CE"/>
    <w:rsid w:val="007D224F"/>
    <w:rsid w:val="007D2385"/>
    <w:rsid w:val="007D23A9"/>
    <w:rsid w:val="007D242E"/>
    <w:rsid w:val="007D243C"/>
    <w:rsid w:val="007D25DC"/>
    <w:rsid w:val="007D25DD"/>
    <w:rsid w:val="007D26A0"/>
    <w:rsid w:val="007D2869"/>
    <w:rsid w:val="007D2940"/>
    <w:rsid w:val="007D2A42"/>
    <w:rsid w:val="007D2B64"/>
    <w:rsid w:val="007D2B8F"/>
    <w:rsid w:val="007D2C22"/>
    <w:rsid w:val="007D2C69"/>
    <w:rsid w:val="007D2D73"/>
    <w:rsid w:val="007D32A9"/>
    <w:rsid w:val="007D3636"/>
    <w:rsid w:val="007D367F"/>
    <w:rsid w:val="007D37C5"/>
    <w:rsid w:val="007D3955"/>
    <w:rsid w:val="007D395C"/>
    <w:rsid w:val="007D3A25"/>
    <w:rsid w:val="007D3A9B"/>
    <w:rsid w:val="007D3B21"/>
    <w:rsid w:val="007D3EAD"/>
    <w:rsid w:val="007D4003"/>
    <w:rsid w:val="007D404E"/>
    <w:rsid w:val="007D40B2"/>
    <w:rsid w:val="007D423A"/>
    <w:rsid w:val="007D4318"/>
    <w:rsid w:val="007D4645"/>
    <w:rsid w:val="007D4BC0"/>
    <w:rsid w:val="007D4CE7"/>
    <w:rsid w:val="007D4F84"/>
    <w:rsid w:val="007D5402"/>
    <w:rsid w:val="007D5415"/>
    <w:rsid w:val="007D5516"/>
    <w:rsid w:val="007D59A7"/>
    <w:rsid w:val="007D5AF7"/>
    <w:rsid w:val="007D5C20"/>
    <w:rsid w:val="007D5C47"/>
    <w:rsid w:val="007D5D17"/>
    <w:rsid w:val="007D5E08"/>
    <w:rsid w:val="007D5F0B"/>
    <w:rsid w:val="007D6333"/>
    <w:rsid w:val="007D6428"/>
    <w:rsid w:val="007D6656"/>
    <w:rsid w:val="007D6756"/>
    <w:rsid w:val="007D6A63"/>
    <w:rsid w:val="007D6D7C"/>
    <w:rsid w:val="007D6DAB"/>
    <w:rsid w:val="007D6E8C"/>
    <w:rsid w:val="007D6F96"/>
    <w:rsid w:val="007D6FFE"/>
    <w:rsid w:val="007D73D5"/>
    <w:rsid w:val="007D7404"/>
    <w:rsid w:val="007D774B"/>
    <w:rsid w:val="007D7775"/>
    <w:rsid w:val="007D79C9"/>
    <w:rsid w:val="007D7A77"/>
    <w:rsid w:val="007D7AD3"/>
    <w:rsid w:val="007D7B58"/>
    <w:rsid w:val="007D7C43"/>
    <w:rsid w:val="007D7EBE"/>
    <w:rsid w:val="007D7F3D"/>
    <w:rsid w:val="007D7F99"/>
    <w:rsid w:val="007E0020"/>
    <w:rsid w:val="007E023B"/>
    <w:rsid w:val="007E04F0"/>
    <w:rsid w:val="007E0679"/>
    <w:rsid w:val="007E0934"/>
    <w:rsid w:val="007E09E8"/>
    <w:rsid w:val="007E0F0C"/>
    <w:rsid w:val="007E10F3"/>
    <w:rsid w:val="007E1170"/>
    <w:rsid w:val="007E11B4"/>
    <w:rsid w:val="007E1254"/>
    <w:rsid w:val="007E1398"/>
    <w:rsid w:val="007E1521"/>
    <w:rsid w:val="007E15A5"/>
    <w:rsid w:val="007E15FF"/>
    <w:rsid w:val="007E171D"/>
    <w:rsid w:val="007E17B4"/>
    <w:rsid w:val="007E1F20"/>
    <w:rsid w:val="007E1F37"/>
    <w:rsid w:val="007E2343"/>
    <w:rsid w:val="007E27F5"/>
    <w:rsid w:val="007E2D93"/>
    <w:rsid w:val="007E2F28"/>
    <w:rsid w:val="007E2F2D"/>
    <w:rsid w:val="007E30CB"/>
    <w:rsid w:val="007E32E4"/>
    <w:rsid w:val="007E34CC"/>
    <w:rsid w:val="007E371D"/>
    <w:rsid w:val="007E3981"/>
    <w:rsid w:val="007E3B49"/>
    <w:rsid w:val="007E3C84"/>
    <w:rsid w:val="007E4057"/>
    <w:rsid w:val="007E40D0"/>
    <w:rsid w:val="007E4358"/>
    <w:rsid w:val="007E4410"/>
    <w:rsid w:val="007E4706"/>
    <w:rsid w:val="007E485F"/>
    <w:rsid w:val="007E4881"/>
    <w:rsid w:val="007E4883"/>
    <w:rsid w:val="007E498E"/>
    <w:rsid w:val="007E4A9F"/>
    <w:rsid w:val="007E4BA6"/>
    <w:rsid w:val="007E4C26"/>
    <w:rsid w:val="007E4C29"/>
    <w:rsid w:val="007E4F71"/>
    <w:rsid w:val="007E505A"/>
    <w:rsid w:val="007E5128"/>
    <w:rsid w:val="007E530F"/>
    <w:rsid w:val="007E55D3"/>
    <w:rsid w:val="007E5612"/>
    <w:rsid w:val="007E5701"/>
    <w:rsid w:val="007E5861"/>
    <w:rsid w:val="007E58C0"/>
    <w:rsid w:val="007E5943"/>
    <w:rsid w:val="007E5A62"/>
    <w:rsid w:val="007E5AF1"/>
    <w:rsid w:val="007E5C4D"/>
    <w:rsid w:val="007E5CB5"/>
    <w:rsid w:val="007E5CFC"/>
    <w:rsid w:val="007E5D29"/>
    <w:rsid w:val="007E5DB7"/>
    <w:rsid w:val="007E5F2D"/>
    <w:rsid w:val="007E6155"/>
    <w:rsid w:val="007E61D3"/>
    <w:rsid w:val="007E6592"/>
    <w:rsid w:val="007E65CE"/>
    <w:rsid w:val="007E65E5"/>
    <w:rsid w:val="007E673C"/>
    <w:rsid w:val="007E69BA"/>
    <w:rsid w:val="007E6C00"/>
    <w:rsid w:val="007E6DFA"/>
    <w:rsid w:val="007E6F7B"/>
    <w:rsid w:val="007E7041"/>
    <w:rsid w:val="007E7149"/>
    <w:rsid w:val="007E7219"/>
    <w:rsid w:val="007E7263"/>
    <w:rsid w:val="007E7325"/>
    <w:rsid w:val="007E7533"/>
    <w:rsid w:val="007E75FC"/>
    <w:rsid w:val="007E77EB"/>
    <w:rsid w:val="007E7921"/>
    <w:rsid w:val="007E7E1A"/>
    <w:rsid w:val="007E7E56"/>
    <w:rsid w:val="007F0154"/>
    <w:rsid w:val="007F0344"/>
    <w:rsid w:val="007F0401"/>
    <w:rsid w:val="007F049D"/>
    <w:rsid w:val="007F0504"/>
    <w:rsid w:val="007F062F"/>
    <w:rsid w:val="007F0A02"/>
    <w:rsid w:val="007F0A33"/>
    <w:rsid w:val="007F0A5F"/>
    <w:rsid w:val="007F0D69"/>
    <w:rsid w:val="007F0FF5"/>
    <w:rsid w:val="007F11B2"/>
    <w:rsid w:val="007F13F2"/>
    <w:rsid w:val="007F1418"/>
    <w:rsid w:val="007F1473"/>
    <w:rsid w:val="007F1776"/>
    <w:rsid w:val="007F178E"/>
    <w:rsid w:val="007F1791"/>
    <w:rsid w:val="007F24CB"/>
    <w:rsid w:val="007F277B"/>
    <w:rsid w:val="007F2A2D"/>
    <w:rsid w:val="007F2BE7"/>
    <w:rsid w:val="007F2E59"/>
    <w:rsid w:val="007F2EA4"/>
    <w:rsid w:val="007F34E4"/>
    <w:rsid w:val="007F358C"/>
    <w:rsid w:val="007F3E2C"/>
    <w:rsid w:val="007F4331"/>
    <w:rsid w:val="007F44B8"/>
    <w:rsid w:val="007F4556"/>
    <w:rsid w:val="007F4584"/>
    <w:rsid w:val="007F45D3"/>
    <w:rsid w:val="007F477A"/>
    <w:rsid w:val="007F49B3"/>
    <w:rsid w:val="007F4BC6"/>
    <w:rsid w:val="007F4E4A"/>
    <w:rsid w:val="007F4EE9"/>
    <w:rsid w:val="007F4F11"/>
    <w:rsid w:val="007F4FE8"/>
    <w:rsid w:val="007F500D"/>
    <w:rsid w:val="007F5222"/>
    <w:rsid w:val="007F5715"/>
    <w:rsid w:val="007F5A2D"/>
    <w:rsid w:val="007F5B3B"/>
    <w:rsid w:val="007F5C5B"/>
    <w:rsid w:val="007F5C63"/>
    <w:rsid w:val="007F61F0"/>
    <w:rsid w:val="007F621C"/>
    <w:rsid w:val="007F6259"/>
    <w:rsid w:val="007F6392"/>
    <w:rsid w:val="007F6983"/>
    <w:rsid w:val="007F6CC6"/>
    <w:rsid w:val="007F6F05"/>
    <w:rsid w:val="007F6F2B"/>
    <w:rsid w:val="007F6F77"/>
    <w:rsid w:val="007F7107"/>
    <w:rsid w:val="007F721F"/>
    <w:rsid w:val="007F7299"/>
    <w:rsid w:val="007F7415"/>
    <w:rsid w:val="007F74AE"/>
    <w:rsid w:val="007F774A"/>
    <w:rsid w:val="007F7AE8"/>
    <w:rsid w:val="007F7B1A"/>
    <w:rsid w:val="007F7B44"/>
    <w:rsid w:val="007F7B6C"/>
    <w:rsid w:val="007F7CE2"/>
    <w:rsid w:val="00800107"/>
    <w:rsid w:val="008002C8"/>
    <w:rsid w:val="00800552"/>
    <w:rsid w:val="0080059D"/>
    <w:rsid w:val="00800604"/>
    <w:rsid w:val="00800AE5"/>
    <w:rsid w:val="00800CB4"/>
    <w:rsid w:val="00800E3D"/>
    <w:rsid w:val="00800E8B"/>
    <w:rsid w:val="00800E92"/>
    <w:rsid w:val="00800ED4"/>
    <w:rsid w:val="00800F0A"/>
    <w:rsid w:val="0080109F"/>
    <w:rsid w:val="00801314"/>
    <w:rsid w:val="00801334"/>
    <w:rsid w:val="0080177D"/>
    <w:rsid w:val="00801794"/>
    <w:rsid w:val="00801D62"/>
    <w:rsid w:val="00801D9C"/>
    <w:rsid w:val="00801E94"/>
    <w:rsid w:val="00802045"/>
    <w:rsid w:val="00802186"/>
    <w:rsid w:val="008021D3"/>
    <w:rsid w:val="008025C1"/>
    <w:rsid w:val="00802994"/>
    <w:rsid w:val="00802A27"/>
    <w:rsid w:val="00802A55"/>
    <w:rsid w:val="00802B5A"/>
    <w:rsid w:val="00802BAE"/>
    <w:rsid w:val="00802C0E"/>
    <w:rsid w:val="00802F0E"/>
    <w:rsid w:val="0080314E"/>
    <w:rsid w:val="008031E5"/>
    <w:rsid w:val="00803537"/>
    <w:rsid w:val="008035F2"/>
    <w:rsid w:val="00803811"/>
    <w:rsid w:val="00803BC1"/>
    <w:rsid w:val="00803BD3"/>
    <w:rsid w:val="00803F22"/>
    <w:rsid w:val="008040D9"/>
    <w:rsid w:val="0080412F"/>
    <w:rsid w:val="00804176"/>
    <w:rsid w:val="008041FF"/>
    <w:rsid w:val="0080464B"/>
    <w:rsid w:val="00804B5E"/>
    <w:rsid w:val="00804BBD"/>
    <w:rsid w:val="00804D14"/>
    <w:rsid w:val="00804F44"/>
    <w:rsid w:val="00805473"/>
    <w:rsid w:val="008054A2"/>
    <w:rsid w:val="008055AC"/>
    <w:rsid w:val="008056E2"/>
    <w:rsid w:val="008057F2"/>
    <w:rsid w:val="00805838"/>
    <w:rsid w:val="0080591A"/>
    <w:rsid w:val="0080596D"/>
    <w:rsid w:val="008059D8"/>
    <w:rsid w:val="008059E0"/>
    <w:rsid w:val="00805A10"/>
    <w:rsid w:val="00805DBC"/>
    <w:rsid w:val="00805F3C"/>
    <w:rsid w:val="00805F76"/>
    <w:rsid w:val="0080611E"/>
    <w:rsid w:val="008063D6"/>
    <w:rsid w:val="008064A3"/>
    <w:rsid w:val="0080652B"/>
    <w:rsid w:val="00806693"/>
    <w:rsid w:val="008066CC"/>
    <w:rsid w:val="008066DC"/>
    <w:rsid w:val="00806AD8"/>
    <w:rsid w:val="00806AF1"/>
    <w:rsid w:val="00806B40"/>
    <w:rsid w:val="00806D7F"/>
    <w:rsid w:val="00806EA3"/>
    <w:rsid w:val="00806EFA"/>
    <w:rsid w:val="00806F3F"/>
    <w:rsid w:val="008070AE"/>
    <w:rsid w:val="00807113"/>
    <w:rsid w:val="008071BC"/>
    <w:rsid w:val="008075B5"/>
    <w:rsid w:val="00807741"/>
    <w:rsid w:val="008078A5"/>
    <w:rsid w:val="008079CB"/>
    <w:rsid w:val="008079D7"/>
    <w:rsid w:val="00807BE3"/>
    <w:rsid w:val="008100BE"/>
    <w:rsid w:val="00810123"/>
    <w:rsid w:val="008101D6"/>
    <w:rsid w:val="0081022D"/>
    <w:rsid w:val="008102D0"/>
    <w:rsid w:val="008103F4"/>
    <w:rsid w:val="0081051E"/>
    <w:rsid w:val="008106E4"/>
    <w:rsid w:val="008106FA"/>
    <w:rsid w:val="00810791"/>
    <w:rsid w:val="00810BE0"/>
    <w:rsid w:val="00810C28"/>
    <w:rsid w:val="00810C53"/>
    <w:rsid w:val="00810CAE"/>
    <w:rsid w:val="00810D63"/>
    <w:rsid w:val="00810F7E"/>
    <w:rsid w:val="008111E3"/>
    <w:rsid w:val="00811780"/>
    <w:rsid w:val="0081189D"/>
    <w:rsid w:val="00811A86"/>
    <w:rsid w:val="00811AC1"/>
    <w:rsid w:val="00811ADD"/>
    <w:rsid w:val="00811D8A"/>
    <w:rsid w:val="00811DC0"/>
    <w:rsid w:val="00811EB1"/>
    <w:rsid w:val="00811F7B"/>
    <w:rsid w:val="00811FD7"/>
    <w:rsid w:val="00812341"/>
    <w:rsid w:val="0081239D"/>
    <w:rsid w:val="008125CD"/>
    <w:rsid w:val="00812F85"/>
    <w:rsid w:val="00812FE3"/>
    <w:rsid w:val="00813093"/>
    <w:rsid w:val="008134C4"/>
    <w:rsid w:val="00813680"/>
    <w:rsid w:val="008136E2"/>
    <w:rsid w:val="0081386C"/>
    <w:rsid w:val="008138FE"/>
    <w:rsid w:val="0081390A"/>
    <w:rsid w:val="00813BCC"/>
    <w:rsid w:val="00813FC4"/>
    <w:rsid w:val="0081417B"/>
    <w:rsid w:val="008141E7"/>
    <w:rsid w:val="0081427F"/>
    <w:rsid w:val="00814493"/>
    <w:rsid w:val="0081462F"/>
    <w:rsid w:val="00814779"/>
    <w:rsid w:val="00814AA5"/>
    <w:rsid w:val="00814BFB"/>
    <w:rsid w:val="00814D92"/>
    <w:rsid w:val="00814E53"/>
    <w:rsid w:val="00814E60"/>
    <w:rsid w:val="00814EA6"/>
    <w:rsid w:val="00815125"/>
    <w:rsid w:val="0081518A"/>
    <w:rsid w:val="008151EF"/>
    <w:rsid w:val="00815212"/>
    <w:rsid w:val="008153AD"/>
    <w:rsid w:val="00815499"/>
    <w:rsid w:val="008154D0"/>
    <w:rsid w:val="00815556"/>
    <w:rsid w:val="00815A3F"/>
    <w:rsid w:val="00815BEB"/>
    <w:rsid w:val="00815C99"/>
    <w:rsid w:val="00815E23"/>
    <w:rsid w:val="00815F51"/>
    <w:rsid w:val="00816215"/>
    <w:rsid w:val="00816261"/>
    <w:rsid w:val="0081633B"/>
    <w:rsid w:val="008164BD"/>
    <w:rsid w:val="00816919"/>
    <w:rsid w:val="008169CA"/>
    <w:rsid w:val="008169F3"/>
    <w:rsid w:val="00816AB6"/>
    <w:rsid w:val="00816B30"/>
    <w:rsid w:val="00816B98"/>
    <w:rsid w:val="00816BC8"/>
    <w:rsid w:val="00816C4A"/>
    <w:rsid w:val="00816CF9"/>
    <w:rsid w:val="00816DD2"/>
    <w:rsid w:val="00816F3B"/>
    <w:rsid w:val="00817071"/>
    <w:rsid w:val="008173DF"/>
    <w:rsid w:val="008175B3"/>
    <w:rsid w:val="008177FC"/>
    <w:rsid w:val="00817832"/>
    <w:rsid w:val="00817BED"/>
    <w:rsid w:val="00817BF0"/>
    <w:rsid w:val="00817D04"/>
    <w:rsid w:val="00817D0A"/>
    <w:rsid w:val="00817F0D"/>
    <w:rsid w:val="00817FC0"/>
    <w:rsid w:val="00820062"/>
    <w:rsid w:val="0082024E"/>
    <w:rsid w:val="00820295"/>
    <w:rsid w:val="008202CE"/>
    <w:rsid w:val="008205A7"/>
    <w:rsid w:val="00820939"/>
    <w:rsid w:val="00820AA8"/>
    <w:rsid w:val="00820C65"/>
    <w:rsid w:val="00820D07"/>
    <w:rsid w:val="00820D62"/>
    <w:rsid w:val="00821030"/>
    <w:rsid w:val="0082127E"/>
    <w:rsid w:val="00821316"/>
    <w:rsid w:val="008213E1"/>
    <w:rsid w:val="008218E6"/>
    <w:rsid w:val="00821926"/>
    <w:rsid w:val="008219B1"/>
    <w:rsid w:val="00821C61"/>
    <w:rsid w:val="00821CA3"/>
    <w:rsid w:val="00821DE2"/>
    <w:rsid w:val="00821F9D"/>
    <w:rsid w:val="00821FC6"/>
    <w:rsid w:val="00822045"/>
    <w:rsid w:val="00822057"/>
    <w:rsid w:val="00822692"/>
    <w:rsid w:val="0082271D"/>
    <w:rsid w:val="0082276F"/>
    <w:rsid w:val="008227B8"/>
    <w:rsid w:val="00822D8F"/>
    <w:rsid w:val="00822F1C"/>
    <w:rsid w:val="00822F2C"/>
    <w:rsid w:val="008230A5"/>
    <w:rsid w:val="008230DE"/>
    <w:rsid w:val="008232E7"/>
    <w:rsid w:val="00823376"/>
    <w:rsid w:val="008233F3"/>
    <w:rsid w:val="008234F3"/>
    <w:rsid w:val="00823577"/>
    <w:rsid w:val="00823606"/>
    <w:rsid w:val="008239BF"/>
    <w:rsid w:val="008239EE"/>
    <w:rsid w:val="00823C3C"/>
    <w:rsid w:val="008240B7"/>
    <w:rsid w:val="00824161"/>
    <w:rsid w:val="00824316"/>
    <w:rsid w:val="008244E0"/>
    <w:rsid w:val="00824670"/>
    <w:rsid w:val="0082494B"/>
    <w:rsid w:val="008249CD"/>
    <w:rsid w:val="00824A3D"/>
    <w:rsid w:val="00824B3E"/>
    <w:rsid w:val="00824C2D"/>
    <w:rsid w:val="00824C3B"/>
    <w:rsid w:val="00824CE4"/>
    <w:rsid w:val="00824D0B"/>
    <w:rsid w:val="00824D41"/>
    <w:rsid w:val="00825051"/>
    <w:rsid w:val="00825336"/>
    <w:rsid w:val="00825338"/>
    <w:rsid w:val="00825343"/>
    <w:rsid w:val="00825560"/>
    <w:rsid w:val="008258CE"/>
    <w:rsid w:val="008258FE"/>
    <w:rsid w:val="008259A6"/>
    <w:rsid w:val="00825A28"/>
    <w:rsid w:val="00825DF0"/>
    <w:rsid w:val="00825F07"/>
    <w:rsid w:val="0082608B"/>
    <w:rsid w:val="0082619B"/>
    <w:rsid w:val="008262C7"/>
    <w:rsid w:val="00826375"/>
    <w:rsid w:val="00826396"/>
    <w:rsid w:val="00826428"/>
    <w:rsid w:val="0082652A"/>
    <w:rsid w:val="008265B9"/>
    <w:rsid w:val="0082667D"/>
    <w:rsid w:val="008268BF"/>
    <w:rsid w:val="008269FA"/>
    <w:rsid w:val="00826A7B"/>
    <w:rsid w:val="00826C3F"/>
    <w:rsid w:val="008272AA"/>
    <w:rsid w:val="00827374"/>
    <w:rsid w:val="008278D6"/>
    <w:rsid w:val="00827A56"/>
    <w:rsid w:val="00827AD9"/>
    <w:rsid w:val="00827F57"/>
    <w:rsid w:val="008302A5"/>
    <w:rsid w:val="00830622"/>
    <w:rsid w:val="00830638"/>
    <w:rsid w:val="00830866"/>
    <w:rsid w:val="00830B74"/>
    <w:rsid w:val="00830D2F"/>
    <w:rsid w:val="00830E19"/>
    <w:rsid w:val="00830E97"/>
    <w:rsid w:val="00830F0E"/>
    <w:rsid w:val="008311F8"/>
    <w:rsid w:val="00831321"/>
    <w:rsid w:val="00831435"/>
    <w:rsid w:val="00831567"/>
    <w:rsid w:val="008315EB"/>
    <w:rsid w:val="008316B4"/>
    <w:rsid w:val="0083186B"/>
    <w:rsid w:val="0083193B"/>
    <w:rsid w:val="00831978"/>
    <w:rsid w:val="00831B17"/>
    <w:rsid w:val="00831CC8"/>
    <w:rsid w:val="00831CEA"/>
    <w:rsid w:val="00831D92"/>
    <w:rsid w:val="00831D9A"/>
    <w:rsid w:val="00831E2D"/>
    <w:rsid w:val="00832420"/>
    <w:rsid w:val="008326F7"/>
    <w:rsid w:val="00832A2D"/>
    <w:rsid w:val="00832A86"/>
    <w:rsid w:val="00832B90"/>
    <w:rsid w:val="00832CDD"/>
    <w:rsid w:val="00832EAF"/>
    <w:rsid w:val="00833138"/>
    <w:rsid w:val="0083325B"/>
    <w:rsid w:val="0083365E"/>
    <w:rsid w:val="0083392F"/>
    <w:rsid w:val="00833D60"/>
    <w:rsid w:val="00834068"/>
    <w:rsid w:val="0083418F"/>
    <w:rsid w:val="00834208"/>
    <w:rsid w:val="00834416"/>
    <w:rsid w:val="00834670"/>
    <w:rsid w:val="008346ED"/>
    <w:rsid w:val="0083470C"/>
    <w:rsid w:val="0083478E"/>
    <w:rsid w:val="00834828"/>
    <w:rsid w:val="008348CE"/>
    <w:rsid w:val="00834C6C"/>
    <w:rsid w:val="00834E77"/>
    <w:rsid w:val="00835137"/>
    <w:rsid w:val="00835220"/>
    <w:rsid w:val="0083555C"/>
    <w:rsid w:val="00835698"/>
    <w:rsid w:val="008356F5"/>
    <w:rsid w:val="0083588C"/>
    <w:rsid w:val="00835B80"/>
    <w:rsid w:val="00835BD7"/>
    <w:rsid w:val="00835DC0"/>
    <w:rsid w:val="00835F2C"/>
    <w:rsid w:val="008361DD"/>
    <w:rsid w:val="00836266"/>
    <w:rsid w:val="0083627A"/>
    <w:rsid w:val="008363D1"/>
    <w:rsid w:val="0083646F"/>
    <w:rsid w:val="0083650C"/>
    <w:rsid w:val="0083659E"/>
    <w:rsid w:val="00836621"/>
    <w:rsid w:val="00836DBE"/>
    <w:rsid w:val="00837097"/>
    <w:rsid w:val="00837163"/>
    <w:rsid w:val="00837197"/>
    <w:rsid w:val="00837398"/>
    <w:rsid w:val="00837535"/>
    <w:rsid w:val="00837579"/>
    <w:rsid w:val="00837748"/>
    <w:rsid w:val="008377D3"/>
    <w:rsid w:val="00837B27"/>
    <w:rsid w:val="00837D22"/>
    <w:rsid w:val="00837D58"/>
    <w:rsid w:val="00840012"/>
    <w:rsid w:val="008400A0"/>
    <w:rsid w:val="008401CA"/>
    <w:rsid w:val="00840230"/>
    <w:rsid w:val="0084041C"/>
    <w:rsid w:val="0084077F"/>
    <w:rsid w:val="008407F0"/>
    <w:rsid w:val="00840ABB"/>
    <w:rsid w:val="00840D56"/>
    <w:rsid w:val="00840EAA"/>
    <w:rsid w:val="00840EE5"/>
    <w:rsid w:val="00841007"/>
    <w:rsid w:val="00841202"/>
    <w:rsid w:val="008414F4"/>
    <w:rsid w:val="00841507"/>
    <w:rsid w:val="0084169F"/>
    <w:rsid w:val="008417B1"/>
    <w:rsid w:val="00841854"/>
    <w:rsid w:val="008419D1"/>
    <w:rsid w:val="00841C3A"/>
    <w:rsid w:val="00841DAA"/>
    <w:rsid w:val="00841F7B"/>
    <w:rsid w:val="008420F2"/>
    <w:rsid w:val="0084236D"/>
    <w:rsid w:val="00842386"/>
    <w:rsid w:val="0084251B"/>
    <w:rsid w:val="00842CAF"/>
    <w:rsid w:val="00842D30"/>
    <w:rsid w:val="00842D8E"/>
    <w:rsid w:val="00842E92"/>
    <w:rsid w:val="00843126"/>
    <w:rsid w:val="0084335F"/>
    <w:rsid w:val="0084348B"/>
    <w:rsid w:val="00843786"/>
    <w:rsid w:val="008439C4"/>
    <w:rsid w:val="00843A6E"/>
    <w:rsid w:val="00843ADB"/>
    <w:rsid w:val="00843B2C"/>
    <w:rsid w:val="00843DD9"/>
    <w:rsid w:val="00843E3D"/>
    <w:rsid w:val="00843E68"/>
    <w:rsid w:val="00843F52"/>
    <w:rsid w:val="00844386"/>
    <w:rsid w:val="0084448E"/>
    <w:rsid w:val="008448FD"/>
    <w:rsid w:val="00844B41"/>
    <w:rsid w:val="00844C7E"/>
    <w:rsid w:val="00844E72"/>
    <w:rsid w:val="00844F3A"/>
    <w:rsid w:val="008450ED"/>
    <w:rsid w:val="00845109"/>
    <w:rsid w:val="008451F4"/>
    <w:rsid w:val="008452E2"/>
    <w:rsid w:val="008454B6"/>
    <w:rsid w:val="00845542"/>
    <w:rsid w:val="00845577"/>
    <w:rsid w:val="0084561E"/>
    <w:rsid w:val="008458FA"/>
    <w:rsid w:val="00845904"/>
    <w:rsid w:val="00845A02"/>
    <w:rsid w:val="00845ADF"/>
    <w:rsid w:val="00845CDC"/>
    <w:rsid w:val="00845DBF"/>
    <w:rsid w:val="00845FDB"/>
    <w:rsid w:val="00846136"/>
    <w:rsid w:val="008461B9"/>
    <w:rsid w:val="00846229"/>
    <w:rsid w:val="008463C7"/>
    <w:rsid w:val="0084673B"/>
    <w:rsid w:val="0084673D"/>
    <w:rsid w:val="00846880"/>
    <w:rsid w:val="008468BF"/>
    <w:rsid w:val="008469AE"/>
    <w:rsid w:val="00847107"/>
    <w:rsid w:val="00847130"/>
    <w:rsid w:val="00847187"/>
    <w:rsid w:val="00847271"/>
    <w:rsid w:val="00847396"/>
    <w:rsid w:val="008475AC"/>
    <w:rsid w:val="008476CB"/>
    <w:rsid w:val="00847A4B"/>
    <w:rsid w:val="00847ABE"/>
    <w:rsid w:val="00847BF2"/>
    <w:rsid w:val="00847C7B"/>
    <w:rsid w:val="008503B4"/>
    <w:rsid w:val="00850612"/>
    <w:rsid w:val="00850640"/>
    <w:rsid w:val="0085065E"/>
    <w:rsid w:val="00850854"/>
    <w:rsid w:val="0085089C"/>
    <w:rsid w:val="00850A5C"/>
    <w:rsid w:val="00850D8B"/>
    <w:rsid w:val="00850EBD"/>
    <w:rsid w:val="0085105A"/>
    <w:rsid w:val="0085113C"/>
    <w:rsid w:val="00851350"/>
    <w:rsid w:val="0085141D"/>
    <w:rsid w:val="008514C5"/>
    <w:rsid w:val="00851816"/>
    <w:rsid w:val="00851857"/>
    <w:rsid w:val="00851D84"/>
    <w:rsid w:val="00851E79"/>
    <w:rsid w:val="00851EEC"/>
    <w:rsid w:val="00852021"/>
    <w:rsid w:val="0085206E"/>
    <w:rsid w:val="0085246D"/>
    <w:rsid w:val="0085252A"/>
    <w:rsid w:val="0085259E"/>
    <w:rsid w:val="00852753"/>
    <w:rsid w:val="00852786"/>
    <w:rsid w:val="00852833"/>
    <w:rsid w:val="0085287A"/>
    <w:rsid w:val="008529FB"/>
    <w:rsid w:val="00852A88"/>
    <w:rsid w:val="00852BF0"/>
    <w:rsid w:val="00852DAA"/>
    <w:rsid w:val="0085303B"/>
    <w:rsid w:val="0085315E"/>
    <w:rsid w:val="008533BB"/>
    <w:rsid w:val="008535B5"/>
    <w:rsid w:val="00853600"/>
    <w:rsid w:val="0085395E"/>
    <w:rsid w:val="008539E1"/>
    <w:rsid w:val="00853B49"/>
    <w:rsid w:val="00853C66"/>
    <w:rsid w:val="00853D2C"/>
    <w:rsid w:val="00853F24"/>
    <w:rsid w:val="008543D1"/>
    <w:rsid w:val="00854449"/>
    <w:rsid w:val="00854459"/>
    <w:rsid w:val="0085447A"/>
    <w:rsid w:val="00854905"/>
    <w:rsid w:val="00854A18"/>
    <w:rsid w:val="00854A6C"/>
    <w:rsid w:val="00854AFF"/>
    <w:rsid w:val="00854BEF"/>
    <w:rsid w:val="008550A4"/>
    <w:rsid w:val="00855136"/>
    <w:rsid w:val="008551A8"/>
    <w:rsid w:val="00855734"/>
    <w:rsid w:val="00855A16"/>
    <w:rsid w:val="00855B4B"/>
    <w:rsid w:val="00855D50"/>
    <w:rsid w:val="00855DF9"/>
    <w:rsid w:val="00855F07"/>
    <w:rsid w:val="008562F8"/>
    <w:rsid w:val="00856383"/>
    <w:rsid w:val="008564E4"/>
    <w:rsid w:val="008565E7"/>
    <w:rsid w:val="00856631"/>
    <w:rsid w:val="00856F78"/>
    <w:rsid w:val="00856FDC"/>
    <w:rsid w:val="0085725F"/>
    <w:rsid w:val="0085730B"/>
    <w:rsid w:val="0085742D"/>
    <w:rsid w:val="00857463"/>
    <w:rsid w:val="00857BE8"/>
    <w:rsid w:val="00857C76"/>
    <w:rsid w:val="00857CD8"/>
    <w:rsid w:val="00857D47"/>
    <w:rsid w:val="00860217"/>
    <w:rsid w:val="0086055A"/>
    <w:rsid w:val="00860600"/>
    <w:rsid w:val="0086094C"/>
    <w:rsid w:val="00860A0A"/>
    <w:rsid w:val="00860A6D"/>
    <w:rsid w:val="00860BD6"/>
    <w:rsid w:val="00860C8A"/>
    <w:rsid w:val="00860CDE"/>
    <w:rsid w:val="00860DE3"/>
    <w:rsid w:val="00860DFC"/>
    <w:rsid w:val="00860E7D"/>
    <w:rsid w:val="00860FCE"/>
    <w:rsid w:val="00860FF4"/>
    <w:rsid w:val="0086105A"/>
    <w:rsid w:val="0086126A"/>
    <w:rsid w:val="008614FA"/>
    <w:rsid w:val="008616B1"/>
    <w:rsid w:val="00861A71"/>
    <w:rsid w:val="00861C83"/>
    <w:rsid w:val="00861DC8"/>
    <w:rsid w:val="00861F7A"/>
    <w:rsid w:val="00862033"/>
    <w:rsid w:val="008620F2"/>
    <w:rsid w:val="00862398"/>
    <w:rsid w:val="008626F7"/>
    <w:rsid w:val="00862790"/>
    <w:rsid w:val="008629E4"/>
    <w:rsid w:val="00862B6E"/>
    <w:rsid w:val="00862E39"/>
    <w:rsid w:val="00862F33"/>
    <w:rsid w:val="00863535"/>
    <w:rsid w:val="008637C2"/>
    <w:rsid w:val="008637D5"/>
    <w:rsid w:val="0086385C"/>
    <w:rsid w:val="00863C3C"/>
    <w:rsid w:val="00863DEA"/>
    <w:rsid w:val="00863FC0"/>
    <w:rsid w:val="0086439E"/>
    <w:rsid w:val="008643AA"/>
    <w:rsid w:val="0086458F"/>
    <w:rsid w:val="008647D8"/>
    <w:rsid w:val="008648B4"/>
    <w:rsid w:val="008649C2"/>
    <w:rsid w:val="00864B76"/>
    <w:rsid w:val="00864D31"/>
    <w:rsid w:val="00864F38"/>
    <w:rsid w:val="00864FF0"/>
    <w:rsid w:val="008650A4"/>
    <w:rsid w:val="0086530A"/>
    <w:rsid w:val="00865368"/>
    <w:rsid w:val="008656AE"/>
    <w:rsid w:val="008656B0"/>
    <w:rsid w:val="00865A48"/>
    <w:rsid w:val="00865B09"/>
    <w:rsid w:val="00865B8F"/>
    <w:rsid w:val="00866044"/>
    <w:rsid w:val="008660C4"/>
    <w:rsid w:val="008660CF"/>
    <w:rsid w:val="00866348"/>
    <w:rsid w:val="0086658C"/>
    <w:rsid w:val="008666C7"/>
    <w:rsid w:val="00866726"/>
    <w:rsid w:val="00866748"/>
    <w:rsid w:val="008667D5"/>
    <w:rsid w:val="008667EA"/>
    <w:rsid w:val="00866820"/>
    <w:rsid w:val="008668AF"/>
    <w:rsid w:val="00866908"/>
    <w:rsid w:val="00866AB2"/>
    <w:rsid w:val="00866BE7"/>
    <w:rsid w:val="00866D12"/>
    <w:rsid w:val="00866E3B"/>
    <w:rsid w:val="00866E60"/>
    <w:rsid w:val="00866F99"/>
    <w:rsid w:val="0086709D"/>
    <w:rsid w:val="0086730D"/>
    <w:rsid w:val="008673B0"/>
    <w:rsid w:val="008674D2"/>
    <w:rsid w:val="00867508"/>
    <w:rsid w:val="00867579"/>
    <w:rsid w:val="008677D6"/>
    <w:rsid w:val="008678CE"/>
    <w:rsid w:val="008679BC"/>
    <w:rsid w:val="00867A43"/>
    <w:rsid w:val="00867F1B"/>
    <w:rsid w:val="00867F80"/>
    <w:rsid w:val="00867F83"/>
    <w:rsid w:val="008700C6"/>
    <w:rsid w:val="0087011F"/>
    <w:rsid w:val="00870541"/>
    <w:rsid w:val="00870722"/>
    <w:rsid w:val="00870746"/>
    <w:rsid w:val="0087077D"/>
    <w:rsid w:val="008708E1"/>
    <w:rsid w:val="00870929"/>
    <w:rsid w:val="00870966"/>
    <w:rsid w:val="00870B5F"/>
    <w:rsid w:val="00870CE8"/>
    <w:rsid w:val="00870E47"/>
    <w:rsid w:val="00870FE6"/>
    <w:rsid w:val="0087109C"/>
    <w:rsid w:val="008710DF"/>
    <w:rsid w:val="00871480"/>
    <w:rsid w:val="008714FF"/>
    <w:rsid w:val="008715E4"/>
    <w:rsid w:val="0087167D"/>
    <w:rsid w:val="008716D6"/>
    <w:rsid w:val="0087170B"/>
    <w:rsid w:val="00871EF5"/>
    <w:rsid w:val="0087206D"/>
    <w:rsid w:val="0087262F"/>
    <w:rsid w:val="0087282E"/>
    <w:rsid w:val="00872870"/>
    <w:rsid w:val="00872A45"/>
    <w:rsid w:val="00872AF8"/>
    <w:rsid w:val="00872B9E"/>
    <w:rsid w:val="00872C20"/>
    <w:rsid w:val="00872D47"/>
    <w:rsid w:val="00872F3E"/>
    <w:rsid w:val="00873056"/>
    <w:rsid w:val="00873083"/>
    <w:rsid w:val="00873253"/>
    <w:rsid w:val="008733E9"/>
    <w:rsid w:val="008735A8"/>
    <w:rsid w:val="0087371E"/>
    <w:rsid w:val="00873A11"/>
    <w:rsid w:val="00873E36"/>
    <w:rsid w:val="008740D0"/>
    <w:rsid w:val="008740E1"/>
    <w:rsid w:val="00874101"/>
    <w:rsid w:val="008746E3"/>
    <w:rsid w:val="008749D9"/>
    <w:rsid w:val="00874A08"/>
    <w:rsid w:val="00874AE6"/>
    <w:rsid w:val="00874AF5"/>
    <w:rsid w:val="00874BDC"/>
    <w:rsid w:val="0087505B"/>
    <w:rsid w:val="00875083"/>
    <w:rsid w:val="0087508C"/>
    <w:rsid w:val="00875304"/>
    <w:rsid w:val="00875360"/>
    <w:rsid w:val="00875393"/>
    <w:rsid w:val="008753B2"/>
    <w:rsid w:val="0087558C"/>
    <w:rsid w:val="008757C3"/>
    <w:rsid w:val="00875955"/>
    <w:rsid w:val="00875C62"/>
    <w:rsid w:val="008760EC"/>
    <w:rsid w:val="008760FF"/>
    <w:rsid w:val="00876474"/>
    <w:rsid w:val="008765F6"/>
    <w:rsid w:val="00876A4D"/>
    <w:rsid w:val="00876B4F"/>
    <w:rsid w:val="00876B78"/>
    <w:rsid w:val="00876D4E"/>
    <w:rsid w:val="00876F34"/>
    <w:rsid w:val="0087724D"/>
    <w:rsid w:val="00877319"/>
    <w:rsid w:val="0087744E"/>
    <w:rsid w:val="008774FD"/>
    <w:rsid w:val="008779F9"/>
    <w:rsid w:val="00877C29"/>
    <w:rsid w:val="00877D48"/>
    <w:rsid w:val="00877F3B"/>
    <w:rsid w:val="00880067"/>
    <w:rsid w:val="00880298"/>
    <w:rsid w:val="00880453"/>
    <w:rsid w:val="00880465"/>
    <w:rsid w:val="008806EA"/>
    <w:rsid w:val="00880BFB"/>
    <w:rsid w:val="00880CD3"/>
    <w:rsid w:val="00880E1D"/>
    <w:rsid w:val="00880E28"/>
    <w:rsid w:val="00880F0F"/>
    <w:rsid w:val="00881100"/>
    <w:rsid w:val="00881137"/>
    <w:rsid w:val="008812F3"/>
    <w:rsid w:val="008815E5"/>
    <w:rsid w:val="008816D6"/>
    <w:rsid w:val="008819A0"/>
    <w:rsid w:val="00881A45"/>
    <w:rsid w:val="00881B9A"/>
    <w:rsid w:val="00881BCA"/>
    <w:rsid w:val="0088212E"/>
    <w:rsid w:val="00882189"/>
    <w:rsid w:val="00882219"/>
    <w:rsid w:val="0088239C"/>
    <w:rsid w:val="00882635"/>
    <w:rsid w:val="00882BB8"/>
    <w:rsid w:val="00882C61"/>
    <w:rsid w:val="008833FB"/>
    <w:rsid w:val="0088357D"/>
    <w:rsid w:val="00883590"/>
    <w:rsid w:val="008836DA"/>
    <w:rsid w:val="008839BE"/>
    <w:rsid w:val="00883A84"/>
    <w:rsid w:val="00883B98"/>
    <w:rsid w:val="00883B99"/>
    <w:rsid w:val="00884060"/>
    <w:rsid w:val="008841C2"/>
    <w:rsid w:val="00884678"/>
    <w:rsid w:val="00884690"/>
    <w:rsid w:val="008846FB"/>
    <w:rsid w:val="0088473B"/>
    <w:rsid w:val="0088479B"/>
    <w:rsid w:val="0088480E"/>
    <w:rsid w:val="008848AE"/>
    <w:rsid w:val="00884B62"/>
    <w:rsid w:val="00884B83"/>
    <w:rsid w:val="00884C55"/>
    <w:rsid w:val="00884CD7"/>
    <w:rsid w:val="00884D62"/>
    <w:rsid w:val="00884E32"/>
    <w:rsid w:val="00884FC3"/>
    <w:rsid w:val="00885195"/>
    <w:rsid w:val="00885259"/>
    <w:rsid w:val="008853D5"/>
    <w:rsid w:val="008856F5"/>
    <w:rsid w:val="00885922"/>
    <w:rsid w:val="00885A20"/>
    <w:rsid w:val="008860FC"/>
    <w:rsid w:val="00886118"/>
    <w:rsid w:val="008863CC"/>
    <w:rsid w:val="00886448"/>
    <w:rsid w:val="008865D4"/>
    <w:rsid w:val="0088662C"/>
    <w:rsid w:val="00886B7D"/>
    <w:rsid w:val="00886C4A"/>
    <w:rsid w:val="00886D21"/>
    <w:rsid w:val="00886DE1"/>
    <w:rsid w:val="008871A2"/>
    <w:rsid w:val="00887845"/>
    <w:rsid w:val="008878F5"/>
    <w:rsid w:val="00887937"/>
    <w:rsid w:val="00887AA7"/>
    <w:rsid w:val="00887AAF"/>
    <w:rsid w:val="00890117"/>
    <w:rsid w:val="008901AA"/>
    <w:rsid w:val="00890440"/>
    <w:rsid w:val="00890442"/>
    <w:rsid w:val="008904E9"/>
    <w:rsid w:val="00890572"/>
    <w:rsid w:val="008907E0"/>
    <w:rsid w:val="00890A9D"/>
    <w:rsid w:val="00890B79"/>
    <w:rsid w:val="00890DF4"/>
    <w:rsid w:val="00890F2C"/>
    <w:rsid w:val="0089125E"/>
    <w:rsid w:val="008912AC"/>
    <w:rsid w:val="008913E4"/>
    <w:rsid w:val="00891549"/>
    <w:rsid w:val="00891584"/>
    <w:rsid w:val="008917C5"/>
    <w:rsid w:val="00891853"/>
    <w:rsid w:val="00891885"/>
    <w:rsid w:val="00891A5B"/>
    <w:rsid w:val="00891B13"/>
    <w:rsid w:val="00891BB5"/>
    <w:rsid w:val="00891C12"/>
    <w:rsid w:val="00891CCE"/>
    <w:rsid w:val="00891F93"/>
    <w:rsid w:val="00891F9F"/>
    <w:rsid w:val="0089204A"/>
    <w:rsid w:val="0089218E"/>
    <w:rsid w:val="008922FC"/>
    <w:rsid w:val="00892594"/>
    <w:rsid w:val="00892679"/>
    <w:rsid w:val="008926DE"/>
    <w:rsid w:val="0089273A"/>
    <w:rsid w:val="00892816"/>
    <w:rsid w:val="008928BA"/>
    <w:rsid w:val="008928F0"/>
    <w:rsid w:val="00892BC7"/>
    <w:rsid w:val="00892CFB"/>
    <w:rsid w:val="00892ED5"/>
    <w:rsid w:val="00893076"/>
    <w:rsid w:val="008930DF"/>
    <w:rsid w:val="008933C3"/>
    <w:rsid w:val="00893941"/>
    <w:rsid w:val="008939AA"/>
    <w:rsid w:val="00893A3C"/>
    <w:rsid w:val="00893EC3"/>
    <w:rsid w:val="008940D9"/>
    <w:rsid w:val="008940F8"/>
    <w:rsid w:val="00894541"/>
    <w:rsid w:val="0089455B"/>
    <w:rsid w:val="00894650"/>
    <w:rsid w:val="00894684"/>
    <w:rsid w:val="008946C3"/>
    <w:rsid w:val="0089483E"/>
    <w:rsid w:val="00894996"/>
    <w:rsid w:val="00894C79"/>
    <w:rsid w:val="00894D9B"/>
    <w:rsid w:val="00894DA1"/>
    <w:rsid w:val="00894FB4"/>
    <w:rsid w:val="0089500B"/>
    <w:rsid w:val="00895065"/>
    <w:rsid w:val="0089506F"/>
    <w:rsid w:val="00895071"/>
    <w:rsid w:val="008951ED"/>
    <w:rsid w:val="0089542B"/>
    <w:rsid w:val="00895447"/>
    <w:rsid w:val="0089554A"/>
    <w:rsid w:val="0089583E"/>
    <w:rsid w:val="008958D5"/>
    <w:rsid w:val="008958F4"/>
    <w:rsid w:val="00895C38"/>
    <w:rsid w:val="00895C8F"/>
    <w:rsid w:val="008960CB"/>
    <w:rsid w:val="008961CA"/>
    <w:rsid w:val="008961FF"/>
    <w:rsid w:val="0089637A"/>
    <w:rsid w:val="008964FF"/>
    <w:rsid w:val="008966AC"/>
    <w:rsid w:val="00896B13"/>
    <w:rsid w:val="00896B6B"/>
    <w:rsid w:val="00896BB4"/>
    <w:rsid w:val="00896E05"/>
    <w:rsid w:val="00896E83"/>
    <w:rsid w:val="00896FD2"/>
    <w:rsid w:val="008973B3"/>
    <w:rsid w:val="008975DB"/>
    <w:rsid w:val="008975FF"/>
    <w:rsid w:val="008977D3"/>
    <w:rsid w:val="00897808"/>
    <w:rsid w:val="00897856"/>
    <w:rsid w:val="008978B7"/>
    <w:rsid w:val="00897A5A"/>
    <w:rsid w:val="00897B27"/>
    <w:rsid w:val="00897BD9"/>
    <w:rsid w:val="00897C15"/>
    <w:rsid w:val="00897CE5"/>
    <w:rsid w:val="00897F46"/>
    <w:rsid w:val="008A0059"/>
    <w:rsid w:val="008A0075"/>
    <w:rsid w:val="008A007F"/>
    <w:rsid w:val="008A012E"/>
    <w:rsid w:val="008A03F5"/>
    <w:rsid w:val="008A0481"/>
    <w:rsid w:val="008A0507"/>
    <w:rsid w:val="008A07C0"/>
    <w:rsid w:val="008A08CC"/>
    <w:rsid w:val="008A12B2"/>
    <w:rsid w:val="008A1303"/>
    <w:rsid w:val="008A13E1"/>
    <w:rsid w:val="008A17DA"/>
    <w:rsid w:val="008A19EE"/>
    <w:rsid w:val="008A19F6"/>
    <w:rsid w:val="008A1B5E"/>
    <w:rsid w:val="008A1C0D"/>
    <w:rsid w:val="008A1CDE"/>
    <w:rsid w:val="008A1D28"/>
    <w:rsid w:val="008A202D"/>
    <w:rsid w:val="008A2083"/>
    <w:rsid w:val="008A20B3"/>
    <w:rsid w:val="008A21A1"/>
    <w:rsid w:val="008A2403"/>
    <w:rsid w:val="008A25EA"/>
    <w:rsid w:val="008A2956"/>
    <w:rsid w:val="008A2980"/>
    <w:rsid w:val="008A2A1C"/>
    <w:rsid w:val="008A2A59"/>
    <w:rsid w:val="008A2E06"/>
    <w:rsid w:val="008A2F05"/>
    <w:rsid w:val="008A3304"/>
    <w:rsid w:val="008A3522"/>
    <w:rsid w:val="008A35AA"/>
    <w:rsid w:val="008A3846"/>
    <w:rsid w:val="008A3B04"/>
    <w:rsid w:val="008A3C24"/>
    <w:rsid w:val="008A3D23"/>
    <w:rsid w:val="008A3E9D"/>
    <w:rsid w:val="008A3F3B"/>
    <w:rsid w:val="008A3FF7"/>
    <w:rsid w:val="008A4327"/>
    <w:rsid w:val="008A471D"/>
    <w:rsid w:val="008A48A6"/>
    <w:rsid w:val="008A495E"/>
    <w:rsid w:val="008A4B6D"/>
    <w:rsid w:val="008A4BF0"/>
    <w:rsid w:val="008A4CC7"/>
    <w:rsid w:val="008A4D9F"/>
    <w:rsid w:val="008A4EB9"/>
    <w:rsid w:val="008A4FE9"/>
    <w:rsid w:val="008A50B8"/>
    <w:rsid w:val="008A5207"/>
    <w:rsid w:val="008A522A"/>
    <w:rsid w:val="008A5480"/>
    <w:rsid w:val="008A556E"/>
    <w:rsid w:val="008A5763"/>
    <w:rsid w:val="008A57CF"/>
    <w:rsid w:val="008A5868"/>
    <w:rsid w:val="008A59A5"/>
    <w:rsid w:val="008A5AF8"/>
    <w:rsid w:val="008A5F76"/>
    <w:rsid w:val="008A628C"/>
    <w:rsid w:val="008A628F"/>
    <w:rsid w:val="008A64BC"/>
    <w:rsid w:val="008A64F0"/>
    <w:rsid w:val="008A656A"/>
    <w:rsid w:val="008A6572"/>
    <w:rsid w:val="008A6624"/>
    <w:rsid w:val="008A667D"/>
    <w:rsid w:val="008A674A"/>
    <w:rsid w:val="008A698D"/>
    <w:rsid w:val="008A6C87"/>
    <w:rsid w:val="008A6CBD"/>
    <w:rsid w:val="008A6E47"/>
    <w:rsid w:val="008A6F2A"/>
    <w:rsid w:val="008A720A"/>
    <w:rsid w:val="008A74CC"/>
    <w:rsid w:val="008A759F"/>
    <w:rsid w:val="008A7790"/>
    <w:rsid w:val="008A77B3"/>
    <w:rsid w:val="008A7877"/>
    <w:rsid w:val="008A7970"/>
    <w:rsid w:val="008A7DF5"/>
    <w:rsid w:val="008A7ED7"/>
    <w:rsid w:val="008A7F94"/>
    <w:rsid w:val="008B010C"/>
    <w:rsid w:val="008B0115"/>
    <w:rsid w:val="008B0164"/>
    <w:rsid w:val="008B02EB"/>
    <w:rsid w:val="008B0517"/>
    <w:rsid w:val="008B0543"/>
    <w:rsid w:val="008B06F9"/>
    <w:rsid w:val="008B07DB"/>
    <w:rsid w:val="008B0A7D"/>
    <w:rsid w:val="008B0E7F"/>
    <w:rsid w:val="008B0EC3"/>
    <w:rsid w:val="008B11D1"/>
    <w:rsid w:val="008B1404"/>
    <w:rsid w:val="008B16D9"/>
    <w:rsid w:val="008B1B3E"/>
    <w:rsid w:val="008B1CE2"/>
    <w:rsid w:val="008B1F85"/>
    <w:rsid w:val="008B22D8"/>
    <w:rsid w:val="008B2536"/>
    <w:rsid w:val="008B25C8"/>
    <w:rsid w:val="008B26B3"/>
    <w:rsid w:val="008B277D"/>
    <w:rsid w:val="008B2929"/>
    <w:rsid w:val="008B2AD8"/>
    <w:rsid w:val="008B2B3F"/>
    <w:rsid w:val="008B2CB6"/>
    <w:rsid w:val="008B2CD9"/>
    <w:rsid w:val="008B2D37"/>
    <w:rsid w:val="008B2FCC"/>
    <w:rsid w:val="008B2FEC"/>
    <w:rsid w:val="008B304F"/>
    <w:rsid w:val="008B30B5"/>
    <w:rsid w:val="008B311E"/>
    <w:rsid w:val="008B3409"/>
    <w:rsid w:val="008B347A"/>
    <w:rsid w:val="008B34AE"/>
    <w:rsid w:val="008B35ED"/>
    <w:rsid w:val="008B35EF"/>
    <w:rsid w:val="008B36E8"/>
    <w:rsid w:val="008B3984"/>
    <w:rsid w:val="008B3DB4"/>
    <w:rsid w:val="008B409C"/>
    <w:rsid w:val="008B41BC"/>
    <w:rsid w:val="008B42F8"/>
    <w:rsid w:val="008B4679"/>
    <w:rsid w:val="008B4697"/>
    <w:rsid w:val="008B4761"/>
    <w:rsid w:val="008B4795"/>
    <w:rsid w:val="008B4A54"/>
    <w:rsid w:val="008B4B13"/>
    <w:rsid w:val="008B4E79"/>
    <w:rsid w:val="008B4F3A"/>
    <w:rsid w:val="008B50D5"/>
    <w:rsid w:val="008B51F9"/>
    <w:rsid w:val="008B53A9"/>
    <w:rsid w:val="008B551C"/>
    <w:rsid w:val="008B554F"/>
    <w:rsid w:val="008B5720"/>
    <w:rsid w:val="008B5BF9"/>
    <w:rsid w:val="008B5CA0"/>
    <w:rsid w:val="008B5E9D"/>
    <w:rsid w:val="008B5EF3"/>
    <w:rsid w:val="008B5F69"/>
    <w:rsid w:val="008B600C"/>
    <w:rsid w:val="008B603F"/>
    <w:rsid w:val="008B6149"/>
    <w:rsid w:val="008B635F"/>
    <w:rsid w:val="008B64C5"/>
    <w:rsid w:val="008B67DF"/>
    <w:rsid w:val="008B6834"/>
    <w:rsid w:val="008B69E3"/>
    <w:rsid w:val="008B6A43"/>
    <w:rsid w:val="008B6C34"/>
    <w:rsid w:val="008B6C72"/>
    <w:rsid w:val="008B6CBB"/>
    <w:rsid w:val="008B6DA5"/>
    <w:rsid w:val="008B6DC4"/>
    <w:rsid w:val="008B6EE1"/>
    <w:rsid w:val="008B7241"/>
    <w:rsid w:val="008B742F"/>
    <w:rsid w:val="008B7580"/>
    <w:rsid w:val="008B76D8"/>
    <w:rsid w:val="008B7D4C"/>
    <w:rsid w:val="008C0023"/>
    <w:rsid w:val="008C0043"/>
    <w:rsid w:val="008C0108"/>
    <w:rsid w:val="008C057B"/>
    <w:rsid w:val="008C075F"/>
    <w:rsid w:val="008C0822"/>
    <w:rsid w:val="008C0A3B"/>
    <w:rsid w:val="008C0BFC"/>
    <w:rsid w:val="008C108A"/>
    <w:rsid w:val="008C1097"/>
    <w:rsid w:val="008C119D"/>
    <w:rsid w:val="008C11E8"/>
    <w:rsid w:val="008C1287"/>
    <w:rsid w:val="008C13D7"/>
    <w:rsid w:val="008C165F"/>
    <w:rsid w:val="008C1693"/>
    <w:rsid w:val="008C1722"/>
    <w:rsid w:val="008C1741"/>
    <w:rsid w:val="008C17B8"/>
    <w:rsid w:val="008C17DD"/>
    <w:rsid w:val="008C1807"/>
    <w:rsid w:val="008C19DB"/>
    <w:rsid w:val="008C1BD7"/>
    <w:rsid w:val="008C1DB0"/>
    <w:rsid w:val="008C1E74"/>
    <w:rsid w:val="008C1E97"/>
    <w:rsid w:val="008C1F67"/>
    <w:rsid w:val="008C2057"/>
    <w:rsid w:val="008C2073"/>
    <w:rsid w:val="008C2516"/>
    <w:rsid w:val="008C2580"/>
    <w:rsid w:val="008C258A"/>
    <w:rsid w:val="008C28E1"/>
    <w:rsid w:val="008C2907"/>
    <w:rsid w:val="008C2CA1"/>
    <w:rsid w:val="008C2D45"/>
    <w:rsid w:val="008C2DE2"/>
    <w:rsid w:val="008C311B"/>
    <w:rsid w:val="008C33E8"/>
    <w:rsid w:val="008C3484"/>
    <w:rsid w:val="008C34B7"/>
    <w:rsid w:val="008C353B"/>
    <w:rsid w:val="008C3591"/>
    <w:rsid w:val="008C3676"/>
    <w:rsid w:val="008C3678"/>
    <w:rsid w:val="008C36B6"/>
    <w:rsid w:val="008C38EA"/>
    <w:rsid w:val="008C394D"/>
    <w:rsid w:val="008C39F8"/>
    <w:rsid w:val="008C3A6B"/>
    <w:rsid w:val="008C3BD1"/>
    <w:rsid w:val="008C3EDE"/>
    <w:rsid w:val="008C41AD"/>
    <w:rsid w:val="008C42D2"/>
    <w:rsid w:val="008C42E0"/>
    <w:rsid w:val="008C4307"/>
    <w:rsid w:val="008C4510"/>
    <w:rsid w:val="008C47AD"/>
    <w:rsid w:val="008C47D2"/>
    <w:rsid w:val="008C48F1"/>
    <w:rsid w:val="008C4908"/>
    <w:rsid w:val="008C4B03"/>
    <w:rsid w:val="008C4C17"/>
    <w:rsid w:val="008C4CCD"/>
    <w:rsid w:val="008C4F17"/>
    <w:rsid w:val="008C505B"/>
    <w:rsid w:val="008C5243"/>
    <w:rsid w:val="008C545E"/>
    <w:rsid w:val="008C5468"/>
    <w:rsid w:val="008C5516"/>
    <w:rsid w:val="008C553C"/>
    <w:rsid w:val="008C5648"/>
    <w:rsid w:val="008C585F"/>
    <w:rsid w:val="008C596D"/>
    <w:rsid w:val="008C5F5D"/>
    <w:rsid w:val="008C6394"/>
    <w:rsid w:val="008C6477"/>
    <w:rsid w:val="008C6632"/>
    <w:rsid w:val="008C6637"/>
    <w:rsid w:val="008C693B"/>
    <w:rsid w:val="008C6E75"/>
    <w:rsid w:val="008C6FA1"/>
    <w:rsid w:val="008C70A8"/>
    <w:rsid w:val="008C70AF"/>
    <w:rsid w:val="008C776D"/>
    <w:rsid w:val="008C7937"/>
    <w:rsid w:val="008C7EE9"/>
    <w:rsid w:val="008C7F29"/>
    <w:rsid w:val="008C7F71"/>
    <w:rsid w:val="008D01C0"/>
    <w:rsid w:val="008D0284"/>
    <w:rsid w:val="008D0363"/>
    <w:rsid w:val="008D0413"/>
    <w:rsid w:val="008D042C"/>
    <w:rsid w:val="008D0606"/>
    <w:rsid w:val="008D0667"/>
    <w:rsid w:val="008D06E7"/>
    <w:rsid w:val="008D09AB"/>
    <w:rsid w:val="008D0C32"/>
    <w:rsid w:val="008D0C92"/>
    <w:rsid w:val="008D0F08"/>
    <w:rsid w:val="008D0F1E"/>
    <w:rsid w:val="008D117D"/>
    <w:rsid w:val="008D11EB"/>
    <w:rsid w:val="008D1525"/>
    <w:rsid w:val="008D15B0"/>
    <w:rsid w:val="008D1607"/>
    <w:rsid w:val="008D170A"/>
    <w:rsid w:val="008D17BF"/>
    <w:rsid w:val="008D1853"/>
    <w:rsid w:val="008D19DD"/>
    <w:rsid w:val="008D1AD5"/>
    <w:rsid w:val="008D1B44"/>
    <w:rsid w:val="008D1C1B"/>
    <w:rsid w:val="008D1CAF"/>
    <w:rsid w:val="008D1CBC"/>
    <w:rsid w:val="008D1CEC"/>
    <w:rsid w:val="008D1DA4"/>
    <w:rsid w:val="008D1DC5"/>
    <w:rsid w:val="008D1DE7"/>
    <w:rsid w:val="008D2223"/>
    <w:rsid w:val="008D2395"/>
    <w:rsid w:val="008D24BC"/>
    <w:rsid w:val="008D2728"/>
    <w:rsid w:val="008D28D0"/>
    <w:rsid w:val="008D297D"/>
    <w:rsid w:val="008D2D08"/>
    <w:rsid w:val="008D2E0C"/>
    <w:rsid w:val="008D2E1E"/>
    <w:rsid w:val="008D3685"/>
    <w:rsid w:val="008D3743"/>
    <w:rsid w:val="008D3A4A"/>
    <w:rsid w:val="008D3C2B"/>
    <w:rsid w:val="008D3C2F"/>
    <w:rsid w:val="008D3DBE"/>
    <w:rsid w:val="008D3EA6"/>
    <w:rsid w:val="008D3F45"/>
    <w:rsid w:val="008D3F9A"/>
    <w:rsid w:val="008D3FBF"/>
    <w:rsid w:val="008D3FC7"/>
    <w:rsid w:val="008D4071"/>
    <w:rsid w:val="008D418A"/>
    <w:rsid w:val="008D4192"/>
    <w:rsid w:val="008D454C"/>
    <w:rsid w:val="008D465E"/>
    <w:rsid w:val="008D4664"/>
    <w:rsid w:val="008D4787"/>
    <w:rsid w:val="008D4794"/>
    <w:rsid w:val="008D4D5A"/>
    <w:rsid w:val="008D4DBF"/>
    <w:rsid w:val="008D4E80"/>
    <w:rsid w:val="008D5057"/>
    <w:rsid w:val="008D5388"/>
    <w:rsid w:val="008D53EB"/>
    <w:rsid w:val="008D54C4"/>
    <w:rsid w:val="008D5636"/>
    <w:rsid w:val="008D57F0"/>
    <w:rsid w:val="008D5849"/>
    <w:rsid w:val="008D58D5"/>
    <w:rsid w:val="008D5AAB"/>
    <w:rsid w:val="008D5CC9"/>
    <w:rsid w:val="008D5E67"/>
    <w:rsid w:val="008D5F2F"/>
    <w:rsid w:val="008D601D"/>
    <w:rsid w:val="008D61FD"/>
    <w:rsid w:val="008D6319"/>
    <w:rsid w:val="008D6358"/>
    <w:rsid w:val="008D6408"/>
    <w:rsid w:val="008D642E"/>
    <w:rsid w:val="008D678E"/>
    <w:rsid w:val="008D68DF"/>
    <w:rsid w:val="008D6CCA"/>
    <w:rsid w:val="008D6E57"/>
    <w:rsid w:val="008D6E89"/>
    <w:rsid w:val="008D6E95"/>
    <w:rsid w:val="008D7043"/>
    <w:rsid w:val="008D7070"/>
    <w:rsid w:val="008D7549"/>
    <w:rsid w:val="008D76E1"/>
    <w:rsid w:val="008D76FB"/>
    <w:rsid w:val="008D772B"/>
    <w:rsid w:val="008D7AEE"/>
    <w:rsid w:val="008D7D7C"/>
    <w:rsid w:val="008D7E5C"/>
    <w:rsid w:val="008D7E8C"/>
    <w:rsid w:val="008E02B9"/>
    <w:rsid w:val="008E035C"/>
    <w:rsid w:val="008E03D0"/>
    <w:rsid w:val="008E07AD"/>
    <w:rsid w:val="008E090B"/>
    <w:rsid w:val="008E0A8B"/>
    <w:rsid w:val="008E0B68"/>
    <w:rsid w:val="008E0CBE"/>
    <w:rsid w:val="008E1088"/>
    <w:rsid w:val="008E110F"/>
    <w:rsid w:val="008E11AD"/>
    <w:rsid w:val="008E1270"/>
    <w:rsid w:val="008E140C"/>
    <w:rsid w:val="008E1440"/>
    <w:rsid w:val="008E1461"/>
    <w:rsid w:val="008E1510"/>
    <w:rsid w:val="008E1580"/>
    <w:rsid w:val="008E165E"/>
    <w:rsid w:val="008E16E5"/>
    <w:rsid w:val="008E1842"/>
    <w:rsid w:val="008E1936"/>
    <w:rsid w:val="008E1A30"/>
    <w:rsid w:val="008E1A95"/>
    <w:rsid w:val="008E1AB2"/>
    <w:rsid w:val="008E1F8C"/>
    <w:rsid w:val="008E219C"/>
    <w:rsid w:val="008E2248"/>
    <w:rsid w:val="008E2429"/>
    <w:rsid w:val="008E25C8"/>
    <w:rsid w:val="008E269A"/>
    <w:rsid w:val="008E286F"/>
    <w:rsid w:val="008E29D7"/>
    <w:rsid w:val="008E2BCD"/>
    <w:rsid w:val="008E2D11"/>
    <w:rsid w:val="008E2EF2"/>
    <w:rsid w:val="008E2F52"/>
    <w:rsid w:val="008E30D7"/>
    <w:rsid w:val="008E319C"/>
    <w:rsid w:val="008E3387"/>
    <w:rsid w:val="008E34B3"/>
    <w:rsid w:val="008E3697"/>
    <w:rsid w:val="008E3754"/>
    <w:rsid w:val="008E3798"/>
    <w:rsid w:val="008E38CB"/>
    <w:rsid w:val="008E3900"/>
    <w:rsid w:val="008E397A"/>
    <w:rsid w:val="008E3C08"/>
    <w:rsid w:val="008E3D0C"/>
    <w:rsid w:val="008E3F12"/>
    <w:rsid w:val="008E4031"/>
    <w:rsid w:val="008E406D"/>
    <w:rsid w:val="008E414E"/>
    <w:rsid w:val="008E47D0"/>
    <w:rsid w:val="008E4BFC"/>
    <w:rsid w:val="008E4FA5"/>
    <w:rsid w:val="008E5219"/>
    <w:rsid w:val="008E5520"/>
    <w:rsid w:val="008E577B"/>
    <w:rsid w:val="008E585C"/>
    <w:rsid w:val="008E58C3"/>
    <w:rsid w:val="008E5956"/>
    <w:rsid w:val="008E5D96"/>
    <w:rsid w:val="008E5ED1"/>
    <w:rsid w:val="008E68CA"/>
    <w:rsid w:val="008E69D8"/>
    <w:rsid w:val="008E6A20"/>
    <w:rsid w:val="008E6B9D"/>
    <w:rsid w:val="008E6F1A"/>
    <w:rsid w:val="008E7139"/>
    <w:rsid w:val="008E71E4"/>
    <w:rsid w:val="008E7247"/>
    <w:rsid w:val="008E727A"/>
    <w:rsid w:val="008E738E"/>
    <w:rsid w:val="008E75F1"/>
    <w:rsid w:val="008E77AA"/>
    <w:rsid w:val="008E784A"/>
    <w:rsid w:val="008E797D"/>
    <w:rsid w:val="008F0060"/>
    <w:rsid w:val="008F0219"/>
    <w:rsid w:val="008F056E"/>
    <w:rsid w:val="008F063E"/>
    <w:rsid w:val="008F097D"/>
    <w:rsid w:val="008F0A6E"/>
    <w:rsid w:val="008F0B37"/>
    <w:rsid w:val="008F0CE1"/>
    <w:rsid w:val="008F0D10"/>
    <w:rsid w:val="008F0E3E"/>
    <w:rsid w:val="008F0E70"/>
    <w:rsid w:val="008F0E9D"/>
    <w:rsid w:val="008F0F55"/>
    <w:rsid w:val="008F13BE"/>
    <w:rsid w:val="008F1495"/>
    <w:rsid w:val="008F16A8"/>
    <w:rsid w:val="008F16FB"/>
    <w:rsid w:val="008F17E9"/>
    <w:rsid w:val="008F184E"/>
    <w:rsid w:val="008F18A5"/>
    <w:rsid w:val="008F1A66"/>
    <w:rsid w:val="008F1B2F"/>
    <w:rsid w:val="008F1B42"/>
    <w:rsid w:val="008F1B74"/>
    <w:rsid w:val="008F1C9F"/>
    <w:rsid w:val="008F1CCC"/>
    <w:rsid w:val="008F1D67"/>
    <w:rsid w:val="008F1DBE"/>
    <w:rsid w:val="008F1EBC"/>
    <w:rsid w:val="008F20FE"/>
    <w:rsid w:val="008F211A"/>
    <w:rsid w:val="008F236F"/>
    <w:rsid w:val="008F240C"/>
    <w:rsid w:val="008F2486"/>
    <w:rsid w:val="008F24B9"/>
    <w:rsid w:val="008F27B6"/>
    <w:rsid w:val="008F2AE0"/>
    <w:rsid w:val="008F2C4C"/>
    <w:rsid w:val="008F2CF2"/>
    <w:rsid w:val="008F2D9A"/>
    <w:rsid w:val="008F2E6D"/>
    <w:rsid w:val="008F31C1"/>
    <w:rsid w:val="008F325D"/>
    <w:rsid w:val="008F33B9"/>
    <w:rsid w:val="008F3466"/>
    <w:rsid w:val="008F356A"/>
    <w:rsid w:val="008F376C"/>
    <w:rsid w:val="008F377D"/>
    <w:rsid w:val="008F39EA"/>
    <w:rsid w:val="008F3AF9"/>
    <w:rsid w:val="008F3B72"/>
    <w:rsid w:val="008F3BAB"/>
    <w:rsid w:val="008F3CBD"/>
    <w:rsid w:val="008F3D60"/>
    <w:rsid w:val="008F3E43"/>
    <w:rsid w:val="008F3F46"/>
    <w:rsid w:val="008F402D"/>
    <w:rsid w:val="008F40FE"/>
    <w:rsid w:val="008F4218"/>
    <w:rsid w:val="008F42F1"/>
    <w:rsid w:val="008F431D"/>
    <w:rsid w:val="008F452F"/>
    <w:rsid w:val="008F453F"/>
    <w:rsid w:val="008F463F"/>
    <w:rsid w:val="008F479C"/>
    <w:rsid w:val="008F47CB"/>
    <w:rsid w:val="008F499A"/>
    <w:rsid w:val="008F4B07"/>
    <w:rsid w:val="008F4B2D"/>
    <w:rsid w:val="008F4B52"/>
    <w:rsid w:val="008F4D07"/>
    <w:rsid w:val="008F4D2D"/>
    <w:rsid w:val="008F4EA9"/>
    <w:rsid w:val="008F4F24"/>
    <w:rsid w:val="008F546C"/>
    <w:rsid w:val="008F558B"/>
    <w:rsid w:val="008F55EE"/>
    <w:rsid w:val="008F562B"/>
    <w:rsid w:val="008F58B9"/>
    <w:rsid w:val="008F5958"/>
    <w:rsid w:val="008F597F"/>
    <w:rsid w:val="008F5C69"/>
    <w:rsid w:val="008F5DE4"/>
    <w:rsid w:val="008F5EFA"/>
    <w:rsid w:val="008F5F63"/>
    <w:rsid w:val="008F615E"/>
    <w:rsid w:val="008F61E7"/>
    <w:rsid w:val="008F6216"/>
    <w:rsid w:val="008F625A"/>
    <w:rsid w:val="008F6588"/>
    <w:rsid w:val="008F66E5"/>
    <w:rsid w:val="008F6853"/>
    <w:rsid w:val="008F68C1"/>
    <w:rsid w:val="008F696A"/>
    <w:rsid w:val="008F69AF"/>
    <w:rsid w:val="008F6A7A"/>
    <w:rsid w:val="008F6E59"/>
    <w:rsid w:val="008F6EB7"/>
    <w:rsid w:val="008F6F9A"/>
    <w:rsid w:val="008F7009"/>
    <w:rsid w:val="008F71B0"/>
    <w:rsid w:val="008F749C"/>
    <w:rsid w:val="008F7625"/>
    <w:rsid w:val="008F782E"/>
    <w:rsid w:val="008F799D"/>
    <w:rsid w:val="008F7BBE"/>
    <w:rsid w:val="008F7E4C"/>
    <w:rsid w:val="008F7F7B"/>
    <w:rsid w:val="0090006A"/>
    <w:rsid w:val="00900141"/>
    <w:rsid w:val="00900347"/>
    <w:rsid w:val="009003C3"/>
    <w:rsid w:val="00900684"/>
    <w:rsid w:val="00900A47"/>
    <w:rsid w:val="00900B61"/>
    <w:rsid w:val="00900BD5"/>
    <w:rsid w:val="00900CD5"/>
    <w:rsid w:val="00900D91"/>
    <w:rsid w:val="009011A7"/>
    <w:rsid w:val="0090131B"/>
    <w:rsid w:val="00901428"/>
    <w:rsid w:val="009014DF"/>
    <w:rsid w:val="009014FE"/>
    <w:rsid w:val="009016A9"/>
    <w:rsid w:val="009019A7"/>
    <w:rsid w:val="00901B7E"/>
    <w:rsid w:val="00901C67"/>
    <w:rsid w:val="00901DAD"/>
    <w:rsid w:val="00901F12"/>
    <w:rsid w:val="00901FC5"/>
    <w:rsid w:val="0090200B"/>
    <w:rsid w:val="0090224B"/>
    <w:rsid w:val="009022B2"/>
    <w:rsid w:val="00902857"/>
    <w:rsid w:val="00902959"/>
    <w:rsid w:val="00902A1C"/>
    <w:rsid w:val="00902B45"/>
    <w:rsid w:val="00902C1E"/>
    <w:rsid w:val="00902E56"/>
    <w:rsid w:val="009030EB"/>
    <w:rsid w:val="009033B9"/>
    <w:rsid w:val="00903437"/>
    <w:rsid w:val="00903445"/>
    <w:rsid w:val="009035CA"/>
    <w:rsid w:val="0090360B"/>
    <w:rsid w:val="00903644"/>
    <w:rsid w:val="009036EC"/>
    <w:rsid w:val="009037CD"/>
    <w:rsid w:val="00903898"/>
    <w:rsid w:val="0090393E"/>
    <w:rsid w:val="00903F2D"/>
    <w:rsid w:val="0090435A"/>
    <w:rsid w:val="009044B6"/>
    <w:rsid w:val="00904569"/>
    <w:rsid w:val="00904580"/>
    <w:rsid w:val="0090460E"/>
    <w:rsid w:val="009046F0"/>
    <w:rsid w:val="00904789"/>
    <w:rsid w:val="009049B4"/>
    <w:rsid w:val="00904B02"/>
    <w:rsid w:val="00904EF8"/>
    <w:rsid w:val="00905893"/>
    <w:rsid w:val="0090591B"/>
    <w:rsid w:val="00905A1C"/>
    <w:rsid w:val="00905A58"/>
    <w:rsid w:val="00905AD9"/>
    <w:rsid w:val="00905F87"/>
    <w:rsid w:val="0090628C"/>
    <w:rsid w:val="009065D1"/>
    <w:rsid w:val="00906765"/>
    <w:rsid w:val="0090696F"/>
    <w:rsid w:val="00906D41"/>
    <w:rsid w:val="00906FCF"/>
    <w:rsid w:val="00907153"/>
    <w:rsid w:val="00907712"/>
    <w:rsid w:val="00907855"/>
    <w:rsid w:val="009078FB"/>
    <w:rsid w:val="00907988"/>
    <w:rsid w:val="00907AA2"/>
    <w:rsid w:val="00907B4D"/>
    <w:rsid w:val="00907D75"/>
    <w:rsid w:val="00907ECC"/>
    <w:rsid w:val="00907F14"/>
    <w:rsid w:val="00910422"/>
    <w:rsid w:val="00910825"/>
    <w:rsid w:val="0091098A"/>
    <w:rsid w:val="00910D61"/>
    <w:rsid w:val="00910EA8"/>
    <w:rsid w:val="00910FB1"/>
    <w:rsid w:val="00910FF2"/>
    <w:rsid w:val="00911057"/>
    <w:rsid w:val="009110A2"/>
    <w:rsid w:val="00911178"/>
    <w:rsid w:val="00911422"/>
    <w:rsid w:val="0091193B"/>
    <w:rsid w:val="00911C87"/>
    <w:rsid w:val="00911E20"/>
    <w:rsid w:val="00911F76"/>
    <w:rsid w:val="0091215B"/>
    <w:rsid w:val="009121E4"/>
    <w:rsid w:val="0091225C"/>
    <w:rsid w:val="009124E9"/>
    <w:rsid w:val="00912647"/>
    <w:rsid w:val="00912EB5"/>
    <w:rsid w:val="009130C8"/>
    <w:rsid w:val="0091310A"/>
    <w:rsid w:val="00913441"/>
    <w:rsid w:val="00913469"/>
    <w:rsid w:val="0091388C"/>
    <w:rsid w:val="0091391A"/>
    <w:rsid w:val="00913B6E"/>
    <w:rsid w:val="00913B9F"/>
    <w:rsid w:val="00913C7F"/>
    <w:rsid w:val="00913CA2"/>
    <w:rsid w:val="00914186"/>
    <w:rsid w:val="00914187"/>
    <w:rsid w:val="00914A24"/>
    <w:rsid w:val="00914E58"/>
    <w:rsid w:val="009151ED"/>
    <w:rsid w:val="009152A6"/>
    <w:rsid w:val="009152BE"/>
    <w:rsid w:val="009154DC"/>
    <w:rsid w:val="009155CB"/>
    <w:rsid w:val="00915A11"/>
    <w:rsid w:val="00915A32"/>
    <w:rsid w:val="00915BB6"/>
    <w:rsid w:val="00915C20"/>
    <w:rsid w:val="00915F80"/>
    <w:rsid w:val="00916266"/>
    <w:rsid w:val="009162BD"/>
    <w:rsid w:val="00916323"/>
    <w:rsid w:val="0091662A"/>
    <w:rsid w:val="0091663D"/>
    <w:rsid w:val="00916757"/>
    <w:rsid w:val="00916912"/>
    <w:rsid w:val="00916A4A"/>
    <w:rsid w:val="00916B4D"/>
    <w:rsid w:val="00916D00"/>
    <w:rsid w:val="00916D40"/>
    <w:rsid w:val="00916D7E"/>
    <w:rsid w:val="00917260"/>
    <w:rsid w:val="0091728B"/>
    <w:rsid w:val="0091763F"/>
    <w:rsid w:val="00917656"/>
    <w:rsid w:val="009176D6"/>
    <w:rsid w:val="009178E9"/>
    <w:rsid w:val="00917BBD"/>
    <w:rsid w:val="00917C1F"/>
    <w:rsid w:val="00917CFE"/>
    <w:rsid w:val="00917EAF"/>
    <w:rsid w:val="00917F02"/>
    <w:rsid w:val="00917F4D"/>
    <w:rsid w:val="00920292"/>
    <w:rsid w:val="009203B2"/>
    <w:rsid w:val="009205F6"/>
    <w:rsid w:val="0092063E"/>
    <w:rsid w:val="00920726"/>
    <w:rsid w:val="00920772"/>
    <w:rsid w:val="00920859"/>
    <w:rsid w:val="00920A8F"/>
    <w:rsid w:val="00920DFC"/>
    <w:rsid w:val="00920E61"/>
    <w:rsid w:val="00921041"/>
    <w:rsid w:val="0092109F"/>
    <w:rsid w:val="0092118B"/>
    <w:rsid w:val="00921359"/>
    <w:rsid w:val="00921531"/>
    <w:rsid w:val="00921605"/>
    <w:rsid w:val="00921616"/>
    <w:rsid w:val="00921683"/>
    <w:rsid w:val="009219A9"/>
    <w:rsid w:val="00921A1D"/>
    <w:rsid w:val="00921C17"/>
    <w:rsid w:val="00921C1F"/>
    <w:rsid w:val="00921D03"/>
    <w:rsid w:val="00921D2E"/>
    <w:rsid w:val="00921D54"/>
    <w:rsid w:val="00921DCF"/>
    <w:rsid w:val="00921E1C"/>
    <w:rsid w:val="00921EA5"/>
    <w:rsid w:val="00922078"/>
    <w:rsid w:val="00922195"/>
    <w:rsid w:val="0092227D"/>
    <w:rsid w:val="00922322"/>
    <w:rsid w:val="009225F0"/>
    <w:rsid w:val="00922AFC"/>
    <w:rsid w:val="00922BC6"/>
    <w:rsid w:val="00922ECB"/>
    <w:rsid w:val="00922F1B"/>
    <w:rsid w:val="00922F4C"/>
    <w:rsid w:val="0092310E"/>
    <w:rsid w:val="009231B0"/>
    <w:rsid w:val="0092329C"/>
    <w:rsid w:val="00923362"/>
    <w:rsid w:val="0092336C"/>
    <w:rsid w:val="009233BB"/>
    <w:rsid w:val="009235A2"/>
    <w:rsid w:val="00923683"/>
    <w:rsid w:val="0092379E"/>
    <w:rsid w:val="009237DD"/>
    <w:rsid w:val="009238D7"/>
    <w:rsid w:val="009238EC"/>
    <w:rsid w:val="0092391C"/>
    <w:rsid w:val="00923995"/>
    <w:rsid w:val="00923A2A"/>
    <w:rsid w:val="0092407B"/>
    <w:rsid w:val="00924331"/>
    <w:rsid w:val="00924411"/>
    <w:rsid w:val="009246A3"/>
    <w:rsid w:val="009249B4"/>
    <w:rsid w:val="00924BC7"/>
    <w:rsid w:val="00924F68"/>
    <w:rsid w:val="00924FBD"/>
    <w:rsid w:val="009250FE"/>
    <w:rsid w:val="0092529A"/>
    <w:rsid w:val="009252B5"/>
    <w:rsid w:val="009252C9"/>
    <w:rsid w:val="009254AA"/>
    <w:rsid w:val="009255D6"/>
    <w:rsid w:val="0092574C"/>
    <w:rsid w:val="00925840"/>
    <w:rsid w:val="00925881"/>
    <w:rsid w:val="00925A75"/>
    <w:rsid w:val="00925BA7"/>
    <w:rsid w:val="00925BD9"/>
    <w:rsid w:val="00925C37"/>
    <w:rsid w:val="00925E39"/>
    <w:rsid w:val="00925F1F"/>
    <w:rsid w:val="0092621A"/>
    <w:rsid w:val="009268B1"/>
    <w:rsid w:val="00926A77"/>
    <w:rsid w:val="00926C59"/>
    <w:rsid w:val="00926DBA"/>
    <w:rsid w:val="00926FB1"/>
    <w:rsid w:val="009271E0"/>
    <w:rsid w:val="009272D4"/>
    <w:rsid w:val="00927402"/>
    <w:rsid w:val="00927470"/>
    <w:rsid w:val="0092749A"/>
    <w:rsid w:val="009275D3"/>
    <w:rsid w:val="00927687"/>
    <w:rsid w:val="0092769E"/>
    <w:rsid w:val="009276D5"/>
    <w:rsid w:val="009278A1"/>
    <w:rsid w:val="00927C99"/>
    <w:rsid w:val="00927D20"/>
    <w:rsid w:val="00927D60"/>
    <w:rsid w:val="00927F0D"/>
    <w:rsid w:val="009304F5"/>
    <w:rsid w:val="009307D8"/>
    <w:rsid w:val="009308B3"/>
    <w:rsid w:val="00930908"/>
    <w:rsid w:val="00930985"/>
    <w:rsid w:val="00930ACE"/>
    <w:rsid w:val="00930B91"/>
    <w:rsid w:val="00930E69"/>
    <w:rsid w:val="00931069"/>
    <w:rsid w:val="0093133F"/>
    <w:rsid w:val="00931576"/>
    <w:rsid w:val="009318F7"/>
    <w:rsid w:val="009319F4"/>
    <w:rsid w:val="00931B28"/>
    <w:rsid w:val="009321AF"/>
    <w:rsid w:val="0093220D"/>
    <w:rsid w:val="009322D2"/>
    <w:rsid w:val="009323C7"/>
    <w:rsid w:val="0093249D"/>
    <w:rsid w:val="009327D4"/>
    <w:rsid w:val="009327EE"/>
    <w:rsid w:val="00932B67"/>
    <w:rsid w:val="00932BFF"/>
    <w:rsid w:val="00932C74"/>
    <w:rsid w:val="00932CC6"/>
    <w:rsid w:val="00932D19"/>
    <w:rsid w:val="00932D33"/>
    <w:rsid w:val="00932E8C"/>
    <w:rsid w:val="00932F57"/>
    <w:rsid w:val="0093333F"/>
    <w:rsid w:val="009334A0"/>
    <w:rsid w:val="00933603"/>
    <w:rsid w:val="0093367D"/>
    <w:rsid w:val="00933A5D"/>
    <w:rsid w:val="00933B77"/>
    <w:rsid w:val="00933D87"/>
    <w:rsid w:val="00934109"/>
    <w:rsid w:val="0093414A"/>
    <w:rsid w:val="00934339"/>
    <w:rsid w:val="00934627"/>
    <w:rsid w:val="00934643"/>
    <w:rsid w:val="009346BF"/>
    <w:rsid w:val="00934725"/>
    <w:rsid w:val="00934DEA"/>
    <w:rsid w:val="00934E09"/>
    <w:rsid w:val="00934F23"/>
    <w:rsid w:val="00935148"/>
    <w:rsid w:val="009352F4"/>
    <w:rsid w:val="0093534D"/>
    <w:rsid w:val="009354C3"/>
    <w:rsid w:val="00935974"/>
    <w:rsid w:val="00935B2B"/>
    <w:rsid w:val="00935B88"/>
    <w:rsid w:val="00935C6E"/>
    <w:rsid w:val="00935D1F"/>
    <w:rsid w:val="00935E17"/>
    <w:rsid w:val="00936132"/>
    <w:rsid w:val="009362D9"/>
    <w:rsid w:val="00936378"/>
    <w:rsid w:val="00936420"/>
    <w:rsid w:val="00936438"/>
    <w:rsid w:val="00936488"/>
    <w:rsid w:val="0093648B"/>
    <w:rsid w:val="009364C0"/>
    <w:rsid w:val="0093666D"/>
    <w:rsid w:val="009366CD"/>
    <w:rsid w:val="0093676E"/>
    <w:rsid w:val="00936954"/>
    <w:rsid w:val="00936BE4"/>
    <w:rsid w:val="00936BEB"/>
    <w:rsid w:val="00936C40"/>
    <w:rsid w:val="00936CEF"/>
    <w:rsid w:val="00937006"/>
    <w:rsid w:val="0093701F"/>
    <w:rsid w:val="0093703D"/>
    <w:rsid w:val="00937067"/>
    <w:rsid w:val="009371BA"/>
    <w:rsid w:val="00937368"/>
    <w:rsid w:val="00937472"/>
    <w:rsid w:val="00937545"/>
    <w:rsid w:val="0093770B"/>
    <w:rsid w:val="00937C4B"/>
    <w:rsid w:val="00937F73"/>
    <w:rsid w:val="00940039"/>
    <w:rsid w:val="009400B2"/>
    <w:rsid w:val="009401C6"/>
    <w:rsid w:val="00940750"/>
    <w:rsid w:val="00940866"/>
    <w:rsid w:val="00940A44"/>
    <w:rsid w:val="00940AFD"/>
    <w:rsid w:val="00940B9F"/>
    <w:rsid w:val="00940BED"/>
    <w:rsid w:val="00940D61"/>
    <w:rsid w:val="00940DCB"/>
    <w:rsid w:val="00940E50"/>
    <w:rsid w:val="00940EAF"/>
    <w:rsid w:val="00940F12"/>
    <w:rsid w:val="00940F5F"/>
    <w:rsid w:val="00941128"/>
    <w:rsid w:val="009416B5"/>
    <w:rsid w:val="009417D0"/>
    <w:rsid w:val="0094187F"/>
    <w:rsid w:val="00941C21"/>
    <w:rsid w:val="00941E14"/>
    <w:rsid w:val="009420F5"/>
    <w:rsid w:val="00942161"/>
    <w:rsid w:val="0094259F"/>
    <w:rsid w:val="0094266E"/>
    <w:rsid w:val="009428E6"/>
    <w:rsid w:val="009428E9"/>
    <w:rsid w:val="009429CC"/>
    <w:rsid w:val="00942AAC"/>
    <w:rsid w:val="00942CBA"/>
    <w:rsid w:val="00942D30"/>
    <w:rsid w:val="00942EB6"/>
    <w:rsid w:val="00942EC6"/>
    <w:rsid w:val="00942EE8"/>
    <w:rsid w:val="00942F8F"/>
    <w:rsid w:val="0094302F"/>
    <w:rsid w:val="0094320D"/>
    <w:rsid w:val="00943361"/>
    <w:rsid w:val="0094395F"/>
    <w:rsid w:val="00943ABF"/>
    <w:rsid w:val="00943B5D"/>
    <w:rsid w:val="00943C04"/>
    <w:rsid w:val="00943C3A"/>
    <w:rsid w:val="00943D70"/>
    <w:rsid w:val="00943D76"/>
    <w:rsid w:val="00943DD6"/>
    <w:rsid w:val="00943FDC"/>
    <w:rsid w:val="00944017"/>
    <w:rsid w:val="00944060"/>
    <w:rsid w:val="009440D5"/>
    <w:rsid w:val="0094422B"/>
    <w:rsid w:val="009444B7"/>
    <w:rsid w:val="009444C2"/>
    <w:rsid w:val="00944ABC"/>
    <w:rsid w:val="00944B6C"/>
    <w:rsid w:val="00944DDE"/>
    <w:rsid w:val="00945142"/>
    <w:rsid w:val="00945178"/>
    <w:rsid w:val="00945236"/>
    <w:rsid w:val="009452C9"/>
    <w:rsid w:val="00945358"/>
    <w:rsid w:val="009453E2"/>
    <w:rsid w:val="00945623"/>
    <w:rsid w:val="009456CF"/>
    <w:rsid w:val="009456E7"/>
    <w:rsid w:val="00945804"/>
    <w:rsid w:val="00945914"/>
    <w:rsid w:val="00945AAB"/>
    <w:rsid w:val="00945C15"/>
    <w:rsid w:val="00945CE6"/>
    <w:rsid w:val="00945D28"/>
    <w:rsid w:val="0094601A"/>
    <w:rsid w:val="0094622C"/>
    <w:rsid w:val="0094641A"/>
    <w:rsid w:val="009464EE"/>
    <w:rsid w:val="009467AC"/>
    <w:rsid w:val="009467B8"/>
    <w:rsid w:val="009467EC"/>
    <w:rsid w:val="00946846"/>
    <w:rsid w:val="00946AF1"/>
    <w:rsid w:val="00946BCC"/>
    <w:rsid w:val="00946C91"/>
    <w:rsid w:val="00946CB6"/>
    <w:rsid w:val="00946DF8"/>
    <w:rsid w:val="00947424"/>
    <w:rsid w:val="00947626"/>
    <w:rsid w:val="0094783F"/>
    <w:rsid w:val="00947BEE"/>
    <w:rsid w:val="00947C37"/>
    <w:rsid w:val="00947E01"/>
    <w:rsid w:val="00950050"/>
    <w:rsid w:val="009500FC"/>
    <w:rsid w:val="009501BD"/>
    <w:rsid w:val="009502C2"/>
    <w:rsid w:val="00950540"/>
    <w:rsid w:val="0095060D"/>
    <w:rsid w:val="009507ED"/>
    <w:rsid w:val="00950921"/>
    <w:rsid w:val="00950DFB"/>
    <w:rsid w:val="00951076"/>
    <w:rsid w:val="009511C0"/>
    <w:rsid w:val="009515FA"/>
    <w:rsid w:val="0095163F"/>
    <w:rsid w:val="00951840"/>
    <w:rsid w:val="0095198F"/>
    <w:rsid w:val="009519E7"/>
    <w:rsid w:val="00951A34"/>
    <w:rsid w:val="00951B4D"/>
    <w:rsid w:val="00951EF3"/>
    <w:rsid w:val="00952334"/>
    <w:rsid w:val="00952343"/>
    <w:rsid w:val="0095238C"/>
    <w:rsid w:val="009523AB"/>
    <w:rsid w:val="009524B7"/>
    <w:rsid w:val="0095264D"/>
    <w:rsid w:val="009527FC"/>
    <w:rsid w:val="00952A37"/>
    <w:rsid w:val="00952CAA"/>
    <w:rsid w:val="00952CD5"/>
    <w:rsid w:val="00952D83"/>
    <w:rsid w:val="00952D8B"/>
    <w:rsid w:val="00952E03"/>
    <w:rsid w:val="00952E54"/>
    <w:rsid w:val="00953084"/>
    <w:rsid w:val="00953095"/>
    <w:rsid w:val="009530DB"/>
    <w:rsid w:val="0095312A"/>
    <w:rsid w:val="0095319D"/>
    <w:rsid w:val="00953291"/>
    <w:rsid w:val="009534E6"/>
    <w:rsid w:val="0095389D"/>
    <w:rsid w:val="009539F6"/>
    <w:rsid w:val="00953AE7"/>
    <w:rsid w:val="00953BF3"/>
    <w:rsid w:val="00953DB7"/>
    <w:rsid w:val="0095402C"/>
    <w:rsid w:val="009541AE"/>
    <w:rsid w:val="00954591"/>
    <w:rsid w:val="00954B52"/>
    <w:rsid w:val="00954B74"/>
    <w:rsid w:val="00954D1E"/>
    <w:rsid w:val="00954F96"/>
    <w:rsid w:val="00955241"/>
    <w:rsid w:val="0095525F"/>
    <w:rsid w:val="00955498"/>
    <w:rsid w:val="009555B5"/>
    <w:rsid w:val="0095561F"/>
    <w:rsid w:val="009557DF"/>
    <w:rsid w:val="0095583D"/>
    <w:rsid w:val="00956078"/>
    <w:rsid w:val="00956094"/>
    <w:rsid w:val="009561B5"/>
    <w:rsid w:val="00956286"/>
    <w:rsid w:val="009564E1"/>
    <w:rsid w:val="009567A8"/>
    <w:rsid w:val="00956813"/>
    <w:rsid w:val="00956A44"/>
    <w:rsid w:val="00956BF5"/>
    <w:rsid w:val="00956C16"/>
    <w:rsid w:val="00956C95"/>
    <w:rsid w:val="00956DF7"/>
    <w:rsid w:val="00957101"/>
    <w:rsid w:val="00957379"/>
    <w:rsid w:val="00957548"/>
    <w:rsid w:val="00957556"/>
    <w:rsid w:val="009576F6"/>
    <w:rsid w:val="0095783E"/>
    <w:rsid w:val="00957AF4"/>
    <w:rsid w:val="00957D10"/>
    <w:rsid w:val="00957D5E"/>
    <w:rsid w:val="00957F77"/>
    <w:rsid w:val="0096017F"/>
    <w:rsid w:val="0096064D"/>
    <w:rsid w:val="00960B03"/>
    <w:rsid w:val="00960D91"/>
    <w:rsid w:val="00961220"/>
    <w:rsid w:val="00961242"/>
    <w:rsid w:val="00961255"/>
    <w:rsid w:val="009612B3"/>
    <w:rsid w:val="0096131B"/>
    <w:rsid w:val="009613A0"/>
    <w:rsid w:val="009613C7"/>
    <w:rsid w:val="00961530"/>
    <w:rsid w:val="00961699"/>
    <w:rsid w:val="00961774"/>
    <w:rsid w:val="009618CE"/>
    <w:rsid w:val="00961AFA"/>
    <w:rsid w:val="00961B86"/>
    <w:rsid w:val="00961C97"/>
    <w:rsid w:val="00961D20"/>
    <w:rsid w:val="00961D8F"/>
    <w:rsid w:val="00961EED"/>
    <w:rsid w:val="00962128"/>
    <w:rsid w:val="00962187"/>
    <w:rsid w:val="009629DE"/>
    <w:rsid w:val="00962B70"/>
    <w:rsid w:val="00962C87"/>
    <w:rsid w:val="009631D3"/>
    <w:rsid w:val="00963577"/>
    <w:rsid w:val="00963581"/>
    <w:rsid w:val="0096366D"/>
    <w:rsid w:val="0096368F"/>
    <w:rsid w:val="00963744"/>
    <w:rsid w:val="00963789"/>
    <w:rsid w:val="0096381D"/>
    <w:rsid w:val="00963943"/>
    <w:rsid w:val="0096394F"/>
    <w:rsid w:val="0096396A"/>
    <w:rsid w:val="00963A83"/>
    <w:rsid w:val="00963B46"/>
    <w:rsid w:val="00963B99"/>
    <w:rsid w:val="00963D9C"/>
    <w:rsid w:val="00963EBF"/>
    <w:rsid w:val="0096414E"/>
    <w:rsid w:val="00964151"/>
    <w:rsid w:val="009642E0"/>
    <w:rsid w:val="0096436B"/>
    <w:rsid w:val="009648B1"/>
    <w:rsid w:val="009649E8"/>
    <w:rsid w:val="00964A11"/>
    <w:rsid w:val="00964A77"/>
    <w:rsid w:val="00964E55"/>
    <w:rsid w:val="00964EDF"/>
    <w:rsid w:val="00964F94"/>
    <w:rsid w:val="00965236"/>
    <w:rsid w:val="0096531E"/>
    <w:rsid w:val="0096534D"/>
    <w:rsid w:val="009653DD"/>
    <w:rsid w:val="009654DC"/>
    <w:rsid w:val="00965638"/>
    <w:rsid w:val="009658CD"/>
    <w:rsid w:val="009658F3"/>
    <w:rsid w:val="00965E77"/>
    <w:rsid w:val="009661A1"/>
    <w:rsid w:val="00966303"/>
    <w:rsid w:val="00966478"/>
    <w:rsid w:val="009665E3"/>
    <w:rsid w:val="00966746"/>
    <w:rsid w:val="009668A6"/>
    <w:rsid w:val="00966941"/>
    <w:rsid w:val="00966A48"/>
    <w:rsid w:val="00966CA1"/>
    <w:rsid w:val="00966CE1"/>
    <w:rsid w:val="00966F17"/>
    <w:rsid w:val="009670CD"/>
    <w:rsid w:val="009672DD"/>
    <w:rsid w:val="00967585"/>
    <w:rsid w:val="0096768C"/>
    <w:rsid w:val="009678EE"/>
    <w:rsid w:val="00967A38"/>
    <w:rsid w:val="00967B7E"/>
    <w:rsid w:val="00967BD6"/>
    <w:rsid w:val="00967E10"/>
    <w:rsid w:val="00967F1F"/>
    <w:rsid w:val="00967F9C"/>
    <w:rsid w:val="0097032A"/>
    <w:rsid w:val="009703B5"/>
    <w:rsid w:val="0097051D"/>
    <w:rsid w:val="00970694"/>
    <w:rsid w:val="00970758"/>
    <w:rsid w:val="00970821"/>
    <w:rsid w:val="0097091A"/>
    <w:rsid w:val="0097091F"/>
    <w:rsid w:val="00970945"/>
    <w:rsid w:val="009709B4"/>
    <w:rsid w:val="00970A40"/>
    <w:rsid w:val="00970A83"/>
    <w:rsid w:val="00970AE1"/>
    <w:rsid w:val="00970BFC"/>
    <w:rsid w:val="00970CF2"/>
    <w:rsid w:val="00970F5B"/>
    <w:rsid w:val="00970F63"/>
    <w:rsid w:val="0097111B"/>
    <w:rsid w:val="009712EB"/>
    <w:rsid w:val="00971317"/>
    <w:rsid w:val="009718F4"/>
    <w:rsid w:val="009719A4"/>
    <w:rsid w:val="009719BE"/>
    <w:rsid w:val="00971CB8"/>
    <w:rsid w:val="00971ECB"/>
    <w:rsid w:val="00971F41"/>
    <w:rsid w:val="00972172"/>
    <w:rsid w:val="0097220B"/>
    <w:rsid w:val="0097298C"/>
    <w:rsid w:val="00972AA1"/>
    <w:rsid w:val="00972AAC"/>
    <w:rsid w:val="00972AE3"/>
    <w:rsid w:val="00972B99"/>
    <w:rsid w:val="00972D54"/>
    <w:rsid w:val="00972DFA"/>
    <w:rsid w:val="00972E1E"/>
    <w:rsid w:val="00972FE5"/>
    <w:rsid w:val="00972FE8"/>
    <w:rsid w:val="00973143"/>
    <w:rsid w:val="00973235"/>
    <w:rsid w:val="009734A6"/>
    <w:rsid w:val="009736A5"/>
    <w:rsid w:val="00973845"/>
    <w:rsid w:val="0097386A"/>
    <w:rsid w:val="0097389B"/>
    <w:rsid w:val="009739CE"/>
    <w:rsid w:val="00973A5D"/>
    <w:rsid w:val="00973B62"/>
    <w:rsid w:val="00973BBF"/>
    <w:rsid w:val="00973C7F"/>
    <w:rsid w:val="00973CA0"/>
    <w:rsid w:val="00973CDF"/>
    <w:rsid w:val="009741A7"/>
    <w:rsid w:val="009741B5"/>
    <w:rsid w:val="00974511"/>
    <w:rsid w:val="00974CAE"/>
    <w:rsid w:val="00974D47"/>
    <w:rsid w:val="00974D68"/>
    <w:rsid w:val="00974DB7"/>
    <w:rsid w:val="00974E93"/>
    <w:rsid w:val="00974FB7"/>
    <w:rsid w:val="009750B1"/>
    <w:rsid w:val="0097513F"/>
    <w:rsid w:val="009753AD"/>
    <w:rsid w:val="009753BA"/>
    <w:rsid w:val="009754AE"/>
    <w:rsid w:val="00975620"/>
    <w:rsid w:val="0097584B"/>
    <w:rsid w:val="00975A1B"/>
    <w:rsid w:val="00975D70"/>
    <w:rsid w:val="00975E59"/>
    <w:rsid w:val="0097623C"/>
    <w:rsid w:val="00976291"/>
    <w:rsid w:val="009762EA"/>
    <w:rsid w:val="00976324"/>
    <w:rsid w:val="0097634B"/>
    <w:rsid w:val="00976383"/>
    <w:rsid w:val="00976470"/>
    <w:rsid w:val="009764A5"/>
    <w:rsid w:val="00976518"/>
    <w:rsid w:val="00976523"/>
    <w:rsid w:val="00976604"/>
    <w:rsid w:val="00976918"/>
    <w:rsid w:val="009769BF"/>
    <w:rsid w:val="00976A48"/>
    <w:rsid w:val="00976AF9"/>
    <w:rsid w:val="00976CE3"/>
    <w:rsid w:val="00976CE5"/>
    <w:rsid w:val="00976E5F"/>
    <w:rsid w:val="00976F9C"/>
    <w:rsid w:val="00976FCD"/>
    <w:rsid w:val="00977111"/>
    <w:rsid w:val="0097722F"/>
    <w:rsid w:val="0097732E"/>
    <w:rsid w:val="009774C1"/>
    <w:rsid w:val="009774E8"/>
    <w:rsid w:val="0097762C"/>
    <w:rsid w:val="00977651"/>
    <w:rsid w:val="009779B4"/>
    <w:rsid w:val="00977AEA"/>
    <w:rsid w:val="00977C62"/>
    <w:rsid w:val="00977C86"/>
    <w:rsid w:val="00977D37"/>
    <w:rsid w:val="00980282"/>
    <w:rsid w:val="009802FD"/>
    <w:rsid w:val="009805A8"/>
    <w:rsid w:val="009805F9"/>
    <w:rsid w:val="00980F6B"/>
    <w:rsid w:val="00981052"/>
    <w:rsid w:val="009811AD"/>
    <w:rsid w:val="009812CF"/>
    <w:rsid w:val="00981428"/>
    <w:rsid w:val="00981494"/>
    <w:rsid w:val="00981524"/>
    <w:rsid w:val="00981D41"/>
    <w:rsid w:val="00981EB3"/>
    <w:rsid w:val="0098209F"/>
    <w:rsid w:val="00982103"/>
    <w:rsid w:val="009822A2"/>
    <w:rsid w:val="00982558"/>
    <w:rsid w:val="009826E1"/>
    <w:rsid w:val="00982901"/>
    <w:rsid w:val="009829F5"/>
    <w:rsid w:val="00982ABF"/>
    <w:rsid w:val="00983039"/>
    <w:rsid w:val="009833CE"/>
    <w:rsid w:val="0098362D"/>
    <w:rsid w:val="00983897"/>
    <w:rsid w:val="009839D1"/>
    <w:rsid w:val="00983B4B"/>
    <w:rsid w:val="00983B84"/>
    <w:rsid w:val="00983BE0"/>
    <w:rsid w:val="00984186"/>
    <w:rsid w:val="009842E0"/>
    <w:rsid w:val="0098434B"/>
    <w:rsid w:val="00984357"/>
    <w:rsid w:val="00984551"/>
    <w:rsid w:val="009845BC"/>
    <w:rsid w:val="009845F6"/>
    <w:rsid w:val="009847FE"/>
    <w:rsid w:val="009848E1"/>
    <w:rsid w:val="00984A7D"/>
    <w:rsid w:val="00984DD7"/>
    <w:rsid w:val="00984E00"/>
    <w:rsid w:val="00984E43"/>
    <w:rsid w:val="00985379"/>
    <w:rsid w:val="00985935"/>
    <w:rsid w:val="00985D24"/>
    <w:rsid w:val="00985DF9"/>
    <w:rsid w:val="009862D2"/>
    <w:rsid w:val="00986B09"/>
    <w:rsid w:val="00986BF9"/>
    <w:rsid w:val="00986CE5"/>
    <w:rsid w:val="00986F04"/>
    <w:rsid w:val="0098700D"/>
    <w:rsid w:val="0098709E"/>
    <w:rsid w:val="009870A3"/>
    <w:rsid w:val="0098716B"/>
    <w:rsid w:val="009871FB"/>
    <w:rsid w:val="009872FC"/>
    <w:rsid w:val="0098741B"/>
    <w:rsid w:val="00987480"/>
    <w:rsid w:val="009879C4"/>
    <w:rsid w:val="00987C52"/>
    <w:rsid w:val="00987D9B"/>
    <w:rsid w:val="00987F8D"/>
    <w:rsid w:val="00987FFC"/>
    <w:rsid w:val="009900A4"/>
    <w:rsid w:val="00990115"/>
    <w:rsid w:val="009901C5"/>
    <w:rsid w:val="009902CC"/>
    <w:rsid w:val="009903B1"/>
    <w:rsid w:val="009903B9"/>
    <w:rsid w:val="00990798"/>
    <w:rsid w:val="009908B2"/>
    <w:rsid w:val="00990992"/>
    <w:rsid w:val="00990C92"/>
    <w:rsid w:val="0099129E"/>
    <w:rsid w:val="00991896"/>
    <w:rsid w:val="00991AE1"/>
    <w:rsid w:val="00991CC1"/>
    <w:rsid w:val="00991DC9"/>
    <w:rsid w:val="00992083"/>
    <w:rsid w:val="009920A8"/>
    <w:rsid w:val="009920F6"/>
    <w:rsid w:val="009926CB"/>
    <w:rsid w:val="009927C6"/>
    <w:rsid w:val="009928C9"/>
    <w:rsid w:val="00992AA1"/>
    <w:rsid w:val="00992B46"/>
    <w:rsid w:val="00992DC9"/>
    <w:rsid w:val="0099309F"/>
    <w:rsid w:val="009930C3"/>
    <w:rsid w:val="00993271"/>
    <w:rsid w:val="0099330C"/>
    <w:rsid w:val="009933E8"/>
    <w:rsid w:val="009935E8"/>
    <w:rsid w:val="00993740"/>
    <w:rsid w:val="00993803"/>
    <w:rsid w:val="009938D5"/>
    <w:rsid w:val="00994495"/>
    <w:rsid w:val="0099452B"/>
    <w:rsid w:val="0099458F"/>
    <w:rsid w:val="00994656"/>
    <w:rsid w:val="009946CF"/>
    <w:rsid w:val="00994784"/>
    <w:rsid w:val="00994A1D"/>
    <w:rsid w:val="00994A40"/>
    <w:rsid w:val="00994A4A"/>
    <w:rsid w:val="00994B23"/>
    <w:rsid w:val="00994C13"/>
    <w:rsid w:val="00994D00"/>
    <w:rsid w:val="00994DB1"/>
    <w:rsid w:val="0099526D"/>
    <w:rsid w:val="00995486"/>
    <w:rsid w:val="0099579C"/>
    <w:rsid w:val="00995859"/>
    <w:rsid w:val="009959AA"/>
    <w:rsid w:val="00995A0D"/>
    <w:rsid w:val="00995B39"/>
    <w:rsid w:val="00995D18"/>
    <w:rsid w:val="00995D55"/>
    <w:rsid w:val="00995F49"/>
    <w:rsid w:val="00995F70"/>
    <w:rsid w:val="00995F7E"/>
    <w:rsid w:val="00995FFD"/>
    <w:rsid w:val="0099620E"/>
    <w:rsid w:val="00996444"/>
    <w:rsid w:val="009966F3"/>
    <w:rsid w:val="00996961"/>
    <w:rsid w:val="00996AFB"/>
    <w:rsid w:val="00996D12"/>
    <w:rsid w:val="00996D34"/>
    <w:rsid w:val="00997140"/>
    <w:rsid w:val="00997291"/>
    <w:rsid w:val="00997296"/>
    <w:rsid w:val="009973B5"/>
    <w:rsid w:val="00997428"/>
    <w:rsid w:val="0099745A"/>
    <w:rsid w:val="00997552"/>
    <w:rsid w:val="009975C2"/>
    <w:rsid w:val="0099788E"/>
    <w:rsid w:val="009978F6"/>
    <w:rsid w:val="00997AC4"/>
    <w:rsid w:val="00997AE5"/>
    <w:rsid w:val="00997C6D"/>
    <w:rsid w:val="00997C96"/>
    <w:rsid w:val="00997DDE"/>
    <w:rsid w:val="00997E05"/>
    <w:rsid w:val="00997E4C"/>
    <w:rsid w:val="009A0054"/>
    <w:rsid w:val="009A0168"/>
    <w:rsid w:val="009A057B"/>
    <w:rsid w:val="009A0A0D"/>
    <w:rsid w:val="009A0BB3"/>
    <w:rsid w:val="009A0C6B"/>
    <w:rsid w:val="009A0CB3"/>
    <w:rsid w:val="009A0D23"/>
    <w:rsid w:val="009A0D9C"/>
    <w:rsid w:val="009A0EBB"/>
    <w:rsid w:val="009A0FAF"/>
    <w:rsid w:val="009A10CD"/>
    <w:rsid w:val="009A12EB"/>
    <w:rsid w:val="009A1644"/>
    <w:rsid w:val="009A18A9"/>
    <w:rsid w:val="009A1A46"/>
    <w:rsid w:val="009A1B21"/>
    <w:rsid w:val="009A1F24"/>
    <w:rsid w:val="009A2139"/>
    <w:rsid w:val="009A2539"/>
    <w:rsid w:val="009A274B"/>
    <w:rsid w:val="009A27FA"/>
    <w:rsid w:val="009A28C7"/>
    <w:rsid w:val="009A2C62"/>
    <w:rsid w:val="009A2CFD"/>
    <w:rsid w:val="009A2FF2"/>
    <w:rsid w:val="009A3005"/>
    <w:rsid w:val="009A3352"/>
    <w:rsid w:val="009A3478"/>
    <w:rsid w:val="009A3489"/>
    <w:rsid w:val="009A35AA"/>
    <w:rsid w:val="009A35C5"/>
    <w:rsid w:val="009A370C"/>
    <w:rsid w:val="009A37B2"/>
    <w:rsid w:val="009A3A40"/>
    <w:rsid w:val="009A3A47"/>
    <w:rsid w:val="009A3A67"/>
    <w:rsid w:val="009A3AAD"/>
    <w:rsid w:val="009A3B1F"/>
    <w:rsid w:val="009A3CBF"/>
    <w:rsid w:val="009A3D80"/>
    <w:rsid w:val="009A3E23"/>
    <w:rsid w:val="009A3EE1"/>
    <w:rsid w:val="009A40A5"/>
    <w:rsid w:val="009A41AE"/>
    <w:rsid w:val="009A4649"/>
    <w:rsid w:val="009A4862"/>
    <w:rsid w:val="009A4910"/>
    <w:rsid w:val="009A49A9"/>
    <w:rsid w:val="009A4A6B"/>
    <w:rsid w:val="009A4D3E"/>
    <w:rsid w:val="009A4D44"/>
    <w:rsid w:val="009A4F83"/>
    <w:rsid w:val="009A506A"/>
    <w:rsid w:val="009A5247"/>
    <w:rsid w:val="009A533E"/>
    <w:rsid w:val="009A535A"/>
    <w:rsid w:val="009A56B6"/>
    <w:rsid w:val="009A57BB"/>
    <w:rsid w:val="009A59DB"/>
    <w:rsid w:val="009A5CA9"/>
    <w:rsid w:val="009A5D47"/>
    <w:rsid w:val="009A61AA"/>
    <w:rsid w:val="009A6463"/>
    <w:rsid w:val="009A6838"/>
    <w:rsid w:val="009A6896"/>
    <w:rsid w:val="009A690E"/>
    <w:rsid w:val="009A699B"/>
    <w:rsid w:val="009A6A9A"/>
    <w:rsid w:val="009A6B65"/>
    <w:rsid w:val="009A6DFA"/>
    <w:rsid w:val="009A7095"/>
    <w:rsid w:val="009A70B2"/>
    <w:rsid w:val="009A71A1"/>
    <w:rsid w:val="009A71D0"/>
    <w:rsid w:val="009A7365"/>
    <w:rsid w:val="009A73EA"/>
    <w:rsid w:val="009A75B0"/>
    <w:rsid w:val="009A78A8"/>
    <w:rsid w:val="009A79E5"/>
    <w:rsid w:val="009A7BDA"/>
    <w:rsid w:val="009A7DA2"/>
    <w:rsid w:val="009A7DFC"/>
    <w:rsid w:val="009A7E9D"/>
    <w:rsid w:val="009A7EF7"/>
    <w:rsid w:val="009A7F48"/>
    <w:rsid w:val="009A7F8F"/>
    <w:rsid w:val="009B0013"/>
    <w:rsid w:val="009B03FC"/>
    <w:rsid w:val="009B04FC"/>
    <w:rsid w:val="009B0590"/>
    <w:rsid w:val="009B065C"/>
    <w:rsid w:val="009B0769"/>
    <w:rsid w:val="009B0AB7"/>
    <w:rsid w:val="009B0B70"/>
    <w:rsid w:val="009B0C1B"/>
    <w:rsid w:val="009B11B5"/>
    <w:rsid w:val="009B12CA"/>
    <w:rsid w:val="009B14A4"/>
    <w:rsid w:val="009B164D"/>
    <w:rsid w:val="009B18B1"/>
    <w:rsid w:val="009B1958"/>
    <w:rsid w:val="009B19E6"/>
    <w:rsid w:val="009B1B5B"/>
    <w:rsid w:val="009B1BB3"/>
    <w:rsid w:val="009B1CC4"/>
    <w:rsid w:val="009B1CC8"/>
    <w:rsid w:val="009B1CF7"/>
    <w:rsid w:val="009B1E91"/>
    <w:rsid w:val="009B1FBD"/>
    <w:rsid w:val="009B2415"/>
    <w:rsid w:val="009B24EA"/>
    <w:rsid w:val="009B252C"/>
    <w:rsid w:val="009B26D2"/>
    <w:rsid w:val="009B278E"/>
    <w:rsid w:val="009B283F"/>
    <w:rsid w:val="009B2B0F"/>
    <w:rsid w:val="009B2CB6"/>
    <w:rsid w:val="009B2FF5"/>
    <w:rsid w:val="009B30F0"/>
    <w:rsid w:val="009B32B5"/>
    <w:rsid w:val="009B3405"/>
    <w:rsid w:val="009B3475"/>
    <w:rsid w:val="009B3B7F"/>
    <w:rsid w:val="009B3C17"/>
    <w:rsid w:val="009B3D19"/>
    <w:rsid w:val="009B3DA0"/>
    <w:rsid w:val="009B42E0"/>
    <w:rsid w:val="009B44F3"/>
    <w:rsid w:val="009B4646"/>
    <w:rsid w:val="009B46BE"/>
    <w:rsid w:val="009B4796"/>
    <w:rsid w:val="009B4A8C"/>
    <w:rsid w:val="009B4C74"/>
    <w:rsid w:val="009B4CBC"/>
    <w:rsid w:val="009B4FB7"/>
    <w:rsid w:val="009B51A5"/>
    <w:rsid w:val="009B5438"/>
    <w:rsid w:val="009B5579"/>
    <w:rsid w:val="009B57E4"/>
    <w:rsid w:val="009B5BBE"/>
    <w:rsid w:val="009B5C04"/>
    <w:rsid w:val="009B5C63"/>
    <w:rsid w:val="009B5C7F"/>
    <w:rsid w:val="009B5D75"/>
    <w:rsid w:val="009B5DDA"/>
    <w:rsid w:val="009B5E1A"/>
    <w:rsid w:val="009B5EE6"/>
    <w:rsid w:val="009B5FD7"/>
    <w:rsid w:val="009B615D"/>
    <w:rsid w:val="009B6383"/>
    <w:rsid w:val="009B65B8"/>
    <w:rsid w:val="009B68AB"/>
    <w:rsid w:val="009B68FD"/>
    <w:rsid w:val="009B6A14"/>
    <w:rsid w:val="009B6B6C"/>
    <w:rsid w:val="009B6E19"/>
    <w:rsid w:val="009B6E2C"/>
    <w:rsid w:val="009B717D"/>
    <w:rsid w:val="009B72DF"/>
    <w:rsid w:val="009B73B1"/>
    <w:rsid w:val="009B73E6"/>
    <w:rsid w:val="009B74F4"/>
    <w:rsid w:val="009B769C"/>
    <w:rsid w:val="009B7930"/>
    <w:rsid w:val="009B7B47"/>
    <w:rsid w:val="009B7B72"/>
    <w:rsid w:val="009B7D18"/>
    <w:rsid w:val="009B7E1B"/>
    <w:rsid w:val="009B7EB2"/>
    <w:rsid w:val="009B7F63"/>
    <w:rsid w:val="009C0241"/>
    <w:rsid w:val="009C0355"/>
    <w:rsid w:val="009C04B0"/>
    <w:rsid w:val="009C0828"/>
    <w:rsid w:val="009C084D"/>
    <w:rsid w:val="009C0987"/>
    <w:rsid w:val="009C11E7"/>
    <w:rsid w:val="009C13F3"/>
    <w:rsid w:val="009C160B"/>
    <w:rsid w:val="009C161D"/>
    <w:rsid w:val="009C17EE"/>
    <w:rsid w:val="009C1846"/>
    <w:rsid w:val="009C1856"/>
    <w:rsid w:val="009C18D8"/>
    <w:rsid w:val="009C19E1"/>
    <w:rsid w:val="009C1B25"/>
    <w:rsid w:val="009C1B3D"/>
    <w:rsid w:val="009C1B9B"/>
    <w:rsid w:val="009C1C12"/>
    <w:rsid w:val="009C1DA2"/>
    <w:rsid w:val="009C22C3"/>
    <w:rsid w:val="009C23ED"/>
    <w:rsid w:val="009C241F"/>
    <w:rsid w:val="009C2495"/>
    <w:rsid w:val="009C26D3"/>
    <w:rsid w:val="009C26F2"/>
    <w:rsid w:val="009C2865"/>
    <w:rsid w:val="009C29FF"/>
    <w:rsid w:val="009C2ABD"/>
    <w:rsid w:val="009C2AF6"/>
    <w:rsid w:val="009C2B98"/>
    <w:rsid w:val="009C3218"/>
    <w:rsid w:val="009C348E"/>
    <w:rsid w:val="009C34FC"/>
    <w:rsid w:val="009C3798"/>
    <w:rsid w:val="009C379E"/>
    <w:rsid w:val="009C39A9"/>
    <w:rsid w:val="009C3A77"/>
    <w:rsid w:val="009C3C40"/>
    <w:rsid w:val="009C3D2D"/>
    <w:rsid w:val="009C3DF8"/>
    <w:rsid w:val="009C4490"/>
    <w:rsid w:val="009C45FE"/>
    <w:rsid w:val="009C4B96"/>
    <w:rsid w:val="009C4CFC"/>
    <w:rsid w:val="009C50D4"/>
    <w:rsid w:val="009C5316"/>
    <w:rsid w:val="009C549B"/>
    <w:rsid w:val="009C57AD"/>
    <w:rsid w:val="009C588E"/>
    <w:rsid w:val="009C58C7"/>
    <w:rsid w:val="009C596D"/>
    <w:rsid w:val="009C59CE"/>
    <w:rsid w:val="009C5AB9"/>
    <w:rsid w:val="009C5B36"/>
    <w:rsid w:val="009C5BB6"/>
    <w:rsid w:val="009C5C05"/>
    <w:rsid w:val="009C5DDB"/>
    <w:rsid w:val="009C5F04"/>
    <w:rsid w:val="009C60B0"/>
    <w:rsid w:val="009C60D0"/>
    <w:rsid w:val="009C61CC"/>
    <w:rsid w:val="009C633A"/>
    <w:rsid w:val="009C6495"/>
    <w:rsid w:val="009C64C1"/>
    <w:rsid w:val="009C64E6"/>
    <w:rsid w:val="009C67ED"/>
    <w:rsid w:val="009C67FC"/>
    <w:rsid w:val="009C6CC7"/>
    <w:rsid w:val="009C6D90"/>
    <w:rsid w:val="009C6F43"/>
    <w:rsid w:val="009C7340"/>
    <w:rsid w:val="009C75E9"/>
    <w:rsid w:val="009C76EC"/>
    <w:rsid w:val="009C77D8"/>
    <w:rsid w:val="009C7AED"/>
    <w:rsid w:val="009C7B2C"/>
    <w:rsid w:val="009C7C8A"/>
    <w:rsid w:val="009D022D"/>
    <w:rsid w:val="009D0314"/>
    <w:rsid w:val="009D05F6"/>
    <w:rsid w:val="009D0B16"/>
    <w:rsid w:val="009D0CAF"/>
    <w:rsid w:val="009D0FF9"/>
    <w:rsid w:val="009D132B"/>
    <w:rsid w:val="009D13C2"/>
    <w:rsid w:val="009D1439"/>
    <w:rsid w:val="009D14E3"/>
    <w:rsid w:val="009D170A"/>
    <w:rsid w:val="009D192C"/>
    <w:rsid w:val="009D1947"/>
    <w:rsid w:val="009D19C6"/>
    <w:rsid w:val="009D1C51"/>
    <w:rsid w:val="009D1EFF"/>
    <w:rsid w:val="009D21DC"/>
    <w:rsid w:val="009D2246"/>
    <w:rsid w:val="009D22A0"/>
    <w:rsid w:val="009D22B1"/>
    <w:rsid w:val="009D2570"/>
    <w:rsid w:val="009D26B1"/>
    <w:rsid w:val="009D2B54"/>
    <w:rsid w:val="009D2C0B"/>
    <w:rsid w:val="009D2FBD"/>
    <w:rsid w:val="009D3064"/>
    <w:rsid w:val="009D309E"/>
    <w:rsid w:val="009D30D2"/>
    <w:rsid w:val="009D30E0"/>
    <w:rsid w:val="009D3113"/>
    <w:rsid w:val="009D3131"/>
    <w:rsid w:val="009D3180"/>
    <w:rsid w:val="009D3288"/>
    <w:rsid w:val="009D3490"/>
    <w:rsid w:val="009D35E3"/>
    <w:rsid w:val="009D379C"/>
    <w:rsid w:val="009D3971"/>
    <w:rsid w:val="009D3982"/>
    <w:rsid w:val="009D3C22"/>
    <w:rsid w:val="009D3C50"/>
    <w:rsid w:val="009D3C76"/>
    <w:rsid w:val="009D3CC9"/>
    <w:rsid w:val="009D3EF9"/>
    <w:rsid w:val="009D40B0"/>
    <w:rsid w:val="009D42FB"/>
    <w:rsid w:val="009D4416"/>
    <w:rsid w:val="009D4444"/>
    <w:rsid w:val="009D45B8"/>
    <w:rsid w:val="009D49C6"/>
    <w:rsid w:val="009D4A76"/>
    <w:rsid w:val="009D4E2B"/>
    <w:rsid w:val="009D4E8B"/>
    <w:rsid w:val="009D4EBE"/>
    <w:rsid w:val="009D4F96"/>
    <w:rsid w:val="009D4F9F"/>
    <w:rsid w:val="009D51C0"/>
    <w:rsid w:val="009D5581"/>
    <w:rsid w:val="009D5605"/>
    <w:rsid w:val="009D5691"/>
    <w:rsid w:val="009D57C6"/>
    <w:rsid w:val="009D58A5"/>
    <w:rsid w:val="009D59BB"/>
    <w:rsid w:val="009D5CCE"/>
    <w:rsid w:val="009D5EB8"/>
    <w:rsid w:val="009D5EC0"/>
    <w:rsid w:val="009D6343"/>
    <w:rsid w:val="009D65F3"/>
    <w:rsid w:val="009D6670"/>
    <w:rsid w:val="009D684D"/>
    <w:rsid w:val="009D6964"/>
    <w:rsid w:val="009D6CC6"/>
    <w:rsid w:val="009D6E15"/>
    <w:rsid w:val="009D6E61"/>
    <w:rsid w:val="009D6F82"/>
    <w:rsid w:val="009D6F9A"/>
    <w:rsid w:val="009D76C4"/>
    <w:rsid w:val="009D7940"/>
    <w:rsid w:val="009D7B3F"/>
    <w:rsid w:val="009D7BCC"/>
    <w:rsid w:val="009D7EEB"/>
    <w:rsid w:val="009D7FBF"/>
    <w:rsid w:val="009D7FC5"/>
    <w:rsid w:val="009E044C"/>
    <w:rsid w:val="009E0510"/>
    <w:rsid w:val="009E0AFE"/>
    <w:rsid w:val="009E0DFA"/>
    <w:rsid w:val="009E0F7E"/>
    <w:rsid w:val="009E100B"/>
    <w:rsid w:val="009E1162"/>
    <w:rsid w:val="009E123D"/>
    <w:rsid w:val="009E12D8"/>
    <w:rsid w:val="009E12F7"/>
    <w:rsid w:val="009E1650"/>
    <w:rsid w:val="009E17F6"/>
    <w:rsid w:val="009E17F8"/>
    <w:rsid w:val="009E186F"/>
    <w:rsid w:val="009E188D"/>
    <w:rsid w:val="009E19D8"/>
    <w:rsid w:val="009E19F6"/>
    <w:rsid w:val="009E1B42"/>
    <w:rsid w:val="009E1B92"/>
    <w:rsid w:val="009E1D94"/>
    <w:rsid w:val="009E1EAA"/>
    <w:rsid w:val="009E23A3"/>
    <w:rsid w:val="009E23AD"/>
    <w:rsid w:val="009E24BA"/>
    <w:rsid w:val="009E264C"/>
    <w:rsid w:val="009E290F"/>
    <w:rsid w:val="009E2A31"/>
    <w:rsid w:val="009E2BA2"/>
    <w:rsid w:val="009E2CED"/>
    <w:rsid w:val="009E2E23"/>
    <w:rsid w:val="009E30F7"/>
    <w:rsid w:val="009E3508"/>
    <w:rsid w:val="009E3521"/>
    <w:rsid w:val="009E35B2"/>
    <w:rsid w:val="009E360C"/>
    <w:rsid w:val="009E3647"/>
    <w:rsid w:val="009E38E1"/>
    <w:rsid w:val="009E38F9"/>
    <w:rsid w:val="009E3BA7"/>
    <w:rsid w:val="009E416E"/>
    <w:rsid w:val="009E41A6"/>
    <w:rsid w:val="009E42C6"/>
    <w:rsid w:val="009E481E"/>
    <w:rsid w:val="009E4846"/>
    <w:rsid w:val="009E498E"/>
    <w:rsid w:val="009E4AF4"/>
    <w:rsid w:val="009E4BE9"/>
    <w:rsid w:val="009E4E15"/>
    <w:rsid w:val="009E4E69"/>
    <w:rsid w:val="009E5004"/>
    <w:rsid w:val="009E5009"/>
    <w:rsid w:val="009E526A"/>
    <w:rsid w:val="009E534F"/>
    <w:rsid w:val="009E577E"/>
    <w:rsid w:val="009E57BE"/>
    <w:rsid w:val="009E5895"/>
    <w:rsid w:val="009E58F5"/>
    <w:rsid w:val="009E5A12"/>
    <w:rsid w:val="009E5AFC"/>
    <w:rsid w:val="009E6066"/>
    <w:rsid w:val="009E61B6"/>
    <w:rsid w:val="009E627D"/>
    <w:rsid w:val="009E63CC"/>
    <w:rsid w:val="009E6424"/>
    <w:rsid w:val="009E644C"/>
    <w:rsid w:val="009E650F"/>
    <w:rsid w:val="009E66F2"/>
    <w:rsid w:val="009E6743"/>
    <w:rsid w:val="009E689E"/>
    <w:rsid w:val="009E693A"/>
    <w:rsid w:val="009E6987"/>
    <w:rsid w:val="009E6AB7"/>
    <w:rsid w:val="009E6B8D"/>
    <w:rsid w:val="009E7058"/>
    <w:rsid w:val="009E722C"/>
    <w:rsid w:val="009E7439"/>
    <w:rsid w:val="009E7677"/>
    <w:rsid w:val="009E77F7"/>
    <w:rsid w:val="009E7943"/>
    <w:rsid w:val="009E7981"/>
    <w:rsid w:val="009F0008"/>
    <w:rsid w:val="009F0023"/>
    <w:rsid w:val="009F01B1"/>
    <w:rsid w:val="009F0222"/>
    <w:rsid w:val="009F0465"/>
    <w:rsid w:val="009F0619"/>
    <w:rsid w:val="009F076F"/>
    <w:rsid w:val="009F0F88"/>
    <w:rsid w:val="009F0FBE"/>
    <w:rsid w:val="009F103C"/>
    <w:rsid w:val="009F12D6"/>
    <w:rsid w:val="009F1398"/>
    <w:rsid w:val="009F1479"/>
    <w:rsid w:val="009F1490"/>
    <w:rsid w:val="009F14B2"/>
    <w:rsid w:val="009F1533"/>
    <w:rsid w:val="009F1698"/>
    <w:rsid w:val="009F17A8"/>
    <w:rsid w:val="009F1B9B"/>
    <w:rsid w:val="009F1B9C"/>
    <w:rsid w:val="009F1F49"/>
    <w:rsid w:val="009F2154"/>
    <w:rsid w:val="009F2220"/>
    <w:rsid w:val="009F23EC"/>
    <w:rsid w:val="009F2580"/>
    <w:rsid w:val="009F2868"/>
    <w:rsid w:val="009F28B6"/>
    <w:rsid w:val="009F2990"/>
    <w:rsid w:val="009F2A4A"/>
    <w:rsid w:val="009F2AF1"/>
    <w:rsid w:val="009F2C5C"/>
    <w:rsid w:val="009F2F58"/>
    <w:rsid w:val="009F30CD"/>
    <w:rsid w:val="009F3226"/>
    <w:rsid w:val="009F32F2"/>
    <w:rsid w:val="009F33EC"/>
    <w:rsid w:val="009F357E"/>
    <w:rsid w:val="009F365E"/>
    <w:rsid w:val="009F38FA"/>
    <w:rsid w:val="009F396E"/>
    <w:rsid w:val="009F39A9"/>
    <w:rsid w:val="009F3DE6"/>
    <w:rsid w:val="009F3E4E"/>
    <w:rsid w:val="009F4208"/>
    <w:rsid w:val="009F4347"/>
    <w:rsid w:val="009F4597"/>
    <w:rsid w:val="009F482B"/>
    <w:rsid w:val="009F492D"/>
    <w:rsid w:val="009F4E0F"/>
    <w:rsid w:val="009F4EDB"/>
    <w:rsid w:val="009F4FF4"/>
    <w:rsid w:val="009F509E"/>
    <w:rsid w:val="009F5147"/>
    <w:rsid w:val="009F530D"/>
    <w:rsid w:val="009F53BD"/>
    <w:rsid w:val="009F544C"/>
    <w:rsid w:val="009F5556"/>
    <w:rsid w:val="009F55AD"/>
    <w:rsid w:val="009F56FA"/>
    <w:rsid w:val="009F57AE"/>
    <w:rsid w:val="009F5807"/>
    <w:rsid w:val="009F599D"/>
    <w:rsid w:val="009F5ACA"/>
    <w:rsid w:val="009F5CF6"/>
    <w:rsid w:val="009F608C"/>
    <w:rsid w:val="009F6102"/>
    <w:rsid w:val="009F62DD"/>
    <w:rsid w:val="009F6448"/>
    <w:rsid w:val="009F6465"/>
    <w:rsid w:val="009F6676"/>
    <w:rsid w:val="009F675D"/>
    <w:rsid w:val="009F6A46"/>
    <w:rsid w:val="009F6D0D"/>
    <w:rsid w:val="009F6F4C"/>
    <w:rsid w:val="009F7031"/>
    <w:rsid w:val="009F7097"/>
    <w:rsid w:val="009F709D"/>
    <w:rsid w:val="009F7186"/>
    <w:rsid w:val="009F7249"/>
    <w:rsid w:val="009F75A8"/>
    <w:rsid w:val="009F7780"/>
    <w:rsid w:val="009F77B7"/>
    <w:rsid w:val="009F7B6E"/>
    <w:rsid w:val="009F7BBD"/>
    <w:rsid w:val="009F7F68"/>
    <w:rsid w:val="009F7FB3"/>
    <w:rsid w:val="00A000EB"/>
    <w:rsid w:val="00A001F8"/>
    <w:rsid w:val="00A00208"/>
    <w:rsid w:val="00A0022C"/>
    <w:rsid w:val="00A003B4"/>
    <w:rsid w:val="00A006D8"/>
    <w:rsid w:val="00A00834"/>
    <w:rsid w:val="00A00866"/>
    <w:rsid w:val="00A008E4"/>
    <w:rsid w:val="00A009B7"/>
    <w:rsid w:val="00A00EC0"/>
    <w:rsid w:val="00A00FD2"/>
    <w:rsid w:val="00A0103F"/>
    <w:rsid w:val="00A01265"/>
    <w:rsid w:val="00A0153E"/>
    <w:rsid w:val="00A01691"/>
    <w:rsid w:val="00A017A3"/>
    <w:rsid w:val="00A019B7"/>
    <w:rsid w:val="00A01F47"/>
    <w:rsid w:val="00A0223F"/>
    <w:rsid w:val="00A02382"/>
    <w:rsid w:val="00A02529"/>
    <w:rsid w:val="00A0259D"/>
    <w:rsid w:val="00A02727"/>
    <w:rsid w:val="00A02879"/>
    <w:rsid w:val="00A02997"/>
    <w:rsid w:val="00A0299A"/>
    <w:rsid w:val="00A02A41"/>
    <w:rsid w:val="00A02A84"/>
    <w:rsid w:val="00A02AA6"/>
    <w:rsid w:val="00A02C78"/>
    <w:rsid w:val="00A02D0B"/>
    <w:rsid w:val="00A02E22"/>
    <w:rsid w:val="00A02F5A"/>
    <w:rsid w:val="00A03248"/>
    <w:rsid w:val="00A03294"/>
    <w:rsid w:val="00A03521"/>
    <w:rsid w:val="00A03531"/>
    <w:rsid w:val="00A03577"/>
    <w:rsid w:val="00A037D1"/>
    <w:rsid w:val="00A037FC"/>
    <w:rsid w:val="00A0392E"/>
    <w:rsid w:val="00A0393D"/>
    <w:rsid w:val="00A03A54"/>
    <w:rsid w:val="00A03D89"/>
    <w:rsid w:val="00A03F74"/>
    <w:rsid w:val="00A0402A"/>
    <w:rsid w:val="00A0435F"/>
    <w:rsid w:val="00A0463A"/>
    <w:rsid w:val="00A04664"/>
    <w:rsid w:val="00A046F1"/>
    <w:rsid w:val="00A04702"/>
    <w:rsid w:val="00A0485A"/>
    <w:rsid w:val="00A0487C"/>
    <w:rsid w:val="00A048A5"/>
    <w:rsid w:val="00A04991"/>
    <w:rsid w:val="00A04A62"/>
    <w:rsid w:val="00A04B53"/>
    <w:rsid w:val="00A04D3C"/>
    <w:rsid w:val="00A04D65"/>
    <w:rsid w:val="00A04E6C"/>
    <w:rsid w:val="00A04F6C"/>
    <w:rsid w:val="00A0527B"/>
    <w:rsid w:val="00A052E7"/>
    <w:rsid w:val="00A05670"/>
    <w:rsid w:val="00A057CA"/>
    <w:rsid w:val="00A058FE"/>
    <w:rsid w:val="00A05D48"/>
    <w:rsid w:val="00A05FAC"/>
    <w:rsid w:val="00A05FB9"/>
    <w:rsid w:val="00A06784"/>
    <w:rsid w:val="00A0685B"/>
    <w:rsid w:val="00A068F1"/>
    <w:rsid w:val="00A06920"/>
    <w:rsid w:val="00A06932"/>
    <w:rsid w:val="00A06974"/>
    <w:rsid w:val="00A06975"/>
    <w:rsid w:val="00A06A89"/>
    <w:rsid w:val="00A06AD4"/>
    <w:rsid w:val="00A06B79"/>
    <w:rsid w:val="00A06BAF"/>
    <w:rsid w:val="00A06C12"/>
    <w:rsid w:val="00A06C3C"/>
    <w:rsid w:val="00A06CE7"/>
    <w:rsid w:val="00A06D41"/>
    <w:rsid w:val="00A070DB"/>
    <w:rsid w:val="00A07123"/>
    <w:rsid w:val="00A07304"/>
    <w:rsid w:val="00A075BC"/>
    <w:rsid w:val="00A07714"/>
    <w:rsid w:val="00A07753"/>
    <w:rsid w:val="00A07765"/>
    <w:rsid w:val="00A07D7D"/>
    <w:rsid w:val="00A07E08"/>
    <w:rsid w:val="00A10185"/>
    <w:rsid w:val="00A101A4"/>
    <w:rsid w:val="00A102B6"/>
    <w:rsid w:val="00A105B1"/>
    <w:rsid w:val="00A105BE"/>
    <w:rsid w:val="00A106ED"/>
    <w:rsid w:val="00A1083F"/>
    <w:rsid w:val="00A10950"/>
    <w:rsid w:val="00A10A71"/>
    <w:rsid w:val="00A10C6D"/>
    <w:rsid w:val="00A10F13"/>
    <w:rsid w:val="00A10F2E"/>
    <w:rsid w:val="00A11018"/>
    <w:rsid w:val="00A110C3"/>
    <w:rsid w:val="00A1117E"/>
    <w:rsid w:val="00A1127E"/>
    <w:rsid w:val="00A114BC"/>
    <w:rsid w:val="00A11515"/>
    <w:rsid w:val="00A116D8"/>
    <w:rsid w:val="00A117A9"/>
    <w:rsid w:val="00A117ED"/>
    <w:rsid w:val="00A11F0C"/>
    <w:rsid w:val="00A122F0"/>
    <w:rsid w:val="00A12364"/>
    <w:rsid w:val="00A123A1"/>
    <w:rsid w:val="00A1280E"/>
    <w:rsid w:val="00A12818"/>
    <w:rsid w:val="00A12A17"/>
    <w:rsid w:val="00A12AD5"/>
    <w:rsid w:val="00A12C5E"/>
    <w:rsid w:val="00A1302B"/>
    <w:rsid w:val="00A130AC"/>
    <w:rsid w:val="00A132FB"/>
    <w:rsid w:val="00A1352F"/>
    <w:rsid w:val="00A136AB"/>
    <w:rsid w:val="00A137E5"/>
    <w:rsid w:val="00A138BD"/>
    <w:rsid w:val="00A13DA1"/>
    <w:rsid w:val="00A141C1"/>
    <w:rsid w:val="00A14436"/>
    <w:rsid w:val="00A14449"/>
    <w:rsid w:val="00A14476"/>
    <w:rsid w:val="00A14525"/>
    <w:rsid w:val="00A14575"/>
    <w:rsid w:val="00A14637"/>
    <w:rsid w:val="00A14677"/>
    <w:rsid w:val="00A14B41"/>
    <w:rsid w:val="00A14B55"/>
    <w:rsid w:val="00A14CC5"/>
    <w:rsid w:val="00A14DD5"/>
    <w:rsid w:val="00A14F26"/>
    <w:rsid w:val="00A14F86"/>
    <w:rsid w:val="00A151DC"/>
    <w:rsid w:val="00A15344"/>
    <w:rsid w:val="00A15401"/>
    <w:rsid w:val="00A1578F"/>
    <w:rsid w:val="00A157E0"/>
    <w:rsid w:val="00A15964"/>
    <w:rsid w:val="00A159AD"/>
    <w:rsid w:val="00A15A16"/>
    <w:rsid w:val="00A15AB3"/>
    <w:rsid w:val="00A15BD4"/>
    <w:rsid w:val="00A15C3B"/>
    <w:rsid w:val="00A15E95"/>
    <w:rsid w:val="00A15EBD"/>
    <w:rsid w:val="00A16016"/>
    <w:rsid w:val="00A160CD"/>
    <w:rsid w:val="00A16296"/>
    <w:rsid w:val="00A162B7"/>
    <w:rsid w:val="00A16666"/>
    <w:rsid w:val="00A16A42"/>
    <w:rsid w:val="00A16B7A"/>
    <w:rsid w:val="00A16D90"/>
    <w:rsid w:val="00A16F44"/>
    <w:rsid w:val="00A177CF"/>
    <w:rsid w:val="00A1780D"/>
    <w:rsid w:val="00A179F4"/>
    <w:rsid w:val="00A17A44"/>
    <w:rsid w:val="00A17B0F"/>
    <w:rsid w:val="00A17B7A"/>
    <w:rsid w:val="00A17CD3"/>
    <w:rsid w:val="00A17D60"/>
    <w:rsid w:val="00A17F4E"/>
    <w:rsid w:val="00A20135"/>
    <w:rsid w:val="00A2060F"/>
    <w:rsid w:val="00A207B6"/>
    <w:rsid w:val="00A2083C"/>
    <w:rsid w:val="00A20AEB"/>
    <w:rsid w:val="00A20B47"/>
    <w:rsid w:val="00A20BFB"/>
    <w:rsid w:val="00A20D4B"/>
    <w:rsid w:val="00A20DAF"/>
    <w:rsid w:val="00A20F0D"/>
    <w:rsid w:val="00A210EA"/>
    <w:rsid w:val="00A212DB"/>
    <w:rsid w:val="00A21366"/>
    <w:rsid w:val="00A215A8"/>
    <w:rsid w:val="00A218F0"/>
    <w:rsid w:val="00A21A06"/>
    <w:rsid w:val="00A21A8C"/>
    <w:rsid w:val="00A21BD2"/>
    <w:rsid w:val="00A22045"/>
    <w:rsid w:val="00A222E9"/>
    <w:rsid w:val="00A2231B"/>
    <w:rsid w:val="00A22342"/>
    <w:rsid w:val="00A22393"/>
    <w:rsid w:val="00A2257E"/>
    <w:rsid w:val="00A228C2"/>
    <w:rsid w:val="00A22A2E"/>
    <w:rsid w:val="00A22AEB"/>
    <w:rsid w:val="00A2315E"/>
    <w:rsid w:val="00A23372"/>
    <w:rsid w:val="00A233B0"/>
    <w:rsid w:val="00A235B6"/>
    <w:rsid w:val="00A2362D"/>
    <w:rsid w:val="00A2371A"/>
    <w:rsid w:val="00A23EB9"/>
    <w:rsid w:val="00A23EC7"/>
    <w:rsid w:val="00A24137"/>
    <w:rsid w:val="00A242A5"/>
    <w:rsid w:val="00A244A7"/>
    <w:rsid w:val="00A244C9"/>
    <w:rsid w:val="00A244FE"/>
    <w:rsid w:val="00A24556"/>
    <w:rsid w:val="00A24617"/>
    <w:rsid w:val="00A246EE"/>
    <w:rsid w:val="00A24962"/>
    <w:rsid w:val="00A24A32"/>
    <w:rsid w:val="00A25104"/>
    <w:rsid w:val="00A2529C"/>
    <w:rsid w:val="00A252B3"/>
    <w:rsid w:val="00A25311"/>
    <w:rsid w:val="00A2532D"/>
    <w:rsid w:val="00A253D7"/>
    <w:rsid w:val="00A25408"/>
    <w:rsid w:val="00A254BC"/>
    <w:rsid w:val="00A2563F"/>
    <w:rsid w:val="00A25674"/>
    <w:rsid w:val="00A25751"/>
    <w:rsid w:val="00A258DC"/>
    <w:rsid w:val="00A25CC7"/>
    <w:rsid w:val="00A25CFC"/>
    <w:rsid w:val="00A25DD8"/>
    <w:rsid w:val="00A25F2A"/>
    <w:rsid w:val="00A25F86"/>
    <w:rsid w:val="00A25FB2"/>
    <w:rsid w:val="00A263A0"/>
    <w:rsid w:val="00A26494"/>
    <w:rsid w:val="00A264DD"/>
    <w:rsid w:val="00A266ED"/>
    <w:rsid w:val="00A26776"/>
    <w:rsid w:val="00A26BF0"/>
    <w:rsid w:val="00A26D08"/>
    <w:rsid w:val="00A26D46"/>
    <w:rsid w:val="00A27394"/>
    <w:rsid w:val="00A273BE"/>
    <w:rsid w:val="00A27443"/>
    <w:rsid w:val="00A278BD"/>
    <w:rsid w:val="00A27A18"/>
    <w:rsid w:val="00A27AAA"/>
    <w:rsid w:val="00A27AE3"/>
    <w:rsid w:val="00A27B5D"/>
    <w:rsid w:val="00A27E09"/>
    <w:rsid w:val="00A30001"/>
    <w:rsid w:val="00A301B6"/>
    <w:rsid w:val="00A30205"/>
    <w:rsid w:val="00A303F8"/>
    <w:rsid w:val="00A3040F"/>
    <w:rsid w:val="00A30497"/>
    <w:rsid w:val="00A3056A"/>
    <w:rsid w:val="00A305A7"/>
    <w:rsid w:val="00A306CE"/>
    <w:rsid w:val="00A306F4"/>
    <w:rsid w:val="00A30736"/>
    <w:rsid w:val="00A3078E"/>
    <w:rsid w:val="00A30A10"/>
    <w:rsid w:val="00A30F71"/>
    <w:rsid w:val="00A3102C"/>
    <w:rsid w:val="00A31030"/>
    <w:rsid w:val="00A3106D"/>
    <w:rsid w:val="00A310B6"/>
    <w:rsid w:val="00A311DB"/>
    <w:rsid w:val="00A31408"/>
    <w:rsid w:val="00A3156C"/>
    <w:rsid w:val="00A31579"/>
    <w:rsid w:val="00A31625"/>
    <w:rsid w:val="00A31846"/>
    <w:rsid w:val="00A319D2"/>
    <w:rsid w:val="00A31B8C"/>
    <w:rsid w:val="00A31D1B"/>
    <w:rsid w:val="00A31D6C"/>
    <w:rsid w:val="00A31EE9"/>
    <w:rsid w:val="00A323F3"/>
    <w:rsid w:val="00A324ED"/>
    <w:rsid w:val="00A32784"/>
    <w:rsid w:val="00A32A64"/>
    <w:rsid w:val="00A32CD3"/>
    <w:rsid w:val="00A330BF"/>
    <w:rsid w:val="00A33107"/>
    <w:rsid w:val="00A331A2"/>
    <w:rsid w:val="00A33257"/>
    <w:rsid w:val="00A3333A"/>
    <w:rsid w:val="00A33365"/>
    <w:rsid w:val="00A333DD"/>
    <w:rsid w:val="00A33418"/>
    <w:rsid w:val="00A334B5"/>
    <w:rsid w:val="00A3354E"/>
    <w:rsid w:val="00A3363C"/>
    <w:rsid w:val="00A337EF"/>
    <w:rsid w:val="00A338CF"/>
    <w:rsid w:val="00A33A87"/>
    <w:rsid w:val="00A33A8B"/>
    <w:rsid w:val="00A33D6C"/>
    <w:rsid w:val="00A33D9C"/>
    <w:rsid w:val="00A33DDC"/>
    <w:rsid w:val="00A33E2C"/>
    <w:rsid w:val="00A33F41"/>
    <w:rsid w:val="00A3418E"/>
    <w:rsid w:val="00A341F7"/>
    <w:rsid w:val="00A3449A"/>
    <w:rsid w:val="00A344EC"/>
    <w:rsid w:val="00A34510"/>
    <w:rsid w:val="00A345ED"/>
    <w:rsid w:val="00A346C5"/>
    <w:rsid w:val="00A346ED"/>
    <w:rsid w:val="00A3471A"/>
    <w:rsid w:val="00A348A1"/>
    <w:rsid w:val="00A349CB"/>
    <w:rsid w:val="00A34AC2"/>
    <w:rsid w:val="00A34DF9"/>
    <w:rsid w:val="00A34EFE"/>
    <w:rsid w:val="00A3507A"/>
    <w:rsid w:val="00A350B4"/>
    <w:rsid w:val="00A35569"/>
    <w:rsid w:val="00A35698"/>
    <w:rsid w:val="00A356F3"/>
    <w:rsid w:val="00A3582F"/>
    <w:rsid w:val="00A35923"/>
    <w:rsid w:val="00A35970"/>
    <w:rsid w:val="00A35AC3"/>
    <w:rsid w:val="00A35B9F"/>
    <w:rsid w:val="00A35C98"/>
    <w:rsid w:val="00A35F9E"/>
    <w:rsid w:val="00A361BD"/>
    <w:rsid w:val="00A36763"/>
    <w:rsid w:val="00A3684D"/>
    <w:rsid w:val="00A36BE5"/>
    <w:rsid w:val="00A36C89"/>
    <w:rsid w:val="00A36CE6"/>
    <w:rsid w:val="00A36CF0"/>
    <w:rsid w:val="00A370C7"/>
    <w:rsid w:val="00A370DF"/>
    <w:rsid w:val="00A3736C"/>
    <w:rsid w:val="00A373A6"/>
    <w:rsid w:val="00A37419"/>
    <w:rsid w:val="00A37850"/>
    <w:rsid w:val="00A37A44"/>
    <w:rsid w:val="00A37B8C"/>
    <w:rsid w:val="00A37C6D"/>
    <w:rsid w:val="00A37F6B"/>
    <w:rsid w:val="00A40360"/>
    <w:rsid w:val="00A404C1"/>
    <w:rsid w:val="00A40521"/>
    <w:rsid w:val="00A40560"/>
    <w:rsid w:val="00A405AB"/>
    <w:rsid w:val="00A4077C"/>
    <w:rsid w:val="00A40835"/>
    <w:rsid w:val="00A40844"/>
    <w:rsid w:val="00A408D1"/>
    <w:rsid w:val="00A408D3"/>
    <w:rsid w:val="00A40A64"/>
    <w:rsid w:val="00A40BCA"/>
    <w:rsid w:val="00A40E5F"/>
    <w:rsid w:val="00A40EBA"/>
    <w:rsid w:val="00A40EFC"/>
    <w:rsid w:val="00A4137C"/>
    <w:rsid w:val="00A418F7"/>
    <w:rsid w:val="00A41B29"/>
    <w:rsid w:val="00A41BC1"/>
    <w:rsid w:val="00A41DC6"/>
    <w:rsid w:val="00A42083"/>
    <w:rsid w:val="00A421BA"/>
    <w:rsid w:val="00A424F1"/>
    <w:rsid w:val="00A42608"/>
    <w:rsid w:val="00A4266A"/>
    <w:rsid w:val="00A426DC"/>
    <w:rsid w:val="00A4286F"/>
    <w:rsid w:val="00A42895"/>
    <w:rsid w:val="00A42B78"/>
    <w:rsid w:val="00A42DBB"/>
    <w:rsid w:val="00A42FE8"/>
    <w:rsid w:val="00A4317B"/>
    <w:rsid w:val="00A431DB"/>
    <w:rsid w:val="00A431FA"/>
    <w:rsid w:val="00A43243"/>
    <w:rsid w:val="00A4341C"/>
    <w:rsid w:val="00A43AE2"/>
    <w:rsid w:val="00A43C70"/>
    <w:rsid w:val="00A43EEE"/>
    <w:rsid w:val="00A440F9"/>
    <w:rsid w:val="00A442AF"/>
    <w:rsid w:val="00A44403"/>
    <w:rsid w:val="00A44744"/>
    <w:rsid w:val="00A44859"/>
    <w:rsid w:val="00A448A6"/>
    <w:rsid w:val="00A44C26"/>
    <w:rsid w:val="00A44D76"/>
    <w:rsid w:val="00A44E98"/>
    <w:rsid w:val="00A44F36"/>
    <w:rsid w:val="00A4527B"/>
    <w:rsid w:val="00A45562"/>
    <w:rsid w:val="00A4562F"/>
    <w:rsid w:val="00A456F2"/>
    <w:rsid w:val="00A45813"/>
    <w:rsid w:val="00A45913"/>
    <w:rsid w:val="00A45942"/>
    <w:rsid w:val="00A45A56"/>
    <w:rsid w:val="00A45BA8"/>
    <w:rsid w:val="00A45C5A"/>
    <w:rsid w:val="00A45D61"/>
    <w:rsid w:val="00A460AE"/>
    <w:rsid w:val="00A460EF"/>
    <w:rsid w:val="00A46244"/>
    <w:rsid w:val="00A462A0"/>
    <w:rsid w:val="00A466DA"/>
    <w:rsid w:val="00A46820"/>
    <w:rsid w:val="00A46822"/>
    <w:rsid w:val="00A4686B"/>
    <w:rsid w:val="00A46903"/>
    <w:rsid w:val="00A46ACD"/>
    <w:rsid w:val="00A46CBF"/>
    <w:rsid w:val="00A46FE9"/>
    <w:rsid w:val="00A47385"/>
    <w:rsid w:val="00A473AD"/>
    <w:rsid w:val="00A47A45"/>
    <w:rsid w:val="00A47D23"/>
    <w:rsid w:val="00A47DD3"/>
    <w:rsid w:val="00A47E09"/>
    <w:rsid w:val="00A50031"/>
    <w:rsid w:val="00A500AE"/>
    <w:rsid w:val="00A50314"/>
    <w:rsid w:val="00A503CE"/>
    <w:rsid w:val="00A50612"/>
    <w:rsid w:val="00A5068B"/>
    <w:rsid w:val="00A506AF"/>
    <w:rsid w:val="00A506BA"/>
    <w:rsid w:val="00A50836"/>
    <w:rsid w:val="00A5096E"/>
    <w:rsid w:val="00A50FBF"/>
    <w:rsid w:val="00A51056"/>
    <w:rsid w:val="00A51585"/>
    <w:rsid w:val="00A51687"/>
    <w:rsid w:val="00A516CF"/>
    <w:rsid w:val="00A5197B"/>
    <w:rsid w:val="00A51B87"/>
    <w:rsid w:val="00A51D54"/>
    <w:rsid w:val="00A51DA1"/>
    <w:rsid w:val="00A51E25"/>
    <w:rsid w:val="00A51F0D"/>
    <w:rsid w:val="00A52059"/>
    <w:rsid w:val="00A5207B"/>
    <w:rsid w:val="00A52135"/>
    <w:rsid w:val="00A52201"/>
    <w:rsid w:val="00A524CE"/>
    <w:rsid w:val="00A52761"/>
    <w:rsid w:val="00A52766"/>
    <w:rsid w:val="00A5288B"/>
    <w:rsid w:val="00A528A2"/>
    <w:rsid w:val="00A52B73"/>
    <w:rsid w:val="00A52CB6"/>
    <w:rsid w:val="00A52D8D"/>
    <w:rsid w:val="00A52DDB"/>
    <w:rsid w:val="00A52DFF"/>
    <w:rsid w:val="00A53042"/>
    <w:rsid w:val="00A53107"/>
    <w:rsid w:val="00A533F2"/>
    <w:rsid w:val="00A53411"/>
    <w:rsid w:val="00A53453"/>
    <w:rsid w:val="00A534BA"/>
    <w:rsid w:val="00A53510"/>
    <w:rsid w:val="00A53881"/>
    <w:rsid w:val="00A53994"/>
    <w:rsid w:val="00A53AFB"/>
    <w:rsid w:val="00A53B5B"/>
    <w:rsid w:val="00A53CD0"/>
    <w:rsid w:val="00A53DC1"/>
    <w:rsid w:val="00A53E04"/>
    <w:rsid w:val="00A53EA1"/>
    <w:rsid w:val="00A53EE1"/>
    <w:rsid w:val="00A53F2A"/>
    <w:rsid w:val="00A5426B"/>
    <w:rsid w:val="00A54327"/>
    <w:rsid w:val="00A5438D"/>
    <w:rsid w:val="00A543F1"/>
    <w:rsid w:val="00A5473B"/>
    <w:rsid w:val="00A54792"/>
    <w:rsid w:val="00A54A81"/>
    <w:rsid w:val="00A54AB8"/>
    <w:rsid w:val="00A54CCC"/>
    <w:rsid w:val="00A54E90"/>
    <w:rsid w:val="00A54EF9"/>
    <w:rsid w:val="00A54F45"/>
    <w:rsid w:val="00A551AF"/>
    <w:rsid w:val="00A55227"/>
    <w:rsid w:val="00A55236"/>
    <w:rsid w:val="00A55351"/>
    <w:rsid w:val="00A5538D"/>
    <w:rsid w:val="00A553E1"/>
    <w:rsid w:val="00A556BD"/>
    <w:rsid w:val="00A5577B"/>
    <w:rsid w:val="00A55A40"/>
    <w:rsid w:val="00A55B7B"/>
    <w:rsid w:val="00A55BB9"/>
    <w:rsid w:val="00A55ED4"/>
    <w:rsid w:val="00A55FFA"/>
    <w:rsid w:val="00A561A7"/>
    <w:rsid w:val="00A56288"/>
    <w:rsid w:val="00A5639A"/>
    <w:rsid w:val="00A563A5"/>
    <w:rsid w:val="00A564EC"/>
    <w:rsid w:val="00A566FB"/>
    <w:rsid w:val="00A56828"/>
    <w:rsid w:val="00A568B3"/>
    <w:rsid w:val="00A56F01"/>
    <w:rsid w:val="00A56F23"/>
    <w:rsid w:val="00A57033"/>
    <w:rsid w:val="00A5705F"/>
    <w:rsid w:val="00A5707E"/>
    <w:rsid w:val="00A572C3"/>
    <w:rsid w:val="00A579C7"/>
    <w:rsid w:val="00A57ACF"/>
    <w:rsid w:val="00A57C0D"/>
    <w:rsid w:val="00A57C4D"/>
    <w:rsid w:val="00A60054"/>
    <w:rsid w:val="00A60177"/>
    <w:rsid w:val="00A601F0"/>
    <w:rsid w:val="00A602E7"/>
    <w:rsid w:val="00A602F8"/>
    <w:rsid w:val="00A6037D"/>
    <w:rsid w:val="00A60447"/>
    <w:rsid w:val="00A604A8"/>
    <w:rsid w:val="00A6055F"/>
    <w:rsid w:val="00A605AB"/>
    <w:rsid w:val="00A605C8"/>
    <w:rsid w:val="00A608F6"/>
    <w:rsid w:val="00A60B59"/>
    <w:rsid w:val="00A60C67"/>
    <w:rsid w:val="00A60DC1"/>
    <w:rsid w:val="00A60DC2"/>
    <w:rsid w:val="00A60E18"/>
    <w:rsid w:val="00A60E3A"/>
    <w:rsid w:val="00A60EF5"/>
    <w:rsid w:val="00A617D7"/>
    <w:rsid w:val="00A61896"/>
    <w:rsid w:val="00A61B43"/>
    <w:rsid w:val="00A61B9A"/>
    <w:rsid w:val="00A61BCD"/>
    <w:rsid w:val="00A61F18"/>
    <w:rsid w:val="00A61F89"/>
    <w:rsid w:val="00A62179"/>
    <w:rsid w:val="00A621F4"/>
    <w:rsid w:val="00A6252C"/>
    <w:rsid w:val="00A62600"/>
    <w:rsid w:val="00A627B5"/>
    <w:rsid w:val="00A62A3E"/>
    <w:rsid w:val="00A63186"/>
    <w:rsid w:val="00A63195"/>
    <w:rsid w:val="00A632C7"/>
    <w:rsid w:val="00A6347B"/>
    <w:rsid w:val="00A6364B"/>
    <w:rsid w:val="00A63800"/>
    <w:rsid w:val="00A63842"/>
    <w:rsid w:val="00A63B8B"/>
    <w:rsid w:val="00A63C86"/>
    <w:rsid w:val="00A63D7A"/>
    <w:rsid w:val="00A63E15"/>
    <w:rsid w:val="00A64215"/>
    <w:rsid w:val="00A6447D"/>
    <w:rsid w:val="00A645F3"/>
    <w:rsid w:val="00A64605"/>
    <w:rsid w:val="00A64645"/>
    <w:rsid w:val="00A64929"/>
    <w:rsid w:val="00A64AC7"/>
    <w:rsid w:val="00A64B40"/>
    <w:rsid w:val="00A64D48"/>
    <w:rsid w:val="00A64E15"/>
    <w:rsid w:val="00A64E70"/>
    <w:rsid w:val="00A6525F"/>
    <w:rsid w:val="00A653AA"/>
    <w:rsid w:val="00A656DE"/>
    <w:rsid w:val="00A6581E"/>
    <w:rsid w:val="00A65A51"/>
    <w:rsid w:val="00A65A98"/>
    <w:rsid w:val="00A65FCE"/>
    <w:rsid w:val="00A663C6"/>
    <w:rsid w:val="00A66400"/>
    <w:rsid w:val="00A6657B"/>
    <w:rsid w:val="00A66903"/>
    <w:rsid w:val="00A6697E"/>
    <w:rsid w:val="00A669AA"/>
    <w:rsid w:val="00A66A69"/>
    <w:rsid w:val="00A66B8A"/>
    <w:rsid w:val="00A66C38"/>
    <w:rsid w:val="00A66D5D"/>
    <w:rsid w:val="00A66FB4"/>
    <w:rsid w:val="00A670D0"/>
    <w:rsid w:val="00A671DE"/>
    <w:rsid w:val="00A673FB"/>
    <w:rsid w:val="00A67700"/>
    <w:rsid w:val="00A6794D"/>
    <w:rsid w:val="00A67B39"/>
    <w:rsid w:val="00A67FC4"/>
    <w:rsid w:val="00A700E1"/>
    <w:rsid w:val="00A701E5"/>
    <w:rsid w:val="00A70343"/>
    <w:rsid w:val="00A706D2"/>
    <w:rsid w:val="00A7075E"/>
    <w:rsid w:val="00A70AD8"/>
    <w:rsid w:val="00A70BB0"/>
    <w:rsid w:val="00A70E20"/>
    <w:rsid w:val="00A70F64"/>
    <w:rsid w:val="00A71027"/>
    <w:rsid w:val="00A714C2"/>
    <w:rsid w:val="00A716E6"/>
    <w:rsid w:val="00A7180D"/>
    <w:rsid w:val="00A71836"/>
    <w:rsid w:val="00A718D6"/>
    <w:rsid w:val="00A71A61"/>
    <w:rsid w:val="00A71F8B"/>
    <w:rsid w:val="00A721BD"/>
    <w:rsid w:val="00A723C2"/>
    <w:rsid w:val="00A7251A"/>
    <w:rsid w:val="00A7254D"/>
    <w:rsid w:val="00A72809"/>
    <w:rsid w:val="00A72988"/>
    <w:rsid w:val="00A72A2A"/>
    <w:rsid w:val="00A72E0F"/>
    <w:rsid w:val="00A73287"/>
    <w:rsid w:val="00A7334B"/>
    <w:rsid w:val="00A735BD"/>
    <w:rsid w:val="00A735CE"/>
    <w:rsid w:val="00A736C5"/>
    <w:rsid w:val="00A737F5"/>
    <w:rsid w:val="00A7381E"/>
    <w:rsid w:val="00A738DB"/>
    <w:rsid w:val="00A73A38"/>
    <w:rsid w:val="00A73C17"/>
    <w:rsid w:val="00A73CBB"/>
    <w:rsid w:val="00A73D20"/>
    <w:rsid w:val="00A73E20"/>
    <w:rsid w:val="00A73E53"/>
    <w:rsid w:val="00A73F45"/>
    <w:rsid w:val="00A73FE5"/>
    <w:rsid w:val="00A74010"/>
    <w:rsid w:val="00A74015"/>
    <w:rsid w:val="00A7403F"/>
    <w:rsid w:val="00A74181"/>
    <w:rsid w:val="00A742B2"/>
    <w:rsid w:val="00A742C6"/>
    <w:rsid w:val="00A7442A"/>
    <w:rsid w:val="00A745DE"/>
    <w:rsid w:val="00A74667"/>
    <w:rsid w:val="00A74669"/>
    <w:rsid w:val="00A74709"/>
    <w:rsid w:val="00A74731"/>
    <w:rsid w:val="00A74771"/>
    <w:rsid w:val="00A7482C"/>
    <w:rsid w:val="00A74BBD"/>
    <w:rsid w:val="00A74BF7"/>
    <w:rsid w:val="00A751B8"/>
    <w:rsid w:val="00A751D0"/>
    <w:rsid w:val="00A752F7"/>
    <w:rsid w:val="00A754C1"/>
    <w:rsid w:val="00A7560A"/>
    <w:rsid w:val="00A759B9"/>
    <w:rsid w:val="00A75AC0"/>
    <w:rsid w:val="00A75C48"/>
    <w:rsid w:val="00A75D3D"/>
    <w:rsid w:val="00A75DB7"/>
    <w:rsid w:val="00A75DC0"/>
    <w:rsid w:val="00A75E35"/>
    <w:rsid w:val="00A75F4C"/>
    <w:rsid w:val="00A75FB6"/>
    <w:rsid w:val="00A75FBF"/>
    <w:rsid w:val="00A76145"/>
    <w:rsid w:val="00A761AA"/>
    <w:rsid w:val="00A7623B"/>
    <w:rsid w:val="00A766E3"/>
    <w:rsid w:val="00A768F0"/>
    <w:rsid w:val="00A76ADE"/>
    <w:rsid w:val="00A76DFF"/>
    <w:rsid w:val="00A76EE5"/>
    <w:rsid w:val="00A76F6C"/>
    <w:rsid w:val="00A76FCA"/>
    <w:rsid w:val="00A77011"/>
    <w:rsid w:val="00A770BF"/>
    <w:rsid w:val="00A7724D"/>
    <w:rsid w:val="00A7747E"/>
    <w:rsid w:val="00A77505"/>
    <w:rsid w:val="00A775D0"/>
    <w:rsid w:val="00A77712"/>
    <w:rsid w:val="00A778FE"/>
    <w:rsid w:val="00A779CE"/>
    <w:rsid w:val="00A77CEE"/>
    <w:rsid w:val="00A77DC7"/>
    <w:rsid w:val="00A77EF7"/>
    <w:rsid w:val="00A80579"/>
    <w:rsid w:val="00A805E7"/>
    <w:rsid w:val="00A8061A"/>
    <w:rsid w:val="00A80777"/>
    <w:rsid w:val="00A80873"/>
    <w:rsid w:val="00A80B24"/>
    <w:rsid w:val="00A80BBD"/>
    <w:rsid w:val="00A80CA9"/>
    <w:rsid w:val="00A80D82"/>
    <w:rsid w:val="00A80DC9"/>
    <w:rsid w:val="00A80E57"/>
    <w:rsid w:val="00A8138D"/>
    <w:rsid w:val="00A813D7"/>
    <w:rsid w:val="00A8164C"/>
    <w:rsid w:val="00A81705"/>
    <w:rsid w:val="00A81776"/>
    <w:rsid w:val="00A8185E"/>
    <w:rsid w:val="00A81AAA"/>
    <w:rsid w:val="00A81ABC"/>
    <w:rsid w:val="00A81BBC"/>
    <w:rsid w:val="00A81D2F"/>
    <w:rsid w:val="00A8201B"/>
    <w:rsid w:val="00A82074"/>
    <w:rsid w:val="00A82090"/>
    <w:rsid w:val="00A8210A"/>
    <w:rsid w:val="00A822C0"/>
    <w:rsid w:val="00A8256C"/>
    <w:rsid w:val="00A8265B"/>
    <w:rsid w:val="00A826AF"/>
    <w:rsid w:val="00A826C8"/>
    <w:rsid w:val="00A827AD"/>
    <w:rsid w:val="00A8289B"/>
    <w:rsid w:val="00A82AEC"/>
    <w:rsid w:val="00A82B3C"/>
    <w:rsid w:val="00A83A36"/>
    <w:rsid w:val="00A83AB2"/>
    <w:rsid w:val="00A84003"/>
    <w:rsid w:val="00A840B3"/>
    <w:rsid w:val="00A840D5"/>
    <w:rsid w:val="00A84145"/>
    <w:rsid w:val="00A842B6"/>
    <w:rsid w:val="00A842D9"/>
    <w:rsid w:val="00A842F9"/>
    <w:rsid w:val="00A84402"/>
    <w:rsid w:val="00A8478E"/>
    <w:rsid w:val="00A84899"/>
    <w:rsid w:val="00A84BFB"/>
    <w:rsid w:val="00A84C1E"/>
    <w:rsid w:val="00A84EDB"/>
    <w:rsid w:val="00A84F21"/>
    <w:rsid w:val="00A84F48"/>
    <w:rsid w:val="00A84F4A"/>
    <w:rsid w:val="00A84FF4"/>
    <w:rsid w:val="00A85036"/>
    <w:rsid w:val="00A850C8"/>
    <w:rsid w:val="00A850DB"/>
    <w:rsid w:val="00A85175"/>
    <w:rsid w:val="00A851AD"/>
    <w:rsid w:val="00A85233"/>
    <w:rsid w:val="00A85247"/>
    <w:rsid w:val="00A85393"/>
    <w:rsid w:val="00A855AB"/>
    <w:rsid w:val="00A856FC"/>
    <w:rsid w:val="00A85837"/>
    <w:rsid w:val="00A85A8B"/>
    <w:rsid w:val="00A85D7F"/>
    <w:rsid w:val="00A85D89"/>
    <w:rsid w:val="00A85EDB"/>
    <w:rsid w:val="00A860E0"/>
    <w:rsid w:val="00A863E2"/>
    <w:rsid w:val="00A866DB"/>
    <w:rsid w:val="00A86832"/>
    <w:rsid w:val="00A8697C"/>
    <w:rsid w:val="00A86A1B"/>
    <w:rsid w:val="00A86BC5"/>
    <w:rsid w:val="00A86E3F"/>
    <w:rsid w:val="00A86F31"/>
    <w:rsid w:val="00A8714C"/>
    <w:rsid w:val="00A871B5"/>
    <w:rsid w:val="00A874FE"/>
    <w:rsid w:val="00A875A8"/>
    <w:rsid w:val="00A8763C"/>
    <w:rsid w:val="00A8787E"/>
    <w:rsid w:val="00A8796A"/>
    <w:rsid w:val="00A879DD"/>
    <w:rsid w:val="00A87AEF"/>
    <w:rsid w:val="00A87F16"/>
    <w:rsid w:val="00A87FAD"/>
    <w:rsid w:val="00A87FCE"/>
    <w:rsid w:val="00A901A8"/>
    <w:rsid w:val="00A90352"/>
    <w:rsid w:val="00A9037D"/>
    <w:rsid w:val="00A9067D"/>
    <w:rsid w:val="00A90800"/>
    <w:rsid w:val="00A90B3A"/>
    <w:rsid w:val="00A90CAB"/>
    <w:rsid w:val="00A90D40"/>
    <w:rsid w:val="00A90F8F"/>
    <w:rsid w:val="00A912AF"/>
    <w:rsid w:val="00A913DE"/>
    <w:rsid w:val="00A917FE"/>
    <w:rsid w:val="00A9183D"/>
    <w:rsid w:val="00A91893"/>
    <w:rsid w:val="00A91B6F"/>
    <w:rsid w:val="00A9207E"/>
    <w:rsid w:val="00A920F5"/>
    <w:rsid w:val="00A92356"/>
    <w:rsid w:val="00A9245B"/>
    <w:rsid w:val="00A9248E"/>
    <w:rsid w:val="00A924C7"/>
    <w:rsid w:val="00A9257B"/>
    <w:rsid w:val="00A928A7"/>
    <w:rsid w:val="00A928E6"/>
    <w:rsid w:val="00A929F8"/>
    <w:rsid w:val="00A92B64"/>
    <w:rsid w:val="00A92C32"/>
    <w:rsid w:val="00A92D0D"/>
    <w:rsid w:val="00A93194"/>
    <w:rsid w:val="00A93372"/>
    <w:rsid w:val="00A93577"/>
    <w:rsid w:val="00A93B24"/>
    <w:rsid w:val="00A93D7D"/>
    <w:rsid w:val="00A93F8E"/>
    <w:rsid w:val="00A93FC7"/>
    <w:rsid w:val="00A94091"/>
    <w:rsid w:val="00A944EF"/>
    <w:rsid w:val="00A94802"/>
    <w:rsid w:val="00A9497F"/>
    <w:rsid w:val="00A94B9A"/>
    <w:rsid w:val="00A94E73"/>
    <w:rsid w:val="00A95152"/>
    <w:rsid w:val="00A951F8"/>
    <w:rsid w:val="00A954DF"/>
    <w:rsid w:val="00A95509"/>
    <w:rsid w:val="00A9558B"/>
    <w:rsid w:val="00A95A69"/>
    <w:rsid w:val="00A95B31"/>
    <w:rsid w:val="00A95B39"/>
    <w:rsid w:val="00A95B91"/>
    <w:rsid w:val="00A95DA8"/>
    <w:rsid w:val="00A95E77"/>
    <w:rsid w:val="00A95F23"/>
    <w:rsid w:val="00A95F3A"/>
    <w:rsid w:val="00A9603D"/>
    <w:rsid w:val="00A960AF"/>
    <w:rsid w:val="00A96196"/>
    <w:rsid w:val="00A961D5"/>
    <w:rsid w:val="00A962C2"/>
    <w:rsid w:val="00A96354"/>
    <w:rsid w:val="00A9644E"/>
    <w:rsid w:val="00A9683B"/>
    <w:rsid w:val="00A968B8"/>
    <w:rsid w:val="00A96AEA"/>
    <w:rsid w:val="00A96B81"/>
    <w:rsid w:val="00A96BB0"/>
    <w:rsid w:val="00A96DD3"/>
    <w:rsid w:val="00A96E43"/>
    <w:rsid w:val="00A970BE"/>
    <w:rsid w:val="00A97172"/>
    <w:rsid w:val="00A971EE"/>
    <w:rsid w:val="00A979E9"/>
    <w:rsid w:val="00A97A93"/>
    <w:rsid w:val="00A97B34"/>
    <w:rsid w:val="00A97B3D"/>
    <w:rsid w:val="00A97E5E"/>
    <w:rsid w:val="00AA0047"/>
    <w:rsid w:val="00AA02F0"/>
    <w:rsid w:val="00AA059D"/>
    <w:rsid w:val="00AA0636"/>
    <w:rsid w:val="00AA063B"/>
    <w:rsid w:val="00AA07CC"/>
    <w:rsid w:val="00AA0EC1"/>
    <w:rsid w:val="00AA0FF4"/>
    <w:rsid w:val="00AA0FFD"/>
    <w:rsid w:val="00AA1051"/>
    <w:rsid w:val="00AA10F3"/>
    <w:rsid w:val="00AA12C7"/>
    <w:rsid w:val="00AA1324"/>
    <w:rsid w:val="00AA14C5"/>
    <w:rsid w:val="00AA1564"/>
    <w:rsid w:val="00AA172A"/>
    <w:rsid w:val="00AA178F"/>
    <w:rsid w:val="00AA1812"/>
    <w:rsid w:val="00AA1A85"/>
    <w:rsid w:val="00AA1A98"/>
    <w:rsid w:val="00AA1C82"/>
    <w:rsid w:val="00AA1DE9"/>
    <w:rsid w:val="00AA1E1B"/>
    <w:rsid w:val="00AA1FD6"/>
    <w:rsid w:val="00AA208E"/>
    <w:rsid w:val="00AA2121"/>
    <w:rsid w:val="00AA2149"/>
    <w:rsid w:val="00AA215F"/>
    <w:rsid w:val="00AA2361"/>
    <w:rsid w:val="00AA2384"/>
    <w:rsid w:val="00AA25CC"/>
    <w:rsid w:val="00AA2699"/>
    <w:rsid w:val="00AA2869"/>
    <w:rsid w:val="00AA29FF"/>
    <w:rsid w:val="00AA2AA7"/>
    <w:rsid w:val="00AA2B21"/>
    <w:rsid w:val="00AA2C32"/>
    <w:rsid w:val="00AA2CA4"/>
    <w:rsid w:val="00AA2CE7"/>
    <w:rsid w:val="00AA31FD"/>
    <w:rsid w:val="00AA323A"/>
    <w:rsid w:val="00AA32F9"/>
    <w:rsid w:val="00AA3317"/>
    <w:rsid w:val="00AA34BB"/>
    <w:rsid w:val="00AA3542"/>
    <w:rsid w:val="00AA37D4"/>
    <w:rsid w:val="00AA3809"/>
    <w:rsid w:val="00AA381A"/>
    <w:rsid w:val="00AA3C9B"/>
    <w:rsid w:val="00AA413F"/>
    <w:rsid w:val="00AA414A"/>
    <w:rsid w:val="00AA434F"/>
    <w:rsid w:val="00AA43F6"/>
    <w:rsid w:val="00AA451B"/>
    <w:rsid w:val="00AA4720"/>
    <w:rsid w:val="00AA478C"/>
    <w:rsid w:val="00AA48FA"/>
    <w:rsid w:val="00AA4A00"/>
    <w:rsid w:val="00AA4A11"/>
    <w:rsid w:val="00AA4A2A"/>
    <w:rsid w:val="00AA4AC5"/>
    <w:rsid w:val="00AA4B99"/>
    <w:rsid w:val="00AA4F93"/>
    <w:rsid w:val="00AA4FAA"/>
    <w:rsid w:val="00AA50B5"/>
    <w:rsid w:val="00AA51B6"/>
    <w:rsid w:val="00AA563E"/>
    <w:rsid w:val="00AA5800"/>
    <w:rsid w:val="00AA591E"/>
    <w:rsid w:val="00AA59E0"/>
    <w:rsid w:val="00AA5E07"/>
    <w:rsid w:val="00AA6437"/>
    <w:rsid w:val="00AA64BE"/>
    <w:rsid w:val="00AA6789"/>
    <w:rsid w:val="00AA6820"/>
    <w:rsid w:val="00AA69A1"/>
    <w:rsid w:val="00AA6DC8"/>
    <w:rsid w:val="00AA6E2C"/>
    <w:rsid w:val="00AA720F"/>
    <w:rsid w:val="00AA721D"/>
    <w:rsid w:val="00AA724C"/>
    <w:rsid w:val="00AA72D8"/>
    <w:rsid w:val="00AA756A"/>
    <w:rsid w:val="00AA75A1"/>
    <w:rsid w:val="00AA75BF"/>
    <w:rsid w:val="00AA76FA"/>
    <w:rsid w:val="00AA7CB7"/>
    <w:rsid w:val="00AA7CDE"/>
    <w:rsid w:val="00AA7FAC"/>
    <w:rsid w:val="00AA7FF6"/>
    <w:rsid w:val="00AB0720"/>
    <w:rsid w:val="00AB0ACE"/>
    <w:rsid w:val="00AB0AD9"/>
    <w:rsid w:val="00AB0C75"/>
    <w:rsid w:val="00AB110D"/>
    <w:rsid w:val="00AB142C"/>
    <w:rsid w:val="00AB16B0"/>
    <w:rsid w:val="00AB190D"/>
    <w:rsid w:val="00AB1AAE"/>
    <w:rsid w:val="00AB1B01"/>
    <w:rsid w:val="00AB1C50"/>
    <w:rsid w:val="00AB1E0E"/>
    <w:rsid w:val="00AB1E24"/>
    <w:rsid w:val="00AB1E37"/>
    <w:rsid w:val="00AB1F04"/>
    <w:rsid w:val="00AB209E"/>
    <w:rsid w:val="00AB2174"/>
    <w:rsid w:val="00AB23F0"/>
    <w:rsid w:val="00AB29A4"/>
    <w:rsid w:val="00AB2DF4"/>
    <w:rsid w:val="00AB2DFD"/>
    <w:rsid w:val="00AB2E0C"/>
    <w:rsid w:val="00AB30A4"/>
    <w:rsid w:val="00AB3150"/>
    <w:rsid w:val="00AB362E"/>
    <w:rsid w:val="00AB36CE"/>
    <w:rsid w:val="00AB381F"/>
    <w:rsid w:val="00AB3956"/>
    <w:rsid w:val="00AB3AEA"/>
    <w:rsid w:val="00AB3C7E"/>
    <w:rsid w:val="00AB3CE1"/>
    <w:rsid w:val="00AB3D14"/>
    <w:rsid w:val="00AB3F7F"/>
    <w:rsid w:val="00AB40D6"/>
    <w:rsid w:val="00AB42AB"/>
    <w:rsid w:val="00AB4385"/>
    <w:rsid w:val="00AB4432"/>
    <w:rsid w:val="00AB47E1"/>
    <w:rsid w:val="00AB488D"/>
    <w:rsid w:val="00AB4955"/>
    <w:rsid w:val="00AB4A50"/>
    <w:rsid w:val="00AB4B41"/>
    <w:rsid w:val="00AB4CF3"/>
    <w:rsid w:val="00AB4E0A"/>
    <w:rsid w:val="00AB51C7"/>
    <w:rsid w:val="00AB51F4"/>
    <w:rsid w:val="00AB5297"/>
    <w:rsid w:val="00AB551C"/>
    <w:rsid w:val="00AB56F5"/>
    <w:rsid w:val="00AB584A"/>
    <w:rsid w:val="00AB586E"/>
    <w:rsid w:val="00AB5B24"/>
    <w:rsid w:val="00AB5E45"/>
    <w:rsid w:val="00AB6128"/>
    <w:rsid w:val="00AB61D7"/>
    <w:rsid w:val="00AB633A"/>
    <w:rsid w:val="00AB638E"/>
    <w:rsid w:val="00AB645A"/>
    <w:rsid w:val="00AB6607"/>
    <w:rsid w:val="00AB6773"/>
    <w:rsid w:val="00AB6972"/>
    <w:rsid w:val="00AB6A14"/>
    <w:rsid w:val="00AB6B48"/>
    <w:rsid w:val="00AB6C4F"/>
    <w:rsid w:val="00AB705B"/>
    <w:rsid w:val="00AB7060"/>
    <w:rsid w:val="00AB7359"/>
    <w:rsid w:val="00AB7403"/>
    <w:rsid w:val="00AB75B4"/>
    <w:rsid w:val="00AB7834"/>
    <w:rsid w:val="00AB7877"/>
    <w:rsid w:val="00AB78D8"/>
    <w:rsid w:val="00AB794E"/>
    <w:rsid w:val="00AB79FE"/>
    <w:rsid w:val="00AB7BAB"/>
    <w:rsid w:val="00AB7DB4"/>
    <w:rsid w:val="00AC004E"/>
    <w:rsid w:val="00AC005E"/>
    <w:rsid w:val="00AC0075"/>
    <w:rsid w:val="00AC00B6"/>
    <w:rsid w:val="00AC01B6"/>
    <w:rsid w:val="00AC0309"/>
    <w:rsid w:val="00AC060B"/>
    <w:rsid w:val="00AC06A1"/>
    <w:rsid w:val="00AC0FA8"/>
    <w:rsid w:val="00AC1057"/>
    <w:rsid w:val="00AC1071"/>
    <w:rsid w:val="00AC10AE"/>
    <w:rsid w:val="00AC13BF"/>
    <w:rsid w:val="00AC143B"/>
    <w:rsid w:val="00AC1555"/>
    <w:rsid w:val="00AC1586"/>
    <w:rsid w:val="00AC15B7"/>
    <w:rsid w:val="00AC1602"/>
    <w:rsid w:val="00AC1762"/>
    <w:rsid w:val="00AC1B54"/>
    <w:rsid w:val="00AC1BF3"/>
    <w:rsid w:val="00AC1C93"/>
    <w:rsid w:val="00AC1E22"/>
    <w:rsid w:val="00AC1ED6"/>
    <w:rsid w:val="00AC1FE5"/>
    <w:rsid w:val="00AC20BD"/>
    <w:rsid w:val="00AC20D6"/>
    <w:rsid w:val="00AC2488"/>
    <w:rsid w:val="00AC2611"/>
    <w:rsid w:val="00AC2655"/>
    <w:rsid w:val="00AC27DA"/>
    <w:rsid w:val="00AC29C7"/>
    <w:rsid w:val="00AC29CD"/>
    <w:rsid w:val="00AC2A57"/>
    <w:rsid w:val="00AC2AB8"/>
    <w:rsid w:val="00AC2AD2"/>
    <w:rsid w:val="00AC2B9A"/>
    <w:rsid w:val="00AC2E11"/>
    <w:rsid w:val="00AC30F9"/>
    <w:rsid w:val="00AC33C9"/>
    <w:rsid w:val="00AC3459"/>
    <w:rsid w:val="00AC34CF"/>
    <w:rsid w:val="00AC361C"/>
    <w:rsid w:val="00AC376B"/>
    <w:rsid w:val="00AC37AC"/>
    <w:rsid w:val="00AC3830"/>
    <w:rsid w:val="00AC38EC"/>
    <w:rsid w:val="00AC39C7"/>
    <w:rsid w:val="00AC3BC7"/>
    <w:rsid w:val="00AC3C19"/>
    <w:rsid w:val="00AC3C49"/>
    <w:rsid w:val="00AC3C8E"/>
    <w:rsid w:val="00AC3E02"/>
    <w:rsid w:val="00AC3EDB"/>
    <w:rsid w:val="00AC3FD2"/>
    <w:rsid w:val="00AC40E6"/>
    <w:rsid w:val="00AC40EC"/>
    <w:rsid w:val="00AC4141"/>
    <w:rsid w:val="00AC437A"/>
    <w:rsid w:val="00AC44BF"/>
    <w:rsid w:val="00AC491A"/>
    <w:rsid w:val="00AC4AE5"/>
    <w:rsid w:val="00AC4FA7"/>
    <w:rsid w:val="00AC4FDA"/>
    <w:rsid w:val="00AC52B3"/>
    <w:rsid w:val="00AC52D8"/>
    <w:rsid w:val="00AC534D"/>
    <w:rsid w:val="00AC57D4"/>
    <w:rsid w:val="00AC5DB2"/>
    <w:rsid w:val="00AC5F1B"/>
    <w:rsid w:val="00AC61EA"/>
    <w:rsid w:val="00AC61F4"/>
    <w:rsid w:val="00AC62B5"/>
    <w:rsid w:val="00AC67A3"/>
    <w:rsid w:val="00AC67E7"/>
    <w:rsid w:val="00AC688F"/>
    <w:rsid w:val="00AC6B1F"/>
    <w:rsid w:val="00AC6C57"/>
    <w:rsid w:val="00AC6E11"/>
    <w:rsid w:val="00AC6E46"/>
    <w:rsid w:val="00AC6F8A"/>
    <w:rsid w:val="00AC70CD"/>
    <w:rsid w:val="00AC7538"/>
    <w:rsid w:val="00AC75C9"/>
    <w:rsid w:val="00AC79E0"/>
    <w:rsid w:val="00AC7B38"/>
    <w:rsid w:val="00AD01A7"/>
    <w:rsid w:val="00AD01DD"/>
    <w:rsid w:val="00AD03BC"/>
    <w:rsid w:val="00AD0463"/>
    <w:rsid w:val="00AD0509"/>
    <w:rsid w:val="00AD0674"/>
    <w:rsid w:val="00AD06AD"/>
    <w:rsid w:val="00AD0AC0"/>
    <w:rsid w:val="00AD0C8F"/>
    <w:rsid w:val="00AD0E89"/>
    <w:rsid w:val="00AD0EF8"/>
    <w:rsid w:val="00AD1012"/>
    <w:rsid w:val="00AD1136"/>
    <w:rsid w:val="00AD1207"/>
    <w:rsid w:val="00AD13DF"/>
    <w:rsid w:val="00AD1458"/>
    <w:rsid w:val="00AD14D3"/>
    <w:rsid w:val="00AD171D"/>
    <w:rsid w:val="00AD18CD"/>
    <w:rsid w:val="00AD19C7"/>
    <w:rsid w:val="00AD1A5D"/>
    <w:rsid w:val="00AD1B76"/>
    <w:rsid w:val="00AD1C51"/>
    <w:rsid w:val="00AD1DA4"/>
    <w:rsid w:val="00AD2092"/>
    <w:rsid w:val="00AD22B1"/>
    <w:rsid w:val="00AD25A9"/>
    <w:rsid w:val="00AD26E1"/>
    <w:rsid w:val="00AD27F2"/>
    <w:rsid w:val="00AD28B0"/>
    <w:rsid w:val="00AD2B66"/>
    <w:rsid w:val="00AD2BB4"/>
    <w:rsid w:val="00AD2C93"/>
    <w:rsid w:val="00AD2CBE"/>
    <w:rsid w:val="00AD2D41"/>
    <w:rsid w:val="00AD2D89"/>
    <w:rsid w:val="00AD30D5"/>
    <w:rsid w:val="00AD30F5"/>
    <w:rsid w:val="00AD31C2"/>
    <w:rsid w:val="00AD32C2"/>
    <w:rsid w:val="00AD32ED"/>
    <w:rsid w:val="00AD333A"/>
    <w:rsid w:val="00AD33FE"/>
    <w:rsid w:val="00AD350B"/>
    <w:rsid w:val="00AD356D"/>
    <w:rsid w:val="00AD375B"/>
    <w:rsid w:val="00AD3AB0"/>
    <w:rsid w:val="00AD3D75"/>
    <w:rsid w:val="00AD3E02"/>
    <w:rsid w:val="00AD3E11"/>
    <w:rsid w:val="00AD3F90"/>
    <w:rsid w:val="00AD4178"/>
    <w:rsid w:val="00AD4179"/>
    <w:rsid w:val="00AD44C0"/>
    <w:rsid w:val="00AD44D1"/>
    <w:rsid w:val="00AD48D9"/>
    <w:rsid w:val="00AD4A5E"/>
    <w:rsid w:val="00AD4A84"/>
    <w:rsid w:val="00AD4C1A"/>
    <w:rsid w:val="00AD4C8A"/>
    <w:rsid w:val="00AD4F5C"/>
    <w:rsid w:val="00AD5056"/>
    <w:rsid w:val="00AD5171"/>
    <w:rsid w:val="00AD5499"/>
    <w:rsid w:val="00AD55DA"/>
    <w:rsid w:val="00AD5612"/>
    <w:rsid w:val="00AD5618"/>
    <w:rsid w:val="00AD563E"/>
    <w:rsid w:val="00AD5792"/>
    <w:rsid w:val="00AD5991"/>
    <w:rsid w:val="00AD5A82"/>
    <w:rsid w:val="00AD5BE0"/>
    <w:rsid w:val="00AD6447"/>
    <w:rsid w:val="00AD6772"/>
    <w:rsid w:val="00AD67C9"/>
    <w:rsid w:val="00AD687C"/>
    <w:rsid w:val="00AD6B1E"/>
    <w:rsid w:val="00AD6D87"/>
    <w:rsid w:val="00AD6DD0"/>
    <w:rsid w:val="00AD6E36"/>
    <w:rsid w:val="00AD6E6C"/>
    <w:rsid w:val="00AD6EBC"/>
    <w:rsid w:val="00AD6F4E"/>
    <w:rsid w:val="00AD7026"/>
    <w:rsid w:val="00AD70BE"/>
    <w:rsid w:val="00AD7210"/>
    <w:rsid w:val="00AD7314"/>
    <w:rsid w:val="00AD74F3"/>
    <w:rsid w:val="00AD752C"/>
    <w:rsid w:val="00AD768E"/>
    <w:rsid w:val="00AD79C3"/>
    <w:rsid w:val="00AD7AEF"/>
    <w:rsid w:val="00AD7AFB"/>
    <w:rsid w:val="00AD7C07"/>
    <w:rsid w:val="00AE0058"/>
    <w:rsid w:val="00AE0125"/>
    <w:rsid w:val="00AE024C"/>
    <w:rsid w:val="00AE035A"/>
    <w:rsid w:val="00AE0367"/>
    <w:rsid w:val="00AE05E1"/>
    <w:rsid w:val="00AE05F1"/>
    <w:rsid w:val="00AE05F2"/>
    <w:rsid w:val="00AE0AB8"/>
    <w:rsid w:val="00AE0B26"/>
    <w:rsid w:val="00AE0C0E"/>
    <w:rsid w:val="00AE0C91"/>
    <w:rsid w:val="00AE0E16"/>
    <w:rsid w:val="00AE0E85"/>
    <w:rsid w:val="00AE0E8B"/>
    <w:rsid w:val="00AE0F85"/>
    <w:rsid w:val="00AE0FB2"/>
    <w:rsid w:val="00AE1094"/>
    <w:rsid w:val="00AE10C9"/>
    <w:rsid w:val="00AE113F"/>
    <w:rsid w:val="00AE12B2"/>
    <w:rsid w:val="00AE13E1"/>
    <w:rsid w:val="00AE13E2"/>
    <w:rsid w:val="00AE15BF"/>
    <w:rsid w:val="00AE181E"/>
    <w:rsid w:val="00AE1844"/>
    <w:rsid w:val="00AE1980"/>
    <w:rsid w:val="00AE1AE5"/>
    <w:rsid w:val="00AE1B80"/>
    <w:rsid w:val="00AE1D54"/>
    <w:rsid w:val="00AE1D57"/>
    <w:rsid w:val="00AE213C"/>
    <w:rsid w:val="00AE218D"/>
    <w:rsid w:val="00AE219E"/>
    <w:rsid w:val="00AE21FD"/>
    <w:rsid w:val="00AE24DE"/>
    <w:rsid w:val="00AE2836"/>
    <w:rsid w:val="00AE298A"/>
    <w:rsid w:val="00AE2A29"/>
    <w:rsid w:val="00AE2AA8"/>
    <w:rsid w:val="00AE2C8E"/>
    <w:rsid w:val="00AE32C3"/>
    <w:rsid w:val="00AE35AA"/>
    <w:rsid w:val="00AE36BE"/>
    <w:rsid w:val="00AE3804"/>
    <w:rsid w:val="00AE387D"/>
    <w:rsid w:val="00AE39C9"/>
    <w:rsid w:val="00AE3A3A"/>
    <w:rsid w:val="00AE3AA8"/>
    <w:rsid w:val="00AE3C89"/>
    <w:rsid w:val="00AE43B9"/>
    <w:rsid w:val="00AE45AE"/>
    <w:rsid w:val="00AE4713"/>
    <w:rsid w:val="00AE4796"/>
    <w:rsid w:val="00AE47F2"/>
    <w:rsid w:val="00AE48F1"/>
    <w:rsid w:val="00AE4D0C"/>
    <w:rsid w:val="00AE4D4D"/>
    <w:rsid w:val="00AE4FFB"/>
    <w:rsid w:val="00AE54DF"/>
    <w:rsid w:val="00AE5575"/>
    <w:rsid w:val="00AE566D"/>
    <w:rsid w:val="00AE575F"/>
    <w:rsid w:val="00AE5A5E"/>
    <w:rsid w:val="00AE5D01"/>
    <w:rsid w:val="00AE5E1B"/>
    <w:rsid w:val="00AE5F78"/>
    <w:rsid w:val="00AE6012"/>
    <w:rsid w:val="00AE619B"/>
    <w:rsid w:val="00AE61BC"/>
    <w:rsid w:val="00AE61C6"/>
    <w:rsid w:val="00AE6484"/>
    <w:rsid w:val="00AE64CC"/>
    <w:rsid w:val="00AE66D2"/>
    <w:rsid w:val="00AE681F"/>
    <w:rsid w:val="00AE6840"/>
    <w:rsid w:val="00AE68CD"/>
    <w:rsid w:val="00AE6962"/>
    <w:rsid w:val="00AE6A7E"/>
    <w:rsid w:val="00AE6A91"/>
    <w:rsid w:val="00AE6BAA"/>
    <w:rsid w:val="00AE6BBE"/>
    <w:rsid w:val="00AE6BF8"/>
    <w:rsid w:val="00AE6DD8"/>
    <w:rsid w:val="00AE6E18"/>
    <w:rsid w:val="00AE6F28"/>
    <w:rsid w:val="00AE70EE"/>
    <w:rsid w:val="00AE712F"/>
    <w:rsid w:val="00AE71AF"/>
    <w:rsid w:val="00AE71B7"/>
    <w:rsid w:val="00AE7202"/>
    <w:rsid w:val="00AE7659"/>
    <w:rsid w:val="00AE77F6"/>
    <w:rsid w:val="00AE787E"/>
    <w:rsid w:val="00AE7896"/>
    <w:rsid w:val="00AE7898"/>
    <w:rsid w:val="00AE79FB"/>
    <w:rsid w:val="00AE7A1E"/>
    <w:rsid w:val="00AE7B4B"/>
    <w:rsid w:val="00AE7CA6"/>
    <w:rsid w:val="00AE7E45"/>
    <w:rsid w:val="00AE7F15"/>
    <w:rsid w:val="00AE7F37"/>
    <w:rsid w:val="00AE7F70"/>
    <w:rsid w:val="00AF0022"/>
    <w:rsid w:val="00AF02A0"/>
    <w:rsid w:val="00AF0387"/>
    <w:rsid w:val="00AF03C8"/>
    <w:rsid w:val="00AF0451"/>
    <w:rsid w:val="00AF05DE"/>
    <w:rsid w:val="00AF08B6"/>
    <w:rsid w:val="00AF08E6"/>
    <w:rsid w:val="00AF0A51"/>
    <w:rsid w:val="00AF0A98"/>
    <w:rsid w:val="00AF0B27"/>
    <w:rsid w:val="00AF0B7F"/>
    <w:rsid w:val="00AF0C03"/>
    <w:rsid w:val="00AF0EE9"/>
    <w:rsid w:val="00AF1167"/>
    <w:rsid w:val="00AF1388"/>
    <w:rsid w:val="00AF1405"/>
    <w:rsid w:val="00AF156E"/>
    <w:rsid w:val="00AF1795"/>
    <w:rsid w:val="00AF19DE"/>
    <w:rsid w:val="00AF1B64"/>
    <w:rsid w:val="00AF1C3F"/>
    <w:rsid w:val="00AF1C84"/>
    <w:rsid w:val="00AF1F57"/>
    <w:rsid w:val="00AF212D"/>
    <w:rsid w:val="00AF230A"/>
    <w:rsid w:val="00AF236A"/>
    <w:rsid w:val="00AF2388"/>
    <w:rsid w:val="00AF23DB"/>
    <w:rsid w:val="00AF2B4B"/>
    <w:rsid w:val="00AF2C67"/>
    <w:rsid w:val="00AF2D63"/>
    <w:rsid w:val="00AF2EEE"/>
    <w:rsid w:val="00AF2F7C"/>
    <w:rsid w:val="00AF301F"/>
    <w:rsid w:val="00AF33ED"/>
    <w:rsid w:val="00AF3492"/>
    <w:rsid w:val="00AF3811"/>
    <w:rsid w:val="00AF3865"/>
    <w:rsid w:val="00AF3A27"/>
    <w:rsid w:val="00AF3AEA"/>
    <w:rsid w:val="00AF3BC8"/>
    <w:rsid w:val="00AF3BCF"/>
    <w:rsid w:val="00AF3EA5"/>
    <w:rsid w:val="00AF3F3B"/>
    <w:rsid w:val="00AF4046"/>
    <w:rsid w:val="00AF40BB"/>
    <w:rsid w:val="00AF4112"/>
    <w:rsid w:val="00AF42DF"/>
    <w:rsid w:val="00AF4396"/>
    <w:rsid w:val="00AF456A"/>
    <w:rsid w:val="00AF4664"/>
    <w:rsid w:val="00AF46F8"/>
    <w:rsid w:val="00AF4967"/>
    <w:rsid w:val="00AF4AF6"/>
    <w:rsid w:val="00AF4C86"/>
    <w:rsid w:val="00AF4CA0"/>
    <w:rsid w:val="00AF4CF1"/>
    <w:rsid w:val="00AF4FA0"/>
    <w:rsid w:val="00AF5157"/>
    <w:rsid w:val="00AF52F5"/>
    <w:rsid w:val="00AF5471"/>
    <w:rsid w:val="00AF57B8"/>
    <w:rsid w:val="00AF57F4"/>
    <w:rsid w:val="00AF581B"/>
    <w:rsid w:val="00AF5874"/>
    <w:rsid w:val="00AF5C33"/>
    <w:rsid w:val="00AF5C55"/>
    <w:rsid w:val="00AF5CFC"/>
    <w:rsid w:val="00AF5EA2"/>
    <w:rsid w:val="00AF5EDA"/>
    <w:rsid w:val="00AF6029"/>
    <w:rsid w:val="00AF60B8"/>
    <w:rsid w:val="00AF60FB"/>
    <w:rsid w:val="00AF615F"/>
    <w:rsid w:val="00AF6394"/>
    <w:rsid w:val="00AF6579"/>
    <w:rsid w:val="00AF67D2"/>
    <w:rsid w:val="00AF695C"/>
    <w:rsid w:val="00AF69C7"/>
    <w:rsid w:val="00AF6CDF"/>
    <w:rsid w:val="00AF6D23"/>
    <w:rsid w:val="00AF6DD9"/>
    <w:rsid w:val="00AF6E57"/>
    <w:rsid w:val="00AF6E8B"/>
    <w:rsid w:val="00AF6F2D"/>
    <w:rsid w:val="00AF6F4B"/>
    <w:rsid w:val="00AF6FBF"/>
    <w:rsid w:val="00AF70E9"/>
    <w:rsid w:val="00AF7106"/>
    <w:rsid w:val="00AF7330"/>
    <w:rsid w:val="00AF74E7"/>
    <w:rsid w:val="00AF754A"/>
    <w:rsid w:val="00AF76AA"/>
    <w:rsid w:val="00AF789A"/>
    <w:rsid w:val="00AF78EC"/>
    <w:rsid w:val="00AF792C"/>
    <w:rsid w:val="00AF7A30"/>
    <w:rsid w:val="00AF7A54"/>
    <w:rsid w:val="00AF7F53"/>
    <w:rsid w:val="00B001A6"/>
    <w:rsid w:val="00B00335"/>
    <w:rsid w:val="00B00400"/>
    <w:rsid w:val="00B00571"/>
    <w:rsid w:val="00B00C88"/>
    <w:rsid w:val="00B00D8E"/>
    <w:rsid w:val="00B00E6C"/>
    <w:rsid w:val="00B011A1"/>
    <w:rsid w:val="00B0120E"/>
    <w:rsid w:val="00B013CE"/>
    <w:rsid w:val="00B0171E"/>
    <w:rsid w:val="00B01C91"/>
    <w:rsid w:val="00B01D06"/>
    <w:rsid w:val="00B01E23"/>
    <w:rsid w:val="00B01E59"/>
    <w:rsid w:val="00B02AC5"/>
    <w:rsid w:val="00B02C11"/>
    <w:rsid w:val="00B02C23"/>
    <w:rsid w:val="00B02E32"/>
    <w:rsid w:val="00B03089"/>
    <w:rsid w:val="00B031CF"/>
    <w:rsid w:val="00B0323D"/>
    <w:rsid w:val="00B03615"/>
    <w:rsid w:val="00B0379E"/>
    <w:rsid w:val="00B037B2"/>
    <w:rsid w:val="00B03989"/>
    <w:rsid w:val="00B039A9"/>
    <w:rsid w:val="00B03A3F"/>
    <w:rsid w:val="00B03A6E"/>
    <w:rsid w:val="00B03AB2"/>
    <w:rsid w:val="00B04E38"/>
    <w:rsid w:val="00B04F48"/>
    <w:rsid w:val="00B051B2"/>
    <w:rsid w:val="00B05292"/>
    <w:rsid w:val="00B054D9"/>
    <w:rsid w:val="00B054FD"/>
    <w:rsid w:val="00B055E6"/>
    <w:rsid w:val="00B0608B"/>
    <w:rsid w:val="00B06162"/>
    <w:rsid w:val="00B06193"/>
    <w:rsid w:val="00B061D5"/>
    <w:rsid w:val="00B063FF"/>
    <w:rsid w:val="00B06622"/>
    <w:rsid w:val="00B0695F"/>
    <w:rsid w:val="00B06E80"/>
    <w:rsid w:val="00B06F49"/>
    <w:rsid w:val="00B072C2"/>
    <w:rsid w:val="00B074C2"/>
    <w:rsid w:val="00B074FC"/>
    <w:rsid w:val="00B07750"/>
    <w:rsid w:val="00B07BDF"/>
    <w:rsid w:val="00B07CCC"/>
    <w:rsid w:val="00B07E6C"/>
    <w:rsid w:val="00B07FA1"/>
    <w:rsid w:val="00B07FF4"/>
    <w:rsid w:val="00B10192"/>
    <w:rsid w:val="00B104C8"/>
    <w:rsid w:val="00B10908"/>
    <w:rsid w:val="00B10DD8"/>
    <w:rsid w:val="00B10EA4"/>
    <w:rsid w:val="00B1110E"/>
    <w:rsid w:val="00B1120A"/>
    <w:rsid w:val="00B11257"/>
    <w:rsid w:val="00B11306"/>
    <w:rsid w:val="00B1163E"/>
    <w:rsid w:val="00B116FA"/>
    <w:rsid w:val="00B1170A"/>
    <w:rsid w:val="00B1184A"/>
    <w:rsid w:val="00B11A12"/>
    <w:rsid w:val="00B11B12"/>
    <w:rsid w:val="00B11CE3"/>
    <w:rsid w:val="00B11D24"/>
    <w:rsid w:val="00B1204C"/>
    <w:rsid w:val="00B120E2"/>
    <w:rsid w:val="00B121DD"/>
    <w:rsid w:val="00B122D6"/>
    <w:rsid w:val="00B12351"/>
    <w:rsid w:val="00B1237B"/>
    <w:rsid w:val="00B12651"/>
    <w:rsid w:val="00B128FB"/>
    <w:rsid w:val="00B129AF"/>
    <w:rsid w:val="00B129B0"/>
    <w:rsid w:val="00B129E0"/>
    <w:rsid w:val="00B12A32"/>
    <w:rsid w:val="00B12D20"/>
    <w:rsid w:val="00B12D22"/>
    <w:rsid w:val="00B12D2C"/>
    <w:rsid w:val="00B12E05"/>
    <w:rsid w:val="00B130AD"/>
    <w:rsid w:val="00B13187"/>
    <w:rsid w:val="00B13342"/>
    <w:rsid w:val="00B13478"/>
    <w:rsid w:val="00B135FD"/>
    <w:rsid w:val="00B13601"/>
    <w:rsid w:val="00B13AB2"/>
    <w:rsid w:val="00B13B46"/>
    <w:rsid w:val="00B13B63"/>
    <w:rsid w:val="00B13BA6"/>
    <w:rsid w:val="00B13CD3"/>
    <w:rsid w:val="00B13E30"/>
    <w:rsid w:val="00B140A0"/>
    <w:rsid w:val="00B14207"/>
    <w:rsid w:val="00B1451F"/>
    <w:rsid w:val="00B14761"/>
    <w:rsid w:val="00B14780"/>
    <w:rsid w:val="00B147D5"/>
    <w:rsid w:val="00B14CC8"/>
    <w:rsid w:val="00B14E94"/>
    <w:rsid w:val="00B14F5B"/>
    <w:rsid w:val="00B14F6D"/>
    <w:rsid w:val="00B15150"/>
    <w:rsid w:val="00B15168"/>
    <w:rsid w:val="00B152DF"/>
    <w:rsid w:val="00B15329"/>
    <w:rsid w:val="00B1540A"/>
    <w:rsid w:val="00B15689"/>
    <w:rsid w:val="00B156F0"/>
    <w:rsid w:val="00B158F6"/>
    <w:rsid w:val="00B15A17"/>
    <w:rsid w:val="00B15A67"/>
    <w:rsid w:val="00B15DC6"/>
    <w:rsid w:val="00B15EE0"/>
    <w:rsid w:val="00B15FEB"/>
    <w:rsid w:val="00B1619A"/>
    <w:rsid w:val="00B163AC"/>
    <w:rsid w:val="00B16436"/>
    <w:rsid w:val="00B16514"/>
    <w:rsid w:val="00B16577"/>
    <w:rsid w:val="00B16612"/>
    <w:rsid w:val="00B1669B"/>
    <w:rsid w:val="00B1677C"/>
    <w:rsid w:val="00B167EB"/>
    <w:rsid w:val="00B1683C"/>
    <w:rsid w:val="00B16927"/>
    <w:rsid w:val="00B16A6C"/>
    <w:rsid w:val="00B16C31"/>
    <w:rsid w:val="00B16C63"/>
    <w:rsid w:val="00B16DAB"/>
    <w:rsid w:val="00B1714E"/>
    <w:rsid w:val="00B1738D"/>
    <w:rsid w:val="00B17463"/>
    <w:rsid w:val="00B17474"/>
    <w:rsid w:val="00B174A8"/>
    <w:rsid w:val="00B1769A"/>
    <w:rsid w:val="00B176C5"/>
    <w:rsid w:val="00B177B5"/>
    <w:rsid w:val="00B178AC"/>
    <w:rsid w:val="00B17983"/>
    <w:rsid w:val="00B17CD4"/>
    <w:rsid w:val="00B17D2A"/>
    <w:rsid w:val="00B17D5A"/>
    <w:rsid w:val="00B17D6C"/>
    <w:rsid w:val="00B17D81"/>
    <w:rsid w:val="00B20055"/>
    <w:rsid w:val="00B20244"/>
    <w:rsid w:val="00B20257"/>
    <w:rsid w:val="00B204DC"/>
    <w:rsid w:val="00B2055B"/>
    <w:rsid w:val="00B205CF"/>
    <w:rsid w:val="00B206EF"/>
    <w:rsid w:val="00B20749"/>
    <w:rsid w:val="00B2092A"/>
    <w:rsid w:val="00B20B50"/>
    <w:rsid w:val="00B20EB0"/>
    <w:rsid w:val="00B21256"/>
    <w:rsid w:val="00B21722"/>
    <w:rsid w:val="00B217C1"/>
    <w:rsid w:val="00B21969"/>
    <w:rsid w:val="00B21AEA"/>
    <w:rsid w:val="00B21BBE"/>
    <w:rsid w:val="00B21C23"/>
    <w:rsid w:val="00B21C53"/>
    <w:rsid w:val="00B21CD6"/>
    <w:rsid w:val="00B21D91"/>
    <w:rsid w:val="00B21DA6"/>
    <w:rsid w:val="00B21E31"/>
    <w:rsid w:val="00B21EF4"/>
    <w:rsid w:val="00B21FF5"/>
    <w:rsid w:val="00B220FB"/>
    <w:rsid w:val="00B2218F"/>
    <w:rsid w:val="00B221F8"/>
    <w:rsid w:val="00B2225A"/>
    <w:rsid w:val="00B222E1"/>
    <w:rsid w:val="00B22309"/>
    <w:rsid w:val="00B22346"/>
    <w:rsid w:val="00B2236D"/>
    <w:rsid w:val="00B223E4"/>
    <w:rsid w:val="00B2243F"/>
    <w:rsid w:val="00B22761"/>
    <w:rsid w:val="00B227A8"/>
    <w:rsid w:val="00B227E1"/>
    <w:rsid w:val="00B228B0"/>
    <w:rsid w:val="00B228E9"/>
    <w:rsid w:val="00B22913"/>
    <w:rsid w:val="00B22977"/>
    <w:rsid w:val="00B22980"/>
    <w:rsid w:val="00B22E1D"/>
    <w:rsid w:val="00B22F76"/>
    <w:rsid w:val="00B2300D"/>
    <w:rsid w:val="00B2306C"/>
    <w:rsid w:val="00B23102"/>
    <w:rsid w:val="00B231E1"/>
    <w:rsid w:val="00B232F6"/>
    <w:rsid w:val="00B2388C"/>
    <w:rsid w:val="00B238FC"/>
    <w:rsid w:val="00B23965"/>
    <w:rsid w:val="00B239CD"/>
    <w:rsid w:val="00B23A0C"/>
    <w:rsid w:val="00B23A4C"/>
    <w:rsid w:val="00B23E87"/>
    <w:rsid w:val="00B23EBC"/>
    <w:rsid w:val="00B24060"/>
    <w:rsid w:val="00B24348"/>
    <w:rsid w:val="00B2439E"/>
    <w:rsid w:val="00B24467"/>
    <w:rsid w:val="00B24536"/>
    <w:rsid w:val="00B24719"/>
    <w:rsid w:val="00B24941"/>
    <w:rsid w:val="00B24A79"/>
    <w:rsid w:val="00B24EA7"/>
    <w:rsid w:val="00B24EAF"/>
    <w:rsid w:val="00B24F4C"/>
    <w:rsid w:val="00B24FFB"/>
    <w:rsid w:val="00B2528A"/>
    <w:rsid w:val="00B25292"/>
    <w:rsid w:val="00B25351"/>
    <w:rsid w:val="00B2543C"/>
    <w:rsid w:val="00B254D2"/>
    <w:rsid w:val="00B25508"/>
    <w:rsid w:val="00B255DC"/>
    <w:rsid w:val="00B25853"/>
    <w:rsid w:val="00B25A1C"/>
    <w:rsid w:val="00B25ADB"/>
    <w:rsid w:val="00B25BBE"/>
    <w:rsid w:val="00B25DD2"/>
    <w:rsid w:val="00B25EBC"/>
    <w:rsid w:val="00B25ECE"/>
    <w:rsid w:val="00B26058"/>
    <w:rsid w:val="00B26150"/>
    <w:rsid w:val="00B2638C"/>
    <w:rsid w:val="00B2638D"/>
    <w:rsid w:val="00B263E4"/>
    <w:rsid w:val="00B26809"/>
    <w:rsid w:val="00B26A1F"/>
    <w:rsid w:val="00B26A39"/>
    <w:rsid w:val="00B26A6D"/>
    <w:rsid w:val="00B26AA9"/>
    <w:rsid w:val="00B26D08"/>
    <w:rsid w:val="00B26EAB"/>
    <w:rsid w:val="00B2727D"/>
    <w:rsid w:val="00B272CA"/>
    <w:rsid w:val="00B2736C"/>
    <w:rsid w:val="00B275D6"/>
    <w:rsid w:val="00B2776C"/>
    <w:rsid w:val="00B278E4"/>
    <w:rsid w:val="00B27C5E"/>
    <w:rsid w:val="00B300B5"/>
    <w:rsid w:val="00B301F5"/>
    <w:rsid w:val="00B3026C"/>
    <w:rsid w:val="00B30AD0"/>
    <w:rsid w:val="00B30B8E"/>
    <w:rsid w:val="00B30BEC"/>
    <w:rsid w:val="00B30CE4"/>
    <w:rsid w:val="00B30D53"/>
    <w:rsid w:val="00B30D74"/>
    <w:rsid w:val="00B31120"/>
    <w:rsid w:val="00B31172"/>
    <w:rsid w:val="00B311B1"/>
    <w:rsid w:val="00B313AC"/>
    <w:rsid w:val="00B31566"/>
    <w:rsid w:val="00B3173C"/>
    <w:rsid w:val="00B31885"/>
    <w:rsid w:val="00B31973"/>
    <w:rsid w:val="00B31CB9"/>
    <w:rsid w:val="00B31D36"/>
    <w:rsid w:val="00B31D48"/>
    <w:rsid w:val="00B31FBB"/>
    <w:rsid w:val="00B32132"/>
    <w:rsid w:val="00B32292"/>
    <w:rsid w:val="00B322AC"/>
    <w:rsid w:val="00B323EE"/>
    <w:rsid w:val="00B3248C"/>
    <w:rsid w:val="00B32498"/>
    <w:rsid w:val="00B32629"/>
    <w:rsid w:val="00B3269F"/>
    <w:rsid w:val="00B3294C"/>
    <w:rsid w:val="00B329E8"/>
    <w:rsid w:val="00B32AEE"/>
    <w:rsid w:val="00B32B9C"/>
    <w:rsid w:val="00B32E7C"/>
    <w:rsid w:val="00B32ED0"/>
    <w:rsid w:val="00B32EF1"/>
    <w:rsid w:val="00B33149"/>
    <w:rsid w:val="00B33174"/>
    <w:rsid w:val="00B33270"/>
    <w:rsid w:val="00B3335C"/>
    <w:rsid w:val="00B3346A"/>
    <w:rsid w:val="00B3361E"/>
    <w:rsid w:val="00B33975"/>
    <w:rsid w:val="00B33AF5"/>
    <w:rsid w:val="00B33BC6"/>
    <w:rsid w:val="00B33CDB"/>
    <w:rsid w:val="00B33F17"/>
    <w:rsid w:val="00B33F56"/>
    <w:rsid w:val="00B34005"/>
    <w:rsid w:val="00B341FA"/>
    <w:rsid w:val="00B3421B"/>
    <w:rsid w:val="00B343E7"/>
    <w:rsid w:val="00B34892"/>
    <w:rsid w:val="00B34A98"/>
    <w:rsid w:val="00B34C64"/>
    <w:rsid w:val="00B34EF6"/>
    <w:rsid w:val="00B3509F"/>
    <w:rsid w:val="00B3533C"/>
    <w:rsid w:val="00B35374"/>
    <w:rsid w:val="00B353AF"/>
    <w:rsid w:val="00B35779"/>
    <w:rsid w:val="00B359C3"/>
    <w:rsid w:val="00B35AD4"/>
    <w:rsid w:val="00B35BA8"/>
    <w:rsid w:val="00B35BDD"/>
    <w:rsid w:val="00B35DC4"/>
    <w:rsid w:val="00B3612F"/>
    <w:rsid w:val="00B364D5"/>
    <w:rsid w:val="00B36610"/>
    <w:rsid w:val="00B366CE"/>
    <w:rsid w:val="00B3689D"/>
    <w:rsid w:val="00B369A0"/>
    <w:rsid w:val="00B369DB"/>
    <w:rsid w:val="00B36CFA"/>
    <w:rsid w:val="00B372AF"/>
    <w:rsid w:val="00B3738A"/>
    <w:rsid w:val="00B37634"/>
    <w:rsid w:val="00B37690"/>
    <w:rsid w:val="00B37839"/>
    <w:rsid w:val="00B37864"/>
    <w:rsid w:val="00B379C9"/>
    <w:rsid w:val="00B37A4F"/>
    <w:rsid w:val="00B37DDB"/>
    <w:rsid w:val="00B40057"/>
    <w:rsid w:val="00B401A4"/>
    <w:rsid w:val="00B40389"/>
    <w:rsid w:val="00B403EF"/>
    <w:rsid w:val="00B404CF"/>
    <w:rsid w:val="00B40507"/>
    <w:rsid w:val="00B40664"/>
    <w:rsid w:val="00B4081A"/>
    <w:rsid w:val="00B4084C"/>
    <w:rsid w:val="00B40B04"/>
    <w:rsid w:val="00B40B6E"/>
    <w:rsid w:val="00B40CBB"/>
    <w:rsid w:val="00B40D21"/>
    <w:rsid w:val="00B40D83"/>
    <w:rsid w:val="00B40DCF"/>
    <w:rsid w:val="00B4105C"/>
    <w:rsid w:val="00B410B0"/>
    <w:rsid w:val="00B41216"/>
    <w:rsid w:val="00B412E3"/>
    <w:rsid w:val="00B4149A"/>
    <w:rsid w:val="00B41789"/>
    <w:rsid w:val="00B417A8"/>
    <w:rsid w:val="00B41810"/>
    <w:rsid w:val="00B41895"/>
    <w:rsid w:val="00B419F3"/>
    <w:rsid w:val="00B41A79"/>
    <w:rsid w:val="00B41ADE"/>
    <w:rsid w:val="00B41C08"/>
    <w:rsid w:val="00B42109"/>
    <w:rsid w:val="00B42746"/>
    <w:rsid w:val="00B42D6F"/>
    <w:rsid w:val="00B42E5E"/>
    <w:rsid w:val="00B42E5F"/>
    <w:rsid w:val="00B42F4E"/>
    <w:rsid w:val="00B42F93"/>
    <w:rsid w:val="00B430A7"/>
    <w:rsid w:val="00B4318A"/>
    <w:rsid w:val="00B4324F"/>
    <w:rsid w:val="00B4336C"/>
    <w:rsid w:val="00B433B0"/>
    <w:rsid w:val="00B4341D"/>
    <w:rsid w:val="00B43454"/>
    <w:rsid w:val="00B43580"/>
    <w:rsid w:val="00B43797"/>
    <w:rsid w:val="00B437B8"/>
    <w:rsid w:val="00B43AB4"/>
    <w:rsid w:val="00B43C8F"/>
    <w:rsid w:val="00B44007"/>
    <w:rsid w:val="00B44112"/>
    <w:rsid w:val="00B441FD"/>
    <w:rsid w:val="00B4426F"/>
    <w:rsid w:val="00B44356"/>
    <w:rsid w:val="00B44435"/>
    <w:rsid w:val="00B446BD"/>
    <w:rsid w:val="00B449BF"/>
    <w:rsid w:val="00B44AFA"/>
    <w:rsid w:val="00B44B14"/>
    <w:rsid w:val="00B44BB4"/>
    <w:rsid w:val="00B44CEE"/>
    <w:rsid w:val="00B44DCD"/>
    <w:rsid w:val="00B44DE1"/>
    <w:rsid w:val="00B450EF"/>
    <w:rsid w:val="00B4512E"/>
    <w:rsid w:val="00B453CD"/>
    <w:rsid w:val="00B4544C"/>
    <w:rsid w:val="00B45480"/>
    <w:rsid w:val="00B454B6"/>
    <w:rsid w:val="00B454EB"/>
    <w:rsid w:val="00B4563B"/>
    <w:rsid w:val="00B457B3"/>
    <w:rsid w:val="00B45A3E"/>
    <w:rsid w:val="00B45CC2"/>
    <w:rsid w:val="00B45DE0"/>
    <w:rsid w:val="00B463AE"/>
    <w:rsid w:val="00B466F8"/>
    <w:rsid w:val="00B467FD"/>
    <w:rsid w:val="00B469AB"/>
    <w:rsid w:val="00B46A8F"/>
    <w:rsid w:val="00B46C89"/>
    <w:rsid w:val="00B46E12"/>
    <w:rsid w:val="00B46F0A"/>
    <w:rsid w:val="00B47110"/>
    <w:rsid w:val="00B47AF0"/>
    <w:rsid w:val="00B47C30"/>
    <w:rsid w:val="00B47C5E"/>
    <w:rsid w:val="00B47CD0"/>
    <w:rsid w:val="00B47CFD"/>
    <w:rsid w:val="00B47D72"/>
    <w:rsid w:val="00B47F52"/>
    <w:rsid w:val="00B47F65"/>
    <w:rsid w:val="00B47F9D"/>
    <w:rsid w:val="00B50070"/>
    <w:rsid w:val="00B502B8"/>
    <w:rsid w:val="00B50398"/>
    <w:rsid w:val="00B504DC"/>
    <w:rsid w:val="00B507DE"/>
    <w:rsid w:val="00B50A49"/>
    <w:rsid w:val="00B50A84"/>
    <w:rsid w:val="00B50BEA"/>
    <w:rsid w:val="00B50DC9"/>
    <w:rsid w:val="00B50E26"/>
    <w:rsid w:val="00B51078"/>
    <w:rsid w:val="00B51194"/>
    <w:rsid w:val="00B512AB"/>
    <w:rsid w:val="00B513D5"/>
    <w:rsid w:val="00B5188A"/>
    <w:rsid w:val="00B51BBF"/>
    <w:rsid w:val="00B51C3A"/>
    <w:rsid w:val="00B51DB2"/>
    <w:rsid w:val="00B51EF9"/>
    <w:rsid w:val="00B51F57"/>
    <w:rsid w:val="00B51F84"/>
    <w:rsid w:val="00B51F8D"/>
    <w:rsid w:val="00B52197"/>
    <w:rsid w:val="00B521CB"/>
    <w:rsid w:val="00B524D5"/>
    <w:rsid w:val="00B525CF"/>
    <w:rsid w:val="00B525DA"/>
    <w:rsid w:val="00B527A9"/>
    <w:rsid w:val="00B52C38"/>
    <w:rsid w:val="00B52C49"/>
    <w:rsid w:val="00B52FAA"/>
    <w:rsid w:val="00B53073"/>
    <w:rsid w:val="00B531AF"/>
    <w:rsid w:val="00B53334"/>
    <w:rsid w:val="00B53484"/>
    <w:rsid w:val="00B536B9"/>
    <w:rsid w:val="00B5377D"/>
    <w:rsid w:val="00B53A37"/>
    <w:rsid w:val="00B53BB5"/>
    <w:rsid w:val="00B53E54"/>
    <w:rsid w:val="00B53F5A"/>
    <w:rsid w:val="00B53FE4"/>
    <w:rsid w:val="00B5495D"/>
    <w:rsid w:val="00B54A64"/>
    <w:rsid w:val="00B54A8E"/>
    <w:rsid w:val="00B54AB7"/>
    <w:rsid w:val="00B54B60"/>
    <w:rsid w:val="00B54B96"/>
    <w:rsid w:val="00B54C68"/>
    <w:rsid w:val="00B54CB3"/>
    <w:rsid w:val="00B54EAE"/>
    <w:rsid w:val="00B54FD8"/>
    <w:rsid w:val="00B55028"/>
    <w:rsid w:val="00B552B5"/>
    <w:rsid w:val="00B55390"/>
    <w:rsid w:val="00B55470"/>
    <w:rsid w:val="00B5552A"/>
    <w:rsid w:val="00B555B3"/>
    <w:rsid w:val="00B558FC"/>
    <w:rsid w:val="00B559D2"/>
    <w:rsid w:val="00B55A6B"/>
    <w:rsid w:val="00B55ACF"/>
    <w:rsid w:val="00B55AD2"/>
    <w:rsid w:val="00B55E6D"/>
    <w:rsid w:val="00B55EA2"/>
    <w:rsid w:val="00B56092"/>
    <w:rsid w:val="00B561ED"/>
    <w:rsid w:val="00B5632A"/>
    <w:rsid w:val="00B565C1"/>
    <w:rsid w:val="00B567C1"/>
    <w:rsid w:val="00B56919"/>
    <w:rsid w:val="00B56AE3"/>
    <w:rsid w:val="00B56C78"/>
    <w:rsid w:val="00B57084"/>
    <w:rsid w:val="00B57156"/>
    <w:rsid w:val="00B5742B"/>
    <w:rsid w:val="00B574EF"/>
    <w:rsid w:val="00B575B3"/>
    <w:rsid w:val="00B575F1"/>
    <w:rsid w:val="00B5795D"/>
    <w:rsid w:val="00B57A8A"/>
    <w:rsid w:val="00B57A98"/>
    <w:rsid w:val="00B57B69"/>
    <w:rsid w:val="00B57C5B"/>
    <w:rsid w:val="00B57C62"/>
    <w:rsid w:val="00B57F3A"/>
    <w:rsid w:val="00B57F45"/>
    <w:rsid w:val="00B57F5E"/>
    <w:rsid w:val="00B6004E"/>
    <w:rsid w:val="00B600C1"/>
    <w:rsid w:val="00B601C9"/>
    <w:rsid w:val="00B602F1"/>
    <w:rsid w:val="00B60417"/>
    <w:rsid w:val="00B60494"/>
    <w:rsid w:val="00B6060D"/>
    <w:rsid w:val="00B60C2B"/>
    <w:rsid w:val="00B60F10"/>
    <w:rsid w:val="00B61003"/>
    <w:rsid w:val="00B61110"/>
    <w:rsid w:val="00B61331"/>
    <w:rsid w:val="00B61649"/>
    <w:rsid w:val="00B616E6"/>
    <w:rsid w:val="00B61706"/>
    <w:rsid w:val="00B6182B"/>
    <w:rsid w:val="00B61AFB"/>
    <w:rsid w:val="00B61D96"/>
    <w:rsid w:val="00B61DE7"/>
    <w:rsid w:val="00B61DE9"/>
    <w:rsid w:val="00B61E4A"/>
    <w:rsid w:val="00B61E6F"/>
    <w:rsid w:val="00B62063"/>
    <w:rsid w:val="00B62175"/>
    <w:rsid w:val="00B6217C"/>
    <w:rsid w:val="00B6219D"/>
    <w:rsid w:val="00B621B9"/>
    <w:rsid w:val="00B621BB"/>
    <w:rsid w:val="00B624F9"/>
    <w:rsid w:val="00B629C6"/>
    <w:rsid w:val="00B62A2E"/>
    <w:rsid w:val="00B62BB7"/>
    <w:rsid w:val="00B62DEB"/>
    <w:rsid w:val="00B62F12"/>
    <w:rsid w:val="00B633D0"/>
    <w:rsid w:val="00B63476"/>
    <w:rsid w:val="00B63830"/>
    <w:rsid w:val="00B63B21"/>
    <w:rsid w:val="00B63BA2"/>
    <w:rsid w:val="00B63DA9"/>
    <w:rsid w:val="00B63F09"/>
    <w:rsid w:val="00B63FDC"/>
    <w:rsid w:val="00B643DC"/>
    <w:rsid w:val="00B64655"/>
    <w:rsid w:val="00B64698"/>
    <w:rsid w:val="00B64CEA"/>
    <w:rsid w:val="00B64D9C"/>
    <w:rsid w:val="00B64F19"/>
    <w:rsid w:val="00B651E7"/>
    <w:rsid w:val="00B65222"/>
    <w:rsid w:val="00B6535D"/>
    <w:rsid w:val="00B65447"/>
    <w:rsid w:val="00B654B6"/>
    <w:rsid w:val="00B65500"/>
    <w:rsid w:val="00B65567"/>
    <w:rsid w:val="00B655A8"/>
    <w:rsid w:val="00B65918"/>
    <w:rsid w:val="00B65DA2"/>
    <w:rsid w:val="00B660AF"/>
    <w:rsid w:val="00B660DF"/>
    <w:rsid w:val="00B660F0"/>
    <w:rsid w:val="00B66413"/>
    <w:rsid w:val="00B665D3"/>
    <w:rsid w:val="00B66726"/>
    <w:rsid w:val="00B667F8"/>
    <w:rsid w:val="00B66978"/>
    <w:rsid w:val="00B66A4A"/>
    <w:rsid w:val="00B66AE5"/>
    <w:rsid w:val="00B66B64"/>
    <w:rsid w:val="00B66D23"/>
    <w:rsid w:val="00B66D61"/>
    <w:rsid w:val="00B66E49"/>
    <w:rsid w:val="00B672B9"/>
    <w:rsid w:val="00B6750D"/>
    <w:rsid w:val="00B6753B"/>
    <w:rsid w:val="00B67569"/>
    <w:rsid w:val="00B675AC"/>
    <w:rsid w:val="00B67706"/>
    <w:rsid w:val="00B67901"/>
    <w:rsid w:val="00B67A75"/>
    <w:rsid w:val="00B67CC7"/>
    <w:rsid w:val="00B67E3B"/>
    <w:rsid w:val="00B67FC2"/>
    <w:rsid w:val="00B70094"/>
    <w:rsid w:val="00B70166"/>
    <w:rsid w:val="00B702B8"/>
    <w:rsid w:val="00B70366"/>
    <w:rsid w:val="00B705D2"/>
    <w:rsid w:val="00B7086D"/>
    <w:rsid w:val="00B70955"/>
    <w:rsid w:val="00B709D6"/>
    <w:rsid w:val="00B70A9A"/>
    <w:rsid w:val="00B70AEA"/>
    <w:rsid w:val="00B70B54"/>
    <w:rsid w:val="00B70C36"/>
    <w:rsid w:val="00B70CAA"/>
    <w:rsid w:val="00B70D2B"/>
    <w:rsid w:val="00B70D9B"/>
    <w:rsid w:val="00B70DAC"/>
    <w:rsid w:val="00B70DD4"/>
    <w:rsid w:val="00B70E36"/>
    <w:rsid w:val="00B7125B"/>
    <w:rsid w:val="00B71414"/>
    <w:rsid w:val="00B71813"/>
    <w:rsid w:val="00B71AF3"/>
    <w:rsid w:val="00B71C7C"/>
    <w:rsid w:val="00B71D02"/>
    <w:rsid w:val="00B71DC4"/>
    <w:rsid w:val="00B71EFA"/>
    <w:rsid w:val="00B72145"/>
    <w:rsid w:val="00B7214D"/>
    <w:rsid w:val="00B7223D"/>
    <w:rsid w:val="00B72358"/>
    <w:rsid w:val="00B72394"/>
    <w:rsid w:val="00B724BA"/>
    <w:rsid w:val="00B72592"/>
    <w:rsid w:val="00B726DF"/>
    <w:rsid w:val="00B72767"/>
    <w:rsid w:val="00B72864"/>
    <w:rsid w:val="00B72989"/>
    <w:rsid w:val="00B72A84"/>
    <w:rsid w:val="00B72C99"/>
    <w:rsid w:val="00B72CF4"/>
    <w:rsid w:val="00B72D07"/>
    <w:rsid w:val="00B72D5B"/>
    <w:rsid w:val="00B72D87"/>
    <w:rsid w:val="00B72F0C"/>
    <w:rsid w:val="00B72F50"/>
    <w:rsid w:val="00B73040"/>
    <w:rsid w:val="00B7305C"/>
    <w:rsid w:val="00B73099"/>
    <w:rsid w:val="00B736C1"/>
    <w:rsid w:val="00B73814"/>
    <w:rsid w:val="00B73837"/>
    <w:rsid w:val="00B738F8"/>
    <w:rsid w:val="00B73987"/>
    <w:rsid w:val="00B73A7B"/>
    <w:rsid w:val="00B73BAC"/>
    <w:rsid w:val="00B73C5A"/>
    <w:rsid w:val="00B73E03"/>
    <w:rsid w:val="00B73F3F"/>
    <w:rsid w:val="00B741FD"/>
    <w:rsid w:val="00B74219"/>
    <w:rsid w:val="00B742F1"/>
    <w:rsid w:val="00B745BF"/>
    <w:rsid w:val="00B74641"/>
    <w:rsid w:val="00B749DE"/>
    <w:rsid w:val="00B749F8"/>
    <w:rsid w:val="00B74D90"/>
    <w:rsid w:val="00B74F5A"/>
    <w:rsid w:val="00B74FEB"/>
    <w:rsid w:val="00B75105"/>
    <w:rsid w:val="00B751EB"/>
    <w:rsid w:val="00B75389"/>
    <w:rsid w:val="00B755D4"/>
    <w:rsid w:val="00B75787"/>
    <w:rsid w:val="00B75804"/>
    <w:rsid w:val="00B75B59"/>
    <w:rsid w:val="00B75BAE"/>
    <w:rsid w:val="00B75D96"/>
    <w:rsid w:val="00B75F81"/>
    <w:rsid w:val="00B7637C"/>
    <w:rsid w:val="00B76637"/>
    <w:rsid w:val="00B767EB"/>
    <w:rsid w:val="00B76C9D"/>
    <w:rsid w:val="00B76CB6"/>
    <w:rsid w:val="00B76CD3"/>
    <w:rsid w:val="00B76F1E"/>
    <w:rsid w:val="00B7716C"/>
    <w:rsid w:val="00B77537"/>
    <w:rsid w:val="00B77571"/>
    <w:rsid w:val="00B77705"/>
    <w:rsid w:val="00B7775A"/>
    <w:rsid w:val="00B77A87"/>
    <w:rsid w:val="00B77A8C"/>
    <w:rsid w:val="00B77F57"/>
    <w:rsid w:val="00B77F78"/>
    <w:rsid w:val="00B80000"/>
    <w:rsid w:val="00B80057"/>
    <w:rsid w:val="00B80183"/>
    <w:rsid w:val="00B8025C"/>
    <w:rsid w:val="00B802BC"/>
    <w:rsid w:val="00B806DB"/>
    <w:rsid w:val="00B80932"/>
    <w:rsid w:val="00B80946"/>
    <w:rsid w:val="00B80D5C"/>
    <w:rsid w:val="00B80EBD"/>
    <w:rsid w:val="00B80EFB"/>
    <w:rsid w:val="00B8116D"/>
    <w:rsid w:val="00B81375"/>
    <w:rsid w:val="00B81642"/>
    <w:rsid w:val="00B818FB"/>
    <w:rsid w:val="00B81A31"/>
    <w:rsid w:val="00B81A58"/>
    <w:rsid w:val="00B81BAE"/>
    <w:rsid w:val="00B81C25"/>
    <w:rsid w:val="00B81D2B"/>
    <w:rsid w:val="00B8216A"/>
    <w:rsid w:val="00B821CB"/>
    <w:rsid w:val="00B82378"/>
    <w:rsid w:val="00B823AA"/>
    <w:rsid w:val="00B82442"/>
    <w:rsid w:val="00B825F5"/>
    <w:rsid w:val="00B826D3"/>
    <w:rsid w:val="00B8270E"/>
    <w:rsid w:val="00B827CD"/>
    <w:rsid w:val="00B82A31"/>
    <w:rsid w:val="00B82A83"/>
    <w:rsid w:val="00B82D26"/>
    <w:rsid w:val="00B82F3D"/>
    <w:rsid w:val="00B82F67"/>
    <w:rsid w:val="00B83067"/>
    <w:rsid w:val="00B83242"/>
    <w:rsid w:val="00B83350"/>
    <w:rsid w:val="00B8335C"/>
    <w:rsid w:val="00B8338C"/>
    <w:rsid w:val="00B8355A"/>
    <w:rsid w:val="00B8394B"/>
    <w:rsid w:val="00B83A28"/>
    <w:rsid w:val="00B84064"/>
    <w:rsid w:val="00B84105"/>
    <w:rsid w:val="00B8415D"/>
    <w:rsid w:val="00B84240"/>
    <w:rsid w:val="00B844DD"/>
    <w:rsid w:val="00B8450B"/>
    <w:rsid w:val="00B84664"/>
    <w:rsid w:val="00B846D8"/>
    <w:rsid w:val="00B8480B"/>
    <w:rsid w:val="00B848A0"/>
    <w:rsid w:val="00B84991"/>
    <w:rsid w:val="00B84A08"/>
    <w:rsid w:val="00B84AD2"/>
    <w:rsid w:val="00B84B20"/>
    <w:rsid w:val="00B84C5E"/>
    <w:rsid w:val="00B84CBA"/>
    <w:rsid w:val="00B84E2D"/>
    <w:rsid w:val="00B84E66"/>
    <w:rsid w:val="00B85147"/>
    <w:rsid w:val="00B85455"/>
    <w:rsid w:val="00B85542"/>
    <w:rsid w:val="00B85A79"/>
    <w:rsid w:val="00B85AAB"/>
    <w:rsid w:val="00B85B42"/>
    <w:rsid w:val="00B85D2B"/>
    <w:rsid w:val="00B85D2F"/>
    <w:rsid w:val="00B85E62"/>
    <w:rsid w:val="00B85EE8"/>
    <w:rsid w:val="00B85FCF"/>
    <w:rsid w:val="00B862B7"/>
    <w:rsid w:val="00B86881"/>
    <w:rsid w:val="00B86885"/>
    <w:rsid w:val="00B86987"/>
    <w:rsid w:val="00B869A7"/>
    <w:rsid w:val="00B86B7A"/>
    <w:rsid w:val="00B86DA7"/>
    <w:rsid w:val="00B87002"/>
    <w:rsid w:val="00B872A4"/>
    <w:rsid w:val="00B8745D"/>
    <w:rsid w:val="00B876CD"/>
    <w:rsid w:val="00B877FB"/>
    <w:rsid w:val="00B901BD"/>
    <w:rsid w:val="00B902A4"/>
    <w:rsid w:val="00B9034A"/>
    <w:rsid w:val="00B903B8"/>
    <w:rsid w:val="00B905C3"/>
    <w:rsid w:val="00B906CE"/>
    <w:rsid w:val="00B90900"/>
    <w:rsid w:val="00B90A26"/>
    <w:rsid w:val="00B90B2D"/>
    <w:rsid w:val="00B91260"/>
    <w:rsid w:val="00B91324"/>
    <w:rsid w:val="00B914B2"/>
    <w:rsid w:val="00B91578"/>
    <w:rsid w:val="00B915D5"/>
    <w:rsid w:val="00B91B59"/>
    <w:rsid w:val="00B91C34"/>
    <w:rsid w:val="00B91C6B"/>
    <w:rsid w:val="00B91D0F"/>
    <w:rsid w:val="00B91EE4"/>
    <w:rsid w:val="00B92028"/>
    <w:rsid w:val="00B920A8"/>
    <w:rsid w:val="00B9217C"/>
    <w:rsid w:val="00B923C0"/>
    <w:rsid w:val="00B923F5"/>
    <w:rsid w:val="00B924B7"/>
    <w:rsid w:val="00B925E5"/>
    <w:rsid w:val="00B926A1"/>
    <w:rsid w:val="00B92792"/>
    <w:rsid w:val="00B92796"/>
    <w:rsid w:val="00B927DC"/>
    <w:rsid w:val="00B92820"/>
    <w:rsid w:val="00B9282C"/>
    <w:rsid w:val="00B92A2A"/>
    <w:rsid w:val="00B92B42"/>
    <w:rsid w:val="00B92C16"/>
    <w:rsid w:val="00B92F07"/>
    <w:rsid w:val="00B92F2E"/>
    <w:rsid w:val="00B92F3B"/>
    <w:rsid w:val="00B92FE5"/>
    <w:rsid w:val="00B9361C"/>
    <w:rsid w:val="00B936E4"/>
    <w:rsid w:val="00B93991"/>
    <w:rsid w:val="00B943A0"/>
    <w:rsid w:val="00B9447D"/>
    <w:rsid w:val="00B946CC"/>
    <w:rsid w:val="00B94951"/>
    <w:rsid w:val="00B949E3"/>
    <w:rsid w:val="00B94BD2"/>
    <w:rsid w:val="00B9500B"/>
    <w:rsid w:val="00B95405"/>
    <w:rsid w:val="00B955DE"/>
    <w:rsid w:val="00B95A84"/>
    <w:rsid w:val="00B95CF4"/>
    <w:rsid w:val="00B95F07"/>
    <w:rsid w:val="00B962BA"/>
    <w:rsid w:val="00B962FF"/>
    <w:rsid w:val="00B96340"/>
    <w:rsid w:val="00B96434"/>
    <w:rsid w:val="00B964C8"/>
    <w:rsid w:val="00B96835"/>
    <w:rsid w:val="00B968DE"/>
    <w:rsid w:val="00B96BE5"/>
    <w:rsid w:val="00B96C1C"/>
    <w:rsid w:val="00B96EB5"/>
    <w:rsid w:val="00B96F47"/>
    <w:rsid w:val="00B96F78"/>
    <w:rsid w:val="00B973C8"/>
    <w:rsid w:val="00B9774B"/>
    <w:rsid w:val="00B977EA"/>
    <w:rsid w:val="00B977F7"/>
    <w:rsid w:val="00B9783B"/>
    <w:rsid w:val="00B97868"/>
    <w:rsid w:val="00B9794F"/>
    <w:rsid w:val="00B979D8"/>
    <w:rsid w:val="00B97EF5"/>
    <w:rsid w:val="00BA0056"/>
    <w:rsid w:val="00BA0059"/>
    <w:rsid w:val="00BA00BA"/>
    <w:rsid w:val="00BA024B"/>
    <w:rsid w:val="00BA02E4"/>
    <w:rsid w:val="00BA030A"/>
    <w:rsid w:val="00BA0578"/>
    <w:rsid w:val="00BA0868"/>
    <w:rsid w:val="00BA0883"/>
    <w:rsid w:val="00BA08A7"/>
    <w:rsid w:val="00BA090B"/>
    <w:rsid w:val="00BA093C"/>
    <w:rsid w:val="00BA0DAE"/>
    <w:rsid w:val="00BA0F2A"/>
    <w:rsid w:val="00BA0FEC"/>
    <w:rsid w:val="00BA121D"/>
    <w:rsid w:val="00BA152F"/>
    <w:rsid w:val="00BA1629"/>
    <w:rsid w:val="00BA1635"/>
    <w:rsid w:val="00BA1643"/>
    <w:rsid w:val="00BA16D6"/>
    <w:rsid w:val="00BA1A0E"/>
    <w:rsid w:val="00BA1BB1"/>
    <w:rsid w:val="00BA1C36"/>
    <w:rsid w:val="00BA1CD8"/>
    <w:rsid w:val="00BA1DFE"/>
    <w:rsid w:val="00BA1EE1"/>
    <w:rsid w:val="00BA2074"/>
    <w:rsid w:val="00BA2174"/>
    <w:rsid w:val="00BA2496"/>
    <w:rsid w:val="00BA2499"/>
    <w:rsid w:val="00BA25F0"/>
    <w:rsid w:val="00BA2725"/>
    <w:rsid w:val="00BA273E"/>
    <w:rsid w:val="00BA2765"/>
    <w:rsid w:val="00BA2C5D"/>
    <w:rsid w:val="00BA2CD8"/>
    <w:rsid w:val="00BA2D24"/>
    <w:rsid w:val="00BA2D4A"/>
    <w:rsid w:val="00BA2D84"/>
    <w:rsid w:val="00BA2E18"/>
    <w:rsid w:val="00BA311D"/>
    <w:rsid w:val="00BA324A"/>
    <w:rsid w:val="00BA32B1"/>
    <w:rsid w:val="00BA3312"/>
    <w:rsid w:val="00BA3469"/>
    <w:rsid w:val="00BA3B5C"/>
    <w:rsid w:val="00BA3D08"/>
    <w:rsid w:val="00BA416A"/>
    <w:rsid w:val="00BA41BD"/>
    <w:rsid w:val="00BA423D"/>
    <w:rsid w:val="00BA43D9"/>
    <w:rsid w:val="00BA43E7"/>
    <w:rsid w:val="00BA443B"/>
    <w:rsid w:val="00BA4492"/>
    <w:rsid w:val="00BA44EC"/>
    <w:rsid w:val="00BA450D"/>
    <w:rsid w:val="00BA45DD"/>
    <w:rsid w:val="00BA479D"/>
    <w:rsid w:val="00BA48EB"/>
    <w:rsid w:val="00BA4EBC"/>
    <w:rsid w:val="00BA4F70"/>
    <w:rsid w:val="00BA4FFF"/>
    <w:rsid w:val="00BA50F8"/>
    <w:rsid w:val="00BA5475"/>
    <w:rsid w:val="00BA5660"/>
    <w:rsid w:val="00BA5BD9"/>
    <w:rsid w:val="00BA5D5F"/>
    <w:rsid w:val="00BA5F4E"/>
    <w:rsid w:val="00BA6147"/>
    <w:rsid w:val="00BA6167"/>
    <w:rsid w:val="00BA62A9"/>
    <w:rsid w:val="00BA65F5"/>
    <w:rsid w:val="00BA66FF"/>
    <w:rsid w:val="00BA69B3"/>
    <w:rsid w:val="00BA6B5F"/>
    <w:rsid w:val="00BA6F61"/>
    <w:rsid w:val="00BA6F95"/>
    <w:rsid w:val="00BA719F"/>
    <w:rsid w:val="00BA726C"/>
    <w:rsid w:val="00BA7444"/>
    <w:rsid w:val="00BA74CE"/>
    <w:rsid w:val="00BA7541"/>
    <w:rsid w:val="00BA762C"/>
    <w:rsid w:val="00BA785C"/>
    <w:rsid w:val="00BA78C1"/>
    <w:rsid w:val="00BA7A0F"/>
    <w:rsid w:val="00BA7C40"/>
    <w:rsid w:val="00BA7D84"/>
    <w:rsid w:val="00BA7EC4"/>
    <w:rsid w:val="00BB0067"/>
    <w:rsid w:val="00BB01D3"/>
    <w:rsid w:val="00BB02AE"/>
    <w:rsid w:val="00BB0638"/>
    <w:rsid w:val="00BB07AF"/>
    <w:rsid w:val="00BB0A67"/>
    <w:rsid w:val="00BB0B2E"/>
    <w:rsid w:val="00BB0CEC"/>
    <w:rsid w:val="00BB0E1E"/>
    <w:rsid w:val="00BB0F68"/>
    <w:rsid w:val="00BB1078"/>
    <w:rsid w:val="00BB1145"/>
    <w:rsid w:val="00BB16F0"/>
    <w:rsid w:val="00BB198F"/>
    <w:rsid w:val="00BB1BCA"/>
    <w:rsid w:val="00BB1CFA"/>
    <w:rsid w:val="00BB2095"/>
    <w:rsid w:val="00BB20F5"/>
    <w:rsid w:val="00BB21DB"/>
    <w:rsid w:val="00BB231C"/>
    <w:rsid w:val="00BB26C8"/>
    <w:rsid w:val="00BB2938"/>
    <w:rsid w:val="00BB2977"/>
    <w:rsid w:val="00BB2A34"/>
    <w:rsid w:val="00BB2BBC"/>
    <w:rsid w:val="00BB2D22"/>
    <w:rsid w:val="00BB2D6E"/>
    <w:rsid w:val="00BB2DB0"/>
    <w:rsid w:val="00BB2DE4"/>
    <w:rsid w:val="00BB2F5C"/>
    <w:rsid w:val="00BB3021"/>
    <w:rsid w:val="00BB320E"/>
    <w:rsid w:val="00BB362F"/>
    <w:rsid w:val="00BB36AF"/>
    <w:rsid w:val="00BB38BF"/>
    <w:rsid w:val="00BB3A3D"/>
    <w:rsid w:val="00BB3C94"/>
    <w:rsid w:val="00BB3DA1"/>
    <w:rsid w:val="00BB3F01"/>
    <w:rsid w:val="00BB3F4C"/>
    <w:rsid w:val="00BB4079"/>
    <w:rsid w:val="00BB414F"/>
    <w:rsid w:val="00BB4213"/>
    <w:rsid w:val="00BB42D2"/>
    <w:rsid w:val="00BB4365"/>
    <w:rsid w:val="00BB45DA"/>
    <w:rsid w:val="00BB4B14"/>
    <w:rsid w:val="00BB4CA6"/>
    <w:rsid w:val="00BB4EF6"/>
    <w:rsid w:val="00BB4F48"/>
    <w:rsid w:val="00BB4FE0"/>
    <w:rsid w:val="00BB503C"/>
    <w:rsid w:val="00BB547D"/>
    <w:rsid w:val="00BB57F8"/>
    <w:rsid w:val="00BB5956"/>
    <w:rsid w:val="00BB5B36"/>
    <w:rsid w:val="00BB5B88"/>
    <w:rsid w:val="00BB5C59"/>
    <w:rsid w:val="00BB5CE3"/>
    <w:rsid w:val="00BB5E52"/>
    <w:rsid w:val="00BB5E73"/>
    <w:rsid w:val="00BB60BE"/>
    <w:rsid w:val="00BB6331"/>
    <w:rsid w:val="00BB6363"/>
    <w:rsid w:val="00BB640A"/>
    <w:rsid w:val="00BB6A54"/>
    <w:rsid w:val="00BB6BA6"/>
    <w:rsid w:val="00BB6E17"/>
    <w:rsid w:val="00BB6E2C"/>
    <w:rsid w:val="00BB708F"/>
    <w:rsid w:val="00BB70B0"/>
    <w:rsid w:val="00BB719A"/>
    <w:rsid w:val="00BB7337"/>
    <w:rsid w:val="00BB745F"/>
    <w:rsid w:val="00BB755F"/>
    <w:rsid w:val="00BB7946"/>
    <w:rsid w:val="00BB7EC8"/>
    <w:rsid w:val="00BB7F2C"/>
    <w:rsid w:val="00BC00C5"/>
    <w:rsid w:val="00BC010D"/>
    <w:rsid w:val="00BC05FF"/>
    <w:rsid w:val="00BC06DA"/>
    <w:rsid w:val="00BC07DB"/>
    <w:rsid w:val="00BC0A77"/>
    <w:rsid w:val="00BC0B43"/>
    <w:rsid w:val="00BC0C05"/>
    <w:rsid w:val="00BC112E"/>
    <w:rsid w:val="00BC1274"/>
    <w:rsid w:val="00BC172A"/>
    <w:rsid w:val="00BC1790"/>
    <w:rsid w:val="00BC19BB"/>
    <w:rsid w:val="00BC1ACB"/>
    <w:rsid w:val="00BC1C5E"/>
    <w:rsid w:val="00BC1CD2"/>
    <w:rsid w:val="00BC20C4"/>
    <w:rsid w:val="00BC241F"/>
    <w:rsid w:val="00BC24BD"/>
    <w:rsid w:val="00BC2898"/>
    <w:rsid w:val="00BC296C"/>
    <w:rsid w:val="00BC296F"/>
    <w:rsid w:val="00BC29EE"/>
    <w:rsid w:val="00BC2A25"/>
    <w:rsid w:val="00BC2AF3"/>
    <w:rsid w:val="00BC2BBD"/>
    <w:rsid w:val="00BC2BCB"/>
    <w:rsid w:val="00BC2D98"/>
    <w:rsid w:val="00BC2D9A"/>
    <w:rsid w:val="00BC2EE3"/>
    <w:rsid w:val="00BC3301"/>
    <w:rsid w:val="00BC330D"/>
    <w:rsid w:val="00BC33FD"/>
    <w:rsid w:val="00BC392A"/>
    <w:rsid w:val="00BC3B27"/>
    <w:rsid w:val="00BC3C53"/>
    <w:rsid w:val="00BC3CD4"/>
    <w:rsid w:val="00BC3DFA"/>
    <w:rsid w:val="00BC3E06"/>
    <w:rsid w:val="00BC3F28"/>
    <w:rsid w:val="00BC3FF4"/>
    <w:rsid w:val="00BC424B"/>
    <w:rsid w:val="00BC4291"/>
    <w:rsid w:val="00BC4476"/>
    <w:rsid w:val="00BC4643"/>
    <w:rsid w:val="00BC47A2"/>
    <w:rsid w:val="00BC4812"/>
    <w:rsid w:val="00BC48E9"/>
    <w:rsid w:val="00BC4A15"/>
    <w:rsid w:val="00BC4B88"/>
    <w:rsid w:val="00BC4C47"/>
    <w:rsid w:val="00BC4E3F"/>
    <w:rsid w:val="00BC5145"/>
    <w:rsid w:val="00BC5C85"/>
    <w:rsid w:val="00BC5C9E"/>
    <w:rsid w:val="00BC5D47"/>
    <w:rsid w:val="00BC5D90"/>
    <w:rsid w:val="00BC5DA2"/>
    <w:rsid w:val="00BC5DFF"/>
    <w:rsid w:val="00BC60CB"/>
    <w:rsid w:val="00BC6112"/>
    <w:rsid w:val="00BC6190"/>
    <w:rsid w:val="00BC625B"/>
    <w:rsid w:val="00BC63CD"/>
    <w:rsid w:val="00BC6571"/>
    <w:rsid w:val="00BC65A2"/>
    <w:rsid w:val="00BC67DB"/>
    <w:rsid w:val="00BC699B"/>
    <w:rsid w:val="00BC69B7"/>
    <w:rsid w:val="00BC6A50"/>
    <w:rsid w:val="00BC6B63"/>
    <w:rsid w:val="00BC6D6A"/>
    <w:rsid w:val="00BC6F25"/>
    <w:rsid w:val="00BC6FCA"/>
    <w:rsid w:val="00BC7278"/>
    <w:rsid w:val="00BC73DC"/>
    <w:rsid w:val="00BC7507"/>
    <w:rsid w:val="00BC7538"/>
    <w:rsid w:val="00BC7600"/>
    <w:rsid w:val="00BC76DF"/>
    <w:rsid w:val="00BC7999"/>
    <w:rsid w:val="00BC79DF"/>
    <w:rsid w:val="00BC79F1"/>
    <w:rsid w:val="00BC7A4E"/>
    <w:rsid w:val="00BC7B85"/>
    <w:rsid w:val="00BC7E12"/>
    <w:rsid w:val="00BC7E93"/>
    <w:rsid w:val="00BC7EFB"/>
    <w:rsid w:val="00BD0200"/>
    <w:rsid w:val="00BD030C"/>
    <w:rsid w:val="00BD0359"/>
    <w:rsid w:val="00BD03E4"/>
    <w:rsid w:val="00BD0593"/>
    <w:rsid w:val="00BD05E9"/>
    <w:rsid w:val="00BD064A"/>
    <w:rsid w:val="00BD0721"/>
    <w:rsid w:val="00BD08C2"/>
    <w:rsid w:val="00BD0AA7"/>
    <w:rsid w:val="00BD0BAA"/>
    <w:rsid w:val="00BD0EF2"/>
    <w:rsid w:val="00BD0F1B"/>
    <w:rsid w:val="00BD0F5C"/>
    <w:rsid w:val="00BD12D2"/>
    <w:rsid w:val="00BD12F9"/>
    <w:rsid w:val="00BD1319"/>
    <w:rsid w:val="00BD1530"/>
    <w:rsid w:val="00BD15FE"/>
    <w:rsid w:val="00BD1858"/>
    <w:rsid w:val="00BD1D59"/>
    <w:rsid w:val="00BD1F7C"/>
    <w:rsid w:val="00BD22D6"/>
    <w:rsid w:val="00BD246D"/>
    <w:rsid w:val="00BD2513"/>
    <w:rsid w:val="00BD264C"/>
    <w:rsid w:val="00BD26D5"/>
    <w:rsid w:val="00BD28E9"/>
    <w:rsid w:val="00BD29EC"/>
    <w:rsid w:val="00BD2BE8"/>
    <w:rsid w:val="00BD2FDE"/>
    <w:rsid w:val="00BD313D"/>
    <w:rsid w:val="00BD31B2"/>
    <w:rsid w:val="00BD327D"/>
    <w:rsid w:val="00BD340C"/>
    <w:rsid w:val="00BD3419"/>
    <w:rsid w:val="00BD34BE"/>
    <w:rsid w:val="00BD3554"/>
    <w:rsid w:val="00BD3795"/>
    <w:rsid w:val="00BD3851"/>
    <w:rsid w:val="00BD38E5"/>
    <w:rsid w:val="00BD39D5"/>
    <w:rsid w:val="00BD39DF"/>
    <w:rsid w:val="00BD3B10"/>
    <w:rsid w:val="00BD3BAD"/>
    <w:rsid w:val="00BD3D6F"/>
    <w:rsid w:val="00BD40BD"/>
    <w:rsid w:val="00BD4118"/>
    <w:rsid w:val="00BD4398"/>
    <w:rsid w:val="00BD43F2"/>
    <w:rsid w:val="00BD446B"/>
    <w:rsid w:val="00BD4644"/>
    <w:rsid w:val="00BD4767"/>
    <w:rsid w:val="00BD47AA"/>
    <w:rsid w:val="00BD507D"/>
    <w:rsid w:val="00BD51A9"/>
    <w:rsid w:val="00BD51AF"/>
    <w:rsid w:val="00BD5250"/>
    <w:rsid w:val="00BD5296"/>
    <w:rsid w:val="00BD53D6"/>
    <w:rsid w:val="00BD5453"/>
    <w:rsid w:val="00BD5596"/>
    <w:rsid w:val="00BD571F"/>
    <w:rsid w:val="00BD589E"/>
    <w:rsid w:val="00BD6070"/>
    <w:rsid w:val="00BD6192"/>
    <w:rsid w:val="00BD632E"/>
    <w:rsid w:val="00BD63B9"/>
    <w:rsid w:val="00BD64B1"/>
    <w:rsid w:val="00BD6515"/>
    <w:rsid w:val="00BD65C5"/>
    <w:rsid w:val="00BD6606"/>
    <w:rsid w:val="00BD664A"/>
    <w:rsid w:val="00BD665D"/>
    <w:rsid w:val="00BD66C3"/>
    <w:rsid w:val="00BD671B"/>
    <w:rsid w:val="00BD671C"/>
    <w:rsid w:val="00BD67C4"/>
    <w:rsid w:val="00BD6957"/>
    <w:rsid w:val="00BD6A30"/>
    <w:rsid w:val="00BD6C9C"/>
    <w:rsid w:val="00BD6CE2"/>
    <w:rsid w:val="00BD6D46"/>
    <w:rsid w:val="00BD7143"/>
    <w:rsid w:val="00BD72F8"/>
    <w:rsid w:val="00BD74FE"/>
    <w:rsid w:val="00BD7589"/>
    <w:rsid w:val="00BD7C5A"/>
    <w:rsid w:val="00BE0054"/>
    <w:rsid w:val="00BE032F"/>
    <w:rsid w:val="00BE048D"/>
    <w:rsid w:val="00BE0696"/>
    <w:rsid w:val="00BE0781"/>
    <w:rsid w:val="00BE079D"/>
    <w:rsid w:val="00BE0807"/>
    <w:rsid w:val="00BE0875"/>
    <w:rsid w:val="00BE092A"/>
    <w:rsid w:val="00BE0D71"/>
    <w:rsid w:val="00BE0F6E"/>
    <w:rsid w:val="00BE0F96"/>
    <w:rsid w:val="00BE106F"/>
    <w:rsid w:val="00BE1093"/>
    <w:rsid w:val="00BE10A1"/>
    <w:rsid w:val="00BE113B"/>
    <w:rsid w:val="00BE146B"/>
    <w:rsid w:val="00BE1519"/>
    <w:rsid w:val="00BE17B9"/>
    <w:rsid w:val="00BE181B"/>
    <w:rsid w:val="00BE1894"/>
    <w:rsid w:val="00BE1941"/>
    <w:rsid w:val="00BE19D3"/>
    <w:rsid w:val="00BE1EF9"/>
    <w:rsid w:val="00BE1F61"/>
    <w:rsid w:val="00BE2049"/>
    <w:rsid w:val="00BE22C6"/>
    <w:rsid w:val="00BE2313"/>
    <w:rsid w:val="00BE2560"/>
    <w:rsid w:val="00BE26F5"/>
    <w:rsid w:val="00BE2878"/>
    <w:rsid w:val="00BE2A09"/>
    <w:rsid w:val="00BE2B45"/>
    <w:rsid w:val="00BE2C38"/>
    <w:rsid w:val="00BE2DDC"/>
    <w:rsid w:val="00BE2E67"/>
    <w:rsid w:val="00BE3031"/>
    <w:rsid w:val="00BE3122"/>
    <w:rsid w:val="00BE32C9"/>
    <w:rsid w:val="00BE343D"/>
    <w:rsid w:val="00BE3590"/>
    <w:rsid w:val="00BE3603"/>
    <w:rsid w:val="00BE3B41"/>
    <w:rsid w:val="00BE3E48"/>
    <w:rsid w:val="00BE40A8"/>
    <w:rsid w:val="00BE412B"/>
    <w:rsid w:val="00BE419F"/>
    <w:rsid w:val="00BE41EF"/>
    <w:rsid w:val="00BE4350"/>
    <w:rsid w:val="00BE4690"/>
    <w:rsid w:val="00BE478B"/>
    <w:rsid w:val="00BE47A6"/>
    <w:rsid w:val="00BE4CFE"/>
    <w:rsid w:val="00BE4E97"/>
    <w:rsid w:val="00BE4FB1"/>
    <w:rsid w:val="00BE507F"/>
    <w:rsid w:val="00BE51B2"/>
    <w:rsid w:val="00BE51E2"/>
    <w:rsid w:val="00BE51E6"/>
    <w:rsid w:val="00BE5534"/>
    <w:rsid w:val="00BE5583"/>
    <w:rsid w:val="00BE5620"/>
    <w:rsid w:val="00BE576B"/>
    <w:rsid w:val="00BE5B11"/>
    <w:rsid w:val="00BE5BB5"/>
    <w:rsid w:val="00BE6203"/>
    <w:rsid w:val="00BE6505"/>
    <w:rsid w:val="00BE6685"/>
    <w:rsid w:val="00BE66EC"/>
    <w:rsid w:val="00BE68DD"/>
    <w:rsid w:val="00BE68EE"/>
    <w:rsid w:val="00BE69A2"/>
    <w:rsid w:val="00BE6C44"/>
    <w:rsid w:val="00BE6D1D"/>
    <w:rsid w:val="00BE6D7A"/>
    <w:rsid w:val="00BE6DFE"/>
    <w:rsid w:val="00BE71D0"/>
    <w:rsid w:val="00BE734E"/>
    <w:rsid w:val="00BE7703"/>
    <w:rsid w:val="00BE7C0B"/>
    <w:rsid w:val="00BE7C47"/>
    <w:rsid w:val="00BE7EF2"/>
    <w:rsid w:val="00BE7F04"/>
    <w:rsid w:val="00BF0035"/>
    <w:rsid w:val="00BF065B"/>
    <w:rsid w:val="00BF06B1"/>
    <w:rsid w:val="00BF0711"/>
    <w:rsid w:val="00BF0AE3"/>
    <w:rsid w:val="00BF0BF8"/>
    <w:rsid w:val="00BF0EBF"/>
    <w:rsid w:val="00BF1068"/>
    <w:rsid w:val="00BF1100"/>
    <w:rsid w:val="00BF1132"/>
    <w:rsid w:val="00BF1250"/>
    <w:rsid w:val="00BF1433"/>
    <w:rsid w:val="00BF14F9"/>
    <w:rsid w:val="00BF1987"/>
    <w:rsid w:val="00BF1B32"/>
    <w:rsid w:val="00BF1C4A"/>
    <w:rsid w:val="00BF1C80"/>
    <w:rsid w:val="00BF1E99"/>
    <w:rsid w:val="00BF202C"/>
    <w:rsid w:val="00BF2465"/>
    <w:rsid w:val="00BF24F8"/>
    <w:rsid w:val="00BF2642"/>
    <w:rsid w:val="00BF276B"/>
    <w:rsid w:val="00BF2954"/>
    <w:rsid w:val="00BF2D52"/>
    <w:rsid w:val="00BF2D7B"/>
    <w:rsid w:val="00BF2F6C"/>
    <w:rsid w:val="00BF301D"/>
    <w:rsid w:val="00BF3275"/>
    <w:rsid w:val="00BF32A2"/>
    <w:rsid w:val="00BF34C4"/>
    <w:rsid w:val="00BF3560"/>
    <w:rsid w:val="00BF3622"/>
    <w:rsid w:val="00BF3962"/>
    <w:rsid w:val="00BF3AF8"/>
    <w:rsid w:val="00BF3BBB"/>
    <w:rsid w:val="00BF3BC4"/>
    <w:rsid w:val="00BF3DB5"/>
    <w:rsid w:val="00BF4049"/>
    <w:rsid w:val="00BF4073"/>
    <w:rsid w:val="00BF46A8"/>
    <w:rsid w:val="00BF4753"/>
    <w:rsid w:val="00BF47F1"/>
    <w:rsid w:val="00BF4811"/>
    <w:rsid w:val="00BF4C5C"/>
    <w:rsid w:val="00BF4E2F"/>
    <w:rsid w:val="00BF4FCB"/>
    <w:rsid w:val="00BF529A"/>
    <w:rsid w:val="00BF52F1"/>
    <w:rsid w:val="00BF53B1"/>
    <w:rsid w:val="00BF54BD"/>
    <w:rsid w:val="00BF54FC"/>
    <w:rsid w:val="00BF550B"/>
    <w:rsid w:val="00BF5571"/>
    <w:rsid w:val="00BF57E7"/>
    <w:rsid w:val="00BF592B"/>
    <w:rsid w:val="00BF5955"/>
    <w:rsid w:val="00BF5CD1"/>
    <w:rsid w:val="00BF5E58"/>
    <w:rsid w:val="00BF6013"/>
    <w:rsid w:val="00BF6021"/>
    <w:rsid w:val="00BF617A"/>
    <w:rsid w:val="00BF6453"/>
    <w:rsid w:val="00BF65F8"/>
    <w:rsid w:val="00BF6656"/>
    <w:rsid w:val="00BF66EF"/>
    <w:rsid w:val="00BF677B"/>
    <w:rsid w:val="00BF6A76"/>
    <w:rsid w:val="00BF6A80"/>
    <w:rsid w:val="00BF6AC8"/>
    <w:rsid w:val="00BF6CB6"/>
    <w:rsid w:val="00BF6D4D"/>
    <w:rsid w:val="00BF6DB3"/>
    <w:rsid w:val="00BF6F6A"/>
    <w:rsid w:val="00BF71D9"/>
    <w:rsid w:val="00BF7251"/>
    <w:rsid w:val="00BF728D"/>
    <w:rsid w:val="00BF7396"/>
    <w:rsid w:val="00BF739A"/>
    <w:rsid w:val="00BF7452"/>
    <w:rsid w:val="00BF7548"/>
    <w:rsid w:val="00BF761A"/>
    <w:rsid w:val="00BF7878"/>
    <w:rsid w:val="00BF790D"/>
    <w:rsid w:val="00BF79FC"/>
    <w:rsid w:val="00BF7ACA"/>
    <w:rsid w:val="00BF7AE1"/>
    <w:rsid w:val="00BF7C5B"/>
    <w:rsid w:val="00BF7C89"/>
    <w:rsid w:val="00BF7D9C"/>
    <w:rsid w:val="00BF7FF4"/>
    <w:rsid w:val="00C000E0"/>
    <w:rsid w:val="00C0017B"/>
    <w:rsid w:val="00C002D8"/>
    <w:rsid w:val="00C003A5"/>
    <w:rsid w:val="00C003EF"/>
    <w:rsid w:val="00C00632"/>
    <w:rsid w:val="00C00684"/>
    <w:rsid w:val="00C0097C"/>
    <w:rsid w:val="00C009B8"/>
    <w:rsid w:val="00C00A8C"/>
    <w:rsid w:val="00C00D2B"/>
    <w:rsid w:val="00C010D2"/>
    <w:rsid w:val="00C01132"/>
    <w:rsid w:val="00C01482"/>
    <w:rsid w:val="00C0149A"/>
    <w:rsid w:val="00C01511"/>
    <w:rsid w:val="00C01581"/>
    <w:rsid w:val="00C015EA"/>
    <w:rsid w:val="00C015F8"/>
    <w:rsid w:val="00C01784"/>
    <w:rsid w:val="00C018EB"/>
    <w:rsid w:val="00C01B53"/>
    <w:rsid w:val="00C01C8F"/>
    <w:rsid w:val="00C01EB2"/>
    <w:rsid w:val="00C01EB6"/>
    <w:rsid w:val="00C02076"/>
    <w:rsid w:val="00C02571"/>
    <w:rsid w:val="00C026D6"/>
    <w:rsid w:val="00C0275C"/>
    <w:rsid w:val="00C02B05"/>
    <w:rsid w:val="00C030E7"/>
    <w:rsid w:val="00C03104"/>
    <w:rsid w:val="00C03221"/>
    <w:rsid w:val="00C033EE"/>
    <w:rsid w:val="00C037A6"/>
    <w:rsid w:val="00C03842"/>
    <w:rsid w:val="00C039C4"/>
    <w:rsid w:val="00C03A3C"/>
    <w:rsid w:val="00C03A6B"/>
    <w:rsid w:val="00C03B7F"/>
    <w:rsid w:val="00C03C01"/>
    <w:rsid w:val="00C03C3C"/>
    <w:rsid w:val="00C03F77"/>
    <w:rsid w:val="00C03FFC"/>
    <w:rsid w:val="00C0413A"/>
    <w:rsid w:val="00C042BB"/>
    <w:rsid w:val="00C0440A"/>
    <w:rsid w:val="00C04664"/>
    <w:rsid w:val="00C046AB"/>
    <w:rsid w:val="00C04941"/>
    <w:rsid w:val="00C049FF"/>
    <w:rsid w:val="00C04A1F"/>
    <w:rsid w:val="00C04BBE"/>
    <w:rsid w:val="00C04BC8"/>
    <w:rsid w:val="00C04C47"/>
    <w:rsid w:val="00C04D3C"/>
    <w:rsid w:val="00C04EE7"/>
    <w:rsid w:val="00C05069"/>
    <w:rsid w:val="00C050D8"/>
    <w:rsid w:val="00C05150"/>
    <w:rsid w:val="00C0528C"/>
    <w:rsid w:val="00C05620"/>
    <w:rsid w:val="00C05649"/>
    <w:rsid w:val="00C057D6"/>
    <w:rsid w:val="00C05999"/>
    <w:rsid w:val="00C05A74"/>
    <w:rsid w:val="00C05A78"/>
    <w:rsid w:val="00C05BFE"/>
    <w:rsid w:val="00C05E2A"/>
    <w:rsid w:val="00C06138"/>
    <w:rsid w:val="00C061C7"/>
    <w:rsid w:val="00C06401"/>
    <w:rsid w:val="00C0686C"/>
    <w:rsid w:val="00C068FC"/>
    <w:rsid w:val="00C069F6"/>
    <w:rsid w:val="00C06C12"/>
    <w:rsid w:val="00C06DB8"/>
    <w:rsid w:val="00C06F28"/>
    <w:rsid w:val="00C06FA2"/>
    <w:rsid w:val="00C071FF"/>
    <w:rsid w:val="00C074C5"/>
    <w:rsid w:val="00C074F9"/>
    <w:rsid w:val="00C076D8"/>
    <w:rsid w:val="00C07AC9"/>
    <w:rsid w:val="00C07B4E"/>
    <w:rsid w:val="00C07D45"/>
    <w:rsid w:val="00C07D4C"/>
    <w:rsid w:val="00C07DAE"/>
    <w:rsid w:val="00C07F33"/>
    <w:rsid w:val="00C100CF"/>
    <w:rsid w:val="00C1017C"/>
    <w:rsid w:val="00C101EC"/>
    <w:rsid w:val="00C10252"/>
    <w:rsid w:val="00C1028B"/>
    <w:rsid w:val="00C10385"/>
    <w:rsid w:val="00C10565"/>
    <w:rsid w:val="00C10860"/>
    <w:rsid w:val="00C10A08"/>
    <w:rsid w:val="00C10C21"/>
    <w:rsid w:val="00C10CD2"/>
    <w:rsid w:val="00C10E83"/>
    <w:rsid w:val="00C10F3E"/>
    <w:rsid w:val="00C10F4C"/>
    <w:rsid w:val="00C10FCC"/>
    <w:rsid w:val="00C1125C"/>
    <w:rsid w:val="00C11342"/>
    <w:rsid w:val="00C11381"/>
    <w:rsid w:val="00C11487"/>
    <w:rsid w:val="00C11505"/>
    <w:rsid w:val="00C11506"/>
    <w:rsid w:val="00C11523"/>
    <w:rsid w:val="00C11577"/>
    <w:rsid w:val="00C11789"/>
    <w:rsid w:val="00C117A0"/>
    <w:rsid w:val="00C117DC"/>
    <w:rsid w:val="00C117E8"/>
    <w:rsid w:val="00C118F3"/>
    <w:rsid w:val="00C11A29"/>
    <w:rsid w:val="00C11B82"/>
    <w:rsid w:val="00C11DA9"/>
    <w:rsid w:val="00C11E09"/>
    <w:rsid w:val="00C11E9D"/>
    <w:rsid w:val="00C11EDE"/>
    <w:rsid w:val="00C11EE2"/>
    <w:rsid w:val="00C12073"/>
    <w:rsid w:val="00C12284"/>
    <w:rsid w:val="00C1241D"/>
    <w:rsid w:val="00C124EC"/>
    <w:rsid w:val="00C12973"/>
    <w:rsid w:val="00C12B07"/>
    <w:rsid w:val="00C12BAF"/>
    <w:rsid w:val="00C12D88"/>
    <w:rsid w:val="00C12DA3"/>
    <w:rsid w:val="00C12FB5"/>
    <w:rsid w:val="00C1303C"/>
    <w:rsid w:val="00C131E7"/>
    <w:rsid w:val="00C1322B"/>
    <w:rsid w:val="00C13237"/>
    <w:rsid w:val="00C13244"/>
    <w:rsid w:val="00C1355F"/>
    <w:rsid w:val="00C139E3"/>
    <w:rsid w:val="00C13A42"/>
    <w:rsid w:val="00C14101"/>
    <w:rsid w:val="00C1411C"/>
    <w:rsid w:val="00C14132"/>
    <w:rsid w:val="00C141C9"/>
    <w:rsid w:val="00C14292"/>
    <w:rsid w:val="00C142E5"/>
    <w:rsid w:val="00C14380"/>
    <w:rsid w:val="00C14564"/>
    <w:rsid w:val="00C1457D"/>
    <w:rsid w:val="00C145D1"/>
    <w:rsid w:val="00C14618"/>
    <w:rsid w:val="00C14D35"/>
    <w:rsid w:val="00C14E60"/>
    <w:rsid w:val="00C14FBB"/>
    <w:rsid w:val="00C14FDA"/>
    <w:rsid w:val="00C15291"/>
    <w:rsid w:val="00C157E1"/>
    <w:rsid w:val="00C15965"/>
    <w:rsid w:val="00C15992"/>
    <w:rsid w:val="00C15A00"/>
    <w:rsid w:val="00C15A07"/>
    <w:rsid w:val="00C15C27"/>
    <w:rsid w:val="00C15F04"/>
    <w:rsid w:val="00C15FBA"/>
    <w:rsid w:val="00C16007"/>
    <w:rsid w:val="00C161BC"/>
    <w:rsid w:val="00C161D8"/>
    <w:rsid w:val="00C1650F"/>
    <w:rsid w:val="00C169AB"/>
    <w:rsid w:val="00C16E0C"/>
    <w:rsid w:val="00C172FF"/>
    <w:rsid w:val="00C1759B"/>
    <w:rsid w:val="00C17D1C"/>
    <w:rsid w:val="00C17E87"/>
    <w:rsid w:val="00C17EC2"/>
    <w:rsid w:val="00C17EE7"/>
    <w:rsid w:val="00C201BB"/>
    <w:rsid w:val="00C20348"/>
    <w:rsid w:val="00C20397"/>
    <w:rsid w:val="00C2044B"/>
    <w:rsid w:val="00C2074A"/>
    <w:rsid w:val="00C207B8"/>
    <w:rsid w:val="00C208A3"/>
    <w:rsid w:val="00C208F2"/>
    <w:rsid w:val="00C20AEF"/>
    <w:rsid w:val="00C20BDB"/>
    <w:rsid w:val="00C20DE1"/>
    <w:rsid w:val="00C20E0B"/>
    <w:rsid w:val="00C20F7D"/>
    <w:rsid w:val="00C212BE"/>
    <w:rsid w:val="00C21431"/>
    <w:rsid w:val="00C21561"/>
    <w:rsid w:val="00C21755"/>
    <w:rsid w:val="00C21A0A"/>
    <w:rsid w:val="00C21ACA"/>
    <w:rsid w:val="00C21DB4"/>
    <w:rsid w:val="00C21E10"/>
    <w:rsid w:val="00C21E68"/>
    <w:rsid w:val="00C21F13"/>
    <w:rsid w:val="00C220C4"/>
    <w:rsid w:val="00C223E2"/>
    <w:rsid w:val="00C2248B"/>
    <w:rsid w:val="00C2287C"/>
    <w:rsid w:val="00C228D9"/>
    <w:rsid w:val="00C22947"/>
    <w:rsid w:val="00C22B3F"/>
    <w:rsid w:val="00C22CAF"/>
    <w:rsid w:val="00C22D33"/>
    <w:rsid w:val="00C22E48"/>
    <w:rsid w:val="00C23420"/>
    <w:rsid w:val="00C235CD"/>
    <w:rsid w:val="00C235E0"/>
    <w:rsid w:val="00C23789"/>
    <w:rsid w:val="00C23872"/>
    <w:rsid w:val="00C23FB9"/>
    <w:rsid w:val="00C246BE"/>
    <w:rsid w:val="00C246E6"/>
    <w:rsid w:val="00C24958"/>
    <w:rsid w:val="00C24A9F"/>
    <w:rsid w:val="00C24B17"/>
    <w:rsid w:val="00C24C0B"/>
    <w:rsid w:val="00C24E3B"/>
    <w:rsid w:val="00C25130"/>
    <w:rsid w:val="00C25144"/>
    <w:rsid w:val="00C251B8"/>
    <w:rsid w:val="00C252E6"/>
    <w:rsid w:val="00C2533A"/>
    <w:rsid w:val="00C2537E"/>
    <w:rsid w:val="00C253EE"/>
    <w:rsid w:val="00C2545E"/>
    <w:rsid w:val="00C2549F"/>
    <w:rsid w:val="00C2593B"/>
    <w:rsid w:val="00C25AC9"/>
    <w:rsid w:val="00C25B26"/>
    <w:rsid w:val="00C25B4B"/>
    <w:rsid w:val="00C25EA1"/>
    <w:rsid w:val="00C25EBA"/>
    <w:rsid w:val="00C26158"/>
    <w:rsid w:val="00C26181"/>
    <w:rsid w:val="00C26259"/>
    <w:rsid w:val="00C2642C"/>
    <w:rsid w:val="00C267A7"/>
    <w:rsid w:val="00C26915"/>
    <w:rsid w:val="00C26A5D"/>
    <w:rsid w:val="00C26B62"/>
    <w:rsid w:val="00C26B8E"/>
    <w:rsid w:val="00C26C1F"/>
    <w:rsid w:val="00C26CF3"/>
    <w:rsid w:val="00C26DD4"/>
    <w:rsid w:val="00C26E19"/>
    <w:rsid w:val="00C26E64"/>
    <w:rsid w:val="00C26EEC"/>
    <w:rsid w:val="00C26FB6"/>
    <w:rsid w:val="00C2730D"/>
    <w:rsid w:val="00C274B4"/>
    <w:rsid w:val="00C276BB"/>
    <w:rsid w:val="00C27807"/>
    <w:rsid w:val="00C27C5C"/>
    <w:rsid w:val="00C27C9E"/>
    <w:rsid w:val="00C27EC8"/>
    <w:rsid w:val="00C3001C"/>
    <w:rsid w:val="00C3015C"/>
    <w:rsid w:val="00C30449"/>
    <w:rsid w:val="00C305B8"/>
    <w:rsid w:val="00C3081B"/>
    <w:rsid w:val="00C3099E"/>
    <w:rsid w:val="00C30A7B"/>
    <w:rsid w:val="00C30B39"/>
    <w:rsid w:val="00C30D41"/>
    <w:rsid w:val="00C30F6B"/>
    <w:rsid w:val="00C30FD8"/>
    <w:rsid w:val="00C31178"/>
    <w:rsid w:val="00C312A4"/>
    <w:rsid w:val="00C31358"/>
    <w:rsid w:val="00C3144C"/>
    <w:rsid w:val="00C31ACF"/>
    <w:rsid w:val="00C31D10"/>
    <w:rsid w:val="00C31DFC"/>
    <w:rsid w:val="00C31EF7"/>
    <w:rsid w:val="00C3222E"/>
    <w:rsid w:val="00C32237"/>
    <w:rsid w:val="00C32312"/>
    <w:rsid w:val="00C32332"/>
    <w:rsid w:val="00C323DC"/>
    <w:rsid w:val="00C32562"/>
    <w:rsid w:val="00C32A8D"/>
    <w:rsid w:val="00C32FDB"/>
    <w:rsid w:val="00C3321A"/>
    <w:rsid w:val="00C33462"/>
    <w:rsid w:val="00C33845"/>
    <w:rsid w:val="00C33888"/>
    <w:rsid w:val="00C33916"/>
    <w:rsid w:val="00C33C32"/>
    <w:rsid w:val="00C33C8C"/>
    <w:rsid w:val="00C33DA6"/>
    <w:rsid w:val="00C33E50"/>
    <w:rsid w:val="00C33EC4"/>
    <w:rsid w:val="00C33ED0"/>
    <w:rsid w:val="00C33EE1"/>
    <w:rsid w:val="00C34388"/>
    <w:rsid w:val="00C34488"/>
    <w:rsid w:val="00C34711"/>
    <w:rsid w:val="00C348AE"/>
    <w:rsid w:val="00C348CB"/>
    <w:rsid w:val="00C34AD0"/>
    <w:rsid w:val="00C34DBD"/>
    <w:rsid w:val="00C34E67"/>
    <w:rsid w:val="00C35382"/>
    <w:rsid w:val="00C35405"/>
    <w:rsid w:val="00C35631"/>
    <w:rsid w:val="00C357A7"/>
    <w:rsid w:val="00C35896"/>
    <w:rsid w:val="00C361B5"/>
    <w:rsid w:val="00C362CF"/>
    <w:rsid w:val="00C36391"/>
    <w:rsid w:val="00C36497"/>
    <w:rsid w:val="00C364D0"/>
    <w:rsid w:val="00C36573"/>
    <w:rsid w:val="00C36608"/>
    <w:rsid w:val="00C366E5"/>
    <w:rsid w:val="00C36733"/>
    <w:rsid w:val="00C3677B"/>
    <w:rsid w:val="00C36A3F"/>
    <w:rsid w:val="00C36A8F"/>
    <w:rsid w:val="00C36C60"/>
    <w:rsid w:val="00C36DDB"/>
    <w:rsid w:val="00C371A9"/>
    <w:rsid w:val="00C371AE"/>
    <w:rsid w:val="00C37218"/>
    <w:rsid w:val="00C37371"/>
    <w:rsid w:val="00C37519"/>
    <w:rsid w:val="00C37566"/>
    <w:rsid w:val="00C375D8"/>
    <w:rsid w:val="00C376A7"/>
    <w:rsid w:val="00C3777D"/>
    <w:rsid w:val="00C3793C"/>
    <w:rsid w:val="00C37B16"/>
    <w:rsid w:val="00C37C26"/>
    <w:rsid w:val="00C37CB0"/>
    <w:rsid w:val="00C37CB8"/>
    <w:rsid w:val="00C37E74"/>
    <w:rsid w:val="00C40020"/>
    <w:rsid w:val="00C40244"/>
    <w:rsid w:val="00C404A2"/>
    <w:rsid w:val="00C405AA"/>
    <w:rsid w:val="00C406EC"/>
    <w:rsid w:val="00C408A9"/>
    <w:rsid w:val="00C40B27"/>
    <w:rsid w:val="00C40BFE"/>
    <w:rsid w:val="00C40FF0"/>
    <w:rsid w:val="00C410C0"/>
    <w:rsid w:val="00C41281"/>
    <w:rsid w:val="00C41394"/>
    <w:rsid w:val="00C4145F"/>
    <w:rsid w:val="00C419D2"/>
    <w:rsid w:val="00C41B44"/>
    <w:rsid w:val="00C41D1C"/>
    <w:rsid w:val="00C41D95"/>
    <w:rsid w:val="00C42114"/>
    <w:rsid w:val="00C42147"/>
    <w:rsid w:val="00C4232F"/>
    <w:rsid w:val="00C4234D"/>
    <w:rsid w:val="00C424A8"/>
    <w:rsid w:val="00C428B4"/>
    <w:rsid w:val="00C42B01"/>
    <w:rsid w:val="00C42CF0"/>
    <w:rsid w:val="00C42DF6"/>
    <w:rsid w:val="00C432AF"/>
    <w:rsid w:val="00C43815"/>
    <w:rsid w:val="00C43D19"/>
    <w:rsid w:val="00C43D42"/>
    <w:rsid w:val="00C4409F"/>
    <w:rsid w:val="00C440E6"/>
    <w:rsid w:val="00C44734"/>
    <w:rsid w:val="00C448EC"/>
    <w:rsid w:val="00C4498F"/>
    <w:rsid w:val="00C449F3"/>
    <w:rsid w:val="00C44C85"/>
    <w:rsid w:val="00C44E59"/>
    <w:rsid w:val="00C44E9D"/>
    <w:rsid w:val="00C45161"/>
    <w:rsid w:val="00C45428"/>
    <w:rsid w:val="00C454D1"/>
    <w:rsid w:val="00C457F9"/>
    <w:rsid w:val="00C45810"/>
    <w:rsid w:val="00C45BE7"/>
    <w:rsid w:val="00C45BF0"/>
    <w:rsid w:val="00C45E1C"/>
    <w:rsid w:val="00C45E95"/>
    <w:rsid w:val="00C45F14"/>
    <w:rsid w:val="00C460BE"/>
    <w:rsid w:val="00C461C7"/>
    <w:rsid w:val="00C4624D"/>
    <w:rsid w:val="00C463AB"/>
    <w:rsid w:val="00C4646B"/>
    <w:rsid w:val="00C466EA"/>
    <w:rsid w:val="00C46A58"/>
    <w:rsid w:val="00C46DA2"/>
    <w:rsid w:val="00C46DAE"/>
    <w:rsid w:val="00C46E5D"/>
    <w:rsid w:val="00C46F2B"/>
    <w:rsid w:val="00C4700B"/>
    <w:rsid w:val="00C4708E"/>
    <w:rsid w:val="00C47126"/>
    <w:rsid w:val="00C474C2"/>
    <w:rsid w:val="00C478C4"/>
    <w:rsid w:val="00C47B4F"/>
    <w:rsid w:val="00C47C44"/>
    <w:rsid w:val="00C47DBD"/>
    <w:rsid w:val="00C47DC6"/>
    <w:rsid w:val="00C47E56"/>
    <w:rsid w:val="00C47EDA"/>
    <w:rsid w:val="00C50271"/>
    <w:rsid w:val="00C504DA"/>
    <w:rsid w:val="00C5052F"/>
    <w:rsid w:val="00C5055F"/>
    <w:rsid w:val="00C50661"/>
    <w:rsid w:val="00C50747"/>
    <w:rsid w:val="00C50B13"/>
    <w:rsid w:val="00C50C1E"/>
    <w:rsid w:val="00C50D82"/>
    <w:rsid w:val="00C50F55"/>
    <w:rsid w:val="00C50F8A"/>
    <w:rsid w:val="00C5105E"/>
    <w:rsid w:val="00C51702"/>
    <w:rsid w:val="00C51784"/>
    <w:rsid w:val="00C51A09"/>
    <w:rsid w:val="00C51ACD"/>
    <w:rsid w:val="00C51B0B"/>
    <w:rsid w:val="00C51BA7"/>
    <w:rsid w:val="00C51D25"/>
    <w:rsid w:val="00C51EFE"/>
    <w:rsid w:val="00C52156"/>
    <w:rsid w:val="00C523D7"/>
    <w:rsid w:val="00C525DF"/>
    <w:rsid w:val="00C526D4"/>
    <w:rsid w:val="00C52839"/>
    <w:rsid w:val="00C5284A"/>
    <w:rsid w:val="00C52A41"/>
    <w:rsid w:val="00C52CAE"/>
    <w:rsid w:val="00C52D91"/>
    <w:rsid w:val="00C52E25"/>
    <w:rsid w:val="00C532C7"/>
    <w:rsid w:val="00C533B9"/>
    <w:rsid w:val="00C535DC"/>
    <w:rsid w:val="00C53703"/>
    <w:rsid w:val="00C5373C"/>
    <w:rsid w:val="00C539A3"/>
    <w:rsid w:val="00C539DA"/>
    <w:rsid w:val="00C53A16"/>
    <w:rsid w:val="00C53ACE"/>
    <w:rsid w:val="00C53BED"/>
    <w:rsid w:val="00C53D4E"/>
    <w:rsid w:val="00C53FA2"/>
    <w:rsid w:val="00C5405E"/>
    <w:rsid w:val="00C5420D"/>
    <w:rsid w:val="00C54211"/>
    <w:rsid w:val="00C5440D"/>
    <w:rsid w:val="00C54507"/>
    <w:rsid w:val="00C5454C"/>
    <w:rsid w:val="00C547FB"/>
    <w:rsid w:val="00C54895"/>
    <w:rsid w:val="00C548F3"/>
    <w:rsid w:val="00C5493E"/>
    <w:rsid w:val="00C549BD"/>
    <w:rsid w:val="00C54AA3"/>
    <w:rsid w:val="00C54F66"/>
    <w:rsid w:val="00C54FB2"/>
    <w:rsid w:val="00C5513D"/>
    <w:rsid w:val="00C552A4"/>
    <w:rsid w:val="00C5543A"/>
    <w:rsid w:val="00C55457"/>
    <w:rsid w:val="00C554C2"/>
    <w:rsid w:val="00C5568F"/>
    <w:rsid w:val="00C558A9"/>
    <w:rsid w:val="00C55A7F"/>
    <w:rsid w:val="00C55AAF"/>
    <w:rsid w:val="00C55ADB"/>
    <w:rsid w:val="00C55B23"/>
    <w:rsid w:val="00C55C00"/>
    <w:rsid w:val="00C56104"/>
    <w:rsid w:val="00C564B1"/>
    <w:rsid w:val="00C56616"/>
    <w:rsid w:val="00C56738"/>
    <w:rsid w:val="00C56747"/>
    <w:rsid w:val="00C56984"/>
    <w:rsid w:val="00C56AF8"/>
    <w:rsid w:val="00C56D3A"/>
    <w:rsid w:val="00C56ECA"/>
    <w:rsid w:val="00C56F8D"/>
    <w:rsid w:val="00C56FD1"/>
    <w:rsid w:val="00C5729A"/>
    <w:rsid w:val="00C57404"/>
    <w:rsid w:val="00C5744D"/>
    <w:rsid w:val="00C574A0"/>
    <w:rsid w:val="00C5756A"/>
    <w:rsid w:val="00C575FA"/>
    <w:rsid w:val="00C57CBD"/>
    <w:rsid w:val="00C57D2F"/>
    <w:rsid w:val="00C57E94"/>
    <w:rsid w:val="00C603E8"/>
    <w:rsid w:val="00C6042E"/>
    <w:rsid w:val="00C6068E"/>
    <w:rsid w:val="00C60B62"/>
    <w:rsid w:val="00C60BFD"/>
    <w:rsid w:val="00C6115C"/>
    <w:rsid w:val="00C613AC"/>
    <w:rsid w:val="00C6145E"/>
    <w:rsid w:val="00C6154C"/>
    <w:rsid w:val="00C617FA"/>
    <w:rsid w:val="00C619F9"/>
    <w:rsid w:val="00C61C0E"/>
    <w:rsid w:val="00C61D5F"/>
    <w:rsid w:val="00C624A1"/>
    <w:rsid w:val="00C6272D"/>
    <w:rsid w:val="00C62793"/>
    <w:rsid w:val="00C628C0"/>
    <w:rsid w:val="00C62953"/>
    <w:rsid w:val="00C62A28"/>
    <w:rsid w:val="00C62B87"/>
    <w:rsid w:val="00C62FF9"/>
    <w:rsid w:val="00C6321D"/>
    <w:rsid w:val="00C633E2"/>
    <w:rsid w:val="00C63991"/>
    <w:rsid w:val="00C63B1C"/>
    <w:rsid w:val="00C63E46"/>
    <w:rsid w:val="00C63E58"/>
    <w:rsid w:val="00C63E63"/>
    <w:rsid w:val="00C63E68"/>
    <w:rsid w:val="00C63E7B"/>
    <w:rsid w:val="00C63F05"/>
    <w:rsid w:val="00C640A4"/>
    <w:rsid w:val="00C640D1"/>
    <w:rsid w:val="00C64142"/>
    <w:rsid w:val="00C645A6"/>
    <w:rsid w:val="00C6461E"/>
    <w:rsid w:val="00C647FA"/>
    <w:rsid w:val="00C647FF"/>
    <w:rsid w:val="00C648BB"/>
    <w:rsid w:val="00C648F7"/>
    <w:rsid w:val="00C649C2"/>
    <w:rsid w:val="00C64B83"/>
    <w:rsid w:val="00C64B85"/>
    <w:rsid w:val="00C64C05"/>
    <w:rsid w:val="00C64C2D"/>
    <w:rsid w:val="00C64C33"/>
    <w:rsid w:val="00C64D82"/>
    <w:rsid w:val="00C64DF9"/>
    <w:rsid w:val="00C653DF"/>
    <w:rsid w:val="00C6569C"/>
    <w:rsid w:val="00C65753"/>
    <w:rsid w:val="00C65764"/>
    <w:rsid w:val="00C658A0"/>
    <w:rsid w:val="00C659A3"/>
    <w:rsid w:val="00C659E2"/>
    <w:rsid w:val="00C65AC8"/>
    <w:rsid w:val="00C65B39"/>
    <w:rsid w:val="00C65C27"/>
    <w:rsid w:val="00C65E5C"/>
    <w:rsid w:val="00C65E6C"/>
    <w:rsid w:val="00C65EDF"/>
    <w:rsid w:val="00C65FD3"/>
    <w:rsid w:val="00C6619D"/>
    <w:rsid w:val="00C661B5"/>
    <w:rsid w:val="00C66259"/>
    <w:rsid w:val="00C66301"/>
    <w:rsid w:val="00C664F8"/>
    <w:rsid w:val="00C6653F"/>
    <w:rsid w:val="00C665E4"/>
    <w:rsid w:val="00C6668D"/>
    <w:rsid w:val="00C66791"/>
    <w:rsid w:val="00C6689F"/>
    <w:rsid w:val="00C669EF"/>
    <w:rsid w:val="00C66A10"/>
    <w:rsid w:val="00C67108"/>
    <w:rsid w:val="00C67155"/>
    <w:rsid w:val="00C679FE"/>
    <w:rsid w:val="00C67B67"/>
    <w:rsid w:val="00C67C1A"/>
    <w:rsid w:val="00C67CA5"/>
    <w:rsid w:val="00C67E22"/>
    <w:rsid w:val="00C67EFE"/>
    <w:rsid w:val="00C67FA3"/>
    <w:rsid w:val="00C709E8"/>
    <w:rsid w:val="00C70AAE"/>
    <w:rsid w:val="00C70B12"/>
    <w:rsid w:val="00C70B49"/>
    <w:rsid w:val="00C713CD"/>
    <w:rsid w:val="00C713E5"/>
    <w:rsid w:val="00C7155A"/>
    <w:rsid w:val="00C716D0"/>
    <w:rsid w:val="00C717A3"/>
    <w:rsid w:val="00C71922"/>
    <w:rsid w:val="00C719F5"/>
    <w:rsid w:val="00C71A64"/>
    <w:rsid w:val="00C71C18"/>
    <w:rsid w:val="00C71C60"/>
    <w:rsid w:val="00C71D5D"/>
    <w:rsid w:val="00C71DCB"/>
    <w:rsid w:val="00C71E19"/>
    <w:rsid w:val="00C71E62"/>
    <w:rsid w:val="00C72032"/>
    <w:rsid w:val="00C724D2"/>
    <w:rsid w:val="00C72572"/>
    <w:rsid w:val="00C726EA"/>
    <w:rsid w:val="00C7299E"/>
    <w:rsid w:val="00C72B2F"/>
    <w:rsid w:val="00C72D0B"/>
    <w:rsid w:val="00C72F5B"/>
    <w:rsid w:val="00C72F97"/>
    <w:rsid w:val="00C7301B"/>
    <w:rsid w:val="00C73385"/>
    <w:rsid w:val="00C73613"/>
    <w:rsid w:val="00C73701"/>
    <w:rsid w:val="00C73C64"/>
    <w:rsid w:val="00C73D62"/>
    <w:rsid w:val="00C73FAE"/>
    <w:rsid w:val="00C73FEF"/>
    <w:rsid w:val="00C743A3"/>
    <w:rsid w:val="00C743AB"/>
    <w:rsid w:val="00C74534"/>
    <w:rsid w:val="00C7471B"/>
    <w:rsid w:val="00C74743"/>
    <w:rsid w:val="00C747BE"/>
    <w:rsid w:val="00C74864"/>
    <w:rsid w:val="00C749A8"/>
    <w:rsid w:val="00C74AC2"/>
    <w:rsid w:val="00C74B51"/>
    <w:rsid w:val="00C74BBB"/>
    <w:rsid w:val="00C74C39"/>
    <w:rsid w:val="00C74CC9"/>
    <w:rsid w:val="00C74F77"/>
    <w:rsid w:val="00C74F84"/>
    <w:rsid w:val="00C751BE"/>
    <w:rsid w:val="00C755FA"/>
    <w:rsid w:val="00C756F8"/>
    <w:rsid w:val="00C75793"/>
    <w:rsid w:val="00C757F7"/>
    <w:rsid w:val="00C7592E"/>
    <w:rsid w:val="00C75A16"/>
    <w:rsid w:val="00C75AD3"/>
    <w:rsid w:val="00C75D62"/>
    <w:rsid w:val="00C75DF7"/>
    <w:rsid w:val="00C75E9F"/>
    <w:rsid w:val="00C75F9D"/>
    <w:rsid w:val="00C76012"/>
    <w:rsid w:val="00C760CE"/>
    <w:rsid w:val="00C76226"/>
    <w:rsid w:val="00C76302"/>
    <w:rsid w:val="00C76694"/>
    <w:rsid w:val="00C76700"/>
    <w:rsid w:val="00C7693B"/>
    <w:rsid w:val="00C76A78"/>
    <w:rsid w:val="00C76ADE"/>
    <w:rsid w:val="00C76CDE"/>
    <w:rsid w:val="00C76F3A"/>
    <w:rsid w:val="00C7726F"/>
    <w:rsid w:val="00C7727E"/>
    <w:rsid w:val="00C7735D"/>
    <w:rsid w:val="00C77502"/>
    <w:rsid w:val="00C7777C"/>
    <w:rsid w:val="00C7791C"/>
    <w:rsid w:val="00C77CF6"/>
    <w:rsid w:val="00C77DBF"/>
    <w:rsid w:val="00C80060"/>
    <w:rsid w:val="00C800F2"/>
    <w:rsid w:val="00C803E7"/>
    <w:rsid w:val="00C80733"/>
    <w:rsid w:val="00C80796"/>
    <w:rsid w:val="00C807D5"/>
    <w:rsid w:val="00C807DC"/>
    <w:rsid w:val="00C809D7"/>
    <w:rsid w:val="00C80EA4"/>
    <w:rsid w:val="00C81224"/>
    <w:rsid w:val="00C81477"/>
    <w:rsid w:val="00C817D4"/>
    <w:rsid w:val="00C818D5"/>
    <w:rsid w:val="00C81CA3"/>
    <w:rsid w:val="00C81DCB"/>
    <w:rsid w:val="00C81E6A"/>
    <w:rsid w:val="00C81FC7"/>
    <w:rsid w:val="00C82121"/>
    <w:rsid w:val="00C8213C"/>
    <w:rsid w:val="00C8214C"/>
    <w:rsid w:val="00C823E9"/>
    <w:rsid w:val="00C8240B"/>
    <w:rsid w:val="00C824F2"/>
    <w:rsid w:val="00C82507"/>
    <w:rsid w:val="00C82AFC"/>
    <w:rsid w:val="00C82F37"/>
    <w:rsid w:val="00C82F6C"/>
    <w:rsid w:val="00C82FBB"/>
    <w:rsid w:val="00C8307E"/>
    <w:rsid w:val="00C83127"/>
    <w:rsid w:val="00C83150"/>
    <w:rsid w:val="00C83206"/>
    <w:rsid w:val="00C83651"/>
    <w:rsid w:val="00C83677"/>
    <w:rsid w:val="00C8370C"/>
    <w:rsid w:val="00C83ACB"/>
    <w:rsid w:val="00C83CF5"/>
    <w:rsid w:val="00C83ED3"/>
    <w:rsid w:val="00C83FAF"/>
    <w:rsid w:val="00C84031"/>
    <w:rsid w:val="00C847BB"/>
    <w:rsid w:val="00C84823"/>
    <w:rsid w:val="00C84966"/>
    <w:rsid w:val="00C84B78"/>
    <w:rsid w:val="00C84C8F"/>
    <w:rsid w:val="00C85030"/>
    <w:rsid w:val="00C85114"/>
    <w:rsid w:val="00C85441"/>
    <w:rsid w:val="00C85840"/>
    <w:rsid w:val="00C8598E"/>
    <w:rsid w:val="00C85D26"/>
    <w:rsid w:val="00C85DE9"/>
    <w:rsid w:val="00C85EC1"/>
    <w:rsid w:val="00C85F3A"/>
    <w:rsid w:val="00C85FD9"/>
    <w:rsid w:val="00C860C9"/>
    <w:rsid w:val="00C860F8"/>
    <w:rsid w:val="00C862B6"/>
    <w:rsid w:val="00C863BB"/>
    <w:rsid w:val="00C8640F"/>
    <w:rsid w:val="00C86750"/>
    <w:rsid w:val="00C86799"/>
    <w:rsid w:val="00C86820"/>
    <w:rsid w:val="00C86C35"/>
    <w:rsid w:val="00C86DA5"/>
    <w:rsid w:val="00C86FF8"/>
    <w:rsid w:val="00C87082"/>
    <w:rsid w:val="00C87685"/>
    <w:rsid w:val="00C87CF6"/>
    <w:rsid w:val="00C900A2"/>
    <w:rsid w:val="00C9016B"/>
    <w:rsid w:val="00C90203"/>
    <w:rsid w:val="00C9064E"/>
    <w:rsid w:val="00C90A07"/>
    <w:rsid w:val="00C90C43"/>
    <w:rsid w:val="00C90CE1"/>
    <w:rsid w:val="00C90D24"/>
    <w:rsid w:val="00C90D2A"/>
    <w:rsid w:val="00C90D67"/>
    <w:rsid w:val="00C90DCC"/>
    <w:rsid w:val="00C90EC7"/>
    <w:rsid w:val="00C90F3D"/>
    <w:rsid w:val="00C91012"/>
    <w:rsid w:val="00C91084"/>
    <w:rsid w:val="00C910C4"/>
    <w:rsid w:val="00C911E5"/>
    <w:rsid w:val="00C911FC"/>
    <w:rsid w:val="00C9166B"/>
    <w:rsid w:val="00C91691"/>
    <w:rsid w:val="00C919C6"/>
    <w:rsid w:val="00C91B29"/>
    <w:rsid w:val="00C91C35"/>
    <w:rsid w:val="00C91DB5"/>
    <w:rsid w:val="00C91F5B"/>
    <w:rsid w:val="00C91F7D"/>
    <w:rsid w:val="00C92418"/>
    <w:rsid w:val="00C92478"/>
    <w:rsid w:val="00C924A1"/>
    <w:rsid w:val="00C924EC"/>
    <w:rsid w:val="00C925A8"/>
    <w:rsid w:val="00C9262F"/>
    <w:rsid w:val="00C92767"/>
    <w:rsid w:val="00C92C16"/>
    <w:rsid w:val="00C930D2"/>
    <w:rsid w:val="00C93397"/>
    <w:rsid w:val="00C934C9"/>
    <w:rsid w:val="00C93545"/>
    <w:rsid w:val="00C936D3"/>
    <w:rsid w:val="00C937A2"/>
    <w:rsid w:val="00C937EC"/>
    <w:rsid w:val="00C93858"/>
    <w:rsid w:val="00C938BC"/>
    <w:rsid w:val="00C938E5"/>
    <w:rsid w:val="00C938FB"/>
    <w:rsid w:val="00C9391B"/>
    <w:rsid w:val="00C93A8F"/>
    <w:rsid w:val="00C93B82"/>
    <w:rsid w:val="00C93BA3"/>
    <w:rsid w:val="00C93C0E"/>
    <w:rsid w:val="00C93CF6"/>
    <w:rsid w:val="00C93D2F"/>
    <w:rsid w:val="00C93DAE"/>
    <w:rsid w:val="00C93DBE"/>
    <w:rsid w:val="00C93EA7"/>
    <w:rsid w:val="00C93FD8"/>
    <w:rsid w:val="00C94232"/>
    <w:rsid w:val="00C943E2"/>
    <w:rsid w:val="00C94421"/>
    <w:rsid w:val="00C9467F"/>
    <w:rsid w:val="00C94831"/>
    <w:rsid w:val="00C949F1"/>
    <w:rsid w:val="00C94A0D"/>
    <w:rsid w:val="00C94A64"/>
    <w:rsid w:val="00C94B7C"/>
    <w:rsid w:val="00C94C06"/>
    <w:rsid w:val="00C94C9F"/>
    <w:rsid w:val="00C94E3D"/>
    <w:rsid w:val="00C94EDC"/>
    <w:rsid w:val="00C94F26"/>
    <w:rsid w:val="00C94FED"/>
    <w:rsid w:val="00C95004"/>
    <w:rsid w:val="00C95163"/>
    <w:rsid w:val="00C95329"/>
    <w:rsid w:val="00C956A3"/>
    <w:rsid w:val="00C95D35"/>
    <w:rsid w:val="00C95DE4"/>
    <w:rsid w:val="00C95E4B"/>
    <w:rsid w:val="00C95F59"/>
    <w:rsid w:val="00C95F82"/>
    <w:rsid w:val="00C960E8"/>
    <w:rsid w:val="00C96100"/>
    <w:rsid w:val="00C96151"/>
    <w:rsid w:val="00C962D9"/>
    <w:rsid w:val="00C96418"/>
    <w:rsid w:val="00C9643D"/>
    <w:rsid w:val="00C965D1"/>
    <w:rsid w:val="00C966F1"/>
    <w:rsid w:val="00C967FB"/>
    <w:rsid w:val="00C9698C"/>
    <w:rsid w:val="00C96D94"/>
    <w:rsid w:val="00C96DD5"/>
    <w:rsid w:val="00C96E17"/>
    <w:rsid w:val="00C96E91"/>
    <w:rsid w:val="00C9728A"/>
    <w:rsid w:val="00C97AF0"/>
    <w:rsid w:val="00C97D74"/>
    <w:rsid w:val="00C97DC5"/>
    <w:rsid w:val="00C97E8D"/>
    <w:rsid w:val="00C97F8E"/>
    <w:rsid w:val="00CA01EE"/>
    <w:rsid w:val="00CA027F"/>
    <w:rsid w:val="00CA02D6"/>
    <w:rsid w:val="00CA044B"/>
    <w:rsid w:val="00CA04FC"/>
    <w:rsid w:val="00CA072A"/>
    <w:rsid w:val="00CA08C5"/>
    <w:rsid w:val="00CA0BEC"/>
    <w:rsid w:val="00CA0CC3"/>
    <w:rsid w:val="00CA0CD9"/>
    <w:rsid w:val="00CA0D30"/>
    <w:rsid w:val="00CA0EF6"/>
    <w:rsid w:val="00CA114A"/>
    <w:rsid w:val="00CA12B4"/>
    <w:rsid w:val="00CA1319"/>
    <w:rsid w:val="00CA13D6"/>
    <w:rsid w:val="00CA140D"/>
    <w:rsid w:val="00CA141A"/>
    <w:rsid w:val="00CA1566"/>
    <w:rsid w:val="00CA17C8"/>
    <w:rsid w:val="00CA19B6"/>
    <w:rsid w:val="00CA20CA"/>
    <w:rsid w:val="00CA2274"/>
    <w:rsid w:val="00CA2381"/>
    <w:rsid w:val="00CA23BE"/>
    <w:rsid w:val="00CA23C3"/>
    <w:rsid w:val="00CA23D3"/>
    <w:rsid w:val="00CA242A"/>
    <w:rsid w:val="00CA2732"/>
    <w:rsid w:val="00CA28CB"/>
    <w:rsid w:val="00CA294E"/>
    <w:rsid w:val="00CA2981"/>
    <w:rsid w:val="00CA29E9"/>
    <w:rsid w:val="00CA2B7C"/>
    <w:rsid w:val="00CA2D2E"/>
    <w:rsid w:val="00CA2F24"/>
    <w:rsid w:val="00CA316B"/>
    <w:rsid w:val="00CA31A4"/>
    <w:rsid w:val="00CA3333"/>
    <w:rsid w:val="00CA34AF"/>
    <w:rsid w:val="00CA34E7"/>
    <w:rsid w:val="00CA361A"/>
    <w:rsid w:val="00CA366D"/>
    <w:rsid w:val="00CA3743"/>
    <w:rsid w:val="00CA3774"/>
    <w:rsid w:val="00CA38DE"/>
    <w:rsid w:val="00CA3A76"/>
    <w:rsid w:val="00CA3B81"/>
    <w:rsid w:val="00CA3CD3"/>
    <w:rsid w:val="00CA3F4E"/>
    <w:rsid w:val="00CA414C"/>
    <w:rsid w:val="00CA417A"/>
    <w:rsid w:val="00CA427E"/>
    <w:rsid w:val="00CA44D5"/>
    <w:rsid w:val="00CA452C"/>
    <w:rsid w:val="00CA46BA"/>
    <w:rsid w:val="00CA472C"/>
    <w:rsid w:val="00CA4795"/>
    <w:rsid w:val="00CA4A10"/>
    <w:rsid w:val="00CA4A4F"/>
    <w:rsid w:val="00CA4BB9"/>
    <w:rsid w:val="00CA4BEC"/>
    <w:rsid w:val="00CA4DAE"/>
    <w:rsid w:val="00CA512D"/>
    <w:rsid w:val="00CA51DA"/>
    <w:rsid w:val="00CA5537"/>
    <w:rsid w:val="00CA5762"/>
    <w:rsid w:val="00CA64D6"/>
    <w:rsid w:val="00CA6532"/>
    <w:rsid w:val="00CA6616"/>
    <w:rsid w:val="00CA6670"/>
    <w:rsid w:val="00CA669D"/>
    <w:rsid w:val="00CA6AC6"/>
    <w:rsid w:val="00CA6C43"/>
    <w:rsid w:val="00CA6D57"/>
    <w:rsid w:val="00CA712A"/>
    <w:rsid w:val="00CA7237"/>
    <w:rsid w:val="00CA7248"/>
    <w:rsid w:val="00CA72D6"/>
    <w:rsid w:val="00CA7476"/>
    <w:rsid w:val="00CA77C9"/>
    <w:rsid w:val="00CA7B29"/>
    <w:rsid w:val="00CA7C25"/>
    <w:rsid w:val="00CA7E50"/>
    <w:rsid w:val="00CB01D8"/>
    <w:rsid w:val="00CB02B4"/>
    <w:rsid w:val="00CB0419"/>
    <w:rsid w:val="00CB0477"/>
    <w:rsid w:val="00CB04FA"/>
    <w:rsid w:val="00CB06B0"/>
    <w:rsid w:val="00CB0854"/>
    <w:rsid w:val="00CB0A39"/>
    <w:rsid w:val="00CB0B9E"/>
    <w:rsid w:val="00CB0E11"/>
    <w:rsid w:val="00CB0E3E"/>
    <w:rsid w:val="00CB0E51"/>
    <w:rsid w:val="00CB0EA2"/>
    <w:rsid w:val="00CB0F15"/>
    <w:rsid w:val="00CB0FEC"/>
    <w:rsid w:val="00CB1329"/>
    <w:rsid w:val="00CB1353"/>
    <w:rsid w:val="00CB1408"/>
    <w:rsid w:val="00CB1617"/>
    <w:rsid w:val="00CB18B5"/>
    <w:rsid w:val="00CB18D3"/>
    <w:rsid w:val="00CB1996"/>
    <w:rsid w:val="00CB1A19"/>
    <w:rsid w:val="00CB1C00"/>
    <w:rsid w:val="00CB1DC0"/>
    <w:rsid w:val="00CB1F69"/>
    <w:rsid w:val="00CB1FF3"/>
    <w:rsid w:val="00CB1FFB"/>
    <w:rsid w:val="00CB2055"/>
    <w:rsid w:val="00CB207D"/>
    <w:rsid w:val="00CB2223"/>
    <w:rsid w:val="00CB225D"/>
    <w:rsid w:val="00CB238E"/>
    <w:rsid w:val="00CB2497"/>
    <w:rsid w:val="00CB26A4"/>
    <w:rsid w:val="00CB274A"/>
    <w:rsid w:val="00CB2998"/>
    <w:rsid w:val="00CB2A9D"/>
    <w:rsid w:val="00CB2B11"/>
    <w:rsid w:val="00CB2BA4"/>
    <w:rsid w:val="00CB2CA8"/>
    <w:rsid w:val="00CB2DAC"/>
    <w:rsid w:val="00CB2E13"/>
    <w:rsid w:val="00CB2FDC"/>
    <w:rsid w:val="00CB31AC"/>
    <w:rsid w:val="00CB3508"/>
    <w:rsid w:val="00CB3736"/>
    <w:rsid w:val="00CB37CA"/>
    <w:rsid w:val="00CB38C4"/>
    <w:rsid w:val="00CB3A60"/>
    <w:rsid w:val="00CB3A90"/>
    <w:rsid w:val="00CB3C94"/>
    <w:rsid w:val="00CB3DD0"/>
    <w:rsid w:val="00CB406F"/>
    <w:rsid w:val="00CB408F"/>
    <w:rsid w:val="00CB41AB"/>
    <w:rsid w:val="00CB4414"/>
    <w:rsid w:val="00CB4499"/>
    <w:rsid w:val="00CB4557"/>
    <w:rsid w:val="00CB45C0"/>
    <w:rsid w:val="00CB468B"/>
    <w:rsid w:val="00CB479F"/>
    <w:rsid w:val="00CB47F1"/>
    <w:rsid w:val="00CB481B"/>
    <w:rsid w:val="00CB486E"/>
    <w:rsid w:val="00CB4973"/>
    <w:rsid w:val="00CB4A25"/>
    <w:rsid w:val="00CB4BCE"/>
    <w:rsid w:val="00CB4DF7"/>
    <w:rsid w:val="00CB51CB"/>
    <w:rsid w:val="00CB51EA"/>
    <w:rsid w:val="00CB5799"/>
    <w:rsid w:val="00CB57B7"/>
    <w:rsid w:val="00CB5827"/>
    <w:rsid w:val="00CB5942"/>
    <w:rsid w:val="00CB59AB"/>
    <w:rsid w:val="00CB5ADA"/>
    <w:rsid w:val="00CB5BC2"/>
    <w:rsid w:val="00CB5E71"/>
    <w:rsid w:val="00CB5FBF"/>
    <w:rsid w:val="00CB6106"/>
    <w:rsid w:val="00CB618A"/>
    <w:rsid w:val="00CB61D1"/>
    <w:rsid w:val="00CB63E3"/>
    <w:rsid w:val="00CB6579"/>
    <w:rsid w:val="00CB686E"/>
    <w:rsid w:val="00CB68BD"/>
    <w:rsid w:val="00CB6B47"/>
    <w:rsid w:val="00CB7187"/>
    <w:rsid w:val="00CB72D4"/>
    <w:rsid w:val="00CB730E"/>
    <w:rsid w:val="00CB7373"/>
    <w:rsid w:val="00CB73B7"/>
    <w:rsid w:val="00CB7448"/>
    <w:rsid w:val="00CB7535"/>
    <w:rsid w:val="00CB772F"/>
    <w:rsid w:val="00CB7C02"/>
    <w:rsid w:val="00CB7C1C"/>
    <w:rsid w:val="00CB7C95"/>
    <w:rsid w:val="00CB7CE1"/>
    <w:rsid w:val="00CB7E99"/>
    <w:rsid w:val="00CB7FAE"/>
    <w:rsid w:val="00CB7FFA"/>
    <w:rsid w:val="00CC02B0"/>
    <w:rsid w:val="00CC09A5"/>
    <w:rsid w:val="00CC0A4C"/>
    <w:rsid w:val="00CC0B51"/>
    <w:rsid w:val="00CC0D4D"/>
    <w:rsid w:val="00CC0DFE"/>
    <w:rsid w:val="00CC0F85"/>
    <w:rsid w:val="00CC1471"/>
    <w:rsid w:val="00CC1514"/>
    <w:rsid w:val="00CC15FC"/>
    <w:rsid w:val="00CC1611"/>
    <w:rsid w:val="00CC1638"/>
    <w:rsid w:val="00CC1729"/>
    <w:rsid w:val="00CC1737"/>
    <w:rsid w:val="00CC1769"/>
    <w:rsid w:val="00CC1784"/>
    <w:rsid w:val="00CC19E2"/>
    <w:rsid w:val="00CC19EB"/>
    <w:rsid w:val="00CC1C4D"/>
    <w:rsid w:val="00CC1C5D"/>
    <w:rsid w:val="00CC1D27"/>
    <w:rsid w:val="00CC2139"/>
    <w:rsid w:val="00CC227C"/>
    <w:rsid w:val="00CC22F0"/>
    <w:rsid w:val="00CC2698"/>
    <w:rsid w:val="00CC2819"/>
    <w:rsid w:val="00CC34D0"/>
    <w:rsid w:val="00CC3725"/>
    <w:rsid w:val="00CC3A91"/>
    <w:rsid w:val="00CC3F47"/>
    <w:rsid w:val="00CC40C3"/>
    <w:rsid w:val="00CC418C"/>
    <w:rsid w:val="00CC42BB"/>
    <w:rsid w:val="00CC4317"/>
    <w:rsid w:val="00CC4529"/>
    <w:rsid w:val="00CC473B"/>
    <w:rsid w:val="00CC486B"/>
    <w:rsid w:val="00CC4880"/>
    <w:rsid w:val="00CC4AF4"/>
    <w:rsid w:val="00CC4DFD"/>
    <w:rsid w:val="00CC4E11"/>
    <w:rsid w:val="00CC4F04"/>
    <w:rsid w:val="00CC511D"/>
    <w:rsid w:val="00CC5208"/>
    <w:rsid w:val="00CC52C5"/>
    <w:rsid w:val="00CC53D5"/>
    <w:rsid w:val="00CC5595"/>
    <w:rsid w:val="00CC559E"/>
    <w:rsid w:val="00CC5789"/>
    <w:rsid w:val="00CC5800"/>
    <w:rsid w:val="00CC5A17"/>
    <w:rsid w:val="00CC5AA4"/>
    <w:rsid w:val="00CC5BCB"/>
    <w:rsid w:val="00CC5C1B"/>
    <w:rsid w:val="00CC5FC0"/>
    <w:rsid w:val="00CC614E"/>
    <w:rsid w:val="00CC634B"/>
    <w:rsid w:val="00CC639B"/>
    <w:rsid w:val="00CC6809"/>
    <w:rsid w:val="00CC68C7"/>
    <w:rsid w:val="00CC69F1"/>
    <w:rsid w:val="00CC69FF"/>
    <w:rsid w:val="00CC6C91"/>
    <w:rsid w:val="00CC6CF8"/>
    <w:rsid w:val="00CC6CFE"/>
    <w:rsid w:val="00CC6F65"/>
    <w:rsid w:val="00CC6FFA"/>
    <w:rsid w:val="00CC70C4"/>
    <w:rsid w:val="00CC71E3"/>
    <w:rsid w:val="00CC72C8"/>
    <w:rsid w:val="00CC7399"/>
    <w:rsid w:val="00CC7451"/>
    <w:rsid w:val="00CC75D4"/>
    <w:rsid w:val="00CC767F"/>
    <w:rsid w:val="00CC768F"/>
    <w:rsid w:val="00CC785C"/>
    <w:rsid w:val="00CC789F"/>
    <w:rsid w:val="00CC78BD"/>
    <w:rsid w:val="00CC78BE"/>
    <w:rsid w:val="00CC7951"/>
    <w:rsid w:val="00CC7A57"/>
    <w:rsid w:val="00CC7B62"/>
    <w:rsid w:val="00CC7B68"/>
    <w:rsid w:val="00CC7BEC"/>
    <w:rsid w:val="00CC7C63"/>
    <w:rsid w:val="00CC7CB7"/>
    <w:rsid w:val="00CC7DFC"/>
    <w:rsid w:val="00CD0188"/>
    <w:rsid w:val="00CD0452"/>
    <w:rsid w:val="00CD0762"/>
    <w:rsid w:val="00CD079A"/>
    <w:rsid w:val="00CD0936"/>
    <w:rsid w:val="00CD09D0"/>
    <w:rsid w:val="00CD09DF"/>
    <w:rsid w:val="00CD0A1D"/>
    <w:rsid w:val="00CD0B63"/>
    <w:rsid w:val="00CD0C74"/>
    <w:rsid w:val="00CD0D9B"/>
    <w:rsid w:val="00CD0FA0"/>
    <w:rsid w:val="00CD0FEC"/>
    <w:rsid w:val="00CD10E6"/>
    <w:rsid w:val="00CD143D"/>
    <w:rsid w:val="00CD154E"/>
    <w:rsid w:val="00CD16BF"/>
    <w:rsid w:val="00CD1A2A"/>
    <w:rsid w:val="00CD1AD2"/>
    <w:rsid w:val="00CD1AD6"/>
    <w:rsid w:val="00CD1C04"/>
    <w:rsid w:val="00CD1C06"/>
    <w:rsid w:val="00CD1DF9"/>
    <w:rsid w:val="00CD1E84"/>
    <w:rsid w:val="00CD1EBE"/>
    <w:rsid w:val="00CD1F6A"/>
    <w:rsid w:val="00CD1F97"/>
    <w:rsid w:val="00CD242C"/>
    <w:rsid w:val="00CD26A8"/>
    <w:rsid w:val="00CD27FC"/>
    <w:rsid w:val="00CD288F"/>
    <w:rsid w:val="00CD2AFD"/>
    <w:rsid w:val="00CD2B0E"/>
    <w:rsid w:val="00CD2DED"/>
    <w:rsid w:val="00CD2E39"/>
    <w:rsid w:val="00CD2FDF"/>
    <w:rsid w:val="00CD302C"/>
    <w:rsid w:val="00CD3099"/>
    <w:rsid w:val="00CD30BA"/>
    <w:rsid w:val="00CD33DB"/>
    <w:rsid w:val="00CD3560"/>
    <w:rsid w:val="00CD35C6"/>
    <w:rsid w:val="00CD390C"/>
    <w:rsid w:val="00CD3A3D"/>
    <w:rsid w:val="00CD3ACF"/>
    <w:rsid w:val="00CD3B07"/>
    <w:rsid w:val="00CD3D03"/>
    <w:rsid w:val="00CD3F1B"/>
    <w:rsid w:val="00CD4031"/>
    <w:rsid w:val="00CD4160"/>
    <w:rsid w:val="00CD4417"/>
    <w:rsid w:val="00CD4849"/>
    <w:rsid w:val="00CD4879"/>
    <w:rsid w:val="00CD4883"/>
    <w:rsid w:val="00CD48FB"/>
    <w:rsid w:val="00CD499A"/>
    <w:rsid w:val="00CD49DB"/>
    <w:rsid w:val="00CD4E68"/>
    <w:rsid w:val="00CD4EA0"/>
    <w:rsid w:val="00CD51F6"/>
    <w:rsid w:val="00CD52E9"/>
    <w:rsid w:val="00CD57E0"/>
    <w:rsid w:val="00CD5A00"/>
    <w:rsid w:val="00CD5ACD"/>
    <w:rsid w:val="00CD5B9B"/>
    <w:rsid w:val="00CD5CFB"/>
    <w:rsid w:val="00CD5D7E"/>
    <w:rsid w:val="00CD5DA5"/>
    <w:rsid w:val="00CD63B8"/>
    <w:rsid w:val="00CD6483"/>
    <w:rsid w:val="00CD69AC"/>
    <w:rsid w:val="00CD69EA"/>
    <w:rsid w:val="00CD6B5B"/>
    <w:rsid w:val="00CD6B99"/>
    <w:rsid w:val="00CD6C5C"/>
    <w:rsid w:val="00CD6CF7"/>
    <w:rsid w:val="00CD6DCE"/>
    <w:rsid w:val="00CD6EC2"/>
    <w:rsid w:val="00CD70CF"/>
    <w:rsid w:val="00CD713C"/>
    <w:rsid w:val="00CD7164"/>
    <w:rsid w:val="00CD724B"/>
    <w:rsid w:val="00CD7592"/>
    <w:rsid w:val="00CD7896"/>
    <w:rsid w:val="00CD7A4F"/>
    <w:rsid w:val="00CD7B7C"/>
    <w:rsid w:val="00CD7C30"/>
    <w:rsid w:val="00CD7E79"/>
    <w:rsid w:val="00CD7FD6"/>
    <w:rsid w:val="00CE01CD"/>
    <w:rsid w:val="00CE0239"/>
    <w:rsid w:val="00CE0277"/>
    <w:rsid w:val="00CE0478"/>
    <w:rsid w:val="00CE04A0"/>
    <w:rsid w:val="00CE0520"/>
    <w:rsid w:val="00CE0677"/>
    <w:rsid w:val="00CE07D8"/>
    <w:rsid w:val="00CE0AA1"/>
    <w:rsid w:val="00CE0BD4"/>
    <w:rsid w:val="00CE0BF1"/>
    <w:rsid w:val="00CE0E6F"/>
    <w:rsid w:val="00CE11CD"/>
    <w:rsid w:val="00CE11F5"/>
    <w:rsid w:val="00CE12AD"/>
    <w:rsid w:val="00CE1551"/>
    <w:rsid w:val="00CE1552"/>
    <w:rsid w:val="00CE156C"/>
    <w:rsid w:val="00CE17F8"/>
    <w:rsid w:val="00CE1824"/>
    <w:rsid w:val="00CE1827"/>
    <w:rsid w:val="00CE18BB"/>
    <w:rsid w:val="00CE1AD5"/>
    <w:rsid w:val="00CE2017"/>
    <w:rsid w:val="00CE2041"/>
    <w:rsid w:val="00CE211D"/>
    <w:rsid w:val="00CE241D"/>
    <w:rsid w:val="00CE2465"/>
    <w:rsid w:val="00CE2532"/>
    <w:rsid w:val="00CE2667"/>
    <w:rsid w:val="00CE285C"/>
    <w:rsid w:val="00CE2A5B"/>
    <w:rsid w:val="00CE2D50"/>
    <w:rsid w:val="00CE2E63"/>
    <w:rsid w:val="00CE3162"/>
    <w:rsid w:val="00CE3261"/>
    <w:rsid w:val="00CE3427"/>
    <w:rsid w:val="00CE346E"/>
    <w:rsid w:val="00CE35B8"/>
    <w:rsid w:val="00CE3710"/>
    <w:rsid w:val="00CE3804"/>
    <w:rsid w:val="00CE3A6A"/>
    <w:rsid w:val="00CE3B36"/>
    <w:rsid w:val="00CE3B72"/>
    <w:rsid w:val="00CE3BC9"/>
    <w:rsid w:val="00CE3BE9"/>
    <w:rsid w:val="00CE3E51"/>
    <w:rsid w:val="00CE3F4E"/>
    <w:rsid w:val="00CE3FFA"/>
    <w:rsid w:val="00CE4187"/>
    <w:rsid w:val="00CE4294"/>
    <w:rsid w:val="00CE42C5"/>
    <w:rsid w:val="00CE4679"/>
    <w:rsid w:val="00CE49BC"/>
    <w:rsid w:val="00CE49E2"/>
    <w:rsid w:val="00CE4A04"/>
    <w:rsid w:val="00CE4D28"/>
    <w:rsid w:val="00CE4DC1"/>
    <w:rsid w:val="00CE50D3"/>
    <w:rsid w:val="00CE5289"/>
    <w:rsid w:val="00CE550F"/>
    <w:rsid w:val="00CE574E"/>
    <w:rsid w:val="00CE5751"/>
    <w:rsid w:val="00CE5B33"/>
    <w:rsid w:val="00CE5C51"/>
    <w:rsid w:val="00CE5DB0"/>
    <w:rsid w:val="00CE62CE"/>
    <w:rsid w:val="00CE6378"/>
    <w:rsid w:val="00CE64D9"/>
    <w:rsid w:val="00CE68D2"/>
    <w:rsid w:val="00CE6905"/>
    <w:rsid w:val="00CE6A39"/>
    <w:rsid w:val="00CE6B5F"/>
    <w:rsid w:val="00CE6E9E"/>
    <w:rsid w:val="00CE7113"/>
    <w:rsid w:val="00CE7143"/>
    <w:rsid w:val="00CE7199"/>
    <w:rsid w:val="00CE71B9"/>
    <w:rsid w:val="00CE72B2"/>
    <w:rsid w:val="00CE75D9"/>
    <w:rsid w:val="00CE770D"/>
    <w:rsid w:val="00CE774F"/>
    <w:rsid w:val="00CE792F"/>
    <w:rsid w:val="00CE7A2A"/>
    <w:rsid w:val="00CE7A87"/>
    <w:rsid w:val="00CE7BD8"/>
    <w:rsid w:val="00CE7BF9"/>
    <w:rsid w:val="00CE7CB3"/>
    <w:rsid w:val="00CE7EC7"/>
    <w:rsid w:val="00CE7F01"/>
    <w:rsid w:val="00CE7FAB"/>
    <w:rsid w:val="00CF037C"/>
    <w:rsid w:val="00CF0485"/>
    <w:rsid w:val="00CF04F8"/>
    <w:rsid w:val="00CF05AC"/>
    <w:rsid w:val="00CF05E8"/>
    <w:rsid w:val="00CF063D"/>
    <w:rsid w:val="00CF0A7D"/>
    <w:rsid w:val="00CF0B17"/>
    <w:rsid w:val="00CF0B44"/>
    <w:rsid w:val="00CF0DE9"/>
    <w:rsid w:val="00CF0ED4"/>
    <w:rsid w:val="00CF1126"/>
    <w:rsid w:val="00CF11C8"/>
    <w:rsid w:val="00CF1204"/>
    <w:rsid w:val="00CF1448"/>
    <w:rsid w:val="00CF1450"/>
    <w:rsid w:val="00CF14BA"/>
    <w:rsid w:val="00CF16D4"/>
    <w:rsid w:val="00CF171C"/>
    <w:rsid w:val="00CF1803"/>
    <w:rsid w:val="00CF1847"/>
    <w:rsid w:val="00CF1927"/>
    <w:rsid w:val="00CF1E53"/>
    <w:rsid w:val="00CF1EF7"/>
    <w:rsid w:val="00CF1FE3"/>
    <w:rsid w:val="00CF2030"/>
    <w:rsid w:val="00CF217C"/>
    <w:rsid w:val="00CF21DE"/>
    <w:rsid w:val="00CF2786"/>
    <w:rsid w:val="00CF27E7"/>
    <w:rsid w:val="00CF29BD"/>
    <w:rsid w:val="00CF2BB6"/>
    <w:rsid w:val="00CF2F07"/>
    <w:rsid w:val="00CF32A8"/>
    <w:rsid w:val="00CF3548"/>
    <w:rsid w:val="00CF3625"/>
    <w:rsid w:val="00CF39E7"/>
    <w:rsid w:val="00CF3C21"/>
    <w:rsid w:val="00CF3D81"/>
    <w:rsid w:val="00CF3DE2"/>
    <w:rsid w:val="00CF3DE4"/>
    <w:rsid w:val="00CF3E30"/>
    <w:rsid w:val="00CF3F09"/>
    <w:rsid w:val="00CF4008"/>
    <w:rsid w:val="00CF4044"/>
    <w:rsid w:val="00CF4230"/>
    <w:rsid w:val="00CF42A8"/>
    <w:rsid w:val="00CF42DC"/>
    <w:rsid w:val="00CF44BF"/>
    <w:rsid w:val="00CF4606"/>
    <w:rsid w:val="00CF476B"/>
    <w:rsid w:val="00CF48A4"/>
    <w:rsid w:val="00CF4A3B"/>
    <w:rsid w:val="00CF4AA1"/>
    <w:rsid w:val="00CF4ADF"/>
    <w:rsid w:val="00CF4FC6"/>
    <w:rsid w:val="00CF51C5"/>
    <w:rsid w:val="00CF51D7"/>
    <w:rsid w:val="00CF522A"/>
    <w:rsid w:val="00CF5259"/>
    <w:rsid w:val="00CF54D8"/>
    <w:rsid w:val="00CF5511"/>
    <w:rsid w:val="00CF56A1"/>
    <w:rsid w:val="00CF5805"/>
    <w:rsid w:val="00CF59A4"/>
    <w:rsid w:val="00CF5B86"/>
    <w:rsid w:val="00CF5D53"/>
    <w:rsid w:val="00CF6057"/>
    <w:rsid w:val="00CF61E4"/>
    <w:rsid w:val="00CF62EC"/>
    <w:rsid w:val="00CF6581"/>
    <w:rsid w:val="00CF658C"/>
    <w:rsid w:val="00CF68D6"/>
    <w:rsid w:val="00CF6B3D"/>
    <w:rsid w:val="00CF6E21"/>
    <w:rsid w:val="00CF6E70"/>
    <w:rsid w:val="00CF6EA8"/>
    <w:rsid w:val="00CF7142"/>
    <w:rsid w:val="00CF71A4"/>
    <w:rsid w:val="00CF71C4"/>
    <w:rsid w:val="00CF7221"/>
    <w:rsid w:val="00CF72F7"/>
    <w:rsid w:val="00CF740E"/>
    <w:rsid w:val="00CF7487"/>
    <w:rsid w:val="00CF7546"/>
    <w:rsid w:val="00CF7607"/>
    <w:rsid w:val="00CF7713"/>
    <w:rsid w:val="00CF77FC"/>
    <w:rsid w:val="00CF78E7"/>
    <w:rsid w:val="00CF78ED"/>
    <w:rsid w:val="00CF7AC2"/>
    <w:rsid w:val="00CF7AC9"/>
    <w:rsid w:val="00CF7B07"/>
    <w:rsid w:val="00CF7D74"/>
    <w:rsid w:val="00D001EA"/>
    <w:rsid w:val="00D00647"/>
    <w:rsid w:val="00D0070F"/>
    <w:rsid w:val="00D0073F"/>
    <w:rsid w:val="00D008D3"/>
    <w:rsid w:val="00D00912"/>
    <w:rsid w:val="00D00B19"/>
    <w:rsid w:val="00D00CED"/>
    <w:rsid w:val="00D0162E"/>
    <w:rsid w:val="00D01882"/>
    <w:rsid w:val="00D01A36"/>
    <w:rsid w:val="00D01A4F"/>
    <w:rsid w:val="00D01AD0"/>
    <w:rsid w:val="00D01C1D"/>
    <w:rsid w:val="00D01DA0"/>
    <w:rsid w:val="00D01E90"/>
    <w:rsid w:val="00D01FFF"/>
    <w:rsid w:val="00D022AB"/>
    <w:rsid w:val="00D0231D"/>
    <w:rsid w:val="00D0240A"/>
    <w:rsid w:val="00D0241B"/>
    <w:rsid w:val="00D02472"/>
    <w:rsid w:val="00D02537"/>
    <w:rsid w:val="00D02871"/>
    <w:rsid w:val="00D02C94"/>
    <w:rsid w:val="00D03170"/>
    <w:rsid w:val="00D03182"/>
    <w:rsid w:val="00D035E9"/>
    <w:rsid w:val="00D0396C"/>
    <w:rsid w:val="00D039C6"/>
    <w:rsid w:val="00D03A2C"/>
    <w:rsid w:val="00D03C2A"/>
    <w:rsid w:val="00D03CD1"/>
    <w:rsid w:val="00D0413C"/>
    <w:rsid w:val="00D041DD"/>
    <w:rsid w:val="00D0426C"/>
    <w:rsid w:val="00D044C5"/>
    <w:rsid w:val="00D04EEF"/>
    <w:rsid w:val="00D05730"/>
    <w:rsid w:val="00D058F5"/>
    <w:rsid w:val="00D05E1D"/>
    <w:rsid w:val="00D05F12"/>
    <w:rsid w:val="00D05F6C"/>
    <w:rsid w:val="00D06110"/>
    <w:rsid w:val="00D062A7"/>
    <w:rsid w:val="00D063B7"/>
    <w:rsid w:val="00D0666D"/>
    <w:rsid w:val="00D067A0"/>
    <w:rsid w:val="00D0691F"/>
    <w:rsid w:val="00D06C34"/>
    <w:rsid w:val="00D06F44"/>
    <w:rsid w:val="00D07178"/>
    <w:rsid w:val="00D07227"/>
    <w:rsid w:val="00D07296"/>
    <w:rsid w:val="00D07A5A"/>
    <w:rsid w:val="00D07AAB"/>
    <w:rsid w:val="00D07D27"/>
    <w:rsid w:val="00D07F9E"/>
    <w:rsid w:val="00D10016"/>
    <w:rsid w:val="00D101FE"/>
    <w:rsid w:val="00D10527"/>
    <w:rsid w:val="00D106B8"/>
    <w:rsid w:val="00D10754"/>
    <w:rsid w:val="00D10C6C"/>
    <w:rsid w:val="00D10D17"/>
    <w:rsid w:val="00D10DE0"/>
    <w:rsid w:val="00D10E41"/>
    <w:rsid w:val="00D11170"/>
    <w:rsid w:val="00D111ED"/>
    <w:rsid w:val="00D11223"/>
    <w:rsid w:val="00D116AA"/>
    <w:rsid w:val="00D11820"/>
    <w:rsid w:val="00D1188D"/>
    <w:rsid w:val="00D11919"/>
    <w:rsid w:val="00D11A20"/>
    <w:rsid w:val="00D11A81"/>
    <w:rsid w:val="00D11D19"/>
    <w:rsid w:val="00D11D60"/>
    <w:rsid w:val="00D11E0B"/>
    <w:rsid w:val="00D11E19"/>
    <w:rsid w:val="00D11FD8"/>
    <w:rsid w:val="00D12133"/>
    <w:rsid w:val="00D128E4"/>
    <w:rsid w:val="00D12957"/>
    <w:rsid w:val="00D12AA9"/>
    <w:rsid w:val="00D12CDC"/>
    <w:rsid w:val="00D12D1E"/>
    <w:rsid w:val="00D12D37"/>
    <w:rsid w:val="00D12EA8"/>
    <w:rsid w:val="00D130AB"/>
    <w:rsid w:val="00D13596"/>
    <w:rsid w:val="00D1382A"/>
    <w:rsid w:val="00D1388E"/>
    <w:rsid w:val="00D13A0F"/>
    <w:rsid w:val="00D13DD7"/>
    <w:rsid w:val="00D14170"/>
    <w:rsid w:val="00D141E4"/>
    <w:rsid w:val="00D142A4"/>
    <w:rsid w:val="00D142BD"/>
    <w:rsid w:val="00D1438B"/>
    <w:rsid w:val="00D143BD"/>
    <w:rsid w:val="00D143E4"/>
    <w:rsid w:val="00D1486A"/>
    <w:rsid w:val="00D14991"/>
    <w:rsid w:val="00D14CB4"/>
    <w:rsid w:val="00D14D1E"/>
    <w:rsid w:val="00D14E4E"/>
    <w:rsid w:val="00D14EAD"/>
    <w:rsid w:val="00D1505E"/>
    <w:rsid w:val="00D15067"/>
    <w:rsid w:val="00D150BF"/>
    <w:rsid w:val="00D150CA"/>
    <w:rsid w:val="00D151DA"/>
    <w:rsid w:val="00D15411"/>
    <w:rsid w:val="00D154D0"/>
    <w:rsid w:val="00D156ED"/>
    <w:rsid w:val="00D15A7D"/>
    <w:rsid w:val="00D15C0B"/>
    <w:rsid w:val="00D15C24"/>
    <w:rsid w:val="00D15D7A"/>
    <w:rsid w:val="00D15F3A"/>
    <w:rsid w:val="00D1616F"/>
    <w:rsid w:val="00D16495"/>
    <w:rsid w:val="00D16859"/>
    <w:rsid w:val="00D16913"/>
    <w:rsid w:val="00D169C5"/>
    <w:rsid w:val="00D16A87"/>
    <w:rsid w:val="00D16D99"/>
    <w:rsid w:val="00D16E92"/>
    <w:rsid w:val="00D16EE9"/>
    <w:rsid w:val="00D16FEB"/>
    <w:rsid w:val="00D17085"/>
    <w:rsid w:val="00D171CE"/>
    <w:rsid w:val="00D172F9"/>
    <w:rsid w:val="00D17519"/>
    <w:rsid w:val="00D175F6"/>
    <w:rsid w:val="00D17738"/>
    <w:rsid w:val="00D17851"/>
    <w:rsid w:val="00D178B3"/>
    <w:rsid w:val="00D17E95"/>
    <w:rsid w:val="00D20005"/>
    <w:rsid w:val="00D200EB"/>
    <w:rsid w:val="00D201D1"/>
    <w:rsid w:val="00D20245"/>
    <w:rsid w:val="00D202AF"/>
    <w:rsid w:val="00D20694"/>
    <w:rsid w:val="00D20709"/>
    <w:rsid w:val="00D20732"/>
    <w:rsid w:val="00D20966"/>
    <w:rsid w:val="00D20A2A"/>
    <w:rsid w:val="00D20B13"/>
    <w:rsid w:val="00D20D4C"/>
    <w:rsid w:val="00D20E8B"/>
    <w:rsid w:val="00D2118D"/>
    <w:rsid w:val="00D21371"/>
    <w:rsid w:val="00D215BC"/>
    <w:rsid w:val="00D21627"/>
    <w:rsid w:val="00D2164B"/>
    <w:rsid w:val="00D216A7"/>
    <w:rsid w:val="00D216F6"/>
    <w:rsid w:val="00D218A5"/>
    <w:rsid w:val="00D21B58"/>
    <w:rsid w:val="00D21D17"/>
    <w:rsid w:val="00D21D62"/>
    <w:rsid w:val="00D21DDA"/>
    <w:rsid w:val="00D220BE"/>
    <w:rsid w:val="00D22235"/>
    <w:rsid w:val="00D2239F"/>
    <w:rsid w:val="00D22515"/>
    <w:rsid w:val="00D22615"/>
    <w:rsid w:val="00D22674"/>
    <w:rsid w:val="00D227BC"/>
    <w:rsid w:val="00D22CB0"/>
    <w:rsid w:val="00D22CD7"/>
    <w:rsid w:val="00D22FA2"/>
    <w:rsid w:val="00D2301E"/>
    <w:rsid w:val="00D231B9"/>
    <w:rsid w:val="00D231C5"/>
    <w:rsid w:val="00D23239"/>
    <w:rsid w:val="00D2342E"/>
    <w:rsid w:val="00D2352E"/>
    <w:rsid w:val="00D23729"/>
    <w:rsid w:val="00D2386E"/>
    <w:rsid w:val="00D23C0C"/>
    <w:rsid w:val="00D23DEC"/>
    <w:rsid w:val="00D23F23"/>
    <w:rsid w:val="00D24125"/>
    <w:rsid w:val="00D24246"/>
    <w:rsid w:val="00D242D9"/>
    <w:rsid w:val="00D246F7"/>
    <w:rsid w:val="00D2497C"/>
    <w:rsid w:val="00D249DA"/>
    <w:rsid w:val="00D24A19"/>
    <w:rsid w:val="00D24EBE"/>
    <w:rsid w:val="00D24EBF"/>
    <w:rsid w:val="00D24F99"/>
    <w:rsid w:val="00D251E9"/>
    <w:rsid w:val="00D25345"/>
    <w:rsid w:val="00D256B8"/>
    <w:rsid w:val="00D256FC"/>
    <w:rsid w:val="00D25788"/>
    <w:rsid w:val="00D25AF8"/>
    <w:rsid w:val="00D25C35"/>
    <w:rsid w:val="00D264DF"/>
    <w:rsid w:val="00D26D0A"/>
    <w:rsid w:val="00D2705A"/>
    <w:rsid w:val="00D27112"/>
    <w:rsid w:val="00D27114"/>
    <w:rsid w:val="00D2757B"/>
    <w:rsid w:val="00D276BF"/>
    <w:rsid w:val="00D277DB"/>
    <w:rsid w:val="00D277E7"/>
    <w:rsid w:val="00D27A6B"/>
    <w:rsid w:val="00D27ABC"/>
    <w:rsid w:val="00D27DB6"/>
    <w:rsid w:val="00D27E05"/>
    <w:rsid w:val="00D27EAC"/>
    <w:rsid w:val="00D3018A"/>
    <w:rsid w:val="00D3063F"/>
    <w:rsid w:val="00D30744"/>
    <w:rsid w:val="00D308BF"/>
    <w:rsid w:val="00D308EB"/>
    <w:rsid w:val="00D309D0"/>
    <w:rsid w:val="00D30E76"/>
    <w:rsid w:val="00D310FF"/>
    <w:rsid w:val="00D31115"/>
    <w:rsid w:val="00D3111B"/>
    <w:rsid w:val="00D31193"/>
    <w:rsid w:val="00D3130D"/>
    <w:rsid w:val="00D3136C"/>
    <w:rsid w:val="00D3137E"/>
    <w:rsid w:val="00D31467"/>
    <w:rsid w:val="00D3146C"/>
    <w:rsid w:val="00D3161B"/>
    <w:rsid w:val="00D3175A"/>
    <w:rsid w:val="00D31BBB"/>
    <w:rsid w:val="00D31EB0"/>
    <w:rsid w:val="00D31EE2"/>
    <w:rsid w:val="00D32435"/>
    <w:rsid w:val="00D32519"/>
    <w:rsid w:val="00D325E3"/>
    <w:rsid w:val="00D327BA"/>
    <w:rsid w:val="00D327DD"/>
    <w:rsid w:val="00D32A7F"/>
    <w:rsid w:val="00D32AE5"/>
    <w:rsid w:val="00D32C74"/>
    <w:rsid w:val="00D32D46"/>
    <w:rsid w:val="00D32E98"/>
    <w:rsid w:val="00D32EDC"/>
    <w:rsid w:val="00D32F76"/>
    <w:rsid w:val="00D33057"/>
    <w:rsid w:val="00D33118"/>
    <w:rsid w:val="00D3337E"/>
    <w:rsid w:val="00D33597"/>
    <w:rsid w:val="00D33657"/>
    <w:rsid w:val="00D336AA"/>
    <w:rsid w:val="00D33723"/>
    <w:rsid w:val="00D33856"/>
    <w:rsid w:val="00D338EB"/>
    <w:rsid w:val="00D33904"/>
    <w:rsid w:val="00D3397E"/>
    <w:rsid w:val="00D33D53"/>
    <w:rsid w:val="00D34338"/>
    <w:rsid w:val="00D34499"/>
    <w:rsid w:val="00D34698"/>
    <w:rsid w:val="00D34708"/>
    <w:rsid w:val="00D349B6"/>
    <w:rsid w:val="00D34A92"/>
    <w:rsid w:val="00D34D33"/>
    <w:rsid w:val="00D34ED3"/>
    <w:rsid w:val="00D34F82"/>
    <w:rsid w:val="00D352BF"/>
    <w:rsid w:val="00D352F5"/>
    <w:rsid w:val="00D3562C"/>
    <w:rsid w:val="00D357CA"/>
    <w:rsid w:val="00D359BE"/>
    <w:rsid w:val="00D359DE"/>
    <w:rsid w:val="00D35B60"/>
    <w:rsid w:val="00D35C97"/>
    <w:rsid w:val="00D35CF9"/>
    <w:rsid w:val="00D3601D"/>
    <w:rsid w:val="00D36074"/>
    <w:rsid w:val="00D361AA"/>
    <w:rsid w:val="00D3628C"/>
    <w:rsid w:val="00D3633D"/>
    <w:rsid w:val="00D3640E"/>
    <w:rsid w:val="00D364BD"/>
    <w:rsid w:val="00D365FA"/>
    <w:rsid w:val="00D366D8"/>
    <w:rsid w:val="00D36E57"/>
    <w:rsid w:val="00D37329"/>
    <w:rsid w:val="00D37A40"/>
    <w:rsid w:val="00D37BDA"/>
    <w:rsid w:val="00D37E98"/>
    <w:rsid w:val="00D40248"/>
    <w:rsid w:val="00D4024A"/>
    <w:rsid w:val="00D40425"/>
    <w:rsid w:val="00D40438"/>
    <w:rsid w:val="00D405A5"/>
    <w:rsid w:val="00D407B6"/>
    <w:rsid w:val="00D408EA"/>
    <w:rsid w:val="00D40BDB"/>
    <w:rsid w:val="00D40EDB"/>
    <w:rsid w:val="00D40F03"/>
    <w:rsid w:val="00D41036"/>
    <w:rsid w:val="00D41745"/>
    <w:rsid w:val="00D4189D"/>
    <w:rsid w:val="00D41928"/>
    <w:rsid w:val="00D419D2"/>
    <w:rsid w:val="00D41E87"/>
    <w:rsid w:val="00D41E94"/>
    <w:rsid w:val="00D421D1"/>
    <w:rsid w:val="00D42260"/>
    <w:rsid w:val="00D425A2"/>
    <w:rsid w:val="00D426A3"/>
    <w:rsid w:val="00D4275B"/>
    <w:rsid w:val="00D429E5"/>
    <w:rsid w:val="00D42A76"/>
    <w:rsid w:val="00D42B34"/>
    <w:rsid w:val="00D42C5C"/>
    <w:rsid w:val="00D42CBC"/>
    <w:rsid w:val="00D42E26"/>
    <w:rsid w:val="00D42E9C"/>
    <w:rsid w:val="00D42FBC"/>
    <w:rsid w:val="00D43007"/>
    <w:rsid w:val="00D43167"/>
    <w:rsid w:val="00D435EB"/>
    <w:rsid w:val="00D43F1A"/>
    <w:rsid w:val="00D43FC1"/>
    <w:rsid w:val="00D43FF3"/>
    <w:rsid w:val="00D4418A"/>
    <w:rsid w:val="00D44256"/>
    <w:rsid w:val="00D4425D"/>
    <w:rsid w:val="00D445E4"/>
    <w:rsid w:val="00D44A88"/>
    <w:rsid w:val="00D44B89"/>
    <w:rsid w:val="00D44C26"/>
    <w:rsid w:val="00D44C33"/>
    <w:rsid w:val="00D44CA8"/>
    <w:rsid w:val="00D44E0B"/>
    <w:rsid w:val="00D45046"/>
    <w:rsid w:val="00D4509B"/>
    <w:rsid w:val="00D45130"/>
    <w:rsid w:val="00D451CE"/>
    <w:rsid w:val="00D4527F"/>
    <w:rsid w:val="00D4528B"/>
    <w:rsid w:val="00D4529B"/>
    <w:rsid w:val="00D453AB"/>
    <w:rsid w:val="00D45AFA"/>
    <w:rsid w:val="00D45B87"/>
    <w:rsid w:val="00D45C5A"/>
    <w:rsid w:val="00D45C78"/>
    <w:rsid w:val="00D45FC2"/>
    <w:rsid w:val="00D46142"/>
    <w:rsid w:val="00D46157"/>
    <w:rsid w:val="00D463E2"/>
    <w:rsid w:val="00D4646C"/>
    <w:rsid w:val="00D46508"/>
    <w:rsid w:val="00D46526"/>
    <w:rsid w:val="00D46764"/>
    <w:rsid w:val="00D46B90"/>
    <w:rsid w:val="00D46DD6"/>
    <w:rsid w:val="00D46DE1"/>
    <w:rsid w:val="00D4703A"/>
    <w:rsid w:val="00D471EC"/>
    <w:rsid w:val="00D472BA"/>
    <w:rsid w:val="00D47310"/>
    <w:rsid w:val="00D47616"/>
    <w:rsid w:val="00D4782A"/>
    <w:rsid w:val="00D47892"/>
    <w:rsid w:val="00D47A62"/>
    <w:rsid w:val="00D47B54"/>
    <w:rsid w:val="00D47CEB"/>
    <w:rsid w:val="00D50242"/>
    <w:rsid w:val="00D505F9"/>
    <w:rsid w:val="00D50606"/>
    <w:rsid w:val="00D5090D"/>
    <w:rsid w:val="00D50A2B"/>
    <w:rsid w:val="00D50AED"/>
    <w:rsid w:val="00D50BD3"/>
    <w:rsid w:val="00D50D7B"/>
    <w:rsid w:val="00D50ED0"/>
    <w:rsid w:val="00D50F2D"/>
    <w:rsid w:val="00D5101D"/>
    <w:rsid w:val="00D5144E"/>
    <w:rsid w:val="00D517DF"/>
    <w:rsid w:val="00D5181B"/>
    <w:rsid w:val="00D51902"/>
    <w:rsid w:val="00D51ABC"/>
    <w:rsid w:val="00D51BEB"/>
    <w:rsid w:val="00D51CAB"/>
    <w:rsid w:val="00D51CC0"/>
    <w:rsid w:val="00D51CF7"/>
    <w:rsid w:val="00D51E3F"/>
    <w:rsid w:val="00D52075"/>
    <w:rsid w:val="00D527F5"/>
    <w:rsid w:val="00D527F6"/>
    <w:rsid w:val="00D52890"/>
    <w:rsid w:val="00D5289F"/>
    <w:rsid w:val="00D528D8"/>
    <w:rsid w:val="00D528FC"/>
    <w:rsid w:val="00D5293A"/>
    <w:rsid w:val="00D52DA9"/>
    <w:rsid w:val="00D52DBB"/>
    <w:rsid w:val="00D530D7"/>
    <w:rsid w:val="00D531C9"/>
    <w:rsid w:val="00D532AF"/>
    <w:rsid w:val="00D53341"/>
    <w:rsid w:val="00D5348E"/>
    <w:rsid w:val="00D534E3"/>
    <w:rsid w:val="00D53511"/>
    <w:rsid w:val="00D53616"/>
    <w:rsid w:val="00D53DA6"/>
    <w:rsid w:val="00D54025"/>
    <w:rsid w:val="00D54046"/>
    <w:rsid w:val="00D54466"/>
    <w:rsid w:val="00D544FD"/>
    <w:rsid w:val="00D54948"/>
    <w:rsid w:val="00D54A69"/>
    <w:rsid w:val="00D54C35"/>
    <w:rsid w:val="00D551AF"/>
    <w:rsid w:val="00D554E1"/>
    <w:rsid w:val="00D55567"/>
    <w:rsid w:val="00D556A2"/>
    <w:rsid w:val="00D55857"/>
    <w:rsid w:val="00D558AD"/>
    <w:rsid w:val="00D55B9B"/>
    <w:rsid w:val="00D55CAC"/>
    <w:rsid w:val="00D55E04"/>
    <w:rsid w:val="00D55E7D"/>
    <w:rsid w:val="00D55F13"/>
    <w:rsid w:val="00D56249"/>
    <w:rsid w:val="00D5636F"/>
    <w:rsid w:val="00D564D1"/>
    <w:rsid w:val="00D5659B"/>
    <w:rsid w:val="00D56614"/>
    <w:rsid w:val="00D5676F"/>
    <w:rsid w:val="00D569CC"/>
    <w:rsid w:val="00D56A3D"/>
    <w:rsid w:val="00D56BCF"/>
    <w:rsid w:val="00D56C9C"/>
    <w:rsid w:val="00D56D87"/>
    <w:rsid w:val="00D56E88"/>
    <w:rsid w:val="00D56ED0"/>
    <w:rsid w:val="00D57190"/>
    <w:rsid w:val="00D572A5"/>
    <w:rsid w:val="00D57386"/>
    <w:rsid w:val="00D57832"/>
    <w:rsid w:val="00D57932"/>
    <w:rsid w:val="00D57A74"/>
    <w:rsid w:val="00D57ACB"/>
    <w:rsid w:val="00D57C73"/>
    <w:rsid w:val="00D57C8A"/>
    <w:rsid w:val="00D57CB1"/>
    <w:rsid w:val="00D57D69"/>
    <w:rsid w:val="00D601FB"/>
    <w:rsid w:val="00D6085F"/>
    <w:rsid w:val="00D609DB"/>
    <w:rsid w:val="00D60AC6"/>
    <w:rsid w:val="00D60BEE"/>
    <w:rsid w:val="00D60BFD"/>
    <w:rsid w:val="00D60C1C"/>
    <w:rsid w:val="00D610FD"/>
    <w:rsid w:val="00D61208"/>
    <w:rsid w:val="00D61320"/>
    <w:rsid w:val="00D6146C"/>
    <w:rsid w:val="00D61571"/>
    <w:rsid w:val="00D618E4"/>
    <w:rsid w:val="00D61E49"/>
    <w:rsid w:val="00D61EE8"/>
    <w:rsid w:val="00D61F8A"/>
    <w:rsid w:val="00D61FF6"/>
    <w:rsid w:val="00D6243D"/>
    <w:rsid w:val="00D627AA"/>
    <w:rsid w:val="00D627E3"/>
    <w:rsid w:val="00D627E6"/>
    <w:rsid w:val="00D62854"/>
    <w:rsid w:val="00D62890"/>
    <w:rsid w:val="00D62A4F"/>
    <w:rsid w:val="00D62A69"/>
    <w:rsid w:val="00D62BFB"/>
    <w:rsid w:val="00D62BFE"/>
    <w:rsid w:val="00D6307E"/>
    <w:rsid w:val="00D63269"/>
    <w:rsid w:val="00D632DF"/>
    <w:rsid w:val="00D632F2"/>
    <w:rsid w:val="00D633BC"/>
    <w:rsid w:val="00D63560"/>
    <w:rsid w:val="00D635A1"/>
    <w:rsid w:val="00D635D5"/>
    <w:rsid w:val="00D635DA"/>
    <w:rsid w:val="00D63793"/>
    <w:rsid w:val="00D6385B"/>
    <w:rsid w:val="00D63860"/>
    <w:rsid w:val="00D639C1"/>
    <w:rsid w:val="00D63C16"/>
    <w:rsid w:val="00D63FCC"/>
    <w:rsid w:val="00D64117"/>
    <w:rsid w:val="00D6433F"/>
    <w:rsid w:val="00D64444"/>
    <w:rsid w:val="00D6445C"/>
    <w:rsid w:val="00D647DC"/>
    <w:rsid w:val="00D64853"/>
    <w:rsid w:val="00D648E2"/>
    <w:rsid w:val="00D64AF8"/>
    <w:rsid w:val="00D64B11"/>
    <w:rsid w:val="00D64BDF"/>
    <w:rsid w:val="00D64EC2"/>
    <w:rsid w:val="00D64F0F"/>
    <w:rsid w:val="00D650C9"/>
    <w:rsid w:val="00D650FF"/>
    <w:rsid w:val="00D6510F"/>
    <w:rsid w:val="00D65113"/>
    <w:rsid w:val="00D65141"/>
    <w:rsid w:val="00D651F1"/>
    <w:rsid w:val="00D65278"/>
    <w:rsid w:val="00D654CB"/>
    <w:rsid w:val="00D65573"/>
    <w:rsid w:val="00D6561D"/>
    <w:rsid w:val="00D656E3"/>
    <w:rsid w:val="00D65742"/>
    <w:rsid w:val="00D6576B"/>
    <w:rsid w:val="00D65C7F"/>
    <w:rsid w:val="00D65DE0"/>
    <w:rsid w:val="00D65DF3"/>
    <w:rsid w:val="00D65E17"/>
    <w:rsid w:val="00D65ED9"/>
    <w:rsid w:val="00D661B2"/>
    <w:rsid w:val="00D662DD"/>
    <w:rsid w:val="00D663F1"/>
    <w:rsid w:val="00D664DE"/>
    <w:rsid w:val="00D6659C"/>
    <w:rsid w:val="00D66969"/>
    <w:rsid w:val="00D66B3D"/>
    <w:rsid w:val="00D66C4C"/>
    <w:rsid w:val="00D6718F"/>
    <w:rsid w:val="00D6735C"/>
    <w:rsid w:val="00D67374"/>
    <w:rsid w:val="00D674C3"/>
    <w:rsid w:val="00D67657"/>
    <w:rsid w:val="00D6783F"/>
    <w:rsid w:val="00D679C8"/>
    <w:rsid w:val="00D67A85"/>
    <w:rsid w:val="00D67CE4"/>
    <w:rsid w:val="00D67F95"/>
    <w:rsid w:val="00D70072"/>
    <w:rsid w:val="00D70286"/>
    <w:rsid w:val="00D702C1"/>
    <w:rsid w:val="00D7037C"/>
    <w:rsid w:val="00D705D6"/>
    <w:rsid w:val="00D7095D"/>
    <w:rsid w:val="00D70B03"/>
    <w:rsid w:val="00D70B0E"/>
    <w:rsid w:val="00D70BAD"/>
    <w:rsid w:val="00D70E46"/>
    <w:rsid w:val="00D7100A"/>
    <w:rsid w:val="00D71026"/>
    <w:rsid w:val="00D7118C"/>
    <w:rsid w:val="00D711A0"/>
    <w:rsid w:val="00D7123D"/>
    <w:rsid w:val="00D71254"/>
    <w:rsid w:val="00D712AB"/>
    <w:rsid w:val="00D714F9"/>
    <w:rsid w:val="00D71540"/>
    <w:rsid w:val="00D716D1"/>
    <w:rsid w:val="00D71738"/>
    <w:rsid w:val="00D7193D"/>
    <w:rsid w:val="00D71B99"/>
    <w:rsid w:val="00D71D7E"/>
    <w:rsid w:val="00D71F6C"/>
    <w:rsid w:val="00D72076"/>
    <w:rsid w:val="00D72233"/>
    <w:rsid w:val="00D7226F"/>
    <w:rsid w:val="00D7273B"/>
    <w:rsid w:val="00D72A39"/>
    <w:rsid w:val="00D72CFF"/>
    <w:rsid w:val="00D7305E"/>
    <w:rsid w:val="00D731DC"/>
    <w:rsid w:val="00D731EC"/>
    <w:rsid w:val="00D73291"/>
    <w:rsid w:val="00D73438"/>
    <w:rsid w:val="00D7351E"/>
    <w:rsid w:val="00D73675"/>
    <w:rsid w:val="00D73A74"/>
    <w:rsid w:val="00D73B99"/>
    <w:rsid w:val="00D73C8C"/>
    <w:rsid w:val="00D73C93"/>
    <w:rsid w:val="00D73E22"/>
    <w:rsid w:val="00D73E62"/>
    <w:rsid w:val="00D73E6E"/>
    <w:rsid w:val="00D74052"/>
    <w:rsid w:val="00D74062"/>
    <w:rsid w:val="00D7407E"/>
    <w:rsid w:val="00D742E0"/>
    <w:rsid w:val="00D7453D"/>
    <w:rsid w:val="00D7472C"/>
    <w:rsid w:val="00D74816"/>
    <w:rsid w:val="00D7482D"/>
    <w:rsid w:val="00D749CD"/>
    <w:rsid w:val="00D74A1B"/>
    <w:rsid w:val="00D74A92"/>
    <w:rsid w:val="00D74AE0"/>
    <w:rsid w:val="00D74F0E"/>
    <w:rsid w:val="00D74F84"/>
    <w:rsid w:val="00D751EC"/>
    <w:rsid w:val="00D754C5"/>
    <w:rsid w:val="00D7563B"/>
    <w:rsid w:val="00D757A5"/>
    <w:rsid w:val="00D75A95"/>
    <w:rsid w:val="00D75D09"/>
    <w:rsid w:val="00D75D52"/>
    <w:rsid w:val="00D75DA2"/>
    <w:rsid w:val="00D75F25"/>
    <w:rsid w:val="00D75F8A"/>
    <w:rsid w:val="00D75FDD"/>
    <w:rsid w:val="00D760E3"/>
    <w:rsid w:val="00D760EA"/>
    <w:rsid w:val="00D76148"/>
    <w:rsid w:val="00D7628F"/>
    <w:rsid w:val="00D763B0"/>
    <w:rsid w:val="00D7652E"/>
    <w:rsid w:val="00D76622"/>
    <w:rsid w:val="00D7668E"/>
    <w:rsid w:val="00D76A91"/>
    <w:rsid w:val="00D76C48"/>
    <w:rsid w:val="00D76C87"/>
    <w:rsid w:val="00D76D4F"/>
    <w:rsid w:val="00D76F32"/>
    <w:rsid w:val="00D76FAD"/>
    <w:rsid w:val="00D771B8"/>
    <w:rsid w:val="00D772C8"/>
    <w:rsid w:val="00D773B3"/>
    <w:rsid w:val="00D77635"/>
    <w:rsid w:val="00D776B9"/>
    <w:rsid w:val="00D777B6"/>
    <w:rsid w:val="00D778D4"/>
    <w:rsid w:val="00D77B5D"/>
    <w:rsid w:val="00D77D2E"/>
    <w:rsid w:val="00D77DE3"/>
    <w:rsid w:val="00D77E96"/>
    <w:rsid w:val="00D77F20"/>
    <w:rsid w:val="00D8026D"/>
    <w:rsid w:val="00D804B9"/>
    <w:rsid w:val="00D80A8E"/>
    <w:rsid w:val="00D80D5F"/>
    <w:rsid w:val="00D80EA7"/>
    <w:rsid w:val="00D812B2"/>
    <w:rsid w:val="00D812FB"/>
    <w:rsid w:val="00D81524"/>
    <w:rsid w:val="00D817A2"/>
    <w:rsid w:val="00D81C24"/>
    <w:rsid w:val="00D81C5F"/>
    <w:rsid w:val="00D81CAD"/>
    <w:rsid w:val="00D81D8F"/>
    <w:rsid w:val="00D81E32"/>
    <w:rsid w:val="00D82373"/>
    <w:rsid w:val="00D82518"/>
    <w:rsid w:val="00D826DE"/>
    <w:rsid w:val="00D82777"/>
    <w:rsid w:val="00D8284A"/>
    <w:rsid w:val="00D828AB"/>
    <w:rsid w:val="00D82904"/>
    <w:rsid w:val="00D829A3"/>
    <w:rsid w:val="00D82BF5"/>
    <w:rsid w:val="00D82DD8"/>
    <w:rsid w:val="00D82DF3"/>
    <w:rsid w:val="00D82F7E"/>
    <w:rsid w:val="00D83040"/>
    <w:rsid w:val="00D8324A"/>
    <w:rsid w:val="00D83259"/>
    <w:rsid w:val="00D8365C"/>
    <w:rsid w:val="00D836EF"/>
    <w:rsid w:val="00D837A8"/>
    <w:rsid w:val="00D83E01"/>
    <w:rsid w:val="00D83F31"/>
    <w:rsid w:val="00D83F93"/>
    <w:rsid w:val="00D84066"/>
    <w:rsid w:val="00D84147"/>
    <w:rsid w:val="00D84668"/>
    <w:rsid w:val="00D84696"/>
    <w:rsid w:val="00D84CBF"/>
    <w:rsid w:val="00D84CF5"/>
    <w:rsid w:val="00D853D1"/>
    <w:rsid w:val="00D8546B"/>
    <w:rsid w:val="00D855D0"/>
    <w:rsid w:val="00D85767"/>
    <w:rsid w:val="00D85A90"/>
    <w:rsid w:val="00D85BE2"/>
    <w:rsid w:val="00D85BF6"/>
    <w:rsid w:val="00D85D3F"/>
    <w:rsid w:val="00D85DE3"/>
    <w:rsid w:val="00D85E2C"/>
    <w:rsid w:val="00D85F32"/>
    <w:rsid w:val="00D8606F"/>
    <w:rsid w:val="00D861D9"/>
    <w:rsid w:val="00D864F4"/>
    <w:rsid w:val="00D86526"/>
    <w:rsid w:val="00D8697E"/>
    <w:rsid w:val="00D86B3E"/>
    <w:rsid w:val="00D86C92"/>
    <w:rsid w:val="00D86D05"/>
    <w:rsid w:val="00D86D4D"/>
    <w:rsid w:val="00D87019"/>
    <w:rsid w:val="00D87061"/>
    <w:rsid w:val="00D87119"/>
    <w:rsid w:val="00D8720A"/>
    <w:rsid w:val="00D87254"/>
    <w:rsid w:val="00D874C2"/>
    <w:rsid w:val="00D900A4"/>
    <w:rsid w:val="00D900FC"/>
    <w:rsid w:val="00D901D9"/>
    <w:rsid w:val="00D9044E"/>
    <w:rsid w:val="00D90469"/>
    <w:rsid w:val="00D9052E"/>
    <w:rsid w:val="00D90706"/>
    <w:rsid w:val="00D909AE"/>
    <w:rsid w:val="00D90F80"/>
    <w:rsid w:val="00D90F81"/>
    <w:rsid w:val="00D90F89"/>
    <w:rsid w:val="00D90F8A"/>
    <w:rsid w:val="00D910D6"/>
    <w:rsid w:val="00D9110A"/>
    <w:rsid w:val="00D911FD"/>
    <w:rsid w:val="00D91391"/>
    <w:rsid w:val="00D91AC3"/>
    <w:rsid w:val="00D91AC7"/>
    <w:rsid w:val="00D91C6C"/>
    <w:rsid w:val="00D9207F"/>
    <w:rsid w:val="00D920A5"/>
    <w:rsid w:val="00D927C7"/>
    <w:rsid w:val="00D92DD8"/>
    <w:rsid w:val="00D92E2E"/>
    <w:rsid w:val="00D930EC"/>
    <w:rsid w:val="00D931E4"/>
    <w:rsid w:val="00D93226"/>
    <w:rsid w:val="00D9337D"/>
    <w:rsid w:val="00D9346A"/>
    <w:rsid w:val="00D934AE"/>
    <w:rsid w:val="00D93636"/>
    <w:rsid w:val="00D936DD"/>
    <w:rsid w:val="00D93805"/>
    <w:rsid w:val="00D9389C"/>
    <w:rsid w:val="00D93AD3"/>
    <w:rsid w:val="00D93B7C"/>
    <w:rsid w:val="00D93DF1"/>
    <w:rsid w:val="00D93EAE"/>
    <w:rsid w:val="00D93ECD"/>
    <w:rsid w:val="00D9407D"/>
    <w:rsid w:val="00D940E1"/>
    <w:rsid w:val="00D94329"/>
    <w:rsid w:val="00D9438B"/>
    <w:rsid w:val="00D943A3"/>
    <w:rsid w:val="00D9488D"/>
    <w:rsid w:val="00D9491B"/>
    <w:rsid w:val="00D94991"/>
    <w:rsid w:val="00D94E33"/>
    <w:rsid w:val="00D95090"/>
    <w:rsid w:val="00D95229"/>
    <w:rsid w:val="00D954A9"/>
    <w:rsid w:val="00D95617"/>
    <w:rsid w:val="00D958A7"/>
    <w:rsid w:val="00D95936"/>
    <w:rsid w:val="00D95C9F"/>
    <w:rsid w:val="00D95D27"/>
    <w:rsid w:val="00D95D2F"/>
    <w:rsid w:val="00D95D46"/>
    <w:rsid w:val="00D95DE6"/>
    <w:rsid w:val="00D9608E"/>
    <w:rsid w:val="00D961FE"/>
    <w:rsid w:val="00D9628C"/>
    <w:rsid w:val="00D962AE"/>
    <w:rsid w:val="00D96406"/>
    <w:rsid w:val="00D96564"/>
    <w:rsid w:val="00D965C3"/>
    <w:rsid w:val="00D966A3"/>
    <w:rsid w:val="00D968BF"/>
    <w:rsid w:val="00D96A22"/>
    <w:rsid w:val="00D96A7A"/>
    <w:rsid w:val="00D96B34"/>
    <w:rsid w:val="00D96D09"/>
    <w:rsid w:val="00D96E38"/>
    <w:rsid w:val="00D96E39"/>
    <w:rsid w:val="00D96E63"/>
    <w:rsid w:val="00D97411"/>
    <w:rsid w:val="00D974DA"/>
    <w:rsid w:val="00D97632"/>
    <w:rsid w:val="00D9768B"/>
    <w:rsid w:val="00D976E6"/>
    <w:rsid w:val="00D97747"/>
    <w:rsid w:val="00D9791F"/>
    <w:rsid w:val="00D97987"/>
    <w:rsid w:val="00DA0071"/>
    <w:rsid w:val="00DA0134"/>
    <w:rsid w:val="00DA02D5"/>
    <w:rsid w:val="00DA0372"/>
    <w:rsid w:val="00DA042C"/>
    <w:rsid w:val="00DA04E3"/>
    <w:rsid w:val="00DA058D"/>
    <w:rsid w:val="00DA062D"/>
    <w:rsid w:val="00DA06AB"/>
    <w:rsid w:val="00DA07ED"/>
    <w:rsid w:val="00DA0870"/>
    <w:rsid w:val="00DA0C80"/>
    <w:rsid w:val="00DA0DA6"/>
    <w:rsid w:val="00DA0E9F"/>
    <w:rsid w:val="00DA1366"/>
    <w:rsid w:val="00DA1384"/>
    <w:rsid w:val="00DA13A8"/>
    <w:rsid w:val="00DA13AC"/>
    <w:rsid w:val="00DA13F8"/>
    <w:rsid w:val="00DA1BBA"/>
    <w:rsid w:val="00DA212F"/>
    <w:rsid w:val="00DA21ED"/>
    <w:rsid w:val="00DA2496"/>
    <w:rsid w:val="00DA293B"/>
    <w:rsid w:val="00DA2A41"/>
    <w:rsid w:val="00DA2BF6"/>
    <w:rsid w:val="00DA2C11"/>
    <w:rsid w:val="00DA2CC7"/>
    <w:rsid w:val="00DA2D8D"/>
    <w:rsid w:val="00DA2F31"/>
    <w:rsid w:val="00DA2FE5"/>
    <w:rsid w:val="00DA3131"/>
    <w:rsid w:val="00DA3149"/>
    <w:rsid w:val="00DA31C0"/>
    <w:rsid w:val="00DA3378"/>
    <w:rsid w:val="00DA3493"/>
    <w:rsid w:val="00DA351C"/>
    <w:rsid w:val="00DA3913"/>
    <w:rsid w:val="00DA3B8A"/>
    <w:rsid w:val="00DA3EC8"/>
    <w:rsid w:val="00DA40B9"/>
    <w:rsid w:val="00DA41B3"/>
    <w:rsid w:val="00DA42D4"/>
    <w:rsid w:val="00DA43EB"/>
    <w:rsid w:val="00DA44E4"/>
    <w:rsid w:val="00DA4BCA"/>
    <w:rsid w:val="00DA4E65"/>
    <w:rsid w:val="00DA4EC4"/>
    <w:rsid w:val="00DA502E"/>
    <w:rsid w:val="00DA503A"/>
    <w:rsid w:val="00DA504B"/>
    <w:rsid w:val="00DA51DF"/>
    <w:rsid w:val="00DA528F"/>
    <w:rsid w:val="00DA54FC"/>
    <w:rsid w:val="00DA5764"/>
    <w:rsid w:val="00DA57B4"/>
    <w:rsid w:val="00DA57E2"/>
    <w:rsid w:val="00DA5E90"/>
    <w:rsid w:val="00DA6080"/>
    <w:rsid w:val="00DA6208"/>
    <w:rsid w:val="00DA6279"/>
    <w:rsid w:val="00DA6307"/>
    <w:rsid w:val="00DA64C8"/>
    <w:rsid w:val="00DA652F"/>
    <w:rsid w:val="00DA65C7"/>
    <w:rsid w:val="00DA664C"/>
    <w:rsid w:val="00DA673C"/>
    <w:rsid w:val="00DA6A72"/>
    <w:rsid w:val="00DA6BA0"/>
    <w:rsid w:val="00DA6E22"/>
    <w:rsid w:val="00DA7070"/>
    <w:rsid w:val="00DA744A"/>
    <w:rsid w:val="00DA79E6"/>
    <w:rsid w:val="00DA7C69"/>
    <w:rsid w:val="00DA7F05"/>
    <w:rsid w:val="00DB0047"/>
    <w:rsid w:val="00DB0301"/>
    <w:rsid w:val="00DB0324"/>
    <w:rsid w:val="00DB0340"/>
    <w:rsid w:val="00DB03D9"/>
    <w:rsid w:val="00DB04C3"/>
    <w:rsid w:val="00DB0545"/>
    <w:rsid w:val="00DB087B"/>
    <w:rsid w:val="00DB0E1D"/>
    <w:rsid w:val="00DB10AB"/>
    <w:rsid w:val="00DB10BC"/>
    <w:rsid w:val="00DB1152"/>
    <w:rsid w:val="00DB118C"/>
    <w:rsid w:val="00DB1351"/>
    <w:rsid w:val="00DB15D1"/>
    <w:rsid w:val="00DB1603"/>
    <w:rsid w:val="00DB1630"/>
    <w:rsid w:val="00DB16BC"/>
    <w:rsid w:val="00DB1795"/>
    <w:rsid w:val="00DB17CC"/>
    <w:rsid w:val="00DB19EE"/>
    <w:rsid w:val="00DB1A8F"/>
    <w:rsid w:val="00DB1AAE"/>
    <w:rsid w:val="00DB1AE9"/>
    <w:rsid w:val="00DB1F44"/>
    <w:rsid w:val="00DB1F48"/>
    <w:rsid w:val="00DB23A3"/>
    <w:rsid w:val="00DB23EE"/>
    <w:rsid w:val="00DB28B7"/>
    <w:rsid w:val="00DB2975"/>
    <w:rsid w:val="00DB2A38"/>
    <w:rsid w:val="00DB2AD5"/>
    <w:rsid w:val="00DB2C89"/>
    <w:rsid w:val="00DB2D5B"/>
    <w:rsid w:val="00DB343A"/>
    <w:rsid w:val="00DB35F9"/>
    <w:rsid w:val="00DB375D"/>
    <w:rsid w:val="00DB3785"/>
    <w:rsid w:val="00DB396C"/>
    <w:rsid w:val="00DB3C47"/>
    <w:rsid w:val="00DB3CEA"/>
    <w:rsid w:val="00DB3E17"/>
    <w:rsid w:val="00DB3E5B"/>
    <w:rsid w:val="00DB409C"/>
    <w:rsid w:val="00DB438B"/>
    <w:rsid w:val="00DB4694"/>
    <w:rsid w:val="00DB46BF"/>
    <w:rsid w:val="00DB47B5"/>
    <w:rsid w:val="00DB48D5"/>
    <w:rsid w:val="00DB48E2"/>
    <w:rsid w:val="00DB4990"/>
    <w:rsid w:val="00DB4C97"/>
    <w:rsid w:val="00DB4D96"/>
    <w:rsid w:val="00DB4DDB"/>
    <w:rsid w:val="00DB50F6"/>
    <w:rsid w:val="00DB5184"/>
    <w:rsid w:val="00DB52CD"/>
    <w:rsid w:val="00DB534E"/>
    <w:rsid w:val="00DB547A"/>
    <w:rsid w:val="00DB55F0"/>
    <w:rsid w:val="00DB5820"/>
    <w:rsid w:val="00DB5A11"/>
    <w:rsid w:val="00DB5B30"/>
    <w:rsid w:val="00DB5F3F"/>
    <w:rsid w:val="00DB5F46"/>
    <w:rsid w:val="00DB60CF"/>
    <w:rsid w:val="00DB61EC"/>
    <w:rsid w:val="00DB6334"/>
    <w:rsid w:val="00DB65BE"/>
    <w:rsid w:val="00DB6724"/>
    <w:rsid w:val="00DB68A3"/>
    <w:rsid w:val="00DB7274"/>
    <w:rsid w:val="00DB7566"/>
    <w:rsid w:val="00DB77A7"/>
    <w:rsid w:val="00DB77BB"/>
    <w:rsid w:val="00DB790B"/>
    <w:rsid w:val="00DB7958"/>
    <w:rsid w:val="00DB7D51"/>
    <w:rsid w:val="00DB7D9D"/>
    <w:rsid w:val="00DB7EC8"/>
    <w:rsid w:val="00DB7F12"/>
    <w:rsid w:val="00DB7F7D"/>
    <w:rsid w:val="00DC0195"/>
    <w:rsid w:val="00DC0680"/>
    <w:rsid w:val="00DC0BC1"/>
    <w:rsid w:val="00DC0EB2"/>
    <w:rsid w:val="00DC0FDD"/>
    <w:rsid w:val="00DC116D"/>
    <w:rsid w:val="00DC1272"/>
    <w:rsid w:val="00DC13C8"/>
    <w:rsid w:val="00DC13E5"/>
    <w:rsid w:val="00DC14AC"/>
    <w:rsid w:val="00DC1852"/>
    <w:rsid w:val="00DC1979"/>
    <w:rsid w:val="00DC1C2F"/>
    <w:rsid w:val="00DC1D11"/>
    <w:rsid w:val="00DC1F8C"/>
    <w:rsid w:val="00DC2032"/>
    <w:rsid w:val="00DC218C"/>
    <w:rsid w:val="00DC2206"/>
    <w:rsid w:val="00DC243E"/>
    <w:rsid w:val="00DC24C3"/>
    <w:rsid w:val="00DC25CF"/>
    <w:rsid w:val="00DC264C"/>
    <w:rsid w:val="00DC2876"/>
    <w:rsid w:val="00DC2A2D"/>
    <w:rsid w:val="00DC2A5B"/>
    <w:rsid w:val="00DC2B3B"/>
    <w:rsid w:val="00DC2CD4"/>
    <w:rsid w:val="00DC2F9C"/>
    <w:rsid w:val="00DC2FB2"/>
    <w:rsid w:val="00DC30FF"/>
    <w:rsid w:val="00DC3106"/>
    <w:rsid w:val="00DC3159"/>
    <w:rsid w:val="00DC3175"/>
    <w:rsid w:val="00DC3536"/>
    <w:rsid w:val="00DC36D7"/>
    <w:rsid w:val="00DC36EC"/>
    <w:rsid w:val="00DC380E"/>
    <w:rsid w:val="00DC3967"/>
    <w:rsid w:val="00DC3AC5"/>
    <w:rsid w:val="00DC3C12"/>
    <w:rsid w:val="00DC3E08"/>
    <w:rsid w:val="00DC40E8"/>
    <w:rsid w:val="00DC4180"/>
    <w:rsid w:val="00DC453C"/>
    <w:rsid w:val="00DC489B"/>
    <w:rsid w:val="00DC4B55"/>
    <w:rsid w:val="00DC4B68"/>
    <w:rsid w:val="00DC4E83"/>
    <w:rsid w:val="00DC4F13"/>
    <w:rsid w:val="00DC4F6B"/>
    <w:rsid w:val="00DC5238"/>
    <w:rsid w:val="00DC54E6"/>
    <w:rsid w:val="00DC558C"/>
    <w:rsid w:val="00DC5802"/>
    <w:rsid w:val="00DC581A"/>
    <w:rsid w:val="00DC5ABA"/>
    <w:rsid w:val="00DC5C02"/>
    <w:rsid w:val="00DC5C75"/>
    <w:rsid w:val="00DC5CBF"/>
    <w:rsid w:val="00DC5F5A"/>
    <w:rsid w:val="00DC5FAE"/>
    <w:rsid w:val="00DC62AC"/>
    <w:rsid w:val="00DC642A"/>
    <w:rsid w:val="00DC68A6"/>
    <w:rsid w:val="00DC6913"/>
    <w:rsid w:val="00DC6D63"/>
    <w:rsid w:val="00DC6E8E"/>
    <w:rsid w:val="00DC7041"/>
    <w:rsid w:val="00DC714B"/>
    <w:rsid w:val="00DC7336"/>
    <w:rsid w:val="00DC76FD"/>
    <w:rsid w:val="00DC792D"/>
    <w:rsid w:val="00DC7B83"/>
    <w:rsid w:val="00DC7C1A"/>
    <w:rsid w:val="00DC7CE7"/>
    <w:rsid w:val="00DC7CF5"/>
    <w:rsid w:val="00DC7D18"/>
    <w:rsid w:val="00DD0147"/>
    <w:rsid w:val="00DD02ED"/>
    <w:rsid w:val="00DD030D"/>
    <w:rsid w:val="00DD0495"/>
    <w:rsid w:val="00DD0D07"/>
    <w:rsid w:val="00DD1320"/>
    <w:rsid w:val="00DD14BF"/>
    <w:rsid w:val="00DD164F"/>
    <w:rsid w:val="00DD17CE"/>
    <w:rsid w:val="00DD1816"/>
    <w:rsid w:val="00DD1872"/>
    <w:rsid w:val="00DD1904"/>
    <w:rsid w:val="00DD190C"/>
    <w:rsid w:val="00DD19A3"/>
    <w:rsid w:val="00DD19ED"/>
    <w:rsid w:val="00DD1ABC"/>
    <w:rsid w:val="00DD1DFD"/>
    <w:rsid w:val="00DD1E41"/>
    <w:rsid w:val="00DD203E"/>
    <w:rsid w:val="00DD2122"/>
    <w:rsid w:val="00DD249F"/>
    <w:rsid w:val="00DD2839"/>
    <w:rsid w:val="00DD2A74"/>
    <w:rsid w:val="00DD2C04"/>
    <w:rsid w:val="00DD2DAB"/>
    <w:rsid w:val="00DD3139"/>
    <w:rsid w:val="00DD3487"/>
    <w:rsid w:val="00DD34B8"/>
    <w:rsid w:val="00DD362F"/>
    <w:rsid w:val="00DD36E4"/>
    <w:rsid w:val="00DD36F2"/>
    <w:rsid w:val="00DD3701"/>
    <w:rsid w:val="00DD3755"/>
    <w:rsid w:val="00DD378E"/>
    <w:rsid w:val="00DD3AC1"/>
    <w:rsid w:val="00DD3B3C"/>
    <w:rsid w:val="00DD3CD5"/>
    <w:rsid w:val="00DD3E11"/>
    <w:rsid w:val="00DD3E56"/>
    <w:rsid w:val="00DD3F4E"/>
    <w:rsid w:val="00DD3FDB"/>
    <w:rsid w:val="00DD40FF"/>
    <w:rsid w:val="00DD4A40"/>
    <w:rsid w:val="00DD4E34"/>
    <w:rsid w:val="00DD4E37"/>
    <w:rsid w:val="00DD4EBB"/>
    <w:rsid w:val="00DD5430"/>
    <w:rsid w:val="00DD552A"/>
    <w:rsid w:val="00DD59F8"/>
    <w:rsid w:val="00DD5B69"/>
    <w:rsid w:val="00DD5C8B"/>
    <w:rsid w:val="00DD5C9A"/>
    <w:rsid w:val="00DD5CD6"/>
    <w:rsid w:val="00DD5E55"/>
    <w:rsid w:val="00DD5FC0"/>
    <w:rsid w:val="00DD617C"/>
    <w:rsid w:val="00DD6215"/>
    <w:rsid w:val="00DD6252"/>
    <w:rsid w:val="00DD62C9"/>
    <w:rsid w:val="00DD62E2"/>
    <w:rsid w:val="00DD630A"/>
    <w:rsid w:val="00DD6342"/>
    <w:rsid w:val="00DD6627"/>
    <w:rsid w:val="00DD66CB"/>
    <w:rsid w:val="00DD6AD5"/>
    <w:rsid w:val="00DD6AF2"/>
    <w:rsid w:val="00DD6D51"/>
    <w:rsid w:val="00DD6F38"/>
    <w:rsid w:val="00DD70D9"/>
    <w:rsid w:val="00DD71E2"/>
    <w:rsid w:val="00DD72D0"/>
    <w:rsid w:val="00DD7361"/>
    <w:rsid w:val="00DD74B3"/>
    <w:rsid w:val="00DD7515"/>
    <w:rsid w:val="00DD76B9"/>
    <w:rsid w:val="00DD778C"/>
    <w:rsid w:val="00DD7790"/>
    <w:rsid w:val="00DE05C1"/>
    <w:rsid w:val="00DE05C5"/>
    <w:rsid w:val="00DE07E9"/>
    <w:rsid w:val="00DE0AEB"/>
    <w:rsid w:val="00DE0B17"/>
    <w:rsid w:val="00DE0C4D"/>
    <w:rsid w:val="00DE0F33"/>
    <w:rsid w:val="00DE1333"/>
    <w:rsid w:val="00DE17FC"/>
    <w:rsid w:val="00DE1912"/>
    <w:rsid w:val="00DE1978"/>
    <w:rsid w:val="00DE1C60"/>
    <w:rsid w:val="00DE1CB8"/>
    <w:rsid w:val="00DE1DBF"/>
    <w:rsid w:val="00DE223B"/>
    <w:rsid w:val="00DE240D"/>
    <w:rsid w:val="00DE243A"/>
    <w:rsid w:val="00DE2460"/>
    <w:rsid w:val="00DE277C"/>
    <w:rsid w:val="00DE2782"/>
    <w:rsid w:val="00DE29B8"/>
    <w:rsid w:val="00DE2B45"/>
    <w:rsid w:val="00DE2BD9"/>
    <w:rsid w:val="00DE2EC9"/>
    <w:rsid w:val="00DE2FC5"/>
    <w:rsid w:val="00DE34D4"/>
    <w:rsid w:val="00DE34FB"/>
    <w:rsid w:val="00DE35A3"/>
    <w:rsid w:val="00DE3690"/>
    <w:rsid w:val="00DE3765"/>
    <w:rsid w:val="00DE3793"/>
    <w:rsid w:val="00DE384B"/>
    <w:rsid w:val="00DE38B7"/>
    <w:rsid w:val="00DE3CB1"/>
    <w:rsid w:val="00DE3FF6"/>
    <w:rsid w:val="00DE41B9"/>
    <w:rsid w:val="00DE424A"/>
    <w:rsid w:val="00DE455B"/>
    <w:rsid w:val="00DE4566"/>
    <w:rsid w:val="00DE459A"/>
    <w:rsid w:val="00DE4735"/>
    <w:rsid w:val="00DE4867"/>
    <w:rsid w:val="00DE4BE9"/>
    <w:rsid w:val="00DE4C1E"/>
    <w:rsid w:val="00DE4C2C"/>
    <w:rsid w:val="00DE502C"/>
    <w:rsid w:val="00DE5129"/>
    <w:rsid w:val="00DE54AB"/>
    <w:rsid w:val="00DE570A"/>
    <w:rsid w:val="00DE59BB"/>
    <w:rsid w:val="00DE5AFA"/>
    <w:rsid w:val="00DE5B9A"/>
    <w:rsid w:val="00DE5C92"/>
    <w:rsid w:val="00DE5D52"/>
    <w:rsid w:val="00DE62BC"/>
    <w:rsid w:val="00DE63B3"/>
    <w:rsid w:val="00DE663F"/>
    <w:rsid w:val="00DE665A"/>
    <w:rsid w:val="00DE6661"/>
    <w:rsid w:val="00DE68D0"/>
    <w:rsid w:val="00DE6F2E"/>
    <w:rsid w:val="00DE733D"/>
    <w:rsid w:val="00DE74A6"/>
    <w:rsid w:val="00DE776D"/>
    <w:rsid w:val="00DE7921"/>
    <w:rsid w:val="00DE7968"/>
    <w:rsid w:val="00DE7E40"/>
    <w:rsid w:val="00DF0130"/>
    <w:rsid w:val="00DF01A8"/>
    <w:rsid w:val="00DF01BE"/>
    <w:rsid w:val="00DF04B1"/>
    <w:rsid w:val="00DF04D3"/>
    <w:rsid w:val="00DF066A"/>
    <w:rsid w:val="00DF06AF"/>
    <w:rsid w:val="00DF078E"/>
    <w:rsid w:val="00DF0BB5"/>
    <w:rsid w:val="00DF0BBF"/>
    <w:rsid w:val="00DF0F1C"/>
    <w:rsid w:val="00DF0FFD"/>
    <w:rsid w:val="00DF10E0"/>
    <w:rsid w:val="00DF110F"/>
    <w:rsid w:val="00DF117B"/>
    <w:rsid w:val="00DF1241"/>
    <w:rsid w:val="00DF14B2"/>
    <w:rsid w:val="00DF15B4"/>
    <w:rsid w:val="00DF1649"/>
    <w:rsid w:val="00DF16EC"/>
    <w:rsid w:val="00DF1710"/>
    <w:rsid w:val="00DF1794"/>
    <w:rsid w:val="00DF1837"/>
    <w:rsid w:val="00DF1A8F"/>
    <w:rsid w:val="00DF1D0A"/>
    <w:rsid w:val="00DF1DA8"/>
    <w:rsid w:val="00DF1E13"/>
    <w:rsid w:val="00DF1E78"/>
    <w:rsid w:val="00DF1F9B"/>
    <w:rsid w:val="00DF20D6"/>
    <w:rsid w:val="00DF2184"/>
    <w:rsid w:val="00DF223A"/>
    <w:rsid w:val="00DF234E"/>
    <w:rsid w:val="00DF2413"/>
    <w:rsid w:val="00DF24BE"/>
    <w:rsid w:val="00DF269D"/>
    <w:rsid w:val="00DF26A9"/>
    <w:rsid w:val="00DF2731"/>
    <w:rsid w:val="00DF2E8A"/>
    <w:rsid w:val="00DF303E"/>
    <w:rsid w:val="00DF3250"/>
    <w:rsid w:val="00DF327F"/>
    <w:rsid w:val="00DF33DE"/>
    <w:rsid w:val="00DF345F"/>
    <w:rsid w:val="00DF361B"/>
    <w:rsid w:val="00DF363D"/>
    <w:rsid w:val="00DF3747"/>
    <w:rsid w:val="00DF38DC"/>
    <w:rsid w:val="00DF390E"/>
    <w:rsid w:val="00DF3960"/>
    <w:rsid w:val="00DF3A0D"/>
    <w:rsid w:val="00DF3DC7"/>
    <w:rsid w:val="00DF407E"/>
    <w:rsid w:val="00DF4130"/>
    <w:rsid w:val="00DF4178"/>
    <w:rsid w:val="00DF4190"/>
    <w:rsid w:val="00DF42C4"/>
    <w:rsid w:val="00DF4331"/>
    <w:rsid w:val="00DF4393"/>
    <w:rsid w:val="00DF4497"/>
    <w:rsid w:val="00DF4AE6"/>
    <w:rsid w:val="00DF4C35"/>
    <w:rsid w:val="00DF4C44"/>
    <w:rsid w:val="00DF4C4B"/>
    <w:rsid w:val="00DF52AE"/>
    <w:rsid w:val="00DF53FC"/>
    <w:rsid w:val="00DF55FE"/>
    <w:rsid w:val="00DF5787"/>
    <w:rsid w:val="00DF59A9"/>
    <w:rsid w:val="00DF5A03"/>
    <w:rsid w:val="00DF5AC1"/>
    <w:rsid w:val="00DF602C"/>
    <w:rsid w:val="00DF6058"/>
    <w:rsid w:val="00DF60B5"/>
    <w:rsid w:val="00DF65F4"/>
    <w:rsid w:val="00DF665A"/>
    <w:rsid w:val="00DF685A"/>
    <w:rsid w:val="00DF68F2"/>
    <w:rsid w:val="00DF69D2"/>
    <w:rsid w:val="00DF69D9"/>
    <w:rsid w:val="00DF6D4D"/>
    <w:rsid w:val="00DF6D5D"/>
    <w:rsid w:val="00DF723D"/>
    <w:rsid w:val="00DF749C"/>
    <w:rsid w:val="00DF74E1"/>
    <w:rsid w:val="00DF7631"/>
    <w:rsid w:val="00DF76CD"/>
    <w:rsid w:val="00DF7709"/>
    <w:rsid w:val="00DF7982"/>
    <w:rsid w:val="00DF7C53"/>
    <w:rsid w:val="00DF7D5A"/>
    <w:rsid w:val="00DF7F0D"/>
    <w:rsid w:val="00E002E9"/>
    <w:rsid w:val="00E00456"/>
    <w:rsid w:val="00E0055A"/>
    <w:rsid w:val="00E008CE"/>
    <w:rsid w:val="00E00AC1"/>
    <w:rsid w:val="00E0106E"/>
    <w:rsid w:val="00E011AD"/>
    <w:rsid w:val="00E01247"/>
    <w:rsid w:val="00E01250"/>
    <w:rsid w:val="00E0145D"/>
    <w:rsid w:val="00E017B2"/>
    <w:rsid w:val="00E01843"/>
    <w:rsid w:val="00E01954"/>
    <w:rsid w:val="00E01958"/>
    <w:rsid w:val="00E01AED"/>
    <w:rsid w:val="00E01E96"/>
    <w:rsid w:val="00E01ECD"/>
    <w:rsid w:val="00E0202F"/>
    <w:rsid w:val="00E0216A"/>
    <w:rsid w:val="00E02214"/>
    <w:rsid w:val="00E02694"/>
    <w:rsid w:val="00E0269A"/>
    <w:rsid w:val="00E02721"/>
    <w:rsid w:val="00E029A5"/>
    <w:rsid w:val="00E029F0"/>
    <w:rsid w:val="00E02B52"/>
    <w:rsid w:val="00E02CA6"/>
    <w:rsid w:val="00E02CAA"/>
    <w:rsid w:val="00E02CEC"/>
    <w:rsid w:val="00E02F3C"/>
    <w:rsid w:val="00E033FF"/>
    <w:rsid w:val="00E03439"/>
    <w:rsid w:val="00E0366C"/>
    <w:rsid w:val="00E038E6"/>
    <w:rsid w:val="00E03938"/>
    <w:rsid w:val="00E03A47"/>
    <w:rsid w:val="00E03A66"/>
    <w:rsid w:val="00E03AD7"/>
    <w:rsid w:val="00E03B33"/>
    <w:rsid w:val="00E03D53"/>
    <w:rsid w:val="00E040E9"/>
    <w:rsid w:val="00E0417D"/>
    <w:rsid w:val="00E0418B"/>
    <w:rsid w:val="00E04304"/>
    <w:rsid w:val="00E04449"/>
    <w:rsid w:val="00E04485"/>
    <w:rsid w:val="00E044A7"/>
    <w:rsid w:val="00E04584"/>
    <w:rsid w:val="00E0462B"/>
    <w:rsid w:val="00E0470C"/>
    <w:rsid w:val="00E049BE"/>
    <w:rsid w:val="00E04A3C"/>
    <w:rsid w:val="00E04B1F"/>
    <w:rsid w:val="00E05070"/>
    <w:rsid w:val="00E05400"/>
    <w:rsid w:val="00E05426"/>
    <w:rsid w:val="00E055D1"/>
    <w:rsid w:val="00E05A28"/>
    <w:rsid w:val="00E05C3C"/>
    <w:rsid w:val="00E05D78"/>
    <w:rsid w:val="00E060AF"/>
    <w:rsid w:val="00E06236"/>
    <w:rsid w:val="00E06250"/>
    <w:rsid w:val="00E06253"/>
    <w:rsid w:val="00E06297"/>
    <w:rsid w:val="00E0637E"/>
    <w:rsid w:val="00E063DB"/>
    <w:rsid w:val="00E06530"/>
    <w:rsid w:val="00E06611"/>
    <w:rsid w:val="00E06770"/>
    <w:rsid w:val="00E06A06"/>
    <w:rsid w:val="00E06AE6"/>
    <w:rsid w:val="00E06F58"/>
    <w:rsid w:val="00E072D4"/>
    <w:rsid w:val="00E075B5"/>
    <w:rsid w:val="00E07643"/>
    <w:rsid w:val="00E076BD"/>
    <w:rsid w:val="00E07864"/>
    <w:rsid w:val="00E07D45"/>
    <w:rsid w:val="00E07D82"/>
    <w:rsid w:val="00E07DE2"/>
    <w:rsid w:val="00E07E87"/>
    <w:rsid w:val="00E101AB"/>
    <w:rsid w:val="00E102E0"/>
    <w:rsid w:val="00E103C9"/>
    <w:rsid w:val="00E10497"/>
    <w:rsid w:val="00E1049A"/>
    <w:rsid w:val="00E108E4"/>
    <w:rsid w:val="00E10B28"/>
    <w:rsid w:val="00E10C5E"/>
    <w:rsid w:val="00E10DD6"/>
    <w:rsid w:val="00E10E15"/>
    <w:rsid w:val="00E10E64"/>
    <w:rsid w:val="00E10FFF"/>
    <w:rsid w:val="00E1102F"/>
    <w:rsid w:val="00E110B2"/>
    <w:rsid w:val="00E1117C"/>
    <w:rsid w:val="00E111A4"/>
    <w:rsid w:val="00E11256"/>
    <w:rsid w:val="00E11515"/>
    <w:rsid w:val="00E116C7"/>
    <w:rsid w:val="00E11712"/>
    <w:rsid w:val="00E1172F"/>
    <w:rsid w:val="00E11A0F"/>
    <w:rsid w:val="00E11B67"/>
    <w:rsid w:val="00E11C1B"/>
    <w:rsid w:val="00E120A2"/>
    <w:rsid w:val="00E120A6"/>
    <w:rsid w:val="00E12392"/>
    <w:rsid w:val="00E12518"/>
    <w:rsid w:val="00E1252A"/>
    <w:rsid w:val="00E1255F"/>
    <w:rsid w:val="00E12593"/>
    <w:rsid w:val="00E127D9"/>
    <w:rsid w:val="00E1293F"/>
    <w:rsid w:val="00E12947"/>
    <w:rsid w:val="00E129D6"/>
    <w:rsid w:val="00E12DA6"/>
    <w:rsid w:val="00E12E60"/>
    <w:rsid w:val="00E12FBD"/>
    <w:rsid w:val="00E1342F"/>
    <w:rsid w:val="00E134BB"/>
    <w:rsid w:val="00E138A3"/>
    <w:rsid w:val="00E13E1E"/>
    <w:rsid w:val="00E13FBB"/>
    <w:rsid w:val="00E14507"/>
    <w:rsid w:val="00E14516"/>
    <w:rsid w:val="00E1458D"/>
    <w:rsid w:val="00E146E3"/>
    <w:rsid w:val="00E14741"/>
    <w:rsid w:val="00E14795"/>
    <w:rsid w:val="00E14941"/>
    <w:rsid w:val="00E149AB"/>
    <w:rsid w:val="00E149C4"/>
    <w:rsid w:val="00E14A5A"/>
    <w:rsid w:val="00E14A9E"/>
    <w:rsid w:val="00E14B00"/>
    <w:rsid w:val="00E14DDC"/>
    <w:rsid w:val="00E14E1E"/>
    <w:rsid w:val="00E15102"/>
    <w:rsid w:val="00E15183"/>
    <w:rsid w:val="00E1574C"/>
    <w:rsid w:val="00E15931"/>
    <w:rsid w:val="00E159CE"/>
    <w:rsid w:val="00E15A27"/>
    <w:rsid w:val="00E15A48"/>
    <w:rsid w:val="00E15A97"/>
    <w:rsid w:val="00E15B23"/>
    <w:rsid w:val="00E15B66"/>
    <w:rsid w:val="00E15BA3"/>
    <w:rsid w:val="00E16145"/>
    <w:rsid w:val="00E161CD"/>
    <w:rsid w:val="00E16220"/>
    <w:rsid w:val="00E16280"/>
    <w:rsid w:val="00E1652E"/>
    <w:rsid w:val="00E1654D"/>
    <w:rsid w:val="00E165F9"/>
    <w:rsid w:val="00E1669C"/>
    <w:rsid w:val="00E166E6"/>
    <w:rsid w:val="00E167E2"/>
    <w:rsid w:val="00E169CA"/>
    <w:rsid w:val="00E169D4"/>
    <w:rsid w:val="00E169DE"/>
    <w:rsid w:val="00E169E3"/>
    <w:rsid w:val="00E16B7C"/>
    <w:rsid w:val="00E16C63"/>
    <w:rsid w:val="00E16CA7"/>
    <w:rsid w:val="00E16EF5"/>
    <w:rsid w:val="00E16F88"/>
    <w:rsid w:val="00E171C4"/>
    <w:rsid w:val="00E172AC"/>
    <w:rsid w:val="00E17610"/>
    <w:rsid w:val="00E176D3"/>
    <w:rsid w:val="00E176FB"/>
    <w:rsid w:val="00E17A94"/>
    <w:rsid w:val="00E17E46"/>
    <w:rsid w:val="00E17F92"/>
    <w:rsid w:val="00E204D8"/>
    <w:rsid w:val="00E2056B"/>
    <w:rsid w:val="00E208AA"/>
    <w:rsid w:val="00E2091E"/>
    <w:rsid w:val="00E209B3"/>
    <w:rsid w:val="00E209ED"/>
    <w:rsid w:val="00E20A07"/>
    <w:rsid w:val="00E20AFB"/>
    <w:rsid w:val="00E20C2F"/>
    <w:rsid w:val="00E20E01"/>
    <w:rsid w:val="00E20E43"/>
    <w:rsid w:val="00E20FF2"/>
    <w:rsid w:val="00E210F9"/>
    <w:rsid w:val="00E21108"/>
    <w:rsid w:val="00E21294"/>
    <w:rsid w:val="00E2134E"/>
    <w:rsid w:val="00E213CB"/>
    <w:rsid w:val="00E21967"/>
    <w:rsid w:val="00E21A28"/>
    <w:rsid w:val="00E21A69"/>
    <w:rsid w:val="00E21D58"/>
    <w:rsid w:val="00E21DA4"/>
    <w:rsid w:val="00E2205A"/>
    <w:rsid w:val="00E220B8"/>
    <w:rsid w:val="00E220CB"/>
    <w:rsid w:val="00E2225C"/>
    <w:rsid w:val="00E22309"/>
    <w:rsid w:val="00E22492"/>
    <w:rsid w:val="00E22518"/>
    <w:rsid w:val="00E225B4"/>
    <w:rsid w:val="00E2274C"/>
    <w:rsid w:val="00E2275D"/>
    <w:rsid w:val="00E227C3"/>
    <w:rsid w:val="00E22A21"/>
    <w:rsid w:val="00E22D1A"/>
    <w:rsid w:val="00E22F01"/>
    <w:rsid w:val="00E230EB"/>
    <w:rsid w:val="00E23378"/>
    <w:rsid w:val="00E236C5"/>
    <w:rsid w:val="00E236F8"/>
    <w:rsid w:val="00E2373F"/>
    <w:rsid w:val="00E238CD"/>
    <w:rsid w:val="00E2390C"/>
    <w:rsid w:val="00E23939"/>
    <w:rsid w:val="00E23ABB"/>
    <w:rsid w:val="00E23D71"/>
    <w:rsid w:val="00E23DB4"/>
    <w:rsid w:val="00E23ED2"/>
    <w:rsid w:val="00E241B6"/>
    <w:rsid w:val="00E246E1"/>
    <w:rsid w:val="00E24A0B"/>
    <w:rsid w:val="00E24AF7"/>
    <w:rsid w:val="00E24B7D"/>
    <w:rsid w:val="00E24BC0"/>
    <w:rsid w:val="00E24C49"/>
    <w:rsid w:val="00E24DD6"/>
    <w:rsid w:val="00E24DE2"/>
    <w:rsid w:val="00E24F1A"/>
    <w:rsid w:val="00E24F83"/>
    <w:rsid w:val="00E2501B"/>
    <w:rsid w:val="00E251CB"/>
    <w:rsid w:val="00E25224"/>
    <w:rsid w:val="00E253FB"/>
    <w:rsid w:val="00E25684"/>
    <w:rsid w:val="00E25AB5"/>
    <w:rsid w:val="00E25BFB"/>
    <w:rsid w:val="00E25DBC"/>
    <w:rsid w:val="00E25DFC"/>
    <w:rsid w:val="00E25ED6"/>
    <w:rsid w:val="00E26156"/>
    <w:rsid w:val="00E26550"/>
    <w:rsid w:val="00E26576"/>
    <w:rsid w:val="00E2672E"/>
    <w:rsid w:val="00E268E7"/>
    <w:rsid w:val="00E2693F"/>
    <w:rsid w:val="00E26BB2"/>
    <w:rsid w:val="00E26BDC"/>
    <w:rsid w:val="00E26C2E"/>
    <w:rsid w:val="00E26DA8"/>
    <w:rsid w:val="00E26DB6"/>
    <w:rsid w:val="00E26DC5"/>
    <w:rsid w:val="00E26E3D"/>
    <w:rsid w:val="00E26E4A"/>
    <w:rsid w:val="00E27186"/>
    <w:rsid w:val="00E2737B"/>
    <w:rsid w:val="00E2751A"/>
    <w:rsid w:val="00E277C5"/>
    <w:rsid w:val="00E2783C"/>
    <w:rsid w:val="00E27A2C"/>
    <w:rsid w:val="00E27BF5"/>
    <w:rsid w:val="00E3027B"/>
    <w:rsid w:val="00E30393"/>
    <w:rsid w:val="00E303D1"/>
    <w:rsid w:val="00E30577"/>
    <w:rsid w:val="00E305CD"/>
    <w:rsid w:val="00E3060D"/>
    <w:rsid w:val="00E30787"/>
    <w:rsid w:val="00E30948"/>
    <w:rsid w:val="00E30A87"/>
    <w:rsid w:val="00E30A98"/>
    <w:rsid w:val="00E30EC3"/>
    <w:rsid w:val="00E3122E"/>
    <w:rsid w:val="00E317A3"/>
    <w:rsid w:val="00E31844"/>
    <w:rsid w:val="00E31859"/>
    <w:rsid w:val="00E31A19"/>
    <w:rsid w:val="00E31B7B"/>
    <w:rsid w:val="00E31CC2"/>
    <w:rsid w:val="00E31DE1"/>
    <w:rsid w:val="00E31DEB"/>
    <w:rsid w:val="00E31E6E"/>
    <w:rsid w:val="00E31E8C"/>
    <w:rsid w:val="00E31F84"/>
    <w:rsid w:val="00E31F92"/>
    <w:rsid w:val="00E31FB0"/>
    <w:rsid w:val="00E32201"/>
    <w:rsid w:val="00E3227C"/>
    <w:rsid w:val="00E32358"/>
    <w:rsid w:val="00E32362"/>
    <w:rsid w:val="00E323B2"/>
    <w:rsid w:val="00E32430"/>
    <w:rsid w:val="00E3246B"/>
    <w:rsid w:val="00E324CF"/>
    <w:rsid w:val="00E325DF"/>
    <w:rsid w:val="00E32609"/>
    <w:rsid w:val="00E3277F"/>
    <w:rsid w:val="00E328EE"/>
    <w:rsid w:val="00E32B84"/>
    <w:rsid w:val="00E32D27"/>
    <w:rsid w:val="00E32E04"/>
    <w:rsid w:val="00E32FBC"/>
    <w:rsid w:val="00E33415"/>
    <w:rsid w:val="00E335C9"/>
    <w:rsid w:val="00E335CB"/>
    <w:rsid w:val="00E336DA"/>
    <w:rsid w:val="00E33983"/>
    <w:rsid w:val="00E33BF9"/>
    <w:rsid w:val="00E33D76"/>
    <w:rsid w:val="00E33DC5"/>
    <w:rsid w:val="00E33E30"/>
    <w:rsid w:val="00E33EDC"/>
    <w:rsid w:val="00E33EFB"/>
    <w:rsid w:val="00E3403E"/>
    <w:rsid w:val="00E341BD"/>
    <w:rsid w:val="00E3444B"/>
    <w:rsid w:val="00E34527"/>
    <w:rsid w:val="00E3454C"/>
    <w:rsid w:val="00E345C6"/>
    <w:rsid w:val="00E34604"/>
    <w:rsid w:val="00E34983"/>
    <w:rsid w:val="00E34A63"/>
    <w:rsid w:val="00E34B12"/>
    <w:rsid w:val="00E34EEE"/>
    <w:rsid w:val="00E34FA2"/>
    <w:rsid w:val="00E35074"/>
    <w:rsid w:val="00E352EC"/>
    <w:rsid w:val="00E35547"/>
    <w:rsid w:val="00E356EA"/>
    <w:rsid w:val="00E359DB"/>
    <w:rsid w:val="00E35BCD"/>
    <w:rsid w:val="00E35E21"/>
    <w:rsid w:val="00E360D8"/>
    <w:rsid w:val="00E36214"/>
    <w:rsid w:val="00E365E1"/>
    <w:rsid w:val="00E366E0"/>
    <w:rsid w:val="00E36806"/>
    <w:rsid w:val="00E36C5E"/>
    <w:rsid w:val="00E37037"/>
    <w:rsid w:val="00E37129"/>
    <w:rsid w:val="00E3717B"/>
    <w:rsid w:val="00E3717C"/>
    <w:rsid w:val="00E372C0"/>
    <w:rsid w:val="00E37428"/>
    <w:rsid w:val="00E3745B"/>
    <w:rsid w:val="00E375FD"/>
    <w:rsid w:val="00E376CF"/>
    <w:rsid w:val="00E377F4"/>
    <w:rsid w:val="00E37CE9"/>
    <w:rsid w:val="00E37D0E"/>
    <w:rsid w:val="00E40038"/>
    <w:rsid w:val="00E4003F"/>
    <w:rsid w:val="00E4032D"/>
    <w:rsid w:val="00E4034C"/>
    <w:rsid w:val="00E406BC"/>
    <w:rsid w:val="00E409C9"/>
    <w:rsid w:val="00E40BE3"/>
    <w:rsid w:val="00E40C98"/>
    <w:rsid w:val="00E40FFF"/>
    <w:rsid w:val="00E414A4"/>
    <w:rsid w:val="00E414C6"/>
    <w:rsid w:val="00E41568"/>
    <w:rsid w:val="00E417C7"/>
    <w:rsid w:val="00E41D84"/>
    <w:rsid w:val="00E41E56"/>
    <w:rsid w:val="00E41FB3"/>
    <w:rsid w:val="00E4207D"/>
    <w:rsid w:val="00E420FC"/>
    <w:rsid w:val="00E422A5"/>
    <w:rsid w:val="00E42446"/>
    <w:rsid w:val="00E424E1"/>
    <w:rsid w:val="00E42536"/>
    <w:rsid w:val="00E42662"/>
    <w:rsid w:val="00E42AF9"/>
    <w:rsid w:val="00E42B7B"/>
    <w:rsid w:val="00E43470"/>
    <w:rsid w:val="00E434BE"/>
    <w:rsid w:val="00E435CC"/>
    <w:rsid w:val="00E436BA"/>
    <w:rsid w:val="00E43759"/>
    <w:rsid w:val="00E43776"/>
    <w:rsid w:val="00E438E5"/>
    <w:rsid w:val="00E439B9"/>
    <w:rsid w:val="00E43CC4"/>
    <w:rsid w:val="00E43DA9"/>
    <w:rsid w:val="00E43E33"/>
    <w:rsid w:val="00E43F21"/>
    <w:rsid w:val="00E4401A"/>
    <w:rsid w:val="00E44045"/>
    <w:rsid w:val="00E4443E"/>
    <w:rsid w:val="00E445D9"/>
    <w:rsid w:val="00E44664"/>
    <w:rsid w:val="00E446A3"/>
    <w:rsid w:val="00E447AC"/>
    <w:rsid w:val="00E4486C"/>
    <w:rsid w:val="00E448A6"/>
    <w:rsid w:val="00E44917"/>
    <w:rsid w:val="00E449AA"/>
    <w:rsid w:val="00E44C4F"/>
    <w:rsid w:val="00E44D97"/>
    <w:rsid w:val="00E44EAD"/>
    <w:rsid w:val="00E44F78"/>
    <w:rsid w:val="00E450CA"/>
    <w:rsid w:val="00E451C8"/>
    <w:rsid w:val="00E4535D"/>
    <w:rsid w:val="00E453BB"/>
    <w:rsid w:val="00E45478"/>
    <w:rsid w:val="00E456E7"/>
    <w:rsid w:val="00E459DB"/>
    <w:rsid w:val="00E45A9B"/>
    <w:rsid w:val="00E45B96"/>
    <w:rsid w:val="00E45BA1"/>
    <w:rsid w:val="00E45CEA"/>
    <w:rsid w:val="00E45D74"/>
    <w:rsid w:val="00E45FC9"/>
    <w:rsid w:val="00E46569"/>
    <w:rsid w:val="00E4660E"/>
    <w:rsid w:val="00E4661B"/>
    <w:rsid w:val="00E46630"/>
    <w:rsid w:val="00E46972"/>
    <w:rsid w:val="00E469D7"/>
    <w:rsid w:val="00E46B33"/>
    <w:rsid w:val="00E46C86"/>
    <w:rsid w:val="00E46D10"/>
    <w:rsid w:val="00E46EF5"/>
    <w:rsid w:val="00E46FD2"/>
    <w:rsid w:val="00E47327"/>
    <w:rsid w:val="00E475D2"/>
    <w:rsid w:val="00E475E8"/>
    <w:rsid w:val="00E4776D"/>
    <w:rsid w:val="00E478B1"/>
    <w:rsid w:val="00E47954"/>
    <w:rsid w:val="00E47A22"/>
    <w:rsid w:val="00E50068"/>
    <w:rsid w:val="00E5011E"/>
    <w:rsid w:val="00E50160"/>
    <w:rsid w:val="00E502D6"/>
    <w:rsid w:val="00E50359"/>
    <w:rsid w:val="00E503EA"/>
    <w:rsid w:val="00E504F5"/>
    <w:rsid w:val="00E50585"/>
    <w:rsid w:val="00E50669"/>
    <w:rsid w:val="00E50732"/>
    <w:rsid w:val="00E50734"/>
    <w:rsid w:val="00E50863"/>
    <w:rsid w:val="00E50951"/>
    <w:rsid w:val="00E50A3A"/>
    <w:rsid w:val="00E50C50"/>
    <w:rsid w:val="00E510CD"/>
    <w:rsid w:val="00E5119A"/>
    <w:rsid w:val="00E511AC"/>
    <w:rsid w:val="00E514CC"/>
    <w:rsid w:val="00E515F8"/>
    <w:rsid w:val="00E5163E"/>
    <w:rsid w:val="00E51862"/>
    <w:rsid w:val="00E51926"/>
    <w:rsid w:val="00E5193D"/>
    <w:rsid w:val="00E51946"/>
    <w:rsid w:val="00E51CED"/>
    <w:rsid w:val="00E51D49"/>
    <w:rsid w:val="00E51ED1"/>
    <w:rsid w:val="00E51F1A"/>
    <w:rsid w:val="00E52053"/>
    <w:rsid w:val="00E5254C"/>
    <w:rsid w:val="00E525DD"/>
    <w:rsid w:val="00E52888"/>
    <w:rsid w:val="00E52B84"/>
    <w:rsid w:val="00E52C7A"/>
    <w:rsid w:val="00E52D99"/>
    <w:rsid w:val="00E5300E"/>
    <w:rsid w:val="00E53204"/>
    <w:rsid w:val="00E532D5"/>
    <w:rsid w:val="00E535E2"/>
    <w:rsid w:val="00E53788"/>
    <w:rsid w:val="00E537FD"/>
    <w:rsid w:val="00E538ED"/>
    <w:rsid w:val="00E53ADB"/>
    <w:rsid w:val="00E53B7F"/>
    <w:rsid w:val="00E53BD9"/>
    <w:rsid w:val="00E53CA5"/>
    <w:rsid w:val="00E53FC9"/>
    <w:rsid w:val="00E5409D"/>
    <w:rsid w:val="00E541B4"/>
    <w:rsid w:val="00E5442D"/>
    <w:rsid w:val="00E544E8"/>
    <w:rsid w:val="00E54649"/>
    <w:rsid w:val="00E5481D"/>
    <w:rsid w:val="00E54BF9"/>
    <w:rsid w:val="00E54D9F"/>
    <w:rsid w:val="00E54DAE"/>
    <w:rsid w:val="00E54E71"/>
    <w:rsid w:val="00E55273"/>
    <w:rsid w:val="00E5532F"/>
    <w:rsid w:val="00E55545"/>
    <w:rsid w:val="00E55797"/>
    <w:rsid w:val="00E557EC"/>
    <w:rsid w:val="00E55979"/>
    <w:rsid w:val="00E55D31"/>
    <w:rsid w:val="00E55E23"/>
    <w:rsid w:val="00E55E6B"/>
    <w:rsid w:val="00E56103"/>
    <w:rsid w:val="00E562F3"/>
    <w:rsid w:val="00E56381"/>
    <w:rsid w:val="00E56523"/>
    <w:rsid w:val="00E56542"/>
    <w:rsid w:val="00E56AB1"/>
    <w:rsid w:val="00E56C09"/>
    <w:rsid w:val="00E56C8F"/>
    <w:rsid w:val="00E56ED5"/>
    <w:rsid w:val="00E56F3F"/>
    <w:rsid w:val="00E5703B"/>
    <w:rsid w:val="00E571FE"/>
    <w:rsid w:val="00E5720E"/>
    <w:rsid w:val="00E57406"/>
    <w:rsid w:val="00E57436"/>
    <w:rsid w:val="00E57565"/>
    <w:rsid w:val="00E57583"/>
    <w:rsid w:val="00E57598"/>
    <w:rsid w:val="00E575D3"/>
    <w:rsid w:val="00E60078"/>
    <w:rsid w:val="00E601C5"/>
    <w:rsid w:val="00E6029E"/>
    <w:rsid w:val="00E603BB"/>
    <w:rsid w:val="00E604EA"/>
    <w:rsid w:val="00E605E1"/>
    <w:rsid w:val="00E60664"/>
    <w:rsid w:val="00E606D4"/>
    <w:rsid w:val="00E6078F"/>
    <w:rsid w:val="00E60F90"/>
    <w:rsid w:val="00E61640"/>
    <w:rsid w:val="00E61876"/>
    <w:rsid w:val="00E61A05"/>
    <w:rsid w:val="00E61AE9"/>
    <w:rsid w:val="00E61C30"/>
    <w:rsid w:val="00E61CEA"/>
    <w:rsid w:val="00E61E48"/>
    <w:rsid w:val="00E61F94"/>
    <w:rsid w:val="00E62525"/>
    <w:rsid w:val="00E62631"/>
    <w:rsid w:val="00E626B9"/>
    <w:rsid w:val="00E6273E"/>
    <w:rsid w:val="00E62D93"/>
    <w:rsid w:val="00E62E82"/>
    <w:rsid w:val="00E62F46"/>
    <w:rsid w:val="00E6320E"/>
    <w:rsid w:val="00E6326B"/>
    <w:rsid w:val="00E6361A"/>
    <w:rsid w:val="00E63820"/>
    <w:rsid w:val="00E638EC"/>
    <w:rsid w:val="00E63A11"/>
    <w:rsid w:val="00E63D3E"/>
    <w:rsid w:val="00E63D7E"/>
    <w:rsid w:val="00E63F45"/>
    <w:rsid w:val="00E63FDC"/>
    <w:rsid w:val="00E641FF"/>
    <w:rsid w:val="00E643AE"/>
    <w:rsid w:val="00E643E2"/>
    <w:rsid w:val="00E644A1"/>
    <w:rsid w:val="00E646D6"/>
    <w:rsid w:val="00E64A77"/>
    <w:rsid w:val="00E64AF7"/>
    <w:rsid w:val="00E64B60"/>
    <w:rsid w:val="00E64CDB"/>
    <w:rsid w:val="00E64D76"/>
    <w:rsid w:val="00E64EEB"/>
    <w:rsid w:val="00E64F6E"/>
    <w:rsid w:val="00E65280"/>
    <w:rsid w:val="00E6537B"/>
    <w:rsid w:val="00E653CA"/>
    <w:rsid w:val="00E654B9"/>
    <w:rsid w:val="00E6554E"/>
    <w:rsid w:val="00E6584D"/>
    <w:rsid w:val="00E65979"/>
    <w:rsid w:val="00E65B06"/>
    <w:rsid w:val="00E65CED"/>
    <w:rsid w:val="00E65D26"/>
    <w:rsid w:val="00E65DA3"/>
    <w:rsid w:val="00E65E8C"/>
    <w:rsid w:val="00E65F17"/>
    <w:rsid w:val="00E65FEC"/>
    <w:rsid w:val="00E66037"/>
    <w:rsid w:val="00E6614D"/>
    <w:rsid w:val="00E66263"/>
    <w:rsid w:val="00E6634D"/>
    <w:rsid w:val="00E66384"/>
    <w:rsid w:val="00E66994"/>
    <w:rsid w:val="00E66A2E"/>
    <w:rsid w:val="00E66A92"/>
    <w:rsid w:val="00E66C1B"/>
    <w:rsid w:val="00E6700B"/>
    <w:rsid w:val="00E67139"/>
    <w:rsid w:val="00E672EA"/>
    <w:rsid w:val="00E67424"/>
    <w:rsid w:val="00E67484"/>
    <w:rsid w:val="00E67743"/>
    <w:rsid w:val="00E677C4"/>
    <w:rsid w:val="00E678A8"/>
    <w:rsid w:val="00E67980"/>
    <w:rsid w:val="00E679CF"/>
    <w:rsid w:val="00E67A60"/>
    <w:rsid w:val="00E67DA1"/>
    <w:rsid w:val="00E67FCD"/>
    <w:rsid w:val="00E70367"/>
    <w:rsid w:val="00E704E0"/>
    <w:rsid w:val="00E706F8"/>
    <w:rsid w:val="00E70958"/>
    <w:rsid w:val="00E709E3"/>
    <w:rsid w:val="00E70A42"/>
    <w:rsid w:val="00E70B4E"/>
    <w:rsid w:val="00E70C75"/>
    <w:rsid w:val="00E70CAA"/>
    <w:rsid w:val="00E70D04"/>
    <w:rsid w:val="00E70DB6"/>
    <w:rsid w:val="00E70DFC"/>
    <w:rsid w:val="00E70E5C"/>
    <w:rsid w:val="00E70FB7"/>
    <w:rsid w:val="00E71046"/>
    <w:rsid w:val="00E710FC"/>
    <w:rsid w:val="00E7120C"/>
    <w:rsid w:val="00E71526"/>
    <w:rsid w:val="00E7153D"/>
    <w:rsid w:val="00E718E4"/>
    <w:rsid w:val="00E719AC"/>
    <w:rsid w:val="00E71A1C"/>
    <w:rsid w:val="00E71A86"/>
    <w:rsid w:val="00E71B7B"/>
    <w:rsid w:val="00E72040"/>
    <w:rsid w:val="00E72182"/>
    <w:rsid w:val="00E72302"/>
    <w:rsid w:val="00E7232C"/>
    <w:rsid w:val="00E72351"/>
    <w:rsid w:val="00E723CE"/>
    <w:rsid w:val="00E7246F"/>
    <w:rsid w:val="00E7256E"/>
    <w:rsid w:val="00E725FD"/>
    <w:rsid w:val="00E72784"/>
    <w:rsid w:val="00E72C93"/>
    <w:rsid w:val="00E735BE"/>
    <w:rsid w:val="00E736FF"/>
    <w:rsid w:val="00E73ADE"/>
    <w:rsid w:val="00E74278"/>
    <w:rsid w:val="00E744A0"/>
    <w:rsid w:val="00E747BE"/>
    <w:rsid w:val="00E7487A"/>
    <w:rsid w:val="00E7496B"/>
    <w:rsid w:val="00E74AAA"/>
    <w:rsid w:val="00E74BE5"/>
    <w:rsid w:val="00E74D49"/>
    <w:rsid w:val="00E75150"/>
    <w:rsid w:val="00E752E9"/>
    <w:rsid w:val="00E7551D"/>
    <w:rsid w:val="00E75696"/>
    <w:rsid w:val="00E759D5"/>
    <w:rsid w:val="00E75B6B"/>
    <w:rsid w:val="00E76264"/>
    <w:rsid w:val="00E7647E"/>
    <w:rsid w:val="00E7651D"/>
    <w:rsid w:val="00E765CC"/>
    <w:rsid w:val="00E7683A"/>
    <w:rsid w:val="00E768DF"/>
    <w:rsid w:val="00E768E3"/>
    <w:rsid w:val="00E76958"/>
    <w:rsid w:val="00E76C3A"/>
    <w:rsid w:val="00E76CAD"/>
    <w:rsid w:val="00E76CD0"/>
    <w:rsid w:val="00E76DD9"/>
    <w:rsid w:val="00E77006"/>
    <w:rsid w:val="00E772EC"/>
    <w:rsid w:val="00E7730D"/>
    <w:rsid w:val="00E77430"/>
    <w:rsid w:val="00E774F8"/>
    <w:rsid w:val="00E77592"/>
    <w:rsid w:val="00E775BD"/>
    <w:rsid w:val="00E776BF"/>
    <w:rsid w:val="00E77765"/>
    <w:rsid w:val="00E77799"/>
    <w:rsid w:val="00E77885"/>
    <w:rsid w:val="00E77B0F"/>
    <w:rsid w:val="00E77E33"/>
    <w:rsid w:val="00E77E9D"/>
    <w:rsid w:val="00E77F8A"/>
    <w:rsid w:val="00E800E2"/>
    <w:rsid w:val="00E8070E"/>
    <w:rsid w:val="00E80800"/>
    <w:rsid w:val="00E8092F"/>
    <w:rsid w:val="00E80AB5"/>
    <w:rsid w:val="00E80AC3"/>
    <w:rsid w:val="00E80B0B"/>
    <w:rsid w:val="00E80C61"/>
    <w:rsid w:val="00E80D84"/>
    <w:rsid w:val="00E8104E"/>
    <w:rsid w:val="00E810B6"/>
    <w:rsid w:val="00E8119C"/>
    <w:rsid w:val="00E814F3"/>
    <w:rsid w:val="00E81516"/>
    <w:rsid w:val="00E818B8"/>
    <w:rsid w:val="00E818CE"/>
    <w:rsid w:val="00E81A61"/>
    <w:rsid w:val="00E81B0D"/>
    <w:rsid w:val="00E81B64"/>
    <w:rsid w:val="00E81C2C"/>
    <w:rsid w:val="00E81E18"/>
    <w:rsid w:val="00E81E9A"/>
    <w:rsid w:val="00E81EF2"/>
    <w:rsid w:val="00E81FC7"/>
    <w:rsid w:val="00E82008"/>
    <w:rsid w:val="00E821A1"/>
    <w:rsid w:val="00E82305"/>
    <w:rsid w:val="00E82655"/>
    <w:rsid w:val="00E829F6"/>
    <w:rsid w:val="00E82A1D"/>
    <w:rsid w:val="00E82AB5"/>
    <w:rsid w:val="00E82ADF"/>
    <w:rsid w:val="00E82BBF"/>
    <w:rsid w:val="00E82C82"/>
    <w:rsid w:val="00E82D85"/>
    <w:rsid w:val="00E82DC6"/>
    <w:rsid w:val="00E834EA"/>
    <w:rsid w:val="00E83620"/>
    <w:rsid w:val="00E8397E"/>
    <w:rsid w:val="00E839A8"/>
    <w:rsid w:val="00E83B83"/>
    <w:rsid w:val="00E83E17"/>
    <w:rsid w:val="00E83F37"/>
    <w:rsid w:val="00E83FA6"/>
    <w:rsid w:val="00E84028"/>
    <w:rsid w:val="00E84039"/>
    <w:rsid w:val="00E841DE"/>
    <w:rsid w:val="00E843EA"/>
    <w:rsid w:val="00E84540"/>
    <w:rsid w:val="00E8461D"/>
    <w:rsid w:val="00E84717"/>
    <w:rsid w:val="00E8491B"/>
    <w:rsid w:val="00E8491E"/>
    <w:rsid w:val="00E84A82"/>
    <w:rsid w:val="00E84BFB"/>
    <w:rsid w:val="00E84CD8"/>
    <w:rsid w:val="00E84D78"/>
    <w:rsid w:val="00E84F50"/>
    <w:rsid w:val="00E85071"/>
    <w:rsid w:val="00E8510A"/>
    <w:rsid w:val="00E8517A"/>
    <w:rsid w:val="00E85514"/>
    <w:rsid w:val="00E85A09"/>
    <w:rsid w:val="00E85A32"/>
    <w:rsid w:val="00E85AA4"/>
    <w:rsid w:val="00E85C60"/>
    <w:rsid w:val="00E85C83"/>
    <w:rsid w:val="00E85CE7"/>
    <w:rsid w:val="00E85FEB"/>
    <w:rsid w:val="00E86068"/>
    <w:rsid w:val="00E860D2"/>
    <w:rsid w:val="00E8616A"/>
    <w:rsid w:val="00E861B0"/>
    <w:rsid w:val="00E86221"/>
    <w:rsid w:val="00E8638D"/>
    <w:rsid w:val="00E8643A"/>
    <w:rsid w:val="00E8650A"/>
    <w:rsid w:val="00E86630"/>
    <w:rsid w:val="00E86769"/>
    <w:rsid w:val="00E86BC2"/>
    <w:rsid w:val="00E86DE7"/>
    <w:rsid w:val="00E86E44"/>
    <w:rsid w:val="00E86E4B"/>
    <w:rsid w:val="00E86ED0"/>
    <w:rsid w:val="00E87238"/>
    <w:rsid w:val="00E87298"/>
    <w:rsid w:val="00E872A7"/>
    <w:rsid w:val="00E87343"/>
    <w:rsid w:val="00E87583"/>
    <w:rsid w:val="00E8790C"/>
    <w:rsid w:val="00E87999"/>
    <w:rsid w:val="00E87C62"/>
    <w:rsid w:val="00E87D6E"/>
    <w:rsid w:val="00E90254"/>
    <w:rsid w:val="00E902DE"/>
    <w:rsid w:val="00E903EC"/>
    <w:rsid w:val="00E90443"/>
    <w:rsid w:val="00E904B9"/>
    <w:rsid w:val="00E906B4"/>
    <w:rsid w:val="00E90736"/>
    <w:rsid w:val="00E90744"/>
    <w:rsid w:val="00E907DD"/>
    <w:rsid w:val="00E90827"/>
    <w:rsid w:val="00E90AC1"/>
    <w:rsid w:val="00E90B5C"/>
    <w:rsid w:val="00E90CB9"/>
    <w:rsid w:val="00E90F70"/>
    <w:rsid w:val="00E91078"/>
    <w:rsid w:val="00E912CA"/>
    <w:rsid w:val="00E91478"/>
    <w:rsid w:val="00E914B9"/>
    <w:rsid w:val="00E918F4"/>
    <w:rsid w:val="00E91A48"/>
    <w:rsid w:val="00E91C0A"/>
    <w:rsid w:val="00E91D20"/>
    <w:rsid w:val="00E920E4"/>
    <w:rsid w:val="00E921C1"/>
    <w:rsid w:val="00E9220B"/>
    <w:rsid w:val="00E92274"/>
    <w:rsid w:val="00E922BF"/>
    <w:rsid w:val="00E923BC"/>
    <w:rsid w:val="00E92571"/>
    <w:rsid w:val="00E925DC"/>
    <w:rsid w:val="00E92C7E"/>
    <w:rsid w:val="00E92D9A"/>
    <w:rsid w:val="00E92EBD"/>
    <w:rsid w:val="00E92ED9"/>
    <w:rsid w:val="00E92F1E"/>
    <w:rsid w:val="00E93324"/>
    <w:rsid w:val="00E93566"/>
    <w:rsid w:val="00E93779"/>
    <w:rsid w:val="00E93856"/>
    <w:rsid w:val="00E93915"/>
    <w:rsid w:val="00E93964"/>
    <w:rsid w:val="00E93ADC"/>
    <w:rsid w:val="00E93BDB"/>
    <w:rsid w:val="00E93C90"/>
    <w:rsid w:val="00E93CD4"/>
    <w:rsid w:val="00E93D97"/>
    <w:rsid w:val="00E93E41"/>
    <w:rsid w:val="00E940D2"/>
    <w:rsid w:val="00E94228"/>
    <w:rsid w:val="00E943A8"/>
    <w:rsid w:val="00E94646"/>
    <w:rsid w:val="00E9477D"/>
    <w:rsid w:val="00E947ED"/>
    <w:rsid w:val="00E94B65"/>
    <w:rsid w:val="00E94C6D"/>
    <w:rsid w:val="00E94D0B"/>
    <w:rsid w:val="00E94D6F"/>
    <w:rsid w:val="00E94DC7"/>
    <w:rsid w:val="00E94F71"/>
    <w:rsid w:val="00E951AC"/>
    <w:rsid w:val="00E95303"/>
    <w:rsid w:val="00E9554E"/>
    <w:rsid w:val="00E959D8"/>
    <w:rsid w:val="00E95A96"/>
    <w:rsid w:val="00E95BE4"/>
    <w:rsid w:val="00E95CC7"/>
    <w:rsid w:val="00E95D24"/>
    <w:rsid w:val="00E95E5B"/>
    <w:rsid w:val="00E95E7A"/>
    <w:rsid w:val="00E95EE3"/>
    <w:rsid w:val="00E95F30"/>
    <w:rsid w:val="00E95FDE"/>
    <w:rsid w:val="00E96487"/>
    <w:rsid w:val="00E964F3"/>
    <w:rsid w:val="00E965E1"/>
    <w:rsid w:val="00E967EE"/>
    <w:rsid w:val="00E96877"/>
    <w:rsid w:val="00E968C7"/>
    <w:rsid w:val="00E9692F"/>
    <w:rsid w:val="00E96A34"/>
    <w:rsid w:val="00E9704E"/>
    <w:rsid w:val="00E97132"/>
    <w:rsid w:val="00E97292"/>
    <w:rsid w:val="00E973DC"/>
    <w:rsid w:val="00E97880"/>
    <w:rsid w:val="00E97A4A"/>
    <w:rsid w:val="00E97A61"/>
    <w:rsid w:val="00E97A78"/>
    <w:rsid w:val="00E97B86"/>
    <w:rsid w:val="00E97D60"/>
    <w:rsid w:val="00E97DE5"/>
    <w:rsid w:val="00E97F6E"/>
    <w:rsid w:val="00EA00D3"/>
    <w:rsid w:val="00EA024C"/>
    <w:rsid w:val="00EA047C"/>
    <w:rsid w:val="00EA0730"/>
    <w:rsid w:val="00EA07BF"/>
    <w:rsid w:val="00EA0856"/>
    <w:rsid w:val="00EA08A3"/>
    <w:rsid w:val="00EA08E4"/>
    <w:rsid w:val="00EA095F"/>
    <w:rsid w:val="00EA0AA9"/>
    <w:rsid w:val="00EA0BBD"/>
    <w:rsid w:val="00EA0E55"/>
    <w:rsid w:val="00EA1337"/>
    <w:rsid w:val="00EA16AA"/>
    <w:rsid w:val="00EA1739"/>
    <w:rsid w:val="00EA1744"/>
    <w:rsid w:val="00EA1825"/>
    <w:rsid w:val="00EA183F"/>
    <w:rsid w:val="00EA18D5"/>
    <w:rsid w:val="00EA1921"/>
    <w:rsid w:val="00EA1A27"/>
    <w:rsid w:val="00EA1A61"/>
    <w:rsid w:val="00EA1B08"/>
    <w:rsid w:val="00EA1B8E"/>
    <w:rsid w:val="00EA1DCE"/>
    <w:rsid w:val="00EA20D4"/>
    <w:rsid w:val="00EA2266"/>
    <w:rsid w:val="00EA248B"/>
    <w:rsid w:val="00EA249F"/>
    <w:rsid w:val="00EA2553"/>
    <w:rsid w:val="00EA25F2"/>
    <w:rsid w:val="00EA2644"/>
    <w:rsid w:val="00EA285B"/>
    <w:rsid w:val="00EA2999"/>
    <w:rsid w:val="00EA2C73"/>
    <w:rsid w:val="00EA3254"/>
    <w:rsid w:val="00EA3257"/>
    <w:rsid w:val="00EA361A"/>
    <w:rsid w:val="00EA36DD"/>
    <w:rsid w:val="00EA3B1E"/>
    <w:rsid w:val="00EA3B74"/>
    <w:rsid w:val="00EA3F32"/>
    <w:rsid w:val="00EA3F9F"/>
    <w:rsid w:val="00EA42BA"/>
    <w:rsid w:val="00EA46E9"/>
    <w:rsid w:val="00EA477A"/>
    <w:rsid w:val="00EA4DDB"/>
    <w:rsid w:val="00EA4E07"/>
    <w:rsid w:val="00EA4EAD"/>
    <w:rsid w:val="00EA5103"/>
    <w:rsid w:val="00EA5173"/>
    <w:rsid w:val="00EA52CC"/>
    <w:rsid w:val="00EA5393"/>
    <w:rsid w:val="00EA5508"/>
    <w:rsid w:val="00EA55BE"/>
    <w:rsid w:val="00EA579B"/>
    <w:rsid w:val="00EA5930"/>
    <w:rsid w:val="00EA5954"/>
    <w:rsid w:val="00EA59AE"/>
    <w:rsid w:val="00EA5CEF"/>
    <w:rsid w:val="00EA611C"/>
    <w:rsid w:val="00EA61CA"/>
    <w:rsid w:val="00EA629D"/>
    <w:rsid w:val="00EA636F"/>
    <w:rsid w:val="00EA644F"/>
    <w:rsid w:val="00EA647B"/>
    <w:rsid w:val="00EA6663"/>
    <w:rsid w:val="00EA66EE"/>
    <w:rsid w:val="00EA689A"/>
    <w:rsid w:val="00EA6965"/>
    <w:rsid w:val="00EA6A01"/>
    <w:rsid w:val="00EA6A3F"/>
    <w:rsid w:val="00EA6ACC"/>
    <w:rsid w:val="00EA6D24"/>
    <w:rsid w:val="00EA6D7C"/>
    <w:rsid w:val="00EA6DF7"/>
    <w:rsid w:val="00EA70D8"/>
    <w:rsid w:val="00EA7226"/>
    <w:rsid w:val="00EA729A"/>
    <w:rsid w:val="00EA75A4"/>
    <w:rsid w:val="00EA75AC"/>
    <w:rsid w:val="00EA767C"/>
    <w:rsid w:val="00EA784C"/>
    <w:rsid w:val="00EA7896"/>
    <w:rsid w:val="00EA7940"/>
    <w:rsid w:val="00EA7A1E"/>
    <w:rsid w:val="00EA7B5F"/>
    <w:rsid w:val="00EA7B7D"/>
    <w:rsid w:val="00EA7D0F"/>
    <w:rsid w:val="00EA7DB9"/>
    <w:rsid w:val="00EA7E3B"/>
    <w:rsid w:val="00EB000D"/>
    <w:rsid w:val="00EB009C"/>
    <w:rsid w:val="00EB018B"/>
    <w:rsid w:val="00EB01CD"/>
    <w:rsid w:val="00EB02C0"/>
    <w:rsid w:val="00EB0487"/>
    <w:rsid w:val="00EB0489"/>
    <w:rsid w:val="00EB0866"/>
    <w:rsid w:val="00EB0974"/>
    <w:rsid w:val="00EB0AAA"/>
    <w:rsid w:val="00EB0D9D"/>
    <w:rsid w:val="00EB0E3F"/>
    <w:rsid w:val="00EB0E91"/>
    <w:rsid w:val="00EB104A"/>
    <w:rsid w:val="00EB11EF"/>
    <w:rsid w:val="00EB120F"/>
    <w:rsid w:val="00EB1591"/>
    <w:rsid w:val="00EB165D"/>
    <w:rsid w:val="00EB184E"/>
    <w:rsid w:val="00EB18BB"/>
    <w:rsid w:val="00EB1908"/>
    <w:rsid w:val="00EB1A27"/>
    <w:rsid w:val="00EB1C39"/>
    <w:rsid w:val="00EB1FE3"/>
    <w:rsid w:val="00EB2011"/>
    <w:rsid w:val="00EB2223"/>
    <w:rsid w:val="00EB2326"/>
    <w:rsid w:val="00EB2595"/>
    <w:rsid w:val="00EB25A6"/>
    <w:rsid w:val="00EB269C"/>
    <w:rsid w:val="00EB275E"/>
    <w:rsid w:val="00EB28A3"/>
    <w:rsid w:val="00EB28B0"/>
    <w:rsid w:val="00EB2C29"/>
    <w:rsid w:val="00EB2C3D"/>
    <w:rsid w:val="00EB2D82"/>
    <w:rsid w:val="00EB2D99"/>
    <w:rsid w:val="00EB2FCF"/>
    <w:rsid w:val="00EB3028"/>
    <w:rsid w:val="00EB3085"/>
    <w:rsid w:val="00EB3340"/>
    <w:rsid w:val="00EB3396"/>
    <w:rsid w:val="00EB33DB"/>
    <w:rsid w:val="00EB352E"/>
    <w:rsid w:val="00EB3575"/>
    <w:rsid w:val="00EB3873"/>
    <w:rsid w:val="00EB391D"/>
    <w:rsid w:val="00EB39F1"/>
    <w:rsid w:val="00EB3A6C"/>
    <w:rsid w:val="00EB3C5A"/>
    <w:rsid w:val="00EB3CD3"/>
    <w:rsid w:val="00EB3DFD"/>
    <w:rsid w:val="00EB3E82"/>
    <w:rsid w:val="00EB3E84"/>
    <w:rsid w:val="00EB3F06"/>
    <w:rsid w:val="00EB3F94"/>
    <w:rsid w:val="00EB40EB"/>
    <w:rsid w:val="00EB40EC"/>
    <w:rsid w:val="00EB4104"/>
    <w:rsid w:val="00EB4124"/>
    <w:rsid w:val="00EB4194"/>
    <w:rsid w:val="00EB42AB"/>
    <w:rsid w:val="00EB4361"/>
    <w:rsid w:val="00EB43EF"/>
    <w:rsid w:val="00EB44D2"/>
    <w:rsid w:val="00EB4574"/>
    <w:rsid w:val="00EB46BD"/>
    <w:rsid w:val="00EB4707"/>
    <w:rsid w:val="00EB4816"/>
    <w:rsid w:val="00EB4BDF"/>
    <w:rsid w:val="00EB4C49"/>
    <w:rsid w:val="00EB51F6"/>
    <w:rsid w:val="00EB523D"/>
    <w:rsid w:val="00EB54CD"/>
    <w:rsid w:val="00EB5568"/>
    <w:rsid w:val="00EB55F8"/>
    <w:rsid w:val="00EB5605"/>
    <w:rsid w:val="00EB59AF"/>
    <w:rsid w:val="00EB5A2D"/>
    <w:rsid w:val="00EB5D62"/>
    <w:rsid w:val="00EB5DC4"/>
    <w:rsid w:val="00EB63CA"/>
    <w:rsid w:val="00EB6490"/>
    <w:rsid w:val="00EB65A8"/>
    <w:rsid w:val="00EB6919"/>
    <w:rsid w:val="00EB69DA"/>
    <w:rsid w:val="00EB6A7D"/>
    <w:rsid w:val="00EB6BA0"/>
    <w:rsid w:val="00EB6C47"/>
    <w:rsid w:val="00EB6C82"/>
    <w:rsid w:val="00EB6CF3"/>
    <w:rsid w:val="00EB6D61"/>
    <w:rsid w:val="00EB704D"/>
    <w:rsid w:val="00EB706E"/>
    <w:rsid w:val="00EB7334"/>
    <w:rsid w:val="00EB7470"/>
    <w:rsid w:val="00EB749F"/>
    <w:rsid w:val="00EB7C7A"/>
    <w:rsid w:val="00EB7CB7"/>
    <w:rsid w:val="00EB7DDA"/>
    <w:rsid w:val="00EC0228"/>
    <w:rsid w:val="00EC029D"/>
    <w:rsid w:val="00EC03C0"/>
    <w:rsid w:val="00EC085A"/>
    <w:rsid w:val="00EC0922"/>
    <w:rsid w:val="00EC0A5D"/>
    <w:rsid w:val="00EC0B3A"/>
    <w:rsid w:val="00EC0B44"/>
    <w:rsid w:val="00EC0C53"/>
    <w:rsid w:val="00EC0EA5"/>
    <w:rsid w:val="00EC0EAC"/>
    <w:rsid w:val="00EC0FED"/>
    <w:rsid w:val="00EC106D"/>
    <w:rsid w:val="00EC1091"/>
    <w:rsid w:val="00EC15FF"/>
    <w:rsid w:val="00EC16D6"/>
    <w:rsid w:val="00EC1844"/>
    <w:rsid w:val="00EC1B1D"/>
    <w:rsid w:val="00EC1B62"/>
    <w:rsid w:val="00EC1BCA"/>
    <w:rsid w:val="00EC1F17"/>
    <w:rsid w:val="00EC1F58"/>
    <w:rsid w:val="00EC20A6"/>
    <w:rsid w:val="00EC20C8"/>
    <w:rsid w:val="00EC2A77"/>
    <w:rsid w:val="00EC2AAE"/>
    <w:rsid w:val="00EC2DA4"/>
    <w:rsid w:val="00EC2FE9"/>
    <w:rsid w:val="00EC30AD"/>
    <w:rsid w:val="00EC30C4"/>
    <w:rsid w:val="00EC331A"/>
    <w:rsid w:val="00EC35B9"/>
    <w:rsid w:val="00EC38A2"/>
    <w:rsid w:val="00EC3DEE"/>
    <w:rsid w:val="00EC3F26"/>
    <w:rsid w:val="00EC3F7B"/>
    <w:rsid w:val="00EC3FC9"/>
    <w:rsid w:val="00EC40D2"/>
    <w:rsid w:val="00EC4745"/>
    <w:rsid w:val="00EC4852"/>
    <w:rsid w:val="00EC48A8"/>
    <w:rsid w:val="00EC4A5C"/>
    <w:rsid w:val="00EC4AB4"/>
    <w:rsid w:val="00EC4B1A"/>
    <w:rsid w:val="00EC4BCA"/>
    <w:rsid w:val="00EC4D0E"/>
    <w:rsid w:val="00EC4EBC"/>
    <w:rsid w:val="00EC4F9D"/>
    <w:rsid w:val="00EC4FA9"/>
    <w:rsid w:val="00EC4FFA"/>
    <w:rsid w:val="00EC5136"/>
    <w:rsid w:val="00EC5195"/>
    <w:rsid w:val="00EC529F"/>
    <w:rsid w:val="00EC5312"/>
    <w:rsid w:val="00EC5381"/>
    <w:rsid w:val="00EC5412"/>
    <w:rsid w:val="00EC56BA"/>
    <w:rsid w:val="00EC594F"/>
    <w:rsid w:val="00EC5B0B"/>
    <w:rsid w:val="00EC5B70"/>
    <w:rsid w:val="00EC5C56"/>
    <w:rsid w:val="00EC5EDE"/>
    <w:rsid w:val="00EC609A"/>
    <w:rsid w:val="00EC60B7"/>
    <w:rsid w:val="00EC6296"/>
    <w:rsid w:val="00EC62C9"/>
    <w:rsid w:val="00EC6422"/>
    <w:rsid w:val="00EC64A8"/>
    <w:rsid w:val="00EC69A2"/>
    <w:rsid w:val="00EC6AE2"/>
    <w:rsid w:val="00EC6B87"/>
    <w:rsid w:val="00EC6D9D"/>
    <w:rsid w:val="00EC6E45"/>
    <w:rsid w:val="00EC6F75"/>
    <w:rsid w:val="00EC7145"/>
    <w:rsid w:val="00EC72B2"/>
    <w:rsid w:val="00EC74B0"/>
    <w:rsid w:val="00EC74DA"/>
    <w:rsid w:val="00EC757F"/>
    <w:rsid w:val="00EC7764"/>
    <w:rsid w:val="00EC78B6"/>
    <w:rsid w:val="00EC78B8"/>
    <w:rsid w:val="00EC78F5"/>
    <w:rsid w:val="00EC796F"/>
    <w:rsid w:val="00EC79F0"/>
    <w:rsid w:val="00EC7C17"/>
    <w:rsid w:val="00ED00F5"/>
    <w:rsid w:val="00ED0253"/>
    <w:rsid w:val="00ED03BA"/>
    <w:rsid w:val="00ED0407"/>
    <w:rsid w:val="00ED052A"/>
    <w:rsid w:val="00ED0542"/>
    <w:rsid w:val="00ED0724"/>
    <w:rsid w:val="00ED0A2C"/>
    <w:rsid w:val="00ED0BFC"/>
    <w:rsid w:val="00ED0CB7"/>
    <w:rsid w:val="00ED0DD7"/>
    <w:rsid w:val="00ED0DFA"/>
    <w:rsid w:val="00ED1027"/>
    <w:rsid w:val="00ED13B9"/>
    <w:rsid w:val="00ED13DD"/>
    <w:rsid w:val="00ED166E"/>
    <w:rsid w:val="00ED16E7"/>
    <w:rsid w:val="00ED17E7"/>
    <w:rsid w:val="00ED181E"/>
    <w:rsid w:val="00ED1883"/>
    <w:rsid w:val="00ED189B"/>
    <w:rsid w:val="00ED18AE"/>
    <w:rsid w:val="00ED18B9"/>
    <w:rsid w:val="00ED1949"/>
    <w:rsid w:val="00ED196F"/>
    <w:rsid w:val="00ED1D52"/>
    <w:rsid w:val="00ED205A"/>
    <w:rsid w:val="00ED240B"/>
    <w:rsid w:val="00ED266C"/>
    <w:rsid w:val="00ED2768"/>
    <w:rsid w:val="00ED2993"/>
    <w:rsid w:val="00ED30A5"/>
    <w:rsid w:val="00ED32C6"/>
    <w:rsid w:val="00ED3330"/>
    <w:rsid w:val="00ED386B"/>
    <w:rsid w:val="00ED393C"/>
    <w:rsid w:val="00ED3D33"/>
    <w:rsid w:val="00ED3EAA"/>
    <w:rsid w:val="00ED3F02"/>
    <w:rsid w:val="00ED40B8"/>
    <w:rsid w:val="00ED41C3"/>
    <w:rsid w:val="00ED4355"/>
    <w:rsid w:val="00ED44B3"/>
    <w:rsid w:val="00ED47A9"/>
    <w:rsid w:val="00ED481C"/>
    <w:rsid w:val="00ED4929"/>
    <w:rsid w:val="00ED4CB2"/>
    <w:rsid w:val="00ED4E46"/>
    <w:rsid w:val="00ED4FA3"/>
    <w:rsid w:val="00ED5031"/>
    <w:rsid w:val="00ED5103"/>
    <w:rsid w:val="00ED5452"/>
    <w:rsid w:val="00ED5601"/>
    <w:rsid w:val="00ED5683"/>
    <w:rsid w:val="00ED5745"/>
    <w:rsid w:val="00ED5CDE"/>
    <w:rsid w:val="00ED5EE2"/>
    <w:rsid w:val="00ED6090"/>
    <w:rsid w:val="00ED6147"/>
    <w:rsid w:val="00ED61F3"/>
    <w:rsid w:val="00ED62A9"/>
    <w:rsid w:val="00ED6321"/>
    <w:rsid w:val="00ED6553"/>
    <w:rsid w:val="00ED66FD"/>
    <w:rsid w:val="00ED679A"/>
    <w:rsid w:val="00ED6BD8"/>
    <w:rsid w:val="00ED6C17"/>
    <w:rsid w:val="00ED6E4A"/>
    <w:rsid w:val="00ED6F80"/>
    <w:rsid w:val="00ED702E"/>
    <w:rsid w:val="00ED703C"/>
    <w:rsid w:val="00ED70E5"/>
    <w:rsid w:val="00ED7263"/>
    <w:rsid w:val="00ED7404"/>
    <w:rsid w:val="00ED74F2"/>
    <w:rsid w:val="00ED79EE"/>
    <w:rsid w:val="00ED7A87"/>
    <w:rsid w:val="00ED7F2D"/>
    <w:rsid w:val="00ED7FBE"/>
    <w:rsid w:val="00EE034E"/>
    <w:rsid w:val="00EE03C9"/>
    <w:rsid w:val="00EE0551"/>
    <w:rsid w:val="00EE05E1"/>
    <w:rsid w:val="00EE0615"/>
    <w:rsid w:val="00EE0C4D"/>
    <w:rsid w:val="00EE0C69"/>
    <w:rsid w:val="00EE10B8"/>
    <w:rsid w:val="00EE11B1"/>
    <w:rsid w:val="00EE14C5"/>
    <w:rsid w:val="00EE15AB"/>
    <w:rsid w:val="00EE15EB"/>
    <w:rsid w:val="00EE167C"/>
    <w:rsid w:val="00EE16D1"/>
    <w:rsid w:val="00EE1799"/>
    <w:rsid w:val="00EE17B3"/>
    <w:rsid w:val="00EE1976"/>
    <w:rsid w:val="00EE1C36"/>
    <w:rsid w:val="00EE1C60"/>
    <w:rsid w:val="00EE1EB1"/>
    <w:rsid w:val="00EE1EF2"/>
    <w:rsid w:val="00EE1EF4"/>
    <w:rsid w:val="00EE2070"/>
    <w:rsid w:val="00EE2131"/>
    <w:rsid w:val="00EE2423"/>
    <w:rsid w:val="00EE2541"/>
    <w:rsid w:val="00EE260E"/>
    <w:rsid w:val="00EE275D"/>
    <w:rsid w:val="00EE2A51"/>
    <w:rsid w:val="00EE2A64"/>
    <w:rsid w:val="00EE2CF5"/>
    <w:rsid w:val="00EE2E1B"/>
    <w:rsid w:val="00EE2E42"/>
    <w:rsid w:val="00EE2E72"/>
    <w:rsid w:val="00EE3166"/>
    <w:rsid w:val="00EE31B2"/>
    <w:rsid w:val="00EE33F4"/>
    <w:rsid w:val="00EE3557"/>
    <w:rsid w:val="00EE3575"/>
    <w:rsid w:val="00EE35D8"/>
    <w:rsid w:val="00EE375A"/>
    <w:rsid w:val="00EE37B1"/>
    <w:rsid w:val="00EE3A5A"/>
    <w:rsid w:val="00EE3AFE"/>
    <w:rsid w:val="00EE3C8A"/>
    <w:rsid w:val="00EE3CC3"/>
    <w:rsid w:val="00EE3DE1"/>
    <w:rsid w:val="00EE3F46"/>
    <w:rsid w:val="00EE3F79"/>
    <w:rsid w:val="00EE408A"/>
    <w:rsid w:val="00EE4379"/>
    <w:rsid w:val="00EE45BB"/>
    <w:rsid w:val="00EE4A38"/>
    <w:rsid w:val="00EE4AB4"/>
    <w:rsid w:val="00EE4BC2"/>
    <w:rsid w:val="00EE4DE9"/>
    <w:rsid w:val="00EE4EF9"/>
    <w:rsid w:val="00EE5381"/>
    <w:rsid w:val="00EE5511"/>
    <w:rsid w:val="00EE55D1"/>
    <w:rsid w:val="00EE5660"/>
    <w:rsid w:val="00EE56BA"/>
    <w:rsid w:val="00EE5735"/>
    <w:rsid w:val="00EE5781"/>
    <w:rsid w:val="00EE5824"/>
    <w:rsid w:val="00EE58E3"/>
    <w:rsid w:val="00EE5C6E"/>
    <w:rsid w:val="00EE5EF6"/>
    <w:rsid w:val="00EE5F12"/>
    <w:rsid w:val="00EE60A2"/>
    <w:rsid w:val="00EE63C1"/>
    <w:rsid w:val="00EE64B5"/>
    <w:rsid w:val="00EE672E"/>
    <w:rsid w:val="00EE6802"/>
    <w:rsid w:val="00EE6873"/>
    <w:rsid w:val="00EE6898"/>
    <w:rsid w:val="00EE6D60"/>
    <w:rsid w:val="00EE6D79"/>
    <w:rsid w:val="00EE6FC9"/>
    <w:rsid w:val="00EE70F5"/>
    <w:rsid w:val="00EE7200"/>
    <w:rsid w:val="00EE722A"/>
    <w:rsid w:val="00EE739D"/>
    <w:rsid w:val="00EE7571"/>
    <w:rsid w:val="00EE75E0"/>
    <w:rsid w:val="00EE7CBC"/>
    <w:rsid w:val="00EE7D77"/>
    <w:rsid w:val="00EF00F3"/>
    <w:rsid w:val="00EF02A9"/>
    <w:rsid w:val="00EF082D"/>
    <w:rsid w:val="00EF09D4"/>
    <w:rsid w:val="00EF0B83"/>
    <w:rsid w:val="00EF0CEC"/>
    <w:rsid w:val="00EF0EF0"/>
    <w:rsid w:val="00EF0F48"/>
    <w:rsid w:val="00EF1472"/>
    <w:rsid w:val="00EF15FE"/>
    <w:rsid w:val="00EF1655"/>
    <w:rsid w:val="00EF16F9"/>
    <w:rsid w:val="00EF1716"/>
    <w:rsid w:val="00EF188A"/>
    <w:rsid w:val="00EF197F"/>
    <w:rsid w:val="00EF1A1C"/>
    <w:rsid w:val="00EF1A28"/>
    <w:rsid w:val="00EF1A83"/>
    <w:rsid w:val="00EF1AAF"/>
    <w:rsid w:val="00EF1D45"/>
    <w:rsid w:val="00EF1D79"/>
    <w:rsid w:val="00EF1F4C"/>
    <w:rsid w:val="00EF2036"/>
    <w:rsid w:val="00EF20A0"/>
    <w:rsid w:val="00EF23CC"/>
    <w:rsid w:val="00EF2561"/>
    <w:rsid w:val="00EF2937"/>
    <w:rsid w:val="00EF2BC0"/>
    <w:rsid w:val="00EF2C58"/>
    <w:rsid w:val="00EF2CE8"/>
    <w:rsid w:val="00EF2D29"/>
    <w:rsid w:val="00EF2DA7"/>
    <w:rsid w:val="00EF2DDA"/>
    <w:rsid w:val="00EF2E38"/>
    <w:rsid w:val="00EF2FF1"/>
    <w:rsid w:val="00EF3163"/>
    <w:rsid w:val="00EF32D6"/>
    <w:rsid w:val="00EF375D"/>
    <w:rsid w:val="00EF39EA"/>
    <w:rsid w:val="00EF3AC2"/>
    <w:rsid w:val="00EF3AEF"/>
    <w:rsid w:val="00EF3BB1"/>
    <w:rsid w:val="00EF3C4E"/>
    <w:rsid w:val="00EF3D67"/>
    <w:rsid w:val="00EF41AA"/>
    <w:rsid w:val="00EF4209"/>
    <w:rsid w:val="00EF421B"/>
    <w:rsid w:val="00EF426D"/>
    <w:rsid w:val="00EF4344"/>
    <w:rsid w:val="00EF4367"/>
    <w:rsid w:val="00EF442E"/>
    <w:rsid w:val="00EF44CF"/>
    <w:rsid w:val="00EF48F0"/>
    <w:rsid w:val="00EF4B56"/>
    <w:rsid w:val="00EF4F31"/>
    <w:rsid w:val="00EF4FBF"/>
    <w:rsid w:val="00EF504F"/>
    <w:rsid w:val="00EF51C9"/>
    <w:rsid w:val="00EF52A8"/>
    <w:rsid w:val="00EF5481"/>
    <w:rsid w:val="00EF568D"/>
    <w:rsid w:val="00EF58BD"/>
    <w:rsid w:val="00EF5D6F"/>
    <w:rsid w:val="00EF5E64"/>
    <w:rsid w:val="00EF6246"/>
    <w:rsid w:val="00EF632D"/>
    <w:rsid w:val="00EF63AF"/>
    <w:rsid w:val="00EF64BA"/>
    <w:rsid w:val="00EF6519"/>
    <w:rsid w:val="00EF6836"/>
    <w:rsid w:val="00EF6870"/>
    <w:rsid w:val="00EF6879"/>
    <w:rsid w:val="00EF6924"/>
    <w:rsid w:val="00EF6959"/>
    <w:rsid w:val="00EF6AFE"/>
    <w:rsid w:val="00EF6BF6"/>
    <w:rsid w:val="00EF6D0A"/>
    <w:rsid w:val="00EF7368"/>
    <w:rsid w:val="00EF7401"/>
    <w:rsid w:val="00EF749D"/>
    <w:rsid w:val="00EF752F"/>
    <w:rsid w:val="00EF7601"/>
    <w:rsid w:val="00EF7692"/>
    <w:rsid w:val="00EF76A1"/>
    <w:rsid w:val="00EF78C3"/>
    <w:rsid w:val="00EF790A"/>
    <w:rsid w:val="00EF7A1B"/>
    <w:rsid w:val="00EF7C35"/>
    <w:rsid w:val="00EF7C82"/>
    <w:rsid w:val="00EF7EB5"/>
    <w:rsid w:val="00EF7EB7"/>
    <w:rsid w:val="00F0006A"/>
    <w:rsid w:val="00F00087"/>
    <w:rsid w:val="00F001BB"/>
    <w:rsid w:val="00F002A2"/>
    <w:rsid w:val="00F00319"/>
    <w:rsid w:val="00F0037D"/>
    <w:rsid w:val="00F0043E"/>
    <w:rsid w:val="00F004D1"/>
    <w:rsid w:val="00F00C04"/>
    <w:rsid w:val="00F00C25"/>
    <w:rsid w:val="00F00DEE"/>
    <w:rsid w:val="00F00FAD"/>
    <w:rsid w:val="00F01112"/>
    <w:rsid w:val="00F01244"/>
    <w:rsid w:val="00F0129E"/>
    <w:rsid w:val="00F014DD"/>
    <w:rsid w:val="00F01652"/>
    <w:rsid w:val="00F0177C"/>
    <w:rsid w:val="00F01790"/>
    <w:rsid w:val="00F017D3"/>
    <w:rsid w:val="00F01822"/>
    <w:rsid w:val="00F0184B"/>
    <w:rsid w:val="00F01982"/>
    <w:rsid w:val="00F01CDF"/>
    <w:rsid w:val="00F02008"/>
    <w:rsid w:val="00F022B1"/>
    <w:rsid w:val="00F022DF"/>
    <w:rsid w:val="00F02652"/>
    <w:rsid w:val="00F028C2"/>
    <w:rsid w:val="00F02995"/>
    <w:rsid w:val="00F02F62"/>
    <w:rsid w:val="00F02FA1"/>
    <w:rsid w:val="00F032DE"/>
    <w:rsid w:val="00F033AE"/>
    <w:rsid w:val="00F0355C"/>
    <w:rsid w:val="00F0359B"/>
    <w:rsid w:val="00F036E7"/>
    <w:rsid w:val="00F0389D"/>
    <w:rsid w:val="00F038C0"/>
    <w:rsid w:val="00F039BE"/>
    <w:rsid w:val="00F03A70"/>
    <w:rsid w:val="00F03A85"/>
    <w:rsid w:val="00F03BE1"/>
    <w:rsid w:val="00F03CCC"/>
    <w:rsid w:val="00F03D13"/>
    <w:rsid w:val="00F03D8D"/>
    <w:rsid w:val="00F03F6F"/>
    <w:rsid w:val="00F04393"/>
    <w:rsid w:val="00F04644"/>
    <w:rsid w:val="00F04792"/>
    <w:rsid w:val="00F04B5F"/>
    <w:rsid w:val="00F0500B"/>
    <w:rsid w:val="00F05473"/>
    <w:rsid w:val="00F054CB"/>
    <w:rsid w:val="00F056F5"/>
    <w:rsid w:val="00F0592C"/>
    <w:rsid w:val="00F059CB"/>
    <w:rsid w:val="00F05A34"/>
    <w:rsid w:val="00F05C98"/>
    <w:rsid w:val="00F06045"/>
    <w:rsid w:val="00F0607F"/>
    <w:rsid w:val="00F065E6"/>
    <w:rsid w:val="00F06611"/>
    <w:rsid w:val="00F066B7"/>
    <w:rsid w:val="00F06787"/>
    <w:rsid w:val="00F067F6"/>
    <w:rsid w:val="00F06925"/>
    <w:rsid w:val="00F06D27"/>
    <w:rsid w:val="00F072B2"/>
    <w:rsid w:val="00F07679"/>
    <w:rsid w:val="00F07685"/>
    <w:rsid w:val="00F07766"/>
    <w:rsid w:val="00F07796"/>
    <w:rsid w:val="00F07894"/>
    <w:rsid w:val="00F0792F"/>
    <w:rsid w:val="00F07A58"/>
    <w:rsid w:val="00F07AAE"/>
    <w:rsid w:val="00F07AC8"/>
    <w:rsid w:val="00F07BC9"/>
    <w:rsid w:val="00F07CBB"/>
    <w:rsid w:val="00F10132"/>
    <w:rsid w:val="00F1014C"/>
    <w:rsid w:val="00F101D3"/>
    <w:rsid w:val="00F10250"/>
    <w:rsid w:val="00F10346"/>
    <w:rsid w:val="00F103CF"/>
    <w:rsid w:val="00F103D5"/>
    <w:rsid w:val="00F105CE"/>
    <w:rsid w:val="00F10900"/>
    <w:rsid w:val="00F10928"/>
    <w:rsid w:val="00F10BA6"/>
    <w:rsid w:val="00F10E2F"/>
    <w:rsid w:val="00F10F2E"/>
    <w:rsid w:val="00F11309"/>
    <w:rsid w:val="00F11312"/>
    <w:rsid w:val="00F113DE"/>
    <w:rsid w:val="00F11784"/>
    <w:rsid w:val="00F118E6"/>
    <w:rsid w:val="00F119B9"/>
    <w:rsid w:val="00F11AD5"/>
    <w:rsid w:val="00F11BAF"/>
    <w:rsid w:val="00F12092"/>
    <w:rsid w:val="00F121A5"/>
    <w:rsid w:val="00F121AA"/>
    <w:rsid w:val="00F124CC"/>
    <w:rsid w:val="00F125BF"/>
    <w:rsid w:val="00F12B63"/>
    <w:rsid w:val="00F12D27"/>
    <w:rsid w:val="00F12DC3"/>
    <w:rsid w:val="00F12E2C"/>
    <w:rsid w:val="00F12E66"/>
    <w:rsid w:val="00F132A6"/>
    <w:rsid w:val="00F1364A"/>
    <w:rsid w:val="00F13692"/>
    <w:rsid w:val="00F1369F"/>
    <w:rsid w:val="00F136AC"/>
    <w:rsid w:val="00F137F7"/>
    <w:rsid w:val="00F138DE"/>
    <w:rsid w:val="00F13A42"/>
    <w:rsid w:val="00F13E9C"/>
    <w:rsid w:val="00F140C5"/>
    <w:rsid w:val="00F141EE"/>
    <w:rsid w:val="00F14231"/>
    <w:rsid w:val="00F142DA"/>
    <w:rsid w:val="00F1440A"/>
    <w:rsid w:val="00F1497E"/>
    <w:rsid w:val="00F14A8C"/>
    <w:rsid w:val="00F14D1D"/>
    <w:rsid w:val="00F14F19"/>
    <w:rsid w:val="00F14F76"/>
    <w:rsid w:val="00F14FC9"/>
    <w:rsid w:val="00F1505A"/>
    <w:rsid w:val="00F151CE"/>
    <w:rsid w:val="00F151D2"/>
    <w:rsid w:val="00F151ED"/>
    <w:rsid w:val="00F15266"/>
    <w:rsid w:val="00F15346"/>
    <w:rsid w:val="00F1536D"/>
    <w:rsid w:val="00F15490"/>
    <w:rsid w:val="00F154E9"/>
    <w:rsid w:val="00F15641"/>
    <w:rsid w:val="00F15672"/>
    <w:rsid w:val="00F15784"/>
    <w:rsid w:val="00F1592D"/>
    <w:rsid w:val="00F15ABD"/>
    <w:rsid w:val="00F15E03"/>
    <w:rsid w:val="00F15FAB"/>
    <w:rsid w:val="00F160F6"/>
    <w:rsid w:val="00F16162"/>
    <w:rsid w:val="00F16552"/>
    <w:rsid w:val="00F165F8"/>
    <w:rsid w:val="00F1664B"/>
    <w:rsid w:val="00F166D0"/>
    <w:rsid w:val="00F1672D"/>
    <w:rsid w:val="00F1679F"/>
    <w:rsid w:val="00F167FD"/>
    <w:rsid w:val="00F168CE"/>
    <w:rsid w:val="00F16985"/>
    <w:rsid w:val="00F169BC"/>
    <w:rsid w:val="00F16B21"/>
    <w:rsid w:val="00F16B9A"/>
    <w:rsid w:val="00F16BDD"/>
    <w:rsid w:val="00F16C00"/>
    <w:rsid w:val="00F16CC2"/>
    <w:rsid w:val="00F16D93"/>
    <w:rsid w:val="00F16DEA"/>
    <w:rsid w:val="00F16F6A"/>
    <w:rsid w:val="00F17006"/>
    <w:rsid w:val="00F1727E"/>
    <w:rsid w:val="00F1741D"/>
    <w:rsid w:val="00F17767"/>
    <w:rsid w:val="00F17C7C"/>
    <w:rsid w:val="00F2012D"/>
    <w:rsid w:val="00F201CE"/>
    <w:rsid w:val="00F2036E"/>
    <w:rsid w:val="00F203C8"/>
    <w:rsid w:val="00F207E6"/>
    <w:rsid w:val="00F209C2"/>
    <w:rsid w:val="00F20A7A"/>
    <w:rsid w:val="00F20B77"/>
    <w:rsid w:val="00F20CD6"/>
    <w:rsid w:val="00F20E6D"/>
    <w:rsid w:val="00F20EDD"/>
    <w:rsid w:val="00F218EF"/>
    <w:rsid w:val="00F21D00"/>
    <w:rsid w:val="00F21DCC"/>
    <w:rsid w:val="00F21DF7"/>
    <w:rsid w:val="00F21E7B"/>
    <w:rsid w:val="00F21EF6"/>
    <w:rsid w:val="00F21F09"/>
    <w:rsid w:val="00F21FC1"/>
    <w:rsid w:val="00F2236C"/>
    <w:rsid w:val="00F22587"/>
    <w:rsid w:val="00F2274C"/>
    <w:rsid w:val="00F227ED"/>
    <w:rsid w:val="00F22832"/>
    <w:rsid w:val="00F228A2"/>
    <w:rsid w:val="00F22904"/>
    <w:rsid w:val="00F22AA9"/>
    <w:rsid w:val="00F22D02"/>
    <w:rsid w:val="00F22E87"/>
    <w:rsid w:val="00F22EB2"/>
    <w:rsid w:val="00F22F79"/>
    <w:rsid w:val="00F2301D"/>
    <w:rsid w:val="00F23219"/>
    <w:rsid w:val="00F23344"/>
    <w:rsid w:val="00F235D4"/>
    <w:rsid w:val="00F236C1"/>
    <w:rsid w:val="00F23748"/>
    <w:rsid w:val="00F23893"/>
    <w:rsid w:val="00F238C8"/>
    <w:rsid w:val="00F23DA0"/>
    <w:rsid w:val="00F23DE1"/>
    <w:rsid w:val="00F23EFB"/>
    <w:rsid w:val="00F241C8"/>
    <w:rsid w:val="00F241C9"/>
    <w:rsid w:val="00F2423B"/>
    <w:rsid w:val="00F24526"/>
    <w:rsid w:val="00F246C2"/>
    <w:rsid w:val="00F2477D"/>
    <w:rsid w:val="00F247F7"/>
    <w:rsid w:val="00F24889"/>
    <w:rsid w:val="00F24A9D"/>
    <w:rsid w:val="00F24BAC"/>
    <w:rsid w:val="00F24E1B"/>
    <w:rsid w:val="00F2523F"/>
    <w:rsid w:val="00F25514"/>
    <w:rsid w:val="00F2589C"/>
    <w:rsid w:val="00F259AD"/>
    <w:rsid w:val="00F25B33"/>
    <w:rsid w:val="00F25C73"/>
    <w:rsid w:val="00F25CC4"/>
    <w:rsid w:val="00F25FA1"/>
    <w:rsid w:val="00F262AE"/>
    <w:rsid w:val="00F266EB"/>
    <w:rsid w:val="00F26767"/>
    <w:rsid w:val="00F2677F"/>
    <w:rsid w:val="00F2682C"/>
    <w:rsid w:val="00F26855"/>
    <w:rsid w:val="00F2688B"/>
    <w:rsid w:val="00F268CF"/>
    <w:rsid w:val="00F2697D"/>
    <w:rsid w:val="00F26994"/>
    <w:rsid w:val="00F269EB"/>
    <w:rsid w:val="00F26B48"/>
    <w:rsid w:val="00F26C62"/>
    <w:rsid w:val="00F26D93"/>
    <w:rsid w:val="00F26DCC"/>
    <w:rsid w:val="00F26F77"/>
    <w:rsid w:val="00F27020"/>
    <w:rsid w:val="00F27355"/>
    <w:rsid w:val="00F2748A"/>
    <w:rsid w:val="00F27676"/>
    <w:rsid w:val="00F27693"/>
    <w:rsid w:val="00F27780"/>
    <w:rsid w:val="00F27D51"/>
    <w:rsid w:val="00F303E0"/>
    <w:rsid w:val="00F3057B"/>
    <w:rsid w:val="00F3093D"/>
    <w:rsid w:val="00F3098D"/>
    <w:rsid w:val="00F309A8"/>
    <w:rsid w:val="00F309AA"/>
    <w:rsid w:val="00F30A5C"/>
    <w:rsid w:val="00F30EFA"/>
    <w:rsid w:val="00F30FA1"/>
    <w:rsid w:val="00F30FEB"/>
    <w:rsid w:val="00F312C7"/>
    <w:rsid w:val="00F3157E"/>
    <w:rsid w:val="00F3165D"/>
    <w:rsid w:val="00F316A9"/>
    <w:rsid w:val="00F317B5"/>
    <w:rsid w:val="00F31DF0"/>
    <w:rsid w:val="00F3213F"/>
    <w:rsid w:val="00F321D3"/>
    <w:rsid w:val="00F32212"/>
    <w:rsid w:val="00F323D0"/>
    <w:rsid w:val="00F32952"/>
    <w:rsid w:val="00F32AC0"/>
    <w:rsid w:val="00F32B41"/>
    <w:rsid w:val="00F32C51"/>
    <w:rsid w:val="00F32C70"/>
    <w:rsid w:val="00F32F4B"/>
    <w:rsid w:val="00F33291"/>
    <w:rsid w:val="00F3338B"/>
    <w:rsid w:val="00F334C6"/>
    <w:rsid w:val="00F3350B"/>
    <w:rsid w:val="00F339FA"/>
    <w:rsid w:val="00F33A22"/>
    <w:rsid w:val="00F33A36"/>
    <w:rsid w:val="00F33AB9"/>
    <w:rsid w:val="00F33B65"/>
    <w:rsid w:val="00F33F36"/>
    <w:rsid w:val="00F33FF3"/>
    <w:rsid w:val="00F34122"/>
    <w:rsid w:val="00F3482D"/>
    <w:rsid w:val="00F34910"/>
    <w:rsid w:val="00F3491F"/>
    <w:rsid w:val="00F349D1"/>
    <w:rsid w:val="00F34A5B"/>
    <w:rsid w:val="00F34E18"/>
    <w:rsid w:val="00F34FBC"/>
    <w:rsid w:val="00F34FBD"/>
    <w:rsid w:val="00F35011"/>
    <w:rsid w:val="00F35220"/>
    <w:rsid w:val="00F35263"/>
    <w:rsid w:val="00F352B8"/>
    <w:rsid w:val="00F3535A"/>
    <w:rsid w:val="00F35454"/>
    <w:rsid w:val="00F3546C"/>
    <w:rsid w:val="00F357D6"/>
    <w:rsid w:val="00F35AA1"/>
    <w:rsid w:val="00F35E26"/>
    <w:rsid w:val="00F35E5B"/>
    <w:rsid w:val="00F35FB8"/>
    <w:rsid w:val="00F35FEB"/>
    <w:rsid w:val="00F36143"/>
    <w:rsid w:val="00F3667D"/>
    <w:rsid w:val="00F366CD"/>
    <w:rsid w:val="00F36920"/>
    <w:rsid w:val="00F369F1"/>
    <w:rsid w:val="00F36B93"/>
    <w:rsid w:val="00F36B96"/>
    <w:rsid w:val="00F36CFC"/>
    <w:rsid w:val="00F36D0A"/>
    <w:rsid w:val="00F3709B"/>
    <w:rsid w:val="00F370BC"/>
    <w:rsid w:val="00F37156"/>
    <w:rsid w:val="00F371A9"/>
    <w:rsid w:val="00F37275"/>
    <w:rsid w:val="00F373A2"/>
    <w:rsid w:val="00F3741B"/>
    <w:rsid w:val="00F37424"/>
    <w:rsid w:val="00F3747B"/>
    <w:rsid w:val="00F375C5"/>
    <w:rsid w:val="00F377F1"/>
    <w:rsid w:val="00F378F5"/>
    <w:rsid w:val="00F37BAF"/>
    <w:rsid w:val="00F37DEB"/>
    <w:rsid w:val="00F37E40"/>
    <w:rsid w:val="00F400A1"/>
    <w:rsid w:val="00F40178"/>
    <w:rsid w:val="00F4028F"/>
    <w:rsid w:val="00F40366"/>
    <w:rsid w:val="00F40399"/>
    <w:rsid w:val="00F40421"/>
    <w:rsid w:val="00F4081F"/>
    <w:rsid w:val="00F40968"/>
    <w:rsid w:val="00F40B29"/>
    <w:rsid w:val="00F40E3E"/>
    <w:rsid w:val="00F4125A"/>
    <w:rsid w:val="00F413D4"/>
    <w:rsid w:val="00F41406"/>
    <w:rsid w:val="00F4146D"/>
    <w:rsid w:val="00F415FB"/>
    <w:rsid w:val="00F4165F"/>
    <w:rsid w:val="00F4168B"/>
    <w:rsid w:val="00F417DF"/>
    <w:rsid w:val="00F417E3"/>
    <w:rsid w:val="00F41873"/>
    <w:rsid w:val="00F41A2F"/>
    <w:rsid w:val="00F42029"/>
    <w:rsid w:val="00F42159"/>
    <w:rsid w:val="00F4222F"/>
    <w:rsid w:val="00F425FB"/>
    <w:rsid w:val="00F42761"/>
    <w:rsid w:val="00F427EE"/>
    <w:rsid w:val="00F42A13"/>
    <w:rsid w:val="00F42CAE"/>
    <w:rsid w:val="00F42D12"/>
    <w:rsid w:val="00F42D8D"/>
    <w:rsid w:val="00F42DEF"/>
    <w:rsid w:val="00F42F07"/>
    <w:rsid w:val="00F42F64"/>
    <w:rsid w:val="00F42F83"/>
    <w:rsid w:val="00F42FCF"/>
    <w:rsid w:val="00F432FF"/>
    <w:rsid w:val="00F43375"/>
    <w:rsid w:val="00F433A8"/>
    <w:rsid w:val="00F433BF"/>
    <w:rsid w:val="00F43553"/>
    <w:rsid w:val="00F43635"/>
    <w:rsid w:val="00F43950"/>
    <w:rsid w:val="00F4396F"/>
    <w:rsid w:val="00F43AE3"/>
    <w:rsid w:val="00F43BA4"/>
    <w:rsid w:val="00F44495"/>
    <w:rsid w:val="00F44642"/>
    <w:rsid w:val="00F44916"/>
    <w:rsid w:val="00F44A97"/>
    <w:rsid w:val="00F44EAD"/>
    <w:rsid w:val="00F44F70"/>
    <w:rsid w:val="00F4511E"/>
    <w:rsid w:val="00F45191"/>
    <w:rsid w:val="00F452C2"/>
    <w:rsid w:val="00F45465"/>
    <w:rsid w:val="00F4548C"/>
    <w:rsid w:val="00F454DC"/>
    <w:rsid w:val="00F4550E"/>
    <w:rsid w:val="00F45523"/>
    <w:rsid w:val="00F45593"/>
    <w:rsid w:val="00F458C6"/>
    <w:rsid w:val="00F45A2E"/>
    <w:rsid w:val="00F45AD4"/>
    <w:rsid w:val="00F45C31"/>
    <w:rsid w:val="00F45E0C"/>
    <w:rsid w:val="00F45E6A"/>
    <w:rsid w:val="00F45EA1"/>
    <w:rsid w:val="00F46226"/>
    <w:rsid w:val="00F46288"/>
    <w:rsid w:val="00F46322"/>
    <w:rsid w:val="00F46325"/>
    <w:rsid w:val="00F4641B"/>
    <w:rsid w:val="00F464E8"/>
    <w:rsid w:val="00F46CC9"/>
    <w:rsid w:val="00F46E43"/>
    <w:rsid w:val="00F46EA6"/>
    <w:rsid w:val="00F472A1"/>
    <w:rsid w:val="00F4731E"/>
    <w:rsid w:val="00F4736F"/>
    <w:rsid w:val="00F47394"/>
    <w:rsid w:val="00F4740A"/>
    <w:rsid w:val="00F47597"/>
    <w:rsid w:val="00F475E7"/>
    <w:rsid w:val="00F47639"/>
    <w:rsid w:val="00F47CB1"/>
    <w:rsid w:val="00F47D1C"/>
    <w:rsid w:val="00F47D32"/>
    <w:rsid w:val="00F50159"/>
    <w:rsid w:val="00F503CA"/>
    <w:rsid w:val="00F50538"/>
    <w:rsid w:val="00F50872"/>
    <w:rsid w:val="00F50AD8"/>
    <w:rsid w:val="00F51118"/>
    <w:rsid w:val="00F5120C"/>
    <w:rsid w:val="00F51265"/>
    <w:rsid w:val="00F512AF"/>
    <w:rsid w:val="00F512BF"/>
    <w:rsid w:val="00F51351"/>
    <w:rsid w:val="00F51427"/>
    <w:rsid w:val="00F514AC"/>
    <w:rsid w:val="00F51753"/>
    <w:rsid w:val="00F51869"/>
    <w:rsid w:val="00F51B6B"/>
    <w:rsid w:val="00F51C4D"/>
    <w:rsid w:val="00F51C58"/>
    <w:rsid w:val="00F51E6A"/>
    <w:rsid w:val="00F5216C"/>
    <w:rsid w:val="00F521A4"/>
    <w:rsid w:val="00F52397"/>
    <w:rsid w:val="00F523CB"/>
    <w:rsid w:val="00F527B7"/>
    <w:rsid w:val="00F528DB"/>
    <w:rsid w:val="00F52E5F"/>
    <w:rsid w:val="00F52EC6"/>
    <w:rsid w:val="00F5307B"/>
    <w:rsid w:val="00F53338"/>
    <w:rsid w:val="00F53654"/>
    <w:rsid w:val="00F53671"/>
    <w:rsid w:val="00F53941"/>
    <w:rsid w:val="00F53A6E"/>
    <w:rsid w:val="00F53B78"/>
    <w:rsid w:val="00F53CFB"/>
    <w:rsid w:val="00F54240"/>
    <w:rsid w:val="00F54BE4"/>
    <w:rsid w:val="00F54BE8"/>
    <w:rsid w:val="00F55622"/>
    <w:rsid w:val="00F556D1"/>
    <w:rsid w:val="00F55B05"/>
    <w:rsid w:val="00F55B0C"/>
    <w:rsid w:val="00F55B90"/>
    <w:rsid w:val="00F55BBD"/>
    <w:rsid w:val="00F55C2F"/>
    <w:rsid w:val="00F55D30"/>
    <w:rsid w:val="00F55DD6"/>
    <w:rsid w:val="00F55FC1"/>
    <w:rsid w:val="00F56037"/>
    <w:rsid w:val="00F562DD"/>
    <w:rsid w:val="00F5642A"/>
    <w:rsid w:val="00F5651D"/>
    <w:rsid w:val="00F5659B"/>
    <w:rsid w:val="00F567D9"/>
    <w:rsid w:val="00F56818"/>
    <w:rsid w:val="00F5689C"/>
    <w:rsid w:val="00F569CA"/>
    <w:rsid w:val="00F56A37"/>
    <w:rsid w:val="00F56B5D"/>
    <w:rsid w:val="00F56B92"/>
    <w:rsid w:val="00F570C1"/>
    <w:rsid w:val="00F57314"/>
    <w:rsid w:val="00F5736A"/>
    <w:rsid w:val="00F575AD"/>
    <w:rsid w:val="00F57727"/>
    <w:rsid w:val="00F57851"/>
    <w:rsid w:val="00F57937"/>
    <w:rsid w:val="00F57A18"/>
    <w:rsid w:val="00F57B80"/>
    <w:rsid w:val="00F57DB1"/>
    <w:rsid w:val="00F57E95"/>
    <w:rsid w:val="00F57F18"/>
    <w:rsid w:val="00F57FA9"/>
    <w:rsid w:val="00F57FDA"/>
    <w:rsid w:val="00F600FE"/>
    <w:rsid w:val="00F60136"/>
    <w:rsid w:val="00F60137"/>
    <w:rsid w:val="00F601BC"/>
    <w:rsid w:val="00F604D1"/>
    <w:rsid w:val="00F60678"/>
    <w:rsid w:val="00F6090E"/>
    <w:rsid w:val="00F60AD7"/>
    <w:rsid w:val="00F60D55"/>
    <w:rsid w:val="00F60D82"/>
    <w:rsid w:val="00F60E0D"/>
    <w:rsid w:val="00F60FA5"/>
    <w:rsid w:val="00F60FDA"/>
    <w:rsid w:val="00F60FEA"/>
    <w:rsid w:val="00F6106A"/>
    <w:rsid w:val="00F6127A"/>
    <w:rsid w:val="00F613A7"/>
    <w:rsid w:val="00F61415"/>
    <w:rsid w:val="00F614B5"/>
    <w:rsid w:val="00F61562"/>
    <w:rsid w:val="00F616F8"/>
    <w:rsid w:val="00F618E4"/>
    <w:rsid w:val="00F61A2E"/>
    <w:rsid w:val="00F61C44"/>
    <w:rsid w:val="00F61EA4"/>
    <w:rsid w:val="00F621EB"/>
    <w:rsid w:val="00F62348"/>
    <w:rsid w:val="00F62362"/>
    <w:rsid w:val="00F6245C"/>
    <w:rsid w:val="00F6279A"/>
    <w:rsid w:val="00F6293B"/>
    <w:rsid w:val="00F62A6B"/>
    <w:rsid w:val="00F62AED"/>
    <w:rsid w:val="00F62C9A"/>
    <w:rsid w:val="00F62CA4"/>
    <w:rsid w:val="00F62D18"/>
    <w:rsid w:val="00F62D63"/>
    <w:rsid w:val="00F62E23"/>
    <w:rsid w:val="00F6352E"/>
    <w:rsid w:val="00F6359D"/>
    <w:rsid w:val="00F63684"/>
    <w:rsid w:val="00F6370E"/>
    <w:rsid w:val="00F638D9"/>
    <w:rsid w:val="00F63AE4"/>
    <w:rsid w:val="00F63C54"/>
    <w:rsid w:val="00F63F36"/>
    <w:rsid w:val="00F63FD7"/>
    <w:rsid w:val="00F640D4"/>
    <w:rsid w:val="00F64176"/>
    <w:rsid w:val="00F643F3"/>
    <w:rsid w:val="00F6441C"/>
    <w:rsid w:val="00F6498D"/>
    <w:rsid w:val="00F64999"/>
    <w:rsid w:val="00F64A98"/>
    <w:rsid w:val="00F64B89"/>
    <w:rsid w:val="00F64ED9"/>
    <w:rsid w:val="00F64EFB"/>
    <w:rsid w:val="00F654F8"/>
    <w:rsid w:val="00F6551C"/>
    <w:rsid w:val="00F6577F"/>
    <w:rsid w:val="00F659F2"/>
    <w:rsid w:val="00F65B21"/>
    <w:rsid w:val="00F65C35"/>
    <w:rsid w:val="00F65E12"/>
    <w:rsid w:val="00F66572"/>
    <w:rsid w:val="00F665CF"/>
    <w:rsid w:val="00F66674"/>
    <w:rsid w:val="00F666E3"/>
    <w:rsid w:val="00F6672E"/>
    <w:rsid w:val="00F66863"/>
    <w:rsid w:val="00F668A5"/>
    <w:rsid w:val="00F66A7A"/>
    <w:rsid w:val="00F66C99"/>
    <w:rsid w:val="00F66D38"/>
    <w:rsid w:val="00F66D4F"/>
    <w:rsid w:val="00F66F16"/>
    <w:rsid w:val="00F670BE"/>
    <w:rsid w:val="00F6719F"/>
    <w:rsid w:val="00F673D0"/>
    <w:rsid w:val="00F67456"/>
    <w:rsid w:val="00F676D6"/>
    <w:rsid w:val="00F676F3"/>
    <w:rsid w:val="00F6770A"/>
    <w:rsid w:val="00F67B73"/>
    <w:rsid w:val="00F67C47"/>
    <w:rsid w:val="00F67D38"/>
    <w:rsid w:val="00F67F83"/>
    <w:rsid w:val="00F70024"/>
    <w:rsid w:val="00F70091"/>
    <w:rsid w:val="00F700CB"/>
    <w:rsid w:val="00F7026E"/>
    <w:rsid w:val="00F70352"/>
    <w:rsid w:val="00F705D1"/>
    <w:rsid w:val="00F7079A"/>
    <w:rsid w:val="00F70AFA"/>
    <w:rsid w:val="00F70B6C"/>
    <w:rsid w:val="00F70D5A"/>
    <w:rsid w:val="00F70EC5"/>
    <w:rsid w:val="00F70EFA"/>
    <w:rsid w:val="00F70F2D"/>
    <w:rsid w:val="00F70F4A"/>
    <w:rsid w:val="00F7155B"/>
    <w:rsid w:val="00F716EA"/>
    <w:rsid w:val="00F719C6"/>
    <w:rsid w:val="00F71A83"/>
    <w:rsid w:val="00F71B74"/>
    <w:rsid w:val="00F71BF3"/>
    <w:rsid w:val="00F71C46"/>
    <w:rsid w:val="00F71C82"/>
    <w:rsid w:val="00F71F2C"/>
    <w:rsid w:val="00F71FB5"/>
    <w:rsid w:val="00F7204B"/>
    <w:rsid w:val="00F72055"/>
    <w:rsid w:val="00F7229C"/>
    <w:rsid w:val="00F72310"/>
    <w:rsid w:val="00F72383"/>
    <w:rsid w:val="00F723E1"/>
    <w:rsid w:val="00F725D5"/>
    <w:rsid w:val="00F72740"/>
    <w:rsid w:val="00F72AE1"/>
    <w:rsid w:val="00F72C88"/>
    <w:rsid w:val="00F72E01"/>
    <w:rsid w:val="00F73145"/>
    <w:rsid w:val="00F73186"/>
    <w:rsid w:val="00F73270"/>
    <w:rsid w:val="00F732C0"/>
    <w:rsid w:val="00F73307"/>
    <w:rsid w:val="00F738A1"/>
    <w:rsid w:val="00F73AA4"/>
    <w:rsid w:val="00F73C51"/>
    <w:rsid w:val="00F73CE6"/>
    <w:rsid w:val="00F73CFF"/>
    <w:rsid w:val="00F73D30"/>
    <w:rsid w:val="00F73EA9"/>
    <w:rsid w:val="00F740B1"/>
    <w:rsid w:val="00F74540"/>
    <w:rsid w:val="00F746B2"/>
    <w:rsid w:val="00F747E6"/>
    <w:rsid w:val="00F7491B"/>
    <w:rsid w:val="00F749B1"/>
    <w:rsid w:val="00F74A80"/>
    <w:rsid w:val="00F74B4C"/>
    <w:rsid w:val="00F74C2A"/>
    <w:rsid w:val="00F74C6D"/>
    <w:rsid w:val="00F74CC8"/>
    <w:rsid w:val="00F74E56"/>
    <w:rsid w:val="00F75322"/>
    <w:rsid w:val="00F75334"/>
    <w:rsid w:val="00F7538B"/>
    <w:rsid w:val="00F75395"/>
    <w:rsid w:val="00F7546D"/>
    <w:rsid w:val="00F7558F"/>
    <w:rsid w:val="00F75605"/>
    <w:rsid w:val="00F75666"/>
    <w:rsid w:val="00F75783"/>
    <w:rsid w:val="00F75991"/>
    <w:rsid w:val="00F759A8"/>
    <w:rsid w:val="00F75A47"/>
    <w:rsid w:val="00F75AE8"/>
    <w:rsid w:val="00F75BE0"/>
    <w:rsid w:val="00F75CD3"/>
    <w:rsid w:val="00F76227"/>
    <w:rsid w:val="00F764F1"/>
    <w:rsid w:val="00F76811"/>
    <w:rsid w:val="00F76847"/>
    <w:rsid w:val="00F768E7"/>
    <w:rsid w:val="00F76BEB"/>
    <w:rsid w:val="00F76F21"/>
    <w:rsid w:val="00F77004"/>
    <w:rsid w:val="00F7717F"/>
    <w:rsid w:val="00F77261"/>
    <w:rsid w:val="00F772D6"/>
    <w:rsid w:val="00F77694"/>
    <w:rsid w:val="00F77AA4"/>
    <w:rsid w:val="00F77C43"/>
    <w:rsid w:val="00F80169"/>
    <w:rsid w:val="00F8043A"/>
    <w:rsid w:val="00F80768"/>
    <w:rsid w:val="00F807DE"/>
    <w:rsid w:val="00F8085B"/>
    <w:rsid w:val="00F808D4"/>
    <w:rsid w:val="00F808DB"/>
    <w:rsid w:val="00F8093E"/>
    <w:rsid w:val="00F809E0"/>
    <w:rsid w:val="00F80A95"/>
    <w:rsid w:val="00F80C0B"/>
    <w:rsid w:val="00F8123F"/>
    <w:rsid w:val="00F8132B"/>
    <w:rsid w:val="00F81AD5"/>
    <w:rsid w:val="00F81D49"/>
    <w:rsid w:val="00F81E77"/>
    <w:rsid w:val="00F81F10"/>
    <w:rsid w:val="00F822A3"/>
    <w:rsid w:val="00F82307"/>
    <w:rsid w:val="00F82398"/>
    <w:rsid w:val="00F823E1"/>
    <w:rsid w:val="00F824B5"/>
    <w:rsid w:val="00F8267A"/>
    <w:rsid w:val="00F82BB6"/>
    <w:rsid w:val="00F82C59"/>
    <w:rsid w:val="00F82C86"/>
    <w:rsid w:val="00F82D78"/>
    <w:rsid w:val="00F83074"/>
    <w:rsid w:val="00F8308A"/>
    <w:rsid w:val="00F830F4"/>
    <w:rsid w:val="00F8312C"/>
    <w:rsid w:val="00F831F7"/>
    <w:rsid w:val="00F83322"/>
    <w:rsid w:val="00F83438"/>
    <w:rsid w:val="00F83459"/>
    <w:rsid w:val="00F83469"/>
    <w:rsid w:val="00F83505"/>
    <w:rsid w:val="00F83799"/>
    <w:rsid w:val="00F83AC8"/>
    <w:rsid w:val="00F83C12"/>
    <w:rsid w:val="00F83C1E"/>
    <w:rsid w:val="00F83C9D"/>
    <w:rsid w:val="00F83D23"/>
    <w:rsid w:val="00F83D9F"/>
    <w:rsid w:val="00F83E71"/>
    <w:rsid w:val="00F83F1C"/>
    <w:rsid w:val="00F8404F"/>
    <w:rsid w:val="00F84064"/>
    <w:rsid w:val="00F84094"/>
    <w:rsid w:val="00F84343"/>
    <w:rsid w:val="00F8442E"/>
    <w:rsid w:val="00F84472"/>
    <w:rsid w:val="00F844FC"/>
    <w:rsid w:val="00F8486B"/>
    <w:rsid w:val="00F84C20"/>
    <w:rsid w:val="00F84C30"/>
    <w:rsid w:val="00F84D0B"/>
    <w:rsid w:val="00F84E6B"/>
    <w:rsid w:val="00F84E90"/>
    <w:rsid w:val="00F84EA7"/>
    <w:rsid w:val="00F84ECD"/>
    <w:rsid w:val="00F84FE7"/>
    <w:rsid w:val="00F84FF8"/>
    <w:rsid w:val="00F850D4"/>
    <w:rsid w:val="00F85183"/>
    <w:rsid w:val="00F85219"/>
    <w:rsid w:val="00F852B0"/>
    <w:rsid w:val="00F855CE"/>
    <w:rsid w:val="00F85688"/>
    <w:rsid w:val="00F858F5"/>
    <w:rsid w:val="00F85922"/>
    <w:rsid w:val="00F85923"/>
    <w:rsid w:val="00F85E87"/>
    <w:rsid w:val="00F86032"/>
    <w:rsid w:val="00F86095"/>
    <w:rsid w:val="00F8615B"/>
    <w:rsid w:val="00F861CC"/>
    <w:rsid w:val="00F8625D"/>
    <w:rsid w:val="00F863C9"/>
    <w:rsid w:val="00F86926"/>
    <w:rsid w:val="00F86B8C"/>
    <w:rsid w:val="00F86DEB"/>
    <w:rsid w:val="00F86F34"/>
    <w:rsid w:val="00F86F8C"/>
    <w:rsid w:val="00F86F9A"/>
    <w:rsid w:val="00F8711B"/>
    <w:rsid w:val="00F871B1"/>
    <w:rsid w:val="00F871FE"/>
    <w:rsid w:val="00F87385"/>
    <w:rsid w:val="00F87569"/>
    <w:rsid w:val="00F87AC4"/>
    <w:rsid w:val="00F87B03"/>
    <w:rsid w:val="00F87CEB"/>
    <w:rsid w:val="00F87D97"/>
    <w:rsid w:val="00F87E5E"/>
    <w:rsid w:val="00F87F20"/>
    <w:rsid w:val="00F901E0"/>
    <w:rsid w:val="00F9038A"/>
    <w:rsid w:val="00F903B5"/>
    <w:rsid w:val="00F90472"/>
    <w:rsid w:val="00F90581"/>
    <w:rsid w:val="00F90622"/>
    <w:rsid w:val="00F909C8"/>
    <w:rsid w:val="00F90B01"/>
    <w:rsid w:val="00F90CC3"/>
    <w:rsid w:val="00F90E8B"/>
    <w:rsid w:val="00F9109C"/>
    <w:rsid w:val="00F912B1"/>
    <w:rsid w:val="00F912BC"/>
    <w:rsid w:val="00F91360"/>
    <w:rsid w:val="00F9136E"/>
    <w:rsid w:val="00F913D4"/>
    <w:rsid w:val="00F9154C"/>
    <w:rsid w:val="00F9177C"/>
    <w:rsid w:val="00F91797"/>
    <w:rsid w:val="00F918BD"/>
    <w:rsid w:val="00F91925"/>
    <w:rsid w:val="00F91CBD"/>
    <w:rsid w:val="00F91D5B"/>
    <w:rsid w:val="00F91EB8"/>
    <w:rsid w:val="00F91F5D"/>
    <w:rsid w:val="00F91F93"/>
    <w:rsid w:val="00F9201C"/>
    <w:rsid w:val="00F92057"/>
    <w:rsid w:val="00F92342"/>
    <w:rsid w:val="00F92443"/>
    <w:rsid w:val="00F92514"/>
    <w:rsid w:val="00F9255E"/>
    <w:rsid w:val="00F92768"/>
    <w:rsid w:val="00F9287F"/>
    <w:rsid w:val="00F92A23"/>
    <w:rsid w:val="00F92DBB"/>
    <w:rsid w:val="00F92EAB"/>
    <w:rsid w:val="00F93005"/>
    <w:rsid w:val="00F9304A"/>
    <w:rsid w:val="00F9317B"/>
    <w:rsid w:val="00F936A1"/>
    <w:rsid w:val="00F93B4F"/>
    <w:rsid w:val="00F93E88"/>
    <w:rsid w:val="00F93EAF"/>
    <w:rsid w:val="00F93F2D"/>
    <w:rsid w:val="00F93FC9"/>
    <w:rsid w:val="00F94057"/>
    <w:rsid w:val="00F94281"/>
    <w:rsid w:val="00F9462C"/>
    <w:rsid w:val="00F94996"/>
    <w:rsid w:val="00F94A97"/>
    <w:rsid w:val="00F94D60"/>
    <w:rsid w:val="00F95084"/>
    <w:rsid w:val="00F9539A"/>
    <w:rsid w:val="00F953E7"/>
    <w:rsid w:val="00F953F2"/>
    <w:rsid w:val="00F955D5"/>
    <w:rsid w:val="00F95875"/>
    <w:rsid w:val="00F958A7"/>
    <w:rsid w:val="00F959C4"/>
    <w:rsid w:val="00F95C2A"/>
    <w:rsid w:val="00F95CDC"/>
    <w:rsid w:val="00F95D2B"/>
    <w:rsid w:val="00F95E3C"/>
    <w:rsid w:val="00F961FE"/>
    <w:rsid w:val="00F96227"/>
    <w:rsid w:val="00F96509"/>
    <w:rsid w:val="00F96546"/>
    <w:rsid w:val="00F9656F"/>
    <w:rsid w:val="00F965D7"/>
    <w:rsid w:val="00F9671F"/>
    <w:rsid w:val="00F96877"/>
    <w:rsid w:val="00F969A7"/>
    <w:rsid w:val="00F96C2F"/>
    <w:rsid w:val="00F96C93"/>
    <w:rsid w:val="00F96D10"/>
    <w:rsid w:val="00F96D1E"/>
    <w:rsid w:val="00F96D79"/>
    <w:rsid w:val="00F96DF1"/>
    <w:rsid w:val="00F96FF1"/>
    <w:rsid w:val="00F970B9"/>
    <w:rsid w:val="00F97139"/>
    <w:rsid w:val="00F97169"/>
    <w:rsid w:val="00F97215"/>
    <w:rsid w:val="00F9726B"/>
    <w:rsid w:val="00F972F2"/>
    <w:rsid w:val="00F97478"/>
    <w:rsid w:val="00F97986"/>
    <w:rsid w:val="00F97996"/>
    <w:rsid w:val="00F97C00"/>
    <w:rsid w:val="00F97C5C"/>
    <w:rsid w:val="00F97D63"/>
    <w:rsid w:val="00F97E7F"/>
    <w:rsid w:val="00F97F99"/>
    <w:rsid w:val="00FA00A5"/>
    <w:rsid w:val="00FA01B0"/>
    <w:rsid w:val="00FA01D4"/>
    <w:rsid w:val="00FA01E8"/>
    <w:rsid w:val="00FA01F8"/>
    <w:rsid w:val="00FA0214"/>
    <w:rsid w:val="00FA036C"/>
    <w:rsid w:val="00FA044E"/>
    <w:rsid w:val="00FA0554"/>
    <w:rsid w:val="00FA0587"/>
    <w:rsid w:val="00FA0776"/>
    <w:rsid w:val="00FA08AB"/>
    <w:rsid w:val="00FA08C0"/>
    <w:rsid w:val="00FA0BF7"/>
    <w:rsid w:val="00FA0E48"/>
    <w:rsid w:val="00FA0EB1"/>
    <w:rsid w:val="00FA1253"/>
    <w:rsid w:val="00FA13D1"/>
    <w:rsid w:val="00FA13E3"/>
    <w:rsid w:val="00FA16AA"/>
    <w:rsid w:val="00FA173C"/>
    <w:rsid w:val="00FA18C8"/>
    <w:rsid w:val="00FA18DE"/>
    <w:rsid w:val="00FA1922"/>
    <w:rsid w:val="00FA1A73"/>
    <w:rsid w:val="00FA1A75"/>
    <w:rsid w:val="00FA1D2A"/>
    <w:rsid w:val="00FA1D44"/>
    <w:rsid w:val="00FA1E21"/>
    <w:rsid w:val="00FA1E66"/>
    <w:rsid w:val="00FA22A2"/>
    <w:rsid w:val="00FA236B"/>
    <w:rsid w:val="00FA2562"/>
    <w:rsid w:val="00FA264A"/>
    <w:rsid w:val="00FA2851"/>
    <w:rsid w:val="00FA29CC"/>
    <w:rsid w:val="00FA2C70"/>
    <w:rsid w:val="00FA2D91"/>
    <w:rsid w:val="00FA2F0D"/>
    <w:rsid w:val="00FA2F37"/>
    <w:rsid w:val="00FA2F8F"/>
    <w:rsid w:val="00FA30FB"/>
    <w:rsid w:val="00FA3219"/>
    <w:rsid w:val="00FA329B"/>
    <w:rsid w:val="00FA34AE"/>
    <w:rsid w:val="00FA35FD"/>
    <w:rsid w:val="00FA37D0"/>
    <w:rsid w:val="00FA3A5B"/>
    <w:rsid w:val="00FA3AE5"/>
    <w:rsid w:val="00FA4113"/>
    <w:rsid w:val="00FA4319"/>
    <w:rsid w:val="00FA4BAD"/>
    <w:rsid w:val="00FA4BC9"/>
    <w:rsid w:val="00FA4F60"/>
    <w:rsid w:val="00FA4F6B"/>
    <w:rsid w:val="00FA5440"/>
    <w:rsid w:val="00FA5525"/>
    <w:rsid w:val="00FA5756"/>
    <w:rsid w:val="00FA588A"/>
    <w:rsid w:val="00FA5A8A"/>
    <w:rsid w:val="00FA5B49"/>
    <w:rsid w:val="00FA5E13"/>
    <w:rsid w:val="00FA5EDB"/>
    <w:rsid w:val="00FA6077"/>
    <w:rsid w:val="00FA60FE"/>
    <w:rsid w:val="00FA6114"/>
    <w:rsid w:val="00FA6275"/>
    <w:rsid w:val="00FA627D"/>
    <w:rsid w:val="00FA63C1"/>
    <w:rsid w:val="00FA6ABA"/>
    <w:rsid w:val="00FA6CCD"/>
    <w:rsid w:val="00FA6E2E"/>
    <w:rsid w:val="00FA6F49"/>
    <w:rsid w:val="00FA6F5E"/>
    <w:rsid w:val="00FA702F"/>
    <w:rsid w:val="00FA703D"/>
    <w:rsid w:val="00FA714D"/>
    <w:rsid w:val="00FA7187"/>
    <w:rsid w:val="00FA72BD"/>
    <w:rsid w:val="00FA747D"/>
    <w:rsid w:val="00FA74AA"/>
    <w:rsid w:val="00FA751E"/>
    <w:rsid w:val="00FA75ED"/>
    <w:rsid w:val="00FA776A"/>
    <w:rsid w:val="00FA77E7"/>
    <w:rsid w:val="00FA7A5B"/>
    <w:rsid w:val="00FA7AB7"/>
    <w:rsid w:val="00FA7C29"/>
    <w:rsid w:val="00FA7CDE"/>
    <w:rsid w:val="00FA7D16"/>
    <w:rsid w:val="00FB0008"/>
    <w:rsid w:val="00FB0409"/>
    <w:rsid w:val="00FB0478"/>
    <w:rsid w:val="00FB0670"/>
    <w:rsid w:val="00FB0AE3"/>
    <w:rsid w:val="00FB0C11"/>
    <w:rsid w:val="00FB0D52"/>
    <w:rsid w:val="00FB10AE"/>
    <w:rsid w:val="00FB112E"/>
    <w:rsid w:val="00FB155D"/>
    <w:rsid w:val="00FB15AE"/>
    <w:rsid w:val="00FB17A1"/>
    <w:rsid w:val="00FB17FC"/>
    <w:rsid w:val="00FB190E"/>
    <w:rsid w:val="00FB1A6B"/>
    <w:rsid w:val="00FB1BED"/>
    <w:rsid w:val="00FB1D67"/>
    <w:rsid w:val="00FB1D69"/>
    <w:rsid w:val="00FB1DA4"/>
    <w:rsid w:val="00FB1EE9"/>
    <w:rsid w:val="00FB216A"/>
    <w:rsid w:val="00FB2191"/>
    <w:rsid w:val="00FB25F4"/>
    <w:rsid w:val="00FB2970"/>
    <w:rsid w:val="00FB2AC0"/>
    <w:rsid w:val="00FB2B40"/>
    <w:rsid w:val="00FB2F49"/>
    <w:rsid w:val="00FB3211"/>
    <w:rsid w:val="00FB322D"/>
    <w:rsid w:val="00FB32E7"/>
    <w:rsid w:val="00FB35C7"/>
    <w:rsid w:val="00FB3E00"/>
    <w:rsid w:val="00FB3E30"/>
    <w:rsid w:val="00FB3E66"/>
    <w:rsid w:val="00FB3F39"/>
    <w:rsid w:val="00FB43CB"/>
    <w:rsid w:val="00FB480A"/>
    <w:rsid w:val="00FB4B5C"/>
    <w:rsid w:val="00FB5079"/>
    <w:rsid w:val="00FB5093"/>
    <w:rsid w:val="00FB5473"/>
    <w:rsid w:val="00FB5533"/>
    <w:rsid w:val="00FB570A"/>
    <w:rsid w:val="00FB5728"/>
    <w:rsid w:val="00FB57F8"/>
    <w:rsid w:val="00FB5C18"/>
    <w:rsid w:val="00FB5C37"/>
    <w:rsid w:val="00FB5D58"/>
    <w:rsid w:val="00FB5FD2"/>
    <w:rsid w:val="00FB6022"/>
    <w:rsid w:val="00FB6137"/>
    <w:rsid w:val="00FB61FB"/>
    <w:rsid w:val="00FB6305"/>
    <w:rsid w:val="00FB6681"/>
    <w:rsid w:val="00FB671B"/>
    <w:rsid w:val="00FB68E1"/>
    <w:rsid w:val="00FB6981"/>
    <w:rsid w:val="00FB69AA"/>
    <w:rsid w:val="00FB6ACD"/>
    <w:rsid w:val="00FB6B42"/>
    <w:rsid w:val="00FB6BEC"/>
    <w:rsid w:val="00FB7059"/>
    <w:rsid w:val="00FB7128"/>
    <w:rsid w:val="00FB71F1"/>
    <w:rsid w:val="00FB725B"/>
    <w:rsid w:val="00FB72EE"/>
    <w:rsid w:val="00FB7498"/>
    <w:rsid w:val="00FB75E5"/>
    <w:rsid w:val="00FB76BC"/>
    <w:rsid w:val="00FB7703"/>
    <w:rsid w:val="00FB7B3B"/>
    <w:rsid w:val="00FB7B77"/>
    <w:rsid w:val="00FB7BF6"/>
    <w:rsid w:val="00FB7DDD"/>
    <w:rsid w:val="00FB7E39"/>
    <w:rsid w:val="00FB7FEB"/>
    <w:rsid w:val="00FC0313"/>
    <w:rsid w:val="00FC03A0"/>
    <w:rsid w:val="00FC0461"/>
    <w:rsid w:val="00FC04EA"/>
    <w:rsid w:val="00FC0554"/>
    <w:rsid w:val="00FC0559"/>
    <w:rsid w:val="00FC084F"/>
    <w:rsid w:val="00FC0A14"/>
    <w:rsid w:val="00FC0B68"/>
    <w:rsid w:val="00FC0B99"/>
    <w:rsid w:val="00FC10B6"/>
    <w:rsid w:val="00FC1161"/>
    <w:rsid w:val="00FC125D"/>
    <w:rsid w:val="00FC14D4"/>
    <w:rsid w:val="00FC196D"/>
    <w:rsid w:val="00FC1EF0"/>
    <w:rsid w:val="00FC2149"/>
    <w:rsid w:val="00FC217A"/>
    <w:rsid w:val="00FC23F8"/>
    <w:rsid w:val="00FC2545"/>
    <w:rsid w:val="00FC2D5D"/>
    <w:rsid w:val="00FC302F"/>
    <w:rsid w:val="00FC3270"/>
    <w:rsid w:val="00FC343E"/>
    <w:rsid w:val="00FC3571"/>
    <w:rsid w:val="00FC366B"/>
    <w:rsid w:val="00FC3684"/>
    <w:rsid w:val="00FC37C3"/>
    <w:rsid w:val="00FC38FE"/>
    <w:rsid w:val="00FC3A76"/>
    <w:rsid w:val="00FC3AC1"/>
    <w:rsid w:val="00FC3D3C"/>
    <w:rsid w:val="00FC3DB0"/>
    <w:rsid w:val="00FC402A"/>
    <w:rsid w:val="00FC4377"/>
    <w:rsid w:val="00FC4587"/>
    <w:rsid w:val="00FC4675"/>
    <w:rsid w:val="00FC4819"/>
    <w:rsid w:val="00FC481E"/>
    <w:rsid w:val="00FC4B25"/>
    <w:rsid w:val="00FC4C7B"/>
    <w:rsid w:val="00FC4CCF"/>
    <w:rsid w:val="00FC4D9C"/>
    <w:rsid w:val="00FC4DAD"/>
    <w:rsid w:val="00FC4DE4"/>
    <w:rsid w:val="00FC4E99"/>
    <w:rsid w:val="00FC4EA0"/>
    <w:rsid w:val="00FC50A9"/>
    <w:rsid w:val="00FC50B9"/>
    <w:rsid w:val="00FC5119"/>
    <w:rsid w:val="00FC5252"/>
    <w:rsid w:val="00FC52E3"/>
    <w:rsid w:val="00FC5739"/>
    <w:rsid w:val="00FC57A7"/>
    <w:rsid w:val="00FC5929"/>
    <w:rsid w:val="00FC5A86"/>
    <w:rsid w:val="00FC5A8D"/>
    <w:rsid w:val="00FC5AE8"/>
    <w:rsid w:val="00FC5D42"/>
    <w:rsid w:val="00FC607C"/>
    <w:rsid w:val="00FC65E2"/>
    <w:rsid w:val="00FC6652"/>
    <w:rsid w:val="00FC6712"/>
    <w:rsid w:val="00FC6DF3"/>
    <w:rsid w:val="00FC6F2A"/>
    <w:rsid w:val="00FC6FAE"/>
    <w:rsid w:val="00FC71CB"/>
    <w:rsid w:val="00FC72E5"/>
    <w:rsid w:val="00FC7337"/>
    <w:rsid w:val="00FC77D7"/>
    <w:rsid w:val="00FC78F5"/>
    <w:rsid w:val="00FC7CAF"/>
    <w:rsid w:val="00FC7D3D"/>
    <w:rsid w:val="00FC7F05"/>
    <w:rsid w:val="00FD0050"/>
    <w:rsid w:val="00FD0121"/>
    <w:rsid w:val="00FD02EF"/>
    <w:rsid w:val="00FD0416"/>
    <w:rsid w:val="00FD05F4"/>
    <w:rsid w:val="00FD09D2"/>
    <w:rsid w:val="00FD0A74"/>
    <w:rsid w:val="00FD0B5C"/>
    <w:rsid w:val="00FD0B70"/>
    <w:rsid w:val="00FD0BBF"/>
    <w:rsid w:val="00FD0BE1"/>
    <w:rsid w:val="00FD0CC3"/>
    <w:rsid w:val="00FD10A2"/>
    <w:rsid w:val="00FD11BD"/>
    <w:rsid w:val="00FD11EB"/>
    <w:rsid w:val="00FD14CA"/>
    <w:rsid w:val="00FD153B"/>
    <w:rsid w:val="00FD15C0"/>
    <w:rsid w:val="00FD163D"/>
    <w:rsid w:val="00FD17D0"/>
    <w:rsid w:val="00FD1BC1"/>
    <w:rsid w:val="00FD1D9F"/>
    <w:rsid w:val="00FD1FD3"/>
    <w:rsid w:val="00FD1FFF"/>
    <w:rsid w:val="00FD2209"/>
    <w:rsid w:val="00FD2252"/>
    <w:rsid w:val="00FD231B"/>
    <w:rsid w:val="00FD2326"/>
    <w:rsid w:val="00FD253D"/>
    <w:rsid w:val="00FD2549"/>
    <w:rsid w:val="00FD27FF"/>
    <w:rsid w:val="00FD29E4"/>
    <w:rsid w:val="00FD2AC8"/>
    <w:rsid w:val="00FD2BD0"/>
    <w:rsid w:val="00FD2BDD"/>
    <w:rsid w:val="00FD2D26"/>
    <w:rsid w:val="00FD2EDA"/>
    <w:rsid w:val="00FD2FBB"/>
    <w:rsid w:val="00FD3070"/>
    <w:rsid w:val="00FD32B8"/>
    <w:rsid w:val="00FD3351"/>
    <w:rsid w:val="00FD376A"/>
    <w:rsid w:val="00FD3780"/>
    <w:rsid w:val="00FD3902"/>
    <w:rsid w:val="00FD3B16"/>
    <w:rsid w:val="00FD436A"/>
    <w:rsid w:val="00FD4387"/>
    <w:rsid w:val="00FD4469"/>
    <w:rsid w:val="00FD44D0"/>
    <w:rsid w:val="00FD4501"/>
    <w:rsid w:val="00FD4615"/>
    <w:rsid w:val="00FD4634"/>
    <w:rsid w:val="00FD4A03"/>
    <w:rsid w:val="00FD4AFD"/>
    <w:rsid w:val="00FD4C78"/>
    <w:rsid w:val="00FD4E96"/>
    <w:rsid w:val="00FD4F7D"/>
    <w:rsid w:val="00FD4FCA"/>
    <w:rsid w:val="00FD504F"/>
    <w:rsid w:val="00FD5490"/>
    <w:rsid w:val="00FD56EC"/>
    <w:rsid w:val="00FD584D"/>
    <w:rsid w:val="00FD5952"/>
    <w:rsid w:val="00FD5A77"/>
    <w:rsid w:val="00FD5A80"/>
    <w:rsid w:val="00FD5AEC"/>
    <w:rsid w:val="00FD5B45"/>
    <w:rsid w:val="00FD5B64"/>
    <w:rsid w:val="00FD5D28"/>
    <w:rsid w:val="00FD5DE5"/>
    <w:rsid w:val="00FD5E2D"/>
    <w:rsid w:val="00FD5E7F"/>
    <w:rsid w:val="00FD5F3D"/>
    <w:rsid w:val="00FD60C4"/>
    <w:rsid w:val="00FD611A"/>
    <w:rsid w:val="00FD6362"/>
    <w:rsid w:val="00FD63EA"/>
    <w:rsid w:val="00FD6407"/>
    <w:rsid w:val="00FD6552"/>
    <w:rsid w:val="00FD6686"/>
    <w:rsid w:val="00FD6812"/>
    <w:rsid w:val="00FD6832"/>
    <w:rsid w:val="00FD6AEA"/>
    <w:rsid w:val="00FD6B29"/>
    <w:rsid w:val="00FD6BE0"/>
    <w:rsid w:val="00FD6D84"/>
    <w:rsid w:val="00FD6EA7"/>
    <w:rsid w:val="00FD6EAE"/>
    <w:rsid w:val="00FD6FF5"/>
    <w:rsid w:val="00FD717A"/>
    <w:rsid w:val="00FD71E5"/>
    <w:rsid w:val="00FD724D"/>
    <w:rsid w:val="00FD73E2"/>
    <w:rsid w:val="00FD781D"/>
    <w:rsid w:val="00FD7A71"/>
    <w:rsid w:val="00FD7AA8"/>
    <w:rsid w:val="00FD7CEE"/>
    <w:rsid w:val="00FD7D3A"/>
    <w:rsid w:val="00FD7FF7"/>
    <w:rsid w:val="00FE0327"/>
    <w:rsid w:val="00FE0776"/>
    <w:rsid w:val="00FE0A1B"/>
    <w:rsid w:val="00FE0C4C"/>
    <w:rsid w:val="00FE10F1"/>
    <w:rsid w:val="00FE12C5"/>
    <w:rsid w:val="00FE150F"/>
    <w:rsid w:val="00FE16E5"/>
    <w:rsid w:val="00FE1922"/>
    <w:rsid w:val="00FE1B66"/>
    <w:rsid w:val="00FE1F8D"/>
    <w:rsid w:val="00FE2241"/>
    <w:rsid w:val="00FE2271"/>
    <w:rsid w:val="00FE2340"/>
    <w:rsid w:val="00FE2620"/>
    <w:rsid w:val="00FE2642"/>
    <w:rsid w:val="00FE2661"/>
    <w:rsid w:val="00FE27CB"/>
    <w:rsid w:val="00FE281E"/>
    <w:rsid w:val="00FE2990"/>
    <w:rsid w:val="00FE2B16"/>
    <w:rsid w:val="00FE2DFC"/>
    <w:rsid w:val="00FE2ED9"/>
    <w:rsid w:val="00FE2F8D"/>
    <w:rsid w:val="00FE3142"/>
    <w:rsid w:val="00FE3163"/>
    <w:rsid w:val="00FE31CF"/>
    <w:rsid w:val="00FE367E"/>
    <w:rsid w:val="00FE39D3"/>
    <w:rsid w:val="00FE3C2C"/>
    <w:rsid w:val="00FE3C30"/>
    <w:rsid w:val="00FE3CDD"/>
    <w:rsid w:val="00FE3CEE"/>
    <w:rsid w:val="00FE4070"/>
    <w:rsid w:val="00FE420A"/>
    <w:rsid w:val="00FE4317"/>
    <w:rsid w:val="00FE43B0"/>
    <w:rsid w:val="00FE4422"/>
    <w:rsid w:val="00FE4510"/>
    <w:rsid w:val="00FE4745"/>
    <w:rsid w:val="00FE4B42"/>
    <w:rsid w:val="00FE4BE4"/>
    <w:rsid w:val="00FE4C7C"/>
    <w:rsid w:val="00FE509A"/>
    <w:rsid w:val="00FE510E"/>
    <w:rsid w:val="00FE5137"/>
    <w:rsid w:val="00FE51FE"/>
    <w:rsid w:val="00FE5275"/>
    <w:rsid w:val="00FE53B0"/>
    <w:rsid w:val="00FE5587"/>
    <w:rsid w:val="00FE564D"/>
    <w:rsid w:val="00FE566A"/>
    <w:rsid w:val="00FE56DB"/>
    <w:rsid w:val="00FE5E43"/>
    <w:rsid w:val="00FE5ED8"/>
    <w:rsid w:val="00FE6071"/>
    <w:rsid w:val="00FE620F"/>
    <w:rsid w:val="00FE64A9"/>
    <w:rsid w:val="00FE65D8"/>
    <w:rsid w:val="00FE6680"/>
    <w:rsid w:val="00FE6A31"/>
    <w:rsid w:val="00FE6AED"/>
    <w:rsid w:val="00FE6E67"/>
    <w:rsid w:val="00FE7049"/>
    <w:rsid w:val="00FE728A"/>
    <w:rsid w:val="00FE74D2"/>
    <w:rsid w:val="00FE75D5"/>
    <w:rsid w:val="00FE7621"/>
    <w:rsid w:val="00FE763B"/>
    <w:rsid w:val="00FE76DA"/>
    <w:rsid w:val="00FE7859"/>
    <w:rsid w:val="00FE78F9"/>
    <w:rsid w:val="00FE7AD4"/>
    <w:rsid w:val="00FE7C15"/>
    <w:rsid w:val="00FE7C71"/>
    <w:rsid w:val="00FE7D20"/>
    <w:rsid w:val="00FE7DAE"/>
    <w:rsid w:val="00FE7EE5"/>
    <w:rsid w:val="00FE7F56"/>
    <w:rsid w:val="00FF00DB"/>
    <w:rsid w:val="00FF035D"/>
    <w:rsid w:val="00FF0374"/>
    <w:rsid w:val="00FF0811"/>
    <w:rsid w:val="00FF0C68"/>
    <w:rsid w:val="00FF1465"/>
    <w:rsid w:val="00FF157C"/>
    <w:rsid w:val="00FF1924"/>
    <w:rsid w:val="00FF1C12"/>
    <w:rsid w:val="00FF1C42"/>
    <w:rsid w:val="00FF1C5C"/>
    <w:rsid w:val="00FF1C8D"/>
    <w:rsid w:val="00FF1CBC"/>
    <w:rsid w:val="00FF1D61"/>
    <w:rsid w:val="00FF1E46"/>
    <w:rsid w:val="00FF1E48"/>
    <w:rsid w:val="00FF1FED"/>
    <w:rsid w:val="00FF20D4"/>
    <w:rsid w:val="00FF2160"/>
    <w:rsid w:val="00FF21F0"/>
    <w:rsid w:val="00FF23C3"/>
    <w:rsid w:val="00FF24FA"/>
    <w:rsid w:val="00FF2506"/>
    <w:rsid w:val="00FF27A3"/>
    <w:rsid w:val="00FF27AC"/>
    <w:rsid w:val="00FF2D05"/>
    <w:rsid w:val="00FF2F45"/>
    <w:rsid w:val="00FF3013"/>
    <w:rsid w:val="00FF301B"/>
    <w:rsid w:val="00FF3184"/>
    <w:rsid w:val="00FF3298"/>
    <w:rsid w:val="00FF3495"/>
    <w:rsid w:val="00FF350A"/>
    <w:rsid w:val="00FF353F"/>
    <w:rsid w:val="00FF36CB"/>
    <w:rsid w:val="00FF38FB"/>
    <w:rsid w:val="00FF391B"/>
    <w:rsid w:val="00FF3D57"/>
    <w:rsid w:val="00FF3EE6"/>
    <w:rsid w:val="00FF40F2"/>
    <w:rsid w:val="00FF41D6"/>
    <w:rsid w:val="00FF475E"/>
    <w:rsid w:val="00FF4777"/>
    <w:rsid w:val="00FF4827"/>
    <w:rsid w:val="00FF48D1"/>
    <w:rsid w:val="00FF4976"/>
    <w:rsid w:val="00FF49E7"/>
    <w:rsid w:val="00FF4CF7"/>
    <w:rsid w:val="00FF4D24"/>
    <w:rsid w:val="00FF4E5D"/>
    <w:rsid w:val="00FF4E7F"/>
    <w:rsid w:val="00FF4EE1"/>
    <w:rsid w:val="00FF51B1"/>
    <w:rsid w:val="00FF535E"/>
    <w:rsid w:val="00FF53E3"/>
    <w:rsid w:val="00FF578E"/>
    <w:rsid w:val="00FF579F"/>
    <w:rsid w:val="00FF59DE"/>
    <w:rsid w:val="00FF5B9C"/>
    <w:rsid w:val="00FF5C82"/>
    <w:rsid w:val="00FF5FDA"/>
    <w:rsid w:val="00FF5FF5"/>
    <w:rsid w:val="00FF61F5"/>
    <w:rsid w:val="00FF6291"/>
    <w:rsid w:val="00FF62C6"/>
    <w:rsid w:val="00FF650F"/>
    <w:rsid w:val="00FF656F"/>
    <w:rsid w:val="00FF659F"/>
    <w:rsid w:val="00FF66AA"/>
    <w:rsid w:val="00FF6936"/>
    <w:rsid w:val="00FF69DB"/>
    <w:rsid w:val="00FF6C0B"/>
    <w:rsid w:val="00FF7142"/>
    <w:rsid w:val="00FF7157"/>
    <w:rsid w:val="00FF7183"/>
    <w:rsid w:val="00FF71DC"/>
    <w:rsid w:val="00FF73AF"/>
    <w:rsid w:val="00FF746C"/>
    <w:rsid w:val="00FF74A7"/>
    <w:rsid w:val="00FF74BD"/>
    <w:rsid w:val="00FF7583"/>
    <w:rsid w:val="00FF76AF"/>
    <w:rsid w:val="00FF776C"/>
    <w:rsid w:val="00FF77B9"/>
    <w:rsid w:val="00FF78D0"/>
    <w:rsid w:val="00FF7925"/>
    <w:rsid w:val="00FF7965"/>
    <w:rsid w:val="00FF7A4D"/>
    <w:rsid w:val="00FF7C17"/>
    <w:rsid w:val="2380593C"/>
    <w:rsid w:val="3BACB336"/>
    <w:rsid w:val="439A4240"/>
    <w:rsid w:val="4A0B09C6"/>
  </w:rsids>
  <m:mathPr>
    <m:mathFont m:val="Cambria Math"/>
    <m:brkBin m:val="before"/>
    <m:brkBinSub m:val="--"/>
    <m:smallFrac m:val="0"/>
    <m:dispDef/>
    <m:lMargin m:val="0"/>
    <m:rMargin m:val="0"/>
    <m:defJc m:val="centerGroup"/>
    <m:wrapIndent m:val="1440"/>
    <m:intLim m:val="subSup"/>
    <m:naryLim m:val="undOvr"/>
  </m:mathPr>
  <w:themeFontLang w:val="es-CO"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57E992E0"/>
  <w15:docId w15:val="{ECA54506-5409-474F-99C4-E597791FD1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sz w:val="24"/>
        <w:szCs w:val="24"/>
        <w:lang w:val="es-CO"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17B2"/>
    <w:pPr>
      <w:overflowPunct w:val="0"/>
      <w:autoSpaceDE w:val="0"/>
      <w:autoSpaceDN w:val="0"/>
      <w:adjustRightInd w:val="0"/>
      <w:jc w:val="both"/>
      <w:textAlignment w:val="baseline"/>
    </w:pPr>
    <w:rPr>
      <w:rFonts w:ascii="Arial" w:hAnsi="Arial"/>
      <w:lang w:eastAsia="es-ES"/>
    </w:rPr>
  </w:style>
  <w:style w:type="paragraph" w:styleId="Ttulo1">
    <w:name w:val="heading 1"/>
    <w:basedOn w:val="Prrafodelista"/>
    <w:next w:val="Normal"/>
    <w:link w:val="Ttulo1Car"/>
    <w:uiPriority w:val="9"/>
    <w:qFormat/>
    <w:rsid w:val="008A3846"/>
    <w:pPr>
      <w:ind w:left="0"/>
      <w:jc w:val="center"/>
      <w:outlineLvl w:val="0"/>
    </w:pPr>
    <w:rPr>
      <w:rFonts w:cs="Arial"/>
      <w:b/>
    </w:rPr>
  </w:style>
  <w:style w:type="paragraph" w:styleId="Ttulo2">
    <w:name w:val="heading 2"/>
    <w:basedOn w:val="Prrafodelista"/>
    <w:next w:val="Normal"/>
    <w:link w:val="Ttulo2Car"/>
    <w:uiPriority w:val="9"/>
    <w:qFormat/>
    <w:rsid w:val="00FE6680"/>
    <w:pPr>
      <w:numPr>
        <w:ilvl w:val="1"/>
        <w:numId w:val="2"/>
      </w:numPr>
      <w:tabs>
        <w:tab w:val="left" w:pos="-2268"/>
      </w:tabs>
      <w:suppressAutoHyphens/>
      <w:outlineLvl w:val="1"/>
    </w:pPr>
    <w:rPr>
      <w:b/>
    </w:rPr>
  </w:style>
  <w:style w:type="paragraph" w:styleId="Ttulo3">
    <w:name w:val="heading 3"/>
    <w:basedOn w:val="Prrafodelista"/>
    <w:next w:val="Normal"/>
    <w:link w:val="Ttulo3Car"/>
    <w:autoRedefine/>
    <w:uiPriority w:val="9"/>
    <w:qFormat/>
    <w:rsid w:val="00216955"/>
    <w:pPr>
      <w:numPr>
        <w:ilvl w:val="2"/>
        <w:numId w:val="2"/>
      </w:numPr>
      <w:tabs>
        <w:tab w:val="clear" w:pos="1276"/>
        <w:tab w:val="num" w:pos="851"/>
      </w:tabs>
      <w:ind w:left="851" w:hanging="851"/>
      <w:outlineLvl w:val="2"/>
    </w:pPr>
    <w:rPr>
      <w:rFonts w:cs="Arial"/>
      <w:b/>
      <w:u w:val="single"/>
    </w:rPr>
  </w:style>
  <w:style w:type="paragraph" w:styleId="Ttulo4">
    <w:name w:val="heading 4"/>
    <w:aliases w:val="Título 4 mew"/>
    <w:basedOn w:val="Prrafodelista"/>
    <w:next w:val="Normal"/>
    <w:link w:val="Ttulo4Car"/>
    <w:uiPriority w:val="9"/>
    <w:qFormat/>
    <w:rsid w:val="00935D1F"/>
    <w:pPr>
      <w:numPr>
        <w:ilvl w:val="3"/>
        <w:numId w:val="2"/>
      </w:numPr>
      <w:outlineLvl w:val="3"/>
    </w:pPr>
    <w:rPr>
      <w:rFonts w:cs="Arial"/>
      <w:b/>
    </w:rPr>
  </w:style>
  <w:style w:type="paragraph" w:styleId="Ttulo5">
    <w:name w:val="heading 5"/>
    <w:basedOn w:val="Ttulo4"/>
    <w:next w:val="Normal"/>
    <w:link w:val="Ttulo5Car"/>
    <w:uiPriority w:val="9"/>
    <w:qFormat/>
    <w:rsid w:val="00FE6680"/>
    <w:pPr>
      <w:numPr>
        <w:ilvl w:val="4"/>
      </w:numPr>
      <w:outlineLvl w:val="4"/>
    </w:pPr>
    <w:rPr>
      <w:i/>
    </w:rPr>
  </w:style>
  <w:style w:type="paragraph" w:styleId="Ttulo6">
    <w:name w:val="heading 6"/>
    <w:basedOn w:val="Ttulo4"/>
    <w:next w:val="Normal"/>
    <w:link w:val="Ttulo6Car"/>
    <w:uiPriority w:val="9"/>
    <w:unhideWhenUsed/>
    <w:qFormat/>
    <w:rsid w:val="00FE6680"/>
    <w:pPr>
      <w:numPr>
        <w:ilvl w:val="5"/>
      </w:numPr>
      <w:outlineLvl w:val="5"/>
    </w:pPr>
    <w:rPr>
      <w:b w:val="0"/>
      <w:i/>
    </w:rPr>
  </w:style>
  <w:style w:type="paragraph" w:styleId="Ttulo7">
    <w:name w:val="heading 7"/>
    <w:basedOn w:val="Normal"/>
    <w:next w:val="Normal"/>
    <w:link w:val="Ttulo7Car"/>
    <w:uiPriority w:val="9"/>
    <w:semiHidden/>
    <w:unhideWhenUsed/>
    <w:qFormat/>
    <w:rsid w:val="000F2600"/>
    <w:pPr>
      <w:keepNext/>
      <w:keepLines/>
      <w:spacing w:before="200"/>
      <w:ind w:left="1296" w:hanging="1296"/>
      <w:outlineLvl w:val="6"/>
    </w:pPr>
    <w:rPr>
      <w:rFonts w:asciiTheme="majorHAnsi" w:eastAsiaTheme="majorEastAsia" w:hAnsiTheme="majorHAnsi" w:cstheme="majorBidi"/>
      <w:i/>
      <w:iCs/>
      <w:color w:val="404040" w:themeColor="text1" w:themeTint="BF"/>
      <w:szCs w:val="20"/>
    </w:rPr>
  </w:style>
  <w:style w:type="paragraph" w:styleId="Ttulo8">
    <w:name w:val="heading 8"/>
    <w:basedOn w:val="Normal"/>
    <w:next w:val="Normal"/>
    <w:link w:val="Ttulo8Car"/>
    <w:uiPriority w:val="9"/>
    <w:qFormat/>
    <w:rsid w:val="004C45FD"/>
    <w:pPr>
      <w:spacing w:before="240" w:after="60"/>
      <w:outlineLvl w:val="7"/>
    </w:pPr>
    <w:rPr>
      <w:i/>
      <w:iCs/>
    </w:rPr>
  </w:style>
  <w:style w:type="paragraph" w:styleId="Ttulo9">
    <w:name w:val="heading 9"/>
    <w:basedOn w:val="Normal"/>
    <w:next w:val="Normal"/>
    <w:link w:val="Ttulo9Car"/>
    <w:uiPriority w:val="9"/>
    <w:semiHidden/>
    <w:unhideWhenUsed/>
    <w:qFormat/>
    <w:rsid w:val="000F2600"/>
    <w:pPr>
      <w:keepNext/>
      <w:keepLines/>
      <w:spacing w:before="200"/>
      <w:ind w:left="1584" w:hanging="1584"/>
      <w:outlineLvl w:val="8"/>
    </w:pPr>
    <w:rPr>
      <w:rFonts w:asciiTheme="majorHAnsi" w:eastAsiaTheme="majorEastAsia" w:hAnsiTheme="majorHAnsi" w:cstheme="majorBidi"/>
      <w:i/>
      <w:iCs/>
      <w:color w:val="404040" w:themeColor="text1" w:themeTint="BF"/>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Refdenotaalpie">
    <w:name w:val="footnote reference"/>
    <w:aliases w:val="Texto nota al pie,Nota de pie,referencia nota al pie,Ref. de nota al pieREF1,Ref. de nota al pie2,Footnote symbol,Footnote,FC,Texto de nota al pie,BVI fnr,Ref,de nota al pie,Pie de pagina,Appel note de bas de p,Style 24"/>
    <w:uiPriority w:val="99"/>
    <w:qFormat/>
    <w:rsid w:val="008F6EB7"/>
    <w:rPr>
      <w:rFonts w:ascii="Arial" w:hAnsi="Arial"/>
      <w:noProof w:val="0"/>
      <w:sz w:val="24"/>
      <w:vertAlign w:val="superscript"/>
      <w:lang w:val="en-US"/>
    </w:rPr>
  </w:style>
  <w:style w:type="character" w:customStyle="1" w:styleId="Fuentedeencabezadopredeter">
    <w:name w:val="Fuente de encabezado predeter."/>
    <w:rsid w:val="008F6EB7"/>
  </w:style>
  <w:style w:type="paragraph" w:styleId="Piedepgina">
    <w:name w:val="footer"/>
    <w:basedOn w:val="Normal"/>
    <w:link w:val="PiedepginaCar"/>
    <w:uiPriority w:val="99"/>
    <w:rsid w:val="004C45FD"/>
    <w:pPr>
      <w:tabs>
        <w:tab w:val="center" w:pos="4419"/>
        <w:tab w:val="right" w:pos="8838"/>
      </w:tabs>
    </w:pPr>
  </w:style>
  <w:style w:type="paragraph" w:styleId="Encabezado">
    <w:name w:val="header"/>
    <w:aliases w:val="Encabezado1,encabezado,Encabezado Car Car Car Car Car,Encabezado Car Car Car,Encabezado Car Car Car Car,Encabezado Car Car,Tabla6"/>
    <w:basedOn w:val="Normal"/>
    <w:link w:val="EncabezadoCar"/>
    <w:uiPriority w:val="99"/>
    <w:rsid w:val="004C45FD"/>
    <w:pPr>
      <w:tabs>
        <w:tab w:val="center" w:pos="4252"/>
        <w:tab w:val="right" w:pos="8504"/>
      </w:tabs>
    </w:pPr>
  </w:style>
  <w:style w:type="character" w:styleId="Nmerodepgina">
    <w:name w:val="page number"/>
    <w:basedOn w:val="Fuentedeprrafopredeter"/>
    <w:rsid w:val="008F6EB7"/>
  </w:style>
  <w:style w:type="paragraph" w:styleId="Sangra2detindependiente">
    <w:name w:val="Body Text Indent 2"/>
    <w:basedOn w:val="Normal"/>
    <w:rsid w:val="00754F03"/>
    <w:pPr>
      <w:overflowPunct/>
      <w:ind w:left="1134"/>
      <w:textAlignment w:val="auto"/>
    </w:pPr>
    <w:rPr>
      <w:rFonts w:ascii="Arial Narrow" w:hAnsi="Arial Narrow"/>
      <w:color w:val="000000"/>
      <w:sz w:val="18"/>
      <w:szCs w:val="18"/>
    </w:rPr>
  </w:style>
  <w:style w:type="paragraph" w:styleId="Textodeglobo">
    <w:name w:val="Balloon Text"/>
    <w:basedOn w:val="Normal"/>
    <w:link w:val="TextodegloboCar"/>
    <w:uiPriority w:val="99"/>
    <w:semiHidden/>
    <w:rsid w:val="004C45FD"/>
    <w:rPr>
      <w:rFonts w:ascii="Tahoma" w:hAnsi="Tahoma" w:cs="Tahoma"/>
      <w:sz w:val="16"/>
      <w:szCs w:val="16"/>
    </w:rPr>
  </w:style>
  <w:style w:type="paragraph" w:styleId="NormalWeb">
    <w:name w:val="Normal (Web)"/>
    <w:basedOn w:val="Normal"/>
    <w:uiPriority w:val="99"/>
    <w:rsid w:val="004C45FD"/>
    <w:pPr>
      <w:overflowPunct/>
      <w:autoSpaceDE/>
      <w:autoSpaceDN/>
      <w:adjustRightInd/>
      <w:spacing w:before="100" w:after="100"/>
      <w:textAlignment w:val="auto"/>
    </w:pPr>
    <w:rPr>
      <w:color w:val="000000"/>
    </w:rPr>
  </w:style>
  <w:style w:type="paragraph" w:styleId="Mapadeldocumento">
    <w:name w:val="Document Map"/>
    <w:basedOn w:val="Normal"/>
    <w:link w:val="MapadeldocumentoCar"/>
    <w:uiPriority w:val="99"/>
    <w:semiHidden/>
    <w:rsid w:val="004C45FD"/>
    <w:pPr>
      <w:shd w:val="clear" w:color="auto" w:fill="000080"/>
    </w:pPr>
    <w:rPr>
      <w:rFonts w:ascii="Tahoma" w:hAnsi="Tahoma" w:cs="Tahoma"/>
    </w:rPr>
  </w:style>
  <w:style w:type="paragraph" w:styleId="Ttulo">
    <w:name w:val="Title"/>
    <w:basedOn w:val="Normal"/>
    <w:link w:val="TtuloCar"/>
    <w:uiPriority w:val="10"/>
    <w:qFormat/>
    <w:rsid w:val="00EB6C82"/>
    <w:pPr>
      <w:spacing w:before="240" w:after="60"/>
      <w:jc w:val="center"/>
      <w:outlineLvl w:val="0"/>
    </w:pPr>
    <w:rPr>
      <w:rFonts w:cs="Arial"/>
      <w:b/>
      <w:bCs/>
      <w:kern w:val="28"/>
      <w:sz w:val="32"/>
      <w:szCs w:val="32"/>
    </w:rPr>
  </w:style>
  <w:style w:type="character" w:customStyle="1" w:styleId="textofondoazul1">
    <w:name w:val="textofondoazul1"/>
    <w:rsid w:val="001253C0"/>
    <w:rPr>
      <w:rFonts w:ascii="Geneva" w:hAnsi="Geneva" w:hint="default"/>
      <w:color w:val="FFFFFF"/>
      <w:sz w:val="18"/>
      <w:szCs w:val="18"/>
    </w:rPr>
  </w:style>
  <w:style w:type="paragraph" w:styleId="Textonotapie">
    <w:name w:val="footnote text"/>
    <w:aliases w:val="Car1,Texto nota pie Car Car Car Car Car Car Car Car,Texto nota pie Car Car Car Car Car,Texto nota pie Car Car Car Car,ft Car,Texto nota pie Car Car Car Car Car Car Car Car Car,Texto nota pie Car Car Car Car Car Car Car,ft,FA Fu,Car4, Car1"/>
    <w:basedOn w:val="Normal"/>
    <w:link w:val="TextonotapieCar"/>
    <w:qFormat/>
    <w:rsid w:val="005E288B"/>
    <w:pPr>
      <w:overflowPunct/>
      <w:autoSpaceDE/>
      <w:autoSpaceDN/>
      <w:adjustRightInd/>
      <w:textAlignment w:val="auto"/>
    </w:pPr>
    <w:rPr>
      <w:sz w:val="20"/>
      <w:lang w:val="es-ES_tradnl"/>
    </w:rPr>
  </w:style>
  <w:style w:type="table" w:styleId="Tablaconcuadrcula">
    <w:name w:val="Table Grid"/>
    <w:aliases w:val="SGI,Tabla GEOCOL,sin cuadricula"/>
    <w:basedOn w:val="Tablanormal"/>
    <w:uiPriority w:val="39"/>
    <w:qFormat/>
    <w:rsid w:val="001253C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DC1">
    <w:name w:val="toc 1"/>
    <w:basedOn w:val="Normal"/>
    <w:next w:val="Normal"/>
    <w:autoRedefine/>
    <w:uiPriority w:val="39"/>
    <w:rsid w:val="007B3017"/>
    <w:pPr>
      <w:tabs>
        <w:tab w:val="right" w:leader="dot" w:pos="9397"/>
      </w:tabs>
      <w:spacing w:before="240"/>
      <w:ind w:left="709" w:right="567" w:hanging="709"/>
    </w:pPr>
    <w:rPr>
      <w:rFonts w:cs="Arial"/>
      <w:b/>
      <w:bCs/>
      <w:caps/>
      <w:noProof/>
    </w:rPr>
  </w:style>
  <w:style w:type="paragraph" w:styleId="TDC2">
    <w:name w:val="toc 2"/>
    <w:basedOn w:val="Normal"/>
    <w:next w:val="Normal"/>
    <w:autoRedefine/>
    <w:uiPriority w:val="39"/>
    <w:rsid w:val="007B3017"/>
    <w:pPr>
      <w:tabs>
        <w:tab w:val="right" w:leader="dot" w:pos="9397"/>
      </w:tabs>
      <w:spacing w:before="120"/>
      <w:ind w:left="879" w:right="567" w:hanging="709"/>
    </w:pPr>
    <w:rPr>
      <w:b/>
      <w:caps/>
      <w:szCs w:val="20"/>
    </w:rPr>
  </w:style>
  <w:style w:type="paragraph" w:styleId="TDC3">
    <w:name w:val="toc 3"/>
    <w:basedOn w:val="Normal"/>
    <w:next w:val="Normal"/>
    <w:autoRedefine/>
    <w:uiPriority w:val="39"/>
    <w:rsid w:val="007B3017"/>
    <w:pPr>
      <w:tabs>
        <w:tab w:val="right" w:leader="dot" w:pos="9397"/>
      </w:tabs>
      <w:ind w:left="879" w:right="567" w:hanging="709"/>
    </w:pPr>
    <w:rPr>
      <w:iCs/>
      <w:caps/>
      <w:szCs w:val="20"/>
    </w:rPr>
  </w:style>
  <w:style w:type="character" w:styleId="Hipervnculo">
    <w:name w:val="Hyperlink"/>
    <w:uiPriority w:val="99"/>
    <w:rsid w:val="00BA66FF"/>
    <w:rPr>
      <w:color w:val="0000FF"/>
      <w:u w:val="single"/>
    </w:rPr>
  </w:style>
  <w:style w:type="paragraph" w:styleId="TDC4">
    <w:name w:val="toc 4"/>
    <w:basedOn w:val="Normal"/>
    <w:next w:val="Normal"/>
    <w:autoRedefine/>
    <w:uiPriority w:val="39"/>
    <w:rsid w:val="004C45FD"/>
    <w:pPr>
      <w:tabs>
        <w:tab w:val="right" w:leader="dot" w:pos="9395"/>
      </w:tabs>
      <w:ind w:left="993" w:hanging="709"/>
    </w:pPr>
    <w:rPr>
      <w:caps/>
      <w:szCs w:val="18"/>
    </w:rPr>
  </w:style>
  <w:style w:type="paragraph" w:styleId="Textoindependiente">
    <w:name w:val="Body Text"/>
    <w:aliases w:val="Subsection Body Text"/>
    <w:basedOn w:val="Normal"/>
    <w:link w:val="TextoindependienteCar"/>
    <w:rsid w:val="004C45FD"/>
    <w:pPr>
      <w:spacing w:after="120"/>
    </w:pPr>
  </w:style>
  <w:style w:type="paragraph" w:styleId="Textoindependiente3">
    <w:name w:val="Body Text 3"/>
    <w:basedOn w:val="Normal"/>
    <w:rsid w:val="004C45FD"/>
    <w:pPr>
      <w:overflowPunct/>
      <w:autoSpaceDE/>
      <w:autoSpaceDN/>
      <w:adjustRightInd/>
      <w:spacing w:after="120"/>
      <w:textAlignment w:val="auto"/>
    </w:pPr>
    <w:rPr>
      <w:sz w:val="16"/>
      <w:szCs w:val="16"/>
    </w:rPr>
  </w:style>
  <w:style w:type="paragraph" w:customStyle="1" w:styleId="BodyText31">
    <w:name w:val="Body Text 31"/>
    <w:basedOn w:val="Normal"/>
    <w:rsid w:val="0093367D"/>
    <w:pPr>
      <w:widowControl w:val="0"/>
      <w:tabs>
        <w:tab w:val="left" w:pos="720"/>
      </w:tabs>
    </w:pPr>
    <w:rPr>
      <w:sz w:val="22"/>
    </w:rPr>
  </w:style>
  <w:style w:type="paragraph" w:styleId="Textoindependiente2">
    <w:name w:val="Body Text 2"/>
    <w:basedOn w:val="Normal"/>
    <w:rsid w:val="004C45FD"/>
    <w:pPr>
      <w:overflowPunct/>
      <w:autoSpaceDE/>
      <w:autoSpaceDN/>
      <w:adjustRightInd/>
      <w:spacing w:after="120" w:line="480" w:lineRule="auto"/>
      <w:textAlignment w:val="auto"/>
    </w:pPr>
  </w:style>
  <w:style w:type="paragraph" w:customStyle="1" w:styleId="marthacle">
    <w:name w:val="martha cle"/>
    <w:basedOn w:val="Normal"/>
    <w:rsid w:val="00B01E59"/>
    <w:pPr>
      <w:overflowPunct/>
      <w:autoSpaceDE/>
      <w:autoSpaceDN/>
      <w:adjustRightInd/>
      <w:ind w:left="840" w:hanging="840"/>
      <w:textAlignment w:val="auto"/>
    </w:pPr>
    <w:rPr>
      <w:b/>
    </w:rPr>
  </w:style>
  <w:style w:type="paragraph" w:styleId="TDC5">
    <w:name w:val="toc 5"/>
    <w:basedOn w:val="Normal"/>
    <w:next w:val="Normal"/>
    <w:autoRedefine/>
    <w:uiPriority w:val="39"/>
    <w:rsid w:val="004C45FD"/>
    <w:pPr>
      <w:ind w:left="960"/>
    </w:pPr>
    <w:rPr>
      <w:rFonts w:asciiTheme="minorHAnsi" w:hAnsiTheme="minorHAnsi"/>
      <w:sz w:val="18"/>
      <w:szCs w:val="18"/>
    </w:rPr>
  </w:style>
  <w:style w:type="paragraph" w:styleId="TDC6">
    <w:name w:val="toc 6"/>
    <w:basedOn w:val="Normal"/>
    <w:next w:val="Normal"/>
    <w:autoRedefine/>
    <w:uiPriority w:val="39"/>
    <w:rsid w:val="004C45FD"/>
    <w:pPr>
      <w:ind w:left="1200"/>
    </w:pPr>
    <w:rPr>
      <w:rFonts w:asciiTheme="minorHAnsi" w:hAnsiTheme="minorHAnsi"/>
      <w:sz w:val="18"/>
      <w:szCs w:val="18"/>
    </w:rPr>
  </w:style>
  <w:style w:type="paragraph" w:styleId="TDC7">
    <w:name w:val="toc 7"/>
    <w:basedOn w:val="Normal"/>
    <w:next w:val="Normal"/>
    <w:autoRedefine/>
    <w:uiPriority w:val="39"/>
    <w:rsid w:val="004C45FD"/>
    <w:pPr>
      <w:ind w:left="1440"/>
    </w:pPr>
    <w:rPr>
      <w:rFonts w:asciiTheme="minorHAnsi" w:hAnsiTheme="minorHAnsi"/>
      <w:sz w:val="18"/>
      <w:szCs w:val="18"/>
    </w:rPr>
  </w:style>
  <w:style w:type="paragraph" w:styleId="TDC8">
    <w:name w:val="toc 8"/>
    <w:basedOn w:val="Normal"/>
    <w:next w:val="Normal"/>
    <w:autoRedefine/>
    <w:uiPriority w:val="39"/>
    <w:rsid w:val="004C45FD"/>
    <w:pPr>
      <w:ind w:left="1680"/>
    </w:pPr>
    <w:rPr>
      <w:rFonts w:asciiTheme="minorHAnsi" w:hAnsiTheme="minorHAnsi"/>
      <w:sz w:val="18"/>
      <w:szCs w:val="18"/>
    </w:rPr>
  </w:style>
  <w:style w:type="paragraph" w:styleId="TDC9">
    <w:name w:val="toc 9"/>
    <w:basedOn w:val="Normal"/>
    <w:next w:val="Normal"/>
    <w:autoRedefine/>
    <w:uiPriority w:val="39"/>
    <w:rsid w:val="004C45FD"/>
    <w:pPr>
      <w:ind w:left="1920"/>
    </w:pPr>
    <w:rPr>
      <w:rFonts w:asciiTheme="minorHAnsi" w:hAnsiTheme="minorHAnsi"/>
      <w:sz w:val="18"/>
      <w:szCs w:val="18"/>
    </w:rPr>
  </w:style>
  <w:style w:type="character" w:styleId="Refdecomentario">
    <w:name w:val="annotation reference"/>
    <w:uiPriority w:val="99"/>
    <w:rsid w:val="00026A2E"/>
    <w:rPr>
      <w:sz w:val="16"/>
      <w:szCs w:val="16"/>
    </w:rPr>
  </w:style>
  <w:style w:type="paragraph" w:styleId="Textocomentario">
    <w:name w:val="annotation text"/>
    <w:basedOn w:val="Normal"/>
    <w:link w:val="TextocomentarioCar"/>
    <w:uiPriority w:val="99"/>
    <w:rsid w:val="004C45FD"/>
  </w:style>
  <w:style w:type="paragraph" w:styleId="Asuntodelcomentario">
    <w:name w:val="annotation subject"/>
    <w:basedOn w:val="Textocomentario"/>
    <w:next w:val="Textocomentario"/>
    <w:link w:val="AsuntodelcomentarioCar"/>
    <w:uiPriority w:val="99"/>
    <w:semiHidden/>
    <w:rsid w:val="004C45FD"/>
    <w:rPr>
      <w:b/>
      <w:bCs/>
    </w:rPr>
  </w:style>
  <w:style w:type="character" w:customStyle="1" w:styleId="textoplano1">
    <w:name w:val="texto_plano1"/>
    <w:rsid w:val="00E84D78"/>
    <w:rPr>
      <w:rFonts w:ascii="Verdana" w:hAnsi="Verdana" w:hint="default"/>
      <w:b w:val="0"/>
      <w:bCs w:val="0"/>
      <w:color w:val="666666"/>
      <w:sz w:val="18"/>
      <w:szCs w:val="18"/>
    </w:rPr>
  </w:style>
  <w:style w:type="paragraph" w:styleId="Revisin">
    <w:name w:val="Revision"/>
    <w:hidden/>
    <w:rsid w:val="00C51702"/>
    <w:rPr>
      <w:lang w:val="es-ES" w:eastAsia="es-ES"/>
    </w:rPr>
  </w:style>
  <w:style w:type="paragraph" w:styleId="Sangradetextonormal">
    <w:name w:val="Body Text Indent"/>
    <w:basedOn w:val="Normal"/>
    <w:link w:val="SangradetextonormalCar"/>
    <w:rsid w:val="004C45FD"/>
    <w:pPr>
      <w:overflowPunct/>
      <w:autoSpaceDE/>
      <w:autoSpaceDN/>
      <w:adjustRightInd/>
      <w:spacing w:after="120"/>
      <w:ind w:left="283"/>
      <w:textAlignment w:val="auto"/>
    </w:pPr>
  </w:style>
  <w:style w:type="character" w:customStyle="1" w:styleId="SangradetextonormalCar">
    <w:name w:val="Sangría de texto normal Car"/>
    <w:link w:val="Sangradetextonormal"/>
    <w:rsid w:val="006B2920"/>
    <w:rPr>
      <w:rFonts w:ascii="Arial" w:hAnsi="Arial"/>
      <w:lang w:val="es-ES" w:eastAsia="es-ES"/>
    </w:rPr>
  </w:style>
  <w:style w:type="paragraph" w:styleId="Lista">
    <w:name w:val="List"/>
    <w:basedOn w:val="Normal"/>
    <w:rsid w:val="002E699A"/>
    <w:pPr>
      <w:widowControl w:val="0"/>
      <w:overflowPunct/>
      <w:adjustRightInd/>
      <w:ind w:left="360" w:hanging="360"/>
      <w:textAlignment w:val="auto"/>
    </w:pPr>
  </w:style>
  <w:style w:type="character" w:customStyle="1" w:styleId="EncabezadoCar">
    <w:name w:val="Encabezado Car"/>
    <w:aliases w:val="Encabezado1 Car,encabezado Car,Encabezado Car Car Car Car Car Car,Encabezado Car Car Car Car1,Encabezado Car Car Car Car Car1,Encabezado Car Car Car1,Tabla6 Car"/>
    <w:link w:val="Encabezado"/>
    <w:uiPriority w:val="99"/>
    <w:rsid w:val="00CC6809"/>
    <w:rPr>
      <w:rFonts w:ascii="Arial" w:hAnsi="Arial"/>
      <w:lang w:val="es-ES" w:eastAsia="es-ES"/>
    </w:rPr>
  </w:style>
  <w:style w:type="paragraph" w:styleId="Prrafodelista">
    <w:name w:val="List Paragraph"/>
    <w:aliases w:val="HOJA,Lista vistosa - Énfasis 11,Bolita,Lista vistosa - Énfasis 111,Párrafo de lista3,Párrafo de lista4,Párrafo de lista5,Ha,titulo 3,Referencia,Guia 1,BOLA,Párrafo de lista21,Guión,Titulo 8,Párrafo de lista6,Colorful List - Accent 11,T2"/>
    <w:basedOn w:val="Normal"/>
    <w:link w:val="PrrafodelistaCar"/>
    <w:uiPriority w:val="34"/>
    <w:qFormat/>
    <w:rsid w:val="004C45FD"/>
    <w:pPr>
      <w:overflowPunct/>
      <w:autoSpaceDE/>
      <w:autoSpaceDN/>
      <w:adjustRightInd/>
      <w:ind w:left="708"/>
      <w:textAlignment w:val="auto"/>
    </w:pPr>
    <w:rPr>
      <w:lang w:val="es-ES_tradnl"/>
    </w:rPr>
  </w:style>
  <w:style w:type="character" w:customStyle="1" w:styleId="TextonotapieCar">
    <w:name w:val="Texto nota pie Car"/>
    <w:aliases w:val="Car1 Car,Texto nota pie Car Car Car Car Car Car Car Car Car1,Texto nota pie Car Car Car Car Car Car,Texto nota pie Car Car Car Car Car1,ft Car Car,Texto nota pie Car Car Car Car Car Car Car Car Car Car,ft Car1,FA Fu Car,Car4 Car"/>
    <w:link w:val="Textonotapie"/>
    <w:rsid w:val="005E288B"/>
    <w:rPr>
      <w:rFonts w:ascii="Arial" w:hAnsi="Arial"/>
      <w:sz w:val="20"/>
      <w:lang w:val="es-ES_tradnl" w:eastAsia="es-ES"/>
    </w:rPr>
  </w:style>
  <w:style w:type="paragraph" w:customStyle="1" w:styleId="EstiloEpgrafeJustificado3">
    <w:name w:val="Estilo Epígrafe + Justificado3"/>
    <w:basedOn w:val="Descripcin"/>
    <w:autoRedefine/>
    <w:uiPriority w:val="99"/>
    <w:rsid w:val="004C45FD"/>
    <w:pPr>
      <w:numPr>
        <w:numId w:val="1"/>
      </w:numPr>
      <w:overflowPunct/>
      <w:autoSpaceDE/>
      <w:autoSpaceDN/>
      <w:adjustRightInd/>
      <w:spacing w:before="120"/>
      <w:textAlignment w:val="auto"/>
    </w:pPr>
    <w:rPr>
      <w:b w:val="0"/>
    </w:rPr>
  </w:style>
  <w:style w:type="paragraph" w:styleId="Descripcin">
    <w:name w:val="caption"/>
    <w:aliases w:val="Car,Epígrafe Car Car,Car Car Car Car Car, Car Car Car Car Car,Epígrafe Tabla,A, Car Car, Car Car Car Car1, Car Car Car,Título tabla/gráfica,Título tabla/gráfica1,Título tabla/gráfica2,Título tabla/gráfica3,Título tabla/gráfica4,Car Car Car"/>
    <w:basedOn w:val="Normal"/>
    <w:next w:val="Normal"/>
    <w:link w:val="DescripcinCar"/>
    <w:uiPriority w:val="35"/>
    <w:unhideWhenUsed/>
    <w:qFormat/>
    <w:rsid w:val="004C45FD"/>
    <w:rPr>
      <w:b/>
      <w:bCs/>
    </w:rPr>
  </w:style>
  <w:style w:type="paragraph" w:styleId="TtuloTDC">
    <w:name w:val="TOC Heading"/>
    <w:basedOn w:val="Ttulo1"/>
    <w:next w:val="Normal"/>
    <w:uiPriority w:val="39"/>
    <w:unhideWhenUsed/>
    <w:qFormat/>
    <w:rsid w:val="00AD0E89"/>
    <w:pPr>
      <w:keepLines/>
      <w:spacing w:before="480" w:line="276" w:lineRule="auto"/>
      <w:outlineLvl w:val="9"/>
    </w:pPr>
    <w:rPr>
      <w:rFonts w:ascii="Cambria" w:hAnsi="Cambria"/>
      <w:b w:val="0"/>
      <w:bCs/>
      <w:color w:val="365F91"/>
      <w:sz w:val="28"/>
      <w:szCs w:val="28"/>
      <w:lang w:eastAsia="en-US"/>
    </w:rPr>
  </w:style>
  <w:style w:type="paragraph" w:customStyle="1" w:styleId="EstiloEpgrafeJustificado2">
    <w:name w:val="Estilo Epígrafe + Justificado2"/>
    <w:basedOn w:val="Descripcin"/>
    <w:uiPriority w:val="99"/>
    <w:rsid w:val="004C45FD"/>
    <w:pPr>
      <w:overflowPunct/>
      <w:autoSpaceDE/>
      <w:autoSpaceDN/>
      <w:adjustRightInd/>
      <w:textAlignment w:val="auto"/>
    </w:pPr>
    <w:rPr>
      <w:b w:val="0"/>
    </w:rPr>
  </w:style>
  <w:style w:type="character" w:customStyle="1" w:styleId="PrrafodelistaCar">
    <w:name w:val="Párrafo de lista Car"/>
    <w:aliases w:val="HOJA Car,Lista vistosa - Énfasis 11 Car,Bolita Car,Lista vistosa - Énfasis 111 Car,Párrafo de lista3 Car,Párrafo de lista4 Car,Párrafo de lista5 Car,Ha Car,titulo 3 Car,Referencia Car,Guia 1 Car,BOLA Car,Párrafo de lista21 Car"/>
    <w:link w:val="Prrafodelista"/>
    <w:uiPriority w:val="34"/>
    <w:qFormat/>
    <w:rsid w:val="007A323E"/>
    <w:rPr>
      <w:rFonts w:ascii="Arial" w:hAnsi="Arial"/>
      <w:lang w:val="es-ES_tradnl" w:eastAsia="es-ES"/>
    </w:rPr>
  </w:style>
  <w:style w:type="character" w:customStyle="1" w:styleId="TextocomentarioCar">
    <w:name w:val="Texto comentario Car"/>
    <w:link w:val="Textocomentario"/>
    <w:uiPriority w:val="99"/>
    <w:rsid w:val="00C71922"/>
    <w:rPr>
      <w:rFonts w:ascii="Arial" w:hAnsi="Arial"/>
      <w:lang w:val="es-ES" w:eastAsia="es-ES"/>
    </w:rPr>
  </w:style>
  <w:style w:type="paragraph" w:customStyle="1" w:styleId="Level1">
    <w:name w:val="Level 1"/>
    <w:basedOn w:val="Normal"/>
    <w:rsid w:val="004C45FD"/>
    <w:pPr>
      <w:widowControl w:val="0"/>
      <w:tabs>
        <w:tab w:val="num" w:pos="540"/>
      </w:tabs>
      <w:overflowPunct/>
      <w:ind w:left="540" w:hanging="360"/>
      <w:textAlignment w:val="auto"/>
      <w:outlineLvl w:val="0"/>
    </w:pPr>
    <w:rPr>
      <w:rFonts w:eastAsia="SimSun"/>
      <w:lang w:val="en-US" w:eastAsia="zh-CN"/>
    </w:rPr>
  </w:style>
  <w:style w:type="character" w:customStyle="1" w:styleId="PiedepginaCar">
    <w:name w:val="Pie de página Car"/>
    <w:link w:val="Piedepgina"/>
    <w:uiPriority w:val="99"/>
    <w:rsid w:val="004F2C39"/>
    <w:rPr>
      <w:rFonts w:ascii="Arial" w:hAnsi="Arial"/>
      <w:lang w:val="es-ES" w:eastAsia="es-ES"/>
    </w:rPr>
  </w:style>
  <w:style w:type="paragraph" w:customStyle="1" w:styleId="Textoindependiente0">
    <w:name w:val="Texto independiente/”%Ÿ"/>
    <w:basedOn w:val="Normal"/>
    <w:rsid w:val="00F57F18"/>
    <w:pPr>
      <w:widowControl w:val="0"/>
      <w:overflowPunct/>
      <w:autoSpaceDE/>
      <w:autoSpaceDN/>
      <w:adjustRightInd/>
      <w:textAlignment w:val="auto"/>
    </w:pPr>
    <w:rPr>
      <w:snapToGrid w:val="0"/>
      <w:sz w:val="22"/>
      <w:lang w:val="es-ES_tradnl"/>
    </w:rPr>
  </w:style>
  <w:style w:type="paragraph" w:customStyle="1" w:styleId="CUERPOTEXTO">
    <w:name w:val="CUERPO TEXTO"/>
    <w:rsid w:val="00F94D60"/>
    <w:pPr>
      <w:widowControl w:val="0"/>
      <w:tabs>
        <w:tab w:val="center" w:pos="510"/>
        <w:tab w:val="left" w:pos="1134"/>
      </w:tabs>
      <w:autoSpaceDE w:val="0"/>
      <w:autoSpaceDN w:val="0"/>
      <w:adjustRightInd w:val="0"/>
      <w:spacing w:before="28" w:after="28" w:line="210" w:lineRule="atLeast"/>
      <w:ind w:firstLine="283"/>
      <w:jc w:val="both"/>
    </w:pPr>
    <w:rPr>
      <w:color w:val="000000"/>
      <w:sz w:val="19"/>
      <w:szCs w:val="19"/>
      <w:lang w:val="es-ES" w:eastAsia="es-ES"/>
    </w:rPr>
  </w:style>
  <w:style w:type="paragraph" w:styleId="Textonotaalfinal">
    <w:name w:val="endnote text"/>
    <w:basedOn w:val="Normal"/>
    <w:link w:val="TextonotaalfinalCar"/>
    <w:rsid w:val="004C45FD"/>
  </w:style>
  <w:style w:type="character" w:customStyle="1" w:styleId="TextonotaalfinalCar">
    <w:name w:val="Texto nota al final Car"/>
    <w:link w:val="Textonotaalfinal"/>
    <w:rsid w:val="00016166"/>
    <w:rPr>
      <w:rFonts w:ascii="Arial" w:hAnsi="Arial"/>
      <w:lang w:val="es-ES" w:eastAsia="es-ES"/>
    </w:rPr>
  </w:style>
  <w:style w:type="character" w:styleId="Refdenotaalfinal">
    <w:name w:val="endnote reference"/>
    <w:rsid w:val="00016166"/>
    <w:rPr>
      <w:vertAlign w:val="superscript"/>
    </w:rPr>
  </w:style>
  <w:style w:type="paragraph" w:customStyle="1" w:styleId="Default">
    <w:name w:val="Default"/>
    <w:link w:val="DefaultCar"/>
    <w:rsid w:val="00EB0866"/>
    <w:pPr>
      <w:autoSpaceDE w:val="0"/>
      <w:autoSpaceDN w:val="0"/>
      <w:adjustRightInd w:val="0"/>
    </w:pPr>
    <w:rPr>
      <w:rFonts w:ascii="Arial,Bold" w:hAnsi="Arial,Bold" w:cs="Arial,Bold"/>
      <w:lang w:val="es-ES" w:eastAsia="es-ES"/>
    </w:rPr>
  </w:style>
  <w:style w:type="character" w:customStyle="1" w:styleId="DefaultCar">
    <w:name w:val="Default Car"/>
    <w:link w:val="Default"/>
    <w:locked/>
    <w:rsid w:val="00EB0866"/>
    <w:rPr>
      <w:rFonts w:ascii="Arial,Bold" w:hAnsi="Arial,Bold" w:cs="Arial,Bold"/>
      <w:lang w:val="es-ES" w:eastAsia="es-ES" w:bidi="ar-SA"/>
    </w:rPr>
  </w:style>
  <w:style w:type="paragraph" w:customStyle="1" w:styleId="Prrafodelista1">
    <w:name w:val="Párrafo de lista1"/>
    <w:basedOn w:val="Normal"/>
    <w:rsid w:val="004C45FD"/>
    <w:pPr>
      <w:overflowPunct/>
      <w:autoSpaceDE/>
      <w:autoSpaceDN/>
      <w:adjustRightInd/>
      <w:spacing w:after="200" w:line="276" w:lineRule="auto"/>
      <w:ind w:left="720"/>
      <w:contextualSpacing/>
      <w:textAlignment w:val="auto"/>
    </w:pPr>
    <w:rPr>
      <w:rFonts w:ascii="Calibri" w:hAnsi="Calibri"/>
      <w:sz w:val="22"/>
      <w:szCs w:val="22"/>
      <w:lang w:eastAsia="en-US"/>
    </w:rPr>
  </w:style>
  <w:style w:type="paragraph" w:customStyle="1" w:styleId="Titulo1">
    <w:name w:val="Titulo 1"/>
    <w:basedOn w:val="Ttulo1"/>
    <w:link w:val="Titulo1Car"/>
    <w:uiPriority w:val="99"/>
    <w:rsid w:val="00577AFA"/>
    <w:rPr>
      <w:rFonts w:ascii="Arial Narrow" w:hAnsi="Arial Narrow"/>
      <w:b w:val="0"/>
      <w:lang w:val="en-US"/>
    </w:rPr>
  </w:style>
  <w:style w:type="character" w:customStyle="1" w:styleId="Titulo1Car">
    <w:name w:val="Titulo 1 Car"/>
    <w:link w:val="Titulo1"/>
    <w:uiPriority w:val="99"/>
    <w:locked/>
    <w:rsid w:val="00577AFA"/>
    <w:rPr>
      <w:rFonts w:ascii="Arial Narrow" w:hAnsi="Arial Narrow" w:cs="Arial"/>
      <w:lang w:val="en-US" w:eastAsia="es-ES"/>
    </w:rPr>
  </w:style>
  <w:style w:type="paragraph" w:customStyle="1" w:styleId="Textoindependiente31">
    <w:name w:val="Texto independiente 31"/>
    <w:basedOn w:val="Normal"/>
    <w:rsid w:val="00DC581A"/>
    <w:pPr>
      <w:widowControl w:val="0"/>
      <w:tabs>
        <w:tab w:val="left" w:pos="720"/>
      </w:tabs>
    </w:pPr>
    <w:rPr>
      <w:sz w:val="22"/>
      <w:lang w:val="es-ES_tradnl"/>
    </w:rPr>
  </w:style>
  <w:style w:type="paragraph" w:styleId="Sangra3detindependiente">
    <w:name w:val="Body Text Indent 3"/>
    <w:basedOn w:val="Normal"/>
    <w:link w:val="Sangra3detindependienteCar"/>
    <w:rsid w:val="004C45FD"/>
    <w:pPr>
      <w:overflowPunct/>
      <w:autoSpaceDE/>
      <w:autoSpaceDN/>
      <w:adjustRightInd/>
      <w:spacing w:after="120"/>
      <w:ind w:left="283"/>
      <w:textAlignment w:val="auto"/>
    </w:pPr>
    <w:rPr>
      <w:sz w:val="16"/>
      <w:szCs w:val="16"/>
      <w:lang w:val="es-ES_tradnl"/>
    </w:rPr>
  </w:style>
  <w:style w:type="character" w:customStyle="1" w:styleId="Sangra3detindependienteCar">
    <w:name w:val="Sangría 3 de t. independiente Car"/>
    <w:link w:val="Sangra3detindependiente"/>
    <w:rsid w:val="00DC581A"/>
    <w:rPr>
      <w:rFonts w:ascii="Arial" w:hAnsi="Arial"/>
      <w:sz w:val="16"/>
      <w:szCs w:val="16"/>
      <w:lang w:val="es-ES_tradnl" w:eastAsia="es-ES"/>
    </w:rPr>
  </w:style>
  <w:style w:type="character" w:customStyle="1" w:styleId="tituloscategoria1">
    <w:name w:val="tituloscategoria1"/>
    <w:rsid w:val="007D5AF7"/>
    <w:rPr>
      <w:color w:val="0072BC"/>
      <w:sz w:val="27"/>
      <w:szCs w:val="27"/>
    </w:rPr>
  </w:style>
  <w:style w:type="character" w:styleId="Textodelmarcadordeposicin">
    <w:name w:val="Placeholder Text"/>
    <w:uiPriority w:val="99"/>
    <w:semiHidden/>
    <w:rsid w:val="002969A0"/>
    <w:rPr>
      <w:color w:val="808080"/>
    </w:rPr>
  </w:style>
  <w:style w:type="paragraph" w:styleId="Textosinformato">
    <w:name w:val="Plain Text"/>
    <w:basedOn w:val="Normal"/>
    <w:link w:val="TextosinformatoCar"/>
    <w:uiPriority w:val="99"/>
    <w:unhideWhenUsed/>
    <w:rsid w:val="004C45FD"/>
    <w:pPr>
      <w:overflowPunct/>
      <w:autoSpaceDE/>
      <w:autoSpaceDN/>
      <w:adjustRightInd/>
      <w:textAlignment w:val="auto"/>
    </w:pPr>
    <w:rPr>
      <w:rFonts w:ascii="Calibri" w:hAnsi="Calibri"/>
      <w:sz w:val="22"/>
      <w:szCs w:val="21"/>
    </w:rPr>
  </w:style>
  <w:style w:type="character" w:customStyle="1" w:styleId="TextosinformatoCar">
    <w:name w:val="Texto sin formato Car"/>
    <w:link w:val="Textosinformato"/>
    <w:uiPriority w:val="99"/>
    <w:rsid w:val="005A1E82"/>
    <w:rPr>
      <w:rFonts w:ascii="Calibri" w:hAnsi="Calibri"/>
      <w:sz w:val="22"/>
      <w:szCs w:val="21"/>
      <w:lang w:val="es-ES" w:eastAsia="es-ES"/>
    </w:rPr>
  </w:style>
  <w:style w:type="paragraph" w:customStyle="1" w:styleId="Listavistosa-nfasis12">
    <w:name w:val="Lista vistosa - Énfasis 12"/>
    <w:basedOn w:val="Normal"/>
    <w:uiPriority w:val="34"/>
    <w:qFormat/>
    <w:rsid w:val="004C45FD"/>
    <w:pPr>
      <w:overflowPunct/>
      <w:autoSpaceDE/>
      <w:autoSpaceDN/>
      <w:adjustRightInd/>
      <w:ind w:left="708"/>
      <w:textAlignment w:val="auto"/>
    </w:pPr>
    <w:rPr>
      <w:lang w:val="es-ES_tradnl"/>
    </w:rPr>
  </w:style>
  <w:style w:type="character" w:customStyle="1" w:styleId="A5">
    <w:name w:val="A5"/>
    <w:uiPriority w:val="99"/>
    <w:rsid w:val="000939BA"/>
    <w:rPr>
      <w:rFonts w:ascii="PNDKN T+ Myriad Pro" w:hAnsi="PNDKN T+ Myriad Pro" w:cs="PNDKN T+ Myriad Pro"/>
      <w:color w:val="000000"/>
      <w:sz w:val="22"/>
      <w:szCs w:val="22"/>
    </w:rPr>
  </w:style>
  <w:style w:type="character" w:customStyle="1" w:styleId="DescripcinCar">
    <w:name w:val="Descripción Car"/>
    <w:aliases w:val="Car Car,Epígrafe Car Car Car,Car Car Car Car Car Car, Car Car Car Car Car Car,Epígrafe Tabla Car,A Car, Car Car Car1, Car Car Car Car1 Car, Car Car Car Car,Título tabla/gráfica Car,Título tabla/gráfica1 Car,Título tabla/gráfica2 Car"/>
    <w:link w:val="Descripcin"/>
    <w:uiPriority w:val="35"/>
    <w:rsid w:val="006120B0"/>
    <w:rPr>
      <w:rFonts w:ascii="Arial" w:hAnsi="Arial"/>
      <w:b/>
      <w:bCs/>
      <w:lang w:val="es-ES" w:eastAsia="es-ES"/>
    </w:rPr>
  </w:style>
  <w:style w:type="paragraph" w:customStyle="1" w:styleId="Estilo1">
    <w:name w:val="Estilo1"/>
    <w:basedOn w:val="Textosinformato"/>
    <w:qFormat/>
    <w:rsid w:val="004C45FD"/>
    <w:pPr>
      <w:widowControl w:val="0"/>
      <w:ind w:left="1134" w:hanging="1134"/>
    </w:pPr>
    <w:rPr>
      <w:rFonts w:ascii="Consolas" w:hAnsi="Consolas"/>
      <w:b/>
      <w:sz w:val="24"/>
    </w:rPr>
  </w:style>
  <w:style w:type="paragraph" w:customStyle="1" w:styleId="Cuadrculaclara-nfasis31">
    <w:name w:val="Cuadrícula clara - Énfasis 31"/>
    <w:basedOn w:val="Normal"/>
    <w:uiPriority w:val="34"/>
    <w:qFormat/>
    <w:rsid w:val="004C45FD"/>
    <w:pPr>
      <w:overflowPunct/>
      <w:autoSpaceDE/>
      <w:autoSpaceDN/>
      <w:adjustRightInd/>
      <w:ind w:left="708"/>
      <w:textAlignment w:val="auto"/>
    </w:pPr>
    <w:rPr>
      <w:lang w:val="es-ES_tradnl"/>
    </w:rPr>
  </w:style>
  <w:style w:type="character" w:customStyle="1" w:styleId="TextoindependienteCar">
    <w:name w:val="Texto independiente Car"/>
    <w:aliases w:val="Subsection Body Text Car"/>
    <w:link w:val="Textoindependiente"/>
    <w:rsid w:val="00F70352"/>
    <w:rPr>
      <w:rFonts w:ascii="Arial" w:hAnsi="Arial"/>
      <w:lang w:val="es-ES" w:eastAsia="es-ES"/>
    </w:rPr>
  </w:style>
  <w:style w:type="character" w:styleId="Textoennegrita">
    <w:name w:val="Strong"/>
    <w:uiPriority w:val="22"/>
    <w:qFormat/>
    <w:rsid w:val="00380EED"/>
    <w:rPr>
      <w:b/>
      <w:bCs/>
    </w:rPr>
  </w:style>
  <w:style w:type="paragraph" w:customStyle="1" w:styleId="Cuadrculamedia1-nfasis21">
    <w:name w:val="Cuadrícula media 1 - Énfasis 21"/>
    <w:basedOn w:val="Normal"/>
    <w:uiPriority w:val="34"/>
    <w:qFormat/>
    <w:rsid w:val="004C45FD"/>
    <w:pPr>
      <w:overflowPunct/>
      <w:autoSpaceDE/>
      <w:autoSpaceDN/>
      <w:adjustRightInd/>
      <w:spacing w:after="200" w:line="276" w:lineRule="auto"/>
      <w:ind w:left="720"/>
      <w:contextualSpacing/>
      <w:textAlignment w:val="auto"/>
    </w:pPr>
    <w:rPr>
      <w:rFonts w:eastAsia="Calibri" w:cs="Arial"/>
      <w:sz w:val="22"/>
      <w:szCs w:val="22"/>
      <w:lang w:eastAsia="en-US"/>
    </w:rPr>
  </w:style>
  <w:style w:type="paragraph" w:customStyle="1" w:styleId="NormalCar">
    <w:name w:val="Normal Car"/>
    <w:basedOn w:val="Normal"/>
    <w:link w:val="NormalCarCar"/>
    <w:rsid w:val="00F60D55"/>
    <w:pPr>
      <w:overflowPunct/>
      <w:autoSpaceDE/>
      <w:autoSpaceDN/>
      <w:adjustRightInd/>
      <w:textAlignment w:val="auto"/>
    </w:pPr>
  </w:style>
  <w:style w:type="character" w:styleId="Hipervnculovisitado">
    <w:name w:val="FollowedHyperlink"/>
    <w:uiPriority w:val="99"/>
    <w:rsid w:val="003D0162"/>
    <w:rPr>
      <w:color w:val="954F72"/>
      <w:u w:val="single"/>
    </w:rPr>
  </w:style>
  <w:style w:type="character" w:customStyle="1" w:styleId="apple-converted-space">
    <w:name w:val="apple-converted-space"/>
    <w:rsid w:val="00754964"/>
  </w:style>
  <w:style w:type="paragraph" w:customStyle="1" w:styleId="Sombreadovistoso-nfasis11">
    <w:name w:val="Sombreado vistoso - Énfasis 11"/>
    <w:hidden/>
    <w:uiPriority w:val="99"/>
    <w:semiHidden/>
    <w:rsid w:val="000C4CDF"/>
    <w:rPr>
      <w:lang w:val="es-ES" w:eastAsia="es-ES"/>
    </w:rPr>
  </w:style>
  <w:style w:type="paragraph" w:customStyle="1" w:styleId="Tabladecuadrcula31">
    <w:name w:val="Tabla de cuadrícula 31"/>
    <w:basedOn w:val="Ttulo1"/>
    <w:next w:val="Normal"/>
    <w:uiPriority w:val="39"/>
    <w:semiHidden/>
    <w:unhideWhenUsed/>
    <w:qFormat/>
    <w:rsid w:val="000C4CDF"/>
    <w:pPr>
      <w:keepLines/>
      <w:spacing w:before="480" w:line="276" w:lineRule="auto"/>
      <w:outlineLvl w:val="9"/>
    </w:pPr>
    <w:rPr>
      <w:rFonts w:ascii="Cambria" w:hAnsi="Cambria"/>
      <w:b w:val="0"/>
      <w:bCs/>
      <w:color w:val="365F91"/>
      <w:sz w:val="28"/>
      <w:szCs w:val="28"/>
      <w:lang w:eastAsia="en-US"/>
    </w:rPr>
  </w:style>
  <w:style w:type="character" w:customStyle="1" w:styleId="Listavistosa-nfasis1Car1">
    <w:name w:val="Lista vistosa - Énfasis 1 Car1"/>
    <w:aliases w:val="HOJA Car1,Lista vistosa - Énfasis 11 Car1,Bolita Car1"/>
    <w:uiPriority w:val="34"/>
    <w:rsid w:val="000C4CDF"/>
    <w:rPr>
      <w:rFonts w:ascii="Arial" w:hAnsi="Arial"/>
      <w:lang w:val="es-ES_tradnl" w:eastAsia="es-ES"/>
    </w:rPr>
  </w:style>
  <w:style w:type="character" w:customStyle="1" w:styleId="Cuadrculamedia11">
    <w:name w:val="Cuadrícula media 11"/>
    <w:uiPriority w:val="99"/>
    <w:semiHidden/>
    <w:rsid w:val="000C4CDF"/>
    <w:rPr>
      <w:color w:val="808080"/>
    </w:rPr>
  </w:style>
  <w:style w:type="paragraph" w:customStyle="1" w:styleId="western">
    <w:name w:val="western"/>
    <w:basedOn w:val="Normal"/>
    <w:rsid w:val="004C45FD"/>
    <w:pPr>
      <w:overflowPunct/>
      <w:autoSpaceDE/>
      <w:autoSpaceDN/>
      <w:adjustRightInd/>
      <w:spacing w:before="100" w:beforeAutospacing="1" w:after="100" w:afterAutospacing="1"/>
      <w:textAlignment w:val="auto"/>
    </w:pPr>
    <w:rPr>
      <w:lang w:eastAsia="es-CO"/>
    </w:rPr>
  </w:style>
  <w:style w:type="paragraph" w:styleId="Listaconvietas3">
    <w:name w:val="List Bullet 3"/>
    <w:basedOn w:val="Normal"/>
    <w:autoRedefine/>
    <w:rsid w:val="007A6D50"/>
    <w:pPr>
      <w:overflowPunct/>
      <w:autoSpaceDE/>
      <w:autoSpaceDN/>
      <w:adjustRightInd/>
      <w:ind w:left="68"/>
      <w:textAlignment w:val="auto"/>
    </w:pPr>
    <w:rPr>
      <w:rFonts w:cs="Arial"/>
    </w:rPr>
  </w:style>
  <w:style w:type="paragraph" w:styleId="Listaconvietas">
    <w:name w:val="List Bullet"/>
    <w:basedOn w:val="Normal"/>
    <w:semiHidden/>
    <w:unhideWhenUsed/>
    <w:rsid w:val="004C45FD"/>
    <w:pPr>
      <w:numPr>
        <w:numId w:val="3"/>
      </w:numPr>
      <w:contextualSpacing/>
    </w:pPr>
  </w:style>
  <w:style w:type="character" w:customStyle="1" w:styleId="Ttulo4Car">
    <w:name w:val="Título 4 Car"/>
    <w:aliases w:val="Título 4 mew Car"/>
    <w:basedOn w:val="Fuentedeprrafopredeter"/>
    <w:link w:val="Ttulo4"/>
    <w:uiPriority w:val="9"/>
    <w:rsid w:val="00935D1F"/>
    <w:rPr>
      <w:rFonts w:ascii="Arial" w:hAnsi="Arial" w:cs="Arial"/>
      <w:b/>
      <w:lang w:val="es-ES_tradnl" w:eastAsia="es-ES"/>
    </w:rPr>
  </w:style>
  <w:style w:type="character" w:customStyle="1" w:styleId="Ttulo2Car">
    <w:name w:val="Título 2 Car"/>
    <w:basedOn w:val="Fuentedeprrafopredeter"/>
    <w:link w:val="Ttulo2"/>
    <w:uiPriority w:val="9"/>
    <w:rsid w:val="00FE6680"/>
    <w:rPr>
      <w:rFonts w:ascii="Arial" w:hAnsi="Arial"/>
      <w:b/>
      <w:lang w:val="es-ES_tradnl" w:eastAsia="es-ES"/>
    </w:rPr>
  </w:style>
  <w:style w:type="character" w:customStyle="1" w:styleId="Ttulo3Car">
    <w:name w:val="Título 3 Car"/>
    <w:basedOn w:val="Fuentedeprrafopredeter"/>
    <w:link w:val="Ttulo3"/>
    <w:uiPriority w:val="9"/>
    <w:rsid w:val="00216955"/>
    <w:rPr>
      <w:rFonts w:ascii="Arial" w:hAnsi="Arial" w:cs="Arial"/>
      <w:b/>
      <w:u w:val="single"/>
      <w:lang w:val="es-ES_tradnl" w:eastAsia="es-ES"/>
    </w:rPr>
  </w:style>
  <w:style w:type="character" w:customStyle="1" w:styleId="hps">
    <w:name w:val="hps"/>
    <w:basedOn w:val="Fuentedeprrafopredeter"/>
    <w:rsid w:val="00B467FD"/>
  </w:style>
  <w:style w:type="character" w:customStyle="1" w:styleId="style21">
    <w:name w:val="style21"/>
    <w:basedOn w:val="Fuentedeprrafopredeter"/>
    <w:rsid w:val="00B467FD"/>
    <w:rPr>
      <w:sz w:val="18"/>
      <w:szCs w:val="18"/>
    </w:rPr>
  </w:style>
  <w:style w:type="table" w:customStyle="1" w:styleId="Tablanormal211">
    <w:name w:val="Tabla normal 211"/>
    <w:basedOn w:val="Tablanormal"/>
    <w:uiPriority w:val="42"/>
    <w:rsid w:val="00F5651D"/>
    <w:rPr>
      <w:rFonts w:asciiTheme="minorHAnsi" w:eastAsiaTheme="minorHAnsi" w:hAnsiTheme="minorHAnsi" w:cstheme="minorBidi"/>
      <w:sz w:val="22"/>
      <w:szCs w:val="22"/>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Ttulo6Car">
    <w:name w:val="Título 6 Car"/>
    <w:basedOn w:val="Fuentedeprrafopredeter"/>
    <w:link w:val="Ttulo6"/>
    <w:uiPriority w:val="9"/>
    <w:rsid w:val="00FE6680"/>
    <w:rPr>
      <w:rFonts w:ascii="Arial" w:hAnsi="Arial" w:cs="Arial"/>
      <w:i/>
      <w:lang w:val="es-ES_tradnl" w:eastAsia="es-ES"/>
    </w:rPr>
  </w:style>
  <w:style w:type="character" w:customStyle="1" w:styleId="Ttulo7Car">
    <w:name w:val="Título 7 Car"/>
    <w:basedOn w:val="Fuentedeprrafopredeter"/>
    <w:link w:val="Ttulo7"/>
    <w:uiPriority w:val="9"/>
    <w:semiHidden/>
    <w:rsid w:val="000F2600"/>
    <w:rPr>
      <w:rFonts w:asciiTheme="majorHAnsi" w:eastAsiaTheme="majorEastAsia" w:hAnsiTheme="majorHAnsi" w:cstheme="majorBidi"/>
      <w:i/>
      <w:iCs/>
      <w:color w:val="404040" w:themeColor="text1" w:themeTint="BF"/>
      <w:szCs w:val="20"/>
      <w:lang w:val="es-ES" w:eastAsia="es-ES"/>
    </w:rPr>
  </w:style>
  <w:style w:type="character" w:customStyle="1" w:styleId="Ttulo9Car">
    <w:name w:val="Título 9 Car"/>
    <w:basedOn w:val="Fuentedeprrafopredeter"/>
    <w:link w:val="Ttulo9"/>
    <w:uiPriority w:val="9"/>
    <w:semiHidden/>
    <w:rsid w:val="000F2600"/>
    <w:rPr>
      <w:rFonts w:asciiTheme="majorHAnsi" w:eastAsiaTheme="majorEastAsia" w:hAnsiTheme="majorHAnsi" w:cstheme="majorBidi"/>
      <w:i/>
      <w:iCs/>
      <w:color w:val="404040" w:themeColor="text1" w:themeTint="BF"/>
      <w:sz w:val="20"/>
      <w:szCs w:val="20"/>
      <w:lang w:val="es-ES" w:eastAsia="es-ES"/>
    </w:rPr>
  </w:style>
  <w:style w:type="character" w:customStyle="1" w:styleId="TtuloCar">
    <w:name w:val="Título Car"/>
    <w:basedOn w:val="Fuentedeprrafopredeter"/>
    <w:link w:val="Ttulo"/>
    <w:uiPriority w:val="10"/>
    <w:rsid w:val="000F2600"/>
    <w:rPr>
      <w:rFonts w:ascii="Arial" w:hAnsi="Arial" w:cs="Arial"/>
      <w:b/>
      <w:bCs/>
      <w:kern w:val="28"/>
      <w:sz w:val="32"/>
      <w:szCs w:val="32"/>
      <w:lang w:val="es-ES" w:eastAsia="es-ES"/>
    </w:rPr>
  </w:style>
  <w:style w:type="character" w:customStyle="1" w:styleId="Ttulo1Car">
    <w:name w:val="Título 1 Car"/>
    <w:basedOn w:val="Fuentedeprrafopredeter"/>
    <w:link w:val="Ttulo1"/>
    <w:uiPriority w:val="9"/>
    <w:rsid w:val="000F2600"/>
    <w:rPr>
      <w:rFonts w:ascii="Arial" w:hAnsi="Arial" w:cs="Arial"/>
      <w:b/>
      <w:lang w:val="es-ES_tradnl" w:eastAsia="es-ES"/>
    </w:rPr>
  </w:style>
  <w:style w:type="character" w:customStyle="1" w:styleId="TextodegloboCar">
    <w:name w:val="Texto de globo Car"/>
    <w:basedOn w:val="Fuentedeprrafopredeter"/>
    <w:link w:val="Textodeglobo"/>
    <w:uiPriority w:val="99"/>
    <w:semiHidden/>
    <w:rsid w:val="000F2600"/>
    <w:rPr>
      <w:rFonts w:ascii="Tahoma" w:hAnsi="Tahoma" w:cs="Tahoma"/>
      <w:sz w:val="16"/>
      <w:szCs w:val="16"/>
      <w:lang w:val="es-ES" w:eastAsia="es-ES"/>
    </w:rPr>
  </w:style>
  <w:style w:type="character" w:customStyle="1" w:styleId="AsuntodelcomentarioCar">
    <w:name w:val="Asunto del comentario Car"/>
    <w:basedOn w:val="TextocomentarioCar"/>
    <w:link w:val="Asuntodelcomentario"/>
    <w:uiPriority w:val="99"/>
    <w:semiHidden/>
    <w:rsid w:val="000F2600"/>
    <w:rPr>
      <w:rFonts w:ascii="Arial" w:hAnsi="Arial"/>
      <w:b/>
      <w:bCs/>
      <w:lang w:val="es-ES" w:eastAsia="es-ES"/>
    </w:rPr>
  </w:style>
  <w:style w:type="paragraph" w:customStyle="1" w:styleId="Tabla">
    <w:name w:val="Tabla"/>
    <w:basedOn w:val="Normal"/>
    <w:link w:val="TablaCar"/>
    <w:rsid w:val="000F2600"/>
    <w:pPr>
      <w:widowControl w:val="0"/>
      <w:overflowPunct/>
      <w:autoSpaceDE/>
      <w:autoSpaceDN/>
      <w:adjustRightInd/>
      <w:jc w:val="center"/>
      <w:textAlignment w:val="auto"/>
    </w:pPr>
    <w:rPr>
      <w:b/>
      <w:snapToGrid w:val="0"/>
      <w:sz w:val="22"/>
      <w:szCs w:val="20"/>
      <w:lang w:val="es-ES_tradnl"/>
    </w:rPr>
  </w:style>
  <w:style w:type="character" w:customStyle="1" w:styleId="TablaCar">
    <w:name w:val="Tabla Car"/>
    <w:link w:val="Tabla"/>
    <w:locked/>
    <w:rsid w:val="000F2600"/>
    <w:rPr>
      <w:rFonts w:ascii="Arial" w:hAnsi="Arial"/>
      <w:b/>
      <w:snapToGrid w:val="0"/>
      <w:sz w:val="22"/>
      <w:szCs w:val="20"/>
      <w:lang w:val="es-ES_tradnl" w:eastAsia="es-ES"/>
    </w:rPr>
  </w:style>
  <w:style w:type="character" w:customStyle="1" w:styleId="NormalCarCar">
    <w:name w:val="Normal Car Car"/>
    <w:basedOn w:val="Fuentedeprrafopredeter"/>
    <w:link w:val="NormalCar"/>
    <w:locked/>
    <w:rsid w:val="000F2600"/>
    <w:rPr>
      <w:rFonts w:ascii="Arial" w:hAnsi="Arial"/>
      <w:lang w:eastAsia="es-ES"/>
    </w:rPr>
  </w:style>
  <w:style w:type="paragraph" w:styleId="Subttulo">
    <w:name w:val="Subtitle"/>
    <w:basedOn w:val="Normal"/>
    <w:next w:val="Normal"/>
    <w:link w:val="SubttuloCar"/>
    <w:uiPriority w:val="11"/>
    <w:qFormat/>
    <w:rsid w:val="000F2600"/>
    <w:pPr>
      <w:numPr>
        <w:ilvl w:val="1"/>
      </w:numPr>
      <w:overflowPunct/>
      <w:autoSpaceDE/>
      <w:autoSpaceDN/>
      <w:adjustRightInd/>
      <w:spacing w:after="240" w:line="276" w:lineRule="auto"/>
      <w:textAlignment w:val="auto"/>
    </w:pPr>
    <w:rPr>
      <w:rFonts w:asciiTheme="minorHAnsi" w:eastAsiaTheme="minorEastAsia" w:hAnsiTheme="minorHAnsi" w:cstheme="minorBidi"/>
      <w:caps/>
      <w:color w:val="404040" w:themeColor="text1" w:themeTint="BF"/>
      <w:spacing w:val="20"/>
      <w:sz w:val="28"/>
      <w:szCs w:val="28"/>
      <w:lang w:eastAsia="en-US"/>
    </w:rPr>
  </w:style>
  <w:style w:type="character" w:customStyle="1" w:styleId="SubttuloCar">
    <w:name w:val="Subtítulo Car"/>
    <w:basedOn w:val="Fuentedeprrafopredeter"/>
    <w:link w:val="Subttulo"/>
    <w:uiPriority w:val="11"/>
    <w:rsid w:val="000F2600"/>
    <w:rPr>
      <w:rFonts w:asciiTheme="minorHAnsi" w:eastAsiaTheme="minorEastAsia" w:hAnsiTheme="minorHAnsi" w:cstheme="minorBidi"/>
      <w:caps/>
      <w:color w:val="404040" w:themeColor="text1" w:themeTint="BF"/>
      <w:spacing w:val="20"/>
      <w:sz w:val="28"/>
      <w:szCs w:val="28"/>
      <w:lang w:eastAsia="en-US"/>
    </w:rPr>
  </w:style>
  <w:style w:type="paragraph" w:styleId="Sinespaciado">
    <w:name w:val="No Spacing"/>
    <w:aliases w:val="Chulito,CHULO,Segunda viñeta,CHULITO,nada,Cuadro,Sin espaciado1,Viñeta1,VERIFI,Cuadrícula media 21,Sin espaciado11,No Spacing"/>
    <w:link w:val="SinespaciadoCar"/>
    <w:uiPriority w:val="1"/>
    <w:qFormat/>
    <w:rsid w:val="000F2600"/>
    <w:rPr>
      <w:rFonts w:asciiTheme="minorHAnsi" w:eastAsiaTheme="minorEastAsia" w:hAnsiTheme="minorHAnsi" w:cstheme="minorBidi"/>
      <w:sz w:val="21"/>
      <w:szCs w:val="21"/>
    </w:rPr>
  </w:style>
  <w:style w:type="character" w:customStyle="1" w:styleId="SinespaciadoCar">
    <w:name w:val="Sin espaciado Car"/>
    <w:aliases w:val="Chulito Car,CHULO Car,Segunda viñeta Car,CHULITO Car,nada Car,Cuadro Car,Sin espaciado1 Car,Viñeta1 Car,VERIFI Car,Cuadrícula media 21 Car,Sin espaciado11 Car,No Spacing Car"/>
    <w:basedOn w:val="Fuentedeprrafopredeter"/>
    <w:link w:val="Sinespaciado"/>
    <w:uiPriority w:val="1"/>
    <w:rsid w:val="000F2600"/>
    <w:rPr>
      <w:rFonts w:asciiTheme="minorHAnsi" w:eastAsiaTheme="minorEastAsia" w:hAnsiTheme="minorHAnsi" w:cstheme="minorBidi"/>
      <w:sz w:val="21"/>
      <w:szCs w:val="21"/>
      <w:lang w:eastAsia="en-US"/>
    </w:rPr>
  </w:style>
  <w:style w:type="paragraph" w:styleId="HTMLconformatoprevio">
    <w:name w:val="HTML Preformatted"/>
    <w:basedOn w:val="Normal"/>
    <w:link w:val="HTMLconformatoprevioCar"/>
    <w:uiPriority w:val="99"/>
    <w:unhideWhenUsed/>
    <w:rsid w:val="000F26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textAlignment w:val="auto"/>
    </w:pPr>
    <w:rPr>
      <w:rFonts w:ascii="Courier New" w:hAnsi="Courier New" w:cs="Courier New"/>
      <w:szCs w:val="20"/>
      <w:lang w:eastAsia="es-CO"/>
    </w:rPr>
  </w:style>
  <w:style w:type="character" w:customStyle="1" w:styleId="HTMLconformatoprevioCar">
    <w:name w:val="HTML con formato previo Car"/>
    <w:basedOn w:val="Fuentedeprrafopredeter"/>
    <w:link w:val="HTMLconformatoprevio"/>
    <w:uiPriority w:val="99"/>
    <w:rsid w:val="000F2600"/>
    <w:rPr>
      <w:rFonts w:ascii="Courier New" w:hAnsi="Courier New" w:cs="Courier New"/>
      <w:szCs w:val="20"/>
    </w:rPr>
  </w:style>
  <w:style w:type="table" w:customStyle="1" w:styleId="Tabladecuadrcula6concolores-nfasis31">
    <w:name w:val="Tabla de cuadrícula 6 con colores - Énfasis 31"/>
    <w:basedOn w:val="Tablanormal"/>
    <w:uiPriority w:val="51"/>
    <w:rsid w:val="000F2600"/>
    <w:rPr>
      <w:rFonts w:asciiTheme="minorHAnsi" w:eastAsiaTheme="minorHAnsi" w:hAnsiTheme="minorHAnsi" w:cstheme="minorBidi"/>
      <w:color w:val="76923C" w:themeColor="accent3" w:themeShade="BF"/>
      <w:sz w:val="22"/>
      <w:szCs w:val="22"/>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paragraph" w:customStyle="1" w:styleId="Tituloaparte">
    <w:name w:val="Titulo aparte"/>
    <w:basedOn w:val="Normal"/>
    <w:next w:val="Normal"/>
    <w:link w:val="TituloaparteCar"/>
    <w:qFormat/>
    <w:rsid w:val="000F2600"/>
    <w:pPr>
      <w:numPr>
        <w:numId w:val="6"/>
      </w:numPr>
      <w:overflowPunct/>
      <w:autoSpaceDE/>
      <w:autoSpaceDN/>
      <w:adjustRightInd/>
      <w:jc w:val="center"/>
      <w:textAlignment w:val="auto"/>
    </w:pPr>
    <w:rPr>
      <w:rFonts w:eastAsiaTheme="minorHAnsi" w:cstheme="minorBidi"/>
      <w:b/>
      <w:szCs w:val="22"/>
      <w:lang w:eastAsia="en-US"/>
    </w:rPr>
  </w:style>
  <w:style w:type="character" w:customStyle="1" w:styleId="TituloaparteCar">
    <w:name w:val="Titulo aparte Car"/>
    <w:basedOn w:val="Fuentedeprrafopredeter"/>
    <w:link w:val="Tituloaparte"/>
    <w:rsid w:val="000F2600"/>
    <w:rPr>
      <w:rFonts w:ascii="Arial" w:eastAsiaTheme="minorHAnsi" w:hAnsi="Arial" w:cstheme="minorBidi"/>
      <w:b/>
      <w:szCs w:val="22"/>
      <w:lang w:eastAsia="en-US"/>
    </w:rPr>
  </w:style>
  <w:style w:type="character" w:customStyle="1" w:styleId="Ttulo5Car">
    <w:name w:val="Título 5 Car"/>
    <w:basedOn w:val="Fuentedeprrafopredeter"/>
    <w:link w:val="Ttulo5"/>
    <w:uiPriority w:val="9"/>
    <w:rsid w:val="00FE6680"/>
    <w:rPr>
      <w:rFonts w:ascii="Arial" w:hAnsi="Arial" w:cs="Arial"/>
      <w:b/>
      <w:i/>
      <w:lang w:val="es-ES_tradnl" w:eastAsia="es-ES"/>
    </w:rPr>
  </w:style>
  <w:style w:type="character" w:customStyle="1" w:styleId="Ttulo8Car">
    <w:name w:val="Título 8 Car"/>
    <w:basedOn w:val="Fuentedeprrafopredeter"/>
    <w:link w:val="Ttulo8"/>
    <w:uiPriority w:val="9"/>
    <w:rsid w:val="000F2600"/>
    <w:rPr>
      <w:rFonts w:ascii="Arial" w:hAnsi="Arial"/>
      <w:i/>
      <w:iCs/>
      <w:lang w:val="es-ES" w:eastAsia="es-ES"/>
    </w:rPr>
  </w:style>
  <w:style w:type="paragraph" w:customStyle="1" w:styleId="TITULO1SINNUMERO">
    <w:name w:val="TITULO 1 SIN NUMERO"/>
    <w:basedOn w:val="Ttulo1"/>
    <w:rsid w:val="000F2600"/>
    <w:pPr>
      <w:keepNext/>
      <w:pageBreakBefore/>
      <w:pBdr>
        <w:bottom w:val="single" w:sz="4" w:space="1" w:color="auto"/>
      </w:pBdr>
      <w:spacing w:after="360"/>
    </w:pPr>
    <w:rPr>
      <w:rFonts w:cs="Times New Roman"/>
      <w:bCs/>
      <w:caps/>
      <w:kern w:val="32"/>
      <w:sz w:val="36"/>
      <w:szCs w:val="20"/>
      <w:lang w:val="es-CO"/>
    </w:rPr>
  </w:style>
  <w:style w:type="table" w:customStyle="1" w:styleId="Tablanormal21">
    <w:name w:val="Tabla normal 21"/>
    <w:basedOn w:val="Tablanormal"/>
    <w:uiPriority w:val="42"/>
    <w:rsid w:val="000F2600"/>
    <w:rPr>
      <w:rFonts w:asciiTheme="minorHAnsi" w:eastAsiaTheme="minorHAnsi" w:hAnsiTheme="minorHAnsi" w:cstheme="minorBidi"/>
      <w:sz w:val="22"/>
      <w:szCs w:val="22"/>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normal41">
    <w:name w:val="Tabla normal 41"/>
    <w:basedOn w:val="Tablanormal"/>
    <w:uiPriority w:val="44"/>
    <w:rsid w:val="000F2600"/>
    <w:rPr>
      <w:rFonts w:asciiTheme="minorHAnsi" w:eastAsiaTheme="minorHAnsi" w:hAnsiTheme="minorHAnsi" w:cstheme="minorBidi"/>
      <w:sz w:val="22"/>
      <w:szCs w:val="22"/>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MapadeldocumentoCar">
    <w:name w:val="Mapa del documento Car"/>
    <w:basedOn w:val="Fuentedeprrafopredeter"/>
    <w:link w:val="Mapadeldocumento"/>
    <w:uiPriority w:val="99"/>
    <w:semiHidden/>
    <w:rsid w:val="000F2600"/>
    <w:rPr>
      <w:rFonts w:ascii="Tahoma" w:hAnsi="Tahoma" w:cs="Tahoma"/>
      <w:shd w:val="clear" w:color="auto" w:fill="000080"/>
      <w:lang w:val="es-ES" w:eastAsia="es-ES"/>
    </w:rPr>
  </w:style>
  <w:style w:type="table" w:customStyle="1" w:styleId="Tabladelista7concolores-nfasis11">
    <w:name w:val="Tabla de lista 7 con colores - Énfasis 11"/>
    <w:basedOn w:val="Tablanormal"/>
    <w:uiPriority w:val="52"/>
    <w:rsid w:val="000F2600"/>
    <w:rPr>
      <w:rFonts w:asciiTheme="minorHAnsi" w:eastAsiaTheme="minorHAnsi" w:hAnsiTheme="minorHAnsi" w:cstheme="minorBidi"/>
      <w:color w:val="365F91" w:themeColor="accent1" w:themeShade="BF"/>
      <w:sz w:val="22"/>
      <w:szCs w:val="22"/>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lanormal22">
    <w:name w:val="Tabla normal 22"/>
    <w:basedOn w:val="Tablanormal"/>
    <w:uiPriority w:val="42"/>
    <w:rsid w:val="000F2600"/>
    <w:rPr>
      <w:rFonts w:asciiTheme="minorHAnsi" w:eastAsiaTheme="minorHAnsi" w:hAnsiTheme="minorHAnsi" w:cstheme="minorBidi"/>
      <w:sz w:val="22"/>
      <w:szCs w:val="22"/>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normal42">
    <w:name w:val="Tabla normal 42"/>
    <w:basedOn w:val="Tablanormal"/>
    <w:uiPriority w:val="44"/>
    <w:rsid w:val="000F2600"/>
    <w:rPr>
      <w:rFonts w:asciiTheme="minorHAnsi" w:eastAsiaTheme="minorHAnsi" w:hAnsiTheme="minorHAnsi" w:cstheme="minorBidi"/>
      <w:sz w:val="22"/>
      <w:szCs w:val="22"/>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adelista7concolores-nfasis12">
    <w:name w:val="Tabla de lista 7 con colores - Énfasis 12"/>
    <w:basedOn w:val="Tablanormal"/>
    <w:uiPriority w:val="52"/>
    <w:rsid w:val="000F2600"/>
    <w:rPr>
      <w:rFonts w:asciiTheme="minorHAnsi" w:eastAsiaTheme="minorHAnsi" w:hAnsiTheme="minorHAnsi" w:cstheme="minorBidi"/>
      <w:color w:val="365F91" w:themeColor="accent1" w:themeShade="BF"/>
      <w:sz w:val="22"/>
      <w:szCs w:val="22"/>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nfasis">
    <w:name w:val="Emphasis"/>
    <w:basedOn w:val="Fuentedeprrafopredeter"/>
    <w:uiPriority w:val="20"/>
    <w:qFormat/>
    <w:rsid w:val="000F2600"/>
    <w:rPr>
      <w:i/>
      <w:iCs/>
    </w:rPr>
  </w:style>
  <w:style w:type="paragraph" w:customStyle="1" w:styleId="CM43">
    <w:name w:val="CM43"/>
    <w:basedOn w:val="Default"/>
    <w:next w:val="Default"/>
    <w:uiPriority w:val="99"/>
    <w:rsid w:val="000F2600"/>
    <w:rPr>
      <w:rFonts w:ascii="Arial" w:eastAsiaTheme="minorHAnsi" w:hAnsi="Arial" w:cs="Arial"/>
      <w:lang w:val="es-CO" w:eastAsia="en-US"/>
    </w:rPr>
  </w:style>
  <w:style w:type="character" w:styleId="Nmerodelnea">
    <w:name w:val="line number"/>
    <w:basedOn w:val="Fuentedeprrafopredeter"/>
    <w:semiHidden/>
    <w:unhideWhenUsed/>
    <w:rsid w:val="00592027"/>
  </w:style>
  <w:style w:type="paragraph" w:customStyle="1" w:styleId="Captulo">
    <w:name w:val="Capítulo"/>
    <w:basedOn w:val="Ttulo1"/>
    <w:rsid w:val="0001433E"/>
  </w:style>
  <w:style w:type="paragraph" w:customStyle="1" w:styleId="Captulosinnumero">
    <w:name w:val="Capítulo sin numero"/>
    <w:basedOn w:val="Captulo"/>
    <w:qFormat/>
    <w:rsid w:val="0001433E"/>
  </w:style>
  <w:style w:type="paragraph" w:customStyle="1" w:styleId="Captulonmero">
    <w:name w:val="Capítulo número"/>
    <w:basedOn w:val="Ttulo1"/>
    <w:qFormat/>
    <w:rsid w:val="0001433E"/>
    <w:pPr>
      <w:numPr>
        <w:numId w:val="4"/>
      </w:numPr>
    </w:pPr>
  </w:style>
  <w:style w:type="character" w:customStyle="1" w:styleId="baj">
    <w:name w:val="b_aj"/>
    <w:basedOn w:val="Fuentedeprrafopredeter"/>
    <w:rsid w:val="009F2868"/>
  </w:style>
  <w:style w:type="character" w:customStyle="1" w:styleId="Mencionar1">
    <w:name w:val="Mencionar1"/>
    <w:basedOn w:val="Fuentedeprrafopredeter"/>
    <w:uiPriority w:val="99"/>
    <w:semiHidden/>
    <w:unhideWhenUsed/>
    <w:rsid w:val="009F2868"/>
    <w:rPr>
      <w:color w:val="2B579A"/>
      <w:shd w:val="clear" w:color="auto" w:fill="E6E6E6"/>
    </w:rPr>
  </w:style>
  <w:style w:type="character" w:customStyle="1" w:styleId="style13">
    <w:name w:val="style13"/>
    <w:basedOn w:val="Fuentedeprrafopredeter"/>
    <w:rsid w:val="009F2868"/>
  </w:style>
  <w:style w:type="paragraph" w:customStyle="1" w:styleId="style131">
    <w:name w:val="style131"/>
    <w:basedOn w:val="Normal"/>
    <w:rsid w:val="004C45FD"/>
    <w:pPr>
      <w:overflowPunct/>
      <w:autoSpaceDE/>
      <w:autoSpaceDN/>
      <w:adjustRightInd/>
      <w:spacing w:before="100" w:beforeAutospacing="1" w:after="100" w:afterAutospacing="1"/>
      <w:textAlignment w:val="auto"/>
    </w:pPr>
    <w:rPr>
      <w:lang w:eastAsia="es-CO"/>
    </w:rPr>
  </w:style>
  <w:style w:type="paragraph" w:customStyle="1" w:styleId="style11">
    <w:name w:val="style11"/>
    <w:basedOn w:val="Normal"/>
    <w:rsid w:val="004C45FD"/>
    <w:pPr>
      <w:overflowPunct/>
      <w:autoSpaceDE/>
      <w:autoSpaceDN/>
      <w:adjustRightInd/>
      <w:spacing w:before="100" w:beforeAutospacing="1" w:after="100" w:afterAutospacing="1"/>
      <w:textAlignment w:val="auto"/>
    </w:pPr>
    <w:rPr>
      <w:lang w:eastAsia="es-CO"/>
    </w:rPr>
  </w:style>
  <w:style w:type="character" w:customStyle="1" w:styleId="style12">
    <w:name w:val="style12"/>
    <w:basedOn w:val="Fuentedeprrafopredeter"/>
    <w:rsid w:val="009F2868"/>
  </w:style>
  <w:style w:type="character" w:customStyle="1" w:styleId="style43">
    <w:name w:val="style43"/>
    <w:basedOn w:val="Fuentedeprrafopredeter"/>
    <w:rsid w:val="009F2868"/>
  </w:style>
  <w:style w:type="paragraph" w:customStyle="1" w:styleId="Diamante">
    <w:name w:val="Diamante"/>
    <w:basedOn w:val="Normal"/>
    <w:autoRedefine/>
    <w:qFormat/>
    <w:rsid w:val="00B949E3"/>
    <w:pPr>
      <w:numPr>
        <w:numId w:val="410"/>
      </w:numPr>
      <w:overflowPunct/>
      <w:autoSpaceDE/>
      <w:autoSpaceDN/>
      <w:adjustRightInd/>
      <w:ind w:left="567" w:hanging="567"/>
      <w:textAlignment w:val="auto"/>
    </w:pPr>
    <w:rPr>
      <w:rFonts w:eastAsia="Calibri"/>
      <w:b/>
      <w:szCs w:val="22"/>
      <w:lang w:eastAsia="en-US"/>
    </w:rPr>
  </w:style>
  <w:style w:type="paragraph" w:customStyle="1" w:styleId="Diamantico">
    <w:name w:val="Diamantico"/>
    <w:basedOn w:val="Normal"/>
    <w:link w:val="DiamanticoCar"/>
    <w:qFormat/>
    <w:rsid w:val="009F2868"/>
    <w:pPr>
      <w:numPr>
        <w:numId w:val="10"/>
      </w:numPr>
      <w:overflowPunct/>
      <w:autoSpaceDE/>
      <w:autoSpaceDN/>
      <w:adjustRightInd/>
      <w:textAlignment w:val="auto"/>
    </w:pPr>
    <w:rPr>
      <w:rFonts w:cs="Arial"/>
      <w:b/>
      <w:sz w:val="20"/>
      <w:szCs w:val="20"/>
    </w:rPr>
  </w:style>
  <w:style w:type="character" w:customStyle="1" w:styleId="DiamanticoCar">
    <w:name w:val="Diamantico Car"/>
    <w:link w:val="Diamantico"/>
    <w:rsid w:val="009F2868"/>
    <w:rPr>
      <w:rFonts w:ascii="Arial" w:hAnsi="Arial" w:cs="Arial"/>
      <w:b/>
      <w:sz w:val="20"/>
      <w:szCs w:val="20"/>
      <w:lang w:val="es-ES" w:eastAsia="es-ES"/>
    </w:rPr>
  </w:style>
  <w:style w:type="paragraph" w:customStyle="1" w:styleId="bolita">
    <w:name w:val="bolita"/>
    <w:basedOn w:val="Sinespaciado"/>
    <w:unhideWhenUsed/>
    <w:qFormat/>
    <w:rsid w:val="009F2868"/>
    <w:pPr>
      <w:numPr>
        <w:numId w:val="11"/>
      </w:numPr>
      <w:jc w:val="both"/>
    </w:pPr>
    <w:rPr>
      <w:rFonts w:ascii="Arial" w:eastAsia="Calibri" w:hAnsi="Arial" w:cs="Arial"/>
      <w:noProof/>
      <w:sz w:val="20"/>
      <w:szCs w:val="24"/>
      <w:lang w:eastAsia="es-CO" w:bidi="en-US"/>
    </w:rPr>
  </w:style>
  <w:style w:type="numbering" w:customStyle="1" w:styleId="Sinlista1">
    <w:name w:val="Sin lista1"/>
    <w:next w:val="Sinlista"/>
    <w:uiPriority w:val="99"/>
    <w:semiHidden/>
    <w:unhideWhenUsed/>
    <w:rsid w:val="009F2868"/>
  </w:style>
  <w:style w:type="character" w:customStyle="1" w:styleId="normaltextrun">
    <w:name w:val="normaltextrun"/>
    <w:basedOn w:val="Fuentedeprrafopredeter"/>
    <w:rsid w:val="00B92F2E"/>
  </w:style>
  <w:style w:type="character" w:customStyle="1" w:styleId="eop">
    <w:name w:val="eop"/>
    <w:basedOn w:val="Fuentedeprrafopredeter"/>
    <w:rsid w:val="00C11E09"/>
  </w:style>
  <w:style w:type="paragraph" w:customStyle="1" w:styleId="paragraph">
    <w:name w:val="paragraph"/>
    <w:basedOn w:val="Normal"/>
    <w:rsid w:val="00C11E09"/>
    <w:pPr>
      <w:overflowPunct/>
      <w:autoSpaceDE/>
      <w:autoSpaceDN/>
      <w:adjustRightInd/>
      <w:spacing w:before="100" w:beforeAutospacing="1" w:after="100" w:afterAutospacing="1"/>
      <w:textAlignment w:val="auto"/>
    </w:pPr>
    <w:rPr>
      <w:lang w:val="en-US" w:eastAsia="en-US"/>
    </w:rPr>
  </w:style>
  <w:style w:type="character" w:customStyle="1" w:styleId="anchor-text">
    <w:name w:val="anchor-text"/>
    <w:basedOn w:val="Fuentedeprrafopredeter"/>
    <w:rsid w:val="001877BD"/>
  </w:style>
  <w:style w:type="character" w:customStyle="1" w:styleId="Mencinsinresolver1">
    <w:name w:val="Mención sin resolver1"/>
    <w:basedOn w:val="Fuentedeprrafopredeter"/>
    <w:uiPriority w:val="99"/>
    <w:semiHidden/>
    <w:unhideWhenUsed/>
    <w:rsid w:val="00A101A4"/>
    <w:rPr>
      <w:color w:val="605E5C"/>
      <w:shd w:val="clear" w:color="auto" w:fill="E1DFDD"/>
    </w:rPr>
  </w:style>
  <w:style w:type="character" w:customStyle="1" w:styleId="Mencinsinresolver2">
    <w:name w:val="Mención sin resolver2"/>
    <w:basedOn w:val="Fuentedeprrafopredeter"/>
    <w:uiPriority w:val="99"/>
    <w:semiHidden/>
    <w:unhideWhenUsed/>
    <w:rsid w:val="006947D2"/>
    <w:rPr>
      <w:color w:val="605E5C"/>
      <w:shd w:val="clear" w:color="auto" w:fill="E1DFDD"/>
    </w:rPr>
  </w:style>
  <w:style w:type="character" w:customStyle="1" w:styleId="Mencinsinresolver3">
    <w:name w:val="Mención sin resolver3"/>
    <w:basedOn w:val="Fuentedeprrafopredeter"/>
    <w:uiPriority w:val="99"/>
    <w:semiHidden/>
    <w:unhideWhenUsed/>
    <w:rsid w:val="002E748A"/>
    <w:rPr>
      <w:color w:val="605E5C"/>
      <w:shd w:val="clear" w:color="auto" w:fill="E1DFDD"/>
    </w:rPr>
  </w:style>
  <w:style w:type="character" w:customStyle="1" w:styleId="mark6o6dnpdvw">
    <w:name w:val="mark6o6dnpdvw"/>
    <w:basedOn w:val="Fuentedeprrafopredeter"/>
    <w:rsid w:val="00D42E26"/>
  </w:style>
  <w:style w:type="character" w:customStyle="1" w:styleId="markh5mgcd5h2">
    <w:name w:val="markh5mgcd5h2"/>
    <w:basedOn w:val="Fuentedeprrafopredeter"/>
    <w:rsid w:val="00D42E26"/>
  </w:style>
  <w:style w:type="character" w:customStyle="1" w:styleId="Mencinsinresolver30">
    <w:name w:val="Mención sin resolver30"/>
    <w:basedOn w:val="Fuentedeprrafopredeter"/>
    <w:uiPriority w:val="99"/>
    <w:semiHidden/>
    <w:unhideWhenUsed/>
    <w:rsid w:val="001D5925"/>
    <w:rPr>
      <w:color w:val="605E5C"/>
      <w:shd w:val="clear" w:color="auto" w:fill="E1DFDD"/>
    </w:rPr>
  </w:style>
  <w:style w:type="character" w:customStyle="1" w:styleId="Mencinsinresolver4">
    <w:name w:val="Mención sin resolver4"/>
    <w:basedOn w:val="Fuentedeprrafopredeter"/>
    <w:uiPriority w:val="99"/>
    <w:semiHidden/>
    <w:unhideWhenUsed/>
    <w:rsid w:val="004F3CBD"/>
    <w:rPr>
      <w:color w:val="605E5C"/>
      <w:shd w:val="clear" w:color="auto" w:fill="E1DFDD"/>
    </w:rPr>
  </w:style>
  <w:style w:type="character" w:customStyle="1" w:styleId="Mencinsinresolver5">
    <w:name w:val="Mención sin resolver5"/>
    <w:basedOn w:val="Fuentedeprrafopredeter"/>
    <w:uiPriority w:val="99"/>
    <w:semiHidden/>
    <w:unhideWhenUsed/>
    <w:rsid w:val="00953095"/>
    <w:rPr>
      <w:color w:val="605E5C"/>
      <w:shd w:val="clear" w:color="auto" w:fill="E1DFDD"/>
    </w:rPr>
  </w:style>
  <w:style w:type="character" w:customStyle="1" w:styleId="Mencinsinresolver300">
    <w:name w:val="Mención sin resolver300"/>
    <w:basedOn w:val="Fuentedeprrafopredeter"/>
    <w:uiPriority w:val="99"/>
    <w:semiHidden/>
    <w:unhideWhenUsed/>
    <w:rsid w:val="009B44F3"/>
    <w:rPr>
      <w:color w:val="605E5C"/>
      <w:shd w:val="clear" w:color="auto" w:fill="E1DFDD"/>
    </w:rPr>
  </w:style>
  <w:style w:type="character" w:customStyle="1" w:styleId="Mencinsinresolver3000">
    <w:name w:val="Mención sin resolver3000"/>
    <w:basedOn w:val="Fuentedeprrafopredeter"/>
    <w:uiPriority w:val="99"/>
    <w:semiHidden/>
    <w:unhideWhenUsed/>
    <w:rsid w:val="00FE4BE4"/>
    <w:rPr>
      <w:color w:val="605E5C"/>
      <w:shd w:val="clear" w:color="auto" w:fill="E1DFDD"/>
    </w:rPr>
  </w:style>
  <w:style w:type="character" w:customStyle="1" w:styleId="Mencinsinresolver6">
    <w:name w:val="Mención sin resolver6"/>
    <w:basedOn w:val="Fuentedeprrafopredeter"/>
    <w:uiPriority w:val="99"/>
    <w:semiHidden/>
    <w:unhideWhenUsed/>
    <w:rsid w:val="00A31B8C"/>
    <w:rPr>
      <w:color w:val="605E5C"/>
      <w:shd w:val="clear" w:color="auto" w:fill="E1DFDD"/>
    </w:rPr>
  </w:style>
  <w:style w:type="character" w:customStyle="1" w:styleId="term">
    <w:name w:val="term"/>
    <w:basedOn w:val="Fuentedeprrafopredeter"/>
    <w:rsid w:val="00DB60CF"/>
  </w:style>
  <w:style w:type="character" w:customStyle="1" w:styleId="A3">
    <w:name w:val="A3"/>
    <w:uiPriority w:val="99"/>
    <w:rsid w:val="00792F74"/>
    <w:rPr>
      <w:rFonts w:cs="Work Sans"/>
      <w:color w:val="000000"/>
      <w:sz w:val="22"/>
      <w:szCs w:val="22"/>
    </w:rPr>
  </w:style>
  <w:style w:type="character" w:customStyle="1" w:styleId="Mencinsinresolver7">
    <w:name w:val="Mención sin resolver7"/>
    <w:basedOn w:val="Fuentedeprrafopredeter"/>
    <w:uiPriority w:val="99"/>
    <w:semiHidden/>
    <w:unhideWhenUsed/>
    <w:rsid w:val="00AF3811"/>
    <w:rPr>
      <w:color w:val="605E5C"/>
      <w:shd w:val="clear" w:color="auto" w:fill="E1DFDD"/>
    </w:rPr>
  </w:style>
  <w:style w:type="character" w:customStyle="1" w:styleId="Mencinsinresolver8">
    <w:name w:val="Mención sin resolver8"/>
    <w:basedOn w:val="Fuentedeprrafopredeter"/>
    <w:uiPriority w:val="99"/>
    <w:semiHidden/>
    <w:unhideWhenUsed/>
    <w:rsid w:val="001C7D44"/>
    <w:rPr>
      <w:color w:val="605E5C"/>
      <w:shd w:val="clear" w:color="auto" w:fill="E1DFDD"/>
    </w:rPr>
  </w:style>
  <w:style w:type="character" w:customStyle="1" w:styleId="Mencinsinresolver9">
    <w:name w:val="Mención sin resolver9"/>
    <w:basedOn w:val="Fuentedeprrafopredeter"/>
    <w:uiPriority w:val="99"/>
    <w:semiHidden/>
    <w:unhideWhenUsed/>
    <w:rsid w:val="008C1DB0"/>
    <w:rPr>
      <w:color w:val="605E5C"/>
      <w:shd w:val="clear" w:color="auto" w:fill="E1DFDD"/>
    </w:rPr>
  </w:style>
  <w:style w:type="table" w:styleId="Tablaconcuadrcula2-nfasis1">
    <w:name w:val="Grid Table 2 Accent 1"/>
    <w:basedOn w:val="Tablanormal"/>
    <w:uiPriority w:val="47"/>
    <w:rsid w:val="007D4645"/>
    <w:rPr>
      <w:rFonts w:asciiTheme="minorHAnsi" w:eastAsiaTheme="minorHAnsi" w:hAnsiTheme="minorHAnsi" w:cstheme="minorBidi"/>
      <w:sz w:val="22"/>
      <w:szCs w:val="22"/>
      <w:lang w:val="es-MX"/>
    </w:r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styleId="Mencinsinresolver">
    <w:name w:val="Unresolved Mention"/>
    <w:basedOn w:val="Fuentedeprrafopredeter"/>
    <w:uiPriority w:val="99"/>
    <w:semiHidden/>
    <w:unhideWhenUsed/>
    <w:rsid w:val="00EC5EDE"/>
    <w:rPr>
      <w:color w:val="605E5C"/>
      <w:shd w:val="clear" w:color="auto" w:fill="E1DFDD"/>
    </w:rPr>
  </w:style>
  <w:style w:type="character" w:customStyle="1" w:styleId="ui-provider">
    <w:name w:val="ui-provider"/>
    <w:basedOn w:val="Fuentedeprrafopredeter"/>
    <w:rsid w:val="0004436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74264">
      <w:bodyDiv w:val="1"/>
      <w:marLeft w:val="0"/>
      <w:marRight w:val="0"/>
      <w:marTop w:val="0"/>
      <w:marBottom w:val="0"/>
      <w:divBdr>
        <w:top w:val="none" w:sz="0" w:space="0" w:color="auto"/>
        <w:left w:val="none" w:sz="0" w:space="0" w:color="auto"/>
        <w:bottom w:val="none" w:sz="0" w:space="0" w:color="auto"/>
        <w:right w:val="none" w:sz="0" w:space="0" w:color="auto"/>
      </w:divBdr>
    </w:div>
    <w:div w:id="4401994">
      <w:bodyDiv w:val="1"/>
      <w:marLeft w:val="0"/>
      <w:marRight w:val="0"/>
      <w:marTop w:val="0"/>
      <w:marBottom w:val="0"/>
      <w:divBdr>
        <w:top w:val="none" w:sz="0" w:space="0" w:color="auto"/>
        <w:left w:val="none" w:sz="0" w:space="0" w:color="auto"/>
        <w:bottom w:val="none" w:sz="0" w:space="0" w:color="auto"/>
        <w:right w:val="none" w:sz="0" w:space="0" w:color="auto"/>
      </w:divBdr>
    </w:div>
    <w:div w:id="58945715">
      <w:bodyDiv w:val="1"/>
      <w:marLeft w:val="0"/>
      <w:marRight w:val="0"/>
      <w:marTop w:val="0"/>
      <w:marBottom w:val="0"/>
      <w:divBdr>
        <w:top w:val="none" w:sz="0" w:space="0" w:color="auto"/>
        <w:left w:val="none" w:sz="0" w:space="0" w:color="auto"/>
        <w:bottom w:val="none" w:sz="0" w:space="0" w:color="auto"/>
        <w:right w:val="none" w:sz="0" w:space="0" w:color="auto"/>
      </w:divBdr>
      <w:divsChild>
        <w:div w:id="1101610345">
          <w:marLeft w:val="0"/>
          <w:marRight w:val="0"/>
          <w:marTop w:val="0"/>
          <w:marBottom w:val="0"/>
          <w:divBdr>
            <w:top w:val="none" w:sz="0" w:space="0" w:color="auto"/>
            <w:left w:val="none" w:sz="0" w:space="0" w:color="auto"/>
            <w:bottom w:val="none" w:sz="0" w:space="0" w:color="auto"/>
            <w:right w:val="none" w:sz="0" w:space="0" w:color="auto"/>
          </w:divBdr>
        </w:div>
      </w:divsChild>
    </w:div>
    <w:div w:id="63335464">
      <w:bodyDiv w:val="1"/>
      <w:marLeft w:val="0"/>
      <w:marRight w:val="0"/>
      <w:marTop w:val="0"/>
      <w:marBottom w:val="0"/>
      <w:divBdr>
        <w:top w:val="none" w:sz="0" w:space="0" w:color="auto"/>
        <w:left w:val="none" w:sz="0" w:space="0" w:color="auto"/>
        <w:bottom w:val="none" w:sz="0" w:space="0" w:color="auto"/>
        <w:right w:val="none" w:sz="0" w:space="0" w:color="auto"/>
      </w:divBdr>
    </w:div>
    <w:div w:id="114839303">
      <w:bodyDiv w:val="1"/>
      <w:marLeft w:val="0"/>
      <w:marRight w:val="0"/>
      <w:marTop w:val="0"/>
      <w:marBottom w:val="0"/>
      <w:divBdr>
        <w:top w:val="none" w:sz="0" w:space="0" w:color="auto"/>
        <w:left w:val="none" w:sz="0" w:space="0" w:color="auto"/>
        <w:bottom w:val="none" w:sz="0" w:space="0" w:color="auto"/>
        <w:right w:val="none" w:sz="0" w:space="0" w:color="auto"/>
      </w:divBdr>
    </w:div>
    <w:div w:id="121121204">
      <w:bodyDiv w:val="1"/>
      <w:marLeft w:val="0"/>
      <w:marRight w:val="0"/>
      <w:marTop w:val="0"/>
      <w:marBottom w:val="0"/>
      <w:divBdr>
        <w:top w:val="none" w:sz="0" w:space="0" w:color="auto"/>
        <w:left w:val="none" w:sz="0" w:space="0" w:color="auto"/>
        <w:bottom w:val="none" w:sz="0" w:space="0" w:color="auto"/>
        <w:right w:val="none" w:sz="0" w:space="0" w:color="auto"/>
      </w:divBdr>
    </w:div>
    <w:div w:id="125894773">
      <w:bodyDiv w:val="1"/>
      <w:marLeft w:val="0"/>
      <w:marRight w:val="0"/>
      <w:marTop w:val="0"/>
      <w:marBottom w:val="0"/>
      <w:divBdr>
        <w:top w:val="none" w:sz="0" w:space="0" w:color="auto"/>
        <w:left w:val="none" w:sz="0" w:space="0" w:color="auto"/>
        <w:bottom w:val="none" w:sz="0" w:space="0" w:color="auto"/>
        <w:right w:val="none" w:sz="0" w:space="0" w:color="auto"/>
      </w:divBdr>
    </w:div>
    <w:div w:id="140736713">
      <w:bodyDiv w:val="1"/>
      <w:marLeft w:val="0"/>
      <w:marRight w:val="0"/>
      <w:marTop w:val="0"/>
      <w:marBottom w:val="0"/>
      <w:divBdr>
        <w:top w:val="none" w:sz="0" w:space="0" w:color="auto"/>
        <w:left w:val="none" w:sz="0" w:space="0" w:color="auto"/>
        <w:bottom w:val="none" w:sz="0" w:space="0" w:color="auto"/>
        <w:right w:val="none" w:sz="0" w:space="0" w:color="auto"/>
      </w:divBdr>
    </w:div>
    <w:div w:id="155189931">
      <w:bodyDiv w:val="1"/>
      <w:marLeft w:val="0"/>
      <w:marRight w:val="0"/>
      <w:marTop w:val="0"/>
      <w:marBottom w:val="0"/>
      <w:divBdr>
        <w:top w:val="none" w:sz="0" w:space="0" w:color="auto"/>
        <w:left w:val="none" w:sz="0" w:space="0" w:color="auto"/>
        <w:bottom w:val="none" w:sz="0" w:space="0" w:color="auto"/>
        <w:right w:val="none" w:sz="0" w:space="0" w:color="auto"/>
      </w:divBdr>
    </w:div>
    <w:div w:id="174198032">
      <w:bodyDiv w:val="1"/>
      <w:marLeft w:val="0"/>
      <w:marRight w:val="0"/>
      <w:marTop w:val="0"/>
      <w:marBottom w:val="0"/>
      <w:divBdr>
        <w:top w:val="none" w:sz="0" w:space="0" w:color="auto"/>
        <w:left w:val="none" w:sz="0" w:space="0" w:color="auto"/>
        <w:bottom w:val="none" w:sz="0" w:space="0" w:color="auto"/>
        <w:right w:val="none" w:sz="0" w:space="0" w:color="auto"/>
      </w:divBdr>
      <w:divsChild>
        <w:div w:id="445151078">
          <w:marLeft w:val="0"/>
          <w:marRight w:val="0"/>
          <w:marTop w:val="0"/>
          <w:marBottom w:val="0"/>
          <w:divBdr>
            <w:top w:val="none" w:sz="0" w:space="0" w:color="auto"/>
            <w:left w:val="none" w:sz="0" w:space="0" w:color="auto"/>
            <w:bottom w:val="none" w:sz="0" w:space="0" w:color="auto"/>
            <w:right w:val="none" w:sz="0" w:space="0" w:color="auto"/>
          </w:divBdr>
        </w:div>
        <w:div w:id="795493275">
          <w:marLeft w:val="0"/>
          <w:marRight w:val="0"/>
          <w:marTop w:val="0"/>
          <w:marBottom w:val="0"/>
          <w:divBdr>
            <w:top w:val="none" w:sz="0" w:space="0" w:color="auto"/>
            <w:left w:val="none" w:sz="0" w:space="0" w:color="auto"/>
            <w:bottom w:val="none" w:sz="0" w:space="0" w:color="auto"/>
            <w:right w:val="none" w:sz="0" w:space="0" w:color="auto"/>
          </w:divBdr>
        </w:div>
        <w:div w:id="1103037090">
          <w:marLeft w:val="0"/>
          <w:marRight w:val="0"/>
          <w:marTop w:val="0"/>
          <w:marBottom w:val="0"/>
          <w:divBdr>
            <w:top w:val="none" w:sz="0" w:space="0" w:color="auto"/>
            <w:left w:val="none" w:sz="0" w:space="0" w:color="auto"/>
            <w:bottom w:val="none" w:sz="0" w:space="0" w:color="auto"/>
            <w:right w:val="none" w:sz="0" w:space="0" w:color="auto"/>
          </w:divBdr>
        </w:div>
      </w:divsChild>
    </w:div>
    <w:div w:id="196938726">
      <w:bodyDiv w:val="1"/>
      <w:marLeft w:val="0"/>
      <w:marRight w:val="0"/>
      <w:marTop w:val="0"/>
      <w:marBottom w:val="0"/>
      <w:divBdr>
        <w:top w:val="none" w:sz="0" w:space="0" w:color="auto"/>
        <w:left w:val="none" w:sz="0" w:space="0" w:color="auto"/>
        <w:bottom w:val="none" w:sz="0" w:space="0" w:color="auto"/>
        <w:right w:val="none" w:sz="0" w:space="0" w:color="auto"/>
      </w:divBdr>
    </w:div>
    <w:div w:id="202332332">
      <w:bodyDiv w:val="1"/>
      <w:marLeft w:val="0"/>
      <w:marRight w:val="0"/>
      <w:marTop w:val="0"/>
      <w:marBottom w:val="0"/>
      <w:divBdr>
        <w:top w:val="none" w:sz="0" w:space="0" w:color="auto"/>
        <w:left w:val="none" w:sz="0" w:space="0" w:color="auto"/>
        <w:bottom w:val="none" w:sz="0" w:space="0" w:color="auto"/>
        <w:right w:val="none" w:sz="0" w:space="0" w:color="auto"/>
      </w:divBdr>
    </w:div>
    <w:div w:id="204567397">
      <w:bodyDiv w:val="1"/>
      <w:marLeft w:val="0"/>
      <w:marRight w:val="0"/>
      <w:marTop w:val="0"/>
      <w:marBottom w:val="0"/>
      <w:divBdr>
        <w:top w:val="none" w:sz="0" w:space="0" w:color="auto"/>
        <w:left w:val="none" w:sz="0" w:space="0" w:color="auto"/>
        <w:bottom w:val="none" w:sz="0" w:space="0" w:color="auto"/>
        <w:right w:val="none" w:sz="0" w:space="0" w:color="auto"/>
      </w:divBdr>
    </w:div>
    <w:div w:id="205532161">
      <w:bodyDiv w:val="1"/>
      <w:marLeft w:val="0"/>
      <w:marRight w:val="0"/>
      <w:marTop w:val="0"/>
      <w:marBottom w:val="0"/>
      <w:divBdr>
        <w:top w:val="none" w:sz="0" w:space="0" w:color="auto"/>
        <w:left w:val="none" w:sz="0" w:space="0" w:color="auto"/>
        <w:bottom w:val="none" w:sz="0" w:space="0" w:color="auto"/>
        <w:right w:val="none" w:sz="0" w:space="0" w:color="auto"/>
      </w:divBdr>
    </w:div>
    <w:div w:id="228468769">
      <w:bodyDiv w:val="1"/>
      <w:marLeft w:val="0"/>
      <w:marRight w:val="0"/>
      <w:marTop w:val="0"/>
      <w:marBottom w:val="0"/>
      <w:divBdr>
        <w:top w:val="none" w:sz="0" w:space="0" w:color="auto"/>
        <w:left w:val="none" w:sz="0" w:space="0" w:color="auto"/>
        <w:bottom w:val="none" w:sz="0" w:space="0" w:color="auto"/>
        <w:right w:val="none" w:sz="0" w:space="0" w:color="auto"/>
      </w:divBdr>
    </w:div>
    <w:div w:id="237519696">
      <w:bodyDiv w:val="1"/>
      <w:marLeft w:val="0"/>
      <w:marRight w:val="0"/>
      <w:marTop w:val="0"/>
      <w:marBottom w:val="0"/>
      <w:divBdr>
        <w:top w:val="none" w:sz="0" w:space="0" w:color="auto"/>
        <w:left w:val="none" w:sz="0" w:space="0" w:color="auto"/>
        <w:bottom w:val="none" w:sz="0" w:space="0" w:color="auto"/>
        <w:right w:val="none" w:sz="0" w:space="0" w:color="auto"/>
      </w:divBdr>
    </w:div>
    <w:div w:id="258225034">
      <w:bodyDiv w:val="1"/>
      <w:marLeft w:val="0"/>
      <w:marRight w:val="0"/>
      <w:marTop w:val="0"/>
      <w:marBottom w:val="0"/>
      <w:divBdr>
        <w:top w:val="none" w:sz="0" w:space="0" w:color="auto"/>
        <w:left w:val="none" w:sz="0" w:space="0" w:color="auto"/>
        <w:bottom w:val="none" w:sz="0" w:space="0" w:color="auto"/>
        <w:right w:val="none" w:sz="0" w:space="0" w:color="auto"/>
      </w:divBdr>
    </w:div>
    <w:div w:id="271593858">
      <w:bodyDiv w:val="1"/>
      <w:marLeft w:val="0"/>
      <w:marRight w:val="0"/>
      <w:marTop w:val="0"/>
      <w:marBottom w:val="0"/>
      <w:divBdr>
        <w:top w:val="none" w:sz="0" w:space="0" w:color="auto"/>
        <w:left w:val="none" w:sz="0" w:space="0" w:color="auto"/>
        <w:bottom w:val="none" w:sz="0" w:space="0" w:color="auto"/>
        <w:right w:val="none" w:sz="0" w:space="0" w:color="auto"/>
      </w:divBdr>
    </w:div>
    <w:div w:id="272053616">
      <w:bodyDiv w:val="1"/>
      <w:marLeft w:val="0"/>
      <w:marRight w:val="0"/>
      <w:marTop w:val="0"/>
      <w:marBottom w:val="0"/>
      <w:divBdr>
        <w:top w:val="none" w:sz="0" w:space="0" w:color="auto"/>
        <w:left w:val="none" w:sz="0" w:space="0" w:color="auto"/>
        <w:bottom w:val="none" w:sz="0" w:space="0" w:color="auto"/>
        <w:right w:val="none" w:sz="0" w:space="0" w:color="auto"/>
      </w:divBdr>
    </w:div>
    <w:div w:id="279840850">
      <w:bodyDiv w:val="1"/>
      <w:marLeft w:val="0"/>
      <w:marRight w:val="0"/>
      <w:marTop w:val="0"/>
      <w:marBottom w:val="0"/>
      <w:divBdr>
        <w:top w:val="none" w:sz="0" w:space="0" w:color="auto"/>
        <w:left w:val="none" w:sz="0" w:space="0" w:color="auto"/>
        <w:bottom w:val="none" w:sz="0" w:space="0" w:color="auto"/>
        <w:right w:val="none" w:sz="0" w:space="0" w:color="auto"/>
      </w:divBdr>
    </w:div>
    <w:div w:id="289632794">
      <w:bodyDiv w:val="1"/>
      <w:marLeft w:val="0"/>
      <w:marRight w:val="0"/>
      <w:marTop w:val="0"/>
      <w:marBottom w:val="0"/>
      <w:divBdr>
        <w:top w:val="none" w:sz="0" w:space="0" w:color="auto"/>
        <w:left w:val="none" w:sz="0" w:space="0" w:color="auto"/>
        <w:bottom w:val="none" w:sz="0" w:space="0" w:color="auto"/>
        <w:right w:val="none" w:sz="0" w:space="0" w:color="auto"/>
      </w:divBdr>
    </w:div>
    <w:div w:id="309017058">
      <w:bodyDiv w:val="1"/>
      <w:marLeft w:val="0"/>
      <w:marRight w:val="0"/>
      <w:marTop w:val="0"/>
      <w:marBottom w:val="0"/>
      <w:divBdr>
        <w:top w:val="none" w:sz="0" w:space="0" w:color="auto"/>
        <w:left w:val="none" w:sz="0" w:space="0" w:color="auto"/>
        <w:bottom w:val="none" w:sz="0" w:space="0" w:color="auto"/>
        <w:right w:val="none" w:sz="0" w:space="0" w:color="auto"/>
      </w:divBdr>
    </w:div>
    <w:div w:id="314921813">
      <w:bodyDiv w:val="1"/>
      <w:marLeft w:val="0"/>
      <w:marRight w:val="0"/>
      <w:marTop w:val="0"/>
      <w:marBottom w:val="0"/>
      <w:divBdr>
        <w:top w:val="none" w:sz="0" w:space="0" w:color="auto"/>
        <w:left w:val="none" w:sz="0" w:space="0" w:color="auto"/>
        <w:bottom w:val="none" w:sz="0" w:space="0" w:color="auto"/>
        <w:right w:val="none" w:sz="0" w:space="0" w:color="auto"/>
      </w:divBdr>
    </w:div>
    <w:div w:id="319575210">
      <w:bodyDiv w:val="1"/>
      <w:marLeft w:val="0"/>
      <w:marRight w:val="0"/>
      <w:marTop w:val="0"/>
      <w:marBottom w:val="0"/>
      <w:divBdr>
        <w:top w:val="none" w:sz="0" w:space="0" w:color="auto"/>
        <w:left w:val="none" w:sz="0" w:space="0" w:color="auto"/>
        <w:bottom w:val="none" w:sz="0" w:space="0" w:color="auto"/>
        <w:right w:val="none" w:sz="0" w:space="0" w:color="auto"/>
      </w:divBdr>
    </w:div>
    <w:div w:id="356581434">
      <w:bodyDiv w:val="1"/>
      <w:marLeft w:val="0"/>
      <w:marRight w:val="0"/>
      <w:marTop w:val="0"/>
      <w:marBottom w:val="0"/>
      <w:divBdr>
        <w:top w:val="none" w:sz="0" w:space="0" w:color="auto"/>
        <w:left w:val="none" w:sz="0" w:space="0" w:color="auto"/>
        <w:bottom w:val="none" w:sz="0" w:space="0" w:color="auto"/>
        <w:right w:val="none" w:sz="0" w:space="0" w:color="auto"/>
      </w:divBdr>
    </w:div>
    <w:div w:id="377314635">
      <w:bodyDiv w:val="1"/>
      <w:marLeft w:val="0"/>
      <w:marRight w:val="0"/>
      <w:marTop w:val="0"/>
      <w:marBottom w:val="0"/>
      <w:divBdr>
        <w:top w:val="none" w:sz="0" w:space="0" w:color="auto"/>
        <w:left w:val="none" w:sz="0" w:space="0" w:color="auto"/>
        <w:bottom w:val="none" w:sz="0" w:space="0" w:color="auto"/>
        <w:right w:val="none" w:sz="0" w:space="0" w:color="auto"/>
      </w:divBdr>
    </w:div>
    <w:div w:id="379861947">
      <w:bodyDiv w:val="1"/>
      <w:marLeft w:val="0"/>
      <w:marRight w:val="0"/>
      <w:marTop w:val="0"/>
      <w:marBottom w:val="0"/>
      <w:divBdr>
        <w:top w:val="none" w:sz="0" w:space="0" w:color="auto"/>
        <w:left w:val="none" w:sz="0" w:space="0" w:color="auto"/>
        <w:bottom w:val="none" w:sz="0" w:space="0" w:color="auto"/>
        <w:right w:val="none" w:sz="0" w:space="0" w:color="auto"/>
      </w:divBdr>
    </w:div>
    <w:div w:id="403914589">
      <w:bodyDiv w:val="1"/>
      <w:marLeft w:val="0"/>
      <w:marRight w:val="0"/>
      <w:marTop w:val="0"/>
      <w:marBottom w:val="0"/>
      <w:divBdr>
        <w:top w:val="none" w:sz="0" w:space="0" w:color="auto"/>
        <w:left w:val="none" w:sz="0" w:space="0" w:color="auto"/>
        <w:bottom w:val="none" w:sz="0" w:space="0" w:color="auto"/>
        <w:right w:val="none" w:sz="0" w:space="0" w:color="auto"/>
      </w:divBdr>
    </w:div>
    <w:div w:id="406809076">
      <w:bodyDiv w:val="1"/>
      <w:marLeft w:val="0"/>
      <w:marRight w:val="0"/>
      <w:marTop w:val="0"/>
      <w:marBottom w:val="0"/>
      <w:divBdr>
        <w:top w:val="none" w:sz="0" w:space="0" w:color="auto"/>
        <w:left w:val="none" w:sz="0" w:space="0" w:color="auto"/>
        <w:bottom w:val="none" w:sz="0" w:space="0" w:color="auto"/>
        <w:right w:val="none" w:sz="0" w:space="0" w:color="auto"/>
      </w:divBdr>
    </w:div>
    <w:div w:id="422266946">
      <w:bodyDiv w:val="1"/>
      <w:marLeft w:val="0"/>
      <w:marRight w:val="0"/>
      <w:marTop w:val="0"/>
      <w:marBottom w:val="0"/>
      <w:divBdr>
        <w:top w:val="none" w:sz="0" w:space="0" w:color="auto"/>
        <w:left w:val="none" w:sz="0" w:space="0" w:color="auto"/>
        <w:bottom w:val="none" w:sz="0" w:space="0" w:color="auto"/>
        <w:right w:val="none" w:sz="0" w:space="0" w:color="auto"/>
      </w:divBdr>
    </w:div>
    <w:div w:id="430584956">
      <w:bodyDiv w:val="1"/>
      <w:marLeft w:val="0"/>
      <w:marRight w:val="0"/>
      <w:marTop w:val="0"/>
      <w:marBottom w:val="0"/>
      <w:divBdr>
        <w:top w:val="none" w:sz="0" w:space="0" w:color="auto"/>
        <w:left w:val="none" w:sz="0" w:space="0" w:color="auto"/>
        <w:bottom w:val="none" w:sz="0" w:space="0" w:color="auto"/>
        <w:right w:val="none" w:sz="0" w:space="0" w:color="auto"/>
      </w:divBdr>
    </w:div>
    <w:div w:id="433476122">
      <w:bodyDiv w:val="1"/>
      <w:marLeft w:val="0"/>
      <w:marRight w:val="0"/>
      <w:marTop w:val="0"/>
      <w:marBottom w:val="0"/>
      <w:divBdr>
        <w:top w:val="none" w:sz="0" w:space="0" w:color="auto"/>
        <w:left w:val="none" w:sz="0" w:space="0" w:color="auto"/>
        <w:bottom w:val="none" w:sz="0" w:space="0" w:color="auto"/>
        <w:right w:val="none" w:sz="0" w:space="0" w:color="auto"/>
      </w:divBdr>
    </w:div>
    <w:div w:id="441341558">
      <w:bodyDiv w:val="1"/>
      <w:marLeft w:val="0"/>
      <w:marRight w:val="0"/>
      <w:marTop w:val="0"/>
      <w:marBottom w:val="0"/>
      <w:divBdr>
        <w:top w:val="none" w:sz="0" w:space="0" w:color="auto"/>
        <w:left w:val="none" w:sz="0" w:space="0" w:color="auto"/>
        <w:bottom w:val="none" w:sz="0" w:space="0" w:color="auto"/>
        <w:right w:val="none" w:sz="0" w:space="0" w:color="auto"/>
      </w:divBdr>
    </w:div>
    <w:div w:id="451898915">
      <w:bodyDiv w:val="1"/>
      <w:marLeft w:val="0"/>
      <w:marRight w:val="0"/>
      <w:marTop w:val="0"/>
      <w:marBottom w:val="0"/>
      <w:divBdr>
        <w:top w:val="none" w:sz="0" w:space="0" w:color="auto"/>
        <w:left w:val="none" w:sz="0" w:space="0" w:color="auto"/>
        <w:bottom w:val="none" w:sz="0" w:space="0" w:color="auto"/>
        <w:right w:val="none" w:sz="0" w:space="0" w:color="auto"/>
      </w:divBdr>
    </w:div>
    <w:div w:id="459037823">
      <w:bodyDiv w:val="1"/>
      <w:marLeft w:val="0"/>
      <w:marRight w:val="0"/>
      <w:marTop w:val="0"/>
      <w:marBottom w:val="0"/>
      <w:divBdr>
        <w:top w:val="none" w:sz="0" w:space="0" w:color="auto"/>
        <w:left w:val="none" w:sz="0" w:space="0" w:color="auto"/>
        <w:bottom w:val="none" w:sz="0" w:space="0" w:color="auto"/>
        <w:right w:val="none" w:sz="0" w:space="0" w:color="auto"/>
      </w:divBdr>
    </w:div>
    <w:div w:id="472262319">
      <w:bodyDiv w:val="1"/>
      <w:marLeft w:val="0"/>
      <w:marRight w:val="0"/>
      <w:marTop w:val="0"/>
      <w:marBottom w:val="0"/>
      <w:divBdr>
        <w:top w:val="none" w:sz="0" w:space="0" w:color="auto"/>
        <w:left w:val="none" w:sz="0" w:space="0" w:color="auto"/>
        <w:bottom w:val="none" w:sz="0" w:space="0" w:color="auto"/>
        <w:right w:val="none" w:sz="0" w:space="0" w:color="auto"/>
      </w:divBdr>
    </w:div>
    <w:div w:id="486164958">
      <w:bodyDiv w:val="1"/>
      <w:marLeft w:val="0"/>
      <w:marRight w:val="0"/>
      <w:marTop w:val="0"/>
      <w:marBottom w:val="0"/>
      <w:divBdr>
        <w:top w:val="none" w:sz="0" w:space="0" w:color="auto"/>
        <w:left w:val="none" w:sz="0" w:space="0" w:color="auto"/>
        <w:bottom w:val="none" w:sz="0" w:space="0" w:color="auto"/>
        <w:right w:val="none" w:sz="0" w:space="0" w:color="auto"/>
      </w:divBdr>
    </w:div>
    <w:div w:id="490294996">
      <w:bodyDiv w:val="1"/>
      <w:marLeft w:val="0"/>
      <w:marRight w:val="0"/>
      <w:marTop w:val="0"/>
      <w:marBottom w:val="0"/>
      <w:divBdr>
        <w:top w:val="none" w:sz="0" w:space="0" w:color="auto"/>
        <w:left w:val="none" w:sz="0" w:space="0" w:color="auto"/>
        <w:bottom w:val="none" w:sz="0" w:space="0" w:color="auto"/>
        <w:right w:val="none" w:sz="0" w:space="0" w:color="auto"/>
      </w:divBdr>
    </w:div>
    <w:div w:id="495341758">
      <w:bodyDiv w:val="1"/>
      <w:marLeft w:val="0"/>
      <w:marRight w:val="0"/>
      <w:marTop w:val="0"/>
      <w:marBottom w:val="0"/>
      <w:divBdr>
        <w:top w:val="none" w:sz="0" w:space="0" w:color="auto"/>
        <w:left w:val="none" w:sz="0" w:space="0" w:color="auto"/>
        <w:bottom w:val="none" w:sz="0" w:space="0" w:color="auto"/>
        <w:right w:val="none" w:sz="0" w:space="0" w:color="auto"/>
      </w:divBdr>
      <w:divsChild>
        <w:div w:id="1060787033">
          <w:marLeft w:val="0"/>
          <w:marRight w:val="0"/>
          <w:marTop w:val="0"/>
          <w:marBottom w:val="0"/>
          <w:divBdr>
            <w:top w:val="none" w:sz="0" w:space="0" w:color="auto"/>
            <w:left w:val="none" w:sz="0" w:space="0" w:color="auto"/>
            <w:bottom w:val="none" w:sz="0" w:space="0" w:color="auto"/>
            <w:right w:val="none" w:sz="0" w:space="0" w:color="auto"/>
          </w:divBdr>
          <w:divsChild>
            <w:div w:id="1277370612">
              <w:marLeft w:val="0"/>
              <w:marRight w:val="0"/>
              <w:marTop w:val="0"/>
              <w:marBottom w:val="15"/>
              <w:divBdr>
                <w:top w:val="none" w:sz="0" w:space="0" w:color="auto"/>
                <w:left w:val="none" w:sz="0" w:space="0" w:color="auto"/>
                <w:bottom w:val="none" w:sz="0" w:space="0" w:color="auto"/>
                <w:right w:val="none" w:sz="0" w:space="0" w:color="auto"/>
              </w:divBdr>
              <w:divsChild>
                <w:div w:id="838540679">
                  <w:marLeft w:val="0"/>
                  <w:marRight w:val="0"/>
                  <w:marTop w:val="0"/>
                  <w:marBottom w:val="0"/>
                  <w:divBdr>
                    <w:top w:val="none" w:sz="0" w:space="0" w:color="auto"/>
                    <w:left w:val="none" w:sz="0" w:space="0" w:color="auto"/>
                    <w:bottom w:val="none" w:sz="0" w:space="0" w:color="auto"/>
                    <w:right w:val="none" w:sz="0" w:space="0" w:color="auto"/>
                  </w:divBdr>
                  <w:divsChild>
                    <w:div w:id="1693335351">
                      <w:marLeft w:val="0"/>
                      <w:marRight w:val="0"/>
                      <w:marTop w:val="0"/>
                      <w:marBottom w:val="0"/>
                      <w:divBdr>
                        <w:top w:val="none" w:sz="0" w:space="0" w:color="auto"/>
                        <w:left w:val="none" w:sz="0" w:space="0" w:color="auto"/>
                        <w:bottom w:val="none" w:sz="0" w:space="0" w:color="auto"/>
                        <w:right w:val="none" w:sz="0" w:space="0" w:color="auto"/>
                      </w:divBdr>
                      <w:divsChild>
                        <w:div w:id="1096555588">
                          <w:marLeft w:val="0"/>
                          <w:marRight w:val="0"/>
                          <w:marTop w:val="0"/>
                          <w:marBottom w:val="0"/>
                          <w:divBdr>
                            <w:top w:val="none" w:sz="0" w:space="0" w:color="auto"/>
                            <w:left w:val="none" w:sz="0" w:space="0" w:color="auto"/>
                            <w:bottom w:val="none" w:sz="0" w:space="0" w:color="auto"/>
                            <w:right w:val="none" w:sz="0" w:space="0" w:color="auto"/>
                          </w:divBdr>
                          <w:divsChild>
                            <w:div w:id="1390033489">
                              <w:marLeft w:val="0"/>
                              <w:marRight w:val="0"/>
                              <w:marTop w:val="0"/>
                              <w:marBottom w:val="0"/>
                              <w:divBdr>
                                <w:top w:val="none" w:sz="0" w:space="0" w:color="auto"/>
                                <w:left w:val="none" w:sz="0" w:space="0" w:color="auto"/>
                                <w:bottom w:val="none" w:sz="0" w:space="0" w:color="auto"/>
                                <w:right w:val="none" w:sz="0" w:space="0" w:color="auto"/>
                              </w:divBdr>
                              <w:divsChild>
                                <w:div w:id="2095009356">
                                  <w:marLeft w:val="0"/>
                                  <w:marRight w:val="0"/>
                                  <w:marTop w:val="0"/>
                                  <w:marBottom w:val="0"/>
                                  <w:divBdr>
                                    <w:top w:val="single" w:sz="2" w:space="0" w:color="EEEEEE"/>
                                    <w:left w:val="none" w:sz="0" w:space="0" w:color="auto"/>
                                    <w:bottom w:val="none" w:sz="0" w:space="0" w:color="auto"/>
                                    <w:right w:val="none" w:sz="0" w:space="0" w:color="auto"/>
                                  </w:divBdr>
                                  <w:divsChild>
                                    <w:div w:id="894925632">
                                      <w:marLeft w:val="0"/>
                                      <w:marRight w:val="0"/>
                                      <w:marTop w:val="0"/>
                                      <w:marBottom w:val="0"/>
                                      <w:divBdr>
                                        <w:top w:val="none" w:sz="0" w:space="0" w:color="auto"/>
                                        <w:left w:val="none" w:sz="0" w:space="0" w:color="auto"/>
                                        <w:bottom w:val="none" w:sz="0" w:space="0" w:color="auto"/>
                                        <w:right w:val="none" w:sz="0" w:space="0" w:color="auto"/>
                                      </w:divBdr>
                                      <w:divsChild>
                                        <w:div w:id="634413194">
                                          <w:marLeft w:val="0"/>
                                          <w:marRight w:val="0"/>
                                          <w:marTop w:val="0"/>
                                          <w:marBottom w:val="0"/>
                                          <w:divBdr>
                                            <w:top w:val="none" w:sz="0" w:space="0" w:color="auto"/>
                                            <w:left w:val="none" w:sz="0" w:space="0" w:color="auto"/>
                                            <w:bottom w:val="none" w:sz="0" w:space="0" w:color="auto"/>
                                            <w:right w:val="none" w:sz="0" w:space="0" w:color="auto"/>
                                          </w:divBdr>
                                          <w:divsChild>
                                            <w:div w:id="467163073">
                                              <w:marLeft w:val="0"/>
                                              <w:marRight w:val="0"/>
                                              <w:marTop w:val="0"/>
                                              <w:marBottom w:val="0"/>
                                              <w:divBdr>
                                                <w:top w:val="none" w:sz="0" w:space="0" w:color="auto"/>
                                                <w:left w:val="none" w:sz="0" w:space="0" w:color="auto"/>
                                                <w:bottom w:val="none" w:sz="0" w:space="0" w:color="auto"/>
                                                <w:right w:val="none" w:sz="0" w:space="0" w:color="auto"/>
                                              </w:divBdr>
                                              <w:divsChild>
                                                <w:div w:id="421528593">
                                                  <w:marLeft w:val="0"/>
                                                  <w:marRight w:val="0"/>
                                                  <w:marTop w:val="0"/>
                                                  <w:marBottom w:val="0"/>
                                                  <w:divBdr>
                                                    <w:top w:val="none" w:sz="0" w:space="0" w:color="auto"/>
                                                    <w:left w:val="none" w:sz="0" w:space="0" w:color="auto"/>
                                                    <w:bottom w:val="none" w:sz="0" w:space="0" w:color="auto"/>
                                                    <w:right w:val="none" w:sz="0" w:space="0" w:color="auto"/>
                                                  </w:divBdr>
                                                  <w:divsChild>
                                                    <w:div w:id="1617983901">
                                                      <w:marLeft w:val="0"/>
                                                      <w:marRight w:val="0"/>
                                                      <w:marTop w:val="0"/>
                                                      <w:marBottom w:val="0"/>
                                                      <w:divBdr>
                                                        <w:top w:val="none" w:sz="0" w:space="0" w:color="auto"/>
                                                        <w:left w:val="none" w:sz="0" w:space="0" w:color="auto"/>
                                                        <w:bottom w:val="none" w:sz="0" w:space="0" w:color="auto"/>
                                                        <w:right w:val="none" w:sz="0" w:space="0" w:color="auto"/>
                                                      </w:divBdr>
                                                      <w:divsChild>
                                                        <w:div w:id="2076004160">
                                                          <w:marLeft w:val="0"/>
                                                          <w:marRight w:val="0"/>
                                                          <w:marTop w:val="0"/>
                                                          <w:marBottom w:val="0"/>
                                                          <w:divBdr>
                                                            <w:top w:val="none" w:sz="0" w:space="0" w:color="auto"/>
                                                            <w:left w:val="none" w:sz="0" w:space="0" w:color="auto"/>
                                                            <w:bottom w:val="none" w:sz="0" w:space="0" w:color="auto"/>
                                                            <w:right w:val="none" w:sz="0" w:space="0" w:color="auto"/>
                                                          </w:divBdr>
                                                          <w:divsChild>
                                                            <w:div w:id="710112344">
                                                              <w:marLeft w:val="0"/>
                                                              <w:marRight w:val="0"/>
                                                              <w:marTop w:val="0"/>
                                                              <w:marBottom w:val="0"/>
                                                              <w:divBdr>
                                                                <w:top w:val="none" w:sz="0" w:space="0" w:color="auto"/>
                                                                <w:left w:val="none" w:sz="0" w:space="0" w:color="auto"/>
                                                                <w:bottom w:val="none" w:sz="0" w:space="0" w:color="auto"/>
                                                                <w:right w:val="none" w:sz="0" w:space="0" w:color="auto"/>
                                                              </w:divBdr>
                                                              <w:divsChild>
                                                                <w:div w:id="1766031160">
                                                                  <w:marLeft w:val="0"/>
                                                                  <w:marRight w:val="0"/>
                                                                  <w:marTop w:val="450"/>
                                                                  <w:marBottom w:val="450"/>
                                                                  <w:divBdr>
                                                                    <w:top w:val="none" w:sz="0" w:space="0" w:color="auto"/>
                                                                    <w:left w:val="none" w:sz="0" w:space="0" w:color="auto"/>
                                                                    <w:bottom w:val="none" w:sz="0" w:space="0" w:color="auto"/>
                                                                    <w:right w:val="none" w:sz="0" w:space="0" w:color="auto"/>
                                                                  </w:divBdr>
                                                                  <w:divsChild>
                                                                    <w:div w:id="1337074953">
                                                                      <w:marLeft w:val="0"/>
                                                                      <w:marRight w:val="0"/>
                                                                      <w:marTop w:val="0"/>
                                                                      <w:marBottom w:val="0"/>
                                                                      <w:divBdr>
                                                                        <w:top w:val="none" w:sz="0" w:space="0" w:color="auto"/>
                                                                        <w:left w:val="none" w:sz="0" w:space="0" w:color="auto"/>
                                                                        <w:bottom w:val="none" w:sz="0" w:space="0" w:color="auto"/>
                                                                        <w:right w:val="none" w:sz="0" w:space="0" w:color="auto"/>
                                                                      </w:divBdr>
                                                                      <w:divsChild>
                                                                        <w:div w:id="1059135275">
                                                                          <w:marLeft w:val="0"/>
                                                                          <w:marRight w:val="0"/>
                                                                          <w:marTop w:val="0"/>
                                                                          <w:marBottom w:val="0"/>
                                                                          <w:divBdr>
                                                                            <w:top w:val="none" w:sz="0" w:space="0" w:color="auto"/>
                                                                            <w:left w:val="none" w:sz="0" w:space="0" w:color="auto"/>
                                                                            <w:bottom w:val="none" w:sz="0" w:space="0" w:color="auto"/>
                                                                            <w:right w:val="none" w:sz="0" w:space="0" w:color="auto"/>
                                                                          </w:divBdr>
                                                                          <w:divsChild>
                                                                            <w:div w:id="1754547486">
                                                                              <w:marLeft w:val="0"/>
                                                                              <w:marRight w:val="0"/>
                                                                              <w:marTop w:val="0"/>
                                                                              <w:marBottom w:val="0"/>
                                                                              <w:divBdr>
                                                                                <w:top w:val="none" w:sz="0" w:space="0" w:color="auto"/>
                                                                                <w:left w:val="none" w:sz="0" w:space="0" w:color="auto"/>
                                                                                <w:bottom w:val="none" w:sz="0" w:space="0" w:color="auto"/>
                                                                                <w:right w:val="none" w:sz="0" w:space="0" w:color="auto"/>
                                                                              </w:divBdr>
                                                                              <w:divsChild>
                                                                                <w:div w:id="2012171515">
                                                                                  <w:marLeft w:val="0"/>
                                                                                  <w:marRight w:val="0"/>
                                                                                  <w:marTop w:val="0"/>
                                                                                  <w:marBottom w:val="0"/>
                                                                                  <w:divBdr>
                                                                                    <w:top w:val="none" w:sz="0" w:space="0" w:color="auto"/>
                                                                                    <w:left w:val="none" w:sz="0" w:space="0" w:color="auto"/>
                                                                                    <w:bottom w:val="none" w:sz="0" w:space="0" w:color="auto"/>
                                                                                    <w:right w:val="none" w:sz="0" w:space="0" w:color="auto"/>
                                                                                  </w:divBdr>
                                                                                  <w:divsChild>
                                                                                    <w:div w:id="794060300">
                                                                                      <w:marLeft w:val="0"/>
                                                                                      <w:marRight w:val="0"/>
                                                                                      <w:marTop w:val="0"/>
                                                                                      <w:marBottom w:val="375"/>
                                                                                      <w:divBdr>
                                                                                        <w:top w:val="none" w:sz="0" w:space="0" w:color="auto"/>
                                                                                        <w:left w:val="none" w:sz="0" w:space="0" w:color="auto"/>
                                                                                        <w:bottom w:val="none" w:sz="0" w:space="0" w:color="auto"/>
                                                                                        <w:right w:val="none" w:sz="0" w:space="0" w:color="auto"/>
                                                                                      </w:divBdr>
                                                                                      <w:divsChild>
                                                                                        <w:div w:id="1905487073">
                                                                                          <w:marLeft w:val="0"/>
                                                                                          <w:marRight w:val="0"/>
                                                                                          <w:marTop w:val="0"/>
                                                                                          <w:marBottom w:val="0"/>
                                                                                          <w:divBdr>
                                                                                            <w:top w:val="none" w:sz="0" w:space="0" w:color="auto"/>
                                                                                            <w:left w:val="none" w:sz="0" w:space="0" w:color="auto"/>
                                                                                            <w:bottom w:val="none" w:sz="0" w:space="0" w:color="auto"/>
                                                                                            <w:right w:val="none" w:sz="0" w:space="0" w:color="auto"/>
                                                                                          </w:divBdr>
                                                                                          <w:divsChild>
                                                                                            <w:div w:id="5596651">
                                                                                              <w:marLeft w:val="0"/>
                                                                                              <w:marRight w:val="0"/>
                                                                                              <w:marTop w:val="0"/>
                                                                                              <w:marBottom w:val="0"/>
                                                                                              <w:divBdr>
                                                                                                <w:top w:val="none" w:sz="0" w:space="0" w:color="auto"/>
                                                                                                <w:left w:val="none" w:sz="0" w:space="0" w:color="auto"/>
                                                                                                <w:bottom w:val="none" w:sz="0" w:space="0" w:color="auto"/>
                                                                                                <w:right w:val="none" w:sz="0" w:space="0" w:color="auto"/>
                                                                                              </w:divBdr>
                                                                                            </w:div>
                                                                                            <w:div w:id="76905675">
                                                                                              <w:marLeft w:val="0"/>
                                                                                              <w:marRight w:val="0"/>
                                                                                              <w:marTop w:val="0"/>
                                                                                              <w:marBottom w:val="0"/>
                                                                                              <w:divBdr>
                                                                                                <w:top w:val="none" w:sz="0" w:space="0" w:color="auto"/>
                                                                                                <w:left w:val="none" w:sz="0" w:space="0" w:color="auto"/>
                                                                                                <w:bottom w:val="none" w:sz="0" w:space="0" w:color="auto"/>
                                                                                                <w:right w:val="none" w:sz="0" w:space="0" w:color="auto"/>
                                                                                              </w:divBdr>
                                                                                            </w:div>
                                                                                            <w:div w:id="261185983">
                                                                                              <w:marLeft w:val="0"/>
                                                                                              <w:marRight w:val="0"/>
                                                                                              <w:marTop w:val="0"/>
                                                                                              <w:marBottom w:val="0"/>
                                                                                              <w:divBdr>
                                                                                                <w:top w:val="none" w:sz="0" w:space="0" w:color="auto"/>
                                                                                                <w:left w:val="none" w:sz="0" w:space="0" w:color="auto"/>
                                                                                                <w:bottom w:val="none" w:sz="0" w:space="0" w:color="auto"/>
                                                                                                <w:right w:val="none" w:sz="0" w:space="0" w:color="auto"/>
                                                                                              </w:divBdr>
                                                                                            </w:div>
                                                                                            <w:div w:id="379596436">
                                                                                              <w:marLeft w:val="0"/>
                                                                                              <w:marRight w:val="0"/>
                                                                                              <w:marTop w:val="0"/>
                                                                                              <w:marBottom w:val="0"/>
                                                                                              <w:divBdr>
                                                                                                <w:top w:val="none" w:sz="0" w:space="0" w:color="auto"/>
                                                                                                <w:left w:val="none" w:sz="0" w:space="0" w:color="auto"/>
                                                                                                <w:bottom w:val="none" w:sz="0" w:space="0" w:color="auto"/>
                                                                                                <w:right w:val="none" w:sz="0" w:space="0" w:color="auto"/>
                                                                                              </w:divBdr>
                                                                                            </w:div>
                                                                                            <w:div w:id="1954827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502474667">
      <w:bodyDiv w:val="1"/>
      <w:marLeft w:val="0"/>
      <w:marRight w:val="0"/>
      <w:marTop w:val="0"/>
      <w:marBottom w:val="0"/>
      <w:divBdr>
        <w:top w:val="none" w:sz="0" w:space="0" w:color="auto"/>
        <w:left w:val="none" w:sz="0" w:space="0" w:color="auto"/>
        <w:bottom w:val="none" w:sz="0" w:space="0" w:color="auto"/>
        <w:right w:val="none" w:sz="0" w:space="0" w:color="auto"/>
      </w:divBdr>
    </w:div>
    <w:div w:id="529025814">
      <w:bodyDiv w:val="1"/>
      <w:marLeft w:val="0"/>
      <w:marRight w:val="0"/>
      <w:marTop w:val="0"/>
      <w:marBottom w:val="0"/>
      <w:divBdr>
        <w:top w:val="none" w:sz="0" w:space="0" w:color="auto"/>
        <w:left w:val="none" w:sz="0" w:space="0" w:color="auto"/>
        <w:bottom w:val="none" w:sz="0" w:space="0" w:color="auto"/>
        <w:right w:val="none" w:sz="0" w:space="0" w:color="auto"/>
      </w:divBdr>
    </w:div>
    <w:div w:id="529298311">
      <w:bodyDiv w:val="1"/>
      <w:marLeft w:val="0"/>
      <w:marRight w:val="0"/>
      <w:marTop w:val="0"/>
      <w:marBottom w:val="0"/>
      <w:divBdr>
        <w:top w:val="none" w:sz="0" w:space="0" w:color="auto"/>
        <w:left w:val="none" w:sz="0" w:space="0" w:color="auto"/>
        <w:bottom w:val="none" w:sz="0" w:space="0" w:color="auto"/>
        <w:right w:val="none" w:sz="0" w:space="0" w:color="auto"/>
      </w:divBdr>
    </w:div>
    <w:div w:id="557521054">
      <w:bodyDiv w:val="1"/>
      <w:marLeft w:val="0"/>
      <w:marRight w:val="0"/>
      <w:marTop w:val="0"/>
      <w:marBottom w:val="0"/>
      <w:divBdr>
        <w:top w:val="none" w:sz="0" w:space="0" w:color="auto"/>
        <w:left w:val="none" w:sz="0" w:space="0" w:color="auto"/>
        <w:bottom w:val="none" w:sz="0" w:space="0" w:color="auto"/>
        <w:right w:val="none" w:sz="0" w:space="0" w:color="auto"/>
      </w:divBdr>
    </w:div>
    <w:div w:id="563418348">
      <w:bodyDiv w:val="1"/>
      <w:marLeft w:val="0"/>
      <w:marRight w:val="0"/>
      <w:marTop w:val="0"/>
      <w:marBottom w:val="0"/>
      <w:divBdr>
        <w:top w:val="none" w:sz="0" w:space="0" w:color="auto"/>
        <w:left w:val="none" w:sz="0" w:space="0" w:color="auto"/>
        <w:bottom w:val="none" w:sz="0" w:space="0" w:color="auto"/>
        <w:right w:val="none" w:sz="0" w:space="0" w:color="auto"/>
      </w:divBdr>
    </w:div>
    <w:div w:id="569393040">
      <w:bodyDiv w:val="1"/>
      <w:marLeft w:val="0"/>
      <w:marRight w:val="0"/>
      <w:marTop w:val="0"/>
      <w:marBottom w:val="0"/>
      <w:divBdr>
        <w:top w:val="none" w:sz="0" w:space="0" w:color="auto"/>
        <w:left w:val="none" w:sz="0" w:space="0" w:color="auto"/>
        <w:bottom w:val="none" w:sz="0" w:space="0" w:color="auto"/>
        <w:right w:val="none" w:sz="0" w:space="0" w:color="auto"/>
      </w:divBdr>
    </w:div>
    <w:div w:id="664239819">
      <w:bodyDiv w:val="1"/>
      <w:marLeft w:val="0"/>
      <w:marRight w:val="0"/>
      <w:marTop w:val="0"/>
      <w:marBottom w:val="0"/>
      <w:divBdr>
        <w:top w:val="none" w:sz="0" w:space="0" w:color="auto"/>
        <w:left w:val="none" w:sz="0" w:space="0" w:color="auto"/>
        <w:bottom w:val="none" w:sz="0" w:space="0" w:color="auto"/>
        <w:right w:val="none" w:sz="0" w:space="0" w:color="auto"/>
      </w:divBdr>
      <w:divsChild>
        <w:div w:id="559443503">
          <w:marLeft w:val="0"/>
          <w:marRight w:val="0"/>
          <w:marTop w:val="0"/>
          <w:marBottom w:val="0"/>
          <w:divBdr>
            <w:top w:val="none" w:sz="0" w:space="0" w:color="auto"/>
            <w:left w:val="none" w:sz="0" w:space="0" w:color="auto"/>
            <w:bottom w:val="none" w:sz="0" w:space="0" w:color="auto"/>
            <w:right w:val="none" w:sz="0" w:space="0" w:color="auto"/>
          </w:divBdr>
          <w:divsChild>
            <w:div w:id="602735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8603727">
      <w:bodyDiv w:val="1"/>
      <w:marLeft w:val="0"/>
      <w:marRight w:val="0"/>
      <w:marTop w:val="0"/>
      <w:marBottom w:val="0"/>
      <w:divBdr>
        <w:top w:val="none" w:sz="0" w:space="0" w:color="auto"/>
        <w:left w:val="none" w:sz="0" w:space="0" w:color="auto"/>
        <w:bottom w:val="none" w:sz="0" w:space="0" w:color="auto"/>
        <w:right w:val="none" w:sz="0" w:space="0" w:color="auto"/>
      </w:divBdr>
    </w:div>
    <w:div w:id="670985458">
      <w:bodyDiv w:val="1"/>
      <w:marLeft w:val="0"/>
      <w:marRight w:val="0"/>
      <w:marTop w:val="0"/>
      <w:marBottom w:val="0"/>
      <w:divBdr>
        <w:top w:val="none" w:sz="0" w:space="0" w:color="auto"/>
        <w:left w:val="none" w:sz="0" w:space="0" w:color="auto"/>
        <w:bottom w:val="none" w:sz="0" w:space="0" w:color="auto"/>
        <w:right w:val="none" w:sz="0" w:space="0" w:color="auto"/>
      </w:divBdr>
      <w:divsChild>
        <w:div w:id="1808235269">
          <w:marLeft w:val="446"/>
          <w:marRight w:val="0"/>
          <w:marTop w:val="0"/>
          <w:marBottom w:val="0"/>
          <w:divBdr>
            <w:top w:val="none" w:sz="0" w:space="0" w:color="auto"/>
            <w:left w:val="none" w:sz="0" w:space="0" w:color="auto"/>
            <w:bottom w:val="none" w:sz="0" w:space="0" w:color="auto"/>
            <w:right w:val="none" w:sz="0" w:space="0" w:color="auto"/>
          </w:divBdr>
        </w:div>
      </w:divsChild>
    </w:div>
    <w:div w:id="707339444">
      <w:bodyDiv w:val="1"/>
      <w:marLeft w:val="0"/>
      <w:marRight w:val="0"/>
      <w:marTop w:val="0"/>
      <w:marBottom w:val="0"/>
      <w:divBdr>
        <w:top w:val="none" w:sz="0" w:space="0" w:color="auto"/>
        <w:left w:val="none" w:sz="0" w:space="0" w:color="auto"/>
        <w:bottom w:val="none" w:sz="0" w:space="0" w:color="auto"/>
        <w:right w:val="none" w:sz="0" w:space="0" w:color="auto"/>
      </w:divBdr>
    </w:div>
    <w:div w:id="715082136">
      <w:bodyDiv w:val="1"/>
      <w:marLeft w:val="0"/>
      <w:marRight w:val="0"/>
      <w:marTop w:val="0"/>
      <w:marBottom w:val="0"/>
      <w:divBdr>
        <w:top w:val="none" w:sz="0" w:space="0" w:color="auto"/>
        <w:left w:val="none" w:sz="0" w:space="0" w:color="auto"/>
        <w:bottom w:val="none" w:sz="0" w:space="0" w:color="auto"/>
        <w:right w:val="none" w:sz="0" w:space="0" w:color="auto"/>
      </w:divBdr>
    </w:div>
    <w:div w:id="740252261">
      <w:bodyDiv w:val="1"/>
      <w:marLeft w:val="0"/>
      <w:marRight w:val="0"/>
      <w:marTop w:val="0"/>
      <w:marBottom w:val="0"/>
      <w:divBdr>
        <w:top w:val="none" w:sz="0" w:space="0" w:color="auto"/>
        <w:left w:val="none" w:sz="0" w:space="0" w:color="auto"/>
        <w:bottom w:val="none" w:sz="0" w:space="0" w:color="auto"/>
        <w:right w:val="none" w:sz="0" w:space="0" w:color="auto"/>
      </w:divBdr>
    </w:div>
    <w:div w:id="766921242">
      <w:bodyDiv w:val="1"/>
      <w:marLeft w:val="0"/>
      <w:marRight w:val="0"/>
      <w:marTop w:val="0"/>
      <w:marBottom w:val="0"/>
      <w:divBdr>
        <w:top w:val="none" w:sz="0" w:space="0" w:color="auto"/>
        <w:left w:val="none" w:sz="0" w:space="0" w:color="auto"/>
        <w:bottom w:val="none" w:sz="0" w:space="0" w:color="auto"/>
        <w:right w:val="none" w:sz="0" w:space="0" w:color="auto"/>
      </w:divBdr>
    </w:div>
    <w:div w:id="778065358">
      <w:bodyDiv w:val="1"/>
      <w:marLeft w:val="0"/>
      <w:marRight w:val="0"/>
      <w:marTop w:val="0"/>
      <w:marBottom w:val="0"/>
      <w:divBdr>
        <w:top w:val="none" w:sz="0" w:space="0" w:color="auto"/>
        <w:left w:val="none" w:sz="0" w:space="0" w:color="auto"/>
        <w:bottom w:val="none" w:sz="0" w:space="0" w:color="auto"/>
        <w:right w:val="none" w:sz="0" w:space="0" w:color="auto"/>
      </w:divBdr>
    </w:div>
    <w:div w:id="784037684">
      <w:bodyDiv w:val="1"/>
      <w:marLeft w:val="0"/>
      <w:marRight w:val="0"/>
      <w:marTop w:val="0"/>
      <w:marBottom w:val="0"/>
      <w:divBdr>
        <w:top w:val="none" w:sz="0" w:space="0" w:color="auto"/>
        <w:left w:val="none" w:sz="0" w:space="0" w:color="auto"/>
        <w:bottom w:val="none" w:sz="0" w:space="0" w:color="auto"/>
        <w:right w:val="none" w:sz="0" w:space="0" w:color="auto"/>
      </w:divBdr>
    </w:div>
    <w:div w:id="810444653">
      <w:bodyDiv w:val="1"/>
      <w:marLeft w:val="0"/>
      <w:marRight w:val="0"/>
      <w:marTop w:val="0"/>
      <w:marBottom w:val="0"/>
      <w:divBdr>
        <w:top w:val="none" w:sz="0" w:space="0" w:color="auto"/>
        <w:left w:val="none" w:sz="0" w:space="0" w:color="auto"/>
        <w:bottom w:val="none" w:sz="0" w:space="0" w:color="auto"/>
        <w:right w:val="none" w:sz="0" w:space="0" w:color="auto"/>
      </w:divBdr>
    </w:div>
    <w:div w:id="813176285">
      <w:bodyDiv w:val="1"/>
      <w:marLeft w:val="0"/>
      <w:marRight w:val="0"/>
      <w:marTop w:val="0"/>
      <w:marBottom w:val="0"/>
      <w:divBdr>
        <w:top w:val="none" w:sz="0" w:space="0" w:color="auto"/>
        <w:left w:val="none" w:sz="0" w:space="0" w:color="auto"/>
        <w:bottom w:val="none" w:sz="0" w:space="0" w:color="auto"/>
        <w:right w:val="none" w:sz="0" w:space="0" w:color="auto"/>
      </w:divBdr>
    </w:div>
    <w:div w:id="818691859">
      <w:bodyDiv w:val="1"/>
      <w:marLeft w:val="0"/>
      <w:marRight w:val="0"/>
      <w:marTop w:val="0"/>
      <w:marBottom w:val="0"/>
      <w:divBdr>
        <w:top w:val="none" w:sz="0" w:space="0" w:color="auto"/>
        <w:left w:val="none" w:sz="0" w:space="0" w:color="auto"/>
        <w:bottom w:val="none" w:sz="0" w:space="0" w:color="auto"/>
        <w:right w:val="none" w:sz="0" w:space="0" w:color="auto"/>
      </w:divBdr>
      <w:divsChild>
        <w:div w:id="1939674735">
          <w:marLeft w:val="0"/>
          <w:marRight w:val="0"/>
          <w:marTop w:val="0"/>
          <w:marBottom w:val="0"/>
          <w:divBdr>
            <w:top w:val="none" w:sz="0" w:space="0" w:color="auto"/>
            <w:left w:val="none" w:sz="0" w:space="0" w:color="auto"/>
            <w:bottom w:val="none" w:sz="0" w:space="0" w:color="auto"/>
            <w:right w:val="none" w:sz="0" w:space="0" w:color="auto"/>
          </w:divBdr>
          <w:divsChild>
            <w:div w:id="1156652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6868377">
      <w:bodyDiv w:val="1"/>
      <w:marLeft w:val="0"/>
      <w:marRight w:val="0"/>
      <w:marTop w:val="0"/>
      <w:marBottom w:val="0"/>
      <w:divBdr>
        <w:top w:val="none" w:sz="0" w:space="0" w:color="auto"/>
        <w:left w:val="none" w:sz="0" w:space="0" w:color="auto"/>
        <w:bottom w:val="none" w:sz="0" w:space="0" w:color="auto"/>
        <w:right w:val="none" w:sz="0" w:space="0" w:color="auto"/>
      </w:divBdr>
    </w:div>
    <w:div w:id="884951113">
      <w:bodyDiv w:val="1"/>
      <w:marLeft w:val="0"/>
      <w:marRight w:val="0"/>
      <w:marTop w:val="0"/>
      <w:marBottom w:val="0"/>
      <w:divBdr>
        <w:top w:val="none" w:sz="0" w:space="0" w:color="auto"/>
        <w:left w:val="none" w:sz="0" w:space="0" w:color="auto"/>
        <w:bottom w:val="none" w:sz="0" w:space="0" w:color="auto"/>
        <w:right w:val="none" w:sz="0" w:space="0" w:color="auto"/>
      </w:divBdr>
    </w:div>
    <w:div w:id="888880472">
      <w:bodyDiv w:val="1"/>
      <w:marLeft w:val="0"/>
      <w:marRight w:val="0"/>
      <w:marTop w:val="0"/>
      <w:marBottom w:val="0"/>
      <w:divBdr>
        <w:top w:val="none" w:sz="0" w:space="0" w:color="auto"/>
        <w:left w:val="none" w:sz="0" w:space="0" w:color="auto"/>
        <w:bottom w:val="none" w:sz="0" w:space="0" w:color="auto"/>
        <w:right w:val="none" w:sz="0" w:space="0" w:color="auto"/>
      </w:divBdr>
    </w:div>
    <w:div w:id="895504189">
      <w:bodyDiv w:val="1"/>
      <w:marLeft w:val="0"/>
      <w:marRight w:val="0"/>
      <w:marTop w:val="0"/>
      <w:marBottom w:val="0"/>
      <w:divBdr>
        <w:top w:val="none" w:sz="0" w:space="0" w:color="auto"/>
        <w:left w:val="none" w:sz="0" w:space="0" w:color="auto"/>
        <w:bottom w:val="none" w:sz="0" w:space="0" w:color="auto"/>
        <w:right w:val="none" w:sz="0" w:space="0" w:color="auto"/>
      </w:divBdr>
    </w:div>
    <w:div w:id="898832113">
      <w:bodyDiv w:val="1"/>
      <w:marLeft w:val="0"/>
      <w:marRight w:val="0"/>
      <w:marTop w:val="0"/>
      <w:marBottom w:val="0"/>
      <w:divBdr>
        <w:top w:val="none" w:sz="0" w:space="0" w:color="auto"/>
        <w:left w:val="none" w:sz="0" w:space="0" w:color="auto"/>
        <w:bottom w:val="none" w:sz="0" w:space="0" w:color="auto"/>
        <w:right w:val="none" w:sz="0" w:space="0" w:color="auto"/>
      </w:divBdr>
    </w:div>
    <w:div w:id="908078295">
      <w:bodyDiv w:val="1"/>
      <w:marLeft w:val="0"/>
      <w:marRight w:val="0"/>
      <w:marTop w:val="0"/>
      <w:marBottom w:val="0"/>
      <w:divBdr>
        <w:top w:val="none" w:sz="0" w:space="0" w:color="auto"/>
        <w:left w:val="none" w:sz="0" w:space="0" w:color="auto"/>
        <w:bottom w:val="none" w:sz="0" w:space="0" w:color="auto"/>
        <w:right w:val="none" w:sz="0" w:space="0" w:color="auto"/>
      </w:divBdr>
    </w:div>
    <w:div w:id="940334989">
      <w:bodyDiv w:val="1"/>
      <w:marLeft w:val="0"/>
      <w:marRight w:val="0"/>
      <w:marTop w:val="0"/>
      <w:marBottom w:val="0"/>
      <w:divBdr>
        <w:top w:val="none" w:sz="0" w:space="0" w:color="auto"/>
        <w:left w:val="none" w:sz="0" w:space="0" w:color="auto"/>
        <w:bottom w:val="none" w:sz="0" w:space="0" w:color="auto"/>
        <w:right w:val="none" w:sz="0" w:space="0" w:color="auto"/>
      </w:divBdr>
    </w:div>
    <w:div w:id="946961618">
      <w:bodyDiv w:val="1"/>
      <w:marLeft w:val="0"/>
      <w:marRight w:val="0"/>
      <w:marTop w:val="0"/>
      <w:marBottom w:val="0"/>
      <w:divBdr>
        <w:top w:val="none" w:sz="0" w:space="0" w:color="auto"/>
        <w:left w:val="none" w:sz="0" w:space="0" w:color="auto"/>
        <w:bottom w:val="none" w:sz="0" w:space="0" w:color="auto"/>
        <w:right w:val="none" w:sz="0" w:space="0" w:color="auto"/>
      </w:divBdr>
    </w:div>
    <w:div w:id="972835661">
      <w:bodyDiv w:val="1"/>
      <w:marLeft w:val="0"/>
      <w:marRight w:val="0"/>
      <w:marTop w:val="0"/>
      <w:marBottom w:val="0"/>
      <w:divBdr>
        <w:top w:val="none" w:sz="0" w:space="0" w:color="auto"/>
        <w:left w:val="none" w:sz="0" w:space="0" w:color="auto"/>
        <w:bottom w:val="none" w:sz="0" w:space="0" w:color="auto"/>
        <w:right w:val="none" w:sz="0" w:space="0" w:color="auto"/>
      </w:divBdr>
    </w:div>
    <w:div w:id="981620020">
      <w:bodyDiv w:val="1"/>
      <w:marLeft w:val="0"/>
      <w:marRight w:val="0"/>
      <w:marTop w:val="0"/>
      <w:marBottom w:val="0"/>
      <w:divBdr>
        <w:top w:val="none" w:sz="0" w:space="0" w:color="auto"/>
        <w:left w:val="none" w:sz="0" w:space="0" w:color="auto"/>
        <w:bottom w:val="none" w:sz="0" w:space="0" w:color="auto"/>
        <w:right w:val="none" w:sz="0" w:space="0" w:color="auto"/>
      </w:divBdr>
    </w:div>
    <w:div w:id="990135288">
      <w:bodyDiv w:val="1"/>
      <w:marLeft w:val="0"/>
      <w:marRight w:val="0"/>
      <w:marTop w:val="0"/>
      <w:marBottom w:val="0"/>
      <w:divBdr>
        <w:top w:val="none" w:sz="0" w:space="0" w:color="auto"/>
        <w:left w:val="none" w:sz="0" w:space="0" w:color="auto"/>
        <w:bottom w:val="none" w:sz="0" w:space="0" w:color="auto"/>
        <w:right w:val="none" w:sz="0" w:space="0" w:color="auto"/>
      </w:divBdr>
      <w:divsChild>
        <w:div w:id="1322079432">
          <w:marLeft w:val="0"/>
          <w:marRight w:val="0"/>
          <w:marTop w:val="0"/>
          <w:marBottom w:val="0"/>
          <w:divBdr>
            <w:top w:val="none" w:sz="0" w:space="0" w:color="auto"/>
            <w:left w:val="none" w:sz="0" w:space="0" w:color="auto"/>
            <w:bottom w:val="none" w:sz="0" w:space="0" w:color="auto"/>
            <w:right w:val="none" w:sz="0" w:space="0" w:color="auto"/>
          </w:divBdr>
          <w:divsChild>
            <w:div w:id="1696686183">
              <w:marLeft w:val="0"/>
              <w:marRight w:val="0"/>
              <w:marTop w:val="0"/>
              <w:marBottom w:val="0"/>
              <w:divBdr>
                <w:top w:val="none" w:sz="0" w:space="0" w:color="auto"/>
                <w:left w:val="none" w:sz="0" w:space="0" w:color="auto"/>
                <w:bottom w:val="none" w:sz="0" w:space="0" w:color="auto"/>
                <w:right w:val="none" w:sz="0" w:space="0" w:color="auto"/>
              </w:divBdr>
            </w:div>
            <w:div w:id="1722048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7578611">
      <w:bodyDiv w:val="1"/>
      <w:marLeft w:val="0"/>
      <w:marRight w:val="0"/>
      <w:marTop w:val="0"/>
      <w:marBottom w:val="0"/>
      <w:divBdr>
        <w:top w:val="none" w:sz="0" w:space="0" w:color="auto"/>
        <w:left w:val="none" w:sz="0" w:space="0" w:color="auto"/>
        <w:bottom w:val="none" w:sz="0" w:space="0" w:color="auto"/>
        <w:right w:val="none" w:sz="0" w:space="0" w:color="auto"/>
      </w:divBdr>
      <w:divsChild>
        <w:div w:id="806777742">
          <w:marLeft w:val="0"/>
          <w:marRight w:val="0"/>
          <w:marTop w:val="0"/>
          <w:marBottom w:val="0"/>
          <w:divBdr>
            <w:top w:val="none" w:sz="0" w:space="0" w:color="auto"/>
            <w:left w:val="none" w:sz="0" w:space="0" w:color="auto"/>
            <w:bottom w:val="none" w:sz="0" w:space="0" w:color="auto"/>
            <w:right w:val="none" w:sz="0" w:space="0" w:color="auto"/>
          </w:divBdr>
          <w:divsChild>
            <w:div w:id="135337126">
              <w:marLeft w:val="0"/>
              <w:marRight w:val="0"/>
              <w:marTop w:val="0"/>
              <w:marBottom w:val="0"/>
              <w:divBdr>
                <w:top w:val="none" w:sz="0" w:space="0" w:color="auto"/>
                <w:left w:val="none" w:sz="0" w:space="0" w:color="auto"/>
                <w:bottom w:val="none" w:sz="0" w:space="0" w:color="auto"/>
                <w:right w:val="none" w:sz="0" w:space="0" w:color="auto"/>
              </w:divBdr>
              <w:divsChild>
                <w:div w:id="561913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1321142">
      <w:bodyDiv w:val="1"/>
      <w:marLeft w:val="0"/>
      <w:marRight w:val="0"/>
      <w:marTop w:val="0"/>
      <w:marBottom w:val="0"/>
      <w:divBdr>
        <w:top w:val="none" w:sz="0" w:space="0" w:color="auto"/>
        <w:left w:val="none" w:sz="0" w:space="0" w:color="auto"/>
        <w:bottom w:val="none" w:sz="0" w:space="0" w:color="auto"/>
        <w:right w:val="none" w:sz="0" w:space="0" w:color="auto"/>
      </w:divBdr>
    </w:div>
    <w:div w:id="1021933090">
      <w:bodyDiv w:val="1"/>
      <w:marLeft w:val="0"/>
      <w:marRight w:val="0"/>
      <w:marTop w:val="0"/>
      <w:marBottom w:val="0"/>
      <w:divBdr>
        <w:top w:val="none" w:sz="0" w:space="0" w:color="auto"/>
        <w:left w:val="none" w:sz="0" w:space="0" w:color="auto"/>
        <w:bottom w:val="none" w:sz="0" w:space="0" w:color="auto"/>
        <w:right w:val="none" w:sz="0" w:space="0" w:color="auto"/>
      </w:divBdr>
    </w:div>
    <w:div w:id="1037193296">
      <w:bodyDiv w:val="1"/>
      <w:marLeft w:val="0"/>
      <w:marRight w:val="0"/>
      <w:marTop w:val="0"/>
      <w:marBottom w:val="0"/>
      <w:divBdr>
        <w:top w:val="none" w:sz="0" w:space="0" w:color="auto"/>
        <w:left w:val="none" w:sz="0" w:space="0" w:color="auto"/>
        <w:bottom w:val="none" w:sz="0" w:space="0" w:color="auto"/>
        <w:right w:val="none" w:sz="0" w:space="0" w:color="auto"/>
      </w:divBdr>
    </w:div>
    <w:div w:id="1062950320">
      <w:bodyDiv w:val="1"/>
      <w:marLeft w:val="0"/>
      <w:marRight w:val="0"/>
      <w:marTop w:val="0"/>
      <w:marBottom w:val="0"/>
      <w:divBdr>
        <w:top w:val="none" w:sz="0" w:space="0" w:color="auto"/>
        <w:left w:val="none" w:sz="0" w:space="0" w:color="auto"/>
        <w:bottom w:val="none" w:sz="0" w:space="0" w:color="auto"/>
        <w:right w:val="none" w:sz="0" w:space="0" w:color="auto"/>
      </w:divBdr>
    </w:div>
    <w:div w:id="1071123006">
      <w:bodyDiv w:val="1"/>
      <w:marLeft w:val="0"/>
      <w:marRight w:val="0"/>
      <w:marTop w:val="0"/>
      <w:marBottom w:val="0"/>
      <w:divBdr>
        <w:top w:val="none" w:sz="0" w:space="0" w:color="auto"/>
        <w:left w:val="none" w:sz="0" w:space="0" w:color="auto"/>
        <w:bottom w:val="none" w:sz="0" w:space="0" w:color="auto"/>
        <w:right w:val="none" w:sz="0" w:space="0" w:color="auto"/>
      </w:divBdr>
    </w:div>
    <w:div w:id="1080177130">
      <w:bodyDiv w:val="1"/>
      <w:marLeft w:val="0"/>
      <w:marRight w:val="0"/>
      <w:marTop w:val="0"/>
      <w:marBottom w:val="0"/>
      <w:divBdr>
        <w:top w:val="none" w:sz="0" w:space="0" w:color="auto"/>
        <w:left w:val="none" w:sz="0" w:space="0" w:color="auto"/>
        <w:bottom w:val="none" w:sz="0" w:space="0" w:color="auto"/>
        <w:right w:val="none" w:sz="0" w:space="0" w:color="auto"/>
      </w:divBdr>
    </w:div>
    <w:div w:id="1091311838">
      <w:bodyDiv w:val="1"/>
      <w:marLeft w:val="0"/>
      <w:marRight w:val="0"/>
      <w:marTop w:val="0"/>
      <w:marBottom w:val="0"/>
      <w:divBdr>
        <w:top w:val="none" w:sz="0" w:space="0" w:color="auto"/>
        <w:left w:val="none" w:sz="0" w:space="0" w:color="auto"/>
        <w:bottom w:val="none" w:sz="0" w:space="0" w:color="auto"/>
        <w:right w:val="none" w:sz="0" w:space="0" w:color="auto"/>
      </w:divBdr>
      <w:divsChild>
        <w:div w:id="468327112">
          <w:marLeft w:val="0"/>
          <w:marRight w:val="0"/>
          <w:marTop w:val="0"/>
          <w:marBottom w:val="0"/>
          <w:divBdr>
            <w:top w:val="none" w:sz="0" w:space="0" w:color="auto"/>
            <w:left w:val="none" w:sz="0" w:space="0" w:color="auto"/>
            <w:bottom w:val="none" w:sz="0" w:space="0" w:color="auto"/>
            <w:right w:val="none" w:sz="0" w:space="0" w:color="auto"/>
          </w:divBdr>
        </w:div>
        <w:div w:id="1793935330">
          <w:marLeft w:val="0"/>
          <w:marRight w:val="0"/>
          <w:marTop w:val="0"/>
          <w:marBottom w:val="0"/>
          <w:divBdr>
            <w:top w:val="none" w:sz="0" w:space="0" w:color="auto"/>
            <w:left w:val="none" w:sz="0" w:space="0" w:color="auto"/>
            <w:bottom w:val="none" w:sz="0" w:space="0" w:color="auto"/>
            <w:right w:val="none" w:sz="0" w:space="0" w:color="auto"/>
          </w:divBdr>
        </w:div>
        <w:div w:id="1932421919">
          <w:marLeft w:val="0"/>
          <w:marRight w:val="0"/>
          <w:marTop w:val="0"/>
          <w:marBottom w:val="0"/>
          <w:divBdr>
            <w:top w:val="none" w:sz="0" w:space="0" w:color="auto"/>
            <w:left w:val="none" w:sz="0" w:space="0" w:color="auto"/>
            <w:bottom w:val="none" w:sz="0" w:space="0" w:color="auto"/>
            <w:right w:val="none" w:sz="0" w:space="0" w:color="auto"/>
          </w:divBdr>
        </w:div>
      </w:divsChild>
    </w:div>
    <w:div w:id="1101494437">
      <w:bodyDiv w:val="1"/>
      <w:marLeft w:val="0"/>
      <w:marRight w:val="0"/>
      <w:marTop w:val="0"/>
      <w:marBottom w:val="0"/>
      <w:divBdr>
        <w:top w:val="none" w:sz="0" w:space="0" w:color="auto"/>
        <w:left w:val="none" w:sz="0" w:space="0" w:color="auto"/>
        <w:bottom w:val="none" w:sz="0" w:space="0" w:color="auto"/>
        <w:right w:val="none" w:sz="0" w:space="0" w:color="auto"/>
      </w:divBdr>
    </w:div>
    <w:div w:id="1105031639">
      <w:bodyDiv w:val="1"/>
      <w:marLeft w:val="0"/>
      <w:marRight w:val="0"/>
      <w:marTop w:val="0"/>
      <w:marBottom w:val="0"/>
      <w:divBdr>
        <w:top w:val="none" w:sz="0" w:space="0" w:color="auto"/>
        <w:left w:val="none" w:sz="0" w:space="0" w:color="auto"/>
        <w:bottom w:val="none" w:sz="0" w:space="0" w:color="auto"/>
        <w:right w:val="none" w:sz="0" w:space="0" w:color="auto"/>
      </w:divBdr>
    </w:div>
    <w:div w:id="1122843279">
      <w:bodyDiv w:val="1"/>
      <w:marLeft w:val="0"/>
      <w:marRight w:val="0"/>
      <w:marTop w:val="0"/>
      <w:marBottom w:val="0"/>
      <w:divBdr>
        <w:top w:val="none" w:sz="0" w:space="0" w:color="auto"/>
        <w:left w:val="none" w:sz="0" w:space="0" w:color="auto"/>
        <w:bottom w:val="none" w:sz="0" w:space="0" w:color="auto"/>
        <w:right w:val="none" w:sz="0" w:space="0" w:color="auto"/>
      </w:divBdr>
    </w:div>
    <w:div w:id="1126892192">
      <w:bodyDiv w:val="1"/>
      <w:marLeft w:val="0"/>
      <w:marRight w:val="0"/>
      <w:marTop w:val="0"/>
      <w:marBottom w:val="0"/>
      <w:divBdr>
        <w:top w:val="none" w:sz="0" w:space="0" w:color="auto"/>
        <w:left w:val="none" w:sz="0" w:space="0" w:color="auto"/>
        <w:bottom w:val="none" w:sz="0" w:space="0" w:color="auto"/>
        <w:right w:val="none" w:sz="0" w:space="0" w:color="auto"/>
      </w:divBdr>
    </w:div>
    <w:div w:id="1130436158">
      <w:bodyDiv w:val="1"/>
      <w:marLeft w:val="0"/>
      <w:marRight w:val="0"/>
      <w:marTop w:val="0"/>
      <w:marBottom w:val="0"/>
      <w:divBdr>
        <w:top w:val="none" w:sz="0" w:space="0" w:color="auto"/>
        <w:left w:val="none" w:sz="0" w:space="0" w:color="auto"/>
        <w:bottom w:val="none" w:sz="0" w:space="0" w:color="auto"/>
        <w:right w:val="none" w:sz="0" w:space="0" w:color="auto"/>
      </w:divBdr>
    </w:div>
    <w:div w:id="1150712435">
      <w:bodyDiv w:val="1"/>
      <w:marLeft w:val="0"/>
      <w:marRight w:val="0"/>
      <w:marTop w:val="0"/>
      <w:marBottom w:val="0"/>
      <w:divBdr>
        <w:top w:val="none" w:sz="0" w:space="0" w:color="auto"/>
        <w:left w:val="none" w:sz="0" w:space="0" w:color="auto"/>
        <w:bottom w:val="none" w:sz="0" w:space="0" w:color="auto"/>
        <w:right w:val="none" w:sz="0" w:space="0" w:color="auto"/>
      </w:divBdr>
    </w:div>
    <w:div w:id="1154417295">
      <w:bodyDiv w:val="1"/>
      <w:marLeft w:val="0"/>
      <w:marRight w:val="0"/>
      <w:marTop w:val="0"/>
      <w:marBottom w:val="0"/>
      <w:divBdr>
        <w:top w:val="none" w:sz="0" w:space="0" w:color="auto"/>
        <w:left w:val="none" w:sz="0" w:space="0" w:color="auto"/>
        <w:bottom w:val="none" w:sz="0" w:space="0" w:color="auto"/>
        <w:right w:val="none" w:sz="0" w:space="0" w:color="auto"/>
      </w:divBdr>
    </w:div>
    <w:div w:id="1164053201">
      <w:bodyDiv w:val="1"/>
      <w:marLeft w:val="0"/>
      <w:marRight w:val="0"/>
      <w:marTop w:val="0"/>
      <w:marBottom w:val="0"/>
      <w:divBdr>
        <w:top w:val="none" w:sz="0" w:space="0" w:color="auto"/>
        <w:left w:val="none" w:sz="0" w:space="0" w:color="auto"/>
        <w:bottom w:val="none" w:sz="0" w:space="0" w:color="auto"/>
        <w:right w:val="none" w:sz="0" w:space="0" w:color="auto"/>
      </w:divBdr>
    </w:div>
    <w:div w:id="1171212463">
      <w:bodyDiv w:val="1"/>
      <w:marLeft w:val="0"/>
      <w:marRight w:val="0"/>
      <w:marTop w:val="0"/>
      <w:marBottom w:val="0"/>
      <w:divBdr>
        <w:top w:val="none" w:sz="0" w:space="0" w:color="auto"/>
        <w:left w:val="none" w:sz="0" w:space="0" w:color="auto"/>
        <w:bottom w:val="none" w:sz="0" w:space="0" w:color="auto"/>
        <w:right w:val="none" w:sz="0" w:space="0" w:color="auto"/>
      </w:divBdr>
    </w:div>
    <w:div w:id="1175223134">
      <w:bodyDiv w:val="1"/>
      <w:marLeft w:val="0"/>
      <w:marRight w:val="0"/>
      <w:marTop w:val="0"/>
      <w:marBottom w:val="0"/>
      <w:divBdr>
        <w:top w:val="none" w:sz="0" w:space="0" w:color="auto"/>
        <w:left w:val="none" w:sz="0" w:space="0" w:color="auto"/>
        <w:bottom w:val="none" w:sz="0" w:space="0" w:color="auto"/>
        <w:right w:val="none" w:sz="0" w:space="0" w:color="auto"/>
      </w:divBdr>
    </w:div>
    <w:div w:id="1177303811">
      <w:bodyDiv w:val="1"/>
      <w:marLeft w:val="0"/>
      <w:marRight w:val="0"/>
      <w:marTop w:val="0"/>
      <w:marBottom w:val="0"/>
      <w:divBdr>
        <w:top w:val="none" w:sz="0" w:space="0" w:color="auto"/>
        <w:left w:val="none" w:sz="0" w:space="0" w:color="auto"/>
        <w:bottom w:val="none" w:sz="0" w:space="0" w:color="auto"/>
        <w:right w:val="none" w:sz="0" w:space="0" w:color="auto"/>
      </w:divBdr>
    </w:div>
    <w:div w:id="1180898789">
      <w:bodyDiv w:val="1"/>
      <w:marLeft w:val="0"/>
      <w:marRight w:val="0"/>
      <w:marTop w:val="0"/>
      <w:marBottom w:val="0"/>
      <w:divBdr>
        <w:top w:val="none" w:sz="0" w:space="0" w:color="auto"/>
        <w:left w:val="none" w:sz="0" w:space="0" w:color="auto"/>
        <w:bottom w:val="none" w:sz="0" w:space="0" w:color="auto"/>
        <w:right w:val="none" w:sz="0" w:space="0" w:color="auto"/>
      </w:divBdr>
    </w:div>
    <w:div w:id="1184590877">
      <w:bodyDiv w:val="1"/>
      <w:marLeft w:val="0"/>
      <w:marRight w:val="0"/>
      <w:marTop w:val="0"/>
      <w:marBottom w:val="0"/>
      <w:divBdr>
        <w:top w:val="none" w:sz="0" w:space="0" w:color="auto"/>
        <w:left w:val="none" w:sz="0" w:space="0" w:color="auto"/>
        <w:bottom w:val="none" w:sz="0" w:space="0" w:color="auto"/>
        <w:right w:val="none" w:sz="0" w:space="0" w:color="auto"/>
      </w:divBdr>
    </w:div>
    <w:div w:id="1185677593">
      <w:bodyDiv w:val="1"/>
      <w:marLeft w:val="0"/>
      <w:marRight w:val="0"/>
      <w:marTop w:val="0"/>
      <w:marBottom w:val="0"/>
      <w:divBdr>
        <w:top w:val="none" w:sz="0" w:space="0" w:color="auto"/>
        <w:left w:val="none" w:sz="0" w:space="0" w:color="auto"/>
        <w:bottom w:val="none" w:sz="0" w:space="0" w:color="auto"/>
        <w:right w:val="none" w:sz="0" w:space="0" w:color="auto"/>
      </w:divBdr>
    </w:div>
    <w:div w:id="1218008956">
      <w:bodyDiv w:val="1"/>
      <w:marLeft w:val="0"/>
      <w:marRight w:val="0"/>
      <w:marTop w:val="0"/>
      <w:marBottom w:val="0"/>
      <w:divBdr>
        <w:top w:val="none" w:sz="0" w:space="0" w:color="auto"/>
        <w:left w:val="none" w:sz="0" w:space="0" w:color="auto"/>
        <w:bottom w:val="none" w:sz="0" w:space="0" w:color="auto"/>
        <w:right w:val="none" w:sz="0" w:space="0" w:color="auto"/>
      </w:divBdr>
    </w:div>
    <w:div w:id="1236009808">
      <w:bodyDiv w:val="1"/>
      <w:marLeft w:val="0"/>
      <w:marRight w:val="0"/>
      <w:marTop w:val="0"/>
      <w:marBottom w:val="0"/>
      <w:divBdr>
        <w:top w:val="none" w:sz="0" w:space="0" w:color="auto"/>
        <w:left w:val="none" w:sz="0" w:space="0" w:color="auto"/>
        <w:bottom w:val="none" w:sz="0" w:space="0" w:color="auto"/>
        <w:right w:val="none" w:sz="0" w:space="0" w:color="auto"/>
      </w:divBdr>
    </w:div>
    <w:div w:id="1244681549">
      <w:bodyDiv w:val="1"/>
      <w:marLeft w:val="0"/>
      <w:marRight w:val="0"/>
      <w:marTop w:val="0"/>
      <w:marBottom w:val="0"/>
      <w:divBdr>
        <w:top w:val="none" w:sz="0" w:space="0" w:color="auto"/>
        <w:left w:val="none" w:sz="0" w:space="0" w:color="auto"/>
        <w:bottom w:val="none" w:sz="0" w:space="0" w:color="auto"/>
        <w:right w:val="none" w:sz="0" w:space="0" w:color="auto"/>
      </w:divBdr>
    </w:div>
    <w:div w:id="1257858377">
      <w:bodyDiv w:val="1"/>
      <w:marLeft w:val="0"/>
      <w:marRight w:val="0"/>
      <w:marTop w:val="0"/>
      <w:marBottom w:val="0"/>
      <w:divBdr>
        <w:top w:val="none" w:sz="0" w:space="0" w:color="auto"/>
        <w:left w:val="none" w:sz="0" w:space="0" w:color="auto"/>
        <w:bottom w:val="none" w:sz="0" w:space="0" w:color="auto"/>
        <w:right w:val="none" w:sz="0" w:space="0" w:color="auto"/>
      </w:divBdr>
      <w:divsChild>
        <w:div w:id="1370914784">
          <w:marLeft w:val="0"/>
          <w:marRight w:val="0"/>
          <w:marTop w:val="0"/>
          <w:marBottom w:val="0"/>
          <w:divBdr>
            <w:top w:val="none" w:sz="0" w:space="0" w:color="auto"/>
            <w:left w:val="none" w:sz="0" w:space="0" w:color="auto"/>
            <w:bottom w:val="none" w:sz="0" w:space="0" w:color="auto"/>
            <w:right w:val="none" w:sz="0" w:space="0" w:color="auto"/>
          </w:divBdr>
        </w:div>
        <w:div w:id="1482306322">
          <w:marLeft w:val="0"/>
          <w:marRight w:val="0"/>
          <w:marTop w:val="0"/>
          <w:marBottom w:val="0"/>
          <w:divBdr>
            <w:top w:val="none" w:sz="0" w:space="0" w:color="auto"/>
            <w:left w:val="none" w:sz="0" w:space="0" w:color="auto"/>
            <w:bottom w:val="none" w:sz="0" w:space="0" w:color="auto"/>
            <w:right w:val="none" w:sz="0" w:space="0" w:color="auto"/>
          </w:divBdr>
        </w:div>
      </w:divsChild>
    </w:div>
    <w:div w:id="1259095197">
      <w:bodyDiv w:val="1"/>
      <w:marLeft w:val="0"/>
      <w:marRight w:val="0"/>
      <w:marTop w:val="0"/>
      <w:marBottom w:val="0"/>
      <w:divBdr>
        <w:top w:val="none" w:sz="0" w:space="0" w:color="auto"/>
        <w:left w:val="none" w:sz="0" w:space="0" w:color="auto"/>
        <w:bottom w:val="none" w:sz="0" w:space="0" w:color="auto"/>
        <w:right w:val="none" w:sz="0" w:space="0" w:color="auto"/>
      </w:divBdr>
    </w:div>
    <w:div w:id="1259749469">
      <w:bodyDiv w:val="1"/>
      <w:marLeft w:val="0"/>
      <w:marRight w:val="0"/>
      <w:marTop w:val="0"/>
      <w:marBottom w:val="0"/>
      <w:divBdr>
        <w:top w:val="none" w:sz="0" w:space="0" w:color="auto"/>
        <w:left w:val="none" w:sz="0" w:space="0" w:color="auto"/>
        <w:bottom w:val="none" w:sz="0" w:space="0" w:color="auto"/>
        <w:right w:val="none" w:sz="0" w:space="0" w:color="auto"/>
      </w:divBdr>
    </w:div>
    <w:div w:id="1262833092">
      <w:bodyDiv w:val="1"/>
      <w:marLeft w:val="0"/>
      <w:marRight w:val="0"/>
      <w:marTop w:val="0"/>
      <w:marBottom w:val="0"/>
      <w:divBdr>
        <w:top w:val="none" w:sz="0" w:space="0" w:color="auto"/>
        <w:left w:val="none" w:sz="0" w:space="0" w:color="auto"/>
        <w:bottom w:val="none" w:sz="0" w:space="0" w:color="auto"/>
        <w:right w:val="none" w:sz="0" w:space="0" w:color="auto"/>
      </w:divBdr>
    </w:div>
    <w:div w:id="1273128638">
      <w:bodyDiv w:val="1"/>
      <w:marLeft w:val="0"/>
      <w:marRight w:val="0"/>
      <w:marTop w:val="0"/>
      <w:marBottom w:val="0"/>
      <w:divBdr>
        <w:top w:val="none" w:sz="0" w:space="0" w:color="auto"/>
        <w:left w:val="none" w:sz="0" w:space="0" w:color="auto"/>
        <w:bottom w:val="none" w:sz="0" w:space="0" w:color="auto"/>
        <w:right w:val="none" w:sz="0" w:space="0" w:color="auto"/>
      </w:divBdr>
    </w:div>
    <w:div w:id="1273250097">
      <w:bodyDiv w:val="1"/>
      <w:marLeft w:val="0"/>
      <w:marRight w:val="0"/>
      <w:marTop w:val="0"/>
      <w:marBottom w:val="0"/>
      <w:divBdr>
        <w:top w:val="none" w:sz="0" w:space="0" w:color="auto"/>
        <w:left w:val="none" w:sz="0" w:space="0" w:color="auto"/>
        <w:bottom w:val="none" w:sz="0" w:space="0" w:color="auto"/>
        <w:right w:val="none" w:sz="0" w:space="0" w:color="auto"/>
      </w:divBdr>
    </w:div>
    <w:div w:id="1274897755">
      <w:bodyDiv w:val="1"/>
      <w:marLeft w:val="0"/>
      <w:marRight w:val="0"/>
      <w:marTop w:val="0"/>
      <w:marBottom w:val="0"/>
      <w:divBdr>
        <w:top w:val="none" w:sz="0" w:space="0" w:color="auto"/>
        <w:left w:val="none" w:sz="0" w:space="0" w:color="auto"/>
        <w:bottom w:val="none" w:sz="0" w:space="0" w:color="auto"/>
        <w:right w:val="none" w:sz="0" w:space="0" w:color="auto"/>
      </w:divBdr>
    </w:div>
    <w:div w:id="1292594271">
      <w:bodyDiv w:val="1"/>
      <w:marLeft w:val="0"/>
      <w:marRight w:val="0"/>
      <w:marTop w:val="0"/>
      <w:marBottom w:val="0"/>
      <w:divBdr>
        <w:top w:val="none" w:sz="0" w:space="0" w:color="auto"/>
        <w:left w:val="none" w:sz="0" w:space="0" w:color="auto"/>
        <w:bottom w:val="none" w:sz="0" w:space="0" w:color="auto"/>
        <w:right w:val="none" w:sz="0" w:space="0" w:color="auto"/>
      </w:divBdr>
    </w:div>
    <w:div w:id="1296913039">
      <w:bodyDiv w:val="1"/>
      <w:marLeft w:val="0"/>
      <w:marRight w:val="0"/>
      <w:marTop w:val="0"/>
      <w:marBottom w:val="0"/>
      <w:divBdr>
        <w:top w:val="none" w:sz="0" w:space="0" w:color="auto"/>
        <w:left w:val="none" w:sz="0" w:space="0" w:color="auto"/>
        <w:bottom w:val="none" w:sz="0" w:space="0" w:color="auto"/>
        <w:right w:val="none" w:sz="0" w:space="0" w:color="auto"/>
      </w:divBdr>
    </w:div>
    <w:div w:id="1328434848">
      <w:bodyDiv w:val="1"/>
      <w:marLeft w:val="0"/>
      <w:marRight w:val="0"/>
      <w:marTop w:val="0"/>
      <w:marBottom w:val="0"/>
      <w:divBdr>
        <w:top w:val="none" w:sz="0" w:space="0" w:color="auto"/>
        <w:left w:val="none" w:sz="0" w:space="0" w:color="auto"/>
        <w:bottom w:val="none" w:sz="0" w:space="0" w:color="auto"/>
        <w:right w:val="none" w:sz="0" w:space="0" w:color="auto"/>
      </w:divBdr>
    </w:div>
    <w:div w:id="1349216093">
      <w:bodyDiv w:val="1"/>
      <w:marLeft w:val="0"/>
      <w:marRight w:val="0"/>
      <w:marTop w:val="0"/>
      <w:marBottom w:val="0"/>
      <w:divBdr>
        <w:top w:val="none" w:sz="0" w:space="0" w:color="auto"/>
        <w:left w:val="none" w:sz="0" w:space="0" w:color="auto"/>
        <w:bottom w:val="none" w:sz="0" w:space="0" w:color="auto"/>
        <w:right w:val="none" w:sz="0" w:space="0" w:color="auto"/>
      </w:divBdr>
    </w:div>
    <w:div w:id="1361778499">
      <w:bodyDiv w:val="1"/>
      <w:marLeft w:val="0"/>
      <w:marRight w:val="0"/>
      <w:marTop w:val="0"/>
      <w:marBottom w:val="0"/>
      <w:divBdr>
        <w:top w:val="none" w:sz="0" w:space="0" w:color="auto"/>
        <w:left w:val="none" w:sz="0" w:space="0" w:color="auto"/>
        <w:bottom w:val="none" w:sz="0" w:space="0" w:color="auto"/>
        <w:right w:val="none" w:sz="0" w:space="0" w:color="auto"/>
      </w:divBdr>
    </w:div>
    <w:div w:id="1370104876">
      <w:bodyDiv w:val="1"/>
      <w:marLeft w:val="0"/>
      <w:marRight w:val="0"/>
      <w:marTop w:val="0"/>
      <w:marBottom w:val="0"/>
      <w:divBdr>
        <w:top w:val="none" w:sz="0" w:space="0" w:color="auto"/>
        <w:left w:val="none" w:sz="0" w:space="0" w:color="auto"/>
        <w:bottom w:val="none" w:sz="0" w:space="0" w:color="auto"/>
        <w:right w:val="none" w:sz="0" w:space="0" w:color="auto"/>
      </w:divBdr>
    </w:div>
    <w:div w:id="1379085504">
      <w:bodyDiv w:val="1"/>
      <w:marLeft w:val="0"/>
      <w:marRight w:val="0"/>
      <w:marTop w:val="0"/>
      <w:marBottom w:val="0"/>
      <w:divBdr>
        <w:top w:val="none" w:sz="0" w:space="0" w:color="auto"/>
        <w:left w:val="none" w:sz="0" w:space="0" w:color="auto"/>
        <w:bottom w:val="none" w:sz="0" w:space="0" w:color="auto"/>
        <w:right w:val="none" w:sz="0" w:space="0" w:color="auto"/>
      </w:divBdr>
    </w:div>
    <w:div w:id="1384015456">
      <w:bodyDiv w:val="1"/>
      <w:marLeft w:val="0"/>
      <w:marRight w:val="0"/>
      <w:marTop w:val="0"/>
      <w:marBottom w:val="0"/>
      <w:divBdr>
        <w:top w:val="none" w:sz="0" w:space="0" w:color="auto"/>
        <w:left w:val="none" w:sz="0" w:space="0" w:color="auto"/>
        <w:bottom w:val="none" w:sz="0" w:space="0" w:color="auto"/>
        <w:right w:val="none" w:sz="0" w:space="0" w:color="auto"/>
      </w:divBdr>
      <w:divsChild>
        <w:div w:id="126046743">
          <w:marLeft w:val="0"/>
          <w:marRight w:val="0"/>
          <w:marTop w:val="0"/>
          <w:marBottom w:val="0"/>
          <w:divBdr>
            <w:top w:val="none" w:sz="0" w:space="0" w:color="auto"/>
            <w:left w:val="none" w:sz="0" w:space="0" w:color="auto"/>
            <w:bottom w:val="none" w:sz="0" w:space="0" w:color="auto"/>
            <w:right w:val="none" w:sz="0" w:space="0" w:color="auto"/>
          </w:divBdr>
        </w:div>
        <w:div w:id="1156801748">
          <w:marLeft w:val="0"/>
          <w:marRight w:val="0"/>
          <w:marTop w:val="0"/>
          <w:marBottom w:val="0"/>
          <w:divBdr>
            <w:top w:val="none" w:sz="0" w:space="0" w:color="auto"/>
            <w:left w:val="none" w:sz="0" w:space="0" w:color="auto"/>
            <w:bottom w:val="none" w:sz="0" w:space="0" w:color="auto"/>
            <w:right w:val="none" w:sz="0" w:space="0" w:color="auto"/>
          </w:divBdr>
        </w:div>
        <w:div w:id="1355351057">
          <w:marLeft w:val="0"/>
          <w:marRight w:val="0"/>
          <w:marTop w:val="0"/>
          <w:marBottom w:val="0"/>
          <w:divBdr>
            <w:top w:val="none" w:sz="0" w:space="0" w:color="auto"/>
            <w:left w:val="none" w:sz="0" w:space="0" w:color="auto"/>
            <w:bottom w:val="none" w:sz="0" w:space="0" w:color="auto"/>
            <w:right w:val="none" w:sz="0" w:space="0" w:color="auto"/>
          </w:divBdr>
        </w:div>
        <w:div w:id="1460682985">
          <w:marLeft w:val="0"/>
          <w:marRight w:val="0"/>
          <w:marTop w:val="0"/>
          <w:marBottom w:val="0"/>
          <w:divBdr>
            <w:top w:val="none" w:sz="0" w:space="0" w:color="auto"/>
            <w:left w:val="none" w:sz="0" w:space="0" w:color="auto"/>
            <w:bottom w:val="none" w:sz="0" w:space="0" w:color="auto"/>
            <w:right w:val="none" w:sz="0" w:space="0" w:color="auto"/>
          </w:divBdr>
        </w:div>
      </w:divsChild>
    </w:div>
    <w:div w:id="1395742476">
      <w:bodyDiv w:val="1"/>
      <w:marLeft w:val="0"/>
      <w:marRight w:val="0"/>
      <w:marTop w:val="0"/>
      <w:marBottom w:val="0"/>
      <w:divBdr>
        <w:top w:val="none" w:sz="0" w:space="0" w:color="auto"/>
        <w:left w:val="none" w:sz="0" w:space="0" w:color="auto"/>
        <w:bottom w:val="none" w:sz="0" w:space="0" w:color="auto"/>
        <w:right w:val="none" w:sz="0" w:space="0" w:color="auto"/>
      </w:divBdr>
    </w:div>
    <w:div w:id="1411778973">
      <w:bodyDiv w:val="1"/>
      <w:marLeft w:val="0"/>
      <w:marRight w:val="0"/>
      <w:marTop w:val="0"/>
      <w:marBottom w:val="0"/>
      <w:divBdr>
        <w:top w:val="none" w:sz="0" w:space="0" w:color="auto"/>
        <w:left w:val="none" w:sz="0" w:space="0" w:color="auto"/>
        <w:bottom w:val="none" w:sz="0" w:space="0" w:color="auto"/>
        <w:right w:val="none" w:sz="0" w:space="0" w:color="auto"/>
      </w:divBdr>
    </w:div>
    <w:div w:id="1415401065">
      <w:bodyDiv w:val="1"/>
      <w:marLeft w:val="0"/>
      <w:marRight w:val="0"/>
      <w:marTop w:val="0"/>
      <w:marBottom w:val="0"/>
      <w:divBdr>
        <w:top w:val="none" w:sz="0" w:space="0" w:color="auto"/>
        <w:left w:val="none" w:sz="0" w:space="0" w:color="auto"/>
        <w:bottom w:val="none" w:sz="0" w:space="0" w:color="auto"/>
        <w:right w:val="none" w:sz="0" w:space="0" w:color="auto"/>
      </w:divBdr>
    </w:div>
    <w:div w:id="1422407073">
      <w:bodyDiv w:val="1"/>
      <w:marLeft w:val="0"/>
      <w:marRight w:val="0"/>
      <w:marTop w:val="0"/>
      <w:marBottom w:val="0"/>
      <w:divBdr>
        <w:top w:val="none" w:sz="0" w:space="0" w:color="auto"/>
        <w:left w:val="none" w:sz="0" w:space="0" w:color="auto"/>
        <w:bottom w:val="none" w:sz="0" w:space="0" w:color="auto"/>
        <w:right w:val="none" w:sz="0" w:space="0" w:color="auto"/>
      </w:divBdr>
      <w:divsChild>
        <w:div w:id="606084022">
          <w:marLeft w:val="0"/>
          <w:marRight w:val="0"/>
          <w:marTop w:val="0"/>
          <w:marBottom w:val="0"/>
          <w:divBdr>
            <w:top w:val="none" w:sz="0" w:space="0" w:color="auto"/>
            <w:left w:val="none" w:sz="0" w:space="0" w:color="auto"/>
            <w:bottom w:val="none" w:sz="0" w:space="0" w:color="auto"/>
            <w:right w:val="none" w:sz="0" w:space="0" w:color="auto"/>
          </w:divBdr>
        </w:div>
        <w:div w:id="607740256">
          <w:marLeft w:val="0"/>
          <w:marRight w:val="0"/>
          <w:marTop w:val="0"/>
          <w:marBottom w:val="0"/>
          <w:divBdr>
            <w:top w:val="none" w:sz="0" w:space="0" w:color="auto"/>
            <w:left w:val="none" w:sz="0" w:space="0" w:color="auto"/>
            <w:bottom w:val="none" w:sz="0" w:space="0" w:color="auto"/>
            <w:right w:val="none" w:sz="0" w:space="0" w:color="auto"/>
          </w:divBdr>
        </w:div>
        <w:div w:id="1215920896">
          <w:marLeft w:val="0"/>
          <w:marRight w:val="0"/>
          <w:marTop w:val="0"/>
          <w:marBottom w:val="0"/>
          <w:divBdr>
            <w:top w:val="none" w:sz="0" w:space="0" w:color="auto"/>
            <w:left w:val="none" w:sz="0" w:space="0" w:color="auto"/>
            <w:bottom w:val="none" w:sz="0" w:space="0" w:color="auto"/>
            <w:right w:val="none" w:sz="0" w:space="0" w:color="auto"/>
          </w:divBdr>
        </w:div>
        <w:div w:id="1787457170">
          <w:marLeft w:val="0"/>
          <w:marRight w:val="0"/>
          <w:marTop w:val="0"/>
          <w:marBottom w:val="0"/>
          <w:divBdr>
            <w:top w:val="none" w:sz="0" w:space="0" w:color="auto"/>
            <w:left w:val="none" w:sz="0" w:space="0" w:color="auto"/>
            <w:bottom w:val="none" w:sz="0" w:space="0" w:color="auto"/>
            <w:right w:val="none" w:sz="0" w:space="0" w:color="auto"/>
          </w:divBdr>
        </w:div>
        <w:div w:id="2022196637">
          <w:marLeft w:val="0"/>
          <w:marRight w:val="0"/>
          <w:marTop w:val="0"/>
          <w:marBottom w:val="0"/>
          <w:divBdr>
            <w:top w:val="none" w:sz="0" w:space="0" w:color="auto"/>
            <w:left w:val="none" w:sz="0" w:space="0" w:color="auto"/>
            <w:bottom w:val="none" w:sz="0" w:space="0" w:color="auto"/>
            <w:right w:val="none" w:sz="0" w:space="0" w:color="auto"/>
          </w:divBdr>
        </w:div>
      </w:divsChild>
    </w:div>
    <w:div w:id="1431462987">
      <w:bodyDiv w:val="1"/>
      <w:marLeft w:val="0"/>
      <w:marRight w:val="0"/>
      <w:marTop w:val="0"/>
      <w:marBottom w:val="0"/>
      <w:divBdr>
        <w:top w:val="none" w:sz="0" w:space="0" w:color="auto"/>
        <w:left w:val="none" w:sz="0" w:space="0" w:color="auto"/>
        <w:bottom w:val="none" w:sz="0" w:space="0" w:color="auto"/>
        <w:right w:val="none" w:sz="0" w:space="0" w:color="auto"/>
      </w:divBdr>
    </w:div>
    <w:div w:id="1433014884">
      <w:bodyDiv w:val="1"/>
      <w:marLeft w:val="0"/>
      <w:marRight w:val="0"/>
      <w:marTop w:val="0"/>
      <w:marBottom w:val="0"/>
      <w:divBdr>
        <w:top w:val="none" w:sz="0" w:space="0" w:color="auto"/>
        <w:left w:val="none" w:sz="0" w:space="0" w:color="auto"/>
        <w:bottom w:val="none" w:sz="0" w:space="0" w:color="auto"/>
        <w:right w:val="none" w:sz="0" w:space="0" w:color="auto"/>
      </w:divBdr>
    </w:div>
    <w:div w:id="1442215000">
      <w:bodyDiv w:val="1"/>
      <w:marLeft w:val="0"/>
      <w:marRight w:val="0"/>
      <w:marTop w:val="0"/>
      <w:marBottom w:val="0"/>
      <w:divBdr>
        <w:top w:val="none" w:sz="0" w:space="0" w:color="auto"/>
        <w:left w:val="none" w:sz="0" w:space="0" w:color="auto"/>
        <w:bottom w:val="none" w:sz="0" w:space="0" w:color="auto"/>
        <w:right w:val="none" w:sz="0" w:space="0" w:color="auto"/>
      </w:divBdr>
    </w:div>
    <w:div w:id="1456943930">
      <w:bodyDiv w:val="1"/>
      <w:marLeft w:val="0"/>
      <w:marRight w:val="0"/>
      <w:marTop w:val="0"/>
      <w:marBottom w:val="0"/>
      <w:divBdr>
        <w:top w:val="none" w:sz="0" w:space="0" w:color="auto"/>
        <w:left w:val="none" w:sz="0" w:space="0" w:color="auto"/>
        <w:bottom w:val="none" w:sz="0" w:space="0" w:color="auto"/>
        <w:right w:val="none" w:sz="0" w:space="0" w:color="auto"/>
      </w:divBdr>
    </w:div>
    <w:div w:id="1464152644">
      <w:bodyDiv w:val="1"/>
      <w:marLeft w:val="0"/>
      <w:marRight w:val="0"/>
      <w:marTop w:val="0"/>
      <w:marBottom w:val="0"/>
      <w:divBdr>
        <w:top w:val="none" w:sz="0" w:space="0" w:color="auto"/>
        <w:left w:val="none" w:sz="0" w:space="0" w:color="auto"/>
        <w:bottom w:val="none" w:sz="0" w:space="0" w:color="auto"/>
        <w:right w:val="none" w:sz="0" w:space="0" w:color="auto"/>
      </w:divBdr>
    </w:div>
    <w:div w:id="1468206322">
      <w:bodyDiv w:val="1"/>
      <w:marLeft w:val="0"/>
      <w:marRight w:val="0"/>
      <w:marTop w:val="0"/>
      <w:marBottom w:val="0"/>
      <w:divBdr>
        <w:top w:val="none" w:sz="0" w:space="0" w:color="auto"/>
        <w:left w:val="none" w:sz="0" w:space="0" w:color="auto"/>
        <w:bottom w:val="none" w:sz="0" w:space="0" w:color="auto"/>
        <w:right w:val="none" w:sz="0" w:space="0" w:color="auto"/>
      </w:divBdr>
    </w:div>
    <w:div w:id="1474373849">
      <w:bodyDiv w:val="1"/>
      <w:marLeft w:val="0"/>
      <w:marRight w:val="0"/>
      <w:marTop w:val="0"/>
      <w:marBottom w:val="0"/>
      <w:divBdr>
        <w:top w:val="none" w:sz="0" w:space="0" w:color="auto"/>
        <w:left w:val="none" w:sz="0" w:space="0" w:color="auto"/>
        <w:bottom w:val="none" w:sz="0" w:space="0" w:color="auto"/>
        <w:right w:val="none" w:sz="0" w:space="0" w:color="auto"/>
      </w:divBdr>
    </w:div>
    <w:div w:id="1485270487">
      <w:bodyDiv w:val="1"/>
      <w:marLeft w:val="0"/>
      <w:marRight w:val="0"/>
      <w:marTop w:val="0"/>
      <w:marBottom w:val="0"/>
      <w:divBdr>
        <w:top w:val="none" w:sz="0" w:space="0" w:color="auto"/>
        <w:left w:val="none" w:sz="0" w:space="0" w:color="auto"/>
        <w:bottom w:val="none" w:sz="0" w:space="0" w:color="auto"/>
        <w:right w:val="none" w:sz="0" w:space="0" w:color="auto"/>
      </w:divBdr>
    </w:div>
    <w:div w:id="1505901082">
      <w:bodyDiv w:val="1"/>
      <w:marLeft w:val="0"/>
      <w:marRight w:val="0"/>
      <w:marTop w:val="0"/>
      <w:marBottom w:val="0"/>
      <w:divBdr>
        <w:top w:val="none" w:sz="0" w:space="0" w:color="auto"/>
        <w:left w:val="none" w:sz="0" w:space="0" w:color="auto"/>
        <w:bottom w:val="none" w:sz="0" w:space="0" w:color="auto"/>
        <w:right w:val="none" w:sz="0" w:space="0" w:color="auto"/>
      </w:divBdr>
    </w:div>
    <w:div w:id="1512645768">
      <w:bodyDiv w:val="1"/>
      <w:marLeft w:val="0"/>
      <w:marRight w:val="0"/>
      <w:marTop w:val="0"/>
      <w:marBottom w:val="0"/>
      <w:divBdr>
        <w:top w:val="none" w:sz="0" w:space="0" w:color="auto"/>
        <w:left w:val="none" w:sz="0" w:space="0" w:color="auto"/>
        <w:bottom w:val="none" w:sz="0" w:space="0" w:color="auto"/>
        <w:right w:val="none" w:sz="0" w:space="0" w:color="auto"/>
      </w:divBdr>
    </w:div>
    <w:div w:id="1573467488">
      <w:bodyDiv w:val="1"/>
      <w:marLeft w:val="0"/>
      <w:marRight w:val="0"/>
      <w:marTop w:val="0"/>
      <w:marBottom w:val="0"/>
      <w:divBdr>
        <w:top w:val="none" w:sz="0" w:space="0" w:color="auto"/>
        <w:left w:val="none" w:sz="0" w:space="0" w:color="auto"/>
        <w:bottom w:val="none" w:sz="0" w:space="0" w:color="auto"/>
        <w:right w:val="none" w:sz="0" w:space="0" w:color="auto"/>
      </w:divBdr>
    </w:div>
    <w:div w:id="1578633119">
      <w:bodyDiv w:val="1"/>
      <w:marLeft w:val="0"/>
      <w:marRight w:val="0"/>
      <w:marTop w:val="0"/>
      <w:marBottom w:val="0"/>
      <w:divBdr>
        <w:top w:val="none" w:sz="0" w:space="0" w:color="auto"/>
        <w:left w:val="none" w:sz="0" w:space="0" w:color="auto"/>
        <w:bottom w:val="none" w:sz="0" w:space="0" w:color="auto"/>
        <w:right w:val="none" w:sz="0" w:space="0" w:color="auto"/>
      </w:divBdr>
    </w:div>
    <w:div w:id="1584294124">
      <w:bodyDiv w:val="1"/>
      <w:marLeft w:val="0"/>
      <w:marRight w:val="0"/>
      <w:marTop w:val="0"/>
      <w:marBottom w:val="0"/>
      <w:divBdr>
        <w:top w:val="none" w:sz="0" w:space="0" w:color="auto"/>
        <w:left w:val="none" w:sz="0" w:space="0" w:color="auto"/>
        <w:bottom w:val="none" w:sz="0" w:space="0" w:color="auto"/>
        <w:right w:val="none" w:sz="0" w:space="0" w:color="auto"/>
      </w:divBdr>
    </w:div>
    <w:div w:id="1595700293">
      <w:bodyDiv w:val="1"/>
      <w:marLeft w:val="0"/>
      <w:marRight w:val="0"/>
      <w:marTop w:val="0"/>
      <w:marBottom w:val="0"/>
      <w:divBdr>
        <w:top w:val="none" w:sz="0" w:space="0" w:color="auto"/>
        <w:left w:val="none" w:sz="0" w:space="0" w:color="auto"/>
        <w:bottom w:val="none" w:sz="0" w:space="0" w:color="auto"/>
        <w:right w:val="none" w:sz="0" w:space="0" w:color="auto"/>
      </w:divBdr>
    </w:div>
    <w:div w:id="1598899836">
      <w:bodyDiv w:val="1"/>
      <w:marLeft w:val="0"/>
      <w:marRight w:val="0"/>
      <w:marTop w:val="0"/>
      <w:marBottom w:val="0"/>
      <w:divBdr>
        <w:top w:val="none" w:sz="0" w:space="0" w:color="auto"/>
        <w:left w:val="none" w:sz="0" w:space="0" w:color="auto"/>
        <w:bottom w:val="none" w:sz="0" w:space="0" w:color="auto"/>
        <w:right w:val="none" w:sz="0" w:space="0" w:color="auto"/>
      </w:divBdr>
    </w:div>
    <w:div w:id="1615136689">
      <w:bodyDiv w:val="1"/>
      <w:marLeft w:val="0"/>
      <w:marRight w:val="0"/>
      <w:marTop w:val="0"/>
      <w:marBottom w:val="0"/>
      <w:divBdr>
        <w:top w:val="none" w:sz="0" w:space="0" w:color="auto"/>
        <w:left w:val="none" w:sz="0" w:space="0" w:color="auto"/>
        <w:bottom w:val="none" w:sz="0" w:space="0" w:color="auto"/>
        <w:right w:val="none" w:sz="0" w:space="0" w:color="auto"/>
      </w:divBdr>
    </w:div>
    <w:div w:id="1625035373">
      <w:bodyDiv w:val="1"/>
      <w:marLeft w:val="0"/>
      <w:marRight w:val="0"/>
      <w:marTop w:val="0"/>
      <w:marBottom w:val="0"/>
      <w:divBdr>
        <w:top w:val="none" w:sz="0" w:space="0" w:color="auto"/>
        <w:left w:val="none" w:sz="0" w:space="0" w:color="auto"/>
        <w:bottom w:val="none" w:sz="0" w:space="0" w:color="auto"/>
        <w:right w:val="none" w:sz="0" w:space="0" w:color="auto"/>
      </w:divBdr>
      <w:divsChild>
        <w:div w:id="854878218">
          <w:marLeft w:val="0"/>
          <w:marRight w:val="0"/>
          <w:marTop w:val="0"/>
          <w:marBottom w:val="0"/>
          <w:divBdr>
            <w:top w:val="none" w:sz="0" w:space="0" w:color="auto"/>
            <w:left w:val="none" w:sz="0" w:space="0" w:color="auto"/>
            <w:bottom w:val="none" w:sz="0" w:space="0" w:color="auto"/>
            <w:right w:val="none" w:sz="0" w:space="0" w:color="auto"/>
          </w:divBdr>
        </w:div>
      </w:divsChild>
    </w:div>
    <w:div w:id="1645158720">
      <w:bodyDiv w:val="1"/>
      <w:marLeft w:val="0"/>
      <w:marRight w:val="0"/>
      <w:marTop w:val="0"/>
      <w:marBottom w:val="0"/>
      <w:divBdr>
        <w:top w:val="none" w:sz="0" w:space="0" w:color="auto"/>
        <w:left w:val="none" w:sz="0" w:space="0" w:color="auto"/>
        <w:bottom w:val="none" w:sz="0" w:space="0" w:color="auto"/>
        <w:right w:val="none" w:sz="0" w:space="0" w:color="auto"/>
      </w:divBdr>
    </w:div>
    <w:div w:id="1652636361">
      <w:bodyDiv w:val="1"/>
      <w:marLeft w:val="0"/>
      <w:marRight w:val="0"/>
      <w:marTop w:val="0"/>
      <w:marBottom w:val="0"/>
      <w:divBdr>
        <w:top w:val="none" w:sz="0" w:space="0" w:color="auto"/>
        <w:left w:val="none" w:sz="0" w:space="0" w:color="auto"/>
        <w:bottom w:val="none" w:sz="0" w:space="0" w:color="auto"/>
        <w:right w:val="none" w:sz="0" w:space="0" w:color="auto"/>
      </w:divBdr>
    </w:div>
    <w:div w:id="1674915156">
      <w:bodyDiv w:val="1"/>
      <w:marLeft w:val="0"/>
      <w:marRight w:val="0"/>
      <w:marTop w:val="0"/>
      <w:marBottom w:val="0"/>
      <w:divBdr>
        <w:top w:val="none" w:sz="0" w:space="0" w:color="auto"/>
        <w:left w:val="none" w:sz="0" w:space="0" w:color="auto"/>
        <w:bottom w:val="none" w:sz="0" w:space="0" w:color="auto"/>
        <w:right w:val="none" w:sz="0" w:space="0" w:color="auto"/>
      </w:divBdr>
    </w:div>
    <w:div w:id="1690521367">
      <w:bodyDiv w:val="1"/>
      <w:marLeft w:val="0"/>
      <w:marRight w:val="0"/>
      <w:marTop w:val="0"/>
      <w:marBottom w:val="0"/>
      <w:divBdr>
        <w:top w:val="none" w:sz="0" w:space="0" w:color="auto"/>
        <w:left w:val="none" w:sz="0" w:space="0" w:color="auto"/>
        <w:bottom w:val="none" w:sz="0" w:space="0" w:color="auto"/>
        <w:right w:val="none" w:sz="0" w:space="0" w:color="auto"/>
      </w:divBdr>
    </w:div>
    <w:div w:id="1697199455">
      <w:bodyDiv w:val="1"/>
      <w:marLeft w:val="0"/>
      <w:marRight w:val="0"/>
      <w:marTop w:val="0"/>
      <w:marBottom w:val="0"/>
      <w:divBdr>
        <w:top w:val="none" w:sz="0" w:space="0" w:color="auto"/>
        <w:left w:val="none" w:sz="0" w:space="0" w:color="auto"/>
        <w:bottom w:val="none" w:sz="0" w:space="0" w:color="auto"/>
        <w:right w:val="none" w:sz="0" w:space="0" w:color="auto"/>
      </w:divBdr>
    </w:div>
    <w:div w:id="1698118835">
      <w:bodyDiv w:val="1"/>
      <w:marLeft w:val="0"/>
      <w:marRight w:val="0"/>
      <w:marTop w:val="0"/>
      <w:marBottom w:val="0"/>
      <w:divBdr>
        <w:top w:val="none" w:sz="0" w:space="0" w:color="auto"/>
        <w:left w:val="none" w:sz="0" w:space="0" w:color="auto"/>
        <w:bottom w:val="none" w:sz="0" w:space="0" w:color="auto"/>
        <w:right w:val="none" w:sz="0" w:space="0" w:color="auto"/>
      </w:divBdr>
    </w:div>
    <w:div w:id="1698659464">
      <w:bodyDiv w:val="1"/>
      <w:marLeft w:val="0"/>
      <w:marRight w:val="0"/>
      <w:marTop w:val="0"/>
      <w:marBottom w:val="0"/>
      <w:divBdr>
        <w:top w:val="none" w:sz="0" w:space="0" w:color="auto"/>
        <w:left w:val="none" w:sz="0" w:space="0" w:color="auto"/>
        <w:bottom w:val="none" w:sz="0" w:space="0" w:color="auto"/>
        <w:right w:val="none" w:sz="0" w:space="0" w:color="auto"/>
      </w:divBdr>
    </w:div>
    <w:div w:id="1746487457">
      <w:bodyDiv w:val="1"/>
      <w:marLeft w:val="0"/>
      <w:marRight w:val="0"/>
      <w:marTop w:val="0"/>
      <w:marBottom w:val="0"/>
      <w:divBdr>
        <w:top w:val="none" w:sz="0" w:space="0" w:color="auto"/>
        <w:left w:val="none" w:sz="0" w:space="0" w:color="auto"/>
        <w:bottom w:val="none" w:sz="0" w:space="0" w:color="auto"/>
        <w:right w:val="none" w:sz="0" w:space="0" w:color="auto"/>
      </w:divBdr>
    </w:div>
    <w:div w:id="1755859711">
      <w:bodyDiv w:val="1"/>
      <w:marLeft w:val="0"/>
      <w:marRight w:val="0"/>
      <w:marTop w:val="0"/>
      <w:marBottom w:val="0"/>
      <w:divBdr>
        <w:top w:val="none" w:sz="0" w:space="0" w:color="auto"/>
        <w:left w:val="none" w:sz="0" w:space="0" w:color="auto"/>
        <w:bottom w:val="none" w:sz="0" w:space="0" w:color="auto"/>
        <w:right w:val="none" w:sz="0" w:space="0" w:color="auto"/>
      </w:divBdr>
    </w:div>
    <w:div w:id="1761951468">
      <w:bodyDiv w:val="1"/>
      <w:marLeft w:val="0"/>
      <w:marRight w:val="0"/>
      <w:marTop w:val="0"/>
      <w:marBottom w:val="0"/>
      <w:divBdr>
        <w:top w:val="none" w:sz="0" w:space="0" w:color="auto"/>
        <w:left w:val="none" w:sz="0" w:space="0" w:color="auto"/>
        <w:bottom w:val="none" w:sz="0" w:space="0" w:color="auto"/>
        <w:right w:val="none" w:sz="0" w:space="0" w:color="auto"/>
      </w:divBdr>
    </w:div>
    <w:div w:id="1800339976">
      <w:bodyDiv w:val="1"/>
      <w:marLeft w:val="0"/>
      <w:marRight w:val="0"/>
      <w:marTop w:val="0"/>
      <w:marBottom w:val="0"/>
      <w:divBdr>
        <w:top w:val="none" w:sz="0" w:space="0" w:color="auto"/>
        <w:left w:val="none" w:sz="0" w:space="0" w:color="auto"/>
        <w:bottom w:val="none" w:sz="0" w:space="0" w:color="auto"/>
        <w:right w:val="none" w:sz="0" w:space="0" w:color="auto"/>
      </w:divBdr>
    </w:div>
    <w:div w:id="1814370554">
      <w:bodyDiv w:val="1"/>
      <w:marLeft w:val="0"/>
      <w:marRight w:val="0"/>
      <w:marTop w:val="0"/>
      <w:marBottom w:val="0"/>
      <w:divBdr>
        <w:top w:val="none" w:sz="0" w:space="0" w:color="auto"/>
        <w:left w:val="none" w:sz="0" w:space="0" w:color="auto"/>
        <w:bottom w:val="none" w:sz="0" w:space="0" w:color="auto"/>
        <w:right w:val="none" w:sz="0" w:space="0" w:color="auto"/>
      </w:divBdr>
    </w:div>
    <w:div w:id="1815640875">
      <w:bodyDiv w:val="1"/>
      <w:marLeft w:val="0"/>
      <w:marRight w:val="0"/>
      <w:marTop w:val="0"/>
      <w:marBottom w:val="0"/>
      <w:divBdr>
        <w:top w:val="none" w:sz="0" w:space="0" w:color="auto"/>
        <w:left w:val="none" w:sz="0" w:space="0" w:color="auto"/>
        <w:bottom w:val="none" w:sz="0" w:space="0" w:color="auto"/>
        <w:right w:val="none" w:sz="0" w:space="0" w:color="auto"/>
      </w:divBdr>
      <w:divsChild>
        <w:div w:id="434332086">
          <w:marLeft w:val="0"/>
          <w:marRight w:val="0"/>
          <w:marTop w:val="0"/>
          <w:marBottom w:val="0"/>
          <w:divBdr>
            <w:top w:val="none" w:sz="0" w:space="0" w:color="auto"/>
            <w:left w:val="none" w:sz="0" w:space="0" w:color="auto"/>
            <w:bottom w:val="none" w:sz="0" w:space="0" w:color="auto"/>
            <w:right w:val="none" w:sz="0" w:space="0" w:color="auto"/>
          </w:divBdr>
        </w:div>
        <w:div w:id="553321102">
          <w:marLeft w:val="0"/>
          <w:marRight w:val="0"/>
          <w:marTop w:val="0"/>
          <w:marBottom w:val="0"/>
          <w:divBdr>
            <w:top w:val="none" w:sz="0" w:space="0" w:color="auto"/>
            <w:left w:val="none" w:sz="0" w:space="0" w:color="auto"/>
            <w:bottom w:val="none" w:sz="0" w:space="0" w:color="auto"/>
            <w:right w:val="none" w:sz="0" w:space="0" w:color="auto"/>
          </w:divBdr>
        </w:div>
        <w:div w:id="786239843">
          <w:marLeft w:val="0"/>
          <w:marRight w:val="0"/>
          <w:marTop w:val="0"/>
          <w:marBottom w:val="0"/>
          <w:divBdr>
            <w:top w:val="none" w:sz="0" w:space="0" w:color="auto"/>
            <w:left w:val="none" w:sz="0" w:space="0" w:color="auto"/>
            <w:bottom w:val="none" w:sz="0" w:space="0" w:color="auto"/>
            <w:right w:val="none" w:sz="0" w:space="0" w:color="auto"/>
          </w:divBdr>
        </w:div>
        <w:div w:id="943810026">
          <w:marLeft w:val="0"/>
          <w:marRight w:val="0"/>
          <w:marTop w:val="0"/>
          <w:marBottom w:val="0"/>
          <w:divBdr>
            <w:top w:val="none" w:sz="0" w:space="0" w:color="auto"/>
            <w:left w:val="none" w:sz="0" w:space="0" w:color="auto"/>
            <w:bottom w:val="none" w:sz="0" w:space="0" w:color="auto"/>
            <w:right w:val="none" w:sz="0" w:space="0" w:color="auto"/>
          </w:divBdr>
        </w:div>
        <w:div w:id="1969164847">
          <w:marLeft w:val="0"/>
          <w:marRight w:val="0"/>
          <w:marTop w:val="0"/>
          <w:marBottom w:val="0"/>
          <w:divBdr>
            <w:top w:val="none" w:sz="0" w:space="0" w:color="auto"/>
            <w:left w:val="none" w:sz="0" w:space="0" w:color="auto"/>
            <w:bottom w:val="none" w:sz="0" w:space="0" w:color="auto"/>
            <w:right w:val="none" w:sz="0" w:space="0" w:color="auto"/>
          </w:divBdr>
        </w:div>
      </w:divsChild>
    </w:div>
    <w:div w:id="1835220348">
      <w:bodyDiv w:val="1"/>
      <w:marLeft w:val="0"/>
      <w:marRight w:val="0"/>
      <w:marTop w:val="0"/>
      <w:marBottom w:val="0"/>
      <w:divBdr>
        <w:top w:val="none" w:sz="0" w:space="0" w:color="auto"/>
        <w:left w:val="none" w:sz="0" w:space="0" w:color="auto"/>
        <w:bottom w:val="none" w:sz="0" w:space="0" w:color="auto"/>
        <w:right w:val="none" w:sz="0" w:space="0" w:color="auto"/>
      </w:divBdr>
    </w:div>
    <w:div w:id="1861896488">
      <w:bodyDiv w:val="1"/>
      <w:marLeft w:val="0"/>
      <w:marRight w:val="0"/>
      <w:marTop w:val="0"/>
      <w:marBottom w:val="0"/>
      <w:divBdr>
        <w:top w:val="none" w:sz="0" w:space="0" w:color="auto"/>
        <w:left w:val="none" w:sz="0" w:space="0" w:color="auto"/>
        <w:bottom w:val="none" w:sz="0" w:space="0" w:color="auto"/>
        <w:right w:val="none" w:sz="0" w:space="0" w:color="auto"/>
      </w:divBdr>
    </w:div>
    <w:div w:id="1862087892">
      <w:bodyDiv w:val="1"/>
      <w:marLeft w:val="0"/>
      <w:marRight w:val="0"/>
      <w:marTop w:val="0"/>
      <w:marBottom w:val="0"/>
      <w:divBdr>
        <w:top w:val="none" w:sz="0" w:space="0" w:color="auto"/>
        <w:left w:val="none" w:sz="0" w:space="0" w:color="auto"/>
        <w:bottom w:val="none" w:sz="0" w:space="0" w:color="auto"/>
        <w:right w:val="none" w:sz="0" w:space="0" w:color="auto"/>
      </w:divBdr>
    </w:div>
    <w:div w:id="1874685243">
      <w:bodyDiv w:val="1"/>
      <w:marLeft w:val="0"/>
      <w:marRight w:val="0"/>
      <w:marTop w:val="0"/>
      <w:marBottom w:val="0"/>
      <w:divBdr>
        <w:top w:val="none" w:sz="0" w:space="0" w:color="auto"/>
        <w:left w:val="none" w:sz="0" w:space="0" w:color="auto"/>
        <w:bottom w:val="none" w:sz="0" w:space="0" w:color="auto"/>
        <w:right w:val="none" w:sz="0" w:space="0" w:color="auto"/>
      </w:divBdr>
    </w:div>
    <w:div w:id="1877162435">
      <w:bodyDiv w:val="1"/>
      <w:marLeft w:val="0"/>
      <w:marRight w:val="0"/>
      <w:marTop w:val="0"/>
      <w:marBottom w:val="0"/>
      <w:divBdr>
        <w:top w:val="none" w:sz="0" w:space="0" w:color="auto"/>
        <w:left w:val="none" w:sz="0" w:space="0" w:color="auto"/>
        <w:bottom w:val="none" w:sz="0" w:space="0" w:color="auto"/>
        <w:right w:val="none" w:sz="0" w:space="0" w:color="auto"/>
      </w:divBdr>
    </w:div>
    <w:div w:id="1899243694">
      <w:bodyDiv w:val="1"/>
      <w:marLeft w:val="0"/>
      <w:marRight w:val="0"/>
      <w:marTop w:val="0"/>
      <w:marBottom w:val="0"/>
      <w:divBdr>
        <w:top w:val="none" w:sz="0" w:space="0" w:color="auto"/>
        <w:left w:val="none" w:sz="0" w:space="0" w:color="auto"/>
        <w:bottom w:val="none" w:sz="0" w:space="0" w:color="auto"/>
        <w:right w:val="none" w:sz="0" w:space="0" w:color="auto"/>
      </w:divBdr>
    </w:div>
    <w:div w:id="1900167446">
      <w:bodyDiv w:val="1"/>
      <w:marLeft w:val="0"/>
      <w:marRight w:val="0"/>
      <w:marTop w:val="0"/>
      <w:marBottom w:val="0"/>
      <w:divBdr>
        <w:top w:val="none" w:sz="0" w:space="0" w:color="auto"/>
        <w:left w:val="none" w:sz="0" w:space="0" w:color="auto"/>
        <w:bottom w:val="none" w:sz="0" w:space="0" w:color="auto"/>
        <w:right w:val="none" w:sz="0" w:space="0" w:color="auto"/>
      </w:divBdr>
    </w:div>
    <w:div w:id="1902906361">
      <w:bodyDiv w:val="1"/>
      <w:marLeft w:val="0"/>
      <w:marRight w:val="0"/>
      <w:marTop w:val="0"/>
      <w:marBottom w:val="0"/>
      <w:divBdr>
        <w:top w:val="none" w:sz="0" w:space="0" w:color="auto"/>
        <w:left w:val="none" w:sz="0" w:space="0" w:color="auto"/>
        <w:bottom w:val="none" w:sz="0" w:space="0" w:color="auto"/>
        <w:right w:val="none" w:sz="0" w:space="0" w:color="auto"/>
      </w:divBdr>
    </w:div>
    <w:div w:id="1904683449">
      <w:bodyDiv w:val="1"/>
      <w:marLeft w:val="0"/>
      <w:marRight w:val="0"/>
      <w:marTop w:val="0"/>
      <w:marBottom w:val="0"/>
      <w:divBdr>
        <w:top w:val="none" w:sz="0" w:space="0" w:color="auto"/>
        <w:left w:val="none" w:sz="0" w:space="0" w:color="auto"/>
        <w:bottom w:val="none" w:sz="0" w:space="0" w:color="auto"/>
        <w:right w:val="none" w:sz="0" w:space="0" w:color="auto"/>
      </w:divBdr>
    </w:div>
    <w:div w:id="1908564932">
      <w:bodyDiv w:val="1"/>
      <w:marLeft w:val="0"/>
      <w:marRight w:val="0"/>
      <w:marTop w:val="0"/>
      <w:marBottom w:val="0"/>
      <w:divBdr>
        <w:top w:val="none" w:sz="0" w:space="0" w:color="auto"/>
        <w:left w:val="none" w:sz="0" w:space="0" w:color="auto"/>
        <w:bottom w:val="none" w:sz="0" w:space="0" w:color="auto"/>
        <w:right w:val="none" w:sz="0" w:space="0" w:color="auto"/>
      </w:divBdr>
    </w:div>
    <w:div w:id="1927183108">
      <w:bodyDiv w:val="1"/>
      <w:marLeft w:val="0"/>
      <w:marRight w:val="0"/>
      <w:marTop w:val="0"/>
      <w:marBottom w:val="0"/>
      <w:divBdr>
        <w:top w:val="none" w:sz="0" w:space="0" w:color="auto"/>
        <w:left w:val="none" w:sz="0" w:space="0" w:color="auto"/>
        <w:bottom w:val="none" w:sz="0" w:space="0" w:color="auto"/>
        <w:right w:val="none" w:sz="0" w:space="0" w:color="auto"/>
      </w:divBdr>
    </w:div>
    <w:div w:id="1970548641">
      <w:bodyDiv w:val="1"/>
      <w:marLeft w:val="0"/>
      <w:marRight w:val="0"/>
      <w:marTop w:val="0"/>
      <w:marBottom w:val="0"/>
      <w:divBdr>
        <w:top w:val="none" w:sz="0" w:space="0" w:color="auto"/>
        <w:left w:val="none" w:sz="0" w:space="0" w:color="auto"/>
        <w:bottom w:val="none" w:sz="0" w:space="0" w:color="auto"/>
        <w:right w:val="none" w:sz="0" w:space="0" w:color="auto"/>
      </w:divBdr>
    </w:div>
    <w:div w:id="1985886943">
      <w:bodyDiv w:val="1"/>
      <w:marLeft w:val="0"/>
      <w:marRight w:val="0"/>
      <w:marTop w:val="0"/>
      <w:marBottom w:val="0"/>
      <w:divBdr>
        <w:top w:val="none" w:sz="0" w:space="0" w:color="auto"/>
        <w:left w:val="none" w:sz="0" w:space="0" w:color="auto"/>
        <w:bottom w:val="none" w:sz="0" w:space="0" w:color="auto"/>
        <w:right w:val="none" w:sz="0" w:space="0" w:color="auto"/>
      </w:divBdr>
    </w:div>
    <w:div w:id="2048679729">
      <w:bodyDiv w:val="1"/>
      <w:marLeft w:val="0"/>
      <w:marRight w:val="0"/>
      <w:marTop w:val="0"/>
      <w:marBottom w:val="0"/>
      <w:divBdr>
        <w:top w:val="none" w:sz="0" w:space="0" w:color="auto"/>
        <w:left w:val="none" w:sz="0" w:space="0" w:color="auto"/>
        <w:bottom w:val="none" w:sz="0" w:space="0" w:color="auto"/>
        <w:right w:val="none" w:sz="0" w:space="0" w:color="auto"/>
      </w:divBdr>
    </w:div>
    <w:div w:id="2049253476">
      <w:bodyDiv w:val="1"/>
      <w:marLeft w:val="0"/>
      <w:marRight w:val="0"/>
      <w:marTop w:val="0"/>
      <w:marBottom w:val="0"/>
      <w:divBdr>
        <w:top w:val="none" w:sz="0" w:space="0" w:color="auto"/>
        <w:left w:val="none" w:sz="0" w:space="0" w:color="auto"/>
        <w:bottom w:val="none" w:sz="0" w:space="0" w:color="auto"/>
        <w:right w:val="none" w:sz="0" w:space="0" w:color="auto"/>
      </w:divBdr>
      <w:divsChild>
        <w:div w:id="798381068">
          <w:marLeft w:val="0"/>
          <w:marRight w:val="0"/>
          <w:marTop w:val="0"/>
          <w:marBottom w:val="0"/>
          <w:divBdr>
            <w:top w:val="none" w:sz="0" w:space="0" w:color="auto"/>
            <w:left w:val="none" w:sz="0" w:space="0" w:color="auto"/>
            <w:bottom w:val="none" w:sz="0" w:space="0" w:color="auto"/>
            <w:right w:val="none" w:sz="0" w:space="0" w:color="auto"/>
          </w:divBdr>
        </w:div>
      </w:divsChild>
    </w:div>
    <w:div w:id="2061198298">
      <w:bodyDiv w:val="1"/>
      <w:marLeft w:val="0"/>
      <w:marRight w:val="0"/>
      <w:marTop w:val="0"/>
      <w:marBottom w:val="0"/>
      <w:divBdr>
        <w:top w:val="none" w:sz="0" w:space="0" w:color="auto"/>
        <w:left w:val="none" w:sz="0" w:space="0" w:color="auto"/>
        <w:bottom w:val="none" w:sz="0" w:space="0" w:color="auto"/>
        <w:right w:val="none" w:sz="0" w:space="0" w:color="auto"/>
      </w:divBdr>
    </w:div>
    <w:div w:id="2063407354">
      <w:bodyDiv w:val="1"/>
      <w:marLeft w:val="0"/>
      <w:marRight w:val="0"/>
      <w:marTop w:val="0"/>
      <w:marBottom w:val="0"/>
      <w:divBdr>
        <w:top w:val="none" w:sz="0" w:space="0" w:color="auto"/>
        <w:left w:val="none" w:sz="0" w:space="0" w:color="auto"/>
        <w:bottom w:val="none" w:sz="0" w:space="0" w:color="auto"/>
        <w:right w:val="none" w:sz="0" w:space="0" w:color="auto"/>
      </w:divBdr>
    </w:div>
    <w:div w:id="2075859074">
      <w:bodyDiv w:val="1"/>
      <w:marLeft w:val="0"/>
      <w:marRight w:val="0"/>
      <w:marTop w:val="0"/>
      <w:marBottom w:val="0"/>
      <w:divBdr>
        <w:top w:val="none" w:sz="0" w:space="0" w:color="auto"/>
        <w:left w:val="none" w:sz="0" w:space="0" w:color="auto"/>
        <w:bottom w:val="none" w:sz="0" w:space="0" w:color="auto"/>
        <w:right w:val="none" w:sz="0" w:space="0" w:color="auto"/>
      </w:divBdr>
    </w:div>
    <w:div w:id="2081753646">
      <w:bodyDiv w:val="1"/>
      <w:marLeft w:val="0"/>
      <w:marRight w:val="0"/>
      <w:marTop w:val="0"/>
      <w:marBottom w:val="0"/>
      <w:divBdr>
        <w:top w:val="none" w:sz="0" w:space="0" w:color="auto"/>
        <w:left w:val="none" w:sz="0" w:space="0" w:color="auto"/>
        <w:bottom w:val="none" w:sz="0" w:space="0" w:color="auto"/>
        <w:right w:val="none" w:sz="0" w:space="0" w:color="auto"/>
      </w:divBdr>
    </w:div>
    <w:div w:id="2083986921">
      <w:bodyDiv w:val="1"/>
      <w:marLeft w:val="0"/>
      <w:marRight w:val="0"/>
      <w:marTop w:val="0"/>
      <w:marBottom w:val="0"/>
      <w:divBdr>
        <w:top w:val="none" w:sz="0" w:space="0" w:color="auto"/>
        <w:left w:val="none" w:sz="0" w:space="0" w:color="auto"/>
        <w:bottom w:val="none" w:sz="0" w:space="0" w:color="auto"/>
        <w:right w:val="none" w:sz="0" w:space="0" w:color="auto"/>
      </w:divBdr>
    </w:div>
    <w:div w:id="2101834441">
      <w:bodyDiv w:val="1"/>
      <w:marLeft w:val="0"/>
      <w:marRight w:val="0"/>
      <w:marTop w:val="0"/>
      <w:marBottom w:val="0"/>
      <w:divBdr>
        <w:top w:val="none" w:sz="0" w:space="0" w:color="auto"/>
        <w:left w:val="none" w:sz="0" w:space="0" w:color="auto"/>
        <w:bottom w:val="none" w:sz="0" w:space="0" w:color="auto"/>
        <w:right w:val="none" w:sz="0" w:space="0" w:color="auto"/>
      </w:divBdr>
    </w:div>
    <w:div w:id="2103602536">
      <w:bodyDiv w:val="1"/>
      <w:marLeft w:val="0"/>
      <w:marRight w:val="0"/>
      <w:marTop w:val="0"/>
      <w:marBottom w:val="0"/>
      <w:divBdr>
        <w:top w:val="none" w:sz="0" w:space="0" w:color="auto"/>
        <w:left w:val="none" w:sz="0" w:space="0" w:color="auto"/>
        <w:bottom w:val="none" w:sz="0" w:space="0" w:color="auto"/>
        <w:right w:val="none" w:sz="0" w:space="0" w:color="auto"/>
      </w:divBdr>
    </w:div>
    <w:div w:id="2120367581">
      <w:bodyDiv w:val="1"/>
      <w:marLeft w:val="0"/>
      <w:marRight w:val="0"/>
      <w:marTop w:val="0"/>
      <w:marBottom w:val="0"/>
      <w:divBdr>
        <w:top w:val="none" w:sz="0" w:space="0" w:color="auto"/>
        <w:left w:val="none" w:sz="0" w:space="0" w:color="auto"/>
        <w:bottom w:val="none" w:sz="0" w:space="0" w:color="auto"/>
        <w:right w:val="none" w:sz="0" w:space="0" w:color="auto"/>
      </w:divBdr>
    </w:div>
    <w:div w:id="2132430616">
      <w:bodyDiv w:val="1"/>
      <w:marLeft w:val="0"/>
      <w:marRight w:val="0"/>
      <w:marTop w:val="0"/>
      <w:marBottom w:val="0"/>
      <w:divBdr>
        <w:top w:val="none" w:sz="0" w:space="0" w:color="auto"/>
        <w:left w:val="none" w:sz="0" w:space="0" w:color="auto"/>
        <w:bottom w:val="none" w:sz="0" w:space="0" w:color="auto"/>
        <w:right w:val="none" w:sz="0" w:space="0" w:color="auto"/>
      </w:divBdr>
    </w:div>
    <w:div w:id="21325543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iucnredlist.org/" TargetMode="External"/><Relationship Id="rId21" Type="http://schemas.openxmlformats.org/officeDocument/2006/relationships/hyperlink" Target="https://acictios.org/listado-de-peces-de-agua-dulce-de-colombia/" TargetMode="External"/><Relationship Id="rId42" Type="http://schemas.openxmlformats.org/officeDocument/2006/relationships/image" Target="media/image8.jpeg"/><Relationship Id="rId47" Type="http://schemas.openxmlformats.org/officeDocument/2006/relationships/image" Target="media/image15.gif"/><Relationship Id="rId63" Type="http://schemas.openxmlformats.org/officeDocument/2006/relationships/header" Target="header10.xml"/><Relationship Id="rId68" Type="http://schemas.openxmlformats.org/officeDocument/2006/relationships/diagramLayout" Target="diagrams/layout2.xml"/><Relationship Id="rId16" Type="http://schemas.openxmlformats.org/officeDocument/2006/relationships/hyperlink" Target="https://sig.anla.gov.co/seleccion.aspx" TargetMode="External"/><Relationship Id="rId11" Type="http://schemas.openxmlformats.org/officeDocument/2006/relationships/header" Target="header1.xml"/><Relationship Id="rId32" Type="http://schemas.openxmlformats.org/officeDocument/2006/relationships/header" Target="header6.xml"/><Relationship Id="rId37" Type="http://schemas.openxmlformats.org/officeDocument/2006/relationships/diagramLayout" Target="diagrams/layout1.xml"/><Relationship Id="rId53" Type="http://schemas.openxmlformats.org/officeDocument/2006/relationships/image" Target="media/image21.png"/><Relationship Id="rId58" Type="http://schemas.openxmlformats.org/officeDocument/2006/relationships/hyperlink" Target="https://sibcolombia.net/" TargetMode="External"/><Relationship Id="rId74" Type="http://schemas.openxmlformats.org/officeDocument/2006/relationships/hyperlink" Target="https://www.unizar.es/guiar/1/Accident/An_conse/Efec_domino.htm" TargetMode="External"/><Relationship Id="rId79" Type="http://schemas.openxmlformats.org/officeDocument/2006/relationships/footer" Target="footer8.xml"/><Relationship Id="rId5" Type="http://schemas.openxmlformats.org/officeDocument/2006/relationships/numbering" Target="numbering.xml"/><Relationship Id="rId61" Type="http://schemas.openxmlformats.org/officeDocument/2006/relationships/header" Target="header8.xml"/><Relationship Id="rId82" Type="http://schemas.openxmlformats.org/officeDocument/2006/relationships/theme" Target="theme/theme1.xml"/><Relationship Id="rId19" Type="http://schemas.openxmlformats.org/officeDocument/2006/relationships/hyperlink" Target="https://www.anla.gov.co/eureka/" TargetMode="External"/><Relationship Id="rId14" Type="http://schemas.openxmlformats.org/officeDocument/2006/relationships/footer" Target="footer2.xml"/><Relationship Id="rId22" Type="http://schemas.openxmlformats.org/officeDocument/2006/relationships/hyperlink" Target="https://cites.org/esp/app/appendices.php" TargetMode="External"/><Relationship Id="rId27" Type="http://schemas.openxmlformats.org/officeDocument/2006/relationships/hyperlink" Target="http://www.theplantlist.org/" TargetMode="External"/><Relationship Id="rId30" Type="http://schemas.openxmlformats.org/officeDocument/2006/relationships/header" Target="header5.xml"/><Relationship Id="rId35" Type="http://schemas.openxmlformats.org/officeDocument/2006/relationships/footer" Target="footer5.xml"/><Relationship Id="rId43" Type="http://schemas.openxmlformats.org/officeDocument/2006/relationships/image" Target="media/image9.jpeg"/><Relationship Id="rId48" Type="http://schemas.openxmlformats.org/officeDocument/2006/relationships/image" Target="media/image10.jpeg"/><Relationship Id="rId56" Type="http://schemas.openxmlformats.org/officeDocument/2006/relationships/image" Target="media/image16.png"/><Relationship Id="rId64" Type="http://schemas.openxmlformats.org/officeDocument/2006/relationships/footer" Target="footer6.xml"/><Relationship Id="rId69" Type="http://schemas.openxmlformats.org/officeDocument/2006/relationships/diagramQuickStyle" Target="diagrams/quickStyle2.xml"/><Relationship Id="rId77" Type="http://schemas.openxmlformats.org/officeDocument/2006/relationships/header" Target="header12.xml"/><Relationship Id="rId8" Type="http://schemas.openxmlformats.org/officeDocument/2006/relationships/webSettings" Target="webSettings.xml"/><Relationship Id="rId51" Type="http://schemas.openxmlformats.org/officeDocument/2006/relationships/image" Target="media/image13.png"/><Relationship Id="rId72" Type="http://schemas.openxmlformats.org/officeDocument/2006/relationships/hyperlink" Target="https://www.unizar.es/guiar/1/Accident/An_conse/Metodos.htm" TargetMode="External"/><Relationship Id="rId80" Type="http://schemas.openxmlformats.org/officeDocument/2006/relationships/header" Target="header14.xml"/><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hyperlink" Target="https://www.anla.gov.co/01_anla/proyectos/apuestas-por-la-biodiversidad/cual-es-la-apuesta" TargetMode="External"/><Relationship Id="rId25" Type="http://schemas.openxmlformats.org/officeDocument/2006/relationships/hyperlink" Target="http://oca.unal.edu.co/" TargetMode="External"/><Relationship Id="rId33" Type="http://schemas.openxmlformats.org/officeDocument/2006/relationships/footer" Target="footer4.xml"/><Relationship Id="rId38" Type="http://schemas.openxmlformats.org/officeDocument/2006/relationships/diagramQuickStyle" Target="diagrams/quickStyle1.xml"/><Relationship Id="rId46" Type="http://schemas.openxmlformats.org/officeDocument/2006/relationships/image" Target="media/image14.jpeg"/><Relationship Id="rId59" Type="http://schemas.openxmlformats.org/officeDocument/2006/relationships/hyperlink" Target="http://catalogoplantasdecolombia.unal.edu.co/es/" TargetMode="External"/><Relationship Id="rId67" Type="http://schemas.openxmlformats.org/officeDocument/2006/relationships/diagramData" Target="diagrams/data2.xml"/><Relationship Id="rId20" Type="http://schemas.openxmlformats.org/officeDocument/2006/relationships/hyperlink" Target="https://www.anla.gov.co/01_anla/proyectos/nuevo-licenciamiento-ambiental/en-que-consiste" TargetMode="External"/><Relationship Id="rId41" Type="http://schemas.openxmlformats.org/officeDocument/2006/relationships/image" Target="media/image7.jpeg"/><Relationship Id="rId54" Type="http://schemas.openxmlformats.org/officeDocument/2006/relationships/image" Target="media/image22.png"/><Relationship Id="rId62" Type="http://schemas.openxmlformats.org/officeDocument/2006/relationships/header" Target="header9.xml"/><Relationship Id="rId70" Type="http://schemas.openxmlformats.org/officeDocument/2006/relationships/diagramColors" Target="diagrams/colors2.xml"/><Relationship Id="rId75" Type="http://schemas.openxmlformats.org/officeDocument/2006/relationships/hyperlink" Target="javascript:changeTableFAQ('FAQ_2039')"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3.xml"/><Relationship Id="rId23" Type="http://schemas.openxmlformats.org/officeDocument/2006/relationships/hyperlink" Target="https://colfungi.org/" TargetMode="External"/><Relationship Id="rId28" Type="http://schemas.openxmlformats.org/officeDocument/2006/relationships/image" Target="media/image4.png"/><Relationship Id="rId36" Type="http://schemas.openxmlformats.org/officeDocument/2006/relationships/diagramData" Target="diagrams/data1.xml"/><Relationship Id="rId49" Type="http://schemas.openxmlformats.org/officeDocument/2006/relationships/image" Target="media/image11.png"/><Relationship Id="rId57" Type="http://schemas.openxmlformats.org/officeDocument/2006/relationships/image" Target="media/image17.png"/><Relationship Id="rId10" Type="http://schemas.openxmlformats.org/officeDocument/2006/relationships/endnotes" Target="endnotes.xml"/><Relationship Id="rId31" Type="http://schemas.openxmlformats.org/officeDocument/2006/relationships/footer" Target="footer3.xml"/><Relationship Id="rId44" Type="http://schemas.openxmlformats.org/officeDocument/2006/relationships/image" Target="media/image12.jpeg"/><Relationship Id="rId52" Type="http://schemas.openxmlformats.org/officeDocument/2006/relationships/image" Target="media/image14.png"/><Relationship Id="rId60" Type="http://schemas.openxmlformats.org/officeDocument/2006/relationships/image" Target="media/image18.png"/><Relationship Id="rId65" Type="http://schemas.openxmlformats.org/officeDocument/2006/relationships/header" Target="header11.xml"/><Relationship Id="rId73" Type="http://schemas.openxmlformats.org/officeDocument/2006/relationships/hyperlink" Target="https://www.unizar.es/guiar/1/Accident/An_conse/An_conse.htm" TargetMode="External"/><Relationship Id="rId78" Type="http://schemas.openxmlformats.org/officeDocument/2006/relationships/header" Target="header13.xml"/><Relationship Id="rId8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1.xml"/><Relationship Id="rId18" Type="http://schemas.openxmlformats.org/officeDocument/2006/relationships/hyperlink" Target="https://www.anla.gov.co/proyectos-anla/centro-de-monitoreo/" TargetMode="External"/><Relationship Id="rId39" Type="http://schemas.openxmlformats.org/officeDocument/2006/relationships/diagramColors" Target="diagrams/colors1.xml"/><Relationship Id="rId34" Type="http://schemas.openxmlformats.org/officeDocument/2006/relationships/header" Target="header7.xml"/><Relationship Id="rId50" Type="http://schemas.openxmlformats.org/officeDocument/2006/relationships/image" Target="media/image12.png"/><Relationship Id="rId55" Type="http://schemas.openxmlformats.org/officeDocument/2006/relationships/image" Target="media/image15.png"/><Relationship Id="rId76" Type="http://schemas.openxmlformats.org/officeDocument/2006/relationships/hyperlink" Target="http://documentacion.ideam.gov.co/cgi-bin/koha/opac-detail.pl?biblionumber=38246&amp;query_desc=kw%2Cwrdl%3A%20protocolo%20de%20monitoreo%20del%20agua" TargetMode="External"/><Relationship Id="rId7" Type="http://schemas.openxmlformats.org/officeDocument/2006/relationships/settings" Target="settings.xml"/><Relationship Id="rId71" Type="http://schemas.microsoft.com/office/2007/relationships/diagramDrawing" Target="diagrams/drawing2.xml"/><Relationship Id="rId2" Type="http://schemas.openxmlformats.org/officeDocument/2006/relationships/customXml" Target="../customXml/item2.xml"/><Relationship Id="rId29" Type="http://schemas.openxmlformats.org/officeDocument/2006/relationships/header" Target="header4.xml"/><Relationship Id="rId24" Type="http://schemas.openxmlformats.org/officeDocument/2006/relationships/hyperlink" Target="https://lichenportal.org/portal/index.php" TargetMode="External"/><Relationship Id="rId40" Type="http://schemas.microsoft.com/office/2007/relationships/diagramDrawing" Target="diagrams/drawing1.xml"/><Relationship Id="rId45" Type="http://schemas.openxmlformats.org/officeDocument/2006/relationships/image" Target="media/image13.jpeg"/><Relationship Id="rId66" Type="http://schemas.openxmlformats.org/officeDocument/2006/relationships/footer" Target="footer7.xml"/></Relationships>
</file>

<file path=word/_rels/endnotes.xml.rels><?xml version="1.0" encoding="UTF-8" standalone="yes"?>
<Relationships xmlns="http://schemas.openxmlformats.org/package/2006/relationships"><Relationship Id="rId3" Type="http://schemas.openxmlformats.org/officeDocument/2006/relationships/hyperlink" Target="http://www.un.org/spanish/esa/sustdev/agenda21/agenda21spchapter34.htm" TargetMode="External"/><Relationship Id="rId2" Type="http://schemas.openxmlformats.org/officeDocument/2006/relationships/hyperlink" Target="https://doi.org/10.21068/c2021.v22n01a03" TargetMode="External"/><Relationship Id="rId1" Type="http://schemas.openxmlformats.org/officeDocument/2006/relationships/hyperlink" Target="https://www.sciencedirect.com/book/9780128030332" TargetMode="External"/></Relationships>
</file>

<file path=word/_rels/footer6.xml.rels><?xml version="1.0" encoding="UTF-8" standalone="yes"?>
<Relationships xmlns="http://schemas.openxmlformats.org/package/2006/relationships"><Relationship Id="rId1" Type="http://schemas.openxmlformats.org/officeDocument/2006/relationships/image" Target="media/image19.png"/></Relationships>
</file>

<file path=word/_rels/footer8.xml.rels><?xml version="1.0" encoding="UTF-8" standalone="yes"?>
<Relationships xmlns="http://schemas.openxmlformats.org/package/2006/relationships"><Relationship Id="rId1" Type="http://schemas.openxmlformats.org/officeDocument/2006/relationships/image" Target="media/image19.png"/></Relationships>
</file>

<file path=word/_rels/footnotes.xml.rels><?xml version="1.0" encoding="UTF-8" standalone="yes"?>
<Relationships xmlns="http://schemas.openxmlformats.org/package/2006/relationships"><Relationship Id="rId3" Type="http://schemas.openxmlformats.org/officeDocument/2006/relationships/hyperlink" Target="http://www.departments.bucknell.edu/biology/resources/msw3/" TargetMode="External"/><Relationship Id="rId2" Type="http://schemas.openxmlformats.org/officeDocument/2006/relationships/hyperlink" Target="http://www.museum.lsu.edu/~Remsen/SACCBaseline.htm" TargetMode="External"/><Relationship Id="rId1" Type="http://schemas.openxmlformats.org/officeDocument/2006/relationships/hyperlink" Target="http://www.reptile-database.org/" TargetMode="External"/><Relationship Id="rId4" Type="http://schemas.openxmlformats.org/officeDocument/2006/relationships/hyperlink" Target="http://cices.eu/" TargetMode="External"/></Relationships>
</file>

<file path=word/_rels/header10.xml.rels><?xml version="1.0" encoding="UTF-8" standalone="yes"?>
<Relationships xmlns="http://schemas.openxmlformats.org/package/2006/relationships"><Relationship Id="rId1" Type="http://schemas.openxmlformats.org/officeDocument/2006/relationships/image" Target="media/image3.png"/></Relationships>
</file>

<file path=word/_rels/header11.xml.rels><?xml version="1.0" encoding="UTF-8" standalone="yes"?>
<Relationships xmlns="http://schemas.openxmlformats.org/package/2006/relationships"><Relationship Id="rId3" Type="http://schemas.openxmlformats.org/officeDocument/2006/relationships/image" Target="media/image7.png"/><Relationship Id="rId2" Type="http://schemas.openxmlformats.org/officeDocument/2006/relationships/image" Target="media/image6.png"/><Relationship Id="rId1" Type="http://schemas.openxmlformats.org/officeDocument/2006/relationships/image" Target="media/image5.png"/><Relationship Id="rId5" Type="http://schemas.openxmlformats.org/officeDocument/2006/relationships/image" Target="media/image2.jpeg"/><Relationship Id="rId4" Type="http://schemas.openxmlformats.org/officeDocument/2006/relationships/image" Target="media/image8.png"/></Relationships>
</file>

<file path=word/_rels/header13.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_rels/header5.xml.rels><?xml version="1.0" encoding="UTF-8" standalone="yes"?>
<Relationships xmlns="http://schemas.openxmlformats.org/package/2006/relationships"><Relationship Id="rId1" Type="http://schemas.openxmlformats.org/officeDocument/2006/relationships/image" Target="media/image3.png"/></Relationships>
</file>

<file path=word/_rels/header6.xml.rels><?xml version="1.0" encoding="UTF-8" standalone="yes"?>
<Relationships xmlns="http://schemas.openxmlformats.org/package/2006/relationships"><Relationship Id="rId3" Type="http://schemas.openxmlformats.org/officeDocument/2006/relationships/image" Target="media/image7.png"/><Relationship Id="rId2" Type="http://schemas.openxmlformats.org/officeDocument/2006/relationships/image" Target="media/image6.png"/><Relationship Id="rId1" Type="http://schemas.openxmlformats.org/officeDocument/2006/relationships/image" Target="media/image5.png"/><Relationship Id="rId5" Type="http://schemas.openxmlformats.org/officeDocument/2006/relationships/image" Target="media/image2.jpeg"/><Relationship Id="rId4" Type="http://schemas.openxmlformats.org/officeDocument/2006/relationships/image" Target="media/image8.png"/></Relationships>
</file>

<file path=word/_rels/header7.xml.rels><?xml version="1.0" encoding="UTF-8" standalone="yes"?>
<Relationships xmlns="http://schemas.openxmlformats.org/package/2006/relationships"><Relationship Id="rId1" Type="http://schemas.openxmlformats.org/officeDocument/2006/relationships/image" Target="media/image3.png"/></Relationships>
</file>

<file path=word/_rels/header8.xml.rels><?xml version="1.0" encoding="UTF-8" standalone="yes"?>
<Relationships xmlns="http://schemas.openxmlformats.org/package/2006/relationships"><Relationship Id="rId1" Type="http://schemas.openxmlformats.org/officeDocument/2006/relationships/image" Target="media/image3.png"/></Relationships>
</file>

<file path=word/diagrams/colors1.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5ED860B6-B4FB-42E2-A70A-2F7B9D2705A7}" type="doc">
      <dgm:prSet loTypeId="urn:microsoft.com/office/officeart/2005/8/layout/cycle1" loCatId="cycle" qsTypeId="urn:microsoft.com/office/officeart/2005/8/quickstyle/simple1" qsCatId="simple" csTypeId="urn:microsoft.com/office/officeart/2005/8/colors/colorful5" csCatId="colorful" phldr="1"/>
      <dgm:spPr/>
      <dgm:t>
        <a:bodyPr/>
        <a:lstStyle/>
        <a:p>
          <a:endParaRPr lang="es-MX"/>
        </a:p>
      </dgm:t>
    </dgm:pt>
    <dgm:pt modelId="{69B602CA-2B0A-4AC0-B0F5-DC6DE49D6101}">
      <dgm:prSet phldrT="[Texto]" custT="1"/>
      <dgm:spPr/>
      <dgm:t>
        <a:bodyPr/>
        <a:lstStyle/>
        <a:p>
          <a:pPr algn="ctr"/>
          <a:r>
            <a:rPr lang="es-MX" sz="900"/>
            <a:t>Conocer contexto</a:t>
          </a:r>
        </a:p>
      </dgm:t>
    </dgm:pt>
    <dgm:pt modelId="{41181F0D-292E-4F2B-808F-A5071C10D9BC}" type="parTrans" cxnId="{088C7572-8C7F-4763-8F81-82DCA30E3896}">
      <dgm:prSet/>
      <dgm:spPr/>
      <dgm:t>
        <a:bodyPr/>
        <a:lstStyle/>
        <a:p>
          <a:pPr algn="ctr"/>
          <a:endParaRPr lang="es-MX" sz="1800"/>
        </a:p>
      </dgm:t>
    </dgm:pt>
    <dgm:pt modelId="{DEAC38C1-BCA7-4424-A0F0-BEF39C82C8F5}" type="sibTrans" cxnId="{088C7572-8C7F-4763-8F81-82DCA30E3896}">
      <dgm:prSet/>
      <dgm:spPr/>
      <dgm:t>
        <a:bodyPr/>
        <a:lstStyle/>
        <a:p>
          <a:pPr algn="ctr"/>
          <a:endParaRPr lang="es-MX" sz="1800"/>
        </a:p>
      </dgm:t>
    </dgm:pt>
    <dgm:pt modelId="{DD16B2FF-300E-485E-8605-BB225F9DD76C}">
      <dgm:prSet phldrT="[Texto]" custT="1"/>
      <dgm:spPr/>
      <dgm:t>
        <a:bodyPr/>
        <a:lstStyle/>
        <a:p>
          <a:pPr algn="ctr"/>
          <a:r>
            <a:rPr lang="es-MX" sz="900"/>
            <a:t>Identificar alternativas</a:t>
          </a:r>
        </a:p>
      </dgm:t>
    </dgm:pt>
    <dgm:pt modelId="{60D51C99-5DFD-4438-9037-4C88A4980A71}" type="parTrans" cxnId="{A5D5FA94-A208-42BC-9C73-6823E80AA9C5}">
      <dgm:prSet/>
      <dgm:spPr/>
      <dgm:t>
        <a:bodyPr/>
        <a:lstStyle/>
        <a:p>
          <a:pPr algn="ctr"/>
          <a:endParaRPr lang="es-MX" sz="1800"/>
        </a:p>
      </dgm:t>
    </dgm:pt>
    <dgm:pt modelId="{D880076C-8A97-4F1E-A53D-99656F454A75}" type="sibTrans" cxnId="{A5D5FA94-A208-42BC-9C73-6823E80AA9C5}">
      <dgm:prSet/>
      <dgm:spPr/>
      <dgm:t>
        <a:bodyPr/>
        <a:lstStyle/>
        <a:p>
          <a:pPr algn="ctr"/>
          <a:endParaRPr lang="es-MX" sz="1800"/>
        </a:p>
      </dgm:t>
    </dgm:pt>
    <dgm:pt modelId="{55FFF9DD-0F5F-4EEF-9F18-7321C5BB8695}">
      <dgm:prSet phldrT="[Texto]" custT="1"/>
      <dgm:spPr/>
      <dgm:t>
        <a:bodyPr/>
        <a:lstStyle/>
        <a:p>
          <a:pPr algn="ctr"/>
          <a:r>
            <a:rPr lang="es-MX" sz="900"/>
            <a:t>Establecer criterios</a:t>
          </a:r>
        </a:p>
      </dgm:t>
    </dgm:pt>
    <dgm:pt modelId="{352A5FF8-72A1-4D86-BA68-AC0493C415FC}" type="parTrans" cxnId="{9E2BD14F-73E3-4CA0-8029-427135242ECC}">
      <dgm:prSet/>
      <dgm:spPr/>
      <dgm:t>
        <a:bodyPr/>
        <a:lstStyle/>
        <a:p>
          <a:pPr algn="ctr"/>
          <a:endParaRPr lang="es-MX" sz="1800"/>
        </a:p>
      </dgm:t>
    </dgm:pt>
    <dgm:pt modelId="{F126CDD1-4923-4931-8318-B35A0D527D68}" type="sibTrans" cxnId="{9E2BD14F-73E3-4CA0-8029-427135242ECC}">
      <dgm:prSet/>
      <dgm:spPr/>
      <dgm:t>
        <a:bodyPr/>
        <a:lstStyle/>
        <a:p>
          <a:pPr algn="ctr"/>
          <a:endParaRPr lang="es-MX" sz="1800"/>
        </a:p>
      </dgm:t>
    </dgm:pt>
    <dgm:pt modelId="{ACE39EF8-7295-4A34-8593-41DF6DF54060}">
      <dgm:prSet phldrT="[Texto]" custT="1"/>
      <dgm:spPr/>
      <dgm:t>
        <a:bodyPr/>
        <a:lstStyle/>
        <a:p>
          <a:pPr algn="ctr"/>
          <a:r>
            <a:rPr lang="es-MX" sz="900"/>
            <a:t>Ejecutar el método seleccionado (para suma ponderada: i) establecer ponderación de criterios y ii) agregar puntajes de desempeño)</a:t>
          </a:r>
        </a:p>
      </dgm:t>
    </dgm:pt>
    <dgm:pt modelId="{6BED1FAA-1D1B-45E9-9D2F-98D2EB817C56}" type="parTrans" cxnId="{FF103661-3289-4496-B5C4-E41993FAA61E}">
      <dgm:prSet/>
      <dgm:spPr/>
      <dgm:t>
        <a:bodyPr/>
        <a:lstStyle/>
        <a:p>
          <a:pPr algn="ctr"/>
          <a:endParaRPr lang="es-MX" sz="1800"/>
        </a:p>
      </dgm:t>
    </dgm:pt>
    <dgm:pt modelId="{0D4906AC-1327-4B4C-B656-754B8C0F664B}" type="sibTrans" cxnId="{FF103661-3289-4496-B5C4-E41993FAA61E}">
      <dgm:prSet/>
      <dgm:spPr/>
      <dgm:t>
        <a:bodyPr/>
        <a:lstStyle/>
        <a:p>
          <a:pPr algn="ctr"/>
          <a:endParaRPr lang="es-MX" sz="1800"/>
        </a:p>
      </dgm:t>
    </dgm:pt>
    <dgm:pt modelId="{48DDAD6D-2021-4A2E-906C-E4639403C130}">
      <dgm:prSet phldrT="[Texto]" custT="1"/>
      <dgm:spPr/>
      <dgm:t>
        <a:bodyPr/>
        <a:lstStyle/>
        <a:p>
          <a:pPr algn="ctr"/>
          <a:r>
            <a:rPr lang="es-MX" sz="900"/>
            <a:t>Ejecutar análisis de sensibilidad</a:t>
          </a:r>
        </a:p>
      </dgm:t>
    </dgm:pt>
    <dgm:pt modelId="{8F0697B5-1809-4117-8CD0-BBD5BD2EEAB5}" type="parTrans" cxnId="{8A6A37D9-C530-420D-8F7C-E1DA75193358}">
      <dgm:prSet/>
      <dgm:spPr/>
      <dgm:t>
        <a:bodyPr/>
        <a:lstStyle/>
        <a:p>
          <a:pPr algn="ctr"/>
          <a:endParaRPr lang="es-MX" sz="1800"/>
        </a:p>
      </dgm:t>
    </dgm:pt>
    <dgm:pt modelId="{D11F346D-8001-4952-A4AE-9A08BFD37E67}" type="sibTrans" cxnId="{8A6A37D9-C530-420D-8F7C-E1DA75193358}">
      <dgm:prSet/>
      <dgm:spPr/>
      <dgm:t>
        <a:bodyPr/>
        <a:lstStyle/>
        <a:p>
          <a:pPr algn="ctr"/>
          <a:endParaRPr lang="es-MX" sz="1800"/>
        </a:p>
      </dgm:t>
    </dgm:pt>
    <dgm:pt modelId="{F3235447-C95E-4C02-A194-9D3B10949B40}" type="pres">
      <dgm:prSet presAssocID="{5ED860B6-B4FB-42E2-A70A-2F7B9D2705A7}" presName="cycle" presStyleCnt="0">
        <dgm:presLayoutVars>
          <dgm:dir/>
          <dgm:resizeHandles val="exact"/>
        </dgm:presLayoutVars>
      </dgm:prSet>
      <dgm:spPr/>
    </dgm:pt>
    <dgm:pt modelId="{147FBF2C-A23F-4891-B6DC-8BAF3671EE66}" type="pres">
      <dgm:prSet presAssocID="{69B602CA-2B0A-4AC0-B0F5-DC6DE49D6101}" presName="dummy" presStyleCnt="0"/>
      <dgm:spPr/>
    </dgm:pt>
    <dgm:pt modelId="{63BD053D-63A3-4D2F-A58E-A9EF894EDADC}" type="pres">
      <dgm:prSet presAssocID="{69B602CA-2B0A-4AC0-B0F5-DC6DE49D6101}" presName="node" presStyleLbl="revTx" presStyleIdx="0" presStyleCnt="5">
        <dgm:presLayoutVars>
          <dgm:bulletEnabled val="1"/>
        </dgm:presLayoutVars>
      </dgm:prSet>
      <dgm:spPr/>
    </dgm:pt>
    <dgm:pt modelId="{910FF180-DF9B-417C-8A6B-77C84B9CA287}" type="pres">
      <dgm:prSet presAssocID="{DEAC38C1-BCA7-4424-A0F0-BEF39C82C8F5}" presName="sibTrans" presStyleLbl="node1" presStyleIdx="0" presStyleCnt="5"/>
      <dgm:spPr/>
    </dgm:pt>
    <dgm:pt modelId="{CF2C9C8B-076E-4E23-AB80-18CBD435FE7B}" type="pres">
      <dgm:prSet presAssocID="{DD16B2FF-300E-485E-8605-BB225F9DD76C}" presName="dummy" presStyleCnt="0"/>
      <dgm:spPr/>
    </dgm:pt>
    <dgm:pt modelId="{6BF89C8A-322D-4203-B345-3AFBB02955A6}" type="pres">
      <dgm:prSet presAssocID="{DD16B2FF-300E-485E-8605-BB225F9DD76C}" presName="node" presStyleLbl="revTx" presStyleIdx="1" presStyleCnt="5">
        <dgm:presLayoutVars>
          <dgm:bulletEnabled val="1"/>
        </dgm:presLayoutVars>
      </dgm:prSet>
      <dgm:spPr/>
    </dgm:pt>
    <dgm:pt modelId="{56C07723-1FFE-4234-905C-66ADCB9FEFE1}" type="pres">
      <dgm:prSet presAssocID="{D880076C-8A97-4F1E-A53D-99656F454A75}" presName="sibTrans" presStyleLbl="node1" presStyleIdx="1" presStyleCnt="5"/>
      <dgm:spPr/>
    </dgm:pt>
    <dgm:pt modelId="{FEA1C507-955B-4F73-84FC-87096562E463}" type="pres">
      <dgm:prSet presAssocID="{55FFF9DD-0F5F-4EEF-9F18-7321C5BB8695}" presName="dummy" presStyleCnt="0"/>
      <dgm:spPr/>
    </dgm:pt>
    <dgm:pt modelId="{85388A35-4522-41D2-B357-44EA37ABE881}" type="pres">
      <dgm:prSet presAssocID="{55FFF9DD-0F5F-4EEF-9F18-7321C5BB8695}" presName="node" presStyleLbl="revTx" presStyleIdx="2" presStyleCnt="5">
        <dgm:presLayoutVars>
          <dgm:bulletEnabled val="1"/>
        </dgm:presLayoutVars>
      </dgm:prSet>
      <dgm:spPr/>
    </dgm:pt>
    <dgm:pt modelId="{3BEB7195-A3C8-42E3-AB63-DA1D7BF4EADB}" type="pres">
      <dgm:prSet presAssocID="{F126CDD1-4923-4931-8318-B35A0D527D68}" presName="sibTrans" presStyleLbl="node1" presStyleIdx="2" presStyleCnt="5"/>
      <dgm:spPr/>
    </dgm:pt>
    <dgm:pt modelId="{52738125-B0BB-428A-B309-AF87D549D4D7}" type="pres">
      <dgm:prSet presAssocID="{ACE39EF8-7295-4A34-8593-41DF6DF54060}" presName="dummy" presStyleCnt="0"/>
      <dgm:spPr/>
    </dgm:pt>
    <dgm:pt modelId="{6DDC29A3-B9AB-4031-B26C-A33E3F1906B2}" type="pres">
      <dgm:prSet presAssocID="{ACE39EF8-7295-4A34-8593-41DF6DF54060}" presName="node" presStyleLbl="revTx" presStyleIdx="3" presStyleCnt="5" custScaleX="228394">
        <dgm:presLayoutVars>
          <dgm:bulletEnabled val="1"/>
        </dgm:presLayoutVars>
      </dgm:prSet>
      <dgm:spPr/>
    </dgm:pt>
    <dgm:pt modelId="{3F623FDC-D399-4B76-96CE-DD77A204CB70}" type="pres">
      <dgm:prSet presAssocID="{0D4906AC-1327-4B4C-B656-754B8C0F664B}" presName="sibTrans" presStyleLbl="node1" presStyleIdx="3" presStyleCnt="5"/>
      <dgm:spPr/>
    </dgm:pt>
    <dgm:pt modelId="{08C51BD7-CA65-4EF3-9FF3-CEE62776A3B0}" type="pres">
      <dgm:prSet presAssocID="{48DDAD6D-2021-4A2E-906C-E4639403C130}" presName="dummy" presStyleCnt="0"/>
      <dgm:spPr/>
    </dgm:pt>
    <dgm:pt modelId="{6FDB67B0-0075-43C7-B4FC-82AD3B712B82}" type="pres">
      <dgm:prSet presAssocID="{48DDAD6D-2021-4A2E-906C-E4639403C130}" presName="node" presStyleLbl="revTx" presStyleIdx="4" presStyleCnt="5">
        <dgm:presLayoutVars>
          <dgm:bulletEnabled val="1"/>
        </dgm:presLayoutVars>
      </dgm:prSet>
      <dgm:spPr/>
    </dgm:pt>
    <dgm:pt modelId="{CDB38FFE-4150-4036-82A2-003B6AACFC18}" type="pres">
      <dgm:prSet presAssocID="{D11F346D-8001-4952-A4AE-9A08BFD37E67}" presName="sibTrans" presStyleLbl="node1" presStyleIdx="4" presStyleCnt="5"/>
      <dgm:spPr/>
    </dgm:pt>
  </dgm:ptLst>
  <dgm:cxnLst>
    <dgm:cxn modelId="{24EB6A0A-085B-4C03-A3DD-90A802C7F254}" type="presOf" srcId="{DEAC38C1-BCA7-4424-A0F0-BEF39C82C8F5}" destId="{910FF180-DF9B-417C-8A6B-77C84B9CA287}" srcOrd="0" destOrd="0" presId="urn:microsoft.com/office/officeart/2005/8/layout/cycle1"/>
    <dgm:cxn modelId="{6C573312-3C03-45D5-9DEA-594409729F27}" type="presOf" srcId="{DD16B2FF-300E-485E-8605-BB225F9DD76C}" destId="{6BF89C8A-322D-4203-B345-3AFBB02955A6}" srcOrd="0" destOrd="0" presId="urn:microsoft.com/office/officeart/2005/8/layout/cycle1"/>
    <dgm:cxn modelId="{2F07505F-CB30-4EBE-959E-E6454BEF0B38}" type="presOf" srcId="{0D4906AC-1327-4B4C-B656-754B8C0F664B}" destId="{3F623FDC-D399-4B76-96CE-DD77A204CB70}" srcOrd="0" destOrd="0" presId="urn:microsoft.com/office/officeart/2005/8/layout/cycle1"/>
    <dgm:cxn modelId="{FF103661-3289-4496-B5C4-E41993FAA61E}" srcId="{5ED860B6-B4FB-42E2-A70A-2F7B9D2705A7}" destId="{ACE39EF8-7295-4A34-8593-41DF6DF54060}" srcOrd="3" destOrd="0" parTransId="{6BED1FAA-1D1B-45E9-9D2F-98D2EB817C56}" sibTransId="{0D4906AC-1327-4B4C-B656-754B8C0F664B}"/>
    <dgm:cxn modelId="{7CBA3146-35AB-4712-B378-CB5957BD1E67}" type="presOf" srcId="{69B602CA-2B0A-4AC0-B0F5-DC6DE49D6101}" destId="{63BD053D-63A3-4D2F-A58E-A9EF894EDADC}" srcOrd="0" destOrd="0" presId="urn:microsoft.com/office/officeart/2005/8/layout/cycle1"/>
    <dgm:cxn modelId="{DAC73F49-F6C0-4393-BEA4-0AB10303B205}" type="presOf" srcId="{48DDAD6D-2021-4A2E-906C-E4639403C130}" destId="{6FDB67B0-0075-43C7-B4FC-82AD3B712B82}" srcOrd="0" destOrd="0" presId="urn:microsoft.com/office/officeart/2005/8/layout/cycle1"/>
    <dgm:cxn modelId="{9E2BD14F-73E3-4CA0-8029-427135242ECC}" srcId="{5ED860B6-B4FB-42E2-A70A-2F7B9D2705A7}" destId="{55FFF9DD-0F5F-4EEF-9F18-7321C5BB8695}" srcOrd="2" destOrd="0" parTransId="{352A5FF8-72A1-4D86-BA68-AC0493C415FC}" sibTransId="{F126CDD1-4923-4931-8318-B35A0D527D68}"/>
    <dgm:cxn modelId="{088C7572-8C7F-4763-8F81-82DCA30E3896}" srcId="{5ED860B6-B4FB-42E2-A70A-2F7B9D2705A7}" destId="{69B602CA-2B0A-4AC0-B0F5-DC6DE49D6101}" srcOrd="0" destOrd="0" parTransId="{41181F0D-292E-4F2B-808F-A5071C10D9BC}" sibTransId="{DEAC38C1-BCA7-4424-A0F0-BEF39C82C8F5}"/>
    <dgm:cxn modelId="{A196238A-C1BD-4614-9F64-0A4CFFBDA689}" type="presOf" srcId="{F126CDD1-4923-4931-8318-B35A0D527D68}" destId="{3BEB7195-A3C8-42E3-AB63-DA1D7BF4EADB}" srcOrd="0" destOrd="0" presId="urn:microsoft.com/office/officeart/2005/8/layout/cycle1"/>
    <dgm:cxn modelId="{41CD708F-4AE4-460E-AE77-40C836CE9A47}" type="presOf" srcId="{D880076C-8A97-4F1E-A53D-99656F454A75}" destId="{56C07723-1FFE-4234-905C-66ADCB9FEFE1}" srcOrd="0" destOrd="0" presId="urn:microsoft.com/office/officeart/2005/8/layout/cycle1"/>
    <dgm:cxn modelId="{A5D5FA94-A208-42BC-9C73-6823E80AA9C5}" srcId="{5ED860B6-B4FB-42E2-A70A-2F7B9D2705A7}" destId="{DD16B2FF-300E-485E-8605-BB225F9DD76C}" srcOrd="1" destOrd="0" parTransId="{60D51C99-5DFD-4438-9037-4C88A4980A71}" sibTransId="{D880076C-8A97-4F1E-A53D-99656F454A75}"/>
    <dgm:cxn modelId="{5EF86FBE-365A-40CB-AF21-D91ED7CC74E6}" type="presOf" srcId="{ACE39EF8-7295-4A34-8593-41DF6DF54060}" destId="{6DDC29A3-B9AB-4031-B26C-A33E3F1906B2}" srcOrd="0" destOrd="0" presId="urn:microsoft.com/office/officeart/2005/8/layout/cycle1"/>
    <dgm:cxn modelId="{7F44B2D0-45B7-4620-892B-725D2E1D617F}" type="presOf" srcId="{D11F346D-8001-4952-A4AE-9A08BFD37E67}" destId="{CDB38FFE-4150-4036-82A2-003B6AACFC18}" srcOrd="0" destOrd="0" presId="urn:microsoft.com/office/officeart/2005/8/layout/cycle1"/>
    <dgm:cxn modelId="{8A6A37D9-C530-420D-8F7C-E1DA75193358}" srcId="{5ED860B6-B4FB-42E2-A70A-2F7B9D2705A7}" destId="{48DDAD6D-2021-4A2E-906C-E4639403C130}" srcOrd="4" destOrd="0" parTransId="{8F0697B5-1809-4117-8CD0-BBD5BD2EEAB5}" sibTransId="{D11F346D-8001-4952-A4AE-9A08BFD37E67}"/>
    <dgm:cxn modelId="{4608BBDE-C5B6-4211-8C06-BEBEE7361B18}" type="presOf" srcId="{5ED860B6-B4FB-42E2-A70A-2F7B9D2705A7}" destId="{F3235447-C95E-4C02-A194-9D3B10949B40}" srcOrd="0" destOrd="0" presId="urn:microsoft.com/office/officeart/2005/8/layout/cycle1"/>
    <dgm:cxn modelId="{EF7E50FE-74C4-4F50-A482-1C2A77A63A2B}" type="presOf" srcId="{55FFF9DD-0F5F-4EEF-9F18-7321C5BB8695}" destId="{85388A35-4522-41D2-B357-44EA37ABE881}" srcOrd="0" destOrd="0" presId="urn:microsoft.com/office/officeart/2005/8/layout/cycle1"/>
    <dgm:cxn modelId="{33B44BEF-7B9F-4A2E-934B-D83D7D0EB534}" type="presParOf" srcId="{F3235447-C95E-4C02-A194-9D3B10949B40}" destId="{147FBF2C-A23F-4891-B6DC-8BAF3671EE66}" srcOrd="0" destOrd="0" presId="urn:microsoft.com/office/officeart/2005/8/layout/cycle1"/>
    <dgm:cxn modelId="{9E8B9694-409C-4009-AF94-E8CD3AF7D9E9}" type="presParOf" srcId="{F3235447-C95E-4C02-A194-9D3B10949B40}" destId="{63BD053D-63A3-4D2F-A58E-A9EF894EDADC}" srcOrd="1" destOrd="0" presId="urn:microsoft.com/office/officeart/2005/8/layout/cycle1"/>
    <dgm:cxn modelId="{391D3DAD-2FF8-4A4A-906F-84659847D4B0}" type="presParOf" srcId="{F3235447-C95E-4C02-A194-9D3B10949B40}" destId="{910FF180-DF9B-417C-8A6B-77C84B9CA287}" srcOrd="2" destOrd="0" presId="urn:microsoft.com/office/officeart/2005/8/layout/cycle1"/>
    <dgm:cxn modelId="{50738BEB-C976-4B4F-B3E1-C5D7FA573D95}" type="presParOf" srcId="{F3235447-C95E-4C02-A194-9D3B10949B40}" destId="{CF2C9C8B-076E-4E23-AB80-18CBD435FE7B}" srcOrd="3" destOrd="0" presId="urn:microsoft.com/office/officeart/2005/8/layout/cycle1"/>
    <dgm:cxn modelId="{AE183A85-F6BE-47AD-8B5D-5737E1D0F9BB}" type="presParOf" srcId="{F3235447-C95E-4C02-A194-9D3B10949B40}" destId="{6BF89C8A-322D-4203-B345-3AFBB02955A6}" srcOrd="4" destOrd="0" presId="urn:microsoft.com/office/officeart/2005/8/layout/cycle1"/>
    <dgm:cxn modelId="{F33CFFE9-C37C-4E36-B935-36AA48D6ECD7}" type="presParOf" srcId="{F3235447-C95E-4C02-A194-9D3B10949B40}" destId="{56C07723-1FFE-4234-905C-66ADCB9FEFE1}" srcOrd="5" destOrd="0" presId="urn:microsoft.com/office/officeart/2005/8/layout/cycle1"/>
    <dgm:cxn modelId="{0973BE01-1C77-4346-845F-2A78F42D8B17}" type="presParOf" srcId="{F3235447-C95E-4C02-A194-9D3B10949B40}" destId="{FEA1C507-955B-4F73-84FC-87096562E463}" srcOrd="6" destOrd="0" presId="urn:microsoft.com/office/officeart/2005/8/layout/cycle1"/>
    <dgm:cxn modelId="{CA7703D1-0DEC-46B1-A0A6-E6092A777A2C}" type="presParOf" srcId="{F3235447-C95E-4C02-A194-9D3B10949B40}" destId="{85388A35-4522-41D2-B357-44EA37ABE881}" srcOrd="7" destOrd="0" presId="urn:microsoft.com/office/officeart/2005/8/layout/cycle1"/>
    <dgm:cxn modelId="{F2680ED3-F08B-441D-8DC8-B0558FB44D2D}" type="presParOf" srcId="{F3235447-C95E-4C02-A194-9D3B10949B40}" destId="{3BEB7195-A3C8-42E3-AB63-DA1D7BF4EADB}" srcOrd="8" destOrd="0" presId="urn:microsoft.com/office/officeart/2005/8/layout/cycle1"/>
    <dgm:cxn modelId="{254DE74D-5910-4A92-8E6B-3589D3253217}" type="presParOf" srcId="{F3235447-C95E-4C02-A194-9D3B10949B40}" destId="{52738125-B0BB-428A-B309-AF87D549D4D7}" srcOrd="9" destOrd="0" presId="urn:microsoft.com/office/officeart/2005/8/layout/cycle1"/>
    <dgm:cxn modelId="{AC81D24C-4577-41FF-9322-0ABA75070F5E}" type="presParOf" srcId="{F3235447-C95E-4C02-A194-9D3B10949B40}" destId="{6DDC29A3-B9AB-4031-B26C-A33E3F1906B2}" srcOrd="10" destOrd="0" presId="urn:microsoft.com/office/officeart/2005/8/layout/cycle1"/>
    <dgm:cxn modelId="{3D5BD1B5-5238-4C60-AF6D-4A9EBA03DB80}" type="presParOf" srcId="{F3235447-C95E-4C02-A194-9D3B10949B40}" destId="{3F623FDC-D399-4B76-96CE-DD77A204CB70}" srcOrd="11" destOrd="0" presId="urn:microsoft.com/office/officeart/2005/8/layout/cycle1"/>
    <dgm:cxn modelId="{2D8EAD51-B517-4F83-BB53-88195A11F161}" type="presParOf" srcId="{F3235447-C95E-4C02-A194-9D3B10949B40}" destId="{08C51BD7-CA65-4EF3-9FF3-CEE62776A3B0}" srcOrd="12" destOrd="0" presId="urn:microsoft.com/office/officeart/2005/8/layout/cycle1"/>
    <dgm:cxn modelId="{C736813E-388B-4D36-99DD-051809C648E3}" type="presParOf" srcId="{F3235447-C95E-4C02-A194-9D3B10949B40}" destId="{6FDB67B0-0075-43C7-B4FC-82AD3B712B82}" srcOrd="13" destOrd="0" presId="urn:microsoft.com/office/officeart/2005/8/layout/cycle1"/>
    <dgm:cxn modelId="{005761C9-977E-42A5-A77B-5F139A888ADA}" type="presParOf" srcId="{F3235447-C95E-4C02-A194-9D3B10949B40}" destId="{CDB38FFE-4150-4036-82A2-003B6AACFC18}" srcOrd="14" destOrd="0" presId="urn:microsoft.com/office/officeart/2005/8/layout/cycle1"/>
  </dgm:cxnLst>
  <dgm:bg/>
  <dgm:whole/>
  <dgm:extLst>
    <a:ext uri="http://schemas.microsoft.com/office/drawing/2008/diagram">
      <dsp:dataModelExt xmlns:dsp="http://schemas.microsoft.com/office/drawing/2008/diagram" relId="rId40"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5ED860B6-B4FB-42E2-A70A-2F7B9D2705A7}" type="doc">
      <dgm:prSet loTypeId="urn:microsoft.com/office/officeart/2005/8/layout/cycle5" loCatId="cycle" qsTypeId="urn:microsoft.com/office/officeart/2005/8/quickstyle/simple1" qsCatId="simple" csTypeId="urn:microsoft.com/office/officeart/2005/8/colors/colorful5" csCatId="colorful" phldr="1"/>
      <dgm:spPr/>
      <dgm:t>
        <a:bodyPr/>
        <a:lstStyle/>
        <a:p>
          <a:endParaRPr lang="es-MX"/>
        </a:p>
      </dgm:t>
    </dgm:pt>
    <dgm:pt modelId="{69B602CA-2B0A-4AC0-B0F5-DC6DE49D6101}">
      <dgm:prSet phldrT="[Texto]" custT="1"/>
      <dgm:spPr>
        <a:xfrm>
          <a:off x="3375549" y="24204"/>
          <a:ext cx="791616" cy="791616"/>
        </a:xfrm>
      </dgm:spPr>
      <dgm:t>
        <a:bodyPr/>
        <a:lstStyle/>
        <a:p>
          <a:pPr>
            <a:buNone/>
          </a:pPr>
          <a:r>
            <a:rPr lang="es-MX" sz="800">
              <a:latin typeface="Calibri" panose="020F0502020204030204"/>
              <a:ea typeface="+mn-ea"/>
              <a:cs typeface="+mn-cs"/>
            </a:rPr>
            <a:t>Determinación de impactos residuales (IR)</a:t>
          </a:r>
        </a:p>
      </dgm:t>
    </dgm:pt>
    <dgm:pt modelId="{41181F0D-292E-4F2B-808F-A5071C10D9BC}" type="parTrans" cxnId="{088C7572-8C7F-4763-8F81-82DCA30E3896}">
      <dgm:prSet/>
      <dgm:spPr/>
      <dgm:t>
        <a:bodyPr/>
        <a:lstStyle/>
        <a:p>
          <a:endParaRPr lang="es-MX" sz="1800"/>
        </a:p>
      </dgm:t>
    </dgm:pt>
    <dgm:pt modelId="{DEAC38C1-BCA7-4424-A0F0-BEF39C82C8F5}" type="sibTrans" cxnId="{088C7572-8C7F-4763-8F81-82DCA30E3896}">
      <dgm:prSet/>
      <dgm:spPr>
        <a:xfrm>
          <a:off x="1513157" y="1276"/>
          <a:ext cx="2968278" cy="2968278"/>
        </a:xfrm>
      </dgm:spPr>
      <dgm:t>
        <a:bodyPr/>
        <a:lstStyle/>
        <a:p>
          <a:endParaRPr lang="es-MX" sz="1800"/>
        </a:p>
      </dgm:t>
    </dgm:pt>
    <dgm:pt modelId="{DD16B2FF-300E-485E-8605-BB225F9DD76C}">
      <dgm:prSet phldrT="[Texto]" custT="1"/>
      <dgm:spPr>
        <a:xfrm>
          <a:off x="3853944" y="1496554"/>
          <a:ext cx="791616" cy="791616"/>
        </a:xfrm>
      </dgm:spPr>
      <dgm:t>
        <a:bodyPr/>
        <a:lstStyle/>
        <a:p>
          <a:pPr>
            <a:buNone/>
          </a:pPr>
          <a:r>
            <a:rPr lang="es-MX" sz="800">
              <a:latin typeface="Calibri" panose="020F0502020204030204"/>
              <a:ea typeface="+mn-ea"/>
              <a:cs typeface="+mn-cs"/>
            </a:rPr>
            <a:t>Determinación de IR que pueden acumularse o generar sinergias</a:t>
          </a:r>
        </a:p>
      </dgm:t>
    </dgm:pt>
    <dgm:pt modelId="{60D51C99-5DFD-4438-9037-4C88A4980A71}" type="parTrans" cxnId="{A5D5FA94-A208-42BC-9C73-6823E80AA9C5}">
      <dgm:prSet/>
      <dgm:spPr/>
      <dgm:t>
        <a:bodyPr/>
        <a:lstStyle/>
        <a:p>
          <a:endParaRPr lang="es-MX" sz="1800"/>
        </a:p>
      </dgm:t>
    </dgm:pt>
    <dgm:pt modelId="{D880076C-8A97-4F1E-A53D-99656F454A75}" type="sibTrans" cxnId="{A5D5FA94-A208-42BC-9C73-6823E80AA9C5}">
      <dgm:prSet/>
      <dgm:spPr>
        <a:xfrm>
          <a:off x="1513157" y="1276"/>
          <a:ext cx="2968278" cy="2968278"/>
        </a:xfrm>
      </dgm:spPr>
      <dgm:t>
        <a:bodyPr/>
        <a:lstStyle/>
        <a:p>
          <a:endParaRPr lang="es-MX" sz="1800"/>
        </a:p>
      </dgm:t>
    </dgm:pt>
    <dgm:pt modelId="{55FFF9DD-0F5F-4EEF-9F18-7321C5BB8695}">
      <dgm:prSet phldrT="[Texto]" custT="1"/>
      <dgm:spPr>
        <a:xfrm>
          <a:off x="2601488" y="2406517"/>
          <a:ext cx="791616" cy="791616"/>
        </a:xfrm>
      </dgm:spPr>
      <dgm:t>
        <a:bodyPr/>
        <a:lstStyle/>
        <a:p>
          <a:pPr>
            <a:buNone/>
          </a:pPr>
          <a:r>
            <a:rPr lang="es-CO" sz="800"/>
            <a:t>Evaluación de la acumulación y sinergia de IR. Sólo para un impacto por CEI</a:t>
          </a:r>
          <a:endParaRPr lang="es-MX" sz="800">
            <a:latin typeface="Calibri" panose="020F0502020204030204"/>
            <a:ea typeface="+mn-ea"/>
            <a:cs typeface="+mn-cs"/>
          </a:endParaRPr>
        </a:p>
      </dgm:t>
    </dgm:pt>
    <dgm:pt modelId="{352A5FF8-72A1-4D86-BA68-AC0493C415FC}" type="parTrans" cxnId="{9E2BD14F-73E3-4CA0-8029-427135242ECC}">
      <dgm:prSet/>
      <dgm:spPr/>
      <dgm:t>
        <a:bodyPr/>
        <a:lstStyle/>
        <a:p>
          <a:endParaRPr lang="es-MX" sz="1800"/>
        </a:p>
      </dgm:t>
    </dgm:pt>
    <dgm:pt modelId="{F126CDD1-4923-4931-8318-B35A0D527D68}" type="sibTrans" cxnId="{9E2BD14F-73E3-4CA0-8029-427135242ECC}">
      <dgm:prSet/>
      <dgm:spPr>
        <a:xfrm>
          <a:off x="1513157" y="1276"/>
          <a:ext cx="2968278" cy="2968278"/>
        </a:xfrm>
      </dgm:spPr>
      <dgm:t>
        <a:bodyPr/>
        <a:lstStyle/>
        <a:p>
          <a:endParaRPr lang="es-MX" sz="1800"/>
        </a:p>
      </dgm:t>
    </dgm:pt>
    <dgm:pt modelId="{ACE39EF8-7295-4A34-8593-41DF6DF54060}">
      <dgm:prSet phldrT="[Texto]" custT="1"/>
      <dgm:spPr>
        <a:xfrm>
          <a:off x="840838" y="1496554"/>
          <a:ext cx="1808005" cy="791616"/>
        </a:xfrm>
      </dgm:spPr>
      <dgm:t>
        <a:bodyPr/>
        <a:lstStyle/>
        <a:p>
          <a:pPr>
            <a:buNone/>
          </a:pPr>
          <a:r>
            <a:rPr lang="es-CO" sz="800"/>
            <a:t>Replanteamiento o formulación de nuevas medidas para reducir cantidad y significancia de IR </a:t>
          </a:r>
          <a:endParaRPr lang="es-MX" sz="800">
            <a:latin typeface="Calibri" panose="020F0502020204030204"/>
            <a:ea typeface="+mn-ea"/>
            <a:cs typeface="+mn-cs"/>
          </a:endParaRPr>
        </a:p>
      </dgm:t>
    </dgm:pt>
    <dgm:pt modelId="{6BED1FAA-1D1B-45E9-9D2F-98D2EB817C56}" type="parTrans" cxnId="{FF103661-3289-4496-B5C4-E41993FAA61E}">
      <dgm:prSet/>
      <dgm:spPr/>
      <dgm:t>
        <a:bodyPr/>
        <a:lstStyle/>
        <a:p>
          <a:endParaRPr lang="es-MX" sz="1800"/>
        </a:p>
      </dgm:t>
    </dgm:pt>
    <dgm:pt modelId="{0D4906AC-1327-4B4C-B656-754B8C0F664B}" type="sibTrans" cxnId="{FF103661-3289-4496-B5C4-E41993FAA61E}">
      <dgm:prSet/>
      <dgm:spPr>
        <a:xfrm>
          <a:off x="1513157" y="1276"/>
          <a:ext cx="2968278" cy="2968278"/>
        </a:xfrm>
      </dgm:spPr>
      <dgm:t>
        <a:bodyPr/>
        <a:lstStyle/>
        <a:p>
          <a:endParaRPr lang="es-MX" sz="1800"/>
        </a:p>
      </dgm:t>
    </dgm:pt>
    <dgm:pt modelId="{45C60ED5-D177-4B74-99EC-EFBACD4FDCA5}" type="pres">
      <dgm:prSet presAssocID="{5ED860B6-B4FB-42E2-A70A-2F7B9D2705A7}" presName="cycle" presStyleCnt="0">
        <dgm:presLayoutVars>
          <dgm:dir/>
          <dgm:resizeHandles val="exact"/>
        </dgm:presLayoutVars>
      </dgm:prSet>
      <dgm:spPr/>
    </dgm:pt>
    <dgm:pt modelId="{31B8283B-BE69-418A-BDE0-16687B07ACE2}" type="pres">
      <dgm:prSet presAssocID="{69B602CA-2B0A-4AC0-B0F5-DC6DE49D6101}" presName="node" presStyleLbl="node1" presStyleIdx="0" presStyleCnt="4">
        <dgm:presLayoutVars>
          <dgm:bulletEnabled val="1"/>
        </dgm:presLayoutVars>
      </dgm:prSet>
      <dgm:spPr/>
    </dgm:pt>
    <dgm:pt modelId="{3E018A4E-6DA1-4F24-9BD2-5961DD29250B}" type="pres">
      <dgm:prSet presAssocID="{69B602CA-2B0A-4AC0-B0F5-DC6DE49D6101}" presName="spNode" presStyleCnt="0"/>
      <dgm:spPr/>
    </dgm:pt>
    <dgm:pt modelId="{723865CB-7B4A-4BA8-BF2F-2A6051B0D86A}" type="pres">
      <dgm:prSet presAssocID="{DEAC38C1-BCA7-4424-A0F0-BEF39C82C8F5}" presName="sibTrans" presStyleLbl="sibTrans1D1" presStyleIdx="0" presStyleCnt="4"/>
      <dgm:spPr/>
    </dgm:pt>
    <dgm:pt modelId="{CF5509FB-536B-48FC-A5B8-6064F085EE60}" type="pres">
      <dgm:prSet presAssocID="{DD16B2FF-300E-485E-8605-BB225F9DD76C}" presName="node" presStyleLbl="node1" presStyleIdx="1" presStyleCnt="4">
        <dgm:presLayoutVars>
          <dgm:bulletEnabled val="1"/>
        </dgm:presLayoutVars>
      </dgm:prSet>
      <dgm:spPr/>
    </dgm:pt>
    <dgm:pt modelId="{407DB5E8-503A-46EB-A3AC-42ADAB946DC4}" type="pres">
      <dgm:prSet presAssocID="{DD16B2FF-300E-485E-8605-BB225F9DD76C}" presName="spNode" presStyleCnt="0"/>
      <dgm:spPr/>
    </dgm:pt>
    <dgm:pt modelId="{ABAF27C7-D7D4-4E02-9967-C832EF141E3E}" type="pres">
      <dgm:prSet presAssocID="{D880076C-8A97-4F1E-A53D-99656F454A75}" presName="sibTrans" presStyleLbl="sibTrans1D1" presStyleIdx="1" presStyleCnt="4"/>
      <dgm:spPr/>
    </dgm:pt>
    <dgm:pt modelId="{A65CD71B-AE13-4F94-A1CF-238B07DE41D6}" type="pres">
      <dgm:prSet presAssocID="{55FFF9DD-0F5F-4EEF-9F18-7321C5BB8695}" presName="node" presStyleLbl="node1" presStyleIdx="2" presStyleCnt="4">
        <dgm:presLayoutVars>
          <dgm:bulletEnabled val="1"/>
        </dgm:presLayoutVars>
      </dgm:prSet>
      <dgm:spPr/>
    </dgm:pt>
    <dgm:pt modelId="{C9130FB8-7004-43C3-8BD7-4F5D82029E13}" type="pres">
      <dgm:prSet presAssocID="{55FFF9DD-0F5F-4EEF-9F18-7321C5BB8695}" presName="spNode" presStyleCnt="0"/>
      <dgm:spPr/>
    </dgm:pt>
    <dgm:pt modelId="{3A1C259A-EF4F-47F1-B09F-D715F691A1CC}" type="pres">
      <dgm:prSet presAssocID="{F126CDD1-4923-4931-8318-B35A0D527D68}" presName="sibTrans" presStyleLbl="sibTrans1D1" presStyleIdx="2" presStyleCnt="4"/>
      <dgm:spPr/>
    </dgm:pt>
    <dgm:pt modelId="{31F2B72C-54B5-4F85-BE1D-E5F4D1C7F799}" type="pres">
      <dgm:prSet presAssocID="{ACE39EF8-7295-4A34-8593-41DF6DF54060}" presName="node" presStyleLbl="node1" presStyleIdx="3" presStyleCnt="4">
        <dgm:presLayoutVars>
          <dgm:bulletEnabled val="1"/>
        </dgm:presLayoutVars>
      </dgm:prSet>
      <dgm:spPr/>
    </dgm:pt>
    <dgm:pt modelId="{BEC63BBB-790F-4117-8440-FD41F16501FB}" type="pres">
      <dgm:prSet presAssocID="{ACE39EF8-7295-4A34-8593-41DF6DF54060}" presName="spNode" presStyleCnt="0"/>
      <dgm:spPr/>
    </dgm:pt>
    <dgm:pt modelId="{AF78CCB6-A50A-4BFA-BA93-E7D2EE8F95DB}" type="pres">
      <dgm:prSet presAssocID="{0D4906AC-1327-4B4C-B656-754B8C0F664B}" presName="sibTrans" presStyleLbl="sibTrans1D1" presStyleIdx="3" presStyleCnt="4"/>
      <dgm:spPr/>
    </dgm:pt>
  </dgm:ptLst>
  <dgm:cxnLst>
    <dgm:cxn modelId="{9370080F-6779-47B7-B4B4-EDA9FF5BF96E}" type="presOf" srcId="{ACE39EF8-7295-4A34-8593-41DF6DF54060}" destId="{31F2B72C-54B5-4F85-BE1D-E5F4D1C7F799}" srcOrd="0" destOrd="0" presId="urn:microsoft.com/office/officeart/2005/8/layout/cycle5"/>
    <dgm:cxn modelId="{613C4F22-4BF7-4871-83C9-2B98DB81CEB4}" type="presOf" srcId="{DEAC38C1-BCA7-4424-A0F0-BEF39C82C8F5}" destId="{723865CB-7B4A-4BA8-BF2F-2A6051B0D86A}" srcOrd="0" destOrd="0" presId="urn:microsoft.com/office/officeart/2005/8/layout/cycle5"/>
    <dgm:cxn modelId="{477FD222-75D8-4C32-9119-4EB79371400F}" type="presOf" srcId="{DD16B2FF-300E-485E-8605-BB225F9DD76C}" destId="{CF5509FB-536B-48FC-A5B8-6064F085EE60}" srcOrd="0" destOrd="0" presId="urn:microsoft.com/office/officeart/2005/8/layout/cycle5"/>
    <dgm:cxn modelId="{2FF26129-B228-432D-88A9-B9CC1266B8E9}" type="presOf" srcId="{69B602CA-2B0A-4AC0-B0F5-DC6DE49D6101}" destId="{31B8283B-BE69-418A-BDE0-16687B07ACE2}" srcOrd="0" destOrd="0" presId="urn:microsoft.com/office/officeart/2005/8/layout/cycle5"/>
    <dgm:cxn modelId="{FF103661-3289-4496-B5C4-E41993FAA61E}" srcId="{5ED860B6-B4FB-42E2-A70A-2F7B9D2705A7}" destId="{ACE39EF8-7295-4A34-8593-41DF6DF54060}" srcOrd="3" destOrd="0" parTransId="{6BED1FAA-1D1B-45E9-9D2F-98D2EB817C56}" sibTransId="{0D4906AC-1327-4B4C-B656-754B8C0F664B}"/>
    <dgm:cxn modelId="{96F95766-7401-4795-9F05-2FF67CBDC2BF}" type="presOf" srcId="{D880076C-8A97-4F1E-A53D-99656F454A75}" destId="{ABAF27C7-D7D4-4E02-9967-C832EF141E3E}" srcOrd="0" destOrd="0" presId="urn:microsoft.com/office/officeart/2005/8/layout/cycle5"/>
    <dgm:cxn modelId="{1BD9CF46-A2E6-4826-9528-B5B1D21C18E8}" type="presOf" srcId="{5ED860B6-B4FB-42E2-A70A-2F7B9D2705A7}" destId="{45C60ED5-D177-4B74-99EC-EFBACD4FDCA5}" srcOrd="0" destOrd="0" presId="urn:microsoft.com/office/officeart/2005/8/layout/cycle5"/>
    <dgm:cxn modelId="{9E2BD14F-73E3-4CA0-8029-427135242ECC}" srcId="{5ED860B6-B4FB-42E2-A70A-2F7B9D2705A7}" destId="{55FFF9DD-0F5F-4EEF-9F18-7321C5BB8695}" srcOrd="2" destOrd="0" parTransId="{352A5FF8-72A1-4D86-BA68-AC0493C415FC}" sibTransId="{F126CDD1-4923-4931-8318-B35A0D527D68}"/>
    <dgm:cxn modelId="{088C7572-8C7F-4763-8F81-82DCA30E3896}" srcId="{5ED860B6-B4FB-42E2-A70A-2F7B9D2705A7}" destId="{69B602CA-2B0A-4AC0-B0F5-DC6DE49D6101}" srcOrd="0" destOrd="0" parTransId="{41181F0D-292E-4F2B-808F-A5071C10D9BC}" sibTransId="{DEAC38C1-BCA7-4424-A0F0-BEF39C82C8F5}"/>
    <dgm:cxn modelId="{E8620E8A-636E-4339-ABBE-74968A5741B8}" type="presOf" srcId="{55FFF9DD-0F5F-4EEF-9F18-7321C5BB8695}" destId="{A65CD71B-AE13-4F94-A1CF-238B07DE41D6}" srcOrd="0" destOrd="0" presId="urn:microsoft.com/office/officeart/2005/8/layout/cycle5"/>
    <dgm:cxn modelId="{A5D5FA94-A208-42BC-9C73-6823E80AA9C5}" srcId="{5ED860B6-B4FB-42E2-A70A-2F7B9D2705A7}" destId="{DD16B2FF-300E-485E-8605-BB225F9DD76C}" srcOrd="1" destOrd="0" parTransId="{60D51C99-5DFD-4438-9037-4C88A4980A71}" sibTransId="{D880076C-8A97-4F1E-A53D-99656F454A75}"/>
    <dgm:cxn modelId="{A8178FB6-7DB5-40AB-A4E9-A81A29CC8FF5}" type="presOf" srcId="{F126CDD1-4923-4931-8318-B35A0D527D68}" destId="{3A1C259A-EF4F-47F1-B09F-D715F691A1CC}" srcOrd="0" destOrd="0" presId="urn:microsoft.com/office/officeart/2005/8/layout/cycle5"/>
    <dgm:cxn modelId="{859BC9DA-9411-4979-B362-47EF8E85A0ED}" type="presOf" srcId="{0D4906AC-1327-4B4C-B656-754B8C0F664B}" destId="{AF78CCB6-A50A-4BFA-BA93-E7D2EE8F95DB}" srcOrd="0" destOrd="0" presId="urn:microsoft.com/office/officeart/2005/8/layout/cycle5"/>
    <dgm:cxn modelId="{7C1F8D10-709A-4FF4-B0D3-095D07329AC5}" type="presParOf" srcId="{45C60ED5-D177-4B74-99EC-EFBACD4FDCA5}" destId="{31B8283B-BE69-418A-BDE0-16687B07ACE2}" srcOrd="0" destOrd="0" presId="urn:microsoft.com/office/officeart/2005/8/layout/cycle5"/>
    <dgm:cxn modelId="{0EA48D9B-96DE-47EF-8DB4-733F7AC7C5D1}" type="presParOf" srcId="{45C60ED5-D177-4B74-99EC-EFBACD4FDCA5}" destId="{3E018A4E-6DA1-4F24-9BD2-5961DD29250B}" srcOrd="1" destOrd="0" presId="urn:microsoft.com/office/officeart/2005/8/layout/cycle5"/>
    <dgm:cxn modelId="{4D1A82FA-9F9C-434A-B8C8-2FD016604167}" type="presParOf" srcId="{45C60ED5-D177-4B74-99EC-EFBACD4FDCA5}" destId="{723865CB-7B4A-4BA8-BF2F-2A6051B0D86A}" srcOrd="2" destOrd="0" presId="urn:microsoft.com/office/officeart/2005/8/layout/cycle5"/>
    <dgm:cxn modelId="{3F1B9C4B-5E41-4FF2-AE19-C7031A5CC06C}" type="presParOf" srcId="{45C60ED5-D177-4B74-99EC-EFBACD4FDCA5}" destId="{CF5509FB-536B-48FC-A5B8-6064F085EE60}" srcOrd="3" destOrd="0" presId="urn:microsoft.com/office/officeart/2005/8/layout/cycle5"/>
    <dgm:cxn modelId="{679475EB-FD1E-4B58-83FE-21150089E276}" type="presParOf" srcId="{45C60ED5-D177-4B74-99EC-EFBACD4FDCA5}" destId="{407DB5E8-503A-46EB-A3AC-42ADAB946DC4}" srcOrd="4" destOrd="0" presId="urn:microsoft.com/office/officeart/2005/8/layout/cycle5"/>
    <dgm:cxn modelId="{BEA6D620-A6CD-44A6-B3DA-44B9515CEA03}" type="presParOf" srcId="{45C60ED5-D177-4B74-99EC-EFBACD4FDCA5}" destId="{ABAF27C7-D7D4-4E02-9967-C832EF141E3E}" srcOrd="5" destOrd="0" presId="urn:microsoft.com/office/officeart/2005/8/layout/cycle5"/>
    <dgm:cxn modelId="{46648E68-07A9-4831-A7FF-E6D384C8302A}" type="presParOf" srcId="{45C60ED5-D177-4B74-99EC-EFBACD4FDCA5}" destId="{A65CD71B-AE13-4F94-A1CF-238B07DE41D6}" srcOrd="6" destOrd="0" presId="urn:microsoft.com/office/officeart/2005/8/layout/cycle5"/>
    <dgm:cxn modelId="{4977A22A-D321-4C4F-A02A-E96BC4F14AEA}" type="presParOf" srcId="{45C60ED5-D177-4B74-99EC-EFBACD4FDCA5}" destId="{C9130FB8-7004-43C3-8BD7-4F5D82029E13}" srcOrd="7" destOrd="0" presId="urn:microsoft.com/office/officeart/2005/8/layout/cycle5"/>
    <dgm:cxn modelId="{1A0E774F-D2E9-4633-9540-84500E34EB9E}" type="presParOf" srcId="{45C60ED5-D177-4B74-99EC-EFBACD4FDCA5}" destId="{3A1C259A-EF4F-47F1-B09F-D715F691A1CC}" srcOrd="8" destOrd="0" presId="urn:microsoft.com/office/officeart/2005/8/layout/cycle5"/>
    <dgm:cxn modelId="{C7378A01-9CAF-446A-B354-6478CBDC1F0E}" type="presParOf" srcId="{45C60ED5-D177-4B74-99EC-EFBACD4FDCA5}" destId="{31F2B72C-54B5-4F85-BE1D-E5F4D1C7F799}" srcOrd="9" destOrd="0" presId="urn:microsoft.com/office/officeart/2005/8/layout/cycle5"/>
    <dgm:cxn modelId="{0F471F1A-85A1-411E-9B91-7F75BB35C43C}" type="presParOf" srcId="{45C60ED5-D177-4B74-99EC-EFBACD4FDCA5}" destId="{BEC63BBB-790F-4117-8440-FD41F16501FB}" srcOrd="10" destOrd="0" presId="urn:microsoft.com/office/officeart/2005/8/layout/cycle5"/>
    <dgm:cxn modelId="{2C740120-46DB-48D2-A2C7-03323DF55BDB}" type="presParOf" srcId="{45C60ED5-D177-4B74-99EC-EFBACD4FDCA5}" destId="{AF78CCB6-A50A-4BFA-BA93-E7D2EE8F95DB}" srcOrd="11" destOrd="0" presId="urn:microsoft.com/office/officeart/2005/8/layout/cycle5"/>
  </dgm:cxnLst>
  <dgm:bg/>
  <dgm:whole/>
  <dgm:extLst>
    <a:ext uri="http://schemas.microsoft.com/office/drawing/2008/diagram">
      <dsp:dataModelExt xmlns:dsp="http://schemas.microsoft.com/office/drawing/2008/diagram" relId="rId71"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3BD053D-63A3-4D2F-A58E-A9EF894EDADC}">
      <dsp:nvSpPr>
        <dsp:cNvPr id="0" name=""/>
        <dsp:cNvSpPr/>
      </dsp:nvSpPr>
      <dsp:spPr>
        <a:xfrm>
          <a:off x="3375549" y="24204"/>
          <a:ext cx="791616" cy="791616"/>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1430" tIns="11430" rIns="11430" bIns="11430" numCol="1" spcCol="1270" anchor="ctr" anchorCtr="0">
          <a:noAutofit/>
        </a:bodyPr>
        <a:lstStyle/>
        <a:p>
          <a:pPr marL="0" lvl="0" indent="0" algn="ctr" defTabSz="400050">
            <a:lnSpc>
              <a:spcPct val="90000"/>
            </a:lnSpc>
            <a:spcBef>
              <a:spcPct val="0"/>
            </a:spcBef>
            <a:spcAft>
              <a:spcPct val="35000"/>
            </a:spcAft>
            <a:buNone/>
          </a:pPr>
          <a:r>
            <a:rPr lang="es-MX" sz="900" kern="1200"/>
            <a:t>Conocer contexto</a:t>
          </a:r>
        </a:p>
      </dsp:txBody>
      <dsp:txXfrm>
        <a:off x="3375549" y="24204"/>
        <a:ext cx="791616" cy="791616"/>
      </dsp:txXfrm>
    </dsp:sp>
    <dsp:sp modelId="{910FF180-DF9B-417C-8A6B-77C84B9CA287}">
      <dsp:nvSpPr>
        <dsp:cNvPr id="0" name=""/>
        <dsp:cNvSpPr/>
      </dsp:nvSpPr>
      <dsp:spPr>
        <a:xfrm>
          <a:off x="1513157" y="1276"/>
          <a:ext cx="2968278" cy="2968278"/>
        </a:xfrm>
        <a:prstGeom prst="circularArrow">
          <a:avLst>
            <a:gd name="adj1" fmla="val 5200"/>
            <a:gd name="adj2" fmla="val 335938"/>
            <a:gd name="adj3" fmla="val 21293141"/>
            <a:gd name="adj4" fmla="val 19766327"/>
            <a:gd name="adj5" fmla="val 6067"/>
          </a:avLst>
        </a:prstGeom>
        <a:solidFill>
          <a:schemeClr val="accent5">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6BF89C8A-322D-4203-B345-3AFBB02955A6}">
      <dsp:nvSpPr>
        <dsp:cNvPr id="0" name=""/>
        <dsp:cNvSpPr/>
      </dsp:nvSpPr>
      <dsp:spPr>
        <a:xfrm>
          <a:off x="3853944" y="1496554"/>
          <a:ext cx="791616" cy="791616"/>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1430" tIns="11430" rIns="11430" bIns="11430" numCol="1" spcCol="1270" anchor="ctr" anchorCtr="0">
          <a:noAutofit/>
        </a:bodyPr>
        <a:lstStyle/>
        <a:p>
          <a:pPr marL="0" lvl="0" indent="0" algn="ctr" defTabSz="400050">
            <a:lnSpc>
              <a:spcPct val="90000"/>
            </a:lnSpc>
            <a:spcBef>
              <a:spcPct val="0"/>
            </a:spcBef>
            <a:spcAft>
              <a:spcPct val="35000"/>
            </a:spcAft>
            <a:buNone/>
          </a:pPr>
          <a:r>
            <a:rPr lang="es-MX" sz="900" kern="1200"/>
            <a:t>Identificar alternativas</a:t>
          </a:r>
        </a:p>
      </dsp:txBody>
      <dsp:txXfrm>
        <a:off x="3853944" y="1496554"/>
        <a:ext cx="791616" cy="791616"/>
      </dsp:txXfrm>
    </dsp:sp>
    <dsp:sp modelId="{56C07723-1FFE-4234-905C-66ADCB9FEFE1}">
      <dsp:nvSpPr>
        <dsp:cNvPr id="0" name=""/>
        <dsp:cNvSpPr/>
      </dsp:nvSpPr>
      <dsp:spPr>
        <a:xfrm>
          <a:off x="1513157" y="1276"/>
          <a:ext cx="2968278" cy="2968278"/>
        </a:xfrm>
        <a:prstGeom prst="circularArrow">
          <a:avLst>
            <a:gd name="adj1" fmla="val 5200"/>
            <a:gd name="adj2" fmla="val 335938"/>
            <a:gd name="adj3" fmla="val 4014594"/>
            <a:gd name="adj4" fmla="val 2253528"/>
            <a:gd name="adj5" fmla="val 6067"/>
          </a:avLst>
        </a:prstGeom>
        <a:solidFill>
          <a:schemeClr val="accent5">
            <a:hueOff val="-2483469"/>
            <a:satOff val="9953"/>
            <a:lumOff val="2157"/>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85388A35-4522-41D2-B357-44EA37ABE881}">
      <dsp:nvSpPr>
        <dsp:cNvPr id="0" name=""/>
        <dsp:cNvSpPr/>
      </dsp:nvSpPr>
      <dsp:spPr>
        <a:xfrm>
          <a:off x="2601488" y="2406517"/>
          <a:ext cx="791616" cy="791616"/>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1430" tIns="11430" rIns="11430" bIns="11430" numCol="1" spcCol="1270" anchor="ctr" anchorCtr="0">
          <a:noAutofit/>
        </a:bodyPr>
        <a:lstStyle/>
        <a:p>
          <a:pPr marL="0" lvl="0" indent="0" algn="ctr" defTabSz="400050">
            <a:lnSpc>
              <a:spcPct val="90000"/>
            </a:lnSpc>
            <a:spcBef>
              <a:spcPct val="0"/>
            </a:spcBef>
            <a:spcAft>
              <a:spcPct val="35000"/>
            </a:spcAft>
            <a:buNone/>
          </a:pPr>
          <a:r>
            <a:rPr lang="es-MX" sz="900" kern="1200"/>
            <a:t>Establecer criterios</a:t>
          </a:r>
        </a:p>
      </dsp:txBody>
      <dsp:txXfrm>
        <a:off x="2601488" y="2406517"/>
        <a:ext cx="791616" cy="791616"/>
      </dsp:txXfrm>
    </dsp:sp>
    <dsp:sp modelId="{3BEB7195-A3C8-42E3-AB63-DA1D7BF4EADB}">
      <dsp:nvSpPr>
        <dsp:cNvPr id="0" name=""/>
        <dsp:cNvSpPr/>
      </dsp:nvSpPr>
      <dsp:spPr>
        <a:xfrm>
          <a:off x="1513157" y="1276"/>
          <a:ext cx="2968278" cy="2968278"/>
        </a:xfrm>
        <a:prstGeom prst="circularArrow">
          <a:avLst>
            <a:gd name="adj1" fmla="val 5200"/>
            <a:gd name="adj2" fmla="val 335938"/>
            <a:gd name="adj3" fmla="val 8210534"/>
            <a:gd name="adj4" fmla="val 6449468"/>
            <a:gd name="adj5" fmla="val 6067"/>
          </a:avLst>
        </a:prstGeom>
        <a:solidFill>
          <a:schemeClr val="accent5">
            <a:hueOff val="-4966938"/>
            <a:satOff val="19906"/>
            <a:lumOff val="4314"/>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6DDC29A3-B9AB-4031-B26C-A33E3F1906B2}">
      <dsp:nvSpPr>
        <dsp:cNvPr id="0" name=""/>
        <dsp:cNvSpPr/>
      </dsp:nvSpPr>
      <dsp:spPr>
        <a:xfrm>
          <a:off x="840838" y="1496554"/>
          <a:ext cx="1808005" cy="791616"/>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1430" tIns="11430" rIns="11430" bIns="11430" numCol="1" spcCol="1270" anchor="ctr" anchorCtr="0">
          <a:noAutofit/>
        </a:bodyPr>
        <a:lstStyle/>
        <a:p>
          <a:pPr marL="0" lvl="0" indent="0" algn="ctr" defTabSz="400050">
            <a:lnSpc>
              <a:spcPct val="90000"/>
            </a:lnSpc>
            <a:spcBef>
              <a:spcPct val="0"/>
            </a:spcBef>
            <a:spcAft>
              <a:spcPct val="35000"/>
            </a:spcAft>
            <a:buNone/>
          </a:pPr>
          <a:r>
            <a:rPr lang="es-MX" sz="900" kern="1200"/>
            <a:t>Ejecutar el método seleccionado (para suma ponderada: i) establecer ponderación de criterios y ii) agregar puntajes de desempeño)</a:t>
          </a:r>
        </a:p>
      </dsp:txBody>
      <dsp:txXfrm>
        <a:off x="840838" y="1496554"/>
        <a:ext cx="1808005" cy="791616"/>
      </dsp:txXfrm>
    </dsp:sp>
    <dsp:sp modelId="{3F623FDC-D399-4B76-96CE-DD77A204CB70}">
      <dsp:nvSpPr>
        <dsp:cNvPr id="0" name=""/>
        <dsp:cNvSpPr/>
      </dsp:nvSpPr>
      <dsp:spPr>
        <a:xfrm>
          <a:off x="1513157" y="1276"/>
          <a:ext cx="2968278" cy="2968278"/>
        </a:xfrm>
        <a:prstGeom prst="circularArrow">
          <a:avLst>
            <a:gd name="adj1" fmla="val 5200"/>
            <a:gd name="adj2" fmla="val 335938"/>
            <a:gd name="adj3" fmla="val 12297735"/>
            <a:gd name="adj4" fmla="val 10770921"/>
            <a:gd name="adj5" fmla="val 6067"/>
          </a:avLst>
        </a:prstGeom>
        <a:solidFill>
          <a:schemeClr val="accent5">
            <a:hueOff val="-7450407"/>
            <a:satOff val="29858"/>
            <a:lumOff val="6471"/>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6FDB67B0-0075-43C7-B4FC-82AD3B712B82}">
      <dsp:nvSpPr>
        <dsp:cNvPr id="0" name=""/>
        <dsp:cNvSpPr/>
      </dsp:nvSpPr>
      <dsp:spPr>
        <a:xfrm>
          <a:off x="1827428" y="24204"/>
          <a:ext cx="791616" cy="791616"/>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1430" tIns="11430" rIns="11430" bIns="11430" numCol="1" spcCol="1270" anchor="ctr" anchorCtr="0">
          <a:noAutofit/>
        </a:bodyPr>
        <a:lstStyle/>
        <a:p>
          <a:pPr marL="0" lvl="0" indent="0" algn="ctr" defTabSz="400050">
            <a:lnSpc>
              <a:spcPct val="90000"/>
            </a:lnSpc>
            <a:spcBef>
              <a:spcPct val="0"/>
            </a:spcBef>
            <a:spcAft>
              <a:spcPct val="35000"/>
            </a:spcAft>
            <a:buNone/>
          </a:pPr>
          <a:r>
            <a:rPr lang="es-MX" sz="900" kern="1200"/>
            <a:t>Ejecutar análisis de sensibilidad</a:t>
          </a:r>
        </a:p>
      </dsp:txBody>
      <dsp:txXfrm>
        <a:off x="1827428" y="24204"/>
        <a:ext cx="791616" cy="791616"/>
      </dsp:txXfrm>
    </dsp:sp>
    <dsp:sp modelId="{CDB38FFE-4150-4036-82A2-003B6AACFC18}">
      <dsp:nvSpPr>
        <dsp:cNvPr id="0" name=""/>
        <dsp:cNvSpPr/>
      </dsp:nvSpPr>
      <dsp:spPr>
        <a:xfrm>
          <a:off x="1513157" y="1276"/>
          <a:ext cx="2968278" cy="2968278"/>
        </a:xfrm>
        <a:prstGeom prst="circularArrow">
          <a:avLst>
            <a:gd name="adj1" fmla="val 5200"/>
            <a:gd name="adj2" fmla="val 335938"/>
            <a:gd name="adj3" fmla="val 16865583"/>
            <a:gd name="adj4" fmla="val 15198479"/>
            <a:gd name="adj5" fmla="val 6067"/>
          </a:avLst>
        </a:prstGeom>
        <a:solidFill>
          <a:schemeClr val="accent5">
            <a:hueOff val="-9933876"/>
            <a:satOff val="39811"/>
            <a:lumOff val="8628"/>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1B8283B-BE69-418A-BDE0-16687B07ACE2}">
      <dsp:nvSpPr>
        <dsp:cNvPr id="0" name=""/>
        <dsp:cNvSpPr/>
      </dsp:nvSpPr>
      <dsp:spPr>
        <a:xfrm>
          <a:off x="2007576" y="17"/>
          <a:ext cx="1143587" cy="743332"/>
        </a:xfrm>
        <a:prstGeom prst="roundRect">
          <a:avLst/>
        </a:prstGeom>
        <a:solidFill>
          <a:schemeClr val="accent5">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es-MX" sz="800" kern="1200">
              <a:latin typeface="Calibri" panose="020F0502020204030204"/>
              <a:ea typeface="+mn-ea"/>
              <a:cs typeface="+mn-cs"/>
            </a:rPr>
            <a:t>Determinación de impactos residuales (IR)</a:t>
          </a:r>
        </a:p>
      </dsp:txBody>
      <dsp:txXfrm>
        <a:off x="2043862" y="36303"/>
        <a:ext cx="1071015" cy="670760"/>
      </dsp:txXfrm>
    </dsp:sp>
    <dsp:sp modelId="{723865CB-7B4A-4BA8-BF2F-2A6051B0D86A}">
      <dsp:nvSpPr>
        <dsp:cNvPr id="0" name=""/>
        <dsp:cNvSpPr/>
      </dsp:nvSpPr>
      <dsp:spPr>
        <a:xfrm>
          <a:off x="1350853" y="371683"/>
          <a:ext cx="2457033" cy="2457033"/>
        </a:xfrm>
        <a:custGeom>
          <a:avLst/>
          <a:gdLst/>
          <a:ahLst/>
          <a:cxnLst/>
          <a:rect l="0" t="0" r="0" b="0"/>
          <a:pathLst>
            <a:path>
              <a:moveTo>
                <a:pt x="1958308" y="240256"/>
              </a:moveTo>
              <a:arcTo wR="1228516" hR="1228516" stAng="18386666" swAng="1634382"/>
            </a:path>
          </a:pathLst>
        </a:custGeom>
        <a:noFill/>
        <a:ln w="9525" cap="flat" cmpd="sng" algn="ctr">
          <a:solidFill>
            <a:schemeClr val="accent5">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sp>
    <dsp:sp modelId="{CF5509FB-536B-48FC-A5B8-6064F085EE60}">
      <dsp:nvSpPr>
        <dsp:cNvPr id="0" name=""/>
        <dsp:cNvSpPr/>
      </dsp:nvSpPr>
      <dsp:spPr>
        <a:xfrm>
          <a:off x="3236092" y="1228533"/>
          <a:ext cx="1143587" cy="743332"/>
        </a:xfrm>
        <a:prstGeom prst="roundRect">
          <a:avLst/>
        </a:prstGeom>
        <a:solidFill>
          <a:schemeClr val="accent5">
            <a:hueOff val="-3311292"/>
            <a:satOff val="13270"/>
            <a:lumOff val="2876"/>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es-MX" sz="800" kern="1200">
              <a:latin typeface="Calibri" panose="020F0502020204030204"/>
              <a:ea typeface="+mn-ea"/>
              <a:cs typeface="+mn-cs"/>
            </a:rPr>
            <a:t>Determinación de IR que pueden acumularse o generar sinergias</a:t>
          </a:r>
        </a:p>
      </dsp:txBody>
      <dsp:txXfrm>
        <a:off x="3272378" y="1264819"/>
        <a:ext cx="1071015" cy="670760"/>
      </dsp:txXfrm>
    </dsp:sp>
    <dsp:sp modelId="{ABAF27C7-D7D4-4E02-9967-C832EF141E3E}">
      <dsp:nvSpPr>
        <dsp:cNvPr id="0" name=""/>
        <dsp:cNvSpPr/>
      </dsp:nvSpPr>
      <dsp:spPr>
        <a:xfrm>
          <a:off x="1350853" y="371683"/>
          <a:ext cx="2457033" cy="2457033"/>
        </a:xfrm>
        <a:custGeom>
          <a:avLst/>
          <a:gdLst/>
          <a:ahLst/>
          <a:cxnLst/>
          <a:rect l="0" t="0" r="0" b="0"/>
          <a:pathLst>
            <a:path>
              <a:moveTo>
                <a:pt x="2329714" y="1773142"/>
              </a:moveTo>
              <a:arcTo wR="1228516" hR="1228516" stAng="1578952" swAng="1634382"/>
            </a:path>
          </a:pathLst>
        </a:custGeom>
        <a:noFill/>
        <a:ln w="9525" cap="flat" cmpd="sng" algn="ctr">
          <a:solidFill>
            <a:schemeClr val="accent5">
              <a:hueOff val="-3311292"/>
              <a:satOff val="13270"/>
              <a:lumOff val="2876"/>
              <a:alphaOff val="0"/>
            </a:schemeClr>
          </a:solidFill>
          <a:prstDash val="solid"/>
          <a:tailEnd type="arrow"/>
        </a:ln>
        <a:effectLst/>
      </dsp:spPr>
      <dsp:style>
        <a:lnRef idx="1">
          <a:scrgbClr r="0" g="0" b="0"/>
        </a:lnRef>
        <a:fillRef idx="0">
          <a:scrgbClr r="0" g="0" b="0"/>
        </a:fillRef>
        <a:effectRef idx="0">
          <a:scrgbClr r="0" g="0" b="0"/>
        </a:effectRef>
        <a:fontRef idx="minor"/>
      </dsp:style>
    </dsp:sp>
    <dsp:sp modelId="{A65CD71B-AE13-4F94-A1CF-238B07DE41D6}">
      <dsp:nvSpPr>
        <dsp:cNvPr id="0" name=""/>
        <dsp:cNvSpPr/>
      </dsp:nvSpPr>
      <dsp:spPr>
        <a:xfrm>
          <a:off x="2007576" y="2457050"/>
          <a:ext cx="1143587" cy="743332"/>
        </a:xfrm>
        <a:prstGeom prst="roundRect">
          <a:avLst/>
        </a:prstGeom>
        <a:solidFill>
          <a:schemeClr val="accent5">
            <a:hueOff val="-6622584"/>
            <a:satOff val="26541"/>
            <a:lumOff val="5752"/>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es-CO" sz="800" kern="1200"/>
            <a:t>Evaluación de la acumulación y sinergia de IR. Sólo para un impacto por CEI</a:t>
          </a:r>
          <a:endParaRPr lang="es-MX" sz="800" kern="1200">
            <a:latin typeface="Calibri" panose="020F0502020204030204"/>
            <a:ea typeface="+mn-ea"/>
            <a:cs typeface="+mn-cs"/>
          </a:endParaRPr>
        </a:p>
      </dsp:txBody>
      <dsp:txXfrm>
        <a:off x="2043862" y="2493336"/>
        <a:ext cx="1071015" cy="670760"/>
      </dsp:txXfrm>
    </dsp:sp>
    <dsp:sp modelId="{3A1C259A-EF4F-47F1-B09F-D715F691A1CC}">
      <dsp:nvSpPr>
        <dsp:cNvPr id="0" name=""/>
        <dsp:cNvSpPr/>
      </dsp:nvSpPr>
      <dsp:spPr>
        <a:xfrm>
          <a:off x="1350853" y="371683"/>
          <a:ext cx="2457033" cy="2457033"/>
        </a:xfrm>
        <a:custGeom>
          <a:avLst/>
          <a:gdLst/>
          <a:ahLst/>
          <a:cxnLst/>
          <a:rect l="0" t="0" r="0" b="0"/>
          <a:pathLst>
            <a:path>
              <a:moveTo>
                <a:pt x="498725" y="2216776"/>
              </a:moveTo>
              <a:arcTo wR="1228516" hR="1228516" stAng="7586666" swAng="1634382"/>
            </a:path>
          </a:pathLst>
        </a:custGeom>
        <a:noFill/>
        <a:ln w="9525" cap="flat" cmpd="sng" algn="ctr">
          <a:solidFill>
            <a:schemeClr val="accent5">
              <a:hueOff val="-6622584"/>
              <a:satOff val="26541"/>
              <a:lumOff val="5752"/>
              <a:alphaOff val="0"/>
            </a:schemeClr>
          </a:solidFill>
          <a:prstDash val="solid"/>
          <a:tailEnd type="arrow"/>
        </a:ln>
        <a:effectLst/>
      </dsp:spPr>
      <dsp:style>
        <a:lnRef idx="1">
          <a:scrgbClr r="0" g="0" b="0"/>
        </a:lnRef>
        <a:fillRef idx="0">
          <a:scrgbClr r="0" g="0" b="0"/>
        </a:fillRef>
        <a:effectRef idx="0">
          <a:scrgbClr r="0" g="0" b="0"/>
        </a:effectRef>
        <a:fontRef idx="minor"/>
      </dsp:style>
    </dsp:sp>
    <dsp:sp modelId="{31F2B72C-54B5-4F85-BE1D-E5F4D1C7F799}">
      <dsp:nvSpPr>
        <dsp:cNvPr id="0" name=""/>
        <dsp:cNvSpPr/>
      </dsp:nvSpPr>
      <dsp:spPr>
        <a:xfrm>
          <a:off x="779059" y="1228533"/>
          <a:ext cx="1143587" cy="743332"/>
        </a:xfrm>
        <a:prstGeom prst="roundRect">
          <a:avLst/>
        </a:prstGeom>
        <a:solidFill>
          <a:schemeClr val="accent5">
            <a:hueOff val="-9933876"/>
            <a:satOff val="39811"/>
            <a:lumOff val="8628"/>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es-CO" sz="800" kern="1200"/>
            <a:t>Replanteamiento o formulación de nuevas medidas para reducir cantidad y significancia de IR </a:t>
          </a:r>
          <a:endParaRPr lang="es-MX" sz="800" kern="1200">
            <a:latin typeface="Calibri" panose="020F0502020204030204"/>
            <a:ea typeface="+mn-ea"/>
            <a:cs typeface="+mn-cs"/>
          </a:endParaRPr>
        </a:p>
      </dsp:txBody>
      <dsp:txXfrm>
        <a:off x="815345" y="1264819"/>
        <a:ext cx="1071015" cy="670760"/>
      </dsp:txXfrm>
    </dsp:sp>
    <dsp:sp modelId="{AF78CCB6-A50A-4BFA-BA93-E7D2EE8F95DB}">
      <dsp:nvSpPr>
        <dsp:cNvPr id="0" name=""/>
        <dsp:cNvSpPr/>
      </dsp:nvSpPr>
      <dsp:spPr>
        <a:xfrm>
          <a:off x="1350853" y="371683"/>
          <a:ext cx="2457033" cy="2457033"/>
        </a:xfrm>
        <a:custGeom>
          <a:avLst/>
          <a:gdLst/>
          <a:ahLst/>
          <a:cxnLst/>
          <a:rect l="0" t="0" r="0" b="0"/>
          <a:pathLst>
            <a:path>
              <a:moveTo>
                <a:pt x="127318" y="683891"/>
              </a:moveTo>
              <a:arcTo wR="1228516" hR="1228516" stAng="12378952" swAng="1634382"/>
            </a:path>
          </a:pathLst>
        </a:custGeom>
        <a:noFill/>
        <a:ln w="9525" cap="flat" cmpd="sng" algn="ctr">
          <a:solidFill>
            <a:schemeClr val="accent5">
              <a:hueOff val="-9933876"/>
              <a:satOff val="39811"/>
              <a:lumOff val="8628"/>
              <a:alphaOff val="0"/>
            </a:schemeClr>
          </a:solidFill>
          <a:prstDash val="solid"/>
          <a:tailEnd type="arrow"/>
        </a:ln>
        <a:effectLst/>
      </dsp:spPr>
      <dsp:style>
        <a:lnRef idx="1">
          <a:scrgbClr r="0" g="0" b="0"/>
        </a:lnRef>
        <a:fillRef idx="0">
          <a:scrgbClr r="0" g="0" b="0"/>
        </a:fillRef>
        <a:effectRef idx="0">
          <a:scrgbClr r="0" g="0" b="0"/>
        </a:effectRef>
        <a:fontRef idx="minor"/>
      </dsp:style>
    </dsp:sp>
  </dsp:spTree>
</dsp:drawing>
</file>

<file path=word/diagrams/layout1.xml><?xml version="1.0" encoding="utf-8"?>
<dgm:layoutDef xmlns:dgm="http://schemas.openxmlformats.org/drawingml/2006/diagram" xmlns:a="http://schemas.openxmlformats.org/drawingml/2006/main" uniqueId="urn:microsoft.com/office/officeart/2005/8/layout/cycle1">
  <dgm:title val=""/>
  <dgm:desc val=""/>
  <dgm:catLst>
    <dgm:cat type="cycle" pri="2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ycle">
    <dgm:varLst>
      <dgm:dir/>
      <dgm:resizeHandles val="exact"/>
    </dgm:varLst>
    <dgm:choose name="Name0">
      <dgm:if name="Name1" func="var" arg="dir" op="equ" val="norm">
        <dgm:alg type="cycle">
          <dgm:param type="stAng" val="0"/>
          <dgm:param type="spanAng" val="360"/>
        </dgm:alg>
      </dgm:if>
      <dgm:else name="Name2">
        <dgm:alg type="cycle">
          <dgm:param type="stAng" val="0"/>
          <dgm:param type="spanAng" val="-360"/>
        </dgm:alg>
      </dgm:else>
    </dgm:choose>
    <dgm:shape xmlns:r="http://schemas.openxmlformats.org/officeDocument/2006/relationships" r:blip="">
      <dgm:adjLst/>
    </dgm:shape>
    <dgm:presOf/>
    <dgm:choose name="Name3">
      <dgm:if name="Name4" func="var" arg="dir" op="equ" val="norm">
        <dgm:constrLst>
          <dgm:constr type="diam" val="1"/>
          <dgm:constr type="w" for="ch" forName="node" refType="w"/>
          <dgm:constr type="w" for="ch" ptType="sibTrans" refType="w" refFor="ch" refForName="node" fact="0.5"/>
          <dgm:constr type="h" for="ch" ptType="sibTrans" op="equ"/>
          <dgm:constr type="diam" for="ch" ptType="sibTrans" refType="diam" op="equ"/>
          <dgm:constr type="sibSp" refType="w" refFor="ch" refForName="node" fact="0.15"/>
          <dgm:constr type="w" for="ch" forName="dummy" refType="sibSp" fact="2.8"/>
          <dgm:constr type="primFontSz" for="ch" forName="node" op="equ" val="65"/>
        </dgm:constrLst>
      </dgm:if>
      <dgm:else name="Name5">
        <dgm:constrLst>
          <dgm:constr type="diam" val="1"/>
          <dgm:constr type="w" for="ch" forName="node" refType="w"/>
          <dgm:constr type="w" for="ch" ptType="sibTrans" refType="w" refFor="ch" refForName="node" fact="0.5"/>
          <dgm:constr type="h" for="ch" ptType="sibTrans" op="equ"/>
          <dgm:constr type="diam" for="ch" ptType="sibTrans" refType="diam" op="equ" fact="-1"/>
          <dgm:constr type="sibSp" refType="w" refFor="ch" refForName="node" fact="0.15"/>
          <dgm:constr type="w" for="ch" forName="dummy" refType="sibSp" fact="2.8"/>
          <dgm:constr type="primFontSz" for="ch" forName="node" op="equ" val="65"/>
        </dgm:constrLst>
      </dgm:else>
    </dgm:choose>
    <dgm:ruleLst>
      <dgm:rule type="diam" val="INF" fact="NaN" max="NaN"/>
    </dgm:ruleLst>
    <dgm:forEach name="nodesForEach" axis="ch" ptType="node">
      <dgm:choose name="Name6">
        <dgm:if name="Name7" axis="par ch" ptType="doc node" func="cnt" op="gt" val="1">
          <dgm:layoutNode name="dummy">
            <dgm:alg type="sp"/>
            <dgm:shape xmlns:r="http://schemas.openxmlformats.org/officeDocument/2006/relationships" r:blip="">
              <dgm:adjLst/>
            </dgm:shape>
            <dgm:presOf/>
            <dgm:constrLst>
              <dgm:constr type="h" refType="w"/>
            </dgm:constrLst>
            <dgm:ruleLst/>
          </dgm:layoutNode>
        </dgm:if>
        <dgm:else name="Name8"/>
      </dgm:choose>
      <dgm:layoutNode name="node" styleLbl="revTx">
        <dgm:varLst>
          <dgm:bulletEnabled val="1"/>
        </dgm:varLst>
        <dgm:alg type="tx">
          <dgm:param type="txAnchorVertCh" val="mid"/>
        </dgm:alg>
        <dgm:shape xmlns:r="http://schemas.openxmlformats.org/officeDocument/2006/relationships" type="rect" r:blip="">
          <dgm:adjLst/>
        </dgm:shape>
        <dgm:presOf axis="desOrSelf" ptType="node"/>
        <dgm:constrLst>
          <dgm:constr type="h" refType="w"/>
          <dgm:constr type="lMarg" refType="primFontSz" fact="0.1"/>
          <dgm:constr type="rMarg" refType="primFontSz" fact="0.1"/>
          <dgm:constr type="tMarg" refType="primFontSz" fact="0.1"/>
          <dgm:constr type="bMarg" refType="primFontSz" fact="0.1"/>
        </dgm:constrLst>
        <dgm:ruleLst>
          <dgm:rule type="primFontSz" val="5" fact="NaN" max="NaN"/>
        </dgm:ruleLst>
      </dgm:layoutNode>
      <dgm:choose name="Name9">
        <dgm:if name="Name10" axis="par ch" ptType="doc node" func="cnt" op="gt" val="1">
          <dgm:forEach name="Name11" axis="followSib" ptType="sibTrans" hideLastTrans="0" cnt="1">
            <dgm:layoutNode name="sibTrans" styleLbl="node1">
              <dgm:alg type="conn">
                <dgm:param type="connRout" val="curve"/>
                <dgm:param type="begPts" val="radial"/>
                <dgm:param type="endPts" val="radial"/>
              </dgm:alg>
              <dgm:shape xmlns:r="http://schemas.openxmlformats.org/officeDocument/2006/relationships" type="conn" r:blip="">
                <dgm:adjLst/>
              </dgm:shape>
              <dgm:presOf axis="self"/>
              <dgm:constrLst>
                <dgm:constr type="h" refType="w" fact="0.65"/>
                <dgm:constr type="begPad"/>
                <dgm:constr type="endPad"/>
              </dgm:constrLst>
              <dgm:ruleLst/>
            </dgm:layoutNode>
          </dgm:forEach>
        </dgm:if>
        <dgm:else name="Name12"/>
      </dgm:choose>
    </dgm:forEach>
  </dgm:layoutNode>
</dgm:layoutDef>
</file>

<file path=word/diagrams/layout2.xml><?xml version="1.0" encoding="utf-8"?>
<dgm:layoutDef xmlns:dgm="http://schemas.openxmlformats.org/drawingml/2006/diagram" xmlns:a="http://schemas.openxmlformats.org/drawingml/2006/main" uniqueId="urn:microsoft.com/office/officeart/2005/8/layout/cycle5">
  <dgm:title val=""/>
  <dgm:desc val=""/>
  <dgm:catLst>
    <dgm:cat type="cycle" pri="3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ycle">
    <dgm:varLst>
      <dgm:dir/>
      <dgm:resizeHandles val="exact"/>
    </dgm:varLst>
    <dgm:choose name="Name0">
      <dgm:if name="Name1" func="var" arg="dir" op="equ" val="norm">
        <dgm:choose name="Name2">
          <dgm:if name="Name3" axis="ch" ptType="node" func="cnt" op="gt" val="2">
            <dgm:alg type="cycle">
              <dgm:param type="stAng" val="0"/>
              <dgm:param type="spanAng" val="360"/>
            </dgm:alg>
          </dgm:if>
          <dgm:else name="Name4">
            <dgm:alg type="cycle">
              <dgm:param type="stAng" val="-90"/>
              <dgm:param type="spanAng" val="360"/>
            </dgm:alg>
          </dgm:else>
        </dgm:choose>
      </dgm:if>
      <dgm:else name="Name5">
        <dgm:choose name="Name6">
          <dgm:if name="Name7" axis="ch" ptType="node" func="cnt" op="gt" val="2">
            <dgm:alg type="cycle">
              <dgm:param type="stAng" val="0"/>
              <dgm:param type="spanAng" val="-360"/>
            </dgm:alg>
          </dgm:if>
          <dgm:else name="Name8">
            <dgm:alg type="cycle">
              <dgm:param type="stAng" val="90"/>
              <dgm:param type="spanAng" val="-360"/>
            </dgm:alg>
          </dgm:else>
        </dgm:choose>
      </dgm:else>
    </dgm:choose>
    <dgm:shape xmlns:r="http://schemas.openxmlformats.org/officeDocument/2006/relationships" r:blip="">
      <dgm:adjLst/>
    </dgm:shape>
    <dgm:presOf/>
    <dgm:choose name="Name9">
      <dgm:if name="Name10" func="var" arg="dir" op="equ" val="norm">
        <dgm:constrLst>
          <dgm:constr type="w" for="ch" forName="node" refType="w"/>
          <dgm:constr type="w" for="ch" ptType="sibTrans" refType="w" refFor="ch" refForName="node" op="equ" fact="0.3"/>
          <dgm:constr type="diam" for="ch" ptType="sibTrans" refType="diam" op="equ"/>
          <dgm:constr type="sibSp" refType="w" refFor="ch" refForName="node" op="equ" fact="0.15"/>
          <dgm:constr type="w" for="ch" forName="spNode" refType="sibSp" fact="1.6"/>
          <dgm:constr type="primFontSz" for="ch" forName="node" op="equ" val="65"/>
        </dgm:constrLst>
      </dgm:if>
      <dgm:else name="Name11">
        <dgm:constrLst>
          <dgm:constr type="w" for="ch" forName="node" refType="w"/>
          <dgm:constr type="w" for="ch" ptType="sibTrans" refType="w" refFor="ch" refForName="node" op="equ" fact="0.3"/>
          <dgm:constr type="diam" for="ch" ptType="sibTrans" refType="diam" fact="-1"/>
          <dgm:constr type="diam" for="ch" refType="diam" op="equ" fact="-1"/>
          <dgm:constr type="sibSp" refType="w" refFor="ch" refForName="node" op="equ" fact="0.15"/>
          <dgm:constr type="w" for="ch" forName="spNode" refType="sibSp" fact="1.6"/>
          <dgm:constr type="primFontSz" for="ch" forName="node" op="equ" val="65"/>
        </dgm:constrLst>
      </dgm:else>
    </dgm:choose>
    <dgm:ruleLst/>
    <dgm:forEach name="Name12" axis="ch" ptType="node">
      <dgm:layoutNode name="node">
        <dgm:varLst>
          <dgm:bulletEnabled val="1"/>
        </dgm:varLst>
        <dgm:alg type="tx"/>
        <dgm:shape xmlns:r="http://schemas.openxmlformats.org/officeDocument/2006/relationships" type="roundRect" r:blip="">
          <dgm:adjLst/>
        </dgm:shape>
        <dgm:presOf axis="desOrSelf" ptType="node"/>
        <dgm:constrLst>
          <dgm:constr type="h" refType="w" fact="0.65"/>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3">
        <dgm:if name="Name14" axis="par ch" ptType="doc node" func="cnt" op="gt" val="1">
          <dgm:layoutNode name="spNode">
            <dgm:alg type="sp"/>
            <dgm:shape xmlns:r="http://schemas.openxmlformats.org/officeDocument/2006/relationships" r:blip="">
              <dgm:adjLst/>
            </dgm:shape>
            <dgm:presOf/>
            <dgm:constrLst>
              <dgm:constr type="h" refType="w"/>
            </dgm:constrLst>
            <dgm:ruleLst/>
          </dgm:layoutNode>
          <dgm:forEach name="Name15" axis="followSib" ptType="sibTrans" hideLastTrans="0" cnt="1">
            <dgm:layoutNode name="sibTrans">
              <dgm:alg type="conn">
                <dgm:param type="dim" val="1D"/>
                <dgm:param type="connRout" val="curve"/>
                <dgm:param type="begPts" val="radial"/>
                <dgm:param type="endPts" val="radial"/>
              </dgm:alg>
              <dgm:shape xmlns:r="http://schemas.openxmlformats.org/officeDocument/2006/relationships" type="conn" r:blip="">
                <dgm:adjLst/>
              </dgm:shape>
              <dgm:presOf axis="self"/>
              <dgm:constrLst>
                <dgm:constr type="h" refType="w" fact="0.65"/>
                <dgm:constr type="connDist"/>
                <dgm:constr type="begPad" refType="connDist" fact="0.2"/>
                <dgm:constr type="endPad" refType="connDist" fact="0.2"/>
              </dgm:constrLst>
              <dgm:ruleLst/>
            </dgm:layoutNode>
          </dgm:forEach>
        </dgm:if>
        <dgm:else name="Name16"/>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b:Source xmlns:b="http://schemas.openxmlformats.org/officeDocument/2006/bibliography" xmlns="http://schemas.openxmlformats.org/officeDocument/2006/bibliography">
    <b:Tag>MarcadorDePosición1</b:Tag>
    <b:RefOrder>11</b:RefOrder>
  </b:Source>
  <b:Source>
    <b:Tag>MAV10</b:Tag>
    <b:SourceType>Book</b:SourceType>
    <b:Guid>{5F2B1240-B9A2-4FB9-97F1-5C0E6B6751C7}</b:Guid>
    <b:Title>Evaluación económica de impactos ambientales en proyectos sujetos a licenciamiento ambiental. Manual técnico. Documento en discusión</b:Title>
    <b:Year>2010</b:Year>
    <b:Author>
      <b:Author>
        <b:Corporate>MAVDT &amp; CEDE</b:Corporate>
      </b:Author>
    </b:Author>
    <b:City>Bogotá</b:City>
    <b:Publisher>Ministerio de Ambiente, Vivienda y Desarrollo Territorial- Universidad de los Andes; Facultad de economía</b:Publisher>
    <b:RefOrder>5</b:RefOrder>
  </b:Source>
  <b:Source>
    <b:Tag>Gon08</b:Tag>
    <b:SourceType>Report</b:SourceType>
    <b:Guid>{64FCEBFD-A5A2-4007-81AE-9CF2C0B5A085}</b:Guid>
    <b:Title>Guía para decisores. Análisis económico de externalidades ambientales</b:Title>
    <b:Year>2008</b:Year>
    <b:City> Santiago de Chile</b:City>
    <b:Publisher>Naciones Unidas- Comisión Económica para América Latina y el Caribe (CEPAL)- GTZ</b:Publisher>
    <b:Author>
      <b:Author>
        <b:NameList>
          <b:Person>
            <b:Last>Delacámara</b:Last>
            <b:First>Gonzalo</b:First>
          </b:Person>
        </b:NameList>
      </b:Author>
    </b:Author>
    <b:RefOrder>1</b:RefOrder>
  </b:Source>
  <b:Source>
    <b:Tag>Bic05</b:Tag>
    <b:SourceType>Report</b:SourceType>
    <b:Guid>{7EF89DA9-80CA-41E5-9D85-0807A51D6F82}</b:Guid>
    <b:Title>ExternE. Externalities of Energy: Methodology 2005 Update</b:Title>
    <b:Year>2005</b:Year>
    <b:Publisher>European Commision-Directorate-General for Research Sustainable Energy Systems</b:Publisher>
    <b:City>Luxemburg</b:City>
    <b:Author>
      <b:Author>
        <b:NameList>
          <b:Person>
            <b:Last>Bickel</b:Last>
            <b:First>Peter</b:First>
          </b:Person>
          <b:Person>
            <b:Last>Friedrich</b:Last>
            <b:Middle>(Eds)</b:Middle>
            <b:First>Rainer</b:First>
          </b:Person>
        </b:NameList>
      </b:Author>
    </b:Author>
    <b:RefOrder>3</b:RefOrder>
  </b:Source>
  <b:Source>
    <b:Tag>Die02</b:Tag>
    <b:SourceType>Book</b:SourceType>
    <b:Guid>{9234C4B3-B34A-4268-B510-34498D1BB171}</b:Guid>
    <b:Author>
      <b:Author>
        <b:NameList>
          <b:Person>
            <b:Last>Azqueta</b:Last>
            <b:First>Diego</b:First>
          </b:Person>
        </b:NameList>
      </b:Author>
    </b:Author>
    <b:Title>Introducción a la Economía Ambiental</b:Title>
    <b:Year>2002</b:Year>
    <b:City>Madrid</b:City>
    <b:Publisher>McGraw Hill</b:Publisher>
    <b:RefOrder>4</b:RefOrder>
  </b:Source>
  <b:Source>
    <b:Tag>Cos14</b:Tag>
    <b:SourceType>JournalArticle</b:SourceType>
    <b:Guid>{AAE2BE66-7B44-4F45-893B-51FBF2624A17}</b:Guid>
    <b:Title>Changes en the global value of ecosystem services</b:Title>
    <b:Year>2014</b:Year>
    <b:Author>
      <b:Author>
        <b:Corporate>Costanza et al.</b:Corporate>
      </b:Author>
    </b:Author>
    <b:JournalName>Global environmental change 26</b:JournalName>
    <b:Pages>152-158</b:Pages>
    <b:RefOrder>6</b:RefOrder>
  </b:Source>
  <b:Source>
    <b:Tag>Ann01</b:Tag>
    <b:SourceType>JournalArticle</b:SourceType>
    <b:Guid>{D580681E-F0FC-417C-9F19-8A76B96FA76E}</b:Guid>
    <b:Title>Improving Alternatives for Environmental Impact Assessment</b:Title>
    <b:Year>2001</b:Year>
    <b:Author>
      <b:Author>
        <b:NameList>
          <b:Person>
            <b:Last>Steinemann</b:Last>
            <b:First>Anne</b:First>
          </b:Person>
        </b:NameList>
      </b:Author>
    </b:Author>
    <b:JournalName>Environmental Impact Assessment Review 21</b:JournalName>
    <b:Pages>3-21</b:Pages>
    <b:RefOrder>7</b:RefOrder>
  </b:Source>
  <b:Source>
    <b:Tag>Fre03</b:Tag>
    <b:SourceType>Book</b:SourceType>
    <b:Guid>{24A8E97B-57B1-7142-8E67-DA2AF8DB6367}</b:Guid>
    <b:Author>
      <b:Author>
        <b:NameList>
          <b:Person>
            <b:Last>Freeman</b:Last>
            <b:Middle>Myrick</b:Middle>
            <b:First>A.</b:First>
          </b:Person>
        </b:NameList>
      </b:Author>
    </b:Author>
    <b:Title>The measurment of Environmental and resource values. Theory and methods</b:Title>
    <b:City>Washington D.C</b:City>
    <b:CountryRegion>U.S.A.</b:CountryRegion>
    <b:Publisher>Resources for the Future</b:Publisher>
    <b:Year>2003</b:Year>
    <b:Pages>491</b:Pages>
    <b:Edition>Segunda edición</b:Edition>
    <b:RefOrder>8</b:RefOrder>
  </b:Source>
  <b:Source>
    <b:Tag>OEC02</b:Tag>
    <b:SourceType>Book</b:SourceType>
    <b:Guid>{43D620C2-A05C-E84B-AE1E-8F4FC00B8603}</b:Guid>
    <b:Author>
      <b:Author>
        <b:Corporate>OECD</b:Corporate>
      </b:Author>
    </b:Author>
    <b:Title>Handbook of biodiversity valuation. A guide for policy makers</b:Title>
    <b:City>Paris</b:City>
    <b:CountryRegion>Francia</b:CountryRegion>
    <b:Year>2002</b:Year>
    <b:RefOrder>9</b:RefOrder>
  </b:Source>
  <b:Source>
    <b:Tag>Dia07</b:Tag>
    <b:SourceType>JournalArticle</b:SourceType>
    <b:Guid>{C594774B-5C9B-4E39-A6D4-58EAE16B7AFE}</b:Guid>
    <b:Title>Multi-criteria decision analysis and cost-benefit analysis of alternative scenario for the power generation sector in Greece</b:Title>
    <b:Year>2007</b:Year>
    <b:JournalName>Renewable and Sustainable Energy Reviews 11</b:JournalName>
    <b:Pages>716-727</b:Pages>
    <b:Author>
      <b:Author>
        <b:NameList>
          <b:Person>
            <b:Last>Diakoulaki</b:Last>
            <b:First>D</b:First>
          </b:Person>
          <b:Person>
            <b:Last>Karangelis</b:Last>
            <b:First>F</b:First>
          </b:Person>
        </b:NameList>
      </b:Author>
    </b:Author>
    <b:RefOrder>10</b:RefOrder>
  </b:Source>
  <b:Source>
    <b:Tag>MarcadorDePosición2</b:Tag>
    <b:SourceType>Book</b:SourceType>
    <b:Guid>{F2654E52-23C2-4593-8E3B-84CCA9CFD469}</b:Guid>
    <b:Title>Criterios Técnicos para el Uso de Herramientas Económicas en los proyectos, obras o actividades objeto de licenciamiento ambiental</b:Title>
    <b:Year>2017</b:Year>
    <b:Author>
      <b:Author>
        <b:Corporate>Minambiente &amp; ANLA</b:Corporate>
      </b:Author>
    </b:Author>
    <b:City>Bogotá</b:City>
    <b:Publisher>Ministerio de Ambiente y Desarrollo Sostenible - Autoridad Nacional de Licencias Ambientales</b:Publisher>
    <b:RefOrder>2</b:RefOrder>
  </b:Source>
  <b:Source>
    <b:Tag>Nev18</b:Tag>
    <b:SourceType>Report</b:SourceType>
    <b:Guid>{A5ADD30B-C21E-4C3E-B0D4-2451E0B33A9E}</b:Guid>
    <b:Author>
      <b:Author>
        <b:Corporate>Nevada Division of Environmental Protection</b:Corporate>
      </b:Author>
    </b:Author>
    <b:Title>Guidance for Hydrogeologic Groundwater Flow Modeling at  Mine Sites</b:Title>
    <b:Year>2018</b:Year>
    <b:Publisher>Bureau of Mining Regulation and Reclamation</b:Publisher>
    <b:RefOrder>1</b:RefOrder>
  </b:Source>
</b:Sources>
</file>

<file path=customXml/item2.xml><?xml version="1.0" encoding="utf-8"?>
<b:Sources xmlns:b="http://schemas.openxmlformats.org/officeDocument/2006/bibliography" xmlns="http://schemas.openxmlformats.org/officeDocument/2006/bibliography" SelectedStyle="\APA.XSL" StyleName="APA">
  <b:Source xmlns:b="http://schemas.openxmlformats.org/officeDocument/2006/bibliography" xmlns="http://schemas.openxmlformats.org/officeDocument/2006/bibliography">
    <b:Tag>MarcadorDePosición1</b:Tag>
    <b:RefOrder>11</b:RefOrder>
  </b:Source>
  <b:Source>
    <b:Tag>MAV10</b:Tag>
    <b:SourceType>Book</b:SourceType>
    <b:Guid>{5F2B1240-B9A2-4FB9-97F1-5C0E6B6751C7}</b:Guid>
    <b:Title>Evaluación económica de impactos ambientales en proyectos sujetos a licenciamiento ambiental. Manual técnico. Documento en discusión</b:Title>
    <b:Year>2010</b:Year>
    <b:Author>
      <b:Author>
        <b:Corporate>MAVDT &amp; CEDE</b:Corporate>
      </b:Author>
    </b:Author>
    <b:City>Bogotá</b:City>
    <b:Publisher>Ministerio de Ambiente, Vivienda y Desarrollo Territorial- Universidad de los Andes; Facultad de economía</b:Publisher>
    <b:RefOrder>5</b:RefOrder>
  </b:Source>
  <b:Source>
    <b:Tag>Gon08</b:Tag>
    <b:SourceType>Report</b:SourceType>
    <b:Guid>{64FCEBFD-A5A2-4007-81AE-9CF2C0B5A085}</b:Guid>
    <b:Title>Guía para decisores. Análisis económico de externalidades ambientales</b:Title>
    <b:Year>2008</b:Year>
    <b:City> Santiago de Chile</b:City>
    <b:Publisher>Naciones Unidas- Comisión Económica para América Latina y el Caribe (CEPAL)- GTZ</b:Publisher>
    <b:Author>
      <b:Author>
        <b:NameList>
          <b:Person>
            <b:Last>Delacámara</b:Last>
            <b:First>Gonzalo</b:First>
          </b:Person>
        </b:NameList>
      </b:Author>
    </b:Author>
    <b:RefOrder>1</b:RefOrder>
  </b:Source>
  <b:Source>
    <b:Tag>Bic05</b:Tag>
    <b:SourceType>Report</b:SourceType>
    <b:Guid>{7EF89DA9-80CA-41E5-9D85-0807A51D6F82}</b:Guid>
    <b:Title>ExternE. Externalities of Energy: Methodology 2005 Update</b:Title>
    <b:Year>2005</b:Year>
    <b:Publisher>European Commision-Directorate-General for Research Sustainable Energy Systems</b:Publisher>
    <b:City>Luxemburg</b:City>
    <b:Author>
      <b:Author>
        <b:NameList>
          <b:Person>
            <b:Last>Bickel</b:Last>
            <b:First>Peter</b:First>
          </b:Person>
          <b:Person>
            <b:Last>Friedrich</b:Last>
            <b:Middle>(Eds)</b:Middle>
            <b:First>Rainer</b:First>
          </b:Person>
        </b:NameList>
      </b:Author>
    </b:Author>
    <b:RefOrder>3</b:RefOrder>
  </b:Source>
  <b:Source>
    <b:Tag>Die02</b:Tag>
    <b:SourceType>Book</b:SourceType>
    <b:Guid>{9234C4B3-B34A-4268-B510-34498D1BB171}</b:Guid>
    <b:Author>
      <b:Author>
        <b:NameList>
          <b:Person>
            <b:Last>Azqueta</b:Last>
            <b:First>Diego</b:First>
          </b:Person>
        </b:NameList>
      </b:Author>
    </b:Author>
    <b:Title>Introducción a la Economía Ambiental</b:Title>
    <b:Year>2002</b:Year>
    <b:City>Madrid</b:City>
    <b:Publisher>McGraw Hill</b:Publisher>
    <b:RefOrder>4</b:RefOrder>
  </b:Source>
  <b:Source>
    <b:Tag>Cos14</b:Tag>
    <b:SourceType>JournalArticle</b:SourceType>
    <b:Guid>{AAE2BE66-7B44-4F45-893B-51FBF2624A17}</b:Guid>
    <b:Title>Changes en the global value of ecosystem services</b:Title>
    <b:Year>2014</b:Year>
    <b:Author>
      <b:Author>
        <b:Corporate>Costanza et al.</b:Corporate>
      </b:Author>
    </b:Author>
    <b:JournalName>Global environmental change 26</b:JournalName>
    <b:Pages>152-158</b:Pages>
    <b:RefOrder>6</b:RefOrder>
  </b:Source>
  <b:Source>
    <b:Tag>Ann01</b:Tag>
    <b:SourceType>JournalArticle</b:SourceType>
    <b:Guid>{D580681E-F0FC-417C-9F19-8A76B96FA76E}</b:Guid>
    <b:Title>Improving Alternatives for Environmental Impact Assessment</b:Title>
    <b:Year>2001</b:Year>
    <b:Author>
      <b:Author>
        <b:NameList>
          <b:Person>
            <b:Last>Steinemann</b:Last>
            <b:First>Anne</b:First>
          </b:Person>
        </b:NameList>
      </b:Author>
    </b:Author>
    <b:JournalName>Environmental Impact Assessment Review 21</b:JournalName>
    <b:Pages>3-21</b:Pages>
    <b:RefOrder>7</b:RefOrder>
  </b:Source>
  <b:Source>
    <b:Tag>Fre03</b:Tag>
    <b:SourceType>Book</b:SourceType>
    <b:Guid>{24A8E97B-57B1-7142-8E67-DA2AF8DB6367}</b:Guid>
    <b:Author>
      <b:Author>
        <b:NameList>
          <b:Person>
            <b:Last>Freeman</b:Last>
            <b:Middle>Myrick</b:Middle>
            <b:First>A.</b:First>
          </b:Person>
        </b:NameList>
      </b:Author>
    </b:Author>
    <b:Title>The measurment of Environmental and resource values. Theory and methods</b:Title>
    <b:City>Washington D.C</b:City>
    <b:CountryRegion>U.S.A.</b:CountryRegion>
    <b:Publisher>Resources for the Future</b:Publisher>
    <b:Year>2003</b:Year>
    <b:Pages>491</b:Pages>
    <b:Edition>Segunda edición</b:Edition>
    <b:RefOrder>8</b:RefOrder>
  </b:Source>
  <b:Source>
    <b:Tag>OEC02</b:Tag>
    <b:SourceType>Book</b:SourceType>
    <b:Guid>{43D620C2-A05C-E84B-AE1E-8F4FC00B8603}</b:Guid>
    <b:Author>
      <b:Author>
        <b:Corporate>OECD</b:Corporate>
      </b:Author>
    </b:Author>
    <b:Title>Handbook of biodiversity valuation. A guide for policy makers</b:Title>
    <b:City>Paris</b:City>
    <b:CountryRegion>Francia</b:CountryRegion>
    <b:Year>2002</b:Year>
    <b:RefOrder>9</b:RefOrder>
  </b:Source>
  <b:Source>
    <b:Tag>Dia07</b:Tag>
    <b:SourceType>JournalArticle</b:SourceType>
    <b:Guid>{C594774B-5C9B-4E39-A6D4-58EAE16B7AFE}</b:Guid>
    <b:Title>Multi-criteria decision analysis and cost-benefit analysis of alternative scenario for the power generation sector in Greece</b:Title>
    <b:Year>2007</b:Year>
    <b:JournalName>Renewable and Sustainable Energy Reviews 11</b:JournalName>
    <b:Pages>716-727</b:Pages>
    <b:Author>
      <b:Author>
        <b:NameList>
          <b:Person>
            <b:Last>Diakoulaki</b:Last>
            <b:First>D</b:First>
          </b:Person>
          <b:Person>
            <b:Last>Karangelis</b:Last>
            <b:First>F</b:First>
          </b:Person>
        </b:NameList>
      </b:Author>
    </b:Author>
    <b:RefOrder>10</b:RefOrder>
  </b:Source>
  <b:Source>
    <b:Tag>MarcadorDePosición2</b:Tag>
    <b:SourceType>Book</b:SourceType>
    <b:Guid>{F2654E52-23C2-4593-8E3B-84CCA9CFD469}</b:Guid>
    <b:Title>Criterios Técnicos para el Uso de Herramientas Económicas en los proyectos, obras o actividades objeto de licenciamiento ambiental</b:Title>
    <b:Year>2017</b:Year>
    <b:Author>
      <b:Author>
        <b:Corporate>Minambiente &amp; ANLA</b:Corporate>
      </b:Author>
    </b:Author>
    <b:City>Bogotá</b:City>
    <b:Publisher>Ministerio de Ambiente y Desarrollo Sostenible - Autoridad Nacional de Licencias Ambientales</b:Publisher>
    <b:RefOrder>2</b:RefOrder>
  </b:Source>
  <b:Source>
    <b:Tag>Nev18</b:Tag>
    <b:SourceType>Report</b:SourceType>
    <b:Guid>{A5ADD30B-C21E-4C3E-B0D4-2451E0B33A9E}</b:Guid>
    <b:Author>
      <b:Author>
        <b:Corporate>Nevada Division of Environmental Protection</b:Corporate>
      </b:Author>
    </b:Author>
    <b:Title>Guidance for Hydrogeologic Groundwater Flow Modeling at  Mine Sites</b:Title>
    <b:Year>2018</b:Year>
    <b:Publisher>Bureau of Mining Regulation and Reclamation</b:Publisher>
    <b:RefOrder>1</b:RefOrder>
  </b:Source>
</b:Sources>
</file>

<file path=customXml/item3.xml><?xml version="1.0" encoding="utf-8"?>
<b:Sources xmlns:b="http://schemas.openxmlformats.org/officeDocument/2006/bibliography" xmlns="http://schemas.openxmlformats.org/officeDocument/2006/bibliography" SelectedStyle="\APA.XSL" StyleName="APA">
  <b:Source xmlns:b="http://schemas.openxmlformats.org/officeDocument/2006/bibliography" xmlns="http://schemas.openxmlformats.org/officeDocument/2006/bibliography">
    <b:Tag>MarcadorDePosición1</b:Tag>
    <b:RefOrder>11</b:RefOrder>
  </b:Source>
  <b:Source>
    <b:Tag>MAV10</b:Tag>
    <b:SourceType>Book</b:SourceType>
    <b:Guid>{5F2B1240-B9A2-4FB9-97F1-5C0E6B6751C7}</b:Guid>
    <b:Title>Evaluación económica de impactos ambientales en proyectos sujetos a licenciamiento ambiental. Manual técnico. Documento en discusión</b:Title>
    <b:Year>2010</b:Year>
    <b:Author>
      <b:Author>
        <b:Corporate>MAVDT &amp; CEDE</b:Corporate>
      </b:Author>
    </b:Author>
    <b:City>Bogotá</b:City>
    <b:Publisher>Ministerio de Ambiente, Vivienda y Desarrollo Territorial- Universidad de los Andes; Facultad de economía</b:Publisher>
    <b:RefOrder>5</b:RefOrder>
  </b:Source>
  <b:Source>
    <b:Tag>Gon08</b:Tag>
    <b:SourceType>Report</b:SourceType>
    <b:Guid>{64FCEBFD-A5A2-4007-81AE-9CF2C0B5A085}</b:Guid>
    <b:Title>Guía para decisores. Análisis económico de externalidades ambientales</b:Title>
    <b:Year>2008</b:Year>
    <b:City> Santiago de Chile</b:City>
    <b:Publisher>Naciones Unidas- Comisión Económica para América Latina y el Caribe (CEPAL)- GTZ</b:Publisher>
    <b:Author>
      <b:Author>
        <b:NameList>
          <b:Person>
            <b:Last>Delacámara</b:Last>
            <b:First>Gonzalo</b:First>
          </b:Person>
        </b:NameList>
      </b:Author>
    </b:Author>
    <b:RefOrder>1</b:RefOrder>
  </b:Source>
  <b:Source>
    <b:Tag>Bic05</b:Tag>
    <b:SourceType>Report</b:SourceType>
    <b:Guid>{7EF89DA9-80CA-41E5-9D85-0807A51D6F82}</b:Guid>
    <b:Title>ExternE. Externalities of Energy: Methodology 2005 Update</b:Title>
    <b:Year>2005</b:Year>
    <b:Publisher>European Commision-Directorate-General for Research Sustainable Energy Systems</b:Publisher>
    <b:City>Luxemburg</b:City>
    <b:Author>
      <b:Author>
        <b:NameList>
          <b:Person>
            <b:Last>Bickel</b:Last>
            <b:First>Peter</b:First>
          </b:Person>
          <b:Person>
            <b:Last>Friedrich</b:Last>
            <b:Middle>(Eds)</b:Middle>
            <b:First>Rainer</b:First>
          </b:Person>
        </b:NameList>
      </b:Author>
    </b:Author>
    <b:RefOrder>3</b:RefOrder>
  </b:Source>
  <b:Source>
    <b:Tag>Die02</b:Tag>
    <b:SourceType>Book</b:SourceType>
    <b:Guid>{9234C4B3-B34A-4268-B510-34498D1BB171}</b:Guid>
    <b:Author>
      <b:Author>
        <b:NameList>
          <b:Person>
            <b:Last>Azqueta</b:Last>
            <b:First>Diego</b:First>
          </b:Person>
        </b:NameList>
      </b:Author>
    </b:Author>
    <b:Title>Introducción a la Economía Ambiental</b:Title>
    <b:Year>2002</b:Year>
    <b:City>Madrid</b:City>
    <b:Publisher>McGraw Hill</b:Publisher>
    <b:RefOrder>4</b:RefOrder>
  </b:Source>
  <b:Source>
    <b:Tag>Cos14</b:Tag>
    <b:SourceType>JournalArticle</b:SourceType>
    <b:Guid>{AAE2BE66-7B44-4F45-893B-51FBF2624A17}</b:Guid>
    <b:Title>Changes en the global value of ecosystem services</b:Title>
    <b:Year>2014</b:Year>
    <b:Author>
      <b:Author>
        <b:Corporate>Costanza et al.</b:Corporate>
      </b:Author>
    </b:Author>
    <b:JournalName>Global environmental change 26</b:JournalName>
    <b:Pages>152-158</b:Pages>
    <b:RefOrder>6</b:RefOrder>
  </b:Source>
  <b:Source>
    <b:Tag>Ann01</b:Tag>
    <b:SourceType>JournalArticle</b:SourceType>
    <b:Guid>{D580681E-F0FC-417C-9F19-8A76B96FA76E}</b:Guid>
    <b:Title>Improving Alternatives for Environmental Impact Assessment</b:Title>
    <b:Year>2001</b:Year>
    <b:Author>
      <b:Author>
        <b:NameList>
          <b:Person>
            <b:Last>Steinemann</b:Last>
            <b:First>Anne</b:First>
          </b:Person>
        </b:NameList>
      </b:Author>
    </b:Author>
    <b:JournalName>Environmental Impact Assessment Review 21</b:JournalName>
    <b:Pages>3-21</b:Pages>
    <b:RefOrder>7</b:RefOrder>
  </b:Source>
  <b:Source>
    <b:Tag>Fre03</b:Tag>
    <b:SourceType>Book</b:SourceType>
    <b:Guid>{24A8E97B-57B1-7142-8E67-DA2AF8DB6367}</b:Guid>
    <b:Author>
      <b:Author>
        <b:NameList>
          <b:Person>
            <b:Last>Freeman</b:Last>
            <b:Middle>Myrick</b:Middle>
            <b:First>A.</b:First>
          </b:Person>
        </b:NameList>
      </b:Author>
    </b:Author>
    <b:Title>The measurment of Environmental and resource values. Theory and methods</b:Title>
    <b:City>Washington D.C</b:City>
    <b:CountryRegion>U.S.A.</b:CountryRegion>
    <b:Publisher>Resources for the Future</b:Publisher>
    <b:Year>2003</b:Year>
    <b:Pages>491</b:Pages>
    <b:Edition>Segunda edición</b:Edition>
    <b:RefOrder>8</b:RefOrder>
  </b:Source>
  <b:Source>
    <b:Tag>OEC02</b:Tag>
    <b:SourceType>Book</b:SourceType>
    <b:Guid>{43D620C2-A05C-E84B-AE1E-8F4FC00B8603}</b:Guid>
    <b:Author>
      <b:Author>
        <b:Corporate>OECD</b:Corporate>
      </b:Author>
    </b:Author>
    <b:Title>Handbook of biodiversity valuation. A guide for policy makers</b:Title>
    <b:City>Paris</b:City>
    <b:CountryRegion>Francia</b:CountryRegion>
    <b:Year>2002</b:Year>
    <b:RefOrder>9</b:RefOrder>
  </b:Source>
  <b:Source>
    <b:Tag>Dia07</b:Tag>
    <b:SourceType>JournalArticle</b:SourceType>
    <b:Guid>{C594774B-5C9B-4E39-A6D4-58EAE16B7AFE}</b:Guid>
    <b:Title>Multi-criteria decision analysis and cost-benefit analysis of alternative scenario for the power generation sector in Greece</b:Title>
    <b:Year>2007</b:Year>
    <b:JournalName>Renewable and Sustainable Energy Reviews 11</b:JournalName>
    <b:Pages>716-727</b:Pages>
    <b:Author>
      <b:Author>
        <b:NameList>
          <b:Person>
            <b:Last>Diakoulaki</b:Last>
            <b:First>D</b:First>
          </b:Person>
          <b:Person>
            <b:Last>Karangelis</b:Last>
            <b:First>F</b:First>
          </b:Person>
        </b:NameList>
      </b:Author>
    </b:Author>
    <b:RefOrder>10</b:RefOrder>
  </b:Source>
  <b:Source>
    <b:Tag>MarcadorDePosición2</b:Tag>
    <b:SourceType>Book</b:SourceType>
    <b:Guid>{F2654E52-23C2-4593-8E3B-84CCA9CFD469}</b:Guid>
    <b:Title>Criterios Técnicos para el Uso de Herramientas Económicas en los proyectos, obras o actividades objeto de licenciamiento ambiental</b:Title>
    <b:Year>2017</b:Year>
    <b:Author>
      <b:Author>
        <b:Corporate>Minambiente &amp; ANLA</b:Corporate>
      </b:Author>
    </b:Author>
    <b:City>Bogotá</b:City>
    <b:Publisher>Ministerio de Ambiente y Desarrollo Sostenible - Autoridad Nacional de Licencias Ambientales</b:Publisher>
    <b:RefOrder>2</b:RefOrder>
  </b:Source>
  <b:Source>
    <b:Tag>Nev18</b:Tag>
    <b:SourceType>Report</b:SourceType>
    <b:Guid>{A5ADD30B-C21E-4C3E-B0D4-2451E0B33A9E}</b:Guid>
    <b:Author>
      <b:Author>
        <b:Corporate>Nevada Division of Environmental Protection</b:Corporate>
      </b:Author>
    </b:Author>
    <b:Title>Guidance for Hydrogeologic Groundwater Flow Modeling at  Mine Sites</b:Title>
    <b:Year>2018</b:Year>
    <b:Publisher>Bureau of Mining Regulation and Reclamation</b:Publisher>
    <b:RefOrder>1</b:RefOrder>
  </b:Source>
</b:Sources>
</file>

<file path=customXml/item4.xml><?xml version="1.0" encoding="utf-8"?>
<b:Sources xmlns:b="http://schemas.openxmlformats.org/officeDocument/2006/bibliography" xmlns="http://schemas.openxmlformats.org/officeDocument/2006/bibliography" SelectedStyle="\APA.XSL" StyleName="APA">
  <b:Source xmlns:b="http://schemas.openxmlformats.org/officeDocument/2006/bibliography" xmlns="http://schemas.openxmlformats.org/officeDocument/2006/bibliography">
    <b:Tag>MarcadorDePosición1</b:Tag>
    <b:RefOrder>11</b:RefOrder>
  </b:Source>
  <b:Source>
    <b:Tag>MAV10</b:Tag>
    <b:SourceType>Book</b:SourceType>
    <b:Guid>{5F2B1240-B9A2-4FB9-97F1-5C0E6B6751C7}</b:Guid>
    <b:Title>Evaluación económica de impactos ambientales en proyectos sujetos a licenciamiento ambiental. Manual técnico. Documento en discusión</b:Title>
    <b:Year>2010</b:Year>
    <b:Author>
      <b:Author>
        <b:Corporate>MAVDT &amp; CEDE</b:Corporate>
      </b:Author>
    </b:Author>
    <b:City>Bogotá</b:City>
    <b:Publisher>Ministerio de Ambiente, Vivienda y Desarrollo Territorial- Universidad de los Andes; Facultad de economía</b:Publisher>
    <b:RefOrder>5</b:RefOrder>
  </b:Source>
  <b:Source>
    <b:Tag>Gon08</b:Tag>
    <b:SourceType>Report</b:SourceType>
    <b:Guid>{64FCEBFD-A5A2-4007-81AE-9CF2C0B5A085}</b:Guid>
    <b:Title>Guía para decisores. Análisis económico de externalidades ambientales</b:Title>
    <b:Year>2008</b:Year>
    <b:City> Santiago de Chile</b:City>
    <b:Publisher>Naciones Unidas- Comisión Económica para América Latina y el Caribe (CEPAL)- GTZ</b:Publisher>
    <b:Author>
      <b:Author>
        <b:NameList>
          <b:Person>
            <b:Last>Delacámara</b:Last>
            <b:First>Gonzalo</b:First>
          </b:Person>
        </b:NameList>
      </b:Author>
    </b:Author>
    <b:RefOrder>1</b:RefOrder>
  </b:Source>
  <b:Source>
    <b:Tag>Bic05</b:Tag>
    <b:SourceType>Report</b:SourceType>
    <b:Guid>{7EF89DA9-80CA-41E5-9D85-0807A51D6F82}</b:Guid>
    <b:Title>ExternE. Externalities of Energy: Methodology 2005 Update</b:Title>
    <b:Year>2005</b:Year>
    <b:Publisher>European Commision-Directorate-General for Research Sustainable Energy Systems</b:Publisher>
    <b:City>Luxemburg</b:City>
    <b:Author>
      <b:Author>
        <b:NameList>
          <b:Person>
            <b:Last>Bickel</b:Last>
            <b:First>Peter</b:First>
          </b:Person>
          <b:Person>
            <b:Last>Friedrich</b:Last>
            <b:Middle>(Eds)</b:Middle>
            <b:First>Rainer</b:First>
          </b:Person>
        </b:NameList>
      </b:Author>
    </b:Author>
    <b:RefOrder>3</b:RefOrder>
  </b:Source>
  <b:Source>
    <b:Tag>Die02</b:Tag>
    <b:SourceType>Book</b:SourceType>
    <b:Guid>{9234C4B3-B34A-4268-B510-34498D1BB171}</b:Guid>
    <b:Author>
      <b:Author>
        <b:NameList>
          <b:Person>
            <b:Last>Azqueta</b:Last>
            <b:First>Diego</b:First>
          </b:Person>
        </b:NameList>
      </b:Author>
    </b:Author>
    <b:Title>Introducción a la Economía Ambiental</b:Title>
    <b:Year>2002</b:Year>
    <b:City>Madrid</b:City>
    <b:Publisher>McGraw Hill</b:Publisher>
    <b:RefOrder>4</b:RefOrder>
  </b:Source>
  <b:Source>
    <b:Tag>Cos14</b:Tag>
    <b:SourceType>JournalArticle</b:SourceType>
    <b:Guid>{AAE2BE66-7B44-4F45-893B-51FBF2624A17}</b:Guid>
    <b:Title>Changes en the global value of ecosystem services</b:Title>
    <b:Year>2014</b:Year>
    <b:Author>
      <b:Author>
        <b:Corporate>Costanza et al.</b:Corporate>
      </b:Author>
    </b:Author>
    <b:JournalName>Global environmental change 26</b:JournalName>
    <b:Pages>152-158</b:Pages>
    <b:RefOrder>6</b:RefOrder>
  </b:Source>
  <b:Source>
    <b:Tag>Ann01</b:Tag>
    <b:SourceType>JournalArticle</b:SourceType>
    <b:Guid>{D580681E-F0FC-417C-9F19-8A76B96FA76E}</b:Guid>
    <b:Title>Improving Alternatives for Environmental Impact Assessment</b:Title>
    <b:Year>2001</b:Year>
    <b:Author>
      <b:Author>
        <b:NameList>
          <b:Person>
            <b:Last>Steinemann</b:Last>
            <b:First>Anne</b:First>
          </b:Person>
        </b:NameList>
      </b:Author>
    </b:Author>
    <b:JournalName>Environmental Impact Assessment Review 21</b:JournalName>
    <b:Pages>3-21</b:Pages>
    <b:RefOrder>7</b:RefOrder>
  </b:Source>
  <b:Source>
    <b:Tag>Fre03</b:Tag>
    <b:SourceType>Book</b:SourceType>
    <b:Guid>{24A8E97B-57B1-7142-8E67-DA2AF8DB6367}</b:Guid>
    <b:Author>
      <b:Author>
        <b:NameList>
          <b:Person>
            <b:Last>Freeman</b:Last>
            <b:Middle>Myrick</b:Middle>
            <b:First>A.</b:First>
          </b:Person>
        </b:NameList>
      </b:Author>
    </b:Author>
    <b:Title>The measurment of Environmental and resource values. Theory and methods</b:Title>
    <b:City>Washington D.C</b:City>
    <b:CountryRegion>U.S.A.</b:CountryRegion>
    <b:Publisher>Resources for the Future</b:Publisher>
    <b:Year>2003</b:Year>
    <b:Pages>491</b:Pages>
    <b:Edition>Segunda edición</b:Edition>
    <b:RefOrder>8</b:RefOrder>
  </b:Source>
  <b:Source>
    <b:Tag>OEC02</b:Tag>
    <b:SourceType>Book</b:SourceType>
    <b:Guid>{43D620C2-A05C-E84B-AE1E-8F4FC00B8603}</b:Guid>
    <b:Author>
      <b:Author>
        <b:Corporate>OECD</b:Corporate>
      </b:Author>
    </b:Author>
    <b:Title>Handbook of biodiversity valuation. A guide for policy makers</b:Title>
    <b:City>Paris</b:City>
    <b:CountryRegion>Francia</b:CountryRegion>
    <b:Year>2002</b:Year>
    <b:RefOrder>9</b:RefOrder>
  </b:Source>
  <b:Source>
    <b:Tag>Dia07</b:Tag>
    <b:SourceType>JournalArticle</b:SourceType>
    <b:Guid>{C594774B-5C9B-4E39-A6D4-58EAE16B7AFE}</b:Guid>
    <b:Title>Multi-criteria decision analysis and cost-benefit analysis of alternative scenario for the power generation sector in Greece</b:Title>
    <b:Year>2007</b:Year>
    <b:JournalName>Renewable and Sustainable Energy Reviews 11</b:JournalName>
    <b:Pages>716-727</b:Pages>
    <b:Author>
      <b:Author>
        <b:NameList>
          <b:Person>
            <b:Last>Diakoulaki</b:Last>
            <b:First>D</b:First>
          </b:Person>
          <b:Person>
            <b:Last>Karangelis</b:Last>
            <b:First>F</b:First>
          </b:Person>
        </b:NameList>
      </b:Author>
    </b:Author>
    <b:RefOrder>10</b:RefOrder>
  </b:Source>
  <b:Source>
    <b:Tag>MarcadorDePosición2</b:Tag>
    <b:SourceType>Book</b:SourceType>
    <b:Guid>{F2654E52-23C2-4593-8E3B-84CCA9CFD469}</b:Guid>
    <b:Title>Criterios Técnicos para el Uso de Herramientas Económicas en los proyectos, obras o actividades objeto de licenciamiento ambiental</b:Title>
    <b:Year>2017</b:Year>
    <b:Author>
      <b:Author>
        <b:Corporate>Minambiente &amp; ANLA</b:Corporate>
      </b:Author>
    </b:Author>
    <b:City>Bogotá</b:City>
    <b:Publisher>Ministerio de Ambiente y Desarrollo Sostenible - Autoridad Nacional de Licencias Ambientales</b:Publisher>
    <b:RefOrder>2</b:RefOrder>
  </b:Source>
  <b:Source>
    <b:Tag>Nev18</b:Tag>
    <b:SourceType>Report</b:SourceType>
    <b:Guid>{A5ADD30B-C21E-4C3E-B0D4-2451E0B33A9E}</b:Guid>
    <b:Author>
      <b:Author>
        <b:Corporate>Nevada Division of Environmental Protection</b:Corporate>
      </b:Author>
    </b:Author>
    <b:Title>Guidance for Hydrogeologic Groundwater Flow Modeling at  Mine Sites</b:Title>
    <b:Year>2018</b:Year>
    <b:Publisher>Bureau of Mining Regulation and Reclamation</b:Publisher>
    <b:RefOrder>1</b:RefOrder>
  </b:Source>
</b:Sources>
</file>

<file path=customXml/itemProps1.xml><?xml version="1.0" encoding="utf-8"?>
<ds:datastoreItem xmlns:ds="http://schemas.openxmlformats.org/officeDocument/2006/customXml" ds:itemID="{D7253C79-2A2A-4C71-B438-C6DC5CFAC250}">
  <ds:schemaRefs>
    <ds:schemaRef ds:uri="http://schemas.openxmlformats.org/officeDocument/2006/bibliography"/>
  </ds:schemaRefs>
</ds:datastoreItem>
</file>

<file path=customXml/itemProps2.xml><?xml version="1.0" encoding="utf-8"?>
<ds:datastoreItem xmlns:ds="http://schemas.openxmlformats.org/officeDocument/2006/customXml" ds:itemID="{E90F6891-E3DC-4BB5-9F07-288BF88FEB95}">
  <ds:schemaRefs>
    <ds:schemaRef ds:uri="http://schemas.openxmlformats.org/officeDocument/2006/bibliography"/>
  </ds:schemaRefs>
</ds:datastoreItem>
</file>

<file path=customXml/itemProps3.xml><?xml version="1.0" encoding="utf-8"?>
<ds:datastoreItem xmlns:ds="http://schemas.openxmlformats.org/officeDocument/2006/customXml" ds:itemID="{9DD28DD8-6673-494F-A753-89D01A5CA3C4}">
  <ds:schemaRefs>
    <ds:schemaRef ds:uri="http://schemas.openxmlformats.org/officeDocument/2006/bibliography"/>
  </ds:schemaRefs>
</ds:datastoreItem>
</file>

<file path=customXml/itemProps4.xml><?xml version="1.0" encoding="utf-8"?>
<ds:datastoreItem xmlns:ds="http://schemas.openxmlformats.org/officeDocument/2006/customXml" ds:itemID="{4EF6D637-BCFE-4249-9EE0-D9CFA8BDFC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471</Pages>
  <Words>154284</Words>
  <Characters>848565</Characters>
  <Application>Microsoft Office Word</Application>
  <DocSecurity>0</DocSecurity>
  <Lines>7071</Lines>
  <Paragraphs>2001</Paragraphs>
  <ScaleCrop>false</ScaleCrop>
  <HeadingPairs>
    <vt:vector size="2" baseType="variant">
      <vt:variant>
        <vt:lpstr>Título</vt:lpstr>
      </vt:variant>
      <vt:variant>
        <vt:i4>1</vt:i4>
      </vt:variant>
    </vt:vector>
  </HeadingPairs>
  <TitlesOfParts>
    <vt:vector size="1" baseType="lpstr">
      <vt:lpstr>Metodología General para la Elaboración y Presentación de Estudios Ambientales</vt:lpstr>
    </vt:vector>
  </TitlesOfParts>
  <Company>Hewlett-Packard Company</Company>
  <LinksUpToDate>false</LinksUpToDate>
  <CharactersWithSpaces>1000848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Metodología General para la Elaboración y Presentación de Estudios Ambientales</dc:title>
  <dc:creator>Minambiente;ANLA</dc:creator>
  <cp:lastModifiedBy>Camilo Ernesto Buitrago Soto</cp:lastModifiedBy>
  <cp:revision>4</cp:revision>
  <cp:lastPrinted>2023-12-15T14:20:00Z</cp:lastPrinted>
  <dcterms:created xsi:type="dcterms:W3CDTF">2024-11-15T19:36:00Z</dcterms:created>
  <dcterms:modified xsi:type="dcterms:W3CDTF">2024-11-18T15:56:00Z</dcterms:modified>
</cp:coreProperties>
</file>